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8231"/>
        <w:gridCol w:w="36"/>
      </w:tblGrid>
      <w:tr w:rsidR="00584EC1" w14:paraId="74DD5D83" w14:textId="77777777">
        <w:trPr>
          <w:jc w:val="center"/>
        </w:trPr>
        <w:tc>
          <w:tcPr>
            <w:tcW w:w="50" w:type="pct"/>
            <w:shd w:val="clear" w:color="auto" w:fill="auto"/>
            <w:vAlign w:val="bottom"/>
          </w:tcPr>
          <w:p w14:paraId="74DD5D80" w14:textId="51D34591" w:rsidR="00584EC1" w:rsidRDefault="00871F8D">
            <w:pPr>
              <w:rPr>
                <w:rFonts w:ascii="宋体"/>
              </w:rPr>
            </w:pPr>
            <w:r>
              <w:rPr>
                <w:rFonts w:ascii="宋体"/>
              </w:rPr>
              <w:t xml:space="preserve"> </w:t>
            </w:r>
          </w:p>
        </w:tc>
        <w:tc>
          <w:tcPr>
            <w:tcW w:w="4945" w:type="pct"/>
            <w:shd w:val="clear" w:color="auto" w:fill="auto"/>
            <w:vAlign w:val="bottom"/>
          </w:tcPr>
          <w:p w14:paraId="74DD5D81" w14:textId="77777777" w:rsidR="00584EC1" w:rsidRDefault="00584EC1">
            <w:pPr>
              <w:rPr>
                <w:rFonts w:ascii="宋体"/>
              </w:rPr>
            </w:pPr>
          </w:p>
        </w:tc>
        <w:tc>
          <w:tcPr>
            <w:tcW w:w="5" w:type="pct"/>
            <w:shd w:val="clear" w:color="auto" w:fill="auto"/>
            <w:vAlign w:val="bottom"/>
          </w:tcPr>
          <w:p w14:paraId="74DD5D82" w14:textId="77777777" w:rsidR="00584EC1" w:rsidRDefault="00584EC1">
            <w:pPr>
              <w:rPr>
                <w:rFonts w:ascii="宋体"/>
              </w:rPr>
            </w:pPr>
          </w:p>
        </w:tc>
      </w:tr>
      <w:tr w:rsidR="00584EC1" w14:paraId="74DD5D85" w14:textId="77777777">
        <w:trPr>
          <w:trHeight w:val="60"/>
          <w:jc w:val="center"/>
        </w:trPr>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74DD5D84" w14:textId="77777777" w:rsidR="00584EC1" w:rsidRDefault="00584EC1">
            <w:pPr>
              <w:rPr>
                <w:rFonts w:ascii="宋体"/>
              </w:rPr>
            </w:pPr>
          </w:p>
        </w:tc>
      </w:tr>
    </w:tbl>
    <w:p w14:paraId="74DD5D86" w14:textId="77777777" w:rsidR="00584EC1" w:rsidRDefault="00871F8D">
      <w:pPr>
        <w:ind w:firstLine="450"/>
        <w:jc w:val="center"/>
      </w:pPr>
      <w:r>
        <w:rPr>
          <w:rFonts w:ascii="Arial" w:eastAsia="宋体" w:hAnsi="Arial" w:cs="Arial"/>
          <w:b/>
          <w:bCs/>
          <w:color w:val="000000"/>
          <w:sz w:val="30"/>
          <w:szCs w:val="30"/>
        </w:rPr>
        <w:t>UNITED STATES</w:t>
      </w:r>
    </w:p>
    <w:p w14:paraId="74DD5D87" w14:textId="77777777" w:rsidR="00584EC1" w:rsidRDefault="00871F8D">
      <w:pPr>
        <w:ind w:firstLine="450"/>
        <w:jc w:val="center"/>
      </w:pPr>
      <w:r>
        <w:rPr>
          <w:rFonts w:ascii="Arial" w:eastAsia="宋体" w:hAnsi="Arial" w:cs="Arial"/>
          <w:b/>
          <w:bCs/>
          <w:color w:val="000000"/>
          <w:sz w:val="30"/>
          <w:szCs w:val="30"/>
        </w:rPr>
        <w:t>SECURITIES AND EXCHANGE COMMISSION</w:t>
      </w:r>
    </w:p>
    <w:p w14:paraId="74DD5D88" w14:textId="77777777" w:rsidR="00584EC1" w:rsidRDefault="00871F8D">
      <w:pPr>
        <w:ind w:firstLine="450"/>
        <w:jc w:val="center"/>
      </w:pPr>
      <w:r>
        <w:rPr>
          <w:rFonts w:ascii="Arial" w:eastAsia="宋体" w:hAnsi="Arial" w:cs="Arial"/>
          <w:b/>
          <w:bCs/>
          <w:color w:val="000000"/>
          <w:sz w:val="30"/>
          <w:szCs w:val="30"/>
        </w:rPr>
        <w:t>Washington, DC 20549</w:t>
      </w:r>
      <w:r>
        <w:rPr>
          <w:rFonts w:ascii="Arial" w:eastAsia="宋体" w:hAnsi="Arial" w:cs="Arial"/>
          <w:b/>
          <w:bCs/>
          <w:color w:val="FF0000"/>
          <w:sz w:val="30"/>
          <w:szCs w:val="30"/>
        </w:rPr>
        <w:t xml:space="preserve"> </w:t>
      </w:r>
    </w:p>
    <w:p w14:paraId="74DD5D89" w14:textId="77777777" w:rsidR="00584EC1" w:rsidRDefault="00871F8D">
      <w:pPr>
        <w:spacing w:before="100"/>
        <w:ind w:firstLine="360"/>
        <w:jc w:val="center"/>
      </w:pPr>
      <w:r>
        <w:rPr>
          <w:rFonts w:ascii="Arial" w:eastAsia="宋体" w:hAnsi="Arial" w:cs="Arial"/>
          <w:b/>
          <w:bCs/>
          <w:color w:val="000000"/>
          <w:sz w:val="30"/>
          <w:szCs w:val="30"/>
        </w:rPr>
        <w:t xml:space="preserve">Form 10-Q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356"/>
        <w:gridCol w:w="36"/>
        <w:gridCol w:w="70"/>
        <w:gridCol w:w="7769"/>
        <w:gridCol w:w="36"/>
      </w:tblGrid>
      <w:tr w:rsidR="00584EC1" w14:paraId="74DD5D90" w14:textId="77777777">
        <w:trPr>
          <w:jc w:val="center"/>
        </w:trPr>
        <w:tc>
          <w:tcPr>
            <w:tcW w:w="50" w:type="pct"/>
            <w:shd w:val="clear" w:color="auto" w:fill="auto"/>
            <w:vAlign w:val="bottom"/>
          </w:tcPr>
          <w:p w14:paraId="74DD5D8A" w14:textId="77777777" w:rsidR="00584EC1" w:rsidRDefault="00584EC1">
            <w:pPr>
              <w:rPr>
                <w:rFonts w:ascii="宋体"/>
              </w:rPr>
            </w:pPr>
          </w:p>
        </w:tc>
        <w:tc>
          <w:tcPr>
            <w:tcW w:w="222" w:type="pct"/>
            <w:shd w:val="clear" w:color="auto" w:fill="auto"/>
            <w:vAlign w:val="bottom"/>
          </w:tcPr>
          <w:p w14:paraId="74DD5D8B" w14:textId="77777777" w:rsidR="00584EC1" w:rsidRDefault="00584EC1">
            <w:pPr>
              <w:rPr>
                <w:rFonts w:ascii="宋体"/>
              </w:rPr>
            </w:pPr>
          </w:p>
        </w:tc>
        <w:tc>
          <w:tcPr>
            <w:tcW w:w="5" w:type="pct"/>
            <w:shd w:val="clear" w:color="auto" w:fill="auto"/>
            <w:vAlign w:val="bottom"/>
          </w:tcPr>
          <w:p w14:paraId="74DD5D8C" w14:textId="77777777" w:rsidR="00584EC1" w:rsidRDefault="00584EC1">
            <w:pPr>
              <w:rPr>
                <w:rFonts w:ascii="宋体"/>
              </w:rPr>
            </w:pPr>
          </w:p>
        </w:tc>
        <w:tc>
          <w:tcPr>
            <w:tcW w:w="50" w:type="pct"/>
            <w:shd w:val="clear" w:color="auto" w:fill="auto"/>
            <w:vAlign w:val="bottom"/>
          </w:tcPr>
          <w:p w14:paraId="74DD5D8D" w14:textId="77777777" w:rsidR="00584EC1" w:rsidRDefault="00584EC1">
            <w:pPr>
              <w:rPr>
                <w:rFonts w:ascii="宋体"/>
              </w:rPr>
            </w:pPr>
          </w:p>
        </w:tc>
        <w:tc>
          <w:tcPr>
            <w:tcW w:w="4667" w:type="pct"/>
            <w:shd w:val="clear" w:color="auto" w:fill="auto"/>
            <w:vAlign w:val="bottom"/>
          </w:tcPr>
          <w:p w14:paraId="74DD5D8E" w14:textId="77777777" w:rsidR="00584EC1" w:rsidRDefault="00584EC1">
            <w:pPr>
              <w:rPr>
                <w:rFonts w:ascii="宋体"/>
              </w:rPr>
            </w:pPr>
          </w:p>
        </w:tc>
        <w:tc>
          <w:tcPr>
            <w:tcW w:w="5" w:type="pct"/>
            <w:shd w:val="clear" w:color="auto" w:fill="auto"/>
            <w:vAlign w:val="bottom"/>
          </w:tcPr>
          <w:p w14:paraId="74DD5D8F" w14:textId="77777777" w:rsidR="00584EC1" w:rsidRDefault="00584EC1">
            <w:pPr>
              <w:rPr>
                <w:rFonts w:ascii="宋体"/>
              </w:rPr>
            </w:pPr>
          </w:p>
        </w:tc>
      </w:tr>
      <w:tr w:rsidR="00584EC1" w14:paraId="74DD5D93" w14:textId="77777777">
        <w:trPr>
          <w:jc w:val="center"/>
        </w:trPr>
        <w:tc>
          <w:tcPr>
            <w:tcW w:w="0" w:type="auto"/>
            <w:gridSpan w:val="3"/>
            <w:shd w:val="clear" w:color="auto" w:fill="auto"/>
            <w:tcMar>
              <w:top w:w="40" w:type="dxa"/>
              <w:left w:w="20" w:type="dxa"/>
              <w:bottom w:w="40" w:type="dxa"/>
              <w:right w:w="20" w:type="dxa"/>
            </w:tcMar>
          </w:tcPr>
          <w:p w14:paraId="74DD5D91" w14:textId="77777777" w:rsidR="00584EC1" w:rsidRDefault="00871F8D">
            <w:pPr>
              <w:textAlignment w:val="top"/>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tcPr>
          <w:p w14:paraId="74DD5D92" w14:textId="77777777" w:rsidR="00584EC1" w:rsidRDefault="00871F8D">
            <w:pPr>
              <w:textAlignment w:val="top"/>
            </w:pPr>
            <w:r>
              <w:rPr>
                <w:rFonts w:ascii="Arial" w:eastAsia="宋体" w:hAnsi="Arial" w:cs="Arial"/>
                <w:b/>
                <w:bCs/>
                <w:color w:val="000000"/>
                <w:sz w:val="20"/>
                <w:szCs w:val="20"/>
              </w:rPr>
              <w:t>QUARTERLY REPORT PURSUANT TO SECTION 13 OR 15(d) OF THE SECURITIES EXCHANGE ACT OF 1934</w:t>
            </w:r>
          </w:p>
        </w:tc>
      </w:tr>
    </w:tbl>
    <w:p w14:paraId="74DD5D94" w14:textId="77777777" w:rsidR="00584EC1" w:rsidRDefault="00871F8D">
      <w:pPr>
        <w:ind w:firstLine="450"/>
        <w:jc w:val="center"/>
      </w:pPr>
      <w:r>
        <w:rPr>
          <w:rFonts w:ascii="Arial" w:eastAsia="宋体" w:hAnsi="Arial" w:cs="Arial"/>
          <w:b/>
          <w:bCs/>
          <w:color w:val="000000"/>
          <w:sz w:val="20"/>
          <w:szCs w:val="20"/>
        </w:rPr>
        <w:t xml:space="preserve">For the quarterly period ended September 30, 2021 </w:t>
      </w:r>
    </w:p>
    <w:p w14:paraId="74DD5D95" w14:textId="77777777" w:rsidR="00584EC1" w:rsidRDefault="00871F8D">
      <w:pPr>
        <w:ind w:firstLine="450"/>
        <w:jc w:val="center"/>
      </w:pPr>
      <w:r>
        <w:rPr>
          <w:rFonts w:ascii="Arial" w:eastAsia="宋体" w:hAnsi="Arial" w:cs="Arial"/>
          <w:b/>
          <w:bCs/>
          <w:color w:val="000000"/>
          <w:sz w:val="20"/>
          <w:szCs w:val="20"/>
        </w:rPr>
        <w:t>OR</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356"/>
        <w:gridCol w:w="36"/>
        <w:gridCol w:w="70"/>
        <w:gridCol w:w="7769"/>
        <w:gridCol w:w="36"/>
      </w:tblGrid>
      <w:tr w:rsidR="00584EC1" w14:paraId="74DD5D9C" w14:textId="77777777">
        <w:trPr>
          <w:jc w:val="center"/>
        </w:trPr>
        <w:tc>
          <w:tcPr>
            <w:tcW w:w="50" w:type="pct"/>
            <w:shd w:val="clear" w:color="auto" w:fill="auto"/>
            <w:vAlign w:val="bottom"/>
          </w:tcPr>
          <w:p w14:paraId="74DD5D96" w14:textId="77777777" w:rsidR="00584EC1" w:rsidRDefault="00584EC1">
            <w:pPr>
              <w:rPr>
                <w:rFonts w:ascii="宋体"/>
              </w:rPr>
            </w:pPr>
          </w:p>
        </w:tc>
        <w:tc>
          <w:tcPr>
            <w:tcW w:w="222" w:type="pct"/>
            <w:shd w:val="clear" w:color="auto" w:fill="auto"/>
            <w:vAlign w:val="bottom"/>
          </w:tcPr>
          <w:p w14:paraId="74DD5D97" w14:textId="77777777" w:rsidR="00584EC1" w:rsidRDefault="00584EC1">
            <w:pPr>
              <w:rPr>
                <w:rFonts w:ascii="宋体"/>
              </w:rPr>
            </w:pPr>
          </w:p>
        </w:tc>
        <w:tc>
          <w:tcPr>
            <w:tcW w:w="5" w:type="pct"/>
            <w:shd w:val="clear" w:color="auto" w:fill="auto"/>
            <w:vAlign w:val="bottom"/>
          </w:tcPr>
          <w:p w14:paraId="74DD5D98" w14:textId="77777777" w:rsidR="00584EC1" w:rsidRDefault="00584EC1">
            <w:pPr>
              <w:rPr>
                <w:rFonts w:ascii="宋体"/>
              </w:rPr>
            </w:pPr>
          </w:p>
        </w:tc>
        <w:tc>
          <w:tcPr>
            <w:tcW w:w="50" w:type="pct"/>
            <w:shd w:val="clear" w:color="auto" w:fill="auto"/>
            <w:vAlign w:val="bottom"/>
          </w:tcPr>
          <w:p w14:paraId="74DD5D99" w14:textId="77777777" w:rsidR="00584EC1" w:rsidRDefault="00584EC1">
            <w:pPr>
              <w:rPr>
                <w:rFonts w:ascii="宋体"/>
              </w:rPr>
            </w:pPr>
          </w:p>
        </w:tc>
        <w:tc>
          <w:tcPr>
            <w:tcW w:w="4667" w:type="pct"/>
            <w:shd w:val="clear" w:color="auto" w:fill="auto"/>
            <w:vAlign w:val="bottom"/>
          </w:tcPr>
          <w:p w14:paraId="74DD5D9A" w14:textId="77777777" w:rsidR="00584EC1" w:rsidRDefault="00584EC1">
            <w:pPr>
              <w:rPr>
                <w:rFonts w:ascii="宋体"/>
              </w:rPr>
            </w:pPr>
          </w:p>
        </w:tc>
        <w:tc>
          <w:tcPr>
            <w:tcW w:w="5" w:type="pct"/>
            <w:shd w:val="clear" w:color="auto" w:fill="auto"/>
            <w:vAlign w:val="bottom"/>
          </w:tcPr>
          <w:p w14:paraId="74DD5D9B" w14:textId="77777777" w:rsidR="00584EC1" w:rsidRDefault="00584EC1">
            <w:pPr>
              <w:rPr>
                <w:rFonts w:ascii="宋体"/>
              </w:rPr>
            </w:pPr>
          </w:p>
        </w:tc>
      </w:tr>
      <w:tr w:rsidR="00584EC1" w14:paraId="74DD5D9F" w14:textId="77777777">
        <w:trPr>
          <w:jc w:val="center"/>
        </w:trPr>
        <w:tc>
          <w:tcPr>
            <w:tcW w:w="0" w:type="auto"/>
            <w:gridSpan w:val="3"/>
            <w:shd w:val="clear" w:color="auto" w:fill="auto"/>
            <w:tcMar>
              <w:top w:w="40" w:type="dxa"/>
              <w:left w:w="20" w:type="dxa"/>
              <w:bottom w:w="40" w:type="dxa"/>
              <w:right w:w="20" w:type="dxa"/>
            </w:tcMar>
          </w:tcPr>
          <w:p w14:paraId="74DD5D9D" w14:textId="77777777" w:rsidR="00584EC1" w:rsidRDefault="00871F8D">
            <w:pPr>
              <w:textAlignment w:val="top"/>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tcPr>
          <w:p w14:paraId="74DD5D9E" w14:textId="77777777" w:rsidR="00584EC1" w:rsidRDefault="00871F8D">
            <w:pPr>
              <w:textAlignment w:val="top"/>
            </w:pPr>
            <w:r>
              <w:rPr>
                <w:rFonts w:ascii="Arial" w:eastAsia="宋体" w:hAnsi="Arial" w:cs="Arial"/>
                <w:b/>
                <w:bCs/>
                <w:color w:val="000000"/>
                <w:sz w:val="20"/>
                <w:szCs w:val="20"/>
              </w:rPr>
              <w:t>TRANSITION REPORT PURSUANT TO SECTION 13 OR 15(d) OF THE SECURITIES EXCHANGE ACT OF 1934</w:t>
            </w:r>
          </w:p>
        </w:tc>
      </w:tr>
    </w:tbl>
    <w:p w14:paraId="74DD5DA0" w14:textId="77777777" w:rsidR="00584EC1" w:rsidRDefault="00871F8D">
      <w:pPr>
        <w:ind w:firstLine="450"/>
        <w:jc w:val="center"/>
      </w:pPr>
      <w:r>
        <w:rPr>
          <w:rFonts w:ascii="Arial" w:eastAsia="宋体" w:hAnsi="Arial" w:cs="Arial"/>
          <w:b/>
          <w:bCs/>
          <w:color w:val="000000"/>
          <w:sz w:val="18"/>
          <w:szCs w:val="18"/>
        </w:rPr>
        <w:t>For the transition period from                      to                     </w:t>
      </w:r>
    </w:p>
    <w:p w14:paraId="74DD5DA1" w14:textId="77777777" w:rsidR="00584EC1" w:rsidRDefault="00871F8D">
      <w:pPr>
        <w:spacing w:before="100"/>
        <w:ind w:firstLine="450"/>
        <w:jc w:val="center"/>
      </w:pPr>
      <w:r>
        <w:rPr>
          <w:rFonts w:ascii="Arial" w:eastAsia="宋体" w:hAnsi="Arial" w:cs="Arial"/>
          <w:b/>
          <w:bCs/>
          <w:color w:val="000000"/>
          <w:sz w:val="18"/>
          <w:szCs w:val="18"/>
        </w:rPr>
        <w:t xml:space="preserve">Commission File No. 001-07511 </w:t>
      </w:r>
    </w:p>
    <w:p w14:paraId="74DD5DA2" w14:textId="77777777" w:rsidR="00584EC1" w:rsidRDefault="00871F8D">
      <w:pPr>
        <w:spacing w:before="100"/>
        <w:ind w:firstLine="450"/>
        <w:jc w:val="center"/>
      </w:pPr>
      <w:r>
        <w:rPr>
          <w:rFonts w:ascii="Arial" w:eastAsia="宋体" w:hAnsi="Arial" w:cs="Arial"/>
          <w:b/>
          <w:bCs/>
          <w:color w:val="000000"/>
          <w:sz w:val="36"/>
          <w:szCs w:val="36"/>
        </w:rPr>
        <w:t xml:space="preserve">STATE STREET CORPORATION </w:t>
      </w:r>
    </w:p>
    <w:p w14:paraId="74DD5DA3" w14:textId="77777777" w:rsidR="00584EC1" w:rsidRDefault="00871F8D">
      <w:pPr>
        <w:ind w:firstLine="450"/>
        <w:jc w:val="center"/>
      </w:pPr>
      <w:r>
        <w:rPr>
          <w:rFonts w:ascii="Arial" w:eastAsia="宋体" w:hAnsi="Arial" w:cs="Arial"/>
          <w:color w:val="000000"/>
          <w:sz w:val="20"/>
          <w:szCs w:val="20"/>
        </w:rPr>
        <w:t>(Exact name of registrant as specified in its charter)</w:t>
      </w:r>
    </w:p>
    <w:tbl>
      <w:tblPr>
        <w:tblW w:w="4708" w:type="pct"/>
        <w:jc w:val="center"/>
        <w:tblCellMar>
          <w:top w:w="15" w:type="dxa"/>
          <w:left w:w="15" w:type="dxa"/>
          <w:bottom w:w="15" w:type="dxa"/>
          <w:right w:w="15" w:type="dxa"/>
        </w:tblCellMar>
        <w:tblLook w:val="04A0" w:firstRow="1" w:lastRow="0" w:firstColumn="1" w:lastColumn="0" w:noHBand="0" w:noVBand="1"/>
      </w:tblPr>
      <w:tblGrid>
        <w:gridCol w:w="58"/>
        <w:gridCol w:w="1156"/>
        <w:gridCol w:w="39"/>
        <w:gridCol w:w="58"/>
        <w:gridCol w:w="1295"/>
        <w:gridCol w:w="36"/>
        <w:gridCol w:w="59"/>
        <w:gridCol w:w="1146"/>
        <w:gridCol w:w="36"/>
        <w:gridCol w:w="59"/>
        <w:gridCol w:w="461"/>
        <w:gridCol w:w="37"/>
        <w:gridCol w:w="75"/>
        <w:gridCol w:w="588"/>
        <w:gridCol w:w="37"/>
        <w:gridCol w:w="36"/>
        <w:gridCol w:w="110"/>
        <w:gridCol w:w="36"/>
        <w:gridCol w:w="59"/>
        <w:gridCol w:w="322"/>
        <w:gridCol w:w="36"/>
        <w:gridCol w:w="59"/>
        <w:gridCol w:w="1747"/>
        <w:gridCol w:w="36"/>
        <w:gridCol w:w="36"/>
        <w:gridCol w:w="196"/>
        <w:gridCol w:w="36"/>
      </w:tblGrid>
      <w:tr w:rsidR="00584EC1" w14:paraId="74DD5DBF" w14:textId="77777777">
        <w:trPr>
          <w:jc w:val="center"/>
        </w:trPr>
        <w:tc>
          <w:tcPr>
            <w:tcW w:w="50" w:type="pct"/>
            <w:shd w:val="clear" w:color="auto" w:fill="auto"/>
            <w:vAlign w:val="bottom"/>
          </w:tcPr>
          <w:p w14:paraId="74DD5DA4" w14:textId="77777777" w:rsidR="00584EC1" w:rsidRDefault="00584EC1">
            <w:pPr>
              <w:rPr>
                <w:rFonts w:ascii="宋体"/>
              </w:rPr>
            </w:pPr>
          </w:p>
        </w:tc>
        <w:tc>
          <w:tcPr>
            <w:tcW w:w="748" w:type="pct"/>
            <w:shd w:val="clear" w:color="auto" w:fill="auto"/>
            <w:vAlign w:val="bottom"/>
          </w:tcPr>
          <w:p w14:paraId="74DD5DA5" w14:textId="77777777" w:rsidR="00584EC1" w:rsidRDefault="00584EC1">
            <w:pPr>
              <w:rPr>
                <w:rFonts w:ascii="宋体"/>
              </w:rPr>
            </w:pPr>
          </w:p>
        </w:tc>
        <w:tc>
          <w:tcPr>
            <w:tcW w:w="5" w:type="pct"/>
            <w:shd w:val="clear" w:color="auto" w:fill="auto"/>
            <w:vAlign w:val="bottom"/>
          </w:tcPr>
          <w:p w14:paraId="74DD5DA6" w14:textId="77777777" w:rsidR="00584EC1" w:rsidRDefault="00584EC1">
            <w:pPr>
              <w:rPr>
                <w:rFonts w:ascii="宋体"/>
              </w:rPr>
            </w:pPr>
          </w:p>
        </w:tc>
        <w:tc>
          <w:tcPr>
            <w:tcW w:w="50" w:type="pct"/>
            <w:shd w:val="clear" w:color="auto" w:fill="auto"/>
            <w:vAlign w:val="bottom"/>
          </w:tcPr>
          <w:p w14:paraId="74DD5DA7" w14:textId="77777777" w:rsidR="00584EC1" w:rsidRDefault="00584EC1">
            <w:pPr>
              <w:rPr>
                <w:rFonts w:ascii="宋体"/>
              </w:rPr>
            </w:pPr>
          </w:p>
        </w:tc>
        <w:tc>
          <w:tcPr>
            <w:tcW w:w="837" w:type="pct"/>
            <w:shd w:val="clear" w:color="auto" w:fill="auto"/>
            <w:vAlign w:val="bottom"/>
          </w:tcPr>
          <w:p w14:paraId="74DD5DA8" w14:textId="77777777" w:rsidR="00584EC1" w:rsidRDefault="00584EC1">
            <w:pPr>
              <w:rPr>
                <w:rFonts w:ascii="宋体"/>
              </w:rPr>
            </w:pPr>
          </w:p>
        </w:tc>
        <w:tc>
          <w:tcPr>
            <w:tcW w:w="5" w:type="pct"/>
            <w:shd w:val="clear" w:color="auto" w:fill="auto"/>
            <w:vAlign w:val="bottom"/>
          </w:tcPr>
          <w:p w14:paraId="74DD5DA9" w14:textId="77777777" w:rsidR="00584EC1" w:rsidRDefault="00584EC1">
            <w:pPr>
              <w:rPr>
                <w:rFonts w:ascii="宋体"/>
              </w:rPr>
            </w:pPr>
          </w:p>
        </w:tc>
        <w:tc>
          <w:tcPr>
            <w:tcW w:w="50" w:type="pct"/>
            <w:shd w:val="clear" w:color="auto" w:fill="auto"/>
            <w:vAlign w:val="bottom"/>
          </w:tcPr>
          <w:p w14:paraId="74DD5DAA" w14:textId="77777777" w:rsidR="00584EC1" w:rsidRDefault="00584EC1">
            <w:pPr>
              <w:rPr>
                <w:rFonts w:ascii="宋体"/>
              </w:rPr>
            </w:pPr>
          </w:p>
        </w:tc>
        <w:tc>
          <w:tcPr>
            <w:tcW w:w="741" w:type="pct"/>
            <w:shd w:val="clear" w:color="auto" w:fill="auto"/>
            <w:vAlign w:val="bottom"/>
          </w:tcPr>
          <w:p w14:paraId="74DD5DAB" w14:textId="77777777" w:rsidR="00584EC1" w:rsidRDefault="00584EC1">
            <w:pPr>
              <w:rPr>
                <w:rFonts w:ascii="宋体"/>
              </w:rPr>
            </w:pPr>
          </w:p>
        </w:tc>
        <w:tc>
          <w:tcPr>
            <w:tcW w:w="5" w:type="pct"/>
            <w:shd w:val="clear" w:color="auto" w:fill="auto"/>
            <w:vAlign w:val="bottom"/>
          </w:tcPr>
          <w:p w14:paraId="74DD5DAC" w14:textId="77777777" w:rsidR="00584EC1" w:rsidRDefault="00584EC1">
            <w:pPr>
              <w:rPr>
                <w:rFonts w:ascii="宋体"/>
              </w:rPr>
            </w:pPr>
          </w:p>
        </w:tc>
        <w:tc>
          <w:tcPr>
            <w:tcW w:w="50" w:type="pct"/>
            <w:shd w:val="clear" w:color="auto" w:fill="auto"/>
            <w:vAlign w:val="bottom"/>
          </w:tcPr>
          <w:p w14:paraId="74DD5DAD" w14:textId="77777777" w:rsidR="00584EC1" w:rsidRDefault="00584EC1">
            <w:pPr>
              <w:rPr>
                <w:rFonts w:ascii="宋体"/>
              </w:rPr>
            </w:pPr>
          </w:p>
        </w:tc>
        <w:tc>
          <w:tcPr>
            <w:tcW w:w="306" w:type="pct"/>
            <w:shd w:val="clear" w:color="auto" w:fill="auto"/>
            <w:vAlign w:val="bottom"/>
          </w:tcPr>
          <w:p w14:paraId="74DD5DAE" w14:textId="77777777" w:rsidR="00584EC1" w:rsidRDefault="00584EC1">
            <w:pPr>
              <w:rPr>
                <w:rFonts w:ascii="宋体"/>
              </w:rPr>
            </w:pPr>
          </w:p>
        </w:tc>
        <w:tc>
          <w:tcPr>
            <w:tcW w:w="5" w:type="pct"/>
            <w:shd w:val="clear" w:color="auto" w:fill="auto"/>
            <w:vAlign w:val="bottom"/>
          </w:tcPr>
          <w:p w14:paraId="74DD5DAF" w14:textId="77777777" w:rsidR="00584EC1" w:rsidRDefault="00584EC1">
            <w:pPr>
              <w:rPr>
                <w:rFonts w:ascii="宋体"/>
              </w:rPr>
            </w:pPr>
          </w:p>
        </w:tc>
        <w:tc>
          <w:tcPr>
            <w:tcW w:w="50" w:type="pct"/>
            <w:shd w:val="clear" w:color="auto" w:fill="auto"/>
            <w:vAlign w:val="bottom"/>
          </w:tcPr>
          <w:p w14:paraId="74DD5DB0" w14:textId="77777777" w:rsidR="00584EC1" w:rsidRDefault="00584EC1">
            <w:pPr>
              <w:rPr>
                <w:rFonts w:ascii="宋体"/>
              </w:rPr>
            </w:pPr>
          </w:p>
        </w:tc>
        <w:tc>
          <w:tcPr>
            <w:tcW w:w="394" w:type="pct"/>
            <w:shd w:val="clear" w:color="auto" w:fill="auto"/>
            <w:vAlign w:val="bottom"/>
          </w:tcPr>
          <w:p w14:paraId="74DD5DB1" w14:textId="77777777" w:rsidR="00584EC1" w:rsidRDefault="00584EC1">
            <w:pPr>
              <w:rPr>
                <w:rFonts w:ascii="宋体"/>
              </w:rPr>
            </w:pPr>
          </w:p>
        </w:tc>
        <w:tc>
          <w:tcPr>
            <w:tcW w:w="5" w:type="pct"/>
            <w:shd w:val="clear" w:color="auto" w:fill="auto"/>
            <w:vAlign w:val="bottom"/>
          </w:tcPr>
          <w:p w14:paraId="74DD5DB2" w14:textId="77777777" w:rsidR="00584EC1" w:rsidRDefault="00584EC1">
            <w:pPr>
              <w:rPr>
                <w:rFonts w:ascii="宋体"/>
              </w:rPr>
            </w:pPr>
          </w:p>
        </w:tc>
        <w:tc>
          <w:tcPr>
            <w:tcW w:w="5" w:type="pct"/>
            <w:shd w:val="clear" w:color="auto" w:fill="auto"/>
            <w:vAlign w:val="bottom"/>
          </w:tcPr>
          <w:p w14:paraId="74DD5DB3" w14:textId="77777777" w:rsidR="00584EC1" w:rsidRDefault="00584EC1">
            <w:pPr>
              <w:rPr>
                <w:rFonts w:ascii="宋体"/>
              </w:rPr>
            </w:pPr>
          </w:p>
        </w:tc>
        <w:tc>
          <w:tcPr>
            <w:tcW w:w="85" w:type="pct"/>
            <w:shd w:val="clear" w:color="auto" w:fill="auto"/>
            <w:vAlign w:val="bottom"/>
          </w:tcPr>
          <w:p w14:paraId="74DD5DB4" w14:textId="77777777" w:rsidR="00584EC1" w:rsidRDefault="00584EC1">
            <w:pPr>
              <w:rPr>
                <w:rFonts w:ascii="宋体"/>
              </w:rPr>
            </w:pPr>
          </w:p>
        </w:tc>
        <w:tc>
          <w:tcPr>
            <w:tcW w:w="5" w:type="pct"/>
            <w:shd w:val="clear" w:color="auto" w:fill="auto"/>
            <w:vAlign w:val="bottom"/>
          </w:tcPr>
          <w:p w14:paraId="74DD5DB5" w14:textId="77777777" w:rsidR="00584EC1" w:rsidRDefault="00584EC1">
            <w:pPr>
              <w:rPr>
                <w:rFonts w:ascii="宋体"/>
              </w:rPr>
            </w:pPr>
          </w:p>
        </w:tc>
        <w:tc>
          <w:tcPr>
            <w:tcW w:w="50" w:type="pct"/>
            <w:shd w:val="clear" w:color="auto" w:fill="auto"/>
            <w:vAlign w:val="bottom"/>
          </w:tcPr>
          <w:p w14:paraId="74DD5DB6" w14:textId="77777777" w:rsidR="00584EC1" w:rsidRDefault="00584EC1">
            <w:pPr>
              <w:rPr>
                <w:rFonts w:ascii="宋体"/>
              </w:rPr>
            </w:pPr>
          </w:p>
        </w:tc>
        <w:tc>
          <w:tcPr>
            <w:tcW w:w="217" w:type="pct"/>
            <w:shd w:val="clear" w:color="auto" w:fill="auto"/>
            <w:vAlign w:val="bottom"/>
          </w:tcPr>
          <w:p w14:paraId="74DD5DB7" w14:textId="77777777" w:rsidR="00584EC1" w:rsidRDefault="00584EC1">
            <w:pPr>
              <w:rPr>
                <w:rFonts w:ascii="宋体"/>
              </w:rPr>
            </w:pPr>
          </w:p>
        </w:tc>
        <w:tc>
          <w:tcPr>
            <w:tcW w:w="5" w:type="pct"/>
            <w:shd w:val="clear" w:color="auto" w:fill="auto"/>
            <w:vAlign w:val="bottom"/>
          </w:tcPr>
          <w:p w14:paraId="74DD5DB8" w14:textId="77777777" w:rsidR="00584EC1" w:rsidRDefault="00584EC1">
            <w:pPr>
              <w:rPr>
                <w:rFonts w:ascii="宋体"/>
              </w:rPr>
            </w:pPr>
          </w:p>
        </w:tc>
        <w:tc>
          <w:tcPr>
            <w:tcW w:w="50" w:type="pct"/>
            <w:shd w:val="clear" w:color="auto" w:fill="auto"/>
            <w:vAlign w:val="bottom"/>
          </w:tcPr>
          <w:p w14:paraId="74DD5DB9" w14:textId="77777777" w:rsidR="00584EC1" w:rsidRDefault="00584EC1">
            <w:pPr>
              <w:rPr>
                <w:rFonts w:ascii="宋体"/>
              </w:rPr>
            </w:pPr>
          </w:p>
        </w:tc>
        <w:tc>
          <w:tcPr>
            <w:tcW w:w="1124" w:type="pct"/>
            <w:shd w:val="clear" w:color="auto" w:fill="auto"/>
            <w:vAlign w:val="bottom"/>
          </w:tcPr>
          <w:p w14:paraId="74DD5DBA" w14:textId="77777777" w:rsidR="00584EC1" w:rsidRDefault="00584EC1">
            <w:pPr>
              <w:rPr>
                <w:rFonts w:ascii="宋体"/>
              </w:rPr>
            </w:pPr>
          </w:p>
        </w:tc>
        <w:tc>
          <w:tcPr>
            <w:tcW w:w="5" w:type="pct"/>
            <w:shd w:val="clear" w:color="auto" w:fill="auto"/>
            <w:vAlign w:val="bottom"/>
          </w:tcPr>
          <w:p w14:paraId="74DD5DBB" w14:textId="77777777" w:rsidR="00584EC1" w:rsidRDefault="00584EC1">
            <w:pPr>
              <w:rPr>
                <w:rFonts w:ascii="宋体"/>
              </w:rPr>
            </w:pPr>
          </w:p>
        </w:tc>
        <w:tc>
          <w:tcPr>
            <w:tcW w:w="5" w:type="pct"/>
            <w:shd w:val="clear" w:color="auto" w:fill="auto"/>
            <w:vAlign w:val="bottom"/>
          </w:tcPr>
          <w:p w14:paraId="74DD5DBC" w14:textId="77777777" w:rsidR="00584EC1" w:rsidRDefault="00584EC1">
            <w:pPr>
              <w:rPr>
                <w:rFonts w:ascii="宋体"/>
              </w:rPr>
            </w:pPr>
          </w:p>
        </w:tc>
        <w:tc>
          <w:tcPr>
            <w:tcW w:w="137" w:type="pct"/>
            <w:shd w:val="clear" w:color="auto" w:fill="auto"/>
            <w:vAlign w:val="bottom"/>
          </w:tcPr>
          <w:p w14:paraId="74DD5DBD" w14:textId="77777777" w:rsidR="00584EC1" w:rsidRDefault="00584EC1">
            <w:pPr>
              <w:rPr>
                <w:rFonts w:ascii="宋体"/>
              </w:rPr>
            </w:pPr>
          </w:p>
        </w:tc>
        <w:tc>
          <w:tcPr>
            <w:tcW w:w="5" w:type="pct"/>
            <w:shd w:val="clear" w:color="auto" w:fill="auto"/>
            <w:vAlign w:val="bottom"/>
          </w:tcPr>
          <w:p w14:paraId="74DD5DBE" w14:textId="77777777" w:rsidR="00584EC1" w:rsidRDefault="00584EC1">
            <w:pPr>
              <w:rPr>
                <w:rFonts w:ascii="宋体"/>
              </w:rPr>
            </w:pPr>
          </w:p>
        </w:tc>
      </w:tr>
      <w:tr w:rsidR="00584EC1" w14:paraId="74DD5DC8" w14:textId="77777777">
        <w:trPr>
          <w:jc w:val="center"/>
        </w:trPr>
        <w:tc>
          <w:tcPr>
            <w:tcW w:w="0" w:type="auto"/>
            <w:gridSpan w:val="6"/>
            <w:shd w:val="clear" w:color="auto" w:fill="auto"/>
            <w:tcMar>
              <w:top w:w="40" w:type="dxa"/>
              <w:left w:w="20" w:type="dxa"/>
              <w:bottom w:w="40" w:type="dxa"/>
              <w:right w:w="20" w:type="dxa"/>
            </w:tcMar>
            <w:vAlign w:val="bottom"/>
          </w:tcPr>
          <w:p w14:paraId="74DD5DC0" w14:textId="77777777" w:rsidR="00584EC1" w:rsidRDefault="00871F8D">
            <w:pPr>
              <w:jc w:val="center"/>
              <w:textAlignment w:val="bottom"/>
            </w:pPr>
            <w:r>
              <w:rPr>
                <w:rFonts w:ascii="Arial" w:eastAsia="宋体" w:hAnsi="Arial" w:cs="Arial"/>
                <w:b/>
                <w:bCs/>
                <w:color w:val="000000"/>
                <w:sz w:val="14"/>
                <w:szCs w:val="14"/>
              </w:rPr>
              <w:t>MA</w:t>
            </w:r>
          </w:p>
        </w:tc>
        <w:tc>
          <w:tcPr>
            <w:tcW w:w="0" w:type="auto"/>
            <w:gridSpan w:val="3"/>
            <w:shd w:val="clear" w:color="auto" w:fill="auto"/>
            <w:tcMar>
              <w:top w:w="0" w:type="dxa"/>
              <w:left w:w="20" w:type="dxa"/>
              <w:bottom w:w="0" w:type="dxa"/>
              <w:right w:w="20" w:type="dxa"/>
            </w:tcMar>
            <w:vAlign w:val="bottom"/>
          </w:tcPr>
          <w:p w14:paraId="74DD5DC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5DC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5DC3"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5DC4"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5DC5"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5DC6" w14:textId="77777777" w:rsidR="00584EC1" w:rsidRDefault="00871F8D">
            <w:pPr>
              <w:jc w:val="center"/>
              <w:textAlignment w:val="bottom"/>
            </w:pPr>
            <w:r>
              <w:rPr>
                <w:rFonts w:ascii="Arial" w:eastAsia="宋体" w:hAnsi="Arial" w:cs="Arial"/>
                <w:b/>
                <w:bCs/>
                <w:color w:val="000000"/>
                <w:sz w:val="14"/>
                <w:szCs w:val="14"/>
              </w:rPr>
              <w:t>04-2456637</w:t>
            </w:r>
          </w:p>
        </w:tc>
        <w:tc>
          <w:tcPr>
            <w:tcW w:w="0" w:type="auto"/>
            <w:gridSpan w:val="3"/>
            <w:shd w:val="clear" w:color="auto" w:fill="auto"/>
            <w:tcMar>
              <w:top w:w="0" w:type="dxa"/>
              <w:left w:w="20" w:type="dxa"/>
              <w:bottom w:w="0" w:type="dxa"/>
              <w:right w:w="20" w:type="dxa"/>
            </w:tcMar>
            <w:vAlign w:val="bottom"/>
          </w:tcPr>
          <w:p w14:paraId="74DD5DC7" w14:textId="77777777" w:rsidR="00584EC1" w:rsidRDefault="00584EC1">
            <w:pPr>
              <w:rPr>
                <w:rFonts w:ascii="宋体"/>
              </w:rPr>
            </w:pPr>
          </w:p>
        </w:tc>
      </w:tr>
      <w:tr w:rsidR="00584EC1" w14:paraId="74DD5DD1" w14:textId="77777777">
        <w:trPr>
          <w:jc w:val="center"/>
        </w:trPr>
        <w:tc>
          <w:tcPr>
            <w:tcW w:w="0" w:type="auto"/>
            <w:gridSpan w:val="6"/>
            <w:shd w:val="clear" w:color="auto" w:fill="auto"/>
            <w:tcMar>
              <w:top w:w="40" w:type="dxa"/>
              <w:left w:w="20" w:type="dxa"/>
              <w:bottom w:w="40" w:type="dxa"/>
              <w:right w:w="20" w:type="dxa"/>
            </w:tcMar>
            <w:vAlign w:val="bottom"/>
          </w:tcPr>
          <w:p w14:paraId="74DD5DC9" w14:textId="77777777" w:rsidR="00584EC1" w:rsidRDefault="00871F8D">
            <w:pPr>
              <w:jc w:val="center"/>
              <w:textAlignment w:val="bottom"/>
            </w:pPr>
            <w:r>
              <w:rPr>
                <w:rFonts w:ascii="Arial" w:eastAsia="宋体" w:hAnsi="Arial" w:cs="Arial"/>
                <w:color w:val="000000"/>
                <w:sz w:val="14"/>
                <w:szCs w:val="14"/>
              </w:rPr>
              <w:t>(State or other jurisdiction of incorporation)</w:t>
            </w:r>
          </w:p>
        </w:tc>
        <w:tc>
          <w:tcPr>
            <w:tcW w:w="0" w:type="auto"/>
            <w:gridSpan w:val="3"/>
            <w:shd w:val="clear" w:color="auto" w:fill="auto"/>
            <w:tcMar>
              <w:top w:w="0" w:type="dxa"/>
              <w:left w:w="20" w:type="dxa"/>
              <w:bottom w:w="0" w:type="dxa"/>
              <w:right w:w="20" w:type="dxa"/>
            </w:tcMar>
            <w:vAlign w:val="bottom"/>
          </w:tcPr>
          <w:p w14:paraId="74DD5DCA"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5DCB"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5DCC"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5DCD"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5DCE"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5DCF" w14:textId="77777777" w:rsidR="00584EC1" w:rsidRDefault="00871F8D">
            <w:pPr>
              <w:jc w:val="center"/>
              <w:textAlignment w:val="bottom"/>
            </w:pPr>
            <w:r>
              <w:rPr>
                <w:rFonts w:ascii="Arial" w:eastAsia="宋体" w:hAnsi="Arial" w:cs="Arial"/>
                <w:color w:val="000000"/>
                <w:sz w:val="14"/>
                <w:szCs w:val="14"/>
              </w:rPr>
              <w:t>(I.R.S. Employer Identification No.)</w:t>
            </w:r>
          </w:p>
        </w:tc>
        <w:tc>
          <w:tcPr>
            <w:tcW w:w="0" w:type="auto"/>
            <w:gridSpan w:val="3"/>
            <w:shd w:val="clear" w:color="auto" w:fill="auto"/>
            <w:tcMar>
              <w:top w:w="0" w:type="dxa"/>
              <w:left w:w="20" w:type="dxa"/>
              <w:bottom w:w="0" w:type="dxa"/>
              <w:right w:w="20" w:type="dxa"/>
            </w:tcMar>
            <w:vAlign w:val="bottom"/>
          </w:tcPr>
          <w:p w14:paraId="74DD5DD0" w14:textId="77777777" w:rsidR="00584EC1" w:rsidRDefault="00584EC1">
            <w:pPr>
              <w:rPr>
                <w:rFonts w:ascii="宋体"/>
              </w:rPr>
            </w:pPr>
          </w:p>
        </w:tc>
      </w:tr>
      <w:tr w:rsidR="00584EC1" w14:paraId="74DD5DDA" w14:textId="77777777">
        <w:trPr>
          <w:jc w:val="center"/>
        </w:trPr>
        <w:tc>
          <w:tcPr>
            <w:tcW w:w="0" w:type="auto"/>
            <w:gridSpan w:val="6"/>
            <w:shd w:val="clear" w:color="auto" w:fill="auto"/>
            <w:tcMar>
              <w:top w:w="40" w:type="dxa"/>
              <w:left w:w="20" w:type="dxa"/>
              <w:bottom w:w="40" w:type="dxa"/>
              <w:right w:w="20" w:type="dxa"/>
            </w:tcMar>
            <w:vAlign w:val="bottom"/>
          </w:tcPr>
          <w:p w14:paraId="74DD5DD2" w14:textId="77777777" w:rsidR="00584EC1" w:rsidRDefault="00871F8D">
            <w:pPr>
              <w:jc w:val="center"/>
              <w:textAlignment w:val="bottom"/>
            </w:pPr>
            <w:r>
              <w:rPr>
                <w:rFonts w:ascii="Arial" w:eastAsia="宋体" w:hAnsi="Arial" w:cs="Arial"/>
                <w:b/>
                <w:bCs/>
                <w:color w:val="000000"/>
                <w:sz w:val="14"/>
                <w:szCs w:val="14"/>
              </w:rPr>
              <w:t>One Lincoln Street</w:t>
            </w:r>
          </w:p>
        </w:tc>
        <w:tc>
          <w:tcPr>
            <w:tcW w:w="0" w:type="auto"/>
            <w:gridSpan w:val="3"/>
            <w:shd w:val="clear" w:color="auto" w:fill="auto"/>
            <w:tcMar>
              <w:top w:w="0" w:type="dxa"/>
              <w:left w:w="20" w:type="dxa"/>
              <w:bottom w:w="0" w:type="dxa"/>
              <w:right w:w="20" w:type="dxa"/>
            </w:tcMar>
            <w:vAlign w:val="bottom"/>
          </w:tcPr>
          <w:p w14:paraId="74DD5DD3"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5DD4"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5DD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5DD6"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5DD7"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5DD8"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5DD9" w14:textId="77777777" w:rsidR="00584EC1" w:rsidRDefault="00584EC1">
            <w:pPr>
              <w:rPr>
                <w:rFonts w:ascii="宋体"/>
              </w:rPr>
            </w:pPr>
          </w:p>
        </w:tc>
      </w:tr>
      <w:tr w:rsidR="00584EC1" w14:paraId="74DD5DE3" w14:textId="77777777">
        <w:trPr>
          <w:jc w:val="center"/>
        </w:trPr>
        <w:tc>
          <w:tcPr>
            <w:tcW w:w="0" w:type="auto"/>
            <w:gridSpan w:val="3"/>
            <w:shd w:val="clear" w:color="auto" w:fill="auto"/>
            <w:tcMar>
              <w:top w:w="40" w:type="dxa"/>
              <w:left w:w="20" w:type="dxa"/>
              <w:bottom w:w="40" w:type="dxa"/>
              <w:right w:w="20" w:type="dxa"/>
            </w:tcMar>
            <w:vAlign w:val="bottom"/>
          </w:tcPr>
          <w:p w14:paraId="74DD5DDB" w14:textId="77777777" w:rsidR="00584EC1" w:rsidRDefault="00871F8D">
            <w:pPr>
              <w:jc w:val="right"/>
              <w:textAlignment w:val="bottom"/>
            </w:pPr>
            <w:r>
              <w:rPr>
                <w:rFonts w:ascii="Arial" w:eastAsia="宋体" w:hAnsi="Arial" w:cs="Arial"/>
                <w:b/>
                <w:bCs/>
                <w:color w:val="000000"/>
                <w:sz w:val="14"/>
                <w:szCs w:val="14"/>
              </w:rPr>
              <w:t>Boston,</w:t>
            </w:r>
          </w:p>
        </w:tc>
        <w:tc>
          <w:tcPr>
            <w:tcW w:w="0" w:type="auto"/>
            <w:gridSpan w:val="3"/>
            <w:shd w:val="clear" w:color="auto" w:fill="auto"/>
            <w:tcMar>
              <w:top w:w="40" w:type="dxa"/>
              <w:left w:w="20" w:type="dxa"/>
              <w:bottom w:w="40" w:type="dxa"/>
              <w:right w:w="20" w:type="dxa"/>
            </w:tcMar>
            <w:vAlign w:val="bottom"/>
          </w:tcPr>
          <w:p w14:paraId="74DD5DDC" w14:textId="77777777" w:rsidR="00584EC1" w:rsidRDefault="00871F8D">
            <w:pPr>
              <w:textAlignment w:val="bottom"/>
            </w:pPr>
            <w:r>
              <w:rPr>
                <w:rFonts w:ascii="Arial" w:eastAsia="宋体" w:hAnsi="Arial" w:cs="Arial"/>
                <w:b/>
                <w:bCs/>
                <w:color w:val="000000"/>
                <w:sz w:val="14"/>
                <w:szCs w:val="14"/>
              </w:rPr>
              <w:t>MA</w:t>
            </w:r>
          </w:p>
        </w:tc>
        <w:tc>
          <w:tcPr>
            <w:tcW w:w="0" w:type="auto"/>
            <w:gridSpan w:val="6"/>
            <w:shd w:val="clear" w:color="auto" w:fill="auto"/>
            <w:tcMar>
              <w:top w:w="0" w:type="dxa"/>
              <w:left w:w="20" w:type="dxa"/>
              <w:bottom w:w="0" w:type="dxa"/>
              <w:right w:w="20" w:type="dxa"/>
            </w:tcMar>
            <w:vAlign w:val="bottom"/>
          </w:tcPr>
          <w:p w14:paraId="74DD5DDD"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5DDE"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5DDF"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5DE0"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5DE1" w14:textId="77777777" w:rsidR="00584EC1" w:rsidRDefault="00871F8D">
            <w:pPr>
              <w:jc w:val="center"/>
              <w:textAlignment w:val="bottom"/>
            </w:pPr>
            <w:r>
              <w:rPr>
                <w:rFonts w:ascii="Arial" w:eastAsia="宋体" w:hAnsi="Arial" w:cs="Arial"/>
                <w:b/>
                <w:bCs/>
                <w:color w:val="000000"/>
                <w:sz w:val="14"/>
                <w:szCs w:val="14"/>
              </w:rPr>
              <w:t>02111</w:t>
            </w:r>
          </w:p>
        </w:tc>
        <w:tc>
          <w:tcPr>
            <w:tcW w:w="0" w:type="auto"/>
            <w:gridSpan w:val="3"/>
            <w:shd w:val="clear" w:color="auto" w:fill="auto"/>
            <w:tcMar>
              <w:top w:w="0" w:type="dxa"/>
              <w:left w:w="20" w:type="dxa"/>
              <w:bottom w:w="0" w:type="dxa"/>
              <w:right w:w="20" w:type="dxa"/>
            </w:tcMar>
            <w:vAlign w:val="bottom"/>
          </w:tcPr>
          <w:p w14:paraId="74DD5DE2" w14:textId="77777777" w:rsidR="00584EC1" w:rsidRDefault="00584EC1">
            <w:pPr>
              <w:rPr>
                <w:rFonts w:ascii="宋体"/>
              </w:rPr>
            </w:pPr>
          </w:p>
        </w:tc>
      </w:tr>
      <w:tr w:rsidR="00584EC1" w14:paraId="74DD5DEB" w14:textId="77777777">
        <w:trPr>
          <w:jc w:val="center"/>
        </w:trPr>
        <w:tc>
          <w:tcPr>
            <w:tcW w:w="0" w:type="auto"/>
            <w:gridSpan w:val="6"/>
            <w:shd w:val="clear" w:color="auto" w:fill="auto"/>
            <w:tcMar>
              <w:top w:w="40" w:type="dxa"/>
              <w:left w:w="20" w:type="dxa"/>
              <w:bottom w:w="40" w:type="dxa"/>
              <w:right w:w="20" w:type="dxa"/>
            </w:tcMar>
            <w:vAlign w:val="bottom"/>
          </w:tcPr>
          <w:p w14:paraId="74DD5DE4" w14:textId="77777777" w:rsidR="00584EC1" w:rsidRDefault="00871F8D">
            <w:pPr>
              <w:jc w:val="center"/>
              <w:textAlignment w:val="bottom"/>
            </w:pPr>
            <w:r>
              <w:rPr>
                <w:rFonts w:ascii="Arial" w:eastAsia="宋体" w:hAnsi="Arial" w:cs="Arial"/>
                <w:color w:val="000000"/>
                <w:sz w:val="14"/>
                <w:szCs w:val="14"/>
              </w:rPr>
              <w:t>(Address of principal executive offices)</w:t>
            </w:r>
          </w:p>
        </w:tc>
        <w:tc>
          <w:tcPr>
            <w:tcW w:w="0" w:type="auto"/>
            <w:gridSpan w:val="6"/>
            <w:shd w:val="clear" w:color="auto" w:fill="auto"/>
            <w:tcMar>
              <w:top w:w="0" w:type="dxa"/>
              <w:left w:w="20" w:type="dxa"/>
              <w:bottom w:w="0" w:type="dxa"/>
              <w:right w:w="20" w:type="dxa"/>
            </w:tcMar>
            <w:vAlign w:val="bottom"/>
          </w:tcPr>
          <w:p w14:paraId="74DD5DE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5DE6"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5DE7"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5DE8"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5DE9" w14:textId="77777777" w:rsidR="00584EC1" w:rsidRDefault="00871F8D">
            <w:pPr>
              <w:jc w:val="center"/>
              <w:textAlignment w:val="bottom"/>
            </w:pPr>
            <w:r>
              <w:rPr>
                <w:rFonts w:ascii="Arial" w:eastAsia="宋体" w:hAnsi="Arial" w:cs="Arial"/>
                <w:color w:val="000000"/>
                <w:sz w:val="14"/>
                <w:szCs w:val="14"/>
              </w:rPr>
              <w:t>(Zip Code)</w:t>
            </w:r>
          </w:p>
        </w:tc>
        <w:tc>
          <w:tcPr>
            <w:tcW w:w="0" w:type="auto"/>
            <w:gridSpan w:val="3"/>
            <w:shd w:val="clear" w:color="auto" w:fill="auto"/>
            <w:tcMar>
              <w:top w:w="0" w:type="dxa"/>
              <w:left w:w="20" w:type="dxa"/>
              <w:bottom w:w="0" w:type="dxa"/>
              <w:right w:w="20" w:type="dxa"/>
            </w:tcMar>
            <w:vAlign w:val="bottom"/>
          </w:tcPr>
          <w:p w14:paraId="74DD5DEA" w14:textId="77777777" w:rsidR="00584EC1" w:rsidRDefault="00584EC1">
            <w:pPr>
              <w:rPr>
                <w:rFonts w:ascii="宋体"/>
              </w:rPr>
            </w:pPr>
          </w:p>
        </w:tc>
      </w:tr>
      <w:tr w:rsidR="00584EC1" w14:paraId="74DD5DF4" w14:textId="77777777">
        <w:trPr>
          <w:jc w:val="center"/>
        </w:trPr>
        <w:tc>
          <w:tcPr>
            <w:tcW w:w="0" w:type="auto"/>
            <w:gridSpan w:val="3"/>
            <w:shd w:val="clear" w:color="auto" w:fill="auto"/>
            <w:tcMar>
              <w:top w:w="0" w:type="dxa"/>
              <w:left w:w="20" w:type="dxa"/>
              <w:bottom w:w="0" w:type="dxa"/>
              <w:right w:w="20" w:type="dxa"/>
            </w:tcMar>
            <w:vAlign w:val="bottom"/>
          </w:tcPr>
          <w:p w14:paraId="74DD5DEC"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5DED"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5DEE" w14:textId="77777777" w:rsidR="00584EC1" w:rsidRDefault="00871F8D">
            <w:pPr>
              <w:jc w:val="right"/>
              <w:textAlignment w:val="bottom"/>
            </w:pPr>
            <w:r>
              <w:rPr>
                <w:rFonts w:ascii="Arial" w:eastAsia="宋体" w:hAnsi="Arial" w:cs="Arial"/>
                <w:b/>
                <w:bCs/>
                <w:color w:val="000000"/>
                <w:sz w:val="14"/>
                <w:szCs w:val="14"/>
              </w:rPr>
              <w:t>(617)</w:t>
            </w:r>
          </w:p>
        </w:tc>
        <w:tc>
          <w:tcPr>
            <w:tcW w:w="0" w:type="auto"/>
            <w:gridSpan w:val="6"/>
            <w:shd w:val="clear" w:color="auto" w:fill="auto"/>
            <w:tcMar>
              <w:top w:w="40" w:type="dxa"/>
              <w:left w:w="20" w:type="dxa"/>
              <w:bottom w:w="40" w:type="dxa"/>
              <w:right w:w="20" w:type="dxa"/>
            </w:tcMar>
            <w:vAlign w:val="bottom"/>
          </w:tcPr>
          <w:p w14:paraId="74DD5DEF" w14:textId="77777777" w:rsidR="00584EC1" w:rsidRDefault="00871F8D">
            <w:pPr>
              <w:textAlignment w:val="bottom"/>
            </w:pPr>
            <w:r>
              <w:rPr>
                <w:rFonts w:ascii="Arial" w:eastAsia="宋体" w:hAnsi="Arial" w:cs="Arial"/>
                <w:b/>
                <w:bCs/>
                <w:color w:val="000000"/>
                <w:sz w:val="14"/>
                <w:szCs w:val="14"/>
              </w:rPr>
              <w:t>786-3000</w:t>
            </w:r>
          </w:p>
        </w:tc>
        <w:tc>
          <w:tcPr>
            <w:tcW w:w="0" w:type="auto"/>
            <w:gridSpan w:val="3"/>
            <w:shd w:val="clear" w:color="auto" w:fill="auto"/>
            <w:tcMar>
              <w:top w:w="0" w:type="dxa"/>
              <w:left w:w="20" w:type="dxa"/>
              <w:bottom w:w="0" w:type="dxa"/>
              <w:right w:w="20" w:type="dxa"/>
            </w:tcMar>
            <w:vAlign w:val="bottom"/>
          </w:tcPr>
          <w:p w14:paraId="74DD5DF0"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5DF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5DF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5DF3" w14:textId="77777777" w:rsidR="00584EC1" w:rsidRDefault="00584EC1">
            <w:pPr>
              <w:rPr>
                <w:rFonts w:ascii="宋体"/>
              </w:rPr>
            </w:pPr>
          </w:p>
        </w:tc>
      </w:tr>
      <w:tr w:rsidR="00584EC1" w14:paraId="74DD5DFB" w14:textId="77777777">
        <w:trPr>
          <w:jc w:val="center"/>
        </w:trPr>
        <w:tc>
          <w:tcPr>
            <w:tcW w:w="0" w:type="auto"/>
            <w:gridSpan w:val="3"/>
            <w:shd w:val="clear" w:color="auto" w:fill="auto"/>
            <w:tcMar>
              <w:top w:w="0" w:type="dxa"/>
              <w:left w:w="20" w:type="dxa"/>
              <w:bottom w:w="0" w:type="dxa"/>
              <w:right w:w="20" w:type="dxa"/>
            </w:tcMar>
            <w:vAlign w:val="bottom"/>
          </w:tcPr>
          <w:p w14:paraId="74DD5DF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5DF6" w14:textId="77777777" w:rsidR="00584EC1" w:rsidRDefault="00584EC1">
            <w:pPr>
              <w:rPr>
                <w:rFonts w:ascii="宋体"/>
              </w:rPr>
            </w:pPr>
          </w:p>
        </w:tc>
        <w:tc>
          <w:tcPr>
            <w:tcW w:w="0" w:type="auto"/>
            <w:gridSpan w:val="12"/>
            <w:shd w:val="clear" w:color="auto" w:fill="auto"/>
            <w:tcMar>
              <w:top w:w="40" w:type="dxa"/>
              <w:left w:w="20" w:type="dxa"/>
              <w:bottom w:w="40" w:type="dxa"/>
              <w:right w:w="20" w:type="dxa"/>
            </w:tcMar>
            <w:vAlign w:val="bottom"/>
          </w:tcPr>
          <w:p w14:paraId="74DD5DF7" w14:textId="77777777" w:rsidR="00584EC1" w:rsidRDefault="00871F8D">
            <w:pPr>
              <w:jc w:val="center"/>
              <w:textAlignment w:val="bottom"/>
            </w:pPr>
            <w:r>
              <w:rPr>
                <w:rFonts w:ascii="Arial" w:eastAsia="宋体" w:hAnsi="Arial" w:cs="Arial"/>
                <w:color w:val="000000"/>
                <w:sz w:val="14"/>
                <w:szCs w:val="14"/>
              </w:rPr>
              <w:t>(Registrant's telephone number, including area code)</w:t>
            </w:r>
          </w:p>
        </w:tc>
        <w:tc>
          <w:tcPr>
            <w:tcW w:w="0" w:type="auto"/>
            <w:gridSpan w:val="3"/>
            <w:shd w:val="clear" w:color="auto" w:fill="auto"/>
            <w:tcMar>
              <w:top w:w="0" w:type="dxa"/>
              <w:left w:w="20" w:type="dxa"/>
              <w:bottom w:w="0" w:type="dxa"/>
              <w:right w:w="20" w:type="dxa"/>
            </w:tcMar>
            <w:vAlign w:val="bottom"/>
          </w:tcPr>
          <w:p w14:paraId="74DD5DF8"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5DF9"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5DFA" w14:textId="77777777" w:rsidR="00584EC1" w:rsidRDefault="00584EC1">
            <w:pPr>
              <w:rPr>
                <w:rFonts w:ascii="宋体"/>
              </w:rPr>
            </w:pPr>
          </w:p>
        </w:tc>
      </w:tr>
      <w:tr w:rsidR="00584EC1" w14:paraId="74DD5DFE" w14:textId="77777777">
        <w:trPr>
          <w:trHeight w:val="240"/>
          <w:jc w:val="center"/>
        </w:trPr>
        <w:tc>
          <w:tcPr>
            <w:tcW w:w="0" w:type="auto"/>
            <w:gridSpan w:val="24"/>
            <w:shd w:val="clear" w:color="auto" w:fill="auto"/>
            <w:tcMar>
              <w:top w:w="0" w:type="dxa"/>
              <w:left w:w="20" w:type="dxa"/>
              <w:bottom w:w="0" w:type="dxa"/>
              <w:right w:w="20" w:type="dxa"/>
            </w:tcMar>
            <w:vAlign w:val="bottom"/>
          </w:tcPr>
          <w:p w14:paraId="74DD5DFC"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5DFD" w14:textId="77777777" w:rsidR="00584EC1" w:rsidRDefault="00584EC1">
            <w:pPr>
              <w:rPr>
                <w:rFonts w:ascii="宋体"/>
              </w:rPr>
            </w:pPr>
          </w:p>
        </w:tc>
      </w:tr>
      <w:tr w:rsidR="00584EC1" w14:paraId="74DD5E01" w14:textId="77777777">
        <w:trPr>
          <w:jc w:val="center"/>
        </w:trPr>
        <w:tc>
          <w:tcPr>
            <w:tcW w:w="0" w:type="auto"/>
            <w:gridSpan w:val="24"/>
            <w:shd w:val="clear" w:color="auto" w:fill="auto"/>
            <w:tcMar>
              <w:top w:w="40" w:type="dxa"/>
              <w:left w:w="20" w:type="dxa"/>
              <w:bottom w:w="40" w:type="dxa"/>
              <w:right w:w="20" w:type="dxa"/>
            </w:tcMar>
            <w:vAlign w:val="bottom"/>
          </w:tcPr>
          <w:p w14:paraId="74DD5DFF" w14:textId="77777777" w:rsidR="00584EC1" w:rsidRDefault="00871F8D">
            <w:pPr>
              <w:textAlignment w:val="bottom"/>
            </w:pPr>
            <w:r>
              <w:rPr>
                <w:rFonts w:ascii="Arial" w:eastAsia="宋体" w:hAnsi="Arial" w:cs="Arial"/>
                <w:color w:val="000000"/>
                <w:sz w:val="13"/>
                <w:szCs w:val="13"/>
              </w:rPr>
              <w:t>Securities registered pursuant to Section 12(b) of the Act:</w:t>
            </w:r>
          </w:p>
        </w:tc>
        <w:tc>
          <w:tcPr>
            <w:tcW w:w="0" w:type="auto"/>
            <w:gridSpan w:val="3"/>
            <w:shd w:val="clear" w:color="auto" w:fill="auto"/>
            <w:tcMar>
              <w:top w:w="0" w:type="dxa"/>
              <w:left w:w="20" w:type="dxa"/>
              <w:bottom w:w="0" w:type="dxa"/>
              <w:right w:w="20" w:type="dxa"/>
            </w:tcMar>
            <w:vAlign w:val="bottom"/>
          </w:tcPr>
          <w:p w14:paraId="74DD5E00" w14:textId="77777777" w:rsidR="00584EC1" w:rsidRDefault="00584EC1">
            <w:pPr>
              <w:rPr>
                <w:rFonts w:ascii="宋体"/>
              </w:rPr>
            </w:pPr>
          </w:p>
        </w:tc>
      </w:tr>
      <w:tr w:rsidR="00584EC1" w14:paraId="74DD5E09" w14:textId="77777777">
        <w:trPr>
          <w:jc w:val="center"/>
        </w:trPr>
        <w:tc>
          <w:tcPr>
            <w:tcW w:w="0" w:type="auto"/>
            <w:gridSpan w:val="9"/>
            <w:tcBorders>
              <w:bottom w:val="single" w:sz="8" w:space="0" w:color="000000"/>
            </w:tcBorders>
            <w:shd w:val="clear" w:color="auto" w:fill="auto"/>
            <w:tcMar>
              <w:top w:w="40" w:type="dxa"/>
              <w:left w:w="20" w:type="dxa"/>
              <w:bottom w:w="40" w:type="dxa"/>
              <w:right w:w="20" w:type="dxa"/>
            </w:tcMar>
            <w:vAlign w:val="bottom"/>
          </w:tcPr>
          <w:p w14:paraId="74DD5E02" w14:textId="77777777" w:rsidR="00584EC1" w:rsidRDefault="00871F8D">
            <w:pPr>
              <w:jc w:val="center"/>
              <w:textAlignment w:val="bottom"/>
            </w:pPr>
            <w:r>
              <w:rPr>
                <w:rFonts w:ascii="Arial" w:eastAsia="宋体" w:hAnsi="Arial" w:cs="Arial"/>
                <w:b/>
                <w:bCs/>
                <w:color w:val="000000"/>
                <w:sz w:val="13"/>
                <w:szCs w:val="13"/>
              </w:rPr>
              <w:t>Title of Each Class</w:t>
            </w:r>
          </w:p>
        </w:tc>
        <w:tc>
          <w:tcPr>
            <w:tcW w:w="0" w:type="auto"/>
            <w:gridSpan w:val="3"/>
            <w:shd w:val="clear" w:color="auto" w:fill="auto"/>
            <w:tcMar>
              <w:top w:w="0" w:type="dxa"/>
              <w:left w:w="20" w:type="dxa"/>
              <w:bottom w:w="0" w:type="dxa"/>
              <w:right w:w="20" w:type="dxa"/>
            </w:tcMar>
            <w:vAlign w:val="bottom"/>
          </w:tcPr>
          <w:p w14:paraId="74DD5E03"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5E04" w14:textId="77777777" w:rsidR="00584EC1" w:rsidRDefault="00871F8D">
            <w:pPr>
              <w:jc w:val="center"/>
              <w:textAlignment w:val="bottom"/>
            </w:pPr>
            <w:r>
              <w:rPr>
                <w:rFonts w:ascii="Arial" w:eastAsia="宋体" w:hAnsi="Arial" w:cs="Arial"/>
                <w:b/>
                <w:bCs/>
                <w:color w:val="000000"/>
                <w:sz w:val="13"/>
                <w:szCs w:val="13"/>
              </w:rPr>
              <w:t>Trading Symbol(s)</w:t>
            </w:r>
          </w:p>
        </w:tc>
        <w:tc>
          <w:tcPr>
            <w:tcW w:w="0" w:type="auto"/>
            <w:gridSpan w:val="3"/>
            <w:shd w:val="clear" w:color="auto" w:fill="auto"/>
            <w:tcMar>
              <w:top w:w="0" w:type="dxa"/>
              <w:left w:w="20" w:type="dxa"/>
              <w:bottom w:w="0" w:type="dxa"/>
              <w:right w:w="20" w:type="dxa"/>
            </w:tcMar>
            <w:vAlign w:val="bottom"/>
          </w:tcPr>
          <w:p w14:paraId="74DD5E0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5E06"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5E07" w14:textId="77777777" w:rsidR="00584EC1" w:rsidRDefault="00871F8D">
            <w:pPr>
              <w:jc w:val="center"/>
              <w:textAlignment w:val="bottom"/>
            </w:pPr>
            <w:r>
              <w:rPr>
                <w:rFonts w:ascii="Arial" w:eastAsia="宋体" w:hAnsi="Arial" w:cs="Arial"/>
                <w:b/>
                <w:bCs/>
                <w:color w:val="000000"/>
                <w:sz w:val="13"/>
                <w:szCs w:val="13"/>
              </w:rPr>
              <w:t xml:space="preserve">Name of </w:t>
            </w:r>
            <w:r>
              <w:rPr>
                <w:rFonts w:ascii="Arial" w:eastAsia="宋体" w:hAnsi="Arial" w:cs="Arial"/>
                <w:b/>
                <w:bCs/>
                <w:color w:val="000000"/>
                <w:sz w:val="13"/>
                <w:szCs w:val="13"/>
              </w:rPr>
              <w:t>each exchange on which registered</w:t>
            </w:r>
          </w:p>
        </w:tc>
        <w:tc>
          <w:tcPr>
            <w:tcW w:w="0" w:type="auto"/>
            <w:gridSpan w:val="3"/>
            <w:shd w:val="clear" w:color="auto" w:fill="auto"/>
            <w:tcMar>
              <w:top w:w="0" w:type="dxa"/>
              <w:left w:w="20" w:type="dxa"/>
              <w:bottom w:w="0" w:type="dxa"/>
              <w:right w:w="20" w:type="dxa"/>
            </w:tcMar>
            <w:vAlign w:val="bottom"/>
          </w:tcPr>
          <w:p w14:paraId="74DD5E08" w14:textId="77777777" w:rsidR="00584EC1" w:rsidRDefault="00584EC1">
            <w:pPr>
              <w:rPr>
                <w:rFonts w:ascii="宋体"/>
              </w:rPr>
            </w:pPr>
          </w:p>
        </w:tc>
      </w:tr>
      <w:tr w:rsidR="00584EC1" w14:paraId="74DD5E11" w14:textId="77777777">
        <w:trPr>
          <w:jc w:val="center"/>
        </w:trPr>
        <w:tc>
          <w:tcPr>
            <w:tcW w:w="0" w:type="auto"/>
            <w:gridSpan w:val="9"/>
            <w:tcBorders>
              <w:top w:val="single" w:sz="8" w:space="0" w:color="000000"/>
            </w:tcBorders>
            <w:shd w:val="clear" w:color="auto" w:fill="auto"/>
            <w:tcMar>
              <w:top w:w="40" w:type="dxa"/>
              <w:left w:w="20" w:type="dxa"/>
              <w:bottom w:w="40" w:type="dxa"/>
              <w:right w:w="20" w:type="dxa"/>
            </w:tcMar>
          </w:tcPr>
          <w:p w14:paraId="74DD5E0A" w14:textId="77777777" w:rsidR="00584EC1" w:rsidRDefault="00871F8D">
            <w:pPr>
              <w:jc w:val="center"/>
              <w:textAlignment w:val="top"/>
            </w:pPr>
            <w:r>
              <w:rPr>
                <w:rFonts w:ascii="Arial" w:eastAsia="宋体" w:hAnsi="Arial" w:cs="Arial"/>
                <w:color w:val="000000"/>
                <w:sz w:val="13"/>
                <w:szCs w:val="13"/>
              </w:rPr>
              <w:t>Common Stock, $1 par value per share</w:t>
            </w:r>
          </w:p>
        </w:tc>
        <w:tc>
          <w:tcPr>
            <w:tcW w:w="0" w:type="auto"/>
            <w:gridSpan w:val="3"/>
            <w:shd w:val="clear" w:color="auto" w:fill="auto"/>
            <w:tcMar>
              <w:top w:w="0" w:type="dxa"/>
              <w:left w:w="20" w:type="dxa"/>
              <w:bottom w:w="0" w:type="dxa"/>
              <w:right w:w="20" w:type="dxa"/>
            </w:tcMar>
            <w:vAlign w:val="bottom"/>
          </w:tcPr>
          <w:p w14:paraId="74DD5E0B"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5E0C" w14:textId="77777777" w:rsidR="00584EC1" w:rsidRDefault="00871F8D">
            <w:pPr>
              <w:jc w:val="center"/>
              <w:textAlignment w:val="bottom"/>
            </w:pPr>
            <w:r>
              <w:rPr>
                <w:rFonts w:ascii="Arial" w:eastAsia="宋体" w:hAnsi="Arial" w:cs="Arial"/>
                <w:color w:val="000000"/>
                <w:sz w:val="13"/>
                <w:szCs w:val="13"/>
              </w:rPr>
              <w:t>STT</w:t>
            </w:r>
          </w:p>
        </w:tc>
        <w:tc>
          <w:tcPr>
            <w:tcW w:w="0" w:type="auto"/>
            <w:gridSpan w:val="3"/>
            <w:shd w:val="clear" w:color="auto" w:fill="auto"/>
            <w:tcMar>
              <w:top w:w="0" w:type="dxa"/>
              <w:left w:w="20" w:type="dxa"/>
              <w:bottom w:w="0" w:type="dxa"/>
              <w:right w:w="20" w:type="dxa"/>
            </w:tcMar>
            <w:vAlign w:val="bottom"/>
          </w:tcPr>
          <w:p w14:paraId="74DD5E0D"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5E0E"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74DD5E0F" w14:textId="77777777" w:rsidR="00584EC1" w:rsidRDefault="00871F8D">
            <w:pPr>
              <w:jc w:val="center"/>
              <w:textAlignment w:val="center"/>
            </w:pPr>
            <w:r>
              <w:rPr>
                <w:rFonts w:ascii="Arial" w:eastAsia="宋体" w:hAnsi="Arial" w:cs="Arial"/>
                <w:color w:val="000000"/>
                <w:sz w:val="13"/>
                <w:szCs w:val="13"/>
              </w:rPr>
              <w:t>New York Stock Exchange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5E10" w14:textId="77777777" w:rsidR="00584EC1" w:rsidRDefault="00584EC1">
            <w:pPr>
              <w:rPr>
                <w:rFonts w:ascii="宋体"/>
              </w:rPr>
            </w:pPr>
          </w:p>
        </w:tc>
      </w:tr>
      <w:tr w:rsidR="00584EC1" w14:paraId="74DD5E19" w14:textId="77777777">
        <w:trPr>
          <w:trHeight w:val="100"/>
          <w:jc w:val="center"/>
        </w:trPr>
        <w:tc>
          <w:tcPr>
            <w:tcW w:w="0" w:type="auto"/>
            <w:gridSpan w:val="9"/>
            <w:shd w:val="clear" w:color="auto" w:fill="auto"/>
            <w:tcMar>
              <w:top w:w="0" w:type="dxa"/>
              <w:left w:w="20" w:type="dxa"/>
              <w:bottom w:w="0" w:type="dxa"/>
              <w:right w:w="20" w:type="dxa"/>
            </w:tcMar>
            <w:vAlign w:val="bottom"/>
          </w:tcPr>
          <w:p w14:paraId="74DD5E1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5E13"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5E14"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5E1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5E16"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5E17"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5E18" w14:textId="77777777" w:rsidR="00584EC1" w:rsidRDefault="00584EC1">
            <w:pPr>
              <w:rPr>
                <w:rFonts w:ascii="宋体"/>
              </w:rPr>
            </w:pPr>
          </w:p>
        </w:tc>
      </w:tr>
      <w:tr w:rsidR="00584EC1" w14:paraId="74DD5E21" w14:textId="77777777">
        <w:trPr>
          <w:trHeight w:val="180"/>
          <w:jc w:val="center"/>
        </w:trPr>
        <w:tc>
          <w:tcPr>
            <w:tcW w:w="0" w:type="auto"/>
            <w:gridSpan w:val="9"/>
            <w:shd w:val="clear" w:color="auto" w:fill="auto"/>
            <w:tcMar>
              <w:top w:w="40" w:type="dxa"/>
              <w:left w:w="20" w:type="dxa"/>
              <w:bottom w:w="40" w:type="dxa"/>
              <w:right w:w="20" w:type="dxa"/>
            </w:tcMar>
          </w:tcPr>
          <w:p w14:paraId="74DD5E1A" w14:textId="77777777" w:rsidR="00584EC1" w:rsidRDefault="00871F8D">
            <w:pPr>
              <w:jc w:val="center"/>
              <w:textAlignment w:val="top"/>
            </w:pPr>
            <w:r>
              <w:rPr>
                <w:rFonts w:ascii="Arial" w:eastAsia="宋体" w:hAnsi="Arial" w:cs="Arial"/>
                <w:color w:val="000000"/>
                <w:sz w:val="13"/>
                <w:szCs w:val="13"/>
              </w:rPr>
              <w:t xml:space="preserve">Depositary Shares, each representing a 1/4,000th ownership interest in a share of </w:t>
            </w:r>
          </w:p>
        </w:tc>
        <w:tc>
          <w:tcPr>
            <w:tcW w:w="0" w:type="auto"/>
            <w:gridSpan w:val="3"/>
            <w:shd w:val="clear" w:color="auto" w:fill="auto"/>
            <w:tcMar>
              <w:top w:w="0" w:type="dxa"/>
              <w:left w:w="20" w:type="dxa"/>
              <w:bottom w:w="0" w:type="dxa"/>
              <w:right w:w="20" w:type="dxa"/>
            </w:tcMar>
            <w:vAlign w:val="bottom"/>
          </w:tcPr>
          <w:p w14:paraId="74DD5E1B" w14:textId="77777777" w:rsidR="00584EC1" w:rsidRDefault="00584EC1">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74DD5E1C" w14:textId="77777777" w:rsidR="00584EC1" w:rsidRDefault="00871F8D">
            <w:pPr>
              <w:jc w:val="center"/>
              <w:textAlignment w:val="center"/>
            </w:pPr>
            <w:r>
              <w:rPr>
                <w:rFonts w:ascii="Arial" w:eastAsia="宋体" w:hAnsi="Arial" w:cs="Arial"/>
                <w:color w:val="000000"/>
                <w:sz w:val="13"/>
                <w:szCs w:val="13"/>
              </w:rPr>
              <w:t>STT.PRD</w:t>
            </w:r>
          </w:p>
        </w:tc>
        <w:tc>
          <w:tcPr>
            <w:tcW w:w="0" w:type="auto"/>
            <w:gridSpan w:val="3"/>
            <w:shd w:val="clear" w:color="auto" w:fill="auto"/>
            <w:tcMar>
              <w:top w:w="0" w:type="dxa"/>
              <w:left w:w="20" w:type="dxa"/>
              <w:bottom w:w="0" w:type="dxa"/>
              <w:right w:w="20" w:type="dxa"/>
            </w:tcMar>
            <w:vAlign w:val="bottom"/>
          </w:tcPr>
          <w:p w14:paraId="74DD5E1D"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5E1E" w14:textId="77777777" w:rsidR="00584EC1" w:rsidRDefault="00584EC1">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74DD5E1F" w14:textId="77777777" w:rsidR="00584EC1" w:rsidRDefault="00871F8D">
            <w:pPr>
              <w:jc w:val="center"/>
              <w:textAlignment w:val="center"/>
            </w:pPr>
            <w:r>
              <w:rPr>
                <w:rFonts w:ascii="Arial" w:eastAsia="宋体" w:hAnsi="Arial" w:cs="Arial"/>
                <w:color w:val="000000"/>
                <w:sz w:val="13"/>
                <w:szCs w:val="13"/>
              </w:rPr>
              <w:t>New York Stock Exchange</w:t>
            </w:r>
          </w:p>
        </w:tc>
        <w:tc>
          <w:tcPr>
            <w:tcW w:w="0" w:type="auto"/>
            <w:gridSpan w:val="3"/>
            <w:shd w:val="clear" w:color="auto" w:fill="auto"/>
            <w:tcMar>
              <w:top w:w="0" w:type="dxa"/>
              <w:left w:w="20" w:type="dxa"/>
              <w:bottom w:w="0" w:type="dxa"/>
              <w:right w:w="20" w:type="dxa"/>
            </w:tcMar>
            <w:vAlign w:val="bottom"/>
          </w:tcPr>
          <w:p w14:paraId="74DD5E20" w14:textId="77777777" w:rsidR="00584EC1" w:rsidRDefault="00584EC1">
            <w:pPr>
              <w:rPr>
                <w:rFonts w:ascii="宋体"/>
              </w:rPr>
            </w:pPr>
          </w:p>
        </w:tc>
      </w:tr>
      <w:tr w:rsidR="00584EC1" w14:paraId="74DD5E29" w14:textId="77777777">
        <w:trPr>
          <w:trHeight w:val="300"/>
          <w:jc w:val="center"/>
        </w:trPr>
        <w:tc>
          <w:tcPr>
            <w:tcW w:w="0" w:type="auto"/>
            <w:gridSpan w:val="9"/>
            <w:shd w:val="clear" w:color="auto" w:fill="auto"/>
            <w:tcMar>
              <w:top w:w="40" w:type="dxa"/>
              <w:left w:w="20" w:type="dxa"/>
              <w:bottom w:w="40" w:type="dxa"/>
              <w:right w:w="20" w:type="dxa"/>
            </w:tcMar>
            <w:vAlign w:val="bottom"/>
          </w:tcPr>
          <w:p w14:paraId="74DD5E22" w14:textId="77777777" w:rsidR="00584EC1" w:rsidRDefault="00871F8D">
            <w:pPr>
              <w:jc w:val="center"/>
              <w:textAlignment w:val="bottom"/>
            </w:pPr>
            <w:r>
              <w:rPr>
                <w:rFonts w:ascii="Arial" w:eastAsia="宋体" w:hAnsi="Arial" w:cs="Arial"/>
                <w:color w:val="000000"/>
                <w:sz w:val="13"/>
                <w:szCs w:val="13"/>
              </w:rPr>
              <w:t>Fixed-to-Floating Rate Non-Cumulative Perpetual Preferred Stock, Series D, without par value per share</w:t>
            </w:r>
          </w:p>
        </w:tc>
        <w:tc>
          <w:tcPr>
            <w:tcW w:w="0" w:type="auto"/>
            <w:gridSpan w:val="3"/>
            <w:shd w:val="clear" w:color="auto" w:fill="auto"/>
            <w:tcMar>
              <w:top w:w="0" w:type="dxa"/>
              <w:left w:w="20" w:type="dxa"/>
              <w:bottom w:w="0" w:type="dxa"/>
              <w:right w:w="20" w:type="dxa"/>
            </w:tcMar>
            <w:vAlign w:val="bottom"/>
          </w:tcPr>
          <w:p w14:paraId="74DD5E23" w14:textId="77777777" w:rsidR="00584EC1" w:rsidRDefault="00584EC1">
            <w:pPr>
              <w:rPr>
                <w:rFonts w:ascii="宋体"/>
              </w:rPr>
            </w:pPr>
          </w:p>
        </w:tc>
        <w:tc>
          <w:tcPr>
            <w:tcW w:w="0" w:type="auto"/>
            <w:gridSpan w:val="3"/>
            <w:vMerge/>
            <w:shd w:val="clear" w:color="auto" w:fill="auto"/>
            <w:tcMar>
              <w:top w:w="40" w:type="dxa"/>
              <w:left w:w="20" w:type="dxa"/>
              <w:bottom w:w="40" w:type="dxa"/>
              <w:right w:w="20" w:type="dxa"/>
            </w:tcMar>
            <w:vAlign w:val="center"/>
          </w:tcPr>
          <w:p w14:paraId="74DD5E24"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5E2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5E26" w14:textId="77777777" w:rsidR="00584EC1" w:rsidRDefault="00584EC1">
            <w:pPr>
              <w:rPr>
                <w:rFonts w:ascii="宋体"/>
              </w:rPr>
            </w:pPr>
          </w:p>
        </w:tc>
        <w:tc>
          <w:tcPr>
            <w:tcW w:w="0" w:type="auto"/>
            <w:gridSpan w:val="3"/>
            <w:vMerge/>
            <w:shd w:val="clear" w:color="auto" w:fill="auto"/>
            <w:tcMar>
              <w:top w:w="40" w:type="dxa"/>
              <w:left w:w="20" w:type="dxa"/>
              <w:bottom w:w="40" w:type="dxa"/>
              <w:right w:w="20" w:type="dxa"/>
            </w:tcMar>
            <w:vAlign w:val="center"/>
          </w:tcPr>
          <w:p w14:paraId="74DD5E27"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5E28" w14:textId="77777777" w:rsidR="00584EC1" w:rsidRDefault="00584EC1">
            <w:pPr>
              <w:rPr>
                <w:rFonts w:ascii="宋体"/>
              </w:rPr>
            </w:pPr>
          </w:p>
        </w:tc>
      </w:tr>
      <w:tr w:rsidR="00584EC1" w14:paraId="74DD5E31" w14:textId="77777777">
        <w:trPr>
          <w:trHeight w:val="120"/>
          <w:jc w:val="center"/>
        </w:trPr>
        <w:tc>
          <w:tcPr>
            <w:tcW w:w="0" w:type="auto"/>
            <w:gridSpan w:val="9"/>
            <w:shd w:val="clear" w:color="auto" w:fill="auto"/>
            <w:tcMar>
              <w:top w:w="0" w:type="dxa"/>
              <w:left w:w="20" w:type="dxa"/>
              <w:bottom w:w="0" w:type="dxa"/>
              <w:right w:w="20" w:type="dxa"/>
            </w:tcMar>
            <w:vAlign w:val="bottom"/>
          </w:tcPr>
          <w:p w14:paraId="74DD5E2A"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5E2B"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5E2C"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5E2D"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5E2E"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5E2F"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5E30" w14:textId="77777777" w:rsidR="00584EC1" w:rsidRDefault="00584EC1">
            <w:pPr>
              <w:rPr>
                <w:rFonts w:ascii="宋体"/>
              </w:rPr>
            </w:pPr>
          </w:p>
        </w:tc>
      </w:tr>
      <w:tr w:rsidR="00584EC1" w14:paraId="74DD5E39" w14:textId="77777777">
        <w:trPr>
          <w:trHeight w:val="180"/>
          <w:jc w:val="center"/>
        </w:trPr>
        <w:tc>
          <w:tcPr>
            <w:tcW w:w="0" w:type="auto"/>
            <w:gridSpan w:val="9"/>
            <w:shd w:val="clear" w:color="auto" w:fill="auto"/>
            <w:tcMar>
              <w:top w:w="40" w:type="dxa"/>
              <w:left w:w="20" w:type="dxa"/>
              <w:bottom w:w="40" w:type="dxa"/>
              <w:right w:w="20" w:type="dxa"/>
            </w:tcMar>
          </w:tcPr>
          <w:p w14:paraId="74DD5E32" w14:textId="77777777" w:rsidR="00584EC1" w:rsidRDefault="00871F8D">
            <w:pPr>
              <w:jc w:val="center"/>
              <w:textAlignment w:val="top"/>
            </w:pPr>
            <w:r>
              <w:rPr>
                <w:rFonts w:ascii="Arial" w:eastAsia="宋体" w:hAnsi="Arial" w:cs="Arial"/>
                <w:color w:val="000000"/>
                <w:sz w:val="13"/>
                <w:szCs w:val="13"/>
              </w:rPr>
              <w:t xml:space="preserve">Depositary Shares, each representing a 1/4,000th ownership interest in a share of </w:t>
            </w:r>
          </w:p>
        </w:tc>
        <w:tc>
          <w:tcPr>
            <w:tcW w:w="0" w:type="auto"/>
            <w:gridSpan w:val="3"/>
            <w:shd w:val="clear" w:color="auto" w:fill="auto"/>
            <w:tcMar>
              <w:top w:w="0" w:type="dxa"/>
              <w:left w:w="20" w:type="dxa"/>
              <w:bottom w:w="0" w:type="dxa"/>
              <w:right w:w="20" w:type="dxa"/>
            </w:tcMar>
            <w:vAlign w:val="bottom"/>
          </w:tcPr>
          <w:p w14:paraId="74DD5E33" w14:textId="77777777" w:rsidR="00584EC1" w:rsidRDefault="00584EC1">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74DD5E34" w14:textId="77777777" w:rsidR="00584EC1" w:rsidRDefault="00871F8D">
            <w:pPr>
              <w:jc w:val="center"/>
              <w:textAlignment w:val="center"/>
            </w:pPr>
            <w:r>
              <w:rPr>
                <w:rFonts w:ascii="Arial" w:eastAsia="宋体" w:hAnsi="Arial" w:cs="Arial"/>
                <w:color w:val="000000"/>
                <w:sz w:val="13"/>
                <w:szCs w:val="13"/>
              </w:rPr>
              <w:t>STT.PRG</w:t>
            </w:r>
          </w:p>
        </w:tc>
        <w:tc>
          <w:tcPr>
            <w:tcW w:w="0" w:type="auto"/>
            <w:gridSpan w:val="3"/>
            <w:shd w:val="clear" w:color="auto" w:fill="auto"/>
            <w:tcMar>
              <w:top w:w="0" w:type="dxa"/>
              <w:left w:w="20" w:type="dxa"/>
              <w:bottom w:w="0" w:type="dxa"/>
              <w:right w:w="20" w:type="dxa"/>
            </w:tcMar>
            <w:vAlign w:val="bottom"/>
          </w:tcPr>
          <w:p w14:paraId="74DD5E3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5E36" w14:textId="77777777" w:rsidR="00584EC1" w:rsidRDefault="00584EC1">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74DD5E37" w14:textId="77777777" w:rsidR="00584EC1" w:rsidRDefault="00871F8D">
            <w:pPr>
              <w:jc w:val="center"/>
              <w:textAlignment w:val="center"/>
            </w:pPr>
            <w:r>
              <w:rPr>
                <w:rFonts w:ascii="Arial" w:eastAsia="宋体" w:hAnsi="Arial" w:cs="Arial"/>
                <w:color w:val="000000"/>
                <w:sz w:val="13"/>
                <w:szCs w:val="13"/>
              </w:rPr>
              <w:t>New York Stock Exchange</w:t>
            </w:r>
          </w:p>
        </w:tc>
        <w:tc>
          <w:tcPr>
            <w:tcW w:w="0" w:type="auto"/>
            <w:gridSpan w:val="3"/>
            <w:shd w:val="clear" w:color="auto" w:fill="auto"/>
            <w:tcMar>
              <w:top w:w="0" w:type="dxa"/>
              <w:left w:w="20" w:type="dxa"/>
              <w:bottom w:w="0" w:type="dxa"/>
              <w:right w:w="20" w:type="dxa"/>
            </w:tcMar>
            <w:vAlign w:val="bottom"/>
          </w:tcPr>
          <w:p w14:paraId="74DD5E38" w14:textId="77777777" w:rsidR="00584EC1" w:rsidRDefault="00584EC1">
            <w:pPr>
              <w:rPr>
                <w:rFonts w:ascii="宋体"/>
              </w:rPr>
            </w:pPr>
          </w:p>
        </w:tc>
      </w:tr>
      <w:tr w:rsidR="00584EC1" w14:paraId="74DD5E41" w14:textId="77777777">
        <w:trPr>
          <w:trHeight w:val="300"/>
          <w:jc w:val="center"/>
        </w:trPr>
        <w:tc>
          <w:tcPr>
            <w:tcW w:w="0" w:type="auto"/>
            <w:gridSpan w:val="9"/>
            <w:shd w:val="clear" w:color="auto" w:fill="auto"/>
            <w:tcMar>
              <w:top w:w="40" w:type="dxa"/>
              <w:left w:w="20" w:type="dxa"/>
              <w:bottom w:w="40" w:type="dxa"/>
              <w:right w:w="20" w:type="dxa"/>
            </w:tcMar>
            <w:vAlign w:val="bottom"/>
          </w:tcPr>
          <w:p w14:paraId="74DD5E3A" w14:textId="77777777" w:rsidR="00584EC1" w:rsidRDefault="00871F8D">
            <w:pPr>
              <w:jc w:val="center"/>
              <w:textAlignment w:val="bottom"/>
            </w:pPr>
            <w:r>
              <w:rPr>
                <w:rFonts w:ascii="Arial" w:eastAsia="宋体" w:hAnsi="Arial" w:cs="Arial"/>
                <w:color w:val="000000"/>
                <w:sz w:val="13"/>
                <w:szCs w:val="13"/>
              </w:rPr>
              <w:t>Fixed-to-Floating Rate Non-Cumulative Perpetual Preferred Stock, Series G, without par value per share</w:t>
            </w:r>
          </w:p>
        </w:tc>
        <w:tc>
          <w:tcPr>
            <w:tcW w:w="0" w:type="auto"/>
            <w:gridSpan w:val="3"/>
            <w:shd w:val="clear" w:color="auto" w:fill="auto"/>
            <w:tcMar>
              <w:top w:w="0" w:type="dxa"/>
              <w:left w:w="20" w:type="dxa"/>
              <w:bottom w:w="0" w:type="dxa"/>
              <w:right w:w="20" w:type="dxa"/>
            </w:tcMar>
            <w:vAlign w:val="bottom"/>
          </w:tcPr>
          <w:p w14:paraId="74DD5E3B" w14:textId="77777777" w:rsidR="00584EC1" w:rsidRDefault="00584EC1">
            <w:pPr>
              <w:rPr>
                <w:rFonts w:ascii="宋体"/>
              </w:rPr>
            </w:pPr>
          </w:p>
        </w:tc>
        <w:tc>
          <w:tcPr>
            <w:tcW w:w="0" w:type="auto"/>
            <w:gridSpan w:val="3"/>
            <w:vMerge/>
            <w:shd w:val="clear" w:color="auto" w:fill="auto"/>
            <w:tcMar>
              <w:top w:w="40" w:type="dxa"/>
              <w:left w:w="20" w:type="dxa"/>
              <w:bottom w:w="40" w:type="dxa"/>
              <w:right w:w="20" w:type="dxa"/>
            </w:tcMar>
            <w:vAlign w:val="center"/>
          </w:tcPr>
          <w:p w14:paraId="74DD5E3C"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5E3D"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5E3E" w14:textId="77777777" w:rsidR="00584EC1" w:rsidRDefault="00584EC1">
            <w:pPr>
              <w:rPr>
                <w:rFonts w:ascii="宋体"/>
              </w:rPr>
            </w:pPr>
          </w:p>
        </w:tc>
        <w:tc>
          <w:tcPr>
            <w:tcW w:w="0" w:type="auto"/>
            <w:gridSpan w:val="3"/>
            <w:vMerge/>
            <w:shd w:val="clear" w:color="auto" w:fill="auto"/>
            <w:tcMar>
              <w:top w:w="40" w:type="dxa"/>
              <w:left w:w="20" w:type="dxa"/>
              <w:bottom w:w="40" w:type="dxa"/>
              <w:right w:w="20" w:type="dxa"/>
            </w:tcMar>
            <w:vAlign w:val="center"/>
          </w:tcPr>
          <w:p w14:paraId="74DD5E3F"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5E40" w14:textId="77777777" w:rsidR="00584EC1" w:rsidRDefault="00584EC1">
            <w:pPr>
              <w:rPr>
                <w:rFonts w:ascii="宋体"/>
              </w:rPr>
            </w:pPr>
          </w:p>
        </w:tc>
      </w:tr>
    </w:tbl>
    <w:p w14:paraId="74DD5E42" w14:textId="77777777" w:rsidR="00584EC1" w:rsidRDefault="00584EC1">
      <w:pPr>
        <w:ind w:firstLine="450"/>
        <w:jc w:val="center"/>
      </w:pPr>
    </w:p>
    <w:p w14:paraId="74DD5E43" w14:textId="77777777" w:rsidR="00584EC1" w:rsidRDefault="00584EC1">
      <w:pPr>
        <w:ind w:firstLine="450"/>
        <w:jc w:val="center"/>
      </w:pPr>
    </w:p>
    <w:p w14:paraId="74DD5E44" w14:textId="77777777" w:rsidR="00584EC1" w:rsidRDefault="00871F8D">
      <w:pPr>
        <w:spacing w:before="50"/>
        <w:ind w:firstLine="450"/>
      </w:pPr>
      <w:r>
        <w:rPr>
          <w:rFonts w:ascii="Arial" w:eastAsia="宋体" w:hAnsi="Arial" w:cs="Arial"/>
          <w:color w:val="000000"/>
          <w:sz w:val="16"/>
          <w:szCs w:val="16"/>
        </w:rPr>
        <w:t xml:space="preserve">Indicate by check </w:t>
      </w:r>
      <w:r>
        <w:rPr>
          <w:rFonts w:ascii="Arial" w:eastAsia="宋体" w:hAnsi="Arial" w:cs="Arial"/>
          <w:color w:val="000000"/>
          <w:sz w:val="16"/>
          <w:szCs w:val="16"/>
        </w:rPr>
        <w:t>mark whether the registrant (1) has filed all reports required to be filed by Section 13 or 15(d) of the Securities Exchange Act of 1934 during the preceding 12 months (or for such shorter period that the registrant was required to file such reports) and (</w:t>
      </w:r>
      <w:r>
        <w:rPr>
          <w:rFonts w:ascii="Arial" w:eastAsia="宋体" w:hAnsi="Arial" w:cs="Arial"/>
          <w:color w:val="000000"/>
          <w:sz w:val="16"/>
          <w:szCs w:val="16"/>
        </w:rPr>
        <w:t>2) has been subject to such filing requirements for the past 90 days.  Yes  </w:t>
      </w:r>
      <w:r>
        <w:rPr>
          <w:rFonts w:ascii="Arial Unicode MS" w:eastAsia="Arial Unicode MS" w:hAnsi="Arial Unicode MS" w:cs="Arial Unicode MS"/>
          <w:color w:val="000000"/>
          <w:sz w:val="16"/>
          <w:szCs w:val="16"/>
        </w:rPr>
        <w:t>☒</w:t>
      </w:r>
      <w:r>
        <w:rPr>
          <w:rFonts w:ascii="Arial" w:eastAsia="宋体" w:hAnsi="Arial" w:cs="Arial"/>
          <w:color w:val="000000"/>
          <w:sz w:val="16"/>
          <w:szCs w:val="16"/>
        </w:rPr>
        <w:t>   No </w:t>
      </w:r>
      <w:r>
        <w:rPr>
          <w:rFonts w:ascii="Arial Unicode MS" w:eastAsia="Arial Unicode MS" w:hAnsi="Arial Unicode MS" w:cs="Arial Unicode MS" w:hint="eastAsia"/>
          <w:color w:val="000000"/>
          <w:sz w:val="16"/>
          <w:szCs w:val="16"/>
        </w:rPr>
        <w:t>☐</w:t>
      </w:r>
    </w:p>
    <w:p w14:paraId="74DD5E45" w14:textId="77777777" w:rsidR="00584EC1" w:rsidRDefault="00871F8D">
      <w:pPr>
        <w:spacing w:before="50"/>
        <w:ind w:firstLine="450"/>
      </w:pPr>
      <w:r>
        <w:rPr>
          <w:rFonts w:ascii="Arial" w:eastAsia="宋体" w:hAnsi="Arial" w:cs="Arial"/>
          <w:color w:val="000000"/>
          <w:sz w:val="16"/>
          <w:szCs w:val="16"/>
        </w:rPr>
        <w:lastRenderedPageBreak/>
        <w:t xml:space="preserve">Indicate by check mark whether the registrant has submitted electronically every Interactive Data File required to be submitted pursuant to Rule 405 of </w:t>
      </w:r>
      <w:r>
        <w:rPr>
          <w:rFonts w:ascii="Arial" w:eastAsia="宋体" w:hAnsi="Arial" w:cs="Arial"/>
          <w:color w:val="000000"/>
          <w:sz w:val="16"/>
          <w:szCs w:val="16"/>
        </w:rPr>
        <w:t>Regulation S-T (§ 232.405 of this chapter) during the preceding 12 months (or for such shorter period that the registrant was required to submit such files).  Yes  </w:t>
      </w:r>
      <w:r>
        <w:rPr>
          <w:rFonts w:ascii="Arial Unicode MS" w:eastAsia="Arial Unicode MS" w:hAnsi="Arial Unicode MS" w:cs="Arial Unicode MS" w:hint="eastAsia"/>
          <w:color w:val="000000"/>
          <w:sz w:val="16"/>
          <w:szCs w:val="16"/>
        </w:rPr>
        <w:t>☒</w:t>
      </w:r>
      <w:r>
        <w:rPr>
          <w:rFonts w:ascii="Arial" w:eastAsia="宋体" w:hAnsi="Arial" w:cs="Arial"/>
          <w:color w:val="000000"/>
          <w:sz w:val="16"/>
          <w:szCs w:val="16"/>
        </w:rPr>
        <w:t>   No </w:t>
      </w:r>
      <w:r>
        <w:rPr>
          <w:rFonts w:ascii="Arial Unicode MS" w:eastAsia="Arial Unicode MS" w:hAnsi="Arial Unicode MS" w:cs="Arial Unicode MS" w:hint="eastAsia"/>
          <w:color w:val="000000"/>
          <w:sz w:val="16"/>
          <w:szCs w:val="16"/>
        </w:rPr>
        <w:t>☐</w:t>
      </w:r>
    </w:p>
    <w:p w14:paraId="74DD5E46" w14:textId="77777777" w:rsidR="00584EC1" w:rsidRDefault="00871F8D">
      <w:pPr>
        <w:spacing w:before="50"/>
        <w:ind w:firstLine="450"/>
      </w:pPr>
      <w:r>
        <w:rPr>
          <w:rFonts w:ascii="Arial" w:eastAsia="宋体" w:hAnsi="Arial" w:cs="Arial"/>
          <w:color w:val="000000"/>
          <w:sz w:val="16"/>
          <w:szCs w:val="16"/>
        </w:rPr>
        <w:t>Indicate by check mark whether the registrant is a large accelerated filer, an acce</w:t>
      </w:r>
      <w:r>
        <w:rPr>
          <w:rFonts w:ascii="Arial" w:eastAsia="宋体" w:hAnsi="Arial" w:cs="Arial"/>
          <w:color w:val="000000"/>
          <w:sz w:val="16"/>
          <w:szCs w:val="16"/>
        </w:rPr>
        <w:t>lerated filer, a non-accelerated filer, a smaller reporting company, or an emerging growth company. See the definitions of "large accelerated filer", "accelerated filer", "smaller reporting company", and "emerging growth company" in Rule 12b-2 of the Excha</w:t>
      </w:r>
      <w:r>
        <w:rPr>
          <w:rFonts w:ascii="Arial" w:eastAsia="宋体" w:hAnsi="Arial" w:cs="Arial"/>
          <w:color w:val="000000"/>
          <w:sz w:val="16"/>
          <w:szCs w:val="16"/>
        </w:rPr>
        <w:t xml:space="preserve">nge Act. </w:t>
      </w:r>
    </w:p>
    <w:tbl>
      <w:tblPr>
        <w:tblW w:w="4563" w:type="pct"/>
        <w:tblCellMar>
          <w:top w:w="15" w:type="dxa"/>
          <w:left w:w="15" w:type="dxa"/>
          <w:bottom w:w="15" w:type="dxa"/>
          <w:right w:w="15" w:type="dxa"/>
        </w:tblCellMar>
        <w:tblLook w:val="04A0" w:firstRow="1" w:lastRow="0" w:firstColumn="1" w:lastColumn="0" w:noHBand="0" w:noVBand="1"/>
      </w:tblPr>
      <w:tblGrid>
        <w:gridCol w:w="49"/>
        <w:gridCol w:w="1373"/>
        <w:gridCol w:w="36"/>
        <w:gridCol w:w="37"/>
        <w:gridCol w:w="165"/>
        <w:gridCol w:w="36"/>
        <w:gridCol w:w="36"/>
        <w:gridCol w:w="63"/>
        <w:gridCol w:w="36"/>
        <w:gridCol w:w="51"/>
        <w:gridCol w:w="1151"/>
        <w:gridCol w:w="36"/>
        <w:gridCol w:w="37"/>
        <w:gridCol w:w="159"/>
        <w:gridCol w:w="36"/>
        <w:gridCol w:w="36"/>
        <w:gridCol w:w="87"/>
        <w:gridCol w:w="36"/>
        <w:gridCol w:w="57"/>
        <w:gridCol w:w="1437"/>
        <w:gridCol w:w="36"/>
        <w:gridCol w:w="49"/>
        <w:gridCol w:w="125"/>
        <w:gridCol w:w="36"/>
        <w:gridCol w:w="36"/>
        <w:gridCol w:w="73"/>
        <w:gridCol w:w="36"/>
        <w:gridCol w:w="95"/>
        <w:gridCol w:w="1893"/>
        <w:gridCol w:w="36"/>
        <w:gridCol w:w="37"/>
        <w:gridCol w:w="165"/>
        <w:gridCol w:w="36"/>
      </w:tblGrid>
      <w:tr w:rsidR="00584EC1" w14:paraId="74DD5E68" w14:textId="77777777">
        <w:tc>
          <w:tcPr>
            <w:tcW w:w="50" w:type="pct"/>
            <w:shd w:val="clear" w:color="auto" w:fill="auto"/>
            <w:vAlign w:val="bottom"/>
          </w:tcPr>
          <w:p w14:paraId="74DD5E47" w14:textId="77777777" w:rsidR="00584EC1" w:rsidRDefault="00584EC1">
            <w:pPr>
              <w:rPr>
                <w:rFonts w:ascii="宋体"/>
              </w:rPr>
            </w:pPr>
          </w:p>
        </w:tc>
        <w:tc>
          <w:tcPr>
            <w:tcW w:w="972" w:type="pct"/>
            <w:shd w:val="clear" w:color="auto" w:fill="auto"/>
            <w:vAlign w:val="bottom"/>
          </w:tcPr>
          <w:p w14:paraId="74DD5E48" w14:textId="77777777" w:rsidR="00584EC1" w:rsidRDefault="00584EC1">
            <w:pPr>
              <w:rPr>
                <w:rFonts w:ascii="宋体"/>
              </w:rPr>
            </w:pPr>
          </w:p>
        </w:tc>
        <w:tc>
          <w:tcPr>
            <w:tcW w:w="5" w:type="pct"/>
            <w:shd w:val="clear" w:color="auto" w:fill="auto"/>
            <w:vAlign w:val="bottom"/>
          </w:tcPr>
          <w:p w14:paraId="74DD5E49" w14:textId="77777777" w:rsidR="00584EC1" w:rsidRDefault="00584EC1">
            <w:pPr>
              <w:rPr>
                <w:rFonts w:ascii="宋体"/>
              </w:rPr>
            </w:pPr>
          </w:p>
        </w:tc>
        <w:tc>
          <w:tcPr>
            <w:tcW w:w="5" w:type="pct"/>
            <w:shd w:val="clear" w:color="auto" w:fill="auto"/>
            <w:vAlign w:val="bottom"/>
          </w:tcPr>
          <w:p w14:paraId="74DD5E4A" w14:textId="77777777" w:rsidR="00584EC1" w:rsidRDefault="00584EC1">
            <w:pPr>
              <w:rPr>
                <w:rFonts w:ascii="宋体"/>
              </w:rPr>
            </w:pPr>
          </w:p>
        </w:tc>
        <w:tc>
          <w:tcPr>
            <w:tcW w:w="119" w:type="pct"/>
            <w:shd w:val="clear" w:color="auto" w:fill="auto"/>
            <w:vAlign w:val="bottom"/>
          </w:tcPr>
          <w:p w14:paraId="74DD5E4B" w14:textId="77777777" w:rsidR="00584EC1" w:rsidRDefault="00584EC1">
            <w:pPr>
              <w:rPr>
                <w:rFonts w:ascii="宋体"/>
              </w:rPr>
            </w:pPr>
          </w:p>
        </w:tc>
        <w:tc>
          <w:tcPr>
            <w:tcW w:w="5" w:type="pct"/>
            <w:shd w:val="clear" w:color="auto" w:fill="auto"/>
            <w:vAlign w:val="bottom"/>
          </w:tcPr>
          <w:p w14:paraId="74DD5E4C" w14:textId="77777777" w:rsidR="00584EC1" w:rsidRDefault="00584EC1">
            <w:pPr>
              <w:rPr>
                <w:rFonts w:ascii="宋体"/>
              </w:rPr>
            </w:pPr>
          </w:p>
        </w:tc>
        <w:tc>
          <w:tcPr>
            <w:tcW w:w="5" w:type="pct"/>
            <w:shd w:val="clear" w:color="auto" w:fill="auto"/>
            <w:vAlign w:val="bottom"/>
          </w:tcPr>
          <w:p w14:paraId="74DD5E4D" w14:textId="77777777" w:rsidR="00584EC1" w:rsidRDefault="00584EC1">
            <w:pPr>
              <w:rPr>
                <w:rFonts w:ascii="宋体"/>
              </w:rPr>
            </w:pPr>
          </w:p>
        </w:tc>
        <w:tc>
          <w:tcPr>
            <w:tcW w:w="119" w:type="pct"/>
            <w:shd w:val="clear" w:color="auto" w:fill="auto"/>
            <w:vAlign w:val="bottom"/>
          </w:tcPr>
          <w:p w14:paraId="74DD5E4E" w14:textId="77777777" w:rsidR="00584EC1" w:rsidRDefault="00584EC1">
            <w:pPr>
              <w:rPr>
                <w:rFonts w:ascii="宋体"/>
              </w:rPr>
            </w:pPr>
          </w:p>
        </w:tc>
        <w:tc>
          <w:tcPr>
            <w:tcW w:w="5" w:type="pct"/>
            <w:shd w:val="clear" w:color="auto" w:fill="auto"/>
            <w:vAlign w:val="bottom"/>
          </w:tcPr>
          <w:p w14:paraId="74DD5E4F" w14:textId="77777777" w:rsidR="00584EC1" w:rsidRDefault="00584EC1">
            <w:pPr>
              <w:rPr>
                <w:rFonts w:ascii="宋体"/>
              </w:rPr>
            </w:pPr>
          </w:p>
        </w:tc>
        <w:tc>
          <w:tcPr>
            <w:tcW w:w="50" w:type="pct"/>
            <w:shd w:val="clear" w:color="auto" w:fill="auto"/>
            <w:vAlign w:val="bottom"/>
          </w:tcPr>
          <w:p w14:paraId="74DD5E50" w14:textId="77777777" w:rsidR="00584EC1" w:rsidRDefault="00584EC1">
            <w:pPr>
              <w:rPr>
                <w:rFonts w:ascii="宋体"/>
              </w:rPr>
            </w:pPr>
          </w:p>
        </w:tc>
        <w:tc>
          <w:tcPr>
            <w:tcW w:w="827" w:type="pct"/>
            <w:shd w:val="clear" w:color="auto" w:fill="auto"/>
            <w:vAlign w:val="bottom"/>
          </w:tcPr>
          <w:p w14:paraId="74DD5E51" w14:textId="77777777" w:rsidR="00584EC1" w:rsidRDefault="00584EC1">
            <w:pPr>
              <w:rPr>
                <w:rFonts w:ascii="宋体"/>
              </w:rPr>
            </w:pPr>
          </w:p>
        </w:tc>
        <w:tc>
          <w:tcPr>
            <w:tcW w:w="5" w:type="pct"/>
            <w:shd w:val="clear" w:color="auto" w:fill="auto"/>
            <w:vAlign w:val="bottom"/>
          </w:tcPr>
          <w:p w14:paraId="74DD5E52" w14:textId="77777777" w:rsidR="00584EC1" w:rsidRDefault="00584EC1">
            <w:pPr>
              <w:rPr>
                <w:rFonts w:ascii="宋体"/>
              </w:rPr>
            </w:pPr>
          </w:p>
        </w:tc>
        <w:tc>
          <w:tcPr>
            <w:tcW w:w="5" w:type="pct"/>
            <w:shd w:val="clear" w:color="auto" w:fill="auto"/>
            <w:vAlign w:val="bottom"/>
          </w:tcPr>
          <w:p w14:paraId="74DD5E53" w14:textId="77777777" w:rsidR="00584EC1" w:rsidRDefault="00584EC1">
            <w:pPr>
              <w:rPr>
                <w:rFonts w:ascii="宋体"/>
              </w:rPr>
            </w:pPr>
          </w:p>
        </w:tc>
        <w:tc>
          <w:tcPr>
            <w:tcW w:w="81" w:type="pct"/>
            <w:shd w:val="clear" w:color="auto" w:fill="auto"/>
            <w:vAlign w:val="bottom"/>
          </w:tcPr>
          <w:p w14:paraId="74DD5E54" w14:textId="77777777" w:rsidR="00584EC1" w:rsidRDefault="00584EC1">
            <w:pPr>
              <w:rPr>
                <w:rFonts w:ascii="宋体"/>
              </w:rPr>
            </w:pPr>
          </w:p>
        </w:tc>
        <w:tc>
          <w:tcPr>
            <w:tcW w:w="5" w:type="pct"/>
            <w:shd w:val="clear" w:color="auto" w:fill="auto"/>
            <w:vAlign w:val="bottom"/>
          </w:tcPr>
          <w:p w14:paraId="74DD5E55" w14:textId="77777777" w:rsidR="00584EC1" w:rsidRDefault="00584EC1">
            <w:pPr>
              <w:rPr>
                <w:rFonts w:ascii="宋体"/>
              </w:rPr>
            </w:pPr>
          </w:p>
        </w:tc>
        <w:tc>
          <w:tcPr>
            <w:tcW w:w="5" w:type="pct"/>
            <w:shd w:val="clear" w:color="auto" w:fill="auto"/>
            <w:vAlign w:val="bottom"/>
          </w:tcPr>
          <w:p w14:paraId="74DD5E56" w14:textId="77777777" w:rsidR="00584EC1" w:rsidRDefault="00584EC1">
            <w:pPr>
              <w:rPr>
                <w:rFonts w:ascii="宋体"/>
              </w:rPr>
            </w:pPr>
          </w:p>
        </w:tc>
        <w:tc>
          <w:tcPr>
            <w:tcW w:w="104" w:type="pct"/>
            <w:shd w:val="clear" w:color="auto" w:fill="auto"/>
            <w:vAlign w:val="bottom"/>
          </w:tcPr>
          <w:p w14:paraId="74DD5E57" w14:textId="77777777" w:rsidR="00584EC1" w:rsidRDefault="00584EC1">
            <w:pPr>
              <w:rPr>
                <w:rFonts w:ascii="宋体"/>
              </w:rPr>
            </w:pPr>
          </w:p>
        </w:tc>
        <w:tc>
          <w:tcPr>
            <w:tcW w:w="5" w:type="pct"/>
            <w:shd w:val="clear" w:color="auto" w:fill="auto"/>
            <w:vAlign w:val="bottom"/>
          </w:tcPr>
          <w:p w14:paraId="74DD5E58" w14:textId="77777777" w:rsidR="00584EC1" w:rsidRDefault="00584EC1">
            <w:pPr>
              <w:rPr>
                <w:rFonts w:ascii="宋体"/>
              </w:rPr>
            </w:pPr>
          </w:p>
        </w:tc>
        <w:tc>
          <w:tcPr>
            <w:tcW w:w="50" w:type="pct"/>
            <w:shd w:val="clear" w:color="auto" w:fill="auto"/>
            <w:vAlign w:val="bottom"/>
          </w:tcPr>
          <w:p w14:paraId="74DD5E59" w14:textId="77777777" w:rsidR="00584EC1" w:rsidRDefault="00584EC1">
            <w:pPr>
              <w:rPr>
                <w:rFonts w:ascii="宋体"/>
              </w:rPr>
            </w:pPr>
          </w:p>
        </w:tc>
        <w:tc>
          <w:tcPr>
            <w:tcW w:w="1018" w:type="pct"/>
            <w:shd w:val="clear" w:color="auto" w:fill="auto"/>
            <w:vAlign w:val="bottom"/>
          </w:tcPr>
          <w:p w14:paraId="74DD5E5A" w14:textId="77777777" w:rsidR="00584EC1" w:rsidRDefault="00584EC1">
            <w:pPr>
              <w:rPr>
                <w:rFonts w:ascii="宋体"/>
              </w:rPr>
            </w:pPr>
          </w:p>
        </w:tc>
        <w:tc>
          <w:tcPr>
            <w:tcW w:w="5" w:type="pct"/>
            <w:shd w:val="clear" w:color="auto" w:fill="auto"/>
            <w:vAlign w:val="bottom"/>
          </w:tcPr>
          <w:p w14:paraId="74DD5E5B" w14:textId="77777777" w:rsidR="00584EC1" w:rsidRDefault="00584EC1">
            <w:pPr>
              <w:rPr>
                <w:rFonts w:ascii="宋体"/>
              </w:rPr>
            </w:pPr>
          </w:p>
        </w:tc>
        <w:tc>
          <w:tcPr>
            <w:tcW w:w="50" w:type="pct"/>
            <w:shd w:val="clear" w:color="auto" w:fill="auto"/>
            <w:vAlign w:val="bottom"/>
          </w:tcPr>
          <w:p w14:paraId="74DD5E5C" w14:textId="77777777" w:rsidR="00584EC1" w:rsidRDefault="00584EC1">
            <w:pPr>
              <w:rPr>
                <w:rFonts w:ascii="宋体"/>
              </w:rPr>
            </w:pPr>
          </w:p>
        </w:tc>
        <w:tc>
          <w:tcPr>
            <w:tcW w:w="127" w:type="pct"/>
            <w:shd w:val="clear" w:color="auto" w:fill="auto"/>
            <w:vAlign w:val="bottom"/>
          </w:tcPr>
          <w:p w14:paraId="74DD5E5D" w14:textId="77777777" w:rsidR="00584EC1" w:rsidRDefault="00584EC1">
            <w:pPr>
              <w:rPr>
                <w:rFonts w:ascii="宋体"/>
              </w:rPr>
            </w:pPr>
          </w:p>
        </w:tc>
        <w:tc>
          <w:tcPr>
            <w:tcW w:w="5" w:type="pct"/>
            <w:shd w:val="clear" w:color="auto" w:fill="auto"/>
            <w:vAlign w:val="bottom"/>
          </w:tcPr>
          <w:p w14:paraId="74DD5E5E" w14:textId="77777777" w:rsidR="00584EC1" w:rsidRDefault="00584EC1">
            <w:pPr>
              <w:rPr>
                <w:rFonts w:ascii="宋体"/>
              </w:rPr>
            </w:pPr>
          </w:p>
        </w:tc>
        <w:tc>
          <w:tcPr>
            <w:tcW w:w="50" w:type="pct"/>
            <w:shd w:val="clear" w:color="auto" w:fill="auto"/>
            <w:vAlign w:val="bottom"/>
          </w:tcPr>
          <w:p w14:paraId="74DD5E5F" w14:textId="77777777" w:rsidR="00584EC1" w:rsidRDefault="00584EC1">
            <w:pPr>
              <w:rPr>
                <w:rFonts w:ascii="宋体"/>
              </w:rPr>
            </w:pPr>
          </w:p>
        </w:tc>
        <w:tc>
          <w:tcPr>
            <w:tcW w:w="127" w:type="pct"/>
            <w:shd w:val="clear" w:color="auto" w:fill="auto"/>
            <w:vAlign w:val="bottom"/>
          </w:tcPr>
          <w:p w14:paraId="74DD5E60" w14:textId="77777777" w:rsidR="00584EC1" w:rsidRDefault="00584EC1">
            <w:pPr>
              <w:rPr>
                <w:rFonts w:ascii="宋体"/>
              </w:rPr>
            </w:pPr>
          </w:p>
        </w:tc>
        <w:tc>
          <w:tcPr>
            <w:tcW w:w="5" w:type="pct"/>
            <w:shd w:val="clear" w:color="auto" w:fill="auto"/>
            <w:vAlign w:val="bottom"/>
          </w:tcPr>
          <w:p w14:paraId="74DD5E61" w14:textId="77777777" w:rsidR="00584EC1" w:rsidRDefault="00584EC1">
            <w:pPr>
              <w:rPr>
                <w:rFonts w:ascii="宋体"/>
              </w:rPr>
            </w:pPr>
          </w:p>
        </w:tc>
        <w:tc>
          <w:tcPr>
            <w:tcW w:w="50" w:type="pct"/>
            <w:shd w:val="clear" w:color="auto" w:fill="auto"/>
            <w:vAlign w:val="bottom"/>
          </w:tcPr>
          <w:p w14:paraId="74DD5E62" w14:textId="77777777" w:rsidR="00584EC1" w:rsidRDefault="00584EC1">
            <w:pPr>
              <w:rPr>
                <w:rFonts w:ascii="宋体"/>
              </w:rPr>
            </w:pPr>
          </w:p>
        </w:tc>
        <w:tc>
          <w:tcPr>
            <w:tcW w:w="1002" w:type="pct"/>
            <w:shd w:val="clear" w:color="auto" w:fill="auto"/>
            <w:vAlign w:val="bottom"/>
          </w:tcPr>
          <w:p w14:paraId="74DD5E63" w14:textId="77777777" w:rsidR="00584EC1" w:rsidRDefault="00584EC1">
            <w:pPr>
              <w:rPr>
                <w:rFonts w:ascii="宋体"/>
              </w:rPr>
            </w:pPr>
          </w:p>
        </w:tc>
        <w:tc>
          <w:tcPr>
            <w:tcW w:w="5" w:type="pct"/>
            <w:shd w:val="clear" w:color="auto" w:fill="auto"/>
            <w:vAlign w:val="bottom"/>
          </w:tcPr>
          <w:p w14:paraId="74DD5E64" w14:textId="77777777" w:rsidR="00584EC1" w:rsidRDefault="00584EC1">
            <w:pPr>
              <w:rPr>
                <w:rFonts w:ascii="宋体"/>
              </w:rPr>
            </w:pPr>
          </w:p>
        </w:tc>
        <w:tc>
          <w:tcPr>
            <w:tcW w:w="5" w:type="pct"/>
            <w:shd w:val="clear" w:color="auto" w:fill="auto"/>
            <w:vAlign w:val="bottom"/>
          </w:tcPr>
          <w:p w14:paraId="74DD5E65" w14:textId="77777777" w:rsidR="00584EC1" w:rsidRDefault="00584EC1">
            <w:pPr>
              <w:rPr>
                <w:rFonts w:ascii="宋体"/>
              </w:rPr>
            </w:pPr>
          </w:p>
        </w:tc>
        <w:tc>
          <w:tcPr>
            <w:tcW w:w="119" w:type="pct"/>
            <w:shd w:val="clear" w:color="auto" w:fill="auto"/>
            <w:vAlign w:val="bottom"/>
          </w:tcPr>
          <w:p w14:paraId="74DD5E66" w14:textId="77777777" w:rsidR="00584EC1" w:rsidRDefault="00584EC1">
            <w:pPr>
              <w:rPr>
                <w:rFonts w:ascii="宋体"/>
              </w:rPr>
            </w:pPr>
          </w:p>
        </w:tc>
        <w:tc>
          <w:tcPr>
            <w:tcW w:w="5" w:type="pct"/>
            <w:shd w:val="clear" w:color="auto" w:fill="auto"/>
            <w:vAlign w:val="bottom"/>
          </w:tcPr>
          <w:p w14:paraId="74DD5E67" w14:textId="77777777" w:rsidR="00584EC1" w:rsidRDefault="00584EC1">
            <w:pPr>
              <w:rPr>
                <w:rFonts w:ascii="宋体"/>
              </w:rPr>
            </w:pPr>
          </w:p>
        </w:tc>
      </w:tr>
      <w:tr w:rsidR="00584EC1" w14:paraId="74DD5E74" w14:textId="77777777">
        <w:tc>
          <w:tcPr>
            <w:tcW w:w="0" w:type="auto"/>
            <w:gridSpan w:val="3"/>
            <w:shd w:val="clear" w:color="auto" w:fill="auto"/>
            <w:tcMar>
              <w:top w:w="40" w:type="dxa"/>
              <w:left w:w="155" w:type="dxa"/>
              <w:bottom w:w="40" w:type="dxa"/>
              <w:right w:w="20" w:type="dxa"/>
            </w:tcMar>
            <w:vAlign w:val="bottom"/>
          </w:tcPr>
          <w:p w14:paraId="74DD5E69" w14:textId="77777777" w:rsidR="00584EC1" w:rsidRDefault="00871F8D">
            <w:pPr>
              <w:textAlignment w:val="bottom"/>
            </w:pPr>
            <w:r>
              <w:rPr>
                <w:rFonts w:ascii="Arial" w:eastAsia="宋体" w:hAnsi="Arial" w:cs="Arial"/>
                <w:color w:val="000000"/>
                <w:sz w:val="16"/>
                <w:szCs w:val="16"/>
              </w:rPr>
              <w:t>Large accelerated filer</w:t>
            </w:r>
          </w:p>
        </w:tc>
        <w:tc>
          <w:tcPr>
            <w:tcW w:w="0" w:type="auto"/>
            <w:gridSpan w:val="3"/>
            <w:shd w:val="clear" w:color="auto" w:fill="auto"/>
            <w:tcMar>
              <w:top w:w="40" w:type="dxa"/>
              <w:left w:w="20" w:type="dxa"/>
              <w:bottom w:w="40" w:type="dxa"/>
              <w:right w:w="20" w:type="dxa"/>
            </w:tcMar>
            <w:vAlign w:val="bottom"/>
          </w:tcPr>
          <w:p w14:paraId="74DD5E6A" w14:textId="77777777" w:rsidR="00584EC1" w:rsidRDefault="00871F8D">
            <w:pPr>
              <w:textAlignment w:val="bottom"/>
            </w:pPr>
            <w:r>
              <w:rPr>
                <w:rFonts w:ascii="Arial" w:eastAsia="宋体" w:hAnsi="Arial" w:cs="Arial"/>
                <w:color w:val="000000"/>
                <w:sz w:val="16"/>
                <w:szCs w:val="16"/>
              </w:rPr>
              <w:t>☒</w:t>
            </w:r>
          </w:p>
        </w:tc>
        <w:tc>
          <w:tcPr>
            <w:tcW w:w="0" w:type="auto"/>
            <w:gridSpan w:val="3"/>
            <w:shd w:val="clear" w:color="auto" w:fill="auto"/>
            <w:tcMar>
              <w:top w:w="0" w:type="dxa"/>
              <w:left w:w="20" w:type="dxa"/>
              <w:bottom w:w="0" w:type="dxa"/>
              <w:right w:w="20" w:type="dxa"/>
            </w:tcMar>
            <w:vAlign w:val="bottom"/>
          </w:tcPr>
          <w:p w14:paraId="74DD5E6B"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5E6C" w14:textId="77777777" w:rsidR="00584EC1" w:rsidRDefault="00871F8D">
            <w:pPr>
              <w:textAlignment w:val="bottom"/>
            </w:pPr>
            <w:r>
              <w:rPr>
                <w:rFonts w:ascii="Arial" w:eastAsia="宋体" w:hAnsi="Arial" w:cs="Arial"/>
                <w:color w:val="000000"/>
                <w:sz w:val="16"/>
                <w:szCs w:val="16"/>
              </w:rPr>
              <w:t>Accelerated filer </w:t>
            </w:r>
          </w:p>
        </w:tc>
        <w:tc>
          <w:tcPr>
            <w:tcW w:w="0" w:type="auto"/>
            <w:gridSpan w:val="3"/>
            <w:shd w:val="clear" w:color="auto" w:fill="auto"/>
            <w:tcMar>
              <w:top w:w="40" w:type="dxa"/>
              <w:left w:w="20" w:type="dxa"/>
              <w:bottom w:w="40" w:type="dxa"/>
              <w:right w:w="20" w:type="dxa"/>
            </w:tcMar>
            <w:vAlign w:val="bottom"/>
          </w:tcPr>
          <w:p w14:paraId="74DD5E6D" w14:textId="77777777" w:rsidR="00584EC1" w:rsidRDefault="00871F8D">
            <w:pPr>
              <w:textAlignment w:val="bottom"/>
            </w:pPr>
            <w:r>
              <w:rPr>
                <w:rFonts w:ascii="Arial" w:eastAsia="宋体" w:hAnsi="Arial" w:cs="Arial"/>
                <w:color w:val="000000"/>
                <w:sz w:val="16"/>
                <w:szCs w:val="16"/>
              </w:rPr>
              <w:t>☐</w:t>
            </w:r>
          </w:p>
        </w:tc>
        <w:tc>
          <w:tcPr>
            <w:tcW w:w="0" w:type="auto"/>
            <w:gridSpan w:val="3"/>
            <w:shd w:val="clear" w:color="auto" w:fill="auto"/>
            <w:tcMar>
              <w:top w:w="0" w:type="dxa"/>
              <w:left w:w="20" w:type="dxa"/>
              <w:bottom w:w="0" w:type="dxa"/>
              <w:right w:w="20" w:type="dxa"/>
            </w:tcMar>
            <w:vAlign w:val="bottom"/>
          </w:tcPr>
          <w:p w14:paraId="74DD5E6E"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5E6F" w14:textId="77777777" w:rsidR="00584EC1" w:rsidRDefault="00871F8D">
            <w:pPr>
              <w:textAlignment w:val="bottom"/>
            </w:pPr>
            <w:r>
              <w:rPr>
                <w:rFonts w:ascii="Arial" w:eastAsia="宋体" w:hAnsi="Arial" w:cs="Arial"/>
                <w:color w:val="000000"/>
                <w:sz w:val="16"/>
                <w:szCs w:val="16"/>
              </w:rPr>
              <w:t>Non-accelerated filer  </w:t>
            </w:r>
          </w:p>
        </w:tc>
        <w:tc>
          <w:tcPr>
            <w:tcW w:w="0" w:type="auto"/>
            <w:gridSpan w:val="3"/>
            <w:shd w:val="clear" w:color="auto" w:fill="auto"/>
            <w:tcMar>
              <w:top w:w="40" w:type="dxa"/>
              <w:left w:w="20" w:type="dxa"/>
              <w:bottom w:w="40" w:type="dxa"/>
              <w:right w:w="20" w:type="dxa"/>
            </w:tcMar>
            <w:vAlign w:val="bottom"/>
          </w:tcPr>
          <w:p w14:paraId="74DD5E70" w14:textId="77777777" w:rsidR="00584EC1" w:rsidRDefault="00871F8D">
            <w:pPr>
              <w:textAlignment w:val="bottom"/>
            </w:pPr>
            <w:r>
              <w:rPr>
                <w:rFonts w:ascii="Arial" w:eastAsia="宋体" w:hAnsi="Arial" w:cs="Arial"/>
                <w:color w:val="000000"/>
                <w:sz w:val="16"/>
                <w:szCs w:val="16"/>
              </w:rPr>
              <w:t>☐</w:t>
            </w:r>
          </w:p>
        </w:tc>
        <w:tc>
          <w:tcPr>
            <w:tcW w:w="0" w:type="auto"/>
            <w:gridSpan w:val="3"/>
            <w:shd w:val="clear" w:color="auto" w:fill="auto"/>
            <w:tcMar>
              <w:top w:w="0" w:type="dxa"/>
              <w:left w:w="20" w:type="dxa"/>
              <w:bottom w:w="0" w:type="dxa"/>
              <w:right w:w="20" w:type="dxa"/>
            </w:tcMar>
            <w:vAlign w:val="bottom"/>
          </w:tcPr>
          <w:p w14:paraId="74DD5E71"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5E72" w14:textId="77777777" w:rsidR="00584EC1" w:rsidRDefault="00871F8D">
            <w:pPr>
              <w:textAlignment w:val="bottom"/>
            </w:pPr>
            <w:r>
              <w:rPr>
                <w:rFonts w:ascii="Arial" w:eastAsia="宋体" w:hAnsi="Arial" w:cs="Arial"/>
                <w:color w:val="000000"/>
                <w:sz w:val="16"/>
                <w:szCs w:val="16"/>
              </w:rPr>
              <w:t>Smaller reporting company </w:t>
            </w:r>
          </w:p>
        </w:tc>
        <w:tc>
          <w:tcPr>
            <w:tcW w:w="0" w:type="auto"/>
            <w:gridSpan w:val="3"/>
            <w:shd w:val="clear" w:color="auto" w:fill="auto"/>
            <w:tcMar>
              <w:top w:w="40" w:type="dxa"/>
              <w:left w:w="20" w:type="dxa"/>
              <w:bottom w:w="40" w:type="dxa"/>
              <w:right w:w="20" w:type="dxa"/>
            </w:tcMar>
            <w:vAlign w:val="bottom"/>
          </w:tcPr>
          <w:p w14:paraId="74DD5E73" w14:textId="77777777" w:rsidR="00584EC1" w:rsidRDefault="00871F8D">
            <w:pPr>
              <w:textAlignment w:val="bottom"/>
            </w:pPr>
            <w:r>
              <w:rPr>
                <w:rFonts w:ascii="Arial" w:eastAsia="宋体" w:hAnsi="Arial" w:cs="Arial"/>
                <w:color w:val="000000"/>
                <w:sz w:val="16"/>
                <w:szCs w:val="16"/>
              </w:rPr>
              <w:t>☐</w:t>
            </w:r>
          </w:p>
        </w:tc>
      </w:tr>
      <w:tr w:rsidR="00584EC1" w14:paraId="74DD5E7D" w14:textId="77777777">
        <w:tc>
          <w:tcPr>
            <w:tcW w:w="0" w:type="auto"/>
            <w:gridSpan w:val="3"/>
            <w:shd w:val="clear" w:color="auto" w:fill="auto"/>
            <w:tcMar>
              <w:top w:w="40" w:type="dxa"/>
              <w:left w:w="155" w:type="dxa"/>
              <w:bottom w:w="40" w:type="dxa"/>
              <w:right w:w="20" w:type="dxa"/>
            </w:tcMar>
            <w:vAlign w:val="bottom"/>
          </w:tcPr>
          <w:p w14:paraId="74DD5E75" w14:textId="77777777" w:rsidR="00584EC1" w:rsidRDefault="00871F8D">
            <w:pPr>
              <w:textAlignment w:val="bottom"/>
            </w:pPr>
            <w:r>
              <w:rPr>
                <w:rFonts w:ascii="Arial" w:eastAsia="宋体" w:hAnsi="Arial" w:cs="Arial"/>
                <w:color w:val="000000"/>
                <w:sz w:val="16"/>
                <w:szCs w:val="16"/>
              </w:rPr>
              <w:t>Emerging growth company </w:t>
            </w:r>
          </w:p>
        </w:tc>
        <w:tc>
          <w:tcPr>
            <w:tcW w:w="0" w:type="auto"/>
            <w:gridSpan w:val="3"/>
            <w:shd w:val="clear" w:color="auto" w:fill="auto"/>
            <w:tcMar>
              <w:top w:w="40" w:type="dxa"/>
              <w:left w:w="20" w:type="dxa"/>
              <w:bottom w:w="40" w:type="dxa"/>
              <w:right w:w="20" w:type="dxa"/>
            </w:tcMar>
            <w:vAlign w:val="bottom"/>
          </w:tcPr>
          <w:p w14:paraId="74DD5E76" w14:textId="77777777" w:rsidR="00584EC1" w:rsidRDefault="00871F8D">
            <w:pPr>
              <w:textAlignment w:val="bottom"/>
            </w:pPr>
            <w:r>
              <w:rPr>
                <w:rFonts w:ascii="Arial" w:eastAsia="宋体" w:hAnsi="Arial" w:cs="Arial"/>
                <w:color w:val="000000"/>
                <w:sz w:val="16"/>
                <w:szCs w:val="16"/>
              </w:rPr>
              <w:t>☐</w:t>
            </w:r>
          </w:p>
        </w:tc>
        <w:tc>
          <w:tcPr>
            <w:tcW w:w="0" w:type="auto"/>
            <w:gridSpan w:val="3"/>
            <w:shd w:val="clear" w:color="auto" w:fill="auto"/>
            <w:tcMar>
              <w:top w:w="0" w:type="dxa"/>
              <w:left w:w="20" w:type="dxa"/>
              <w:bottom w:w="0" w:type="dxa"/>
              <w:right w:w="20" w:type="dxa"/>
            </w:tcMar>
            <w:vAlign w:val="bottom"/>
          </w:tcPr>
          <w:p w14:paraId="74DD5E77"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5E78"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5E79"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5E7A" w14:textId="77777777" w:rsidR="00584EC1" w:rsidRDefault="00584EC1">
            <w:pPr>
              <w:rPr>
                <w:rFonts w:ascii="宋体"/>
              </w:rPr>
            </w:pPr>
          </w:p>
        </w:tc>
        <w:tc>
          <w:tcPr>
            <w:tcW w:w="0" w:type="auto"/>
            <w:gridSpan w:val="12"/>
            <w:shd w:val="clear" w:color="auto" w:fill="auto"/>
            <w:tcMar>
              <w:top w:w="0" w:type="dxa"/>
              <w:left w:w="20" w:type="dxa"/>
              <w:bottom w:w="0" w:type="dxa"/>
              <w:right w:w="20" w:type="dxa"/>
            </w:tcMar>
            <w:vAlign w:val="bottom"/>
          </w:tcPr>
          <w:p w14:paraId="74DD5E7B"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5E7C" w14:textId="77777777" w:rsidR="00584EC1" w:rsidRDefault="00584EC1">
            <w:pPr>
              <w:rPr>
                <w:rFonts w:ascii="宋体"/>
              </w:rPr>
            </w:pPr>
          </w:p>
        </w:tc>
      </w:tr>
    </w:tbl>
    <w:p w14:paraId="74DD5E7E" w14:textId="77777777" w:rsidR="00584EC1" w:rsidRDefault="00871F8D">
      <w:pPr>
        <w:ind w:firstLine="450"/>
      </w:pPr>
      <w:r>
        <w:rPr>
          <w:rFonts w:ascii="Arial" w:eastAsia="宋体" w:hAnsi="Arial" w:cs="Arial"/>
          <w:color w:val="000000"/>
          <w:sz w:val="16"/>
          <w:szCs w:val="16"/>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宋体" w:hAnsi="Wingdings" w:cs="Wingdings"/>
          <w:color w:val="000000"/>
          <w:sz w:val="16"/>
          <w:szCs w:val="16"/>
        </w:rPr>
        <w:t>¨</w:t>
      </w:r>
    </w:p>
    <w:p w14:paraId="74DD5E7F" w14:textId="77777777" w:rsidR="00584EC1" w:rsidRDefault="00871F8D">
      <w:pPr>
        <w:spacing w:before="50"/>
        <w:ind w:firstLine="450"/>
        <w:jc w:val="both"/>
      </w:pPr>
      <w:r>
        <w:rPr>
          <w:rFonts w:ascii="Arial" w:eastAsia="宋体" w:hAnsi="Arial" w:cs="Arial"/>
          <w:color w:val="000000"/>
          <w:sz w:val="16"/>
          <w:szCs w:val="16"/>
        </w:rPr>
        <w:t>Indicate by check mark whether the registrant is a shell company (as defined in Rule 12b-2 of the Exchange Act).  Yes  ☐  No  </w:t>
      </w:r>
      <w:r>
        <w:rPr>
          <w:rFonts w:ascii="Arial Unicode MS" w:eastAsia="Arial Unicode MS" w:hAnsi="Arial Unicode MS" w:cs="Arial Unicode MS" w:hint="eastAsia"/>
          <w:color w:val="000000"/>
          <w:sz w:val="16"/>
          <w:szCs w:val="16"/>
        </w:rPr>
        <w:t>☒</w:t>
      </w:r>
    </w:p>
    <w:p w14:paraId="74DD5E80" w14:textId="77777777" w:rsidR="00584EC1" w:rsidRDefault="00871F8D">
      <w:pPr>
        <w:spacing w:before="50"/>
        <w:ind w:firstLine="450"/>
      </w:pPr>
      <w:r>
        <w:rPr>
          <w:rFonts w:ascii="Arial" w:eastAsia="宋体" w:hAnsi="Arial" w:cs="Arial"/>
          <w:color w:val="000000"/>
          <w:sz w:val="16"/>
          <w:szCs w:val="16"/>
        </w:rPr>
        <w:t>The number of shares of the registrant’s common stock outstanding as of October 20, 2021 was 365,629,173.</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584EC1" w14:paraId="74DD5E84" w14:textId="77777777">
        <w:tc>
          <w:tcPr>
            <w:tcW w:w="50" w:type="pct"/>
            <w:shd w:val="clear" w:color="auto" w:fill="auto"/>
            <w:vAlign w:val="bottom"/>
          </w:tcPr>
          <w:p w14:paraId="74DD5E81" w14:textId="77777777" w:rsidR="00584EC1" w:rsidRDefault="00584EC1">
            <w:pPr>
              <w:rPr>
                <w:rFonts w:ascii="宋体"/>
              </w:rPr>
            </w:pPr>
          </w:p>
        </w:tc>
        <w:tc>
          <w:tcPr>
            <w:tcW w:w="4945" w:type="pct"/>
            <w:shd w:val="clear" w:color="auto" w:fill="auto"/>
            <w:vAlign w:val="bottom"/>
          </w:tcPr>
          <w:p w14:paraId="74DD5E82" w14:textId="77777777" w:rsidR="00584EC1" w:rsidRDefault="00584EC1">
            <w:pPr>
              <w:rPr>
                <w:rFonts w:ascii="宋体"/>
              </w:rPr>
            </w:pPr>
          </w:p>
        </w:tc>
        <w:tc>
          <w:tcPr>
            <w:tcW w:w="5" w:type="pct"/>
            <w:shd w:val="clear" w:color="auto" w:fill="auto"/>
            <w:vAlign w:val="bottom"/>
          </w:tcPr>
          <w:p w14:paraId="74DD5E83" w14:textId="77777777" w:rsidR="00584EC1" w:rsidRDefault="00584EC1">
            <w:pPr>
              <w:rPr>
                <w:rFonts w:ascii="宋体"/>
              </w:rPr>
            </w:pPr>
          </w:p>
        </w:tc>
      </w:tr>
      <w:tr w:rsidR="00584EC1" w14:paraId="74DD5E86" w14:textId="77777777">
        <w:trPr>
          <w:trHeight w:val="60"/>
        </w:trPr>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74DD5E85" w14:textId="77777777" w:rsidR="00584EC1" w:rsidRDefault="00584EC1">
            <w:pPr>
              <w:rPr>
                <w:rFonts w:ascii="宋体"/>
              </w:rPr>
            </w:pPr>
          </w:p>
        </w:tc>
      </w:tr>
    </w:tbl>
    <w:p w14:paraId="74DD5E87" w14:textId="77777777" w:rsidR="00584EC1" w:rsidRDefault="00584EC1">
      <w:pPr>
        <w:ind w:firstLine="450"/>
      </w:pPr>
    </w:p>
    <w:p w14:paraId="74DD5E88" w14:textId="77777777" w:rsidR="00584EC1" w:rsidRDefault="00584EC1">
      <w:pPr>
        <w:ind w:firstLine="450"/>
      </w:pPr>
    </w:p>
    <w:p w14:paraId="74DD5E89" w14:textId="77777777" w:rsidR="00584EC1" w:rsidRDefault="00871F8D">
      <w:r>
        <w:pict w14:anchorId="74DE29EF">
          <v:rect id="_x0000_i1025" style="width:415.3pt;height:1.5pt" o:hralign="center" o:hrstd="t" o:hr="t" fillcolor="#a0a0a0" stroked="f"/>
        </w:pict>
      </w:r>
    </w:p>
    <w:p w14:paraId="74DD5E8A" w14:textId="77777777" w:rsidR="00584EC1" w:rsidRDefault="00584EC1">
      <w:pPr>
        <w:ind w:firstLine="450"/>
        <w:jc w:val="center"/>
      </w:pPr>
    </w:p>
    <w:p w14:paraId="74DD5E8B" w14:textId="77777777" w:rsidR="00584EC1" w:rsidRDefault="00871F8D">
      <w:pPr>
        <w:ind w:firstLine="450"/>
        <w:jc w:val="center"/>
      </w:pPr>
      <w:r>
        <w:rPr>
          <w:rFonts w:ascii="Arial" w:eastAsia="宋体" w:hAnsi="Arial" w:cs="Arial"/>
          <w:b/>
          <w:bCs/>
          <w:color w:val="000000"/>
          <w:sz w:val="20"/>
          <w:szCs w:val="20"/>
        </w:rPr>
        <w:t xml:space="preserve">STATE </w:t>
      </w:r>
      <w:r>
        <w:rPr>
          <w:rFonts w:ascii="Arial" w:eastAsia="宋体" w:hAnsi="Arial" w:cs="Arial"/>
          <w:b/>
          <w:bCs/>
          <w:color w:val="000000"/>
          <w:sz w:val="20"/>
          <w:szCs w:val="20"/>
        </w:rPr>
        <w:t>STREET CORPORATION</w:t>
      </w:r>
    </w:p>
    <w:p w14:paraId="74DD5E8C" w14:textId="77777777" w:rsidR="00584EC1" w:rsidRDefault="00871F8D">
      <w:pPr>
        <w:ind w:firstLine="450"/>
        <w:jc w:val="center"/>
      </w:pPr>
      <w:r>
        <w:rPr>
          <w:rFonts w:ascii="Arial" w:eastAsia="宋体" w:hAnsi="Arial" w:cs="Arial"/>
          <w:b/>
          <w:bCs/>
          <w:color w:val="000000"/>
          <w:sz w:val="20"/>
          <w:szCs w:val="20"/>
        </w:rPr>
        <w:t>QUARTERLY REPORT ON FORM 10-Q FOR THE QUARTERLY PERIOD ENDED</w:t>
      </w:r>
    </w:p>
    <w:p w14:paraId="74DD5E8D" w14:textId="77777777" w:rsidR="00584EC1" w:rsidRDefault="00871F8D">
      <w:pPr>
        <w:ind w:firstLine="450"/>
        <w:jc w:val="center"/>
      </w:pPr>
      <w:r>
        <w:rPr>
          <w:rFonts w:ascii="Arial" w:eastAsia="宋体" w:hAnsi="Arial" w:cs="Arial"/>
          <w:b/>
          <w:bCs/>
          <w:color w:val="000000"/>
          <w:sz w:val="20"/>
          <w:szCs w:val="20"/>
        </w:rPr>
        <w:t>September 30, 2021</w:t>
      </w:r>
    </w:p>
    <w:p w14:paraId="74DD5E8E" w14:textId="77777777" w:rsidR="00584EC1" w:rsidRDefault="00584EC1">
      <w:pPr>
        <w:ind w:firstLine="450"/>
        <w:jc w:val="center"/>
      </w:pPr>
    </w:p>
    <w:p w14:paraId="74DD5E8F" w14:textId="77777777" w:rsidR="00584EC1" w:rsidRDefault="00871F8D">
      <w:pPr>
        <w:ind w:firstLine="450"/>
        <w:jc w:val="center"/>
      </w:pPr>
      <w:r>
        <w:rPr>
          <w:rFonts w:ascii="Arial" w:eastAsia="宋体" w:hAnsi="Arial" w:cs="Arial"/>
          <w:b/>
          <w:bCs/>
          <w:color w:val="000000"/>
          <w:sz w:val="20"/>
          <w:szCs w:val="20"/>
        </w:rPr>
        <w:t>TABLE OF CONTENTS</w:t>
      </w:r>
    </w:p>
    <w:tbl>
      <w:tblPr>
        <w:tblW w:w="4912" w:type="pct"/>
        <w:tblCellMar>
          <w:top w:w="15" w:type="dxa"/>
          <w:left w:w="15" w:type="dxa"/>
          <w:bottom w:w="15" w:type="dxa"/>
          <w:right w:w="15" w:type="dxa"/>
        </w:tblCellMar>
        <w:tblLook w:val="04A0" w:firstRow="1" w:lastRow="0" w:firstColumn="1" w:lastColumn="0" w:noHBand="0" w:noVBand="1"/>
      </w:tblPr>
      <w:tblGrid>
        <w:gridCol w:w="67"/>
        <w:gridCol w:w="1308"/>
        <w:gridCol w:w="36"/>
        <w:gridCol w:w="68"/>
        <w:gridCol w:w="5941"/>
        <w:gridCol w:w="39"/>
        <w:gridCol w:w="68"/>
        <w:gridCol w:w="626"/>
        <w:gridCol w:w="36"/>
      </w:tblGrid>
      <w:tr w:rsidR="00584EC1" w14:paraId="74DD5E99" w14:textId="77777777">
        <w:tc>
          <w:tcPr>
            <w:tcW w:w="50" w:type="pct"/>
            <w:shd w:val="clear" w:color="auto" w:fill="auto"/>
            <w:vAlign w:val="bottom"/>
          </w:tcPr>
          <w:p w14:paraId="74DD5E90" w14:textId="77777777" w:rsidR="00584EC1" w:rsidRDefault="00584EC1">
            <w:pPr>
              <w:rPr>
                <w:rFonts w:ascii="宋体"/>
              </w:rPr>
            </w:pPr>
          </w:p>
        </w:tc>
        <w:tc>
          <w:tcPr>
            <w:tcW w:w="808" w:type="pct"/>
            <w:shd w:val="clear" w:color="auto" w:fill="auto"/>
            <w:vAlign w:val="bottom"/>
          </w:tcPr>
          <w:p w14:paraId="74DD5E91" w14:textId="77777777" w:rsidR="00584EC1" w:rsidRDefault="00584EC1">
            <w:pPr>
              <w:rPr>
                <w:rFonts w:ascii="宋体"/>
              </w:rPr>
            </w:pPr>
          </w:p>
        </w:tc>
        <w:tc>
          <w:tcPr>
            <w:tcW w:w="5" w:type="pct"/>
            <w:shd w:val="clear" w:color="auto" w:fill="auto"/>
            <w:vAlign w:val="bottom"/>
          </w:tcPr>
          <w:p w14:paraId="74DD5E92" w14:textId="77777777" w:rsidR="00584EC1" w:rsidRDefault="00584EC1">
            <w:pPr>
              <w:rPr>
                <w:rFonts w:ascii="宋体"/>
              </w:rPr>
            </w:pPr>
          </w:p>
        </w:tc>
        <w:tc>
          <w:tcPr>
            <w:tcW w:w="50" w:type="pct"/>
            <w:shd w:val="clear" w:color="auto" w:fill="auto"/>
            <w:vAlign w:val="bottom"/>
          </w:tcPr>
          <w:p w14:paraId="74DD5E93" w14:textId="77777777" w:rsidR="00584EC1" w:rsidRDefault="00584EC1">
            <w:pPr>
              <w:rPr>
                <w:rFonts w:ascii="宋体"/>
              </w:rPr>
            </w:pPr>
          </w:p>
        </w:tc>
        <w:tc>
          <w:tcPr>
            <w:tcW w:w="3635" w:type="pct"/>
            <w:shd w:val="clear" w:color="auto" w:fill="auto"/>
            <w:vAlign w:val="bottom"/>
          </w:tcPr>
          <w:p w14:paraId="74DD5E94" w14:textId="77777777" w:rsidR="00584EC1" w:rsidRDefault="00584EC1">
            <w:pPr>
              <w:rPr>
                <w:rFonts w:ascii="宋体"/>
              </w:rPr>
            </w:pPr>
          </w:p>
        </w:tc>
        <w:tc>
          <w:tcPr>
            <w:tcW w:w="5" w:type="pct"/>
            <w:shd w:val="clear" w:color="auto" w:fill="auto"/>
            <w:vAlign w:val="bottom"/>
          </w:tcPr>
          <w:p w14:paraId="74DD5E95" w14:textId="77777777" w:rsidR="00584EC1" w:rsidRDefault="00584EC1">
            <w:pPr>
              <w:rPr>
                <w:rFonts w:ascii="宋体"/>
              </w:rPr>
            </w:pPr>
          </w:p>
        </w:tc>
        <w:tc>
          <w:tcPr>
            <w:tcW w:w="50" w:type="pct"/>
            <w:shd w:val="clear" w:color="auto" w:fill="auto"/>
            <w:vAlign w:val="bottom"/>
          </w:tcPr>
          <w:p w14:paraId="74DD5E96" w14:textId="77777777" w:rsidR="00584EC1" w:rsidRDefault="00584EC1">
            <w:pPr>
              <w:rPr>
                <w:rFonts w:ascii="宋体"/>
              </w:rPr>
            </w:pPr>
          </w:p>
        </w:tc>
        <w:tc>
          <w:tcPr>
            <w:tcW w:w="391" w:type="pct"/>
            <w:shd w:val="clear" w:color="auto" w:fill="auto"/>
            <w:vAlign w:val="bottom"/>
          </w:tcPr>
          <w:p w14:paraId="74DD5E97" w14:textId="77777777" w:rsidR="00584EC1" w:rsidRDefault="00584EC1">
            <w:pPr>
              <w:rPr>
                <w:rFonts w:ascii="宋体"/>
              </w:rPr>
            </w:pPr>
          </w:p>
        </w:tc>
        <w:tc>
          <w:tcPr>
            <w:tcW w:w="5" w:type="pct"/>
            <w:shd w:val="clear" w:color="auto" w:fill="auto"/>
            <w:vAlign w:val="bottom"/>
          </w:tcPr>
          <w:p w14:paraId="74DD5E98" w14:textId="77777777" w:rsidR="00584EC1" w:rsidRDefault="00584EC1">
            <w:pPr>
              <w:rPr>
                <w:rFonts w:ascii="宋体"/>
              </w:rPr>
            </w:pPr>
          </w:p>
        </w:tc>
      </w:tr>
      <w:tr w:rsidR="00584EC1" w14:paraId="74DD5E9D" w14:textId="77777777">
        <w:tc>
          <w:tcPr>
            <w:tcW w:w="0" w:type="auto"/>
            <w:gridSpan w:val="3"/>
            <w:shd w:val="clear" w:color="auto" w:fill="auto"/>
            <w:tcMar>
              <w:top w:w="0" w:type="dxa"/>
              <w:left w:w="20" w:type="dxa"/>
              <w:bottom w:w="0" w:type="dxa"/>
              <w:right w:w="20" w:type="dxa"/>
            </w:tcMar>
            <w:vAlign w:val="bottom"/>
          </w:tcPr>
          <w:p w14:paraId="74DD5E9A"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5E9B"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center"/>
          </w:tcPr>
          <w:p w14:paraId="74DD5E9C" w14:textId="77777777" w:rsidR="00584EC1" w:rsidRDefault="00871F8D">
            <w:pPr>
              <w:jc w:val="right"/>
              <w:textAlignment w:val="center"/>
            </w:pPr>
            <w:r>
              <w:rPr>
                <w:rFonts w:ascii="Arial" w:eastAsia="宋体" w:hAnsi="Arial" w:cs="Arial"/>
                <w:color w:val="000000"/>
                <w:sz w:val="18"/>
                <w:szCs w:val="18"/>
                <w:u w:val="single"/>
              </w:rPr>
              <w:t>Page</w:t>
            </w:r>
          </w:p>
        </w:tc>
      </w:tr>
      <w:tr w:rsidR="00584EC1" w14:paraId="74DD5EA1" w14:textId="77777777">
        <w:trPr>
          <w:trHeight w:val="280"/>
        </w:trPr>
        <w:tc>
          <w:tcPr>
            <w:tcW w:w="0" w:type="auto"/>
            <w:gridSpan w:val="3"/>
            <w:shd w:val="clear" w:color="auto" w:fill="auto"/>
            <w:tcMar>
              <w:top w:w="0" w:type="dxa"/>
              <w:left w:w="20" w:type="dxa"/>
              <w:bottom w:w="0" w:type="dxa"/>
              <w:right w:w="20" w:type="dxa"/>
            </w:tcMar>
            <w:vAlign w:val="bottom"/>
          </w:tcPr>
          <w:p w14:paraId="74DD5E9E"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5E9F"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5EA0" w14:textId="77777777" w:rsidR="00584EC1" w:rsidRDefault="00584EC1">
            <w:pPr>
              <w:rPr>
                <w:rFonts w:ascii="宋体"/>
              </w:rPr>
            </w:pPr>
          </w:p>
        </w:tc>
      </w:tr>
      <w:tr w:rsidR="00584EC1" w14:paraId="74DD5EA5" w14:textId="77777777">
        <w:tc>
          <w:tcPr>
            <w:tcW w:w="0" w:type="auto"/>
            <w:gridSpan w:val="3"/>
            <w:shd w:val="clear" w:color="auto" w:fill="auto"/>
            <w:tcMar>
              <w:top w:w="40" w:type="dxa"/>
              <w:left w:w="155" w:type="dxa"/>
              <w:bottom w:w="40" w:type="dxa"/>
              <w:right w:w="20" w:type="dxa"/>
            </w:tcMar>
            <w:vAlign w:val="center"/>
          </w:tcPr>
          <w:p w14:paraId="74DD5EA2" w14:textId="77777777" w:rsidR="00584EC1" w:rsidRDefault="00871F8D">
            <w:pPr>
              <w:textAlignment w:val="center"/>
            </w:pPr>
            <w:r>
              <w:rPr>
                <w:rFonts w:ascii="Arial" w:eastAsia="宋体" w:hAnsi="Arial" w:cs="Arial"/>
                <w:b/>
                <w:bCs/>
                <w:color w:val="000000"/>
                <w:sz w:val="18"/>
                <w:szCs w:val="18"/>
              </w:rPr>
              <w:t>PART I</w:t>
            </w:r>
          </w:p>
        </w:tc>
        <w:tc>
          <w:tcPr>
            <w:tcW w:w="0" w:type="auto"/>
            <w:gridSpan w:val="3"/>
            <w:shd w:val="clear" w:color="auto" w:fill="auto"/>
            <w:tcMar>
              <w:top w:w="40" w:type="dxa"/>
              <w:left w:w="20" w:type="dxa"/>
              <w:bottom w:w="40" w:type="dxa"/>
              <w:right w:w="20" w:type="dxa"/>
            </w:tcMar>
            <w:vAlign w:val="bottom"/>
          </w:tcPr>
          <w:p w14:paraId="74DD5EA3" w14:textId="77777777" w:rsidR="00584EC1" w:rsidRDefault="00871F8D">
            <w:pPr>
              <w:textAlignment w:val="bottom"/>
            </w:pPr>
            <w:r>
              <w:rPr>
                <w:rFonts w:ascii="Arial" w:eastAsia="宋体" w:hAnsi="Arial" w:cs="Arial"/>
                <w:b/>
                <w:bCs/>
                <w:color w:val="000000"/>
                <w:sz w:val="18"/>
                <w:szCs w:val="18"/>
              </w:rPr>
              <w:t>FINANCIAL INFORMATION</w:t>
            </w:r>
          </w:p>
        </w:tc>
        <w:tc>
          <w:tcPr>
            <w:tcW w:w="0" w:type="auto"/>
            <w:gridSpan w:val="3"/>
            <w:shd w:val="clear" w:color="auto" w:fill="auto"/>
            <w:tcMar>
              <w:top w:w="0" w:type="dxa"/>
              <w:left w:w="20" w:type="dxa"/>
              <w:bottom w:w="0" w:type="dxa"/>
              <w:right w:w="20" w:type="dxa"/>
            </w:tcMar>
            <w:vAlign w:val="bottom"/>
          </w:tcPr>
          <w:p w14:paraId="74DD5EA4" w14:textId="77777777" w:rsidR="00584EC1" w:rsidRDefault="00584EC1">
            <w:pPr>
              <w:rPr>
                <w:rFonts w:ascii="宋体"/>
              </w:rPr>
            </w:pPr>
          </w:p>
        </w:tc>
      </w:tr>
      <w:tr w:rsidR="00584EC1" w14:paraId="74DD5EA9" w14:textId="77777777">
        <w:tc>
          <w:tcPr>
            <w:tcW w:w="0" w:type="auto"/>
            <w:gridSpan w:val="3"/>
            <w:shd w:val="clear" w:color="auto" w:fill="auto"/>
            <w:tcMar>
              <w:top w:w="0" w:type="dxa"/>
              <w:left w:w="20" w:type="dxa"/>
              <w:bottom w:w="0" w:type="dxa"/>
              <w:right w:w="20" w:type="dxa"/>
            </w:tcMar>
            <w:vAlign w:val="bottom"/>
          </w:tcPr>
          <w:p w14:paraId="74DD5EA6" w14:textId="77777777" w:rsidR="00584EC1" w:rsidRDefault="00584EC1">
            <w:pPr>
              <w:rPr>
                <w:rFonts w:ascii="宋体"/>
              </w:rPr>
            </w:pPr>
          </w:p>
        </w:tc>
        <w:tc>
          <w:tcPr>
            <w:tcW w:w="0" w:type="auto"/>
            <w:gridSpan w:val="3"/>
            <w:shd w:val="clear" w:color="auto" w:fill="auto"/>
            <w:tcMar>
              <w:top w:w="40" w:type="dxa"/>
              <w:left w:w="155" w:type="dxa"/>
              <w:bottom w:w="40" w:type="dxa"/>
              <w:right w:w="20" w:type="dxa"/>
            </w:tcMar>
            <w:vAlign w:val="center"/>
          </w:tcPr>
          <w:p w14:paraId="74DD5EA7" w14:textId="77777777" w:rsidR="00584EC1" w:rsidRDefault="00871F8D">
            <w:pPr>
              <w:textAlignment w:val="center"/>
            </w:pPr>
            <w:r>
              <w:rPr>
                <w:rFonts w:ascii="Arial" w:eastAsia="宋体" w:hAnsi="Arial" w:cs="Arial"/>
                <w:color w:val="000000"/>
                <w:sz w:val="18"/>
                <w:szCs w:val="18"/>
              </w:rPr>
              <w:t xml:space="preserve">Management's Discussion and Analysis of Financial Condition and Results of </w:t>
            </w:r>
            <w:r>
              <w:rPr>
                <w:rFonts w:ascii="Arial" w:eastAsia="宋体" w:hAnsi="Arial" w:cs="Arial"/>
                <w:color w:val="000000"/>
                <w:sz w:val="18"/>
                <w:szCs w:val="18"/>
              </w:rPr>
              <w:t>Operations</w:t>
            </w:r>
          </w:p>
        </w:tc>
        <w:tc>
          <w:tcPr>
            <w:tcW w:w="0" w:type="auto"/>
            <w:gridSpan w:val="3"/>
            <w:shd w:val="clear" w:color="auto" w:fill="auto"/>
            <w:tcMar>
              <w:top w:w="40" w:type="dxa"/>
              <w:left w:w="20" w:type="dxa"/>
              <w:bottom w:w="40" w:type="dxa"/>
              <w:right w:w="20" w:type="dxa"/>
            </w:tcMar>
            <w:vAlign w:val="center"/>
          </w:tcPr>
          <w:p w14:paraId="74DD5EA8" w14:textId="77777777" w:rsidR="00584EC1" w:rsidRDefault="00871F8D">
            <w:pPr>
              <w:jc w:val="right"/>
              <w:textAlignment w:val="center"/>
            </w:pPr>
            <w:hyperlink r:id="rId6" w:anchor="i22e5b207b1584fc686a385e0488612f3_13" w:history="1">
              <w:r>
                <w:rPr>
                  <w:rStyle w:val="a5"/>
                  <w:rFonts w:ascii="Arial" w:eastAsia="宋体" w:hAnsi="Arial" w:cs="Arial"/>
                  <w:color w:val="000000"/>
                  <w:sz w:val="18"/>
                  <w:szCs w:val="18"/>
                  <w:u w:val="none"/>
                </w:rPr>
                <w:t>4</w:t>
              </w:r>
            </w:hyperlink>
          </w:p>
        </w:tc>
      </w:tr>
      <w:tr w:rsidR="00584EC1" w14:paraId="74DD5EAD" w14:textId="77777777">
        <w:tc>
          <w:tcPr>
            <w:tcW w:w="0" w:type="auto"/>
            <w:gridSpan w:val="3"/>
            <w:shd w:val="clear" w:color="auto" w:fill="auto"/>
            <w:tcMar>
              <w:top w:w="0" w:type="dxa"/>
              <w:left w:w="20" w:type="dxa"/>
              <w:bottom w:w="0" w:type="dxa"/>
              <w:right w:w="20" w:type="dxa"/>
            </w:tcMar>
            <w:vAlign w:val="bottom"/>
          </w:tcPr>
          <w:p w14:paraId="74DD5EAA" w14:textId="77777777" w:rsidR="00584EC1" w:rsidRDefault="00584EC1">
            <w:pPr>
              <w:rPr>
                <w:rFonts w:ascii="宋体"/>
              </w:rPr>
            </w:pPr>
          </w:p>
        </w:tc>
        <w:tc>
          <w:tcPr>
            <w:tcW w:w="0" w:type="auto"/>
            <w:gridSpan w:val="3"/>
            <w:shd w:val="clear" w:color="auto" w:fill="auto"/>
            <w:tcMar>
              <w:top w:w="40" w:type="dxa"/>
              <w:left w:w="380" w:type="dxa"/>
              <w:bottom w:w="40" w:type="dxa"/>
              <w:right w:w="20" w:type="dxa"/>
            </w:tcMar>
            <w:vAlign w:val="center"/>
          </w:tcPr>
          <w:p w14:paraId="74DD5EAB" w14:textId="77777777" w:rsidR="00584EC1" w:rsidRDefault="00871F8D">
            <w:pPr>
              <w:textAlignment w:val="center"/>
            </w:pPr>
            <w:r>
              <w:rPr>
                <w:rFonts w:ascii="Arial" w:eastAsia="宋体" w:hAnsi="Arial" w:cs="Arial"/>
                <w:color w:val="000000"/>
                <w:sz w:val="18"/>
                <w:szCs w:val="18"/>
              </w:rPr>
              <w:t>General</w:t>
            </w:r>
          </w:p>
        </w:tc>
        <w:tc>
          <w:tcPr>
            <w:tcW w:w="0" w:type="auto"/>
            <w:gridSpan w:val="3"/>
            <w:shd w:val="clear" w:color="auto" w:fill="auto"/>
            <w:tcMar>
              <w:top w:w="40" w:type="dxa"/>
              <w:left w:w="20" w:type="dxa"/>
              <w:bottom w:w="40" w:type="dxa"/>
              <w:right w:w="20" w:type="dxa"/>
            </w:tcMar>
            <w:vAlign w:val="center"/>
          </w:tcPr>
          <w:p w14:paraId="74DD5EAC" w14:textId="77777777" w:rsidR="00584EC1" w:rsidRDefault="00871F8D">
            <w:pPr>
              <w:jc w:val="right"/>
              <w:textAlignment w:val="center"/>
            </w:pPr>
            <w:hyperlink r:id="rId7" w:anchor="i22e5b207b1584fc686a385e0488612f3_16" w:history="1">
              <w:r>
                <w:rPr>
                  <w:rStyle w:val="a5"/>
                  <w:rFonts w:ascii="Arial" w:eastAsia="宋体" w:hAnsi="Arial" w:cs="Arial"/>
                  <w:color w:val="000000"/>
                  <w:sz w:val="18"/>
                  <w:szCs w:val="18"/>
                  <w:u w:val="none"/>
                </w:rPr>
                <w:t>4</w:t>
              </w:r>
            </w:hyperlink>
          </w:p>
        </w:tc>
      </w:tr>
      <w:tr w:rsidR="00584EC1" w14:paraId="74DD5EB1" w14:textId="77777777">
        <w:tc>
          <w:tcPr>
            <w:tcW w:w="0" w:type="auto"/>
            <w:gridSpan w:val="3"/>
            <w:shd w:val="clear" w:color="auto" w:fill="auto"/>
            <w:tcMar>
              <w:top w:w="0" w:type="dxa"/>
              <w:left w:w="20" w:type="dxa"/>
              <w:bottom w:w="0" w:type="dxa"/>
              <w:right w:w="20" w:type="dxa"/>
            </w:tcMar>
            <w:vAlign w:val="bottom"/>
          </w:tcPr>
          <w:p w14:paraId="74DD5EAE" w14:textId="77777777" w:rsidR="00584EC1" w:rsidRDefault="00584EC1">
            <w:pPr>
              <w:rPr>
                <w:rFonts w:ascii="宋体"/>
              </w:rPr>
            </w:pPr>
          </w:p>
        </w:tc>
        <w:tc>
          <w:tcPr>
            <w:tcW w:w="0" w:type="auto"/>
            <w:gridSpan w:val="3"/>
            <w:shd w:val="clear" w:color="auto" w:fill="auto"/>
            <w:tcMar>
              <w:top w:w="40" w:type="dxa"/>
              <w:left w:w="380" w:type="dxa"/>
              <w:bottom w:w="40" w:type="dxa"/>
              <w:right w:w="20" w:type="dxa"/>
            </w:tcMar>
            <w:vAlign w:val="center"/>
          </w:tcPr>
          <w:p w14:paraId="74DD5EAF" w14:textId="77777777" w:rsidR="00584EC1" w:rsidRDefault="00871F8D">
            <w:pPr>
              <w:textAlignment w:val="center"/>
            </w:pPr>
            <w:r>
              <w:rPr>
                <w:rFonts w:ascii="Arial" w:eastAsia="宋体" w:hAnsi="Arial" w:cs="Arial"/>
                <w:color w:val="000000"/>
                <w:sz w:val="18"/>
                <w:szCs w:val="18"/>
              </w:rPr>
              <w:t>Overview of Financial Results</w:t>
            </w:r>
          </w:p>
        </w:tc>
        <w:tc>
          <w:tcPr>
            <w:tcW w:w="0" w:type="auto"/>
            <w:gridSpan w:val="3"/>
            <w:shd w:val="clear" w:color="auto" w:fill="auto"/>
            <w:tcMar>
              <w:top w:w="40" w:type="dxa"/>
              <w:left w:w="20" w:type="dxa"/>
              <w:bottom w:w="40" w:type="dxa"/>
              <w:right w:w="20" w:type="dxa"/>
            </w:tcMar>
            <w:vAlign w:val="center"/>
          </w:tcPr>
          <w:p w14:paraId="74DD5EB0" w14:textId="77777777" w:rsidR="00584EC1" w:rsidRDefault="00871F8D">
            <w:pPr>
              <w:jc w:val="right"/>
              <w:textAlignment w:val="center"/>
            </w:pPr>
            <w:hyperlink r:id="rId8" w:anchor="i22e5b207b1584fc686a385e0488612f3_25" w:history="1">
              <w:r>
                <w:rPr>
                  <w:rStyle w:val="a5"/>
                  <w:rFonts w:ascii="Arial" w:eastAsia="宋体" w:hAnsi="Arial" w:cs="Arial"/>
                  <w:color w:val="000000"/>
                  <w:sz w:val="18"/>
                  <w:szCs w:val="18"/>
                  <w:u w:val="none"/>
                </w:rPr>
                <w:t>7</w:t>
              </w:r>
            </w:hyperlink>
          </w:p>
        </w:tc>
      </w:tr>
      <w:tr w:rsidR="00584EC1" w14:paraId="74DD5EB5" w14:textId="77777777">
        <w:tc>
          <w:tcPr>
            <w:tcW w:w="0" w:type="auto"/>
            <w:gridSpan w:val="3"/>
            <w:shd w:val="clear" w:color="auto" w:fill="auto"/>
            <w:tcMar>
              <w:top w:w="0" w:type="dxa"/>
              <w:left w:w="20" w:type="dxa"/>
              <w:bottom w:w="0" w:type="dxa"/>
              <w:right w:w="20" w:type="dxa"/>
            </w:tcMar>
            <w:vAlign w:val="bottom"/>
          </w:tcPr>
          <w:p w14:paraId="74DD5EB2" w14:textId="77777777" w:rsidR="00584EC1" w:rsidRDefault="00584EC1">
            <w:pPr>
              <w:rPr>
                <w:rFonts w:ascii="宋体"/>
              </w:rPr>
            </w:pPr>
          </w:p>
        </w:tc>
        <w:tc>
          <w:tcPr>
            <w:tcW w:w="0" w:type="auto"/>
            <w:gridSpan w:val="3"/>
            <w:shd w:val="clear" w:color="auto" w:fill="auto"/>
            <w:tcMar>
              <w:top w:w="40" w:type="dxa"/>
              <w:left w:w="380" w:type="dxa"/>
              <w:bottom w:w="40" w:type="dxa"/>
              <w:right w:w="20" w:type="dxa"/>
            </w:tcMar>
            <w:vAlign w:val="center"/>
          </w:tcPr>
          <w:p w14:paraId="74DD5EB3" w14:textId="77777777" w:rsidR="00584EC1" w:rsidRDefault="00871F8D">
            <w:pPr>
              <w:textAlignment w:val="center"/>
            </w:pPr>
            <w:r>
              <w:rPr>
                <w:rFonts w:ascii="Arial" w:eastAsia="宋体" w:hAnsi="Arial" w:cs="Arial"/>
                <w:color w:val="000000"/>
                <w:sz w:val="18"/>
                <w:szCs w:val="18"/>
              </w:rPr>
              <w:t>Consolidated Results of Operations</w:t>
            </w:r>
          </w:p>
        </w:tc>
        <w:tc>
          <w:tcPr>
            <w:tcW w:w="0" w:type="auto"/>
            <w:gridSpan w:val="3"/>
            <w:shd w:val="clear" w:color="auto" w:fill="auto"/>
            <w:tcMar>
              <w:top w:w="40" w:type="dxa"/>
              <w:left w:w="20" w:type="dxa"/>
              <w:bottom w:w="40" w:type="dxa"/>
              <w:right w:w="20" w:type="dxa"/>
            </w:tcMar>
            <w:vAlign w:val="center"/>
          </w:tcPr>
          <w:p w14:paraId="74DD5EB4" w14:textId="77777777" w:rsidR="00584EC1" w:rsidRDefault="00871F8D">
            <w:pPr>
              <w:jc w:val="right"/>
              <w:textAlignment w:val="center"/>
            </w:pPr>
            <w:hyperlink r:id="rId9" w:anchor="i22e5b207b1584fc686a385e0488612f3_34" w:history="1">
              <w:r>
                <w:rPr>
                  <w:rStyle w:val="a5"/>
                  <w:rFonts w:ascii="Arial" w:eastAsia="宋体" w:hAnsi="Arial" w:cs="Arial"/>
                  <w:color w:val="000000"/>
                  <w:sz w:val="18"/>
                  <w:szCs w:val="18"/>
                  <w:u w:val="none"/>
                </w:rPr>
                <w:t>10</w:t>
              </w:r>
            </w:hyperlink>
          </w:p>
        </w:tc>
      </w:tr>
      <w:tr w:rsidR="00584EC1" w14:paraId="74DD5EB9" w14:textId="77777777">
        <w:tc>
          <w:tcPr>
            <w:tcW w:w="0" w:type="auto"/>
            <w:gridSpan w:val="3"/>
            <w:shd w:val="clear" w:color="auto" w:fill="auto"/>
            <w:tcMar>
              <w:top w:w="0" w:type="dxa"/>
              <w:left w:w="20" w:type="dxa"/>
              <w:bottom w:w="0" w:type="dxa"/>
              <w:right w:w="20" w:type="dxa"/>
            </w:tcMar>
            <w:vAlign w:val="bottom"/>
          </w:tcPr>
          <w:p w14:paraId="74DD5EB6" w14:textId="77777777" w:rsidR="00584EC1" w:rsidRDefault="00584EC1">
            <w:pPr>
              <w:rPr>
                <w:rFonts w:ascii="宋体"/>
              </w:rPr>
            </w:pPr>
          </w:p>
        </w:tc>
        <w:tc>
          <w:tcPr>
            <w:tcW w:w="0" w:type="auto"/>
            <w:gridSpan w:val="3"/>
            <w:shd w:val="clear" w:color="auto" w:fill="auto"/>
            <w:tcMar>
              <w:top w:w="40" w:type="dxa"/>
              <w:left w:w="515" w:type="dxa"/>
              <w:bottom w:w="40" w:type="dxa"/>
              <w:right w:w="20" w:type="dxa"/>
            </w:tcMar>
            <w:vAlign w:val="center"/>
          </w:tcPr>
          <w:p w14:paraId="74DD5EB7" w14:textId="77777777" w:rsidR="00584EC1" w:rsidRDefault="00871F8D">
            <w:pPr>
              <w:textAlignment w:val="center"/>
            </w:pPr>
            <w:r>
              <w:rPr>
                <w:rFonts w:ascii="Arial" w:eastAsia="宋体" w:hAnsi="Arial" w:cs="Arial"/>
                <w:color w:val="000000"/>
                <w:sz w:val="18"/>
                <w:szCs w:val="18"/>
              </w:rPr>
              <w:t>Total Revenue</w:t>
            </w:r>
          </w:p>
        </w:tc>
        <w:tc>
          <w:tcPr>
            <w:tcW w:w="0" w:type="auto"/>
            <w:gridSpan w:val="3"/>
            <w:shd w:val="clear" w:color="auto" w:fill="auto"/>
            <w:tcMar>
              <w:top w:w="40" w:type="dxa"/>
              <w:left w:w="20" w:type="dxa"/>
              <w:bottom w:w="40" w:type="dxa"/>
              <w:right w:w="20" w:type="dxa"/>
            </w:tcMar>
            <w:vAlign w:val="center"/>
          </w:tcPr>
          <w:p w14:paraId="74DD5EB8" w14:textId="77777777" w:rsidR="00584EC1" w:rsidRDefault="00871F8D">
            <w:pPr>
              <w:jc w:val="right"/>
              <w:textAlignment w:val="center"/>
            </w:pPr>
            <w:hyperlink r:id="rId10" w:anchor="i22e5b207b1584fc686a385e0488612f3_37" w:history="1">
              <w:r>
                <w:rPr>
                  <w:rStyle w:val="a5"/>
                  <w:rFonts w:ascii="Arial" w:eastAsia="宋体" w:hAnsi="Arial" w:cs="Arial"/>
                  <w:color w:val="000000"/>
                  <w:sz w:val="18"/>
                  <w:szCs w:val="18"/>
                  <w:u w:val="none"/>
                </w:rPr>
                <w:t>10</w:t>
              </w:r>
            </w:hyperlink>
          </w:p>
        </w:tc>
      </w:tr>
      <w:tr w:rsidR="00584EC1" w14:paraId="74DD5EBD" w14:textId="77777777">
        <w:tc>
          <w:tcPr>
            <w:tcW w:w="0" w:type="auto"/>
            <w:gridSpan w:val="3"/>
            <w:shd w:val="clear" w:color="auto" w:fill="auto"/>
            <w:tcMar>
              <w:top w:w="0" w:type="dxa"/>
              <w:left w:w="20" w:type="dxa"/>
              <w:bottom w:w="0" w:type="dxa"/>
              <w:right w:w="20" w:type="dxa"/>
            </w:tcMar>
            <w:vAlign w:val="bottom"/>
          </w:tcPr>
          <w:p w14:paraId="74DD5EBA" w14:textId="77777777" w:rsidR="00584EC1" w:rsidRDefault="00584EC1">
            <w:pPr>
              <w:rPr>
                <w:rFonts w:ascii="宋体"/>
              </w:rPr>
            </w:pPr>
          </w:p>
        </w:tc>
        <w:tc>
          <w:tcPr>
            <w:tcW w:w="0" w:type="auto"/>
            <w:gridSpan w:val="3"/>
            <w:shd w:val="clear" w:color="auto" w:fill="auto"/>
            <w:tcMar>
              <w:top w:w="40" w:type="dxa"/>
              <w:left w:w="515" w:type="dxa"/>
              <w:bottom w:w="40" w:type="dxa"/>
              <w:right w:w="20" w:type="dxa"/>
            </w:tcMar>
            <w:vAlign w:val="center"/>
          </w:tcPr>
          <w:p w14:paraId="74DD5EBB" w14:textId="77777777" w:rsidR="00584EC1" w:rsidRDefault="00871F8D">
            <w:pPr>
              <w:textAlignment w:val="center"/>
            </w:pPr>
            <w:r>
              <w:rPr>
                <w:rFonts w:ascii="Arial" w:eastAsia="宋体" w:hAnsi="Arial" w:cs="Arial"/>
                <w:color w:val="000000"/>
                <w:sz w:val="18"/>
                <w:szCs w:val="18"/>
              </w:rPr>
              <w:t>Net Interest Income</w:t>
            </w:r>
          </w:p>
        </w:tc>
        <w:tc>
          <w:tcPr>
            <w:tcW w:w="0" w:type="auto"/>
            <w:gridSpan w:val="3"/>
            <w:shd w:val="clear" w:color="auto" w:fill="auto"/>
            <w:tcMar>
              <w:top w:w="40" w:type="dxa"/>
              <w:left w:w="20" w:type="dxa"/>
              <w:bottom w:w="40" w:type="dxa"/>
              <w:right w:w="20" w:type="dxa"/>
            </w:tcMar>
            <w:vAlign w:val="center"/>
          </w:tcPr>
          <w:p w14:paraId="74DD5EBC" w14:textId="77777777" w:rsidR="00584EC1" w:rsidRDefault="00871F8D">
            <w:pPr>
              <w:jc w:val="right"/>
              <w:textAlignment w:val="center"/>
            </w:pPr>
            <w:hyperlink r:id="rId11" w:anchor="i22e5b207b1584fc686a385e0488612f3_46" w:history="1">
              <w:r>
                <w:rPr>
                  <w:rStyle w:val="a5"/>
                  <w:rFonts w:ascii="Arial" w:eastAsia="宋体" w:hAnsi="Arial" w:cs="Arial"/>
                  <w:color w:val="000000"/>
                  <w:sz w:val="18"/>
                  <w:szCs w:val="18"/>
                  <w:u w:val="none"/>
                </w:rPr>
                <w:t>14</w:t>
              </w:r>
            </w:hyperlink>
          </w:p>
        </w:tc>
      </w:tr>
      <w:tr w:rsidR="00584EC1" w14:paraId="74DD5EC1" w14:textId="77777777">
        <w:tc>
          <w:tcPr>
            <w:tcW w:w="0" w:type="auto"/>
            <w:gridSpan w:val="3"/>
            <w:shd w:val="clear" w:color="auto" w:fill="auto"/>
            <w:tcMar>
              <w:top w:w="0" w:type="dxa"/>
              <w:left w:w="20" w:type="dxa"/>
              <w:bottom w:w="0" w:type="dxa"/>
              <w:right w:w="20" w:type="dxa"/>
            </w:tcMar>
            <w:vAlign w:val="bottom"/>
          </w:tcPr>
          <w:p w14:paraId="74DD5EBE" w14:textId="77777777" w:rsidR="00584EC1" w:rsidRDefault="00584EC1">
            <w:pPr>
              <w:rPr>
                <w:rFonts w:ascii="宋体"/>
              </w:rPr>
            </w:pPr>
          </w:p>
        </w:tc>
        <w:tc>
          <w:tcPr>
            <w:tcW w:w="0" w:type="auto"/>
            <w:gridSpan w:val="3"/>
            <w:shd w:val="clear" w:color="auto" w:fill="auto"/>
            <w:tcMar>
              <w:top w:w="40" w:type="dxa"/>
              <w:left w:w="515" w:type="dxa"/>
              <w:bottom w:w="40" w:type="dxa"/>
              <w:right w:w="20" w:type="dxa"/>
            </w:tcMar>
            <w:vAlign w:val="center"/>
          </w:tcPr>
          <w:p w14:paraId="74DD5EBF" w14:textId="77777777" w:rsidR="00584EC1" w:rsidRDefault="00871F8D">
            <w:pPr>
              <w:textAlignment w:val="center"/>
            </w:pPr>
            <w:r>
              <w:rPr>
                <w:rFonts w:ascii="Arial" w:eastAsia="宋体" w:hAnsi="Arial" w:cs="Arial"/>
                <w:color w:val="000000"/>
                <w:sz w:val="18"/>
                <w:szCs w:val="18"/>
              </w:rPr>
              <w:t>Provision for Credit Losses</w:t>
            </w:r>
          </w:p>
        </w:tc>
        <w:tc>
          <w:tcPr>
            <w:tcW w:w="0" w:type="auto"/>
            <w:gridSpan w:val="3"/>
            <w:shd w:val="clear" w:color="auto" w:fill="auto"/>
            <w:tcMar>
              <w:top w:w="40" w:type="dxa"/>
              <w:left w:w="20" w:type="dxa"/>
              <w:bottom w:w="40" w:type="dxa"/>
              <w:right w:w="20" w:type="dxa"/>
            </w:tcMar>
            <w:vAlign w:val="center"/>
          </w:tcPr>
          <w:p w14:paraId="74DD5EC0" w14:textId="77777777" w:rsidR="00584EC1" w:rsidRDefault="00871F8D">
            <w:pPr>
              <w:jc w:val="right"/>
              <w:textAlignment w:val="center"/>
            </w:pPr>
            <w:hyperlink r:id="rId12" w:anchor="i22e5b207b1584fc686a385e0488612f3_58" w:history="1">
              <w:r>
                <w:rPr>
                  <w:rStyle w:val="a5"/>
                  <w:rFonts w:ascii="Arial" w:eastAsia="宋体" w:hAnsi="Arial" w:cs="Arial"/>
                  <w:color w:val="000000"/>
                  <w:sz w:val="18"/>
                  <w:szCs w:val="18"/>
                  <w:u w:val="none"/>
                </w:rPr>
                <w:t>17</w:t>
              </w:r>
            </w:hyperlink>
          </w:p>
        </w:tc>
      </w:tr>
      <w:tr w:rsidR="00584EC1" w14:paraId="74DD5EC5" w14:textId="77777777">
        <w:tc>
          <w:tcPr>
            <w:tcW w:w="0" w:type="auto"/>
            <w:gridSpan w:val="3"/>
            <w:shd w:val="clear" w:color="auto" w:fill="auto"/>
            <w:tcMar>
              <w:top w:w="0" w:type="dxa"/>
              <w:left w:w="20" w:type="dxa"/>
              <w:bottom w:w="0" w:type="dxa"/>
              <w:right w:w="20" w:type="dxa"/>
            </w:tcMar>
            <w:vAlign w:val="bottom"/>
          </w:tcPr>
          <w:p w14:paraId="74DD5EC2" w14:textId="77777777" w:rsidR="00584EC1" w:rsidRDefault="00584EC1">
            <w:pPr>
              <w:rPr>
                <w:rFonts w:ascii="宋体"/>
              </w:rPr>
            </w:pPr>
          </w:p>
        </w:tc>
        <w:tc>
          <w:tcPr>
            <w:tcW w:w="0" w:type="auto"/>
            <w:gridSpan w:val="3"/>
            <w:shd w:val="clear" w:color="auto" w:fill="auto"/>
            <w:tcMar>
              <w:top w:w="40" w:type="dxa"/>
              <w:left w:w="515" w:type="dxa"/>
              <w:bottom w:w="40" w:type="dxa"/>
              <w:right w:w="20" w:type="dxa"/>
            </w:tcMar>
            <w:vAlign w:val="center"/>
          </w:tcPr>
          <w:p w14:paraId="74DD5EC3" w14:textId="77777777" w:rsidR="00584EC1" w:rsidRDefault="00871F8D">
            <w:pPr>
              <w:textAlignment w:val="center"/>
            </w:pPr>
            <w:r>
              <w:rPr>
                <w:rFonts w:ascii="Arial" w:eastAsia="宋体" w:hAnsi="Arial" w:cs="Arial"/>
                <w:color w:val="000000"/>
                <w:sz w:val="18"/>
                <w:szCs w:val="18"/>
              </w:rPr>
              <w:t>Expenses</w:t>
            </w:r>
          </w:p>
        </w:tc>
        <w:tc>
          <w:tcPr>
            <w:tcW w:w="0" w:type="auto"/>
            <w:gridSpan w:val="3"/>
            <w:shd w:val="clear" w:color="auto" w:fill="auto"/>
            <w:tcMar>
              <w:top w:w="40" w:type="dxa"/>
              <w:left w:w="20" w:type="dxa"/>
              <w:bottom w:w="40" w:type="dxa"/>
              <w:right w:w="20" w:type="dxa"/>
            </w:tcMar>
            <w:vAlign w:val="center"/>
          </w:tcPr>
          <w:p w14:paraId="74DD5EC4" w14:textId="77777777" w:rsidR="00584EC1" w:rsidRDefault="00871F8D">
            <w:pPr>
              <w:jc w:val="right"/>
              <w:textAlignment w:val="center"/>
            </w:pPr>
            <w:hyperlink r:id="rId13" w:anchor="i22e5b207b1584fc686a385e0488612f3_61" w:history="1">
              <w:r>
                <w:rPr>
                  <w:rStyle w:val="a5"/>
                  <w:rFonts w:ascii="Arial" w:eastAsia="宋体" w:hAnsi="Arial" w:cs="Arial"/>
                  <w:color w:val="000000"/>
                  <w:sz w:val="18"/>
                  <w:szCs w:val="18"/>
                  <w:u w:val="none"/>
                </w:rPr>
                <w:t>17</w:t>
              </w:r>
            </w:hyperlink>
          </w:p>
        </w:tc>
      </w:tr>
      <w:tr w:rsidR="00584EC1" w14:paraId="74DD5EC9" w14:textId="77777777">
        <w:tc>
          <w:tcPr>
            <w:tcW w:w="0" w:type="auto"/>
            <w:gridSpan w:val="3"/>
            <w:shd w:val="clear" w:color="auto" w:fill="auto"/>
            <w:tcMar>
              <w:top w:w="0" w:type="dxa"/>
              <w:left w:w="20" w:type="dxa"/>
              <w:bottom w:w="0" w:type="dxa"/>
              <w:right w:w="20" w:type="dxa"/>
            </w:tcMar>
            <w:vAlign w:val="bottom"/>
          </w:tcPr>
          <w:p w14:paraId="74DD5EC6" w14:textId="77777777" w:rsidR="00584EC1" w:rsidRDefault="00584EC1">
            <w:pPr>
              <w:rPr>
                <w:rFonts w:ascii="宋体"/>
              </w:rPr>
            </w:pPr>
          </w:p>
        </w:tc>
        <w:tc>
          <w:tcPr>
            <w:tcW w:w="0" w:type="auto"/>
            <w:gridSpan w:val="3"/>
            <w:shd w:val="clear" w:color="auto" w:fill="auto"/>
            <w:tcMar>
              <w:top w:w="40" w:type="dxa"/>
              <w:left w:w="605" w:type="dxa"/>
              <w:bottom w:w="40" w:type="dxa"/>
              <w:right w:w="20" w:type="dxa"/>
            </w:tcMar>
            <w:vAlign w:val="center"/>
          </w:tcPr>
          <w:p w14:paraId="74DD5EC7" w14:textId="77777777" w:rsidR="00584EC1" w:rsidRDefault="00871F8D">
            <w:pPr>
              <w:textAlignment w:val="center"/>
            </w:pPr>
            <w:r>
              <w:rPr>
                <w:rFonts w:ascii="Arial" w:eastAsia="宋体" w:hAnsi="Arial" w:cs="Arial"/>
                <w:color w:val="000000"/>
                <w:sz w:val="18"/>
                <w:szCs w:val="18"/>
              </w:rPr>
              <w:t>Acquisition Costs</w:t>
            </w:r>
          </w:p>
        </w:tc>
        <w:tc>
          <w:tcPr>
            <w:tcW w:w="0" w:type="auto"/>
            <w:gridSpan w:val="3"/>
            <w:shd w:val="clear" w:color="auto" w:fill="auto"/>
            <w:tcMar>
              <w:top w:w="40" w:type="dxa"/>
              <w:left w:w="20" w:type="dxa"/>
              <w:bottom w:w="40" w:type="dxa"/>
              <w:right w:w="20" w:type="dxa"/>
            </w:tcMar>
            <w:vAlign w:val="center"/>
          </w:tcPr>
          <w:p w14:paraId="74DD5EC8" w14:textId="77777777" w:rsidR="00584EC1" w:rsidRDefault="00871F8D">
            <w:pPr>
              <w:jc w:val="right"/>
              <w:textAlignment w:val="center"/>
            </w:pPr>
            <w:r>
              <w:rPr>
                <w:rFonts w:ascii="Arial" w:eastAsia="宋体" w:hAnsi="Arial" w:cs="Arial"/>
                <w:color w:val="000000"/>
                <w:sz w:val="18"/>
                <w:szCs w:val="18"/>
              </w:rPr>
              <w:t>18</w:t>
            </w:r>
          </w:p>
        </w:tc>
      </w:tr>
      <w:tr w:rsidR="00584EC1" w14:paraId="74DD5ECD" w14:textId="77777777">
        <w:tc>
          <w:tcPr>
            <w:tcW w:w="0" w:type="auto"/>
            <w:gridSpan w:val="3"/>
            <w:shd w:val="clear" w:color="auto" w:fill="auto"/>
            <w:tcMar>
              <w:top w:w="0" w:type="dxa"/>
              <w:left w:w="20" w:type="dxa"/>
              <w:bottom w:w="0" w:type="dxa"/>
              <w:right w:w="20" w:type="dxa"/>
            </w:tcMar>
            <w:vAlign w:val="bottom"/>
          </w:tcPr>
          <w:p w14:paraId="74DD5ECA" w14:textId="77777777" w:rsidR="00584EC1" w:rsidRDefault="00584EC1">
            <w:pPr>
              <w:rPr>
                <w:rFonts w:ascii="宋体"/>
              </w:rPr>
            </w:pPr>
          </w:p>
        </w:tc>
        <w:tc>
          <w:tcPr>
            <w:tcW w:w="0" w:type="auto"/>
            <w:gridSpan w:val="3"/>
            <w:shd w:val="clear" w:color="auto" w:fill="auto"/>
            <w:tcMar>
              <w:top w:w="40" w:type="dxa"/>
              <w:left w:w="605" w:type="dxa"/>
              <w:bottom w:w="40" w:type="dxa"/>
              <w:right w:w="20" w:type="dxa"/>
            </w:tcMar>
            <w:vAlign w:val="center"/>
          </w:tcPr>
          <w:p w14:paraId="74DD5ECB" w14:textId="77777777" w:rsidR="00584EC1" w:rsidRDefault="00871F8D">
            <w:pPr>
              <w:textAlignment w:val="center"/>
            </w:pPr>
            <w:r>
              <w:rPr>
                <w:rFonts w:ascii="Arial" w:eastAsia="宋体" w:hAnsi="Arial" w:cs="Arial"/>
                <w:color w:val="000000"/>
                <w:sz w:val="18"/>
                <w:szCs w:val="18"/>
              </w:rPr>
              <w:t>Restructuring and Repositioning Charges</w:t>
            </w:r>
          </w:p>
        </w:tc>
        <w:tc>
          <w:tcPr>
            <w:tcW w:w="0" w:type="auto"/>
            <w:gridSpan w:val="3"/>
            <w:shd w:val="clear" w:color="auto" w:fill="auto"/>
            <w:tcMar>
              <w:top w:w="40" w:type="dxa"/>
              <w:left w:w="20" w:type="dxa"/>
              <w:bottom w:w="40" w:type="dxa"/>
              <w:right w:w="20" w:type="dxa"/>
            </w:tcMar>
            <w:vAlign w:val="center"/>
          </w:tcPr>
          <w:p w14:paraId="74DD5ECC" w14:textId="77777777" w:rsidR="00584EC1" w:rsidRDefault="00871F8D">
            <w:pPr>
              <w:jc w:val="right"/>
              <w:textAlignment w:val="center"/>
            </w:pPr>
            <w:r>
              <w:rPr>
                <w:rFonts w:ascii="Arial" w:eastAsia="宋体" w:hAnsi="Arial" w:cs="Arial"/>
                <w:color w:val="000000"/>
                <w:sz w:val="18"/>
                <w:szCs w:val="18"/>
              </w:rPr>
              <w:t>18</w:t>
            </w:r>
          </w:p>
        </w:tc>
      </w:tr>
      <w:tr w:rsidR="00584EC1" w14:paraId="74DD5ED1" w14:textId="77777777">
        <w:tc>
          <w:tcPr>
            <w:tcW w:w="0" w:type="auto"/>
            <w:gridSpan w:val="3"/>
            <w:shd w:val="clear" w:color="auto" w:fill="auto"/>
            <w:tcMar>
              <w:top w:w="0" w:type="dxa"/>
              <w:left w:w="20" w:type="dxa"/>
              <w:bottom w:w="0" w:type="dxa"/>
              <w:right w:w="20" w:type="dxa"/>
            </w:tcMar>
            <w:vAlign w:val="bottom"/>
          </w:tcPr>
          <w:p w14:paraId="74DD5ECE" w14:textId="77777777" w:rsidR="00584EC1" w:rsidRDefault="00584EC1">
            <w:pPr>
              <w:rPr>
                <w:rFonts w:ascii="宋体"/>
              </w:rPr>
            </w:pPr>
          </w:p>
        </w:tc>
        <w:tc>
          <w:tcPr>
            <w:tcW w:w="0" w:type="auto"/>
            <w:gridSpan w:val="3"/>
            <w:shd w:val="clear" w:color="auto" w:fill="auto"/>
            <w:tcMar>
              <w:top w:w="40" w:type="dxa"/>
              <w:left w:w="380" w:type="dxa"/>
              <w:bottom w:w="40" w:type="dxa"/>
              <w:right w:w="20" w:type="dxa"/>
            </w:tcMar>
            <w:vAlign w:val="center"/>
          </w:tcPr>
          <w:p w14:paraId="74DD5ECF" w14:textId="77777777" w:rsidR="00584EC1" w:rsidRDefault="00871F8D">
            <w:pPr>
              <w:textAlignment w:val="center"/>
            </w:pPr>
            <w:r>
              <w:rPr>
                <w:rFonts w:ascii="Arial" w:eastAsia="宋体" w:hAnsi="Arial" w:cs="Arial"/>
                <w:color w:val="000000"/>
                <w:sz w:val="18"/>
                <w:szCs w:val="18"/>
              </w:rPr>
              <w:t>  Income Tax Expense</w:t>
            </w:r>
          </w:p>
        </w:tc>
        <w:tc>
          <w:tcPr>
            <w:tcW w:w="0" w:type="auto"/>
            <w:gridSpan w:val="3"/>
            <w:shd w:val="clear" w:color="auto" w:fill="auto"/>
            <w:tcMar>
              <w:top w:w="40" w:type="dxa"/>
              <w:left w:w="20" w:type="dxa"/>
              <w:bottom w:w="40" w:type="dxa"/>
              <w:right w:w="20" w:type="dxa"/>
            </w:tcMar>
            <w:vAlign w:val="center"/>
          </w:tcPr>
          <w:p w14:paraId="74DD5ED0" w14:textId="77777777" w:rsidR="00584EC1" w:rsidRDefault="00871F8D">
            <w:pPr>
              <w:jc w:val="right"/>
              <w:textAlignment w:val="center"/>
            </w:pPr>
            <w:hyperlink r:id="rId14" w:anchor="i22e5b207b1584fc686a385e0488612f3_64" w:history="1">
              <w:r>
                <w:rPr>
                  <w:rStyle w:val="a5"/>
                  <w:rFonts w:ascii="Arial" w:eastAsia="宋体" w:hAnsi="Arial" w:cs="Arial"/>
                  <w:color w:val="000000"/>
                  <w:sz w:val="18"/>
                  <w:szCs w:val="18"/>
                  <w:u w:val="none"/>
                </w:rPr>
                <w:t>19</w:t>
              </w:r>
            </w:hyperlink>
          </w:p>
        </w:tc>
      </w:tr>
      <w:tr w:rsidR="00584EC1" w14:paraId="74DD5ED5" w14:textId="77777777">
        <w:tc>
          <w:tcPr>
            <w:tcW w:w="0" w:type="auto"/>
            <w:gridSpan w:val="3"/>
            <w:shd w:val="clear" w:color="auto" w:fill="auto"/>
            <w:tcMar>
              <w:top w:w="0" w:type="dxa"/>
              <w:left w:w="20" w:type="dxa"/>
              <w:bottom w:w="0" w:type="dxa"/>
              <w:right w:w="20" w:type="dxa"/>
            </w:tcMar>
            <w:vAlign w:val="bottom"/>
          </w:tcPr>
          <w:p w14:paraId="74DD5ED2" w14:textId="77777777" w:rsidR="00584EC1" w:rsidRDefault="00584EC1">
            <w:pPr>
              <w:rPr>
                <w:rFonts w:ascii="宋体"/>
              </w:rPr>
            </w:pPr>
          </w:p>
        </w:tc>
        <w:tc>
          <w:tcPr>
            <w:tcW w:w="0" w:type="auto"/>
            <w:gridSpan w:val="3"/>
            <w:shd w:val="clear" w:color="auto" w:fill="auto"/>
            <w:tcMar>
              <w:top w:w="40" w:type="dxa"/>
              <w:left w:w="380" w:type="dxa"/>
              <w:bottom w:w="40" w:type="dxa"/>
              <w:right w:w="20" w:type="dxa"/>
            </w:tcMar>
            <w:vAlign w:val="center"/>
          </w:tcPr>
          <w:p w14:paraId="74DD5ED3" w14:textId="77777777" w:rsidR="00584EC1" w:rsidRDefault="00871F8D">
            <w:pPr>
              <w:textAlignment w:val="center"/>
            </w:pPr>
            <w:r>
              <w:rPr>
                <w:rFonts w:ascii="Arial" w:eastAsia="宋体" w:hAnsi="Arial" w:cs="Arial"/>
                <w:color w:val="000000"/>
                <w:sz w:val="18"/>
                <w:szCs w:val="18"/>
              </w:rPr>
              <w:t>Line of Business Information</w:t>
            </w:r>
          </w:p>
        </w:tc>
        <w:tc>
          <w:tcPr>
            <w:tcW w:w="0" w:type="auto"/>
            <w:gridSpan w:val="3"/>
            <w:shd w:val="clear" w:color="auto" w:fill="auto"/>
            <w:tcMar>
              <w:top w:w="40" w:type="dxa"/>
              <w:left w:w="20" w:type="dxa"/>
              <w:bottom w:w="40" w:type="dxa"/>
              <w:right w:w="20" w:type="dxa"/>
            </w:tcMar>
            <w:vAlign w:val="center"/>
          </w:tcPr>
          <w:p w14:paraId="74DD5ED4" w14:textId="77777777" w:rsidR="00584EC1" w:rsidRDefault="00871F8D">
            <w:pPr>
              <w:jc w:val="right"/>
              <w:textAlignment w:val="center"/>
            </w:pPr>
            <w:hyperlink r:id="rId15" w:anchor="i22e5b207b1584fc686a385e0488612f3_67" w:history="1">
              <w:r>
                <w:rPr>
                  <w:rStyle w:val="a5"/>
                  <w:rFonts w:ascii="Arial" w:eastAsia="宋体" w:hAnsi="Arial" w:cs="Arial"/>
                  <w:color w:val="000000"/>
                  <w:sz w:val="18"/>
                  <w:szCs w:val="18"/>
                  <w:u w:val="none"/>
                </w:rPr>
                <w:t>19</w:t>
              </w:r>
            </w:hyperlink>
          </w:p>
        </w:tc>
      </w:tr>
      <w:tr w:rsidR="00584EC1" w14:paraId="74DD5ED9" w14:textId="77777777">
        <w:tc>
          <w:tcPr>
            <w:tcW w:w="0" w:type="auto"/>
            <w:gridSpan w:val="3"/>
            <w:shd w:val="clear" w:color="auto" w:fill="auto"/>
            <w:tcMar>
              <w:top w:w="0" w:type="dxa"/>
              <w:left w:w="20" w:type="dxa"/>
              <w:bottom w:w="0" w:type="dxa"/>
              <w:right w:w="20" w:type="dxa"/>
            </w:tcMar>
            <w:vAlign w:val="bottom"/>
          </w:tcPr>
          <w:p w14:paraId="74DD5ED6" w14:textId="77777777" w:rsidR="00584EC1" w:rsidRDefault="00584EC1">
            <w:pPr>
              <w:rPr>
                <w:rFonts w:ascii="宋体"/>
              </w:rPr>
            </w:pPr>
          </w:p>
        </w:tc>
        <w:tc>
          <w:tcPr>
            <w:tcW w:w="0" w:type="auto"/>
            <w:gridSpan w:val="3"/>
            <w:shd w:val="clear" w:color="auto" w:fill="auto"/>
            <w:tcMar>
              <w:top w:w="40" w:type="dxa"/>
              <w:left w:w="515" w:type="dxa"/>
              <w:bottom w:w="40" w:type="dxa"/>
              <w:right w:w="20" w:type="dxa"/>
            </w:tcMar>
            <w:vAlign w:val="center"/>
          </w:tcPr>
          <w:p w14:paraId="74DD5ED7" w14:textId="77777777" w:rsidR="00584EC1" w:rsidRDefault="00871F8D">
            <w:pPr>
              <w:textAlignment w:val="center"/>
            </w:pPr>
            <w:r>
              <w:rPr>
                <w:rFonts w:ascii="Arial" w:eastAsia="宋体" w:hAnsi="Arial" w:cs="Arial"/>
                <w:color w:val="000000"/>
                <w:sz w:val="18"/>
                <w:szCs w:val="18"/>
              </w:rPr>
              <w:t>Investment Servicing</w:t>
            </w:r>
          </w:p>
        </w:tc>
        <w:tc>
          <w:tcPr>
            <w:tcW w:w="0" w:type="auto"/>
            <w:gridSpan w:val="3"/>
            <w:shd w:val="clear" w:color="auto" w:fill="auto"/>
            <w:tcMar>
              <w:top w:w="40" w:type="dxa"/>
              <w:left w:w="20" w:type="dxa"/>
              <w:bottom w:w="40" w:type="dxa"/>
              <w:right w:w="20" w:type="dxa"/>
            </w:tcMar>
            <w:vAlign w:val="center"/>
          </w:tcPr>
          <w:p w14:paraId="74DD5ED8" w14:textId="77777777" w:rsidR="00584EC1" w:rsidRDefault="00871F8D">
            <w:pPr>
              <w:jc w:val="right"/>
              <w:textAlignment w:val="center"/>
            </w:pPr>
            <w:hyperlink r:id="rId16" w:anchor="i22e5b207b1584fc686a385e0488612f3_70" w:history="1">
              <w:r>
                <w:rPr>
                  <w:rStyle w:val="a5"/>
                  <w:rFonts w:ascii="Arial" w:eastAsia="宋体" w:hAnsi="Arial" w:cs="Arial"/>
                  <w:color w:val="000000"/>
                  <w:sz w:val="18"/>
                  <w:szCs w:val="18"/>
                  <w:u w:val="none"/>
                </w:rPr>
                <w:t>20</w:t>
              </w:r>
            </w:hyperlink>
          </w:p>
        </w:tc>
      </w:tr>
      <w:tr w:rsidR="00584EC1" w14:paraId="74DD5EDD" w14:textId="77777777">
        <w:tc>
          <w:tcPr>
            <w:tcW w:w="0" w:type="auto"/>
            <w:gridSpan w:val="3"/>
            <w:shd w:val="clear" w:color="auto" w:fill="auto"/>
            <w:tcMar>
              <w:top w:w="0" w:type="dxa"/>
              <w:left w:w="20" w:type="dxa"/>
              <w:bottom w:w="0" w:type="dxa"/>
              <w:right w:w="20" w:type="dxa"/>
            </w:tcMar>
            <w:vAlign w:val="bottom"/>
          </w:tcPr>
          <w:p w14:paraId="74DD5EDA" w14:textId="77777777" w:rsidR="00584EC1" w:rsidRDefault="00584EC1">
            <w:pPr>
              <w:rPr>
                <w:rFonts w:ascii="宋体"/>
              </w:rPr>
            </w:pPr>
          </w:p>
        </w:tc>
        <w:tc>
          <w:tcPr>
            <w:tcW w:w="0" w:type="auto"/>
            <w:gridSpan w:val="3"/>
            <w:shd w:val="clear" w:color="auto" w:fill="auto"/>
            <w:tcMar>
              <w:top w:w="40" w:type="dxa"/>
              <w:left w:w="515" w:type="dxa"/>
              <w:bottom w:w="40" w:type="dxa"/>
              <w:right w:w="20" w:type="dxa"/>
            </w:tcMar>
            <w:vAlign w:val="center"/>
          </w:tcPr>
          <w:p w14:paraId="74DD5EDB" w14:textId="77777777" w:rsidR="00584EC1" w:rsidRDefault="00871F8D">
            <w:pPr>
              <w:textAlignment w:val="center"/>
            </w:pPr>
            <w:r>
              <w:rPr>
                <w:rFonts w:ascii="Arial" w:eastAsia="宋体" w:hAnsi="Arial" w:cs="Arial"/>
                <w:color w:val="000000"/>
                <w:sz w:val="18"/>
                <w:szCs w:val="18"/>
              </w:rPr>
              <w:t>Investment Management</w:t>
            </w:r>
          </w:p>
        </w:tc>
        <w:tc>
          <w:tcPr>
            <w:tcW w:w="0" w:type="auto"/>
            <w:gridSpan w:val="3"/>
            <w:shd w:val="clear" w:color="auto" w:fill="auto"/>
            <w:tcMar>
              <w:top w:w="40" w:type="dxa"/>
              <w:left w:w="20" w:type="dxa"/>
              <w:bottom w:w="40" w:type="dxa"/>
              <w:right w:w="20" w:type="dxa"/>
            </w:tcMar>
            <w:vAlign w:val="center"/>
          </w:tcPr>
          <w:p w14:paraId="74DD5EDC" w14:textId="77777777" w:rsidR="00584EC1" w:rsidRDefault="00871F8D">
            <w:pPr>
              <w:jc w:val="right"/>
              <w:textAlignment w:val="center"/>
            </w:pPr>
            <w:hyperlink r:id="rId17" w:anchor="i22e5b207b1584fc686a385e0488612f3_91" w:history="1">
              <w:r>
                <w:rPr>
                  <w:rStyle w:val="a5"/>
                  <w:rFonts w:ascii="Arial" w:eastAsia="宋体" w:hAnsi="Arial" w:cs="Arial"/>
                  <w:color w:val="000000"/>
                  <w:sz w:val="18"/>
                  <w:szCs w:val="18"/>
                  <w:u w:val="none"/>
                </w:rPr>
                <w:t>24</w:t>
              </w:r>
            </w:hyperlink>
          </w:p>
        </w:tc>
      </w:tr>
      <w:tr w:rsidR="00584EC1" w14:paraId="74DD5EE1" w14:textId="77777777">
        <w:tc>
          <w:tcPr>
            <w:tcW w:w="0" w:type="auto"/>
            <w:gridSpan w:val="3"/>
            <w:shd w:val="clear" w:color="auto" w:fill="auto"/>
            <w:tcMar>
              <w:top w:w="0" w:type="dxa"/>
              <w:left w:w="20" w:type="dxa"/>
              <w:bottom w:w="0" w:type="dxa"/>
              <w:right w:w="20" w:type="dxa"/>
            </w:tcMar>
            <w:vAlign w:val="bottom"/>
          </w:tcPr>
          <w:p w14:paraId="74DD5EDE" w14:textId="77777777" w:rsidR="00584EC1" w:rsidRDefault="00584EC1">
            <w:pPr>
              <w:rPr>
                <w:rFonts w:ascii="宋体"/>
              </w:rPr>
            </w:pPr>
          </w:p>
        </w:tc>
        <w:tc>
          <w:tcPr>
            <w:tcW w:w="0" w:type="auto"/>
            <w:gridSpan w:val="3"/>
            <w:shd w:val="clear" w:color="auto" w:fill="auto"/>
            <w:tcMar>
              <w:top w:w="40" w:type="dxa"/>
              <w:left w:w="380" w:type="dxa"/>
              <w:bottom w:w="40" w:type="dxa"/>
              <w:right w:w="20" w:type="dxa"/>
            </w:tcMar>
            <w:vAlign w:val="center"/>
          </w:tcPr>
          <w:p w14:paraId="74DD5EDF" w14:textId="77777777" w:rsidR="00584EC1" w:rsidRDefault="00871F8D">
            <w:pPr>
              <w:textAlignment w:val="center"/>
            </w:pPr>
            <w:r>
              <w:rPr>
                <w:rFonts w:ascii="Arial" w:eastAsia="宋体" w:hAnsi="Arial" w:cs="Arial"/>
                <w:color w:val="000000"/>
                <w:sz w:val="18"/>
                <w:szCs w:val="18"/>
              </w:rPr>
              <w:t>Financial Condition</w:t>
            </w:r>
          </w:p>
        </w:tc>
        <w:tc>
          <w:tcPr>
            <w:tcW w:w="0" w:type="auto"/>
            <w:gridSpan w:val="3"/>
            <w:shd w:val="clear" w:color="auto" w:fill="auto"/>
            <w:tcMar>
              <w:top w:w="40" w:type="dxa"/>
              <w:left w:w="20" w:type="dxa"/>
              <w:bottom w:w="40" w:type="dxa"/>
              <w:right w:w="20" w:type="dxa"/>
            </w:tcMar>
            <w:vAlign w:val="center"/>
          </w:tcPr>
          <w:p w14:paraId="74DD5EE0" w14:textId="77777777" w:rsidR="00584EC1" w:rsidRDefault="00871F8D">
            <w:pPr>
              <w:jc w:val="right"/>
              <w:textAlignment w:val="center"/>
            </w:pPr>
            <w:hyperlink r:id="rId18" w:anchor="i22e5b207b1584fc686a385e0488612f3_100" w:history="1">
              <w:r>
                <w:rPr>
                  <w:rStyle w:val="a5"/>
                  <w:rFonts w:ascii="Arial" w:eastAsia="宋体" w:hAnsi="Arial" w:cs="Arial"/>
                  <w:color w:val="000000"/>
                  <w:sz w:val="18"/>
                  <w:szCs w:val="18"/>
                  <w:u w:val="none"/>
                </w:rPr>
                <w:t>27</w:t>
              </w:r>
            </w:hyperlink>
          </w:p>
        </w:tc>
      </w:tr>
      <w:tr w:rsidR="00584EC1" w14:paraId="74DD5EE5" w14:textId="77777777">
        <w:tc>
          <w:tcPr>
            <w:tcW w:w="0" w:type="auto"/>
            <w:gridSpan w:val="3"/>
            <w:shd w:val="clear" w:color="auto" w:fill="auto"/>
            <w:tcMar>
              <w:top w:w="0" w:type="dxa"/>
              <w:left w:w="20" w:type="dxa"/>
              <w:bottom w:w="0" w:type="dxa"/>
              <w:right w:w="20" w:type="dxa"/>
            </w:tcMar>
            <w:vAlign w:val="bottom"/>
          </w:tcPr>
          <w:p w14:paraId="74DD5EE2" w14:textId="77777777" w:rsidR="00584EC1" w:rsidRDefault="00584EC1">
            <w:pPr>
              <w:rPr>
                <w:rFonts w:ascii="宋体"/>
              </w:rPr>
            </w:pPr>
          </w:p>
        </w:tc>
        <w:tc>
          <w:tcPr>
            <w:tcW w:w="0" w:type="auto"/>
            <w:gridSpan w:val="3"/>
            <w:shd w:val="clear" w:color="auto" w:fill="auto"/>
            <w:tcMar>
              <w:top w:w="40" w:type="dxa"/>
              <w:left w:w="515" w:type="dxa"/>
              <w:bottom w:w="40" w:type="dxa"/>
              <w:right w:w="20" w:type="dxa"/>
            </w:tcMar>
            <w:vAlign w:val="center"/>
          </w:tcPr>
          <w:p w14:paraId="74DD5EE3" w14:textId="77777777" w:rsidR="00584EC1" w:rsidRDefault="00871F8D">
            <w:pPr>
              <w:textAlignment w:val="center"/>
            </w:pPr>
            <w:r>
              <w:rPr>
                <w:rFonts w:ascii="Arial" w:eastAsia="宋体" w:hAnsi="Arial" w:cs="Arial"/>
                <w:color w:val="000000"/>
                <w:sz w:val="18"/>
                <w:szCs w:val="18"/>
              </w:rPr>
              <w:t>Investment Securities</w:t>
            </w:r>
          </w:p>
        </w:tc>
        <w:tc>
          <w:tcPr>
            <w:tcW w:w="0" w:type="auto"/>
            <w:gridSpan w:val="3"/>
            <w:shd w:val="clear" w:color="auto" w:fill="auto"/>
            <w:tcMar>
              <w:top w:w="40" w:type="dxa"/>
              <w:left w:w="20" w:type="dxa"/>
              <w:bottom w:w="40" w:type="dxa"/>
              <w:right w:w="20" w:type="dxa"/>
            </w:tcMar>
            <w:vAlign w:val="center"/>
          </w:tcPr>
          <w:p w14:paraId="74DD5EE4" w14:textId="77777777" w:rsidR="00584EC1" w:rsidRDefault="00871F8D">
            <w:pPr>
              <w:jc w:val="right"/>
              <w:textAlignment w:val="center"/>
            </w:pPr>
            <w:hyperlink r:id="rId19" w:anchor="i22e5b207b1584fc686a385e0488612f3_103" w:history="1">
              <w:r>
                <w:rPr>
                  <w:rStyle w:val="a5"/>
                  <w:rFonts w:ascii="Arial" w:eastAsia="宋体" w:hAnsi="Arial" w:cs="Arial"/>
                  <w:color w:val="000000"/>
                  <w:sz w:val="18"/>
                  <w:szCs w:val="18"/>
                  <w:u w:val="none"/>
                </w:rPr>
                <w:t>28</w:t>
              </w:r>
            </w:hyperlink>
          </w:p>
        </w:tc>
      </w:tr>
      <w:tr w:rsidR="00584EC1" w14:paraId="74DD5EE9" w14:textId="77777777">
        <w:tc>
          <w:tcPr>
            <w:tcW w:w="0" w:type="auto"/>
            <w:gridSpan w:val="3"/>
            <w:shd w:val="clear" w:color="auto" w:fill="auto"/>
            <w:tcMar>
              <w:top w:w="0" w:type="dxa"/>
              <w:left w:w="20" w:type="dxa"/>
              <w:bottom w:w="0" w:type="dxa"/>
              <w:right w:w="20" w:type="dxa"/>
            </w:tcMar>
            <w:vAlign w:val="bottom"/>
          </w:tcPr>
          <w:p w14:paraId="74DD5EE6" w14:textId="77777777" w:rsidR="00584EC1" w:rsidRDefault="00584EC1">
            <w:pPr>
              <w:rPr>
                <w:rFonts w:ascii="宋体"/>
              </w:rPr>
            </w:pPr>
          </w:p>
        </w:tc>
        <w:tc>
          <w:tcPr>
            <w:tcW w:w="0" w:type="auto"/>
            <w:gridSpan w:val="3"/>
            <w:shd w:val="clear" w:color="auto" w:fill="auto"/>
            <w:tcMar>
              <w:top w:w="40" w:type="dxa"/>
              <w:left w:w="515" w:type="dxa"/>
              <w:bottom w:w="40" w:type="dxa"/>
              <w:right w:w="20" w:type="dxa"/>
            </w:tcMar>
            <w:vAlign w:val="center"/>
          </w:tcPr>
          <w:p w14:paraId="74DD5EE7" w14:textId="77777777" w:rsidR="00584EC1" w:rsidRDefault="00871F8D">
            <w:pPr>
              <w:textAlignment w:val="center"/>
            </w:pPr>
            <w:r>
              <w:rPr>
                <w:rFonts w:ascii="Arial" w:eastAsia="宋体" w:hAnsi="Arial" w:cs="Arial"/>
                <w:color w:val="000000"/>
                <w:sz w:val="18"/>
                <w:szCs w:val="18"/>
              </w:rPr>
              <w:t xml:space="preserve">Loans </w:t>
            </w:r>
          </w:p>
        </w:tc>
        <w:tc>
          <w:tcPr>
            <w:tcW w:w="0" w:type="auto"/>
            <w:gridSpan w:val="3"/>
            <w:shd w:val="clear" w:color="auto" w:fill="auto"/>
            <w:tcMar>
              <w:top w:w="40" w:type="dxa"/>
              <w:left w:w="20" w:type="dxa"/>
              <w:bottom w:w="40" w:type="dxa"/>
              <w:right w:w="20" w:type="dxa"/>
            </w:tcMar>
            <w:vAlign w:val="center"/>
          </w:tcPr>
          <w:p w14:paraId="74DD5EE8" w14:textId="77777777" w:rsidR="00584EC1" w:rsidRDefault="00871F8D">
            <w:pPr>
              <w:jc w:val="right"/>
              <w:textAlignment w:val="center"/>
            </w:pPr>
            <w:hyperlink r:id="rId20" w:anchor="i22e5b207b1584fc686a385e0488612f3_115" w:history="1">
              <w:r>
                <w:rPr>
                  <w:rStyle w:val="a5"/>
                  <w:rFonts w:ascii="Arial" w:eastAsia="宋体" w:hAnsi="Arial" w:cs="Arial"/>
                  <w:color w:val="000000"/>
                  <w:sz w:val="18"/>
                  <w:szCs w:val="18"/>
                  <w:u w:val="none"/>
                </w:rPr>
                <w:t>30</w:t>
              </w:r>
            </w:hyperlink>
          </w:p>
        </w:tc>
      </w:tr>
      <w:tr w:rsidR="00584EC1" w14:paraId="74DD5EED" w14:textId="77777777">
        <w:tc>
          <w:tcPr>
            <w:tcW w:w="0" w:type="auto"/>
            <w:gridSpan w:val="3"/>
            <w:shd w:val="clear" w:color="auto" w:fill="auto"/>
            <w:tcMar>
              <w:top w:w="0" w:type="dxa"/>
              <w:left w:w="20" w:type="dxa"/>
              <w:bottom w:w="0" w:type="dxa"/>
              <w:right w:w="20" w:type="dxa"/>
            </w:tcMar>
            <w:vAlign w:val="bottom"/>
          </w:tcPr>
          <w:p w14:paraId="74DD5EEA" w14:textId="77777777" w:rsidR="00584EC1" w:rsidRDefault="00584EC1">
            <w:pPr>
              <w:rPr>
                <w:rFonts w:ascii="宋体"/>
              </w:rPr>
            </w:pPr>
          </w:p>
        </w:tc>
        <w:tc>
          <w:tcPr>
            <w:tcW w:w="0" w:type="auto"/>
            <w:gridSpan w:val="3"/>
            <w:shd w:val="clear" w:color="auto" w:fill="auto"/>
            <w:tcMar>
              <w:top w:w="40" w:type="dxa"/>
              <w:left w:w="515" w:type="dxa"/>
              <w:bottom w:w="40" w:type="dxa"/>
              <w:right w:w="20" w:type="dxa"/>
            </w:tcMar>
            <w:vAlign w:val="center"/>
          </w:tcPr>
          <w:p w14:paraId="74DD5EEB" w14:textId="77777777" w:rsidR="00584EC1" w:rsidRDefault="00871F8D">
            <w:pPr>
              <w:textAlignment w:val="center"/>
            </w:pPr>
            <w:r>
              <w:rPr>
                <w:rFonts w:ascii="Arial" w:eastAsia="宋体" w:hAnsi="Arial" w:cs="Arial"/>
                <w:color w:val="000000"/>
                <w:sz w:val="18"/>
                <w:szCs w:val="18"/>
              </w:rPr>
              <w:t>Cross-Border Outstandings</w:t>
            </w:r>
          </w:p>
        </w:tc>
        <w:tc>
          <w:tcPr>
            <w:tcW w:w="0" w:type="auto"/>
            <w:gridSpan w:val="3"/>
            <w:shd w:val="clear" w:color="auto" w:fill="auto"/>
            <w:tcMar>
              <w:top w:w="40" w:type="dxa"/>
              <w:left w:w="20" w:type="dxa"/>
              <w:bottom w:w="40" w:type="dxa"/>
              <w:right w:w="20" w:type="dxa"/>
            </w:tcMar>
            <w:vAlign w:val="center"/>
          </w:tcPr>
          <w:p w14:paraId="74DD5EEC" w14:textId="77777777" w:rsidR="00584EC1" w:rsidRDefault="00871F8D">
            <w:pPr>
              <w:jc w:val="right"/>
              <w:textAlignment w:val="center"/>
            </w:pPr>
            <w:hyperlink r:id="rId21" w:anchor="i22e5b207b1584fc686a385e0488612f3_118" w:history="1">
              <w:r>
                <w:rPr>
                  <w:rStyle w:val="a5"/>
                  <w:rFonts w:ascii="Arial" w:eastAsia="宋体" w:hAnsi="Arial" w:cs="Arial"/>
                  <w:color w:val="000000"/>
                  <w:sz w:val="18"/>
                  <w:szCs w:val="18"/>
                  <w:u w:val="none"/>
                </w:rPr>
                <w:t>31</w:t>
              </w:r>
            </w:hyperlink>
          </w:p>
        </w:tc>
      </w:tr>
      <w:tr w:rsidR="00584EC1" w14:paraId="74DD5EF1" w14:textId="77777777">
        <w:tc>
          <w:tcPr>
            <w:tcW w:w="0" w:type="auto"/>
            <w:gridSpan w:val="3"/>
            <w:shd w:val="clear" w:color="auto" w:fill="auto"/>
            <w:tcMar>
              <w:top w:w="0" w:type="dxa"/>
              <w:left w:w="20" w:type="dxa"/>
              <w:bottom w:w="0" w:type="dxa"/>
              <w:right w:w="20" w:type="dxa"/>
            </w:tcMar>
            <w:vAlign w:val="bottom"/>
          </w:tcPr>
          <w:p w14:paraId="74DD5EEE" w14:textId="77777777" w:rsidR="00584EC1" w:rsidRDefault="00584EC1">
            <w:pPr>
              <w:rPr>
                <w:rFonts w:ascii="宋体"/>
              </w:rPr>
            </w:pPr>
          </w:p>
        </w:tc>
        <w:tc>
          <w:tcPr>
            <w:tcW w:w="0" w:type="auto"/>
            <w:gridSpan w:val="3"/>
            <w:shd w:val="clear" w:color="auto" w:fill="auto"/>
            <w:tcMar>
              <w:top w:w="40" w:type="dxa"/>
              <w:left w:w="515" w:type="dxa"/>
              <w:bottom w:w="40" w:type="dxa"/>
              <w:right w:w="20" w:type="dxa"/>
            </w:tcMar>
            <w:vAlign w:val="center"/>
          </w:tcPr>
          <w:p w14:paraId="74DD5EEF" w14:textId="77777777" w:rsidR="00584EC1" w:rsidRDefault="00871F8D">
            <w:pPr>
              <w:textAlignment w:val="center"/>
            </w:pPr>
            <w:r>
              <w:rPr>
                <w:rFonts w:ascii="Arial" w:eastAsia="宋体" w:hAnsi="Arial" w:cs="Arial"/>
                <w:color w:val="000000"/>
                <w:sz w:val="18"/>
                <w:szCs w:val="18"/>
              </w:rPr>
              <w:t>Risk Management</w:t>
            </w:r>
          </w:p>
        </w:tc>
        <w:tc>
          <w:tcPr>
            <w:tcW w:w="0" w:type="auto"/>
            <w:gridSpan w:val="3"/>
            <w:shd w:val="clear" w:color="auto" w:fill="auto"/>
            <w:tcMar>
              <w:top w:w="40" w:type="dxa"/>
              <w:left w:w="20" w:type="dxa"/>
              <w:bottom w:w="40" w:type="dxa"/>
              <w:right w:w="20" w:type="dxa"/>
            </w:tcMar>
            <w:vAlign w:val="center"/>
          </w:tcPr>
          <w:p w14:paraId="74DD5EF0" w14:textId="77777777" w:rsidR="00584EC1" w:rsidRDefault="00871F8D">
            <w:pPr>
              <w:jc w:val="right"/>
              <w:textAlignment w:val="center"/>
            </w:pPr>
            <w:hyperlink r:id="rId22" w:anchor="i22e5b207b1584fc686a385e0488612f3_121" w:history="1">
              <w:r>
                <w:rPr>
                  <w:rStyle w:val="a5"/>
                  <w:rFonts w:ascii="Arial" w:eastAsia="宋体" w:hAnsi="Arial" w:cs="Arial"/>
                  <w:color w:val="000000"/>
                  <w:sz w:val="18"/>
                  <w:szCs w:val="18"/>
                  <w:u w:val="none"/>
                </w:rPr>
                <w:t>31</w:t>
              </w:r>
            </w:hyperlink>
          </w:p>
        </w:tc>
      </w:tr>
      <w:tr w:rsidR="00584EC1" w14:paraId="74DD5EF5" w14:textId="77777777">
        <w:tc>
          <w:tcPr>
            <w:tcW w:w="0" w:type="auto"/>
            <w:gridSpan w:val="3"/>
            <w:shd w:val="clear" w:color="auto" w:fill="auto"/>
            <w:tcMar>
              <w:top w:w="0" w:type="dxa"/>
              <w:left w:w="20" w:type="dxa"/>
              <w:bottom w:w="0" w:type="dxa"/>
              <w:right w:w="20" w:type="dxa"/>
            </w:tcMar>
            <w:vAlign w:val="bottom"/>
          </w:tcPr>
          <w:p w14:paraId="74DD5EF2" w14:textId="77777777" w:rsidR="00584EC1" w:rsidRDefault="00584EC1">
            <w:pPr>
              <w:rPr>
                <w:rFonts w:ascii="宋体"/>
              </w:rPr>
            </w:pPr>
          </w:p>
        </w:tc>
        <w:tc>
          <w:tcPr>
            <w:tcW w:w="0" w:type="auto"/>
            <w:gridSpan w:val="3"/>
            <w:shd w:val="clear" w:color="auto" w:fill="auto"/>
            <w:tcMar>
              <w:top w:w="40" w:type="dxa"/>
              <w:left w:w="515" w:type="dxa"/>
              <w:bottom w:w="40" w:type="dxa"/>
              <w:right w:w="20" w:type="dxa"/>
            </w:tcMar>
            <w:vAlign w:val="center"/>
          </w:tcPr>
          <w:p w14:paraId="74DD5EF3" w14:textId="77777777" w:rsidR="00584EC1" w:rsidRDefault="00871F8D">
            <w:pPr>
              <w:textAlignment w:val="center"/>
            </w:pPr>
            <w:r>
              <w:rPr>
                <w:rFonts w:ascii="Arial" w:eastAsia="宋体" w:hAnsi="Arial" w:cs="Arial"/>
                <w:color w:val="000000"/>
                <w:sz w:val="18"/>
                <w:szCs w:val="18"/>
              </w:rPr>
              <w:t>Credit Risk Management</w:t>
            </w:r>
          </w:p>
        </w:tc>
        <w:tc>
          <w:tcPr>
            <w:tcW w:w="0" w:type="auto"/>
            <w:gridSpan w:val="3"/>
            <w:shd w:val="clear" w:color="auto" w:fill="auto"/>
            <w:tcMar>
              <w:top w:w="40" w:type="dxa"/>
              <w:left w:w="20" w:type="dxa"/>
              <w:bottom w:w="40" w:type="dxa"/>
              <w:right w:w="20" w:type="dxa"/>
            </w:tcMar>
            <w:vAlign w:val="center"/>
          </w:tcPr>
          <w:p w14:paraId="74DD5EF4" w14:textId="77777777" w:rsidR="00584EC1" w:rsidRDefault="00871F8D">
            <w:pPr>
              <w:jc w:val="right"/>
              <w:textAlignment w:val="center"/>
            </w:pPr>
            <w:hyperlink r:id="rId23" w:anchor="i22e5b207b1584fc686a385e0488612f3_124" w:history="1">
              <w:r>
                <w:rPr>
                  <w:rStyle w:val="a5"/>
                  <w:rFonts w:ascii="Arial" w:eastAsia="宋体" w:hAnsi="Arial" w:cs="Arial"/>
                  <w:color w:val="000000"/>
                  <w:sz w:val="18"/>
                  <w:szCs w:val="18"/>
                  <w:u w:val="none"/>
                </w:rPr>
                <w:t>32</w:t>
              </w:r>
            </w:hyperlink>
          </w:p>
        </w:tc>
      </w:tr>
      <w:tr w:rsidR="00584EC1" w14:paraId="74DD5EF9" w14:textId="77777777">
        <w:tc>
          <w:tcPr>
            <w:tcW w:w="0" w:type="auto"/>
            <w:gridSpan w:val="3"/>
            <w:shd w:val="clear" w:color="auto" w:fill="auto"/>
            <w:tcMar>
              <w:top w:w="0" w:type="dxa"/>
              <w:left w:w="20" w:type="dxa"/>
              <w:bottom w:w="0" w:type="dxa"/>
              <w:right w:w="20" w:type="dxa"/>
            </w:tcMar>
            <w:vAlign w:val="bottom"/>
          </w:tcPr>
          <w:p w14:paraId="74DD5EF6" w14:textId="77777777" w:rsidR="00584EC1" w:rsidRDefault="00584EC1">
            <w:pPr>
              <w:rPr>
                <w:rFonts w:ascii="宋体"/>
              </w:rPr>
            </w:pPr>
          </w:p>
        </w:tc>
        <w:tc>
          <w:tcPr>
            <w:tcW w:w="0" w:type="auto"/>
            <w:gridSpan w:val="3"/>
            <w:shd w:val="clear" w:color="auto" w:fill="auto"/>
            <w:tcMar>
              <w:top w:w="40" w:type="dxa"/>
              <w:left w:w="515" w:type="dxa"/>
              <w:bottom w:w="40" w:type="dxa"/>
              <w:right w:w="20" w:type="dxa"/>
            </w:tcMar>
            <w:vAlign w:val="center"/>
          </w:tcPr>
          <w:p w14:paraId="74DD5EF7" w14:textId="77777777" w:rsidR="00584EC1" w:rsidRDefault="00871F8D">
            <w:pPr>
              <w:textAlignment w:val="center"/>
            </w:pPr>
            <w:r>
              <w:rPr>
                <w:rFonts w:ascii="Arial" w:eastAsia="宋体" w:hAnsi="Arial" w:cs="Arial"/>
                <w:color w:val="000000"/>
                <w:sz w:val="18"/>
                <w:szCs w:val="18"/>
              </w:rPr>
              <w:t>Liquidity Risk Management</w:t>
            </w:r>
          </w:p>
        </w:tc>
        <w:tc>
          <w:tcPr>
            <w:tcW w:w="0" w:type="auto"/>
            <w:gridSpan w:val="3"/>
            <w:shd w:val="clear" w:color="auto" w:fill="auto"/>
            <w:tcMar>
              <w:top w:w="40" w:type="dxa"/>
              <w:left w:w="20" w:type="dxa"/>
              <w:bottom w:w="40" w:type="dxa"/>
              <w:right w:w="20" w:type="dxa"/>
            </w:tcMar>
            <w:vAlign w:val="center"/>
          </w:tcPr>
          <w:p w14:paraId="74DD5EF8" w14:textId="77777777" w:rsidR="00584EC1" w:rsidRDefault="00871F8D">
            <w:pPr>
              <w:jc w:val="right"/>
              <w:textAlignment w:val="center"/>
            </w:pPr>
            <w:hyperlink r:id="rId24" w:anchor="i22e5b207b1584fc686a385e0488612f3_145" w:history="1">
              <w:r>
                <w:rPr>
                  <w:rStyle w:val="a5"/>
                  <w:rFonts w:ascii="Arial" w:eastAsia="宋体" w:hAnsi="Arial" w:cs="Arial"/>
                  <w:color w:val="000000"/>
                  <w:sz w:val="18"/>
                  <w:szCs w:val="18"/>
                  <w:u w:val="none"/>
                </w:rPr>
                <w:t>32</w:t>
              </w:r>
            </w:hyperlink>
          </w:p>
        </w:tc>
      </w:tr>
      <w:tr w:rsidR="00584EC1" w14:paraId="74DD5EFD" w14:textId="77777777">
        <w:tc>
          <w:tcPr>
            <w:tcW w:w="0" w:type="auto"/>
            <w:gridSpan w:val="3"/>
            <w:shd w:val="clear" w:color="auto" w:fill="auto"/>
            <w:tcMar>
              <w:top w:w="0" w:type="dxa"/>
              <w:left w:w="20" w:type="dxa"/>
              <w:bottom w:w="0" w:type="dxa"/>
              <w:right w:w="20" w:type="dxa"/>
            </w:tcMar>
            <w:vAlign w:val="bottom"/>
          </w:tcPr>
          <w:p w14:paraId="74DD5EFA" w14:textId="77777777" w:rsidR="00584EC1" w:rsidRDefault="00584EC1">
            <w:pPr>
              <w:rPr>
                <w:rFonts w:ascii="宋体"/>
              </w:rPr>
            </w:pPr>
          </w:p>
        </w:tc>
        <w:tc>
          <w:tcPr>
            <w:tcW w:w="0" w:type="auto"/>
            <w:gridSpan w:val="3"/>
            <w:shd w:val="clear" w:color="auto" w:fill="auto"/>
            <w:tcMar>
              <w:top w:w="40" w:type="dxa"/>
              <w:left w:w="515" w:type="dxa"/>
              <w:bottom w:w="40" w:type="dxa"/>
              <w:right w:w="20" w:type="dxa"/>
            </w:tcMar>
            <w:vAlign w:val="center"/>
          </w:tcPr>
          <w:p w14:paraId="74DD5EFB" w14:textId="77777777" w:rsidR="00584EC1" w:rsidRDefault="00871F8D">
            <w:pPr>
              <w:textAlignment w:val="center"/>
            </w:pPr>
            <w:r>
              <w:rPr>
                <w:rFonts w:ascii="Arial" w:eastAsia="宋体" w:hAnsi="Arial" w:cs="Arial"/>
                <w:color w:val="000000"/>
                <w:sz w:val="18"/>
                <w:szCs w:val="18"/>
              </w:rPr>
              <w:t>Operational Risk Management</w:t>
            </w:r>
          </w:p>
        </w:tc>
        <w:tc>
          <w:tcPr>
            <w:tcW w:w="0" w:type="auto"/>
            <w:gridSpan w:val="3"/>
            <w:shd w:val="clear" w:color="auto" w:fill="auto"/>
            <w:tcMar>
              <w:top w:w="40" w:type="dxa"/>
              <w:left w:w="20" w:type="dxa"/>
              <w:bottom w:w="40" w:type="dxa"/>
              <w:right w:w="20" w:type="dxa"/>
            </w:tcMar>
            <w:vAlign w:val="center"/>
          </w:tcPr>
          <w:p w14:paraId="74DD5EFC" w14:textId="77777777" w:rsidR="00584EC1" w:rsidRDefault="00871F8D">
            <w:pPr>
              <w:jc w:val="right"/>
              <w:textAlignment w:val="center"/>
            </w:pPr>
            <w:hyperlink r:id="rId25" w:anchor="i22e5b207b1584fc686a385e0488612f3_166" w:history="1">
              <w:r>
                <w:rPr>
                  <w:rStyle w:val="a5"/>
                  <w:rFonts w:ascii="Arial" w:eastAsia="宋体" w:hAnsi="Arial" w:cs="Arial"/>
                  <w:color w:val="000000"/>
                  <w:sz w:val="18"/>
                  <w:szCs w:val="18"/>
                  <w:u w:val="none"/>
                </w:rPr>
                <w:t>37</w:t>
              </w:r>
            </w:hyperlink>
          </w:p>
        </w:tc>
      </w:tr>
      <w:tr w:rsidR="00584EC1" w14:paraId="74DD5F01" w14:textId="77777777">
        <w:tc>
          <w:tcPr>
            <w:tcW w:w="0" w:type="auto"/>
            <w:gridSpan w:val="3"/>
            <w:shd w:val="clear" w:color="auto" w:fill="auto"/>
            <w:tcMar>
              <w:top w:w="0" w:type="dxa"/>
              <w:left w:w="20" w:type="dxa"/>
              <w:bottom w:w="0" w:type="dxa"/>
              <w:right w:w="20" w:type="dxa"/>
            </w:tcMar>
            <w:vAlign w:val="bottom"/>
          </w:tcPr>
          <w:p w14:paraId="74DD5EFE" w14:textId="77777777" w:rsidR="00584EC1" w:rsidRDefault="00584EC1">
            <w:pPr>
              <w:rPr>
                <w:rFonts w:ascii="宋体"/>
              </w:rPr>
            </w:pPr>
          </w:p>
        </w:tc>
        <w:tc>
          <w:tcPr>
            <w:tcW w:w="0" w:type="auto"/>
            <w:gridSpan w:val="3"/>
            <w:shd w:val="clear" w:color="auto" w:fill="auto"/>
            <w:tcMar>
              <w:top w:w="40" w:type="dxa"/>
              <w:left w:w="515" w:type="dxa"/>
              <w:bottom w:w="40" w:type="dxa"/>
              <w:right w:w="20" w:type="dxa"/>
            </w:tcMar>
            <w:vAlign w:val="center"/>
          </w:tcPr>
          <w:p w14:paraId="74DD5EFF" w14:textId="77777777" w:rsidR="00584EC1" w:rsidRDefault="00871F8D">
            <w:pPr>
              <w:textAlignment w:val="center"/>
            </w:pPr>
            <w:r>
              <w:rPr>
                <w:rFonts w:ascii="Arial" w:eastAsia="宋体" w:hAnsi="Arial" w:cs="Arial"/>
                <w:color w:val="000000"/>
                <w:sz w:val="18"/>
                <w:szCs w:val="18"/>
              </w:rPr>
              <w:t>Information Technology Risk Management</w:t>
            </w:r>
          </w:p>
        </w:tc>
        <w:tc>
          <w:tcPr>
            <w:tcW w:w="0" w:type="auto"/>
            <w:gridSpan w:val="3"/>
            <w:shd w:val="clear" w:color="auto" w:fill="auto"/>
            <w:tcMar>
              <w:top w:w="40" w:type="dxa"/>
              <w:left w:w="20" w:type="dxa"/>
              <w:bottom w:w="40" w:type="dxa"/>
              <w:right w:w="20" w:type="dxa"/>
            </w:tcMar>
            <w:vAlign w:val="center"/>
          </w:tcPr>
          <w:p w14:paraId="74DD5F00" w14:textId="77777777" w:rsidR="00584EC1" w:rsidRDefault="00871F8D">
            <w:pPr>
              <w:jc w:val="right"/>
              <w:textAlignment w:val="center"/>
            </w:pPr>
            <w:hyperlink r:id="rId26" w:anchor="i22e5b207b1584fc686a385e0488612f3_172" w:history="1">
              <w:r>
                <w:rPr>
                  <w:rStyle w:val="a5"/>
                  <w:rFonts w:ascii="Arial" w:eastAsia="宋体" w:hAnsi="Arial" w:cs="Arial"/>
                  <w:color w:val="000000"/>
                  <w:sz w:val="18"/>
                  <w:szCs w:val="18"/>
                  <w:u w:val="none"/>
                </w:rPr>
                <w:t>37</w:t>
              </w:r>
            </w:hyperlink>
          </w:p>
        </w:tc>
      </w:tr>
      <w:tr w:rsidR="00584EC1" w14:paraId="74DD5F05" w14:textId="77777777">
        <w:tc>
          <w:tcPr>
            <w:tcW w:w="0" w:type="auto"/>
            <w:gridSpan w:val="3"/>
            <w:shd w:val="clear" w:color="auto" w:fill="auto"/>
            <w:tcMar>
              <w:top w:w="0" w:type="dxa"/>
              <w:left w:w="20" w:type="dxa"/>
              <w:bottom w:w="0" w:type="dxa"/>
              <w:right w:w="20" w:type="dxa"/>
            </w:tcMar>
            <w:vAlign w:val="bottom"/>
          </w:tcPr>
          <w:p w14:paraId="74DD5F02" w14:textId="77777777" w:rsidR="00584EC1" w:rsidRDefault="00584EC1">
            <w:pPr>
              <w:rPr>
                <w:rFonts w:ascii="宋体"/>
              </w:rPr>
            </w:pPr>
          </w:p>
        </w:tc>
        <w:tc>
          <w:tcPr>
            <w:tcW w:w="0" w:type="auto"/>
            <w:gridSpan w:val="3"/>
            <w:shd w:val="clear" w:color="auto" w:fill="auto"/>
            <w:tcMar>
              <w:top w:w="40" w:type="dxa"/>
              <w:left w:w="515" w:type="dxa"/>
              <w:bottom w:w="40" w:type="dxa"/>
              <w:right w:w="20" w:type="dxa"/>
            </w:tcMar>
            <w:vAlign w:val="center"/>
          </w:tcPr>
          <w:p w14:paraId="74DD5F03" w14:textId="77777777" w:rsidR="00584EC1" w:rsidRDefault="00871F8D">
            <w:pPr>
              <w:textAlignment w:val="center"/>
            </w:pPr>
            <w:r>
              <w:rPr>
                <w:rFonts w:ascii="Arial" w:eastAsia="宋体" w:hAnsi="Arial" w:cs="Arial"/>
                <w:color w:val="000000"/>
                <w:sz w:val="18"/>
                <w:szCs w:val="18"/>
              </w:rPr>
              <w:t>Market Risk Management</w:t>
            </w:r>
          </w:p>
        </w:tc>
        <w:tc>
          <w:tcPr>
            <w:tcW w:w="0" w:type="auto"/>
            <w:gridSpan w:val="3"/>
            <w:shd w:val="clear" w:color="auto" w:fill="auto"/>
            <w:tcMar>
              <w:top w:w="40" w:type="dxa"/>
              <w:left w:w="20" w:type="dxa"/>
              <w:bottom w:w="40" w:type="dxa"/>
              <w:right w:w="20" w:type="dxa"/>
            </w:tcMar>
            <w:vAlign w:val="center"/>
          </w:tcPr>
          <w:p w14:paraId="74DD5F04" w14:textId="77777777" w:rsidR="00584EC1" w:rsidRDefault="00871F8D">
            <w:pPr>
              <w:jc w:val="right"/>
              <w:textAlignment w:val="center"/>
            </w:pPr>
            <w:hyperlink r:id="rId27" w:anchor="i22e5b207b1584fc686a385e0488612f3_178" w:history="1">
              <w:r>
                <w:rPr>
                  <w:rStyle w:val="a5"/>
                  <w:rFonts w:ascii="Arial" w:eastAsia="宋体" w:hAnsi="Arial" w:cs="Arial"/>
                  <w:color w:val="000000"/>
                  <w:sz w:val="18"/>
                  <w:szCs w:val="18"/>
                  <w:u w:val="none"/>
                </w:rPr>
                <w:t>37</w:t>
              </w:r>
            </w:hyperlink>
          </w:p>
        </w:tc>
      </w:tr>
      <w:tr w:rsidR="00584EC1" w14:paraId="74DD5F09" w14:textId="77777777">
        <w:tc>
          <w:tcPr>
            <w:tcW w:w="0" w:type="auto"/>
            <w:gridSpan w:val="3"/>
            <w:shd w:val="clear" w:color="auto" w:fill="auto"/>
            <w:tcMar>
              <w:top w:w="0" w:type="dxa"/>
              <w:left w:w="20" w:type="dxa"/>
              <w:bottom w:w="0" w:type="dxa"/>
              <w:right w:w="20" w:type="dxa"/>
            </w:tcMar>
            <w:vAlign w:val="bottom"/>
          </w:tcPr>
          <w:p w14:paraId="74DD5F06" w14:textId="77777777" w:rsidR="00584EC1" w:rsidRDefault="00584EC1">
            <w:pPr>
              <w:rPr>
                <w:rFonts w:ascii="宋体"/>
              </w:rPr>
            </w:pPr>
          </w:p>
        </w:tc>
        <w:tc>
          <w:tcPr>
            <w:tcW w:w="0" w:type="auto"/>
            <w:gridSpan w:val="3"/>
            <w:shd w:val="clear" w:color="auto" w:fill="auto"/>
            <w:tcMar>
              <w:top w:w="40" w:type="dxa"/>
              <w:left w:w="515" w:type="dxa"/>
              <w:bottom w:w="40" w:type="dxa"/>
              <w:right w:w="20" w:type="dxa"/>
            </w:tcMar>
            <w:vAlign w:val="center"/>
          </w:tcPr>
          <w:p w14:paraId="74DD5F07" w14:textId="77777777" w:rsidR="00584EC1" w:rsidRDefault="00871F8D">
            <w:pPr>
              <w:textAlignment w:val="center"/>
            </w:pPr>
            <w:r>
              <w:rPr>
                <w:rFonts w:ascii="Arial" w:eastAsia="宋体" w:hAnsi="Arial" w:cs="Arial"/>
                <w:color w:val="000000"/>
                <w:sz w:val="18"/>
                <w:szCs w:val="18"/>
              </w:rPr>
              <w:t>Model Risk Management</w:t>
            </w:r>
          </w:p>
        </w:tc>
        <w:tc>
          <w:tcPr>
            <w:tcW w:w="0" w:type="auto"/>
            <w:gridSpan w:val="3"/>
            <w:shd w:val="clear" w:color="auto" w:fill="auto"/>
            <w:tcMar>
              <w:top w:w="40" w:type="dxa"/>
              <w:left w:w="20" w:type="dxa"/>
              <w:bottom w:w="40" w:type="dxa"/>
              <w:right w:w="20" w:type="dxa"/>
            </w:tcMar>
            <w:vAlign w:val="center"/>
          </w:tcPr>
          <w:p w14:paraId="74DD5F08" w14:textId="77777777" w:rsidR="00584EC1" w:rsidRDefault="00871F8D">
            <w:pPr>
              <w:jc w:val="right"/>
              <w:textAlignment w:val="center"/>
            </w:pPr>
            <w:hyperlink r:id="rId28" w:anchor="i22e5b207b1584fc686a385e0488612f3_193" w:history="1">
              <w:r>
                <w:rPr>
                  <w:rStyle w:val="a5"/>
                  <w:rFonts w:ascii="Arial" w:eastAsia="宋体" w:hAnsi="Arial" w:cs="Arial"/>
                  <w:color w:val="000000"/>
                  <w:sz w:val="18"/>
                  <w:szCs w:val="18"/>
                  <w:u w:val="none"/>
                </w:rPr>
                <w:t>41</w:t>
              </w:r>
            </w:hyperlink>
          </w:p>
        </w:tc>
      </w:tr>
      <w:tr w:rsidR="00584EC1" w14:paraId="74DD5F0D" w14:textId="77777777">
        <w:tc>
          <w:tcPr>
            <w:tcW w:w="0" w:type="auto"/>
            <w:gridSpan w:val="3"/>
            <w:shd w:val="clear" w:color="auto" w:fill="auto"/>
            <w:tcMar>
              <w:top w:w="0" w:type="dxa"/>
              <w:left w:w="20" w:type="dxa"/>
              <w:bottom w:w="0" w:type="dxa"/>
              <w:right w:w="20" w:type="dxa"/>
            </w:tcMar>
            <w:vAlign w:val="bottom"/>
          </w:tcPr>
          <w:p w14:paraId="74DD5F0A" w14:textId="77777777" w:rsidR="00584EC1" w:rsidRDefault="00584EC1">
            <w:pPr>
              <w:rPr>
                <w:rFonts w:ascii="宋体"/>
              </w:rPr>
            </w:pPr>
          </w:p>
        </w:tc>
        <w:tc>
          <w:tcPr>
            <w:tcW w:w="0" w:type="auto"/>
            <w:gridSpan w:val="3"/>
            <w:shd w:val="clear" w:color="auto" w:fill="auto"/>
            <w:tcMar>
              <w:top w:w="40" w:type="dxa"/>
              <w:left w:w="515" w:type="dxa"/>
              <w:bottom w:w="40" w:type="dxa"/>
              <w:right w:w="20" w:type="dxa"/>
            </w:tcMar>
            <w:vAlign w:val="center"/>
          </w:tcPr>
          <w:p w14:paraId="74DD5F0B" w14:textId="77777777" w:rsidR="00584EC1" w:rsidRDefault="00871F8D">
            <w:pPr>
              <w:textAlignment w:val="center"/>
            </w:pPr>
            <w:r>
              <w:rPr>
                <w:rFonts w:ascii="Arial" w:eastAsia="宋体" w:hAnsi="Arial" w:cs="Arial"/>
                <w:color w:val="000000"/>
                <w:sz w:val="18"/>
                <w:szCs w:val="18"/>
              </w:rPr>
              <w:t>Strategic Risk Management</w:t>
            </w:r>
          </w:p>
        </w:tc>
        <w:tc>
          <w:tcPr>
            <w:tcW w:w="0" w:type="auto"/>
            <w:gridSpan w:val="3"/>
            <w:shd w:val="clear" w:color="auto" w:fill="auto"/>
            <w:tcMar>
              <w:top w:w="40" w:type="dxa"/>
              <w:left w:w="20" w:type="dxa"/>
              <w:bottom w:w="40" w:type="dxa"/>
              <w:right w:w="20" w:type="dxa"/>
            </w:tcMar>
            <w:vAlign w:val="center"/>
          </w:tcPr>
          <w:p w14:paraId="74DD5F0C" w14:textId="77777777" w:rsidR="00584EC1" w:rsidRDefault="00871F8D">
            <w:pPr>
              <w:jc w:val="right"/>
              <w:textAlignment w:val="center"/>
            </w:pPr>
            <w:hyperlink r:id="rId29" w:anchor="i22e5b207b1584fc686a385e0488612f3_196" w:history="1">
              <w:r>
                <w:rPr>
                  <w:rStyle w:val="a5"/>
                  <w:rFonts w:ascii="Arial" w:eastAsia="宋体" w:hAnsi="Arial" w:cs="Arial"/>
                  <w:color w:val="000000"/>
                  <w:sz w:val="18"/>
                  <w:szCs w:val="18"/>
                  <w:u w:val="none"/>
                </w:rPr>
                <w:t>41</w:t>
              </w:r>
            </w:hyperlink>
          </w:p>
        </w:tc>
      </w:tr>
      <w:tr w:rsidR="00584EC1" w14:paraId="74DD5F11" w14:textId="77777777">
        <w:tc>
          <w:tcPr>
            <w:tcW w:w="0" w:type="auto"/>
            <w:gridSpan w:val="3"/>
            <w:shd w:val="clear" w:color="auto" w:fill="auto"/>
            <w:tcMar>
              <w:top w:w="0" w:type="dxa"/>
              <w:left w:w="20" w:type="dxa"/>
              <w:bottom w:w="0" w:type="dxa"/>
              <w:right w:w="20" w:type="dxa"/>
            </w:tcMar>
            <w:vAlign w:val="bottom"/>
          </w:tcPr>
          <w:p w14:paraId="74DD5F0E" w14:textId="77777777" w:rsidR="00584EC1" w:rsidRDefault="00584EC1">
            <w:pPr>
              <w:rPr>
                <w:rFonts w:ascii="宋体"/>
              </w:rPr>
            </w:pPr>
          </w:p>
        </w:tc>
        <w:tc>
          <w:tcPr>
            <w:tcW w:w="0" w:type="auto"/>
            <w:gridSpan w:val="3"/>
            <w:shd w:val="clear" w:color="auto" w:fill="auto"/>
            <w:tcMar>
              <w:top w:w="40" w:type="dxa"/>
              <w:left w:w="515" w:type="dxa"/>
              <w:bottom w:w="40" w:type="dxa"/>
              <w:right w:w="20" w:type="dxa"/>
            </w:tcMar>
            <w:vAlign w:val="center"/>
          </w:tcPr>
          <w:p w14:paraId="74DD5F0F" w14:textId="77777777" w:rsidR="00584EC1" w:rsidRDefault="00871F8D">
            <w:pPr>
              <w:textAlignment w:val="center"/>
            </w:pPr>
            <w:r>
              <w:rPr>
                <w:rFonts w:ascii="Arial" w:eastAsia="宋体" w:hAnsi="Arial" w:cs="Arial"/>
                <w:color w:val="000000"/>
                <w:sz w:val="18"/>
                <w:szCs w:val="18"/>
              </w:rPr>
              <w:t>Capital</w:t>
            </w:r>
          </w:p>
        </w:tc>
        <w:tc>
          <w:tcPr>
            <w:tcW w:w="0" w:type="auto"/>
            <w:gridSpan w:val="3"/>
            <w:shd w:val="clear" w:color="auto" w:fill="auto"/>
            <w:tcMar>
              <w:top w:w="40" w:type="dxa"/>
              <w:left w:w="20" w:type="dxa"/>
              <w:bottom w:w="40" w:type="dxa"/>
              <w:right w:w="20" w:type="dxa"/>
            </w:tcMar>
            <w:vAlign w:val="center"/>
          </w:tcPr>
          <w:p w14:paraId="74DD5F10" w14:textId="77777777" w:rsidR="00584EC1" w:rsidRDefault="00871F8D">
            <w:pPr>
              <w:jc w:val="right"/>
              <w:textAlignment w:val="center"/>
            </w:pPr>
            <w:hyperlink r:id="rId30" w:anchor="i22e5b207b1584fc686a385e0488612f3_199" w:history="1">
              <w:r>
                <w:rPr>
                  <w:rStyle w:val="a5"/>
                  <w:rFonts w:ascii="Arial" w:eastAsia="宋体" w:hAnsi="Arial" w:cs="Arial"/>
                  <w:color w:val="000000"/>
                  <w:sz w:val="18"/>
                  <w:szCs w:val="18"/>
                  <w:u w:val="none"/>
                </w:rPr>
                <w:t>42</w:t>
              </w:r>
            </w:hyperlink>
          </w:p>
        </w:tc>
      </w:tr>
      <w:tr w:rsidR="00584EC1" w14:paraId="74DD5F15" w14:textId="77777777">
        <w:tc>
          <w:tcPr>
            <w:tcW w:w="0" w:type="auto"/>
            <w:gridSpan w:val="3"/>
            <w:shd w:val="clear" w:color="auto" w:fill="auto"/>
            <w:tcMar>
              <w:top w:w="0" w:type="dxa"/>
              <w:left w:w="20" w:type="dxa"/>
              <w:bottom w:w="0" w:type="dxa"/>
              <w:right w:w="20" w:type="dxa"/>
            </w:tcMar>
            <w:vAlign w:val="bottom"/>
          </w:tcPr>
          <w:p w14:paraId="74DD5F12" w14:textId="77777777" w:rsidR="00584EC1" w:rsidRDefault="00584EC1">
            <w:pPr>
              <w:rPr>
                <w:rFonts w:ascii="宋体"/>
              </w:rPr>
            </w:pPr>
          </w:p>
        </w:tc>
        <w:tc>
          <w:tcPr>
            <w:tcW w:w="0" w:type="auto"/>
            <w:gridSpan w:val="3"/>
            <w:shd w:val="clear" w:color="auto" w:fill="auto"/>
            <w:tcMar>
              <w:top w:w="40" w:type="dxa"/>
              <w:left w:w="380" w:type="dxa"/>
              <w:bottom w:w="40" w:type="dxa"/>
              <w:right w:w="20" w:type="dxa"/>
            </w:tcMar>
            <w:vAlign w:val="center"/>
          </w:tcPr>
          <w:p w14:paraId="74DD5F13" w14:textId="77777777" w:rsidR="00584EC1" w:rsidRDefault="00871F8D">
            <w:pPr>
              <w:textAlignment w:val="center"/>
            </w:pPr>
            <w:r>
              <w:rPr>
                <w:rFonts w:ascii="Arial" w:eastAsia="宋体" w:hAnsi="Arial" w:cs="Arial"/>
                <w:color w:val="000000"/>
                <w:sz w:val="18"/>
                <w:szCs w:val="18"/>
              </w:rPr>
              <w:t>Off-Balance Sheet Arrangements</w:t>
            </w:r>
          </w:p>
        </w:tc>
        <w:tc>
          <w:tcPr>
            <w:tcW w:w="0" w:type="auto"/>
            <w:gridSpan w:val="3"/>
            <w:shd w:val="clear" w:color="auto" w:fill="auto"/>
            <w:tcMar>
              <w:top w:w="40" w:type="dxa"/>
              <w:left w:w="20" w:type="dxa"/>
              <w:bottom w:w="40" w:type="dxa"/>
              <w:right w:w="20" w:type="dxa"/>
            </w:tcMar>
            <w:vAlign w:val="center"/>
          </w:tcPr>
          <w:p w14:paraId="74DD5F14" w14:textId="77777777" w:rsidR="00584EC1" w:rsidRDefault="00871F8D">
            <w:pPr>
              <w:jc w:val="right"/>
              <w:textAlignment w:val="center"/>
            </w:pPr>
            <w:hyperlink r:id="rId31" w:anchor="i22e5b207b1584fc686a385e0488612f3_220" w:history="1">
              <w:r>
                <w:rPr>
                  <w:rStyle w:val="a5"/>
                  <w:rFonts w:ascii="Arial" w:eastAsia="宋体" w:hAnsi="Arial" w:cs="Arial"/>
                  <w:color w:val="000000"/>
                  <w:sz w:val="18"/>
                  <w:szCs w:val="18"/>
                  <w:u w:val="none"/>
                </w:rPr>
                <w:t>52</w:t>
              </w:r>
            </w:hyperlink>
          </w:p>
        </w:tc>
      </w:tr>
      <w:tr w:rsidR="00584EC1" w14:paraId="74DD5F19" w14:textId="77777777">
        <w:trPr>
          <w:hidden/>
        </w:trPr>
        <w:tc>
          <w:tcPr>
            <w:tcW w:w="0" w:type="auto"/>
            <w:gridSpan w:val="3"/>
            <w:shd w:val="clear" w:color="auto" w:fill="auto"/>
            <w:vAlign w:val="bottom"/>
          </w:tcPr>
          <w:p w14:paraId="74DD5F16" w14:textId="77777777" w:rsidR="00584EC1" w:rsidRDefault="00584EC1">
            <w:pPr>
              <w:rPr>
                <w:rFonts w:ascii="宋体"/>
                <w:vanish/>
              </w:rPr>
            </w:pPr>
          </w:p>
        </w:tc>
        <w:tc>
          <w:tcPr>
            <w:tcW w:w="0" w:type="auto"/>
            <w:gridSpan w:val="3"/>
            <w:shd w:val="clear" w:color="auto" w:fill="auto"/>
            <w:vAlign w:val="bottom"/>
          </w:tcPr>
          <w:p w14:paraId="74DD5F17" w14:textId="77777777" w:rsidR="00584EC1" w:rsidRDefault="00584EC1">
            <w:pPr>
              <w:rPr>
                <w:rFonts w:ascii="宋体"/>
                <w:vanish/>
              </w:rPr>
            </w:pPr>
          </w:p>
        </w:tc>
        <w:tc>
          <w:tcPr>
            <w:tcW w:w="0" w:type="auto"/>
            <w:gridSpan w:val="3"/>
            <w:shd w:val="clear" w:color="auto" w:fill="auto"/>
            <w:vAlign w:val="bottom"/>
          </w:tcPr>
          <w:p w14:paraId="74DD5F18" w14:textId="77777777" w:rsidR="00584EC1" w:rsidRDefault="00584EC1">
            <w:pPr>
              <w:rPr>
                <w:rFonts w:ascii="宋体"/>
                <w:vanish/>
              </w:rPr>
            </w:pPr>
          </w:p>
        </w:tc>
      </w:tr>
      <w:tr w:rsidR="00584EC1" w14:paraId="74DD5F1D" w14:textId="77777777">
        <w:tc>
          <w:tcPr>
            <w:tcW w:w="0" w:type="auto"/>
            <w:gridSpan w:val="3"/>
            <w:shd w:val="clear" w:color="auto" w:fill="auto"/>
            <w:tcMar>
              <w:top w:w="0" w:type="dxa"/>
              <w:left w:w="20" w:type="dxa"/>
              <w:bottom w:w="0" w:type="dxa"/>
              <w:right w:w="20" w:type="dxa"/>
            </w:tcMar>
            <w:vAlign w:val="bottom"/>
          </w:tcPr>
          <w:p w14:paraId="74DD5F1A" w14:textId="77777777" w:rsidR="00584EC1" w:rsidRDefault="00584EC1">
            <w:pPr>
              <w:rPr>
                <w:rFonts w:ascii="宋体"/>
              </w:rPr>
            </w:pPr>
          </w:p>
        </w:tc>
        <w:tc>
          <w:tcPr>
            <w:tcW w:w="0" w:type="auto"/>
            <w:gridSpan w:val="3"/>
            <w:shd w:val="clear" w:color="auto" w:fill="auto"/>
            <w:tcMar>
              <w:top w:w="40" w:type="dxa"/>
              <w:left w:w="380" w:type="dxa"/>
              <w:bottom w:w="40" w:type="dxa"/>
              <w:right w:w="20" w:type="dxa"/>
            </w:tcMar>
            <w:vAlign w:val="center"/>
          </w:tcPr>
          <w:p w14:paraId="74DD5F1B" w14:textId="77777777" w:rsidR="00584EC1" w:rsidRDefault="00871F8D">
            <w:pPr>
              <w:textAlignment w:val="center"/>
            </w:pPr>
            <w:r>
              <w:rPr>
                <w:rFonts w:ascii="Arial" w:eastAsia="宋体" w:hAnsi="Arial" w:cs="Arial"/>
                <w:color w:val="000000"/>
                <w:sz w:val="18"/>
                <w:szCs w:val="18"/>
              </w:rPr>
              <w:t>Recent Accounting Developments</w:t>
            </w:r>
          </w:p>
        </w:tc>
        <w:tc>
          <w:tcPr>
            <w:tcW w:w="0" w:type="auto"/>
            <w:gridSpan w:val="3"/>
            <w:shd w:val="clear" w:color="auto" w:fill="auto"/>
            <w:tcMar>
              <w:top w:w="40" w:type="dxa"/>
              <w:left w:w="20" w:type="dxa"/>
              <w:bottom w:w="40" w:type="dxa"/>
              <w:right w:w="20" w:type="dxa"/>
            </w:tcMar>
            <w:vAlign w:val="center"/>
          </w:tcPr>
          <w:p w14:paraId="74DD5F1C" w14:textId="77777777" w:rsidR="00584EC1" w:rsidRDefault="00871F8D">
            <w:pPr>
              <w:jc w:val="right"/>
              <w:textAlignment w:val="center"/>
            </w:pPr>
            <w:hyperlink r:id="rId32" w:anchor="i22e5b207b1584fc686a385e0488612f3_226" w:history="1">
              <w:r>
                <w:rPr>
                  <w:rStyle w:val="a5"/>
                  <w:rFonts w:ascii="Arial" w:eastAsia="宋体" w:hAnsi="Arial" w:cs="Arial"/>
                  <w:color w:val="000000"/>
                  <w:sz w:val="18"/>
                  <w:szCs w:val="18"/>
                  <w:u w:val="none"/>
                </w:rPr>
                <w:t>52</w:t>
              </w:r>
            </w:hyperlink>
          </w:p>
        </w:tc>
      </w:tr>
      <w:tr w:rsidR="00584EC1" w14:paraId="74DD5F21" w14:textId="77777777">
        <w:tc>
          <w:tcPr>
            <w:tcW w:w="0" w:type="auto"/>
            <w:gridSpan w:val="3"/>
            <w:shd w:val="clear" w:color="auto" w:fill="auto"/>
            <w:tcMar>
              <w:top w:w="0" w:type="dxa"/>
              <w:left w:w="20" w:type="dxa"/>
              <w:bottom w:w="0" w:type="dxa"/>
              <w:right w:w="20" w:type="dxa"/>
            </w:tcMar>
            <w:vAlign w:val="bottom"/>
          </w:tcPr>
          <w:p w14:paraId="74DD5F1E" w14:textId="77777777" w:rsidR="00584EC1" w:rsidRDefault="00584EC1">
            <w:pPr>
              <w:rPr>
                <w:rFonts w:ascii="宋体"/>
              </w:rPr>
            </w:pPr>
          </w:p>
        </w:tc>
        <w:tc>
          <w:tcPr>
            <w:tcW w:w="0" w:type="auto"/>
            <w:gridSpan w:val="3"/>
            <w:shd w:val="clear" w:color="auto" w:fill="auto"/>
            <w:tcMar>
              <w:top w:w="40" w:type="dxa"/>
              <w:left w:w="155" w:type="dxa"/>
              <w:bottom w:w="40" w:type="dxa"/>
              <w:right w:w="20" w:type="dxa"/>
            </w:tcMar>
            <w:vAlign w:val="center"/>
          </w:tcPr>
          <w:p w14:paraId="74DD5F1F" w14:textId="77777777" w:rsidR="00584EC1" w:rsidRDefault="00871F8D">
            <w:pPr>
              <w:textAlignment w:val="center"/>
            </w:pPr>
            <w:r>
              <w:rPr>
                <w:rFonts w:ascii="Arial" w:eastAsia="宋体" w:hAnsi="Arial" w:cs="Arial"/>
                <w:color w:val="000000"/>
                <w:sz w:val="18"/>
                <w:szCs w:val="18"/>
              </w:rPr>
              <w:t>Quantitative and Qualitative Disclosures About Market Risk</w:t>
            </w:r>
          </w:p>
        </w:tc>
        <w:tc>
          <w:tcPr>
            <w:tcW w:w="0" w:type="auto"/>
            <w:gridSpan w:val="3"/>
            <w:shd w:val="clear" w:color="auto" w:fill="auto"/>
            <w:tcMar>
              <w:top w:w="40" w:type="dxa"/>
              <w:left w:w="20" w:type="dxa"/>
              <w:bottom w:w="40" w:type="dxa"/>
              <w:right w:w="20" w:type="dxa"/>
            </w:tcMar>
            <w:vAlign w:val="center"/>
          </w:tcPr>
          <w:p w14:paraId="74DD5F20" w14:textId="77777777" w:rsidR="00584EC1" w:rsidRDefault="00871F8D">
            <w:pPr>
              <w:jc w:val="right"/>
              <w:textAlignment w:val="center"/>
            </w:pPr>
            <w:hyperlink r:id="rId33" w:anchor="i22e5b207b1584fc686a385e0488612f3_229" w:history="1">
              <w:r>
                <w:rPr>
                  <w:rStyle w:val="a5"/>
                  <w:rFonts w:ascii="Arial" w:eastAsia="宋体" w:hAnsi="Arial" w:cs="Arial"/>
                  <w:color w:val="000000"/>
                  <w:sz w:val="18"/>
                  <w:szCs w:val="18"/>
                  <w:u w:val="none"/>
                </w:rPr>
                <w:t>53</w:t>
              </w:r>
            </w:hyperlink>
          </w:p>
        </w:tc>
      </w:tr>
      <w:tr w:rsidR="00584EC1" w14:paraId="74DD5F25" w14:textId="77777777">
        <w:tc>
          <w:tcPr>
            <w:tcW w:w="0" w:type="auto"/>
            <w:gridSpan w:val="3"/>
            <w:shd w:val="clear" w:color="auto" w:fill="auto"/>
            <w:tcMar>
              <w:top w:w="0" w:type="dxa"/>
              <w:left w:w="20" w:type="dxa"/>
              <w:bottom w:w="0" w:type="dxa"/>
              <w:right w:w="20" w:type="dxa"/>
            </w:tcMar>
            <w:vAlign w:val="bottom"/>
          </w:tcPr>
          <w:p w14:paraId="74DD5F22" w14:textId="77777777" w:rsidR="00584EC1" w:rsidRDefault="00584EC1">
            <w:pPr>
              <w:rPr>
                <w:rFonts w:ascii="宋体"/>
              </w:rPr>
            </w:pPr>
          </w:p>
        </w:tc>
        <w:tc>
          <w:tcPr>
            <w:tcW w:w="0" w:type="auto"/>
            <w:gridSpan w:val="3"/>
            <w:shd w:val="clear" w:color="auto" w:fill="auto"/>
            <w:tcMar>
              <w:top w:w="40" w:type="dxa"/>
              <w:left w:w="155" w:type="dxa"/>
              <w:bottom w:w="40" w:type="dxa"/>
              <w:right w:w="20" w:type="dxa"/>
            </w:tcMar>
            <w:vAlign w:val="center"/>
          </w:tcPr>
          <w:p w14:paraId="74DD5F23" w14:textId="77777777" w:rsidR="00584EC1" w:rsidRDefault="00871F8D">
            <w:pPr>
              <w:textAlignment w:val="center"/>
            </w:pPr>
            <w:r>
              <w:rPr>
                <w:rFonts w:ascii="Arial" w:eastAsia="宋体" w:hAnsi="Arial" w:cs="Arial"/>
                <w:color w:val="000000"/>
                <w:sz w:val="18"/>
                <w:szCs w:val="18"/>
              </w:rPr>
              <w:t>Controls and Procedures</w:t>
            </w:r>
          </w:p>
        </w:tc>
        <w:tc>
          <w:tcPr>
            <w:tcW w:w="0" w:type="auto"/>
            <w:gridSpan w:val="3"/>
            <w:shd w:val="clear" w:color="auto" w:fill="auto"/>
            <w:tcMar>
              <w:top w:w="40" w:type="dxa"/>
              <w:left w:w="20" w:type="dxa"/>
              <w:bottom w:w="40" w:type="dxa"/>
              <w:right w:w="20" w:type="dxa"/>
            </w:tcMar>
            <w:vAlign w:val="center"/>
          </w:tcPr>
          <w:p w14:paraId="74DD5F24" w14:textId="77777777" w:rsidR="00584EC1" w:rsidRDefault="00871F8D">
            <w:pPr>
              <w:jc w:val="right"/>
              <w:textAlignment w:val="center"/>
            </w:pPr>
            <w:hyperlink r:id="rId34" w:anchor="i22e5b207b1584fc686a385e0488612f3_232" w:history="1">
              <w:r>
                <w:rPr>
                  <w:rStyle w:val="a5"/>
                  <w:rFonts w:ascii="Arial" w:eastAsia="宋体" w:hAnsi="Arial" w:cs="Arial"/>
                  <w:color w:val="000000"/>
                  <w:sz w:val="18"/>
                  <w:szCs w:val="18"/>
                  <w:u w:val="none"/>
                </w:rPr>
                <w:t>53</w:t>
              </w:r>
            </w:hyperlink>
          </w:p>
        </w:tc>
      </w:tr>
      <w:tr w:rsidR="00584EC1" w14:paraId="74DD5F29" w14:textId="77777777">
        <w:tc>
          <w:tcPr>
            <w:tcW w:w="0" w:type="auto"/>
            <w:gridSpan w:val="3"/>
            <w:shd w:val="clear" w:color="auto" w:fill="auto"/>
            <w:tcMar>
              <w:top w:w="0" w:type="dxa"/>
              <w:left w:w="20" w:type="dxa"/>
              <w:bottom w:w="0" w:type="dxa"/>
              <w:right w:w="20" w:type="dxa"/>
            </w:tcMar>
            <w:vAlign w:val="bottom"/>
          </w:tcPr>
          <w:p w14:paraId="74DD5F26" w14:textId="77777777" w:rsidR="00584EC1" w:rsidRDefault="00584EC1">
            <w:pPr>
              <w:rPr>
                <w:rFonts w:ascii="宋体"/>
              </w:rPr>
            </w:pPr>
          </w:p>
        </w:tc>
        <w:tc>
          <w:tcPr>
            <w:tcW w:w="0" w:type="auto"/>
            <w:gridSpan w:val="3"/>
            <w:shd w:val="clear" w:color="auto" w:fill="auto"/>
            <w:tcMar>
              <w:top w:w="40" w:type="dxa"/>
              <w:left w:w="155" w:type="dxa"/>
              <w:bottom w:w="40" w:type="dxa"/>
              <w:right w:w="20" w:type="dxa"/>
            </w:tcMar>
            <w:vAlign w:val="center"/>
          </w:tcPr>
          <w:p w14:paraId="74DD5F27" w14:textId="77777777" w:rsidR="00584EC1" w:rsidRDefault="00871F8D">
            <w:pPr>
              <w:textAlignment w:val="center"/>
            </w:pPr>
            <w:r>
              <w:rPr>
                <w:rFonts w:ascii="Arial" w:eastAsia="宋体" w:hAnsi="Arial" w:cs="Arial"/>
                <w:b/>
                <w:bCs/>
                <w:color w:val="000000"/>
                <w:sz w:val="18"/>
                <w:szCs w:val="18"/>
              </w:rPr>
              <w:t>Consolidated Financial Statements</w:t>
            </w:r>
          </w:p>
        </w:tc>
        <w:tc>
          <w:tcPr>
            <w:tcW w:w="0" w:type="auto"/>
            <w:gridSpan w:val="3"/>
            <w:shd w:val="clear" w:color="auto" w:fill="auto"/>
            <w:tcMar>
              <w:top w:w="40" w:type="dxa"/>
              <w:left w:w="20" w:type="dxa"/>
              <w:bottom w:w="40" w:type="dxa"/>
              <w:right w:w="20" w:type="dxa"/>
            </w:tcMar>
            <w:vAlign w:val="center"/>
          </w:tcPr>
          <w:p w14:paraId="74DD5F28" w14:textId="77777777" w:rsidR="00584EC1" w:rsidRDefault="00871F8D">
            <w:pPr>
              <w:jc w:val="right"/>
              <w:textAlignment w:val="center"/>
            </w:pPr>
            <w:hyperlink r:id="rId35" w:anchor="i22e5b207b1584fc686a385e0488612f3_238" w:history="1">
              <w:r>
                <w:rPr>
                  <w:rStyle w:val="a5"/>
                  <w:rFonts w:ascii="Arial" w:eastAsia="宋体" w:hAnsi="Arial" w:cs="Arial"/>
                  <w:color w:val="000000"/>
                  <w:sz w:val="18"/>
                  <w:szCs w:val="18"/>
                  <w:u w:val="none"/>
                </w:rPr>
                <w:t>54</w:t>
              </w:r>
            </w:hyperlink>
          </w:p>
        </w:tc>
      </w:tr>
      <w:tr w:rsidR="00584EC1" w14:paraId="74DD5F2D" w14:textId="77777777">
        <w:tc>
          <w:tcPr>
            <w:tcW w:w="0" w:type="auto"/>
            <w:gridSpan w:val="3"/>
            <w:shd w:val="clear" w:color="auto" w:fill="auto"/>
            <w:tcMar>
              <w:top w:w="0" w:type="dxa"/>
              <w:left w:w="20" w:type="dxa"/>
              <w:bottom w:w="0" w:type="dxa"/>
              <w:right w:w="20" w:type="dxa"/>
            </w:tcMar>
            <w:vAlign w:val="bottom"/>
          </w:tcPr>
          <w:p w14:paraId="74DD5F2A" w14:textId="77777777" w:rsidR="00584EC1" w:rsidRDefault="00584EC1">
            <w:pPr>
              <w:rPr>
                <w:rFonts w:ascii="宋体"/>
              </w:rPr>
            </w:pPr>
          </w:p>
        </w:tc>
        <w:tc>
          <w:tcPr>
            <w:tcW w:w="0" w:type="auto"/>
            <w:gridSpan w:val="3"/>
            <w:shd w:val="clear" w:color="auto" w:fill="auto"/>
            <w:tcMar>
              <w:top w:w="40" w:type="dxa"/>
              <w:left w:w="515" w:type="dxa"/>
              <w:bottom w:w="40" w:type="dxa"/>
              <w:right w:w="20" w:type="dxa"/>
            </w:tcMar>
            <w:vAlign w:val="center"/>
          </w:tcPr>
          <w:p w14:paraId="74DD5F2B" w14:textId="77777777" w:rsidR="00584EC1" w:rsidRDefault="00871F8D">
            <w:pPr>
              <w:textAlignment w:val="center"/>
            </w:pPr>
            <w:r>
              <w:rPr>
                <w:rFonts w:ascii="Arial" w:eastAsia="宋体" w:hAnsi="Arial" w:cs="Arial"/>
                <w:color w:val="000000"/>
                <w:sz w:val="18"/>
                <w:szCs w:val="18"/>
              </w:rPr>
              <w:t>Consolidated Statement of Income (unaudited)</w:t>
            </w:r>
          </w:p>
        </w:tc>
        <w:tc>
          <w:tcPr>
            <w:tcW w:w="0" w:type="auto"/>
            <w:gridSpan w:val="3"/>
            <w:shd w:val="clear" w:color="auto" w:fill="auto"/>
            <w:tcMar>
              <w:top w:w="40" w:type="dxa"/>
              <w:left w:w="20" w:type="dxa"/>
              <w:bottom w:w="40" w:type="dxa"/>
              <w:right w:w="20" w:type="dxa"/>
            </w:tcMar>
            <w:vAlign w:val="center"/>
          </w:tcPr>
          <w:p w14:paraId="74DD5F2C" w14:textId="77777777" w:rsidR="00584EC1" w:rsidRDefault="00871F8D">
            <w:pPr>
              <w:jc w:val="right"/>
              <w:textAlignment w:val="center"/>
            </w:pPr>
            <w:hyperlink r:id="rId36" w:anchor="i22e5b207b1584fc686a385e0488612f3_238" w:history="1">
              <w:r>
                <w:rPr>
                  <w:rStyle w:val="a5"/>
                  <w:rFonts w:ascii="Arial" w:eastAsia="宋体" w:hAnsi="Arial" w:cs="Arial"/>
                  <w:color w:val="000000"/>
                  <w:sz w:val="18"/>
                  <w:szCs w:val="18"/>
                  <w:u w:val="none"/>
                </w:rPr>
                <w:t>54</w:t>
              </w:r>
            </w:hyperlink>
          </w:p>
        </w:tc>
      </w:tr>
      <w:tr w:rsidR="00584EC1" w14:paraId="74DD5F31" w14:textId="77777777">
        <w:tc>
          <w:tcPr>
            <w:tcW w:w="0" w:type="auto"/>
            <w:gridSpan w:val="3"/>
            <w:shd w:val="clear" w:color="auto" w:fill="auto"/>
            <w:tcMar>
              <w:top w:w="0" w:type="dxa"/>
              <w:left w:w="20" w:type="dxa"/>
              <w:bottom w:w="0" w:type="dxa"/>
              <w:right w:w="20" w:type="dxa"/>
            </w:tcMar>
            <w:vAlign w:val="bottom"/>
          </w:tcPr>
          <w:p w14:paraId="74DD5F2E" w14:textId="77777777" w:rsidR="00584EC1" w:rsidRDefault="00584EC1">
            <w:pPr>
              <w:rPr>
                <w:rFonts w:ascii="宋体"/>
              </w:rPr>
            </w:pPr>
          </w:p>
        </w:tc>
        <w:tc>
          <w:tcPr>
            <w:tcW w:w="0" w:type="auto"/>
            <w:gridSpan w:val="3"/>
            <w:shd w:val="clear" w:color="auto" w:fill="auto"/>
            <w:tcMar>
              <w:top w:w="40" w:type="dxa"/>
              <w:left w:w="515" w:type="dxa"/>
              <w:bottom w:w="40" w:type="dxa"/>
              <w:right w:w="20" w:type="dxa"/>
            </w:tcMar>
            <w:vAlign w:val="center"/>
          </w:tcPr>
          <w:p w14:paraId="74DD5F2F" w14:textId="77777777" w:rsidR="00584EC1" w:rsidRDefault="00871F8D">
            <w:pPr>
              <w:textAlignment w:val="center"/>
            </w:pPr>
            <w:r>
              <w:rPr>
                <w:rFonts w:ascii="Arial" w:eastAsia="宋体" w:hAnsi="Arial" w:cs="Arial"/>
                <w:color w:val="000000"/>
                <w:sz w:val="18"/>
                <w:szCs w:val="18"/>
              </w:rPr>
              <w:t>Consolidated Statement of Comprehensive Income (loss) (unaudited)</w:t>
            </w:r>
          </w:p>
        </w:tc>
        <w:tc>
          <w:tcPr>
            <w:tcW w:w="0" w:type="auto"/>
            <w:gridSpan w:val="3"/>
            <w:shd w:val="clear" w:color="auto" w:fill="auto"/>
            <w:tcMar>
              <w:top w:w="40" w:type="dxa"/>
              <w:left w:w="20" w:type="dxa"/>
              <w:bottom w:w="40" w:type="dxa"/>
              <w:right w:w="20" w:type="dxa"/>
            </w:tcMar>
            <w:vAlign w:val="center"/>
          </w:tcPr>
          <w:p w14:paraId="74DD5F30" w14:textId="77777777" w:rsidR="00584EC1" w:rsidRDefault="00871F8D">
            <w:pPr>
              <w:jc w:val="right"/>
              <w:textAlignment w:val="center"/>
            </w:pPr>
            <w:hyperlink r:id="rId37" w:anchor="i22e5b207b1584fc686a385e0488612f3_241" w:history="1">
              <w:r>
                <w:rPr>
                  <w:rStyle w:val="a5"/>
                  <w:rFonts w:ascii="Arial" w:eastAsia="宋体" w:hAnsi="Arial" w:cs="Arial"/>
                  <w:color w:val="000000"/>
                  <w:sz w:val="18"/>
                  <w:szCs w:val="18"/>
                  <w:u w:val="none"/>
                </w:rPr>
                <w:t>55</w:t>
              </w:r>
            </w:hyperlink>
          </w:p>
        </w:tc>
      </w:tr>
      <w:tr w:rsidR="00584EC1" w14:paraId="74DD5F35" w14:textId="77777777">
        <w:tc>
          <w:tcPr>
            <w:tcW w:w="0" w:type="auto"/>
            <w:gridSpan w:val="3"/>
            <w:shd w:val="clear" w:color="auto" w:fill="auto"/>
            <w:tcMar>
              <w:top w:w="0" w:type="dxa"/>
              <w:left w:w="20" w:type="dxa"/>
              <w:bottom w:w="0" w:type="dxa"/>
              <w:right w:w="20" w:type="dxa"/>
            </w:tcMar>
            <w:vAlign w:val="bottom"/>
          </w:tcPr>
          <w:p w14:paraId="74DD5F32" w14:textId="77777777" w:rsidR="00584EC1" w:rsidRDefault="00584EC1">
            <w:pPr>
              <w:rPr>
                <w:rFonts w:ascii="宋体"/>
              </w:rPr>
            </w:pPr>
          </w:p>
        </w:tc>
        <w:tc>
          <w:tcPr>
            <w:tcW w:w="0" w:type="auto"/>
            <w:gridSpan w:val="3"/>
            <w:shd w:val="clear" w:color="auto" w:fill="auto"/>
            <w:tcMar>
              <w:top w:w="40" w:type="dxa"/>
              <w:left w:w="515" w:type="dxa"/>
              <w:bottom w:w="40" w:type="dxa"/>
              <w:right w:w="20" w:type="dxa"/>
            </w:tcMar>
            <w:vAlign w:val="center"/>
          </w:tcPr>
          <w:p w14:paraId="74DD5F33" w14:textId="77777777" w:rsidR="00584EC1" w:rsidRDefault="00871F8D">
            <w:pPr>
              <w:textAlignment w:val="center"/>
            </w:pPr>
            <w:r>
              <w:rPr>
                <w:rFonts w:ascii="Arial" w:eastAsia="宋体" w:hAnsi="Arial" w:cs="Arial"/>
                <w:color w:val="000000"/>
                <w:sz w:val="18"/>
                <w:szCs w:val="18"/>
              </w:rPr>
              <w:t>Consolidated Statement of Condition</w:t>
            </w:r>
          </w:p>
        </w:tc>
        <w:tc>
          <w:tcPr>
            <w:tcW w:w="0" w:type="auto"/>
            <w:gridSpan w:val="3"/>
            <w:shd w:val="clear" w:color="auto" w:fill="auto"/>
            <w:tcMar>
              <w:top w:w="40" w:type="dxa"/>
              <w:left w:w="20" w:type="dxa"/>
              <w:bottom w:w="40" w:type="dxa"/>
              <w:right w:w="20" w:type="dxa"/>
            </w:tcMar>
            <w:vAlign w:val="center"/>
          </w:tcPr>
          <w:p w14:paraId="74DD5F34" w14:textId="77777777" w:rsidR="00584EC1" w:rsidRDefault="00871F8D">
            <w:pPr>
              <w:jc w:val="right"/>
              <w:textAlignment w:val="center"/>
            </w:pPr>
            <w:hyperlink r:id="rId38" w:anchor="i22e5b207b1584fc686a385e0488612f3_244" w:history="1">
              <w:r>
                <w:rPr>
                  <w:rStyle w:val="a5"/>
                  <w:rFonts w:ascii="Arial" w:eastAsia="宋体" w:hAnsi="Arial" w:cs="Arial"/>
                  <w:color w:val="000000"/>
                  <w:sz w:val="18"/>
                  <w:szCs w:val="18"/>
                  <w:u w:val="none"/>
                </w:rPr>
                <w:t>56</w:t>
              </w:r>
            </w:hyperlink>
          </w:p>
        </w:tc>
      </w:tr>
      <w:tr w:rsidR="00584EC1" w14:paraId="74DD5F39" w14:textId="77777777">
        <w:tc>
          <w:tcPr>
            <w:tcW w:w="0" w:type="auto"/>
            <w:gridSpan w:val="3"/>
            <w:shd w:val="clear" w:color="auto" w:fill="auto"/>
            <w:tcMar>
              <w:top w:w="0" w:type="dxa"/>
              <w:left w:w="20" w:type="dxa"/>
              <w:bottom w:w="0" w:type="dxa"/>
              <w:right w:w="20" w:type="dxa"/>
            </w:tcMar>
            <w:vAlign w:val="bottom"/>
          </w:tcPr>
          <w:p w14:paraId="74DD5F36" w14:textId="77777777" w:rsidR="00584EC1" w:rsidRDefault="00584EC1">
            <w:pPr>
              <w:rPr>
                <w:rFonts w:ascii="宋体"/>
              </w:rPr>
            </w:pPr>
          </w:p>
        </w:tc>
        <w:tc>
          <w:tcPr>
            <w:tcW w:w="0" w:type="auto"/>
            <w:gridSpan w:val="3"/>
            <w:shd w:val="clear" w:color="auto" w:fill="auto"/>
            <w:tcMar>
              <w:top w:w="40" w:type="dxa"/>
              <w:left w:w="515" w:type="dxa"/>
              <w:bottom w:w="40" w:type="dxa"/>
              <w:right w:w="20" w:type="dxa"/>
            </w:tcMar>
            <w:vAlign w:val="center"/>
          </w:tcPr>
          <w:p w14:paraId="74DD5F37" w14:textId="77777777" w:rsidR="00584EC1" w:rsidRDefault="00871F8D">
            <w:pPr>
              <w:textAlignment w:val="center"/>
            </w:pPr>
            <w:r>
              <w:rPr>
                <w:rFonts w:ascii="Arial" w:eastAsia="宋体" w:hAnsi="Arial" w:cs="Arial"/>
                <w:color w:val="000000"/>
                <w:sz w:val="18"/>
                <w:szCs w:val="18"/>
              </w:rPr>
              <w:t>Consolidated Statement of Changes in Shareholders' Equity (unaudited)</w:t>
            </w:r>
          </w:p>
        </w:tc>
        <w:tc>
          <w:tcPr>
            <w:tcW w:w="0" w:type="auto"/>
            <w:gridSpan w:val="3"/>
            <w:shd w:val="clear" w:color="auto" w:fill="auto"/>
            <w:tcMar>
              <w:top w:w="40" w:type="dxa"/>
              <w:left w:w="20" w:type="dxa"/>
              <w:bottom w:w="40" w:type="dxa"/>
              <w:right w:w="20" w:type="dxa"/>
            </w:tcMar>
            <w:vAlign w:val="center"/>
          </w:tcPr>
          <w:p w14:paraId="74DD5F38" w14:textId="77777777" w:rsidR="00584EC1" w:rsidRDefault="00871F8D">
            <w:pPr>
              <w:jc w:val="right"/>
              <w:textAlignment w:val="center"/>
            </w:pPr>
            <w:hyperlink r:id="rId39" w:anchor="i22e5b207b1584fc686a385e0488612f3_247" w:history="1">
              <w:r>
                <w:rPr>
                  <w:rStyle w:val="a5"/>
                  <w:rFonts w:ascii="Arial" w:eastAsia="宋体" w:hAnsi="Arial" w:cs="Arial"/>
                  <w:color w:val="000000"/>
                  <w:sz w:val="18"/>
                  <w:szCs w:val="18"/>
                  <w:u w:val="none"/>
                </w:rPr>
                <w:t>57</w:t>
              </w:r>
            </w:hyperlink>
          </w:p>
        </w:tc>
      </w:tr>
      <w:tr w:rsidR="00584EC1" w14:paraId="74DD5F3D" w14:textId="77777777">
        <w:tc>
          <w:tcPr>
            <w:tcW w:w="0" w:type="auto"/>
            <w:gridSpan w:val="3"/>
            <w:shd w:val="clear" w:color="auto" w:fill="auto"/>
            <w:tcMar>
              <w:top w:w="0" w:type="dxa"/>
              <w:left w:w="20" w:type="dxa"/>
              <w:bottom w:w="0" w:type="dxa"/>
              <w:right w:w="20" w:type="dxa"/>
            </w:tcMar>
            <w:vAlign w:val="bottom"/>
          </w:tcPr>
          <w:p w14:paraId="74DD5F3A" w14:textId="77777777" w:rsidR="00584EC1" w:rsidRDefault="00584EC1">
            <w:pPr>
              <w:rPr>
                <w:rFonts w:ascii="宋体"/>
              </w:rPr>
            </w:pPr>
          </w:p>
        </w:tc>
        <w:tc>
          <w:tcPr>
            <w:tcW w:w="0" w:type="auto"/>
            <w:gridSpan w:val="3"/>
            <w:shd w:val="clear" w:color="auto" w:fill="auto"/>
            <w:tcMar>
              <w:top w:w="40" w:type="dxa"/>
              <w:left w:w="515" w:type="dxa"/>
              <w:bottom w:w="40" w:type="dxa"/>
              <w:right w:w="20" w:type="dxa"/>
            </w:tcMar>
            <w:vAlign w:val="center"/>
          </w:tcPr>
          <w:p w14:paraId="74DD5F3B" w14:textId="77777777" w:rsidR="00584EC1" w:rsidRDefault="00871F8D">
            <w:pPr>
              <w:textAlignment w:val="center"/>
            </w:pPr>
            <w:r>
              <w:rPr>
                <w:rFonts w:ascii="Arial" w:eastAsia="宋体" w:hAnsi="Arial" w:cs="Arial"/>
                <w:color w:val="000000"/>
                <w:sz w:val="18"/>
                <w:szCs w:val="18"/>
              </w:rPr>
              <w:t>Consolidated Statement of Cash Flows (unaudited)</w:t>
            </w:r>
          </w:p>
        </w:tc>
        <w:tc>
          <w:tcPr>
            <w:tcW w:w="0" w:type="auto"/>
            <w:gridSpan w:val="3"/>
            <w:shd w:val="clear" w:color="auto" w:fill="auto"/>
            <w:tcMar>
              <w:top w:w="40" w:type="dxa"/>
              <w:left w:w="20" w:type="dxa"/>
              <w:bottom w:w="40" w:type="dxa"/>
              <w:right w:w="20" w:type="dxa"/>
            </w:tcMar>
            <w:vAlign w:val="center"/>
          </w:tcPr>
          <w:p w14:paraId="74DD5F3C" w14:textId="77777777" w:rsidR="00584EC1" w:rsidRDefault="00871F8D">
            <w:pPr>
              <w:jc w:val="right"/>
              <w:textAlignment w:val="center"/>
            </w:pPr>
            <w:hyperlink r:id="rId40" w:anchor="i22e5b207b1584fc686a385e0488612f3_250" w:history="1">
              <w:r>
                <w:rPr>
                  <w:rStyle w:val="a5"/>
                  <w:rFonts w:ascii="Arial" w:eastAsia="宋体" w:hAnsi="Arial" w:cs="Arial"/>
                  <w:color w:val="000000"/>
                  <w:sz w:val="18"/>
                  <w:szCs w:val="18"/>
                  <w:u w:val="none"/>
                </w:rPr>
                <w:t>58</w:t>
              </w:r>
            </w:hyperlink>
          </w:p>
        </w:tc>
      </w:tr>
      <w:tr w:rsidR="00584EC1" w14:paraId="74DD5F41" w14:textId="77777777">
        <w:tc>
          <w:tcPr>
            <w:tcW w:w="0" w:type="auto"/>
            <w:gridSpan w:val="3"/>
            <w:shd w:val="clear" w:color="auto" w:fill="auto"/>
            <w:tcMar>
              <w:top w:w="0" w:type="dxa"/>
              <w:left w:w="20" w:type="dxa"/>
              <w:bottom w:w="0" w:type="dxa"/>
              <w:right w:w="20" w:type="dxa"/>
            </w:tcMar>
            <w:vAlign w:val="bottom"/>
          </w:tcPr>
          <w:p w14:paraId="74DD5F3E" w14:textId="77777777" w:rsidR="00584EC1" w:rsidRDefault="00584EC1">
            <w:pPr>
              <w:rPr>
                <w:rFonts w:ascii="宋体"/>
              </w:rPr>
            </w:pPr>
          </w:p>
        </w:tc>
        <w:tc>
          <w:tcPr>
            <w:tcW w:w="0" w:type="auto"/>
            <w:gridSpan w:val="3"/>
            <w:shd w:val="clear" w:color="auto" w:fill="auto"/>
            <w:tcMar>
              <w:top w:w="40" w:type="dxa"/>
              <w:left w:w="515" w:type="dxa"/>
              <w:bottom w:w="40" w:type="dxa"/>
              <w:right w:w="20" w:type="dxa"/>
            </w:tcMar>
            <w:vAlign w:val="center"/>
          </w:tcPr>
          <w:p w14:paraId="74DD5F3F" w14:textId="77777777" w:rsidR="00584EC1" w:rsidRDefault="00871F8D">
            <w:pPr>
              <w:textAlignment w:val="center"/>
            </w:pPr>
            <w:r>
              <w:rPr>
                <w:rFonts w:ascii="Arial" w:eastAsia="宋体" w:hAnsi="Arial" w:cs="Arial"/>
                <w:color w:val="000000"/>
                <w:sz w:val="18"/>
                <w:szCs w:val="18"/>
              </w:rPr>
              <w:t>Note 1. Summary of Significant Accounting Policies</w:t>
            </w:r>
          </w:p>
        </w:tc>
        <w:tc>
          <w:tcPr>
            <w:tcW w:w="0" w:type="auto"/>
            <w:gridSpan w:val="3"/>
            <w:shd w:val="clear" w:color="auto" w:fill="auto"/>
            <w:tcMar>
              <w:top w:w="40" w:type="dxa"/>
              <w:left w:w="20" w:type="dxa"/>
              <w:bottom w:w="40" w:type="dxa"/>
              <w:right w:w="20" w:type="dxa"/>
            </w:tcMar>
            <w:vAlign w:val="center"/>
          </w:tcPr>
          <w:p w14:paraId="74DD5F40" w14:textId="77777777" w:rsidR="00584EC1" w:rsidRDefault="00871F8D">
            <w:pPr>
              <w:jc w:val="right"/>
              <w:textAlignment w:val="center"/>
            </w:pPr>
            <w:hyperlink r:id="rId41" w:anchor="i22e5b207b1584fc686a385e0488612f3_253" w:history="1">
              <w:r>
                <w:rPr>
                  <w:rStyle w:val="a5"/>
                  <w:rFonts w:ascii="Arial" w:eastAsia="宋体" w:hAnsi="Arial" w:cs="Arial"/>
                  <w:color w:val="000000"/>
                  <w:sz w:val="18"/>
                  <w:szCs w:val="18"/>
                  <w:u w:val="none"/>
                </w:rPr>
                <w:t>59</w:t>
              </w:r>
            </w:hyperlink>
          </w:p>
        </w:tc>
      </w:tr>
      <w:tr w:rsidR="00584EC1" w14:paraId="74DD5F45" w14:textId="77777777">
        <w:tc>
          <w:tcPr>
            <w:tcW w:w="0" w:type="auto"/>
            <w:gridSpan w:val="3"/>
            <w:shd w:val="clear" w:color="auto" w:fill="auto"/>
            <w:tcMar>
              <w:top w:w="0" w:type="dxa"/>
              <w:left w:w="20" w:type="dxa"/>
              <w:bottom w:w="0" w:type="dxa"/>
              <w:right w:w="20" w:type="dxa"/>
            </w:tcMar>
            <w:vAlign w:val="bottom"/>
          </w:tcPr>
          <w:p w14:paraId="74DD5F42" w14:textId="77777777" w:rsidR="00584EC1" w:rsidRDefault="00584EC1">
            <w:pPr>
              <w:rPr>
                <w:rFonts w:ascii="宋体"/>
              </w:rPr>
            </w:pPr>
          </w:p>
        </w:tc>
        <w:tc>
          <w:tcPr>
            <w:tcW w:w="0" w:type="auto"/>
            <w:gridSpan w:val="3"/>
            <w:shd w:val="clear" w:color="auto" w:fill="auto"/>
            <w:tcMar>
              <w:top w:w="40" w:type="dxa"/>
              <w:left w:w="515" w:type="dxa"/>
              <w:bottom w:w="40" w:type="dxa"/>
              <w:right w:w="20" w:type="dxa"/>
            </w:tcMar>
            <w:vAlign w:val="center"/>
          </w:tcPr>
          <w:p w14:paraId="74DD5F43" w14:textId="77777777" w:rsidR="00584EC1" w:rsidRDefault="00871F8D">
            <w:pPr>
              <w:textAlignment w:val="center"/>
            </w:pPr>
            <w:r>
              <w:rPr>
                <w:rFonts w:ascii="Arial" w:eastAsia="宋体" w:hAnsi="Arial" w:cs="Arial"/>
                <w:color w:val="000000"/>
                <w:sz w:val="18"/>
                <w:szCs w:val="18"/>
              </w:rPr>
              <w:t>Note 2. Fair Value</w:t>
            </w:r>
          </w:p>
        </w:tc>
        <w:tc>
          <w:tcPr>
            <w:tcW w:w="0" w:type="auto"/>
            <w:gridSpan w:val="3"/>
            <w:shd w:val="clear" w:color="auto" w:fill="auto"/>
            <w:tcMar>
              <w:top w:w="40" w:type="dxa"/>
              <w:left w:w="20" w:type="dxa"/>
              <w:bottom w:w="40" w:type="dxa"/>
              <w:right w:w="20" w:type="dxa"/>
            </w:tcMar>
            <w:vAlign w:val="center"/>
          </w:tcPr>
          <w:p w14:paraId="74DD5F44" w14:textId="77777777" w:rsidR="00584EC1" w:rsidRDefault="00871F8D">
            <w:pPr>
              <w:jc w:val="right"/>
              <w:textAlignment w:val="center"/>
            </w:pPr>
            <w:hyperlink r:id="rId42" w:anchor="i22e5b207b1584fc686a385e0488612f3_256" w:history="1">
              <w:r>
                <w:rPr>
                  <w:rStyle w:val="a5"/>
                  <w:rFonts w:ascii="Arial" w:eastAsia="宋体" w:hAnsi="Arial" w:cs="Arial"/>
                  <w:color w:val="000000"/>
                  <w:sz w:val="18"/>
                  <w:szCs w:val="18"/>
                  <w:u w:val="none"/>
                </w:rPr>
                <w:t>59</w:t>
              </w:r>
            </w:hyperlink>
          </w:p>
        </w:tc>
      </w:tr>
      <w:tr w:rsidR="00584EC1" w14:paraId="74DD5F49" w14:textId="77777777">
        <w:tc>
          <w:tcPr>
            <w:tcW w:w="0" w:type="auto"/>
            <w:gridSpan w:val="3"/>
            <w:shd w:val="clear" w:color="auto" w:fill="auto"/>
            <w:tcMar>
              <w:top w:w="0" w:type="dxa"/>
              <w:left w:w="20" w:type="dxa"/>
              <w:bottom w:w="0" w:type="dxa"/>
              <w:right w:w="20" w:type="dxa"/>
            </w:tcMar>
            <w:vAlign w:val="bottom"/>
          </w:tcPr>
          <w:p w14:paraId="74DD5F46" w14:textId="77777777" w:rsidR="00584EC1" w:rsidRDefault="00584EC1">
            <w:pPr>
              <w:rPr>
                <w:rFonts w:ascii="宋体"/>
              </w:rPr>
            </w:pPr>
          </w:p>
        </w:tc>
        <w:tc>
          <w:tcPr>
            <w:tcW w:w="0" w:type="auto"/>
            <w:gridSpan w:val="3"/>
            <w:shd w:val="clear" w:color="auto" w:fill="auto"/>
            <w:tcMar>
              <w:top w:w="40" w:type="dxa"/>
              <w:left w:w="515" w:type="dxa"/>
              <w:bottom w:w="40" w:type="dxa"/>
              <w:right w:w="20" w:type="dxa"/>
            </w:tcMar>
            <w:vAlign w:val="center"/>
          </w:tcPr>
          <w:p w14:paraId="74DD5F47" w14:textId="77777777" w:rsidR="00584EC1" w:rsidRDefault="00871F8D">
            <w:pPr>
              <w:textAlignment w:val="center"/>
            </w:pPr>
            <w:r>
              <w:rPr>
                <w:rFonts w:ascii="Arial" w:eastAsia="宋体" w:hAnsi="Arial" w:cs="Arial"/>
                <w:color w:val="000000"/>
                <w:sz w:val="18"/>
                <w:szCs w:val="18"/>
              </w:rPr>
              <w:t>Note 3. Investment Securities</w:t>
            </w:r>
          </w:p>
        </w:tc>
        <w:tc>
          <w:tcPr>
            <w:tcW w:w="0" w:type="auto"/>
            <w:gridSpan w:val="3"/>
            <w:shd w:val="clear" w:color="auto" w:fill="auto"/>
            <w:tcMar>
              <w:top w:w="40" w:type="dxa"/>
              <w:left w:w="20" w:type="dxa"/>
              <w:bottom w:w="40" w:type="dxa"/>
              <w:right w:w="20" w:type="dxa"/>
            </w:tcMar>
            <w:vAlign w:val="center"/>
          </w:tcPr>
          <w:p w14:paraId="74DD5F48" w14:textId="77777777" w:rsidR="00584EC1" w:rsidRDefault="00871F8D">
            <w:pPr>
              <w:jc w:val="right"/>
              <w:textAlignment w:val="center"/>
            </w:pPr>
            <w:hyperlink r:id="rId43" w:anchor="i22e5b207b1584fc686a385e0488612f3_259" w:history="1">
              <w:r>
                <w:rPr>
                  <w:rStyle w:val="a5"/>
                  <w:rFonts w:ascii="Arial" w:eastAsia="宋体" w:hAnsi="Arial" w:cs="Arial"/>
                  <w:color w:val="000000"/>
                  <w:sz w:val="18"/>
                  <w:szCs w:val="18"/>
                  <w:u w:val="none"/>
                </w:rPr>
                <w:t>65</w:t>
              </w:r>
            </w:hyperlink>
          </w:p>
        </w:tc>
      </w:tr>
      <w:tr w:rsidR="00584EC1" w14:paraId="74DD5F4D" w14:textId="77777777">
        <w:tc>
          <w:tcPr>
            <w:tcW w:w="0" w:type="auto"/>
            <w:gridSpan w:val="3"/>
            <w:shd w:val="clear" w:color="auto" w:fill="auto"/>
            <w:tcMar>
              <w:top w:w="0" w:type="dxa"/>
              <w:left w:w="20" w:type="dxa"/>
              <w:bottom w:w="0" w:type="dxa"/>
              <w:right w:w="20" w:type="dxa"/>
            </w:tcMar>
            <w:vAlign w:val="bottom"/>
          </w:tcPr>
          <w:p w14:paraId="74DD5F4A" w14:textId="77777777" w:rsidR="00584EC1" w:rsidRDefault="00584EC1">
            <w:pPr>
              <w:rPr>
                <w:rFonts w:ascii="宋体"/>
              </w:rPr>
            </w:pPr>
          </w:p>
        </w:tc>
        <w:tc>
          <w:tcPr>
            <w:tcW w:w="0" w:type="auto"/>
            <w:gridSpan w:val="3"/>
            <w:shd w:val="clear" w:color="auto" w:fill="auto"/>
            <w:tcMar>
              <w:top w:w="40" w:type="dxa"/>
              <w:left w:w="515" w:type="dxa"/>
              <w:bottom w:w="40" w:type="dxa"/>
              <w:right w:w="20" w:type="dxa"/>
            </w:tcMar>
            <w:vAlign w:val="center"/>
          </w:tcPr>
          <w:p w14:paraId="74DD5F4B" w14:textId="77777777" w:rsidR="00584EC1" w:rsidRDefault="00871F8D">
            <w:pPr>
              <w:textAlignment w:val="center"/>
            </w:pPr>
            <w:r>
              <w:rPr>
                <w:rFonts w:ascii="Arial" w:eastAsia="宋体" w:hAnsi="Arial" w:cs="Arial"/>
                <w:color w:val="000000"/>
                <w:sz w:val="18"/>
                <w:szCs w:val="18"/>
              </w:rPr>
              <w:t>Note 4. Loans and Allowance for Credit Losses</w:t>
            </w:r>
          </w:p>
        </w:tc>
        <w:tc>
          <w:tcPr>
            <w:tcW w:w="0" w:type="auto"/>
            <w:gridSpan w:val="3"/>
            <w:shd w:val="clear" w:color="auto" w:fill="auto"/>
            <w:tcMar>
              <w:top w:w="40" w:type="dxa"/>
              <w:left w:w="20" w:type="dxa"/>
              <w:bottom w:w="40" w:type="dxa"/>
              <w:right w:w="20" w:type="dxa"/>
            </w:tcMar>
            <w:vAlign w:val="center"/>
          </w:tcPr>
          <w:p w14:paraId="74DD5F4C" w14:textId="77777777" w:rsidR="00584EC1" w:rsidRDefault="00871F8D">
            <w:pPr>
              <w:jc w:val="right"/>
              <w:textAlignment w:val="center"/>
            </w:pPr>
            <w:hyperlink r:id="rId44" w:anchor="i22e5b207b1584fc686a385e0488612f3_268" w:history="1">
              <w:r>
                <w:rPr>
                  <w:rStyle w:val="a5"/>
                  <w:rFonts w:ascii="Arial" w:eastAsia="宋体" w:hAnsi="Arial" w:cs="Arial"/>
                  <w:color w:val="000000"/>
                  <w:sz w:val="18"/>
                  <w:szCs w:val="18"/>
                  <w:u w:val="none"/>
                </w:rPr>
                <w:t>69</w:t>
              </w:r>
            </w:hyperlink>
          </w:p>
        </w:tc>
      </w:tr>
      <w:tr w:rsidR="00584EC1" w14:paraId="74DD5F51" w14:textId="77777777">
        <w:tc>
          <w:tcPr>
            <w:tcW w:w="0" w:type="auto"/>
            <w:gridSpan w:val="3"/>
            <w:shd w:val="clear" w:color="auto" w:fill="auto"/>
            <w:tcMar>
              <w:top w:w="0" w:type="dxa"/>
              <w:left w:w="20" w:type="dxa"/>
              <w:bottom w:w="0" w:type="dxa"/>
              <w:right w:w="20" w:type="dxa"/>
            </w:tcMar>
            <w:vAlign w:val="bottom"/>
          </w:tcPr>
          <w:p w14:paraId="74DD5F4E" w14:textId="77777777" w:rsidR="00584EC1" w:rsidRDefault="00584EC1">
            <w:pPr>
              <w:rPr>
                <w:rFonts w:ascii="宋体"/>
              </w:rPr>
            </w:pPr>
          </w:p>
        </w:tc>
        <w:tc>
          <w:tcPr>
            <w:tcW w:w="0" w:type="auto"/>
            <w:gridSpan w:val="3"/>
            <w:shd w:val="clear" w:color="auto" w:fill="auto"/>
            <w:tcMar>
              <w:top w:w="40" w:type="dxa"/>
              <w:left w:w="515" w:type="dxa"/>
              <w:bottom w:w="40" w:type="dxa"/>
              <w:right w:w="20" w:type="dxa"/>
            </w:tcMar>
            <w:vAlign w:val="center"/>
          </w:tcPr>
          <w:p w14:paraId="74DD5F4F" w14:textId="77777777" w:rsidR="00584EC1" w:rsidRDefault="00871F8D">
            <w:pPr>
              <w:textAlignment w:val="center"/>
            </w:pPr>
            <w:r>
              <w:rPr>
                <w:rFonts w:ascii="Arial" w:eastAsia="宋体" w:hAnsi="Arial" w:cs="Arial"/>
                <w:color w:val="000000"/>
                <w:sz w:val="18"/>
                <w:szCs w:val="18"/>
              </w:rPr>
              <w:t>Note 5. Goodwill and Other Intangible Assets</w:t>
            </w:r>
          </w:p>
        </w:tc>
        <w:tc>
          <w:tcPr>
            <w:tcW w:w="0" w:type="auto"/>
            <w:gridSpan w:val="3"/>
            <w:shd w:val="clear" w:color="auto" w:fill="auto"/>
            <w:tcMar>
              <w:top w:w="40" w:type="dxa"/>
              <w:left w:w="20" w:type="dxa"/>
              <w:bottom w:w="40" w:type="dxa"/>
              <w:right w:w="20" w:type="dxa"/>
            </w:tcMar>
            <w:vAlign w:val="center"/>
          </w:tcPr>
          <w:p w14:paraId="74DD5F50" w14:textId="77777777" w:rsidR="00584EC1" w:rsidRDefault="00871F8D">
            <w:pPr>
              <w:jc w:val="right"/>
              <w:textAlignment w:val="center"/>
            </w:pPr>
            <w:hyperlink r:id="rId45" w:anchor="i22e5b207b1584fc686a385e0488612f3_271" w:history="1">
              <w:r>
                <w:rPr>
                  <w:rStyle w:val="a5"/>
                  <w:rFonts w:ascii="Arial" w:eastAsia="宋体" w:hAnsi="Arial" w:cs="Arial"/>
                  <w:color w:val="000000"/>
                  <w:sz w:val="18"/>
                  <w:szCs w:val="18"/>
                  <w:u w:val="none"/>
                </w:rPr>
                <w:t>74</w:t>
              </w:r>
            </w:hyperlink>
          </w:p>
        </w:tc>
      </w:tr>
    </w:tbl>
    <w:p w14:paraId="74DD5F52" w14:textId="77777777" w:rsidR="00584EC1" w:rsidRDefault="00871F8D">
      <w:pPr>
        <w:ind w:firstLine="450"/>
        <w:jc w:val="right"/>
      </w:pPr>
      <w:r>
        <w:rPr>
          <w:rFonts w:ascii="Arial" w:eastAsia="宋体" w:hAnsi="Arial" w:cs="Arial"/>
          <w:color w:val="000000"/>
          <w:sz w:val="18"/>
          <w:szCs w:val="18"/>
        </w:rPr>
        <w:t>State Street Corporation | 2</w:t>
      </w:r>
    </w:p>
    <w:p w14:paraId="74DD5F53" w14:textId="77777777" w:rsidR="00584EC1" w:rsidRDefault="00584EC1">
      <w:pPr>
        <w:ind w:firstLine="450"/>
        <w:jc w:val="center"/>
      </w:pPr>
    </w:p>
    <w:p w14:paraId="74DD5F54" w14:textId="77777777" w:rsidR="00584EC1" w:rsidRDefault="00871F8D">
      <w:r>
        <w:pict w14:anchorId="74DE29F0">
          <v:rect id="_x0000_i1026" style="width:415.3pt;height:1.5pt" o:hralign="center" o:hrstd="t" o:hr="t" fillcolor="#a0a0a0" stroked="f"/>
        </w:pict>
      </w:r>
    </w:p>
    <w:p w14:paraId="74DD5F55" w14:textId="77777777" w:rsidR="00584EC1" w:rsidRDefault="00584EC1">
      <w:pPr>
        <w:ind w:firstLine="450"/>
        <w:jc w:val="center"/>
      </w:pPr>
    </w:p>
    <w:tbl>
      <w:tblPr>
        <w:tblW w:w="4912" w:type="pct"/>
        <w:tblCellMar>
          <w:top w:w="15" w:type="dxa"/>
          <w:left w:w="15" w:type="dxa"/>
          <w:bottom w:w="15" w:type="dxa"/>
          <w:right w:w="15" w:type="dxa"/>
        </w:tblCellMar>
        <w:tblLook w:val="04A0" w:firstRow="1" w:lastRow="0" w:firstColumn="1" w:lastColumn="0" w:noHBand="0" w:noVBand="1"/>
      </w:tblPr>
      <w:tblGrid>
        <w:gridCol w:w="68"/>
        <w:gridCol w:w="1309"/>
        <w:gridCol w:w="36"/>
        <w:gridCol w:w="68"/>
        <w:gridCol w:w="5941"/>
        <w:gridCol w:w="37"/>
        <w:gridCol w:w="68"/>
        <w:gridCol w:w="626"/>
        <w:gridCol w:w="36"/>
      </w:tblGrid>
      <w:tr w:rsidR="00584EC1" w14:paraId="74DD5F5F" w14:textId="77777777">
        <w:tc>
          <w:tcPr>
            <w:tcW w:w="50" w:type="pct"/>
            <w:shd w:val="clear" w:color="auto" w:fill="auto"/>
            <w:vAlign w:val="bottom"/>
          </w:tcPr>
          <w:p w14:paraId="74DD5F56" w14:textId="77777777" w:rsidR="00584EC1" w:rsidRDefault="00584EC1">
            <w:pPr>
              <w:rPr>
                <w:rFonts w:ascii="宋体"/>
              </w:rPr>
            </w:pPr>
          </w:p>
        </w:tc>
        <w:tc>
          <w:tcPr>
            <w:tcW w:w="808" w:type="pct"/>
            <w:shd w:val="clear" w:color="auto" w:fill="auto"/>
            <w:vAlign w:val="bottom"/>
          </w:tcPr>
          <w:p w14:paraId="74DD5F57" w14:textId="77777777" w:rsidR="00584EC1" w:rsidRDefault="00584EC1">
            <w:pPr>
              <w:rPr>
                <w:rFonts w:ascii="宋体"/>
              </w:rPr>
            </w:pPr>
          </w:p>
        </w:tc>
        <w:tc>
          <w:tcPr>
            <w:tcW w:w="5" w:type="pct"/>
            <w:shd w:val="clear" w:color="auto" w:fill="auto"/>
            <w:vAlign w:val="bottom"/>
          </w:tcPr>
          <w:p w14:paraId="74DD5F58" w14:textId="77777777" w:rsidR="00584EC1" w:rsidRDefault="00584EC1">
            <w:pPr>
              <w:rPr>
                <w:rFonts w:ascii="宋体"/>
              </w:rPr>
            </w:pPr>
          </w:p>
        </w:tc>
        <w:tc>
          <w:tcPr>
            <w:tcW w:w="50" w:type="pct"/>
            <w:shd w:val="clear" w:color="auto" w:fill="auto"/>
            <w:vAlign w:val="bottom"/>
          </w:tcPr>
          <w:p w14:paraId="74DD5F59" w14:textId="77777777" w:rsidR="00584EC1" w:rsidRDefault="00584EC1">
            <w:pPr>
              <w:rPr>
                <w:rFonts w:ascii="宋体"/>
              </w:rPr>
            </w:pPr>
          </w:p>
        </w:tc>
        <w:tc>
          <w:tcPr>
            <w:tcW w:w="3635" w:type="pct"/>
            <w:shd w:val="clear" w:color="auto" w:fill="auto"/>
            <w:vAlign w:val="bottom"/>
          </w:tcPr>
          <w:p w14:paraId="74DD5F5A" w14:textId="77777777" w:rsidR="00584EC1" w:rsidRDefault="00584EC1">
            <w:pPr>
              <w:rPr>
                <w:rFonts w:ascii="宋体"/>
              </w:rPr>
            </w:pPr>
          </w:p>
        </w:tc>
        <w:tc>
          <w:tcPr>
            <w:tcW w:w="5" w:type="pct"/>
            <w:shd w:val="clear" w:color="auto" w:fill="auto"/>
            <w:vAlign w:val="bottom"/>
          </w:tcPr>
          <w:p w14:paraId="74DD5F5B" w14:textId="77777777" w:rsidR="00584EC1" w:rsidRDefault="00584EC1">
            <w:pPr>
              <w:rPr>
                <w:rFonts w:ascii="宋体"/>
              </w:rPr>
            </w:pPr>
          </w:p>
        </w:tc>
        <w:tc>
          <w:tcPr>
            <w:tcW w:w="50" w:type="pct"/>
            <w:shd w:val="clear" w:color="auto" w:fill="auto"/>
            <w:vAlign w:val="bottom"/>
          </w:tcPr>
          <w:p w14:paraId="74DD5F5C" w14:textId="77777777" w:rsidR="00584EC1" w:rsidRDefault="00584EC1">
            <w:pPr>
              <w:rPr>
                <w:rFonts w:ascii="宋体"/>
              </w:rPr>
            </w:pPr>
          </w:p>
        </w:tc>
        <w:tc>
          <w:tcPr>
            <w:tcW w:w="391" w:type="pct"/>
            <w:shd w:val="clear" w:color="auto" w:fill="auto"/>
            <w:vAlign w:val="bottom"/>
          </w:tcPr>
          <w:p w14:paraId="74DD5F5D" w14:textId="77777777" w:rsidR="00584EC1" w:rsidRDefault="00584EC1">
            <w:pPr>
              <w:rPr>
                <w:rFonts w:ascii="宋体"/>
              </w:rPr>
            </w:pPr>
          </w:p>
        </w:tc>
        <w:tc>
          <w:tcPr>
            <w:tcW w:w="5" w:type="pct"/>
            <w:shd w:val="clear" w:color="auto" w:fill="auto"/>
            <w:vAlign w:val="bottom"/>
          </w:tcPr>
          <w:p w14:paraId="74DD5F5E" w14:textId="77777777" w:rsidR="00584EC1" w:rsidRDefault="00584EC1">
            <w:pPr>
              <w:rPr>
                <w:rFonts w:ascii="宋体"/>
              </w:rPr>
            </w:pPr>
          </w:p>
        </w:tc>
      </w:tr>
      <w:tr w:rsidR="00584EC1" w14:paraId="74DD5F63" w14:textId="77777777">
        <w:tc>
          <w:tcPr>
            <w:tcW w:w="0" w:type="auto"/>
            <w:gridSpan w:val="3"/>
            <w:shd w:val="clear" w:color="auto" w:fill="auto"/>
            <w:tcMar>
              <w:top w:w="0" w:type="dxa"/>
              <w:left w:w="20" w:type="dxa"/>
              <w:bottom w:w="0" w:type="dxa"/>
              <w:right w:w="20" w:type="dxa"/>
            </w:tcMar>
            <w:vAlign w:val="bottom"/>
          </w:tcPr>
          <w:p w14:paraId="74DD5F60" w14:textId="77777777" w:rsidR="00584EC1" w:rsidRDefault="00584EC1">
            <w:pPr>
              <w:rPr>
                <w:rFonts w:ascii="宋体"/>
              </w:rPr>
            </w:pPr>
          </w:p>
        </w:tc>
        <w:tc>
          <w:tcPr>
            <w:tcW w:w="0" w:type="auto"/>
            <w:gridSpan w:val="3"/>
            <w:shd w:val="clear" w:color="auto" w:fill="auto"/>
            <w:tcMar>
              <w:top w:w="40" w:type="dxa"/>
              <w:left w:w="515" w:type="dxa"/>
              <w:bottom w:w="40" w:type="dxa"/>
              <w:right w:w="20" w:type="dxa"/>
            </w:tcMar>
            <w:vAlign w:val="center"/>
          </w:tcPr>
          <w:p w14:paraId="74DD5F61" w14:textId="77777777" w:rsidR="00584EC1" w:rsidRDefault="00871F8D">
            <w:pPr>
              <w:textAlignment w:val="center"/>
            </w:pPr>
            <w:r>
              <w:rPr>
                <w:rFonts w:ascii="Arial" w:eastAsia="宋体" w:hAnsi="Arial" w:cs="Arial"/>
                <w:color w:val="000000"/>
                <w:sz w:val="18"/>
                <w:szCs w:val="18"/>
              </w:rPr>
              <w:t>Note 6. Other Assets</w:t>
            </w:r>
          </w:p>
        </w:tc>
        <w:tc>
          <w:tcPr>
            <w:tcW w:w="0" w:type="auto"/>
            <w:gridSpan w:val="3"/>
            <w:shd w:val="clear" w:color="auto" w:fill="auto"/>
            <w:tcMar>
              <w:top w:w="40" w:type="dxa"/>
              <w:left w:w="20" w:type="dxa"/>
              <w:bottom w:w="40" w:type="dxa"/>
              <w:right w:w="20" w:type="dxa"/>
            </w:tcMar>
            <w:vAlign w:val="center"/>
          </w:tcPr>
          <w:p w14:paraId="74DD5F62" w14:textId="77777777" w:rsidR="00584EC1" w:rsidRDefault="00871F8D">
            <w:pPr>
              <w:jc w:val="right"/>
              <w:textAlignment w:val="center"/>
            </w:pPr>
            <w:hyperlink r:id="rId46" w:anchor="i22e5b207b1584fc686a385e0488612f3_274" w:history="1">
              <w:r>
                <w:rPr>
                  <w:rStyle w:val="a5"/>
                  <w:rFonts w:ascii="Arial" w:eastAsia="宋体" w:hAnsi="Arial" w:cs="Arial"/>
                  <w:color w:val="000000"/>
                  <w:sz w:val="18"/>
                  <w:szCs w:val="18"/>
                  <w:u w:val="none"/>
                </w:rPr>
                <w:t>75</w:t>
              </w:r>
            </w:hyperlink>
          </w:p>
        </w:tc>
      </w:tr>
      <w:tr w:rsidR="00584EC1" w14:paraId="74DD5F67" w14:textId="77777777">
        <w:tc>
          <w:tcPr>
            <w:tcW w:w="0" w:type="auto"/>
            <w:gridSpan w:val="3"/>
            <w:shd w:val="clear" w:color="auto" w:fill="auto"/>
            <w:tcMar>
              <w:top w:w="0" w:type="dxa"/>
              <w:left w:w="20" w:type="dxa"/>
              <w:bottom w:w="0" w:type="dxa"/>
              <w:right w:w="20" w:type="dxa"/>
            </w:tcMar>
            <w:vAlign w:val="bottom"/>
          </w:tcPr>
          <w:p w14:paraId="74DD5F64" w14:textId="77777777" w:rsidR="00584EC1" w:rsidRDefault="00584EC1">
            <w:pPr>
              <w:rPr>
                <w:rFonts w:ascii="宋体"/>
              </w:rPr>
            </w:pPr>
          </w:p>
        </w:tc>
        <w:tc>
          <w:tcPr>
            <w:tcW w:w="0" w:type="auto"/>
            <w:gridSpan w:val="3"/>
            <w:shd w:val="clear" w:color="auto" w:fill="auto"/>
            <w:tcMar>
              <w:top w:w="40" w:type="dxa"/>
              <w:left w:w="515" w:type="dxa"/>
              <w:bottom w:w="40" w:type="dxa"/>
              <w:right w:w="20" w:type="dxa"/>
            </w:tcMar>
            <w:vAlign w:val="center"/>
          </w:tcPr>
          <w:p w14:paraId="74DD5F65" w14:textId="77777777" w:rsidR="00584EC1" w:rsidRDefault="00871F8D">
            <w:pPr>
              <w:textAlignment w:val="center"/>
            </w:pPr>
            <w:r>
              <w:rPr>
                <w:rFonts w:ascii="Arial" w:eastAsia="宋体" w:hAnsi="Arial" w:cs="Arial"/>
                <w:color w:val="000000"/>
                <w:sz w:val="18"/>
                <w:szCs w:val="18"/>
              </w:rPr>
              <w:t>Note 7. Derivative Financial Instruments</w:t>
            </w:r>
          </w:p>
        </w:tc>
        <w:tc>
          <w:tcPr>
            <w:tcW w:w="0" w:type="auto"/>
            <w:gridSpan w:val="3"/>
            <w:shd w:val="clear" w:color="auto" w:fill="auto"/>
            <w:tcMar>
              <w:top w:w="40" w:type="dxa"/>
              <w:left w:w="20" w:type="dxa"/>
              <w:bottom w:w="40" w:type="dxa"/>
              <w:right w:w="20" w:type="dxa"/>
            </w:tcMar>
            <w:vAlign w:val="center"/>
          </w:tcPr>
          <w:p w14:paraId="74DD5F66" w14:textId="77777777" w:rsidR="00584EC1" w:rsidRDefault="00871F8D">
            <w:pPr>
              <w:jc w:val="right"/>
              <w:textAlignment w:val="center"/>
            </w:pPr>
            <w:hyperlink r:id="rId47" w:anchor="i22e5b207b1584fc686a385e0488612f3_277" w:history="1">
              <w:r>
                <w:rPr>
                  <w:rStyle w:val="a5"/>
                  <w:rFonts w:ascii="Arial" w:eastAsia="宋体" w:hAnsi="Arial" w:cs="Arial"/>
                  <w:color w:val="000000"/>
                  <w:sz w:val="18"/>
                  <w:szCs w:val="18"/>
                  <w:u w:val="none"/>
                </w:rPr>
                <w:t>76</w:t>
              </w:r>
            </w:hyperlink>
          </w:p>
        </w:tc>
      </w:tr>
      <w:tr w:rsidR="00584EC1" w14:paraId="74DD5F6B" w14:textId="77777777">
        <w:tc>
          <w:tcPr>
            <w:tcW w:w="0" w:type="auto"/>
            <w:gridSpan w:val="3"/>
            <w:shd w:val="clear" w:color="auto" w:fill="auto"/>
            <w:tcMar>
              <w:top w:w="0" w:type="dxa"/>
              <w:left w:w="20" w:type="dxa"/>
              <w:bottom w:w="0" w:type="dxa"/>
              <w:right w:w="20" w:type="dxa"/>
            </w:tcMar>
            <w:vAlign w:val="bottom"/>
          </w:tcPr>
          <w:p w14:paraId="74DD5F68" w14:textId="77777777" w:rsidR="00584EC1" w:rsidRDefault="00584EC1">
            <w:pPr>
              <w:rPr>
                <w:rFonts w:ascii="宋体"/>
              </w:rPr>
            </w:pPr>
          </w:p>
        </w:tc>
        <w:tc>
          <w:tcPr>
            <w:tcW w:w="0" w:type="auto"/>
            <w:gridSpan w:val="3"/>
            <w:shd w:val="clear" w:color="auto" w:fill="auto"/>
            <w:tcMar>
              <w:top w:w="40" w:type="dxa"/>
              <w:left w:w="515" w:type="dxa"/>
              <w:bottom w:w="40" w:type="dxa"/>
              <w:right w:w="20" w:type="dxa"/>
            </w:tcMar>
            <w:vAlign w:val="center"/>
          </w:tcPr>
          <w:p w14:paraId="74DD5F69" w14:textId="77777777" w:rsidR="00584EC1" w:rsidRDefault="00871F8D">
            <w:pPr>
              <w:textAlignment w:val="center"/>
            </w:pPr>
            <w:r>
              <w:rPr>
                <w:rFonts w:ascii="Arial" w:eastAsia="宋体" w:hAnsi="Arial" w:cs="Arial"/>
                <w:color w:val="000000"/>
                <w:sz w:val="18"/>
                <w:szCs w:val="18"/>
              </w:rPr>
              <w:t>Note 8. Offsetting Arrangements</w:t>
            </w:r>
          </w:p>
        </w:tc>
        <w:tc>
          <w:tcPr>
            <w:tcW w:w="0" w:type="auto"/>
            <w:gridSpan w:val="3"/>
            <w:shd w:val="clear" w:color="auto" w:fill="auto"/>
            <w:tcMar>
              <w:top w:w="40" w:type="dxa"/>
              <w:left w:w="20" w:type="dxa"/>
              <w:bottom w:w="40" w:type="dxa"/>
              <w:right w:w="20" w:type="dxa"/>
            </w:tcMar>
            <w:vAlign w:val="center"/>
          </w:tcPr>
          <w:p w14:paraId="74DD5F6A" w14:textId="77777777" w:rsidR="00584EC1" w:rsidRDefault="00871F8D">
            <w:pPr>
              <w:jc w:val="right"/>
              <w:textAlignment w:val="center"/>
            </w:pPr>
            <w:hyperlink r:id="rId48" w:anchor="i22e5b207b1584fc686a385e0488612f3_280" w:history="1">
              <w:r>
                <w:rPr>
                  <w:rStyle w:val="a5"/>
                  <w:rFonts w:ascii="Arial" w:eastAsia="宋体" w:hAnsi="Arial" w:cs="Arial"/>
                  <w:color w:val="000000"/>
                  <w:sz w:val="18"/>
                  <w:szCs w:val="18"/>
                  <w:u w:val="none"/>
                </w:rPr>
                <w:t>80</w:t>
              </w:r>
            </w:hyperlink>
          </w:p>
        </w:tc>
      </w:tr>
      <w:tr w:rsidR="00584EC1" w14:paraId="74DD5F6F" w14:textId="77777777">
        <w:tc>
          <w:tcPr>
            <w:tcW w:w="0" w:type="auto"/>
            <w:gridSpan w:val="3"/>
            <w:shd w:val="clear" w:color="auto" w:fill="auto"/>
            <w:tcMar>
              <w:top w:w="0" w:type="dxa"/>
              <w:left w:w="20" w:type="dxa"/>
              <w:bottom w:w="0" w:type="dxa"/>
              <w:right w:w="20" w:type="dxa"/>
            </w:tcMar>
            <w:vAlign w:val="bottom"/>
          </w:tcPr>
          <w:p w14:paraId="74DD5F6C" w14:textId="77777777" w:rsidR="00584EC1" w:rsidRDefault="00584EC1">
            <w:pPr>
              <w:rPr>
                <w:rFonts w:ascii="宋体"/>
              </w:rPr>
            </w:pPr>
          </w:p>
        </w:tc>
        <w:tc>
          <w:tcPr>
            <w:tcW w:w="0" w:type="auto"/>
            <w:gridSpan w:val="3"/>
            <w:shd w:val="clear" w:color="auto" w:fill="auto"/>
            <w:tcMar>
              <w:top w:w="40" w:type="dxa"/>
              <w:left w:w="515" w:type="dxa"/>
              <w:bottom w:w="40" w:type="dxa"/>
              <w:right w:w="20" w:type="dxa"/>
            </w:tcMar>
            <w:vAlign w:val="center"/>
          </w:tcPr>
          <w:p w14:paraId="74DD5F6D" w14:textId="77777777" w:rsidR="00584EC1" w:rsidRDefault="00871F8D">
            <w:pPr>
              <w:textAlignment w:val="center"/>
            </w:pPr>
            <w:r>
              <w:rPr>
                <w:rFonts w:ascii="Arial" w:eastAsia="宋体" w:hAnsi="Arial" w:cs="Arial"/>
                <w:color w:val="000000"/>
                <w:sz w:val="18"/>
                <w:szCs w:val="18"/>
              </w:rPr>
              <w:t>Note 9. Commitments and Guarantees</w:t>
            </w:r>
          </w:p>
        </w:tc>
        <w:tc>
          <w:tcPr>
            <w:tcW w:w="0" w:type="auto"/>
            <w:gridSpan w:val="3"/>
            <w:shd w:val="clear" w:color="auto" w:fill="auto"/>
            <w:tcMar>
              <w:top w:w="40" w:type="dxa"/>
              <w:left w:w="20" w:type="dxa"/>
              <w:bottom w:w="40" w:type="dxa"/>
              <w:right w:w="20" w:type="dxa"/>
            </w:tcMar>
            <w:vAlign w:val="center"/>
          </w:tcPr>
          <w:p w14:paraId="74DD5F6E" w14:textId="77777777" w:rsidR="00584EC1" w:rsidRDefault="00871F8D">
            <w:pPr>
              <w:jc w:val="right"/>
              <w:textAlignment w:val="center"/>
            </w:pPr>
            <w:hyperlink r:id="rId49" w:anchor="i22e5b207b1584fc686a385e0488612f3_283" w:history="1">
              <w:r>
                <w:rPr>
                  <w:rStyle w:val="a5"/>
                  <w:rFonts w:ascii="Arial" w:eastAsia="宋体" w:hAnsi="Arial" w:cs="Arial"/>
                  <w:color w:val="000000"/>
                  <w:sz w:val="18"/>
                  <w:szCs w:val="18"/>
                  <w:u w:val="none"/>
                </w:rPr>
                <w:t>83</w:t>
              </w:r>
            </w:hyperlink>
          </w:p>
        </w:tc>
      </w:tr>
      <w:tr w:rsidR="00584EC1" w14:paraId="74DD5F73" w14:textId="77777777">
        <w:tc>
          <w:tcPr>
            <w:tcW w:w="0" w:type="auto"/>
            <w:gridSpan w:val="3"/>
            <w:shd w:val="clear" w:color="auto" w:fill="auto"/>
            <w:tcMar>
              <w:top w:w="0" w:type="dxa"/>
              <w:left w:w="20" w:type="dxa"/>
              <w:bottom w:w="0" w:type="dxa"/>
              <w:right w:w="20" w:type="dxa"/>
            </w:tcMar>
            <w:vAlign w:val="bottom"/>
          </w:tcPr>
          <w:p w14:paraId="74DD5F70" w14:textId="77777777" w:rsidR="00584EC1" w:rsidRDefault="00584EC1">
            <w:pPr>
              <w:rPr>
                <w:rFonts w:ascii="宋体"/>
              </w:rPr>
            </w:pPr>
          </w:p>
        </w:tc>
        <w:tc>
          <w:tcPr>
            <w:tcW w:w="0" w:type="auto"/>
            <w:gridSpan w:val="3"/>
            <w:shd w:val="clear" w:color="auto" w:fill="auto"/>
            <w:tcMar>
              <w:top w:w="40" w:type="dxa"/>
              <w:left w:w="515" w:type="dxa"/>
              <w:bottom w:w="40" w:type="dxa"/>
              <w:right w:w="20" w:type="dxa"/>
            </w:tcMar>
            <w:vAlign w:val="center"/>
          </w:tcPr>
          <w:p w14:paraId="74DD5F71" w14:textId="77777777" w:rsidR="00584EC1" w:rsidRDefault="00871F8D">
            <w:pPr>
              <w:textAlignment w:val="center"/>
            </w:pPr>
            <w:r>
              <w:rPr>
                <w:rFonts w:ascii="Arial" w:eastAsia="宋体" w:hAnsi="Arial" w:cs="Arial"/>
                <w:color w:val="000000"/>
                <w:sz w:val="18"/>
                <w:szCs w:val="18"/>
              </w:rPr>
              <w:t>Note 10. Contingencies</w:t>
            </w:r>
          </w:p>
        </w:tc>
        <w:tc>
          <w:tcPr>
            <w:tcW w:w="0" w:type="auto"/>
            <w:gridSpan w:val="3"/>
            <w:shd w:val="clear" w:color="auto" w:fill="auto"/>
            <w:tcMar>
              <w:top w:w="40" w:type="dxa"/>
              <w:left w:w="20" w:type="dxa"/>
              <w:bottom w:w="40" w:type="dxa"/>
              <w:right w:w="20" w:type="dxa"/>
            </w:tcMar>
            <w:vAlign w:val="center"/>
          </w:tcPr>
          <w:p w14:paraId="74DD5F72" w14:textId="77777777" w:rsidR="00584EC1" w:rsidRDefault="00871F8D">
            <w:pPr>
              <w:jc w:val="right"/>
              <w:textAlignment w:val="center"/>
            </w:pPr>
            <w:hyperlink r:id="rId50" w:anchor="i22e5b207b1584fc686a385e0488612f3_286" w:history="1">
              <w:r>
                <w:rPr>
                  <w:rStyle w:val="a5"/>
                  <w:rFonts w:ascii="Arial" w:eastAsia="宋体" w:hAnsi="Arial" w:cs="Arial"/>
                  <w:color w:val="000000"/>
                  <w:sz w:val="18"/>
                  <w:szCs w:val="18"/>
                  <w:u w:val="none"/>
                </w:rPr>
                <w:t>83</w:t>
              </w:r>
            </w:hyperlink>
          </w:p>
        </w:tc>
      </w:tr>
      <w:tr w:rsidR="00584EC1" w14:paraId="74DD5F77" w14:textId="77777777">
        <w:tc>
          <w:tcPr>
            <w:tcW w:w="0" w:type="auto"/>
            <w:gridSpan w:val="3"/>
            <w:shd w:val="clear" w:color="auto" w:fill="auto"/>
            <w:tcMar>
              <w:top w:w="0" w:type="dxa"/>
              <w:left w:w="20" w:type="dxa"/>
              <w:bottom w:w="0" w:type="dxa"/>
              <w:right w:w="20" w:type="dxa"/>
            </w:tcMar>
            <w:vAlign w:val="bottom"/>
          </w:tcPr>
          <w:p w14:paraId="74DD5F74" w14:textId="77777777" w:rsidR="00584EC1" w:rsidRDefault="00584EC1">
            <w:pPr>
              <w:rPr>
                <w:rFonts w:ascii="宋体"/>
              </w:rPr>
            </w:pPr>
          </w:p>
        </w:tc>
        <w:tc>
          <w:tcPr>
            <w:tcW w:w="0" w:type="auto"/>
            <w:gridSpan w:val="3"/>
            <w:shd w:val="clear" w:color="auto" w:fill="auto"/>
            <w:tcMar>
              <w:top w:w="40" w:type="dxa"/>
              <w:left w:w="515" w:type="dxa"/>
              <w:bottom w:w="40" w:type="dxa"/>
              <w:right w:w="20" w:type="dxa"/>
            </w:tcMar>
            <w:vAlign w:val="center"/>
          </w:tcPr>
          <w:p w14:paraId="74DD5F75" w14:textId="77777777" w:rsidR="00584EC1" w:rsidRDefault="00871F8D">
            <w:pPr>
              <w:textAlignment w:val="center"/>
            </w:pPr>
            <w:r>
              <w:rPr>
                <w:rFonts w:ascii="Arial" w:eastAsia="宋体" w:hAnsi="Arial" w:cs="Arial"/>
                <w:color w:val="000000"/>
                <w:sz w:val="18"/>
                <w:szCs w:val="18"/>
              </w:rPr>
              <w:t>Note 11. Variable Interest Entities</w:t>
            </w:r>
          </w:p>
        </w:tc>
        <w:tc>
          <w:tcPr>
            <w:tcW w:w="0" w:type="auto"/>
            <w:gridSpan w:val="3"/>
            <w:shd w:val="clear" w:color="auto" w:fill="auto"/>
            <w:tcMar>
              <w:top w:w="40" w:type="dxa"/>
              <w:left w:w="20" w:type="dxa"/>
              <w:bottom w:w="40" w:type="dxa"/>
              <w:right w:w="20" w:type="dxa"/>
            </w:tcMar>
            <w:vAlign w:val="center"/>
          </w:tcPr>
          <w:p w14:paraId="74DD5F76" w14:textId="77777777" w:rsidR="00584EC1" w:rsidRDefault="00871F8D">
            <w:pPr>
              <w:jc w:val="right"/>
              <w:textAlignment w:val="center"/>
            </w:pPr>
            <w:hyperlink r:id="rId51" w:anchor="i22e5b207b1584fc686a385e0488612f3_295" w:history="1">
              <w:r>
                <w:rPr>
                  <w:rStyle w:val="a5"/>
                  <w:rFonts w:ascii="Arial" w:eastAsia="宋体" w:hAnsi="Arial" w:cs="Arial"/>
                  <w:color w:val="000000"/>
                  <w:sz w:val="18"/>
                  <w:szCs w:val="18"/>
                  <w:u w:val="none"/>
                </w:rPr>
                <w:t>86</w:t>
              </w:r>
            </w:hyperlink>
          </w:p>
        </w:tc>
      </w:tr>
      <w:tr w:rsidR="00584EC1" w14:paraId="74DD5F7B" w14:textId="77777777">
        <w:tc>
          <w:tcPr>
            <w:tcW w:w="0" w:type="auto"/>
            <w:gridSpan w:val="3"/>
            <w:shd w:val="clear" w:color="auto" w:fill="auto"/>
            <w:tcMar>
              <w:top w:w="0" w:type="dxa"/>
              <w:left w:w="20" w:type="dxa"/>
              <w:bottom w:w="0" w:type="dxa"/>
              <w:right w:w="20" w:type="dxa"/>
            </w:tcMar>
            <w:vAlign w:val="bottom"/>
          </w:tcPr>
          <w:p w14:paraId="74DD5F78" w14:textId="77777777" w:rsidR="00584EC1" w:rsidRDefault="00584EC1">
            <w:pPr>
              <w:rPr>
                <w:rFonts w:ascii="宋体"/>
              </w:rPr>
            </w:pPr>
          </w:p>
        </w:tc>
        <w:tc>
          <w:tcPr>
            <w:tcW w:w="0" w:type="auto"/>
            <w:gridSpan w:val="3"/>
            <w:shd w:val="clear" w:color="auto" w:fill="auto"/>
            <w:tcMar>
              <w:top w:w="40" w:type="dxa"/>
              <w:left w:w="515" w:type="dxa"/>
              <w:bottom w:w="40" w:type="dxa"/>
              <w:right w:w="20" w:type="dxa"/>
            </w:tcMar>
            <w:vAlign w:val="center"/>
          </w:tcPr>
          <w:p w14:paraId="74DD5F79" w14:textId="77777777" w:rsidR="00584EC1" w:rsidRDefault="00871F8D">
            <w:pPr>
              <w:textAlignment w:val="center"/>
            </w:pPr>
            <w:r>
              <w:rPr>
                <w:rFonts w:ascii="Arial" w:eastAsia="宋体" w:hAnsi="Arial" w:cs="Arial"/>
                <w:color w:val="000000"/>
                <w:sz w:val="18"/>
                <w:szCs w:val="18"/>
              </w:rPr>
              <w:t>Note 12. Shareholders' Equity</w:t>
            </w:r>
          </w:p>
        </w:tc>
        <w:tc>
          <w:tcPr>
            <w:tcW w:w="0" w:type="auto"/>
            <w:gridSpan w:val="3"/>
            <w:shd w:val="clear" w:color="auto" w:fill="auto"/>
            <w:tcMar>
              <w:top w:w="40" w:type="dxa"/>
              <w:left w:w="20" w:type="dxa"/>
              <w:bottom w:w="40" w:type="dxa"/>
              <w:right w:w="20" w:type="dxa"/>
            </w:tcMar>
            <w:vAlign w:val="center"/>
          </w:tcPr>
          <w:p w14:paraId="74DD5F7A" w14:textId="77777777" w:rsidR="00584EC1" w:rsidRDefault="00871F8D">
            <w:pPr>
              <w:jc w:val="right"/>
              <w:textAlignment w:val="center"/>
            </w:pPr>
            <w:hyperlink r:id="rId52" w:anchor="i22e5b207b1584fc686a385e0488612f3_301" w:history="1">
              <w:r>
                <w:rPr>
                  <w:rStyle w:val="a5"/>
                  <w:rFonts w:ascii="Arial" w:eastAsia="宋体" w:hAnsi="Arial" w:cs="Arial"/>
                  <w:color w:val="000000"/>
                  <w:sz w:val="18"/>
                  <w:szCs w:val="18"/>
                  <w:u w:val="none"/>
                </w:rPr>
                <w:t>86</w:t>
              </w:r>
            </w:hyperlink>
          </w:p>
        </w:tc>
      </w:tr>
      <w:tr w:rsidR="00584EC1" w14:paraId="74DD5F7F" w14:textId="77777777">
        <w:tc>
          <w:tcPr>
            <w:tcW w:w="0" w:type="auto"/>
            <w:gridSpan w:val="3"/>
            <w:shd w:val="clear" w:color="auto" w:fill="auto"/>
            <w:tcMar>
              <w:top w:w="0" w:type="dxa"/>
              <w:left w:w="20" w:type="dxa"/>
              <w:bottom w:w="0" w:type="dxa"/>
              <w:right w:w="20" w:type="dxa"/>
            </w:tcMar>
            <w:vAlign w:val="bottom"/>
          </w:tcPr>
          <w:p w14:paraId="74DD5F7C" w14:textId="77777777" w:rsidR="00584EC1" w:rsidRDefault="00584EC1">
            <w:pPr>
              <w:rPr>
                <w:rFonts w:ascii="宋体"/>
              </w:rPr>
            </w:pPr>
          </w:p>
        </w:tc>
        <w:tc>
          <w:tcPr>
            <w:tcW w:w="0" w:type="auto"/>
            <w:gridSpan w:val="3"/>
            <w:shd w:val="clear" w:color="auto" w:fill="auto"/>
            <w:tcMar>
              <w:top w:w="40" w:type="dxa"/>
              <w:left w:w="515" w:type="dxa"/>
              <w:bottom w:w="40" w:type="dxa"/>
              <w:right w:w="20" w:type="dxa"/>
            </w:tcMar>
            <w:vAlign w:val="center"/>
          </w:tcPr>
          <w:p w14:paraId="74DD5F7D" w14:textId="77777777" w:rsidR="00584EC1" w:rsidRDefault="00871F8D">
            <w:pPr>
              <w:textAlignment w:val="center"/>
            </w:pPr>
            <w:r>
              <w:rPr>
                <w:rFonts w:ascii="Arial" w:eastAsia="宋体" w:hAnsi="Arial" w:cs="Arial"/>
                <w:color w:val="000000"/>
                <w:sz w:val="18"/>
                <w:szCs w:val="18"/>
              </w:rPr>
              <w:t>Note 13. Regulatory Capital</w:t>
            </w:r>
          </w:p>
        </w:tc>
        <w:tc>
          <w:tcPr>
            <w:tcW w:w="0" w:type="auto"/>
            <w:gridSpan w:val="3"/>
            <w:shd w:val="clear" w:color="auto" w:fill="auto"/>
            <w:tcMar>
              <w:top w:w="40" w:type="dxa"/>
              <w:left w:w="20" w:type="dxa"/>
              <w:bottom w:w="40" w:type="dxa"/>
              <w:right w:w="20" w:type="dxa"/>
            </w:tcMar>
            <w:vAlign w:val="center"/>
          </w:tcPr>
          <w:p w14:paraId="74DD5F7E" w14:textId="77777777" w:rsidR="00584EC1" w:rsidRDefault="00871F8D">
            <w:pPr>
              <w:jc w:val="right"/>
              <w:textAlignment w:val="center"/>
            </w:pPr>
            <w:hyperlink r:id="rId53" w:anchor="i22e5b207b1584fc686a385e0488612f3_307" w:history="1">
              <w:r>
                <w:rPr>
                  <w:rStyle w:val="a5"/>
                  <w:rFonts w:ascii="Arial" w:eastAsia="宋体" w:hAnsi="Arial" w:cs="Arial"/>
                  <w:color w:val="000000"/>
                  <w:sz w:val="18"/>
                  <w:szCs w:val="18"/>
                  <w:u w:val="none"/>
                </w:rPr>
                <w:t>90</w:t>
              </w:r>
            </w:hyperlink>
          </w:p>
        </w:tc>
      </w:tr>
      <w:tr w:rsidR="00584EC1" w14:paraId="74DD5F83" w14:textId="77777777">
        <w:tc>
          <w:tcPr>
            <w:tcW w:w="0" w:type="auto"/>
            <w:gridSpan w:val="3"/>
            <w:shd w:val="clear" w:color="auto" w:fill="auto"/>
            <w:tcMar>
              <w:top w:w="0" w:type="dxa"/>
              <w:left w:w="20" w:type="dxa"/>
              <w:bottom w:w="0" w:type="dxa"/>
              <w:right w:w="20" w:type="dxa"/>
            </w:tcMar>
            <w:vAlign w:val="bottom"/>
          </w:tcPr>
          <w:p w14:paraId="74DD5F80" w14:textId="77777777" w:rsidR="00584EC1" w:rsidRDefault="00584EC1">
            <w:pPr>
              <w:rPr>
                <w:rFonts w:ascii="宋体"/>
              </w:rPr>
            </w:pPr>
          </w:p>
        </w:tc>
        <w:tc>
          <w:tcPr>
            <w:tcW w:w="0" w:type="auto"/>
            <w:gridSpan w:val="3"/>
            <w:shd w:val="clear" w:color="auto" w:fill="auto"/>
            <w:tcMar>
              <w:top w:w="40" w:type="dxa"/>
              <w:left w:w="515" w:type="dxa"/>
              <w:bottom w:w="40" w:type="dxa"/>
              <w:right w:w="20" w:type="dxa"/>
            </w:tcMar>
            <w:vAlign w:val="center"/>
          </w:tcPr>
          <w:p w14:paraId="74DD5F81" w14:textId="77777777" w:rsidR="00584EC1" w:rsidRDefault="00871F8D">
            <w:pPr>
              <w:textAlignment w:val="center"/>
            </w:pPr>
            <w:r>
              <w:rPr>
                <w:rFonts w:ascii="Arial" w:eastAsia="宋体" w:hAnsi="Arial" w:cs="Arial"/>
                <w:color w:val="000000"/>
                <w:sz w:val="18"/>
                <w:szCs w:val="18"/>
              </w:rPr>
              <w:t>Note 14. Net Interest Income</w:t>
            </w:r>
          </w:p>
        </w:tc>
        <w:tc>
          <w:tcPr>
            <w:tcW w:w="0" w:type="auto"/>
            <w:gridSpan w:val="3"/>
            <w:shd w:val="clear" w:color="auto" w:fill="auto"/>
            <w:tcMar>
              <w:top w:w="40" w:type="dxa"/>
              <w:left w:w="20" w:type="dxa"/>
              <w:bottom w:w="40" w:type="dxa"/>
              <w:right w:w="20" w:type="dxa"/>
            </w:tcMar>
            <w:vAlign w:val="center"/>
          </w:tcPr>
          <w:p w14:paraId="74DD5F82" w14:textId="77777777" w:rsidR="00584EC1" w:rsidRDefault="00871F8D">
            <w:pPr>
              <w:jc w:val="right"/>
              <w:textAlignment w:val="center"/>
            </w:pPr>
            <w:hyperlink r:id="rId54" w:anchor="i22e5b207b1584fc686a385e0488612f3_310" w:history="1">
              <w:r>
                <w:rPr>
                  <w:rStyle w:val="a5"/>
                  <w:rFonts w:ascii="Arial" w:eastAsia="宋体" w:hAnsi="Arial" w:cs="Arial"/>
                  <w:color w:val="000000"/>
                  <w:sz w:val="18"/>
                  <w:szCs w:val="18"/>
                  <w:u w:val="none"/>
                </w:rPr>
                <w:t>91</w:t>
              </w:r>
            </w:hyperlink>
          </w:p>
        </w:tc>
      </w:tr>
      <w:tr w:rsidR="00584EC1" w14:paraId="74DD5F87" w14:textId="77777777">
        <w:tc>
          <w:tcPr>
            <w:tcW w:w="0" w:type="auto"/>
            <w:gridSpan w:val="3"/>
            <w:shd w:val="clear" w:color="auto" w:fill="auto"/>
            <w:tcMar>
              <w:top w:w="0" w:type="dxa"/>
              <w:left w:w="20" w:type="dxa"/>
              <w:bottom w:w="0" w:type="dxa"/>
              <w:right w:w="20" w:type="dxa"/>
            </w:tcMar>
            <w:vAlign w:val="bottom"/>
          </w:tcPr>
          <w:p w14:paraId="74DD5F84" w14:textId="77777777" w:rsidR="00584EC1" w:rsidRDefault="00584EC1">
            <w:pPr>
              <w:rPr>
                <w:rFonts w:ascii="宋体"/>
              </w:rPr>
            </w:pPr>
          </w:p>
        </w:tc>
        <w:tc>
          <w:tcPr>
            <w:tcW w:w="0" w:type="auto"/>
            <w:gridSpan w:val="3"/>
            <w:shd w:val="clear" w:color="auto" w:fill="auto"/>
            <w:tcMar>
              <w:top w:w="40" w:type="dxa"/>
              <w:left w:w="515" w:type="dxa"/>
              <w:bottom w:w="40" w:type="dxa"/>
              <w:right w:w="20" w:type="dxa"/>
            </w:tcMar>
            <w:vAlign w:val="center"/>
          </w:tcPr>
          <w:p w14:paraId="74DD5F85" w14:textId="77777777" w:rsidR="00584EC1" w:rsidRDefault="00871F8D">
            <w:pPr>
              <w:textAlignment w:val="center"/>
            </w:pPr>
            <w:r>
              <w:rPr>
                <w:rFonts w:ascii="Arial" w:eastAsia="宋体" w:hAnsi="Arial" w:cs="Arial"/>
                <w:color w:val="000000"/>
                <w:sz w:val="18"/>
                <w:szCs w:val="18"/>
              </w:rPr>
              <w:t>Note 15. Expenses</w:t>
            </w:r>
          </w:p>
        </w:tc>
        <w:tc>
          <w:tcPr>
            <w:tcW w:w="0" w:type="auto"/>
            <w:gridSpan w:val="3"/>
            <w:shd w:val="clear" w:color="auto" w:fill="auto"/>
            <w:tcMar>
              <w:top w:w="40" w:type="dxa"/>
              <w:left w:w="20" w:type="dxa"/>
              <w:bottom w:w="40" w:type="dxa"/>
              <w:right w:w="20" w:type="dxa"/>
            </w:tcMar>
            <w:vAlign w:val="center"/>
          </w:tcPr>
          <w:p w14:paraId="74DD5F86" w14:textId="77777777" w:rsidR="00584EC1" w:rsidRDefault="00871F8D">
            <w:pPr>
              <w:jc w:val="right"/>
              <w:textAlignment w:val="center"/>
            </w:pPr>
            <w:hyperlink r:id="rId55" w:anchor="i22e5b207b1584fc686a385e0488612f3_313" w:history="1">
              <w:r>
                <w:rPr>
                  <w:rStyle w:val="a5"/>
                  <w:rFonts w:ascii="Arial" w:eastAsia="宋体" w:hAnsi="Arial" w:cs="Arial"/>
                  <w:color w:val="000000"/>
                  <w:sz w:val="18"/>
                  <w:szCs w:val="18"/>
                  <w:u w:val="none"/>
                </w:rPr>
                <w:t>91</w:t>
              </w:r>
            </w:hyperlink>
          </w:p>
        </w:tc>
      </w:tr>
      <w:tr w:rsidR="00584EC1" w14:paraId="74DD5F8B" w14:textId="77777777">
        <w:tc>
          <w:tcPr>
            <w:tcW w:w="0" w:type="auto"/>
            <w:gridSpan w:val="3"/>
            <w:shd w:val="clear" w:color="auto" w:fill="auto"/>
            <w:tcMar>
              <w:top w:w="0" w:type="dxa"/>
              <w:left w:w="20" w:type="dxa"/>
              <w:bottom w:w="0" w:type="dxa"/>
              <w:right w:w="20" w:type="dxa"/>
            </w:tcMar>
            <w:vAlign w:val="bottom"/>
          </w:tcPr>
          <w:p w14:paraId="74DD5F88" w14:textId="77777777" w:rsidR="00584EC1" w:rsidRDefault="00584EC1">
            <w:pPr>
              <w:rPr>
                <w:rFonts w:ascii="宋体"/>
              </w:rPr>
            </w:pPr>
          </w:p>
        </w:tc>
        <w:tc>
          <w:tcPr>
            <w:tcW w:w="0" w:type="auto"/>
            <w:gridSpan w:val="3"/>
            <w:shd w:val="clear" w:color="auto" w:fill="auto"/>
            <w:tcMar>
              <w:top w:w="40" w:type="dxa"/>
              <w:left w:w="515" w:type="dxa"/>
              <w:bottom w:w="40" w:type="dxa"/>
              <w:right w:w="20" w:type="dxa"/>
            </w:tcMar>
            <w:vAlign w:val="center"/>
          </w:tcPr>
          <w:p w14:paraId="74DD5F89" w14:textId="77777777" w:rsidR="00584EC1" w:rsidRDefault="00871F8D">
            <w:pPr>
              <w:textAlignment w:val="center"/>
            </w:pPr>
            <w:r>
              <w:rPr>
                <w:rFonts w:ascii="Arial" w:eastAsia="宋体" w:hAnsi="Arial" w:cs="Arial"/>
                <w:color w:val="000000"/>
                <w:sz w:val="18"/>
                <w:szCs w:val="18"/>
              </w:rPr>
              <w:t>Note 16. Earnings Per Common Share</w:t>
            </w:r>
          </w:p>
        </w:tc>
        <w:tc>
          <w:tcPr>
            <w:tcW w:w="0" w:type="auto"/>
            <w:gridSpan w:val="3"/>
            <w:shd w:val="clear" w:color="auto" w:fill="auto"/>
            <w:tcMar>
              <w:top w:w="40" w:type="dxa"/>
              <w:left w:w="20" w:type="dxa"/>
              <w:bottom w:w="40" w:type="dxa"/>
              <w:right w:w="20" w:type="dxa"/>
            </w:tcMar>
            <w:vAlign w:val="center"/>
          </w:tcPr>
          <w:p w14:paraId="74DD5F8A" w14:textId="77777777" w:rsidR="00584EC1" w:rsidRDefault="00871F8D">
            <w:pPr>
              <w:jc w:val="right"/>
              <w:textAlignment w:val="center"/>
            </w:pPr>
            <w:hyperlink r:id="rId56" w:anchor="i22e5b207b1584fc686a385e0488612f3_316" w:history="1">
              <w:r>
                <w:rPr>
                  <w:rStyle w:val="a5"/>
                  <w:rFonts w:ascii="Arial" w:eastAsia="宋体" w:hAnsi="Arial" w:cs="Arial"/>
                  <w:color w:val="000000"/>
                  <w:sz w:val="18"/>
                  <w:szCs w:val="18"/>
                  <w:u w:val="none"/>
                </w:rPr>
                <w:t>92</w:t>
              </w:r>
            </w:hyperlink>
          </w:p>
        </w:tc>
      </w:tr>
      <w:tr w:rsidR="00584EC1" w14:paraId="74DD5F8F" w14:textId="77777777">
        <w:tc>
          <w:tcPr>
            <w:tcW w:w="0" w:type="auto"/>
            <w:gridSpan w:val="3"/>
            <w:shd w:val="clear" w:color="auto" w:fill="auto"/>
            <w:tcMar>
              <w:top w:w="0" w:type="dxa"/>
              <w:left w:w="20" w:type="dxa"/>
              <w:bottom w:w="0" w:type="dxa"/>
              <w:right w:w="20" w:type="dxa"/>
            </w:tcMar>
            <w:vAlign w:val="bottom"/>
          </w:tcPr>
          <w:p w14:paraId="74DD5F8C" w14:textId="77777777" w:rsidR="00584EC1" w:rsidRDefault="00584EC1">
            <w:pPr>
              <w:rPr>
                <w:rFonts w:ascii="宋体"/>
              </w:rPr>
            </w:pPr>
          </w:p>
        </w:tc>
        <w:tc>
          <w:tcPr>
            <w:tcW w:w="0" w:type="auto"/>
            <w:gridSpan w:val="3"/>
            <w:shd w:val="clear" w:color="auto" w:fill="auto"/>
            <w:tcMar>
              <w:top w:w="40" w:type="dxa"/>
              <w:left w:w="515" w:type="dxa"/>
              <w:bottom w:w="40" w:type="dxa"/>
              <w:right w:w="20" w:type="dxa"/>
            </w:tcMar>
            <w:vAlign w:val="center"/>
          </w:tcPr>
          <w:p w14:paraId="74DD5F8D" w14:textId="77777777" w:rsidR="00584EC1" w:rsidRDefault="00871F8D">
            <w:pPr>
              <w:textAlignment w:val="center"/>
            </w:pPr>
            <w:r>
              <w:rPr>
                <w:rFonts w:ascii="Arial" w:eastAsia="宋体" w:hAnsi="Arial" w:cs="Arial"/>
                <w:color w:val="000000"/>
                <w:sz w:val="18"/>
                <w:szCs w:val="18"/>
              </w:rPr>
              <w:t>Note 17. Line of Business Information</w:t>
            </w:r>
          </w:p>
        </w:tc>
        <w:tc>
          <w:tcPr>
            <w:tcW w:w="0" w:type="auto"/>
            <w:gridSpan w:val="3"/>
            <w:shd w:val="clear" w:color="auto" w:fill="auto"/>
            <w:tcMar>
              <w:top w:w="40" w:type="dxa"/>
              <w:left w:w="20" w:type="dxa"/>
              <w:bottom w:w="40" w:type="dxa"/>
              <w:right w:w="20" w:type="dxa"/>
            </w:tcMar>
            <w:vAlign w:val="center"/>
          </w:tcPr>
          <w:p w14:paraId="74DD5F8E" w14:textId="77777777" w:rsidR="00584EC1" w:rsidRDefault="00871F8D">
            <w:pPr>
              <w:jc w:val="right"/>
              <w:textAlignment w:val="center"/>
            </w:pPr>
            <w:hyperlink r:id="rId57" w:anchor="i22e5b207b1584fc686a385e0488612f3_319" w:history="1">
              <w:r>
                <w:rPr>
                  <w:rStyle w:val="a5"/>
                  <w:rFonts w:ascii="Arial" w:eastAsia="宋体" w:hAnsi="Arial" w:cs="Arial"/>
                  <w:color w:val="000000"/>
                  <w:sz w:val="18"/>
                  <w:szCs w:val="18"/>
                  <w:u w:val="none"/>
                </w:rPr>
                <w:t>93</w:t>
              </w:r>
            </w:hyperlink>
          </w:p>
        </w:tc>
      </w:tr>
      <w:tr w:rsidR="00584EC1" w14:paraId="74DD5F93" w14:textId="77777777">
        <w:tc>
          <w:tcPr>
            <w:tcW w:w="0" w:type="auto"/>
            <w:gridSpan w:val="3"/>
            <w:shd w:val="clear" w:color="auto" w:fill="auto"/>
            <w:tcMar>
              <w:top w:w="0" w:type="dxa"/>
              <w:left w:w="20" w:type="dxa"/>
              <w:bottom w:w="0" w:type="dxa"/>
              <w:right w:w="20" w:type="dxa"/>
            </w:tcMar>
            <w:vAlign w:val="bottom"/>
          </w:tcPr>
          <w:p w14:paraId="74DD5F90" w14:textId="77777777" w:rsidR="00584EC1" w:rsidRDefault="00584EC1">
            <w:pPr>
              <w:rPr>
                <w:rFonts w:ascii="宋体"/>
              </w:rPr>
            </w:pPr>
          </w:p>
        </w:tc>
        <w:tc>
          <w:tcPr>
            <w:tcW w:w="0" w:type="auto"/>
            <w:gridSpan w:val="3"/>
            <w:shd w:val="clear" w:color="auto" w:fill="auto"/>
            <w:tcMar>
              <w:top w:w="40" w:type="dxa"/>
              <w:left w:w="515" w:type="dxa"/>
              <w:bottom w:w="40" w:type="dxa"/>
              <w:right w:w="20" w:type="dxa"/>
            </w:tcMar>
            <w:vAlign w:val="center"/>
          </w:tcPr>
          <w:p w14:paraId="74DD5F91" w14:textId="77777777" w:rsidR="00584EC1" w:rsidRDefault="00871F8D">
            <w:pPr>
              <w:textAlignment w:val="center"/>
            </w:pPr>
            <w:r>
              <w:rPr>
                <w:rFonts w:ascii="Arial" w:eastAsia="宋体" w:hAnsi="Arial" w:cs="Arial"/>
                <w:color w:val="000000"/>
                <w:sz w:val="18"/>
                <w:szCs w:val="18"/>
              </w:rPr>
              <w:t>Note 18. Revenue From Contracts with Customers</w:t>
            </w:r>
          </w:p>
        </w:tc>
        <w:tc>
          <w:tcPr>
            <w:tcW w:w="0" w:type="auto"/>
            <w:gridSpan w:val="3"/>
            <w:shd w:val="clear" w:color="auto" w:fill="auto"/>
            <w:tcMar>
              <w:top w:w="40" w:type="dxa"/>
              <w:left w:w="20" w:type="dxa"/>
              <w:bottom w:w="40" w:type="dxa"/>
              <w:right w:w="20" w:type="dxa"/>
            </w:tcMar>
            <w:vAlign w:val="center"/>
          </w:tcPr>
          <w:p w14:paraId="74DD5F92" w14:textId="77777777" w:rsidR="00584EC1" w:rsidRDefault="00871F8D">
            <w:pPr>
              <w:jc w:val="right"/>
              <w:textAlignment w:val="center"/>
            </w:pPr>
            <w:hyperlink r:id="rId58" w:anchor="i22e5b207b1584fc686a385e0488612f3_322" w:history="1">
              <w:r>
                <w:rPr>
                  <w:rStyle w:val="a5"/>
                  <w:rFonts w:ascii="Arial" w:eastAsia="宋体" w:hAnsi="Arial" w:cs="Arial"/>
                  <w:color w:val="000000"/>
                  <w:sz w:val="18"/>
                  <w:szCs w:val="18"/>
                  <w:u w:val="none"/>
                </w:rPr>
                <w:t>94</w:t>
              </w:r>
            </w:hyperlink>
          </w:p>
        </w:tc>
      </w:tr>
      <w:tr w:rsidR="00584EC1" w14:paraId="74DD5F97" w14:textId="77777777">
        <w:tc>
          <w:tcPr>
            <w:tcW w:w="0" w:type="auto"/>
            <w:gridSpan w:val="3"/>
            <w:shd w:val="clear" w:color="auto" w:fill="auto"/>
            <w:tcMar>
              <w:top w:w="0" w:type="dxa"/>
              <w:left w:w="20" w:type="dxa"/>
              <w:bottom w:w="0" w:type="dxa"/>
              <w:right w:w="20" w:type="dxa"/>
            </w:tcMar>
            <w:vAlign w:val="bottom"/>
          </w:tcPr>
          <w:p w14:paraId="74DD5F94" w14:textId="77777777" w:rsidR="00584EC1" w:rsidRDefault="00584EC1">
            <w:pPr>
              <w:rPr>
                <w:rFonts w:ascii="宋体"/>
              </w:rPr>
            </w:pPr>
          </w:p>
        </w:tc>
        <w:tc>
          <w:tcPr>
            <w:tcW w:w="0" w:type="auto"/>
            <w:gridSpan w:val="3"/>
            <w:shd w:val="clear" w:color="auto" w:fill="auto"/>
            <w:tcMar>
              <w:top w:w="40" w:type="dxa"/>
              <w:left w:w="515" w:type="dxa"/>
              <w:bottom w:w="40" w:type="dxa"/>
              <w:right w:w="20" w:type="dxa"/>
            </w:tcMar>
            <w:vAlign w:val="center"/>
          </w:tcPr>
          <w:p w14:paraId="74DD5F95" w14:textId="77777777" w:rsidR="00584EC1" w:rsidRDefault="00871F8D">
            <w:pPr>
              <w:textAlignment w:val="center"/>
            </w:pPr>
            <w:r>
              <w:rPr>
                <w:rFonts w:ascii="Arial" w:eastAsia="宋体" w:hAnsi="Arial" w:cs="Arial"/>
                <w:color w:val="000000"/>
                <w:sz w:val="18"/>
                <w:szCs w:val="18"/>
              </w:rPr>
              <w:t>Note 19. Non-U.S. Activities</w:t>
            </w:r>
          </w:p>
        </w:tc>
        <w:tc>
          <w:tcPr>
            <w:tcW w:w="0" w:type="auto"/>
            <w:gridSpan w:val="3"/>
            <w:shd w:val="clear" w:color="auto" w:fill="auto"/>
            <w:tcMar>
              <w:top w:w="40" w:type="dxa"/>
              <w:left w:w="20" w:type="dxa"/>
              <w:bottom w:w="40" w:type="dxa"/>
              <w:right w:w="20" w:type="dxa"/>
            </w:tcMar>
            <w:vAlign w:val="center"/>
          </w:tcPr>
          <w:p w14:paraId="74DD5F96" w14:textId="77777777" w:rsidR="00584EC1" w:rsidRDefault="00871F8D">
            <w:pPr>
              <w:jc w:val="right"/>
              <w:textAlignment w:val="center"/>
            </w:pPr>
            <w:hyperlink r:id="rId59" w:anchor="i22e5b207b1584fc686a385e0488612f3_325" w:history="1">
              <w:r>
                <w:rPr>
                  <w:rStyle w:val="a5"/>
                  <w:rFonts w:ascii="Arial" w:eastAsia="宋体" w:hAnsi="Arial" w:cs="Arial"/>
                  <w:color w:val="000000"/>
                  <w:sz w:val="18"/>
                  <w:szCs w:val="18"/>
                  <w:u w:val="none"/>
                </w:rPr>
                <w:t>95</w:t>
              </w:r>
            </w:hyperlink>
          </w:p>
        </w:tc>
      </w:tr>
      <w:tr w:rsidR="00584EC1" w14:paraId="74DD5F9B" w14:textId="77777777">
        <w:tc>
          <w:tcPr>
            <w:tcW w:w="0" w:type="auto"/>
            <w:gridSpan w:val="3"/>
            <w:shd w:val="clear" w:color="auto" w:fill="auto"/>
            <w:tcMar>
              <w:top w:w="0" w:type="dxa"/>
              <w:left w:w="20" w:type="dxa"/>
              <w:bottom w:w="0" w:type="dxa"/>
              <w:right w:w="20" w:type="dxa"/>
            </w:tcMar>
            <w:vAlign w:val="bottom"/>
          </w:tcPr>
          <w:p w14:paraId="74DD5F98" w14:textId="77777777" w:rsidR="00584EC1" w:rsidRDefault="00584EC1">
            <w:pPr>
              <w:rPr>
                <w:rFonts w:ascii="宋体"/>
              </w:rPr>
            </w:pPr>
          </w:p>
        </w:tc>
        <w:tc>
          <w:tcPr>
            <w:tcW w:w="0" w:type="auto"/>
            <w:gridSpan w:val="3"/>
            <w:shd w:val="clear" w:color="auto" w:fill="auto"/>
            <w:tcMar>
              <w:top w:w="40" w:type="dxa"/>
              <w:left w:w="155" w:type="dxa"/>
              <w:bottom w:w="40" w:type="dxa"/>
              <w:right w:w="20" w:type="dxa"/>
            </w:tcMar>
            <w:vAlign w:val="center"/>
          </w:tcPr>
          <w:p w14:paraId="74DD5F99" w14:textId="77777777" w:rsidR="00584EC1" w:rsidRDefault="00871F8D">
            <w:pPr>
              <w:textAlignment w:val="center"/>
            </w:pPr>
            <w:r>
              <w:rPr>
                <w:rFonts w:ascii="Arial" w:eastAsia="宋体" w:hAnsi="Arial" w:cs="Arial"/>
                <w:color w:val="000000"/>
                <w:sz w:val="18"/>
                <w:szCs w:val="18"/>
              </w:rPr>
              <w:t xml:space="preserve">Review Report of </w:t>
            </w:r>
            <w:r>
              <w:rPr>
                <w:rFonts w:ascii="Arial" w:eastAsia="宋体" w:hAnsi="Arial" w:cs="Arial"/>
                <w:color w:val="000000"/>
                <w:sz w:val="18"/>
                <w:szCs w:val="18"/>
              </w:rPr>
              <w:t>Independent Registered Public Accounting Firm</w:t>
            </w:r>
          </w:p>
        </w:tc>
        <w:tc>
          <w:tcPr>
            <w:tcW w:w="0" w:type="auto"/>
            <w:gridSpan w:val="3"/>
            <w:shd w:val="clear" w:color="auto" w:fill="auto"/>
            <w:tcMar>
              <w:top w:w="40" w:type="dxa"/>
              <w:left w:w="20" w:type="dxa"/>
              <w:bottom w:w="40" w:type="dxa"/>
              <w:right w:w="20" w:type="dxa"/>
            </w:tcMar>
            <w:vAlign w:val="center"/>
          </w:tcPr>
          <w:p w14:paraId="74DD5F9A" w14:textId="77777777" w:rsidR="00584EC1" w:rsidRDefault="00871F8D">
            <w:pPr>
              <w:jc w:val="right"/>
              <w:textAlignment w:val="center"/>
            </w:pPr>
            <w:hyperlink r:id="rId60" w:anchor="i22e5b207b1584fc686a385e0488612f3_334" w:history="1">
              <w:r>
                <w:rPr>
                  <w:rStyle w:val="a5"/>
                  <w:rFonts w:ascii="Arial" w:eastAsia="宋体" w:hAnsi="Arial" w:cs="Arial"/>
                  <w:color w:val="000000"/>
                  <w:sz w:val="18"/>
                  <w:szCs w:val="18"/>
                  <w:u w:val="none"/>
                </w:rPr>
                <w:t>96</w:t>
              </w:r>
            </w:hyperlink>
          </w:p>
        </w:tc>
      </w:tr>
      <w:tr w:rsidR="00584EC1" w14:paraId="74DD5F9F" w14:textId="77777777">
        <w:trPr>
          <w:trHeight w:val="280"/>
        </w:trPr>
        <w:tc>
          <w:tcPr>
            <w:tcW w:w="0" w:type="auto"/>
            <w:gridSpan w:val="3"/>
            <w:shd w:val="clear" w:color="auto" w:fill="auto"/>
            <w:tcMar>
              <w:top w:w="0" w:type="dxa"/>
              <w:left w:w="20" w:type="dxa"/>
              <w:bottom w:w="0" w:type="dxa"/>
              <w:right w:w="20" w:type="dxa"/>
            </w:tcMar>
            <w:vAlign w:val="bottom"/>
          </w:tcPr>
          <w:p w14:paraId="74DD5F9C"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5F9D"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5F9E" w14:textId="77777777" w:rsidR="00584EC1" w:rsidRDefault="00584EC1">
            <w:pPr>
              <w:rPr>
                <w:rFonts w:ascii="宋体"/>
              </w:rPr>
            </w:pPr>
          </w:p>
        </w:tc>
      </w:tr>
      <w:tr w:rsidR="00584EC1" w14:paraId="74DD5FA3" w14:textId="77777777">
        <w:tc>
          <w:tcPr>
            <w:tcW w:w="0" w:type="auto"/>
            <w:gridSpan w:val="3"/>
            <w:shd w:val="clear" w:color="auto" w:fill="auto"/>
            <w:tcMar>
              <w:top w:w="40" w:type="dxa"/>
              <w:left w:w="155" w:type="dxa"/>
              <w:bottom w:w="40" w:type="dxa"/>
              <w:right w:w="20" w:type="dxa"/>
            </w:tcMar>
            <w:vAlign w:val="center"/>
          </w:tcPr>
          <w:p w14:paraId="74DD5FA0" w14:textId="77777777" w:rsidR="00584EC1" w:rsidRDefault="00871F8D">
            <w:pPr>
              <w:textAlignment w:val="center"/>
            </w:pPr>
            <w:r>
              <w:rPr>
                <w:rFonts w:ascii="Arial" w:eastAsia="宋体" w:hAnsi="Arial" w:cs="Arial"/>
                <w:b/>
                <w:bCs/>
                <w:color w:val="000000"/>
                <w:sz w:val="18"/>
                <w:szCs w:val="18"/>
              </w:rPr>
              <w:t>PART II</w:t>
            </w:r>
          </w:p>
        </w:tc>
        <w:tc>
          <w:tcPr>
            <w:tcW w:w="0" w:type="auto"/>
            <w:gridSpan w:val="3"/>
            <w:shd w:val="clear" w:color="auto" w:fill="auto"/>
            <w:tcMar>
              <w:top w:w="40" w:type="dxa"/>
              <w:left w:w="20" w:type="dxa"/>
              <w:bottom w:w="40" w:type="dxa"/>
              <w:right w:w="20" w:type="dxa"/>
            </w:tcMar>
            <w:vAlign w:val="bottom"/>
          </w:tcPr>
          <w:p w14:paraId="74DD5FA1" w14:textId="77777777" w:rsidR="00584EC1" w:rsidRDefault="00871F8D">
            <w:pPr>
              <w:textAlignment w:val="bottom"/>
            </w:pPr>
            <w:r>
              <w:rPr>
                <w:rFonts w:ascii="Arial" w:eastAsia="宋体" w:hAnsi="Arial" w:cs="Arial"/>
                <w:b/>
                <w:bCs/>
                <w:color w:val="000000"/>
                <w:sz w:val="18"/>
                <w:szCs w:val="18"/>
              </w:rPr>
              <w:t>OTHER INFORMATION</w:t>
            </w:r>
          </w:p>
        </w:tc>
        <w:tc>
          <w:tcPr>
            <w:tcW w:w="0" w:type="auto"/>
            <w:gridSpan w:val="3"/>
            <w:shd w:val="clear" w:color="auto" w:fill="auto"/>
            <w:tcMar>
              <w:top w:w="0" w:type="dxa"/>
              <w:left w:w="20" w:type="dxa"/>
              <w:bottom w:w="0" w:type="dxa"/>
              <w:right w:w="20" w:type="dxa"/>
            </w:tcMar>
            <w:vAlign w:val="bottom"/>
          </w:tcPr>
          <w:p w14:paraId="74DD5FA2" w14:textId="77777777" w:rsidR="00584EC1" w:rsidRDefault="00584EC1">
            <w:pPr>
              <w:rPr>
                <w:rFonts w:ascii="宋体"/>
              </w:rPr>
            </w:pPr>
          </w:p>
        </w:tc>
      </w:tr>
      <w:tr w:rsidR="00584EC1" w14:paraId="74DD5FA7" w14:textId="77777777">
        <w:tc>
          <w:tcPr>
            <w:tcW w:w="0" w:type="auto"/>
            <w:gridSpan w:val="3"/>
            <w:shd w:val="clear" w:color="auto" w:fill="auto"/>
            <w:tcMar>
              <w:top w:w="40" w:type="dxa"/>
              <w:left w:w="155" w:type="dxa"/>
              <w:bottom w:w="40" w:type="dxa"/>
              <w:right w:w="20" w:type="dxa"/>
            </w:tcMar>
          </w:tcPr>
          <w:p w14:paraId="74DD5FA4" w14:textId="77777777" w:rsidR="00584EC1" w:rsidRDefault="00871F8D">
            <w:pPr>
              <w:textAlignment w:val="top"/>
            </w:pPr>
            <w:r>
              <w:rPr>
                <w:rFonts w:ascii="Arial" w:eastAsia="宋体" w:hAnsi="Arial" w:cs="Arial"/>
                <w:color w:val="000000"/>
                <w:sz w:val="18"/>
                <w:szCs w:val="18"/>
              </w:rPr>
              <w:t>Item 1A</w:t>
            </w:r>
          </w:p>
        </w:tc>
        <w:tc>
          <w:tcPr>
            <w:tcW w:w="0" w:type="auto"/>
            <w:gridSpan w:val="3"/>
            <w:shd w:val="clear" w:color="auto" w:fill="auto"/>
            <w:tcMar>
              <w:top w:w="40" w:type="dxa"/>
              <w:left w:w="155" w:type="dxa"/>
              <w:bottom w:w="40" w:type="dxa"/>
              <w:right w:w="20" w:type="dxa"/>
            </w:tcMar>
            <w:vAlign w:val="center"/>
          </w:tcPr>
          <w:p w14:paraId="74DD5FA5" w14:textId="77777777" w:rsidR="00584EC1" w:rsidRDefault="00871F8D">
            <w:pPr>
              <w:textAlignment w:val="center"/>
            </w:pPr>
            <w:r>
              <w:rPr>
                <w:rFonts w:ascii="Arial" w:eastAsia="宋体" w:hAnsi="Arial" w:cs="Arial"/>
                <w:color w:val="000000"/>
                <w:sz w:val="18"/>
                <w:szCs w:val="18"/>
              </w:rPr>
              <w:t xml:space="preserve">Risk </w:t>
            </w:r>
            <w:r>
              <w:rPr>
                <w:rFonts w:ascii="Arial" w:eastAsia="宋体" w:hAnsi="Arial" w:cs="Arial"/>
                <w:color w:val="000000"/>
                <w:sz w:val="18"/>
                <w:szCs w:val="18"/>
              </w:rPr>
              <w:t>Factors</w:t>
            </w:r>
          </w:p>
        </w:tc>
        <w:tc>
          <w:tcPr>
            <w:tcW w:w="0" w:type="auto"/>
            <w:gridSpan w:val="3"/>
            <w:shd w:val="clear" w:color="auto" w:fill="auto"/>
            <w:tcMar>
              <w:top w:w="40" w:type="dxa"/>
              <w:left w:w="20" w:type="dxa"/>
              <w:bottom w:w="40" w:type="dxa"/>
              <w:right w:w="20" w:type="dxa"/>
            </w:tcMar>
            <w:vAlign w:val="center"/>
          </w:tcPr>
          <w:p w14:paraId="74DD5FA6" w14:textId="77777777" w:rsidR="00584EC1" w:rsidRDefault="00871F8D">
            <w:pPr>
              <w:jc w:val="right"/>
              <w:textAlignment w:val="center"/>
            </w:pPr>
            <w:hyperlink r:id="rId61" w:anchor="i22e5b207b1584fc686a385e0488612f3_5865" w:history="1">
              <w:r>
                <w:rPr>
                  <w:rStyle w:val="a5"/>
                  <w:rFonts w:ascii="Arial" w:eastAsia="宋体" w:hAnsi="Arial" w:cs="Arial"/>
                  <w:color w:val="000000"/>
                  <w:sz w:val="18"/>
                  <w:szCs w:val="18"/>
                  <w:u w:val="none"/>
                </w:rPr>
                <w:t>99</w:t>
              </w:r>
            </w:hyperlink>
          </w:p>
        </w:tc>
      </w:tr>
      <w:tr w:rsidR="00584EC1" w14:paraId="74DD5FAB" w14:textId="77777777">
        <w:tc>
          <w:tcPr>
            <w:tcW w:w="0" w:type="auto"/>
            <w:gridSpan w:val="3"/>
            <w:shd w:val="clear" w:color="auto" w:fill="auto"/>
            <w:tcMar>
              <w:top w:w="40" w:type="dxa"/>
              <w:left w:w="155" w:type="dxa"/>
              <w:bottom w:w="40" w:type="dxa"/>
              <w:right w:w="20" w:type="dxa"/>
            </w:tcMar>
          </w:tcPr>
          <w:p w14:paraId="74DD5FA8" w14:textId="77777777" w:rsidR="00584EC1" w:rsidRDefault="00871F8D">
            <w:pPr>
              <w:textAlignment w:val="top"/>
            </w:pPr>
            <w:r>
              <w:rPr>
                <w:rFonts w:ascii="Arial" w:eastAsia="宋体" w:hAnsi="Arial" w:cs="Arial"/>
                <w:color w:val="000000"/>
                <w:sz w:val="18"/>
                <w:szCs w:val="18"/>
              </w:rPr>
              <w:t>Item 2</w:t>
            </w:r>
          </w:p>
        </w:tc>
        <w:tc>
          <w:tcPr>
            <w:tcW w:w="0" w:type="auto"/>
            <w:gridSpan w:val="3"/>
            <w:shd w:val="clear" w:color="auto" w:fill="auto"/>
            <w:tcMar>
              <w:top w:w="40" w:type="dxa"/>
              <w:left w:w="155" w:type="dxa"/>
              <w:bottom w:w="40" w:type="dxa"/>
              <w:right w:w="20" w:type="dxa"/>
            </w:tcMar>
            <w:vAlign w:val="center"/>
          </w:tcPr>
          <w:p w14:paraId="74DD5FA9" w14:textId="77777777" w:rsidR="00584EC1" w:rsidRDefault="00871F8D">
            <w:pPr>
              <w:textAlignment w:val="center"/>
            </w:pPr>
            <w:r>
              <w:rPr>
                <w:rFonts w:ascii="Arial" w:eastAsia="宋体" w:hAnsi="Arial" w:cs="Arial"/>
                <w:color w:val="000000"/>
                <w:sz w:val="18"/>
                <w:szCs w:val="18"/>
              </w:rPr>
              <w:t>Unregistered Sales of Equity Securities and Use of Proceeds</w:t>
            </w:r>
          </w:p>
        </w:tc>
        <w:tc>
          <w:tcPr>
            <w:tcW w:w="0" w:type="auto"/>
            <w:gridSpan w:val="3"/>
            <w:shd w:val="clear" w:color="auto" w:fill="auto"/>
            <w:tcMar>
              <w:top w:w="40" w:type="dxa"/>
              <w:left w:w="20" w:type="dxa"/>
              <w:bottom w:w="40" w:type="dxa"/>
              <w:right w:w="20" w:type="dxa"/>
            </w:tcMar>
            <w:vAlign w:val="center"/>
          </w:tcPr>
          <w:p w14:paraId="74DD5FAA" w14:textId="77777777" w:rsidR="00584EC1" w:rsidRDefault="00871F8D">
            <w:pPr>
              <w:jc w:val="right"/>
              <w:textAlignment w:val="center"/>
            </w:pPr>
            <w:hyperlink r:id="rId62" w:anchor="i22e5b207b1584fc686a385e0488612f3_343" w:history="1">
              <w:r>
                <w:rPr>
                  <w:rStyle w:val="a5"/>
                  <w:rFonts w:ascii="Arial" w:eastAsia="宋体" w:hAnsi="Arial" w:cs="Arial"/>
                  <w:color w:val="000000"/>
                  <w:sz w:val="18"/>
                  <w:szCs w:val="18"/>
                  <w:u w:val="none"/>
                </w:rPr>
                <w:t>100</w:t>
              </w:r>
            </w:hyperlink>
          </w:p>
        </w:tc>
      </w:tr>
      <w:tr w:rsidR="00584EC1" w14:paraId="74DD5FAF" w14:textId="77777777">
        <w:tc>
          <w:tcPr>
            <w:tcW w:w="0" w:type="auto"/>
            <w:gridSpan w:val="3"/>
            <w:shd w:val="clear" w:color="auto" w:fill="auto"/>
            <w:tcMar>
              <w:top w:w="40" w:type="dxa"/>
              <w:left w:w="155" w:type="dxa"/>
              <w:bottom w:w="40" w:type="dxa"/>
              <w:right w:w="20" w:type="dxa"/>
            </w:tcMar>
          </w:tcPr>
          <w:p w14:paraId="74DD5FAC" w14:textId="77777777" w:rsidR="00584EC1" w:rsidRDefault="00871F8D">
            <w:pPr>
              <w:textAlignment w:val="top"/>
            </w:pPr>
            <w:r>
              <w:rPr>
                <w:rFonts w:ascii="Arial" w:eastAsia="宋体" w:hAnsi="Arial" w:cs="Arial"/>
                <w:color w:val="000000"/>
                <w:sz w:val="18"/>
                <w:szCs w:val="18"/>
              </w:rPr>
              <w:t>Item 6</w:t>
            </w:r>
          </w:p>
        </w:tc>
        <w:tc>
          <w:tcPr>
            <w:tcW w:w="0" w:type="auto"/>
            <w:gridSpan w:val="3"/>
            <w:shd w:val="clear" w:color="auto" w:fill="auto"/>
            <w:tcMar>
              <w:top w:w="40" w:type="dxa"/>
              <w:left w:w="155" w:type="dxa"/>
              <w:bottom w:w="40" w:type="dxa"/>
              <w:right w:w="20" w:type="dxa"/>
            </w:tcMar>
            <w:vAlign w:val="center"/>
          </w:tcPr>
          <w:p w14:paraId="74DD5FAD" w14:textId="77777777" w:rsidR="00584EC1" w:rsidRDefault="00871F8D">
            <w:pPr>
              <w:textAlignment w:val="center"/>
            </w:pPr>
            <w:r>
              <w:rPr>
                <w:rFonts w:ascii="Arial" w:eastAsia="宋体" w:hAnsi="Arial" w:cs="Arial"/>
                <w:color w:val="000000"/>
                <w:sz w:val="18"/>
                <w:szCs w:val="18"/>
              </w:rPr>
              <w:t>Exhibits</w:t>
            </w:r>
          </w:p>
        </w:tc>
        <w:tc>
          <w:tcPr>
            <w:tcW w:w="0" w:type="auto"/>
            <w:gridSpan w:val="3"/>
            <w:shd w:val="clear" w:color="auto" w:fill="auto"/>
            <w:tcMar>
              <w:top w:w="40" w:type="dxa"/>
              <w:left w:w="20" w:type="dxa"/>
              <w:bottom w:w="40" w:type="dxa"/>
              <w:right w:w="20" w:type="dxa"/>
            </w:tcMar>
            <w:vAlign w:val="center"/>
          </w:tcPr>
          <w:p w14:paraId="74DD5FAE" w14:textId="77777777" w:rsidR="00584EC1" w:rsidRDefault="00871F8D">
            <w:pPr>
              <w:jc w:val="right"/>
              <w:textAlignment w:val="center"/>
            </w:pPr>
            <w:hyperlink r:id="rId63" w:anchor="i22e5b207b1584fc686a385e0488612f3_346" w:history="1">
              <w:r>
                <w:rPr>
                  <w:rStyle w:val="a5"/>
                  <w:rFonts w:ascii="Arial" w:eastAsia="宋体" w:hAnsi="Arial" w:cs="Arial"/>
                  <w:color w:val="000000"/>
                  <w:sz w:val="18"/>
                  <w:szCs w:val="18"/>
                  <w:u w:val="none"/>
                </w:rPr>
                <w:t>101</w:t>
              </w:r>
            </w:hyperlink>
          </w:p>
        </w:tc>
      </w:tr>
      <w:tr w:rsidR="00584EC1" w14:paraId="74DD5FB3" w14:textId="77777777">
        <w:tc>
          <w:tcPr>
            <w:tcW w:w="0" w:type="auto"/>
            <w:gridSpan w:val="3"/>
            <w:shd w:val="clear" w:color="auto" w:fill="auto"/>
            <w:tcMar>
              <w:top w:w="40" w:type="dxa"/>
              <w:left w:w="155" w:type="dxa"/>
              <w:bottom w:w="40" w:type="dxa"/>
              <w:right w:w="20" w:type="dxa"/>
            </w:tcMar>
          </w:tcPr>
          <w:p w14:paraId="74DD5FB0" w14:textId="77777777" w:rsidR="00584EC1" w:rsidRDefault="00871F8D">
            <w:pPr>
              <w:textAlignment w:val="top"/>
            </w:pPr>
            <w:r>
              <w:rPr>
                <w:rFonts w:ascii="Arial" w:eastAsia="宋体" w:hAnsi="Arial" w:cs="Arial"/>
                <w:color w:val="000000"/>
                <w:sz w:val="18"/>
                <w:szCs w:val="18"/>
              </w:rPr>
              <w:t>Signatures</w:t>
            </w:r>
          </w:p>
        </w:tc>
        <w:tc>
          <w:tcPr>
            <w:tcW w:w="0" w:type="auto"/>
            <w:gridSpan w:val="3"/>
            <w:shd w:val="clear" w:color="auto" w:fill="auto"/>
            <w:tcMar>
              <w:top w:w="0" w:type="dxa"/>
              <w:left w:w="20" w:type="dxa"/>
              <w:bottom w:w="0" w:type="dxa"/>
              <w:right w:w="20" w:type="dxa"/>
            </w:tcMar>
            <w:vAlign w:val="bottom"/>
          </w:tcPr>
          <w:p w14:paraId="74DD5FB1"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center"/>
          </w:tcPr>
          <w:p w14:paraId="74DD5FB2" w14:textId="77777777" w:rsidR="00584EC1" w:rsidRDefault="00871F8D">
            <w:pPr>
              <w:jc w:val="right"/>
              <w:textAlignment w:val="center"/>
            </w:pPr>
            <w:hyperlink r:id="rId64" w:anchor="i22e5b207b1584fc686a385e0488612f3_349" w:history="1">
              <w:r>
                <w:rPr>
                  <w:rStyle w:val="a5"/>
                  <w:rFonts w:ascii="Arial" w:eastAsia="宋体" w:hAnsi="Arial" w:cs="Arial"/>
                  <w:color w:val="000000"/>
                  <w:sz w:val="18"/>
                  <w:szCs w:val="18"/>
                  <w:u w:val="none"/>
                </w:rPr>
                <w:t>102</w:t>
              </w:r>
            </w:hyperlink>
          </w:p>
        </w:tc>
      </w:tr>
      <w:tr w:rsidR="00584EC1" w14:paraId="74DD5FB7" w14:textId="77777777">
        <w:trPr>
          <w:hidden/>
        </w:trPr>
        <w:tc>
          <w:tcPr>
            <w:tcW w:w="0" w:type="auto"/>
            <w:gridSpan w:val="3"/>
            <w:shd w:val="clear" w:color="auto" w:fill="auto"/>
            <w:vAlign w:val="bottom"/>
          </w:tcPr>
          <w:p w14:paraId="74DD5FB4" w14:textId="77777777" w:rsidR="00584EC1" w:rsidRDefault="00584EC1">
            <w:pPr>
              <w:rPr>
                <w:rFonts w:ascii="宋体"/>
                <w:vanish/>
              </w:rPr>
            </w:pPr>
          </w:p>
        </w:tc>
        <w:tc>
          <w:tcPr>
            <w:tcW w:w="0" w:type="auto"/>
            <w:gridSpan w:val="3"/>
            <w:shd w:val="clear" w:color="auto" w:fill="auto"/>
            <w:vAlign w:val="bottom"/>
          </w:tcPr>
          <w:p w14:paraId="74DD5FB5" w14:textId="77777777" w:rsidR="00584EC1" w:rsidRDefault="00584EC1">
            <w:pPr>
              <w:rPr>
                <w:rFonts w:ascii="宋体"/>
                <w:vanish/>
              </w:rPr>
            </w:pPr>
          </w:p>
        </w:tc>
        <w:tc>
          <w:tcPr>
            <w:tcW w:w="0" w:type="auto"/>
            <w:gridSpan w:val="3"/>
            <w:shd w:val="clear" w:color="auto" w:fill="auto"/>
            <w:vAlign w:val="bottom"/>
          </w:tcPr>
          <w:p w14:paraId="74DD5FB6" w14:textId="77777777" w:rsidR="00584EC1" w:rsidRDefault="00584EC1">
            <w:pPr>
              <w:rPr>
                <w:rFonts w:ascii="宋体"/>
                <w:vanish/>
              </w:rPr>
            </w:pPr>
          </w:p>
        </w:tc>
      </w:tr>
      <w:tr w:rsidR="00584EC1" w14:paraId="74DD5FBB" w14:textId="77777777">
        <w:trPr>
          <w:hidden/>
        </w:trPr>
        <w:tc>
          <w:tcPr>
            <w:tcW w:w="0" w:type="auto"/>
            <w:gridSpan w:val="3"/>
            <w:shd w:val="clear" w:color="auto" w:fill="auto"/>
            <w:vAlign w:val="bottom"/>
          </w:tcPr>
          <w:p w14:paraId="74DD5FB8" w14:textId="77777777" w:rsidR="00584EC1" w:rsidRDefault="00584EC1">
            <w:pPr>
              <w:rPr>
                <w:rFonts w:ascii="宋体"/>
                <w:vanish/>
              </w:rPr>
            </w:pPr>
          </w:p>
        </w:tc>
        <w:tc>
          <w:tcPr>
            <w:tcW w:w="0" w:type="auto"/>
            <w:gridSpan w:val="3"/>
            <w:shd w:val="clear" w:color="auto" w:fill="auto"/>
            <w:vAlign w:val="bottom"/>
          </w:tcPr>
          <w:p w14:paraId="74DD5FB9" w14:textId="77777777" w:rsidR="00584EC1" w:rsidRDefault="00584EC1">
            <w:pPr>
              <w:rPr>
                <w:rFonts w:ascii="宋体"/>
                <w:vanish/>
              </w:rPr>
            </w:pPr>
          </w:p>
        </w:tc>
        <w:tc>
          <w:tcPr>
            <w:tcW w:w="0" w:type="auto"/>
            <w:gridSpan w:val="3"/>
            <w:shd w:val="clear" w:color="auto" w:fill="auto"/>
            <w:vAlign w:val="bottom"/>
          </w:tcPr>
          <w:p w14:paraId="74DD5FBA" w14:textId="77777777" w:rsidR="00584EC1" w:rsidRDefault="00584EC1">
            <w:pPr>
              <w:rPr>
                <w:rFonts w:ascii="宋体"/>
                <w:vanish/>
              </w:rPr>
            </w:pPr>
          </w:p>
        </w:tc>
      </w:tr>
      <w:tr w:rsidR="00584EC1" w14:paraId="74DD5FBF" w14:textId="77777777">
        <w:trPr>
          <w:hidden/>
        </w:trPr>
        <w:tc>
          <w:tcPr>
            <w:tcW w:w="0" w:type="auto"/>
            <w:gridSpan w:val="3"/>
            <w:shd w:val="clear" w:color="auto" w:fill="auto"/>
            <w:vAlign w:val="bottom"/>
          </w:tcPr>
          <w:p w14:paraId="74DD5FBC" w14:textId="77777777" w:rsidR="00584EC1" w:rsidRDefault="00584EC1">
            <w:pPr>
              <w:rPr>
                <w:rFonts w:ascii="宋体"/>
                <w:vanish/>
              </w:rPr>
            </w:pPr>
          </w:p>
        </w:tc>
        <w:tc>
          <w:tcPr>
            <w:tcW w:w="0" w:type="auto"/>
            <w:gridSpan w:val="3"/>
            <w:shd w:val="clear" w:color="auto" w:fill="auto"/>
            <w:vAlign w:val="bottom"/>
          </w:tcPr>
          <w:p w14:paraId="74DD5FBD" w14:textId="77777777" w:rsidR="00584EC1" w:rsidRDefault="00584EC1">
            <w:pPr>
              <w:rPr>
                <w:rFonts w:ascii="宋体"/>
                <w:vanish/>
              </w:rPr>
            </w:pPr>
          </w:p>
        </w:tc>
        <w:tc>
          <w:tcPr>
            <w:tcW w:w="0" w:type="auto"/>
            <w:gridSpan w:val="3"/>
            <w:shd w:val="clear" w:color="auto" w:fill="auto"/>
            <w:vAlign w:val="bottom"/>
          </w:tcPr>
          <w:p w14:paraId="74DD5FBE" w14:textId="77777777" w:rsidR="00584EC1" w:rsidRDefault="00584EC1">
            <w:pPr>
              <w:rPr>
                <w:rFonts w:ascii="宋体"/>
                <w:vanish/>
              </w:rPr>
            </w:pPr>
          </w:p>
        </w:tc>
      </w:tr>
      <w:tr w:rsidR="00584EC1" w14:paraId="74DD5FC3" w14:textId="77777777">
        <w:trPr>
          <w:hidden/>
        </w:trPr>
        <w:tc>
          <w:tcPr>
            <w:tcW w:w="0" w:type="auto"/>
            <w:gridSpan w:val="3"/>
            <w:shd w:val="clear" w:color="auto" w:fill="auto"/>
            <w:vAlign w:val="bottom"/>
          </w:tcPr>
          <w:p w14:paraId="74DD5FC0" w14:textId="77777777" w:rsidR="00584EC1" w:rsidRDefault="00584EC1">
            <w:pPr>
              <w:rPr>
                <w:rFonts w:ascii="宋体"/>
                <w:vanish/>
              </w:rPr>
            </w:pPr>
          </w:p>
        </w:tc>
        <w:tc>
          <w:tcPr>
            <w:tcW w:w="0" w:type="auto"/>
            <w:gridSpan w:val="3"/>
            <w:shd w:val="clear" w:color="auto" w:fill="auto"/>
            <w:vAlign w:val="bottom"/>
          </w:tcPr>
          <w:p w14:paraId="74DD5FC1" w14:textId="77777777" w:rsidR="00584EC1" w:rsidRDefault="00584EC1">
            <w:pPr>
              <w:rPr>
                <w:rFonts w:ascii="宋体"/>
                <w:vanish/>
              </w:rPr>
            </w:pPr>
          </w:p>
        </w:tc>
        <w:tc>
          <w:tcPr>
            <w:tcW w:w="0" w:type="auto"/>
            <w:gridSpan w:val="3"/>
            <w:shd w:val="clear" w:color="auto" w:fill="auto"/>
            <w:vAlign w:val="bottom"/>
          </w:tcPr>
          <w:p w14:paraId="74DD5FC2" w14:textId="77777777" w:rsidR="00584EC1" w:rsidRDefault="00584EC1">
            <w:pPr>
              <w:rPr>
                <w:rFonts w:ascii="宋体"/>
                <w:vanish/>
              </w:rPr>
            </w:pPr>
          </w:p>
        </w:tc>
      </w:tr>
      <w:tr w:rsidR="00584EC1" w14:paraId="74DD5FC7" w14:textId="77777777">
        <w:trPr>
          <w:hidden/>
        </w:trPr>
        <w:tc>
          <w:tcPr>
            <w:tcW w:w="0" w:type="auto"/>
            <w:gridSpan w:val="3"/>
            <w:shd w:val="clear" w:color="auto" w:fill="auto"/>
            <w:vAlign w:val="bottom"/>
          </w:tcPr>
          <w:p w14:paraId="74DD5FC4" w14:textId="77777777" w:rsidR="00584EC1" w:rsidRDefault="00584EC1">
            <w:pPr>
              <w:rPr>
                <w:rFonts w:ascii="宋体"/>
                <w:vanish/>
              </w:rPr>
            </w:pPr>
          </w:p>
        </w:tc>
        <w:tc>
          <w:tcPr>
            <w:tcW w:w="0" w:type="auto"/>
            <w:gridSpan w:val="3"/>
            <w:shd w:val="clear" w:color="auto" w:fill="auto"/>
            <w:vAlign w:val="bottom"/>
          </w:tcPr>
          <w:p w14:paraId="74DD5FC5" w14:textId="77777777" w:rsidR="00584EC1" w:rsidRDefault="00584EC1">
            <w:pPr>
              <w:rPr>
                <w:rFonts w:ascii="宋体"/>
                <w:vanish/>
              </w:rPr>
            </w:pPr>
          </w:p>
        </w:tc>
        <w:tc>
          <w:tcPr>
            <w:tcW w:w="0" w:type="auto"/>
            <w:gridSpan w:val="3"/>
            <w:shd w:val="clear" w:color="auto" w:fill="auto"/>
            <w:vAlign w:val="bottom"/>
          </w:tcPr>
          <w:p w14:paraId="74DD5FC6" w14:textId="77777777" w:rsidR="00584EC1" w:rsidRDefault="00584EC1">
            <w:pPr>
              <w:rPr>
                <w:rFonts w:ascii="宋体"/>
                <w:vanish/>
              </w:rPr>
            </w:pPr>
          </w:p>
        </w:tc>
      </w:tr>
      <w:tr w:rsidR="00584EC1" w14:paraId="74DD5FCB" w14:textId="77777777">
        <w:trPr>
          <w:hidden/>
        </w:trPr>
        <w:tc>
          <w:tcPr>
            <w:tcW w:w="0" w:type="auto"/>
            <w:gridSpan w:val="3"/>
            <w:shd w:val="clear" w:color="auto" w:fill="auto"/>
            <w:vAlign w:val="bottom"/>
          </w:tcPr>
          <w:p w14:paraId="74DD5FC8" w14:textId="77777777" w:rsidR="00584EC1" w:rsidRDefault="00584EC1">
            <w:pPr>
              <w:rPr>
                <w:rFonts w:ascii="宋体"/>
                <w:vanish/>
              </w:rPr>
            </w:pPr>
          </w:p>
        </w:tc>
        <w:tc>
          <w:tcPr>
            <w:tcW w:w="0" w:type="auto"/>
            <w:gridSpan w:val="3"/>
            <w:shd w:val="clear" w:color="auto" w:fill="auto"/>
            <w:vAlign w:val="bottom"/>
          </w:tcPr>
          <w:p w14:paraId="74DD5FC9" w14:textId="77777777" w:rsidR="00584EC1" w:rsidRDefault="00584EC1">
            <w:pPr>
              <w:rPr>
                <w:rFonts w:ascii="宋体"/>
                <w:vanish/>
              </w:rPr>
            </w:pPr>
          </w:p>
        </w:tc>
        <w:tc>
          <w:tcPr>
            <w:tcW w:w="0" w:type="auto"/>
            <w:gridSpan w:val="3"/>
            <w:shd w:val="clear" w:color="auto" w:fill="auto"/>
            <w:vAlign w:val="bottom"/>
          </w:tcPr>
          <w:p w14:paraId="74DD5FCA" w14:textId="77777777" w:rsidR="00584EC1" w:rsidRDefault="00584EC1">
            <w:pPr>
              <w:rPr>
                <w:rFonts w:ascii="宋体"/>
                <w:vanish/>
              </w:rPr>
            </w:pPr>
          </w:p>
        </w:tc>
      </w:tr>
      <w:tr w:rsidR="00584EC1" w14:paraId="74DD5FCF" w14:textId="77777777">
        <w:trPr>
          <w:hidden/>
        </w:trPr>
        <w:tc>
          <w:tcPr>
            <w:tcW w:w="0" w:type="auto"/>
            <w:gridSpan w:val="3"/>
            <w:shd w:val="clear" w:color="auto" w:fill="auto"/>
            <w:vAlign w:val="bottom"/>
          </w:tcPr>
          <w:p w14:paraId="74DD5FCC" w14:textId="77777777" w:rsidR="00584EC1" w:rsidRDefault="00584EC1">
            <w:pPr>
              <w:rPr>
                <w:rFonts w:ascii="宋体"/>
                <w:vanish/>
              </w:rPr>
            </w:pPr>
          </w:p>
        </w:tc>
        <w:tc>
          <w:tcPr>
            <w:tcW w:w="0" w:type="auto"/>
            <w:gridSpan w:val="3"/>
            <w:shd w:val="clear" w:color="auto" w:fill="auto"/>
            <w:vAlign w:val="bottom"/>
          </w:tcPr>
          <w:p w14:paraId="74DD5FCD" w14:textId="77777777" w:rsidR="00584EC1" w:rsidRDefault="00584EC1">
            <w:pPr>
              <w:rPr>
                <w:rFonts w:ascii="宋体"/>
                <w:vanish/>
              </w:rPr>
            </w:pPr>
          </w:p>
        </w:tc>
        <w:tc>
          <w:tcPr>
            <w:tcW w:w="0" w:type="auto"/>
            <w:gridSpan w:val="3"/>
            <w:shd w:val="clear" w:color="auto" w:fill="auto"/>
            <w:vAlign w:val="bottom"/>
          </w:tcPr>
          <w:p w14:paraId="74DD5FCE" w14:textId="77777777" w:rsidR="00584EC1" w:rsidRDefault="00584EC1">
            <w:pPr>
              <w:rPr>
                <w:rFonts w:ascii="宋体"/>
                <w:vanish/>
              </w:rPr>
            </w:pPr>
          </w:p>
        </w:tc>
      </w:tr>
      <w:tr w:rsidR="00584EC1" w14:paraId="74DD5FD3" w14:textId="77777777">
        <w:trPr>
          <w:hidden/>
        </w:trPr>
        <w:tc>
          <w:tcPr>
            <w:tcW w:w="0" w:type="auto"/>
            <w:gridSpan w:val="3"/>
            <w:shd w:val="clear" w:color="auto" w:fill="auto"/>
            <w:vAlign w:val="bottom"/>
          </w:tcPr>
          <w:p w14:paraId="74DD5FD0" w14:textId="77777777" w:rsidR="00584EC1" w:rsidRDefault="00584EC1">
            <w:pPr>
              <w:rPr>
                <w:rFonts w:ascii="宋体"/>
                <w:vanish/>
              </w:rPr>
            </w:pPr>
          </w:p>
        </w:tc>
        <w:tc>
          <w:tcPr>
            <w:tcW w:w="0" w:type="auto"/>
            <w:gridSpan w:val="3"/>
            <w:shd w:val="clear" w:color="auto" w:fill="auto"/>
            <w:vAlign w:val="bottom"/>
          </w:tcPr>
          <w:p w14:paraId="74DD5FD1" w14:textId="77777777" w:rsidR="00584EC1" w:rsidRDefault="00584EC1">
            <w:pPr>
              <w:rPr>
                <w:rFonts w:ascii="宋体"/>
                <w:vanish/>
              </w:rPr>
            </w:pPr>
          </w:p>
        </w:tc>
        <w:tc>
          <w:tcPr>
            <w:tcW w:w="0" w:type="auto"/>
            <w:gridSpan w:val="3"/>
            <w:shd w:val="clear" w:color="auto" w:fill="auto"/>
            <w:vAlign w:val="bottom"/>
          </w:tcPr>
          <w:p w14:paraId="74DD5FD2" w14:textId="77777777" w:rsidR="00584EC1" w:rsidRDefault="00584EC1">
            <w:pPr>
              <w:rPr>
                <w:rFonts w:ascii="宋体"/>
                <w:vanish/>
              </w:rPr>
            </w:pPr>
          </w:p>
        </w:tc>
      </w:tr>
    </w:tbl>
    <w:p w14:paraId="74DD5FD4" w14:textId="77777777" w:rsidR="00584EC1" w:rsidRDefault="00584EC1">
      <w:pPr>
        <w:ind w:firstLine="450"/>
      </w:pPr>
    </w:p>
    <w:p w14:paraId="74DD5FD5" w14:textId="77777777" w:rsidR="00584EC1" w:rsidRDefault="00584EC1">
      <w:pPr>
        <w:ind w:firstLine="450"/>
      </w:pPr>
    </w:p>
    <w:p w14:paraId="74DD5FD6" w14:textId="77777777" w:rsidR="00584EC1" w:rsidRDefault="00584EC1">
      <w:pPr>
        <w:ind w:firstLine="450"/>
      </w:pPr>
    </w:p>
    <w:p w14:paraId="74DD5FD7" w14:textId="77777777" w:rsidR="00584EC1" w:rsidRDefault="00584EC1">
      <w:pPr>
        <w:ind w:firstLine="450"/>
      </w:pPr>
    </w:p>
    <w:p w14:paraId="74DD5FD8" w14:textId="77777777" w:rsidR="00584EC1" w:rsidRDefault="00584EC1">
      <w:pPr>
        <w:ind w:firstLine="450"/>
      </w:pPr>
    </w:p>
    <w:p w14:paraId="74DD5FD9" w14:textId="77777777" w:rsidR="00584EC1" w:rsidRDefault="00584EC1">
      <w:pPr>
        <w:ind w:firstLine="450"/>
      </w:pPr>
    </w:p>
    <w:p w14:paraId="74DD5FDA" w14:textId="77777777" w:rsidR="00584EC1" w:rsidRDefault="00584EC1">
      <w:pPr>
        <w:ind w:firstLine="450"/>
      </w:pPr>
    </w:p>
    <w:p w14:paraId="74DD5FDB" w14:textId="77777777" w:rsidR="00584EC1" w:rsidRDefault="00584EC1">
      <w:pPr>
        <w:ind w:firstLine="450"/>
      </w:pPr>
    </w:p>
    <w:p w14:paraId="74DD5FDC" w14:textId="77777777" w:rsidR="00584EC1" w:rsidRDefault="00584EC1">
      <w:pPr>
        <w:ind w:firstLine="450"/>
      </w:pPr>
    </w:p>
    <w:p w14:paraId="74DD5FDD" w14:textId="77777777" w:rsidR="00584EC1" w:rsidRDefault="00584EC1">
      <w:pPr>
        <w:ind w:firstLine="450"/>
      </w:pPr>
    </w:p>
    <w:p w14:paraId="74DD5FDE" w14:textId="77777777" w:rsidR="00584EC1" w:rsidRDefault="00584EC1">
      <w:pPr>
        <w:ind w:firstLine="450"/>
      </w:pPr>
    </w:p>
    <w:p w14:paraId="74DD5FDF" w14:textId="77777777" w:rsidR="00584EC1" w:rsidRDefault="00584EC1">
      <w:pPr>
        <w:ind w:firstLine="450"/>
      </w:pPr>
    </w:p>
    <w:p w14:paraId="74DD5FE0" w14:textId="77777777" w:rsidR="00584EC1" w:rsidRDefault="00584EC1">
      <w:pPr>
        <w:ind w:firstLine="450"/>
      </w:pPr>
    </w:p>
    <w:p w14:paraId="74DD5FE1" w14:textId="77777777" w:rsidR="00584EC1" w:rsidRDefault="00584EC1">
      <w:pPr>
        <w:ind w:firstLine="450"/>
      </w:pPr>
    </w:p>
    <w:p w14:paraId="74DD5FE2" w14:textId="77777777" w:rsidR="00584EC1" w:rsidRDefault="00584EC1">
      <w:pPr>
        <w:ind w:firstLine="450"/>
      </w:pPr>
    </w:p>
    <w:p w14:paraId="74DD5FE3" w14:textId="77777777" w:rsidR="00584EC1" w:rsidRDefault="00584EC1">
      <w:pPr>
        <w:ind w:firstLine="450"/>
      </w:pPr>
    </w:p>
    <w:p w14:paraId="74DD5FE4" w14:textId="77777777" w:rsidR="00584EC1" w:rsidRDefault="00584EC1">
      <w:pPr>
        <w:ind w:firstLine="450"/>
      </w:pPr>
    </w:p>
    <w:p w14:paraId="74DD5FE5" w14:textId="77777777" w:rsidR="00584EC1" w:rsidRDefault="00584EC1">
      <w:pPr>
        <w:ind w:firstLine="450"/>
      </w:pPr>
    </w:p>
    <w:p w14:paraId="74DD5FE6" w14:textId="77777777" w:rsidR="00584EC1" w:rsidRDefault="00584EC1">
      <w:pPr>
        <w:ind w:firstLine="450"/>
      </w:pPr>
    </w:p>
    <w:p w14:paraId="74DD5FE7" w14:textId="77777777" w:rsidR="00584EC1" w:rsidRDefault="00584EC1">
      <w:pPr>
        <w:ind w:firstLine="450"/>
      </w:pPr>
    </w:p>
    <w:p w14:paraId="74DD5FE8" w14:textId="77777777" w:rsidR="00584EC1" w:rsidRDefault="00584EC1">
      <w:pPr>
        <w:ind w:firstLine="450"/>
      </w:pPr>
    </w:p>
    <w:p w14:paraId="74DD5FE9" w14:textId="77777777" w:rsidR="00584EC1" w:rsidRDefault="00584EC1">
      <w:pPr>
        <w:ind w:firstLine="450"/>
      </w:pPr>
    </w:p>
    <w:p w14:paraId="74DD5FEA" w14:textId="77777777" w:rsidR="00584EC1" w:rsidRDefault="00584EC1">
      <w:pPr>
        <w:ind w:firstLine="450"/>
      </w:pPr>
    </w:p>
    <w:p w14:paraId="74DD5FEB" w14:textId="77777777" w:rsidR="00584EC1" w:rsidRDefault="00584EC1">
      <w:pPr>
        <w:ind w:firstLine="450"/>
      </w:pPr>
    </w:p>
    <w:p w14:paraId="74DD5FEC" w14:textId="77777777" w:rsidR="00584EC1" w:rsidRDefault="00584EC1">
      <w:pPr>
        <w:ind w:firstLine="450"/>
      </w:pPr>
    </w:p>
    <w:p w14:paraId="74DD5FED" w14:textId="77777777" w:rsidR="00584EC1" w:rsidRDefault="00584EC1">
      <w:pPr>
        <w:ind w:firstLine="450"/>
      </w:pPr>
    </w:p>
    <w:p w14:paraId="74DD5FEE" w14:textId="77777777" w:rsidR="00584EC1" w:rsidRDefault="00584EC1">
      <w:pPr>
        <w:ind w:firstLine="450"/>
      </w:pPr>
    </w:p>
    <w:p w14:paraId="74DD5FEF" w14:textId="77777777" w:rsidR="00584EC1" w:rsidRDefault="00584EC1">
      <w:pPr>
        <w:ind w:firstLine="450"/>
      </w:pPr>
    </w:p>
    <w:p w14:paraId="74DD5FF0" w14:textId="77777777" w:rsidR="00584EC1" w:rsidRDefault="00584EC1">
      <w:pPr>
        <w:ind w:firstLine="450"/>
      </w:pPr>
    </w:p>
    <w:p w14:paraId="74DD5FF1" w14:textId="77777777" w:rsidR="00584EC1" w:rsidRDefault="00584EC1">
      <w:pPr>
        <w:ind w:firstLine="450"/>
      </w:pPr>
    </w:p>
    <w:p w14:paraId="74DD5FF2" w14:textId="77777777" w:rsidR="00584EC1" w:rsidRDefault="00584EC1">
      <w:pPr>
        <w:ind w:firstLine="720"/>
        <w:jc w:val="both"/>
      </w:pPr>
    </w:p>
    <w:p w14:paraId="74DD5FF3" w14:textId="77777777" w:rsidR="00584EC1" w:rsidRDefault="00871F8D">
      <w:pPr>
        <w:ind w:firstLine="720"/>
        <w:jc w:val="both"/>
      </w:pPr>
      <w:r>
        <w:rPr>
          <w:rFonts w:ascii="Arial" w:eastAsia="宋体" w:hAnsi="Arial" w:cs="Arial"/>
          <w:color w:val="000000"/>
          <w:sz w:val="20"/>
          <w:szCs w:val="20"/>
        </w:rPr>
        <w:t>We use acronyms and other defined terms for certain business terms and abbreviations, as defined in the acronyms list and glossary following the consolidated financial statements in this Form 10-Q.</w:t>
      </w:r>
    </w:p>
    <w:p w14:paraId="74DD5FF4" w14:textId="77777777" w:rsidR="00584EC1" w:rsidRDefault="00871F8D">
      <w:pPr>
        <w:ind w:firstLine="450"/>
        <w:jc w:val="right"/>
      </w:pPr>
      <w:r>
        <w:rPr>
          <w:rFonts w:ascii="Arial" w:eastAsia="宋体" w:hAnsi="Arial" w:cs="Arial"/>
          <w:color w:val="000000"/>
          <w:sz w:val="18"/>
          <w:szCs w:val="18"/>
        </w:rPr>
        <w:t xml:space="preserve">State </w:t>
      </w:r>
      <w:r>
        <w:rPr>
          <w:rFonts w:ascii="Arial" w:eastAsia="宋体" w:hAnsi="Arial" w:cs="Arial"/>
          <w:color w:val="000000"/>
          <w:sz w:val="18"/>
          <w:szCs w:val="18"/>
        </w:rPr>
        <w:t>Street Corporation | 3</w:t>
      </w:r>
    </w:p>
    <w:p w14:paraId="74DD5FF5" w14:textId="77777777" w:rsidR="00584EC1" w:rsidRDefault="00584EC1">
      <w:pPr>
        <w:ind w:firstLine="450"/>
        <w:jc w:val="center"/>
      </w:pPr>
    </w:p>
    <w:p w14:paraId="74DD5FF6" w14:textId="77777777" w:rsidR="00584EC1" w:rsidRDefault="00871F8D">
      <w:r>
        <w:pict w14:anchorId="74DE29F1">
          <v:rect id="_x0000_i1027" style="width:415.3pt;height:1.5pt" o:hralign="center" o:hrstd="t" o:hr="t" fillcolor="#a0a0a0" stroked="f"/>
        </w:pict>
      </w:r>
    </w:p>
    <w:p w14:paraId="74DD5FF7" w14:textId="77777777" w:rsidR="00584EC1" w:rsidRDefault="00871F8D">
      <w:pPr>
        <w:ind w:firstLine="450"/>
        <w:jc w:val="center"/>
      </w:pPr>
      <w:r>
        <w:rPr>
          <w:rFonts w:ascii="Arial" w:eastAsia="宋体" w:hAnsi="Arial" w:cs="Arial"/>
          <w:b/>
          <w:bCs/>
          <w:color w:val="000000"/>
          <w:sz w:val="20"/>
          <w:szCs w:val="20"/>
        </w:rPr>
        <w:t>MANAGEMENT’S DISCUSSION AND ANALYSIS OF FINANCIAL CONDITION</w:t>
      </w:r>
    </w:p>
    <w:p w14:paraId="74DD5FF8" w14:textId="77777777" w:rsidR="00584EC1" w:rsidRDefault="00871F8D">
      <w:pPr>
        <w:ind w:firstLine="450"/>
        <w:jc w:val="center"/>
      </w:pPr>
      <w:r>
        <w:rPr>
          <w:rFonts w:ascii="Arial" w:eastAsia="宋体" w:hAnsi="Arial" w:cs="Arial"/>
          <w:b/>
          <w:bCs/>
          <w:color w:val="000000"/>
          <w:sz w:val="20"/>
          <w:szCs w:val="20"/>
        </w:rPr>
        <w:t>AND RESULTS OF OPERATIONS</w:t>
      </w:r>
    </w:p>
    <w:p w14:paraId="74DD5FF9" w14:textId="77777777" w:rsidR="00584EC1" w:rsidRDefault="00871F8D">
      <w:pPr>
        <w:spacing w:before="90"/>
        <w:textAlignment w:val="top"/>
      </w:pPr>
      <w:r>
        <w:rPr>
          <w:rFonts w:ascii="Arial" w:eastAsia="宋体" w:hAnsi="Arial" w:cs="Arial"/>
          <w:b/>
          <w:bCs/>
          <w:color w:val="000000"/>
          <w:sz w:val="20"/>
          <w:szCs w:val="20"/>
        </w:rPr>
        <w:t>PART I. FINANCIAL INFORMATION</w:t>
      </w:r>
    </w:p>
    <w:p w14:paraId="74DD5FFA" w14:textId="77777777" w:rsidR="00584EC1" w:rsidRDefault="00584EC1">
      <w:pPr>
        <w:textAlignment w:val="top"/>
      </w:pPr>
    </w:p>
    <w:p w14:paraId="74DD5FFB" w14:textId="77777777" w:rsidR="00584EC1" w:rsidRDefault="00584EC1">
      <w:pPr>
        <w:spacing w:before="90"/>
        <w:jc w:val="both"/>
        <w:textAlignment w:val="top"/>
      </w:pPr>
    </w:p>
    <w:p w14:paraId="74DD5FFC" w14:textId="77777777" w:rsidR="00584EC1" w:rsidRDefault="00871F8D">
      <w:pPr>
        <w:spacing w:before="90"/>
        <w:jc w:val="both"/>
      </w:pPr>
      <w:r>
        <w:rPr>
          <w:rFonts w:ascii="Arial" w:eastAsia="宋体" w:hAnsi="Arial" w:cs="Arial"/>
          <w:b/>
          <w:bCs/>
          <w:color w:val="000000"/>
          <w:sz w:val="20"/>
          <w:szCs w:val="20"/>
        </w:rPr>
        <w:t>GENERAL</w:t>
      </w:r>
    </w:p>
    <w:p w14:paraId="74DD5FFD" w14:textId="77777777" w:rsidR="00584EC1" w:rsidRDefault="00871F8D">
      <w:pPr>
        <w:spacing w:before="60"/>
        <w:ind w:firstLine="450"/>
        <w:jc w:val="both"/>
        <w:textAlignment w:val="top"/>
      </w:pPr>
      <w:r>
        <w:rPr>
          <w:rFonts w:ascii="Arial" w:eastAsia="宋体" w:hAnsi="Arial" w:cs="Arial"/>
          <w:color w:val="000000"/>
          <w:sz w:val="20"/>
          <w:szCs w:val="20"/>
        </w:rPr>
        <w:t xml:space="preserve">State Street Corporation, referred to as the Parent Company, is a financial holding company </w:t>
      </w:r>
      <w:r>
        <w:rPr>
          <w:rFonts w:ascii="Arial" w:eastAsia="宋体" w:hAnsi="Arial" w:cs="Arial"/>
          <w:color w:val="000000"/>
          <w:sz w:val="20"/>
          <w:szCs w:val="20"/>
        </w:rPr>
        <w:t>organized in 1969 under the laws of the Commonwealth of Massachusetts. Our executive offices are located at One Lincoln Street, Boston, Massachusetts 02111 (telephone (617) 786-3000). For purposes of this Quarterly Report on Form 10-Q for the quarter ended</w:t>
      </w:r>
      <w:r>
        <w:rPr>
          <w:rFonts w:ascii="Arial" w:eastAsia="宋体" w:hAnsi="Arial" w:cs="Arial"/>
          <w:color w:val="000000"/>
          <w:sz w:val="20"/>
          <w:szCs w:val="20"/>
        </w:rPr>
        <w:t xml:space="preserve"> September 30, 2021 (Form 10-Q), unless the context requires otherwise, references to "State Street," "we," "us," "our" or similar terms mean State Street Corporation and its subsidiaries on a consolidated basis. The Parent Company is a source of financial</w:t>
      </w:r>
      <w:r>
        <w:rPr>
          <w:rFonts w:ascii="Arial" w:eastAsia="宋体" w:hAnsi="Arial" w:cs="Arial"/>
          <w:color w:val="000000"/>
          <w:sz w:val="20"/>
          <w:szCs w:val="20"/>
        </w:rPr>
        <w:t xml:space="preserve"> and managerial strength to our subsidiaries. Through our subsidiaries, including our principal banking subsidiary, State Street Bank and Trust Company, referred to as State Street Bank, we provide a broad range of financial products and services to instit</w:t>
      </w:r>
      <w:r>
        <w:rPr>
          <w:rFonts w:ascii="Arial" w:eastAsia="宋体" w:hAnsi="Arial" w:cs="Arial"/>
          <w:color w:val="000000"/>
          <w:sz w:val="20"/>
          <w:szCs w:val="20"/>
        </w:rPr>
        <w:t>utional investors worldwide, with $43.34 trillion of AUC/A and $3.86 trillion of AUM as of September 30, 2021.</w:t>
      </w:r>
    </w:p>
    <w:p w14:paraId="74DD5FFE" w14:textId="77777777" w:rsidR="00584EC1" w:rsidRDefault="00871F8D">
      <w:pPr>
        <w:spacing w:before="60"/>
        <w:ind w:firstLine="450"/>
        <w:jc w:val="both"/>
        <w:textAlignment w:val="top"/>
      </w:pPr>
      <w:r>
        <w:rPr>
          <w:rFonts w:ascii="Arial" w:eastAsia="宋体" w:hAnsi="Arial" w:cs="Arial"/>
          <w:color w:val="000000"/>
          <w:sz w:val="20"/>
          <w:szCs w:val="20"/>
        </w:rPr>
        <w:t>As of September 30, 2021, we had consolidated total assets of $323.14 billion, consolidated total deposits of $259.37 billion, consolidated total</w:t>
      </w:r>
      <w:r>
        <w:rPr>
          <w:rFonts w:ascii="Arial" w:eastAsia="宋体" w:hAnsi="Arial" w:cs="Arial"/>
          <w:color w:val="000000"/>
          <w:sz w:val="20"/>
          <w:szCs w:val="20"/>
        </w:rPr>
        <w:t xml:space="preserve"> shareholders' equity of $27.31 billion and 38,932 employees. We operate in more than 100 geographic markets worldwide, including in the U.S., Canada, Europe, the Middle East and Asia.</w:t>
      </w:r>
    </w:p>
    <w:p w14:paraId="74DD5FFF" w14:textId="77777777" w:rsidR="00584EC1" w:rsidRDefault="00871F8D">
      <w:pPr>
        <w:spacing w:before="60"/>
        <w:ind w:firstLine="450"/>
        <w:jc w:val="both"/>
        <w:textAlignment w:val="top"/>
      </w:pPr>
      <w:r>
        <w:rPr>
          <w:rFonts w:ascii="Arial" w:eastAsia="宋体" w:hAnsi="Arial" w:cs="Arial"/>
          <w:color w:val="000000"/>
          <w:sz w:val="20"/>
          <w:szCs w:val="20"/>
        </w:rPr>
        <w:t>Our operations are organized into two lines of business, Investment Ser</w:t>
      </w:r>
      <w:r>
        <w:rPr>
          <w:rFonts w:ascii="Arial" w:eastAsia="宋体" w:hAnsi="Arial" w:cs="Arial"/>
          <w:color w:val="000000"/>
          <w:sz w:val="20"/>
          <w:szCs w:val="20"/>
        </w:rPr>
        <w:t>vicing and Investment Management, which are defined based on products and services provided.</w:t>
      </w:r>
    </w:p>
    <w:p w14:paraId="74DD6000" w14:textId="77777777" w:rsidR="00584EC1" w:rsidRDefault="00871F8D">
      <w:pPr>
        <w:spacing w:before="60"/>
        <w:ind w:firstLine="450"/>
        <w:jc w:val="both"/>
        <w:textAlignment w:val="top"/>
      </w:pPr>
      <w:r>
        <w:rPr>
          <w:rFonts w:ascii="Arial" w:eastAsia="宋体" w:hAnsi="Arial" w:cs="Arial"/>
          <w:color w:val="000000"/>
          <w:sz w:val="20"/>
          <w:szCs w:val="20"/>
        </w:rPr>
        <w:t>Additional information about our lines of business is provided in Line of Business Information in this Management's Discussion and Analysis and Note 17 to the cons</w:t>
      </w:r>
      <w:r>
        <w:rPr>
          <w:rFonts w:ascii="Arial" w:eastAsia="宋体" w:hAnsi="Arial" w:cs="Arial"/>
          <w:color w:val="000000"/>
          <w:sz w:val="20"/>
          <w:szCs w:val="20"/>
        </w:rPr>
        <w:t>olidated financial statements in this Form 10-Q.</w:t>
      </w:r>
    </w:p>
    <w:p w14:paraId="74DD6001" w14:textId="77777777" w:rsidR="00584EC1" w:rsidRDefault="00871F8D">
      <w:pPr>
        <w:spacing w:before="60"/>
        <w:ind w:firstLine="450"/>
        <w:jc w:val="both"/>
        <w:textAlignment w:val="top"/>
      </w:pPr>
      <w:r>
        <w:rPr>
          <w:rFonts w:ascii="Arial" w:eastAsia="宋体" w:hAnsi="Arial" w:cs="Arial"/>
          <w:color w:val="000000"/>
          <w:sz w:val="20"/>
          <w:szCs w:val="20"/>
        </w:rPr>
        <w:t xml:space="preserve">This Management's Discussion and Analysis is part of the Form 10-Q and updates the Management's Discussion and Analysis in our 2020 Annual Report on Form 10-K for the year ended December 31, 2020 previously </w:t>
      </w:r>
      <w:r>
        <w:rPr>
          <w:rFonts w:ascii="Arial" w:eastAsia="宋体" w:hAnsi="Arial" w:cs="Arial"/>
          <w:color w:val="000000"/>
          <w:sz w:val="20"/>
          <w:szCs w:val="20"/>
        </w:rPr>
        <w:t>filed with the SEC (2020 Form 10-K). You should read the financial information contained in this Management's Discussion and Analysis and elsewhere in this Form 10-Q in conjunction with the financial and other information contained in our 2020 Form 10-K. C</w:t>
      </w:r>
      <w:r>
        <w:rPr>
          <w:rFonts w:ascii="Arial" w:eastAsia="宋体" w:hAnsi="Arial" w:cs="Arial"/>
          <w:color w:val="000000"/>
          <w:sz w:val="20"/>
          <w:szCs w:val="20"/>
        </w:rPr>
        <w:t>ertain previously reported amounts presented in this Form 10-Q have been reclassified to conform to current-period presentation.</w:t>
      </w:r>
    </w:p>
    <w:p w14:paraId="74DD6002" w14:textId="77777777" w:rsidR="00584EC1" w:rsidRDefault="00871F8D">
      <w:pPr>
        <w:spacing w:before="60"/>
        <w:ind w:firstLine="450"/>
        <w:jc w:val="both"/>
        <w:textAlignment w:val="top"/>
      </w:pPr>
      <w:r>
        <w:rPr>
          <w:rFonts w:ascii="Arial" w:eastAsia="宋体" w:hAnsi="Arial" w:cs="Arial"/>
          <w:color w:val="000000"/>
          <w:sz w:val="20"/>
          <w:szCs w:val="20"/>
        </w:rPr>
        <w:t>We prepare our consolidated financial statements in conformity with U.S. GAAP. The preparation of financial statements in confo</w:t>
      </w:r>
      <w:r>
        <w:rPr>
          <w:rFonts w:ascii="Arial" w:eastAsia="宋体" w:hAnsi="Arial" w:cs="Arial"/>
          <w:color w:val="000000"/>
          <w:sz w:val="20"/>
          <w:szCs w:val="20"/>
        </w:rPr>
        <w:t xml:space="preserve">rmity with U.S. GAAP requires management to make estimates </w:t>
      </w:r>
    </w:p>
    <w:p w14:paraId="74DD6003" w14:textId="77777777" w:rsidR="00584EC1" w:rsidRDefault="00871F8D">
      <w:pPr>
        <w:spacing w:before="60"/>
        <w:jc w:val="both"/>
        <w:textAlignment w:val="top"/>
      </w:pPr>
      <w:r>
        <w:rPr>
          <w:rFonts w:ascii="Arial" w:eastAsia="宋体" w:hAnsi="Arial" w:cs="Arial"/>
          <w:color w:val="000000"/>
          <w:sz w:val="20"/>
          <w:szCs w:val="20"/>
        </w:rPr>
        <w:t>and assumptions in its application of certain accounting policies that materially affect the reported amounts of assets, liabilities, equity, revenue and expenses.</w:t>
      </w:r>
    </w:p>
    <w:p w14:paraId="74DD6004" w14:textId="77777777" w:rsidR="00584EC1" w:rsidRDefault="00871F8D">
      <w:pPr>
        <w:spacing w:before="60"/>
        <w:ind w:firstLine="450"/>
        <w:jc w:val="both"/>
        <w:textAlignment w:val="top"/>
      </w:pPr>
      <w:r>
        <w:rPr>
          <w:rFonts w:ascii="Arial" w:eastAsia="宋体" w:hAnsi="Arial" w:cs="Arial"/>
          <w:color w:val="000000"/>
          <w:sz w:val="20"/>
          <w:szCs w:val="20"/>
        </w:rPr>
        <w:t>The significant accounting polic</w:t>
      </w:r>
      <w:r>
        <w:rPr>
          <w:rFonts w:ascii="Arial" w:eastAsia="宋体" w:hAnsi="Arial" w:cs="Arial"/>
          <w:color w:val="000000"/>
          <w:sz w:val="20"/>
          <w:szCs w:val="20"/>
        </w:rPr>
        <w:t>ies that require us to make judgments, estimates and assumptions that are difficult, subjective or complex about matters that are uncertain and may change in subsequent periods include:</w:t>
      </w:r>
    </w:p>
    <w:p w14:paraId="74DD6005" w14:textId="77777777" w:rsidR="00584EC1" w:rsidRDefault="00871F8D">
      <w:pPr>
        <w:spacing w:before="20"/>
        <w:ind w:hanging="360"/>
        <w:textAlignment w:val="top"/>
      </w:pPr>
      <w:r>
        <w:rPr>
          <w:rFonts w:ascii="Arial" w:eastAsia="宋体" w:hAnsi="Arial" w:cs="Arial"/>
          <w:color w:val="000000"/>
          <w:sz w:val="20"/>
          <w:szCs w:val="20"/>
        </w:rPr>
        <w:t>•accounting for fair value measurements;</w:t>
      </w:r>
    </w:p>
    <w:p w14:paraId="74DD6006" w14:textId="77777777" w:rsidR="00584EC1" w:rsidRDefault="00871F8D">
      <w:pPr>
        <w:spacing w:before="20"/>
        <w:ind w:hanging="360"/>
        <w:textAlignment w:val="top"/>
      </w:pPr>
      <w:r>
        <w:rPr>
          <w:rFonts w:ascii="Arial" w:eastAsia="宋体" w:hAnsi="Arial" w:cs="Arial"/>
          <w:color w:val="000000"/>
          <w:sz w:val="20"/>
          <w:szCs w:val="20"/>
        </w:rPr>
        <w:t>•impairment of goodwill and o</w:t>
      </w:r>
      <w:r>
        <w:rPr>
          <w:rFonts w:ascii="Arial" w:eastAsia="宋体" w:hAnsi="Arial" w:cs="Arial"/>
          <w:color w:val="000000"/>
          <w:sz w:val="20"/>
          <w:szCs w:val="20"/>
        </w:rPr>
        <w:t xml:space="preserve">ther intangible assets; </w:t>
      </w:r>
    </w:p>
    <w:p w14:paraId="74DD6007" w14:textId="77777777" w:rsidR="00584EC1" w:rsidRDefault="00871F8D">
      <w:pPr>
        <w:spacing w:before="20"/>
        <w:ind w:hanging="360"/>
        <w:textAlignment w:val="top"/>
      </w:pPr>
      <w:r>
        <w:rPr>
          <w:rFonts w:ascii="Arial" w:eastAsia="宋体" w:hAnsi="Arial" w:cs="Arial"/>
          <w:color w:val="000000"/>
          <w:sz w:val="20"/>
          <w:szCs w:val="20"/>
        </w:rPr>
        <w:t>•contingencies; and</w:t>
      </w:r>
    </w:p>
    <w:p w14:paraId="74DD6008" w14:textId="77777777" w:rsidR="00584EC1" w:rsidRDefault="00871F8D">
      <w:pPr>
        <w:spacing w:before="20"/>
        <w:ind w:hanging="360"/>
        <w:textAlignment w:val="top"/>
      </w:pPr>
      <w:r>
        <w:rPr>
          <w:rFonts w:ascii="Arial" w:eastAsia="宋体" w:hAnsi="Arial" w:cs="Arial"/>
          <w:color w:val="000000"/>
          <w:sz w:val="20"/>
          <w:szCs w:val="20"/>
        </w:rPr>
        <w:t>•allowance for credit losses.</w:t>
      </w:r>
    </w:p>
    <w:p w14:paraId="74DD6009" w14:textId="77777777" w:rsidR="00584EC1" w:rsidRDefault="00871F8D">
      <w:pPr>
        <w:spacing w:before="60"/>
        <w:ind w:firstLine="450"/>
        <w:jc w:val="both"/>
        <w:textAlignment w:val="top"/>
      </w:pPr>
      <w:r>
        <w:rPr>
          <w:rFonts w:ascii="Arial" w:eastAsia="宋体" w:hAnsi="Arial" w:cs="Arial"/>
          <w:color w:val="000000"/>
          <w:sz w:val="20"/>
          <w:szCs w:val="20"/>
        </w:rPr>
        <w:t>These significant accounting policies require the most subjective or complex judgments, and underlying estimates and assumptions could be subject to revision as new information beco</w:t>
      </w:r>
      <w:r>
        <w:rPr>
          <w:rFonts w:ascii="Arial" w:eastAsia="宋体" w:hAnsi="Arial" w:cs="Arial"/>
          <w:color w:val="000000"/>
          <w:sz w:val="20"/>
          <w:szCs w:val="20"/>
        </w:rPr>
        <w:t>mes available. For additional information about these significant accounting policies refer to pages 123 to 125, “Significant Accounting Estimates” included under Item 7, Management's Discussion and Analysis of Financial Condition and Results of Operations</w:t>
      </w:r>
      <w:r>
        <w:rPr>
          <w:rFonts w:ascii="Arial" w:eastAsia="宋体" w:hAnsi="Arial" w:cs="Arial"/>
          <w:color w:val="000000"/>
          <w:sz w:val="20"/>
          <w:szCs w:val="20"/>
        </w:rPr>
        <w:t>, in our 2020 Form 10-K. We did not change these significant accounting policies in the first nine months of 2021.</w:t>
      </w:r>
    </w:p>
    <w:p w14:paraId="74DD600A" w14:textId="77777777" w:rsidR="00584EC1" w:rsidRDefault="00871F8D">
      <w:pPr>
        <w:spacing w:before="60"/>
        <w:ind w:firstLine="450"/>
        <w:jc w:val="both"/>
        <w:textAlignment w:val="top"/>
      </w:pPr>
      <w:r>
        <w:rPr>
          <w:rFonts w:ascii="Arial" w:eastAsia="宋体" w:hAnsi="Arial" w:cs="Arial"/>
          <w:color w:val="000000"/>
          <w:sz w:val="20"/>
          <w:szCs w:val="20"/>
        </w:rPr>
        <w:t xml:space="preserve">Certain financial information provided in this Form 10-Q, including in this Management's Discussion and Analysis, is prepared on both a U.S. </w:t>
      </w:r>
      <w:r>
        <w:rPr>
          <w:rFonts w:ascii="Arial" w:eastAsia="宋体" w:hAnsi="Arial" w:cs="Arial"/>
          <w:color w:val="000000"/>
          <w:sz w:val="20"/>
          <w:szCs w:val="20"/>
        </w:rPr>
        <w:t>GAAP, or reported basis, and a non-GAAP basis. We measure and compare certain financial information on a non-GAAP basis, including information that management uses in evaluating our business and activities. Non-GAAP financial information should be consider</w:t>
      </w:r>
      <w:r>
        <w:rPr>
          <w:rFonts w:ascii="Arial" w:eastAsia="宋体" w:hAnsi="Arial" w:cs="Arial"/>
          <w:color w:val="000000"/>
          <w:sz w:val="20"/>
          <w:szCs w:val="20"/>
        </w:rPr>
        <w:t>ed in addition to, and not as a substitute for or superior to, financial information prepared in conformity with U.S. GAAP. Any non-GAAP financial information presented in this Form 10-Q, including this Management’s Discussion and Analysis, is reconciled t</w:t>
      </w:r>
      <w:r>
        <w:rPr>
          <w:rFonts w:ascii="Arial" w:eastAsia="宋体" w:hAnsi="Arial" w:cs="Arial"/>
          <w:color w:val="000000"/>
          <w:sz w:val="20"/>
          <w:szCs w:val="20"/>
        </w:rPr>
        <w:t>o its most directly comparable U.S. GAAP-basis measure.</w:t>
      </w:r>
    </w:p>
    <w:p w14:paraId="74DD600B" w14:textId="77777777" w:rsidR="00584EC1" w:rsidRDefault="00871F8D">
      <w:pPr>
        <w:spacing w:before="60"/>
        <w:ind w:firstLine="450"/>
        <w:jc w:val="both"/>
        <w:textAlignment w:val="top"/>
      </w:pPr>
      <w:r>
        <w:rPr>
          <w:rFonts w:ascii="Arial" w:eastAsia="宋体" w:hAnsi="Arial" w:cs="Arial"/>
          <w:color w:val="000000"/>
          <w:sz w:val="20"/>
          <w:szCs w:val="20"/>
        </w:rPr>
        <w:t>We further believe that our presentation of FTE NII, a non-GAAP measure, which reports non-taxable revenue, such as interest income associated with tax-exempt investment securities, on a FTE basis, fa</w:t>
      </w:r>
      <w:r>
        <w:rPr>
          <w:rFonts w:ascii="Arial" w:eastAsia="宋体" w:hAnsi="Arial" w:cs="Arial"/>
          <w:color w:val="000000"/>
          <w:sz w:val="20"/>
          <w:szCs w:val="20"/>
        </w:rPr>
        <w:t>cilitates an investor's understanding and analysis of our underlying financial performance and trends.</w:t>
      </w:r>
    </w:p>
    <w:p w14:paraId="74DD600C" w14:textId="77777777" w:rsidR="00584EC1" w:rsidRDefault="00871F8D">
      <w:pPr>
        <w:spacing w:before="60"/>
        <w:ind w:firstLine="450"/>
        <w:jc w:val="both"/>
        <w:textAlignment w:val="top"/>
      </w:pPr>
      <w:r>
        <w:rPr>
          <w:rFonts w:ascii="Arial" w:eastAsia="宋体" w:hAnsi="Arial" w:cs="Arial"/>
          <w:color w:val="000000"/>
          <w:sz w:val="20"/>
          <w:szCs w:val="20"/>
        </w:rPr>
        <w:t xml:space="preserve">We provide additional disclosures required by applicable bank regulatory standards, including supplemental qualitative and quantitative information with </w:t>
      </w:r>
      <w:r>
        <w:rPr>
          <w:rFonts w:ascii="Arial" w:eastAsia="宋体" w:hAnsi="Arial" w:cs="Arial"/>
          <w:color w:val="000000"/>
          <w:sz w:val="20"/>
          <w:szCs w:val="20"/>
        </w:rPr>
        <w:t>respect to regulatory capital (including market risk associated with our trading activities) and the LCR, summary results of semi-annual State Street-</w:t>
      </w:r>
    </w:p>
    <w:p w14:paraId="74DD600D" w14:textId="77777777" w:rsidR="00584EC1" w:rsidRDefault="00871F8D">
      <w:pPr>
        <w:ind w:firstLine="450"/>
        <w:jc w:val="right"/>
      </w:pPr>
      <w:r>
        <w:rPr>
          <w:rFonts w:ascii="Arial" w:eastAsia="宋体" w:hAnsi="Arial" w:cs="Arial"/>
          <w:color w:val="000000"/>
          <w:sz w:val="18"/>
          <w:szCs w:val="18"/>
        </w:rPr>
        <w:t>State Street Corporation | 4</w:t>
      </w:r>
    </w:p>
    <w:p w14:paraId="74DD600E" w14:textId="77777777" w:rsidR="00584EC1" w:rsidRDefault="00584EC1">
      <w:pPr>
        <w:ind w:firstLine="450"/>
        <w:jc w:val="center"/>
      </w:pPr>
    </w:p>
    <w:p w14:paraId="74DD600F" w14:textId="77777777" w:rsidR="00584EC1" w:rsidRDefault="00871F8D">
      <w:r>
        <w:pict w14:anchorId="74DE29F2">
          <v:rect id="_x0000_i1028" style="width:415.3pt;height:1.5pt" o:hralign="center" o:hrstd="t" o:hr="t" fillcolor="#a0a0a0" stroked="f"/>
        </w:pict>
      </w:r>
    </w:p>
    <w:p w14:paraId="74DD6010" w14:textId="77777777" w:rsidR="00584EC1" w:rsidRDefault="00871F8D">
      <w:pPr>
        <w:ind w:firstLine="450"/>
        <w:jc w:val="center"/>
      </w:pPr>
      <w:r>
        <w:rPr>
          <w:rFonts w:ascii="Arial" w:eastAsia="宋体" w:hAnsi="Arial" w:cs="Arial"/>
          <w:b/>
          <w:bCs/>
          <w:color w:val="000000"/>
          <w:sz w:val="20"/>
          <w:szCs w:val="20"/>
        </w:rPr>
        <w:t>MANAGEMENT’S DISCUSSION AND ANALYSIS OF FINANCIAL CONDITION</w:t>
      </w:r>
    </w:p>
    <w:p w14:paraId="74DD6011" w14:textId="77777777" w:rsidR="00584EC1" w:rsidRDefault="00871F8D">
      <w:pPr>
        <w:ind w:firstLine="450"/>
        <w:jc w:val="center"/>
      </w:pPr>
      <w:r>
        <w:rPr>
          <w:rFonts w:ascii="Arial" w:eastAsia="宋体" w:hAnsi="Arial" w:cs="Arial"/>
          <w:b/>
          <w:bCs/>
          <w:color w:val="000000"/>
          <w:sz w:val="20"/>
          <w:szCs w:val="20"/>
        </w:rPr>
        <w:t>AND RESULTS O</w:t>
      </w:r>
      <w:r>
        <w:rPr>
          <w:rFonts w:ascii="Arial" w:eastAsia="宋体" w:hAnsi="Arial" w:cs="Arial"/>
          <w:b/>
          <w:bCs/>
          <w:color w:val="000000"/>
          <w:sz w:val="20"/>
          <w:szCs w:val="20"/>
        </w:rPr>
        <w:t>F OPERATIONS</w:t>
      </w:r>
    </w:p>
    <w:p w14:paraId="74DD6012" w14:textId="77777777" w:rsidR="00584EC1" w:rsidRDefault="00871F8D">
      <w:pPr>
        <w:spacing w:before="60"/>
        <w:jc w:val="both"/>
        <w:textAlignment w:val="top"/>
      </w:pPr>
      <w:r>
        <w:rPr>
          <w:rFonts w:ascii="Arial" w:eastAsia="宋体" w:hAnsi="Arial" w:cs="Arial"/>
          <w:color w:val="000000"/>
          <w:sz w:val="20"/>
          <w:szCs w:val="20"/>
        </w:rPr>
        <w:t xml:space="preserve">run stress tests which we conduct under the Dodd-Frank Act, and resolution plan disclosures required under the Dodd-Frank Act. These additional disclosures are accessible on the “Investor Relations” section of our corporate website at </w:t>
      </w:r>
      <w:r>
        <w:rPr>
          <w:rFonts w:ascii="Arial" w:eastAsia="宋体" w:hAnsi="Arial" w:cs="Arial"/>
          <w:i/>
          <w:iCs/>
          <w:color w:val="000000"/>
          <w:sz w:val="20"/>
          <w:szCs w:val="20"/>
        </w:rPr>
        <w:t>www.statestreet.com</w:t>
      </w:r>
      <w:r>
        <w:rPr>
          <w:rFonts w:ascii="Arial" w:eastAsia="宋体" w:hAnsi="Arial" w:cs="Arial"/>
          <w:color w:val="000000"/>
          <w:sz w:val="20"/>
          <w:szCs w:val="20"/>
        </w:rPr>
        <w:t>.</w:t>
      </w:r>
    </w:p>
    <w:p w14:paraId="74DD6013" w14:textId="77777777" w:rsidR="00584EC1" w:rsidRDefault="00871F8D">
      <w:pPr>
        <w:spacing w:before="60"/>
        <w:ind w:firstLine="450"/>
        <w:jc w:val="both"/>
        <w:textAlignment w:val="top"/>
      </w:pPr>
      <w:r>
        <w:rPr>
          <w:rFonts w:ascii="Arial" w:eastAsia="宋体" w:hAnsi="Arial" w:cs="Arial"/>
          <w:color w:val="000000"/>
          <w:sz w:val="20"/>
          <w:szCs w:val="20"/>
        </w:rPr>
        <w:t>We have included our website address in this report as an inactive textual reference only. Information on our website is not incorporated by reference into this Form 10-Q.</w:t>
      </w:r>
    </w:p>
    <w:p w14:paraId="74DD6014" w14:textId="77777777" w:rsidR="00584EC1" w:rsidRDefault="00871F8D">
      <w:pPr>
        <w:spacing w:before="60"/>
        <w:ind w:firstLine="450"/>
        <w:jc w:val="both"/>
        <w:textAlignment w:val="top"/>
      </w:pPr>
      <w:r>
        <w:rPr>
          <w:rFonts w:ascii="Arial" w:eastAsia="宋体" w:hAnsi="Arial" w:cs="Arial"/>
          <w:color w:val="000000"/>
          <w:sz w:val="20"/>
          <w:szCs w:val="20"/>
        </w:rPr>
        <w:t>We use acronyms and other defined terms for certain business terms and abbreviations</w:t>
      </w:r>
      <w:r>
        <w:rPr>
          <w:rFonts w:ascii="Arial" w:eastAsia="宋体" w:hAnsi="Arial" w:cs="Arial"/>
          <w:color w:val="000000"/>
          <w:sz w:val="20"/>
          <w:szCs w:val="20"/>
        </w:rPr>
        <w:t>, as defined in the acronyms list and glossary following the consolidated financial statements in this Form 10-Q.</w:t>
      </w:r>
    </w:p>
    <w:p w14:paraId="74DD6015" w14:textId="77777777" w:rsidR="00584EC1" w:rsidRDefault="00871F8D">
      <w:pPr>
        <w:spacing w:before="90"/>
        <w:jc w:val="both"/>
        <w:textAlignment w:val="top"/>
      </w:pPr>
      <w:r>
        <w:rPr>
          <w:rFonts w:ascii="Arial" w:eastAsia="宋体" w:hAnsi="Arial" w:cs="Arial"/>
          <w:b/>
          <w:bCs/>
          <w:color w:val="000000"/>
          <w:sz w:val="20"/>
          <w:szCs w:val="20"/>
        </w:rPr>
        <w:t>Forward-Looking Statements</w:t>
      </w:r>
    </w:p>
    <w:p w14:paraId="74DD6016" w14:textId="77777777" w:rsidR="00584EC1" w:rsidRDefault="00871F8D">
      <w:pPr>
        <w:spacing w:before="60"/>
        <w:ind w:firstLine="450"/>
        <w:jc w:val="both"/>
        <w:textAlignment w:val="top"/>
      </w:pPr>
      <w:r>
        <w:rPr>
          <w:rFonts w:ascii="Arial" w:eastAsia="宋体" w:hAnsi="Arial" w:cs="Arial"/>
          <w:color w:val="000000"/>
          <w:sz w:val="20"/>
          <w:szCs w:val="20"/>
        </w:rPr>
        <w:t>This Form 10-Q, as well as other reports and proxy materials submitted by us under the Securities Exchange Act of 1</w:t>
      </w:r>
      <w:r>
        <w:rPr>
          <w:rFonts w:ascii="Arial" w:eastAsia="宋体" w:hAnsi="Arial" w:cs="Arial"/>
          <w:color w:val="000000"/>
          <w:sz w:val="20"/>
          <w:szCs w:val="20"/>
        </w:rPr>
        <w:t xml:space="preserve">934, registration statements filed by us under the Securities Act of 1933, our annual report to shareholders and other public statements we may make, may contain statements (including statements in our Management's Discussion and Analysis included in such </w:t>
      </w:r>
      <w:r>
        <w:rPr>
          <w:rFonts w:ascii="Arial" w:eastAsia="宋体" w:hAnsi="Arial" w:cs="Arial"/>
          <w:color w:val="000000"/>
          <w:sz w:val="20"/>
          <w:szCs w:val="20"/>
        </w:rPr>
        <w:t>reports, as applicable) that are considered “forward-looking statements” within the meaning of U.S. securities laws, including statements about our goals and expectations regarding our business, financial and capital condition, results of operations, strat</w:t>
      </w:r>
      <w:r>
        <w:rPr>
          <w:rFonts w:ascii="Arial" w:eastAsia="宋体" w:hAnsi="Arial" w:cs="Arial"/>
          <w:color w:val="000000"/>
          <w:sz w:val="20"/>
          <w:szCs w:val="20"/>
        </w:rPr>
        <w:t>egies, cost savings and transformation initiatives, investment portfolio performance, dividend and stock purchase programs, outcomes of legal proceedings, market growth, acquisitions, joint ventures and divestitures, client growth and new technologies, ser</w:t>
      </w:r>
      <w:r>
        <w:rPr>
          <w:rFonts w:ascii="Arial" w:eastAsia="宋体" w:hAnsi="Arial" w:cs="Arial"/>
          <w:color w:val="000000"/>
          <w:sz w:val="20"/>
          <w:szCs w:val="20"/>
        </w:rPr>
        <w:t>vices and opportunities, as well as industry, governmental, regulatory, economic and market trends, initiatives and developments, the business environment and other matters that do not relate strictly to historical facts.</w:t>
      </w:r>
    </w:p>
    <w:p w14:paraId="74DD6017" w14:textId="77777777" w:rsidR="00584EC1" w:rsidRDefault="00871F8D">
      <w:pPr>
        <w:spacing w:before="60"/>
        <w:ind w:firstLine="450"/>
        <w:jc w:val="both"/>
        <w:textAlignment w:val="top"/>
      </w:pPr>
      <w:r>
        <w:rPr>
          <w:rFonts w:ascii="Arial" w:eastAsia="宋体" w:hAnsi="Arial" w:cs="Arial"/>
          <w:color w:val="000000"/>
          <w:sz w:val="20"/>
          <w:szCs w:val="20"/>
        </w:rPr>
        <w:t>Terminology such as “plan,” “expec</w:t>
      </w:r>
      <w:r>
        <w:rPr>
          <w:rFonts w:ascii="Arial" w:eastAsia="宋体" w:hAnsi="Arial" w:cs="Arial"/>
          <w:color w:val="000000"/>
          <w:sz w:val="20"/>
          <w:szCs w:val="20"/>
        </w:rPr>
        <w:t xml:space="preserve">t,” “intend,” “objective,” “forecast,” “outlook,” “believe,” “priority,” “anticipate,” “estimate,” “seek,” “may,” “will,” “trend,” “target,” “strategy” and “goal,” or similar statements or variations of such terms, are intended to identify forward-looking </w:t>
      </w:r>
      <w:r>
        <w:rPr>
          <w:rFonts w:ascii="Arial" w:eastAsia="宋体" w:hAnsi="Arial" w:cs="Arial"/>
          <w:color w:val="000000"/>
          <w:sz w:val="20"/>
          <w:szCs w:val="20"/>
        </w:rPr>
        <w:t>statements, although not all forward-looking statements contain such terms.</w:t>
      </w:r>
    </w:p>
    <w:p w14:paraId="74DD6018" w14:textId="77777777" w:rsidR="00584EC1" w:rsidRDefault="00871F8D">
      <w:pPr>
        <w:spacing w:before="60"/>
        <w:ind w:firstLine="450"/>
        <w:jc w:val="both"/>
        <w:textAlignment w:val="top"/>
      </w:pPr>
      <w:r>
        <w:rPr>
          <w:rFonts w:ascii="Arial" w:eastAsia="宋体" w:hAnsi="Arial" w:cs="Arial"/>
          <w:color w:val="000000"/>
          <w:sz w:val="20"/>
          <w:szCs w:val="20"/>
        </w:rPr>
        <w:t>Forward-looking statements are subject to various risks and uncertainties, which change over time, are based on management's expectations and assumptions at the time the statements</w:t>
      </w:r>
      <w:r>
        <w:rPr>
          <w:rFonts w:ascii="Arial" w:eastAsia="宋体" w:hAnsi="Arial" w:cs="Arial"/>
          <w:color w:val="000000"/>
          <w:sz w:val="20"/>
          <w:szCs w:val="20"/>
        </w:rPr>
        <w:t xml:space="preserve"> are made and are not guarantees of future results. Management's expectations and assumptions, and the continued validity of the forward-looking statements, are subject to change due to a broad range of factors affecting the U.S. and global economies, regu</w:t>
      </w:r>
      <w:r>
        <w:rPr>
          <w:rFonts w:ascii="Arial" w:eastAsia="宋体" w:hAnsi="Arial" w:cs="Arial"/>
          <w:color w:val="000000"/>
          <w:sz w:val="20"/>
          <w:szCs w:val="20"/>
        </w:rPr>
        <w:t>latory environment and the equity</w:t>
      </w:r>
      <w:r>
        <w:rPr>
          <w:rFonts w:ascii="Times New Roman" w:eastAsia="宋体" w:hAnsi="Times New Roman"/>
          <w:color w:val="000000"/>
          <w:sz w:val="20"/>
          <w:szCs w:val="20"/>
        </w:rPr>
        <w:t>,</w:t>
      </w:r>
      <w:r>
        <w:rPr>
          <w:rFonts w:ascii="Arial" w:eastAsia="宋体" w:hAnsi="Arial" w:cs="Arial"/>
          <w:color w:val="000000"/>
          <w:sz w:val="20"/>
          <w:szCs w:val="20"/>
        </w:rPr>
        <w:t xml:space="preserve"> debt, currency and other financial markets, as well as factors specific to State </w:t>
      </w:r>
    </w:p>
    <w:p w14:paraId="74DD6019" w14:textId="77777777" w:rsidR="00584EC1" w:rsidRDefault="00871F8D">
      <w:pPr>
        <w:spacing w:before="60"/>
        <w:jc w:val="both"/>
        <w:textAlignment w:val="top"/>
      </w:pPr>
      <w:r>
        <w:rPr>
          <w:rFonts w:ascii="Arial" w:eastAsia="宋体" w:hAnsi="Arial" w:cs="Arial"/>
          <w:color w:val="000000"/>
          <w:sz w:val="20"/>
          <w:szCs w:val="20"/>
        </w:rPr>
        <w:t xml:space="preserve">Street and its subsidiaries, including State Street Bank. Factors that could cause changes in the expectations or assumptions on which </w:t>
      </w:r>
      <w:r>
        <w:rPr>
          <w:rFonts w:ascii="Arial" w:eastAsia="宋体" w:hAnsi="Arial" w:cs="Arial"/>
          <w:color w:val="000000"/>
          <w:sz w:val="20"/>
          <w:szCs w:val="20"/>
        </w:rPr>
        <w:t>forward-looking statements are based cannot be foreseen with certainty and include, but are not limited to:</w:t>
      </w:r>
    </w:p>
    <w:p w14:paraId="74DD601A" w14:textId="77777777" w:rsidR="00584EC1" w:rsidRDefault="00871F8D">
      <w:pPr>
        <w:spacing w:before="90"/>
        <w:textAlignment w:val="top"/>
      </w:pPr>
      <w:r>
        <w:rPr>
          <w:rFonts w:ascii="Arial" w:eastAsia="宋体" w:hAnsi="Arial" w:cs="Arial"/>
          <w:b/>
          <w:bCs/>
          <w:color w:val="000000"/>
          <w:sz w:val="20"/>
          <w:szCs w:val="20"/>
        </w:rPr>
        <w:t>Strategic Risks</w:t>
      </w:r>
    </w:p>
    <w:p w14:paraId="74DD601B" w14:textId="77777777" w:rsidR="00584EC1" w:rsidRDefault="00871F8D">
      <w:pPr>
        <w:spacing w:before="40"/>
        <w:ind w:hanging="360"/>
        <w:jc w:val="both"/>
        <w:textAlignment w:val="top"/>
      </w:pPr>
      <w:r>
        <w:rPr>
          <w:rFonts w:ascii="Arial" w:eastAsia="宋体" w:hAnsi="Arial" w:cs="Arial"/>
          <w:color w:val="000000"/>
          <w:sz w:val="20"/>
          <w:szCs w:val="20"/>
        </w:rPr>
        <w:t>•The possibility that some or all of the anticipated business, financial, capital, staffing, operational or other benefits or synerg</w:t>
      </w:r>
      <w:r>
        <w:rPr>
          <w:rFonts w:ascii="Arial" w:eastAsia="宋体" w:hAnsi="Arial" w:cs="Arial"/>
          <w:color w:val="000000"/>
          <w:sz w:val="20"/>
          <w:szCs w:val="20"/>
        </w:rPr>
        <w:t>ies of the acquisition of the BBH Investor Services business will not be realized when expected or at all, including as a result of the impact of, additional costs or unanticipated negative synergies associated with, or problems arising from, the integrati</w:t>
      </w:r>
      <w:r>
        <w:rPr>
          <w:rFonts w:ascii="Arial" w:eastAsia="宋体" w:hAnsi="Arial" w:cs="Arial"/>
          <w:color w:val="000000"/>
          <w:sz w:val="20"/>
          <w:szCs w:val="20"/>
        </w:rPr>
        <w:t>on of the BBH Investor Services business (including challenges in transitioning clients, systems, technology or personnel), as a result of regulatory or operational challenges we may experience, as a result of disruptions from the transaction harming relat</w:t>
      </w:r>
      <w:r>
        <w:rPr>
          <w:rFonts w:ascii="Arial" w:eastAsia="宋体" w:hAnsi="Arial" w:cs="Arial"/>
          <w:color w:val="000000"/>
          <w:sz w:val="20"/>
          <w:szCs w:val="20"/>
        </w:rPr>
        <w:t>ionships (including those resulting from the announcement of the transaction) with our clients, employees or regulators, or as a result of the strength of the economy and competitive factors in the areas where we and the BBH Investor Services business do b</w:t>
      </w:r>
      <w:r>
        <w:rPr>
          <w:rFonts w:ascii="Arial" w:eastAsia="宋体" w:hAnsi="Arial" w:cs="Arial"/>
          <w:color w:val="000000"/>
          <w:sz w:val="20"/>
          <w:szCs w:val="20"/>
        </w:rPr>
        <w:t>usiness;</w:t>
      </w:r>
    </w:p>
    <w:p w14:paraId="74DD601C" w14:textId="77777777" w:rsidR="00584EC1" w:rsidRDefault="00871F8D">
      <w:pPr>
        <w:spacing w:before="40"/>
        <w:ind w:hanging="360"/>
        <w:jc w:val="both"/>
        <w:textAlignment w:val="top"/>
      </w:pPr>
      <w:r>
        <w:rPr>
          <w:rFonts w:ascii="Arial" w:eastAsia="宋体" w:hAnsi="Arial" w:cs="Arial"/>
          <w:color w:val="000000"/>
          <w:sz w:val="20"/>
          <w:szCs w:val="20"/>
        </w:rPr>
        <w:t>•The failure to obtain necessary regulatory approvals (and the risk that such approvals may result in the imposition of conditions that could adversely affect us or the expected benefits of the transaction, perhaps materially), to satisfy any of t</w:t>
      </w:r>
      <w:r>
        <w:rPr>
          <w:rFonts w:ascii="Arial" w:eastAsia="宋体" w:hAnsi="Arial" w:cs="Arial"/>
          <w:color w:val="000000"/>
          <w:sz w:val="20"/>
          <w:szCs w:val="20"/>
        </w:rPr>
        <w:t>he other conditions to the acquisition or at all, in each case, on a timely basis or at all; and, if delayed, the resulting effects, including in magnitude and timing of the expected financial benefits of the acquisition of the BBH Investor Services busine</w:t>
      </w:r>
      <w:r>
        <w:rPr>
          <w:rFonts w:ascii="Arial" w:eastAsia="宋体" w:hAnsi="Arial" w:cs="Arial"/>
          <w:color w:val="000000"/>
          <w:sz w:val="20"/>
          <w:szCs w:val="20"/>
        </w:rPr>
        <w:t>ss, of a delayed closing of the acquisition (which expected financial benefits are presented and determined assuming a closing date of December 31, 2021);</w:t>
      </w:r>
    </w:p>
    <w:p w14:paraId="74DD601D" w14:textId="77777777" w:rsidR="00584EC1" w:rsidRDefault="00871F8D">
      <w:pPr>
        <w:spacing w:before="40"/>
        <w:ind w:hanging="360"/>
        <w:jc w:val="both"/>
        <w:textAlignment w:val="top"/>
      </w:pPr>
      <w:r>
        <w:rPr>
          <w:rFonts w:ascii="Arial" w:eastAsia="宋体" w:hAnsi="Arial" w:cs="Arial"/>
          <w:color w:val="000000"/>
          <w:sz w:val="20"/>
          <w:szCs w:val="20"/>
        </w:rPr>
        <w:t>•The occurrence of any event, change or other circumstances that could give rise to the termination o</w:t>
      </w:r>
      <w:r>
        <w:rPr>
          <w:rFonts w:ascii="Arial" w:eastAsia="宋体" w:hAnsi="Arial" w:cs="Arial"/>
          <w:color w:val="000000"/>
          <w:sz w:val="20"/>
          <w:szCs w:val="20"/>
        </w:rPr>
        <w:t>f the definitive purchase agreement in respect of the acquisition of the BBH Investor Services business;</w:t>
      </w:r>
    </w:p>
    <w:p w14:paraId="74DD601E" w14:textId="77777777" w:rsidR="00584EC1" w:rsidRDefault="00871F8D">
      <w:pPr>
        <w:spacing w:before="40"/>
        <w:ind w:hanging="360"/>
        <w:jc w:val="both"/>
        <w:textAlignment w:val="top"/>
      </w:pPr>
      <w:r>
        <w:rPr>
          <w:rFonts w:ascii="Arial" w:eastAsia="宋体" w:hAnsi="Arial" w:cs="Arial"/>
          <w:color w:val="000000"/>
          <w:sz w:val="20"/>
          <w:szCs w:val="20"/>
        </w:rPr>
        <w:t>•Potential adverse changes in demand for the products and services of State Street and of the BBH Investor Services business;</w:t>
      </w:r>
    </w:p>
    <w:p w14:paraId="74DD601F" w14:textId="77777777" w:rsidR="00584EC1" w:rsidRDefault="00871F8D">
      <w:pPr>
        <w:spacing w:before="40"/>
        <w:ind w:hanging="360"/>
        <w:jc w:val="both"/>
        <w:textAlignment w:val="top"/>
      </w:pPr>
      <w:r>
        <w:rPr>
          <w:rFonts w:ascii="Arial" w:eastAsia="宋体" w:hAnsi="Arial" w:cs="Arial"/>
          <w:color w:val="000000"/>
          <w:sz w:val="20"/>
          <w:szCs w:val="20"/>
        </w:rPr>
        <w:t>•We are subject to intens</w:t>
      </w:r>
      <w:r>
        <w:rPr>
          <w:rFonts w:ascii="Arial" w:eastAsia="宋体" w:hAnsi="Arial" w:cs="Arial"/>
          <w:color w:val="000000"/>
          <w:sz w:val="20"/>
          <w:szCs w:val="20"/>
        </w:rPr>
        <w:t>e competition, which could negatively affect our profitability;</w:t>
      </w:r>
    </w:p>
    <w:p w14:paraId="74DD6020" w14:textId="77777777" w:rsidR="00584EC1" w:rsidRDefault="00871F8D">
      <w:pPr>
        <w:ind w:firstLine="450"/>
        <w:jc w:val="right"/>
      </w:pPr>
      <w:r>
        <w:rPr>
          <w:rFonts w:ascii="Arial" w:eastAsia="宋体" w:hAnsi="Arial" w:cs="Arial"/>
          <w:color w:val="000000"/>
          <w:sz w:val="18"/>
          <w:szCs w:val="18"/>
        </w:rPr>
        <w:t>State Street Corporation | 5</w:t>
      </w:r>
    </w:p>
    <w:p w14:paraId="74DD6021" w14:textId="77777777" w:rsidR="00584EC1" w:rsidRDefault="00584EC1">
      <w:pPr>
        <w:ind w:firstLine="450"/>
        <w:jc w:val="center"/>
      </w:pPr>
    </w:p>
    <w:p w14:paraId="74DD6022" w14:textId="77777777" w:rsidR="00584EC1" w:rsidRDefault="00871F8D">
      <w:r>
        <w:pict w14:anchorId="74DE29F3">
          <v:rect id="_x0000_i1029" style="width:415.3pt;height:1.5pt" o:hralign="center" o:hrstd="t" o:hr="t" fillcolor="#a0a0a0" stroked="f"/>
        </w:pict>
      </w:r>
    </w:p>
    <w:p w14:paraId="74DD6023" w14:textId="77777777" w:rsidR="00584EC1" w:rsidRDefault="00871F8D">
      <w:pPr>
        <w:ind w:firstLine="450"/>
        <w:jc w:val="center"/>
      </w:pPr>
      <w:r>
        <w:rPr>
          <w:rFonts w:ascii="Arial" w:eastAsia="宋体" w:hAnsi="Arial" w:cs="Arial"/>
          <w:b/>
          <w:bCs/>
          <w:color w:val="000000"/>
          <w:sz w:val="20"/>
          <w:szCs w:val="20"/>
        </w:rPr>
        <w:t>MANAGEMENT’S DISCUSSION AND ANALYSIS OF FINANCIAL CONDITION</w:t>
      </w:r>
    </w:p>
    <w:p w14:paraId="74DD6024" w14:textId="77777777" w:rsidR="00584EC1" w:rsidRDefault="00871F8D">
      <w:pPr>
        <w:ind w:firstLine="450"/>
        <w:jc w:val="center"/>
      </w:pPr>
      <w:r>
        <w:rPr>
          <w:rFonts w:ascii="Arial" w:eastAsia="宋体" w:hAnsi="Arial" w:cs="Arial"/>
          <w:b/>
          <w:bCs/>
          <w:color w:val="000000"/>
          <w:sz w:val="20"/>
          <w:szCs w:val="20"/>
        </w:rPr>
        <w:t>AND RESULTS OF OPERATIONS</w:t>
      </w:r>
    </w:p>
    <w:p w14:paraId="74DD6025" w14:textId="77777777" w:rsidR="00584EC1" w:rsidRDefault="00871F8D">
      <w:pPr>
        <w:spacing w:before="40"/>
        <w:ind w:hanging="360"/>
        <w:textAlignment w:val="top"/>
      </w:pPr>
      <w:r>
        <w:rPr>
          <w:rFonts w:ascii="Arial" w:eastAsia="宋体" w:hAnsi="Arial" w:cs="Arial"/>
          <w:color w:val="000000"/>
          <w:sz w:val="20"/>
          <w:szCs w:val="20"/>
        </w:rPr>
        <w:t>•We are subject to significant pricing pressure and variability in our fin</w:t>
      </w:r>
      <w:r>
        <w:rPr>
          <w:rFonts w:ascii="Arial" w:eastAsia="宋体" w:hAnsi="Arial" w:cs="Arial"/>
          <w:color w:val="000000"/>
          <w:sz w:val="20"/>
          <w:szCs w:val="20"/>
        </w:rPr>
        <w:t>ancial results and our AUC/A and AUM;</w:t>
      </w:r>
    </w:p>
    <w:p w14:paraId="74DD6026" w14:textId="77777777" w:rsidR="00584EC1" w:rsidRDefault="00871F8D">
      <w:pPr>
        <w:spacing w:before="40"/>
        <w:ind w:hanging="360"/>
        <w:jc w:val="both"/>
        <w:textAlignment w:val="top"/>
      </w:pPr>
      <w:r>
        <w:rPr>
          <w:rFonts w:ascii="Arial" w:eastAsia="宋体" w:hAnsi="Arial" w:cs="Arial"/>
          <w:color w:val="000000"/>
          <w:sz w:val="20"/>
          <w:szCs w:val="20"/>
        </w:rPr>
        <w:t xml:space="preserve">•Our development and completion of new products and services, including State Street Alpha and State Street Digital, and our enhancement of the capabilities of our existing products and services in light of </w:t>
      </w:r>
      <w:r>
        <w:rPr>
          <w:rFonts w:ascii="Arial" w:eastAsia="宋体" w:hAnsi="Arial" w:cs="Arial"/>
          <w:color w:val="000000"/>
          <w:sz w:val="20"/>
          <w:szCs w:val="20"/>
        </w:rPr>
        <w:t>changed client needs and competitive pressures, may involve costs and dependencies and expose us to increased risk;</w:t>
      </w:r>
    </w:p>
    <w:p w14:paraId="74DD6027" w14:textId="77777777" w:rsidR="00584EC1" w:rsidRDefault="00871F8D">
      <w:pPr>
        <w:spacing w:before="40"/>
        <w:ind w:hanging="360"/>
        <w:jc w:val="both"/>
        <w:textAlignment w:val="top"/>
      </w:pPr>
      <w:r>
        <w:rPr>
          <w:rFonts w:ascii="Arial" w:eastAsia="宋体" w:hAnsi="Arial" w:cs="Arial"/>
          <w:color w:val="000000"/>
          <w:sz w:val="20"/>
          <w:szCs w:val="20"/>
        </w:rPr>
        <w:t xml:space="preserve">•Our business may be negatively affected by our failure to update and maintain our technology infrastructure; </w:t>
      </w:r>
    </w:p>
    <w:p w14:paraId="74DD6028" w14:textId="77777777" w:rsidR="00584EC1" w:rsidRDefault="00871F8D">
      <w:pPr>
        <w:spacing w:before="40"/>
        <w:ind w:hanging="360"/>
        <w:jc w:val="both"/>
        <w:textAlignment w:val="top"/>
      </w:pPr>
      <w:r>
        <w:rPr>
          <w:rFonts w:ascii="Arial" w:eastAsia="宋体" w:hAnsi="Arial" w:cs="Arial"/>
          <w:color w:val="000000"/>
          <w:sz w:val="20"/>
          <w:szCs w:val="20"/>
        </w:rPr>
        <w:t>•Acquisitions, strategic alli</w:t>
      </w:r>
      <w:r>
        <w:rPr>
          <w:rFonts w:ascii="Arial" w:eastAsia="宋体" w:hAnsi="Arial" w:cs="Arial"/>
          <w:color w:val="000000"/>
          <w:sz w:val="20"/>
          <w:szCs w:val="20"/>
        </w:rPr>
        <w:t xml:space="preserve">ances, joint ventures and divestitures, and the integration, retention and development of the benefits of our acquisitions, pose risks for our business; </w:t>
      </w:r>
    </w:p>
    <w:p w14:paraId="74DD6029" w14:textId="77777777" w:rsidR="00584EC1" w:rsidRDefault="00871F8D">
      <w:pPr>
        <w:spacing w:before="40"/>
        <w:ind w:hanging="360"/>
        <w:jc w:val="both"/>
        <w:textAlignment w:val="top"/>
      </w:pPr>
      <w:r>
        <w:rPr>
          <w:rFonts w:ascii="Arial" w:eastAsia="宋体" w:hAnsi="Arial" w:cs="Arial"/>
          <w:color w:val="000000"/>
          <w:sz w:val="20"/>
          <w:szCs w:val="20"/>
        </w:rPr>
        <w:t>•The COVID-19 pandemic continues to exacerbate certain risks and uncertainties for our business; and</w:t>
      </w:r>
    </w:p>
    <w:p w14:paraId="74DD602A" w14:textId="77777777" w:rsidR="00584EC1" w:rsidRDefault="00871F8D">
      <w:pPr>
        <w:spacing w:before="4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Competition for qualified members of our workforce is intense, and we may not be able to attract and retain the highly skilled people we need to support our business.</w:t>
      </w:r>
    </w:p>
    <w:p w14:paraId="74DD602B" w14:textId="77777777" w:rsidR="00584EC1" w:rsidRDefault="00871F8D">
      <w:pPr>
        <w:spacing w:before="90"/>
        <w:textAlignment w:val="top"/>
      </w:pPr>
      <w:r>
        <w:rPr>
          <w:rFonts w:ascii="Arial" w:eastAsia="宋体" w:hAnsi="Arial" w:cs="Arial"/>
          <w:b/>
          <w:bCs/>
          <w:color w:val="000000"/>
          <w:sz w:val="20"/>
          <w:szCs w:val="20"/>
        </w:rPr>
        <w:t>Financial Market Risks</w:t>
      </w:r>
    </w:p>
    <w:p w14:paraId="74DD602C" w14:textId="77777777" w:rsidR="00584EC1" w:rsidRDefault="00871F8D">
      <w:pPr>
        <w:spacing w:before="40"/>
        <w:ind w:hanging="360"/>
        <w:jc w:val="both"/>
        <w:textAlignment w:val="top"/>
      </w:pPr>
      <w:r>
        <w:rPr>
          <w:rFonts w:ascii="Arial" w:eastAsia="宋体" w:hAnsi="Arial" w:cs="Arial"/>
          <w:color w:val="000000"/>
          <w:sz w:val="20"/>
          <w:szCs w:val="20"/>
        </w:rPr>
        <w:t>•We could be adversely affected by geopolitical, economic and mark</w:t>
      </w:r>
      <w:r>
        <w:rPr>
          <w:rFonts w:ascii="Arial" w:eastAsia="宋体" w:hAnsi="Arial" w:cs="Arial"/>
          <w:color w:val="000000"/>
          <w:sz w:val="20"/>
          <w:szCs w:val="20"/>
        </w:rPr>
        <w:t>et conditions;</w:t>
      </w:r>
    </w:p>
    <w:p w14:paraId="74DD602D" w14:textId="77777777" w:rsidR="00584EC1" w:rsidRDefault="00871F8D">
      <w:pPr>
        <w:spacing w:before="40"/>
        <w:ind w:hanging="360"/>
        <w:jc w:val="both"/>
        <w:textAlignment w:val="top"/>
      </w:pPr>
      <w:r>
        <w:rPr>
          <w:rFonts w:ascii="Arial" w:eastAsia="宋体" w:hAnsi="Arial" w:cs="Arial"/>
          <w:color w:val="000000"/>
          <w:sz w:val="20"/>
          <w:szCs w:val="20"/>
        </w:rPr>
        <w:t xml:space="preserve">•We have significant International operations, and disruptions in European and Asian economies could have an adverse effect on our consolidated results of operations or financial condition; </w:t>
      </w:r>
    </w:p>
    <w:p w14:paraId="74DD602E" w14:textId="77777777" w:rsidR="00584EC1" w:rsidRDefault="00871F8D">
      <w:pPr>
        <w:spacing w:before="40"/>
        <w:ind w:hanging="360"/>
        <w:jc w:val="both"/>
        <w:textAlignment w:val="top"/>
      </w:pPr>
      <w:r>
        <w:rPr>
          <w:rFonts w:ascii="Arial" w:eastAsia="宋体" w:hAnsi="Arial" w:cs="Arial"/>
          <w:color w:val="000000"/>
          <w:sz w:val="20"/>
          <w:szCs w:val="20"/>
        </w:rPr>
        <w:t>•Our investment securities portfolio, consolidated</w:t>
      </w:r>
      <w:r>
        <w:rPr>
          <w:rFonts w:ascii="Arial" w:eastAsia="宋体" w:hAnsi="Arial" w:cs="Arial"/>
          <w:color w:val="000000"/>
          <w:sz w:val="20"/>
          <w:szCs w:val="20"/>
        </w:rPr>
        <w:t xml:space="preserve"> financial condition and consolidated results of operations could be adversely affected by changes in the financial markets;</w:t>
      </w:r>
    </w:p>
    <w:p w14:paraId="74DD602F" w14:textId="77777777" w:rsidR="00584EC1" w:rsidRDefault="00871F8D">
      <w:pPr>
        <w:spacing w:before="40"/>
        <w:ind w:hanging="360"/>
        <w:jc w:val="both"/>
        <w:textAlignment w:val="top"/>
      </w:pPr>
      <w:r>
        <w:rPr>
          <w:rFonts w:ascii="Arial" w:eastAsia="宋体" w:hAnsi="Arial" w:cs="Arial"/>
          <w:color w:val="000000"/>
          <w:sz w:val="20"/>
          <w:szCs w:val="20"/>
        </w:rPr>
        <w:t>•Our business activities expose us to interest rate risk;</w:t>
      </w:r>
    </w:p>
    <w:p w14:paraId="74DD6030" w14:textId="77777777" w:rsidR="00584EC1" w:rsidRDefault="00871F8D">
      <w:pPr>
        <w:spacing w:before="40"/>
        <w:ind w:hanging="360"/>
        <w:jc w:val="both"/>
        <w:textAlignment w:val="top"/>
      </w:pPr>
      <w:r>
        <w:rPr>
          <w:rFonts w:ascii="Arial" w:eastAsia="宋体" w:hAnsi="Arial" w:cs="Arial"/>
          <w:color w:val="000000"/>
          <w:sz w:val="20"/>
          <w:szCs w:val="20"/>
        </w:rPr>
        <w:t>•We assume significant credit risk to counterparties, who may also have s</w:t>
      </w:r>
      <w:r>
        <w:rPr>
          <w:rFonts w:ascii="Arial" w:eastAsia="宋体" w:hAnsi="Arial" w:cs="Arial"/>
          <w:color w:val="000000"/>
          <w:sz w:val="20"/>
          <w:szCs w:val="20"/>
        </w:rPr>
        <w:t xml:space="preserve">ubstantial financial dependencies with other financial institutions, and these credit exposures and concentrations could expose us to financial loss; </w:t>
      </w:r>
    </w:p>
    <w:p w14:paraId="74DD6031" w14:textId="77777777" w:rsidR="00584EC1" w:rsidRDefault="00871F8D">
      <w:pPr>
        <w:spacing w:before="40"/>
        <w:ind w:hanging="360"/>
        <w:jc w:val="both"/>
        <w:textAlignment w:val="top"/>
      </w:pPr>
      <w:r>
        <w:rPr>
          <w:rFonts w:ascii="Arial" w:eastAsia="宋体" w:hAnsi="Arial" w:cs="Arial"/>
          <w:color w:val="000000"/>
          <w:sz w:val="20"/>
          <w:szCs w:val="20"/>
        </w:rPr>
        <w:t>•Our fee revenue represents a significant portion of our consolidated revenue and is subject to decline b</w:t>
      </w:r>
      <w:r>
        <w:rPr>
          <w:rFonts w:ascii="Arial" w:eastAsia="宋体" w:hAnsi="Arial" w:cs="Arial"/>
          <w:color w:val="000000"/>
          <w:sz w:val="20"/>
          <w:szCs w:val="20"/>
        </w:rPr>
        <w:t>ased on, among other factors, the investment activities of our clients;</w:t>
      </w:r>
    </w:p>
    <w:p w14:paraId="74DD6032" w14:textId="77777777" w:rsidR="00584EC1" w:rsidRDefault="00871F8D">
      <w:pPr>
        <w:spacing w:before="40"/>
        <w:ind w:hanging="360"/>
        <w:jc w:val="both"/>
        <w:textAlignment w:val="top"/>
      </w:pPr>
      <w:r>
        <w:rPr>
          <w:rFonts w:ascii="Arial" w:eastAsia="宋体" w:hAnsi="Arial" w:cs="Arial"/>
          <w:color w:val="000000"/>
          <w:sz w:val="20"/>
          <w:szCs w:val="20"/>
        </w:rPr>
        <w:t>•If we are unable to effectively manage our capital and liquidity, our consolidated financial condition, capital ratios, results of operations and business prospects could be adversely</w:t>
      </w:r>
      <w:r>
        <w:rPr>
          <w:rFonts w:ascii="Arial" w:eastAsia="宋体" w:hAnsi="Arial" w:cs="Arial"/>
          <w:color w:val="000000"/>
          <w:sz w:val="20"/>
          <w:szCs w:val="20"/>
        </w:rPr>
        <w:t xml:space="preserve"> affected;</w:t>
      </w:r>
    </w:p>
    <w:p w14:paraId="74DD6033" w14:textId="77777777" w:rsidR="00584EC1" w:rsidRDefault="00871F8D">
      <w:pPr>
        <w:spacing w:before="40"/>
        <w:ind w:hanging="360"/>
        <w:jc w:val="both"/>
        <w:textAlignment w:val="top"/>
      </w:pPr>
      <w:r>
        <w:rPr>
          <w:rFonts w:ascii="Arial" w:eastAsia="宋体" w:hAnsi="Arial" w:cs="Arial"/>
          <w:color w:val="000000"/>
          <w:sz w:val="20"/>
          <w:szCs w:val="20"/>
        </w:rPr>
        <w:t>•We may need to raise additional capital or debt in the future, which may not be available to us or may only be available on unfavorable terms; and</w:t>
      </w:r>
    </w:p>
    <w:p w14:paraId="74DD6034" w14:textId="77777777" w:rsidR="00584EC1" w:rsidRDefault="00871F8D">
      <w:pPr>
        <w:spacing w:before="40"/>
        <w:ind w:hanging="360"/>
        <w:jc w:val="both"/>
        <w:textAlignment w:val="top"/>
      </w:pPr>
      <w:r>
        <w:rPr>
          <w:rFonts w:ascii="Arial" w:eastAsia="宋体" w:hAnsi="Arial" w:cs="Arial"/>
          <w:color w:val="000000"/>
          <w:sz w:val="20"/>
          <w:szCs w:val="20"/>
        </w:rPr>
        <w:t>•If we experience a downgrade in our credit ratings, or an actual or perceived reduction in our f</w:t>
      </w:r>
      <w:r>
        <w:rPr>
          <w:rFonts w:ascii="Arial" w:eastAsia="宋体" w:hAnsi="Arial" w:cs="Arial"/>
          <w:color w:val="000000"/>
          <w:sz w:val="20"/>
          <w:szCs w:val="20"/>
        </w:rPr>
        <w:t>inancial strength, our borrowing and capital costs, liquidity and reputation could be adversely affected.</w:t>
      </w:r>
    </w:p>
    <w:p w14:paraId="74DD6035" w14:textId="77777777" w:rsidR="00584EC1" w:rsidRDefault="00871F8D">
      <w:pPr>
        <w:spacing w:before="90"/>
        <w:textAlignment w:val="top"/>
      </w:pPr>
      <w:r>
        <w:rPr>
          <w:rFonts w:ascii="Arial" w:eastAsia="宋体" w:hAnsi="Arial" w:cs="Arial"/>
          <w:b/>
          <w:bCs/>
          <w:color w:val="000000"/>
          <w:sz w:val="20"/>
          <w:szCs w:val="20"/>
        </w:rPr>
        <w:t>Compliance and Regulatory Risks</w:t>
      </w:r>
    </w:p>
    <w:p w14:paraId="74DD6036" w14:textId="77777777" w:rsidR="00584EC1" w:rsidRDefault="00871F8D">
      <w:pPr>
        <w:spacing w:before="40"/>
        <w:ind w:hanging="360"/>
        <w:jc w:val="both"/>
        <w:textAlignment w:val="top"/>
      </w:pPr>
      <w:r>
        <w:rPr>
          <w:rFonts w:ascii="Arial" w:eastAsia="宋体" w:hAnsi="Arial" w:cs="Arial"/>
          <w:color w:val="000000"/>
          <w:sz w:val="20"/>
          <w:szCs w:val="20"/>
        </w:rPr>
        <w:t>•Our business and capital-related activities, including common share repurchases, may be adversely affected by capital</w:t>
      </w:r>
      <w:r>
        <w:rPr>
          <w:rFonts w:ascii="Arial" w:eastAsia="宋体" w:hAnsi="Arial" w:cs="Arial"/>
          <w:color w:val="000000"/>
          <w:sz w:val="20"/>
          <w:szCs w:val="20"/>
        </w:rPr>
        <w:t xml:space="preserve"> and liquidity standards required as a result of capital stress testing;</w:t>
      </w:r>
    </w:p>
    <w:p w14:paraId="74DD6037" w14:textId="77777777" w:rsidR="00584EC1" w:rsidRDefault="00871F8D">
      <w:pPr>
        <w:spacing w:before="40"/>
        <w:ind w:hanging="360"/>
        <w:jc w:val="both"/>
        <w:textAlignment w:val="top"/>
      </w:pPr>
      <w:r>
        <w:rPr>
          <w:rFonts w:ascii="Arial" w:eastAsia="宋体" w:hAnsi="Arial" w:cs="Arial"/>
          <w:color w:val="000000"/>
          <w:sz w:val="20"/>
          <w:szCs w:val="20"/>
        </w:rPr>
        <w:t>•We face extensive and changing government regulation in the jurisdictions in which we operate, which may increase our costs and compliance risks;</w:t>
      </w:r>
    </w:p>
    <w:p w14:paraId="74DD6038" w14:textId="77777777" w:rsidR="00584EC1" w:rsidRDefault="00871F8D">
      <w:pPr>
        <w:spacing w:before="40"/>
        <w:ind w:hanging="360"/>
        <w:jc w:val="both"/>
        <w:textAlignment w:val="top"/>
      </w:pPr>
      <w:r>
        <w:rPr>
          <w:rFonts w:ascii="Arial" w:eastAsia="宋体" w:hAnsi="Arial" w:cs="Arial"/>
          <w:color w:val="000000"/>
          <w:sz w:val="20"/>
          <w:szCs w:val="20"/>
        </w:rPr>
        <w:t>•We are subject to enhanced external</w:t>
      </w:r>
      <w:r>
        <w:rPr>
          <w:rFonts w:ascii="Arial" w:eastAsia="宋体" w:hAnsi="Arial" w:cs="Arial"/>
          <w:color w:val="000000"/>
          <w:sz w:val="20"/>
          <w:szCs w:val="20"/>
        </w:rPr>
        <w:t xml:space="preserve"> oversight as a result of the resolution of prior regulatory or governmental matters;</w:t>
      </w:r>
    </w:p>
    <w:p w14:paraId="74DD6039" w14:textId="77777777" w:rsidR="00584EC1" w:rsidRDefault="00871F8D">
      <w:pPr>
        <w:spacing w:before="40"/>
        <w:ind w:hanging="360"/>
        <w:jc w:val="both"/>
        <w:textAlignment w:val="top"/>
      </w:pPr>
      <w:r>
        <w:rPr>
          <w:rFonts w:ascii="Arial" w:eastAsia="宋体" w:hAnsi="Arial" w:cs="Arial"/>
          <w:color w:val="000000"/>
          <w:sz w:val="20"/>
          <w:szCs w:val="20"/>
        </w:rPr>
        <w:t>•Our businesses may be adversely affected by government enforcement and litigation;</w:t>
      </w:r>
    </w:p>
    <w:p w14:paraId="74DD603A" w14:textId="77777777" w:rsidR="00584EC1" w:rsidRDefault="00871F8D">
      <w:pPr>
        <w:spacing w:before="40"/>
        <w:ind w:hanging="360"/>
        <w:jc w:val="both"/>
        <w:textAlignment w:val="top"/>
      </w:pPr>
      <w:r>
        <w:rPr>
          <w:rFonts w:ascii="Arial" w:eastAsia="宋体" w:hAnsi="Arial" w:cs="Arial"/>
          <w:color w:val="000000"/>
          <w:sz w:val="20"/>
          <w:szCs w:val="20"/>
        </w:rPr>
        <w:t xml:space="preserve">•Any misappropriation of the confidential information we possess could have an adverse impact on our business and could subject us to regulatory actions, litigation and other adverse effects; </w:t>
      </w:r>
    </w:p>
    <w:p w14:paraId="74DD603B" w14:textId="77777777" w:rsidR="00584EC1" w:rsidRDefault="00871F8D">
      <w:pPr>
        <w:spacing w:before="40"/>
        <w:ind w:hanging="360"/>
        <w:jc w:val="both"/>
        <w:textAlignment w:val="top"/>
      </w:pPr>
      <w:r>
        <w:rPr>
          <w:rFonts w:ascii="Arial" w:eastAsia="宋体" w:hAnsi="Arial" w:cs="Arial"/>
          <w:color w:val="000000"/>
          <w:sz w:val="20"/>
          <w:szCs w:val="20"/>
        </w:rPr>
        <w:t>•Our calculations of risk exposures, total RWA and capital rati</w:t>
      </w:r>
      <w:r>
        <w:rPr>
          <w:rFonts w:ascii="Arial" w:eastAsia="宋体" w:hAnsi="Arial" w:cs="Arial"/>
          <w:color w:val="000000"/>
          <w:sz w:val="20"/>
          <w:szCs w:val="20"/>
        </w:rPr>
        <w:t>os depend on data inputs, formulae, models, correlations and assumptions that are subject to change, which could materially impact our risk exposures, our total RWA and our capital ratios from period to period;</w:t>
      </w:r>
    </w:p>
    <w:p w14:paraId="74DD603C" w14:textId="77777777" w:rsidR="00584EC1" w:rsidRDefault="00871F8D">
      <w:pPr>
        <w:spacing w:before="40"/>
        <w:ind w:hanging="360"/>
        <w:jc w:val="both"/>
        <w:textAlignment w:val="top"/>
      </w:pPr>
      <w:r>
        <w:rPr>
          <w:rFonts w:ascii="Arial" w:eastAsia="宋体" w:hAnsi="Arial" w:cs="Arial"/>
          <w:color w:val="000000"/>
          <w:sz w:val="20"/>
          <w:szCs w:val="20"/>
        </w:rPr>
        <w:t>•Changes in accounting standards may adversel</w:t>
      </w:r>
      <w:r>
        <w:rPr>
          <w:rFonts w:ascii="Arial" w:eastAsia="宋体" w:hAnsi="Arial" w:cs="Arial"/>
          <w:color w:val="000000"/>
          <w:sz w:val="20"/>
          <w:szCs w:val="20"/>
        </w:rPr>
        <w:t xml:space="preserve">y affect our consolidated financial statements; </w:t>
      </w:r>
    </w:p>
    <w:p w14:paraId="74DD603D" w14:textId="77777777" w:rsidR="00584EC1" w:rsidRDefault="00871F8D">
      <w:pPr>
        <w:spacing w:before="40"/>
        <w:ind w:hanging="360"/>
        <w:jc w:val="both"/>
        <w:textAlignment w:val="top"/>
      </w:pPr>
      <w:r>
        <w:rPr>
          <w:rFonts w:ascii="Arial" w:eastAsia="宋体" w:hAnsi="Arial" w:cs="Arial"/>
          <w:color w:val="000000"/>
          <w:sz w:val="20"/>
          <w:szCs w:val="20"/>
        </w:rPr>
        <w:t>•Changes in tax laws, rules or regulations, challenges to our tax positions and changes in the composition of our pre-tax earnings may increase our effective tax rate; and</w:t>
      </w:r>
    </w:p>
    <w:p w14:paraId="74DD603E" w14:textId="77777777" w:rsidR="00584EC1" w:rsidRDefault="00871F8D">
      <w:pPr>
        <w:spacing w:before="40"/>
        <w:ind w:hanging="360"/>
        <w:jc w:val="both"/>
        <w:textAlignment w:val="top"/>
      </w:pPr>
      <w:r>
        <w:rPr>
          <w:rFonts w:ascii="Arial" w:eastAsia="宋体" w:hAnsi="Arial" w:cs="Arial"/>
          <w:color w:val="000000"/>
          <w:sz w:val="20"/>
          <w:szCs w:val="20"/>
        </w:rPr>
        <w:t>•The transition away from LIBOR may</w:t>
      </w:r>
      <w:r>
        <w:rPr>
          <w:rFonts w:ascii="Arial" w:eastAsia="宋体" w:hAnsi="Arial" w:cs="Arial"/>
          <w:color w:val="000000"/>
          <w:sz w:val="20"/>
          <w:szCs w:val="20"/>
        </w:rPr>
        <w:t xml:space="preserve"> result in additional costs and increased risk exposure.</w:t>
      </w:r>
    </w:p>
    <w:p w14:paraId="74DD603F" w14:textId="77777777" w:rsidR="00584EC1" w:rsidRDefault="00871F8D">
      <w:pPr>
        <w:spacing w:before="90"/>
        <w:textAlignment w:val="top"/>
      </w:pPr>
      <w:r>
        <w:rPr>
          <w:rFonts w:ascii="Arial" w:eastAsia="宋体" w:hAnsi="Arial" w:cs="Arial"/>
          <w:b/>
          <w:bCs/>
          <w:color w:val="000000"/>
          <w:sz w:val="20"/>
          <w:szCs w:val="20"/>
        </w:rPr>
        <w:t>Operational Risks</w:t>
      </w:r>
    </w:p>
    <w:p w14:paraId="74DD6040" w14:textId="77777777" w:rsidR="00584EC1" w:rsidRDefault="00871F8D">
      <w:pPr>
        <w:spacing w:before="40"/>
        <w:ind w:hanging="360"/>
        <w:jc w:val="both"/>
        <w:textAlignment w:val="top"/>
      </w:pPr>
      <w:r>
        <w:rPr>
          <w:rFonts w:ascii="Arial" w:eastAsia="宋体" w:hAnsi="Arial" w:cs="Arial"/>
          <w:color w:val="000000"/>
          <w:sz w:val="20"/>
          <w:szCs w:val="20"/>
        </w:rPr>
        <w:t>•Our control environment may be inadequate, fail or be circumvented, and, if so, operational risks could adversely affect our consolidated results of operations;</w:t>
      </w:r>
    </w:p>
    <w:p w14:paraId="74DD6041" w14:textId="77777777" w:rsidR="00584EC1" w:rsidRDefault="00871F8D">
      <w:pPr>
        <w:spacing w:before="40"/>
        <w:ind w:hanging="360"/>
        <w:jc w:val="both"/>
        <w:textAlignment w:val="top"/>
      </w:pPr>
      <w:r>
        <w:rPr>
          <w:rFonts w:ascii="Arial" w:eastAsia="宋体" w:hAnsi="Arial" w:cs="Arial"/>
          <w:color w:val="000000"/>
          <w:sz w:val="20"/>
          <w:szCs w:val="20"/>
        </w:rPr>
        <w:t xml:space="preserve">•Cost </w:t>
      </w:r>
      <w:r>
        <w:rPr>
          <w:rFonts w:ascii="Arial" w:eastAsia="宋体" w:hAnsi="Arial" w:cs="Arial"/>
          <w:color w:val="000000"/>
          <w:sz w:val="20"/>
          <w:szCs w:val="20"/>
        </w:rPr>
        <w:t>shifting to non-U.S. jurisdictions and outsourcing may expose us to increased operational risk and reputational harm and may not result in expected cost savings;</w:t>
      </w:r>
    </w:p>
    <w:p w14:paraId="74DD6042" w14:textId="77777777" w:rsidR="00584EC1" w:rsidRDefault="00871F8D">
      <w:pPr>
        <w:spacing w:before="40"/>
        <w:ind w:hanging="360"/>
        <w:jc w:val="both"/>
        <w:textAlignment w:val="top"/>
      </w:pPr>
      <w:r>
        <w:rPr>
          <w:rFonts w:ascii="Arial" w:eastAsia="宋体" w:hAnsi="Arial" w:cs="Arial"/>
          <w:color w:val="000000"/>
          <w:sz w:val="20"/>
          <w:szCs w:val="20"/>
        </w:rPr>
        <w:t xml:space="preserve">•Attacks or unauthorized access to our information technology systems or facilities, or those </w:t>
      </w:r>
      <w:r>
        <w:rPr>
          <w:rFonts w:ascii="Arial" w:eastAsia="宋体" w:hAnsi="Arial" w:cs="Arial"/>
          <w:color w:val="000000"/>
          <w:sz w:val="20"/>
          <w:szCs w:val="20"/>
        </w:rPr>
        <w:t xml:space="preserve">of the third parties with which we do </w:t>
      </w:r>
    </w:p>
    <w:p w14:paraId="74DD6043" w14:textId="77777777" w:rsidR="00584EC1" w:rsidRDefault="00871F8D">
      <w:pPr>
        <w:ind w:firstLine="450"/>
        <w:jc w:val="right"/>
      </w:pPr>
      <w:r>
        <w:rPr>
          <w:rFonts w:ascii="Arial" w:eastAsia="宋体" w:hAnsi="Arial" w:cs="Arial"/>
          <w:color w:val="000000"/>
          <w:sz w:val="18"/>
          <w:szCs w:val="18"/>
        </w:rPr>
        <w:t>State Street Corporation | 6</w:t>
      </w:r>
    </w:p>
    <w:p w14:paraId="74DD6044" w14:textId="77777777" w:rsidR="00584EC1" w:rsidRDefault="00584EC1">
      <w:pPr>
        <w:ind w:firstLine="450"/>
        <w:jc w:val="center"/>
      </w:pPr>
    </w:p>
    <w:p w14:paraId="74DD6045" w14:textId="77777777" w:rsidR="00584EC1" w:rsidRDefault="00871F8D">
      <w:r>
        <w:pict w14:anchorId="74DE29F4">
          <v:rect id="_x0000_i1030" style="width:415.3pt;height:1.5pt" o:hralign="center" o:hrstd="t" o:hr="t" fillcolor="#a0a0a0" stroked="f"/>
        </w:pict>
      </w:r>
    </w:p>
    <w:p w14:paraId="74DD6046" w14:textId="77777777" w:rsidR="00584EC1" w:rsidRDefault="00871F8D">
      <w:pPr>
        <w:ind w:firstLine="450"/>
        <w:jc w:val="center"/>
      </w:pPr>
      <w:r>
        <w:rPr>
          <w:rFonts w:ascii="Arial" w:eastAsia="宋体" w:hAnsi="Arial" w:cs="Arial"/>
          <w:b/>
          <w:bCs/>
          <w:color w:val="000000"/>
          <w:sz w:val="20"/>
          <w:szCs w:val="20"/>
        </w:rPr>
        <w:t>MANAGEMENT’S DISCUSSION AND ANALYSIS OF FINANCIAL CONDITION</w:t>
      </w:r>
    </w:p>
    <w:p w14:paraId="74DD6047" w14:textId="77777777" w:rsidR="00584EC1" w:rsidRDefault="00871F8D">
      <w:pPr>
        <w:ind w:firstLine="450"/>
        <w:jc w:val="center"/>
      </w:pPr>
      <w:r>
        <w:rPr>
          <w:rFonts w:ascii="Arial" w:eastAsia="宋体" w:hAnsi="Arial" w:cs="Arial"/>
          <w:b/>
          <w:bCs/>
          <w:color w:val="000000"/>
          <w:sz w:val="20"/>
          <w:szCs w:val="20"/>
        </w:rPr>
        <w:t>AND RESULTS OF OPERATIONS</w:t>
      </w:r>
    </w:p>
    <w:p w14:paraId="74DD6048" w14:textId="77777777" w:rsidR="00584EC1" w:rsidRDefault="00871F8D">
      <w:pPr>
        <w:spacing w:before="40"/>
        <w:jc w:val="both"/>
        <w:textAlignment w:val="top"/>
      </w:pPr>
      <w:r>
        <w:rPr>
          <w:rFonts w:ascii="Arial" w:eastAsia="宋体" w:hAnsi="Arial" w:cs="Arial"/>
          <w:color w:val="000000"/>
          <w:sz w:val="20"/>
          <w:szCs w:val="20"/>
        </w:rPr>
        <w:t xml:space="preserve">business, or disruptions to our or their continuous operations, could result in significant costs, </w:t>
      </w:r>
      <w:r>
        <w:rPr>
          <w:rFonts w:ascii="Arial" w:eastAsia="宋体" w:hAnsi="Arial" w:cs="Arial"/>
          <w:color w:val="000000"/>
          <w:sz w:val="20"/>
          <w:szCs w:val="20"/>
        </w:rPr>
        <w:t xml:space="preserve">reputational damage and impacts on our business activities; </w:t>
      </w:r>
    </w:p>
    <w:p w14:paraId="74DD6049" w14:textId="77777777" w:rsidR="00584EC1" w:rsidRDefault="00871F8D">
      <w:pPr>
        <w:spacing w:before="40"/>
        <w:ind w:hanging="360"/>
        <w:jc w:val="both"/>
        <w:textAlignment w:val="top"/>
      </w:pPr>
      <w:r>
        <w:rPr>
          <w:rFonts w:ascii="Arial" w:eastAsia="宋体" w:hAnsi="Arial" w:cs="Arial"/>
          <w:color w:val="000000"/>
          <w:sz w:val="20"/>
          <w:szCs w:val="20"/>
        </w:rPr>
        <w:t>•Long-term contracts expose us to pricing and performance risk;</w:t>
      </w:r>
    </w:p>
    <w:p w14:paraId="74DD604A" w14:textId="77777777" w:rsidR="00584EC1" w:rsidRDefault="00871F8D">
      <w:pPr>
        <w:spacing w:before="40"/>
        <w:ind w:hanging="360"/>
        <w:jc w:val="both"/>
        <w:textAlignment w:val="top"/>
      </w:pPr>
      <w:r>
        <w:rPr>
          <w:rFonts w:ascii="Arial" w:eastAsia="宋体" w:hAnsi="Arial" w:cs="Arial"/>
          <w:color w:val="000000"/>
          <w:sz w:val="20"/>
          <w:szCs w:val="20"/>
        </w:rPr>
        <w:t>•Our businesses may be negatively affected by adverse publicity or other reputational harm;</w:t>
      </w:r>
    </w:p>
    <w:p w14:paraId="74DD604B" w14:textId="77777777" w:rsidR="00584EC1" w:rsidRDefault="00871F8D">
      <w:pPr>
        <w:spacing w:before="40"/>
        <w:ind w:hanging="360"/>
        <w:jc w:val="both"/>
        <w:textAlignment w:val="top"/>
      </w:pPr>
      <w:r>
        <w:rPr>
          <w:rFonts w:ascii="Arial" w:eastAsia="宋体" w:hAnsi="Arial" w:cs="Arial"/>
          <w:color w:val="000000"/>
          <w:sz w:val="20"/>
          <w:szCs w:val="20"/>
        </w:rPr>
        <w:t>•We may not be able to protect our inte</w:t>
      </w:r>
      <w:r>
        <w:rPr>
          <w:rFonts w:ascii="Arial" w:eastAsia="宋体" w:hAnsi="Arial" w:cs="Arial"/>
          <w:color w:val="000000"/>
          <w:sz w:val="20"/>
          <w:szCs w:val="20"/>
        </w:rPr>
        <w:t>llectual property;</w:t>
      </w:r>
    </w:p>
    <w:p w14:paraId="74DD604C" w14:textId="77777777" w:rsidR="00584EC1" w:rsidRDefault="00871F8D">
      <w:pPr>
        <w:spacing w:before="40"/>
        <w:ind w:hanging="360"/>
        <w:jc w:val="both"/>
        <w:textAlignment w:val="top"/>
      </w:pPr>
      <w:r>
        <w:rPr>
          <w:rFonts w:ascii="Arial" w:eastAsia="宋体" w:hAnsi="Arial" w:cs="Arial"/>
          <w:color w:val="000000"/>
          <w:sz w:val="20"/>
          <w:szCs w:val="20"/>
        </w:rPr>
        <w:t>•The quantitative models we use to manage our business may contain errors that could result in material harm;</w:t>
      </w:r>
    </w:p>
    <w:p w14:paraId="74DD604D" w14:textId="77777777" w:rsidR="00584EC1" w:rsidRDefault="00871F8D">
      <w:pPr>
        <w:spacing w:before="40"/>
        <w:ind w:hanging="360"/>
        <w:jc w:val="both"/>
        <w:textAlignment w:val="top"/>
      </w:pPr>
      <w:r>
        <w:rPr>
          <w:rFonts w:ascii="Arial" w:eastAsia="宋体" w:hAnsi="Arial" w:cs="Arial"/>
          <w:color w:val="000000"/>
          <w:sz w:val="20"/>
          <w:szCs w:val="20"/>
        </w:rPr>
        <w:t>•Our reputation and business prospects may be damaged if our clients incur substantial losses or are restricted in redeeming th</w:t>
      </w:r>
      <w:r>
        <w:rPr>
          <w:rFonts w:ascii="Arial" w:eastAsia="宋体" w:hAnsi="Arial" w:cs="Arial"/>
          <w:color w:val="000000"/>
          <w:sz w:val="20"/>
          <w:szCs w:val="20"/>
        </w:rPr>
        <w:t>eir interests in investment pools that we sponsor or manage;</w:t>
      </w:r>
    </w:p>
    <w:p w14:paraId="74DD604E" w14:textId="77777777" w:rsidR="00584EC1" w:rsidRDefault="00871F8D">
      <w:pPr>
        <w:spacing w:before="40"/>
        <w:ind w:hanging="360"/>
        <w:jc w:val="both"/>
        <w:textAlignment w:val="top"/>
      </w:pPr>
      <w:r>
        <w:rPr>
          <w:rFonts w:ascii="Arial" w:eastAsia="宋体" w:hAnsi="Arial" w:cs="Arial"/>
          <w:color w:val="000000"/>
          <w:sz w:val="20"/>
          <w:szCs w:val="20"/>
        </w:rPr>
        <w:t>•The impacts of climate change could adversely affect our business operations; and</w:t>
      </w:r>
    </w:p>
    <w:p w14:paraId="74DD604F" w14:textId="77777777" w:rsidR="00584EC1" w:rsidRDefault="00871F8D">
      <w:pPr>
        <w:spacing w:before="40"/>
        <w:ind w:hanging="360"/>
        <w:jc w:val="both"/>
        <w:textAlignment w:val="top"/>
      </w:pPr>
      <w:r>
        <w:rPr>
          <w:rFonts w:ascii="Arial" w:eastAsia="宋体" w:hAnsi="Arial" w:cs="Arial"/>
          <w:color w:val="000000"/>
          <w:sz w:val="20"/>
          <w:szCs w:val="20"/>
        </w:rPr>
        <w:t>•We may incur losses as a result of unforeseen events, including terrorist attacks, natural disasters, the emerg</w:t>
      </w:r>
      <w:r>
        <w:rPr>
          <w:rFonts w:ascii="Arial" w:eastAsia="宋体" w:hAnsi="Arial" w:cs="Arial"/>
          <w:color w:val="000000"/>
          <w:sz w:val="20"/>
          <w:szCs w:val="20"/>
        </w:rPr>
        <w:t>ence of a new pandemic or acts of embezzlement.</w:t>
      </w:r>
    </w:p>
    <w:p w14:paraId="74DD6050" w14:textId="77777777" w:rsidR="00584EC1" w:rsidRDefault="00871F8D">
      <w:pPr>
        <w:spacing w:before="60"/>
        <w:ind w:firstLine="450"/>
        <w:jc w:val="both"/>
        <w:textAlignment w:val="top"/>
      </w:pPr>
      <w:r>
        <w:rPr>
          <w:rFonts w:ascii="Arial" w:eastAsia="宋体" w:hAnsi="Arial" w:cs="Arial"/>
          <w:color w:val="000000"/>
          <w:sz w:val="20"/>
          <w:szCs w:val="20"/>
        </w:rPr>
        <w:t xml:space="preserve">Actual outcomes and results may differ materially from what is expressed in our forward-looking statements and from our historical financial results due to the factors discussed in this section and elsewhere </w:t>
      </w:r>
      <w:r>
        <w:rPr>
          <w:rFonts w:ascii="Arial" w:eastAsia="宋体" w:hAnsi="Arial" w:cs="Arial"/>
          <w:color w:val="000000"/>
          <w:sz w:val="20"/>
          <w:szCs w:val="20"/>
        </w:rPr>
        <w:t>in this Form 10-Q or disclosed in our other SEC filings. Forward-looking statements in this Form 10-Q should not be relied on as representing our expectations or assumptions as of any time subsequent to the time this Form 10-Q is filed with the SEC. We und</w:t>
      </w:r>
      <w:r>
        <w:rPr>
          <w:rFonts w:ascii="Arial" w:eastAsia="宋体" w:hAnsi="Arial" w:cs="Arial"/>
          <w:color w:val="000000"/>
          <w:sz w:val="20"/>
          <w:szCs w:val="20"/>
        </w:rPr>
        <w:t>ertake no obligation to revise our forward-looking statements after the time they are made. The factors discussed herein are not intended to be a complete statement of all risks and uncertainties that may affect our businesses. We cannot anticipate all dev</w:t>
      </w:r>
      <w:r>
        <w:rPr>
          <w:rFonts w:ascii="Arial" w:eastAsia="宋体" w:hAnsi="Arial" w:cs="Arial"/>
          <w:color w:val="000000"/>
          <w:sz w:val="20"/>
          <w:szCs w:val="20"/>
        </w:rPr>
        <w:t xml:space="preserve">elopments that may adversely affect our business or operations or our consolidated results of operations, financial condition or cash flows. </w:t>
      </w:r>
    </w:p>
    <w:p w14:paraId="74DD6051" w14:textId="77777777" w:rsidR="00584EC1" w:rsidRDefault="00871F8D">
      <w:pPr>
        <w:spacing w:before="60"/>
        <w:ind w:firstLine="450"/>
        <w:jc w:val="both"/>
        <w:textAlignment w:val="top"/>
      </w:pPr>
      <w:r>
        <w:rPr>
          <w:rFonts w:ascii="Arial" w:eastAsia="宋体" w:hAnsi="Arial" w:cs="Arial"/>
          <w:color w:val="000000"/>
          <w:sz w:val="20"/>
          <w:szCs w:val="20"/>
        </w:rPr>
        <w:t>Forward-looking statements should not be viewed as predictions and should not be the primary basis on which invest</w:t>
      </w:r>
      <w:r>
        <w:rPr>
          <w:rFonts w:ascii="Arial" w:eastAsia="宋体" w:hAnsi="Arial" w:cs="Arial"/>
          <w:color w:val="000000"/>
          <w:sz w:val="20"/>
          <w:szCs w:val="20"/>
        </w:rPr>
        <w:t xml:space="preserve">ors evaluate State Street. Any investor in State Street should consider all risks and uncertainties disclosed in our SEC filings, including our filings under the Securities Exchange Act of 1934, in particular our annual reports on Form 10-K, our quarterly </w:t>
      </w:r>
      <w:r>
        <w:rPr>
          <w:rFonts w:ascii="Arial" w:eastAsia="宋体" w:hAnsi="Arial" w:cs="Arial"/>
          <w:color w:val="000000"/>
          <w:sz w:val="20"/>
          <w:szCs w:val="20"/>
        </w:rPr>
        <w:t xml:space="preserve">reports on Form 10-Q and our current reports on Form 8-K, and our registration statements filed under the Securities Act of 1933, all of which are accessible on the SEC's website at </w:t>
      </w:r>
      <w:r>
        <w:rPr>
          <w:rFonts w:ascii="Arial" w:eastAsia="宋体" w:hAnsi="Arial" w:cs="Arial"/>
          <w:i/>
          <w:iCs/>
          <w:color w:val="000000"/>
          <w:sz w:val="20"/>
          <w:szCs w:val="20"/>
        </w:rPr>
        <w:t xml:space="preserve">www.sec.gov </w:t>
      </w:r>
      <w:r>
        <w:rPr>
          <w:rFonts w:ascii="Arial" w:eastAsia="宋体" w:hAnsi="Arial" w:cs="Arial"/>
          <w:color w:val="000000"/>
          <w:sz w:val="20"/>
          <w:szCs w:val="20"/>
        </w:rPr>
        <w:t>or on the “Investor Relations” section of our corporate websit</w:t>
      </w:r>
      <w:r>
        <w:rPr>
          <w:rFonts w:ascii="Arial" w:eastAsia="宋体" w:hAnsi="Arial" w:cs="Arial"/>
          <w:color w:val="000000"/>
          <w:sz w:val="20"/>
          <w:szCs w:val="20"/>
        </w:rPr>
        <w:t xml:space="preserve">e at </w:t>
      </w:r>
      <w:r>
        <w:rPr>
          <w:rFonts w:ascii="Arial" w:eastAsia="宋体" w:hAnsi="Arial" w:cs="Arial"/>
          <w:i/>
          <w:iCs/>
          <w:color w:val="000000"/>
          <w:sz w:val="20"/>
          <w:szCs w:val="20"/>
        </w:rPr>
        <w:t>www.statestreet.com</w:t>
      </w:r>
      <w:r>
        <w:rPr>
          <w:rFonts w:ascii="Times New Roman" w:eastAsia="宋体" w:hAnsi="Times New Roman"/>
          <w:color w:val="000000"/>
          <w:sz w:val="20"/>
          <w:szCs w:val="20"/>
        </w:rPr>
        <w:t xml:space="preserve">. </w:t>
      </w:r>
    </w:p>
    <w:p w14:paraId="74DD6052" w14:textId="77777777" w:rsidR="00584EC1" w:rsidRDefault="00871F8D">
      <w:pPr>
        <w:spacing w:before="90"/>
        <w:jc w:val="both"/>
        <w:textAlignment w:val="top"/>
      </w:pPr>
      <w:r>
        <w:rPr>
          <w:rFonts w:ascii="Arial" w:eastAsia="宋体" w:hAnsi="Arial" w:cs="Arial"/>
          <w:b/>
          <w:bCs/>
          <w:color w:val="000000"/>
          <w:sz w:val="20"/>
          <w:szCs w:val="20"/>
        </w:rPr>
        <w:t>OVERVIEW OF FINANCIAL RESULTS</w:t>
      </w:r>
    </w:p>
    <w:tbl>
      <w:tblPr>
        <w:tblW w:w="5000" w:type="pct"/>
        <w:tblCellMar>
          <w:top w:w="15" w:type="dxa"/>
          <w:left w:w="15" w:type="dxa"/>
          <w:bottom w:w="15" w:type="dxa"/>
          <w:right w:w="15" w:type="dxa"/>
        </w:tblCellMar>
        <w:tblLook w:val="04A0" w:firstRow="1" w:lastRow="0" w:firstColumn="1" w:lastColumn="0" w:noHBand="0" w:noVBand="1"/>
      </w:tblPr>
      <w:tblGrid>
        <w:gridCol w:w="38"/>
        <w:gridCol w:w="4001"/>
        <w:gridCol w:w="37"/>
        <w:gridCol w:w="88"/>
        <w:gridCol w:w="956"/>
        <w:gridCol w:w="127"/>
        <w:gridCol w:w="37"/>
        <w:gridCol w:w="158"/>
        <w:gridCol w:w="36"/>
        <w:gridCol w:w="88"/>
        <w:gridCol w:w="957"/>
        <w:gridCol w:w="127"/>
        <w:gridCol w:w="36"/>
        <w:gridCol w:w="36"/>
        <w:gridCol w:w="36"/>
        <w:gridCol w:w="37"/>
        <w:gridCol w:w="874"/>
        <w:gridCol w:w="127"/>
        <w:gridCol w:w="36"/>
        <w:gridCol w:w="36"/>
        <w:gridCol w:w="36"/>
        <w:gridCol w:w="36"/>
        <w:gridCol w:w="36"/>
        <w:gridCol w:w="36"/>
        <w:gridCol w:w="36"/>
        <w:gridCol w:w="36"/>
        <w:gridCol w:w="36"/>
        <w:gridCol w:w="36"/>
        <w:gridCol w:w="36"/>
        <w:gridCol w:w="36"/>
        <w:gridCol w:w="36"/>
        <w:gridCol w:w="36"/>
        <w:gridCol w:w="36"/>
      </w:tblGrid>
      <w:tr w:rsidR="00584EC1" w14:paraId="74DD606A" w14:textId="77777777">
        <w:tc>
          <w:tcPr>
            <w:tcW w:w="50" w:type="pct"/>
            <w:shd w:val="clear" w:color="auto" w:fill="auto"/>
            <w:vAlign w:val="bottom"/>
          </w:tcPr>
          <w:p w14:paraId="74DD6053" w14:textId="77777777" w:rsidR="00584EC1" w:rsidRDefault="00584EC1">
            <w:pPr>
              <w:rPr>
                <w:rFonts w:ascii="宋体"/>
              </w:rPr>
            </w:pPr>
          </w:p>
        </w:tc>
        <w:tc>
          <w:tcPr>
            <w:tcW w:w="2649" w:type="pct"/>
            <w:shd w:val="clear" w:color="auto" w:fill="auto"/>
            <w:vAlign w:val="bottom"/>
          </w:tcPr>
          <w:p w14:paraId="74DD6054" w14:textId="77777777" w:rsidR="00584EC1" w:rsidRDefault="00584EC1">
            <w:pPr>
              <w:rPr>
                <w:rFonts w:ascii="宋体"/>
              </w:rPr>
            </w:pPr>
          </w:p>
        </w:tc>
        <w:tc>
          <w:tcPr>
            <w:tcW w:w="5" w:type="pct"/>
            <w:shd w:val="clear" w:color="auto" w:fill="auto"/>
            <w:vAlign w:val="bottom"/>
          </w:tcPr>
          <w:p w14:paraId="74DD6055" w14:textId="77777777" w:rsidR="00584EC1" w:rsidRDefault="00584EC1">
            <w:pPr>
              <w:rPr>
                <w:rFonts w:ascii="宋体"/>
              </w:rPr>
            </w:pPr>
          </w:p>
        </w:tc>
        <w:tc>
          <w:tcPr>
            <w:tcW w:w="50" w:type="pct"/>
            <w:shd w:val="clear" w:color="auto" w:fill="auto"/>
            <w:vAlign w:val="bottom"/>
          </w:tcPr>
          <w:p w14:paraId="74DD6056" w14:textId="77777777" w:rsidR="00584EC1" w:rsidRDefault="00584EC1">
            <w:pPr>
              <w:rPr>
                <w:rFonts w:ascii="宋体"/>
              </w:rPr>
            </w:pPr>
          </w:p>
        </w:tc>
        <w:tc>
          <w:tcPr>
            <w:tcW w:w="668" w:type="pct"/>
            <w:shd w:val="clear" w:color="auto" w:fill="auto"/>
            <w:vAlign w:val="bottom"/>
          </w:tcPr>
          <w:p w14:paraId="74DD6057" w14:textId="77777777" w:rsidR="00584EC1" w:rsidRDefault="00584EC1">
            <w:pPr>
              <w:rPr>
                <w:rFonts w:ascii="宋体"/>
              </w:rPr>
            </w:pPr>
          </w:p>
        </w:tc>
        <w:tc>
          <w:tcPr>
            <w:tcW w:w="5" w:type="pct"/>
            <w:shd w:val="clear" w:color="auto" w:fill="auto"/>
            <w:vAlign w:val="bottom"/>
          </w:tcPr>
          <w:p w14:paraId="74DD6058" w14:textId="77777777" w:rsidR="00584EC1" w:rsidRDefault="00584EC1">
            <w:pPr>
              <w:rPr>
                <w:rFonts w:ascii="宋体"/>
              </w:rPr>
            </w:pPr>
          </w:p>
        </w:tc>
        <w:tc>
          <w:tcPr>
            <w:tcW w:w="5" w:type="pct"/>
            <w:shd w:val="clear" w:color="auto" w:fill="auto"/>
            <w:vAlign w:val="bottom"/>
          </w:tcPr>
          <w:p w14:paraId="74DD6059" w14:textId="77777777" w:rsidR="00584EC1" w:rsidRDefault="00584EC1">
            <w:pPr>
              <w:rPr>
                <w:rFonts w:ascii="宋体"/>
              </w:rPr>
            </w:pPr>
          </w:p>
        </w:tc>
        <w:tc>
          <w:tcPr>
            <w:tcW w:w="52" w:type="pct"/>
            <w:shd w:val="clear" w:color="auto" w:fill="auto"/>
            <w:vAlign w:val="bottom"/>
          </w:tcPr>
          <w:p w14:paraId="74DD605A" w14:textId="77777777" w:rsidR="00584EC1" w:rsidRDefault="00584EC1">
            <w:pPr>
              <w:rPr>
                <w:rFonts w:ascii="宋体"/>
              </w:rPr>
            </w:pPr>
          </w:p>
        </w:tc>
        <w:tc>
          <w:tcPr>
            <w:tcW w:w="5" w:type="pct"/>
            <w:shd w:val="clear" w:color="auto" w:fill="auto"/>
            <w:vAlign w:val="bottom"/>
          </w:tcPr>
          <w:p w14:paraId="74DD605B" w14:textId="77777777" w:rsidR="00584EC1" w:rsidRDefault="00584EC1">
            <w:pPr>
              <w:rPr>
                <w:rFonts w:ascii="宋体"/>
              </w:rPr>
            </w:pPr>
          </w:p>
        </w:tc>
        <w:tc>
          <w:tcPr>
            <w:tcW w:w="50" w:type="pct"/>
            <w:shd w:val="clear" w:color="auto" w:fill="auto"/>
            <w:vAlign w:val="bottom"/>
          </w:tcPr>
          <w:p w14:paraId="74DD605C" w14:textId="77777777" w:rsidR="00584EC1" w:rsidRDefault="00584EC1">
            <w:pPr>
              <w:rPr>
                <w:rFonts w:ascii="宋体"/>
              </w:rPr>
            </w:pPr>
          </w:p>
        </w:tc>
        <w:tc>
          <w:tcPr>
            <w:tcW w:w="668" w:type="pct"/>
            <w:shd w:val="clear" w:color="auto" w:fill="auto"/>
            <w:vAlign w:val="bottom"/>
          </w:tcPr>
          <w:p w14:paraId="74DD605D" w14:textId="77777777" w:rsidR="00584EC1" w:rsidRDefault="00584EC1">
            <w:pPr>
              <w:rPr>
                <w:rFonts w:ascii="宋体"/>
              </w:rPr>
            </w:pPr>
          </w:p>
        </w:tc>
        <w:tc>
          <w:tcPr>
            <w:tcW w:w="5" w:type="pct"/>
            <w:shd w:val="clear" w:color="auto" w:fill="auto"/>
            <w:vAlign w:val="bottom"/>
          </w:tcPr>
          <w:p w14:paraId="74DD605E" w14:textId="77777777" w:rsidR="00584EC1" w:rsidRDefault="00584EC1">
            <w:pPr>
              <w:rPr>
                <w:rFonts w:ascii="宋体"/>
              </w:rPr>
            </w:pPr>
          </w:p>
        </w:tc>
        <w:tc>
          <w:tcPr>
            <w:tcW w:w="5" w:type="pct"/>
            <w:shd w:val="clear" w:color="auto" w:fill="auto"/>
            <w:vAlign w:val="bottom"/>
          </w:tcPr>
          <w:p w14:paraId="74DD605F" w14:textId="77777777" w:rsidR="00584EC1" w:rsidRDefault="00584EC1">
            <w:pPr>
              <w:rPr>
                <w:rFonts w:ascii="宋体"/>
              </w:rPr>
            </w:pPr>
          </w:p>
        </w:tc>
        <w:tc>
          <w:tcPr>
            <w:tcW w:w="52" w:type="pct"/>
            <w:shd w:val="clear" w:color="auto" w:fill="auto"/>
            <w:vAlign w:val="bottom"/>
          </w:tcPr>
          <w:p w14:paraId="74DD6060" w14:textId="77777777" w:rsidR="00584EC1" w:rsidRDefault="00584EC1">
            <w:pPr>
              <w:rPr>
                <w:rFonts w:ascii="宋体"/>
              </w:rPr>
            </w:pPr>
          </w:p>
        </w:tc>
        <w:tc>
          <w:tcPr>
            <w:tcW w:w="5" w:type="pct"/>
            <w:shd w:val="clear" w:color="auto" w:fill="auto"/>
            <w:vAlign w:val="bottom"/>
          </w:tcPr>
          <w:p w14:paraId="74DD6061" w14:textId="77777777" w:rsidR="00584EC1" w:rsidRDefault="00584EC1">
            <w:pPr>
              <w:rPr>
                <w:rFonts w:ascii="宋体"/>
              </w:rPr>
            </w:pPr>
          </w:p>
        </w:tc>
        <w:tc>
          <w:tcPr>
            <w:tcW w:w="50" w:type="pct"/>
            <w:shd w:val="clear" w:color="auto" w:fill="auto"/>
            <w:vAlign w:val="bottom"/>
          </w:tcPr>
          <w:p w14:paraId="74DD6062" w14:textId="77777777" w:rsidR="00584EC1" w:rsidRDefault="00584EC1">
            <w:pPr>
              <w:rPr>
                <w:rFonts w:ascii="宋体"/>
              </w:rPr>
            </w:pPr>
          </w:p>
        </w:tc>
        <w:tc>
          <w:tcPr>
            <w:tcW w:w="668" w:type="pct"/>
            <w:shd w:val="clear" w:color="auto" w:fill="auto"/>
            <w:vAlign w:val="bottom"/>
          </w:tcPr>
          <w:p w14:paraId="74DD6063" w14:textId="77777777" w:rsidR="00584EC1" w:rsidRDefault="00584EC1">
            <w:pPr>
              <w:rPr>
                <w:rFonts w:ascii="宋体"/>
              </w:rPr>
            </w:pPr>
          </w:p>
        </w:tc>
        <w:tc>
          <w:tcPr>
            <w:tcW w:w="5" w:type="pct"/>
            <w:shd w:val="clear" w:color="auto" w:fill="auto"/>
            <w:vAlign w:val="bottom"/>
          </w:tcPr>
          <w:p w14:paraId="74DD6064" w14:textId="77777777" w:rsidR="00584EC1" w:rsidRDefault="00584EC1">
            <w:pPr>
              <w:rPr>
                <w:rFonts w:ascii="宋体"/>
              </w:rPr>
            </w:pPr>
          </w:p>
        </w:tc>
        <w:tc>
          <w:tcPr>
            <w:tcW w:w="0" w:type="auto"/>
            <w:gridSpan w:val="3"/>
            <w:shd w:val="clear" w:color="auto" w:fill="auto"/>
            <w:vAlign w:val="bottom"/>
          </w:tcPr>
          <w:p w14:paraId="74DD6065" w14:textId="77777777" w:rsidR="00584EC1" w:rsidRDefault="00584EC1">
            <w:pPr>
              <w:rPr>
                <w:rFonts w:ascii="宋体"/>
                <w:vanish/>
              </w:rPr>
            </w:pPr>
          </w:p>
        </w:tc>
        <w:tc>
          <w:tcPr>
            <w:tcW w:w="0" w:type="auto"/>
            <w:gridSpan w:val="3"/>
            <w:shd w:val="clear" w:color="auto" w:fill="auto"/>
            <w:vAlign w:val="bottom"/>
          </w:tcPr>
          <w:p w14:paraId="74DD6066" w14:textId="77777777" w:rsidR="00584EC1" w:rsidRDefault="00584EC1">
            <w:pPr>
              <w:rPr>
                <w:rFonts w:ascii="宋体"/>
                <w:vanish/>
              </w:rPr>
            </w:pPr>
          </w:p>
        </w:tc>
        <w:tc>
          <w:tcPr>
            <w:tcW w:w="0" w:type="auto"/>
            <w:gridSpan w:val="3"/>
            <w:shd w:val="clear" w:color="auto" w:fill="auto"/>
            <w:vAlign w:val="bottom"/>
          </w:tcPr>
          <w:p w14:paraId="74DD6067" w14:textId="77777777" w:rsidR="00584EC1" w:rsidRDefault="00584EC1">
            <w:pPr>
              <w:rPr>
                <w:rFonts w:ascii="宋体"/>
                <w:vanish/>
              </w:rPr>
            </w:pPr>
          </w:p>
        </w:tc>
        <w:tc>
          <w:tcPr>
            <w:tcW w:w="0" w:type="auto"/>
            <w:gridSpan w:val="3"/>
            <w:shd w:val="clear" w:color="auto" w:fill="auto"/>
            <w:vAlign w:val="bottom"/>
          </w:tcPr>
          <w:p w14:paraId="74DD6068" w14:textId="77777777" w:rsidR="00584EC1" w:rsidRDefault="00584EC1">
            <w:pPr>
              <w:rPr>
                <w:rFonts w:ascii="宋体"/>
                <w:vanish/>
              </w:rPr>
            </w:pPr>
          </w:p>
        </w:tc>
        <w:tc>
          <w:tcPr>
            <w:tcW w:w="0" w:type="auto"/>
            <w:gridSpan w:val="3"/>
            <w:shd w:val="clear" w:color="auto" w:fill="auto"/>
            <w:vAlign w:val="bottom"/>
          </w:tcPr>
          <w:p w14:paraId="74DD6069" w14:textId="77777777" w:rsidR="00584EC1" w:rsidRDefault="00584EC1">
            <w:pPr>
              <w:rPr>
                <w:rFonts w:ascii="宋体"/>
                <w:vanish/>
              </w:rPr>
            </w:pPr>
          </w:p>
        </w:tc>
      </w:tr>
      <w:tr w:rsidR="00584EC1" w14:paraId="74DD607B" w14:textId="77777777">
        <w:tc>
          <w:tcPr>
            <w:tcW w:w="0" w:type="auto"/>
            <w:gridSpan w:val="18"/>
            <w:shd w:val="clear" w:color="auto" w:fill="auto"/>
            <w:tcMar>
              <w:top w:w="40" w:type="dxa"/>
              <w:left w:w="20" w:type="dxa"/>
              <w:bottom w:w="40" w:type="dxa"/>
              <w:right w:w="20" w:type="dxa"/>
            </w:tcMar>
            <w:vAlign w:val="bottom"/>
          </w:tcPr>
          <w:p w14:paraId="74DD606B" w14:textId="77777777" w:rsidR="00584EC1" w:rsidRDefault="00871F8D">
            <w:pPr>
              <w:textAlignment w:val="bottom"/>
            </w:pPr>
            <w:r>
              <w:rPr>
                <w:rFonts w:ascii="Arial" w:eastAsia="宋体" w:hAnsi="Arial" w:cs="Arial"/>
                <w:b/>
                <w:bCs/>
                <w:color w:val="000000"/>
                <w:sz w:val="16"/>
                <w:szCs w:val="16"/>
              </w:rPr>
              <w:t>TABLE 1: OVERVIEW OF FINANCIAL RESULTS</w:t>
            </w:r>
          </w:p>
        </w:tc>
        <w:tc>
          <w:tcPr>
            <w:tcW w:w="0" w:type="auto"/>
            <w:shd w:val="clear" w:color="auto" w:fill="auto"/>
            <w:vAlign w:val="bottom"/>
          </w:tcPr>
          <w:p w14:paraId="74DD606C" w14:textId="77777777" w:rsidR="00584EC1" w:rsidRDefault="00584EC1">
            <w:pPr>
              <w:rPr>
                <w:rFonts w:ascii="宋体"/>
              </w:rPr>
            </w:pPr>
          </w:p>
        </w:tc>
        <w:tc>
          <w:tcPr>
            <w:tcW w:w="0" w:type="auto"/>
            <w:shd w:val="clear" w:color="auto" w:fill="auto"/>
            <w:vAlign w:val="bottom"/>
          </w:tcPr>
          <w:p w14:paraId="74DD606D" w14:textId="77777777" w:rsidR="00584EC1" w:rsidRDefault="00584EC1">
            <w:pPr>
              <w:rPr>
                <w:rFonts w:ascii="宋体"/>
              </w:rPr>
            </w:pPr>
          </w:p>
        </w:tc>
        <w:tc>
          <w:tcPr>
            <w:tcW w:w="0" w:type="auto"/>
            <w:shd w:val="clear" w:color="auto" w:fill="auto"/>
            <w:vAlign w:val="bottom"/>
          </w:tcPr>
          <w:p w14:paraId="74DD606E" w14:textId="77777777" w:rsidR="00584EC1" w:rsidRDefault="00584EC1">
            <w:pPr>
              <w:rPr>
                <w:rFonts w:ascii="宋体"/>
              </w:rPr>
            </w:pPr>
          </w:p>
        </w:tc>
        <w:tc>
          <w:tcPr>
            <w:tcW w:w="0" w:type="auto"/>
            <w:shd w:val="clear" w:color="auto" w:fill="auto"/>
            <w:vAlign w:val="bottom"/>
          </w:tcPr>
          <w:p w14:paraId="74DD606F" w14:textId="77777777" w:rsidR="00584EC1" w:rsidRDefault="00584EC1">
            <w:pPr>
              <w:rPr>
                <w:rFonts w:ascii="宋体"/>
              </w:rPr>
            </w:pPr>
          </w:p>
        </w:tc>
        <w:tc>
          <w:tcPr>
            <w:tcW w:w="0" w:type="auto"/>
            <w:shd w:val="clear" w:color="auto" w:fill="auto"/>
            <w:vAlign w:val="bottom"/>
          </w:tcPr>
          <w:p w14:paraId="74DD6070" w14:textId="77777777" w:rsidR="00584EC1" w:rsidRDefault="00584EC1">
            <w:pPr>
              <w:rPr>
                <w:rFonts w:ascii="宋体"/>
              </w:rPr>
            </w:pPr>
          </w:p>
        </w:tc>
        <w:tc>
          <w:tcPr>
            <w:tcW w:w="0" w:type="auto"/>
            <w:shd w:val="clear" w:color="auto" w:fill="auto"/>
            <w:vAlign w:val="bottom"/>
          </w:tcPr>
          <w:p w14:paraId="74DD6071" w14:textId="77777777" w:rsidR="00584EC1" w:rsidRDefault="00584EC1">
            <w:pPr>
              <w:rPr>
                <w:rFonts w:ascii="宋体"/>
              </w:rPr>
            </w:pPr>
          </w:p>
        </w:tc>
        <w:tc>
          <w:tcPr>
            <w:tcW w:w="0" w:type="auto"/>
            <w:shd w:val="clear" w:color="auto" w:fill="auto"/>
            <w:vAlign w:val="bottom"/>
          </w:tcPr>
          <w:p w14:paraId="74DD6072" w14:textId="77777777" w:rsidR="00584EC1" w:rsidRDefault="00584EC1">
            <w:pPr>
              <w:rPr>
                <w:rFonts w:ascii="宋体"/>
              </w:rPr>
            </w:pPr>
          </w:p>
        </w:tc>
        <w:tc>
          <w:tcPr>
            <w:tcW w:w="0" w:type="auto"/>
            <w:shd w:val="clear" w:color="auto" w:fill="auto"/>
            <w:vAlign w:val="bottom"/>
          </w:tcPr>
          <w:p w14:paraId="74DD6073" w14:textId="77777777" w:rsidR="00584EC1" w:rsidRDefault="00584EC1">
            <w:pPr>
              <w:rPr>
                <w:rFonts w:ascii="宋体"/>
              </w:rPr>
            </w:pPr>
          </w:p>
        </w:tc>
        <w:tc>
          <w:tcPr>
            <w:tcW w:w="0" w:type="auto"/>
            <w:shd w:val="clear" w:color="auto" w:fill="auto"/>
            <w:vAlign w:val="bottom"/>
          </w:tcPr>
          <w:p w14:paraId="74DD6074" w14:textId="77777777" w:rsidR="00584EC1" w:rsidRDefault="00584EC1">
            <w:pPr>
              <w:rPr>
                <w:rFonts w:ascii="宋体"/>
              </w:rPr>
            </w:pPr>
          </w:p>
        </w:tc>
        <w:tc>
          <w:tcPr>
            <w:tcW w:w="0" w:type="auto"/>
            <w:shd w:val="clear" w:color="auto" w:fill="auto"/>
            <w:vAlign w:val="bottom"/>
          </w:tcPr>
          <w:p w14:paraId="74DD6075" w14:textId="77777777" w:rsidR="00584EC1" w:rsidRDefault="00584EC1">
            <w:pPr>
              <w:rPr>
                <w:rFonts w:ascii="宋体"/>
              </w:rPr>
            </w:pPr>
          </w:p>
        </w:tc>
        <w:tc>
          <w:tcPr>
            <w:tcW w:w="0" w:type="auto"/>
            <w:shd w:val="clear" w:color="auto" w:fill="auto"/>
            <w:vAlign w:val="bottom"/>
          </w:tcPr>
          <w:p w14:paraId="74DD6076" w14:textId="77777777" w:rsidR="00584EC1" w:rsidRDefault="00584EC1">
            <w:pPr>
              <w:rPr>
                <w:rFonts w:ascii="宋体"/>
              </w:rPr>
            </w:pPr>
          </w:p>
        </w:tc>
        <w:tc>
          <w:tcPr>
            <w:tcW w:w="0" w:type="auto"/>
            <w:shd w:val="clear" w:color="auto" w:fill="auto"/>
            <w:vAlign w:val="bottom"/>
          </w:tcPr>
          <w:p w14:paraId="74DD6077" w14:textId="77777777" w:rsidR="00584EC1" w:rsidRDefault="00584EC1">
            <w:pPr>
              <w:rPr>
                <w:rFonts w:ascii="宋体"/>
              </w:rPr>
            </w:pPr>
          </w:p>
        </w:tc>
        <w:tc>
          <w:tcPr>
            <w:tcW w:w="0" w:type="auto"/>
            <w:shd w:val="clear" w:color="auto" w:fill="auto"/>
            <w:vAlign w:val="bottom"/>
          </w:tcPr>
          <w:p w14:paraId="74DD6078" w14:textId="77777777" w:rsidR="00584EC1" w:rsidRDefault="00584EC1">
            <w:pPr>
              <w:rPr>
                <w:rFonts w:ascii="宋体"/>
              </w:rPr>
            </w:pPr>
          </w:p>
        </w:tc>
        <w:tc>
          <w:tcPr>
            <w:tcW w:w="0" w:type="auto"/>
            <w:shd w:val="clear" w:color="auto" w:fill="auto"/>
            <w:vAlign w:val="bottom"/>
          </w:tcPr>
          <w:p w14:paraId="74DD6079" w14:textId="77777777" w:rsidR="00584EC1" w:rsidRDefault="00584EC1">
            <w:pPr>
              <w:rPr>
                <w:rFonts w:ascii="宋体"/>
              </w:rPr>
            </w:pPr>
          </w:p>
        </w:tc>
        <w:tc>
          <w:tcPr>
            <w:tcW w:w="0" w:type="auto"/>
            <w:shd w:val="clear" w:color="auto" w:fill="auto"/>
            <w:vAlign w:val="bottom"/>
          </w:tcPr>
          <w:p w14:paraId="74DD607A" w14:textId="77777777" w:rsidR="00584EC1" w:rsidRDefault="00584EC1">
            <w:pPr>
              <w:rPr>
                <w:rFonts w:ascii="宋体"/>
              </w:rPr>
            </w:pPr>
          </w:p>
        </w:tc>
      </w:tr>
      <w:tr w:rsidR="00584EC1" w14:paraId="74DD6085" w14:textId="77777777">
        <w:trPr>
          <w:trHeight w:val="340"/>
        </w:trPr>
        <w:tc>
          <w:tcPr>
            <w:tcW w:w="0" w:type="auto"/>
            <w:gridSpan w:val="3"/>
            <w:shd w:val="clear" w:color="auto" w:fill="auto"/>
            <w:tcMar>
              <w:top w:w="0" w:type="dxa"/>
              <w:left w:w="20" w:type="dxa"/>
              <w:bottom w:w="0" w:type="dxa"/>
              <w:right w:w="20" w:type="dxa"/>
            </w:tcMar>
            <w:vAlign w:val="bottom"/>
          </w:tcPr>
          <w:p w14:paraId="74DD607C" w14:textId="77777777" w:rsidR="00584EC1" w:rsidRDefault="00584EC1">
            <w:pPr>
              <w:rPr>
                <w:rFonts w:ascii="宋体"/>
              </w:rPr>
            </w:pPr>
          </w:p>
        </w:tc>
        <w:tc>
          <w:tcPr>
            <w:tcW w:w="0" w:type="auto"/>
            <w:gridSpan w:val="9"/>
            <w:shd w:val="clear" w:color="auto" w:fill="auto"/>
            <w:tcMar>
              <w:top w:w="40" w:type="dxa"/>
              <w:left w:w="20" w:type="dxa"/>
              <w:bottom w:w="40" w:type="dxa"/>
              <w:right w:w="20" w:type="dxa"/>
            </w:tcMar>
            <w:vAlign w:val="bottom"/>
          </w:tcPr>
          <w:p w14:paraId="74DD607D" w14:textId="77777777" w:rsidR="00584EC1" w:rsidRDefault="00871F8D">
            <w:pPr>
              <w:jc w:val="center"/>
              <w:textAlignment w:val="bottom"/>
            </w:pPr>
            <w:r>
              <w:rPr>
                <w:rFonts w:ascii="Arial" w:eastAsia="宋体" w:hAnsi="Arial" w:cs="Arial"/>
                <w:b/>
                <w:bCs/>
                <w:color w:val="000000"/>
                <w:sz w:val="12"/>
                <w:szCs w:val="12"/>
              </w:rPr>
              <w:t>Three Months Ended September 30,</w:t>
            </w:r>
          </w:p>
        </w:tc>
        <w:tc>
          <w:tcPr>
            <w:tcW w:w="0" w:type="auto"/>
            <w:gridSpan w:val="3"/>
            <w:shd w:val="clear" w:color="auto" w:fill="auto"/>
            <w:tcMar>
              <w:top w:w="0" w:type="dxa"/>
              <w:left w:w="20" w:type="dxa"/>
              <w:bottom w:w="0" w:type="dxa"/>
              <w:right w:w="20" w:type="dxa"/>
            </w:tcMar>
            <w:vAlign w:val="bottom"/>
          </w:tcPr>
          <w:p w14:paraId="74DD607E" w14:textId="77777777" w:rsidR="00584EC1" w:rsidRDefault="00584EC1">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74DD607F" w14:textId="77777777" w:rsidR="00584EC1" w:rsidRDefault="00871F8D">
            <w:pPr>
              <w:jc w:val="center"/>
              <w:textAlignment w:val="bottom"/>
            </w:pPr>
            <w:r>
              <w:rPr>
                <w:rFonts w:ascii="Arial" w:eastAsia="宋体" w:hAnsi="Arial" w:cs="Arial"/>
                <w:b/>
                <w:bCs/>
                <w:color w:val="000000"/>
                <w:sz w:val="12"/>
                <w:szCs w:val="12"/>
              </w:rPr>
              <w:t>% Change</w:t>
            </w:r>
          </w:p>
        </w:tc>
        <w:tc>
          <w:tcPr>
            <w:tcW w:w="0" w:type="auto"/>
            <w:gridSpan w:val="3"/>
            <w:shd w:val="clear" w:color="auto" w:fill="auto"/>
            <w:vAlign w:val="bottom"/>
          </w:tcPr>
          <w:p w14:paraId="74DD6080" w14:textId="77777777" w:rsidR="00584EC1" w:rsidRDefault="00584EC1">
            <w:pPr>
              <w:rPr>
                <w:rFonts w:ascii="宋体"/>
                <w:vanish/>
              </w:rPr>
            </w:pPr>
          </w:p>
        </w:tc>
        <w:tc>
          <w:tcPr>
            <w:tcW w:w="0" w:type="auto"/>
            <w:gridSpan w:val="3"/>
            <w:shd w:val="clear" w:color="auto" w:fill="auto"/>
            <w:vAlign w:val="bottom"/>
          </w:tcPr>
          <w:p w14:paraId="74DD6081" w14:textId="77777777" w:rsidR="00584EC1" w:rsidRDefault="00584EC1">
            <w:pPr>
              <w:rPr>
                <w:rFonts w:ascii="宋体"/>
                <w:vanish/>
              </w:rPr>
            </w:pPr>
          </w:p>
        </w:tc>
        <w:tc>
          <w:tcPr>
            <w:tcW w:w="0" w:type="auto"/>
            <w:gridSpan w:val="3"/>
            <w:shd w:val="clear" w:color="auto" w:fill="auto"/>
            <w:vAlign w:val="bottom"/>
          </w:tcPr>
          <w:p w14:paraId="74DD6082" w14:textId="77777777" w:rsidR="00584EC1" w:rsidRDefault="00584EC1">
            <w:pPr>
              <w:rPr>
                <w:rFonts w:ascii="宋体"/>
                <w:vanish/>
              </w:rPr>
            </w:pPr>
          </w:p>
        </w:tc>
        <w:tc>
          <w:tcPr>
            <w:tcW w:w="0" w:type="auto"/>
            <w:gridSpan w:val="3"/>
            <w:shd w:val="clear" w:color="auto" w:fill="auto"/>
            <w:vAlign w:val="bottom"/>
          </w:tcPr>
          <w:p w14:paraId="74DD6083" w14:textId="77777777" w:rsidR="00584EC1" w:rsidRDefault="00584EC1">
            <w:pPr>
              <w:rPr>
                <w:rFonts w:ascii="宋体"/>
                <w:vanish/>
              </w:rPr>
            </w:pPr>
          </w:p>
        </w:tc>
        <w:tc>
          <w:tcPr>
            <w:tcW w:w="0" w:type="auto"/>
            <w:gridSpan w:val="3"/>
            <w:shd w:val="clear" w:color="auto" w:fill="auto"/>
            <w:vAlign w:val="bottom"/>
          </w:tcPr>
          <w:p w14:paraId="74DD6084" w14:textId="77777777" w:rsidR="00584EC1" w:rsidRDefault="00584EC1">
            <w:pPr>
              <w:rPr>
                <w:rFonts w:ascii="宋体"/>
                <w:vanish/>
              </w:rPr>
            </w:pPr>
          </w:p>
        </w:tc>
      </w:tr>
      <w:tr w:rsidR="00584EC1" w14:paraId="74DD6091" w14:textId="77777777">
        <w:trPr>
          <w:trHeight w:val="340"/>
        </w:trPr>
        <w:tc>
          <w:tcPr>
            <w:tcW w:w="0" w:type="auto"/>
            <w:gridSpan w:val="3"/>
            <w:shd w:val="clear" w:color="auto" w:fill="auto"/>
            <w:tcMar>
              <w:top w:w="40" w:type="dxa"/>
              <w:left w:w="20" w:type="dxa"/>
              <w:bottom w:w="40" w:type="dxa"/>
              <w:right w:w="20" w:type="dxa"/>
            </w:tcMar>
            <w:vAlign w:val="bottom"/>
          </w:tcPr>
          <w:p w14:paraId="74DD6086" w14:textId="77777777" w:rsidR="00584EC1" w:rsidRDefault="00871F8D">
            <w:pPr>
              <w:textAlignment w:val="bottom"/>
            </w:pPr>
            <w:r>
              <w:rPr>
                <w:rFonts w:ascii="Arial" w:eastAsia="宋体" w:hAnsi="Arial" w:cs="Arial"/>
                <w:b/>
                <w:bCs/>
                <w:color w:val="000000"/>
                <w:sz w:val="12"/>
                <w:szCs w:val="12"/>
              </w:rPr>
              <w:t>(Dollars in millions, except per share amounts)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6087" w14:textId="77777777" w:rsidR="00584EC1" w:rsidRDefault="00871F8D">
            <w:pPr>
              <w:jc w:val="center"/>
              <w:textAlignment w:val="bottom"/>
            </w:pPr>
            <w:r>
              <w:rPr>
                <w:rFonts w:ascii="Arial" w:eastAsia="宋体" w:hAnsi="Arial" w:cs="Arial"/>
                <w:b/>
                <w:bCs/>
                <w:color w:val="000000"/>
                <w:sz w:val="12"/>
                <w:szCs w:val="12"/>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6088"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6089" w14:textId="77777777" w:rsidR="00584EC1" w:rsidRDefault="00871F8D">
            <w:pPr>
              <w:jc w:val="center"/>
              <w:textAlignment w:val="bottom"/>
            </w:pPr>
            <w:r>
              <w:rPr>
                <w:rFonts w:ascii="Arial" w:eastAsia="宋体" w:hAnsi="Arial" w:cs="Arial"/>
                <w:b/>
                <w:bCs/>
                <w:color w:val="000000"/>
                <w:sz w:val="12"/>
                <w:szCs w:val="12"/>
              </w:rPr>
              <w:t>2020</w:t>
            </w:r>
          </w:p>
        </w:tc>
        <w:tc>
          <w:tcPr>
            <w:tcW w:w="0" w:type="auto"/>
            <w:gridSpan w:val="3"/>
            <w:shd w:val="clear" w:color="auto" w:fill="auto"/>
            <w:tcMar>
              <w:top w:w="0" w:type="dxa"/>
              <w:left w:w="20" w:type="dxa"/>
              <w:bottom w:w="0" w:type="dxa"/>
              <w:right w:w="20" w:type="dxa"/>
            </w:tcMar>
            <w:vAlign w:val="bottom"/>
          </w:tcPr>
          <w:p w14:paraId="74DD608A" w14:textId="77777777" w:rsidR="00584EC1" w:rsidRDefault="00584EC1">
            <w:pPr>
              <w:rPr>
                <w:rFonts w:ascii="宋体"/>
              </w:rPr>
            </w:pPr>
          </w:p>
        </w:tc>
        <w:tc>
          <w:tcPr>
            <w:tcW w:w="0" w:type="auto"/>
            <w:gridSpan w:val="3"/>
            <w:vMerge/>
            <w:shd w:val="clear" w:color="auto" w:fill="auto"/>
            <w:tcMar>
              <w:top w:w="40" w:type="dxa"/>
              <w:left w:w="20" w:type="dxa"/>
              <w:bottom w:w="40" w:type="dxa"/>
              <w:right w:w="20" w:type="dxa"/>
            </w:tcMar>
            <w:vAlign w:val="bottom"/>
          </w:tcPr>
          <w:p w14:paraId="74DD608B" w14:textId="77777777" w:rsidR="00584EC1" w:rsidRDefault="00584EC1">
            <w:pPr>
              <w:jc w:val="center"/>
              <w:rPr>
                <w:rFonts w:ascii="宋体"/>
              </w:rPr>
            </w:pPr>
          </w:p>
        </w:tc>
        <w:tc>
          <w:tcPr>
            <w:tcW w:w="0" w:type="auto"/>
            <w:gridSpan w:val="3"/>
            <w:shd w:val="clear" w:color="auto" w:fill="auto"/>
            <w:vAlign w:val="bottom"/>
          </w:tcPr>
          <w:p w14:paraId="74DD608C" w14:textId="77777777" w:rsidR="00584EC1" w:rsidRDefault="00584EC1">
            <w:pPr>
              <w:rPr>
                <w:rFonts w:ascii="宋体"/>
                <w:vanish/>
              </w:rPr>
            </w:pPr>
          </w:p>
        </w:tc>
        <w:tc>
          <w:tcPr>
            <w:tcW w:w="0" w:type="auto"/>
            <w:gridSpan w:val="3"/>
            <w:shd w:val="clear" w:color="auto" w:fill="auto"/>
            <w:vAlign w:val="bottom"/>
          </w:tcPr>
          <w:p w14:paraId="74DD608D" w14:textId="77777777" w:rsidR="00584EC1" w:rsidRDefault="00584EC1">
            <w:pPr>
              <w:rPr>
                <w:rFonts w:ascii="宋体"/>
                <w:vanish/>
              </w:rPr>
            </w:pPr>
          </w:p>
        </w:tc>
        <w:tc>
          <w:tcPr>
            <w:tcW w:w="0" w:type="auto"/>
            <w:gridSpan w:val="3"/>
            <w:shd w:val="clear" w:color="auto" w:fill="auto"/>
            <w:vAlign w:val="bottom"/>
          </w:tcPr>
          <w:p w14:paraId="74DD608E" w14:textId="77777777" w:rsidR="00584EC1" w:rsidRDefault="00584EC1">
            <w:pPr>
              <w:rPr>
                <w:rFonts w:ascii="宋体"/>
                <w:vanish/>
              </w:rPr>
            </w:pPr>
          </w:p>
        </w:tc>
        <w:tc>
          <w:tcPr>
            <w:tcW w:w="0" w:type="auto"/>
            <w:gridSpan w:val="3"/>
            <w:shd w:val="clear" w:color="auto" w:fill="auto"/>
            <w:vAlign w:val="bottom"/>
          </w:tcPr>
          <w:p w14:paraId="74DD608F" w14:textId="77777777" w:rsidR="00584EC1" w:rsidRDefault="00584EC1">
            <w:pPr>
              <w:rPr>
                <w:rFonts w:ascii="宋体"/>
                <w:vanish/>
              </w:rPr>
            </w:pPr>
          </w:p>
        </w:tc>
        <w:tc>
          <w:tcPr>
            <w:tcW w:w="0" w:type="auto"/>
            <w:gridSpan w:val="3"/>
            <w:shd w:val="clear" w:color="auto" w:fill="auto"/>
            <w:vAlign w:val="bottom"/>
          </w:tcPr>
          <w:p w14:paraId="74DD6090" w14:textId="77777777" w:rsidR="00584EC1" w:rsidRDefault="00584EC1">
            <w:pPr>
              <w:rPr>
                <w:rFonts w:ascii="宋体"/>
                <w:vanish/>
              </w:rPr>
            </w:pPr>
          </w:p>
        </w:tc>
      </w:tr>
      <w:tr w:rsidR="00584EC1" w14:paraId="74DD60A2" w14:textId="77777777">
        <w:tc>
          <w:tcPr>
            <w:tcW w:w="0" w:type="auto"/>
            <w:gridSpan w:val="3"/>
            <w:shd w:val="clear" w:color="auto" w:fill="CCEEFF"/>
            <w:tcMar>
              <w:top w:w="40" w:type="dxa"/>
              <w:left w:w="20" w:type="dxa"/>
              <w:bottom w:w="40" w:type="dxa"/>
              <w:right w:w="20" w:type="dxa"/>
            </w:tcMar>
            <w:vAlign w:val="bottom"/>
          </w:tcPr>
          <w:p w14:paraId="74DD6092" w14:textId="77777777" w:rsidR="00584EC1" w:rsidRDefault="00871F8D">
            <w:pPr>
              <w:textAlignment w:val="bottom"/>
            </w:pPr>
            <w:r>
              <w:rPr>
                <w:rFonts w:ascii="Arial" w:eastAsia="宋体" w:hAnsi="Arial" w:cs="Arial"/>
                <w:color w:val="000000"/>
                <w:sz w:val="12"/>
                <w:szCs w:val="12"/>
              </w:rPr>
              <w:t>Total fee revenue</w:t>
            </w:r>
          </w:p>
        </w:tc>
        <w:tc>
          <w:tcPr>
            <w:tcW w:w="0" w:type="auto"/>
            <w:tcBorders>
              <w:top w:val="single" w:sz="8" w:space="0" w:color="000000"/>
            </w:tcBorders>
            <w:shd w:val="clear" w:color="auto" w:fill="CCEEFF"/>
            <w:tcMar>
              <w:top w:w="40" w:type="dxa"/>
              <w:left w:w="20" w:type="dxa"/>
              <w:bottom w:w="40" w:type="dxa"/>
              <w:right w:w="0" w:type="dxa"/>
            </w:tcMar>
            <w:vAlign w:val="bottom"/>
          </w:tcPr>
          <w:p w14:paraId="74DD6093"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6094" w14:textId="77777777" w:rsidR="00584EC1" w:rsidRDefault="00871F8D">
            <w:pPr>
              <w:jc w:val="right"/>
              <w:textAlignment w:val="bottom"/>
            </w:pPr>
            <w:r>
              <w:rPr>
                <w:rFonts w:ascii="Arial" w:eastAsia="宋体" w:hAnsi="Arial" w:cs="Arial"/>
                <w:b/>
                <w:bCs/>
                <w:color w:val="000000"/>
                <w:sz w:val="12"/>
                <w:szCs w:val="12"/>
              </w:rPr>
              <w:t>2,504</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609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096"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6097"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6098" w14:textId="77777777" w:rsidR="00584EC1" w:rsidRDefault="00871F8D">
            <w:pPr>
              <w:jc w:val="right"/>
              <w:textAlignment w:val="bottom"/>
            </w:pPr>
            <w:r>
              <w:rPr>
                <w:rFonts w:ascii="Arial" w:eastAsia="宋体" w:hAnsi="Arial" w:cs="Arial"/>
                <w:color w:val="000000"/>
                <w:sz w:val="12"/>
                <w:szCs w:val="12"/>
              </w:rPr>
              <w:t>2,306 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609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09A"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609B" w14:textId="77777777" w:rsidR="00584EC1" w:rsidRDefault="00871F8D">
            <w:pPr>
              <w:jc w:val="right"/>
              <w:textAlignment w:val="bottom"/>
            </w:pPr>
            <w:r>
              <w:rPr>
                <w:rFonts w:ascii="Arial" w:eastAsia="宋体" w:hAnsi="Arial" w:cs="Arial"/>
                <w:color w:val="000000"/>
                <w:sz w:val="12"/>
                <w:szCs w:val="12"/>
              </w:rPr>
              <w:t>9 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609C" w14:textId="77777777" w:rsidR="00584EC1" w:rsidRDefault="00871F8D">
            <w:pPr>
              <w:jc w:val="right"/>
              <w:textAlignment w:val="bottom"/>
            </w:pPr>
            <w:r>
              <w:rPr>
                <w:rFonts w:ascii="Arial" w:eastAsia="宋体" w:hAnsi="Arial" w:cs="Arial"/>
                <w:color w:val="000000"/>
                <w:sz w:val="12"/>
                <w:szCs w:val="12"/>
              </w:rPr>
              <w:t>%</w:t>
            </w:r>
          </w:p>
        </w:tc>
        <w:tc>
          <w:tcPr>
            <w:tcW w:w="0" w:type="auto"/>
            <w:gridSpan w:val="3"/>
            <w:shd w:val="clear" w:color="auto" w:fill="auto"/>
            <w:vAlign w:val="bottom"/>
          </w:tcPr>
          <w:p w14:paraId="74DD609D" w14:textId="77777777" w:rsidR="00584EC1" w:rsidRDefault="00584EC1">
            <w:pPr>
              <w:rPr>
                <w:rFonts w:ascii="宋体"/>
                <w:vanish/>
              </w:rPr>
            </w:pPr>
          </w:p>
        </w:tc>
        <w:tc>
          <w:tcPr>
            <w:tcW w:w="0" w:type="auto"/>
            <w:gridSpan w:val="3"/>
            <w:shd w:val="clear" w:color="auto" w:fill="auto"/>
            <w:vAlign w:val="bottom"/>
          </w:tcPr>
          <w:p w14:paraId="74DD609E" w14:textId="77777777" w:rsidR="00584EC1" w:rsidRDefault="00584EC1">
            <w:pPr>
              <w:rPr>
                <w:rFonts w:ascii="宋体"/>
                <w:vanish/>
              </w:rPr>
            </w:pPr>
          </w:p>
        </w:tc>
        <w:tc>
          <w:tcPr>
            <w:tcW w:w="0" w:type="auto"/>
            <w:gridSpan w:val="3"/>
            <w:shd w:val="clear" w:color="auto" w:fill="auto"/>
            <w:vAlign w:val="bottom"/>
          </w:tcPr>
          <w:p w14:paraId="74DD609F" w14:textId="77777777" w:rsidR="00584EC1" w:rsidRDefault="00584EC1">
            <w:pPr>
              <w:rPr>
                <w:rFonts w:ascii="宋体"/>
                <w:vanish/>
              </w:rPr>
            </w:pPr>
          </w:p>
        </w:tc>
        <w:tc>
          <w:tcPr>
            <w:tcW w:w="0" w:type="auto"/>
            <w:gridSpan w:val="3"/>
            <w:shd w:val="clear" w:color="auto" w:fill="auto"/>
            <w:vAlign w:val="bottom"/>
          </w:tcPr>
          <w:p w14:paraId="74DD60A0" w14:textId="77777777" w:rsidR="00584EC1" w:rsidRDefault="00584EC1">
            <w:pPr>
              <w:rPr>
                <w:rFonts w:ascii="宋体"/>
                <w:vanish/>
              </w:rPr>
            </w:pPr>
          </w:p>
        </w:tc>
        <w:tc>
          <w:tcPr>
            <w:tcW w:w="0" w:type="auto"/>
            <w:gridSpan w:val="3"/>
            <w:shd w:val="clear" w:color="auto" w:fill="auto"/>
            <w:vAlign w:val="bottom"/>
          </w:tcPr>
          <w:p w14:paraId="74DD60A1" w14:textId="77777777" w:rsidR="00584EC1" w:rsidRDefault="00584EC1">
            <w:pPr>
              <w:rPr>
                <w:rFonts w:ascii="宋体"/>
                <w:vanish/>
              </w:rPr>
            </w:pPr>
          </w:p>
        </w:tc>
      </w:tr>
      <w:tr w:rsidR="00584EC1" w14:paraId="74DD60B0" w14:textId="77777777">
        <w:tc>
          <w:tcPr>
            <w:tcW w:w="0" w:type="auto"/>
            <w:gridSpan w:val="3"/>
            <w:shd w:val="clear" w:color="auto" w:fill="FFFFFF"/>
            <w:tcMar>
              <w:top w:w="40" w:type="dxa"/>
              <w:left w:w="20" w:type="dxa"/>
              <w:bottom w:w="40" w:type="dxa"/>
              <w:right w:w="20" w:type="dxa"/>
            </w:tcMar>
            <w:vAlign w:val="bottom"/>
          </w:tcPr>
          <w:p w14:paraId="74DD60A3" w14:textId="77777777" w:rsidR="00584EC1" w:rsidRDefault="00871F8D">
            <w:pPr>
              <w:textAlignment w:val="bottom"/>
            </w:pPr>
            <w:r>
              <w:rPr>
                <w:rFonts w:ascii="Arial" w:eastAsia="宋体" w:hAnsi="Arial" w:cs="Arial"/>
                <w:color w:val="000000"/>
                <w:sz w:val="12"/>
                <w:szCs w:val="12"/>
              </w:rPr>
              <w:t>Net interest income</w:t>
            </w:r>
          </w:p>
        </w:tc>
        <w:tc>
          <w:tcPr>
            <w:tcW w:w="0" w:type="auto"/>
            <w:gridSpan w:val="2"/>
            <w:shd w:val="clear" w:color="auto" w:fill="FFFFFF"/>
            <w:tcMar>
              <w:top w:w="40" w:type="dxa"/>
              <w:left w:w="20" w:type="dxa"/>
              <w:bottom w:w="40" w:type="dxa"/>
              <w:right w:w="0" w:type="dxa"/>
            </w:tcMar>
            <w:vAlign w:val="bottom"/>
          </w:tcPr>
          <w:p w14:paraId="74DD60A4" w14:textId="77777777" w:rsidR="00584EC1" w:rsidRDefault="00871F8D">
            <w:pPr>
              <w:jc w:val="right"/>
              <w:textAlignment w:val="bottom"/>
            </w:pPr>
            <w:r>
              <w:rPr>
                <w:rFonts w:ascii="Arial" w:eastAsia="宋体" w:hAnsi="Arial" w:cs="Arial"/>
                <w:b/>
                <w:bCs/>
                <w:color w:val="000000"/>
                <w:sz w:val="12"/>
                <w:szCs w:val="12"/>
              </w:rPr>
              <w:t>487</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60A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0A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0A7" w14:textId="77777777" w:rsidR="00584EC1" w:rsidRDefault="00871F8D">
            <w:pPr>
              <w:jc w:val="right"/>
              <w:textAlignment w:val="bottom"/>
            </w:pPr>
            <w:r>
              <w:rPr>
                <w:rFonts w:ascii="Arial" w:eastAsia="宋体" w:hAnsi="Arial" w:cs="Arial"/>
                <w:color w:val="000000"/>
                <w:sz w:val="12"/>
                <w:szCs w:val="12"/>
              </w:rPr>
              <w:t>478 </w:t>
            </w:r>
          </w:p>
        </w:tc>
        <w:tc>
          <w:tcPr>
            <w:tcW w:w="0" w:type="auto"/>
            <w:shd w:val="clear" w:color="auto" w:fill="FFFFFF"/>
            <w:tcMar>
              <w:top w:w="40" w:type="dxa"/>
              <w:left w:w="0" w:type="dxa"/>
              <w:bottom w:w="40" w:type="dxa"/>
              <w:right w:w="20" w:type="dxa"/>
            </w:tcMar>
            <w:vAlign w:val="bottom"/>
          </w:tcPr>
          <w:p w14:paraId="74DD60A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0A9" w14:textId="77777777" w:rsidR="00584EC1" w:rsidRDefault="00584EC1">
            <w:pPr>
              <w:rPr>
                <w:rFonts w:ascii="宋体"/>
              </w:rPr>
            </w:pPr>
          </w:p>
        </w:tc>
        <w:tc>
          <w:tcPr>
            <w:tcW w:w="0" w:type="auto"/>
            <w:gridSpan w:val="3"/>
            <w:shd w:val="clear" w:color="auto" w:fill="FFFFFF"/>
            <w:tcMar>
              <w:top w:w="40" w:type="dxa"/>
              <w:left w:w="20" w:type="dxa"/>
              <w:bottom w:w="40" w:type="dxa"/>
              <w:right w:w="140" w:type="dxa"/>
            </w:tcMar>
            <w:vAlign w:val="bottom"/>
          </w:tcPr>
          <w:p w14:paraId="74DD60AA" w14:textId="77777777" w:rsidR="00584EC1" w:rsidRDefault="00871F8D">
            <w:pPr>
              <w:jc w:val="right"/>
              <w:textAlignment w:val="bottom"/>
            </w:pPr>
            <w:r>
              <w:rPr>
                <w:rFonts w:ascii="Arial" w:eastAsia="宋体" w:hAnsi="Arial" w:cs="Arial"/>
                <w:color w:val="000000"/>
                <w:sz w:val="12"/>
                <w:szCs w:val="12"/>
              </w:rPr>
              <w:t>2</w:t>
            </w:r>
          </w:p>
        </w:tc>
        <w:tc>
          <w:tcPr>
            <w:tcW w:w="0" w:type="auto"/>
            <w:gridSpan w:val="3"/>
            <w:shd w:val="clear" w:color="auto" w:fill="auto"/>
            <w:vAlign w:val="bottom"/>
          </w:tcPr>
          <w:p w14:paraId="74DD60AB" w14:textId="77777777" w:rsidR="00584EC1" w:rsidRDefault="00584EC1">
            <w:pPr>
              <w:rPr>
                <w:rFonts w:ascii="宋体"/>
                <w:vanish/>
              </w:rPr>
            </w:pPr>
          </w:p>
        </w:tc>
        <w:tc>
          <w:tcPr>
            <w:tcW w:w="0" w:type="auto"/>
            <w:gridSpan w:val="3"/>
            <w:shd w:val="clear" w:color="auto" w:fill="auto"/>
            <w:vAlign w:val="bottom"/>
          </w:tcPr>
          <w:p w14:paraId="74DD60AC" w14:textId="77777777" w:rsidR="00584EC1" w:rsidRDefault="00584EC1">
            <w:pPr>
              <w:rPr>
                <w:rFonts w:ascii="宋体"/>
                <w:vanish/>
              </w:rPr>
            </w:pPr>
          </w:p>
        </w:tc>
        <w:tc>
          <w:tcPr>
            <w:tcW w:w="0" w:type="auto"/>
            <w:gridSpan w:val="3"/>
            <w:shd w:val="clear" w:color="auto" w:fill="auto"/>
            <w:vAlign w:val="bottom"/>
          </w:tcPr>
          <w:p w14:paraId="74DD60AD" w14:textId="77777777" w:rsidR="00584EC1" w:rsidRDefault="00584EC1">
            <w:pPr>
              <w:rPr>
                <w:rFonts w:ascii="宋体"/>
                <w:vanish/>
              </w:rPr>
            </w:pPr>
          </w:p>
        </w:tc>
        <w:tc>
          <w:tcPr>
            <w:tcW w:w="0" w:type="auto"/>
            <w:gridSpan w:val="3"/>
            <w:shd w:val="clear" w:color="auto" w:fill="auto"/>
            <w:vAlign w:val="bottom"/>
          </w:tcPr>
          <w:p w14:paraId="74DD60AE" w14:textId="77777777" w:rsidR="00584EC1" w:rsidRDefault="00584EC1">
            <w:pPr>
              <w:rPr>
                <w:rFonts w:ascii="宋体"/>
                <w:vanish/>
              </w:rPr>
            </w:pPr>
          </w:p>
        </w:tc>
        <w:tc>
          <w:tcPr>
            <w:tcW w:w="0" w:type="auto"/>
            <w:gridSpan w:val="3"/>
            <w:shd w:val="clear" w:color="auto" w:fill="auto"/>
            <w:vAlign w:val="bottom"/>
          </w:tcPr>
          <w:p w14:paraId="74DD60AF" w14:textId="77777777" w:rsidR="00584EC1" w:rsidRDefault="00584EC1">
            <w:pPr>
              <w:rPr>
                <w:rFonts w:ascii="宋体"/>
                <w:vanish/>
              </w:rPr>
            </w:pPr>
          </w:p>
        </w:tc>
      </w:tr>
      <w:tr w:rsidR="00584EC1" w14:paraId="74DD60BE" w14:textId="77777777">
        <w:tc>
          <w:tcPr>
            <w:tcW w:w="0" w:type="auto"/>
            <w:gridSpan w:val="3"/>
            <w:shd w:val="clear" w:color="auto" w:fill="CCEEFF"/>
            <w:tcMar>
              <w:top w:w="40" w:type="dxa"/>
              <w:left w:w="20" w:type="dxa"/>
              <w:bottom w:w="40" w:type="dxa"/>
              <w:right w:w="20" w:type="dxa"/>
            </w:tcMar>
            <w:vAlign w:val="bottom"/>
          </w:tcPr>
          <w:p w14:paraId="74DD60B1" w14:textId="77777777" w:rsidR="00584EC1" w:rsidRDefault="00871F8D">
            <w:pPr>
              <w:textAlignment w:val="bottom"/>
            </w:pPr>
            <w:r>
              <w:rPr>
                <w:rFonts w:ascii="Arial" w:eastAsia="宋体" w:hAnsi="Arial" w:cs="Arial"/>
                <w:color w:val="000000"/>
                <w:sz w:val="12"/>
                <w:szCs w:val="12"/>
              </w:rPr>
              <w:t>Total other income</w:t>
            </w:r>
          </w:p>
        </w:tc>
        <w:tc>
          <w:tcPr>
            <w:tcW w:w="0" w:type="auto"/>
            <w:gridSpan w:val="2"/>
            <w:shd w:val="clear" w:color="auto" w:fill="CCEEFF"/>
            <w:tcMar>
              <w:top w:w="40" w:type="dxa"/>
              <w:left w:w="20" w:type="dxa"/>
              <w:bottom w:w="40" w:type="dxa"/>
              <w:right w:w="0" w:type="dxa"/>
            </w:tcMar>
            <w:vAlign w:val="bottom"/>
          </w:tcPr>
          <w:p w14:paraId="74DD60B2" w14:textId="77777777" w:rsidR="00584EC1" w:rsidRDefault="00871F8D">
            <w:pPr>
              <w:jc w:val="right"/>
              <w:textAlignment w:val="bottom"/>
            </w:pPr>
            <w:r>
              <w:rPr>
                <w:rFonts w:ascii="Arial" w:eastAsia="宋体" w:hAnsi="Arial" w:cs="Arial"/>
                <w:b/>
                <w:bCs/>
                <w:color w:val="000000"/>
                <w:sz w:val="12"/>
                <w:szCs w:val="12"/>
              </w:rPr>
              <w:t>(1)</w:t>
            </w:r>
          </w:p>
        </w:tc>
        <w:tc>
          <w:tcPr>
            <w:tcW w:w="0" w:type="auto"/>
            <w:shd w:val="clear" w:color="auto" w:fill="CCEEFF"/>
            <w:tcMar>
              <w:top w:w="40" w:type="dxa"/>
              <w:left w:w="0" w:type="dxa"/>
              <w:bottom w:w="40" w:type="dxa"/>
              <w:right w:w="20" w:type="dxa"/>
            </w:tcMar>
            <w:vAlign w:val="bottom"/>
          </w:tcPr>
          <w:p w14:paraId="74DD60B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0B4"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0B5" w14:textId="77777777" w:rsidR="00584EC1" w:rsidRDefault="00871F8D">
            <w:pPr>
              <w:jc w:val="right"/>
              <w:textAlignment w:val="bottom"/>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60B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0B7" w14:textId="77777777" w:rsidR="00584EC1" w:rsidRDefault="00584EC1">
            <w:pPr>
              <w:rPr>
                <w:rFonts w:ascii="宋体"/>
              </w:rPr>
            </w:pPr>
          </w:p>
        </w:tc>
        <w:tc>
          <w:tcPr>
            <w:tcW w:w="0" w:type="auto"/>
            <w:gridSpan w:val="3"/>
            <w:shd w:val="clear" w:color="auto" w:fill="CCEEFF"/>
            <w:tcMar>
              <w:top w:w="40" w:type="dxa"/>
              <w:left w:w="20" w:type="dxa"/>
              <w:bottom w:w="40" w:type="dxa"/>
              <w:right w:w="140" w:type="dxa"/>
            </w:tcMar>
            <w:vAlign w:val="bottom"/>
          </w:tcPr>
          <w:p w14:paraId="74DD60B8" w14:textId="77777777" w:rsidR="00584EC1" w:rsidRDefault="00871F8D">
            <w:pPr>
              <w:jc w:val="right"/>
              <w:textAlignment w:val="bottom"/>
            </w:pPr>
            <w:r>
              <w:rPr>
                <w:rFonts w:ascii="Arial" w:eastAsia="宋体" w:hAnsi="Arial" w:cs="Arial"/>
                <w:color w:val="000000"/>
                <w:sz w:val="12"/>
                <w:szCs w:val="12"/>
              </w:rPr>
              <w:t>nm</w:t>
            </w:r>
          </w:p>
        </w:tc>
        <w:tc>
          <w:tcPr>
            <w:tcW w:w="0" w:type="auto"/>
            <w:gridSpan w:val="3"/>
            <w:shd w:val="clear" w:color="auto" w:fill="auto"/>
            <w:vAlign w:val="bottom"/>
          </w:tcPr>
          <w:p w14:paraId="74DD60B9" w14:textId="77777777" w:rsidR="00584EC1" w:rsidRDefault="00584EC1">
            <w:pPr>
              <w:rPr>
                <w:rFonts w:ascii="宋体"/>
                <w:vanish/>
              </w:rPr>
            </w:pPr>
          </w:p>
        </w:tc>
        <w:tc>
          <w:tcPr>
            <w:tcW w:w="0" w:type="auto"/>
            <w:gridSpan w:val="3"/>
            <w:shd w:val="clear" w:color="auto" w:fill="auto"/>
            <w:vAlign w:val="bottom"/>
          </w:tcPr>
          <w:p w14:paraId="74DD60BA" w14:textId="77777777" w:rsidR="00584EC1" w:rsidRDefault="00584EC1">
            <w:pPr>
              <w:rPr>
                <w:rFonts w:ascii="宋体"/>
                <w:vanish/>
              </w:rPr>
            </w:pPr>
          </w:p>
        </w:tc>
        <w:tc>
          <w:tcPr>
            <w:tcW w:w="0" w:type="auto"/>
            <w:gridSpan w:val="3"/>
            <w:shd w:val="clear" w:color="auto" w:fill="auto"/>
            <w:vAlign w:val="bottom"/>
          </w:tcPr>
          <w:p w14:paraId="74DD60BB" w14:textId="77777777" w:rsidR="00584EC1" w:rsidRDefault="00584EC1">
            <w:pPr>
              <w:rPr>
                <w:rFonts w:ascii="宋体"/>
                <w:vanish/>
              </w:rPr>
            </w:pPr>
          </w:p>
        </w:tc>
        <w:tc>
          <w:tcPr>
            <w:tcW w:w="0" w:type="auto"/>
            <w:gridSpan w:val="3"/>
            <w:shd w:val="clear" w:color="auto" w:fill="auto"/>
            <w:vAlign w:val="bottom"/>
          </w:tcPr>
          <w:p w14:paraId="74DD60BC" w14:textId="77777777" w:rsidR="00584EC1" w:rsidRDefault="00584EC1">
            <w:pPr>
              <w:rPr>
                <w:rFonts w:ascii="宋体"/>
                <w:vanish/>
              </w:rPr>
            </w:pPr>
          </w:p>
        </w:tc>
        <w:tc>
          <w:tcPr>
            <w:tcW w:w="0" w:type="auto"/>
            <w:gridSpan w:val="3"/>
            <w:shd w:val="clear" w:color="auto" w:fill="auto"/>
            <w:vAlign w:val="bottom"/>
          </w:tcPr>
          <w:p w14:paraId="74DD60BD" w14:textId="77777777" w:rsidR="00584EC1" w:rsidRDefault="00584EC1">
            <w:pPr>
              <w:rPr>
                <w:rFonts w:ascii="宋体"/>
                <w:vanish/>
              </w:rPr>
            </w:pPr>
          </w:p>
        </w:tc>
      </w:tr>
      <w:tr w:rsidR="00584EC1" w14:paraId="74DD60CD" w14:textId="77777777">
        <w:tc>
          <w:tcPr>
            <w:tcW w:w="0" w:type="auto"/>
            <w:gridSpan w:val="3"/>
            <w:shd w:val="clear" w:color="auto" w:fill="FFFFFF"/>
            <w:tcMar>
              <w:top w:w="40" w:type="dxa"/>
              <w:left w:w="20" w:type="dxa"/>
              <w:bottom w:w="40" w:type="dxa"/>
              <w:right w:w="20" w:type="dxa"/>
            </w:tcMar>
            <w:vAlign w:val="bottom"/>
          </w:tcPr>
          <w:p w14:paraId="74DD60BF" w14:textId="77777777" w:rsidR="00584EC1" w:rsidRDefault="00871F8D">
            <w:pPr>
              <w:textAlignment w:val="bottom"/>
            </w:pPr>
            <w:r>
              <w:rPr>
                <w:rFonts w:ascii="Arial" w:eastAsia="宋体" w:hAnsi="Arial" w:cs="Arial"/>
                <w:color w:val="000000"/>
                <w:sz w:val="12"/>
                <w:szCs w:val="12"/>
              </w:rPr>
              <w:t>Total 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60C0" w14:textId="77777777" w:rsidR="00584EC1" w:rsidRDefault="00871F8D">
            <w:pPr>
              <w:jc w:val="right"/>
              <w:textAlignment w:val="bottom"/>
            </w:pPr>
            <w:r>
              <w:rPr>
                <w:rFonts w:ascii="Arial" w:eastAsia="宋体" w:hAnsi="Arial" w:cs="Arial"/>
                <w:b/>
                <w:bCs/>
                <w:color w:val="000000"/>
                <w:sz w:val="12"/>
                <w:szCs w:val="12"/>
              </w:rPr>
              <w:t>2,990</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60C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0C2"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60C3" w14:textId="77777777" w:rsidR="00584EC1" w:rsidRDefault="00871F8D">
            <w:pPr>
              <w:jc w:val="right"/>
              <w:textAlignment w:val="bottom"/>
            </w:pPr>
            <w:r>
              <w:rPr>
                <w:rFonts w:ascii="Arial" w:eastAsia="宋体" w:hAnsi="Arial" w:cs="Arial"/>
                <w:color w:val="000000"/>
                <w:sz w:val="12"/>
                <w:szCs w:val="12"/>
              </w:rPr>
              <w:t>2,784 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60C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0C5"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0C6" w14:textId="77777777" w:rsidR="00584EC1" w:rsidRDefault="00871F8D">
            <w:pPr>
              <w:jc w:val="right"/>
              <w:textAlignment w:val="bottom"/>
            </w:pPr>
            <w:r>
              <w:rPr>
                <w:rFonts w:ascii="Arial" w:eastAsia="宋体" w:hAnsi="Arial" w:cs="Arial"/>
                <w:color w:val="000000"/>
                <w:sz w:val="12"/>
                <w:szCs w:val="12"/>
              </w:rPr>
              <w:t>7 </w:t>
            </w:r>
          </w:p>
        </w:tc>
        <w:tc>
          <w:tcPr>
            <w:tcW w:w="0" w:type="auto"/>
            <w:shd w:val="clear" w:color="auto" w:fill="FFFFFF"/>
            <w:tcMar>
              <w:top w:w="40" w:type="dxa"/>
              <w:left w:w="0" w:type="dxa"/>
              <w:bottom w:w="40" w:type="dxa"/>
              <w:right w:w="20" w:type="dxa"/>
            </w:tcMar>
            <w:vAlign w:val="bottom"/>
          </w:tcPr>
          <w:p w14:paraId="74DD60C7" w14:textId="77777777" w:rsidR="00584EC1" w:rsidRDefault="00584EC1">
            <w:pPr>
              <w:jc w:val="right"/>
              <w:rPr>
                <w:rFonts w:ascii="宋体"/>
              </w:rPr>
            </w:pPr>
          </w:p>
        </w:tc>
        <w:tc>
          <w:tcPr>
            <w:tcW w:w="0" w:type="auto"/>
            <w:gridSpan w:val="3"/>
            <w:shd w:val="clear" w:color="auto" w:fill="auto"/>
            <w:vAlign w:val="bottom"/>
          </w:tcPr>
          <w:p w14:paraId="74DD60C8" w14:textId="77777777" w:rsidR="00584EC1" w:rsidRDefault="00584EC1">
            <w:pPr>
              <w:rPr>
                <w:rFonts w:ascii="宋体"/>
                <w:vanish/>
              </w:rPr>
            </w:pPr>
          </w:p>
        </w:tc>
        <w:tc>
          <w:tcPr>
            <w:tcW w:w="0" w:type="auto"/>
            <w:gridSpan w:val="3"/>
            <w:shd w:val="clear" w:color="auto" w:fill="auto"/>
            <w:vAlign w:val="bottom"/>
          </w:tcPr>
          <w:p w14:paraId="74DD60C9" w14:textId="77777777" w:rsidR="00584EC1" w:rsidRDefault="00584EC1">
            <w:pPr>
              <w:rPr>
                <w:rFonts w:ascii="宋体"/>
                <w:vanish/>
              </w:rPr>
            </w:pPr>
          </w:p>
        </w:tc>
        <w:tc>
          <w:tcPr>
            <w:tcW w:w="0" w:type="auto"/>
            <w:gridSpan w:val="3"/>
            <w:shd w:val="clear" w:color="auto" w:fill="auto"/>
            <w:vAlign w:val="bottom"/>
          </w:tcPr>
          <w:p w14:paraId="74DD60CA" w14:textId="77777777" w:rsidR="00584EC1" w:rsidRDefault="00584EC1">
            <w:pPr>
              <w:rPr>
                <w:rFonts w:ascii="宋体"/>
                <w:vanish/>
              </w:rPr>
            </w:pPr>
          </w:p>
        </w:tc>
        <w:tc>
          <w:tcPr>
            <w:tcW w:w="0" w:type="auto"/>
            <w:gridSpan w:val="3"/>
            <w:shd w:val="clear" w:color="auto" w:fill="auto"/>
            <w:vAlign w:val="bottom"/>
          </w:tcPr>
          <w:p w14:paraId="74DD60CB" w14:textId="77777777" w:rsidR="00584EC1" w:rsidRDefault="00584EC1">
            <w:pPr>
              <w:rPr>
                <w:rFonts w:ascii="宋体"/>
                <w:vanish/>
              </w:rPr>
            </w:pPr>
          </w:p>
        </w:tc>
        <w:tc>
          <w:tcPr>
            <w:tcW w:w="0" w:type="auto"/>
            <w:gridSpan w:val="3"/>
            <w:shd w:val="clear" w:color="auto" w:fill="auto"/>
            <w:vAlign w:val="bottom"/>
          </w:tcPr>
          <w:p w14:paraId="74DD60CC" w14:textId="77777777" w:rsidR="00584EC1" w:rsidRDefault="00584EC1">
            <w:pPr>
              <w:rPr>
                <w:rFonts w:ascii="宋体"/>
                <w:vanish/>
              </w:rPr>
            </w:pPr>
          </w:p>
        </w:tc>
      </w:tr>
      <w:tr w:rsidR="00584EC1" w14:paraId="74DD60DB" w14:textId="77777777">
        <w:tc>
          <w:tcPr>
            <w:tcW w:w="0" w:type="auto"/>
            <w:gridSpan w:val="3"/>
            <w:shd w:val="clear" w:color="auto" w:fill="CCEEFF"/>
            <w:tcMar>
              <w:top w:w="40" w:type="dxa"/>
              <w:left w:w="20" w:type="dxa"/>
              <w:bottom w:w="40" w:type="dxa"/>
              <w:right w:w="20" w:type="dxa"/>
            </w:tcMar>
            <w:vAlign w:val="bottom"/>
          </w:tcPr>
          <w:p w14:paraId="74DD60CE" w14:textId="77777777" w:rsidR="00584EC1" w:rsidRDefault="00871F8D">
            <w:pPr>
              <w:textAlignment w:val="bottom"/>
            </w:pPr>
            <w:r>
              <w:rPr>
                <w:rFonts w:ascii="Arial" w:eastAsia="宋体" w:hAnsi="Arial" w:cs="Arial"/>
                <w:color w:val="000000"/>
                <w:sz w:val="12"/>
                <w:szCs w:val="12"/>
              </w:rPr>
              <w:t>Provision for credit losses</w:t>
            </w:r>
          </w:p>
        </w:tc>
        <w:tc>
          <w:tcPr>
            <w:tcW w:w="0" w:type="auto"/>
            <w:gridSpan w:val="2"/>
            <w:shd w:val="clear" w:color="auto" w:fill="CCEEFF"/>
            <w:tcMar>
              <w:top w:w="40" w:type="dxa"/>
              <w:left w:w="20" w:type="dxa"/>
              <w:bottom w:w="40" w:type="dxa"/>
              <w:right w:w="0" w:type="dxa"/>
            </w:tcMar>
            <w:vAlign w:val="bottom"/>
          </w:tcPr>
          <w:p w14:paraId="74DD60CF" w14:textId="77777777" w:rsidR="00584EC1" w:rsidRDefault="00871F8D">
            <w:pPr>
              <w:jc w:val="right"/>
              <w:textAlignment w:val="bottom"/>
            </w:pPr>
            <w:r>
              <w:rPr>
                <w:rFonts w:ascii="Arial" w:eastAsia="宋体" w:hAnsi="Arial" w:cs="Arial"/>
                <w:b/>
                <w:bCs/>
                <w:color w:val="000000"/>
                <w:sz w:val="12"/>
                <w:szCs w:val="12"/>
              </w:rPr>
              <w:t>(2)</w:t>
            </w:r>
          </w:p>
        </w:tc>
        <w:tc>
          <w:tcPr>
            <w:tcW w:w="0" w:type="auto"/>
            <w:shd w:val="clear" w:color="auto" w:fill="CCEEFF"/>
            <w:tcMar>
              <w:top w:w="40" w:type="dxa"/>
              <w:left w:w="0" w:type="dxa"/>
              <w:bottom w:w="40" w:type="dxa"/>
              <w:right w:w="20" w:type="dxa"/>
            </w:tcMar>
            <w:vAlign w:val="bottom"/>
          </w:tcPr>
          <w:p w14:paraId="74DD60D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0D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0D2" w14:textId="77777777" w:rsidR="00584EC1" w:rsidRDefault="00871F8D">
            <w:pPr>
              <w:jc w:val="right"/>
              <w:textAlignment w:val="bottom"/>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60D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0D4" w14:textId="77777777" w:rsidR="00584EC1" w:rsidRDefault="00584EC1">
            <w:pPr>
              <w:rPr>
                <w:rFonts w:ascii="宋体"/>
              </w:rPr>
            </w:pPr>
          </w:p>
        </w:tc>
        <w:tc>
          <w:tcPr>
            <w:tcW w:w="0" w:type="auto"/>
            <w:gridSpan w:val="3"/>
            <w:shd w:val="clear" w:color="auto" w:fill="CCEEFF"/>
            <w:tcMar>
              <w:top w:w="40" w:type="dxa"/>
              <w:left w:w="20" w:type="dxa"/>
              <w:bottom w:w="40" w:type="dxa"/>
              <w:right w:w="140" w:type="dxa"/>
            </w:tcMar>
            <w:vAlign w:val="bottom"/>
          </w:tcPr>
          <w:p w14:paraId="74DD60D5" w14:textId="77777777" w:rsidR="00584EC1" w:rsidRDefault="00871F8D">
            <w:pPr>
              <w:jc w:val="right"/>
              <w:textAlignment w:val="bottom"/>
            </w:pPr>
            <w:r>
              <w:rPr>
                <w:rFonts w:ascii="Arial" w:eastAsia="宋体" w:hAnsi="Arial" w:cs="Arial"/>
                <w:color w:val="000000"/>
                <w:sz w:val="12"/>
                <w:szCs w:val="12"/>
              </w:rPr>
              <w:t>nm</w:t>
            </w:r>
          </w:p>
        </w:tc>
        <w:tc>
          <w:tcPr>
            <w:tcW w:w="0" w:type="auto"/>
            <w:gridSpan w:val="3"/>
            <w:shd w:val="clear" w:color="auto" w:fill="auto"/>
            <w:vAlign w:val="bottom"/>
          </w:tcPr>
          <w:p w14:paraId="74DD60D6" w14:textId="77777777" w:rsidR="00584EC1" w:rsidRDefault="00584EC1">
            <w:pPr>
              <w:rPr>
                <w:rFonts w:ascii="宋体"/>
                <w:vanish/>
              </w:rPr>
            </w:pPr>
          </w:p>
        </w:tc>
        <w:tc>
          <w:tcPr>
            <w:tcW w:w="0" w:type="auto"/>
            <w:gridSpan w:val="3"/>
            <w:shd w:val="clear" w:color="auto" w:fill="auto"/>
            <w:vAlign w:val="bottom"/>
          </w:tcPr>
          <w:p w14:paraId="74DD60D7" w14:textId="77777777" w:rsidR="00584EC1" w:rsidRDefault="00584EC1">
            <w:pPr>
              <w:rPr>
                <w:rFonts w:ascii="宋体"/>
                <w:vanish/>
              </w:rPr>
            </w:pPr>
          </w:p>
        </w:tc>
        <w:tc>
          <w:tcPr>
            <w:tcW w:w="0" w:type="auto"/>
            <w:gridSpan w:val="3"/>
            <w:shd w:val="clear" w:color="auto" w:fill="auto"/>
            <w:vAlign w:val="bottom"/>
          </w:tcPr>
          <w:p w14:paraId="74DD60D8" w14:textId="77777777" w:rsidR="00584EC1" w:rsidRDefault="00584EC1">
            <w:pPr>
              <w:rPr>
                <w:rFonts w:ascii="宋体"/>
                <w:vanish/>
              </w:rPr>
            </w:pPr>
          </w:p>
        </w:tc>
        <w:tc>
          <w:tcPr>
            <w:tcW w:w="0" w:type="auto"/>
            <w:gridSpan w:val="3"/>
            <w:shd w:val="clear" w:color="auto" w:fill="auto"/>
            <w:vAlign w:val="bottom"/>
          </w:tcPr>
          <w:p w14:paraId="74DD60D9" w14:textId="77777777" w:rsidR="00584EC1" w:rsidRDefault="00584EC1">
            <w:pPr>
              <w:rPr>
                <w:rFonts w:ascii="宋体"/>
                <w:vanish/>
              </w:rPr>
            </w:pPr>
          </w:p>
        </w:tc>
        <w:tc>
          <w:tcPr>
            <w:tcW w:w="0" w:type="auto"/>
            <w:gridSpan w:val="3"/>
            <w:shd w:val="clear" w:color="auto" w:fill="auto"/>
            <w:vAlign w:val="bottom"/>
          </w:tcPr>
          <w:p w14:paraId="74DD60DA" w14:textId="77777777" w:rsidR="00584EC1" w:rsidRDefault="00584EC1">
            <w:pPr>
              <w:rPr>
                <w:rFonts w:ascii="宋体"/>
                <w:vanish/>
              </w:rPr>
            </w:pPr>
          </w:p>
        </w:tc>
      </w:tr>
      <w:tr w:rsidR="00584EC1" w14:paraId="74DD60EA" w14:textId="77777777">
        <w:tc>
          <w:tcPr>
            <w:tcW w:w="0" w:type="auto"/>
            <w:gridSpan w:val="3"/>
            <w:shd w:val="clear" w:color="auto" w:fill="FFFFFF"/>
            <w:tcMar>
              <w:top w:w="40" w:type="dxa"/>
              <w:left w:w="20" w:type="dxa"/>
              <w:bottom w:w="40" w:type="dxa"/>
              <w:right w:w="20" w:type="dxa"/>
            </w:tcMar>
            <w:vAlign w:val="bottom"/>
          </w:tcPr>
          <w:p w14:paraId="74DD60DC" w14:textId="77777777" w:rsidR="00584EC1" w:rsidRDefault="00871F8D">
            <w:pPr>
              <w:textAlignment w:val="bottom"/>
            </w:pPr>
            <w:r>
              <w:rPr>
                <w:rFonts w:ascii="Arial" w:eastAsia="宋体" w:hAnsi="Arial" w:cs="Arial"/>
                <w:color w:val="000000"/>
                <w:sz w:val="12"/>
                <w:szCs w:val="12"/>
              </w:rPr>
              <w:t>Total expenses</w:t>
            </w:r>
          </w:p>
        </w:tc>
        <w:tc>
          <w:tcPr>
            <w:tcW w:w="0" w:type="auto"/>
            <w:gridSpan w:val="2"/>
            <w:shd w:val="clear" w:color="auto" w:fill="FFFFFF"/>
            <w:tcMar>
              <w:top w:w="40" w:type="dxa"/>
              <w:left w:w="20" w:type="dxa"/>
              <w:bottom w:w="40" w:type="dxa"/>
              <w:right w:w="0" w:type="dxa"/>
            </w:tcMar>
            <w:vAlign w:val="bottom"/>
          </w:tcPr>
          <w:p w14:paraId="74DD60DD" w14:textId="77777777" w:rsidR="00584EC1" w:rsidRDefault="00871F8D">
            <w:pPr>
              <w:jc w:val="right"/>
              <w:textAlignment w:val="bottom"/>
            </w:pPr>
            <w:r>
              <w:rPr>
                <w:rFonts w:ascii="Arial" w:eastAsia="宋体" w:hAnsi="Arial" w:cs="Arial"/>
                <w:b/>
                <w:bCs/>
                <w:color w:val="000000"/>
                <w:sz w:val="12"/>
                <w:szCs w:val="12"/>
              </w:rPr>
              <w:t>2,116</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60D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0D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0E0" w14:textId="77777777" w:rsidR="00584EC1" w:rsidRDefault="00871F8D">
            <w:pPr>
              <w:jc w:val="right"/>
              <w:textAlignment w:val="bottom"/>
            </w:pPr>
            <w:r>
              <w:rPr>
                <w:rFonts w:ascii="Arial" w:eastAsia="宋体" w:hAnsi="Arial" w:cs="Arial"/>
                <w:color w:val="000000"/>
                <w:sz w:val="12"/>
                <w:szCs w:val="12"/>
              </w:rPr>
              <w:t>2,103 </w:t>
            </w:r>
          </w:p>
        </w:tc>
        <w:tc>
          <w:tcPr>
            <w:tcW w:w="0" w:type="auto"/>
            <w:shd w:val="clear" w:color="auto" w:fill="FFFFFF"/>
            <w:tcMar>
              <w:top w:w="40" w:type="dxa"/>
              <w:left w:w="0" w:type="dxa"/>
              <w:bottom w:w="40" w:type="dxa"/>
              <w:right w:w="20" w:type="dxa"/>
            </w:tcMar>
            <w:vAlign w:val="bottom"/>
          </w:tcPr>
          <w:p w14:paraId="74DD60E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0E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0E3" w14:textId="77777777" w:rsidR="00584EC1" w:rsidRDefault="00871F8D">
            <w:pPr>
              <w:jc w:val="right"/>
              <w:textAlignment w:val="bottom"/>
            </w:pPr>
            <w:r>
              <w:rPr>
                <w:rFonts w:ascii="Arial" w:eastAsia="宋体" w:hAnsi="Arial" w:cs="Arial"/>
                <w:color w:val="000000"/>
                <w:sz w:val="12"/>
                <w:szCs w:val="12"/>
              </w:rPr>
              <w:t>1 </w:t>
            </w:r>
          </w:p>
        </w:tc>
        <w:tc>
          <w:tcPr>
            <w:tcW w:w="0" w:type="auto"/>
            <w:shd w:val="clear" w:color="auto" w:fill="FFFFFF"/>
            <w:tcMar>
              <w:top w:w="40" w:type="dxa"/>
              <w:left w:w="0" w:type="dxa"/>
              <w:bottom w:w="40" w:type="dxa"/>
              <w:right w:w="20" w:type="dxa"/>
            </w:tcMar>
            <w:vAlign w:val="bottom"/>
          </w:tcPr>
          <w:p w14:paraId="74DD60E4" w14:textId="77777777" w:rsidR="00584EC1" w:rsidRDefault="00584EC1">
            <w:pPr>
              <w:jc w:val="right"/>
              <w:rPr>
                <w:rFonts w:ascii="宋体"/>
              </w:rPr>
            </w:pPr>
          </w:p>
        </w:tc>
        <w:tc>
          <w:tcPr>
            <w:tcW w:w="0" w:type="auto"/>
            <w:gridSpan w:val="3"/>
            <w:shd w:val="clear" w:color="auto" w:fill="auto"/>
            <w:vAlign w:val="bottom"/>
          </w:tcPr>
          <w:p w14:paraId="74DD60E5" w14:textId="77777777" w:rsidR="00584EC1" w:rsidRDefault="00584EC1">
            <w:pPr>
              <w:rPr>
                <w:rFonts w:ascii="宋体"/>
                <w:vanish/>
              </w:rPr>
            </w:pPr>
          </w:p>
        </w:tc>
        <w:tc>
          <w:tcPr>
            <w:tcW w:w="0" w:type="auto"/>
            <w:gridSpan w:val="3"/>
            <w:shd w:val="clear" w:color="auto" w:fill="auto"/>
            <w:vAlign w:val="bottom"/>
          </w:tcPr>
          <w:p w14:paraId="74DD60E6" w14:textId="77777777" w:rsidR="00584EC1" w:rsidRDefault="00584EC1">
            <w:pPr>
              <w:rPr>
                <w:rFonts w:ascii="宋体"/>
                <w:vanish/>
              </w:rPr>
            </w:pPr>
          </w:p>
        </w:tc>
        <w:tc>
          <w:tcPr>
            <w:tcW w:w="0" w:type="auto"/>
            <w:gridSpan w:val="3"/>
            <w:shd w:val="clear" w:color="auto" w:fill="auto"/>
            <w:vAlign w:val="bottom"/>
          </w:tcPr>
          <w:p w14:paraId="74DD60E7" w14:textId="77777777" w:rsidR="00584EC1" w:rsidRDefault="00584EC1">
            <w:pPr>
              <w:rPr>
                <w:rFonts w:ascii="宋体"/>
                <w:vanish/>
              </w:rPr>
            </w:pPr>
          </w:p>
        </w:tc>
        <w:tc>
          <w:tcPr>
            <w:tcW w:w="0" w:type="auto"/>
            <w:gridSpan w:val="3"/>
            <w:shd w:val="clear" w:color="auto" w:fill="auto"/>
            <w:vAlign w:val="bottom"/>
          </w:tcPr>
          <w:p w14:paraId="74DD60E8" w14:textId="77777777" w:rsidR="00584EC1" w:rsidRDefault="00584EC1">
            <w:pPr>
              <w:rPr>
                <w:rFonts w:ascii="宋体"/>
                <w:vanish/>
              </w:rPr>
            </w:pPr>
          </w:p>
        </w:tc>
        <w:tc>
          <w:tcPr>
            <w:tcW w:w="0" w:type="auto"/>
            <w:gridSpan w:val="3"/>
            <w:shd w:val="clear" w:color="auto" w:fill="auto"/>
            <w:vAlign w:val="bottom"/>
          </w:tcPr>
          <w:p w14:paraId="74DD60E9" w14:textId="77777777" w:rsidR="00584EC1" w:rsidRDefault="00584EC1">
            <w:pPr>
              <w:rPr>
                <w:rFonts w:ascii="宋体"/>
                <w:vanish/>
              </w:rPr>
            </w:pPr>
          </w:p>
        </w:tc>
      </w:tr>
      <w:tr w:rsidR="00584EC1" w14:paraId="74DD60F9" w14:textId="77777777">
        <w:tc>
          <w:tcPr>
            <w:tcW w:w="0" w:type="auto"/>
            <w:gridSpan w:val="3"/>
            <w:shd w:val="clear" w:color="auto" w:fill="CCEEFF"/>
            <w:tcMar>
              <w:top w:w="40" w:type="dxa"/>
              <w:left w:w="20" w:type="dxa"/>
              <w:bottom w:w="40" w:type="dxa"/>
              <w:right w:w="20" w:type="dxa"/>
            </w:tcMar>
            <w:vAlign w:val="bottom"/>
          </w:tcPr>
          <w:p w14:paraId="74DD60EB" w14:textId="77777777" w:rsidR="00584EC1" w:rsidRDefault="00871F8D">
            <w:pPr>
              <w:textAlignment w:val="bottom"/>
            </w:pPr>
            <w:r>
              <w:rPr>
                <w:rFonts w:ascii="Arial" w:eastAsia="宋体" w:hAnsi="Arial" w:cs="Arial"/>
                <w:color w:val="000000"/>
                <w:sz w:val="12"/>
                <w:szCs w:val="12"/>
              </w:rPr>
              <w:t>Income b</w:t>
            </w:r>
            <w:r>
              <w:rPr>
                <w:rFonts w:ascii="Arial" w:eastAsia="宋体" w:hAnsi="Arial" w:cs="Arial"/>
                <w:color w:val="000000"/>
                <w:sz w:val="12"/>
                <w:szCs w:val="12"/>
              </w:rPr>
              <w:t>efore income tax expense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60EC" w14:textId="77777777" w:rsidR="00584EC1" w:rsidRDefault="00871F8D">
            <w:pPr>
              <w:jc w:val="right"/>
              <w:textAlignment w:val="bottom"/>
            </w:pPr>
            <w:r>
              <w:rPr>
                <w:rFonts w:ascii="Arial" w:eastAsia="宋体" w:hAnsi="Arial" w:cs="Arial"/>
                <w:b/>
                <w:bCs/>
                <w:color w:val="000000"/>
                <w:sz w:val="12"/>
                <w:szCs w:val="12"/>
              </w:rPr>
              <w:t>876</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60E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0EE"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60EF" w14:textId="77777777" w:rsidR="00584EC1" w:rsidRDefault="00871F8D">
            <w:pPr>
              <w:jc w:val="right"/>
              <w:textAlignment w:val="bottom"/>
            </w:pPr>
            <w:r>
              <w:rPr>
                <w:rFonts w:ascii="Arial" w:eastAsia="宋体" w:hAnsi="Arial" w:cs="Arial"/>
                <w:color w:val="000000"/>
                <w:sz w:val="12"/>
                <w:szCs w:val="12"/>
              </w:rPr>
              <w:t>681 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60F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0F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0F2" w14:textId="77777777" w:rsidR="00584EC1" w:rsidRDefault="00871F8D">
            <w:pPr>
              <w:jc w:val="right"/>
              <w:textAlignment w:val="bottom"/>
            </w:pPr>
            <w:r>
              <w:rPr>
                <w:rFonts w:ascii="Arial" w:eastAsia="宋体" w:hAnsi="Arial" w:cs="Arial"/>
                <w:color w:val="000000"/>
                <w:sz w:val="12"/>
                <w:szCs w:val="12"/>
              </w:rPr>
              <w:t>29 </w:t>
            </w:r>
          </w:p>
        </w:tc>
        <w:tc>
          <w:tcPr>
            <w:tcW w:w="0" w:type="auto"/>
            <w:shd w:val="clear" w:color="auto" w:fill="CCEEFF"/>
            <w:tcMar>
              <w:top w:w="40" w:type="dxa"/>
              <w:left w:w="0" w:type="dxa"/>
              <w:bottom w:w="40" w:type="dxa"/>
              <w:right w:w="20" w:type="dxa"/>
            </w:tcMar>
            <w:vAlign w:val="bottom"/>
          </w:tcPr>
          <w:p w14:paraId="74DD60F3" w14:textId="77777777" w:rsidR="00584EC1" w:rsidRDefault="00584EC1">
            <w:pPr>
              <w:jc w:val="right"/>
              <w:rPr>
                <w:rFonts w:ascii="宋体"/>
              </w:rPr>
            </w:pPr>
          </w:p>
        </w:tc>
        <w:tc>
          <w:tcPr>
            <w:tcW w:w="0" w:type="auto"/>
            <w:gridSpan w:val="3"/>
            <w:shd w:val="clear" w:color="auto" w:fill="auto"/>
            <w:vAlign w:val="bottom"/>
          </w:tcPr>
          <w:p w14:paraId="74DD60F4" w14:textId="77777777" w:rsidR="00584EC1" w:rsidRDefault="00584EC1">
            <w:pPr>
              <w:rPr>
                <w:rFonts w:ascii="宋体"/>
                <w:vanish/>
              </w:rPr>
            </w:pPr>
          </w:p>
        </w:tc>
        <w:tc>
          <w:tcPr>
            <w:tcW w:w="0" w:type="auto"/>
            <w:gridSpan w:val="3"/>
            <w:shd w:val="clear" w:color="auto" w:fill="auto"/>
            <w:vAlign w:val="bottom"/>
          </w:tcPr>
          <w:p w14:paraId="74DD60F5" w14:textId="77777777" w:rsidR="00584EC1" w:rsidRDefault="00584EC1">
            <w:pPr>
              <w:rPr>
                <w:rFonts w:ascii="宋体"/>
                <w:vanish/>
              </w:rPr>
            </w:pPr>
          </w:p>
        </w:tc>
        <w:tc>
          <w:tcPr>
            <w:tcW w:w="0" w:type="auto"/>
            <w:gridSpan w:val="3"/>
            <w:shd w:val="clear" w:color="auto" w:fill="auto"/>
            <w:vAlign w:val="bottom"/>
          </w:tcPr>
          <w:p w14:paraId="74DD60F6" w14:textId="77777777" w:rsidR="00584EC1" w:rsidRDefault="00584EC1">
            <w:pPr>
              <w:rPr>
                <w:rFonts w:ascii="宋体"/>
                <w:vanish/>
              </w:rPr>
            </w:pPr>
          </w:p>
        </w:tc>
        <w:tc>
          <w:tcPr>
            <w:tcW w:w="0" w:type="auto"/>
            <w:gridSpan w:val="3"/>
            <w:shd w:val="clear" w:color="auto" w:fill="auto"/>
            <w:vAlign w:val="bottom"/>
          </w:tcPr>
          <w:p w14:paraId="74DD60F7" w14:textId="77777777" w:rsidR="00584EC1" w:rsidRDefault="00584EC1">
            <w:pPr>
              <w:rPr>
                <w:rFonts w:ascii="宋体"/>
                <w:vanish/>
              </w:rPr>
            </w:pPr>
          </w:p>
        </w:tc>
        <w:tc>
          <w:tcPr>
            <w:tcW w:w="0" w:type="auto"/>
            <w:gridSpan w:val="3"/>
            <w:shd w:val="clear" w:color="auto" w:fill="auto"/>
            <w:vAlign w:val="bottom"/>
          </w:tcPr>
          <w:p w14:paraId="74DD60F8" w14:textId="77777777" w:rsidR="00584EC1" w:rsidRDefault="00584EC1">
            <w:pPr>
              <w:rPr>
                <w:rFonts w:ascii="宋体"/>
                <w:vanish/>
              </w:rPr>
            </w:pPr>
          </w:p>
        </w:tc>
      </w:tr>
      <w:tr w:rsidR="00584EC1" w14:paraId="74DD6108" w14:textId="77777777">
        <w:tc>
          <w:tcPr>
            <w:tcW w:w="0" w:type="auto"/>
            <w:gridSpan w:val="3"/>
            <w:shd w:val="clear" w:color="auto" w:fill="FFFFFF"/>
            <w:tcMar>
              <w:top w:w="40" w:type="dxa"/>
              <w:left w:w="20" w:type="dxa"/>
              <w:bottom w:w="40" w:type="dxa"/>
              <w:right w:w="20" w:type="dxa"/>
            </w:tcMar>
            <w:vAlign w:val="bottom"/>
          </w:tcPr>
          <w:p w14:paraId="74DD60FA" w14:textId="77777777" w:rsidR="00584EC1" w:rsidRDefault="00871F8D">
            <w:pPr>
              <w:textAlignment w:val="bottom"/>
            </w:pPr>
            <w:r>
              <w:rPr>
                <w:rFonts w:ascii="Arial" w:eastAsia="宋体" w:hAnsi="Arial" w:cs="Arial"/>
                <w:color w:val="000000"/>
                <w:sz w:val="12"/>
                <w:szCs w:val="12"/>
              </w:rPr>
              <w:t xml:space="preserve">Income tax expense </w:t>
            </w:r>
          </w:p>
        </w:tc>
        <w:tc>
          <w:tcPr>
            <w:tcW w:w="0" w:type="auto"/>
            <w:gridSpan w:val="2"/>
            <w:shd w:val="clear" w:color="auto" w:fill="FFFFFF"/>
            <w:tcMar>
              <w:top w:w="40" w:type="dxa"/>
              <w:left w:w="20" w:type="dxa"/>
              <w:bottom w:w="40" w:type="dxa"/>
              <w:right w:w="0" w:type="dxa"/>
            </w:tcMar>
            <w:vAlign w:val="bottom"/>
          </w:tcPr>
          <w:p w14:paraId="74DD60FB" w14:textId="77777777" w:rsidR="00584EC1" w:rsidRDefault="00871F8D">
            <w:pPr>
              <w:jc w:val="right"/>
              <w:textAlignment w:val="bottom"/>
            </w:pPr>
            <w:r>
              <w:rPr>
                <w:rFonts w:ascii="Arial" w:eastAsia="宋体" w:hAnsi="Arial" w:cs="Arial"/>
                <w:b/>
                <w:bCs/>
                <w:color w:val="000000"/>
                <w:sz w:val="12"/>
                <w:szCs w:val="12"/>
              </w:rPr>
              <w:t>162</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60F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0F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0FE" w14:textId="77777777" w:rsidR="00584EC1" w:rsidRDefault="00871F8D">
            <w:pPr>
              <w:jc w:val="right"/>
              <w:textAlignment w:val="bottom"/>
            </w:pPr>
            <w:r>
              <w:rPr>
                <w:rFonts w:ascii="Arial" w:eastAsia="宋体" w:hAnsi="Arial" w:cs="Arial"/>
                <w:color w:val="000000"/>
                <w:sz w:val="12"/>
                <w:szCs w:val="12"/>
              </w:rPr>
              <w:t>126 </w:t>
            </w:r>
          </w:p>
        </w:tc>
        <w:tc>
          <w:tcPr>
            <w:tcW w:w="0" w:type="auto"/>
            <w:shd w:val="clear" w:color="auto" w:fill="FFFFFF"/>
            <w:tcMar>
              <w:top w:w="40" w:type="dxa"/>
              <w:left w:w="0" w:type="dxa"/>
              <w:bottom w:w="40" w:type="dxa"/>
              <w:right w:w="20" w:type="dxa"/>
            </w:tcMar>
            <w:vAlign w:val="bottom"/>
          </w:tcPr>
          <w:p w14:paraId="74DD60F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10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101" w14:textId="77777777" w:rsidR="00584EC1" w:rsidRDefault="00871F8D">
            <w:pPr>
              <w:jc w:val="right"/>
              <w:textAlignment w:val="bottom"/>
            </w:pPr>
            <w:r>
              <w:rPr>
                <w:rFonts w:ascii="Arial" w:eastAsia="宋体" w:hAnsi="Arial" w:cs="Arial"/>
                <w:color w:val="000000"/>
                <w:sz w:val="12"/>
                <w:szCs w:val="12"/>
              </w:rPr>
              <w:t>29 </w:t>
            </w:r>
          </w:p>
        </w:tc>
        <w:tc>
          <w:tcPr>
            <w:tcW w:w="0" w:type="auto"/>
            <w:shd w:val="clear" w:color="auto" w:fill="FFFFFF"/>
            <w:tcMar>
              <w:top w:w="40" w:type="dxa"/>
              <w:left w:w="0" w:type="dxa"/>
              <w:bottom w:w="40" w:type="dxa"/>
              <w:right w:w="20" w:type="dxa"/>
            </w:tcMar>
            <w:vAlign w:val="bottom"/>
          </w:tcPr>
          <w:p w14:paraId="74DD6102" w14:textId="77777777" w:rsidR="00584EC1" w:rsidRDefault="00584EC1">
            <w:pPr>
              <w:jc w:val="right"/>
              <w:rPr>
                <w:rFonts w:ascii="宋体"/>
              </w:rPr>
            </w:pPr>
          </w:p>
        </w:tc>
        <w:tc>
          <w:tcPr>
            <w:tcW w:w="0" w:type="auto"/>
            <w:gridSpan w:val="3"/>
            <w:shd w:val="clear" w:color="auto" w:fill="auto"/>
            <w:vAlign w:val="bottom"/>
          </w:tcPr>
          <w:p w14:paraId="74DD6103" w14:textId="77777777" w:rsidR="00584EC1" w:rsidRDefault="00584EC1">
            <w:pPr>
              <w:rPr>
                <w:rFonts w:ascii="宋体"/>
                <w:vanish/>
              </w:rPr>
            </w:pPr>
          </w:p>
        </w:tc>
        <w:tc>
          <w:tcPr>
            <w:tcW w:w="0" w:type="auto"/>
            <w:gridSpan w:val="3"/>
            <w:shd w:val="clear" w:color="auto" w:fill="auto"/>
            <w:vAlign w:val="bottom"/>
          </w:tcPr>
          <w:p w14:paraId="74DD6104" w14:textId="77777777" w:rsidR="00584EC1" w:rsidRDefault="00584EC1">
            <w:pPr>
              <w:rPr>
                <w:rFonts w:ascii="宋体"/>
                <w:vanish/>
              </w:rPr>
            </w:pPr>
          </w:p>
        </w:tc>
        <w:tc>
          <w:tcPr>
            <w:tcW w:w="0" w:type="auto"/>
            <w:gridSpan w:val="3"/>
            <w:shd w:val="clear" w:color="auto" w:fill="auto"/>
            <w:vAlign w:val="bottom"/>
          </w:tcPr>
          <w:p w14:paraId="74DD6105" w14:textId="77777777" w:rsidR="00584EC1" w:rsidRDefault="00584EC1">
            <w:pPr>
              <w:rPr>
                <w:rFonts w:ascii="宋体"/>
                <w:vanish/>
              </w:rPr>
            </w:pPr>
          </w:p>
        </w:tc>
        <w:tc>
          <w:tcPr>
            <w:tcW w:w="0" w:type="auto"/>
            <w:gridSpan w:val="3"/>
            <w:shd w:val="clear" w:color="auto" w:fill="auto"/>
            <w:vAlign w:val="bottom"/>
          </w:tcPr>
          <w:p w14:paraId="74DD6106" w14:textId="77777777" w:rsidR="00584EC1" w:rsidRDefault="00584EC1">
            <w:pPr>
              <w:rPr>
                <w:rFonts w:ascii="宋体"/>
                <w:vanish/>
              </w:rPr>
            </w:pPr>
          </w:p>
        </w:tc>
        <w:tc>
          <w:tcPr>
            <w:tcW w:w="0" w:type="auto"/>
            <w:gridSpan w:val="3"/>
            <w:shd w:val="clear" w:color="auto" w:fill="auto"/>
            <w:vAlign w:val="bottom"/>
          </w:tcPr>
          <w:p w14:paraId="74DD6107" w14:textId="77777777" w:rsidR="00584EC1" w:rsidRDefault="00584EC1">
            <w:pPr>
              <w:rPr>
                <w:rFonts w:ascii="宋体"/>
                <w:vanish/>
              </w:rPr>
            </w:pPr>
          </w:p>
        </w:tc>
      </w:tr>
      <w:tr w:rsidR="00584EC1" w14:paraId="74DD6114" w14:textId="77777777">
        <w:trPr>
          <w:hidden/>
        </w:trPr>
        <w:tc>
          <w:tcPr>
            <w:tcW w:w="0" w:type="auto"/>
            <w:gridSpan w:val="3"/>
            <w:shd w:val="clear" w:color="auto" w:fill="auto"/>
            <w:vAlign w:val="bottom"/>
          </w:tcPr>
          <w:p w14:paraId="74DD6109" w14:textId="77777777" w:rsidR="00584EC1" w:rsidRDefault="00584EC1">
            <w:pPr>
              <w:rPr>
                <w:rFonts w:ascii="宋体"/>
                <w:vanish/>
              </w:rPr>
            </w:pPr>
          </w:p>
        </w:tc>
        <w:tc>
          <w:tcPr>
            <w:tcW w:w="0" w:type="auto"/>
            <w:gridSpan w:val="3"/>
            <w:shd w:val="clear" w:color="auto" w:fill="auto"/>
            <w:vAlign w:val="bottom"/>
          </w:tcPr>
          <w:p w14:paraId="74DD610A" w14:textId="77777777" w:rsidR="00584EC1" w:rsidRDefault="00584EC1">
            <w:pPr>
              <w:rPr>
                <w:rFonts w:ascii="宋体"/>
                <w:vanish/>
              </w:rPr>
            </w:pPr>
          </w:p>
        </w:tc>
        <w:tc>
          <w:tcPr>
            <w:tcW w:w="0" w:type="auto"/>
            <w:gridSpan w:val="3"/>
            <w:shd w:val="clear" w:color="auto" w:fill="auto"/>
            <w:vAlign w:val="bottom"/>
          </w:tcPr>
          <w:p w14:paraId="74DD610B" w14:textId="77777777" w:rsidR="00584EC1" w:rsidRDefault="00584EC1">
            <w:pPr>
              <w:rPr>
                <w:rFonts w:ascii="宋体"/>
                <w:vanish/>
              </w:rPr>
            </w:pPr>
          </w:p>
        </w:tc>
        <w:tc>
          <w:tcPr>
            <w:tcW w:w="0" w:type="auto"/>
            <w:gridSpan w:val="3"/>
            <w:shd w:val="clear" w:color="auto" w:fill="auto"/>
            <w:vAlign w:val="bottom"/>
          </w:tcPr>
          <w:p w14:paraId="74DD610C" w14:textId="77777777" w:rsidR="00584EC1" w:rsidRDefault="00584EC1">
            <w:pPr>
              <w:rPr>
                <w:rFonts w:ascii="宋体"/>
                <w:vanish/>
              </w:rPr>
            </w:pPr>
          </w:p>
        </w:tc>
        <w:tc>
          <w:tcPr>
            <w:tcW w:w="0" w:type="auto"/>
            <w:gridSpan w:val="3"/>
            <w:shd w:val="clear" w:color="auto" w:fill="auto"/>
            <w:vAlign w:val="bottom"/>
          </w:tcPr>
          <w:p w14:paraId="74DD610D" w14:textId="77777777" w:rsidR="00584EC1" w:rsidRDefault="00584EC1">
            <w:pPr>
              <w:rPr>
                <w:rFonts w:ascii="宋体"/>
                <w:vanish/>
              </w:rPr>
            </w:pPr>
          </w:p>
        </w:tc>
        <w:tc>
          <w:tcPr>
            <w:tcW w:w="0" w:type="auto"/>
            <w:gridSpan w:val="3"/>
            <w:shd w:val="clear" w:color="auto" w:fill="auto"/>
            <w:vAlign w:val="bottom"/>
          </w:tcPr>
          <w:p w14:paraId="74DD610E" w14:textId="77777777" w:rsidR="00584EC1" w:rsidRDefault="00584EC1">
            <w:pPr>
              <w:rPr>
                <w:rFonts w:ascii="宋体"/>
                <w:vanish/>
              </w:rPr>
            </w:pPr>
          </w:p>
        </w:tc>
        <w:tc>
          <w:tcPr>
            <w:tcW w:w="0" w:type="auto"/>
            <w:gridSpan w:val="3"/>
            <w:shd w:val="clear" w:color="auto" w:fill="auto"/>
            <w:vAlign w:val="bottom"/>
          </w:tcPr>
          <w:p w14:paraId="74DD610F" w14:textId="77777777" w:rsidR="00584EC1" w:rsidRDefault="00584EC1">
            <w:pPr>
              <w:rPr>
                <w:rFonts w:ascii="宋体"/>
                <w:vanish/>
              </w:rPr>
            </w:pPr>
          </w:p>
        </w:tc>
        <w:tc>
          <w:tcPr>
            <w:tcW w:w="0" w:type="auto"/>
            <w:gridSpan w:val="3"/>
            <w:shd w:val="clear" w:color="auto" w:fill="auto"/>
            <w:vAlign w:val="bottom"/>
          </w:tcPr>
          <w:p w14:paraId="74DD6110" w14:textId="77777777" w:rsidR="00584EC1" w:rsidRDefault="00584EC1">
            <w:pPr>
              <w:rPr>
                <w:rFonts w:ascii="宋体"/>
                <w:vanish/>
              </w:rPr>
            </w:pPr>
          </w:p>
        </w:tc>
        <w:tc>
          <w:tcPr>
            <w:tcW w:w="0" w:type="auto"/>
            <w:gridSpan w:val="3"/>
            <w:shd w:val="clear" w:color="auto" w:fill="auto"/>
            <w:vAlign w:val="bottom"/>
          </w:tcPr>
          <w:p w14:paraId="74DD6111" w14:textId="77777777" w:rsidR="00584EC1" w:rsidRDefault="00584EC1">
            <w:pPr>
              <w:rPr>
                <w:rFonts w:ascii="宋体"/>
                <w:vanish/>
              </w:rPr>
            </w:pPr>
          </w:p>
        </w:tc>
        <w:tc>
          <w:tcPr>
            <w:tcW w:w="0" w:type="auto"/>
            <w:gridSpan w:val="3"/>
            <w:shd w:val="clear" w:color="auto" w:fill="auto"/>
            <w:vAlign w:val="bottom"/>
          </w:tcPr>
          <w:p w14:paraId="74DD6112" w14:textId="77777777" w:rsidR="00584EC1" w:rsidRDefault="00584EC1">
            <w:pPr>
              <w:rPr>
                <w:rFonts w:ascii="宋体"/>
                <w:vanish/>
              </w:rPr>
            </w:pPr>
          </w:p>
        </w:tc>
        <w:tc>
          <w:tcPr>
            <w:tcW w:w="0" w:type="auto"/>
            <w:gridSpan w:val="3"/>
            <w:shd w:val="clear" w:color="auto" w:fill="auto"/>
            <w:vAlign w:val="bottom"/>
          </w:tcPr>
          <w:p w14:paraId="74DD6113" w14:textId="77777777" w:rsidR="00584EC1" w:rsidRDefault="00584EC1">
            <w:pPr>
              <w:rPr>
                <w:rFonts w:ascii="宋体"/>
                <w:vanish/>
              </w:rPr>
            </w:pPr>
          </w:p>
        </w:tc>
      </w:tr>
      <w:tr w:rsidR="00584EC1" w14:paraId="74DD6125" w14:textId="77777777">
        <w:tc>
          <w:tcPr>
            <w:tcW w:w="0" w:type="auto"/>
            <w:gridSpan w:val="3"/>
            <w:shd w:val="clear" w:color="auto" w:fill="CCEEFF"/>
            <w:tcMar>
              <w:top w:w="40" w:type="dxa"/>
              <w:left w:w="20" w:type="dxa"/>
              <w:bottom w:w="40" w:type="dxa"/>
              <w:right w:w="20" w:type="dxa"/>
            </w:tcMar>
            <w:vAlign w:val="bottom"/>
          </w:tcPr>
          <w:p w14:paraId="74DD6115" w14:textId="77777777" w:rsidR="00584EC1" w:rsidRDefault="00871F8D">
            <w:pPr>
              <w:textAlignment w:val="bottom"/>
            </w:pPr>
            <w:r>
              <w:rPr>
                <w:rFonts w:ascii="Arial" w:eastAsia="宋体" w:hAnsi="Arial" w:cs="Arial"/>
                <w:color w:val="000000"/>
                <w:sz w:val="12"/>
                <w:szCs w:val="12"/>
              </w:rPr>
              <w:t>Net income</w:t>
            </w:r>
          </w:p>
        </w:tc>
        <w:tc>
          <w:tcPr>
            <w:tcW w:w="0" w:type="auto"/>
            <w:tcBorders>
              <w:top w:val="single" w:sz="8" w:space="0" w:color="000000"/>
            </w:tcBorders>
            <w:shd w:val="clear" w:color="auto" w:fill="CCEEFF"/>
            <w:tcMar>
              <w:top w:w="40" w:type="dxa"/>
              <w:left w:w="20" w:type="dxa"/>
              <w:bottom w:w="40" w:type="dxa"/>
              <w:right w:w="0" w:type="dxa"/>
            </w:tcMar>
            <w:vAlign w:val="bottom"/>
          </w:tcPr>
          <w:p w14:paraId="74DD6116"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6117" w14:textId="77777777" w:rsidR="00584EC1" w:rsidRDefault="00871F8D">
            <w:pPr>
              <w:jc w:val="right"/>
              <w:textAlignment w:val="bottom"/>
            </w:pPr>
            <w:r>
              <w:rPr>
                <w:rFonts w:ascii="Arial" w:eastAsia="宋体" w:hAnsi="Arial" w:cs="Arial"/>
                <w:b/>
                <w:bCs/>
                <w:color w:val="000000"/>
                <w:sz w:val="12"/>
                <w:szCs w:val="12"/>
              </w:rPr>
              <w:t>714</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611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119"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611A"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611B" w14:textId="77777777" w:rsidR="00584EC1" w:rsidRDefault="00871F8D">
            <w:pPr>
              <w:jc w:val="right"/>
              <w:textAlignment w:val="bottom"/>
            </w:pPr>
            <w:r>
              <w:rPr>
                <w:rFonts w:ascii="Arial" w:eastAsia="宋体" w:hAnsi="Arial" w:cs="Arial"/>
                <w:color w:val="000000"/>
                <w:sz w:val="12"/>
                <w:szCs w:val="12"/>
              </w:rPr>
              <w:t>555 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611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11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11E" w14:textId="77777777" w:rsidR="00584EC1" w:rsidRDefault="00871F8D">
            <w:pPr>
              <w:jc w:val="right"/>
              <w:textAlignment w:val="bottom"/>
            </w:pPr>
            <w:r>
              <w:rPr>
                <w:rFonts w:ascii="Arial" w:eastAsia="宋体" w:hAnsi="Arial" w:cs="Arial"/>
                <w:color w:val="000000"/>
                <w:sz w:val="12"/>
                <w:szCs w:val="12"/>
              </w:rPr>
              <w:t>29 </w:t>
            </w:r>
          </w:p>
        </w:tc>
        <w:tc>
          <w:tcPr>
            <w:tcW w:w="0" w:type="auto"/>
            <w:shd w:val="clear" w:color="auto" w:fill="CCEEFF"/>
            <w:tcMar>
              <w:top w:w="40" w:type="dxa"/>
              <w:left w:w="0" w:type="dxa"/>
              <w:bottom w:w="40" w:type="dxa"/>
              <w:right w:w="20" w:type="dxa"/>
            </w:tcMar>
            <w:vAlign w:val="bottom"/>
          </w:tcPr>
          <w:p w14:paraId="74DD611F" w14:textId="77777777" w:rsidR="00584EC1" w:rsidRDefault="00584EC1">
            <w:pPr>
              <w:jc w:val="right"/>
              <w:rPr>
                <w:rFonts w:ascii="宋体"/>
              </w:rPr>
            </w:pPr>
          </w:p>
        </w:tc>
        <w:tc>
          <w:tcPr>
            <w:tcW w:w="0" w:type="auto"/>
            <w:gridSpan w:val="3"/>
            <w:shd w:val="clear" w:color="auto" w:fill="auto"/>
            <w:vAlign w:val="bottom"/>
          </w:tcPr>
          <w:p w14:paraId="74DD6120" w14:textId="77777777" w:rsidR="00584EC1" w:rsidRDefault="00584EC1">
            <w:pPr>
              <w:rPr>
                <w:rFonts w:ascii="宋体"/>
                <w:vanish/>
              </w:rPr>
            </w:pPr>
          </w:p>
        </w:tc>
        <w:tc>
          <w:tcPr>
            <w:tcW w:w="0" w:type="auto"/>
            <w:gridSpan w:val="3"/>
            <w:shd w:val="clear" w:color="auto" w:fill="auto"/>
            <w:vAlign w:val="bottom"/>
          </w:tcPr>
          <w:p w14:paraId="74DD6121" w14:textId="77777777" w:rsidR="00584EC1" w:rsidRDefault="00584EC1">
            <w:pPr>
              <w:rPr>
                <w:rFonts w:ascii="宋体"/>
                <w:vanish/>
              </w:rPr>
            </w:pPr>
          </w:p>
        </w:tc>
        <w:tc>
          <w:tcPr>
            <w:tcW w:w="0" w:type="auto"/>
            <w:gridSpan w:val="3"/>
            <w:shd w:val="clear" w:color="auto" w:fill="auto"/>
            <w:vAlign w:val="bottom"/>
          </w:tcPr>
          <w:p w14:paraId="74DD6122" w14:textId="77777777" w:rsidR="00584EC1" w:rsidRDefault="00584EC1">
            <w:pPr>
              <w:rPr>
                <w:rFonts w:ascii="宋体"/>
                <w:vanish/>
              </w:rPr>
            </w:pPr>
          </w:p>
        </w:tc>
        <w:tc>
          <w:tcPr>
            <w:tcW w:w="0" w:type="auto"/>
            <w:gridSpan w:val="3"/>
            <w:shd w:val="clear" w:color="auto" w:fill="auto"/>
            <w:vAlign w:val="bottom"/>
          </w:tcPr>
          <w:p w14:paraId="74DD6123" w14:textId="77777777" w:rsidR="00584EC1" w:rsidRDefault="00584EC1">
            <w:pPr>
              <w:rPr>
                <w:rFonts w:ascii="宋体"/>
                <w:vanish/>
              </w:rPr>
            </w:pPr>
          </w:p>
        </w:tc>
        <w:tc>
          <w:tcPr>
            <w:tcW w:w="0" w:type="auto"/>
            <w:gridSpan w:val="3"/>
            <w:shd w:val="clear" w:color="auto" w:fill="auto"/>
            <w:vAlign w:val="bottom"/>
          </w:tcPr>
          <w:p w14:paraId="74DD6124" w14:textId="77777777" w:rsidR="00584EC1" w:rsidRDefault="00584EC1">
            <w:pPr>
              <w:rPr>
                <w:rFonts w:ascii="宋体"/>
                <w:vanish/>
              </w:rPr>
            </w:pPr>
          </w:p>
        </w:tc>
      </w:tr>
      <w:tr w:rsidR="00584EC1" w14:paraId="74DD6131" w14:textId="77777777">
        <w:tc>
          <w:tcPr>
            <w:tcW w:w="0" w:type="auto"/>
            <w:gridSpan w:val="3"/>
            <w:shd w:val="clear" w:color="auto" w:fill="FFFFFF"/>
            <w:tcMar>
              <w:top w:w="40" w:type="dxa"/>
              <w:left w:w="20" w:type="dxa"/>
              <w:bottom w:w="40" w:type="dxa"/>
              <w:right w:w="20" w:type="dxa"/>
            </w:tcMar>
            <w:vAlign w:val="bottom"/>
          </w:tcPr>
          <w:p w14:paraId="74DD6126" w14:textId="77777777" w:rsidR="00584EC1" w:rsidRDefault="00871F8D">
            <w:pPr>
              <w:textAlignment w:val="bottom"/>
            </w:pPr>
            <w:r>
              <w:rPr>
                <w:rFonts w:ascii="Arial" w:eastAsia="宋体" w:hAnsi="Arial" w:cs="Arial"/>
                <w:color w:val="000000"/>
                <w:sz w:val="12"/>
                <w:szCs w:val="12"/>
              </w:rPr>
              <w:t>Adjustments to net income:</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6127"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128"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6129"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12A"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12B" w14:textId="77777777" w:rsidR="00584EC1" w:rsidRDefault="00584EC1">
            <w:pPr>
              <w:rPr>
                <w:rFonts w:ascii="宋体"/>
              </w:rPr>
            </w:pPr>
          </w:p>
        </w:tc>
        <w:tc>
          <w:tcPr>
            <w:tcW w:w="0" w:type="auto"/>
            <w:gridSpan w:val="3"/>
            <w:shd w:val="clear" w:color="auto" w:fill="auto"/>
            <w:vAlign w:val="bottom"/>
          </w:tcPr>
          <w:p w14:paraId="74DD612C" w14:textId="77777777" w:rsidR="00584EC1" w:rsidRDefault="00584EC1">
            <w:pPr>
              <w:rPr>
                <w:rFonts w:ascii="宋体"/>
                <w:vanish/>
              </w:rPr>
            </w:pPr>
          </w:p>
        </w:tc>
        <w:tc>
          <w:tcPr>
            <w:tcW w:w="0" w:type="auto"/>
            <w:gridSpan w:val="3"/>
            <w:shd w:val="clear" w:color="auto" w:fill="auto"/>
            <w:vAlign w:val="bottom"/>
          </w:tcPr>
          <w:p w14:paraId="74DD612D" w14:textId="77777777" w:rsidR="00584EC1" w:rsidRDefault="00584EC1">
            <w:pPr>
              <w:rPr>
                <w:rFonts w:ascii="宋体"/>
                <w:vanish/>
              </w:rPr>
            </w:pPr>
          </w:p>
        </w:tc>
        <w:tc>
          <w:tcPr>
            <w:tcW w:w="0" w:type="auto"/>
            <w:gridSpan w:val="3"/>
            <w:shd w:val="clear" w:color="auto" w:fill="auto"/>
            <w:vAlign w:val="bottom"/>
          </w:tcPr>
          <w:p w14:paraId="74DD612E" w14:textId="77777777" w:rsidR="00584EC1" w:rsidRDefault="00584EC1">
            <w:pPr>
              <w:rPr>
                <w:rFonts w:ascii="宋体"/>
                <w:vanish/>
              </w:rPr>
            </w:pPr>
          </w:p>
        </w:tc>
        <w:tc>
          <w:tcPr>
            <w:tcW w:w="0" w:type="auto"/>
            <w:gridSpan w:val="3"/>
            <w:shd w:val="clear" w:color="auto" w:fill="auto"/>
            <w:vAlign w:val="bottom"/>
          </w:tcPr>
          <w:p w14:paraId="74DD612F" w14:textId="77777777" w:rsidR="00584EC1" w:rsidRDefault="00584EC1">
            <w:pPr>
              <w:rPr>
                <w:rFonts w:ascii="宋体"/>
                <w:vanish/>
              </w:rPr>
            </w:pPr>
          </w:p>
        </w:tc>
        <w:tc>
          <w:tcPr>
            <w:tcW w:w="0" w:type="auto"/>
            <w:gridSpan w:val="3"/>
            <w:shd w:val="clear" w:color="auto" w:fill="auto"/>
            <w:vAlign w:val="bottom"/>
          </w:tcPr>
          <w:p w14:paraId="74DD6130" w14:textId="77777777" w:rsidR="00584EC1" w:rsidRDefault="00584EC1">
            <w:pPr>
              <w:rPr>
                <w:rFonts w:ascii="宋体"/>
                <w:vanish/>
              </w:rPr>
            </w:pPr>
          </w:p>
        </w:tc>
      </w:tr>
      <w:tr w:rsidR="00584EC1" w14:paraId="74DD6142" w14:textId="77777777">
        <w:tc>
          <w:tcPr>
            <w:tcW w:w="0" w:type="auto"/>
            <w:gridSpan w:val="3"/>
            <w:shd w:val="clear" w:color="auto" w:fill="CCEEFF"/>
            <w:tcMar>
              <w:top w:w="40" w:type="dxa"/>
              <w:left w:w="20" w:type="dxa"/>
              <w:bottom w:w="40" w:type="dxa"/>
              <w:right w:w="20" w:type="dxa"/>
            </w:tcMar>
            <w:vAlign w:val="bottom"/>
          </w:tcPr>
          <w:p w14:paraId="74DD6132" w14:textId="77777777" w:rsidR="00584EC1" w:rsidRDefault="00871F8D">
            <w:pPr>
              <w:textAlignment w:val="bottom"/>
            </w:pPr>
            <w:r>
              <w:rPr>
                <w:rFonts w:ascii="Arial" w:eastAsia="宋体" w:hAnsi="Arial" w:cs="Arial"/>
                <w:color w:val="000000"/>
                <w:sz w:val="12"/>
                <w:szCs w:val="12"/>
              </w:rPr>
              <w:t>Dividends on preferred stock</w:t>
            </w:r>
            <w:r>
              <w:rPr>
                <w:rFonts w:ascii="Arial" w:eastAsia="宋体" w:hAnsi="Arial" w:cs="Arial"/>
                <w:color w:val="000000"/>
                <w:sz w:val="7"/>
                <w:szCs w:val="7"/>
              </w:rPr>
              <w:t>(1)</w:t>
            </w:r>
          </w:p>
        </w:tc>
        <w:tc>
          <w:tcPr>
            <w:tcW w:w="0" w:type="auto"/>
            <w:shd w:val="clear" w:color="auto" w:fill="CCEEFF"/>
            <w:tcMar>
              <w:top w:w="40" w:type="dxa"/>
              <w:left w:w="20" w:type="dxa"/>
              <w:bottom w:w="40" w:type="dxa"/>
              <w:right w:w="0" w:type="dxa"/>
            </w:tcMar>
            <w:vAlign w:val="bottom"/>
          </w:tcPr>
          <w:p w14:paraId="74DD6133" w14:textId="77777777" w:rsidR="00584EC1" w:rsidRDefault="00871F8D">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74DD6134" w14:textId="77777777" w:rsidR="00584EC1" w:rsidRDefault="00871F8D">
            <w:pPr>
              <w:jc w:val="right"/>
              <w:textAlignment w:val="bottom"/>
            </w:pPr>
            <w:r>
              <w:rPr>
                <w:rFonts w:ascii="Arial" w:eastAsia="宋体" w:hAnsi="Arial" w:cs="Arial"/>
                <w:b/>
                <w:bCs/>
                <w:color w:val="000000"/>
                <w:sz w:val="12"/>
                <w:szCs w:val="12"/>
              </w:rPr>
              <w:t>(21)</w:t>
            </w:r>
          </w:p>
        </w:tc>
        <w:tc>
          <w:tcPr>
            <w:tcW w:w="0" w:type="auto"/>
            <w:shd w:val="clear" w:color="auto" w:fill="CCEEFF"/>
            <w:tcMar>
              <w:top w:w="40" w:type="dxa"/>
              <w:left w:w="0" w:type="dxa"/>
              <w:bottom w:w="40" w:type="dxa"/>
              <w:right w:w="20" w:type="dxa"/>
            </w:tcMar>
            <w:vAlign w:val="bottom"/>
          </w:tcPr>
          <w:p w14:paraId="74DD613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136"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6137" w14:textId="77777777" w:rsidR="00584EC1" w:rsidRDefault="00871F8D">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74DD6138" w14:textId="77777777" w:rsidR="00584EC1" w:rsidRDefault="00871F8D">
            <w:pPr>
              <w:jc w:val="right"/>
              <w:textAlignment w:val="bottom"/>
            </w:pPr>
            <w:r>
              <w:rPr>
                <w:rFonts w:ascii="Arial" w:eastAsia="宋体" w:hAnsi="Arial" w:cs="Arial"/>
                <w:color w:val="000000"/>
                <w:sz w:val="12"/>
                <w:szCs w:val="12"/>
              </w:rPr>
              <w:t>(38)</w:t>
            </w:r>
          </w:p>
        </w:tc>
        <w:tc>
          <w:tcPr>
            <w:tcW w:w="0" w:type="auto"/>
            <w:shd w:val="clear" w:color="auto" w:fill="CCEEFF"/>
            <w:tcMar>
              <w:top w:w="40" w:type="dxa"/>
              <w:left w:w="0" w:type="dxa"/>
              <w:bottom w:w="40" w:type="dxa"/>
              <w:right w:w="20" w:type="dxa"/>
            </w:tcMar>
            <w:vAlign w:val="bottom"/>
          </w:tcPr>
          <w:p w14:paraId="74DD613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13A"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13B" w14:textId="77777777" w:rsidR="00584EC1" w:rsidRDefault="00871F8D">
            <w:pPr>
              <w:jc w:val="right"/>
              <w:textAlignment w:val="bottom"/>
            </w:pPr>
            <w:r>
              <w:rPr>
                <w:rFonts w:ascii="Arial" w:eastAsia="宋体" w:hAnsi="Arial" w:cs="Arial"/>
                <w:color w:val="000000"/>
                <w:sz w:val="12"/>
                <w:szCs w:val="12"/>
              </w:rPr>
              <w:t>(45)</w:t>
            </w:r>
          </w:p>
        </w:tc>
        <w:tc>
          <w:tcPr>
            <w:tcW w:w="0" w:type="auto"/>
            <w:shd w:val="clear" w:color="auto" w:fill="CCEEFF"/>
            <w:tcMar>
              <w:top w:w="40" w:type="dxa"/>
              <w:left w:w="0" w:type="dxa"/>
              <w:bottom w:w="40" w:type="dxa"/>
              <w:right w:w="20" w:type="dxa"/>
            </w:tcMar>
            <w:vAlign w:val="bottom"/>
          </w:tcPr>
          <w:p w14:paraId="74DD613C" w14:textId="77777777" w:rsidR="00584EC1" w:rsidRDefault="00584EC1">
            <w:pPr>
              <w:jc w:val="right"/>
              <w:rPr>
                <w:rFonts w:ascii="宋体"/>
              </w:rPr>
            </w:pPr>
          </w:p>
        </w:tc>
        <w:tc>
          <w:tcPr>
            <w:tcW w:w="0" w:type="auto"/>
            <w:gridSpan w:val="3"/>
            <w:shd w:val="clear" w:color="auto" w:fill="auto"/>
            <w:vAlign w:val="bottom"/>
          </w:tcPr>
          <w:p w14:paraId="74DD613D" w14:textId="77777777" w:rsidR="00584EC1" w:rsidRDefault="00584EC1">
            <w:pPr>
              <w:rPr>
                <w:rFonts w:ascii="宋体"/>
                <w:vanish/>
              </w:rPr>
            </w:pPr>
          </w:p>
        </w:tc>
        <w:tc>
          <w:tcPr>
            <w:tcW w:w="0" w:type="auto"/>
            <w:gridSpan w:val="3"/>
            <w:shd w:val="clear" w:color="auto" w:fill="auto"/>
            <w:vAlign w:val="bottom"/>
          </w:tcPr>
          <w:p w14:paraId="74DD613E" w14:textId="77777777" w:rsidR="00584EC1" w:rsidRDefault="00584EC1">
            <w:pPr>
              <w:rPr>
                <w:rFonts w:ascii="宋体"/>
                <w:vanish/>
              </w:rPr>
            </w:pPr>
          </w:p>
        </w:tc>
        <w:tc>
          <w:tcPr>
            <w:tcW w:w="0" w:type="auto"/>
            <w:gridSpan w:val="3"/>
            <w:shd w:val="clear" w:color="auto" w:fill="auto"/>
            <w:vAlign w:val="bottom"/>
          </w:tcPr>
          <w:p w14:paraId="74DD613F" w14:textId="77777777" w:rsidR="00584EC1" w:rsidRDefault="00584EC1">
            <w:pPr>
              <w:rPr>
                <w:rFonts w:ascii="宋体"/>
                <w:vanish/>
              </w:rPr>
            </w:pPr>
          </w:p>
        </w:tc>
        <w:tc>
          <w:tcPr>
            <w:tcW w:w="0" w:type="auto"/>
            <w:gridSpan w:val="3"/>
            <w:shd w:val="clear" w:color="auto" w:fill="auto"/>
            <w:vAlign w:val="bottom"/>
          </w:tcPr>
          <w:p w14:paraId="74DD6140" w14:textId="77777777" w:rsidR="00584EC1" w:rsidRDefault="00584EC1">
            <w:pPr>
              <w:rPr>
                <w:rFonts w:ascii="宋体"/>
                <w:vanish/>
              </w:rPr>
            </w:pPr>
          </w:p>
        </w:tc>
        <w:tc>
          <w:tcPr>
            <w:tcW w:w="0" w:type="auto"/>
            <w:gridSpan w:val="3"/>
            <w:shd w:val="clear" w:color="auto" w:fill="auto"/>
            <w:vAlign w:val="bottom"/>
          </w:tcPr>
          <w:p w14:paraId="74DD6141" w14:textId="77777777" w:rsidR="00584EC1" w:rsidRDefault="00584EC1">
            <w:pPr>
              <w:rPr>
                <w:rFonts w:ascii="宋体"/>
                <w:vanish/>
              </w:rPr>
            </w:pPr>
          </w:p>
        </w:tc>
      </w:tr>
      <w:tr w:rsidR="00584EC1" w14:paraId="74DD6150" w14:textId="77777777">
        <w:tc>
          <w:tcPr>
            <w:tcW w:w="0" w:type="auto"/>
            <w:gridSpan w:val="3"/>
            <w:shd w:val="clear" w:color="auto" w:fill="FFFFFF"/>
            <w:tcMar>
              <w:top w:w="40" w:type="dxa"/>
              <w:left w:w="20" w:type="dxa"/>
              <w:bottom w:w="40" w:type="dxa"/>
              <w:right w:w="20" w:type="dxa"/>
            </w:tcMar>
            <w:vAlign w:val="bottom"/>
          </w:tcPr>
          <w:p w14:paraId="74DD6143" w14:textId="77777777" w:rsidR="00584EC1" w:rsidRDefault="00871F8D">
            <w:pPr>
              <w:textAlignment w:val="bottom"/>
            </w:pPr>
            <w:r>
              <w:rPr>
                <w:rFonts w:ascii="Arial" w:eastAsia="宋体" w:hAnsi="Arial" w:cs="Arial"/>
                <w:color w:val="000000"/>
                <w:sz w:val="12"/>
                <w:szCs w:val="12"/>
              </w:rPr>
              <w:t>Earnings allocated to participating securities</w:t>
            </w:r>
            <w:r>
              <w:rPr>
                <w:rFonts w:ascii="Arial" w:eastAsia="宋体" w:hAnsi="Arial" w:cs="Arial"/>
                <w:color w:val="000000"/>
                <w:sz w:val="7"/>
                <w:szCs w:val="7"/>
              </w:rPr>
              <w:t>(2)</w:t>
            </w:r>
          </w:p>
        </w:tc>
        <w:tc>
          <w:tcPr>
            <w:tcW w:w="0" w:type="auto"/>
            <w:gridSpan w:val="2"/>
            <w:shd w:val="clear" w:color="auto" w:fill="FFFFFF"/>
            <w:tcMar>
              <w:top w:w="40" w:type="dxa"/>
              <w:left w:w="20" w:type="dxa"/>
              <w:bottom w:w="40" w:type="dxa"/>
              <w:right w:w="0" w:type="dxa"/>
            </w:tcMar>
            <w:vAlign w:val="bottom"/>
          </w:tcPr>
          <w:p w14:paraId="74DD6144"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614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14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147" w14:textId="77777777" w:rsidR="00584EC1" w:rsidRDefault="00871F8D">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614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149" w14:textId="77777777" w:rsidR="00584EC1" w:rsidRDefault="00584EC1">
            <w:pPr>
              <w:rPr>
                <w:rFonts w:ascii="宋体"/>
              </w:rPr>
            </w:pPr>
          </w:p>
        </w:tc>
        <w:tc>
          <w:tcPr>
            <w:tcW w:w="0" w:type="auto"/>
            <w:gridSpan w:val="3"/>
            <w:shd w:val="clear" w:color="auto" w:fill="FFFFFF"/>
            <w:tcMar>
              <w:top w:w="40" w:type="dxa"/>
              <w:left w:w="20" w:type="dxa"/>
              <w:bottom w:w="40" w:type="dxa"/>
              <w:right w:w="140" w:type="dxa"/>
            </w:tcMar>
            <w:vAlign w:val="bottom"/>
          </w:tcPr>
          <w:p w14:paraId="74DD614A" w14:textId="77777777" w:rsidR="00584EC1" w:rsidRDefault="00871F8D">
            <w:pPr>
              <w:jc w:val="right"/>
              <w:textAlignment w:val="bottom"/>
            </w:pPr>
            <w:r>
              <w:rPr>
                <w:rFonts w:ascii="Arial" w:eastAsia="宋体" w:hAnsi="Arial" w:cs="Arial"/>
                <w:color w:val="000000"/>
                <w:sz w:val="12"/>
                <w:szCs w:val="12"/>
              </w:rPr>
              <w:t>nm</w:t>
            </w:r>
          </w:p>
        </w:tc>
        <w:tc>
          <w:tcPr>
            <w:tcW w:w="0" w:type="auto"/>
            <w:gridSpan w:val="3"/>
            <w:shd w:val="clear" w:color="auto" w:fill="auto"/>
            <w:vAlign w:val="bottom"/>
          </w:tcPr>
          <w:p w14:paraId="74DD614B" w14:textId="77777777" w:rsidR="00584EC1" w:rsidRDefault="00584EC1">
            <w:pPr>
              <w:rPr>
                <w:rFonts w:ascii="宋体"/>
                <w:vanish/>
              </w:rPr>
            </w:pPr>
          </w:p>
        </w:tc>
        <w:tc>
          <w:tcPr>
            <w:tcW w:w="0" w:type="auto"/>
            <w:gridSpan w:val="3"/>
            <w:shd w:val="clear" w:color="auto" w:fill="auto"/>
            <w:vAlign w:val="bottom"/>
          </w:tcPr>
          <w:p w14:paraId="74DD614C" w14:textId="77777777" w:rsidR="00584EC1" w:rsidRDefault="00584EC1">
            <w:pPr>
              <w:rPr>
                <w:rFonts w:ascii="宋体"/>
                <w:vanish/>
              </w:rPr>
            </w:pPr>
          </w:p>
        </w:tc>
        <w:tc>
          <w:tcPr>
            <w:tcW w:w="0" w:type="auto"/>
            <w:gridSpan w:val="3"/>
            <w:shd w:val="clear" w:color="auto" w:fill="auto"/>
            <w:vAlign w:val="bottom"/>
          </w:tcPr>
          <w:p w14:paraId="74DD614D" w14:textId="77777777" w:rsidR="00584EC1" w:rsidRDefault="00584EC1">
            <w:pPr>
              <w:rPr>
                <w:rFonts w:ascii="宋体"/>
                <w:vanish/>
              </w:rPr>
            </w:pPr>
          </w:p>
        </w:tc>
        <w:tc>
          <w:tcPr>
            <w:tcW w:w="0" w:type="auto"/>
            <w:gridSpan w:val="3"/>
            <w:shd w:val="clear" w:color="auto" w:fill="auto"/>
            <w:vAlign w:val="bottom"/>
          </w:tcPr>
          <w:p w14:paraId="74DD614E" w14:textId="77777777" w:rsidR="00584EC1" w:rsidRDefault="00584EC1">
            <w:pPr>
              <w:rPr>
                <w:rFonts w:ascii="宋体"/>
                <w:vanish/>
              </w:rPr>
            </w:pPr>
          </w:p>
        </w:tc>
        <w:tc>
          <w:tcPr>
            <w:tcW w:w="0" w:type="auto"/>
            <w:gridSpan w:val="3"/>
            <w:shd w:val="clear" w:color="auto" w:fill="auto"/>
            <w:vAlign w:val="bottom"/>
          </w:tcPr>
          <w:p w14:paraId="74DD614F" w14:textId="77777777" w:rsidR="00584EC1" w:rsidRDefault="00584EC1">
            <w:pPr>
              <w:rPr>
                <w:rFonts w:ascii="宋体"/>
                <w:vanish/>
              </w:rPr>
            </w:pPr>
          </w:p>
        </w:tc>
      </w:tr>
      <w:tr w:rsidR="00584EC1" w14:paraId="74DD6161" w14:textId="77777777">
        <w:tc>
          <w:tcPr>
            <w:tcW w:w="0" w:type="auto"/>
            <w:gridSpan w:val="3"/>
            <w:shd w:val="clear" w:color="auto" w:fill="CCEEFF"/>
            <w:tcMar>
              <w:top w:w="40" w:type="dxa"/>
              <w:left w:w="20" w:type="dxa"/>
              <w:bottom w:w="40" w:type="dxa"/>
              <w:right w:w="20" w:type="dxa"/>
            </w:tcMar>
            <w:vAlign w:val="bottom"/>
          </w:tcPr>
          <w:p w14:paraId="74DD6151" w14:textId="77777777" w:rsidR="00584EC1" w:rsidRDefault="00871F8D">
            <w:pPr>
              <w:textAlignment w:val="bottom"/>
            </w:pPr>
            <w:r>
              <w:rPr>
                <w:rFonts w:ascii="Arial" w:eastAsia="宋体" w:hAnsi="Arial" w:cs="Arial"/>
                <w:color w:val="000000"/>
                <w:sz w:val="12"/>
                <w:szCs w:val="12"/>
              </w:rPr>
              <w:t>Net income available to common shareholders</w:t>
            </w:r>
          </w:p>
        </w:tc>
        <w:tc>
          <w:tcPr>
            <w:tcW w:w="0" w:type="auto"/>
            <w:tcBorders>
              <w:top w:val="single" w:sz="8" w:space="0" w:color="000000"/>
            </w:tcBorders>
            <w:shd w:val="clear" w:color="auto" w:fill="CCEEFF"/>
            <w:tcMar>
              <w:top w:w="40" w:type="dxa"/>
              <w:left w:w="20" w:type="dxa"/>
              <w:bottom w:w="40" w:type="dxa"/>
              <w:right w:w="0" w:type="dxa"/>
            </w:tcMar>
            <w:vAlign w:val="bottom"/>
          </w:tcPr>
          <w:p w14:paraId="74DD6152"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6153" w14:textId="77777777" w:rsidR="00584EC1" w:rsidRDefault="00871F8D">
            <w:pPr>
              <w:jc w:val="right"/>
              <w:textAlignment w:val="bottom"/>
            </w:pPr>
            <w:r>
              <w:rPr>
                <w:rFonts w:ascii="Arial" w:eastAsia="宋体" w:hAnsi="Arial" w:cs="Arial"/>
                <w:b/>
                <w:bCs/>
                <w:color w:val="000000"/>
                <w:sz w:val="12"/>
                <w:szCs w:val="12"/>
              </w:rPr>
              <w:t>693</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615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155"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6156"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6157" w14:textId="77777777" w:rsidR="00584EC1" w:rsidRDefault="00871F8D">
            <w:pPr>
              <w:jc w:val="right"/>
              <w:textAlignment w:val="bottom"/>
            </w:pPr>
            <w:r>
              <w:rPr>
                <w:rFonts w:ascii="Arial" w:eastAsia="宋体" w:hAnsi="Arial" w:cs="Arial"/>
                <w:color w:val="000000"/>
                <w:sz w:val="12"/>
                <w:szCs w:val="12"/>
              </w:rPr>
              <w:t>517 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615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15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15A" w14:textId="77777777" w:rsidR="00584EC1" w:rsidRDefault="00871F8D">
            <w:pPr>
              <w:jc w:val="right"/>
              <w:textAlignment w:val="bottom"/>
            </w:pPr>
            <w:r>
              <w:rPr>
                <w:rFonts w:ascii="Arial" w:eastAsia="宋体" w:hAnsi="Arial" w:cs="Arial"/>
                <w:color w:val="000000"/>
                <w:sz w:val="12"/>
                <w:szCs w:val="12"/>
              </w:rPr>
              <w:t>34 </w:t>
            </w:r>
          </w:p>
        </w:tc>
        <w:tc>
          <w:tcPr>
            <w:tcW w:w="0" w:type="auto"/>
            <w:shd w:val="clear" w:color="auto" w:fill="CCEEFF"/>
            <w:tcMar>
              <w:top w:w="40" w:type="dxa"/>
              <w:left w:w="0" w:type="dxa"/>
              <w:bottom w:w="40" w:type="dxa"/>
              <w:right w:w="20" w:type="dxa"/>
            </w:tcMar>
            <w:vAlign w:val="bottom"/>
          </w:tcPr>
          <w:p w14:paraId="74DD615B" w14:textId="77777777" w:rsidR="00584EC1" w:rsidRDefault="00584EC1">
            <w:pPr>
              <w:jc w:val="right"/>
              <w:rPr>
                <w:rFonts w:ascii="宋体"/>
              </w:rPr>
            </w:pPr>
          </w:p>
        </w:tc>
        <w:tc>
          <w:tcPr>
            <w:tcW w:w="0" w:type="auto"/>
            <w:gridSpan w:val="3"/>
            <w:shd w:val="clear" w:color="auto" w:fill="auto"/>
            <w:vAlign w:val="bottom"/>
          </w:tcPr>
          <w:p w14:paraId="74DD615C" w14:textId="77777777" w:rsidR="00584EC1" w:rsidRDefault="00584EC1">
            <w:pPr>
              <w:rPr>
                <w:rFonts w:ascii="宋体"/>
                <w:vanish/>
              </w:rPr>
            </w:pPr>
          </w:p>
        </w:tc>
        <w:tc>
          <w:tcPr>
            <w:tcW w:w="0" w:type="auto"/>
            <w:gridSpan w:val="3"/>
            <w:shd w:val="clear" w:color="auto" w:fill="auto"/>
            <w:vAlign w:val="bottom"/>
          </w:tcPr>
          <w:p w14:paraId="74DD615D" w14:textId="77777777" w:rsidR="00584EC1" w:rsidRDefault="00584EC1">
            <w:pPr>
              <w:rPr>
                <w:rFonts w:ascii="宋体"/>
                <w:vanish/>
              </w:rPr>
            </w:pPr>
          </w:p>
        </w:tc>
        <w:tc>
          <w:tcPr>
            <w:tcW w:w="0" w:type="auto"/>
            <w:gridSpan w:val="3"/>
            <w:shd w:val="clear" w:color="auto" w:fill="auto"/>
            <w:vAlign w:val="bottom"/>
          </w:tcPr>
          <w:p w14:paraId="74DD615E" w14:textId="77777777" w:rsidR="00584EC1" w:rsidRDefault="00584EC1">
            <w:pPr>
              <w:rPr>
                <w:rFonts w:ascii="宋体"/>
                <w:vanish/>
              </w:rPr>
            </w:pPr>
          </w:p>
        </w:tc>
        <w:tc>
          <w:tcPr>
            <w:tcW w:w="0" w:type="auto"/>
            <w:gridSpan w:val="3"/>
            <w:shd w:val="clear" w:color="auto" w:fill="auto"/>
            <w:vAlign w:val="bottom"/>
          </w:tcPr>
          <w:p w14:paraId="74DD615F" w14:textId="77777777" w:rsidR="00584EC1" w:rsidRDefault="00584EC1">
            <w:pPr>
              <w:rPr>
                <w:rFonts w:ascii="宋体"/>
                <w:vanish/>
              </w:rPr>
            </w:pPr>
          </w:p>
        </w:tc>
        <w:tc>
          <w:tcPr>
            <w:tcW w:w="0" w:type="auto"/>
            <w:gridSpan w:val="3"/>
            <w:shd w:val="clear" w:color="auto" w:fill="auto"/>
            <w:vAlign w:val="bottom"/>
          </w:tcPr>
          <w:p w14:paraId="74DD6160" w14:textId="77777777" w:rsidR="00584EC1" w:rsidRDefault="00584EC1">
            <w:pPr>
              <w:rPr>
                <w:rFonts w:ascii="宋体"/>
                <w:vanish/>
              </w:rPr>
            </w:pPr>
          </w:p>
        </w:tc>
      </w:tr>
      <w:tr w:rsidR="00584EC1" w14:paraId="74DD616D" w14:textId="77777777">
        <w:tc>
          <w:tcPr>
            <w:tcW w:w="0" w:type="auto"/>
            <w:gridSpan w:val="3"/>
            <w:shd w:val="clear" w:color="auto" w:fill="FFFFFF"/>
            <w:tcMar>
              <w:top w:w="40" w:type="dxa"/>
              <w:left w:w="20" w:type="dxa"/>
              <w:bottom w:w="40" w:type="dxa"/>
              <w:right w:w="20" w:type="dxa"/>
            </w:tcMar>
            <w:vAlign w:val="bottom"/>
          </w:tcPr>
          <w:p w14:paraId="74DD6162" w14:textId="77777777" w:rsidR="00584EC1" w:rsidRDefault="00871F8D">
            <w:pPr>
              <w:textAlignment w:val="bottom"/>
            </w:pPr>
            <w:r>
              <w:rPr>
                <w:rFonts w:ascii="Arial" w:eastAsia="宋体" w:hAnsi="Arial" w:cs="Arial"/>
                <w:color w:val="000000"/>
                <w:sz w:val="12"/>
                <w:szCs w:val="12"/>
              </w:rPr>
              <w:t>Earnings per common share:</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6163"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164"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6165"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166"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167" w14:textId="77777777" w:rsidR="00584EC1" w:rsidRDefault="00584EC1">
            <w:pPr>
              <w:rPr>
                <w:rFonts w:ascii="宋体"/>
              </w:rPr>
            </w:pPr>
          </w:p>
        </w:tc>
        <w:tc>
          <w:tcPr>
            <w:tcW w:w="0" w:type="auto"/>
            <w:gridSpan w:val="3"/>
            <w:shd w:val="clear" w:color="auto" w:fill="auto"/>
            <w:vAlign w:val="bottom"/>
          </w:tcPr>
          <w:p w14:paraId="74DD6168" w14:textId="77777777" w:rsidR="00584EC1" w:rsidRDefault="00584EC1">
            <w:pPr>
              <w:rPr>
                <w:rFonts w:ascii="宋体"/>
                <w:vanish/>
              </w:rPr>
            </w:pPr>
          </w:p>
        </w:tc>
        <w:tc>
          <w:tcPr>
            <w:tcW w:w="0" w:type="auto"/>
            <w:gridSpan w:val="3"/>
            <w:shd w:val="clear" w:color="auto" w:fill="auto"/>
            <w:vAlign w:val="bottom"/>
          </w:tcPr>
          <w:p w14:paraId="74DD6169" w14:textId="77777777" w:rsidR="00584EC1" w:rsidRDefault="00584EC1">
            <w:pPr>
              <w:rPr>
                <w:rFonts w:ascii="宋体"/>
                <w:vanish/>
              </w:rPr>
            </w:pPr>
          </w:p>
        </w:tc>
        <w:tc>
          <w:tcPr>
            <w:tcW w:w="0" w:type="auto"/>
            <w:gridSpan w:val="3"/>
            <w:shd w:val="clear" w:color="auto" w:fill="auto"/>
            <w:vAlign w:val="bottom"/>
          </w:tcPr>
          <w:p w14:paraId="74DD616A" w14:textId="77777777" w:rsidR="00584EC1" w:rsidRDefault="00584EC1">
            <w:pPr>
              <w:rPr>
                <w:rFonts w:ascii="宋体"/>
                <w:vanish/>
              </w:rPr>
            </w:pPr>
          </w:p>
        </w:tc>
        <w:tc>
          <w:tcPr>
            <w:tcW w:w="0" w:type="auto"/>
            <w:gridSpan w:val="3"/>
            <w:shd w:val="clear" w:color="auto" w:fill="auto"/>
            <w:vAlign w:val="bottom"/>
          </w:tcPr>
          <w:p w14:paraId="74DD616B" w14:textId="77777777" w:rsidR="00584EC1" w:rsidRDefault="00584EC1">
            <w:pPr>
              <w:rPr>
                <w:rFonts w:ascii="宋体"/>
                <w:vanish/>
              </w:rPr>
            </w:pPr>
          </w:p>
        </w:tc>
        <w:tc>
          <w:tcPr>
            <w:tcW w:w="0" w:type="auto"/>
            <w:gridSpan w:val="3"/>
            <w:shd w:val="clear" w:color="auto" w:fill="auto"/>
            <w:vAlign w:val="bottom"/>
          </w:tcPr>
          <w:p w14:paraId="74DD616C" w14:textId="77777777" w:rsidR="00584EC1" w:rsidRDefault="00584EC1">
            <w:pPr>
              <w:rPr>
                <w:rFonts w:ascii="宋体"/>
                <w:vanish/>
              </w:rPr>
            </w:pPr>
          </w:p>
        </w:tc>
      </w:tr>
      <w:tr w:rsidR="00584EC1" w14:paraId="74DD617E" w14:textId="77777777">
        <w:tc>
          <w:tcPr>
            <w:tcW w:w="0" w:type="auto"/>
            <w:gridSpan w:val="3"/>
            <w:shd w:val="clear" w:color="auto" w:fill="CCEEFF"/>
            <w:tcMar>
              <w:top w:w="40" w:type="dxa"/>
              <w:left w:w="245" w:type="dxa"/>
              <w:bottom w:w="40" w:type="dxa"/>
              <w:right w:w="20" w:type="dxa"/>
            </w:tcMar>
            <w:vAlign w:val="bottom"/>
          </w:tcPr>
          <w:p w14:paraId="74DD616E" w14:textId="77777777" w:rsidR="00584EC1" w:rsidRDefault="00871F8D">
            <w:pPr>
              <w:textAlignment w:val="bottom"/>
            </w:pPr>
            <w:r>
              <w:rPr>
                <w:rFonts w:ascii="Arial" w:eastAsia="宋体" w:hAnsi="Arial" w:cs="Arial"/>
                <w:color w:val="000000"/>
                <w:sz w:val="12"/>
                <w:szCs w:val="12"/>
              </w:rPr>
              <w:t>Basic</w:t>
            </w:r>
          </w:p>
        </w:tc>
        <w:tc>
          <w:tcPr>
            <w:tcW w:w="0" w:type="auto"/>
            <w:shd w:val="clear" w:color="auto" w:fill="CCEEFF"/>
            <w:tcMar>
              <w:top w:w="40" w:type="dxa"/>
              <w:left w:w="20" w:type="dxa"/>
              <w:bottom w:w="40" w:type="dxa"/>
              <w:right w:w="0" w:type="dxa"/>
            </w:tcMar>
            <w:vAlign w:val="bottom"/>
          </w:tcPr>
          <w:p w14:paraId="74DD616F" w14:textId="77777777" w:rsidR="00584EC1" w:rsidRDefault="00871F8D">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74DD6170" w14:textId="77777777" w:rsidR="00584EC1" w:rsidRDefault="00871F8D">
            <w:pPr>
              <w:jc w:val="right"/>
              <w:textAlignment w:val="bottom"/>
            </w:pPr>
            <w:r>
              <w:rPr>
                <w:rFonts w:ascii="Arial" w:eastAsia="宋体" w:hAnsi="Arial" w:cs="Arial"/>
                <w:b/>
                <w:bCs/>
                <w:color w:val="000000"/>
                <w:sz w:val="12"/>
                <w:szCs w:val="12"/>
              </w:rPr>
              <w:t>1.99</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617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172"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6173" w14:textId="77777777" w:rsidR="00584EC1" w:rsidRDefault="00871F8D">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74DD6174" w14:textId="77777777" w:rsidR="00584EC1" w:rsidRDefault="00871F8D">
            <w:pPr>
              <w:jc w:val="right"/>
              <w:textAlignment w:val="bottom"/>
            </w:pPr>
            <w:r>
              <w:rPr>
                <w:rFonts w:ascii="Arial" w:eastAsia="宋体" w:hAnsi="Arial" w:cs="Arial"/>
                <w:color w:val="000000"/>
                <w:sz w:val="12"/>
                <w:szCs w:val="12"/>
              </w:rPr>
              <w:t>1.47 </w:t>
            </w:r>
          </w:p>
        </w:tc>
        <w:tc>
          <w:tcPr>
            <w:tcW w:w="0" w:type="auto"/>
            <w:shd w:val="clear" w:color="auto" w:fill="CCEEFF"/>
            <w:tcMar>
              <w:top w:w="40" w:type="dxa"/>
              <w:left w:w="0" w:type="dxa"/>
              <w:bottom w:w="40" w:type="dxa"/>
              <w:right w:w="20" w:type="dxa"/>
            </w:tcMar>
            <w:vAlign w:val="bottom"/>
          </w:tcPr>
          <w:p w14:paraId="74DD617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17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177" w14:textId="77777777" w:rsidR="00584EC1" w:rsidRDefault="00871F8D">
            <w:pPr>
              <w:jc w:val="right"/>
              <w:textAlignment w:val="bottom"/>
            </w:pPr>
            <w:r>
              <w:rPr>
                <w:rFonts w:ascii="Arial" w:eastAsia="宋体" w:hAnsi="Arial" w:cs="Arial"/>
                <w:color w:val="000000"/>
                <w:sz w:val="12"/>
                <w:szCs w:val="12"/>
              </w:rPr>
              <w:t>35 </w:t>
            </w:r>
          </w:p>
        </w:tc>
        <w:tc>
          <w:tcPr>
            <w:tcW w:w="0" w:type="auto"/>
            <w:shd w:val="clear" w:color="auto" w:fill="CCEEFF"/>
            <w:tcMar>
              <w:top w:w="40" w:type="dxa"/>
              <w:left w:w="0" w:type="dxa"/>
              <w:bottom w:w="40" w:type="dxa"/>
              <w:right w:w="20" w:type="dxa"/>
            </w:tcMar>
            <w:vAlign w:val="bottom"/>
          </w:tcPr>
          <w:p w14:paraId="74DD6178" w14:textId="77777777" w:rsidR="00584EC1" w:rsidRDefault="00584EC1">
            <w:pPr>
              <w:jc w:val="right"/>
              <w:rPr>
                <w:rFonts w:ascii="宋体"/>
              </w:rPr>
            </w:pPr>
          </w:p>
        </w:tc>
        <w:tc>
          <w:tcPr>
            <w:tcW w:w="0" w:type="auto"/>
            <w:gridSpan w:val="3"/>
            <w:shd w:val="clear" w:color="auto" w:fill="auto"/>
            <w:vAlign w:val="bottom"/>
          </w:tcPr>
          <w:p w14:paraId="74DD6179" w14:textId="77777777" w:rsidR="00584EC1" w:rsidRDefault="00584EC1">
            <w:pPr>
              <w:rPr>
                <w:rFonts w:ascii="宋体"/>
                <w:vanish/>
              </w:rPr>
            </w:pPr>
          </w:p>
        </w:tc>
        <w:tc>
          <w:tcPr>
            <w:tcW w:w="0" w:type="auto"/>
            <w:gridSpan w:val="3"/>
            <w:shd w:val="clear" w:color="auto" w:fill="auto"/>
            <w:vAlign w:val="bottom"/>
          </w:tcPr>
          <w:p w14:paraId="74DD617A" w14:textId="77777777" w:rsidR="00584EC1" w:rsidRDefault="00584EC1">
            <w:pPr>
              <w:rPr>
                <w:rFonts w:ascii="宋体"/>
                <w:vanish/>
              </w:rPr>
            </w:pPr>
          </w:p>
        </w:tc>
        <w:tc>
          <w:tcPr>
            <w:tcW w:w="0" w:type="auto"/>
            <w:gridSpan w:val="3"/>
            <w:shd w:val="clear" w:color="auto" w:fill="auto"/>
            <w:vAlign w:val="bottom"/>
          </w:tcPr>
          <w:p w14:paraId="74DD617B" w14:textId="77777777" w:rsidR="00584EC1" w:rsidRDefault="00584EC1">
            <w:pPr>
              <w:rPr>
                <w:rFonts w:ascii="宋体"/>
                <w:vanish/>
              </w:rPr>
            </w:pPr>
          </w:p>
        </w:tc>
        <w:tc>
          <w:tcPr>
            <w:tcW w:w="0" w:type="auto"/>
            <w:gridSpan w:val="3"/>
            <w:shd w:val="clear" w:color="auto" w:fill="auto"/>
            <w:vAlign w:val="bottom"/>
          </w:tcPr>
          <w:p w14:paraId="74DD617C" w14:textId="77777777" w:rsidR="00584EC1" w:rsidRDefault="00584EC1">
            <w:pPr>
              <w:rPr>
                <w:rFonts w:ascii="宋体"/>
                <w:vanish/>
              </w:rPr>
            </w:pPr>
          </w:p>
        </w:tc>
        <w:tc>
          <w:tcPr>
            <w:tcW w:w="0" w:type="auto"/>
            <w:gridSpan w:val="3"/>
            <w:shd w:val="clear" w:color="auto" w:fill="auto"/>
            <w:vAlign w:val="bottom"/>
          </w:tcPr>
          <w:p w14:paraId="74DD617D" w14:textId="77777777" w:rsidR="00584EC1" w:rsidRDefault="00584EC1">
            <w:pPr>
              <w:rPr>
                <w:rFonts w:ascii="宋体"/>
                <w:vanish/>
              </w:rPr>
            </w:pPr>
          </w:p>
        </w:tc>
      </w:tr>
      <w:tr w:rsidR="00584EC1" w14:paraId="74DD618D" w14:textId="77777777">
        <w:tc>
          <w:tcPr>
            <w:tcW w:w="0" w:type="auto"/>
            <w:gridSpan w:val="3"/>
            <w:shd w:val="clear" w:color="auto" w:fill="FFFFFF"/>
            <w:tcMar>
              <w:top w:w="40" w:type="dxa"/>
              <w:left w:w="245" w:type="dxa"/>
              <w:bottom w:w="40" w:type="dxa"/>
              <w:right w:w="20" w:type="dxa"/>
            </w:tcMar>
            <w:vAlign w:val="bottom"/>
          </w:tcPr>
          <w:p w14:paraId="74DD617F" w14:textId="77777777" w:rsidR="00584EC1" w:rsidRDefault="00871F8D">
            <w:pPr>
              <w:textAlignment w:val="bottom"/>
            </w:pPr>
            <w:r>
              <w:rPr>
                <w:rFonts w:ascii="Arial" w:eastAsia="宋体" w:hAnsi="Arial" w:cs="Arial"/>
                <w:color w:val="000000"/>
                <w:sz w:val="12"/>
                <w:szCs w:val="12"/>
              </w:rPr>
              <w:t>Diluted</w:t>
            </w:r>
          </w:p>
        </w:tc>
        <w:tc>
          <w:tcPr>
            <w:tcW w:w="0" w:type="auto"/>
            <w:gridSpan w:val="2"/>
            <w:shd w:val="clear" w:color="auto" w:fill="FFFFFF"/>
            <w:tcMar>
              <w:top w:w="40" w:type="dxa"/>
              <w:left w:w="20" w:type="dxa"/>
              <w:bottom w:w="40" w:type="dxa"/>
              <w:right w:w="0" w:type="dxa"/>
            </w:tcMar>
            <w:vAlign w:val="bottom"/>
          </w:tcPr>
          <w:p w14:paraId="74DD6180" w14:textId="77777777" w:rsidR="00584EC1" w:rsidRDefault="00871F8D">
            <w:pPr>
              <w:jc w:val="right"/>
              <w:textAlignment w:val="bottom"/>
            </w:pPr>
            <w:r>
              <w:rPr>
                <w:rFonts w:ascii="Arial" w:eastAsia="宋体" w:hAnsi="Arial" w:cs="Arial"/>
                <w:b/>
                <w:bCs/>
                <w:color w:val="000000"/>
                <w:sz w:val="12"/>
                <w:szCs w:val="12"/>
              </w:rPr>
              <w:t>1.96</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618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18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183" w14:textId="77777777" w:rsidR="00584EC1" w:rsidRDefault="00871F8D">
            <w:pPr>
              <w:jc w:val="right"/>
              <w:textAlignment w:val="bottom"/>
            </w:pPr>
            <w:r>
              <w:rPr>
                <w:rFonts w:ascii="Arial" w:eastAsia="宋体" w:hAnsi="Arial" w:cs="Arial"/>
                <w:color w:val="000000"/>
                <w:sz w:val="12"/>
                <w:szCs w:val="12"/>
              </w:rPr>
              <w:t>1.45 </w:t>
            </w:r>
          </w:p>
        </w:tc>
        <w:tc>
          <w:tcPr>
            <w:tcW w:w="0" w:type="auto"/>
            <w:shd w:val="clear" w:color="auto" w:fill="FFFFFF"/>
            <w:tcMar>
              <w:top w:w="40" w:type="dxa"/>
              <w:left w:w="0" w:type="dxa"/>
              <w:bottom w:w="40" w:type="dxa"/>
              <w:right w:w="20" w:type="dxa"/>
            </w:tcMar>
            <w:vAlign w:val="bottom"/>
          </w:tcPr>
          <w:p w14:paraId="74DD618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185"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186" w14:textId="77777777" w:rsidR="00584EC1" w:rsidRDefault="00871F8D">
            <w:pPr>
              <w:jc w:val="right"/>
              <w:textAlignment w:val="bottom"/>
            </w:pPr>
            <w:r>
              <w:rPr>
                <w:rFonts w:ascii="Arial" w:eastAsia="宋体" w:hAnsi="Arial" w:cs="Arial"/>
                <w:color w:val="000000"/>
                <w:sz w:val="12"/>
                <w:szCs w:val="12"/>
              </w:rPr>
              <w:t>35 </w:t>
            </w:r>
          </w:p>
        </w:tc>
        <w:tc>
          <w:tcPr>
            <w:tcW w:w="0" w:type="auto"/>
            <w:shd w:val="clear" w:color="auto" w:fill="FFFFFF"/>
            <w:tcMar>
              <w:top w:w="40" w:type="dxa"/>
              <w:left w:w="0" w:type="dxa"/>
              <w:bottom w:w="40" w:type="dxa"/>
              <w:right w:w="20" w:type="dxa"/>
            </w:tcMar>
            <w:vAlign w:val="bottom"/>
          </w:tcPr>
          <w:p w14:paraId="74DD6187" w14:textId="77777777" w:rsidR="00584EC1" w:rsidRDefault="00584EC1">
            <w:pPr>
              <w:jc w:val="right"/>
              <w:rPr>
                <w:rFonts w:ascii="宋体"/>
              </w:rPr>
            </w:pPr>
          </w:p>
        </w:tc>
        <w:tc>
          <w:tcPr>
            <w:tcW w:w="0" w:type="auto"/>
            <w:gridSpan w:val="3"/>
            <w:shd w:val="clear" w:color="auto" w:fill="auto"/>
            <w:vAlign w:val="bottom"/>
          </w:tcPr>
          <w:p w14:paraId="74DD6188" w14:textId="77777777" w:rsidR="00584EC1" w:rsidRDefault="00584EC1">
            <w:pPr>
              <w:rPr>
                <w:rFonts w:ascii="宋体"/>
                <w:vanish/>
              </w:rPr>
            </w:pPr>
          </w:p>
        </w:tc>
        <w:tc>
          <w:tcPr>
            <w:tcW w:w="0" w:type="auto"/>
            <w:gridSpan w:val="3"/>
            <w:shd w:val="clear" w:color="auto" w:fill="auto"/>
            <w:vAlign w:val="bottom"/>
          </w:tcPr>
          <w:p w14:paraId="74DD6189" w14:textId="77777777" w:rsidR="00584EC1" w:rsidRDefault="00584EC1">
            <w:pPr>
              <w:rPr>
                <w:rFonts w:ascii="宋体"/>
                <w:vanish/>
              </w:rPr>
            </w:pPr>
          </w:p>
        </w:tc>
        <w:tc>
          <w:tcPr>
            <w:tcW w:w="0" w:type="auto"/>
            <w:gridSpan w:val="3"/>
            <w:shd w:val="clear" w:color="auto" w:fill="auto"/>
            <w:vAlign w:val="bottom"/>
          </w:tcPr>
          <w:p w14:paraId="74DD618A" w14:textId="77777777" w:rsidR="00584EC1" w:rsidRDefault="00584EC1">
            <w:pPr>
              <w:rPr>
                <w:rFonts w:ascii="宋体"/>
                <w:vanish/>
              </w:rPr>
            </w:pPr>
          </w:p>
        </w:tc>
        <w:tc>
          <w:tcPr>
            <w:tcW w:w="0" w:type="auto"/>
            <w:gridSpan w:val="3"/>
            <w:shd w:val="clear" w:color="auto" w:fill="auto"/>
            <w:vAlign w:val="bottom"/>
          </w:tcPr>
          <w:p w14:paraId="74DD618B" w14:textId="77777777" w:rsidR="00584EC1" w:rsidRDefault="00584EC1">
            <w:pPr>
              <w:rPr>
                <w:rFonts w:ascii="宋体"/>
                <w:vanish/>
              </w:rPr>
            </w:pPr>
          </w:p>
        </w:tc>
        <w:tc>
          <w:tcPr>
            <w:tcW w:w="0" w:type="auto"/>
            <w:gridSpan w:val="3"/>
            <w:shd w:val="clear" w:color="auto" w:fill="auto"/>
            <w:vAlign w:val="bottom"/>
          </w:tcPr>
          <w:p w14:paraId="74DD618C" w14:textId="77777777" w:rsidR="00584EC1" w:rsidRDefault="00584EC1">
            <w:pPr>
              <w:rPr>
                <w:rFonts w:ascii="宋体"/>
                <w:vanish/>
              </w:rPr>
            </w:pPr>
          </w:p>
        </w:tc>
      </w:tr>
      <w:tr w:rsidR="00584EC1" w14:paraId="74DD6199" w14:textId="77777777">
        <w:tc>
          <w:tcPr>
            <w:tcW w:w="0" w:type="auto"/>
            <w:gridSpan w:val="3"/>
            <w:shd w:val="clear" w:color="auto" w:fill="CCEEFF"/>
            <w:tcMar>
              <w:top w:w="40" w:type="dxa"/>
              <w:left w:w="20" w:type="dxa"/>
              <w:bottom w:w="40" w:type="dxa"/>
              <w:right w:w="20" w:type="dxa"/>
            </w:tcMar>
            <w:vAlign w:val="bottom"/>
          </w:tcPr>
          <w:p w14:paraId="74DD618E" w14:textId="77777777" w:rsidR="00584EC1" w:rsidRDefault="00871F8D">
            <w:pPr>
              <w:textAlignment w:val="bottom"/>
            </w:pPr>
            <w:r>
              <w:rPr>
                <w:rFonts w:ascii="Arial" w:eastAsia="宋体" w:hAnsi="Arial" w:cs="Arial"/>
                <w:color w:val="000000"/>
                <w:sz w:val="12"/>
                <w:szCs w:val="12"/>
              </w:rPr>
              <w:t>Ave</w:t>
            </w:r>
            <w:r>
              <w:rPr>
                <w:rFonts w:ascii="Arial" w:eastAsia="宋体" w:hAnsi="Arial" w:cs="Arial"/>
                <w:color w:val="000000"/>
                <w:sz w:val="12"/>
                <w:szCs w:val="12"/>
              </w:rPr>
              <w:t>rage common shares outstanding (in thousands):</w:t>
            </w:r>
          </w:p>
        </w:tc>
        <w:tc>
          <w:tcPr>
            <w:tcW w:w="0" w:type="auto"/>
            <w:gridSpan w:val="3"/>
            <w:shd w:val="clear" w:color="auto" w:fill="CCEEFF"/>
            <w:tcMar>
              <w:top w:w="0" w:type="dxa"/>
              <w:left w:w="20" w:type="dxa"/>
              <w:bottom w:w="0" w:type="dxa"/>
              <w:right w:w="20" w:type="dxa"/>
            </w:tcMar>
            <w:vAlign w:val="bottom"/>
          </w:tcPr>
          <w:p w14:paraId="74DD618F"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6190"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6191"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6192"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6193" w14:textId="77777777" w:rsidR="00584EC1" w:rsidRDefault="00584EC1">
            <w:pPr>
              <w:rPr>
                <w:rFonts w:ascii="宋体"/>
              </w:rPr>
            </w:pPr>
          </w:p>
        </w:tc>
        <w:tc>
          <w:tcPr>
            <w:tcW w:w="0" w:type="auto"/>
            <w:gridSpan w:val="3"/>
            <w:shd w:val="clear" w:color="auto" w:fill="auto"/>
            <w:vAlign w:val="bottom"/>
          </w:tcPr>
          <w:p w14:paraId="74DD6194" w14:textId="77777777" w:rsidR="00584EC1" w:rsidRDefault="00584EC1">
            <w:pPr>
              <w:rPr>
                <w:rFonts w:ascii="宋体"/>
                <w:vanish/>
              </w:rPr>
            </w:pPr>
          </w:p>
        </w:tc>
        <w:tc>
          <w:tcPr>
            <w:tcW w:w="0" w:type="auto"/>
            <w:gridSpan w:val="3"/>
            <w:shd w:val="clear" w:color="auto" w:fill="auto"/>
            <w:vAlign w:val="bottom"/>
          </w:tcPr>
          <w:p w14:paraId="74DD6195" w14:textId="77777777" w:rsidR="00584EC1" w:rsidRDefault="00584EC1">
            <w:pPr>
              <w:rPr>
                <w:rFonts w:ascii="宋体"/>
                <w:vanish/>
              </w:rPr>
            </w:pPr>
          </w:p>
        </w:tc>
        <w:tc>
          <w:tcPr>
            <w:tcW w:w="0" w:type="auto"/>
            <w:gridSpan w:val="3"/>
            <w:shd w:val="clear" w:color="auto" w:fill="auto"/>
            <w:vAlign w:val="bottom"/>
          </w:tcPr>
          <w:p w14:paraId="74DD6196" w14:textId="77777777" w:rsidR="00584EC1" w:rsidRDefault="00584EC1">
            <w:pPr>
              <w:rPr>
                <w:rFonts w:ascii="宋体"/>
                <w:vanish/>
              </w:rPr>
            </w:pPr>
          </w:p>
        </w:tc>
        <w:tc>
          <w:tcPr>
            <w:tcW w:w="0" w:type="auto"/>
            <w:gridSpan w:val="3"/>
            <w:shd w:val="clear" w:color="auto" w:fill="auto"/>
            <w:vAlign w:val="bottom"/>
          </w:tcPr>
          <w:p w14:paraId="74DD6197" w14:textId="77777777" w:rsidR="00584EC1" w:rsidRDefault="00584EC1">
            <w:pPr>
              <w:rPr>
                <w:rFonts w:ascii="宋体"/>
                <w:vanish/>
              </w:rPr>
            </w:pPr>
          </w:p>
        </w:tc>
        <w:tc>
          <w:tcPr>
            <w:tcW w:w="0" w:type="auto"/>
            <w:gridSpan w:val="3"/>
            <w:shd w:val="clear" w:color="auto" w:fill="auto"/>
            <w:vAlign w:val="bottom"/>
          </w:tcPr>
          <w:p w14:paraId="74DD6198" w14:textId="77777777" w:rsidR="00584EC1" w:rsidRDefault="00584EC1">
            <w:pPr>
              <w:rPr>
                <w:rFonts w:ascii="宋体"/>
                <w:vanish/>
              </w:rPr>
            </w:pPr>
          </w:p>
        </w:tc>
      </w:tr>
      <w:tr w:rsidR="00584EC1" w14:paraId="74DD61A8" w14:textId="77777777">
        <w:tc>
          <w:tcPr>
            <w:tcW w:w="0" w:type="auto"/>
            <w:gridSpan w:val="3"/>
            <w:shd w:val="clear" w:color="auto" w:fill="FFFFFF"/>
            <w:tcMar>
              <w:top w:w="40" w:type="dxa"/>
              <w:left w:w="245" w:type="dxa"/>
              <w:bottom w:w="40" w:type="dxa"/>
              <w:right w:w="20" w:type="dxa"/>
            </w:tcMar>
            <w:vAlign w:val="bottom"/>
          </w:tcPr>
          <w:p w14:paraId="74DD619A" w14:textId="77777777" w:rsidR="00584EC1" w:rsidRDefault="00871F8D">
            <w:pPr>
              <w:textAlignment w:val="bottom"/>
            </w:pPr>
            <w:r>
              <w:rPr>
                <w:rFonts w:ascii="Arial" w:eastAsia="宋体" w:hAnsi="Arial" w:cs="Arial"/>
                <w:color w:val="000000"/>
                <w:sz w:val="12"/>
                <w:szCs w:val="12"/>
              </w:rPr>
              <w:t>Basic</w:t>
            </w:r>
          </w:p>
        </w:tc>
        <w:tc>
          <w:tcPr>
            <w:tcW w:w="0" w:type="auto"/>
            <w:gridSpan w:val="2"/>
            <w:shd w:val="clear" w:color="auto" w:fill="FFFFFF"/>
            <w:tcMar>
              <w:top w:w="40" w:type="dxa"/>
              <w:left w:w="20" w:type="dxa"/>
              <w:bottom w:w="40" w:type="dxa"/>
              <w:right w:w="0" w:type="dxa"/>
            </w:tcMar>
            <w:vAlign w:val="bottom"/>
          </w:tcPr>
          <w:p w14:paraId="74DD619B" w14:textId="77777777" w:rsidR="00584EC1" w:rsidRDefault="00871F8D">
            <w:pPr>
              <w:jc w:val="right"/>
              <w:textAlignment w:val="bottom"/>
            </w:pPr>
            <w:r>
              <w:rPr>
                <w:rFonts w:ascii="Arial" w:eastAsia="宋体" w:hAnsi="Arial" w:cs="Arial"/>
                <w:b/>
                <w:bCs/>
                <w:color w:val="000000"/>
                <w:sz w:val="12"/>
                <w:szCs w:val="12"/>
              </w:rPr>
              <w:t>347,718</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619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19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19E" w14:textId="77777777" w:rsidR="00584EC1" w:rsidRDefault="00871F8D">
            <w:pPr>
              <w:jc w:val="right"/>
              <w:textAlignment w:val="bottom"/>
            </w:pPr>
            <w:r>
              <w:rPr>
                <w:rFonts w:ascii="Arial" w:eastAsia="宋体" w:hAnsi="Arial" w:cs="Arial"/>
                <w:color w:val="000000"/>
                <w:sz w:val="12"/>
                <w:szCs w:val="12"/>
              </w:rPr>
              <w:t>352,586 </w:t>
            </w:r>
          </w:p>
        </w:tc>
        <w:tc>
          <w:tcPr>
            <w:tcW w:w="0" w:type="auto"/>
            <w:shd w:val="clear" w:color="auto" w:fill="FFFFFF"/>
            <w:tcMar>
              <w:top w:w="40" w:type="dxa"/>
              <w:left w:w="0" w:type="dxa"/>
              <w:bottom w:w="40" w:type="dxa"/>
              <w:right w:w="20" w:type="dxa"/>
            </w:tcMar>
            <w:vAlign w:val="bottom"/>
          </w:tcPr>
          <w:p w14:paraId="74DD619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1A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1A1" w14:textId="77777777" w:rsidR="00584EC1" w:rsidRDefault="00871F8D">
            <w:pPr>
              <w:jc w:val="right"/>
              <w:textAlignment w:val="bottom"/>
            </w:pPr>
            <w:r>
              <w:rPr>
                <w:rFonts w:ascii="Arial" w:eastAsia="宋体" w:hAnsi="Arial" w:cs="Arial"/>
                <w:color w:val="000000"/>
                <w:sz w:val="12"/>
                <w:szCs w:val="12"/>
              </w:rPr>
              <w:t>(1)</w:t>
            </w:r>
          </w:p>
        </w:tc>
        <w:tc>
          <w:tcPr>
            <w:tcW w:w="0" w:type="auto"/>
            <w:shd w:val="clear" w:color="auto" w:fill="FFFFFF"/>
            <w:tcMar>
              <w:top w:w="40" w:type="dxa"/>
              <w:left w:w="0" w:type="dxa"/>
              <w:bottom w:w="40" w:type="dxa"/>
              <w:right w:w="20" w:type="dxa"/>
            </w:tcMar>
            <w:vAlign w:val="bottom"/>
          </w:tcPr>
          <w:p w14:paraId="74DD61A2" w14:textId="77777777" w:rsidR="00584EC1" w:rsidRDefault="00584EC1">
            <w:pPr>
              <w:jc w:val="right"/>
              <w:rPr>
                <w:rFonts w:ascii="宋体"/>
              </w:rPr>
            </w:pPr>
          </w:p>
        </w:tc>
        <w:tc>
          <w:tcPr>
            <w:tcW w:w="0" w:type="auto"/>
            <w:gridSpan w:val="3"/>
            <w:shd w:val="clear" w:color="auto" w:fill="auto"/>
            <w:vAlign w:val="bottom"/>
          </w:tcPr>
          <w:p w14:paraId="74DD61A3" w14:textId="77777777" w:rsidR="00584EC1" w:rsidRDefault="00584EC1">
            <w:pPr>
              <w:rPr>
                <w:rFonts w:ascii="宋体"/>
                <w:vanish/>
              </w:rPr>
            </w:pPr>
          </w:p>
        </w:tc>
        <w:tc>
          <w:tcPr>
            <w:tcW w:w="0" w:type="auto"/>
            <w:gridSpan w:val="3"/>
            <w:shd w:val="clear" w:color="auto" w:fill="auto"/>
            <w:vAlign w:val="bottom"/>
          </w:tcPr>
          <w:p w14:paraId="74DD61A4" w14:textId="77777777" w:rsidR="00584EC1" w:rsidRDefault="00584EC1">
            <w:pPr>
              <w:rPr>
                <w:rFonts w:ascii="宋体"/>
                <w:vanish/>
              </w:rPr>
            </w:pPr>
          </w:p>
        </w:tc>
        <w:tc>
          <w:tcPr>
            <w:tcW w:w="0" w:type="auto"/>
            <w:gridSpan w:val="3"/>
            <w:shd w:val="clear" w:color="auto" w:fill="auto"/>
            <w:vAlign w:val="bottom"/>
          </w:tcPr>
          <w:p w14:paraId="74DD61A5" w14:textId="77777777" w:rsidR="00584EC1" w:rsidRDefault="00584EC1">
            <w:pPr>
              <w:rPr>
                <w:rFonts w:ascii="宋体"/>
                <w:vanish/>
              </w:rPr>
            </w:pPr>
          </w:p>
        </w:tc>
        <w:tc>
          <w:tcPr>
            <w:tcW w:w="0" w:type="auto"/>
            <w:gridSpan w:val="3"/>
            <w:shd w:val="clear" w:color="auto" w:fill="auto"/>
            <w:vAlign w:val="bottom"/>
          </w:tcPr>
          <w:p w14:paraId="74DD61A6" w14:textId="77777777" w:rsidR="00584EC1" w:rsidRDefault="00584EC1">
            <w:pPr>
              <w:rPr>
                <w:rFonts w:ascii="宋体"/>
                <w:vanish/>
              </w:rPr>
            </w:pPr>
          </w:p>
        </w:tc>
        <w:tc>
          <w:tcPr>
            <w:tcW w:w="0" w:type="auto"/>
            <w:gridSpan w:val="3"/>
            <w:shd w:val="clear" w:color="auto" w:fill="auto"/>
            <w:vAlign w:val="bottom"/>
          </w:tcPr>
          <w:p w14:paraId="74DD61A7" w14:textId="77777777" w:rsidR="00584EC1" w:rsidRDefault="00584EC1">
            <w:pPr>
              <w:rPr>
                <w:rFonts w:ascii="宋体"/>
                <w:vanish/>
              </w:rPr>
            </w:pPr>
          </w:p>
        </w:tc>
      </w:tr>
      <w:tr w:rsidR="00584EC1" w14:paraId="74DD61B7" w14:textId="77777777">
        <w:tc>
          <w:tcPr>
            <w:tcW w:w="0" w:type="auto"/>
            <w:gridSpan w:val="3"/>
            <w:shd w:val="clear" w:color="auto" w:fill="CCEEFF"/>
            <w:tcMar>
              <w:top w:w="40" w:type="dxa"/>
              <w:left w:w="245" w:type="dxa"/>
              <w:bottom w:w="40" w:type="dxa"/>
              <w:right w:w="20" w:type="dxa"/>
            </w:tcMar>
            <w:vAlign w:val="bottom"/>
          </w:tcPr>
          <w:p w14:paraId="74DD61A9" w14:textId="77777777" w:rsidR="00584EC1" w:rsidRDefault="00871F8D">
            <w:pPr>
              <w:textAlignment w:val="bottom"/>
            </w:pPr>
            <w:r>
              <w:rPr>
                <w:rFonts w:ascii="Arial" w:eastAsia="宋体" w:hAnsi="Arial" w:cs="Arial"/>
                <w:color w:val="000000"/>
                <w:sz w:val="12"/>
                <w:szCs w:val="12"/>
              </w:rPr>
              <w:t>Dil</w:t>
            </w:r>
            <w:r>
              <w:rPr>
                <w:rFonts w:ascii="Arial" w:eastAsia="宋体" w:hAnsi="Arial" w:cs="Arial"/>
                <w:color w:val="000000"/>
                <w:sz w:val="12"/>
                <w:szCs w:val="12"/>
              </w:rPr>
              <w:t>uted</w:t>
            </w:r>
          </w:p>
        </w:tc>
        <w:tc>
          <w:tcPr>
            <w:tcW w:w="0" w:type="auto"/>
            <w:gridSpan w:val="2"/>
            <w:shd w:val="clear" w:color="auto" w:fill="CCEEFF"/>
            <w:tcMar>
              <w:top w:w="40" w:type="dxa"/>
              <w:left w:w="20" w:type="dxa"/>
              <w:bottom w:w="40" w:type="dxa"/>
              <w:right w:w="0" w:type="dxa"/>
            </w:tcMar>
            <w:vAlign w:val="bottom"/>
          </w:tcPr>
          <w:p w14:paraId="74DD61AA" w14:textId="77777777" w:rsidR="00584EC1" w:rsidRDefault="00871F8D">
            <w:pPr>
              <w:jc w:val="right"/>
              <w:textAlignment w:val="bottom"/>
            </w:pPr>
            <w:r>
              <w:rPr>
                <w:rFonts w:ascii="Arial" w:eastAsia="宋体" w:hAnsi="Arial" w:cs="Arial"/>
                <w:b/>
                <w:bCs/>
                <w:color w:val="000000"/>
                <w:sz w:val="12"/>
                <w:szCs w:val="12"/>
              </w:rPr>
              <w:t>353,494</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61A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1AC"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1AD" w14:textId="77777777" w:rsidR="00584EC1" w:rsidRDefault="00871F8D">
            <w:pPr>
              <w:jc w:val="right"/>
              <w:textAlignment w:val="bottom"/>
            </w:pPr>
            <w:r>
              <w:rPr>
                <w:rFonts w:ascii="Arial" w:eastAsia="宋体" w:hAnsi="Arial" w:cs="Arial"/>
                <w:color w:val="000000"/>
                <w:sz w:val="12"/>
                <w:szCs w:val="12"/>
              </w:rPr>
              <w:t>357,168 </w:t>
            </w:r>
          </w:p>
        </w:tc>
        <w:tc>
          <w:tcPr>
            <w:tcW w:w="0" w:type="auto"/>
            <w:shd w:val="clear" w:color="auto" w:fill="CCEEFF"/>
            <w:tcMar>
              <w:top w:w="40" w:type="dxa"/>
              <w:left w:w="0" w:type="dxa"/>
              <w:bottom w:w="40" w:type="dxa"/>
              <w:right w:w="20" w:type="dxa"/>
            </w:tcMar>
            <w:vAlign w:val="bottom"/>
          </w:tcPr>
          <w:p w14:paraId="74DD61A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1AF"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1B0" w14:textId="77777777" w:rsidR="00584EC1" w:rsidRDefault="00871F8D">
            <w:pPr>
              <w:jc w:val="right"/>
              <w:textAlignment w:val="bottom"/>
            </w:pPr>
            <w:r>
              <w:rPr>
                <w:rFonts w:ascii="Arial" w:eastAsia="宋体" w:hAnsi="Arial" w:cs="Arial"/>
                <w:color w:val="000000"/>
                <w:sz w:val="12"/>
                <w:szCs w:val="12"/>
              </w:rPr>
              <w:t>(1)</w:t>
            </w:r>
          </w:p>
        </w:tc>
        <w:tc>
          <w:tcPr>
            <w:tcW w:w="0" w:type="auto"/>
            <w:shd w:val="clear" w:color="auto" w:fill="CCEEFF"/>
            <w:tcMar>
              <w:top w:w="40" w:type="dxa"/>
              <w:left w:w="0" w:type="dxa"/>
              <w:bottom w:w="40" w:type="dxa"/>
              <w:right w:w="20" w:type="dxa"/>
            </w:tcMar>
            <w:vAlign w:val="bottom"/>
          </w:tcPr>
          <w:p w14:paraId="74DD61B1" w14:textId="77777777" w:rsidR="00584EC1" w:rsidRDefault="00584EC1">
            <w:pPr>
              <w:jc w:val="right"/>
              <w:rPr>
                <w:rFonts w:ascii="宋体"/>
              </w:rPr>
            </w:pPr>
          </w:p>
        </w:tc>
        <w:tc>
          <w:tcPr>
            <w:tcW w:w="0" w:type="auto"/>
            <w:gridSpan w:val="3"/>
            <w:shd w:val="clear" w:color="auto" w:fill="auto"/>
            <w:vAlign w:val="bottom"/>
          </w:tcPr>
          <w:p w14:paraId="74DD61B2" w14:textId="77777777" w:rsidR="00584EC1" w:rsidRDefault="00584EC1">
            <w:pPr>
              <w:rPr>
                <w:rFonts w:ascii="宋体"/>
                <w:vanish/>
              </w:rPr>
            </w:pPr>
          </w:p>
        </w:tc>
        <w:tc>
          <w:tcPr>
            <w:tcW w:w="0" w:type="auto"/>
            <w:gridSpan w:val="3"/>
            <w:shd w:val="clear" w:color="auto" w:fill="auto"/>
            <w:vAlign w:val="bottom"/>
          </w:tcPr>
          <w:p w14:paraId="74DD61B3" w14:textId="77777777" w:rsidR="00584EC1" w:rsidRDefault="00584EC1">
            <w:pPr>
              <w:rPr>
                <w:rFonts w:ascii="宋体"/>
                <w:vanish/>
              </w:rPr>
            </w:pPr>
          </w:p>
        </w:tc>
        <w:tc>
          <w:tcPr>
            <w:tcW w:w="0" w:type="auto"/>
            <w:gridSpan w:val="3"/>
            <w:shd w:val="clear" w:color="auto" w:fill="auto"/>
            <w:vAlign w:val="bottom"/>
          </w:tcPr>
          <w:p w14:paraId="74DD61B4" w14:textId="77777777" w:rsidR="00584EC1" w:rsidRDefault="00584EC1">
            <w:pPr>
              <w:rPr>
                <w:rFonts w:ascii="宋体"/>
                <w:vanish/>
              </w:rPr>
            </w:pPr>
          </w:p>
        </w:tc>
        <w:tc>
          <w:tcPr>
            <w:tcW w:w="0" w:type="auto"/>
            <w:gridSpan w:val="3"/>
            <w:shd w:val="clear" w:color="auto" w:fill="auto"/>
            <w:vAlign w:val="bottom"/>
          </w:tcPr>
          <w:p w14:paraId="74DD61B5" w14:textId="77777777" w:rsidR="00584EC1" w:rsidRDefault="00584EC1">
            <w:pPr>
              <w:rPr>
                <w:rFonts w:ascii="宋体"/>
                <w:vanish/>
              </w:rPr>
            </w:pPr>
          </w:p>
        </w:tc>
        <w:tc>
          <w:tcPr>
            <w:tcW w:w="0" w:type="auto"/>
            <w:gridSpan w:val="3"/>
            <w:shd w:val="clear" w:color="auto" w:fill="auto"/>
            <w:vAlign w:val="bottom"/>
          </w:tcPr>
          <w:p w14:paraId="74DD61B6" w14:textId="77777777" w:rsidR="00584EC1" w:rsidRDefault="00584EC1">
            <w:pPr>
              <w:rPr>
                <w:rFonts w:ascii="宋体"/>
                <w:vanish/>
              </w:rPr>
            </w:pPr>
          </w:p>
        </w:tc>
      </w:tr>
      <w:tr w:rsidR="00584EC1" w14:paraId="74DD61C8" w14:textId="77777777">
        <w:tc>
          <w:tcPr>
            <w:tcW w:w="0" w:type="auto"/>
            <w:gridSpan w:val="3"/>
            <w:shd w:val="clear" w:color="auto" w:fill="FFFFFF"/>
            <w:tcMar>
              <w:top w:w="40" w:type="dxa"/>
              <w:left w:w="20" w:type="dxa"/>
              <w:bottom w:w="40" w:type="dxa"/>
              <w:right w:w="20" w:type="dxa"/>
            </w:tcMar>
            <w:vAlign w:val="bottom"/>
          </w:tcPr>
          <w:p w14:paraId="74DD61B8" w14:textId="77777777" w:rsidR="00584EC1" w:rsidRDefault="00871F8D">
            <w:pPr>
              <w:textAlignment w:val="bottom"/>
            </w:pPr>
            <w:r>
              <w:rPr>
                <w:rFonts w:ascii="Arial" w:eastAsia="宋体" w:hAnsi="Arial" w:cs="Arial"/>
                <w:color w:val="000000"/>
                <w:sz w:val="12"/>
                <w:szCs w:val="12"/>
              </w:rPr>
              <w:t>Cas</w:t>
            </w:r>
            <w:r>
              <w:rPr>
                <w:rFonts w:ascii="Arial" w:eastAsia="宋体" w:hAnsi="Arial" w:cs="Arial"/>
                <w:color w:val="000000"/>
                <w:sz w:val="12"/>
                <w:szCs w:val="12"/>
              </w:rPr>
              <w:t>h dividends declared per common share</w:t>
            </w:r>
          </w:p>
        </w:tc>
        <w:tc>
          <w:tcPr>
            <w:tcW w:w="0" w:type="auto"/>
            <w:shd w:val="clear" w:color="auto" w:fill="FFFFFF"/>
            <w:tcMar>
              <w:top w:w="40" w:type="dxa"/>
              <w:left w:w="20" w:type="dxa"/>
              <w:bottom w:w="40" w:type="dxa"/>
              <w:right w:w="0" w:type="dxa"/>
            </w:tcMar>
            <w:vAlign w:val="bottom"/>
          </w:tcPr>
          <w:p w14:paraId="74DD61B9" w14:textId="77777777" w:rsidR="00584EC1" w:rsidRDefault="00871F8D">
            <w:pPr>
              <w:textAlignment w:val="bottom"/>
            </w:pPr>
            <w:r>
              <w:rPr>
                <w:rFonts w:ascii="Arial" w:eastAsia="宋体" w:hAnsi="Arial" w:cs="Arial"/>
                <w:b/>
                <w:bCs/>
                <w:color w:val="000000"/>
                <w:sz w:val="12"/>
                <w:szCs w:val="12"/>
              </w:rPr>
              <w:t>$</w:t>
            </w:r>
          </w:p>
        </w:tc>
        <w:tc>
          <w:tcPr>
            <w:tcW w:w="0" w:type="auto"/>
            <w:shd w:val="clear" w:color="auto" w:fill="FFFFFF"/>
            <w:tcMar>
              <w:top w:w="40" w:type="dxa"/>
              <w:left w:w="0" w:type="dxa"/>
              <w:bottom w:w="40" w:type="dxa"/>
              <w:right w:w="0" w:type="dxa"/>
            </w:tcMar>
            <w:vAlign w:val="bottom"/>
          </w:tcPr>
          <w:p w14:paraId="74DD61BA" w14:textId="77777777" w:rsidR="00584EC1" w:rsidRDefault="00871F8D">
            <w:pPr>
              <w:jc w:val="right"/>
              <w:textAlignment w:val="bottom"/>
            </w:pPr>
            <w:r>
              <w:rPr>
                <w:rFonts w:ascii="Arial" w:eastAsia="宋体" w:hAnsi="Arial" w:cs="Arial"/>
                <w:b/>
                <w:bCs/>
                <w:color w:val="000000"/>
                <w:sz w:val="12"/>
                <w:szCs w:val="12"/>
              </w:rPr>
              <w:t>.57</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61B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1BC" w14:textId="77777777" w:rsidR="00584EC1" w:rsidRDefault="00584EC1">
            <w:pPr>
              <w:rPr>
                <w:rFonts w:ascii="宋体"/>
              </w:rPr>
            </w:pPr>
          </w:p>
        </w:tc>
        <w:tc>
          <w:tcPr>
            <w:tcW w:w="0" w:type="auto"/>
            <w:shd w:val="clear" w:color="auto" w:fill="FFFFFF"/>
            <w:tcMar>
              <w:top w:w="40" w:type="dxa"/>
              <w:left w:w="20" w:type="dxa"/>
              <w:bottom w:w="40" w:type="dxa"/>
              <w:right w:w="0" w:type="dxa"/>
            </w:tcMar>
            <w:vAlign w:val="bottom"/>
          </w:tcPr>
          <w:p w14:paraId="74DD61BD" w14:textId="77777777" w:rsidR="00584EC1" w:rsidRDefault="00871F8D">
            <w:pPr>
              <w:textAlignment w:val="bottom"/>
            </w:pPr>
            <w:r>
              <w:rPr>
                <w:rFonts w:ascii="Arial" w:eastAsia="宋体" w:hAnsi="Arial" w:cs="Arial"/>
                <w:color w:val="000000"/>
                <w:sz w:val="12"/>
                <w:szCs w:val="12"/>
              </w:rPr>
              <w:t>$</w:t>
            </w:r>
          </w:p>
        </w:tc>
        <w:tc>
          <w:tcPr>
            <w:tcW w:w="0" w:type="auto"/>
            <w:shd w:val="clear" w:color="auto" w:fill="FFFFFF"/>
            <w:tcMar>
              <w:top w:w="40" w:type="dxa"/>
              <w:left w:w="0" w:type="dxa"/>
              <w:bottom w:w="40" w:type="dxa"/>
              <w:right w:w="0" w:type="dxa"/>
            </w:tcMar>
            <w:vAlign w:val="bottom"/>
          </w:tcPr>
          <w:p w14:paraId="74DD61BE" w14:textId="77777777" w:rsidR="00584EC1" w:rsidRDefault="00871F8D">
            <w:pPr>
              <w:jc w:val="right"/>
              <w:textAlignment w:val="bottom"/>
            </w:pPr>
            <w:r>
              <w:rPr>
                <w:rFonts w:ascii="Arial" w:eastAsia="宋体" w:hAnsi="Arial" w:cs="Arial"/>
                <w:color w:val="000000"/>
                <w:sz w:val="12"/>
                <w:szCs w:val="12"/>
              </w:rPr>
              <w:t>.52 </w:t>
            </w:r>
          </w:p>
        </w:tc>
        <w:tc>
          <w:tcPr>
            <w:tcW w:w="0" w:type="auto"/>
            <w:shd w:val="clear" w:color="auto" w:fill="FFFFFF"/>
            <w:tcMar>
              <w:top w:w="40" w:type="dxa"/>
              <w:left w:w="0" w:type="dxa"/>
              <w:bottom w:w="40" w:type="dxa"/>
              <w:right w:w="20" w:type="dxa"/>
            </w:tcMar>
            <w:vAlign w:val="bottom"/>
          </w:tcPr>
          <w:p w14:paraId="74DD61B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1C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1C1" w14:textId="77777777" w:rsidR="00584EC1" w:rsidRDefault="00871F8D">
            <w:pPr>
              <w:jc w:val="right"/>
              <w:textAlignment w:val="bottom"/>
            </w:pPr>
            <w:r>
              <w:rPr>
                <w:rFonts w:ascii="Arial" w:eastAsia="宋体" w:hAnsi="Arial" w:cs="Arial"/>
                <w:color w:val="000000"/>
                <w:sz w:val="12"/>
                <w:szCs w:val="12"/>
              </w:rPr>
              <w:t>10 </w:t>
            </w:r>
          </w:p>
        </w:tc>
        <w:tc>
          <w:tcPr>
            <w:tcW w:w="0" w:type="auto"/>
            <w:shd w:val="clear" w:color="auto" w:fill="FFFFFF"/>
            <w:tcMar>
              <w:top w:w="40" w:type="dxa"/>
              <w:left w:w="0" w:type="dxa"/>
              <w:bottom w:w="40" w:type="dxa"/>
              <w:right w:w="20" w:type="dxa"/>
            </w:tcMar>
            <w:vAlign w:val="bottom"/>
          </w:tcPr>
          <w:p w14:paraId="74DD61C2" w14:textId="77777777" w:rsidR="00584EC1" w:rsidRDefault="00584EC1">
            <w:pPr>
              <w:jc w:val="right"/>
              <w:rPr>
                <w:rFonts w:ascii="宋体"/>
              </w:rPr>
            </w:pPr>
          </w:p>
        </w:tc>
        <w:tc>
          <w:tcPr>
            <w:tcW w:w="0" w:type="auto"/>
            <w:gridSpan w:val="3"/>
            <w:shd w:val="clear" w:color="auto" w:fill="auto"/>
            <w:vAlign w:val="bottom"/>
          </w:tcPr>
          <w:p w14:paraId="74DD61C3" w14:textId="77777777" w:rsidR="00584EC1" w:rsidRDefault="00584EC1">
            <w:pPr>
              <w:rPr>
                <w:rFonts w:ascii="宋体"/>
                <w:vanish/>
              </w:rPr>
            </w:pPr>
          </w:p>
        </w:tc>
        <w:tc>
          <w:tcPr>
            <w:tcW w:w="0" w:type="auto"/>
            <w:gridSpan w:val="3"/>
            <w:shd w:val="clear" w:color="auto" w:fill="auto"/>
            <w:vAlign w:val="bottom"/>
          </w:tcPr>
          <w:p w14:paraId="74DD61C4" w14:textId="77777777" w:rsidR="00584EC1" w:rsidRDefault="00584EC1">
            <w:pPr>
              <w:rPr>
                <w:rFonts w:ascii="宋体"/>
                <w:vanish/>
              </w:rPr>
            </w:pPr>
          </w:p>
        </w:tc>
        <w:tc>
          <w:tcPr>
            <w:tcW w:w="0" w:type="auto"/>
            <w:gridSpan w:val="3"/>
            <w:shd w:val="clear" w:color="auto" w:fill="auto"/>
            <w:vAlign w:val="bottom"/>
          </w:tcPr>
          <w:p w14:paraId="74DD61C5" w14:textId="77777777" w:rsidR="00584EC1" w:rsidRDefault="00584EC1">
            <w:pPr>
              <w:rPr>
                <w:rFonts w:ascii="宋体"/>
                <w:vanish/>
              </w:rPr>
            </w:pPr>
          </w:p>
        </w:tc>
        <w:tc>
          <w:tcPr>
            <w:tcW w:w="0" w:type="auto"/>
            <w:gridSpan w:val="3"/>
            <w:shd w:val="clear" w:color="auto" w:fill="auto"/>
            <w:vAlign w:val="bottom"/>
          </w:tcPr>
          <w:p w14:paraId="74DD61C6" w14:textId="77777777" w:rsidR="00584EC1" w:rsidRDefault="00584EC1">
            <w:pPr>
              <w:rPr>
                <w:rFonts w:ascii="宋体"/>
                <w:vanish/>
              </w:rPr>
            </w:pPr>
          </w:p>
        </w:tc>
        <w:tc>
          <w:tcPr>
            <w:tcW w:w="0" w:type="auto"/>
            <w:gridSpan w:val="3"/>
            <w:shd w:val="clear" w:color="auto" w:fill="auto"/>
            <w:vAlign w:val="bottom"/>
          </w:tcPr>
          <w:p w14:paraId="74DD61C7" w14:textId="77777777" w:rsidR="00584EC1" w:rsidRDefault="00584EC1">
            <w:pPr>
              <w:rPr>
                <w:rFonts w:ascii="宋体"/>
                <w:vanish/>
              </w:rPr>
            </w:pPr>
          </w:p>
        </w:tc>
      </w:tr>
      <w:tr w:rsidR="00584EC1" w14:paraId="74DD61D6" w14:textId="77777777">
        <w:tc>
          <w:tcPr>
            <w:tcW w:w="0" w:type="auto"/>
            <w:gridSpan w:val="3"/>
            <w:shd w:val="clear" w:color="auto" w:fill="CCEEFF"/>
            <w:tcMar>
              <w:top w:w="40" w:type="dxa"/>
              <w:left w:w="20" w:type="dxa"/>
              <w:bottom w:w="40" w:type="dxa"/>
              <w:right w:w="20" w:type="dxa"/>
            </w:tcMar>
            <w:vAlign w:val="bottom"/>
          </w:tcPr>
          <w:p w14:paraId="74DD61C9" w14:textId="77777777" w:rsidR="00584EC1" w:rsidRDefault="00871F8D">
            <w:pPr>
              <w:textAlignment w:val="bottom"/>
            </w:pPr>
            <w:r>
              <w:rPr>
                <w:rFonts w:ascii="Arial" w:eastAsia="宋体" w:hAnsi="Arial" w:cs="Arial"/>
                <w:color w:val="000000"/>
                <w:sz w:val="12"/>
                <w:szCs w:val="12"/>
              </w:rPr>
              <w:t>Return on average common equity</w:t>
            </w:r>
          </w:p>
        </w:tc>
        <w:tc>
          <w:tcPr>
            <w:tcW w:w="0" w:type="auto"/>
            <w:gridSpan w:val="2"/>
            <w:shd w:val="clear" w:color="auto" w:fill="CCEEFF"/>
            <w:tcMar>
              <w:top w:w="40" w:type="dxa"/>
              <w:left w:w="20" w:type="dxa"/>
              <w:bottom w:w="40" w:type="dxa"/>
              <w:right w:w="0" w:type="dxa"/>
            </w:tcMar>
            <w:vAlign w:val="bottom"/>
          </w:tcPr>
          <w:p w14:paraId="74DD61CA" w14:textId="77777777" w:rsidR="00584EC1" w:rsidRDefault="00871F8D">
            <w:pPr>
              <w:jc w:val="right"/>
              <w:textAlignment w:val="bottom"/>
            </w:pPr>
            <w:r>
              <w:rPr>
                <w:rFonts w:ascii="Arial" w:eastAsia="宋体" w:hAnsi="Arial" w:cs="Arial"/>
                <w:b/>
                <w:bCs/>
                <w:color w:val="000000"/>
                <w:sz w:val="12"/>
                <w:szCs w:val="12"/>
              </w:rPr>
              <w:t>11.6</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61CB" w14:textId="77777777" w:rsidR="00584EC1" w:rsidRDefault="00871F8D">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vAlign w:val="bottom"/>
          </w:tcPr>
          <w:p w14:paraId="74DD61CC"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1CD" w14:textId="77777777" w:rsidR="00584EC1" w:rsidRDefault="00871F8D">
            <w:pPr>
              <w:jc w:val="right"/>
              <w:textAlignment w:val="bottom"/>
            </w:pPr>
            <w:r>
              <w:rPr>
                <w:rFonts w:ascii="Arial" w:eastAsia="宋体" w:hAnsi="Arial" w:cs="Arial"/>
                <w:color w:val="000000"/>
                <w:sz w:val="12"/>
                <w:szCs w:val="12"/>
              </w:rPr>
              <w:t>8.9 </w:t>
            </w:r>
          </w:p>
        </w:tc>
        <w:tc>
          <w:tcPr>
            <w:tcW w:w="0" w:type="auto"/>
            <w:shd w:val="clear" w:color="auto" w:fill="CCEEFF"/>
            <w:tcMar>
              <w:top w:w="40" w:type="dxa"/>
              <w:left w:w="0" w:type="dxa"/>
              <w:bottom w:w="40" w:type="dxa"/>
              <w:right w:w="20" w:type="dxa"/>
            </w:tcMar>
            <w:vAlign w:val="bottom"/>
          </w:tcPr>
          <w:p w14:paraId="74DD61CE" w14:textId="77777777" w:rsidR="00584EC1" w:rsidRDefault="00871F8D">
            <w:pPr>
              <w:jc w:val="right"/>
              <w:textAlignment w:val="bottom"/>
            </w:pPr>
            <w:r>
              <w:rPr>
                <w:rFonts w:ascii="Arial" w:eastAsia="宋体" w:hAnsi="Arial" w:cs="Arial"/>
                <w:color w:val="000000"/>
                <w:sz w:val="12"/>
                <w:szCs w:val="12"/>
              </w:rPr>
              <w:t>%</w:t>
            </w:r>
          </w:p>
        </w:tc>
        <w:tc>
          <w:tcPr>
            <w:tcW w:w="0" w:type="auto"/>
            <w:gridSpan w:val="3"/>
            <w:shd w:val="clear" w:color="auto" w:fill="CCEEFF"/>
            <w:tcMar>
              <w:top w:w="0" w:type="dxa"/>
              <w:left w:w="20" w:type="dxa"/>
              <w:bottom w:w="0" w:type="dxa"/>
              <w:right w:w="20" w:type="dxa"/>
            </w:tcMar>
            <w:vAlign w:val="bottom"/>
          </w:tcPr>
          <w:p w14:paraId="74DD61CF" w14:textId="77777777" w:rsidR="00584EC1" w:rsidRDefault="00584EC1">
            <w:pPr>
              <w:rPr>
                <w:rFonts w:ascii="宋体"/>
              </w:rPr>
            </w:pPr>
          </w:p>
        </w:tc>
        <w:tc>
          <w:tcPr>
            <w:tcW w:w="0" w:type="auto"/>
            <w:gridSpan w:val="3"/>
            <w:shd w:val="clear" w:color="auto" w:fill="CCEEFF"/>
            <w:tcMar>
              <w:top w:w="40" w:type="dxa"/>
              <w:left w:w="20" w:type="dxa"/>
              <w:bottom w:w="40" w:type="dxa"/>
              <w:right w:w="20" w:type="dxa"/>
            </w:tcMar>
            <w:vAlign w:val="bottom"/>
          </w:tcPr>
          <w:p w14:paraId="74DD61D0" w14:textId="77777777" w:rsidR="00584EC1" w:rsidRDefault="00871F8D">
            <w:pPr>
              <w:jc w:val="right"/>
              <w:textAlignment w:val="bottom"/>
            </w:pPr>
            <w:r>
              <w:rPr>
                <w:rFonts w:ascii="Arial" w:eastAsia="宋体" w:hAnsi="Arial" w:cs="Arial"/>
                <w:color w:val="000000"/>
                <w:sz w:val="12"/>
                <w:szCs w:val="12"/>
              </w:rPr>
              <w:t>270 bps</w:t>
            </w:r>
          </w:p>
        </w:tc>
        <w:tc>
          <w:tcPr>
            <w:tcW w:w="0" w:type="auto"/>
            <w:gridSpan w:val="3"/>
            <w:shd w:val="clear" w:color="auto" w:fill="auto"/>
            <w:vAlign w:val="bottom"/>
          </w:tcPr>
          <w:p w14:paraId="74DD61D1" w14:textId="77777777" w:rsidR="00584EC1" w:rsidRDefault="00584EC1">
            <w:pPr>
              <w:rPr>
                <w:rFonts w:ascii="宋体"/>
                <w:vanish/>
              </w:rPr>
            </w:pPr>
          </w:p>
        </w:tc>
        <w:tc>
          <w:tcPr>
            <w:tcW w:w="0" w:type="auto"/>
            <w:gridSpan w:val="3"/>
            <w:shd w:val="clear" w:color="auto" w:fill="auto"/>
            <w:vAlign w:val="bottom"/>
          </w:tcPr>
          <w:p w14:paraId="74DD61D2" w14:textId="77777777" w:rsidR="00584EC1" w:rsidRDefault="00584EC1">
            <w:pPr>
              <w:rPr>
                <w:rFonts w:ascii="宋体"/>
                <w:vanish/>
              </w:rPr>
            </w:pPr>
          </w:p>
        </w:tc>
        <w:tc>
          <w:tcPr>
            <w:tcW w:w="0" w:type="auto"/>
            <w:gridSpan w:val="3"/>
            <w:shd w:val="clear" w:color="auto" w:fill="auto"/>
            <w:vAlign w:val="bottom"/>
          </w:tcPr>
          <w:p w14:paraId="74DD61D3" w14:textId="77777777" w:rsidR="00584EC1" w:rsidRDefault="00584EC1">
            <w:pPr>
              <w:rPr>
                <w:rFonts w:ascii="宋体"/>
                <w:vanish/>
              </w:rPr>
            </w:pPr>
          </w:p>
        </w:tc>
        <w:tc>
          <w:tcPr>
            <w:tcW w:w="0" w:type="auto"/>
            <w:gridSpan w:val="3"/>
            <w:shd w:val="clear" w:color="auto" w:fill="auto"/>
            <w:vAlign w:val="bottom"/>
          </w:tcPr>
          <w:p w14:paraId="74DD61D4" w14:textId="77777777" w:rsidR="00584EC1" w:rsidRDefault="00584EC1">
            <w:pPr>
              <w:rPr>
                <w:rFonts w:ascii="宋体"/>
                <w:vanish/>
              </w:rPr>
            </w:pPr>
          </w:p>
        </w:tc>
        <w:tc>
          <w:tcPr>
            <w:tcW w:w="0" w:type="auto"/>
            <w:gridSpan w:val="3"/>
            <w:shd w:val="clear" w:color="auto" w:fill="auto"/>
            <w:vAlign w:val="bottom"/>
          </w:tcPr>
          <w:p w14:paraId="74DD61D5" w14:textId="77777777" w:rsidR="00584EC1" w:rsidRDefault="00584EC1">
            <w:pPr>
              <w:rPr>
                <w:rFonts w:ascii="宋体"/>
                <w:vanish/>
              </w:rPr>
            </w:pPr>
          </w:p>
        </w:tc>
      </w:tr>
      <w:tr w:rsidR="00584EC1" w14:paraId="74DD61E5" w14:textId="77777777">
        <w:tc>
          <w:tcPr>
            <w:tcW w:w="0" w:type="auto"/>
            <w:gridSpan w:val="3"/>
            <w:shd w:val="clear" w:color="auto" w:fill="FFFFFF"/>
            <w:tcMar>
              <w:top w:w="40" w:type="dxa"/>
              <w:left w:w="20" w:type="dxa"/>
              <w:bottom w:w="40" w:type="dxa"/>
              <w:right w:w="20" w:type="dxa"/>
            </w:tcMar>
            <w:vAlign w:val="bottom"/>
          </w:tcPr>
          <w:p w14:paraId="74DD61D7" w14:textId="77777777" w:rsidR="00584EC1" w:rsidRDefault="00871F8D">
            <w:pPr>
              <w:textAlignment w:val="bottom"/>
            </w:pPr>
            <w:r>
              <w:rPr>
                <w:rFonts w:ascii="Arial" w:eastAsia="宋体" w:hAnsi="Arial" w:cs="Arial"/>
                <w:color w:val="000000"/>
                <w:sz w:val="12"/>
                <w:szCs w:val="12"/>
              </w:rPr>
              <w:t>Pre-tax margin</w:t>
            </w:r>
          </w:p>
        </w:tc>
        <w:tc>
          <w:tcPr>
            <w:tcW w:w="0" w:type="auto"/>
            <w:gridSpan w:val="2"/>
            <w:shd w:val="clear" w:color="auto" w:fill="FFFFFF"/>
            <w:tcMar>
              <w:top w:w="40" w:type="dxa"/>
              <w:left w:w="20" w:type="dxa"/>
              <w:bottom w:w="40" w:type="dxa"/>
              <w:right w:w="0" w:type="dxa"/>
            </w:tcMar>
            <w:vAlign w:val="bottom"/>
          </w:tcPr>
          <w:p w14:paraId="74DD61D8" w14:textId="77777777" w:rsidR="00584EC1" w:rsidRDefault="00871F8D">
            <w:pPr>
              <w:jc w:val="right"/>
              <w:textAlignment w:val="bottom"/>
            </w:pPr>
            <w:r>
              <w:rPr>
                <w:rFonts w:ascii="Arial" w:eastAsia="宋体" w:hAnsi="Arial" w:cs="Arial"/>
                <w:b/>
                <w:bCs/>
                <w:color w:val="000000"/>
                <w:sz w:val="12"/>
                <w:szCs w:val="12"/>
              </w:rPr>
              <w:t>29.3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61D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1D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1DB" w14:textId="77777777" w:rsidR="00584EC1" w:rsidRDefault="00871F8D">
            <w:pPr>
              <w:jc w:val="right"/>
              <w:textAlignment w:val="bottom"/>
            </w:pPr>
            <w:r>
              <w:rPr>
                <w:rFonts w:ascii="Arial" w:eastAsia="宋体" w:hAnsi="Arial" w:cs="Arial"/>
                <w:color w:val="000000"/>
                <w:sz w:val="12"/>
                <w:szCs w:val="12"/>
              </w:rPr>
              <w:t>24.5 </w:t>
            </w:r>
          </w:p>
        </w:tc>
        <w:tc>
          <w:tcPr>
            <w:tcW w:w="0" w:type="auto"/>
            <w:shd w:val="clear" w:color="auto" w:fill="FFFFFF"/>
            <w:tcMar>
              <w:top w:w="40" w:type="dxa"/>
              <w:left w:w="0" w:type="dxa"/>
              <w:bottom w:w="40" w:type="dxa"/>
              <w:right w:w="20" w:type="dxa"/>
            </w:tcMar>
            <w:vAlign w:val="bottom"/>
          </w:tcPr>
          <w:p w14:paraId="74DD61D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1D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1DE" w14:textId="77777777" w:rsidR="00584EC1" w:rsidRDefault="00871F8D">
            <w:pPr>
              <w:jc w:val="right"/>
              <w:textAlignment w:val="bottom"/>
            </w:pPr>
            <w:r>
              <w:rPr>
                <w:rFonts w:ascii="Arial" w:eastAsia="宋体" w:hAnsi="Arial" w:cs="Arial"/>
                <w:color w:val="000000"/>
                <w:sz w:val="12"/>
                <w:szCs w:val="12"/>
              </w:rPr>
              <w:t>480 </w:t>
            </w:r>
          </w:p>
        </w:tc>
        <w:tc>
          <w:tcPr>
            <w:tcW w:w="0" w:type="auto"/>
            <w:shd w:val="clear" w:color="auto" w:fill="FFFFFF"/>
            <w:tcMar>
              <w:top w:w="40" w:type="dxa"/>
              <w:left w:w="0" w:type="dxa"/>
              <w:bottom w:w="40" w:type="dxa"/>
              <w:right w:w="20" w:type="dxa"/>
            </w:tcMar>
            <w:vAlign w:val="bottom"/>
          </w:tcPr>
          <w:p w14:paraId="74DD61DF" w14:textId="77777777" w:rsidR="00584EC1" w:rsidRDefault="00584EC1">
            <w:pPr>
              <w:jc w:val="right"/>
              <w:rPr>
                <w:rFonts w:ascii="宋体"/>
              </w:rPr>
            </w:pPr>
          </w:p>
        </w:tc>
        <w:tc>
          <w:tcPr>
            <w:tcW w:w="0" w:type="auto"/>
            <w:gridSpan w:val="3"/>
            <w:shd w:val="clear" w:color="auto" w:fill="auto"/>
            <w:vAlign w:val="bottom"/>
          </w:tcPr>
          <w:p w14:paraId="74DD61E0" w14:textId="77777777" w:rsidR="00584EC1" w:rsidRDefault="00584EC1">
            <w:pPr>
              <w:rPr>
                <w:rFonts w:ascii="宋体"/>
                <w:vanish/>
              </w:rPr>
            </w:pPr>
          </w:p>
        </w:tc>
        <w:tc>
          <w:tcPr>
            <w:tcW w:w="0" w:type="auto"/>
            <w:gridSpan w:val="3"/>
            <w:shd w:val="clear" w:color="auto" w:fill="auto"/>
            <w:vAlign w:val="bottom"/>
          </w:tcPr>
          <w:p w14:paraId="74DD61E1" w14:textId="77777777" w:rsidR="00584EC1" w:rsidRDefault="00584EC1">
            <w:pPr>
              <w:rPr>
                <w:rFonts w:ascii="宋体"/>
                <w:vanish/>
              </w:rPr>
            </w:pPr>
          </w:p>
        </w:tc>
        <w:tc>
          <w:tcPr>
            <w:tcW w:w="0" w:type="auto"/>
            <w:gridSpan w:val="3"/>
            <w:shd w:val="clear" w:color="auto" w:fill="auto"/>
            <w:vAlign w:val="bottom"/>
          </w:tcPr>
          <w:p w14:paraId="74DD61E2" w14:textId="77777777" w:rsidR="00584EC1" w:rsidRDefault="00584EC1">
            <w:pPr>
              <w:rPr>
                <w:rFonts w:ascii="宋体"/>
                <w:vanish/>
              </w:rPr>
            </w:pPr>
          </w:p>
        </w:tc>
        <w:tc>
          <w:tcPr>
            <w:tcW w:w="0" w:type="auto"/>
            <w:gridSpan w:val="3"/>
            <w:shd w:val="clear" w:color="auto" w:fill="auto"/>
            <w:vAlign w:val="bottom"/>
          </w:tcPr>
          <w:p w14:paraId="74DD61E3" w14:textId="77777777" w:rsidR="00584EC1" w:rsidRDefault="00584EC1">
            <w:pPr>
              <w:rPr>
                <w:rFonts w:ascii="宋体"/>
                <w:vanish/>
              </w:rPr>
            </w:pPr>
          </w:p>
        </w:tc>
        <w:tc>
          <w:tcPr>
            <w:tcW w:w="0" w:type="auto"/>
            <w:gridSpan w:val="3"/>
            <w:shd w:val="clear" w:color="auto" w:fill="auto"/>
            <w:vAlign w:val="bottom"/>
          </w:tcPr>
          <w:p w14:paraId="74DD61E4" w14:textId="77777777" w:rsidR="00584EC1" w:rsidRDefault="00584EC1">
            <w:pPr>
              <w:rPr>
                <w:rFonts w:ascii="宋体"/>
                <w:vanish/>
              </w:rPr>
            </w:pPr>
          </w:p>
        </w:tc>
      </w:tr>
      <w:tr w:rsidR="00584EC1" w14:paraId="74DD61EF" w14:textId="77777777">
        <w:trPr>
          <w:trHeight w:val="340"/>
        </w:trPr>
        <w:tc>
          <w:tcPr>
            <w:tcW w:w="0" w:type="auto"/>
            <w:gridSpan w:val="3"/>
            <w:shd w:val="clear" w:color="auto" w:fill="auto"/>
            <w:tcMar>
              <w:top w:w="0" w:type="dxa"/>
              <w:left w:w="20" w:type="dxa"/>
              <w:bottom w:w="0" w:type="dxa"/>
              <w:right w:w="20" w:type="dxa"/>
            </w:tcMar>
            <w:vAlign w:val="bottom"/>
          </w:tcPr>
          <w:p w14:paraId="74DD61E6" w14:textId="77777777" w:rsidR="00584EC1" w:rsidRDefault="00584EC1">
            <w:pPr>
              <w:rPr>
                <w:rFonts w:ascii="宋体"/>
              </w:rPr>
            </w:pPr>
          </w:p>
        </w:tc>
        <w:tc>
          <w:tcPr>
            <w:tcW w:w="0" w:type="auto"/>
            <w:gridSpan w:val="9"/>
            <w:shd w:val="clear" w:color="auto" w:fill="auto"/>
            <w:tcMar>
              <w:top w:w="40" w:type="dxa"/>
              <w:left w:w="20" w:type="dxa"/>
              <w:bottom w:w="40" w:type="dxa"/>
              <w:right w:w="20" w:type="dxa"/>
            </w:tcMar>
            <w:vAlign w:val="bottom"/>
          </w:tcPr>
          <w:p w14:paraId="74DD61E7" w14:textId="77777777" w:rsidR="00584EC1" w:rsidRDefault="00871F8D">
            <w:pPr>
              <w:jc w:val="center"/>
              <w:textAlignment w:val="bottom"/>
            </w:pPr>
            <w:r>
              <w:rPr>
                <w:rFonts w:ascii="Arial" w:eastAsia="宋体" w:hAnsi="Arial" w:cs="Arial"/>
                <w:b/>
                <w:bCs/>
                <w:color w:val="000000"/>
                <w:sz w:val="12"/>
                <w:szCs w:val="12"/>
              </w:rPr>
              <w:t>Nine Mo</w:t>
            </w:r>
            <w:r>
              <w:rPr>
                <w:rFonts w:ascii="Arial" w:eastAsia="宋体" w:hAnsi="Arial" w:cs="Arial"/>
                <w:b/>
                <w:bCs/>
                <w:color w:val="000000"/>
                <w:sz w:val="12"/>
                <w:szCs w:val="12"/>
              </w:rPr>
              <w:t>nths Ended September 30,</w:t>
            </w:r>
          </w:p>
        </w:tc>
        <w:tc>
          <w:tcPr>
            <w:tcW w:w="0" w:type="auto"/>
            <w:gridSpan w:val="3"/>
            <w:shd w:val="clear" w:color="auto" w:fill="auto"/>
            <w:tcMar>
              <w:top w:w="0" w:type="dxa"/>
              <w:left w:w="20" w:type="dxa"/>
              <w:bottom w:w="0" w:type="dxa"/>
              <w:right w:w="20" w:type="dxa"/>
            </w:tcMar>
            <w:vAlign w:val="bottom"/>
          </w:tcPr>
          <w:p w14:paraId="74DD61E8" w14:textId="77777777" w:rsidR="00584EC1" w:rsidRDefault="00584EC1">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74DD61E9" w14:textId="77777777" w:rsidR="00584EC1" w:rsidRDefault="00871F8D">
            <w:pPr>
              <w:jc w:val="center"/>
              <w:textAlignment w:val="bottom"/>
            </w:pPr>
            <w:r>
              <w:rPr>
                <w:rFonts w:ascii="Arial" w:eastAsia="宋体" w:hAnsi="Arial" w:cs="Arial"/>
                <w:b/>
                <w:bCs/>
                <w:color w:val="000000"/>
                <w:sz w:val="12"/>
                <w:szCs w:val="12"/>
              </w:rPr>
              <w:t>% Change</w:t>
            </w:r>
          </w:p>
        </w:tc>
        <w:tc>
          <w:tcPr>
            <w:tcW w:w="0" w:type="auto"/>
            <w:gridSpan w:val="3"/>
            <w:shd w:val="clear" w:color="auto" w:fill="auto"/>
            <w:vAlign w:val="bottom"/>
          </w:tcPr>
          <w:p w14:paraId="74DD61EA" w14:textId="77777777" w:rsidR="00584EC1" w:rsidRDefault="00584EC1">
            <w:pPr>
              <w:rPr>
                <w:rFonts w:ascii="宋体"/>
                <w:vanish/>
              </w:rPr>
            </w:pPr>
          </w:p>
        </w:tc>
        <w:tc>
          <w:tcPr>
            <w:tcW w:w="0" w:type="auto"/>
            <w:gridSpan w:val="3"/>
            <w:shd w:val="clear" w:color="auto" w:fill="auto"/>
            <w:vAlign w:val="bottom"/>
          </w:tcPr>
          <w:p w14:paraId="74DD61EB" w14:textId="77777777" w:rsidR="00584EC1" w:rsidRDefault="00584EC1">
            <w:pPr>
              <w:rPr>
                <w:rFonts w:ascii="宋体"/>
                <w:vanish/>
              </w:rPr>
            </w:pPr>
          </w:p>
        </w:tc>
        <w:tc>
          <w:tcPr>
            <w:tcW w:w="0" w:type="auto"/>
            <w:gridSpan w:val="3"/>
            <w:shd w:val="clear" w:color="auto" w:fill="auto"/>
            <w:vAlign w:val="bottom"/>
          </w:tcPr>
          <w:p w14:paraId="74DD61EC" w14:textId="77777777" w:rsidR="00584EC1" w:rsidRDefault="00584EC1">
            <w:pPr>
              <w:rPr>
                <w:rFonts w:ascii="宋体"/>
                <w:vanish/>
              </w:rPr>
            </w:pPr>
          </w:p>
        </w:tc>
        <w:tc>
          <w:tcPr>
            <w:tcW w:w="0" w:type="auto"/>
            <w:gridSpan w:val="3"/>
            <w:shd w:val="clear" w:color="auto" w:fill="auto"/>
            <w:vAlign w:val="bottom"/>
          </w:tcPr>
          <w:p w14:paraId="74DD61ED" w14:textId="77777777" w:rsidR="00584EC1" w:rsidRDefault="00584EC1">
            <w:pPr>
              <w:rPr>
                <w:rFonts w:ascii="宋体"/>
                <w:vanish/>
              </w:rPr>
            </w:pPr>
          </w:p>
        </w:tc>
        <w:tc>
          <w:tcPr>
            <w:tcW w:w="0" w:type="auto"/>
            <w:gridSpan w:val="3"/>
            <w:shd w:val="clear" w:color="auto" w:fill="auto"/>
            <w:vAlign w:val="bottom"/>
          </w:tcPr>
          <w:p w14:paraId="74DD61EE" w14:textId="77777777" w:rsidR="00584EC1" w:rsidRDefault="00584EC1">
            <w:pPr>
              <w:rPr>
                <w:rFonts w:ascii="宋体"/>
                <w:vanish/>
              </w:rPr>
            </w:pPr>
          </w:p>
        </w:tc>
      </w:tr>
      <w:tr w:rsidR="00584EC1" w14:paraId="74DD61FB" w14:textId="77777777">
        <w:trPr>
          <w:trHeight w:val="340"/>
        </w:trPr>
        <w:tc>
          <w:tcPr>
            <w:tcW w:w="0" w:type="auto"/>
            <w:gridSpan w:val="3"/>
            <w:shd w:val="clear" w:color="auto" w:fill="auto"/>
            <w:tcMar>
              <w:top w:w="40" w:type="dxa"/>
              <w:left w:w="20" w:type="dxa"/>
              <w:bottom w:w="40" w:type="dxa"/>
              <w:right w:w="20" w:type="dxa"/>
            </w:tcMar>
            <w:vAlign w:val="bottom"/>
          </w:tcPr>
          <w:p w14:paraId="74DD61F0" w14:textId="77777777" w:rsidR="00584EC1" w:rsidRDefault="00871F8D">
            <w:pPr>
              <w:textAlignment w:val="bottom"/>
            </w:pPr>
            <w:r>
              <w:rPr>
                <w:rFonts w:ascii="Arial" w:eastAsia="宋体" w:hAnsi="Arial" w:cs="Arial"/>
                <w:b/>
                <w:bCs/>
                <w:color w:val="000000"/>
                <w:sz w:val="12"/>
                <w:szCs w:val="12"/>
              </w:rPr>
              <w:t>(Dollars in millions, except per share amounts)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61F1" w14:textId="77777777" w:rsidR="00584EC1" w:rsidRDefault="00871F8D">
            <w:pPr>
              <w:jc w:val="center"/>
              <w:textAlignment w:val="bottom"/>
            </w:pPr>
            <w:r>
              <w:rPr>
                <w:rFonts w:ascii="Arial" w:eastAsia="宋体" w:hAnsi="Arial" w:cs="Arial"/>
                <w:b/>
                <w:bCs/>
                <w:color w:val="000000"/>
                <w:sz w:val="12"/>
                <w:szCs w:val="12"/>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61F2"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61F3" w14:textId="77777777" w:rsidR="00584EC1" w:rsidRDefault="00871F8D">
            <w:pPr>
              <w:jc w:val="center"/>
              <w:textAlignment w:val="bottom"/>
            </w:pPr>
            <w:r>
              <w:rPr>
                <w:rFonts w:ascii="Arial" w:eastAsia="宋体" w:hAnsi="Arial" w:cs="Arial"/>
                <w:b/>
                <w:bCs/>
                <w:color w:val="000000"/>
                <w:sz w:val="12"/>
                <w:szCs w:val="12"/>
              </w:rPr>
              <w:t>2020</w:t>
            </w:r>
          </w:p>
        </w:tc>
        <w:tc>
          <w:tcPr>
            <w:tcW w:w="0" w:type="auto"/>
            <w:gridSpan w:val="3"/>
            <w:shd w:val="clear" w:color="auto" w:fill="auto"/>
            <w:tcMar>
              <w:top w:w="0" w:type="dxa"/>
              <w:left w:w="20" w:type="dxa"/>
              <w:bottom w:w="0" w:type="dxa"/>
              <w:right w:w="20" w:type="dxa"/>
            </w:tcMar>
            <w:vAlign w:val="bottom"/>
          </w:tcPr>
          <w:p w14:paraId="74DD61F4" w14:textId="77777777" w:rsidR="00584EC1" w:rsidRDefault="00584EC1">
            <w:pPr>
              <w:rPr>
                <w:rFonts w:ascii="宋体"/>
              </w:rPr>
            </w:pPr>
          </w:p>
        </w:tc>
        <w:tc>
          <w:tcPr>
            <w:tcW w:w="0" w:type="auto"/>
            <w:gridSpan w:val="3"/>
            <w:vMerge/>
            <w:shd w:val="clear" w:color="auto" w:fill="auto"/>
            <w:tcMar>
              <w:top w:w="40" w:type="dxa"/>
              <w:left w:w="20" w:type="dxa"/>
              <w:bottom w:w="40" w:type="dxa"/>
              <w:right w:w="20" w:type="dxa"/>
            </w:tcMar>
            <w:vAlign w:val="bottom"/>
          </w:tcPr>
          <w:p w14:paraId="74DD61F5" w14:textId="77777777" w:rsidR="00584EC1" w:rsidRDefault="00584EC1">
            <w:pPr>
              <w:jc w:val="center"/>
              <w:rPr>
                <w:rFonts w:ascii="宋体"/>
              </w:rPr>
            </w:pPr>
          </w:p>
        </w:tc>
        <w:tc>
          <w:tcPr>
            <w:tcW w:w="0" w:type="auto"/>
            <w:gridSpan w:val="3"/>
            <w:shd w:val="clear" w:color="auto" w:fill="auto"/>
            <w:vAlign w:val="bottom"/>
          </w:tcPr>
          <w:p w14:paraId="74DD61F6" w14:textId="77777777" w:rsidR="00584EC1" w:rsidRDefault="00584EC1">
            <w:pPr>
              <w:rPr>
                <w:rFonts w:ascii="宋体"/>
                <w:vanish/>
              </w:rPr>
            </w:pPr>
          </w:p>
        </w:tc>
        <w:tc>
          <w:tcPr>
            <w:tcW w:w="0" w:type="auto"/>
            <w:gridSpan w:val="3"/>
            <w:shd w:val="clear" w:color="auto" w:fill="auto"/>
            <w:vAlign w:val="bottom"/>
          </w:tcPr>
          <w:p w14:paraId="74DD61F7" w14:textId="77777777" w:rsidR="00584EC1" w:rsidRDefault="00584EC1">
            <w:pPr>
              <w:rPr>
                <w:rFonts w:ascii="宋体"/>
                <w:vanish/>
              </w:rPr>
            </w:pPr>
          </w:p>
        </w:tc>
        <w:tc>
          <w:tcPr>
            <w:tcW w:w="0" w:type="auto"/>
            <w:gridSpan w:val="3"/>
            <w:shd w:val="clear" w:color="auto" w:fill="auto"/>
            <w:vAlign w:val="bottom"/>
          </w:tcPr>
          <w:p w14:paraId="74DD61F8" w14:textId="77777777" w:rsidR="00584EC1" w:rsidRDefault="00584EC1">
            <w:pPr>
              <w:rPr>
                <w:rFonts w:ascii="宋体"/>
                <w:vanish/>
              </w:rPr>
            </w:pPr>
          </w:p>
        </w:tc>
        <w:tc>
          <w:tcPr>
            <w:tcW w:w="0" w:type="auto"/>
            <w:gridSpan w:val="3"/>
            <w:shd w:val="clear" w:color="auto" w:fill="auto"/>
            <w:vAlign w:val="bottom"/>
          </w:tcPr>
          <w:p w14:paraId="74DD61F9" w14:textId="77777777" w:rsidR="00584EC1" w:rsidRDefault="00584EC1">
            <w:pPr>
              <w:rPr>
                <w:rFonts w:ascii="宋体"/>
                <w:vanish/>
              </w:rPr>
            </w:pPr>
          </w:p>
        </w:tc>
        <w:tc>
          <w:tcPr>
            <w:tcW w:w="0" w:type="auto"/>
            <w:gridSpan w:val="3"/>
            <w:shd w:val="clear" w:color="auto" w:fill="auto"/>
            <w:vAlign w:val="bottom"/>
          </w:tcPr>
          <w:p w14:paraId="74DD61FA" w14:textId="77777777" w:rsidR="00584EC1" w:rsidRDefault="00584EC1">
            <w:pPr>
              <w:rPr>
                <w:rFonts w:ascii="宋体"/>
                <w:vanish/>
              </w:rPr>
            </w:pPr>
          </w:p>
        </w:tc>
      </w:tr>
      <w:tr w:rsidR="00584EC1" w14:paraId="74DD620C" w14:textId="77777777">
        <w:tc>
          <w:tcPr>
            <w:tcW w:w="0" w:type="auto"/>
            <w:gridSpan w:val="3"/>
            <w:shd w:val="clear" w:color="auto" w:fill="CCEEFF"/>
            <w:tcMar>
              <w:top w:w="40" w:type="dxa"/>
              <w:left w:w="20" w:type="dxa"/>
              <w:bottom w:w="40" w:type="dxa"/>
              <w:right w:w="20" w:type="dxa"/>
            </w:tcMar>
            <w:vAlign w:val="bottom"/>
          </w:tcPr>
          <w:p w14:paraId="74DD61FC" w14:textId="77777777" w:rsidR="00584EC1" w:rsidRDefault="00871F8D">
            <w:pPr>
              <w:textAlignment w:val="bottom"/>
            </w:pPr>
            <w:r>
              <w:rPr>
                <w:rFonts w:ascii="Arial" w:eastAsia="宋体" w:hAnsi="Arial" w:cs="Arial"/>
                <w:color w:val="000000"/>
                <w:sz w:val="12"/>
                <w:szCs w:val="12"/>
              </w:rPr>
              <w:t>Total fee revenue</w:t>
            </w:r>
          </w:p>
        </w:tc>
        <w:tc>
          <w:tcPr>
            <w:tcW w:w="0" w:type="auto"/>
            <w:tcBorders>
              <w:top w:val="single" w:sz="8" w:space="0" w:color="000000"/>
            </w:tcBorders>
            <w:shd w:val="clear" w:color="auto" w:fill="CCEEFF"/>
            <w:tcMar>
              <w:top w:w="40" w:type="dxa"/>
              <w:left w:w="20" w:type="dxa"/>
              <w:bottom w:w="40" w:type="dxa"/>
              <w:right w:w="0" w:type="dxa"/>
            </w:tcMar>
            <w:vAlign w:val="bottom"/>
          </w:tcPr>
          <w:p w14:paraId="74DD61FD"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61FE" w14:textId="77777777" w:rsidR="00584EC1" w:rsidRDefault="00871F8D">
            <w:pPr>
              <w:jc w:val="right"/>
              <w:textAlignment w:val="bottom"/>
            </w:pPr>
            <w:r>
              <w:rPr>
                <w:rFonts w:ascii="Arial" w:eastAsia="宋体" w:hAnsi="Arial" w:cs="Arial"/>
                <w:b/>
                <w:bCs/>
                <w:color w:val="000000"/>
                <w:sz w:val="12"/>
                <w:szCs w:val="12"/>
              </w:rPr>
              <w:t>7,501</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61F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200"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6201"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6202" w14:textId="77777777" w:rsidR="00584EC1" w:rsidRDefault="00871F8D">
            <w:pPr>
              <w:jc w:val="right"/>
              <w:textAlignment w:val="bottom"/>
            </w:pPr>
            <w:r>
              <w:rPr>
                <w:rFonts w:ascii="Arial" w:eastAsia="宋体" w:hAnsi="Arial" w:cs="Arial"/>
                <w:color w:val="000000"/>
                <w:sz w:val="12"/>
                <w:szCs w:val="12"/>
              </w:rPr>
              <w:t>7,083 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620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204"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6205" w14:textId="77777777" w:rsidR="00584EC1" w:rsidRDefault="00871F8D">
            <w:pPr>
              <w:jc w:val="right"/>
              <w:textAlignment w:val="bottom"/>
            </w:pPr>
            <w:r>
              <w:rPr>
                <w:rFonts w:ascii="Arial" w:eastAsia="宋体" w:hAnsi="Arial" w:cs="Arial"/>
                <w:color w:val="000000"/>
                <w:sz w:val="12"/>
                <w:szCs w:val="12"/>
              </w:rPr>
              <w:t>6 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6206" w14:textId="77777777" w:rsidR="00584EC1" w:rsidRDefault="00871F8D">
            <w:pPr>
              <w:jc w:val="right"/>
              <w:textAlignment w:val="bottom"/>
            </w:pPr>
            <w:r>
              <w:rPr>
                <w:rFonts w:ascii="Arial" w:eastAsia="宋体" w:hAnsi="Arial" w:cs="Arial"/>
                <w:color w:val="000000"/>
                <w:sz w:val="12"/>
                <w:szCs w:val="12"/>
              </w:rPr>
              <w:t>%</w:t>
            </w:r>
          </w:p>
        </w:tc>
        <w:tc>
          <w:tcPr>
            <w:tcW w:w="0" w:type="auto"/>
            <w:gridSpan w:val="3"/>
            <w:shd w:val="clear" w:color="auto" w:fill="auto"/>
            <w:vAlign w:val="bottom"/>
          </w:tcPr>
          <w:p w14:paraId="74DD6207" w14:textId="77777777" w:rsidR="00584EC1" w:rsidRDefault="00584EC1">
            <w:pPr>
              <w:rPr>
                <w:rFonts w:ascii="宋体"/>
                <w:vanish/>
              </w:rPr>
            </w:pPr>
          </w:p>
        </w:tc>
        <w:tc>
          <w:tcPr>
            <w:tcW w:w="0" w:type="auto"/>
            <w:gridSpan w:val="3"/>
            <w:shd w:val="clear" w:color="auto" w:fill="auto"/>
            <w:vAlign w:val="bottom"/>
          </w:tcPr>
          <w:p w14:paraId="74DD6208" w14:textId="77777777" w:rsidR="00584EC1" w:rsidRDefault="00584EC1">
            <w:pPr>
              <w:rPr>
                <w:rFonts w:ascii="宋体"/>
                <w:vanish/>
              </w:rPr>
            </w:pPr>
          </w:p>
        </w:tc>
        <w:tc>
          <w:tcPr>
            <w:tcW w:w="0" w:type="auto"/>
            <w:gridSpan w:val="3"/>
            <w:shd w:val="clear" w:color="auto" w:fill="auto"/>
            <w:vAlign w:val="bottom"/>
          </w:tcPr>
          <w:p w14:paraId="74DD6209" w14:textId="77777777" w:rsidR="00584EC1" w:rsidRDefault="00584EC1">
            <w:pPr>
              <w:rPr>
                <w:rFonts w:ascii="宋体"/>
                <w:vanish/>
              </w:rPr>
            </w:pPr>
          </w:p>
        </w:tc>
        <w:tc>
          <w:tcPr>
            <w:tcW w:w="0" w:type="auto"/>
            <w:gridSpan w:val="3"/>
            <w:shd w:val="clear" w:color="auto" w:fill="auto"/>
            <w:vAlign w:val="bottom"/>
          </w:tcPr>
          <w:p w14:paraId="74DD620A" w14:textId="77777777" w:rsidR="00584EC1" w:rsidRDefault="00584EC1">
            <w:pPr>
              <w:rPr>
                <w:rFonts w:ascii="宋体"/>
                <w:vanish/>
              </w:rPr>
            </w:pPr>
          </w:p>
        </w:tc>
        <w:tc>
          <w:tcPr>
            <w:tcW w:w="0" w:type="auto"/>
            <w:gridSpan w:val="3"/>
            <w:shd w:val="clear" w:color="auto" w:fill="auto"/>
            <w:vAlign w:val="bottom"/>
          </w:tcPr>
          <w:p w14:paraId="74DD620B" w14:textId="77777777" w:rsidR="00584EC1" w:rsidRDefault="00584EC1">
            <w:pPr>
              <w:rPr>
                <w:rFonts w:ascii="宋体"/>
                <w:vanish/>
              </w:rPr>
            </w:pPr>
          </w:p>
        </w:tc>
      </w:tr>
      <w:tr w:rsidR="00584EC1" w14:paraId="74DD621A" w14:textId="77777777">
        <w:tc>
          <w:tcPr>
            <w:tcW w:w="0" w:type="auto"/>
            <w:gridSpan w:val="3"/>
            <w:shd w:val="clear" w:color="auto" w:fill="FFFFFF"/>
            <w:tcMar>
              <w:top w:w="40" w:type="dxa"/>
              <w:left w:w="20" w:type="dxa"/>
              <w:bottom w:w="40" w:type="dxa"/>
              <w:right w:w="20" w:type="dxa"/>
            </w:tcMar>
            <w:vAlign w:val="bottom"/>
          </w:tcPr>
          <w:p w14:paraId="74DD620D" w14:textId="77777777" w:rsidR="00584EC1" w:rsidRDefault="00871F8D">
            <w:pPr>
              <w:textAlignment w:val="bottom"/>
            </w:pPr>
            <w:r>
              <w:rPr>
                <w:rFonts w:ascii="Arial" w:eastAsia="宋体" w:hAnsi="Arial" w:cs="Arial"/>
                <w:color w:val="000000"/>
                <w:sz w:val="12"/>
                <w:szCs w:val="12"/>
              </w:rPr>
              <w:t>Net interest income</w:t>
            </w:r>
          </w:p>
        </w:tc>
        <w:tc>
          <w:tcPr>
            <w:tcW w:w="0" w:type="auto"/>
            <w:gridSpan w:val="2"/>
            <w:shd w:val="clear" w:color="auto" w:fill="FFFFFF"/>
            <w:tcMar>
              <w:top w:w="40" w:type="dxa"/>
              <w:left w:w="20" w:type="dxa"/>
              <w:bottom w:w="40" w:type="dxa"/>
              <w:right w:w="0" w:type="dxa"/>
            </w:tcMar>
            <w:vAlign w:val="bottom"/>
          </w:tcPr>
          <w:p w14:paraId="74DD620E" w14:textId="77777777" w:rsidR="00584EC1" w:rsidRDefault="00871F8D">
            <w:pPr>
              <w:jc w:val="right"/>
              <w:textAlignment w:val="bottom"/>
            </w:pPr>
            <w:r>
              <w:rPr>
                <w:rFonts w:ascii="Arial" w:eastAsia="宋体" w:hAnsi="Arial" w:cs="Arial"/>
                <w:b/>
                <w:bCs/>
                <w:color w:val="000000"/>
                <w:sz w:val="12"/>
                <w:szCs w:val="12"/>
              </w:rPr>
              <w:t>1,421</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620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21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211" w14:textId="77777777" w:rsidR="00584EC1" w:rsidRDefault="00871F8D">
            <w:pPr>
              <w:jc w:val="right"/>
              <w:textAlignment w:val="bottom"/>
            </w:pPr>
            <w:r>
              <w:rPr>
                <w:rFonts w:ascii="Arial" w:eastAsia="宋体" w:hAnsi="Arial" w:cs="Arial"/>
                <w:color w:val="000000"/>
                <w:sz w:val="12"/>
                <w:szCs w:val="12"/>
              </w:rPr>
              <w:t>1,701 </w:t>
            </w:r>
          </w:p>
        </w:tc>
        <w:tc>
          <w:tcPr>
            <w:tcW w:w="0" w:type="auto"/>
            <w:shd w:val="clear" w:color="auto" w:fill="FFFFFF"/>
            <w:tcMar>
              <w:top w:w="40" w:type="dxa"/>
              <w:left w:w="0" w:type="dxa"/>
              <w:bottom w:w="40" w:type="dxa"/>
              <w:right w:w="20" w:type="dxa"/>
            </w:tcMar>
            <w:vAlign w:val="bottom"/>
          </w:tcPr>
          <w:p w14:paraId="74DD621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213" w14:textId="77777777" w:rsidR="00584EC1" w:rsidRDefault="00584EC1">
            <w:pPr>
              <w:rPr>
                <w:rFonts w:ascii="宋体"/>
              </w:rPr>
            </w:pPr>
          </w:p>
        </w:tc>
        <w:tc>
          <w:tcPr>
            <w:tcW w:w="0" w:type="auto"/>
            <w:gridSpan w:val="3"/>
            <w:shd w:val="clear" w:color="auto" w:fill="FFFFFF"/>
            <w:tcMar>
              <w:top w:w="40" w:type="dxa"/>
              <w:left w:w="20" w:type="dxa"/>
              <w:bottom w:w="40" w:type="dxa"/>
              <w:right w:w="140" w:type="dxa"/>
            </w:tcMar>
            <w:vAlign w:val="bottom"/>
          </w:tcPr>
          <w:p w14:paraId="74DD6214" w14:textId="77777777" w:rsidR="00584EC1" w:rsidRDefault="00871F8D">
            <w:pPr>
              <w:jc w:val="right"/>
              <w:textAlignment w:val="bottom"/>
            </w:pPr>
            <w:r>
              <w:rPr>
                <w:rFonts w:ascii="Arial" w:eastAsia="宋体" w:hAnsi="Arial" w:cs="Arial"/>
                <w:color w:val="000000"/>
                <w:sz w:val="12"/>
                <w:szCs w:val="12"/>
              </w:rPr>
              <w:t>(16)</w:t>
            </w:r>
          </w:p>
        </w:tc>
        <w:tc>
          <w:tcPr>
            <w:tcW w:w="0" w:type="auto"/>
            <w:gridSpan w:val="3"/>
            <w:shd w:val="clear" w:color="auto" w:fill="auto"/>
            <w:vAlign w:val="bottom"/>
          </w:tcPr>
          <w:p w14:paraId="74DD6215" w14:textId="77777777" w:rsidR="00584EC1" w:rsidRDefault="00584EC1">
            <w:pPr>
              <w:rPr>
                <w:rFonts w:ascii="宋体"/>
                <w:vanish/>
              </w:rPr>
            </w:pPr>
          </w:p>
        </w:tc>
        <w:tc>
          <w:tcPr>
            <w:tcW w:w="0" w:type="auto"/>
            <w:gridSpan w:val="3"/>
            <w:shd w:val="clear" w:color="auto" w:fill="auto"/>
            <w:vAlign w:val="bottom"/>
          </w:tcPr>
          <w:p w14:paraId="74DD6216" w14:textId="77777777" w:rsidR="00584EC1" w:rsidRDefault="00584EC1">
            <w:pPr>
              <w:rPr>
                <w:rFonts w:ascii="宋体"/>
                <w:vanish/>
              </w:rPr>
            </w:pPr>
          </w:p>
        </w:tc>
        <w:tc>
          <w:tcPr>
            <w:tcW w:w="0" w:type="auto"/>
            <w:gridSpan w:val="3"/>
            <w:shd w:val="clear" w:color="auto" w:fill="auto"/>
            <w:vAlign w:val="bottom"/>
          </w:tcPr>
          <w:p w14:paraId="74DD6217" w14:textId="77777777" w:rsidR="00584EC1" w:rsidRDefault="00584EC1">
            <w:pPr>
              <w:rPr>
                <w:rFonts w:ascii="宋体"/>
                <w:vanish/>
              </w:rPr>
            </w:pPr>
          </w:p>
        </w:tc>
        <w:tc>
          <w:tcPr>
            <w:tcW w:w="0" w:type="auto"/>
            <w:gridSpan w:val="3"/>
            <w:shd w:val="clear" w:color="auto" w:fill="auto"/>
            <w:vAlign w:val="bottom"/>
          </w:tcPr>
          <w:p w14:paraId="74DD6218" w14:textId="77777777" w:rsidR="00584EC1" w:rsidRDefault="00584EC1">
            <w:pPr>
              <w:rPr>
                <w:rFonts w:ascii="宋体"/>
                <w:vanish/>
              </w:rPr>
            </w:pPr>
          </w:p>
        </w:tc>
        <w:tc>
          <w:tcPr>
            <w:tcW w:w="0" w:type="auto"/>
            <w:gridSpan w:val="3"/>
            <w:shd w:val="clear" w:color="auto" w:fill="auto"/>
            <w:vAlign w:val="bottom"/>
          </w:tcPr>
          <w:p w14:paraId="74DD6219" w14:textId="77777777" w:rsidR="00584EC1" w:rsidRDefault="00584EC1">
            <w:pPr>
              <w:rPr>
                <w:rFonts w:ascii="宋体"/>
                <w:vanish/>
              </w:rPr>
            </w:pPr>
          </w:p>
        </w:tc>
      </w:tr>
      <w:tr w:rsidR="00584EC1" w14:paraId="74DD6229" w14:textId="77777777">
        <w:tc>
          <w:tcPr>
            <w:tcW w:w="0" w:type="auto"/>
            <w:gridSpan w:val="3"/>
            <w:shd w:val="clear" w:color="auto" w:fill="CCEEFF"/>
            <w:tcMar>
              <w:top w:w="40" w:type="dxa"/>
              <w:left w:w="20" w:type="dxa"/>
              <w:bottom w:w="40" w:type="dxa"/>
              <w:right w:w="20" w:type="dxa"/>
            </w:tcMar>
            <w:vAlign w:val="bottom"/>
          </w:tcPr>
          <w:p w14:paraId="74DD621B" w14:textId="77777777" w:rsidR="00584EC1" w:rsidRDefault="00871F8D">
            <w:pPr>
              <w:textAlignment w:val="bottom"/>
            </w:pPr>
            <w:r>
              <w:rPr>
                <w:rFonts w:ascii="Arial" w:eastAsia="宋体" w:hAnsi="Arial" w:cs="Arial"/>
                <w:color w:val="000000"/>
                <w:sz w:val="12"/>
                <w:szCs w:val="12"/>
              </w:rPr>
              <w:t>Total other income</w:t>
            </w:r>
          </w:p>
        </w:tc>
        <w:tc>
          <w:tcPr>
            <w:tcW w:w="0" w:type="auto"/>
            <w:gridSpan w:val="2"/>
            <w:shd w:val="clear" w:color="auto" w:fill="CCEEFF"/>
            <w:tcMar>
              <w:top w:w="40" w:type="dxa"/>
              <w:left w:w="20" w:type="dxa"/>
              <w:bottom w:w="40" w:type="dxa"/>
              <w:right w:w="0" w:type="dxa"/>
            </w:tcMar>
            <w:vAlign w:val="bottom"/>
          </w:tcPr>
          <w:p w14:paraId="74DD621C" w14:textId="77777777" w:rsidR="00584EC1" w:rsidRDefault="00871F8D">
            <w:pPr>
              <w:jc w:val="right"/>
              <w:textAlignment w:val="bottom"/>
            </w:pPr>
            <w:r>
              <w:rPr>
                <w:rFonts w:ascii="Arial" w:eastAsia="宋体" w:hAnsi="Arial" w:cs="Arial"/>
                <w:b/>
                <w:bCs/>
                <w:color w:val="000000"/>
                <w:sz w:val="12"/>
                <w:szCs w:val="12"/>
              </w:rPr>
              <w:t>52</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621D" w14:textId="77777777" w:rsidR="00584EC1" w:rsidRDefault="00584EC1">
            <w:pPr>
              <w:jc w:val="right"/>
              <w:rPr>
                <w:rFonts w:ascii="宋体"/>
              </w:rPr>
            </w:pPr>
          </w:p>
        </w:tc>
        <w:tc>
          <w:tcPr>
            <w:tcW w:w="0" w:type="auto"/>
            <w:gridSpan w:val="2"/>
            <w:shd w:val="clear" w:color="auto" w:fill="CCEEFF"/>
            <w:tcMar>
              <w:top w:w="40" w:type="dxa"/>
              <w:left w:w="20" w:type="dxa"/>
              <w:bottom w:w="40" w:type="dxa"/>
              <w:right w:w="0" w:type="dxa"/>
            </w:tcMar>
            <w:vAlign w:val="bottom"/>
          </w:tcPr>
          <w:p w14:paraId="74DD621E" w14:textId="77777777" w:rsidR="00584EC1" w:rsidRDefault="00871F8D">
            <w:pPr>
              <w:jc w:val="right"/>
              <w:textAlignment w:val="bottom"/>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621F" w14:textId="77777777" w:rsidR="00584EC1" w:rsidRDefault="00584EC1">
            <w:pPr>
              <w:jc w:val="right"/>
              <w:rPr>
                <w:rFonts w:ascii="宋体"/>
              </w:rPr>
            </w:pPr>
          </w:p>
        </w:tc>
        <w:tc>
          <w:tcPr>
            <w:tcW w:w="0" w:type="auto"/>
            <w:gridSpan w:val="2"/>
            <w:shd w:val="clear" w:color="auto" w:fill="CCEEFF"/>
            <w:tcMar>
              <w:top w:w="40" w:type="dxa"/>
              <w:left w:w="20" w:type="dxa"/>
              <w:bottom w:w="40" w:type="dxa"/>
              <w:right w:w="0" w:type="dxa"/>
            </w:tcMar>
            <w:vAlign w:val="bottom"/>
          </w:tcPr>
          <w:p w14:paraId="74DD6220" w14:textId="77777777" w:rsidR="00584EC1" w:rsidRDefault="00871F8D">
            <w:pPr>
              <w:jc w:val="right"/>
              <w:textAlignment w:val="bottom"/>
            </w:pPr>
            <w:r>
              <w:rPr>
                <w:rFonts w:ascii="Arial" w:eastAsia="宋体" w:hAnsi="Arial" w:cs="Arial"/>
                <w:color w:val="000000"/>
                <w:sz w:val="12"/>
                <w:szCs w:val="12"/>
              </w:rPr>
              <w:t>2 </w:t>
            </w:r>
          </w:p>
        </w:tc>
        <w:tc>
          <w:tcPr>
            <w:tcW w:w="0" w:type="auto"/>
            <w:shd w:val="clear" w:color="auto" w:fill="CCEEFF"/>
            <w:tcMar>
              <w:top w:w="40" w:type="dxa"/>
              <w:left w:w="0" w:type="dxa"/>
              <w:bottom w:w="40" w:type="dxa"/>
              <w:right w:w="20" w:type="dxa"/>
            </w:tcMar>
            <w:vAlign w:val="bottom"/>
          </w:tcPr>
          <w:p w14:paraId="74DD622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222" w14:textId="77777777" w:rsidR="00584EC1" w:rsidRDefault="00584EC1">
            <w:pPr>
              <w:rPr>
                <w:rFonts w:ascii="宋体"/>
              </w:rPr>
            </w:pPr>
          </w:p>
        </w:tc>
        <w:tc>
          <w:tcPr>
            <w:tcW w:w="0" w:type="auto"/>
            <w:gridSpan w:val="3"/>
            <w:shd w:val="clear" w:color="auto" w:fill="CCEEFF"/>
            <w:tcMar>
              <w:top w:w="40" w:type="dxa"/>
              <w:left w:w="20" w:type="dxa"/>
              <w:bottom w:w="40" w:type="dxa"/>
              <w:right w:w="140" w:type="dxa"/>
            </w:tcMar>
            <w:vAlign w:val="bottom"/>
          </w:tcPr>
          <w:p w14:paraId="74DD6223" w14:textId="77777777" w:rsidR="00584EC1" w:rsidRDefault="00871F8D">
            <w:pPr>
              <w:jc w:val="right"/>
              <w:textAlignment w:val="bottom"/>
            </w:pPr>
            <w:r>
              <w:rPr>
                <w:rFonts w:ascii="Arial" w:eastAsia="宋体" w:hAnsi="Arial" w:cs="Arial"/>
                <w:color w:val="000000"/>
                <w:sz w:val="12"/>
                <w:szCs w:val="12"/>
              </w:rPr>
              <w:t>nm</w:t>
            </w:r>
          </w:p>
        </w:tc>
        <w:tc>
          <w:tcPr>
            <w:tcW w:w="0" w:type="auto"/>
            <w:gridSpan w:val="3"/>
            <w:shd w:val="clear" w:color="auto" w:fill="auto"/>
            <w:vAlign w:val="bottom"/>
          </w:tcPr>
          <w:p w14:paraId="74DD6224" w14:textId="77777777" w:rsidR="00584EC1" w:rsidRDefault="00584EC1">
            <w:pPr>
              <w:rPr>
                <w:rFonts w:ascii="宋体"/>
                <w:vanish/>
              </w:rPr>
            </w:pPr>
          </w:p>
        </w:tc>
        <w:tc>
          <w:tcPr>
            <w:tcW w:w="0" w:type="auto"/>
            <w:gridSpan w:val="3"/>
            <w:shd w:val="clear" w:color="auto" w:fill="auto"/>
            <w:vAlign w:val="bottom"/>
          </w:tcPr>
          <w:p w14:paraId="74DD6225" w14:textId="77777777" w:rsidR="00584EC1" w:rsidRDefault="00584EC1">
            <w:pPr>
              <w:rPr>
                <w:rFonts w:ascii="宋体"/>
                <w:vanish/>
              </w:rPr>
            </w:pPr>
          </w:p>
        </w:tc>
        <w:tc>
          <w:tcPr>
            <w:tcW w:w="0" w:type="auto"/>
            <w:gridSpan w:val="3"/>
            <w:shd w:val="clear" w:color="auto" w:fill="auto"/>
            <w:vAlign w:val="bottom"/>
          </w:tcPr>
          <w:p w14:paraId="74DD6226" w14:textId="77777777" w:rsidR="00584EC1" w:rsidRDefault="00584EC1">
            <w:pPr>
              <w:rPr>
                <w:rFonts w:ascii="宋体"/>
                <w:vanish/>
              </w:rPr>
            </w:pPr>
          </w:p>
        </w:tc>
        <w:tc>
          <w:tcPr>
            <w:tcW w:w="0" w:type="auto"/>
            <w:gridSpan w:val="3"/>
            <w:shd w:val="clear" w:color="auto" w:fill="auto"/>
            <w:vAlign w:val="bottom"/>
          </w:tcPr>
          <w:p w14:paraId="74DD6227" w14:textId="77777777" w:rsidR="00584EC1" w:rsidRDefault="00584EC1">
            <w:pPr>
              <w:rPr>
                <w:rFonts w:ascii="宋体"/>
                <w:vanish/>
              </w:rPr>
            </w:pPr>
          </w:p>
        </w:tc>
        <w:tc>
          <w:tcPr>
            <w:tcW w:w="0" w:type="auto"/>
            <w:gridSpan w:val="3"/>
            <w:shd w:val="clear" w:color="auto" w:fill="auto"/>
            <w:vAlign w:val="bottom"/>
          </w:tcPr>
          <w:p w14:paraId="74DD6228" w14:textId="77777777" w:rsidR="00584EC1" w:rsidRDefault="00584EC1">
            <w:pPr>
              <w:rPr>
                <w:rFonts w:ascii="宋体"/>
                <w:vanish/>
              </w:rPr>
            </w:pPr>
          </w:p>
        </w:tc>
      </w:tr>
      <w:tr w:rsidR="00584EC1" w14:paraId="74DD6238" w14:textId="77777777">
        <w:tc>
          <w:tcPr>
            <w:tcW w:w="0" w:type="auto"/>
            <w:gridSpan w:val="3"/>
            <w:shd w:val="clear" w:color="auto" w:fill="FFFFFF"/>
            <w:tcMar>
              <w:top w:w="40" w:type="dxa"/>
              <w:left w:w="20" w:type="dxa"/>
              <w:bottom w:w="40" w:type="dxa"/>
              <w:right w:w="20" w:type="dxa"/>
            </w:tcMar>
            <w:vAlign w:val="bottom"/>
          </w:tcPr>
          <w:p w14:paraId="74DD622A" w14:textId="77777777" w:rsidR="00584EC1" w:rsidRDefault="00871F8D">
            <w:pPr>
              <w:textAlignment w:val="bottom"/>
            </w:pPr>
            <w:r>
              <w:rPr>
                <w:rFonts w:ascii="Arial" w:eastAsia="宋体" w:hAnsi="Arial" w:cs="Arial"/>
                <w:color w:val="000000"/>
                <w:sz w:val="12"/>
                <w:szCs w:val="12"/>
              </w:rPr>
              <w:t>Tot</w:t>
            </w:r>
            <w:r>
              <w:rPr>
                <w:rFonts w:ascii="Arial" w:eastAsia="宋体" w:hAnsi="Arial" w:cs="Arial"/>
                <w:color w:val="000000"/>
                <w:sz w:val="12"/>
                <w:szCs w:val="12"/>
              </w:rPr>
              <w:t>al 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622B" w14:textId="77777777" w:rsidR="00584EC1" w:rsidRDefault="00871F8D">
            <w:pPr>
              <w:jc w:val="right"/>
              <w:textAlignment w:val="bottom"/>
            </w:pPr>
            <w:r>
              <w:rPr>
                <w:rFonts w:ascii="Arial" w:eastAsia="宋体" w:hAnsi="Arial" w:cs="Arial"/>
                <w:b/>
                <w:bCs/>
                <w:color w:val="000000"/>
                <w:sz w:val="12"/>
                <w:szCs w:val="12"/>
              </w:rPr>
              <w:t>8,974</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622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22D"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622E" w14:textId="77777777" w:rsidR="00584EC1" w:rsidRDefault="00871F8D">
            <w:pPr>
              <w:jc w:val="right"/>
              <w:textAlignment w:val="bottom"/>
            </w:pPr>
            <w:r>
              <w:rPr>
                <w:rFonts w:ascii="Arial" w:eastAsia="宋体" w:hAnsi="Arial" w:cs="Arial"/>
                <w:color w:val="000000"/>
                <w:sz w:val="12"/>
                <w:szCs w:val="12"/>
              </w:rPr>
              <w:t>8,786 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622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23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231" w14:textId="77777777" w:rsidR="00584EC1" w:rsidRDefault="00871F8D">
            <w:pPr>
              <w:jc w:val="right"/>
              <w:textAlignment w:val="bottom"/>
            </w:pPr>
            <w:r>
              <w:rPr>
                <w:rFonts w:ascii="Arial" w:eastAsia="宋体" w:hAnsi="Arial" w:cs="Arial"/>
                <w:color w:val="000000"/>
                <w:sz w:val="12"/>
                <w:szCs w:val="12"/>
              </w:rPr>
              <w:t>2 </w:t>
            </w:r>
          </w:p>
        </w:tc>
        <w:tc>
          <w:tcPr>
            <w:tcW w:w="0" w:type="auto"/>
            <w:shd w:val="clear" w:color="auto" w:fill="FFFFFF"/>
            <w:tcMar>
              <w:top w:w="40" w:type="dxa"/>
              <w:left w:w="0" w:type="dxa"/>
              <w:bottom w:w="40" w:type="dxa"/>
              <w:right w:w="20" w:type="dxa"/>
            </w:tcMar>
            <w:vAlign w:val="bottom"/>
          </w:tcPr>
          <w:p w14:paraId="74DD6232" w14:textId="77777777" w:rsidR="00584EC1" w:rsidRDefault="00584EC1">
            <w:pPr>
              <w:jc w:val="right"/>
              <w:rPr>
                <w:rFonts w:ascii="宋体"/>
              </w:rPr>
            </w:pPr>
          </w:p>
        </w:tc>
        <w:tc>
          <w:tcPr>
            <w:tcW w:w="0" w:type="auto"/>
            <w:gridSpan w:val="3"/>
            <w:shd w:val="clear" w:color="auto" w:fill="auto"/>
            <w:vAlign w:val="bottom"/>
          </w:tcPr>
          <w:p w14:paraId="74DD6233" w14:textId="77777777" w:rsidR="00584EC1" w:rsidRDefault="00584EC1">
            <w:pPr>
              <w:rPr>
                <w:rFonts w:ascii="宋体"/>
                <w:vanish/>
              </w:rPr>
            </w:pPr>
          </w:p>
        </w:tc>
        <w:tc>
          <w:tcPr>
            <w:tcW w:w="0" w:type="auto"/>
            <w:gridSpan w:val="3"/>
            <w:shd w:val="clear" w:color="auto" w:fill="auto"/>
            <w:vAlign w:val="bottom"/>
          </w:tcPr>
          <w:p w14:paraId="74DD6234" w14:textId="77777777" w:rsidR="00584EC1" w:rsidRDefault="00584EC1">
            <w:pPr>
              <w:rPr>
                <w:rFonts w:ascii="宋体"/>
                <w:vanish/>
              </w:rPr>
            </w:pPr>
          </w:p>
        </w:tc>
        <w:tc>
          <w:tcPr>
            <w:tcW w:w="0" w:type="auto"/>
            <w:gridSpan w:val="3"/>
            <w:shd w:val="clear" w:color="auto" w:fill="auto"/>
            <w:vAlign w:val="bottom"/>
          </w:tcPr>
          <w:p w14:paraId="74DD6235" w14:textId="77777777" w:rsidR="00584EC1" w:rsidRDefault="00584EC1">
            <w:pPr>
              <w:rPr>
                <w:rFonts w:ascii="宋体"/>
                <w:vanish/>
              </w:rPr>
            </w:pPr>
          </w:p>
        </w:tc>
        <w:tc>
          <w:tcPr>
            <w:tcW w:w="0" w:type="auto"/>
            <w:gridSpan w:val="3"/>
            <w:shd w:val="clear" w:color="auto" w:fill="auto"/>
            <w:vAlign w:val="bottom"/>
          </w:tcPr>
          <w:p w14:paraId="74DD6236" w14:textId="77777777" w:rsidR="00584EC1" w:rsidRDefault="00584EC1">
            <w:pPr>
              <w:rPr>
                <w:rFonts w:ascii="宋体"/>
                <w:vanish/>
              </w:rPr>
            </w:pPr>
          </w:p>
        </w:tc>
        <w:tc>
          <w:tcPr>
            <w:tcW w:w="0" w:type="auto"/>
            <w:gridSpan w:val="3"/>
            <w:shd w:val="clear" w:color="auto" w:fill="auto"/>
            <w:vAlign w:val="bottom"/>
          </w:tcPr>
          <w:p w14:paraId="74DD6237" w14:textId="77777777" w:rsidR="00584EC1" w:rsidRDefault="00584EC1">
            <w:pPr>
              <w:rPr>
                <w:rFonts w:ascii="宋体"/>
                <w:vanish/>
              </w:rPr>
            </w:pPr>
          </w:p>
        </w:tc>
      </w:tr>
      <w:tr w:rsidR="00584EC1" w14:paraId="74DD6246" w14:textId="77777777">
        <w:tc>
          <w:tcPr>
            <w:tcW w:w="0" w:type="auto"/>
            <w:gridSpan w:val="3"/>
            <w:shd w:val="clear" w:color="auto" w:fill="CCEEFF"/>
            <w:tcMar>
              <w:top w:w="40" w:type="dxa"/>
              <w:left w:w="20" w:type="dxa"/>
              <w:bottom w:w="40" w:type="dxa"/>
              <w:right w:w="20" w:type="dxa"/>
            </w:tcMar>
            <w:vAlign w:val="bottom"/>
          </w:tcPr>
          <w:p w14:paraId="74DD6239" w14:textId="77777777" w:rsidR="00584EC1" w:rsidRDefault="00871F8D">
            <w:pPr>
              <w:textAlignment w:val="bottom"/>
            </w:pPr>
            <w:r>
              <w:rPr>
                <w:rFonts w:ascii="Arial" w:eastAsia="宋体" w:hAnsi="Arial" w:cs="Arial"/>
                <w:color w:val="000000"/>
                <w:sz w:val="12"/>
                <w:szCs w:val="12"/>
              </w:rPr>
              <w:t>Provision for credit losses</w:t>
            </w:r>
          </w:p>
        </w:tc>
        <w:tc>
          <w:tcPr>
            <w:tcW w:w="0" w:type="auto"/>
            <w:gridSpan w:val="2"/>
            <w:shd w:val="clear" w:color="auto" w:fill="CCEEFF"/>
            <w:tcMar>
              <w:top w:w="40" w:type="dxa"/>
              <w:left w:w="20" w:type="dxa"/>
              <w:bottom w:w="40" w:type="dxa"/>
              <w:right w:w="0" w:type="dxa"/>
            </w:tcMar>
            <w:vAlign w:val="bottom"/>
          </w:tcPr>
          <w:p w14:paraId="74DD623A" w14:textId="77777777" w:rsidR="00584EC1" w:rsidRDefault="00871F8D">
            <w:pPr>
              <w:jc w:val="right"/>
              <w:textAlignment w:val="bottom"/>
            </w:pPr>
            <w:r>
              <w:rPr>
                <w:rFonts w:ascii="Arial" w:eastAsia="宋体" w:hAnsi="Arial" w:cs="Arial"/>
                <w:b/>
                <w:bCs/>
                <w:color w:val="000000"/>
                <w:sz w:val="12"/>
                <w:szCs w:val="12"/>
              </w:rPr>
              <w:t>(26)</w:t>
            </w:r>
          </w:p>
        </w:tc>
        <w:tc>
          <w:tcPr>
            <w:tcW w:w="0" w:type="auto"/>
            <w:shd w:val="clear" w:color="auto" w:fill="CCEEFF"/>
            <w:tcMar>
              <w:top w:w="40" w:type="dxa"/>
              <w:left w:w="0" w:type="dxa"/>
              <w:bottom w:w="40" w:type="dxa"/>
              <w:right w:w="20" w:type="dxa"/>
            </w:tcMar>
            <w:vAlign w:val="bottom"/>
          </w:tcPr>
          <w:p w14:paraId="74DD623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23C"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23D" w14:textId="77777777" w:rsidR="00584EC1" w:rsidRDefault="00871F8D">
            <w:pPr>
              <w:jc w:val="right"/>
              <w:textAlignment w:val="bottom"/>
            </w:pPr>
            <w:r>
              <w:rPr>
                <w:rFonts w:ascii="Arial" w:eastAsia="宋体" w:hAnsi="Arial" w:cs="Arial"/>
                <w:color w:val="000000"/>
                <w:sz w:val="12"/>
                <w:szCs w:val="12"/>
              </w:rPr>
              <w:t>88 </w:t>
            </w:r>
          </w:p>
        </w:tc>
        <w:tc>
          <w:tcPr>
            <w:tcW w:w="0" w:type="auto"/>
            <w:shd w:val="clear" w:color="auto" w:fill="CCEEFF"/>
            <w:tcMar>
              <w:top w:w="40" w:type="dxa"/>
              <w:left w:w="0" w:type="dxa"/>
              <w:bottom w:w="40" w:type="dxa"/>
              <w:right w:w="20" w:type="dxa"/>
            </w:tcMar>
            <w:vAlign w:val="bottom"/>
          </w:tcPr>
          <w:p w14:paraId="74DD623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23F" w14:textId="77777777" w:rsidR="00584EC1" w:rsidRDefault="00584EC1">
            <w:pPr>
              <w:rPr>
                <w:rFonts w:ascii="宋体"/>
              </w:rPr>
            </w:pPr>
          </w:p>
        </w:tc>
        <w:tc>
          <w:tcPr>
            <w:tcW w:w="0" w:type="auto"/>
            <w:gridSpan w:val="3"/>
            <w:shd w:val="clear" w:color="auto" w:fill="CCEEFF"/>
            <w:tcMar>
              <w:top w:w="40" w:type="dxa"/>
              <w:left w:w="20" w:type="dxa"/>
              <w:bottom w:w="40" w:type="dxa"/>
              <w:right w:w="140" w:type="dxa"/>
            </w:tcMar>
            <w:vAlign w:val="bottom"/>
          </w:tcPr>
          <w:p w14:paraId="74DD6240" w14:textId="77777777" w:rsidR="00584EC1" w:rsidRDefault="00871F8D">
            <w:pPr>
              <w:jc w:val="right"/>
              <w:textAlignment w:val="bottom"/>
            </w:pPr>
            <w:r>
              <w:rPr>
                <w:rFonts w:ascii="Arial" w:eastAsia="宋体" w:hAnsi="Arial" w:cs="Arial"/>
                <w:color w:val="000000"/>
                <w:sz w:val="12"/>
                <w:szCs w:val="12"/>
              </w:rPr>
              <w:t>nm</w:t>
            </w:r>
          </w:p>
        </w:tc>
        <w:tc>
          <w:tcPr>
            <w:tcW w:w="0" w:type="auto"/>
            <w:gridSpan w:val="3"/>
            <w:shd w:val="clear" w:color="auto" w:fill="auto"/>
            <w:vAlign w:val="bottom"/>
          </w:tcPr>
          <w:p w14:paraId="74DD6241" w14:textId="77777777" w:rsidR="00584EC1" w:rsidRDefault="00584EC1">
            <w:pPr>
              <w:rPr>
                <w:rFonts w:ascii="宋体"/>
                <w:vanish/>
              </w:rPr>
            </w:pPr>
          </w:p>
        </w:tc>
        <w:tc>
          <w:tcPr>
            <w:tcW w:w="0" w:type="auto"/>
            <w:gridSpan w:val="3"/>
            <w:shd w:val="clear" w:color="auto" w:fill="auto"/>
            <w:vAlign w:val="bottom"/>
          </w:tcPr>
          <w:p w14:paraId="74DD6242" w14:textId="77777777" w:rsidR="00584EC1" w:rsidRDefault="00584EC1">
            <w:pPr>
              <w:rPr>
                <w:rFonts w:ascii="宋体"/>
                <w:vanish/>
              </w:rPr>
            </w:pPr>
          </w:p>
        </w:tc>
        <w:tc>
          <w:tcPr>
            <w:tcW w:w="0" w:type="auto"/>
            <w:gridSpan w:val="3"/>
            <w:shd w:val="clear" w:color="auto" w:fill="auto"/>
            <w:vAlign w:val="bottom"/>
          </w:tcPr>
          <w:p w14:paraId="74DD6243" w14:textId="77777777" w:rsidR="00584EC1" w:rsidRDefault="00584EC1">
            <w:pPr>
              <w:rPr>
                <w:rFonts w:ascii="宋体"/>
                <w:vanish/>
              </w:rPr>
            </w:pPr>
          </w:p>
        </w:tc>
        <w:tc>
          <w:tcPr>
            <w:tcW w:w="0" w:type="auto"/>
            <w:gridSpan w:val="3"/>
            <w:shd w:val="clear" w:color="auto" w:fill="auto"/>
            <w:vAlign w:val="bottom"/>
          </w:tcPr>
          <w:p w14:paraId="74DD6244" w14:textId="77777777" w:rsidR="00584EC1" w:rsidRDefault="00584EC1">
            <w:pPr>
              <w:rPr>
                <w:rFonts w:ascii="宋体"/>
                <w:vanish/>
              </w:rPr>
            </w:pPr>
          </w:p>
        </w:tc>
        <w:tc>
          <w:tcPr>
            <w:tcW w:w="0" w:type="auto"/>
            <w:gridSpan w:val="3"/>
            <w:shd w:val="clear" w:color="auto" w:fill="auto"/>
            <w:vAlign w:val="bottom"/>
          </w:tcPr>
          <w:p w14:paraId="74DD6245" w14:textId="77777777" w:rsidR="00584EC1" w:rsidRDefault="00584EC1">
            <w:pPr>
              <w:rPr>
                <w:rFonts w:ascii="宋体"/>
                <w:vanish/>
              </w:rPr>
            </w:pPr>
          </w:p>
        </w:tc>
      </w:tr>
      <w:tr w:rsidR="00584EC1" w14:paraId="74DD6255" w14:textId="77777777">
        <w:tc>
          <w:tcPr>
            <w:tcW w:w="0" w:type="auto"/>
            <w:gridSpan w:val="3"/>
            <w:shd w:val="clear" w:color="auto" w:fill="FFFFFF"/>
            <w:tcMar>
              <w:top w:w="40" w:type="dxa"/>
              <w:left w:w="20" w:type="dxa"/>
              <w:bottom w:w="40" w:type="dxa"/>
              <w:right w:w="20" w:type="dxa"/>
            </w:tcMar>
            <w:vAlign w:val="bottom"/>
          </w:tcPr>
          <w:p w14:paraId="74DD6247" w14:textId="77777777" w:rsidR="00584EC1" w:rsidRDefault="00871F8D">
            <w:pPr>
              <w:textAlignment w:val="bottom"/>
            </w:pPr>
            <w:r>
              <w:rPr>
                <w:rFonts w:ascii="Arial" w:eastAsia="宋体" w:hAnsi="Arial" w:cs="Arial"/>
                <w:color w:val="000000"/>
                <w:sz w:val="12"/>
                <w:szCs w:val="12"/>
              </w:rPr>
              <w:t>Total expenses</w:t>
            </w:r>
          </w:p>
        </w:tc>
        <w:tc>
          <w:tcPr>
            <w:tcW w:w="0" w:type="auto"/>
            <w:gridSpan w:val="2"/>
            <w:shd w:val="clear" w:color="auto" w:fill="FFFFFF"/>
            <w:tcMar>
              <w:top w:w="40" w:type="dxa"/>
              <w:left w:w="20" w:type="dxa"/>
              <w:bottom w:w="40" w:type="dxa"/>
              <w:right w:w="0" w:type="dxa"/>
            </w:tcMar>
            <w:vAlign w:val="bottom"/>
          </w:tcPr>
          <w:p w14:paraId="74DD6248" w14:textId="77777777" w:rsidR="00584EC1" w:rsidRDefault="00871F8D">
            <w:pPr>
              <w:jc w:val="right"/>
              <w:textAlignment w:val="bottom"/>
            </w:pPr>
            <w:r>
              <w:rPr>
                <w:rFonts w:ascii="Arial" w:eastAsia="宋体" w:hAnsi="Arial" w:cs="Arial"/>
                <w:b/>
                <w:bCs/>
                <w:color w:val="000000"/>
                <w:sz w:val="12"/>
                <w:szCs w:val="12"/>
              </w:rPr>
              <w:t>6,559</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624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24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24B" w14:textId="77777777" w:rsidR="00584EC1" w:rsidRDefault="00871F8D">
            <w:pPr>
              <w:jc w:val="right"/>
              <w:textAlignment w:val="bottom"/>
            </w:pPr>
            <w:r>
              <w:rPr>
                <w:rFonts w:ascii="Arial" w:eastAsia="宋体" w:hAnsi="Arial" w:cs="Arial"/>
                <w:color w:val="000000"/>
                <w:sz w:val="12"/>
                <w:szCs w:val="12"/>
              </w:rPr>
              <w:t>6,440 </w:t>
            </w:r>
          </w:p>
        </w:tc>
        <w:tc>
          <w:tcPr>
            <w:tcW w:w="0" w:type="auto"/>
            <w:shd w:val="clear" w:color="auto" w:fill="FFFFFF"/>
            <w:tcMar>
              <w:top w:w="40" w:type="dxa"/>
              <w:left w:w="0" w:type="dxa"/>
              <w:bottom w:w="40" w:type="dxa"/>
              <w:right w:w="20" w:type="dxa"/>
            </w:tcMar>
            <w:vAlign w:val="bottom"/>
          </w:tcPr>
          <w:p w14:paraId="74DD624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24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24E" w14:textId="77777777" w:rsidR="00584EC1" w:rsidRDefault="00871F8D">
            <w:pPr>
              <w:jc w:val="right"/>
              <w:textAlignment w:val="bottom"/>
            </w:pPr>
            <w:r>
              <w:rPr>
                <w:rFonts w:ascii="Arial" w:eastAsia="宋体" w:hAnsi="Arial" w:cs="Arial"/>
                <w:color w:val="000000"/>
                <w:sz w:val="12"/>
                <w:szCs w:val="12"/>
              </w:rPr>
              <w:t>2 </w:t>
            </w:r>
          </w:p>
        </w:tc>
        <w:tc>
          <w:tcPr>
            <w:tcW w:w="0" w:type="auto"/>
            <w:shd w:val="clear" w:color="auto" w:fill="FFFFFF"/>
            <w:tcMar>
              <w:top w:w="40" w:type="dxa"/>
              <w:left w:w="0" w:type="dxa"/>
              <w:bottom w:w="40" w:type="dxa"/>
              <w:right w:w="20" w:type="dxa"/>
            </w:tcMar>
            <w:vAlign w:val="bottom"/>
          </w:tcPr>
          <w:p w14:paraId="74DD624F" w14:textId="77777777" w:rsidR="00584EC1" w:rsidRDefault="00584EC1">
            <w:pPr>
              <w:jc w:val="right"/>
              <w:rPr>
                <w:rFonts w:ascii="宋体"/>
              </w:rPr>
            </w:pPr>
          </w:p>
        </w:tc>
        <w:tc>
          <w:tcPr>
            <w:tcW w:w="0" w:type="auto"/>
            <w:gridSpan w:val="3"/>
            <w:shd w:val="clear" w:color="auto" w:fill="auto"/>
            <w:vAlign w:val="bottom"/>
          </w:tcPr>
          <w:p w14:paraId="74DD6250" w14:textId="77777777" w:rsidR="00584EC1" w:rsidRDefault="00584EC1">
            <w:pPr>
              <w:rPr>
                <w:rFonts w:ascii="宋体"/>
                <w:vanish/>
              </w:rPr>
            </w:pPr>
          </w:p>
        </w:tc>
        <w:tc>
          <w:tcPr>
            <w:tcW w:w="0" w:type="auto"/>
            <w:gridSpan w:val="3"/>
            <w:shd w:val="clear" w:color="auto" w:fill="auto"/>
            <w:vAlign w:val="bottom"/>
          </w:tcPr>
          <w:p w14:paraId="74DD6251" w14:textId="77777777" w:rsidR="00584EC1" w:rsidRDefault="00584EC1">
            <w:pPr>
              <w:rPr>
                <w:rFonts w:ascii="宋体"/>
                <w:vanish/>
              </w:rPr>
            </w:pPr>
          </w:p>
        </w:tc>
        <w:tc>
          <w:tcPr>
            <w:tcW w:w="0" w:type="auto"/>
            <w:gridSpan w:val="3"/>
            <w:shd w:val="clear" w:color="auto" w:fill="auto"/>
            <w:vAlign w:val="bottom"/>
          </w:tcPr>
          <w:p w14:paraId="74DD6252" w14:textId="77777777" w:rsidR="00584EC1" w:rsidRDefault="00584EC1">
            <w:pPr>
              <w:rPr>
                <w:rFonts w:ascii="宋体"/>
                <w:vanish/>
              </w:rPr>
            </w:pPr>
          </w:p>
        </w:tc>
        <w:tc>
          <w:tcPr>
            <w:tcW w:w="0" w:type="auto"/>
            <w:gridSpan w:val="3"/>
            <w:shd w:val="clear" w:color="auto" w:fill="auto"/>
            <w:vAlign w:val="bottom"/>
          </w:tcPr>
          <w:p w14:paraId="74DD6253" w14:textId="77777777" w:rsidR="00584EC1" w:rsidRDefault="00584EC1">
            <w:pPr>
              <w:rPr>
                <w:rFonts w:ascii="宋体"/>
                <w:vanish/>
              </w:rPr>
            </w:pPr>
          </w:p>
        </w:tc>
        <w:tc>
          <w:tcPr>
            <w:tcW w:w="0" w:type="auto"/>
            <w:gridSpan w:val="3"/>
            <w:shd w:val="clear" w:color="auto" w:fill="auto"/>
            <w:vAlign w:val="bottom"/>
          </w:tcPr>
          <w:p w14:paraId="74DD6254" w14:textId="77777777" w:rsidR="00584EC1" w:rsidRDefault="00584EC1">
            <w:pPr>
              <w:rPr>
                <w:rFonts w:ascii="宋体"/>
                <w:vanish/>
              </w:rPr>
            </w:pPr>
          </w:p>
        </w:tc>
      </w:tr>
      <w:tr w:rsidR="00584EC1" w14:paraId="74DD6264" w14:textId="77777777">
        <w:tc>
          <w:tcPr>
            <w:tcW w:w="0" w:type="auto"/>
            <w:gridSpan w:val="3"/>
            <w:shd w:val="clear" w:color="auto" w:fill="CCEEFF"/>
            <w:tcMar>
              <w:top w:w="40" w:type="dxa"/>
              <w:left w:w="20" w:type="dxa"/>
              <w:bottom w:w="40" w:type="dxa"/>
              <w:right w:w="20" w:type="dxa"/>
            </w:tcMar>
            <w:vAlign w:val="bottom"/>
          </w:tcPr>
          <w:p w14:paraId="74DD6256" w14:textId="77777777" w:rsidR="00584EC1" w:rsidRDefault="00871F8D">
            <w:pPr>
              <w:textAlignment w:val="bottom"/>
            </w:pPr>
            <w:r>
              <w:rPr>
                <w:rFonts w:ascii="Arial" w:eastAsia="宋体" w:hAnsi="Arial" w:cs="Arial"/>
                <w:color w:val="000000"/>
                <w:sz w:val="12"/>
                <w:szCs w:val="12"/>
              </w:rPr>
              <w:t>Income b</w:t>
            </w:r>
            <w:r>
              <w:rPr>
                <w:rFonts w:ascii="Arial" w:eastAsia="宋体" w:hAnsi="Arial" w:cs="Arial"/>
                <w:color w:val="000000"/>
                <w:sz w:val="12"/>
                <w:szCs w:val="12"/>
              </w:rPr>
              <w:t>efore income tax expense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6257" w14:textId="77777777" w:rsidR="00584EC1" w:rsidRDefault="00871F8D">
            <w:pPr>
              <w:jc w:val="right"/>
              <w:textAlignment w:val="bottom"/>
            </w:pPr>
            <w:r>
              <w:rPr>
                <w:rFonts w:ascii="Arial" w:eastAsia="宋体" w:hAnsi="Arial" w:cs="Arial"/>
                <w:b/>
                <w:bCs/>
                <w:color w:val="000000"/>
                <w:sz w:val="12"/>
                <w:szCs w:val="12"/>
              </w:rPr>
              <w:t>2,441</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625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259"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625A" w14:textId="77777777" w:rsidR="00584EC1" w:rsidRDefault="00871F8D">
            <w:pPr>
              <w:jc w:val="right"/>
              <w:textAlignment w:val="bottom"/>
            </w:pPr>
            <w:r>
              <w:rPr>
                <w:rFonts w:ascii="Arial" w:eastAsia="宋体" w:hAnsi="Arial" w:cs="Arial"/>
                <w:color w:val="000000"/>
                <w:sz w:val="12"/>
                <w:szCs w:val="12"/>
              </w:rPr>
              <w:t>2,258 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625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25C"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25D" w14:textId="77777777" w:rsidR="00584EC1" w:rsidRDefault="00871F8D">
            <w:pPr>
              <w:jc w:val="right"/>
              <w:textAlignment w:val="bottom"/>
            </w:pPr>
            <w:r>
              <w:rPr>
                <w:rFonts w:ascii="Arial" w:eastAsia="宋体" w:hAnsi="Arial" w:cs="Arial"/>
                <w:color w:val="000000"/>
                <w:sz w:val="12"/>
                <w:szCs w:val="12"/>
              </w:rPr>
              <w:t>8 </w:t>
            </w:r>
          </w:p>
        </w:tc>
        <w:tc>
          <w:tcPr>
            <w:tcW w:w="0" w:type="auto"/>
            <w:shd w:val="clear" w:color="auto" w:fill="CCEEFF"/>
            <w:tcMar>
              <w:top w:w="40" w:type="dxa"/>
              <w:left w:w="0" w:type="dxa"/>
              <w:bottom w:w="40" w:type="dxa"/>
              <w:right w:w="20" w:type="dxa"/>
            </w:tcMar>
            <w:vAlign w:val="bottom"/>
          </w:tcPr>
          <w:p w14:paraId="74DD625E" w14:textId="77777777" w:rsidR="00584EC1" w:rsidRDefault="00584EC1">
            <w:pPr>
              <w:jc w:val="right"/>
              <w:rPr>
                <w:rFonts w:ascii="宋体"/>
              </w:rPr>
            </w:pPr>
          </w:p>
        </w:tc>
        <w:tc>
          <w:tcPr>
            <w:tcW w:w="0" w:type="auto"/>
            <w:gridSpan w:val="3"/>
            <w:shd w:val="clear" w:color="auto" w:fill="auto"/>
            <w:vAlign w:val="bottom"/>
          </w:tcPr>
          <w:p w14:paraId="74DD625F" w14:textId="77777777" w:rsidR="00584EC1" w:rsidRDefault="00584EC1">
            <w:pPr>
              <w:rPr>
                <w:rFonts w:ascii="宋体"/>
                <w:vanish/>
              </w:rPr>
            </w:pPr>
          </w:p>
        </w:tc>
        <w:tc>
          <w:tcPr>
            <w:tcW w:w="0" w:type="auto"/>
            <w:gridSpan w:val="3"/>
            <w:shd w:val="clear" w:color="auto" w:fill="auto"/>
            <w:vAlign w:val="bottom"/>
          </w:tcPr>
          <w:p w14:paraId="74DD6260" w14:textId="77777777" w:rsidR="00584EC1" w:rsidRDefault="00584EC1">
            <w:pPr>
              <w:rPr>
                <w:rFonts w:ascii="宋体"/>
                <w:vanish/>
              </w:rPr>
            </w:pPr>
          </w:p>
        </w:tc>
        <w:tc>
          <w:tcPr>
            <w:tcW w:w="0" w:type="auto"/>
            <w:gridSpan w:val="3"/>
            <w:shd w:val="clear" w:color="auto" w:fill="auto"/>
            <w:vAlign w:val="bottom"/>
          </w:tcPr>
          <w:p w14:paraId="74DD6261" w14:textId="77777777" w:rsidR="00584EC1" w:rsidRDefault="00584EC1">
            <w:pPr>
              <w:rPr>
                <w:rFonts w:ascii="宋体"/>
                <w:vanish/>
              </w:rPr>
            </w:pPr>
          </w:p>
        </w:tc>
        <w:tc>
          <w:tcPr>
            <w:tcW w:w="0" w:type="auto"/>
            <w:gridSpan w:val="3"/>
            <w:shd w:val="clear" w:color="auto" w:fill="auto"/>
            <w:vAlign w:val="bottom"/>
          </w:tcPr>
          <w:p w14:paraId="74DD6262" w14:textId="77777777" w:rsidR="00584EC1" w:rsidRDefault="00584EC1">
            <w:pPr>
              <w:rPr>
                <w:rFonts w:ascii="宋体"/>
                <w:vanish/>
              </w:rPr>
            </w:pPr>
          </w:p>
        </w:tc>
        <w:tc>
          <w:tcPr>
            <w:tcW w:w="0" w:type="auto"/>
            <w:gridSpan w:val="3"/>
            <w:shd w:val="clear" w:color="auto" w:fill="auto"/>
            <w:vAlign w:val="bottom"/>
          </w:tcPr>
          <w:p w14:paraId="74DD6263" w14:textId="77777777" w:rsidR="00584EC1" w:rsidRDefault="00584EC1">
            <w:pPr>
              <w:rPr>
                <w:rFonts w:ascii="宋体"/>
                <w:vanish/>
              </w:rPr>
            </w:pPr>
          </w:p>
        </w:tc>
      </w:tr>
      <w:tr w:rsidR="00584EC1" w14:paraId="74DD6273" w14:textId="77777777">
        <w:tc>
          <w:tcPr>
            <w:tcW w:w="0" w:type="auto"/>
            <w:gridSpan w:val="3"/>
            <w:shd w:val="clear" w:color="auto" w:fill="FFFFFF"/>
            <w:tcMar>
              <w:top w:w="40" w:type="dxa"/>
              <w:left w:w="20" w:type="dxa"/>
              <w:bottom w:w="40" w:type="dxa"/>
              <w:right w:w="20" w:type="dxa"/>
            </w:tcMar>
            <w:vAlign w:val="bottom"/>
          </w:tcPr>
          <w:p w14:paraId="74DD6265" w14:textId="77777777" w:rsidR="00584EC1" w:rsidRDefault="00871F8D">
            <w:pPr>
              <w:textAlignment w:val="bottom"/>
            </w:pPr>
            <w:r>
              <w:rPr>
                <w:rFonts w:ascii="Arial" w:eastAsia="宋体" w:hAnsi="Arial" w:cs="Arial"/>
                <w:color w:val="000000"/>
                <w:sz w:val="12"/>
                <w:szCs w:val="12"/>
              </w:rPr>
              <w:t>Income tax expense</w:t>
            </w:r>
          </w:p>
        </w:tc>
        <w:tc>
          <w:tcPr>
            <w:tcW w:w="0" w:type="auto"/>
            <w:gridSpan w:val="2"/>
            <w:shd w:val="clear" w:color="auto" w:fill="FFFFFF"/>
            <w:tcMar>
              <w:top w:w="40" w:type="dxa"/>
              <w:left w:w="20" w:type="dxa"/>
              <w:bottom w:w="40" w:type="dxa"/>
              <w:right w:w="0" w:type="dxa"/>
            </w:tcMar>
            <w:vAlign w:val="bottom"/>
          </w:tcPr>
          <w:p w14:paraId="74DD6266" w14:textId="77777777" w:rsidR="00584EC1" w:rsidRDefault="00871F8D">
            <w:pPr>
              <w:jc w:val="right"/>
              <w:textAlignment w:val="bottom"/>
            </w:pPr>
            <w:r>
              <w:rPr>
                <w:rFonts w:ascii="Arial" w:eastAsia="宋体" w:hAnsi="Arial" w:cs="Arial"/>
                <w:b/>
                <w:bCs/>
                <w:color w:val="000000"/>
                <w:sz w:val="12"/>
                <w:szCs w:val="12"/>
              </w:rPr>
              <w:t>445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626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268"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269" w14:textId="77777777" w:rsidR="00584EC1" w:rsidRDefault="00871F8D">
            <w:pPr>
              <w:jc w:val="right"/>
              <w:textAlignment w:val="bottom"/>
            </w:pPr>
            <w:r>
              <w:rPr>
                <w:rFonts w:ascii="Arial" w:eastAsia="宋体" w:hAnsi="Arial" w:cs="Arial"/>
                <w:color w:val="000000"/>
                <w:sz w:val="12"/>
                <w:szCs w:val="12"/>
              </w:rPr>
              <w:t>375 </w:t>
            </w:r>
          </w:p>
        </w:tc>
        <w:tc>
          <w:tcPr>
            <w:tcW w:w="0" w:type="auto"/>
            <w:shd w:val="clear" w:color="auto" w:fill="FFFFFF"/>
            <w:tcMar>
              <w:top w:w="40" w:type="dxa"/>
              <w:left w:w="0" w:type="dxa"/>
              <w:bottom w:w="40" w:type="dxa"/>
              <w:right w:w="20" w:type="dxa"/>
            </w:tcMar>
            <w:vAlign w:val="bottom"/>
          </w:tcPr>
          <w:p w14:paraId="74DD626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26B"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26C" w14:textId="77777777" w:rsidR="00584EC1" w:rsidRDefault="00871F8D">
            <w:pPr>
              <w:jc w:val="right"/>
              <w:textAlignment w:val="bottom"/>
            </w:pPr>
            <w:r>
              <w:rPr>
                <w:rFonts w:ascii="Arial" w:eastAsia="宋体" w:hAnsi="Arial" w:cs="Arial"/>
                <w:color w:val="000000"/>
                <w:sz w:val="12"/>
                <w:szCs w:val="12"/>
              </w:rPr>
              <w:t>19 </w:t>
            </w:r>
          </w:p>
        </w:tc>
        <w:tc>
          <w:tcPr>
            <w:tcW w:w="0" w:type="auto"/>
            <w:shd w:val="clear" w:color="auto" w:fill="FFFFFF"/>
            <w:tcMar>
              <w:top w:w="40" w:type="dxa"/>
              <w:left w:w="0" w:type="dxa"/>
              <w:bottom w:w="40" w:type="dxa"/>
              <w:right w:w="20" w:type="dxa"/>
            </w:tcMar>
            <w:vAlign w:val="bottom"/>
          </w:tcPr>
          <w:p w14:paraId="74DD626D" w14:textId="77777777" w:rsidR="00584EC1" w:rsidRDefault="00584EC1">
            <w:pPr>
              <w:jc w:val="right"/>
              <w:rPr>
                <w:rFonts w:ascii="宋体"/>
              </w:rPr>
            </w:pPr>
          </w:p>
        </w:tc>
        <w:tc>
          <w:tcPr>
            <w:tcW w:w="0" w:type="auto"/>
            <w:gridSpan w:val="3"/>
            <w:shd w:val="clear" w:color="auto" w:fill="auto"/>
            <w:vAlign w:val="bottom"/>
          </w:tcPr>
          <w:p w14:paraId="74DD626E" w14:textId="77777777" w:rsidR="00584EC1" w:rsidRDefault="00584EC1">
            <w:pPr>
              <w:rPr>
                <w:rFonts w:ascii="宋体"/>
                <w:vanish/>
              </w:rPr>
            </w:pPr>
          </w:p>
        </w:tc>
        <w:tc>
          <w:tcPr>
            <w:tcW w:w="0" w:type="auto"/>
            <w:gridSpan w:val="3"/>
            <w:shd w:val="clear" w:color="auto" w:fill="auto"/>
            <w:vAlign w:val="bottom"/>
          </w:tcPr>
          <w:p w14:paraId="74DD626F" w14:textId="77777777" w:rsidR="00584EC1" w:rsidRDefault="00584EC1">
            <w:pPr>
              <w:rPr>
                <w:rFonts w:ascii="宋体"/>
                <w:vanish/>
              </w:rPr>
            </w:pPr>
          </w:p>
        </w:tc>
        <w:tc>
          <w:tcPr>
            <w:tcW w:w="0" w:type="auto"/>
            <w:gridSpan w:val="3"/>
            <w:shd w:val="clear" w:color="auto" w:fill="auto"/>
            <w:vAlign w:val="bottom"/>
          </w:tcPr>
          <w:p w14:paraId="74DD6270" w14:textId="77777777" w:rsidR="00584EC1" w:rsidRDefault="00584EC1">
            <w:pPr>
              <w:rPr>
                <w:rFonts w:ascii="宋体"/>
                <w:vanish/>
              </w:rPr>
            </w:pPr>
          </w:p>
        </w:tc>
        <w:tc>
          <w:tcPr>
            <w:tcW w:w="0" w:type="auto"/>
            <w:gridSpan w:val="3"/>
            <w:shd w:val="clear" w:color="auto" w:fill="auto"/>
            <w:vAlign w:val="bottom"/>
          </w:tcPr>
          <w:p w14:paraId="74DD6271" w14:textId="77777777" w:rsidR="00584EC1" w:rsidRDefault="00584EC1">
            <w:pPr>
              <w:rPr>
                <w:rFonts w:ascii="宋体"/>
                <w:vanish/>
              </w:rPr>
            </w:pPr>
          </w:p>
        </w:tc>
        <w:tc>
          <w:tcPr>
            <w:tcW w:w="0" w:type="auto"/>
            <w:gridSpan w:val="3"/>
            <w:shd w:val="clear" w:color="auto" w:fill="auto"/>
            <w:vAlign w:val="bottom"/>
          </w:tcPr>
          <w:p w14:paraId="74DD6272" w14:textId="77777777" w:rsidR="00584EC1" w:rsidRDefault="00584EC1">
            <w:pPr>
              <w:rPr>
                <w:rFonts w:ascii="宋体"/>
                <w:vanish/>
              </w:rPr>
            </w:pPr>
          </w:p>
        </w:tc>
      </w:tr>
      <w:tr w:rsidR="00584EC1" w14:paraId="74DD627F" w14:textId="77777777">
        <w:trPr>
          <w:hidden/>
        </w:trPr>
        <w:tc>
          <w:tcPr>
            <w:tcW w:w="0" w:type="auto"/>
            <w:gridSpan w:val="3"/>
            <w:shd w:val="clear" w:color="auto" w:fill="auto"/>
            <w:vAlign w:val="bottom"/>
          </w:tcPr>
          <w:p w14:paraId="74DD6274" w14:textId="77777777" w:rsidR="00584EC1" w:rsidRDefault="00584EC1">
            <w:pPr>
              <w:rPr>
                <w:rFonts w:ascii="宋体"/>
                <w:vanish/>
              </w:rPr>
            </w:pPr>
          </w:p>
        </w:tc>
        <w:tc>
          <w:tcPr>
            <w:tcW w:w="0" w:type="auto"/>
            <w:gridSpan w:val="3"/>
            <w:shd w:val="clear" w:color="auto" w:fill="auto"/>
            <w:vAlign w:val="bottom"/>
          </w:tcPr>
          <w:p w14:paraId="74DD6275" w14:textId="77777777" w:rsidR="00584EC1" w:rsidRDefault="00584EC1">
            <w:pPr>
              <w:rPr>
                <w:rFonts w:ascii="宋体"/>
                <w:vanish/>
              </w:rPr>
            </w:pPr>
          </w:p>
        </w:tc>
        <w:tc>
          <w:tcPr>
            <w:tcW w:w="0" w:type="auto"/>
            <w:gridSpan w:val="3"/>
            <w:shd w:val="clear" w:color="auto" w:fill="auto"/>
            <w:vAlign w:val="bottom"/>
          </w:tcPr>
          <w:p w14:paraId="74DD6276" w14:textId="77777777" w:rsidR="00584EC1" w:rsidRDefault="00584EC1">
            <w:pPr>
              <w:rPr>
                <w:rFonts w:ascii="宋体"/>
                <w:vanish/>
              </w:rPr>
            </w:pPr>
          </w:p>
        </w:tc>
        <w:tc>
          <w:tcPr>
            <w:tcW w:w="0" w:type="auto"/>
            <w:gridSpan w:val="3"/>
            <w:shd w:val="clear" w:color="auto" w:fill="auto"/>
            <w:vAlign w:val="bottom"/>
          </w:tcPr>
          <w:p w14:paraId="74DD6277" w14:textId="77777777" w:rsidR="00584EC1" w:rsidRDefault="00584EC1">
            <w:pPr>
              <w:rPr>
                <w:rFonts w:ascii="宋体"/>
                <w:vanish/>
              </w:rPr>
            </w:pPr>
          </w:p>
        </w:tc>
        <w:tc>
          <w:tcPr>
            <w:tcW w:w="0" w:type="auto"/>
            <w:gridSpan w:val="3"/>
            <w:shd w:val="clear" w:color="auto" w:fill="auto"/>
            <w:vAlign w:val="bottom"/>
          </w:tcPr>
          <w:p w14:paraId="74DD6278" w14:textId="77777777" w:rsidR="00584EC1" w:rsidRDefault="00584EC1">
            <w:pPr>
              <w:rPr>
                <w:rFonts w:ascii="宋体"/>
                <w:vanish/>
              </w:rPr>
            </w:pPr>
          </w:p>
        </w:tc>
        <w:tc>
          <w:tcPr>
            <w:tcW w:w="0" w:type="auto"/>
            <w:gridSpan w:val="3"/>
            <w:shd w:val="clear" w:color="auto" w:fill="auto"/>
            <w:vAlign w:val="bottom"/>
          </w:tcPr>
          <w:p w14:paraId="74DD6279" w14:textId="77777777" w:rsidR="00584EC1" w:rsidRDefault="00584EC1">
            <w:pPr>
              <w:rPr>
                <w:rFonts w:ascii="宋体"/>
                <w:vanish/>
              </w:rPr>
            </w:pPr>
          </w:p>
        </w:tc>
        <w:tc>
          <w:tcPr>
            <w:tcW w:w="0" w:type="auto"/>
            <w:gridSpan w:val="3"/>
            <w:shd w:val="clear" w:color="auto" w:fill="auto"/>
            <w:vAlign w:val="bottom"/>
          </w:tcPr>
          <w:p w14:paraId="74DD627A" w14:textId="77777777" w:rsidR="00584EC1" w:rsidRDefault="00584EC1">
            <w:pPr>
              <w:rPr>
                <w:rFonts w:ascii="宋体"/>
                <w:vanish/>
              </w:rPr>
            </w:pPr>
          </w:p>
        </w:tc>
        <w:tc>
          <w:tcPr>
            <w:tcW w:w="0" w:type="auto"/>
            <w:gridSpan w:val="3"/>
            <w:shd w:val="clear" w:color="auto" w:fill="auto"/>
            <w:vAlign w:val="bottom"/>
          </w:tcPr>
          <w:p w14:paraId="74DD627B" w14:textId="77777777" w:rsidR="00584EC1" w:rsidRDefault="00584EC1">
            <w:pPr>
              <w:rPr>
                <w:rFonts w:ascii="宋体"/>
                <w:vanish/>
              </w:rPr>
            </w:pPr>
          </w:p>
        </w:tc>
        <w:tc>
          <w:tcPr>
            <w:tcW w:w="0" w:type="auto"/>
            <w:gridSpan w:val="3"/>
            <w:shd w:val="clear" w:color="auto" w:fill="auto"/>
            <w:vAlign w:val="bottom"/>
          </w:tcPr>
          <w:p w14:paraId="74DD627C" w14:textId="77777777" w:rsidR="00584EC1" w:rsidRDefault="00584EC1">
            <w:pPr>
              <w:rPr>
                <w:rFonts w:ascii="宋体"/>
                <w:vanish/>
              </w:rPr>
            </w:pPr>
          </w:p>
        </w:tc>
        <w:tc>
          <w:tcPr>
            <w:tcW w:w="0" w:type="auto"/>
            <w:gridSpan w:val="3"/>
            <w:shd w:val="clear" w:color="auto" w:fill="auto"/>
            <w:vAlign w:val="bottom"/>
          </w:tcPr>
          <w:p w14:paraId="74DD627D" w14:textId="77777777" w:rsidR="00584EC1" w:rsidRDefault="00584EC1">
            <w:pPr>
              <w:rPr>
                <w:rFonts w:ascii="宋体"/>
                <w:vanish/>
              </w:rPr>
            </w:pPr>
          </w:p>
        </w:tc>
        <w:tc>
          <w:tcPr>
            <w:tcW w:w="0" w:type="auto"/>
            <w:gridSpan w:val="3"/>
            <w:shd w:val="clear" w:color="auto" w:fill="auto"/>
            <w:vAlign w:val="bottom"/>
          </w:tcPr>
          <w:p w14:paraId="74DD627E" w14:textId="77777777" w:rsidR="00584EC1" w:rsidRDefault="00584EC1">
            <w:pPr>
              <w:rPr>
                <w:rFonts w:ascii="宋体"/>
                <w:vanish/>
              </w:rPr>
            </w:pPr>
          </w:p>
        </w:tc>
      </w:tr>
      <w:tr w:rsidR="00584EC1" w14:paraId="74DD6290" w14:textId="77777777">
        <w:tc>
          <w:tcPr>
            <w:tcW w:w="0" w:type="auto"/>
            <w:gridSpan w:val="3"/>
            <w:shd w:val="clear" w:color="auto" w:fill="CCEEFF"/>
            <w:tcMar>
              <w:top w:w="40" w:type="dxa"/>
              <w:left w:w="20" w:type="dxa"/>
              <w:bottom w:w="40" w:type="dxa"/>
              <w:right w:w="20" w:type="dxa"/>
            </w:tcMar>
            <w:vAlign w:val="bottom"/>
          </w:tcPr>
          <w:p w14:paraId="74DD6280" w14:textId="77777777" w:rsidR="00584EC1" w:rsidRDefault="00871F8D">
            <w:pPr>
              <w:textAlignment w:val="bottom"/>
            </w:pPr>
            <w:r>
              <w:rPr>
                <w:rFonts w:ascii="Arial" w:eastAsia="宋体" w:hAnsi="Arial" w:cs="Arial"/>
                <w:color w:val="000000"/>
                <w:sz w:val="12"/>
                <w:szCs w:val="12"/>
              </w:rPr>
              <w:t>Net income</w:t>
            </w:r>
          </w:p>
        </w:tc>
        <w:tc>
          <w:tcPr>
            <w:tcW w:w="0" w:type="auto"/>
            <w:tcBorders>
              <w:top w:val="single" w:sz="8" w:space="0" w:color="000000"/>
            </w:tcBorders>
            <w:shd w:val="clear" w:color="auto" w:fill="CCEEFF"/>
            <w:tcMar>
              <w:top w:w="40" w:type="dxa"/>
              <w:left w:w="20" w:type="dxa"/>
              <w:bottom w:w="40" w:type="dxa"/>
              <w:right w:w="0" w:type="dxa"/>
            </w:tcMar>
            <w:vAlign w:val="bottom"/>
          </w:tcPr>
          <w:p w14:paraId="74DD6281"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6282" w14:textId="77777777" w:rsidR="00584EC1" w:rsidRDefault="00871F8D">
            <w:pPr>
              <w:jc w:val="right"/>
              <w:textAlignment w:val="bottom"/>
            </w:pPr>
            <w:r>
              <w:rPr>
                <w:rFonts w:ascii="Arial" w:eastAsia="宋体" w:hAnsi="Arial" w:cs="Arial"/>
                <w:b/>
                <w:bCs/>
                <w:color w:val="000000"/>
                <w:sz w:val="12"/>
                <w:szCs w:val="12"/>
              </w:rPr>
              <w:t>1,996</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628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284"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6285"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6286" w14:textId="77777777" w:rsidR="00584EC1" w:rsidRDefault="00871F8D">
            <w:pPr>
              <w:jc w:val="right"/>
              <w:textAlignment w:val="bottom"/>
            </w:pPr>
            <w:r>
              <w:rPr>
                <w:rFonts w:ascii="Arial" w:eastAsia="宋体" w:hAnsi="Arial" w:cs="Arial"/>
                <w:color w:val="000000"/>
                <w:sz w:val="12"/>
                <w:szCs w:val="12"/>
              </w:rPr>
              <w:t>1,883 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628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288"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289" w14:textId="77777777" w:rsidR="00584EC1" w:rsidRDefault="00871F8D">
            <w:pPr>
              <w:jc w:val="right"/>
              <w:textAlignment w:val="bottom"/>
            </w:pPr>
            <w:r>
              <w:rPr>
                <w:rFonts w:ascii="Arial" w:eastAsia="宋体" w:hAnsi="Arial" w:cs="Arial"/>
                <w:color w:val="000000"/>
                <w:sz w:val="12"/>
                <w:szCs w:val="12"/>
              </w:rPr>
              <w:t>6 </w:t>
            </w:r>
          </w:p>
        </w:tc>
        <w:tc>
          <w:tcPr>
            <w:tcW w:w="0" w:type="auto"/>
            <w:shd w:val="clear" w:color="auto" w:fill="CCEEFF"/>
            <w:tcMar>
              <w:top w:w="40" w:type="dxa"/>
              <w:left w:w="0" w:type="dxa"/>
              <w:bottom w:w="40" w:type="dxa"/>
              <w:right w:w="20" w:type="dxa"/>
            </w:tcMar>
            <w:vAlign w:val="bottom"/>
          </w:tcPr>
          <w:p w14:paraId="74DD628A" w14:textId="77777777" w:rsidR="00584EC1" w:rsidRDefault="00584EC1">
            <w:pPr>
              <w:jc w:val="right"/>
              <w:rPr>
                <w:rFonts w:ascii="宋体"/>
              </w:rPr>
            </w:pPr>
          </w:p>
        </w:tc>
        <w:tc>
          <w:tcPr>
            <w:tcW w:w="0" w:type="auto"/>
            <w:gridSpan w:val="3"/>
            <w:shd w:val="clear" w:color="auto" w:fill="auto"/>
            <w:vAlign w:val="bottom"/>
          </w:tcPr>
          <w:p w14:paraId="74DD628B" w14:textId="77777777" w:rsidR="00584EC1" w:rsidRDefault="00584EC1">
            <w:pPr>
              <w:rPr>
                <w:rFonts w:ascii="宋体"/>
                <w:vanish/>
              </w:rPr>
            </w:pPr>
          </w:p>
        </w:tc>
        <w:tc>
          <w:tcPr>
            <w:tcW w:w="0" w:type="auto"/>
            <w:gridSpan w:val="3"/>
            <w:shd w:val="clear" w:color="auto" w:fill="auto"/>
            <w:vAlign w:val="bottom"/>
          </w:tcPr>
          <w:p w14:paraId="74DD628C" w14:textId="77777777" w:rsidR="00584EC1" w:rsidRDefault="00584EC1">
            <w:pPr>
              <w:rPr>
                <w:rFonts w:ascii="宋体"/>
                <w:vanish/>
              </w:rPr>
            </w:pPr>
          </w:p>
        </w:tc>
        <w:tc>
          <w:tcPr>
            <w:tcW w:w="0" w:type="auto"/>
            <w:gridSpan w:val="3"/>
            <w:shd w:val="clear" w:color="auto" w:fill="auto"/>
            <w:vAlign w:val="bottom"/>
          </w:tcPr>
          <w:p w14:paraId="74DD628D" w14:textId="77777777" w:rsidR="00584EC1" w:rsidRDefault="00584EC1">
            <w:pPr>
              <w:rPr>
                <w:rFonts w:ascii="宋体"/>
                <w:vanish/>
              </w:rPr>
            </w:pPr>
          </w:p>
        </w:tc>
        <w:tc>
          <w:tcPr>
            <w:tcW w:w="0" w:type="auto"/>
            <w:gridSpan w:val="3"/>
            <w:shd w:val="clear" w:color="auto" w:fill="auto"/>
            <w:vAlign w:val="bottom"/>
          </w:tcPr>
          <w:p w14:paraId="74DD628E" w14:textId="77777777" w:rsidR="00584EC1" w:rsidRDefault="00584EC1">
            <w:pPr>
              <w:rPr>
                <w:rFonts w:ascii="宋体"/>
                <w:vanish/>
              </w:rPr>
            </w:pPr>
          </w:p>
        </w:tc>
        <w:tc>
          <w:tcPr>
            <w:tcW w:w="0" w:type="auto"/>
            <w:gridSpan w:val="3"/>
            <w:shd w:val="clear" w:color="auto" w:fill="auto"/>
            <w:vAlign w:val="bottom"/>
          </w:tcPr>
          <w:p w14:paraId="74DD628F" w14:textId="77777777" w:rsidR="00584EC1" w:rsidRDefault="00584EC1">
            <w:pPr>
              <w:rPr>
                <w:rFonts w:ascii="宋体"/>
                <w:vanish/>
              </w:rPr>
            </w:pPr>
          </w:p>
        </w:tc>
      </w:tr>
      <w:tr w:rsidR="00584EC1" w14:paraId="74DD629C" w14:textId="77777777">
        <w:tc>
          <w:tcPr>
            <w:tcW w:w="0" w:type="auto"/>
            <w:gridSpan w:val="3"/>
            <w:shd w:val="clear" w:color="auto" w:fill="FFFFFF"/>
            <w:tcMar>
              <w:top w:w="40" w:type="dxa"/>
              <w:left w:w="20" w:type="dxa"/>
              <w:bottom w:w="40" w:type="dxa"/>
              <w:right w:w="20" w:type="dxa"/>
            </w:tcMar>
            <w:vAlign w:val="bottom"/>
          </w:tcPr>
          <w:p w14:paraId="74DD6291" w14:textId="77777777" w:rsidR="00584EC1" w:rsidRDefault="00871F8D">
            <w:pPr>
              <w:textAlignment w:val="bottom"/>
            </w:pPr>
            <w:r>
              <w:rPr>
                <w:rFonts w:ascii="Arial" w:eastAsia="宋体" w:hAnsi="Arial" w:cs="Arial"/>
                <w:color w:val="000000"/>
                <w:sz w:val="12"/>
                <w:szCs w:val="12"/>
              </w:rPr>
              <w:t>Adjustments to net income:</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629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293"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6294"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295"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296" w14:textId="77777777" w:rsidR="00584EC1" w:rsidRDefault="00584EC1">
            <w:pPr>
              <w:rPr>
                <w:rFonts w:ascii="宋体"/>
              </w:rPr>
            </w:pPr>
          </w:p>
        </w:tc>
        <w:tc>
          <w:tcPr>
            <w:tcW w:w="0" w:type="auto"/>
            <w:gridSpan w:val="3"/>
            <w:shd w:val="clear" w:color="auto" w:fill="auto"/>
            <w:vAlign w:val="bottom"/>
          </w:tcPr>
          <w:p w14:paraId="74DD6297" w14:textId="77777777" w:rsidR="00584EC1" w:rsidRDefault="00584EC1">
            <w:pPr>
              <w:rPr>
                <w:rFonts w:ascii="宋体"/>
                <w:vanish/>
              </w:rPr>
            </w:pPr>
          </w:p>
        </w:tc>
        <w:tc>
          <w:tcPr>
            <w:tcW w:w="0" w:type="auto"/>
            <w:gridSpan w:val="3"/>
            <w:shd w:val="clear" w:color="auto" w:fill="auto"/>
            <w:vAlign w:val="bottom"/>
          </w:tcPr>
          <w:p w14:paraId="74DD6298" w14:textId="77777777" w:rsidR="00584EC1" w:rsidRDefault="00584EC1">
            <w:pPr>
              <w:rPr>
                <w:rFonts w:ascii="宋体"/>
                <w:vanish/>
              </w:rPr>
            </w:pPr>
          </w:p>
        </w:tc>
        <w:tc>
          <w:tcPr>
            <w:tcW w:w="0" w:type="auto"/>
            <w:gridSpan w:val="3"/>
            <w:shd w:val="clear" w:color="auto" w:fill="auto"/>
            <w:vAlign w:val="bottom"/>
          </w:tcPr>
          <w:p w14:paraId="74DD6299" w14:textId="77777777" w:rsidR="00584EC1" w:rsidRDefault="00584EC1">
            <w:pPr>
              <w:rPr>
                <w:rFonts w:ascii="宋体"/>
                <w:vanish/>
              </w:rPr>
            </w:pPr>
          </w:p>
        </w:tc>
        <w:tc>
          <w:tcPr>
            <w:tcW w:w="0" w:type="auto"/>
            <w:gridSpan w:val="3"/>
            <w:shd w:val="clear" w:color="auto" w:fill="auto"/>
            <w:vAlign w:val="bottom"/>
          </w:tcPr>
          <w:p w14:paraId="74DD629A" w14:textId="77777777" w:rsidR="00584EC1" w:rsidRDefault="00584EC1">
            <w:pPr>
              <w:rPr>
                <w:rFonts w:ascii="宋体"/>
                <w:vanish/>
              </w:rPr>
            </w:pPr>
          </w:p>
        </w:tc>
        <w:tc>
          <w:tcPr>
            <w:tcW w:w="0" w:type="auto"/>
            <w:gridSpan w:val="3"/>
            <w:shd w:val="clear" w:color="auto" w:fill="auto"/>
            <w:vAlign w:val="bottom"/>
          </w:tcPr>
          <w:p w14:paraId="74DD629B" w14:textId="77777777" w:rsidR="00584EC1" w:rsidRDefault="00584EC1">
            <w:pPr>
              <w:rPr>
                <w:rFonts w:ascii="宋体"/>
                <w:vanish/>
              </w:rPr>
            </w:pPr>
          </w:p>
        </w:tc>
      </w:tr>
      <w:tr w:rsidR="00584EC1" w14:paraId="74DD62AD" w14:textId="77777777">
        <w:tc>
          <w:tcPr>
            <w:tcW w:w="0" w:type="auto"/>
            <w:gridSpan w:val="3"/>
            <w:shd w:val="clear" w:color="auto" w:fill="CCEEFF"/>
            <w:tcMar>
              <w:top w:w="40" w:type="dxa"/>
              <w:left w:w="20" w:type="dxa"/>
              <w:bottom w:w="40" w:type="dxa"/>
              <w:right w:w="20" w:type="dxa"/>
            </w:tcMar>
            <w:vAlign w:val="bottom"/>
          </w:tcPr>
          <w:p w14:paraId="74DD629D" w14:textId="77777777" w:rsidR="00584EC1" w:rsidRDefault="00871F8D">
            <w:pPr>
              <w:textAlignment w:val="bottom"/>
            </w:pPr>
            <w:r>
              <w:rPr>
                <w:rFonts w:ascii="Arial" w:eastAsia="宋体" w:hAnsi="Arial" w:cs="Arial"/>
                <w:color w:val="000000"/>
                <w:sz w:val="12"/>
                <w:szCs w:val="12"/>
              </w:rPr>
              <w:t>Dividends on preferred stock</w:t>
            </w:r>
            <w:r>
              <w:rPr>
                <w:rFonts w:ascii="Arial" w:eastAsia="宋体" w:hAnsi="Arial" w:cs="Arial"/>
                <w:color w:val="000000"/>
                <w:sz w:val="7"/>
                <w:szCs w:val="7"/>
              </w:rPr>
              <w:t>(1)</w:t>
            </w:r>
          </w:p>
        </w:tc>
        <w:tc>
          <w:tcPr>
            <w:tcW w:w="0" w:type="auto"/>
            <w:shd w:val="clear" w:color="auto" w:fill="CCEEFF"/>
            <w:tcMar>
              <w:top w:w="40" w:type="dxa"/>
              <w:left w:w="20" w:type="dxa"/>
              <w:bottom w:w="40" w:type="dxa"/>
              <w:right w:w="0" w:type="dxa"/>
            </w:tcMar>
            <w:vAlign w:val="bottom"/>
          </w:tcPr>
          <w:p w14:paraId="74DD629E" w14:textId="77777777" w:rsidR="00584EC1" w:rsidRDefault="00871F8D">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74DD629F" w14:textId="77777777" w:rsidR="00584EC1" w:rsidRDefault="00871F8D">
            <w:pPr>
              <w:jc w:val="right"/>
              <w:textAlignment w:val="bottom"/>
            </w:pPr>
            <w:r>
              <w:rPr>
                <w:rFonts w:ascii="Arial" w:eastAsia="宋体" w:hAnsi="Arial" w:cs="Arial"/>
                <w:b/>
                <w:bCs/>
                <w:color w:val="000000"/>
                <w:sz w:val="12"/>
                <w:szCs w:val="12"/>
              </w:rPr>
              <w:t>(85)</w:t>
            </w:r>
          </w:p>
        </w:tc>
        <w:tc>
          <w:tcPr>
            <w:tcW w:w="0" w:type="auto"/>
            <w:shd w:val="clear" w:color="auto" w:fill="CCEEFF"/>
            <w:tcMar>
              <w:top w:w="40" w:type="dxa"/>
              <w:left w:w="0" w:type="dxa"/>
              <w:bottom w:w="40" w:type="dxa"/>
              <w:right w:w="20" w:type="dxa"/>
            </w:tcMar>
            <w:vAlign w:val="bottom"/>
          </w:tcPr>
          <w:p w14:paraId="74DD62A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2A1"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62A2" w14:textId="77777777" w:rsidR="00584EC1" w:rsidRDefault="00871F8D">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74DD62A3" w14:textId="77777777" w:rsidR="00584EC1" w:rsidRDefault="00871F8D">
            <w:pPr>
              <w:jc w:val="right"/>
              <w:textAlignment w:val="bottom"/>
            </w:pPr>
            <w:r>
              <w:rPr>
                <w:rFonts w:ascii="Arial" w:eastAsia="宋体" w:hAnsi="Arial" w:cs="Arial"/>
                <w:color w:val="000000"/>
                <w:sz w:val="12"/>
                <w:szCs w:val="12"/>
              </w:rPr>
              <w:t>(123)</w:t>
            </w:r>
          </w:p>
        </w:tc>
        <w:tc>
          <w:tcPr>
            <w:tcW w:w="0" w:type="auto"/>
            <w:shd w:val="clear" w:color="auto" w:fill="CCEEFF"/>
            <w:tcMar>
              <w:top w:w="40" w:type="dxa"/>
              <w:left w:w="0" w:type="dxa"/>
              <w:bottom w:w="40" w:type="dxa"/>
              <w:right w:w="20" w:type="dxa"/>
            </w:tcMar>
            <w:vAlign w:val="bottom"/>
          </w:tcPr>
          <w:p w14:paraId="74DD62A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2A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2A6" w14:textId="77777777" w:rsidR="00584EC1" w:rsidRDefault="00871F8D">
            <w:pPr>
              <w:jc w:val="right"/>
              <w:textAlignment w:val="bottom"/>
            </w:pPr>
            <w:r>
              <w:rPr>
                <w:rFonts w:ascii="Arial" w:eastAsia="宋体" w:hAnsi="Arial" w:cs="Arial"/>
                <w:color w:val="000000"/>
                <w:sz w:val="12"/>
                <w:szCs w:val="12"/>
              </w:rPr>
              <w:t>(31)</w:t>
            </w:r>
          </w:p>
        </w:tc>
        <w:tc>
          <w:tcPr>
            <w:tcW w:w="0" w:type="auto"/>
            <w:shd w:val="clear" w:color="auto" w:fill="CCEEFF"/>
            <w:tcMar>
              <w:top w:w="40" w:type="dxa"/>
              <w:left w:w="0" w:type="dxa"/>
              <w:bottom w:w="40" w:type="dxa"/>
              <w:right w:w="20" w:type="dxa"/>
            </w:tcMar>
            <w:vAlign w:val="bottom"/>
          </w:tcPr>
          <w:p w14:paraId="74DD62A7" w14:textId="77777777" w:rsidR="00584EC1" w:rsidRDefault="00584EC1">
            <w:pPr>
              <w:jc w:val="right"/>
              <w:rPr>
                <w:rFonts w:ascii="宋体"/>
              </w:rPr>
            </w:pPr>
          </w:p>
        </w:tc>
        <w:tc>
          <w:tcPr>
            <w:tcW w:w="0" w:type="auto"/>
            <w:gridSpan w:val="3"/>
            <w:shd w:val="clear" w:color="auto" w:fill="auto"/>
            <w:vAlign w:val="bottom"/>
          </w:tcPr>
          <w:p w14:paraId="74DD62A8" w14:textId="77777777" w:rsidR="00584EC1" w:rsidRDefault="00584EC1">
            <w:pPr>
              <w:rPr>
                <w:rFonts w:ascii="宋体"/>
                <w:vanish/>
              </w:rPr>
            </w:pPr>
          </w:p>
        </w:tc>
        <w:tc>
          <w:tcPr>
            <w:tcW w:w="0" w:type="auto"/>
            <w:gridSpan w:val="3"/>
            <w:shd w:val="clear" w:color="auto" w:fill="auto"/>
            <w:vAlign w:val="bottom"/>
          </w:tcPr>
          <w:p w14:paraId="74DD62A9" w14:textId="77777777" w:rsidR="00584EC1" w:rsidRDefault="00584EC1">
            <w:pPr>
              <w:rPr>
                <w:rFonts w:ascii="宋体"/>
                <w:vanish/>
              </w:rPr>
            </w:pPr>
          </w:p>
        </w:tc>
        <w:tc>
          <w:tcPr>
            <w:tcW w:w="0" w:type="auto"/>
            <w:gridSpan w:val="3"/>
            <w:shd w:val="clear" w:color="auto" w:fill="auto"/>
            <w:vAlign w:val="bottom"/>
          </w:tcPr>
          <w:p w14:paraId="74DD62AA" w14:textId="77777777" w:rsidR="00584EC1" w:rsidRDefault="00584EC1">
            <w:pPr>
              <w:rPr>
                <w:rFonts w:ascii="宋体"/>
                <w:vanish/>
              </w:rPr>
            </w:pPr>
          </w:p>
        </w:tc>
        <w:tc>
          <w:tcPr>
            <w:tcW w:w="0" w:type="auto"/>
            <w:gridSpan w:val="3"/>
            <w:shd w:val="clear" w:color="auto" w:fill="auto"/>
            <w:vAlign w:val="bottom"/>
          </w:tcPr>
          <w:p w14:paraId="74DD62AB" w14:textId="77777777" w:rsidR="00584EC1" w:rsidRDefault="00584EC1">
            <w:pPr>
              <w:rPr>
                <w:rFonts w:ascii="宋体"/>
                <w:vanish/>
              </w:rPr>
            </w:pPr>
          </w:p>
        </w:tc>
        <w:tc>
          <w:tcPr>
            <w:tcW w:w="0" w:type="auto"/>
            <w:gridSpan w:val="3"/>
            <w:shd w:val="clear" w:color="auto" w:fill="auto"/>
            <w:vAlign w:val="bottom"/>
          </w:tcPr>
          <w:p w14:paraId="74DD62AC" w14:textId="77777777" w:rsidR="00584EC1" w:rsidRDefault="00584EC1">
            <w:pPr>
              <w:rPr>
                <w:rFonts w:ascii="宋体"/>
                <w:vanish/>
              </w:rPr>
            </w:pPr>
          </w:p>
        </w:tc>
      </w:tr>
      <w:tr w:rsidR="00584EC1" w14:paraId="74DD62BC" w14:textId="77777777">
        <w:tc>
          <w:tcPr>
            <w:tcW w:w="0" w:type="auto"/>
            <w:gridSpan w:val="3"/>
            <w:shd w:val="clear" w:color="auto" w:fill="FFFFFF"/>
            <w:tcMar>
              <w:top w:w="40" w:type="dxa"/>
              <w:left w:w="20" w:type="dxa"/>
              <w:bottom w:w="40" w:type="dxa"/>
              <w:right w:w="20" w:type="dxa"/>
            </w:tcMar>
            <w:vAlign w:val="bottom"/>
          </w:tcPr>
          <w:p w14:paraId="74DD62AE" w14:textId="77777777" w:rsidR="00584EC1" w:rsidRDefault="00871F8D">
            <w:pPr>
              <w:textAlignment w:val="bottom"/>
            </w:pPr>
            <w:r>
              <w:rPr>
                <w:rFonts w:ascii="Arial" w:eastAsia="宋体" w:hAnsi="Arial" w:cs="Arial"/>
                <w:color w:val="000000"/>
                <w:sz w:val="12"/>
                <w:szCs w:val="12"/>
              </w:rPr>
              <w:t>Earnings allocated to participating securities</w:t>
            </w:r>
            <w:r>
              <w:rPr>
                <w:rFonts w:ascii="Arial" w:eastAsia="宋体" w:hAnsi="Arial" w:cs="Arial"/>
                <w:color w:val="000000"/>
                <w:sz w:val="7"/>
                <w:szCs w:val="7"/>
              </w:rPr>
              <w:t>(2)</w:t>
            </w:r>
          </w:p>
        </w:tc>
        <w:tc>
          <w:tcPr>
            <w:tcW w:w="0" w:type="auto"/>
            <w:gridSpan w:val="2"/>
            <w:shd w:val="clear" w:color="auto" w:fill="FFFFFF"/>
            <w:tcMar>
              <w:top w:w="40" w:type="dxa"/>
              <w:left w:w="20" w:type="dxa"/>
              <w:bottom w:w="40" w:type="dxa"/>
              <w:right w:w="0" w:type="dxa"/>
            </w:tcMar>
            <w:vAlign w:val="bottom"/>
          </w:tcPr>
          <w:p w14:paraId="74DD62AF" w14:textId="77777777" w:rsidR="00584EC1" w:rsidRDefault="00871F8D">
            <w:pPr>
              <w:jc w:val="right"/>
              <w:textAlignment w:val="bottom"/>
            </w:pPr>
            <w:r>
              <w:rPr>
                <w:rFonts w:ascii="Arial" w:eastAsia="宋体" w:hAnsi="Arial" w:cs="Arial"/>
                <w:b/>
                <w:bCs/>
                <w:color w:val="000000"/>
                <w:sz w:val="12"/>
                <w:szCs w:val="12"/>
              </w:rPr>
              <w:t>(1)</w:t>
            </w:r>
          </w:p>
        </w:tc>
        <w:tc>
          <w:tcPr>
            <w:tcW w:w="0" w:type="auto"/>
            <w:shd w:val="clear" w:color="auto" w:fill="FFFFFF"/>
            <w:tcMar>
              <w:top w:w="40" w:type="dxa"/>
              <w:left w:w="0" w:type="dxa"/>
              <w:bottom w:w="40" w:type="dxa"/>
              <w:right w:w="20" w:type="dxa"/>
            </w:tcMar>
            <w:vAlign w:val="bottom"/>
          </w:tcPr>
          <w:p w14:paraId="74DD62B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2B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2B2" w14:textId="77777777" w:rsidR="00584EC1" w:rsidRDefault="00871F8D">
            <w:pPr>
              <w:jc w:val="right"/>
              <w:textAlignment w:val="bottom"/>
            </w:pPr>
            <w:r>
              <w:rPr>
                <w:rFonts w:ascii="Arial" w:eastAsia="宋体" w:hAnsi="Arial" w:cs="Arial"/>
                <w:color w:val="000000"/>
                <w:sz w:val="12"/>
                <w:szCs w:val="12"/>
              </w:rPr>
              <w:t>(1)</w:t>
            </w:r>
          </w:p>
        </w:tc>
        <w:tc>
          <w:tcPr>
            <w:tcW w:w="0" w:type="auto"/>
            <w:shd w:val="clear" w:color="auto" w:fill="FFFFFF"/>
            <w:tcMar>
              <w:top w:w="40" w:type="dxa"/>
              <w:left w:w="0" w:type="dxa"/>
              <w:bottom w:w="40" w:type="dxa"/>
              <w:right w:w="20" w:type="dxa"/>
            </w:tcMar>
            <w:vAlign w:val="bottom"/>
          </w:tcPr>
          <w:p w14:paraId="74DD62B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2B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2B5" w14:textId="77777777" w:rsidR="00584EC1" w:rsidRDefault="00871F8D">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62B6" w14:textId="77777777" w:rsidR="00584EC1" w:rsidRDefault="00584EC1">
            <w:pPr>
              <w:jc w:val="right"/>
              <w:rPr>
                <w:rFonts w:ascii="宋体"/>
              </w:rPr>
            </w:pPr>
          </w:p>
        </w:tc>
        <w:tc>
          <w:tcPr>
            <w:tcW w:w="0" w:type="auto"/>
            <w:gridSpan w:val="3"/>
            <w:shd w:val="clear" w:color="auto" w:fill="auto"/>
            <w:vAlign w:val="bottom"/>
          </w:tcPr>
          <w:p w14:paraId="74DD62B7" w14:textId="77777777" w:rsidR="00584EC1" w:rsidRDefault="00584EC1">
            <w:pPr>
              <w:rPr>
                <w:rFonts w:ascii="宋体"/>
                <w:vanish/>
              </w:rPr>
            </w:pPr>
          </w:p>
        </w:tc>
        <w:tc>
          <w:tcPr>
            <w:tcW w:w="0" w:type="auto"/>
            <w:gridSpan w:val="3"/>
            <w:shd w:val="clear" w:color="auto" w:fill="auto"/>
            <w:vAlign w:val="bottom"/>
          </w:tcPr>
          <w:p w14:paraId="74DD62B8" w14:textId="77777777" w:rsidR="00584EC1" w:rsidRDefault="00584EC1">
            <w:pPr>
              <w:rPr>
                <w:rFonts w:ascii="宋体"/>
                <w:vanish/>
              </w:rPr>
            </w:pPr>
          </w:p>
        </w:tc>
        <w:tc>
          <w:tcPr>
            <w:tcW w:w="0" w:type="auto"/>
            <w:gridSpan w:val="3"/>
            <w:shd w:val="clear" w:color="auto" w:fill="auto"/>
            <w:vAlign w:val="bottom"/>
          </w:tcPr>
          <w:p w14:paraId="74DD62B9" w14:textId="77777777" w:rsidR="00584EC1" w:rsidRDefault="00584EC1">
            <w:pPr>
              <w:rPr>
                <w:rFonts w:ascii="宋体"/>
                <w:vanish/>
              </w:rPr>
            </w:pPr>
          </w:p>
        </w:tc>
        <w:tc>
          <w:tcPr>
            <w:tcW w:w="0" w:type="auto"/>
            <w:gridSpan w:val="3"/>
            <w:shd w:val="clear" w:color="auto" w:fill="auto"/>
            <w:vAlign w:val="bottom"/>
          </w:tcPr>
          <w:p w14:paraId="74DD62BA" w14:textId="77777777" w:rsidR="00584EC1" w:rsidRDefault="00584EC1">
            <w:pPr>
              <w:rPr>
                <w:rFonts w:ascii="宋体"/>
                <w:vanish/>
              </w:rPr>
            </w:pPr>
          </w:p>
        </w:tc>
        <w:tc>
          <w:tcPr>
            <w:tcW w:w="0" w:type="auto"/>
            <w:gridSpan w:val="3"/>
            <w:shd w:val="clear" w:color="auto" w:fill="auto"/>
            <w:vAlign w:val="bottom"/>
          </w:tcPr>
          <w:p w14:paraId="74DD62BB" w14:textId="77777777" w:rsidR="00584EC1" w:rsidRDefault="00584EC1">
            <w:pPr>
              <w:rPr>
                <w:rFonts w:ascii="宋体"/>
                <w:vanish/>
              </w:rPr>
            </w:pPr>
          </w:p>
        </w:tc>
      </w:tr>
      <w:tr w:rsidR="00584EC1" w14:paraId="74DD62CD" w14:textId="77777777">
        <w:tc>
          <w:tcPr>
            <w:tcW w:w="0" w:type="auto"/>
            <w:gridSpan w:val="3"/>
            <w:shd w:val="clear" w:color="auto" w:fill="CCEEFF"/>
            <w:tcMar>
              <w:top w:w="40" w:type="dxa"/>
              <w:left w:w="20" w:type="dxa"/>
              <w:bottom w:w="40" w:type="dxa"/>
              <w:right w:w="20" w:type="dxa"/>
            </w:tcMar>
            <w:vAlign w:val="bottom"/>
          </w:tcPr>
          <w:p w14:paraId="74DD62BD" w14:textId="77777777" w:rsidR="00584EC1" w:rsidRDefault="00871F8D">
            <w:pPr>
              <w:textAlignment w:val="bottom"/>
            </w:pPr>
            <w:r>
              <w:rPr>
                <w:rFonts w:ascii="Arial" w:eastAsia="宋体" w:hAnsi="Arial" w:cs="Arial"/>
                <w:color w:val="000000"/>
                <w:sz w:val="12"/>
                <w:szCs w:val="12"/>
              </w:rPr>
              <w:t>Net inco</w:t>
            </w:r>
            <w:r>
              <w:rPr>
                <w:rFonts w:ascii="Arial" w:eastAsia="宋体" w:hAnsi="Arial" w:cs="Arial"/>
                <w:color w:val="000000"/>
                <w:sz w:val="12"/>
                <w:szCs w:val="12"/>
              </w:rPr>
              <w:t>me available to common shareholders</w:t>
            </w:r>
          </w:p>
        </w:tc>
        <w:tc>
          <w:tcPr>
            <w:tcW w:w="0" w:type="auto"/>
            <w:tcBorders>
              <w:top w:val="single" w:sz="8" w:space="0" w:color="000000"/>
            </w:tcBorders>
            <w:shd w:val="clear" w:color="auto" w:fill="CCEEFF"/>
            <w:tcMar>
              <w:top w:w="40" w:type="dxa"/>
              <w:left w:w="20" w:type="dxa"/>
              <w:bottom w:w="40" w:type="dxa"/>
              <w:right w:w="0" w:type="dxa"/>
            </w:tcMar>
            <w:vAlign w:val="bottom"/>
          </w:tcPr>
          <w:p w14:paraId="74DD62BE"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62BF" w14:textId="77777777" w:rsidR="00584EC1" w:rsidRDefault="00871F8D">
            <w:pPr>
              <w:jc w:val="right"/>
              <w:textAlignment w:val="bottom"/>
            </w:pPr>
            <w:r>
              <w:rPr>
                <w:rFonts w:ascii="Arial" w:eastAsia="宋体" w:hAnsi="Arial" w:cs="Arial"/>
                <w:b/>
                <w:bCs/>
                <w:color w:val="000000"/>
                <w:sz w:val="12"/>
                <w:szCs w:val="12"/>
              </w:rPr>
              <w:t>1,910</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62C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2C1"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62C2"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62C3" w14:textId="77777777" w:rsidR="00584EC1" w:rsidRDefault="00871F8D">
            <w:pPr>
              <w:jc w:val="right"/>
              <w:textAlignment w:val="bottom"/>
            </w:pPr>
            <w:r>
              <w:rPr>
                <w:rFonts w:ascii="Arial" w:eastAsia="宋体" w:hAnsi="Arial" w:cs="Arial"/>
                <w:color w:val="000000"/>
                <w:sz w:val="12"/>
                <w:szCs w:val="12"/>
              </w:rPr>
              <w:t>1,759 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62C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2C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2C6" w14:textId="77777777" w:rsidR="00584EC1" w:rsidRDefault="00871F8D">
            <w:pPr>
              <w:jc w:val="right"/>
              <w:textAlignment w:val="bottom"/>
            </w:pPr>
            <w:r>
              <w:rPr>
                <w:rFonts w:ascii="Arial" w:eastAsia="宋体" w:hAnsi="Arial" w:cs="Arial"/>
                <w:color w:val="000000"/>
                <w:sz w:val="12"/>
                <w:szCs w:val="12"/>
              </w:rPr>
              <w:t>9 </w:t>
            </w:r>
          </w:p>
        </w:tc>
        <w:tc>
          <w:tcPr>
            <w:tcW w:w="0" w:type="auto"/>
            <w:shd w:val="clear" w:color="auto" w:fill="CCEEFF"/>
            <w:tcMar>
              <w:top w:w="40" w:type="dxa"/>
              <w:left w:w="0" w:type="dxa"/>
              <w:bottom w:w="40" w:type="dxa"/>
              <w:right w:w="20" w:type="dxa"/>
            </w:tcMar>
            <w:vAlign w:val="bottom"/>
          </w:tcPr>
          <w:p w14:paraId="74DD62C7" w14:textId="77777777" w:rsidR="00584EC1" w:rsidRDefault="00584EC1">
            <w:pPr>
              <w:jc w:val="right"/>
              <w:rPr>
                <w:rFonts w:ascii="宋体"/>
              </w:rPr>
            </w:pPr>
          </w:p>
        </w:tc>
        <w:tc>
          <w:tcPr>
            <w:tcW w:w="0" w:type="auto"/>
            <w:gridSpan w:val="3"/>
            <w:shd w:val="clear" w:color="auto" w:fill="auto"/>
            <w:vAlign w:val="bottom"/>
          </w:tcPr>
          <w:p w14:paraId="74DD62C8" w14:textId="77777777" w:rsidR="00584EC1" w:rsidRDefault="00584EC1">
            <w:pPr>
              <w:rPr>
                <w:rFonts w:ascii="宋体"/>
                <w:vanish/>
              </w:rPr>
            </w:pPr>
          </w:p>
        </w:tc>
        <w:tc>
          <w:tcPr>
            <w:tcW w:w="0" w:type="auto"/>
            <w:gridSpan w:val="3"/>
            <w:shd w:val="clear" w:color="auto" w:fill="auto"/>
            <w:vAlign w:val="bottom"/>
          </w:tcPr>
          <w:p w14:paraId="74DD62C9" w14:textId="77777777" w:rsidR="00584EC1" w:rsidRDefault="00584EC1">
            <w:pPr>
              <w:rPr>
                <w:rFonts w:ascii="宋体"/>
                <w:vanish/>
              </w:rPr>
            </w:pPr>
          </w:p>
        </w:tc>
        <w:tc>
          <w:tcPr>
            <w:tcW w:w="0" w:type="auto"/>
            <w:gridSpan w:val="3"/>
            <w:shd w:val="clear" w:color="auto" w:fill="auto"/>
            <w:vAlign w:val="bottom"/>
          </w:tcPr>
          <w:p w14:paraId="74DD62CA" w14:textId="77777777" w:rsidR="00584EC1" w:rsidRDefault="00584EC1">
            <w:pPr>
              <w:rPr>
                <w:rFonts w:ascii="宋体"/>
                <w:vanish/>
              </w:rPr>
            </w:pPr>
          </w:p>
        </w:tc>
        <w:tc>
          <w:tcPr>
            <w:tcW w:w="0" w:type="auto"/>
            <w:gridSpan w:val="3"/>
            <w:shd w:val="clear" w:color="auto" w:fill="auto"/>
            <w:vAlign w:val="bottom"/>
          </w:tcPr>
          <w:p w14:paraId="74DD62CB" w14:textId="77777777" w:rsidR="00584EC1" w:rsidRDefault="00584EC1">
            <w:pPr>
              <w:rPr>
                <w:rFonts w:ascii="宋体"/>
                <w:vanish/>
              </w:rPr>
            </w:pPr>
          </w:p>
        </w:tc>
        <w:tc>
          <w:tcPr>
            <w:tcW w:w="0" w:type="auto"/>
            <w:gridSpan w:val="3"/>
            <w:shd w:val="clear" w:color="auto" w:fill="auto"/>
            <w:vAlign w:val="bottom"/>
          </w:tcPr>
          <w:p w14:paraId="74DD62CC" w14:textId="77777777" w:rsidR="00584EC1" w:rsidRDefault="00584EC1">
            <w:pPr>
              <w:rPr>
                <w:rFonts w:ascii="宋体"/>
                <w:vanish/>
              </w:rPr>
            </w:pPr>
          </w:p>
        </w:tc>
      </w:tr>
      <w:tr w:rsidR="00584EC1" w14:paraId="74DD62D9" w14:textId="77777777">
        <w:tc>
          <w:tcPr>
            <w:tcW w:w="0" w:type="auto"/>
            <w:gridSpan w:val="3"/>
            <w:shd w:val="clear" w:color="auto" w:fill="FFFFFF"/>
            <w:tcMar>
              <w:top w:w="40" w:type="dxa"/>
              <w:left w:w="20" w:type="dxa"/>
              <w:bottom w:w="40" w:type="dxa"/>
              <w:right w:w="20" w:type="dxa"/>
            </w:tcMar>
            <w:vAlign w:val="bottom"/>
          </w:tcPr>
          <w:p w14:paraId="74DD62CE" w14:textId="77777777" w:rsidR="00584EC1" w:rsidRDefault="00871F8D">
            <w:pPr>
              <w:textAlignment w:val="bottom"/>
            </w:pPr>
            <w:r>
              <w:rPr>
                <w:rFonts w:ascii="Arial" w:eastAsia="宋体" w:hAnsi="Arial" w:cs="Arial"/>
                <w:color w:val="000000"/>
                <w:sz w:val="12"/>
                <w:szCs w:val="12"/>
              </w:rPr>
              <w:t>Earnings per common share:</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62CF"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2D0"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62D1"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2D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2D3" w14:textId="77777777" w:rsidR="00584EC1" w:rsidRDefault="00584EC1">
            <w:pPr>
              <w:rPr>
                <w:rFonts w:ascii="宋体"/>
              </w:rPr>
            </w:pPr>
          </w:p>
        </w:tc>
        <w:tc>
          <w:tcPr>
            <w:tcW w:w="0" w:type="auto"/>
            <w:gridSpan w:val="3"/>
            <w:shd w:val="clear" w:color="auto" w:fill="auto"/>
            <w:vAlign w:val="bottom"/>
          </w:tcPr>
          <w:p w14:paraId="74DD62D4" w14:textId="77777777" w:rsidR="00584EC1" w:rsidRDefault="00584EC1">
            <w:pPr>
              <w:rPr>
                <w:rFonts w:ascii="宋体"/>
                <w:vanish/>
              </w:rPr>
            </w:pPr>
          </w:p>
        </w:tc>
        <w:tc>
          <w:tcPr>
            <w:tcW w:w="0" w:type="auto"/>
            <w:gridSpan w:val="3"/>
            <w:shd w:val="clear" w:color="auto" w:fill="auto"/>
            <w:vAlign w:val="bottom"/>
          </w:tcPr>
          <w:p w14:paraId="74DD62D5" w14:textId="77777777" w:rsidR="00584EC1" w:rsidRDefault="00584EC1">
            <w:pPr>
              <w:rPr>
                <w:rFonts w:ascii="宋体"/>
                <w:vanish/>
              </w:rPr>
            </w:pPr>
          </w:p>
        </w:tc>
        <w:tc>
          <w:tcPr>
            <w:tcW w:w="0" w:type="auto"/>
            <w:gridSpan w:val="3"/>
            <w:shd w:val="clear" w:color="auto" w:fill="auto"/>
            <w:vAlign w:val="bottom"/>
          </w:tcPr>
          <w:p w14:paraId="74DD62D6" w14:textId="77777777" w:rsidR="00584EC1" w:rsidRDefault="00584EC1">
            <w:pPr>
              <w:rPr>
                <w:rFonts w:ascii="宋体"/>
                <w:vanish/>
              </w:rPr>
            </w:pPr>
          </w:p>
        </w:tc>
        <w:tc>
          <w:tcPr>
            <w:tcW w:w="0" w:type="auto"/>
            <w:gridSpan w:val="3"/>
            <w:shd w:val="clear" w:color="auto" w:fill="auto"/>
            <w:vAlign w:val="bottom"/>
          </w:tcPr>
          <w:p w14:paraId="74DD62D7" w14:textId="77777777" w:rsidR="00584EC1" w:rsidRDefault="00584EC1">
            <w:pPr>
              <w:rPr>
                <w:rFonts w:ascii="宋体"/>
                <w:vanish/>
              </w:rPr>
            </w:pPr>
          </w:p>
        </w:tc>
        <w:tc>
          <w:tcPr>
            <w:tcW w:w="0" w:type="auto"/>
            <w:gridSpan w:val="3"/>
            <w:shd w:val="clear" w:color="auto" w:fill="auto"/>
            <w:vAlign w:val="bottom"/>
          </w:tcPr>
          <w:p w14:paraId="74DD62D8" w14:textId="77777777" w:rsidR="00584EC1" w:rsidRDefault="00584EC1">
            <w:pPr>
              <w:rPr>
                <w:rFonts w:ascii="宋体"/>
                <w:vanish/>
              </w:rPr>
            </w:pPr>
          </w:p>
        </w:tc>
      </w:tr>
      <w:tr w:rsidR="00584EC1" w14:paraId="74DD62EA" w14:textId="77777777">
        <w:tc>
          <w:tcPr>
            <w:tcW w:w="0" w:type="auto"/>
            <w:gridSpan w:val="3"/>
            <w:shd w:val="clear" w:color="auto" w:fill="CCEEFF"/>
            <w:tcMar>
              <w:top w:w="40" w:type="dxa"/>
              <w:left w:w="245" w:type="dxa"/>
              <w:bottom w:w="40" w:type="dxa"/>
              <w:right w:w="20" w:type="dxa"/>
            </w:tcMar>
            <w:vAlign w:val="bottom"/>
          </w:tcPr>
          <w:p w14:paraId="74DD62DA" w14:textId="77777777" w:rsidR="00584EC1" w:rsidRDefault="00871F8D">
            <w:pPr>
              <w:textAlignment w:val="bottom"/>
            </w:pPr>
            <w:r>
              <w:rPr>
                <w:rFonts w:ascii="Arial" w:eastAsia="宋体" w:hAnsi="Arial" w:cs="Arial"/>
                <w:color w:val="000000"/>
                <w:sz w:val="12"/>
                <w:szCs w:val="12"/>
              </w:rPr>
              <w:t>Basic</w:t>
            </w:r>
          </w:p>
        </w:tc>
        <w:tc>
          <w:tcPr>
            <w:tcW w:w="0" w:type="auto"/>
            <w:shd w:val="clear" w:color="auto" w:fill="CCEEFF"/>
            <w:tcMar>
              <w:top w:w="40" w:type="dxa"/>
              <w:left w:w="20" w:type="dxa"/>
              <w:bottom w:w="40" w:type="dxa"/>
              <w:right w:w="0" w:type="dxa"/>
            </w:tcMar>
            <w:vAlign w:val="bottom"/>
          </w:tcPr>
          <w:p w14:paraId="74DD62DB" w14:textId="77777777" w:rsidR="00584EC1" w:rsidRDefault="00871F8D">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74DD62DC" w14:textId="77777777" w:rsidR="00584EC1" w:rsidRDefault="00871F8D">
            <w:pPr>
              <w:jc w:val="right"/>
              <w:textAlignment w:val="bottom"/>
            </w:pPr>
            <w:r>
              <w:rPr>
                <w:rFonts w:ascii="Arial" w:eastAsia="宋体" w:hAnsi="Arial" w:cs="Arial"/>
                <w:b/>
                <w:bCs/>
                <w:color w:val="000000"/>
                <w:sz w:val="12"/>
                <w:szCs w:val="12"/>
              </w:rPr>
              <w:t>5.49</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62D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2DE"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62DF" w14:textId="77777777" w:rsidR="00584EC1" w:rsidRDefault="00871F8D">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74DD62E0" w14:textId="77777777" w:rsidR="00584EC1" w:rsidRDefault="00871F8D">
            <w:pPr>
              <w:jc w:val="right"/>
              <w:textAlignment w:val="bottom"/>
            </w:pPr>
            <w:r>
              <w:rPr>
                <w:rFonts w:ascii="Arial" w:eastAsia="宋体" w:hAnsi="Arial" w:cs="Arial"/>
                <w:color w:val="000000"/>
                <w:sz w:val="12"/>
                <w:szCs w:val="12"/>
              </w:rPr>
              <w:t>4.99 </w:t>
            </w:r>
          </w:p>
        </w:tc>
        <w:tc>
          <w:tcPr>
            <w:tcW w:w="0" w:type="auto"/>
            <w:shd w:val="clear" w:color="auto" w:fill="CCEEFF"/>
            <w:tcMar>
              <w:top w:w="40" w:type="dxa"/>
              <w:left w:w="0" w:type="dxa"/>
              <w:bottom w:w="40" w:type="dxa"/>
              <w:right w:w="20" w:type="dxa"/>
            </w:tcMar>
            <w:vAlign w:val="bottom"/>
          </w:tcPr>
          <w:p w14:paraId="74DD62E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2E2"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2E3" w14:textId="77777777" w:rsidR="00584EC1" w:rsidRDefault="00871F8D">
            <w:pPr>
              <w:jc w:val="right"/>
              <w:textAlignment w:val="bottom"/>
            </w:pPr>
            <w:r>
              <w:rPr>
                <w:rFonts w:ascii="Arial" w:eastAsia="宋体" w:hAnsi="Arial" w:cs="Arial"/>
                <w:color w:val="000000"/>
                <w:sz w:val="12"/>
                <w:szCs w:val="12"/>
              </w:rPr>
              <w:t>10 </w:t>
            </w:r>
          </w:p>
        </w:tc>
        <w:tc>
          <w:tcPr>
            <w:tcW w:w="0" w:type="auto"/>
            <w:shd w:val="clear" w:color="auto" w:fill="CCEEFF"/>
            <w:tcMar>
              <w:top w:w="40" w:type="dxa"/>
              <w:left w:w="0" w:type="dxa"/>
              <w:bottom w:w="40" w:type="dxa"/>
              <w:right w:w="20" w:type="dxa"/>
            </w:tcMar>
            <w:vAlign w:val="bottom"/>
          </w:tcPr>
          <w:p w14:paraId="74DD62E4" w14:textId="77777777" w:rsidR="00584EC1" w:rsidRDefault="00584EC1">
            <w:pPr>
              <w:jc w:val="right"/>
              <w:rPr>
                <w:rFonts w:ascii="宋体"/>
              </w:rPr>
            </w:pPr>
          </w:p>
        </w:tc>
        <w:tc>
          <w:tcPr>
            <w:tcW w:w="0" w:type="auto"/>
            <w:gridSpan w:val="3"/>
            <w:shd w:val="clear" w:color="auto" w:fill="auto"/>
            <w:vAlign w:val="bottom"/>
          </w:tcPr>
          <w:p w14:paraId="74DD62E5" w14:textId="77777777" w:rsidR="00584EC1" w:rsidRDefault="00584EC1">
            <w:pPr>
              <w:rPr>
                <w:rFonts w:ascii="宋体"/>
                <w:vanish/>
              </w:rPr>
            </w:pPr>
          </w:p>
        </w:tc>
        <w:tc>
          <w:tcPr>
            <w:tcW w:w="0" w:type="auto"/>
            <w:gridSpan w:val="3"/>
            <w:shd w:val="clear" w:color="auto" w:fill="auto"/>
            <w:vAlign w:val="bottom"/>
          </w:tcPr>
          <w:p w14:paraId="74DD62E6" w14:textId="77777777" w:rsidR="00584EC1" w:rsidRDefault="00584EC1">
            <w:pPr>
              <w:rPr>
                <w:rFonts w:ascii="宋体"/>
                <w:vanish/>
              </w:rPr>
            </w:pPr>
          </w:p>
        </w:tc>
        <w:tc>
          <w:tcPr>
            <w:tcW w:w="0" w:type="auto"/>
            <w:gridSpan w:val="3"/>
            <w:shd w:val="clear" w:color="auto" w:fill="auto"/>
            <w:vAlign w:val="bottom"/>
          </w:tcPr>
          <w:p w14:paraId="74DD62E7" w14:textId="77777777" w:rsidR="00584EC1" w:rsidRDefault="00584EC1">
            <w:pPr>
              <w:rPr>
                <w:rFonts w:ascii="宋体"/>
                <w:vanish/>
              </w:rPr>
            </w:pPr>
          </w:p>
        </w:tc>
        <w:tc>
          <w:tcPr>
            <w:tcW w:w="0" w:type="auto"/>
            <w:gridSpan w:val="3"/>
            <w:shd w:val="clear" w:color="auto" w:fill="auto"/>
            <w:vAlign w:val="bottom"/>
          </w:tcPr>
          <w:p w14:paraId="74DD62E8" w14:textId="77777777" w:rsidR="00584EC1" w:rsidRDefault="00584EC1">
            <w:pPr>
              <w:rPr>
                <w:rFonts w:ascii="宋体"/>
                <w:vanish/>
              </w:rPr>
            </w:pPr>
          </w:p>
        </w:tc>
        <w:tc>
          <w:tcPr>
            <w:tcW w:w="0" w:type="auto"/>
            <w:gridSpan w:val="3"/>
            <w:shd w:val="clear" w:color="auto" w:fill="auto"/>
            <w:vAlign w:val="bottom"/>
          </w:tcPr>
          <w:p w14:paraId="74DD62E9" w14:textId="77777777" w:rsidR="00584EC1" w:rsidRDefault="00584EC1">
            <w:pPr>
              <w:rPr>
                <w:rFonts w:ascii="宋体"/>
                <w:vanish/>
              </w:rPr>
            </w:pPr>
          </w:p>
        </w:tc>
      </w:tr>
      <w:tr w:rsidR="00584EC1" w14:paraId="74DD62F9" w14:textId="77777777">
        <w:tc>
          <w:tcPr>
            <w:tcW w:w="0" w:type="auto"/>
            <w:gridSpan w:val="3"/>
            <w:shd w:val="clear" w:color="auto" w:fill="FFFFFF"/>
            <w:tcMar>
              <w:top w:w="40" w:type="dxa"/>
              <w:left w:w="245" w:type="dxa"/>
              <w:bottom w:w="40" w:type="dxa"/>
              <w:right w:w="20" w:type="dxa"/>
            </w:tcMar>
            <w:vAlign w:val="bottom"/>
          </w:tcPr>
          <w:p w14:paraId="74DD62EB" w14:textId="77777777" w:rsidR="00584EC1" w:rsidRDefault="00871F8D">
            <w:pPr>
              <w:textAlignment w:val="bottom"/>
            </w:pPr>
            <w:r>
              <w:rPr>
                <w:rFonts w:ascii="Arial" w:eastAsia="宋体" w:hAnsi="Arial" w:cs="Arial"/>
                <w:color w:val="000000"/>
                <w:sz w:val="12"/>
                <w:szCs w:val="12"/>
              </w:rPr>
              <w:t>Diluted</w:t>
            </w:r>
          </w:p>
        </w:tc>
        <w:tc>
          <w:tcPr>
            <w:tcW w:w="0" w:type="auto"/>
            <w:gridSpan w:val="2"/>
            <w:shd w:val="clear" w:color="auto" w:fill="FFFFFF"/>
            <w:tcMar>
              <w:top w:w="40" w:type="dxa"/>
              <w:left w:w="20" w:type="dxa"/>
              <w:bottom w:w="40" w:type="dxa"/>
              <w:right w:w="0" w:type="dxa"/>
            </w:tcMar>
            <w:vAlign w:val="bottom"/>
          </w:tcPr>
          <w:p w14:paraId="74DD62EC" w14:textId="77777777" w:rsidR="00584EC1" w:rsidRDefault="00871F8D">
            <w:pPr>
              <w:jc w:val="right"/>
              <w:textAlignment w:val="bottom"/>
            </w:pPr>
            <w:r>
              <w:rPr>
                <w:rFonts w:ascii="Arial" w:eastAsia="宋体" w:hAnsi="Arial" w:cs="Arial"/>
                <w:b/>
                <w:bCs/>
                <w:color w:val="000000"/>
                <w:sz w:val="12"/>
                <w:szCs w:val="12"/>
              </w:rPr>
              <w:t>5.40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62E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2E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2EF" w14:textId="77777777" w:rsidR="00584EC1" w:rsidRDefault="00871F8D">
            <w:pPr>
              <w:jc w:val="right"/>
              <w:textAlignment w:val="bottom"/>
            </w:pPr>
            <w:r>
              <w:rPr>
                <w:rFonts w:ascii="Arial" w:eastAsia="宋体" w:hAnsi="Arial" w:cs="Arial"/>
                <w:color w:val="000000"/>
                <w:sz w:val="12"/>
                <w:szCs w:val="12"/>
              </w:rPr>
              <w:t>4.93 </w:t>
            </w:r>
          </w:p>
        </w:tc>
        <w:tc>
          <w:tcPr>
            <w:tcW w:w="0" w:type="auto"/>
            <w:shd w:val="clear" w:color="auto" w:fill="FFFFFF"/>
            <w:tcMar>
              <w:top w:w="40" w:type="dxa"/>
              <w:left w:w="0" w:type="dxa"/>
              <w:bottom w:w="40" w:type="dxa"/>
              <w:right w:w="20" w:type="dxa"/>
            </w:tcMar>
            <w:vAlign w:val="bottom"/>
          </w:tcPr>
          <w:p w14:paraId="74DD62F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2F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2F2" w14:textId="77777777" w:rsidR="00584EC1" w:rsidRDefault="00871F8D">
            <w:pPr>
              <w:jc w:val="right"/>
              <w:textAlignment w:val="bottom"/>
            </w:pPr>
            <w:r>
              <w:rPr>
                <w:rFonts w:ascii="Arial" w:eastAsia="宋体" w:hAnsi="Arial" w:cs="Arial"/>
                <w:color w:val="000000"/>
                <w:sz w:val="12"/>
                <w:szCs w:val="12"/>
              </w:rPr>
              <w:t>10 </w:t>
            </w:r>
          </w:p>
        </w:tc>
        <w:tc>
          <w:tcPr>
            <w:tcW w:w="0" w:type="auto"/>
            <w:shd w:val="clear" w:color="auto" w:fill="FFFFFF"/>
            <w:tcMar>
              <w:top w:w="40" w:type="dxa"/>
              <w:left w:w="0" w:type="dxa"/>
              <w:bottom w:w="40" w:type="dxa"/>
              <w:right w:w="20" w:type="dxa"/>
            </w:tcMar>
            <w:vAlign w:val="bottom"/>
          </w:tcPr>
          <w:p w14:paraId="74DD62F3" w14:textId="77777777" w:rsidR="00584EC1" w:rsidRDefault="00584EC1">
            <w:pPr>
              <w:jc w:val="right"/>
              <w:rPr>
                <w:rFonts w:ascii="宋体"/>
              </w:rPr>
            </w:pPr>
          </w:p>
        </w:tc>
        <w:tc>
          <w:tcPr>
            <w:tcW w:w="0" w:type="auto"/>
            <w:gridSpan w:val="3"/>
            <w:shd w:val="clear" w:color="auto" w:fill="auto"/>
            <w:vAlign w:val="bottom"/>
          </w:tcPr>
          <w:p w14:paraId="74DD62F4" w14:textId="77777777" w:rsidR="00584EC1" w:rsidRDefault="00584EC1">
            <w:pPr>
              <w:rPr>
                <w:rFonts w:ascii="宋体"/>
                <w:vanish/>
              </w:rPr>
            </w:pPr>
          </w:p>
        </w:tc>
        <w:tc>
          <w:tcPr>
            <w:tcW w:w="0" w:type="auto"/>
            <w:gridSpan w:val="3"/>
            <w:shd w:val="clear" w:color="auto" w:fill="auto"/>
            <w:vAlign w:val="bottom"/>
          </w:tcPr>
          <w:p w14:paraId="74DD62F5" w14:textId="77777777" w:rsidR="00584EC1" w:rsidRDefault="00584EC1">
            <w:pPr>
              <w:rPr>
                <w:rFonts w:ascii="宋体"/>
                <w:vanish/>
              </w:rPr>
            </w:pPr>
          </w:p>
        </w:tc>
        <w:tc>
          <w:tcPr>
            <w:tcW w:w="0" w:type="auto"/>
            <w:gridSpan w:val="3"/>
            <w:shd w:val="clear" w:color="auto" w:fill="auto"/>
            <w:vAlign w:val="bottom"/>
          </w:tcPr>
          <w:p w14:paraId="74DD62F6" w14:textId="77777777" w:rsidR="00584EC1" w:rsidRDefault="00584EC1">
            <w:pPr>
              <w:rPr>
                <w:rFonts w:ascii="宋体"/>
                <w:vanish/>
              </w:rPr>
            </w:pPr>
          </w:p>
        </w:tc>
        <w:tc>
          <w:tcPr>
            <w:tcW w:w="0" w:type="auto"/>
            <w:gridSpan w:val="3"/>
            <w:shd w:val="clear" w:color="auto" w:fill="auto"/>
            <w:vAlign w:val="bottom"/>
          </w:tcPr>
          <w:p w14:paraId="74DD62F7" w14:textId="77777777" w:rsidR="00584EC1" w:rsidRDefault="00584EC1">
            <w:pPr>
              <w:rPr>
                <w:rFonts w:ascii="宋体"/>
                <w:vanish/>
              </w:rPr>
            </w:pPr>
          </w:p>
        </w:tc>
        <w:tc>
          <w:tcPr>
            <w:tcW w:w="0" w:type="auto"/>
            <w:gridSpan w:val="3"/>
            <w:shd w:val="clear" w:color="auto" w:fill="auto"/>
            <w:vAlign w:val="bottom"/>
          </w:tcPr>
          <w:p w14:paraId="74DD62F8" w14:textId="77777777" w:rsidR="00584EC1" w:rsidRDefault="00584EC1">
            <w:pPr>
              <w:rPr>
                <w:rFonts w:ascii="宋体"/>
                <w:vanish/>
              </w:rPr>
            </w:pPr>
          </w:p>
        </w:tc>
      </w:tr>
      <w:tr w:rsidR="00584EC1" w14:paraId="74DD6305" w14:textId="77777777">
        <w:tc>
          <w:tcPr>
            <w:tcW w:w="0" w:type="auto"/>
            <w:gridSpan w:val="3"/>
            <w:shd w:val="clear" w:color="auto" w:fill="CCEEFF"/>
            <w:tcMar>
              <w:top w:w="40" w:type="dxa"/>
              <w:left w:w="20" w:type="dxa"/>
              <w:bottom w:w="40" w:type="dxa"/>
              <w:right w:w="20" w:type="dxa"/>
            </w:tcMar>
            <w:vAlign w:val="bottom"/>
          </w:tcPr>
          <w:p w14:paraId="74DD62FA" w14:textId="77777777" w:rsidR="00584EC1" w:rsidRDefault="00871F8D">
            <w:pPr>
              <w:textAlignment w:val="bottom"/>
            </w:pPr>
            <w:r>
              <w:rPr>
                <w:rFonts w:ascii="Arial" w:eastAsia="宋体" w:hAnsi="Arial" w:cs="Arial"/>
                <w:color w:val="000000"/>
                <w:sz w:val="12"/>
                <w:szCs w:val="12"/>
              </w:rPr>
              <w:t>Ave</w:t>
            </w:r>
            <w:r>
              <w:rPr>
                <w:rFonts w:ascii="Arial" w:eastAsia="宋体" w:hAnsi="Arial" w:cs="Arial"/>
                <w:color w:val="000000"/>
                <w:sz w:val="12"/>
                <w:szCs w:val="12"/>
              </w:rPr>
              <w:t>rage common shares outstanding (in thousands):</w:t>
            </w:r>
          </w:p>
        </w:tc>
        <w:tc>
          <w:tcPr>
            <w:tcW w:w="0" w:type="auto"/>
            <w:gridSpan w:val="3"/>
            <w:shd w:val="clear" w:color="auto" w:fill="CCEEFF"/>
            <w:tcMar>
              <w:top w:w="0" w:type="dxa"/>
              <w:left w:w="20" w:type="dxa"/>
              <w:bottom w:w="0" w:type="dxa"/>
              <w:right w:w="20" w:type="dxa"/>
            </w:tcMar>
            <w:vAlign w:val="bottom"/>
          </w:tcPr>
          <w:p w14:paraId="74DD62FB"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62FC"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62FD"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62FE"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62FF" w14:textId="77777777" w:rsidR="00584EC1" w:rsidRDefault="00584EC1">
            <w:pPr>
              <w:rPr>
                <w:rFonts w:ascii="宋体"/>
              </w:rPr>
            </w:pPr>
          </w:p>
        </w:tc>
        <w:tc>
          <w:tcPr>
            <w:tcW w:w="0" w:type="auto"/>
            <w:gridSpan w:val="3"/>
            <w:shd w:val="clear" w:color="auto" w:fill="auto"/>
            <w:vAlign w:val="bottom"/>
          </w:tcPr>
          <w:p w14:paraId="74DD6300" w14:textId="77777777" w:rsidR="00584EC1" w:rsidRDefault="00584EC1">
            <w:pPr>
              <w:rPr>
                <w:rFonts w:ascii="宋体"/>
                <w:vanish/>
              </w:rPr>
            </w:pPr>
          </w:p>
        </w:tc>
        <w:tc>
          <w:tcPr>
            <w:tcW w:w="0" w:type="auto"/>
            <w:gridSpan w:val="3"/>
            <w:shd w:val="clear" w:color="auto" w:fill="auto"/>
            <w:vAlign w:val="bottom"/>
          </w:tcPr>
          <w:p w14:paraId="74DD6301" w14:textId="77777777" w:rsidR="00584EC1" w:rsidRDefault="00584EC1">
            <w:pPr>
              <w:rPr>
                <w:rFonts w:ascii="宋体"/>
                <w:vanish/>
              </w:rPr>
            </w:pPr>
          </w:p>
        </w:tc>
        <w:tc>
          <w:tcPr>
            <w:tcW w:w="0" w:type="auto"/>
            <w:gridSpan w:val="3"/>
            <w:shd w:val="clear" w:color="auto" w:fill="auto"/>
            <w:vAlign w:val="bottom"/>
          </w:tcPr>
          <w:p w14:paraId="74DD6302" w14:textId="77777777" w:rsidR="00584EC1" w:rsidRDefault="00584EC1">
            <w:pPr>
              <w:rPr>
                <w:rFonts w:ascii="宋体"/>
                <w:vanish/>
              </w:rPr>
            </w:pPr>
          </w:p>
        </w:tc>
        <w:tc>
          <w:tcPr>
            <w:tcW w:w="0" w:type="auto"/>
            <w:gridSpan w:val="3"/>
            <w:shd w:val="clear" w:color="auto" w:fill="auto"/>
            <w:vAlign w:val="bottom"/>
          </w:tcPr>
          <w:p w14:paraId="74DD6303" w14:textId="77777777" w:rsidR="00584EC1" w:rsidRDefault="00584EC1">
            <w:pPr>
              <w:rPr>
                <w:rFonts w:ascii="宋体"/>
                <w:vanish/>
              </w:rPr>
            </w:pPr>
          </w:p>
        </w:tc>
        <w:tc>
          <w:tcPr>
            <w:tcW w:w="0" w:type="auto"/>
            <w:gridSpan w:val="3"/>
            <w:shd w:val="clear" w:color="auto" w:fill="auto"/>
            <w:vAlign w:val="bottom"/>
          </w:tcPr>
          <w:p w14:paraId="74DD6304" w14:textId="77777777" w:rsidR="00584EC1" w:rsidRDefault="00584EC1">
            <w:pPr>
              <w:rPr>
                <w:rFonts w:ascii="宋体"/>
                <w:vanish/>
              </w:rPr>
            </w:pPr>
          </w:p>
        </w:tc>
      </w:tr>
      <w:tr w:rsidR="00584EC1" w14:paraId="74DD6314" w14:textId="77777777">
        <w:tc>
          <w:tcPr>
            <w:tcW w:w="0" w:type="auto"/>
            <w:gridSpan w:val="3"/>
            <w:shd w:val="clear" w:color="auto" w:fill="FFFFFF"/>
            <w:tcMar>
              <w:top w:w="40" w:type="dxa"/>
              <w:left w:w="245" w:type="dxa"/>
              <w:bottom w:w="40" w:type="dxa"/>
              <w:right w:w="20" w:type="dxa"/>
            </w:tcMar>
            <w:vAlign w:val="bottom"/>
          </w:tcPr>
          <w:p w14:paraId="74DD6306" w14:textId="77777777" w:rsidR="00584EC1" w:rsidRDefault="00871F8D">
            <w:pPr>
              <w:textAlignment w:val="bottom"/>
            </w:pPr>
            <w:r>
              <w:rPr>
                <w:rFonts w:ascii="Arial" w:eastAsia="宋体" w:hAnsi="Arial" w:cs="Arial"/>
                <w:color w:val="000000"/>
                <w:sz w:val="12"/>
                <w:szCs w:val="12"/>
              </w:rPr>
              <w:t>Basic</w:t>
            </w:r>
          </w:p>
        </w:tc>
        <w:tc>
          <w:tcPr>
            <w:tcW w:w="0" w:type="auto"/>
            <w:gridSpan w:val="2"/>
            <w:shd w:val="clear" w:color="auto" w:fill="FFFFFF"/>
            <w:tcMar>
              <w:top w:w="40" w:type="dxa"/>
              <w:left w:w="20" w:type="dxa"/>
              <w:bottom w:w="40" w:type="dxa"/>
              <w:right w:w="0" w:type="dxa"/>
            </w:tcMar>
            <w:vAlign w:val="bottom"/>
          </w:tcPr>
          <w:p w14:paraId="74DD6307" w14:textId="77777777" w:rsidR="00584EC1" w:rsidRDefault="00871F8D">
            <w:pPr>
              <w:jc w:val="right"/>
              <w:textAlignment w:val="bottom"/>
            </w:pPr>
            <w:r>
              <w:rPr>
                <w:rFonts w:ascii="Arial" w:eastAsia="宋体" w:hAnsi="Arial" w:cs="Arial"/>
                <w:b/>
                <w:bCs/>
                <w:color w:val="000000"/>
                <w:sz w:val="12"/>
                <w:szCs w:val="12"/>
              </w:rPr>
              <w:t>348,106</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630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30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30A" w14:textId="77777777" w:rsidR="00584EC1" w:rsidRDefault="00871F8D">
            <w:pPr>
              <w:jc w:val="right"/>
              <w:textAlignment w:val="bottom"/>
            </w:pPr>
            <w:r>
              <w:rPr>
                <w:rFonts w:ascii="Arial" w:eastAsia="宋体" w:hAnsi="Arial" w:cs="Arial"/>
                <w:color w:val="000000"/>
                <w:sz w:val="12"/>
                <w:szCs w:val="12"/>
              </w:rPr>
              <w:t>352,829 </w:t>
            </w:r>
          </w:p>
        </w:tc>
        <w:tc>
          <w:tcPr>
            <w:tcW w:w="0" w:type="auto"/>
            <w:shd w:val="clear" w:color="auto" w:fill="FFFFFF"/>
            <w:tcMar>
              <w:top w:w="40" w:type="dxa"/>
              <w:left w:w="0" w:type="dxa"/>
              <w:bottom w:w="40" w:type="dxa"/>
              <w:right w:w="20" w:type="dxa"/>
            </w:tcMar>
            <w:vAlign w:val="bottom"/>
          </w:tcPr>
          <w:p w14:paraId="74DD630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30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30D" w14:textId="77777777" w:rsidR="00584EC1" w:rsidRDefault="00871F8D">
            <w:pPr>
              <w:jc w:val="right"/>
              <w:textAlignment w:val="bottom"/>
            </w:pPr>
            <w:r>
              <w:rPr>
                <w:rFonts w:ascii="Arial" w:eastAsia="宋体" w:hAnsi="Arial" w:cs="Arial"/>
                <w:color w:val="000000"/>
                <w:sz w:val="12"/>
                <w:szCs w:val="12"/>
              </w:rPr>
              <w:t>(1)</w:t>
            </w:r>
          </w:p>
        </w:tc>
        <w:tc>
          <w:tcPr>
            <w:tcW w:w="0" w:type="auto"/>
            <w:shd w:val="clear" w:color="auto" w:fill="FFFFFF"/>
            <w:tcMar>
              <w:top w:w="40" w:type="dxa"/>
              <w:left w:w="0" w:type="dxa"/>
              <w:bottom w:w="40" w:type="dxa"/>
              <w:right w:w="20" w:type="dxa"/>
            </w:tcMar>
            <w:vAlign w:val="bottom"/>
          </w:tcPr>
          <w:p w14:paraId="74DD630E" w14:textId="77777777" w:rsidR="00584EC1" w:rsidRDefault="00584EC1">
            <w:pPr>
              <w:jc w:val="right"/>
              <w:rPr>
                <w:rFonts w:ascii="宋体"/>
              </w:rPr>
            </w:pPr>
          </w:p>
        </w:tc>
        <w:tc>
          <w:tcPr>
            <w:tcW w:w="0" w:type="auto"/>
            <w:gridSpan w:val="3"/>
            <w:shd w:val="clear" w:color="auto" w:fill="auto"/>
            <w:vAlign w:val="bottom"/>
          </w:tcPr>
          <w:p w14:paraId="74DD630F" w14:textId="77777777" w:rsidR="00584EC1" w:rsidRDefault="00584EC1">
            <w:pPr>
              <w:rPr>
                <w:rFonts w:ascii="宋体"/>
                <w:vanish/>
              </w:rPr>
            </w:pPr>
          </w:p>
        </w:tc>
        <w:tc>
          <w:tcPr>
            <w:tcW w:w="0" w:type="auto"/>
            <w:gridSpan w:val="3"/>
            <w:shd w:val="clear" w:color="auto" w:fill="auto"/>
            <w:vAlign w:val="bottom"/>
          </w:tcPr>
          <w:p w14:paraId="74DD6310" w14:textId="77777777" w:rsidR="00584EC1" w:rsidRDefault="00584EC1">
            <w:pPr>
              <w:rPr>
                <w:rFonts w:ascii="宋体"/>
                <w:vanish/>
              </w:rPr>
            </w:pPr>
          </w:p>
        </w:tc>
        <w:tc>
          <w:tcPr>
            <w:tcW w:w="0" w:type="auto"/>
            <w:gridSpan w:val="3"/>
            <w:shd w:val="clear" w:color="auto" w:fill="auto"/>
            <w:vAlign w:val="bottom"/>
          </w:tcPr>
          <w:p w14:paraId="74DD6311" w14:textId="77777777" w:rsidR="00584EC1" w:rsidRDefault="00584EC1">
            <w:pPr>
              <w:rPr>
                <w:rFonts w:ascii="宋体"/>
                <w:vanish/>
              </w:rPr>
            </w:pPr>
          </w:p>
        </w:tc>
        <w:tc>
          <w:tcPr>
            <w:tcW w:w="0" w:type="auto"/>
            <w:gridSpan w:val="3"/>
            <w:shd w:val="clear" w:color="auto" w:fill="auto"/>
            <w:vAlign w:val="bottom"/>
          </w:tcPr>
          <w:p w14:paraId="74DD6312" w14:textId="77777777" w:rsidR="00584EC1" w:rsidRDefault="00584EC1">
            <w:pPr>
              <w:rPr>
                <w:rFonts w:ascii="宋体"/>
                <w:vanish/>
              </w:rPr>
            </w:pPr>
          </w:p>
        </w:tc>
        <w:tc>
          <w:tcPr>
            <w:tcW w:w="0" w:type="auto"/>
            <w:gridSpan w:val="3"/>
            <w:shd w:val="clear" w:color="auto" w:fill="auto"/>
            <w:vAlign w:val="bottom"/>
          </w:tcPr>
          <w:p w14:paraId="74DD6313" w14:textId="77777777" w:rsidR="00584EC1" w:rsidRDefault="00584EC1">
            <w:pPr>
              <w:rPr>
                <w:rFonts w:ascii="宋体"/>
                <w:vanish/>
              </w:rPr>
            </w:pPr>
          </w:p>
        </w:tc>
      </w:tr>
      <w:tr w:rsidR="00584EC1" w14:paraId="74DD6323" w14:textId="77777777">
        <w:tc>
          <w:tcPr>
            <w:tcW w:w="0" w:type="auto"/>
            <w:gridSpan w:val="3"/>
            <w:shd w:val="clear" w:color="auto" w:fill="CCEEFF"/>
            <w:tcMar>
              <w:top w:w="40" w:type="dxa"/>
              <w:left w:w="245" w:type="dxa"/>
              <w:bottom w:w="40" w:type="dxa"/>
              <w:right w:w="20" w:type="dxa"/>
            </w:tcMar>
            <w:vAlign w:val="bottom"/>
          </w:tcPr>
          <w:p w14:paraId="74DD6315" w14:textId="77777777" w:rsidR="00584EC1" w:rsidRDefault="00871F8D">
            <w:pPr>
              <w:textAlignment w:val="bottom"/>
            </w:pPr>
            <w:r>
              <w:rPr>
                <w:rFonts w:ascii="Arial" w:eastAsia="宋体" w:hAnsi="Arial" w:cs="Arial"/>
                <w:color w:val="000000"/>
                <w:sz w:val="12"/>
                <w:szCs w:val="12"/>
              </w:rPr>
              <w:t>Diluted</w:t>
            </w:r>
          </w:p>
        </w:tc>
        <w:tc>
          <w:tcPr>
            <w:tcW w:w="0" w:type="auto"/>
            <w:gridSpan w:val="2"/>
            <w:shd w:val="clear" w:color="auto" w:fill="CCEEFF"/>
            <w:tcMar>
              <w:top w:w="40" w:type="dxa"/>
              <w:left w:w="20" w:type="dxa"/>
              <w:bottom w:w="40" w:type="dxa"/>
              <w:right w:w="0" w:type="dxa"/>
            </w:tcMar>
            <w:vAlign w:val="bottom"/>
          </w:tcPr>
          <w:p w14:paraId="74DD6316" w14:textId="77777777" w:rsidR="00584EC1" w:rsidRDefault="00871F8D">
            <w:pPr>
              <w:jc w:val="right"/>
              <w:textAlignment w:val="bottom"/>
            </w:pPr>
            <w:r>
              <w:rPr>
                <w:rFonts w:ascii="Arial" w:eastAsia="宋体" w:hAnsi="Arial" w:cs="Arial"/>
                <w:b/>
                <w:bCs/>
                <w:color w:val="000000"/>
                <w:sz w:val="12"/>
                <w:szCs w:val="12"/>
              </w:rPr>
              <w:t>353,376</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631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318"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319" w14:textId="77777777" w:rsidR="00584EC1" w:rsidRDefault="00871F8D">
            <w:pPr>
              <w:jc w:val="right"/>
              <w:textAlignment w:val="bottom"/>
            </w:pPr>
            <w:r>
              <w:rPr>
                <w:rFonts w:ascii="Arial" w:eastAsia="宋体" w:hAnsi="Arial" w:cs="Arial"/>
                <w:color w:val="000000"/>
                <w:sz w:val="12"/>
                <w:szCs w:val="12"/>
              </w:rPr>
              <w:t>356,971 </w:t>
            </w:r>
          </w:p>
        </w:tc>
        <w:tc>
          <w:tcPr>
            <w:tcW w:w="0" w:type="auto"/>
            <w:shd w:val="clear" w:color="auto" w:fill="CCEEFF"/>
            <w:tcMar>
              <w:top w:w="40" w:type="dxa"/>
              <w:left w:w="0" w:type="dxa"/>
              <w:bottom w:w="40" w:type="dxa"/>
              <w:right w:w="20" w:type="dxa"/>
            </w:tcMar>
            <w:vAlign w:val="bottom"/>
          </w:tcPr>
          <w:p w14:paraId="74DD631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31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31C" w14:textId="77777777" w:rsidR="00584EC1" w:rsidRDefault="00871F8D">
            <w:pPr>
              <w:jc w:val="right"/>
              <w:textAlignment w:val="bottom"/>
            </w:pPr>
            <w:r>
              <w:rPr>
                <w:rFonts w:ascii="Arial" w:eastAsia="宋体" w:hAnsi="Arial" w:cs="Arial"/>
                <w:color w:val="000000"/>
                <w:sz w:val="12"/>
                <w:szCs w:val="12"/>
              </w:rPr>
              <w:t>(1)</w:t>
            </w:r>
          </w:p>
        </w:tc>
        <w:tc>
          <w:tcPr>
            <w:tcW w:w="0" w:type="auto"/>
            <w:shd w:val="clear" w:color="auto" w:fill="CCEEFF"/>
            <w:tcMar>
              <w:top w:w="40" w:type="dxa"/>
              <w:left w:w="0" w:type="dxa"/>
              <w:bottom w:w="40" w:type="dxa"/>
              <w:right w:w="20" w:type="dxa"/>
            </w:tcMar>
            <w:vAlign w:val="bottom"/>
          </w:tcPr>
          <w:p w14:paraId="74DD631D" w14:textId="77777777" w:rsidR="00584EC1" w:rsidRDefault="00584EC1">
            <w:pPr>
              <w:jc w:val="right"/>
              <w:rPr>
                <w:rFonts w:ascii="宋体"/>
              </w:rPr>
            </w:pPr>
          </w:p>
        </w:tc>
        <w:tc>
          <w:tcPr>
            <w:tcW w:w="0" w:type="auto"/>
            <w:gridSpan w:val="3"/>
            <w:shd w:val="clear" w:color="auto" w:fill="auto"/>
            <w:vAlign w:val="bottom"/>
          </w:tcPr>
          <w:p w14:paraId="74DD631E" w14:textId="77777777" w:rsidR="00584EC1" w:rsidRDefault="00584EC1">
            <w:pPr>
              <w:rPr>
                <w:rFonts w:ascii="宋体"/>
                <w:vanish/>
              </w:rPr>
            </w:pPr>
          </w:p>
        </w:tc>
        <w:tc>
          <w:tcPr>
            <w:tcW w:w="0" w:type="auto"/>
            <w:gridSpan w:val="3"/>
            <w:shd w:val="clear" w:color="auto" w:fill="auto"/>
            <w:vAlign w:val="bottom"/>
          </w:tcPr>
          <w:p w14:paraId="74DD631F" w14:textId="77777777" w:rsidR="00584EC1" w:rsidRDefault="00584EC1">
            <w:pPr>
              <w:rPr>
                <w:rFonts w:ascii="宋体"/>
                <w:vanish/>
              </w:rPr>
            </w:pPr>
          </w:p>
        </w:tc>
        <w:tc>
          <w:tcPr>
            <w:tcW w:w="0" w:type="auto"/>
            <w:gridSpan w:val="3"/>
            <w:shd w:val="clear" w:color="auto" w:fill="auto"/>
            <w:vAlign w:val="bottom"/>
          </w:tcPr>
          <w:p w14:paraId="74DD6320" w14:textId="77777777" w:rsidR="00584EC1" w:rsidRDefault="00584EC1">
            <w:pPr>
              <w:rPr>
                <w:rFonts w:ascii="宋体"/>
                <w:vanish/>
              </w:rPr>
            </w:pPr>
          </w:p>
        </w:tc>
        <w:tc>
          <w:tcPr>
            <w:tcW w:w="0" w:type="auto"/>
            <w:gridSpan w:val="3"/>
            <w:shd w:val="clear" w:color="auto" w:fill="auto"/>
            <w:vAlign w:val="bottom"/>
          </w:tcPr>
          <w:p w14:paraId="74DD6321" w14:textId="77777777" w:rsidR="00584EC1" w:rsidRDefault="00584EC1">
            <w:pPr>
              <w:rPr>
                <w:rFonts w:ascii="宋体"/>
                <w:vanish/>
              </w:rPr>
            </w:pPr>
          </w:p>
        </w:tc>
        <w:tc>
          <w:tcPr>
            <w:tcW w:w="0" w:type="auto"/>
            <w:gridSpan w:val="3"/>
            <w:shd w:val="clear" w:color="auto" w:fill="auto"/>
            <w:vAlign w:val="bottom"/>
          </w:tcPr>
          <w:p w14:paraId="74DD6322" w14:textId="77777777" w:rsidR="00584EC1" w:rsidRDefault="00584EC1">
            <w:pPr>
              <w:rPr>
                <w:rFonts w:ascii="宋体"/>
                <w:vanish/>
              </w:rPr>
            </w:pPr>
          </w:p>
        </w:tc>
      </w:tr>
      <w:tr w:rsidR="00584EC1" w14:paraId="74DD6334" w14:textId="77777777">
        <w:tc>
          <w:tcPr>
            <w:tcW w:w="0" w:type="auto"/>
            <w:gridSpan w:val="3"/>
            <w:shd w:val="clear" w:color="auto" w:fill="FFFFFF"/>
            <w:tcMar>
              <w:top w:w="40" w:type="dxa"/>
              <w:left w:w="20" w:type="dxa"/>
              <w:bottom w:w="40" w:type="dxa"/>
              <w:right w:w="20" w:type="dxa"/>
            </w:tcMar>
            <w:vAlign w:val="bottom"/>
          </w:tcPr>
          <w:p w14:paraId="74DD6324" w14:textId="77777777" w:rsidR="00584EC1" w:rsidRDefault="00871F8D">
            <w:pPr>
              <w:textAlignment w:val="bottom"/>
            </w:pPr>
            <w:r>
              <w:rPr>
                <w:rFonts w:ascii="Arial" w:eastAsia="宋体" w:hAnsi="Arial" w:cs="Arial"/>
                <w:color w:val="000000"/>
                <w:sz w:val="12"/>
                <w:szCs w:val="12"/>
              </w:rPr>
              <w:t>Cas</w:t>
            </w:r>
            <w:r>
              <w:rPr>
                <w:rFonts w:ascii="Arial" w:eastAsia="宋体" w:hAnsi="Arial" w:cs="Arial"/>
                <w:color w:val="000000"/>
                <w:sz w:val="12"/>
                <w:szCs w:val="12"/>
              </w:rPr>
              <w:t>h dividends declared per common share</w:t>
            </w:r>
          </w:p>
        </w:tc>
        <w:tc>
          <w:tcPr>
            <w:tcW w:w="0" w:type="auto"/>
            <w:shd w:val="clear" w:color="auto" w:fill="FFFFFF"/>
            <w:tcMar>
              <w:top w:w="40" w:type="dxa"/>
              <w:left w:w="20" w:type="dxa"/>
              <w:bottom w:w="40" w:type="dxa"/>
              <w:right w:w="0" w:type="dxa"/>
            </w:tcMar>
            <w:vAlign w:val="bottom"/>
          </w:tcPr>
          <w:p w14:paraId="74DD6325" w14:textId="77777777" w:rsidR="00584EC1" w:rsidRDefault="00871F8D">
            <w:pPr>
              <w:textAlignment w:val="bottom"/>
            </w:pPr>
            <w:r>
              <w:rPr>
                <w:rFonts w:ascii="Arial" w:eastAsia="宋体" w:hAnsi="Arial" w:cs="Arial"/>
                <w:b/>
                <w:bCs/>
                <w:color w:val="000000"/>
                <w:sz w:val="12"/>
                <w:szCs w:val="12"/>
              </w:rPr>
              <w:t>$</w:t>
            </w:r>
          </w:p>
        </w:tc>
        <w:tc>
          <w:tcPr>
            <w:tcW w:w="0" w:type="auto"/>
            <w:shd w:val="clear" w:color="auto" w:fill="FFFFFF"/>
            <w:tcMar>
              <w:top w:w="40" w:type="dxa"/>
              <w:left w:w="0" w:type="dxa"/>
              <w:bottom w:w="40" w:type="dxa"/>
              <w:right w:w="0" w:type="dxa"/>
            </w:tcMar>
            <w:vAlign w:val="bottom"/>
          </w:tcPr>
          <w:p w14:paraId="74DD6326" w14:textId="77777777" w:rsidR="00584EC1" w:rsidRDefault="00871F8D">
            <w:pPr>
              <w:jc w:val="right"/>
              <w:textAlignment w:val="bottom"/>
            </w:pPr>
            <w:r>
              <w:rPr>
                <w:rFonts w:ascii="Arial" w:eastAsia="宋体" w:hAnsi="Arial" w:cs="Arial"/>
                <w:b/>
                <w:bCs/>
                <w:color w:val="000000"/>
                <w:sz w:val="12"/>
                <w:szCs w:val="12"/>
              </w:rPr>
              <w:t>1.61</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632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328" w14:textId="77777777" w:rsidR="00584EC1" w:rsidRDefault="00584EC1">
            <w:pPr>
              <w:rPr>
                <w:rFonts w:ascii="宋体"/>
              </w:rPr>
            </w:pPr>
          </w:p>
        </w:tc>
        <w:tc>
          <w:tcPr>
            <w:tcW w:w="0" w:type="auto"/>
            <w:shd w:val="clear" w:color="auto" w:fill="FFFFFF"/>
            <w:tcMar>
              <w:top w:w="40" w:type="dxa"/>
              <w:left w:w="20" w:type="dxa"/>
              <w:bottom w:w="40" w:type="dxa"/>
              <w:right w:w="0" w:type="dxa"/>
            </w:tcMar>
            <w:vAlign w:val="bottom"/>
          </w:tcPr>
          <w:p w14:paraId="74DD6329" w14:textId="77777777" w:rsidR="00584EC1" w:rsidRDefault="00871F8D">
            <w:pPr>
              <w:textAlignment w:val="bottom"/>
            </w:pPr>
            <w:r>
              <w:rPr>
                <w:rFonts w:ascii="Arial" w:eastAsia="宋体" w:hAnsi="Arial" w:cs="Arial"/>
                <w:color w:val="000000"/>
                <w:sz w:val="12"/>
                <w:szCs w:val="12"/>
              </w:rPr>
              <w:t>$</w:t>
            </w:r>
          </w:p>
        </w:tc>
        <w:tc>
          <w:tcPr>
            <w:tcW w:w="0" w:type="auto"/>
            <w:shd w:val="clear" w:color="auto" w:fill="FFFFFF"/>
            <w:tcMar>
              <w:top w:w="40" w:type="dxa"/>
              <w:left w:w="0" w:type="dxa"/>
              <w:bottom w:w="40" w:type="dxa"/>
              <w:right w:w="0" w:type="dxa"/>
            </w:tcMar>
            <w:vAlign w:val="bottom"/>
          </w:tcPr>
          <w:p w14:paraId="74DD632A" w14:textId="77777777" w:rsidR="00584EC1" w:rsidRDefault="00871F8D">
            <w:pPr>
              <w:jc w:val="right"/>
              <w:textAlignment w:val="bottom"/>
            </w:pPr>
            <w:r>
              <w:rPr>
                <w:rFonts w:ascii="Arial" w:eastAsia="宋体" w:hAnsi="Arial" w:cs="Arial"/>
                <w:color w:val="000000"/>
                <w:sz w:val="12"/>
                <w:szCs w:val="12"/>
              </w:rPr>
              <w:t>1.56 </w:t>
            </w:r>
          </w:p>
        </w:tc>
        <w:tc>
          <w:tcPr>
            <w:tcW w:w="0" w:type="auto"/>
            <w:shd w:val="clear" w:color="auto" w:fill="FFFFFF"/>
            <w:tcMar>
              <w:top w:w="40" w:type="dxa"/>
              <w:left w:w="0" w:type="dxa"/>
              <w:bottom w:w="40" w:type="dxa"/>
              <w:right w:w="20" w:type="dxa"/>
            </w:tcMar>
            <w:vAlign w:val="bottom"/>
          </w:tcPr>
          <w:p w14:paraId="74DD632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32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32D" w14:textId="77777777" w:rsidR="00584EC1" w:rsidRDefault="00871F8D">
            <w:pPr>
              <w:jc w:val="right"/>
              <w:textAlignment w:val="bottom"/>
            </w:pPr>
            <w:r>
              <w:rPr>
                <w:rFonts w:ascii="Arial" w:eastAsia="宋体" w:hAnsi="Arial" w:cs="Arial"/>
                <w:color w:val="000000"/>
                <w:sz w:val="12"/>
                <w:szCs w:val="12"/>
              </w:rPr>
              <w:t>3 </w:t>
            </w:r>
          </w:p>
        </w:tc>
        <w:tc>
          <w:tcPr>
            <w:tcW w:w="0" w:type="auto"/>
            <w:shd w:val="clear" w:color="auto" w:fill="FFFFFF"/>
            <w:tcMar>
              <w:top w:w="40" w:type="dxa"/>
              <w:left w:w="0" w:type="dxa"/>
              <w:bottom w:w="40" w:type="dxa"/>
              <w:right w:w="20" w:type="dxa"/>
            </w:tcMar>
            <w:vAlign w:val="bottom"/>
          </w:tcPr>
          <w:p w14:paraId="74DD632E" w14:textId="77777777" w:rsidR="00584EC1" w:rsidRDefault="00584EC1">
            <w:pPr>
              <w:jc w:val="right"/>
              <w:rPr>
                <w:rFonts w:ascii="宋体"/>
              </w:rPr>
            </w:pPr>
          </w:p>
        </w:tc>
        <w:tc>
          <w:tcPr>
            <w:tcW w:w="0" w:type="auto"/>
            <w:gridSpan w:val="3"/>
            <w:shd w:val="clear" w:color="auto" w:fill="auto"/>
            <w:vAlign w:val="bottom"/>
          </w:tcPr>
          <w:p w14:paraId="74DD632F" w14:textId="77777777" w:rsidR="00584EC1" w:rsidRDefault="00584EC1">
            <w:pPr>
              <w:rPr>
                <w:rFonts w:ascii="宋体"/>
                <w:vanish/>
              </w:rPr>
            </w:pPr>
          </w:p>
        </w:tc>
        <w:tc>
          <w:tcPr>
            <w:tcW w:w="0" w:type="auto"/>
            <w:gridSpan w:val="3"/>
            <w:shd w:val="clear" w:color="auto" w:fill="auto"/>
            <w:vAlign w:val="bottom"/>
          </w:tcPr>
          <w:p w14:paraId="74DD6330" w14:textId="77777777" w:rsidR="00584EC1" w:rsidRDefault="00584EC1">
            <w:pPr>
              <w:rPr>
                <w:rFonts w:ascii="宋体"/>
                <w:vanish/>
              </w:rPr>
            </w:pPr>
          </w:p>
        </w:tc>
        <w:tc>
          <w:tcPr>
            <w:tcW w:w="0" w:type="auto"/>
            <w:gridSpan w:val="3"/>
            <w:shd w:val="clear" w:color="auto" w:fill="auto"/>
            <w:vAlign w:val="bottom"/>
          </w:tcPr>
          <w:p w14:paraId="74DD6331" w14:textId="77777777" w:rsidR="00584EC1" w:rsidRDefault="00584EC1">
            <w:pPr>
              <w:rPr>
                <w:rFonts w:ascii="宋体"/>
                <w:vanish/>
              </w:rPr>
            </w:pPr>
          </w:p>
        </w:tc>
        <w:tc>
          <w:tcPr>
            <w:tcW w:w="0" w:type="auto"/>
            <w:gridSpan w:val="3"/>
            <w:shd w:val="clear" w:color="auto" w:fill="auto"/>
            <w:vAlign w:val="bottom"/>
          </w:tcPr>
          <w:p w14:paraId="74DD6332" w14:textId="77777777" w:rsidR="00584EC1" w:rsidRDefault="00584EC1">
            <w:pPr>
              <w:rPr>
                <w:rFonts w:ascii="宋体"/>
                <w:vanish/>
              </w:rPr>
            </w:pPr>
          </w:p>
        </w:tc>
        <w:tc>
          <w:tcPr>
            <w:tcW w:w="0" w:type="auto"/>
            <w:gridSpan w:val="3"/>
            <w:shd w:val="clear" w:color="auto" w:fill="auto"/>
            <w:vAlign w:val="bottom"/>
          </w:tcPr>
          <w:p w14:paraId="74DD6333" w14:textId="77777777" w:rsidR="00584EC1" w:rsidRDefault="00584EC1">
            <w:pPr>
              <w:rPr>
                <w:rFonts w:ascii="宋体"/>
                <w:vanish/>
              </w:rPr>
            </w:pPr>
          </w:p>
        </w:tc>
      </w:tr>
      <w:tr w:rsidR="00584EC1" w14:paraId="74DD6342" w14:textId="77777777">
        <w:tc>
          <w:tcPr>
            <w:tcW w:w="0" w:type="auto"/>
            <w:gridSpan w:val="3"/>
            <w:shd w:val="clear" w:color="auto" w:fill="CCEEFF"/>
            <w:tcMar>
              <w:top w:w="40" w:type="dxa"/>
              <w:left w:w="20" w:type="dxa"/>
              <w:bottom w:w="40" w:type="dxa"/>
              <w:right w:w="20" w:type="dxa"/>
            </w:tcMar>
            <w:vAlign w:val="bottom"/>
          </w:tcPr>
          <w:p w14:paraId="74DD6335" w14:textId="77777777" w:rsidR="00584EC1" w:rsidRDefault="00871F8D">
            <w:pPr>
              <w:textAlignment w:val="bottom"/>
            </w:pPr>
            <w:r>
              <w:rPr>
                <w:rFonts w:ascii="Arial" w:eastAsia="宋体" w:hAnsi="Arial" w:cs="Arial"/>
                <w:color w:val="000000"/>
                <w:sz w:val="12"/>
                <w:szCs w:val="12"/>
              </w:rPr>
              <w:t>Return on average common equity</w:t>
            </w:r>
          </w:p>
        </w:tc>
        <w:tc>
          <w:tcPr>
            <w:tcW w:w="0" w:type="auto"/>
            <w:gridSpan w:val="2"/>
            <w:shd w:val="clear" w:color="auto" w:fill="CCEEFF"/>
            <w:tcMar>
              <w:top w:w="40" w:type="dxa"/>
              <w:left w:w="20" w:type="dxa"/>
              <w:bottom w:w="40" w:type="dxa"/>
              <w:right w:w="0" w:type="dxa"/>
            </w:tcMar>
            <w:vAlign w:val="bottom"/>
          </w:tcPr>
          <w:p w14:paraId="74DD6336" w14:textId="77777777" w:rsidR="00584EC1" w:rsidRDefault="00871F8D">
            <w:pPr>
              <w:jc w:val="right"/>
              <w:textAlignment w:val="bottom"/>
            </w:pPr>
            <w:r>
              <w:rPr>
                <w:rFonts w:ascii="Arial" w:eastAsia="宋体" w:hAnsi="Arial" w:cs="Arial"/>
                <w:b/>
                <w:bCs/>
                <w:color w:val="000000"/>
                <w:sz w:val="12"/>
                <w:szCs w:val="12"/>
              </w:rPr>
              <w:t>10.8</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6337" w14:textId="77777777" w:rsidR="00584EC1" w:rsidRDefault="00871F8D">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vAlign w:val="bottom"/>
          </w:tcPr>
          <w:p w14:paraId="74DD6338"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339" w14:textId="77777777" w:rsidR="00584EC1" w:rsidRDefault="00871F8D">
            <w:pPr>
              <w:jc w:val="right"/>
              <w:textAlignment w:val="bottom"/>
            </w:pPr>
            <w:r>
              <w:rPr>
                <w:rFonts w:ascii="Arial" w:eastAsia="宋体" w:hAnsi="Arial" w:cs="Arial"/>
                <w:color w:val="000000"/>
                <w:sz w:val="12"/>
                <w:szCs w:val="12"/>
              </w:rPr>
              <w:t>10.6 </w:t>
            </w:r>
          </w:p>
        </w:tc>
        <w:tc>
          <w:tcPr>
            <w:tcW w:w="0" w:type="auto"/>
            <w:shd w:val="clear" w:color="auto" w:fill="CCEEFF"/>
            <w:tcMar>
              <w:top w:w="40" w:type="dxa"/>
              <w:left w:w="0" w:type="dxa"/>
              <w:bottom w:w="40" w:type="dxa"/>
              <w:right w:w="20" w:type="dxa"/>
            </w:tcMar>
            <w:vAlign w:val="bottom"/>
          </w:tcPr>
          <w:p w14:paraId="74DD633A" w14:textId="77777777" w:rsidR="00584EC1" w:rsidRDefault="00871F8D">
            <w:pPr>
              <w:jc w:val="right"/>
              <w:textAlignment w:val="bottom"/>
            </w:pPr>
            <w:r>
              <w:rPr>
                <w:rFonts w:ascii="Arial" w:eastAsia="宋体" w:hAnsi="Arial" w:cs="Arial"/>
                <w:color w:val="000000"/>
                <w:sz w:val="12"/>
                <w:szCs w:val="12"/>
              </w:rPr>
              <w:t>%</w:t>
            </w:r>
          </w:p>
        </w:tc>
        <w:tc>
          <w:tcPr>
            <w:tcW w:w="0" w:type="auto"/>
            <w:gridSpan w:val="3"/>
            <w:shd w:val="clear" w:color="auto" w:fill="CCEEFF"/>
            <w:tcMar>
              <w:top w:w="0" w:type="dxa"/>
              <w:left w:w="20" w:type="dxa"/>
              <w:bottom w:w="0" w:type="dxa"/>
              <w:right w:w="20" w:type="dxa"/>
            </w:tcMar>
            <w:vAlign w:val="bottom"/>
          </w:tcPr>
          <w:p w14:paraId="74DD633B" w14:textId="77777777" w:rsidR="00584EC1" w:rsidRDefault="00584EC1">
            <w:pPr>
              <w:rPr>
                <w:rFonts w:ascii="宋体"/>
              </w:rPr>
            </w:pPr>
          </w:p>
        </w:tc>
        <w:tc>
          <w:tcPr>
            <w:tcW w:w="0" w:type="auto"/>
            <w:gridSpan w:val="3"/>
            <w:shd w:val="clear" w:color="auto" w:fill="CCEEFF"/>
            <w:tcMar>
              <w:top w:w="40" w:type="dxa"/>
              <w:left w:w="20" w:type="dxa"/>
              <w:bottom w:w="40" w:type="dxa"/>
              <w:right w:w="20" w:type="dxa"/>
            </w:tcMar>
            <w:vAlign w:val="bottom"/>
          </w:tcPr>
          <w:p w14:paraId="74DD633C" w14:textId="77777777" w:rsidR="00584EC1" w:rsidRDefault="00871F8D">
            <w:pPr>
              <w:jc w:val="right"/>
              <w:textAlignment w:val="bottom"/>
            </w:pPr>
            <w:r>
              <w:rPr>
                <w:rFonts w:ascii="Arial" w:eastAsia="宋体" w:hAnsi="Arial" w:cs="Arial"/>
                <w:color w:val="000000"/>
                <w:sz w:val="12"/>
                <w:szCs w:val="12"/>
              </w:rPr>
              <w:t>20 bps</w:t>
            </w:r>
          </w:p>
        </w:tc>
        <w:tc>
          <w:tcPr>
            <w:tcW w:w="0" w:type="auto"/>
            <w:gridSpan w:val="3"/>
            <w:shd w:val="clear" w:color="auto" w:fill="auto"/>
            <w:vAlign w:val="bottom"/>
          </w:tcPr>
          <w:p w14:paraId="74DD633D" w14:textId="77777777" w:rsidR="00584EC1" w:rsidRDefault="00584EC1">
            <w:pPr>
              <w:rPr>
                <w:rFonts w:ascii="宋体"/>
                <w:vanish/>
              </w:rPr>
            </w:pPr>
          </w:p>
        </w:tc>
        <w:tc>
          <w:tcPr>
            <w:tcW w:w="0" w:type="auto"/>
            <w:gridSpan w:val="3"/>
            <w:shd w:val="clear" w:color="auto" w:fill="auto"/>
            <w:vAlign w:val="bottom"/>
          </w:tcPr>
          <w:p w14:paraId="74DD633E" w14:textId="77777777" w:rsidR="00584EC1" w:rsidRDefault="00584EC1">
            <w:pPr>
              <w:rPr>
                <w:rFonts w:ascii="宋体"/>
                <w:vanish/>
              </w:rPr>
            </w:pPr>
          </w:p>
        </w:tc>
        <w:tc>
          <w:tcPr>
            <w:tcW w:w="0" w:type="auto"/>
            <w:gridSpan w:val="3"/>
            <w:shd w:val="clear" w:color="auto" w:fill="auto"/>
            <w:vAlign w:val="bottom"/>
          </w:tcPr>
          <w:p w14:paraId="74DD633F" w14:textId="77777777" w:rsidR="00584EC1" w:rsidRDefault="00584EC1">
            <w:pPr>
              <w:rPr>
                <w:rFonts w:ascii="宋体"/>
                <w:vanish/>
              </w:rPr>
            </w:pPr>
          </w:p>
        </w:tc>
        <w:tc>
          <w:tcPr>
            <w:tcW w:w="0" w:type="auto"/>
            <w:gridSpan w:val="3"/>
            <w:shd w:val="clear" w:color="auto" w:fill="auto"/>
            <w:vAlign w:val="bottom"/>
          </w:tcPr>
          <w:p w14:paraId="74DD6340" w14:textId="77777777" w:rsidR="00584EC1" w:rsidRDefault="00584EC1">
            <w:pPr>
              <w:rPr>
                <w:rFonts w:ascii="宋体"/>
                <w:vanish/>
              </w:rPr>
            </w:pPr>
          </w:p>
        </w:tc>
        <w:tc>
          <w:tcPr>
            <w:tcW w:w="0" w:type="auto"/>
            <w:gridSpan w:val="3"/>
            <w:shd w:val="clear" w:color="auto" w:fill="auto"/>
            <w:vAlign w:val="bottom"/>
          </w:tcPr>
          <w:p w14:paraId="74DD6341" w14:textId="77777777" w:rsidR="00584EC1" w:rsidRDefault="00584EC1">
            <w:pPr>
              <w:rPr>
                <w:rFonts w:ascii="宋体"/>
                <w:vanish/>
              </w:rPr>
            </w:pPr>
          </w:p>
        </w:tc>
      </w:tr>
      <w:tr w:rsidR="00584EC1" w14:paraId="74DD6351" w14:textId="77777777">
        <w:tc>
          <w:tcPr>
            <w:tcW w:w="0" w:type="auto"/>
            <w:gridSpan w:val="3"/>
            <w:shd w:val="clear" w:color="auto" w:fill="auto"/>
            <w:tcMar>
              <w:top w:w="40" w:type="dxa"/>
              <w:left w:w="20" w:type="dxa"/>
              <w:bottom w:w="40" w:type="dxa"/>
              <w:right w:w="20" w:type="dxa"/>
            </w:tcMar>
            <w:vAlign w:val="bottom"/>
          </w:tcPr>
          <w:p w14:paraId="74DD6343" w14:textId="77777777" w:rsidR="00584EC1" w:rsidRDefault="00871F8D">
            <w:pPr>
              <w:textAlignment w:val="bottom"/>
            </w:pPr>
            <w:r>
              <w:rPr>
                <w:rFonts w:ascii="Arial" w:eastAsia="宋体" w:hAnsi="Arial" w:cs="Arial"/>
                <w:color w:val="000000"/>
                <w:sz w:val="12"/>
                <w:szCs w:val="12"/>
              </w:rPr>
              <w:t>Pre-tax margin</w:t>
            </w:r>
          </w:p>
        </w:tc>
        <w:tc>
          <w:tcPr>
            <w:tcW w:w="0" w:type="auto"/>
            <w:gridSpan w:val="2"/>
            <w:shd w:val="clear" w:color="auto" w:fill="auto"/>
            <w:tcMar>
              <w:top w:w="40" w:type="dxa"/>
              <w:left w:w="20" w:type="dxa"/>
              <w:bottom w:w="40" w:type="dxa"/>
              <w:right w:w="0" w:type="dxa"/>
            </w:tcMar>
            <w:vAlign w:val="bottom"/>
          </w:tcPr>
          <w:p w14:paraId="74DD6344" w14:textId="77777777" w:rsidR="00584EC1" w:rsidRDefault="00871F8D">
            <w:pPr>
              <w:jc w:val="right"/>
              <w:textAlignment w:val="bottom"/>
            </w:pPr>
            <w:r>
              <w:rPr>
                <w:rFonts w:ascii="Arial" w:eastAsia="宋体" w:hAnsi="Arial" w:cs="Arial"/>
                <w:b/>
                <w:bCs/>
                <w:color w:val="000000"/>
                <w:sz w:val="12"/>
                <w:szCs w:val="12"/>
              </w:rPr>
              <w:t>27.2</w:t>
            </w:r>
            <w:r>
              <w:rPr>
                <w:rFonts w:ascii="Arial" w:eastAsia="宋体" w:hAnsi="Arial" w:cs="Arial"/>
                <w:color w:val="000000"/>
                <w:sz w:val="12"/>
                <w:szCs w:val="12"/>
              </w:rPr>
              <w:t> </w:t>
            </w:r>
          </w:p>
        </w:tc>
        <w:tc>
          <w:tcPr>
            <w:tcW w:w="0" w:type="auto"/>
            <w:shd w:val="clear" w:color="auto" w:fill="auto"/>
            <w:tcMar>
              <w:top w:w="40" w:type="dxa"/>
              <w:left w:w="0" w:type="dxa"/>
              <w:bottom w:w="40" w:type="dxa"/>
              <w:right w:w="20" w:type="dxa"/>
            </w:tcMar>
            <w:vAlign w:val="bottom"/>
          </w:tcPr>
          <w:p w14:paraId="74DD6345" w14:textId="77777777" w:rsidR="00584EC1" w:rsidRDefault="00584EC1">
            <w:pPr>
              <w:jc w:val="right"/>
              <w:rPr>
                <w:rFonts w:ascii="宋体"/>
              </w:rPr>
            </w:pPr>
          </w:p>
        </w:tc>
        <w:tc>
          <w:tcPr>
            <w:tcW w:w="0" w:type="auto"/>
            <w:gridSpan w:val="3"/>
            <w:shd w:val="clear" w:color="auto" w:fill="auto"/>
            <w:tcMar>
              <w:top w:w="0" w:type="dxa"/>
              <w:left w:w="20" w:type="dxa"/>
              <w:bottom w:w="0" w:type="dxa"/>
              <w:right w:w="20" w:type="dxa"/>
            </w:tcMar>
            <w:vAlign w:val="bottom"/>
          </w:tcPr>
          <w:p w14:paraId="74DD6346" w14:textId="77777777" w:rsidR="00584EC1" w:rsidRDefault="00584EC1">
            <w:pPr>
              <w:rPr>
                <w:rFonts w:ascii="宋体"/>
              </w:rPr>
            </w:pPr>
          </w:p>
        </w:tc>
        <w:tc>
          <w:tcPr>
            <w:tcW w:w="0" w:type="auto"/>
            <w:gridSpan w:val="2"/>
            <w:shd w:val="clear" w:color="auto" w:fill="auto"/>
            <w:tcMar>
              <w:top w:w="40" w:type="dxa"/>
              <w:left w:w="20" w:type="dxa"/>
              <w:bottom w:w="40" w:type="dxa"/>
              <w:right w:w="0" w:type="dxa"/>
            </w:tcMar>
            <w:vAlign w:val="bottom"/>
          </w:tcPr>
          <w:p w14:paraId="74DD6347" w14:textId="77777777" w:rsidR="00584EC1" w:rsidRDefault="00871F8D">
            <w:pPr>
              <w:jc w:val="right"/>
              <w:textAlignment w:val="bottom"/>
            </w:pPr>
            <w:r>
              <w:rPr>
                <w:rFonts w:ascii="Arial" w:eastAsia="宋体" w:hAnsi="Arial" w:cs="Arial"/>
                <w:color w:val="000000"/>
                <w:sz w:val="12"/>
                <w:szCs w:val="12"/>
              </w:rPr>
              <w:t>25.7 </w:t>
            </w:r>
          </w:p>
        </w:tc>
        <w:tc>
          <w:tcPr>
            <w:tcW w:w="0" w:type="auto"/>
            <w:shd w:val="clear" w:color="auto" w:fill="auto"/>
            <w:tcMar>
              <w:top w:w="40" w:type="dxa"/>
              <w:left w:w="0" w:type="dxa"/>
              <w:bottom w:w="40" w:type="dxa"/>
              <w:right w:w="20" w:type="dxa"/>
            </w:tcMar>
            <w:vAlign w:val="bottom"/>
          </w:tcPr>
          <w:p w14:paraId="74DD6348" w14:textId="77777777" w:rsidR="00584EC1" w:rsidRDefault="00584EC1">
            <w:pPr>
              <w:jc w:val="right"/>
              <w:rPr>
                <w:rFonts w:ascii="宋体"/>
              </w:rPr>
            </w:pPr>
          </w:p>
        </w:tc>
        <w:tc>
          <w:tcPr>
            <w:tcW w:w="0" w:type="auto"/>
            <w:gridSpan w:val="3"/>
            <w:shd w:val="clear" w:color="auto" w:fill="auto"/>
            <w:tcMar>
              <w:top w:w="0" w:type="dxa"/>
              <w:left w:w="20" w:type="dxa"/>
              <w:bottom w:w="0" w:type="dxa"/>
              <w:right w:w="20" w:type="dxa"/>
            </w:tcMar>
            <w:vAlign w:val="bottom"/>
          </w:tcPr>
          <w:p w14:paraId="74DD6349" w14:textId="77777777" w:rsidR="00584EC1" w:rsidRDefault="00584EC1">
            <w:pPr>
              <w:rPr>
                <w:rFonts w:ascii="宋体"/>
              </w:rPr>
            </w:pPr>
          </w:p>
        </w:tc>
        <w:tc>
          <w:tcPr>
            <w:tcW w:w="0" w:type="auto"/>
            <w:gridSpan w:val="2"/>
            <w:shd w:val="clear" w:color="auto" w:fill="auto"/>
            <w:tcMar>
              <w:top w:w="40" w:type="dxa"/>
              <w:left w:w="20" w:type="dxa"/>
              <w:bottom w:w="40" w:type="dxa"/>
              <w:right w:w="0" w:type="dxa"/>
            </w:tcMar>
            <w:vAlign w:val="bottom"/>
          </w:tcPr>
          <w:p w14:paraId="74DD634A" w14:textId="77777777" w:rsidR="00584EC1" w:rsidRDefault="00871F8D">
            <w:pPr>
              <w:jc w:val="right"/>
              <w:textAlignment w:val="bottom"/>
            </w:pPr>
            <w:r>
              <w:rPr>
                <w:rFonts w:ascii="Arial" w:eastAsia="宋体" w:hAnsi="Arial" w:cs="Arial"/>
                <w:color w:val="000000"/>
                <w:sz w:val="12"/>
                <w:szCs w:val="12"/>
              </w:rPr>
              <w:t>150 </w:t>
            </w:r>
          </w:p>
        </w:tc>
        <w:tc>
          <w:tcPr>
            <w:tcW w:w="0" w:type="auto"/>
            <w:shd w:val="clear" w:color="auto" w:fill="auto"/>
            <w:tcMar>
              <w:top w:w="40" w:type="dxa"/>
              <w:left w:w="0" w:type="dxa"/>
              <w:bottom w:w="40" w:type="dxa"/>
              <w:right w:w="20" w:type="dxa"/>
            </w:tcMar>
            <w:vAlign w:val="bottom"/>
          </w:tcPr>
          <w:p w14:paraId="74DD634B" w14:textId="77777777" w:rsidR="00584EC1" w:rsidRDefault="00584EC1">
            <w:pPr>
              <w:jc w:val="right"/>
              <w:rPr>
                <w:rFonts w:ascii="宋体"/>
              </w:rPr>
            </w:pPr>
          </w:p>
        </w:tc>
        <w:tc>
          <w:tcPr>
            <w:tcW w:w="0" w:type="auto"/>
            <w:gridSpan w:val="3"/>
            <w:shd w:val="clear" w:color="auto" w:fill="auto"/>
            <w:vAlign w:val="bottom"/>
          </w:tcPr>
          <w:p w14:paraId="74DD634C" w14:textId="77777777" w:rsidR="00584EC1" w:rsidRDefault="00584EC1">
            <w:pPr>
              <w:rPr>
                <w:rFonts w:ascii="宋体"/>
                <w:vanish/>
              </w:rPr>
            </w:pPr>
          </w:p>
        </w:tc>
        <w:tc>
          <w:tcPr>
            <w:tcW w:w="0" w:type="auto"/>
            <w:gridSpan w:val="3"/>
            <w:shd w:val="clear" w:color="auto" w:fill="auto"/>
            <w:vAlign w:val="bottom"/>
          </w:tcPr>
          <w:p w14:paraId="74DD634D" w14:textId="77777777" w:rsidR="00584EC1" w:rsidRDefault="00584EC1">
            <w:pPr>
              <w:rPr>
                <w:rFonts w:ascii="宋体"/>
                <w:vanish/>
              </w:rPr>
            </w:pPr>
          </w:p>
        </w:tc>
        <w:tc>
          <w:tcPr>
            <w:tcW w:w="0" w:type="auto"/>
            <w:gridSpan w:val="3"/>
            <w:shd w:val="clear" w:color="auto" w:fill="auto"/>
            <w:vAlign w:val="bottom"/>
          </w:tcPr>
          <w:p w14:paraId="74DD634E" w14:textId="77777777" w:rsidR="00584EC1" w:rsidRDefault="00584EC1">
            <w:pPr>
              <w:rPr>
                <w:rFonts w:ascii="宋体"/>
                <w:vanish/>
              </w:rPr>
            </w:pPr>
          </w:p>
        </w:tc>
        <w:tc>
          <w:tcPr>
            <w:tcW w:w="0" w:type="auto"/>
            <w:gridSpan w:val="3"/>
            <w:shd w:val="clear" w:color="auto" w:fill="auto"/>
            <w:vAlign w:val="bottom"/>
          </w:tcPr>
          <w:p w14:paraId="74DD634F" w14:textId="77777777" w:rsidR="00584EC1" w:rsidRDefault="00584EC1">
            <w:pPr>
              <w:rPr>
                <w:rFonts w:ascii="宋体"/>
                <w:vanish/>
              </w:rPr>
            </w:pPr>
          </w:p>
        </w:tc>
        <w:tc>
          <w:tcPr>
            <w:tcW w:w="0" w:type="auto"/>
            <w:gridSpan w:val="3"/>
            <w:shd w:val="clear" w:color="auto" w:fill="auto"/>
            <w:vAlign w:val="bottom"/>
          </w:tcPr>
          <w:p w14:paraId="74DD6350" w14:textId="77777777" w:rsidR="00584EC1" w:rsidRDefault="00584EC1">
            <w:pPr>
              <w:rPr>
                <w:rFonts w:ascii="宋体"/>
                <w:vanish/>
              </w:rPr>
            </w:pPr>
          </w:p>
        </w:tc>
      </w:tr>
      <w:tr w:rsidR="00584EC1" w14:paraId="74DD6361" w14:textId="77777777">
        <w:trPr>
          <w:hidden/>
        </w:trPr>
        <w:tc>
          <w:tcPr>
            <w:tcW w:w="0" w:type="auto"/>
            <w:gridSpan w:val="3"/>
            <w:shd w:val="clear" w:color="auto" w:fill="auto"/>
            <w:vAlign w:val="bottom"/>
          </w:tcPr>
          <w:p w14:paraId="74DD6352" w14:textId="77777777" w:rsidR="00584EC1" w:rsidRDefault="00584EC1">
            <w:pPr>
              <w:rPr>
                <w:rFonts w:ascii="宋体"/>
                <w:vanish/>
              </w:rPr>
            </w:pPr>
          </w:p>
        </w:tc>
        <w:tc>
          <w:tcPr>
            <w:tcW w:w="0" w:type="auto"/>
            <w:gridSpan w:val="3"/>
            <w:shd w:val="clear" w:color="auto" w:fill="auto"/>
            <w:vAlign w:val="bottom"/>
          </w:tcPr>
          <w:p w14:paraId="74DD6353" w14:textId="77777777" w:rsidR="00584EC1" w:rsidRDefault="00584EC1">
            <w:pPr>
              <w:rPr>
                <w:rFonts w:ascii="宋体"/>
                <w:vanish/>
              </w:rPr>
            </w:pPr>
          </w:p>
        </w:tc>
        <w:tc>
          <w:tcPr>
            <w:tcW w:w="0" w:type="auto"/>
            <w:gridSpan w:val="3"/>
            <w:shd w:val="clear" w:color="auto" w:fill="auto"/>
            <w:vAlign w:val="bottom"/>
          </w:tcPr>
          <w:p w14:paraId="74DD6354" w14:textId="77777777" w:rsidR="00584EC1" w:rsidRDefault="00584EC1">
            <w:pPr>
              <w:rPr>
                <w:rFonts w:ascii="宋体"/>
                <w:vanish/>
              </w:rPr>
            </w:pPr>
          </w:p>
        </w:tc>
        <w:tc>
          <w:tcPr>
            <w:tcW w:w="0" w:type="auto"/>
            <w:gridSpan w:val="3"/>
            <w:shd w:val="clear" w:color="auto" w:fill="auto"/>
            <w:vAlign w:val="bottom"/>
          </w:tcPr>
          <w:p w14:paraId="74DD6355" w14:textId="77777777" w:rsidR="00584EC1" w:rsidRDefault="00584EC1">
            <w:pPr>
              <w:rPr>
                <w:rFonts w:ascii="宋体"/>
                <w:vanish/>
              </w:rPr>
            </w:pPr>
          </w:p>
        </w:tc>
        <w:tc>
          <w:tcPr>
            <w:tcW w:w="0" w:type="auto"/>
            <w:gridSpan w:val="3"/>
            <w:shd w:val="clear" w:color="auto" w:fill="auto"/>
            <w:vAlign w:val="bottom"/>
          </w:tcPr>
          <w:p w14:paraId="74DD6356" w14:textId="77777777" w:rsidR="00584EC1" w:rsidRDefault="00584EC1">
            <w:pPr>
              <w:rPr>
                <w:rFonts w:ascii="宋体"/>
                <w:vanish/>
              </w:rPr>
            </w:pPr>
          </w:p>
        </w:tc>
        <w:tc>
          <w:tcPr>
            <w:tcW w:w="0" w:type="auto"/>
            <w:gridSpan w:val="3"/>
            <w:shd w:val="clear" w:color="auto" w:fill="auto"/>
            <w:vAlign w:val="bottom"/>
          </w:tcPr>
          <w:p w14:paraId="74DD6357" w14:textId="77777777" w:rsidR="00584EC1" w:rsidRDefault="00584EC1">
            <w:pPr>
              <w:rPr>
                <w:rFonts w:ascii="宋体"/>
                <w:vanish/>
              </w:rPr>
            </w:pPr>
          </w:p>
        </w:tc>
        <w:tc>
          <w:tcPr>
            <w:tcW w:w="0" w:type="auto"/>
            <w:gridSpan w:val="3"/>
            <w:shd w:val="clear" w:color="auto" w:fill="auto"/>
            <w:vAlign w:val="bottom"/>
          </w:tcPr>
          <w:p w14:paraId="74DD6358" w14:textId="77777777" w:rsidR="00584EC1" w:rsidRDefault="00584EC1">
            <w:pPr>
              <w:rPr>
                <w:rFonts w:ascii="宋体"/>
                <w:vanish/>
              </w:rPr>
            </w:pPr>
          </w:p>
        </w:tc>
        <w:tc>
          <w:tcPr>
            <w:tcW w:w="0" w:type="auto"/>
            <w:gridSpan w:val="3"/>
            <w:shd w:val="clear" w:color="auto" w:fill="auto"/>
            <w:vAlign w:val="bottom"/>
          </w:tcPr>
          <w:p w14:paraId="74DD6359" w14:textId="77777777" w:rsidR="00584EC1" w:rsidRDefault="00584EC1">
            <w:pPr>
              <w:rPr>
                <w:rFonts w:ascii="宋体"/>
                <w:vanish/>
              </w:rPr>
            </w:pPr>
          </w:p>
        </w:tc>
        <w:tc>
          <w:tcPr>
            <w:tcW w:w="0" w:type="auto"/>
            <w:gridSpan w:val="3"/>
            <w:shd w:val="clear" w:color="auto" w:fill="auto"/>
            <w:vAlign w:val="bottom"/>
          </w:tcPr>
          <w:p w14:paraId="74DD635A" w14:textId="77777777" w:rsidR="00584EC1" w:rsidRDefault="00584EC1">
            <w:pPr>
              <w:rPr>
                <w:rFonts w:ascii="宋体"/>
                <w:vanish/>
              </w:rPr>
            </w:pPr>
          </w:p>
        </w:tc>
        <w:tc>
          <w:tcPr>
            <w:tcW w:w="0" w:type="auto"/>
            <w:shd w:val="clear" w:color="auto" w:fill="auto"/>
            <w:vAlign w:val="bottom"/>
          </w:tcPr>
          <w:p w14:paraId="74DD635B" w14:textId="77777777" w:rsidR="00584EC1" w:rsidRDefault="00584EC1">
            <w:pPr>
              <w:rPr>
                <w:rFonts w:ascii="宋体"/>
              </w:rPr>
            </w:pPr>
          </w:p>
        </w:tc>
        <w:tc>
          <w:tcPr>
            <w:tcW w:w="0" w:type="auto"/>
            <w:shd w:val="clear" w:color="auto" w:fill="auto"/>
            <w:vAlign w:val="bottom"/>
          </w:tcPr>
          <w:p w14:paraId="74DD635C" w14:textId="77777777" w:rsidR="00584EC1" w:rsidRDefault="00584EC1">
            <w:pPr>
              <w:rPr>
                <w:rFonts w:ascii="宋体"/>
              </w:rPr>
            </w:pPr>
          </w:p>
        </w:tc>
        <w:tc>
          <w:tcPr>
            <w:tcW w:w="0" w:type="auto"/>
            <w:shd w:val="clear" w:color="auto" w:fill="auto"/>
            <w:vAlign w:val="bottom"/>
          </w:tcPr>
          <w:p w14:paraId="74DD635D" w14:textId="77777777" w:rsidR="00584EC1" w:rsidRDefault="00584EC1">
            <w:pPr>
              <w:rPr>
                <w:rFonts w:ascii="宋体"/>
              </w:rPr>
            </w:pPr>
          </w:p>
        </w:tc>
        <w:tc>
          <w:tcPr>
            <w:tcW w:w="0" w:type="auto"/>
            <w:shd w:val="clear" w:color="auto" w:fill="auto"/>
            <w:vAlign w:val="bottom"/>
          </w:tcPr>
          <w:p w14:paraId="74DD635E" w14:textId="77777777" w:rsidR="00584EC1" w:rsidRDefault="00584EC1">
            <w:pPr>
              <w:rPr>
                <w:rFonts w:ascii="宋体"/>
              </w:rPr>
            </w:pPr>
          </w:p>
        </w:tc>
        <w:tc>
          <w:tcPr>
            <w:tcW w:w="0" w:type="auto"/>
            <w:shd w:val="clear" w:color="auto" w:fill="auto"/>
            <w:vAlign w:val="bottom"/>
          </w:tcPr>
          <w:p w14:paraId="74DD635F" w14:textId="77777777" w:rsidR="00584EC1" w:rsidRDefault="00584EC1">
            <w:pPr>
              <w:rPr>
                <w:rFonts w:ascii="宋体"/>
              </w:rPr>
            </w:pPr>
          </w:p>
        </w:tc>
        <w:tc>
          <w:tcPr>
            <w:tcW w:w="0" w:type="auto"/>
            <w:shd w:val="clear" w:color="auto" w:fill="auto"/>
            <w:vAlign w:val="bottom"/>
          </w:tcPr>
          <w:p w14:paraId="74DD6360" w14:textId="77777777" w:rsidR="00584EC1" w:rsidRDefault="00584EC1">
            <w:pPr>
              <w:rPr>
                <w:rFonts w:ascii="宋体"/>
              </w:rPr>
            </w:pPr>
          </w:p>
        </w:tc>
      </w:tr>
      <w:tr w:rsidR="00584EC1" w14:paraId="74DD636D" w14:textId="77777777">
        <w:trPr>
          <w:hidden/>
        </w:trPr>
        <w:tc>
          <w:tcPr>
            <w:tcW w:w="0" w:type="auto"/>
            <w:gridSpan w:val="3"/>
            <w:shd w:val="clear" w:color="auto" w:fill="auto"/>
            <w:vAlign w:val="bottom"/>
          </w:tcPr>
          <w:p w14:paraId="74DD6362" w14:textId="77777777" w:rsidR="00584EC1" w:rsidRDefault="00584EC1">
            <w:pPr>
              <w:rPr>
                <w:rFonts w:ascii="宋体"/>
                <w:vanish/>
              </w:rPr>
            </w:pPr>
          </w:p>
        </w:tc>
        <w:tc>
          <w:tcPr>
            <w:tcW w:w="0" w:type="auto"/>
            <w:gridSpan w:val="3"/>
            <w:shd w:val="clear" w:color="auto" w:fill="auto"/>
            <w:vAlign w:val="bottom"/>
          </w:tcPr>
          <w:p w14:paraId="74DD6363" w14:textId="77777777" w:rsidR="00584EC1" w:rsidRDefault="00584EC1">
            <w:pPr>
              <w:rPr>
                <w:rFonts w:ascii="宋体"/>
                <w:vanish/>
              </w:rPr>
            </w:pPr>
          </w:p>
        </w:tc>
        <w:tc>
          <w:tcPr>
            <w:tcW w:w="0" w:type="auto"/>
            <w:gridSpan w:val="3"/>
            <w:shd w:val="clear" w:color="auto" w:fill="auto"/>
            <w:vAlign w:val="bottom"/>
          </w:tcPr>
          <w:p w14:paraId="74DD6364" w14:textId="77777777" w:rsidR="00584EC1" w:rsidRDefault="00584EC1">
            <w:pPr>
              <w:rPr>
                <w:rFonts w:ascii="宋体"/>
                <w:vanish/>
              </w:rPr>
            </w:pPr>
          </w:p>
        </w:tc>
        <w:tc>
          <w:tcPr>
            <w:tcW w:w="0" w:type="auto"/>
            <w:gridSpan w:val="3"/>
            <w:shd w:val="clear" w:color="auto" w:fill="auto"/>
            <w:vAlign w:val="bottom"/>
          </w:tcPr>
          <w:p w14:paraId="74DD6365" w14:textId="77777777" w:rsidR="00584EC1" w:rsidRDefault="00584EC1">
            <w:pPr>
              <w:rPr>
                <w:rFonts w:ascii="宋体"/>
                <w:vanish/>
              </w:rPr>
            </w:pPr>
          </w:p>
        </w:tc>
        <w:tc>
          <w:tcPr>
            <w:tcW w:w="0" w:type="auto"/>
            <w:gridSpan w:val="3"/>
            <w:shd w:val="clear" w:color="auto" w:fill="auto"/>
            <w:vAlign w:val="bottom"/>
          </w:tcPr>
          <w:p w14:paraId="74DD6366" w14:textId="77777777" w:rsidR="00584EC1" w:rsidRDefault="00584EC1">
            <w:pPr>
              <w:rPr>
                <w:rFonts w:ascii="宋体"/>
                <w:vanish/>
              </w:rPr>
            </w:pPr>
          </w:p>
        </w:tc>
        <w:tc>
          <w:tcPr>
            <w:tcW w:w="0" w:type="auto"/>
            <w:gridSpan w:val="3"/>
            <w:shd w:val="clear" w:color="auto" w:fill="auto"/>
            <w:vAlign w:val="bottom"/>
          </w:tcPr>
          <w:p w14:paraId="74DD6367" w14:textId="77777777" w:rsidR="00584EC1" w:rsidRDefault="00584EC1">
            <w:pPr>
              <w:rPr>
                <w:rFonts w:ascii="宋体"/>
                <w:vanish/>
              </w:rPr>
            </w:pPr>
          </w:p>
        </w:tc>
        <w:tc>
          <w:tcPr>
            <w:tcW w:w="0" w:type="auto"/>
            <w:gridSpan w:val="3"/>
            <w:shd w:val="clear" w:color="auto" w:fill="auto"/>
            <w:vAlign w:val="bottom"/>
          </w:tcPr>
          <w:p w14:paraId="74DD6368" w14:textId="77777777" w:rsidR="00584EC1" w:rsidRDefault="00584EC1">
            <w:pPr>
              <w:rPr>
                <w:rFonts w:ascii="宋体"/>
                <w:vanish/>
              </w:rPr>
            </w:pPr>
          </w:p>
        </w:tc>
        <w:tc>
          <w:tcPr>
            <w:tcW w:w="0" w:type="auto"/>
            <w:gridSpan w:val="3"/>
            <w:shd w:val="clear" w:color="auto" w:fill="auto"/>
            <w:vAlign w:val="bottom"/>
          </w:tcPr>
          <w:p w14:paraId="74DD6369" w14:textId="77777777" w:rsidR="00584EC1" w:rsidRDefault="00584EC1">
            <w:pPr>
              <w:rPr>
                <w:rFonts w:ascii="宋体"/>
                <w:vanish/>
              </w:rPr>
            </w:pPr>
          </w:p>
        </w:tc>
        <w:tc>
          <w:tcPr>
            <w:tcW w:w="0" w:type="auto"/>
            <w:gridSpan w:val="3"/>
            <w:shd w:val="clear" w:color="auto" w:fill="auto"/>
            <w:vAlign w:val="bottom"/>
          </w:tcPr>
          <w:p w14:paraId="74DD636A" w14:textId="77777777" w:rsidR="00584EC1" w:rsidRDefault="00584EC1">
            <w:pPr>
              <w:rPr>
                <w:rFonts w:ascii="宋体"/>
                <w:vanish/>
              </w:rPr>
            </w:pPr>
          </w:p>
        </w:tc>
        <w:tc>
          <w:tcPr>
            <w:tcW w:w="0" w:type="auto"/>
            <w:gridSpan w:val="3"/>
            <w:shd w:val="clear" w:color="auto" w:fill="auto"/>
            <w:vAlign w:val="bottom"/>
          </w:tcPr>
          <w:p w14:paraId="74DD636B" w14:textId="77777777" w:rsidR="00584EC1" w:rsidRDefault="00584EC1">
            <w:pPr>
              <w:rPr>
                <w:rFonts w:ascii="宋体"/>
                <w:vanish/>
              </w:rPr>
            </w:pPr>
          </w:p>
        </w:tc>
        <w:tc>
          <w:tcPr>
            <w:tcW w:w="0" w:type="auto"/>
            <w:gridSpan w:val="3"/>
            <w:shd w:val="clear" w:color="auto" w:fill="auto"/>
            <w:vAlign w:val="bottom"/>
          </w:tcPr>
          <w:p w14:paraId="74DD636C" w14:textId="77777777" w:rsidR="00584EC1" w:rsidRDefault="00584EC1">
            <w:pPr>
              <w:rPr>
                <w:rFonts w:ascii="宋体"/>
                <w:vanish/>
              </w:rPr>
            </w:pPr>
          </w:p>
        </w:tc>
      </w:tr>
      <w:tr w:rsidR="00584EC1" w14:paraId="74DD6379" w14:textId="77777777">
        <w:trPr>
          <w:hidden/>
        </w:trPr>
        <w:tc>
          <w:tcPr>
            <w:tcW w:w="0" w:type="auto"/>
            <w:gridSpan w:val="3"/>
            <w:shd w:val="clear" w:color="auto" w:fill="auto"/>
            <w:vAlign w:val="bottom"/>
          </w:tcPr>
          <w:p w14:paraId="74DD636E" w14:textId="77777777" w:rsidR="00584EC1" w:rsidRDefault="00584EC1">
            <w:pPr>
              <w:rPr>
                <w:rFonts w:ascii="宋体"/>
                <w:vanish/>
              </w:rPr>
            </w:pPr>
          </w:p>
        </w:tc>
        <w:tc>
          <w:tcPr>
            <w:tcW w:w="0" w:type="auto"/>
            <w:gridSpan w:val="3"/>
            <w:shd w:val="clear" w:color="auto" w:fill="auto"/>
            <w:vAlign w:val="bottom"/>
          </w:tcPr>
          <w:p w14:paraId="74DD636F" w14:textId="77777777" w:rsidR="00584EC1" w:rsidRDefault="00584EC1">
            <w:pPr>
              <w:rPr>
                <w:rFonts w:ascii="宋体"/>
                <w:vanish/>
              </w:rPr>
            </w:pPr>
          </w:p>
        </w:tc>
        <w:tc>
          <w:tcPr>
            <w:tcW w:w="0" w:type="auto"/>
            <w:gridSpan w:val="3"/>
            <w:shd w:val="clear" w:color="auto" w:fill="auto"/>
            <w:vAlign w:val="bottom"/>
          </w:tcPr>
          <w:p w14:paraId="74DD6370" w14:textId="77777777" w:rsidR="00584EC1" w:rsidRDefault="00584EC1">
            <w:pPr>
              <w:rPr>
                <w:rFonts w:ascii="宋体"/>
                <w:vanish/>
              </w:rPr>
            </w:pPr>
          </w:p>
        </w:tc>
        <w:tc>
          <w:tcPr>
            <w:tcW w:w="0" w:type="auto"/>
            <w:gridSpan w:val="3"/>
            <w:shd w:val="clear" w:color="auto" w:fill="auto"/>
            <w:vAlign w:val="bottom"/>
          </w:tcPr>
          <w:p w14:paraId="74DD6371" w14:textId="77777777" w:rsidR="00584EC1" w:rsidRDefault="00584EC1">
            <w:pPr>
              <w:rPr>
                <w:rFonts w:ascii="宋体"/>
                <w:vanish/>
              </w:rPr>
            </w:pPr>
          </w:p>
        </w:tc>
        <w:tc>
          <w:tcPr>
            <w:tcW w:w="0" w:type="auto"/>
            <w:gridSpan w:val="3"/>
            <w:shd w:val="clear" w:color="auto" w:fill="auto"/>
            <w:vAlign w:val="bottom"/>
          </w:tcPr>
          <w:p w14:paraId="74DD6372" w14:textId="77777777" w:rsidR="00584EC1" w:rsidRDefault="00584EC1">
            <w:pPr>
              <w:rPr>
                <w:rFonts w:ascii="宋体"/>
                <w:vanish/>
              </w:rPr>
            </w:pPr>
          </w:p>
        </w:tc>
        <w:tc>
          <w:tcPr>
            <w:tcW w:w="0" w:type="auto"/>
            <w:gridSpan w:val="3"/>
            <w:shd w:val="clear" w:color="auto" w:fill="auto"/>
            <w:vAlign w:val="bottom"/>
          </w:tcPr>
          <w:p w14:paraId="74DD6373" w14:textId="77777777" w:rsidR="00584EC1" w:rsidRDefault="00584EC1">
            <w:pPr>
              <w:rPr>
                <w:rFonts w:ascii="宋体"/>
                <w:vanish/>
              </w:rPr>
            </w:pPr>
          </w:p>
        </w:tc>
        <w:tc>
          <w:tcPr>
            <w:tcW w:w="0" w:type="auto"/>
            <w:gridSpan w:val="3"/>
            <w:shd w:val="clear" w:color="auto" w:fill="auto"/>
            <w:vAlign w:val="bottom"/>
          </w:tcPr>
          <w:p w14:paraId="74DD6374" w14:textId="77777777" w:rsidR="00584EC1" w:rsidRDefault="00584EC1">
            <w:pPr>
              <w:rPr>
                <w:rFonts w:ascii="宋体"/>
                <w:vanish/>
              </w:rPr>
            </w:pPr>
          </w:p>
        </w:tc>
        <w:tc>
          <w:tcPr>
            <w:tcW w:w="0" w:type="auto"/>
            <w:gridSpan w:val="3"/>
            <w:shd w:val="clear" w:color="auto" w:fill="auto"/>
            <w:vAlign w:val="bottom"/>
          </w:tcPr>
          <w:p w14:paraId="74DD6375" w14:textId="77777777" w:rsidR="00584EC1" w:rsidRDefault="00584EC1">
            <w:pPr>
              <w:rPr>
                <w:rFonts w:ascii="宋体"/>
                <w:vanish/>
              </w:rPr>
            </w:pPr>
          </w:p>
        </w:tc>
        <w:tc>
          <w:tcPr>
            <w:tcW w:w="0" w:type="auto"/>
            <w:gridSpan w:val="3"/>
            <w:shd w:val="clear" w:color="auto" w:fill="auto"/>
            <w:vAlign w:val="bottom"/>
          </w:tcPr>
          <w:p w14:paraId="74DD6376" w14:textId="77777777" w:rsidR="00584EC1" w:rsidRDefault="00584EC1">
            <w:pPr>
              <w:rPr>
                <w:rFonts w:ascii="宋体"/>
                <w:vanish/>
              </w:rPr>
            </w:pPr>
          </w:p>
        </w:tc>
        <w:tc>
          <w:tcPr>
            <w:tcW w:w="0" w:type="auto"/>
            <w:gridSpan w:val="3"/>
            <w:shd w:val="clear" w:color="auto" w:fill="auto"/>
            <w:vAlign w:val="bottom"/>
          </w:tcPr>
          <w:p w14:paraId="74DD6377" w14:textId="77777777" w:rsidR="00584EC1" w:rsidRDefault="00584EC1">
            <w:pPr>
              <w:rPr>
                <w:rFonts w:ascii="宋体"/>
                <w:vanish/>
              </w:rPr>
            </w:pPr>
          </w:p>
        </w:tc>
        <w:tc>
          <w:tcPr>
            <w:tcW w:w="0" w:type="auto"/>
            <w:gridSpan w:val="3"/>
            <w:shd w:val="clear" w:color="auto" w:fill="auto"/>
            <w:vAlign w:val="bottom"/>
          </w:tcPr>
          <w:p w14:paraId="74DD6378" w14:textId="77777777" w:rsidR="00584EC1" w:rsidRDefault="00584EC1">
            <w:pPr>
              <w:rPr>
                <w:rFonts w:ascii="宋体"/>
                <w:vanish/>
              </w:rPr>
            </w:pPr>
          </w:p>
        </w:tc>
      </w:tr>
      <w:tr w:rsidR="00584EC1" w14:paraId="74DD6385" w14:textId="77777777">
        <w:trPr>
          <w:hidden/>
        </w:trPr>
        <w:tc>
          <w:tcPr>
            <w:tcW w:w="0" w:type="auto"/>
            <w:gridSpan w:val="3"/>
            <w:shd w:val="clear" w:color="auto" w:fill="auto"/>
            <w:vAlign w:val="bottom"/>
          </w:tcPr>
          <w:p w14:paraId="74DD637A" w14:textId="77777777" w:rsidR="00584EC1" w:rsidRDefault="00584EC1">
            <w:pPr>
              <w:rPr>
                <w:rFonts w:ascii="宋体"/>
                <w:vanish/>
              </w:rPr>
            </w:pPr>
          </w:p>
        </w:tc>
        <w:tc>
          <w:tcPr>
            <w:tcW w:w="0" w:type="auto"/>
            <w:gridSpan w:val="3"/>
            <w:shd w:val="clear" w:color="auto" w:fill="auto"/>
            <w:vAlign w:val="bottom"/>
          </w:tcPr>
          <w:p w14:paraId="74DD637B" w14:textId="77777777" w:rsidR="00584EC1" w:rsidRDefault="00584EC1">
            <w:pPr>
              <w:rPr>
                <w:rFonts w:ascii="宋体"/>
                <w:vanish/>
              </w:rPr>
            </w:pPr>
          </w:p>
        </w:tc>
        <w:tc>
          <w:tcPr>
            <w:tcW w:w="0" w:type="auto"/>
            <w:gridSpan w:val="3"/>
            <w:shd w:val="clear" w:color="auto" w:fill="auto"/>
            <w:vAlign w:val="bottom"/>
          </w:tcPr>
          <w:p w14:paraId="74DD637C" w14:textId="77777777" w:rsidR="00584EC1" w:rsidRDefault="00584EC1">
            <w:pPr>
              <w:rPr>
                <w:rFonts w:ascii="宋体"/>
                <w:vanish/>
              </w:rPr>
            </w:pPr>
          </w:p>
        </w:tc>
        <w:tc>
          <w:tcPr>
            <w:tcW w:w="0" w:type="auto"/>
            <w:gridSpan w:val="3"/>
            <w:shd w:val="clear" w:color="auto" w:fill="auto"/>
            <w:vAlign w:val="bottom"/>
          </w:tcPr>
          <w:p w14:paraId="74DD637D" w14:textId="77777777" w:rsidR="00584EC1" w:rsidRDefault="00584EC1">
            <w:pPr>
              <w:rPr>
                <w:rFonts w:ascii="宋体"/>
                <w:vanish/>
              </w:rPr>
            </w:pPr>
          </w:p>
        </w:tc>
        <w:tc>
          <w:tcPr>
            <w:tcW w:w="0" w:type="auto"/>
            <w:gridSpan w:val="3"/>
            <w:shd w:val="clear" w:color="auto" w:fill="auto"/>
            <w:vAlign w:val="bottom"/>
          </w:tcPr>
          <w:p w14:paraId="74DD637E" w14:textId="77777777" w:rsidR="00584EC1" w:rsidRDefault="00584EC1">
            <w:pPr>
              <w:rPr>
                <w:rFonts w:ascii="宋体"/>
                <w:vanish/>
              </w:rPr>
            </w:pPr>
          </w:p>
        </w:tc>
        <w:tc>
          <w:tcPr>
            <w:tcW w:w="0" w:type="auto"/>
            <w:gridSpan w:val="3"/>
            <w:shd w:val="clear" w:color="auto" w:fill="auto"/>
            <w:vAlign w:val="bottom"/>
          </w:tcPr>
          <w:p w14:paraId="74DD637F" w14:textId="77777777" w:rsidR="00584EC1" w:rsidRDefault="00584EC1">
            <w:pPr>
              <w:rPr>
                <w:rFonts w:ascii="宋体"/>
                <w:vanish/>
              </w:rPr>
            </w:pPr>
          </w:p>
        </w:tc>
        <w:tc>
          <w:tcPr>
            <w:tcW w:w="0" w:type="auto"/>
            <w:gridSpan w:val="3"/>
            <w:shd w:val="clear" w:color="auto" w:fill="auto"/>
            <w:vAlign w:val="bottom"/>
          </w:tcPr>
          <w:p w14:paraId="74DD6380" w14:textId="77777777" w:rsidR="00584EC1" w:rsidRDefault="00584EC1">
            <w:pPr>
              <w:rPr>
                <w:rFonts w:ascii="宋体"/>
                <w:vanish/>
              </w:rPr>
            </w:pPr>
          </w:p>
        </w:tc>
        <w:tc>
          <w:tcPr>
            <w:tcW w:w="0" w:type="auto"/>
            <w:gridSpan w:val="3"/>
            <w:shd w:val="clear" w:color="auto" w:fill="auto"/>
            <w:vAlign w:val="bottom"/>
          </w:tcPr>
          <w:p w14:paraId="74DD6381" w14:textId="77777777" w:rsidR="00584EC1" w:rsidRDefault="00584EC1">
            <w:pPr>
              <w:rPr>
                <w:rFonts w:ascii="宋体"/>
                <w:vanish/>
              </w:rPr>
            </w:pPr>
          </w:p>
        </w:tc>
        <w:tc>
          <w:tcPr>
            <w:tcW w:w="0" w:type="auto"/>
            <w:gridSpan w:val="3"/>
            <w:shd w:val="clear" w:color="auto" w:fill="auto"/>
            <w:vAlign w:val="bottom"/>
          </w:tcPr>
          <w:p w14:paraId="74DD6382" w14:textId="77777777" w:rsidR="00584EC1" w:rsidRDefault="00584EC1">
            <w:pPr>
              <w:rPr>
                <w:rFonts w:ascii="宋体"/>
                <w:vanish/>
              </w:rPr>
            </w:pPr>
          </w:p>
        </w:tc>
        <w:tc>
          <w:tcPr>
            <w:tcW w:w="0" w:type="auto"/>
            <w:gridSpan w:val="3"/>
            <w:shd w:val="clear" w:color="auto" w:fill="auto"/>
            <w:vAlign w:val="bottom"/>
          </w:tcPr>
          <w:p w14:paraId="74DD6383" w14:textId="77777777" w:rsidR="00584EC1" w:rsidRDefault="00584EC1">
            <w:pPr>
              <w:rPr>
                <w:rFonts w:ascii="宋体"/>
                <w:vanish/>
              </w:rPr>
            </w:pPr>
          </w:p>
        </w:tc>
        <w:tc>
          <w:tcPr>
            <w:tcW w:w="0" w:type="auto"/>
            <w:gridSpan w:val="3"/>
            <w:shd w:val="clear" w:color="auto" w:fill="auto"/>
            <w:vAlign w:val="bottom"/>
          </w:tcPr>
          <w:p w14:paraId="74DD6384" w14:textId="77777777" w:rsidR="00584EC1" w:rsidRDefault="00584EC1">
            <w:pPr>
              <w:rPr>
                <w:rFonts w:ascii="宋体"/>
                <w:vanish/>
              </w:rPr>
            </w:pPr>
          </w:p>
        </w:tc>
      </w:tr>
      <w:tr w:rsidR="00584EC1" w14:paraId="74DD6391" w14:textId="77777777">
        <w:trPr>
          <w:hidden/>
        </w:trPr>
        <w:tc>
          <w:tcPr>
            <w:tcW w:w="0" w:type="auto"/>
            <w:gridSpan w:val="3"/>
            <w:shd w:val="clear" w:color="auto" w:fill="auto"/>
            <w:vAlign w:val="bottom"/>
          </w:tcPr>
          <w:p w14:paraId="74DD6386" w14:textId="77777777" w:rsidR="00584EC1" w:rsidRDefault="00584EC1">
            <w:pPr>
              <w:rPr>
                <w:rFonts w:ascii="宋体"/>
                <w:vanish/>
              </w:rPr>
            </w:pPr>
          </w:p>
        </w:tc>
        <w:tc>
          <w:tcPr>
            <w:tcW w:w="0" w:type="auto"/>
            <w:gridSpan w:val="3"/>
            <w:shd w:val="clear" w:color="auto" w:fill="auto"/>
            <w:vAlign w:val="bottom"/>
          </w:tcPr>
          <w:p w14:paraId="74DD6387" w14:textId="77777777" w:rsidR="00584EC1" w:rsidRDefault="00584EC1">
            <w:pPr>
              <w:rPr>
                <w:rFonts w:ascii="宋体"/>
                <w:vanish/>
              </w:rPr>
            </w:pPr>
          </w:p>
        </w:tc>
        <w:tc>
          <w:tcPr>
            <w:tcW w:w="0" w:type="auto"/>
            <w:gridSpan w:val="3"/>
            <w:shd w:val="clear" w:color="auto" w:fill="auto"/>
            <w:vAlign w:val="bottom"/>
          </w:tcPr>
          <w:p w14:paraId="74DD6388" w14:textId="77777777" w:rsidR="00584EC1" w:rsidRDefault="00584EC1">
            <w:pPr>
              <w:rPr>
                <w:rFonts w:ascii="宋体"/>
                <w:vanish/>
              </w:rPr>
            </w:pPr>
          </w:p>
        </w:tc>
        <w:tc>
          <w:tcPr>
            <w:tcW w:w="0" w:type="auto"/>
            <w:gridSpan w:val="3"/>
            <w:shd w:val="clear" w:color="auto" w:fill="auto"/>
            <w:vAlign w:val="bottom"/>
          </w:tcPr>
          <w:p w14:paraId="74DD6389" w14:textId="77777777" w:rsidR="00584EC1" w:rsidRDefault="00584EC1">
            <w:pPr>
              <w:rPr>
                <w:rFonts w:ascii="宋体"/>
                <w:vanish/>
              </w:rPr>
            </w:pPr>
          </w:p>
        </w:tc>
        <w:tc>
          <w:tcPr>
            <w:tcW w:w="0" w:type="auto"/>
            <w:gridSpan w:val="3"/>
            <w:shd w:val="clear" w:color="auto" w:fill="auto"/>
            <w:vAlign w:val="bottom"/>
          </w:tcPr>
          <w:p w14:paraId="74DD638A" w14:textId="77777777" w:rsidR="00584EC1" w:rsidRDefault="00584EC1">
            <w:pPr>
              <w:rPr>
                <w:rFonts w:ascii="宋体"/>
                <w:vanish/>
              </w:rPr>
            </w:pPr>
          </w:p>
        </w:tc>
        <w:tc>
          <w:tcPr>
            <w:tcW w:w="0" w:type="auto"/>
            <w:gridSpan w:val="3"/>
            <w:shd w:val="clear" w:color="auto" w:fill="auto"/>
            <w:vAlign w:val="bottom"/>
          </w:tcPr>
          <w:p w14:paraId="74DD638B" w14:textId="77777777" w:rsidR="00584EC1" w:rsidRDefault="00584EC1">
            <w:pPr>
              <w:rPr>
                <w:rFonts w:ascii="宋体"/>
                <w:vanish/>
              </w:rPr>
            </w:pPr>
          </w:p>
        </w:tc>
        <w:tc>
          <w:tcPr>
            <w:tcW w:w="0" w:type="auto"/>
            <w:gridSpan w:val="3"/>
            <w:shd w:val="clear" w:color="auto" w:fill="auto"/>
            <w:vAlign w:val="bottom"/>
          </w:tcPr>
          <w:p w14:paraId="74DD638C" w14:textId="77777777" w:rsidR="00584EC1" w:rsidRDefault="00584EC1">
            <w:pPr>
              <w:rPr>
                <w:rFonts w:ascii="宋体"/>
                <w:vanish/>
              </w:rPr>
            </w:pPr>
          </w:p>
        </w:tc>
        <w:tc>
          <w:tcPr>
            <w:tcW w:w="0" w:type="auto"/>
            <w:gridSpan w:val="3"/>
            <w:shd w:val="clear" w:color="auto" w:fill="auto"/>
            <w:vAlign w:val="bottom"/>
          </w:tcPr>
          <w:p w14:paraId="74DD638D" w14:textId="77777777" w:rsidR="00584EC1" w:rsidRDefault="00584EC1">
            <w:pPr>
              <w:rPr>
                <w:rFonts w:ascii="宋体"/>
                <w:vanish/>
              </w:rPr>
            </w:pPr>
          </w:p>
        </w:tc>
        <w:tc>
          <w:tcPr>
            <w:tcW w:w="0" w:type="auto"/>
            <w:gridSpan w:val="3"/>
            <w:shd w:val="clear" w:color="auto" w:fill="auto"/>
            <w:vAlign w:val="bottom"/>
          </w:tcPr>
          <w:p w14:paraId="74DD638E" w14:textId="77777777" w:rsidR="00584EC1" w:rsidRDefault="00584EC1">
            <w:pPr>
              <w:rPr>
                <w:rFonts w:ascii="宋体"/>
                <w:vanish/>
              </w:rPr>
            </w:pPr>
          </w:p>
        </w:tc>
        <w:tc>
          <w:tcPr>
            <w:tcW w:w="0" w:type="auto"/>
            <w:gridSpan w:val="3"/>
            <w:shd w:val="clear" w:color="auto" w:fill="auto"/>
            <w:vAlign w:val="bottom"/>
          </w:tcPr>
          <w:p w14:paraId="74DD638F" w14:textId="77777777" w:rsidR="00584EC1" w:rsidRDefault="00584EC1">
            <w:pPr>
              <w:rPr>
                <w:rFonts w:ascii="宋体"/>
                <w:vanish/>
              </w:rPr>
            </w:pPr>
          </w:p>
        </w:tc>
        <w:tc>
          <w:tcPr>
            <w:tcW w:w="0" w:type="auto"/>
            <w:gridSpan w:val="3"/>
            <w:shd w:val="clear" w:color="auto" w:fill="auto"/>
            <w:vAlign w:val="bottom"/>
          </w:tcPr>
          <w:p w14:paraId="74DD6390" w14:textId="77777777" w:rsidR="00584EC1" w:rsidRDefault="00584EC1">
            <w:pPr>
              <w:rPr>
                <w:rFonts w:ascii="宋体"/>
                <w:vanish/>
              </w:rPr>
            </w:pPr>
          </w:p>
        </w:tc>
      </w:tr>
      <w:tr w:rsidR="00584EC1" w14:paraId="74DD639D" w14:textId="77777777">
        <w:trPr>
          <w:hidden/>
        </w:trPr>
        <w:tc>
          <w:tcPr>
            <w:tcW w:w="0" w:type="auto"/>
            <w:gridSpan w:val="3"/>
            <w:shd w:val="clear" w:color="auto" w:fill="auto"/>
            <w:vAlign w:val="bottom"/>
          </w:tcPr>
          <w:p w14:paraId="74DD6392" w14:textId="77777777" w:rsidR="00584EC1" w:rsidRDefault="00584EC1">
            <w:pPr>
              <w:rPr>
                <w:rFonts w:ascii="宋体"/>
                <w:vanish/>
              </w:rPr>
            </w:pPr>
          </w:p>
        </w:tc>
        <w:tc>
          <w:tcPr>
            <w:tcW w:w="0" w:type="auto"/>
            <w:gridSpan w:val="3"/>
            <w:shd w:val="clear" w:color="auto" w:fill="auto"/>
            <w:vAlign w:val="bottom"/>
          </w:tcPr>
          <w:p w14:paraId="74DD6393" w14:textId="77777777" w:rsidR="00584EC1" w:rsidRDefault="00584EC1">
            <w:pPr>
              <w:rPr>
                <w:rFonts w:ascii="宋体"/>
                <w:vanish/>
              </w:rPr>
            </w:pPr>
          </w:p>
        </w:tc>
        <w:tc>
          <w:tcPr>
            <w:tcW w:w="0" w:type="auto"/>
            <w:gridSpan w:val="3"/>
            <w:shd w:val="clear" w:color="auto" w:fill="auto"/>
            <w:vAlign w:val="bottom"/>
          </w:tcPr>
          <w:p w14:paraId="74DD6394" w14:textId="77777777" w:rsidR="00584EC1" w:rsidRDefault="00584EC1">
            <w:pPr>
              <w:rPr>
                <w:rFonts w:ascii="宋体"/>
                <w:vanish/>
              </w:rPr>
            </w:pPr>
          </w:p>
        </w:tc>
        <w:tc>
          <w:tcPr>
            <w:tcW w:w="0" w:type="auto"/>
            <w:gridSpan w:val="3"/>
            <w:shd w:val="clear" w:color="auto" w:fill="auto"/>
            <w:vAlign w:val="bottom"/>
          </w:tcPr>
          <w:p w14:paraId="74DD6395" w14:textId="77777777" w:rsidR="00584EC1" w:rsidRDefault="00584EC1">
            <w:pPr>
              <w:rPr>
                <w:rFonts w:ascii="宋体"/>
                <w:vanish/>
              </w:rPr>
            </w:pPr>
          </w:p>
        </w:tc>
        <w:tc>
          <w:tcPr>
            <w:tcW w:w="0" w:type="auto"/>
            <w:gridSpan w:val="3"/>
            <w:shd w:val="clear" w:color="auto" w:fill="auto"/>
            <w:vAlign w:val="bottom"/>
          </w:tcPr>
          <w:p w14:paraId="74DD6396" w14:textId="77777777" w:rsidR="00584EC1" w:rsidRDefault="00584EC1">
            <w:pPr>
              <w:rPr>
                <w:rFonts w:ascii="宋体"/>
                <w:vanish/>
              </w:rPr>
            </w:pPr>
          </w:p>
        </w:tc>
        <w:tc>
          <w:tcPr>
            <w:tcW w:w="0" w:type="auto"/>
            <w:gridSpan w:val="3"/>
            <w:shd w:val="clear" w:color="auto" w:fill="auto"/>
            <w:vAlign w:val="bottom"/>
          </w:tcPr>
          <w:p w14:paraId="74DD6397" w14:textId="77777777" w:rsidR="00584EC1" w:rsidRDefault="00584EC1">
            <w:pPr>
              <w:rPr>
                <w:rFonts w:ascii="宋体"/>
                <w:vanish/>
              </w:rPr>
            </w:pPr>
          </w:p>
        </w:tc>
        <w:tc>
          <w:tcPr>
            <w:tcW w:w="0" w:type="auto"/>
            <w:gridSpan w:val="3"/>
            <w:shd w:val="clear" w:color="auto" w:fill="auto"/>
            <w:vAlign w:val="bottom"/>
          </w:tcPr>
          <w:p w14:paraId="74DD6398" w14:textId="77777777" w:rsidR="00584EC1" w:rsidRDefault="00584EC1">
            <w:pPr>
              <w:rPr>
                <w:rFonts w:ascii="宋体"/>
                <w:vanish/>
              </w:rPr>
            </w:pPr>
          </w:p>
        </w:tc>
        <w:tc>
          <w:tcPr>
            <w:tcW w:w="0" w:type="auto"/>
            <w:gridSpan w:val="3"/>
            <w:shd w:val="clear" w:color="auto" w:fill="auto"/>
            <w:vAlign w:val="bottom"/>
          </w:tcPr>
          <w:p w14:paraId="74DD6399" w14:textId="77777777" w:rsidR="00584EC1" w:rsidRDefault="00584EC1">
            <w:pPr>
              <w:rPr>
                <w:rFonts w:ascii="宋体"/>
                <w:vanish/>
              </w:rPr>
            </w:pPr>
          </w:p>
        </w:tc>
        <w:tc>
          <w:tcPr>
            <w:tcW w:w="0" w:type="auto"/>
            <w:gridSpan w:val="3"/>
            <w:shd w:val="clear" w:color="auto" w:fill="auto"/>
            <w:vAlign w:val="bottom"/>
          </w:tcPr>
          <w:p w14:paraId="74DD639A" w14:textId="77777777" w:rsidR="00584EC1" w:rsidRDefault="00584EC1">
            <w:pPr>
              <w:rPr>
                <w:rFonts w:ascii="宋体"/>
                <w:vanish/>
              </w:rPr>
            </w:pPr>
          </w:p>
        </w:tc>
        <w:tc>
          <w:tcPr>
            <w:tcW w:w="0" w:type="auto"/>
            <w:gridSpan w:val="3"/>
            <w:shd w:val="clear" w:color="auto" w:fill="auto"/>
            <w:vAlign w:val="bottom"/>
          </w:tcPr>
          <w:p w14:paraId="74DD639B" w14:textId="77777777" w:rsidR="00584EC1" w:rsidRDefault="00584EC1">
            <w:pPr>
              <w:rPr>
                <w:rFonts w:ascii="宋体"/>
                <w:vanish/>
              </w:rPr>
            </w:pPr>
          </w:p>
        </w:tc>
        <w:tc>
          <w:tcPr>
            <w:tcW w:w="0" w:type="auto"/>
            <w:gridSpan w:val="3"/>
            <w:shd w:val="clear" w:color="auto" w:fill="auto"/>
            <w:vAlign w:val="bottom"/>
          </w:tcPr>
          <w:p w14:paraId="74DD639C" w14:textId="77777777" w:rsidR="00584EC1" w:rsidRDefault="00584EC1">
            <w:pPr>
              <w:rPr>
                <w:rFonts w:ascii="宋体"/>
                <w:vanish/>
              </w:rPr>
            </w:pPr>
          </w:p>
        </w:tc>
      </w:tr>
      <w:tr w:rsidR="00584EC1" w14:paraId="74DD63A9" w14:textId="77777777">
        <w:trPr>
          <w:hidden/>
        </w:trPr>
        <w:tc>
          <w:tcPr>
            <w:tcW w:w="0" w:type="auto"/>
            <w:gridSpan w:val="3"/>
            <w:shd w:val="clear" w:color="auto" w:fill="auto"/>
            <w:vAlign w:val="bottom"/>
          </w:tcPr>
          <w:p w14:paraId="74DD639E" w14:textId="77777777" w:rsidR="00584EC1" w:rsidRDefault="00584EC1">
            <w:pPr>
              <w:rPr>
                <w:rFonts w:ascii="宋体"/>
                <w:vanish/>
              </w:rPr>
            </w:pPr>
          </w:p>
        </w:tc>
        <w:tc>
          <w:tcPr>
            <w:tcW w:w="0" w:type="auto"/>
            <w:gridSpan w:val="3"/>
            <w:shd w:val="clear" w:color="auto" w:fill="auto"/>
            <w:vAlign w:val="bottom"/>
          </w:tcPr>
          <w:p w14:paraId="74DD639F" w14:textId="77777777" w:rsidR="00584EC1" w:rsidRDefault="00584EC1">
            <w:pPr>
              <w:rPr>
                <w:rFonts w:ascii="宋体"/>
                <w:vanish/>
              </w:rPr>
            </w:pPr>
          </w:p>
        </w:tc>
        <w:tc>
          <w:tcPr>
            <w:tcW w:w="0" w:type="auto"/>
            <w:gridSpan w:val="3"/>
            <w:shd w:val="clear" w:color="auto" w:fill="auto"/>
            <w:vAlign w:val="bottom"/>
          </w:tcPr>
          <w:p w14:paraId="74DD63A0" w14:textId="77777777" w:rsidR="00584EC1" w:rsidRDefault="00584EC1">
            <w:pPr>
              <w:rPr>
                <w:rFonts w:ascii="宋体"/>
                <w:vanish/>
              </w:rPr>
            </w:pPr>
          </w:p>
        </w:tc>
        <w:tc>
          <w:tcPr>
            <w:tcW w:w="0" w:type="auto"/>
            <w:gridSpan w:val="3"/>
            <w:shd w:val="clear" w:color="auto" w:fill="auto"/>
            <w:vAlign w:val="bottom"/>
          </w:tcPr>
          <w:p w14:paraId="74DD63A1" w14:textId="77777777" w:rsidR="00584EC1" w:rsidRDefault="00584EC1">
            <w:pPr>
              <w:rPr>
                <w:rFonts w:ascii="宋体"/>
                <w:vanish/>
              </w:rPr>
            </w:pPr>
          </w:p>
        </w:tc>
        <w:tc>
          <w:tcPr>
            <w:tcW w:w="0" w:type="auto"/>
            <w:gridSpan w:val="3"/>
            <w:shd w:val="clear" w:color="auto" w:fill="auto"/>
            <w:vAlign w:val="bottom"/>
          </w:tcPr>
          <w:p w14:paraId="74DD63A2" w14:textId="77777777" w:rsidR="00584EC1" w:rsidRDefault="00584EC1">
            <w:pPr>
              <w:rPr>
                <w:rFonts w:ascii="宋体"/>
                <w:vanish/>
              </w:rPr>
            </w:pPr>
          </w:p>
        </w:tc>
        <w:tc>
          <w:tcPr>
            <w:tcW w:w="0" w:type="auto"/>
            <w:gridSpan w:val="3"/>
            <w:shd w:val="clear" w:color="auto" w:fill="auto"/>
            <w:vAlign w:val="bottom"/>
          </w:tcPr>
          <w:p w14:paraId="74DD63A3" w14:textId="77777777" w:rsidR="00584EC1" w:rsidRDefault="00584EC1">
            <w:pPr>
              <w:rPr>
                <w:rFonts w:ascii="宋体"/>
                <w:vanish/>
              </w:rPr>
            </w:pPr>
          </w:p>
        </w:tc>
        <w:tc>
          <w:tcPr>
            <w:tcW w:w="0" w:type="auto"/>
            <w:gridSpan w:val="3"/>
            <w:shd w:val="clear" w:color="auto" w:fill="auto"/>
            <w:vAlign w:val="bottom"/>
          </w:tcPr>
          <w:p w14:paraId="74DD63A4" w14:textId="77777777" w:rsidR="00584EC1" w:rsidRDefault="00584EC1">
            <w:pPr>
              <w:rPr>
                <w:rFonts w:ascii="宋体"/>
                <w:vanish/>
              </w:rPr>
            </w:pPr>
          </w:p>
        </w:tc>
        <w:tc>
          <w:tcPr>
            <w:tcW w:w="0" w:type="auto"/>
            <w:gridSpan w:val="3"/>
            <w:shd w:val="clear" w:color="auto" w:fill="auto"/>
            <w:vAlign w:val="bottom"/>
          </w:tcPr>
          <w:p w14:paraId="74DD63A5" w14:textId="77777777" w:rsidR="00584EC1" w:rsidRDefault="00584EC1">
            <w:pPr>
              <w:rPr>
                <w:rFonts w:ascii="宋体"/>
                <w:vanish/>
              </w:rPr>
            </w:pPr>
          </w:p>
        </w:tc>
        <w:tc>
          <w:tcPr>
            <w:tcW w:w="0" w:type="auto"/>
            <w:gridSpan w:val="3"/>
            <w:shd w:val="clear" w:color="auto" w:fill="auto"/>
            <w:vAlign w:val="bottom"/>
          </w:tcPr>
          <w:p w14:paraId="74DD63A6" w14:textId="77777777" w:rsidR="00584EC1" w:rsidRDefault="00584EC1">
            <w:pPr>
              <w:rPr>
                <w:rFonts w:ascii="宋体"/>
                <w:vanish/>
              </w:rPr>
            </w:pPr>
          </w:p>
        </w:tc>
        <w:tc>
          <w:tcPr>
            <w:tcW w:w="0" w:type="auto"/>
            <w:gridSpan w:val="3"/>
            <w:shd w:val="clear" w:color="auto" w:fill="auto"/>
            <w:vAlign w:val="bottom"/>
          </w:tcPr>
          <w:p w14:paraId="74DD63A7" w14:textId="77777777" w:rsidR="00584EC1" w:rsidRDefault="00584EC1">
            <w:pPr>
              <w:rPr>
                <w:rFonts w:ascii="宋体"/>
                <w:vanish/>
              </w:rPr>
            </w:pPr>
          </w:p>
        </w:tc>
        <w:tc>
          <w:tcPr>
            <w:tcW w:w="0" w:type="auto"/>
            <w:gridSpan w:val="3"/>
            <w:shd w:val="clear" w:color="auto" w:fill="auto"/>
            <w:vAlign w:val="bottom"/>
          </w:tcPr>
          <w:p w14:paraId="74DD63A8" w14:textId="77777777" w:rsidR="00584EC1" w:rsidRDefault="00584EC1">
            <w:pPr>
              <w:rPr>
                <w:rFonts w:ascii="宋体"/>
                <w:vanish/>
              </w:rPr>
            </w:pPr>
          </w:p>
        </w:tc>
      </w:tr>
      <w:tr w:rsidR="00584EC1" w14:paraId="74DD63B5" w14:textId="77777777">
        <w:trPr>
          <w:hidden/>
        </w:trPr>
        <w:tc>
          <w:tcPr>
            <w:tcW w:w="0" w:type="auto"/>
            <w:gridSpan w:val="3"/>
            <w:shd w:val="clear" w:color="auto" w:fill="auto"/>
            <w:vAlign w:val="bottom"/>
          </w:tcPr>
          <w:p w14:paraId="74DD63AA" w14:textId="77777777" w:rsidR="00584EC1" w:rsidRDefault="00584EC1">
            <w:pPr>
              <w:rPr>
                <w:rFonts w:ascii="宋体"/>
                <w:vanish/>
              </w:rPr>
            </w:pPr>
          </w:p>
        </w:tc>
        <w:tc>
          <w:tcPr>
            <w:tcW w:w="0" w:type="auto"/>
            <w:gridSpan w:val="3"/>
            <w:shd w:val="clear" w:color="auto" w:fill="auto"/>
            <w:vAlign w:val="bottom"/>
          </w:tcPr>
          <w:p w14:paraId="74DD63AB" w14:textId="77777777" w:rsidR="00584EC1" w:rsidRDefault="00584EC1">
            <w:pPr>
              <w:rPr>
                <w:rFonts w:ascii="宋体"/>
                <w:vanish/>
              </w:rPr>
            </w:pPr>
          </w:p>
        </w:tc>
        <w:tc>
          <w:tcPr>
            <w:tcW w:w="0" w:type="auto"/>
            <w:gridSpan w:val="3"/>
            <w:shd w:val="clear" w:color="auto" w:fill="auto"/>
            <w:vAlign w:val="bottom"/>
          </w:tcPr>
          <w:p w14:paraId="74DD63AC" w14:textId="77777777" w:rsidR="00584EC1" w:rsidRDefault="00584EC1">
            <w:pPr>
              <w:rPr>
                <w:rFonts w:ascii="宋体"/>
                <w:vanish/>
              </w:rPr>
            </w:pPr>
          </w:p>
        </w:tc>
        <w:tc>
          <w:tcPr>
            <w:tcW w:w="0" w:type="auto"/>
            <w:gridSpan w:val="3"/>
            <w:shd w:val="clear" w:color="auto" w:fill="auto"/>
            <w:vAlign w:val="bottom"/>
          </w:tcPr>
          <w:p w14:paraId="74DD63AD" w14:textId="77777777" w:rsidR="00584EC1" w:rsidRDefault="00584EC1">
            <w:pPr>
              <w:rPr>
                <w:rFonts w:ascii="宋体"/>
                <w:vanish/>
              </w:rPr>
            </w:pPr>
          </w:p>
        </w:tc>
        <w:tc>
          <w:tcPr>
            <w:tcW w:w="0" w:type="auto"/>
            <w:gridSpan w:val="3"/>
            <w:shd w:val="clear" w:color="auto" w:fill="auto"/>
            <w:vAlign w:val="bottom"/>
          </w:tcPr>
          <w:p w14:paraId="74DD63AE" w14:textId="77777777" w:rsidR="00584EC1" w:rsidRDefault="00584EC1">
            <w:pPr>
              <w:rPr>
                <w:rFonts w:ascii="宋体"/>
                <w:vanish/>
              </w:rPr>
            </w:pPr>
          </w:p>
        </w:tc>
        <w:tc>
          <w:tcPr>
            <w:tcW w:w="0" w:type="auto"/>
            <w:gridSpan w:val="3"/>
            <w:shd w:val="clear" w:color="auto" w:fill="auto"/>
            <w:vAlign w:val="bottom"/>
          </w:tcPr>
          <w:p w14:paraId="74DD63AF" w14:textId="77777777" w:rsidR="00584EC1" w:rsidRDefault="00584EC1">
            <w:pPr>
              <w:rPr>
                <w:rFonts w:ascii="宋体"/>
                <w:vanish/>
              </w:rPr>
            </w:pPr>
          </w:p>
        </w:tc>
        <w:tc>
          <w:tcPr>
            <w:tcW w:w="0" w:type="auto"/>
            <w:gridSpan w:val="3"/>
            <w:shd w:val="clear" w:color="auto" w:fill="auto"/>
            <w:vAlign w:val="bottom"/>
          </w:tcPr>
          <w:p w14:paraId="74DD63B0" w14:textId="77777777" w:rsidR="00584EC1" w:rsidRDefault="00584EC1">
            <w:pPr>
              <w:rPr>
                <w:rFonts w:ascii="宋体"/>
                <w:vanish/>
              </w:rPr>
            </w:pPr>
          </w:p>
        </w:tc>
        <w:tc>
          <w:tcPr>
            <w:tcW w:w="0" w:type="auto"/>
            <w:gridSpan w:val="3"/>
            <w:shd w:val="clear" w:color="auto" w:fill="auto"/>
            <w:vAlign w:val="bottom"/>
          </w:tcPr>
          <w:p w14:paraId="74DD63B1" w14:textId="77777777" w:rsidR="00584EC1" w:rsidRDefault="00584EC1">
            <w:pPr>
              <w:rPr>
                <w:rFonts w:ascii="宋体"/>
                <w:vanish/>
              </w:rPr>
            </w:pPr>
          </w:p>
        </w:tc>
        <w:tc>
          <w:tcPr>
            <w:tcW w:w="0" w:type="auto"/>
            <w:gridSpan w:val="3"/>
            <w:shd w:val="clear" w:color="auto" w:fill="auto"/>
            <w:vAlign w:val="bottom"/>
          </w:tcPr>
          <w:p w14:paraId="74DD63B2" w14:textId="77777777" w:rsidR="00584EC1" w:rsidRDefault="00584EC1">
            <w:pPr>
              <w:rPr>
                <w:rFonts w:ascii="宋体"/>
                <w:vanish/>
              </w:rPr>
            </w:pPr>
          </w:p>
        </w:tc>
        <w:tc>
          <w:tcPr>
            <w:tcW w:w="0" w:type="auto"/>
            <w:gridSpan w:val="3"/>
            <w:shd w:val="clear" w:color="auto" w:fill="auto"/>
            <w:vAlign w:val="bottom"/>
          </w:tcPr>
          <w:p w14:paraId="74DD63B3" w14:textId="77777777" w:rsidR="00584EC1" w:rsidRDefault="00584EC1">
            <w:pPr>
              <w:rPr>
                <w:rFonts w:ascii="宋体"/>
                <w:vanish/>
              </w:rPr>
            </w:pPr>
          </w:p>
        </w:tc>
        <w:tc>
          <w:tcPr>
            <w:tcW w:w="0" w:type="auto"/>
            <w:gridSpan w:val="3"/>
            <w:shd w:val="clear" w:color="auto" w:fill="auto"/>
            <w:vAlign w:val="bottom"/>
          </w:tcPr>
          <w:p w14:paraId="74DD63B4" w14:textId="77777777" w:rsidR="00584EC1" w:rsidRDefault="00584EC1">
            <w:pPr>
              <w:rPr>
                <w:rFonts w:ascii="宋体"/>
                <w:vanish/>
              </w:rPr>
            </w:pPr>
          </w:p>
        </w:tc>
      </w:tr>
      <w:tr w:rsidR="00584EC1" w14:paraId="74DD63C1" w14:textId="77777777">
        <w:trPr>
          <w:hidden/>
        </w:trPr>
        <w:tc>
          <w:tcPr>
            <w:tcW w:w="0" w:type="auto"/>
            <w:gridSpan w:val="3"/>
            <w:shd w:val="clear" w:color="auto" w:fill="auto"/>
            <w:vAlign w:val="bottom"/>
          </w:tcPr>
          <w:p w14:paraId="74DD63B6" w14:textId="77777777" w:rsidR="00584EC1" w:rsidRDefault="00584EC1">
            <w:pPr>
              <w:rPr>
                <w:rFonts w:ascii="宋体"/>
                <w:vanish/>
              </w:rPr>
            </w:pPr>
          </w:p>
        </w:tc>
        <w:tc>
          <w:tcPr>
            <w:tcW w:w="0" w:type="auto"/>
            <w:gridSpan w:val="3"/>
            <w:shd w:val="clear" w:color="auto" w:fill="auto"/>
            <w:vAlign w:val="bottom"/>
          </w:tcPr>
          <w:p w14:paraId="74DD63B7" w14:textId="77777777" w:rsidR="00584EC1" w:rsidRDefault="00584EC1">
            <w:pPr>
              <w:rPr>
                <w:rFonts w:ascii="宋体"/>
                <w:vanish/>
              </w:rPr>
            </w:pPr>
          </w:p>
        </w:tc>
        <w:tc>
          <w:tcPr>
            <w:tcW w:w="0" w:type="auto"/>
            <w:gridSpan w:val="3"/>
            <w:shd w:val="clear" w:color="auto" w:fill="auto"/>
            <w:vAlign w:val="bottom"/>
          </w:tcPr>
          <w:p w14:paraId="74DD63B8" w14:textId="77777777" w:rsidR="00584EC1" w:rsidRDefault="00584EC1">
            <w:pPr>
              <w:rPr>
                <w:rFonts w:ascii="宋体"/>
                <w:vanish/>
              </w:rPr>
            </w:pPr>
          </w:p>
        </w:tc>
        <w:tc>
          <w:tcPr>
            <w:tcW w:w="0" w:type="auto"/>
            <w:gridSpan w:val="3"/>
            <w:shd w:val="clear" w:color="auto" w:fill="auto"/>
            <w:vAlign w:val="bottom"/>
          </w:tcPr>
          <w:p w14:paraId="74DD63B9" w14:textId="77777777" w:rsidR="00584EC1" w:rsidRDefault="00584EC1">
            <w:pPr>
              <w:rPr>
                <w:rFonts w:ascii="宋体"/>
                <w:vanish/>
              </w:rPr>
            </w:pPr>
          </w:p>
        </w:tc>
        <w:tc>
          <w:tcPr>
            <w:tcW w:w="0" w:type="auto"/>
            <w:gridSpan w:val="3"/>
            <w:shd w:val="clear" w:color="auto" w:fill="auto"/>
            <w:vAlign w:val="bottom"/>
          </w:tcPr>
          <w:p w14:paraId="74DD63BA" w14:textId="77777777" w:rsidR="00584EC1" w:rsidRDefault="00584EC1">
            <w:pPr>
              <w:rPr>
                <w:rFonts w:ascii="宋体"/>
                <w:vanish/>
              </w:rPr>
            </w:pPr>
          </w:p>
        </w:tc>
        <w:tc>
          <w:tcPr>
            <w:tcW w:w="0" w:type="auto"/>
            <w:gridSpan w:val="3"/>
            <w:shd w:val="clear" w:color="auto" w:fill="auto"/>
            <w:vAlign w:val="bottom"/>
          </w:tcPr>
          <w:p w14:paraId="74DD63BB" w14:textId="77777777" w:rsidR="00584EC1" w:rsidRDefault="00584EC1">
            <w:pPr>
              <w:rPr>
                <w:rFonts w:ascii="宋体"/>
                <w:vanish/>
              </w:rPr>
            </w:pPr>
          </w:p>
        </w:tc>
        <w:tc>
          <w:tcPr>
            <w:tcW w:w="0" w:type="auto"/>
            <w:gridSpan w:val="3"/>
            <w:shd w:val="clear" w:color="auto" w:fill="auto"/>
            <w:vAlign w:val="bottom"/>
          </w:tcPr>
          <w:p w14:paraId="74DD63BC" w14:textId="77777777" w:rsidR="00584EC1" w:rsidRDefault="00584EC1">
            <w:pPr>
              <w:rPr>
                <w:rFonts w:ascii="宋体"/>
                <w:vanish/>
              </w:rPr>
            </w:pPr>
          </w:p>
        </w:tc>
        <w:tc>
          <w:tcPr>
            <w:tcW w:w="0" w:type="auto"/>
            <w:gridSpan w:val="3"/>
            <w:shd w:val="clear" w:color="auto" w:fill="auto"/>
            <w:vAlign w:val="bottom"/>
          </w:tcPr>
          <w:p w14:paraId="74DD63BD" w14:textId="77777777" w:rsidR="00584EC1" w:rsidRDefault="00584EC1">
            <w:pPr>
              <w:rPr>
                <w:rFonts w:ascii="宋体"/>
                <w:vanish/>
              </w:rPr>
            </w:pPr>
          </w:p>
        </w:tc>
        <w:tc>
          <w:tcPr>
            <w:tcW w:w="0" w:type="auto"/>
            <w:gridSpan w:val="3"/>
            <w:shd w:val="clear" w:color="auto" w:fill="auto"/>
            <w:vAlign w:val="bottom"/>
          </w:tcPr>
          <w:p w14:paraId="74DD63BE" w14:textId="77777777" w:rsidR="00584EC1" w:rsidRDefault="00584EC1">
            <w:pPr>
              <w:rPr>
                <w:rFonts w:ascii="宋体"/>
                <w:vanish/>
              </w:rPr>
            </w:pPr>
          </w:p>
        </w:tc>
        <w:tc>
          <w:tcPr>
            <w:tcW w:w="0" w:type="auto"/>
            <w:gridSpan w:val="3"/>
            <w:shd w:val="clear" w:color="auto" w:fill="auto"/>
            <w:vAlign w:val="bottom"/>
          </w:tcPr>
          <w:p w14:paraId="74DD63BF" w14:textId="77777777" w:rsidR="00584EC1" w:rsidRDefault="00584EC1">
            <w:pPr>
              <w:rPr>
                <w:rFonts w:ascii="宋体"/>
                <w:vanish/>
              </w:rPr>
            </w:pPr>
          </w:p>
        </w:tc>
        <w:tc>
          <w:tcPr>
            <w:tcW w:w="0" w:type="auto"/>
            <w:gridSpan w:val="3"/>
            <w:shd w:val="clear" w:color="auto" w:fill="auto"/>
            <w:vAlign w:val="bottom"/>
          </w:tcPr>
          <w:p w14:paraId="74DD63C0" w14:textId="77777777" w:rsidR="00584EC1" w:rsidRDefault="00584EC1">
            <w:pPr>
              <w:rPr>
                <w:rFonts w:ascii="宋体"/>
                <w:vanish/>
              </w:rPr>
            </w:pPr>
          </w:p>
        </w:tc>
      </w:tr>
      <w:tr w:rsidR="00584EC1" w14:paraId="74DD63CD" w14:textId="77777777">
        <w:trPr>
          <w:hidden/>
        </w:trPr>
        <w:tc>
          <w:tcPr>
            <w:tcW w:w="0" w:type="auto"/>
            <w:gridSpan w:val="3"/>
            <w:shd w:val="clear" w:color="auto" w:fill="auto"/>
            <w:vAlign w:val="bottom"/>
          </w:tcPr>
          <w:p w14:paraId="74DD63C2" w14:textId="77777777" w:rsidR="00584EC1" w:rsidRDefault="00584EC1">
            <w:pPr>
              <w:rPr>
                <w:rFonts w:ascii="宋体"/>
                <w:vanish/>
              </w:rPr>
            </w:pPr>
          </w:p>
        </w:tc>
        <w:tc>
          <w:tcPr>
            <w:tcW w:w="0" w:type="auto"/>
            <w:gridSpan w:val="3"/>
            <w:shd w:val="clear" w:color="auto" w:fill="auto"/>
            <w:vAlign w:val="bottom"/>
          </w:tcPr>
          <w:p w14:paraId="74DD63C3" w14:textId="77777777" w:rsidR="00584EC1" w:rsidRDefault="00584EC1">
            <w:pPr>
              <w:rPr>
                <w:rFonts w:ascii="宋体"/>
                <w:vanish/>
              </w:rPr>
            </w:pPr>
          </w:p>
        </w:tc>
        <w:tc>
          <w:tcPr>
            <w:tcW w:w="0" w:type="auto"/>
            <w:gridSpan w:val="3"/>
            <w:shd w:val="clear" w:color="auto" w:fill="auto"/>
            <w:vAlign w:val="bottom"/>
          </w:tcPr>
          <w:p w14:paraId="74DD63C4" w14:textId="77777777" w:rsidR="00584EC1" w:rsidRDefault="00584EC1">
            <w:pPr>
              <w:rPr>
                <w:rFonts w:ascii="宋体"/>
                <w:vanish/>
              </w:rPr>
            </w:pPr>
          </w:p>
        </w:tc>
        <w:tc>
          <w:tcPr>
            <w:tcW w:w="0" w:type="auto"/>
            <w:gridSpan w:val="3"/>
            <w:shd w:val="clear" w:color="auto" w:fill="auto"/>
            <w:vAlign w:val="bottom"/>
          </w:tcPr>
          <w:p w14:paraId="74DD63C5" w14:textId="77777777" w:rsidR="00584EC1" w:rsidRDefault="00584EC1">
            <w:pPr>
              <w:rPr>
                <w:rFonts w:ascii="宋体"/>
                <w:vanish/>
              </w:rPr>
            </w:pPr>
          </w:p>
        </w:tc>
        <w:tc>
          <w:tcPr>
            <w:tcW w:w="0" w:type="auto"/>
            <w:gridSpan w:val="3"/>
            <w:shd w:val="clear" w:color="auto" w:fill="auto"/>
            <w:vAlign w:val="bottom"/>
          </w:tcPr>
          <w:p w14:paraId="74DD63C6" w14:textId="77777777" w:rsidR="00584EC1" w:rsidRDefault="00584EC1">
            <w:pPr>
              <w:rPr>
                <w:rFonts w:ascii="宋体"/>
                <w:vanish/>
              </w:rPr>
            </w:pPr>
          </w:p>
        </w:tc>
        <w:tc>
          <w:tcPr>
            <w:tcW w:w="0" w:type="auto"/>
            <w:gridSpan w:val="3"/>
            <w:shd w:val="clear" w:color="auto" w:fill="auto"/>
            <w:vAlign w:val="bottom"/>
          </w:tcPr>
          <w:p w14:paraId="74DD63C7" w14:textId="77777777" w:rsidR="00584EC1" w:rsidRDefault="00584EC1">
            <w:pPr>
              <w:rPr>
                <w:rFonts w:ascii="宋体"/>
                <w:vanish/>
              </w:rPr>
            </w:pPr>
          </w:p>
        </w:tc>
        <w:tc>
          <w:tcPr>
            <w:tcW w:w="0" w:type="auto"/>
            <w:gridSpan w:val="3"/>
            <w:shd w:val="clear" w:color="auto" w:fill="auto"/>
            <w:vAlign w:val="bottom"/>
          </w:tcPr>
          <w:p w14:paraId="74DD63C8" w14:textId="77777777" w:rsidR="00584EC1" w:rsidRDefault="00584EC1">
            <w:pPr>
              <w:rPr>
                <w:rFonts w:ascii="宋体"/>
                <w:vanish/>
              </w:rPr>
            </w:pPr>
          </w:p>
        </w:tc>
        <w:tc>
          <w:tcPr>
            <w:tcW w:w="0" w:type="auto"/>
            <w:gridSpan w:val="3"/>
            <w:shd w:val="clear" w:color="auto" w:fill="auto"/>
            <w:vAlign w:val="bottom"/>
          </w:tcPr>
          <w:p w14:paraId="74DD63C9" w14:textId="77777777" w:rsidR="00584EC1" w:rsidRDefault="00584EC1">
            <w:pPr>
              <w:rPr>
                <w:rFonts w:ascii="宋体"/>
                <w:vanish/>
              </w:rPr>
            </w:pPr>
          </w:p>
        </w:tc>
        <w:tc>
          <w:tcPr>
            <w:tcW w:w="0" w:type="auto"/>
            <w:gridSpan w:val="3"/>
            <w:shd w:val="clear" w:color="auto" w:fill="auto"/>
            <w:vAlign w:val="bottom"/>
          </w:tcPr>
          <w:p w14:paraId="74DD63CA" w14:textId="77777777" w:rsidR="00584EC1" w:rsidRDefault="00584EC1">
            <w:pPr>
              <w:rPr>
                <w:rFonts w:ascii="宋体"/>
                <w:vanish/>
              </w:rPr>
            </w:pPr>
          </w:p>
        </w:tc>
        <w:tc>
          <w:tcPr>
            <w:tcW w:w="0" w:type="auto"/>
            <w:gridSpan w:val="3"/>
            <w:shd w:val="clear" w:color="auto" w:fill="auto"/>
            <w:vAlign w:val="bottom"/>
          </w:tcPr>
          <w:p w14:paraId="74DD63CB" w14:textId="77777777" w:rsidR="00584EC1" w:rsidRDefault="00584EC1">
            <w:pPr>
              <w:rPr>
                <w:rFonts w:ascii="宋体"/>
                <w:vanish/>
              </w:rPr>
            </w:pPr>
          </w:p>
        </w:tc>
        <w:tc>
          <w:tcPr>
            <w:tcW w:w="0" w:type="auto"/>
            <w:gridSpan w:val="3"/>
            <w:shd w:val="clear" w:color="auto" w:fill="auto"/>
            <w:vAlign w:val="bottom"/>
          </w:tcPr>
          <w:p w14:paraId="74DD63CC" w14:textId="77777777" w:rsidR="00584EC1" w:rsidRDefault="00584EC1">
            <w:pPr>
              <w:rPr>
                <w:rFonts w:ascii="宋体"/>
                <w:vanish/>
              </w:rPr>
            </w:pPr>
          </w:p>
        </w:tc>
      </w:tr>
      <w:tr w:rsidR="00584EC1" w14:paraId="74DD63D9" w14:textId="77777777">
        <w:trPr>
          <w:hidden/>
        </w:trPr>
        <w:tc>
          <w:tcPr>
            <w:tcW w:w="0" w:type="auto"/>
            <w:gridSpan w:val="3"/>
            <w:shd w:val="clear" w:color="auto" w:fill="auto"/>
            <w:vAlign w:val="bottom"/>
          </w:tcPr>
          <w:p w14:paraId="74DD63CE" w14:textId="77777777" w:rsidR="00584EC1" w:rsidRDefault="00584EC1">
            <w:pPr>
              <w:rPr>
                <w:rFonts w:ascii="宋体"/>
                <w:vanish/>
              </w:rPr>
            </w:pPr>
          </w:p>
        </w:tc>
        <w:tc>
          <w:tcPr>
            <w:tcW w:w="0" w:type="auto"/>
            <w:gridSpan w:val="3"/>
            <w:shd w:val="clear" w:color="auto" w:fill="auto"/>
            <w:vAlign w:val="bottom"/>
          </w:tcPr>
          <w:p w14:paraId="74DD63CF" w14:textId="77777777" w:rsidR="00584EC1" w:rsidRDefault="00584EC1">
            <w:pPr>
              <w:rPr>
                <w:rFonts w:ascii="宋体"/>
                <w:vanish/>
              </w:rPr>
            </w:pPr>
          </w:p>
        </w:tc>
        <w:tc>
          <w:tcPr>
            <w:tcW w:w="0" w:type="auto"/>
            <w:gridSpan w:val="3"/>
            <w:shd w:val="clear" w:color="auto" w:fill="auto"/>
            <w:vAlign w:val="bottom"/>
          </w:tcPr>
          <w:p w14:paraId="74DD63D0" w14:textId="77777777" w:rsidR="00584EC1" w:rsidRDefault="00584EC1">
            <w:pPr>
              <w:rPr>
                <w:rFonts w:ascii="宋体"/>
                <w:vanish/>
              </w:rPr>
            </w:pPr>
          </w:p>
        </w:tc>
        <w:tc>
          <w:tcPr>
            <w:tcW w:w="0" w:type="auto"/>
            <w:gridSpan w:val="3"/>
            <w:shd w:val="clear" w:color="auto" w:fill="auto"/>
            <w:vAlign w:val="bottom"/>
          </w:tcPr>
          <w:p w14:paraId="74DD63D1" w14:textId="77777777" w:rsidR="00584EC1" w:rsidRDefault="00584EC1">
            <w:pPr>
              <w:rPr>
                <w:rFonts w:ascii="宋体"/>
                <w:vanish/>
              </w:rPr>
            </w:pPr>
          </w:p>
        </w:tc>
        <w:tc>
          <w:tcPr>
            <w:tcW w:w="0" w:type="auto"/>
            <w:gridSpan w:val="3"/>
            <w:shd w:val="clear" w:color="auto" w:fill="auto"/>
            <w:vAlign w:val="bottom"/>
          </w:tcPr>
          <w:p w14:paraId="74DD63D2" w14:textId="77777777" w:rsidR="00584EC1" w:rsidRDefault="00584EC1">
            <w:pPr>
              <w:rPr>
                <w:rFonts w:ascii="宋体"/>
                <w:vanish/>
              </w:rPr>
            </w:pPr>
          </w:p>
        </w:tc>
        <w:tc>
          <w:tcPr>
            <w:tcW w:w="0" w:type="auto"/>
            <w:gridSpan w:val="3"/>
            <w:shd w:val="clear" w:color="auto" w:fill="auto"/>
            <w:vAlign w:val="bottom"/>
          </w:tcPr>
          <w:p w14:paraId="74DD63D3" w14:textId="77777777" w:rsidR="00584EC1" w:rsidRDefault="00584EC1">
            <w:pPr>
              <w:rPr>
                <w:rFonts w:ascii="宋体"/>
                <w:vanish/>
              </w:rPr>
            </w:pPr>
          </w:p>
        </w:tc>
        <w:tc>
          <w:tcPr>
            <w:tcW w:w="0" w:type="auto"/>
            <w:gridSpan w:val="3"/>
            <w:shd w:val="clear" w:color="auto" w:fill="auto"/>
            <w:vAlign w:val="bottom"/>
          </w:tcPr>
          <w:p w14:paraId="74DD63D4" w14:textId="77777777" w:rsidR="00584EC1" w:rsidRDefault="00584EC1">
            <w:pPr>
              <w:rPr>
                <w:rFonts w:ascii="宋体"/>
                <w:vanish/>
              </w:rPr>
            </w:pPr>
          </w:p>
        </w:tc>
        <w:tc>
          <w:tcPr>
            <w:tcW w:w="0" w:type="auto"/>
            <w:gridSpan w:val="3"/>
            <w:shd w:val="clear" w:color="auto" w:fill="auto"/>
            <w:vAlign w:val="bottom"/>
          </w:tcPr>
          <w:p w14:paraId="74DD63D5" w14:textId="77777777" w:rsidR="00584EC1" w:rsidRDefault="00584EC1">
            <w:pPr>
              <w:rPr>
                <w:rFonts w:ascii="宋体"/>
                <w:vanish/>
              </w:rPr>
            </w:pPr>
          </w:p>
        </w:tc>
        <w:tc>
          <w:tcPr>
            <w:tcW w:w="0" w:type="auto"/>
            <w:gridSpan w:val="3"/>
            <w:shd w:val="clear" w:color="auto" w:fill="auto"/>
            <w:vAlign w:val="bottom"/>
          </w:tcPr>
          <w:p w14:paraId="74DD63D6" w14:textId="77777777" w:rsidR="00584EC1" w:rsidRDefault="00584EC1">
            <w:pPr>
              <w:rPr>
                <w:rFonts w:ascii="宋体"/>
                <w:vanish/>
              </w:rPr>
            </w:pPr>
          </w:p>
        </w:tc>
        <w:tc>
          <w:tcPr>
            <w:tcW w:w="0" w:type="auto"/>
            <w:gridSpan w:val="3"/>
            <w:shd w:val="clear" w:color="auto" w:fill="auto"/>
            <w:vAlign w:val="bottom"/>
          </w:tcPr>
          <w:p w14:paraId="74DD63D7" w14:textId="77777777" w:rsidR="00584EC1" w:rsidRDefault="00584EC1">
            <w:pPr>
              <w:rPr>
                <w:rFonts w:ascii="宋体"/>
                <w:vanish/>
              </w:rPr>
            </w:pPr>
          </w:p>
        </w:tc>
        <w:tc>
          <w:tcPr>
            <w:tcW w:w="0" w:type="auto"/>
            <w:gridSpan w:val="3"/>
            <w:shd w:val="clear" w:color="auto" w:fill="auto"/>
            <w:vAlign w:val="bottom"/>
          </w:tcPr>
          <w:p w14:paraId="74DD63D8" w14:textId="77777777" w:rsidR="00584EC1" w:rsidRDefault="00584EC1">
            <w:pPr>
              <w:rPr>
                <w:rFonts w:ascii="宋体"/>
                <w:vanish/>
              </w:rPr>
            </w:pPr>
          </w:p>
        </w:tc>
      </w:tr>
      <w:tr w:rsidR="00584EC1" w14:paraId="74DD63E5" w14:textId="77777777">
        <w:trPr>
          <w:hidden/>
        </w:trPr>
        <w:tc>
          <w:tcPr>
            <w:tcW w:w="0" w:type="auto"/>
            <w:gridSpan w:val="3"/>
            <w:shd w:val="clear" w:color="auto" w:fill="auto"/>
            <w:vAlign w:val="bottom"/>
          </w:tcPr>
          <w:p w14:paraId="74DD63DA" w14:textId="77777777" w:rsidR="00584EC1" w:rsidRDefault="00584EC1">
            <w:pPr>
              <w:rPr>
                <w:rFonts w:ascii="宋体"/>
                <w:vanish/>
              </w:rPr>
            </w:pPr>
          </w:p>
        </w:tc>
        <w:tc>
          <w:tcPr>
            <w:tcW w:w="0" w:type="auto"/>
            <w:gridSpan w:val="3"/>
            <w:shd w:val="clear" w:color="auto" w:fill="auto"/>
            <w:vAlign w:val="bottom"/>
          </w:tcPr>
          <w:p w14:paraId="74DD63DB" w14:textId="77777777" w:rsidR="00584EC1" w:rsidRDefault="00584EC1">
            <w:pPr>
              <w:rPr>
                <w:rFonts w:ascii="宋体"/>
                <w:vanish/>
              </w:rPr>
            </w:pPr>
          </w:p>
        </w:tc>
        <w:tc>
          <w:tcPr>
            <w:tcW w:w="0" w:type="auto"/>
            <w:gridSpan w:val="3"/>
            <w:shd w:val="clear" w:color="auto" w:fill="auto"/>
            <w:vAlign w:val="bottom"/>
          </w:tcPr>
          <w:p w14:paraId="74DD63DC" w14:textId="77777777" w:rsidR="00584EC1" w:rsidRDefault="00584EC1">
            <w:pPr>
              <w:rPr>
                <w:rFonts w:ascii="宋体"/>
                <w:vanish/>
              </w:rPr>
            </w:pPr>
          </w:p>
        </w:tc>
        <w:tc>
          <w:tcPr>
            <w:tcW w:w="0" w:type="auto"/>
            <w:gridSpan w:val="3"/>
            <w:shd w:val="clear" w:color="auto" w:fill="auto"/>
            <w:vAlign w:val="bottom"/>
          </w:tcPr>
          <w:p w14:paraId="74DD63DD" w14:textId="77777777" w:rsidR="00584EC1" w:rsidRDefault="00584EC1">
            <w:pPr>
              <w:rPr>
                <w:rFonts w:ascii="宋体"/>
                <w:vanish/>
              </w:rPr>
            </w:pPr>
          </w:p>
        </w:tc>
        <w:tc>
          <w:tcPr>
            <w:tcW w:w="0" w:type="auto"/>
            <w:gridSpan w:val="3"/>
            <w:shd w:val="clear" w:color="auto" w:fill="auto"/>
            <w:vAlign w:val="bottom"/>
          </w:tcPr>
          <w:p w14:paraId="74DD63DE" w14:textId="77777777" w:rsidR="00584EC1" w:rsidRDefault="00584EC1">
            <w:pPr>
              <w:rPr>
                <w:rFonts w:ascii="宋体"/>
                <w:vanish/>
              </w:rPr>
            </w:pPr>
          </w:p>
        </w:tc>
        <w:tc>
          <w:tcPr>
            <w:tcW w:w="0" w:type="auto"/>
            <w:gridSpan w:val="3"/>
            <w:shd w:val="clear" w:color="auto" w:fill="auto"/>
            <w:vAlign w:val="bottom"/>
          </w:tcPr>
          <w:p w14:paraId="74DD63DF" w14:textId="77777777" w:rsidR="00584EC1" w:rsidRDefault="00584EC1">
            <w:pPr>
              <w:rPr>
                <w:rFonts w:ascii="宋体"/>
                <w:vanish/>
              </w:rPr>
            </w:pPr>
          </w:p>
        </w:tc>
        <w:tc>
          <w:tcPr>
            <w:tcW w:w="0" w:type="auto"/>
            <w:gridSpan w:val="3"/>
            <w:shd w:val="clear" w:color="auto" w:fill="auto"/>
            <w:vAlign w:val="bottom"/>
          </w:tcPr>
          <w:p w14:paraId="74DD63E0" w14:textId="77777777" w:rsidR="00584EC1" w:rsidRDefault="00584EC1">
            <w:pPr>
              <w:rPr>
                <w:rFonts w:ascii="宋体"/>
                <w:vanish/>
              </w:rPr>
            </w:pPr>
          </w:p>
        </w:tc>
        <w:tc>
          <w:tcPr>
            <w:tcW w:w="0" w:type="auto"/>
            <w:gridSpan w:val="3"/>
            <w:shd w:val="clear" w:color="auto" w:fill="auto"/>
            <w:vAlign w:val="bottom"/>
          </w:tcPr>
          <w:p w14:paraId="74DD63E1" w14:textId="77777777" w:rsidR="00584EC1" w:rsidRDefault="00584EC1">
            <w:pPr>
              <w:rPr>
                <w:rFonts w:ascii="宋体"/>
                <w:vanish/>
              </w:rPr>
            </w:pPr>
          </w:p>
        </w:tc>
        <w:tc>
          <w:tcPr>
            <w:tcW w:w="0" w:type="auto"/>
            <w:gridSpan w:val="3"/>
            <w:shd w:val="clear" w:color="auto" w:fill="auto"/>
            <w:vAlign w:val="bottom"/>
          </w:tcPr>
          <w:p w14:paraId="74DD63E2" w14:textId="77777777" w:rsidR="00584EC1" w:rsidRDefault="00584EC1">
            <w:pPr>
              <w:rPr>
                <w:rFonts w:ascii="宋体"/>
                <w:vanish/>
              </w:rPr>
            </w:pPr>
          </w:p>
        </w:tc>
        <w:tc>
          <w:tcPr>
            <w:tcW w:w="0" w:type="auto"/>
            <w:gridSpan w:val="3"/>
            <w:shd w:val="clear" w:color="auto" w:fill="auto"/>
            <w:vAlign w:val="bottom"/>
          </w:tcPr>
          <w:p w14:paraId="74DD63E3" w14:textId="77777777" w:rsidR="00584EC1" w:rsidRDefault="00584EC1">
            <w:pPr>
              <w:rPr>
                <w:rFonts w:ascii="宋体"/>
                <w:vanish/>
              </w:rPr>
            </w:pPr>
          </w:p>
        </w:tc>
        <w:tc>
          <w:tcPr>
            <w:tcW w:w="0" w:type="auto"/>
            <w:gridSpan w:val="3"/>
            <w:shd w:val="clear" w:color="auto" w:fill="auto"/>
            <w:vAlign w:val="bottom"/>
          </w:tcPr>
          <w:p w14:paraId="74DD63E4" w14:textId="77777777" w:rsidR="00584EC1" w:rsidRDefault="00584EC1">
            <w:pPr>
              <w:rPr>
                <w:rFonts w:ascii="宋体"/>
                <w:vanish/>
              </w:rPr>
            </w:pPr>
          </w:p>
        </w:tc>
      </w:tr>
      <w:tr w:rsidR="00584EC1" w14:paraId="74DD63F1" w14:textId="77777777">
        <w:trPr>
          <w:hidden/>
        </w:trPr>
        <w:tc>
          <w:tcPr>
            <w:tcW w:w="0" w:type="auto"/>
            <w:gridSpan w:val="3"/>
            <w:shd w:val="clear" w:color="auto" w:fill="auto"/>
            <w:vAlign w:val="bottom"/>
          </w:tcPr>
          <w:p w14:paraId="74DD63E6" w14:textId="77777777" w:rsidR="00584EC1" w:rsidRDefault="00584EC1">
            <w:pPr>
              <w:rPr>
                <w:rFonts w:ascii="宋体"/>
                <w:vanish/>
              </w:rPr>
            </w:pPr>
          </w:p>
        </w:tc>
        <w:tc>
          <w:tcPr>
            <w:tcW w:w="0" w:type="auto"/>
            <w:gridSpan w:val="3"/>
            <w:shd w:val="clear" w:color="auto" w:fill="auto"/>
            <w:vAlign w:val="bottom"/>
          </w:tcPr>
          <w:p w14:paraId="74DD63E7" w14:textId="77777777" w:rsidR="00584EC1" w:rsidRDefault="00584EC1">
            <w:pPr>
              <w:rPr>
                <w:rFonts w:ascii="宋体"/>
                <w:vanish/>
              </w:rPr>
            </w:pPr>
          </w:p>
        </w:tc>
        <w:tc>
          <w:tcPr>
            <w:tcW w:w="0" w:type="auto"/>
            <w:gridSpan w:val="3"/>
            <w:shd w:val="clear" w:color="auto" w:fill="auto"/>
            <w:vAlign w:val="bottom"/>
          </w:tcPr>
          <w:p w14:paraId="74DD63E8" w14:textId="77777777" w:rsidR="00584EC1" w:rsidRDefault="00584EC1">
            <w:pPr>
              <w:rPr>
                <w:rFonts w:ascii="宋体"/>
                <w:vanish/>
              </w:rPr>
            </w:pPr>
          </w:p>
        </w:tc>
        <w:tc>
          <w:tcPr>
            <w:tcW w:w="0" w:type="auto"/>
            <w:gridSpan w:val="3"/>
            <w:shd w:val="clear" w:color="auto" w:fill="auto"/>
            <w:vAlign w:val="bottom"/>
          </w:tcPr>
          <w:p w14:paraId="74DD63E9" w14:textId="77777777" w:rsidR="00584EC1" w:rsidRDefault="00584EC1">
            <w:pPr>
              <w:rPr>
                <w:rFonts w:ascii="宋体"/>
                <w:vanish/>
              </w:rPr>
            </w:pPr>
          </w:p>
        </w:tc>
        <w:tc>
          <w:tcPr>
            <w:tcW w:w="0" w:type="auto"/>
            <w:gridSpan w:val="3"/>
            <w:shd w:val="clear" w:color="auto" w:fill="auto"/>
            <w:vAlign w:val="bottom"/>
          </w:tcPr>
          <w:p w14:paraId="74DD63EA" w14:textId="77777777" w:rsidR="00584EC1" w:rsidRDefault="00584EC1">
            <w:pPr>
              <w:rPr>
                <w:rFonts w:ascii="宋体"/>
                <w:vanish/>
              </w:rPr>
            </w:pPr>
          </w:p>
        </w:tc>
        <w:tc>
          <w:tcPr>
            <w:tcW w:w="0" w:type="auto"/>
            <w:gridSpan w:val="3"/>
            <w:shd w:val="clear" w:color="auto" w:fill="auto"/>
            <w:vAlign w:val="bottom"/>
          </w:tcPr>
          <w:p w14:paraId="74DD63EB" w14:textId="77777777" w:rsidR="00584EC1" w:rsidRDefault="00584EC1">
            <w:pPr>
              <w:rPr>
                <w:rFonts w:ascii="宋体"/>
                <w:vanish/>
              </w:rPr>
            </w:pPr>
          </w:p>
        </w:tc>
        <w:tc>
          <w:tcPr>
            <w:tcW w:w="0" w:type="auto"/>
            <w:gridSpan w:val="3"/>
            <w:shd w:val="clear" w:color="auto" w:fill="auto"/>
            <w:vAlign w:val="bottom"/>
          </w:tcPr>
          <w:p w14:paraId="74DD63EC" w14:textId="77777777" w:rsidR="00584EC1" w:rsidRDefault="00584EC1">
            <w:pPr>
              <w:rPr>
                <w:rFonts w:ascii="宋体"/>
                <w:vanish/>
              </w:rPr>
            </w:pPr>
          </w:p>
        </w:tc>
        <w:tc>
          <w:tcPr>
            <w:tcW w:w="0" w:type="auto"/>
            <w:gridSpan w:val="3"/>
            <w:shd w:val="clear" w:color="auto" w:fill="auto"/>
            <w:vAlign w:val="bottom"/>
          </w:tcPr>
          <w:p w14:paraId="74DD63ED" w14:textId="77777777" w:rsidR="00584EC1" w:rsidRDefault="00584EC1">
            <w:pPr>
              <w:rPr>
                <w:rFonts w:ascii="宋体"/>
                <w:vanish/>
              </w:rPr>
            </w:pPr>
          </w:p>
        </w:tc>
        <w:tc>
          <w:tcPr>
            <w:tcW w:w="0" w:type="auto"/>
            <w:gridSpan w:val="3"/>
            <w:shd w:val="clear" w:color="auto" w:fill="auto"/>
            <w:vAlign w:val="bottom"/>
          </w:tcPr>
          <w:p w14:paraId="74DD63EE" w14:textId="77777777" w:rsidR="00584EC1" w:rsidRDefault="00584EC1">
            <w:pPr>
              <w:rPr>
                <w:rFonts w:ascii="宋体"/>
                <w:vanish/>
              </w:rPr>
            </w:pPr>
          </w:p>
        </w:tc>
        <w:tc>
          <w:tcPr>
            <w:tcW w:w="0" w:type="auto"/>
            <w:gridSpan w:val="3"/>
            <w:shd w:val="clear" w:color="auto" w:fill="auto"/>
            <w:vAlign w:val="bottom"/>
          </w:tcPr>
          <w:p w14:paraId="74DD63EF" w14:textId="77777777" w:rsidR="00584EC1" w:rsidRDefault="00584EC1">
            <w:pPr>
              <w:rPr>
                <w:rFonts w:ascii="宋体"/>
                <w:vanish/>
              </w:rPr>
            </w:pPr>
          </w:p>
        </w:tc>
        <w:tc>
          <w:tcPr>
            <w:tcW w:w="0" w:type="auto"/>
            <w:gridSpan w:val="3"/>
            <w:shd w:val="clear" w:color="auto" w:fill="auto"/>
            <w:vAlign w:val="bottom"/>
          </w:tcPr>
          <w:p w14:paraId="74DD63F0" w14:textId="77777777" w:rsidR="00584EC1" w:rsidRDefault="00584EC1">
            <w:pPr>
              <w:rPr>
                <w:rFonts w:ascii="宋体"/>
                <w:vanish/>
              </w:rPr>
            </w:pPr>
          </w:p>
        </w:tc>
      </w:tr>
      <w:tr w:rsidR="00584EC1" w14:paraId="74DD63FD" w14:textId="77777777">
        <w:trPr>
          <w:hidden/>
        </w:trPr>
        <w:tc>
          <w:tcPr>
            <w:tcW w:w="0" w:type="auto"/>
            <w:gridSpan w:val="3"/>
            <w:shd w:val="clear" w:color="auto" w:fill="auto"/>
            <w:vAlign w:val="bottom"/>
          </w:tcPr>
          <w:p w14:paraId="74DD63F2" w14:textId="77777777" w:rsidR="00584EC1" w:rsidRDefault="00584EC1">
            <w:pPr>
              <w:rPr>
                <w:rFonts w:ascii="宋体"/>
                <w:vanish/>
              </w:rPr>
            </w:pPr>
          </w:p>
        </w:tc>
        <w:tc>
          <w:tcPr>
            <w:tcW w:w="0" w:type="auto"/>
            <w:gridSpan w:val="3"/>
            <w:shd w:val="clear" w:color="auto" w:fill="auto"/>
            <w:vAlign w:val="bottom"/>
          </w:tcPr>
          <w:p w14:paraId="74DD63F3" w14:textId="77777777" w:rsidR="00584EC1" w:rsidRDefault="00584EC1">
            <w:pPr>
              <w:rPr>
                <w:rFonts w:ascii="宋体"/>
                <w:vanish/>
              </w:rPr>
            </w:pPr>
          </w:p>
        </w:tc>
        <w:tc>
          <w:tcPr>
            <w:tcW w:w="0" w:type="auto"/>
            <w:gridSpan w:val="3"/>
            <w:shd w:val="clear" w:color="auto" w:fill="auto"/>
            <w:vAlign w:val="bottom"/>
          </w:tcPr>
          <w:p w14:paraId="74DD63F4" w14:textId="77777777" w:rsidR="00584EC1" w:rsidRDefault="00584EC1">
            <w:pPr>
              <w:rPr>
                <w:rFonts w:ascii="宋体"/>
                <w:vanish/>
              </w:rPr>
            </w:pPr>
          </w:p>
        </w:tc>
        <w:tc>
          <w:tcPr>
            <w:tcW w:w="0" w:type="auto"/>
            <w:gridSpan w:val="3"/>
            <w:shd w:val="clear" w:color="auto" w:fill="auto"/>
            <w:vAlign w:val="bottom"/>
          </w:tcPr>
          <w:p w14:paraId="74DD63F5" w14:textId="77777777" w:rsidR="00584EC1" w:rsidRDefault="00584EC1">
            <w:pPr>
              <w:rPr>
                <w:rFonts w:ascii="宋体"/>
                <w:vanish/>
              </w:rPr>
            </w:pPr>
          </w:p>
        </w:tc>
        <w:tc>
          <w:tcPr>
            <w:tcW w:w="0" w:type="auto"/>
            <w:gridSpan w:val="3"/>
            <w:shd w:val="clear" w:color="auto" w:fill="auto"/>
            <w:vAlign w:val="bottom"/>
          </w:tcPr>
          <w:p w14:paraId="74DD63F6" w14:textId="77777777" w:rsidR="00584EC1" w:rsidRDefault="00584EC1">
            <w:pPr>
              <w:rPr>
                <w:rFonts w:ascii="宋体"/>
                <w:vanish/>
              </w:rPr>
            </w:pPr>
          </w:p>
        </w:tc>
        <w:tc>
          <w:tcPr>
            <w:tcW w:w="0" w:type="auto"/>
            <w:gridSpan w:val="3"/>
            <w:shd w:val="clear" w:color="auto" w:fill="auto"/>
            <w:vAlign w:val="bottom"/>
          </w:tcPr>
          <w:p w14:paraId="74DD63F7" w14:textId="77777777" w:rsidR="00584EC1" w:rsidRDefault="00584EC1">
            <w:pPr>
              <w:rPr>
                <w:rFonts w:ascii="宋体"/>
                <w:vanish/>
              </w:rPr>
            </w:pPr>
          </w:p>
        </w:tc>
        <w:tc>
          <w:tcPr>
            <w:tcW w:w="0" w:type="auto"/>
            <w:gridSpan w:val="3"/>
            <w:shd w:val="clear" w:color="auto" w:fill="auto"/>
            <w:vAlign w:val="bottom"/>
          </w:tcPr>
          <w:p w14:paraId="74DD63F8" w14:textId="77777777" w:rsidR="00584EC1" w:rsidRDefault="00584EC1">
            <w:pPr>
              <w:rPr>
                <w:rFonts w:ascii="宋体"/>
                <w:vanish/>
              </w:rPr>
            </w:pPr>
          </w:p>
        </w:tc>
        <w:tc>
          <w:tcPr>
            <w:tcW w:w="0" w:type="auto"/>
            <w:gridSpan w:val="3"/>
            <w:shd w:val="clear" w:color="auto" w:fill="auto"/>
            <w:vAlign w:val="bottom"/>
          </w:tcPr>
          <w:p w14:paraId="74DD63F9" w14:textId="77777777" w:rsidR="00584EC1" w:rsidRDefault="00584EC1">
            <w:pPr>
              <w:rPr>
                <w:rFonts w:ascii="宋体"/>
                <w:vanish/>
              </w:rPr>
            </w:pPr>
          </w:p>
        </w:tc>
        <w:tc>
          <w:tcPr>
            <w:tcW w:w="0" w:type="auto"/>
            <w:gridSpan w:val="3"/>
            <w:shd w:val="clear" w:color="auto" w:fill="auto"/>
            <w:vAlign w:val="bottom"/>
          </w:tcPr>
          <w:p w14:paraId="74DD63FA" w14:textId="77777777" w:rsidR="00584EC1" w:rsidRDefault="00584EC1">
            <w:pPr>
              <w:rPr>
                <w:rFonts w:ascii="宋体"/>
                <w:vanish/>
              </w:rPr>
            </w:pPr>
          </w:p>
        </w:tc>
        <w:tc>
          <w:tcPr>
            <w:tcW w:w="0" w:type="auto"/>
            <w:gridSpan w:val="3"/>
            <w:shd w:val="clear" w:color="auto" w:fill="auto"/>
            <w:vAlign w:val="bottom"/>
          </w:tcPr>
          <w:p w14:paraId="74DD63FB" w14:textId="77777777" w:rsidR="00584EC1" w:rsidRDefault="00584EC1">
            <w:pPr>
              <w:rPr>
                <w:rFonts w:ascii="宋体"/>
                <w:vanish/>
              </w:rPr>
            </w:pPr>
          </w:p>
        </w:tc>
        <w:tc>
          <w:tcPr>
            <w:tcW w:w="0" w:type="auto"/>
            <w:gridSpan w:val="3"/>
            <w:shd w:val="clear" w:color="auto" w:fill="auto"/>
            <w:vAlign w:val="bottom"/>
          </w:tcPr>
          <w:p w14:paraId="74DD63FC" w14:textId="77777777" w:rsidR="00584EC1" w:rsidRDefault="00584EC1">
            <w:pPr>
              <w:rPr>
                <w:rFonts w:ascii="宋体"/>
                <w:vanish/>
              </w:rPr>
            </w:pPr>
          </w:p>
        </w:tc>
      </w:tr>
      <w:tr w:rsidR="00584EC1" w14:paraId="74DD6409" w14:textId="77777777">
        <w:trPr>
          <w:hidden/>
        </w:trPr>
        <w:tc>
          <w:tcPr>
            <w:tcW w:w="0" w:type="auto"/>
            <w:gridSpan w:val="3"/>
            <w:shd w:val="clear" w:color="auto" w:fill="auto"/>
            <w:vAlign w:val="bottom"/>
          </w:tcPr>
          <w:p w14:paraId="74DD63FE" w14:textId="77777777" w:rsidR="00584EC1" w:rsidRDefault="00584EC1">
            <w:pPr>
              <w:rPr>
                <w:rFonts w:ascii="宋体"/>
                <w:vanish/>
              </w:rPr>
            </w:pPr>
          </w:p>
        </w:tc>
        <w:tc>
          <w:tcPr>
            <w:tcW w:w="0" w:type="auto"/>
            <w:gridSpan w:val="3"/>
            <w:shd w:val="clear" w:color="auto" w:fill="auto"/>
            <w:vAlign w:val="bottom"/>
          </w:tcPr>
          <w:p w14:paraId="74DD63FF" w14:textId="77777777" w:rsidR="00584EC1" w:rsidRDefault="00584EC1">
            <w:pPr>
              <w:rPr>
                <w:rFonts w:ascii="宋体"/>
                <w:vanish/>
              </w:rPr>
            </w:pPr>
          </w:p>
        </w:tc>
        <w:tc>
          <w:tcPr>
            <w:tcW w:w="0" w:type="auto"/>
            <w:gridSpan w:val="3"/>
            <w:shd w:val="clear" w:color="auto" w:fill="auto"/>
            <w:vAlign w:val="bottom"/>
          </w:tcPr>
          <w:p w14:paraId="74DD6400" w14:textId="77777777" w:rsidR="00584EC1" w:rsidRDefault="00584EC1">
            <w:pPr>
              <w:rPr>
                <w:rFonts w:ascii="宋体"/>
                <w:vanish/>
              </w:rPr>
            </w:pPr>
          </w:p>
        </w:tc>
        <w:tc>
          <w:tcPr>
            <w:tcW w:w="0" w:type="auto"/>
            <w:gridSpan w:val="3"/>
            <w:shd w:val="clear" w:color="auto" w:fill="auto"/>
            <w:vAlign w:val="bottom"/>
          </w:tcPr>
          <w:p w14:paraId="74DD6401" w14:textId="77777777" w:rsidR="00584EC1" w:rsidRDefault="00584EC1">
            <w:pPr>
              <w:rPr>
                <w:rFonts w:ascii="宋体"/>
                <w:vanish/>
              </w:rPr>
            </w:pPr>
          </w:p>
        </w:tc>
        <w:tc>
          <w:tcPr>
            <w:tcW w:w="0" w:type="auto"/>
            <w:gridSpan w:val="3"/>
            <w:shd w:val="clear" w:color="auto" w:fill="auto"/>
            <w:vAlign w:val="bottom"/>
          </w:tcPr>
          <w:p w14:paraId="74DD6402" w14:textId="77777777" w:rsidR="00584EC1" w:rsidRDefault="00584EC1">
            <w:pPr>
              <w:rPr>
                <w:rFonts w:ascii="宋体"/>
                <w:vanish/>
              </w:rPr>
            </w:pPr>
          </w:p>
        </w:tc>
        <w:tc>
          <w:tcPr>
            <w:tcW w:w="0" w:type="auto"/>
            <w:gridSpan w:val="3"/>
            <w:shd w:val="clear" w:color="auto" w:fill="auto"/>
            <w:vAlign w:val="bottom"/>
          </w:tcPr>
          <w:p w14:paraId="74DD6403" w14:textId="77777777" w:rsidR="00584EC1" w:rsidRDefault="00584EC1">
            <w:pPr>
              <w:rPr>
                <w:rFonts w:ascii="宋体"/>
                <w:vanish/>
              </w:rPr>
            </w:pPr>
          </w:p>
        </w:tc>
        <w:tc>
          <w:tcPr>
            <w:tcW w:w="0" w:type="auto"/>
            <w:gridSpan w:val="3"/>
            <w:shd w:val="clear" w:color="auto" w:fill="auto"/>
            <w:vAlign w:val="bottom"/>
          </w:tcPr>
          <w:p w14:paraId="74DD6404" w14:textId="77777777" w:rsidR="00584EC1" w:rsidRDefault="00584EC1">
            <w:pPr>
              <w:rPr>
                <w:rFonts w:ascii="宋体"/>
                <w:vanish/>
              </w:rPr>
            </w:pPr>
          </w:p>
        </w:tc>
        <w:tc>
          <w:tcPr>
            <w:tcW w:w="0" w:type="auto"/>
            <w:gridSpan w:val="3"/>
            <w:shd w:val="clear" w:color="auto" w:fill="auto"/>
            <w:vAlign w:val="bottom"/>
          </w:tcPr>
          <w:p w14:paraId="74DD6405" w14:textId="77777777" w:rsidR="00584EC1" w:rsidRDefault="00584EC1">
            <w:pPr>
              <w:rPr>
                <w:rFonts w:ascii="宋体"/>
                <w:vanish/>
              </w:rPr>
            </w:pPr>
          </w:p>
        </w:tc>
        <w:tc>
          <w:tcPr>
            <w:tcW w:w="0" w:type="auto"/>
            <w:gridSpan w:val="3"/>
            <w:shd w:val="clear" w:color="auto" w:fill="auto"/>
            <w:vAlign w:val="bottom"/>
          </w:tcPr>
          <w:p w14:paraId="74DD6406" w14:textId="77777777" w:rsidR="00584EC1" w:rsidRDefault="00584EC1">
            <w:pPr>
              <w:rPr>
                <w:rFonts w:ascii="宋体"/>
                <w:vanish/>
              </w:rPr>
            </w:pPr>
          </w:p>
        </w:tc>
        <w:tc>
          <w:tcPr>
            <w:tcW w:w="0" w:type="auto"/>
            <w:gridSpan w:val="3"/>
            <w:shd w:val="clear" w:color="auto" w:fill="auto"/>
            <w:vAlign w:val="bottom"/>
          </w:tcPr>
          <w:p w14:paraId="74DD6407" w14:textId="77777777" w:rsidR="00584EC1" w:rsidRDefault="00584EC1">
            <w:pPr>
              <w:rPr>
                <w:rFonts w:ascii="宋体"/>
                <w:vanish/>
              </w:rPr>
            </w:pPr>
          </w:p>
        </w:tc>
        <w:tc>
          <w:tcPr>
            <w:tcW w:w="0" w:type="auto"/>
            <w:gridSpan w:val="3"/>
            <w:shd w:val="clear" w:color="auto" w:fill="auto"/>
            <w:vAlign w:val="bottom"/>
          </w:tcPr>
          <w:p w14:paraId="74DD6408" w14:textId="77777777" w:rsidR="00584EC1" w:rsidRDefault="00584EC1">
            <w:pPr>
              <w:rPr>
                <w:rFonts w:ascii="宋体"/>
                <w:vanish/>
              </w:rPr>
            </w:pPr>
          </w:p>
        </w:tc>
      </w:tr>
      <w:tr w:rsidR="00584EC1" w14:paraId="74DD6415" w14:textId="77777777">
        <w:trPr>
          <w:hidden/>
        </w:trPr>
        <w:tc>
          <w:tcPr>
            <w:tcW w:w="0" w:type="auto"/>
            <w:gridSpan w:val="3"/>
            <w:shd w:val="clear" w:color="auto" w:fill="auto"/>
            <w:vAlign w:val="bottom"/>
          </w:tcPr>
          <w:p w14:paraId="74DD640A" w14:textId="77777777" w:rsidR="00584EC1" w:rsidRDefault="00584EC1">
            <w:pPr>
              <w:rPr>
                <w:rFonts w:ascii="宋体"/>
                <w:vanish/>
              </w:rPr>
            </w:pPr>
          </w:p>
        </w:tc>
        <w:tc>
          <w:tcPr>
            <w:tcW w:w="0" w:type="auto"/>
            <w:gridSpan w:val="3"/>
            <w:shd w:val="clear" w:color="auto" w:fill="auto"/>
            <w:vAlign w:val="bottom"/>
          </w:tcPr>
          <w:p w14:paraId="74DD640B" w14:textId="77777777" w:rsidR="00584EC1" w:rsidRDefault="00584EC1">
            <w:pPr>
              <w:rPr>
                <w:rFonts w:ascii="宋体"/>
                <w:vanish/>
              </w:rPr>
            </w:pPr>
          </w:p>
        </w:tc>
        <w:tc>
          <w:tcPr>
            <w:tcW w:w="0" w:type="auto"/>
            <w:gridSpan w:val="3"/>
            <w:shd w:val="clear" w:color="auto" w:fill="auto"/>
            <w:vAlign w:val="bottom"/>
          </w:tcPr>
          <w:p w14:paraId="74DD640C" w14:textId="77777777" w:rsidR="00584EC1" w:rsidRDefault="00584EC1">
            <w:pPr>
              <w:rPr>
                <w:rFonts w:ascii="宋体"/>
                <w:vanish/>
              </w:rPr>
            </w:pPr>
          </w:p>
        </w:tc>
        <w:tc>
          <w:tcPr>
            <w:tcW w:w="0" w:type="auto"/>
            <w:gridSpan w:val="3"/>
            <w:shd w:val="clear" w:color="auto" w:fill="auto"/>
            <w:vAlign w:val="bottom"/>
          </w:tcPr>
          <w:p w14:paraId="74DD640D" w14:textId="77777777" w:rsidR="00584EC1" w:rsidRDefault="00584EC1">
            <w:pPr>
              <w:rPr>
                <w:rFonts w:ascii="宋体"/>
                <w:vanish/>
              </w:rPr>
            </w:pPr>
          </w:p>
        </w:tc>
        <w:tc>
          <w:tcPr>
            <w:tcW w:w="0" w:type="auto"/>
            <w:gridSpan w:val="3"/>
            <w:shd w:val="clear" w:color="auto" w:fill="auto"/>
            <w:vAlign w:val="bottom"/>
          </w:tcPr>
          <w:p w14:paraId="74DD640E" w14:textId="77777777" w:rsidR="00584EC1" w:rsidRDefault="00584EC1">
            <w:pPr>
              <w:rPr>
                <w:rFonts w:ascii="宋体"/>
                <w:vanish/>
              </w:rPr>
            </w:pPr>
          </w:p>
        </w:tc>
        <w:tc>
          <w:tcPr>
            <w:tcW w:w="0" w:type="auto"/>
            <w:gridSpan w:val="3"/>
            <w:shd w:val="clear" w:color="auto" w:fill="auto"/>
            <w:vAlign w:val="bottom"/>
          </w:tcPr>
          <w:p w14:paraId="74DD640F" w14:textId="77777777" w:rsidR="00584EC1" w:rsidRDefault="00584EC1">
            <w:pPr>
              <w:rPr>
                <w:rFonts w:ascii="宋体"/>
                <w:vanish/>
              </w:rPr>
            </w:pPr>
          </w:p>
        </w:tc>
        <w:tc>
          <w:tcPr>
            <w:tcW w:w="0" w:type="auto"/>
            <w:gridSpan w:val="3"/>
            <w:shd w:val="clear" w:color="auto" w:fill="auto"/>
            <w:vAlign w:val="bottom"/>
          </w:tcPr>
          <w:p w14:paraId="74DD6410" w14:textId="77777777" w:rsidR="00584EC1" w:rsidRDefault="00584EC1">
            <w:pPr>
              <w:rPr>
                <w:rFonts w:ascii="宋体"/>
                <w:vanish/>
              </w:rPr>
            </w:pPr>
          </w:p>
        </w:tc>
        <w:tc>
          <w:tcPr>
            <w:tcW w:w="0" w:type="auto"/>
            <w:gridSpan w:val="3"/>
            <w:shd w:val="clear" w:color="auto" w:fill="auto"/>
            <w:vAlign w:val="bottom"/>
          </w:tcPr>
          <w:p w14:paraId="74DD6411" w14:textId="77777777" w:rsidR="00584EC1" w:rsidRDefault="00584EC1">
            <w:pPr>
              <w:rPr>
                <w:rFonts w:ascii="宋体"/>
                <w:vanish/>
              </w:rPr>
            </w:pPr>
          </w:p>
        </w:tc>
        <w:tc>
          <w:tcPr>
            <w:tcW w:w="0" w:type="auto"/>
            <w:gridSpan w:val="3"/>
            <w:shd w:val="clear" w:color="auto" w:fill="auto"/>
            <w:vAlign w:val="bottom"/>
          </w:tcPr>
          <w:p w14:paraId="74DD6412" w14:textId="77777777" w:rsidR="00584EC1" w:rsidRDefault="00584EC1">
            <w:pPr>
              <w:rPr>
                <w:rFonts w:ascii="宋体"/>
                <w:vanish/>
              </w:rPr>
            </w:pPr>
          </w:p>
        </w:tc>
        <w:tc>
          <w:tcPr>
            <w:tcW w:w="0" w:type="auto"/>
            <w:gridSpan w:val="3"/>
            <w:shd w:val="clear" w:color="auto" w:fill="auto"/>
            <w:vAlign w:val="bottom"/>
          </w:tcPr>
          <w:p w14:paraId="74DD6413" w14:textId="77777777" w:rsidR="00584EC1" w:rsidRDefault="00584EC1">
            <w:pPr>
              <w:rPr>
                <w:rFonts w:ascii="宋体"/>
                <w:vanish/>
              </w:rPr>
            </w:pPr>
          </w:p>
        </w:tc>
        <w:tc>
          <w:tcPr>
            <w:tcW w:w="0" w:type="auto"/>
            <w:gridSpan w:val="3"/>
            <w:shd w:val="clear" w:color="auto" w:fill="auto"/>
            <w:vAlign w:val="bottom"/>
          </w:tcPr>
          <w:p w14:paraId="74DD6414" w14:textId="77777777" w:rsidR="00584EC1" w:rsidRDefault="00584EC1">
            <w:pPr>
              <w:rPr>
                <w:rFonts w:ascii="宋体"/>
                <w:vanish/>
              </w:rPr>
            </w:pPr>
          </w:p>
        </w:tc>
      </w:tr>
      <w:tr w:rsidR="00584EC1" w14:paraId="74DD6421" w14:textId="77777777">
        <w:trPr>
          <w:hidden/>
        </w:trPr>
        <w:tc>
          <w:tcPr>
            <w:tcW w:w="0" w:type="auto"/>
            <w:gridSpan w:val="3"/>
            <w:shd w:val="clear" w:color="auto" w:fill="auto"/>
            <w:vAlign w:val="bottom"/>
          </w:tcPr>
          <w:p w14:paraId="74DD6416" w14:textId="77777777" w:rsidR="00584EC1" w:rsidRDefault="00584EC1">
            <w:pPr>
              <w:rPr>
                <w:rFonts w:ascii="宋体"/>
                <w:vanish/>
              </w:rPr>
            </w:pPr>
          </w:p>
        </w:tc>
        <w:tc>
          <w:tcPr>
            <w:tcW w:w="0" w:type="auto"/>
            <w:gridSpan w:val="3"/>
            <w:shd w:val="clear" w:color="auto" w:fill="auto"/>
            <w:vAlign w:val="bottom"/>
          </w:tcPr>
          <w:p w14:paraId="74DD6417" w14:textId="77777777" w:rsidR="00584EC1" w:rsidRDefault="00584EC1">
            <w:pPr>
              <w:rPr>
                <w:rFonts w:ascii="宋体"/>
                <w:vanish/>
              </w:rPr>
            </w:pPr>
          </w:p>
        </w:tc>
        <w:tc>
          <w:tcPr>
            <w:tcW w:w="0" w:type="auto"/>
            <w:gridSpan w:val="3"/>
            <w:shd w:val="clear" w:color="auto" w:fill="auto"/>
            <w:vAlign w:val="bottom"/>
          </w:tcPr>
          <w:p w14:paraId="74DD6418" w14:textId="77777777" w:rsidR="00584EC1" w:rsidRDefault="00584EC1">
            <w:pPr>
              <w:rPr>
                <w:rFonts w:ascii="宋体"/>
                <w:vanish/>
              </w:rPr>
            </w:pPr>
          </w:p>
        </w:tc>
        <w:tc>
          <w:tcPr>
            <w:tcW w:w="0" w:type="auto"/>
            <w:gridSpan w:val="3"/>
            <w:shd w:val="clear" w:color="auto" w:fill="auto"/>
            <w:vAlign w:val="bottom"/>
          </w:tcPr>
          <w:p w14:paraId="74DD6419" w14:textId="77777777" w:rsidR="00584EC1" w:rsidRDefault="00584EC1">
            <w:pPr>
              <w:rPr>
                <w:rFonts w:ascii="宋体"/>
                <w:vanish/>
              </w:rPr>
            </w:pPr>
          </w:p>
        </w:tc>
        <w:tc>
          <w:tcPr>
            <w:tcW w:w="0" w:type="auto"/>
            <w:gridSpan w:val="3"/>
            <w:shd w:val="clear" w:color="auto" w:fill="auto"/>
            <w:vAlign w:val="bottom"/>
          </w:tcPr>
          <w:p w14:paraId="74DD641A" w14:textId="77777777" w:rsidR="00584EC1" w:rsidRDefault="00584EC1">
            <w:pPr>
              <w:rPr>
                <w:rFonts w:ascii="宋体"/>
                <w:vanish/>
              </w:rPr>
            </w:pPr>
          </w:p>
        </w:tc>
        <w:tc>
          <w:tcPr>
            <w:tcW w:w="0" w:type="auto"/>
            <w:gridSpan w:val="3"/>
            <w:shd w:val="clear" w:color="auto" w:fill="auto"/>
            <w:vAlign w:val="bottom"/>
          </w:tcPr>
          <w:p w14:paraId="74DD641B" w14:textId="77777777" w:rsidR="00584EC1" w:rsidRDefault="00584EC1">
            <w:pPr>
              <w:rPr>
                <w:rFonts w:ascii="宋体"/>
                <w:vanish/>
              </w:rPr>
            </w:pPr>
          </w:p>
        </w:tc>
        <w:tc>
          <w:tcPr>
            <w:tcW w:w="0" w:type="auto"/>
            <w:gridSpan w:val="3"/>
            <w:shd w:val="clear" w:color="auto" w:fill="auto"/>
            <w:vAlign w:val="bottom"/>
          </w:tcPr>
          <w:p w14:paraId="74DD641C" w14:textId="77777777" w:rsidR="00584EC1" w:rsidRDefault="00584EC1">
            <w:pPr>
              <w:rPr>
                <w:rFonts w:ascii="宋体"/>
                <w:vanish/>
              </w:rPr>
            </w:pPr>
          </w:p>
        </w:tc>
        <w:tc>
          <w:tcPr>
            <w:tcW w:w="0" w:type="auto"/>
            <w:gridSpan w:val="3"/>
            <w:shd w:val="clear" w:color="auto" w:fill="auto"/>
            <w:vAlign w:val="bottom"/>
          </w:tcPr>
          <w:p w14:paraId="74DD641D" w14:textId="77777777" w:rsidR="00584EC1" w:rsidRDefault="00584EC1">
            <w:pPr>
              <w:rPr>
                <w:rFonts w:ascii="宋体"/>
                <w:vanish/>
              </w:rPr>
            </w:pPr>
          </w:p>
        </w:tc>
        <w:tc>
          <w:tcPr>
            <w:tcW w:w="0" w:type="auto"/>
            <w:gridSpan w:val="3"/>
            <w:shd w:val="clear" w:color="auto" w:fill="auto"/>
            <w:vAlign w:val="bottom"/>
          </w:tcPr>
          <w:p w14:paraId="74DD641E" w14:textId="77777777" w:rsidR="00584EC1" w:rsidRDefault="00584EC1">
            <w:pPr>
              <w:rPr>
                <w:rFonts w:ascii="宋体"/>
                <w:vanish/>
              </w:rPr>
            </w:pPr>
          </w:p>
        </w:tc>
        <w:tc>
          <w:tcPr>
            <w:tcW w:w="0" w:type="auto"/>
            <w:gridSpan w:val="3"/>
            <w:shd w:val="clear" w:color="auto" w:fill="auto"/>
            <w:vAlign w:val="bottom"/>
          </w:tcPr>
          <w:p w14:paraId="74DD641F" w14:textId="77777777" w:rsidR="00584EC1" w:rsidRDefault="00584EC1">
            <w:pPr>
              <w:rPr>
                <w:rFonts w:ascii="宋体"/>
                <w:vanish/>
              </w:rPr>
            </w:pPr>
          </w:p>
        </w:tc>
        <w:tc>
          <w:tcPr>
            <w:tcW w:w="0" w:type="auto"/>
            <w:gridSpan w:val="3"/>
            <w:shd w:val="clear" w:color="auto" w:fill="auto"/>
            <w:vAlign w:val="bottom"/>
          </w:tcPr>
          <w:p w14:paraId="74DD6420" w14:textId="77777777" w:rsidR="00584EC1" w:rsidRDefault="00584EC1">
            <w:pPr>
              <w:rPr>
                <w:rFonts w:ascii="宋体"/>
                <w:vanish/>
              </w:rPr>
            </w:pPr>
          </w:p>
        </w:tc>
      </w:tr>
      <w:tr w:rsidR="00584EC1" w14:paraId="74DD642D" w14:textId="77777777">
        <w:trPr>
          <w:hidden/>
        </w:trPr>
        <w:tc>
          <w:tcPr>
            <w:tcW w:w="0" w:type="auto"/>
            <w:gridSpan w:val="3"/>
            <w:shd w:val="clear" w:color="auto" w:fill="auto"/>
            <w:vAlign w:val="bottom"/>
          </w:tcPr>
          <w:p w14:paraId="74DD6422" w14:textId="77777777" w:rsidR="00584EC1" w:rsidRDefault="00584EC1">
            <w:pPr>
              <w:rPr>
                <w:rFonts w:ascii="宋体"/>
                <w:vanish/>
              </w:rPr>
            </w:pPr>
          </w:p>
        </w:tc>
        <w:tc>
          <w:tcPr>
            <w:tcW w:w="0" w:type="auto"/>
            <w:gridSpan w:val="3"/>
            <w:shd w:val="clear" w:color="auto" w:fill="auto"/>
            <w:vAlign w:val="bottom"/>
          </w:tcPr>
          <w:p w14:paraId="74DD6423" w14:textId="77777777" w:rsidR="00584EC1" w:rsidRDefault="00584EC1">
            <w:pPr>
              <w:rPr>
                <w:rFonts w:ascii="宋体"/>
                <w:vanish/>
              </w:rPr>
            </w:pPr>
          </w:p>
        </w:tc>
        <w:tc>
          <w:tcPr>
            <w:tcW w:w="0" w:type="auto"/>
            <w:gridSpan w:val="3"/>
            <w:shd w:val="clear" w:color="auto" w:fill="auto"/>
            <w:vAlign w:val="bottom"/>
          </w:tcPr>
          <w:p w14:paraId="74DD6424" w14:textId="77777777" w:rsidR="00584EC1" w:rsidRDefault="00584EC1">
            <w:pPr>
              <w:rPr>
                <w:rFonts w:ascii="宋体"/>
                <w:vanish/>
              </w:rPr>
            </w:pPr>
          </w:p>
        </w:tc>
        <w:tc>
          <w:tcPr>
            <w:tcW w:w="0" w:type="auto"/>
            <w:gridSpan w:val="3"/>
            <w:shd w:val="clear" w:color="auto" w:fill="auto"/>
            <w:vAlign w:val="bottom"/>
          </w:tcPr>
          <w:p w14:paraId="74DD6425" w14:textId="77777777" w:rsidR="00584EC1" w:rsidRDefault="00584EC1">
            <w:pPr>
              <w:rPr>
                <w:rFonts w:ascii="宋体"/>
                <w:vanish/>
              </w:rPr>
            </w:pPr>
          </w:p>
        </w:tc>
        <w:tc>
          <w:tcPr>
            <w:tcW w:w="0" w:type="auto"/>
            <w:gridSpan w:val="3"/>
            <w:shd w:val="clear" w:color="auto" w:fill="auto"/>
            <w:vAlign w:val="bottom"/>
          </w:tcPr>
          <w:p w14:paraId="74DD6426" w14:textId="77777777" w:rsidR="00584EC1" w:rsidRDefault="00584EC1">
            <w:pPr>
              <w:rPr>
                <w:rFonts w:ascii="宋体"/>
                <w:vanish/>
              </w:rPr>
            </w:pPr>
          </w:p>
        </w:tc>
        <w:tc>
          <w:tcPr>
            <w:tcW w:w="0" w:type="auto"/>
            <w:gridSpan w:val="3"/>
            <w:shd w:val="clear" w:color="auto" w:fill="auto"/>
            <w:vAlign w:val="bottom"/>
          </w:tcPr>
          <w:p w14:paraId="74DD6427" w14:textId="77777777" w:rsidR="00584EC1" w:rsidRDefault="00584EC1">
            <w:pPr>
              <w:rPr>
                <w:rFonts w:ascii="宋体"/>
                <w:vanish/>
              </w:rPr>
            </w:pPr>
          </w:p>
        </w:tc>
        <w:tc>
          <w:tcPr>
            <w:tcW w:w="0" w:type="auto"/>
            <w:gridSpan w:val="3"/>
            <w:shd w:val="clear" w:color="auto" w:fill="auto"/>
            <w:vAlign w:val="bottom"/>
          </w:tcPr>
          <w:p w14:paraId="74DD6428" w14:textId="77777777" w:rsidR="00584EC1" w:rsidRDefault="00584EC1">
            <w:pPr>
              <w:rPr>
                <w:rFonts w:ascii="宋体"/>
                <w:vanish/>
              </w:rPr>
            </w:pPr>
          </w:p>
        </w:tc>
        <w:tc>
          <w:tcPr>
            <w:tcW w:w="0" w:type="auto"/>
            <w:gridSpan w:val="3"/>
            <w:shd w:val="clear" w:color="auto" w:fill="auto"/>
            <w:vAlign w:val="bottom"/>
          </w:tcPr>
          <w:p w14:paraId="74DD6429" w14:textId="77777777" w:rsidR="00584EC1" w:rsidRDefault="00584EC1">
            <w:pPr>
              <w:rPr>
                <w:rFonts w:ascii="宋体"/>
                <w:vanish/>
              </w:rPr>
            </w:pPr>
          </w:p>
        </w:tc>
        <w:tc>
          <w:tcPr>
            <w:tcW w:w="0" w:type="auto"/>
            <w:gridSpan w:val="3"/>
            <w:shd w:val="clear" w:color="auto" w:fill="auto"/>
            <w:vAlign w:val="bottom"/>
          </w:tcPr>
          <w:p w14:paraId="74DD642A" w14:textId="77777777" w:rsidR="00584EC1" w:rsidRDefault="00584EC1">
            <w:pPr>
              <w:rPr>
                <w:rFonts w:ascii="宋体"/>
                <w:vanish/>
              </w:rPr>
            </w:pPr>
          </w:p>
        </w:tc>
        <w:tc>
          <w:tcPr>
            <w:tcW w:w="0" w:type="auto"/>
            <w:gridSpan w:val="3"/>
            <w:shd w:val="clear" w:color="auto" w:fill="auto"/>
            <w:vAlign w:val="bottom"/>
          </w:tcPr>
          <w:p w14:paraId="74DD642B" w14:textId="77777777" w:rsidR="00584EC1" w:rsidRDefault="00584EC1">
            <w:pPr>
              <w:rPr>
                <w:rFonts w:ascii="宋体"/>
                <w:vanish/>
              </w:rPr>
            </w:pPr>
          </w:p>
        </w:tc>
        <w:tc>
          <w:tcPr>
            <w:tcW w:w="0" w:type="auto"/>
            <w:gridSpan w:val="3"/>
            <w:shd w:val="clear" w:color="auto" w:fill="auto"/>
            <w:vAlign w:val="bottom"/>
          </w:tcPr>
          <w:p w14:paraId="74DD642C" w14:textId="77777777" w:rsidR="00584EC1" w:rsidRDefault="00584EC1">
            <w:pPr>
              <w:rPr>
                <w:rFonts w:ascii="宋体"/>
                <w:vanish/>
              </w:rPr>
            </w:pPr>
          </w:p>
        </w:tc>
      </w:tr>
      <w:tr w:rsidR="00584EC1" w14:paraId="74DD6439" w14:textId="77777777">
        <w:trPr>
          <w:hidden/>
        </w:trPr>
        <w:tc>
          <w:tcPr>
            <w:tcW w:w="0" w:type="auto"/>
            <w:gridSpan w:val="3"/>
            <w:shd w:val="clear" w:color="auto" w:fill="auto"/>
            <w:vAlign w:val="bottom"/>
          </w:tcPr>
          <w:p w14:paraId="74DD642E" w14:textId="77777777" w:rsidR="00584EC1" w:rsidRDefault="00584EC1">
            <w:pPr>
              <w:rPr>
                <w:rFonts w:ascii="宋体"/>
                <w:vanish/>
              </w:rPr>
            </w:pPr>
          </w:p>
        </w:tc>
        <w:tc>
          <w:tcPr>
            <w:tcW w:w="0" w:type="auto"/>
            <w:gridSpan w:val="3"/>
            <w:shd w:val="clear" w:color="auto" w:fill="auto"/>
            <w:vAlign w:val="bottom"/>
          </w:tcPr>
          <w:p w14:paraId="74DD642F" w14:textId="77777777" w:rsidR="00584EC1" w:rsidRDefault="00584EC1">
            <w:pPr>
              <w:rPr>
                <w:rFonts w:ascii="宋体"/>
                <w:vanish/>
              </w:rPr>
            </w:pPr>
          </w:p>
        </w:tc>
        <w:tc>
          <w:tcPr>
            <w:tcW w:w="0" w:type="auto"/>
            <w:gridSpan w:val="3"/>
            <w:shd w:val="clear" w:color="auto" w:fill="auto"/>
            <w:vAlign w:val="bottom"/>
          </w:tcPr>
          <w:p w14:paraId="74DD6430" w14:textId="77777777" w:rsidR="00584EC1" w:rsidRDefault="00584EC1">
            <w:pPr>
              <w:rPr>
                <w:rFonts w:ascii="宋体"/>
                <w:vanish/>
              </w:rPr>
            </w:pPr>
          </w:p>
        </w:tc>
        <w:tc>
          <w:tcPr>
            <w:tcW w:w="0" w:type="auto"/>
            <w:gridSpan w:val="3"/>
            <w:shd w:val="clear" w:color="auto" w:fill="auto"/>
            <w:vAlign w:val="bottom"/>
          </w:tcPr>
          <w:p w14:paraId="74DD6431" w14:textId="77777777" w:rsidR="00584EC1" w:rsidRDefault="00584EC1">
            <w:pPr>
              <w:rPr>
                <w:rFonts w:ascii="宋体"/>
                <w:vanish/>
              </w:rPr>
            </w:pPr>
          </w:p>
        </w:tc>
        <w:tc>
          <w:tcPr>
            <w:tcW w:w="0" w:type="auto"/>
            <w:gridSpan w:val="3"/>
            <w:shd w:val="clear" w:color="auto" w:fill="auto"/>
            <w:vAlign w:val="bottom"/>
          </w:tcPr>
          <w:p w14:paraId="74DD6432" w14:textId="77777777" w:rsidR="00584EC1" w:rsidRDefault="00584EC1">
            <w:pPr>
              <w:rPr>
                <w:rFonts w:ascii="宋体"/>
                <w:vanish/>
              </w:rPr>
            </w:pPr>
          </w:p>
        </w:tc>
        <w:tc>
          <w:tcPr>
            <w:tcW w:w="0" w:type="auto"/>
            <w:gridSpan w:val="3"/>
            <w:shd w:val="clear" w:color="auto" w:fill="auto"/>
            <w:vAlign w:val="bottom"/>
          </w:tcPr>
          <w:p w14:paraId="74DD6433" w14:textId="77777777" w:rsidR="00584EC1" w:rsidRDefault="00584EC1">
            <w:pPr>
              <w:rPr>
                <w:rFonts w:ascii="宋体"/>
                <w:vanish/>
              </w:rPr>
            </w:pPr>
          </w:p>
        </w:tc>
        <w:tc>
          <w:tcPr>
            <w:tcW w:w="0" w:type="auto"/>
            <w:gridSpan w:val="3"/>
            <w:shd w:val="clear" w:color="auto" w:fill="auto"/>
            <w:vAlign w:val="bottom"/>
          </w:tcPr>
          <w:p w14:paraId="74DD6434" w14:textId="77777777" w:rsidR="00584EC1" w:rsidRDefault="00584EC1">
            <w:pPr>
              <w:rPr>
                <w:rFonts w:ascii="宋体"/>
                <w:vanish/>
              </w:rPr>
            </w:pPr>
          </w:p>
        </w:tc>
        <w:tc>
          <w:tcPr>
            <w:tcW w:w="0" w:type="auto"/>
            <w:gridSpan w:val="3"/>
            <w:shd w:val="clear" w:color="auto" w:fill="auto"/>
            <w:vAlign w:val="bottom"/>
          </w:tcPr>
          <w:p w14:paraId="74DD6435" w14:textId="77777777" w:rsidR="00584EC1" w:rsidRDefault="00584EC1">
            <w:pPr>
              <w:rPr>
                <w:rFonts w:ascii="宋体"/>
                <w:vanish/>
              </w:rPr>
            </w:pPr>
          </w:p>
        </w:tc>
        <w:tc>
          <w:tcPr>
            <w:tcW w:w="0" w:type="auto"/>
            <w:gridSpan w:val="3"/>
            <w:shd w:val="clear" w:color="auto" w:fill="auto"/>
            <w:vAlign w:val="bottom"/>
          </w:tcPr>
          <w:p w14:paraId="74DD6436" w14:textId="77777777" w:rsidR="00584EC1" w:rsidRDefault="00584EC1">
            <w:pPr>
              <w:rPr>
                <w:rFonts w:ascii="宋体"/>
                <w:vanish/>
              </w:rPr>
            </w:pPr>
          </w:p>
        </w:tc>
        <w:tc>
          <w:tcPr>
            <w:tcW w:w="0" w:type="auto"/>
            <w:gridSpan w:val="3"/>
            <w:shd w:val="clear" w:color="auto" w:fill="auto"/>
            <w:vAlign w:val="bottom"/>
          </w:tcPr>
          <w:p w14:paraId="74DD6437" w14:textId="77777777" w:rsidR="00584EC1" w:rsidRDefault="00584EC1">
            <w:pPr>
              <w:rPr>
                <w:rFonts w:ascii="宋体"/>
                <w:vanish/>
              </w:rPr>
            </w:pPr>
          </w:p>
        </w:tc>
        <w:tc>
          <w:tcPr>
            <w:tcW w:w="0" w:type="auto"/>
            <w:gridSpan w:val="3"/>
            <w:shd w:val="clear" w:color="auto" w:fill="auto"/>
            <w:vAlign w:val="bottom"/>
          </w:tcPr>
          <w:p w14:paraId="74DD6438" w14:textId="77777777" w:rsidR="00584EC1" w:rsidRDefault="00584EC1">
            <w:pPr>
              <w:rPr>
                <w:rFonts w:ascii="宋体"/>
                <w:vanish/>
              </w:rPr>
            </w:pPr>
          </w:p>
        </w:tc>
      </w:tr>
      <w:tr w:rsidR="00584EC1" w14:paraId="74DD6445" w14:textId="77777777">
        <w:trPr>
          <w:hidden/>
        </w:trPr>
        <w:tc>
          <w:tcPr>
            <w:tcW w:w="0" w:type="auto"/>
            <w:gridSpan w:val="3"/>
            <w:shd w:val="clear" w:color="auto" w:fill="auto"/>
            <w:vAlign w:val="bottom"/>
          </w:tcPr>
          <w:p w14:paraId="74DD643A" w14:textId="77777777" w:rsidR="00584EC1" w:rsidRDefault="00584EC1">
            <w:pPr>
              <w:rPr>
                <w:rFonts w:ascii="宋体"/>
                <w:vanish/>
              </w:rPr>
            </w:pPr>
          </w:p>
        </w:tc>
        <w:tc>
          <w:tcPr>
            <w:tcW w:w="0" w:type="auto"/>
            <w:gridSpan w:val="3"/>
            <w:shd w:val="clear" w:color="auto" w:fill="auto"/>
            <w:vAlign w:val="bottom"/>
          </w:tcPr>
          <w:p w14:paraId="74DD643B" w14:textId="77777777" w:rsidR="00584EC1" w:rsidRDefault="00584EC1">
            <w:pPr>
              <w:rPr>
                <w:rFonts w:ascii="宋体"/>
                <w:vanish/>
              </w:rPr>
            </w:pPr>
          </w:p>
        </w:tc>
        <w:tc>
          <w:tcPr>
            <w:tcW w:w="0" w:type="auto"/>
            <w:gridSpan w:val="3"/>
            <w:shd w:val="clear" w:color="auto" w:fill="auto"/>
            <w:vAlign w:val="bottom"/>
          </w:tcPr>
          <w:p w14:paraId="74DD643C" w14:textId="77777777" w:rsidR="00584EC1" w:rsidRDefault="00584EC1">
            <w:pPr>
              <w:rPr>
                <w:rFonts w:ascii="宋体"/>
                <w:vanish/>
              </w:rPr>
            </w:pPr>
          </w:p>
        </w:tc>
        <w:tc>
          <w:tcPr>
            <w:tcW w:w="0" w:type="auto"/>
            <w:gridSpan w:val="3"/>
            <w:shd w:val="clear" w:color="auto" w:fill="auto"/>
            <w:vAlign w:val="bottom"/>
          </w:tcPr>
          <w:p w14:paraId="74DD643D" w14:textId="77777777" w:rsidR="00584EC1" w:rsidRDefault="00584EC1">
            <w:pPr>
              <w:rPr>
                <w:rFonts w:ascii="宋体"/>
                <w:vanish/>
              </w:rPr>
            </w:pPr>
          </w:p>
        </w:tc>
        <w:tc>
          <w:tcPr>
            <w:tcW w:w="0" w:type="auto"/>
            <w:gridSpan w:val="3"/>
            <w:shd w:val="clear" w:color="auto" w:fill="auto"/>
            <w:vAlign w:val="bottom"/>
          </w:tcPr>
          <w:p w14:paraId="74DD643E" w14:textId="77777777" w:rsidR="00584EC1" w:rsidRDefault="00584EC1">
            <w:pPr>
              <w:rPr>
                <w:rFonts w:ascii="宋体"/>
                <w:vanish/>
              </w:rPr>
            </w:pPr>
          </w:p>
        </w:tc>
        <w:tc>
          <w:tcPr>
            <w:tcW w:w="0" w:type="auto"/>
            <w:gridSpan w:val="3"/>
            <w:shd w:val="clear" w:color="auto" w:fill="auto"/>
            <w:vAlign w:val="bottom"/>
          </w:tcPr>
          <w:p w14:paraId="74DD643F" w14:textId="77777777" w:rsidR="00584EC1" w:rsidRDefault="00584EC1">
            <w:pPr>
              <w:rPr>
                <w:rFonts w:ascii="宋体"/>
                <w:vanish/>
              </w:rPr>
            </w:pPr>
          </w:p>
        </w:tc>
        <w:tc>
          <w:tcPr>
            <w:tcW w:w="0" w:type="auto"/>
            <w:gridSpan w:val="3"/>
            <w:shd w:val="clear" w:color="auto" w:fill="auto"/>
            <w:vAlign w:val="bottom"/>
          </w:tcPr>
          <w:p w14:paraId="74DD6440" w14:textId="77777777" w:rsidR="00584EC1" w:rsidRDefault="00584EC1">
            <w:pPr>
              <w:rPr>
                <w:rFonts w:ascii="宋体"/>
                <w:vanish/>
              </w:rPr>
            </w:pPr>
          </w:p>
        </w:tc>
        <w:tc>
          <w:tcPr>
            <w:tcW w:w="0" w:type="auto"/>
            <w:gridSpan w:val="3"/>
            <w:shd w:val="clear" w:color="auto" w:fill="auto"/>
            <w:vAlign w:val="bottom"/>
          </w:tcPr>
          <w:p w14:paraId="74DD6441" w14:textId="77777777" w:rsidR="00584EC1" w:rsidRDefault="00584EC1">
            <w:pPr>
              <w:rPr>
                <w:rFonts w:ascii="宋体"/>
                <w:vanish/>
              </w:rPr>
            </w:pPr>
          </w:p>
        </w:tc>
        <w:tc>
          <w:tcPr>
            <w:tcW w:w="0" w:type="auto"/>
            <w:gridSpan w:val="3"/>
            <w:shd w:val="clear" w:color="auto" w:fill="auto"/>
            <w:vAlign w:val="bottom"/>
          </w:tcPr>
          <w:p w14:paraId="74DD6442" w14:textId="77777777" w:rsidR="00584EC1" w:rsidRDefault="00584EC1">
            <w:pPr>
              <w:rPr>
                <w:rFonts w:ascii="宋体"/>
                <w:vanish/>
              </w:rPr>
            </w:pPr>
          </w:p>
        </w:tc>
        <w:tc>
          <w:tcPr>
            <w:tcW w:w="0" w:type="auto"/>
            <w:gridSpan w:val="3"/>
            <w:shd w:val="clear" w:color="auto" w:fill="auto"/>
            <w:vAlign w:val="bottom"/>
          </w:tcPr>
          <w:p w14:paraId="74DD6443" w14:textId="77777777" w:rsidR="00584EC1" w:rsidRDefault="00584EC1">
            <w:pPr>
              <w:rPr>
                <w:rFonts w:ascii="宋体"/>
                <w:vanish/>
              </w:rPr>
            </w:pPr>
          </w:p>
        </w:tc>
        <w:tc>
          <w:tcPr>
            <w:tcW w:w="0" w:type="auto"/>
            <w:gridSpan w:val="3"/>
            <w:shd w:val="clear" w:color="auto" w:fill="auto"/>
            <w:vAlign w:val="bottom"/>
          </w:tcPr>
          <w:p w14:paraId="74DD6444" w14:textId="77777777" w:rsidR="00584EC1" w:rsidRDefault="00584EC1">
            <w:pPr>
              <w:rPr>
                <w:rFonts w:ascii="宋体"/>
                <w:vanish/>
              </w:rPr>
            </w:pPr>
          </w:p>
        </w:tc>
      </w:tr>
      <w:tr w:rsidR="00584EC1" w14:paraId="74DD6451" w14:textId="77777777">
        <w:trPr>
          <w:hidden/>
        </w:trPr>
        <w:tc>
          <w:tcPr>
            <w:tcW w:w="0" w:type="auto"/>
            <w:gridSpan w:val="3"/>
            <w:shd w:val="clear" w:color="auto" w:fill="auto"/>
            <w:vAlign w:val="bottom"/>
          </w:tcPr>
          <w:p w14:paraId="74DD6446" w14:textId="77777777" w:rsidR="00584EC1" w:rsidRDefault="00584EC1">
            <w:pPr>
              <w:rPr>
                <w:rFonts w:ascii="宋体"/>
                <w:vanish/>
              </w:rPr>
            </w:pPr>
          </w:p>
        </w:tc>
        <w:tc>
          <w:tcPr>
            <w:tcW w:w="0" w:type="auto"/>
            <w:gridSpan w:val="3"/>
            <w:shd w:val="clear" w:color="auto" w:fill="auto"/>
            <w:vAlign w:val="bottom"/>
          </w:tcPr>
          <w:p w14:paraId="74DD6447" w14:textId="77777777" w:rsidR="00584EC1" w:rsidRDefault="00584EC1">
            <w:pPr>
              <w:rPr>
                <w:rFonts w:ascii="宋体"/>
                <w:vanish/>
              </w:rPr>
            </w:pPr>
          </w:p>
        </w:tc>
        <w:tc>
          <w:tcPr>
            <w:tcW w:w="0" w:type="auto"/>
            <w:gridSpan w:val="3"/>
            <w:shd w:val="clear" w:color="auto" w:fill="auto"/>
            <w:vAlign w:val="bottom"/>
          </w:tcPr>
          <w:p w14:paraId="74DD6448" w14:textId="77777777" w:rsidR="00584EC1" w:rsidRDefault="00584EC1">
            <w:pPr>
              <w:rPr>
                <w:rFonts w:ascii="宋体"/>
                <w:vanish/>
              </w:rPr>
            </w:pPr>
          </w:p>
        </w:tc>
        <w:tc>
          <w:tcPr>
            <w:tcW w:w="0" w:type="auto"/>
            <w:gridSpan w:val="3"/>
            <w:shd w:val="clear" w:color="auto" w:fill="auto"/>
            <w:vAlign w:val="bottom"/>
          </w:tcPr>
          <w:p w14:paraId="74DD6449" w14:textId="77777777" w:rsidR="00584EC1" w:rsidRDefault="00584EC1">
            <w:pPr>
              <w:rPr>
                <w:rFonts w:ascii="宋体"/>
                <w:vanish/>
              </w:rPr>
            </w:pPr>
          </w:p>
        </w:tc>
        <w:tc>
          <w:tcPr>
            <w:tcW w:w="0" w:type="auto"/>
            <w:gridSpan w:val="3"/>
            <w:shd w:val="clear" w:color="auto" w:fill="auto"/>
            <w:vAlign w:val="bottom"/>
          </w:tcPr>
          <w:p w14:paraId="74DD644A" w14:textId="77777777" w:rsidR="00584EC1" w:rsidRDefault="00584EC1">
            <w:pPr>
              <w:rPr>
                <w:rFonts w:ascii="宋体"/>
                <w:vanish/>
              </w:rPr>
            </w:pPr>
          </w:p>
        </w:tc>
        <w:tc>
          <w:tcPr>
            <w:tcW w:w="0" w:type="auto"/>
            <w:gridSpan w:val="3"/>
            <w:shd w:val="clear" w:color="auto" w:fill="auto"/>
            <w:vAlign w:val="bottom"/>
          </w:tcPr>
          <w:p w14:paraId="74DD644B" w14:textId="77777777" w:rsidR="00584EC1" w:rsidRDefault="00584EC1">
            <w:pPr>
              <w:rPr>
                <w:rFonts w:ascii="宋体"/>
                <w:vanish/>
              </w:rPr>
            </w:pPr>
          </w:p>
        </w:tc>
        <w:tc>
          <w:tcPr>
            <w:tcW w:w="0" w:type="auto"/>
            <w:gridSpan w:val="3"/>
            <w:shd w:val="clear" w:color="auto" w:fill="auto"/>
            <w:vAlign w:val="bottom"/>
          </w:tcPr>
          <w:p w14:paraId="74DD644C" w14:textId="77777777" w:rsidR="00584EC1" w:rsidRDefault="00584EC1">
            <w:pPr>
              <w:rPr>
                <w:rFonts w:ascii="宋体"/>
                <w:vanish/>
              </w:rPr>
            </w:pPr>
          </w:p>
        </w:tc>
        <w:tc>
          <w:tcPr>
            <w:tcW w:w="0" w:type="auto"/>
            <w:gridSpan w:val="3"/>
            <w:shd w:val="clear" w:color="auto" w:fill="auto"/>
            <w:vAlign w:val="bottom"/>
          </w:tcPr>
          <w:p w14:paraId="74DD644D" w14:textId="77777777" w:rsidR="00584EC1" w:rsidRDefault="00584EC1">
            <w:pPr>
              <w:rPr>
                <w:rFonts w:ascii="宋体"/>
                <w:vanish/>
              </w:rPr>
            </w:pPr>
          </w:p>
        </w:tc>
        <w:tc>
          <w:tcPr>
            <w:tcW w:w="0" w:type="auto"/>
            <w:gridSpan w:val="3"/>
            <w:shd w:val="clear" w:color="auto" w:fill="auto"/>
            <w:vAlign w:val="bottom"/>
          </w:tcPr>
          <w:p w14:paraId="74DD644E" w14:textId="77777777" w:rsidR="00584EC1" w:rsidRDefault="00584EC1">
            <w:pPr>
              <w:rPr>
                <w:rFonts w:ascii="宋体"/>
                <w:vanish/>
              </w:rPr>
            </w:pPr>
          </w:p>
        </w:tc>
        <w:tc>
          <w:tcPr>
            <w:tcW w:w="0" w:type="auto"/>
            <w:gridSpan w:val="3"/>
            <w:shd w:val="clear" w:color="auto" w:fill="auto"/>
            <w:vAlign w:val="bottom"/>
          </w:tcPr>
          <w:p w14:paraId="74DD644F" w14:textId="77777777" w:rsidR="00584EC1" w:rsidRDefault="00584EC1">
            <w:pPr>
              <w:rPr>
                <w:rFonts w:ascii="宋体"/>
                <w:vanish/>
              </w:rPr>
            </w:pPr>
          </w:p>
        </w:tc>
        <w:tc>
          <w:tcPr>
            <w:tcW w:w="0" w:type="auto"/>
            <w:gridSpan w:val="3"/>
            <w:shd w:val="clear" w:color="auto" w:fill="auto"/>
            <w:vAlign w:val="bottom"/>
          </w:tcPr>
          <w:p w14:paraId="74DD6450" w14:textId="77777777" w:rsidR="00584EC1" w:rsidRDefault="00584EC1">
            <w:pPr>
              <w:rPr>
                <w:rFonts w:ascii="宋体"/>
                <w:vanish/>
              </w:rPr>
            </w:pPr>
          </w:p>
        </w:tc>
      </w:tr>
      <w:tr w:rsidR="00584EC1" w14:paraId="74DD645D" w14:textId="77777777">
        <w:trPr>
          <w:hidden/>
        </w:trPr>
        <w:tc>
          <w:tcPr>
            <w:tcW w:w="0" w:type="auto"/>
            <w:gridSpan w:val="3"/>
            <w:shd w:val="clear" w:color="auto" w:fill="auto"/>
            <w:vAlign w:val="bottom"/>
          </w:tcPr>
          <w:p w14:paraId="74DD6452" w14:textId="77777777" w:rsidR="00584EC1" w:rsidRDefault="00584EC1">
            <w:pPr>
              <w:rPr>
                <w:rFonts w:ascii="宋体"/>
                <w:vanish/>
              </w:rPr>
            </w:pPr>
          </w:p>
        </w:tc>
        <w:tc>
          <w:tcPr>
            <w:tcW w:w="0" w:type="auto"/>
            <w:gridSpan w:val="3"/>
            <w:shd w:val="clear" w:color="auto" w:fill="auto"/>
            <w:vAlign w:val="bottom"/>
          </w:tcPr>
          <w:p w14:paraId="74DD6453" w14:textId="77777777" w:rsidR="00584EC1" w:rsidRDefault="00584EC1">
            <w:pPr>
              <w:rPr>
                <w:rFonts w:ascii="宋体"/>
                <w:vanish/>
              </w:rPr>
            </w:pPr>
          </w:p>
        </w:tc>
        <w:tc>
          <w:tcPr>
            <w:tcW w:w="0" w:type="auto"/>
            <w:gridSpan w:val="3"/>
            <w:shd w:val="clear" w:color="auto" w:fill="auto"/>
            <w:vAlign w:val="bottom"/>
          </w:tcPr>
          <w:p w14:paraId="74DD6454" w14:textId="77777777" w:rsidR="00584EC1" w:rsidRDefault="00584EC1">
            <w:pPr>
              <w:rPr>
                <w:rFonts w:ascii="宋体"/>
                <w:vanish/>
              </w:rPr>
            </w:pPr>
          </w:p>
        </w:tc>
        <w:tc>
          <w:tcPr>
            <w:tcW w:w="0" w:type="auto"/>
            <w:gridSpan w:val="3"/>
            <w:shd w:val="clear" w:color="auto" w:fill="auto"/>
            <w:vAlign w:val="bottom"/>
          </w:tcPr>
          <w:p w14:paraId="74DD6455" w14:textId="77777777" w:rsidR="00584EC1" w:rsidRDefault="00584EC1">
            <w:pPr>
              <w:rPr>
                <w:rFonts w:ascii="宋体"/>
                <w:vanish/>
              </w:rPr>
            </w:pPr>
          </w:p>
        </w:tc>
        <w:tc>
          <w:tcPr>
            <w:tcW w:w="0" w:type="auto"/>
            <w:gridSpan w:val="3"/>
            <w:shd w:val="clear" w:color="auto" w:fill="auto"/>
            <w:vAlign w:val="bottom"/>
          </w:tcPr>
          <w:p w14:paraId="74DD6456" w14:textId="77777777" w:rsidR="00584EC1" w:rsidRDefault="00584EC1">
            <w:pPr>
              <w:rPr>
                <w:rFonts w:ascii="宋体"/>
                <w:vanish/>
              </w:rPr>
            </w:pPr>
          </w:p>
        </w:tc>
        <w:tc>
          <w:tcPr>
            <w:tcW w:w="0" w:type="auto"/>
            <w:gridSpan w:val="3"/>
            <w:shd w:val="clear" w:color="auto" w:fill="auto"/>
            <w:vAlign w:val="bottom"/>
          </w:tcPr>
          <w:p w14:paraId="74DD6457" w14:textId="77777777" w:rsidR="00584EC1" w:rsidRDefault="00584EC1">
            <w:pPr>
              <w:rPr>
                <w:rFonts w:ascii="宋体"/>
                <w:vanish/>
              </w:rPr>
            </w:pPr>
          </w:p>
        </w:tc>
        <w:tc>
          <w:tcPr>
            <w:tcW w:w="0" w:type="auto"/>
            <w:gridSpan w:val="3"/>
            <w:shd w:val="clear" w:color="auto" w:fill="auto"/>
            <w:vAlign w:val="bottom"/>
          </w:tcPr>
          <w:p w14:paraId="74DD6458" w14:textId="77777777" w:rsidR="00584EC1" w:rsidRDefault="00584EC1">
            <w:pPr>
              <w:rPr>
                <w:rFonts w:ascii="宋体"/>
                <w:vanish/>
              </w:rPr>
            </w:pPr>
          </w:p>
        </w:tc>
        <w:tc>
          <w:tcPr>
            <w:tcW w:w="0" w:type="auto"/>
            <w:gridSpan w:val="3"/>
            <w:shd w:val="clear" w:color="auto" w:fill="auto"/>
            <w:vAlign w:val="bottom"/>
          </w:tcPr>
          <w:p w14:paraId="74DD6459" w14:textId="77777777" w:rsidR="00584EC1" w:rsidRDefault="00584EC1">
            <w:pPr>
              <w:rPr>
                <w:rFonts w:ascii="宋体"/>
                <w:vanish/>
              </w:rPr>
            </w:pPr>
          </w:p>
        </w:tc>
        <w:tc>
          <w:tcPr>
            <w:tcW w:w="0" w:type="auto"/>
            <w:gridSpan w:val="3"/>
            <w:shd w:val="clear" w:color="auto" w:fill="auto"/>
            <w:vAlign w:val="bottom"/>
          </w:tcPr>
          <w:p w14:paraId="74DD645A" w14:textId="77777777" w:rsidR="00584EC1" w:rsidRDefault="00584EC1">
            <w:pPr>
              <w:rPr>
                <w:rFonts w:ascii="宋体"/>
                <w:vanish/>
              </w:rPr>
            </w:pPr>
          </w:p>
        </w:tc>
        <w:tc>
          <w:tcPr>
            <w:tcW w:w="0" w:type="auto"/>
            <w:gridSpan w:val="3"/>
            <w:shd w:val="clear" w:color="auto" w:fill="auto"/>
            <w:vAlign w:val="bottom"/>
          </w:tcPr>
          <w:p w14:paraId="74DD645B" w14:textId="77777777" w:rsidR="00584EC1" w:rsidRDefault="00584EC1">
            <w:pPr>
              <w:rPr>
                <w:rFonts w:ascii="宋体"/>
                <w:vanish/>
              </w:rPr>
            </w:pPr>
          </w:p>
        </w:tc>
        <w:tc>
          <w:tcPr>
            <w:tcW w:w="0" w:type="auto"/>
            <w:gridSpan w:val="3"/>
            <w:shd w:val="clear" w:color="auto" w:fill="auto"/>
            <w:vAlign w:val="bottom"/>
          </w:tcPr>
          <w:p w14:paraId="74DD645C" w14:textId="77777777" w:rsidR="00584EC1" w:rsidRDefault="00584EC1">
            <w:pPr>
              <w:rPr>
                <w:rFonts w:ascii="宋体"/>
                <w:vanish/>
              </w:rPr>
            </w:pPr>
          </w:p>
        </w:tc>
      </w:tr>
      <w:tr w:rsidR="00584EC1" w14:paraId="74DD6469" w14:textId="77777777">
        <w:trPr>
          <w:hidden/>
        </w:trPr>
        <w:tc>
          <w:tcPr>
            <w:tcW w:w="0" w:type="auto"/>
            <w:gridSpan w:val="3"/>
            <w:shd w:val="clear" w:color="auto" w:fill="auto"/>
            <w:vAlign w:val="bottom"/>
          </w:tcPr>
          <w:p w14:paraId="74DD645E" w14:textId="77777777" w:rsidR="00584EC1" w:rsidRDefault="00584EC1">
            <w:pPr>
              <w:rPr>
                <w:rFonts w:ascii="宋体"/>
                <w:vanish/>
              </w:rPr>
            </w:pPr>
          </w:p>
        </w:tc>
        <w:tc>
          <w:tcPr>
            <w:tcW w:w="0" w:type="auto"/>
            <w:gridSpan w:val="3"/>
            <w:shd w:val="clear" w:color="auto" w:fill="auto"/>
            <w:vAlign w:val="bottom"/>
          </w:tcPr>
          <w:p w14:paraId="74DD645F" w14:textId="77777777" w:rsidR="00584EC1" w:rsidRDefault="00584EC1">
            <w:pPr>
              <w:rPr>
                <w:rFonts w:ascii="宋体"/>
                <w:vanish/>
              </w:rPr>
            </w:pPr>
          </w:p>
        </w:tc>
        <w:tc>
          <w:tcPr>
            <w:tcW w:w="0" w:type="auto"/>
            <w:gridSpan w:val="3"/>
            <w:shd w:val="clear" w:color="auto" w:fill="auto"/>
            <w:vAlign w:val="bottom"/>
          </w:tcPr>
          <w:p w14:paraId="74DD6460" w14:textId="77777777" w:rsidR="00584EC1" w:rsidRDefault="00584EC1">
            <w:pPr>
              <w:rPr>
                <w:rFonts w:ascii="宋体"/>
                <w:vanish/>
              </w:rPr>
            </w:pPr>
          </w:p>
        </w:tc>
        <w:tc>
          <w:tcPr>
            <w:tcW w:w="0" w:type="auto"/>
            <w:gridSpan w:val="3"/>
            <w:shd w:val="clear" w:color="auto" w:fill="auto"/>
            <w:vAlign w:val="bottom"/>
          </w:tcPr>
          <w:p w14:paraId="74DD6461" w14:textId="77777777" w:rsidR="00584EC1" w:rsidRDefault="00584EC1">
            <w:pPr>
              <w:rPr>
                <w:rFonts w:ascii="宋体"/>
                <w:vanish/>
              </w:rPr>
            </w:pPr>
          </w:p>
        </w:tc>
        <w:tc>
          <w:tcPr>
            <w:tcW w:w="0" w:type="auto"/>
            <w:gridSpan w:val="3"/>
            <w:shd w:val="clear" w:color="auto" w:fill="auto"/>
            <w:vAlign w:val="bottom"/>
          </w:tcPr>
          <w:p w14:paraId="74DD6462" w14:textId="77777777" w:rsidR="00584EC1" w:rsidRDefault="00584EC1">
            <w:pPr>
              <w:rPr>
                <w:rFonts w:ascii="宋体"/>
                <w:vanish/>
              </w:rPr>
            </w:pPr>
          </w:p>
        </w:tc>
        <w:tc>
          <w:tcPr>
            <w:tcW w:w="0" w:type="auto"/>
            <w:gridSpan w:val="3"/>
            <w:shd w:val="clear" w:color="auto" w:fill="auto"/>
            <w:vAlign w:val="bottom"/>
          </w:tcPr>
          <w:p w14:paraId="74DD6463" w14:textId="77777777" w:rsidR="00584EC1" w:rsidRDefault="00584EC1">
            <w:pPr>
              <w:rPr>
                <w:rFonts w:ascii="宋体"/>
                <w:vanish/>
              </w:rPr>
            </w:pPr>
          </w:p>
        </w:tc>
        <w:tc>
          <w:tcPr>
            <w:tcW w:w="0" w:type="auto"/>
            <w:gridSpan w:val="3"/>
            <w:shd w:val="clear" w:color="auto" w:fill="auto"/>
            <w:vAlign w:val="bottom"/>
          </w:tcPr>
          <w:p w14:paraId="74DD6464" w14:textId="77777777" w:rsidR="00584EC1" w:rsidRDefault="00584EC1">
            <w:pPr>
              <w:rPr>
                <w:rFonts w:ascii="宋体"/>
                <w:vanish/>
              </w:rPr>
            </w:pPr>
          </w:p>
        </w:tc>
        <w:tc>
          <w:tcPr>
            <w:tcW w:w="0" w:type="auto"/>
            <w:gridSpan w:val="3"/>
            <w:shd w:val="clear" w:color="auto" w:fill="auto"/>
            <w:vAlign w:val="bottom"/>
          </w:tcPr>
          <w:p w14:paraId="74DD6465" w14:textId="77777777" w:rsidR="00584EC1" w:rsidRDefault="00584EC1">
            <w:pPr>
              <w:rPr>
                <w:rFonts w:ascii="宋体"/>
                <w:vanish/>
              </w:rPr>
            </w:pPr>
          </w:p>
        </w:tc>
        <w:tc>
          <w:tcPr>
            <w:tcW w:w="0" w:type="auto"/>
            <w:gridSpan w:val="3"/>
            <w:shd w:val="clear" w:color="auto" w:fill="auto"/>
            <w:vAlign w:val="bottom"/>
          </w:tcPr>
          <w:p w14:paraId="74DD6466" w14:textId="77777777" w:rsidR="00584EC1" w:rsidRDefault="00584EC1">
            <w:pPr>
              <w:rPr>
                <w:rFonts w:ascii="宋体"/>
                <w:vanish/>
              </w:rPr>
            </w:pPr>
          </w:p>
        </w:tc>
        <w:tc>
          <w:tcPr>
            <w:tcW w:w="0" w:type="auto"/>
            <w:gridSpan w:val="3"/>
            <w:shd w:val="clear" w:color="auto" w:fill="auto"/>
            <w:vAlign w:val="bottom"/>
          </w:tcPr>
          <w:p w14:paraId="74DD6467" w14:textId="77777777" w:rsidR="00584EC1" w:rsidRDefault="00584EC1">
            <w:pPr>
              <w:rPr>
                <w:rFonts w:ascii="宋体"/>
                <w:vanish/>
              </w:rPr>
            </w:pPr>
          </w:p>
        </w:tc>
        <w:tc>
          <w:tcPr>
            <w:tcW w:w="0" w:type="auto"/>
            <w:gridSpan w:val="3"/>
            <w:shd w:val="clear" w:color="auto" w:fill="auto"/>
            <w:vAlign w:val="bottom"/>
          </w:tcPr>
          <w:p w14:paraId="74DD6468" w14:textId="77777777" w:rsidR="00584EC1" w:rsidRDefault="00584EC1">
            <w:pPr>
              <w:rPr>
                <w:rFonts w:ascii="宋体"/>
                <w:vanish/>
              </w:rPr>
            </w:pPr>
          </w:p>
        </w:tc>
      </w:tr>
      <w:tr w:rsidR="00584EC1" w14:paraId="74DD6475" w14:textId="77777777">
        <w:trPr>
          <w:hidden/>
        </w:trPr>
        <w:tc>
          <w:tcPr>
            <w:tcW w:w="0" w:type="auto"/>
            <w:gridSpan w:val="3"/>
            <w:shd w:val="clear" w:color="auto" w:fill="auto"/>
            <w:vAlign w:val="bottom"/>
          </w:tcPr>
          <w:p w14:paraId="74DD646A" w14:textId="77777777" w:rsidR="00584EC1" w:rsidRDefault="00584EC1">
            <w:pPr>
              <w:rPr>
                <w:rFonts w:ascii="宋体"/>
                <w:vanish/>
              </w:rPr>
            </w:pPr>
          </w:p>
        </w:tc>
        <w:tc>
          <w:tcPr>
            <w:tcW w:w="0" w:type="auto"/>
            <w:gridSpan w:val="3"/>
            <w:shd w:val="clear" w:color="auto" w:fill="auto"/>
            <w:vAlign w:val="bottom"/>
          </w:tcPr>
          <w:p w14:paraId="74DD646B" w14:textId="77777777" w:rsidR="00584EC1" w:rsidRDefault="00584EC1">
            <w:pPr>
              <w:rPr>
                <w:rFonts w:ascii="宋体"/>
                <w:vanish/>
              </w:rPr>
            </w:pPr>
          </w:p>
        </w:tc>
        <w:tc>
          <w:tcPr>
            <w:tcW w:w="0" w:type="auto"/>
            <w:gridSpan w:val="3"/>
            <w:shd w:val="clear" w:color="auto" w:fill="auto"/>
            <w:vAlign w:val="bottom"/>
          </w:tcPr>
          <w:p w14:paraId="74DD646C" w14:textId="77777777" w:rsidR="00584EC1" w:rsidRDefault="00584EC1">
            <w:pPr>
              <w:rPr>
                <w:rFonts w:ascii="宋体"/>
                <w:vanish/>
              </w:rPr>
            </w:pPr>
          </w:p>
        </w:tc>
        <w:tc>
          <w:tcPr>
            <w:tcW w:w="0" w:type="auto"/>
            <w:gridSpan w:val="3"/>
            <w:shd w:val="clear" w:color="auto" w:fill="auto"/>
            <w:vAlign w:val="bottom"/>
          </w:tcPr>
          <w:p w14:paraId="74DD646D" w14:textId="77777777" w:rsidR="00584EC1" w:rsidRDefault="00584EC1">
            <w:pPr>
              <w:rPr>
                <w:rFonts w:ascii="宋体"/>
                <w:vanish/>
              </w:rPr>
            </w:pPr>
          </w:p>
        </w:tc>
        <w:tc>
          <w:tcPr>
            <w:tcW w:w="0" w:type="auto"/>
            <w:gridSpan w:val="3"/>
            <w:shd w:val="clear" w:color="auto" w:fill="auto"/>
            <w:vAlign w:val="bottom"/>
          </w:tcPr>
          <w:p w14:paraId="74DD646E" w14:textId="77777777" w:rsidR="00584EC1" w:rsidRDefault="00584EC1">
            <w:pPr>
              <w:rPr>
                <w:rFonts w:ascii="宋体"/>
                <w:vanish/>
              </w:rPr>
            </w:pPr>
          </w:p>
        </w:tc>
        <w:tc>
          <w:tcPr>
            <w:tcW w:w="0" w:type="auto"/>
            <w:gridSpan w:val="3"/>
            <w:shd w:val="clear" w:color="auto" w:fill="auto"/>
            <w:vAlign w:val="bottom"/>
          </w:tcPr>
          <w:p w14:paraId="74DD646F" w14:textId="77777777" w:rsidR="00584EC1" w:rsidRDefault="00584EC1">
            <w:pPr>
              <w:rPr>
                <w:rFonts w:ascii="宋体"/>
                <w:vanish/>
              </w:rPr>
            </w:pPr>
          </w:p>
        </w:tc>
        <w:tc>
          <w:tcPr>
            <w:tcW w:w="0" w:type="auto"/>
            <w:gridSpan w:val="3"/>
            <w:shd w:val="clear" w:color="auto" w:fill="auto"/>
            <w:vAlign w:val="bottom"/>
          </w:tcPr>
          <w:p w14:paraId="74DD6470" w14:textId="77777777" w:rsidR="00584EC1" w:rsidRDefault="00584EC1">
            <w:pPr>
              <w:rPr>
                <w:rFonts w:ascii="宋体"/>
                <w:vanish/>
              </w:rPr>
            </w:pPr>
          </w:p>
        </w:tc>
        <w:tc>
          <w:tcPr>
            <w:tcW w:w="0" w:type="auto"/>
            <w:gridSpan w:val="3"/>
            <w:shd w:val="clear" w:color="auto" w:fill="auto"/>
            <w:vAlign w:val="bottom"/>
          </w:tcPr>
          <w:p w14:paraId="74DD6471" w14:textId="77777777" w:rsidR="00584EC1" w:rsidRDefault="00584EC1">
            <w:pPr>
              <w:rPr>
                <w:rFonts w:ascii="宋体"/>
                <w:vanish/>
              </w:rPr>
            </w:pPr>
          </w:p>
        </w:tc>
        <w:tc>
          <w:tcPr>
            <w:tcW w:w="0" w:type="auto"/>
            <w:gridSpan w:val="3"/>
            <w:shd w:val="clear" w:color="auto" w:fill="auto"/>
            <w:vAlign w:val="bottom"/>
          </w:tcPr>
          <w:p w14:paraId="74DD6472" w14:textId="77777777" w:rsidR="00584EC1" w:rsidRDefault="00584EC1">
            <w:pPr>
              <w:rPr>
                <w:rFonts w:ascii="宋体"/>
                <w:vanish/>
              </w:rPr>
            </w:pPr>
          </w:p>
        </w:tc>
        <w:tc>
          <w:tcPr>
            <w:tcW w:w="0" w:type="auto"/>
            <w:gridSpan w:val="3"/>
            <w:shd w:val="clear" w:color="auto" w:fill="auto"/>
            <w:vAlign w:val="bottom"/>
          </w:tcPr>
          <w:p w14:paraId="74DD6473" w14:textId="77777777" w:rsidR="00584EC1" w:rsidRDefault="00584EC1">
            <w:pPr>
              <w:rPr>
                <w:rFonts w:ascii="宋体"/>
                <w:vanish/>
              </w:rPr>
            </w:pPr>
          </w:p>
        </w:tc>
        <w:tc>
          <w:tcPr>
            <w:tcW w:w="0" w:type="auto"/>
            <w:gridSpan w:val="3"/>
            <w:shd w:val="clear" w:color="auto" w:fill="auto"/>
            <w:vAlign w:val="bottom"/>
          </w:tcPr>
          <w:p w14:paraId="74DD6474" w14:textId="77777777" w:rsidR="00584EC1" w:rsidRDefault="00584EC1">
            <w:pPr>
              <w:rPr>
                <w:rFonts w:ascii="宋体"/>
                <w:vanish/>
              </w:rPr>
            </w:pPr>
          </w:p>
        </w:tc>
      </w:tr>
      <w:tr w:rsidR="00584EC1" w14:paraId="74DD6481" w14:textId="77777777">
        <w:trPr>
          <w:hidden/>
        </w:trPr>
        <w:tc>
          <w:tcPr>
            <w:tcW w:w="0" w:type="auto"/>
            <w:gridSpan w:val="3"/>
            <w:shd w:val="clear" w:color="auto" w:fill="auto"/>
            <w:vAlign w:val="bottom"/>
          </w:tcPr>
          <w:p w14:paraId="74DD6476" w14:textId="77777777" w:rsidR="00584EC1" w:rsidRDefault="00584EC1">
            <w:pPr>
              <w:rPr>
                <w:rFonts w:ascii="宋体"/>
                <w:vanish/>
              </w:rPr>
            </w:pPr>
          </w:p>
        </w:tc>
        <w:tc>
          <w:tcPr>
            <w:tcW w:w="0" w:type="auto"/>
            <w:gridSpan w:val="3"/>
            <w:shd w:val="clear" w:color="auto" w:fill="auto"/>
            <w:vAlign w:val="bottom"/>
          </w:tcPr>
          <w:p w14:paraId="74DD6477" w14:textId="77777777" w:rsidR="00584EC1" w:rsidRDefault="00584EC1">
            <w:pPr>
              <w:rPr>
                <w:rFonts w:ascii="宋体"/>
                <w:vanish/>
              </w:rPr>
            </w:pPr>
          </w:p>
        </w:tc>
        <w:tc>
          <w:tcPr>
            <w:tcW w:w="0" w:type="auto"/>
            <w:gridSpan w:val="3"/>
            <w:shd w:val="clear" w:color="auto" w:fill="auto"/>
            <w:vAlign w:val="bottom"/>
          </w:tcPr>
          <w:p w14:paraId="74DD6478" w14:textId="77777777" w:rsidR="00584EC1" w:rsidRDefault="00584EC1">
            <w:pPr>
              <w:rPr>
                <w:rFonts w:ascii="宋体"/>
                <w:vanish/>
              </w:rPr>
            </w:pPr>
          </w:p>
        </w:tc>
        <w:tc>
          <w:tcPr>
            <w:tcW w:w="0" w:type="auto"/>
            <w:gridSpan w:val="3"/>
            <w:shd w:val="clear" w:color="auto" w:fill="auto"/>
            <w:vAlign w:val="bottom"/>
          </w:tcPr>
          <w:p w14:paraId="74DD6479" w14:textId="77777777" w:rsidR="00584EC1" w:rsidRDefault="00584EC1">
            <w:pPr>
              <w:rPr>
                <w:rFonts w:ascii="宋体"/>
                <w:vanish/>
              </w:rPr>
            </w:pPr>
          </w:p>
        </w:tc>
        <w:tc>
          <w:tcPr>
            <w:tcW w:w="0" w:type="auto"/>
            <w:gridSpan w:val="3"/>
            <w:shd w:val="clear" w:color="auto" w:fill="auto"/>
            <w:vAlign w:val="bottom"/>
          </w:tcPr>
          <w:p w14:paraId="74DD647A" w14:textId="77777777" w:rsidR="00584EC1" w:rsidRDefault="00584EC1">
            <w:pPr>
              <w:rPr>
                <w:rFonts w:ascii="宋体"/>
                <w:vanish/>
              </w:rPr>
            </w:pPr>
          </w:p>
        </w:tc>
        <w:tc>
          <w:tcPr>
            <w:tcW w:w="0" w:type="auto"/>
            <w:gridSpan w:val="3"/>
            <w:shd w:val="clear" w:color="auto" w:fill="auto"/>
            <w:vAlign w:val="bottom"/>
          </w:tcPr>
          <w:p w14:paraId="74DD647B" w14:textId="77777777" w:rsidR="00584EC1" w:rsidRDefault="00584EC1">
            <w:pPr>
              <w:rPr>
                <w:rFonts w:ascii="宋体"/>
                <w:vanish/>
              </w:rPr>
            </w:pPr>
          </w:p>
        </w:tc>
        <w:tc>
          <w:tcPr>
            <w:tcW w:w="0" w:type="auto"/>
            <w:gridSpan w:val="3"/>
            <w:shd w:val="clear" w:color="auto" w:fill="auto"/>
            <w:vAlign w:val="bottom"/>
          </w:tcPr>
          <w:p w14:paraId="74DD647C" w14:textId="77777777" w:rsidR="00584EC1" w:rsidRDefault="00584EC1">
            <w:pPr>
              <w:rPr>
                <w:rFonts w:ascii="宋体"/>
                <w:vanish/>
              </w:rPr>
            </w:pPr>
          </w:p>
        </w:tc>
        <w:tc>
          <w:tcPr>
            <w:tcW w:w="0" w:type="auto"/>
            <w:gridSpan w:val="3"/>
            <w:shd w:val="clear" w:color="auto" w:fill="auto"/>
            <w:vAlign w:val="bottom"/>
          </w:tcPr>
          <w:p w14:paraId="74DD647D" w14:textId="77777777" w:rsidR="00584EC1" w:rsidRDefault="00584EC1">
            <w:pPr>
              <w:rPr>
                <w:rFonts w:ascii="宋体"/>
                <w:vanish/>
              </w:rPr>
            </w:pPr>
          </w:p>
        </w:tc>
        <w:tc>
          <w:tcPr>
            <w:tcW w:w="0" w:type="auto"/>
            <w:gridSpan w:val="3"/>
            <w:shd w:val="clear" w:color="auto" w:fill="auto"/>
            <w:vAlign w:val="bottom"/>
          </w:tcPr>
          <w:p w14:paraId="74DD647E" w14:textId="77777777" w:rsidR="00584EC1" w:rsidRDefault="00584EC1">
            <w:pPr>
              <w:rPr>
                <w:rFonts w:ascii="宋体"/>
                <w:vanish/>
              </w:rPr>
            </w:pPr>
          </w:p>
        </w:tc>
        <w:tc>
          <w:tcPr>
            <w:tcW w:w="0" w:type="auto"/>
            <w:gridSpan w:val="3"/>
            <w:shd w:val="clear" w:color="auto" w:fill="auto"/>
            <w:vAlign w:val="bottom"/>
          </w:tcPr>
          <w:p w14:paraId="74DD647F" w14:textId="77777777" w:rsidR="00584EC1" w:rsidRDefault="00584EC1">
            <w:pPr>
              <w:rPr>
                <w:rFonts w:ascii="宋体"/>
                <w:vanish/>
              </w:rPr>
            </w:pPr>
          </w:p>
        </w:tc>
        <w:tc>
          <w:tcPr>
            <w:tcW w:w="0" w:type="auto"/>
            <w:gridSpan w:val="3"/>
            <w:shd w:val="clear" w:color="auto" w:fill="auto"/>
            <w:vAlign w:val="bottom"/>
          </w:tcPr>
          <w:p w14:paraId="74DD6480" w14:textId="77777777" w:rsidR="00584EC1" w:rsidRDefault="00584EC1">
            <w:pPr>
              <w:rPr>
                <w:rFonts w:ascii="宋体"/>
                <w:vanish/>
              </w:rPr>
            </w:pPr>
          </w:p>
        </w:tc>
      </w:tr>
    </w:tbl>
    <w:p w14:paraId="74DD6482" w14:textId="77777777" w:rsidR="00584EC1" w:rsidRDefault="00584EC1">
      <w:pPr>
        <w:rPr>
          <w:vanish/>
        </w:rPr>
      </w:pPr>
    </w:p>
    <w:tbl>
      <w:tblPr>
        <w:tblW w:w="4009" w:type="pct"/>
        <w:tblCellMar>
          <w:top w:w="15" w:type="dxa"/>
          <w:left w:w="15" w:type="dxa"/>
          <w:bottom w:w="15" w:type="dxa"/>
          <w:right w:w="15" w:type="dxa"/>
        </w:tblCellMar>
        <w:tblLook w:val="04A0" w:firstRow="1" w:lastRow="0" w:firstColumn="1" w:lastColumn="0" w:noHBand="0" w:noVBand="1"/>
      </w:tblPr>
      <w:tblGrid>
        <w:gridCol w:w="52"/>
        <w:gridCol w:w="3975"/>
        <w:gridCol w:w="36"/>
        <w:gridCol w:w="52"/>
        <w:gridCol w:w="2533"/>
        <w:gridCol w:w="36"/>
      </w:tblGrid>
      <w:tr w:rsidR="00584EC1" w14:paraId="74DD6489" w14:textId="77777777">
        <w:tc>
          <w:tcPr>
            <w:tcW w:w="50" w:type="pct"/>
            <w:shd w:val="clear" w:color="auto" w:fill="auto"/>
            <w:vAlign w:val="bottom"/>
          </w:tcPr>
          <w:p w14:paraId="74DD6483" w14:textId="77777777" w:rsidR="00584EC1" w:rsidRDefault="00584EC1">
            <w:pPr>
              <w:rPr>
                <w:rFonts w:ascii="宋体"/>
              </w:rPr>
            </w:pPr>
          </w:p>
        </w:tc>
        <w:tc>
          <w:tcPr>
            <w:tcW w:w="2984" w:type="pct"/>
            <w:shd w:val="clear" w:color="auto" w:fill="auto"/>
            <w:vAlign w:val="bottom"/>
          </w:tcPr>
          <w:p w14:paraId="74DD6484" w14:textId="77777777" w:rsidR="00584EC1" w:rsidRDefault="00584EC1">
            <w:pPr>
              <w:rPr>
                <w:rFonts w:ascii="宋体"/>
              </w:rPr>
            </w:pPr>
          </w:p>
        </w:tc>
        <w:tc>
          <w:tcPr>
            <w:tcW w:w="5" w:type="pct"/>
            <w:shd w:val="clear" w:color="auto" w:fill="auto"/>
            <w:vAlign w:val="bottom"/>
          </w:tcPr>
          <w:p w14:paraId="74DD6485" w14:textId="77777777" w:rsidR="00584EC1" w:rsidRDefault="00584EC1">
            <w:pPr>
              <w:rPr>
                <w:rFonts w:ascii="宋体"/>
              </w:rPr>
            </w:pPr>
          </w:p>
        </w:tc>
        <w:tc>
          <w:tcPr>
            <w:tcW w:w="50" w:type="pct"/>
            <w:shd w:val="clear" w:color="auto" w:fill="auto"/>
            <w:vAlign w:val="bottom"/>
          </w:tcPr>
          <w:p w14:paraId="74DD6486" w14:textId="77777777" w:rsidR="00584EC1" w:rsidRDefault="00584EC1">
            <w:pPr>
              <w:rPr>
                <w:rFonts w:ascii="宋体"/>
              </w:rPr>
            </w:pPr>
          </w:p>
        </w:tc>
        <w:tc>
          <w:tcPr>
            <w:tcW w:w="1905" w:type="pct"/>
            <w:shd w:val="clear" w:color="auto" w:fill="auto"/>
            <w:vAlign w:val="bottom"/>
          </w:tcPr>
          <w:p w14:paraId="74DD6487" w14:textId="77777777" w:rsidR="00584EC1" w:rsidRDefault="00584EC1">
            <w:pPr>
              <w:rPr>
                <w:rFonts w:ascii="宋体"/>
              </w:rPr>
            </w:pPr>
          </w:p>
        </w:tc>
        <w:tc>
          <w:tcPr>
            <w:tcW w:w="5" w:type="pct"/>
            <w:shd w:val="clear" w:color="auto" w:fill="auto"/>
            <w:vAlign w:val="bottom"/>
          </w:tcPr>
          <w:p w14:paraId="74DD6488" w14:textId="77777777" w:rsidR="00584EC1" w:rsidRDefault="00584EC1">
            <w:pPr>
              <w:rPr>
                <w:rFonts w:ascii="宋体"/>
              </w:rPr>
            </w:pPr>
          </w:p>
        </w:tc>
      </w:tr>
      <w:tr w:rsidR="00584EC1" w14:paraId="74DD648C"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4DD648A"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648B" w14:textId="77777777" w:rsidR="00584EC1" w:rsidRDefault="00584EC1">
            <w:pPr>
              <w:rPr>
                <w:rFonts w:ascii="宋体"/>
              </w:rPr>
            </w:pPr>
          </w:p>
        </w:tc>
      </w:tr>
      <w:tr w:rsidR="00584EC1" w14:paraId="74DD648F" w14:textId="77777777">
        <w:trPr>
          <w:hidden/>
        </w:trPr>
        <w:tc>
          <w:tcPr>
            <w:tcW w:w="0" w:type="auto"/>
            <w:gridSpan w:val="3"/>
            <w:shd w:val="clear" w:color="auto" w:fill="auto"/>
            <w:vAlign w:val="bottom"/>
          </w:tcPr>
          <w:p w14:paraId="74DD648D" w14:textId="77777777" w:rsidR="00584EC1" w:rsidRDefault="00584EC1">
            <w:pPr>
              <w:rPr>
                <w:rFonts w:ascii="宋体"/>
                <w:vanish/>
              </w:rPr>
            </w:pPr>
          </w:p>
        </w:tc>
        <w:tc>
          <w:tcPr>
            <w:tcW w:w="0" w:type="auto"/>
            <w:gridSpan w:val="3"/>
            <w:shd w:val="clear" w:color="auto" w:fill="auto"/>
            <w:vAlign w:val="bottom"/>
          </w:tcPr>
          <w:p w14:paraId="74DD648E" w14:textId="77777777" w:rsidR="00584EC1" w:rsidRDefault="00584EC1">
            <w:pPr>
              <w:rPr>
                <w:rFonts w:ascii="宋体"/>
                <w:vanish/>
              </w:rPr>
            </w:pPr>
          </w:p>
        </w:tc>
      </w:tr>
    </w:tbl>
    <w:p w14:paraId="74DD6490" w14:textId="77777777" w:rsidR="00584EC1" w:rsidRDefault="00871F8D">
      <w:pPr>
        <w:jc w:val="both"/>
        <w:textAlignment w:val="top"/>
      </w:pPr>
      <w:r>
        <w:rPr>
          <w:rFonts w:ascii="Arial" w:eastAsia="宋体" w:hAnsi="Arial" w:cs="Arial"/>
          <w:color w:val="000000"/>
          <w:sz w:val="7"/>
          <w:szCs w:val="7"/>
        </w:rPr>
        <w:t xml:space="preserve">(1) </w:t>
      </w:r>
      <w:r>
        <w:rPr>
          <w:rFonts w:ascii="Arial" w:eastAsia="宋体" w:hAnsi="Arial" w:cs="Arial"/>
          <w:color w:val="000000"/>
          <w:sz w:val="12"/>
          <w:szCs w:val="12"/>
        </w:rPr>
        <w:t>Additional information about our preferred stock dividends is provided in Note 12 to the consolidated financial statements in this Form 10-Q.</w:t>
      </w:r>
    </w:p>
    <w:p w14:paraId="74DD6491" w14:textId="77777777" w:rsidR="00584EC1" w:rsidRDefault="00871F8D">
      <w:pPr>
        <w:jc w:val="both"/>
        <w:textAlignment w:val="top"/>
      </w:pPr>
      <w:r>
        <w:rPr>
          <w:rFonts w:ascii="Arial" w:eastAsia="宋体" w:hAnsi="Arial" w:cs="Arial"/>
          <w:color w:val="000000"/>
          <w:sz w:val="7"/>
          <w:szCs w:val="7"/>
        </w:rPr>
        <w:t xml:space="preserve">(2) </w:t>
      </w:r>
      <w:r>
        <w:rPr>
          <w:rFonts w:ascii="Arial" w:eastAsia="宋体" w:hAnsi="Arial" w:cs="Arial"/>
          <w:color w:val="000000"/>
          <w:sz w:val="12"/>
          <w:szCs w:val="12"/>
        </w:rPr>
        <w:t xml:space="preserve">Represents the portion of net income </w:t>
      </w:r>
      <w:r>
        <w:rPr>
          <w:rFonts w:ascii="Arial" w:eastAsia="宋体" w:hAnsi="Arial" w:cs="Arial"/>
          <w:color w:val="000000"/>
          <w:sz w:val="12"/>
          <w:szCs w:val="12"/>
        </w:rPr>
        <w:t>available to common equity allocated to participating securities, composed of unvested and fully vested SERP (Supplemental executive retirement plans) shares and fully vested deferred director stock awards, which are equity-based awards that contain non-fo</w:t>
      </w:r>
      <w:r>
        <w:rPr>
          <w:rFonts w:ascii="Arial" w:eastAsia="宋体" w:hAnsi="Arial" w:cs="Arial"/>
          <w:color w:val="000000"/>
          <w:sz w:val="12"/>
          <w:szCs w:val="12"/>
        </w:rPr>
        <w:t>rfeitable rights to dividends, and are considered to participate with the common stock in undistributed earnings.</w:t>
      </w:r>
    </w:p>
    <w:p w14:paraId="74DD6492" w14:textId="77777777" w:rsidR="00584EC1" w:rsidRDefault="00871F8D">
      <w:pPr>
        <w:jc w:val="both"/>
        <w:textAlignment w:val="top"/>
      </w:pPr>
      <w:r>
        <w:rPr>
          <w:rFonts w:ascii="Arial" w:eastAsia="宋体" w:hAnsi="Arial" w:cs="Arial"/>
          <w:color w:val="000000"/>
          <w:sz w:val="7"/>
          <w:szCs w:val="7"/>
        </w:rPr>
        <w:t>nm</w:t>
      </w:r>
      <w:r>
        <w:rPr>
          <w:rFonts w:ascii="Arial" w:eastAsia="宋体" w:hAnsi="Arial" w:cs="Arial"/>
          <w:color w:val="000000"/>
          <w:sz w:val="12"/>
          <w:szCs w:val="12"/>
        </w:rPr>
        <w:t xml:space="preserve"> Not meaningful</w:t>
      </w:r>
    </w:p>
    <w:p w14:paraId="74DD6493" w14:textId="77777777" w:rsidR="00584EC1" w:rsidRDefault="00871F8D">
      <w:pPr>
        <w:ind w:firstLine="450"/>
        <w:jc w:val="right"/>
      </w:pPr>
      <w:r>
        <w:rPr>
          <w:rFonts w:ascii="Arial" w:eastAsia="宋体" w:hAnsi="Arial" w:cs="Arial"/>
          <w:color w:val="000000"/>
          <w:sz w:val="18"/>
          <w:szCs w:val="18"/>
        </w:rPr>
        <w:t>State Street Corporation | 7</w:t>
      </w:r>
    </w:p>
    <w:p w14:paraId="74DD6494" w14:textId="77777777" w:rsidR="00584EC1" w:rsidRDefault="00584EC1">
      <w:pPr>
        <w:ind w:firstLine="450"/>
        <w:jc w:val="center"/>
      </w:pPr>
    </w:p>
    <w:p w14:paraId="74DD6495" w14:textId="77777777" w:rsidR="00584EC1" w:rsidRDefault="00871F8D">
      <w:r>
        <w:pict w14:anchorId="74DE29F5">
          <v:rect id="_x0000_i1031" style="width:415.3pt;height:1.5pt" o:hralign="center" o:hrstd="t" o:hr="t" fillcolor="#a0a0a0" stroked="f"/>
        </w:pict>
      </w:r>
    </w:p>
    <w:p w14:paraId="74DD6496" w14:textId="77777777" w:rsidR="00584EC1" w:rsidRDefault="00871F8D">
      <w:pPr>
        <w:ind w:firstLine="450"/>
        <w:jc w:val="center"/>
      </w:pPr>
      <w:r>
        <w:rPr>
          <w:rFonts w:ascii="Arial" w:eastAsia="宋体" w:hAnsi="Arial" w:cs="Arial"/>
          <w:b/>
          <w:bCs/>
          <w:color w:val="000000"/>
          <w:sz w:val="20"/>
          <w:szCs w:val="20"/>
        </w:rPr>
        <w:t>MANAGEMENT’S DISCUSSION AND ANALYSIS OF FINANCIAL CONDITION</w:t>
      </w:r>
    </w:p>
    <w:p w14:paraId="74DD6497" w14:textId="77777777" w:rsidR="00584EC1" w:rsidRDefault="00871F8D">
      <w:pPr>
        <w:ind w:firstLine="450"/>
        <w:jc w:val="center"/>
      </w:pPr>
      <w:r>
        <w:rPr>
          <w:rFonts w:ascii="Arial" w:eastAsia="宋体" w:hAnsi="Arial" w:cs="Arial"/>
          <w:b/>
          <w:bCs/>
          <w:color w:val="000000"/>
          <w:sz w:val="20"/>
          <w:szCs w:val="20"/>
        </w:rPr>
        <w:t xml:space="preserve">AND RESULTS OF </w:t>
      </w:r>
      <w:r>
        <w:rPr>
          <w:rFonts w:ascii="Arial" w:eastAsia="宋体" w:hAnsi="Arial" w:cs="Arial"/>
          <w:b/>
          <w:bCs/>
          <w:color w:val="000000"/>
          <w:sz w:val="20"/>
          <w:szCs w:val="20"/>
        </w:rPr>
        <w:t>OPERATIONS</w:t>
      </w:r>
    </w:p>
    <w:p w14:paraId="74DD6498" w14:textId="77777777" w:rsidR="00584EC1" w:rsidRDefault="00871F8D">
      <w:pPr>
        <w:spacing w:before="60"/>
        <w:ind w:firstLine="450"/>
        <w:jc w:val="both"/>
        <w:textAlignment w:val="top"/>
      </w:pPr>
      <w:r>
        <w:rPr>
          <w:rFonts w:ascii="Arial" w:eastAsia="宋体" w:hAnsi="Arial" w:cs="Arial"/>
          <w:color w:val="000000"/>
          <w:sz w:val="20"/>
          <w:szCs w:val="20"/>
        </w:rPr>
        <w:t>The following “Financial Results and Highlights” section provides information related to significant events, as well as highlights of our consolidated financial results for the third quarter of 2021 presented in Table 1: Overview of Financial Re</w:t>
      </w:r>
      <w:r>
        <w:rPr>
          <w:rFonts w:ascii="Arial" w:eastAsia="宋体" w:hAnsi="Arial" w:cs="Arial"/>
          <w:color w:val="000000"/>
          <w:sz w:val="20"/>
          <w:szCs w:val="20"/>
        </w:rPr>
        <w:t>sults. More detailed information about our consolidated financial results, including the comparison of our financial results for the three and nine months ended September 30, 2021, compared to the same periods in 2020, is provided under “Consolidated Resul</w:t>
      </w:r>
      <w:r>
        <w:rPr>
          <w:rFonts w:ascii="Arial" w:eastAsia="宋体" w:hAnsi="Arial" w:cs="Arial"/>
          <w:color w:val="000000"/>
          <w:sz w:val="20"/>
          <w:szCs w:val="20"/>
        </w:rPr>
        <w:t>ts of Operations”, "Line of Business Information" and "Capital" which follows these sections, as well as in our consolidated financial statements in this Form 10-Q. In this Management’s Discussion and Analysis, where we describe the effects of changes in f</w:t>
      </w:r>
      <w:r>
        <w:rPr>
          <w:rFonts w:ascii="Arial" w:eastAsia="宋体" w:hAnsi="Arial" w:cs="Arial"/>
          <w:color w:val="000000"/>
          <w:sz w:val="20"/>
          <w:szCs w:val="20"/>
        </w:rPr>
        <w:t>oreign currency translation, those effects are determined by applying applicable weighted average FX rates from the relevant 2020 period to the relevant 2021 period results.</w:t>
      </w:r>
    </w:p>
    <w:p w14:paraId="74DD6499" w14:textId="77777777" w:rsidR="00584EC1" w:rsidRDefault="00871F8D">
      <w:pPr>
        <w:spacing w:before="90"/>
        <w:jc w:val="both"/>
        <w:textAlignment w:val="top"/>
      </w:pPr>
      <w:r>
        <w:rPr>
          <w:rFonts w:ascii="Arial" w:eastAsia="宋体" w:hAnsi="Arial" w:cs="Arial"/>
          <w:b/>
          <w:bCs/>
          <w:color w:val="000000"/>
          <w:sz w:val="20"/>
          <w:szCs w:val="20"/>
        </w:rPr>
        <w:t>Financial Results and Highlights</w:t>
      </w:r>
    </w:p>
    <w:p w14:paraId="74DD649A" w14:textId="77777777" w:rsidR="00584EC1" w:rsidRDefault="00871F8D">
      <w:pPr>
        <w:spacing w:before="60"/>
        <w:ind w:hanging="360"/>
        <w:jc w:val="both"/>
        <w:textAlignment w:val="top"/>
      </w:pPr>
      <w:r>
        <w:rPr>
          <w:rFonts w:ascii="Arial" w:eastAsia="宋体" w:hAnsi="Arial" w:cs="Arial"/>
          <w:color w:val="000000"/>
          <w:sz w:val="20"/>
          <w:szCs w:val="20"/>
        </w:rPr>
        <w:t>•Third quarter of 2021 financial performance:</w:t>
      </w:r>
    </w:p>
    <w:p w14:paraId="74DD649B" w14:textId="77777777" w:rsidR="00584EC1" w:rsidRDefault="00871F8D">
      <w:pPr>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EP</w:t>
      </w:r>
      <w:r>
        <w:rPr>
          <w:rFonts w:ascii="Arial" w:eastAsia="宋体" w:hAnsi="Arial" w:cs="Arial"/>
          <w:color w:val="000000"/>
          <w:sz w:val="20"/>
          <w:szCs w:val="20"/>
        </w:rPr>
        <w:t>S of $1.96 in the third quarter of 2021, up 35%, from $1.45 in the same period in 2020.</w:t>
      </w:r>
    </w:p>
    <w:p w14:paraId="74DD649C" w14:textId="77777777" w:rsidR="00584EC1" w:rsidRDefault="00871F8D">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 xml:space="preserve">Total fee revenue was up 9% in the third quarter of 2021, compared to the same period in 2020, including less than 1% due to currency translation. </w:t>
      </w:r>
    </w:p>
    <w:p w14:paraId="74DD649D" w14:textId="77777777" w:rsidR="00584EC1" w:rsidRDefault="00871F8D">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Servicing fee revenues were up 7% in the third quarter of 2021, compared to the same period in 2020. Management fee revenues were up 10% in the third quarter of 2021, compared to the same period in 2020.</w:t>
      </w:r>
    </w:p>
    <w:p w14:paraId="74DD649E" w14:textId="77777777" w:rsidR="00584EC1" w:rsidRDefault="00871F8D">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 xml:space="preserve">In the third quarter of 2021, return on equity of </w:t>
      </w:r>
      <w:r>
        <w:rPr>
          <w:rFonts w:ascii="Arial" w:eastAsia="宋体" w:hAnsi="Arial" w:cs="Arial"/>
          <w:color w:val="000000"/>
          <w:sz w:val="20"/>
          <w:szCs w:val="20"/>
        </w:rPr>
        <w:t>11.6% increased from 8.9% in the same period in 2020, primarily due to an increase in net income available to common shareholders. Pre-tax margin of 29.3% in the third quarter of 2021 increased from 24.5% in the same period in 2020, primarily due to an inc</w:t>
      </w:r>
      <w:r>
        <w:rPr>
          <w:rFonts w:ascii="Arial" w:eastAsia="宋体" w:hAnsi="Arial" w:cs="Arial"/>
          <w:color w:val="000000"/>
          <w:sz w:val="20"/>
          <w:szCs w:val="20"/>
        </w:rPr>
        <w:t>rease in total revenue.</w:t>
      </w:r>
    </w:p>
    <w:p w14:paraId="74DD649F" w14:textId="77777777" w:rsidR="00584EC1" w:rsidRDefault="00871F8D">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 xml:space="preserve">Operating leverage was 6.8% points in the third quarter of 2021. Operating leverage represents the difference between the percentage change in total revenue and the percentage change in total expenses, in each case relative to the </w:t>
      </w:r>
      <w:r>
        <w:rPr>
          <w:rFonts w:ascii="Arial" w:eastAsia="宋体" w:hAnsi="Arial" w:cs="Arial"/>
          <w:color w:val="000000"/>
          <w:sz w:val="20"/>
          <w:szCs w:val="20"/>
        </w:rPr>
        <w:t>prior year period.</w:t>
      </w:r>
    </w:p>
    <w:p w14:paraId="74DD64A0" w14:textId="77777777" w:rsidR="00584EC1" w:rsidRDefault="00871F8D">
      <w:pPr>
        <w:spacing w:before="60"/>
        <w:ind w:hanging="360"/>
        <w:jc w:val="both"/>
        <w:textAlignment w:val="top"/>
      </w:pPr>
      <w:r>
        <w:rPr>
          <w:rFonts w:ascii="Arial" w:eastAsia="宋体" w:hAnsi="Arial" w:cs="Arial"/>
          <w:color w:val="000000"/>
          <w:sz w:val="20"/>
          <w:szCs w:val="20"/>
        </w:rPr>
        <w:t>•In September 2021, we announced that we had entered into a definitive agreement to acquire the BBH Investor Services business for $3.5 billion in cash. This proposed acquisition is subject to regulatory approvals and the satisfaction or</w:t>
      </w:r>
      <w:r>
        <w:rPr>
          <w:rFonts w:ascii="Arial" w:eastAsia="宋体" w:hAnsi="Arial" w:cs="Arial"/>
          <w:color w:val="000000"/>
          <w:sz w:val="20"/>
          <w:szCs w:val="20"/>
        </w:rPr>
        <w:t xml:space="preserve"> waiver of other closing conditions. </w:t>
      </w:r>
    </w:p>
    <w:p w14:paraId="74DD64A1" w14:textId="77777777" w:rsidR="00584EC1" w:rsidRDefault="00871F8D">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We expect to finance the proposed acquisition of the BBH Investor Services business primarily with the proceeds of $1.9 billion from a common stock offering completed in September 2021, a temporary suspension of repur</w:t>
      </w:r>
      <w:r>
        <w:rPr>
          <w:rFonts w:ascii="Arial" w:eastAsia="宋体" w:hAnsi="Arial" w:cs="Arial"/>
          <w:color w:val="000000"/>
          <w:sz w:val="20"/>
          <w:szCs w:val="20"/>
        </w:rPr>
        <w:t xml:space="preserve">chases of our common stock and with cash on hand. </w:t>
      </w:r>
    </w:p>
    <w:p w14:paraId="74DD64A2" w14:textId="77777777" w:rsidR="00584EC1" w:rsidRDefault="00871F8D">
      <w:pPr>
        <w:spacing w:before="60"/>
        <w:ind w:hanging="360"/>
        <w:jc w:val="both"/>
        <w:textAlignment w:val="top"/>
      </w:pPr>
      <w:r>
        <w:rPr>
          <w:rFonts w:ascii="Arial" w:eastAsia="宋体" w:hAnsi="Arial" w:cs="Arial"/>
          <w:color w:val="000000"/>
          <w:sz w:val="20"/>
          <w:szCs w:val="20"/>
        </w:rPr>
        <w:t>•During the third quarter of 2021, our business and financial results continued to reflect effects of the COVID-19 pandemic:</w:t>
      </w:r>
    </w:p>
    <w:p w14:paraId="74DD64A3" w14:textId="77777777" w:rsidR="00584EC1" w:rsidRDefault="00871F8D">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Approximately 77% of our employees globally continue to work remotely as of Sep</w:t>
      </w:r>
      <w:r>
        <w:rPr>
          <w:rFonts w:ascii="Arial" w:eastAsia="宋体" w:hAnsi="Arial" w:cs="Arial"/>
          <w:color w:val="000000"/>
          <w:sz w:val="20"/>
          <w:szCs w:val="20"/>
        </w:rPr>
        <w:t>tember 30, 2021.</w:t>
      </w:r>
    </w:p>
    <w:p w14:paraId="74DD64A4" w14:textId="77777777" w:rsidR="00584EC1" w:rsidRDefault="00871F8D">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We continued to experience high levels of client deposits in the third quarter of 2021 amidst the Federal Reserve's expansionary monetary policy.</w:t>
      </w:r>
    </w:p>
    <w:p w14:paraId="74DD64A5" w14:textId="77777777" w:rsidR="00584EC1" w:rsidRDefault="00871F8D">
      <w:pPr>
        <w:spacing w:before="60"/>
        <w:jc w:val="both"/>
        <w:textAlignment w:val="top"/>
      </w:pPr>
      <w:r>
        <w:rPr>
          <w:rFonts w:ascii="Arial" w:eastAsia="宋体" w:hAnsi="Arial" w:cs="Arial"/>
          <w:b/>
          <w:bCs/>
          <w:i/>
          <w:iCs/>
          <w:color w:val="000000"/>
          <w:sz w:val="20"/>
          <w:szCs w:val="20"/>
        </w:rPr>
        <w:t>Revenue</w:t>
      </w:r>
    </w:p>
    <w:p w14:paraId="74DD64A6" w14:textId="77777777" w:rsidR="00584EC1" w:rsidRDefault="00871F8D">
      <w:pPr>
        <w:spacing w:before="60"/>
        <w:ind w:hanging="360"/>
        <w:jc w:val="both"/>
        <w:textAlignment w:val="top"/>
      </w:pPr>
      <w:r>
        <w:rPr>
          <w:rFonts w:ascii="Arial" w:eastAsia="宋体" w:hAnsi="Arial" w:cs="Arial"/>
          <w:color w:val="000000"/>
          <w:sz w:val="20"/>
          <w:szCs w:val="20"/>
        </w:rPr>
        <w:t>•Total revenue increased 7% in the third quarter of 2021, compared to the same perio</w:t>
      </w:r>
      <w:r>
        <w:rPr>
          <w:rFonts w:ascii="Arial" w:eastAsia="宋体" w:hAnsi="Arial" w:cs="Arial"/>
          <w:color w:val="000000"/>
          <w:sz w:val="20"/>
          <w:szCs w:val="20"/>
        </w:rPr>
        <w:t xml:space="preserve">d in 2020. Total fee revenue increased 9% in the third quarter of 2021, compared to the same period in 2020, driven by increases across all categories of fee revenue. </w:t>
      </w:r>
    </w:p>
    <w:p w14:paraId="74DD64A7" w14:textId="77777777" w:rsidR="00584EC1" w:rsidRDefault="00871F8D">
      <w:pPr>
        <w:spacing w:before="60"/>
        <w:ind w:hanging="360"/>
        <w:jc w:val="both"/>
        <w:textAlignment w:val="top"/>
      </w:pPr>
      <w:r>
        <w:rPr>
          <w:rFonts w:ascii="Arial" w:eastAsia="宋体" w:hAnsi="Arial" w:cs="Arial"/>
          <w:color w:val="000000"/>
          <w:sz w:val="20"/>
          <w:szCs w:val="20"/>
        </w:rPr>
        <w:t>•Servicing fee revenue increased 7% in the third quarter of 2021, compared to the same p</w:t>
      </w:r>
      <w:r>
        <w:rPr>
          <w:rFonts w:ascii="Arial" w:eastAsia="宋体" w:hAnsi="Arial" w:cs="Arial"/>
          <w:color w:val="000000"/>
          <w:sz w:val="20"/>
          <w:szCs w:val="20"/>
        </w:rPr>
        <w:t>eriod in 2020, primarily due to higher average equity market levels, client activity and flows, and net new business, partially offset by normal pricing headwinds.</w:t>
      </w:r>
    </w:p>
    <w:p w14:paraId="74DD64A8" w14:textId="77777777" w:rsidR="00584EC1" w:rsidRDefault="00871F8D">
      <w:pPr>
        <w:spacing w:before="60"/>
        <w:ind w:hanging="360"/>
        <w:jc w:val="both"/>
        <w:textAlignment w:val="top"/>
      </w:pPr>
      <w:r>
        <w:rPr>
          <w:rFonts w:ascii="Arial" w:eastAsia="宋体" w:hAnsi="Arial" w:cs="Arial"/>
          <w:color w:val="000000"/>
          <w:sz w:val="20"/>
          <w:szCs w:val="20"/>
        </w:rPr>
        <w:t>•Management fee revenue increased 10% in the third quarter of 2021, compared to the same per</w:t>
      </w:r>
      <w:r>
        <w:rPr>
          <w:rFonts w:ascii="Arial" w:eastAsia="宋体" w:hAnsi="Arial" w:cs="Arial"/>
          <w:color w:val="000000"/>
          <w:sz w:val="20"/>
          <w:szCs w:val="20"/>
        </w:rPr>
        <w:t xml:space="preserve">iod in 2020, primarily due to higher average equity market levels and net inflows from ETFs, partially offset by idiosyncratic actions by an institutional client, as previously reported, and higher money market fee waivers. </w:t>
      </w:r>
    </w:p>
    <w:p w14:paraId="74DD64A9" w14:textId="77777777" w:rsidR="00584EC1" w:rsidRDefault="00871F8D">
      <w:pPr>
        <w:spacing w:before="60"/>
        <w:ind w:hanging="360"/>
        <w:jc w:val="both"/>
        <w:textAlignment w:val="top"/>
      </w:pPr>
      <w:r>
        <w:rPr>
          <w:rFonts w:ascii="Arial" w:eastAsia="宋体" w:hAnsi="Arial" w:cs="Arial"/>
          <w:color w:val="000000"/>
          <w:sz w:val="20"/>
          <w:szCs w:val="20"/>
        </w:rPr>
        <w:t>•Foreign exchange trading servi</w:t>
      </w:r>
      <w:r>
        <w:rPr>
          <w:rFonts w:ascii="Arial" w:eastAsia="宋体" w:hAnsi="Arial" w:cs="Arial"/>
          <w:color w:val="000000"/>
          <w:sz w:val="20"/>
          <w:szCs w:val="20"/>
        </w:rPr>
        <w:t>ces increased 3% in the third quarter of 2021, compared to the same period in 2020, primarily due to higher direct sales and trading revenue and indirect volumes, partially offset by lower FX volatility.</w:t>
      </w:r>
    </w:p>
    <w:p w14:paraId="74DD64AA" w14:textId="77777777" w:rsidR="00584EC1" w:rsidRDefault="00871F8D">
      <w:pPr>
        <w:ind w:firstLine="450"/>
        <w:jc w:val="right"/>
      </w:pPr>
      <w:r>
        <w:rPr>
          <w:rFonts w:ascii="Arial" w:eastAsia="宋体" w:hAnsi="Arial" w:cs="Arial"/>
          <w:color w:val="000000"/>
          <w:sz w:val="18"/>
          <w:szCs w:val="18"/>
        </w:rPr>
        <w:t>State Street Corporation | 8</w:t>
      </w:r>
    </w:p>
    <w:p w14:paraId="74DD64AB" w14:textId="77777777" w:rsidR="00584EC1" w:rsidRDefault="00584EC1">
      <w:pPr>
        <w:ind w:firstLine="450"/>
        <w:jc w:val="center"/>
      </w:pPr>
    </w:p>
    <w:p w14:paraId="74DD64AC" w14:textId="77777777" w:rsidR="00584EC1" w:rsidRDefault="00871F8D">
      <w:r>
        <w:pict w14:anchorId="74DE29F6">
          <v:rect id="_x0000_i1032" style="width:415.3pt;height:1.5pt" o:hralign="center" o:hrstd="t" o:hr="t" fillcolor="#a0a0a0" stroked="f"/>
        </w:pict>
      </w:r>
    </w:p>
    <w:p w14:paraId="74DD64AD" w14:textId="77777777" w:rsidR="00584EC1" w:rsidRDefault="00871F8D">
      <w:pPr>
        <w:ind w:firstLine="450"/>
        <w:jc w:val="center"/>
      </w:pPr>
      <w:r>
        <w:rPr>
          <w:rFonts w:ascii="Arial" w:eastAsia="宋体" w:hAnsi="Arial" w:cs="Arial"/>
          <w:b/>
          <w:bCs/>
          <w:color w:val="000000"/>
          <w:sz w:val="20"/>
          <w:szCs w:val="20"/>
        </w:rPr>
        <w:t>MANAGEMENT’S DISCUSS</w:t>
      </w:r>
      <w:r>
        <w:rPr>
          <w:rFonts w:ascii="Arial" w:eastAsia="宋体" w:hAnsi="Arial" w:cs="Arial"/>
          <w:b/>
          <w:bCs/>
          <w:color w:val="000000"/>
          <w:sz w:val="20"/>
          <w:szCs w:val="20"/>
        </w:rPr>
        <w:t>ION AND ANALYSIS OF FINANCIAL CONDITION</w:t>
      </w:r>
    </w:p>
    <w:p w14:paraId="74DD64AE" w14:textId="77777777" w:rsidR="00584EC1" w:rsidRDefault="00871F8D">
      <w:pPr>
        <w:ind w:firstLine="450"/>
        <w:jc w:val="center"/>
      </w:pPr>
      <w:r>
        <w:rPr>
          <w:rFonts w:ascii="Arial" w:eastAsia="宋体" w:hAnsi="Arial" w:cs="Arial"/>
          <w:b/>
          <w:bCs/>
          <w:color w:val="000000"/>
          <w:sz w:val="20"/>
          <w:szCs w:val="20"/>
        </w:rPr>
        <w:t>AND RESULTS OF OPERATIONS</w:t>
      </w:r>
    </w:p>
    <w:p w14:paraId="74DD64AF" w14:textId="77777777" w:rsidR="00584EC1" w:rsidRDefault="00871F8D">
      <w:pPr>
        <w:spacing w:before="60"/>
        <w:ind w:hanging="360"/>
        <w:jc w:val="both"/>
        <w:textAlignment w:val="top"/>
      </w:pPr>
      <w:r>
        <w:rPr>
          <w:rFonts w:ascii="Arial" w:eastAsia="宋体" w:hAnsi="Arial" w:cs="Arial"/>
          <w:color w:val="000000"/>
          <w:sz w:val="20"/>
          <w:szCs w:val="20"/>
        </w:rPr>
        <w:t>•Securities finance revenue increased 26% in the third quarter of 2021, compared to the same period in 2020, reflecting higher client securities loan balances and spreads, as well as new bus</w:t>
      </w:r>
      <w:r>
        <w:rPr>
          <w:rFonts w:ascii="Arial" w:eastAsia="宋体" w:hAnsi="Arial" w:cs="Arial"/>
          <w:color w:val="000000"/>
          <w:sz w:val="20"/>
          <w:szCs w:val="20"/>
        </w:rPr>
        <w:t>iness wins in enhanced custody.</w:t>
      </w:r>
    </w:p>
    <w:p w14:paraId="74DD64B0" w14:textId="77777777" w:rsidR="00584EC1" w:rsidRDefault="00871F8D">
      <w:pPr>
        <w:spacing w:before="60"/>
        <w:ind w:hanging="360"/>
        <w:jc w:val="both"/>
        <w:textAlignment w:val="top"/>
      </w:pPr>
      <w:r>
        <w:rPr>
          <w:rFonts w:ascii="Arial" w:eastAsia="宋体" w:hAnsi="Arial" w:cs="Arial"/>
          <w:color w:val="000000"/>
          <w:sz w:val="20"/>
          <w:szCs w:val="20"/>
        </w:rPr>
        <w:t>•Software and processing fees revenue increased 15% in the third quarter of 2021, compared to the same period in 2020, primarily due to higher CRD revenues.</w:t>
      </w:r>
    </w:p>
    <w:p w14:paraId="74DD64B1" w14:textId="77777777" w:rsidR="00584EC1" w:rsidRDefault="00871F8D">
      <w:pPr>
        <w:spacing w:before="60"/>
        <w:ind w:hanging="360"/>
        <w:jc w:val="both"/>
        <w:textAlignment w:val="top"/>
      </w:pPr>
      <w:r>
        <w:rPr>
          <w:rFonts w:ascii="Arial" w:eastAsia="宋体" w:hAnsi="Arial" w:cs="Arial"/>
          <w:i/>
          <w:iCs/>
          <w:color w:val="000000"/>
          <w:sz w:val="22"/>
          <w:szCs w:val="22"/>
        </w:rPr>
        <w:t>•</w:t>
      </w:r>
      <w:r>
        <w:rPr>
          <w:rFonts w:ascii="Arial" w:eastAsia="宋体" w:hAnsi="Arial" w:cs="Arial"/>
          <w:color w:val="000000"/>
          <w:sz w:val="20"/>
          <w:szCs w:val="20"/>
        </w:rPr>
        <w:t>NII increased 2% in the third quarter of 2021, compared to the same period in 2020, primarily due to higher loan balances and growth in the investment portfolio and deposits, as well as the absence of a $20 million non-recurring true-up in the third quarte</w:t>
      </w:r>
      <w:r>
        <w:rPr>
          <w:rFonts w:ascii="Arial" w:eastAsia="宋体" w:hAnsi="Arial" w:cs="Arial"/>
          <w:color w:val="000000"/>
          <w:sz w:val="20"/>
          <w:szCs w:val="20"/>
        </w:rPr>
        <w:t xml:space="preserve">r of 2020, partially offset by lower investment portfolio yields. </w:t>
      </w:r>
    </w:p>
    <w:p w14:paraId="74DD64B2" w14:textId="77777777" w:rsidR="00584EC1" w:rsidRDefault="00871F8D">
      <w:pPr>
        <w:spacing w:before="60"/>
        <w:jc w:val="both"/>
        <w:textAlignment w:val="top"/>
      </w:pPr>
      <w:r>
        <w:rPr>
          <w:rFonts w:ascii="Arial" w:eastAsia="宋体" w:hAnsi="Arial" w:cs="Arial"/>
          <w:b/>
          <w:bCs/>
          <w:i/>
          <w:iCs/>
          <w:color w:val="000000"/>
          <w:sz w:val="20"/>
          <w:szCs w:val="20"/>
        </w:rPr>
        <w:t>Provision for Credit Losses</w:t>
      </w:r>
    </w:p>
    <w:p w14:paraId="74DD64B3" w14:textId="77777777" w:rsidR="00584EC1" w:rsidRDefault="00871F8D">
      <w:pPr>
        <w:spacing w:before="60"/>
        <w:ind w:hanging="360"/>
        <w:jc w:val="both"/>
        <w:textAlignment w:val="top"/>
      </w:pPr>
      <w:r>
        <w:rPr>
          <w:rFonts w:ascii="Arial" w:eastAsia="宋体" w:hAnsi="Arial" w:cs="Arial"/>
          <w:color w:val="000000"/>
          <w:sz w:val="20"/>
          <w:szCs w:val="20"/>
        </w:rPr>
        <w:t xml:space="preserve">•The provision for credit losses was a $2 million reserve release in the third quarter of 2021, compared to no provision for credit losses in the same period in </w:t>
      </w:r>
      <w:r>
        <w:rPr>
          <w:rFonts w:ascii="Arial" w:eastAsia="宋体" w:hAnsi="Arial" w:cs="Arial"/>
          <w:color w:val="000000"/>
          <w:sz w:val="20"/>
          <w:szCs w:val="20"/>
        </w:rPr>
        <w:t xml:space="preserve">2020, which is primarily driven by improvements in credit quality and stable economic outlook. </w:t>
      </w:r>
    </w:p>
    <w:p w14:paraId="74DD64B4" w14:textId="77777777" w:rsidR="00584EC1" w:rsidRDefault="00871F8D">
      <w:pPr>
        <w:spacing w:before="60"/>
        <w:jc w:val="both"/>
        <w:textAlignment w:val="top"/>
      </w:pPr>
      <w:r>
        <w:rPr>
          <w:rFonts w:ascii="Arial" w:eastAsia="宋体" w:hAnsi="Arial" w:cs="Arial"/>
          <w:b/>
          <w:bCs/>
          <w:i/>
          <w:iCs/>
          <w:color w:val="000000"/>
          <w:sz w:val="20"/>
          <w:szCs w:val="20"/>
        </w:rPr>
        <w:t>Expenses</w:t>
      </w:r>
    </w:p>
    <w:p w14:paraId="74DD64B5" w14:textId="77777777" w:rsidR="00584EC1" w:rsidRDefault="00871F8D">
      <w:pPr>
        <w:spacing w:before="60"/>
        <w:ind w:hanging="360"/>
        <w:jc w:val="both"/>
        <w:textAlignment w:val="top"/>
      </w:pPr>
      <w:r>
        <w:rPr>
          <w:rFonts w:ascii="Arial" w:eastAsia="宋体" w:hAnsi="Arial" w:cs="Arial"/>
          <w:color w:val="000000"/>
          <w:sz w:val="20"/>
          <w:szCs w:val="20"/>
        </w:rPr>
        <w:t>•Total expenses increased 1% in the third quarter of 2021, compared to the same period in 2020, primarily reflecting the impact of notable items and currency translation. Currency translation increased expenses by less than 1% in the third quarter of 2021,</w:t>
      </w:r>
      <w:r>
        <w:rPr>
          <w:rFonts w:ascii="Arial" w:eastAsia="宋体" w:hAnsi="Arial" w:cs="Arial"/>
          <w:color w:val="000000"/>
          <w:sz w:val="20"/>
          <w:szCs w:val="20"/>
        </w:rPr>
        <w:t xml:space="preserve"> relative to the same period in 2020. </w:t>
      </w:r>
    </w:p>
    <w:p w14:paraId="74DD64B6" w14:textId="77777777" w:rsidR="00584EC1" w:rsidRDefault="00871F8D">
      <w:pPr>
        <w:spacing w:before="60"/>
        <w:ind w:hanging="360"/>
        <w:jc w:val="both"/>
        <w:textAlignment w:val="top"/>
      </w:pPr>
      <w:r>
        <w:rPr>
          <w:rFonts w:ascii="Arial" w:eastAsia="宋体" w:hAnsi="Arial" w:cs="Arial"/>
          <w:color w:val="000000"/>
          <w:sz w:val="20"/>
          <w:szCs w:val="20"/>
        </w:rPr>
        <w:t>•The impact of notable items in the third quarter of 2021 includes acquisition and restructuring costs of approximately $18 million, of which $11 million related to CRD and $7 million related to our proposed acquisiti</w:t>
      </w:r>
      <w:r>
        <w:rPr>
          <w:rFonts w:ascii="Arial" w:eastAsia="宋体" w:hAnsi="Arial" w:cs="Arial"/>
          <w:color w:val="000000"/>
          <w:sz w:val="20"/>
          <w:szCs w:val="20"/>
        </w:rPr>
        <w:t>on of the BBH Investor Services business.</w:t>
      </w:r>
    </w:p>
    <w:p w14:paraId="74DD64B7" w14:textId="77777777" w:rsidR="00584EC1" w:rsidRDefault="00871F8D">
      <w:pPr>
        <w:spacing w:before="60"/>
        <w:ind w:hanging="360"/>
        <w:jc w:val="both"/>
        <w:textAlignment w:val="top"/>
      </w:pPr>
      <w:r>
        <w:rPr>
          <w:rFonts w:ascii="Arial" w:eastAsia="宋体" w:hAnsi="Arial" w:cs="Arial"/>
          <w:color w:val="000000"/>
          <w:sz w:val="20"/>
          <w:szCs w:val="20"/>
        </w:rPr>
        <w:t>•The impact of notable items in the third quarter of 2020 includes acquisition and restructuring costs of approximately $15 million, primarily related to CRD, and a $9 million accrual release.</w:t>
      </w:r>
    </w:p>
    <w:p w14:paraId="74DD64B8" w14:textId="77777777" w:rsidR="00584EC1" w:rsidRDefault="00871F8D">
      <w:pPr>
        <w:spacing w:before="60"/>
        <w:jc w:val="both"/>
        <w:textAlignment w:val="top"/>
      </w:pPr>
      <w:r>
        <w:rPr>
          <w:rFonts w:ascii="Arial" w:eastAsia="宋体" w:hAnsi="Arial" w:cs="Arial"/>
          <w:b/>
          <w:bCs/>
          <w:i/>
          <w:iCs/>
          <w:color w:val="000000"/>
          <w:sz w:val="20"/>
          <w:szCs w:val="20"/>
        </w:rPr>
        <w:t>AUC/A and AUM</w:t>
      </w:r>
    </w:p>
    <w:p w14:paraId="74DD64B9" w14:textId="77777777" w:rsidR="00584EC1" w:rsidRDefault="00871F8D">
      <w:pPr>
        <w:spacing w:before="60"/>
        <w:ind w:hanging="360"/>
        <w:jc w:val="both"/>
        <w:textAlignment w:val="top"/>
      </w:pPr>
      <w:r>
        <w:rPr>
          <w:rFonts w:ascii="Arial" w:eastAsia="宋体" w:hAnsi="Arial" w:cs="Arial"/>
          <w:color w:val="000000"/>
          <w:sz w:val="22"/>
          <w:szCs w:val="22"/>
        </w:rPr>
        <w:t>•</w:t>
      </w:r>
      <w:r>
        <w:rPr>
          <w:rFonts w:ascii="Arial" w:eastAsia="宋体" w:hAnsi="Arial" w:cs="Arial"/>
          <w:color w:val="000000"/>
          <w:sz w:val="20"/>
          <w:szCs w:val="20"/>
        </w:rPr>
        <w:t xml:space="preserve">AUC/A </w:t>
      </w:r>
      <w:r>
        <w:rPr>
          <w:rFonts w:ascii="Arial" w:eastAsia="宋体" w:hAnsi="Arial" w:cs="Arial"/>
          <w:color w:val="000000"/>
          <w:sz w:val="20"/>
          <w:szCs w:val="20"/>
        </w:rPr>
        <w:t>of $43.34 trillion increased 18% as of September 30, 2021, compared to September 30, 2020, primarily due to higher market levels, client flows and net new business growth. In the third quarter of 2021, newly announced asset servicing mandates totaled appro</w:t>
      </w:r>
      <w:r>
        <w:rPr>
          <w:rFonts w:ascii="Arial" w:eastAsia="宋体" w:hAnsi="Arial" w:cs="Arial"/>
          <w:color w:val="000000"/>
          <w:sz w:val="20"/>
          <w:szCs w:val="20"/>
        </w:rPr>
        <w:t>ximately $1.66 trillion, with State Street Alpha</w:t>
      </w:r>
      <w:r>
        <w:rPr>
          <w:rFonts w:ascii="Arial" w:eastAsia="宋体" w:hAnsi="Arial" w:cs="Arial"/>
          <w:color w:val="000000"/>
          <w:sz w:val="13"/>
          <w:szCs w:val="13"/>
        </w:rPr>
        <w:t xml:space="preserve">SM </w:t>
      </w:r>
      <w:r>
        <w:rPr>
          <w:rFonts w:ascii="Arial" w:eastAsia="宋体" w:hAnsi="Arial" w:cs="Arial"/>
          <w:color w:val="000000"/>
          <w:sz w:val="20"/>
          <w:szCs w:val="20"/>
        </w:rPr>
        <w:t xml:space="preserve">representing a large proportion of the wins. Servicing assets </w:t>
      </w:r>
    </w:p>
    <w:p w14:paraId="74DD64BA" w14:textId="77777777" w:rsidR="00584EC1" w:rsidRDefault="00871F8D">
      <w:pPr>
        <w:spacing w:before="60"/>
        <w:jc w:val="both"/>
        <w:textAlignment w:val="top"/>
      </w:pPr>
      <w:r>
        <w:rPr>
          <w:rFonts w:ascii="Arial" w:eastAsia="宋体" w:hAnsi="Arial" w:cs="Arial"/>
          <w:color w:val="000000"/>
          <w:sz w:val="20"/>
          <w:szCs w:val="20"/>
        </w:rPr>
        <w:t>remaining to be installed in future periods totaled approximately $2.73 trillion as of September 30, 2021.</w:t>
      </w:r>
    </w:p>
    <w:p w14:paraId="74DD64BB" w14:textId="77777777" w:rsidR="00584EC1" w:rsidRDefault="00871F8D">
      <w:pPr>
        <w:spacing w:before="60"/>
        <w:ind w:hanging="360"/>
        <w:jc w:val="both"/>
        <w:textAlignment w:val="top"/>
      </w:pPr>
      <w:r>
        <w:rPr>
          <w:rFonts w:ascii="Arial" w:eastAsia="宋体" w:hAnsi="Arial" w:cs="Arial"/>
          <w:color w:val="000000"/>
          <w:sz w:val="20"/>
          <w:szCs w:val="20"/>
        </w:rPr>
        <w:t>•AUM of $3.86 trillion increased 23</w:t>
      </w:r>
      <w:r>
        <w:rPr>
          <w:rFonts w:ascii="Arial" w:eastAsia="宋体" w:hAnsi="Arial" w:cs="Arial"/>
          <w:color w:val="000000"/>
          <w:sz w:val="20"/>
          <w:szCs w:val="20"/>
        </w:rPr>
        <w:t>% as of September 30, 2021, compared to September 30, 2020, primarily due to higher market levels and net inflows from ETFs and cash, partially offset by institutional net outflows.</w:t>
      </w:r>
    </w:p>
    <w:p w14:paraId="74DD64BC" w14:textId="77777777" w:rsidR="00584EC1" w:rsidRDefault="00871F8D">
      <w:pPr>
        <w:spacing w:before="60"/>
        <w:jc w:val="both"/>
        <w:textAlignment w:val="top"/>
      </w:pPr>
      <w:r>
        <w:rPr>
          <w:rFonts w:ascii="Arial" w:eastAsia="宋体" w:hAnsi="Arial" w:cs="Arial"/>
          <w:b/>
          <w:bCs/>
          <w:i/>
          <w:iCs/>
          <w:color w:val="000000"/>
          <w:sz w:val="20"/>
          <w:szCs w:val="20"/>
        </w:rPr>
        <w:t xml:space="preserve">Capital </w:t>
      </w:r>
    </w:p>
    <w:p w14:paraId="74DD64BD" w14:textId="77777777" w:rsidR="00584EC1" w:rsidRDefault="00871F8D">
      <w:pPr>
        <w:spacing w:before="60"/>
        <w:ind w:hanging="360"/>
        <w:jc w:val="both"/>
        <w:textAlignment w:val="top"/>
      </w:pPr>
      <w:r>
        <w:rPr>
          <w:rFonts w:ascii="Arial" w:eastAsia="宋体" w:hAnsi="Arial" w:cs="Arial"/>
          <w:color w:val="000000"/>
          <w:sz w:val="20"/>
          <w:szCs w:val="20"/>
        </w:rPr>
        <w:t>•In the third quarter of 2021, we returned a total of approximate</w:t>
      </w:r>
      <w:r>
        <w:rPr>
          <w:rFonts w:ascii="Arial" w:eastAsia="宋体" w:hAnsi="Arial" w:cs="Arial"/>
          <w:color w:val="000000"/>
          <w:sz w:val="20"/>
          <w:szCs w:val="20"/>
        </w:rPr>
        <w:t xml:space="preserve">ly $179 million to our shareholders in the form of common stock dividends paid. </w:t>
      </w:r>
    </w:p>
    <w:p w14:paraId="74DD64BE" w14:textId="77777777" w:rsidR="00584EC1" w:rsidRDefault="00871F8D">
      <w:pPr>
        <w:spacing w:before="60"/>
        <w:ind w:hanging="360"/>
        <w:jc w:val="both"/>
        <w:textAlignment w:val="top"/>
      </w:pPr>
      <w:r>
        <w:rPr>
          <w:rFonts w:ascii="Arial" w:eastAsia="宋体" w:hAnsi="Arial" w:cs="Arial"/>
          <w:color w:val="000000"/>
          <w:sz w:val="20"/>
          <w:szCs w:val="20"/>
        </w:rPr>
        <w:t>•We declared common stock dividends of $0.57 per share, totaling $209 million in the third quarter of 2021 to be paid in the fourth quarter of 2021, compared to $0.52 per shar</w:t>
      </w:r>
      <w:r>
        <w:rPr>
          <w:rFonts w:ascii="Arial" w:eastAsia="宋体" w:hAnsi="Arial" w:cs="Arial"/>
          <w:color w:val="000000"/>
          <w:sz w:val="20"/>
          <w:szCs w:val="20"/>
        </w:rPr>
        <w:t>e, totaling $184 million in the third quarter of 2020, representing a 10% increase on a per share basis from the third quarter of 2020.</w:t>
      </w:r>
    </w:p>
    <w:p w14:paraId="74DD64BF" w14:textId="77777777" w:rsidR="00584EC1" w:rsidRDefault="00871F8D">
      <w:pPr>
        <w:spacing w:before="60"/>
        <w:ind w:hanging="360"/>
        <w:jc w:val="both"/>
        <w:textAlignment w:val="top"/>
      </w:pPr>
      <w:r>
        <w:rPr>
          <w:rFonts w:ascii="Arial" w:eastAsia="宋体" w:hAnsi="Arial" w:cs="Arial"/>
          <w:color w:val="000000"/>
          <w:sz w:val="20"/>
          <w:szCs w:val="20"/>
        </w:rPr>
        <w:t>•In July 2021, our Board authorized a common share repurchase plan of up to $3.0 billion of our common stock through the</w:t>
      </w:r>
      <w:r>
        <w:rPr>
          <w:rFonts w:ascii="Arial" w:eastAsia="宋体" w:hAnsi="Arial" w:cs="Arial"/>
          <w:color w:val="000000"/>
          <w:sz w:val="20"/>
          <w:szCs w:val="20"/>
        </w:rPr>
        <w:t xml:space="preserve"> end of 2022, however, in connection with our proposed acquisition of the BBH Investor Services business, we did not repurchase any common stock during the third quarter of 2021. We do not intend to repurchase any common stock during the fourth quarter of </w:t>
      </w:r>
      <w:r>
        <w:rPr>
          <w:rFonts w:ascii="Arial" w:eastAsia="宋体" w:hAnsi="Arial" w:cs="Arial"/>
          <w:color w:val="000000"/>
          <w:sz w:val="20"/>
          <w:szCs w:val="20"/>
        </w:rPr>
        <w:t>2021 and the first quarter of 2022. We intend to resume our common share repurchases during the second quarter of 2022.</w:t>
      </w:r>
    </w:p>
    <w:p w14:paraId="74DD64C0" w14:textId="77777777" w:rsidR="00584EC1" w:rsidRDefault="00871F8D">
      <w:pPr>
        <w:spacing w:before="60"/>
        <w:ind w:hanging="360"/>
        <w:jc w:val="both"/>
        <w:textAlignment w:val="top"/>
      </w:pPr>
      <w:r>
        <w:rPr>
          <w:rFonts w:ascii="Arial" w:eastAsia="宋体" w:hAnsi="Arial" w:cs="Arial"/>
          <w:color w:val="000000"/>
          <w:sz w:val="20"/>
          <w:szCs w:val="20"/>
        </w:rPr>
        <w:t>•In September 2021, we completed a public offering of approximately 21.7 million shares of our common stock. The offering price was $87.</w:t>
      </w:r>
      <w:r>
        <w:rPr>
          <w:rFonts w:ascii="Arial" w:eastAsia="宋体" w:hAnsi="Arial" w:cs="Arial"/>
          <w:color w:val="000000"/>
          <w:sz w:val="20"/>
          <w:szCs w:val="20"/>
        </w:rPr>
        <w:t>60 per share and net proceeds totaled approximately $1.9 billion. We expect to use these net proceeds to finance our proposed acquisition of the BBH Investor Services business.</w:t>
      </w:r>
    </w:p>
    <w:p w14:paraId="74DD64C1" w14:textId="77777777" w:rsidR="00584EC1" w:rsidRDefault="00871F8D">
      <w:pPr>
        <w:spacing w:before="60"/>
        <w:ind w:hanging="360"/>
        <w:jc w:val="both"/>
        <w:textAlignment w:val="top"/>
      </w:pPr>
      <w:r>
        <w:rPr>
          <w:rFonts w:ascii="Arial" w:eastAsia="宋体" w:hAnsi="Arial" w:cs="Arial"/>
          <w:color w:val="000000"/>
          <w:sz w:val="20"/>
          <w:szCs w:val="20"/>
        </w:rPr>
        <w:t>•Our CET1 capital ratio increased to 13.5% as of September 30, 2021, compared t</w:t>
      </w:r>
      <w:r>
        <w:rPr>
          <w:rFonts w:ascii="Arial" w:eastAsia="宋体" w:hAnsi="Arial" w:cs="Arial"/>
          <w:color w:val="000000"/>
          <w:sz w:val="20"/>
          <w:szCs w:val="20"/>
        </w:rPr>
        <w:t>o 12.3% as of December 31, 2020, primarily due to higher retained earnings and the issuance of common stock in September 2021, partially offset by higher risk-weighted assets. Our Tier 1 leverage ratio decreased to 6.3% as of September 30, 2021 compared to</w:t>
      </w:r>
      <w:r>
        <w:rPr>
          <w:rFonts w:ascii="Arial" w:eastAsia="宋体" w:hAnsi="Arial" w:cs="Arial"/>
          <w:color w:val="000000"/>
          <w:sz w:val="20"/>
          <w:szCs w:val="20"/>
        </w:rPr>
        <w:t xml:space="preserve"> 6.4% as of December 31, 2020. Following the planned closing of our acquisition of the BBH Investor Services business, we expect both capital ratios to be at the lower end of our target ranges of 10-11% for CET1 ratio and </w:t>
      </w:r>
    </w:p>
    <w:p w14:paraId="74DD64C2" w14:textId="77777777" w:rsidR="00584EC1" w:rsidRDefault="00871F8D">
      <w:pPr>
        <w:ind w:firstLine="450"/>
        <w:jc w:val="right"/>
      </w:pPr>
      <w:r>
        <w:rPr>
          <w:rFonts w:ascii="Arial" w:eastAsia="宋体" w:hAnsi="Arial" w:cs="Arial"/>
          <w:color w:val="000000"/>
          <w:sz w:val="18"/>
          <w:szCs w:val="18"/>
        </w:rPr>
        <w:t>State Street Corporation | 9</w:t>
      </w:r>
    </w:p>
    <w:p w14:paraId="74DD64C3" w14:textId="77777777" w:rsidR="00584EC1" w:rsidRDefault="00584EC1">
      <w:pPr>
        <w:ind w:firstLine="450"/>
        <w:jc w:val="center"/>
      </w:pPr>
    </w:p>
    <w:p w14:paraId="74DD64C4" w14:textId="77777777" w:rsidR="00584EC1" w:rsidRDefault="00871F8D">
      <w:r>
        <w:pict w14:anchorId="74DE29F7">
          <v:rect id="_x0000_i1033" style="width:415.3pt;height:1.5pt" o:hralign="center" o:hrstd="t" o:hr="t" fillcolor="#a0a0a0" stroked="f"/>
        </w:pict>
      </w:r>
    </w:p>
    <w:p w14:paraId="74DD64C5" w14:textId="77777777" w:rsidR="00584EC1" w:rsidRDefault="00871F8D">
      <w:pPr>
        <w:ind w:firstLine="450"/>
        <w:jc w:val="center"/>
      </w:pPr>
      <w:r>
        <w:rPr>
          <w:rFonts w:ascii="Arial" w:eastAsia="宋体" w:hAnsi="Arial" w:cs="Arial"/>
          <w:b/>
          <w:bCs/>
          <w:color w:val="000000"/>
          <w:sz w:val="20"/>
          <w:szCs w:val="20"/>
        </w:rPr>
        <w:t>M</w:t>
      </w:r>
      <w:r>
        <w:rPr>
          <w:rFonts w:ascii="Arial" w:eastAsia="宋体" w:hAnsi="Arial" w:cs="Arial"/>
          <w:b/>
          <w:bCs/>
          <w:color w:val="000000"/>
          <w:sz w:val="20"/>
          <w:szCs w:val="20"/>
        </w:rPr>
        <w:t>ANAGEMENT’S DISCUSSION AND ANALYSIS OF FINANCIAL CONDITION</w:t>
      </w:r>
    </w:p>
    <w:p w14:paraId="74DD64C6" w14:textId="77777777" w:rsidR="00584EC1" w:rsidRDefault="00871F8D">
      <w:pPr>
        <w:ind w:firstLine="450"/>
        <w:jc w:val="center"/>
      </w:pPr>
      <w:r>
        <w:rPr>
          <w:rFonts w:ascii="Arial" w:eastAsia="宋体" w:hAnsi="Arial" w:cs="Arial"/>
          <w:b/>
          <w:bCs/>
          <w:color w:val="000000"/>
          <w:sz w:val="20"/>
          <w:szCs w:val="20"/>
        </w:rPr>
        <w:t>AND RESULTS OF OPERATIONS</w:t>
      </w:r>
    </w:p>
    <w:p w14:paraId="74DD64C7" w14:textId="77777777" w:rsidR="00584EC1" w:rsidRDefault="00871F8D">
      <w:pPr>
        <w:spacing w:before="60"/>
        <w:jc w:val="both"/>
        <w:textAlignment w:val="top"/>
      </w:pPr>
      <w:r>
        <w:rPr>
          <w:rFonts w:ascii="Arial" w:eastAsia="宋体" w:hAnsi="Arial" w:cs="Arial"/>
          <w:color w:val="000000"/>
          <w:sz w:val="20"/>
          <w:szCs w:val="20"/>
        </w:rPr>
        <w:t>5.25%-5.75% for Tier 1 Leverage ratio . As of both September 30, 2021 and December 31, 2020, standardized capital ratios were binding.</w:t>
      </w:r>
    </w:p>
    <w:p w14:paraId="74DD64C8" w14:textId="77777777" w:rsidR="00584EC1" w:rsidRDefault="00871F8D">
      <w:pPr>
        <w:spacing w:before="90"/>
        <w:jc w:val="both"/>
        <w:textAlignment w:val="top"/>
      </w:pPr>
      <w:r>
        <w:rPr>
          <w:rFonts w:ascii="Arial" w:eastAsia="宋体" w:hAnsi="Arial" w:cs="Arial"/>
          <w:b/>
          <w:bCs/>
          <w:color w:val="000000"/>
          <w:sz w:val="20"/>
          <w:szCs w:val="20"/>
        </w:rPr>
        <w:t xml:space="preserve">CONSOLIDATED RESULTS OF </w:t>
      </w:r>
      <w:r>
        <w:rPr>
          <w:rFonts w:ascii="Arial" w:eastAsia="宋体" w:hAnsi="Arial" w:cs="Arial"/>
          <w:b/>
          <w:bCs/>
          <w:color w:val="000000"/>
          <w:sz w:val="20"/>
          <w:szCs w:val="20"/>
        </w:rPr>
        <w:t>OPERATIONS</w:t>
      </w:r>
    </w:p>
    <w:p w14:paraId="74DD64C9" w14:textId="77777777" w:rsidR="00584EC1" w:rsidRDefault="00871F8D">
      <w:pPr>
        <w:spacing w:before="60"/>
        <w:ind w:firstLine="450"/>
        <w:jc w:val="both"/>
        <w:textAlignment w:val="top"/>
      </w:pPr>
      <w:r>
        <w:rPr>
          <w:rFonts w:ascii="Arial" w:eastAsia="宋体" w:hAnsi="Arial" w:cs="Arial"/>
          <w:color w:val="000000"/>
          <w:sz w:val="20"/>
          <w:szCs w:val="20"/>
        </w:rPr>
        <w:t>This section discusses our consolidated results of operations for the three and nine months ended September 30, 2021, compared to the same periods in 2020, and should be read in conjunction with the consolidated financial statements and accompan</w:t>
      </w:r>
      <w:r>
        <w:rPr>
          <w:rFonts w:ascii="Arial" w:eastAsia="宋体" w:hAnsi="Arial" w:cs="Arial"/>
          <w:color w:val="000000"/>
          <w:sz w:val="20"/>
          <w:szCs w:val="20"/>
        </w:rPr>
        <w:t>ying notes to the consolidated financial statements in this Form 10-Q.</w:t>
      </w:r>
    </w:p>
    <w:p w14:paraId="74DD64CA" w14:textId="77777777" w:rsidR="00584EC1" w:rsidRDefault="00871F8D">
      <w:pPr>
        <w:spacing w:before="90"/>
        <w:textAlignment w:val="top"/>
      </w:pPr>
      <w:r>
        <w:rPr>
          <w:rFonts w:ascii="Arial" w:eastAsia="宋体" w:hAnsi="Arial" w:cs="Arial"/>
          <w:b/>
          <w:bCs/>
          <w:color w:val="000000"/>
          <w:sz w:val="20"/>
          <w:szCs w:val="20"/>
        </w:rPr>
        <w:t>Total Revenue</w:t>
      </w:r>
    </w:p>
    <w:tbl>
      <w:tblPr>
        <w:tblW w:w="5000" w:type="pct"/>
        <w:tblCellMar>
          <w:top w:w="15" w:type="dxa"/>
          <w:left w:w="15" w:type="dxa"/>
          <w:bottom w:w="15" w:type="dxa"/>
          <w:right w:w="15" w:type="dxa"/>
        </w:tblCellMar>
        <w:tblLook w:val="04A0" w:firstRow="1" w:lastRow="0" w:firstColumn="1" w:lastColumn="0" w:noHBand="0" w:noVBand="1"/>
      </w:tblPr>
      <w:tblGrid>
        <w:gridCol w:w="39"/>
        <w:gridCol w:w="3400"/>
        <w:gridCol w:w="38"/>
        <w:gridCol w:w="104"/>
        <w:gridCol w:w="1051"/>
        <w:gridCol w:w="36"/>
        <w:gridCol w:w="36"/>
        <w:gridCol w:w="49"/>
        <w:gridCol w:w="36"/>
        <w:gridCol w:w="104"/>
        <w:gridCol w:w="1051"/>
        <w:gridCol w:w="36"/>
        <w:gridCol w:w="46"/>
        <w:gridCol w:w="591"/>
        <w:gridCol w:w="36"/>
        <w:gridCol w:w="49"/>
        <w:gridCol w:w="36"/>
        <w:gridCol w:w="39"/>
        <w:gridCol w:w="1081"/>
        <w:gridCol w:w="154"/>
        <w:gridCol w:w="36"/>
        <w:gridCol w:w="36"/>
        <w:gridCol w:w="36"/>
        <w:gridCol w:w="36"/>
        <w:gridCol w:w="36"/>
        <w:gridCol w:w="36"/>
        <w:gridCol w:w="36"/>
        <w:gridCol w:w="36"/>
        <w:gridCol w:w="36"/>
      </w:tblGrid>
      <w:tr w:rsidR="00584EC1" w14:paraId="74DD64E2" w14:textId="77777777">
        <w:tc>
          <w:tcPr>
            <w:tcW w:w="50" w:type="pct"/>
            <w:shd w:val="clear" w:color="auto" w:fill="auto"/>
            <w:vAlign w:val="bottom"/>
          </w:tcPr>
          <w:p w14:paraId="74DD64CB" w14:textId="77777777" w:rsidR="00584EC1" w:rsidRDefault="00584EC1">
            <w:pPr>
              <w:rPr>
                <w:rFonts w:ascii="宋体"/>
              </w:rPr>
            </w:pPr>
          </w:p>
        </w:tc>
        <w:tc>
          <w:tcPr>
            <w:tcW w:w="2350" w:type="pct"/>
            <w:shd w:val="clear" w:color="auto" w:fill="auto"/>
            <w:vAlign w:val="bottom"/>
          </w:tcPr>
          <w:p w14:paraId="74DD64CC" w14:textId="77777777" w:rsidR="00584EC1" w:rsidRDefault="00584EC1">
            <w:pPr>
              <w:rPr>
                <w:rFonts w:ascii="宋体"/>
              </w:rPr>
            </w:pPr>
          </w:p>
        </w:tc>
        <w:tc>
          <w:tcPr>
            <w:tcW w:w="5" w:type="pct"/>
            <w:shd w:val="clear" w:color="auto" w:fill="auto"/>
            <w:vAlign w:val="bottom"/>
          </w:tcPr>
          <w:p w14:paraId="74DD64CD" w14:textId="77777777" w:rsidR="00584EC1" w:rsidRDefault="00584EC1">
            <w:pPr>
              <w:rPr>
                <w:rFonts w:ascii="宋体"/>
              </w:rPr>
            </w:pPr>
          </w:p>
        </w:tc>
        <w:tc>
          <w:tcPr>
            <w:tcW w:w="50" w:type="pct"/>
            <w:shd w:val="clear" w:color="auto" w:fill="auto"/>
            <w:vAlign w:val="bottom"/>
          </w:tcPr>
          <w:p w14:paraId="74DD64CE" w14:textId="77777777" w:rsidR="00584EC1" w:rsidRDefault="00584EC1">
            <w:pPr>
              <w:rPr>
                <w:rFonts w:ascii="宋体"/>
              </w:rPr>
            </w:pPr>
          </w:p>
        </w:tc>
        <w:tc>
          <w:tcPr>
            <w:tcW w:w="746" w:type="pct"/>
            <w:shd w:val="clear" w:color="auto" w:fill="auto"/>
            <w:vAlign w:val="bottom"/>
          </w:tcPr>
          <w:p w14:paraId="74DD64CF" w14:textId="77777777" w:rsidR="00584EC1" w:rsidRDefault="00584EC1">
            <w:pPr>
              <w:rPr>
                <w:rFonts w:ascii="宋体"/>
              </w:rPr>
            </w:pPr>
          </w:p>
        </w:tc>
        <w:tc>
          <w:tcPr>
            <w:tcW w:w="5" w:type="pct"/>
            <w:shd w:val="clear" w:color="auto" w:fill="auto"/>
            <w:vAlign w:val="bottom"/>
          </w:tcPr>
          <w:p w14:paraId="74DD64D0" w14:textId="77777777" w:rsidR="00584EC1" w:rsidRDefault="00584EC1">
            <w:pPr>
              <w:rPr>
                <w:rFonts w:ascii="宋体"/>
              </w:rPr>
            </w:pPr>
          </w:p>
        </w:tc>
        <w:tc>
          <w:tcPr>
            <w:tcW w:w="5" w:type="pct"/>
            <w:shd w:val="clear" w:color="auto" w:fill="auto"/>
            <w:vAlign w:val="bottom"/>
          </w:tcPr>
          <w:p w14:paraId="74DD64D1" w14:textId="77777777" w:rsidR="00584EC1" w:rsidRDefault="00584EC1">
            <w:pPr>
              <w:rPr>
                <w:rFonts w:ascii="宋体"/>
              </w:rPr>
            </w:pPr>
          </w:p>
        </w:tc>
        <w:tc>
          <w:tcPr>
            <w:tcW w:w="68" w:type="pct"/>
            <w:shd w:val="clear" w:color="auto" w:fill="auto"/>
            <w:vAlign w:val="bottom"/>
          </w:tcPr>
          <w:p w14:paraId="74DD64D2" w14:textId="77777777" w:rsidR="00584EC1" w:rsidRDefault="00584EC1">
            <w:pPr>
              <w:rPr>
                <w:rFonts w:ascii="宋体"/>
              </w:rPr>
            </w:pPr>
          </w:p>
        </w:tc>
        <w:tc>
          <w:tcPr>
            <w:tcW w:w="5" w:type="pct"/>
            <w:shd w:val="clear" w:color="auto" w:fill="auto"/>
            <w:vAlign w:val="bottom"/>
          </w:tcPr>
          <w:p w14:paraId="74DD64D3" w14:textId="77777777" w:rsidR="00584EC1" w:rsidRDefault="00584EC1">
            <w:pPr>
              <w:rPr>
                <w:rFonts w:ascii="宋体"/>
              </w:rPr>
            </w:pPr>
          </w:p>
        </w:tc>
        <w:tc>
          <w:tcPr>
            <w:tcW w:w="50" w:type="pct"/>
            <w:shd w:val="clear" w:color="auto" w:fill="auto"/>
            <w:vAlign w:val="bottom"/>
          </w:tcPr>
          <w:p w14:paraId="74DD64D4" w14:textId="77777777" w:rsidR="00584EC1" w:rsidRDefault="00584EC1">
            <w:pPr>
              <w:rPr>
                <w:rFonts w:ascii="宋体"/>
              </w:rPr>
            </w:pPr>
          </w:p>
        </w:tc>
        <w:tc>
          <w:tcPr>
            <w:tcW w:w="746" w:type="pct"/>
            <w:shd w:val="clear" w:color="auto" w:fill="auto"/>
            <w:vAlign w:val="bottom"/>
          </w:tcPr>
          <w:p w14:paraId="74DD64D5" w14:textId="77777777" w:rsidR="00584EC1" w:rsidRDefault="00584EC1">
            <w:pPr>
              <w:rPr>
                <w:rFonts w:ascii="宋体"/>
              </w:rPr>
            </w:pPr>
          </w:p>
        </w:tc>
        <w:tc>
          <w:tcPr>
            <w:tcW w:w="5" w:type="pct"/>
            <w:shd w:val="clear" w:color="auto" w:fill="auto"/>
            <w:vAlign w:val="bottom"/>
          </w:tcPr>
          <w:p w14:paraId="74DD64D6" w14:textId="77777777" w:rsidR="00584EC1" w:rsidRDefault="00584EC1">
            <w:pPr>
              <w:rPr>
                <w:rFonts w:ascii="宋体"/>
              </w:rPr>
            </w:pPr>
          </w:p>
        </w:tc>
        <w:tc>
          <w:tcPr>
            <w:tcW w:w="0" w:type="auto"/>
            <w:shd w:val="clear" w:color="auto" w:fill="auto"/>
            <w:vAlign w:val="bottom"/>
          </w:tcPr>
          <w:p w14:paraId="74DD64D7" w14:textId="77777777" w:rsidR="00584EC1" w:rsidRDefault="00584EC1">
            <w:pPr>
              <w:rPr>
                <w:rFonts w:ascii="宋体"/>
                <w:vanish/>
              </w:rPr>
            </w:pPr>
          </w:p>
        </w:tc>
        <w:tc>
          <w:tcPr>
            <w:tcW w:w="0" w:type="auto"/>
            <w:shd w:val="clear" w:color="auto" w:fill="auto"/>
            <w:vAlign w:val="bottom"/>
          </w:tcPr>
          <w:p w14:paraId="74DD64D8" w14:textId="77777777" w:rsidR="00584EC1" w:rsidRDefault="00584EC1">
            <w:pPr>
              <w:rPr>
                <w:rFonts w:ascii="宋体"/>
                <w:vanish/>
              </w:rPr>
            </w:pPr>
          </w:p>
        </w:tc>
        <w:tc>
          <w:tcPr>
            <w:tcW w:w="5" w:type="pct"/>
            <w:shd w:val="clear" w:color="auto" w:fill="auto"/>
            <w:vAlign w:val="bottom"/>
          </w:tcPr>
          <w:p w14:paraId="74DD64D9" w14:textId="77777777" w:rsidR="00584EC1" w:rsidRDefault="00584EC1">
            <w:pPr>
              <w:rPr>
                <w:rFonts w:ascii="宋体"/>
              </w:rPr>
            </w:pPr>
          </w:p>
        </w:tc>
        <w:tc>
          <w:tcPr>
            <w:tcW w:w="68" w:type="pct"/>
            <w:shd w:val="clear" w:color="auto" w:fill="auto"/>
            <w:vAlign w:val="bottom"/>
          </w:tcPr>
          <w:p w14:paraId="74DD64DA" w14:textId="77777777" w:rsidR="00584EC1" w:rsidRDefault="00584EC1">
            <w:pPr>
              <w:rPr>
                <w:rFonts w:ascii="宋体"/>
              </w:rPr>
            </w:pPr>
          </w:p>
        </w:tc>
        <w:tc>
          <w:tcPr>
            <w:tcW w:w="5" w:type="pct"/>
            <w:shd w:val="clear" w:color="auto" w:fill="auto"/>
            <w:vAlign w:val="bottom"/>
          </w:tcPr>
          <w:p w14:paraId="74DD64DB" w14:textId="77777777" w:rsidR="00584EC1" w:rsidRDefault="00584EC1">
            <w:pPr>
              <w:rPr>
                <w:rFonts w:ascii="宋体"/>
              </w:rPr>
            </w:pPr>
          </w:p>
        </w:tc>
        <w:tc>
          <w:tcPr>
            <w:tcW w:w="50" w:type="pct"/>
            <w:shd w:val="clear" w:color="auto" w:fill="auto"/>
            <w:vAlign w:val="bottom"/>
          </w:tcPr>
          <w:p w14:paraId="74DD64DC" w14:textId="77777777" w:rsidR="00584EC1" w:rsidRDefault="00584EC1">
            <w:pPr>
              <w:rPr>
                <w:rFonts w:ascii="宋体"/>
              </w:rPr>
            </w:pPr>
          </w:p>
        </w:tc>
        <w:tc>
          <w:tcPr>
            <w:tcW w:w="778" w:type="pct"/>
            <w:shd w:val="clear" w:color="auto" w:fill="auto"/>
            <w:vAlign w:val="bottom"/>
          </w:tcPr>
          <w:p w14:paraId="74DD64DD" w14:textId="77777777" w:rsidR="00584EC1" w:rsidRDefault="00584EC1">
            <w:pPr>
              <w:rPr>
                <w:rFonts w:ascii="宋体"/>
              </w:rPr>
            </w:pPr>
          </w:p>
        </w:tc>
        <w:tc>
          <w:tcPr>
            <w:tcW w:w="5" w:type="pct"/>
            <w:shd w:val="clear" w:color="auto" w:fill="auto"/>
            <w:vAlign w:val="bottom"/>
          </w:tcPr>
          <w:p w14:paraId="74DD64DE" w14:textId="77777777" w:rsidR="00584EC1" w:rsidRDefault="00584EC1">
            <w:pPr>
              <w:rPr>
                <w:rFonts w:ascii="宋体"/>
              </w:rPr>
            </w:pPr>
          </w:p>
        </w:tc>
        <w:tc>
          <w:tcPr>
            <w:tcW w:w="0" w:type="auto"/>
            <w:gridSpan w:val="3"/>
            <w:shd w:val="clear" w:color="auto" w:fill="auto"/>
            <w:vAlign w:val="bottom"/>
          </w:tcPr>
          <w:p w14:paraId="74DD64DF" w14:textId="77777777" w:rsidR="00584EC1" w:rsidRDefault="00584EC1">
            <w:pPr>
              <w:rPr>
                <w:rFonts w:ascii="宋体"/>
                <w:vanish/>
              </w:rPr>
            </w:pPr>
          </w:p>
        </w:tc>
        <w:tc>
          <w:tcPr>
            <w:tcW w:w="0" w:type="auto"/>
            <w:gridSpan w:val="3"/>
            <w:shd w:val="clear" w:color="auto" w:fill="auto"/>
            <w:vAlign w:val="bottom"/>
          </w:tcPr>
          <w:p w14:paraId="74DD64E0" w14:textId="77777777" w:rsidR="00584EC1" w:rsidRDefault="00584EC1">
            <w:pPr>
              <w:rPr>
                <w:rFonts w:ascii="宋体"/>
                <w:vanish/>
              </w:rPr>
            </w:pPr>
          </w:p>
        </w:tc>
        <w:tc>
          <w:tcPr>
            <w:tcW w:w="0" w:type="auto"/>
            <w:gridSpan w:val="3"/>
            <w:shd w:val="clear" w:color="auto" w:fill="auto"/>
            <w:vAlign w:val="bottom"/>
          </w:tcPr>
          <w:p w14:paraId="74DD64E1" w14:textId="77777777" w:rsidR="00584EC1" w:rsidRDefault="00584EC1">
            <w:pPr>
              <w:rPr>
                <w:rFonts w:ascii="宋体"/>
                <w:vanish/>
              </w:rPr>
            </w:pPr>
          </w:p>
        </w:tc>
      </w:tr>
      <w:tr w:rsidR="00584EC1" w14:paraId="74DD64F3" w14:textId="77777777">
        <w:tc>
          <w:tcPr>
            <w:tcW w:w="0" w:type="auto"/>
            <w:gridSpan w:val="14"/>
            <w:shd w:val="clear" w:color="auto" w:fill="auto"/>
            <w:tcMar>
              <w:top w:w="40" w:type="dxa"/>
              <w:left w:w="20" w:type="dxa"/>
              <w:bottom w:w="40" w:type="dxa"/>
              <w:right w:w="20" w:type="dxa"/>
            </w:tcMar>
            <w:vAlign w:val="bottom"/>
          </w:tcPr>
          <w:p w14:paraId="74DD64E3" w14:textId="77777777" w:rsidR="00584EC1" w:rsidRDefault="00871F8D">
            <w:pPr>
              <w:textAlignment w:val="bottom"/>
            </w:pPr>
            <w:r>
              <w:rPr>
                <w:rFonts w:ascii="Arial" w:eastAsia="宋体" w:hAnsi="Arial" w:cs="Arial"/>
                <w:b/>
                <w:bCs/>
                <w:color w:val="000000"/>
                <w:sz w:val="16"/>
                <w:szCs w:val="16"/>
              </w:rPr>
              <w:t>TABLE 2: TOTAL REVENUE</w:t>
            </w:r>
          </w:p>
        </w:tc>
        <w:tc>
          <w:tcPr>
            <w:tcW w:w="0" w:type="auto"/>
            <w:shd w:val="clear" w:color="auto" w:fill="auto"/>
            <w:vAlign w:val="bottom"/>
          </w:tcPr>
          <w:p w14:paraId="74DD64E4" w14:textId="77777777" w:rsidR="00584EC1" w:rsidRDefault="00584EC1">
            <w:pPr>
              <w:rPr>
                <w:rFonts w:ascii="宋体"/>
              </w:rPr>
            </w:pPr>
          </w:p>
        </w:tc>
        <w:tc>
          <w:tcPr>
            <w:tcW w:w="0" w:type="auto"/>
            <w:shd w:val="clear" w:color="auto" w:fill="auto"/>
            <w:vAlign w:val="bottom"/>
          </w:tcPr>
          <w:p w14:paraId="74DD64E5" w14:textId="77777777" w:rsidR="00584EC1" w:rsidRDefault="00584EC1">
            <w:pPr>
              <w:rPr>
                <w:rFonts w:ascii="宋体"/>
              </w:rPr>
            </w:pPr>
          </w:p>
        </w:tc>
        <w:tc>
          <w:tcPr>
            <w:tcW w:w="0" w:type="auto"/>
            <w:shd w:val="clear" w:color="auto" w:fill="auto"/>
            <w:vAlign w:val="bottom"/>
          </w:tcPr>
          <w:p w14:paraId="74DD64E6" w14:textId="77777777" w:rsidR="00584EC1" w:rsidRDefault="00584EC1">
            <w:pPr>
              <w:rPr>
                <w:rFonts w:ascii="宋体"/>
              </w:rPr>
            </w:pPr>
          </w:p>
        </w:tc>
        <w:tc>
          <w:tcPr>
            <w:tcW w:w="0" w:type="auto"/>
            <w:shd w:val="clear" w:color="auto" w:fill="auto"/>
            <w:vAlign w:val="bottom"/>
          </w:tcPr>
          <w:p w14:paraId="74DD64E7" w14:textId="77777777" w:rsidR="00584EC1" w:rsidRDefault="00584EC1">
            <w:pPr>
              <w:rPr>
                <w:rFonts w:ascii="宋体"/>
              </w:rPr>
            </w:pPr>
          </w:p>
        </w:tc>
        <w:tc>
          <w:tcPr>
            <w:tcW w:w="0" w:type="auto"/>
            <w:shd w:val="clear" w:color="auto" w:fill="auto"/>
            <w:vAlign w:val="bottom"/>
          </w:tcPr>
          <w:p w14:paraId="74DD64E8" w14:textId="77777777" w:rsidR="00584EC1" w:rsidRDefault="00584EC1">
            <w:pPr>
              <w:rPr>
                <w:rFonts w:ascii="宋体"/>
              </w:rPr>
            </w:pPr>
          </w:p>
        </w:tc>
        <w:tc>
          <w:tcPr>
            <w:tcW w:w="0" w:type="auto"/>
            <w:shd w:val="clear" w:color="auto" w:fill="auto"/>
            <w:vAlign w:val="bottom"/>
          </w:tcPr>
          <w:p w14:paraId="74DD64E9" w14:textId="77777777" w:rsidR="00584EC1" w:rsidRDefault="00584EC1">
            <w:pPr>
              <w:rPr>
                <w:rFonts w:ascii="宋体"/>
              </w:rPr>
            </w:pPr>
          </w:p>
        </w:tc>
        <w:tc>
          <w:tcPr>
            <w:tcW w:w="0" w:type="auto"/>
            <w:shd w:val="clear" w:color="auto" w:fill="auto"/>
            <w:vAlign w:val="bottom"/>
          </w:tcPr>
          <w:p w14:paraId="74DD64EA" w14:textId="77777777" w:rsidR="00584EC1" w:rsidRDefault="00584EC1">
            <w:pPr>
              <w:rPr>
                <w:rFonts w:ascii="宋体"/>
              </w:rPr>
            </w:pPr>
          </w:p>
        </w:tc>
        <w:tc>
          <w:tcPr>
            <w:tcW w:w="0" w:type="auto"/>
            <w:shd w:val="clear" w:color="auto" w:fill="auto"/>
            <w:vAlign w:val="bottom"/>
          </w:tcPr>
          <w:p w14:paraId="74DD64EB" w14:textId="77777777" w:rsidR="00584EC1" w:rsidRDefault="00584EC1">
            <w:pPr>
              <w:rPr>
                <w:rFonts w:ascii="宋体"/>
              </w:rPr>
            </w:pPr>
          </w:p>
        </w:tc>
        <w:tc>
          <w:tcPr>
            <w:tcW w:w="0" w:type="auto"/>
            <w:shd w:val="clear" w:color="auto" w:fill="auto"/>
            <w:vAlign w:val="bottom"/>
          </w:tcPr>
          <w:p w14:paraId="74DD64EC" w14:textId="77777777" w:rsidR="00584EC1" w:rsidRDefault="00584EC1">
            <w:pPr>
              <w:rPr>
                <w:rFonts w:ascii="宋体"/>
              </w:rPr>
            </w:pPr>
          </w:p>
        </w:tc>
        <w:tc>
          <w:tcPr>
            <w:tcW w:w="0" w:type="auto"/>
            <w:shd w:val="clear" w:color="auto" w:fill="auto"/>
            <w:vAlign w:val="bottom"/>
          </w:tcPr>
          <w:p w14:paraId="74DD64ED" w14:textId="77777777" w:rsidR="00584EC1" w:rsidRDefault="00584EC1">
            <w:pPr>
              <w:rPr>
                <w:rFonts w:ascii="宋体"/>
              </w:rPr>
            </w:pPr>
          </w:p>
        </w:tc>
        <w:tc>
          <w:tcPr>
            <w:tcW w:w="0" w:type="auto"/>
            <w:shd w:val="clear" w:color="auto" w:fill="auto"/>
            <w:vAlign w:val="bottom"/>
          </w:tcPr>
          <w:p w14:paraId="74DD64EE" w14:textId="77777777" w:rsidR="00584EC1" w:rsidRDefault="00584EC1">
            <w:pPr>
              <w:rPr>
                <w:rFonts w:ascii="宋体"/>
              </w:rPr>
            </w:pPr>
          </w:p>
        </w:tc>
        <w:tc>
          <w:tcPr>
            <w:tcW w:w="0" w:type="auto"/>
            <w:shd w:val="clear" w:color="auto" w:fill="auto"/>
            <w:vAlign w:val="bottom"/>
          </w:tcPr>
          <w:p w14:paraId="74DD64EF" w14:textId="77777777" w:rsidR="00584EC1" w:rsidRDefault="00584EC1">
            <w:pPr>
              <w:rPr>
                <w:rFonts w:ascii="宋体"/>
              </w:rPr>
            </w:pPr>
          </w:p>
        </w:tc>
        <w:tc>
          <w:tcPr>
            <w:tcW w:w="0" w:type="auto"/>
            <w:shd w:val="clear" w:color="auto" w:fill="auto"/>
            <w:vAlign w:val="bottom"/>
          </w:tcPr>
          <w:p w14:paraId="74DD64F0" w14:textId="77777777" w:rsidR="00584EC1" w:rsidRDefault="00584EC1">
            <w:pPr>
              <w:rPr>
                <w:rFonts w:ascii="宋体"/>
              </w:rPr>
            </w:pPr>
          </w:p>
        </w:tc>
        <w:tc>
          <w:tcPr>
            <w:tcW w:w="0" w:type="auto"/>
            <w:shd w:val="clear" w:color="auto" w:fill="auto"/>
            <w:vAlign w:val="bottom"/>
          </w:tcPr>
          <w:p w14:paraId="74DD64F1" w14:textId="77777777" w:rsidR="00584EC1" w:rsidRDefault="00584EC1">
            <w:pPr>
              <w:rPr>
                <w:rFonts w:ascii="宋体"/>
              </w:rPr>
            </w:pPr>
          </w:p>
        </w:tc>
        <w:tc>
          <w:tcPr>
            <w:tcW w:w="0" w:type="auto"/>
            <w:shd w:val="clear" w:color="auto" w:fill="auto"/>
            <w:vAlign w:val="bottom"/>
          </w:tcPr>
          <w:p w14:paraId="74DD64F2" w14:textId="77777777" w:rsidR="00584EC1" w:rsidRDefault="00584EC1">
            <w:pPr>
              <w:rPr>
                <w:rFonts w:ascii="宋体"/>
              </w:rPr>
            </w:pPr>
          </w:p>
        </w:tc>
      </w:tr>
      <w:tr w:rsidR="00584EC1" w14:paraId="74DD6501" w14:textId="77777777">
        <w:trPr>
          <w:trHeight w:val="340"/>
        </w:trPr>
        <w:tc>
          <w:tcPr>
            <w:tcW w:w="0" w:type="auto"/>
            <w:gridSpan w:val="3"/>
            <w:shd w:val="clear" w:color="auto" w:fill="auto"/>
            <w:tcMar>
              <w:top w:w="0" w:type="dxa"/>
              <w:left w:w="20" w:type="dxa"/>
              <w:bottom w:w="0" w:type="dxa"/>
              <w:right w:w="20" w:type="dxa"/>
            </w:tcMar>
            <w:vAlign w:val="bottom"/>
          </w:tcPr>
          <w:p w14:paraId="74DD64F4" w14:textId="77777777" w:rsidR="00584EC1" w:rsidRDefault="00584EC1">
            <w:pPr>
              <w:rPr>
                <w:rFonts w:ascii="宋体"/>
              </w:rPr>
            </w:pPr>
          </w:p>
        </w:tc>
        <w:tc>
          <w:tcPr>
            <w:tcW w:w="0" w:type="auto"/>
            <w:gridSpan w:val="9"/>
            <w:shd w:val="clear" w:color="auto" w:fill="auto"/>
            <w:tcMar>
              <w:top w:w="40" w:type="dxa"/>
              <w:left w:w="20" w:type="dxa"/>
              <w:bottom w:w="40" w:type="dxa"/>
              <w:right w:w="20" w:type="dxa"/>
            </w:tcMar>
            <w:vAlign w:val="bottom"/>
          </w:tcPr>
          <w:p w14:paraId="74DD64F5" w14:textId="77777777" w:rsidR="00584EC1" w:rsidRDefault="00871F8D">
            <w:pPr>
              <w:jc w:val="center"/>
              <w:textAlignment w:val="bottom"/>
            </w:pPr>
            <w:r>
              <w:rPr>
                <w:rFonts w:ascii="Arial" w:eastAsia="宋体" w:hAnsi="Arial" w:cs="Arial"/>
                <w:b/>
                <w:bCs/>
                <w:color w:val="000000"/>
                <w:sz w:val="15"/>
                <w:szCs w:val="15"/>
              </w:rPr>
              <w:t>Three Months Ended September 30,</w:t>
            </w:r>
          </w:p>
        </w:tc>
        <w:tc>
          <w:tcPr>
            <w:tcW w:w="0" w:type="auto"/>
            <w:shd w:val="clear" w:color="auto" w:fill="auto"/>
            <w:tcMar>
              <w:top w:w="0" w:type="dxa"/>
              <w:left w:w="20" w:type="dxa"/>
              <w:bottom w:w="0" w:type="dxa"/>
              <w:right w:w="20" w:type="dxa"/>
            </w:tcMar>
            <w:vAlign w:val="bottom"/>
          </w:tcPr>
          <w:p w14:paraId="74DD64F6" w14:textId="77777777" w:rsidR="00584EC1" w:rsidRDefault="00584EC1">
            <w:pPr>
              <w:rPr>
                <w:rFonts w:ascii="宋体"/>
              </w:rPr>
            </w:pPr>
          </w:p>
        </w:tc>
        <w:tc>
          <w:tcPr>
            <w:tcW w:w="0" w:type="auto"/>
            <w:vMerge w:val="restart"/>
            <w:shd w:val="clear" w:color="auto" w:fill="auto"/>
            <w:tcMar>
              <w:top w:w="40" w:type="dxa"/>
              <w:left w:w="20" w:type="dxa"/>
              <w:bottom w:w="40" w:type="dxa"/>
              <w:right w:w="20" w:type="dxa"/>
            </w:tcMar>
            <w:vAlign w:val="bottom"/>
          </w:tcPr>
          <w:p w14:paraId="74DD64F7" w14:textId="77777777" w:rsidR="00584EC1" w:rsidRDefault="00871F8D">
            <w:pPr>
              <w:jc w:val="center"/>
              <w:textAlignment w:val="bottom"/>
            </w:pPr>
            <w:r>
              <w:rPr>
                <w:rFonts w:ascii="Arial" w:eastAsia="宋体" w:hAnsi="Arial" w:cs="Arial"/>
                <w:b/>
                <w:bCs/>
                <w:color w:val="000000"/>
                <w:sz w:val="15"/>
                <w:szCs w:val="15"/>
              </w:rPr>
              <w:t>% Change</w:t>
            </w:r>
          </w:p>
        </w:tc>
        <w:tc>
          <w:tcPr>
            <w:tcW w:w="0" w:type="auto"/>
            <w:gridSpan w:val="3"/>
            <w:shd w:val="clear" w:color="auto" w:fill="auto"/>
            <w:vAlign w:val="bottom"/>
          </w:tcPr>
          <w:p w14:paraId="74DD64F8" w14:textId="77777777" w:rsidR="00584EC1" w:rsidRDefault="00584EC1">
            <w:pPr>
              <w:rPr>
                <w:rFonts w:ascii="宋体"/>
                <w:vanish/>
              </w:rPr>
            </w:pPr>
          </w:p>
        </w:tc>
        <w:tc>
          <w:tcPr>
            <w:tcW w:w="0" w:type="auto"/>
            <w:gridSpan w:val="3"/>
            <w:shd w:val="clear" w:color="auto" w:fill="auto"/>
            <w:vAlign w:val="bottom"/>
          </w:tcPr>
          <w:p w14:paraId="74DD64F9" w14:textId="77777777" w:rsidR="00584EC1" w:rsidRDefault="00584EC1">
            <w:pPr>
              <w:rPr>
                <w:rFonts w:ascii="宋体"/>
                <w:vanish/>
              </w:rPr>
            </w:pPr>
          </w:p>
        </w:tc>
        <w:tc>
          <w:tcPr>
            <w:tcW w:w="0" w:type="auto"/>
            <w:gridSpan w:val="3"/>
            <w:shd w:val="clear" w:color="auto" w:fill="auto"/>
            <w:vAlign w:val="bottom"/>
          </w:tcPr>
          <w:p w14:paraId="74DD64FA" w14:textId="77777777" w:rsidR="00584EC1" w:rsidRDefault="00584EC1">
            <w:pPr>
              <w:rPr>
                <w:rFonts w:ascii="宋体"/>
                <w:vanish/>
              </w:rPr>
            </w:pPr>
          </w:p>
        </w:tc>
        <w:tc>
          <w:tcPr>
            <w:tcW w:w="0" w:type="auto"/>
            <w:shd w:val="clear" w:color="auto" w:fill="auto"/>
            <w:vAlign w:val="bottom"/>
          </w:tcPr>
          <w:p w14:paraId="74DD64FB" w14:textId="77777777" w:rsidR="00584EC1" w:rsidRDefault="00584EC1">
            <w:pPr>
              <w:rPr>
                <w:rFonts w:ascii="宋体"/>
              </w:rPr>
            </w:pPr>
          </w:p>
        </w:tc>
        <w:tc>
          <w:tcPr>
            <w:tcW w:w="0" w:type="auto"/>
            <w:shd w:val="clear" w:color="auto" w:fill="auto"/>
            <w:vAlign w:val="bottom"/>
          </w:tcPr>
          <w:p w14:paraId="74DD64FC" w14:textId="77777777" w:rsidR="00584EC1" w:rsidRDefault="00584EC1">
            <w:pPr>
              <w:rPr>
                <w:rFonts w:ascii="宋体"/>
              </w:rPr>
            </w:pPr>
          </w:p>
        </w:tc>
        <w:tc>
          <w:tcPr>
            <w:tcW w:w="0" w:type="auto"/>
            <w:shd w:val="clear" w:color="auto" w:fill="auto"/>
            <w:vAlign w:val="bottom"/>
          </w:tcPr>
          <w:p w14:paraId="74DD64FD" w14:textId="77777777" w:rsidR="00584EC1" w:rsidRDefault="00584EC1">
            <w:pPr>
              <w:rPr>
                <w:rFonts w:ascii="宋体"/>
              </w:rPr>
            </w:pPr>
          </w:p>
        </w:tc>
        <w:tc>
          <w:tcPr>
            <w:tcW w:w="0" w:type="auto"/>
            <w:shd w:val="clear" w:color="auto" w:fill="auto"/>
            <w:vAlign w:val="bottom"/>
          </w:tcPr>
          <w:p w14:paraId="74DD64FE" w14:textId="77777777" w:rsidR="00584EC1" w:rsidRDefault="00584EC1">
            <w:pPr>
              <w:rPr>
                <w:rFonts w:ascii="宋体"/>
              </w:rPr>
            </w:pPr>
          </w:p>
        </w:tc>
        <w:tc>
          <w:tcPr>
            <w:tcW w:w="0" w:type="auto"/>
            <w:shd w:val="clear" w:color="auto" w:fill="auto"/>
            <w:vAlign w:val="bottom"/>
          </w:tcPr>
          <w:p w14:paraId="74DD64FF" w14:textId="77777777" w:rsidR="00584EC1" w:rsidRDefault="00584EC1">
            <w:pPr>
              <w:rPr>
                <w:rFonts w:ascii="宋体"/>
              </w:rPr>
            </w:pPr>
          </w:p>
        </w:tc>
        <w:tc>
          <w:tcPr>
            <w:tcW w:w="0" w:type="auto"/>
            <w:shd w:val="clear" w:color="auto" w:fill="auto"/>
            <w:vAlign w:val="bottom"/>
          </w:tcPr>
          <w:p w14:paraId="74DD6500" w14:textId="77777777" w:rsidR="00584EC1" w:rsidRDefault="00584EC1">
            <w:pPr>
              <w:rPr>
                <w:rFonts w:ascii="宋体"/>
              </w:rPr>
            </w:pPr>
          </w:p>
        </w:tc>
      </w:tr>
      <w:tr w:rsidR="00584EC1" w14:paraId="74DD650D" w14:textId="77777777">
        <w:trPr>
          <w:trHeight w:val="220"/>
        </w:trPr>
        <w:tc>
          <w:tcPr>
            <w:tcW w:w="0" w:type="auto"/>
            <w:gridSpan w:val="3"/>
            <w:shd w:val="clear" w:color="auto" w:fill="auto"/>
            <w:tcMar>
              <w:top w:w="40" w:type="dxa"/>
              <w:left w:w="20" w:type="dxa"/>
              <w:bottom w:w="40" w:type="dxa"/>
              <w:right w:w="20" w:type="dxa"/>
            </w:tcMar>
            <w:vAlign w:val="bottom"/>
          </w:tcPr>
          <w:p w14:paraId="74DD6502" w14:textId="77777777" w:rsidR="00584EC1" w:rsidRDefault="00871F8D">
            <w:pPr>
              <w:textAlignment w:val="bottom"/>
            </w:pPr>
            <w:r>
              <w:rPr>
                <w:rFonts w:ascii="Arial" w:eastAsia="宋体" w:hAnsi="Arial" w:cs="Arial"/>
                <w:b/>
                <w:bCs/>
                <w:color w:val="000000"/>
                <w:sz w:val="15"/>
                <w:szCs w:val="15"/>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6503" w14:textId="77777777" w:rsidR="00584EC1" w:rsidRDefault="00871F8D">
            <w:pPr>
              <w:jc w:val="center"/>
              <w:textAlignment w:val="bottom"/>
            </w:pPr>
            <w:r>
              <w:rPr>
                <w:rFonts w:ascii="Arial" w:eastAsia="宋体" w:hAnsi="Arial" w:cs="Arial"/>
                <w:b/>
                <w:bCs/>
                <w:color w:val="000000"/>
                <w:sz w:val="15"/>
                <w:szCs w:val="15"/>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6504"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6505" w14:textId="77777777" w:rsidR="00584EC1" w:rsidRDefault="00871F8D">
            <w:pPr>
              <w:jc w:val="center"/>
              <w:textAlignment w:val="bottom"/>
            </w:pPr>
            <w:r>
              <w:rPr>
                <w:rFonts w:ascii="Arial" w:eastAsia="宋体" w:hAnsi="Arial" w:cs="Arial"/>
                <w:b/>
                <w:bCs/>
                <w:color w:val="000000"/>
                <w:sz w:val="15"/>
                <w:szCs w:val="15"/>
              </w:rPr>
              <w:t>2020</w:t>
            </w:r>
          </w:p>
        </w:tc>
        <w:tc>
          <w:tcPr>
            <w:tcW w:w="0" w:type="auto"/>
            <w:shd w:val="clear" w:color="auto" w:fill="auto"/>
            <w:vAlign w:val="bottom"/>
          </w:tcPr>
          <w:p w14:paraId="74DD6506" w14:textId="77777777" w:rsidR="00584EC1" w:rsidRDefault="00584EC1">
            <w:pPr>
              <w:rPr>
                <w:rFonts w:ascii="宋体"/>
                <w:vanish/>
              </w:rPr>
            </w:pPr>
          </w:p>
        </w:tc>
        <w:tc>
          <w:tcPr>
            <w:tcW w:w="0" w:type="auto"/>
            <w:vMerge/>
            <w:shd w:val="clear" w:color="auto" w:fill="auto"/>
            <w:tcMar>
              <w:top w:w="40" w:type="dxa"/>
              <w:left w:w="20" w:type="dxa"/>
              <w:bottom w:w="40" w:type="dxa"/>
              <w:right w:w="20" w:type="dxa"/>
            </w:tcMar>
            <w:vAlign w:val="bottom"/>
          </w:tcPr>
          <w:p w14:paraId="74DD6507" w14:textId="77777777" w:rsidR="00584EC1" w:rsidRDefault="00584EC1">
            <w:pPr>
              <w:jc w:val="center"/>
              <w:rPr>
                <w:rFonts w:ascii="宋体"/>
              </w:rPr>
            </w:pPr>
          </w:p>
        </w:tc>
        <w:tc>
          <w:tcPr>
            <w:tcW w:w="0" w:type="auto"/>
            <w:gridSpan w:val="3"/>
            <w:shd w:val="clear" w:color="auto" w:fill="auto"/>
            <w:vAlign w:val="bottom"/>
          </w:tcPr>
          <w:p w14:paraId="74DD6508" w14:textId="77777777" w:rsidR="00584EC1" w:rsidRDefault="00584EC1">
            <w:pPr>
              <w:rPr>
                <w:rFonts w:ascii="宋体"/>
                <w:vanish/>
              </w:rPr>
            </w:pPr>
          </w:p>
        </w:tc>
        <w:tc>
          <w:tcPr>
            <w:tcW w:w="0" w:type="auto"/>
            <w:gridSpan w:val="3"/>
            <w:shd w:val="clear" w:color="auto" w:fill="auto"/>
            <w:tcMar>
              <w:top w:w="0" w:type="dxa"/>
              <w:left w:w="20" w:type="dxa"/>
              <w:bottom w:w="0" w:type="dxa"/>
              <w:right w:w="20" w:type="dxa"/>
            </w:tcMar>
            <w:vAlign w:val="bottom"/>
          </w:tcPr>
          <w:p w14:paraId="74DD6509" w14:textId="77777777" w:rsidR="00584EC1" w:rsidRDefault="00584EC1">
            <w:pPr>
              <w:rPr>
                <w:rFonts w:ascii="宋体"/>
              </w:rPr>
            </w:pPr>
          </w:p>
        </w:tc>
        <w:tc>
          <w:tcPr>
            <w:tcW w:w="0" w:type="auto"/>
            <w:gridSpan w:val="3"/>
            <w:shd w:val="clear" w:color="auto" w:fill="auto"/>
            <w:vAlign w:val="bottom"/>
          </w:tcPr>
          <w:p w14:paraId="74DD650A" w14:textId="77777777" w:rsidR="00584EC1" w:rsidRDefault="00584EC1">
            <w:pPr>
              <w:rPr>
                <w:rFonts w:ascii="宋体"/>
                <w:vanish/>
              </w:rPr>
            </w:pPr>
          </w:p>
        </w:tc>
        <w:tc>
          <w:tcPr>
            <w:tcW w:w="0" w:type="auto"/>
            <w:gridSpan w:val="3"/>
            <w:shd w:val="clear" w:color="auto" w:fill="auto"/>
            <w:vAlign w:val="bottom"/>
          </w:tcPr>
          <w:p w14:paraId="74DD650B" w14:textId="77777777" w:rsidR="00584EC1" w:rsidRDefault="00584EC1">
            <w:pPr>
              <w:rPr>
                <w:rFonts w:ascii="宋体"/>
                <w:vanish/>
              </w:rPr>
            </w:pPr>
          </w:p>
        </w:tc>
        <w:tc>
          <w:tcPr>
            <w:tcW w:w="0" w:type="auto"/>
            <w:gridSpan w:val="3"/>
            <w:shd w:val="clear" w:color="auto" w:fill="auto"/>
            <w:vAlign w:val="bottom"/>
          </w:tcPr>
          <w:p w14:paraId="74DD650C" w14:textId="77777777" w:rsidR="00584EC1" w:rsidRDefault="00584EC1">
            <w:pPr>
              <w:rPr>
                <w:rFonts w:ascii="宋体"/>
                <w:vanish/>
              </w:rPr>
            </w:pPr>
          </w:p>
        </w:tc>
      </w:tr>
      <w:tr w:rsidR="00584EC1" w14:paraId="74DD6519" w14:textId="77777777">
        <w:tc>
          <w:tcPr>
            <w:tcW w:w="0" w:type="auto"/>
            <w:gridSpan w:val="3"/>
            <w:shd w:val="clear" w:color="auto" w:fill="auto"/>
            <w:tcMar>
              <w:top w:w="40" w:type="dxa"/>
              <w:left w:w="20" w:type="dxa"/>
              <w:bottom w:w="40" w:type="dxa"/>
              <w:right w:w="20" w:type="dxa"/>
            </w:tcMar>
            <w:vAlign w:val="bottom"/>
          </w:tcPr>
          <w:p w14:paraId="74DD650E" w14:textId="77777777" w:rsidR="00584EC1" w:rsidRDefault="00871F8D">
            <w:pPr>
              <w:textAlignment w:val="bottom"/>
            </w:pPr>
            <w:r>
              <w:rPr>
                <w:rFonts w:ascii="Arial" w:eastAsia="宋体" w:hAnsi="Arial" w:cs="Arial"/>
                <w:color w:val="000000"/>
                <w:sz w:val="15"/>
                <w:szCs w:val="15"/>
              </w:rPr>
              <w:t>Fee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650F"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6510"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6511" w14:textId="77777777" w:rsidR="00584EC1" w:rsidRDefault="00584EC1">
            <w:pPr>
              <w:rPr>
                <w:rFonts w:ascii="宋体"/>
              </w:rPr>
            </w:pPr>
          </w:p>
        </w:tc>
        <w:tc>
          <w:tcPr>
            <w:tcW w:w="0" w:type="auto"/>
            <w:shd w:val="clear" w:color="auto" w:fill="auto"/>
            <w:vAlign w:val="bottom"/>
          </w:tcPr>
          <w:p w14:paraId="74DD6512" w14:textId="77777777" w:rsidR="00584EC1" w:rsidRDefault="00584EC1">
            <w:pPr>
              <w:rPr>
                <w:rFonts w:ascii="宋体"/>
                <w:vanish/>
              </w:rPr>
            </w:pPr>
          </w:p>
        </w:tc>
        <w:tc>
          <w:tcPr>
            <w:tcW w:w="0" w:type="auto"/>
            <w:shd w:val="clear" w:color="auto" w:fill="auto"/>
            <w:vAlign w:val="bottom"/>
          </w:tcPr>
          <w:p w14:paraId="74DD6513" w14:textId="77777777" w:rsidR="00584EC1" w:rsidRDefault="00584EC1">
            <w:pPr>
              <w:rPr>
                <w:rFonts w:ascii="宋体"/>
                <w:vanish/>
              </w:rPr>
            </w:pPr>
          </w:p>
        </w:tc>
        <w:tc>
          <w:tcPr>
            <w:tcW w:w="0" w:type="auto"/>
            <w:gridSpan w:val="3"/>
            <w:shd w:val="clear" w:color="auto" w:fill="auto"/>
            <w:tcMar>
              <w:top w:w="0" w:type="dxa"/>
              <w:left w:w="20" w:type="dxa"/>
              <w:bottom w:w="0" w:type="dxa"/>
              <w:right w:w="20" w:type="dxa"/>
            </w:tcMar>
            <w:vAlign w:val="bottom"/>
          </w:tcPr>
          <w:p w14:paraId="74DD6514"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6515" w14:textId="77777777" w:rsidR="00584EC1" w:rsidRDefault="00584EC1">
            <w:pPr>
              <w:rPr>
                <w:rFonts w:ascii="宋体"/>
              </w:rPr>
            </w:pPr>
          </w:p>
        </w:tc>
        <w:tc>
          <w:tcPr>
            <w:tcW w:w="0" w:type="auto"/>
            <w:gridSpan w:val="3"/>
            <w:shd w:val="clear" w:color="auto" w:fill="auto"/>
            <w:vAlign w:val="bottom"/>
          </w:tcPr>
          <w:p w14:paraId="74DD6516" w14:textId="77777777" w:rsidR="00584EC1" w:rsidRDefault="00584EC1">
            <w:pPr>
              <w:rPr>
                <w:rFonts w:ascii="宋体"/>
                <w:vanish/>
              </w:rPr>
            </w:pPr>
          </w:p>
        </w:tc>
        <w:tc>
          <w:tcPr>
            <w:tcW w:w="0" w:type="auto"/>
            <w:gridSpan w:val="3"/>
            <w:shd w:val="clear" w:color="auto" w:fill="auto"/>
            <w:vAlign w:val="bottom"/>
          </w:tcPr>
          <w:p w14:paraId="74DD6517" w14:textId="77777777" w:rsidR="00584EC1" w:rsidRDefault="00584EC1">
            <w:pPr>
              <w:rPr>
                <w:rFonts w:ascii="宋体"/>
                <w:vanish/>
              </w:rPr>
            </w:pPr>
          </w:p>
        </w:tc>
        <w:tc>
          <w:tcPr>
            <w:tcW w:w="0" w:type="auto"/>
            <w:gridSpan w:val="3"/>
            <w:shd w:val="clear" w:color="auto" w:fill="auto"/>
            <w:vAlign w:val="bottom"/>
          </w:tcPr>
          <w:p w14:paraId="74DD6518" w14:textId="77777777" w:rsidR="00584EC1" w:rsidRDefault="00584EC1">
            <w:pPr>
              <w:rPr>
                <w:rFonts w:ascii="宋体"/>
                <w:vanish/>
              </w:rPr>
            </w:pPr>
          </w:p>
        </w:tc>
      </w:tr>
      <w:tr w:rsidR="00584EC1" w14:paraId="74DD652A" w14:textId="77777777">
        <w:tc>
          <w:tcPr>
            <w:tcW w:w="0" w:type="auto"/>
            <w:gridSpan w:val="3"/>
            <w:shd w:val="clear" w:color="auto" w:fill="CCEEFF"/>
            <w:tcMar>
              <w:top w:w="40" w:type="dxa"/>
              <w:left w:w="140" w:type="dxa"/>
              <w:bottom w:w="40" w:type="dxa"/>
              <w:right w:w="20" w:type="dxa"/>
            </w:tcMar>
            <w:vAlign w:val="bottom"/>
          </w:tcPr>
          <w:p w14:paraId="74DD651A" w14:textId="77777777" w:rsidR="00584EC1" w:rsidRDefault="00871F8D">
            <w:pPr>
              <w:textAlignment w:val="bottom"/>
            </w:pPr>
            <w:r>
              <w:rPr>
                <w:rFonts w:ascii="Arial" w:eastAsia="宋体" w:hAnsi="Arial" w:cs="Arial"/>
                <w:color w:val="000000"/>
                <w:sz w:val="15"/>
                <w:szCs w:val="15"/>
              </w:rPr>
              <w:t>Servicing fees</w:t>
            </w:r>
          </w:p>
        </w:tc>
        <w:tc>
          <w:tcPr>
            <w:tcW w:w="0" w:type="auto"/>
            <w:shd w:val="clear" w:color="auto" w:fill="CCEEFF"/>
            <w:tcMar>
              <w:top w:w="40" w:type="dxa"/>
              <w:left w:w="20" w:type="dxa"/>
              <w:bottom w:w="40" w:type="dxa"/>
              <w:right w:w="0" w:type="dxa"/>
            </w:tcMar>
            <w:vAlign w:val="bottom"/>
          </w:tcPr>
          <w:p w14:paraId="74DD651B" w14:textId="77777777" w:rsidR="00584EC1" w:rsidRDefault="00871F8D">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4DD651C" w14:textId="77777777" w:rsidR="00584EC1" w:rsidRDefault="00871F8D">
            <w:pPr>
              <w:jc w:val="right"/>
              <w:textAlignment w:val="bottom"/>
            </w:pPr>
            <w:r>
              <w:rPr>
                <w:rFonts w:ascii="Arial" w:eastAsia="宋体" w:hAnsi="Arial" w:cs="Arial"/>
                <w:b/>
                <w:bCs/>
                <w:color w:val="000000"/>
                <w:sz w:val="15"/>
                <w:szCs w:val="15"/>
              </w:rPr>
              <w:t>1,395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651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51E"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651F" w14:textId="77777777" w:rsidR="00584EC1" w:rsidRDefault="00871F8D">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4DD6520" w14:textId="77777777" w:rsidR="00584EC1" w:rsidRDefault="00871F8D">
            <w:pPr>
              <w:jc w:val="right"/>
              <w:textAlignment w:val="bottom"/>
            </w:pPr>
            <w:r>
              <w:rPr>
                <w:rFonts w:ascii="Arial" w:eastAsia="宋体" w:hAnsi="Arial" w:cs="Arial"/>
                <w:color w:val="000000"/>
                <w:sz w:val="15"/>
                <w:szCs w:val="15"/>
              </w:rPr>
              <w:t>1,301 </w:t>
            </w:r>
          </w:p>
        </w:tc>
        <w:tc>
          <w:tcPr>
            <w:tcW w:w="0" w:type="auto"/>
            <w:shd w:val="clear" w:color="auto" w:fill="CCEEFF"/>
            <w:tcMar>
              <w:top w:w="40" w:type="dxa"/>
              <w:left w:w="0" w:type="dxa"/>
              <w:bottom w:w="40" w:type="dxa"/>
              <w:right w:w="20" w:type="dxa"/>
            </w:tcMar>
            <w:vAlign w:val="bottom"/>
          </w:tcPr>
          <w:p w14:paraId="74DD6521" w14:textId="77777777" w:rsidR="00584EC1" w:rsidRDefault="00584EC1">
            <w:pPr>
              <w:jc w:val="right"/>
              <w:rPr>
                <w:rFonts w:ascii="宋体"/>
              </w:rPr>
            </w:pPr>
          </w:p>
        </w:tc>
        <w:tc>
          <w:tcPr>
            <w:tcW w:w="0" w:type="auto"/>
            <w:shd w:val="clear" w:color="auto" w:fill="auto"/>
            <w:vAlign w:val="bottom"/>
          </w:tcPr>
          <w:p w14:paraId="74DD6522" w14:textId="77777777" w:rsidR="00584EC1" w:rsidRDefault="00584EC1">
            <w:pPr>
              <w:rPr>
                <w:rFonts w:ascii="宋体"/>
                <w:vanish/>
              </w:rPr>
            </w:pPr>
          </w:p>
        </w:tc>
        <w:tc>
          <w:tcPr>
            <w:tcW w:w="0" w:type="auto"/>
            <w:shd w:val="clear" w:color="auto" w:fill="auto"/>
            <w:vAlign w:val="bottom"/>
          </w:tcPr>
          <w:p w14:paraId="74DD6523" w14:textId="77777777" w:rsidR="00584EC1" w:rsidRDefault="00584EC1">
            <w:pPr>
              <w:rPr>
                <w:rFonts w:ascii="宋体"/>
                <w:vanish/>
              </w:rPr>
            </w:pPr>
          </w:p>
        </w:tc>
        <w:tc>
          <w:tcPr>
            <w:tcW w:w="0" w:type="auto"/>
            <w:gridSpan w:val="3"/>
            <w:shd w:val="clear" w:color="auto" w:fill="CCEEFF"/>
            <w:tcMar>
              <w:top w:w="0" w:type="dxa"/>
              <w:left w:w="20" w:type="dxa"/>
              <w:bottom w:w="0" w:type="dxa"/>
              <w:right w:w="20" w:type="dxa"/>
            </w:tcMar>
            <w:vAlign w:val="bottom"/>
          </w:tcPr>
          <w:p w14:paraId="74DD6524"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525" w14:textId="77777777" w:rsidR="00584EC1" w:rsidRDefault="00871F8D">
            <w:pPr>
              <w:jc w:val="right"/>
              <w:textAlignment w:val="bottom"/>
            </w:pPr>
            <w:r>
              <w:rPr>
                <w:rFonts w:ascii="Arial" w:eastAsia="宋体" w:hAnsi="Arial" w:cs="Arial"/>
                <w:color w:val="000000"/>
                <w:sz w:val="15"/>
                <w:szCs w:val="15"/>
              </w:rPr>
              <w:t>7 </w:t>
            </w:r>
          </w:p>
        </w:tc>
        <w:tc>
          <w:tcPr>
            <w:tcW w:w="0" w:type="auto"/>
            <w:shd w:val="clear" w:color="auto" w:fill="CCEEFF"/>
            <w:tcMar>
              <w:top w:w="40" w:type="dxa"/>
              <w:left w:w="0" w:type="dxa"/>
              <w:bottom w:w="40" w:type="dxa"/>
              <w:right w:w="20" w:type="dxa"/>
            </w:tcMar>
            <w:vAlign w:val="bottom"/>
          </w:tcPr>
          <w:p w14:paraId="74DD6526" w14:textId="77777777" w:rsidR="00584EC1" w:rsidRDefault="00871F8D">
            <w:pPr>
              <w:jc w:val="right"/>
              <w:textAlignment w:val="bottom"/>
            </w:pPr>
            <w:r>
              <w:rPr>
                <w:rFonts w:ascii="Arial" w:eastAsia="宋体" w:hAnsi="Arial" w:cs="Arial"/>
                <w:color w:val="000000"/>
                <w:sz w:val="15"/>
                <w:szCs w:val="15"/>
              </w:rPr>
              <w:t>%</w:t>
            </w:r>
          </w:p>
        </w:tc>
        <w:tc>
          <w:tcPr>
            <w:tcW w:w="0" w:type="auto"/>
            <w:gridSpan w:val="3"/>
            <w:shd w:val="clear" w:color="auto" w:fill="auto"/>
            <w:vAlign w:val="bottom"/>
          </w:tcPr>
          <w:p w14:paraId="74DD6527" w14:textId="77777777" w:rsidR="00584EC1" w:rsidRDefault="00584EC1">
            <w:pPr>
              <w:rPr>
                <w:rFonts w:ascii="宋体"/>
                <w:vanish/>
              </w:rPr>
            </w:pPr>
          </w:p>
        </w:tc>
        <w:tc>
          <w:tcPr>
            <w:tcW w:w="0" w:type="auto"/>
            <w:gridSpan w:val="3"/>
            <w:shd w:val="clear" w:color="auto" w:fill="auto"/>
            <w:vAlign w:val="bottom"/>
          </w:tcPr>
          <w:p w14:paraId="74DD6528" w14:textId="77777777" w:rsidR="00584EC1" w:rsidRDefault="00584EC1">
            <w:pPr>
              <w:rPr>
                <w:rFonts w:ascii="宋体"/>
                <w:vanish/>
              </w:rPr>
            </w:pPr>
          </w:p>
        </w:tc>
        <w:tc>
          <w:tcPr>
            <w:tcW w:w="0" w:type="auto"/>
            <w:gridSpan w:val="3"/>
            <w:shd w:val="clear" w:color="auto" w:fill="auto"/>
            <w:vAlign w:val="bottom"/>
          </w:tcPr>
          <w:p w14:paraId="74DD6529" w14:textId="77777777" w:rsidR="00584EC1" w:rsidRDefault="00584EC1">
            <w:pPr>
              <w:rPr>
                <w:rFonts w:ascii="宋体"/>
                <w:vanish/>
              </w:rPr>
            </w:pPr>
          </w:p>
        </w:tc>
      </w:tr>
      <w:tr w:rsidR="00584EC1" w14:paraId="74DD6539" w14:textId="77777777">
        <w:tc>
          <w:tcPr>
            <w:tcW w:w="0" w:type="auto"/>
            <w:gridSpan w:val="3"/>
            <w:shd w:val="clear" w:color="auto" w:fill="FFFFFF"/>
            <w:tcMar>
              <w:top w:w="40" w:type="dxa"/>
              <w:left w:w="20" w:type="dxa"/>
              <w:bottom w:w="40" w:type="dxa"/>
              <w:right w:w="20" w:type="dxa"/>
            </w:tcMar>
            <w:vAlign w:val="bottom"/>
          </w:tcPr>
          <w:p w14:paraId="74DD652B" w14:textId="77777777" w:rsidR="00584EC1" w:rsidRDefault="00871F8D">
            <w:pPr>
              <w:textAlignment w:val="bottom"/>
            </w:pPr>
            <w:r>
              <w:rPr>
                <w:rFonts w:ascii="Arial" w:eastAsia="宋体" w:hAnsi="Arial" w:cs="Arial"/>
                <w:color w:val="000000"/>
                <w:sz w:val="15"/>
                <w:szCs w:val="15"/>
              </w:rPr>
              <w:t>Management fees</w:t>
            </w:r>
            <w:r>
              <w:rPr>
                <w:rFonts w:ascii="Arial" w:eastAsia="宋体" w:hAnsi="Arial" w:cs="Arial"/>
                <w:color w:val="000000"/>
                <w:sz w:val="9"/>
                <w:szCs w:val="9"/>
              </w:rPr>
              <w:t>(1)</w:t>
            </w:r>
          </w:p>
        </w:tc>
        <w:tc>
          <w:tcPr>
            <w:tcW w:w="0" w:type="auto"/>
            <w:gridSpan w:val="2"/>
            <w:shd w:val="clear" w:color="auto" w:fill="FFFFFF"/>
            <w:tcMar>
              <w:top w:w="40" w:type="dxa"/>
              <w:left w:w="20" w:type="dxa"/>
              <w:bottom w:w="40" w:type="dxa"/>
              <w:right w:w="0" w:type="dxa"/>
            </w:tcMar>
            <w:vAlign w:val="bottom"/>
          </w:tcPr>
          <w:p w14:paraId="74DD652C" w14:textId="77777777" w:rsidR="00584EC1" w:rsidRDefault="00871F8D">
            <w:pPr>
              <w:jc w:val="right"/>
              <w:textAlignment w:val="bottom"/>
            </w:pPr>
            <w:r>
              <w:rPr>
                <w:rFonts w:ascii="Arial" w:eastAsia="宋体" w:hAnsi="Arial" w:cs="Arial"/>
                <w:b/>
                <w:bCs/>
                <w:color w:val="000000"/>
                <w:sz w:val="15"/>
                <w:szCs w:val="15"/>
              </w:rPr>
              <w:t>526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652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52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52F" w14:textId="77777777" w:rsidR="00584EC1" w:rsidRDefault="00871F8D">
            <w:pPr>
              <w:jc w:val="right"/>
              <w:textAlignment w:val="bottom"/>
            </w:pPr>
            <w:r>
              <w:rPr>
                <w:rFonts w:ascii="Arial" w:eastAsia="宋体" w:hAnsi="Arial" w:cs="Arial"/>
                <w:color w:val="000000"/>
                <w:sz w:val="15"/>
                <w:szCs w:val="15"/>
              </w:rPr>
              <w:t>479 </w:t>
            </w:r>
          </w:p>
        </w:tc>
        <w:tc>
          <w:tcPr>
            <w:tcW w:w="0" w:type="auto"/>
            <w:shd w:val="clear" w:color="auto" w:fill="FFFFFF"/>
            <w:tcMar>
              <w:top w:w="40" w:type="dxa"/>
              <w:left w:w="0" w:type="dxa"/>
              <w:bottom w:w="40" w:type="dxa"/>
              <w:right w:w="20" w:type="dxa"/>
            </w:tcMar>
            <w:vAlign w:val="bottom"/>
          </w:tcPr>
          <w:p w14:paraId="74DD6530" w14:textId="77777777" w:rsidR="00584EC1" w:rsidRDefault="00584EC1">
            <w:pPr>
              <w:jc w:val="right"/>
              <w:rPr>
                <w:rFonts w:ascii="宋体"/>
              </w:rPr>
            </w:pPr>
          </w:p>
        </w:tc>
        <w:tc>
          <w:tcPr>
            <w:tcW w:w="0" w:type="auto"/>
            <w:shd w:val="clear" w:color="auto" w:fill="auto"/>
            <w:vAlign w:val="bottom"/>
          </w:tcPr>
          <w:p w14:paraId="74DD6531" w14:textId="77777777" w:rsidR="00584EC1" w:rsidRDefault="00584EC1">
            <w:pPr>
              <w:rPr>
                <w:rFonts w:ascii="宋体"/>
                <w:vanish/>
              </w:rPr>
            </w:pPr>
          </w:p>
        </w:tc>
        <w:tc>
          <w:tcPr>
            <w:tcW w:w="0" w:type="auto"/>
            <w:shd w:val="clear" w:color="auto" w:fill="auto"/>
            <w:vAlign w:val="bottom"/>
          </w:tcPr>
          <w:p w14:paraId="74DD6532" w14:textId="77777777" w:rsidR="00584EC1" w:rsidRDefault="00584EC1">
            <w:pPr>
              <w:rPr>
                <w:rFonts w:ascii="宋体"/>
                <w:vanish/>
              </w:rPr>
            </w:pPr>
          </w:p>
        </w:tc>
        <w:tc>
          <w:tcPr>
            <w:tcW w:w="0" w:type="auto"/>
            <w:gridSpan w:val="3"/>
            <w:shd w:val="clear" w:color="auto" w:fill="FFFFFF"/>
            <w:tcMar>
              <w:top w:w="0" w:type="dxa"/>
              <w:left w:w="20" w:type="dxa"/>
              <w:bottom w:w="0" w:type="dxa"/>
              <w:right w:w="20" w:type="dxa"/>
            </w:tcMar>
            <w:vAlign w:val="bottom"/>
          </w:tcPr>
          <w:p w14:paraId="74DD653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534" w14:textId="77777777" w:rsidR="00584EC1" w:rsidRDefault="00871F8D">
            <w:pPr>
              <w:jc w:val="right"/>
              <w:textAlignment w:val="bottom"/>
            </w:pPr>
            <w:r>
              <w:rPr>
                <w:rFonts w:ascii="Arial" w:eastAsia="宋体" w:hAnsi="Arial" w:cs="Arial"/>
                <w:color w:val="000000"/>
                <w:sz w:val="15"/>
                <w:szCs w:val="15"/>
              </w:rPr>
              <w:t>10 </w:t>
            </w:r>
          </w:p>
        </w:tc>
        <w:tc>
          <w:tcPr>
            <w:tcW w:w="0" w:type="auto"/>
            <w:shd w:val="clear" w:color="auto" w:fill="FFFFFF"/>
            <w:tcMar>
              <w:top w:w="40" w:type="dxa"/>
              <w:left w:w="0" w:type="dxa"/>
              <w:bottom w:w="40" w:type="dxa"/>
              <w:right w:w="20" w:type="dxa"/>
            </w:tcMar>
            <w:vAlign w:val="bottom"/>
          </w:tcPr>
          <w:p w14:paraId="74DD6535" w14:textId="77777777" w:rsidR="00584EC1" w:rsidRDefault="00584EC1">
            <w:pPr>
              <w:jc w:val="right"/>
              <w:rPr>
                <w:rFonts w:ascii="宋体"/>
              </w:rPr>
            </w:pPr>
          </w:p>
        </w:tc>
        <w:tc>
          <w:tcPr>
            <w:tcW w:w="0" w:type="auto"/>
            <w:gridSpan w:val="3"/>
            <w:shd w:val="clear" w:color="auto" w:fill="auto"/>
            <w:vAlign w:val="bottom"/>
          </w:tcPr>
          <w:p w14:paraId="74DD6536" w14:textId="77777777" w:rsidR="00584EC1" w:rsidRDefault="00584EC1">
            <w:pPr>
              <w:rPr>
                <w:rFonts w:ascii="宋体"/>
                <w:vanish/>
              </w:rPr>
            </w:pPr>
          </w:p>
        </w:tc>
        <w:tc>
          <w:tcPr>
            <w:tcW w:w="0" w:type="auto"/>
            <w:gridSpan w:val="3"/>
            <w:shd w:val="clear" w:color="auto" w:fill="auto"/>
            <w:vAlign w:val="bottom"/>
          </w:tcPr>
          <w:p w14:paraId="74DD6537" w14:textId="77777777" w:rsidR="00584EC1" w:rsidRDefault="00584EC1">
            <w:pPr>
              <w:rPr>
                <w:rFonts w:ascii="宋体"/>
                <w:vanish/>
              </w:rPr>
            </w:pPr>
          </w:p>
        </w:tc>
        <w:tc>
          <w:tcPr>
            <w:tcW w:w="0" w:type="auto"/>
            <w:gridSpan w:val="3"/>
            <w:shd w:val="clear" w:color="auto" w:fill="auto"/>
            <w:vAlign w:val="bottom"/>
          </w:tcPr>
          <w:p w14:paraId="74DD6538" w14:textId="77777777" w:rsidR="00584EC1" w:rsidRDefault="00584EC1">
            <w:pPr>
              <w:rPr>
                <w:rFonts w:ascii="宋体"/>
                <w:vanish/>
              </w:rPr>
            </w:pPr>
          </w:p>
        </w:tc>
      </w:tr>
      <w:tr w:rsidR="00584EC1" w14:paraId="74DD6548" w14:textId="77777777">
        <w:tc>
          <w:tcPr>
            <w:tcW w:w="0" w:type="auto"/>
            <w:gridSpan w:val="3"/>
            <w:shd w:val="clear" w:color="auto" w:fill="CCEEFF"/>
            <w:tcMar>
              <w:top w:w="40" w:type="dxa"/>
              <w:left w:w="20" w:type="dxa"/>
              <w:bottom w:w="40" w:type="dxa"/>
              <w:right w:w="20" w:type="dxa"/>
            </w:tcMar>
            <w:vAlign w:val="bottom"/>
          </w:tcPr>
          <w:p w14:paraId="74DD653A" w14:textId="77777777" w:rsidR="00584EC1" w:rsidRDefault="00871F8D">
            <w:pPr>
              <w:textAlignment w:val="bottom"/>
            </w:pPr>
            <w:r>
              <w:rPr>
                <w:rFonts w:ascii="Arial" w:eastAsia="宋体" w:hAnsi="Arial" w:cs="Arial"/>
                <w:color w:val="000000"/>
                <w:sz w:val="15"/>
                <w:szCs w:val="15"/>
              </w:rPr>
              <w:t>Fo</w:t>
            </w:r>
            <w:r>
              <w:rPr>
                <w:rFonts w:ascii="Arial" w:eastAsia="宋体" w:hAnsi="Arial" w:cs="Arial"/>
                <w:color w:val="000000"/>
                <w:sz w:val="15"/>
                <w:szCs w:val="15"/>
              </w:rPr>
              <w:t>reign exchange trading services</w:t>
            </w:r>
            <w:r>
              <w:rPr>
                <w:rFonts w:ascii="Arial" w:eastAsia="宋体" w:hAnsi="Arial" w:cs="Arial"/>
                <w:color w:val="000000"/>
                <w:sz w:val="9"/>
                <w:szCs w:val="9"/>
              </w:rPr>
              <w:t>(1)</w:t>
            </w:r>
          </w:p>
        </w:tc>
        <w:tc>
          <w:tcPr>
            <w:tcW w:w="0" w:type="auto"/>
            <w:gridSpan w:val="2"/>
            <w:shd w:val="clear" w:color="auto" w:fill="CCEEFF"/>
            <w:tcMar>
              <w:top w:w="40" w:type="dxa"/>
              <w:left w:w="20" w:type="dxa"/>
              <w:bottom w:w="40" w:type="dxa"/>
              <w:right w:w="0" w:type="dxa"/>
            </w:tcMar>
            <w:vAlign w:val="bottom"/>
          </w:tcPr>
          <w:p w14:paraId="74DD653B" w14:textId="77777777" w:rsidR="00584EC1" w:rsidRDefault="00871F8D">
            <w:pPr>
              <w:jc w:val="right"/>
              <w:textAlignment w:val="bottom"/>
            </w:pPr>
            <w:r>
              <w:rPr>
                <w:rFonts w:ascii="Arial" w:eastAsia="宋体" w:hAnsi="Arial" w:cs="Arial"/>
                <w:b/>
                <w:bCs/>
                <w:color w:val="000000"/>
                <w:sz w:val="15"/>
                <w:szCs w:val="15"/>
              </w:rPr>
              <w:t>279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653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53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53E" w14:textId="77777777" w:rsidR="00584EC1" w:rsidRDefault="00871F8D">
            <w:pPr>
              <w:jc w:val="right"/>
              <w:textAlignment w:val="bottom"/>
            </w:pPr>
            <w:r>
              <w:rPr>
                <w:rFonts w:ascii="Arial" w:eastAsia="宋体" w:hAnsi="Arial" w:cs="Arial"/>
                <w:color w:val="000000"/>
                <w:sz w:val="15"/>
                <w:szCs w:val="15"/>
              </w:rPr>
              <w:t>270 </w:t>
            </w:r>
          </w:p>
        </w:tc>
        <w:tc>
          <w:tcPr>
            <w:tcW w:w="0" w:type="auto"/>
            <w:shd w:val="clear" w:color="auto" w:fill="CCEEFF"/>
            <w:tcMar>
              <w:top w:w="40" w:type="dxa"/>
              <w:left w:w="0" w:type="dxa"/>
              <w:bottom w:w="40" w:type="dxa"/>
              <w:right w:w="20" w:type="dxa"/>
            </w:tcMar>
            <w:vAlign w:val="bottom"/>
          </w:tcPr>
          <w:p w14:paraId="74DD653F" w14:textId="77777777" w:rsidR="00584EC1" w:rsidRDefault="00584EC1">
            <w:pPr>
              <w:jc w:val="right"/>
              <w:rPr>
                <w:rFonts w:ascii="宋体"/>
              </w:rPr>
            </w:pPr>
          </w:p>
        </w:tc>
        <w:tc>
          <w:tcPr>
            <w:tcW w:w="0" w:type="auto"/>
            <w:shd w:val="clear" w:color="auto" w:fill="auto"/>
            <w:vAlign w:val="bottom"/>
          </w:tcPr>
          <w:p w14:paraId="74DD6540" w14:textId="77777777" w:rsidR="00584EC1" w:rsidRDefault="00584EC1">
            <w:pPr>
              <w:rPr>
                <w:rFonts w:ascii="宋体"/>
                <w:vanish/>
              </w:rPr>
            </w:pPr>
          </w:p>
        </w:tc>
        <w:tc>
          <w:tcPr>
            <w:tcW w:w="0" w:type="auto"/>
            <w:shd w:val="clear" w:color="auto" w:fill="auto"/>
            <w:vAlign w:val="bottom"/>
          </w:tcPr>
          <w:p w14:paraId="74DD6541" w14:textId="77777777" w:rsidR="00584EC1" w:rsidRDefault="00584EC1">
            <w:pPr>
              <w:rPr>
                <w:rFonts w:ascii="宋体"/>
                <w:vanish/>
              </w:rPr>
            </w:pPr>
          </w:p>
        </w:tc>
        <w:tc>
          <w:tcPr>
            <w:tcW w:w="0" w:type="auto"/>
            <w:gridSpan w:val="3"/>
            <w:shd w:val="clear" w:color="auto" w:fill="CCEEFF"/>
            <w:tcMar>
              <w:top w:w="0" w:type="dxa"/>
              <w:left w:w="20" w:type="dxa"/>
              <w:bottom w:w="0" w:type="dxa"/>
              <w:right w:w="20" w:type="dxa"/>
            </w:tcMar>
            <w:vAlign w:val="bottom"/>
          </w:tcPr>
          <w:p w14:paraId="74DD6542"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543" w14:textId="77777777" w:rsidR="00584EC1" w:rsidRDefault="00871F8D">
            <w:pPr>
              <w:jc w:val="right"/>
              <w:textAlignment w:val="bottom"/>
            </w:pPr>
            <w:r>
              <w:rPr>
                <w:rFonts w:ascii="Arial" w:eastAsia="宋体" w:hAnsi="Arial" w:cs="Arial"/>
                <w:color w:val="000000"/>
                <w:sz w:val="15"/>
                <w:szCs w:val="15"/>
              </w:rPr>
              <w:t>3 </w:t>
            </w:r>
          </w:p>
        </w:tc>
        <w:tc>
          <w:tcPr>
            <w:tcW w:w="0" w:type="auto"/>
            <w:shd w:val="clear" w:color="auto" w:fill="CCEEFF"/>
            <w:tcMar>
              <w:top w:w="40" w:type="dxa"/>
              <w:left w:w="0" w:type="dxa"/>
              <w:bottom w:w="40" w:type="dxa"/>
              <w:right w:w="20" w:type="dxa"/>
            </w:tcMar>
            <w:vAlign w:val="bottom"/>
          </w:tcPr>
          <w:p w14:paraId="74DD6544" w14:textId="77777777" w:rsidR="00584EC1" w:rsidRDefault="00584EC1">
            <w:pPr>
              <w:jc w:val="right"/>
              <w:rPr>
                <w:rFonts w:ascii="宋体"/>
              </w:rPr>
            </w:pPr>
          </w:p>
        </w:tc>
        <w:tc>
          <w:tcPr>
            <w:tcW w:w="0" w:type="auto"/>
            <w:gridSpan w:val="3"/>
            <w:shd w:val="clear" w:color="auto" w:fill="auto"/>
            <w:vAlign w:val="bottom"/>
          </w:tcPr>
          <w:p w14:paraId="74DD6545" w14:textId="77777777" w:rsidR="00584EC1" w:rsidRDefault="00584EC1">
            <w:pPr>
              <w:rPr>
                <w:rFonts w:ascii="宋体"/>
                <w:vanish/>
              </w:rPr>
            </w:pPr>
          </w:p>
        </w:tc>
        <w:tc>
          <w:tcPr>
            <w:tcW w:w="0" w:type="auto"/>
            <w:gridSpan w:val="3"/>
            <w:shd w:val="clear" w:color="auto" w:fill="auto"/>
            <w:vAlign w:val="bottom"/>
          </w:tcPr>
          <w:p w14:paraId="74DD6546" w14:textId="77777777" w:rsidR="00584EC1" w:rsidRDefault="00584EC1">
            <w:pPr>
              <w:rPr>
                <w:rFonts w:ascii="宋体"/>
                <w:vanish/>
              </w:rPr>
            </w:pPr>
          </w:p>
        </w:tc>
        <w:tc>
          <w:tcPr>
            <w:tcW w:w="0" w:type="auto"/>
            <w:gridSpan w:val="3"/>
            <w:shd w:val="clear" w:color="auto" w:fill="auto"/>
            <w:vAlign w:val="bottom"/>
          </w:tcPr>
          <w:p w14:paraId="74DD6547" w14:textId="77777777" w:rsidR="00584EC1" w:rsidRDefault="00584EC1">
            <w:pPr>
              <w:rPr>
                <w:rFonts w:ascii="宋体"/>
                <w:vanish/>
              </w:rPr>
            </w:pPr>
          </w:p>
        </w:tc>
      </w:tr>
      <w:tr w:rsidR="00584EC1" w14:paraId="74DD6557" w14:textId="77777777">
        <w:tc>
          <w:tcPr>
            <w:tcW w:w="0" w:type="auto"/>
            <w:gridSpan w:val="3"/>
            <w:shd w:val="clear" w:color="auto" w:fill="FFFFFF"/>
            <w:tcMar>
              <w:top w:w="40" w:type="dxa"/>
              <w:left w:w="140" w:type="dxa"/>
              <w:bottom w:w="40" w:type="dxa"/>
              <w:right w:w="20" w:type="dxa"/>
            </w:tcMar>
            <w:vAlign w:val="bottom"/>
          </w:tcPr>
          <w:p w14:paraId="74DD6549" w14:textId="77777777" w:rsidR="00584EC1" w:rsidRDefault="00871F8D">
            <w:pPr>
              <w:textAlignment w:val="bottom"/>
            </w:pPr>
            <w:r>
              <w:rPr>
                <w:rFonts w:ascii="Arial" w:eastAsia="宋体" w:hAnsi="Arial" w:cs="Arial"/>
                <w:color w:val="000000"/>
                <w:sz w:val="15"/>
                <w:szCs w:val="15"/>
              </w:rPr>
              <w:t>Se</w:t>
            </w:r>
            <w:r>
              <w:rPr>
                <w:rFonts w:ascii="Arial" w:eastAsia="宋体" w:hAnsi="Arial" w:cs="Arial"/>
                <w:color w:val="000000"/>
                <w:sz w:val="15"/>
                <w:szCs w:val="15"/>
              </w:rPr>
              <w:t>curities finance</w:t>
            </w:r>
          </w:p>
        </w:tc>
        <w:tc>
          <w:tcPr>
            <w:tcW w:w="0" w:type="auto"/>
            <w:gridSpan w:val="2"/>
            <w:shd w:val="clear" w:color="auto" w:fill="FFFFFF"/>
            <w:tcMar>
              <w:top w:w="40" w:type="dxa"/>
              <w:left w:w="20" w:type="dxa"/>
              <w:bottom w:w="40" w:type="dxa"/>
              <w:right w:w="0" w:type="dxa"/>
            </w:tcMar>
            <w:vAlign w:val="bottom"/>
          </w:tcPr>
          <w:p w14:paraId="74DD654A" w14:textId="77777777" w:rsidR="00584EC1" w:rsidRDefault="00871F8D">
            <w:pPr>
              <w:jc w:val="right"/>
              <w:textAlignment w:val="bottom"/>
            </w:pPr>
            <w:r>
              <w:rPr>
                <w:rFonts w:ascii="Arial" w:eastAsia="宋体" w:hAnsi="Arial" w:cs="Arial"/>
                <w:b/>
                <w:bCs/>
                <w:color w:val="000000"/>
                <w:sz w:val="15"/>
                <w:szCs w:val="15"/>
              </w:rPr>
              <w:t>106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654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54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54D" w14:textId="77777777" w:rsidR="00584EC1" w:rsidRDefault="00871F8D">
            <w:pPr>
              <w:jc w:val="right"/>
              <w:textAlignment w:val="bottom"/>
            </w:pPr>
            <w:r>
              <w:rPr>
                <w:rFonts w:ascii="Arial" w:eastAsia="宋体" w:hAnsi="Arial" w:cs="Arial"/>
                <w:color w:val="000000"/>
                <w:sz w:val="15"/>
                <w:szCs w:val="15"/>
              </w:rPr>
              <w:t>84 </w:t>
            </w:r>
          </w:p>
        </w:tc>
        <w:tc>
          <w:tcPr>
            <w:tcW w:w="0" w:type="auto"/>
            <w:shd w:val="clear" w:color="auto" w:fill="FFFFFF"/>
            <w:tcMar>
              <w:top w:w="40" w:type="dxa"/>
              <w:left w:w="0" w:type="dxa"/>
              <w:bottom w:w="40" w:type="dxa"/>
              <w:right w:w="20" w:type="dxa"/>
            </w:tcMar>
            <w:vAlign w:val="bottom"/>
          </w:tcPr>
          <w:p w14:paraId="74DD654E" w14:textId="77777777" w:rsidR="00584EC1" w:rsidRDefault="00584EC1">
            <w:pPr>
              <w:jc w:val="right"/>
              <w:rPr>
                <w:rFonts w:ascii="宋体"/>
              </w:rPr>
            </w:pPr>
          </w:p>
        </w:tc>
        <w:tc>
          <w:tcPr>
            <w:tcW w:w="0" w:type="auto"/>
            <w:shd w:val="clear" w:color="auto" w:fill="auto"/>
            <w:vAlign w:val="bottom"/>
          </w:tcPr>
          <w:p w14:paraId="74DD654F" w14:textId="77777777" w:rsidR="00584EC1" w:rsidRDefault="00584EC1">
            <w:pPr>
              <w:rPr>
                <w:rFonts w:ascii="宋体"/>
                <w:vanish/>
              </w:rPr>
            </w:pPr>
          </w:p>
        </w:tc>
        <w:tc>
          <w:tcPr>
            <w:tcW w:w="0" w:type="auto"/>
            <w:shd w:val="clear" w:color="auto" w:fill="auto"/>
            <w:vAlign w:val="bottom"/>
          </w:tcPr>
          <w:p w14:paraId="74DD6550" w14:textId="77777777" w:rsidR="00584EC1" w:rsidRDefault="00584EC1">
            <w:pPr>
              <w:rPr>
                <w:rFonts w:ascii="宋体"/>
                <w:vanish/>
              </w:rPr>
            </w:pPr>
          </w:p>
        </w:tc>
        <w:tc>
          <w:tcPr>
            <w:tcW w:w="0" w:type="auto"/>
            <w:gridSpan w:val="3"/>
            <w:shd w:val="clear" w:color="auto" w:fill="FFFFFF"/>
            <w:tcMar>
              <w:top w:w="0" w:type="dxa"/>
              <w:left w:w="20" w:type="dxa"/>
              <w:bottom w:w="0" w:type="dxa"/>
              <w:right w:w="20" w:type="dxa"/>
            </w:tcMar>
            <w:vAlign w:val="bottom"/>
          </w:tcPr>
          <w:p w14:paraId="74DD655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552" w14:textId="77777777" w:rsidR="00584EC1" w:rsidRDefault="00871F8D">
            <w:pPr>
              <w:jc w:val="right"/>
              <w:textAlignment w:val="bottom"/>
            </w:pPr>
            <w:r>
              <w:rPr>
                <w:rFonts w:ascii="Arial" w:eastAsia="宋体" w:hAnsi="Arial" w:cs="Arial"/>
                <w:color w:val="000000"/>
                <w:sz w:val="15"/>
                <w:szCs w:val="15"/>
              </w:rPr>
              <w:t>26 </w:t>
            </w:r>
          </w:p>
        </w:tc>
        <w:tc>
          <w:tcPr>
            <w:tcW w:w="0" w:type="auto"/>
            <w:shd w:val="clear" w:color="auto" w:fill="FFFFFF"/>
            <w:tcMar>
              <w:top w:w="40" w:type="dxa"/>
              <w:left w:w="0" w:type="dxa"/>
              <w:bottom w:w="40" w:type="dxa"/>
              <w:right w:w="20" w:type="dxa"/>
            </w:tcMar>
            <w:vAlign w:val="bottom"/>
          </w:tcPr>
          <w:p w14:paraId="74DD6553" w14:textId="77777777" w:rsidR="00584EC1" w:rsidRDefault="00584EC1">
            <w:pPr>
              <w:jc w:val="right"/>
              <w:rPr>
                <w:rFonts w:ascii="宋体"/>
              </w:rPr>
            </w:pPr>
          </w:p>
        </w:tc>
        <w:tc>
          <w:tcPr>
            <w:tcW w:w="0" w:type="auto"/>
            <w:gridSpan w:val="3"/>
            <w:shd w:val="clear" w:color="auto" w:fill="auto"/>
            <w:vAlign w:val="bottom"/>
          </w:tcPr>
          <w:p w14:paraId="74DD6554" w14:textId="77777777" w:rsidR="00584EC1" w:rsidRDefault="00584EC1">
            <w:pPr>
              <w:rPr>
                <w:rFonts w:ascii="宋体"/>
                <w:vanish/>
              </w:rPr>
            </w:pPr>
          </w:p>
        </w:tc>
        <w:tc>
          <w:tcPr>
            <w:tcW w:w="0" w:type="auto"/>
            <w:gridSpan w:val="3"/>
            <w:shd w:val="clear" w:color="auto" w:fill="auto"/>
            <w:vAlign w:val="bottom"/>
          </w:tcPr>
          <w:p w14:paraId="74DD6555" w14:textId="77777777" w:rsidR="00584EC1" w:rsidRDefault="00584EC1">
            <w:pPr>
              <w:rPr>
                <w:rFonts w:ascii="宋体"/>
                <w:vanish/>
              </w:rPr>
            </w:pPr>
          </w:p>
        </w:tc>
        <w:tc>
          <w:tcPr>
            <w:tcW w:w="0" w:type="auto"/>
            <w:gridSpan w:val="3"/>
            <w:shd w:val="clear" w:color="auto" w:fill="auto"/>
            <w:vAlign w:val="bottom"/>
          </w:tcPr>
          <w:p w14:paraId="74DD6556" w14:textId="77777777" w:rsidR="00584EC1" w:rsidRDefault="00584EC1">
            <w:pPr>
              <w:rPr>
                <w:rFonts w:ascii="宋体"/>
                <w:vanish/>
              </w:rPr>
            </w:pPr>
          </w:p>
        </w:tc>
      </w:tr>
      <w:tr w:rsidR="00584EC1" w14:paraId="74DD6566" w14:textId="77777777">
        <w:tc>
          <w:tcPr>
            <w:tcW w:w="0" w:type="auto"/>
            <w:gridSpan w:val="3"/>
            <w:shd w:val="clear" w:color="auto" w:fill="CCEEFF"/>
            <w:tcMar>
              <w:top w:w="40" w:type="dxa"/>
              <w:left w:w="140" w:type="dxa"/>
              <w:bottom w:w="40" w:type="dxa"/>
              <w:right w:w="20" w:type="dxa"/>
            </w:tcMar>
            <w:vAlign w:val="bottom"/>
          </w:tcPr>
          <w:p w14:paraId="74DD6558" w14:textId="77777777" w:rsidR="00584EC1" w:rsidRDefault="00871F8D">
            <w:pPr>
              <w:textAlignment w:val="bottom"/>
            </w:pPr>
            <w:r>
              <w:rPr>
                <w:rFonts w:ascii="Arial" w:eastAsia="宋体" w:hAnsi="Arial" w:cs="Arial"/>
                <w:color w:val="000000"/>
                <w:sz w:val="15"/>
                <w:szCs w:val="15"/>
              </w:rPr>
              <w:t>Software and processing fees</w:t>
            </w:r>
          </w:p>
        </w:tc>
        <w:tc>
          <w:tcPr>
            <w:tcW w:w="0" w:type="auto"/>
            <w:gridSpan w:val="2"/>
            <w:shd w:val="clear" w:color="auto" w:fill="CCEEFF"/>
            <w:tcMar>
              <w:top w:w="40" w:type="dxa"/>
              <w:left w:w="20" w:type="dxa"/>
              <w:bottom w:w="40" w:type="dxa"/>
              <w:right w:w="0" w:type="dxa"/>
            </w:tcMar>
            <w:vAlign w:val="bottom"/>
          </w:tcPr>
          <w:p w14:paraId="74DD6559" w14:textId="77777777" w:rsidR="00584EC1" w:rsidRDefault="00871F8D">
            <w:pPr>
              <w:jc w:val="right"/>
              <w:textAlignment w:val="bottom"/>
            </w:pPr>
            <w:r>
              <w:rPr>
                <w:rFonts w:ascii="Arial" w:eastAsia="宋体" w:hAnsi="Arial" w:cs="Arial"/>
                <w:b/>
                <w:bCs/>
                <w:color w:val="000000"/>
                <w:sz w:val="15"/>
                <w:szCs w:val="15"/>
              </w:rPr>
              <w:t>198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655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55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55C" w14:textId="77777777" w:rsidR="00584EC1" w:rsidRDefault="00871F8D">
            <w:pPr>
              <w:jc w:val="right"/>
              <w:textAlignment w:val="bottom"/>
            </w:pPr>
            <w:r>
              <w:rPr>
                <w:rFonts w:ascii="Arial" w:eastAsia="宋体" w:hAnsi="Arial" w:cs="Arial"/>
                <w:color w:val="000000"/>
                <w:sz w:val="15"/>
                <w:szCs w:val="15"/>
              </w:rPr>
              <w:t>172 </w:t>
            </w:r>
          </w:p>
        </w:tc>
        <w:tc>
          <w:tcPr>
            <w:tcW w:w="0" w:type="auto"/>
            <w:shd w:val="clear" w:color="auto" w:fill="CCEEFF"/>
            <w:tcMar>
              <w:top w:w="40" w:type="dxa"/>
              <w:left w:w="0" w:type="dxa"/>
              <w:bottom w:w="40" w:type="dxa"/>
              <w:right w:w="20" w:type="dxa"/>
            </w:tcMar>
            <w:vAlign w:val="bottom"/>
          </w:tcPr>
          <w:p w14:paraId="74DD655D" w14:textId="77777777" w:rsidR="00584EC1" w:rsidRDefault="00584EC1">
            <w:pPr>
              <w:jc w:val="right"/>
              <w:rPr>
                <w:rFonts w:ascii="宋体"/>
              </w:rPr>
            </w:pPr>
          </w:p>
        </w:tc>
        <w:tc>
          <w:tcPr>
            <w:tcW w:w="0" w:type="auto"/>
            <w:shd w:val="clear" w:color="auto" w:fill="auto"/>
            <w:vAlign w:val="bottom"/>
          </w:tcPr>
          <w:p w14:paraId="74DD655E" w14:textId="77777777" w:rsidR="00584EC1" w:rsidRDefault="00584EC1">
            <w:pPr>
              <w:rPr>
                <w:rFonts w:ascii="宋体"/>
                <w:vanish/>
              </w:rPr>
            </w:pPr>
          </w:p>
        </w:tc>
        <w:tc>
          <w:tcPr>
            <w:tcW w:w="0" w:type="auto"/>
            <w:shd w:val="clear" w:color="auto" w:fill="auto"/>
            <w:vAlign w:val="bottom"/>
          </w:tcPr>
          <w:p w14:paraId="74DD655F" w14:textId="77777777" w:rsidR="00584EC1" w:rsidRDefault="00584EC1">
            <w:pPr>
              <w:rPr>
                <w:rFonts w:ascii="宋体"/>
                <w:vanish/>
              </w:rPr>
            </w:pPr>
          </w:p>
        </w:tc>
        <w:tc>
          <w:tcPr>
            <w:tcW w:w="0" w:type="auto"/>
            <w:gridSpan w:val="3"/>
            <w:shd w:val="clear" w:color="auto" w:fill="CCEEFF"/>
            <w:tcMar>
              <w:top w:w="0" w:type="dxa"/>
              <w:left w:w="20" w:type="dxa"/>
              <w:bottom w:w="0" w:type="dxa"/>
              <w:right w:w="20" w:type="dxa"/>
            </w:tcMar>
            <w:vAlign w:val="bottom"/>
          </w:tcPr>
          <w:p w14:paraId="74DD656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561" w14:textId="77777777" w:rsidR="00584EC1" w:rsidRDefault="00871F8D">
            <w:pPr>
              <w:jc w:val="right"/>
              <w:textAlignment w:val="bottom"/>
            </w:pPr>
            <w:r>
              <w:rPr>
                <w:rFonts w:ascii="Arial" w:eastAsia="宋体" w:hAnsi="Arial" w:cs="Arial"/>
                <w:color w:val="000000"/>
                <w:sz w:val="15"/>
                <w:szCs w:val="15"/>
              </w:rPr>
              <w:t>15 </w:t>
            </w:r>
          </w:p>
        </w:tc>
        <w:tc>
          <w:tcPr>
            <w:tcW w:w="0" w:type="auto"/>
            <w:shd w:val="clear" w:color="auto" w:fill="CCEEFF"/>
            <w:tcMar>
              <w:top w:w="40" w:type="dxa"/>
              <w:left w:w="0" w:type="dxa"/>
              <w:bottom w:w="40" w:type="dxa"/>
              <w:right w:w="20" w:type="dxa"/>
            </w:tcMar>
            <w:vAlign w:val="bottom"/>
          </w:tcPr>
          <w:p w14:paraId="74DD6562" w14:textId="77777777" w:rsidR="00584EC1" w:rsidRDefault="00584EC1">
            <w:pPr>
              <w:jc w:val="right"/>
              <w:rPr>
                <w:rFonts w:ascii="宋体"/>
              </w:rPr>
            </w:pPr>
          </w:p>
        </w:tc>
        <w:tc>
          <w:tcPr>
            <w:tcW w:w="0" w:type="auto"/>
            <w:gridSpan w:val="3"/>
            <w:shd w:val="clear" w:color="auto" w:fill="auto"/>
            <w:vAlign w:val="bottom"/>
          </w:tcPr>
          <w:p w14:paraId="74DD6563" w14:textId="77777777" w:rsidR="00584EC1" w:rsidRDefault="00584EC1">
            <w:pPr>
              <w:rPr>
                <w:rFonts w:ascii="宋体"/>
                <w:vanish/>
              </w:rPr>
            </w:pPr>
          </w:p>
        </w:tc>
        <w:tc>
          <w:tcPr>
            <w:tcW w:w="0" w:type="auto"/>
            <w:gridSpan w:val="3"/>
            <w:shd w:val="clear" w:color="auto" w:fill="auto"/>
            <w:vAlign w:val="bottom"/>
          </w:tcPr>
          <w:p w14:paraId="74DD6564" w14:textId="77777777" w:rsidR="00584EC1" w:rsidRDefault="00584EC1">
            <w:pPr>
              <w:rPr>
                <w:rFonts w:ascii="宋体"/>
                <w:vanish/>
              </w:rPr>
            </w:pPr>
          </w:p>
        </w:tc>
        <w:tc>
          <w:tcPr>
            <w:tcW w:w="0" w:type="auto"/>
            <w:gridSpan w:val="3"/>
            <w:shd w:val="clear" w:color="auto" w:fill="auto"/>
            <w:vAlign w:val="bottom"/>
          </w:tcPr>
          <w:p w14:paraId="74DD6565" w14:textId="77777777" w:rsidR="00584EC1" w:rsidRDefault="00584EC1">
            <w:pPr>
              <w:rPr>
                <w:rFonts w:ascii="宋体"/>
                <w:vanish/>
              </w:rPr>
            </w:pPr>
          </w:p>
        </w:tc>
      </w:tr>
      <w:tr w:rsidR="00584EC1" w14:paraId="74DD6575" w14:textId="77777777">
        <w:tc>
          <w:tcPr>
            <w:tcW w:w="0" w:type="auto"/>
            <w:gridSpan w:val="3"/>
            <w:shd w:val="clear" w:color="auto" w:fill="FFFFFF"/>
            <w:tcMar>
              <w:top w:w="40" w:type="dxa"/>
              <w:left w:w="20" w:type="dxa"/>
              <w:bottom w:w="40" w:type="dxa"/>
              <w:right w:w="20" w:type="dxa"/>
            </w:tcMar>
            <w:vAlign w:val="bottom"/>
          </w:tcPr>
          <w:p w14:paraId="74DD6567" w14:textId="77777777" w:rsidR="00584EC1" w:rsidRDefault="00871F8D">
            <w:pPr>
              <w:textAlignment w:val="bottom"/>
            </w:pPr>
            <w:r>
              <w:rPr>
                <w:rFonts w:ascii="Arial" w:eastAsia="宋体" w:hAnsi="Arial" w:cs="Arial"/>
                <w:color w:val="000000"/>
                <w:sz w:val="15"/>
                <w:szCs w:val="15"/>
              </w:rPr>
              <w:t>Total fee 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6568" w14:textId="77777777" w:rsidR="00584EC1" w:rsidRDefault="00871F8D">
            <w:pPr>
              <w:jc w:val="right"/>
              <w:textAlignment w:val="bottom"/>
            </w:pPr>
            <w:r>
              <w:rPr>
                <w:rFonts w:ascii="Arial" w:eastAsia="宋体" w:hAnsi="Arial" w:cs="Arial"/>
                <w:b/>
                <w:bCs/>
                <w:color w:val="000000"/>
                <w:sz w:val="15"/>
                <w:szCs w:val="15"/>
              </w:rPr>
              <w:t>2,504</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656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56A"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656B" w14:textId="77777777" w:rsidR="00584EC1" w:rsidRDefault="00871F8D">
            <w:pPr>
              <w:jc w:val="right"/>
              <w:textAlignment w:val="bottom"/>
            </w:pPr>
            <w:r>
              <w:rPr>
                <w:rFonts w:ascii="Arial" w:eastAsia="宋体" w:hAnsi="Arial" w:cs="Arial"/>
                <w:color w:val="000000"/>
                <w:sz w:val="15"/>
                <w:szCs w:val="15"/>
              </w:rPr>
              <w:t>2,306 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656C" w14:textId="77777777" w:rsidR="00584EC1" w:rsidRDefault="00584EC1">
            <w:pPr>
              <w:jc w:val="right"/>
              <w:rPr>
                <w:rFonts w:ascii="宋体"/>
              </w:rPr>
            </w:pPr>
          </w:p>
        </w:tc>
        <w:tc>
          <w:tcPr>
            <w:tcW w:w="0" w:type="auto"/>
            <w:shd w:val="clear" w:color="auto" w:fill="auto"/>
            <w:vAlign w:val="bottom"/>
          </w:tcPr>
          <w:p w14:paraId="74DD656D" w14:textId="77777777" w:rsidR="00584EC1" w:rsidRDefault="00584EC1">
            <w:pPr>
              <w:rPr>
                <w:rFonts w:ascii="宋体"/>
                <w:vanish/>
              </w:rPr>
            </w:pPr>
          </w:p>
        </w:tc>
        <w:tc>
          <w:tcPr>
            <w:tcW w:w="0" w:type="auto"/>
            <w:shd w:val="clear" w:color="auto" w:fill="auto"/>
            <w:vAlign w:val="bottom"/>
          </w:tcPr>
          <w:p w14:paraId="74DD656E" w14:textId="77777777" w:rsidR="00584EC1" w:rsidRDefault="00584EC1">
            <w:pPr>
              <w:rPr>
                <w:rFonts w:ascii="宋体"/>
                <w:vanish/>
              </w:rPr>
            </w:pPr>
          </w:p>
        </w:tc>
        <w:tc>
          <w:tcPr>
            <w:tcW w:w="0" w:type="auto"/>
            <w:gridSpan w:val="3"/>
            <w:shd w:val="clear" w:color="auto" w:fill="FFFFFF"/>
            <w:tcMar>
              <w:top w:w="0" w:type="dxa"/>
              <w:left w:w="20" w:type="dxa"/>
              <w:bottom w:w="0" w:type="dxa"/>
              <w:right w:w="20" w:type="dxa"/>
            </w:tcMar>
            <w:vAlign w:val="bottom"/>
          </w:tcPr>
          <w:p w14:paraId="74DD656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570" w14:textId="77777777" w:rsidR="00584EC1" w:rsidRDefault="00871F8D">
            <w:pPr>
              <w:jc w:val="right"/>
              <w:textAlignment w:val="bottom"/>
            </w:pPr>
            <w:r>
              <w:rPr>
                <w:rFonts w:ascii="Arial" w:eastAsia="宋体" w:hAnsi="Arial" w:cs="Arial"/>
                <w:color w:val="000000"/>
                <w:sz w:val="15"/>
                <w:szCs w:val="15"/>
              </w:rPr>
              <w:t>9 </w:t>
            </w:r>
          </w:p>
        </w:tc>
        <w:tc>
          <w:tcPr>
            <w:tcW w:w="0" w:type="auto"/>
            <w:shd w:val="clear" w:color="auto" w:fill="FFFFFF"/>
            <w:tcMar>
              <w:top w:w="40" w:type="dxa"/>
              <w:left w:w="0" w:type="dxa"/>
              <w:bottom w:w="40" w:type="dxa"/>
              <w:right w:w="20" w:type="dxa"/>
            </w:tcMar>
            <w:vAlign w:val="bottom"/>
          </w:tcPr>
          <w:p w14:paraId="74DD6571" w14:textId="77777777" w:rsidR="00584EC1" w:rsidRDefault="00584EC1">
            <w:pPr>
              <w:jc w:val="right"/>
              <w:rPr>
                <w:rFonts w:ascii="宋体"/>
              </w:rPr>
            </w:pPr>
          </w:p>
        </w:tc>
        <w:tc>
          <w:tcPr>
            <w:tcW w:w="0" w:type="auto"/>
            <w:gridSpan w:val="3"/>
            <w:shd w:val="clear" w:color="auto" w:fill="auto"/>
            <w:vAlign w:val="bottom"/>
          </w:tcPr>
          <w:p w14:paraId="74DD6572" w14:textId="77777777" w:rsidR="00584EC1" w:rsidRDefault="00584EC1">
            <w:pPr>
              <w:rPr>
                <w:rFonts w:ascii="宋体"/>
                <w:vanish/>
              </w:rPr>
            </w:pPr>
          </w:p>
        </w:tc>
        <w:tc>
          <w:tcPr>
            <w:tcW w:w="0" w:type="auto"/>
            <w:gridSpan w:val="3"/>
            <w:shd w:val="clear" w:color="auto" w:fill="auto"/>
            <w:vAlign w:val="bottom"/>
          </w:tcPr>
          <w:p w14:paraId="74DD6573" w14:textId="77777777" w:rsidR="00584EC1" w:rsidRDefault="00584EC1">
            <w:pPr>
              <w:rPr>
                <w:rFonts w:ascii="宋体"/>
                <w:vanish/>
              </w:rPr>
            </w:pPr>
          </w:p>
        </w:tc>
        <w:tc>
          <w:tcPr>
            <w:tcW w:w="0" w:type="auto"/>
            <w:gridSpan w:val="3"/>
            <w:shd w:val="clear" w:color="auto" w:fill="auto"/>
            <w:vAlign w:val="bottom"/>
          </w:tcPr>
          <w:p w14:paraId="74DD6574" w14:textId="77777777" w:rsidR="00584EC1" w:rsidRDefault="00584EC1">
            <w:pPr>
              <w:rPr>
                <w:rFonts w:ascii="宋体"/>
                <w:vanish/>
              </w:rPr>
            </w:pPr>
          </w:p>
        </w:tc>
      </w:tr>
      <w:tr w:rsidR="00584EC1" w14:paraId="74DD6581" w14:textId="77777777">
        <w:tc>
          <w:tcPr>
            <w:tcW w:w="0" w:type="auto"/>
            <w:gridSpan w:val="3"/>
            <w:shd w:val="clear" w:color="auto" w:fill="CCEEFF"/>
            <w:tcMar>
              <w:top w:w="40" w:type="dxa"/>
              <w:left w:w="20" w:type="dxa"/>
              <w:bottom w:w="40" w:type="dxa"/>
              <w:right w:w="20" w:type="dxa"/>
            </w:tcMar>
            <w:vAlign w:val="bottom"/>
          </w:tcPr>
          <w:p w14:paraId="74DD6576" w14:textId="77777777" w:rsidR="00584EC1" w:rsidRDefault="00871F8D">
            <w:pPr>
              <w:textAlignment w:val="bottom"/>
            </w:pPr>
            <w:r>
              <w:rPr>
                <w:rFonts w:ascii="Arial" w:eastAsia="宋体" w:hAnsi="Arial" w:cs="Arial"/>
                <w:color w:val="000000"/>
                <w:sz w:val="15"/>
                <w:szCs w:val="15"/>
              </w:rPr>
              <w:t>Net interest income:</w:t>
            </w:r>
          </w:p>
        </w:tc>
        <w:tc>
          <w:tcPr>
            <w:tcW w:w="0" w:type="auto"/>
            <w:gridSpan w:val="3"/>
            <w:shd w:val="clear" w:color="auto" w:fill="CCEEFF"/>
            <w:tcMar>
              <w:top w:w="0" w:type="dxa"/>
              <w:left w:w="20" w:type="dxa"/>
              <w:bottom w:w="0" w:type="dxa"/>
              <w:right w:w="20" w:type="dxa"/>
            </w:tcMar>
            <w:vAlign w:val="bottom"/>
          </w:tcPr>
          <w:p w14:paraId="74DD6577"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6578"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6579" w14:textId="77777777" w:rsidR="00584EC1" w:rsidRDefault="00584EC1">
            <w:pPr>
              <w:rPr>
                <w:rFonts w:ascii="宋体"/>
              </w:rPr>
            </w:pPr>
          </w:p>
        </w:tc>
        <w:tc>
          <w:tcPr>
            <w:tcW w:w="0" w:type="auto"/>
            <w:shd w:val="clear" w:color="auto" w:fill="auto"/>
            <w:vAlign w:val="bottom"/>
          </w:tcPr>
          <w:p w14:paraId="74DD657A" w14:textId="77777777" w:rsidR="00584EC1" w:rsidRDefault="00584EC1">
            <w:pPr>
              <w:rPr>
                <w:rFonts w:ascii="宋体"/>
                <w:vanish/>
              </w:rPr>
            </w:pPr>
          </w:p>
        </w:tc>
        <w:tc>
          <w:tcPr>
            <w:tcW w:w="0" w:type="auto"/>
            <w:shd w:val="clear" w:color="auto" w:fill="auto"/>
            <w:vAlign w:val="bottom"/>
          </w:tcPr>
          <w:p w14:paraId="74DD657B" w14:textId="77777777" w:rsidR="00584EC1" w:rsidRDefault="00584EC1">
            <w:pPr>
              <w:rPr>
                <w:rFonts w:ascii="宋体"/>
                <w:vanish/>
              </w:rPr>
            </w:pPr>
          </w:p>
        </w:tc>
        <w:tc>
          <w:tcPr>
            <w:tcW w:w="0" w:type="auto"/>
            <w:gridSpan w:val="3"/>
            <w:shd w:val="clear" w:color="auto" w:fill="CCEEFF"/>
            <w:tcMar>
              <w:top w:w="0" w:type="dxa"/>
              <w:left w:w="20" w:type="dxa"/>
              <w:bottom w:w="0" w:type="dxa"/>
              <w:right w:w="20" w:type="dxa"/>
            </w:tcMar>
            <w:vAlign w:val="bottom"/>
          </w:tcPr>
          <w:p w14:paraId="74DD657C"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657D" w14:textId="77777777" w:rsidR="00584EC1" w:rsidRDefault="00584EC1">
            <w:pPr>
              <w:rPr>
                <w:rFonts w:ascii="宋体"/>
              </w:rPr>
            </w:pPr>
          </w:p>
        </w:tc>
        <w:tc>
          <w:tcPr>
            <w:tcW w:w="0" w:type="auto"/>
            <w:gridSpan w:val="3"/>
            <w:shd w:val="clear" w:color="auto" w:fill="auto"/>
            <w:vAlign w:val="bottom"/>
          </w:tcPr>
          <w:p w14:paraId="74DD657E" w14:textId="77777777" w:rsidR="00584EC1" w:rsidRDefault="00584EC1">
            <w:pPr>
              <w:rPr>
                <w:rFonts w:ascii="宋体"/>
                <w:vanish/>
              </w:rPr>
            </w:pPr>
          </w:p>
        </w:tc>
        <w:tc>
          <w:tcPr>
            <w:tcW w:w="0" w:type="auto"/>
            <w:gridSpan w:val="3"/>
            <w:shd w:val="clear" w:color="auto" w:fill="auto"/>
            <w:vAlign w:val="bottom"/>
          </w:tcPr>
          <w:p w14:paraId="74DD657F" w14:textId="77777777" w:rsidR="00584EC1" w:rsidRDefault="00584EC1">
            <w:pPr>
              <w:rPr>
                <w:rFonts w:ascii="宋体"/>
                <w:vanish/>
              </w:rPr>
            </w:pPr>
          </w:p>
        </w:tc>
        <w:tc>
          <w:tcPr>
            <w:tcW w:w="0" w:type="auto"/>
            <w:gridSpan w:val="3"/>
            <w:shd w:val="clear" w:color="auto" w:fill="auto"/>
            <w:vAlign w:val="bottom"/>
          </w:tcPr>
          <w:p w14:paraId="74DD6580" w14:textId="77777777" w:rsidR="00584EC1" w:rsidRDefault="00584EC1">
            <w:pPr>
              <w:rPr>
                <w:rFonts w:ascii="宋体"/>
                <w:vanish/>
              </w:rPr>
            </w:pPr>
          </w:p>
        </w:tc>
      </w:tr>
      <w:tr w:rsidR="00584EC1" w14:paraId="74DD6590" w14:textId="77777777">
        <w:tc>
          <w:tcPr>
            <w:tcW w:w="0" w:type="auto"/>
            <w:gridSpan w:val="3"/>
            <w:shd w:val="clear" w:color="auto" w:fill="FFFFFF"/>
            <w:tcMar>
              <w:top w:w="40" w:type="dxa"/>
              <w:left w:w="20" w:type="dxa"/>
              <w:bottom w:w="40" w:type="dxa"/>
              <w:right w:w="20" w:type="dxa"/>
            </w:tcMar>
            <w:vAlign w:val="bottom"/>
          </w:tcPr>
          <w:p w14:paraId="74DD6582" w14:textId="77777777" w:rsidR="00584EC1" w:rsidRDefault="00871F8D">
            <w:pPr>
              <w:textAlignment w:val="bottom"/>
            </w:pPr>
            <w:r>
              <w:rPr>
                <w:rFonts w:ascii="Arial" w:eastAsia="宋体" w:hAnsi="Arial" w:cs="Arial"/>
                <w:color w:val="000000"/>
                <w:sz w:val="15"/>
                <w:szCs w:val="15"/>
              </w:rPr>
              <w:t>   Interest income</w:t>
            </w:r>
          </w:p>
        </w:tc>
        <w:tc>
          <w:tcPr>
            <w:tcW w:w="0" w:type="auto"/>
            <w:gridSpan w:val="2"/>
            <w:shd w:val="clear" w:color="auto" w:fill="FFFFFF"/>
            <w:tcMar>
              <w:top w:w="40" w:type="dxa"/>
              <w:left w:w="20" w:type="dxa"/>
              <w:bottom w:w="40" w:type="dxa"/>
              <w:right w:w="0" w:type="dxa"/>
            </w:tcMar>
            <w:vAlign w:val="bottom"/>
          </w:tcPr>
          <w:p w14:paraId="74DD6583" w14:textId="77777777" w:rsidR="00584EC1" w:rsidRDefault="00871F8D">
            <w:pPr>
              <w:jc w:val="right"/>
              <w:textAlignment w:val="bottom"/>
            </w:pPr>
            <w:r>
              <w:rPr>
                <w:rFonts w:ascii="Arial" w:eastAsia="宋体" w:hAnsi="Arial" w:cs="Arial"/>
                <w:b/>
                <w:bCs/>
                <w:color w:val="000000"/>
                <w:sz w:val="15"/>
                <w:szCs w:val="15"/>
              </w:rPr>
              <w:t>487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658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585"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586" w14:textId="77777777" w:rsidR="00584EC1" w:rsidRDefault="00871F8D">
            <w:pPr>
              <w:jc w:val="right"/>
              <w:textAlignment w:val="bottom"/>
            </w:pPr>
            <w:r>
              <w:rPr>
                <w:rFonts w:ascii="Arial" w:eastAsia="宋体" w:hAnsi="Arial" w:cs="Arial"/>
                <w:color w:val="000000"/>
                <w:sz w:val="15"/>
                <w:szCs w:val="15"/>
              </w:rPr>
              <w:t>520 </w:t>
            </w:r>
          </w:p>
        </w:tc>
        <w:tc>
          <w:tcPr>
            <w:tcW w:w="0" w:type="auto"/>
            <w:shd w:val="clear" w:color="auto" w:fill="FFFFFF"/>
            <w:tcMar>
              <w:top w:w="40" w:type="dxa"/>
              <w:left w:w="0" w:type="dxa"/>
              <w:bottom w:w="40" w:type="dxa"/>
              <w:right w:w="20" w:type="dxa"/>
            </w:tcMar>
            <w:vAlign w:val="bottom"/>
          </w:tcPr>
          <w:p w14:paraId="74DD6587" w14:textId="77777777" w:rsidR="00584EC1" w:rsidRDefault="00584EC1">
            <w:pPr>
              <w:jc w:val="right"/>
              <w:rPr>
                <w:rFonts w:ascii="宋体"/>
              </w:rPr>
            </w:pPr>
          </w:p>
        </w:tc>
        <w:tc>
          <w:tcPr>
            <w:tcW w:w="0" w:type="auto"/>
            <w:shd w:val="clear" w:color="auto" w:fill="auto"/>
            <w:vAlign w:val="bottom"/>
          </w:tcPr>
          <w:p w14:paraId="74DD6588" w14:textId="77777777" w:rsidR="00584EC1" w:rsidRDefault="00584EC1">
            <w:pPr>
              <w:rPr>
                <w:rFonts w:ascii="宋体"/>
                <w:vanish/>
              </w:rPr>
            </w:pPr>
          </w:p>
        </w:tc>
        <w:tc>
          <w:tcPr>
            <w:tcW w:w="0" w:type="auto"/>
            <w:shd w:val="clear" w:color="auto" w:fill="auto"/>
            <w:vAlign w:val="bottom"/>
          </w:tcPr>
          <w:p w14:paraId="74DD6589" w14:textId="77777777" w:rsidR="00584EC1" w:rsidRDefault="00584EC1">
            <w:pPr>
              <w:rPr>
                <w:rFonts w:ascii="宋体"/>
                <w:vanish/>
              </w:rPr>
            </w:pPr>
          </w:p>
        </w:tc>
        <w:tc>
          <w:tcPr>
            <w:tcW w:w="0" w:type="auto"/>
            <w:gridSpan w:val="3"/>
            <w:shd w:val="clear" w:color="auto" w:fill="FFFFFF"/>
            <w:tcMar>
              <w:top w:w="0" w:type="dxa"/>
              <w:left w:w="20" w:type="dxa"/>
              <w:bottom w:w="0" w:type="dxa"/>
              <w:right w:w="20" w:type="dxa"/>
            </w:tcMar>
            <w:vAlign w:val="bottom"/>
          </w:tcPr>
          <w:p w14:paraId="74DD658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58B" w14:textId="77777777" w:rsidR="00584EC1" w:rsidRDefault="00871F8D">
            <w:pPr>
              <w:jc w:val="right"/>
              <w:textAlignment w:val="bottom"/>
            </w:pPr>
            <w:r>
              <w:rPr>
                <w:rFonts w:ascii="Arial" w:eastAsia="宋体" w:hAnsi="Arial" w:cs="Arial"/>
                <w:color w:val="000000"/>
                <w:sz w:val="15"/>
                <w:szCs w:val="15"/>
              </w:rPr>
              <w:t>(6)</w:t>
            </w:r>
          </w:p>
        </w:tc>
        <w:tc>
          <w:tcPr>
            <w:tcW w:w="0" w:type="auto"/>
            <w:shd w:val="clear" w:color="auto" w:fill="FFFFFF"/>
            <w:tcMar>
              <w:top w:w="40" w:type="dxa"/>
              <w:left w:w="0" w:type="dxa"/>
              <w:bottom w:w="40" w:type="dxa"/>
              <w:right w:w="20" w:type="dxa"/>
            </w:tcMar>
            <w:vAlign w:val="bottom"/>
          </w:tcPr>
          <w:p w14:paraId="74DD658C" w14:textId="77777777" w:rsidR="00584EC1" w:rsidRDefault="00584EC1">
            <w:pPr>
              <w:jc w:val="right"/>
              <w:rPr>
                <w:rFonts w:ascii="宋体"/>
              </w:rPr>
            </w:pPr>
          </w:p>
        </w:tc>
        <w:tc>
          <w:tcPr>
            <w:tcW w:w="0" w:type="auto"/>
            <w:gridSpan w:val="3"/>
            <w:shd w:val="clear" w:color="auto" w:fill="auto"/>
            <w:vAlign w:val="bottom"/>
          </w:tcPr>
          <w:p w14:paraId="74DD658D" w14:textId="77777777" w:rsidR="00584EC1" w:rsidRDefault="00584EC1">
            <w:pPr>
              <w:rPr>
                <w:rFonts w:ascii="宋体"/>
                <w:vanish/>
              </w:rPr>
            </w:pPr>
          </w:p>
        </w:tc>
        <w:tc>
          <w:tcPr>
            <w:tcW w:w="0" w:type="auto"/>
            <w:gridSpan w:val="3"/>
            <w:shd w:val="clear" w:color="auto" w:fill="auto"/>
            <w:vAlign w:val="bottom"/>
          </w:tcPr>
          <w:p w14:paraId="74DD658E" w14:textId="77777777" w:rsidR="00584EC1" w:rsidRDefault="00584EC1">
            <w:pPr>
              <w:rPr>
                <w:rFonts w:ascii="宋体"/>
                <w:vanish/>
              </w:rPr>
            </w:pPr>
          </w:p>
        </w:tc>
        <w:tc>
          <w:tcPr>
            <w:tcW w:w="0" w:type="auto"/>
            <w:gridSpan w:val="3"/>
            <w:shd w:val="clear" w:color="auto" w:fill="auto"/>
            <w:vAlign w:val="bottom"/>
          </w:tcPr>
          <w:p w14:paraId="74DD658F" w14:textId="77777777" w:rsidR="00584EC1" w:rsidRDefault="00584EC1">
            <w:pPr>
              <w:rPr>
                <w:rFonts w:ascii="宋体"/>
                <w:vanish/>
              </w:rPr>
            </w:pPr>
          </w:p>
        </w:tc>
      </w:tr>
      <w:tr w:rsidR="00584EC1" w14:paraId="74DD659E" w14:textId="77777777">
        <w:tc>
          <w:tcPr>
            <w:tcW w:w="0" w:type="auto"/>
            <w:gridSpan w:val="3"/>
            <w:shd w:val="clear" w:color="auto" w:fill="CCEEFF"/>
            <w:tcMar>
              <w:top w:w="40" w:type="dxa"/>
              <w:left w:w="20" w:type="dxa"/>
              <w:bottom w:w="40" w:type="dxa"/>
              <w:right w:w="20" w:type="dxa"/>
            </w:tcMar>
            <w:vAlign w:val="bottom"/>
          </w:tcPr>
          <w:p w14:paraId="74DD6591" w14:textId="77777777" w:rsidR="00584EC1" w:rsidRDefault="00871F8D">
            <w:pPr>
              <w:textAlignment w:val="bottom"/>
            </w:pPr>
            <w:r>
              <w:rPr>
                <w:rFonts w:ascii="Arial" w:eastAsia="宋体" w:hAnsi="Arial" w:cs="Arial"/>
                <w:color w:val="000000"/>
                <w:sz w:val="15"/>
                <w:szCs w:val="15"/>
              </w:rPr>
              <w:t>  </w:t>
            </w:r>
            <w:r>
              <w:rPr>
                <w:rFonts w:ascii="Arial" w:eastAsia="宋体" w:hAnsi="Arial" w:cs="Arial"/>
                <w:color w:val="000000"/>
                <w:sz w:val="15"/>
                <w:szCs w:val="15"/>
              </w:rPr>
              <w:t> Interest expense</w:t>
            </w:r>
          </w:p>
        </w:tc>
        <w:tc>
          <w:tcPr>
            <w:tcW w:w="0" w:type="auto"/>
            <w:gridSpan w:val="2"/>
            <w:shd w:val="clear" w:color="auto" w:fill="CCEEFF"/>
            <w:tcMar>
              <w:top w:w="40" w:type="dxa"/>
              <w:left w:w="20" w:type="dxa"/>
              <w:bottom w:w="40" w:type="dxa"/>
              <w:right w:w="0" w:type="dxa"/>
            </w:tcMar>
            <w:vAlign w:val="bottom"/>
          </w:tcPr>
          <w:p w14:paraId="74DD6592"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659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594"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595" w14:textId="77777777" w:rsidR="00584EC1" w:rsidRDefault="00871F8D">
            <w:pPr>
              <w:jc w:val="right"/>
              <w:textAlignment w:val="bottom"/>
            </w:pPr>
            <w:r>
              <w:rPr>
                <w:rFonts w:ascii="Arial" w:eastAsia="宋体" w:hAnsi="Arial" w:cs="Arial"/>
                <w:color w:val="000000"/>
                <w:sz w:val="15"/>
                <w:szCs w:val="15"/>
              </w:rPr>
              <w:t>42 </w:t>
            </w:r>
          </w:p>
        </w:tc>
        <w:tc>
          <w:tcPr>
            <w:tcW w:w="0" w:type="auto"/>
            <w:shd w:val="clear" w:color="auto" w:fill="CCEEFF"/>
            <w:tcMar>
              <w:top w:w="40" w:type="dxa"/>
              <w:left w:w="0" w:type="dxa"/>
              <w:bottom w:w="40" w:type="dxa"/>
              <w:right w:w="20" w:type="dxa"/>
            </w:tcMar>
            <w:vAlign w:val="bottom"/>
          </w:tcPr>
          <w:p w14:paraId="74DD6596" w14:textId="77777777" w:rsidR="00584EC1" w:rsidRDefault="00584EC1">
            <w:pPr>
              <w:jc w:val="right"/>
              <w:rPr>
                <w:rFonts w:ascii="宋体"/>
              </w:rPr>
            </w:pPr>
          </w:p>
        </w:tc>
        <w:tc>
          <w:tcPr>
            <w:tcW w:w="0" w:type="auto"/>
            <w:shd w:val="clear" w:color="auto" w:fill="auto"/>
            <w:vAlign w:val="bottom"/>
          </w:tcPr>
          <w:p w14:paraId="74DD6597" w14:textId="77777777" w:rsidR="00584EC1" w:rsidRDefault="00584EC1">
            <w:pPr>
              <w:rPr>
                <w:rFonts w:ascii="宋体"/>
                <w:vanish/>
              </w:rPr>
            </w:pPr>
          </w:p>
        </w:tc>
        <w:tc>
          <w:tcPr>
            <w:tcW w:w="0" w:type="auto"/>
            <w:shd w:val="clear" w:color="auto" w:fill="auto"/>
            <w:vAlign w:val="bottom"/>
          </w:tcPr>
          <w:p w14:paraId="74DD6598" w14:textId="77777777" w:rsidR="00584EC1" w:rsidRDefault="00584EC1">
            <w:pPr>
              <w:rPr>
                <w:rFonts w:ascii="宋体"/>
                <w:vanish/>
              </w:rPr>
            </w:pPr>
          </w:p>
        </w:tc>
        <w:tc>
          <w:tcPr>
            <w:tcW w:w="0" w:type="auto"/>
            <w:gridSpan w:val="3"/>
            <w:shd w:val="clear" w:color="auto" w:fill="CCEEFF"/>
            <w:tcMar>
              <w:top w:w="0" w:type="dxa"/>
              <w:left w:w="20" w:type="dxa"/>
              <w:bottom w:w="0" w:type="dxa"/>
              <w:right w:w="20" w:type="dxa"/>
            </w:tcMar>
            <w:vAlign w:val="bottom"/>
          </w:tcPr>
          <w:p w14:paraId="74DD6599" w14:textId="77777777" w:rsidR="00584EC1" w:rsidRDefault="00584EC1">
            <w:pPr>
              <w:rPr>
                <w:rFonts w:ascii="宋体"/>
              </w:rPr>
            </w:pPr>
          </w:p>
        </w:tc>
        <w:tc>
          <w:tcPr>
            <w:tcW w:w="0" w:type="auto"/>
            <w:gridSpan w:val="3"/>
            <w:shd w:val="clear" w:color="auto" w:fill="CCEEFF"/>
            <w:tcMar>
              <w:top w:w="40" w:type="dxa"/>
              <w:left w:w="20" w:type="dxa"/>
              <w:bottom w:w="40" w:type="dxa"/>
              <w:right w:w="140" w:type="dxa"/>
            </w:tcMar>
            <w:vAlign w:val="bottom"/>
          </w:tcPr>
          <w:p w14:paraId="74DD659A" w14:textId="77777777" w:rsidR="00584EC1" w:rsidRDefault="00871F8D">
            <w:pPr>
              <w:jc w:val="right"/>
              <w:textAlignment w:val="bottom"/>
            </w:pPr>
            <w:r>
              <w:rPr>
                <w:rFonts w:ascii="Arial" w:eastAsia="宋体" w:hAnsi="Arial" w:cs="Arial"/>
                <w:color w:val="000000"/>
                <w:sz w:val="15"/>
                <w:szCs w:val="15"/>
              </w:rPr>
              <w:t>nm</w:t>
            </w:r>
          </w:p>
        </w:tc>
        <w:tc>
          <w:tcPr>
            <w:tcW w:w="0" w:type="auto"/>
            <w:gridSpan w:val="3"/>
            <w:shd w:val="clear" w:color="auto" w:fill="auto"/>
            <w:vAlign w:val="bottom"/>
          </w:tcPr>
          <w:p w14:paraId="74DD659B" w14:textId="77777777" w:rsidR="00584EC1" w:rsidRDefault="00584EC1">
            <w:pPr>
              <w:rPr>
                <w:rFonts w:ascii="宋体"/>
                <w:vanish/>
              </w:rPr>
            </w:pPr>
          </w:p>
        </w:tc>
        <w:tc>
          <w:tcPr>
            <w:tcW w:w="0" w:type="auto"/>
            <w:gridSpan w:val="3"/>
            <w:shd w:val="clear" w:color="auto" w:fill="auto"/>
            <w:vAlign w:val="bottom"/>
          </w:tcPr>
          <w:p w14:paraId="74DD659C" w14:textId="77777777" w:rsidR="00584EC1" w:rsidRDefault="00584EC1">
            <w:pPr>
              <w:rPr>
                <w:rFonts w:ascii="宋体"/>
                <w:vanish/>
              </w:rPr>
            </w:pPr>
          </w:p>
        </w:tc>
        <w:tc>
          <w:tcPr>
            <w:tcW w:w="0" w:type="auto"/>
            <w:gridSpan w:val="3"/>
            <w:shd w:val="clear" w:color="auto" w:fill="auto"/>
            <w:vAlign w:val="bottom"/>
          </w:tcPr>
          <w:p w14:paraId="74DD659D" w14:textId="77777777" w:rsidR="00584EC1" w:rsidRDefault="00584EC1">
            <w:pPr>
              <w:rPr>
                <w:rFonts w:ascii="宋体"/>
                <w:vanish/>
              </w:rPr>
            </w:pPr>
          </w:p>
        </w:tc>
      </w:tr>
      <w:tr w:rsidR="00584EC1" w14:paraId="74DD65AD" w14:textId="77777777">
        <w:tc>
          <w:tcPr>
            <w:tcW w:w="0" w:type="auto"/>
            <w:gridSpan w:val="3"/>
            <w:shd w:val="clear" w:color="auto" w:fill="FFFFFF"/>
            <w:tcMar>
              <w:top w:w="40" w:type="dxa"/>
              <w:left w:w="20" w:type="dxa"/>
              <w:bottom w:w="40" w:type="dxa"/>
              <w:right w:w="20" w:type="dxa"/>
            </w:tcMar>
            <w:vAlign w:val="bottom"/>
          </w:tcPr>
          <w:p w14:paraId="74DD659F" w14:textId="77777777" w:rsidR="00584EC1" w:rsidRDefault="00871F8D">
            <w:pPr>
              <w:textAlignment w:val="bottom"/>
            </w:pPr>
            <w:r>
              <w:rPr>
                <w:rFonts w:ascii="Arial" w:eastAsia="宋体" w:hAnsi="Arial" w:cs="Arial"/>
                <w:color w:val="000000"/>
                <w:sz w:val="15"/>
                <w:szCs w:val="15"/>
              </w:rPr>
              <w:t>Net interest income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65A0" w14:textId="77777777" w:rsidR="00584EC1" w:rsidRDefault="00871F8D">
            <w:pPr>
              <w:jc w:val="right"/>
              <w:textAlignment w:val="bottom"/>
            </w:pPr>
            <w:r>
              <w:rPr>
                <w:rFonts w:ascii="Arial" w:eastAsia="宋体" w:hAnsi="Arial" w:cs="Arial"/>
                <w:b/>
                <w:bCs/>
                <w:color w:val="000000"/>
                <w:sz w:val="15"/>
                <w:szCs w:val="15"/>
              </w:rPr>
              <w:t>487</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65A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5A2"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65A3" w14:textId="77777777" w:rsidR="00584EC1" w:rsidRDefault="00871F8D">
            <w:pPr>
              <w:jc w:val="right"/>
              <w:textAlignment w:val="bottom"/>
            </w:pPr>
            <w:r>
              <w:rPr>
                <w:rFonts w:ascii="Arial" w:eastAsia="宋体" w:hAnsi="Arial" w:cs="Arial"/>
                <w:color w:val="000000"/>
                <w:sz w:val="15"/>
                <w:szCs w:val="15"/>
              </w:rPr>
              <w:t>478 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65A4" w14:textId="77777777" w:rsidR="00584EC1" w:rsidRDefault="00584EC1">
            <w:pPr>
              <w:jc w:val="right"/>
              <w:rPr>
                <w:rFonts w:ascii="宋体"/>
              </w:rPr>
            </w:pPr>
          </w:p>
        </w:tc>
        <w:tc>
          <w:tcPr>
            <w:tcW w:w="0" w:type="auto"/>
            <w:shd w:val="clear" w:color="auto" w:fill="auto"/>
            <w:vAlign w:val="bottom"/>
          </w:tcPr>
          <w:p w14:paraId="74DD65A5" w14:textId="77777777" w:rsidR="00584EC1" w:rsidRDefault="00584EC1">
            <w:pPr>
              <w:rPr>
                <w:rFonts w:ascii="宋体"/>
                <w:vanish/>
              </w:rPr>
            </w:pPr>
          </w:p>
        </w:tc>
        <w:tc>
          <w:tcPr>
            <w:tcW w:w="0" w:type="auto"/>
            <w:shd w:val="clear" w:color="auto" w:fill="auto"/>
            <w:vAlign w:val="bottom"/>
          </w:tcPr>
          <w:p w14:paraId="74DD65A6" w14:textId="77777777" w:rsidR="00584EC1" w:rsidRDefault="00584EC1">
            <w:pPr>
              <w:rPr>
                <w:rFonts w:ascii="宋体"/>
                <w:vanish/>
              </w:rPr>
            </w:pPr>
          </w:p>
        </w:tc>
        <w:tc>
          <w:tcPr>
            <w:tcW w:w="0" w:type="auto"/>
            <w:gridSpan w:val="3"/>
            <w:shd w:val="clear" w:color="auto" w:fill="FFFFFF"/>
            <w:tcMar>
              <w:top w:w="0" w:type="dxa"/>
              <w:left w:w="20" w:type="dxa"/>
              <w:bottom w:w="0" w:type="dxa"/>
              <w:right w:w="20" w:type="dxa"/>
            </w:tcMar>
            <w:vAlign w:val="bottom"/>
          </w:tcPr>
          <w:p w14:paraId="74DD65A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5A8" w14:textId="77777777" w:rsidR="00584EC1" w:rsidRDefault="00871F8D">
            <w:pPr>
              <w:jc w:val="right"/>
              <w:textAlignment w:val="bottom"/>
            </w:pPr>
            <w:r>
              <w:rPr>
                <w:rFonts w:ascii="Arial" w:eastAsia="宋体" w:hAnsi="Arial" w:cs="Arial"/>
                <w:color w:val="000000"/>
                <w:sz w:val="15"/>
                <w:szCs w:val="15"/>
              </w:rPr>
              <w:t>2 </w:t>
            </w:r>
          </w:p>
        </w:tc>
        <w:tc>
          <w:tcPr>
            <w:tcW w:w="0" w:type="auto"/>
            <w:shd w:val="clear" w:color="auto" w:fill="FFFFFF"/>
            <w:tcMar>
              <w:top w:w="40" w:type="dxa"/>
              <w:left w:w="0" w:type="dxa"/>
              <w:bottom w:w="40" w:type="dxa"/>
              <w:right w:w="20" w:type="dxa"/>
            </w:tcMar>
            <w:vAlign w:val="bottom"/>
          </w:tcPr>
          <w:p w14:paraId="74DD65A9" w14:textId="77777777" w:rsidR="00584EC1" w:rsidRDefault="00584EC1">
            <w:pPr>
              <w:jc w:val="right"/>
              <w:rPr>
                <w:rFonts w:ascii="宋体"/>
              </w:rPr>
            </w:pPr>
          </w:p>
        </w:tc>
        <w:tc>
          <w:tcPr>
            <w:tcW w:w="0" w:type="auto"/>
            <w:gridSpan w:val="3"/>
            <w:shd w:val="clear" w:color="auto" w:fill="auto"/>
            <w:vAlign w:val="bottom"/>
          </w:tcPr>
          <w:p w14:paraId="74DD65AA" w14:textId="77777777" w:rsidR="00584EC1" w:rsidRDefault="00584EC1">
            <w:pPr>
              <w:rPr>
                <w:rFonts w:ascii="宋体"/>
                <w:vanish/>
              </w:rPr>
            </w:pPr>
          </w:p>
        </w:tc>
        <w:tc>
          <w:tcPr>
            <w:tcW w:w="0" w:type="auto"/>
            <w:gridSpan w:val="3"/>
            <w:shd w:val="clear" w:color="auto" w:fill="auto"/>
            <w:vAlign w:val="bottom"/>
          </w:tcPr>
          <w:p w14:paraId="74DD65AB" w14:textId="77777777" w:rsidR="00584EC1" w:rsidRDefault="00584EC1">
            <w:pPr>
              <w:rPr>
                <w:rFonts w:ascii="宋体"/>
                <w:vanish/>
              </w:rPr>
            </w:pPr>
          </w:p>
        </w:tc>
        <w:tc>
          <w:tcPr>
            <w:tcW w:w="0" w:type="auto"/>
            <w:gridSpan w:val="3"/>
            <w:shd w:val="clear" w:color="auto" w:fill="auto"/>
            <w:vAlign w:val="bottom"/>
          </w:tcPr>
          <w:p w14:paraId="74DD65AC" w14:textId="77777777" w:rsidR="00584EC1" w:rsidRDefault="00584EC1">
            <w:pPr>
              <w:rPr>
                <w:rFonts w:ascii="宋体"/>
                <w:vanish/>
              </w:rPr>
            </w:pPr>
          </w:p>
        </w:tc>
      </w:tr>
      <w:tr w:rsidR="00584EC1" w14:paraId="74DD65B9" w14:textId="77777777">
        <w:tc>
          <w:tcPr>
            <w:tcW w:w="0" w:type="auto"/>
            <w:gridSpan w:val="3"/>
            <w:shd w:val="clear" w:color="auto" w:fill="CCEEFF"/>
            <w:tcMar>
              <w:top w:w="40" w:type="dxa"/>
              <w:left w:w="20" w:type="dxa"/>
              <w:bottom w:w="40" w:type="dxa"/>
              <w:right w:w="20" w:type="dxa"/>
            </w:tcMar>
            <w:vAlign w:val="bottom"/>
          </w:tcPr>
          <w:p w14:paraId="74DD65AE" w14:textId="77777777" w:rsidR="00584EC1" w:rsidRDefault="00871F8D">
            <w:pPr>
              <w:textAlignment w:val="bottom"/>
            </w:pPr>
            <w:r>
              <w:rPr>
                <w:rFonts w:ascii="Arial" w:eastAsia="宋体" w:hAnsi="Arial" w:cs="Arial"/>
                <w:color w:val="000000"/>
                <w:sz w:val="15"/>
                <w:szCs w:val="15"/>
              </w:rPr>
              <w:t>Other income:</w:t>
            </w:r>
          </w:p>
        </w:tc>
        <w:tc>
          <w:tcPr>
            <w:tcW w:w="0" w:type="auto"/>
            <w:gridSpan w:val="3"/>
            <w:shd w:val="clear" w:color="auto" w:fill="CCEEFF"/>
            <w:tcMar>
              <w:top w:w="0" w:type="dxa"/>
              <w:left w:w="20" w:type="dxa"/>
              <w:bottom w:w="0" w:type="dxa"/>
              <w:right w:w="20" w:type="dxa"/>
            </w:tcMar>
            <w:vAlign w:val="bottom"/>
          </w:tcPr>
          <w:p w14:paraId="74DD65AF"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65B0"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65B1" w14:textId="77777777" w:rsidR="00584EC1" w:rsidRDefault="00584EC1">
            <w:pPr>
              <w:rPr>
                <w:rFonts w:ascii="宋体"/>
              </w:rPr>
            </w:pPr>
          </w:p>
        </w:tc>
        <w:tc>
          <w:tcPr>
            <w:tcW w:w="0" w:type="auto"/>
            <w:shd w:val="clear" w:color="auto" w:fill="auto"/>
            <w:vAlign w:val="bottom"/>
          </w:tcPr>
          <w:p w14:paraId="74DD65B2" w14:textId="77777777" w:rsidR="00584EC1" w:rsidRDefault="00584EC1">
            <w:pPr>
              <w:rPr>
                <w:rFonts w:ascii="宋体"/>
                <w:vanish/>
              </w:rPr>
            </w:pPr>
          </w:p>
        </w:tc>
        <w:tc>
          <w:tcPr>
            <w:tcW w:w="0" w:type="auto"/>
            <w:shd w:val="clear" w:color="auto" w:fill="auto"/>
            <w:vAlign w:val="bottom"/>
          </w:tcPr>
          <w:p w14:paraId="74DD65B3" w14:textId="77777777" w:rsidR="00584EC1" w:rsidRDefault="00584EC1">
            <w:pPr>
              <w:rPr>
                <w:rFonts w:ascii="宋体"/>
                <w:vanish/>
              </w:rPr>
            </w:pPr>
          </w:p>
        </w:tc>
        <w:tc>
          <w:tcPr>
            <w:tcW w:w="0" w:type="auto"/>
            <w:gridSpan w:val="3"/>
            <w:shd w:val="clear" w:color="auto" w:fill="CCEEFF"/>
            <w:tcMar>
              <w:top w:w="0" w:type="dxa"/>
              <w:left w:w="20" w:type="dxa"/>
              <w:bottom w:w="0" w:type="dxa"/>
              <w:right w:w="20" w:type="dxa"/>
            </w:tcMar>
            <w:vAlign w:val="bottom"/>
          </w:tcPr>
          <w:p w14:paraId="74DD65B4"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65B5" w14:textId="77777777" w:rsidR="00584EC1" w:rsidRDefault="00584EC1">
            <w:pPr>
              <w:rPr>
                <w:rFonts w:ascii="宋体"/>
              </w:rPr>
            </w:pPr>
          </w:p>
        </w:tc>
        <w:tc>
          <w:tcPr>
            <w:tcW w:w="0" w:type="auto"/>
            <w:gridSpan w:val="3"/>
            <w:shd w:val="clear" w:color="auto" w:fill="auto"/>
            <w:vAlign w:val="bottom"/>
          </w:tcPr>
          <w:p w14:paraId="74DD65B6" w14:textId="77777777" w:rsidR="00584EC1" w:rsidRDefault="00584EC1">
            <w:pPr>
              <w:rPr>
                <w:rFonts w:ascii="宋体"/>
                <w:vanish/>
              </w:rPr>
            </w:pPr>
          </w:p>
        </w:tc>
        <w:tc>
          <w:tcPr>
            <w:tcW w:w="0" w:type="auto"/>
            <w:gridSpan w:val="3"/>
            <w:shd w:val="clear" w:color="auto" w:fill="auto"/>
            <w:vAlign w:val="bottom"/>
          </w:tcPr>
          <w:p w14:paraId="74DD65B7" w14:textId="77777777" w:rsidR="00584EC1" w:rsidRDefault="00584EC1">
            <w:pPr>
              <w:rPr>
                <w:rFonts w:ascii="宋体"/>
                <w:vanish/>
              </w:rPr>
            </w:pPr>
          </w:p>
        </w:tc>
        <w:tc>
          <w:tcPr>
            <w:tcW w:w="0" w:type="auto"/>
            <w:gridSpan w:val="3"/>
            <w:shd w:val="clear" w:color="auto" w:fill="auto"/>
            <w:vAlign w:val="bottom"/>
          </w:tcPr>
          <w:p w14:paraId="74DD65B8" w14:textId="77777777" w:rsidR="00584EC1" w:rsidRDefault="00584EC1">
            <w:pPr>
              <w:rPr>
                <w:rFonts w:ascii="宋体"/>
                <w:vanish/>
              </w:rPr>
            </w:pPr>
          </w:p>
        </w:tc>
      </w:tr>
      <w:tr w:rsidR="00584EC1" w14:paraId="74DD65C7" w14:textId="77777777">
        <w:tc>
          <w:tcPr>
            <w:tcW w:w="0" w:type="auto"/>
            <w:gridSpan w:val="3"/>
            <w:shd w:val="clear" w:color="auto" w:fill="FFFFFF"/>
            <w:tcMar>
              <w:top w:w="40" w:type="dxa"/>
              <w:left w:w="140" w:type="dxa"/>
              <w:bottom w:w="40" w:type="dxa"/>
              <w:right w:w="20" w:type="dxa"/>
            </w:tcMar>
            <w:vAlign w:val="bottom"/>
          </w:tcPr>
          <w:p w14:paraId="74DD65BA" w14:textId="77777777" w:rsidR="00584EC1" w:rsidRDefault="00871F8D">
            <w:pPr>
              <w:textAlignment w:val="bottom"/>
            </w:pPr>
            <w:r>
              <w:rPr>
                <w:rFonts w:ascii="Arial" w:eastAsia="宋体" w:hAnsi="Arial" w:cs="Arial"/>
                <w:color w:val="000000"/>
                <w:sz w:val="15"/>
                <w:szCs w:val="15"/>
              </w:rPr>
              <w:t>Gains (losses) related to investment securities, net</w:t>
            </w:r>
          </w:p>
        </w:tc>
        <w:tc>
          <w:tcPr>
            <w:tcW w:w="0" w:type="auto"/>
            <w:gridSpan w:val="2"/>
            <w:shd w:val="clear" w:color="auto" w:fill="FFFFFF"/>
            <w:tcMar>
              <w:top w:w="40" w:type="dxa"/>
              <w:left w:w="20" w:type="dxa"/>
              <w:bottom w:w="40" w:type="dxa"/>
              <w:right w:w="0" w:type="dxa"/>
            </w:tcMar>
            <w:vAlign w:val="bottom"/>
          </w:tcPr>
          <w:p w14:paraId="74DD65BB" w14:textId="77777777" w:rsidR="00584EC1" w:rsidRDefault="00871F8D">
            <w:pPr>
              <w:jc w:val="right"/>
              <w:textAlignment w:val="bottom"/>
            </w:pPr>
            <w:r>
              <w:rPr>
                <w:rFonts w:ascii="Arial" w:eastAsia="宋体" w:hAnsi="Arial" w:cs="Arial"/>
                <w:b/>
                <w:bCs/>
                <w:color w:val="000000"/>
                <w:sz w:val="15"/>
                <w:szCs w:val="15"/>
              </w:rPr>
              <w:t>(1)</w:t>
            </w:r>
          </w:p>
        </w:tc>
        <w:tc>
          <w:tcPr>
            <w:tcW w:w="0" w:type="auto"/>
            <w:shd w:val="clear" w:color="auto" w:fill="FFFFFF"/>
            <w:tcMar>
              <w:top w:w="40" w:type="dxa"/>
              <w:left w:w="0" w:type="dxa"/>
              <w:bottom w:w="40" w:type="dxa"/>
              <w:right w:w="20" w:type="dxa"/>
            </w:tcMar>
            <w:vAlign w:val="bottom"/>
          </w:tcPr>
          <w:p w14:paraId="74DD65B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5B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5BE"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65BF" w14:textId="77777777" w:rsidR="00584EC1" w:rsidRDefault="00584EC1">
            <w:pPr>
              <w:jc w:val="right"/>
              <w:rPr>
                <w:rFonts w:ascii="宋体"/>
              </w:rPr>
            </w:pPr>
          </w:p>
        </w:tc>
        <w:tc>
          <w:tcPr>
            <w:tcW w:w="0" w:type="auto"/>
            <w:shd w:val="clear" w:color="auto" w:fill="auto"/>
            <w:vAlign w:val="bottom"/>
          </w:tcPr>
          <w:p w14:paraId="74DD65C0" w14:textId="77777777" w:rsidR="00584EC1" w:rsidRDefault="00584EC1">
            <w:pPr>
              <w:rPr>
                <w:rFonts w:ascii="宋体"/>
                <w:vanish/>
              </w:rPr>
            </w:pPr>
          </w:p>
        </w:tc>
        <w:tc>
          <w:tcPr>
            <w:tcW w:w="0" w:type="auto"/>
            <w:shd w:val="clear" w:color="auto" w:fill="auto"/>
            <w:vAlign w:val="bottom"/>
          </w:tcPr>
          <w:p w14:paraId="74DD65C1" w14:textId="77777777" w:rsidR="00584EC1" w:rsidRDefault="00584EC1">
            <w:pPr>
              <w:rPr>
                <w:rFonts w:ascii="宋体"/>
                <w:vanish/>
              </w:rPr>
            </w:pPr>
          </w:p>
        </w:tc>
        <w:tc>
          <w:tcPr>
            <w:tcW w:w="0" w:type="auto"/>
            <w:gridSpan w:val="3"/>
            <w:shd w:val="clear" w:color="auto" w:fill="FFFFFF"/>
            <w:tcMar>
              <w:top w:w="0" w:type="dxa"/>
              <w:left w:w="20" w:type="dxa"/>
              <w:bottom w:w="0" w:type="dxa"/>
              <w:right w:w="20" w:type="dxa"/>
            </w:tcMar>
            <w:vAlign w:val="bottom"/>
          </w:tcPr>
          <w:p w14:paraId="74DD65C2" w14:textId="77777777" w:rsidR="00584EC1" w:rsidRDefault="00584EC1">
            <w:pPr>
              <w:rPr>
                <w:rFonts w:ascii="宋体"/>
              </w:rPr>
            </w:pPr>
          </w:p>
        </w:tc>
        <w:tc>
          <w:tcPr>
            <w:tcW w:w="0" w:type="auto"/>
            <w:gridSpan w:val="3"/>
            <w:shd w:val="clear" w:color="auto" w:fill="FFFFFF"/>
            <w:tcMar>
              <w:top w:w="40" w:type="dxa"/>
              <w:left w:w="20" w:type="dxa"/>
              <w:bottom w:w="40" w:type="dxa"/>
              <w:right w:w="140" w:type="dxa"/>
            </w:tcMar>
            <w:vAlign w:val="bottom"/>
          </w:tcPr>
          <w:p w14:paraId="74DD65C3" w14:textId="77777777" w:rsidR="00584EC1" w:rsidRDefault="00871F8D">
            <w:pPr>
              <w:jc w:val="right"/>
              <w:textAlignment w:val="bottom"/>
            </w:pPr>
            <w:r>
              <w:rPr>
                <w:rFonts w:ascii="Arial" w:eastAsia="宋体" w:hAnsi="Arial" w:cs="Arial"/>
                <w:color w:val="000000"/>
                <w:sz w:val="15"/>
                <w:szCs w:val="15"/>
              </w:rPr>
              <w:t>nm</w:t>
            </w:r>
          </w:p>
        </w:tc>
        <w:tc>
          <w:tcPr>
            <w:tcW w:w="0" w:type="auto"/>
            <w:gridSpan w:val="3"/>
            <w:shd w:val="clear" w:color="auto" w:fill="auto"/>
            <w:vAlign w:val="bottom"/>
          </w:tcPr>
          <w:p w14:paraId="74DD65C4" w14:textId="77777777" w:rsidR="00584EC1" w:rsidRDefault="00584EC1">
            <w:pPr>
              <w:rPr>
                <w:rFonts w:ascii="宋体"/>
                <w:vanish/>
              </w:rPr>
            </w:pPr>
          </w:p>
        </w:tc>
        <w:tc>
          <w:tcPr>
            <w:tcW w:w="0" w:type="auto"/>
            <w:gridSpan w:val="3"/>
            <w:shd w:val="clear" w:color="auto" w:fill="auto"/>
            <w:vAlign w:val="bottom"/>
          </w:tcPr>
          <w:p w14:paraId="74DD65C5" w14:textId="77777777" w:rsidR="00584EC1" w:rsidRDefault="00584EC1">
            <w:pPr>
              <w:rPr>
                <w:rFonts w:ascii="宋体"/>
                <w:vanish/>
              </w:rPr>
            </w:pPr>
          </w:p>
        </w:tc>
        <w:tc>
          <w:tcPr>
            <w:tcW w:w="0" w:type="auto"/>
            <w:gridSpan w:val="3"/>
            <w:shd w:val="clear" w:color="auto" w:fill="auto"/>
            <w:vAlign w:val="bottom"/>
          </w:tcPr>
          <w:p w14:paraId="74DD65C6" w14:textId="77777777" w:rsidR="00584EC1" w:rsidRDefault="00584EC1">
            <w:pPr>
              <w:rPr>
                <w:rFonts w:ascii="宋体"/>
                <w:vanish/>
              </w:rPr>
            </w:pPr>
          </w:p>
        </w:tc>
      </w:tr>
      <w:tr w:rsidR="00584EC1" w14:paraId="74DD65D5" w14:textId="77777777">
        <w:tc>
          <w:tcPr>
            <w:tcW w:w="0" w:type="auto"/>
            <w:gridSpan w:val="3"/>
            <w:shd w:val="clear" w:color="auto" w:fill="CCEEFF"/>
            <w:tcMar>
              <w:top w:w="40" w:type="dxa"/>
              <w:left w:w="140" w:type="dxa"/>
              <w:bottom w:w="40" w:type="dxa"/>
              <w:right w:w="20" w:type="dxa"/>
            </w:tcMar>
            <w:vAlign w:val="bottom"/>
          </w:tcPr>
          <w:p w14:paraId="74DD65C8" w14:textId="77777777" w:rsidR="00584EC1" w:rsidRDefault="00871F8D">
            <w:pPr>
              <w:textAlignment w:val="bottom"/>
            </w:pPr>
            <w:r>
              <w:rPr>
                <w:rFonts w:ascii="Arial" w:eastAsia="宋体" w:hAnsi="Arial" w:cs="Arial"/>
                <w:color w:val="000000"/>
                <w:sz w:val="15"/>
                <w:szCs w:val="15"/>
              </w:rPr>
              <w:t>Other income</w:t>
            </w:r>
          </w:p>
        </w:tc>
        <w:tc>
          <w:tcPr>
            <w:tcW w:w="0" w:type="auto"/>
            <w:gridSpan w:val="2"/>
            <w:shd w:val="clear" w:color="auto" w:fill="CCEEFF"/>
            <w:tcMar>
              <w:top w:w="40" w:type="dxa"/>
              <w:left w:w="20" w:type="dxa"/>
              <w:bottom w:w="40" w:type="dxa"/>
              <w:right w:w="0" w:type="dxa"/>
            </w:tcMar>
            <w:vAlign w:val="bottom"/>
          </w:tcPr>
          <w:p w14:paraId="74DD65C9"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65C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5C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5CC"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65CD" w14:textId="77777777" w:rsidR="00584EC1" w:rsidRDefault="00584EC1">
            <w:pPr>
              <w:jc w:val="right"/>
              <w:rPr>
                <w:rFonts w:ascii="宋体"/>
              </w:rPr>
            </w:pPr>
          </w:p>
        </w:tc>
        <w:tc>
          <w:tcPr>
            <w:tcW w:w="0" w:type="auto"/>
            <w:shd w:val="clear" w:color="auto" w:fill="auto"/>
            <w:vAlign w:val="bottom"/>
          </w:tcPr>
          <w:p w14:paraId="74DD65CE" w14:textId="77777777" w:rsidR="00584EC1" w:rsidRDefault="00584EC1">
            <w:pPr>
              <w:rPr>
                <w:rFonts w:ascii="宋体"/>
                <w:vanish/>
              </w:rPr>
            </w:pPr>
          </w:p>
        </w:tc>
        <w:tc>
          <w:tcPr>
            <w:tcW w:w="0" w:type="auto"/>
            <w:shd w:val="clear" w:color="auto" w:fill="auto"/>
            <w:vAlign w:val="bottom"/>
          </w:tcPr>
          <w:p w14:paraId="74DD65CF" w14:textId="77777777" w:rsidR="00584EC1" w:rsidRDefault="00584EC1">
            <w:pPr>
              <w:rPr>
                <w:rFonts w:ascii="宋体"/>
                <w:vanish/>
              </w:rPr>
            </w:pPr>
          </w:p>
        </w:tc>
        <w:tc>
          <w:tcPr>
            <w:tcW w:w="0" w:type="auto"/>
            <w:gridSpan w:val="3"/>
            <w:shd w:val="clear" w:color="auto" w:fill="CCEEFF"/>
            <w:tcMar>
              <w:top w:w="0" w:type="dxa"/>
              <w:left w:w="20" w:type="dxa"/>
              <w:bottom w:w="0" w:type="dxa"/>
              <w:right w:w="20" w:type="dxa"/>
            </w:tcMar>
            <w:vAlign w:val="bottom"/>
          </w:tcPr>
          <w:p w14:paraId="74DD65D0" w14:textId="77777777" w:rsidR="00584EC1" w:rsidRDefault="00584EC1">
            <w:pPr>
              <w:rPr>
                <w:rFonts w:ascii="宋体"/>
              </w:rPr>
            </w:pPr>
          </w:p>
        </w:tc>
        <w:tc>
          <w:tcPr>
            <w:tcW w:w="0" w:type="auto"/>
            <w:gridSpan w:val="3"/>
            <w:shd w:val="clear" w:color="auto" w:fill="CCEEFF"/>
            <w:tcMar>
              <w:top w:w="40" w:type="dxa"/>
              <w:left w:w="20" w:type="dxa"/>
              <w:bottom w:w="40" w:type="dxa"/>
              <w:right w:w="140" w:type="dxa"/>
            </w:tcMar>
            <w:vAlign w:val="bottom"/>
          </w:tcPr>
          <w:p w14:paraId="74DD65D1" w14:textId="77777777" w:rsidR="00584EC1" w:rsidRDefault="00871F8D">
            <w:pPr>
              <w:jc w:val="right"/>
              <w:textAlignment w:val="bottom"/>
            </w:pPr>
            <w:r>
              <w:rPr>
                <w:rFonts w:ascii="Arial" w:eastAsia="宋体" w:hAnsi="Arial" w:cs="Arial"/>
                <w:color w:val="000000"/>
                <w:sz w:val="15"/>
                <w:szCs w:val="15"/>
              </w:rPr>
              <w:t>nm</w:t>
            </w:r>
          </w:p>
        </w:tc>
        <w:tc>
          <w:tcPr>
            <w:tcW w:w="0" w:type="auto"/>
            <w:gridSpan w:val="3"/>
            <w:shd w:val="clear" w:color="auto" w:fill="auto"/>
            <w:vAlign w:val="bottom"/>
          </w:tcPr>
          <w:p w14:paraId="74DD65D2" w14:textId="77777777" w:rsidR="00584EC1" w:rsidRDefault="00584EC1">
            <w:pPr>
              <w:rPr>
                <w:rFonts w:ascii="宋体"/>
                <w:vanish/>
              </w:rPr>
            </w:pPr>
          </w:p>
        </w:tc>
        <w:tc>
          <w:tcPr>
            <w:tcW w:w="0" w:type="auto"/>
            <w:gridSpan w:val="3"/>
            <w:shd w:val="clear" w:color="auto" w:fill="auto"/>
            <w:vAlign w:val="bottom"/>
          </w:tcPr>
          <w:p w14:paraId="74DD65D3" w14:textId="77777777" w:rsidR="00584EC1" w:rsidRDefault="00584EC1">
            <w:pPr>
              <w:rPr>
                <w:rFonts w:ascii="宋体"/>
                <w:vanish/>
              </w:rPr>
            </w:pPr>
          </w:p>
        </w:tc>
        <w:tc>
          <w:tcPr>
            <w:tcW w:w="0" w:type="auto"/>
            <w:gridSpan w:val="3"/>
            <w:shd w:val="clear" w:color="auto" w:fill="auto"/>
            <w:vAlign w:val="bottom"/>
          </w:tcPr>
          <w:p w14:paraId="74DD65D4" w14:textId="77777777" w:rsidR="00584EC1" w:rsidRDefault="00584EC1">
            <w:pPr>
              <w:rPr>
                <w:rFonts w:ascii="宋体"/>
                <w:vanish/>
              </w:rPr>
            </w:pPr>
          </w:p>
        </w:tc>
      </w:tr>
      <w:tr w:rsidR="00584EC1" w14:paraId="74DD65E3" w14:textId="77777777">
        <w:tc>
          <w:tcPr>
            <w:tcW w:w="0" w:type="auto"/>
            <w:gridSpan w:val="3"/>
            <w:shd w:val="clear" w:color="auto" w:fill="FFFFFF"/>
            <w:tcMar>
              <w:top w:w="40" w:type="dxa"/>
              <w:left w:w="20" w:type="dxa"/>
              <w:bottom w:w="40" w:type="dxa"/>
              <w:right w:w="20" w:type="dxa"/>
            </w:tcMar>
            <w:vAlign w:val="bottom"/>
          </w:tcPr>
          <w:p w14:paraId="74DD65D6" w14:textId="77777777" w:rsidR="00584EC1" w:rsidRDefault="00871F8D">
            <w:pPr>
              <w:textAlignment w:val="bottom"/>
            </w:pPr>
            <w:r>
              <w:rPr>
                <w:rFonts w:ascii="Arial" w:eastAsia="宋体" w:hAnsi="Arial" w:cs="Arial"/>
                <w:color w:val="000000"/>
                <w:sz w:val="15"/>
                <w:szCs w:val="15"/>
              </w:rPr>
              <w:t>Total other income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65D7" w14:textId="77777777" w:rsidR="00584EC1" w:rsidRDefault="00871F8D">
            <w:pPr>
              <w:jc w:val="right"/>
              <w:textAlignment w:val="bottom"/>
            </w:pPr>
            <w:r>
              <w:rPr>
                <w:rFonts w:ascii="Arial" w:eastAsia="宋体" w:hAnsi="Arial" w:cs="Arial"/>
                <w:b/>
                <w:bCs/>
                <w:color w:val="000000"/>
                <w:sz w:val="15"/>
                <w:szCs w:val="15"/>
              </w:rPr>
              <w:t>(1)</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65D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5D9"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65DA" w14:textId="77777777" w:rsidR="00584EC1" w:rsidRDefault="00871F8D">
            <w:pPr>
              <w:jc w:val="right"/>
              <w:textAlignment w:val="bottom"/>
            </w:pP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65DB" w14:textId="77777777" w:rsidR="00584EC1" w:rsidRDefault="00584EC1">
            <w:pPr>
              <w:jc w:val="right"/>
              <w:rPr>
                <w:rFonts w:ascii="宋体"/>
              </w:rPr>
            </w:pPr>
          </w:p>
        </w:tc>
        <w:tc>
          <w:tcPr>
            <w:tcW w:w="0" w:type="auto"/>
            <w:shd w:val="clear" w:color="auto" w:fill="auto"/>
            <w:vAlign w:val="bottom"/>
          </w:tcPr>
          <w:p w14:paraId="74DD65DC" w14:textId="77777777" w:rsidR="00584EC1" w:rsidRDefault="00584EC1">
            <w:pPr>
              <w:rPr>
                <w:rFonts w:ascii="宋体"/>
                <w:vanish/>
              </w:rPr>
            </w:pPr>
          </w:p>
        </w:tc>
        <w:tc>
          <w:tcPr>
            <w:tcW w:w="0" w:type="auto"/>
            <w:shd w:val="clear" w:color="auto" w:fill="auto"/>
            <w:vAlign w:val="bottom"/>
          </w:tcPr>
          <w:p w14:paraId="74DD65DD" w14:textId="77777777" w:rsidR="00584EC1" w:rsidRDefault="00584EC1">
            <w:pPr>
              <w:rPr>
                <w:rFonts w:ascii="宋体"/>
                <w:vanish/>
              </w:rPr>
            </w:pPr>
          </w:p>
        </w:tc>
        <w:tc>
          <w:tcPr>
            <w:tcW w:w="0" w:type="auto"/>
            <w:gridSpan w:val="3"/>
            <w:shd w:val="clear" w:color="auto" w:fill="FFFFFF"/>
            <w:tcMar>
              <w:top w:w="0" w:type="dxa"/>
              <w:left w:w="20" w:type="dxa"/>
              <w:bottom w:w="0" w:type="dxa"/>
              <w:right w:w="20" w:type="dxa"/>
            </w:tcMar>
            <w:vAlign w:val="bottom"/>
          </w:tcPr>
          <w:p w14:paraId="74DD65DE" w14:textId="77777777" w:rsidR="00584EC1" w:rsidRDefault="00584EC1">
            <w:pPr>
              <w:rPr>
                <w:rFonts w:ascii="宋体"/>
              </w:rPr>
            </w:pPr>
          </w:p>
        </w:tc>
        <w:tc>
          <w:tcPr>
            <w:tcW w:w="0" w:type="auto"/>
            <w:gridSpan w:val="3"/>
            <w:shd w:val="clear" w:color="auto" w:fill="FFFFFF"/>
            <w:tcMar>
              <w:top w:w="40" w:type="dxa"/>
              <w:left w:w="20" w:type="dxa"/>
              <w:bottom w:w="40" w:type="dxa"/>
              <w:right w:w="140" w:type="dxa"/>
            </w:tcMar>
            <w:vAlign w:val="bottom"/>
          </w:tcPr>
          <w:p w14:paraId="74DD65DF" w14:textId="77777777" w:rsidR="00584EC1" w:rsidRDefault="00871F8D">
            <w:pPr>
              <w:jc w:val="right"/>
              <w:textAlignment w:val="bottom"/>
            </w:pPr>
            <w:r>
              <w:rPr>
                <w:rFonts w:ascii="Arial" w:eastAsia="宋体" w:hAnsi="Arial" w:cs="Arial"/>
                <w:color w:val="000000"/>
                <w:sz w:val="15"/>
                <w:szCs w:val="15"/>
              </w:rPr>
              <w:t>nm</w:t>
            </w:r>
          </w:p>
        </w:tc>
        <w:tc>
          <w:tcPr>
            <w:tcW w:w="0" w:type="auto"/>
            <w:gridSpan w:val="3"/>
            <w:shd w:val="clear" w:color="auto" w:fill="auto"/>
            <w:vAlign w:val="bottom"/>
          </w:tcPr>
          <w:p w14:paraId="74DD65E0" w14:textId="77777777" w:rsidR="00584EC1" w:rsidRDefault="00584EC1">
            <w:pPr>
              <w:rPr>
                <w:rFonts w:ascii="宋体"/>
                <w:vanish/>
              </w:rPr>
            </w:pPr>
          </w:p>
        </w:tc>
        <w:tc>
          <w:tcPr>
            <w:tcW w:w="0" w:type="auto"/>
            <w:gridSpan w:val="3"/>
            <w:shd w:val="clear" w:color="auto" w:fill="auto"/>
            <w:vAlign w:val="bottom"/>
          </w:tcPr>
          <w:p w14:paraId="74DD65E1" w14:textId="77777777" w:rsidR="00584EC1" w:rsidRDefault="00584EC1">
            <w:pPr>
              <w:rPr>
                <w:rFonts w:ascii="宋体"/>
                <w:vanish/>
              </w:rPr>
            </w:pPr>
          </w:p>
        </w:tc>
        <w:tc>
          <w:tcPr>
            <w:tcW w:w="0" w:type="auto"/>
            <w:gridSpan w:val="3"/>
            <w:shd w:val="clear" w:color="auto" w:fill="auto"/>
            <w:vAlign w:val="bottom"/>
          </w:tcPr>
          <w:p w14:paraId="74DD65E2" w14:textId="77777777" w:rsidR="00584EC1" w:rsidRDefault="00584EC1">
            <w:pPr>
              <w:rPr>
                <w:rFonts w:ascii="宋体"/>
                <w:vanish/>
              </w:rPr>
            </w:pPr>
          </w:p>
        </w:tc>
      </w:tr>
      <w:tr w:rsidR="00584EC1" w14:paraId="74DD65F4" w14:textId="77777777">
        <w:tc>
          <w:tcPr>
            <w:tcW w:w="0" w:type="auto"/>
            <w:gridSpan w:val="3"/>
            <w:shd w:val="clear" w:color="auto" w:fill="CCEEFF"/>
            <w:tcMar>
              <w:top w:w="40" w:type="dxa"/>
              <w:left w:w="20" w:type="dxa"/>
              <w:bottom w:w="40" w:type="dxa"/>
              <w:right w:w="20" w:type="dxa"/>
            </w:tcMar>
            <w:vAlign w:val="bottom"/>
          </w:tcPr>
          <w:p w14:paraId="74DD65E4" w14:textId="77777777" w:rsidR="00584EC1" w:rsidRDefault="00871F8D">
            <w:pPr>
              <w:textAlignment w:val="bottom"/>
            </w:pPr>
            <w:r>
              <w:rPr>
                <w:rFonts w:ascii="Arial" w:eastAsia="宋体" w:hAnsi="Arial" w:cs="Arial"/>
                <w:color w:val="000000"/>
                <w:sz w:val="15"/>
                <w:szCs w:val="15"/>
              </w:rPr>
              <w:t>Total rev</w:t>
            </w:r>
            <w:r>
              <w:rPr>
                <w:rFonts w:ascii="Arial" w:eastAsia="宋体" w:hAnsi="Arial" w:cs="Arial"/>
                <w:color w:val="000000"/>
                <w:sz w:val="15"/>
                <w:szCs w:val="15"/>
              </w:rPr>
              <w:t>enue</w:t>
            </w:r>
            <w:r>
              <w:rPr>
                <w:rFonts w:ascii="Arial" w:eastAsia="宋体" w:hAnsi="Arial" w:cs="Arial"/>
                <w:color w:val="000000"/>
                <w:sz w:val="9"/>
                <w:szCs w:val="9"/>
              </w:rPr>
              <w:t>(1)</w:t>
            </w:r>
          </w:p>
        </w:tc>
        <w:tc>
          <w:tcPr>
            <w:tcW w:w="0" w:type="auto"/>
            <w:tcBorders>
              <w:top w:val="single" w:sz="8" w:space="0" w:color="000000"/>
            </w:tcBorders>
            <w:shd w:val="clear" w:color="auto" w:fill="CCEEFF"/>
            <w:tcMar>
              <w:top w:w="40" w:type="dxa"/>
              <w:left w:w="20" w:type="dxa"/>
              <w:bottom w:w="40" w:type="dxa"/>
              <w:right w:w="0" w:type="dxa"/>
            </w:tcMar>
            <w:vAlign w:val="bottom"/>
          </w:tcPr>
          <w:p w14:paraId="74DD65E5" w14:textId="77777777" w:rsidR="00584EC1" w:rsidRDefault="00871F8D">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65E6" w14:textId="77777777" w:rsidR="00584EC1" w:rsidRDefault="00871F8D">
            <w:pPr>
              <w:jc w:val="right"/>
              <w:textAlignment w:val="bottom"/>
            </w:pPr>
            <w:r>
              <w:rPr>
                <w:rFonts w:ascii="Arial" w:eastAsia="宋体" w:hAnsi="Arial" w:cs="Arial"/>
                <w:b/>
                <w:bCs/>
                <w:color w:val="000000"/>
                <w:sz w:val="15"/>
                <w:szCs w:val="15"/>
              </w:rPr>
              <w:t>2,990</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65E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5E8"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65E9"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65EA" w14:textId="77777777" w:rsidR="00584EC1" w:rsidRDefault="00871F8D">
            <w:pPr>
              <w:jc w:val="right"/>
              <w:textAlignment w:val="bottom"/>
            </w:pPr>
            <w:r>
              <w:rPr>
                <w:rFonts w:ascii="Arial" w:eastAsia="宋体" w:hAnsi="Arial" w:cs="Arial"/>
                <w:color w:val="000000"/>
                <w:sz w:val="15"/>
                <w:szCs w:val="15"/>
              </w:rPr>
              <w:t>2,784 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65EB" w14:textId="77777777" w:rsidR="00584EC1" w:rsidRDefault="00584EC1">
            <w:pPr>
              <w:jc w:val="right"/>
              <w:rPr>
                <w:rFonts w:ascii="宋体"/>
              </w:rPr>
            </w:pPr>
          </w:p>
        </w:tc>
        <w:tc>
          <w:tcPr>
            <w:tcW w:w="0" w:type="auto"/>
            <w:shd w:val="clear" w:color="auto" w:fill="auto"/>
            <w:vAlign w:val="bottom"/>
          </w:tcPr>
          <w:p w14:paraId="74DD65EC" w14:textId="77777777" w:rsidR="00584EC1" w:rsidRDefault="00584EC1">
            <w:pPr>
              <w:rPr>
                <w:rFonts w:ascii="宋体"/>
                <w:vanish/>
              </w:rPr>
            </w:pPr>
          </w:p>
        </w:tc>
        <w:tc>
          <w:tcPr>
            <w:tcW w:w="0" w:type="auto"/>
            <w:shd w:val="clear" w:color="auto" w:fill="auto"/>
            <w:vAlign w:val="bottom"/>
          </w:tcPr>
          <w:p w14:paraId="74DD65ED" w14:textId="77777777" w:rsidR="00584EC1" w:rsidRDefault="00584EC1">
            <w:pPr>
              <w:rPr>
                <w:rFonts w:ascii="宋体"/>
                <w:vanish/>
              </w:rPr>
            </w:pPr>
          </w:p>
        </w:tc>
        <w:tc>
          <w:tcPr>
            <w:tcW w:w="0" w:type="auto"/>
            <w:gridSpan w:val="3"/>
            <w:shd w:val="clear" w:color="auto" w:fill="CCEEFF"/>
            <w:tcMar>
              <w:top w:w="0" w:type="dxa"/>
              <w:left w:w="20" w:type="dxa"/>
              <w:bottom w:w="0" w:type="dxa"/>
              <w:right w:w="20" w:type="dxa"/>
            </w:tcMar>
            <w:vAlign w:val="bottom"/>
          </w:tcPr>
          <w:p w14:paraId="74DD65EE"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5EF" w14:textId="77777777" w:rsidR="00584EC1" w:rsidRDefault="00871F8D">
            <w:pPr>
              <w:jc w:val="right"/>
              <w:textAlignment w:val="bottom"/>
            </w:pPr>
            <w:r>
              <w:rPr>
                <w:rFonts w:ascii="Arial" w:eastAsia="宋体" w:hAnsi="Arial" w:cs="Arial"/>
                <w:color w:val="000000"/>
                <w:sz w:val="15"/>
                <w:szCs w:val="15"/>
              </w:rPr>
              <w:t>7 </w:t>
            </w:r>
          </w:p>
        </w:tc>
        <w:tc>
          <w:tcPr>
            <w:tcW w:w="0" w:type="auto"/>
            <w:shd w:val="clear" w:color="auto" w:fill="CCEEFF"/>
            <w:tcMar>
              <w:top w:w="40" w:type="dxa"/>
              <w:left w:w="0" w:type="dxa"/>
              <w:bottom w:w="40" w:type="dxa"/>
              <w:right w:w="20" w:type="dxa"/>
            </w:tcMar>
            <w:vAlign w:val="bottom"/>
          </w:tcPr>
          <w:p w14:paraId="74DD65F0" w14:textId="77777777" w:rsidR="00584EC1" w:rsidRDefault="00584EC1">
            <w:pPr>
              <w:jc w:val="right"/>
              <w:rPr>
                <w:rFonts w:ascii="宋体"/>
              </w:rPr>
            </w:pPr>
          </w:p>
        </w:tc>
        <w:tc>
          <w:tcPr>
            <w:tcW w:w="0" w:type="auto"/>
            <w:gridSpan w:val="3"/>
            <w:shd w:val="clear" w:color="auto" w:fill="auto"/>
            <w:vAlign w:val="bottom"/>
          </w:tcPr>
          <w:p w14:paraId="74DD65F1" w14:textId="77777777" w:rsidR="00584EC1" w:rsidRDefault="00584EC1">
            <w:pPr>
              <w:rPr>
                <w:rFonts w:ascii="宋体"/>
                <w:vanish/>
              </w:rPr>
            </w:pPr>
          </w:p>
        </w:tc>
        <w:tc>
          <w:tcPr>
            <w:tcW w:w="0" w:type="auto"/>
            <w:gridSpan w:val="3"/>
            <w:shd w:val="clear" w:color="auto" w:fill="auto"/>
            <w:vAlign w:val="bottom"/>
          </w:tcPr>
          <w:p w14:paraId="74DD65F2" w14:textId="77777777" w:rsidR="00584EC1" w:rsidRDefault="00584EC1">
            <w:pPr>
              <w:rPr>
                <w:rFonts w:ascii="宋体"/>
                <w:vanish/>
              </w:rPr>
            </w:pPr>
          </w:p>
        </w:tc>
        <w:tc>
          <w:tcPr>
            <w:tcW w:w="0" w:type="auto"/>
            <w:gridSpan w:val="3"/>
            <w:shd w:val="clear" w:color="auto" w:fill="auto"/>
            <w:vAlign w:val="bottom"/>
          </w:tcPr>
          <w:p w14:paraId="74DD65F3" w14:textId="77777777" w:rsidR="00584EC1" w:rsidRDefault="00584EC1">
            <w:pPr>
              <w:rPr>
                <w:rFonts w:ascii="宋体"/>
                <w:vanish/>
              </w:rPr>
            </w:pPr>
          </w:p>
        </w:tc>
      </w:tr>
      <w:tr w:rsidR="00584EC1" w14:paraId="74DD6600" w14:textId="77777777">
        <w:trPr>
          <w:trHeight w:val="100"/>
        </w:trPr>
        <w:tc>
          <w:tcPr>
            <w:tcW w:w="0" w:type="auto"/>
            <w:gridSpan w:val="3"/>
            <w:shd w:val="clear" w:color="auto" w:fill="auto"/>
            <w:tcMar>
              <w:top w:w="0" w:type="dxa"/>
              <w:left w:w="20" w:type="dxa"/>
              <w:bottom w:w="0" w:type="dxa"/>
              <w:right w:w="20" w:type="dxa"/>
            </w:tcMar>
            <w:vAlign w:val="bottom"/>
          </w:tcPr>
          <w:p w14:paraId="74DD65F5"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D65F6"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65F7"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D65F8" w14:textId="77777777" w:rsidR="00584EC1" w:rsidRDefault="00584EC1">
            <w:pPr>
              <w:rPr>
                <w:rFonts w:ascii="宋体"/>
              </w:rPr>
            </w:pPr>
          </w:p>
        </w:tc>
        <w:tc>
          <w:tcPr>
            <w:tcW w:w="0" w:type="auto"/>
            <w:shd w:val="clear" w:color="auto" w:fill="auto"/>
            <w:vAlign w:val="bottom"/>
          </w:tcPr>
          <w:p w14:paraId="74DD65F9" w14:textId="77777777" w:rsidR="00584EC1" w:rsidRDefault="00584EC1">
            <w:pPr>
              <w:rPr>
                <w:rFonts w:ascii="宋体"/>
                <w:vanish/>
              </w:rPr>
            </w:pPr>
          </w:p>
        </w:tc>
        <w:tc>
          <w:tcPr>
            <w:tcW w:w="0" w:type="auto"/>
            <w:shd w:val="clear" w:color="auto" w:fill="auto"/>
            <w:vAlign w:val="bottom"/>
          </w:tcPr>
          <w:p w14:paraId="74DD65FA" w14:textId="77777777" w:rsidR="00584EC1" w:rsidRDefault="00584EC1">
            <w:pPr>
              <w:rPr>
                <w:rFonts w:ascii="宋体"/>
                <w:vanish/>
              </w:rPr>
            </w:pPr>
          </w:p>
        </w:tc>
        <w:tc>
          <w:tcPr>
            <w:tcW w:w="0" w:type="auto"/>
            <w:gridSpan w:val="3"/>
            <w:shd w:val="clear" w:color="auto" w:fill="auto"/>
            <w:tcMar>
              <w:top w:w="0" w:type="dxa"/>
              <w:left w:w="20" w:type="dxa"/>
              <w:bottom w:w="0" w:type="dxa"/>
              <w:right w:w="20" w:type="dxa"/>
            </w:tcMar>
            <w:vAlign w:val="bottom"/>
          </w:tcPr>
          <w:p w14:paraId="74DD65FB"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65FC" w14:textId="77777777" w:rsidR="00584EC1" w:rsidRDefault="00584EC1">
            <w:pPr>
              <w:rPr>
                <w:rFonts w:ascii="宋体"/>
              </w:rPr>
            </w:pPr>
          </w:p>
        </w:tc>
        <w:tc>
          <w:tcPr>
            <w:tcW w:w="0" w:type="auto"/>
            <w:gridSpan w:val="3"/>
            <w:shd w:val="clear" w:color="auto" w:fill="auto"/>
            <w:vAlign w:val="bottom"/>
          </w:tcPr>
          <w:p w14:paraId="74DD65FD" w14:textId="77777777" w:rsidR="00584EC1" w:rsidRDefault="00584EC1">
            <w:pPr>
              <w:rPr>
                <w:rFonts w:ascii="宋体"/>
                <w:vanish/>
              </w:rPr>
            </w:pPr>
          </w:p>
        </w:tc>
        <w:tc>
          <w:tcPr>
            <w:tcW w:w="0" w:type="auto"/>
            <w:gridSpan w:val="3"/>
            <w:shd w:val="clear" w:color="auto" w:fill="auto"/>
            <w:vAlign w:val="bottom"/>
          </w:tcPr>
          <w:p w14:paraId="74DD65FE" w14:textId="77777777" w:rsidR="00584EC1" w:rsidRDefault="00584EC1">
            <w:pPr>
              <w:rPr>
                <w:rFonts w:ascii="宋体"/>
                <w:vanish/>
              </w:rPr>
            </w:pPr>
          </w:p>
        </w:tc>
        <w:tc>
          <w:tcPr>
            <w:tcW w:w="0" w:type="auto"/>
            <w:gridSpan w:val="3"/>
            <w:shd w:val="clear" w:color="auto" w:fill="auto"/>
            <w:vAlign w:val="bottom"/>
          </w:tcPr>
          <w:p w14:paraId="74DD65FF" w14:textId="77777777" w:rsidR="00584EC1" w:rsidRDefault="00584EC1">
            <w:pPr>
              <w:rPr>
                <w:rFonts w:ascii="宋体"/>
                <w:vanish/>
              </w:rPr>
            </w:pPr>
          </w:p>
        </w:tc>
      </w:tr>
      <w:tr w:rsidR="00584EC1" w14:paraId="74DD660A" w14:textId="77777777">
        <w:trPr>
          <w:trHeight w:val="340"/>
        </w:trPr>
        <w:tc>
          <w:tcPr>
            <w:tcW w:w="0" w:type="auto"/>
            <w:gridSpan w:val="3"/>
            <w:shd w:val="clear" w:color="auto" w:fill="auto"/>
            <w:tcMar>
              <w:top w:w="0" w:type="dxa"/>
              <w:left w:w="20" w:type="dxa"/>
              <w:bottom w:w="0" w:type="dxa"/>
              <w:right w:w="20" w:type="dxa"/>
            </w:tcMar>
            <w:vAlign w:val="bottom"/>
          </w:tcPr>
          <w:p w14:paraId="74DD6601" w14:textId="77777777" w:rsidR="00584EC1" w:rsidRDefault="00584EC1">
            <w:pPr>
              <w:rPr>
                <w:rFonts w:ascii="宋体"/>
              </w:rPr>
            </w:pPr>
          </w:p>
        </w:tc>
        <w:tc>
          <w:tcPr>
            <w:tcW w:w="0" w:type="auto"/>
            <w:gridSpan w:val="9"/>
            <w:shd w:val="clear" w:color="auto" w:fill="auto"/>
            <w:tcMar>
              <w:top w:w="40" w:type="dxa"/>
              <w:left w:w="20" w:type="dxa"/>
              <w:bottom w:w="40" w:type="dxa"/>
              <w:right w:w="20" w:type="dxa"/>
            </w:tcMar>
            <w:vAlign w:val="center"/>
          </w:tcPr>
          <w:p w14:paraId="74DD6602" w14:textId="77777777" w:rsidR="00584EC1" w:rsidRDefault="00871F8D">
            <w:pPr>
              <w:jc w:val="center"/>
              <w:textAlignment w:val="center"/>
            </w:pPr>
            <w:r>
              <w:rPr>
                <w:rFonts w:ascii="Arial" w:eastAsia="宋体" w:hAnsi="Arial" w:cs="Arial"/>
                <w:b/>
                <w:bCs/>
                <w:color w:val="000000"/>
                <w:sz w:val="15"/>
                <w:szCs w:val="15"/>
              </w:rPr>
              <w:t>Nine Months Ended September 30,</w:t>
            </w:r>
          </w:p>
        </w:tc>
        <w:tc>
          <w:tcPr>
            <w:tcW w:w="0" w:type="auto"/>
            <w:shd w:val="clear" w:color="auto" w:fill="auto"/>
            <w:vAlign w:val="bottom"/>
          </w:tcPr>
          <w:p w14:paraId="74DD6603" w14:textId="77777777" w:rsidR="00584EC1" w:rsidRDefault="00584EC1">
            <w:pPr>
              <w:rPr>
                <w:rFonts w:ascii="宋体"/>
                <w:vanish/>
              </w:rPr>
            </w:pPr>
          </w:p>
        </w:tc>
        <w:tc>
          <w:tcPr>
            <w:tcW w:w="0" w:type="auto"/>
            <w:shd w:val="clear" w:color="auto" w:fill="auto"/>
            <w:vAlign w:val="bottom"/>
          </w:tcPr>
          <w:p w14:paraId="74DD6604" w14:textId="77777777" w:rsidR="00584EC1" w:rsidRDefault="00584EC1">
            <w:pPr>
              <w:rPr>
                <w:rFonts w:ascii="宋体"/>
                <w:vanish/>
              </w:rPr>
            </w:pPr>
          </w:p>
        </w:tc>
        <w:tc>
          <w:tcPr>
            <w:tcW w:w="0" w:type="auto"/>
            <w:gridSpan w:val="3"/>
            <w:shd w:val="clear" w:color="auto" w:fill="auto"/>
            <w:tcMar>
              <w:top w:w="0" w:type="dxa"/>
              <w:left w:w="20" w:type="dxa"/>
              <w:bottom w:w="0" w:type="dxa"/>
              <w:right w:w="20" w:type="dxa"/>
            </w:tcMar>
            <w:vAlign w:val="bottom"/>
          </w:tcPr>
          <w:p w14:paraId="74DD6605" w14:textId="77777777" w:rsidR="00584EC1" w:rsidRDefault="00584EC1">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74DD6606" w14:textId="77777777" w:rsidR="00584EC1" w:rsidRDefault="00871F8D">
            <w:pPr>
              <w:jc w:val="center"/>
              <w:textAlignment w:val="bottom"/>
            </w:pPr>
            <w:r>
              <w:rPr>
                <w:rFonts w:ascii="Arial" w:eastAsia="宋体" w:hAnsi="Arial" w:cs="Arial"/>
                <w:b/>
                <w:bCs/>
                <w:color w:val="000000"/>
                <w:sz w:val="15"/>
                <w:szCs w:val="15"/>
              </w:rPr>
              <w:t xml:space="preserve">% Change </w:t>
            </w:r>
          </w:p>
        </w:tc>
        <w:tc>
          <w:tcPr>
            <w:tcW w:w="0" w:type="auto"/>
            <w:gridSpan w:val="3"/>
            <w:shd w:val="clear" w:color="auto" w:fill="auto"/>
            <w:vAlign w:val="bottom"/>
          </w:tcPr>
          <w:p w14:paraId="74DD6607" w14:textId="77777777" w:rsidR="00584EC1" w:rsidRDefault="00584EC1">
            <w:pPr>
              <w:rPr>
                <w:rFonts w:ascii="宋体"/>
                <w:vanish/>
              </w:rPr>
            </w:pPr>
          </w:p>
        </w:tc>
        <w:tc>
          <w:tcPr>
            <w:tcW w:w="0" w:type="auto"/>
            <w:gridSpan w:val="3"/>
            <w:shd w:val="clear" w:color="auto" w:fill="auto"/>
            <w:vAlign w:val="bottom"/>
          </w:tcPr>
          <w:p w14:paraId="74DD6608" w14:textId="77777777" w:rsidR="00584EC1" w:rsidRDefault="00584EC1">
            <w:pPr>
              <w:rPr>
                <w:rFonts w:ascii="宋体"/>
                <w:vanish/>
              </w:rPr>
            </w:pPr>
          </w:p>
        </w:tc>
        <w:tc>
          <w:tcPr>
            <w:tcW w:w="0" w:type="auto"/>
            <w:gridSpan w:val="3"/>
            <w:shd w:val="clear" w:color="auto" w:fill="auto"/>
            <w:vAlign w:val="bottom"/>
          </w:tcPr>
          <w:p w14:paraId="74DD6609" w14:textId="77777777" w:rsidR="00584EC1" w:rsidRDefault="00584EC1">
            <w:pPr>
              <w:rPr>
                <w:rFonts w:ascii="宋体"/>
                <w:vanish/>
              </w:rPr>
            </w:pPr>
          </w:p>
        </w:tc>
      </w:tr>
      <w:tr w:rsidR="00584EC1" w14:paraId="74DD6618" w14:textId="77777777">
        <w:trPr>
          <w:trHeight w:val="220"/>
        </w:trPr>
        <w:tc>
          <w:tcPr>
            <w:tcW w:w="0" w:type="auto"/>
            <w:gridSpan w:val="3"/>
            <w:shd w:val="clear" w:color="auto" w:fill="auto"/>
            <w:tcMar>
              <w:top w:w="40" w:type="dxa"/>
              <w:left w:w="20" w:type="dxa"/>
              <w:bottom w:w="40" w:type="dxa"/>
              <w:right w:w="20" w:type="dxa"/>
            </w:tcMar>
            <w:vAlign w:val="bottom"/>
          </w:tcPr>
          <w:p w14:paraId="74DD660B" w14:textId="77777777" w:rsidR="00584EC1" w:rsidRDefault="00871F8D">
            <w:pPr>
              <w:textAlignment w:val="bottom"/>
            </w:pPr>
            <w:r>
              <w:rPr>
                <w:rFonts w:ascii="Arial" w:eastAsia="宋体" w:hAnsi="Arial" w:cs="Arial"/>
                <w:b/>
                <w:bCs/>
                <w:color w:val="000000"/>
                <w:sz w:val="15"/>
                <w:szCs w:val="15"/>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660C" w14:textId="77777777" w:rsidR="00584EC1" w:rsidRDefault="00871F8D">
            <w:pPr>
              <w:jc w:val="center"/>
              <w:textAlignment w:val="bottom"/>
            </w:pPr>
            <w:r>
              <w:rPr>
                <w:rFonts w:ascii="Arial" w:eastAsia="宋体" w:hAnsi="Arial" w:cs="Arial"/>
                <w:b/>
                <w:bCs/>
                <w:color w:val="000000"/>
                <w:sz w:val="15"/>
                <w:szCs w:val="15"/>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660D"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660E" w14:textId="77777777" w:rsidR="00584EC1" w:rsidRDefault="00871F8D">
            <w:pPr>
              <w:jc w:val="center"/>
              <w:textAlignment w:val="bottom"/>
            </w:pPr>
            <w:r>
              <w:rPr>
                <w:rFonts w:ascii="Arial" w:eastAsia="宋体" w:hAnsi="Arial" w:cs="Arial"/>
                <w:b/>
                <w:bCs/>
                <w:color w:val="000000"/>
                <w:sz w:val="15"/>
                <w:szCs w:val="15"/>
              </w:rPr>
              <w:t>2020</w:t>
            </w:r>
          </w:p>
        </w:tc>
        <w:tc>
          <w:tcPr>
            <w:tcW w:w="0" w:type="auto"/>
            <w:shd w:val="clear" w:color="auto" w:fill="auto"/>
            <w:vAlign w:val="bottom"/>
          </w:tcPr>
          <w:p w14:paraId="74DD660F" w14:textId="77777777" w:rsidR="00584EC1" w:rsidRDefault="00584EC1">
            <w:pPr>
              <w:rPr>
                <w:rFonts w:ascii="宋体"/>
                <w:vanish/>
              </w:rPr>
            </w:pPr>
          </w:p>
        </w:tc>
        <w:tc>
          <w:tcPr>
            <w:tcW w:w="0" w:type="auto"/>
            <w:shd w:val="clear" w:color="auto" w:fill="auto"/>
            <w:vAlign w:val="bottom"/>
          </w:tcPr>
          <w:p w14:paraId="74DD6610" w14:textId="77777777" w:rsidR="00584EC1" w:rsidRDefault="00584EC1">
            <w:pPr>
              <w:rPr>
                <w:rFonts w:ascii="宋体"/>
                <w:vanish/>
              </w:rPr>
            </w:pPr>
          </w:p>
        </w:tc>
        <w:tc>
          <w:tcPr>
            <w:tcW w:w="0" w:type="auto"/>
            <w:gridSpan w:val="3"/>
            <w:shd w:val="clear" w:color="auto" w:fill="auto"/>
            <w:tcMar>
              <w:top w:w="0" w:type="dxa"/>
              <w:left w:w="20" w:type="dxa"/>
              <w:bottom w:w="0" w:type="dxa"/>
              <w:right w:w="20" w:type="dxa"/>
            </w:tcMar>
            <w:vAlign w:val="bottom"/>
          </w:tcPr>
          <w:p w14:paraId="74DD6611" w14:textId="77777777" w:rsidR="00584EC1" w:rsidRDefault="00584EC1">
            <w:pPr>
              <w:rPr>
                <w:rFonts w:ascii="宋体"/>
              </w:rPr>
            </w:pPr>
          </w:p>
        </w:tc>
        <w:tc>
          <w:tcPr>
            <w:tcW w:w="0" w:type="auto"/>
            <w:gridSpan w:val="3"/>
            <w:vMerge/>
            <w:shd w:val="clear" w:color="auto" w:fill="auto"/>
            <w:tcMar>
              <w:top w:w="40" w:type="dxa"/>
              <w:left w:w="20" w:type="dxa"/>
              <w:bottom w:w="40" w:type="dxa"/>
              <w:right w:w="20" w:type="dxa"/>
            </w:tcMar>
            <w:vAlign w:val="bottom"/>
          </w:tcPr>
          <w:p w14:paraId="74DD6612" w14:textId="77777777" w:rsidR="00584EC1" w:rsidRDefault="00584EC1">
            <w:pPr>
              <w:jc w:val="center"/>
              <w:rPr>
                <w:rFonts w:ascii="宋体"/>
              </w:rPr>
            </w:pPr>
          </w:p>
        </w:tc>
        <w:tc>
          <w:tcPr>
            <w:tcW w:w="0" w:type="auto"/>
            <w:gridSpan w:val="3"/>
            <w:shd w:val="clear" w:color="auto" w:fill="auto"/>
            <w:vAlign w:val="bottom"/>
          </w:tcPr>
          <w:p w14:paraId="74DD6613" w14:textId="77777777" w:rsidR="00584EC1" w:rsidRDefault="00584EC1">
            <w:pPr>
              <w:rPr>
                <w:rFonts w:ascii="宋体"/>
                <w:vanish/>
              </w:rPr>
            </w:pPr>
          </w:p>
        </w:tc>
        <w:tc>
          <w:tcPr>
            <w:tcW w:w="0" w:type="auto"/>
            <w:gridSpan w:val="3"/>
            <w:shd w:val="clear" w:color="auto" w:fill="auto"/>
            <w:vAlign w:val="bottom"/>
          </w:tcPr>
          <w:p w14:paraId="74DD6614" w14:textId="77777777" w:rsidR="00584EC1" w:rsidRDefault="00584EC1">
            <w:pPr>
              <w:rPr>
                <w:rFonts w:ascii="宋体"/>
                <w:vanish/>
              </w:rPr>
            </w:pPr>
          </w:p>
        </w:tc>
        <w:tc>
          <w:tcPr>
            <w:tcW w:w="0" w:type="auto"/>
            <w:shd w:val="clear" w:color="auto" w:fill="auto"/>
            <w:vAlign w:val="bottom"/>
          </w:tcPr>
          <w:p w14:paraId="74DD6615" w14:textId="77777777" w:rsidR="00584EC1" w:rsidRDefault="00584EC1">
            <w:pPr>
              <w:rPr>
                <w:rFonts w:ascii="宋体"/>
              </w:rPr>
            </w:pPr>
          </w:p>
        </w:tc>
        <w:tc>
          <w:tcPr>
            <w:tcW w:w="0" w:type="auto"/>
            <w:shd w:val="clear" w:color="auto" w:fill="auto"/>
            <w:vAlign w:val="bottom"/>
          </w:tcPr>
          <w:p w14:paraId="74DD6616" w14:textId="77777777" w:rsidR="00584EC1" w:rsidRDefault="00584EC1">
            <w:pPr>
              <w:rPr>
                <w:rFonts w:ascii="宋体"/>
              </w:rPr>
            </w:pPr>
          </w:p>
        </w:tc>
        <w:tc>
          <w:tcPr>
            <w:tcW w:w="0" w:type="auto"/>
            <w:shd w:val="clear" w:color="auto" w:fill="auto"/>
            <w:vAlign w:val="bottom"/>
          </w:tcPr>
          <w:p w14:paraId="74DD6617" w14:textId="77777777" w:rsidR="00584EC1" w:rsidRDefault="00584EC1">
            <w:pPr>
              <w:rPr>
                <w:rFonts w:ascii="宋体"/>
              </w:rPr>
            </w:pPr>
          </w:p>
        </w:tc>
      </w:tr>
      <w:tr w:rsidR="00584EC1" w14:paraId="74DD6624" w14:textId="77777777">
        <w:tc>
          <w:tcPr>
            <w:tcW w:w="0" w:type="auto"/>
            <w:gridSpan w:val="3"/>
            <w:shd w:val="clear" w:color="auto" w:fill="auto"/>
            <w:tcMar>
              <w:top w:w="40" w:type="dxa"/>
              <w:left w:w="20" w:type="dxa"/>
              <w:bottom w:w="40" w:type="dxa"/>
              <w:right w:w="20" w:type="dxa"/>
            </w:tcMar>
            <w:vAlign w:val="bottom"/>
          </w:tcPr>
          <w:p w14:paraId="74DD6619" w14:textId="77777777" w:rsidR="00584EC1" w:rsidRDefault="00871F8D">
            <w:pPr>
              <w:textAlignment w:val="bottom"/>
            </w:pPr>
            <w:r>
              <w:rPr>
                <w:rFonts w:ascii="Arial" w:eastAsia="宋体" w:hAnsi="Arial" w:cs="Arial"/>
                <w:color w:val="000000"/>
                <w:sz w:val="15"/>
                <w:szCs w:val="15"/>
              </w:rPr>
              <w:t>Fee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661A"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661B"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661C" w14:textId="77777777" w:rsidR="00584EC1" w:rsidRDefault="00584EC1">
            <w:pPr>
              <w:rPr>
                <w:rFonts w:ascii="宋体"/>
              </w:rPr>
            </w:pPr>
          </w:p>
        </w:tc>
        <w:tc>
          <w:tcPr>
            <w:tcW w:w="0" w:type="auto"/>
            <w:shd w:val="clear" w:color="auto" w:fill="auto"/>
            <w:vAlign w:val="bottom"/>
          </w:tcPr>
          <w:p w14:paraId="74DD661D" w14:textId="77777777" w:rsidR="00584EC1" w:rsidRDefault="00584EC1">
            <w:pPr>
              <w:rPr>
                <w:rFonts w:ascii="宋体"/>
                <w:vanish/>
              </w:rPr>
            </w:pPr>
          </w:p>
        </w:tc>
        <w:tc>
          <w:tcPr>
            <w:tcW w:w="0" w:type="auto"/>
            <w:shd w:val="clear" w:color="auto" w:fill="auto"/>
            <w:vAlign w:val="bottom"/>
          </w:tcPr>
          <w:p w14:paraId="74DD661E" w14:textId="77777777" w:rsidR="00584EC1" w:rsidRDefault="00584EC1">
            <w:pPr>
              <w:rPr>
                <w:rFonts w:ascii="宋体"/>
                <w:vanish/>
              </w:rPr>
            </w:pPr>
          </w:p>
        </w:tc>
        <w:tc>
          <w:tcPr>
            <w:tcW w:w="0" w:type="auto"/>
            <w:gridSpan w:val="3"/>
            <w:shd w:val="clear" w:color="auto" w:fill="auto"/>
            <w:tcMar>
              <w:top w:w="0" w:type="dxa"/>
              <w:left w:w="20" w:type="dxa"/>
              <w:bottom w:w="0" w:type="dxa"/>
              <w:right w:w="20" w:type="dxa"/>
            </w:tcMar>
            <w:vAlign w:val="bottom"/>
          </w:tcPr>
          <w:p w14:paraId="74DD661F"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6620" w14:textId="77777777" w:rsidR="00584EC1" w:rsidRDefault="00584EC1">
            <w:pPr>
              <w:rPr>
                <w:rFonts w:ascii="宋体"/>
              </w:rPr>
            </w:pPr>
          </w:p>
        </w:tc>
        <w:tc>
          <w:tcPr>
            <w:tcW w:w="0" w:type="auto"/>
            <w:gridSpan w:val="3"/>
            <w:shd w:val="clear" w:color="auto" w:fill="auto"/>
            <w:vAlign w:val="bottom"/>
          </w:tcPr>
          <w:p w14:paraId="74DD6621" w14:textId="77777777" w:rsidR="00584EC1" w:rsidRDefault="00584EC1">
            <w:pPr>
              <w:rPr>
                <w:rFonts w:ascii="宋体"/>
                <w:vanish/>
              </w:rPr>
            </w:pPr>
          </w:p>
        </w:tc>
        <w:tc>
          <w:tcPr>
            <w:tcW w:w="0" w:type="auto"/>
            <w:gridSpan w:val="3"/>
            <w:shd w:val="clear" w:color="auto" w:fill="auto"/>
            <w:vAlign w:val="bottom"/>
          </w:tcPr>
          <w:p w14:paraId="74DD6622" w14:textId="77777777" w:rsidR="00584EC1" w:rsidRDefault="00584EC1">
            <w:pPr>
              <w:rPr>
                <w:rFonts w:ascii="宋体"/>
                <w:vanish/>
              </w:rPr>
            </w:pPr>
          </w:p>
        </w:tc>
        <w:tc>
          <w:tcPr>
            <w:tcW w:w="0" w:type="auto"/>
            <w:gridSpan w:val="3"/>
            <w:shd w:val="clear" w:color="auto" w:fill="auto"/>
            <w:vAlign w:val="bottom"/>
          </w:tcPr>
          <w:p w14:paraId="74DD6623" w14:textId="77777777" w:rsidR="00584EC1" w:rsidRDefault="00584EC1">
            <w:pPr>
              <w:rPr>
                <w:rFonts w:ascii="宋体"/>
                <w:vanish/>
              </w:rPr>
            </w:pPr>
          </w:p>
        </w:tc>
      </w:tr>
      <w:tr w:rsidR="00584EC1" w14:paraId="74DD6635" w14:textId="77777777">
        <w:tc>
          <w:tcPr>
            <w:tcW w:w="0" w:type="auto"/>
            <w:gridSpan w:val="3"/>
            <w:shd w:val="clear" w:color="auto" w:fill="CCEEFF"/>
            <w:tcMar>
              <w:top w:w="40" w:type="dxa"/>
              <w:left w:w="140" w:type="dxa"/>
              <w:bottom w:w="40" w:type="dxa"/>
              <w:right w:w="20" w:type="dxa"/>
            </w:tcMar>
            <w:vAlign w:val="bottom"/>
          </w:tcPr>
          <w:p w14:paraId="74DD6625" w14:textId="77777777" w:rsidR="00584EC1" w:rsidRDefault="00871F8D">
            <w:pPr>
              <w:textAlignment w:val="bottom"/>
            </w:pPr>
            <w:r>
              <w:rPr>
                <w:rFonts w:ascii="Arial" w:eastAsia="宋体" w:hAnsi="Arial" w:cs="Arial"/>
                <w:color w:val="000000"/>
                <w:sz w:val="15"/>
                <w:szCs w:val="15"/>
              </w:rPr>
              <w:t>Servicing fees</w:t>
            </w:r>
          </w:p>
        </w:tc>
        <w:tc>
          <w:tcPr>
            <w:tcW w:w="0" w:type="auto"/>
            <w:shd w:val="clear" w:color="auto" w:fill="CCEEFF"/>
            <w:tcMar>
              <w:top w:w="40" w:type="dxa"/>
              <w:left w:w="20" w:type="dxa"/>
              <w:bottom w:w="40" w:type="dxa"/>
              <w:right w:w="0" w:type="dxa"/>
            </w:tcMar>
            <w:vAlign w:val="bottom"/>
          </w:tcPr>
          <w:p w14:paraId="74DD6626" w14:textId="77777777" w:rsidR="00584EC1" w:rsidRDefault="00871F8D">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4DD6627" w14:textId="77777777" w:rsidR="00584EC1" w:rsidRDefault="00871F8D">
            <w:pPr>
              <w:jc w:val="right"/>
              <w:textAlignment w:val="bottom"/>
            </w:pPr>
            <w:r>
              <w:rPr>
                <w:rFonts w:ascii="Arial" w:eastAsia="宋体" w:hAnsi="Arial" w:cs="Arial"/>
                <w:b/>
                <w:bCs/>
                <w:color w:val="000000"/>
                <w:sz w:val="15"/>
                <w:szCs w:val="15"/>
              </w:rPr>
              <w:t>4,165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662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629"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662A" w14:textId="77777777" w:rsidR="00584EC1" w:rsidRDefault="00871F8D">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4DD662B" w14:textId="77777777" w:rsidR="00584EC1" w:rsidRDefault="00871F8D">
            <w:pPr>
              <w:jc w:val="right"/>
              <w:textAlignment w:val="bottom"/>
            </w:pPr>
            <w:r>
              <w:rPr>
                <w:rFonts w:ascii="Arial" w:eastAsia="宋体" w:hAnsi="Arial" w:cs="Arial"/>
                <w:color w:val="000000"/>
                <w:sz w:val="15"/>
                <w:szCs w:val="15"/>
              </w:rPr>
              <w:t>3,860 </w:t>
            </w:r>
          </w:p>
        </w:tc>
        <w:tc>
          <w:tcPr>
            <w:tcW w:w="0" w:type="auto"/>
            <w:shd w:val="clear" w:color="auto" w:fill="CCEEFF"/>
            <w:tcMar>
              <w:top w:w="40" w:type="dxa"/>
              <w:left w:w="0" w:type="dxa"/>
              <w:bottom w:w="40" w:type="dxa"/>
              <w:right w:w="20" w:type="dxa"/>
            </w:tcMar>
            <w:vAlign w:val="bottom"/>
          </w:tcPr>
          <w:p w14:paraId="74DD662C" w14:textId="77777777" w:rsidR="00584EC1" w:rsidRDefault="00584EC1">
            <w:pPr>
              <w:jc w:val="right"/>
              <w:rPr>
                <w:rFonts w:ascii="宋体"/>
              </w:rPr>
            </w:pPr>
          </w:p>
        </w:tc>
        <w:tc>
          <w:tcPr>
            <w:tcW w:w="0" w:type="auto"/>
            <w:shd w:val="clear" w:color="auto" w:fill="auto"/>
            <w:vAlign w:val="bottom"/>
          </w:tcPr>
          <w:p w14:paraId="74DD662D" w14:textId="77777777" w:rsidR="00584EC1" w:rsidRDefault="00584EC1">
            <w:pPr>
              <w:rPr>
                <w:rFonts w:ascii="宋体"/>
                <w:vanish/>
              </w:rPr>
            </w:pPr>
          </w:p>
        </w:tc>
        <w:tc>
          <w:tcPr>
            <w:tcW w:w="0" w:type="auto"/>
            <w:shd w:val="clear" w:color="auto" w:fill="auto"/>
            <w:vAlign w:val="bottom"/>
          </w:tcPr>
          <w:p w14:paraId="74DD662E" w14:textId="77777777" w:rsidR="00584EC1" w:rsidRDefault="00584EC1">
            <w:pPr>
              <w:rPr>
                <w:rFonts w:ascii="宋体"/>
                <w:vanish/>
              </w:rPr>
            </w:pPr>
          </w:p>
        </w:tc>
        <w:tc>
          <w:tcPr>
            <w:tcW w:w="0" w:type="auto"/>
            <w:gridSpan w:val="3"/>
            <w:shd w:val="clear" w:color="auto" w:fill="CCEEFF"/>
            <w:tcMar>
              <w:top w:w="0" w:type="dxa"/>
              <w:left w:w="20" w:type="dxa"/>
              <w:bottom w:w="0" w:type="dxa"/>
              <w:right w:w="20" w:type="dxa"/>
            </w:tcMar>
            <w:vAlign w:val="bottom"/>
          </w:tcPr>
          <w:p w14:paraId="74DD662F"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630" w14:textId="77777777" w:rsidR="00584EC1" w:rsidRDefault="00871F8D">
            <w:pPr>
              <w:jc w:val="right"/>
              <w:textAlignment w:val="bottom"/>
            </w:pPr>
            <w:r>
              <w:rPr>
                <w:rFonts w:ascii="Arial" w:eastAsia="宋体" w:hAnsi="Arial" w:cs="Arial"/>
                <w:color w:val="000000"/>
                <w:sz w:val="15"/>
                <w:szCs w:val="15"/>
              </w:rPr>
              <w:t>8 </w:t>
            </w:r>
          </w:p>
        </w:tc>
        <w:tc>
          <w:tcPr>
            <w:tcW w:w="0" w:type="auto"/>
            <w:shd w:val="clear" w:color="auto" w:fill="CCEEFF"/>
            <w:tcMar>
              <w:top w:w="40" w:type="dxa"/>
              <w:left w:w="0" w:type="dxa"/>
              <w:bottom w:w="40" w:type="dxa"/>
              <w:right w:w="20" w:type="dxa"/>
            </w:tcMar>
            <w:vAlign w:val="bottom"/>
          </w:tcPr>
          <w:p w14:paraId="74DD6631" w14:textId="77777777" w:rsidR="00584EC1" w:rsidRDefault="00871F8D">
            <w:pPr>
              <w:jc w:val="right"/>
              <w:textAlignment w:val="bottom"/>
            </w:pPr>
            <w:r>
              <w:rPr>
                <w:rFonts w:ascii="Arial" w:eastAsia="宋体" w:hAnsi="Arial" w:cs="Arial"/>
                <w:color w:val="000000"/>
                <w:sz w:val="15"/>
                <w:szCs w:val="15"/>
              </w:rPr>
              <w:t>%</w:t>
            </w:r>
          </w:p>
        </w:tc>
        <w:tc>
          <w:tcPr>
            <w:tcW w:w="0" w:type="auto"/>
            <w:gridSpan w:val="3"/>
            <w:shd w:val="clear" w:color="auto" w:fill="auto"/>
            <w:vAlign w:val="bottom"/>
          </w:tcPr>
          <w:p w14:paraId="74DD6632" w14:textId="77777777" w:rsidR="00584EC1" w:rsidRDefault="00584EC1">
            <w:pPr>
              <w:rPr>
                <w:rFonts w:ascii="宋体"/>
                <w:vanish/>
              </w:rPr>
            </w:pPr>
          </w:p>
        </w:tc>
        <w:tc>
          <w:tcPr>
            <w:tcW w:w="0" w:type="auto"/>
            <w:gridSpan w:val="3"/>
            <w:shd w:val="clear" w:color="auto" w:fill="auto"/>
            <w:vAlign w:val="bottom"/>
          </w:tcPr>
          <w:p w14:paraId="74DD6633" w14:textId="77777777" w:rsidR="00584EC1" w:rsidRDefault="00584EC1">
            <w:pPr>
              <w:rPr>
                <w:rFonts w:ascii="宋体"/>
                <w:vanish/>
              </w:rPr>
            </w:pPr>
          </w:p>
        </w:tc>
        <w:tc>
          <w:tcPr>
            <w:tcW w:w="0" w:type="auto"/>
            <w:gridSpan w:val="3"/>
            <w:shd w:val="clear" w:color="auto" w:fill="auto"/>
            <w:vAlign w:val="bottom"/>
          </w:tcPr>
          <w:p w14:paraId="74DD6634" w14:textId="77777777" w:rsidR="00584EC1" w:rsidRDefault="00584EC1">
            <w:pPr>
              <w:rPr>
                <w:rFonts w:ascii="宋体"/>
                <w:vanish/>
              </w:rPr>
            </w:pPr>
          </w:p>
        </w:tc>
      </w:tr>
      <w:tr w:rsidR="00584EC1" w14:paraId="74DD6644" w14:textId="77777777">
        <w:tc>
          <w:tcPr>
            <w:tcW w:w="0" w:type="auto"/>
            <w:gridSpan w:val="3"/>
            <w:shd w:val="clear" w:color="auto" w:fill="FFFFFF"/>
            <w:tcMar>
              <w:top w:w="40" w:type="dxa"/>
              <w:left w:w="20" w:type="dxa"/>
              <w:bottom w:w="40" w:type="dxa"/>
              <w:right w:w="20" w:type="dxa"/>
            </w:tcMar>
            <w:vAlign w:val="bottom"/>
          </w:tcPr>
          <w:p w14:paraId="74DD6636" w14:textId="77777777" w:rsidR="00584EC1" w:rsidRDefault="00871F8D">
            <w:pPr>
              <w:textAlignment w:val="bottom"/>
            </w:pPr>
            <w:r>
              <w:rPr>
                <w:rFonts w:ascii="Arial" w:eastAsia="宋体" w:hAnsi="Arial" w:cs="Arial"/>
                <w:color w:val="000000"/>
                <w:sz w:val="15"/>
                <w:szCs w:val="15"/>
              </w:rPr>
              <w:t>Management fees</w:t>
            </w:r>
            <w:r>
              <w:rPr>
                <w:rFonts w:ascii="Arial" w:eastAsia="宋体" w:hAnsi="Arial" w:cs="Arial"/>
                <w:color w:val="000000"/>
                <w:sz w:val="9"/>
                <w:szCs w:val="9"/>
              </w:rPr>
              <w:t>(1)</w:t>
            </w:r>
          </w:p>
        </w:tc>
        <w:tc>
          <w:tcPr>
            <w:tcW w:w="0" w:type="auto"/>
            <w:gridSpan w:val="2"/>
            <w:shd w:val="clear" w:color="auto" w:fill="FFFFFF"/>
            <w:tcMar>
              <w:top w:w="40" w:type="dxa"/>
              <w:left w:w="20" w:type="dxa"/>
              <w:bottom w:w="40" w:type="dxa"/>
              <w:right w:w="0" w:type="dxa"/>
            </w:tcMar>
            <w:vAlign w:val="bottom"/>
          </w:tcPr>
          <w:p w14:paraId="74DD6637" w14:textId="77777777" w:rsidR="00584EC1" w:rsidRDefault="00871F8D">
            <w:pPr>
              <w:jc w:val="right"/>
              <w:textAlignment w:val="bottom"/>
            </w:pPr>
            <w:r>
              <w:rPr>
                <w:rFonts w:ascii="Arial" w:eastAsia="宋体" w:hAnsi="Arial" w:cs="Arial"/>
                <w:b/>
                <w:bCs/>
                <w:color w:val="000000"/>
                <w:sz w:val="15"/>
                <w:szCs w:val="15"/>
              </w:rPr>
              <w:t>1,523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663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63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63A" w14:textId="77777777" w:rsidR="00584EC1" w:rsidRDefault="00871F8D">
            <w:pPr>
              <w:jc w:val="right"/>
              <w:textAlignment w:val="bottom"/>
            </w:pPr>
            <w:r>
              <w:rPr>
                <w:rFonts w:ascii="Arial" w:eastAsia="宋体" w:hAnsi="Arial" w:cs="Arial"/>
                <w:color w:val="000000"/>
                <w:sz w:val="15"/>
                <w:szCs w:val="15"/>
              </w:rPr>
              <w:t>1,387 </w:t>
            </w:r>
          </w:p>
        </w:tc>
        <w:tc>
          <w:tcPr>
            <w:tcW w:w="0" w:type="auto"/>
            <w:shd w:val="clear" w:color="auto" w:fill="FFFFFF"/>
            <w:tcMar>
              <w:top w:w="40" w:type="dxa"/>
              <w:left w:w="0" w:type="dxa"/>
              <w:bottom w:w="40" w:type="dxa"/>
              <w:right w:w="20" w:type="dxa"/>
            </w:tcMar>
            <w:vAlign w:val="bottom"/>
          </w:tcPr>
          <w:p w14:paraId="74DD663B" w14:textId="77777777" w:rsidR="00584EC1" w:rsidRDefault="00584EC1">
            <w:pPr>
              <w:jc w:val="right"/>
              <w:rPr>
                <w:rFonts w:ascii="宋体"/>
              </w:rPr>
            </w:pPr>
          </w:p>
        </w:tc>
        <w:tc>
          <w:tcPr>
            <w:tcW w:w="0" w:type="auto"/>
            <w:shd w:val="clear" w:color="auto" w:fill="auto"/>
            <w:vAlign w:val="bottom"/>
          </w:tcPr>
          <w:p w14:paraId="74DD663C" w14:textId="77777777" w:rsidR="00584EC1" w:rsidRDefault="00584EC1">
            <w:pPr>
              <w:rPr>
                <w:rFonts w:ascii="宋体"/>
                <w:vanish/>
              </w:rPr>
            </w:pPr>
          </w:p>
        </w:tc>
        <w:tc>
          <w:tcPr>
            <w:tcW w:w="0" w:type="auto"/>
            <w:shd w:val="clear" w:color="auto" w:fill="auto"/>
            <w:vAlign w:val="bottom"/>
          </w:tcPr>
          <w:p w14:paraId="74DD663D" w14:textId="77777777" w:rsidR="00584EC1" w:rsidRDefault="00584EC1">
            <w:pPr>
              <w:rPr>
                <w:rFonts w:ascii="宋体"/>
                <w:vanish/>
              </w:rPr>
            </w:pPr>
          </w:p>
        </w:tc>
        <w:tc>
          <w:tcPr>
            <w:tcW w:w="0" w:type="auto"/>
            <w:gridSpan w:val="3"/>
            <w:shd w:val="clear" w:color="auto" w:fill="FFFFFF"/>
            <w:tcMar>
              <w:top w:w="0" w:type="dxa"/>
              <w:left w:w="20" w:type="dxa"/>
              <w:bottom w:w="0" w:type="dxa"/>
              <w:right w:w="20" w:type="dxa"/>
            </w:tcMar>
            <w:vAlign w:val="bottom"/>
          </w:tcPr>
          <w:p w14:paraId="74DD663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63F" w14:textId="77777777" w:rsidR="00584EC1" w:rsidRDefault="00871F8D">
            <w:pPr>
              <w:jc w:val="right"/>
              <w:textAlignment w:val="bottom"/>
            </w:pPr>
            <w:r>
              <w:rPr>
                <w:rFonts w:ascii="Arial" w:eastAsia="宋体" w:hAnsi="Arial" w:cs="Arial"/>
                <w:color w:val="000000"/>
                <w:sz w:val="15"/>
                <w:szCs w:val="15"/>
              </w:rPr>
              <w:t>10 </w:t>
            </w:r>
          </w:p>
        </w:tc>
        <w:tc>
          <w:tcPr>
            <w:tcW w:w="0" w:type="auto"/>
            <w:shd w:val="clear" w:color="auto" w:fill="FFFFFF"/>
            <w:tcMar>
              <w:top w:w="40" w:type="dxa"/>
              <w:left w:w="0" w:type="dxa"/>
              <w:bottom w:w="40" w:type="dxa"/>
              <w:right w:w="20" w:type="dxa"/>
            </w:tcMar>
            <w:vAlign w:val="bottom"/>
          </w:tcPr>
          <w:p w14:paraId="74DD6640" w14:textId="77777777" w:rsidR="00584EC1" w:rsidRDefault="00584EC1">
            <w:pPr>
              <w:jc w:val="right"/>
              <w:rPr>
                <w:rFonts w:ascii="宋体"/>
              </w:rPr>
            </w:pPr>
          </w:p>
        </w:tc>
        <w:tc>
          <w:tcPr>
            <w:tcW w:w="0" w:type="auto"/>
            <w:gridSpan w:val="3"/>
            <w:shd w:val="clear" w:color="auto" w:fill="auto"/>
            <w:vAlign w:val="bottom"/>
          </w:tcPr>
          <w:p w14:paraId="74DD6641" w14:textId="77777777" w:rsidR="00584EC1" w:rsidRDefault="00584EC1">
            <w:pPr>
              <w:rPr>
                <w:rFonts w:ascii="宋体"/>
                <w:vanish/>
              </w:rPr>
            </w:pPr>
          </w:p>
        </w:tc>
        <w:tc>
          <w:tcPr>
            <w:tcW w:w="0" w:type="auto"/>
            <w:gridSpan w:val="3"/>
            <w:shd w:val="clear" w:color="auto" w:fill="auto"/>
            <w:vAlign w:val="bottom"/>
          </w:tcPr>
          <w:p w14:paraId="74DD6642" w14:textId="77777777" w:rsidR="00584EC1" w:rsidRDefault="00584EC1">
            <w:pPr>
              <w:rPr>
                <w:rFonts w:ascii="宋体"/>
                <w:vanish/>
              </w:rPr>
            </w:pPr>
          </w:p>
        </w:tc>
        <w:tc>
          <w:tcPr>
            <w:tcW w:w="0" w:type="auto"/>
            <w:gridSpan w:val="3"/>
            <w:shd w:val="clear" w:color="auto" w:fill="auto"/>
            <w:vAlign w:val="bottom"/>
          </w:tcPr>
          <w:p w14:paraId="74DD6643" w14:textId="77777777" w:rsidR="00584EC1" w:rsidRDefault="00584EC1">
            <w:pPr>
              <w:rPr>
                <w:rFonts w:ascii="宋体"/>
                <w:vanish/>
              </w:rPr>
            </w:pPr>
          </w:p>
        </w:tc>
      </w:tr>
      <w:tr w:rsidR="00584EC1" w14:paraId="74DD6653" w14:textId="77777777">
        <w:tc>
          <w:tcPr>
            <w:tcW w:w="0" w:type="auto"/>
            <w:gridSpan w:val="3"/>
            <w:shd w:val="clear" w:color="auto" w:fill="CCEEFF"/>
            <w:tcMar>
              <w:top w:w="40" w:type="dxa"/>
              <w:left w:w="20" w:type="dxa"/>
              <w:bottom w:w="40" w:type="dxa"/>
              <w:right w:w="20" w:type="dxa"/>
            </w:tcMar>
            <w:vAlign w:val="bottom"/>
          </w:tcPr>
          <w:p w14:paraId="74DD6645" w14:textId="77777777" w:rsidR="00584EC1" w:rsidRDefault="00871F8D">
            <w:pPr>
              <w:textAlignment w:val="bottom"/>
            </w:pPr>
            <w:r>
              <w:rPr>
                <w:rFonts w:ascii="Arial" w:eastAsia="宋体" w:hAnsi="Arial" w:cs="Arial"/>
                <w:color w:val="000000"/>
                <w:sz w:val="15"/>
                <w:szCs w:val="15"/>
              </w:rPr>
              <w:t>Fo</w:t>
            </w:r>
            <w:r>
              <w:rPr>
                <w:rFonts w:ascii="Arial" w:eastAsia="宋体" w:hAnsi="Arial" w:cs="Arial"/>
                <w:color w:val="000000"/>
                <w:sz w:val="15"/>
                <w:szCs w:val="15"/>
              </w:rPr>
              <w:t>reign exchange trading services</w:t>
            </w:r>
            <w:r>
              <w:rPr>
                <w:rFonts w:ascii="Arial" w:eastAsia="宋体" w:hAnsi="Arial" w:cs="Arial"/>
                <w:color w:val="000000"/>
                <w:sz w:val="9"/>
                <w:szCs w:val="9"/>
              </w:rPr>
              <w:t>(1)</w:t>
            </w:r>
          </w:p>
        </w:tc>
        <w:tc>
          <w:tcPr>
            <w:tcW w:w="0" w:type="auto"/>
            <w:gridSpan w:val="2"/>
            <w:shd w:val="clear" w:color="auto" w:fill="CCEEFF"/>
            <w:tcMar>
              <w:top w:w="40" w:type="dxa"/>
              <w:left w:w="20" w:type="dxa"/>
              <w:bottom w:w="40" w:type="dxa"/>
              <w:right w:w="0" w:type="dxa"/>
            </w:tcMar>
            <w:vAlign w:val="bottom"/>
          </w:tcPr>
          <w:p w14:paraId="74DD6646" w14:textId="77777777" w:rsidR="00584EC1" w:rsidRDefault="00871F8D">
            <w:pPr>
              <w:jc w:val="right"/>
              <w:textAlignment w:val="bottom"/>
            </w:pPr>
            <w:r>
              <w:rPr>
                <w:rFonts w:ascii="Arial" w:eastAsia="宋体" w:hAnsi="Arial" w:cs="Arial"/>
                <w:b/>
                <w:bCs/>
                <w:color w:val="000000"/>
                <w:sz w:val="15"/>
                <w:szCs w:val="15"/>
              </w:rPr>
              <w:t>911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664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648"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649" w14:textId="77777777" w:rsidR="00584EC1" w:rsidRDefault="00871F8D">
            <w:pPr>
              <w:jc w:val="right"/>
              <w:textAlignment w:val="bottom"/>
            </w:pPr>
            <w:r>
              <w:rPr>
                <w:rFonts w:ascii="Arial" w:eastAsia="宋体" w:hAnsi="Arial" w:cs="Arial"/>
                <w:color w:val="000000"/>
                <w:sz w:val="15"/>
                <w:szCs w:val="15"/>
              </w:rPr>
              <w:t>1,039 </w:t>
            </w:r>
          </w:p>
        </w:tc>
        <w:tc>
          <w:tcPr>
            <w:tcW w:w="0" w:type="auto"/>
            <w:shd w:val="clear" w:color="auto" w:fill="CCEEFF"/>
            <w:tcMar>
              <w:top w:w="40" w:type="dxa"/>
              <w:left w:w="0" w:type="dxa"/>
              <w:bottom w:w="40" w:type="dxa"/>
              <w:right w:w="20" w:type="dxa"/>
            </w:tcMar>
            <w:vAlign w:val="bottom"/>
          </w:tcPr>
          <w:p w14:paraId="74DD664A" w14:textId="77777777" w:rsidR="00584EC1" w:rsidRDefault="00584EC1">
            <w:pPr>
              <w:jc w:val="right"/>
              <w:rPr>
                <w:rFonts w:ascii="宋体"/>
              </w:rPr>
            </w:pPr>
          </w:p>
        </w:tc>
        <w:tc>
          <w:tcPr>
            <w:tcW w:w="0" w:type="auto"/>
            <w:shd w:val="clear" w:color="auto" w:fill="auto"/>
            <w:vAlign w:val="bottom"/>
          </w:tcPr>
          <w:p w14:paraId="74DD664B" w14:textId="77777777" w:rsidR="00584EC1" w:rsidRDefault="00584EC1">
            <w:pPr>
              <w:rPr>
                <w:rFonts w:ascii="宋体"/>
                <w:vanish/>
              </w:rPr>
            </w:pPr>
          </w:p>
        </w:tc>
        <w:tc>
          <w:tcPr>
            <w:tcW w:w="0" w:type="auto"/>
            <w:shd w:val="clear" w:color="auto" w:fill="auto"/>
            <w:vAlign w:val="bottom"/>
          </w:tcPr>
          <w:p w14:paraId="74DD664C" w14:textId="77777777" w:rsidR="00584EC1" w:rsidRDefault="00584EC1">
            <w:pPr>
              <w:rPr>
                <w:rFonts w:ascii="宋体"/>
                <w:vanish/>
              </w:rPr>
            </w:pPr>
          </w:p>
        </w:tc>
        <w:tc>
          <w:tcPr>
            <w:tcW w:w="0" w:type="auto"/>
            <w:gridSpan w:val="3"/>
            <w:shd w:val="clear" w:color="auto" w:fill="CCEEFF"/>
            <w:tcMar>
              <w:top w:w="0" w:type="dxa"/>
              <w:left w:w="20" w:type="dxa"/>
              <w:bottom w:w="0" w:type="dxa"/>
              <w:right w:w="20" w:type="dxa"/>
            </w:tcMar>
            <w:vAlign w:val="bottom"/>
          </w:tcPr>
          <w:p w14:paraId="74DD664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64E" w14:textId="77777777" w:rsidR="00584EC1" w:rsidRDefault="00871F8D">
            <w:pPr>
              <w:jc w:val="right"/>
              <w:textAlignment w:val="bottom"/>
            </w:pPr>
            <w:r>
              <w:rPr>
                <w:rFonts w:ascii="Arial" w:eastAsia="宋体" w:hAnsi="Arial" w:cs="Arial"/>
                <w:color w:val="000000"/>
                <w:sz w:val="15"/>
                <w:szCs w:val="15"/>
              </w:rPr>
              <w:t>(12)</w:t>
            </w:r>
          </w:p>
        </w:tc>
        <w:tc>
          <w:tcPr>
            <w:tcW w:w="0" w:type="auto"/>
            <w:shd w:val="clear" w:color="auto" w:fill="CCEEFF"/>
            <w:tcMar>
              <w:top w:w="40" w:type="dxa"/>
              <w:left w:w="0" w:type="dxa"/>
              <w:bottom w:w="40" w:type="dxa"/>
              <w:right w:w="20" w:type="dxa"/>
            </w:tcMar>
            <w:vAlign w:val="bottom"/>
          </w:tcPr>
          <w:p w14:paraId="74DD664F" w14:textId="77777777" w:rsidR="00584EC1" w:rsidRDefault="00584EC1">
            <w:pPr>
              <w:jc w:val="right"/>
              <w:rPr>
                <w:rFonts w:ascii="宋体"/>
              </w:rPr>
            </w:pPr>
          </w:p>
        </w:tc>
        <w:tc>
          <w:tcPr>
            <w:tcW w:w="0" w:type="auto"/>
            <w:gridSpan w:val="3"/>
            <w:shd w:val="clear" w:color="auto" w:fill="auto"/>
            <w:vAlign w:val="bottom"/>
          </w:tcPr>
          <w:p w14:paraId="74DD6650" w14:textId="77777777" w:rsidR="00584EC1" w:rsidRDefault="00584EC1">
            <w:pPr>
              <w:rPr>
                <w:rFonts w:ascii="宋体"/>
                <w:vanish/>
              </w:rPr>
            </w:pPr>
          </w:p>
        </w:tc>
        <w:tc>
          <w:tcPr>
            <w:tcW w:w="0" w:type="auto"/>
            <w:gridSpan w:val="3"/>
            <w:shd w:val="clear" w:color="auto" w:fill="auto"/>
            <w:vAlign w:val="bottom"/>
          </w:tcPr>
          <w:p w14:paraId="74DD6651" w14:textId="77777777" w:rsidR="00584EC1" w:rsidRDefault="00584EC1">
            <w:pPr>
              <w:rPr>
                <w:rFonts w:ascii="宋体"/>
                <w:vanish/>
              </w:rPr>
            </w:pPr>
          </w:p>
        </w:tc>
        <w:tc>
          <w:tcPr>
            <w:tcW w:w="0" w:type="auto"/>
            <w:gridSpan w:val="3"/>
            <w:shd w:val="clear" w:color="auto" w:fill="auto"/>
            <w:vAlign w:val="bottom"/>
          </w:tcPr>
          <w:p w14:paraId="74DD6652" w14:textId="77777777" w:rsidR="00584EC1" w:rsidRDefault="00584EC1">
            <w:pPr>
              <w:rPr>
                <w:rFonts w:ascii="宋体"/>
                <w:vanish/>
              </w:rPr>
            </w:pPr>
          </w:p>
        </w:tc>
      </w:tr>
      <w:tr w:rsidR="00584EC1" w14:paraId="74DD6662" w14:textId="77777777">
        <w:tc>
          <w:tcPr>
            <w:tcW w:w="0" w:type="auto"/>
            <w:gridSpan w:val="3"/>
            <w:shd w:val="clear" w:color="auto" w:fill="FFFFFF"/>
            <w:tcMar>
              <w:top w:w="40" w:type="dxa"/>
              <w:left w:w="140" w:type="dxa"/>
              <w:bottom w:w="40" w:type="dxa"/>
              <w:right w:w="20" w:type="dxa"/>
            </w:tcMar>
            <w:vAlign w:val="bottom"/>
          </w:tcPr>
          <w:p w14:paraId="74DD6654" w14:textId="77777777" w:rsidR="00584EC1" w:rsidRDefault="00871F8D">
            <w:pPr>
              <w:textAlignment w:val="bottom"/>
            </w:pPr>
            <w:r>
              <w:rPr>
                <w:rFonts w:ascii="Arial" w:eastAsia="宋体" w:hAnsi="Arial" w:cs="Arial"/>
                <w:color w:val="000000"/>
                <w:sz w:val="15"/>
                <w:szCs w:val="15"/>
              </w:rPr>
              <w:t>Securities finance</w:t>
            </w:r>
          </w:p>
        </w:tc>
        <w:tc>
          <w:tcPr>
            <w:tcW w:w="0" w:type="auto"/>
            <w:gridSpan w:val="2"/>
            <w:shd w:val="clear" w:color="auto" w:fill="FFFFFF"/>
            <w:tcMar>
              <w:top w:w="40" w:type="dxa"/>
              <w:left w:w="20" w:type="dxa"/>
              <w:bottom w:w="40" w:type="dxa"/>
              <w:right w:w="0" w:type="dxa"/>
            </w:tcMar>
            <w:vAlign w:val="bottom"/>
          </w:tcPr>
          <w:p w14:paraId="74DD6655" w14:textId="77777777" w:rsidR="00584EC1" w:rsidRDefault="00871F8D">
            <w:pPr>
              <w:jc w:val="right"/>
              <w:textAlignment w:val="bottom"/>
            </w:pPr>
            <w:r>
              <w:rPr>
                <w:rFonts w:ascii="Arial" w:eastAsia="宋体" w:hAnsi="Arial" w:cs="Arial"/>
                <w:b/>
                <w:bCs/>
                <w:color w:val="000000"/>
                <w:sz w:val="15"/>
                <w:szCs w:val="15"/>
              </w:rPr>
              <w:t>314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665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65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658" w14:textId="77777777" w:rsidR="00584EC1" w:rsidRDefault="00871F8D">
            <w:pPr>
              <w:jc w:val="right"/>
              <w:textAlignment w:val="bottom"/>
            </w:pPr>
            <w:r>
              <w:rPr>
                <w:rFonts w:ascii="Arial" w:eastAsia="宋体" w:hAnsi="Arial" w:cs="Arial"/>
                <w:color w:val="000000"/>
                <w:sz w:val="15"/>
                <w:szCs w:val="15"/>
              </w:rPr>
              <w:t>268 </w:t>
            </w:r>
          </w:p>
        </w:tc>
        <w:tc>
          <w:tcPr>
            <w:tcW w:w="0" w:type="auto"/>
            <w:shd w:val="clear" w:color="auto" w:fill="FFFFFF"/>
            <w:tcMar>
              <w:top w:w="40" w:type="dxa"/>
              <w:left w:w="0" w:type="dxa"/>
              <w:bottom w:w="40" w:type="dxa"/>
              <w:right w:w="20" w:type="dxa"/>
            </w:tcMar>
            <w:vAlign w:val="bottom"/>
          </w:tcPr>
          <w:p w14:paraId="74DD6659" w14:textId="77777777" w:rsidR="00584EC1" w:rsidRDefault="00584EC1">
            <w:pPr>
              <w:jc w:val="right"/>
              <w:rPr>
                <w:rFonts w:ascii="宋体"/>
              </w:rPr>
            </w:pPr>
          </w:p>
        </w:tc>
        <w:tc>
          <w:tcPr>
            <w:tcW w:w="0" w:type="auto"/>
            <w:shd w:val="clear" w:color="auto" w:fill="auto"/>
            <w:vAlign w:val="bottom"/>
          </w:tcPr>
          <w:p w14:paraId="74DD665A" w14:textId="77777777" w:rsidR="00584EC1" w:rsidRDefault="00584EC1">
            <w:pPr>
              <w:rPr>
                <w:rFonts w:ascii="宋体"/>
                <w:vanish/>
              </w:rPr>
            </w:pPr>
          </w:p>
        </w:tc>
        <w:tc>
          <w:tcPr>
            <w:tcW w:w="0" w:type="auto"/>
            <w:shd w:val="clear" w:color="auto" w:fill="auto"/>
            <w:vAlign w:val="bottom"/>
          </w:tcPr>
          <w:p w14:paraId="74DD665B" w14:textId="77777777" w:rsidR="00584EC1" w:rsidRDefault="00584EC1">
            <w:pPr>
              <w:rPr>
                <w:rFonts w:ascii="宋体"/>
                <w:vanish/>
              </w:rPr>
            </w:pPr>
          </w:p>
        </w:tc>
        <w:tc>
          <w:tcPr>
            <w:tcW w:w="0" w:type="auto"/>
            <w:gridSpan w:val="3"/>
            <w:shd w:val="clear" w:color="auto" w:fill="FFFFFF"/>
            <w:tcMar>
              <w:top w:w="0" w:type="dxa"/>
              <w:left w:w="20" w:type="dxa"/>
              <w:bottom w:w="0" w:type="dxa"/>
              <w:right w:w="20" w:type="dxa"/>
            </w:tcMar>
            <w:vAlign w:val="bottom"/>
          </w:tcPr>
          <w:p w14:paraId="74DD665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65D" w14:textId="77777777" w:rsidR="00584EC1" w:rsidRDefault="00871F8D">
            <w:pPr>
              <w:jc w:val="right"/>
              <w:textAlignment w:val="bottom"/>
            </w:pPr>
            <w:r>
              <w:rPr>
                <w:rFonts w:ascii="Arial" w:eastAsia="宋体" w:hAnsi="Arial" w:cs="Arial"/>
                <w:color w:val="000000"/>
                <w:sz w:val="15"/>
                <w:szCs w:val="15"/>
              </w:rPr>
              <w:t>17 </w:t>
            </w:r>
          </w:p>
        </w:tc>
        <w:tc>
          <w:tcPr>
            <w:tcW w:w="0" w:type="auto"/>
            <w:shd w:val="clear" w:color="auto" w:fill="FFFFFF"/>
            <w:tcMar>
              <w:top w:w="40" w:type="dxa"/>
              <w:left w:w="0" w:type="dxa"/>
              <w:bottom w:w="40" w:type="dxa"/>
              <w:right w:w="20" w:type="dxa"/>
            </w:tcMar>
            <w:vAlign w:val="bottom"/>
          </w:tcPr>
          <w:p w14:paraId="74DD665E" w14:textId="77777777" w:rsidR="00584EC1" w:rsidRDefault="00584EC1">
            <w:pPr>
              <w:jc w:val="right"/>
              <w:rPr>
                <w:rFonts w:ascii="宋体"/>
              </w:rPr>
            </w:pPr>
          </w:p>
        </w:tc>
        <w:tc>
          <w:tcPr>
            <w:tcW w:w="0" w:type="auto"/>
            <w:gridSpan w:val="3"/>
            <w:shd w:val="clear" w:color="auto" w:fill="auto"/>
            <w:vAlign w:val="bottom"/>
          </w:tcPr>
          <w:p w14:paraId="74DD665F" w14:textId="77777777" w:rsidR="00584EC1" w:rsidRDefault="00584EC1">
            <w:pPr>
              <w:rPr>
                <w:rFonts w:ascii="宋体"/>
                <w:vanish/>
              </w:rPr>
            </w:pPr>
          </w:p>
        </w:tc>
        <w:tc>
          <w:tcPr>
            <w:tcW w:w="0" w:type="auto"/>
            <w:gridSpan w:val="3"/>
            <w:shd w:val="clear" w:color="auto" w:fill="auto"/>
            <w:vAlign w:val="bottom"/>
          </w:tcPr>
          <w:p w14:paraId="74DD6660" w14:textId="77777777" w:rsidR="00584EC1" w:rsidRDefault="00584EC1">
            <w:pPr>
              <w:rPr>
                <w:rFonts w:ascii="宋体"/>
                <w:vanish/>
              </w:rPr>
            </w:pPr>
          </w:p>
        </w:tc>
        <w:tc>
          <w:tcPr>
            <w:tcW w:w="0" w:type="auto"/>
            <w:gridSpan w:val="3"/>
            <w:shd w:val="clear" w:color="auto" w:fill="auto"/>
            <w:vAlign w:val="bottom"/>
          </w:tcPr>
          <w:p w14:paraId="74DD6661" w14:textId="77777777" w:rsidR="00584EC1" w:rsidRDefault="00584EC1">
            <w:pPr>
              <w:rPr>
                <w:rFonts w:ascii="宋体"/>
                <w:vanish/>
              </w:rPr>
            </w:pPr>
          </w:p>
        </w:tc>
      </w:tr>
      <w:tr w:rsidR="00584EC1" w14:paraId="74DD6671" w14:textId="77777777">
        <w:tc>
          <w:tcPr>
            <w:tcW w:w="0" w:type="auto"/>
            <w:gridSpan w:val="3"/>
            <w:shd w:val="clear" w:color="auto" w:fill="CCEEFF"/>
            <w:tcMar>
              <w:top w:w="40" w:type="dxa"/>
              <w:left w:w="140" w:type="dxa"/>
              <w:bottom w:w="40" w:type="dxa"/>
              <w:right w:w="20" w:type="dxa"/>
            </w:tcMar>
            <w:vAlign w:val="bottom"/>
          </w:tcPr>
          <w:p w14:paraId="74DD6663" w14:textId="77777777" w:rsidR="00584EC1" w:rsidRDefault="00871F8D">
            <w:pPr>
              <w:textAlignment w:val="bottom"/>
            </w:pPr>
            <w:r>
              <w:rPr>
                <w:rFonts w:ascii="Arial" w:eastAsia="宋体" w:hAnsi="Arial" w:cs="Arial"/>
                <w:color w:val="000000"/>
                <w:sz w:val="15"/>
                <w:szCs w:val="15"/>
              </w:rPr>
              <w:t>Software and processing fees</w:t>
            </w:r>
          </w:p>
        </w:tc>
        <w:tc>
          <w:tcPr>
            <w:tcW w:w="0" w:type="auto"/>
            <w:gridSpan w:val="2"/>
            <w:shd w:val="clear" w:color="auto" w:fill="CCEEFF"/>
            <w:tcMar>
              <w:top w:w="40" w:type="dxa"/>
              <w:left w:w="20" w:type="dxa"/>
              <w:bottom w:w="40" w:type="dxa"/>
              <w:right w:w="0" w:type="dxa"/>
            </w:tcMar>
            <w:vAlign w:val="bottom"/>
          </w:tcPr>
          <w:p w14:paraId="74DD6664" w14:textId="77777777" w:rsidR="00584EC1" w:rsidRDefault="00871F8D">
            <w:pPr>
              <w:jc w:val="right"/>
              <w:textAlignment w:val="bottom"/>
            </w:pPr>
            <w:r>
              <w:rPr>
                <w:rFonts w:ascii="Arial" w:eastAsia="宋体" w:hAnsi="Arial" w:cs="Arial"/>
                <w:b/>
                <w:bCs/>
                <w:color w:val="000000"/>
                <w:sz w:val="15"/>
                <w:szCs w:val="15"/>
              </w:rPr>
              <w:t>588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666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66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667" w14:textId="77777777" w:rsidR="00584EC1" w:rsidRDefault="00871F8D">
            <w:pPr>
              <w:jc w:val="right"/>
              <w:textAlignment w:val="bottom"/>
            </w:pPr>
            <w:r>
              <w:rPr>
                <w:rFonts w:ascii="Arial" w:eastAsia="宋体" w:hAnsi="Arial" w:cs="Arial"/>
                <w:color w:val="000000"/>
                <w:sz w:val="15"/>
                <w:szCs w:val="15"/>
              </w:rPr>
              <w:t>529 </w:t>
            </w:r>
          </w:p>
        </w:tc>
        <w:tc>
          <w:tcPr>
            <w:tcW w:w="0" w:type="auto"/>
            <w:shd w:val="clear" w:color="auto" w:fill="CCEEFF"/>
            <w:tcMar>
              <w:top w:w="40" w:type="dxa"/>
              <w:left w:w="0" w:type="dxa"/>
              <w:bottom w:w="40" w:type="dxa"/>
              <w:right w:w="20" w:type="dxa"/>
            </w:tcMar>
            <w:vAlign w:val="bottom"/>
          </w:tcPr>
          <w:p w14:paraId="74DD6668" w14:textId="77777777" w:rsidR="00584EC1" w:rsidRDefault="00584EC1">
            <w:pPr>
              <w:jc w:val="right"/>
              <w:rPr>
                <w:rFonts w:ascii="宋体"/>
              </w:rPr>
            </w:pPr>
          </w:p>
        </w:tc>
        <w:tc>
          <w:tcPr>
            <w:tcW w:w="0" w:type="auto"/>
            <w:shd w:val="clear" w:color="auto" w:fill="auto"/>
            <w:vAlign w:val="bottom"/>
          </w:tcPr>
          <w:p w14:paraId="74DD6669" w14:textId="77777777" w:rsidR="00584EC1" w:rsidRDefault="00584EC1">
            <w:pPr>
              <w:rPr>
                <w:rFonts w:ascii="宋体"/>
                <w:vanish/>
              </w:rPr>
            </w:pPr>
          </w:p>
        </w:tc>
        <w:tc>
          <w:tcPr>
            <w:tcW w:w="0" w:type="auto"/>
            <w:shd w:val="clear" w:color="auto" w:fill="auto"/>
            <w:vAlign w:val="bottom"/>
          </w:tcPr>
          <w:p w14:paraId="74DD666A" w14:textId="77777777" w:rsidR="00584EC1" w:rsidRDefault="00584EC1">
            <w:pPr>
              <w:rPr>
                <w:rFonts w:ascii="宋体"/>
                <w:vanish/>
              </w:rPr>
            </w:pPr>
          </w:p>
        </w:tc>
        <w:tc>
          <w:tcPr>
            <w:tcW w:w="0" w:type="auto"/>
            <w:gridSpan w:val="3"/>
            <w:shd w:val="clear" w:color="auto" w:fill="CCEEFF"/>
            <w:tcMar>
              <w:top w:w="0" w:type="dxa"/>
              <w:left w:w="20" w:type="dxa"/>
              <w:bottom w:w="0" w:type="dxa"/>
              <w:right w:w="20" w:type="dxa"/>
            </w:tcMar>
            <w:vAlign w:val="bottom"/>
          </w:tcPr>
          <w:p w14:paraId="74DD666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66C" w14:textId="77777777" w:rsidR="00584EC1" w:rsidRDefault="00871F8D">
            <w:pPr>
              <w:jc w:val="right"/>
              <w:textAlignment w:val="bottom"/>
            </w:pPr>
            <w:r>
              <w:rPr>
                <w:rFonts w:ascii="Arial" w:eastAsia="宋体" w:hAnsi="Arial" w:cs="Arial"/>
                <w:color w:val="000000"/>
                <w:sz w:val="15"/>
                <w:szCs w:val="15"/>
              </w:rPr>
              <w:t>11 </w:t>
            </w:r>
          </w:p>
        </w:tc>
        <w:tc>
          <w:tcPr>
            <w:tcW w:w="0" w:type="auto"/>
            <w:shd w:val="clear" w:color="auto" w:fill="CCEEFF"/>
            <w:tcMar>
              <w:top w:w="40" w:type="dxa"/>
              <w:left w:w="0" w:type="dxa"/>
              <w:bottom w:w="40" w:type="dxa"/>
              <w:right w:w="20" w:type="dxa"/>
            </w:tcMar>
            <w:vAlign w:val="bottom"/>
          </w:tcPr>
          <w:p w14:paraId="74DD666D" w14:textId="77777777" w:rsidR="00584EC1" w:rsidRDefault="00584EC1">
            <w:pPr>
              <w:jc w:val="right"/>
              <w:rPr>
                <w:rFonts w:ascii="宋体"/>
              </w:rPr>
            </w:pPr>
          </w:p>
        </w:tc>
        <w:tc>
          <w:tcPr>
            <w:tcW w:w="0" w:type="auto"/>
            <w:gridSpan w:val="3"/>
            <w:shd w:val="clear" w:color="auto" w:fill="auto"/>
            <w:vAlign w:val="bottom"/>
          </w:tcPr>
          <w:p w14:paraId="74DD666E" w14:textId="77777777" w:rsidR="00584EC1" w:rsidRDefault="00584EC1">
            <w:pPr>
              <w:rPr>
                <w:rFonts w:ascii="宋体"/>
                <w:vanish/>
              </w:rPr>
            </w:pPr>
          </w:p>
        </w:tc>
        <w:tc>
          <w:tcPr>
            <w:tcW w:w="0" w:type="auto"/>
            <w:gridSpan w:val="3"/>
            <w:shd w:val="clear" w:color="auto" w:fill="auto"/>
            <w:vAlign w:val="bottom"/>
          </w:tcPr>
          <w:p w14:paraId="74DD666F" w14:textId="77777777" w:rsidR="00584EC1" w:rsidRDefault="00584EC1">
            <w:pPr>
              <w:rPr>
                <w:rFonts w:ascii="宋体"/>
                <w:vanish/>
              </w:rPr>
            </w:pPr>
          </w:p>
        </w:tc>
        <w:tc>
          <w:tcPr>
            <w:tcW w:w="0" w:type="auto"/>
            <w:gridSpan w:val="3"/>
            <w:shd w:val="clear" w:color="auto" w:fill="auto"/>
            <w:vAlign w:val="bottom"/>
          </w:tcPr>
          <w:p w14:paraId="74DD6670" w14:textId="77777777" w:rsidR="00584EC1" w:rsidRDefault="00584EC1">
            <w:pPr>
              <w:rPr>
                <w:rFonts w:ascii="宋体"/>
                <w:vanish/>
              </w:rPr>
            </w:pPr>
          </w:p>
        </w:tc>
      </w:tr>
      <w:tr w:rsidR="00584EC1" w14:paraId="74DD6680" w14:textId="77777777">
        <w:tc>
          <w:tcPr>
            <w:tcW w:w="0" w:type="auto"/>
            <w:gridSpan w:val="3"/>
            <w:shd w:val="clear" w:color="auto" w:fill="FFFFFF"/>
            <w:tcMar>
              <w:top w:w="40" w:type="dxa"/>
              <w:left w:w="20" w:type="dxa"/>
              <w:bottom w:w="40" w:type="dxa"/>
              <w:right w:w="20" w:type="dxa"/>
            </w:tcMar>
            <w:vAlign w:val="bottom"/>
          </w:tcPr>
          <w:p w14:paraId="74DD6672" w14:textId="77777777" w:rsidR="00584EC1" w:rsidRDefault="00871F8D">
            <w:pPr>
              <w:textAlignment w:val="bottom"/>
            </w:pPr>
            <w:r>
              <w:rPr>
                <w:rFonts w:ascii="Arial" w:eastAsia="宋体" w:hAnsi="Arial" w:cs="Arial"/>
                <w:color w:val="000000"/>
                <w:sz w:val="15"/>
                <w:szCs w:val="15"/>
              </w:rPr>
              <w:t>Total fee 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6673" w14:textId="77777777" w:rsidR="00584EC1" w:rsidRDefault="00871F8D">
            <w:pPr>
              <w:jc w:val="right"/>
              <w:textAlignment w:val="bottom"/>
            </w:pPr>
            <w:r>
              <w:rPr>
                <w:rFonts w:ascii="Arial" w:eastAsia="宋体" w:hAnsi="Arial" w:cs="Arial"/>
                <w:b/>
                <w:bCs/>
                <w:color w:val="000000"/>
                <w:sz w:val="15"/>
                <w:szCs w:val="15"/>
              </w:rPr>
              <w:t>7,501</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667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675"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6676" w14:textId="77777777" w:rsidR="00584EC1" w:rsidRDefault="00871F8D">
            <w:pPr>
              <w:jc w:val="right"/>
              <w:textAlignment w:val="bottom"/>
            </w:pPr>
            <w:r>
              <w:rPr>
                <w:rFonts w:ascii="Arial" w:eastAsia="宋体" w:hAnsi="Arial" w:cs="Arial"/>
                <w:color w:val="000000"/>
                <w:sz w:val="15"/>
                <w:szCs w:val="15"/>
              </w:rPr>
              <w:t>7,083 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6677" w14:textId="77777777" w:rsidR="00584EC1" w:rsidRDefault="00584EC1">
            <w:pPr>
              <w:jc w:val="right"/>
              <w:rPr>
                <w:rFonts w:ascii="宋体"/>
              </w:rPr>
            </w:pPr>
          </w:p>
        </w:tc>
        <w:tc>
          <w:tcPr>
            <w:tcW w:w="0" w:type="auto"/>
            <w:shd w:val="clear" w:color="auto" w:fill="auto"/>
            <w:vAlign w:val="bottom"/>
          </w:tcPr>
          <w:p w14:paraId="74DD6678" w14:textId="77777777" w:rsidR="00584EC1" w:rsidRDefault="00584EC1">
            <w:pPr>
              <w:rPr>
                <w:rFonts w:ascii="宋体"/>
                <w:vanish/>
              </w:rPr>
            </w:pPr>
          </w:p>
        </w:tc>
        <w:tc>
          <w:tcPr>
            <w:tcW w:w="0" w:type="auto"/>
            <w:shd w:val="clear" w:color="auto" w:fill="auto"/>
            <w:vAlign w:val="bottom"/>
          </w:tcPr>
          <w:p w14:paraId="74DD6679" w14:textId="77777777" w:rsidR="00584EC1" w:rsidRDefault="00584EC1">
            <w:pPr>
              <w:rPr>
                <w:rFonts w:ascii="宋体"/>
                <w:vanish/>
              </w:rPr>
            </w:pPr>
          </w:p>
        </w:tc>
        <w:tc>
          <w:tcPr>
            <w:tcW w:w="0" w:type="auto"/>
            <w:gridSpan w:val="3"/>
            <w:shd w:val="clear" w:color="auto" w:fill="FFFFFF"/>
            <w:tcMar>
              <w:top w:w="0" w:type="dxa"/>
              <w:left w:w="20" w:type="dxa"/>
              <w:bottom w:w="0" w:type="dxa"/>
              <w:right w:w="20" w:type="dxa"/>
            </w:tcMar>
            <w:vAlign w:val="bottom"/>
          </w:tcPr>
          <w:p w14:paraId="74DD667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67B" w14:textId="77777777" w:rsidR="00584EC1" w:rsidRDefault="00871F8D">
            <w:pPr>
              <w:jc w:val="right"/>
              <w:textAlignment w:val="bottom"/>
            </w:pPr>
            <w:r>
              <w:rPr>
                <w:rFonts w:ascii="Arial" w:eastAsia="宋体" w:hAnsi="Arial" w:cs="Arial"/>
                <w:color w:val="000000"/>
                <w:sz w:val="15"/>
                <w:szCs w:val="15"/>
              </w:rPr>
              <w:t>6 </w:t>
            </w:r>
          </w:p>
        </w:tc>
        <w:tc>
          <w:tcPr>
            <w:tcW w:w="0" w:type="auto"/>
            <w:shd w:val="clear" w:color="auto" w:fill="FFFFFF"/>
            <w:tcMar>
              <w:top w:w="40" w:type="dxa"/>
              <w:left w:w="0" w:type="dxa"/>
              <w:bottom w:w="40" w:type="dxa"/>
              <w:right w:w="20" w:type="dxa"/>
            </w:tcMar>
            <w:vAlign w:val="bottom"/>
          </w:tcPr>
          <w:p w14:paraId="74DD667C" w14:textId="77777777" w:rsidR="00584EC1" w:rsidRDefault="00584EC1">
            <w:pPr>
              <w:jc w:val="right"/>
              <w:rPr>
                <w:rFonts w:ascii="宋体"/>
              </w:rPr>
            </w:pPr>
          </w:p>
        </w:tc>
        <w:tc>
          <w:tcPr>
            <w:tcW w:w="0" w:type="auto"/>
            <w:gridSpan w:val="3"/>
            <w:shd w:val="clear" w:color="auto" w:fill="auto"/>
            <w:vAlign w:val="bottom"/>
          </w:tcPr>
          <w:p w14:paraId="74DD667D" w14:textId="77777777" w:rsidR="00584EC1" w:rsidRDefault="00584EC1">
            <w:pPr>
              <w:rPr>
                <w:rFonts w:ascii="宋体"/>
                <w:vanish/>
              </w:rPr>
            </w:pPr>
          </w:p>
        </w:tc>
        <w:tc>
          <w:tcPr>
            <w:tcW w:w="0" w:type="auto"/>
            <w:gridSpan w:val="3"/>
            <w:shd w:val="clear" w:color="auto" w:fill="auto"/>
            <w:vAlign w:val="bottom"/>
          </w:tcPr>
          <w:p w14:paraId="74DD667E" w14:textId="77777777" w:rsidR="00584EC1" w:rsidRDefault="00584EC1">
            <w:pPr>
              <w:rPr>
                <w:rFonts w:ascii="宋体"/>
                <w:vanish/>
              </w:rPr>
            </w:pPr>
          </w:p>
        </w:tc>
        <w:tc>
          <w:tcPr>
            <w:tcW w:w="0" w:type="auto"/>
            <w:gridSpan w:val="3"/>
            <w:shd w:val="clear" w:color="auto" w:fill="auto"/>
            <w:vAlign w:val="bottom"/>
          </w:tcPr>
          <w:p w14:paraId="74DD667F" w14:textId="77777777" w:rsidR="00584EC1" w:rsidRDefault="00584EC1">
            <w:pPr>
              <w:rPr>
                <w:rFonts w:ascii="宋体"/>
                <w:vanish/>
              </w:rPr>
            </w:pPr>
          </w:p>
        </w:tc>
      </w:tr>
      <w:tr w:rsidR="00584EC1" w14:paraId="74DD668C" w14:textId="77777777">
        <w:tc>
          <w:tcPr>
            <w:tcW w:w="0" w:type="auto"/>
            <w:gridSpan w:val="3"/>
            <w:shd w:val="clear" w:color="auto" w:fill="CCEEFF"/>
            <w:tcMar>
              <w:top w:w="40" w:type="dxa"/>
              <w:left w:w="20" w:type="dxa"/>
              <w:bottom w:w="40" w:type="dxa"/>
              <w:right w:w="20" w:type="dxa"/>
            </w:tcMar>
            <w:vAlign w:val="bottom"/>
          </w:tcPr>
          <w:p w14:paraId="74DD6681" w14:textId="77777777" w:rsidR="00584EC1" w:rsidRDefault="00871F8D">
            <w:pPr>
              <w:textAlignment w:val="bottom"/>
            </w:pPr>
            <w:r>
              <w:rPr>
                <w:rFonts w:ascii="Arial" w:eastAsia="宋体" w:hAnsi="Arial" w:cs="Arial"/>
                <w:color w:val="000000"/>
                <w:sz w:val="15"/>
                <w:szCs w:val="15"/>
              </w:rPr>
              <w:t>Net interest income:</w:t>
            </w:r>
          </w:p>
        </w:tc>
        <w:tc>
          <w:tcPr>
            <w:tcW w:w="0" w:type="auto"/>
            <w:gridSpan w:val="3"/>
            <w:shd w:val="clear" w:color="auto" w:fill="CCEEFF"/>
            <w:tcMar>
              <w:top w:w="0" w:type="dxa"/>
              <w:left w:w="20" w:type="dxa"/>
              <w:bottom w:w="0" w:type="dxa"/>
              <w:right w:w="20" w:type="dxa"/>
            </w:tcMar>
            <w:vAlign w:val="bottom"/>
          </w:tcPr>
          <w:p w14:paraId="74DD6682"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6683"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6684" w14:textId="77777777" w:rsidR="00584EC1" w:rsidRDefault="00584EC1">
            <w:pPr>
              <w:rPr>
                <w:rFonts w:ascii="宋体"/>
              </w:rPr>
            </w:pPr>
          </w:p>
        </w:tc>
        <w:tc>
          <w:tcPr>
            <w:tcW w:w="0" w:type="auto"/>
            <w:shd w:val="clear" w:color="auto" w:fill="auto"/>
            <w:vAlign w:val="bottom"/>
          </w:tcPr>
          <w:p w14:paraId="74DD6685" w14:textId="77777777" w:rsidR="00584EC1" w:rsidRDefault="00584EC1">
            <w:pPr>
              <w:rPr>
                <w:rFonts w:ascii="宋体"/>
                <w:vanish/>
              </w:rPr>
            </w:pPr>
          </w:p>
        </w:tc>
        <w:tc>
          <w:tcPr>
            <w:tcW w:w="0" w:type="auto"/>
            <w:shd w:val="clear" w:color="auto" w:fill="auto"/>
            <w:vAlign w:val="bottom"/>
          </w:tcPr>
          <w:p w14:paraId="74DD6686" w14:textId="77777777" w:rsidR="00584EC1" w:rsidRDefault="00584EC1">
            <w:pPr>
              <w:rPr>
                <w:rFonts w:ascii="宋体"/>
                <w:vanish/>
              </w:rPr>
            </w:pPr>
          </w:p>
        </w:tc>
        <w:tc>
          <w:tcPr>
            <w:tcW w:w="0" w:type="auto"/>
            <w:gridSpan w:val="3"/>
            <w:shd w:val="clear" w:color="auto" w:fill="CCEEFF"/>
            <w:tcMar>
              <w:top w:w="0" w:type="dxa"/>
              <w:left w:w="20" w:type="dxa"/>
              <w:bottom w:w="0" w:type="dxa"/>
              <w:right w:w="20" w:type="dxa"/>
            </w:tcMar>
            <w:vAlign w:val="bottom"/>
          </w:tcPr>
          <w:p w14:paraId="74DD6687"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6688" w14:textId="77777777" w:rsidR="00584EC1" w:rsidRDefault="00584EC1">
            <w:pPr>
              <w:rPr>
                <w:rFonts w:ascii="宋体"/>
              </w:rPr>
            </w:pPr>
          </w:p>
        </w:tc>
        <w:tc>
          <w:tcPr>
            <w:tcW w:w="0" w:type="auto"/>
            <w:gridSpan w:val="3"/>
            <w:shd w:val="clear" w:color="auto" w:fill="auto"/>
            <w:vAlign w:val="bottom"/>
          </w:tcPr>
          <w:p w14:paraId="74DD6689" w14:textId="77777777" w:rsidR="00584EC1" w:rsidRDefault="00584EC1">
            <w:pPr>
              <w:rPr>
                <w:rFonts w:ascii="宋体"/>
                <w:vanish/>
              </w:rPr>
            </w:pPr>
          </w:p>
        </w:tc>
        <w:tc>
          <w:tcPr>
            <w:tcW w:w="0" w:type="auto"/>
            <w:gridSpan w:val="3"/>
            <w:shd w:val="clear" w:color="auto" w:fill="auto"/>
            <w:vAlign w:val="bottom"/>
          </w:tcPr>
          <w:p w14:paraId="74DD668A" w14:textId="77777777" w:rsidR="00584EC1" w:rsidRDefault="00584EC1">
            <w:pPr>
              <w:rPr>
                <w:rFonts w:ascii="宋体"/>
                <w:vanish/>
              </w:rPr>
            </w:pPr>
          </w:p>
        </w:tc>
        <w:tc>
          <w:tcPr>
            <w:tcW w:w="0" w:type="auto"/>
            <w:gridSpan w:val="3"/>
            <w:shd w:val="clear" w:color="auto" w:fill="auto"/>
            <w:vAlign w:val="bottom"/>
          </w:tcPr>
          <w:p w14:paraId="74DD668B" w14:textId="77777777" w:rsidR="00584EC1" w:rsidRDefault="00584EC1">
            <w:pPr>
              <w:rPr>
                <w:rFonts w:ascii="宋体"/>
                <w:vanish/>
              </w:rPr>
            </w:pPr>
          </w:p>
        </w:tc>
      </w:tr>
      <w:tr w:rsidR="00584EC1" w14:paraId="74DD669B" w14:textId="77777777">
        <w:tc>
          <w:tcPr>
            <w:tcW w:w="0" w:type="auto"/>
            <w:gridSpan w:val="3"/>
            <w:shd w:val="clear" w:color="auto" w:fill="FFFFFF"/>
            <w:tcMar>
              <w:top w:w="40" w:type="dxa"/>
              <w:left w:w="140" w:type="dxa"/>
              <w:bottom w:w="40" w:type="dxa"/>
              <w:right w:w="20" w:type="dxa"/>
            </w:tcMar>
            <w:vAlign w:val="bottom"/>
          </w:tcPr>
          <w:p w14:paraId="74DD668D" w14:textId="77777777" w:rsidR="00584EC1" w:rsidRDefault="00871F8D">
            <w:pPr>
              <w:textAlignment w:val="bottom"/>
            </w:pPr>
            <w:r>
              <w:rPr>
                <w:rFonts w:ascii="Arial" w:eastAsia="宋体" w:hAnsi="Arial" w:cs="Arial"/>
                <w:color w:val="000000"/>
                <w:sz w:val="15"/>
                <w:szCs w:val="15"/>
              </w:rPr>
              <w:t>Interest income</w:t>
            </w:r>
          </w:p>
        </w:tc>
        <w:tc>
          <w:tcPr>
            <w:tcW w:w="0" w:type="auto"/>
            <w:gridSpan w:val="2"/>
            <w:shd w:val="clear" w:color="auto" w:fill="FFFFFF"/>
            <w:tcMar>
              <w:top w:w="40" w:type="dxa"/>
              <w:left w:w="20" w:type="dxa"/>
              <w:bottom w:w="40" w:type="dxa"/>
              <w:right w:w="0" w:type="dxa"/>
            </w:tcMar>
            <w:vAlign w:val="bottom"/>
          </w:tcPr>
          <w:p w14:paraId="74DD668E" w14:textId="77777777" w:rsidR="00584EC1" w:rsidRDefault="00871F8D">
            <w:pPr>
              <w:jc w:val="right"/>
              <w:textAlignment w:val="bottom"/>
            </w:pPr>
            <w:r>
              <w:rPr>
                <w:rFonts w:ascii="Arial" w:eastAsia="宋体" w:hAnsi="Arial" w:cs="Arial"/>
                <w:b/>
                <w:bCs/>
                <w:color w:val="000000"/>
                <w:sz w:val="15"/>
                <w:szCs w:val="15"/>
              </w:rPr>
              <w:t>1,425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668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69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691" w14:textId="77777777" w:rsidR="00584EC1" w:rsidRDefault="00871F8D">
            <w:pPr>
              <w:jc w:val="right"/>
              <w:textAlignment w:val="bottom"/>
            </w:pPr>
            <w:r>
              <w:rPr>
                <w:rFonts w:ascii="Arial" w:eastAsia="宋体" w:hAnsi="Arial" w:cs="Arial"/>
                <w:color w:val="000000"/>
                <w:sz w:val="15"/>
                <w:szCs w:val="15"/>
              </w:rPr>
              <w:t>2,062 </w:t>
            </w:r>
          </w:p>
        </w:tc>
        <w:tc>
          <w:tcPr>
            <w:tcW w:w="0" w:type="auto"/>
            <w:shd w:val="clear" w:color="auto" w:fill="FFFFFF"/>
            <w:tcMar>
              <w:top w:w="40" w:type="dxa"/>
              <w:left w:w="0" w:type="dxa"/>
              <w:bottom w:w="40" w:type="dxa"/>
              <w:right w:w="20" w:type="dxa"/>
            </w:tcMar>
            <w:vAlign w:val="bottom"/>
          </w:tcPr>
          <w:p w14:paraId="74DD6692" w14:textId="77777777" w:rsidR="00584EC1" w:rsidRDefault="00584EC1">
            <w:pPr>
              <w:jc w:val="right"/>
              <w:rPr>
                <w:rFonts w:ascii="宋体"/>
              </w:rPr>
            </w:pPr>
          </w:p>
        </w:tc>
        <w:tc>
          <w:tcPr>
            <w:tcW w:w="0" w:type="auto"/>
            <w:shd w:val="clear" w:color="auto" w:fill="auto"/>
            <w:vAlign w:val="bottom"/>
          </w:tcPr>
          <w:p w14:paraId="74DD6693" w14:textId="77777777" w:rsidR="00584EC1" w:rsidRDefault="00584EC1">
            <w:pPr>
              <w:rPr>
                <w:rFonts w:ascii="宋体"/>
                <w:vanish/>
              </w:rPr>
            </w:pPr>
          </w:p>
        </w:tc>
        <w:tc>
          <w:tcPr>
            <w:tcW w:w="0" w:type="auto"/>
            <w:shd w:val="clear" w:color="auto" w:fill="auto"/>
            <w:vAlign w:val="bottom"/>
          </w:tcPr>
          <w:p w14:paraId="74DD6694" w14:textId="77777777" w:rsidR="00584EC1" w:rsidRDefault="00584EC1">
            <w:pPr>
              <w:rPr>
                <w:rFonts w:ascii="宋体"/>
                <w:vanish/>
              </w:rPr>
            </w:pPr>
          </w:p>
        </w:tc>
        <w:tc>
          <w:tcPr>
            <w:tcW w:w="0" w:type="auto"/>
            <w:gridSpan w:val="3"/>
            <w:shd w:val="clear" w:color="auto" w:fill="FFFFFF"/>
            <w:tcMar>
              <w:top w:w="0" w:type="dxa"/>
              <w:left w:w="20" w:type="dxa"/>
              <w:bottom w:w="0" w:type="dxa"/>
              <w:right w:w="20" w:type="dxa"/>
            </w:tcMar>
            <w:vAlign w:val="bottom"/>
          </w:tcPr>
          <w:p w14:paraId="74DD6695"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696" w14:textId="77777777" w:rsidR="00584EC1" w:rsidRDefault="00871F8D">
            <w:pPr>
              <w:jc w:val="right"/>
              <w:textAlignment w:val="bottom"/>
            </w:pPr>
            <w:r>
              <w:rPr>
                <w:rFonts w:ascii="Arial" w:eastAsia="宋体" w:hAnsi="Arial" w:cs="Arial"/>
                <w:color w:val="000000"/>
                <w:sz w:val="15"/>
                <w:szCs w:val="15"/>
              </w:rPr>
              <w:t>(31)</w:t>
            </w:r>
          </w:p>
        </w:tc>
        <w:tc>
          <w:tcPr>
            <w:tcW w:w="0" w:type="auto"/>
            <w:shd w:val="clear" w:color="auto" w:fill="FFFFFF"/>
            <w:tcMar>
              <w:top w:w="40" w:type="dxa"/>
              <w:left w:w="0" w:type="dxa"/>
              <w:bottom w:w="40" w:type="dxa"/>
              <w:right w:w="20" w:type="dxa"/>
            </w:tcMar>
            <w:vAlign w:val="bottom"/>
          </w:tcPr>
          <w:p w14:paraId="74DD6697" w14:textId="77777777" w:rsidR="00584EC1" w:rsidRDefault="00584EC1">
            <w:pPr>
              <w:jc w:val="right"/>
              <w:rPr>
                <w:rFonts w:ascii="宋体"/>
              </w:rPr>
            </w:pPr>
          </w:p>
        </w:tc>
        <w:tc>
          <w:tcPr>
            <w:tcW w:w="0" w:type="auto"/>
            <w:gridSpan w:val="3"/>
            <w:shd w:val="clear" w:color="auto" w:fill="auto"/>
            <w:vAlign w:val="bottom"/>
          </w:tcPr>
          <w:p w14:paraId="74DD6698" w14:textId="77777777" w:rsidR="00584EC1" w:rsidRDefault="00584EC1">
            <w:pPr>
              <w:rPr>
                <w:rFonts w:ascii="宋体"/>
                <w:vanish/>
              </w:rPr>
            </w:pPr>
          </w:p>
        </w:tc>
        <w:tc>
          <w:tcPr>
            <w:tcW w:w="0" w:type="auto"/>
            <w:gridSpan w:val="3"/>
            <w:shd w:val="clear" w:color="auto" w:fill="auto"/>
            <w:vAlign w:val="bottom"/>
          </w:tcPr>
          <w:p w14:paraId="74DD6699" w14:textId="77777777" w:rsidR="00584EC1" w:rsidRDefault="00584EC1">
            <w:pPr>
              <w:rPr>
                <w:rFonts w:ascii="宋体"/>
                <w:vanish/>
              </w:rPr>
            </w:pPr>
          </w:p>
        </w:tc>
        <w:tc>
          <w:tcPr>
            <w:tcW w:w="0" w:type="auto"/>
            <w:gridSpan w:val="3"/>
            <w:shd w:val="clear" w:color="auto" w:fill="auto"/>
            <w:vAlign w:val="bottom"/>
          </w:tcPr>
          <w:p w14:paraId="74DD669A" w14:textId="77777777" w:rsidR="00584EC1" w:rsidRDefault="00584EC1">
            <w:pPr>
              <w:rPr>
                <w:rFonts w:ascii="宋体"/>
                <w:vanish/>
              </w:rPr>
            </w:pPr>
          </w:p>
        </w:tc>
      </w:tr>
      <w:tr w:rsidR="00584EC1" w14:paraId="74DD66AA" w14:textId="77777777">
        <w:tc>
          <w:tcPr>
            <w:tcW w:w="0" w:type="auto"/>
            <w:gridSpan w:val="3"/>
            <w:shd w:val="clear" w:color="auto" w:fill="CCEEFF"/>
            <w:tcMar>
              <w:top w:w="40" w:type="dxa"/>
              <w:left w:w="140" w:type="dxa"/>
              <w:bottom w:w="40" w:type="dxa"/>
              <w:right w:w="20" w:type="dxa"/>
            </w:tcMar>
            <w:vAlign w:val="bottom"/>
          </w:tcPr>
          <w:p w14:paraId="74DD669C" w14:textId="77777777" w:rsidR="00584EC1" w:rsidRDefault="00871F8D">
            <w:pPr>
              <w:textAlignment w:val="bottom"/>
            </w:pPr>
            <w:r>
              <w:rPr>
                <w:rFonts w:ascii="Arial" w:eastAsia="宋体" w:hAnsi="Arial" w:cs="Arial"/>
                <w:color w:val="000000"/>
                <w:sz w:val="15"/>
                <w:szCs w:val="15"/>
              </w:rPr>
              <w:t>Interest expense</w:t>
            </w:r>
          </w:p>
        </w:tc>
        <w:tc>
          <w:tcPr>
            <w:tcW w:w="0" w:type="auto"/>
            <w:gridSpan w:val="2"/>
            <w:shd w:val="clear" w:color="auto" w:fill="CCEEFF"/>
            <w:tcMar>
              <w:top w:w="40" w:type="dxa"/>
              <w:left w:w="20" w:type="dxa"/>
              <w:bottom w:w="40" w:type="dxa"/>
              <w:right w:w="0" w:type="dxa"/>
            </w:tcMar>
            <w:vAlign w:val="bottom"/>
          </w:tcPr>
          <w:p w14:paraId="74DD669D" w14:textId="77777777" w:rsidR="00584EC1" w:rsidRDefault="00871F8D">
            <w:pPr>
              <w:jc w:val="right"/>
              <w:textAlignment w:val="bottom"/>
            </w:pPr>
            <w:r>
              <w:rPr>
                <w:rFonts w:ascii="Arial" w:eastAsia="宋体" w:hAnsi="Arial" w:cs="Arial"/>
                <w:b/>
                <w:bCs/>
                <w:color w:val="000000"/>
                <w:sz w:val="15"/>
                <w:szCs w:val="15"/>
              </w:rPr>
              <w:t>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669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69F"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6A0" w14:textId="77777777" w:rsidR="00584EC1" w:rsidRDefault="00871F8D">
            <w:pPr>
              <w:jc w:val="right"/>
              <w:textAlignment w:val="bottom"/>
            </w:pPr>
            <w:r>
              <w:rPr>
                <w:rFonts w:ascii="Arial" w:eastAsia="宋体" w:hAnsi="Arial" w:cs="Arial"/>
                <w:color w:val="000000"/>
                <w:sz w:val="15"/>
                <w:szCs w:val="15"/>
              </w:rPr>
              <w:t>361 </w:t>
            </w:r>
          </w:p>
        </w:tc>
        <w:tc>
          <w:tcPr>
            <w:tcW w:w="0" w:type="auto"/>
            <w:shd w:val="clear" w:color="auto" w:fill="CCEEFF"/>
            <w:tcMar>
              <w:top w:w="40" w:type="dxa"/>
              <w:left w:w="0" w:type="dxa"/>
              <w:bottom w:w="40" w:type="dxa"/>
              <w:right w:w="20" w:type="dxa"/>
            </w:tcMar>
            <w:vAlign w:val="bottom"/>
          </w:tcPr>
          <w:p w14:paraId="74DD66A1" w14:textId="77777777" w:rsidR="00584EC1" w:rsidRDefault="00584EC1">
            <w:pPr>
              <w:jc w:val="right"/>
              <w:rPr>
                <w:rFonts w:ascii="宋体"/>
              </w:rPr>
            </w:pPr>
          </w:p>
        </w:tc>
        <w:tc>
          <w:tcPr>
            <w:tcW w:w="0" w:type="auto"/>
            <w:shd w:val="clear" w:color="auto" w:fill="auto"/>
            <w:vAlign w:val="bottom"/>
          </w:tcPr>
          <w:p w14:paraId="74DD66A2" w14:textId="77777777" w:rsidR="00584EC1" w:rsidRDefault="00584EC1">
            <w:pPr>
              <w:rPr>
                <w:rFonts w:ascii="宋体"/>
                <w:vanish/>
              </w:rPr>
            </w:pPr>
          </w:p>
        </w:tc>
        <w:tc>
          <w:tcPr>
            <w:tcW w:w="0" w:type="auto"/>
            <w:shd w:val="clear" w:color="auto" w:fill="auto"/>
            <w:vAlign w:val="bottom"/>
          </w:tcPr>
          <w:p w14:paraId="74DD66A3" w14:textId="77777777" w:rsidR="00584EC1" w:rsidRDefault="00584EC1">
            <w:pPr>
              <w:rPr>
                <w:rFonts w:ascii="宋体"/>
                <w:vanish/>
              </w:rPr>
            </w:pPr>
          </w:p>
        </w:tc>
        <w:tc>
          <w:tcPr>
            <w:tcW w:w="0" w:type="auto"/>
            <w:gridSpan w:val="3"/>
            <w:shd w:val="clear" w:color="auto" w:fill="CCEEFF"/>
            <w:tcMar>
              <w:top w:w="0" w:type="dxa"/>
              <w:left w:w="20" w:type="dxa"/>
              <w:bottom w:w="0" w:type="dxa"/>
              <w:right w:w="20" w:type="dxa"/>
            </w:tcMar>
            <w:vAlign w:val="bottom"/>
          </w:tcPr>
          <w:p w14:paraId="74DD66A4"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6A5" w14:textId="77777777" w:rsidR="00584EC1" w:rsidRDefault="00871F8D">
            <w:pPr>
              <w:jc w:val="right"/>
              <w:textAlignment w:val="bottom"/>
            </w:pPr>
            <w:r>
              <w:rPr>
                <w:rFonts w:ascii="Arial" w:eastAsia="宋体" w:hAnsi="Arial" w:cs="Arial"/>
                <w:color w:val="000000"/>
                <w:sz w:val="15"/>
                <w:szCs w:val="15"/>
              </w:rPr>
              <w:t>(99)</w:t>
            </w:r>
          </w:p>
        </w:tc>
        <w:tc>
          <w:tcPr>
            <w:tcW w:w="0" w:type="auto"/>
            <w:shd w:val="clear" w:color="auto" w:fill="CCEEFF"/>
            <w:tcMar>
              <w:top w:w="40" w:type="dxa"/>
              <w:left w:w="0" w:type="dxa"/>
              <w:bottom w:w="40" w:type="dxa"/>
              <w:right w:w="20" w:type="dxa"/>
            </w:tcMar>
            <w:vAlign w:val="bottom"/>
          </w:tcPr>
          <w:p w14:paraId="74DD66A6" w14:textId="77777777" w:rsidR="00584EC1" w:rsidRDefault="00584EC1">
            <w:pPr>
              <w:jc w:val="right"/>
              <w:rPr>
                <w:rFonts w:ascii="宋体"/>
              </w:rPr>
            </w:pPr>
          </w:p>
        </w:tc>
        <w:tc>
          <w:tcPr>
            <w:tcW w:w="0" w:type="auto"/>
            <w:gridSpan w:val="3"/>
            <w:shd w:val="clear" w:color="auto" w:fill="auto"/>
            <w:vAlign w:val="bottom"/>
          </w:tcPr>
          <w:p w14:paraId="74DD66A7" w14:textId="77777777" w:rsidR="00584EC1" w:rsidRDefault="00584EC1">
            <w:pPr>
              <w:rPr>
                <w:rFonts w:ascii="宋体"/>
                <w:vanish/>
              </w:rPr>
            </w:pPr>
          </w:p>
        </w:tc>
        <w:tc>
          <w:tcPr>
            <w:tcW w:w="0" w:type="auto"/>
            <w:gridSpan w:val="3"/>
            <w:shd w:val="clear" w:color="auto" w:fill="auto"/>
            <w:vAlign w:val="bottom"/>
          </w:tcPr>
          <w:p w14:paraId="74DD66A8" w14:textId="77777777" w:rsidR="00584EC1" w:rsidRDefault="00584EC1">
            <w:pPr>
              <w:rPr>
                <w:rFonts w:ascii="宋体"/>
                <w:vanish/>
              </w:rPr>
            </w:pPr>
          </w:p>
        </w:tc>
        <w:tc>
          <w:tcPr>
            <w:tcW w:w="0" w:type="auto"/>
            <w:gridSpan w:val="3"/>
            <w:shd w:val="clear" w:color="auto" w:fill="auto"/>
            <w:vAlign w:val="bottom"/>
          </w:tcPr>
          <w:p w14:paraId="74DD66A9" w14:textId="77777777" w:rsidR="00584EC1" w:rsidRDefault="00584EC1">
            <w:pPr>
              <w:rPr>
                <w:rFonts w:ascii="宋体"/>
                <w:vanish/>
              </w:rPr>
            </w:pPr>
          </w:p>
        </w:tc>
      </w:tr>
      <w:tr w:rsidR="00584EC1" w14:paraId="74DD66B9" w14:textId="77777777">
        <w:tc>
          <w:tcPr>
            <w:tcW w:w="0" w:type="auto"/>
            <w:gridSpan w:val="3"/>
            <w:shd w:val="clear" w:color="auto" w:fill="FFFFFF"/>
            <w:tcMar>
              <w:top w:w="40" w:type="dxa"/>
              <w:left w:w="20" w:type="dxa"/>
              <w:bottom w:w="40" w:type="dxa"/>
              <w:right w:w="20" w:type="dxa"/>
            </w:tcMar>
            <w:vAlign w:val="bottom"/>
          </w:tcPr>
          <w:p w14:paraId="74DD66AB" w14:textId="77777777" w:rsidR="00584EC1" w:rsidRDefault="00871F8D">
            <w:pPr>
              <w:textAlignment w:val="bottom"/>
            </w:pPr>
            <w:r>
              <w:rPr>
                <w:rFonts w:ascii="Arial" w:eastAsia="宋体" w:hAnsi="Arial" w:cs="Arial"/>
                <w:color w:val="000000"/>
                <w:sz w:val="15"/>
                <w:szCs w:val="15"/>
              </w:rPr>
              <w:t>Net interest income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66AC" w14:textId="77777777" w:rsidR="00584EC1" w:rsidRDefault="00871F8D">
            <w:pPr>
              <w:jc w:val="right"/>
              <w:textAlignment w:val="bottom"/>
            </w:pPr>
            <w:r>
              <w:rPr>
                <w:rFonts w:ascii="Arial" w:eastAsia="宋体" w:hAnsi="Arial" w:cs="Arial"/>
                <w:b/>
                <w:bCs/>
                <w:color w:val="000000"/>
                <w:sz w:val="15"/>
                <w:szCs w:val="15"/>
              </w:rPr>
              <w:t>1,421</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66A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6AE"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66AF" w14:textId="77777777" w:rsidR="00584EC1" w:rsidRDefault="00871F8D">
            <w:pPr>
              <w:jc w:val="right"/>
              <w:textAlignment w:val="bottom"/>
            </w:pPr>
            <w:r>
              <w:rPr>
                <w:rFonts w:ascii="Arial" w:eastAsia="宋体" w:hAnsi="Arial" w:cs="Arial"/>
                <w:color w:val="000000"/>
                <w:sz w:val="15"/>
                <w:szCs w:val="15"/>
              </w:rPr>
              <w:t>1,701 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66B0" w14:textId="77777777" w:rsidR="00584EC1" w:rsidRDefault="00584EC1">
            <w:pPr>
              <w:jc w:val="right"/>
              <w:rPr>
                <w:rFonts w:ascii="宋体"/>
              </w:rPr>
            </w:pPr>
          </w:p>
        </w:tc>
        <w:tc>
          <w:tcPr>
            <w:tcW w:w="0" w:type="auto"/>
            <w:shd w:val="clear" w:color="auto" w:fill="auto"/>
            <w:vAlign w:val="bottom"/>
          </w:tcPr>
          <w:p w14:paraId="74DD66B1" w14:textId="77777777" w:rsidR="00584EC1" w:rsidRDefault="00584EC1">
            <w:pPr>
              <w:rPr>
                <w:rFonts w:ascii="宋体"/>
                <w:vanish/>
              </w:rPr>
            </w:pPr>
          </w:p>
        </w:tc>
        <w:tc>
          <w:tcPr>
            <w:tcW w:w="0" w:type="auto"/>
            <w:shd w:val="clear" w:color="auto" w:fill="auto"/>
            <w:vAlign w:val="bottom"/>
          </w:tcPr>
          <w:p w14:paraId="74DD66B2" w14:textId="77777777" w:rsidR="00584EC1" w:rsidRDefault="00584EC1">
            <w:pPr>
              <w:rPr>
                <w:rFonts w:ascii="宋体"/>
                <w:vanish/>
              </w:rPr>
            </w:pPr>
          </w:p>
        </w:tc>
        <w:tc>
          <w:tcPr>
            <w:tcW w:w="0" w:type="auto"/>
            <w:gridSpan w:val="3"/>
            <w:shd w:val="clear" w:color="auto" w:fill="FFFFFF"/>
            <w:tcMar>
              <w:top w:w="0" w:type="dxa"/>
              <w:left w:w="20" w:type="dxa"/>
              <w:bottom w:w="0" w:type="dxa"/>
              <w:right w:w="20" w:type="dxa"/>
            </w:tcMar>
            <w:vAlign w:val="bottom"/>
          </w:tcPr>
          <w:p w14:paraId="74DD66B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6B4" w14:textId="77777777" w:rsidR="00584EC1" w:rsidRDefault="00871F8D">
            <w:pPr>
              <w:jc w:val="right"/>
              <w:textAlignment w:val="bottom"/>
            </w:pPr>
            <w:r>
              <w:rPr>
                <w:rFonts w:ascii="Arial" w:eastAsia="宋体" w:hAnsi="Arial" w:cs="Arial"/>
                <w:color w:val="000000"/>
                <w:sz w:val="15"/>
                <w:szCs w:val="15"/>
              </w:rPr>
              <w:t>(16)</w:t>
            </w:r>
          </w:p>
        </w:tc>
        <w:tc>
          <w:tcPr>
            <w:tcW w:w="0" w:type="auto"/>
            <w:shd w:val="clear" w:color="auto" w:fill="FFFFFF"/>
            <w:tcMar>
              <w:top w:w="40" w:type="dxa"/>
              <w:left w:w="0" w:type="dxa"/>
              <w:bottom w:w="40" w:type="dxa"/>
              <w:right w:w="20" w:type="dxa"/>
            </w:tcMar>
            <w:vAlign w:val="bottom"/>
          </w:tcPr>
          <w:p w14:paraId="74DD66B5" w14:textId="77777777" w:rsidR="00584EC1" w:rsidRDefault="00584EC1">
            <w:pPr>
              <w:jc w:val="right"/>
              <w:rPr>
                <w:rFonts w:ascii="宋体"/>
              </w:rPr>
            </w:pPr>
          </w:p>
        </w:tc>
        <w:tc>
          <w:tcPr>
            <w:tcW w:w="0" w:type="auto"/>
            <w:gridSpan w:val="3"/>
            <w:shd w:val="clear" w:color="auto" w:fill="auto"/>
            <w:vAlign w:val="bottom"/>
          </w:tcPr>
          <w:p w14:paraId="74DD66B6" w14:textId="77777777" w:rsidR="00584EC1" w:rsidRDefault="00584EC1">
            <w:pPr>
              <w:rPr>
                <w:rFonts w:ascii="宋体"/>
                <w:vanish/>
              </w:rPr>
            </w:pPr>
          </w:p>
        </w:tc>
        <w:tc>
          <w:tcPr>
            <w:tcW w:w="0" w:type="auto"/>
            <w:gridSpan w:val="3"/>
            <w:shd w:val="clear" w:color="auto" w:fill="auto"/>
            <w:vAlign w:val="bottom"/>
          </w:tcPr>
          <w:p w14:paraId="74DD66B7" w14:textId="77777777" w:rsidR="00584EC1" w:rsidRDefault="00584EC1">
            <w:pPr>
              <w:rPr>
                <w:rFonts w:ascii="宋体"/>
                <w:vanish/>
              </w:rPr>
            </w:pPr>
          </w:p>
        </w:tc>
        <w:tc>
          <w:tcPr>
            <w:tcW w:w="0" w:type="auto"/>
            <w:gridSpan w:val="3"/>
            <w:shd w:val="clear" w:color="auto" w:fill="auto"/>
            <w:vAlign w:val="bottom"/>
          </w:tcPr>
          <w:p w14:paraId="74DD66B8" w14:textId="77777777" w:rsidR="00584EC1" w:rsidRDefault="00584EC1">
            <w:pPr>
              <w:rPr>
                <w:rFonts w:ascii="宋体"/>
                <w:vanish/>
              </w:rPr>
            </w:pPr>
          </w:p>
        </w:tc>
      </w:tr>
      <w:tr w:rsidR="00584EC1" w14:paraId="74DD66C5" w14:textId="77777777">
        <w:tc>
          <w:tcPr>
            <w:tcW w:w="0" w:type="auto"/>
            <w:gridSpan w:val="3"/>
            <w:shd w:val="clear" w:color="auto" w:fill="CCEEFF"/>
            <w:tcMar>
              <w:top w:w="40" w:type="dxa"/>
              <w:left w:w="20" w:type="dxa"/>
              <w:bottom w:w="40" w:type="dxa"/>
              <w:right w:w="20" w:type="dxa"/>
            </w:tcMar>
            <w:vAlign w:val="bottom"/>
          </w:tcPr>
          <w:p w14:paraId="74DD66BA" w14:textId="77777777" w:rsidR="00584EC1" w:rsidRDefault="00871F8D">
            <w:pPr>
              <w:textAlignment w:val="bottom"/>
            </w:pPr>
            <w:r>
              <w:rPr>
                <w:rFonts w:ascii="Arial" w:eastAsia="宋体" w:hAnsi="Arial" w:cs="Arial"/>
                <w:color w:val="000000"/>
                <w:sz w:val="15"/>
                <w:szCs w:val="15"/>
              </w:rPr>
              <w:t>Other income:</w:t>
            </w:r>
          </w:p>
        </w:tc>
        <w:tc>
          <w:tcPr>
            <w:tcW w:w="0" w:type="auto"/>
            <w:gridSpan w:val="3"/>
            <w:shd w:val="clear" w:color="auto" w:fill="CCEEFF"/>
            <w:tcMar>
              <w:top w:w="0" w:type="dxa"/>
              <w:left w:w="20" w:type="dxa"/>
              <w:bottom w:w="0" w:type="dxa"/>
              <w:right w:w="20" w:type="dxa"/>
            </w:tcMar>
            <w:vAlign w:val="bottom"/>
          </w:tcPr>
          <w:p w14:paraId="74DD66BB"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66BC"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66BD" w14:textId="77777777" w:rsidR="00584EC1" w:rsidRDefault="00584EC1">
            <w:pPr>
              <w:rPr>
                <w:rFonts w:ascii="宋体"/>
              </w:rPr>
            </w:pPr>
          </w:p>
        </w:tc>
        <w:tc>
          <w:tcPr>
            <w:tcW w:w="0" w:type="auto"/>
            <w:shd w:val="clear" w:color="auto" w:fill="auto"/>
            <w:vAlign w:val="bottom"/>
          </w:tcPr>
          <w:p w14:paraId="74DD66BE" w14:textId="77777777" w:rsidR="00584EC1" w:rsidRDefault="00584EC1">
            <w:pPr>
              <w:rPr>
                <w:rFonts w:ascii="宋体"/>
                <w:vanish/>
              </w:rPr>
            </w:pPr>
          </w:p>
        </w:tc>
        <w:tc>
          <w:tcPr>
            <w:tcW w:w="0" w:type="auto"/>
            <w:shd w:val="clear" w:color="auto" w:fill="auto"/>
            <w:vAlign w:val="bottom"/>
          </w:tcPr>
          <w:p w14:paraId="74DD66BF" w14:textId="77777777" w:rsidR="00584EC1" w:rsidRDefault="00584EC1">
            <w:pPr>
              <w:rPr>
                <w:rFonts w:ascii="宋体"/>
                <w:vanish/>
              </w:rPr>
            </w:pPr>
          </w:p>
        </w:tc>
        <w:tc>
          <w:tcPr>
            <w:tcW w:w="0" w:type="auto"/>
            <w:gridSpan w:val="3"/>
            <w:shd w:val="clear" w:color="auto" w:fill="CCEEFF"/>
            <w:tcMar>
              <w:top w:w="0" w:type="dxa"/>
              <w:left w:w="20" w:type="dxa"/>
              <w:bottom w:w="0" w:type="dxa"/>
              <w:right w:w="20" w:type="dxa"/>
            </w:tcMar>
            <w:vAlign w:val="bottom"/>
          </w:tcPr>
          <w:p w14:paraId="74DD66C0"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66C1" w14:textId="77777777" w:rsidR="00584EC1" w:rsidRDefault="00584EC1">
            <w:pPr>
              <w:rPr>
                <w:rFonts w:ascii="宋体"/>
              </w:rPr>
            </w:pPr>
          </w:p>
        </w:tc>
        <w:tc>
          <w:tcPr>
            <w:tcW w:w="0" w:type="auto"/>
            <w:gridSpan w:val="3"/>
            <w:shd w:val="clear" w:color="auto" w:fill="auto"/>
            <w:vAlign w:val="bottom"/>
          </w:tcPr>
          <w:p w14:paraId="74DD66C2" w14:textId="77777777" w:rsidR="00584EC1" w:rsidRDefault="00584EC1">
            <w:pPr>
              <w:rPr>
                <w:rFonts w:ascii="宋体"/>
                <w:vanish/>
              </w:rPr>
            </w:pPr>
          </w:p>
        </w:tc>
        <w:tc>
          <w:tcPr>
            <w:tcW w:w="0" w:type="auto"/>
            <w:gridSpan w:val="3"/>
            <w:shd w:val="clear" w:color="auto" w:fill="auto"/>
            <w:vAlign w:val="bottom"/>
          </w:tcPr>
          <w:p w14:paraId="74DD66C3" w14:textId="77777777" w:rsidR="00584EC1" w:rsidRDefault="00584EC1">
            <w:pPr>
              <w:rPr>
                <w:rFonts w:ascii="宋体"/>
                <w:vanish/>
              </w:rPr>
            </w:pPr>
          </w:p>
        </w:tc>
        <w:tc>
          <w:tcPr>
            <w:tcW w:w="0" w:type="auto"/>
            <w:gridSpan w:val="3"/>
            <w:shd w:val="clear" w:color="auto" w:fill="auto"/>
            <w:vAlign w:val="bottom"/>
          </w:tcPr>
          <w:p w14:paraId="74DD66C4" w14:textId="77777777" w:rsidR="00584EC1" w:rsidRDefault="00584EC1">
            <w:pPr>
              <w:rPr>
                <w:rFonts w:ascii="宋体"/>
                <w:vanish/>
              </w:rPr>
            </w:pPr>
          </w:p>
        </w:tc>
      </w:tr>
      <w:tr w:rsidR="00584EC1" w14:paraId="74DD66D3" w14:textId="77777777">
        <w:tc>
          <w:tcPr>
            <w:tcW w:w="0" w:type="auto"/>
            <w:gridSpan w:val="3"/>
            <w:shd w:val="clear" w:color="auto" w:fill="FFFFFF"/>
            <w:tcMar>
              <w:top w:w="40" w:type="dxa"/>
              <w:left w:w="140" w:type="dxa"/>
              <w:bottom w:w="40" w:type="dxa"/>
              <w:right w:w="20" w:type="dxa"/>
            </w:tcMar>
            <w:vAlign w:val="bottom"/>
          </w:tcPr>
          <w:p w14:paraId="74DD66C6" w14:textId="77777777" w:rsidR="00584EC1" w:rsidRDefault="00871F8D">
            <w:pPr>
              <w:textAlignment w:val="bottom"/>
            </w:pPr>
            <w:r>
              <w:rPr>
                <w:rFonts w:ascii="Arial" w:eastAsia="宋体" w:hAnsi="Arial" w:cs="Arial"/>
                <w:color w:val="000000"/>
                <w:sz w:val="15"/>
                <w:szCs w:val="15"/>
              </w:rPr>
              <w:t>Gains (losses) related to investment securities, net</w:t>
            </w:r>
          </w:p>
        </w:tc>
        <w:tc>
          <w:tcPr>
            <w:tcW w:w="0" w:type="auto"/>
            <w:gridSpan w:val="2"/>
            <w:shd w:val="clear" w:color="auto" w:fill="FFFFFF"/>
            <w:tcMar>
              <w:top w:w="40" w:type="dxa"/>
              <w:left w:w="20" w:type="dxa"/>
              <w:bottom w:w="40" w:type="dxa"/>
              <w:right w:w="0" w:type="dxa"/>
            </w:tcMar>
            <w:vAlign w:val="bottom"/>
          </w:tcPr>
          <w:p w14:paraId="74DD66C7" w14:textId="77777777" w:rsidR="00584EC1" w:rsidRDefault="00871F8D">
            <w:pPr>
              <w:jc w:val="right"/>
              <w:textAlignment w:val="bottom"/>
            </w:pPr>
            <w:r>
              <w:rPr>
                <w:rFonts w:ascii="Arial" w:eastAsia="宋体" w:hAnsi="Arial" w:cs="Arial"/>
                <w:b/>
                <w:bCs/>
                <w:color w:val="000000"/>
                <w:sz w:val="15"/>
                <w:szCs w:val="15"/>
              </w:rPr>
              <w:t>(1)</w:t>
            </w:r>
          </w:p>
        </w:tc>
        <w:tc>
          <w:tcPr>
            <w:tcW w:w="0" w:type="auto"/>
            <w:shd w:val="clear" w:color="auto" w:fill="FFFFFF"/>
            <w:tcMar>
              <w:top w:w="40" w:type="dxa"/>
              <w:left w:w="0" w:type="dxa"/>
              <w:bottom w:w="40" w:type="dxa"/>
              <w:right w:w="20" w:type="dxa"/>
            </w:tcMar>
            <w:vAlign w:val="bottom"/>
          </w:tcPr>
          <w:p w14:paraId="74DD66C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6C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6CA" w14:textId="77777777" w:rsidR="00584EC1" w:rsidRDefault="00871F8D">
            <w:pPr>
              <w:jc w:val="right"/>
              <w:textAlignment w:val="bottom"/>
            </w:pPr>
            <w:r>
              <w:rPr>
                <w:rFonts w:ascii="Arial" w:eastAsia="宋体" w:hAnsi="Arial" w:cs="Arial"/>
                <w:color w:val="000000"/>
                <w:sz w:val="15"/>
                <w:szCs w:val="15"/>
              </w:rPr>
              <w:t>2 </w:t>
            </w:r>
          </w:p>
        </w:tc>
        <w:tc>
          <w:tcPr>
            <w:tcW w:w="0" w:type="auto"/>
            <w:shd w:val="clear" w:color="auto" w:fill="FFFFFF"/>
            <w:tcMar>
              <w:top w:w="40" w:type="dxa"/>
              <w:left w:w="0" w:type="dxa"/>
              <w:bottom w:w="40" w:type="dxa"/>
              <w:right w:w="20" w:type="dxa"/>
            </w:tcMar>
            <w:vAlign w:val="bottom"/>
          </w:tcPr>
          <w:p w14:paraId="74DD66CB" w14:textId="77777777" w:rsidR="00584EC1" w:rsidRDefault="00584EC1">
            <w:pPr>
              <w:jc w:val="right"/>
              <w:rPr>
                <w:rFonts w:ascii="宋体"/>
              </w:rPr>
            </w:pPr>
          </w:p>
        </w:tc>
        <w:tc>
          <w:tcPr>
            <w:tcW w:w="0" w:type="auto"/>
            <w:shd w:val="clear" w:color="auto" w:fill="auto"/>
            <w:vAlign w:val="bottom"/>
          </w:tcPr>
          <w:p w14:paraId="74DD66CC" w14:textId="77777777" w:rsidR="00584EC1" w:rsidRDefault="00584EC1">
            <w:pPr>
              <w:rPr>
                <w:rFonts w:ascii="宋体"/>
                <w:vanish/>
              </w:rPr>
            </w:pPr>
          </w:p>
        </w:tc>
        <w:tc>
          <w:tcPr>
            <w:tcW w:w="0" w:type="auto"/>
            <w:shd w:val="clear" w:color="auto" w:fill="auto"/>
            <w:vAlign w:val="bottom"/>
          </w:tcPr>
          <w:p w14:paraId="74DD66CD" w14:textId="77777777" w:rsidR="00584EC1" w:rsidRDefault="00584EC1">
            <w:pPr>
              <w:rPr>
                <w:rFonts w:ascii="宋体"/>
                <w:vanish/>
              </w:rPr>
            </w:pPr>
          </w:p>
        </w:tc>
        <w:tc>
          <w:tcPr>
            <w:tcW w:w="0" w:type="auto"/>
            <w:gridSpan w:val="3"/>
            <w:shd w:val="clear" w:color="auto" w:fill="FFFFFF"/>
            <w:tcMar>
              <w:top w:w="0" w:type="dxa"/>
              <w:left w:w="20" w:type="dxa"/>
              <w:bottom w:w="0" w:type="dxa"/>
              <w:right w:w="20" w:type="dxa"/>
            </w:tcMar>
            <w:vAlign w:val="bottom"/>
          </w:tcPr>
          <w:p w14:paraId="74DD66CE" w14:textId="77777777" w:rsidR="00584EC1" w:rsidRDefault="00584EC1">
            <w:pPr>
              <w:rPr>
                <w:rFonts w:ascii="宋体"/>
              </w:rPr>
            </w:pPr>
          </w:p>
        </w:tc>
        <w:tc>
          <w:tcPr>
            <w:tcW w:w="0" w:type="auto"/>
            <w:gridSpan w:val="3"/>
            <w:shd w:val="clear" w:color="auto" w:fill="FFFFFF"/>
            <w:tcMar>
              <w:top w:w="40" w:type="dxa"/>
              <w:left w:w="20" w:type="dxa"/>
              <w:bottom w:w="40" w:type="dxa"/>
              <w:right w:w="140" w:type="dxa"/>
            </w:tcMar>
            <w:vAlign w:val="bottom"/>
          </w:tcPr>
          <w:p w14:paraId="74DD66CF" w14:textId="77777777" w:rsidR="00584EC1" w:rsidRDefault="00871F8D">
            <w:pPr>
              <w:jc w:val="right"/>
              <w:textAlignment w:val="bottom"/>
            </w:pPr>
            <w:r>
              <w:rPr>
                <w:rFonts w:ascii="Arial" w:eastAsia="宋体" w:hAnsi="Arial" w:cs="Arial"/>
                <w:color w:val="000000"/>
                <w:sz w:val="15"/>
                <w:szCs w:val="15"/>
              </w:rPr>
              <w:t>nm</w:t>
            </w:r>
          </w:p>
        </w:tc>
        <w:tc>
          <w:tcPr>
            <w:tcW w:w="0" w:type="auto"/>
            <w:gridSpan w:val="3"/>
            <w:shd w:val="clear" w:color="auto" w:fill="auto"/>
            <w:vAlign w:val="bottom"/>
          </w:tcPr>
          <w:p w14:paraId="74DD66D0" w14:textId="77777777" w:rsidR="00584EC1" w:rsidRDefault="00584EC1">
            <w:pPr>
              <w:rPr>
                <w:rFonts w:ascii="宋体"/>
                <w:vanish/>
              </w:rPr>
            </w:pPr>
          </w:p>
        </w:tc>
        <w:tc>
          <w:tcPr>
            <w:tcW w:w="0" w:type="auto"/>
            <w:gridSpan w:val="3"/>
            <w:shd w:val="clear" w:color="auto" w:fill="auto"/>
            <w:vAlign w:val="bottom"/>
          </w:tcPr>
          <w:p w14:paraId="74DD66D1" w14:textId="77777777" w:rsidR="00584EC1" w:rsidRDefault="00584EC1">
            <w:pPr>
              <w:rPr>
                <w:rFonts w:ascii="宋体"/>
                <w:vanish/>
              </w:rPr>
            </w:pPr>
          </w:p>
        </w:tc>
        <w:tc>
          <w:tcPr>
            <w:tcW w:w="0" w:type="auto"/>
            <w:gridSpan w:val="3"/>
            <w:shd w:val="clear" w:color="auto" w:fill="auto"/>
            <w:vAlign w:val="bottom"/>
          </w:tcPr>
          <w:p w14:paraId="74DD66D2" w14:textId="77777777" w:rsidR="00584EC1" w:rsidRDefault="00584EC1">
            <w:pPr>
              <w:rPr>
                <w:rFonts w:ascii="宋体"/>
                <w:vanish/>
              </w:rPr>
            </w:pPr>
          </w:p>
        </w:tc>
      </w:tr>
      <w:tr w:rsidR="00584EC1" w14:paraId="74DD66E1" w14:textId="77777777">
        <w:tc>
          <w:tcPr>
            <w:tcW w:w="0" w:type="auto"/>
            <w:gridSpan w:val="3"/>
            <w:shd w:val="clear" w:color="auto" w:fill="CCEEFF"/>
            <w:tcMar>
              <w:top w:w="40" w:type="dxa"/>
              <w:left w:w="140" w:type="dxa"/>
              <w:bottom w:w="40" w:type="dxa"/>
              <w:right w:w="20" w:type="dxa"/>
            </w:tcMar>
            <w:vAlign w:val="bottom"/>
          </w:tcPr>
          <w:p w14:paraId="74DD66D4" w14:textId="77777777" w:rsidR="00584EC1" w:rsidRDefault="00871F8D">
            <w:pPr>
              <w:textAlignment w:val="bottom"/>
            </w:pPr>
            <w:r>
              <w:rPr>
                <w:rFonts w:ascii="Arial" w:eastAsia="宋体" w:hAnsi="Arial" w:cs="Arial"/>
                <w:color w:val="000000"/>
                <w:sz w:val="15"/>
                <w:szCs w:val="15"/>
              </w:rPr>
              <w:t>Other income</w:t>
            </w:r>
          </w:p>
        </w:tc>
        <w:tc>
          <w:tcPr>
            <w:tcW w:w="0" w:type="auto"/>
            <w:gridSpan w:val="2"/>
            <w:shd w:val="clear" w:color="auto" w:fill="CCEEFF"/>
            <w:tcMar>
              <w:top w:w="40" w:type="dxa"/>
              <w:left w:w="20" w:type="dxa"/>
              <w:bottom w:w="40" w:type="dxa"/>
              <w:right w:w="0" w:type="dxa"/>
            </w:tcMar>
            <w:vAlign w:val="bottom"/>
          </w:tcPr>
          <w:p w14:paraId="74DD66D5" w14:textId="77777777" w:rsidR="00584EC1" w:rsidRDefault="00871F8D">
            <w:pPr>
              <w:jc w:val="right"/>
              <w:textAlignment w:val="bottom"/>
            </w:pPr>
            <w:r>
              <w:rPr>
                <w:rFonts w:ascii="Arial" w:eastAsia="宋体" w:hAnsi="Arial" w:cs="Arial"/>
                <w:b/>
                <w:bCs/>
                <w:color w:val="000000"/>
                <w:sz w:val="15"/>
                <w:szCs w:val="15"/>
              </w:rPr>
              <w:t>53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66D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6D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6D8"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66D9" w14:textId="77777777" w:rsidR="00584EC1" w:rsidRDefault="00584EC1">
            <w:pPr>
              <w:jc w:val="right"/>
              <w:rPr>
                <w:rFonts w:ascii="宋体"/>
              </w:rPr>
            </w:pPr>
          </w:p>
        </w:tc>
        <w:tc>
          <w:tcPr>
            <w:tcW w:w="0" w:type="auto"/>
            <w:shd w:val="clear" w:color="auto" w:fill="auto"/>
            <w:vAlign w:val="bottom"/>
          </w:tcPr>
          <w:p w14:paraId="74DD66DA" w14:textId="77777777" w:rsidR="00584EC1" w:rsidRDefault="00584EC1">
            <w:pPr>
              <w:rPr>
                <w:rFonts w:ascii="宋体"/>
                <w:vanish/>
              </w:rPr>
            </w:pPr>
          </w:p>
        </w:tc>
        <w:tc>
          <w:tcPr>
            <w:tcW w:w="0" w:type="auto"/>
            <w:shd w:val="clear" w:color="auto" w:fill="auto"/>
            <w:vAlign w:val="bottom"/>
          </w:tcPr>
          <w:p w14:paraId="74DD66DB" w14:textId="77777777" w:rsidR="00584EC1" w:rsidRDefault="00584EC1">
            <w:pPr>
              <w:rPr>
                <w:rFonts w:ascii="宋体"/>
                <w:vanish/>
              </w:rPr>
            </w:pPr>
          </w:p>
        </w:tc>
        <w:tc>
          <w:tcPr>
            <w:tcW w:w="0" w:type="auto"/>
            <w:gridSpan w:val="3"/>
            <w:shd w:val="clear" w:color="auto" w:fill="CCEEFF"/>
            <w:tcMar>
              <w:top w:w="0" w:type="dxa"/>
              <w:left w:w="20" w:type="dxa"/>
              <w:bottom w:w="0" w:type="dxa"/>
              <w:right w:w="20" w:type="dxa"/>
            </w:tcMar>
            <w:vAlign w:val="bottom"/>
          </w:tcPr>
          <w:p w14:paraId="74DD66DC" w14:textId="77777777" w:rsidR="00584EC1" w:rsidRDefault="00584EC1">
            <w:pPr>
              <w:rPr>
                <w:rFonts w:ascii="宋体"/>
              </w:rPr>
            </w:pPr>
          </w:p>
        </w:tc>
        <w:tc>
          <w:tcPr>
            <w:tcW w:w="0" w:type="auto"/>
            <w:gridSpan w:val="3"/>
            <w:shd w:val="clear" w:color="auto" w:fill="CCEEFF"/>
            <w:tcMar>
              <w:top w:w="40" w:type="dxa"/>
              <w:left w:w="20" w:type="dxa"/>
              <w:bottom w:w="40" w:type="dxa"/>
              <w:right w:w="140" w:type="dxa"/>
            </w:tcMar>
            <w:vAlign w:val="bottom"/>
          </w:tcPr>
          <w:p w14:paraId="74DD66DD" w14:textId="77777777" w:rsidR="00584EC1" w:rsidRDefault="00871F8D">
            <w:pPr>
              <w:jc w:val="right"/>
              <w:textAlignment w:val="bottom"/>
            </w:pPr>
            <w:r>
              <w:rPr>
                <w:rFonts w:ascii="Arial" w:eastAsia="宋体" w:hAnsi="Arial" w:cs="Arial"/>
                <w:color w:val="000000"/>
                <w:sz w:val="15"/>
                <w:szCs w:val="15"/>
              </w:rPr>
              <w:t>nm</w:t>
            </w:r>
          </w:p>
        </w:tc>
        <w:tc>
          <w:tcPr>
            <w:tcW w:w="0" w:type="auto"/>
            <w:gridSpan w:val="3"/>
            <w:shd w:val="clear" w:color="auto" w:fill="auto"/>
            <w:vAlign w:val="bottom"/>
          </w:tcPr>
          <w:p w14:paraId="74DD66DE" w14:textId="77777777" w:rsidR="00584EC1" w:rsidRDefault="00584EC1">
            <w:pPr>
              <w:rPr>
                <w:rFonts w:ascii="宋体"/>
                <w:vanish/>
              </w:rPr>
            </w:pPr>
          </w:p>
        </w:tc>
        <w:tc>
          <w:tcPr>
            <w:tcW w:w="0" w:type="auto"/>
            <w:gridSpan w:val="3"/>
            <w:shd w:val="clear" w:color="auto" w:fill="auto"/>
            <w:vAlign w:val="bottom"/>
          </w:tcPr>
          <w:p w14:paraId="74DD66DF" w14:textId="77777777" w:rsidR="00584EC1" w:rsidRDefault="00584EC1">
            <w:pPr>
              <w:rPr>
                <w:rFonts w:ascii="宋体"/>
                <w:vanish/>
              </w:rPr>
            </w:pPr>
          </w:p>
        </w:tc>
        <w:tc>
          <w:tcPr>
            <w:tcW w:w="0" w:type="auto"/>
            <w:gridSpan w:val="3"/>
            <w:shd w:val="clear" w:color="auto" w:fill="auto"/>
            <w:vAlign w:val="bottom"/>
          </w:tcPr>
          <w:p w14:paraId="74DD66E0" w14:textId="77777777" w:rsidR="00584EC1" w:rsidRDefault="00584EC1">
            <w:pPr>
              <w:rPr>
                <w:rFonts w:ascii="宋体"/>
                <w:vanish/>
              </w:rPr>
            </w:pPr>
          </w:p>
        </w:tc>
      </w:tr>
      <w:tr w:rsidR="00584EC1" w14:paraId="74DD66EF" w14:textId="77777777">
        <w:tc>
          <w:tcPr>
            <w:tcW w:w="0" w:type="auto"/>
            <w:gridSpan w:val="3"/>
            <w:shd w:val="clear" w:color="auto" w:fill="FFFFFF"/>
            <w:tcMar>
              <w:top w:w="40" w:type="dxa"/>
              <w:left w:w="20" w:type="dxa"/>
              <w:bottom w:w="40" w:type="dxa"/>
              <w:right w:w="20" w:type="dxa"/>
            </w:tcMar>
            <w:vAlign w:val="bottom"/>
          </w:tcPr>
          <w:p w14:paraId="74DD66E2" w14:textId="77777777" w:rsidR="00584EC1" w:rsidRDefault="00871F8D">
            <w:pPr>
              <w:textAlignment w:val="bottom"/>
            </w:pPr>
            <w:r>
              <w:rPr>
                <w:rFonts w:ascii="Arial" w:eastAsia="宋体" w:hAnsi="Arial" w:cs="Arial"/>
                <w:color w:val="000000"/>
                <w:sz w:val="15"/>
                <w:szCs w:val="15"/>
              </w:rPr>
              <w:t>Total other income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66E3" w14:textId="77777777" w:rsidR="00584EC1" w:rsidRDefault="00871F8D">
            <w:pPr>
              <w:jc w:val="right"/>
              <w:textAlignment w:val="bottom"/>
            </w:pPr>
            <w:r>
              <w:rPr>
                <w:rFonts w:ascii="Arial" w:eastAsia="宋体" w:hAnsi="Arial" w:cs="Arial"/>
                <w:b/>
                <w:bCs/>
                <w:color w:val="000000"/>
                <w:sz w:val="15"/>
                <w:szCs w:val="15"/>
              </w:rPr>
              <w:t>52</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66E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6E5"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66E6" w14:textId="77777777" w:rsidR="00584EC1" w:rsidRDefault="00871F8D">
            <w:pPr>
              <w:jc w:val="right"/>
              <w:textAlignment w:val="bottom"/>
            </w:pPr>
            <w:r>
              <w:rPr>
                <w:rFonts w:ascii="Arial" w:eastAsia="宋体" w:hAnsi="Arial" w:cs="Arial"/>
                <w:color w:val="000000"/>
                <w:sz w:val="15"/>
                <w:szCs w:val="15"/>
              </w:rPr>
              <w:t>2 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66E7" w14:textId="77777777" w:rsidR="00584EC1" w:rsidRDefault="00584EC1">
            <w:pPr>
              <w:jc w:val="right"/>
              <w:rPr>
                <w:rFonts w:ascii="宋体"/>
              </w:rPr>
            </w:pPr>
          </w:p>
        </w:tc>
        <w:tc>
          <w:tcPr>
            <w:tcW w:w="0" w:type="auto"/>
            <w:shd w:val="clear" w:color="auto" w:fill="auto"/>
            <w:vAlign w:val="bottom"/>
          </w:tcPr>
          <w:p w14:paraId="74DD66E8" w14:textId="77777777" w:rsidR="00584EC1" w:rsidRDefault="00584EC1">
            <w:pPr>
              <w:rPr>
                <w:rFonts w:ascii="宋体"/>
                <w:vanish/>
              </w:rPr>
            </w:pPr>
          </w:p>
        </w:tc>
        <w:tc>
          <w:tcPr>
            <w:tcW w:w="0" w:type="auto"/>
            <w:shd w:val="clear" w:color="auto" w:fill="auto"/>
            <w:vAlign w:val="bottom"/>
          </w:tcPr>
          <w:p w14:paraId="74DD66E9" w14:textId="77777777" w:rsidR="00584EC1" w:rsidRDefault="00584EC1">
            <w:pPr>
              <w:rPr>
                <w:rFonts w:ascii="宋体"/>
                <w:vanish/>
              </w:rPr>
            </w:pPr>
          </w:p>
        </w:tc>
        <w:tc>
          <w:tcPr>
            <w:tcW w:w="0" w:type="auto"/>
            <w:gridSpan w:val="3"/>
            <w:shd w:val="clear" w:color="auto" w:fill="FFFFFF"/>
            <w:tcMar>
              <w:top w:w="0" w:type="dxa"/>
              <w:left w:w="20" w:type="dxa"/>
              <w:bottom w:w="0" w:type="dxa"/>
              <w:right w:w="20" w:type="dxa"/>
            </w:tcMar>
            <w:vAlign w:val="bottom"/>
          </w:tcPr>
          <w:p w14:paraId="74DD66EA" w14:textId="77777777" w:rsidR="00584EC1" w:rsidRDefault="00584EC1">
            <w:pPr>
              <w:rPr>
                <w:rFonts w:ascii="宋体"/>
              </w:rPr>
            </w:pPr>
          </w:p>
        </w:tc>
        <w:tc>
          <w:tcPr>
            <w:tcW w:w="0" w:type="auto"/>
            <w:gridSpan w:val="3"/>
            <w:shd w:val="clear" w:color="auto" w:fill="FFFFFF"/>
            <w:tcMar>
              <w:top w:w="40" w:type="dxa"/>
              <w:left w:w="20" w:type="dxa"/>
              <w:bottom w:w="40" w:type="dxa"/>
              <w:right w:w="140" w:type="dxa"/>
            </w:tcMar>
            <w:vAlign w:val="bottom"/>
          </w:tcPr>
          <w:p w14:paraId="74DD66EB" w14:textId="77777777" w:rsidR="00584EC1" w:rsidRDefault="00871F8D">
            <w:pPr>
              <w:jc w:val="right"/>
              <w:textAlignment w:val="bottom"/>
            </w:pPr>
            <w:r>
              <w:rPr>
                <w:rFonts w:ascii="Arial" w:eastAsia="宋体" w:hAnsi="Arial" w:cs="Arial"/>
                <w:color w:val="000000"/>
                <w:sz w:val="15"/>
                <w:szCs w:val="15"/>
              </w:rPr>
              <w:t>nm</w:t>
            </w:r>
          </w:p>
        </w:tc>
        <w:tc>
          <w:tcPr>
            <w:tcW w:w="0" w:type="auto"/>
            <w:gridSpan w:val="3"/>
            <w:shd w:val="clear" w:color="auto" w:fill="auto"/>
            <w:vAlign w:val="bottom"/>
          </w:tcPr>
          <w:p w14:paraId="74DD66EC" w14:textId="77777777" w:rsidR="00584EC1" w:rsidRDefault="00584EC1">
            <w:pPr>
              <w:rPr>
                <w:rFonts w:ascii="宋体"/>
                <w:vanish/>
              </w:rPr>
            </w:pPr>
          </w:p>
        </w:tc>
        <w:tc>
          <w:tcPr>
            <w:tcW w:w="0" w:type="auto"/>
            <w:gridSpan w:val="3"/>
            <w:shd w:val="clear" w:color="auto" w:fill="auto"/>
            <w:vAlign w:val="bottom"/>
          </w:tcPr>
          <w:p w14:paraId="74DD66ED" w14:textId="77777777" w:rsidR="00584EC1" w:rsidRDefault="00584EC1">
            <w:pPr>
              <w:rPr>
                <w:rFonts w:ascii="宋体"/>
                <w:vanish/>
              </w:rPr>
            </w:pPr>
          </w:p>
        </w:tc>
        <w:tc>
          <w:tcPr>
            <w:tcW w:w="0" w:type="auto"/>
            <w:gridSpan w:val="3"/>
            <w:shd w:val="clear" w:color="auto" w:fill="auto"/>
            <w:vAlign w:val="bottom"/>
          </w:tcPr>
          <w:p w14:paraId="74DD66EE" w14:textId="77777777" w:rsidR="00584EC1" w:rsidRDefault="00584EC1">
            <w:pPr>
              <w:rPr>
                <w:rFonts w:ascii="宋体"/>
                <w:vanish/>
              </w:rPr>
            </w:pPr>
          </w:p>
        </w:tc>
      </w:tr>
      <w:tr w:rsidR="00584EC1" w14:paraId="74DD6700" w14:textId="77777777">
        <w:tc>
          <w:tcPr>
            <w:tcW w:w="0" w:type="auto"/>
            <w:gridSpan w:val="3"/>
            <w:shd w:val="clear" w:color="auto" w:fill="CCEEFF"/>
            <w:tcMar>
              <w:top w:w="40" w:type="dxa"/>
              <w:left w:w="20" w:type="dxa"/>
              <w:bottom w:w="40" w:type="dxa"/>
              <w:right w:w="20" w:type="dxa"/>
            </w:tcMar>
            <w:vAlign w:val="bottom"/>
          </w:tcPr>
          <w:p w14:paraId="74DD66F0" w14:textId="77777777" w:rsidR="00584EC1" w:rsidRDefault="00871F8D">
            <w:pPr>
              <w:textAlignment w:val="bottom"/>
            </w:pPr>
            <w:r>
              <w:rPr>
                <w:rFonts w:ascii="Arial" w:eastAsia="宋体" w:hAnsi="Arial" w:cs="Arial"/>
                <w:color w:val="000000"/>
                <w:sz w:val="15"/>
                <w:szCs w:val="15"/>
              </w:rPr>
              <w:t>Total rev</w:t>
            </w:r>
            <w:r>
              <w:rPr>
                <w:rFonts w:ascii="Arial" w:eastAsia="宋体" w:hAnsi="Arial" w:cs="Arial"/>
                <w:color w:val="000000"/>
                <w:sz w:val="15"/>
                <w:szCs w:val="15"/>
              </w:rPr>
              <w:t>enue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66F1" w14:textId="77777777" w:rsidR="00584EC1" w:rsidRDefault="00871F8D">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66F2" w14:textId="77777777" w:rsidR="00584EC1" w:rsidRDefault="00871F8D">
            <w:pPr>
              <w:jc w:val="right"/>
              <w:textAlignment w:val="bottom"/>
            </w:pPr>
            <w:r>
              <w:rPr>
                <w:rFonts w:ascii="Arial" w:eastAsia="宋体" w:hAnsi="Arial" w:cs="Arial"/>
                <w:b/>
                <w:bCs/>
                <w:color w:val="000000"/>
                <w:sz w:val="15"/>
                <w:szCs w:val="15"/>
              </w:rPr>
              <w:t>8,974</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66F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6F4"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66F5"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66F6" w14:textId="77777777" w:rsidR="00584EC1" w:rsidRDefault="00871F8D">
            <w:pPr>
              <w:jc w:val="right"/>
              <w:textAlignment w:val="bottom"/>
            </w:pPr>
            <w:r>
              <w:rPr>
                <w:rFonts w:ascii="Arial" w:eastAsia="宋体" w:hAnsi="Arial" w:cs="Arial"/>
                <w:color w:val="000000"/>
                <w:sz w:val="15"/>
                <w:szCs w:val="15"/>
              </w:rPr>
              <w:t>8,786 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66F7" w14:textId="77777777" w:rsidR="00584EC1" w:rsidRDefault="00584EC1">
            <w:pPr>
              <w:jc w:val="right"/>
              <w:rPr>
                <w:rFonts w:ascii="宋体"/>
              </w:rPr>
            </w:pPr>
          </w:p>
        </w:tc>
        <w:tc>
          <w:tcPr>
            <w:tcW w:w="0" w:type="auto"/>
            <w:shd w:val="clear" w:color="auto" w:fill="auto"/>
            <w:vAlign w:val="bottom"/>
          </w:tcPr>
          <w:p w14:paraId="74DD66F8" w14:textId="77777777" w:rsidR="00584EC1" w:rsidRDefault="00584EC1">
            <w:pPr>
              <w:rPr>
                <w:rFonts w:ascii="宋体"/>
                <w:vanish/>
              </w:rPr>
            </w:pPr>
          </w:p>
        </w:tc>
        <w:tc>
          <w:tcPr>
            <w:tcW w:w="0" w:type="auto"/>
            <w:shd w:val="clear" w:color="auto" w:fill="auto"/>
            <w:vAlign w:val="bottom"/>
          </w:tcPr>
          <w:p w14:paraId="74DD66F9" w14:textId="77777777" w:rsidR="00584EC1" w:rsidRDefault="00584EC1">
            <w:pPr>
              <w:rPr>
                <w:rFonts w:ascii="宋体"/>
                <w:vanish/>
              </w:rPr>
            </w:pPr>
          </w:p>
        </w:tc>
        <w:tc>
          <w:tcPr>
            <w:tcW w:w="0" w:type="auto"/>
            <w:gridSpan w:val="3"/>
            <w:shd w:val="clear" w:color="auto" w:fill="CCEEFF"/>
            <w:tcMar>
              <w:top w:w="0" w:type="dxa"/>
              <w:left w:w="20" w:type="dxa"/>
              <w:bottom w:w="0" w:type="dxa"/>
              <w:right w:w="20" w:type="dxa"/>
            </w:tcMar>
            <w:vAlign w:val="bottom"/>
          </w:tcPr>
          <w:p w14:paraId="74DD66FA"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6FB" w14:textId="77777777" w:rsidR="00584EC1" w:rsidRDefault="00871F8D">
            <w:pPr>
              <w:jc w:val="right"/>
              <w:textAlignment w:val="bottom"/>
            </w:pPr>
            <w:r>
              <w:rPr>
                <w:rFonts w:ascii="Arial" w:eastAsia="宋体" w:hAnsi="Arial" w:cs="Arial"/>
                <w:color w:val="000000"/>
                <w:sz w:val="15"/>
                <w:szCs w:val="15"/>
              </w:rPr>
              <w:t>2 </w:t>
            </w:r>
          </w:p>
        </w:tc>
        <w:tc>
          <w:tcPr>
            <w:tcW w:w="0" w:type="auto"/>
            <w:shd w:val="clear" w:color="auto" w:fill="CCEEFF"/>
            <w:tcMar>
              <w:top w:w="40" w:type="dxa"/>
              <w:left w:w="0" w:type="dxa"/>
              <w:bottom w:w="40" w:type="dxa"/>
              <w:right w:w="20" w:type="dxa"/>
            </w:tcMar>
            <w:vAlign w:val="bottom"/>
          </w:tcPr>
          <w:p w14:paraId="74DD66FC" w14:textId="77777777" w:rsidR="00584EC1" w:rsidRDefault="00584EC1">
            <w:pPr>
              <w:jc w:val="right"/>
              <w:rPr>
                <w:rFonts w:ascii="宋体"/>
              </w:rPr>
            </w:pPr>
          </w:p>
        </w:tc>
        <w:tc>
          <w:tcPr>
            <w:tcW w:w="0" w:type="auto"/>
            <w:gridSpan w:val="3"/>
            <w:shd w:val="clear" w:color="auto" w:fill="auto"/>
            <w:vAlign w:val="bottom"/>
          </w:tcPr>
          <w:p w14:paraId="74DD66FD" w14:textId="77777777" w:rsidR="00584EC1" w:rsidRDefault="00584EC1">
            <w:pPr>
              <w:rPr>
                <w:rFonts w:ascii="宋体"/>
                <w:vanish/>
              </w:rPr>
            </w:pPr>
          </w:p>
        </w:tc>
        <w:tc>
          <w:tcPr>
            <w:tcW w:w="0" w:type="auto"/>
            <w:gridSpan w:val="3"/>
            <w:shd w:val="clear" w:color="auto" w:fill="auto"/>
            <w:vAlign w:val="bottom"/>
          </w:tcPr>
          <w:p w14:paraId="74DD66FE" w14:textId="77777777" w:rsidR="00584EC1" w:rsidRDefault="00584EC1">
            <w:pPr>
              <w:rPr>
                <w:rFonts w:ascii="宋体"/>
                <w:vanish/>
              </w:rPr>
            </w:pPr>
          </w:p>
        </w:tc>
        <w:tc>
          <w:tcPr>
            <w:tcW w:w="0" w:type="auto"/>
            <w:gridSpan w:val="3"/>
            <w:shd w:val="clear" w:color="auto" w:fill="auto"/>
            <w:vAlign w:val="bottom"/>
          </w:tcPr>
          <w:p w14:paraId="74DD66FF" w14:textId="77777777" w:rsidR="00584EC1" w:rsidRDefault="00584EC1">
            <w:pPr>
              <w:rPr>
                <w:rFonts w:ascii="宋体"/>
                <w:vanish/>
              </w:rPr>
            </w:pPr>
          </w:p>
        </w:tc>
      </w:tr>
    </w:tbl>
    <w:p w14:paraId="74DD6701" w14:textId="77777777" w:rsidR="00584EC1" w:rsidRDefault="00584E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4928"/>
        <w:gridCol w:w="36"/>
        <w:gridCol w:w="69"/>
        <w:gridCol w:w="3198"/>
        <w:gridCol w:w="36"/>
      </w:tblGrid>
      <w:tr w:rsidR="00584EC1" w14:paraId="74DD6708" w14:textId="77777777">
        <w:tc>
          <w:tcPr>
            <w:tcW w:w="50" w:type="pct"/>
            <w:shd w:val="clear" w:color="auto" w:fill="auto"/>
            <w:vAlign w:val="bottom"/>
          </w:tcPr>
          <w:p w14:paraId="74DD6702" w14:textId="77777777" w:rsidR="00584EC1" w:rsidRDefault="00584EC1">
            <w:pPr>
              <w:rPr>
                <w:rFonts w:ascii="宋体"/>
              </w:rPr>
            </w:pPr>
          </w:p>
        </w:tc>
        <w:tc>
          <w:tcPr>
            <w:tcW w:w="2963" w:type="pct"/>
            <w:shd w:val="clear" w:color="auto" w:fill="auto"/>
            <w:vAlign w:val="bottom"/>
          </w:tcPr>
          <w:p w14:paraId="74DD6703" w14:textId="77777777" w:rsidR="00584EC1" w:rsidRDefault="00584EC1">
            <w:pPr>
              <w:rPr>
                <w:rFonts w:ascii="宋体"/>
              </w:rPr>
            </w:pPr>
          </w:p>
        </w:tc>
        <w:tc>
          <w:tcPr>
            <w:tcW w:w="5" w:type="pct"/>
            <w:shd w:val="clear" w:color="auto" w:fill="auto"/>
            <w:vAlign w:val="bottom"/>
          </w:tcPr>
          <w:p w14:paraId="74DD6704" w14:textId="77777777" w:rsidR="00584EC1" w:rsidRDefault="00584EC1">
            <w:pPr>
              <w:rPr>
                <w:rFonts w:ascii="宋体"/>
              </w:rPr>
            </w:pPr>
          </w:p>
        </w:tc>
        <w:tc>
          <w:tcPr>
            <w:tcW w:w="50" w:type="pct"/>
            <w:shd w:val="clear" w:color="auto" w:fill="auto"/>
            <w:vAlign w:val="bottom"/>
          </w:tcPr>
          <w:p w14:paraId="74DD6705" w14:textId="77777777" w:rsidR="00584EC1" w:rsidRDefault="00584EC1">
            <w:pPr>
              <w:rPr>
                <w:rFonts w:ascii="宋体"/>
              </w:rPr>
            </w:pPr>
          </w:p>
        </w:tc>
        <w:tc>
          <w:tcPr>
            <w:tcW w:w="1926" w:type="pct"/>
            <w:shd w:val="clear" w:color="auto" w:fill="auto"/>
            <w:vAlign w:val="bottom"/>
          </w:tcPr>
          <w:p w14:paraId="74DD6706" w14:textId="77777777" w:rsidR="00584EC1" w:rsidRDefault="00584EC1">
            <w:pPr>
              <w:rPr>
                <w:rFonts w:ascii="宋体"/>
              </w:rPr>
            </w:pPr>
          </w:p>
        </w:tc>
        <w:tc>
          <w:tcPr>
            <w:tcW w:w="5" w:type="pct"/>
            <w:shd w:val="clear" w:color="auto" w:fill="auto"/>
            <w:vAlign w:val="bottom"/>
          </w:tcPr>
          <w:p w14:paraId="74DD6707" w14:textId="77777777" w:rsidR="00584EC1" w:rsidRDefault="00584EC1">
            <w:pPr>
              <w:rPr>
                <w:rFonts w:ascii="宋体"/>
              </w:rPr>
            </w:pPr>
          </w:p>
        </w:tc>
      </w:tr>
      <w:tr w:rsidR="00584EC1" w14:paraId="74DD670B"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4DD6709"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670A" w14:textId="77777777" w:rsidR="00584EC1" w:rsidRDefault="00584EC1">
            <w:pPr>
              <w:rPr>
                <w:rFonts w:ascii="宋体"/>
              </w:rPr>
            </w:pPr>
          </w:p>
        </w:tc>
      </w:tr>
    </w:tbl>
    <w:p w14:paraId="74DD670C" w14:textId="77777777" w:rsidR="00584EC1" w:rsidRDefault="00871F8D">
      <w:pPr>
        <w:jc w:val="both"/>
        <w:textAlignment w:val="top"/>
      </w:pPr>
      <w:r>
        <w:rPr>
          <w:rFonts w:ascii="Arial" w:eastAsia="宋体" w:hAnsi="Arial" w:cs="Arial"/>
          <w:color w:val="000000"/>
          <w:sz w:val="8"/>
          <w:szCs w:val="8"/>
        </w:rPr>
        <w:t>(1)</w:t>
      </w:r>
      <w:r>
        <w:rPr>
          <w:rFonts w:ascii="Arial" w:eastAsia="宋体" w:hAnsi="Arial" w:cs="Arial"/>
          <w:color w:val="000000"/>
          <w:sz w:val="13"/>
          <w:szCs w:val="13"/>
        </w:rPr>
        <w:t xml:space="preserve"> Certain fees associated with our GLD ETFs have been reclassified from foreign exchange trading services to management fees to better reflect the nature of those fees. Prior periods have been reclassified to conform to current-period presentation. These fe</w:t>
      </w:r>
      <w:r>
        <w:rPr>
          <w:rFonts w:ascii="Arial" w:eastAsia="宋体" w:hAnsi="Arial" w:cs="Arial"/>
          <w:color w:val="000000"/>
          <w:sz w:val="13"/>
          <w:szCs w:val="13"/>
        </w:rPr>
        <w:t xml:space="preserve">es were approximately $24 million and $58 million in the three and nine months ended September 30, 2020, respectively. </w:t>
      </w:r>
    </w:p>
    <w:p w14:paraId="74DD670D" w14:textId="77777777" w:rsidR="00584EC1" w:rsidRDefault="00871F8D">
      <w:pPr>
        <w:jc w:val="both"/>
        <w:textAlignment w:val="top"/>
      </w:pPr>
      <w:r>
        <w:rPr>
          <w:rFonts w:ascii="Arial" w:eastAsia="宋体" w:hAnsi="Arial" w:cs="Arial"/>
          <w:color w:val="000000"/>
          <w:sz w:val="8"/>
          <w:szCs w:val="8"/>
        </w:rPr>
        <w:t>nm</w:t>
      </w:r>
      <w:r>
        <w:rPr>
          <w:rFonts w:ascii="Arial" w:eastAsia="宋体" w:hAnsi="Arial" w:cs="Arial"/>
          <w:color w:val="000000"/>
          <w:sz w:val="13"/>
          <w:szCs w:val="13"/>
        </w:rPr>
        <w:t xml:space="preserve"> Not meaningful</w:t>
      </w:r>
    </w:p>
    <w:p w14:paraId="74DD670E" w14:textId="77777777" w:rsidR="00584EC1" w:rsidRDefault="00871F8D">
      <w:pPr>
        <w:spacing w:before="60"/>
        <w:textAlignment w:val="top"/>
      </w:pPr>
      <w:r>
        <w:rPr>
          <w:rFonts w:ascii="Arial" w:eastAsia="宋体" w:hAnsi="Arial" w:cs="Arial"/>
          <w:b/>
          <w:bCs/>
          <w:i/>
          <w:iCs/>
          <w:color w:val="000000"/>
          <w:sz w:val="20"/>
          <w:szCs w:val="20"/>
        </w:rPr>
        <w:t>Fee Revenue</w:t>
      </w:r>
    </w:p>
    <w:p w14:paraId="74DD670F" w14:textId="77777777" w:rsidR="00584EC1" w:rsidRDefault="00871F8D">
      <w:pPr>
        <w:spacing w:before="60"/>
        <w:ind w:firstLine="450"/>
        <w:jc w:val="both"/>
        <w:textAlignment w:val="top"/>
      </w:pPr>
      <w:r>
        <w:rPr>
          <w:rFonts w:ascii="Arial" w:eastAsia="宋体" w:hAnsi="Arial" w:cs="Arial"/>
          <w:color w:val="000000"/>
          <w:sz w:val="20"/>
          <w:szCs w:val="20"/>
        </w:rPr>
        <w:t xml:space="preserve">Table 2: Total Revenue, provides the breakout of fee revenue for the three and nine months ended </w:t>
      </w:r>
      <w:r>
        <w:rPr>
          <w:rFonts w:ascii="Arial" w:eastAsia="宋体" w:hAnsi="Arial" w:cs="Arial"/>
          <w:color w:val="000000"/>
          <w:sz w:val="20"/>
          <w:szCs w:val="20"/>
        </w:rPr>
        <w:t>September 30, 2021 and 2020. Servicing and management fees collectively made up approximately 77% and 76% of the total fee revenue in the three and nine months ended September 30, 2021, respectively, compared to 77% and 74% in the same periods in 2020, res</w:t>
      </w:r>
      <w:r>
        <w:rPr>
          <w:rFonts w:ascii="Arial" w:eastAsia="宋体" w:hAnsi="Arial" w:cs="Arial"/>
          <w:color w:val="000000"/>
          <w:sz w:val="20"/>
          <w:szCs w:val="20"/>
        </w:rPr>
        <w:t>pectively.</w:t>
      </w:r>
    </w:p>
    <w:p w14:paraId="74DD6710" w14:textId="77777777" w:rsidR="00584EC1" w:rsidRDefault="00871F8D">
      <w:pPr>
        <w:spacing w:before="60"/>
        <w:textAlignment w:val="top"/>
      </w:pPr>
      <w:r>
        <w:rPr>
          <w:rFonts w:ascii="Arial" w:eastAsia="宋体" w:hAnsi="Arial" w:cs="Arial"/>
          <w:b/>
          <w:bCs/>
          <w:i/>
          <w:iCs/>
          <w:color w:val="000000"/>
          <w:sz w:val="20"/>
          <w:szCs w:val="20"/>
        </w:rPr>
        <w:t>Servicing Fee Revenue</w:t>
      </w:r>
    </w:p>
    <w:p w14:paraId="74DD6711" w14:textId="77777777" w:rsidR="00584EC1" w:rsidRDefault="00871F8D">
      <w:pPr>
        <w:spacing w:before="60"/>
        <w:ind w:firstLine="450"/>
        <w:jc w:val="both"/>
        <w:textAlignment w:val="top"/>
      </w:pPr>
      <w:r>
        <w:rPr>
          <w:rFonts w:ascii="Arial" w:eastAsia="宋体" w:hAnsi="Arial" w:cs="Arial"/>
          <w:color w:val="000000"/>
          <w:sz w:val="20"/>
          <w:szCs w:val="20"/>
        </w:rPr>
        <w:t>Generally, our servicing fee revenues are affected by several factors including changes in market valuations, client activity and asset flows, net new business and the manner in which we price our services. We provide a ran</w:t>
      </w:r>
      <w:r>
        <w:rPr>
          <w:rFonts w:ascii="Arial" w:eastAsia="宋体" w:hAnsi="Arial" w:cs="Arial"/>
          <w:color w:val="000000"/>
          <w:sz w:val="20"/>
          <w:szCs w:val="20"/>
        </w:rPr>
        <w:t>ge of services to our clients, including core custody services, accounting, reporting and administration and middle office services, and the nature and mix of services provided affects our servicing fees. The basis for fees will differ across regions and c</w:t>
      </w:r>
      <w:r>
        <w:rPr>
          <w:rFonts w:ascii="Arial" w:eastAsia="宋体" w:hAnsi="Arial" w:cs="Arial"/>
          <w:color w:val="000000"/>
          <w:sz w:val="20"/>
          <w:szCs w:val="20"/>
        </w:rPr>
        <w:t xml:space="preserve">lients. </w:t>
      </w:r>
    </w:p>
    <w:p w14:paraId="74DD6712" w14:textId="77777777" w:rsidR="00584EC1" w:rsidRDefault="00871F8D">
      <w:pPr>
        <w:spacing w:before="60"/>
        <w:textAlignment w:val="top"/>
      </w:pPr>
      <w:r>
        <w:rPr>
          <w:rFonts w:ascii="Arial" w:eastAsia="宋体" w:hAnsi="Arial" w:cs="Arial"/>
          <w:i/>
          <w:iCs/>
          <w:color w:val="000000"/>
          <w:sz w:val="20"/>
          <w:szCs w:val="20"/>
        </w:rPr>
        <w:t>Changes in Market Valuations</w:t>
      </w:r>
    </w:p>
    <w:p w14:paraId="74DD6713" w14:textId="77777777" w:rsidR="00584EC1" w:rsidRDefault="00871F8D">
      <w:pPr>
        <w:spacing w:before="60"/>
        <w:ind w:firstLine="450"/>
        <w:jc w:val="both"/>
        <w:textAlignment w:val="top"/>
      </w:pPr>
      <w:r>
        <w:rPr>
          <w:rFonts w:ascii="Arial" w:eastAsia="宋体" w:hAnsi="Arial" w:cs="Arial"/>
          <w:color w:val="000000"/>
          <w:sz w:val="20"/>
          <w:szCs w:val="20"/>
        </w:rPr>
        <w:t xml:space="preserve">Our servicing fee revenue is impacted by both our levels and the geographic and product mix of our AUC/A. Increases or decreases in market valuations have a corresponding impact on the level of our AUC/A and servicing </w:t>
      </w:r>
      <w:r>
        <w:rPr>
          <w:rFonts w:ascii="Arial" w:eastAsia="宋体" w:hAnsi="Arial" w:cs="Arial"/>
          <w:color w:val="000000"/>
          <w:sz w:val="20"/>
          <w:szCs w:val="20"/>
        </w:rPr>
        <w:t xml:space="preserve">fee revenues, though the degree of impact will vary depending on asset types and classes and geography of assets held within our clients’ portfolios. For certain asset classes where the valuation process is more complex, including alternative investments, </w:t>
      </w:r>
      <w:r>
        <w:rPr>
          <w:rFonts w:ascii="Arial" w:eastAsia="宋体" w:hAnsi="Arial" w:cs="Arial"/>
          <w:color w:val="000000"/>
          <w:sz w:val="20"/>
          <w:szCs w:val="20"/>
        </w:rPr>
        <w:t>or where our valuation is dependent on third party information, AUC/A is reported on a lag, typically one-month. For those asset classes, the impact of market levels on our reported AUC/A does not reflect current period-end market levels.</w:t>
      </w:r>
    </w:p>
    <w:p w14:paraId="74DD6714" w14:textId="77777777" w:rsidR="00584EC1" w:rsidRDefault="00871F8D">
      <w:pPr>
        <w:spacing w:before="60"/>
        <w:ind w:firstLine="450"/>
        <w:jc w:val="both"/>
        <w:textAlignment w:val="top"/>
      </w:pPr>
      <w:r>
        <w:rPr>
          <w:rFonts w:ascii="Arial" w:eastAsia="宋体" w:hAnsi="Arial" w:cs="Arial"/>
          <w:color w:val="000000"/>
          <w:sz w:val="20"/>
          <w:szCs w:val="20"/>
        </w:rPr>
        <w:t>Over the five yea</w:t>
      </w:r>
      <w:r>
        <w:rPr>
          <w:rFonts w:ascii="Arial" w:eastAsia="宋体" w:hAnsi="Arial" w:cs="Arial"/>
          <w:color w:val="000000"/>
          <w:sz w:val="20"/>
          <w:szCs w:val="20"/>
        </w:rPr>
        <w:t>rs ended December 31, 2020, we estimate that worldwide market valuations impacted our servicing fee revenues by approximately (1)% to 5% annually. See Table 3: Daily Averages, Month-End Averages and Quarter-End Equity Indices for selected indices. While th</w:t>
      </w:r>
      <w:r>
        <w:rPr>
          <w:rFonts w:ascii="Arial" w:eastAsia="宋体" w:hAnsi="Arial" w:cs="Arial"/>
          <w:color w:val="000000"/>
          <w:sz w:val="20"/>
          <w:szCs w:val="20"/>
        </w:rPr>
        <w:t>e specific indices presented are indicative of general market trends, the asset types and classes relevant to individual client portfolios can and do differ, and the performance of associated relevant indices and of client portfolios can therefore differ f</w:t>
      </w:r>
      <w:r>
        <w:rPr>
          <w:rFonts w:ascii="Arial" w:eastAsia="宋体" w:hAnsi="Arial" w:cs="Arial"/>
          <w:color w:val="000000"/>
          <w:sz w:val="20"/>
          <w:szCs w:val="20"/>
        </w:rPr>
        <w:t>rom the performance of the indices presented. In addition, our asset classifications may differ from those industry classifications presented.</w:t>
      </w:r>
    </w:p>
    <w:p w14:paraId="74DD6715" w14:textId="77777777" w:rsidR="00584EC1" w:rsidRDefault="00871F8D">
      <w:pPr>
        <w:ind w:firstLine="450"/>
        <w:jc w:val="right"/>
      </w:pPr>
      <w:r>
        <w:rPr>
          <w:rFonts w:ascii="Arial" w:eastAsia="宋体" w:hAnsi="Arial" w:cs="Arial"/>
          <w:color w:val="000000"/>
          <w:sz w:val="18"/>
          <w:szCs w:val="18"/>
        </w:rPr>
        <w:t>State Street Corporation | 10</w:t>
      </w:r>
    </w:p>
    <w:p w14:paraId="74DD6716" w14:textId="77777777" w:rsidR="00584EC1" w:rsidRDefault="00584EC1">
      <w:pPr>
        <w:ind w:firstLine="450"/>
        <w:jc w:val="center"/>
      </w:pPr>
    </w:p>
    <w:p w14:paraId="74DD6717" w14:textId="77777777" w:rsidR="00584EC1" w:rsidRDefault="00871F8D">
      <w:r>
        <w:pict w14:anchorId="74DE29F8">
          <v:rect id="_x0000_i1034" style="width:415.3pt;height:1.5pt" o:hralign="center" o:hrstd="t" o:hr="t" fillcolor="#a0a0a0" stroked="f"/>
        </w:pict>
      </w:r>
    </w:p>
    <w:p w14:paraId="74DD6718" w14:textId="77777777" w:rsidR="00584EC1" w:rsidRDefault="00871F8D">
      <w:pPr>
        <w:ind w:firstLine="450"/>
        <w:jc w:val="center"/>
      </w:pPr>
      <w:r>
        <w:rPr>
          <w:rFonts w:ascii="Arial" w:eastAsia="宋体" w:hAnsi="Arial" w:cs="Arial"/>
          <w:b/>
          <w:bCs/>
          <w:color w:val="000000"/>
          <w:sz w:val="20"/>
          <w:szCs w:val="20"/>
        </w:rPr>
        <w:t>MANAGEMENT’S DISCUSSION AND ANALYSIS OF FINANCIAL CONDITION</w:t>
      </w:r>
    </w:p>
    <w:p w14:paraId="74DD6719" w14:textId="77777777" w:rsidR="00584EC1" w:rsidRDefault="00871F8D">
      <w:pPr>
        <w:ind w:firstLine="450"/>
        <w:jc w:val="center"/>
      </w:pPr>
      <w:r>
        <w:rPr>
          <w:rFonts w:ascii="Arial" w:eastAsia="宋体" w:hAnsi="Arial" w:cs="Arial"/>
          <w:b/>
          <w:bCs/>
          <w:color w:val="000000"/>
          <w:sz w:val="20"/>
          <w:szCs w:val="20"/>
        </w:rPr>
        <w:t xml:space="preserve">AND RESULTS OF </w:t>
      </w:r>
      <w:r>
        <w:rPr>
          <w:rFonts w:ascii="Arial" w:eastAsia="宋体" w:hAnsi="Arial" w:cs="Arial"/>
          <w:b/>
          <w:bCs/>
          <w:color w:val="000000"/>
          <w:sz w:val="20"/>
          <w:szCs w:val="20"/>
        </w:rPr>
        <w:t>OPERATIONS</w:t>
      </w:r>
    </w:p>
    <w:p w14:paraId="74DD671A" w14:textId="77777777" w:rsidR="00584EC1" w:rsidRDefault="00871F8D">
      <w:pPr>
        <w:spacing w:before="60"/>
        <w:ind w:firstLine="450"/>
        <w:jc w:val="both"/>
      </w:pPr>
      <w:r>
        <w:rPr>
          <w:rFonts w:ascii="Arial" w:eastAsia="宋体" w:hAnsi="Arial" w:cs="Arial"/>
          <w:color w:val="000000"/>
          <w:sz w:val="20"/>
          <w:szCs w:val="20"/>
        </w:rPr>
        <w:t>Assuming that all other factors remain constant, including client activity and asset flows and pricing, we estimate, using relevant information as of September 30, 2021 that a 10% increase or decrease in worldwide equity valuations, on a weighte</w:t>
      </w:r>
      <w:r>
        <w:rPr>
          <w:rFonts w:ascii="Arial" w:eastAsia="宋体" w:hAnsi="Arial" w:cs="Arial"/>
          <w:color w:val="000000"/>
          <w:sz w:val="20"/>
          <w:szCs w:val="20"/>
        </w:rPr>
        <w:t xml:space="preserve">d average basis, over the relevant periods for which our servicing fees are calculated, would result in a corresponding change in our total servicing fee revenues, on average and over multiple quarters, of approximately 3%. We estimate, similarly assuming </w:t>
      </w:r>
      <w:r>
        <w:rPr>
          <w:rFonts w:ascii="Arial" w:eastAsia="宋体" w:hAnsi="Arial" w:cs="Arial"/>
          <w:color w:val="000000"/>
          <w:sz w:val="20"/>
          <w:szCs w:val="20"/>
        </w:rPr>
        <w:t>all other factors constant and using relevant information as of September 30, 2021, that changes in worldwide fixed income markets, which on a weighted average basis and over time are typically less volatile than worldwide equity markets, have a smaller im</w:t>
      </w:r>
      <w:r>
        <w:rPr>
          <w:rFonts w:ascii="Arial" w:eastAsia="宋体" w:hAnsi="Arial" w:cs="Arial"/>
          <w:color w:val="000000"/>
          <w:sz w:val="20"/>
          <w:szCs w:val="20"/>
        </w:rPr>
        <w:t>pact on our servicing fee revenues on average and over time.</w:t>
      </w:r>
    </w:p>
    <w:tbl>
      <w:tblPr>
        <w:tblW w:w="5000" w:type="pct"/>
        <w:tblCellMar>
          <w:top w:w="15" w:type="dxa"/>
          <w:left w:w="15" w:type="dxa"/>
          <w:bottom w:w="15" w:type="dxa"/>
          <w:right w:w="15" w:type="dxa"/>
        </w:tblCellMar>
        <w:tblLook w:val="04A0" w:firstRow="1" w:lastRow="0" w:firstColumn="1" w:lastColumn="0" w:noHBand="0" w:noVBand="1"/>
      </w:tblPr>
      <w:tblGrid>
        <w:gridCol w:w="37"/>
        <w:gridCol w:w="1721"/>
        <w:gridCol w:w="36"/>
        <w:gridCol w:w="54"/>
        <w:gridCol w:w="356"/>
        <w:gridCol w:w="38"/>
        <w:gridCol w:w="37"/>
        <w:gridCol w:w="37"/>
        <w:gridCol w:w="37"/>
        <w:gridCol w:w="54"/>
        <w:gridCol w:w="356"/>
        <w:gridCol w:w="38"/>
        <w:gridCol w:w="37"/>
        <w:gridCol w:w="37"/>
        <w:gridCol w:w="37"/>
        <w:gridCol w:w="93"/>
        <w:gridCol w:w="615"/>
        <w:gridCol w:w="147"/>
        <w:gridCol w:w="36"/>
        <w:gridCol w:w="36"/>
        <w:gridCol w:w="36"/>
        <w:gridCol w:w="93"/>
        <w:gridCol w:w="615"/>
        <w:gridCol w:w="147"/>
        <w:gridCol w:w="37"/>
        <w:gridCol w:w="37"/>
        <w:gridCol w:w="37"/>
        <w:gridCol w:w="54"/>
        <w:gridCol w:w="356"/>
        <w:gridCol w:w="38"/>
        <w:gridCol w:w="37"/>
        <w:gridCol w:w="37"/>
        <w:gridCol w:w="37"/>
        <w:gridCol w:w="93"/>
        <w:gridCol w:w="615"/>
        <w:gridCol w:w="147"/>
        <w:gridCol w:w="36"/>
        <w:gridCol w:w="36"/>
        <w:gridCol w:w="36"/>
        <w:gridCol w:w="54"/>
        <w:gridCol w:w="356"/>
        <w:gridCol w:w="38"/>
        <w:gridCol w:w="37"/>
        <w:gridCol w:w="37"/>
        <w:gridCol w:w="37"/>
        <w:gridCol w:w="54"/>
        <w:gridCol w:w="356"/>
        <w:gridCol w:w="38"/>
        <w:gridCol w:w="37"/>
        <w:gridCol w:w="37"/>
        <w:gridCol w:w="37"/>
        <w:gridCol w:w="93"/>
        <w:gridCol w:w="615"/>
        <w:gridCol w:w="147"/>
      </w:tblGrid>
      <w:tr w:rsidR="00584EC1" w14:paraId="74DD6751" w14:textId="77777777">
        <w:tc>
          <w:tcPr>
            <w:tcW w:w="50" w:type="pct"/>
            <w:shd w:val="clear" w:color="auto" w:fill="auto"/>
            <w:vAlign w:val="bottom"/>
          </w:tcPr>
          <w:p w14:paraId="74DD671B" w14:textId="77777777" w:rsidR="00584EC1" w:rsidRDefault="00584EC1">
            <w:pPr>
              <w:rPr>
                <w:rFonts w:ascii="宋体"/>
              </w:rPr>
            </w:pPr>
          </w:p>
        </w:tc>
        <w:tc>
          <w:tcPr>
            <w:tcW w:w="1165" w:type="pct"/>
            <w:shd w:val="clear" w:color="auto" w:fill="auto"/>
            <w:vAlign w:val="bottom"/>
          </w:tcPr>
          <w:p w14:paraId="74DD671C" w14:textId="77777777" w:rsidR="00584EC1" w:rsidRDefault="00584EC1">
            <w:pPr>
              <w:rPr>
                <w:rFonts w:ascii="宋体"/>
              </w:rPr>
            </w:pPr>
          </w:p>
        </w:tc>
        <w:tc>
          <w:tcPr>
            <w:tcW w:w="5" w:type="pct"/>
            <w:shd w:val="clear" w:color="auto" w:fill="auto"/>
            <w:vAlign w:val="bottom"/>
          </w:tcPr>
          <w:p w14:paraId="74DD671D" w14:textId="77777777" w:rsidR="00584EC1" w:rsidRDefault="00584EC1">
            <w:pPr>
              <w:rPr>
                <w:rFonts w:ascii="宋体"/>
              </w:rPr>
            </w:pPr>
          </w:p>
        </w:tc>
        <w:tc>
          <w:tcPr>
            <w:tcW w:w="50" w:type="pct"/>
            <w:shd w:val="clear" w:color="auto" w:fill="auto"/>
            <w:vAlign w:val="bottom"/>
          </w:tcPr>
          <w:p w14:paraId="74DD671E" w14:textId="77777777" w:rsidR="00584EC1" w:rsidRDefault="00584EC1">
            <w:pPr>
              <w:rPr>
                <w:rFonts w:ascii="宋体"/>
              </w:rPr>
            </w:pPr>
          </w:p>
        </w:tc>
        <w:tc>
          <w:tcPr>
            <w:tcW w:w="332" w:type="pct"/>
            <w:shd w:val="clear" w:color="auto" w:fill="auto"/>
            <w:vAlign w:val="bottom"/>
          </w:tcPr>
          <w:p w14:paraId="74DD671F" w14:textId="77777777" w:rsidR="00584EC1" w:rsidRDefault="00584EC1">
            <w:pPr>
              <w:rPr>
                <w:rFonts w:ascii="宋体"/>
              </w:rPr>
            </w:pPr>
          </w:p>
        </w:tc>
        <w:tc>
          <w:tcPr>
            <w:tcW w:w="5" w:type="pct"/>
            <w:shd w:val="clear" w:color="auto" w:fill="auto"/>
            <w:vAlign w:val="bottom"/>
          </w:tcPr>
          <w:p w14:paraId="74DD6720" w14:textId="77777777" w:rsidR="00584EC1" w:rsidRDefault="00584EC1">
            <w:pPr>
              <w:rPr>
                <w:rFonts w:ascii="宋体"/>
              </w:rPr>
            </w:pPr>
          </w:p>
        </w:tc>
        <w:tc>
          <w:tcPr>
            <w:tcW w:w="5" w:type="pct"/>
            <w:shd w:val="clear" w:color="auto" w:fill="auto"/>
            <w:vAlign w:val="bottom"/>
          </w:tcPr>
          <w:p w14:paraId="74DD6721" w14:textId="77777777" w:rsidR="00584EC1" w:rsidRDefault="00584EC1">
            <w:pPr>
              <w:rPr>
                <w:rFonts w:ascii="宋体"/>
              </w:rPr>
            </w:pPr>
          </w:p>
        </w:tc>
        <w:tc>
          <w:tcPr>
            <w:tcW w:w="26" w:type="pct"/>
            <w:shd w:val="clear" w:color="auto" w:fill="auto"/>
            <w:vAlign w:val="bottom"/>
          </w:tcPr>
          <w:p w14:paraId="74DD6722" w14:textId="77777777" w:rsidR="00584EC1" w:rsidRDefault="00584EC1">
            <w:pPr>
              <w:rPr>
                <w:rFonts w:ascii="宋体"/>
              </w:rPr>
            </w:pPr>
          </w:p>
        </w:tc>
        <w:tc>
          <w:tcPr>
            <w:tcW w:w="5" w:type="pct"/>
            <w:shd w:val="clear" w:color="auto" w:fill="auto"/>
            <w:vAlign w:val="bottom"/>
          </w:tcPr>
          <w:p w14:paraId="74DD6723" w14:textId="77777777" w:rsidR="00584EC1" w:rsidRDefault="00584EC1">
            <w:pPr>
              <w:rPr>
                <w:rFonts w:ascii="宋体"/>
              </w:rPr>
            </w:pPr>
          </w:p>
        </w:tc>
        <w:tc>
          <w:tcPr>
            <w:tcW w:w="50" w:type="pct"/>
            <w:shd w:val="clear" w:color="auto" w:fill="auto"/>
            <w:vAlign w:val="bottom"/>
          </w:tcPr>
          <w:p w14:paraId="74DD6724" w14:textId="77777777" w:rsidR="00584EC1" w:rsidRDefault="00584EC1">
            <w:pPr>
              <w:rPr>
                <w:rFonts w:ascii="宋体"/>
              </w:rPr>
            </w:pPr>
          </w:p>
        </w:tc>
        <w:tc>
          <w:tcPr>
            <w:tcW w:w="332" w:type="pct"/>
            <w:shd w:val="clear" w:color="auto" w:fill="auto"/>
            <w:vAlign w:val="bottom"/>
          </w:tcPr>
          <w:p w14:paraId="74DD6725" w14:textId="77777777" w:rsidR="00584EC1" w:rsidRDefault="00584EC1">
            <w:pPr>
              <w:rPr>
                <w:rFonts w:ascii="宋体"/>
              </w:rPr>
            </w:pPr>
          </w:p>
        </w:tc>
        <w:tc>
          <w:tcPr>
            <w:tcW w:w="5" w:type="pct"/>
            <w:shd w:val="clear" w:color="auto" w:fill="auto"/>
            <w:vAlign w:val="bottom"/>
          </w:tcPr>
          <w:p w14:paraId="74DD6726" w14:textId="77777777" w:rsidR="00584EC1" w:rsidRDefault="00584EC1">
            <w:pPr>
              <w:rPr>
                <w:rFonts w:ascii="宋体"/>
              </w:rPr>
            </w:pPr>
          </w:p>
        </w:tc>
        <w:tc>
          <w:tcPr>
            <w:tcW w:w="5" w:type="pct"/>
            <w:shd w:val="clear" w:color="auto" w:fill="auto"/>
            <w:vAlign w:val="bottom"/>
          </w:tcPr>
          <w:p w14:paraId="74DD6727" w14:textId="77777777" w:rsidR="00584EC1" w:rsidRDefault="00584EC1">
            <w:pPr>
              <w:rPr>
                <w:rFonts w:ascii="宋体"/>
              </w:rPr>
            </w:pPr>
          </w:p>
        </w:tc>
        <w:tc>
          <w:tcPr>
            <w:tcW w:w="26" w:type="pct"/>
            <w:shd w:val="clear" w:color="auto" w:fill="auto"/>
            <w:vAlign w:val="bottom"/>
          </w:tcPr>
          <w:p w14:paraId="74DD6728" w14:textId="77777777" w:rsidR="00584EC1" w:rsidRDefault="00584EC1">
            <w:pPr>
              <w:rPr>
                <w:rFonts w:ascii="宋体"/>
              </w:rPr>
            </w:pPr>
          </w:p>
        </w:tc>
        <w:tc>
          <w:tcPr>
            <w:tcW w:w="5" w:type="pct"/>
            <w:shd w:val="clear" w:color="auto" w:fill="auto"/>
            <w:vAlign w:val="bottom"/>
          </w:tcPr>
          <w:p w14:paraId="74DD6729" w14:textId="77777777" w:rsidR="00584EC1" w:rsidRDefault="00584EC1">
            <w:pPr>
              <w:rPr>
                <w:rFonts w:ascii="宋体"/>
              </w:rPr>
            </w:pPr>
          </w:p>
        </w:tc>
        <w:tc>
          <w:tcPr>
            <w:tcW w:w="50" w:type="pct"/>
            <w:shd w:val="clear" w:color="auto" w:fill="auto"/>
            <w:vAlign w:val="bottom"/>
          </w:tcPr>
          <w:p w14:paraId="74DD672A" w14:textId="77777777" w:rsidR="00584EC1" w:rsidRDefault="00584EC1">
            <w:pPr>
              <w:rPr>
                <w:rFonts w:ascii="宋体"/>
              </w:rPr>
            </w:pPr>
          </w:p>
        </w:tc>
        <w:tc>
          <w:tcPr>
            <w:tcW w:w="332" w:type="pct"/>
            <w:shd w:val="clear" w:color="auto" w:fill="auto"/>
            <w:vAlign w:val="bottom"/>
          </w:tcPr>
          <w:p w14:paraId="74DD672B" w14:textId="77777777" w:rsidR="00584EC1" w:rsidRDefault="00584EC1">
            <w:pPr>
              <w:rPr>
                <w:rFonts w:ascii="宋体"/>
              </w:rPr>
            </w:pPr>
          </w:p>
        </w:tc>
        <w:tc>
          <w:tcPr>
            <w:tcW w:w="5" w:type="pct"/>
            <w:shd w:val="clear" w:color="auto" w:fill="auto"/>
            <w:vAlign w:val="bottom"/>
          </w:tcPr>
          <w:p w14:paraId="74DD672C" w14:textId="77777777" w:rsidR="00584EC1" w:rsidRDefault="00584EC1">
            <w:pPr>
              <w:rPr>
                <w:rFonts w:ascii="宋体"/>
              </w:rPr>
            </w:pPr>
          </w:p>
        </w:tc>
        <w:tc>
          <w:tcPr>
            <w:tcW w:w="5" w:type="pct"/>
            <w:shd w:val="clear" w:color="auto" w:fill="auto"/>
            <w:vAlign w:val="bottom"/>
          </w:tcPr>
          <w:p w14:paraId="74DD672D" w14:textId="77777777" w:rsidR="00584EC1" w:rsidRDefault="00584EC1">
            <w:pPr>
              <w:rPr>
                <w:rFonts w:ascii="宋体"/>
              </w:rPr>
            </w:pPr>
          </w:p>
        </w:tc>
        <w:tc>
          <w:tcPr>
            <w:tcW w:w="26" w:type="pct"/>
            <w:shd w:val="clear" w:color="auto" w:fill="auto"/>
            <w:vAlign w:val="bottom"/>
          </w:tcPr>
          <w:p w14:paraId="74DD672E" w14:textId="77777777" w:rsidR="00584EC1" w:rsidRDefault="00584EC1">
            <w:pPr>
              <w:rPr>
                <w:rFonts w:ascii="宋体"/>
              </w:rPr>
            </w:pPr>
          </w:p>
        </w:tc>
        <w:tc>
          <w:tcPr>
            <w:tcW w:w="5" w:type="pct"/>
            <w:shd w:val="clear" w:color="auto" w:fill="auto"/>
            <w:vAlign w:val="bottom"/>
          </w:tcPr>
          <w:p w14:paraId="74DD672F" w14:textId="77777777" w:rsidR="00584EC1" w:rsidRDefault="00584EC1">
            <w:pPr>
              <w:rPr>
                <w:rFonts w:ascii="宋体"/>
              </w:rPr>
            </w:pPr>
          </w:p>
        </w:tc>
        <w:tc>
          <w:tcPr>
            <w:tcW w:w="50" w:type="pct"/>
            <w:shd w:val="clear" w:color="auto" w:fill="auto"/>
            <w:vAlign w:val="bottom"/>
          </w:tcPr>
          <w:p w14:paraId="74DD6730" w14:textId="77777777" w:rsidR="00584EC1" w:rsidRDefault="00584EC1">
            <w:pPr>
              <w:rPr>
                <w:rFonts w:ascii="宋体"/>
              </w:rPr>
            </w:pPr>
          </w:p>
        </w:tc>
        <w:tc>
          <w:tcPr>
            <w:tcW w:w="332" w:type="pct"/>
            <w:shd w:val="clear" w:color="auto" w:fill="auto"/>
            <w:vAlign w:val="bottom"/>
          </w:tcPr>
          <w:p w14:paraId="74DD6731" w14:textId="77777777" w:rsidR="00584EC1" w:rsidRDefault="00584EC1">
            <w:pPr>
              <w:rPr>
                <w:rFonts w:ascii="宋体"/>
              </w:rPr>
            </w:pPr>
          </w:p>
        </w:tc>
        <w:tc>
          <w:tcPr>
            <w:tcW w:w="5" w:type="pct"/>
            <w:shd w:val="clear" w:color="auto" w:fill="auto"/>
            <w:vAlign w:val="bottom"/>
          </w:tcPr>
          <w:p w14:paraId="74DD6732" w14:textId="77777777" w:rsidR="00584EC1" w:rsidRDefault="00584EC1">
            <w:pPr>
              <w:rPr>
                <w:rFonts w:ascii="宋体"/>
              </w:rPr>
            </w:pPr>
          </w:p>
        </w:tc>
        <w:tc>
          <w:tcPr>
            <w:tcW w:w="5" w:type="pct"/>
            <w:shd w:val="clear" w:color="auto" w:fill="auto"/>
            <w:vAlign w:val="bottom"/>
          </w:tcPr>
          <w:p w14:paraId="74DD6733" w14:textId="77777777" w:rsidR="00584EC1" w:rsidRDefault="00584EC1">
            <w:pPr>
              <w:rPr>
                <w:rFonts w:ascii="宋体"/>
              </w:rPr>
            </w:pPr>
          </w:p>
        </w:tc>
        <w:tc>
          <w:tcPr>
            <w:tcW w:w="26" w:type="pct"/>
            <w:shd w:val="clear" w:color="auto" w:fill="auto"/>
            <w:vAlign w:val="bottom"/>
          </w:tcPr>
          <w:p w14:paraId="74DD6734" w14:textId="77777777" w:rsidR="00584EC1" w:rsidRDefault="00584EC1">
            <w:pPr>
              <w:rPr>
                <w:rFonts w:ascii="宋体"/>
              </w:rPr>
            </w:pPr>
          </w:p>
        </w:tc>
        <w:tc>
          <w:tcPr>
            <w:tcW w:w="5" w:type="pct"/>
            <w:shd w:val="clear" w:color="auto" w:fill="auto"/>
            <w:vAlign w:val="bottom"/>
          </w:tcPr>
          <w:p w14:paraId="74DD6735" w14:textId="77777777" w:rsidR="00584EC1" w:rsidRDefault="00584EC1">
            <w:pPr>
              <w:rPr>
                <w:rFonts w:ascii="宋体"/>
              </w:rPr>
            </w:pPr>
          </w:p>
        </w:tc>
        <w:tc>
          <w:tcPr>
            <w:tcW w:w="50" w:type="pct"/>
            <w:shd w:val="clear" w:color="auto" w:fill="auto"/>
            <w:vAlign w:val="bottom"/>
          </w:tcPr>
          <w:p w14:paraId="74DD6736" w14:textId="77777777" w:rsidR="00584EC1" w:rsidRDefault="00584EC1">
            <w:pPr>
              <w:rPr>
                <w:rFonts w:ascii="宋体"/>
              </w:rPr>
            </w:pPr>
          </w:p>
        </w:tc>
        <w:tc>
          <w:tcPr>
            <w:tcW w:w="332" w:type="pct"/>
            <w:shd w:val="clear" w:color="auto" w:fill="auto"/>
            <w:vAlign w:val="bottom"/>
          </w:tcPr>
          <w:p w14:paraId="74DD6737" w14:textId="77777777" w:rsidR="00584EC1" w:rsidRDefault="00584EC1">
            <w:pPr>
              <w:rPr>
                <w:rFonts w:ascii="宋体"/>
              </w:rPr>
            </w:pPr>
          </w:p>
        </w:tc>
        <w:tc>
          <w:tcPr>
            <w:tcW w:w="5" w:type="pct"/>
            <w:shd w:val="clear" w:color="auto" w:fill="auto"/>
            <w:vAlign w:val="bottom"/>
          </w:tcPr>
          <w:p w14:paraId="74DD6738" w14:textId="77777777" w:rsidR="00584EC1" w:rsidRDefault="00584EC1">
            <w:pPr>
              <w:rPr>
                <w:rFonts w:ascii="宋体"/>
              </w:rPr>
            </w:pPr>
          </w:p>
        </w:tc>
        <w:tc>
          <w:tcPr>
            <w:tcW w:w="5" w:type="pct"/>
            <w:shd w:val="clear" w:color="auto" w:fill="auto"/>
            <w:vAlign w:val="bottom"/>
          </w:tcPr>
          <w:p w14:paraId="74DD6739" w14:textId="77777777" w:rsidR="00584EC1" w:rsidRDefault="00584EC1">
            <w:pPr>
              <w:rPr>
                <w:rFonts w:ascii="宋体"/>
              </w:rPr>
            </w:pPr>
          </w:p>
        </w:tc>
        <w:tc>
          <w:tcPr>
            <w:tcW w:w="26" w:type="pct"/>
            <w:shd w:val="clear" w:color="auto" w:fill="auto"/>
            <w:vAlign w:val="bottom"/>
          </w:tcPr>
          <w:p w14:paraId="74DD673A" w14:textId="77777777" w:rsidR="00584EC1" w:rsidRDefault="00584EC1">
            <w:pPr>
              <w:rPr>
                <w:rFonts w:ascii="宋体"/>
              </w:rPr>
            </w:pPr>
          </w:p>
        </w:tc>
        <w:tc>
          <w:tcPr>
            <w:tcW w:w="5" w:type="pct"/>
            <w:shd w:val="clear" w:color="auto" w:fill="auto"/>
            <w:vAlign w:val="bottom"/>
          </w:tcPr>
          <w:p w14:paraId="74DD673B" w14:textId="77777777" w:rsidR="00584EC1" w:rsidRDefault="00584EC1">
            <w:pPr>
              <w:rPr>
                <w:rFonts w:ascii="宋体"/>
              </w:rPr>
            </w:pPr>
          </w:p>
        </w:tc>
        <w:tc>
          <w:tcPr>
            <w:tcW w:w="50" w:type="pct"/>
            <w:shd w:val="clear" w:color="auto" w:fill="auto"/>
            <w:vAlign w:val="bottom"/>
          </w:tcPr>
          <w:p w14:paraId="74DD673C" w14:textId="77777777" w:rsidR="00584EC1" w:rsidRDefault="00584EC1">
            <w:pPr>
              <w:rPr>
                <w:rFonts w:ascii="宋体"/>
              </w:rPr>
            </w:pPr>
          </w:p>
        </w:tc>
        <w:tc>
          <w:tcPr>
            <w:tcW w:w="332" w:type="pct"/>
            <w:shd w:val="clear" w:color="auto" w:fill="auto"/>
            <w:vAlign w:val="bottom"/>
          </w:tcPr>
          <w:p w14:paraId="74DD673D" w14:textId="77777777" w:rsidR="00584EC1" w:rsidRDefault="00584EC1">
            <w:pPr>
              <w:rPr>
                <w:rFonts w:ascii="宋体"/>
              </w:rPr>
            </w:pPr>
          </w:p>
        </w:tc>
        <w:tc>
          <w:tcPr>
            <w:tcW w:w="5" w:type="pct"/>
            <w:shd w:val="clear" w:color="auto" w:fill="auto"/>
            <w:vAlign w:val="bottom"/>
          </w:tcPr>
          <w:p w14:paraId="74DD673E" w14:textId="77777777" w:rsidR="00584EC1" w:rsidRDefault="00584EC1">
            <w:pPr>
              <w:rPr>
                <w:rFonts w:ascii="宋体"/>
              </w:rPr>
            </w:pPr>
          </w:p>
        </w:tc>
        <w:tc>
          <w:tcPr>
            <w:tcW w:w="5" w:type="pct"/>
            <w:shd w:val="clear" w:color="auto" w:fill="auto"/>
            <w:vAlign w:val="bottom"/>
          </w:tcPr>
          <w:p w14:paraId="74DD673F" w14:textId="77777777" w:rsidR="00584EC1" w:rsidRDefault="00584EC1">
            <w:pPr>
              <w:rPr>
                <w:rFonts w:ascii="宋体"/>
              </w:rPr>
            </w:pPr>
          </w:p>
        </w:tc>
        <w:tc>
          <w:tcPr>
            <w:tcW w:w="26" w:type="pct"/>
            <w:shd w:val="clear" w:color="auto" w:fill="auto"/>
            <w:vAlign w:val="bottom"/>
          </w:tcPr>
          <w:p w14:paraId="74DD6740" w14:textId="77777777" w:rsidR="00584EC1" w:rsidRDefault="00584EC1">
            <w:pPr>
              <w:rPr>
                <w:rFonts w:ascii="宋体"/>
              </w:rPr>
            </w:pPr>
          </w:p>
        </w:tc>
        <w:tc>
          <w:tcPr>
            <w:tcW w:w="5" w:type="pct"/>
            <w:shd w:val="clear" w:color="auto" w:fill="auto"/>
            <w:vAlign w:val="bottom"/>
          </w:tcPr>
          <w:p w14:paraId="74DD6741" w14:textId="77777777" w:rsidR="00584EC1" w:rsidRDefault="00584EC1">
            <w:pPr>
              <w:rPr>
                <w:rFonts w:ascii="宋体"/>
              </w:rPr>
            </w:pPr>
          </w:p>
        </w:tc>
        <w:tc>
          <w:tcPr>
            <w:tcW w:w="50" w:type="pct"/>
            <w:shd w:val="clear" w:color="auto" w:fill="auto"/>
            <w:vAlign w:val="bottom"/>
          </w:tcPr>
          <w:p w14:paraId="74DD6742" w14:textId="77777777" w:rsidR="00584EC1" w:rsidRDefault="00584EC1">
            <w:pPr>
              <w:rPr>
                <w:rFonts w:ascii="宋体"/>
              </w:rPr>
            </w:pPr>
          </w:p>
        </w:tc>
        <w:tc>
          <w:tcPr>
            <w:tcW w:w="332" w:type="pct"/>
            <w:shd w:val="clear" w:color="auto" w:fill="auto"/>
            <w:vAlign w:val="bottom"/>
          </w:tcPr>
          <w:p w14:paraId="74DD6743" w14:textId="77777777" w:rsidR="00584EC1" w:rsidRDefault="00584EC1">
            <w:pPr>
              <w:rPr>
                <w:rFonts w:ascii="宋体"/>
              </w:rPr>
            </w:pPr>
          </w:p>
        </w:tc>
        <w:tc>
          <w:tcPr>
            <w:tcW w:w="5" w:type="pct"/>
            <w:shd w:val="clear" w:color="auto" w:fill="auto"/>
            <w:vAlign w:val="bottom"/>
          </w:tcPr>
          <w:p w14:paraId="74DD6744" w14:textId="77777777" w:rsidR="00584EC1" w:rsidRDefault="00584EC1">
            <w:pPr>
              <w:rPr>
                <w:rFonts w:ascii="宋体"/>
              </w:rPr>
            </w:pPr>
          </w:p>
        </w:tc>
        <w:tc>
          <w:tcPr>
            <w:tcW w:w="5" w:type="pct"/>
            <w:shd w:val="clear" w:color="auto" w:fill="auto"/>
            <w:vAlign w:val="bottom"/>
          </w:tcPr>
          <w:p w14:paraId="74DD6745" w14:textId="77777777" w:rsidR="00584EC1" w:rsidRDefault="00584EC1">
            <w:pPr>
              <w:rPr>
                <w:rFonts w:ascii="宋体"/>
              </w:rPr>
            </w:pPr>
          </w:p>
        </w:tc>
        <w:tc>
          <w:tcPr>
            <w:tcW w:w="26" w:type="pct"/>
            <w:shd w:val="clear" w:color="auto" w:fill="auto"/>
            <w:vAlign w:val="bottom"/>
          </w:tcPr>
          <w:p w14:paraId="74DD6746" w14:textId="77777777" w:rsidR="00584EC1" w:rsidRDefault="00584EC1">
            <w:pPr>
              <w:rPr>
                <w:rFonts w:ascii="宋体"/>
              </w:rPr>
            </w:pPr>
          </w:p>
        </w:tc>
        <w:tc>
          <w:tcPr>
            <w:tcW w:w="5" w:type="pct"/>
            <w:shd w:val="clear" w:color="auto" w:fill="auto"/>
            <w:vAlign w:val="bottom"/>
          </w:tcPr>
          <w:p w14:paraId="74DD6747" w14:textId="77777777" w:rsidR="00584EC1" w:rsidRDefault="00584EC1">
            <w:pPr>
              <w:rPr>
                <w:rFonts w:ascii="宋体"/>
              </w:rPr>
            </w:pPr>
          </w:p>
        </w:tc>
        <w:tc>
          <w:tcPr>
            <w:tcW w:w="50" w:type="pct"/>
            <w:shd w:val="clear" w:color="auto" w:fill="auto"/>
            <w:vAlign w:val="bottom"/>
          </w:tcPr>
          <w:p w14:paraId="74DD6748" w14:textId="77777777" w:rsidR="00584EC1" w:rsidRDefault="00584EC1">
            <w:pPr>
              <w:rPr>
                <w:rFonts w:ascii="宋体"/>
              </w:rPr>
            </w:pPr>
          </w:p>
        </w:tc>
        <w:tc>
          <w:tcPr>
            <w:tcW w:w="332" w:type="pct"/>
            <w:shd w:val="clear" w:color="auto" w:fill="auto"/>
            <w:vAlign w:val="bottom"/>
          </w:tcPr>
          <w:p w14:paraId="74DD6749" w14:textId="77777777" w:rsidR="00584EC1" w:rsidRDefault="00584EC1">
            <w:pPr>
              <w:rPr>
                <w:rFonts w:ascii="宋体"/>
              </w:rPr>
            </w:pPr>
          </w:p>
        </w:tc>
        <w:tc>
          <w:tcPr>
            <w:tcW w:w="5" w:type="pct"/>
            <w:shd w:val="clear" w:color="auto" w:fill="auto"/>
            <w:vAlign w:val="bottom"/>
          </w:tcPr>
          <w:p w14:paraId="74DD674A" w14:textId="77777777" w:rsidR="00584EC1" w:rsidRDefault="00584EC1">
            <w:pPr>
              <w:rPr>
                <w:rFonts w:ascii="宋体"/>
              </w:rPr>
            </w:pPr>
          </w:p>
        </w:tc>
        <w:tc>
          <w:tcPr>
            <w:tcW w:w="5" w:type="pct"/>
            <w:shd w:val="clear" w:color="auto" w:fill="auto"/>
            <w:vAlign w:val="bottom"/>
          </w:tcPr>
          <w:p w14:paraId="74DD674B" w14:textId="77777777" w:rsidR="00584EC1" w:rsidRDefault="00584EC1">
            <w:pPr>
              <w:rPr>
                <w:rFonts w:ascii="宋体"/>
              </w:rPr>
            </w:pPr>
          </w:p>
        </w:tc>
        <w:tc>
          <w:tcPr>
            <w:tcW w:w="26" w:type="pct"/>
            <w:shd w:val="clear" w:color="auto" w:fill="auto"/>
            <w:vAlign w:val="bottom"/>
          </w:tcPr>
          <w:p w14:paraId="74DD674C" w14:textId="77777777" w:rsidR="00584EC1" w:rsidRDefault="00584EC1">
            <w:pPr>
              <w:rPr>
                <w:rFonts w:ascii="宋体"/>
              </w:rPr>
            </w:pPr>
          </w:p>
        </w:tc>
        <w:tc>
          <w:tcPr>
            <w:tcW w:w="5" w:type="pct"/>
            <w:shd w:val="clear" w:color="auto" w:fill="auto"/>
            <w:vAlign w:val="bottom"/>
          </w:tcPr>
          <w:p w14:paraId="74DD674D" w14:textId="77777777" w:rsidR="00584EC1" w:rsidRDefault="00584EC1">
            <w:pPr>
              <w:rPr>
                <w:rFonts w:ascii="宋体"/>
              </w:rPr>
            </w:pPr>
          </w:p>
        </w:tc>
        <w:tc>
          <w:tcPr>
            <w:tcW w:w="50" w:type="pct"/>
            <w:shd w:val="clear" w:color="auto" w:fill="auto"/>
            <w:vAlign w:val="bottom"/>
          </w:tcPr>
          <w:p w14:paraId="74DD674E" w14:textId="77777777" w:rsidR="00584EC1" w:rsidRDefault="00584EC1">
            <w:pPr>
              <w:rPr>
                <w:rFonts w:ascii="宋体"/>
              </w:rPr>
            </w:pPr>
          </w:p>
        </w:tc>
        <w:tc>
          <w:tcPr>
            <w:tcW w:w="333" w:type="pct"/>
            <w:shd w:val="clear" w:color="auto" w:fill="auto"/>
            <w:vAlign w:val="bottom"/>
          </w:tcPr>
          <w:p w14:paraId="74DD674F" w14:textId="77777777" w:rsidR="00584EC1" w:rsidRDefault="00584EC1">
            <w:pPr>
              <w:rPr>
                <w:rFonts w:ascii="宋体"/>
              </w:rPr>
            </w:pPr>
          </w:p>
        </w:tc>
        <w:tc>
          <w:tcPr>
            <w:tcW w:w="5" w:type="pct"/>
            <w:shd w:val="clear" w:color="auto" w:fill="auto"/>
            <w:vAlign w:val="bottom"/>
          </w:tcPr>
          <w:p w14:paraId="74DD6750" w14:textId="77777777" w:rsidR="00584EC1" w:rsidRDefault="00584EC1">
            <w:pPr>
              <w:rPr>
                <w:rFonts w:ascii="宋体"/>
              </w:rPr>
            </w:pPr>
          </w:p>
        </w:tc>
      </w:tr>
      <w:tr w:rsidR="00584EC1" w14:paraId="74DD6753" w14:textId="77777777">
        <w:tc>
          <w:tcPr>
            <w:tcW w:w="0" w:type="auto"/>
            <w:gridSpan w:val="54"/>
            <w:shd w:val="clear" w:color="auto" w:fill="auto"/>
            <w:tcMar>
              <w:top w:w="40" w:type="dxa"/>
              <w:left w:w="20" w:type="dxa"/>
              <w:bottom w:w="40" w:type="dxa"/>
              <w:right w:w="20" w:type="dxa"/>
            </w:tcMar>
            <w:vAlign w:val="bottom"/>
          </w:tcPr>
          <w:p w14:paraId="74DD6752" w14:textId="77777777" w:rsidR="00584EC1" w:rsidRDefault="00871F8D">
            <w:pPr>
              <w:textAlignment w:val="bottom"/>
            </w:pPr>
            <w:r>
              <w:rPr>
                <w:rFonts w:ascii="Arial" w:eastAsia="宋体" w:hAnsi="Arial" w:cs="Arial"/>
                <w:b/>
                <w:bCs/>
                <w:color w:val="000000"/>
                <w:sz w:val="16"/>
                <w:szCs w:val="16"/>
              </w:rPr>
              <w:t>TABLE 3: DAILY AVERAGES, MONTH-END AVERAGES AND QUARTER-END EQUITY INDICES</w:t>
            </w:r>
            <w:r>
              <w:rPr>
                <w:rFonts w:ascii="Arial" w:eastAsia="宋体" w:hAnsi="Arial" w:cs="Arial"/>
                <w:b/>
                <w:bCs/>
                <w:color w:val="000000"/>
                <w:sz w:val="10"/>
                <w:szCs w:val="10"/>
              </w:rPr>
              <w:t>(1)</w:t>
            </w:r>
          </w:p>
        </w:tc>
      </w:tr>
      <w:tr w:rsidR="00584EC1" w14:paraId="74DD675A" w14:textId="77777777">
        <w:tc>
          <w:tcPr>
            <w:tcW w:w="0" w:type="auto"/>
            <w:gridSpan w:val="3"/>
            <w:shd w:val="clear" w:color="auto" w:fill="auto"/>
            <w:tcMar>
              <w:top w:w="0" w:type="dxa"/>
              <w:left w:w="20" w:type="dxa"/>
              <w:bottom w:w="0" w:type="dxa"/>
              <w:right w:w="20" w:type="dxa"/>
            </w:tcMar>
            <w:vAlign w:val="bottom"/>
          </w:tcPr>
          <w:p w14:paraId="74DD6754" w14:textId="77777777" w:rsidR="00584EC1" w:rsidRDefault="00584EC1">
            <w:pPr>
              <w:rPr>
                <w:rFonts w:ascii="宋体"/>
              </w:rPr>
            </w:pPr>
          </w:p>
        </w:tc>
        <w:tc>
          <w:tcPr>
            <w:tcW w:w="0" w:type="auto"/>
            <w:gridSpan w:val="15"/>
            <w:tcBorders>
              <w:bottom w:val="single" w:sz="8" w:space="0" w:color="000000"/>
            </w:tcBorders>
            <w:shd w:val="clear" w:color="auto" w:fill="auto"/>
            <w:tcMar>
              <w:top w:w="40" w:type="dxa"/>
              <w:left w:w="20" w:type="dxa"/>
              <w:bottom w:w="40" w:type="dxa"/>
              <w:right w:w="20" w:type="dxa"/>
            </w:tcMar>
            <w:vAlign w:val="bottom"/>
          </w:tcPr>
          <w:p w14:paraId="74DD6755" w14:textId="77777777" w:rsidR="00584EC1" w:rsidRDefault="00871F8D">
            <w:pPr>
              <w:jc w:val="center"/>
              <w:textAlignment w:val="bottom"/>
            </w:pPr>
            <w:r>
              <w:rPr>
                <w:rFonts w:ascii="Arial" w:eastAsia="宋体" w:hAnsi="Arial" w:cs="Arial"/>
                <w:b/>
                <w:bCs/>
                <w:color w:val="000000"/>
                <w:sz w:val="14"/>
                <w:szCs w:val="14"/>
              </w:rPr>
              <w:t>Daily Averages of Indices</w:t>
            </w:r>
          </w:p>
        </w:tc>
        <w:tc>
          <w:tcPr>
            <w:tcW w:w="0" w:type="auto"/>
            <w:gridSpan w:val="3"/>
            <w:shd w:val="clear" w:color="auto" w:fill="auto"/>
            <w:tcMar>
              <w:top w:w="0" w:type="dxa"/>
              <w:left w:w="20" w:type="dxa"/>
              <w:bottom w:w="0" w:type="dxa"/>
              <w:right w:w="20" w:type="dxa"/>
            </w:tcMar>
            <w:vAlign w:val="bottom"/>
          </w:tcPr>
          <w:p w14:paraId="74DD6756" w14:textId="77777777" w:rsidR="00584EC1" w:rsidRDefault="00584EC1">
            <w:pPr>
              <w:rPr>
                <w:rFonts w:ascii="宋体"/>
              </w:rPr>
            </w:pPr>
          </w:p>
        </w:tc>
        <w:tc>
          <w:tcPr>
            <w:tcW w:w="0" w:type="auto"/>
            <w:gridSpan w:val="15"/>
            <w:tcBorders>
              <w:bottom w:val="single" w:sz="8" w:space="0" w:color="000000"/>
            </w:tcBorders>
            <w:shd w:val="clear" w:color="auto" w:fill="auto"/>
            <w:tcMar>
              <w:top w:w="40" w:type="dxa"/>
              <w:left w:w="20" w:type="dxa"/>
              <w:bottom w:w="40" w:type="dxa"/>
              <w:right w:w="20" w:type="dxa"/>
            </w:tcMar>
            <w:vAlign w:val="bottom"/>
          </w:tcPr>
          <w:p w14:paraId="74DD6757" w14:textId="77777777" w:rsidR="00584EC1" w:rsidRDefault="00871F8D">
            <w:pPr>
              <w:jc w:val="center"/>
              <w:textAlignment w:val="bottom"/>
            </w:pPr>
            <w:r>
              <w:rPr>
                <w:rFonts w:ascii="Arial" w:eastAsia="宋体" w:hAnsi="Arial" w:cs="Arial"/>
                <w:b/>
                <w:bCs/>
                <w:color w:val="000000"/>
                <w:sz w:val="14"/>
                <w:szCs w:val="14"/>
              </w:rPr>
              <w:t>Month-End Averages of Indices</w:t>
            </w:r>
          </w:p>
        </w:tc>
        <w:tc>
          <w:tcPr>
            <w:tcW w:w="0" w:type="auto"/>
            <w:gridSpan w:val="3"/>
            <w:shd w:val="clear" w:color="auto" w:fill="auto"/>
            <w:tcMar>
              <w:top w:w="0" w:type="dxa"/>
              <w:left w:w="20" w:type="dxa"/>
              <w:bottom w:w="0" w:type="dxa"/>
              <w:right w:w="20" w:type="dxa"/>
            </w:tcMar>
            <w:vAlign w:val="bottom"/>
          </w:tcPr>
          <w:p w14:paraId="74DD6758" w14:textId="77777777" w:rsidR="00584EC1" w:rsidRDefault="00584EC1">
            <w:pPr>
              <w:rPr>
                <w:rFonts w:ascii="宋体"/>
              </w:rPr>
            </w:pPr>
          </w:p>
        </w:tc>
        <w:tc>
          <w:tcPr>
            <w:tcW w:w="0" w:type="auto"/>
            <w:gridSpan w:val="15"/>
            <w:tcBorders>
              <w:bottom w:val="single" w:sz="8" w:space="0" w:color="000000"/>
            </w:tcBorders>
            <w:shd w:val="clear" w:color="auto" w:fill="auto"/>
            <w:tcMar>
              <w:top w:w="40" w:type="dxa"/>
              <w:left w:w="20" w:type="dxa"/>
              <w:bottom w:w="40" w:type="dxa"/>
              <w:right w:w="20" w:type="dxa"/>
            </w:tcMar>
            <w:vAlign w:val="bottom"/>
          </w:tcPr>
          <w:p w14:paraId="74DD6759" w14:textId="77777777" w:rsidR="00584EC1" w:rsidRDefault="00871F8D">
            <w:pPr>
              <w:jc w:val="center"/>
              <w:textAlignment w:val="bottom"/>
            </w:pPr>
            <w:r>
              <w:rPr>
                <w:rFonts w:ascii="Arial" w:eastAsia="宋体" w:hAnsi="Arial" w:cs="Arial"/>
                <w:b/>
                <w:bCs/>
                <w:color w:val="000000"/>
                <w:sz w:val="14"/>
                <w:szCs w:val="14"/>
              </w:rPr>
              <w:t>Quarter-End Indices</w:t>
            </w:r>
          </w:p>
        </w:tc>
      </w:tr>
      <w:tr w:rsidR="00584EC1" w14:paraId="74DD6761" w14:textId="77777777">
        <w:tc>
          <w:tcPr>
            <w:tcW w:w="0" w:type="auto"/>
            <w:gridSpan w:val="3"/>
            <w:shd w:val="clear" w:color="auto" w:fill="auto"/>
            <w:tcMar>
              <w:top w:w="0" w:type="dxa"/>
              <w:left w:w="20" w:type="dxa"/>
              <w:bottom w:w="0" w:type="dxa"/>
              <w:right w:w="20" w:type="dxa"/>
            </w:tcMar>
            <w:vAlign w:val="bottom"/>
          </w:tcPr>
          <w:p w14:paraId="74DD675B" w14:textId="77777777" w:rsidR="00584EC1" w:rsidRDefault="00584EC1">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4DD675C" w14:textId="77777777" w:rsidR="00584EC1" w:rsidRDefault="00871F8D">
            <w:pPr>
              <w:jc w:val="center"/>
              <w:textAlignment w:val="bottom"/>
            </w:pPr>
            <w:r>
              <w:rPr>
                <w:rFonts w:ascii="Arial" w:eastAsia="宋体" w:hAnsi="Arial" w:cs="Arial"/>
                <w:b/>
                <w:bCs/>
                <w:color w:val="000000"/>
                <w:sz w:val="14"/>
                <w:szCs w:val="14"/>
              </w:rPr>
              <w:t xml:space="preserve">Three Months </w:t>
            </w:r>
            <w:r>
              <w:rPr>
                <w:rFonts w:ascii="Arial" w:eastAsia="宋体" w:hAnsi="Arial" w:cs="Arial"/>
                <w:b/>
                <w:bCs/>
                <w:color w:val="000000"/>
                <w:sz w:val="14"/>
                <w:szCs w:val="14"/>
              </w:rPr>
              <w:t>Ended September 30,</w:t>
            </w:r>
          </w:p>
        </w:tc>
        <w:tc>
          <w:tcPr>
            <w:tcW w:w="0" w:type="auto"/>
            <w:gridSpan w:val="3"/>
            <w:shd w:val="clear" w:color="auto" w:fill="auto"/>
            <w:tcMar>
              <w:top w:w="0" w:type="dxa"/>
              <w:left w:w="20" w:type="dxa"/>
              <w:bottom w:w="0" w:type="dxa"/>
              <w:right w:w="20" w:type="dxa"/>
            </w:tcMar>
            <w:vAlign w:val="bottom"/>
          </w:tcPr>
          <w:p w14:paraId="74DD675D" w14:textId="77777777" w:rsidR="00584EC1" w:rsidRDefault="00584EC1">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4DD675E" w14:textId="77777777" w:rsidR="00584EC1" w:rsidRDefault="00871F8D">
            <w:pPr>
              <w:jc w:val="center"/>
              <w:textAlignment w:val="bottom"/>
            </w:pPr>
            <w:r>
              <w:rPr>
                <w:rFonts w:ascii="Arial" w:eastAsia="宋体" w:hAnsi="Arial" w:cs="Arial"/>
                <w:b/>
                <w:bCs/>
                <w:color w:val="000000"/>
                <w:sz w:val="14"/>
                <w:szCs w:val="14"/>
              </w:rPr>
              <w:t>Three Months Ended September 30,</w:t>
            </w:r>
          </w:p>
        </w:tc>
        <w:tc>
          <w:tcPr>
            <w:tcW w:w="0" w:type="auto"/>
            <w:gridSpan w:val="3"/>
            <w:shd w:val="clear" w:color="auto" w:fill="auto"/>
            <w:tcMar>
              <w:top w:w="0" w:type="dxa"/>
              <w:left w:w="20" w:type="dxa"/>
              <w:bottom w:w="0" w:type="dxa"/>
              <w:right w:w="20" w:type="dxa"/>
            </w:tcMar>
            <w:vAlign w:val="bottom"/>
          </w:tcPr>
          <w:p w14:paraId="74DD675F" w14:textId="77777777" w:rsidR="00584EC1" w:rsidRDefault="00584EC1">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4DD6760" w14:textId="77777777" w:rsidR="00584EC1" w:rsidRDefault="00871F8D">
            <w:pPr>
              <w:jc w:val="center"/>
              <w:textAlignment w:val="bottom"/>
            </w:pPr>
            <w:r>
              <w:rPr>
                <w:rFonts w:ascii="Arial" w:eastAsia="宋体" w:hAnsi="Arial" w:cs="Arial"/>
                <w:b/>
                <w:bCs/>
                <w:color w:val="000000"/>
                <w:sz w:val="14"/>
                <w:szCs w:val="14"/>
              </w:rPr>
              <w:t>As of September 30,</w:t>
            </w:r>
          </w:p>
        </w:tc>
      </w:tr>
      <w:tr w:rsidR="00584EC1" w14:paraId="74DD6774" w14:textId="77777777">
        <w:tc>
          <w:tcPr>
            <w:tcW w:w="0" w:type="auto"/>
            <w:gridSpan w:val="3"/>
            <w:shd w:val="clear" w:color="auto" w:fill="auto"/>
            <w:tcMar>
              <w:top w:w="0" w:type="dxa"/>
              <w:left w:w="20" w:type="dxa"/>
              <w:bottom w:w="0" w:type="dxa"/>
              <w:right w:w="20" w:type="dxa"/>
            </w:tcMar>
            <w:vAlign w:val="bottom"/>
          </w:tcPr>
          <w:p w14:paraId="74DD6762"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6763" w14:textId="77777777" w:rsidR="00584EC1" w:rsidRDefault="00871F8D">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6764"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6765" w14:textId="77777777" w:rsidR="00584EC1" w:rsidRDefault="00871F8D">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6766"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6767" w14:textId="77777777" w:rsidR="00584EC1" w:rsidRDefault="00871F8D">
            <w:pPr>
              <w:jc w:val="center"/>
              <w:textAlignment w:val="bottom"/>
            </w:pPr>
            <w:r>
              <w:rPr>
                <w:rFonts w:ascii="Arial" w:eastAsia="宋体" w:hAnsi="Arial" w:cs="Arial"/>
                <w:b/>
                <w:bCs/>
                <w:color w:val="000000"/>
                <w:sz w:val="14"/>
                <w:szCs w:val="14"/>
              </w:rPr>
              <w:t>% Change</w:t>
            </w:r>
          </w:p>
        </w:tc>
        <w:tc>
          <w:tcPr>
            <w:tcW w:w="0" w:type="auto"/>
            <w:gridSpan w:val="3"/>
            <w:shd w:val="clear" w:color="auto" w:fill="auto"/>
            <w:tcMar>
              <w:top w:w="0" w:type="dxa"/>
              <w:left w:w="20" w:type="dxa"/>
              <w:bottom w:w="0" w:type="dxa"/>
              <w:right w:w="20" w:type="dxa"/>
            </w:tcMar>
            <w:vAlign w:val="bottom"/>
          </w:tcPr>
          <w:p w14:paraId="74DD6768"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6769" w14:textId="77777777" w:rsidR="00584EC1" w:rsidRDefault="00871F8D">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676A"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676B" w14:textId="77777777" w:rsidR="00584EC1" w:rsidRDefault="00871F8D">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676C"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676D" w14:textId="77777777" w:rsidR="00584EC1" w:rsidRDefault="00871F8D">
            <w:pPr>
              <w:jc w:val="center"/>
              <w:textAlignment w:val="bottom"/>
            </w:pPr>
            <w:r>
              <w:rPr>
                <w:rFonts w:ascii="Arial" w:eastAsia="宋体" w:hAnsi="Arial" w:cs="Arial"/>
                <w:b/>
                <w:bCs/>
                <w:color w:val="000000"/>
                <w:sz w:val="14"/>
                <w:szCs w:val="14"/>
              </w:rPr>
              <w:t>% Change</w:t>
            </w:r>
          </w:p>
        </w:tc>
        <w:tc>
          <w:tcPr>
            <w:tcW w:w="0" w:type="auto"/>
            <w:gridSpan w:val="3"/>
            <w:shd w:val="clear" w:color="auto" w:fill="auto"/>
            <w:tcMar>
              <w:top w:w="0" w:type="dxa"/>
              <w:left w:w="20" w:type="dxa"/>
              <w:bottom w:w="0" w:type="dxa"/>
              <w:right w:w="20" w:type="dxa"/>
            </w:tcMar>
            <w:vAlign w:val="bottom"/>
          </w:tcPr>
          <w:p w14:paraId="74DD676E"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676F" w14:textId="77777777" w:rsidR="00584EC1" w:rsidRDefault="00871F8D">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6770"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6771" w14:textId="77777777" w:rsidR="00584EC1" w:rsidRDefault="00871F8D">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6772"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6773" w14:textId="77777777" w:rsidR="00584EC1" w:rsidRDefault="00871F8D">
            <w:pPr>
              <w:jc w:val="center"/>
              <w:textAlignment w:val="bottom"/>
            </w:pPr>
            <w:r>
              <w:rPr>
                <w:rFonts w:ascii="Arial" w:eastAsia="宋体" w:hAnsi="Arial" w:cs="Arial"/>
                <w:b/>
                <w:bCs/>
                <w:color w:val="000000"/>
                <w:sz w:val="14"/>
                <w:szCs w:val="14"/>
              </w:rPr>
              <w:t>% Change</w:t>
            </w:r>
          </w:p>
        </w:tc>
      </w:tr>
      <w:tr w:rsidR="00584EC1" w14:paraId="74DD6790" w14:textId="77777777">
        <w:tc>
          <w:tcPr>
            <w:tcW w:w="0" w:type="auto"/>
            <w:gridSpan w:val="3"/>
            <w:shd w:val="clear" w:color="auto" w:fill="CCEEFF"/>
            <w:tcMar>
              <w:top w:w="40" w:type="dxa"/>
              <w:left w:w="20" w:type="dxa"/>
              <w:bottom w:w="40" w:type="dxa"/>
              <w:right w:w="20" w:type="dxa"/>
            </w:tcMar>
            <w:vAlign w:val="center"/>
          </w:tcPr>
          <w:p w14:paraId="74DD6775" w14:textId="77777777" w:rsidR="00584EC1" w:rsidRDefault="00871F8D">
            <w:pPr>
              <w:textAlignment w:val="center"/>
            </w:pPr>
            <w:r>
              <w:rPr>
                <w:rFonts w:ascii="Arial" w:eastAsia="宋体" w:hAnsi="Arial" w:cs="Arial"/>
                <w:color w:val="000000"/>
                <w:sz w:val="14"/>
                <w:szCs w:val="14"/>
              </w:rPr>
              <w:t>S&amp;P 500</w:t>
            </w:r>
            <w:r>
              <w:rPr>
                <w:rFonts w:ascii="Arial" w:eastAsia="宋体" w:hAnsi="Arial" w:cs="Arial"/>
                <w:color w:val="000000"/>
                <w:sz w:val="9"/>
                <w:szCs w:val="9"/>
              </w:rPr>
              <w:t>®</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4DD6776" w14:textId="77777777" w:rsidR="00584EC1" w:rsidRDefault="00871F8D">
            <w:pPr>
              <w:jc w:val="right"/>
              <w:textAlignment w:val="center"/>
            </w:pPr>
            <w:r>
              <w:rPr>
                <w:rFonts w:ascii="Arial" w:eastAsia="宋体" w:hAnsi="Arial" w:cs="Arial"/>
                <w:b/>
                <w:bCs/>
                <w:color w:val="000000"/>
                <w:sz w:val="14"/>
                <w:szCs w:val="14"/>
              </w:rPr>
              <w:t>4,422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74DD677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778"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4DD6779" w14:textId="77777777" w:rsidR="00584EC1" w:rsidRDefault="00871F8D">
            <w:pPr>
              <w:jc w:val="right"/>
              <w:textAlignment w:val="center"/>
            </w:pPr>
            <w:r>
              <w:rPr>
                <w:rFonts w:ascii="Arial" w:eastAsia="宋体" w:hAnsi="Arial" w:cs="Arial"/>
                <w:color w:val="000000"/>
                <w:sz w:val="14"/>
                <w:szCs w:val="14"/>
              </w:rPr>
              <w:t>3,320 </w:t>
            </w:r>
          </w:p>
        </w:tc>
        <w:tc>
          <w:tcPr>
            <w:tcW w:w="0" w:type="auto"/>
            <w:tcBorders>
              <w:top w:val="single" w:sz="8" w:space="0" w:color="000000"/>
            </w:tcBorders>
            <w:shd w:val="clear" w:color="auto" w:fill="CCEEFF"/>
            <w:tcMar>
              <w:top w:w="40" w:type="dxa"/>
              <w:left w:w="0" w:type="dxa"/>
              <w:bottom w:w="40" w:type="dxa"/>
              <w:right w:w="20" w:type="dxa"/>
            </w:tcMar>
            <w:vAlign w:val="center"/>
          </w:tcPr>
          <w:p w14:paraId="74DD677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77B"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4DD677C" w14:textId="77777777" w:rsidR="00584EC1" w:rsidRDefault="00871F8D">
            <w:pPr>
              <w:jc w:val="right"/>
              <w:textAlignment w:val="center"/>
            </w:pPr>
            <w:r>
              <w:rPr>
                <w:rFonts w:ascii="Arial" w:eastAsia="宋体" w:hAnsi="Arial" w:cs="Arial"/>
                <w:color w:val="000000"/>
                <w:sz w:val="14"/>
                <w:szCs w:val="14"/>
              </w:rPr>
              <w:t>33 </w:t>
            </w:r>
          </w:p>
        </w:tc>
        <w:tc>
          <w:tcPr>
            <w:tcW w:w="0" w:type="auto"/>
            <w:tcBorders>
              <w:top w:val="single" w:sz="8" w:space="0" w:color="000000"/>
            </w:tcBorders>
            <w:shd w:val="clear" w:color="auto" w:fill="CCEEFF"/>
            <w:tcMar>
              <w:top w:w="40" w:type="dxa"/>
              <w:left w:w="0" w:type="dxa"/>
              <w:bottom w:w="40" w:type="dxa"/>
              <w:right w:w="20" w:type="dxa"/>
            </w:tcMar>
            <w:vAlign w:val="center"/>
          </w:tcPr>
          <w:p w14:paraId="74DD677D" w14:textId="77777777" w:rsidR="00584EC1" w:rsidRDefault="00871F8D">
            <w:pPr>
              <w:jc w:val="right"/>
              <w:textAlignment w:val="center"/>
            </w:pPr>
            <w:r>
              <w:rPr>
                <w:rFonts w:ascii="Arial" w:eastAsia="宋体" w:hAnsi="Arial" w:cs="Arial"/>
                <w:color w:val="000000"/>
                <w:sz w:val="14"/>
                <w:szCs w:val="14"/>
              </w:rPr>
              <w:t>%</w:t>
            </w:r>
          </w:p>
        </w:tc>
        <w:tc>
          <w:tcPr>
            <w:tcW w:w="0" w:type="auto"/>
            <w:gridSpan w:val="3"/>
            <w:shd w:val="clear" w:color="auto" w:fill="CCEEFF"/>
            <w:tcMar>
              <w:top w:w="0" w:type="dxa"/>
              <w:left w:w="20" w:type="dxa"/>
              <w:bottom w:w="0" w:type="dxa"/>
              <w:right w:w="20" w:type="dxa"/>
            </w:tcMar>
            <w:vAlign w:val="bottom"/>
          </w:tcPr>
          <w:p w14:paraId="74DD677E"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4DD677F" w14:textId="77777777" w:rsidR="00584EC1" w:rsidRDefault="00871F8D">
            <w:pPr>
              <w:jc w:val="right"/>
              <w:textAlignment w:val="center"/>
            </w:pPr>
            <w:r>
              <w:rPr>
                <w:rFonts w:ascii="Arial" w:eastAsia="宋体" w:hAnsi="Arial" w:cs="Arial"/>
                <w:b/>
                <w:bCs/>
                <w:color w:val="000000"/>
                <w:sz w:val="14"/>
                <w:szCs w:val="14"/>
              </w:rPr>
              <w:t>4,408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74DD678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781"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4DD6782" w14:textId="77777777" w:rsidR="00584EC1" w:rsidRDefault="00871F8D">
            <w:pPr>
              <w:jc w:val="right"/>
              <w:textAlignment w:val="center"/>
            </w:pPr>
            <w:r>
              <w:rPr>
                <w:rFonts w:ascii="Arial" w:eastAsia="宋体" w:hAnsi="Arial" w:cs="Arial"/>
                <w:color w:val="000000"/>
                <w:sz w:val="14"/>
                <w:szCs w:val="14"/>
              </w:rPr>
              <w:t>3,378 </w:t>
            </w:r>
          </w:p>
        </w:tc>
        <w:tc>
          <w:tcPr>
            <w:tcW w:w="0" w:type="auto"/>
            <w:tcBorders>
              <w:top w:val="single" w:sz="8" w:space="0" w:color="000000"/>
            </w:tcBorders>
            <w:shd w:val="clear" w:color="auto" w:fill="CCEEFF"/>
            <w:tcMar>
              <w:top w:w="40" w:type="dxa"/>
              <w:left w:w="0" w:type="dxa"/>
              <w:bottom w:w="40" w:type="dxa"/>
              <w:right w:w="20" w:type="dxa"/>
            </w:tcMar>
            <w:vAlign w:val="center"/>
          </w:tcPr>
          <w:p w14:paraId="74DD678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784"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4DD6785" w14:textId="77777777" w:rsidR="00584EC1" w:rsidRDefault="00871F8D">
            <w:pPr>
              <w:jc w:val="right"/>
              <w:textAlignment w:val="center"/>
            </w:pPr>
            <w:r>
              <w:rPr>
                <w:rFonts w:ascii="Arial" w:eastAsia="宋体" w:hAnsi="Arial" w:cs="Arial"/>
                <w:color w:val="000000"/>
                <w:sz w:val="14"/>
                <w:szCs w:val="14"/>
              </w:rPr>
              <w:t>30 </w:t>
            </w:r>
          </w:p>
        </w:tc>
        <w:tc>
          <w:tcPr>
            <w:tcW w:w="0" w:type="auto"/>
            <w:tcBorders>
              <w:top w:val="single" w:sz="8" w:space="0" w:color="000000"/>
            </w:tcBorders>
            <w:shd w:val="clear" w:color="auto" w:fill="CCEEFF"/>
            <w:tcMar>
              <w:top w:w="40" w:type="dxa"/>
              <w:left w:w="0" w:type="dxa"/>
              <w:bottom w:w="40" w:type="dxa"/>
              <w:right w:w="20" w:type="dxa"/>
            </w:tcMar>
            <w:vAlign w:val="center"/>
          </w:tcPr>
          <w:p w14:paraId="74DD6786" w14:textId="77777777" w:rsidR="00584EC1" w:rsidRDefault="00871F8D">
            <w:pPr>
              <w:jc w:val="right"/>
              <w:textAlignment w:val="center"/>
            </w:pPr>
            <w:r>
              <w:rPr>
                <w:rFonts w:ascii="Arial" w:eastAsia="宋体" w:hAnsi="Arial" w:cs="Arial"/>
                <w:color w:val="000000"/>
                <w:sz w:val="14"/>
                <w:szCs w:val="14"/>
              </w:rPr>
              <w:t>%</w:t>
            </w:r>
          </w:p>
        </w:tc>
        <w:tc>
          <w:tcPr>
            <w:tcW w:w="0" w:type="auto"/>
            <w:gridSpan w:val="3"/>
            <w:shd w:val="clear" w:color="auto" w:fill="CCEEFF"/>
            <w:tcMar>
              <w:top w:w="0" w:type="dxa"/>
              <w:left w:w="20" w:type="dxa"/>
              <w:bottom w:w="0" w:type="dxa"/>
              <w:right w:w="20" w:type="dxa"/>
            </w:tcMar>
            <w:vAlign w:val="bottom"/>
          </w:tcPr>
          <w:p w14:paraId="74DD6787"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4DD6788" w14:textId="77777777" w:rsidR="00584EC1" w:rsidRDefault="00871F8D">
            <w:pPr>
              <w:jc w:val="right"/>
              <w:textAlignment w:val="center"/>
            </w:pPr>
            <w:r>
              <w:rPr>
                <w:rFonts w:ascii="Arial" w:eastAsia="宋体" w:hAnsi="Arial" w:cs="Arial"/>
                <w:b/>
                <w:bCs/>
                <w:color w:val="000000"/>
                <w:sz w:val="14"/>
                <w:szCs w:val="14"/>
              </w:rPr>
              <w:t>4,308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74DD678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78A"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4DD678B" w14:textId="77777777" w:rsidR="00584EC1" w:rsidRDefault="00871F8D">
            <w:pPr>
              <w:jc w:val="right"/>
              <w:textAlignment w:val="center"/>
            </w:pPr>
            <w:r>
              <w:rPr>
                <w:rFonts w:ascii="Arial" w:eastAsia="宋体" w:hAnsi="Arial" w:cs="Arial"/>
                <w:color w:val="000000"/>
                <w:sz w:val="14"/>
                <w:szCs w:val="14"/>
              </w:rPr>
              <w:t>3,363 </w:t>
            </w:r>
          </w:p>
        </w:tc>
        <w:tc>
          <w:tcPr>
            <w:tcW w:w="0" w:type="auto"/>
            <w:tcBorders>
              <w:top w:val="single" w:sz="8" w:space="0" w:color="000000"/>
            </w:tcBorders>
            <w:shd w:val="clear" w:color="auto" w:fill="CCEEFF"/>
            <w:tcMar>
              <w:top w:w="40" w:type="dxa"/>
              <w:left w:w="0" w:type="dxa"/>
              <w:bottom w:w="40" w:type="dxa"/>
              <w:right w:w="20" w:type="dxa"/>
            </w:tcMar>
            <w:vAlign w:val="center"/>
          </w:tcPr>
          <w:p w14:paraId="74DD678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78D"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4DD678E" w14:textId="77777777" w:rsidR="00584EC1" w:rsidRDefault="00871F8D">
            <w:pPr>
              <w:jc w:val="right"/>
              <w:textAlignment w:val="center"/>
            </w:pPr>
            <w:r>
              <w:rPr>
                <w:rFonts w:ascii="Arial" w:eastAsia="宋体" w:hAnsi="Arial" w:cs="Arial"/>
                <w:color w:val="000000"/>
                <w:sz w:val="14"/>
                <w:szCs w:val="14"/>
              </w:rPr>
              <w:t>28 </w:t>
            </w:r>
          </w:p>
        </w:tc>
        <w:tc>
          <w:tcPr>
            <w:tcW w:w="0" w:type="auto"/>
            <w:tcBorders>
              <w:top w:val="single" w:sz="8" w:space="0" w:color="000000"/>
            </w:tcBorders>
            <w:shd w:val="clear" w:color="auto" w:fill="CCEEFF"/>
            <w:tcMar>
              <w:top w:w="40" w:type="dxa"/>
              <w:left w:w="0" w:type="dxa"/>
              <w:bottom w:w="40" w:type="dxa"/>
              <w:right w:w="20" w:type="dxa"/>
            </w:tcMar>
            <w:vAlign w:val="center"/>
          </w:tcPr>
          <w:p w14:paraId="74DD678F" w14:textId="77777777" w:rsidR="00584EC1" w:rsidRDefault="00871F8D">
            <w:pPr>
              <w:jc w:val="right"/>
              <w:textAlignment w:val="center"/>
            </w:pPr>
            <w:r>
              <w:rPr>
                <w:rFonts w:ascii="Arial" w:eastAsia="宋体" w:hAnsi="Arial" w:cs="Arial"/>
                <w:color w:val="000000"/>
                <w:sz w:val="14"/>
                <w:szCs w:val="14"/>
              </w:rPr>
              <w:t>%</w:t>
            </w:r>
          </w:p>
        </w:tc>
      </w:tr>
      <w:tr w:rsidR="00584EC1" w14:paraId="74DD67AC" w14:textId="77777777">
        <w:tc>
          <w:tcPr>
            <w:tcW w:w="0" w:type="auto"/>
            <w:gridSpan w:val="3"/>
            <w:shd w:val="clear" w:color="auto" w:fill="FFFFFF"/>
            <w:tcMar>
              <w:top w:w="40" w:type="dxa"/>
              <w:left w:w="20" w:type="dxa"/>
              <w:bottom w:w="40" w:type="dxa"/>
              <w:right w:w="20" w:type="dxa"/>
            </w:tcMar>
            <w:vAlign w:val="center"/>
          </w:tcPr>
          <w:p w14:paraId="74DD6791" w14:textId="77777777" w:rsidR="00584EC1" w:rsidRDefault="00871F8D">
            <w:pPr>
              <w:textAlignment w:val="center"/>
            </w:pPr>
            <w:r>
              <w:rPr>
                <w:rFonts w:ascii="Arial" w:eastAsia="宋体" w:hAnsi="Arial" w:cs="Arial"/>
                <w:color w:val="000000"/>
                <w:sz w:val="14"/>
                <w:szCs w:val="14"/>
              </w:rPr>
              <w:t>MSCI EAFE</w:t>
            </w:r>
            <w:r>
              <w:rPr>
                <w:rFonts w:ascii="Arial" w:eastAsia="宋体" w:hAnsi="Arial" w:cs="Arial"/>
                <w:color w:val="000000"/>
                <w:sz w:val="9"/>
                <w:szCs w:val="9"/>
              </w:rPr>
              <w:t>®</w:t>
            </w:r>
          </w:p>
        </w:tc>
        <w:tc>
          <w:tcPr>
            <w:tcW w:w="0" w:type="auto"/>
            <w:gridSpan w:val="2"/>
            <w:shd w:val="clear" w:color="auto" w:fill="FFFFFF"/>
            <w:tcMar>
              <w:top w:w="40" w:type="dxa"/>
              <w:left w:w="20" w:type="dxa"/>
              <w:bottom w:w="40" w:type="dxa"/>
              <w:right w:w="0" w:type="dxa"/>
            </w:tcMar>
            <w:vAlign w:val="center"/>
          </w:tcPr>
          <w:p w14:paraId="74DD6792" w14:textId="77777777" w:rsidR="00584EC1" w:rsidRDefault="00871F8D">
            <w:pPr>
              <w:jc w:val="right"/>
              <w:textAlignment w:val="center"/>
            </w:pPr>
            <w:r>
              <w:rPr>
                <w:rFonts w:ascii="Arial" w:eastAsia="宋体" w:hAnsi="Arial" w:cs="Arial"/>
                <w:b/>
                <w:bCs/>
                <w:color w:val="000000"/>
                <w:sz w:val="14"/>
                <w:szCs w:val="14"/>
              </w:rPr>
              <w:t>2,338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center"/>
          </w:tcPr>
          <w:p w14:paraId="74DD679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79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center"/>
          </w:tcPr>
          <w:p w14:paraId="74DD6795" w14:textId="77777777" w:rsidR="00584EC1" w:rsidRDefault="00871F8D">
            <w:pPr>
              <w:jc w:val="right"/>
              <w:textAlignment w:val="center"/>
            </w:pPr>
            <w:r>
              <w:rPr>
                <w:rFonts w:ascii="Arial" w:eastAsia="宋体" w:hAnsi="Arial" w:cs="Arial"/>
                <w:color w:val="000000"/>
                <w:sz w:val="14"/>
                <w:szCs w:val="14"/>
              </w:rPr>
              <w:t>1,871 </w:t>
            </w:r>
          </w:p>
        </w:tc>
        <w:tc>
          <w:tcPr>
            <w:tcW w:w="0" w:type="auto"/>
            <w:shd w:val="clear" w:color="auto" w:fill="FFFFFF"/>
            <w:tcMar>
              <w:top w:w="40" w:type="dxa"/>
              <w:left w:w="0" w:type="dxa"/>
              <w:bottom w:w="40" w:type="dxa"/>
              <w:right w:w="20" w:type="dxa"/>
            </w:tcMar>
            <w:vAlign w:val="center"/>
          </w:tcPr>
          <w:p w14:paraId="74DD679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79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center"/>
          </w:tcPr>
          <w:p w14:paraId="74DD6798" w14:textId="77777777" w:rsidR="00584EC1" w:rsidRDefault="00871F8D">
            <w:pPr>
              <w:jc w:val="right"/>
              <w:textAlignment w:val="center"/>
            </w:pPr>
            <w:r>
              <w:rPr>
                <w:rFonts w:ascii="Arial" w:eastAsia="宋体" w:hAnsi="Arial" w:cs="Arial"/>
                <w:color w:val="000000"/>
                <w:sz w:val="14"/>
                <w:szCs w:val="14"/>
              </w:rPr>
              <w:t>25 </w:t>
            </w:r>
          </w:p>
        </w:tc>
        <w:tc>
          <w:tcPr>
            <w:tcW w:w="0" w:type="auto"/>
            <w:shd w:val="clear" w:color="auto" w:fill="FFFFFF"/>
            <w:tcMar>
              <w:top w:w="40" w:type="dxa"/>
              <w:left w:w="0" w:type="dxa"/>
              <w:bottom w:w="40" w:type="dxa"/>
              <w:right w:w="20" w:type="dxa"/>
            </w:tcMar>
            <w:vAlign w:val="center"/>
          </w:tcPr>
          <w:p w14:paraId="74DD679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79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center"/>
          </w:tcPr>
          <w:p w14:paraId="74DD679B" w14:textId="77777777" w:rsidR="00584EC1" w:rsidRDefault="00871F8D">
            <w:pPr>
              <w:jc w:val="right"/>
              <w:textAlignment w:val="center"/>
            </w:pPr>
            <w:r>
              <w:rPr>
                <w:rFonts w:ascii="Arial" w:eastAsia="宋体" w:hAnsi="Arial" w:cs="Arial"/>
                <w:b/>
                <w:bCs/>
                <w:color w:val="000000"/>
                <w:sz w:val="14"/>
                <w:szCs w:val="14"/>
              </w:rPr>
              <w:t>2,320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center"/>
          </w:tcPr>
          <w:p w14:paraId="74DD679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79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center"/>
          </w:tcPr>
          <w:p w14:paraId="74DD679E" w14:textId="77777777" w:rsidR="00584EC1" w:rsidRDefault="00871F8D">
            <w:pPr>
              <w:jc w:val="right"/>
              <w:textAlignment w:val="center"/>
            </w:pPr>
            <w:r>
              <w:rPr>
                <w:rFonts w:ascii="Arial" w:eastAsia="宋体" w:hAnsi="Arial" w:cs="Arial"/>
                <w:color w:val="000000"/>
                <w:sz w:val="14"/>
                <w:szCs w:val="14"/>
              </w:rPr>
              <w:t>1,862 </w:t>
            </w:r>
          </w:p>
        </w:tc>
        <w:tc>
          <w:tcPr>
            <w:tcW w:w="0" w:type="auto"/>
            <w:shd w:val="clear" w:color="auto" w:fill="FFFFFF"/>
            <w:tcMar>
              <w:top w:w="40" w:type="dxa"/>
              <w:left w:w="0" w:type="dxa"/>
              <w:bottom w:w="40" w:type="dxa"/>
              <w:right w:w="20" w:type="dxa"/>
            </w:tcMar>
            <w:vAlign w:val="center"/>
          </w:tcPr>
          <w:p w14:paraId="74DD679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7A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center"/>
          </w:tcPr>
          <w:p w14:paraId="74DD67A1" w14:textId="77777777" w:rsidR="00584EC1" w:rsidRDefault="00871F8D">
            <w:pPr>
              <w:jc w:val="right"/>
              <w:textAlignment w:val="center"/>
            </w:pPr>
            <w:r>
              <w:rPr>
                <w:rFonts w:ascii="Arial" w:eastAsia="宋体" w:hAnsi="Arial" w:cs="Arial"/>
                <w:color w:val="000000"/>
                <w:sz w:val="14"/>
                <w:szCs w:val="14"/>
              </w:rPr>
              <w:t>25 </w:t>
            </w:r>
          </w:p>
        </w:tc>
        <w:tc>
          <w:tcPr>
            <w:tcW w:w="0" w:type="auto"/>
            <w:shd w:val="clear" w:color="auto" w:fill="FFFFFF"/>
            <w:tcMar>
              <w:top w:w="40" w:type="dxa"/>
              <w:left w:w="0" w:type="dxa"/>
              <w:bottom w:w="40" w:type="dxa"/>
              <w:right w:w="20" w:type="dxa"/>
            </w:tcMar>
            <w:vAlign w:val="center"/>
          </w:tcPr>
          <w:p w14:paraId="74DD67A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7A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center"/>
          </w:tcPr>
          <w:p w14:paraId="74DD67A4" w14:textId="77777777" w:rsidR="00584EC1" w:rsidRDefault="00871F8D">
            <w:pPr>
              <w:jc w:val="right"/>
              <w:textAlignment w:val="center"/>
            </w:pPr>
            <w:r>
              <w:rPr>
                <w:rFonts w:ascii="Arial" w:eastAsia="宋体" w:hAnsi="Arial" w:cs="Arial"/>
                <w:b/>
                <w:bCs/>
                <w:color w:val="000000"/>
                <w:sz w:val="14"/>
                <w:szCs w:val="14"/>
              </w:rPr>
              <w:t>2,281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center"/>
          </w:tcPr>
          <w:p w14:paraId="74DD67A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7A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center"/>
          </w:tcPr>
          <w:p w14:paraId="74DD67A7" w14:textId="77777777" w:rsidR="00584EC1" w:rsidRDefault="00871F8D">
            <w:pPr>
              <w:jc w:val="right"/>
              <w:textAlignment w:val="center"/>
            </w:pPr>
            <w:r>
              <w:rPr>
                <w:rFonts w:ascii="Arial" w:eastAsia="宋体" w:hAnsi="Arial" w:cs="Arial"/>
                <w:color w:val="000000"/>
                <w:sz w:val="14"/>
                <w:szCs w:val="14"/>
              </w:rPr>
              <w:t>1,855 </w:t>
            </w:r>
          </w:p>
        </w:tc>
        <w:tc>
          <w:tcPr>
            <w:tcW w:w="0" w:type="auto"/>
            <w:shd w:val="clear" w:color="auto" w:fill="FFFFFF"/>
            <w:tcMar>
              <w:top w:w="40" w:type="dxa"/>
              <w:left w:w="0" w:type="dxa"/>
              <w:bottom w:w="40" w:type="dxa"/>
              <w:right w:w="20" w:type="dxa"/>
            </w:tcMar>
            <w:vAlign w:val="center"/>
          </w:tcPr>
          <w:p w14:paraId="74DD67A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7A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center"/>
          </w:tcPr>
          <w:p w14:paraId="74DD67AA" w14:textId="77777777" w:rsidR="00584EC1" w:rsidRDefault="00871F8D">
            <w:pPr>
              <w:jc w:val="right"/>
              <w:textAlignment w:val="center"/>
            </w:pPr>
            <w:r>
              <w:rPr>
                <w:rFonts w:ascii="Arial" w:eastAsia="宋体" w:hAnsi="Arial" w:cs="Arial"/>
                <w:color w:val="000000"/>
                <w:sz w:val="14"/>
                <w:szCs w:val="14"/>
              </w:rPr>
              <w:t>23 </w:t>
            </w:r>
          </w:p>
        </w:tc>
        <w:tc>
          <w:tcPr>
            <w:tcW w:w="0" w:type="auto"/>
            <w:shd w:val="clear" w:color="auto" w:fill="FFFFFF"/>
            <w:tcMar>
              <w:top w:w="40" w:type="dxa"/>
              <w:left w:w="0" w:type="dxa"/>
              <w:bottom w:w="40" w:type="dxa"/>
              <w:right w:w="20" w:type="dxa"/>
            </w:tcMar>
            <w:vAlign w:val="center"/>
          </w:tcPr>
          <w:p w14:paraId="74DD67AB" w14:textId="77777777" w:rsidR="00584EC1" w:rsidRDefault="00584EC1">
            <w:pPr>
              <w:jc w:val="right"/>
              <w:rPr>
                <w:rFonts w:ascii="宋体"/>
              </w:rPr>
            </w:pPr>
          </w:p>
        </w:tc>
      </w:tr>
      <w:tr w:rsidR="00584EC1" w14:paraId="74DD67C8" w14:textId="77777777">
        <w:tc>
          <w:tcPr>
            <w:tcW w:w="0" w:type="auto"/>
            <w:gridSpan w:val="3"/>
            <w:shd w:val="clear" w:color="auto" w:fill="CCEEFF"/>
            <w:tcMar>
              <w:top w:w="40" w:type="dxa"/>
              <w:left w:w="20" w:type="dxa"/>
              <w:bottom w:w="40" w:type="dxa"/>
              <w:right w:w="20" w:type="dxa"/>
            </w:tcMar>
            <w:vAlign w:val="center"/>
          </w:tcPr>
          <w:p w14:paraId="74DD67AD" w14:textId="77777777" w:rsidR="00584EC1" w:rsidRDefault="00871F8D">
            <w:pPr>
              <w:textAlignment w:val="center"/>
            </w:pPr>
            <w:r>
              <w:rPr>
                <w:rFonts w:ascii="Arial" w:eastAsia="宋体" w:hAnsi="Arial" w:cs="Arial"/>
                <w:color w:val="000000"/>
                <w:sz w:val="14"/>
                <w:szCs w:val="14"/>
              </w:rPr>
              <w:t>MSCI</w:t>
            </w:r>
            <w:r>
              <w:rPr>
                <w:rFonts w:ascii="Arial" w:eastAsia="宋体" w:hAnsi="Arial" w:cs="Arial"/>
                <w:color w:val="000000"/>
                <w:sz w:val="9"/>
                <w:szCs w:val="9"/>
              </w:rPr>
              <w:t>®</w:t>
            </w:r>
            <w:r>
              <w:rPr>
                <w:rFonts w:ascii="Arial" w:eastAsia="宋体" w:hAnsi="Arial" w:cs="Arial"/>
                <w:color w:val="000000"/>
                <w:sz w:val="14"/>
                <w:szCs w:val="14"/>
              </w:rPr>
              <w:t xml:space="preserve"> Emerging Markets</w:t>
            </w:r>
          </w:p>
        </w:tc>
        <w:tc>
          <w:tcPr>
            <w:tcW w:w="0" w:type="auto"/>
            <w:gridSpan w:val="2"/>
            <w:shd w:val="clear" w:color="auto" w:fill="CCEEFF"/>
            <w:tcMar>
              <w:top w:w="40" w:type="dxa"/>
              <w:left w:w="20" w:type="dxa"/>
              <w:bottom w:w="40" w:type="dxa"/>
              <w:right w:w="0" w:type="dxa"/>
            </w:tcMar>
            <w:vAlign w:val="center"/>
          </w:tcPr>
          <w:p w14:paraId="74DD67AE" w14:textId="77777777" w:rsidR="00584EC1" w:rsidRDefault="00871F8D">
            <w:pPr>
              <w:jc w:val="right"/>
              <w:textAlignment w:val="center"/>
            </w:pPr>
            <w:r>
              <w:rPr>
                <w:rFonts w:ascii="Arial" w:eastAsia="宋体" w:hAnsi="Arial" w:cs="Arial"/>
                <w:b/>
                <w:bCs/>
                <w:color w:val="000000"/>
                <w:sz w:val="14"/>
                <w:szCs w:val="14"/>
              </w:rPr>
              <w:t>1,295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center"/>
          </w:tcPr>
          <w:p w14:paraId="74DD67A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7B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center"/>
          </w:tcPr>
          <w:p w14:paraId="74DD67B1" w14:textId="77777777" w:rsidR="00584EC1" w:rsidRDefault="00871F8D">
            <w:pPr>
              <w:jc w:val="right"/>
              <w:textAlignment w:val="center"/>
            </w:pPr>
            <w:r>
              <w:rPr>
                <w:rFonts w:ascii="Arial" w:eastAsia="宋体" w:hAnsi="Arial" w:cs="Arial"/>
                <w:color w:val="000000"/>
                <w:sz w:val="14"/>
                <w:szCs w:val="14"/>
              </w:rPr>
              <w:t>1,084 </w:t>
            </w:r>
          </w:p>
        </w:tc>
        <w:tc>
          <w:tcPr>
            <w:tcW w:w="0" w:type="auto"/>
            <w:shd w:val="clear" w:color="auto" w:fill="CCEEFF"/>
            <w:tcMar>
              <w:top w:w="40" w:type="dxa"/>
              <w:left w:w="0" w:type="dxa"/>
              <w:bottom w:w="40" w:type="dxa"/>
              <w:right w:w="20" w:type="dxa"/>
            </w:tcMar>
            <w:vAlign w:val="center"/>
          </w:tcPr>
          <w:p w14:paraId="74DD67B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7B3"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center"/>
          </w:tcPr>
          <w:p w14:paraId="74DD67B4" w14:textId="77777777" w:rsidR="00584EC1" w:rsidRDefault="00871F8D">
            <w:pPr>
              <w:jc w:val="right"/>
              <w:textAlignment w:val="center"/>
            </w:pPr>
            <w:r>
              <w:rPr>
                <w:rFonts w:ascii="Arial" w:eastAsia="宋体" w:hAnsi="Arial" w:cs="Arial"/>
                <w:color w:val="000000"/>
                <w:sz w:val="14"/>
                <w:szCs w:val="14"/>
              </w:rPr>
              <w:t>19 </w:t>
            </w:r>
          </w:p>
        </w:tc>
        <w:tc>
          <w:tcPr>
            <w:tcW w:w="0" w:type="auto"/>
            <w:shd w:val="clear" w:color="auto" w:fill="CCEEFF"/>
            <w:tcMar>
              <w:top w:w="40" w:type="dxa"/>
              <w:left w:w="0" w:type="dxa"/>
              <w:bottom w:w="40" w:type="dxa"/>
              <w:right w:w="20" w:type="dxa"/>
            </w:tcMar>
            <w:vAlign w:val="center"/>
          </w:tcPr>
          <w:p w14:paraId="74DD67B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7B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center"/>
          </w:tcPr>
          <w:p w14:paraId="74DD67B7" w14:textId="77777777" w:rsidR="00584EC1" w:rsidRDefault="00871F8D">
            <w:pPr>
              <w:jc w:val="right"/>
              <w:textAlignment w:val="center"/>
            </w:pPr>
            <w:r>
              <w:rPr>
                <w:rFonts w:ascii="Arial" w:eastAsia="宋体" w:hAnsi="Arial" w:cs="Arial"/>
                <w:b/>
                <w:bCs/>
                <w:color w:val="000000"/>
                <w:sz w:val="14"/>
                <w:szCs w:val="14"/>
              </w:rPr>
              <w:t>1,280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center"/>
          </w:tcPr>
          <w:p w14:paraId="74DD67B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7B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center"/>
          </w:tcPr>
          <w:p w14:paraId="74DD67BA" w14:textId="77777777" w:rsidR="00584EC1" w:rsidRDefault="00871F8D">
            <w:pPr>
              <w:jc w:val="right"/>
              <w:textAlignment w:val="center"/>
            </w:pPr>
            <w:r>
              <w:rPr>
                <w:rFonts w:ascii="Arial" w:eastAsia="宋体" w:hAnsi="Arial" w:cs="Arial"/>
                <w:color w:val="000000"/>
                <w:sz w:val="14"/>
                <w:szCs w:val="14"/>
              </w:rPr>
              <w:t>1,087 </w:t>
            </w:r>
          </w:p>
        </w:tc>
        <w:tc>
          <w:tcPr>
            <w:tcW w:w="0" w:type="auto"/>
            <w:shd w:val="clear" w:color="auto" w:fill="CCEEFF"/>
            <w:tcMar>
              <w:top w:w="40" w:type="dxa"/>
              <w:left w:w="0" w:type="dxa"/>
              <w:bottom w:w="40" w:type="dxa"/>
              <w:right w:w="20" w:type="dxa"/>
            </w:tcMar>
            <w:vAlign w:val="center"/>
          </w:tcPr>
          <w:p w14:paraId="74DD67B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7BC"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center"/>
          </w:tcPr>
          <w:p w14:paraId="74DD67BD" w14:textId="77777777" w:rsidR="00584EC1" w:rsidRDefault="00871F8D">
            <w:pPr>
              <w:jc w:val="right"/>
              <w:textAlignment w:val="center"/>
            </w:pPr>
            <w:r>
              <w:rPr>
                <w:rFonts w:ascii="Arial" w:eastAsia="宋体" w:hAnsi="Arial" w:cs="Arial"/>
                <w:color w:val="000000"/>
                <w:sz w:val="14"/>
                <w:szCs w:val="14"/>
              </w:rPr>
              <w:t>18 </w:t>
            </w:r>
          </w:p>
        </w:tc>
        <w:tc>
          <w:tcPr>
            <w:tcW w:w="0" w:type="auto"/>
            <w:shd w:val="clear" w:color="auto" w:fill="CCEEFF"/>
            <w:tcMar>
              <w:top w:w="40" w:type="dxa"/>
              <w:left w:w="0" w:type="dxa"/>
              <w:bottom w:w="40" w:type="dxa"/>
              <w:right w:w="20" w:type="dxa"/>
            </w:tcMar>
            <w:vAlign w:val="center"/>
          </w:tcPr>
          <w:p w14:paraId="74DD67B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7BF"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center"/>
          </w:tcPr>
          <w:p w14:paraId="74DD67C0" w14:textId="77777777" w:rsidR="00584EC1" w:rsidRDefault="00871F8D">
            <w:pPr>
              <w:jc w:val="right"/>
              <w:textAlignment w:val="center"/>
            </w:pPr>
            <w:r>
              <w:rPr>
                <w:rFonts w:ascii="Arial" w:eastAsia="宋体" w:hAnsi="Arial" w:cs="Arial"/>
                <w:b/>
                <w:bCs/>
                <w:color w:val="000000"/>
                <w:sz w:val="14"/>
                <w:szCs w:val="14"/>
              </w:rPr>
              <w:t>1,253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center"/>
          </w:tcPr>
          <w:p w14:paraId="74DD67C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7C2"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center"/>
          </w:tcPr>
          <w:p w14:paraId="74DD67C3" w14:textId="77777777" w:rsidR="00584EC1" w:rsidRDefault="00871F8D">
            <w:pPr>
              <w:jc w:val="right"/>
              <w:textAlignment w:val="center"/>
            </w:pPr>
            <w:r>
              <w:rPr>
                <w:rFonts w:ascii="Arial" w:eastAsia="宋体" w:hAnsi="Arial" w:cs="Arial"/>
                <w:color w:val="000000"/>
                <w:sz w:val="14"/>
                <w:szCs w:val="14"/>
              </w:rPr>
              <w:t>1,082 </w:t>
            </w:r>
          </w:p>
        </w:tc>
        <w:tc>
          <w:tcPr>
            <w:tcW w:w="0" w:type="auto"/>
            <w:shd w:val="clear" w:color="auto" w:fill="CCEEFF"/>
            <w:tcMar>
              <w:top w:w="40" w:type="dxa"/>
              <w:left w:w="0" w:type="dxa"/>
              <w:bottom w:w="40" w:type="dxa"/>
              <w:right w:w="20" w:type="dxa"/>
            </w:tcMar>
            <w:vAlign w:val="center"/>
          </w:tcPr>
          <w:p w14:paraId="74DD67C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7C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center"/>
          </w:tcPr>
          <w:p w14:paraId="74DD67C6" w14:textId="77777777" w:rsidR="00584EC1" w:rsidRDefault="00871F8D">
            <w:pPr>
              <w:jc w:val="right"/>
              <w:textAlignment w:val="center"/>
            </w:pPr>
            <w:r>
              <w:rPr>
                <w:rFonts w:ascii="Arial" w:eastAsia="宋体" w:hAnsi="Arial" w:cs="Arial"/>
                <w:color w:val="000000"/>
                <w:sz w:val="14"/>
                <w:szCs w:val="14"/>
              </w:rPr>
              <w:t>16 </w:t>
            </w:r>
          </w:p>
        </w:tc>
        <w:tc>
          <w:tcPr>
            <w:tcW w:w="0" w:type="auto"/>
            <w:shd w:val="clear" w:color="auto" w:fill="CCEEFF"/>
            <w:tcMar>
              <w:top w:w="40" w:type="dxa"/>
              <w:left w:w="0" w:type="dxa"/>
              <w:bottom w:w="40" w:type="dxa"/>
              <w:right w:w="20" w:type="dxa"/>
            </w:tcMar>
            <w:vAlign w:val="center"/>
          </w:tcPr>
          <w:p w14:paraId="74DD67C7" w14:textId="77777777" w:rsidR="00584EC1" w:rsidRDefault="00584EC1">
            <w:pPr>
              <w:jc w:val="right"/>
              <w:rPr>
                <w:rFonts w:ascii="宋体"/>
              </w:rPr>
            </w:pPr>
          </w:p>
        </w:tc>
      </w:tr>
      <w:tr w:rsidR="00584EC1" w14:paraId="74DD67DB" w14:textId="77777777">
        <w:trPr>
          <w:trHeight w:val="60"/>
        </w:trPr>
        <w:tc>
          <w:tcPr>
            <w:tcW w:w="0" w:type="auto"/>
            <w:gridSpan w:val="3"/>
            <w:shd w:val="clear" w:color="auto" w:fill="FFFFFF"/>
            <w:tcMar>
              <w:top w:w="0" w:type="dxa"/>
              <w:left w:w="20" w:type="dxa"/>
              <w:bottom w:w="0" w:type="dxa"/>
              <w:right w:w="20" w:type="dxa"/>
            </w:tcMar>
            <w:vAlign w:val="bottom"/>
          </w:tcPr>
          <w:p w14:paraId="74DD67C9"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7CA"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7CB"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7CC"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7CD"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7CE"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7CF"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7D0"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7D1"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7D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7D3"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7D4"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7D5"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7D6"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7D7"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7D8"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7D9"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7DA" w14:textId="77777777" w:rsidR="00584EC1" w:rsidRDefault="00584EC1">
            <w:pPr>
              <w:rPr>
                <w:rFonts w:ascii="宋体"/>
              </w:rPr>
            </w:pPr>
          </w:p>
        </w:tc>
      </w:tr>
      <w:tr w:rsidR="00584EC1" w14:paraId="74DD67E2" w14:textId="77777777">
        <w:tc>
          <w:tcPr>
            <w:tcW w:w="0" w:type="auto"/>
            <w:gridSpan w:val="3"/>
            <w:shd w:val="clear" w:color="auto" w:fill="auto"/>
            <w:tcMar>
              <w:top w:w="0" w:type="dxa"/>
              <w:left w:w="20" w:type="dxa"/>
              <w:bottom w:w="0" w:type="dxa"/>
              <w:right w:w="20" w:type="dxa"/>
            </w:tcMar>
            <w:vAlign w:val="bottom"/>
          </w:tcPr>
          <w:p w14:paraId="74DD67DC" w14:textId="77777777" w:rsidR="00584EC1" w:rsidRDefault="00584EC1">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74DD67DD" w14:textId="77777777" w:rsidR="00584EC1" w:rsidRDefault="00871F8D">
            <w:pPr>
              <w:jc w:val="center"/>
              <w:textAlignment w:val="bottom"/>
            </w:pPr>
            <w:r>
              <w:rPr>
                <w:rFonts w:ascii="Arial" w:eastAsia="宋体" w:hAnsi="Arial" w:cs="Arial"/>
                <w:b/>
                <w:bCs/>
                <w:color w:val="000000"/>
                <w:sz w:val="14"/>
                <w:szCs w:val="14"/>
              </w:rPr>
              <w:t>Daily Averages of Indices</w:t>
            </w:r>
          </w:p>
        </w:tc>
        <w:tc>
          <w:tcPr>
            <w:tcW w:w="0" w:type="auto"/>
            <w:gridSpan w:val="3"/>
            <w:shd w:val="clear" w:color="auto" w:fill="auto"/>
            <w:tcMar>
              <w:top w:w="0" w:type="dxa"/>
              <w:left w:w="20" w:type="dxa"/>
              <w:bottom w:w="0" w:type="dxa"/>
              <w:right w:w="20" w:type="dxa"/>
            </w:tcMar>
            <w:vAlign w:val="bottom"/>
          </w:tcPr>
          <w:p w14:paraId="74DD67DE"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67DF"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67E0" w14:textId="77777777" w:rsidR="00584EC1" w:rsidRDefault="00584EC1">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74DD67E1" w14:textId="77777777" w:rsidR="00584EC1" w:rsidRDefault="00871F8D">
            <w:pPr>
              <w:jc w:val="center"/>
              <w:textAlignment w:val="bottom"/>
            </w:pPr>
            <w:r>
              <w:rPr>
                <w:rFonts w:ascii="Arial" w:eastAsia="宋体" w:hAnsi="Arial" w:cs="Arial"/>
                <w:b/>
                <w:bCs/>
                <w:color w:val="000000"/>
                <w:sz w:val="14"/>
                <w:szCs w:val="14"/>
              </w:rPr>
              <w:t>Month-End Averages of Indices</w:t>
            </w:r>
          </w:p>
        </w:tc>
      </w:tr>
      <w:tr w:rsidR="00584EC1" w14:paraId="74DD67E9" w14:textId="77777777">
        <w:tc>
          <w:tcPr>
            <w:tcW w:w="0" w:type="auto"/>
            <w:gridSpan w:val="3"/>
            <w:shd w:val="clear" w:color="auto" w:fill="auto"/>
            <w:tcMar>
              <w:top w:w="0" w:type="dxa"/>
              <w:left w:w="20" w:type="dxa"/>
              <w:bottom w:w="0" w:type="dxa"/>
              <w:right w:w="20" w:type="dxa"/>
            </w:tcMar>
            <w:vAlign w:val="bottom"/>
          </w:tcPr>
          <w:p w14:paraId="74DD67E3" w14:textId="77777777" w:rsidR="00584EC1" w:rsidRDefault="00584EC1">
            <w:pPr>
              <w:rPr>
                <w:rFonts w:ascii="宋体"/>
              </w:rPr>
            </w:pP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74DD67E4" w14:textId="77777777" w:rsidR="00584EC1" w:rsidRDefault="00871F8D">
            <w:pPr>
              <w:jc w:val="center"/>
              <w:textAlignment w:val="bottom"/>
            </w:pPr>
            <w:r>
              <w:rPr>
                <w:rFonts w:ascii="Arial" w:eastAsia="宋体" w:hAnsi="Arial" w:cs="Arial"/>
                <w:b/>
                <w:bCs/>
                <w:color w:val="000000"/>
                <w:sz w:val="14"/>
                <w:szCs w:val="14"/>
              </w:rPr>
              <w:t>Nine Months Ended September 30,</w:t>
            </w:r>
          </w:p>
        </w:tc>
        <w:tc>
          <w:tcPr>
            <w:tcW w:w="0" w:type="auto"/>
            <w:gridSpan w:val="3"/>
            <w:shd w:val="clear" w:color="auto" w:fill="auto"/>
            <w:tcMar>
              <w:top w:w="0" w:type="dxa"/>
              <w:left w:w="20" w:type="dxa"/>
              <w:bottom w:w="0" w:type="dxa"/>
              <w:right w:w="20" w:type="dxa"/>
            </w:tcMar>
            <w:vAlign w:val="bottom"/>
          </w:tcPr>
          <w:p w14:paraId="74DD67E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67E6"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67E7" w14:textId="77777777" w:rsidR="00584EC1" w:rsidRDefault="00584EC1">
            <w:pPr>
              <w:rPr>
                <w:rFonts w:ascii="宋体"/>
              </w:rPr>
            </w:pP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74DD67E8" w14:textId="77777777" w:rsidR="00584EC1" w:rsidRDefault="00871F8D">
            <w:pPr>
              <w:jc w:val="center"/>
              <w:textAlignment w:val="bottom"/>
            </w:pPr>
            <w:r>
              <w:rPr>
                <w:rFonts w:ascii="Arial" w:eastAsia="宋体" w:hAnsi="Arial" w:cs="Arial"/>
                <w:b/>
                <w:bCs/>
                <w:color w:val="000000"/>
                <w:sz w:val="14"/>
                <w:szCs w:val="14"/>
              </w:rPr>
              <w:t xml:space="preserve">Nine Months Ended </w:t>
            </w:r>
            <w:r>
              <w:rPr>
                <w:rFonts w:ascii="Arial" w:eastAsia="宋体" w:hAnsi="Arial" w:cs="Arial"/>
                <w:b/>
                <w:bCs/>
                <w:color w:val="000000"/>
                <w:sz w:val="14"/>
                <w:szCs w:val="14"/>
              </w:rPr>
              <w:t>September 30,</w:t>
            </w:r>
          </w:p>
        </w:tc>
      </w:tr>
      <w:tr w:rsidR="00584EC1" w14:paraId="74DD67FC" w14:textId="77777777">
        <w:tc>
          <w:tcPr>
            <w:tcW w:w="0" w:type="auto"/>
            <w:gridSpan w:val="3"/>
            <w:shd w:val="clear" w:color="auto" w:fill="auto"/>
            <w:tcMar>
              <w:top w:w="0" w:type="dxa"/>
              <w:left w:w="20" w:type="dxa"/>
              <w:bottom w:w="0" w:type="dxa"/>
              <w:right w:w="20" w:type="dxa"/>
            </w:tcMar>
            <w:vAlign w:val="bottom"/>
          </w:tcPr>
          <w:p w14:paraId="74DD67EA"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67EB"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67EC"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67ED" w14:textId="77777777" w:rsidR="00584EC1" w:rsidRDefault="00871F8D">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67EE"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67EF" w14:textId="77777777" w:rsidR="00584EC1" w:rsidRDefault="00871F8D">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67F0"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67F1" w14:textId="77777777" w:rsidR="00584EC1" w:rsidRDefault="00871F8D">
            <w:pPr>
              <w:jc w:val="center"/>
              <w:textAlignment w:val="bottom"/>
            </w:pPr>
            <w:r>
              <w:rPr>
                <w:rFonts w:ascii="Arial" w:eastAsia="宋体" w:hAnsi="Arial" w:cs="Arial"/>
                <w:b/>
                <w:bCs/>
                <w:color w:val="000000"/>
                <w:sz w:val="14"/>
                <w:szCs w:val="14"/>
              </w:rPr>
              <w:t>% Change</w:t>
            </w:r>
          </w:p>
        </w:tc>
        <w:tc>
          <w:tcPr>
            <w:tcW w:w="0" w:type="auto"/>
            <w:gridSpan w:val="3"/>
            <w:shd w:val="clear" w:color="auto" w:fill="auto"/>
            <w:tcMar>
              <w:top w:w="0" w:type="dxa"/>
              <w:left w:w="20" w:type="dxa"/>
              <w:bottom w:w="0" w:type="dxa"/>
              <w:right w:w="20" w:type="dxa"/>
            </w:tcMar>
            <w:vAlign w:val="bottom"/>
          </w:tcPr>
          <w:p w14:paraId="74DD67F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67F3"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67F4"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67F5"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67F6"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67F7" w14:textId="77777777" w:rsidR="00584EC1" w:rsidRDefault="00871F8D">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67F8"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67F9" w14:textId="77777777" w:rsidR="00584EC1" w:rsidRDefault="00871F8D">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67FA"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67FB" w14:textId="77777777" w:rsidR="00584EC1" w:rsidRDefault="00871F8D">
            <w:pPr>
              <w:jc w:val="center"/>
              <w:textAlignment w:val="bottom"/>
            </w:pPr>
            <w:r>
              <w:rPr>
                <w:rFonts w:ascii="Arial" w:eastAsia="宋体" w:hAnsi="Arial" w:cs="Arial"/>
                <w:b/>
                <w:bCs/>
                <w:color w:val="000000"/>
                <w:sz w:val="14"/>
                <w:szCs w:val="14"/>
              </w:rPr>
              <w:t>% Change</w:t>
            </w:r>
          </w:p>
        </w:tc>
      </w:tr>
      <w:tr w:rsidR="00584EC1" w14:paraId="74DD6814" w14:textId="77777777">
        <w:tc>
          <w:tcPr>
            <w:tcW w:w="0" w:type="auto"/>
            <w:gridSpan w:val="6"/>
            <w:shd w:val="clear" w:color="auto" w:fill="CCEEFF"/>
            <w:tcMar>
              <w:top w:w="40" w:type="dxa"/>
              <w:left w:w="20" w:type="dxa"/>
              <w:bottom w:w="40" w:type="dxa"/>
              <w:right w:w="20" w:type="dxa"/>
            </w:tcMar>
            <w:vAlign w:val="center"/>
          </w:tcPr>
          <w:p w14:paraId="74DD67FD" w14:textId="77777777" w:rsidR="00584EC1" w:rsidRDefault="00871F8D">
            <w:pPr>
              <w:textAlignment w:val="center"/>
            </w:pPr>
            <w:r>
              <w:rPr>
                <w:rFonts w:ascii="Arial" w:eastAsia="宋体" w:hAnsi="Arial" w:cs="Arial"/>
                <w:color w:val="000000"/>
                <w:sz w:val="14"/>
                <w:szCs w:val="14"/>
              </w:rPr>
              <w:t>S&amp;P 500</w:t>
            </w:r>
            <w:r>
              <w:rPr>
                <w:rFonts w:ascii="Arial" w:eastAsia="宋体" w:hAnsi="Arial" w:cs="Arial"/>
                <w:color w:val="000000"/>
                <w:sz w:val="9"/>
                <w:szCs w:val="9"/>
              </w:rPr>
              <w:t>®</w:t>
            </w:r>
          </w:p>
        </w:tc>
        <w:tc>
          <w:tcPr>
            <w:tcW w:w="0" w:type="auto"/>
            <w:gridSpan w:val="3"/>
            <w:shd w:val="clear" w:color="auto" w:fill="CCEEFF"/>
            <w:tcMar>
              <w:top w:w="0" w:type="dxa"/>
              <w:left w:w="20" w:type="dxa"/>
              <w:bottom w:w="0" w:type="dxa"/>
              <w:right w:w="20" w:type="dxa"/>
            </w:tcMar>
            <w:vAlign w:val="bottom"/>
          </w:tcPr>
          <w:p w14:paraId="74DD67FE"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4DD67FF" w14:textId="77777777" w:rsidR="00584EC1" w:rsidRDefault="00871F8D">
            <w:pPr>
              <w:jc w:val="right"/>
              <w:textAlignment w:val="center"/>
            </w:pPr>
            <w:r>
              <w:rPr>
                <w:rFonts w:ascii="Arial" w:eastAsia="宋体" w:hAnsi="Arial" w:cs="Arial"/>
                <w:b/>
                <w:bCs/>
                <w:color w:val="000000"/>
                <w:sz w:val="14"/>
                <w:szCs w:val="14"/>
              </w:rPr>
              <w:t>4,162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74DD680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801"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4DD6802" w14:textId="77777777" w:rsidR="00584EC1" w:rsidRDefault="00871F8D">
            <w:pPr>
              <w:jc w:val="right"/>
              <w:textAlignment w:val="center"/>
            </w:pPr>
            <w:r>
              <w:rPr>
                <w:rFonts w:ascii="Arial" w:eastAsia="宋体" w:hAnsi="Arial" w:cs="Arial"/>
                <w:color w:val="000000"/>
                <w:sz w:val="14"/>
                <w:szCs w:val="14"/>
              </w:rPr>
              <w:t>3,104 </w:t>
            </w:r>
          </w:p>
        </w:tc>
        <w:tc>
          <w:tcPr>
            <w:tcW w:w="0" w:type="auto"/>
            <w:tcBorders>
              <w:top w:val="single" w:sz="8" w:space="0" w:color="000000"/>
            </w:tcBorders>
            <w:shd w:val="clear" w:color="auto" w:fill="CCEEFF"/>
            <w:tcMar>
              <w:top w:w="40" w:type="dxa"/>
              <w:left w:w="0" w:type="dxa"/>
              <w:bottom w:w="40" w:type="dxa"/>
              <w:right w:w="20" w:type="dxa"/>
            </w:tcMar>
            <w:vAlign w:val="center"/>
          </w:tcPr>
          <w:p w14:paraId="74DD680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804"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4DD6805" w14:textId="77777777" w:rsidR="00584EC1" w:rsidRDefault="00871F8D">
            <w:pPr>
              <w:jc w:val="right"/>
              <w:textAlignment w:val="center"/>
            </w:pPr>
            <w:r>
              <w:rPr>
                <w:rFonts w:ascii="Arial" w:eastAsia="宋体" w:hAnsi="Arial" w:cs="Arial"/>
                <w:color w:val="000000"/>
                <w:sz w:val="14"/>
                <w:szCs w:val="14"/>
              </w:rPr>
              <w:t>34 </w:t>
            </w:r>
          </w:p>
        </w:tc>
        <w:tc>
          <w:tcPr>
            <w:tcW w:w="0" w:type="auto"/>
            <w:tcBorders>
              <w:top w:val="single" w:sz="8" w:space="0" w:color="000000"/>
            </w:tcBorders>
            <w:shd w:val="clear" w:color="auto" w:fill="CCEEFF"/>
            <w:tcMar>
              <w:top w:w="40" w:type="dxa"/>
              <w:left w:w="0" w:type="dxa"/>
              <w:bottom w:w="40" w:type="dxa"/>
              <w:right w:w="20" w:type="dxa"/>
            </w:tcMar>
            <w:vAlign w:val="center"/>
          </w:tcPr>
          <w:p w14:paraId="74DD6806" w14:textId="77777777" w:rsidR="00584EC1" w:rsidRDefault="00871F8D">
            <w:pPr>
              <w:jc w:val="right"/>
              <w:textAlignment w:val="center"/>
            </w:pPr>
            <w:r>
              <w:rPr>
                <w:rFonts w:ascii="Arial" w:eastAsia="宋体" w:hAnsi="Arial" w:cs="Arial"/>
                <w:color w:val="000000"/>
                <w:sz w:val="14"/>
                <w:szCs w:val="14"/>
              </w:rPr>
              <w:t>%</w:t>
            </w:r>
          </w:p>
        </w:tc>
        <w:tc>
          <w:tcPr>
            <w:tcW w:w="0" w:type="auto"/>
            <w:gridSpan w:val="3"/>
            <w:shd w:val="clear" w:color="auto" w:fill="CCEEFF"/>
            <w:tcMar>
              <w:top w:w="0" w:type="dxa"/>
              <w:left w:w="20" w:type="dxa"/>
              <w:bottom w:w="0" w:type="dxa"/>
              <w:right w:w="20" w:type="dxa"/>
            </w:tcMar>
            <w:vAlign w:val="bottom"/>
          </w:tcPr>
          <w:p w14:paraId="74DD6807"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6808"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6809"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680A"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680B"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4DD680C" w14:textId="77777777" w:rsidR="00584EC1" w:rsidRDefault="00871F8D">
            <w:pPr>
              <w:jc w:val="right"/>
              <w:textAlignment w:val="center"/>
            </w:pPr>
            <w:r>
              <w:rPr>
                <w:rFonts w:ascii="Arial" w:eastAsia="宋体" w:hAnsi="Arial" w:cs="Arial"/>
                <w:b/>
                <w:bCs/>
                <w:color w:val="000000"/>
                <w:sz w:val="14"/>
                <w:szCs w:val="14"/>
              </w:rPr>
              <w:t>4,156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74DD680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80E"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4DD680F" w14:textId="77777777" w:rsidR="00584EC1" w:rsidRDefault="00871F8D">
            <w:pPr>
              <w:jc w:val="right"/>
              <w:textAlignment w:val="center"/>
            </w:pPr>
            <w:r>
              <w:rPr>
                <w:rFonts w:ascii="Arial" w:eastAsia="宋体" w:hAnsi="Arial" w:cs="Arial"/>
                <w:color w:val="000000"/>
                <w:sz w:val="14"/>
                <w:szCs w:val="14"/>
              </w:rPr>
              <w:t>3,106 </w:t>
            </w:r>
          </w:p>
        </w:tc>
        <w:tc>
          <w:tcPr>
            <w:tcW w:w="0" w:type="auto"/>
            <w:tcBorders>
              <w:top w:val="single" w:sz="8" w:space="0" w:color="000000"/>
            </w:tcBorders>
            <w:shd w:val="clear" w:color="auto" w:fill="CCEEFF"/>
            <w:tcMar>
              <w:top w:w="40" w:type="dxa"/>
              <w:left w:w="0" w:type="dxa"/>
              <w:bottom w:w="40" w:type="dxa"/>
              <w:right w:w="20" w:type="dxa"/>
            </w:tcMar>
            <w:vAlign w:val="center"/>
          </w:tcPr>
          <w:p w14:paraId="74DD681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811"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4DD6812" w14:textId="77777777" w:rsidR="00584EC1" w:rsidRDefault="00871F8D">
            <w:pPr>
              <w:jc w:val="right"/>
              <w:textAlignment w:val="center"/>
            </w:pPr>
            <w:r>
              <w:rPr>
                <w:rFonts w:ascii="Arial" w:eastAsia="宋体" w:hAnsi="Arial" w:cs="Arial"/>
                <w:color w:val="000000"/>
                <w:sz w:val="14"/>
                <w:szCs w:val="14"/>
              </w:rPr>
              <w:t>34 </w:t>
            </w:r>
          </w:p>
        </w:tc>
        <w:tc>
          <w:tcPr>
            <w:tcW w:w="0" w:type="auto"/>
            <w:tcBorders>
              <w:top w:val="single" w:sz="8" w:space="0" w:color="000000"/>
            </w:tcBorders>
            <w:shd w:val="clear" w:color="auto" w:fill="CCEEFF"/>
            <w:tcMar>
              <w:top w:w="40" w:type="dxa"/>
              <w:left w:w="0" w:type="dxa"/>
              <w:bottom w:w="40" w:type="dxa"/>
              <w:right w:w="20" w:type="dxa"/>
            </w:tcMar>
            <w:vAlign w:val="center"/>
          </w:tcPr>
          <w:p w14:paraId="74DD6813" w14:textId="77777777" w:rsidR="00584EC1" w:rsidRDefault="00871F8D">
            <w:pPr>
              <w:jc w:val="right"/>
              <w:textAlignment w:val="center"/>
            </w:pPr>
            <w:r>
              <w:rPr>
                <w:rFonts w:ascii="Arial" w:eastAsia="宋体" w:hAnsi="Arial" w:cs="Arial"/>
                <w:color w:val="000000"/>
                <w:sz w:val="14"/>
                <w:szCs w:val="14"/>
              </w:rPr>
              <w:t>%</w:t>
            </w:r>
          </w:p>
        </w:tc>
      </w:tr>
      <w:tr w:rsidR="00584EC1" w14:paraId="74DD682C" w14:textId="77777777">
        <w:tc>
          <w:tcPr>
            <w:tcW w:w="0" w:type="auto"/>
            <w:gridSpan w:val="6"/>
            <w:shd w:val="clear" w:color="auto" w:fill="auto"/>
            <w:tcMar>
              <w:top w:w="40" w:type="dxa"/>
              <w:left w:w="20" w:type="dxa"/>
              <w:bottom w:w="40" w:type="dxa"/>
              <w:right w:w="20" w:type="dxa"/>
            </w:tcMar>
            <w:vAlign w:val="center"/>
          </w:tcPr>
          <w:p w14:paraId="74DD6815" w14:textId="77777777" w:rsidR="00584EC1" w:rsidRDefault="00871F8D">
            <w:pPr>
              <w:textAlignment w:val="center"/>
            </w:pPr>
            <w:r>
              <w:rPr>
                <w:rFonts w:ascii="Arial" w:eastAsia="宋体" w:hAnsi="Arial" w:cs="Arial"/>
                <w:color w:val="000000"/>
                <w:sz w:val="14"/>
                <w:szCs w:val="14"/>
              </w:rPr>
              <w:t>MSCI EAFE</w:t>
            </w:r>
            <w:r>
              <w:rPr>
                <w:rFonts w:ascii="Arial" w:eastAsia="宋体" w:hAnsi="Arial" w:cs="Arial"/>
                <w:color w:val="000000"/>
                <w:sz w:val="9"/>
                <w:szCs w:val="9"/>
              </w:rPr>
              <w:t>®</w:t>
            </w:r>
          </w:p>
        </w:tc>
        <w:tc>
          <w:tcPr>
            <w:tcW w:w="0" w:type="auto"/>
            <w:gridSpan w:val="3"/>
            <w:shd w:val="clear" w:color="auto" w:fill="auto"/>
            <w:tcMar>
              <w:top w:w="0" w:type="dxa"/>
              <w:left w:w="20" w:type="dxa"/>
              <w:bottom w:w="0" w:type="dxa"/>
              <w:right w:w="20" w:type="dxa"/>
            </w:tcMar>
            <w:vAlign w:val="bottom"/>
          </w:tcPr>
          <w:p w14:paraId="74DD681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center"/>
          </w:tcPr>
          <w:p w14:paraId="74DD6817" w14:textId="77777777" w:rsidR="00584EC1" w:rsidRDefault="00871F8D">
            <w:pPr>
              <w:jc w:val="right"/>
              <w:textAlignment w:val="center"/>
            </w:pPr>
            <w:r>
              <w:rPr>
                <w:rFonts w:ascii="Arial" w:eastAsia="宋体" w:hAnsi="Arial" w:cs="Arial"/>
                <w:b/>
                <w:bCs/>
                <w:color w:val="000000"/>
                <w:sz w:val="14"/>
                <w:szCs w:val="14"/>
              </w:rPr>
              <w:t>2,283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center"/>
          </w:tcPr>
          <w:p w14:paraId="74DD6818" w14:textId="77777777" w:rsidR="00584EC1" w:rsidRDefault="00584EC1">
            <w:pPr>
              <w:jc w:val="right"/>
              <w:rPr>
                <w:rFonts w:ascii="宋体"/>
              </w:rPr>
            </w:pPr>
          </w:p>
        </w:tc>
        <w:tc>
          <w:tcPr>
            <w:tcW w:w="0" w:type="auto"/>
            <w:gridSpan w:val="3"/>
            <w:shd w:val="clear" w:color="auto" w:fill="auto"/>
            <w:tcMar>
              <w:top w:w="0" w:type="dxa"/>
              <w:left w:w="20" w:type="dxa"/>
              <w:bottom w:w="0" w:type="dxa"/>
              <w:right w:w="20" w:type="dxa"/>
            </w:tcMar>
            <w:vAlign w:val="bottom"/>
          </w:tcPr>
          <w:p w14:paraId="74DD6819" w14:textId="77777777" w:rsidR="00584EC1" w:rsidRDefault="00584EC1">
            <w:pPr>
              <w:rPr>
                <w:rFonts w:ascii="宋体"/>
              </w:rPr>
            </w:pPr>
          </w:p>
        </w:tc>
        <w:tc>
          <w:tcPr>
            <w:tcW w:w="0" w:type="auto"/>
            <w:gridSpan w:val="2"/>
            <w:shd w:val="clear" w:color="auto" w:fill="auto"/>
            <w:tcMar>
              <w:top w:w="40" w:type="dxa"/>
              <w:left w:w="20" w:type="dxa"/>
              <w:bottom w:w="40" w:type="dxa"/>
              <w:right w:w="0" w:type="dxa"/>
            </w:tcMar>
            <w:vAlign w:val="center"/>
          </w:tcPr>
          <w:p w14:paraId="74DD681A" w14:textId="77777777" w:rsidR="00584EC1" w:rsidRDefault="00871F8D">
            <w:pPr>
              <w:jc w:val="right"/>
              <w:textAlignment w:val="center"/>
            </w:pPr>
            <w:r>
              <w:rPr>
                <w:rFonts w:ascii="Arial" w:eastAsia="宋体" w:hAnsi="Arial" w:cs="Arial"/>
                <w:color w:val="000000"/>
                <w:sz w:val="14"/>
                <w:szCs w:val="14"/>
              </w:rPr>
              <w:t>1,807 </w:t>
            </w:r>
          </w:p>
        </w:tc>
        <w:tc>
          <w:tcPr>
            <w:tcW w:w="0" w:type="auto"/>
            <w:shd w:val="clear" w:color="auto" w:fill="auto"/>
            <w:tcMar>
              <w:top w:w="40" w:type="dxa"/>
              <w:left w:w="0" w:type="dxa"/>
              <w:bottom w:w="40" w:type="dxa"/>
              <w:right w:w="20" w:type="dxa"/>
            </w:tcMar>
            <w:vAlign w:val="center"/>
          </w:tcPr>
          <w:p w14:paraId="74DD681B" w14:textId="77777777" w:rsidR="00584EC1" w:rsidRDefault="00584EC1">
            <w:pPr>
              <w:jc w:val="right"/>
              <w:rPr>
                <w:rFonts w:ascii="宋体"/>
              </w:rPr>
            </w:pPr>
          </w:p>
        </w:tc>
        <w:tc>
          <w:tcPr>
            <w:tcW w:w="0" w:type="auto"/>
            <w:gridSpan w:val="3"/>
            <w:shd w:val="clear" w:color="auto" w:fill="auto"/>
            <w:tcMar>
              <w:top w:w="0" w:type="dxa"/>
              <w:left w:w="20" w:type="dxa"/>
              <w:bottom w:w="0" w:type="dxa"/>
              <w:right w:w="20" w:type="dxa"/>
            </w:tcMar>
            <w:vAlign w:val="bottom"/>
          </w:tcPr>
          <w:p w14:paraId="74DD681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center"/>
          </w:tcPr>
          <w:p w14:paraId="74DD681D" w14:textId="77777777" w:rsidR="00584EC1" w:rsidRDefault="00871F8D">
            <w:pPr>
              <w:jc w:val="right"/>
              <w:textAlignment w:val="center"/>
            </w:pPr>
            <w:r>
              <w:rPr>
                <w:rFonts w:ascii="Arial" w:eastAsia="宋体" w:hAnsi="Arial" w:cs="Arial"/>
                <w:color w:val="000000"/>
                <w:sz w:val="14"/>
                <w:szCs w:val="14"/>
              </w:rPr>
              <w:t>26 </w:t>
            </w:r>
          </w:p>
        </w:tc>
        <w:tc>
          <w:tcPr>
            <w:tcW w:w="0" w:type="auto"/>
            <w:shd w:val="clear" w:color="auto" w:fill="FFFFFF"/>
            <w:tcMar>
              <w:top w:w="40" w:type="dxa"/>
              <w:left w:w="0" w:type="dxa"/>
              <w:bottom w:w="40" w:type="dxa"/>
              <w:right w:w="20" w:type="dxa"/>
            </w:tcMar>
            <w:vAlign w:val="center"/>
          </w:tcPr>
          <w:p w14:paraId="74DD681E" w14:textId="77777777" w:rsidR="00584EC1" w:rsidRDefault="00584EC1">
            <w:pPr>
              <w:jc w:val="right"/>
              <w:rPr>
                <w:rFonts w:ascii="宋体"/>
              </w:rPr>
            </w:pPr>
          </w:p>
        </w:tc>
        <w:tc>
          <w:tcPr>
            <w:tcW w:w="0" w:type="auto"/>
            <w:gridSpan w:val="3"/>
            <w:shd w:val="clear" w:color="auto" w:fill="auto"/>
            <w:tcMar>
              <w:top w:w="0" w:type="dxa"/>
              <w:left w:w="20" w:type="dxa"/>
              <w:bottom w:w="0" w:type="dxa"/>
              <w:right w:w="20" w:type="dxa"/>
            </w:tcMar>
            <w:vAlign w:val="bottom"/>
          </w:tcPr>
          <w:p w14:paraId="74DD681F"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6820"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682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682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682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center"/>
          </w:tcPr>
          <w:p w14:paraId="74DD6824" w14:textId="77777777" w:rsidR="00584EC1" w:rsidRDefault="00871F8D">
            <w:pPr>
              <w:jc w:val="right"/>
              <w:textAlignment w:val="center"/>
            </w:pPr>
            <w:r>
              <w:rPr>
                <w:rFonts w:ascii="Arial" w:eastAsia="宋体" w:hAnsi="Arial" w:cs="Arial"/>
                <w:b/>
                <w:bCs/>
                <w:color w:val="000000"/>
                <w:sz w:val="14"/>
                <w:szCs w:val="14"/>
              </w:rPr>
              <w:t>2,263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center"/>
          </w:tcPr>
          <w:p w14:paraId="74DD6825" w14:textId="77777777" w:rsidR="00584EC1" w:rsidRDefault="00584EC1">
            <w:pPr>
              <w:jc w:val="right"/>
              <w:rPr>
                <w:rFonts w:ascii="宋体"/>
              </w:rPr>
            </w:pPr>
          </w:p>
        </w:tc>
        <w:tc>
          <w:tcPr>
            <w:tcW w:w="0" w:type="auto"/>
            <w:gridSpan w:val="3"/>
            <w:shd w:val="clear" w:color="auto" w:fill="auto"/>
            <w:tcMar>
              <w:top w:w="0" w:type="dxa"/>
              <w:left w:w="20" w:type="dxa"/>
              <w:bottom w:w="0" w:type="dxa"/>
              <w:right w:w="20" w:type="dxa"/>
            </w:tcMar>
            <w:vAlign w:val="bottom"/>
          </w:tcPr>
          <w:p w14:paraId="74DD6826" w14:textId="77777777" w:rsidR="00584EC1" w:rsidRDefault="00584EC1">
            <w:pPr>
              <w:rPr>
                <w:rFonts w:ascii="宋体"/>
              </w:rPr>
            </w:pPr>
          </w:p>
        </w:tc>
        <w:tc>
          <w:tcPr>
            <w:tcW w:w="0" w:type="auto"/>
            <w:gridSpan w:val="2"/>
            <w:shd w:val="clear" w:color="auto" w:fill="auto"/>
            <w:tcMar>
              <w:top w:w="40" w:type="dxa"/>
              <w:left w:w="20" w:type="dxa"/>
              <w:bottom w:w="40" w:type="dxa"/>
              <w:right w:w="0" w:type="dxa"/>
            </w:tcMar>
            <w:vAlign w:val="center"/>
          </w:tcPr>
          <w:p w14:paraId="74DD6827" w14:textId="77777777" w:rsidR="00584EC1" w:rsidRDefault="00871F8D">
            <w:pPr>
              <w:jc w:val="right"/>
              <w:textAlignment w:val="center"/>
            </w:pPr>
            <w:r>
              <w:rPr>
                <w:rFonts w:ascii="Arial" w:eastAsia="宋体" w:hAnsi="Arial" w:cs="Arial"/>
                <w:color w:val="000000"/>
                <w:sz w:val="14"/>
                <w:szCs w:val="14"/>
              </w:rPr>
              <w:t>1,790 </w:t>
            </w:r>
          </w:p>
        </w:tc>
        <w:tc>
          <w:tcPr>
            <w:tcW w:w="0" w:type="auto"/>
            <w:shd w:val="clear" w:color="auto" w:fill="auto"/>
            <w:tcMar>
              <w:top w:w="40" w:type="dxa"/>
              <w:left w:w="0" w:type="dxa"/>
              <w:bottom w:w="40" w:type="dxa"/>
              <w:right w:w="20" w:type="dxa"/>
            </w:tcMar>
            <w:vAlign w:val="center"/>
          </w:tcPr>
          <w:p w14:paraId="74DD6828" w14:textId="77777777" w:rsidR="00584EC1" w:rsidRDefault="00584EC1">
            <w:pPr>
              <w:jc w:val="right"/>
              <w:rPr>
                <w:rFonts w:ascii="宋体"/>
              </w:rPr>
            </w:pPr>
          </w:p>
        </w:tc>
        <w:tc>
          <w:tcPr>
            <w:tcW w:w="0" w:type="auto"/>
            <w:gridSpan w:val="3"/>
            <w:shd w:val="clear" w:color="auto" w:fill="auto"/>
            <w:tcMar>
              <w:top w:w="0" w:type="dxa"/>
              <w:left w:w="20" w:type="dxa"/>
              <w:bottom w:w="0" w:type="dxa"/>
              <w:right w:w="20" w:type="dxa"/>
            </w:tcMar>
            <w:vAlign w:val="bottom"/>
          </w:tcPr>
          <w:p w14:paraId="74DD682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center"/>
          </w:tcPr>
          <w:p w14:paraId="74DD682A" w14:textId="77777777" w:rsidR="00584EC1" w:rsidRDefault="00871F8D">
            <w:pPr>
              <w:jc w:val="right"/>
              <w:textAlignment w:val="center"/>
            </w:pPr>
            <w:r>
              <w:rPr>
                <w:rFonts w:ascii="Arial" w:eastAsia="宋体" w:hAnsi="Arial" w:cs="Arial"/>
                <w:color w:val="000000"/>
                <w:sz w:val="14"/>
                <w:szCs w:val="14"/>
              </w:rPr>
              <w:t>26 </w:t>
            </w:r>
          </w:p>
        </w:tc>
        <w:tc>
          <w:tcPr>
            <w:tcW w:w="0" w:type="auto"/>
            <w:shd w:val="clear" w:color="auto" w:fill="FFFFFF"/>
            <w:tcMar>
              <w:top w:w="40" w:type="dxa"/>
              <w:left w:w="0" w:type="dxa"/>
              <w:bottom w:w="40" w:type="dxa"/>
              <w:right w:w="20" w:type="dxa"/>
            </w:tcMar>
            <w:vAlign w:val="center"/>
          </w:tcPr>
          <w:p w14:paraId="74DD682B" w14:textId="77777777" w:rsidR="00584EC1" w:rsidRDefault="00584EC1">
            <w:pPr>
              <w:jc w:val="right"/>
              <w:rPr>
                <w:rFonts w:ascii="宋体"/>
              </w:rPr>
            </w:pPr>
          </w:p>
        </w:tc>
      </w:tr>
      <w:tr w:rsidR="00584EC1" w14:paraId="74DD6844" w14:textId="77777777">
        <w:tc>
          <w:tcPr>
            <w:tcW w:w="0" w:type="auto"/>
            <w:gridSpan w:val="6"/>
            <w:shd w:val="clear" w:color="auto" w:fill="CCEEFF"/>
            <w:tcMar>
              <w:top w:w="40" w:type="dxa"/>
              <w:left w:w="20" w:type="dxa"/>
              <w:bottom w:w="40" w:type="dxa"/>
              <w:right w:w="20" w:type="dxa"/>
            </w:tcMar>
            <w:vAlign w:val="center"/>
          </w:tcPr>
          <w:p w14:paraId="74DD682D" w14:textId="77777777" w:rsidR="00584EC1" w:rsidRDefault="00871F8D">
            <w:pPr>
              <w:textAlignment w:val="center"/>
            </w:pPr>
            <w:r>
              <w:rPr>
                <w:rFonts w:ascii="Arial" w:eastAsia="宋体" w:hAnsi="Arial" w:cs="Arial"/>
                <w:color w:val="000000"/>
                <w:sz w:val="14"/>
                <w:szCs w:val="14"/>
              </w:rPr>
              <w:t>MSCI</w:t>
            </w:r>
            <w:r>
              <w:rPr>
                <w:rFonts w:ascii="Arial" w:eastAsia="宋体" w:hAnsi="Arial" w:cs="Arial"/>
                <w:color w:val="000000"/>
                <w:sz w:val="9"/>
                <w:szCs w:val="9"/>
              </w:rPr>
              <w:t>®</w:t>
            </w:r>
            <w:r>
              <w:rPr>
                <w:rFonts w:ascii="Arial" w:eastAsia="宋体" w:hAnsi="Arial" w:cs="Arial"/>
                <w:color w:val="000000"/>
                <w:sz w:val="14"/>
                <w:szCs w:val="14"/>
              </w:rPr>
              <w:t xml:space="preserve"> Emerging Markets</w:t>
            </w:r>
          </w:p>
        </w:tc>
        <w:tc>
          <w:tcPr>
            <w:tcW w:w="0" w:type="auto"/>
            <w:gridSpan w:val="3"/>
            <w:shd w:val="clear" w:color="auto" w:fill="CCEEFF"/>
            <w:tcMar>
              <w:top w:w="0" w:type="dxa"/>
              <w:left w:w="20" w:type="dxa"/>
              <w:bottom w:w="0" w:type="dxa"/>
              <w:right w:w="20" w:type="dxa"/>
            </w:tcMar>
            <w:vAlign w:val="bottom"/>
          </w:tcPr>
          <w:p w14:paraId="74DD682E"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center"/>
          </w:tcPr>
          <w:p w14:paraId="74DD682F" w14:textId="77777777" w:rsidR="00584EC1" w:rsidRDefault="00871F8D">
            <w:pPr>
              <w:jc w:val="right"/>
              <w:textAlignment w:val="center"/>
            </w:pPr>
            <w:r>
              <w:rPr>
                <w:rFonts w:ascii="Arial" w:eastAsia="宋体" w:hAnsi="Arial" w:cs="Arial"/>
                <w:b/>
                <w:bCs/>
                <w:color w:val="000000"/>
                <w:sz w:val="14"/>
                <w:szCs w:val="14"/>
              </w:rPr>
              <w:t>1,33</w:t>
            </w:r>
            <w:r>
              <w:rPr>
                <w:rFonts w:ascii="Arial" w:eastAsia="宋体" w:hAnsi="Arial" w:cs="Arial"/>
                <w:b/>
                <w:bCs/>
                <w:color w:val="000000"/>
                <w:sz w:val="14"/>
                <w:szCs w:val="14"/>
              </w:rPr>
              <w:t>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center"/>
          </w:tcPr>
          <w:p w14:paraId="74DD683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83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center"/>
          </w:tcPr>
          <w:p w14:paraId="74DD6832" w14:textId="77777777" w:rsidR="00584EC1" w:rsidRDefault="00871F8D">
            <w:pPr>
              <w:jc w:val="right"/>
              <w:textAlignment w:val="center"/>
            </w:pPr>
            <w:r>
              <w:rPr>
                <w:rFonts w:ascii="Arial" w:eastAsia="宋体" w:hAnsi="Arial" w:cs="Arial"/>
                <w:color w:val="000000"/>
                <w:sz w:val="14"/>
                <w:szCs w:val="14"/>
              </w:rPr>
              <w:t>1,015 </w:t>
            </w:r>
          </w:p>
        </w:tc>
        <w:tc>
          <w:tcPr>
            <w:tcW w:w="0" w:type="auto"/>
            <w:shd w:val="clear" w:color="auto" w:fill="CCEEFF"/>
            <w:tcMar>
              <w:top w:w="40" w:type="dxa"/>
              <w:left w:w="0" w:type="dxa"/>
              <w:bottom w:w="40" w:type="dxa"/>
              <w:right w:w="20" w:type="dxa"/>
            </w:tcMar>
            <w:vAlign w:val="center"/>
          </w:tcPr>
          <w:p w14:paraId="74DD683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834"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center"/>
          </w:tcPr>
          <w:p w14:paraId="74DD6835" w14:textId="77777777" w:rsidR="00584EC1" w:rsidRDefault="00871F8D">
            <w:pPr>
              <w:jc w:val="right"/>
              <w:textAlignment w:val="center"/>
            </w:pPr>
            <w:r>
              <w:rPr>
                <w:rFonts w:ascii="Arial" w:eastAsia="宋体" w:hAnsi="Arial" w:cs="Arial"/>
                <w:color w:val="000000"/>
                <w:sz w:val="14"/>
                <w:szCs w:val="14"/>
              </w:rPr>
              <w:t>32 </w:t>
            </w:r>
          </w:p>
        </w:tc>
        <w:tc>
          <w:tcPr>
            <w:tcW w:w="0" w:type="auto"/>
            <w:shd w:val="clear" w:color="auto" w:fill="CCEEFF"/>
            <w:tcMar>
              <w:top w:w="40" w:type="dxa"/>
              <w:left w:w="0" w:type="dxa"/>
              <w:bottom w:w="40" w:type="dxa"/>
              <w:right w:w="20" w:type="dxa"/>
            </w:tcMar>
            <w:vAlign w:val="center"/>
          </w:tcPr>
          <w:p w14:paraId="74DD683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837"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6838"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6839"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683A"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683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center"/>
          </w:tcPr>
          <w:p w14:paraId="74DD683C" w14:textId="77777777" w:rsidR="00584EC1" w:rsidRDefault="00871F8D">
            <w:pPr>
              <w:jc w:val="right"/>
              <w:textAlignment w:val="center"/>
            </w:pPr>
            <w:r>
              <w:rPr>
                <w:rFonts w:ascii="Arial" w:eastAsia="宋体" w:hAnsi="Arial" w:cs="Arial"/>
                <w:b/>
                <w:bCs/>
                <w:color w:val="000000"/>
                <w:sz w:val="14"/>
                <w:szCs w:val="14"/>
              </w:rPr>
              <w:t>1,325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center"/>
          </w:tcPr>
          <w:p w14:paraId="74DD683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83E"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center"/>
          </w:tcPr>
          <w:p w14:paraId="74DD683F" w14:textId="77777777" w:rsidR="00584EC1" w:rsidRDefault="00871F8D">
            <w:pPr>
              <w:jc w:val="right"/>
              <w:textAlignment w:val="center"/>
            </w:pPr>
            <w:r>
              <w:rPr>
                <w:rFonts w:ascii="Arial" w:eastAsia="宋体" w:hAnsi="Arial" w:cs="Arial"/>
                <w:color w:val="000000"/>
                <w:sz w:val="14"/>
                <w:szCs w:val="14"/>
              </w:rPr>
              <w:t>1,003 </w:t>
            </w:r>
          </w:p>
        </w:tc>
        <w:tc>
          <w:tcPr>
            <w:tcW w:w="0" w:type="auto"/>
            <w:shd w:val="clear" w:color="auto" w:fill="CCEEFF"/>
            <w:tcMar>
              <w:top w:w="40" w:type="dxa"/>
              <w:left w:w="0" w:type="dxa"/>
              <w:bottom w:w="40" w:type="dxa"/>
              <w:right w:w="20" w:type="dxa"/>
            </w:tcMar>
            <w:vAlign w:val="center"/>
          </w:tcPr>
          <w:p w14:paraId="74DD684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84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center"/>
          </w:tcPr>
          <w:p w14:paraId="74DD6842" w14:textId="77777777" w:rsidR="00584EC1" w:rsidRDefault="00871F8D">
            <w:pPr>
              <w:jc w:val="right"/>
              <w:textAlignment w:val="center"/>
            </w:pPr>
            <w:r>
              <w:rPr>
                <w:rFonts w:ascii="Arial" w:eastAsia="宋体" w:hAnsi="Arial" w:cs="Arial"/>
                <w:color w:val="000000"/>
                <w:sz w:val="14"/>
                <w:szCs w:val="14"/>
              </w:rPr>
              <w:t>32 </w:t>
            </w:r>
          </w:p>
        </w:tc>
        <w:tc>
          <w:tcPr>
            <w:tcW w:w="0" w:type="auto"/>
            <w:shd w:val="clear" w:color="auto" w:fill="CCEEFF"/>
            <w:tcMar>
              <w:top w:w="40" w:type="dxa"/>
              <w:left w:w="0" w:type="dxa"/>
              <w:bottom w:w="40" w:type="dxa"/>
              <w:right w:w="20" w:type="dxa"/>
            </w:tcMar>
            <w:vAlign w:val="center"/>
          </w:tcPr>
          <w:p w14:paraId="74DD6843" w14:textId="77777777" w:rsidR="00584EC1" w:rsidRDefault="00584EC1">
            <w:pPr>
              <w:jc w:val="right"/>
              <w:rPr>
                <w:rFonts w:ascii="宋体"/>
              </w:rPr>
            </w:pPr>
          </w:p>
        </w:tc>
      </w:tr>
    </w:tbl>
    <w:p w14:paraId="74DD6845" w14:textId="77777777" w:rsidR="00584EC1" w:rsidRDefault="00584E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584EC1" w14:paraId="74DD684C" w14:textId="77777777">
        <w:tc>
          <w:tcPr>
            <w:tcW w:w="50" w:type="pct"/>
            <w:shd w:val="clear" w:color="auto" w:fill="auto"/>
            <w:vAlign w:val="bottom"/>
          </w:tcPr>
          <w:p w14:paraId="74DD6846" w14:textId="77777777" w:rsidR="00584EC1" w:rsidRDefault="00584EC1">
            <w:pPr>
              <w:rPr>
                <w:rFonts w:ascii="宋体"/>
              </w:rPr>
            </w:pPr>
          </w:p>
        </w:tc>
        <w:tc>
          <w:tcPr>
            <w:tcW w:w="1348" w:type="pct"/>
            <w:shd w:val="clear" w:color="auto" w:fill="auto"/>
            <w:vAlign w:val="bottom"/>
          </w:tcPr>
          <w:p w14:paraId="74DD6847" w14:textId="77777777" w:rsidR="00584EC1" w:rsidRDefault="00584EC1">
            <w:pPr>
              <w:rPr>
                <w:rFonts w:ascii="宋体"/>
              </w:rPr>
            </w:pPr>
          </w:p>
        </w:tc>
        <w:tc>
          <w:tcPr>
            <w:tcW w:w="5" w:type="pct"/>
            <w:shd w:val="clear" w:color="auto" w:fill="auto"/>
            <w:vAlign w:val="bottom"/>
          </w:tcPr>
          <w:p w14:paraId="74DD6848" w14:textId="77777777" w:rsidR="00584EC1" w:rsidRDefault="00584EC1">
            <w:pPr>
              <w:rPr>
                <w:rFonts w:ascii="宋体"/>
              </w:rPr>
            </w:pPr>
          </w:p>
        </w:tc>
        <w:tc>
          <w:tcPr>
            <w:tcW w:w="50" w:type="pct"/>
            <w:shd w:val="clear" w:color="auto" w:fill="auto"/>
            <w:vAlign w:val="bottom"/>
          </w:tcPr>
          <w:p w14:paraId="74DD6849" w14:textId="77777777" w:rsidR="00584EC1" w:rsidRDefault="00584EC1">
            <w:pPr>
              <w:rPr>
                <w:rFonts w:ascii="宋体"/>
              </w:rPr>
            </w:pPr>
          </w:p>
        </w:tc>
        <w:tc>
          <w:tcPr>
            <w:tcW w:w="3541" w:type="pct"/>
            <w:shd w:val="clear" w:color="auto" w:fill="auto"/>
            <w:vAlign w:val="bottom"/>
          </w:tcPr>
          <w:p w14:paraId="74DD684A" w14:textId="77777777" w:rsidR="00584EC1" w:rsidRDefault="00584EC1">
            <w:pPr>
              <w:rPr>
                <w:rFonts w:ascii="宋体"/>
              </w:rPr>
            </w:pPr>
          </w:p>
        </w:tc>
        <w:tc>
          <w:tcPr>
            <w:tcW w:w="5" w:type="pct"/>
            <w:shd w:val="clear" w:color="auto" w:fill="auto"/>
            <w:vAlign w:val="bottom"/>
          </w:tcPr>
          <w:p w14:paraId="74DD684B" w14:textId="77777777" w:rsidR="00584EC1" w:rsidRDefault="00584EC1">
            <w:pPr>
              <w:rPr>
                <w:rFonts w:ascii="宋体"/>
              </w:rPr>
            </w:pPr>
          </w:p>
        </w:tc>
      </w:tr>
      <w:tr w:rsidR="00584EC1" w14:paraId="74DD684F"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4DD684D"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684E" w14:textId="77777777" w:rsidR="00584EC1" w:rsidRDefault="00584EC1">
            <w:pPr>
              <w:rPr>
                <w:rFonts w:ascii="宋体"/>
              </w:rPr>
            </w:pPr>
          </w:p>
        </w:tc>
      </w:tr>
      <w:tr w:rsidR="00584EC1" w14:paraId="74DD6852" w14:textId="77777777">
        <w:trPr>
          <w:hidden/>
        </w:trPr>
        <w:tc>
          <w:tcPr>
            <w:tcW w:w="0" w:type="auto"/>
            <w:gridSpan w:val="3"/>
            <w:shd w:val="clear" w:color="auto" w:fill="auto"/>
            <w:vAlign w:val="bottom"/>
          </w:tcPr>
          <w:p w14:paraId="74DD6850" w14:textId="77777777" w:rsidR="00584EC1" w:rsidRDefault="00584EC1">
            <w:pPr>
              <w:rPr>
                <w:rFonts w:ascii="宋体"/>
                <w:vanish/>
              </w:rPr>
            </w:pPr>
          </w:p>
        </w:tc>
        <w:tc>
          <w:tcPr>
            <w:tcW w:w="0" w:type="auto"/>
            <w:gridSpan w:val="3"/>
            <w:shd w:val="clear" w:color="auto" w:fill="auto"/>
            <w:vAlign w:val="bottom"/>
          </w:tcPr>
          <w:p w14:paraId="74DD6851" w14:textId="77777777" w:rsidR="00584EC1" w:rsidRDefault="00584EC1">
            <w:pPr>
              <w:rPr>
                <w:rFonts w:ascii="宋体"/>
                <w:vanish/>
              </w:rPr>
            </w:pPr>
          </w:p>
        </w:tc>
      </w:tr>
    </w:tbl>
    <w:p w14:paraId="74DD6853" w14:textId="77777777" w:rsidR="00584EC1" w:rsidRDefault="00871F8D">
      <w:r>
        <w:rPr>
          <w:rFonts w:ascii="Arial" w:eastAsia="宋体" w:hAnsi="Arial" w:cs="Arial"/>
          <w:color w:val="000000"/>
          <w:sz w:val="8"/>
          <w:szCs w:val="8"/>
        </w:rPr>
        <w:t xml:space="preserve">(1) </w:t>
      </w:r>
      <w:r>
        <w:rPr>
          <w:rFonts w:ascii="Arial" w:eastAsia="宋体" w:hAnsi="Arial" w:cs="Arial"/>
          <w:color w:val="000000"/>
          <w:sz w:val="13"/>
          <w:szCs w:val="13"/>
        </w:rPr>
        <w:t xml:space="preserve">The </w:t>
      </w:r>
      <w:r>
        <w:rPr>
          <w:rFonts w:ascii="Arial" w:eastAsia="宋体" w:hAnsi="Arial" w:cs="Arial"/>
          <w:color w:val="000000"/>
          <w:sz w:val="13"/>
          <w:szCs w:val="13"/>
        </w:rPr>
        <w:t>index names listed in the table are service marks of their respective owners.</w:t>
      </w:r>
    </w:p>
    <w:tbl>
      <w:tblPr>
        <w:tblW w:w="5000" w:type="pct"/>
        <w:tblCellMar>
          <w:top w:w="15" w:type="dxa"/>
          <w:left w:w="15" w:type="dxa"/>
          <w:bottom w:w="15" w:type="dxa"/>
          <w:right w:w="15" w:type="dxa"/>
        </w:tblCellMar>
        <w:tblLook w:val="04A0" w:firstRow="1" w:lastRow="0" w:firstColumn="1" w:lastColumn="0" w:noHBand="0" w:noVBand="1"/>
      </w:tblPr>
      <w:tblGrid>
        <w:gridCol w:w="49"/>
        <w:gridCol w:w="4178"/>
        <w:gridCol w:w="37"/>
        <w:gridCol w:w="50"/>
        <w:gridCol w:w="1179"/>
        <w:gridCol w:w="38"/>
        <w:gridCol w:w="37"/>
        <w:gridCol w:w="36"/>
        <w:gridCol w:w="36"/>
        <w:gridCol w:w="38"/>
        <w:gridCol w:w="1165"/>
        <w:gridCol w:w="37"/>
        <w:gridCol w:w="36"/>
        <w:gridCol w:w="36"/>
        <w:gridCol w:w="36"/>
        <w:gridCol w:w="46"/>
        <w:gridCol w:w="1157"/>
        <w:gridCol w:w="145"/>
      </w:tblGrid>
      <w:tr w:rsidR="00584EC1" w14:paraId="74DD6866" w14:textId="77777777">
        <w:tc>
          <w:tcPr>
            <w:tcW w:w="50" w:type="pct"/>
            <w:shd w:val="clear" w:color="auto" w:fill="auto"/>
            <w:vAlign w:val="bottom"/>
          </w:tcPr>
          <w:p w14:paraId="74DD6854" w14:textId="77777777" w:rsidR="00584EC1" w:rsidRDefault="00584EC1">
            <w:pPr>
              <w:rPr>
                <w:rFonts w:ascii="宋体"/>
              </w:rPr>
            </w:pPr>
          </w:p>
        </w:tc>
        <w:tc>
          <w:tcPr>
            <w:tcW w:w="2525" w:type="pct"/>
            <w:shd w:val="clear" w:color="auto" w:fill="auto"/>
            <w:vAlign w:val="bottom"/>
          </w:tcPr>
          <w:p w14:paraId="74DD6855" w14:textId="77777777" w:rsidR="00584EC1" w:rsidRDefault="00584EC1">
            <w:pPr>
              <w:rPr>
                <w:rFonts w:ascii="宋体"/>
              </w:rPr>
            </w:pPr>
          </w:p>
        </w:tc>
        <w:tc>
          <w:tcPr>
            <w:tcW w:w="5" w:type="pct"/>
            <w:shd w:val="clear" w:color="auto" w:fill="auto"/>
            <w:vAlign w:val="bottom"/>
          </w:tcPr>
          <w:p w14:paraId="74DD6856" w14:textId="77777777" w:rsidR="00584EC1" w:rsidRDefault="00584EC1">
            <w:pPr>
              <w:rPr>
                <w:rFonts w:ascii="宋体"/>
              </w:rPr>
            </w:pPr>
          </w:p>
        </w:tc>
        <w:tc>
          <w:tcPr>
            <w:tcW w:w="50" w:type="pct"/>
            <w:shd w:val="clear" w:color="auto" w:fill="auto"/>
            <w:vAlign w:val="bottom"/>
          </w:tcPr>
          <w:p w14:paraId="74DD6857" w14:textId="77777777" w:rsidR="00584EC1" w:rsidRDefault="00584EC1">
            <w:pPr>
              <w:rPr>
                <w:rFonts w:ascii="宋体"/>
              </w:rPr>
            </w:pPr>
          </w:p>
        </w:tc>
        <w:tc>
          <w:tcPr>
            <w:tcW w:w="727" w:type="pct"/>
            <w:shd w:val="clear" w:color="auto" w:fill="auto"/>
            <w:vAlign w:val="bottom"/>
          </w:tcPr>
          <w:p w14:paraId="74DD6858" w14:textId="77777777" w:rsidR="00584EC1" w:rsidRDefault="00584EC1">
            <w:pPr>
              <w:rPr>
                <w:rFonts w:ascii="宋体"/>
              </w:rPr>
            </w:pPr>
          </w:p>
        </w:tc>
        <w:tc>
          <w:tcPr>
            <w:tcW w:w="5" w:type="pct"/>
            <w:shd w:val="clear" w:color="auto" w:fill="auto"/>
            <w:vAlign w:val="bottom"/>
          </w:tcPr>
          <w:p w14:paraId="74DD6859" w14:textId="77777777" w:rsidR="00584EC1" w:rsidRDefault="00584EC1">
            <w:pPr>
              <w:rPr>
                <w:rFonts w:ascii="宋体"/>
              </w:rPr>
            </w:pPr>
          </w:p>
        </w:tc>
        <w:tc>
          <w:tcPr>
            <w:tcW w:w="5" w:type="pct"/>
            <w:shd w:val="clear" w:color="auto" w:fill="auto"/>
            <w:vAlign w:val="bottom"/>
          </w:tcPr>
          <w:p w14:paraId="74DD685A" w14:textId="77777777" w:rsidR="00584EC1" w:rsidRDefault="00584EC1">
            <w:pPr>
              <w:rPr>
                <w:rFonts w:ascii="宋体"/>
              </w:rPr>
            </w:pPr>
          </w:p>
        </w:tc>
        <w:tc>
          <w:tcPr>
            <w:tcW w:w="26" w:type="pct"/>
            <w:shd w:val="clear" w:color="auto" w:fill="auto"/>
            <w:vAlign w:val="bottom"/>
          </w:tcPr>
          <w:p w14:paraId="74DD685B" w14:textId="77777777" w:rsidR="00584EC1" w:rsidRDefault="00584EC1">
            <w:pPr>
              <w:rPr>
                <w:rFonts w:ascii="宋体"/>
              </w:rPr>
            </w:pPr>
          </w:p>
        </w:tc>
        <w:tc>
          <w:tcPr>
            <w:tcW w:w="5" w:type="pct"/>
            <w:shd w:val="clear" w:color="auto" w:fill="auto"/>
            <w:vAlign w:val="bottom"/>
          </w:tcPr>
          <w:p w14:paraId="74DD685C" w14:textId="77777777" w:rsidR="00584EC1" w:rsidRDefault="00584EC1">
            <w:pPr>
              <w:rPr>
                <w:rFonts w:ascii="宋体"/>
              </w:rPr>
            </w:pPr>
          </w:p>
        </w:tc>
        <w:tc>
          <w:tcPr>
            <w:tcW w:w="50" w:type="pct"/>
            <w:shd w:val="clear" w:color="auto" w:fill="auto"/>
            <w:vAlign w:val="bottom"/>
          </w:tcPr>
          <w:p w14:paraId="74DD685D" w14:textId="77777777" w:rsidR="00584EC1" w:rsidRDefault="00584EC1">
            <w:pPr>
              <w:rPr>
                <w:rFonts w:ascii="宋体"/>
              </w:rPr>
            </w:pPr>
          </w:p>
        </w:tc>
        <w:tc>
          <w:tcPr>
            <w:tcW w:w="727" w:type="pct"/>
            <w:shd w:val="clear" w:color="auto" w:fill="auto"/>
            <w:vAlign w:val="bottom"/>
          </w:tcPr>
          <w:p w14:paraId="74DD685E" w14:textId="77777777" w:rsidR="00584EC1" w:rsidRDefault="00584EC1">
            <w:pPr>
              <w:rPr>
                <w:rFonts w:ascii="宋体"/>
              </w:rPr>
            </w:pPr>
          </w:p>
        </w:tc>
        <w:tc>
          <w:tcPr>
            <w:tcW w:w="5" w:type="pct"/>
            <w:shd w:val="clear" w:color="auto" w:fill="auto"/>
            <w:vAlign w:val="bottom"/>
          </w:tcPr>
          <w:p w14:paraId="74DD685F" w14:textId="77777777" w:rsidR="00584EC1" w:rsidRDefault="00584EC1">
            <w:pPr>
              <w:rPr>
                <w:rFonts w:ascii="宋体"/>
              </w:rPr>
            </w:pPr>
          </w:p>
        </w:tc>
        <w:tc>
          <w:tcPr>
            <w:tcW w:w="5" w:type="pct"/>
            <w:shd w:val="clear" w:color="auto" w:fill="auto"/>
            <w:vAlign w:val="bottom"/>
          </w:tcPr>
          <w:p w14:paraId="74DD6860" w14:textId="77777777" w:rsidR="00584EC1" w:rsidRDefault="00584EC1">
            <w:pPr>
              <w:rPr>
                <w:rFonts w:ascii="宋体"/>
              </w:rPr>
            </w:pPr>
          </w:p>
        </w:tc>
        <w:tc>
          <w:tcPr>
            <w:tcW w:w="26" w:type="pct"/>
            <w:shd w:val="clear" w:color="auto" w:fill="auto"/>
            <w:vAlign w:val="bottom"/>
          </w:tcPr>
          <w:p w14:paraId="74DD6861" w14:textId="77777777" w:rsidR="00584EC1" w:rsidRDefault="00584EC1">
            <w:pPr>
              <w:rPr>
                <w:rFonts w:ascii="宋体"/>
              </w:rPr>
            </w:pPr>
          </w:p>
        </w:tc>
        <w:tc>
          <w:tcPr>
            <w:tcW w:w="5" w:type="pct"/>
            <w:shd w:val="clear" w:color="auto" w:fill="auto"/>
            <w:vAlign w:val="bottom"/>
          </w:tcPr>
          <w:p w14:paraId="74DD6862" w14:textId="77777777" w:rsidR="00584EC1" w:rsidRDefault="00584EC1">
            <w:pPr>
              <w:rPr>
                <w:rFonts w:ascii="宋体"/>
              </w:rPr>
            </w:pPr>
          </w:p>
        </w:tc>
        <w:tc>
          <w:tcPr>
            <w:tcW w:w="50" w:type="pct"/>
            <w:shd w:val="clear" w:color="auto" w:fill="auto"/>
            <w:vAlign w:val="bottom"/>
          </w:tcPr>
          <w:p w14:paraId="74DD6863" w14:textId="77777777" w:rsidR="00584EC1" w:rsidRDefault="00584EC1">
            <w:pPr>
              <w:rPr>
                <w:rFonts w:ascii="宋体"/>
              </w:rPr>
            </w:pPr>
          </w:p>
        </w:tc>
        <w:tc>
          <w:tcPr>
            <w:tcW w:w="727" w:type="pct"/>
            <w:shd w:val="clear" w:color="auto" w:fill="auto"/>
            <w:vAlign w:val="bottom"/>
          </w:tcPr>
          <w:p w14:paraId="74DD6864" w14:textId="77777777" w:rsidR="00584EC1" w:rsidRDefault="00584EC1">
            <w:pPr>
              <w:rPr>
                <w:rFonts w:ascii="宋体"/>
              </w:rPr>
            </w:pPr>
          </w:p>
        </w:tc>
        <w:tc>
          <w:tcPr>
            <w:tcW w:w="5" w:type="pct"/>
            <w:shd w:val="clear" w:color="auto" w:fill="auto"/>
            <w:vAlign w:val="bottom"/>
          </w:tcPr>
          <w:p w14:paraId="74DD6865" w14:textId="77777777" w:rsidR="00584EC1" w:rsidRDefault="00584EC1">
            <w:pPr>
              <w:rPr>
                <w:rFonts w:ascii="宋体"/>
              </w:rPr>
            </w:pPr>
          </w:p>
        </w:tc>
      </w:tr>
      <w:tr w:rsidR="00584EC1" w14:paraId="74DD6868" w14:textId="77777777">
        <w:tc>
          <w:tcPr>
            <w:tcW w:w="0" w:type="auto"/>
            <w:gridSpan w:val="18"/>
            <w:shd w:val="clear" w:color="auto" w:fill="auto"/>
            <w:tcMar>
              <w:top w:w="40" w:type="dxa"/>
              <w:left w:w="20" w:type="dxa"/>
              <w:bottom w:w="40" w:type="dxa"/>
              <w:right w:w="20" w:type="dxa"/>
            </w:tcMar>
            <w:vAlign w:val="bottom"/>
          </w:tcPr>
          <w:p w14:paraId="74DD6867" w14:textId="77777777" w:rsidR="00584EC1" w:rsidRDefault="00871F8D">
            <w:pPr>
              <w:textAlignment w:val="bottom"/>
            </w:pPr>
            <w:r>
              <w:rPr>
                <w:rFonts w:ascii="Arial" w:eastAsia="宋体" w:hAnsi="Arial" w:cs="Arial"/>
                <w:b/>
                <w:bCs/>
                <w:color w:val="000000"/>
                <w:sz w:val="16"/>
                <w:szCs w:val="16"/>
              </w:rPr>
              <w:t>TABLE 4: QUARTER-END DEBT INDICES</w:t>
            </w:r>
            <w:r>
              <w:rPr>
                <w:rFonts w:ascii="Arial" w:eastAsia="宋体" w:hAnsi="Arial" w:cs="Arial"/>
                <w:b/>
                <w:bCs/>
                <w:color w:val="000000"/>
                <w:sz w:val="10"/>
                <w:szCs w:val="10"/>
              </w:rPr>
              <w:t>(1)</w:t>
            </w:r>
          </w:p>
        </w:tc>
      </w:tr>
      <w:tr w:rsidR="00584EC1" w14:paraId="74DD686B" w14:textId="77777777">
        <w:tc>
          <w:tcPr>
            <w:tcW w:w="0" w:type="auto"/>
            <w:gridSpan w:val="3"/>
            <w:shd w:val="clear" w:color="auto" w:fill="auto"/>
            <w:tcMar>
              <w:top w:w="0" w:type="dxa"/>
              <w:left w:w="20" w:type="dxa"/>
              <w:bottom w:w="0" w:type="dxa"/>
              <w:right w:w="20" w:type="dxa"/>
            </w:tcMar>
            <w:vAlign w:val="bottom"/>
          </w:tcPr>
          <w:p w14:paraId="74DD6869" w14:textId="77777777" w:rsidR="00584EC1" w:rsidRDefault="00584EC1">
            <w:pPr>
              <w:rPr>
                <w:rFonts w:ascii="宋体"/>
              </w:rPr>
            </w:pPr>
          </w:p>
        </w:tc>
        <w:tc>
          <w:tcPr>
            <w:tcW w:w="0" w:type="auto"/>
            <w:gridSpan w:val="15"/>
            <w:shd w:val="clear" w:color="auto" w:fill="auto"/>
            <w:tcMar>
              <w:top w:w="40" w:type="dxa"/>
              <w:left w:w="20" w:type="dxa"/>
              <w:bottom w:w="40" w:type="dxa"/>
              <w:right w:w="20" w:type="dxa"/>
            </w:tcMar>
            <w:vAlign w:val="bottom"/>
          </w:tcPr>
          <w:p w14:paraId="74DD686A" w14:textId="77777777" w:rsidR="00584EC1" w:rsidRDefault="00871F8D">
            <w:pPr>
              <w:jc w:val="center"/>
              <w:textAlignment w:val="bottom"/>
            </w:pPr>
            <w:r>
              <w:rPr>
                <w:rFonts w:ascii="Arial" w:eastAsia="宋体" w:hAnsi="Arial" w:cs="Arial"/>
                <w:b/>
                <w:bCs/>
                <w:color w:val="000000"/>
                <w:sz w:val="14"/>
                <w:szCs w:val="14"/>
              </w:rPr>
              <w:t>As of September 30,</w:t>
            </w:r>
          </w:p>
        </w:tc>
      </w:tr>
      <w:tr w:rsidR="00584EC1" w14:paraId="74DD6872" w14:textId="77777777">
        <w:tc>
          <w:tcPr>
            <w:tcW w:w="0" w:type="auto"/>
            <w:gridSpan w:val="3"/>
            <w:shd w:val="clear" w:color="auto" w:fill="auto"/>
            <w:tcMar>
              <w:top w:w="0" w:type="dxa"/>
              <w:left w:w="20" w:type="dxa"/>
              <w:bottom w:w="0" w:type="dxa"/>
              <w:right w:w="20" w:type="dxa"/>
            </w:tcMar>
            <w:vAlign w:val="bottom"/>
          </w:tcPr>
          <w:p w14:paraId="74DD686C"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686D" w14:textId="77777777" w:rsidR="00584EC1" w:rsidRDefault="00871F8D">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686E"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686F" w14:textId="77777777" w:rsidR="00584EC1" w:rsidRDefault="00871F8D">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6870"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6871" w14:textId="77777777" w:rsidR="00584EC1" w:rsidRDefault="00871F8D">
            <w:pPr>
              <w:jc w:val="center"/>
              <w:textAlignment w:val="bottom"/>
            </w:pPr>
            <w:r>
              <w:rPr>
                <w:rFonts w:ascii="Arial" w:eastAsia="宋体" w:hAnsi="Arial" w:cs="Arial"/>
                <w:b/>
                <w:bCs/>
                <w:color w:val="000000"/>
                <w:sz w:val="14"/>
                <w:szCs w:val="14"/>
              </w:rPr>
              <w:t>% Change</w:t>
            </w:r>
          </w:p>
        </w:tc>
      </w:tr>
      <w:tr w:rsidR="00584EC1" w14:paraId="74DD687C" w14:textId="77777777">
        <w:tc>
          <w:tcPr>
            <w:tcW w:w="0" w:type="auto"/>
            <w:gridSpan w:val="3"/>
            <w:shd w:val="clear" w:color="auto" w:fill="CCEEFF"/>
            <w:tcMar>
              <w:top w:w="40" w:type="dxa"/>
              <w:left w:w="20" w:type="dxa"/>
              <w:bottom w:w="40" w:type="dxa"/>
              <w:right w:w="20" w:type="dxa"/>
            </w:tcMar>
            <w:vAlign w:val="center"/>
          </w:tcPr>
          <w:p w14:paraId="74DD6873" w14:textId="77777777" w:rsidR="00584EC1" w:rsidRDefault="00871F8D">
            <w:pPr>
              <w:textAlignment w:val="center"/>
            </w:pPr>
            <w:r>
              <w:rPr>
                <w:rFonts w:ascii="Arial" w:eastAsia="宋体" w:hAnsi="Arial" w:cs="Arial"/>
                <w:color w:val="000000"/>
                <w:sz w:val="14"/>
                <w:szCs w:val="14"/>
              </w:rPr>
              <w:t>Barclays Capital U.S. Aggregate Bond Index</w:t>
            </w:r>
            <w:r>
              <w:rPr>
                <w:rFonts w:ascii="Arial" w:eastAsia="宋体" w:hAnsi="Arial" w:cs="Arial"/>
                <w:color w:val="000000"/>
                <w:sz w:val="9"/>
                <w:szCs w:val="9"/>
              </w:rPr>
              <w:t>®</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4DD6874" w14:textId="77777777" w:rsidR="00584EC1" w:rsidRDefault="00871F8D">
            <w:pPr>
              <w:jc w:val="right"/>
              <w:textAlignment w:val="center"/>
            </w:pPr>
            <w:r>
              <w:rPr>
                <w:rFonts w:ascii="Arial" w:eastAsia="宋体" w:hAnsi="Arial" w:cs="Arial"/>
                <w:b/>
                <w:bCs/>
                <w:color w:val="000000"/>
                <w:sz w:val="14"/>
                <w:szCs w:val="14"/>
              </w:rPr>
              <w:t>2,355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74DD687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876"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4DD6877" w14:textId="77777777" w:rsidR="00584EC1" w:rsidRDefault="00871F8D">
            <w:pPr>
              <w:jc w:val="right"/>
              <w:textAlignment w:val="center"/>
            </w:pPr>
            <w:r>
              <w:rPr>
                <w:rFonts w:ascii="Arial" w:eastAsia="宋体" w:hAnsi="Arial" w:cs="Arial"/>
                <w:color w:val="000000"/>
                <w:sz w:val="14"/>
                <w:szCs w:val="14"/>
              </w:rPr>
              <w:t>2,376 </w:t>
            </w:r>
          </w:p>
        </w:tc>
        <w:tc>
          <w:tcPr>
            <w:tcW w:w="0" w:type="auto"/>
            <w:tcBorders>
              <w:top w:val="single" w:sz="8" w:space="0" w:color="000000"/>
            </w:tcBorders>
            <w:shd w:val="clear" w:color="auto" w:fill="CCEEFF"/>
            <w:tcMar>
              <w:top w:w="40" w:type="dxa"/>
              <w:left w:w="0" w:type="dxa"/>
              <w:bottom w:w="40" w:type="dxa"/>
              <w:right w:w="20" w:type="dxa"/>
            </w:tcMar>
            <w:vAlign w:val="center"/>
          </w:tcPr>
          <w:p w14:paraId="74DD687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879"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4DD687A" w14:textId="77777777" w:rsidR="00584EC1" w:rsidRDefault="00871F8D">
            <w:pPr>
              <w:jc w:val="right"/>
              <w:textAlignment w:val="center"/>
            </w:pPr>
            <w:r>
              <w:rPr>
                <w:rFonts w:ascii="Arial" w:eastAsia="宋体" w:hAnsi="Arial" w:cs="Arial"/>
                <w:color w:val="000000"/>
                <w:sz w:val="14"/>
                <w:szCs w:val="14"/>
              </w:rPr>
              <w:t>(1)</w:t>
            </w:r>
          </w:p>
        </w:tc>
        <w:tc>
          <w:tcPr>
            <w:tcW w:w="0" w:type="auto"/>
            <w:tcBorders>
              <w:top w:val="single" w:sz="8" w:space="0" w:color="000000"/>
            </w:tcBorders>
            <w:shd w:val="clear" w:color="auto" w:fill="CCEEFF"/>
            <w:tcMar>
              <w:top w:w="40" w:type="dxa"/>
              <w:left w:w="0" w:type="dxa"/>
              <w:bottom w:w="40" w:type="dxa"/>
              <w:right w:w="20" w:type="dxa"/>
            </w:tcMar>
            <w:vAlign w:val="center"/>
          </w:tcPr>
          <w:p w14:paraId="74DD687B" w14:textId="77777777" w:rsidR="00584EC1" w:rsidRDefault="00871F8D">
            <w:pPr>
              <w:jc w:val="right"/>
              <w:textAlignment w:val="center"/>
            </w:pPr>
            <w:r>
              <w:rPr>
                <w:rFonts w:ascii="Arial" w:eastAsia="宋体" w:hAnsi="Arial" w:cs="Arial"/>
                <w:color w:val="000000"/>
                <w:sz w:val="14"/>
                <w:szCs w:val="14"/>
              </w:rPr>
              <w:t>%</w:t>
            </w:r>
          </w:p>
        </w:tc>
      </w:tr>
      <w:tr w:rsidR="00584EC1" w14:paraId="74DD6886" w14:textId="77777777">
        <w:tc>
          <w:tcPr>
            <w:tcW w:w="0" w:type="auto"/>
            <w:gridSpan w:val="3"/>
            <w:shd w:val="clear" w:color="auto" w:fill="FFFFFF"/>
            <w:tcMar>
              <w:top w:w="40" w:type="dxa"/>
              <w:left w:w="20" w:type="dxa"/>
              <w:bottom w:w="40" w:type="dxa"/>
              <w:right w:w="20" w:type="dxa"/>
            </w:tcMar>
            <w:vAlign w:val="center"/>
          </w:tcPr>
          <w:p w14:paraId="74DD687D" w14:textId="77777777" w:rsidR="00584EC1" w:rsidRDefault="00871F8D">
            <w:pPr>
              <w:textAlignment w:val="center"/>
            </w:pPr>
            <w:r>
              <w:rPr>
                <w:rFonts w:ascii="Arial" w:eastAsia="宋体" w:hAnsi="Arial" w:cs="Arial"/>
                <w:color w:val="000000"/>
                <w:sz w:val="14"/>
                <w:szCs w:val="14"/>
              </w:rPr>
              <w:t>Barcla</w:t>
            </w:r>
            <w:r>
              <w:rPr>
                <w:rFonts w:ascii="Arial" w:eastAsia="宋体" w:hAnsi="Arial" w:cs="Arial"/>
                <w:color w:val="000000"/>
                <w:sz w:val="14"/>
                <w:szCs w:val="14"/>
              </w:rPr>
              <w:t>ys Capital Global Aggregate Bond Index</w:t>
            </w:r>
            <w:r>
              <w:rPr>
                <w:rFonts w:ascii="Arial" w:eastAsia="宋体" w:hAnsi="Arial" w:cs="Arial"/>
                <w:color w:val="000000"/>
                <w:sz w:val="9"/>
                <w:szCs w:val="9"/>
              </w:rPr>
              <w:t>®</w:t>
            </w:r>
          </w:p>
        </w:tc>
        <w:tc>
          <w:tcPr>
            <w:tcW w:w="0" w:type="auto"/>
            <w:gridSpan w:val="2"/>
            <w:shd w:val="clear" w:color="auto" w:fill="FFFFFF"/>
            <w:tcMar>
              <w:top w:w="40" w:type="dxa"/>
              <w:left w:w="20" w:type="dxa"/>
              <w:bottom w:w="40" w:type="dxa"/>
              <w:right w:w="0" w:type="dxa"/>
            </w:tcMar>
            <w:vAlign w:val="center"/>
          </w:tcPr>
          <w:p w14:paraId="74DD687E" w14:textId="77777777" w:rsidR="00584EC1" w:rsidRDefault="00871F8D">
            <w:pPr>
              <w:jc w:val="right"/>
              <w:textAlignment w:val="center"/>
            </w:pPr>
            <w:r>
              <w:rPr>
                <w:rFonts w:ascii="Arial" w:eastAsia="宋体" w:hAnsi="Arial" w:cs="Arial"/>
                <w:b/>
                <w:bCs/>
                <w:color w:val="000000"/>
                <w:sz w:val="14"/>
                <w:szCs w:val="14"/>
              </w:rPr>
              <w:t>536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center"/>
          </w:tcPr>
          <w:p w14:paraId="74DD687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88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center"/>
          </w:tcPr>
          <w:p w14:paraId="74DD6881" w14:textId="77777777" w:rsidR="00584EC1" w:rsidRDefault="00871F8D">
            <w:pPr>
              <w:jc w:val="right"/>
              <w:textAlignment w:val="center"/>
            </w:pPr>
            <w:r>
              <w:rPr>
                <w:rFonts w:ascii="Arial" w:eastAsia="宋体" w:hAnsi="Arial" w:cs="Arial"/>
                <w:color w:val="000000"/>
                <w:sz w:val="14"/>
                <w:szCs w:val="14"/>
              </w:rPr>
              <w:t>541 </w:t>
            </w:r>
          </w:p>
        </w:tc>
        <w:tc>
          <w:tcPr>
            <w:tcW w:w="0" w:type="auto"/>
            <w:shd w:val="clear" w:color="auto" w:fill="FFFFFF"/>
            <w:tcMar>
              <w:top w:w="40" w:type="dxa"/>
              <w:left w:w="0" w:type="dxa"/>
              <w:bottom w:w="40" w:type="dxa"/>
              <w:right w:w="20" w:type="dxa"/>
            </w:tcMar>
            <w:vAlign w:val="center"/>
          </w:tcPr>
          <w:p w14:paraId="74DD688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883" w14:textId="77777777" w:rsidR="00584EC1" w:rsidRDefault="00584EC1">
            <w:pPr>
              <w:rPr>
                <w:rFonts w:ascii="宋体"/>
              </w:rPr>
            </w:pPr>
          </w:p>
        </w:tc>
        <w:tc>
          <w:tcPr>
            <w:tcW w:w="0" w:type="auto"/>
            <w:gridSpan w:val="2"/>
            <w:shd w:val="clear" w:color="auto" w:fill="auto"/>
            <w:tcMar>
              <w:top w:w="40" w:type="dxa"/>
              <w:left w:w="20" w:type="dxa"/>
              <w:bottom w:w="40" w:type="dxa"/>
              <w:right w:w="0" w:type="dxa"/>
            </w:tcMar>
            <w:vAlign w:val="center"/>
          </w:tcPr>
          <w:p w14:paraId="74DD6884" w14:textId="77777777" w:rsidR="00584EC1" w:rsidRDefault="00871F8D">
            <w:pPr>
              <w:jc w:val="right"/>
              <w:textAlignment w:val="center"/>
            </w:pPr>
            <w:r>
              <w:rPr>
                <w:rFonts w:ascii="Arial" w:eastAsia="宋体" w:hAnsi="Arial" w:cs="Arial"/>
                <w:color w:val="000000"/>
                <w:sz w:val="14"/>
                <w:szCs w:val="14"/>
              </w:rPr>
              <w:t>(1)</w:t>
            </w:r>
          </w:p>
        </w:tc>
        <w:tc>
          <w:tcPr>
            <w:tcW w:w="0" w:type="auto"/>
            <w:shd w:val="clear" w:color="auto" w:fill="auto"/>
            <w:tcMar>
              <w:top w:w="40" w:type="dxa"/>
              <w:left w:w="0" w:type="dxa"/>
              <w:bottom w:w="40" w:type="dxa"/>
              <w:right w:w="20" w:type="dxa"/>
            </w:tcMar>
            <w:vAlign w:val="center"/>
          </w:tcPr>
          <w:p w14:paraId="74DD6885" w14:textId="77777777" w:rsidR="00584EC1" w:rsidRDefault="00584EC1">
            <w:pPr>
              <w:jc w:val="right"/>
              <w:rPr>
                <w:rFonts w:ascii="宋体"/>
              </w:rPr>
            </w:pPr>
          </w:p>
        </w:tc>
      </w:tr>
    </w:tbl>
    <w:p w14:paraId="74DD6887" w14:textId="77777777" w:rsidR="00584EC1" w:rsidRDefault="00584E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584EC1" w14:paraId="74DD688E" w14:textId="77777777">
        <w:tc>
          <w:tcPr>
            <w:tcW w:w="50" w:type="pct"/>
            <w:shd w:val="clear" w:color="auto" w:fill="auto"/>
            <w:vAlign w:val="bottom"/>
          </w:tcPr>
          <w:p w14:paraId="74DD6888" w14:textId="77777777" w:rsidR="00584EC1" w:rsidRDefault="00584EC1">
            <w:pPr>
              <w:rPr>
                <w:rFonts w:ascii="宋体"/>
              </w:rPr>
            </w:pPr>
          </w:p>
        </w:tc>
        <w:tc>
          <w:tcPr>
            <w:tcW w:w="1348" w:type="pct"/>
            <w:shd w:val="clear" w:color="auto" w:fill="auto"/>
            <w:vAlign w:val="bottom"/>
          </w:tcPr>
          <w:p w14:paraId="74DD6889" w14:textId="77777777" w:rsidR="00584EC1" w:rsidRDefault="00584EC1">
            <w:pPr>
              <w:rPr>
                <w:rFonts w:ascii="宋体"/>
              </w:rPr>
            </w:pPr>
          </w:p>
        </w:tc>
        <w:tc>
          <w:tcPr>
            <w:tcW w:w="5" w:type="pct"/>
            <w:shd w:val="clear" w:color="auto" w:fill="auto"/>
            <w:vAlign w:val="bottom"/>
          </w:tcPr>
          <w:p w14:paraId="74DD688A" w14:textId="77777777" w:rsidR="00584EC1" w:rsidRDefault="00584EC1">
            <w:pPr>
              <w:rPr>
                <w:rFonts w:ascii="宋体"/>
              </w:rPr>
            </w:pPr>
          </w:p>
        </w:tc>
        <w:tc>
          <w:tcPr>
            <w:tcW w:w="50" w:type="pct"/>
            <w:shd w:val="clear" w:color="auto" w:fill="auto"/>
            <w:vAlign w:val="bottom"/>
          </w:tcPr>
          <w:p w14:paraId="74DD688B" w14:textId="77777777" w:rsidR="00584EC1" w:rsidRDefault="00584EC1">
            <w:pPr>
              <w:rPr>
                <w:rFonts w:ascii="宋体"/>
              </w:rPr>
            </w:pPr>
          </w:p>
        </w:tc>
        <w:tc>
          <w:tcPr>
            <w:tcW w:w="3541" w:type="pct"/>
            <w:shd w:val="clear" w:color="auto" w:fill="auto"/>
            <w:vAlign w:val="bottom"/>
          </w:tcPr>
          <w:p w14:paraId="74DD688C" w14:textId="77777777" w:rsidR="00584EC1" w:rsidRDefault="00584EC1">
            <w:pPr>
              <w:rPr>
                <w:rFonts w:ascii="宋体"/>
              </w:rPr>
            </w:pPr>
          </w:p>
        </w:tc>
        <w:tc>
          <w:tcPr>
            <w:tcW w:w="5" w:type="pct"/>
            <w:shd w:val="clear" w:color="auto" w:fill="auto"/>
            <w:vAlign w:val="bottom"/>
          </w:tcPr>
          <w:p w14:paraId="74DD688D" w14:textId="77777777" w:rsidR="00584EC1" w:rsidRDefault="00584EC1">
            <w:pPr>
              <w:rPr>
                <w:rFonts w:ascii="宋体"/>
              </w:rPr>
            </w:pPr>
          </w:p>
        </w:tc>
      </w:tr>
      <w:tr w:rsidR="00584EC1" w14:paraId="74DD6891"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4DD688F"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6890" w14:textId="77777777" w:rsidR="00584EC1" w:rsidRDefault="00584EC1">
            <w:pPr>
              <w:rPr>
                <w:rFonts w:ascii="宋体"/>
              </w:rPr>
            </w:pPr>
          </w:p>
        </w:tc>
      </w:tr>
    </w:tbl>
    <w:p w14:paraId="74DD6892" w14:textId="77777777" w:rsidR="00584EC1" w:rsidRDefault="00871F8D">
      <w:r>
        <w:rPr>
          <w:rFonts w:ascii="Arial" w:eastAsia="宋体" w:hAnsi="Arial" w:cs="Arial"/>
          <w:color w:val="000000"/>
          <w:sz w:val="8"/>
          <w:szCs w:val="8"/>
        </w:rPr>
        <w:t xml:space="preserve">(1) </w:t>
      </w:r>
      <w:r>
        <w:rPr>
          <w:rFonts w:ascii="Arial" w:eastAsia="宋体" w:hAnsi="Arial" w:cs="Arial"/>
          <w:color w:val="000000"/>
          <w:sz w:val="13"/>
          <w:szCs w:val="13"/>
        </w:rPr>
        <w:t>The index names listed in the table are service marks of their respective owners.</w:t>
      </w:r>
    </w:p>
    <w:p w14:paraId="74DD6893" w14:textId="77777777" w:rsidR="00584EC1" w:rsidRDefault="00871F8D">
      <w:pPr>
        <w:spacing w:before="60"/>
      </w:pPr>
      <w:r>
        <w:rPr>
          <w:rFonts w:ascii="Arial" w:eastAsia="宋体" w:hAnsi="Arial" w:cs="Arial"/>
          <w:i/>
          <w:iCs/>
          <w:color w:val="000000"/>
          <w:sz w:val="20"/>
          <w:szCs w:val="20"/>
        </w:rPr>
        <w:t>Client Activity and Asset Flows</w:t>
      </w:r>
    </w:p>
    <w:p w14:paraId="74DD6894" w14:textId="77777777" w:rsidR="00584EC1" w:rsidRDefault="00871F8D">
      <w:pPr>
        <w:spacing w:before="60"/>
        <w:ind w:firstLine="450"/>
        <w:jc w:val="both"/>
      </w:pPr>
      <w:r>
        <w:rPr>
          <w:rFonts w:ascii="Arial" w:eastAsia="宋体" w:hAnsi="Arial" w:cs="Arial"/>
          <w:color w:val="000000"/>
          <w:sz w:val="20"/>
          <w:szCs w:val="20"/>
        </w:rPr>
        <w:t xml:space="preserve">Client activity and asset flows are impacted by the number of </w:t>
      </w:r>
      <w:r>
        <w:rPr>
          <w:rFonts w:ascii="Arial" w:eastAsia="宋体" w:hAnsi="Arial" w:cs="Arial"/>
          <w:color w:val="000000"/>
          <w:sz w:val="20"/>
          <w:szCs w:val="20"/>
        </w:rPr>
        <w:t>transactions we execute on behalf of our clients, including FX settlements, equity and derivative trades, and wire transfer activity, as well as actions by our clients to change the asset class in which their assets are invested. Our servicing fee revenues</w:t>
      </w:r>
      <w:r>
        <w:rPr>
          <w:rFonts w:ascii="Arial" w:eastAsia="宋体" w:hAnsi="Arial" w:cs="Arial"/>
          <w:color w:val="000000"/>
          <w:sz w:val="20"/>
          <w:szCs w:val="20"/>
        </w:rPr>
        <w:t xml:space="preserve"> are impacted by a number of factors, including transaction volumes, asset levels and asset classes in which funds are invested, as well as industry trends associated with these client-related activities.</w:t>
      </w:r>
    </w:p>
    <w:p w14:paraId="74DD6895" w14:textId="77777777" w:rsidR="00584EC1" w:rsidRDefault="00871F8D">
      <w:pPr>
        <w:spacing w:before="60"/>
        <w:ind w:firstLine="450"/>
        <w:jc w:val="both"/>
      </w:pPr>
      <w:r>
        <w:rPr>
          <w:rFonts w:ascii="Arial" w:eastAsia="宋体" w:hAnsi="Arial" w:cs="Arial"/>
          <w:color w:val="000000"/>
          <w:sz w:val="20"/>
          <w:szCs w:val="20"/>
        </w:rPr>
        <w:t>Our clients may change the asset classes in which t</w:t>
      </w:r>
      <w:r>
        <w:rPr>
          <w:rFonts w:ascii="Arial" w:eastAsia="宋体" w:hAnsi="Arial" w:cs="Arial"/>
          <w:color w:val="000000"/>
          <w:sz w:val="20"/>
          <w:szCs w:val="20"/>
        </w:rPr>
        <w:t>heir assets are invested, based on their market outlook, risk acceptance tolerance or other considerations. Over the five years ended December 31, 2020, we estimate that client activity and asset flows, together, impacted our servicing fee revenues by appr</w:t>
      </w:r>
      <w:r>
        <w:rPr>
          <w:rFonts w:ascii="Arial" w:eastAsia="宋体" w:hAnsi="Arial" w:cs="Arial"/>
          <w:color w:val="000000"/>
          <w:sz w:val="20"/>
          <w:szCs w:val="20"/>
        </w:rPr>
        <w:t>oximately (1)% to 2% annually. See Table 5: Industry Asset Flows for selected asset flow information. While the asset flows presented are indicative of general market trends, the asset types and classes relevant to individual client portfolios can and do d</w:t>
      </w:r>
      <w:r>
        <w:rPr>
          <w:rFonts w:ascii="Arial" w:eastAsia="宋体" w:hAnsi="Arial" w:cs="Arial"/>
          <w:color w:val="000000"/>
          <w:sz w:val="20"/>
          <w:szCs w:val="20"/>
        </w:rPr>
        <w:t>iffer, and our flows may differ from those market trends. In addition, our asset classifications may differ from those industry classifications presented.</w:t>
      </w:r>
    </w:p>
    <w:p w14:paraId="74DD6896" w14:textId="77777777" w:rsidR="00584EC1" w:rsidRDefault="00871F8D">
      <w:pPr>
        <w:ind w:firstLine="450"/>
        <w:jc w:val="right"/>
      </w:pPr>
      <w:r>
        <w:rPr>
          <w:rFonts w:ascii="Arial" w:eastAsia="宋体" w:hAnsi="Arial" w:cs="Arial"/>
          <w:color w:val="000000"/>
          <w:sz w:val="18"/>
          <w:szCs w:val="18"/>
        </w:rPr>
        <w:t>State Street Corporation | 11</w:t>
      </w:r>
    </w:p>
    <w:p w14:paraId="74DD6897" w14:textId="77777777" w:rsidR="00584EC1" w:rsidRDefault="00584EC1">
      <w:pPr>
        <w:ind w:firstLine="450"/>
        <w:jc w:val="center"/>
      </w:pPr>
    </w:p>
    <w:p w14:paraId="74DD6898" w14:textId="77777777" w:rsidR="00584EC1" w:rsidRDefault="00871F8D">
      <w:r>
        <w:pict w14:anchorId="74DE29F9">
          <v:rect id="_x0000_i1035" style="width:415.3pt;height:1.5pt" o:hralign="center" o:hrstd="t" o:hr="t" fillcolor="#a0a0a0" stroked="f"/>
        </w:pict>
      </w:r>
    </w:p>
    <w:p w14:paraId="74DD6899" w14:textId="77777777" w:rsidR="00584EC1" w:rsidRDefault="00871F8D">
      <w:pPr>
        <w:ind w:firstLine="450"/>
        <w:jc w:val="center"/>
      </w:pPr>
      <w:r>
        <w:rPr>
          <w:rFonts w:ascii="Arial" w:eastAsia="宋体" w:hAnsi="Arial" w:cs="Arial"/>
          <w:b/>
          <w:bCs/>
          <w:color w:val="000000"/>
          <w:sz w:val="20"/>
          <w:szCs w:val="20"/>
        </w:rPr>
        <w:t>MANAGEMENT’S DISCUSSION AND ANALYSIS OF FINANCIAL CONDITION</w:t>
      </w:r>
    </w:p>
    <w:p w14:paraId="74DD689A" w14:textId="77777777" w:rsidR="00584EC1" w:rsidRDefault="00871F8D">
      <w:pPr>
        <w:ind w:firstLine="450"/>
        <w:jc w:val="center"/>
      </w:pPr>
      <w:r>
        <w:rPr>
          <w:rFonts w:ascii="Arial" w:eastAsia="宋体" w:hAnsi="Arial" w:cs="Arial"/>
          <w:b/>
          <w:bCs/>
          <w:color w:val="000000"/>
          <w:sz w:val="20"/>
          <w:szCs w:val="20"/>
        </w:rPr>
        <w:t xml:space="preserve">AND </w:t>
      </w:r>
      <w:r>
        <w:rPr>
          <w:rFonts w:ascii="Arial" w:eastAsia="宋体" w:hAnsi="Arial" w:cs="Arial"/>
          <w:b/>
          <w:bCs/>
          <w:color w:val="000000"/>
          <w:sz w:val="20"/>
          <w:szCs w:val="20"/>
        </w:rPr>
        <w:t>RESULTS OF OPERATIONS</w:t>
      </w:r>
    </w:p>
    <w:p w14:paraId="74DD689B" w14:textId="77777777" w:rsidR="00584EC1" w:rsidRDefault="00584EC1">
      <w:pPr>
        <w:spacing w:before="60"/>
        <w:ind w:firstLine="450"/>
        <w:jc w:val="both"/>
      </w:pPr>
    </w:p>
    <w:tbl>
      <w:tblPr>
        <w:tblW w:w="5000" w:type="pct"/>
        <w:tblCellMar>
          <w:top w:w="15" w:type="dxa"/>
          <w:left w:w="15" w:type="dxa"/>
          <w:bottom w:w="15" w:type="dxa"/>
          <w:right w:w="15" w:type="dxa"/>
        </w:tblCellMar>
        <w:tblLook w:val="04A0" w:firstRow="1" w:lastRow="0" w:firstColumn="1" w:lastColumn="0" w:noHBand="0" w:noVBand="1"/>
      </w:tblPr>
      <w:tblGrid>
        <w:gridCol w:w="47"/>
        <w:gridCol w:w="4175"/>
        <w:gridCol w:w="37"/>
        <w:gridCol w:w="104"/>
        <w:gridCol w:w="1858"/>
        <w:gridCol w:w="36"/>
        <w:gridCol w:w="36"/>
        <w:gridCol w:w="36"/>
        <w:gridCol w:w="36"/>
        <w:gridCol w:w="104"/>
        <w:gridCol w:w="1831"/>
        <w:gridCol w:w="36"/>
      </w:tblGrid>
      <w:tr w:rsidR="00584EC1" w14:paraId="74DD68A8" w14:textId="77777777">
        <w:tc>
          <w:tcPr>
            <w:tcW w:w="50" w:type="pct"/>
            <w:shd w:val="clear" w:color="auto" w:fill="auto"/>
            <w:vAlign w:val="bottom"/>
          </w:tcPr>
          <w:p w14:paraId="74DD689C" w14:textId="77777777" w:rsidR="00584EC1" w:rsidRDefault="00584EC1">
            <w:pPr>
              <w:rPr>
                <w:rFonts w:ascii="宋体"/>
              </w:rPr>
            </w:pPr>
          </w:p>
        </w:tc>
        <w:tc>
          <w:tcPr>
            <w:tcW w:w="2525" w:type="pct"/>
            <w:shd w:val="clear" w:color="auto" w:fill="auto"/>
            <w:vAlign w:val="bottom"/>
          </w:tcPr>
          <w:p w14:paraId="74DD689D" w14:textId="77777777" w:rsidR="00584EC1" w:rsidRDefault="00584EC1">
            <w:pPr>
              <w:rPr>
                <w:rFonts w:ascii="宋体"/>
              </w:rPr>
            </w:pPr>
          </w:p>
        </w:tc>
        <w:tc>
          <w:tcPr>
            <w:tcW w:w="5" w:type="pct"/>
            <w:shd w:val="clear" w:color="auto" w:fill="auto"/>
            <w:vAlign w:val="bottom"/>
          </w:tcPr>
          <w:p w14:paraId="74DD689E" w14:textId="77777777" w:rsidR="00584EC1" w:rsidRDefault="00584EC1">
            <w:pPr>
              <w:rPr>
                <w:rFonts w:ascii="宋体"/>
              </w:rPr>
            </w:pPr>
          </w:p>
        </w:tc>
        <w:tc>
          <w:tcPr>
            <w:tcW w:w="50" w:type="pct"/>
            <w:shd w:val="clear" w:color="auto" w:fill="auto"/>
            <w:vAlign w:val="bottom"/>
          </w:tcPr>
          <w:p w14:paraId="74DD689F" w14:textId="77777777" w:rsidR="00584EC1" w:rsidRDefault="00584EC1">
            <w:pPr>
              <w:rPr>
                <w:rFonts w:ascii="宋体"/>
              </w:rPr>
            </w:pPr>
          </w:p>
        </w:tc>
        <w:tc>
          <w:tcPr>
            <w:tcW w:w="1136" w:type="pct"/>
            <w:shd w:val="clear" w:color="auto" w:fill="auto"/>
            <w:vAlign w:val="bottom"/>
          </w:tcPr>
          <w:p w14:paraId="74DD68A0" w14:textId="77777777" w:rsidR="00584EC1" w:rsidRDefault="00584EC1">
            <w:pPr>
              <w:rPr>
                <w:rFonts w:ascii="宋体"/>
              </w:rPr>
            </w:pPr>
          </w:p>
        </w:tc>
        <w:tc>
          <w:tcPr>
            <w:tcW w:w="5" w:type="pct"/>
            <w:shd w:val="clear" w:color="auto" w:fill="auto"/>
            <w:vAlign w:val="bottom"/>
          </w:tcPr>
          <w:p w14:paraId="74DD68A1" w14:textId="77777777" w:rsidR="00584EC1" w:rsidRDefault="00584EC1">
            <w:pPr>
              <w:rPr>
                <w:rFonts w:ascii="宋体"/>
              </w:rPr>
            </w:pPr>
          </w:p>
        </w:tc>
        <w:tc>
          <w:tcPr>
            <w:tcW w:w="5" w:type="pct"/>
            <w:shd w:val="clear" w:color="auto" w:fill="auto"/>
            <w:vAlign w:val="bottom"/>
          </w:tcPr>
          <w:p w14:paraId="74DD68A2" w14:textId="77777777" w:rsidR="00584EC1" w:rsidRDefault="00584EC1">
            <w:pPr>
              <w:rPr>
                <w:rFonts w:ascii="宋体"/>
              </w:rPr>
            </w:pPr>
          </w:p>
        </w:tc>
        <w:tc>
          <w:tcPr>
            <w:tcW w:w="26" w:type="pct"/>
            <w:shd w:val="clear" w:color="auto" w:fill="auto"/>
            <w:vAlign w:val="bottom"/>
          </w:tcPr>
          <w:p w14:paraId="74DD68A3" w14:textId="77777777" w:rsidR="00584EC1" w:rsidRDefault="00584EC1">
            <w:pPr>
              <w:rPr>
                <w:rFonts w:ascii="宋体"/>
              </w:rPr>
            </w:pPr>
          </w:p>
        </w:tc>
        <w:tc>
          <w:tcPr>
            <w:tcW w:w="5" w:type="pct"/>
            <w:shd w:val="clear" w:color="auto" w:fill="auto"/>
            <w:vAlign w:val="bottom"/>
          </w:tcPr>
          <w:p w14:paraId="74DD68A4" w14:textId="77777777" w:rsidR="00584EC1" w:rsidRDefault="00584EC1">
            <w:pPr>
              <w:rPr>
                <w:rFonts w:ascii="宋体"/>
              </w:rPr>
            </w:pPr>
          </w:p>
        </w:tc>
        <w:tc>
          <w:tcPr>
            <w:tcW w:w="50" w:type="pct"/>
            <w:shd w:val="clear" w:color="auto" w:fill="auto"/>
            <w:vAlign w:val="bottom"/>
          </w:tcPr>
          <w:p w14:paraId="74DD68A5" w14:textId="77777777" w:rsidR="00584EC1" w:rsidRDefault="00584EC1">
            <w:pPr>
              <w:rPr>
                <w:rFonts w:ascii="宋体"/>
              </w:rPr>
            </w:pPr>
          </w:p>
        </w:tc>
        <w:tc>
          <w:tcPr>
            <w:tcW w:w="1136" w:type="pct"/>
            <w:shd w:val="clear" w:color="auto" w:fill="auto"/>
            <w:vAlign w:val="bottom"/>
          </w:tcPr>
          <w:p w14:paraId="74DD68A6" w14:textId="77777777" w:rsidR="00584EC1" w:rsidRDefault="00584EC1">
            <w:pPr>
              <w:rPr>
                <w:rFonts w:ascii="宋体"/>
              </w:rPr>
            </w:pPr>
          </w:p>
        </w:tc>
        <w:tc>
          <w:tcPr>
            <w:tcW w:w="5" w:type="pct"/>
            <w:shd w:val="clear" w:color="auto" w:fill="auto"/>
            <w:vAlign w:val="bottom"/>
          </w:tcPr>
          <w:p w14:paraId="74DD68A7" w14:textId="77777777" w:rsidR="00584EC1" w:rsidRDefault="00584EC1">
            <w:pPr>
              <w:rPr>
                <w:rFonts w:ascii="宋体"/>
              </w:rPr>
            </w:pPr>
          </w:p>
        </w:tc>
      </w:tr>
      <w:tr w:rsidR="00584EC1" w14:paraId="74DD68AA" w14:textId="77777777">
        <w:tc>
          <w:tcPr>
            <w:tcW w:w="0" w:type="auto"/>
            <w:gridSpan w:val="12"/>
            <w:shd w:val="clear" w:color="auto" w:fill="auto"/>
            <w:tcMar>
              <w:top w:w="40" w:type="dxa"/>
              <w:left w:w="20" w:type="dxa"/>
              <w:bottom w:w="40" w:type="dxa"/>
              <w:right w:w="20" w:type="dxa"/>
            </w:tcMar>
            <w:vAlign w:val="bottom"/>
          </w:tcPr>
          <w:p w14:paraId="74DD68A9" w14:textId="77777777" w:rsidR="00584EC1" w:rsidRDefault="00871F8D">
            <w:pPr>
              <w:textAlignment w:val="bottom"/>
            </w:pPr>
            <w:r>
              <w:rPr>
                <w:rFonts w:ascii="Arial" w:eastAsia="宋体" w:hAnsi="Arial" w:cs="Arial"/>
                <w:b/>
                <w:bCs/>
                <w:color w:val="000000"/>
                <w:sz w:val="15"/>
                <w:szCs w:val="15"/>
              </w:rPr>
              <w:t>TABLE 5: INDUSTRY ASSET FLOWS</w:t>
            </w:r>
          </w:p>
        </w:tc>
      </w:tr>
      <w:tr w:rsidR="00584EC1" w14:paraId="74DD68AD" w14:textId="77777777">
        <w:tc>
          <w:tcPr>
            <w:tcW w:w="0" w:type="auto"/>
            <w:gridSpan w:val="3"/>
            <w:shd w:val="clear" w:color="auto" w:fill="auto"/>
            <w:tcMar>
              <w:top w:w="0" w:type="dxa"/>
              <w:left w:w="20" w:type="dxa"/>
              <w:bottom w:w="0" w:type="dxa"/>
              <w:right w:w="20" w:type="dxa"/>
            </w:tcMar>
            <w:vAlign w:val="bottom"/>
          </w:tcPr>
          <w:p w14:paraId="74DD68AB" w14:textId="77777777" w:rsidR="00584EC1" w:rsidRDefault="00584EC1">
            <w:pPr>
              <w:rPr>
                <w:rFonts w:ascii="宋体"/>
              </w:rPr>
            </w:pPr>
          </w:p>
        </w:tc>
        <w:tc>
          <w:tcPr>
            <w:tcW w:w="0" w:type="auto"/>
            <w:gridSpan w:val="9"/>
            <w:shd w:val="clear" w:color="auto" w:fill="auto"/>
            <w:tcMar>
              <w:top w:w="40" w:type="dxa"/>
              <w:left w:w="20" w:type="dxa"/>
              <w:bottom w:w="40" w:type="dxa"/>
              <w:right w:w="20" w:type="dxa"/>
            </w:tcMar>
            <w:vAlign w:val="bottom"/>
          </w:tcPr>
          <w:p w14:paraId="74DD68AC" w14:textId="77777777" w:rsidR="00584EC1" w:rsidRDefault="00871F8D">
            <w:pPr>
              <w:jc w:val="center"/>
              <w:textAlignment w:val="bottom"/>
            </w:pPr>
            <w:r>
              <w:rPr>
                <w:rFonts w:ascii="Arial" w:eastAsia="宋体" w:hAnsi="Arial" w:cs="Arial"/>
                <w:b/>
                <w:bCs/>
                <w:color w:val="000000"/>
                <w:sz w:val="15"/>
                <w:szCs w:val="15"/>
              </w:rPr>
              <w:t>Three Months Ended September 30,</w:t>
            </w:r>
          </w:p>
        </w:tc>
      </w:tr>
      <w:tr w:rsidR="00584EC1" w14:paraId="74DD68B2" w14:textId="77777777">
        <w:tc>
          <w:tcPr>
            <w:tcW w:w="0" w:type="auto"/>
            <w:gridSpan w:val="3"/>
            <w:shd w:val="clear" w:color="auto" w:fill="auto"/>
            <w:tcMar>
              <w:top w:w="40" w:type="dxa"/>
              <w:left w:w="20" w:type="dxa"/>
              <w:bottom w:w="40" w:type="dxa"/>
              <w:right w:w="20" w:type="dxa"/>
            </w:tcMar>
            <w:vAlign w:val="bottom"/>
          </w:tcPr>
          <w:p w14:paraId="74DD68AE" w14:textId="77777777" w:rsidR="00584EC1" w:rsidRDefault="00871F8D">
            <w:pPr>
              <w:textAlignment w:val="bottom"/>
            </w:pPr>
            <w:r>
              <w:rPr>
                <w:rFonts w:ascii="Arial" w:eastAsia="宋体" w:hAnsi="Arial" w:cs="Arial"/>
                <w:b/>
                <w:bCs/>
                <w:color w:val="000000"/>
                <w:sz w:val="15"/>
                <w:szCs w:val="15"/>
              </w:rPr>
              <w:t>(In billions)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68AF" w14:textId="77777777" w:rsidR="00584EC1" w:rsidRDefault="00871F8D">
            <w:pPr>
              <w:jc w:val="center"/>
              <w:textAlignment w:val="bottom"/>
            </w:pPr>
            <w:r>
              <w:rPr>
                <w:rFonts w:ascii="Arial" w:eastAsia="宋体" w:hAnsi="Arial" w:cs="Arial"/>
                <w:b/>
                <w:bCs/>
                <w:color w:val="000000"/>
                <w:sz w:val="15"/>
                <w:szCs w:val="15"/>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68B0"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68B1" w14:textId="77777777" w:rsidR="00584EC1" w:rsidRDefault="00871F8D">
            <w:pPr>
              <w:jc w:val="center"/>
              <w:textAlignment w:val="bottom"/>
            </w:pPr>
            <w:r>
              <w:rPr>
                <w:rFonts w:ascii="Arial" w:eastAsia="宋体" w:hAnsi="Arial" w:cs="Arial"/>
                <w:b/>
                <w:bCs/>
                <w:color w:val="000000"/>
                <w:sz w:val="15"/>
                <w:szCs w:val="15"/>
              </w:rPr>
              <w:t>2020</w:t>
            </w:r>
          </w:p>
        </w:tc>
      </w:tr>
      <w:tr w:rsidR="00584EC1" w14:paraId="74DD68B7" w14:textId="77777777">
        <w:tc>
          <w:tcPr>
            <w:tcW w:w="0" w:type="auto"/>
            <w:gridSpan w:val="3"/>
            <w:shd w:val="clear" w:color="auto" w:fill="auto"/>
            <w:tcMar>
              <w:top w:w="40" w:type="dxa"/>
              <w:left w:w="20" w:type="dxa"/>
              <w:bottom w:w="40" w:type="dxa"/>
              <w:right w:w="20" w:type="dxa"/>
            </w:tcMar>
            <w:vAlign w:val="bottom"/>
          </w:tcPr>
          <w:p w14:paraId="74DD68B3" w14:textId="77777777" w:rsidR="00584EC1" w:rsidRDefault="00871F8D">
            <w:pPr>
              <w:textAlignment w:val="bottom"/>
            </w:pPr>
            <w:r>
              <w:rPr>
                <w:rFonts w:ascii="Arial" w:eastAsia="宋体" w:hAnsi="Arial" w:cs="Arial"/>
                <w:b/>
                <w:bCs/>
                <w:color w:val="000000"/>
                <w:sz w:val="15"/>
                <w:szCs w:val="15"/>
              </w:rPr>
              <w:t>North America - (US Domiciled) - Morningstar Direct Market Data</w:t>
            </w:r>
            <w:r>
              <w:rPr>
                <w:rFonts w:ascii="Arial" w:eastAsia="宋体" w:hAnsi="Arial" w:cs="Arial"/>
                <w:b/>
                <w:bCs/>
                <w:color w:val="000000"/>
                <w:sz w:val="9"/>
                <w:szCs w:val="9"/>
              </w:rPr>
              <w:t>(1)(2)(3)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68B4"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68B5"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68B6" w14:textId="77777777" w:rsidR="00584EC1" w:rsidRDefault="00584EC1">
            <w:pPr>
              <w:rPr>
                <w:rFonts w:ascii="宋体"/>
              </w:rPr>
            </w:pPr>
          </w:p>
        </w:tc>
      </w:tr>
      <w:tr w:rsidR="00584EC1" w14:paraId="74DD68C0" w14:textId="77777777">
        <w:tc>
          <w:tcPr>
            <w:tcW w:w="0" w:type="auto"/>
            <w:gridSpan w:val="3"/>
            <w:shd w:val="clear" w:color="auto" w:fill="CCEEFF"/>
            <w:tcMar>
              <w:top w:w="40" w:type="dxa"/>
              <w:left w:w="20" w:type="dxa"/>
              <w:bottom w:w="40" w:type="dxa"/>
              <w:right w:w="20" w:type="dxa"/>
            </w:tcMar>
            <w:vAlign w:val="bottom"/>
          </w:tcPr>
          <w:p w14:paraId="74DD68B8" w14:textId="77777777" w:rsidR="00584EC1" w:rsidRDefault="00871F8D">
            <w:pPr>
              <w:textAlignment w:val="bottom"/>
            </w:pPr>
            <w:r>
              <w:rPr>
                <w:rFonts w:ascii="Arial" w:eastAsia="宋体" w:hAnsi="Arial" w:cs="Arial"/>
                <w:color w:val="000000"/>
                <w:sz w:val="15"/>
                <w:szCs w:val="15"/>
              </w:rPr>
              <w:t>Long-Term Funds</w:t>
            </w:r>
            <w:r>
              <w:rPr>
                <w:rFonts w:ascii="Arial" w:eastAsia="宋体" w:hAnsi="Arial" w:cs="Arial"/>
                <w:color w:val="000000"/>
                <w:sz w:val="9"/>
                <w:szCs w:val="9"/>
              </w:rPr>
              <w:t>(4)</w:t>
            </w:r>
          </w:p>
        </w:tc>
        <w:tc>
          <w:tcPr>
            <w:tcW w:w="0" w:type="auto"/>
            <w:shd w:val="clear" w:color="auto" w:fill="CCEEFF"/>
            <w:tcMar>
              <w:top w:w="40" w:type="dxa"/>
              <w:left w:w="20" w:type="dxa"/>
              <w:bottom w:w="40" w:type="dxa"/>
              <w:right w:w="0" w:type="dxa"/>
            </w:tcMar>
            <w:vAlign w:val="bottom"/>
          </w:tcPr>
          <w:p w14:paraId="74DD68B9" w14:textId="77777777" w:rsidR="00584EC1" w:rsidRDefault="00871F8D">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4DD68BA" w14:textId="77777777" w:rsidR="00584EC1" w:rsidRDefault="00871F8D">
            <w:pPr>
              <w:jc w:val="right"/>
              <w:textAlignment w:val="bottom"/>
            </w:pPr>
            <w:r>
              <w:rPr>
                <w:rFonts w:ascii="Arial" w:eastAsia="宋体" w:hAnsi="Arial" w:cs="Arial"/>
                <w:b/>
                <w:bCs/>
                <w:color w:val="000000"/>
                <w:sz w:val="15"/>
                <w:szCs w:val="15"/>
              </w:rPr>
              <w:t>130.0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68B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8BC"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68BD" w14:textId="77777777" w:rsidR="00584EC1" w:rsidRDefault="00871F8D">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4DD68BE" w14:textId="77777777" w:rsidR="00584EC1" w:rsidRDefault="00871F8D">
            <w:pPr>
              <w:jc w:val="right"/>
              <w:textAlignment w:val="bottom"/>
            </w:pPr>
            <w:r>
              <w:rPr>
                <w:rFonts w:ascii="Arial" w:eastAsia="宋体" w:hAnsi="Arial" w:cs="Arial"/>
                <w:color w:val="000000"/>
                <w:sz w:val="15"/>
                <w:szCs w:val="15"/>
              </w:rPr>
              <w:t>21.4 </w:t>
            </w:r>
          </w:p>
        </w:tc>
        <w:tc>
          <w:tcPr>
            <w:tcW w:w="0" w:type="auto"/>
            <w:shd w:val="clear" w:color="auto" w:fill="CCEEFF"/>
            <w:tcMar>
              <w:top w:w="40" w:type="dxa"/>
              <w:left w:w="0" w:type="dxa"/>
              <w:bottom w:w="40" w:type="dxa"/>
              <w:right w:w="20" w:type="dxa"/>
            </w:tcMar>
            <w:vAlign w:val="bottom"/>
          </w:tcPr>
          <w:p w14:paraId="74DD68BF" w14:textId="77777777" w:rsidR="00584EC1" w:rsidRDefault="00584EC1">
            <w:pPr>
              <w:jc w:val="right"/>
              <w:rPr>
                <w:rFonts w:ascii="宋体"/>
              </w:rPr>
            </w:pPr>
          </w:p>
        </w:tc>
      </w:tr>
      <w:tr w:rsidR="00584EC1" w14:paraId="74DD68C7" w14:textId="77777777">
        <w:tc>
          <w:tcPr>
            <w:tcW w:w="0" w:type="auto"/>
            <w:gridSpan w:val="3"/>
            <w:shd w:val="clear" w:color="auto" w:fill="FFFFFF"/>
            <w:tcMar>
              <w:top w:w="40" w:type="dxa"/>
              <w:left w:w="155" w:type="dxa"/>
              <w:bottom w:w="40" w:type="dxa"/>
              <w:right w:w="20" w:type="dxa"/>
            </w:tcMar>
            <w:vAlign w:val="bottom"/>
          </w:tcPr>
          <w:p w14:paraId="74DD68C1" w14:textId="77777777" w:rsidR="00584EC1" w:rsidRDefault="00871F8D">
            <w:pPr>
              <w:textAlignment w:val="bottom"/>
            </w:pPr>
            <w:r>
              <w:rPr>
                <w:rFonts w:ascii="Arial" w:eastAsia="宋体" w:hAnsi="Arial" w:cs="Arial"/>
                <w:color w:val="000000"/>
                <w:sz w:val="15"/>
                <w:szCs w:val="15"/>
              </w:rPr>
              <w:t xml:space="preserve">Money </w:t>
            </w:r>
            <w:r>
              <w:rPr>
                <w:rFonts w:ascii="Arial" w:eastAsia="宋体" w:hAnsi="Arial" w:cs="Arial"/>
                <w:color w:val="000000"/>
                <w:sz w:val="15"/>
                <w:szCs w:val="15"/>
              </w:rPr>
              <w:t>Market</w:t>
            </w:r>
          </w:p>
        </w:tc>
        <w:tc>
          <w:tcPr>
            <w:tcW w:w="0" w:type="auto"/>
            <w:gridSpan w:val="2"/>
            <w:shd w:val="clear" w:color="auto" w:fill="FFFFFF"/>
            <w:tcMar>
              <w:top w:w="40" w:type="dxa"/>
              <w:left w:w="20" w:type="dxa"/>
              <w:bottom w:w="40" w:type="dxa"/>
              <w:right w:w="0" w:type="dxa"/>
            </w:tcMar>
            <w:vAlign w:val="bottom"/>
          </w:tcPr>
          <w:p w14:paraId="74DD68C2" w14:textId="77777777" w:rsidR="00584EC1" w:rsidRDefault="00871F8D">
            <w:pPr>
              <w:jc w:val="right"/>
              <w:textAlignment w:val="bottom"/>
            </w:pPr>
            <w:r>
              <w:rPr>
                <w:rFonts w:ascii="Arial" w:eastAsia="宋体" w:hAnsi="Arial" w:cs="Arial"/>
                <w:b/>
                <w:bCs/>
                <w:color w:val="000000"/>
                <w:sz w:val="15"/>
                <w:szCs w:val="15"/>
              </w:rPr>
              <w:t>20.8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68C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8C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8C5" w14:textId="77777777" w:rsidR="00584EC1" w:rsidRDefault="00871F8D">
            <w:pPr>
              <w:jc w:val="right"/>
              <w:textAlignment w:val="bottom"/>
            </w:pPr>
            <w:r>
              <w:rPr>
                <w:rFonts w:ascii="Arial" w:eastAsia="宋体" w:hAnsi="Arial" w:cs="Arial"/>
                <w:color w:val="000000"/>
                <w:sz w:val="15"/>
                <w:szCs w:val="15"/>
              </w:rPr>
              <w:t>(165.8)</w:t>
            </w:r>
          </w:p>
        </w:tc>
        <w:tc>
          <w:tcPr>
            <w:tcW w:w="0" w:type="auto"/>
            <w:shd w:val="clear" w:color="auto" w:fill="FFFFFF"/>
            <w:tcMar>
              <w:top w:w="40" w:type="dxa"/>
              <w:left w:w="0" w:type="dxa"/>
              <w:bottom w:w="40" w:type="dxa"/>
              <w:right w:w="20" w:type="dxa"/>
            </w:tcMar>
            <w:vAlign w:val="bottom"/>
          </w:tcPr>
          <w:p w14:paraId="74DD68C6" w14:textId="77777777" w:rsidR="00584EC1" w:rsidRDefault="00584EC1">
            <w:pPr>
              <w:jc w:val="right"/>
              <w:rPr>
                <w:rFonts w:ascii="宋体"/>
              </w:rPr>
            </w:pPr>
          </w:p>
        </w:tc>
      </w:tr>
      <w:tr w:rsidR="00584EC1" w14:paraId="74DD68CE" w14:textId="77777777">
        <w:tc>
          <w:tcPr>
            <w:tcW w:w="0" w:type="auto"/>
            <w:gridSpan w:val="3"/>
            <w:shd w:val="clear" w:color="auto" w:fill="CCEEFF"/>
            <w:tcMar>
              <w:top w:w="40" w:type="dxa"/>
              <w:left w:w="155" w:type="dxa"/>
              <w:bottom w:w="40" w:type="dxa"/>
              <w:right w:w="20" w:type="dxa"/>
            </w:tcMar>
            <w:vAlign w:val="bottom"/>
          </w:tcPr>
          <w:p w14:paraId="74DD68C8" w14:textId="77777777" w:rsidR="00584EC1" w:rsidRDefault="00871F8D">
            <w:pPr>
              <w:textAlignment w:val="bottom"/>
            </w:pPr>
            <w:r>
              <w:rPr>
                <w:rFonts w:ascii="Arial" w:eastAsia="宋体" w:hAnsi="Arial" w:cs="Arial"/>
                <w:color w:val="000000"/>
                <w:sz w:val="15"/>
                <w:szCs w:val="15"/>
              </w:rPr>
              <w:t>Exchange-Traded Fund</w:t>
            </w:r>
          </w:p>
        </w:tc>
        <w:tc>
          <w:tcPr>
            <w:tcW w:w="0" w:type="auto"/>
            <w:gridSpan w:val="2"/>
            <w:shd w:val="clear" w:color="auto" w:fill="CCEEFF"/>
            <w:tcMar>
              <w:top w:w="40" w:type="dxa"/>
              <w:left w:w="20" w:type="dxa"/>
              <w:bottom w:w="40" w:type="dxa"/>
              <w:right w:w="0" w:type="dxa"/>
            </w:tcMar>
            <w:vAlign w:val="bottom"/>
          </w:tcPr>
          <w:p w14:paraId="74DD68C9" w14:textId="77777777" w:rsidR="00584EC1" w:rsidRDefault="00871F8D">
            <w:pPr>
              <w:jc w:val="right"/>
              <w:textAlignment w:val="bottom"/>
            </w:pPr>
            <w:r>
              <w:rPr>
                <w:rFonts w:ascii="Arial" w:eastAsia="宋体" w:hAnsi="Arial" w:cs="Arial"/>
                <w:b/>
                <w:bCs/>
                <w:color w:val="000000"/>
                <w:sz w:val="15"/>
                <w:szCs w:val="15"/>
              </w:rPr>
              <w:t>103.2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68C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8C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8CC" w14:textId="77777777" w:rsidR="00584EC1" w:rsidRDefault="00871F8D">
            <w:pPr>
              <w:jc w:val="right"/>
              <w:textAlignment w:val="bottom"/>
            </w:pPr>
            <w:r>
              <w:rPr>
                <w:rFonts w:ascii="Arial" w:eastAsia="宋体" w:hAnsi="Arial" w:cs="Arial"/>
                <w:color w:val="000000"/>
                <w:sz w:val="15"/>
                <w:szCs w:val="15"/>
              </w:rPr>
              <w:t>60.1 </w:t>
            </w:r>
          </w:p>
        </w:tc>
        <w:tc>
          <w:tcPr>
            <w:tcW w:w="0" w:type="auto"/>
            <w:shd w:val="clear" w:color="auto" w:fill="CCEEFF"/>
            <w:tcMar>
              <w:top w:w="40" w:type="dxa"/>
              <w:left w:w="0" w:type="dxa"/>
              <w:bottom w:w="40" w:type="dxa"/>
              <w:right w:w="20" w:type="dxa"/>
            </w:tcMar>
            <w:vAlign w:val="bottom"/>
          </w:tcPr>
          <w:p w14:paraId="74DD68CD" w14:textId="77777777" w:rsidR="00584EC1" w:rsidRDefault="00584EC1">
            <w:pPr>
              <w:jc w:val="right"/>
              <w:rPr>
                <w:rFonts w:ascii="宋体"/>
              </w:rPr>
            </w:pPr>
          </w:p>
        </w:tc>
      </w:tr>
      <w:tr w:rsidR="00584EC1" w14:paraId="74DD68D7" w14:textId="77777777">
        <w:tc>
          <w:tcPr>
            <w:tcW w:w="0" w:type="auto"/>
            <w:gridSpan w:val="3"/>
            <w:shd w:val="clear" w:color="auto" w:fill="FFFFFF"/>
            <w:tcMar>
              <w:top w:w="40" w:type="dxa"/>
              <w:left w:w="20" w:type="dxa"/>
              <w:bottom w:w="40" w:type="dxa"/>
              <w:right w:w="20" w:type="dxa"/>
            </w:tcMar>
            <w:vAlign w:val="bottom"/>
          </w:tcPr>
          <w:p w14:paraId="74DD68CF" w14:textId="77777777" w:rsidR="00584EC1" w:rsidRDefault="00871F8D">
            <w:pPr>
              <w:textAlignment w:val="bottom"/>
            </w:pPr>
            <w:r>
              <w:rPr>
                <w:rFonts w:ascii="Arial" w:eastAsia="宋体" w:hAnsi="Arial" w:cs="Arial"/>
                <w:b/>
                <w:bCs/>
                <w:color w:val="000000"/>
                <w:sz w:val="15"/>
                <w:szCs w:val="15"/>
              </w:rPr>
              <w:t>Total Flows</w:t>
            </w:r>
          </w:p>
        </w:tc>
        <w:tc>
          <w:tcPr>
            <w:tcW w:w="0" w:type="auto"/>
            <w:tcBorders>
              <w:top w:val="single" w:sz="8" w:space="0" w:color="000000"/>
            </w:tcBorders>
            <w:shd w:val="clear" w:color="auto" w:fill="FFFFFF"/>
            <w:tcMar>
              <w:top w:w="40" w:type="dxa"/>
              <w:left w:w="20" w:type="dxa"/>
              <w:bottom w:w="40" w:type="dxa"/>
              <w:right w:w="0" w:type="dxa"/>
            </w:tcMar>
            <w:vAlign w:val="bottom"/>
          </w:tcPr>
          <w:p w14:paraId="74DD68D0" w14:textId="77777777" w:rsidR="00584EC1" w:rsidRDefault="00871F8D">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68D1" w14:textId="77777777" w:rsidR="00584EC1" w:rsidRDefault="00871F8D">
            <w:pPr>
              <w:jc w:val="right"/>
              <w:textAlignment w:val="bottom"/>
            </w:pPr>
            <w:r>
              <w:rPr>
                <w:rFonts w:ascii="Arial" w:eastAsia="宋体" w:hAnsi="Arial" w:cs="Arial"/>
                <w:b/>
                <w:bCs/>
                <w:color w:val="000000"/>
                <w:sz w:val="15"/>
                <w:szCs w:val="15"/>
              </w:rPr>
              <w:t>254.0</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68D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8D3"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68D4"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68D5" w14:textId="77777777" w:rsidR="00584EC1" w:rsidRDefault="00871F8D">
            <w:pPr>
              <w:jc w:val="right"/>
              <w:textAlignment w:val="bottom"/>
            </w:pPr>
            <w:r>
              <w:rPr>
                <w:rFonts w:ascii="Arial" w:eastAsia="宋体" w:hAnsi="Arial" w:cs="Arial"/>
                <w:color w:val="000000"/>
                <w:sz w:val="15"/>
                <w:szCs w:val="15"/>
              </w:rPr>
              <w:t>(84.3)</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68D6" w14:textId="77777777" w:rsidR="00584EC1" w:rsidRDefault="00584EC1">
            <w:pPr>
              <w:jc w:val="right"/>
              <w:rPr>
                <w:rFonts w:ascii="宋体"/>
              </w:rPr>
            </w:pPr>
          </w:p>
        </w:tc>
      </w:tr>
      <w:tr w:rsidR="00584EC1" w14:paraId="74DD68DC" w14:textId="77777777">
        <w:trPr>
          <w:trHeight w:val="60"/>
        </w:trPr>
        <w:tc>
          <w:tcPr>
            <w:tcW w:w="0" w:type="auto"/>
            <w:gridSpan w:val="3"/>
            <w:shd w:val="clear" w:color="auto" w:fill="auto"/>
            <w:tcMar>
              <w:top w:w="0" w:type="dxa"/>
              <w:left w:w="20" w:type="dxa"/>
              <w:bottom w:w="0" w:type="dxa"/>
              <w:right w:w="20" w:type="dxa"/>
            </w:tcMar>
            <w:vAlign w:val="bottom"/>
          </w:tcPr>
          <w:p w14:paraId="74DD68D8"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D68D9"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68DA"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D68DB" w14:textId="77777777" w:rsidR="00584EC1" w:rsidRDefault="00584EC1">
            <w:pPr>
              <w:rPr>
                <w:rFonts w:ascii="宋体"/>
              </w:rPr>
            </w:pPr>
          </w:p>
        </w:tc>
      </w:tr>
      <w:tr w:rsidR="00584EC1" w14:paraId="74DD68E1" w14:textId="77777777">
        <w:tc>
          <w:tcPr>
            <w:tcW w:w="0" w:type="auto"/>
            <w:gridSpan w:val="3"/>
            <w:shd w:val="clear" w:color="auto" w:fill="FFFFFF"/>
            <w:tcMar>
              <w:top w:w="40" w:type="dxa"/>
              <w:left w:w="20" w:type="dxa"/>
              <w:bottom w:w="40" w:type="dxa"/>
              <w:right w:w="20" w:type="dxa"/>
            </w:tcMar>
            <w:vAlign w:val="bottom"/>
          </w:tcPr>
          <w:p w14:paraId="74DD68DD" w14:textId="77777777" w:rsidR="00584EC1" w:rsidRDefault="00871F8D">
            <w:pPr>
              <w:textAlignment w:val="bottom"/>
            </w:pPr>
            <w:r>
              <w:rPr>
                <w:rFonts w:ascii="Arial" w:eastAsia="宋体" w:hAnsi="Arial" w:cs="Arial"/>
                <w:b/>
                <w:bCs/>
                <w:color w:val="000000"/>
                <w:sz w:val="15"/>
                <w:szCs w:val="15"/>
              </w:rPr>
              <w:t>Europe - Morningstar Direct Market Data</w:t>
            </w:r>
            <w:r>
              <w:rPr>
                <w:rFonts w:ascii="Arial" w:eastAsia="宋体" w:hAnsi="Arial" w:cs="Arial"/>
                <w:b/>
                <w:bCs/>
                <w:color w:val="000000"/>
                <w:sz w:val="9"/>
                <w:szCs w:val="9"/>
              </w:rPr>
              <w:t>(1)(2)(5)</w:t>
            </w:r>
          </w:p>
        </w:tc>
        <w:tc>
          <w:tcPr>
            <w:tcW w:w="0" w:type="auto"/>
            <w:gridSpan w:val="3"/>
            <w:shd w:val="clear" w:color="auto" w:fill="FFFFFF"/>
            <w:tcMar>
              <w:top w:w="0" w:type="dxa"/>
              <w:left w:w="20" w:type="dxa"/>
              <w:bottom w:w="0" w:type="dxa"/>
              <w:right w:w="20" w:type="dxa"/>
            </w:tcMar>
            <w:vAlign w:val="bottom"/>
          </w:tcPr>
          <w:p w14:paraId="74DD68DE"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8DF"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68E0" w14:textId="77777777" w:rsidR="00584EC1" w:rsidRDefault="00584EC1">
            <w:pPr>
              <w:rPr>
                <w:rFonts w:ascii="宋体"/>
              </w:rPr>
            </w:pPr>
          </w:p>
        </w:tc>
      </w:tr>
      <w:tr w:rsidR="00584EC1" w14:paraId="74DD68EA" w14:textId="77777777">
        <w:tc>
          <w:tcPr>
            <w:tcW w:w="0" w:type="auto"/>
            <w:gridSpan w:val="3"/>
            <w:shd w:val="clear" w:color="auto" w:fill="CCEEFF"/>
            <w:tcMar>
              <w:top w:w="40" w:type="dxa"/>
              <w:left w:w="20" w:type="dxa"/>
              <w:bottom w:w="40" w:type="dxa"/>
              <w:right w:w="20" w:type="dxa"/>
            </w:tcMar>
            <w:vAlign w:val="bottom"/>
          </w:tcPr>
          <w:p w14:paraId="74DD68E2" w14:textId="77777777" w:rsidR="00584EC1" w:rsidRDefault="00871F8D">
            <w:pPr>
              <w:textAlignment w:val="bottom"/>
            </w:pPr>
            <w:r>
              <w:rPr>
                <w:rFonts w:ascii="Arial" w:eastAsia="宋体" w:hAnsi="Arial" w:cs="Arial"/>
                <w:color w:val="000000"/>
                <w:sz w:val="15"/>
                <w:szCs w:val="15"/>
              </w:rPr>
              <w:t>Long-Term Funds</w:t>
            </w:r>
            <w:r>
              <w:rPr>
                <w:rFonts w:ascii="Arial" w:eastAsia="宋体" w:hAnsi="Arial" w:cs="Arial"/>
                <w:color w:val="000000"/>
                <w:sz w:val="9"/>
                <w:szCs w:val="9"/>
              </w:rPr>
              <w:t>(4)</w:t>
            </w:r>
          </w:p>
        </w:tc>
        <w:tc>
          <w:tcPr>
            <w:tcW w:w="0" w:type="auto"/>
            <w:shd w:val="clear" w:color="auto" w:fill="CCEEFF"/>
            <w:tcMar>
              <w:top w:w="40" w:type="dxa"/>
              <w:left w:w="20" w:type="dxa"/>
              <w:bottom w:w="40" w:type="dxa"/>
              <w:right w:w="0" w:type="dxa"/>
            </w:tcMar>
            <w:vAlign w:val="bottom"/>
          </w:tcPr>
          <w:p w14:paraId="74DD68E3" w14:textId="77777777" w:rsidR="00584EC1" w:rsidRDefault="00871F8D">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4DD68E4" w14:textId="77777777" w:rsidR="00584EC1" w:rsidRDefault="00871F8D">
            <w:pPr>
              <w:jc w:val="right"/>
              <w:textAlignment w:val="bottom"/>
            </w:pPr>
            <w:r>
              <w:rPr>
                <w:rFonts w:ascii="Arial" w:eastAsia="宋体" w:hAnsi="Arial" w:cs="Arial"/>
                <w:b/>
                <w:bCs/>
                <w:color w:val="000000"/>
                <w:sz w:val="15"/>
                <w:szCs w:val="15"/>
              </w:rPr>
              <w:t>213.4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68E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8E6"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68E7" w14:textId="77777777" w:rsidR="00584EC1" w:rsidRDefault="00871F8D">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4DD68E8" w14:textId="77777777" w:rsidR="00584EC1" w:rsidRDefault="00871F8D">
            <w:pPr>
              <w:jc w:val="right"/>
              <w:textAlignment w:val="bottom"/>
            </w:pPr>
            <w:r>
              <w:rPr>
                <w:rFonts w:ascii="Arial" w:eastAsia="宋体" w:hAnsi="Arial" w:cs="Arial"/>
                <w:color w:val="000000"/>
                <w:sz w:val="15"/>
                <w:szCs w:val="15"/>
              </w:rPr>
              <w:t>134.4 </w:t>
            </w:r>
          </w:p>
        </w:tc>
        <w:tc>
          <w:tcPr>
            <w:tcW w:w="0" w:type="auto"/>
            <w:shd w:val="clear" w:color="auto" w:fill="CCEEFF"/>
            <w:tcMar>
              <w:top w:w="40" w:type="dxa"/>
              <w:left w:w="0" w:type="dxa"/>
              <w:bottom w:w="40" w:type="dxa"/>
              <w:right w:w="20" w:type="dxa"/>
            </w:tcMar>
            <w:vAlign w:val="bottom"/>
          </w:tcPr>
          <w:p w14:paraId="74DD68E9" w14:textId="77777777" w:rsidR="00584EC1" w:rsidRDefault="00584EC1">
            <w:pPr>
              <w:jc w:val="right"/>
              <w:rPr>
                <w:rFonts w:ascii="宋体"/>
              </w:rPr>
            </w:pPr>
          </w:p>
        </w:tc>
      </w:tr>
      <w:tr w:rsidR="00584EC1" w14:paraId="74DD68F1" w14:textId="77777777">
        <w:tc>
          <w:tcPr>
            <w:tcW w:w="0" w:type="auto"/>
            <w:gridSpan w:val="3"/>
            <w:shd w:val="clear" w:color="auto" w:fill="FFFFFF"/>
            <w:tcMar>
              <w:top w:w="40" w:type="dxa"/>
              <w:left w:w="155" w:type="dxa"/>
              <w:bottom w:w="40" w:type="dxa"/>
              <w:right w:w="20" w:type="dxa"/>
            </w:tcMar>
            <w:vAlign w:val="bottom"/>
          </w:tcPr>
          <w:p w14:paraId="74DD68EB" w14:textId="77777777" w:rsidR="00584EC1" w:rsidRDefault="00871F8D">
            <w:pPr>
              <w:textAlignment w:val="bottom"/>
            </w:pPr>
            <w:r>
              <w:rPr>
                <w:rFonts w:ascii="Arial" w:eastAsia="宋体" w:hAnsi="Arial" w:cs="Arial"/>
                <w:color w:val="000000"/>
                <w:sz w:val="15"/>
                <w:szCs w:val="15"/>
              </w:rPr>
              <w:t>Money Market</w:t>
            </w:r>
          </w:p>
        </w:tc>
        <w:tc>
          <w:tcPr>
            <w:tcW w:w="0" w:type="auto"/>
            <w:gridSpan w:val="2"/>
            <w:shd w:val="clear" w:color="auto" w:fill="FFFFFF"/>
            <w:tcMar>
              <w:top w:w="40" w:type="dxa"/>
              <w:left w:w="20" w:type="dxa"/>
              <w:bottom w:w="40" w:type="dxa"/>
              <w:right w:w="0" w:type="dxa"/>
            </w:tcMar>
            <w:vAlign w:val="bottom"/>
          </w:tcPr>
          <w:p w14:paraId="74DD68EC" w14:textId="77777777" w:rsidR="00584EC1" w:rsidRDefault="00871F8D">
            <w:pPr>
              <w:jc w:val="right"/>
              <w:textAlignment w:val="bottom"/>
            </w:pPr>
            <w:r>
              <w:rPr>
                <w:rFonts w:ascii="Arial" w:eastAsia="宋体" w:hAnsi="Arial" w:cs="Arial"/>
                <w:b/>
                <w:bCs/>
                <w:color w:val="000000"/>
                <w:sz w:val="15"/>
                <w:szCs w:val="15"/>
              </w:rPr>
              <w:t>47.9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68E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8E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8EF" w14:textId="77777777" w:rsidR="00584EC1" w:rsidRDefault="00871F8D">
            <w:pPr>
              <w:jc w:val="right"/>
              <w:textAlignment w:val="bottom"/>
            </w:pPr>
            <w:r>
              <w:rPr>
                <w:rFonts w:ascii="Arial" w:eastAsia="宋体" w:hAnsi="Arial" w:cs="Arial"/>
                <w:color w:val="000000"/>
                <w:sz w:val="15"/>
                <w:szCs w:val="15"/>
              </w:rPr>
              <w:t>60.0 </w:t>
            </w:r>
          </w:p>
        </w:tc>
        <w:tc>
          <w:tcPr>
            <w:tcW w:w="0" w:type="auto"/>
            <w:shd w:val="clear" w:color="auto" w:fill="FFFFFF"/>
            <w:tcMar>
              <w:top w:w="40" w:type="dxa"/>
              <w:left w:w="0" w:type="dxa"/>
              <w:bottom w:w="40" w:type="dxa"/>
              <w:right w:w="20" w:type="dxa"/>
            </w:tcMar>
            <w:vAlign w:val="bottom"/>
          </w:tcPr>
          <w:p w14:paraId="74DD68F0" w14:textId="77777777" w:rsidR="00584EC1" w:rsidRDefault="00584EC1">
            <w:pPr>
              <w:jc w:val="right"/>
              <w:rPr>
                <w:rFonts w:ascii="宋体"/>
              </w:rPr>
            </w:pPr>
          </w:p>
        </w:tc>
      </w:tr>
      <w:tr w:rsidR="00584EC1" w14:paraId="74DD68F8" w14:textId="77777777">
        <w:tc>
          <w:tcPr>
            <w:tcW w:w="0" w:type="auto"/>
            <w:gridSpan w:val="3"/>
            <w:shd w:val="clear" w:color="auto" w:fill="CCEEFF"/>
            <w:tcMar>
              <w:top w:w="40" w:type="dxa"/>
              <w:left w:w="155" w:type="dxa"/>
              <w:bottom w:w="40" w:type="dxa"/>
              <w:right w:w="20" w:type="dxa"/>
            </w:tcMar>
            <w:vAlign w:val="bottom"/>
          </w:tcPr>
          <w:p w14:paraId="74DD68F2" w14:textId="77777777" w:rsidR="00584EC1" w:rsidRDefault="00871F8D">
            <w:pPr>
              <w:textAlignment w:val="bottom"/>
            </w:pPr>
            <w:r>
              <w:rPr>
                <w:rFonts w:ascii="Arial" w:eastAsia="宋体" w:hAnsi="Arial" w:cs="Arial"/>
                <w:color w:val="000000"/>
                <w:sz w:val="15"/>
                <w:szCs w:val="15"/>
              </w:rPr>
              <w:t>Exchange-Traded Fund</w:t>
            </w:r>
          </w:p>
        </w:tc>
        <w:tc>
          <w:tcPr>
            <w:tcW w:w="0" w:type="auto"/>
            <w:gridSpan w:val="2"/>
            <w:shd w:val="clear" w:color="auto" w:fill="CCEEFF"/>
            <w:tcMar>
              <w:top w:w="40" w:type="dxa"/>
              <w:left w:w="20" w:type="dxa"/>
              <w:bottom w:w="40" w:type="dxa"/>
              <w:right w:w="0" w:type="dxa"/>
            </w:tcMar>
            <w:vAlign w:val="bottom"/>
          </w:tcPr>
          <w:p w14:paraId="74DD68F3" w14:textId="77777777" w:rsidR="00584EC1" w:rsidRDefault="00871F8D">
            <w:pPr>
              <w:jc w:val="right"/>
              <w:textAlignment w:val="bottom"/>
            </w:pPr>
            <w:r>
              <w:rPr>
                <w:rFonts w:ascii="Arial" w:eastAsia="宋体" w:hAnsi="Arial" w:cs="Arial"/>
                <w:b/>
                <w:bCs/>
                <w:color w:val="000000"/>
                <w:sz w:val="15"/>
                <w:szCs w:val="15"/>
              </w:rPr>
              <w:t>36.7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68F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8F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8F6" w14:textId="77777777" w:rsidR="00584EC1" w:rsidRDefault="00871F8D">
            <w:pPr>
              <w:jc w:val="right"/>
              <w:textAlignment w:val="bottom"/>
            </w:pPr>
            <w:r>
              <w:rPr>
                <w:rFonts w:ascii="Arial" w:eastAsia="宋体" w:hAnsi="Arial" w:cs="Arial"/>
                <w:color w:val="000000"/>
                <w:sz w:val="15"/>
                <w:szCs w:val="15"/>
              </w:rPr>
              <w:t>32.4 </w:t>
            </w:r>
          </w:p>
        </w:tc>
        <w:tc>
          <w:tcPr>
            <w:tcW w:w="0" w:type="auto"/>
            <w:shd w:val="clear" w:color="auto" w:fill="CCEEFF"/>
            <w:tcMar>
              <w:top w:w="40" w:type="dxa"/>
              <w:left w:w="0" w:type="dxa"/>
              <w:bottom w:w="40" w:type="dxa"/>
              <w:right w:w="20" w:type="dxa"/>
            </w:tcMar>
            <w:vAlign w:val="bottom"/>
          </w:tcPr>
          <w:p w14:paraId="74DD68F7" w14:textId="77777777" w:rsidR="00584EC1" w:rsidRDefault="00584EC1">
            <w:pPr>
              <w:jc w:val="right"/>
              <w:rPr>
                <w:rFonts w:ascii="宋体"/>
              </w:rPr>
            </w:pPr>
          </w:p>
        </w:tc>
      </w:tr>
      <w:tr w:rsidR="00584EC1" w14:paraId="74DD68FD" w14:textId="77777777">
        <w:trPr>
          <w:hidden/>
        </w:trPr>
        <w:tc>
          <w:tcPr>
            <w:tcW w:w="0" w:type="auto"/>
            <w:gridSpan w:val="3"/>
            <w:shd w:val="clear" w:color="auto" w:fill="auto"/>
            <w:vAlign w:val="bottom"/>
          </w:tcPr>
          <w:p w14:paraId="74DD68F9" w14:textId="77777777" w:rsidR="00584EC1" w:rsidRDefault="00584EC1">
            <w:pPr>
              <w:rPr>
                <w:rFonts w:ascii="宋体"/>
                <w:vanish/>
              </w:rPr>
            </w:pPr>
          </w:p>
        </w:tc>
        <w:tc>
          <w:tcPr>
            <w:tcW w:w="0" w:type="auto"/>
            <w:gridSpan w:val="3"/>
            <w:shd w:val="clear" w:color="auto" w:fill="auto"/>
            <w:vAlign w:val="bottom"/>
          </w:tcPr>
          <w:p w14:paraId="74DD68FA" w14:textId="77777777" w:rsidR="00584EC1" w:rsidRDefault="00584EC1">
            <w:pPr>
              <w:rPr>
                <w:rFonts w:ascii="宋体"/>
                <w:vanish/>
              </w:rPr>
            </w:pPr>
          </w:p>
        </w:tc>
        <w:tc>
          <w:tcPr>
            <w:tcW w:w="0" w:type="auto"/>
            <w:gridSpan w:val="3"/>
            <w:shd w:val="clear" w:color="auto" w:fill="auto"/>
            <w:vAlign w:val="bottom"/>
          </w:tcPr>
          <w:p w14:paraId="74DD68FB" w14:textId="77777777" w:rsidR="00584EC1" w:rsidRDefault="00584EC1">
            <w:pPr>
              <w:rPr>
                <w:rFonts w:ascii="宋体"/>
                <w:vanish/>
              </w:rPr>
            </w:pPr>
          </w:p>
        </w:tc>
        <w:tc>
          <w:tcPr>
            <w:tcW w:w="0" w:type="auto"/>
            <w:gridSpan w:val="3"/>
            <w:shd w:val="clear" w:color="auto" w:fill="auto"/>
            <w:vAlign w:val="bottom"/>
          </w:tcPr>
          <w:p w14:paraId="74DD68FC" w14:textId="77777777" w:rsidR="00584EC1" w:rsidRDefault="00584EC1">
            <w:pPr>
              <w:rPr>
                <w:rFonts w:ascii="宋体"/>
                <w:vanish/>
              </w:rPr>
            </w:pPr>
          </w:p>
        </w:tc>
      </w:tr>
      <w:tr w:rsidR="00584EC1" w14:paraId="74DD6902" w14:textId="77777777">
        <w:trPr>
          <w:hidden/>
        </w:trPr>
        <w:tc>
          <w:tcPr>
            <w:tcW w:w="0" w:type="auto"/>
            <w:gridSpan w:val="3"/>
            <w:shd w:val="clear" w:color="auto" w:fill="auto"/>
            <w:vAlign w:val="bottom"/>
          </w:tcPr>
          <w:p w14:paraId="74DD68FE" w14:textId="77777777" w:rsidR="00584EC1" w:rsidRDefault="00584EC1">
            <w:pPr>
              <w:rPr>
                <w:rFonts w:ascii="宋体"/>
                <w:vanish/>
              </w:rPr>
            </w:pPr>
          </w:p>
        </w:tc>
        <w:tc>
          <w:tcPr>
            <w:tcW w:w="0" w:type="auto"/>
            <w:gridSpan w:val="3"/>
            <w:shd w:val="clear" w:color="auto" w:fill="auto"/>
            <w:vAlign w:val="bottom"/>
          </w:tcPr>
          <w:p w14:paraId="74DD68FF" w14:textId="77777777" w:rsidR="00584EC1" w:rsidRDefault="00584EC1">
            <w:pPr>
              <w:rPr>
                <w:rFonts w:ascii="宋体"/>
                <w:vanish/>
              </w:rPr>
            </w:pPr>
          </w:p>
        </w:tc>
        <w:tc>
          <w:tcPr>
            <w:tcW w:w="0" w:type="auto"/>
            <w:gridSpan w:val="3"/>
            <w:shd w:val="clear" w:color="auto" w:fill="auto"/>
            <w:vAlign w:val="bottom"/>
          </w:tcPr>
          <w:p w14:paraId="74DD6900" w14:textId="77777777" w:rsidR="00584EC1" w:rsidRDefault="00584EC1">
            <w:pPr>
              <w:rPr>
                <w:rFonts w:ascii="宋体"/>
                <w:vanish/>
              </w:rPr>
            </w:pPr>
          </w:p>
        </w:tc>
        <w:tc>
          <w:tcPr>
            <w:tcW w:w="0" w:type="auto"/>
            <w:gridSpan w:val="3"/>
            <w:shd w:val="clear" w:color="auto" w:fill="auto"/>
            <w:vAlign w:val="bottom"/>
          </w:tcPr>
          <w:p w14:paraId="74DD6901" w14:textId="77777777" w:rsidR="00584EC1" w:rsidRDefault="00584EC1">
            <w:pPr>
              <w:rPr>
                <w:rFonts w:ascii="宋体"/>
                <w:vanish/>
              </w:rPr>
            </w:pPr>
          </w:p>
        </w:tc>
      </w:tr>
      <w:tr w:rsidR="00584EC1" w14:paraId="74DD690B" w14:textId="77777777">
        <w:tc>
          <w:tcPr>
            <w:tcW w:w="0" w:type="auto"/>
            <w:gridSpan w:val="3"/>
            <w:shd w:val="clear" w:color="auto" w:fill="FFFFFF"/>
            <w:tcMar>
              <w:top w:w="40" w:type="dxa"/>
              <w:left w:w="20" w:type="dxa"/>
              <w:bottom w:w="40" w:type="dxa"/>
              <w:right w:w="20" w:type="dxa"/>
            </w:tcMar>
            <w:vAlign w:val="bottom"/>
          </w:tcPr>
          <w:p w14:paraId="74DD6903" w14:textId="77777777" w:rsidR="00584EC1" w:rsidRDefault="00871F8D">
            <w:pPr>
              <w:textAlignment w:val="bottom"/>
            </w:pPr>
            <w:r>
              <w:rPr>
                <w:rFonts w:ascii="Arial" w:eastAsia="宋体" w:hAnsi="Arial" w:cs="Arial"/>
                <w:b/>
                <w:bCs/>
                <w:color w:val="000000"/>
                <w:sz w:val="15"/>
                <w:szCs w:val="15"/>
              </w:rPr>
              <w:t>Total Flows</w:t>
            </w: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74DD6904" w14:textId="77777777" w:rsidR="00584EC1" w:rsidRDefault="00871F8D">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74DD6905" w14:textId="77777777" w:rsidR="00584EC1" w:rsidRDefault="00871F8D">
            <w:pPr>
              <w:jc w:val="right"/>
              <w:textAlignment w:val="bottom"/>
            </w:pPr>
            <w:r>
              <w:rPr>
                <w:rFonts w:ascii="Arial" w:eastAsia="宋体" w:hAnsi="Arial" w:cs="Arial"/>
                <w:b/>
                <w:bCs/>
                <w:color w:val="000000"/>
                <w:sz w:val="15"/>
                <w:szCs w:val="15"/>
              </w:rPr>
              <w:t>298.0</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74DD690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907"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6908"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6909" w14:textId="77777777" w:rsidR="00584EC1" w:rsidRDefault="00871F8D">
            <w:pPr>
              <w:jc w:val="right"/>
              <w:textAlignment w:val="bottom"/>
            </w:pPr>
            <w:r>
              <w:rPr>
                <w:rFonts w:ascii="Arial" w:eastAsia="宋体" w:hAnsi="Arial" w:cs="Arial"/>
                <w:color w:val="000000"/>
                <w:sz w:val="15"/>
                <w:szCs w:val="15"/>
              </w:rPr>
              <w:t>226.8 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690A" w14:textId="77777777" w:rsidR="00584EC1" w:rsidRDefault="00584EC1">
            <w:pPr>
              <w:jc w:val="right"/>
              <w:rPr>
                <w:rFonts w:ascii="宋体"/>
              </w:rPr>
            </w:pPr>
          </w:p>
        </w:tc>
      </w:tr>
    </w:tbl>
    <w:p w14:paraId="74DD690C" w14:textId="77777777" w:rsidR="00584EC1" w:rsidRDefault="00584E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1"/>
        <w:gridCol w:w="2225"/>
        <w:gridCol w:w="36"/>
        <w:gridCol w:w="36"/>
        <w:gridCol w:w="36"/>
        <w:gridCol w:w="36"/>
        <w:gridCol w:w="46"/>
        <w:gridCol w:w="5824"/>
        <w:gridCol w:w="36"/>
      </w:tblGrid>
      <w:tr w:rsidR="00584EC1" w14:paraId="74DD6916" w14:textId="77777777">
        <w:tc>
          <w:tcPr>
            <w:tcW w:w="50" w:type="pct"/>
            <w:shd w:val="clear" w:color="auto" w:fill="auto"/>
            <w:vAlign w:val="bottom"/>
          </w:tcPr>
          <w:p w14:paraId="74DD690D" w14:textId="77777777" w:rsidR="00584EC1" w:rsidRDefault="00584EC1">
            <w:pPr>
              <w:rPr>
                <w:rFonts w:ascii="宋体"/>
              </w:rPr>
            </w:pPr>
          </w:p>
        </w:tc>
        <w:tc>
          <w:tcPr>
            <w:tcW w:w="1348" w:type="pct"/>
            <w:shd w:val="clear" w:color="auto" w:fill="auto"/>
            <w:vAlign w:val="bottom"/>
          </w:tcPr>
          <w:p w14:paraId="74DD690E" w14:textId="77777777" w:rsidR="00584EC1" w:rsidRDefault="00584EC1">
            <w:pPr>
              <w:rPr>
                <w:rFonts w:ascii="宋体"/>
              </w:rPr>
            </w:pPr>
          </w:p>
        </w:tc>
        <w:tc>
          <w:tcPr>
            <w:tcW w:w="5" w:type="pct"/>
            <w:shd w:val="clear" w:color="auto" w:fill="auto"/>
            <w:vAlign w:val="bottom"/>
          </w:tcPr>
          <w:p w14:paraId="74DD690F" w14:textId="77777777" w:rsidR="00584EC1" w:rsidRDefault="00584EC1">
            <w:pPr>
              <w:rPr>
                <w:rFonts w:ascii="宋体"/>
              </w:rPr>
            </w:pPr>
          </w:p>
        </w:tc>
        <w:tc>
          <w:tcPr>
            <w:tcW w:w="5" w:type="pct"/>
            <w:shd w:val="clear" w:color="auto" w:fill="auto"/>
            <w:vAlign w:val="bottom"/>
          </w:tcPr>
          <w:p w14:paraId="74DD6910" w14:textId="77777777" w:rsidR="00584EC1" w:rsidRDefault="00584EC1">
            <w:pPr>
              <w:rPr>
                <w:rFonts w:ascii="宋体"/>
              </w:rPr>
            </w:pPr>
          </w:p>
        </w:tc>
        <w:tc>
          <w:tcPr>
            <w:tcW w:w="26" w:type="pct"/>
            <w:shd w:val="clear" w:color="auto" w:fill="auto"/>
            <w:vAlign w:val="bottom"/>
          </w:tcPr>
          <w:p w14:paraId="74DD6911" w14:textId="77777777" w:rsidR="00584EC1" w:rsidRDefault="00584EC1">
            <w:pPr>
              <w:rPr>
                <w:rFonts w:ascii="宋体"/>
              </w:rPr>
            </w:pPr>
          </w:p>
        </w:tc>
        <w:tc>
          <w:tcPr>
            <w:tcW w:w="5" w:type="pct"/>
            <w:shd w:val="clear" w:color="auto" w:fill="auto"/>
            <w:vAlign w:val="bottom"/>
          </w:tcPr>
          <w:p w14:paraId="74DD6912" w14:textId="77777777" w:rsidR="00584EC1" w:rsidRDefault="00584EC1">
            <w:pPr>
              <w:rPr>
                <w:rFonts w:ascii="宋体"/>
              </w:rPr>
            </w:pPr>
          </w:p>
        </w:tc>
        <w:tc>
          <w:tcPr>
            <w:tcW w:w="50" w:type="pct"/>
            <w:shd w:val="clear" w:color="auto" w:fill="auto"/>
            <w:vAlign w:val="bottom"/>
          </w:tcPr>
          <w:p w14:paraId="74DD6913" w14:textId="77777777" w:rsidR="00584EC1" w:rsidRDefault="00584EC1">
            <w:pPr>
              <w:rPr>
                <w:rFonts w:ascii="宋体"/>
              </w:rPr>
            </w:pPr>
          </w:p>
        </w:tc>
        <w:tc>
          <w:tcPr>
            <w:tcW w:w="3505" w:type="pct"/>
            <w:shd w:val="clear" w:color="auto" w:fill="auto"/>
            <w:vAlign w:val="bottom"/>
          </w:tcPr>
          <w:p w14:paraId="74DD6914" w14:textId="77777777" w:rsidR="00584EC1" w:rsidRDefault="00584EC1">
            <w:pPr>
              <w:rPr>
                <w:rFonts w:ascii="宋体"/>
              </w:rPr>
            </w:pPr>
          </w:p>
        </w:tc>
        <w:tc>
          <w:tcPr>
            <w:tcW w:w="5" w:type="pct"/>
            <w:shd w:val="clear" w:color="auto" w:fill="auto"/>
            <w:vAlign w:val="bottom"/>
          </w:tcPr>
          <w:p w14:paraId="74DD6915" w14:textId="77777777" w:rsidR="00584EC1" w:rsidRDefault="00584EC1">
            <w:pPr>
              <w:rPr>
                <w:rFonts w:ascii="宋体"/>
              </w:rPr>
            </w:pPr>
          </w:p>
        </w:tc>
      </w:tr>
      <w:tr w:rsidR="00584EC1" w14:paraId="74DD691A"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4DD6917"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6918"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6919" w14:textId="77777777" w:rsidR="00584EC1" w:rsidRDefault="00584EC1">
            <w:pPr>
              <w:rPr>
                <w:rFonts w:ascii="宋体"/>
              </w:rPr>
            </w:pPr>
          </w:p>
        </w:tc>
      </w:tr>
    </w:tbl>
    <w:p w14:paraId="74DD691B" w14:textId="77777777" w:rsidR="00584EC1" w:rsidRDefault="00871F8D">
      <w:pPr>
        <w:spacing w:before="60"/>
        <w:jc w:val="both"/>
      </w:pPr>
      <w:r>
        <w:rPr>
          <w:rFonts w:ascii="Arial" w:eastAsia="宋体" w:hAnsi="Arial" w:cs="Arial"/>
          <w:color w:val="000000"/>
          <w:sz w:val="9"/>
          <w:szCs w:val="9"/>
        </w:rPr>
        <w:t xml:space="preserve">(1) </w:t>
      </w:r>
      <w:r>
        <w:rPr>
          <w:rFonts w:ascii="Arial" w:eastAsia="宋体" w:hAnsi="Arial" w:cs="Arial"/>
          <w:color w:val="000000"/>
          <w:sz w:val="14"/>
          <w:szCs w:val="14"/>
        </w:rPr>
        <w:t xml:space="preserve">Industry data is provided for illustrative purposes only. It is not intended to reflect our activity or our clients' activity and is indicative of only segments of the entire </w:t>
      </w:r>
      <w:r>
        <w:rPr>
          <w:rFonts w:ascii="Arial" w:eastAsia="宋体" w:hAnsi="Arial" w:cs="Arial"/>
          <w:color w:val="000000"/>
          <w:sz w:val="14"/>
          <w:szCs w:val="14"/>
        </w:rPr>
        <w:t>industry.</w:t>
      </w:r>
    </w:p>
    <w:p w14:paraId="74DD691C" w14:textId="77777777" w:rsidR="00584EC1" w:rsidRDefault="00871F8D">
      <w:pPr>
        <w:spacing w:before="60"/>
        <w:jc w:val="both"/>
      </w:pPr>
      <w:r>
        <w:rPr>
          <w:rFonts w:ascii="Arial" w:eastAsia="宋体" w:hAnsi="Arial" w:cs="Arial"/>
          <w:color w:val="000000"/>
          <w:sz w:val="9"/>
          <w:szCs w:val="9"/>
        </w:rPr>
        <w:t xml:space="preserve">(2) </w:t>
      </w:r>
      <w:r>
        <w:rPr>
          <w:rFonts w:ascii="Arial" w:eastAsia="宋体" w:hAnsi="Arial" w:cs="Arial"/>
          <w:color w:val="000000"/>
          <w:sz w:val="14"/>
          <w:szCs w:val="14"/>
        </w:rPr>
        <w:t>Source: Morningstar. The data includes long-term mutual funds, ETFs and money market funds. Mutual fund data represents estimates of net new cash flow, which is new sales minus redemptions combined with net exchanges, while ETF data represent</w:t>
      </w:r>
      <w:r>
        <w:rPr>
          <w:rFonts w:ascii="Arial" w:eastAsia="宋体" w:hAnsi="Arial" w:cs="Arial"/>
          <w:color w:val="000000"/>
          <w:sz w:val="14"/>
          <w:szCs w:val="14"/>
        </w:rPr>
        <w:t>s net issuance, which is gross issuance less gross redemptions. Data for Fund of Funds, Feeder funds and Obsolete funds were excluded from the series to prevent double counting. Data is from the Morningstar Direct Asset Flows database.</w:t>
      </w:r>
    </w:p>
    <w:p w14:paraId="74DD691D" w14:textId="77777777" w:rsidR="00584EC1" w:rsidRDefault="00871F8D">
      <w:pPr>
        <w:spacing w:before="60"/>
        <w:jc w:val="both"/>
      </w:pPr>
      <w:r>
        <w:rPr>
          <w:rFonts w:ascii="Arial" w:eastAsia="宋体" w:hAnsi="Arial" w:cs="Arial"/>
          <w:color w:val="000000"/>
          <w:sz w:val="9"/>
          <w:szCs w:val="9"/>
        </w:rPr>
        <w:t>(3)</w:t>
      </w:r>
      <w:r>
        <w:rPr>
          <w:rFonts w:ascii="Arial" w:eastAsia="宋体" w:hAnsi="Arial" w:cs="Arial"/>
          <w:color w:val="000000"/>
          <w:sz w:val="14"/>
          <w:szCs w:val="14"/>
        </w:rPr>
        <w:t xml:space="preserve"> The third quarte</w:t>
      </w:r>
      <w:r>
        <w:rPr>
          <w:rFonts w:ascii="Arial" w:eastAsia="宋体" w:hAnsi="Arial" w:cs="Arial"/>
          <w:color w:val="000000"/>
          <w:sz w:val="14"/>
          <w:szCs w:val="14"/>
        </w:rPr>
        <w:t xml:space="preserve">r of 2021 data for North America (US domiciled) includes Morningstar direct actuals for July and August 2021 and Morningstar direct estimates for September 2021. </w:t>
      </w:r>
    </w:p>
    <w:p w14:paraId="74DD691E" w14:textId="77777777" w:rsidR="00584EC1" w:rsidRDefault="00871F8D">
      <w:pPr>
        <w:spacing w:before="60"/>
        <w:jc w:val="both"/>
      </w:pPr>
      <w:r>
        <w:rPr>
          <w:rFonts w:ascii="Arial" w:eastAsia="宋体" w:hAnsi="Arial" w:cs="Arial"/>
          <w:color w:val="000000"/>
          <w:sz w:val="9"/>
          <w:szCs w:val="9"/>
        </w:rPr>
        <w:t xml:space="preserve">(4) </w:t>
      </w:r>
      <w:r>
        <w:rPr>
          <w:rFonts w:ascii="Arial" w:eastAsia="宋体" w:hAnsi="Arial" w:cs="Arial"/>
          <w:color w:val="000000"/>
          <w:sz w:val="14"/>
          <w:szCs w:val="14"/>
        </w:rPr>
        <w:t xml:space="preserve">The long-term fund flows reported by Morningstar direct in North America are composed of </w:t>
      </w:r>
      <w:r>
        <w:rPr>
          <w:rFonts w:ascii="Arial" w:eastAsia="宋体" w:hAnsi="Arial" w:cs="Arial"/>
          <w:color w:val="000000"/>
          <w:sz w:val="14"/>
          <w:szCs w:val="14"/>
        </w:rPr>
        <w:t>US domiciled market flows mainly in Equities, Allocation and Fixed-Income asset classes. The long-term fund flows reported by Morningstar direct in EMEA are composed of the European market flows mainly in Equities, Allocation and Fixed-Income asset classes</w:t>
      </w:r>
      <w:r>
        <w:rPr>
          <w:rFonts w:ascii="Arial" w:eastAsia="宋体" w:hAnsi="Arial" w:cs="Arial"/>
          <w:color w:val="000000"/>
          <w:sz w:val="14"/>
          <w:szCs w:val="14"/>
        </w:rPr>
        <w:t>.</w:t>
      </w:r>
    </w:p>
    <w:p w14:paraId="74DD691F" w14:textId="77777777" w:rsidR="00584EC1" w:rsidRDefault="00871F8D">
      <w:pPr>
        <w:spacing w:before="60"/>
        <w:jc w:val="both"/>
      </w:pPr>
      <w:r>
        <w:rPr>
          <w:rFonts w:ascii="Arial" w:eastAsia="宋体" w:hAnsi="Arial" w:cs="Arial"/>
          <w:color w:val="000000"/>
          <w:sz w:val="9"/>
          <w:szCs w:val="9"/>
        </w:rPr>
        <w:t xml:space="preserve">(5) </w:t>
      </w:r>
      <w:r>
        <w:rPr>
          <w:rFonts w:ascii="Arial" w:eastAsia="宋体" w:hAnsi="Arial" w:cs="Arial"/>
          <w:color w:val="000000"/>
          <w:sz w:val="14"/>
          <w:szCs w:val="14"/>
        </w:rPr>
        <w:t>The third quarter of 2021 data for Europe is on a rolling three month basis for June 2021 through August 2021, sourced by Morningstar.</w:t>
      </w:r>
    </w:p>
    <w:p w14:paraId="74DD6920" w14:textId="77777777" w:rsidR="00584EC1" w:rsidRDefault="00871F8D">
      <w:pPr>
        <w:spacing w:before="60"/>
        <w:jc w:val="both"/>
      </w:pPr>
      <w:r>
        <w:rPr>
          <w:rFonts w:ascii="Arial" w:eastAsia="宋体" w:hAnsi="Arial" w:cs="Arial"/>
          <w:i/>
          <w:iCs/>
          <w:color w:val="000000"/>
          <w:sz w:val="20"/>
          <w:szCs w:val="20"/>
        </w:rPr>
        <w:t>Net New Business</w:t>
      </w:r>
    </w:p>
    <w:p w14:paraId="74DD6921" w14:textId="77777777" w:rsidR="00584EC1" w:rsidRDefault="00871F8D">
      <w:pPr>
        <w:spacing w:before="60"/>
        <w:ind w:firstLine="450"/>
        <w:jc w:val="both"/>
      </w:pPr>
      <w:r>
        <w:rPr>
          <w:rFonts w:ascii="Arial" w:eastAsia="宋体" w:hAnsi="Arial" w:cs="Arial"/>
          <w:color w:val="000000"/>
          <w:sz w:val="20"/>
          <w:szCs w:val="20"/>
        </w:rPr>
        <w:t>Over the five years ended December 31, 2020, net new business, which includes business both won an</w:t>
      </w:r>
      <w:r>
        <w:rPr>
          <w:rFonts w:ascii="Arial" w:eastAsia="宋体" w:hAnsi="Arial" w:cs="Arial"/>
          <w:color w:val="000000"/>
          <w:sz w:val="20"/>
          <w:szCs w:val="20"/>
        </w:rPr>
        <w:t xml:space="preserve">d lost, has affected our servicing fee revenues by approximately 2% on average with a range of 0% to 3% annually. Gross investment servicing mandates were $1.66 trillion in the third quarter of 2021 and $1.3 trillion per year on average over the past five </w:t>
      </w:r>
      <w:r>
        <w:rPr>
          <w:rFonts w:ascii="Arial" w:eastAsia="宋体" w:hAnsi="Arial" w:cs="Arial"/>
          <w:color w:val="000000"/>
          <w:sz w:val="20"/>
          <w:szCs w:val="20"/>
        </w:rPr>
        <w:t xml:space="preserve">years. Over the five years ended December 31, 2020, gross annual investment servicing mandates ranged from $750 billion to nearly $2.0 trillion. </w:t>
      </w:r>
    </w:p>
    <w:p w14:paraId="74DD6922" w14:textId="77777777" w:rsidR="00584EC1" w:rsidRDefault="00871F8D">
      <w:pPr>
        <w:spacing w:before="60"/>
        <w:ind w:firstLine="450"/>
        <w:jc w:val="both"/>
      </w:pPr>
      <w:r>
        <w:rPr>
          <w:rFonts w:ascii="Arial" w:eastAsia="宋体" w:hAnsi="Arial" w:cs="Arial"/>
          <w:color w:val="000000"/>
          <w:sz w:val="20"/>
          <w:szCs w:val="20"/>
        </w:rPr>
        <w:t xml:space="preserve">New business impacting servicing fees can include: custody; product accounting; daily valuation and </w:t>
      </w:r>
      <w:r>
        <w:rPr>
          <w:rFonts w:ascii="Arial" w:eastAsia="宋体" w:hAnsi="Arial" w:cs="Arial"/>
          <w:color w:val="000000"/>
          <w:sz w:val="20"/>
          <w:szCs w:val="20"/>
        </w:rPr>
        <w:t>administration; record-keeping; cash management; and other services. Revenues associated with new servicing mandates may vary based on the breadth of services provided, the time required to install the assets, and the types of assets installed.</w:t>
      </w:r>
    </w:p>
    <w:p w14:paraId="74DD6923" w14:textId="77777777" w:rsidR="00584EC1" w:rsidRDefault="00871F8D">
      <w:pPr>
        <w:spacing w:before="60"/>
        <w:ind w:firstLine="450"/>
        <w:jc w:val="both"/>
      </w:pPr>
      <w:r>
        <w:rPr>
          <w:rFonts w:ascii="Arial" w:eastAsia="宋体" w:hAnsi="Arial" w:cs="Arial"/>
          <w:color w:val="000000"/>
          <w:sz w:val="20"/>
          <w:szCs w:val="20"/>
        </w:rPr>
        <w:t>Revenues as</w:t>
      </w:r>
      <w:r>
        <w:rPr>
          <w:rFonts w:ascii="Arial" w:eastAsia="宋体" w:hAnsi="Arial" w:cs="Arial"/>
          <w:color w:val="000000"/>
          <w:sz w:val="20"/>
          <w:szCs w:val="20"/>
        </w:rPr>
        <w:t xml:space="preserve">sociated with new mandates are not reflected in our servicing fee revenue until the assets have been installed. Our installation timeline, in general, can range from 6 to 36 months, with the average installation timeline being approximately 9 to 12 months </w:t>
      </w:r>
      <w:r>
        <w:rPr>
          <w:rFonts w:ascii="Arial" w:eastAsia="宋体" w:hAnsi="Arial" w:cs="Arial"/>
          <w:color w:val="000000"/>
          <w:sz w:val="20"/>
          <w:szCs w:val="20"/>
        </w:rPr>
        <w:t xml:space="preserve">over the 2 years ended December 31, 2020. Our more complex installations, including new State Street Alpha mandates, will generally be on the longer end of that range. With respect to the current asset mandates of approximately $2.73 trillion that are yet </w:t>
      </w:r>
      <w:r>
        <w:rPr>
          <w:rFonts w:ascii="Arial" w:eastAsia="宋体" w:hAnsi="Arial" w:cs="Arial"/>
          <w:color w:val="000000"/>
          <w:sz w:val="20"/>
          <w:szCs w:val="20"/>
        </w:rPr>
        <w:t xml:space="preserve">to be installed as of September 30, 2021, we expect the conversion will occur over the coming 12 to 24 months, with approximately half of the annualized revenue expected to be recognized through 2022, and the remainder primarily in 2023. </w:t>
      </w:r>
    </w:p>
    <w:p w14:paraId="74DD6924" w14:textId="77777777" w:rsidR="00584EC1" w:rsidRDefault="00871F8D">
      <w:pPr>
        <w:ind w:firstLine="450"/>
        <w:jc w:val="right"/>
      </w:pPr>
      <w:r>
        <w:rPr>
          <w:rFonts w:ascii="Arial" w:eastAsia="宋体" w:hAnsi="Arial" w:cs="Arial"/>
          <w:color w:val="000000"/>
          <w:sz w:val="18"/>
          <w:szCs w:val="18"/>
        </w:rPr>
        <w:t>State Street Corp</w:t>
      </w:r>
      <w:r>
        <w:rPr>
          <w:rFonts w:ascii="Arial" w:eastAsia="宋体" w:hAnsi="Arial" w:cs="Arial"/>
          <w:color w:val="000000"/>
          <w:sz w:val="18"/>
          <w:szCs w:val="18"/>
        </w:rPr>
        <w:t>oration | 12</w:t>
      </w:r>
    </w:p>
    <w:p w14:paraId="74DD6925" w14:textId="77777777" w:rsidR="00584EC1" w:rsidRDefault="00584EC1">
      <w:pPr>
        <w:ind w:firstLine="450"/>
        <w:jc w:val="center"/>
      </w:pPr>
    </w:p>
    <w:p w14:paraId="74DD6926" w14:textId="77777777" w:rsidR="00584EC1" w:rsidRDefault="00871F8D">
      <w:r>
        <w:pict w14:anchorId="74DE29FA">
          <v:rect id="_x0000_i1036" style="width:415.3pt;height:1.5pt" o:hralign="center" o:hrstd="t" o:hr="t" fillcolor="#a0a0a0" stroked="f"/>
        </w:pict>
      </w:r>
    </w:p>
    <w:p w14:paraId="74DD6927" w14:textId="77777777" w:rsidR="00584EC1" w:rsidRDefault="00871F8D">
      <w:pPr>
        <w:ind w:firstLine="450"/>
        <w:jc w:val="center"/>
      </w:pPr>
      <w:r>
        <w:rPr>
          <w:rFonts w:ascii="Arial" w:eastAsia="宋体" w:hAnsi="Arial" w:cs="Arial"/>
          <w:b/>
          <w:bCs/>
          <w:color w:val="000000"/>
          <w:sz w:val="20"/>
          <w:szCs w:val="20"/>
        </w:rPr>
        <w:t>MANAGEMENT’S DISCUSSION AND ANALYSIS OF FINANCIAL CONDITION</w:t>
      </w:r>
    </w:p>
    <w:p w14:paraId="74DD6928" w14:textId="77777777" w:rsidR="00584EC1" w:rsidRDefault="00871F8D">
      <w:pPr>
        <w:ind w:firstLine="450"/>
        <w:jc w:val="center"/>
      </w:pPr>
      <w:r>
        <w:rPr>
          <w:rFonts w:ascii="Arial" w:eastAsia="宋体" w:hAnsi="Arial" w:cs="Arial"/>
          <w:b/>
          <w:bCs/>
          <w:color w:val="000000"/>
          <w:sz w:val="20"/>
          <w:szCs w:val="20"/>
        </w:rPr>
        <w:t>AND RESULTS OF OPERATIONS</w:t>
      </w:r>
    </w:p>
    <w:p w14:paraId="74DD6929" w14:textId="77777777" w:rsidR="00584EC1" w:rsidRDefault="00871F8D">
      <w:pPr>
        <w:spacing w:before="20"/>
        <w:textAlignment w:val="top"/>
      </w:pPr>
      <w:r>
        <w:rPr>
          <w:rFonts w:ascii="Arial" w:eastAsia="宋体" w:hAnsi="Arial" w:cs="Arial"/>
          <w:i/>
          <w:iCs/>
          <w:color w:val="000000"/>
          <w:sz w:val="20"/>
          <w:szCs w:val="20"/>
        </w:rPr>
        <w:t>Pricing</w:t>
      </w:r>
    </w:p>
    <w:p w14:paraId="74DD692A" w14:textId="77777777" w:rsidR="00584EC1" w:rsidRDefault="00871F8D">
      <w:pPr>
        <w:spacing w:before="20"/>
        <w:ind w:firstLine="450"/>
        <w:jc w:val="both"/>
        <w:textAlignment w:val="top"/>
      </w:pPr>
      <w:r>
        <w:rPr>
          <w:rFonts w:ascii="Arial" w:eastAsia="宋体" w:hAnsi="Arial" w:cs="Arial"/>
          <w:color w:val="000000"/>
          <w:sz w:val="20"/>
          <w:szCs w:val="20"/>
        </w:rPr>
        <w:t xml:space="preserve">The industry in which we operate has historically faced pricing pressure, and our servicing fee revenues are also affected by such </w:t>
      </w:r>
      <w:r>
        <w:rPr>
          <w:rFonts w:ascii="Arial" w:eastAsia="宋体" w:hAnsi="Arial" w:cs="Arial"/>
          <w:color w:val="000000"/>
          <w:sz w:val="20"/>
          <w:szCs w:val="20"/>
        </w:rPr>
        <w:t>pressures today. Consequently, no assumption should be drawn as to future revenue run rate from announced servicing wins, as the amount of revenue associated with AUC/A can vary materially. On average, over the five years ended December 31, 2020, we estima</w:t>
      </w:r>
      <w:r>
        <w:rPr>
          <w:rFonts w:ascii="Arial" w:eastAsia="宋体" w:hAnsi="Arial" w:cs="Arial"/>
          <w:color w:val="000000"/>
          <w:sz w:val="20"/>
          <w:szCs w:val="20"/>
        </w:rPr>
        <w:t>te that pricing pressure with respect to existing clients has impacted our servicing fees by approximately (2)% annually, with the impact ranging from (1)% to (4)% in any given year. Pricing concessions can be a part of a contract renegotiation with a clie</w:t>
      </w:r>
      <w:r>
        <w:rPr>
          <w:rFonts w:ascii="Arial" w:eastAsia="宋体" w:hAnsi="Arial" w:cs="Arial"/>
          <w:color w:val="000000"/>
          <w:sz w:val="20"/>
          <w:szCs w:val="20"/>
        </w:rPr>
        <w:t xml:space="preserve">nt including terms that may benefit us, such as extending the terms of our relationship with the client, expanding the scope of services that we provide or reducing our dependency on manual processes through the standardization of the services we provide. </w:t>
      </w:r>
      <w:r>
        <w:rPr>
          <w:rFonts w:ascii="Arial" w:eastAsia="宋体" w:hAnsi="Arial" w:cs="Arial"/>
          <w:color w:val="000000"/>
          <w:sz w:val="20"/>
          <w:szCs w:val="20"/>
        </w:rPr>
        <w:t>The timing of the impact of additional revenue generated by anticipated additional services, and the amount of revenue generated, may differ from the impact of pricing concessions on existing services due to the necessary time required to onboard those new</w:t>
      </w:r>
      <w:r>
        <w:rPr>
          <w:rFonts w:ascii="Arial" w:eastAsia="宋体" w:hAnsi="Arial" w:cs="Arial"/>
          <w:color w:val="000000"/>
          <w:sz w:val="20"/>
          <w:szCs w:val="20"/>
        </w:rPr>
        <w:t xml:space="preserve"> services, the nature of those services and client investment practices. These same market pressures also impact the fees we negotiate when we win business from new clients.</w:t>
      </w:r>
    </w:p>
    <w:p w14:paraId="74DD692B" w14:textId="77777777" w:rsidR="00584EC1" w:rsidRDefault="00871F8D">
      <w:pPr>
        <w:spacing w:before="20"/>
        <w:ind w:firstLine="450"/>
        <w:jc w:val="both"/>
        <w:textAlignment w:val="top"/>
      </w:pPr>
      <w:r>
        <w:rPr>
          <w:rFonts w:ascii="Arial" w:eastAsia="宋体" w:hAnsi="Arial" w:cs="Arial"/>
          <w:color w:val="000000"/>
          <w:sz w:val="20"/>
          <w:szCs w:val="20"/>
        </w:rPr>
        <w:t>In order to offset the typical client attrition and normal pricing headwinds, we e</w:t>
      </w:r>
      <w:r>
        <w:rPr>
          <w:rFonts w:ascii="Arial" w:eastAsia="宋体" w:hAnsi="Arial" w:cs="Arial"/>
          <w:color w:val="000000"/>
          <w:sz w:val="20"/>
          <w:szCs w:val="20"/>
        </w:rPr>
        <w:t xml:space="preserve">stimate that we need at least $1.5 trillion of new AUC/A per year; although, notwithstanding increases in AUC/A, servicing fees remain subject to several factors, including changes in market valuations, client activity and asset flows, the manner in which </w:t>
      </w:r>
      <w:r>
        <w:rPr>
          <w:rFonts w:ascii="Arial" w:eastAsia="宋体" w:hAnsi="Arial" w:cs="Arial"/>
          <w:color w:val="000000"/>
          <w:sz w:val="20"/>
          <w:szCs w:val="20"/>
        </w:rPr>
        <w:t>we price our services, the nature of the assets being serviced and the type of services and the other factors described in Item 1A, "Risk Factors", in our 2020 Form 10-K.</w:t>
      </w:r>
    </w:p>
    <w:p w14:paraId="74DD692C" w14:textId="77777777" w:rsidR="00584EC1" w:rsidRDefault="00871F8D">
      <w:pPr>
        <w:spacing w:before="20"/>
        <w:ind w:firstLine="450"/>
        <w:jc w:val="both"/>
        <w:textAlignment w:val="top"/>
      </w:pPr>
      <w:r>
        <w:rPr>
          <w:rFonts w:ascii="Arial" w:eastAsia="宋体" w:hAnsi="Arial" w:cs="Arial"/>
          <w:color w:val="000000"/>
          <w:sz w:val="20"/>
          <w:szCs w:val="20"/>
        </w:rPr>
        <w:t>Historically, and based on an indicative sample of revenue, we estimate that approxim</w:t>
      </w:r>
      <w:r>
        <w:rPr>
          <w:rFonts w:ascii="Arial" w:eastAsia="宋体" w:hAnsi="Arial" w:cs="Arial"/>
          <w:color w:val="000000"/>
          <w:sz w:val="20"/>
          <w:szCs w:val="20"/>
        </w:rPr>
        <w:t xml:space="preserve">ately 55%, on average, of our servicing fee revenues have been variable due to changes in asset valuations including changes in daily average valuations of AUC/A; another 15%, on average, of our servicing fees are impacted by the volume of activity in the </w:t>
      </w:r>
      <w:r>
        <w:rPr>
          <w:rFonts w:ascii="Arial" w:eastAsia="宋体" w:hAnsi="Arial" w:cs="Arial"/>
          <w:color w:val="000000"/>
          <w:sz w:val="20"/>
          <w:szCs w:val="20"/>
        </w:rPr>
        <w:t xml:space="preserve">funds we serve; and the remaining approximately 30% of our servicing fees tend not to be variable in nature nor impacted by market fluctuations or values. </w:t>
      </w:r>
    </w:p>
    <w:p w14:paraId="74DD692D" w14:textId="77777777" w:rsidR="00584EC1" w:rsidRDefault="00871F8D">
      <w:pPr>
        <w:spacing w:before="20"/>
        <w:ind w:firstLine="450"/>
        <w:jc w:val="both"/>
        <w:textAlignment w:val="top"/>
      </w:pPr>
      <w:r>
        <w:rPr>
          <w:rFonts w:ascii="Arial" w:eastAsia="宋体" w:hAnsi="Arial" w:cs="Arial"/>
          <w:color w:val="000000"/>
          <w:sz w:val="20"/>
          <w:szCs w:val="20"/>
        </w:rPr>
        <w:t>Based on the impact of the above, client activity and asset flows, net new business and pricing, not</w:t>
      </w:r>
      <w:r>
        <w:rPr>
          <w:rFonts w:ascii="Arial" w:eastAsia="宋体" w:hAnsi="Arial" w:cs="Arial"/>
          <w:color w:val="000000"/>
          <w:sz w:val="20"/>
          <w:szCs w:val="20"/>
        </w:rPr>
        <w:t>ed drivers of our servicing fee revenue will vary depending on the mix of products and services we provide to our clients. The full impact of changes in market valuations and the volume of activity in the funds may not be fully reflected in our servicing f</w:t>
      </w:r>
      <w:r>
        <w:rPr>
          <w:rFonts w:ascii="Arial" w:eastAsia="宋体" w:hAnsi="Arial" w:cs="Arial"/>
          <w:color w:val="000000"/>
          <w:sz w:val="20"/>
          <w:szCs w:val="20"/>
        </w:rPr>
        <w:t>ee revenues in the periods in which the changes occur, particularly in periods of higher volatility.</w:t>
      </w:r>
    </w:p>
    <w:p w14:paraId="74DD692E" w14:textId="77777777" w:rsidR="00584EC1" w:rsidRDefault="00871F8D">
      <w:pPr>
        <w:spacing w:before="60"/>
        <w:textAlignment w:val="top"/>
      </w:pPr>
      <w:r>
        <w:rPr>
          <w:rFonts w:ascii="Arial" w:eastAsia="宋体" w:hAnsi="Arial" w:cs="Arial"/>
          <w:b/>
          <w:bCs/>
          <w:i/>
          <w:iCs/>
          <w:color w:val="000000"/>
          <w:sz w:val="20"/>
          <w:szCs w:val="20"/>
        </w:rPr>
        <w:t>Management Fee Revenue</w:t>
      </w:r>
    </w:p>
    <w:p w14:paraId="74DD692F" w14:textId="77777777" w:rsidR="00584EC1" w:rsidRDefault="00871F8D">
      <w:pPr>
        <w:spacing w:before="60"/>
        <w:ind w:firstLine="450"/>
        <w:jc w:val="both"/>
        <w:textAlignment w:val="top"/>
      </w:pPr>
      <w:r>
        <w:rPr>
          <w:rFonts w:ascii="Arial" w:eastAsia="宋体" w:hAnsi="Arial" w:cs="Arial"/>
          <w:color w:val="000000"/>
          <w:sz w:val="20"/>
          <w:szCs w:val="20"/>
        </w:rPr>
        <w:t>Management fees generally are affected by our level of AUM, which we report based on month-end valuations. Management fees for certa</w:t>
      </w:r>
      <w:r>
        <w:rPr>
          <w:rFonts w:ascii="Arial" w:eastAsia="宋体" w:hAnsi="Arial" w:cs="Arial"/>
          <w:color w:val="000000"/>
          <w:sz w:val="20"/>
          <w:szCs w:val="20"/>
        </w:rPr>
        <w:t>in components of managed assets, such as ETFs, mutual funds and UCITS, are affected by daily average valuations of AUM. Management fee revenue is more sensitive to market valuations than servicing fee revenue, as a higher proportion of the underlying servi</w:t>
      </w:r>
      <w:r>
        <w:rPr>
          <w:rFonts w:ascii="Arial" w:eastAsia="宋体" w:hAnsi="Arial" w:cs="Arial"/>
          <w:color w:val="000000"/>
          <w:sz w:val="20"/>
          <w:szCs w:val="20"/>
        </w:rPr>
        <w:t>ces provided, and the associated management fees earned, are dependent on equity and fixed-income security valuations. Additional factors, such as the relative mix of assets managed, may have a significant effect on our management fee revenue. While certai</w:t>
      </w:r>
      <w:r>
        <w:rPr>
          <w:rFonts w:ascii="Arial" w:eastAsia="宋体" w:hAnsi="Arial" w:cs="Arial"/>
          <w:color w:val="000000"/>
          <w:sz w:val="20"/>
          <w:szCs w:val="20"/>
        </w:rPr>
        <w:t>n management fees are directly determined by the values of AUM and the investment strategies employed, management fees may reflect other factors, including performance fee arrangements, as well as our relationship pricing for clients. In addition, in a pro</w:t>
      </w:r>
      <w:r>
        <w:rPr>
          <w:rFonts w:ascii="Arial" w:eastAsia="宋体" w:hAnsi="Arial" w:cs="Arial"/>
          <w:color w:val="000000"/>
          <w:sz w:val="20"/>
          <w:szCs w:val="20"/>
        </w:rPr>
        <w:t>longed low-interest rate environment, such as we are currently experiencing, we have waived and may in the future waive certain fees for our clients for money market products.</w:t>
      </w:r>
    </w:p>
    <w:p w14:paraId="74DD6930" w14:textId="77777777" w:rsidR="00584EC1" w:rsidRDefault="00871F8D">
      <w:pPr>
        <w:spacing w:before="20"/>
        <w:ind w:firstLine="450"/>
        <w:jc w:val="both"/>
        <w:textAlignment w:val="top"/>
      </w:pPr>
      <w:r>
        <w:rPr>
          <w:rFonts w:ascii="Arial" w:eastAsia="宋体" w:hAnsi="Arial" w:cs="Arial"/>
          <w:color w:val="000000"/>
          <w:sz w:val="20"/>
          <w:szCs w:val="20"/>
        </w:rPr>
        <w:t>The impact of State Street Global Advisors gross money market fund fee waivers o</w:t>
      </w:r>
      <w:r>
        <w:rPr>
          <w:rFonts w:ascii="Arial" w:eastAsia="宋体" w:hAnsi="Arial" w:cs="Arial"/>
          <w:color w:val="000000"/>
          <w:sz w:val="20"/>
          <w:szCs w:val="20"/>
        </w:rPr>
        <w:t>n total management fee revenue was approximately $20 million in the third quarter of 2021. As of September 30, 2021, and assuming short-term spot interest rates and the amount of money market fund assets remain constant, we estimate that the impact of gros</w:t>
      </w:r>
      <w:r>
        <w:rPr>
          <w:rFonts w:ascii="Arial" w:eastAsia="宋体" w:hAnsi="Arial" w:cs="Arial"/>
          <w:color w:val="000000"/>
          <w:sz w:val="20"/>
          <w:szCs w:val="20"/>
        </w:rPr>
        <w:t>s money market fee waivers on our management fees would be approximately $20 million in the fourth quarter of 2021. We believe that a further decline in short-term interest rates, primarily one- and three-month interest rates, would not materially impact t</w:t>
      </w:r>
      <w:r>
        <w:rPr>
          <w:rFonts w:ascii="Arial" w:eastAsia="宋体" w:hAnsi="Arial" w:cs="Arial"/>
          <w:color w:val="000000"/>
          <w:sz w:val="20"/>
          <w:szCs w:val="20"/>
        </w:rPr>
        <w:t>his estimate. Alternatively, if short-term interest rates were to rise by approximately 10bps, the impact of gross money market fee waivers on our management fees would be largely mitigated in the subsequent quarterly periods.</w:t>
      </w:r>
    </w:p>
    <w:p w14:paraId="74DD6931" w14:textId="77777777" w:rsidR="00584EC1" w:rsidRDefault="00871F8D">
      <w:pPr>
        <w:spacing w:before="20"/>
        <w:ind w:firstLine="450"/>
        <w:jc w:val="both"/>
        <w:textAlignment w:val="top"/>
      </w:pPr>
      <w:r>
        <w:rPr>
          <w:rFonts w:ascii="Arial" w:eastAsia="宋体" w:hAnsi="Arial" w:cs="Arial"/>
          <w:color w:val="000000"/>
          <w:sz w:val="20"/>
          <w:szCs w:val="20"/>
        </w:rPr>
        <w:t>Asset-based management fees f</w:t>
      </w:r>
      <w:r>
        <w:rPr>
          <w:rFonts w:ascii="Arial" w:eastAsia="宋体" w:hAnsi="Arial" w:cs="Arial"/>
          <w:color w:val="000000"/>
          <w:sz w:val="20"/>
          <w:szCs w:val="20"/>
        </w:rPr>
        <w:t>or passively managed products, to which our AUM is currently primarily weighted, are generally charged at a lower fee on AUM than for actively managed products. Actively managed products may also include performance fee arrangements which are recorded when</w:t>
      </w:r>
      <w:r>
        <w:rPr>
          <w:rFonts w:ascii="Arial" w:eastAsia="宋体" w:hAnsi="Arial" w:cs="Arial"/>
          <w:color w:val="000000"/>
          <w:sz w:val="20"/>
          <w:szCs w:val="20"/>
        </w:rPr>
        <w:t xml:space="preserve"> the fee is earned, based on predetermined benchmarks associated with the applicable account's performance. </w:t>
      </w:r>
    </w:p>
    <w:p w14:paraId="74DD6932" w14:textId="77777777" w:rsidR="00584EC1" w:rsidRDefault="00871F8D">
      <w:pPr>
        <w:ind w:firstLine="450"/>
        <w:jc w:val="right"/>
      </w:pPr>
      <w:r>
        <w:rPr>
          <w:rFonts w:ascii="Arial" w:eastAsia="宋体" w:hAnsi="Arial" w:cs="Arial"/>
          <w:color w:val="000000"/>
          <w:sz w:val="18"/>
          <w:szCs w:val="18"/>
        </w:rPr>
        <w:t>State Street Corporation | 13</w:t>
      </w:r>
    </w:p>
    <w:p w14:paraId="74DD6933" w14:textId="77777777" w:rsidR="00584EC1" w:rsidRDefault="00584EC1">
      <w:pPr>
        <w:ind w:firstLine="450"/>
        <w:jc w:val="center"/>
      </w:pPr>
    </w:p>
    <w:p w14:paraId="74DD6934" w14:textId="77777777" w:rsidR="00584EC1" w:rsidRDefault="00871F8D">
      <w:r>
        <w:pict w14:anchorId="74DE29FB">
          <v:rect id="_x0000_i1037" style="width:415.3pt;height:1.5pt" o:hralign="center" o:hrstd="t" o:hr="t" fillcolor="#a0a0a0" stroked="f"/>
        </w:pict>
      </w:r>
    </w:p>
    <w:p w14:paraId="74DD6935" w14:textId="77777777" w:rsidR="00584EC1" w:rsidRDefault="00871F8D">
      <w:pPr>
        <w:ind w:firstLine="450"/>
        <w:jc w:val="center"/>
      </w:pPr>
      <w:r>
        <w:rPr>
          <w:rFonts w:ascii="Arial" w:eastAsia="宋体" w:hAnsi="Arial" w:cs="Arial"/>
          <w:b/>
          <w:bCs/>
          <w:color w:val="000000"/>
          <w:sz w:val="20"/>
          <w:szCs w:val="20"/>
        </w:rPr>
        <w:t>MANAGEMENT’S DISCUSSION AND ANALYSIS OF FINANCIAL CONDITION</w:t>
      </w:r>
    </w:p>
    <w:p w14:paraId="74DD6936" w14:textId="77777777" w:rsidR="00584EC1" w:rsidRDefault="00871F8D">
      <w:pPr>
        <w:ind w:firstLine="450"/>
        <w:jc w:val="center"/>
      </w:pPr>
      <w:r>
        <w:rPr>
          <w:rFonts w:ascii="Arial" w:eastAsia="宋体" w:hAnsi="Arial" w:cs="Arial"/>
          <w:b/>
          <w:bCs/>
          <w:color w:val="000000"/>
          <w:sz w:val="20"/>
          <w:szCs w:val="20"/>
        </w:rPr>
        <w:t>AND RESULTS OF OPERATIONS</w:t>
      </w:r>
    </w:p>
    <w:p w14:paraId="74DD6937" w14:textId="77777777" w:rsidR="00584EC1" w:rsidRDefault="00871F8D">
      <w:pPr>
        <w:spacing w:before="20"/>
        <w:ind w:firstLine="450"/>
        <w:jc w:val="both"/>
        <w:textAlignment w:val="top"/>
      </w:pPr>
      <w:r>
        <w:rPr>
          <w:rFonts w:ascii="Arial" w:eastAsia="宋体" w:hAnsi="Arial" w:cs="Arial"/>
          <w:color w:val="000000"/>
          <w:sz w:val="20"/>
          <w:szCs w:val="20"/>
        </w:rPr>
        <w:t>In light of the above, we es</w:t>
      </w:r>
      <w:r>
        <w:rPr>
          <w:rFonts w:ascii="Arial" w:eastAsia="宋体" w:hAnsi="Arial" w:cs="Arial"/>
          <w:color w:val="000000"/>
          <w:sz w:val="20"/>
          <w:szCs w:val="20"/>
        </w:rPr>
        <w:t>timate, using relevant information as of September 30, 2021 and assuming that all other factors remain constant, including the impact of business won and lost and client flows, that:</w:t>
      </w:r>
    </w:p>
    <w:p w14:paraId="74DD6938" w14:textId="77777777" w:rsidR="00584EC1" w:rsidRDefault="00871F8D">
      <w:pPr>
        <w:spacing w:before="20"/>
        <w:ind w:hanging="360"/>
        <w:jc w:val="both"/>
        <w:textAlignment w:val="top"/>
      </w:pPr>
      <w:r>
        <w:rPr>
          <w:rFonts w:ascii="Arial" w:eastAsia="宋体" w:hAnsi="Arial" w:cs="Arial"/>
          <w:color w:val="000000"/>
          <w:sz w:val="20"/>
          <w:szCs w:val="20"/>
        </w:rPr>
        <w:t>•A 10% increase or decrease in worldwide equity valuations, on a weighted</w:t>
      </w:r>
      <w:r>
        <w:rPr>
          <w:rFonts w:ascii="Arial" w:eastAsia="宋体" w:hAnsi="Arial" w:cs="Arial"/>
          <w:color w:val="000000"/>
          <w:sz w:val="20"/>
          <w:szCs w:val="20"/>
        </w:rPr>
        <w:t xml:space="preserve"> average basis, over the relevant periods for which our management fees are calculated, would result in a corresponding change in our total management fee revenues, on average and over multiple quarters, of approximately 5%; and</w:t>
      </w:r>
    </w:p>
    <w:p w14:paraId="74DD6939" w14:textId="77777777" w:rsidR="00584EC1" w:rsidRDefault="00871F8D">
      <w:pPr>
        <w:spacing w:before="20"/>
        <w:ind w:hanging="360"/>
        <w:jc w:val="both"/>
        <w:textAlignment w:val="top"/>
      </w:pPr>
      <w:r>
        <w:rPr>
          <w:rFonts w:ascii="Arial" w:eastAsia="宋体" w:hAnsi="Arial" w:cs="Arial"/>
          <w:color w:val="000000"/>
          <w:sz w:val="20"/>
          <w:szCs w:val="20"/>
        </w:rPr>
        <w:t>•We estimate, similarly ass</w:t>
      </w:r>
      <w:r>
        <w:rPr>
          <w:rFonts w:ascii="Arial" w:eastAsia="宋体" w:hAnsi="Arial" w:cs="Arial"/>
          <w:color w:val="000000"/>
          <w:sz w:val="20"/>
          <w:szCs w:val="20"/>
        </w:rPr>
        <w:t>uming all other factors constant and using relevant information as of September 30, 2021, that changes in worldwide fixed income markets, which on a weighted average basis and over time are typically less volatile than worldwide equity markets, will have a</w:t>
      </w:r>
      <w:r>
        <w:rPr>
          <w:rFonts w:ascii="Arial" w:eastAsia="宋体" w:hAnsi="Arial" w:cs="Arial"/>
          <w:color w:val="000000"/>
          <w:sz w:val="20"/>
          <w:szCs w:val="20"/>
        </w:rPr>
        <w:t xml:space="preserve"> smaller impact on our management fee revenues on average and over time.</w:t>
      </w:r>
    </w:p>
    <w:p w14:paraId="74DD693A" w14:textId="77777777" w:rsidR="00584EC1" w:rsidRDefault="00871F8D">
      <w:pPr>
        <w:spacing w:before="20"/>
        <w:ind w:firstLine="450"/>
        <w:jc w:val="both"/>
        <w:textAlignment w:val="top"/>
      </w:pPr>
      <w:r>
        <w:rPr>
          <w:rFonts w:ascii="Arial" w:eastAsia="宋体" w:hAnsi="Arial" w:cs="Arial"/>
          <w:color w:val="000000"/>
          <w:sz w:val="20"/>
          <w:szCs w:val="20"/>
        </w:rPr>
        <w:t xml:space="preserve">Daily averages, month-end averages and quarter-end indices demonstrate worldwide changes in equity and debt markets that affect our management fee revenue. Quarter-end indices affect </w:t>
      </w:r>
      <w:r>
        <w:rPr>
          <w:rFonts w:ascii="Arial" w:eastAsia="宋体" w:hAnsi="Arial" w:cs="Arial"/>
          <w:color w:val="000000"/>
          <w:sz w:val="20"/>
          <w:szCs w:val="20"/>
        </w:rPr>
        <w:t>the values of AUM as of those dates. See Table 3: Daily Averages, Month-End Averages and Quarter-End Equity Indices for selected indices.</w:t>
      </w:r>
    </w:p>
    <w:p w14:paraId="74DD693B" w14:textId="77777777" w:rsidR="00584EC1" w:rsidRDefault="00871F8D">
      <w:pPr>
        <w:spacing w:before="20"/>
        <w:ind w:firstLine="450"/>
        <w:jc w:val="both"/>
        <w:textAlignment w:val="top"/>
      </w:pPr>
      <w:r>
        <w:rPr>
          <w:rFonts w:ascii="Arial" w:eastAsia="宋体" w:hAnsi="Arial" w:cs="Arial"/>
          <w:color w:val="000000"/>
          <w:sz w:val="20"/>
          <w:szCs w:val="20"/>
        </w:rPr>
        <w:t>Additional information about fee revenue is provided under "Line of Business Information" included in this Management'</w:t>
      </w:r>
      <w:r>
        <w:rPr>
          <w:rFonts w:ascii="Arial" w:eastAsia="宋体" w:hAnsi="Arial" w:cs="Arial"/>
          <w:color w:val="000000"/>
          <w:sz w:val="20"/>
          <w:szCs w:val="20"/>
        </w:rPr>
        <w:t>s Discussion and Analysis.</w:t>
      </w:r>
    </w:p>
    <w:p w14:paraId="74DD693C" w14:textId="77777777" w:rsidR="00584EC1" w:rsidRDefault="00871F8D">
      <w:pPr>
        <w:spacing w:before="60"/>
        <w:jc w:val="both"/>
        <w:textAlignment w:val="top"/>
      </w:pPr>
      <w:r>
        <w:rPr>
          <w:rFonts w:ascii="Arial" w:eastAsia="宋体" w:hAnsi="Arial" w:cs="Arial"/>
          <w:b/>
          <w:bCs/>
          <w:i/>
          <w:iCs/>
          <w:color w:val="000000"/>
          <w:sz w:val="20"/>
          <w:szCs w:val="20"/>
        </w:rPr>
        <w:t>Net Interest Income</w:t>
      </w:r>
    </w:p>
    <w:p w14:paraId="74DD693D" w14:textId="77777777" w:rsidR="00584EC1" w:rsidRDefault="00871F8D">
      <w:pPr>
        <w:spacing w:before="60"/>
        <w:ind w:firstLine="450"/>
        <w:jc w:val="both"/>
        <w:textAlignment w:val="top"/>
      </w:pPr>
      <w:r>
        <w:rPr>
          <w:rFonts w:ascii="Arial" w:eastAsia="宋体" w:hAnsi="Arial" w:cs="Arial"/>
          <w:color w:val="000000"/>
          <w:sz w:val="20"/>
          <w:szCs w:val="20"/>
        </w:rPr>
        <w:t xml:space="preserve">See Table 2: Total Revenue, for the breakout of interest income and interest expense for the three and nine months ended September 30, 2021, compared to the same periods in 2020. </w:t>
      </w:r>
    </w:p>
    <w:p w14:paraId="74DD693E" w14:textId="77777777" w:rsidR="00584EC1" w:rsidRDefault="00871F8D">
      <w:pPr>
        <w:spacing w:before="60"/>
        <w:ind w:firstLine="450"/>
        <w:jc w:val="both"/>
        <w:textAlignment w:val="top"/>
      </w:pPr>
      <w:r>
        <w:rPr>
          <w:rFonts w:ascii="Arial" w:eastAsia="宋体" w:hAnsi="Arial" w:cs="Arial"/>
          <w:color w:val="000000"/>
          <w:sz w:val="20"/>
          <w:szCs w:val="20"/>
        </w:rPr>
        <w:t xml:space="preserve">NII is defined as interest income earned on interest-earning assets less </w:t>
      </w:r>
      <w:r>
        <w:rPr>
          <w:rFonts w:ascii="Arial" w:eastAsia="宋体" w:hAnsi="Arial" w:cs="Arial"/>
          <w:color w:val="000000"/>
          <w:sz w:val="20"/>
          <w:szCs w:val="20"/>
        </w:rPr>
        <w:t>interest expense incurred on interest-bearing liabilities. Interest-earning assets, which principally consist of investment securities, interest-bearing deposits with banks, loans, resale agreements and other liquid assets, are financed primarily by client</w:t>
      </w:r>
      <w:r>
        <w:rPr>
          <w:rFonts w:ascii="Arial" w:eastAsia="宋体" w:hAnsi="Arial" w:cs="Arial"/>
          <w:color w:val="000000"/>
          <w:sz w:val="20"/>
          <w:szCs w:val="20"/>
        </w:rPr>
        <w:t xml:space="preserve"> deposits, short-term borrowings and long-term debt.</w:t>
      </w:r>
    </w:p>
    <w:p w14:paraId="74DD693F" w14:textId="77777777" w:rsidR="00584EC1" w:rsidRDefault="00871F8D">
      <w:pPr>
        <w:spacing w:before="60"/>
        <w:ind w:firstLine="450"/>
        <w:jc w:val="both"/>
        <w:textAlignment w:val="top"/>
      </w:pPr>
      <w:r>
        <w:rPr>
          <w:rFonts w:ascii="Arial" w:eastAsia="宋体" w:hAnsi="Arial" w:cs="Arial"/>
          <w:color w:val="000000"/>
          <w:sz w:val="20"/>
          <w:szCs w:val="20"/>
        </w:rPr>
        <w:t xml:space="preserve">NIM represents the relationship between annualized FTE NII and average total interest-earning assets for the period. It is calculated by dividing FTE NII by average interest-earning assets. Revenue that </w:t>
      </w:r>
      <w:r>
        <w:rPr>
          <w:rFonts w:ascii="Arial" w:eastAsia="宋体" w:hAnsi="Arial" w:cs="Arial"/>
          <w:color w:val="000000"/>
          <w:sz w:val="20"/>
          <w:szCs w:val="20"/>
        </w:rPr>
        <w:t>is exempt from income taxes, mainly earned from certain investment securities (state and political subdivisions), is adjusted to a FTE basis using the U.S. federal and state statutory income tax rates.</w:t>
      </w:r>
    </w:p>
    <w:p w14:paraId="74DD6940" w14:textId="77777777" w:rsidR="00584EC1" w:rsidRDefault="00871F8D">
      <w:pPr>
        <w:spacing w:before="60"/>
        <w:ind w:firstLine="450"/>
        <w:jc w:val="both"/>
        <w:textAlignment w:val="top"/>
      </w:pPr>
      <w:r>
        <w:rPr>
          <w:rFonts w:ascii="Arial" w:eastAsia="宋体" w:hAnsi="Arial" w:cs="Arial"/>
          <w:color w:val="000000"/>
          <w:sz w:val="20"/>
          <w:szCs w:val="20"/>
        </w:rPr>
        <w:t>NII on an FTE basis increased in the three months ende</w:t>
      </w:r>
      <w:r>
        <w:rPr>
          <w:rFonts w:ascii="Arial" w:eastAsia="宋体" w:hAnsi="Arial" w:cs="Arial"/>
          <w:color w:val="000000"/>
          <w:sz w:val="20"/>
          <w:szCs w:val="20"/>
        </w:rPr>
        <w:t xml:space="preserve">d September 30, 2021, compared to the same period in 2020, primarily due to higher loan </w:t>
      </w:r>
    </w:p>
    <w:p w14:paraId="74DD6941" w14:textId="77777777" w:rsidR="00584EC1" w:rsidRDefault="00871F8D">
      <w:pPr>
        <w:spacing w:before="60"/>
        <w:jc w:val="both"/>
        <w:textAlignment w:val="top"/>
      </w:pPr>
      <w:r>
        <w:rPr>
          <w:rFonts w:ascii="Arial" w:eastAsia="宋体" w:hAnsi="Arial" w:cs="Arial"/>
          <w:color w:val="000000"/>
          <w:sz w:val="20"/>
          <w:szCs w:val="20"/>
        </w:rPr>
        <w:t>balances and growth in the investment portfolio and deposits, as well as the absence of a non-recurring true-up in the third quarter of 2020, partially offset by lower</w:t>
      </w:r>
      <w:r>
        <w:rPr>
          <w:rFonts w:ascii="Arial" w:eastAsia="宋体" w:hAnsi="Arial" w:cs="Arial"/>
          <w:color w:val="000000"/>
          <w:sz w:val="20"/>
          <w:szCs w:val="20"/>
        </w:rPr>
        <w:t xml:space="preserve"> investment portfolio yields.</w:t>
      </w:r>
    </w:p>
    <w:p w14:paraId="74DD6942" w14:textId="77777777" w:rsidR="00584EC1" w:rsidRDefault="00871F8D">
      <w:pPr>
        <w:spacing w:before="60"/>
        <w:ind w:firstLine="450"/>
        <w:jc w:val="both"/>
        <w:textAlignment w:val="top"/>
      </w:pPr>
      <w:r>
        <w:rPr>
          <w:rFonts w:ascii="Arial" w:eastAsia="宋体" w:hAnsi="Arial" w:cs="Arial"/>
          <w:color w:val="000000"/>
          <w:sz w:val="20"/>
          <w:szCs w:val="20"/>
        </w:rPr>
        <w:t>NII on an FTE basis decreased in the nine months ended September 30, 2021, compared to the same period in 2020, primarily due to lower investment portfolio yields, partially offset by deposit, investment portfolio and loan gro</w:t>
      </w:r>
      <w:r>
        <w:rPr>
          <w:rFonts w:ascii="Arial" w:eastAsia="宋体" w:hAnsi="Arial" w:cs="Arial"/>
          <w:color w:val="000000"/>
          <w:sz w:val="20"/>
          <w:szCs w:val="20"/>
        </w:rPr>
        <w:t>wth, and the absence of a non-recurring true-up in the third quarter of 2020.</w:t>
      </w:r>
    </w:p>
    <w:p w14:paraId="74DD6943" w14:textId="77777777" w:rsidR="00584EC1" w:rsidRDefault="00871F8D">
      <w:pPr>
        <w:spacing w:before="60"/>
        <w:ind w:firstLine="450"/>
        <w:jc w:val="both"/>
        <w:textAlignment w:val="top"/>
      </w:pPr>
      <w:r>
        <w:rPr>
          <w:rFonts w:ascii="Arial" w:eastAsia="宋体" w:hAnsi="Arial" w:cs="Arial"/>
          <w:color w:val="000000"/>
          <w:sz w:val="20"/>
          <w:szCs w:val="20"/>
        </w:rPr>
        <w:t>Investment securities net premium amortization, which is included in interest income, was $128 million and $454 million in the three and nine months ended September 30, 2021, res</w:t>
      </w:r>
      <w:r>
        <w:rPr>
          <w:rFonts w:ascii="Arial" w:eastAsia="宋体" w:hAnsi="Arial" w:cs="Arial"/>
          <w:color w:val="000000"/>
          <w:sz w:val="20"/>
          <w:szCs w:val="20"/>
        </w:rPr>
        <w:t>pectively, compared to $179 million and $396 million in the same periods in 2020, respectively. The decrease in MBS premium amortization in the three months ended September 30, 2021, compared to the same period in 2020, is primarily driven by lower prepaym</w:t>
      </w:r>
      <w:r>
        <w:rPr>
          <w:rFonts w:ascii="Arial" w:eastAsia="宋体" w:hAnsi="Arial" w:cs="Arial"/>
          <w:color w:val="000000"/>
          <w:sz w:val="20"/>
          <w:szCs w:val="20"/>
        </w:rPr>
        <w:t xml:space="preserve">ents and the absence of a non-recurring true-up of $20 million, which impacted the third quarter of 2020. The increase in the nine months ended September 30, 2021, compared to the same period in 2020, is primarily driven by low level of interest rates and </w:t>
      </w:r>
      <w:r>
        <w:rPr>
          <w:rFonts w:ascii="Arial" w:eastAsia="宋体" w:hAnsi="Arial" w:cs="Arial"/>
          <w:color w:val="000000"/>
          <w:sz w:val="20"/>
          <w:szCs w:val="20"/>
        </w:rPr>
        <w:t>the absence of the MMLF discount accretion.</w:t>
      </w:r>
    </w:p>
    <w:p w14:paraId="74DD6944" w14:textId="77777777" w:rsidR="00584EC1" w:rsidRDefault="00871F8D">
      <w:pPr>
        <w:spacing w:before="60"/>
        <w:ind w:firstLine="450"/>
        <w:jc w:val="both"/>
        <w:textAlignment w:val="top"/>
      </w:pPr>
      <w:r>
        <w:rPr>
          <w:rFonts w:ascii="Arial" w:eastAsia="宋体" w:hAnsi="Arial" w:cs="Arial"/>
          <w:color w:val="000000"/>
          <w:sz w:val="20"/>
          <w:szCs w:val="20"/>
        </w:rPr>
        <w:t>Interest income related to debt securities is recognized in our consolidated statement of income using the effective interest method, or on a basis approximating a level rate of return over the contractual or est</w:t>
      </w:r>
      <w:r>
        <w:rPr>
          <w:rFonts w:ascii="Arial" w:eastAsia="宋体" w:hAnsi="Arial" w:cs="Arial"/>
          <w:color w:val="000000"/>
          <w:sz w:val="20"/>
          <w:szCs w:val="20"/>
        </w:rPr>
        <w:t>imated life of the security. The rate of return considers any non-refundable fees or costs, as well as purchase premiums or discounts, resulting in amortization or accretion, accordingly. The amortization of premiums and accretion of discounts are adjusted</w:t>
      </w:r>
      <w:r>
        <w:rPr>
          <w:rFonts w:ascii="Arial" w:eastAsia="宋体" w:hAnsi="Arial" w:cs="Arial"/>
          <w:color w:val="000000"/>
          <w:sz w:val="20"/>
          <w:szCs w:val="20"/>
        </w:rPr>
        <w:t xml:space="preserve"> for prepayments when they occur, which primarily impact mortgage-backed securities.</w:t>
      </w:r>
    </w:p>
    <w:p w14:paraId="74DD6945" w14:textId="77777777" w:rsidR="00584EC1" w:rsidRDefault="00871F8D">
      <w:pPr>
        <w:spacing w:before="60"/>
        <w:ind w:firstLine="450"/>
        <w:jc w:val="both"/>
        <w:textAlignment w:val="top"/>
      </w:pPr>
      <w:r>
        <w:rPr>
          <w:rFonts w:ascii="Arial" w:eastAsia="宋体" w:hAnsi="Arial" w:cs="Arial"/>
          <w:color w:val="000000"/>
          <w:sz w:val="20"/>
          <w:szCs w:val="20"/>
        </w:rPr>
        <w:t>The following table presents the investment securities amortizable purchase premium net of discount accretion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3"/>
        <w:gridCol w:w="1427"/>
        <w:gridCol w:w="38"/>
        <w:gridCol w:w="98"/>
        <w:gridCol w:w="705"/>
        <w:gridCol w:w="36"/>
        <w:gridCol w:w="36"/>
        <w:gridCol w:w="36"/>
        <w:gridCol w:w="36"/>
        <w:gridCol w:w="98"/>
        <w:gridCol w:w="697"/>
        <w:gridCol w:w="36"/>
        <w:gridCol w:w="36"/>
        <w:gridCol w:w="36"/>
        <w:gridCol w:w="36"/>
        <w:gridCol w:w="98"/>
        <w:gridCol w:w="858"/>
        <w:gridCol w:w="36"/>
        <w:gridCol w:w="36"/>
        <w:gridCol w:w="36"/>
        <w:gridCol w:w="36"/>
        <w:gridCol w:w="98"/>
        <w:gridCol w:w="697"/>
        <w:gridCol w:w="36"/>
        <w:gridCol w:w="36"/>
        <w:gridCol w:w="36"/>
        <w:gridCol w:w="36"/>
        <w:gridCol w:w="98"/>
        <w:gridCol w:w="697"/>
        <w:gridCol w:w="36"/>
        <w:gridCol w:w="36"/>
        <w:gridCol w:w="36"/>
        <w:gridCol w:w="36"/>
        <w:gridCol w:w="98"/>
        <w:gridCol w:w="858"/>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584EC1" w14:paraId="74DD6974" w14:textId="77777777">
        <w:tc>
          <w:tcPr>
            <w:tcW w:w="50" w:type="pct"/>
            <w:shd w:val="clear" w:color="auto" w:fill="auto"/>
            <w:vAlign w:val="bottom"/>
          </w:tcPr>
          <w:p w14:paraId="74DD6946" w14:textId="77777777" w:rsidR="00584EC1" w:rsidRDefault="00584EC1">
            <w:pPr>
              <w:rPr>
                <w:rFonts w:ascii="宋体"/>
              </w:rPr>
            </w:pPr>
          </w:p>
        </w:tc>
        <w:tc>
          <w:tcPr>
            <w:tcW w:w="1014" w:type="pct"/>
            <w:shd w:val="clear" w:color="auto" w:fill="auto"/>
            <w:vAlign w:val="bottom"/>
          </w:tcPr>
          <w:p w14:paraId="74DD6947" w14:textId="77777777" w:rsidR="00584EC1" w:rsidRDefault="00584EC1">
            <w:pPr>
              <w:rPr>
                <w:rFonts w:ascii="宋体"/>
              </w:rPr>
            </w:pPr>
          </w:p>
        </w:tc>
        <w:tc>
          <w:tcPr>
            <w:tcW w:w="5" w:type="pct"/>
            <w:shd w:val="clear" w:color="auto" w:fill="auto"/>
            <w:vAlign w:val="bottom"/>
          </w:tcPr>
          <w:p w14:paraId="74DD6948" w14:textId="77777777" w:rsidR="00584EC1" w:rsidRDefault="00584EC1">
            <w:pPr>
              <w:rPr>
                <w:rFonts w:ascii="宋体"/>
              </w:rPr>
            </w:pPr>
          </w:p>
        </w:tc>
        <w:tc>
          <w:tcPr>
            <w:tcW w:w="50" w:type="pct"/>
            <w:shd w:val="clear" w:color="auto" w:fill="auto"/>
            <w:vAlign w:val="bottom"/>
          </w:tcPr>
          <w:p w14:paraId="74DD6949" w14:textId="77777777" w:rsidR="00584EC1" w:rsidRDefault="00584EC1">
            <w:pPr>
              <w:rPr>
                <w:rFonts w:ascii="宋体"/>
              </w:rPr>
            </w:pPr>
          </w:p>
        </w:tc>
        <w:tc>
          <w:tcPr>
            <w:tcW w:w="511" w:type="pct"/>
            <w:shd w:val="clear" w:color="auto" w:fill="auto"/>
            <w:vAlign w:val="bottom"/>
          </w:tcPr>
          <w:p w14:paraId="74DD694A" w14:textId="77777777" w:rsidR="00584EC1" w:rsidRDefault="00584EC1">
            <w:pPr>
              <w:rPr>
                <w:rFonts w:ascii="宋体"/>
              </w:rPr>
            </w:pPr>
          </w:p>
        </w:tc>
        <w:tc>
          <w:tcPr>
            <w:tcW w:w="5" w:type="pct"/>
            <w:shd w:val="clear" w:color="auto" w:fill="auto"/>
            <w:vAlign w:val="bottom"/>
          </w:tcPr>
          <w:p w14:paraId="74DD694B" w14:textId="77777777" w:rsidR="00584EC1" w:rsidRDefault="00584EC1">
            <w:pPr>
              <w:rPr>
                <w:rFonts w:ascii="宋体"/>
              </w:rPr>
            </w:pPr>
          </w:p>
        </w:tc>
        <w:tc>
          <w:tcPr>
            <w:tcW w:w="5" w:type="pct"/>
            <w:shd w:val="clear" w:color="auto" w:fill="auto"/>
            <w:vAlign w:val="bottom"/>
          </w:tcPr>
          <w:p w14:paraId="74DD694C" w14:textId="77777777" w:rsidR="00584EC1" w:rsidRDefault="00584EC1">
            <w:pPr>
              <w:rPr>
                <w:rFonts w:ascii="宋体"/>
              </w:rPr>
            </w:pPr>
          </w:p>
        </w:tc>
        <w:tc>
          <w:tcPr>
            <w:tcW w:w="52" w:type="pct"/>
            <w:shd w:val="clear" w:color="auto" w:fill="auto"/>
            <w:vAlign w:val="bottom"/>
          </w:tcPr>
          <w:p w14:paraId="74DD694D" w14:textId="77777777" w:rsidR="00584EC1" w:rsidRDefault="00584EC1">
            <w:pPr>
              <w:rPr>
                <w:rFonts w:ascii="宋体"/>
              </w:rPr>
            </w:pPr>
          </w:p>
        </w:tc>
        <w:tc>
          <w:tcPr>
            <w:tcW w:w="5" w:type="pct"/>
            <w:shd w:val="clear" w:color="auto" w:fill="auto"/>
            <w:vAlign w:val="bottom"/>
          </w:tcPr>
          <w:p w14:paraId="74DD694E" w14:textId="77777777" w:rsidR="00584EC1" w:rsidRDefault="00584EC1">
            <w:pPr>
              <w:rPr>
                <w:rFonts w:ascii="宋体"/>
              </w:rPr>
            </w:pPr>
          </w:p>
        </w:tc>
        <w:tc>
          <w:tcPr>
            <w:tcW w:w="50" w:type="pct"/>
            <w:shd w:val="clear" w:color="auto" w:fill="auto"/>
            <w:vAlign w:val="bottom"/>
          </w:tcPr>
          <w:p w14:paraId="74DD694F" w14:textId="77777777" w:rsidR="00584EC1" w:rsidRDefault="00584EC1">
            <w:pPr>
              <w:rPr>
                <w:rFonts w:ascii="宋体"/>
              </w:rPr>
            </w:pPr>
          </w:p>
        </w:tc>
        <w:tc>
          <w:tcPr>
            <w:tcW w:w="511" w:type="pct"/>
            <w:shd w:val="clear" w:color="auto" w:fill="auto"/>
            <w:vAlign w:val="bottom"/>
          </w:tcPr>
          <w:p w14:paraId="74DD6950" w14:textId="77777777" w:rsidR="00584EC1" w:rsidRDefault="00584EC1">
            <w:pPr>
              <w:rPr>
                <w:rFonts w:ascii="宋体"/>
              </w:rPr>
            </w:pPr>
          </w:p>
        </w:tc>
        <w:tc>
          <w:tcPr>
            <w:tcW w:w="5" w:type="pct"/>
            <w:shd w:val="clear" w:color="auto" w:fill="auto"/>
            <w:vAlign w:val="bottom"/>
          </w:tcPr>
          <w:p w14:paraId="74DD6951" w14:textId="77777777" w:rsidR="00584EC1" w:rsidRDefault="00584EC1">
            <w:pPr>
              <w:rPr>
                <w:rFonts w:ascii="宋体"/>
              </w:rPr>
            </w:pPr>
          </w:p>
        </w:tc>
        <w:tc>
          <w:tcPr>
            <w:tcW w:w="5" w:type="pct"/>
            <w:shd w:val="clear" w:color="auto" w:fill="auto"/>
            <w:vAlign w:val="bottom"/>
          </w:tcPr>
          <w:p w14:paraId="74DD6952" w14:textId="77777777" w:rsidR="00584EC1" w:rsidRDefault="00584EC1">
            <w:pPr>
              <w:rPr>
                <w:rFonts w:ascii="宋体"/>
              </w:rPr>
            </w:pPr>
          </w:p>
        </w:tc>
        <w:tc>
          <w:tcPr>
            <w:tcW w:w="52" w:type="pct"/>
            <w:shd w:val="clear" w:color="auto" w:fill="auto"/>
            <w:vAlign w:val="bottom"/>
          </w:tcPr>
          <w:p w14:paraId="74DD6953" w14:textId="77777777" w:rsidR="00584EC1" w:rsidRDefault="00584EC1">
            <w:pPr>
              <w:rPr>
                <w:rFonts w:ascii="宋体"/>
              </w:rPr>
            </w:pPr>
          </w:p>
        </w:tc>
        <w:tc>
          <w:tcPr>
            <w:tcW w:w="5" w:type="pct"/>
            <w:shd w:val="clear" w:color="auto" w:fill="auto"/>
            <w:vAlign w:val="bottom"/>
          </w:tcPr>
          <w:p w14:paraId="74DD6954" w14:textId="77777777" w:rsidR="00584EC1" w:rsidRDefault="00584EC1">
            <w:pPr>
              <w:rPr>
                <w:rFonts w:ascii="宋体"/>
              </w:rPr>
            </w:pPr>
          </w:p>
        </w:tc>
        <w:tc>
          <w:tcPr>
            <w:tcW w:w="50" w:type="pct"/>
            <w:shd w:val="clear" w:color="auto" w:fill="auto"/>
            <w:vAlign w:val="bottom"/>
          </w:tcPr>
          <w:p w14:paraId="74DD6955" w14:textId="77777777" w:rsidR="00584EC1" w:rsidRDefault="00584EC1">
            <w:pPr>
              <w:rPr>
                <w:rFonts w:ascii="宋体"/>
              </w:rPr>
            </w:pPr>
          </w:p>
        </w:tc>
        <w:tc>
          <w:tcPr>
            <w:tcW w:w="621" w:type="pct"/>
            <w:shd w:val="clear" w:color="auto" w:fill="auto"/>
            <w:vAlign w:val="bottom"/>
          </w:tcPr>
          <w:p w14:paraId="74DD6956" w14:textId="77777777" w:rsidR="00584EC1" w:rsidRDefault="00584EC1">
            <w:pPr>
              <w:rPr>
                <w:rFonts w:ascii="宋体"/>
              </w:rPr>
            </w:pPr>
          </w:p>
        </w:tc>
        <w:tc>
          <w:tcPr>
            <w:tcW w:w="5" w:type="pct"/>
            <w:shd w:val="clear" w:color="auto" w:fill="auto"/>
            <w:vAlign w:val="bottom"/>
          </w:tcPr>
          <w:p w14:paraId="74DD6957" w14:textId="77777777" w:rsidR="00584EC1" w:rsidRDefault="00584EC1">
            <w:pPr>
              <w:rPr>
                <w:rFonts w:ascii="宋体"/>
              </w:rPr>
            </w:pPr>
          </w:p>
        </w:tc>
        <w:tc>
          <w:tcPr>
            <w:tcW w:w="5" w:type="pct"/>
            <w:shd w:val="clear" w:color="auto" w:fill="auto"/>
            <w:vAlign w:val="bottom"/>
          </w:tcPr>
          <w:p w14:paraId="74DD6958" w14:textId="77777777" w:rsidR="00584EC1" w:rsidRDefault="00584EC1">
            <w:pPr>
              <w:rPr>
                <w:rFonts w:ascii="宋体"/>
              </w:rPr>
            </w:pPr>
          </w:p>
        </w:tc>
        <w:tc>
          <w:tcPr>
            <w:tcW w:w="52" w:type="pct"/>
            <w:shd w:val="clear" w:color="auto" w:fill="auto"/>
            <w:vAlign w:val="bottom"/>
          </w:tcPr>
          <w:p w14:paraId="74DD6959" w14:textId="77777777" w:rsidR="00584EC1" w:rsidRDefault="00584EC1">
            <w:pPr>
              <w:rPr>
                <w:rFonts w:ascii="宋体"/>
              </w:rPr>
            </w:pPr>
          </w:p>
        </w:tc>
        <w:tc>
          <w:tcPr>
            <w:tcW w:w="5" w:type="pct"/>
            <w:shd w:val="clear" w:color="auto" w:fill="auto"/>
            <w:vAlign w:val="bottom"/>
          </w:tcPr>
          <w:p w14:paraId="74DD695A" w14:textId="77777777" w:rsidR="00584EC1" w:rsidRDefault="00584EC1">
            <w:pPr>
              <w:rPr>
                <w:rFonts w:ascii="宋体"/>
              </w:rPr>
            </w:pPr>
          </w:p>
        </w:tc>
        <w:tc>
          <w:tcPr>
            <w:tcW w:w="50" w:type="pct"/>
            <w:shd w:val="clear" w:color="auto" w:fill="auto"/>
            <w:vAlign w:val="bottom"/>
          </w:tcPr>
          <w:p w14:paraId="74DD695B" w14:textId="77777777" w:rsidR="00584EC1" w:rsidRDefault="00584EC1">
            <w:pPr>
              <w:rPr>
                <w:rFonts w:ascii="宋体"/>
              </w:rPr>
            </w:pPr>
          </w:p>
        </w:tc>
        <w:tc>
          <w:tcPr>
            <w:tcW w:w="511" w:type="pct"/>
            <w:shd w:val="clear" w:color="auto" w:fill="auto"/>
            <w:vAlign w:val="bottom"/>
          </w:tcPr>
          <w:p w14:paraId="74DD695C" w14:textId="77777777" w:rsidR="00584EC1" w:rsidRDefault="00584EC1">
            <w:pPr>
              <w:rPr>
                <w:rFonts w:ascii="宋体"/>
              </w:rPr>
            </w:pPr>
          </w:p>
        </w:tc>
        <w:tc>
          <w:tcPr>
            <w:tcW w:w="5" w:type="pct"/>
            <w:shd w:val="clear" w:color="auto" w:fill="auto"/>
            <w:vAlign w:val="bottom"/>
          </w:tcPr>
          <w:p w14:paraId="74DD695D" w14:textId="77777777" w:rsidR="00584EC1" w:rsidRDefault="00584EC1">
            <w:pPr>
              <w:rPr>
                <w:rFonts w:ascii="宋体"/>
              </w:rPr>
            </w:pPr>
          </w:p>
        </w:tc>
        <w:tc>
          <w:tcPr>
            <w:tcW w:w="5" w:type="pct"/>
            <w:shd w:val="clear" w:color="auto" w:fill="auto"/>
            <w:vAlign w:val="bottom"/>
          </w:tcPr>
          <w:p w14:paraId="74DD695E" w14:textId="77777777" w:rsidR="00584EC1" w:rsidRDefault="00584EC1">
            <w:pPr>
              <w:rPr>
                <w:rFonts w:ascii="宋体"/>
              </w:rPr>
            </w:pPr>
          </w:p>
        </w:tc>
        <w:tc>
          <w:tcPr>
            <w:tcW w:w="52" w:type="pct"/>
            <w:shd w:val="clear" w:color="auto" w:fill="auto"/>
            <w:vAlign w:val="bottom"/>
          </w:tcPr>
          <w:p w14:paraId="74DD695F" w14:textId="77777777" w:rsidR="00584EC1" w:rsidRDefault="00584EC1">
            <w:pPr>
              <w:rPr>
                <w:rFonts w:ascii="宋体"/>
              </w:rPr>
            </w:pPr>
          </w:p>
        </w:tc>
        <w:tc>
          <w:tcPr>
            <w:tcW w:w="5" w:type="pct"/>
            <w:shd w:val="clear" w:color="auto" w:fill="auto"/>
            <w:vAlign w:val="bottom"/>
          </w:tcPr>
          <w:p w14:paraId="74DD6960" w14:textId="77777777" w:rsidR="00584EC1" w:rsidRDefault="00584EC1">
            <w:pPr>
              <w:rPr>
                <w:rFonts w:ascii="宋体"/>
              </w:rPr>
            </w:pPr>
          </w:p>
        </w:tc>
        <w:tc>
          <w:tcPr>
            <w:tcW w:w="50" w:type="pct"/>
            <w:shd w:val="clear" w:color="auto" w:fill="auto"/>
            <w:vAlign w:val="bottom"/>
          </w:tcPr>
          <w:p w14:paraId="74DD6961" w14:textId="77777777" w:rsidR="00584EC1" w:rsidRDefault="00584EC1">
            <w:pPr>
              <w:rPr>
                <w:rFonts w:ascii="宋体"/>
              </w:rPr>
            </w:pPr>
          </w:p>
        </w:tc>
        <w:tc>
          <w:tcPr>
            <w:tcW w:w="511" w:type="pct"/>
            <w:shd w:val="clear" w:color="auto" w:fill="auto"/>
            <w:vAlign w:val="bottom"/>
          </w:tcPr>
          <w:p w14:paraId="74DD6962" w14:textId="77777777" w:rsidR="00584EC1" w:rsidRDefault="00584EC1">
            <w:pPr>
              <w:rPr>
                <w:rFonts w:ascii="宋体"/>
              </w:rPr>
            </w:pPr>
          </w:p>
        </w:tc>
        <w:tc>
          <w:tcPr>
            <w:tcW w:w="5" w:type="pct"/>
            <w:shd w:val="clear" w:color="auto" w:fill="auto"/>
            <w:vAlign w:val="bottom"/>
          </w:tcPr>
          <w:p w14:paraId="74DD6963" w14:textId="77777777" w:rsidR="00584EC1" w:rsidRDefault="00584EC1">
            <w:pPr>
              <w:rPr>
                <w:rFonts w:ascii="宋体"/>
              </w:rPr>
            </w:pPr>
          </w:p>
        </w:tc>
        <w:tc>
          <w:tcPr>
            <w:tcW w:w="5" w:type="pct"/>
            <w:shd w:val="clear" w:color="auto" w:fill="auto"/>
            <w:vAlign w:val="bottom"/>
          </w:tcPr>
          <w:p w14:paraId="74DD6964" w14:textId="77777777" w:rsidR="00584EC1" w:rsidRDefault="00584EC1">
            <w:pPr>
              <w:rPr>
                <w:rFonts w:ascii="宋体"/>
              </w:rPr>
            </w:pPr>
          </w:p>
        </w:tc>
        <w:tc>
          <w:tcPr>
            <w:tcW w:w="52" w:type="pct"/>
            <w:shd w:val="clear" w:color="auto" w:fill="auto"/>
            <w:vAlign w:val="bottom"/>
          </w:tcPr>
          <w:p w14:paraId="74DD6965" w14:textId="77777777" w:rsidR="00584EC1" w:rsidRDefault="00584EC1">
            <w:pPr>
              <w:rPr>
                <w:rFonts w:ascii="宋体"/>
              </w:rPr>
            </w:pPr>
          </w:p>
        </w:tc>
        <w:tc>
          <w:tcPr>
            <w:tcW w:w="5" w:type="pct"/>
            <w:shd w:val="clear" w:color="auto" w:fill="auto"/>
            <w:vAlign w:val="bottom"/>
          </w:tcPr>
          <w:p w14:paraId="74DD6966" w14:textId="77777777" w:rsidR="00584EC1" w:rsidRDefault="00584EC1">
            <w:pPr>
              <w:rPr>
                <w:rFonts w:ascii="宋体"/>
              </w:rPr>
            </w:pPr>
          </w:p>
        </w:tc>
        <w:tc>
          <w:tcPr>
            <w:tcW w:w="50" w:type="pct"/>
            <w:shd w:val="clear" w:color="auto" w:fill="auto"/>
            <w:vAlign w:val="bottom"/>
          </w:tcPr>
          <w:p w14:paraId="74DD6967" w14:textId="77777777" w:rsidR="00584EC1" w:rsidRDefault="00584EC1">
            <w:pPr>
              <w:rPr>
                <w:rFonts w:ascii="宋体"/>
              </w:rPr>
            </w:pPr>
          </w:p>
        </w:tc>
        <w:tc>
          <w:tcPr>
            <w:tcW w:w="621" w:type="pct"/>
            <w:shd w:val="clear" w:color="auto" w:fill="auto"/>
            <w:vAlign w:val="bottom"/>
          </w:tcPr>
          <w:p w14:paraId="74DD6968" w14:textId="77777777" w:rsidR="00584EC1" w:rsidRDefault="00584EC1">
            <w:pPr>
              <w:rPr>
                <w:rFonts w:ascii="宋体"/>
              </w:rPr>
            </w:pPr>
          </w:p>
        </w:tc>
        <w:tc>
          <w:tcPr>
            <w:tcW w:w="5" w:type="pct"/>
            <w:shd w:val="clear" w:color="auto" w:fill="auto"/>
            <w:vAlign w:val="bottom"/>
          </w:tcPr>
          <w:p w14:paraId="74DD6969" w14:textId="77777777" w:rsidR="00584EC1" w:rsidRDefault="00584EC1">
            <w:pPr>
              <w:rPr>
                <w:rFonts w:ascii="宋体"/>
              </w:rPr>
            </w:pPr>
          </w:p>
        </w:tc>
        <w:tc>
          <w:tcPr>
            <w:tcW w:w="0" w:type="auto"/>
            <w:gridSpan w:val="3"/>
            <w:shd w:val="clear" w:color="auto" w:fill="auto"/>
            <w:vAlign w:val="bottom"/>
          </w:tcPr>
          <w:p w14:paraId="74DD696A" w14:textId="77777777" w:rsidR="00584EC1" w:rsidRDefault="00584EC1">
            <w:pPr>
              <w:rPr>
                <w:rFonts w:ascii="宋体"/>
                <w:vanish/>
              </w:rPr>
            </w:pPr>
          </w:p>
        </w:tc>
        <w:tc>
          <w:tcPr>
            <w:tcW w:w="0" w:type="auto"/>
            <w:gridSpan w:val="3"/>
            <w:shd w:val="clear" w:color="auto" w:fill="auto"/>
            <w:vAlign w:val="bottom"/>
          </w:tcPr>
          <w:p w14:paraId="74DD696B" w14:textId="77777777" w:rsidR="00584EC1" w:rsidRDefault="00584EC1">
            <w:pPr>
              <w:rPr>
                <w:rFonts w:ascii="宋体"/>
                <w:vanish/>
              </w:rPr>
            </w:pPr>
          </w:p>
        </w:tc>
        <w:tc>
          <w:tcPr>
            <w:tcW w:w="0" w:type="auto"/>
            <w:gridSpan w:val="3"/>
            <w:shd w:val="clear" w:color="auto" w:fill="auto"/>
            <w:vAlign w:val="bottom"/>
          </w:tcPr>
          <w:p w14:paraId="74DD696C" w14:textId="77777777" w:rsidR="00584EC1" w:rsidRDefault="00584EC1">
            <w:pPr>
              <w:rPr>
                <w:rFonts w:ascii="宋体"/>
                <w:vanish/>
              </w:rPr>
            </w:pPr>
          </w:p>
        </w:tc>
        <w:tc>
          <w:tcPr>
            <w:tcW w:w="0" w:type="auto"/>
            <w:gridSpan w:val="3"/>
            <w:shd w:val="clear" w:color="auto" w:fill="auto"/>
            <w:vAlign w:val="bottom"/>
          </w:tcPr>
          <w:p w14:paraId="74DD696D" w14:textId="77777777" w:rsidR="00584EC1" w:rsidRDefault="00584EC1">
            <w:pPr>
              <w:rPr>
                <w:rFonts w:ascii="宋体"/>
                <w:vanish/>
              </w:rPr>
            </w:pPr>
          </w:p>
        </w:tc>
        <w:tc>
          <w:tcPr>
            <w:tcW w:w="0" w:type="auto"/>
            <w:gridSpan w:val="3"/>
            <w:shd w:val="clear" w:color="auto" w:fill="auto"/>
            <w:vAlign w:val="bottom"/>
          </w:tcPr>
          <w:p w14:paraId="74DD696E" w14:textId="77777777" w:rsidR="00584EC1" w:rsidRDefault="00584EC1">
            <w:pPr>
              <w:rPr>
                <w:rFonts w:ascii="宋体"/>
                <w:vanish/>
              </w:rPr>
            </w:pPr>
          </w:p>
        </w:tc>
        <w:tc>
          <w:tcPr>
            <w:tcW w:w="0" w:type="auto"/>
            <w:gridSpan w:val="3"/>
            <w:shd w:val="clear" w:color="auto" w:fill="auto"/>
            <w:vAlign w:val="bottom"/>
          </w:tcPr>
          <w:p w14:paraId="74DD696F" w14:textId="77777777" w:rsidR="00584EC1" w:rsidRDefault="00584EC1">
            <w:pPr>
              <w:rPr>
                <w:rFonts w:ascii="宋体"/>
                <w:vanish/>
              </w:rPr>
            </w:pPr>
          </w:p>
        </w:tc>
        <w:tc>
          <w:tcPr>
            <w:tcW w:w="0" w:type="auto"/>
            <w:gridSpan w:val="3"/>
            <w:shd w:val="clear" w:color="auto" w:fill="auto"/>
            <w:vAlign w:val="bottom"/>
          </w:tcPr>
          <w:p w14:paraId="74DD6970" w14:textId="77777777" w:rsidR="00584EC1" w:rsidRDefault="00584EC1">
            <w:pPr>
              <w:rPr>
                <w:rFonts w:ascii="宋体"/>
                <w:vanish/>
              </w:rPr>
            </w:pPr>
          </w:p>
        </w:tc>
        <w:tc>
          <w:tcPr>
            <w:tcW w:w="0" w:type="auto"/>
            <w:gridSpan w:val="3"/>
            <w:shd w:val="clear" w:color="auto" w:fill="auto"/>
            <w:vAlign w:val="bottom"/>
          </w:tcPr>
          <w:p w14:paraId="74DD6971" w14:textId="77777777" w:rsidR="00584EC1" w:rsidRDefault="00584EC1">
            <w:pPr>
              <w:rPr>
                <w:rFonts w:ascii="宋体"/>
                <w:vanish/>
              </w:rPr>
            </w:pPr>
          </w:p>
        </w:tc>
        <w:tc>
          <w:tcPr>
            <w:tcW w:w="0" w:type="auto"/>
            <w:gridSpan w:val="2"/>
            <w:shd w:val="clear" w:color="auto" w:fill="auto"/>
            <w:vAlign w:val="bottom"/>
          </w:tcPr>
          <w:p w14:paraId="74DD6972" w14:textId="77777777" w:rsidR="00584EC1" w:rsidRDefault="00584EC1">
            <w:pPr>
              <w:rPr>
                <w:rFonts w:ascii="宋体"/>
                <w:vanish/>
              </w:rPr>
            </w:pPr>
          </w:p>
        </w:tc>
        <w:tc>
          <w:tcPr>
            <w:tcW w:w="0" w:type="auto"/>
            <w:shd w:val="clear" w:color="auto" w:fill="auto"/>
            <w:vAlign w:val="bottom"/>
          </w:tcPr>
          <w:p w14:paraId="74DD6973" w14:textId="77777777" w:rsidR="00584EC1" w:rsidRDefault="00584EC1">
            <w:pPr>
              <w:rPr>
                <w:rFonts w:ascii="宋体"/>
                <w:vanish/>
              </w:rPr>
            </w:pPr>
          </w:p>
        </w:tc>
      </w:tr>
      <w:tr w:rsidR="00584EC1" w14:paraId="74DD6980" w14:textId="77777777">
        <w:tc>
          <w:tcPr>
            <w:tcW w:w="0" w:type="auto"/>
            <w:gridSpan w:val="36"/>
            <w:shd w:val="clear" w:color="auto" w:fill="auto"/>
            <w:tcMar>
              <w:top w:w="40" w:type="dxa"/>
              <w:left w:w="20" w:type="dxa"/>
              <w:bottom w:w="40" w:type="dxa"/>
              <w:right w:w="20" w:type="dxa"/>
            </w:tcMar>
            <w:vAlign w:val="bottom"/>
          </w:tcPr>
          <w:p w14:paraId="74DD6975" w14:textId="77777777" w:rsidR="00584EC1" w:rsidRDefault="00871F8D">
            <w:pPr>
              <w:jc w:val="both"/>
              <w:textAlignment w:val="bottom"/>
            </w:pPr>
            <w:r>
              <w:rPr>
                <w:rFonts w:ascii="Arial" w:eastAsia="宋体" w:hAnsi="Arial" w:cs="Arial"/>
                <w:b/>
                <w:bCs/>
                <w:color w:val="000000"/>
                <w:sz w:val="16"/>
                <w:szCs w:val="16"/>
              </w:rPr>
              <w:t xml:space="preserve">TABLE 6: INVESTMENT SECURITIES NET PREMIUM </w:t>
            </w:r>
            <w:r>
              <w:rPr>
                <w:rFonts w:ascii="Arial" w:eastAsia="宋体" w:hAnsi="Arial" w:cs="Arial"/>
                <w:b/>
                <w:bCs/>
                <w:color w:val="000000"/>
                <w:sz w:val="16"/>
                <w:szCs w:val="16"/>
              </w:rPr>
              <w:t>AMORTIZATION</w:t>
            </w:r>
          </w:p>
        </w:tc>
        <w:tc>
          <w:tcPr>
            <w:tcW w:w="0" w:type="auto"/>
            <w:gridSpan w:val="3"/>
            <w:shd w:val="clear" w:color="auto" w:fill="auto"/>
            <w:vAlign w:val="bottom"/>
          </w:tcPr>
          <w:p w14:paraId="74DD6976" w14:textId="77777777" w:rsidR="00584EC1" w:rsidRDefault="00584EC1">
            <w:pPr>
              <w:rPr>
                <w:rFonts w:ascii="宋体"/>
                <w:vanish/>
              </w:rPr>
            </w:pPr>
          </w:p>
        </w:tc>
        <w:tc>
          <w:tcPr>
            <w:tcW w:w="0" w:type="auto"/>
            <w:gridSpan w:val="3"/>
            <w:shd w:val="clear" w:color="auto" w:fill="auto"/>
            <w:vAlign w:val="bottom"/>
          </w:tcPr>
          <w:p w14:paraId="74DD6977" w14:textId="77777777" w:rsidR="00584EC1" w:rsidRDefault="00584EC1">
            <w:pPr>
              <w:rPr>
                <w:rFonts w:ascii="宋体"/>
                <w:vanish/>
              </w:rPr>
            </w:pPr>
          </w:p>
        </w:tc>
        <w:tc>
          <w:tcPr>
            <w:tcW w:w="0" w:type="auto"/>
            <w:gridSpan w:val="3"/>
            <w:shd w:val="clear" w:color="auto" w:fill="auto"/>
            <w:vAlign w:val="bottom"/>
          </w:tcPr>
          <w:p w14:paraId="74DD6978" w14:textId="77777777" w:rsidR="00584EC1" w:rsidRDefault="00584EC1">
            <w:pPr>
              <w:rPr>
                <w:rFonts w:ascii="宋体"/>
                <w:vanish/>
              </w:rPr>
            </w:pPr>
          </w:p>
        </w:tc>
        <w:tc>
          <w:tcPr>
            <w:tcW w:w="0" w:type="auto"/>
            <w:gridSpan w:val="3"/>
            <w:shd w:val="clear" w:color="auto" w:fill="auto"/>
            <w:vAlign w:val="bottom"/>
          </w:tcPr>
          <w:p w14:paraId="74DD6979" w14:textId="77777777" w:rsidR="00584EC1" w:rsidRDefault="00584EC1">
            <w:pPr>
              <w:rPr>
                <w:rFonts w:ascii="宋体"/>
                <w:vanish/>
              </w:rPr>
            </w:pPr>
          </w:p>
        </w:tc>
        <w:tc>
          <w:tcPr>
            <w:tcW w:w="0" w:type="auto"/>
            <w:gridSpan w:val="3"/>
            <w:shd w:val="clear" w:color="auto" w:fill="auto"/>
            <w:vAlign w:val="bottom"/>
          </w:tcPr>
          <w:p w14:paraId="74DD697A" w14:textId="77777777" w:rsidR="00584EC1" w:rsidRDefault="00584EC1">
            <w:pPr>
              <w:rPr>
                <w:rFonts w:ascii="宋体"/>
                <w:vanish/>
              </w:rPr>
            </w:pPr>
          </w:p>
        </w:tc>
        <w:tc>
          <w:tcPr>
            <w:tcW w:w="0" w:type="auto"/>
            <w:gridSpan w:val="3"/>
            <w:shd w:val="clear" w:color="auto" w:fill="auto"/>
            <w:vAlign w:val="bottom"/>
          </w:tcPr>
          <w:p w14:paraId="74DD697B" w14:textId="77777777" w:rsidR="00584EC1" w:rsidRDefault="00584EC1">
            <w:pPr>
              <w:rPr>
                <w:rFonts w:ascii="宋体"/>
                <w:vanish/>
              </w:rPr>
            </w:pPr>
          </w:p>
        </w:tc>
        <w:tc>
          <w:tcPr>
            <w:tcW w:w="0" w:type="auto"/>
            <w:gridSpan w:val="3"/>
            <w:shd w:val="clear" w:color="auto" w:fill="auto"/>
            <w:vAlign w:val="bottom"/>
          </w:tcPr>
          <w:p w14:paraId="74DD697C" w14:textId="77777777" w:rsidR="00584EC1" w:rsidRDefault="00584EC1">
            <w:pPr>
              <w:rPr>
                <w:rFonts w:ascii="宋体"/>
                <w:vanish/>
              </w:rPr>
            </w:pPr>
          </w:p>
        </w:tc>
        <w:tc>
          <w:tcPr>
            <w:tcW w:w="0" w:type="auto"/>
            <w:gridSpan w:val="3"/>
            <w:shd w:val="clear" w:color="auto" w:fill="auto"/>
            <w:vAlign w:val="bottom"/>
          </w:tcPr>
          <w:p w14:paraId="74DD697D" w14:textId="77777777" w:rsidR="00584EC1" w:rsidRDefault="00584EC1">
            <w:pPr>
              <w:rPr>
                <w:rFonts w:ascii="宋体"/>
                <w:vanish/>
              </w:rPr>
            </w:pPr>
          </w:p>
        </w:tc>
        <w:tc>
          <w:tcPr>
            <w:tcW w:w="0" w:type="auto"/>
            <w:gridSpan w:val="2"/>
            <w:shd w:val="clear" w:color="auto" w:fill="auto"/>
            <w:vAlign w:val="bottom"/>
          </w:tcPr>
          <w:p w14:paraId="74DD697E" w14:textId="77777777" w:rsidR="00584EC1" w:rsidRDefault="00584EC1">
            <w:pPr>
              <w:rPr>
                <w:rFonts w:ascii="宋体"/>
                <w:vanish/>
              </w:rPr>
            </w:pPr>
          </w:p>
        </w:tc>
        <w:tc>
          <w:tcPr>
            <w:tcW w:w="0" w:type="auto"/>
            <w:shd w:val="clear" w:color="auto" w:fill="auto"/>
            <w:vAlign w:val="bottom"/>
          </w:tcPr>
          <w:p w14:paraId="74DD697F" w14:textId="77777777" w:rsidR="00584EC1" w:rsidRDefault="00584EC1">
            <w:pPr>
              <w:rPr>
                <w:rFonts w:ascii="宋体"/>
                <w:vanish/>
              </w:rPr>
            </w:pPr>
          </w:p>
        </w:tc>
      </w:tr>
      <w:tr w:rsidR="00584EC1" w14:paraId="74DD69B4" w14:textId="77777777">
        <w:trPr>
          <w:hidden/>
        </w:trPr>
        <w:tc>
          <w:tcPr>
            <w:tcW w:w="0" w:type="auto"/>
            <w:gridSpan w:val="3"/>
            <w:shd w:val="clear" w:color="auto" w:fill="auto"/>
            <w:vAlign w:val="bottom"/>
          </w:tcPr>
          <w:p w14:paraId="74DD6981" w14:textId="77777777" w:rsidR="00584EC1" w:rsidRDefault="00584EC1">
            <w:pPr>
              <w:rPr>
                <w:rFonts w:ascii="宋体"/>
                <w:vanish/>
              </w:rPr>
            </w:pPr>
          </w:p>
        </w:tc>
        <w:tc>
          <w:tcPr>
            <w:tcW w:w="0" w:type="auto"/>
            <w:gridSpan w:val="3"/>
            <w:shd w:val="clear" w:color="auto" w:fill="auto"/>
            <w:vAlign w:val="bottom"/>
          </w:tcPr>
          <w:p w14:paraId="74DD6982" w14:textId="77777777" w:rsidR="00584EC1" w:rsidRDefault="00584EC1">
            <w:pPr>
              <w:rPr>
                <w:rFonts w:ascii="宋体"/>
                <w:vanish/>
              </w:rPr>
            </w:pPr>
          </w:p>
        </w:tc>
        <w:tc>
          <w:tcPr>
            <w:tcW w:w="0" w:type="auto"/>
            <w:gridSpan w:val="3"/>
            <w:shd w:val="clear" w:color="auto" w:fill="auto"/>
            <w:vAlign w:val="bottom"/>
          </w:tcPr>
          <w:p w14:paraId="74DD6983" w14:textId="77777777" w:rsidR="00584EC1" w:rsidRDefault="00584EC1">
            <w:pPr>
              <w:rPr>
                <w:rFonts w:ascii="宋体"/>
                <w:vanish/>
              </w:rPr>
            </w:pPr>
          </w:p>
        </w:tc>
        <w:tc>
          <w:tcPr>
            <w:tcW w:w="0" w:type="auto"/>
            <w:gridSpan w:val="3"/>
            <w:shd w:val="clear" w:color="auto" w:fill="auto"/>
            <w:vAlign w:val="bottom"/>
          </w:tcPr>
          <w:p w14:paraId="74DD6984" w14:textId="77777777" w:rsidR="00584EC1" w:rsidRDefault="00584EC1">
            <w:pPr>
              <w:rPr>
                <w:rFonts w:ascii="宋体"/>
                <w:vanish/>
              </w:rPr>
            </w:pPr>
          </w:p>
        </w:tc>
        <w:tc>
          <w:tcPr>
            <w:tcW w:w="0" w:type="auto"/>
            <w:gridSpan w:val="3"/>
            <w:shd w:val="clear" w:color="auto" w:fill="auto"/>
            <w:vAlign w:val="bottom"/>
          </w:tcPr>
          <w:p w14:paraId="74DD6985" w14:textId="77777777" w:rsidR="00584EC1" w:rsidRDefault="00584EC1">
            <w:pPr>
              <w:rPr>
                <w:rFonts w:ascii="宋体"/>
                <w:vanish/>
              </w:rPr>
            </w:pPr>
          </w:p>
        </w:tc>
        <w:tc>
          <w:tcPr>
            <w:tcW w:w="0" w:type="auto"/>
            <w:gridSpan w:val="3"/>
            <w:shd w:val="clear" w:color="auto" w:fill="auto"/>
            <w:vAlign w:val="bottom"/>
          </w:tcPr>
          <w:p w14:paraId="74DD6986" w14:textId="77777777" w:rsidR="00584EC1" w:rsidRDefault="00584EC1">
            <w:pPr>
              <w:rPr>
                <w:rFonts w:ascii="宋体"/>
                <w:vanish/>
              </w:rPr>
            </w:pPr>
          </w:p>
        </w:tc>
        <w:tc>
          <w:tcPr>
            <w:tcW w:w="0" w:type="auto"/>
            <w:shd w:val="clear" w:color="auto" w:fill="auto"/>
            <w:vAlign w:val="bottom"/>
          </w:tcPr>
          <w:p w14:paraId="74DD6987" w14:textId="77777777" w:rsidR="00584EC1" w:rsidRDefault="00584EC1">
            <w:pPr>
              <w:rPr>
                <w:rFonts w:ascii="宋体"/>
              </w:rPr>
            </w:pPr>
          </w:p>
        </w:tc>
        <w:tc>
          <w:tcPr>
            <w:tcW w:w="0" w:type="auto"/>
            <w:shd w:val="clear" w:color="auto" w:fill="auto"/>
            <w:vAlign w:val="bottom"/>
          </w:tcPr>
          <w:p w14:paraId="74DD6988" w14:textId="77777777" w:rsidR="00584EC1" w:rsidRDefault="00584EC1">
            <w:pPr>
              <w:rPr>
                <w:rFonts w:ascii="宋体"/>
              </w:rPr>
            </w:pPr>
          </w:p>
        </w:tc>
        <w:tc>
          <w:tcPr>
            <w:tcW w:w="0" w:type="auto"/>
            <w:shd w:val="clear" w:color="auto" w:fill="auto"/>
            <w:vAlign w:val="bottom"/>
          </w:tcPr>
          <w:p w14:paraId="74DD6989" w14:textId="77777777" w:rsidR="00584EC1" w:rsidRDefault="00584EC1">
            <w:pPr>
              <w:rPr>
                <w:rFonts w:ascii="宋体"/>
              </w:rPr>
            </w:pPr>
          </w:p>
        </w:tc>
        <w:tc>
          <w:tcPr>
            <w:tcW w:w="0" w:type="auto"/>
            <w:shd w:val="clear" w:color="auto" w:fill="auto"/>
            <w:vAlign w:val="bottom"/>
          </w:tcPr>
          <w:p w14:paraId="74DD698A" w14:textId="77777777" w:rsidR="00584EC1" w:rsidRDefault="00584EC1">
            <w:pPr>
              <w:rPr>
                <w:rFonts w:ascii="宋体"/>
              </w:rPr>
            </w:pPr>
          </w:p>
        </w:tc>
        <w:tc>
          <w:tcPr>
            <w:tcW w:w="0" w:type="auto"/>
            <w:shd w:val="clear" w:color="auto" w:fill="auto"/>
            <w:vAlign w:val="bottom"/>
          </w:tcPr>
          <w:p w14:paraId="74DD698B" w14:textId="77777777" w:rsidR="00584EC1" w:rsidRDefault="00584EC1">
            <w:pPr>
              <w:rPr>
                <w:rFonts w:ascii="宋体"/>
              </w:rPr>
            </w:pPr>
          </w:p>
        </w:tc>
        <w:tc>
          <w:tcPr>
            <w:tcW w:w="0" w:type="auto"/>
            <w:shd w:val="clear" w:color="auto" w:fill="auto"/>
            <w:vAlign w:val="bottom"/>
          </w:tcPr>
          <w:p w14:paraId="74DD698C" w14:textId="77777777" w:rsidR="00584EC1" w:rsidRDefault="00584EC1">
            <w:pPr>
              <w:rPr>
                <w:rFonts w:ascii="宋体"/>
              </w:rPr>
            </w:pPr>
          </w:p>
        </w:tc>
        <w:tc>
          <w:tcPr>
            <w:tcW w:w="0" w:type="auto"/>
            <w:shd w:val="clear" w:color="auto" w:fill="auto"/>
            <w:vAlign w:val="bottom"/>
          </w:tcPr>
          <w:p w14:paraId="74DD698D" w14:textId="77777777" w:rsidR="00584EC1" w:rsidRDefault="00584EC1">
            <w:pPr>
              <w:rPr>
                <w:rFonts w:ascii="宋体"/>
              </w:rPr>
            </w:pPr>
          </w:p>
        </w:tc>
        <w:tc>
          <w:tcPr>
            <w:tcW w:w="0" w:type="auto"/>
            <w:shd w:val="clear" w:color="auto" w:fill="auto"/>
            <w:vAlign w:val="bottom"/>
          </w:tcPr>
          <w:p w14:paraId="74DD698E" w14:textId="77777777" w:rsidR="00584EC1" w:rsidRDefault="00584EC1">
            <w:pPr>
              <w:rPr>
                <w:rFonts w:ascii="宋体"/>
              </w:rPr>
            </w:pPr>
          </w:p>
        </w:tc>
        <w:tc>
          <w:tcPr>
            <w:tcW w:w="0" w:type="auto"/>
            <w:shd w:val="clear" w:color="auto" w:fill="auto"/>
            <w:vAlign w:val="bottom"/>
          </w:tcPr>
          <w:p w14:paraId="74DD698F" w14:textId="77777777" w:rsidR="00584EC1" w:rsidRDefault="00584EC1">
            <w:pPr>
              <w:rPr>
                <w:rFonts w:ascii="宋体"/>
              </w:rPr>
            </w:pPr>
          </w:p>
        </w:tc>
        <w:tc>
          <w:tcPr>
            <w:tcW w:w="0" w:type="auto"/>
            <w:shd w:val="clear" w:color="auto" w:fill="auto"/>
            <w:vAlign w:val="bottom"/>
          </w:tcPr>
          <w:p w14:paraId="74DD6990" w14:textId="77777777" w:rsidR="00584EC1" w:rsidRDefault="00584EC1">
            <w:pPr>
              <w:rPr>
                <w:rFonts w:ascii="宋体"/>
              </w:rPr>
            </w:pPr>
          </w:p>
        </w:tc>
        <w:tc>
          <w:tcPr>
            <w:tcW w:w="0" w:type="auto"/>
            <w:shd w:val="clear" w:color="auto" w:fill="auto"/>
            <w:vAlign w:val="bottom"/>
          </w:tcPr>
          <w:p w14:paraId="74DD6991" w14:textId="77777777" w:rsidR="00584EC1" w:rsidRDefault="00584EC1">
            <w:pPr>
              <w:rPr>
                <w:rFonts w:ascii="宋体"/>
              </w:rPr>
            </w:pPr>
          </w:p>
        </w:tc>
        <w:tc>
          <w:tcPr>
            <w:tcW w:w="0" w:type="auto"/>
            <w:shd w:val="clear" w:color="auto" w:fill="auto"/>
            <w:vAlign w:val="bottom"/>
          </w:tcPr>
          <w:p w14:paraId="74DD6992" w14:textId="77777777" w:rsidR="00584EC1" w:rsidRDefault="00584EC1">
            <w:pPr>
              <w:rPr>
                <w:rFonts w:ascii="宋体"/>
              </w:rPr>
            </w:pPr>
          </w:p>
        </w:tc>
        <w:tc>
          <w:tcPr>
            <w:tcW w:w="0" w:type="auto"/>
            <w:shd w:val="clear" w:color="auto" w:fill="auto"/>
            <w:vAlign w:val="bottom"/>
          </w:tcPr>
          <w:p w14:paraId="74DD6993" w14:textId="77777777" w:rsidR="00584EC1" w:rsidRDefault="00584EC1">
            <w:pPr>
              <w:rPr>
                <w:rFonts w:ascii="宋体"/>
              </w:rPr>
            </w:pPr>
          </w:p>
        </w:tc>
        <w:tc>
          <w:tcPr>
            <w:tcW w:w="0" w:type="auto"/>
            <w:shd w:val="clear" w:color="auto" w:fill="auto"/>
            <w:vAlign w:val="bottom"/>
          </w:tcPr>
          <w:p w14:paraId="74DD6994" w14:textId="77777777" w:rsidR="00584EC1" w:rsidRDefault="00584EC1">
            <w:pPr>
              <w:rPr>
                <w:rFonts w:ascii="宋体"/>
              </w:rPr>
            </w:pPr>
          </w:p>
        </w:tc>
        <w:tc>
          <w:tcPr>
            <w:tcW w:w="0" w:type="auto"/>
            <w:shd w:val="clear" w:color="auto" w:fill="auto"/>
            <w:vAlign w:val="bottom"/>
          </w:tcPr>
          <w:p w14:paraId="74DD6995" w14:textId="77777777" w:rsidR="00584EC1" w:rsidRDefault="00584EC1">
            <w:pPr>
              <w:rPr>
                <w:rFonts w:ascii="宋体"/>
              </w:rPr>
            </w:pPr>
          </w:p>
        </w:tc>
        <w:tc>
          <w:tcPr>
            <w:tcW w:w="0" w:type="auto"/>
            <w:shd w:val="clear" w:color="auto" w:fill="auto"/>
            <w:vAlign w:val="bottom"/>
          </w:tcPr>
          <w:p w14:paraId="74DD6996" w14:textId="77777777" w:rsidR="00584EC1" w:rsidRDefault="00584EC1">
            <w:pPr>
              <w:rPr>
                <w:rFonts w:ascii="宋体"/>
              </w:rPr>
            </w:pPr>
          </w:p>
        </w:tc>
        <w:tc>
          <w:tcPr>
            <w:tcW w:w="0" w:type="auto"/>
            <w:shd w:val="clear" w:color="auto" w:fill="auto"/>
            <w:vAlign w:val="bottom"/>
          </w:tcPr>
          <w:p w14:paraId="74DD6997" w14:textId="77777777" w:rsidR="00584EC1" w:rsidRDefault="00584EC1">
            <w:pPr>
              <w:rPr>
                <w:rFonts w:ascii="宋体"/>
              </w:rPr>
            </w:pPr>
          </w:p>
        </w:tc>
        <w:tc>
          <w:tcPr>
            <w:tcW w:w="0" w:type="auto"/>
            <w:shd w:val="clear" w:color="auto" w:fill="auto"/>
            <w:vAlign w:val="bottom"/>
          </w:tcPr>
          <w:p w14:paraId="74DD6998" w14:textId="77777777" w:rsidR="00584EC1" w:rsidRDefault="00584EC1">
            <w:pPr>
              <w:rPr>
                <w:rFonts w:ascii="宋体"/>
              </w:rPr>
            </w:pPr>
          </w:p>
        </w:tc>
        <w:tc>
          <w:tcPr>
            <w:tcW w:w="0" w:type="auto"/>
            <w:shd w:val="clear" w:color="auto" w:fill="auto"/>
            <w:vAlign w:val="bottom"/>
          </w:tcPr>
          <w:p w14:paraId="74DD6999" w14:textId="77777777" w:rsidR="00584EC1" w:rsidRDefault="00584EC1">
            <w:pPr>
              <w:rPr>
                <w:rFonts w:ascii="宋体"/>
              </w:rPr>
            </w:pPr>
          </w:p>
        </w:tc>
        <w:tc>
          <w:tcPr>
            <w:tcW w:w="0" w:type="auto"/>
            <w:shd w:val="clear" w:color="auto" w:fill="auto"/>
            <w:vAlign w:val="bottom"/>
          </w:tcPr>
          <w:p w14:paraId="74DD699A" w14:textId="77777777" w:rsidR="00584EC1" w:rsidRDefault="00584EC1">
            <w:pPr>
              <w:rPr>
                <w:rFonts w:ascii="宋体"/>
              </w:rPr>
            </w:pPr>
          </w:p>
        </w:tc>
        <w:tc>
          <w:tcPr>
            <w:tcW w:w="0" w:type="auto"/>
            <w:shd w:val="clear" w:color="auto" w:fill="auto"/>
            <w:vAlign w:val="bottom"/>
          </w:tcPr>
          <w:p w14:paraId="74DD699B" w14:textId="77777777" w:rsidR="00584EC1" w:rsidRDefault="00584EC1">
            <w:pPr>
              <w:rPr>
                <w:rFonts w:ascii="宋体"/>
              </w:rPr>
            </w:pPr>
          </w:p>
        </w:tc>
        <w:tc>
          <w:tcPr>
            <w:tcW w:w="0" w:type="auto"/>
            <w:shd w:val="clear" w:color="auto" w:fill="auto"/>
            <w:vAlign w:val="bottom"/>
          </w:tcPr>
          <w:p w14:paraId="74DD699C" w14:textId="77777777" w:rsidR="00584EC1" w:rsidRDefault="00584EC1">
            <w:pPr>
              <w:rPr>
                <w:rFonts w:ascii="宋体"/>
              </w:rPr>
            </w:pPr>
          </w:p>
        </w:tc>
        <w:tc>
          <w:tcPr>
            <w:tcW w:w="0" w:type="auto"/>
            <w:shd w:val="clear" w:color="auto" w:fill="auto"/>
            <w:vAlign w:val="bottom"/>
          </w:tcPr>
          <w:p w14:paraId="74DD699D" w14:textId="77777777" w:rsidR="00584EC1" w:rsidRDefault="00584EC1">
            <w:pPr>
              <w:rPr>
                <w:rFonts w:ascii="宋体"/>
              </w:rPr>
            </w:pPr>
          </w:p>
        </w:tc>
        <w:tc>
          <w:tcPr>
            <w:tcW w:w="0" w:type="auto"/>
            <w:shd w:val="clear" w:color="auto" w:fill="auto"/>
            <w:vAlign w:val="bottom"/>
          </w:tcPr>
          <w:p w14:paraId="74DD699E" w14:textId="77777777" w:rsidR="00584EC1" w:rsidRDefault="00584EC1">
            <w:pPr>
              <w:rPr>
                <w:rFonts w:ascii="宋体"/>
              </w:rPr>
            </w:pPr>
          </w:p>
        </w:tc>
        <w:tc>
          <w:tcPr>
            <w:tcW w:w="0" w:type="auto"/>
            <w:shd w:val="clear" w:color="auto" w:fill="auto"/>
            <w:vAlign w:val="bottom"/>
          </w:tcPr>
          <w:p w14:paraId="74DD699F" w14:textId="77777777" w:rsidR="00584EC1" w:rsidRDefault="00584EC1">
            <w:pPr>
              <w:rPr>
                <w:rFonts w:ascii="宋体"/>
              </w:rPr>
            </w:pPr>
          </w:p>
        </w:tc>
        <w:tc>
          <w:tcPr>
            <w:tcW w:w="0" w:type="auto"/>
            <w:shd w:val="clear" w:color="auto" w:fill="auto"/>
            <w:vAlign w:val="bottom"/>
          </w:tcPr>
          <w:p w14:paraId="74DD69A0" w14:textId="77777777" w:rsidR="00584EC1" w:rsidRDefault="00584EC1">
            <w:pPr>
              <w:rPr>
                <w:rFonts w:ascii="宋体"/>
              </w:rPr>
            </w:pPr>
          </w:p>
        </w:tc>
        <w:tc>
          <w:tcPr>
            <w:tcW w:w="0" w:type="auto"/>
            <w:shd w:val="clear" w:color="auto" w:fill="auto"/>
            <w:vAlign w:val="bottom"/>
          </w:tcPr>
          <w:p w14:paraId="74DD69A1" w14:textId="77777777" w:rsidR="00584EC1" w:rsidRDefault="00584EC1">
            <w:pPr>
              <w:rPr>
                <w:rFonts w:ascii="宋体"/>
              </w:rPr>
            </w:pPr>
          </w:p>
        </w:tc>
        <w:tc>
          <w:tcPr>
            <w:tcW w:w="0" w:type="auto"/>
            <w:shd w:val="clear" w:color="auto" w:fill="auto"/>
            <w:vAlign w:val="bottom"/>
          </w:tcPr>
          <w:p w14:paraId="74DD69A2" w14:textId="77777777" w:rsidR="00584EC1" w:rsidRDefault="00584EC1">
            <w:pPr>
              <w:rPr>
                <w:rFonts w:ascii="宋体"/>
              </w:rPr>
            </w:pPr>
          </w:p>
        </w:tc>
        <w:tc>
          <w:tcPr>
            <w:tcW w:w="0" w:type="auto"/>
            <w:shd w:val="clear" w:color="auto" w:fill="auto"/>
            <w:vAlign w:val="bottom"/>
          </w:tcPr>
          <w:p w14:paraId="74DD69A3" w14:textId="77777777" w:rsidR="00584EC1" w:rsidRDefault="00584EC1">
            <w:pPr>
              <w:rPr>
                <w:rFonts w:ascii="宋体"/>
              </w:rPr>
            </w:pPr>
          </w:p>
        </w:tc>
        <w:tc>
          <w:tcPr>
            <w:tcW w:w="0" w:type="auto"/>
            <w:shd w:val="clear" w:color="auto" w:fill="auto"/>
            <w:vAlign w:val="bottom"/>
          </w:tcPr>
          <w:p w14:paraId="74DD69A4" w14:textId="77777777" w:rsidR="00584EC1" w:rsidRDefault="00584EC1">
            <w:pPr>
              <w:rPr>
                <w:rFonts w:ascii="宋体"/>
              </w:rPr>
            </w:pPr>
          </w:p>
        </w:tc>
        <w:tc>
          <w:tcPr>
            <w:tcW w:w="0" w:type="auto"/>
            <w:shd w:val="clear" w:color="auto" w:fill="auto"/>
            <w:vAlign w:val="bottom"/>
          </w:tcPr>
          <w:p w14:paraId="74DD69A5" w14:textId="77777777" w:rsidR="00584EC1" w:rsidRDefault="00584EC1">
            <w:pPr>
              <w:rPr>
                <w:rFonts w:ascii="宋体"/>
              </w:rPr>
            </w:pPr>
          </w:p>
        </w:tc>
        <w:tc>
          <w:tcPr>
            <w:tcW w:w="0" w:type="auto"/>
            <w:shd w:val="clear" w:color="auto" w:fill="auto"/>
            <w:vAlign w:val="bottom"/>
          </w:tcPr>
          <w:p w14:paraId="74DD69A6" w14:textId="77777777" w:rsidR="00584EC1" w:rsidRDefault="00584EC1">
            <w:pPr>
              <w:rPr>
                <w:rFonts w:ascii="宋体"/>
              </w:rPr>
            </w:pPr>
          </w:p>
        </w:tc>
        <w:tc>
          <w:tcPr>
            <w:tcW w:w="0" w:type="auto"/>
            <w:shd w:val="clear" w:color="auto" w:fill="auto"/>
            <w:vAlign w:val="bottom"/>
          </w:tcPr>
          <w:p w14:paraId="74DD69A7" w14:textId="77777777" w:rsidR="00584EC1" w:rsidRDefault="00584EC1">
            <w:pPr>
              <w:rPr>
                <w:rFonts w:ascii="宋体"/>
              </w:rPr>
            </w:pPr>
          </w:p>
        </w:tc>
        <w:tc>
          <w:tcPr>
            <w:tcW w:w="0" w:type="auto"/>
            <w:shd w:val="clear" w:color="auto" w:fill="auto"/>
            <w:vAlign w:val="bottom"/>
          </w:tcPr>
          <w:p w14:paraId="74DD69A8" w14:textId="77777777" w:rsidR="00584EC1" w:rsidRDefault="00584EC1">
            <w:pPr>
              <w:rPr>
                <w:rFonts w:ascii="宋体"/>
              </w:rPr>
            </w:pPr>
          </w:p>
        </w:tc>
        <w:tc>
          <w:tcPr>
            <w:tcW w:w="0" w:type="auto"/>
            <w:shd w:val="clear" w:color="auto" w:fill="auto"/>
            <w:vAlign w:val="bottom"/>
          </w:tcPr>
          <w:p w14:paraId="74DD69A9" w14:textId="77777777" w:rsidR="00584EC1" w:rsidRDefault="00584EC1">
            <w:pPr>
              <w:rPr>
                <w:rFonts w:ascii="宋体"/>
              </w:rPr>
            </w:pPr>
          </w:p>
        </w:tc>
        <w:tc>
          <w:tcPr>
            <w:tcW w:w="0" w:type="auto"/>
            <w:shd w:val="clear" w:color="auto" w:fill="auto"/>
            <w:vAlign w:val="bottom"/>
          </w:tcPr>
          <w:p w14:paraId="74DD69AA" w14:textId="77777777" w:rsidR="00584EC1" w:rsidRDefault="00584EC1">
            <w:pPr>
              <w:rPr>
                <w:rFonts w:ascii="宋体"/>
              </w:rPr>
            </w:pPr>
          </w:p>
        </w:tc>
        <w:tc>
          <w:tcPr>
            <w:tcW w:w="0" w:type="auto"/>
            <w:shd w:val="clear" w:color="auto" w:fill="auto"/>
            <w:vAlign w:val="bottom"/>
          </w:tcPr>
          <w:p w14:paraId="74DD69AB" w14:textId="77777777" w:rsidR="00584EC1" w:rsidRDefault="00584EC1">
            <w:pPr>
              <w:rPr>
                <w:rFonts w:ascii="宋体"/>
              </w:rPr>
            </w:pPr>
          </w:p>
        </w:tc>
        <w:tc>
          <w:tcPr>
            <w:tcW w:w="0" w:type="auto"/>
            <w:shd w:val="clear" w:color="auto" w:fill="auto"/>
            <w:vAlign w:val="bottom"/>
          </w:tcPr>
          <w:p w14:paraId="74DD69AC" w14:textId="77777777" w:rsidR="00584EC1" w:rsidRDefault="00584EC1">
            <w:pPr>
              <w:rPr>
                <w:rFonts w:ascii="宋体"/>
              </w:rPr>
            </w:pPr>
          </w:p>
        </w:tc>
        <w:tc>
          <w:tcPr>
            <w:tcW w:w="0" w:type="auto"/>
            <w:shd w:val="clear" w:color="auto" w:fill="auto"/>
            <w:vAlign w:val="bottom"/>
          </w:tcPr>
          <w:p w14:paraId="74DD69AD" w14:textId="77777777" w:rsidR="00584EC1" w:rsidRDefault="00584EC1">
            <w:pPr>
              <w:rPr>
                <w:rFonts w:ascii="宋体"/>
              </w:rPr>
            </w:pPr>
          </w:p>
        </w:tc>
        <w:tc>
          <w:tcPr>
            <w:tcW w:w="0" w:type="auto"/>
            <w:shd w:val="clear" w:color="auto" w:fill="auto"/>
            <w:vAlign w:val="bottom"/>
          </w:tcPr>
          <w:p w14:paraId="74DD69AE" w14:textId="77777777" w:rsidR="00584EC1" w:rsidRDefault="00584EC1">
            <w:pPr>
              <w:rPr>
                <w:rFonts w:ascii="宋体"/>
              </w:rPr>
            </w:pPr>
          </w:p>
        </w:tc>
        <w:tc>
          <w:tcPr>
            <w:tcW w:w="0" w:type="auto"/>
            <w:shd w:val="clear" w:color="auto" w:fill="auto"/>
            <w:vAlign w:val="bottom"/>
          </w:tcPr>
          <w:p w14:paraId="74DD69AF" w14:textId="77777777" w:rsidR="00584EC1" w:rsidRDefault="00584EC1">
            <w:pPr>
              <w:rPr>
                <w:rFonts w:ascii="宋体"/>
              </w:rPr>
            </w:pPr>
          </w:p>
        </w:tc>
        <w:tc>
          <w:tcPr>
            <w:tcW w:w="0" w:type="auto"/>
            <w:shd w:val="clear" w:color="auto" w:fill="auto"/>
            <w:vAlign w:val="bottom"/>
          </w:tcPr>
          <w:p w14:paraId="74DD69B0" w14:textId="77777777" w:rsidR="00584EC1" w:rsidRDefault="00584EC1">
            <w:pPr>
              <w:rPr>
                <w:rFonts w:ascii="宋体"/>
              </w:rPr>
            </w:pPr>
          </w:p>
        </w:tc>
        <w:tc>
          <w:tcPr>
            <w:tcW w:w="0" w:type="auto"/>
            <w:shd w:val="clear" w:color="auto" w:fill="auto"/>
            <w:vAlign w:val="bottom"/>
          </w:tcPr>
          <w:p w14:paraId="74DD69B1" w14:textId="77777777" w:rsidR="00584EC1" w:rsidRDefault="00584EC1">
            <w:pPr>
              <w:rPr>
                <w:rFonts w:ascii="宋体"/>
              </w:rPr>
            </w:pPr>
          </w:p>
        </w:tc>
        <w:tc>
          <w:tcPr>
            <w:tcW w:w="0" w:type="auto"/>
            <w:shd w:val="clear" w:color="auto" w:fill="auto"/>
            <w:vAlign w:val="bottom"/>
          </w:tcPr>
          <w:p w14:paraId="74DD69B2" w14:textId="77777777" w:rsidR="00584EC1" w:rsidRDefault="00584EC1">
            <w:pPr>
              <w:rPr>
                <w:rFonts w:ascii="宋体"/>
              </w:rPr>
            </w:pPr>
          </w:p>
        </w:tc>
        <w:tc>
          <w:tcPr>
            <w:tcW w:w="0" w:type="auto"/>
            <w:shd w:val="clear" w:color="auto" w:fill="auto"/>
            <w:vAlign w:val="bottom"/>
          </w:tcPr>
          <w:p w14:paraId="74DD69B3" w14:textId="77777777" w:rsidR="00584EC1" w:rsidRDefault="00584EC1">
            <w:pPr>
              <w:rPr>
                <w:rFonts w:ascii="宋体"/>
              </w:rPr>
            </w:pPr>
          </w:p>
        </w:tc>
      </w:tr>
      <w:tr w:rsidR="00584EC1" w14:paraId="74DD69CB" w14:textId="77777777">
        <w:trPr>
          <w:hidden/>
        </w:trPr>
        <w:tc>
          <w:tcPr>
            <w:tcW w:w="0" w:type="auto"/>
            <w:gridSpan w:val="3"/>
            <w:shd w:val="clear" w:color="auto" w:fill="auto"/>
            <w:vAlign w:val="bottom"/>
          </w:tcPr>
          <w:p w14:paraId="74DD69B5" w14:textId="77777777" w:rsidR="00584EC1" w:rsidRDefault="00584EC1">
            <w:pPr>
              <w:rPr>
                <w:rFonts w:ascii="宋体"/>
                <w:vanish/>
              </w:rPr>
            </w:pPr>
          </w:p>
        </w:tc>
        <w:tc>
          <w:tcPr>
            <w:tcW w:w="0" w:type="auto"/>
            <w:gridSpan w:val="3"/>
            <w:shd w:val="clear" w:color="auto" w:fill="auto"/>
            <w:vAlign w:val="bottom"/>
          </w:tcPr>
          <w:p w14:paraId="74DD69B6" w14:textId="77777777" w:rsidR="00584EC1" w:rsidRDefault="00584EC1">
            <w:pPr>
              <w:rPr>
                <w:rFonts w:ascii="宋体"/>
                <w:vanish/>
              </w:rPr>
            </w:pPr>
          </w:p>
        </w:tc>
        <w:tc>
          <w:tcPr>
            <w:tcW w:w="0" w:type="auto"/>
            <w:gridSpan w:val="3"/>
            <w:shd w:val="clear" w:color="auto" w:fill="auto"/>
            <w:vAlign w:val="bottom"/>
          </w:tcPr>
          <w:p w14:paraId="74DD69B7" w14:textId="77777777" w:rsidR="00584EC1" w:rsidRDefault="00584EC1">
            <w:pPr>
              <w:rPr>
                <w:rFonts w:ascii="宋体"/>
                <w:vanish/>
              </w:rPr>
            </w:pPr>
          </w:p>
        </w:tc>
        <w:tc>
          <w:tcPr>
            <w:tcW w:w="0" w:type="auto"/>
            <w:gridSpan w:val="3"/>
            <w:shd w:val="clear" w:color="auto" w:fill="auto"/>
            <w:vAlign w:val="bottom"/>
          </w:tcPr>
          <w:p w14:paraId="74DD69B8" w14:textId="77777777" w:rsidR="00584EC1" w:rsidRDefault="00584EC1">
            <w:pPr>
              <w:rPr>
                <w:rFonts w:ascii="宋体"/>
                <w:vanish/>
              </w:rPr>
            </w:pPr>
          </w:p>
        </w:tc>
        <w:tc>
          <w:tcPr>
            <w:tcW w:w="0" w:type="auto"/>
            <w:gridSpan w:val="3"/>
            <w:shd w:val="clear" w:color="auto" w:fill="auto"/>
            <w:vAlign w:val="bottom"/>
          </w:tcPr>
          <w:p w14:paraId="74DD69B9" w14:textId="77777777" w:rsidR="00584EC1" w:rsidRDefault="00584EC1">
            <w:pPr>
              <w:rPr>
                <w:rFonts w:ascii="宋体"/>
                <w:vanish/>
              </w:rPr>
            </w:pPr>
          </w:p>
        </w:tc>
        <w:tc>
          <w:tcPr>
            <w:tcW w:w="0" w:type="auto"/>
            <w:gridSpan w:val="3"/>
            <w:shd w:val="clear" w:color="auto" w:fill="auto"/>
            <w:vAlign w:val="bottom"/>
          </w:tcPr>
          <w:p w14:paraId="74DD69BA" w14:textId="77777777" w:rsidR="00584EC1" w:rsidRDefault="00584EC1">
            <w:pPr>
              <w:rPr>
                <w:rFonts w:ascii="宋体"/>
                <w:vanish/>
              </w:rPr>
            </w:pPr>
          </w:p>
        </w:tc>
        <w:tc>
          <w:tcPr>
            <w:tcW w:w="0" w:type="auto"/>
            <w:gridSpan w:val="3"/>
            <w:shd w:val="clear" w:color="auto" w:fill="auto"/>
            <w:vAlign w:val="bottom"/>
          </w:tcPr>
          <w:p w14:paraId="74DD69BB" w14:textId="77777777" w:rsidR="00584EC1" w:rsidRDefault="00584EC1">
            <w:pPr>
              <w:rPr>
                <w:rFonts w:ascii="宋体"/>
                <w:vanish/>
              </w:rPr>
            </w:pPr>
          </w:p>
        </w:tc>
        <w:tc>
          <w:tcPr>
            <w:tcW w:w="0" w:type="auto"/>
            <w:gridSpan w:val="3"/>
            <w:shd w:val="clear" w:color="auto" w:fill="auto"/>
            <w:vAlign w:val="bottom"/>
          </w:tcPr>
          <w:p w14:paraId="74DD69BC" w14:textId="77777777" w:rsidR="00584EC1" w:rsidRDefault="00584EC1">
            <w:pPr>
              <w:rPr>
                <w:rFonts w:ascii="宋体"/>
                <w:vanish/>
              </w:rPr>
            </w:pPr>
          </w:p>
        </w:tc>
        <w:tc>
          <w:tcPr>
            <w:tcW w:w="0" w:type="auto"/>
            <w:gridSpan w:val="3"/>
            <w:shd w:val="clear" w:color="auto" w:fill="auto"/>
            <w:vAlign w:val="bottom"/>
          </w:tcPr>
          <w:p w14:paraId="74DD69BD" w14:textId="77777777" w:rsidR="00584EC1" w:rsidRDefault="00584EC1">
            <w:pPr>
              <w:rPr>
                <w:rFonts w:ascii="宋体"/>
                <w:vanish/>
              </w:rPr>
            </w:pPr>
          </w:p>
        </w:tc>
        <w:tc>
          <w:tcPr>
            <w:tcW w:w="0" w:type="auto"/>
            <w:gridSpan w:val="3"/>
            <w:shd w:val="clear" w:color="auto" w:fill="auto"/>
            <w:vAlign w:val="bottom"/>
          </w:tcPr>
          <w:p w14:paraId="74DD69BE" w14:textId="77777777" w:rsidR="00584EC1" w:rsidRDefault="00584EC1">
            <w:pPr>
              <w:rPr>
                <w:rFonts w:ascii="宋体"/>
                <w:vanish/>
              </w:rPr>
            </w:pPr>
          </w:p>
        </w:tc>
        <w:tc>
          <w:tcPr>
            <w:tcW w:w="0" w:type="auto"/>
            <w:gridSpan w:val="3"/>
            <w:shd w:val="clear" w:color="auto" w:fill="auto"/>
            <w:vAlign w:val="bottom"/>
          </w:tcPr>
          <w:p w14:paraId="74DD69BF" w14:textId="77777777" w:rsidR="00584EC1" w:rsidRDefault="00584EC1">
            <w:pPr>
              <w:rPr>
                <w:rFonts w:ascii="宋体"/>
                <w:vanish/>
              </w:rPr>
            </w:pPr>
          </w:p>
        </w:tc>
        <w:tc>
          <w:tcPr>
            <w:tcW w:w="0" w:type="auto"/>
            <w:gridSpan w:val="3"/>
            <w:shd w:val="clear" w:color="auto" w:fill="auto"/>
            <w:vAlign w:val="bottom"/>
          </w:tcPr>
          <w:p w14:paraId="74DD69C0" w14:textId="77777777" w:rsidR="00584EC1" w:rsidRDefault="00584EC1">
            <w:pPr>
              <w:rPr>
                <w:rFonts w:ascii="宋体"/>
                <w:vanish/>
              </w:rPr>
            </w:pPr>
          </w:p>
        </w:tc>
        <w:tc>
          <w:tcPr>
            <w:tcW w:w="0" w:type="auto"/>
            <w:gridSpan w:val="3"/>
            <w:shd w:val="clear" w:color="auto" w:fill="auto"/>
            <w:vAlign w:val="bottom"/>
          </w:tcPr>
          <w:p w14:paraId="74DD69C1" w14:textId="77777777" w:rsidR="00584EC1" w:rsidRDefault="00584EC1">
            <w:pPr>
              <w:rPr>
                <w:rFonts w:ascii="宋体"/>
                <w:vanish/>
              </w:rPr>
            </w:pPr>
          </w:p>
        </w:tc>
        <w:tc>
          <w:tcPr>
            <w:tcW w:w="0" w:type="auto"/>
            <w:gridSpan w:val="3"/>
            <w:shd w:val="clear" w:color="auto" w:fill="auto"/>
            <w:vAlign w:val="bottom"/>
          </w:tcPr>
          <w:p w14:paraId="74DD69C2" w14:textId="77777777" w:rsidR="00584EC1" w:rsidRDefault="00584EC1">
            <w:pPr>
              <w:rPr>
                <w:rFonts w:ascii="宋体"/>
                <w:vanish/>
              </w:rPr>
            </w:pPr>
          </w:p>
        </w:tc>
        <w:tc>
          <w:tcPr>
            <w:tcW w:w="0" w:type="auto"/>
            <w:gridSpan w:val="3"/>
            <w:shd w:val="clear" w:color="auto" w:fill="auto"/>
            <w:vAlign w:val="bottom"/>
          </w:tcPr>
          <w:p w14:paraId="74DD69C3" w14:textId="77777777" w:rsidR="00584EC1" w:rsidRDefault="00584EC1">
            <w:pPr>
              <w:rPr>
                <w:rFonts w:ascii="宋体"/>
                <w:vanish/>
              </w:rPr>
            </w:pPr>
          </w:p>
        </w:tc>
        <w:tc>
          <w:tcPr>
            <w:tcW w:w="0" w:type="auto"/>
            <w:gridSpan w:val="3"/>
            <w:shd w:val="clear" w:color="auto" w:fill="auto"/>
            <w:vAlign w:val="bottom"/>
          </w:tcPr>
          <w:p w14:paraId="74DD69C4" w14:textId="77777777" w:rsidR="00584EC1" w:rsidRDefault="00584EC1">
            <w:pPr>
              <w:rPr>
                <w:rFonts w:ascii="宋体"/>
                <w:vanish/>
              </w:rPr>
            </w:pPr>
          </w:p>
        </w:tc>
        <w:tc>
          <w:tcPr>
            <w:tcW w:w="0" w:type="auto"/>
            <w:gridSpan w:val="3"/>
            <w:shd w:val="clear" w:color="auto" w:fill="auto"/>
            <w:vAlign w:val="bottom"/>
          </w:tcPr>
          <w:p w14:paraId="74DD69C5" w14:textId="77777777" w:rsidR="00584EC1" w:rsidRDefault="00584EC1">
            <w:pPr>
              <w:rPr>
                <w:rFonts w:ascii="宋体"/>
                <w:vanish/>
              </w:rPr>
            </w:pPr>
          </w:p>
        </w:tc>
        <w:tc>
          <w:tcPr>
            <w:tcW w:w="0" w:type="auto"/>
            <w:gridSpan w:val="3"/>
            <w:shd w:val="clear" w:color="auto" w:fill="auto"/>
            <w:vAlign w:val="bottom"/>
          </w:tcPr>
          <w:p w14:paraId="74DD69C6" w14:textId="77777777" w:rsidR="00584EC1" w:rsidRDefault="00584EC1">
            <w:pPr>
              <w:rPr>
                <w:rFonts w:ascii="宋体"/>
                <w:vanish/>
              </w:rPr>
            </w:pPr>
          </w:p>
        </w:tc>
        <w:tc>
          <w:tcPr>
            <w:tcW w:w="0" w:type="auto"/>
            <w:gridSpan w:val="3"/>
            <w:shd w:val="clear" w:color="auto" w:fill="auto"/>
            <w:vAlign w:val="bottom"/>
          </w:tcPr>
          <w:p w14:paraId="74DD69C7" w14:textId="77777777" w:rsidR="00584EC1" w:rsidRDefault="00584EC1">
            <w:pPr>
              <w:rPr>
                <w:rFonts w:ascii="宋体"/>
                <w:vanish/>
              </w:rPr>
            </w:pPr>
          </w:p>
        </w:tc>
        <w:tc>
          <w:tcPr>
            <w:tcW w:w="0" w:type="auto"/>
            <w:gridSpan w:val="3"/>
            <w:shd w:val="clear" w:color="auto" w:fill="auto"/>
            <w:vAlign w:val="bottom"/>
          </w:tcPr>
          <w:p w14:paraId="74DD69C8" w14:textId="77777777" w:rsidR="00584EC1" w:rsidRDefault="00584EC1">
            <w:pPr>
              <w:rPr>
                <w:rFonts w:ascii="宋体"/>
                <w:vanish/>
              </w:rPr>
            </w:pPr>
          </w:p>
        </w:tc>
        <w:tc>
          <w:tcPr>
            <w:tcW w:w="0" w:type="auto"/>
            <w:gridSpan w:val="2"/>
            <w:shd w:val="clear" w:color="auto" w:fill="auto"/>
            <w:vAlign w:val="bottom"/>
          </w:tcPr>
          <w:p w14:paraId="74DD69C9" w14:textId="77777777" w:rsidR="00584EC1" w:rsidRDefault="00584EC1">
            <w:pPr>
              <w:rPr>
                <w:rFonts w:ascii="宋体"/>
                <w:vanish/>
              </w:rPr>
            </w:pPr>
          </w:p>
        </w:tc>
        <w:tc>
          <w:tcPr>
            <w:tcW w:w="0" w:type="auto"/>
            <w:shd w:val="clear" w:color="auto" w:fill="auto"/>
            <w:vAlign w:val="bottom"/>
          </w:tcPr>
          <w:p w14:paraId="74DD69CA" w14:textId="77777777" w:rsidR="00584EC1" w:rsidRDefault="00584EC1">
            <w:pPr>
              <w:rPr>
                <w:rFonts w:ascii="宋体"/>
                <w:vanish/>
              </w:rPr>
            </w:pPr>
          </w:p>
        </w:tc>
      </w:tr>
      <w:tr w:rsidR="00584EC1" w14:paraId="74DD69E2" w14:textId="77777777">
        <w:trPr>
          <w:hidden/>
        </w:trPr>
        <w:tc>
          <w:tcPr>
            <w:tcW w:w="0" w:type="auto"/>
            <w:gridSpan w:val="3"/>
            <w:shd w:val="clear" w:color="auto" w:fill="auto"/>
            <w:vAlign w:val="bottom"/>
          </w:tcPr>
          <w:p w14:paraId="74DD69CC" w14:textId="77777777" w:rsidR="00584EC1" w:rsidRDefault="00584EC1">
            <w:pPr>
              <w:rPr>
                <w:rFonts w:ascii="宋体"/>
                <w:vanish/>
              </w:rPr>
            </w:pPr>
          </w:p>
        </w:tc>
        <w:tc>
          <w:tcPr>
            <w:tcW w:w="0" w:type="auto"/>
            <w:gridSpan w:val="3"/>
            <w:shd w:val="clear" w:color="auto" w:fill="auto"/>
            <w:vAlign w:val="bottom"/>
          </w:tcPr>
          <w:p w14:paraId="74DD69CD" w14:textId="77777777" w:rsidR="00584EC1" w:rsidRDefault="00584EC1">
            <w:pPr>
              <w:rPr>
                <w:rFonts w:ascii="宋体"/>
                <w:vanish/>
              </w:rPr>
            </w:pPr>
          </w:p>
        </w:tc>
        <w:tc>
          <w:tcPr>
            <w:tcW w:w="0" w:type="auto"/>
            <w:gridSpan w:val="3"/>
            <w:shd w:val="clear" w:color="auto" w:fill="auto"/>
            <w:vAlign w:val="bottom"/>
          </w:tcPr>
          <w:p w14:paraId="74DD69CE" w14:textId="77777777" w:rsidR="00584EC1" w:rsidRDefault="00584EC1">
            <w:pPr>
              <w:rPr>
                <w:rFonts w:ascii="宋体"/>
                <w:vanish/>
              </w:rPr>
            </w:pPr>
          </w:p>
        </w:tc>
        <w:tc>
          <w:tcPr>
            <w:tcW w:w="0" w:type="auto"/>
            <w:gridSpan w:val="3"/>
            <w:shd w:val="clear" w:color="auto" w:fill="auto"/>
            <w:vAlign w:val="bottom"/>
          </w:tcPr>
          <w:p w14:paraId="74DD69CF" w14:textId="77777777" w:rsidR="00584EC1" w:rsidRDefault="00584EC1">
            <w:pPr>
              <w:rPr>
                <w:rFonts w:ascii="宋体"/>
                <w:vanish/>
              </w:rPr>
            </w:pPr>
          </w:p>
        </w:tc>
        <w:tc>
          <w:tcPr>
            <w:tcW w:w="0" w:type="auto"/>
            <w:gridSpan w:val="3"/>
            <w:shd w:val="clear" w:color="auto" w:fill="auto"/>
            <w:vAlign w:val="bottom"/>
          </w:tcPr>
          <w:p w14:paraId="74DD69D0" w14:textId="77777777" w:rsidR="00584EC1" w:rsidRDefault="00584EC1">
            <w:pPr>
              <w:rPr>
                <w:rFonts w:ascii="宋体"/>
                <w:vanish/>
              </w:rPr>
            </w:pPr>
          </w:p>
        </w:tc>
        <w:tc>
          <w:tcPr>
            <w:tcW w:w="0" w:type="auto"/>
            <w:gridSpan w:val="3"/>
            <w:shd w:val="clear" w:color="auto" w:fill="auto"/>
            <w:vAlign w:val="bottom"/>
          </w:tcPr>
          <w:p w14:paraId="74DD69D1" w14:textId="77777777" w:rsidR="00584EC1" w:rsidRDefault="00584EC1">
            <w:pPr>
              <w:rPr>
                <w:rFonts w:ascii="宋体"/>
                <w:vanish/>
              </w:rPr>
            </w:pPr>
          </w:p>
        </w:tc>
        <w:tc>
          <w:tcPr>
            <w:tcW w:w="0" w:type="auto"/>
            <w:gridSpan w:val="3"/>
            <w:shd w:val="clear" w:color="auto" w:fill="auto"/>
            <w:vAlign w:val="bottom"/>
          </w:tcPr>
          <w:p w14:paraId="74DD69D2" w14:textId="77777777" w:rsidR="00584EC1" w:rsidRDefault="00584EC1">
            <w:pPr>
              <w:rPr>
                <w:rFonts w:ascii="宋体"/>
                <w:vanish/>
              </w:rPr>
            </w:pPr>
          </w:p>
        </w:tc>
        <w:tc>
          <w:tcPr>
            <w:tcW w:w="0" w:type="auto"/>
            <w:gridSpan w:val="3"/>
            <w:shd w:val="clear" w:color="auto" w:fill="auto"/>
            <w:vAlign w:val="bottom"/>
          </w:tcPr>
          <w:p w14:paraId="74DD69D3" w14:textId="77777777" w:rsidR="00584EC1" w:rsidRDefault="00584EC1">
            <w:pPr>
              <w:rPr>
                <w:rFonts w:ascii="宋体"/>
                <w:vanish/>
              </w:rPr>
            </w:pPr>
          </w:p>
        </w:tc>
        <w:tc>
          <w:tcPr>
            <w:tcW w:w="0" w:type="auto"/>
            <w:gridSpan w:val="3"/>
            <w:shd w:val="clear" w:color="auto" w:fill="auto"/>
            <w:vAlign w:val="bottom"/>
          </w:tcPr>
          <w:p w14:paraId="74DD69D4" w14:textId="77777777" w:rsidR="00584EC1" w:rsidRDefault="00584EC1">
            <w:pPr>
              <w:rPr>
                <w:rFonts w:ascii="宋体"/>
                <w:vanish/>
              </w:rPr>
            </w:pPr>
          </w:p>
        </w:tc>
        <w:tc>
          <w:tcPr>
            <w:tcW w:w="0" w:type="auto"/>
            <w:gridSpan w:val="3"/>
            <w:shd w:val="clear" w:color="auto" w:fill="auto"/>
            <w:vAlign w:val="bottom"/>
          </w:tcPr>
          <w:p w14:paraId="74DD69D5" w14:textId="77777777" w:rsidR="00584EC1" w:rsidRDefault="00584EC1">
            <w:pPr>
              <w:rPr>
                <w:rFonts w:ascii="宋体"/>
                <w:vanish/>
              </w:rPr>
            </w:pPr>
          </w:p>
        </w:tc>
        <w:tc>
          <w:tcPr>
            <w:tcW w:w="0" w:type="auto"/>
            <w:gridSpan w:val="3"/>
            <w:shd w:val="clear" w:color="auto" w:fill="auto"/>
            <w:vAlign w:val="bottom"/>
          </w:tcPr>
          <w:p w14:paraId="74DD69D6" w14:textId="77777777" w:rsidR="00584EC1" w:rsidRDefault="00584EC1">
            <w:pPr>
              <w:rPr>
                <w:rFonts w:ascii="宋体"/>
                <w:vanish/>
              </w:rPr>
            </w:pPr>
          </w:p>
        </w:tc>
        <w:tc>
          <w:tcPr>
            <w:tcW w:w="0" w:type="auto"/>
            <w:gridSpan w:val="3"/>
            <w:shd w:val="clear" w:color="auto" w:fill="auto"/>
            <w:vAlign w:val="bottom"/>
          </w:tcPr>
          <w:p w14:paraId="74DD69D7" w14:textId="77777777" w:rsidR="00584EC1" w:rsidRDefault="00584EC1">
            <w:pPr>
              <w:rPr>
                <w:rFonts w:ascii="宋体"/>
                <w:vanish/>
              </w:rPr>
            </w:pPr>
          </w:p>
        </w:tc>
        <w:tc>
          <w:tcPr>
            <w:tcW w:w="0" w:type="auto"/>
            <w:gridSpan w:val="3"/>
            <w:shd w:val="clear" w:color="auto" w:fill="auto"/>
            <w:vAlign w:val="bottom"/>
          </w:tcPr>
          <w:p w14:paraId="74DD69D8" w14:textId="77777777" w:rsidR="00584EC1" w:rsidRDefault="00584EC1">
            <w:pPr>
              <w:rPr>
                <w:rFonts w:ascii="宋体"/>
                <w:vanish/>
              </w:rPr>
            </w:pPr>
          </w:p>
        </w:tc>
        <w:tc>
          <w:tcPr>
            <w:tcW w:w="0" w:type="auto"/>
            <w:gridSpan w:val="3"/>
            <w:shd w:val="clear" w:color="auto" w:fill="auto"/>
            <w:vAlign w:val="bottom"/>
          </w:tcPr>
          <w:p w14:paraId="74DD69D9" w14:textId="77777777" w:rsidR="00584EC1" w:rsidRDefault="00584EC1">
            <w:pPr>
              <w:rPr>
                <w:rFonts w:ascii="宋体"/>
                <w:vanish/>
              </w:rPr>
            </w:pPr>
          </w:p>
        </w:tc>
        <w:tc>
          <w:tcPr>
            <w:tcW w:w="0" w:type="auto"/>
            <w:gridSpan w:val="3"/>
            <w:shd w:val="clear" w:color="auto" w:fill="auto"/>
            <w:vAlign w:val="bottom"/>
          </w:tcPr>
          <w:p w14:paraId="74DD69DA" w14:textId="77777777" w:rsidR="00584EC1" w:rsidRDefault="00584EC1">
            <w:pPr>
              <w:rPr>
                <w:rFonts w:ascii="宋体"/>
                <w:vanish/>
              </w:rPr>
            </w:pPr>
          </w:p>
        </w:tc>
        <w:tc>
          <w:tcPr>
            <w:tcW w:w="0" w:type="auto"/>
            <w:gridSpan w:val="3"/>
            <w:shd w:val="clear" w:color="auto" w:fill="auto"/>
            <w:vAlign w:val="bottom"/>
          </w:tcPr>
          <w:p w14:paraId="74DD69DB" w14:textId="77777777" w:rsidR="00584EC1" w:rsidRDefault="00584EC1">
            <w:pPr>
              <w:rPr>
                <w:rFonts w:ascii="宋体"/>
                <w:vanish/>
              </w:rPr>
            </w:pPr>
          </w:p>
        </w:tc>
        <w:tc>
          <w:tcPr>
            <w:tcW w:w="0" w:type="auto"/>
            <w:gridSpan w:val="3"/>
            <w:shd w:val="clear" w:color="auto" w:fill="auto"/>
            <w:vAlign w:val="bottom"/>
          </w:tcPr>
          <w:p w14:paraId="74DD69DC" w14:textId="77777777" w:rsidR="00584EC1" w:rsidRDefault="00584EC1">
            <w:pPr>
              <w:rPr>
                <w:rFonts w:ascii="宋体"/>
                <w:vanish/>
              </w:rPr>
            </w:pPr>
          </w:p>
        </w:tc>
        <w:tc>
          <w:tcPr>
            <w:tcW w:w="0" w:type="auto"/>
            <w:gridSpan w:val="3"/>
            <w:shd w:val="clear" w:color="auto" w:fill="auto"/>
            <w:vAlign w:val="bottom"/>
          </w:tcPr>
          <w:p w14:paraId="74DD69DD" w14:textId="77777777" w:rsidR="00584EC1" w:rsidRDefault="00584EC1">
            <w:pPr>
              <w:rPr>
                <w:rFonts w:ascii="宋体"/>
                <w:vanish/>
              </w:rPr>
            </w:pPr>
          </w:p>
        </w:tc>
        <w:tc>
          <w:tcPr>
            <w:tcW w:w="0" w:type="auto"/>
            <w:gridSpan w:val="3"/>
            <w:shd w:val="clear" w:color="auto" w:fill="auto"/>
            <w:vAlign w:val="bottom"/>
          </w:tcPr>
          <w:p w14:paraId="74DD69DE" w14:textId="77777777" w:rsidR="00584EC1" w:rsidRDefault="00584EC1">
            <w:pPr>
              <w:rPr>
                <w:rFonts w:ascii="宋体"/>
                <w:vanish/>
              </w:rPr>
            </w:pPr>
          </w:p>
        </w:tc>
        <w:tc>
          <w:tcPr>
            <w:tcW w:w="0" w:type="auto"/>
            <w:gridSpan w:val="3"/>
            <w:shd w:val="clear" w:color="auto" w:fill="auto"/>
            <w:vAlign w:val="bottom"/>
          </w:tcPr>
          <w:p w14:paraId="74DD69DF" w14:textId="77777777" w:rsidR="00584EC1" w:rsidRDefault="00584EC1">
            <w:pPr>
              <w:rPr>
                <w:rFonts w:ascii="宋体"/>
                <w:vanish/>
              </w:rPr>
            </w:pPr>
          </w:p>
        </w:tc>
        <w:tc>
          <w:tcPr>
            <w:tcW w:w="0" w:type="auto"/>
            <w:gridSpan w:val="2"/>
            <w:shd w:val="clear" w:color="auto" w:fill="auto"/>
            <w:vAlign w:val="bottom"/>
          </w:tcPr>
          <w:p w14:paraId="74DD69E0" w14:textId="77777777" w:rsidR="00584EC1" w:rsidRDefault="00584EC1">
            <w:pPr>
              <w:rPr>
                <w:rFonts w:ascii="宋体"/>
                <w:vanish/>
              </w:rPr>
            </w:pPr>
          </w:p>
        </w:tc>
        <w:tc>
          <w:tcPr>
            <w:tcW w:w="0" w:type="auto"/>
            <w:shd w:val="clear" w:color="auto" w:fill="auto"/>
            <w:vAlign w:val="bottom"/>
          </w:tcPr>
          <w:p w14:paraId="74DD69E1" w14:textId="77777777" w:rsidR="00584EC1" w:rsidRDefault="00584EC1">
            <w:pPr>
              <w:rPr>
                <w:rFonts w:ascii="宋体"/>
                <w:vanish/>
              </w:rPr>
            </w:pPr>
          </w:p>
        </w:tc>
      </w:tr>
      <w:tr w:rsidR="00584EC1" w14:paraId="74DD69F9" w14:textId="77777777">
        <w:trPr>
          <w:hidden/>
        </w:trPr>
        <w:tc>
          <w:tcPr>
            <w:tcW w:w="0" w:type="auto"/>
            <w:gridSpan w:val="3"/>
            <w:shd w:val="clear" w:color="auto" w:fill="auto"/>
            <w:vAlign w:val="bottom"/>
          </w:tcPr>
          <w:p w14:paraId="74DD69E3" w14:textId="77777777" w:rsidR="00584EC1" w:rsidRDefault="00584EC1">
            <w:pPr>
              <w:rPr>
                <w:rFonts w:ascii="宋体"/>
                <w:vanish/>
              </w:rPr>
            </w:pPr>
          </w:p>
        </w:tc>
        <w:tc>
          <w:tcPr>
            <w:tcW w:w="0" w:type="auto"/>
            <w:gridSpan w:val="3"/>
            <w:shd w:val="clear" w:color="auto" w:fill="auto"/>
            <w:vAlign w:val="bottom"/>
          </w:tcPr>
          <w:p w14:paraId="74DD69E4" w14:textId="77777777" w:rsidR="00584EC1" w:rsidRDefault="00584EC1">
            <w:pPr>
              <w:rPr>
                <w:rFonts w:ascii="宋体"/>
                <w:vanish/>
              </w:rPr>
            </w:pPr>
          </w:p>
        </w:tc>
        <w:tc>
          <w:tcPr>
            <w:tcW w:w="0" w:type="auto"/>
            <w:gridSpan w:val="3"/>
            <w:shd w:val="clear" w:color="auto" w:fill="auto"/>
            <w:vAlign w:val="bottom"/>
          </w:tcPr>
          <w:p w14:paraId="74DD69E5" w14:textId="77777777" w:rsidR="00584EC1" w:rsidRDefault="00584EC1">
            <w:pPr>
              <w:rPr>
                <w:rFonts w:ascii="宋体"/>
                <w:vanish/>
              </w:rPr>
            </w:pPr>
          </w:p>
        </w:tc>
        <w:tc>
          <w:tcPr>
            <w:tcW w:w="0" w:type="auto"/>
            <w:gridSpan w:val="3"/>
            <w:shd w:val="clear" w:color="auto" w:fill="auto"/>
            <w:vAlign w:val="bottom"/>
          </w:tcPr>
          <w:p w14:paraId="74DD69E6" w14:textId="77777777" w:rsidR="00584EC1" w:rsidRDefault="00584EC1">
            <w:pPr>
              <w:rPr>
                <w:rFonts w:ascii="宋体"/>
                <w:vanish/>
              </w:rPr>
            </w:pPr>
          </w:p>
        </w:tc>
        <w:tc>
          <w:tcPr>
            <w:tcW w:w="0" w:type="auto"/>
            <w:gridSpan w:val="3"/>
            <w:shd w:val="clear" w:color="auto" w:fill="auto"/>
            <w:vAlign w:val="bottom"/>
          </w:tcPr>
          <w:p w14:paraId="74DD69E7" w14:textId="77777777" w:rsidR="00584EC1" w:rsidRDefault="00584EC1">
            <w:pPr>
              <w:rPr>
                <w:rFonts w:ascii="宋体"/>
                <w:vanish/>
              </w:rPr>
            </w:pPr>
          </w:p>
        </w:tc>
        <w:tc>
          <w:tcPr>
            <w:tcW w:w="0" w:type="auto"/>
            <w:gridSpan w:val="3"/>
            <w:shd w:val="clear" w:color="auto" w:fill="auto"/>
            <w:vAlign w:val="bottom"/>
          </w:tcPr>
          <w:p w14:paraId="74DD69E8" w14:textId="77777777" w:rsidR="00584EC1" w:rsidRDefault="00584EC1">
            <w:pPr>
              <w:rPr>
                <w:rFonts w:ascii="宋体"/>
                <w:vanish/>
              </w:rPr>
            </w:pPr>
          </w:p>
        </w:tc>
        <w:tc>
          <w:tcPr>
            <w:tcW w:w="0" w:type="auto"/>
            <w:gridSpan w:val="3"/>
            <w:shd w:val="clear" w:color="auto" w:fill="auto"/>
            <w:vAlign w:val="bottom"/>
          </w:tcPr>
          <w:p w14:paraId="74DD69E9" w14:textId="77777777" w:rsidR="00584EC1" w:rsidRDefault="00584EC1">
            <w:pPr>
              <w:rPr>
                <w:rFonts w:ascii="宋体"/>
                <w:vanish/>
              </w:rPr>
            </w:pPr>
          </w:p>
        </w:tc>
        <w:tc>
          <w:tcPr>
            <w:tcW w:w="0" w:type="auto"/>
            <w:gridSpan w:val="3"/>
            <w:shd w:val="clear" w:color="auto" w:fill="auto"/>
            <w:vAlign w:val="bottom"/>
          </w:tcPr>
          <w:p w14:paraId="74DD69EA" w14:textId="77777777" w:rsidR="00584EC1" w:rsidRDefault="00584EC1">
            <w:pPr>
              <w:rPr>
                <w:rFonts w:ascii="宋体"/>
                <w:vanish/>
              </w:rPr>
            </w:pPr>
          </w:p>
        </w:tc>
        <w:tc>
          <w:tcPr>
            <w:tcW w:w="0" w:type="auto"/>
            <w:gridSpan w:val="3"/>
            <w:shd w:val="clear" w:color="auto" w:fill="auto"/>
            <w:vAlign w:val="bottom"/>
          </w:tcPr>
          <w:p w14:paraId="74DD69EB" w14:textId="77777777" w:rsidR="00584EC1" w:rsidRDefault="00584EC1">
            <w:pPr>
              <w:rPr>
                <w:rFonts w:ascii="宋体"/>
                <w:vanish/>
              </w:rPr>
            </w:pPr>
          </w:p>
        </w:tc>
        <w:tc>
          <w:tcPr>
            <w:tcW w:w="0" w:type="auto"/>
            <w:gridSpan w:val="3"/>
            <w:shd w:val="clear" w:color="auto" w:fill="auto"/>
            <w:vAlign w:val="bottom"/>
          </w:tcPr>
          <w:p w14:paraId="74DD69EC" w14:textId="77777777" w:rsidR="00584EC1" w:rsidRDefault="00584EC1">
            <w:pPr>
              <w:rPr>
                <w:rFonts w:ascii="宋体"/>
                <w:vanish/>
              </w:rPr>
            </w:pPr>
          </w:p>
        </w:tc>
        <w:tc>
          <w:tcPr>
            <w:tcW w:w="0" w:type="auto"/>
            <w:gridSpan w:val="3"/>
            <w:shd w:val="clear" w:color="auto" w:fill="auto"/>
            <w:vAlign w:val="bottom"/>
          </w:tcPr>
          <w:p w14:paraId="74DD69ED" w14:textId="77777777" w:rsidR="00584EC1" w:rsidRDefault="00584EC1">
            <w:pPr>
              <w:rPr>
                <w:rFonts w:ascii="宋体"/>
                <w:vanish/>
              </w:rPr>
            </w:pPr>
          </w:p>
        </w:tc>
        <w:tc>
          <w:tcPr>
            <w:tcW w:w="0" w:type="auto"/>
            <w:gridSpan w:val="3"/>
            <w:shd w:val="clear" w:color="auto" w:fill="auto"/>
            <w:vAlign w:val="bottom"/>
          </w:tcPr>
          <w:p w14:paraId="74DD69EE" w14:textId="77777777" w:rsidR="00584EC1" w:rsidRDefault="00584EC1">
            <w:pPr>
              <w:rPr>
                <w:rFonts w:ascii="宋体"/>
                <w:vanish/>
              </w:rPr>
            </w:pPr>
          </w:p>
        </w:tc>
        <w:tc>
          <w:tcPr>
            <w:tcW w:w="0" w:type="auto"/>
            <w:gridSpan w:val="3"/>
            <w:shd w:val="clear" w:color="auto" w:fill="auto"/>
            <w:vAlign w:val="bottom"/>
          </w:tcPr>
          <w:p w14:paraId="74DD69EF" w14:textId="77777777" w:rsidR="00584EC1" w:rsidRDefault="00584EC1">
            <w:pPr>
              <w:rPr>
                <w:rFonts w:ascii="宋体"/>
                <w:vanish/>
              </w:rPr>
            </w:pPr>
          </w:p>
        </w:tc>
        <w:tc>
          <w:tcPr>
            <w:tcW w:w="0" w:type="auto"/>
            <w:gridSpan w:val="3"/>
            <w:shd w:val="clear" w:color="auto" w:fill="auto"/>
            <w:vAlign w:val="bottom"/>
          </w:tcPr>
          <w:p w14:paraId="74DD69F0" w14:textId="77777777" w:rsidR="00584EC1" w:rsidRDefault="00584EC1">
            <w:pPr>
              <w:rPr>
                <w:rFonts w:ascii="宋体"/>
                <w:vanish/>
              </w:rPr>
            </w:pPr>
          </w:p>
        </w:tc>
        <w:tc>
          <w:tcPr>
            <w:tcW w:w="0" w:type="auto"/>
            <w:gridSpan w:val="3"/>
            <w:shd w:val="clear" w:color="auto" w:fill="auto"/>
            <w:vAlign w:val="bottom"/>
          </w:tcPr>
          <w:p w14:paraId="74DD69F1" w14:textId="77777777" w:rsidR="00584EC1" w:rsidRDefault="00584EC1">
            <w:pPr>
              <w:rPr>
                <w:rFonts w:ascii="宋体"/>
                <w:vanish/>
              </w:rPr>
            </w:pPr>
          </w:p>
        </w:tc>
        <w:tc>
          <w:tcPr>
            <w:tcW w:w="0" w:type="auto"/>
            <w:gridSpan w:val="3"/>
            <w:shd w:val="clear" w:color="auto" w:fill="auto"/>
            <w:vAlign w:val="bottom"/>
          </w:tcPr>
          <w:p w14:paraId="74DD69F2" w14:textId="77777777" w:rsidR="00584EC1" w:rsidRDefault="00584EC1">
            <w:pPr>
              <w:rPr>
                <w:rFonts w:ascii="宋体"/>
                <w:vanish/>
              </w:rPr>
            </w:pPr>
          </w:p>
        </w:tc>
        <w:tc>
          <w:tcPr>
            <w:tcW w:w="0" w:type="auto"/>
            <w:gridSpan w:val="3"/>
            <w:shd w:val="clear" w:color="auto" w:fill="auto"/>
            <w:vAlign w:val="bottom"/>
          </w:tcPr>
          <w:p w14:paraId="74DD69F3" w14:textId="77777777" w:rsidR="00584EC1" w:rsidRDefault="00584EC1">
            <w:pPr>
              <w:rPr>
                <w:rFonts w:ascii="宋体"/>
                <w:vanish/>
              </w:rPr>
            </w:pPr>
          </w:p>
        </w:tc>
        <w:tc>
          <w:tcPr>
            <w:tcW w:w="0" w:type="auto"/>
            <w:gridSpan w:val="3"/>
            <w:shd w:val="clear" w:color="auto" w:fill="auto"/>
            <w:vAlign w:val="bottom"/>
          </w:tcPr>
          <w:p w14:paraId="74DD69F4" w14:textId="77777777" w:rsidR="00584EC1" w:rsidRDefault="00584EC1">
            <w:pPr>
              <w:rPr>
                <w:rFonts w:ascii="宋体"/>
                <w:vanish/>
              </w:rPr>
            </w:pPr>
          </w:p>
        </w:tc>
        <w:tc>
          <w:tcPr>
            <w:tcW w:w="0" w:type="auto"/>
            <w:gridSpan w:val="3"/>
            <w:shd w:val="clear" w:color="auto" w:fill="auto"/>
            <w:vAlign w:val="bottom"/>
          </w:tcPr>
          <w:p w14:paraId="74DD69F5" w14:textId="77777777" w:rsidR="00584EC1" w:rsidRDefault="00584EC1">
            <w:pPr>
              <w:rPr>
                <w:rFonts w:ascii="宋体"/>
                <w:vanish/>
              </w:rPr>
            </w:pPr>
          </w:p>
        </w:tc>
        <w:tc>
          <w:tcPr>
            <w:tcW w:w="0" w:type="auto"/>
            <w:gridSpan w:val="3"/>
            <w:shd w:val="clear" w:color="auto" w:fill="auto"/>
            <w:vAlign w:val="bottom"/>
          </w:tcPr>
          <w:p w14:paraId="74DD69F6" w14:textId="77777777" w:rsidR="00584EC1" w:rsidRDefault="00584EC1">
            <w:pPr>
              <w:rPr>
                <w:rFonts w:ascii="宋体"/>
                <w:vanish/>
              </w:rPr>
            </w:pPr>
          </w:p>
        </w:tc>
        <w:tc>
          <w:tcPr>
            <w:tcW w:w="0" w:type="auto"/>
            <w:gridSpan w:val="2"/>
            <w:shd w:val="clear" w:color="auto" w:fill="auto"/>
            <w:vAlign w:val="bottom"/>
          </w:tcPr>
          <w:p w14:paraId="74DD69F7" w14:textId="77777777" w:rsidR="00584EC1" w:rsidRDefault="00584EC1">
            <w:pPr>
              <w:rPr>
                <w:rFonts w:ascii="宋体"/>
                <w:vanish/>
              </w:rPr>
            </w:pPr>
          </w:p>
        </w:tc>
        <w:tc>
          <w:tcPr>
            <w:tcW w:w="0" w:type="auto"/>
            <w:shd w:val="clear" w:color="auto" w:fill="auto"/>
            <w:vAlign w:val="bottom"/>
          </w:tcPr>
          <w:p w14:paraId="74DD69F8" w14:textId="77777777" w:rsidR="00584EC1" w:rsidRDefault="00584EC1">
            <w:pPr>
              <w:rPr>
                <w:rFonts w:ascii="宋体"/>
                <w:vanish/>
              </w:rPr>
            </w:pPr>
          </w:p>
        </w:tc>
      </w:tr>
      <w:tr w:rsidR="00584EC1" w14:paraId="74DD6A10" w14:textId="77777777">
        <w:trPr>
          <w:hidden/>
        </w:trPr>
        <w:tc>
          <w:tcPr>
            <w:tcW w:w="0" w:type="auto"/>
            <w:gridSpan w:val="3"/>
            <w:shd w:val="clear" w:color="auto" w:fill="auto"/>
            <w:vAlign w:val="bottom"/>
          </w:tcPr>
          <w:p w14:paraId="74DD69FA" w14:textId="77777777" w:rsidR="00584EC1" w:rsidRDefault="00584EC1">
            <w:pPr>
              <w:rPr>
                <w:rFonts w:ascii="宋体"/>
                <w:vanish/>
              </w:rPr>
            </w:pPr>
          </w:p>
        </w:tc>
        <w:tc>
          <w:tcPr>
            <w:tcW w:w="0" w:type="auto"/>
            <w:gridSpan w:val="3"/>
            <w:shd w:val="clear" w:color="auto" w:fill="auto"/>
            <w:vAlign w:val="bottom"/>
          </w:tcPr>
          <w:p w14:paraId="74DD69FB" w14:textId="77777777" w:rsidR="00584EC1" w:rsidRDefault="00584EC1">
            <w:pPr>
              <w:rPr>
                <w:rFonts w:ascii="宋体"/>
                <w:vanish/>
              </w:rPr>
            </w:pPr>
          </w:p>
        </w:tc>
        <w:tc>
          <w:tcPr>
            <w:tcW w:w="0" w:type="auto"/>
            <w:gridSpan w:val="3"/>
            <w:shd w:val="clear" w:color="auto" w:fill="auto"/>
            <w:vAlign w:val="bottom"/>
          </w:tcPr>
          <w:p w14:paraId="74DD69FC" w14:textId="77777777" w:rsidR="00584EC1" w:rsidRDefault="00584EC1">
            <w:pPr>
              <w:rPr>
                <w:rFonts w:ascii="宋体"/>
                <w:vanish/>
              </w:rPr>
            </w:pPr>
          </w:p>
        </w:tc>
        <w:tc>
          <w:tcPr>
            <w:tcW w:w="0" w:type="auto"/>
            <w:gridSpan w:val="3"/>
            <w:shd w:val="clear" w:color="auto" w:fill="auto"/>
            <w:vAlign w:val="bottom"/>
          </w:tcPr>
          <w:p w14:paraId="74DD69FD" w14:textId="77777777" w:rsidR="00584EC1" w:rsidRDefault="00584EC1">
            <w:pPr>
              <w:rPr>
                <w:rFonts w:ascii="宋体"/>
                <w:vanish/>
              </w:rPr>
            </w:pPr>
          </w:p>
        </w:tc>
        <w:tc>
          <w:tcPr>
            <w:tcW w:w="0" w:type="auto"/>
            <w:gridSpan w:val="3"/>
            <w:shd w:val="clear" w:color="auto" w:fill="auto"/>
            <w:vAlign w:val="bottom"/>
          </w:tcPr>
          <w:p w14:paraId="74DD69FE" w14:textId="77777777" w:rsidR="00584EC1" w:rsidRDefault="00584EC1">
            <w:pPr>
              <w:rPr>
                <w:rFonts w:ascii="宋体"/>
                <w:vanish/>
              </w:rPr>
            </w:pPr>
          </w:p>
        </w:tc>
        <w:tc>
          <w:tcPr>
            <w:tcW w:w="0" w:type="auto"/>
            <w:gridSpan w:val="3"/>
            <w:shd w:val="clear" w:color="auto" w:fill="auto"/>
            <w:vAlign w:val="bottom"/>
          </w:tcPr>
          <w:p w14:paraId="74DD69FF" w14:textId="77777777" w:rsidR="00584EC1" w:rsidRDefault="00584EC1">
            <w:pPr>
              <w:rPr>
                <w:rFonts w:ascii="宋体"/>
                <w:vanish/>
              </w:rPr>
            </w:pPr>
          </w:p>
        </w:tc>
        <w:tc>
          <w:tcPr>
            <w:tcW w:w="0" w:type="auto"/>
            <w:gridSpan w:val="3"/>
            <w:shd w:val="clear" w:color="auto" w:fill="auto"/>
            <w:vAlign w:val="bottom"/>
          </w:tcPr>
          <w:p w14:paraId="74DD6A00" w14:textId="77777777" w:rsidR="00584EC1" w:rsidRDefault="00584EC1">
            <w:pPr>
              <w:rPr>
                <w:rFonts w:ascii="宋体"/>
                <w:vanish/>
              </w:rPr>
            </w:pPr>
          </w:p>
        </w:tc>
        <w:tc>
          <w:tcPr>
            <w:tcW w:w="0" w:type="auto"/>
            <w:gridSpan w:val="3"/>
            <w:shd w:val="clear" w:color="auto" w:fill="auto"/>
            <w:vAlign w:val="bottom"/>
          </w:tcPr>
          <w:p w14:paraId="74DD6A01" w14:textId="77777777" w:rsidR="00584EC1" w:rsidRDefault="00584EC1">
            <w:pPr>
              <w:rPr>
                <w:rFonts w:ascii="宋体"/>
                <w:vanish/>
              </w:rPr>
            </w:pPr>
          </w:p>
        </w:tc>
        <w:tc>
          <w:tcPr>
            <w:tcW w:w="0" w:type="auto"/>
            <w:gridSpan w:val="3"/>
            <w:shd w:val="clear" w:color="auto" w:fill="auto"/>
            <w:vAlign w:val="bottom"/>
          </w:tcPr>
          <w:p w14:paraId="74DD6A02" w14:textId="77777777" w:rsidR="00584EC1" w:rsidRDefault="00584EC1">
            <w:pPr>
              <w:rPr>
                <w:rFonts w:ascii="宋体"/>
                <w:vanish/>
              </w:rPr>
            </w:pPr>
          </w:p>
        </w:tc>
        <w:tc>
          <w:tcPr>
            <w:tcW w:w="0" w:type="auto"/>
            <w:gridSpan w:val="3"/>
            <w:shd w:val="clear" w:color="auto" w:fill="auto"/>
            <w:vAlign w:val="bottom"/>
          </w:tcPr>
          <w:p w14:paraId="74DD6A03" w14:textId="77777777" w:rsidR="00584EC1" w:rsidRDefault="00584EC1">
            <w:pPr>
              <w:rPr>
                <w:rFonts w:ascii="宋体"/>
                <w:vanish/>
              </w:rPr>
            </w:pPr>
          </w:p>
        </w:tc>
        <w:tc>
          <w:tcPr>
            <w:tcW w:w="0" w:type="auto"/>
            <w:gridSpan w:val="3"/>
            <w:shd w:val="clear" w:color="auto" w:fill="auto"/>
            <w:vAlign w:val="bottom"/>
          </w:tcPr>
          <w:p w14:paraId="74DD6A04" w14:textId="77777777" w:rsidR="00584EC1" w:rsidRDefault="00584EC1">
            <w:pPr>
              <w:rPr>
                <w:rFonts w:ascii="宋体"/>
                <w:vanish/>
              </w:rPr>
            </w:pPr>
          </w:p>
        </w:tc>
        <w:tc>
          <w:tcPr>
            <w:tcW w:w="0" w:type="auto"/>
            <w:gridSpan w:val="3"/>
            <w:shd w:val="clear" w:color="auto" w:fill="auto"/>
            <w:vAlign w:val="bottom"/>
          </w:tcPr>
          <w:p w14:paraId="74DD6A05" w14:textId="77777777" w:rsidR="00584EC1" w:rsidRDefault="00584EC1">
            <w:pPr>
              <w:rPr>
                <w:rFonts w:ascii="宋体"/>
                <w:vanish/>
              </w:rPr>
            </w:pPr>
          </w:p>
        </w:tc>
        <w:tc>
          <w:tcPr>
            <w:tcW w:w="0" w:type="auto"/>
            <w:gridSpan w:val="3"/>
            <w:shd w:val="clear" w:color="auto" w:fill="auto"/>
            <w:vAlign w:val="bottom"/>
          </w:tcPr>
          <w:p w14:paraId="74DD6A06" w14:textId="77777777" w:rsidR="00584EC1" w:rsidRDefault="00584EC1">
            <w:pPr>
              <w:rPr>
                <w:rFonts w:ascii="宋体"/>
                <w:vanish/>
              </w:rPr>
            </w:pPr>
          </w:p>
        </w:tc>
        <w:tc>
          <w:tcPr>
            <w:tcW w:w="0" w:type="auto"/>
            <w:gridSpan w:val="3"/>
            <w:shd w:val="clear" w:color="auto" w:fill="auto"/>
            <w:vAlign w:val="bottom"/>
          </w:tcPr>
          <w:p w14:paraId="74DD6A07" w14:textId="77777777" w:rsidR="00584EC1" w:rsidRDefault="00584EC1">
            <w:pPr>
              <w:rPr>
                <w:rFonts w:ascii="宋体"/>
                <w:vanish/>
              </w:rPr>
            </w:pPr>
          </w:p>
        </w:tc>
        <w:tc>
          <w:tcPr>
            <w:tcW w:w="0" w:type="auto"/>
            <w:gridSpan w:val="3"/>
            <w:shd w:val="clear" w:color="auto" w:fill="auto"/>
            <w:vAlign w:val="bottom"/>
          </w:tcPr>
          <w:p w14:paraId="74DD6A08" w14:textId="77777777" w:rsidR="00584EC1" w:rsidRDefault="00584EC1">
            <w:pPr>
              <w:rPr>
                <w:rFonts w:ascii="宋体"/>
                <w:vanish/>
              </w:rPr>
            </w:pPr>
          </w:p>
        </w:tc>
        <w:tc>
          <w:tcPr>
            <w:tcW w:w="0" w:type="auto"/>
            <w:gridSpan w:val="3"/>
            <w:shd w:val="clear" w:color="auto" w:fill="auto"/>
            <w:vAlign w:val="bottom"/>
          </w:tcPr>
          <w:p w14:paraId="74DD6A09" w14:textId="77777777" w:rsidR="00584EC1" w:rsidRDefault="00584EC1">
            <w:pPr>
              <w:rPr>
                <w:rFonts w:ascii="宋体"/>
                <w:vanish/>
              </w:rPr>
            </w:pPr>
          </w:p>
        </w:tc>
        <w:tc>
          <w:tcPr>
            <w:tcW w:w="0" w:type="auto"/>
            <w:gridSpan w:val="3"/>
            <w:shd w:val="clear" w:color="auto" w:fill="auto"/>
            <w:vAlign w:val="bottom"/>
          </w:tcPr>
          <w:p w14:paraId="74DD6A0A" w14:textId="77777777" w:rsidR="00584EC1" w:rsidRDefault="00584EC1">
            <w:pPr>
              <w:rPr>
                <w:rFonts w:ascii="宋体"/>
                <w:vanish/>
              </w:rPr>
            </w:pPr>
          </w:p>
        </w:tc>
        <w:tc>
          <w:tcPr>
            <w:tcW w:w="0" w:type="auto"/>
            <w:gridSpan w:val="3"/>
            <w:shd w:val="clear" w:color="auto" w:fill="auto"/>
            <w:vAlign w:val="bottom"/>
          </w:tcPr>
          <w:p w14:paraId="74DD6A0B" w14:textId="77777777" w:rsidR="00584EC1" w:rsidRDefault="00584EC1">
            <w:pPr>
              <w:rPr>
                <w:rFonts w:ascii="宋体"/>
                <w:vanish/>
              </w:rPr>
            </w:pPr>
          </w:p>
        </w:tc>
        <w:tc>
          <w:tcPr>
            <w:tcW w:w="0" w:type="auto"/>
            <w:gridSpan w:val="3"/>
            <w:shd w:val="clear" w:color="auto" w:fill="auto"/>
            <w:vAlign w:val="bottom"/>
          </w:tcPr>
          <w:p w14:paraId="74DD6A0C" w14:textId="77777777" w:rsidR="00584EC1" w:rsidRDefault="00584EC1">
            <w:pPr>
              <w:rPr>
                <w:rFonts w:ascii="宋体"/>
                <w:vanish/>
              </w:rPr>
            </w:pPr>
          </w:p>
        </w:tc>
        <w:tc>
          <w:tcPr>
            <w:tcW w:w="0" w:type="auto"/>
            <w:gridSpan w:val="3"/>
            <w:shd w:val="clear" w:color="auto" w:fill="auto"/>
            <w:vAlign w:val="bottom"/>
          </w:tcPr>
          <w:p w14:paraId="74DD6A0D" w14:textId="77777777" w:rsidR="00584EC1" w:rsidRDefault="00584EC1">
            <w:pPr>
              <w:rPr>
                <w:rFonts w:ascii="宋体"/>
                <w:vanish/>
              </w:rPr>
            </w:pPr>
          </w:p>
        </w:tc>
        <w:tc>
          <w:tcPr>
            <w:tcW w:w="0" w:type="auto"/>
            <w:gridSpan w:val="2"/>
            <w:shd w:val="clear" w:color="auto" w:fill="auto"/>
            <w:vAlign w:val="bottom"/>
          </w:tcPr>
          <w:p w14:paraId="74DD6A0E" w14:textId="77777777" w:rsidR="00584EC1" w:rsidRDefault="00584EC1">
            <w:pPr>
              <w:rPr>
                <w:rFonts w:ascii="宋体"/>
                <w:vanish/>
              </w:rPr>
            </w:pPr>
          </w:p>
        </w:tc>
        <w:tc>
          <w:tcPr>
            <w:tcW w:w="0" w:type="auto"/>
            <w:shd w:val="clear" w:color="auto" w:fill="auto"/>
            <w:vAlign w:val="bottom"/>
          </w:tcPr>
          <w:p w14:paraId="74DD6A0F" w14:textId="77777777" w:rsidR="00584EC1" w:rsidRDefault="00584EC1">
            <w:pPr>
              <w:rPr>
                <w:rFonts w:ascii="宋体"/>
                <w:vanish/>
              </w:rPr>
            </w:pPr>
          </w:p>
        </w:tc>
      </w:tr>
      <w:tr w:rsidR="00584EC1" w14:paraId="74DD6A27" w14:textId="77777777">
        <w:trPr>
          <w:hidden/>
        </w:trPr>
        <w:tc>
          <w:tcPr>
            <w:tcW w:w="0" w:type="auto"/>
            <w:gridSpan w:val="3"/>
            <w:shd w:val="clear" w:color="auto" w:fill="auto"/>
            <w:vAlign w:val="bottom"/>
          </w:tcPr>
          <w:p w14:paraId="74DD6A11" w14:textId="77777777" w:rsidR="00584EC1" w:rsidRDefault="00584EC1">
            <w:pPr>
              <w:rPr>
                <w:rFonts w:ascii="宋体"/>
                <w:vanish/>
              </w:rPr>
            </w:pPr>
          </w:p>
        </w:tc>
        <w:tc>
          <w:tcPr>
            <w:tcW w:w="0" w:type="auto"/>
            <w:gridSpan w:val="3"/>
            <w:shd w:val="clear" w:color="auto" w:fill="auto"/>
            <w:vAlign w:val="bottom"/>
          </w:tcPr>
          <w:p w14:paraId="74DD6A12" w14:textId="77777777" w:rsidR="00584EC1" w:rsidRDefault="00584EC1">
            <w:pPr>
              <w:rPr>
                <w:rFonts w:ascii="宋体"/>
                <w:vanish/>
              </w:rPr>
            </w:pPr>
          </w:p>
        </w:tc>
        <w:tc>
          <w:tcPr>
            <w:tcW w:w="0" w:type="auto"/>
            <w:gridSpan w:val="3"/>
            <w:shd w:val="clear" w:color="auto" w:fill="auto"/>
            <w:vAlign w:val="bottom"/>
          </w:tcPr>
          <w:p w14:paraId="74DD6A13" w14:textId="77777777" w:rsidR="00584EC1" w:rsidRDefault="00584EC1">
            <w:pPr>
              <w:rPr>
                <w:rFonts w:ascii="宋体"/>
                <w:vanish/>
              </w:rPr>
            </w:pPr>
          </w:p>
        </w:tc>
        <w:tc>
          <w:tcPr>
            <w:tcW w:w="0" w:type="auto"/>
            <w:gridSpan w:val="3"/>
            <w:shd w:val="clear" w:color="auto" w:fill="auto"/>
            <w:vAlign w:val="bottom"/>
          </w:tcPr>
          <w:p w14:paraId="74DD6A14" w14:textId="77777777" w:rsidR="00584EC1" w:rsidRDefault="00584EC1">
            <w:pPr>
              <w:rPr>
                <w:rFonts w:ascii="宋体"/>
                <w:vanish/>
              </w:rPr>
            </w:pPr>
          </w:p>
        </w:tc>
        <w:tc>
          <w:tcPr>
            <w:tcW w:w="0" w:type="auto"/>
            <w:gridSpan w:val="3"/>
            <w:shd w:val="clear" w:color="auto" w:fill="auto"/>
            <w:vAlign w:val="bottom"/>
          </w:tcPr>
          <w:p w14:paraId="74DD6A15" w14:textId="77777777" w:rsidR="00584EC1" w:rsidRDefault="00584EC1">
            <w:pPr>
              <w:rPr>
                <w:rFonts w:ascii="宋体"/>
                <w:vanish/>
              </w:rPr>
            </w:pPr>
          </w:p>
        </w:tc>
        <w:tc>
          <w:tcPr>
            <w:tcW w:w="0" w:type="auto"/>
            <w:gridSpan w:val="3"/>
            <w:shd w:val="clear" w:color="auto" w:fill="auto"/>
            <w:vAlign w:val="bottom"/>
          </w:tcPr>
          <w:p w14:paraId="74DD6A16" w14:textId="77777777" w:rsidR="00584EC1" w:rsidRDefault="00584EC1">
            <w:pPr>
              <w:rPr>
                <w:rFonts w:ascii="宋体"/>
                <w:vanish/>
              </w:rPr>
            </w:pPr>
          </w:p>
        </w:tc>
        <w:tc>
          <w:tcPr>
            <w:tcW w:w="0" w:type="auto"/>
            <w:gridSpan w:val="3"/>
            <w:shd w:val="clear" w:color="auto" w:fill="auto"/>
            <w:vAlign w:val="bottom"/>
          </w:tcPr>
          <w:p w14:paraId="74DD6A17" w14:textId="77777777" w:rsidR="00584EC1" w:rsidRDefault="00584EC1">
            <w:pPr>
              <w:rPr>
                <w:rFonts w:ascii="宋体"/>
                <w:vanish/>
              </w:rPr>
            </w:pPr>
          </w:p>
        </w:tc>
        <w:tc>
          <w:tcPr>
            <w:tcW w:w="0" w:type="auto"/>
            <w:gridSpan w:val="3"/>
            <w:shd w:val="clear" w:color="auto" w:fill="auto"/>
            <w:vAlign w:val="bottom"/>
          </w:tcPr>
          <w:p w14:paraId="74DD6A18" w14:textId="77777777" w:rsidR="00584EC1" w:rsidRDefault="00584EC1">
            <w:pPr>
              <w:rPr>
                <w:rFonts w:ascii="宋体"/>
                <w:vanish/>
              </w:rPr>
            </w:pPr>
          </w:p>
        </w:tc>
        <w:tc>
          <w:tcPr>
            <w:tcW w:w="0" w:type="auto"/>
            <w:gridSpan w:val="3"/>
            <w:shd w:val="clear" w:color="auto" w:fill="auto"/>
            <w:vAlign w:val="bottom"/>
          </w:tcPr>
          <w:p w14:paraId="74DD6A19" w14:textId="77777777" w:rsidR="00584EC1" w:rsidRDefault="00584EC1">
            <w:pPr>
              <w:rPr>
                <w:rFonts w:ascii="宋体"/>
                <w:vanish/>
              </w:rPr>
            </w:pPr>
          </w:p>
        </w:tc>
        <w:tc>
          <w:tcPr>
            <w:tcW w:w="0" w:type="auto"/>
            <w:gridSpan w:val="3"/>
            <w:shd w:val="clear" w:color="auto" w:fill="auto"/>
            <w:vAlign w:val="bottom"/>
          </w:tcPr>
          <w:p w14:paraId="74DD6A1A" w14:textId="77777777" w:rsidR="00584EC1" w:rsidRDefault="00584EC1">
            <w:pPr>
              <w:rPr>
                <w:rFonts w:ascii="宋体"/>
                <w:vanish/>
              </w:rPr>
            </w:pPr>
          </w:p>
        </w:tc>
        <w:tc>
          <w:tcPr>
            <w:tcW w:w="0" w:type="auto"/>
            <w:gridSpan w:val="3"/>
            <w:shd w:val="clear" w:color="auto" w:fill="auto"/>
            <w:vAlign w:val="bottom"/>
          </w:tcPr>
          <w:p w14:paraId="74DD6A1B" w14:textId="77777777" w:rsidR="00584EC1" w:rsidRDefault="00584EC1">
            <w:pPr>
              <w:rPr>
                <w:rFonts w:ascii="宋体"/>
                <w:vanish/>
              </w:rPr>
            </w:pPr>
          </w:p>
        </w:tc>
        <w:tc>
          <w:tcPr>
            <w:tcW w:w="0" w:type="auto"/>
            <w:gridSpan w:val="3"/>
            <w:shd w:val="clear" w:color="auto" w:fill="auto"/>
            <w:vAlign w:val="bottom"/>
          </w:tcPr>
          <w:p w14:paraId="74DD6A1C" w14:textId="77777777" w:rsidR="00584EC1" w:rsidRDefault="00584EC1">
            <w:pPr>
              <w:rPr>
                <w:rFonts w:ascii="宋体"/>
                <w:vanish/>
              </w:rPr>
            </w:pPr>
          </w:p>
        </w:tc>
        <w:tc>
          <w:tcPr>
            <w:tcW w:w="0" w:type="auto"/>
            <w:gridSpan w:val="3"/>
            <w:shd w:val="clear" w:color="auto" w:fill="auto"/>
            <w:vAlign w:val="bottom"/>
          </w:tcPr>
          <w:p w14:paraId="74DD6A1D" w14:textId="77777777" w:rsidR="00584EC1" w:rsidRDefault="00584EC1">
            <w:pPr>
              <w:rPr>
                <w:rFonts w:ascii="宋体"/>
                <w:vanish/>
              </w:rPr>
            </w:pPr>
          </w:p>
        </w:tc>
        <w:tc>
          <w:tcPr>
            <w:tcW w:w="0" w:type="auto"/>
            <w:gridSpan w:val="3"/>
            <w:shd w:val="clear" w:color="auto" w:fill="auto"/>
            <w:vAlign w:val="bottom"/>
          </w:tcPr>
          <w:p w14:paraId="74DD6A1E" w14:textId="77777777" w:rsidR="00584EC1" w:rsidRDefault="00584EC1">
            <w:pPr>
              <w:rPr>
                <w:rFonts w:ascii="宋体"/>
                <w:vanish/>
              </w:rPr>
            </w:pPr>
          </w:p>
        </w:tc>
        <w:tc>
          <w:tcPr>
            <w:tcW w:w="0" w:type="auto"/>
            <w:gridSpan w:val="3"/>
            <w:shd w:val="clear" w:color="auto" w:fill="auto"/>
            <w:vAlign w:val="bottom"/>
          </w:tcPr>
          <w:p w14:paraId="74DD6A1F" w14:textId="77777777" w:rsidR="00584EC1" w:rsidRDefault="00584EC1">
            <w:pPr>
              <w:rPr>
                <w:rFonts w:ascii="宋体"/>
                <w:vanish/>
              </w:rPr>
            </w:pPr>
          </w:p>
        </w:tc>
        <w:tc>
          <w:tcPr>
            <w:tcW w:w="0" w:type="auto"/>
            <w:gridSpan w:val="3"/>
            <w:shd w:val="clear" w:color="auto" w:fill="auto"/>
            <w:vAlign w:val="bottom"/>
          </w:tcPr>
          <w:p w14:paraId="74DD6A20" w14:textId="77777777" w:rsidR="00584EC1" w:rsidRDefault="00584EC1">
            <w:pPr>
              <w:rPr>
                <w:rFonts w:ascii="宋体"/>
                <w:vanish/>
              </w:rPr>
            </w:pPr>
          </w:p>
        </w:tc>
        <w:tc>
          <w:tcPr>
            <w:tcW w:w="0" w:type="auto"/>
            <w:gridSpan w:val="3"/>
            <w:shd w:val="clear" w:color="auto" w:fill="auto"/>
            <w:vAlign w:val="bottom"/>
          </w:tcPr>
          <w:p w14:paraId="74DD6A21" w14:textId="77777777" w:rsidR="00584EC1" w:rsidRDefault="00584EC1">
            <w:pPr>
              <w:rPr>
                <w:rFonts w:ascii="宋体"/>
                <w:vanish/>
              </w:rPr>
            </w:pPr>
          </w:p>
        </w:tc>
        <w:tc>
          <w:tcPr>
            <w:tcW w:w="0" w:type="auto"/>
            <w:gridSpan w:val="3"/>
            <w:shd w:val="clear" w:color="auto" w:fill="auto"/>
            <w:vAlign w:val="bottom"/>
          </w:tcPr>
          <w:p w14:paraId="74DD6A22" w14:textId="77777777" w:rsidR="00584EC1" w:rsidRDefault="00584EC1">
            <w:pPr>
              <w:rPr>
                <w:rFonts w:ascii="宋体"/>
                <w:vanish/>
              </w:rPr>
            </w:pPr>
          </w:p>
        </w:tc>
        <w:tc>
          <w:tcPr>
            <w:tcW w:w="0" w:type="auto"/>
            <w:gridSpan w:val="3"/>
            <w:shd w:val="clear" w:color="auto" w:fill="auto"/>
            <w:vAlign w:val="bottom"/>
          </w:tcPr>
          <w:p w14:paraId="74DD6A23" w14:textId="77777777" w:rsidR="00584EC1" w:rsidRDefault="00584EC1">
            <w:pPr>
              <w:rPr>
                <w:rFonts w:ascii="宋体"/>
                <w:vanish/>
              </w:rPr>
            </w:pPr>
          </w:p>
        </w:tc>
        <w:tc>
          <w:tcPr>
            <w:tcW w:w="0" w:type="auto"/>
            <w:gridSpan w:val="3"/>
            <w:shd w:val="clear" w:color="auto" w:fill="auto"/>
            <w:vAlign w:val="bottom"/>
          </w:tcPr>
          <w:p w14:paraId="74DD6A24" w14:textId="77777777" w:rsidR="00584EC1" w:rsidRDefault="00584EC1">
            <w:pPr>
              <w:rPr>
                <w:rFonts w:ascii="宋体"/>
                <w:vanish/>
              </w:rPr>
            </w:pPr>
          </w:p>
        </w:tc>
        <w:tc>
          <w:tcPr>
            <w:tcW w:w="0" w:type="auto"/>
            <w:gridSpan w:val="2"/>
            <w:shd w:val="clear" w:color="auto" w:fill="auto"/>
            <w:vAlign w:val="bottom"/>
          </w:tcPr>
          <w:p w14:paraId="74DD6A25" w14:textId="77777777" w:rsidR="00584EC1" w:rsidRDefault="00584EC1">
            <w:pPr>
              <w:rPr>
                <w:rFonts w:ascii="宋体"/>
                <w:vanish/>
              </w:rPr>
            </w:pPr>
          </w:p>
        </w:tc>
        <w:tc>
          <w:tcPr>
            <w:tcW w:w="0" w:type="auto"/>
            <w:shd w:val="clear" w:color="auto" w:fill="auto"/>
            <w:vAlign w:val="bottom"/>
          </w:tcPr>
          <w:p w14:paraId="74DD6A26" w14:textId="77777777" w:rsidR="00584EC1" w:rsidRDefault="00584EC1">
            <w:pPr>
              <w:rPr>
                <w:rFonts w:ascii="宋体"/>
                <w:vanish/>
              </w:rPr>
            </w:pPr>
          </w:p>
        </w:tc>
      </w:tr>
      <w:tr w:rsidR="00584EC1" w14:paraId="74DD6A3E" w14:textId="77777777">
        <w:trPr>
          <w:hidden/>
        </w:trPr>
        <w:tc>
          <w:tcPr>
            <w:tcW w:w="0" w:type="auto"/>
            <w:gridSpan w:val="3"/>
            <w:shd w:val="clear" w:color="auto" w:fill="auto"/>
            <w:vAlign w:val="bottom"/>
          </w:tcPr>
          <w:p w14:paraId="74DD6A28" w14:textId="77777777" w:rsidR="00584EC1" w:rsidRDefault="00584EC1">
            <w:pPr>
              <w:rPr>
                <w:rFonts w:ascii="宋体"/>
                <w:vanish/>
              </w:rPr>
            </w:pPr>
          </w:p>
        </w:tc>
        <w:tc>
          <w:tcPr>
            <w:tcW w:w="0" w:type="auto"/>
            <w:gridSpan w:val="3"/>
            <w:shd w:val="clear" w:color="auto" w:fill="auto"/>
            <w:vAlign w:val="bottom"/>
          </w:tcPr>
          <w:p w14:paraId="74DD6A29" w14:textId="77777777" w:rsidR="00584EC1" w:rsidRDefault="00584EC1">
            <w:pPr>
              <w:rPr>
                <w:rFonts w:ascii="宋体"/>
                <w:vanish/>
              </w:rPr>
            </w:pPr>
          </w:p>
        </w:tc>
        <w:tc>
          <w:tcPr>
            <w:tcW w:w="0" w:type="auto"/>
            <w:gridSpan w:val="3"/>
            <w:shd w:val="clear" w:color="auto" w:fill="auto"/>
            <w:vAlign w:val="bottom"/>
          </w:tcPr>
          <w:p w14:paraId="74DD6A2A" w14:textId="77777777" w:rsidR="00584EC1" w:rsidRDefault="00584EC1">
            <w:pPr>
              <w:rPr>
                <w:rFonts w:ascii="宋体"/>
                <w:vanish/>
              </w:rPr>
            </w:pPr>
          </w:p>
        </w:tc>
        <w:tc>
          <w:tcPr>
            <w:tcW w:w="0" w:type="auto"/>
            <w:gridSpan w:val="3"/>
            <w:shd w:val="clear" w:color="auto" w:fill="auto"/>
            <w:vAlign w:val="bottom"/>
          </w:tcPr>
          <w:p w14:paraId="74DD6A2B" w14:textId="77777777" w:rsidR="00584EC1" w:rsidRDefault="00584EC1">
            <w:pPr>
              <w:rPr>
                <w:rFonts w:ascii="宋体"/>
                <w:vanish/>
              </w:rPr>
            </w:pPr>
          </w:p>
        </w:tc>
        <w:tc>
          <w:tcPr>
            <w:tcW w:w="0" w:type="auto"/>
            <w:gridSpan w:val="3"/>
            <w:shd w:val="clear" w:color="auto" w:fill="auto"/>
            <w:vAlign w:val="bottom"/>
          </w:tcPr>
          <w:p w14:paraId="74DD6A2C" w14:textId="77777777" w:rsidR="00584EC1" w:rsidRDefault="00584EC1">
            <w:pPr>
              <w:rPr>
                <w:rFonts w:ascii="宋体"/>
                <w:vanish/>
              </w:rPr>
            </w:pPr>
          </w:p>
        </w:tc>
        <w:tc>
          <w:tcPr>
            <w:tcW w:w="0" w:type="auto"/>
            <w:gridSpan w:val="3"/>
            <w:shd w:val="clear" w:color="auto" w:fill="auto"/>
            <w:vAlign w:val="bottom"/>
          </w:tcPr>
          <w:p w14:paraId="74DD6A2D" w14:textId="77777777" w:rsidR="00584EC1" w:rsidRDefault="00584EC1">
            <w:pPr>
              <w:rPr>
                <w:rFonts w:ascii="宋体"/>
                <w:vanish/>
              </w:rPr>
            </w:pPr>
          </w:p>
        </w:tc>
        <w:tc>
          <w:tcPr>
            <w:tcW w:w="0" w:type="auto"/>
            <w:gridSpan w:val="3"/>
            <w:shd w:val="clear" w:color="auto" w:fill="auto"/>
            <w:vAlign w:val="bottom"/>
          </w:tcPr>
          <w:p w14:paraId="74DD6A2E" w14:textId="77777777" w:rsidR="00584EC1" w:rsidRDefault="00584EC1">
            <w:pPr>
              <w:rPr>
                <w:rFonts w:ascii="宋体"/>
                <w:vanish/>
              </w:rPr>
            </w:pPr>
          </w:p>
        </w:tc>
        <w:tc>
          <w:tcPr>
            <w:tcW w:w="0" w:type="auto"/>
            <w:gridSpan w:val="3"/>
            <w:shd w:val="clear" w:color="auto" w:fill="auto"/>
            <w:vAlign w:val="bottom"/>
          </w:tcPr>
          <w:p w14:paraId="74DD6A2F" w14:textId="77777777" w:rsidR="00584EC1" w:rsidRDefault="00584EC1">
            <w:pPr>
              <w:rPr>
                <w:rFonts w:ascii="宋体"/>
                <w:vanish/>
              </w:rPr>
            </w:pPr>
          </w:p>
        </w:tc>
        <w:tc>
          <w:tcPr>
            <w:tcW w:w="0" w:type="auto"/>
            <w:gridSpan w:val="3"/>
            <w:shd w:val="clear" w:color="auto" w:fill="auto"/>
            <w:vAlign w:val="bottom"/>
          </w:tcPr>
          <w:p w14:paraId="74DD6A30" w14:textId="77777777" w:rsidR="00584EC1" w:rsidRDefault="00584EC1">
            <w:pPr>
              <w:rPr>
                <w:rFonts w:ascii="宋体"/>
                <w:vanish/>
              </w:rPr>
            </w:pPr>
          </w:p>
        </w:tc>
        <w:tc>
          <w:tcPr>
            <w:tcW w:w="0" w:type="auto"/>
            <w:gridSpan w:val="3"/>
            <w:shd w:val="clear" w:color="auto" w:fill="auto"/>
            <w:vAlign w:val="bottom"/>
          </w:tcPr>
          <w:p w14:paraId="74DD6A31" w14:textId="77777777" w:rsidR="00584EC1" w:rsidRDefault="00584EC1">
            <w:pPr>
              <w:rPr>
                <w:rFonts w:ascii="宋体"/>
                <w:vanish/>
              </w:rPr>
            </w:pPr>
          </w:p>
        </w:tc>
        <w:tc>
          <w:tcPr>
            <w:tcW w:w="0" w:type="auto"/>
            <w:gridSpan w:val="3"/>
            <w:shd w:val="clear" w:color="auto" w:fill="auto"/>
            <w:vAlign w:val="bottom"/>
          </w:tcPr>
          <w:p w14:paraId="74DD6A32" w14:textId="77777777" w:rsidR="00584EC1" w:rsidRDefault="00584EC1">
            <w:pPr>
              <w:rPr>
                <w:rFonts w:ascii="宋体"/>
                <w:vanish/>
              </w:rPr>
            </w:pPr>
          </w:p>
        </w:tc>
        <w:tc>
          <w:tcPr>
            <w:tcW w:w="0" w:type="auto"/>
            <w:gridSpan w:val="3"/>
            <w:shd w:val="clear" w:color="auto" w:fill="auto"/>
            <w:vAlign w:val="bottom"/>
          </w:tcPr>
          <w:p w14:paraId="74DD6A33" w14:textId="77777777" w:rsidR="00584EC1" w:rsidRDefault="00584EC1">
            <w:pPr>
              <w:rPr>
                <w:rFonts w:ascii="宋体"/>
                <w:vanish/>
              </w:rPr>
            </w:pPr>
          </w:p>
        </w:tc>
        <w:tc>
          <w:tcPr>
            <w:tcW w:w="0" w:type="auto"/>
            <w:gridSpan w:val="3"/>
            <w:shd w:val="clear" w:color="auto" w:fill="auto"/>
            <w:vAlign w:val="bottom"/>
          </w:tcPr>
          <w:p w14:paraId="74DD6A34" w14:textId="77777777" w:rsidR="00584EC1" w:rsidRDefault="00584EC1">
            <w:pPr>
              <w:rPr>
                <w:rFonts w:ascii="宋体"/>
                <w:vanish/>
              </w:rPr>
            </w:pPr>
          </w:p>
        </w:tc>
        <w:tc>
          <w:tcPr>
            <w:tcW w:w="0" w:type="auto"/>
            <w:gridSpan w:val="3"/>
            <w:shd w:val="clear" w:color="auto" w:fill="auto"/>
            <w:vAlign w:val="bottom"/>
          </w:tcPr>
          <w:p w14:paraId="74DD6A35" w14:textId="77777777" w:rsidR="00584EC1" w:rsidRDefault="00584EC1">
            <w:pPr>
              <w:rPr>
                <w:rFonts w:ascii="宋体"/>
                <w:vanish/>
              </w:rPr>
            </w:pPr>
          </w:p>
        </w:tc>
        <w:tc>
          <w:tcPr>
            <w:tcW w:w="0" w:type="auto"/>
            <w:gridSpan w:val="3"/>
            <w:shd w:val="clear" w:color="auto" w:fill="auto"/>
            <w:vAlign w:val="bottom"/>
          </w:tcPr>
          <w:p w14:paraId="74DD6A36" w14:textId="77777777" w:rsidR="00584EC1" w:rsidRDefault="00584EC1">
            <w:pPr>
              <w:rPr>
                <w:rFonts w:ascii="宋体"/>
                <w:vanish/>
              </w:rPr>
            </w:pPr>
          </w:p>
        </w:tc>
        <w:tc>
          <w:tcPr>
            <w:tcW w:w="0" w:type="auto"/>
            <w:gridSpan w:val="3"/>
            <w:shd w:val="clear" w:color="auto" w:fill="auto"/>
            <w:vAlign w:val="bottom"/>
          </w:tcPr>
          <w:p w14:paraId="74DD6A37" w14:textId="77777777" w:rsidR="00584EC1" w:rsidRDefault="00584EC1">
            <w:pPr>
              <w:rPr>
                <w:rFonts w:ascii="宋体"/>
                <w:vanish/>
              </w:rPr>
            </w:pPr>
          </w:p>
        </w:tc>
        <w:tc>
          <w:tcPr>
            <w:tcW w:w="0" w:type="auto"/>
            <w:gridSpan w:val="3"/>
            <w:shd w:val="clear" w:color="auto" w:fill="auto"/>
            <w:vAlign w:val="bottom"/>
          </w:tcPr>
          <w:p w14:paraId="74DD6A38" w14:textId="77777777" w:rsidR="00584EC1" w:rsidRDefault="00584EC1">
            <w:pPr>
              <w:rPr>
                <w:rFonts w:ascii="宋体"/>
                <w:vanish/>
              </w:rPr>
            </w:pPr>
          </w:p>
        </w:tc>
        <w:tc>
          <w:tcPr>
            <w:tcW w:w="0" w:type="auto"/>
            <w:gridSpan w:val="3"/>
            <w:shd w:val="clear" w:color="auto" w:fill="auto"/>
            <w:vAlign w:val="bottom"/>
          </w:tcPr>
          <w:p w14:paraId="74DD6A39" w14:textId="77777777" w:rsidR="00584EC1" w:rsidRDefault="00584EC1">
            <w:pPr>
              <w:rPr>
                <w:rFonts w:ascii="宋体"/>
                <w:vanish/>
              </w:rPr>
            </w:pPr>
          </w:p>
        </w:tc>
        <w:tc>
          <w:tcPr>
            <w:tcW w:w="0" w:type="auto"/>
            <w:gridSpan w:val="3"/>
            <w:shd w:val="clear" w:color="auto" w:fill="auto"/>
            <w:vAlign w:val="bottom"/>
          </w:tcPr>
          <w:p w14:paraId="74DD6A3A" w14:textId="77777777" w:rsidR="00584EC1" w:rsidRDefault="00584EC1">
            <w:pPr>
              <w:rPr>
                <w:rFonts w:ascii="宋体"/>
                <w:vanish/>
              </w:rPr>
            </w:pPr>
          </w:p>
        </w:tc>
        <w:tc>
          <w:tcPr>
            <w:tcW w:w="0" w:type="auto"/>
            <w:gridSpan w:val="3"/>
            <w:shd w:val="clear" w:color="auto" w:fill="auto"/>
            <w:vAlign w:val="bottom"/>
          </w:tcPr>
          <w:p w14:paraId="74DD6A3B" w14:textId="77777777" w:rsidR="00584EC1" w:rsidRDefault="00584EC1">
            <w:pPr>
              <w:rPr>
                <w:rFonts w:ascii="宋体"/>
                <w:vanish/>
              </w:rPr>
            </w:pPr>
          </w:p>
        </w:tc>
        <w:tc>
          <w:tcPr>
            <w:tcW w:w="0" w:type="auto"/>
            <w:gridSpan w:val="2"/>
            <w:shd w:val="clear" w:color="auto" w:fill="auto"/>
            <w:vAlign w:val="bottom"/>
          </w:tcPr>
          <w:p w14:paraId="74DD6A3C" w14:textId="77777777" w:rsidR="00584EC1" w:rsidRDefault="00584EC1">
            <w:pPr>
              <w:rPr>
                <w:rFonts w:ascii="宋体"/>
                <w:vanish/>
              </w:rPr>
            </w:pPr>
          </w:p>
        </w:tc>
        <w:tc>
          <w:tcPr>
            <w:tcW w:w="0" w:type="auto"/>
            <w:shd w:val="clear" w:color="auto" w:fill="auto"/>
            <w:vAlign w:val="bottom"/>
          </w:tcPr>
          <w:p w14:paraId="74DD6A3D" w14:textId="77777777" w:rsidR="00584EC1" w:rsidRDefault="00584EC1">
            <w:pPr>
              <w:rPr>
                <w:rFonts w:ascii="宋体"/>
                <w:vanish/>
              </w:rPr>
            </w:pPr>
          </w:p>
        </w:tc>
      </w:tr>
      <w:tr w:rsidR="00584EC1" w14:paraId="74DD6A55" w14:textId="77777777">
        <w:trPr>
          <w:hidden/>
        </w:trPr>
        <w:tc>
          <w:tcPr>
            <w:tcW w:w="0" w:type="auto"/>
            <w:gridSpan w:val="3"/>
            <w:shd w:val="clear" w:color="auto" w:fill="auto"/>
            <w:vAlign w:val="bottom"/>
          </w:tcPr>
          <w:p w14:paraId="74DD6A3F" w14:textId="77777777" w:rsidR="00584EC1" w:rsidRDefault="00584EC1">
            <w:pPr>
              <w:rPr>
                <w:rFonts w:ascii="宋体"/>
                <w:vanish/>
              </w:rPr>
            </w:pPr>
          </w:p>
        </w:tc>
        <w:tc>
          <w:tcPr>
            <w:tcW w:w="0" w:type="auto"/>
            <w:gridSpan w:val="3"/>
            <w:shd w:val="clear" w:color="auto" w:fill="auto"/>
            <w:vAlign w:val="bottom"/>
          </w:tcPr>
          <w:p w14:paraId="74DD6A40" w14:textId="77777777" w:rsidR="00584EC1" w:rsidRDefault="00584EC1">
            <w:pPr>
              <w:rPr>
                <w:rFonts w:ascii="宋体"/>
                <w:vanish/>
              </w:rPr>
            </w:pPr>
          </w:p>
        </w:tc>
        <w:tc>
          <w:tcPr>
            <w:tcW w:w="0" w:type="auto"/>
            <w:gridSpan w:val="3"/>
            <w:shd w:val="clear" w:color="auto" w:fill="auto"/>
            <w:vAlign w:val="bottom"/>
          </w:tcPr>
          <w:p w14:paraId="74DD6A41" w14:textId="77777777" w:rsidR="00584EC1" w:rsidRDefault="00584EC1">
            <w:pPr>
              <w:rPr>
                <w:rFonts w:ascii="宋体"/>
                <w:vanish/>
              </w:rPr>
            </w:pPr>
          </w:p>
        </w:tc>
        <w:tc>
          <w:tcPr>
            <w:tcW w:w="0" w:type="auto"/>
            <w:gridSpan w:val="3"/>
            <w:shd w:val="clear" w:color="auto" w:fill="auto"/>
            <w:vAlign w:val="bottom"/>
          </w:tcPr>
          <w:p w14:paraId="74DD6A42" w14:textId="77777777" w:rsidR="00584EC1" w:rsidRDefault="00584EC1">
            <w:pPr>
              <w:rPr>
                <w:rFonts w:ascii="宋体"/>
                <w:vanish/>
              </w:rPr>
            </w:pPr>
          </w:p>
        </w:tc>
        <w:tc>
          <w:tcPr>
            <w:tcW w:w="0" w:type="auto"/>
            <w:gridSpan w:val="3"/>
            <w:shd w:val="clear" w:color="auto" w:fill="auto"/>
            <w:vAlign w:val="bottom"/>
          </w:tcPr>
          <w:p w14:paraId="74DD6A43" w14:textId="77777777" w:rsidR="00584EC1" w:rsidRDefault="00584EC1">
            <w:pPr>
              <w:rPr>
                <w:rFonts w:ascii="宋体"/>
                <w:vanish/>
              </w:rPr>
            </w:pPr>
          </w:p>
        </w:tc>
        <w:tc>
          <w:tcPr>
            <w:tcW w:w="0" w:type="auto"/>
            <w:gridSpan w:val="3"/>
            <w:shd w:val="clear" w:color="auto" w:fill="auto"/>
            <w:vAlign w:val="bottom"/>
          </w:tcPr>
          <w:p w14:paraId="74DD6A44" w14:textId="77777777" w:rsidR="00584EC1" w:rsidRDefault="00584EC1">
            <w:pPr>
              <w:rPr>
                <w:rFonts w:ascii="宋体"/>
                <w:vanish/>
              </w:rPr>
            </w:pPr>
          </w:p>
        </w:tc>
        <w:tc>
          <w:tcPr>
            <w:tcW w:w="0" w:type="auto"/>
            <w:gridSpan w:val="3"/>
            <w:shd w:val="clear" w:color="auto" w:fill="auto"/>
            <w:vAlign w:val="bottom"/>
          </w:tcPr>
          <w:p w14:paraId="74DD6A45" w14:textId="77777777" w:rsidR="00584EC1" w:rsidRDefault="00584EC1">
            <w:pPr>
              <w:rPr>
                <w:rFonts w:ascii="宋体"/>
                <w:vanish/>
              </w:rPr>
            </w:pPr>
          </w:p>
        </w:tc>
        <w:tc>
          <w:tcPr>
            <w:tcW w:w="0" w:type="auto"/>
            <w:gridSpan w:val="3"/>
            <w:shd w:val="clear" w:color="auto" w:fill="auto"/>
            <w:vAlign w:val="bottom"/>
          </w:tcPr>
          <w:p w14:paraId="74DD6A46" w14:textId="77777777" w:rsidR="00584EC1" w:rsidRDefault="00584EC1">
            <w:pPr>
              <w:rPr>
                <w:rFonts w:ascii="宋体"/>
                <w:vanish/>
              </w:rPr>
            </w:pPr>
          </w:p>
        </w:tc>
        <w:tc>
          <w:tcPr>
            <w:tcW w:w="0" w:type="auto"/>
            <w:gridSpan w:val="3"/>
            <w:shd w:val="clear" w:color="auto" w:fill="auto"/>
            <w:vAlign w:val="bottom"/>
          </w:tcPr>
          <w:p w14:paraId="74DD6A47" w14:textId="77777777" w:rsidR="00584EC1" w:rsidRDefault="00584EC1">
            <w:pPr>
              <w:rPr>
                <w:rFonts w:ascii="宋体"/>
                <w:vanish/>
              </w:rPr>
            </w:pPr>
          </w:p>
        </w:tc>
        <w:tc>
          <w:tcPr>
            <w:tcW w:w="0" w:type="auto"/>
            <w:gridSpan w:val="3"/>
            <w:shd w:val="clear" w:color="auto" w:fill="auto"/>
            <w:vAlign w:val="bottom"/>
          </w:tcPr>
          <w:p w14:paraId="74DD6A48" w14:textId="77777777" w:rsidR="00584EC1" w:rsidRDefault="00584EC1">
            <w:pPr>
              <w:rPr>
                <w:rFonts w:ascii="宋体"/>
                <w:vanish/>
              </w:rPr>
            </w:pPr>
          </w:p>
        </w:tc>
        <w:tc>
          <w:tcPr>
            <w:tcW w:w="0" w:type="auto"/>
            <w:gridSpan w:val="3"/>
            <w:shd w:val="clear" w:color="auto" w:fill="auto"/>
            <w:vAlign w:val="bottom"/>
          </w:tcPr>
          <w:p w14:paraId="74DD6A49" w14:textId="77777777" w:rsidR="00584EC1" w:rsidRDefault="00584EC1">
            <w:pPr>
              <w:rPr>
                <w:rFonts w:ascii="宋体"/>
                <w:vanish/>
              </w:rPr>
            </w:pPr>
          </w:p>
        </w:tc>
        <w:tc>
          <w:tcPr>
            <w:tcW w:w="0" w:type="auto"/>
            <w:gridSpan w:val="3"/>
            <w:shd w:val="clear" w:color="auto" w:fill="auto"/>
            <w:vAlign w:val="bottom"/>
          </w:tcPr>
          <w:p w14:paraId="74DD6A4A" w14:textId="77777777" w:rsidR="00584EC1" w:rsidRDefault="00584EC1">
            <w:pPr>
              <w:rPr>
                <w:rFonts w:ascii="宋体"/>
                <w:vanish/>
              </w:rPr>
            </w:pPr>
          </w:p>
        </w:tc>
        <w:tc>
          <w:tcPr>
            <w:tcW w:w="0" w:type="auto"/>
            <w:gridSpan w:val="3"/>
            <w:shd w:val="clear" w:color="auto" w:fill="auto"/>
            <w:vAlign w:val="bottom"/>
          </w:tcPr>
          <w:p w14:paraId="74DD6A4B" w14:textId="77777777" w:rsidR="00584EC1" w:rsidRDefault="00584EC1">
            <w:pPr>
              <w:rPr>
                <w:rFonts w:ascii="宋体"/>
                <w:vanish/>
              </w:rPr>
            </w:pPr>
          </w:p>
        </w:tc>
        <w:tc>
          <w:tcPr>
            <w:tcW w:w="0" w:type="auto"/>
            <w:gridSpan w:val="3"/>
            <w:shd w:val="clear" w:color="auto" w:fill="auto"/>
            <w:vAlign w:val="bottom"/>
          </w:tcPr>
          <w:p w14:paraId="74DD6A4C" w14:textId="77777777" w:rsidR="00584EC1" w:rsidRDefault="00584EC1">
            <w:pPr>
              <w:rPr>
                <w:rFonts w:ascii="宋体"/>
                <w:vanish/>
              </w:rPr>
            </w:pPr>
          </w:p>
        </w:tc>
        <w:tc>
          <w:tcPr>
            <w:tcW w:w="0" w:type="auto"/>
            <w:gridSpan w:val="3"/>
            <w:shd w:val="clear" w:color="auto" w:fill="auto"/>
            <w:vAlign w:val="bottom"/>
          </w:tcPr>
          <w:p w14:paraId="74DD6A4D" w14:textId="77777777" w:rsidR="00584EC1" w:rsidRDefault="00584EC1">
            <w:pPr>
              <w:rPr>
                <w:rFonts w:ascii="宋体"/>
                <w:vanish/>
              </w:rPr>
            </w:pPr>
          </w:p>
        </w:tc>
        <w:tc>
          <w:tcPr>
            <w:tcW w:w="0" w:type="auto"/>
            <w:gridSpan w:val="3"/>
            <w:shd w:val="clear" w:color="auto" w:fill="auto"/>
            <w:vAlign w:val="bottom"/>
          </w:tcPr>
          <w:p w14:paraId="74DD6A4E" w14:textId="77777777" w:rsidR="00584EC1" w:rsidRDefault="00584EC1">
            <w:pPr>
              <w:rPr>
                <w:rFonts w:ascii="宋体"/>
                <w:vanish/>
              </w:rPr>
            </w:pPr>
          </w:p>
        </w:tc>
        <w:tc>
          <w:tcPr>
            <w:tcW w:w="0" w:type="auto"/>
            <w:gridSpan w:val="3"/>
            <w:shd w:val="clear" w:color="auto" w:fill="auto"/>
            <w:vAlign w:val="bottom"/>
          </w:tcPr>
          <w:p w14:paraId="74DD6A4F" w14:textId="77777777" w:rsidR="00584EC1" w:rsidRDefault="00584EC1">
            <w:pPr>
              <w:rPr>
                <w:rFonts w:ascii="宋体"/>
                <w:vanish/>
              </w:rPr>
            </w:pPr>
          </w:p>
        </w:tc>
        <w:tc>
          <w:tcPr>
            <w:tcW w:w="0" w:type="auto"/>
            <w:gridSpan w:val="3"/>
            <w:shd w:val="clear" w:color="auto" w:fill="auto"/>
            <w:vAlign w:val="bottom"/>
          </w:tcPr>
          <w:p w14:paraId="74DD6A50" w14:textId="77777777" w:rsidR="00584EC1" w:rsidRDefault="00584EC1">
            <w:pPr>
              <w:rPr>
                <w:rFonts w:ascii="宋体"/>
                <w:vanish/>
              </w:rPr>
            </w:pPr>
          </w:p>
        </w:tc>
        <w:tc>
          <w:tcPr>
            <w:tcW w:w="0" w:type="auto"/>
            <w:gridSpan w:val="3"/>
            <w:shd w:val="clear" w:color="auto" w:fill="auto"/>
            <w:vAlign w:val="bottom"/>
          </w:tcPr>
          <w:p w14:paraId="74DD6A51" w14:textId="77777777" w:rsidR="00584EC1" w:rsidRDefault="00584EC1">
            <w:pPr>
              <w:rPr>
                <w:rFonts w:ascii="宋体"/>
                <w:vanish/>
              </w:rPr>
            </w:pPr>
          </w:p>
        </w:tc>
        <w:tc>
          <w:tcPr>
            <w:tcW w:w="0" w:type="auto"/>
            <w:gridSpan w:val="3"/>
            <w:shd w:val="clear" w:color="auto" w:fill="auto"/>
            <w:vAlign w:val="bottom"/>
          </w:tcPr>
          <w:p w14:paraId="74DD6A52" w14:textId="77777777" w:rsidR="00584EC1" w:rsidRDefault="00584EC1">
            <w:pPr>
              <w:rPr>
                <w:rFonts w:ascii="宋体"/>
                <w:vanish/>
              </w:rPr>
            </w:pPr>
          </w:p>
        </w:tc>
        <w:tc>
          <w:tcPr>
            <w:tcW w:w="0" w:type="auto"/>
            <w:gridSpan w:val="2"/>
            <w:shd w:val="clear" w:color="auto" w:fill="auto"/>
            <w:vAlign w:val="bottom"/>
          </w:tcPr>
          <w:p w14:paraId="74DD6A53" w14:textId="77777777" w:rsidR="00584EC1" w:rsidRDefault="00584EC1">
            <w:pPr>
              <w:rPr>
                <w:rFonts w:ascii="宋体"/>
                <w:vanish/>
              </w:rPr>
            </w:pPr>
          </w:p>
        </w:tc>
        <w:tc>
          <w:tcPr>
            <w:tcW w:w="0" w:type="auto"/>
            <w:shd w:val="clear" w:color="auto" w:fill="auto"/>
            <w:vAlign w:val="bottom"/>
          </w:tcPr>
          <w:p w14:paraId="74DD6A54" w14:textId="77777777" w:rsidR="00584EC1" w:rsidRDefault="00584EC1">
            <w:pPr>
              <w:rPr>
                <w:rFonts w:ascii="宋体"/>
                <w:vanish/>
              </w:rPr>
            </w:pPr>
          </w:p>
        </w:tc>
      </w:tr>
      <w:tr w:rsidR="00584EC1" w14:paraId="74DD6A62" w14:textId="77777777">
        <w:tc>
          <w:tcPr>
            <w:tcW w:w="0" w:type="auto"/>
            <w:gridSpan w:val="3"/>
            <w:shd w:val="clear" w:color="auto" w:fill="auto"/>
            <w:tcMar>
              <w:top w:w="0" w:type="dxa"/>
              <w:left w:w="20" w:type="dxa"/>
              <w:bottom w:w="0" w:type="dxa"/>
              <w:right w:w="20" w:type="dxa"/>
            </w:tcMar>
            <w:vAlign w:val="bottom"/>
          </w:tcPr>
          <w:p w14:paraId="74DD6A56" w14:textId="77777777" w:rsidR="00584EC1" w:rsidRDefault="00584EC1">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74DD6A57" w14:textId="77777777" w:rsidR="00584EC1" w:rsidRDefault="00871F8D">
            <w:pPr>
              <w:jc w:val="center"/>
              <w:textAlignment w:val="bottom"/>
            </w:pPr>
            <w:r>
              <w:rPr>
                <w:rFonts w:ascii="Arial" w:eastAsia="宋体" w:hAnsi="Arial" w:cs="Arial"/>
                <w:b/>
                <w:bCs/>
                <w:color w:val="000000"/>
                <w:sz w:val="14"/>
                <w:szCs w:val="14"/>
              </w:rPr>
              <w:t>Three Months Ended September 30,</w:t>
            </w:r>
          </w:p>
        </w:tc>
        <w:tc>
          <w:tcPr>
            <w:tcW w:w="0" w:type="auto"/>
            <w:gridSpan w:val="3"/>
            <w:shd w:val="clear" w:color="auto" w:fill="auto"/>
            <w:vAlign w:val="bottom"/>
          </w:tcPr>
          <w:p w14:paraId="74DD6A58" w14:textId="77777777" w:rsidR="00584EC1" w:rsidRDefault="00584EC1">
            <w:pPr>
              <w:rPr>
                <w:rFonts w:ascii="宋体"/>
                <w:vanish/>
              </w:rPr>
            </w:pPr>
          </w:p>
        </w:tc>
        <w:tc>
          <w:tcPr>
            <w:tcW w:w="0" w:type="auto"/>
            <w:gridSpan w:val="3"/>
            <w:shd w:val="clear" w:color="auto" w:fill="auto"/>
            <w:vAlign w:val="bottom"/>
          </w:tcPr>
          <w:p w14:paraId="74DD6A59" w14:textId="77777777" w:rsidR="00584EC1" w:rsidRDefault="00584EC1">
            <w:pPr>
              <w:rPr>
                <w:rFonts w:ascii="宋体"/>
                <w:vanish/>
              </w:rPr>
            </w:pPr>
          </w:p>
        </w:tc>
        <w:tc>
          <w:tcPr>
            <w:tcW w:w="0" w:type="auto"/>
            <w:gridSpan w:val="3"/>
            <w:shd w:val="clear" w:color="auto" w:fill="auto"/>
            <w:vAlign w:val="bottom"/>
          </w:tcPr>
          <w:p w14:paraId="74DD6A5A" w14:textId="77777777" w:rsidR="00584EC1" w:rsidRDefault="00584EC1">
            <w:pPr>
              <w:rPr>
                <w:rFonts w:ascii="宋体"/>
                <w:vanish/>
              </w:rPr>
            </w:pPr>
          </w:p>
        </w:tc>
        <w:tc>
          <w:tcPr>
            <w:tcW w:w="0" w:type="auto"/>
            <w:gridSpan w:val="3"/>
            <w:shd w:val="clear" w:color="auto" w:fill="auto"/>
            <w:vAlign w:val="bottom"/>
          </w:tcPr>
          <w:p w14:paraId="74DD6A5B" w14:textId="77777777" w:rsidR="00584EC1" w:rsidRDefault="00584EC1">
            <w:pPr>
              <w:rPr>
                <w:rFonts w:ascii="宋体"/>
                <w:vanish/>
              </w:rPr>
            </w:pPr>
          </w:p>
        </w:tc>
        <w:tc>
          <w:tcPr>
            <w:tcW w:w="0" w:type="auto"/>
            <w:gridSpan w:val="3"/>
            <w:shd w:val="clear" w:color="auto" w:fill="auto"/>
            <w:vAlign w:val="bottom"/>
          </w:tcPr>
          <w:p w14:paraId="74DD6A5C" w14:textId="77777777" w:rsidR="00584EC1" w:rsidRDefault="00584EC1">
            <w:pPr>
              <w:rPr>
                <w:rFonts w:ascii="宋体"/>
                <w:vanish/>
              </w:rPr>
            </w:pPr>
          </w:p>
        </w:tc>
        <w:tc>
          <w:tcPr>
            <w:tcW w:w="0" w:type="auto"/>
            <w:gridSpan w:val="3"/>
            <w:shd w:val="clear" w:color="auto" w:fill="auto"/>
            <w:vAlign w:val="bottom"/>
          </w:tcPr>
          <w:p w14:paraId="74DD6A5D" w14:textId="77777777" w:rsidR="00584EC1" w:rsidRDefault="00584EC1">
            <w:pPr>
              <w:rPr>
                <w:rFonts w:ascii="宋体"/>
                <w:vanish/>
              </w:rPr>
            </w:pPr>
          </w:p>
        </w:tc>
        <w:tc>
          <w:tcPr>
            <w:tcW w:w="0" w:type="auto"/>
            <w:gridSpan w:val="3"/>
            <w:shd w:val="clear" w:color="auto" w:fill="auto"/>
            <w:vAlign w:val="bottom"/>
          </w:tcPr>
          <w:p w14:paraId="74DD6A5E" w14:textId="77777777" w:rsidR="00584EC1" w:rsidRDefault="00584EC1">
            <w:pPr>
              <w:rPr>
                <w:rFonts w:ascii="宋体"/>
                <w:vanish/>
              </w:rPr>
            </w:pPr>
          </w:p>
        </w:tc>
        <w:tc>
          <w:tcPr>
            <w:tcW w:w="0" w:type="auto"/>
            <w:gridSpan w:val="3"/>
            <w:shd w:val="clear" w:color="auto" w:fill="auto"/>
            <w:vAlign w:val="bottom"/>
          </w:tcPr>
          <w:p w14:paraId="74DD6A5F" w14:textId="77777777" w:rsidR="00584EC1" w:rsidRDefault="00584EC1">
            <w:pPr>
              <w:rPr>
                <w:rFonts w:ascii="宋体"/>
                <w:vanish/>
              </w:rPr>
            </w:pPr>
          </w:p>
        </w:tc>
        <w:tc>
          <w:tcPr>
            <w:tcW w:w="0" w:type="auto"/>
            <w:gridSpan w:val="2"/>
            <w:shd w:val="clear" w:color="auto" w:fill="auto"/>
            <w:vAlign w:val="bottom"/>
          </w:tcPr>
          <w:p w14:paraId="74DD6A60" w14:textId="77777777" w:rsidR="00584EC1" w:rsidRDefault="00584EC1">
            <w:pPr>
              <w:rPr>
                <w:rFonts w:ascii="宋体"/>
                <w:vanish/>
              </w:rPr>
            </w:pPr>
          </w:p>
        </w:tc>
        <w:tc>
          <w:tcPr>
            <w:tcW w:w="0" w:type="auto"/>
            <w:shd w:val="clear" w:color="auto" w:fill="auto"/>
            <w:vAlign w:val="bottom"/>
          </w:tcPr>
          <w:p w14:paraId="74DD6A61" w14:textId="77777777" w:rsidR="00584EC1" w:rsidRDefault="00584EC1">
            <w:pPr>
              <w:rPr>
                <w:rFonts w:ascii="宋体"/>
                <w:vanish/>
              </w:rPr>
            </w:pPr>
          </w:p>
        </w:tc>
      </w:tr>
      <w:tr w:rsidR="00584EC1" w14:paraId="74DD6A71" w14:textId="77777777">
        <w:tc>
          <w:tcPr>
            <w:tcW w:w="0" w:type="auto"/>
            <w:gridSpan w:val="3"/>
            <w:shd w:val="clear" w:color="auto" w:fill="auto"/>
            <w:tcMar>
              <w:top w:w="0" w:type="dxa"/>
              <w:left w:w="20" w:type="dxa"/>
              <w:bottom w:w="0" w:type="dxa"/>
              <w:right w:w="20" w:type="dxa"/>
            </w:tcMar>
            <w:vAlign w:val="bottom"/>
          </w:tcPr>
          <w:p w14:paraId="74DD6A63" w14:textId="77777777" w:rsidR="00584EC1" w:rsidRDefault="00584EC1">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4DD6A64" w14:textId="77777777" w:rsidR="00584EC1" w:rsidRDefault="00871F8D">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6A65" w14:textId="77777777" w:rsidR="00584EC1" w:rsidRDefault="00584EC1">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4DD6A66" w14:textId="77777777" w:rsidR="00584EC1" w:rsidRDefault="00871F8D">
            <w:pPr>
              <w:jc w:val="center"/>
              <w:textAlignment w:val="bottom"/>
            </w:pPr>
            <w:r>
              <w:rPr>
                <w:rFonts w:ascii="Arial" w:eastAsia="宋体" w:hAnsi="Arial" w:cs="Arial"/>
                <w:b/>
                <w:bCs/>
                <w:color w:val="000000"/>
                <w:sz w:val="14"/>
                <w:szCs w:val="14"/>
              </w:rPr>
              <w:t>2020</w:t>
            </w:r>
          </w:p>
        </w:tc>
        <w:tc>
          <w:tcPr>
            <w:tcW w:w="0" w:type="auto"/>
            <w:gridSpan w:val="3"/>
            <w:shd w:val="clear" w:color="auto" w:fill="auto"/>
            <w:vAlign w:val="bottom"/>
          </w:tcPr>
          <w:p w14:paraId="74DD6A67" w14:textId="77777777" w:rsidR="00584EC1" w:rsidRDefault="00584EC1">
            <w:pPr>
              <w:rPr>
                <w:rFonts w:ascii="宋体"/>
                <w:vanish/>
              </w:rPr>
            </w:pPr>
          </w:p>
        </w:tc>
        <w:tc>
          <w:tcPr>
            <w:tcW w:w="0" w:type="auto"/>
            <w:gridSpan w:val="3"/>
            <w:shd w:val="clear" w:color="auto" w:fill="auto"/>
            <w:vAlign w:val="bottom"/>
          </w:tcPr>
          <w:p w14:paraId="74DD6A68" w14:textId="77777777" w:rsidR="00584EC1" w:rsidRDefault="00584EC1">
            <w:pPr>
              <w:rPr>
                <w:rFonts w:ascii="宋体"/>
                <w:vanish/>
              </w:rPr>
            </w:pPr>
          </w:p>
        </w:tc>
        <w:tc>
          <w:tcPr>
            <w:tcW w:w="0" w:type="auto"/>
            <w:gridSpan w:val="3"/>
            <w:shd w:val="clear" w:color="auto" w:fill="auto"/>
            <w:vAlign w:val="bottom"/>
          </w:tcPr>
          <w:p w14:paraId="74DD6A69" w14:textId="77777777" w:rsidR="00584EC1" w:rsidRDefault="00584EC1">
            <w:pPr>
              <w:rPr>
                <w:rFonts w:ascii="宋体"/>
                <w:vanish/>
              </w:rPr>
            </w:pPr>
          </w:p>
        </w:tc>
        <w:tc>
          <w:tcPr>
            <w:tcW w:w="0" w:type="auto"/>
            <w:gridSpan w:val="3"/>
            <w:shd w:val="clear" w:color="auto" w:fill="auto"/>
            <w:vAlign w:val="bottom"/>
          </w:tcPr>
          <w:p w14:paraId="74DD6A6A" w14:textId="77777777" w:rsidR="00584EC1" w:rsidRDefault="00584EC1">
            <w:pPr>
              <w:rPr>
                <w:rFonts w:ascii="宋体"/>
                <w:vanish/>
              </w:rPr>
            </w:pPr>
          </w:p>
        </w:tc>
        <w:tc>
          <w:tcPr>
            <w:tcW w:w="0" w:type="auto"/>
            <w:gridSpan w:val="3"/>
            <w:shd w:val="clear" w:color="auto" w:fill="auto"/>
            <w:vAlign w:val="bottom"/>
          </w:tcPr>
          <w:p w14:paraId="74DD6A6B" w14:textId="77777777" w:rsidR="00584EC1" w:rsidRDefault="00584EC1">
            <w:pPr>
              <w:rPr>
                <w:rFonts w:ascii="宋体"/>
                <w:vanish/>
              </w:rPr>
            </w:pPr>
          </w:p>
        </w:tc>
        <w:tc>
          <w:tcPr>
            <w:tcW w:w="0" w:type="auto"/>
            <w:gridSpan w:val="3"/>
            <w:shd w:val="clear" w:color="auto" w:fill="auto"/>
            <w:vAlign w:val="bottom"/>
          </w:tcPr>
          <w:p w14:paraId="74DD6A6C" w14:textId="77777777" w:rsidR="00584EC1" w:rsidRDefault="00584EC1">
            <w:pPr>
              <w:rPr>
                <w:rFonts w:ascii="宋体"/>
                <w:vanish/>
              </w:rPr>
            </w:pPr>
          </w:p>
        </w:tc>
        <w:tc>
          <w:tcPr>
            <w:tcW w:w="0" w:type="auto"/>
            <w:gridSpan w:val="3"/>
            <w:shd w:val="clear" w:color="auto" w:fill="auto"/>
            <w:vAlign w:val="bottom"/>
          </w:tcPr>
          <w:p w14:paraId="74DD6A6D" w14:textId="77777777" w:rsidR="00584EC1" w:rsidRDefault="00584EC1">
            <w:pPr>
              <w:rPr>
                <w:rFonts w:ascii="宋体"/>
                <w:vanish/>
              </w:rPr>
            </w:pPr>
          </w:p>
        </w:tc>
        <w:tc>
          <w:tcPr>
            <w:tcW w:w="0" w:type="auto"/>
            <w:gridSpan w:val="3"/>
            <w:shd w:val="clear" w:color="auto" w:fill="auto"/>
            <w:vAlign w:val="bottom"/>
          </w:tcPr>
          <w:p w14:paraId="74DD6A6E" w14:textId="77777777" w:rsidR="00584EC1" w:rsidRDefault="00584EC1">
            <w:pPr>
              <w:rPr>
                <w:rFonts w:ascii="宋体"/>
                <w:vanish/>
              </w:rPr>
            </w:pPr>
          </w:p>
        </w:tc>
        <w:tc>
          <w:tcPr>
            <w:tcW w:w="0" w:type="auto"/>
            <w:gridSpan w:val="2"/>
            <w:shd w:val="clear" w:color="auto" w:fill="auto"/>
            <w:vAlign w:val="bottom"/>
          </w:tcPr>
          <w:p w14:paraId="74DD6A6F" w14:textId="77777777" w:rsidR="00584EC1" w:rsidRDefault="00584EC1">
            <w:pPr>
              <w:rPr>
                <w:rFonts w:ascii="宋体"/>
                <w:vanish/>
              </w:rPr>
            </w:pPr>
          </w:p>
        </w:tc>
        <w:tc>
          <w:tcPr>
            <w:tcW w:w="0" w:type="auto"/>
            <w:shd w:val="clear" w:color="auto" w:fill="auto"/>
            <w:vAlign w:val="bottom"/>
          </w:tcPr>
          <w:p w14:paraId="74DD6A70" w14:textId="77777777" w:rsidR="00584EC1" w:rsidRDefault="00584EC1">
            <w:pPr>
              <w:rPr>
                <w:rFonts w:ascii="宋体"/>
                <w:vanish/>
              </w:rPr>
            </w:pPr>
          </w:p>
        </w:tc>
      </w:tr>
      <w:tr w:rsidR="00584EC1" w14:paraId="74DD6A88" w14:textId="77777777">
        <w:tc>
          <w:tcPr>
            <w:tcW w:w="0" w:type="auto"/>
            <w:gridSpan w:val="3"/>
            <w:shd w:val="clear" w:color="auto" w:fill="auto"/>
            <w:tcMar>
              <w:top w:w="40" w:type="dxa"/>
              <w:left w:w="20" w:type="dxa"/>
              <w:bottom w:w="40" w:type="dxa"/>
              <w:right w:w="20" w:type="dxa"/>
            </w:tcMar>
            <w:vAlign w:val="bottom"/>
          </w:tcPr>
          <w:p w14:paraId="74DD6A72" w14:textId="77777777" w:rsidR="00584EC1" w:rsidRDefault="00871F8D">
            <w:pPr>
              <w:textAlignment w:val="bottom"/>
            </w:pPr>
            <w:r>
              <w:rPr>
                <w:rFonts w:ascii="Arial" w:eastAsia="宋体" w:hAnsi="Arial" w:cs="Arial"/>
                <w:b/>
                <w:bCs/>
                <w:color w:val="000000"/>
                <w:sz w:val="14"/>
                <w:szCs w:val="14"/>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6A73" w14:textId="77777777" w:rsidR="00584EC1" w:rsidRDefault="00871F8D">
            <w:pPr>
              <w:jc w:val="center"/>
              <w:textAlignment w:val="bottom"/>
            </w:pPr>
            <w:r>
              <w:rPr>
                <w:rFonts w:ascii="Arial" w:eastAsia="宋体" w:hAnsi="Arial" w:cs="Arial"/>
                <w:b/>
                <w:bCs/>
                <w:color w:val="000000"/>
                <w:sz w:val="14"/>
                <w:szCs w:val="14"/>
              </w:rPr>
              <w:t>MBS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6A74"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6A75" w14:textId="77777777" w:rsidR="00584EC1" w:rsidRDefault="00871F8D">
            <w:pPr>
              <w:jc w:val="center"/>
              <w:textAlignment w:val="bottom"/>
            </w:pPr>
            <w:r>
              <w:rPr>
                <w:rFonts w:ascii="Arial" w:eastAsia="宋体" w:hAnsi="Arial" w:cs="Arial"/>
                <w:b/>
                <w:bCs/>
                <w:color w:val="000000"/>
                <w:sz w:val="14"/>
                <w:szCs w:val="14"/>
              </w:rPr>
              <w:t>Non -MBS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6A76"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6A77" w14:textId="77777777" w:rsidR="00584EC1" w:rsidRDefault="00871F8D">
            <w:pPr>
              <w:jc w:val="center"/>
              <w:textAlignment w:val="bottom"/>
            </w:pPr>
            <w:r>
              <w:rPr>
                <w:rFonts w:ascii="Arial" w:eastAsia="宋体" w:hAnsi="Arial" w:cs="Arial"/>
                <w:b/>
                <w:bCs/>
                <w:color w:val="000000"/>
                <w:sz w:val="14"/>
                <w:szCs w:val="14"/>
              </w:rPr>
              <w:t>Total</w:t>
            </w:r>
            <w:r>
              <w:rPr>
                <w:rFonts w:ascii="Arial" w:eastAsia="宋体" w:hAnsi="Arial" w:cs="Arial"/>
                <w:b/>
                <w:bCs/>
                <w:color w:val="000000"/>
                <w:sz w:val="9"/>
                <w:szCs w:val="9"/>
              </w:rPr>
              <w:t>(1)</w:t>
            </w:r>
          </w:p>
        </w:tc>
        <w:tc>
          <w:tcPr>
            <w:tcW w:w="0" w:type="auto"/>
            <w:gridSpan w:val="3"/>
            <w:shd w:val="clear" w:color="auto" w:fill="auto"/>
            <w:tcMar>
              <w:top w:w="0" w:type="dxa"/>
              <w:left w:w="20" w:type="dxa"/>
              <w:bottom w:w="0" w:type="dxa"/>
              <w:right w:w="20" w:type="dxa"/>
            </w:tcMar>
            <w:vAlign w:val="bottom"/>
          </w:tcPr>
          <w:p w14:paraId="74DD6A78"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6A79" w14:textId="77777777" w:rsidR="00584EC1" w:rsidRDefault="00871F8D">
            <w:pPr>
              <w:jc w:val="center"/>
              <w:textAlignment w:val="bottom"/>
            </w:pPr>
            <w:r>
              <w:rPr>
                <w:rFonts w:ascii="Arial" w:eastAsia="宋体" w:hAnsi="Arial" w:cs="Arial"/>
                <w:b/>
                <w:bCs/>
                <w:color w:val="000000"/>
                <w:sz w:val="14"/>
                <w:szCs w:val="14"/>
              </w:rPr>
              <w:t>MBS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6A7A"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6A7B" w14:textId="77777777" w:rsidR="00584EC1" w:rsidRDefault="00871F8D">
            <w:pPr>
              <w:jc w:val="center"/>
              <w:textAlignment w:val="bottom"/>
            </w:pPr>
            <w:r>
              <w:rPr>
                <w:rFonts w:ascii="Arial" w:eastAsia="宋体" w:hAnsi="Arial" w:cs="Arial"/>
                <w:b/>
                <w:bCs/>
                <w:color w:val="000000"/>
                <w:sz w:val="14"/>
                <w:szCs w:val="14"/>
              </w:rPr>
              <w:t>Non- MBS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6A7C"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6A7D" w14:textId="77777777" w:rsidR="00584EC1" w:rsidRDefault="00871F8D">
            <w:pPr>
              <w:jc w:val="center"/>
              <w:textAlignment w:val="bottom"/>
            </w:pPr>
            <w:r>
              <w:rPr>
                <w:rFonts w:ascii="Arial" w:eastAsia="宋体" w:hAnsi="Arial" w:cs="Arial"/>
                <w:b/>
                <w:bCs/>
                <w:color w:val="000000"/>
                <w:sz w:val="14"/>
                <w:szCs w:val="14"/>
              </w:rPr>
              <w:t>Total</w:t>
            </w:r>
          </w:p>
        </w:tc>
        <w:tc>
          <w:tcPr>
            <w:tcW w:w="0" w:type="auto"/>
            <w:gridSpan w:val="3"/>
            <w:shd w:val="clear" w:color="auto" w:fill="auto"/>
            <w:vAlign w:val="bottom"/>
          </w:tcPr>
          <w:p w14:paraId="74DD6A7E" w14:textId="77777777" w:rsidR="00584EC1" w:rsidRDefault="00584EC1">
            <w:pPr>
              <w:rPr>
                <w:rFonts w:ascii="宋体"/>
                <w:vanish/>
              </w:rPr>
            </w:pPr>
          </w:p>
        </w:tc>
        <w:tc>
          <w:tcPr>
            <w:tcW w:w="0" w:type="auto"/>
            <w:gridSpan w:val="3"/>
            <w:shd w:val="clear" w:color="auto" w:fill="auto"/>
            <w:vAlign w:val="bottom"/>
          </w:tcPr>
          <w:p w14:paraId="74DD6A7F" w14:textId="77777777" w:rsidR="00584EC1" w:rsidRDefault="00584EC1">
            <w:pPr>
              <w:rPr>
                <w:rFonts w:ascii="宋体"/>
                <w:vanish/>
              </w:rPr>
            </w:pPr>
          </w:p>
        </w:tc>
        <w:tc>
          <w:tcPr>
            <w:tcW w:w="0" w:type="auto"/>
            <w:gridSpan w:val="3"/>
            <w:shd w:val="clear" w:color="auto" w:fill="auto"/>
            <w:vAlign w:val="bottom"/>
          </w:tcPr>
          <w:p w14:paraId="74DD6A80" w14:textId="77777777" w:rsidR="00584EC1" w:rsidRDefault="00584EC1">
            <w:pPr>
              <w:rPr>
                <w:rFonts w:ascii="宋体"/>
                <w:vanish/>
              </w:rPr>
            </w:pPr>
          </w:p>
        </w:tc>
        <w:tc>
          <w:tcPr>
            <w:tcW w:w="0" w:type="auto"/>
            <w:gridSpan w:val="3"/>
            <w:shd w:val="clear" w:color="auto" w:fill="auto"/>
            <w:vAlign w:val="bottom"/>
          </w:tcPr>
          <w:p w14:paraId="74DD6A81" w14:textId="77777777" w:rsidR="00584EC1" w:rsidRDefault="00584EC1">
            <w:pPr>
              <w:rPr>
                <w:rFonts w:ascii="宋体"/>
                <w:vanish/>
              </w:rPr>
            </w:pPr>
          </w:p>
        </w:tc>
        <w:tc>
          <w:tcPr>
            <w:tcW w:w="0" w:type="auto"/>
            <w:gridSpan w:val="3"/>
            <w:shd w:val="clear" w:color="auto" w:fill="auto"/>
            <w:vAlign w:val="bottom"/>
          </w:tcPr>
          <w:p w14:paraId="74DD6A82" w14:textId="77777777" w:rsidR="00584EC1" w:rsidRDefault="00584EC1">
            <w:pPr>
              <w:rPr>
                <w:rFonts w:ascii="宋体"/>
                <w:vanish/>
              </w:rPr>
            </w:pPr>
          </w:p>
        </w:tc>
        <w:tc>
          <w:tcPr>
            <w:tcW w:w="0" w:type="auto"/>
            <w:gridSpan w:val="3"/>
            <w:shd w:val="clear" w:color="auto" w:fill="auto"/>
            <w:vAlign w:val="bottom"/>
          </w:tcPr>
          <w:p w14:paraId="74DD6A83" w14:textId="77777777" w:rsidR="00584EC1" w:rsidRDefault="00584EC1">
            <w:pPr>
              <w:rPr>
                <w:rFonts w:ascii="宋体"/>
                <w:vanish/>
              </w:rPr>
            </w:pPr>
          </w:p>
        </w:tc>
        <w:tc>
          <w:tcPr>
            <w:tcW w:w="0" w:type="auto"/>
            <w:gridSpan w:val="3"/>
            <w:shd w:val="clear" w:color="auto" w:fill="auto"/>
            <w:vAlign w:val="bottom"/>
          </w:tcPr>
          <w:p w14:paraId="74DD6A84" w14:textId="77777777" w:rsidR="00584EC1" w:rsidRDefault="00584EC1">
            <w:pPr>
              <w:rPr>
                <w:rFonts w:ascii="宋体"/>
                <w:vanish/>
              </w:rPr>
            </w:pPr>
          </w:p>
        </w:tc>
        <w:tc>
          <w:tcPr>
            <w:tcW w:w="0" w:type="auto"/>
            <w:gridSpan w:val="3"/>
            <w:shd w:val="clear" w:color="auto" w:fill="auto"/>
            <w:vAlign w:val="bottom"/>
          </w:tcPr>
          <w:p w14:paraId="74DD6A85" w14:textId="77777777" w:rsidR="00584EC1" w:rsidRDefault="00584EC1">
            <w:pPr>
              <w:rPr>
                <w:rFonts w:ascii="宋体"/>
                <w:vanish/>
              </w:rPr>
            </w:pPr>
          </w:p>
        </w:tc>
        <w:tc>
          <w:tcPr>
            <w:tcW w:w="0" w:type="auto"/>
            <w:gridSpan w:val="2"/>
            <w:shd w:val="clear" w:color="auto" w:fill="auto"/>
            <w:vAlign w:val="bottom"/>
          </w:tcPr>
          <w:p w14:paraId="74DD6A86" w14:textId="77777777" w:rsidR="00584EC1" w:rsidRDefault="00584EC1">
            <w:pPr>
              <w:rPr>
                <w:rFonts w:ascii="宋体"/>
                <w:vanish/>
              </w:rPr>
            </w:pPr>
          </w:p>
        </w:tc>
        <w:tc>
          <w:tcPr>
            <w:tcW w:w="0" w:type="auto"/>
            <w:shd w:val="clear" w:color="auto" w:fill="auto"/>
            <w:vAlign w:val="bottom"/>
          </w:tcPr>
          <w:p w14:paraId="74DD6A87" w14:textId="77777777" w:rsidR="00584EC1" w:rsidRDefault="00584EC1">
            <w:pPr>
              <w:rPr>
                <w:rFonts w:ascii="宋体"/>
                <w:vanish/>
              </w:rPr>
            </w:pPr>
          </w:p>
        </w:tc>
      </w:tr>
      <w:tr w:rsidR="00584EC1" w14:paraId="74DD6AAB" w14:textId="77777777">
        <w:tc>
          <w:tcPr>
            <w:tcW w:w="0" w:type="auto"/>
            <w:gridSpan w:val="3"/>
            <w:shd w:val="clear" w:color="auto" w:fill="CCEEFF"/>
            <w:tcMar>
              <w:top w:w="40" w:type="dxa"/>
              <w:left w:w="20" w:type="dxa"/>
              <w:bottom w:w="40" w:type="dxa"/>
              <w:right w:w="20" w:type="dxa"/>
            </w:tcMar>
            <w:vAlign w:val="bottom"/>
          </w:tcPr>
          <w:p w14:paraId="74DD6A89" w14:textId="77777777" w:rsidR="00584EC1" w:rsidRDefault="00871F8D">
            <w:pPr>
              <w:textAlignment w:val="bottom"/>
            </w:pPr>
            <w:r>
              <w:rPr>
                <w:rFonts w:ascii="Arial" w:eastAsia="宋体" w:hAnsi="Arial" w:cs="Arial"/>
                <w:color w:val="000000"/>
                <w:sz w:val="14"/>
                <w:szCs w:val="14"/>
              </w:rPr>
              <w:t>Unamortized premiums, net of discounts at period end</w:t>
            </w:r>
          </w:p>
        </w:tc>
        <w:tc>
          <w:tcPr>
            <w:tcW w:w="0" w:type="auto"/>
            <w:tcBorders>
              <w:top w:val="single" w:sz="8" w:space="0" w:color="000000"/>
            </w:tcBorders>
            <w:shd w:val="clear" w:color="auto" w:fill="CCEEFF"/>
            <w:tcMar>
              <w:top w:w="40" w:type="dxa"/>
              <w:left w:w="20" w:type="dxa"/>
              <w:bottom w:w="40" w:type="dxa"/>
              <w:right w:w="0" w:type="dxa"/>
            </w:tcMar>
            <w:vAlign w:val="bottom"/>
          </w:tcPr>
          <w:p w14:paraId="74DD6A8A"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6A8B" w14:textId="77777777" w:rsidR="00584EC1" w:rsidRDefault="00871F8D">
            <w:pPr>
              <w:jc w:val="right"/>
              <w:textAlignment w:val="bottom"/>
            </w:pPr>
            <w:r>
              <w:rPr>
                <w:rFonts w:ascii="Arial" w:eastAsia="宋体" w:hAnsi="Arial" w:cs="Arial"/>
                <w:b/>
                <w:bCs/>
                <w:color w:val="000000"/>
                <w:sz w:val="14"/>
                <w:szCs w:val="14"/>
              </w:rPr>
              <w:t>768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6A8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A8D"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6A8E"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6A8F" w14:textId="77777777" w:rsidR="00584EC1" w:rsidRDefault="00871F8D">
            <w:pPr>
              <w:jc w:val="right"/>
              <w:textAlignment w:val="bottom"/>
            </w:pPr>
            <w:r>
              <w:rPr>
                <w:rFonts w:ascii="Arial" w:eastAsia="宋体" w:hAnsi="Arial" w:cs="Arial"/>
                <w:b/>
                <w:bCs/>
                <w:color w:val="000000"/>
                <w:sz w:val="14"/>
                <w:szCs w:val="14"/>
              </w:rPr>
              <w:t>497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6A9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A91"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6A92"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6A93" w14:textId="77777777" w:rsidR="00584EC1" w:rsidRDefault="00871F8D">
            <w:pPr>
              <w:jc w:val="right"/>
              <w:textAlignment w:val="bottom"/>
            </w:pPr>
            <w:r>
              <w:rPr>
                <w:rFonts w:ascii="Arial" w:eastAsia="宋体" w:hAnsi="Arial" w:cs="Arial"/>
                <w:b/>
                <w:bCs/>
                <w:color w:val="000000"/>
                <w:sz w:val="14"/>
                <w:szCs w:val="14"/>
              </w:rPr>
              <w:t>1,265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6A9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A95"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6A96"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6A97" w14:textId="77777777" w:rsidR="00584EC1" w:rsidRDefault="00871F8D">
            <w:pPr>
              <w:jc w:val="right"/>
              <w:textAlignment w:val="bottom"/>
            </w:pPr>
            <w:r>
              <w:rPr>
                <w:rFonts w:ascii="Arial" w:eastAsia="宋体" w:hAnsi="Arial" w:cs="Arial"/>
                <w:color w:val="000000"/>
                <w:sz w:val="14"/>
                <w:szCs w:val="14"/>
              </w:rPr>
              <w:t>1,281 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6A9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A99"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6A9A"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6A9B" w14:textId="77777777" w:rsidR="00584EC1" w:rsidRDefault="00871F8D">
            <w:pPr>
              <w:jc w:val="right"/>
              <w:textAlignment w:val="bottom"/>
            </w:pPr>
            <w:r>
              <w:rPr>
                <w:rFonts w:ascii="Arial" w:eastAsia="宋体" w:hAnsi="Arial" w:cs="Arial"/>
                <w:color w:val="000000"/>
                <w:sz w:val="14"/>
                <w:szCs w:val="14"/>
              </w:rPr>
              <w:t>735 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6A9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A9D"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6A9E"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6A9F" w14:textId="77777777" w:rsidR="00584EC1" w:rsidRDefault="00871F8D">
            <w:pPr>
              <w:jc w:val="right"/>
              <w:textAlignment w:val="bottom"/>
            </w:pPr>
            <w:r>
              <w:rPr>
                <w:rFonts w:ascii="Arial" w:eastAsia="宋体" w:hAnsi="Arial" w:cs="Arial"/>
                <w:color w:val="000000"/>
                <w:sz w:val="14"/>
                <w:szCs w:val="14"/>
              </w:rPr>
              <w:t>2,016 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6AA0" w14:textId="77777777" w:rsidR="00584EC1" w:rsidRDefault="00584EC1">
            <w:pPr>
              <w:jc w:val="right"/>
              <w:rPr>
                <w:rFonts w:ascii="宋体"/>
              </w:rPr>
            </w:pPr>
          </w:p>
        </w:tc>
        <w:tc>
          <w:tcPr>
            <w:tcW w:w="0" w:type="auto"/>
            <w:gridSpan w:val="3"/>
            <w:shd w:val="clear" w:color="auto" w:fill="auto"/>
            <w:vAlign w:val="bottom"/>
          </w:tcPr>
          <w:p w14:paraId="74DD6AA1" w14:textId="77777777" w:rsidR="00584EC1" w:rsidRDefault="00584EC1">
            <w:pPr>
              <w:rPr>
                <w:rFonts w:ascii="宋体"/>
                <w:vanish/>
              </w:rPr>
            </w:pPr>
          </w:p>
        </w:tc>
        <w:tc>
          <w:tcPr>
            <w:tcW w:w="0" w:type="auto"/>
            <w:gridSpan w:val="3"/>
            <w:shd w:val="clear" w:color="auto" w:fill="auto"/>
            <w:vAlign w:val="bottom"/>
          </w:tcPr>
          <w:p w14:paraId="74DD6AA2" w14:textId="77777777" w:rsidR="00584EC1" w:rsidRDefault="00584EC1">
            <w:pPr>
              <w:rPr>
                <w:rFonts w:ascii="宋体"/>
                <w:vanish/>
              </w:rPr>
            </w:pPr>
          </w:p>
        </w:tc>
        <w:tc>
          <w:tcPr>
            <w:tcW w:w="0" w:type="auto"/>
            <w:gridSpan w:val="3"/>
            <w:shd w:val="clear" w:color="auto" w:fill="auto"/>
            <w:vAlign w:val="bottom"/>
          </w:tcPr>
          <w:p w14:paraId="74DD6AA3" w14:textId="77777777" w:rsidR="00584EC1" w:rsidRDefault="00584EC1">
            <w:pPr>
              <w:rPr>
                <w:rFonts w:ascii="宋体"/>
                <w:vanish/>
              </w:rPr>
            </w:pPr>
          </w:p>
        </w:tc>
        <w:tc>
          <w:tcPr>
            <w:tcW w:w="0" w:type="auto"/>
            <w:gridSpan w:val="3"/>
            <w:shd w:val="clear" w:color="auto" w:fill="auto"/>
            <w:vAlign w:val="bottom"/>
          </w:tcPr>
          <w:p w14:paraId="74DD6AA4" w14:textId="77777777" w:rsidR="00584EC1" w:rsidRDefault="00584EC1">
            <w:pPr>
              <w:rPr>
                <w:rFonts w:ascii="宋体"/>
                <w:vanish/>
              </w:rPr>
            </w:pPr>
          </w:p>
        </w:tc>
        <w:tc>
          <w:tcPr>
            <w:tcW w:w="0" w:type="auto"/>
            <w:gridSpan w:val="3"/>
            <w:shd w:val="clear" w:color="auto" w:fill="auto"/>
            <w:vAlign w:val="bottom"/>
          </w:tcPr>
          <w:p w14:paraId="74DD6AA5" w14:textId="77777777" w:rsidR="00584EC1" w:rsidRDefault="00584EC1">
            <w:pPr>
              <w:rPr>
                <w:rFonts w:ascii="宋体"/>
                <w:vanish/>
              </w:rPr>
            </w:pPr>
          </w:p>
        </w:tc>
        <w:tc>
          <w:tcPr>
            <w:tcW w:w="0" w:type="auto"/>
            <w:gridSpan w:val="3"/>
            <w:shd w:val="clear" w:color="auto" w:fill="auto"/>
            <w:vAlign w:val="bottom"/>
          </w:tcPr>
          <w:p w14:paraId="74DD6AA6" w14:textId="77777777" w:rsidR="00584EC1" w:rsidRDefault="00584EC1">
            <w:pPr>
              <w:rPr>
                <w:rFonts w:ascii="宋体"/>
                <w:vanish/>
              </w:rPr>
            </w:pPr>
          </w:p>
        </w:tc>
        <w:tc>
          <w:tcPr>
            <w:tcW w:w="0" w:type="auto"/>
            <w:gridSpan w:val="3"/>
            <w:shd w:val="clear" w:color="auto" w:fill="auto"/>
            <w:vAlign w:val="bottom"/>
          </w:tcPr>
          <w:p w14:paraId="74DD6AA7" w14:textId="77777777" w:rsidR="00584EC1" w:rsidRDefault="00584EC1">
            <w:pPr>
              <w:rPr>
                <w:rFonts w:ascii="宋体"/>
                <w:vanish/>
              </w:rPr>
            </w:pPr>
          </w:p>
        </w:tc>
        <w:tc>
          <w:tcPr>
            <w:tcW w:w="0" w:type="auto"/>
            <w:gridSpan w:val="3"/>
            <w:shd w:val="clear" w:color="auto" w:fill="auto"/>
            <w:vAlign w:val="bottom"/>
          </w:tcPr>
          <w:p w14:paraId="74DD6AA8" w14:textId="77777777" w:rsidR="00584EC1" w:rsidRDefault="00584EC1">
            <w:pPr>
              <w:rPr>
                <w:rFonts w:ascii="宋体"/>
                <w:vanish/>
              </w:rPr>
            </w:pPr>
          </w:p>
        </w:tc>
        <w:tc>
          <w:tcPr>
            <w:tcW w:w="0" w:type="auto"/>
            <w:gridSpan w:val="2"/>
            <w:shd w:val="clear" w:color="auto" w:fill="auto"/>
            <w:vAlign w:val="bottom"/>
          </w:tcPr>
          <w:p w14:paraId="74DD6AA9" w14:textId="77777777" w:rsidR="00584EC1" w:rsidRDefault="00584EC1">
            <w:pPr>
              <w:rPr>
                <w:rFonts w:ascii="宋体"/>
                <w:vanish/>
              </w:rPr>
            </w:pPr>
          </w:p>
        </w:tc>
        <w:tc>
          <w:tcPr>
            <w:tcW w:w="0" w:type="auto"/>
            <w:shd w:val="clear" w:color="auto" w:fill="auto"/>
            <w:vAlign w:val="bottom"/>
          </w:tcPr>
          <w:p w14:paraId="74DD6AAA" w14:textId="77777777" w:rsidR="00584EC1" w:rsidRDefault="00584EC1">
            <w:pPr>
              <w:rPr>
                <w:rFonts w:ascii="宋体"/>
                <w:vanish/>
              </w:rPr>
            </w:pPr>
          </w:p>
        </w:tc>
      </w:tr>
      <w:tr w:rsidR="00584EC1" w14:paraId="74DD6AC8" w14:textId="77777777">
        <w:tc>
          <w:tcPr>
            <w:tcW w:w="0" w:type="auto"/>
            <w:gridSpan w:val="3"/>
            <w:shd w:val="clear" w:color="auto" w:fill="FFFFFF"/>
            <w:tcMar>
              <w:top w:w="40" w:type="dxa"/>
              <w:left w:w="20" w:type="dxa"/>
              <w:bottom w:w="40" w:type="dxa"/>
              <w:right w:w="20" w:type="dxa"/>
            </w:tcMar>
            <w:vAlign w:val="bottom"/>
          </w:tcPr>
          <w:p w14:paraId="74DD6AAC" w14:textId="77777777" w:rsidR="00584EC1" w:rsidRDefault="00871F8D">
            <w:pPr>
              <w:textAlignment w:val="bottom"/>
            </w:pPr>
            <w:r>
              <w:rPr>
                <w:rFonts w:ascii="Arial" w:eastAsia="宋体" w:hAnsi="Arial" w:cs="Arial"/>
                <w:color w:val="000000"/>
                <w:sz w:val="14"/>
                <w:szCs w:val="14"/>
              </w:rPr>
              <w:t>Net premium amortization</w:t>
            </w:r>
            <w:r>
              <w:rPr>
                <w:rFonts w:ascii="Arial" w:eastAsia="宋体" w:hAnsi="Arial" w:cs="Arial"/>
                <w:color w:val="000000"/>
                <w:sz w:val="9"/>
                <w:szCs w:val="9"/>
              </w:rPr>
              <w:t>(2)</w:t>
            </w:r>
          </w:p>
        </w:tc>
        <w:tc>
          <w:tcPr>
            <w:tcW w:w="0" w:type="auto"/>
            <w:gridSpan w:val="2"/>
            <w:shd w:val="clear" w:color="auto" w:fill="FFFFFF"/>
            <w:tcMar>
              <w:top w:w="40" w:type="dxa"/>
              <w:left w:w="20" w:type="dxa"/>
              <w:bottom w:w="40" w:type="dxa"/>
              <w:right w:w="0" w:type="dxa"/>
            </w:tcMar>
            <w:vAlign w:val="bottom"/>
          </w:tcPr>
          <w:p w14:paraId="74DD6AAD" w14:textId="77777777" w:rsidR="00584EC1" w:rsidRDefault="00871F8D">
            <w:pPr>
              <w:jc w:val="right"/>
              <w:textAlignment w:val="bottom"/>
            </w:pPr>
            <w:r>
              <w:rPr>
                <w:rFonts w:ascii="Arial" w:eastAsia="宋体" w:hAnsi="Arial" w:cs="Arial"/>
                <w:b/>
                <w:bCs/>
                <w:color w:val="000000"/>
                <w:sz w:val="14"/>
                <w:szCs w:val="14"/>
              </w:rPr>
              <w:t>78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6AA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AA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AB0" w14:textId="77777777" w:rsidR="00584EC1" w:rsidRDefault="00871F8D">
            <w:pPr>
              <w:jc w:val="right"/>
              <w:textAlignment w:val="bottom"/>
            </w:pPr>
            <w:r>
              <w:rPr>
                <w:rFonts w:ascii="Arial" w:eastAsia="宋体" w:hAnsi="Arial" w:cs="Arial"/>
                <w:b/>
                <w:bCs/>
                <w:color w:val="000000"/>
                <w:sz w:val="14"/>
                <w:szCs w:val="14"/>
              </w:rPr>
              <w:t>50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6AB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AB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AB3" w14:textId="77777777" w:rsidR="00584EC1" w:rsidRDefault="00871F8D">
            <w:pPr>
              <w:jc w:val="right"/>
              <w:textAlignment w:val="bottom"/>
            </w:pPr>
            <w:r>
              <w:rPr>
                <w:rFonts w:ascii="Arial" w:eastAsia="宋体" w:hAnsi="Arial" w:cs="Arial"/>
                <w:b/>
                <w:bCs/>
                <w:color w:val="000000"/>
                <w:sz w:val="14"/>
                <w:szCs w:val="14"/>
              </w:rPr>
              <w:t>128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6AB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AB5"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AB6" w14:textId="77777777" w:rsidR="00584EC1" w:rsidRDefault="00871F8D">
            <w:pPr>
              <w:jc w:val="right"/>
              <w:textAlignment w:val="bottom"/>
            </w:pPr>
            <w:r>
              <w:rPr>
                <w:rFonts w:ascii="Arial" w:eastAsia="宋体" w:hAnsi="Arial" w:cs="Arial"/>
                <w:color w:val="000000"/>
                <w:sz w:val="14"/>
                <w:szCs w:val="14"/>
              </w:rPr>
              <w:t>128 </w:t>
            </w:r>
          </w:p>
        </w:tc>
        <w:tc>
          <w:tcPr>
            <w:tcW w:w="0" w:type="auto"/>
            <w:shd w:val="clear" w:color="auto" w:fill="FFFFFF"/>
            <w:tcMar>
              <w:top w:w="40" w:type="dxa"/>
              <w:left w:w="0" w:type="dxa"/>
              <w:bottom w:w="40" w:type="dxa"/>
              <w:right w:w="20" w:type="dxa"/>
            </w:tcMar>
            <w:vAlign w:val="bottom"/>
          </w:tcPr>
          <w:p w14:paraId="74DD6AB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AB8"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AB9" w14:textId="77777777" w:rsidR="00584EC1" w:rsidRDefault="00871F8D">
            <w:pPr>
              <w:jc w:val="right"/>
              <w:textAlignment w:val="bottom"/>
            </w:pPr>
            <w:r>
              <w:rPr>
                <w:rFonts w:ascii="Arial" w:eastAsia="宋体" w:hAnsi="Arial" w:cs="Arial"/>
                <w:color w:val="000000"/>
                <w:sz w:val="14"/>
                <w:szCs w:val="14"/>
              </w:rPr>
              <w:t>51 </w:t>
            </w:r>
          </w:p>
        </w:tc>
        <w:tc>
          <w:tcPr>
            <w:tcW w:w="0" w:type="auto"/>
            <w:shd w:val="clear" w:color="auto" w:fill="FFFFFF"/>
            <w:tcMar>
              <w:top w:w="40" w:type="dxa"/>
              <w:left w:w="0" w:type="dxa"/>
              <w:bottom w:w="40" w:type="dxa"/>
              <w:right w:w="20" w:type="dxa"/>
            </w:tcMar>
            <w:vAlign w:val="bottom"/>
          </w:tcPr>
          <w:p w14:paraId="74DD6AB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ABB"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ABC" w14:textId="77777777" w:rsidR="00584EC1" w:rsidRDefault="00871F8D">
            <w:pPr>
              <w:jc w:val="right"/>
              <w:textAlignment w:val="bottom"/>
            </w:pPr>
            <w:r>
              <w:rPr>
                <w:rFonts w:ascii="Arial" w:eastAsia="宋体" w:hAnsi="Arial" w:cs="Arial"/>
                <w:color w:val="000000"/>
                <w:sz w:val="14"/>
                <w:szCs w:val="14"/>
              </w:rPr>
              <w:t>179 </w:t>
            </w:r>
          </w:p>
        </w:tc>
        <w:tc>
          <w:tcPr>
            <w:tcW w:w="0" w:type="auto"/>
            <w:shd w:val="clear" w:color="auto" w:fill="FFFFFF"/>
            <w:tcMar>
              <w:top w:w="40" w:type="dxa"/>
              <w:left w:w="0" w:type="dxa"/>
              <w:bottom w:w="40" w:type="dxa"/>
              <w:right w:w="20" w:type="dxa"/>
            </w:tcMar>
            <w:vAlign w:val="bottom"/>
          </w:tcPr>
          <w:p w14:paraId="74DD6ABD" w14:textId="77777777" w:rsidR="00584EC1" w:rsidRDefault="00584EC1">
            <w:pPr>
              <w:jc w:val="right"/>
              <w:rPr>
                <w:rFonts w:ascii="宋体"/>
              </w:rPr>
            </w:pPr>
          </w:p>
        </w:tc>
        <w:tc>
          <w:tcPr>
            <w:tcW w:w="0" w:type="auto"/>
            <w:gridSpan w:val="3"/>
            <w:shd w:val="clear" w:color="auto" w:fill="auto"/>
            <w:vAlign w:val="bottom"/>
          </w:tcPr>
          <w:p w14:paraId="74DD6ABE" w14:textId="77777777" w:rsidR="00584EC1" w:rsidRDefault="00584EC1">
            <w:pPr>
              <w:rPr>
                <w:rFonts w:ascii="宋体"/>
                <w:vanish/>
              </w:rPr>
            </w:pPr>
          </w:p>
        </w:tc>
        <w:tc>
          <w:tcPr>
            <w:tcW w:w="0" w:type="auto"/>
            <w:gridSpan w:val="3"/>
            <w:shd w:val="clear" w:color="auto" w:fill="auto"/>
            <w:vAlign w:val="bottom"/>
          </w:tcPr>
          <w:p w14:paraId="74DD6ABF" w14:textId="77777777" w:rsidR="00584EC1" w:rsidRDefault="00584EC1">
            <w:pPr>
              <w:rPr>
                <w:rFonts w:ascii="宋体"/>
                <w:vanish/>
              </w:rPr>
            </w:pPr>
          </w:p>
        </w:tc>
        <w:tc>
          <w:tcPr>
            <w:tcW w:w="0" w:type="auto"/>
            <w:gridSpan w:val="3"/>
            <w:shd w:val="clear" w:color="auto" w:fill="auto"/>
            <w:vAlign w:val="bottom"/>
          </w:tcPr>
          <w:p w14:paraId="74DD6AC0" w14:textId="77777777" w:rsidR="00584EC1" w:rsidRDefault="00584EC1">
            <w:pPr>
              <w:rPr>
                <w:rFonts w:ascii="宋体"/>
                <w:vanish/>
              </w:rPr>
            </w:pPr>
          </w:p>
        </w:tc>
        <w:tc>
          <w:tcPr>
            <w:tcW w:w="0" w:type="auto"/>
            <w:gridSpan w:val="3"/>
            <w:shd w:val="clear" w:color="auto" w:fill="auto"/>
            <w:vAlign w:val="bottom"/>
          </w:tcPr>
          <w:p w14:paraId="74DD6AC1" w14:textId="77777777" w:rsidR="00584EC1" w:rsidRDefault="00584EC1">
            <w:pPr>
              <w:rPr>
                <w:rFonts w:ascii="宋体"/>
                <w:vanish/>
              </w:rPr>
            </w:pPr>
          </w:p>
        </w:tc>
        <w:tc>
          <w:tcPr>
            <w:tcW w:w="0" w:type="auto"/>
            <w:gridSpan w:val="3"/>
            <w:shd w:val="clear" w:color="auto" w:fill="auto"/>
            <w:vAlign w:val="bottom"/>
          </w:tcPr>
          <w:p w14:paraId="74DD6AC2" w14:textId="77777777" w:rsidR="00584EC1" w:rsidRDefault="00584EC1">
            <w:pPr>
              <w:rPr>
                <w:rFonts w:ascii="宋体"/>
                <w:vanish/>
              </w:rPr>
            </w:pPr>
          </w:p>
        </w:tc>
        <w:tc>
          <w:tcPr>
            <w:tcW w:w="0" w:type="auto"/>
            <w:gridSpan w:val="3"/>
            <w:shd w:val="clear" w:color="auto" w:fill="auto"/>
            <w:vAlign w:val="bottom"/>
          </w:tcPr>
          <w:p w14:paraId="74DD6AC3" w14:textId="77777777" w:rsidR="00584EC1" w:rsidRDefault="00584EC1">
            <w:pPr>
              <w:rPr>
                <w:rFonts w:ascii="宋体"/>
                <w:vanish/>
              </w:rPr>
            </w:pPr>
          </w:p>
        </w:tc>
        <w:tc>
          <w:tcPr>
            <w:tcW w:w="0" w:type="auto"/>
            <w:gridSpan w:val="3"/>
            <w:shd w:val="clear" w:color="auto" w:fill="auto"/>
            <w:vAlign w:val="bottom"/>
          </w:tcPr>
          <w:p w14:paraId="74DD6AC4" w14:textId="77777777" w:rsidR="00584EC1" w:rsidRDefault="00584EC1">
            <w:pPr>
              <w:rPr>
                <w:rFonts w:ascii="宋体"/>
                <w:vanish/>
              </w:rPr>
            </w:pPr>
          </w:p>
        </w:tc>
        <w:tc>
          <w:tcPr>
            <w:tcW w:w="0" w:type="auto"/>
            <w:gridSpan w:val="3"/>
            <w:shd w:val="clear" w:color="auto" w:fill="auto"/>
            <w:vAlign w:val="bottom"/>
          </w:tcPr>
          <w:p w14:paraId="74DD6AC5" w14:textId="77777777" w:rsidR="00584EC1" w:rsidRDefault="00584EC1">
            <w:pPr>
              <w:rPr>
                <w:rFonts w:ascii="宋体"/>
                <w:vanish/>
              </w:rPr>
            </w:pPr>
          </w:p>
        </w:tc>
        <w:tc>
          <w:tcPr>
            <w:tcW w:w="0" w:type="auto"/>
            <w:gridSpan w:val="2"/>
            <w:shd w:val="clear" w:color="auto" w:fill="auto"/>
            <w:vAlign w:val="bottom"/>
          </w:tcPr>
          <w:p w14:paraId="74DD6AC6" w14:textId="77777777" w:rsidR="00584EC1" w:rsidRDefault="00584EC1">
            <w:pPr>
              <w:rPr>
                <w:rFonts w:ascii="宋体"/>
                <w:vanish/>
              </w:rPr>
            </w:pPr>
          </w:p>
        </w:tc>
        <w:tc>
          <w:tcPr>
            <w:tcW w:w="0" w:type="auto"/>
            <w:shd w:val="clear" w:color="auto" w:fill="auto"/>
            <w:vAlign w:val="bottom"/>
          </w:tcPr>
          <w:p w14:paraId="74DD6AC7" w14:textId="77777777" w:rsidR="00584EC1" w:rsidRDefault="00584EC1">
            <w:pPr>
              <w:rPr>
                <w:rFonts w:ascii="宋体"/>
                <w:vanish/>
              </w:rPr>
            </w:pPr>
          </w:p>
        </w:tc>
      </w:tr>
      <w:tr w:rsidR="00584EC1" w14:paraId="74DD6ADF" w14:textId="77777777">
        <w:trPr>
          <w:hidden/>
        </w:trPr>
        <w:tc>
          <w:tcPr>
            <w:tcW w:w="0" w:type="auto"/>
            <w:gridSpan w:val="3"/>
            <w:shd w:val="clear" w:color="auto" w:fill="auto"/>
            <w:vAlign w:val="bottom"/>
          </w:tcPr>
          <w:p w14:paraId="74DD6AC9" w14:textId="77777777" w:rsidR="00584EC1" w:rsidRDefault="00584EC1">
            <w:pPr>
              <w:rPr>
                <w:rFonts w:ascii="宋体"/>
                <w:vanish/>
              </w:rPr>
            </w:pPr>
          </w:p>
        </w:tc>
        <w:tc>
          <w:tcPr>
            <w:tcW w:w="0" w:type="auto"/>
            <w:gridSpan w:val="3"/>
            <w:shd w:val="clear" w:color="auto" w:fill="auto"/>
            <w:vAlign w:val="bottom"/>
          </w:tcPr>
          <w:p w14:paraId="74DD6ACA" w14:textId="77777777" w:rsidR="00584EC1" w:rsidRDefault="00584EC1">
            <w:pPr>
              <w:rPr>
                <w:rFonts w:ascii="宋体"/>
                <w:vanish/>
              </w:rPr>
            </w:pPr>
          </w:p>
        </w:tc>
        <w:tc>
          <w:tcPr>
            <w:tcW w:w="0" w:type="auto"/>
            <w:gridSpan w:val="3"/>
            <w:shd w:val="clear" w:color="auto" w:fill="auto"/>
            <w:vAlign w:val="bottom"/>
          </w:tcPr>
          <w:p w14:paraId="74DD6ACB" w14:textId="77777777" w:rsidR="00584EC1" w:rsidRDefault="00584EC1">
            <w:pPr>
              <w:rPr>
                <w:rFonts w:ascii="宋体"/>
                <w:vanish/>
              </w:rPr>
            </w:pPr>
          </w:p>
        </w:tc>
        <w:tc>
          <w:tcPr>
            <w:tcW w:w="0" w:type="auto"/>
            <w:gridSpan w:val="3"/>
            <w:shd w:val="clear" w:color="auto" w:fill="auto"/>
            <w:vAlign w:val="bottom"/>
          </w:tcPr>
          <w:p w14:paraId="74DD6ACC" w14:textId="77777777" w:rsidR="00584EC1" w:rsidRDefault="00584EC1">
            <w:pPr>
              <w:rPr>
                <w:rFonts w:ascii="宋体"/>
                <w:vanish/>
              </w:rPr>
            </w:pPr>
          </w:p>
        </w:tc>
        <w:tc>
          <w:tcPr>
            <w:tcW w:w="0" w:type="auto"/>
            <w:gridSpan w:val="3"/>
            <w:shd w:val="clear" w:color="auto" w:fill="auto"/>
            <w:vAlign w:val="bottom"/>
          </w:tcPr>
          <w:p w14:paraId="74DD6ACD" w14:textId="77777777" w:rsidR="00584EC1" w:rsidRDefault="00584EC1">
            <w:pPr>
              <w:rPr>
                <w:rFonts w:ascii="宋体"/>
                <w:vanish/>
              </w:rPr>
            </w:pPr>
          </w:p>
        </w:tc>
        <w:tc>
          <w:tcPr>
            <w:tcW w:w="0" w:type="auto"/>
            <w:gridSpan w:val="3"/>
            <w:shd w:val="clear" w:color="auto" w:fill="auto"/>
            <w:vAlign w:val="bottom"/>
          </w:tcPr>
          <w:p w14:paraId="74DD6ACE" w14:textId="77777777" w:rsidR="00584EC1" w:rsidRDefault="00584EC1">
            <w:pPr>
              <w:rPr>
                <w:rFonts w:ascii="宋体"/>
                <w:vanish/>
              </w:rPr>
            </w:pPr>
          </w:p>
        </w:tc>
        <w:tc>
          <w:tcPr>
            <w:tcW w:w="0" w:type="auto"/>
            <w:gridSpan w:val="3"/>
            <w:shd w:val="clear" w:color="auto" w:fill="auto"/>
            <w:vAlign w:val="bottom"/>
          </w:tcPr>
          <w:p w14:paraId="74DD6ACF" w14:textId="77777777" w:rsidR="00584EC1" w:rsidRDefault="00584EC1">
            <w:pPr>
              <w:rPr>
                <w:rFonts w:ascii="宋体"/>
                <w:vanish/>
              </w:rPr>
            </w:pPr>
          </w:p>
        </w:tc>
        <w:tc>
          <w:tcPr>
            <w:tcW w:w="0" w:type="auto"/>
            <w:gridSpan w:val="3"/>
            <w:shd w:val="clear" w:color="auto" w:fill="auto"/>
            <w:vAlign w:val="bottom"/>
          </w:tcPr>
          <w:p w14:paraId="74DD6AD0" w14:textId="77777777" w:rsidR="00584EC1" w:rsidRDefault="00584EC1">
            <w:pPr>
              <w:rPr>
                <w:rFonts w:ascii="宋体"/>
                <w:vanish/>
              </w:rPr>
            </w:pPr>
          </w:p>
        </w:tc>
        <w:tc>
          <w:tcPr>
            <w:tcW w:w="0" w:type="auto"/>
            <w:gridSpan w:val="3"/>
            <w:shd w:val="clear" w:color="auto" w:fill="auto"/>
            <w:vAlign w:val="bottom"/>
          </w:tcPr>
          <w:p w14:paraId="74DD6AD1" w14:textId="77777777" w:rsidR="00584EC1" w:rsidRDefault="00584EC1">
            <w:pPr>
              <w:rPr>
                <w:rFonts w:ascii="宋体"/>
                <w:vanish/>
              </w:rPr>
            </w:pPr>
          </w:p>
        </w:tc>
        <w:tc>
          <w:tcPr>
            <w:tcW w:w="0" w:type="auto"/>
            <w:gridSpan w:val="3"/>
            <w:shd w:val="clear" w:color="auto" w:fill="auto"/>
            <w:vAlign w:val="bottom"/>
          </w:tcPr>
          <w:p w14:paraId="74DD6AD2" w14:textId="77777777" w:rsidR="00584EC1" w:rsidRDefault="00584EC1">
            <w:pPr>
              <w:rPr>
                <w:rFonts w:ascii="宋体"/>
                <w:vanish/>
              </w:rPr>
            </w:pPr>
          </w:p>
        </w:tc>
        <w:tc>
          <w:tcPr>
            <w:tcW w:w="0" w:type="auto"/>
            <w:gridSpan w:val="3"/>
            <w:shd w:val="clear" w:color="auto" w:fill="auto"/>
            <w:vAlign w:val="bottom"/>
          </w:tcPr>
          <w:p w14:paraId="74DD6AD3" w14:textId="77777777" w:rsidR="00584EC1" w:rsidRDefault="00584EC1">
            <w:pPr>
              <w:rPr>
                <w:rFonts w:ascii="宋体"/>
                <w:vanish/>
              </w:rPr>
            </w:pPr>
          </w:p>
        </w:tc>
        <w:tc>
          <w:tcPr>
            <w:tcW w:w="0" w:type="auto"/>
            <w:gridSpan w:val="3"/>
            <w:shd w:val="clear" w:color="auto" w:fill="auto"/>
            <w:vAlign w:val="bottom"/>
          </w:tcPr>
          <w:p w14:paraId="74DD6AD4" w14:textId="77777777" w:rsidR="00584EC1" w:rsidRDefault="00584EC1">
            <w:pPr>
              <w:rPr>
                <w:rFonts w:ascii="宋体"/>
                <w:vanish/>
              </w:rPr>
            </w:pPr>
          </w:p>
        </w:tc>
        <w:tc>
          <w:tcPr>
            <w:tcW w:w="0" w:type="auto"/>
            <w:gridSpan w:val="3"/>
            <w:shd w:val="clear" w:color="auto" w:fill="auto"/>
            <w:vAlign w:val="bottom"/>
          </w:tcPr>
          <w:p w14:paraId="74DD6AD5" w14:textId="77777777" w:rsidR="00584EC1" w:rsidRDefault="00584EC1">
            <w:pPr>
              <w:rPr>
                <w:rFonts w:ascii="宋体"/>
                <w:vanish/>
              </w:rPr>
            </w:pPr>
          </w:p>
        </w:tc>
        <w:tc>
          <w:tcPr>
            <w:tcW w:w="0" w:type="auto"/>
            <w:gridSpan w:val="3"/>
            <w:shd w:val="clear" w:color="auto" w:fill="auto"/>
            <w:vAlign w:val="bottom"/>
          </w:tcPr>
          <w:p w14:paraId="74DD6AD6" w14:textId="77777777" w:rsidR="00584EC1" w:rsidRDefault="00584EC1">
            <w:pPr>
              <w:rPr>
                <w:rFonts w:ascii="宋体"/>
                <w:vanish/>
              </w:rPr>
            </w:pPr>
          </w:p>
        </w:tc>
        <w:tc>
          <w:tcPr>
            <w:tcW w:w="0" w:type="auto"/>
            <w:gridSpan w:val="3"/>
            <w:shd w:val="clear" w:color="auto" w:fill="auto"/>
            <w:vAlign w:val="bottom"/>
          </w:tcPr>
          <w:p w14:paraId="74DD6AD7" w14:textId="77777777" w:rsidR="00584EC1" w:rsidRDefault="00584EC1">
            <w:pPr>
              <w:rPr>
                <w:rFonts w:ascii="宋体"/>
                <w:vanish/>
              </w:rPr>
            </w:pPr>
          </w:p>
        </w:tc>
        <w:tc>
          <w:tcPr>
            <w:tcW w:w="0" w:type="auto"/>
            <w:gridSpan w:val="3"/>
            <w:shd w:val="clear" w:color="auto" w:fill="auto"/>
            <w:vAlign w:val="bottom"/>
          </w:tcPr>
          <w:p w14:paraId="74DD6AD8" w14:textId="77777777" w:rsidR="00584EC1" w:rsidRDefault="00584EC1">
            <w:pPr>
              <w:rPr>
                <w:rFonts w:ascii="宋体"/>
                <w:vanish/>
              </w:rPr>
            </w:pPr>
          </w:p>
        </w:tc>
        <w:tc>
          <w:tcPr>
            <w:tcW w:w="0" w:type="auto"/>
            <w:gridSpan w:val="3"/>
            <w:shd w:val="clear" w:color="auto" w:fill="auto"/>
            <w:vAlign w:val="bottom"/>
          </w:tcPr>
          <w:p w14:paraId="74DD6AD9" w14:textId="77777777" w:rsidR="00584EC1" w:rsidRDefault="00584EC1">
            <w:pPr>
              <w:rPr>
                <w:rFonts w:ascii="宋体"/>
                <w:vanish/>
              </w:rPr>
            </w:pPr>
          </w:p>
        </w:tc>
        <w:tc>
          <w:tcPr>
            <w:tcW w:w="0" w:type="auto"/>
            <w:gridSpan w:val="3"/>
            <w:shd w:val="clear" w:color="auto" w:fill="auto"/>
            <w:vAlign w:val="bottom"/>
          </w:tcPr>
          <w:p w14:paraId="74DD6ADA" w14:textId="77777777" w:rsidR="00584EC1" w:rsidRDefault="00584EC1">
            <w:pPr>
              <w:rPr>
                <w:rFonts w:ascii="宋体"/>
                <w:vanish/>
              </w:rPr>
            </w:pPr>
          </w:p>
        </w:tc>
        <w:tc>
          <w:tcPr>
            <w:tcW w:w="0" w:type="auto"/>
            <w:gridSpan w:val="3"/>
            <w:shd w:val="clear" w:color="auto" w:fill="auto"/>
            <w:vAlign w:val="bottom"/>
          </w:tcPr>
          <w:p w14:paraId="74DD6ADB" w14:textId="77777777" w:rsidR="00584EC1" w:rsidRDefault="00584EC1">
            <w:pPr>
              <w:rPr>
                <w:rFonts w:ascii="宋体"/>
                <w:vanish/>
              </w:rPr>
            </w:pPr>
          </w:p>
        </w:tc>
        <w:tc>
          <w:tcPr>
            <w:tcW w:w="0" w:type="auto"/>
            <w:gridSpan w:val="3"/>
            <w:shd w:val="clear" w:color="auto" w:fill="auto"/>
            <w:vAlign w:val="bottom"/>
          </w:tcPr>
          <w:p w14:paraId="74DD6ADC" w14:textId="77777777" w:rsidR="00584EC1" w:rsidRDefault="00584EC1">
            <w:pPr>
              <w:rPr>
                <w:rFonts w:ascii="宋体"/>
                <w:vanish/>
              </w:rPr>
            </w:pPr>
          </w:p>
        </w:tc>
        <w:tc>
          <w:tcPr>
            <w:tcW w:w="0" w:type="auto"/>
            <w:gridSpan w:val="2"/>
            <w:shd w:val="clear" w:color="auto" w:fill="auto"/>
            <w:vAlign w:val="bottom"/>
          </w:tcPr>
          <w:p w14:paraId="74DD6ADD" w14:textId="77777777" w:rsidR="00584EC1" w:rsidRDefault="00584EC1">
            <w:pPr>
              <w:rPr>
                <w:rFonts w:ascii="宋体"/>
                <w:vanish/>
              </w:rPr>
            </w:pPr>
          </w:p>
        </w:tc>
        <w:tc>
          <w:tcPr>
            <w:tcW w:w="0" w:type="auto"/>
            <w:shd w:val="clear" w:color="auto" w:fill="auto"/>
            <w:vAlign w:val="bottom"/>
          </w:tcPr>
          <w:p w14:paraId="74DD6ADE" w14:textId="77777777" w:rsidR="00584EC1" w:rsidRDefault="00584EC1">
            <w:pPr>
              <w:rPr>
                <w:rFonts w:ascii="宋体"/>
                <w:vanish/>
              </w:rPr>
            </w:pPr>
          </w:p>
        </w:tc>
      </w:tr>
    </w:tbl>
    <w:p w14:paraId="74DD6AE0" w14:textId="77777777" w:rsidR="00584EC1" w:rsidRDefault="00584E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3852"/>
        <w:gridCol w:w="36"/>
        <w:gridCol w:w="70"/>
        <w:gridCol w:w="4273"/>
        <w:gridCol w:w="36"/>
      </w:tblGrid>
      <w:tr w:rsidR="00584EC1" w14:paraId="74DD6AE7" w14:textId="77777777">
        <w:tc>
          <w:tcPr>
            <w:tcW w:w="50" w:type="pct"/>
            <w:shd w:val="clear" w:color="auto" w:fill="auto"/>
            <w:vAlign w:val="bottom"/>
          </w:tcPr>
          <w:p w14:paraId="74DD6AE1" w14:textId="77777777" w:rsidR="00584EC1" w:rsidRDefault="00584EC1">
            <w:pPr>
              <w:rPr>
                <w:rFonts w:ascii="宋体"/>
              </w:rPr>
            </w:pPr>
          </w:p>
        </w:tc>
        <w:tc>
          <w:tcPr>
            <w:tcW w:w="2319" w:type="pct"/>
            <w:shd w:val="clear" w:color="auto" w:fill="auto"/>
            <w:vAlign w:val="bottom"/>
          </w:tcPr>
          <w:p w14:paraId="74DD6AE2" w14:textId="77777777" w:rsidR="00584EC1" w:rsidRDefault="00584EC1">
            <w:pPr>
              <w:rPr>
                <w:rFonts w:ascii="宋体"/>
              </w:rPr>
            </w:pPr>
          </w:p>
        </w:tc>
        <w:tc>
          <w:tcPr>
            <w:tcW w:w="5" w:type="pct"/>
            <w:shd w:val="clear" w:color="auto" w:fill="auto"/>
            <w:vAlign w:val="bottom"/>
          </w:tcPr>
          <w:p w14:paraId="74DD6AE3" w14:textId="77777777" w:rsidR="00584EC1" w:rsidRDefault="00584EC1">
            <w:pPr>
              <w:rPr>
                <w:rFonts w:ascii="宋体"/>
              </w:rPr>
            </w:pPr>
          </w:p>
        </w:tc>
        <w:tc>
          <w:tcPr>
            <w:tcW w:w="50" w:type="pct"/>
            <w:shd w:val="clear" w:color="auto" w:fill="auto"/>
            <w:vAlign w:val="bottom"/>
          </w:tcPr>
          <w:p w14:paraId="74DD6AE4" w14:textId="77777777" w:rsidR="00584EC1" w:rsidRDefault="00584EC1">
            <w:pPr>
              <w:rPr>
                <w:rFonts w:ascii="宋体"/>
              </w:rPr>
            </w:pPr>
          </w:p>
        </w:tc>
        <w:tc>
          <w:tcPr>
            <w:tcW w:w="2570" w:type="pct"/>
            <w:shd w:val="clear" w:color="auto" w:fill="auto"/>
            <w:vAlign w:val="bottom"/>
          </w:tcPr>
          <w:p w14:paraId="74DD6AE5" w14:textId="77777777" w:rsidR="00584EC1" w:rsidRDefault="00584EC1">
            <w:pPr>
              <w:rPr>
                <w:rFonts w:ascii="宋体"/>
              </w:rPr>
            </w:pPr>
          </w:p>
        </w:tc>
        <w:tc>
          <w:tcPr>
            <w:tcW w:w="5" w:type="pct"/>
            <w:shd w:val="clear" w:color="auto" w:fill="auto"/>
            <w:vAlign w:val="bottom"/>
          </w:tcPr>
          <w:p w14:paraId="74DD6AE6" w14:textId="77777777" w:rsidR="00584EC1" w:rsidRDefault="00584EC1">
            <w:pPr>
              <w:rPr>
                <w:rFonts w:ascii="宋体"/>
              </w:rPr>
            </w:pPr>
          </w:p>
        </w:tc>
      </w:tr>
      <w:tr w:rsidR="00584EC1" w14:paraId="74DD6AEA"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4DD6AE8"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6AE9" w14:textId="77777777" w:rsidR="00584EC1" w:rsidRDefault="00584EC1">
            <w:pPr>
              <w:rPr>
                <w:rFonts w:ascii="宋体"/>
              </w:rPr>
            </w:pPr>
          </w:p>
        </w:tc>
      </w:tr>
    </w:tbl>
    <w:p w14:paraId="74DD6AEB" w14:textId="77777777" w:rsidR="00584EC1" w:rsidRDefault="00871F8D">
      <w:pPr>
        <w:spacing w:before="60"/>
        <w:jc w:val="both"/>
        <w:textAlignment w:val="top"/>
      </w:pPr>
      <w:r>
        <w:rPr>
          <w:rFonts w:ascii="Arial" w:eastAsia="宋体" w:hAnsi="Arial" w:cs="Arial"/>
          <w:color w:val="000000"/>
          <w:sz w:val="8"/>
          <w:szCs w:val="8"/>
        </w:rPr>
        <w:t>(1)</w:t>
      </w:r>
      <w:r>
        <w:rPr>
          <w:rFonts w:ascii="Arial" w:eastAsia="宋体" w:hAnsi="Arial" w:cs="Arial"/>
          <w:color w:val="000000"/>
          <w:sz w:val="13"/>
          <w:szCs w:val="13"/>
        </w:rPr>
        <w:t xml:space="preserve"> The investment securities portfolio duration is 3.1 years as of September 30, 2021.</w:t>
      </w:r>
    </w:p>
    <w:p w14:paraId="74DD6AEC" w14:textId="77777777" w:rsidR="00584EC1" w:rsidRDefault="00871F8D">
      <w:pPr>
        <w:spacing w:before="60"/>
        <w:jc w:val="both"/>
        <w:textAlignment w:val="top"/>
      </w:pPr>
      <w:r>
        <w:rPr>
          <w:rFonts w:ascii="Arial" w:eastAsia="宋体" w:hAnsi="Arial" w:cs="Arial"/>
          <w:color w:val="000000"/>
          <w:sz w:val="8"/>
          <w:szCs w:val="8"/>
        </w:rPr>
        <w:t xml:space="preserve">(2) </w:t>
      </w:r>
      <w:r>
        <w:rPr>
          <w:rFonts w:ascii="Arial" w:eastAsia="宋体" w:hAnsi="Arial" w:cs="Arial"/>
          <w:color w:val="000000"/>
          <w:sz w:val="13"/>
          <w:szCs w:val="13"/>
        </w:rPr>
        <w:t>Net of discount accretion on MMLF HTM securities.</w:t>
      </w:r>
    </w:p>
    <w:p w14:paraId="74DD6AED" w14:textId="77777777" w:rsidR="00584EC1" w:rsidRDefault="00871F8D">
      <w:pPr>
        <w:ind w:firstLine="450"/>
        <w:jc w:val="right"/>
      </w:pPr>
      <w:r>
        <w:rPr>
          <w:rFonts w:ascii="Arial" w:eastAsia="宋体" w:hAnsi="Arial" w:cs="Arial"/>
          <w:color w:val="000000"/>
          <w:sz w:val="18"/>
          <w:szCs w:val="18"/>
        </w:rPr>
        <w:t>State Street Corporation | 14</w:t>
      </w:r>
    </w:p>
    <w:p w14:paraId="74DD6AEE" w14:textId="77777777" w:rsidR="00584EC1" w:rsidRDefault="00584EC1">
      <w:pPr>
        <w:ind w:firstLine="450"/>
        <w:jc w:val="center"/>
      </w:pPr>
    </w:p>
    <w:p w14:paraId="74DD6AEF" w14:textId="77777777" w:rsidR="00584EC1" w:rsidRDefault="00871F8D">
      <w:r>
        <w:pict w14:anchorId="74DE29FC">
          <v:rect id="_x0000_i1038" style="width:415.3pt;height:1.5pt" o:hralign="center" o:hrstd="t" o:hr="t" fillcolor="#a0a0a0" stroked="f"/>
        </w:pict>
      </w:r>
    </w:p>
    <w:p w14:paraId="74DD6AF0" w14:textId="77777777" w:rsidR="00584EC1" w:rsidRDefault="00871F8D">
      <w:pPr>
        <w:ind w:firstLine="450"/>
        <w:jc w:val="center"/>
      </w:pPr>
      <w:r>
        <w:rPr>
          <w:rFonts w:ascii="Arial" w:eastAsia="宋体" w:hAnsi="Arial" w:cs="Arial"/>
          <w:b/>
          <w:bCs/>
          <w:color w:val="000000"/>
          <w:sz w:val="20"/>
          <w:szCs w:val="20"/>
        </w:rPr>
        <w:t>MANAGEMENT’S DISCUSSION AND ANALYSIS OF FINANCIAL CONDITION</w:t>
      </w:r>
    </w:p>
    <w:p w14:paraId="74DD6AF1" w14:textId="77777777" w:rsidR="00584EC1" w:rsidRDefault="00871F8D">
      <w:pPr>
        <w:ind w:firstLine="450"/>
        <w:jc w:val="center"/>
      </w:pPr>
      <w:r>
        <w:rPr>
          <w:rFonts w:ascii="Arial" w:eastAsia="宋体" w:hAnsi="Arial" w:cs="Arial"/>
          <w:b/>
          <w:bCs/>
          <w:color w:val="000000"/>
          <w:sz w:val="20"/>
          <w:szCs w:val="20"/>
        </w:rPr>
        <w:t>AND RESULTS OF OPERATION</w:t>
      </w:r>
      <w:r>
        <w:rPr>
          <w:rFonts w:ascii="Arial" w:eastAsia="宋体" w:hAnsi="Arial" w:cs="Arial"/>
          <w:b/>
          <w:bCs/>
          <w:color w:val="000000"/>
          <w:sz w:val="20"/>
          <w:szCs w:val="20"/>
        </w:rPr>
        <w:t>S</w:t>
      </w:r>
    </w:p>
    <w:p w14:paraId="74DD6AF2" w14:textId="77777777" w:rsidR="00584EC1" w:rsidRDefault="00871F8D">
      <w:pPr>
        <w:spacing w:before="60"/>
        <w:ind w:firstLine="450"/>
        <w:jc w:val="both"/>
      </w:pPr>
      <w:r>
        <w:rPr>
          <w:rFonts w:ascii="Arial" w:eastAsia="宋体" w:hAnsi="Arial" w:cs="Arial"/>
          <w:color w:val="000000"/>
          <w:sz w:val="20"/>
          <w:szCs w:val="20"/>
        </w:rPr>
        <w:t>See Table 7: Average Balances and Interest Rates - Fully Taxable-Equivalent Basis, for the breakout of NII on a FTE basis for the three and nine months ended September 30, 2021, compared to the same periods in 2020.</w:t>
      </w:r>
    </w:p>
    <w:tbl>
      <w:tblPr>
        <w:tblW w:w="5000" w:type="pct"/>
        <w:tblCellMar>
          <w:top w:w="15" w:type="dxa"/>
          <w:left w:w="15" w:type="dxa"/>
          <w:bottom w:w="15" w:type="dxa"/>
          <w:right w:w="15" w:type="dxa"/>
        </w:tblCellMar>
        <w:tblLook w:val="04A0" w:firstRow="1" w:lastRow="0" w:firstColumn="1" w:lastColumn="0" w:noHBand="0" w:noVBand="1"/>
      </w:tblPr>
      <w:tblGrid>
        <w:gridCol w:w="37"/>
        <w:gridCol w:w="2825"/>
        <w:gridCol w:w="36"/>
        <w:gridCol w:w="87"/>
        <w:gridCol w:w="468"/>
        <w:gridCol w:w="36"/>
        <w:gridCol w:w="36"/>
        <w:gridCol w:w="36"/>
        <w:gridCol w:w="36"/>
        <w:gridCol w:w="136"/>
        <w:gridCol w:w="919"/>
        <w:gridCol w:w="37"/>
        <w:gridCol w:w="36"/>
        <w:gridCol w:w="36"/>
        <w:gridCol w:w="36"/>
        <w:gridCol w:w="50"/>
        <w:gridCol w:w="246"/>
        <w:gridCol w:w="128"/>
        <w:gridCol w:w="36"/>
        <w:gridCol w:w="36"/>
        <w:gridCol w:w="36"/>
        <w:gridCol w:w="87"/>
        <w:gridCol w:w="468"/>
        <w:gridCol w:w="36"/>
        <w:gridCol w:w="36"/>
        <w:gridCol w:w="36"/>
        <w:gridCol w:w="36"/>
        <w:gridCol w:w="136"/>
        <w:gridCol w:w="919"/>
        <w:gridCol w:w="37"/>
        <w:gridCol w:w="36"/>
        <w:gridCol w:w="36"/>
        <w:gridCol w:w="36"/>
        <w:gridCol w:w="50"/>
        <w:gridCol w:w="246"/>
        <w:gridCol w:w="128"/>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584EC1" w14:paraId="74DD6B21" w14:textId="77777777">
        <w:tc>
          <w:tcPr>
            <w:tcW w:w="50" w:type="pct"/>
            <w:shd w:val="clear" w:color="auto" w:fill="auto"/>
            <w:vAlign w:val="bottom"/>
          </w:tcPr>
          <w:p w14:paraId="74DD6AF3" w14:textId="77777777" w:rsidR="00584EC1" w:rsidRDefault="00584EC1">
            <w:pPr>
              <w:rPr>
                <w:rFonts w:ascii="宋体"/>
              </w:rPr>
            </w:pPr>
          </w:p>
        </w:tc>
        <w:tc>
          <w:tcPr>
            <w:tcW w:w="2586" w:type="pct"/>
            <w:shd w:val="clear" w:color="auto" w:fill="auto"/>
            <w:vAlign w:val="bottom"/>
          </w:tcPr>
          <w:p w14:paraId="74DD6AF4" w14:textId="77777777" w:rsidR="00584EC1" w:rsidRDefault="00584EC1">
            <w:pPr>
              <w:rPr>
                <w:rFonts w:ascii="宋体"/>
              </w:rPr>
            </w:pPr>
          </w:p>
        </w:tc>
        <w:tc>
          <w:tcPr>
            <w:tcW w:w="5" w:type="pct"/>
            <w:shd w:val="clear" w:color="auto" w:fill="auto"/>
            <w:vAlign w:val="bottom"/>
          </w:tcPr>
          <w:p w14:paraId="74DD6AF5" w14:textId="77777777" w:rsidR="00584EC1" w:rsidRDefault="00584EC1">
            <w:pPr>
              <w:rPr>
                <w:rFonts w:ascii="宋体"/>
              </w:rPr>
            </w:pPr>
          </w:p>
        </w:tc>
        <w:tc>
          <w:tcPr>
            <w:tcW w:w="50" w:type="pct"/>
            <w:shd w:val="clear" w:color="auto" w:fill="auto"/>
            <w:vAlign w:val="bottom"/>
          </w:tcPr>
          <w:p w14:paraId="74DD6AF6" w14:textId="77777777" w:rsidR="00584EC1" w:rsidRDefault="00584EC1">
            <w:pPr>
              <w:rPr>
                <w:rFonts w:ascii="宋体"/>
              </w:rPr>
            </w:pPr>
          </w:p>
        </w:tc>
        <w:tc>
          <w:tcPr>
            <w:tcW w:w="333" w:type="pct"/>
            <w:shd w:val="clear" w:color="auto" w:fill="auto"/>
            <w:vAlign w:val="bottom"/>
          </w:tcPr>
          <w:p w14:paraId="74DD6AF7" w14:textId="77777777" w:rsidR="00584EC1" w:rsidRDefault="00584EC1">
            <w:pPr>
              <w:rPr>
                <w:rFonts w:ascii="宋体"/>
              </w:rPr>
            </w:pPr>
          </w:p>
        </w:tc>
        <w:tc>
          <w:tcPr>
            <w:tcW w:w="5" w:type="pct"/>
            <w:shd w:val="clear" w:color="auto" w:fill="auto"/>
            <w:vAlign w:val="bottom"/>
          </w:tcPr>
          <w:p w14:paraId="74DD6AF8" w14:textId="77777777" w:rsidR="00584EC1" w:rsidRDefault="00584EC1">
            <w:pPr>
              <w:rPr>
                <w:rFonts w:ascii="宋体"/>
              </w:rPr>
            </w:pPr>
          </w:p>
        </w:tc>
        <w:tc>
          <w:tcPr>
            <w:tcW w:w="5" w:type="pct"/>
            <w:shd w:val="clear" w:color="auto" w:fill="auto"/>
            <w:vAlign w:val="bottom"/>
          </w:tcPr>
          <w:p w14:paraId="74DD6AF9" w14:textId="77777777" w:rsidR="00584EC1" w:rsidRDefault="00584EC1">
            <w:pPr>
              <w:rPr>
                <w:rFonts w:ascii="宋体"/>
              </w:rPr>
            </w:pPr>
          </w:p>
        </w:tc>
        <w:tc>
          <w:tcPr>
            <w:tcW w:w="25" w:type="pct"/>
            <w:shd w:val="clear" w:color="auto" w:fill="auto"/>
            <w:vAlign w:val="bottom"/>
          </w:tcPr>
          <w:p w14:paraId="74DD6AFA" w14:textId="77777777" w:rsidR="00584EC1" w:rsidRDefault="00584EC1">
            <w:pPr>
              <w:rPr>
                <w:rFonts w:ascii="宋体"/>
              </w:rPr>
            </w:pPr>
          </w:p>
        </w:tc>
        <w:tc>
          <w:tcPr>
            <w:tcW w:w="5" w:type="pct"/>
            <w:shd w:val="clear" w:color="auto" w:fill="auto"/>
            <w:vAlign w:val="bottom"/>
          </w:tcPr>
          <w:p w14:paraId="74DD6AFB" w14:textId="77777777" w:rsidR="00584EC1" w:rsidRDefault="00584EC1">
            <w:pPr>
              <w:rPr>
                <w:rFonts w:ascii="宋体"/>
              </w:rPr>
            </w:pPr>
          </w:p>
        </w:tc>
        <w:tc>
          <w:tcPr>
            <w:tcW w:w="50" w:type="pct"/>
            <w:shd w:val="clear" w:color="auto" w:fill="auto"/>
            <w:vAlign w:val="bottom"/>
          </w:tcPr>
          <w:p w14:paraId="74DD6AFC" w14:textId="77777777" w:rsidR="00584EC1" w:rsidRDefault="00584EC1">
            <w:pPr>
              <w:rPr>
                <w:rFonts w:ascii="宋体"/>
              </w:rPr>
            </w:pPr>
          </w:p>
        </w:tc>
        <w:tc>
          <w:tcPr>
            <w:tcW w:w="340" w:type="pct"/>
            <w:shd w:val="clear" w:color="auto" w:fill="auto"/>
            <w:vAlign w:val="bottom"/>
          </w:tcPr>
          <w:p w14:paraId="74DD6AFD" w14:textId="77777777" w:rsidR="00584EC1" w:rsidRDefault="00584EC1">
            <w:pPr>
              <w:rPr>
                <w:rFonts w:ascii="宋体"/>
              </w:rPr>
            </w:pPr>
          </w:p>
        </w:tc>
        <w:tc>
          <w:tcPr>
            <w:tcW w:w="5" w:type="pct"/>
            <w:shd w:val="clear" w:color="auto" w:fill="auto"/>
            <w:vAlign w:val="bottom"/>
          </w:tcPr>
          <w:p w14:paraId="74DD6AFE" w14:textId="77777777" w:rsidR="00584EC1" w:rsidRDefault="00584EC1">
            <w:pPr>
              <w:rPr>
                <w:rFonts w:ascii="宋体"/>
              </w:rPr>
            </w:pPr>
          </w:p>
        </w:tc>
        <w:tc>
          <w:tcPr>
            <w:tcW w:w="5" w:type="pct"/>
            <w:shd w:val="clear" w:color="auto" w:fill="auto"/>
            <w:vAlign w:val="bottom"/>
          </w:tcPr>
          <w:p w14:paraId="74DD6AFF" w14:textId="77777777" w:rsidR="00584EC1" w:rsidRDefault="00584EC1">
            <w:pPr>
              <w:rPr>
                <w:rFonts w:ascii="宋体"/>
              </w:rPr>
            </w:pPr>
          </w:p>
        </w:tc>
        <w:tc>
          <w:tcPr>
            <w:tcW w:w="25" w:type="pct"/>
            <w:shd w:val="clear" w:color="auto" w:fill="auto"/>
            <w:vAlign w:val="bottom"/>
          </w:tcPr>
          <w:p w14:paraId="74DD6B00" w14:textId="77777777" w:rsidR="00584EC1" w:rsidRDefault="00584EC1">
            <w:pPr>
              <w:rPr>
                <w:rFonts w:ascii="宋体"/>
              </w:rPr>
            </w:pPr>
          </w:p>
        </w:tc>
        <w:tc>
          <w:tcPr>
            <w:tcW w:w="5" w:type="pct"/>
            <w:shd w:val="clear" w:color="auto" w:fill="auto"/>
            <w:vAlign w:val="bottom"/>
          </w:tcPr>
          <w:p w14:paraId="74DD6B01" w14:textId="77777777" w:rsidR="00584EC1" w:rsidRDefault="00584EC1">
            <w:pPr>
              <w:rPr>
                <w:rFonts w:ascii="宋体"/>
              </w:rPr>
            </w:pPr>
          </w:p>
        </w:tc>
        <w:tc>
          <w:tcPr>
            <w:tcW w:w="50" w:type="pct"/>
            <w:shd w:val="clear" w:color="auto" w:fill="auto"/>
            <w:vAlign w:val="bottom"/>
          </w:tcPr>
          <w:p w14:paraId="74DD6B02" w14:textId="77777777" w:rsidR="00584EC1" w:rsidRDefault="00584EC1">
            <w:pPr>
              <w:rPr>
                <w:rFonts w:ascii="宋体"/>
              </w:rPr>
            </w:pPr>
          </w:p>
        </w:tc>
        <w:tc>
          <w:tcPr>
            <w:tcW w:w="248" w:type="pct"/>
            <w:shd w:val="clear" w:color="auto" w:fill="auto"/>
            <w:vAlign w:val="bottom"/>
          </w:tcPr>
          <w:p w14:paraId="74DD6B03" w14:textId="77777777" w:rsidR="00584EC1" w:rsidRDefault="00584EC1">
            <w:pPr>
              <w:rPr>
                <w:rFonts w:ascii="宋体"/>
              </w:rPr>
            </w:pPr>
          </w:p>
        </w:tc>
        <w:tc>
          <w:tcPr>
            <w:tcW w:w="5" w:type="pct"/>
            <w:shd w:val="clear" w:color="auto" w:fill="auto"/>
            <w:vAlign w:val="bottom"/>
          </w:tcPr>
          <w:p w14:paraId="74DD6B04" w14:textId="77777777" w:rsidR="00584EC1" w:rsidRDefault="00584EC1">
            <w:pPr>
              <w:rPr>
                <w:rFonts w:ascii="宋体"/>
              </w:rPr>
            </w:pPr>
          </w:p>
        </w:tc>
        <w:tc>
          <w:tcPr>
            <w:tcW w:w="5" w:type="pct"/>
            <w:shd w:val="clear" w:color="auto" w:fill="auto"/>
            <w:vAlign w:val="bottom"/>
          </w:tcPr>
          <w:p w14:paraId="74DD6B05" w14:textId="77777777" w:rsidR="00584EC1" w:rsidRDefault="00584EC1">
            <w:pPr>
              <w:rPr>
                <w:rFonts w:ascii="宋体"/>
              </w:rPr>
            </w:pPr>
          </w:p>
        </w:tc>
        <w:tc>
          <w:tcPr>
            <w:tcW w:w="25" w:type="pct"/>
            <w:shd w:val="clear" w:color="auto" w:fill="auto"/>
            <w:vAlign w:val="bottom"/>
          </w:tcPr>
          <w:p w14:paraId="74DD6B06" w14:textId="77777777" w:rsidR="00584EC1" w:rsidRDefault="00584EC1">
            <w:pPr>
              <w:rPr>
                <w:rFonts w:ascii="宋体"/>
              </w:rPr>
            </w:pPr>
          </w:p>
        </w:tc>
        <w:tc>
          <w:tcPr>
            <w:tcW w:w="5" w:type="pct"/>
            <w:shd w:val="clear" w:color="auto" w:fill="auto"/>
            <w:vAlign w:val="bottom"/>
          </w:tcPr>
          <w:p w14:paraId="74DD6B07" w14:textId="77777777" w:rsidR="00584EC1" w:rsidRDefault="00584EC1">
            <w:pPr>
              <w:rPr>
                <w:rFonts w:ascii="宋体"/>
              </w:rPr>
            </w:pPr>
          </w:p>
        </w:tc>
        <w:tc>
          <w:tcPr>
            <w:tcW w:w="50" w:type="pct"/>
            <w:shd w:val="clear" w:color="auto" w:fill="auto"/>
            <w:vAlign w:val="bottom"/>
          </w:tcPr>
          <w:p w14:paraId="74DD6B08" w14:textId="77777777" w:rsidR="00584EC1" w:rsidRDefault="00584EC1">
            <w:pPr>
              <w:rPr>
                <w:rFonts w:ascii="宋体"/>
              </w:rPr>
            </w:pPr>
          </w:p>
        </w:tc>
        <w:tc>
          <w:tcPr>
            <w:tcW w:w="340" w:type="pct"/>
            <w:shd w:val="clear" w:color="auto" w:fill="auto"/>
            <w:vAlign w:val="bottom"/>
          </w:tcPr>
          <w:p w14:paraId="74DD6B09" w14:textId="77777777" w:rsidR="00584EC1" w:rsidRDefault="00584EC1">
            <w:pPr>
              <w:rPr>
                <w:rFonts w:ascii="宋体"/>
              </w:rPr>
            </w:pPr>
          </w:p>
        </w:tc>
        <w:tc>
          <w:tcPr>
            <w:tcW w:w="5" w:type="pct"/>
            <w:shd w:val="clear" w:color="auto" w:fill="auto"/>
            <w:vAlign w:val="bottom"/>
          </w:tcPr>
          <w:p w14:paraId="74DD6B0A" w14:textId="77777777" w:rsidR="00584EC1" w:rsidRDefault="00584EC1">
            <w:pPr>
              <w:rPr>
                <w:rFonts w:ascii="宋体"/>
              </w:rPr>
            </w:pPr>
          </w:p>
        </w:tc>
        <w:tc>
          <w:tcPr>
            <w:tcW w:w="5" w:type="pct"/>
            <w:shd w:val="clear" w:color="auto" w:fill="auto"/>
            <w:vAlign w:val="bottom"/>
          </w:tcPr>
          <w:p w14:paraId="74DD6B0B" w14:textId="77777777" w:rsidR="00584EC1" w:rsidRDefault="00584EC1">
            <w:pPr>
              <w:rPr>
                <w:rFonts w:ascii="宋体"/>
              </w:rPr>
            </w:pPr>
          </w:p>
        </w:tc>
        <w:tc>
          <w:tcPr>
            <w:tcW w:w="25" w:type="pct"/>
            <w:shd w:val="clear" w:color="auto" w:fill="auto"/>
            <w:vAlign w:val="bottom"/>
          </w:tcPr>
          <w:p w14:paraId="74DD6B0C" w14:textId="77777777" w:rsidR="00584EC1" w:rsidRDefault="00584EC1">
            <w:pPr>
              <w:rPr>
                <w:rFonts w:ascii="宋体"/>
              </w:rPr>
            </w:pPr>
          </w:p>
        </w:tc>
        <w:tc>
          <w:tcPr>
            <w:tcW w:w="5" w:type="pct"/>
            <w:shd w:val="clear" w:color="auto" w:fill="auto"/>
            <w:vAlign w:val="bottom"/>
          </w:tcPr>
          <w:p w14:paraId="74DD6B0D" w14:textId="77777777" w:rsidR="00584EC1" w:rsidRDefault="00584EC1">
            <w:pPr>
              <w:rPr>
                <w:rFonts w:ascii="宋体"/>
              </w:rPr>
            </w:pPr>
          </w:p>
        </w:tc>
        <w:tc>
          <w:tcPr>
            <w:tcW w:w="50" w:type="pct"/>
            <w:shd w:val="clear" w:color="auto" w:fill="auto"/>
            <w:vAlign w:val="bottom"/>
          </w:tcPr>
          <w:p w14:paraId="74DD6B0E" w14:textId="77777777" w:rsidR="00584EC1" w:rsidRDefault="00584EC1">
            <w:pPr>
              <w:rPr>
                <w:rFonts w:ascii="宋体"/>
              </w:rPr>
            </w:pPr>
          </w:p>
        </w:tc>
        <w:tc>
          <w:tcPr>
            <w:tcW w:w="340" w:type="pct"/>
            <w:shd w:val="clear" w:color="auto" w:fill="auto"/>
            <w:vAlign w:val="bottom"/>
          </w:tcPr>
          <w:p w14:paraId="74DD6B0F" w14:textId="77777777" w:rsidR="00584EC1" w:rsidRDefault="00584EC1">
            <w:pPr>
              <w:rPr>
                <w:rFonts w:ascii="宋体"/>
              </w:rPr>
            </w:pPr>
          </w:p>
        </w:tc>
        <w:tc>
          <w:tcPr>
            <w:tcW w:w="5" w:type="pct"/>
            <w:shd w:val="clear" w:color="auto" w:fill="auto"/>
            <w:vAlign w:val="bottom"/>
          </w:tcPr>
          <w:p w14:paraId="74DD6B10" w14:textId="77777777" w:rsidR="00584EC1" w:rsidRDefault="00584EC1">
            <w:pPr>
              <w:rPr>
                <w:rFonts w:ascii="宋体"/>
              </w:rPr>
            </w:pPr>
          </w:p>
        </w:tc>
        <w:tc>
          <w:tcPr>
            <w:tcW w:w="5" w:type="pct"/>
            <w:shd w:val="clear" w:color="auto" w:fill="auto"/>
            <w:vAlign w:val="bottom"/>
          </w:tcPr>
          <w:p w14:paraId="74DD6B11" w14:textId="77777777" w:rsidR="00584EC1" w:rsidRDefault="00584EC1">
            <w:pPr>
              <w:rPr>
                <w:rFonts w:ascii="宋体"/>
              </w:rPr>
            </w:pPr>
          </w:p>
        </w:tc>
        <w:tc>
          <w:tcPr>
            <w:tcW w:w="25" w:type="pct"/>
            <w:shd w:val="clear" w:color="auto" w:fill="auto"/>
            <w:vAlign w:val="bottom"/>
          </w:tcPr>
          <w:p w14:paraId="74DD6B12" w14:textId="77777777" w:rsidR="00584EC1" w:rsidRDefault="00584EC1">
            <w:pPr>
              <w:rPr>
                <w:rFonts w:ascii="宋体"/>
              </w:rPr>
            </w:pPr>
          </w:p>
        </w:tc>
        <w:tc>
          <w:tcPr>
            <w:tcW w:w="5" w:type="pct"/>
            <w:shd w:val="clear" w:color="auto" w:fill="auto"/>
            <w:vAlign w:val="bottom"/>
          </w:tcPr>
          <w:p w14:paraId="74DD6B13" w14:textId="77777777" w:rsidR="00584EC1" w:rsidRDefault="00584EC1">
            <w:pPr>
              <w:rPr>
                <w:rFonts w:ascii="宋体"/>
              </w:rPr>
            </w:pPr>
          </w:p>
        </w:tc>
        <w:tc>
          <w:tcPr>
            <w:tcW w:w="50" w:type="pct"/>
            <w:shd w:val="clear" w:color="auto" w:fill="auto"/>
            <w:vAlign w:val="bottom"/>
          </w:tcPr>
          <w:p w14:paraId="74DD6B14" w14:textId="77777777" w:rsidR="00584EC1" w:rsidRDefault="00584EC1">
            <w:pPr>
              <w:rPr>
                <w:rFonts w:ascii="宋体"/>
              </w:rPr>
            </w:pPr>
          </w:p>
        </w:tc>
        <w:tc>
          <w:tcPr>
            <w:tcW w:w="248" w:type="pct"/>
            <w:shd w:val="clear" w:color="auto" w:fill="auto"/>
            <w:vAlign w:val="bottom"/>
          </w:tcPr>
          <w:p w14:paraId="74DD6B15" w14:textId="77777777" w:rsidR="00584EC1" w:rsidRDefault="00584EC1">
            <w:pPr>
              <w:rPr>
                <w:rFonts w:ascii="宋体"/>
              </w:rPr>
            </w:pPr>
          </w:p>
        </w:tc>
        <w:tc>
          <w:tcPr>
            <w:tcW w:w="5" w:type="pct"/>
            <w:shd w:val="clear" w:color="auto" w:fill="auto"/>
            <w:vAlign w:val="bottom"/>
          </w:tcPr>
          <w:p w14:paraId="74DD6B16" w14:textId="77777777" w:rsidR="00584EC1" w:rsidRDefault="00584EC1">
            <w:pPr>
              <w:rPr>
                <w:rFonts w:ascii="宋体"/>
              </w:rPr>
            </w:pPr>
          </w:p>
        </w:tc>
        <w:tc>
          <w:tcPr>
            <w:tcW w:w="0" w:type="auto"/>
            <w:shd w:val="clear" w:color="auto" w:fill="auto"/>
            <w:vAlign w:val="bottom"/>
          </w:tcPr>
          <w:p w14:paraId="74DD6B17" w14:textId="77777777" w:rsidR="00584EC1" w:rsidRDefault="00584EC1">
            <w:pPr>
              <w:rPr>
                <w:rFonts w:ascii="宋体"/>
                <w:vanish/>
              </w:rPr>
            </w:pPr>
          </w:p>
        </w:tc>
        <w:tc>
          <w:tcPr>
            <w:tcW w:w="0" w:type="auto"/>
            <w:shd w:val="clear" w:color="auto" w:fill="auto"/>
            <w:vAlign w:val="bottom"/>
          </w:tcPr>
          <w:p w14:paraId="74DD6B18" w14:textId="77777777" w:rsidR="00584EC1" w:rsidRDefault="00584EC1">
            <w:pPr>
              <w:rPr>
                <w:rFonts w:ascii="宋体"/>
                <w:vanish/>
              </w:rPr>
            </w:pPr>
          </w:p>
        </w:tc>
        <w:tc>
          <w:tcPr>
            <w:tcW w:w="0" w:type="auto"/>
            <w:shd w:val="clear" w:color="auto" w:fill="auto"/>
            <w:vAlign w:val="bottom"/>
          </w:tcPr>
          <w:p w14:paraId="74DD6B19" w14:textId="77777777" w:rsidR="00584EC1" w:rsidRDefault="00584EC1">
            <w:pPr>
              <w:rPr>
                <w:rFonts w:ascii="宋体"/>
                <w:vanish/>
              </w:rPr>
            </w:pPr>
          </w:p>
        </w:tc>
        <w:tc>
          <w:tcPr>
            <w:tcW w:w="0" w:type="auto"/>
            <w:shd w:val="clear" w:color="auto" w:fill="auto"/>
            <w:vAlign w:val="bottom"/>
          </w:tcPr>
          <w:p w14:paraId="74DD6B1A" w14:textId="77777777" w:rsidR="00584EC1" w:rsidRDefault="00584EC1">
            <w:pPr>
              <w:rPr>
                <w:rFonts w:ascii="宋体"/>
                <w:vanish/>
              </w:rPr>
            </w:pPr>
          </w:p>
        </w:tc>
        <w:tc>
          <w:tcPr>
            <w:tcW w:w="0" w:type="auto"/>
            <w:gridSpan w:val="3"/>
            <w:shd w:val="clear" w:color="auto" w:fill="auto"/>
            <w:vAlign w:val="bottom"/>
          </w:tcPr>
          <w:p w14:paraId="74DD6B1B" w14:textId="77777777" w:rsidR="00584EC1" w:rsidRDefault="00584EC1">
            <w:pPr>
              <w:rPr>
                <w:rFonts w:ascii="宋体"/>
                <w:vanish/>
              </w:rPr>
            </w:pPr>
          </w:p>
        </w:tc>
        <w:tc>
          <w:tcPr>
            <w:tcW w:w="0" w:type="auto"/>
            <w:gridSpan w:val="3"/>
            <w:shd w:val="clear" w:color="auto" w:fill="auto"/>
            <w:vAlign w:val="bottom"/>
          </w:tcPr>
          <w:p w14:paraId="74DD6B1C" w14:textId="77777777" w:rsidR="00584EC1" w:rsidRDefault="00584EC1">
            <w:pPr>
              <w:rPr>
                <w:rFonts w:ascii="宋体"/>
                <w:vanish/>
              </w:rPr>
            </w:pPr>
          </w:p>
        </w:tc>
        <w:tc>
          <w:tcPr>
            <w:tcW w:w="0" w:type="auto"/>
            <w:gridSpan w:val="3"/>
            <w:shd w:val="clear" w:color="auto" w:fill="auto"/>
            <w:vAlign w:val="bottom"/>
          </w:tcPr>
          <w:p w14:paraId="74DD6B1D" w14:textId="77777777" w:rsidR="00584EC1" w:rsidRDefault="00584EC1">
            <w:pPr>
              <w:rPr>
                <w:rFonts w:ascii="宋体"/>
                <w:vanish/>
              </w:rPr>
            </w:pPr>
          </w:p>
        </w:tc>
        <w:tc>
          <w:tcPr>
            <w:tcW w:w="0" w:type="auto"/>
            <w:gridSpan w:val="3"/>
            <w:shd w:val="clear" w:color="auto" w:fill="auto"/>
            <w:vAlign w:val="bottom"/>
          </w:tcPr>
          <w:p w14:paraId="74DD6B1E" w14:textId="77777777" w:rsidR="00584EC1" w:rsidRDefault="00584EC1">
            <w:pPr>
              <w:rPr>
                <w:rFonts w:ascii="宋体"/>
                <w:vanish/>
              </w:rPr>
            </w:pPr>
          </w:p>
        </w:tc>
        <w:tc>
          <w:tcPr>
            <w:tcW w:w="0" w:type="auto"/>
            <w:gridSpan w:val="2"/>
            <w:shd w:val="clear" w:color="auto" w:fill="auto"/>
            <w:vAlign w:val="bottom"/>
          </w:tcPr>
          <w:p w14:paraId="74DD6B1F" w14:textId="77777777" w:rsidR="00584EC1" w:rsidRDefault="00584EC1">
            <w:pPr>
              <w:rPr>
                <w:rFonts w:ascii="宋体"/>
                <w:vanish/>
              </w:rPr>
            </w:pPr>
          </w:p>
        </w:tc>
        <w:tc>
          <w:tcPr>
            <w:tcW w:w="0" w:type="auto"/>
            <w:shd w:val="clear" w:color="auto" w:fill="auto"/>
            <w:vAlign w:val="bottom"/>
          </w:tcPr>
          <w:p w14:paraId="74DD6B20" w14:textId="77777777" w:rsidR="00584EC1" w:rsidRDefault="00584EC1">
            <w:pPr>
              <w:rPr>
                <w:rFonts w:ascii="宋体"/>
                <w:vanish/>
              </w:rPr>
            </w:pPr>
          </w:p>
        </w:tc>
      </w:tr>
      <w:tr w:rsidR="00584EC1" w14:paraId="74DD6B32" w14:textId="77777777">
        <w:tc>
          <w:tcPr>
            <w:tcW w:w="0" w:type="auto"/>
            <w:gridSpan w:val="36"/>
            <w:shd w:val="clear" w:color="auto" w:fill="auto"/>
            <w:tcMar>
              <w:top w:w="40" w:type="dxa"/>
              <w:left w:w="20" w:type="dxa"/>
              <w:bottom w:w="40" w:type="dxa"/>
              <w:right w:w="20" w:type="dxa"/>
            </w:tcMar>
            <w:vAlign w:val="bottom"/>
          </w:tcPr>
          <w:p w14:paraId="74DD6B22" w14:textId="77777777" w:rsidR="00584EC1" w:rsidRDefault="00871F8D">
            <w:pPr>
              <w:textAlignment w:val="bottom"/>
            </w:pPr>
            <w:r>
              <w:rPr>
                <w:rFonts w:ascii="Arial" w:eastAsia="宋体" w:hAnsi="Arial" w:cs="Arial"/>
                <w:b/>
                <w:bCs/>
                <w:color w:val="000000"/>
                <w:sz w:val="16"/>
                <w:szCs w:val="16"/>
              </w:rPr>
              <w:t>TABLE 7: AVERAGE BALANCES AND INTEREST R</w:t>
            </w:r>
            <w:r>
              <w:rPr>
                <w:rFonts w:ascii="Arial" w:eastAsia="宋体" w:hAnsi="Arial" w:cs="Arial"/>
                <w:b/>
                <w:bCs/>
                <w:color w:val="000000"/>
                <w:sz w:val="16"/>
                <w:szCs w:val="16"/>
              </w:rPr>
              <w:t>ATES - FULLY TAXABLE-EQUIVALENT BASIS</w:t>
            </w:r>
            <w:r>
              <w:rPr>
                <w:rFonts w:ascii="Arial" w:eastAsia="宋体" w:hAnsi="Arial" w:cs="Arial"/>
                <w:b/>
                <w:bCs/>
                <w:color w:val="000000"/>
                <w:sz w:val="10"/>
                <w:szCs w:val="10"/>
              </w:rPr>
              <w:t>(1)</w:t>
            </w:r>
          </w:p>
        </w:tc>
        <w:tc>
          <w:tcPr>
            <w:tcW w:w="0" w:type="auto"/>
            <w:shd w:val="clear" w:color="auto" w:fill="auto"/>
            <w:vAlign w:val="bottom"/>
          </w:tcPr>
          <w:p w14:paraId="74DD6B23" w14:textId="77777777" w:rsidR="00584EC1" w:rsidRDefault="00584EC1">
            <w:pPr>
              <w:rPr>
                <w:rFonts w:ascii="宋体"/>
                <w:vanish/>
              </w:rPr>
            </w:pPr>
          </w:p>
        </w:tc>
        <w:tc>
          <w:tcPr>
            <w:tcW w:w="0" w:type="auto"/>
            <w:shd w:val="clear" w:color="auto" w:fill="auto"/>
            <w:vAlign w:val="bottom"/>
          </w:tcPr>
          <w:p w14:paraId="74DD6B24" w14:textId="77777777" w:rsidR="00584EC1" w:rsidRDefault="00584EC1">
            <w:pPr>
              <w:rPr>
                <w:rFonts w:ascii="宋体"/>
                <w:vanish/>
              </w:rPr>
            </w:pPr>
          </w:p>
        </w:tc>
        <w:tc>
          <w:tcPr>
            <w:tcW w:w="0" w:type="auto"/>
            <w:shd w:val="clear" w:color="auto" w:fill="auto"/>
            <w:vAlign w:val="bottom"/>
          </w:tcPr>
          <w:p w14:paraId="74DD6B25" w14:textId="77777777" w:rsidR="00584EC1" w:rsidRDefault="00584EC1">
            <w:pPr>
              <w:rPr>
                <w:rFonts w:ascii="宋体"/>
                <w:vanish/>
              </w:rPr>
            </w:pPr>
          </w:p>
        </w:tc>
        <w:tc>
          <w:tcPr>
            <w:tcW w:w="0" w:type="auto"/>
            <w:shd w:val="clear" w:color="auto" w:fill="auto"/>
            <w:vAlign w:val="bottom"/>
          </w:tcPr>
          <w:p w14:paraId="74DD6B26" w14:textId="77777777" w:rsidR="00584EC1" w:rsidRDefault="00584EC1">
            <w:pPr>
              <w:rPr>
                <w:rFonts w:ascii="宋体"/>
                <w:vanish/>
              </w:rPr>
            </w:pPr>
          </w:p>
        </w:tc>
        <w:tc>
          <w:tcPr>
            <w:tcW w:w="0" w:type="auto"/>
            <w:gridSpan w:val="3"/>
            <w:shd w:val="clear" w:color="auto" w:fill="auto"/>
            <w:vAlign w:val="bottom"/>
          </w:tcPr>
          <w:p w14:paraId="74DD6B27" w14:textId="77777777" w:rsidR="00584EC1" w:rsidRDefault="00584EC1">
            <w:pPr>
              <w:rPr>
                <w:rFonts w:ascii="宋体"/>
                <w:vanish/>
              </w:rPr>
            </w:pPr>
          </w:p>
        </w:tc>
        <w:tc>
          <w:tcPr>
            <w:tcW w:w="0" w:type="auto"/>
            <w:gridSpan w:val="3"/>
            <w:shd w:val="clear" w:color="auto" w:fill="auto"/>
            <w:vAlign w:val="bottom"/>
          </w:tcPr>
          <w:p w14:paraId="74DD6B28" w14:textId="77777777" w:rsidR="00584EC1" w:rsidRDefault="00584EC1">
            <w:pPr>
              <w:rPr>
                <w:rFonts w:ascii="宋体"/>
                <w:vanish/>
              </w:rPr>
            </w:pPr>
          </w:p>
        </w:tc>
        <w:tc>
          <w:tcPr>
            <w:tcW w:w="0" w:type="auto"/>
            <w:shd w:val="clear" w:color="auto" w:fill="auto"/>
            <w:vAlign w:val="bottom"/>
          </w:tcPr>
          <w:p w14:paraId="74DD6B29" w14:textId="77777777" w:rsidR="00584EC1" w:rsidRDefault="00584EC1">
            <w:pPr>
              <w:rPr>
                <w:rFonts w:ascii="宋体"/>
              </w:rPr>
            </w:pPr>
          </w:p>
        </w:tc>
        <w:tc>
          <w:tcPr>
            <w:tcW w:w="0" w:type="auto"/>
            <w:shd w:val="clear" w:color="auto" w:fill="auto"/>
            <w:vAlign w:val="bottom"/>
          </w:tcPr>
          <w:p w14:paraId="74DD6B2A" w14:textId="77777777" w:rsidR="00584EC1" w:rsidRDefault="00584EC1">
            <w:pPr>
              <w:rPr>
                <w:rFonts w:ascii="宋体"/>
              </w:rPr>
            </w:pPr>
          </w:p>
        </w:tc>
        <w:tc>
          <w:tcPr>
            <w:tcW w:w="0" w:type="auto"/>
            <w:shd w:val="clear" w:color="auto" w:fill="auto"/>
            <w:vAlign w:val="bottom"/>
          </w:tcPr>
          <w:p w14:paraId="74DD6B2B" w14:textId="77777777" w:rsidR="00584EC1" w:rsidRDefault="00584EC1">
            <w:pPr>
              <w:rPr>
                <w:rFonts w:ascii="宋体"/>
              </w:rPr>
            </w:pPr>
          </w:p>
        </w:tc>
        <w:tc>
          <w:tcPr>
            <w:tcW w:w="0" w:type="auto"/>
            <w:shd w:val="clear" w:color="auto" w:fill="auto"/>
            <w:vAlign w:val="bottom"/>
          </w:tcPr>
          <w:p w14:paraId="74DD6B2C" w14:textId="77777777" w:rsidR="00584EC1" w:rsidRDefault="00584EC1">
            <w:pPr>
              <w:rPr>
                <w:rFonts w:ascii="宋体"/>
              </w:rPr>
            </w:pPr>
          </w:p>
        </w:tc>
        <w:tc>
          <w:tcPr>
            <w:tcW w:w="0" w:type="auto"/>
            <w:shd w:val="clear" w:color="auto" w:fill="auto"/>
            <w:vAlign w:val="bottom"/>
          </w:tcPr>
          <w:p w14:paraId="74DD6B2D" w14:textId="77777777" w:rsidR="00584EC1" w:rsidRDefault="00584EC1">
            <w:pPr>
              <w:rPr>
                <w:rFonts w:ascii="宋体"/>
              </w:rPr>
            </w:pPr>
          </w:p>
        </w:tc>
        <w:tc>
          <w:tcPr>
            <w:tcW w:w="0" w:type="auto"/>
            <w:shd w:val="clear" w:color="auto" w:fill="auto"/>
            <w:vAlign w:val="bottom"/>
          </w:tcPr>
          <w:p w14:paraId="74DD6B2E" w14:textId="77777777" w:rsidR="00584EC1" w:rsidRDefault="00584EC1">
            <w:pPr>
              <w:rPr>
                <w:rFonts w:ascii="宋体"/>
              </w:rPr>
            </w:pPr>
          </w:p>
        </w:tc>
        <w:tc>
          <w:tcPr>
            <w:tcW w:w="0" w:type="auto"/>
            <w:shd w:val="clear" w:color="auto" w:fill="auto"/>
            <w:vAlign w:val="bottom"/>
          </w:tcPr>
          <w:p w14:paraId="74DD6B2F" w14:textId="77777777" w:rsidR="00584EC1" w:rsidRDefault="00584EC1">
            <w:pPr>
              <w:rPr>
                <w:rFonts w:ascii="宋体"/>
              </w:rPr>
            </w:pPr>
          </w:p>
        </w:tc>
        <w:tc>
          <w:tcPr>
            <w:tcW w:w="0" w:type="auto"/>
            <w:shd w:val="clear" w:color="auto" w:fill="auto"/>
            <w:vAlign w:val="bottom"/>
          </w:tcPr>
          <w:p w14:paraId="74DD6B30" w14:textId="77777777" w:rsidR="00584EC1" w:rsidRDefault="00584EC1">
            <w:pPr>
              <w:rPr>
                <w:rFonts w:ascii="宋体"/>
              </w:rPr>
            </w:pPr>
          </w:p>
        </w:tc>
        <w:tc>
          <w:tcPr>
            <w:tcW w:w="0" w:type="auto"/>
            <w:shd w:val="clear" w:color="auto" w:fill="auto"/>
            <w:vAlign w:val="bottom"/>
          </w:tcPr>
          <w:p w14:paraId="74DD6B31" w14:textId="77777777" w:rsidR="00584EC1" w:rsidRDefault="00584EC1">
            <w:pPr>
              <w:rPr>
                <w:rFonts w:ascii="宋体"/>
              </w:rPr>
            </w:pPr>
          </w:p>
        </w:tc>
      </w:tr>
      <w:tr w:rsidR="00584EC1" w14:paraId="74DD6B3F" w14:textId="77777777">
        <w:tc>
          <w:tcPr>
            <w:tcW w:w="0" w:type="auto"/>
            <w:gridSpan w:val="3"/>
            <w:shd w:val="clear" w:color="auto" w:fill="auto"/>
            <w:tcMar>
              <w:top w:w="0" w:type="dxa"/>
              <w:left w:w="20" w:type="dxa"/>
              <w:bottom w:w="0" w:type="dxa"/>
              <w:right w:w="20" w:type="dxa"/>
            </w:tcMar>
            <w:vAlign w:val="bottom"/>
          </w:tcPr>
          <w:p w14:paraId="74DD6B33" w14:textId="77777777" w:rsidR="00584EC1" w:rsidRDefault="00584EC1">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74DD6B34" w14:textId="77777777" w:rsidR="00584EC1" w:rsidRDefault="00871F8D">
            <w:pPr>
              <w:jc w:val="center"/>
              <w:textAlignment w:val="bottom"/>
            </w:pPr>
            <w:r>
              <w:rPr>
                <w:rFonts w:ascii="Arial" w:eastAsia="宋体" w:hAnsi="Arial" w:cs="Arial"/>
                <w:b/>
                <w:bCs/>
                <w:color w:val="000000"/>
                <w:sz w:val="12"/>
                <w:szCs w:val="12"/>
              </w:rPr>
              <w:t>Three Months Ended September 30,</w:t>
            </w:r>
          </w:p>
        </w:tc>
        <w:tc>
          <w:tcPr>
            <w:tcW w:w="0" w:type="auto"/>
            <w:shd w:val="clear" w:color="auto" w:fill="auto"/>
            <w:vAlign w:val="bottom"/>
          </w:tcPr>
          <w:p w14:paraId="74DD6B35" w14:textId="77777777" w:rsidR="00584EC1" w:rsidRDefault="00584EC1">
            <w:pPr>
              <w:rPr>
                <w:rFonts w:ascii="宋体"/>
                <w:vanish/>
              </w:rPr>
            </w:pPr>
          </w:p>
        </w:tc>
        <w:tc>
          <w:tcPr>
            <w:tcW w:w="0" w:type="auto"/>
            <w:shd w:val="clear" w:color="auto" w:fill="auto"/>
            <w:vAlign w:val="bottom"/>
          </w:tcPr>
          <w:p w14:paraId="74DD6B36" w14:textId="77777777" w:rsidR="00584EC1" w:rsidRDefault="00584EC1">
            <w:pPr>
              <w:rPr>
                <w:rFonts w:ascii="宋体"/>
                <w:vanish/>
              </w:rPr>
            </w:pPr>
          </w:p>
        </w:tc>
        <w:tc>
          <w:tcPr>
            <w:tcW w:w="0" w:type="auto"/>
            <w:shd w:val="clear" w:color="auto" w:fill="auto"/>
            <w:vAlign w:val="bottom"/>
          </w:tcPr>
          <w:p w14:paraId="74DD6B37" w14:textId="77777777" w:rsidR="00584EC1" w:rsidRDefault="00584EC1">
            <w:pPr>
              <w:rPr>
                <w:rFonts w:ascii="宋体"/>
                <w:vanish/>
              </w:rPr>
            </w:pPr>
          </w:p>
        </w:tc>
        <w:tc>
          <w:tcPr>
            <w:tcW w:w="0" w:type="auto"/>
            <w:shd w:val="clear" w:color="auto" w:fill="auto"/>
            <w:vAlign w:val="bottom"/>
          </w:tcPr>
          <w:p w14:paraId="74DD6B38" w14:textId="77777777" w:rsidR="00584EC1" w:rsidRDefault="00584EC1">
            <w:pPr>
              <w:rPr>
                <w:rFonts w:ascii="宋体"/>
                <w:vanish/>
              </w:rPr>
            </w:pPr>
          </w:p>
        </w:tc>
        <w:tc>
          <w:tcPr>
            <w:tcW w:w="0" w:type="auto"/>
            <w:gridSpan w:val="3"/>
            <w:shd w:val="clear" w:color="auto" w:fill="auto"/>
            <w:vAlign w:val="bottom"/>
          </w:tcPr>
          <w:p w14:paraId="74DD6B39" w14:textId="77777777" w:rsidR="00584EC1" w:rsidRDefault="00584EC1">
            <w:pPr>
              <w:rPr>
                <w:rFonts w:ascii="宋体"/>
                <w:vanish/>
              </w:rPr>
            </w:pPr>
          </w:p>
        </w:tc>
        <w:tc>
          <w:tcPr>
            <w:tcW w:w="0" w:type="auto"/>
            <w:gridSpan w:val="3"/>
            <w:shd w:val="clear" w:color="auto" w:fill="auto"/>
            <w:vAlign w:val="bottom"/>
          </w:tcPr>
          <w:p w14:paraId="74DD6B3A" w14:textId="77777777" w:rsidR="00584EC1" w:rsidRDefault="00584EC1">
            <w:pPr>
              <w:rPr>
                <w:rFonts w:ascii="宋体"/>
                <w:vanish/>
              </w:rPr>
            </w:pPr>
          </w:p>
        </w:tc>
        <w:tc>
          <w:tcPr>
            <w:tcW w:w="0" w:type="auto"/>
            <w:gridSpan w:val="3"/>
            <w:shd w:val="clear" w:color="auto" w:fill="auto"/>
            <w:vAlign w:val="bottom"/>
          </w:tcPr>
          <w:p w14:paraId="74DD6B3B" w14:textId="77777777" w:rsidR="00584EC1" w:rsidRDefault="00584EC1">
            <w:pPr>
              <w:rPr>
                <w:rFonts w:ascii="宋体"/>
                <w:vanish/>
              </w:rPr>
            </w:pPr>
          </w:p>
        </w:tc>
        <w:tc>
          <w:tcPr>
            <w:tcW w:w="0" w:type="auto"/>
            <w:gridSpan w:val="3"/>
            <w:shd w:val="clear" w:color="auto" w:fill="auto"/>
            <w:vAlign w:val="bottom"/>
          </w:tcPr>
          <w:p w14:paraId="74DD6B3C" w14:textId="77777777" w:rsidR="00584EC1" w:rsidRDefault="00584EC1">
            <w:pPr>
              <w:rPr>
                <w:rFonts w:ascii="宋体"/>
                <w:vanish/>
              </w:rPr>
            </w:pPr>
          </w:p>
        </w:tc>
        <w:tc>
          <w:tcPr>
            <w:tcW w:w="0" w:type="auto"/>
            <w:gridSpan w:val="2"/>
            <w:shd w:val="clear" w:color="auto" w:fill="auto"/>
            <w:vAlign w:val="bottom"/>
          </w:tcPr>
          <w:p w14:paraId="74DD6B3D" w14:textId="77777777" w:rsidR="00584EC1" w:rsidRDefault="00584EC1">
            <w:pPr>
              <w:rPr>
                <w:rFonts w:ascii="宋体"/>
                <w:vanish/>
              </w:rPr>
            </w:pPr>
          </w:p>
        </w:tc>
        <w:tc>
          <w:tcPr>
            <w:tcW w:w="0" w:type="auto"/>
            <w:shd w:val="clear" w:color="auto" w:fill="auto"/>
            <w:vAlign w:val="bottom"/>
          </w:tcPr>
          <w:p w14:paraId="74DD6B3E" w14:textId="77777777" w:rsidR="00584EC1" w:rsidRDefault="00584EC1">
            <w:pPr>
              <w:rPr>
                <w:rFonts w:ascii="宋体"/>
                <w:vanish/>
              </w:rPr>
            </w:pPr>
          </w:p>
        </w:tc>
      </w:tr>
      <w:tr w:rsidR="00584EC1" w14:paraId="74DD6B4F" w14:textId="77777777">
        <w:tc>
          <w:tcPr>
            <w:tcW w:w="0" w:type="auto"/>
            <w:gridSpan w:val="3"/>
            <w:shd w:val="clear" w:color="auto" w:fill="auto"/>
            <w:tcMar>
              <w:top w:w="0" w:type="dxa"/>
              <w:left w:w="20" w:type="dxa"/>
              <w:bottom w:w="0" w:type="dxa"/>
              <w:right w:w="20" w:type="dxa"/>
            </w:tcMar>
            <w:vAlign w:val="bottom"/>
          </w:tcPr>
          <w:p w14:paraId="74DD6B40" w14:textId="77777777" w:rsidR="00584EC1" w:rsidRDefault="00584EC1">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4DD6B41" w14:textId="77777777" w:rsidR="00584EC1" w:rsidRDefault="00871F8D">
            <w:pPr>
              <w:jc w:val="center"/>
              <w:textAlignment w:val="bottom"/>
            </w:pPr>
            <w:r>
              <w:rPr>
                <w:rFonts w:ascii="Arial" w:eastAsia="宋体" w:hAnsi="Arial" w:cs="Arial"/>
                <w:b/>
                <w:bCs/>
                <w:color w:val="000000"/>
                <w:sz w:val="12"/>
                <w:szCs w:val="12"/>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6B42" w14:textId="77777777" w:rsidR="00584EC1" w:rsidRDefault="00584EC1">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4DD6B43" w14:textId="77777777" w:rsidR="00584EC1" w:rsidRDefault="00871F8D">
            <w:pPr>
              <w:jc w:val="center"/>
              <w:textAlignment w:val="bottom"/>
            </w:pPr>
            <w:r>
              <w:rPr>
                <w:rFonts w:ascii="Arial" w:eastAsia="宋体" w:hAnsi="Arial" w:cs="Arial"/>
                <w:b/>
                <w:bCs/>
                <w:color w:val="000000"/>
                <w:sz w:val="12"/>
                <w:szCs w:val="12"/>
              </w:rPr>
              <w:t>2020</w:t>
            </w:r>
          </w:p>
        </w:tc>
        <w:tc>
          <w:tcPr>
            <w:tcW w:w="0" w:type="auto"/>
            <w:shd w:val="clear" w:color="auto" w:fill="auto"/>
            <w:vAlign w:val="bottom"/>
          </w:tcPr>
          <w:p w14:paraId="74DD6B44" w14:textId="77777777" w:rsidR="00584EC1" w:rsidRDefault="00584EC1">
            <w:pPr>
              <w:rPr>
                <w:rFonts w:ascii="宋体"/>
                <w:vanish/>
              </w:rPr>
            </w:pPr>
          </w:p>
        </w:tc>
        <w:tc>
          <w:tcPr>
            <w:tcW w:w="0" w:type="auto"/>
            <w:shd w:val="clear" w:color="auto" w:fill="auto"/>
            <w:vAlign w:val="bottom"/>
          </w:tcPr>
          <w:p w14:paraId="74DD6B45" w14:textId="77777777" w:rsidR="00584EC1" w:rsidRDefault="00584EC1">
            <w:pPr>
              <w:rPr>
                <w:rFonts w:ascii="宋体"/>
                <w:vanish/>
              </w:rPr>
            </w:pPr>
          </w:p>
        </w:tc>
        <w:tc>
          <w:tcPr>
            <w:tcW w:w="0" w:type="auto"/>
            <w:shd w:val="clear" w:color="auto" w:fill="auto"/>
            <w:vAlign w:val="bottom"/>
          </w:tcPr>
          <w:p w14:paraId="74DD6B46" w14:textId="77777777" w:rsidR="00584EC1" w:rsidRDefault="00584EC1">
            <w:pPr>
              <w:rPr>
                <w:rFonts w:ascii="宋体"/>
                <w:vanish/>
              </w:rPr>
            </w:pPr>
          </w:p>
        </w:tc>
        <w:tc>
          <w:tcPr>
            <w:tcW w:w="0" w:type="auto"/>
            <w:shd w:val="clear" w:color="auto" w:fill="auto"/>
            <w:vAlign w:val="bottom"/>
          </w:tcPr>
          <w:p w14:paraId="74DD6B47" w14:textId="77777777" w:rsidR="00584EC1" w:rsidRDefault="00584EC1">
            <w:pPr>
              <w:rPr>
                <w:rFonts w:ascii="宋体"/>
                <w:vanish/>
              </w:rPr>
            </w:pPr>
          </w:p>
        </w:tc>
        <w:tc>
          <w:tcPr>
            <w:tcW w:w="0" w:type="auto"/>
            <w:gridSpan w:val="3"/>
            <w:shd w:val="clear" w:color="auto" w:fill="auto"/>
            <w:vAlign w:val="bottom"/>
          </w:tcPr>
          <w:p w14:paraId="74DD6B48" w14:textId="77777777" w:rsidR="00584EC1" w:rsidRDefault="00584EC1">
            <w:pPr>
              <w:rPr>
                <w:rFonts w:ascii="宋体"/>
                <w:vanish/>
              </w:rPr>
            </w:pPr>
          </w:p>
        </w:tc>
        <w:tc>
          <w:tcPr>
            <w:tcW w:w="0" w:type="auto"/>
            <w:gridSpan w:val="3"/>
            <w:shd w:val="clear" w:color="auto" w:fill="auto"/>
            <w:vAlign w:val="bottom"/>
          </w:tcPr>
          <w:p w14:paraId="74DD6B49" w14:textId="77777777" w:rsidR="00584EC1" w:rsidRDefault="00584EC1">
            <w:pPr>
              <w:rPr>
                <w:rFonts w:ascii="宋体"/>
                <w:vanish/>
              </w:rPr>
            </w:pPr>
          </w:p>
        </w:tc>
        <w:tc>
          <w:tcPr>
            <w:tcW w:w="0" w:type="auto"/>
            <w:gridSpan w:val="3"/>
            <w:shd w:val="clear" w:color="auto" w:fill="auto"/>
            <w:vAlign w:val="bottom"/>
          </w:tcPr>
          <w:p w14:paraId="74DD6B4A" w14:textId="77777777" w:rsidR="00584EC1" w:rsidRDefault="00584EC1">
            <w:pPr>
              <w:rPr>
                <w:rFonts w:ascii="宋体"/>
                <w:vanish/>
              </w:rPr>
            </w:pPr>
          </w:p>
        </w:tc>
        <w:tc>
          <w:tcPr>
            <w:tcW w:w="0" w:type="auto"/>
            <w:gridSpan w:val="3"/>
            <w:shd w:val="clear" w:color="auto" w:fill="auto"/>
            <w:vAlign w:val="bottom"/>
          </w:tcPr>
          <w:p w14:paraId="74DD6B4B" w14:textId="77777777" w:rsidR="00584EC1" w:rsidRDefault="00584EC1">
            <w:pPr>
              <w:rPr>
                <w:rFonts w:ascii="宋体"/>
                <w:vanish/>
              </w:rPr>
            </w:pPr>
          </w:p>
        </w:tc>
        <w:tc>
          <w:tcPr>
            <w:tcW w:w="0" w:type="auto"/>
            <w:shd w:val="clear" w:color="auto" w:fill="auto"/>
            <w:vAlign w:val="bottom"/>
          </w:tcPr>
          <w:p w14:paraId="74DD6B4C" w14:textId="77777777" w:rsidR="00584EC1" w:rsidRDefault="00584EC1">
            <w:pPr>
              <w:rPr>
                <w:rFonts w:ascii="宋体"/>
              </w:rPr>
            </w:pPr>
          </w:p>
        </w:tc>
        <w:tc>
          <w:tcPr>
            <w:tcW w:w="0" w:type="auto"/>
            <w:shd w:val="clear" w:color="auto" w:fill="auto"/>
            <w:vAlign w:val="bottom"/>
          </w:tcPr>
          <w:p w14:paraId="74DD6B4D" w14:textId="77777777" w:rsidR="00584EC1" w:rsidRDefault="00584EC1">
            <w:pPr>
              <w:rPr>
                <w:rFonts w:ascii="宋体"/>
              </w:rPr>
            </w:pPr>
          </w:p>
        </w:tc>
        <w:tc>
          <w:tcPr>
            <w:tcW w:w="0" w:type="auto"/>
            <w:shd w:val="clear" w:color="auto" w:fill="auto"/>
            <w:vAlign w:val="bottom"/>
          </w:tcPr>
          <w:p w14:paraId="74DD6B4E" w14:textId="77777777" w:rsidR="00584EC1" w:rsidRDefault="00584EC1">
            <w:pPr>
              <w:rPr>
                <w:rFonts w:ascii="宋体"/>
              </w:rPr>
            </w:pPr>
          </w:p>
        </w:tc>
      </w:tr>
      <w:tr w:rsidR="00584EC1" w14:paraId="74DD6B66" w14:textId="77777777">
        <w:tc>
          <w:tcPr>
            <w:tcW w:w="0" w:type="auto"/>
            <w:gridSpan w:val="3"/>
            <w:shd w:val="clear" w:color="auto" w:fill="auto"/>
            <w:tcMar>
              <w:top w:w="40" w:type="dxa"/>
              <w:left w:w="20" w:type="dxa"/>
              <w:bottom w:w="40" w:type="dxa"/>
              <w:right w:w="20" w:type="dxa"/>
            </w:tcMar>
            <w:vAlign w:val="bottom"/>
          </w:tcPr>
          <w:p w14:paraId="74DD6B50" w14:textId="77777777" w:rsidR="00584EC1" w:rsidRDefault="00871F8D">
            <w:pPr>
              <w:textAlignment w:val="bottom"/>
            </w:pPr>
            <w:r>
              <w:rPr>
                <w:rFonts w:ascii="Arial" w:eastAsia="宋体" w:hAnsi="Arial" w:cs="Arial"/>
                <w:b/>
                <w:bCs/>
                <w:color w:val="000000"/>
                <w:sz w:val="12"/>
                <w:szCs w:val="12"/>
              </w:rPr>
              <w:t>(Dollars in millions; fully taxable-equivalent basis)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6B51" w14:textId="77777777" w:rsidR="00584EC1" w:rsidRDefault="00871F8D">
            <w:pPr>
              <w:jc w:val="center"/>
              <w:textAlignment w:val="bottom"/>
            </w:pPr>
            <w:r>
              <w:rPr>
                <w:rFonts w:ascii="Arial" w:eastAsia="宋体" w:hAnsi="Arial" w:cs="Arial"/>
                <w:b/>
                <w:bCs/>
                <w:color w:val="000000"/>
                <w:sz w:val="12"/>
                <w:szCs w:val="12"/>
              </w:rPr>
              <w:t>Average</w:t>
            </w:r>
            <w:r>
              <w:rPr>
                <w:rFonts w:ascii="Arial" w:eastAsia="宋体" w:hAnsi="Arial" w:cs="Arial"/>
                <w:b/>
                <w:bCs/>
                <w:color w:val="000000"/>
                <w:sz w:val="12"/>
                <w:szCs w:val="12"/>
              </w:rPr>
              <w:br/>
              <w:t>Balance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6B52"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6B53" w14:textId="77777777" w:rsidR="00584EC1" w:rsidRDefault="00871F8D">
            <w:pPr>
              <w:jc w:val="center"/>
              <w:textAlignment w:val="bottom"/>
            </w:pPr>
            <w:r>
              <w:rPr>
                <w:rFonts w:ascii="Arial" w:eastAsia="宋体" w:hAnsi="Arial" w:cs="Arial"/>
                <w:b/>
                <w:bCs/>
                <w:color w:val="000000"/>
                <w:sz w:val="12"/>
                <w:szCs w:val="12"/>
              </w:rPr>
              <w:t>Interest</w:t>
            </w:r>
            <w:r>
              <w:rPr>
                <w:rFonts w:ascii="Arial" w:eastAsia="宋体" w:hAnsi="Arial" w:cs="Arial"/>
                <w:b/>
                <w:bCs/>
                <w:color w:val="000000"/>
                <w:sz w:val="12"/>
                <w:szCs w:val="12"/>
              </w:rPr>
              <w:br/>
              <w:t>Revenue/Expense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6B54"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6B55" w14:textId="77777777" w:rsidR="00584EC1" w:rsidRDefault="00871F8D">
            <w:pPr>
              <w:jc w:val="center"/>
              <w:textAlignment w:val="bottom"/>
            </w:pPr>
            <w:r>
              <w:rPr>
                <w:rFonts w:ascii="Arial" w:eastAsia="宋体" w:hAnsi="Arial" w:cs="Arial"/>
                <w:b/>
                <w:bCs/>
                <w:color w:val="000000"/>
                <w:sz w:val="12"/>
                <w:szCs w:val="12"/>
              </w:rPr>
              <w:t>Rate</w:t>
            </w:r>
          </w:p>
        </w:tc>
        <w:tc>
          <w:tcPr>
            <w:tcW w:w="0" w:type="auto"/>
            <w:gridSpan w:val="3"/>
            <w:shd w:val="clear" w:color="auto" w:fill="auto"/>
            <w:tcMar>
              <w:top w:w="0" w:type="dxa"/>
              <w:left w:w="20" w:type="dxa"/>
              <w:bottom w:w="0" w:type="dxa"/>
              <w:right w:w="20" w:type="dxa"/>
            </w:tcMar>
            <w:vAlign w:val="bottom"/>
          </w:tcPr>
          <w:p w14:paraId="74DD6B56"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6B57" w14:textId="77777777" w:rsidR="00584EC1" w:rsidRDefault="00871F8D">
            <w:pPr>
              <w:jc w:val="center"/>
              <w:textAlignment w:val="bottom"/>
            </w:pPr>
            <w:r>
              <w:rPr>
                <w:rFonts w:ascii="Arial" w:eastAsia="宋体" w:hAnsi="Arial" w:cs="Arial"/>
                <w:b/>
                <w:bCs/>
                <w:color w:val="000000"/>
                <w:sz w:val="12"/>
                <w:szCs w:val="12"/>
              </w:rPr>
              <w:t>Average</w:t>
            </w:r>
            <w:r>
              <w:rPr>
                <w:rFonts w:ascii="Arial" w:eastAsia="宋体" w:hAnsi="Arial" w:cs="Arial"/>
                <w:b/>
                <w:bCs/>
                <w:color w:val="000000"/>
                <w:sz w:val="12"/>
                <w:szCs w:val="12"/>
              </w:rPr>
              <w:br/>
              <w:t>Balance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6B58"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6B59" w14:textId="77777777" w:rsidR="00584EC1" w:rsidRDefault="00871F8D">
            <w:pPr>
              <w:jc w:val="center"/>
              <w:textAlignment w:val="bottom"/>
            </w:pPr>
            <w:r>
              <w:rPr>
                <w:rFonts w:ascii="Arial" w:eastAsia="宋体" w:hAnsi="Arial" w:cs="Arial"/>
                <w:b/>
                <w:bCs/>
                <w:color w:val="000000"/>
                <w:sz w:val="12"/>
                <w:szCs w:val="12"/>
              </w:rPr>
              <w:t>Interest</w:t>
            </w:r>
            <w:r>
              <w:rPr>
                <w:rFonts w:ascii="Arial" w:eastAsia="宋体" w:hAnsi="Arial" w:cs="Arial"/>
                <w:b/>
                <w:bCs/>
                <w:color w:val="000000"/>
                <w:sz w:val="12"/>
                <w:szCs w:val="12"/>
              </w:rPr>
              <w:br/>
              <w:t>Revenue/Expense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6B5A"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6B5B" w14:textId="77777777" w:rsidR="00584EC1" w:rsidRDefault="00871F8D">
            <w:pPr>
              <w:jc w:val="center"/>
              <w:textAlignment w:val="bottom"/>
            </w:pPr>
            <w:r>
              <w:rPr>
                <w:rFonts w:ascii="Arial" w:eastAsia="宋体" w:hAnsi="Arial" w:cs="Arial"/>
                <w:b/>
                <w:bCs/>
                <w:color w:val="000000"/>
                <w:sz w:val="12"/>
                <w:szCs w:val="12"/>
              </w:rPr>
              <w:t>Rate</w:t>
            </w:r>
          </w:p>
        </w:tc>
        <w:tc>
          <w:tcPr>
            <w:tcW w:w="0" w:type="auto"/>
            <w:shd w:val="clear" w:color="auto" w:fill="auto"/>
            <w:vAlign w:val="bottom"/>
          </w:tcPr>
          <w:p w14:paraId="74DD6B5C" w14:textId="77777777" w:rsidR="00584EC1" w:rsidRDefault="00584EC1">
            <w:pPr>
              <w:rPr>
                <w:rFonts w:ascii="宋体"/>
                <w:vanish/>
              </w:rPr>
            </w:pPr>
          </w:p>
        </w:tc>
        <w:tc>
          <w:tcPr>
            <w:tcW w:w="0" w:type="auto"/>
            <w:shd w:val="clear" w:color="auto" w:fill="auto"/>
            <w:vAlign w:val="bottom"/>
          </w:tcPr>
          <w:p w14:paraId="74DD6B5D" w14:textId="77777777" w:rsidR="00584EC1" w:rsidRDefault="00584EC1">
            <w:pPr>
              <w:rPr>
                <w:rFonts w:ascii="宋体"/>
                <w:vanish/>
              </w:rPr>
            </w:pPr>
          </w:p>
        </w:tc>
        <w:tc>
          <w:tcPr>
            <w:tcW w:w="0" w:type="auto"/>
            <w:shd w:val="clear" w:color="auto" w:fill="auto"/>
            <w:vAlign w:val="bottom"/>
          </w:tcPr>
          <w:p w14:paraId="74DD6B5E" w14:textId="77777777" w:rsidR="00584EC1" w:rsidRDefault="00584EC1">
            <w:pPr>
              <w:rPr>
                <w:rFonts w:ascii="宋体"/>
                <w:vanish/>
              </w:rPr>
            </w:pPr>
          </w:p>
        </w:tc>
        <w:tc>
          <w:tcPr>
            <w:tcW w:w="0" w:type="auto"/>
            <w:shd w:val="clear" w:color="auto" w:fill="auto"/>
            <w:vAlign w:val="bottom"/>
          </w:tcPr>
          <w:p w14:paraId="74DD6B5F" w14:textId="77777777" w:rsidR="00584EC1" w:rsidRDefault="00584EC1">
            <w:pPr>
              <w:rPr>
                <w:rFonts w:ascii="宋体"/>
                <w:vanish/>
              </w:rPr>
            </w:pPr>
          </w:p>
        </w:tc>
        <w:tc>
          <w:tcPr>
            <w:tcW w:w="0" w:type="auto"/>
            <w:gridSpan w:val="3"/>
            <w:shd w:val="clear" w:color="auto" w:fill="auto"/>
            <w:vAlign w:val="bottom"/>
          </w:tcPr>
          <w:p w14:paraId="74DD6B60" w14:textId="77777777" w:rsidR="00584EC1" w:rsidRDefault="00584EC1">
            <w:pPr>
              <w:rPr>
                <w:rFonts w:ascii="宋体"/>
                <w:vanish/>
              </w:rPr>
            </w:pPr>
          </w:p>
        </w:tc>
        <w:tc>
          <w:tcPr>
            <w:tcW w:w="0" w:type="auto"/>
            <w:gridSpan w:val="3"/>
            <w:shd w:val="clear" w:color="auto" w:fill="auto"/>
            <w:vAlign w:val="bottom"/>
          </w:tcPr>
          <w:p w14:paraId="74DD6B61" w14:textId="77777777" w:rsidR="00584EC1" w:rsidRDefault="00584EC1">
            <w:pPr>
              <w:rPr>
                <w:rFonts w:ascii="宋体"/>
                <w:vanish/>
              </w:rPr>
            </w:pPr>
          </w:p>
        </w:tc>
        <w:tc>
          <w:tcPr>
            <w:tcW w:w="0" w:type="auto"/>
            <w:gridSpan w:val="3"/>
            <w:shd w:val="clear" w:color="auto" w:fill="auto"/>
            <w:vAlign w:val="bottom"/>
          </w:tcPr>
          <w:p w14:paraId="74DD6B62" w14:textId="77777777" w:rsidR="00584EC1" w:rsidRDefault="00584EC1">
            <w:pPr>
              <w:rPr>
                <w:rFonts w:ascii="宋体"/>
                <w:vanish/>
              </w:rPr>
            </w:pPr>
          </w:p>
        </w:tc>
        <w:tc>
          <w:tcPr>
            <w:tcW w:w="0" w:type="auto"/>
            <w:gridSpan w:val="3"/>
            <w:shd w:val="clear" w:color="auto" w:fill="auto"/>
            <w:vAlign w:val="bottom"/>
          </w:tcPr>
          <w:p w14:paraId="74DD6B63" w14:textId="77777777" w:rsidR="00584EC1" w:rsidRDefault="00584EC1">
            <w:pPr>
              <w:rPr>
                <w:rFonts w:ascii="宋体"/>
                <w:vanish/>
              </w:rPr>
            </w:pPr>
          </w:p>
        </w:tc>
        <w:tc>
          <w:tcPr>
            <w:tcW w:w="0" w:type="auto"/>
            <w:gridSpan w:val="2"/>
            <w:shd w:val="clear" w:color="auto" w:fill="auto"/>
            <w:vAlign w:val="bottom"/>
          </w:tcPr>
          <w:p w14:paraId="74DD6B64" w14:textId="77777777" w:rsidR="00584EC1" w:rsidRDefault="00584EC1">
            <w:pPr>
              <w:rPr>
                <w:rFonts w:ascii="宋体"/>
                <w:vanish/>
              </w:rPr>
            </w:pPr>
          </w:p>
        </w:tc>
        <w:tc>
          <w:tcPr>
            <w:tcW w:w="0" w:type="auto"/>
            <w:shd w:val="clear" w:color="auto" w:fill="auto"/>
            <w:vAlign w:val="bottom"/>
          </w:tcPr>
          <w:p w14:paraId="74DD6B65" w14:textId="77777777" w:rsidR="00584EC1" w:rsidRDefault="00584EC1">
            <w:pPr>
              <w:rPr>
                <w:rFonts w:ascii="宋体"/>
                <w:vanish/>
              </w:rPr>
            </w:pPr>
          </w:p>
        </w:tc>
      </w:tr>
      <w:tr w:rsidR="00584EC1" w14:paraId="74DD6B87" w14:textId="77777777">
        <w:tc>
          <w:tcPr>
            <w:tcW w:w="0" w:type="auto"/>
            <w:gridSpan w:val="3"/>
            <w:shd w:val="clear" w:color="auto" w:fill="CCEEFF"/>
            <w:tcMar>
              <w:top w:w="40" w:type="dxa"/>
              <w:left w:w="20" w:type="dxa"/>
              <w:bottom w:w="40" w:type="dxa"/>
              <w:right w:w="20" w:type="dxa"/>
            </w:tcMar>
            <w:vAlign w:val="bottom"/>
          </w:tcPr>
          <w:p w14:paraId="74DD6B67" w14:textId="77777777" w:rsidR="00584EC1" w:rsidRDefault="00871F8D">
            <w:pPr>
              <w:textAlignment w:val="bottom"/>
            </w:pPr>
            <w:r>
              <w:rPr>
                <w:rFonts w:ascii="Arial" w:eastAsia="宋体" w:hAnsi="Arial" w:cs="Arial"/>
                <w:color w:val="000000"/>
                <w:sz w:val="12"/>
                <w:szCs w:val="12"/>
              </w:rPr>
              <w:t xml:space="preserve">Interest-bearing deposits with banks </w:t>
            </w:r>
            <w:r>
              <w:rPr>
                <w:rFonts w:ascii="Arial" w:eastAsia="宋体" w:hAnsi="Arial" w:cs="Arial"/>
                <w:color w:val="000000"/>
                <w:sz w:val="7"/>
                <w:szCs w:val="7"/>
              </w:rPr>
              <w:t>(2)</w:t>
            </w:r>
          </w:p>
        </w:tc>
        <w:tc>
          <w:tcPr>
            <w:tcW w:w="0" w:type="auto"/>
            <w:tcBorders>
              <w:top w:val="single" w:sz="8" w:space="0" w:color="000000"/>
            </w:tcBorders>
            <w:shd w:val="clear" w:color="auto" w:fill="CCEEFF"/>
            <w:tcMar>
              <w:top w:w="40" w:type="dxa"/>
              <w:left w:w="20" w:type="dxa"/>
              <w:bottom w:w="40" w:type="dxa"/>
              <w:right w:w="0" w:type="dxa"/>
            </w:tcMar>
            <w:vAlign w:val="bottom"/>
          </w:tcPr>
          <w:p w14:paraId="74DD6B68"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6B69" w14:textId="77777777" w:rsidR="00584EC1" w:rsidRDefault="00871F8D">
            <w:pPr>
              <w:jc w:val="right"/>
              <w:textAlignment w:val="bottom"/>
            </w:pPr>
            <w:r>
              <w:rPr>
                <w:rFonts w:ascii="Arial" w:eastAsia="宋体" w:hAnsi="Arial" w:cs="Arial"/>
                <w:b/>
                <w:bCs/>
                <w:color w:val="000000"/>
                <w:sz w:val="12"/>
                <w:szCs w:val="12"/>
              </w:rPr>
              <w:t>79,375</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6B6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B6B"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6B6C"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6B6D"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6B6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B6F"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6B70"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6B71" w14:textId="77777777" w:rsidR="00584EC1" w:rsidRDefault="00871F8D">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vAlign w:val="bottom"/>
          </w:tcPr>
          <w:p w14:paraId="74DD6B72"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6B73"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6B74" w14:textId="77777777" w:rsidR="00584EC1" w:rsidRDefault="00871F8D">
            <w:pPr>
              <w:jc w:val="right"/>
              <w:textAlignment w:val="bottom"/>
            </w:pPr>
            <w:r>
              <w:rPr>
                <w:rFonts w:ascii="Arial" w:eastAsia="宋体" w:hAnsi="Arial" w:cs="Arial"/>
                <w:color w:val="000000"/>
                <w:sz w:val="12"/>
                <w:szCs w:val="12"/>
              </w:rPr>
              <w:t>72,717 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6B7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B76"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6B77"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6B78" w14:textId="77777777" w:rsidR="00584EC1" w:rsidRDefault="00871F8D">
            <w:pPr>
              <w:jc w:val="right"/>
              <w:textAlignment w:val="bottom"/>
            </w:pPr>
            <w:r>
              <w:rPr>
                <w:rFonts w:ascii="Arial" w:eastAsia="宋体" w:hAnsi="Arial" w:cs="Arial"/>
                <w:color w:val="000000"/>
                <w:sz w:val="12"/>
                <w:szCs w:val="12"/>
              </w:rPr>
              <w:t>(6)</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6B7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B7A"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6B7B" w14:textId="77777777" w:rsidR="00584EC1" w:rsidRDefault="00871F8D">
            <w:pPr>
              <w:jc w:val="right"/>
              <w:textAlignment w:val="bottom"/>
            </w:pPr>
            <w:r>
              <w:rPr>
                <w:rFonts w:ascii="Arial" w:eastAsia="宋体" w:hAnsi="Arial" w:cs="Arial"/>
                <w:color w:val="000000"/>
                <w:sz w:val="12"/>
                <w:szCs w:val="12"/>
              </w:rPr>
              <w:t>(.03)</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6B7C" w14:textId="77777777" w:rsidR="00584EC1" w:rsidRDefault="00871F8D">
            <w:pPr>
              <w:jc w:val="right"/>
              <w:textAlignment w:val="bottom"/>
            </w:pPr>
            <w:r>
              <w:rPr>
                <w:rFonts w:ascii="Arial" w:eastAsia="宋体" w:hAnsi="Arial" w:cs="Arial"/>
                <w:color w:val="000000"/>
                <w:sz w:val="12"/>
                <w:szCs w:val="12"/>
              </w:rPr>
              <w:t>%</w:t>
            </w:r>
          </w:p>
        </w:tc>
        <w:tc>
          <w:tcPr>
            <w:tcW w:w="0" w:type="auto"/>
            <w:shd w:val="clear" w:color="auto" w:fill="auto"/>
            <w:vAlign w:val="bottom"/>
          </w:tcPr>
          <w:p w14:paraId="74DD6B7D" w14:textId="77777777" w:rsidR="00584EC1" w:rsidRDefault="00584EC1">
            <w:pPr>
              <w:rPr>
                <w:rFonts w:ascii="宋体"/>
                <w:vanish/>
              </w:rPr>
            </w:pPr>
          </w:p>
        </w:tc>
        <w:tc>
          <w:tcPr>
            <w:tcW w:w="0" w:type="auto"/>
            <w:shd w:val="clear" w:color="auto" w:fill="auto"/>
            <w:vAlign w:val="bottom"/>
          </w:tcPr>
          <w:p w14:paraId="74DD6B7E" w14:textId="77777777" w:rsidR="00584EC1" w:rsidRDefault="00584EC1">
            <w:pPr>
              <w:rPr>
                <w:rFonts w:ascii="宋体"/>
                <w:vanish/>
              </w:rPr>
            </w:pPr>
          </w:p>
        </w:tc>
        <w:tc>
          <w:tcPr>
            <w:tcW w:w="0" w:type="auto"/>
            <w:shd w:val="clear" w:color="auto" w:fill="auto"/>
            <w:vAlign w:val="bottom"/>
          </w:tcPr>
          <w:p w14:paraId="74DD6B7F" w14:textId="77777777" w:rsidR="00584EC1" w:rsidRDefault="00584EC1">
            <w:pPr>
              <w:rPr>
                <w:rFonts w:ascii="宋体"/>
                <w:vanish/>
              </w:rPr>
            </w:pPr>
          </w:p>
        </w:tc>
        <w:tc>
          <w:tcPr>
            <w:tcW w:w="0" w:type="auto"/>
            <w:shd w:val="clear" w:color="auto" w:fill="auto"/>
            <w:vAlign w:val="bottom"/>
          </w:tcPr>
          <w:p w14:paraId="74DD6B80" w14:textId="77777777" w:rsidR="00584EC1" w:rsidRDefault="00584EC1">
            <w:pPr>
              <w:rPr>
                <w:rFonts w:ascii="宋体"/>
                <w:vanish/>
              </w:rPr>
            </w:pPr>
          </w:p>
        </w:tc>
        <w:tc>
          <w:tcPr>
            <w:tcW w:w="0" w:type="auto"/>
            <w:gridSpan w:val="3"/>
            <w:shd w:val="clear" w:color="auto" w:fill="auto"/>
            <w:vAlign w:val="bottom"/>
          </w:tcPr>
          <w:p w14:paraId="74DD6B81" w14:textId="77777777" w:rsidR="00584EC1" w:rsidRDefault="00584EC1">
            <w:pPr>
              <w:rPr>
                <w:rFonts w:ascii="宋体"/>
                <w:vanish/>
              </w:rPr>
            </w:pPr>
          </w:p>
        </w:tc>
        <w:tc>
          <w:tcPr>
            <w:tcW w:w="0" w:type="auto"/>
            <w:gridSpan w:val="3"/>
            <w:shd w:val="clear" w:color="auto" w:fill="auto"/>
            <w:vAlign w:val="bottom"/>
          </w:tcPr>
          <w:p w14:paraId="74DD6B82" w14:textId="77777777" w:rsidR="00584EC1" w:rsidRDefault="00584EC1">
            <w:pPr>
              <w:rPr>
                <w:rFonts w:ascii="宋体"/>
                <w:vanish/>
              </w:rPr>
            </w:pPr>
          </w:p>
        </w:tc>
        <w:tc>
          <w:tcPr>
            <w:tcW w:w="0" w:type="auto"/>
            <w:gridSpan w:val="3"/>
            <w:shd w:val="clear" w:color="auto" w:fill="auto"/>
            <w:vAlign w:val="bottom"/>
          </w:tcPr>
          <w:p w14:paraId="74DD6B83" w14:textId="77777777" w:rsidR="00584EC1" w:rsidRDefault="00584EC1">
            <w:pPr>
              <w:rPr>
                <w:rFonts w:ascii="宋体"/>
                <w:vanish/>
              </w:rPr>
            </w:pPr>
          </w:p>
        </w:tc>
        <w:tc>
          <w:tcPr>
            <w:tcW w:w="0" w:type="auto"/>
            <w:gridSpan w:val="3"/>
            <w:shd w:val="clear" w:color="auto" w:fill="auto"/>
            <w:vAlign w:val="bottom"/>
          </w:tcPr>
          <w:p w14:paraId="74DD6B84" w14:textId="77777777" w:rsidR="00584EC1" w:rsidRDefault="00584EC1">
            <w:pPr>
              <w:rPr>
                <w:rFonts w:ascii="宋体"/>
                <w:vanish/>
              </w:rPr>
            </w:pPr>
          </w:p>
        </w:tc>
        <w:tc>
          <w:tcPr>
            <w:tcW w:w="0" w:type="auto"/>
            <w:gridSpan w:val="2"/>
            <w:shd w:val="clear" w:color="auto" w:fill="auto"/>
            <w:vAlign w:val="bottom"/>
          </w:tcPr>
          <w:p w14:paraId="74DD6B85" w14:textId="77777777" w:rsidR="00584EC1" w:rsidRDefault="00584EC1">
            <w:pPr>
              <w:rPr>
                <w:rFonts w:ascii="宋体"/>
                <w:vanish/>
              </w:rPr>
            </w:pPr>
          </w:p>
        </w:tc>
        <w:tc>
          <w:tcPr>
            <w:tcW w:w="0" w:type="auto"/>
            <w:shd w:val="clear" w:color="auto" w:fill="auto"/>
            <w:vAlign w:val="bottom"/>
          </w:tcPr>
          <w:p w14:paraId="74DD6B86" w14:textId="77777777" w:rsidR="00584EC1" w:rsidRDefault="00584EC1">
            <w:pPr>
              <w:rPr>
                <w:rFonts w:ascii="宋体"/>
                <w:vanish/>
              </w:rPr>
            </w:pPr>
          </w:p>
        </w:tc>
      </w:tr>
      <w:tr w:rsidR="00584EC1" w14:paraId="74DD6BA4" w14:textId="77777777">
        <w:tc>
          <w:tcPr>
            <w:tcW w:w="0" w:type="auto"/>
            <w:gridSpan w:val="3"/>
            <w:shd w:val="clear" w:color="auto" w:fill="FFFFFF"/>
            <w:tcMar>
              <w:top w:w="40" w:type="dxa"/>
              <w:left w:w="20" w:type="dxa"/>
              <w:bottom w:w="40" w:type="dxa"/>
              <w:right w:w="20" w:type="dxa"/>
            </w:tcMar>
            <w:vAlign w:val="bottom"/>
          </w:tcPr>
          <w:p w14:paraId="74DD6B88" w14:textId="77777777" w:rsidR="00584EC1" w:rsidRDefault="00871F8D">
            <w:pPr>
              <w:textAlignment w:val="bottom"/>
            </w:pPr>
            <w:r>
              <w:rPr>
                <w:rFonts w:ascii="Arial" w:eastAsia="宋体" w:hAnsi="Arial" w:cs="Arial"/>
                <w:color w:val="000000"/>
                <w:sz w:val="12"/>
                <w:szCs w:val="12"/>
              </w:rPr>
              <w:t>Securities purchased under resale agreements</w:t>
            </w:r>
            <w:r>
              <w:rPr>
                <w:rFonts w:ascii="Arial" w:eastAsia="宋体" w:hAnsi="Arial" w:cs="Arial"/>
                <w:color w:val="000000"/>
                <w:sz w:val="7"/>
                <w:szCs w:val="7"/>
              </w:rPr>
              <w:t>(3)</w:t>
            </w:r>
          </w:p>
        </w:tc>
        <w:tc>
          <w:tcPr>
            <w:tcW w:w="0" w:type="auto"/>
            <w:gridSpan w:val="2"/>
            <w:shd w:val="clear" w:color="auto" w:fill="FFFFFF"/>
            <w:tcMar>
              <w:top w:w="40" w:type="dxa"/>
              <w:left w:w="20" w:type="dxa"/>
              <w:bottom w:w="40" w:type="dxa"/>
              <w:right w:w="0" w:type="dxa"/>
            </w:tcMar>
            <w:vAlign w:val="bottom"/>
          </w:tcPr>
          <w:p w14:paraId="74DD6B89" w14:textId="77777777" w:rsidR="00584EC1" w:rsidRDefault="00871F8D">
            <w:pPr>
              <w:jc w:val="right"/>
              <w:textAlignment w:val="bottom"/>
            </w:pPr>
            <w:r>
              <w:rPr>
                <w:rFonts w:ascii="Arial" w:eastAsia="宋体" w:hAnsi="Arial" w:cs="Arial"/>
                <w:b/>
                <w:bCs/>
                <w:color w:val="000000"/>
                <w:sz w:val="12"/>
                <w:szCs w:val="12"/>
              </w:rPr>
              <w:t>4,061</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6B8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B8B"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B8C" w14:textId="77777777" w:rsidR="00584EC1" w:rsidRDefault="00871F8D">
            <w:pPr>
              <w:jc w:val="right"/>
              <w:textAlignment w:val="bottom"/>
            </w:pPr>
            <w:r>
              <w:rPr>
                <w:rFonts w:ascii="Arial" w:eastAsia="宋体" w:hAnsi="Arial" w:cs="Arial"/>
                <w:b/>
                <w:bCs/>
                <w:color w:val="000000"/>
                <w:sz w:val="12"/>
                <w:szCs w:val="12"/>
              </w:rPr>
              <w:t>6</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6B8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B8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B8F" w14:textId="77777777" w:rsidR="00584EC1" w:rsidRDefault="00871F8D">
            <w:pPr>
              <w:jc w:val="right"/>
              <w:textAlignment w:val="bottom"/>
            </w:pPr>
            <w:r>
              <w:rPr>
                <w:rFonts w:ascii="Arial" w:eastAsia="宋体" w:hAnsi="Arial" w:cs="Arial"/>
                <w:b/>
                <w:bCs/>
                <w:color w:val="000000"/>
                <w:sz w:val="12"/>
                <w:szCs w:val="12"/>
              </w:rPr>
              <w:t>.65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6B9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B9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B92" w14:textId="77777777" w:rsidR="00584EC1" w:rsidRDefault="00871F8D">
            <w:pPr>
              <w:jc w:val="right"/>
              <w:textAlignment w:val="bottom"/>
            </w:pPr>
            <w:r>
              <w:rPr>
                <w:rFonts w:ascii="Arial" w:eastAsia="宋体" w:hAnsi="Arial" w:cs="Arial"/>
                <w:color w:val="000000"/>
                <w:sz w:val="12"/>
                <w:szCs w:val="12"/>
              </w:rPr>
              <w:t>4,181 </w:t>
            </w:r>
          </w:p>
        </w:tc>
        <w:tc>
          <w:tcPr>
            <w:tcW w:w="0" w:type="auto"/>
            <w:shd w:val="clear" w:color="auto" w:fill="FFFFFF"/>
            <w:tcMar>
              <w:top w:w="40" w:type="dxa"/>
              <w:left w:w="0" w:type="dxa"/>
              <w:bottom w:w="40" w:type="dxa"/>
              <w:right w:w="20" w:type="dxa"/>
            </w:tcMar>
            <w:vAlign w:val="bottom"/>
          </w:tcPr>
          <w:p w14:paraId="74DD6B9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B9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B95" w14:textId="77777777" w:rsidR="00584EC1" w:rsidRDefault="00871F8D">
            <w:pPr>
              <w:jc w:val="right"/>
              <w:textAlignment w:val="bottom"/>
            </w:pPr>
            <w:r>
              <w:rPr>
                <w:rFonts w:ascii="Arial" w:eastAsia="宋体" w:hAnsi="Arial" w:cs="Arial"/>
                <w:color w:val="000000"/>
                <w:sz w:val="12"/>
                <w:szCs w:val="12"/>
              </w:rPr>
              <w:t>20 </w:t>
            </w:r>
          </w:p>
        </w:tc>
        <w:tc>
          <w:tcPr>
            <w:tcW w:w="0" w:type="auto"/>
            <w:shd w:val="clear" w:color="auto" w:fill="FFFFFF"/>
            <w:tcMar>
              <w:top w:w="40" w:type="dxa"/>
              <w:left w:w="0" w:type="dxa"/>
              <w:bottom w:w="40" w:type="dxa"/>
              <w:right w:w="20" w:type="dxa"/>
            </w:tcMar>
            <w:vAlign w:val="bottom"/>
          </w:tcPr>
          <w:p w14:paraId="74DD6B9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B9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B98" w14:textId="77777777" w:rsidR="00584EC1" w:rsidRDefault="00871F8D">
            <w:pPr>
              <w:jc w:val="right"/>
              <w:textAlignment w:val="bottom"/>
            </w:pPr>
            <w:r>
              <w:rPr>
                <w:rFonts w:ascii="Arial" w:eastAsia="宋体" w:hAnsi="Arial" w:cs="Arial"/>
                <w:color w:val="000000"/>
                <w:sz w:val="12"/>
                <w:szCs w:val="12"/>
              </w:rPr>
              <w:t>1.91 </w:t>
            </w:r>
          </w:p>
        </w:tc>
        <w:tc>
          <w:tcPr>
            <w:tcW w:w="0" w:type="auto"/>
            <w:shd w:val="clear" w:color="auto" w:fill="FFFFFF"/>
            <w:tcMar>
              <w:top w:w="40" w:type="dxa"/>
              <w:left w:w="0" w:type="dxa"/>
              <w:bottom w:w="40" w:type="dxa"/>
              <w:right w:w="20" w:type="dxa"/>
            </w:tcMar>
            <w:vAlign w:val="bottom"/>
          </w:tcPr>
          <w:p w14:paraId="74DD6B99" w14:textId="77777777" w:rsidR="00584EC1" w:rsidRDefault="00584EC1">
            <w:pPr>
              <w:jc w:val="right"/>
              <w:rPr>
                <w:rFonts w:ascii="宋体"/>
              </w:rPr>
            </w:pPr>
          </w:p>
        </w:tc>
        <w:tc>
          <w:tcPr>
            <w:tcW w:w="0" w:type="auto"/>
            <w:shd w:val="clear" w:color="auto" w:fill="auto"/>
            <w:vAlign w:val="bottom"/>
          </w:tcPr>
          <w:p w14:paraId="74DD6B9A" w14:textId="77777777" w:rsidR="00584EC1" w:rsidRDefault="00584EC1">
            <w:pPr>
              <w:rPr>
                <w:rFonts w:ascii="宋体"/>
                <w:vanish/>
              </w:rPr>
            </w:pPr>
          </w:p>
        </w:tc>
        <w:tc>
          <w:tcPr>
            <w:tcW w:w="0" w:type="auto"/>
            <w:shd w:val="clear" w:color="auto" w:fill="auto"/>
            <w:vAlign w:val="bottom"/>
          </w:tcPr>
          <w:p w14:paraId="74DD6B9B" w14:textId="77777777" w:rsidR="00584EC1" w:rsidRDefault="00584EC1">
            <w:pPr>
              <w:rPr>
                <w:rFonts w:ascii="宋体"/>
                <w:vanish/>
              </w:rPr>
            </w:pPr>
          </w:p>
        </w:tc>
        <w:tc>
          <w:tcPr>
            <w:tcW w:w="0" w:type="auto"/>
            <w:shd w:val="clear" w:color="auto" w:fill="auto"/>
            <w:vAlign w:val="bottom"/>
          </w:tcPr>
          <w:p w14:paraId="74DD6B9C" w14:textId="77777777" w:rsidR="00584EC1" w:rsidRDefault="00584EC1">
            <w:pPr>
              <w:rPr>
                <w:rFonts w:ascii="宋体"/>
                <w:vanish/>
              </w:rPr>
            </w:pPr>
          </w:p>
        </w:tc>
        <w:tc>
          <w:tcPr>
            <w:tcW w:w="0" w:type="auto"/>
            <w:shd w:val="clear" w:color="auto" w:fill="auto"/>
            <w:vAlign w:val="bottom"/>
          </w:tcPr>
          <w:p w14:paraId="74DD6B9D" w14:textId="77777777" w:rsidR="00584EC1" w:rsidRDefault="00584EC1">
            <w:pPr>
              <w:rPr>
                <w:rFonts w:ascii="宋体"/>
                <w:vanish/>
              </w:rPr>
            </w:pPr>
          </w:p>
        </w:tc>
        <w:tc>
          <w:tcPr>
            <w:tcW w:w="0" w:type="auto"/>
            <w:gridSpan w:val="3"/>
            <w:shd w:val="clear" w:color="auto" w:fill="auto"/>
            <w:vAlign w:val="bottom"/>
          </w:tcPr>
          <w:p w14:paraId="74DD6B9E" w14:textId="77777777" w:rsidR="00584EC1" w:rsidRDefault="00584EC1">
            <w:pPr>
              <w:rPr>
                <w:rFonts w:ascii="宋体"/>
                <w:vanish/>
              </w:rPr>
            </w:pPr>
          </w:p>
        </w:tc>
        <w:tc>
          <w:tcPr>
            <w:tcW w:w="0" w:type="auto"/>
            <w:gridSpan w:val="3"/>
            <w:shd w:val="clear" w:color="auto" w:fill="auto"/>
            <w:vAlign w:val="bottom"/>
          </w:tcPr>
          <w:p w14:paraId="74DD6B9F" w14:textId="77777777" w:rsidR="00584EC1" w:rsidRDefault="00584EC1">
            <w:pPr>
              <w:rPr>
                <w:rFonts w:ascii="宋体"/>
                <w:vanish/>
              </w:rPr>
            </w:pPr>
          </w:p>
        </w:tc>
        <w:tc>
          <w:tcPr>
            <w:tcW w:w="0" w:type="auto"/>
            <w:gridSpan w:val="3"/>
            <w:shd w:val="clear" w:color="auto" w:fill="auto"/>
            <w:vAlign w:val="bottom"/>
          </w:tcPr>
          <w:p w14:paraId="74DD6BA0" w14:textId="77777777" w:rsidR="00584EC1" w:rsidRDefault="00584EC1">
            <w:pPr>
              <w:rPr>
                <w:rFonts w:ascii="宋体"/>
                <w:vanish/>
              </w:rPr>
            </w:pPr>
          </w:p>
        </w:tc>
        <w:tc>
          <w:tcPr>
            <w:tcW w:w="0" w:type="auto"/>
            <w:gridSpan w:val="3"/>
            <w:shd w:val="clear" w:color="auto" w:fill="auto"/>
            <w:vAlign w:val="bottom"/>
          </w:tcPr>
          <w:p w14:paraId="74DD6BA1" w14:textId="77777777" w:rsidR="00584EC1" w:rsidRDefault="00584EC1">
            <w:pPr>
              <w:rPr>
                <w:rFonts w:ascii="宋体"/>
                <w:vanish/>
              </w:rPr>
            </w:pPr>
          </w:p>
        </w:tc>
        <w:tc>
          <w:tcPr>
            <w:tcW w:w="0" w:type="auto"/>
            <w:gridSpan w:val="2"/>
            <w:shd w:val="clear" w:color="auto" w:fill="auto"/>
            <w:vAlign w:val="bottom"/>
          </w:tcPr>
          <w:p w14:paraId="74DD6BA2" w14:textId="77777777" w:rsidR="00584EC1" w:rsidRDefault="00584EC1">
            <w:pPr>
              <w:rPr>
                <w:rFonts w:ascii="宋体"/>
                <w:vanish/>
              </w:rPr>
            </w:pPr>
          </w:p>
        </w:tc>
        <w:tc>
          <w:tcPr>
            <w:tcW w:w="0" w:type="auto"/>
            <w:shd w:val="clear" w:color="auto" w:fill="auto"/>
            <w:vAlign w:val="bottom"/>
          </w:tcPr>
          <w:p w14:paraId="74DD6BA3" w14:textId="77777777" w:rsidR="00584EC1" w:rsidRDefault="00584EC1">
            <w:pPr>
              <w:rPr>
                <w:rFonts w:ascii="宋体"/>
                <w:vanish/>
              </w:rPr>
            </w:pPr>
          </w:p>
        </w:tc>
      </w:tr>
      <w:tr w:rsidR="00584EC1" w14:paraId="74DD6BC1" w14:textId="77777777">
        <w:tc>
          <w:tcPr>
            <w:tcW w:w="0" w:type="auto"/>
            <w:gridSpan w:val="3"/>
            <w:shd w:val="clear" w:color="auto" w:fill="CCEEFF"/>
            <w:tcMar>
              <w:top w:w="40" w:type="dxa"/>
              <w:left w:w="20" w:type="dxa"/>
              <w:bottom w:w="40" w:type="dxa"/>
              <w:right w:w="20" w:type="dxa"/>
            </w:tcMar>
            <w:vAlign w:val="bottom"/>
          </w:tcPr>
          <w:p w14:paraId="74DD6BA5" w14:textId="77777777" w:rsidR="00584EC1" w:rsidRDefault="00871F8D">
            <w:pPr>
              <w:textAlignment w:val="bottom"/>
            </w:pPr>
            <w:r>
              <w:rPr>
                <w:rFonts w:ascii="Arial" w:eastAsia="宋体" w:hAnsi="Arial" w:cs="Arial"/>
                <w:color w:val="000000"/>
                <w:sz w:val="12"/>
                <w:szCs w:val="12"/>
              </w:rPr>
              <w:t>Trading account assets</w:t>
            </w:r>
          </w:p>
        </w:tc>
        <w:tc>
          <w:tcPr>
            <w:tcW w:w="0" w:type="auto"/>
            <w:gridSpan w:val="2"/>
            <w:shd w:val="clear" w:color="auto" w:fill="CCEEFF"/>
            <w:tcMar>
              <w:top w:w="40" w:type="dxa"/>
              <w:left w:w="20" w:type="dxa"/>
              <w:bottom w:w="40" w:type="dxa"/>
              <w:right w:w="0" w:type="dxa"/>
            </w:tcMar>
            <w:vAlign w:val="bottom"/>
          </w:tcPr>
          <w:p w14:paraId="74DD6BA6" w14:textId="77777777" w:rsidR="00584EC1" w:rsidRDefault="00871F8D">
            <w:pPr>
              <w:jc w:val="right"/>
              <w:textAlignment w:val="bottom"/>
            </w:pPr>
            <w:r>
              <w:rPr>
                <w:rFonts w:ascii="Arial" w:eastAsia="宋体" w:hAnsi="Arial" w:cs="Arial"/>
                <w:b/>
                <w:bCs/>
                <w:color w:val="000000"/>
                <w:sz w:val="12"/>
                <w:szCs w:val="12"/>
              </w:rPr>
              <w:t>733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6BA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BA8"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BA9"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6BA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BA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BAC" w14:textId="77777777" w:rsidR="00584EC1" w:rsidRDefault="00871F8D">
            <w:pPr>
              <w:jc w:val="right"/>
              <w:textAlignment w:val="bottom"/>
            </w:pPr>
            <w:r>
              <w:rPr>
                <w:rFonts w:ascii="Arial" w:eastAsia="宋体" w:hAnsi="Arial" w:cs="Arial"/>
                <w:b/>
                <w:bCs/>
                <w:color w:val="000000"/>
                <w:sz w:val="12"/>
                <w:szCs w:val="12"/>
              </w:rPr>
              <w:t>.02</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6BA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BAE"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BAF" w14:textId="77777777" w:rsidR="00584EC1" w:rsidRDefault="00871F8D">
            <w:pPr>
              <w:jc w:val="right"/>
              <w:textAlignment w:val="bottom"/>
            </w:pPr>
            <w:r>
              <w:rPr>
                <w:rFonts w:ascii="Arial" w:eastAsia="宋体" w:hAnsi="Arial" w:cs="Arial"/>
                <w:color w:val="000000"/>
                <w:sz w:val="12"/>
                <w:szCs w:val="12"/>
              </w:rPr>
              <w:t>900 </w:t>
            </w:r>
          </w:p>
        </w:tc>
        <w:tc>
          <w:tcPr>
            <w:tcW w:w="0" w:type="auto"/>
            <w:shd w:val="clear" w:color="auto" w:fill="CCEEFF"/>
            <w:tcMar>
              <w:top w:w="40" w:type="dxa"/>
              <w:left w:w="0" w:type="dxa"/>
              <w:bottom w:w="40" w:type="dxa"/>
              <w:right w:w="20" w:type="dxa"/>
            </w:tcMar>
            <w:vAlign w:val="bottom"/>
          </w:tcPr>
          <w:p w14:paraId="74DD6BB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BB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BB2" w14:textId="77777777" w:rsidR="00584EC1" w:rsidRDefault="00871F8D">
            <w:pPr>
              <w:jc w:val="right"/>
              <w:textAlignment w:val="bottom"/>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6BB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BB4"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BB5" w14:textId="77777777" w:rsidR="00584EC1" w:rsidRDefault="00871F8D">
            <w:pPr>
              <w:jc w:val="right"/>
              <w:textAlignment w:val="bottom"/>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6BB6" w14:textId="77777777" w:rsidR="00584EC1" w:rsidRDefault="00584EC1">
            <w:pPr>
              <w:jc w:val="right"/>
              <w:rPr>
                <w:rFonts w:ascii="宋体"/>
              </w:rPr>
            </w:pPr>
          </w:p>
        </w:tc>
        <w:tc>
          <w:tcPr>
            <w:tcW w:w="0" w:type="auto"/>
            <w:shd w:val="clear" w:color="auto" w:fill="auto"/>
            <w:vAlign w:val="bottom"/>
          </w:tcPr>
          <w:p w14:paraId="74DD6BB7" w14:textId="77777777" w:rsidR="00584EC1" w:rsidRDefault="00584EC1">
            <w:pPr>
              <w:rPr>
                <w:rFonts w:ascii="宋体"/>
                <w:vanish/>
              </w:rPr>
            </w:pPr>
          </w:p>
        </w:tc>
        <w:tc>
          <w:tcPr>
            <w:tcW w:w="0" w:type="auto"/>
            <w:shd w:val="clear" w:color="auto" w:fill="auto"/>
            <w:vAlign w:val="bottom"/>
          </w:tcPr>
          <w:p w14:paraId="74DD6BB8" w14:textId="77777777" w:rsidR="00584EC1" w:rsidRDefault="00584EC1">
            <w:pPr>
              <w:rPr>
                <w:rFonts w:ascii="宋体"/>
                <w:vanish/>
              </w:rPr>
            </w:pPr>
          </w:p>
        </w:tc>
        <w:tc>
          <w:tcPr>
            <w:tcW w:w="0" w:type="auto"/>
            <w:shd w:val="clear" w:color="auto" w:fill="auto"/>
            <w:vAlign w:val="bottom"/>
          </w:tcPr>
          <w:p w14:paraId="74DD6BB9" w14:textId="77777777" w:rsidR="00584EC1" w:rsidRDefault="00584EC1">
            <w:pPr>
              <w:rPr>
                <w:rFonts w:ascii="宋体"/>
                <w:vanish/>
              </w:rPr>
            </w:pPr>
          </w:p>
        </w:tc>
        <w:tc>
          <w:tcPr>
            <w:tcW w:w="0" w:type="auto"/>
            <w:shd w:val="clear" w:color="auto" w:fill="auto"/>
            <w:vAlign w:val="bottom"/>
          </w:tcPr>
          <w:p w14:paraId="74DD6BBA" w14:textId="77777777" w:rsidR="00584EC1" w:rsidRDefault="00584EC1">
            <w:pPr>
              <w:rPr>
                <w:rFonts w:ascii="宋体"/>
                <w:vanish/>
              </w:rPr>
            </w:pPr>
          </w:p>
        </w:tc>
        <w:tc>
          <w:tcPr>
            <w:tcW w:w="0" w:type="auto"/>
            <w:gridSpan w:val="3"/>
            <w:shd w:val="clear" w:color="auto" w:fill="auto"/>
            <w:vAlign w:val="bottom"/>
          </w:tcPr>
          <w:p w14:paraId="74DD6BBB" w14:textId="77777777" w:rsidR="00584EC1" w:rsidRDefault="00584EC1">
            <w:pPr>
              <w:rPr>
                <w:rFonts w:ascii="宋体"/>
                <w:vanish/>
              </w:rPr>
            </w:pPr>
          </w:p>
        </w:tc>
        <w:tc>
          <w:tcPr>
            <w:tcW w:w="0" w:type="auto"/>
            <w:gridSpan w:val="3"/>
            <w:shd w:val="clear" w:color="auto" w:fill="auto"/>
            <w:vAlign w:val="bottom"/>
          </w:tcPr>
          <w:p w14:paraId="74DD6BBC" w14:textId="77777777" w:rsidR="00584EC1" w:rsidRDefault="00584EC1">
            <w:pPr>
              <w:rPr>
                <w:rFonts w:ascii="宋体"/>
                <w:vanish/>
              </w:rPr>
            </w:pPr>
          </w:p>
        </w:tc>
        <w:tc>
          <w:tcPr>
            <w:tcW w:w="0" w:type="auto"/>
            <w:gridSpan w:val="3"/>
            <w:shd w:val="clear" w:color="auto" w:fill="auto"/>
            <w:vAlign w:val="bottom"/>
          </w:tcPr>
          <w:p w14:paraId="74DD6BBD" w14:textId="77777777" w:rsidR="00584EC1" w:rsidRDefault="00584EC1">
            <w:pPr>
              <w:rPr>
                <w:rFonts w:ascii="宋体"/>
                <w:vanish/>
              </w:rPr>
            </w:pPr>
          </w:p>
        </w:tc>
        <w:tc>
          <w:tcPr>
            <w:tcW w:w="0" w:type="auto"/>
            <w:gridSpan w:val="3"/>
            <w:shd w:val="clear" w:color="auto" w:fill="auto"/>
            <w:vAlign w:val="bottom"/>
          </w:tcPr>
          <w:p w14:paraId="74DD6BBE" w14:textId="77777777" w:rsidR="00584EC1" w:rsidRDefault="00584EC1">
            <w:pPr>
              <w:rPr>
                <w:rFonts w:ascii="宋体"/>
                <w:vanish/>
              </w:rPr>
            </w:pPr>
          </w:p>
        </w:tc>
        <w:tc>
          <w:tcPr>
            <w:tcW w:w="0" w:type="auto"/>
            <w:gridSpan w:val="2"/>
            <w:shd w:val="clear" w:color="auto" w:fill="auto"/>
            <w:vAlign w:val="bottom"/>
          </w:tcPr>
          <w:p w14:paraId="74DD6BBF" w14:textId="77777777" w:rsidR="00584EC1" w:rsidRDefault="00584EC1">
            <w:pPr>
              <w:rPr>
                <w:rFonts w:ascii="宋体"/>
                <w:vanish/>
              </w:rPr>
            </w:pPr>
          </w:p>
        </w:tc>
        <w:tc>
          <w:tcPr>
            <w:tcW w:w="0" w:type="auto"/>
            <w:shd w:val="clear" w:color="auto" w:fill="auto"/>
            <w:vAlign w:val="bottom"/>
          </w:tcPr>
          <w:p w14:paraId="74DD6BC0" w14:textId="77777777" w:rsidR="00584EC1" w:rsidRDefault="00584EC1">
            <w:pPr>
              <w:rPr>
                <w:rFonts w:ascii="宋体"/>
                <w:vanish/>
              </w:rPr>
            </w:pPr>
          </w:p>
        </w:tc>
      </w:tr>
      <w:tr w:rsidR="00584EC1" w14:paraId="74DD6BD8" w14:textId="77777777">
        <w:tc>
          <w:tcPr>
            <w:tcW w:w="0" w:type="auto"/>
            <w:gridSpan w:val="3"/>
            <w:shd w:val="clear" w:color="auto" w:fill="FFFFFF"/>
            <w:tcMar>
              <w:top w:w="40" w:type="dxa"/>
              <w:left w:w="20" w:type="dxa"/>
              <w:bottom w:w="40" w:type="dxa"/>
              <w:right w:w="20" w:type="dxa"/>
            </w:tcMar>
            <w:vAlign w:val="bottom"/>
          </w:tcPr>
          <w:p w14:paraId="74DD6BC2" w14:textId="77777777" w:rsidR="00584EC1" w:rsidRDefault="00871F8D">
            <w:pPr>
              <w:textAlignment w:val="bottom"/>
            </w:pPr>
            <w:r>
              <w:rPr>
                <w:rFonts w:ascii="Arial" w:eastAsia="宋体" w:hAnsi="Arial" w:cs="Arial"/>
                <w:color w:val="000000"/>
                <w:sz w:val="12"/>
                <w:szCs w:val="12"/>
              </w:rPr>
              <w:t xml:space="preserve">Investment </w:t>
            </w:r>
            <w:r>
              <w:rPr>
                <w:rFonts w:ascii="Arial" w:eastAsia="宋体" w:hAnsi="Arial" w:cs="Arial"/>
                <w:color w:val="000000"/>
                <w:sz w:val="12"/>
                <w:szCs w:val="12"/>
              </w:rPr>
              <w:t>securities:</w:t>
            </w:r>
          </w:p>
        </w:tc>
        <w:tc>
          <w:tcPr>
            <w:tcW w:w="0" w:type="auto"/>
            <w:gridSpan w:val="3"/>
            <w:shd w:val="clear" w:color="auto" w:fill="FFFFFF"/>
            <w:tcMar>
              <w:top w:w="0" w:type="dxa"/>
              <w:left w:w="20" w:type="dxa"/>
              <w:bottom w:w="0" w:type="dxa"/>
              <w:right w:w="20" w:type="dxa"/>
            </w:tcMar>
            <w:vAlign w:val="bottom"/>
          </w:tcPr>
          <w:p w14:paraId="74DD6BC3"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BC4"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BC5"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BC6"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BC7"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BC8"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BC9"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BCA"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BCB"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BCC"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BCD" w14:textId="77777777" w:rsidR="00584EC1" w:rsidRDefault="00584EC1">
            <w:pPr>
              <w:rPr>
                <w:rFonts w:ascii="宋体"/>
              </w:rPr>
            </w:pPr>
          </w:p>
        </w:tc>
        <w:tc>
          <w:tcPr>
            <w:tcW w:w="0" w:type="auto"/>
            <w:shd w:val="clear" w:color="auto" w:fill="auto"/>
            <w:vAlign w:val="bottom"/>
          </w:tcPr>
          <w:p w14:paraId="74DD6BCE" w14:textId="77777777" w:rsidR="00584EC1" w:rsidRDefault="00584EC1">
            <w:pPr>
              <w:rPr>
                <w:rFonts w:ascii="宋体"/>
                <w:vanish/>
              </w:rPr>
            </w:pPr>
          </w:p>
        </w:tc>
        <w:tc>
          <w:tcPr>
            <w:tcW w:w="0" w:type="auto"/>
            <w:shd w:val="clear" w:color="auto" w:fill="auto"/>
            <w:vAlign w:val="bottom"/>
          </w:tcPr>
          <w:p w14:paraId="74DD6BCF" w14:textId="77777777" w:rsidR="00584EC1" w:rsidRDefault="00584EC1">
            <w:pPr>
              <w:rPr>
                <w:rFonts w:ascii="宋体"/>
                <w:vanish/>
              </w:rPr>
            </w:pPr>
          </w:p>
        </w:tc>
        <w:tc>
          <w:tcPr>
            <w:tcW w:w="0" w:type="auto"/>
            <w:shd w:val="clear" w:color="auto" w:fill="auto"/>
            <w:vAlign w:val="bottom"/>
          </w:tcPr>
          <w:p w14:paraId="74DD6BD0" w14:textId="77777777" w:rsidR="00584EC1" w:rsidRDefault="00584EC1">
            <w:pPr>
              <w:rPr>
                <w:rFonts w:ascii="宋体"/>
                <w:vanish/>
              </w:rPr>
            </w:pPr>
          </w:p>
        </w:tc>
        <w:tc>
          <w:tcPr>
            <w:tcW w:w="0" w:type="auto"/>
            <w:shd w:val="clear" w:color="auto" w:fill="auto"/>
            <w:vAlign w:val="bottom"/>
          </w:tcPr>
          <w:p w14:paraId="74DD6BD1" w14:textId="77777777" w:rsidR="00584EC1" w:rsidRDefault="00584EC1">
            <w:pPr>
              <w:rPr>
                <w:rFonts w:ascii="宋体"/>
                <w:vanish/>
              </w:rPr>
            </w:pPr>
          </w:p>
        </w:tc>
        <w:tc>
          <w:tcPr>
            <w:tcW w:w="0" w:type="auto"/>
            <w:gridSpan w:val="3"/>
            <w:shd w:val="clear" w:color="auto" w:fill="auto"/>
            <w:vAlign w:val="bottom"/>
          </w:tcPr>
          <w:p w14:paraId="74DD6BD2" w14:textId="77777777" w:rsidR="00584EC1" w:rsidRDefault="00584EC1">
            <w:pPr>
              <w:rPr>
                <w:rFonts w:ascii="宋体"/>
                <w:vanish/>
              </w:rPr>
            </w:pPr>
          </w:p>
        </w:tc>
        <w:tc>
          <w:tcPr>
            <w:tcW w:w="0" w:type="auto"/>
            <w:gridSpan w:val="3"/>
            <w:shd w:val="clear" w:color="auto" w:fill="auto"/>
            <w:vAlign w:val="bottom"/>
          </w:tcPr>
          <w:p w14:paraId="74DD6BD3" w14:textId="77777777" w:rsidR="00584EC1" w:rsidRDefault="00584EC1">
            <w:pPr>
              <w:rPr>
                <w:rFonts w:ascii="宋体"/>
                <w:vanish/>
              </w:rPr>
            </w:pPr>
          </w:p>
        </w:tc>
        <w:tc>
          <w:tcPr>
            <w:tcW w:w="0" w:type="auto"/>
            <w:gridSpan w:val="3"/>
            <w:shd w:val="clear" w:color="auto" w:fill="auto"/>
            <w:vAlign w:val="bottom"/>
          </w:tcPr>
          <w:p w14:paraId="74DD6BD4" w14:textId="77777777" w:rsidR="00584EC1" w:rsidRDefault="00584EC1">
            <w:pPr>
              <w:rPr>
                <w:rFonts w:ascii="宋体"/>
                <w:vanish/>
              </w:rPr>
            </w:pPr>
          </w:p>
        </w:tc>
        <w:tc>
          <w:tcPr>
            <w:tcW w:w="0" w:type="auto"/>
            <w:gridSpan w:val="3"/>
            <w:shd w:val="clear" w:color="auto" w:fill="auto"/>
            <w:vAlign w:val="bottom"/>
          </w:tcPr>
          <w:p w14:paraId="74DD6BD5" w14:textId="77777777" w:rsidR="00584EC1" w:rsidRDefault="00584EC1">
            <w:pPr>
              <w:rPr>
                <w:rFonts w:ascii="宋体"/>
                <w:vanish/>
              </w:rPr>
            </w:pPr>
          </w:p>
        </w:tc>
        <w:tc>
          <w:tcPr>
            <w:tcW w:w="0" w:type="auto"/>
            <w:gridSpan w:val="2"/>
            <w:shd w:val="clear" w:color="auto" w:fill="auto"/>
            <w:vAlign w:val="bottom"/>
          </w:tcPr>
          <w:p w14:paraId="74DD6BD6" w14:textId="77777777" w:rsidR="00584EC1" w:rsidRDefault="00584EC1">
            <w:pPr>
              <w:rPr>
                <w:rFonts w:ascii="宋体"/>
                <w:vanish/>
              </w:rPr>
            </w:pPr>
          </w:p>
        </w:tc>
        <w:tc>
          <w:tcPr>
            <w:tcW w:w="0" w:type="auto"/>
            <w:shd w:val="clear" w:color="auto" w:fill="auto"/>
            <w:vAlign w:val="bottom"/>
          </w:tcPr>
          <w:p w14:paraId="74DD6BD7" w14:textId="77777777" w:rsidR="00584EC1" w:rsidRDefault="00584EC1">
            <w:pPr>
              <w:rPr>
                <w:rFonts w:ascii="宋体"/>
                <w:vanish/>
              </w:rPr>
            </w:pPr>
          </w:p>
        </w:tc>
      </w:tr>
      <w:tr w:rsidR="00584EC1" w14:paraId="74DD6BF5" w14:textId="77777777">
        <w:tc>
          <w:tcPr>
            <w:tcW w:w="0" w:type="auto"/>
            <w:gridSpan w:val="3"/>
            <w:shd w:val="clear" w:color="auto" w:fill="CCEEFF"/>
            <w:tcMar>
              <w:top w:w="40" w:type="dxa"/>
              <w:left w:w="20" w:type="dxa"/>
              <w:bottom w:w="40" w:type="dxa"/>
              <w:right w:w="20" w:type="dxa"/>
            </w:tcMar>
            <w:vAlign w:val="bottom"/>
          </w:tcPr>
          <w:p w14:paraId="74DD6BD9" w14:textId="77777777" w:rsidR="00584EC1" w:rsidRDefault="00871F8D">
            <w:pPr>
              <w:textAlignment w:val="bottom"/>
            </w:pPr>
            <w:r>
              <w:rPr>
                <w:rFonts w:ascii="Arial" w:eastAsia="宋体" w:hAnsi="Arial" w:cs="Arial"/>
                <w:color w:val="000000"/>
                <w:sz w:val="12"/>
                <w:szCs w:val="12"/>
              </w:rPr>
              <w:t>Investment securities available-for-sale</w:t>
            </w:r>
          </w:p>
        </w:tc>
        <w:tc>
          <w:tcPr>
            <w:tcW w:w="0" w:type="auto"/>
            <w:gridSpan w:val="2"/>
            <w:shd w:val="clear" w:color="auto" w:fill="CCEEFF"/>
            <w:tcMar>
              <w:top w:w="40" w:type="dxa"/>
              <w:left w:w="20" w:type="dxa"/>
              <w:bottom w:w="40" w:type="dxa"/>
              <w:right w:w="0" w:type="dxa"/>
            </w:tcMar>
            <w:vAlign w:val="bottom"/>
          </w:tcPr>
          <w:p w14:paraId="74DD6BDA" w14:textId="77777777" w:rsidR="00584EC1" w:rsidRDefault="00871F8D">
            <w:pPr>
              <w:jc w:val="right"/>
              <w:textAlignment w:val="bottom"/>
            </w:pPr>
            <w:r>
              <w:rPr>
                <w:rFonts w:ascii="Arial" w:eastAsia="宋体" w:hAnsi="Arial" w:cs="Arial"/>
                <w:b/>
                <w:bCs/>
                <w:color w:val="000000"/>
                <w:sz w:val="12"/>
                <w:szCs w:val="12"/>
              </w:rPr>
              <w:t>69,621</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6BD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BDC"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BDD" w14:textId="77777777" w:rsidR="00584EC1" w:rsidRDefault="00871F8D">
            <w:pPr>
              <w:jc w:val="right"/>
              <w:textAlignment w:val="bottom"/>
            </w:pPr>
            <w:r>
              <w:rPr>
                <w:rFonts w:ascii="Arial" w:eastAsia="宋体" w:hAnsi="Arial" w:cs="Arial"/>
                <w:b/>
                <w:bCs/>
                <w:color w:val="000000"/>
                <w:sz w:val="12"/>
                <w:szCs w:val="12"/>
              </w:rPr>
              <w:t>150</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6BD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BDF"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BE0" w14:textId="77777777" w:rsidR="00584EC1" w:rsidRDefault="00871F8D">
            <w:pPr>
              <w:jc w:val="right"/>
              <w:textAlignment w:val="bottom"/>
            </w:pPr>
            <w:r>
              <w:rPr>
                <w:rFonts w:ascii="Arial" w:eastAsia="宋体" w:hAnsi="Arial" w:cs="Arial"/>
                <w:b/>
                <w:bCs/>
                <w:color w:val="000000"/>
                <w:sz w:val="12"/>
                <w:szCs w:val="12"/>
              </w:rPr>
              <w:t>.86</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6BE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BE2"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BE3" w14:textId="77777777" w:rsidR="00584EC1" w:rsidRDefault="00871F8D">
            <w:pPr>
              <w:jc w:val="right"/>
              <w:textAlignment w:val="bottom"/>
            </w:pPr>
            <w:r>
              <w:rPr>
                <w:rFonts w:ascii="Arial" w:eastAsia="宋体" w:hAnsi="Arial" w:cs="Arial"/>
                <w:color w:val="000000"/>
                <w:sz w:val="12"/>
                <w:szCs w:val="12"/>
              </w:rPr>
              <w:t>59,593 </w:t>
            </w:r>
          </w:p>
        </w:tc>
        <w:tc>
          <w:tcPr>
            <w:tcW w:w="0" w:type="auto"/>
            <w:shd w:val="clear" w:color="auto" w:fill="CCEEFF"/>
            <w:tcMar>
              <w:top w:w="40" w:type="dxa"/>
              <w:left w:w="0" w:type="dxa"/>
              <w:bottom w:w="40" w:type="dxa"/>
              <w:right w:w="20" w:type="dxa"/>
            </w:tcMar>
            <w:vAlign w:val="bottom"/>
          </w:tcPr>
          <w:p w14:paraId="74DD6BE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BE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BE6" w14:textId="77777777" w:rsidR="00584EC1" w:rsidRDefault="00871F8D">
            <w:pPr>
              <w:jc w:val="right"/>
              <w:textAlignment w:val="bottom"/>
            </w:pPr>
            <w:r>
              <w:rPr>
                <w:rFonts w:ascii="Arial" w:eastAsia="宋体" w:hAnsi="Arial" w:cs="Arial"/>
                <w:color w:val="000000"/>
                <w:sz w:val="12"/>
                <w:szCs w:val="12"/>
              </w:rPr>
              <w:t>169 </w:t>
            </w:r>
          </w:p>
        </w:tc>
        <w:tc>
          <w:tcPr>
            <w:tcW w:w="0" w:type="auto"/>
            <w:shd w:val="clear" w:color="auto" w:fill="CCEEFF"/>
            <w:tcMar>
              <w:top w:w="40" w:type="dxa"/>
              <w:left w:w="0" w:type="dxa"/>
              <w:bottom w:w="40" w:type="dxa"/>
              <w:right w:w="20" w:type="dxa"/>
            </w:tcMar>
            <w:vAlign w:val="bottom"/>
          </w:tcPr>
          <w:p w14:paraId="74DD6BE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BE8"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BE9" w14:textId="77777777" w:rsidR="00584EC1" w:rsidRDefault="00871F8D">
            <w:pPr>
              <w:jc w:val="right"/>
              <w:textAlignment w:val="bottom"/>
            </w:pPr>
            <w:r>
              <w:rPr>
                <w:rFonts w:ascii="Arial" w:eastAsia="宋体" w:hAnsi="Arial" w:cs="Arial"/>
                <w:color w:val="000000"/>
                <w:sz w:val="12"/>
                <w:szCs w:val="12"/>
              </w:rPr>
              <w:t>1.13 </w:t>
            </w:r>
          </w:p>
        </w:tc>
        <w:tc>
          <w:tcPr>
            <w:tcW w:w="0" w:type="auto"/>
            <w:shd w:val="clear" w:color="auto" w:fill="CCEEFF"/>
            <w:tcMar>
              <w:top w:w="40" w:type="dxa"/>
              <w:left w:w="0" w:type="dxa"/>
              <w:bottom w:w="40" w:type="dxa"/>
              <w:right w:w="20" w:type="dxa"/>
            </w:tcMar>
            <w:vAlign w:val="bottom"/>
          </w:tcPr>
          <w:p w14:paraId="74DD6BEA" w14:textId="77777777" w:rsidR="00584EC1" w:rsidRDefault="00584EC1">
            <w:pPr>
              <w:jc w:val="right"/>
              <w:rPr>
                <w:rFonts w:ascii="宋体"/>
              </w:rPr>
            </w:pPr>
          </w:p>
        </w:tc>
        <w:tc>
          <w:tcPr>
            <w:tcW w:w="0" w:type="auto"/>
            <w:shd w:val="clear" w:color="auto" w:fill="auto"/>
            <w:vAlign w:val="bottom"/>
          </w:tcPr>
          <w:p w14:paraId="74DD6BEB" w14:textId="77777777" w:rsidR="00584EC1" w:rsidRDefault="00584EC1">
            <w:pPr>
              <w:rPr>
                <w:rFonts w:ascii="宋体"/>
                <w:vanish/>
              </w:rPr>
            </w:pPr>
          </w:p>
        </w:tc>
        <w:tc>
          <w:tcPr>
            <w:tcW w:w="0" w:type="auto"/>
            <w:shd w:val="clear" w:color="auto" w:fill="auto"/>
            <w:vAlign w:val="bottom"/>
          </w:tcPr>
          <w:p w14:paraId="74DD6BEC" w14:textId="77777777" w:rsidR="00584EC1" w:rsidRDefault="00584EC1">
            <w:pPr>
              <w:rPr>
                <w:rFonts w:ascii="宋体"/>
                <w:vanish/>
              </w:rPr>
            </w:pPr>
          </w:p>
        </w:tc>
        <w:tc>
          <w:tcPr>
            <w:tcW w:w="0" w:type="auto"/>
            <w:shd w:val="clear" w:color="auto" w:fill="auto"/>
            <w:vAlign w:val="bottom"/>
          </w:tcPr>
          <w:p w14:paraId="74DD6BED" w14:textId="77777777" w:rsidR="00584EC1" w:rsidRDefault="00584EC1">
            <w:pPr>
              <w:rPr>
                <w:rFonts w:ascii="宋体"/>
                <w:vanish/>
              </w:rPr>
            </w:pPr>
          </w:p>
        </w:tc>
        <w:tc>
          <w:tcPr>
            <w:tcW w:w="0" w:type="auto"/>
            <w:shd w:val="clear" w:color="auto" w:fill="auto"/>
            <w:vAlign w:val="bottom"/>
          </w:tcPr>
          <w:p w14:paraId="74DD6BEE" w14:textId="77777777" w:rsidR="00584EC1" w:rsidRDefault="00584EC1">
            <w:pPr>
              <w:rPr>
                <w:rFonts w:ascii="宋体"/>
                <w:vanish/>
              </w:rPr>
            </w:pPr>
          </w:p>
        </w:tc>
        <w:tc>
          <w:tcPr>
            <w:tcW w:w="0" w:type="auto"/>
            <w:gridSpan w:val="3"/>
            <w:shd w:val="clear" w:color="auto" w:fill="auto"/>
            <w:vAlign w:val="bottom"/>
          </w:tcPr>
          <w:p w14:paraId="74DD6BEF" w14:textId="77777777" w:rsidR="00584EC1" w:rsidRDefault="00584EC1">
            <w:pPr>
              <w:rPr>
                <w:rFonts w:ascii="宋体"/>
                <w:vanish/>
              </w:rPr>
            </w:pPr>
          </w:p>
        </w:tc>
        <w:tc>
          <w:tcPr>
            <w:tcW w:w="0" w:type="auto"/>
            <w:gridSpan w:val="3"/>
            <w:shd w:val="clear" w:color="auto" w:fill="auto"/>
            <w:vAlign w:val="bottom"/>
          </w:tcPr>
          <w:p w14:paraId="74DD6BF0" w14:textId="77777777" w:rsidR="00584EC1" w:rsidRDefault="00584EC1">
            <w:pPr>
              <w:rPr>
                <w:rFonts w:ascii="宋体"/>
                <w:vanish/>
              </w:rPr>
            </w:pPr>
          </w:p>
        </w:tc>
        <w:tc>
          <w:tcPr>
            <w:tcW w:w="0" w:type="auto"/>
            <w:gridSpan w:val="3"/>
            <w:shd w:val="clear" w:color="auto" w:fill="auto"/>
            <w:vAlign w:val="bottom"/>
          </w:tcPr>
          <w:p w14:paraId="74DD6BF1" w14:textId="77777777" w:rsidR="00584EC1" w:rsidRDefault="00584EC1">
            <w:pPr>
              <w:rPr>
                <w:rFonts w:ascii="宋体"/>
                <w:vanish/>
              </w:rPr>
            </w:pPr>
          </w:p>
        </w:tc>
        <w:tc>
          <w:tcPr>
            <w:tcW w:w="0" w:type="auto"/>
            <w:gridSpan w:val="3"/>
            <w:shd w:val="clear" w:color="auto" w:fill="auto"/>
            <w:vAlign w:val="bottom"/>
          </w:tcPr>
          <w:p w14:paraId="74DD6BF2" w14:textId="77777777" w:rsidR="00584EC1" w:rsidRDefault="00584EC1">
            <w:pPr>
              <w:rPr>
                <w:rFonts w:ascii="宋体"/>
                <w:vanish/>
              </w:rPr>
            </w:pPr>
          </w:p>
        </w:tc>
        <w:tc>
          <w:tcPr>
            <w:tcW w:w="0" w:type="auto"/>
            <w:gridSpan w:val="2"/>
            <w:shd w:val="clear" w:color="auto" w:fill="auto"/>
            <w:vAlign w:val="bottom"/>
          </w:tcPr>
          <w:p w14:paraId="74DD6BF3" w14:textId="77777777" w:rsidR="00584EC1" w:rsidRDefault="00584EC1">
            <w:pPr>
              <w:rPr>
                <w:rFonts w:ascii="宋体"/>
                <w:vanish/>
              </w:rPr>
            </w:pPr>
          </w:p>
        </w:tc>
        <w:tc>
          <w:tcPr>
            <w:tcW w:w="0" w:type="auto"/>
            <w:shd w:val="clear" w:color="auto" w:fill="auto"/>
            <w:vAlign w:val="bottom"/>
          </w:tcPr>
          <w:p w14:paraId="74DD6BF4" w14:textId="77777777" w:rsidR="00584EC1" w:rsidRDefault="00584EC1">
            <w:pPr>
              <w:rPr>
                <w:rFonts w:ascii="宋体"/>
                <w:vanish/>
              </w:rPr>
            </w:pPr>
          </w:p>
        </w:tc>
      </w:tr>
      <w:tr w:rsidR="00584EC1" w14:paraId="74DD6C12" w14:textId="77777777">
        <w:tc>
          <w:tcPr>
            <w:tcW w:w="0" w:type="auto"/>
            <w:gridSpan w:val="3"/>
            <w:shd w:val="clear" w:color="auto" w:fill="FFFFFF"/>
            <w:tcMar>
              <w:top w:w="40" w:type="dxa"/>
              <w:left w:w="20" w:type="dxa"/>
              <w:bottom w:w="40" w:type="dxa"/>
              <w:right w:w="20" w:type="dxa"/>
            </w:tcMar>
            <w:vAlign w:val="bottom"/>
          </w:tcPr>
          <w:p w14:paraId="74DD6BF6" w14:textId="77777777" w:rsidR="00584EC1" w:rsidRDefault="00871F8D">
            <w:pPr>
              <w:textAlignment w:val="bottom"/>
            </w:pPr>
            <w:r>
              <w:rPr>
                <w:rFonts w:ascii="Arial" w:eastAsia="宋体" w:hAnsi="Arial" w:cs="Arial"/>
                <w:color w:val="000000"/>
                <w:sz w:val="12"/>
                <w:szCs w:val="12"/>
              </w:rPr>
              <w:t>Investment securities held-to-maturity</w:t>
            </w:r>
          </w:p>
        </w:tc>
        <w:tc>
          <w:tcPr>
            <w:tcW w:w="0" w:type="auto"/>
            <w:gridSpan w:val="2"/>
            <w:shd w:val="clear" w:color="auto" w:fill="FFFFFF"/>
            <w:tcMar>
              <w:top w:w="40" w:type="dxa"/>
              <w:left w:w="20" w:type="dxa"/>
              <w:bottom w:w="40" w:type="dxa"/>
              <w:right w:w="0" w:type="dxa"/>
            </w:tcMar>
            <w:vAlign w:val="bottom"/>
          </w:tcPr>
          <w:p w14:paraId="74DD6BF7" w14:textId="77777777" w:rsidR="00584EC1" w:rsidRDefault="00871F8D">
            <w:pPr>
              <w:jc w:val="right"/>
              <w:textAlignment w:val="bottom"/>
            </w:pPr>
            <w:r>
              <w:rPr>
                <w:rFonts w:ascii="Arial" w:eastAsia="宋体" w:hAnsi="Arial" w:cs="Arial"/>
                <w:b/>
                <w:bCs/>
                <w:color w:val="000000"/>
                <w:sz w:val="12"/>
                <w:szCs w:val="12"/>
              </w:rPr>
              <w:t>44,014</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6BF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BF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BFA" w14:textId="77777777" w:rsidR="00584EC1" w:rsidRDefault="00871F8D">
            <w:pPr>
              <w:jc w:val="right"/>
              <w:textAlignment w:val="bottom"/>
            </w:pPr>
            <w:r>
              <w:rPr>
                <w:rFonts w:ascii="Arial" w:eastAsia="宋体" w:hAnsi="Arial" w:cs="Arial"/>
                <w:b/>
                <w:bCs/>
                <w:color w:val="000000"/>
                <w:sz w:val="12"/>
                <w:szCs w:val="12"/>
              </w:rPr>
              <w:t>16</w:t>
            </w:r>
            <w:r>
              <w:rPr>
                <w:rFonts w:ascii="Arial" w:eastAsia="宋体" w:hAnsi="Arial" w:cs="Arial"/>
                <w:b/>
                <w:bCs/>
                <w:color w:val="000000"/>
                <w:sz w:val="12"/>
                <w:szCs w:val="12"/>
              </w:rPr>
              <w:t>1</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6BF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BF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BFD" w14:textId="77777777" w:rsidR="00584EC1" w:rsidRDefault="00871F8D">
            <w:pPr>
              <w:jc w:val="right"/>
              <w:textAlignment w:val="bottom"/>
            </w:pPr>
            <w:r>
              <w:rPr>
                <w:rFonts w:ascii="Arial" w:eastAsia="宋体" w:hAnsi="Arial" w:cs="Arial"/>
                <w:b/>
                <w:bCs/>
                <w:color w:val="000000"/>
                <w:sz w:val="12"/>
                <w:szCs w:val="12"/>
              </w:rPr>
              <w:t>1.47</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6BF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BF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C00" w14:textId="77777777" w:rsidR="00584EC1" w:rsidRDefault="00871F8D">
            <w:pPr>
              <w:jc w:val="right"/>
              <w:textAlignment w:val="bottom"/>
            </w:pPr>
            <w:r>
              <w:rPr>
                <w:rFonts w:ascii="Arial" w:eastAsia="宋体" w:hAnsi="Arial" w:cs="Arial"/>
                <w:color w:val="000000"/>
                <w:sz w:val="12"/>
                <w:szCs w:val="12"/>
              </w:rPr>
              <w:t>43,367 </w:t>
            </w:r>
          </w:p>
        </w:tc>
        <w:tc>
          <w:tcPr>
            <w:tcW w:w="0" w:type="auto"/>
            <w:shd w:val="clear" w:color="auto" w:fill="FFFFFF"/>
            <w:tcMar>
              <w:top w:w="40" w:type="dxa"/>
              <w:left w:w="0" w:type="dxa"/>
              <w:bottom w:w="40" w:type="dxa"/>
              <w:right w:w="20" w:type="dxa"/>
            </w:tcMar>
            <w:vAlign w:val="bottom"/>
          </w:tcPr>
          <w:p w14:paraId="74DD6C0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C0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C03" w14:textId="77777777" w:rsidR="00584EC1" w:rsidRDefault="00871F8D">
            <w:pPr>
              <w:jc w:val="right"/>
              <w:textAlignment w:val="bottom"/>
            </w:pPr>
            <w:r>
              <w:rPr>
                <w:rFonts w:ascii="Arial" w:eastAsia="宋体" w:hAnsi="Arial" w:cs="Arial"/>
                <w:color w:val="000000"/>
                <w:sz w:val="12"/>
                <w:szCs w:val="12"/>
              </w:rPr>
              <w:t>174 </w:t>
            </w:r>
          </w:p>
        </w:tc>
        <w:tc>
          <w:tcPr>
            <w:tcW w:w="0" w:type="auto"/>
            <w:shd w:val="clear" w:color="auto" w:fill="FFFFFF"/>
            <w:tcMar>
              <w:top w:w="40" w:type="dxa"/>
              <w:left w:w="0" w:type="dxa"/>
              <w:bottom w:w="40" w:type="dxa"/>
              <w:right w:w="20" w:type="dxa"/>
            </w:tcMar>
            <w:vAlign w:val="bottom"/>
          </w:tcPr>
          <w:p w14:paraId="74DD6C0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C05"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C06" w14:textId="77777777" w:rsidR="00584EC1" w:rsidRDefault="00871F8D">
            <w:pPr>
              <w:jc w:val="right"/>
              <w:textAlignment w:val="bottom"/>
            </w:pPr>
            <w:r>
              <w:rPr>
                <w:rFonts w:ascii="Arial" w:eastAsia="宋体" w:hAnsi="Arial" w:cs="Arial"/>
                <w:color w:val="000000"/>
                <w:sz w:val="12"/>
                <w:szCs w:val="12"/>
              </w:rPr>
              <w:t>1.61 </w:t>
            </w:r>
          </w:p>
        </w:tc>
        <w:tc>
          <w:tcPr>
            <w:tcW w:w="0" w:type="auto"/>
            <w:shd w:val="clear" w:color="auto" w:fill="FFFFFF"/>
            <w:tcMar>
              <w:top w:w="40" w:type="dxa"/>
              <w:left w:w="0" w:type="dxa"/>
              <w:bottom w:w="40" w:type="dxa"/>
              <w:right w:w="20" w:type="dxa"/>
            </w:tcMar>
            <w:vAlign w:val="bottom"/>
          </w:tcPr>
          <w:p w14:paraId="74DD6C07" w14:textId="77777777" w:rsidR="00584EC1" w:rsidRDefault="00584EC1">
            <w:pPr>
              <w:jc w:val="right"/>
              <w:rPr>
                <w:rFonts w:ascii="宋体"/>
              </w:rPr>
            </w:pPr>
          </w:p>
        </w:tc>
        <w:tc>
          <w:tcPr>
            <w:tcW w:w="0" w:type="auto"/>
            <w:shd w:val="clear" w:color="auto" w:fill="auto"/>
            <w:vAlign w:val="bottom"/>
          </w:tcPr>
          <w:p w14:paraId="74DD6C08" w14:textId="77777777" w:rsidR="00584EC1" w:rsidRDefault="00584EC1">
            <w:pPr>
              <w:rPr>
                <w:rFonts w:ascii="宋体"/>
                <w:vanish/>
              </w:rPr>
            </w:pPr>
          </w:p>
        </w:tc>
        <w:tc>
          <w:tcPr>
            <w:tcW w:w="0" w:type="auto"/>
            <w:shd w:val="clear" w:color="auto" w:fill="auto"/>
            <w:vAlign w:val="bottom"/>
          </w:tcPr>
          <w:p w14:paraId="74DD6C09" w14:textId="77777777" w:rsidR="00584EC1" w:rsidRDefault="00584EC1">
            <w:pPr>
              <w:rPr>
                <w:rFonts w:ascii="宋体"/>
                <w:vanish/>
              </w:rPr>
            </w:pPr>
          </w:p>
        </w:tc>
        <w:tc>
          <w:tcPr>
            <w:tcW w:w="0" w:type="auto"/>
            <w:shd w:val="clear" w:color="auto" w:fill="auto"/>
            <w:vAlign w:val="bottom"/>
          </w:tcPr>
          <w:p w14:paraId="74DD6C0A" w14:textId="77777777" w:rsidR="00584EC1" w:rsidRDefault="00584EC1">
            <w:pPr>
              <w:rPr>
                <w:rFonts w:ascii="宋体"/>
                <w:vanish/>
              </w:rPr>
            </w:pPr>
          </w:p>
        </w:tc>
        <w:tc>
          <w:tcPr>
            <w:tcW w:w="0" w:type="auto"/>
            <w:shd w:val="clear" w:color="auto" w:fill="auto"/>
            <w:vAlign w:val="bottom"/>
          </w:tcPr>
          <w:p w14:paraId="74DD6C0B" w14:textId="77777777" w:rsidR="00584EC1" w:rsidRDefault="00584EC1">
            <w:pPr>
              <w:rPr>
                <w:rFonts w:ascii="宋体"/>
                <w:vanish/>
              </w:rPr>
            </w:pPr>
          </w:p>
        </w:tc>
        <w:tc>
          <w:tcPr>
            <w:tcW w:w="0" w:type="auto"/>
            <w:gridSpan w:val="3"/>
            <w:shd w:val="clear" w:color="auto" w:fill="auto"/>
            <w:vAlign w:val="bottom"/>
          </w:tcPr>
          <w:p w14:paraId="74DD6C0C" w14:textId="77777777" w:rsidR="00584EC1" w:rsidRDefault="00584EC1">
            <w:pPr>
              <w:rPr>
                <w:rFonts w:ascii="宋体"/>
                <w:vanish/>
              </w:rPr>
            </w:pPr>
          </w:p>
        </w:tc>
        <w:tc>
          <w:tcPr>
            <w:tcW w:w="0" w:type="auto"/>
            <w:gridSpan w:val="3"/>
            <w:shd w:val="clear" w:color="auto" w:fill="auto"/>
            <w:vAlign w:val="bottom"/>
          </w:tcPr>
          <w:p w14:paraId="74DD6C0D" w14:textId="77777777" w:rsidR="00584EC1" w:rsidRDefault="00584EC1">
            <w:pPr>
              <w:rPr>
                <w:rFonts w:ascii="宋体"/>
                <w:vanish/>
              </w:rPr>
            </w:pPr>
          </w:p>
        </w:tc>
        <w:tc>
          <w:tcPr>
            <w:tcW w:w="0" w:type="auto"/>
            <w:gridSpan w:val="3"/>
            <w:shd w:val="clear" w:color="auto" w:fill="auto"/>
            <w:vAlign w:val="bottom"/>
          </w:tcPr>
          <w:p w14:paraId="74DD6C0E" w14:textId="77777777" w:rsidR="00584EC1" w:rsidRDefault="00584EC1">
            <w:pPr>
              <w:rPr>
                <w:rFonts w:ascii="宋体"/>
                <w:vanish/>
              </w:rPr>
            </w:pPr>
          </w:p>
        </w:tc>
        <w:tc>
          <w:tcPr>
            <w:tcW w:w="0" w:type="auto"/>
            <w:gridSpan w:val="3"/>
            <w:shd w:val="clear" w:color="auto" w:fill="auto"/>
            <w:vAlign w:val="bottom"/>
          </w:tcPr>
          <w:p w14:paraId="74DD6C0F" w14:textId="77777777" w:rsidR="00584EC1" w:rsidRDefault="00584EC1">
            <w:pPr>
              <w:rPr>
                <w:rFonts w:ascii="宋体"/>
                <w:vanish/>
              </w:rPr>
            </w:pPr>
          </w:p>
        </w:tc>
        <w:tc>
          <w:tcPr>
            <w:tcW w:w="0" w:type="auto"/>
            <w:gridSpan w:val="2"/>
            <w:shd w:val="clear" w:color="auto" w:fill="auto"/>
            <w:vAlign w:val="bottom"/>
          </w:tcPr>
          <w:p w14:paraId="74DD6C10" w14:textId="77777777" w:rsidR="00584EC1" w:rsidRDefault="00584EC1">
            <w:pPr>
              <w:rPr>
                <w:rFonts w:ascii="宋体"/>
                <w:vanish/>
              </w:rPr>
            </w:pPr>
          </w:p>
        </w:tc>
        <w:tc>
          <w:tcPr>
            <w:tcW w:w="0" w:type="auto"/>
            <w:shd w:val="clear" w:color="auto" w:fill="auto"/>
            <w:vAlign w:val="bottom"/>
          </w:tcPr>
          <w:p w14:paraId="74DD6C11" w14:textId="77777777" w:rsidR="00584EC1" w:rsidRDefault="00584EC1">
            <w:pPr>
              <w:rPr>
                <w:rFonts w:ascii="宋体"/>
                <w:vanish/>
              </w:rPr>
            </w:pPr>
          </w:p>
        </w:tc>
      </w:tr>
      <w:tr w:rsidR="00584EC1" w14:paraId="74DD6C2F" w14:textId="77777777">
        <w:tc>
          <w:tcPr>
            <w:tcW w:w="0" w:type="auto"/>
            <w:gridSpan w:val="3"/>
            <w:shd w:val="clear" w:color="auto" w:fill="CCEEFF"/>
            <w:tcMar>
              <w:top w:w="40" w:type="dxa"/>
              <w:left w:w="20" w:type="dxa"/>
              <w:bottom w:w="40" w:type="dxa"/>
              <w:right w:w="20" w:type="dxa"/>
            </w:tcMar>
            <w:vAlign w:val="bottom"/>
          </w:tcPr>
          <w:p w14:paraId="74DD6C13" w14:textId="77777777" w:rsidR="00584EC1" w:rsidRDefault="00871F8D">
            <w:pPr>
              <w:textAlignment w:val="bottom"/>
            </w:pPr>
            <w:r>
              <w:rPr>
                <w:rFonts w:ascii="Arial" w:eastAsia="宋体" w:hAnsi="Arial" w:cs="Arial"/>
                <w:color w:val="000000"/>
                <w:sz w:val="12"/>
                <w:szCs w:val="12"/>
              </w:rPr>
              <w:t>Investment securities held-to-maturity purchased un</w:t>
            </w:r>
            <w:r>
              <w:rPr>
                <w:rFonts w:ascii="Arial" w:eastAsia="宋体" w:hAnsi="Arial" w:cs="Arial"/>
                <w:color w:val="000000"/>
                <w:sz w:val="12"/>
                <w:szCs w:val="12"/>
              </w:rPr>
              <w:t>der money market liquidity facility</w:t>
            </w:r>
          </w:p>
        </w:tc>
        <w:tc>
          <w:tcPr>
            <w:tcW w:w="0" w:type="auto"/>
            <w:gridSpan w:val="2"/>
            <w:shd w:val="clear" w:color="auto" w:fill="CCEEFF"/>
            <w:tcMar>
              <w:top w:w="40" w:type="dxa"/>
              <w:left w:w="20" w:type="dxa"/>
              <w:bottom w:w="40" w:type="dxa"/>
              <w:right w:w="0" w:type="dxa"/>
            </w:tcMar>
            <w:vAlign w:val="bottom"/>
          </w:tcPr>
          <w:p w14:paraId="74DD6C14"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6C1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C1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C17"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6C1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C1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C1A"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6C1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C1C"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C1D" w14:textId="77777777" w:rsidR="00584EC1" w:rsidRDefault="00871F8D">
            <w:pPr>
              <w:jc w:val="right"/>
              <w:textAlignment w:val="bottom"/>
            </w:pPr>
            <w:r>
              <w:rPr>
                <w:rFonts w:ascii="Arial" w:eastAsia="宋体" w:hAnsi="Arial" w:cs="Arial"/>
                <w:color w:val="000000"/>
                <w:sz w:val="12"/>
                <w:szCs w:val="12"/>
              </w:rPr>
              <w:t>7,488 </w:t>
            </w:r>
          </w:p>
        </w:tc>
        <w:tc>
          <w:tcPr>
            <w:tcW w:w="0" w:type="auto"/>
            <w:shd w:val="clear" w:color="auto" w:fill="CCEEFF"/>
            <w:tcMar>
              <w:top w:w="40" w:type="dxa"/>
              <w:left w:w="0" w:type="dxa"/>
              <w:bottom w:w="40" w:type="dxa"/>
              <w:right w:w="20" w:type="dxa"/>
            </w:tcMar>
            <w:vAlign w:val="bottom"/>
          </w:tcPr>
          <w:p w14:paraId="74DD6C1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C1F"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C20" w14:textId="77777777" w:rsidR="00584EC1" w:rsidRDefault="00871F8D">
            <w:pPr>
              <w:jc w:val="right"/>
              <w:textAlignment w:val="bottom"/>
            </w:pPr>
            <w:r>
              <w:rPr>
                <w:rFonts w:ascii="Arial" w:eastAsia="宋体" w:hAnsi="Arial" w:cs="Arial"/>
                <w:color w:val="000000"/>
                <w:sz w:val="12"/>
                <w:szCs w:val="12"/>
              </w:rPr>
              <w:t>25 </w:t>
            </w:r>
          </w:p>
        </w:tc>
        <w:tc>
          <w:tcPr>
            <w:tcW w:w="0" w:type="auto"/>
            <w:shd w:val="clear" w:color="auto" w:fill="CCEEFF"/>
            <w:tcMar>
              <w:top w:w="40" w:type="dxa"/>
              <w:left w:w="0" w:type="dxa"/>
              <w:bottom w:w="40" w:type="dxa"/>
              <w:right w:w="20" w:type="dxa"/>
            </w:tcMar>
            <w:vAlign w:val="bottom"/>
          </w:tcPr>
          <w:p w14:paraId="74DD6C2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C22"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C23" w14:textId="77777777" w:rsidR="00584EC1" w:rsidRDefault="00871F8D">
            <w:pPr>
              <w:jc w:val="right"/>
              <w:textAlignment w:val="bottom"/>
            </w:pPr>
            <w:r>
              <w:rPr>
                <w:rFonts w:ascii="Arial" w:eastAsia="宋体" w:hAnsi="Arial" w:cs="Arial"/>
                <w:color w:val="000000"/>
                <w:sz w:val="12"/>
                <w:szCs w:val="12"/>
              </w:rPr>
              <w:t>1.32 </w:t>
            </w:r>
          </w:p>
        </w:tc>
        <w:tc>
          <w:tcPr>
            <w:tcW w:w="0" w:type="auto"/>
            <w:shd w:val="clear" w:color="auto" w:fill="CCEEFF"/>
            <w:tcMar>
              <w:top w:w="40" w:type="dxa"/>
              <w:left w:w="0" w:type="dxa"/>
              <w:bottom w:w="40" w:type="dxa"/>
              <w:right w:w="20" w:type="dxa"/>
            </w:tcMar>
            <w:vAlign w:val="bottom"/>
          </w:tcPr>
          <w:p w14:paraId="74DD6C24" w14:textId="77777777" w:rsidR="00584EC1" w:rsidRDefault="00584EC1">
            <w:pPr>
              <w:jc w:val="right"/>
              <w:rPr>
                <w:rFonts w:ascii="宋体"/>
              </w:rPr>
            </w:pPr>
          </w:p>
        </w:tc>
        <w:tc>
          <w:tcPr>
            <w:tcW w:w="0" w:type="auto"/>
            <w:shd w:val="clear" w:color="auto" w:fill="auto"/>
            <w:vAlign w:val="bottom"/>
          </w:tcPr>
          <w:p w14:paraId="74DD6C25" w14:textId="77777777" w:rsidR="00584EC1" w:rsidRDefault="00584EC1">
            <w:pPr>
              <w:rPr>
                <w:rFonts w:ascii="宋体"/>
                <w:vanish/>
              </w:rPr>
            </w:pPr>
          </w:p>
        </w:tc>
        <w:tc>
          <w:tcPr>
            <w:tcW w:w="0" w:type="auto"/>
            <w:shd w:val="clear" w:color="auto" w:fill="auto"/>
            <w:vAlign w:val="bottom"/>
          </w:tcPr>
          <w:p w14:paraId="74DD6C26" w14:textId="77777777" w:rsidR="00584EC1" w:rsidRDefault="00584EC1">
            <w:pPr>
              <w:rPr>
                <w:rFonts w:ascii="宋体"/>
                <w:vanish/>
              </w:rPr>
            </w:pPr>
          </w:p>
        </w:tc>
        <w:tc>
          <w:tcPr>
            <w:tcW w:w="0" w:type="auto"/>
            <w:shd w:val="clear" w:color="auto" w:fill="auto"/>
            <w:vAlign w:val="bottom"/>
          </w:tcPr>
          <w:p w14:paraId="74DD6C27" w14:textId="77777777" w:rsidR="00584EC1" w:rsidRDefault="00584EC1">
            <w:pPr>
              <w:rPr>
                <w:rFonts w:ascii="宋体"/>
                <w:vanish/>
              </w:rPr>
            </w:pPr>
          </w:p>
        </w:tc>
        <w:tc>
          <w:tcPr>
            <w:tcW w:w="0" w:type="auto"/>
            <w:shd w:val="clear" w:color="auto" w:fill="auto"/>
            <w:vAlign w:val="bottom"/>
          </w:tcPr>
          <w:p w14:paraId="74DD6C28" w14:textId="77777777" w:rsidR="00584EC1" w:rsidRDefault="00584EC1">
            <w:pPr>
              <w:rPr>
                <w:rFonts w:ascii="宋体"/>
                <w:vanish/>
              </w:rPr>
            </w:pPr>
          </w:p>
        </w:tc>
        <w:tc>
          <w:tcPr>
            <w:tcW w:w="0" w:type="auto"/>
            <w:gridSpan w:val="3"/>
            <w:shd w:val="clear" w:color="auto" w:fill="auto"/>
            <w:vAlign w:val="bottom"/>
          </w:tcPr>
          <w:p w14:paraId="74DD6C29" w14:textId="77777777" w:rsidR="00584EC1" w:rsidRDefault="00584EC1">
            <w:pPr>
              <w:rPr>
                <w:rFonts w:ascii="宋体"/>
                <w:vanish/>
              </w:rPr>
            </w:pPr>
          </w:p>
        </w:tc>
        <w:tc>
          <w:tcPr>
            <w:tcW w:w="0" w:type="auto"/>
            <w:gridSpan w:val="3"/>
            <w:shd w:val="clear" w:color="auto" w:fill="auto"/>
            <w:vAlign w:val="bottom"/>
          </w:tcPr>
          <w:p w14:paraId="74DD6C2A" w14:textId="77777777" w:rsidR="00584EC1" w:rsidRDefault="00584EC1">
            <w:pPr>
              <w:rPr>
                <w:rFonts w:ascii="宋体"/>
                <w:vanish/>
              </w:rPr>
            </w:pPr>
          </w:p>
        </w:tc>
        <w:tc>
          <w:tcPr>
            <w:tcW w:w="0" w:type="auto"/>
            <w:gridSpan w:val="3"/>
            <w:shd w:val="clear" w:color="auto" w:fill="auto"/>
            <w:vAlign w:val="bottom"/>
          </w:tcPr>
          <w:p w14:paraId="74DD6C2B" w14:textId="77777777" w:rsidR="00584EC1" w:rsidRDefault="00584EC1">
            <w:pPr>
              <w:rPr>
                <w:rFonts w:ascii="宋体"/>
                <w:vanish/>
              </w:rPr>
            </w:pPr>
          </w:p>
        </w:tc>
        <w:tc>
          <w:tcPr>
            <w:tcW w:w="0" w:type="auto"/>
            <w:gridSpan w:val="3"/>
            <w:shd w:val="clear" w:color="auto" w:fill="auto"/>
            <w:vAlign w:val="bottom"/>
          </w:tcPr>
          <w:p w14:paraId="74DD6C2C" w14:textId="77777777" w:rsidR="00584EC1" w:rsidRDefault="00584EC1">
            <w:pPr>
              <w:rPr>
                <w:rFonts w:ascii="宋体"/>
                <w:vanish/>
              </w:rPr>
            </w:pPr>
          </w:p>
        </w:tc>
        <w:tc>
          <w:tcPr>
            <w:tcW w:w="0" w:type="auto"/>
            <w:gridSpan w:val="2"/>
            <w:shd w:val="clear" w:color="auto" w:fill="auto"/>
            <w:vAlign w:val="bottom"/>
          </w:tcPr>
          <w:p w14:paraId="74DD6C2D" w14:textId="77777777" w:rsidR="00584EC1" w:rsidRDefault="00584EC1">
            <w:pPr>
              <w:rPr>
                <w:rFonts w:ascii="宋体"/>
                <w:vanish/>
              </w:rPr>
            </w:pPr>
          </w:p>
        </w:tc>
        <w:tc>
          <w:tcPr>
            <w:tcW w:w="0" w:type="auto"/>
            <w:shd w:val="clear" w:color="auto" w:fill="auto"/>
            <w:vAlign w:val="bottom"/>
          </w:tcPr>
          <w:p w14:paraId="74DD6C2E" w14:textId="77777777" w:rsidR="00584EC1" w:rsidRDefault="00584EC1">
            <w:pPr>
              <w:rPr>
                <w:rFonts w:ascii="宋体"/>
                <w:vanish/>
              </w:rPr>
            </w:pPr>
          </w:p>
        </w:tc>
      </w:tr>
      <w:tr w:rsidR="00584EC1" w14:paraId="74DD6C4C" w14:textId="77777777">
        <w:tc>
          <w:tcPr>
            <w:tcW w:w="0" w:type="auto"/>
            <w:gridSpan w:val="3"/>
            <w:shd w:val="clear" w:color="auto" w:fill="FFFFFF"/>
            <w:tcMar>
              <w:top w:w="40" w:type="dxa"/>
              <w:left w:w="20" w:type="dxa"/>
              <w:bottom w:w="40" w:type="dxa"/>
              <w:right w:w="20" w:type="dxa"/>
            </w:tcMar>
            <w:vAlign w:val="bottom"/>
          </w:tcPr>
          <w:p w14:paraId="74DD6C30" w14:textId="77777777" w:rsidR="00584EC1" w:rsidRDefault="00871F8D">
            <w:pPr>
              <w:textAlignment w:val="bottom"/>
            </w:pPr>
            <w:r>
              <w:rPr>
                <w:rFonts w:ascii="Arial" w:eastAsia="宋体" w:hAnsi="Arial" w:cs="Arial"/>
                <w:color w:val="000000"/>
                <w:sz w:val="12"/>
                <w:szCs w:val="12"/>
              </w:rPr>
              <w:t>Total investment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6C31" w14:textId="77777777" w:rsidR="00584EC1" w:rsidRDefault="00871F8D">
            <w:pPr>
              <w:jc w:val="right"/>
              <w:textAlignment w:val="bottom"/>
            </w:pPr>
            <w:r>
              <w:rPr>
                <w:rFonts w:ascii="Arial" w:eastAsia="宋体" w:hAnsi="Arial" w:cs="Arial"/>
                <w:b/>
                <w:bCs/>
                <w:color w:val="000000"/>
                <w:sz w:val="12"/>
                <w:szCs w:val="12"/>
              </w:rPr>
              <w:t>113,635</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6C3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C33"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6C34" w14:textId="77777777" w:rsidR="00584EC1" w:rsidRDefault="00871F8D">
            <w:pPr>
              <w:jc w:val="right"/>
              <w:textAlignment w:val="bottom"/>
            </w:pPr>
            <w:r>
              <w:rPr>
                <w:rFonts w:ascii="Arial" w:eastAsia="宋体" w:hAnsi="Arial" w:cs="Arial"/>
                <w:b/>
                <w:bCs/>
                <w:color w:val="000000"/>
                <w:sz w:val="12"/>
                <w:szCs w:val="12"/>
              </w:rPr>
              <w:t>311</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6C3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C3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C37" w14:textId="77777777" w:rsidR="00584EC1" w:rsidRDefault="00871F8D">
            <w:pPr>
              <w:jc w:val="right"/>
              <w:textAlignment w:val="bottom"/>
            </w:pPr>
            <w:r>
              <w:rPr>
                <w:rFonts w:ascii="Arial" w:eastAsia="宋体" w:hAnsi="Arial" w:cs="Arial"/>
                <w:b/>
                <w:bCs/>
                <w:color w:val="000000"/>
                <w:sz w:val="12"/>
                <w:szCs w:val="12"/>
              </w:rPr>
              <w:t>1.10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6C3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C39"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6C3A" w14:textId="77777777" w:rsidR="00584EC1" w:rsidRDefault="00871F8D">
            <w:pPr>
              <w:jc w:val="right"/>
              <w:textAlignment w:val="bottom"/>
            </w:pPr>
            <w:r>
              <w:rPr>
                <w:rFonts w:ascii="Arial" w:eastAsia="宋体" w:hAnsi="Arial" w:cs="Arial"/>
                <w:color w:val="000000"/>
                <w:sz w:val="12"/>
                <w:szCs w:val="12"/>
              </w:rPr>
              <w:t>110,448 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6C3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C3C"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6C3D" w14:textId="77777777" w:rsidR="00584EC1" w:rsidRDefault="00871F8D">
            <w:pPr>
              <w:jc w:val="right"/>
              <w:textAlignment w:val="bottom"/>
            </w:pPr>
            <w:r>
              <w:rPr>
                <w:rFonts w:ascii="Arial" w:eastAsia="宋体" w:hAnsi="Arial" w:cs="Arial"/>
                <w:color w:val="000000"/>
                <w:sz w:val="12"/>
                <w:szCs w:val="12"/>
              </w:rPr>
              <w:t>368 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6C3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C3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C40" w14:textId="77777777" w:rsidR="00584EC1" w:rsidRDefault="00871F8D">
            <w:pPr>
              <w:jc w:val="right"/>
              <w:textAlignment w:val="bottom"/>
            </w:pPr>
            <w:r>
              <w:rPr>
                <w:rFonts w:ascii="Arial" w:eastAsia="宋体" w:hAnsi="Arial" w:cs="Arial"/>
                <w:color w:val="000000"/>
                <w:sz w:val="12"/>
                <w:szCs w:val="12"/>
              </w:rPr>
              <w:t>1.33 </w:t>
            </w:r>
          </w:p>
        </w:tc>
        <w:tc>
          <w:tcPr>
            <w:tcW w:w="0" w:type="auto"/>
            <w:shd w:val="clear" w:color="auto" w:fill="FFFFFF"/>
            <w:tcMar>
              <w:top w:w="40" w:type="dxa"/>
              <w:left w:w="0" w:type="dxa"/>
              <w:bottom w:w="40" w:type="dxa"/>
              <w:right w:w="20" w:type="dxa"/>
            </w:tcMar>
            <w:vAlign w:val="bottom"/>
          </w:tcPr>
          <w:p w14:paraId="74DD6C41" w14:textId="77777777" w:rsidR="00584EC1" w:rsidRDefault="00584EC1">
            <w:pPr>
              <w:jc w:val="right"/>
              <w:rPr>
                <w:rFonts w:ascii="宋体"/>
              </w:rPr>
            </w:pPr>
          </w:p>
        </w:tc>
        <w:tc>
          <w:tcPr>
            <w:tcW w:w="0" w:type="auto"/>
            <w:shd w:val="clear" w:color="auto" w:fill="auto"/>
            <w:vAlign w:val="bottom"/>
          </w:tcPr>
          <w:p w14:paraId="74DD6C42" w14:textId="77777777" w:rsidR="00584EC1" w:rsidRDefault="00584EC1">
            <w:pPr>
              <w:rPr>
                <w:rFonts w:ascii="宋体"/>
                <w:vanish/>
              </w:rPr>
            </w:pPr>
          </w:p>
        </w:tc>
        <w:tc>
          <w:tcPr>
            <w:tcW w:w="0" w:type="auto"/>
            <w:shd w:val="clear" w:color="auto" w:fill="auto"/>
            <w:vAlign w:val="bottom"/>
          </w:tcPr>
          <w:p w14:paraId="74DD6C43" w14:textId="77777777" w:rsidR="00584EC1" w:rsidRDefault="00584EC1">
            <w:pPr>
              <w:rPr>
                <w:rFonts w:ascii="宋体"/>
                <w:vanish/>
              </w:rPr>
            </w:pPr>
          </w:p>
        </w:tc>
        <w:tc>
          <w:tcPr>
            <w:tcW w:w="0" w:type="auto"/>
            <w:shd w:val="clear" w:color="auto" w:fill="auto"/>
            <w:vAlign w:val="bottom"/>
          </w:tcPr>
          <w:p w14:paraId="74DD6C44" w14:textId="77777777" w:rsidR="00584EC1" w:rsidRDefault="00584EC1">
            <w:pPr>
              <w:rPr>
                <w:rFonts w:ascii="宋体"/>
                <w:vanish/>
              </w:rPr>
            </w:pPr>
          </w:p>
        </w:tc>
        <w:tc>
          <w:tcPr>
            <w:tcW w:w="0" w:type="auto"/>
            <w:shd w:val="clear" w:color="auto" w:fill="auto"/>
            <w:vAlign w:val="bottom"/>
          </w:tcPr>
          <w:p w14:paraId="74DD6C45" w14:textId="77777777" w:rsidR="00584EC1" w:rsidRDefault="00584EC1">
            <w:pPr>
              <w:rPr>
                <w:rFonts w:ascii="宋体"/>
                <w:vanish/>
              </w:rPr>
            </w:pPr>
          </w:p>
        </w:tc>
        <w:tc>
          <w:tcPr>
            <w:tcW w:w="0" w:type="auto"/>
            <w:gridSpan w:val="3"/>
            <w:shd w:val="clear" w:color="auto" w:fill="auto"/>
            <w:vAlign w:val="bottom"/>
          </w:tcPr>
          <w:p w14:paraId="74DD6C46" w14:textId="77777777" w:rsidR="00584EC1" w:rsidRDefault="00584EC1">
            <w:pPr>
              <w:rPr>
                <w:rFonts w:ascii="宋体"/>
                <w:vanish/>
              </w:rPr>
            </w:pPr>
          </w:p>
        </w:tc>
        <w:tc>
          <w:tcPr>
            <w:tcW w:w="0" w:type="auto"/>
            <w:gridSpan w:val="3"/>
            <w:shd w:val="clear" w:color="auto" w:fill="auto"/>
            <w:vAlign w:val="bottom"/>
          </w:tcPr>
          <w:p w14:paraId="74DD6C47" w14:textId="77777777" w:rsidR="00584EC1" w:rsidRDefault="00584EC1">
            <w:pPr>
              <w:rPr>
                <w:rFonts w:ascii="宋体"/>
                <w:vanish/>
              </w:rPr>
            </w:pPr>
          </w:p>
        </w:tc>
        <w:tc>
          <w:tcPr>
            <w:tcW w:w="0" w:type="auto"/>
            <w:gridSpan w:val="3"/>
            <w:shd w:val="clear" w:color="auto" w:fill="auto"/>
            <w:vAlign w:val="bottom"/>
          </w:tcPr>
          <w:p w14:paraId="74DD6C48" w14:textId="77777777" w:rsidR="00584EC1" w:rsidRDefault="00584EC1">
            <w:pPr>
              <w:rPr>
                <w:rFonts w:ascii="宋体"/>
                <w:vanish/>
              </w:rPr>
            </w:pPr>
          </w:p>
        </w:tc>
        <w:tc>
          <w:tcPr>
            <w:tcW w:w="0" w:type="auto"/>
            <w:gridSpan w:val="3"/>
            <w:shd w:val="clear" w:color="auto" w:fill="auto"/>
            <w:vAlign w:val="bottom"/>
          </w:tcPr>
          <w:p w14:paraId="74DD6C49" w14:textId="77777777" w:rsidR="00584EC1" w:rsidRDefault="00584EC1">
            <w:pPr>
              <w:rPr>
                <w:rFonts w:ascii="宋体"/>
                <w:vanish/>
              </w:rPr>
            </w:pPr>
          </w:p>
        </w:tc>
        <w:tc>
          <w:tcPr>
            <w:tcW w:w="0" w:type="auto"/>
            <w:gridSpan w:val="2"/>
            <w:shd w:val="clear" w:color="auto" w:fill="auto"/>
            <w:vAlign w:val="bottom"/>
          </w:tcPr>
          <w:p w14:paraId="74DD6C4A" w14:textId="77777777" w:rsidR="00584EC1" w:rsidRDefault="00584EC1">
            <w:pPr>
              <w:rPr>
                <w:rFonts w:ascii="宋体"/>
                <w:vanish/>
              </w:rPr>
            </w:pPr>
          </w:p>
        </w:tc>
        <w:tc>
          <w:tcPr>
            <w:tcW w:w="0" w:type="auto"/>
            <w:shd w:val="clear" w:color="auto" w:fill="auto"/>
            <w:vAlign w:val="bottom"/>
          </w:tcPr>
          <w:p w14:paraId="74DD6C4B" w14:textId="77777777" w:rsidR="00584EC1" w:rsidRDefault="00584EC1">
            <w:pPr>
              <w:rPr>
                <w:rFonts w:ascii="宋体"/>
                <w:vanish/>
              </w:rPr>
            </w:pPr>
          </w:p>
        </w:tc>
      </w:tr>
      <w:tr w:rsidR="00584EC1" w14:paraId="74DD6C69" w14:textId="77777777">
        <w:tc>
          <w:tcPr>
            <w:tcW w:w="0" w:type="auto"/>
            <w:gridSpan w:val="3"/>
            <w:shd w:val="clear" w:color="auto" w:fill="CCEEFF"/>
            <w:tcMar>
              <w:top w:w="40" w:type="dxa"/>
              <w:left w:w="20" w:type="dxa"/>
              <w:bottom w:w="40" w:type="dxa"/>
              <w:right w:w="20" w:type="dxa"/>
            </w:tcMar>
            <w:vAlign w:val="bottom"/>
          </w:tcPr>
          <w:p w14:paraId="74DD6C4D" w14:textId="77777777" w:rsidR="00584EC1" w:rsidRDefault="00871F8D">
            <w:pPr>
              <w:textAlignment w:val="bottom"/>
            </w:pPr>
            <w:r>
              <w:rPr>
                <w:rFonts w:ascii="Arial" w:eastAsia="宋体" w:hAnsi="Arial" w:cs="Arial"/>
                <w:color w:val="000000"/>
                <w:sz w:val="12"/>
                <w:szCs w:val="12"/>
              </w:rPr>
              <w:t>Loans</w:t>
            </w:r>
          </w:p>
        </w:tc>
        <w:tc>
          <w:tcPr>
            <w:tcW w:w="0" w:type="auto"/>
            <w:gridSpan w:val="2"/>
            <w:shd w:val="clear" w:color="auto" w:fill="CCEEFF"/>
            <w:tcMar>
              <w:top w:w="40" w:type="dxa"/>
              <w:left w:w="20" w:type="dxa"/>
              <w:bottom w:w="40" w:type="dxa"/>
              <w:right w:w="0" w:type="dxa"/>
            </w:tcMar>
            <w:vAlign w:val="bottom"/>
          </w:tcPr>
          <w:p w14:paraId="74DD6C4E" w14:textId="77777777" w:rsidR="00584EC1" w:rsidRDefault="00871F8D">
            <w:pPr>
              <w:jc w:val="right"/>
              <w:textAlignment w:val="bottom"/>
            </w:pPr>
            <w:r>
              <w:rPr>
                <w:rFonts w:ascii="Arial" w:eastAsia="宋体" w:hAnsi="Arial" w:cs="Arial"/>
                <w:b/>
                <w:bCs/>
                <w:color w:val="000000"/>
                <w:sz w:val="12"/>
                <w:szCs w:val="12"/>
              </w:rPr>
              <w:t>32,035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6C4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C5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C51" w14:textId="77777777" w:rsidR="00584EC1" w:rsidRDefault="00871F8D">
            <w:pPr>
              <w:jc w:val="right"/>
              <w:textAlignment w:val="bottom"/>
            </w:pPr>
            <w:r>
              <w:rPr>
                <w:rFonts w:ascii="Arial" w:eastAsia="宋体" w:hAnsi="Arial" w:cs="Arial"/>
                <w:b/>
                <w:bCs/>
                <w:color w:val="000000"/>
                <w:sz w:val="12"/>
                <w:szCs w:val="12"/>
              </w:rPr>
              <w:t>168</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6C5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C53"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C54" w14:textId="77777777" w:rsidR="00584EC1" w:rsidRDefault="00871F8D">
            <w:pPr>
              <w:jc w:val="right"/>
              <w:textAlignment w:val="bottom"/>
            </w:pPr>
            <w:r>
              <w:rPr>
                <w:rFonts w:ascii="Arial" w:eastAsia="宋体" w:hAnsi="Arial" w:cs="Arial"/>
                <w:b/>
                <w:bCs/>
                <w:color w:val="000000"/>
                <w:sz w:val="12"/>
                <w:szCs w:val="12"/>
              </w:rPr>
              <w:t>2.08</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6C5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C5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C57" w14:textId="77777777" w:rsidR="00584EC1" w:rsidRDefault="00871F8D">
            <w:pPr>
              <w:jc w:val="right"/>
              <w:textAlignment w:val="bottom"/>
            </w:pPr>
            <w:r>
              <w:rPr>
                <w:rFonts w:ascii="Arial" w:eastAsia="宋体" w:hAnsi="Arial" w:cs="Arial"/>
                <w:color w:val="000000"/>
                <w:sz w:val="12"/>
                <w:szCs w:val="12"/>
              </w:rPr>
              <w:t>25,974 </w:t>
            </w:r>
          </w:p>
        </w:tc>
        <w:tc>
          <w:tcPr>
            <w:tcW w:w="0" w:type="auto"/>
            <w:shd w:val="clear" w:color="auto" w:fill="CCEEFF"/>
            <w:tcMar>
              <w:top w:w="40" w:type="dxa"/>
              <w:left w:w="0" w:type="dxa"/>
              <w:bottom w:w="40" w:type="dxa"/>
              <w:right w:w="20" w:type="dxa"/>
            </w:tcMar>
            <w:vAlign w:val="bottom"/>
          </w:tcPr>
          <w:p w14:paraId="74DD6C5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C5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C5A" w14:textId="77777777" w:rsidR="00584EC1" w:rsidRDefault="00871F8D">
            <w:pPr>
              <w:jc w:val="right"/>
              <w:textAlignment w:val="bottom"/>
            </w:pPr>
            <w:r>
              <w:rPr>
                <w:rFonts w:ascii="Arial" w:eastAsia="宋体" w:hAnsi="Arial" w:cs="Arial"/>
                <w:color w:val="000000"/>
                <w:sz w:val="12"/>
                <w:szCs w:val="12"/>
              </w:rPr>
              <w:t>139 </w:t>
            </w:r>
          </w:p>
        </w:tc>
        <w:tc>
          <w:tcPr>
            <w:tcW w:w="0" w:type="auto"/>
            <w:shd w:val="clear" w:color="auto" w:fill="CCEEFF"/>
            <w:tcMar>
              <w:top w:w="40" w:type="dxa"/>
              <w:left w:w="0" w:type="dxa"/>
              <w:bottom w:w="40" w:type="dxa"/>
              <w:right w:w="20" w:type="dxa"/>
            </w:tcMar>
            <w:vAlign w:val="bottom"/>
          </w:tcPr>
          <w:p w14:paraId="74DD6C5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C5C"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C5D" w14:textId="77777777" w:rsidR="00584EC1" w:rsidRDefault="00871F8D">
            <w:pPr>
              <w:jc w:val="right"/>
              <w:textAlignment w:val="bottom"/>
            </w:pPr>
            <w:r>
              <w:rPr>
                <w:rFonts w:ascii="Arial" w:eastAsia="宋体" w:hAnsi="Arial" w:cs="Arial"/>
                <w:color w:val="000000"/>
                <w:sz w:val="12"/>
                <w:szCs w:val="12"/>
              </w:rPr>
              <w:t>2.13 </w:t>
            </w:r>
          </w:p>
        </w:tc>
        <w:tc>
          <w:tcPr>
            <w:tcW w:w="0" w:type="auto"/>
            <w:shd w:val="clear" w:color="auto" w:fill="CCEEFF"/>
            <w:tcMar>
              <w:top w:w="40" w:type="dxa"/>
              <w:left w:w="0" w:type="dxa"/>
              <w:bottom w:w="40" w:type="dxa"/>
              <w:right w:w="20" w:type="dxa"/>
            </w:tcMar>
            <w:vAlign w:val="bottom"/>
          </w:tcPr>
          <w:p w14:paraId="74DD6C5E" w14:textId="77777777" w:rsidR="00584EC1" w:rsidRDefault="00584EC1">
            <w:pPr>
              <w:jc w:val="right"/>
              <w:rPr>
                <w:rFonts w:ascii="宋体"/>
              </w:rPr>
            </w:pPr>
          </w:p>
        </w:tc>
        <w:tc>
          <w:tcPr>
            <w:tcW w:w="0" w:type="auto"/>
            <w:shd w:val="clear" w:color="auto" w:fill="auto"/>
            <w:vAlign w:val="bottom"/>
          </w:tcPr>
          <w:p w14:paraId="74DD6C5F" w14:textId="77777777" w:rsidR="00584EC1" w:rsidRDefault="00584EC1">
            <w:pPr>
              <w:rPr>
                <w:rFonts w:ascii="宋体"/>
                <w:vanish/>
              </w:rPr>
            </w:pPr>
          </w:p>
        </w:tc>
        <w:tc>
          <w:tcPr>
            <w:tcW w:w="0" w:type="auto"/>
            <w:shd w:val="clear" w:color="auto" w:fill="auto"/>
            <w:vAlign w:val="bottom"/>
          </w:tcPr>
          <w:p w14:paraId="74DD6C60" w14:textId="77777777" w:rsidR="00584EC1" w:rsidRDefault="00584EC1">
            <w:pPr>
              <w:rPr>
                <w:rFonts w:ascii="宋体"/>
                <w:vanish/>
              </w:rPr>
            </w:pPr>
          </w:p>
        </w:tc>
        <w:tc>
          <w:tcPr>
            <w:tcW w:w="0" w:type="auto"/>
            <w:shd w:val="clear" w:color="auto" w:fill="auto"/>
            <w:vAlign w:val="bottom"/>
          </w:tcPr>
          <w:p w14:paraId="74DD6C61" w14:textId="77777777" w:rsidR="00584EC1" w:rsidRDefault="00584EC1">
            <w:pPr>
              <w:rPr>
                <w:rFonts w:ascii="宋体"/>
                <w:vanish/>
              </w:rPr>
            </w:pPr>
          </w:p>
        </w:tc>
        <w:tc>
          <w:tcPr>
            <w:tcW w:w="0" w:type="auto"/>
            <w:shd w:val="clear" w:color="auto" w:fill="auto"/>
            <w:vAlign w:val="bottom"/>
          </w:tcPr>
          <w:p w14:paraId="74DD6C62" w14:textId="77777777" w:rsidR="00584EC1" w:rsidRDefault="00584EC1">
            <w:pPr>
              <w:rPr>
                <w:rFonts w:ascii="宋体"/>
                <w:vanish/>
              </w:rPr>
            </w:pPr>
          </w:p>
        </w:tc>
        <w:tc>
          <w:tcPr>
            <w:tcW w:w="0" w:type="auto"/>
            <w:gridSpan w:val="3"/>
            <w:shd w:val="clear" w:color="auto" w:fill="auto"/>
            <w:vAlign w:val="bottom"/>
          </w:tcPr>
          <w:p w14:paraId="74DD6C63" w14:textId="77777777" w:rsidR="00584EC1" w:rsidRDefault="00584EC1">
            <w:pPr>
              <w:rPr>
                <w:rFonts w:ascii="宋体"/>
                <w:vanish/>
              </w:rPr>
            </w:pPr>
          </w:p>
        </w:tc>
        <w:tc>
          <w:tcPr>
            <w:tcW w:w="0" w:type="auto"/>
            <w:gridSpan w:val="3"/>
            <w:shd w:val="clear" w:color="auto" w:fill="auto"/>
            <w:vAlign w:val="bottom"/>
          </w:tcPr>
          <w:p w14:paraId="74DD6C64" w14:textId="77777777" w:rsidR="00584EC1" w:rsidRDefault="00584EC1">
            <w:pPr>
              <w:rPr>
                <w:rFonts w:ascii="宋体"/>
                <w:vanish/>
              </w:rPr>
            </w:pPr>
          </w:p>
        </w:tc>
        <w:tc>
          <w:tcPr>
            <w:tcW w:w="0" w:type="auto"/>
            <w:gridSpan w:val="3"/>
            <w:shd w:val="clear" w:color="auto" w:fill="auto"/>
            <w:vAlign w:val="bottom"/>
          </w:tcPr>
          <w:p w14:paraId="74DD6C65" w14:textId="77777777" w:rsidR="00584EC1" w:rsidRDefault="00584EC1">
            <w:pPr>
              <w:rPr>
                <w:rFonts w:ascii="宋体"/>
                <w:vanish/>
              </w:rPr>
            </w:pPr>
          </w:p>
        </w:tc>
        <w:tc>
          <w:tcPr>
            <w:tcW w:w="0" w:type="auto"/>
            <w:gridSpan w:val="3"/>
            <w:shd w:val="clear" w:color="auto" w:fill="auto"/>
            <w:vAlign w:val="bottom"/>
          </w:tcPr>
          <w:p w14:paraId="74DD6C66" w14:textId="77777777" w:rsidR="00584EC1" w:rsidRDefault="00584EC1">
            <w:pPr>
              <w:rPr>
                <w:rFonts w:ascii="宋体"/>
                <w:vanish/>
              </w:rPr>
            </w:pPr>
          </w:p>
        </w:tc>
        <w:tc>
          <w:tcPr>
            <w:tcW w:w="0" w:type="auto"/>
            <w:gridSpan w:val="2"/>
            <w:shd w:val="clear" w:color="auto" w:fill="auto"/>
            <w:vAlign w:val="bottom"/>
          </w:tcPr>
          <w:p w14:paraId="74DD6C67" w14:textId="77777777" w:rsidR="00584EC1" w:rsidRDefault="00584EC1">
            <w:pPr>
              <w:rPr>
                <w:rFonts w:ascii="宋体"/>
                <w:vanish/>
              </w:rPr>
            </w:pPr>
          </w:p>
        </w:tc>
        <w:tc>
          <w:tcPr>
            <w:tcW w:w="0" w:type="auto"/>
            <w:shd w:val="clear" w:color="auto" w:fill="auto"/>
            <w:vAlign w:val="bottom"/>
          </w:tcPr>
          <w:p w14:paraId="74DD6C68" w14:textId="77777777" w:rsidR="00584EC1" w:rsidRDefault="00584EC1">
            <w:pPr>
              <w:rPr>
                <w:rFonts w:ascii="宋体"/>
                <w:vanish/>
              </w:rPr>
            </w:pPr>
          </w:p>
        </w:tc>
      </w:tr>
      <w:tr w:rsidR="00584EC1" w14:paraId="74DD6C86" w14:textId="77777777">
        <w:tc>
          <w:tcPr>
            <w:tcW w:w="0" w:type="auto"/>
            <w:gridSpan w:val="3"/>
            <w:shd w:val="clear" w:color="auto" w:fill="FFFFFF"/>
            <w:tcMar>
              <w:top w:w="40" w:type="dxa"/>
              <w:left w:w="20" w:type="dxa"/>
              <w:bottom w:w="40" w:type="dxa"/>
              <w:right w:w="20" w:type="dxa"/>
            </w:tcMar>
            <w:vAlign w:val="bottom"/>
          </w:tcPr>
          <w:p w14:paraId="74DD6C6A" w14:textId="77777777" w:rsidR="00584EC1" w:rsidRDefault="00871F8D">
            <w:pPr>
              <w:textAlignment w:val="bottom"/>
            </w:pPr>
            <w:r>
              <w:rPr>
                <w:rFonts w:ascii="Arial" w:eastAsia="宋体" w:hAnsi="Arial" w:cs="Arial"/>
                <w:color w:val="000000"/>
                <w:sz w:val="12"/>
                <w:szCs w:val="12"/>
              </w:rPr>
              <w:t>Other interest-earning assets</w:t>
            </w:r>
          </w:p>
        </w:tc>
        <w:tc>
          <w:tcPr>
            <w:tcW w:w="0" w:type="auto"/>
            <w:gridSpan w:val="2"/>
            <w:shd w:val="clear" w:color="auto" w:fill="FFFFFF"/>
            <w:tcMar>
              <w:top w:w="40" w:type="dxa"/>
              <w:left w:w="20" w:type="dxa"/>
              <w:bottom w:w="40" w:type="dxa"/>
              <w:right w:w="0" w:type="dxa"/>
            </w:tcMar>
            <w:vAlign w:val="bottom"/>
          </w:tcPr>
          <w:p w14:paraId="74DD6C6B" w14:textId="77777777" w:rsidR="00584EC1" w:rsidRDefault="00871F8D">
            <w:pPr>
              <w:jc w:val="right"/>
              <w:textAlignment w:val="bottom"/>
            </w:pPr>
            <w:r>
              <w:rPr>
                <w:rFonts w:ascii="Arial" w:eastAsia="宋体" w:hAnsi="Arial" w:cs="Arial"/>
                <w:b/>
                <w:bCs/>
                <w:color w:val="000000"/>
                <w:sz w:val="12"/>
                <w:szCs w:val="12"/>
              </w:rPr>
              <w:t>24,662</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6C6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C6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C6E" w14:textId="77777777" w:rsidR="00584EC1" w:rsidRDefault="00871F8D">
            <w:pPr>
              <w:jc w:val="right"/>
              <w:textAlignment w:val="bottom"/>
            </w:pPr>
            <w:r>
              <w:rPr>
                <w:rFonts w:ascii="Arial" w:eastAsia="宋体" w:hAnsi="Arial" w:cs="Arial"/>
                <w:b/>
                <w:bCs/>
                <w:color w:val="000000"/>
                <w:sz w:val="12"/>
                <w:szCs w:val="12"/>
              </w:rPr>
              <w:t>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6C6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C7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C71" w14:textId="77777777" w:rsidR="00584EC1" w:rsidRDefault="00871F8D">
            <w:pPr>
              <w:jc w:val="right"/>
              <w:textAlignment w:val="bottom"/>
            </w:pPr>
            <w:r>
              <w:rPr>
                <w:rFonts w:ascii="Arial" w:eastAsia="宋体" w:hAnsi="Arial" w:cs="Arial"/>
                <w:b/>
                <w:bCs/>
                <w:color w:val="000000"/>
                <w:sz w:val="12"/>
                <w:szCs w:val="12"/>
              </w:rPr>
              <w:t>.08</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6C7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C7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C74" w14:textId="77777777" w:rsidR="00584EC1" w:rsidRDefault="00871F8D">
            <w:pPr>
              <w:jc w:val="right"/>
              <w:textAlignment w:val="bottom"/>
            </w:pPr>
            <w:r>
              <w:rPr>
                <w:rFonts w:ascii="Arial" w:eastAsia="宋体" w:hAnsi="Arial" w:cs="Arial"/>
                <w:color w:val="000000"/>
                <w:sz w:val="12"/>
                <w:szCs w:val="12"/>
              </w:rPr>
              <w:t>11,586 </w:t>
            </w:r>
          </w:p>
        </w:tc>
        <w:tc>
          <w:tcPr>
            <w:tcW w:w="0" w:type="auto"/>
            <w:shd w:val="clear" w:color="auto" w:fill="FFFFFF"/>
            <w:tcMar>
              <w:top w:w="40" w:type="dxa"/>
              <w:left w:w="0" w:type="dxa"/>
              <w:bottom w:w="40" w:type="dxa"/>
              <w:right w:w="20" w:type="dxa"/>
            </w:tcMar>
            <w:vAlign w:val="bottom"/>
          </w:tcPr>
          <w:p w14:paraId="74DD6C7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C7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C77" w14:textId="77777777" w:rsidR="00584EC1" w:rsidRDefault="00871F8D">
            <w:pPr>
              <w:jc w:val="right"/>
              <w:textAlignment w:val="bottom"/>
            </w:pPr>
            <w:r>
              <w:rPr>
                <w:rFonts w:ascii="Arial" w:eastAsia="宋体" w:hAnsi="Arial" w:cs="Arial"/>
                <w:color w:val="000000"/>
                <w:sz w:val="12"/>
                <w:szCs w:val="12"/>
              </w:rPr>
              <w:t>3 </w:t>
            </w:r>
          </w:p>
        </w:tc>
        <w:tc>
          <w:tcPr>
            <w:tcW w:w="0" w:type="auto"/>
            <w:shd w:val="clear" w:color="auto" w:fill="FFFFFF"/>
            <w:tcMar>
              <w:top w:w="40" w:type="dxa"/>
              <w:left w:w="0" w:type="dxa"/>
              <w:bottom w:w="40" w:type="dxa"/>
              <w:right w:w="20" w:type="dxa"/>
            </w:tcMar>
            <w:vAlign w:val="bottom"/>
          </w:tcPr>
          <w:p w14:paraId="74DD6C7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C7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C7A" w14:textId="77777777" w:rsidR="00584EC1" w:rsidRDefault="00871F8D">
            <w:pPr>
              <w:jc w:val="right"/>
              <w:textAlignment w:val="bottom"/>
            </w:pPr>
            <w:r>
              <w:rPr>
                <w:rFonts w:ascii="Arial" w:eastAsia="宋体" w:hAnsi="Arial" w:cs="Arial"/>
                <w:color w:val="000000"/>
                <w:sz w:val="12"/>
                <w:szCs w:val="12"/>
              </w:rPr>
              <w:t>.10 </w:t>
            </w:r>
          </w:p>
        </w:tc>
        <w:tc>
          <w:tcPr>
            <w:tcW w:w="0" w:type="auto"/>
            <w:shd w:val="clear" w:color="auto" w:fill="FFFFFF"/>
            <w:tcMar>
              <w:top w:w="40" w:type="dxa"/>
              <w:left w:w="0" w:type="dxa"/>
              <w:bottom w:w="40" w:type="dxa"/>
              <w:right w:w="20" w:type="dxa"/>
            </w:tcMar>
            <w:vAlign w:val="bottom"/>
          </w:tcPr>
          <w:p w14:paraId="74DD6C7B" w14:textId="77777777" w:rsidR="00584EC1" w:rsidRDefault="00584EC1">
            <w:pPr>
              <w:jc w:val="right"/>
              <w:rPr>
                <w:rFonts w:ascii="宋体"/>
              </w:rPr>
            </w:pPr>
          </w:p>
        </w:tc>
        <w:tc>
          <w:tcPr>
            <w:tcW w:w="0" w:type="auto"/>
            <w:shd w:val="clear" w:color="auto" w:fill="auto"/>
            <w:vAlign w:val="bottom"/>
          </w:tcPr>
          <w:p w14:paraId="74DD6C7C" w14:textId="77777777" w:rsidR="00584EC1" w:rsidRDefault="00584EC1">
            <w:pPr>
              <w:rPr>
                <w:rFonts w:ascii="宋体"/>
                <w:vanish/>
              </w:rPr>
            </w:pPr>
          </w:p>
        </w:tc>
        <w:tc>
          <w:tcPr>
            <w:tcW w:w="0" w:type="auto"/>
            <w:shd w:val="clear" w:color="auto" w:fill="auto"/>
            <w:vAlign w:val="bottom"/>
          </w:tcPr>
          <w:p w14:paraId="74DD6C7D" w14:textId="77777777" w:rsidR="00584EC1" w:rsidRDefault="00584EC1">
            <w:pPr>
              <w:rPr>
                <w:rFonts w:ascii="宋体"/>
                <w:vanish/>
              </w:rPr>
            </w:pPr>
          </w:p>
        </w:tc>
        <w:tc>
          <w:tcPr>
            <w:tcW w:w="0" w:type="auto"/>
            <w:shd w:val="clear" w:color="auto" w:fill="auto"/>
            <w:vAlign w:val="bottom"/>
          </w:tcPr>
          <w:p w14:paraId="74DD6C7E" w14:textId="77777777" w:rsidR="00584EC1" w:rsidRDefault="00584EC1">
            <w:pPr>
              <w:rPr>
                <w:rFonts w:ascii="宋体"/>
                <w:vanish/>
              </w:rPr>
            </w:pPr>
          </w:p>
        </w:tc>
        <w:tc>
          <w:tcPr>
            <w:tcW w:w="0" w:type="auto"/>
            <w:shd w:val="clear" w:color="auto" w:fill="auto"/>
            <w:vAlign w:val="bottom"/>
          </w:tcPr>
          <w:p w14:paraId="74DD6C7F" w14:textId="77777777" w:rsidR="00584EC1" w:rsidRDefault="00584EC1">
            <w:pPr>
              <w:rPr>
                <w:rFonts w:ascii="宋体"/>
                <w:vanish/>
              </w:rPr>
            </w:pPr>
          </w:p>
        </w:tc>
        <w:tc>
          <w:tcPr>
            <w:tcW w:w="0" w:type="auto"/>
            <w:gridSpan w:val="3"/>
            <w:shd w:val="clear" w:color="auto" w:fill="auto"/>
            <w:vAlign w:val="bottom"/>
          </w:tcPr>
          <w:p w14:paraId="74DD6C80" w14:textId="77777777" w:rsidR="00584EC1" w:rsidRDefault="00584EC1">
            <w:pPr>
              <w:rPr>
                <w:rFonts w:ascii="宋体"/>
                <w:vanish/>
              </w:rPr>
            </w:pPr>
          </w:p>
        </w:tc>
        <w:tc>
          <w:tcPr>
            <w:tcW w:w="0" w:type="auto"/>
            <w:gridSpan w:val="3"/>
            <w:shd w:val="clear" w:color="auto" w:fill="auto"/>
            <w:vAlign w:val="bottom"/>
          </w:tcPr>
          <w:p w14:paraId="74DD6C81" w14:textId="77777777" w:rsidR="00584EC1" w:rsidRDefault="00584EC1">
            <w:pPr>
              <w:rPr>
                <w:rFonts w:ascii="宋体"/>
                <w:vanish/>
              </w:rPr>
            </w:pPr>
          </w:p>
        </w:tc>
        <w:tc>
          <w:tcPr>
            <w:tcW w:w="0" w:type="auto"/>
            <w:gridSpan w:val="3"/>
            <w:shd w:val="clear" w:color="auto" w:fill="auto"/>
            <w:vAlign w:val="bottom"/>
          </w:tcPr>
          <w:p w14:paraId="74DD6C82" w14:textId="77777777" w:rsidR="00584EC1" w:rsidRDefault="00584EC1">
            <w:pPr>
              <w:rPr>
                <w:rFonts w:ascii="宋体"/>
                <w:vanish/>
              </w:rPr>
            </w:pPr>
          </w:p>
        </w:tc>
        <w:tc>
          <w:tcPr>
            <w:tcW w:w="0" w:type="auto"/>
            <w:gridSpan w:val="3"/>
            <w:shd w:val="clear" w:color="auto" w:fill="auto"/>
            <w:vAlign w:val="bottom"/>
          </w:tcPr>
          <w:p w14:paraId="74DD6C83" w14:textId="77777777" w:rsidR="00584EC1" w:rsidRDefault="00584EC1">
            <w:pPr>
              <w:rPr>
                <w:rFonts w:ascii="宋体"/>
                <w:vanish/>
              </w:rPr>
            </w:pPr>
          </w:p>
        </w:tc>
        <w:tc>
          <w:tcPr>
            <w:tcW w:w="0" w:type="auto"/>
            <w:gridSpan w:val="2"/>
            <w:shd w:val="clear" w:color="auto" w:fill="auto"/>
            <w:vAlign w:val="bottom"/>
          </w:tcPr>
          <w:p w14:paraId="74DD6C84" w14:textId="77777777" w:rsidR="00584EC1" w:rsidRDefault="00584EC1">
            <w:pPr>
              <w:rPr>
                <w:rFonts w:ascii="宋体"/>
                <w:vanish/>
              </w:rPr>
            </w:pPr>
          </w:p>
        </w:tc>
        <w:tc>
          <w:tcPr>
            <w:tcW w:w="0" w:type="auto"/>
            <w:shd w:val="clear" w:color="auto" w:fill="auto"/>
            <w:vAlign w:val="bottom"/>
          </w:tcPr>
          <w:p w14:paraId="74DD6C85" w14:textId="77777777" w:rsidR="00584EC1" w:rsidRDefault="00584EC1">
            <w:pPr>
              <w:rPr>
                <w:rFonts w:ascii="宋体"/>
                <w:vanish/>
              </w:rPr>
            </w:pPr>
          </w:p>
        </w:tc>
      </w:tr>
      <w:tr w:rsidR="00584EC1" w14:paraId="74DD6CA7" w14:textId="77777777">
        <w:tc>
          <w:tcPr>
            <w:tcW w:w="0" w:type="auto"/>
            <w:gridSpan w:val="3"/>
            <w:shd w:val="clear" w:color="auto" w:fill="CCEEFF"/>
            <w:tcMar>
              <w:top w:w="40" w:type="dxa"/>
              <w:left w:w="20" w:type="dxa"/>
              <w:bottom w:w="40" w:type="dxa"/>
              <w:right w:w="20" w:type="dxa"/>
            </w:tcMar>
            <w:vAlign w:val="bottom"/>
          </w:tcPr>
          <w:p w14:paraId="74DD6C87" w14:textId="77777777" w:rsidR="00584EC1" w:rsidRDefault="00871F8D">
            <w:pPr>
              <w:textAlignment w:val="bottom"/>
            </w:pPr>
            <w:r>
              <w:rPr>
                <w:rFonts w:ascii="Arial" w:eastAsia="宋体" w:hAnsi="Arial" w:cs="Arial"/>
                <w:color w:val="000000"/>
                <w:sz w:val="12"/>
                <w:szCs w:val="12"/>
              </w:rPr>
              <w:t>Average total interest-earning assets</w:t>
            </w:r>
          </w:p>
        </w:tc>
        <w:tc>
          <w:tcPr>
            <w:tcW w:w="0" w:type="auto"/>
            <w:tcBorders>
              <w:top w:val="single" w:sz="8" w:space="0" w:color="000000"/>
            </w:tcBorders>
            <w:shd w:val="clear" w:color="auto" w:fill="CCEEFF"/>
            <w:tcMar>
              <w:top w:w="40" w:type="dxa"/>
              <w:left w:w="20" w:type="dxa"/>
              <w:bottom w:w="40" w:type="dxa"/>
              <w:right w:w="0" w:type="dxa"/>
            </w:tcMar>
            <w:vAlign w:val="bottom"/>
          </w:tcPr>
          <w:p w14:paraId="74DD6C88"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6C89" w14:textId="77777777" w:rsidR="00584EC1" w:rsidRDefault="00871F8D">
            <w:pPr>
              <w:jc w:val="right"/>
              <w:textAlignment w:val="bottom"/>
            </w:pPr>
            <w:r>
              <w:rPr>
                <w:rFonts w:ascii="Arial" w:eastAsia="宋体" w:hAnsi="Arial" w:cs="Arial"/>
                <w:b/>
                <w:bCs/>
                <w:color w:val="000000"/>
                <w:sz w:val="12"/>
                <w:szCs w:val="12"/>
              </w:rPr>
              <w:t>254,501</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6C8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C8B"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6C8C"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6C8D" w14:textId="77777777" w:rsidR="00584EC1" w:rsidRDefault="00871F8D">
            <w:pPr>
              <w:jc w:val="right"/>
              <w:textAlignment w:val="bottom"/>
            </w:pPr>
            <w:r>
              <w:rPr>
                <w:rFonts w:ascii="Arial" w:eastAsia="宋体" w:hAnsi="Arial" w:cs="Arial"/>
                <w:b/>
                <w:bCs/>
                <w:color w:val="000000"/>
                <w:sz w:val="12"/>
                <w:szCs w:val="12"/>
              </w:rPr>
              <w:t>490</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6C8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C8F"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C90" w14:textId="77777777" w:rsidR="00584EC1" w:rsidRDefault="00871F8D">
            <w:pPr>
              <w:jc w:val="right"/>
              <w:textAlignment w:val="bottom"/>
            </w:pPr>
            <w:r>
              <w:rPr>
                <w:rFonts w:ascii="Arial" w:eastAsia="宋体" w:hAnsi="Arial" w:cs="Arial"/>
                <w:b/>
                <w:bCs/>
                <w:color w:val="000000"/>
                <w:sz w:val="12"/>
                <w:szCs w:val="12"/>
              </w:rPr>
              <w:t>.76</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6C9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C92"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6C93"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6C94" w14:textId="77777777" w:rsidR="00584EC1" w:rsidRDefault="00871F8D">
            <w:pPr>
              <w:jc w:val="right"/>
              <w:textAlignment w:val="bottom"/>
            </w:pPr>
            <w:r>
              <w:rPr>
                <w:rFonts w:ascii="Arial" w:eastAsia="宋体" w:hAnsi="Arial" w:cs="Arial"/>
                <w:color w:val="000000"/>
                <w:sz w:val="12"/>
                <w:szCs w:val="12"/>
              </w:rPr>
              <w:t>225,806 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6C9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C96"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6C97"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6C98" w14:textId="77777777" w:rsidR="00584EC1" w:rsidRDefault="00871F8D">
            <w:pPr>
              <w:jc w:val="right"/>
              <w:textAlignment w:val="bottom"/>
            </w:pPr>
            <w:r>
              <w:rPr>
                <w:rFonts w:ascii="Arial" w:eastAsia="宋体" w:hAnsi="Arial" w:cs="Arial"/>
                <w:color w:val="000000"/>
                <w:sz w:val="12"/>
                <w:szCs w:val="12"/>
              </w:rPr>
              <w:t>524 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6C9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C9A"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C9B" w14:textId="77777777" w:rsidR="00584EC1" w:rsidRDefault="00871F8D">
            <w:pPr>
              <w:jc w:val="right"/>
              <w:textAlignment w:val="bottom"/>
            </w:pPr>
            <w:r>
              <w:rPr>
                <w:rFonts w:ascii="Arial" w:eastAsia="宋体" w:hAnsi="Arial" w:cs="Arial"/>
                <w:color w:val="000000"/>
                <w:sz w:val="12"/>
                <w:szCs w:val="12"/>
              </w:rPr>
              <w:t>.92 </w:t>
            </w:r>
          </w:p>
        </w:tc>
        <w:tc>
          <w:tcPr>
            <w:tcW w:w="0" w:type="auto"/>
            <w:shd w:val="clear" w:color="auto" w:fill="CCEEFF"/>
            <w:tcMar>
              <w:top w:w="40" w:type="dxa"/>
              <w:left w:w="0" w:type="dxa"/>
              <w:bottom w:w="40" w:type="dxa"/>
              <w:right w:w="20" w:type="dxa"/>
            </w:tcMar>
            <w:vAlign w:val="bottom"/>
          </w:tcPr>
          <w:p w14:paraId="74DD6C9C" w14:textId="77777777" w:rsidR="00584EC1" w:rsidRDefault="00584EC1">
            <w:pPr>
              <w:jc w:val="right"/>
              <w:rPr>
                <w:rFonts w:ascii="宋体"/>
              </w:rPr>
            </w:pPr>
          </w:p>
        </w:tc>
        <w:tc>
          <w:tcPr>
            <w:tcW w:w="0" w:type="auto"/>
            <w:shd w:val="clear" w:color="auto" w:fill="auto"/>
            <w:vAlign w:val="bottom"/>
          </w:tcPr>
          <w:p w14:paraId="74DD6C9D" w14:textId="77777777" w:rsidR="00584EC1" w:rsidRDefault="00584EC1">
            <w:pPr>
              <w:rPr>
                <w:rFonts w:ascii="宋体"/>
                <w:vanish/>
              </w:rPr>
            </w:pPr>
          </w:p>
        </w:tc>
        <w:tc>
          <w:tcPr>
            <w:tcW w:w="0" w:type="auto"/>
            <w:shd w:val="clear" w:color="auto" w:fill="auto"/>
            <w:vAlign w:val="bottom"/>
          </w:tcPr>
          <w:p w14:paraId="74DD6C9E" w14:textId="77777777" w:rsidR="00584EC1" w:rsidRDefault="00584EC1">
            <w:pPr>
              <w:rPr>
                <w:rFonts w:ascii="宋体"/>
                <w:vanish/>
              </w:rPr>
            </w:pPr>
          </w:p>
        </w:tc>
        <w:tc>
          <w:tcPr>
            <w:tcW w:w="0" w:type="auto"/>
            <w:shd w:val="clear" w:color="auto" w:fill="auto"/>
            <w:vAlign w:val="bottom"/>
          </w:tcPr>
          <w:p w14:paraId="74DD6C9F" w14:textId="77777777" w:rsidR="00584EC1" w:rsidRDefault="00584EC1">
            <w:pPr>
              <w:rPr>
                <w:rFonts w:ascii="宋体"/>
                <w:vanish/>
              </w:rPr>
            </w:pPr>
          </w:p>
        </w:tc>
        <w:tc>
          <w:tcPr>
            <w:tcW w:w="0" w:type="auto"/>
            <w:shd w:val="clear" w:color="auto" w:fill="auto"/>
            <w:vAlign w:val="bottom"/>
          </w:tcPr>
          <w:p w14:paraId="74DD6CA0" w14:textId="77777777" w:rsidR="00584EC1" w:rsidRDefault="00584EC1">
            <w:pPr>
              <w:rPr>
                <w:rFonts w:ascii="宋体"/>
                <w:vanish/>
              </w:rPr>
            </w:pPr>
          </w:p>
        </w:tc>
        <w:tc>
          <w:tcPr>
            <w:tcW w:w="0" w:type="auto"/>
            <w:gridSpan w:val="3"/>
            <w:shd w:val="clear" w:color="auto" w:fill="auto"/>
            <w:vAlign w:val="bottom"/>
          </w:tcPr>
          <w:p w14:paraId="74DD6CA1" w14:textId="77777777" w:rsidR="00584EC1" w:rsidRDefault="00584EC1">
            <w:pPr>
              <w:rPr>
                <w:rFonts w:ascii="宋体"/>
                <w:vanish/>
              </w:rPr>
            </w:pPr>
          </w:p>
        </w:tc>
        <w:tc>
          <w:tcPr>
            <w:tcW w:w="0" w:type="auto"/>
            <w:gridSpan w:val="3"/>
            <w:shd w:val="clear" w:color="auto" w:fill="auto"/>
            <w:vAlign w:val="bottom"/>
          </w:tcPr>
          <w:p w14:paraId="74DD6CA2" w14:textId="77777777" w:rsidR="00584EC1" w:rsidRDefault="00584EC1">
            <w:pPr>
              <w:rPr>
                <w:rFonts w:ascii="宋体"/>
                <w:vanish/>
              </w:rPr>
            </w:pPr>
          </w:p>
        </w:tc>
        <w:tc>
          <w:tcPr>
            <w:tcW w:w="0" w:type="auto"/>
            <w:gridSpan w:val="3"/>
            <w:shd w:val="clear" w:color="auto" w:fill="auto"/>
            <w:vAlign w:val="bottom"/>
          </w:tcPr>
          <w:p w14:paraId="74DD6CA3" w14:textId="77777777" w:rsidR="00584EC1" w:rsidRDefault="00584EC1">
            <w:pPr>
              <w:rPr>
                <w:rFonts w:ascii="宋体"/>
                <w:vanish/>
              </w:rPr>
            </w:pPr>
          </w:p>
        </w:tc>
        <w:tc>
          <w:tcPr>
            <w:tcW w:w="0" w:type="auto"/>
            <w:gridSpan w:val="3"/>
            <w:shd w:val="clear" w:color="auto" w:fill="auto"/>
            <w:vAlign w:val="bottom"/>
          </w:tcPr>
          <w:p w14:paraId="74DD6CA4" w14:textId="77777777" w:rsidR="00584EC1" w:rsidRDefault="00584EC1">
            <w:pPr>
              <w:rPr>
                <w:rFonts w:ascii="宋体"/>
                <w:vanish/>
              </w:rPr>
            </w:pPr>
          </w:p>
        </w:tc>
        <w:tc>
          <w:tcPr>
            <w:tcW w:w="0" w:type="auto"/>
            <w:gridSpan w:val="2"/>
            <w:shd w:val="clear" w:color="auto" w:fill="auto"/>
            <w:vAlign w:val="bottom"/>
          </w:tcPr>
          <w:p w14:paraId="74DD6CA5" w14:textId="77777777" w:rsidR="00584EC1" w:rsidRDefault="00584EC1">
            <w:pPr>
              <w:rPr>
                <w:rFonts w:ascii="宋体"/>
                <w:vanish/>
              </w:rPr>
            </w:pPr>
          </w:p>
        </w:tc>
        <w:tc>
          <w:tcPr>
            <w:tcW w:w="0" w:type="auto"/>
            <w:shd w:val="clear" w:color="auto" w:fill="auto"/>
            <w:vAlign w:val="bottom"/>
          </w:tcPr>
          <w:p w14:paraId="74DD6CA6" w14:textId="77777777" w:rsidR="00584EC1" w:rsidRDefault="00584EC1">
            <w:pPr>
              <w:rPr>
                <w:rFonts w:ascii="宋体"/>
                <w:vanish/>
              </w:rPr>
            </w:pPr>
          </w:p>
        </w:tc>
      </w:tr>
      <w:tr w:rsidR="00584EC1" w14:paraId="74DD6CBE" w14:textId="77777777">
        <w:tc>
          <w:tcPr>
            <w:tcW w:w="0" w:type="auto"/>
            <w:gridSpan w:val="3"/>
            <w:shd w:val="clear" w:color="auto" w:fill="FFFFFF"/>
            <w:tcMar>
              <w:top w:w="40" w:type="dxa"/>
              <w:left w:w="20" w:type="dxa"/>
              <w:bottom w:w="40" w:type="dxa"/>
              <w:right w:w="20" w:type="dxa"/>
            </w:tcMar>
            <w:vAlign w:val="bottom"/>
          </w:tcPr>
          <w:p w14:paraId="74DD6CA8" w14:textId="77777777" w:rsidR="00584EC1" w:rsidRDefault="00871F8D">
            <w:pPr>
              <w:textAlignment w:val="bottom"/>
            </w:pPr>
            <w:r>
              <w:rPr>
                <w:rFonts w:ascii="Arial" w:eastAsia="宋体" w:hAnsi="Arial" w:cs="Arial"/>
                <w:color w:val="000000"/>
                <w:sz w:val="12"/>
                <w:szCs w:val="12"/>
              </w:rPr>
              <w:t>Interest-bearing deposits:</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6CA9"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CAA"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6CAB"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CAC"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CAD"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CAE"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6CAF"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CB0"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6CB1"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CB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CB3" w14:textId="77777777" w:rsidR="00584EC1" w:rsidRDefault="00584EC1">
            <w:pPr>
              <w:rPr>
                <w:rFonts w:ascii="宋体"/>
              </w:rPr>
            </w:pPr>
          </w:p>
        </w:tc>
        <w:tc>
          <w:tcPr>
            <w:tcW w:w="0" w:type="auto"/>
            <w:shd w:val="clear" w:color="auto" w:fill="auto"/>
            <w:vAlign w:val="bottom"/>
          </w:tcPr>
          <w:p w14:paraId="74DD6CB4" w14:textId="77777777" w:rsidR="00584EC1" w:rsidRDefault="00584EC1">
            <w:pPr>
              <w:rPr>
                <w:rFonts w:ascii="宋体"/>
                <w:vanish/>
              </w:rPr>
            </w:pPr>
          </w:p>
        </w:tc>
        <w:tc>
          <w:tcPr>
            <w:tcW w:w="0" w:type="auto"/>
            <w:shd w:val="clear" w:color="auto" w:fill="auto"/>
            <w:vAlign w:val="bottom"/>
          </w:tcPr>
          <w:p w14:paraId="74DD6CB5" w14:textId="77777777" w:rsidR="00584EC1" w:rsidRDefault="00584EC1">
            <w:pPr>
              <w:rPr>
                <w:rFonts w:ascii="宋体"/>
                <w:vanish/>
              </w:rPr>
            </w:pPr>
          </w:p>
        </w:tc>
        <w:tc>
          <w:tcPr>
            <w:tcW w:w="0" w:type="auto"/>
            <w:shd w:val="clear" w:color="auto" w:fill="auto"/>
            <w:vAlign w:val="bottom"/>
          </w:tcPr>
          <w:p w14:paraId="74DD6CB6" w14:textId="77777777" w:rsidR="00584EC1" w:rsidRDefault="00584EC1">
            <w:pPr>
              <w:rPr>
                <w:rFonts w:ascii="宋体"/>
                <w:vanish/>
              </w:rPr>
            </w:pPr>
          </w:p>
        </w:tc>
        <w:tc>
          <w:tcPr>
            <w:tcW w:w="0" w:type="auto"/>
            <w:shd w:val="clear" w:color="auto" w:fill="auto"/>
            <w:vAlign w:val="bottom"/>
          </w:tcPr>
          <w:p w14:paraId="74DD6CB7" w14:textId="77777777" w:rsidR="00584EC1" w:rsidRDefault="00584EC1">
            <w:pPr>
              <w:rPr>
                <w:rFonts w:ascii="宋体"/>
                <w:vanish/>
              </w:rPr>
            </w:pPr>
          </w:p>
        </w:tc>
        <w:tc>
          <w:tcPr>
            <w:tcW w:w="0" w:type="auto"/>
            <w:gridSpan w:val="3"/>
            <w:shd w:val="clear" w:color="auto" w:fill="auto"/>
            <w:vAlign w:val="bottom"/>
          </w:tcPr>
          <w:p w14:paraId="74DD6CB8" w14:textId="77777777" w:rsidR="00584EC1" w:rsidRDefault="00584EC1">
            <w:pPr>
              <w:rPr>
                <w:rFonts w:ascii="宋体"/>
                <w:vanish/>
              </w:rPr>
            </w:pPr>
          </w:p>
        </w:tc>
        <w:tc>
          <w:tcPr>
            <w:tcW w:w="0" w:type="auto"/>
            <w:gridSpan w:val="3"/>
            <w:shd w:val="clear" w:color="auto" w:fill="auto"/>
            <w:vAlign w:val="bottom"/>
          </w:tcPr>
          <w:p w14:paraId="74DD6CB9" w14:textId="77777777" w:rsidR="00584EC1" w:rsidRDefault="00584EC1">
            <w:pPr>
              <w:rPr>
                <w:rFonts w:ascii="宋体"/>
                <w:vanish/>
              </w:rPr>
            </w:pPr>
          </w:p>
        </w:tc>
        <w:tc>
          <w:tcPr>
            <w:tcW w:w="0" w:type="auto"/>
            <w:gridSpan w:val="3"/>
            <w:shd w:val="clear" w:color="auto" w:fill="auto"/>
            <w:vAlign w:val="bottom"/>
          </w:tcPr>
          <w:p w14:paraId="74DD6CBA" w14:textId="77777777" w:rsidR="00584EC1" w:rsidRDefault="00584EC1">
            <w:pPr>
              <w:rPr>
                <w:rFonts w:ascii="宋体"/>
                <w:vanish/>
              </w:rPr>
            </w:pPr>
          </w:p>
        </w:tc>
        <w:tc>
          <w:tcPr>
            <w:tcW w:w="0" w:type="auto"/>
            <w:gridSpan w:val="3"/>
            <w:shd w:val="clear" w:color="auto" w:fill="auto"/>
            <w:vAlign w:val="bottom"/>
          </w:tcPr>
          <w:p w14:paraId="74DD6CBB" w14:textId="77777777" w:rsidR="00584EC1" w:rsidRDefault="00584EC1">
            <w:pPr>
              <w:rPr>
                <w:rFonts w:ascii="宋体"/>
                <w:vanish/>
              </w:rPr>
            </w:pPr>
          </w:p>
        </w:tc>
        <w:tc>
          <w:tcPr>
            <w:tcW w:w="0" w:type="auto"/>
            <w:gridSpan w:val="2"/>
            <w:shd w:val="clear" w:color="auto" w:fill="auto"/>
            <w:vAlign w:val="bottom"/>
          </w:tcPr>
          <w:p w14:paraId="74DD6CBC" w14:textId="77777777" w:rsidR="00584EC1" w:rsidRDefault="00584EC1">
            <w:pPr>
              <w:rPr>
                <w:rFonts w:ascii="宋体"/>
                <w:vanish/>
              </w:rPr>
            </w:pPr>
          </w:p>
        </w:tc>
        <w:tc>
          <w:tcPr>
            <w:tcW w:w="0" w:type="auto"/>
            <w:shd w:val="clear" w:color="auto" w:fill="auto"/>
            <w:vAlign w:val="bottom"/>
          </w:tcPr>
          <w:p w14:paraId="74DD6CBD" w14:textId="77777777" w:rsidR="00584EC1" w:rsidRDefault="00584EC1">
            <w:pPr>
              <w:rPr>
                <w:rFonts w:ascii="宋体"/>
                <w:vanish/>
              </w:rPr>
            </w:pPr>
          </w:p>
        </w:tc>
      </w:tr>
      <w:tr w:rsidR="00584EC1" w14:paraId="74DD6CDF" w14:textId="77777777">
        <w:tc>
          <w:tcPr>
            <w:tcW w:w="0" w:type="auto"/>
            <w:gridSpan w:val="3"/>
            <w:shd w:val="clear" w:color="auto" w:fill="CCEEFF"/>
            <w:tcMar>
              <w:top w:w="40" w:type="dxa"/>
              <w:left w:w="20" w:type="dxa"/>
              <w:bottom w:w="40" w:type="dxa"/>
              <w:right w:w="20" w:type="dxa"/>
            </w:tcMar>
            <w:vAlign w:val="bottom"/>
          </w:tcPr>
          <w:p w14:paraId="74DD6CBF" w14:textId="77777777" w:rsidR="00584EC1" w:rsidRDefault="00871F8D">
            <w:pPr>
              <w:textAlignment w:val="bottom"/>
            </w:pPr>
            <w:r>
              <w:rPr>
                <w:rFonts w:ascii="Arial" w:eastAsia="宋体" w:hAnsi="Arial" w:cs="Arial"/>
                <w:color w:val="000000"/>
                <w:sz w:val="12"/>
                <w:szCs w:val="12"/>
              </w:rPr>
              <w:t>U.S.</w:t>
            </w:r>
          </w:p>
        </w:tc>
        <w:tc>
          <w:tcPr>
            <w:tcW w:w="0" w:type="auto"/>
            <w:shd w:val="clear" w:color="auto" w:fill="CCEEFF"/>
            <w:tcMar>
              <w:top w:w="40" w:type="dxa"/>
              <w:left w:w="20" w:type="dxa"/>
              <w:bottom w:w="40" w:type="dxa"/>
              <w:right w:w="0" w:type="dxa"/>
            </w:tcMar>
            <w:vAlign w:val="bottom"/>
          </w:tcPr>
          <w:p w14:paraId="74DD6CC0" w14:textId="77777777" w:rsidR="00584EC1" w:rsidRDefault="00871F8D">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74DD6CC1" w14:textId="77777777" w:rsidR="00584EC1" w:rsidRDefault="00871F8D">
            <w:pPr>
              <w:jc w:val="right"/>
              <w:textAlignment w:val="bottom"/>
            </w:pPr>
            <w:r>
              <w:rPr>
                <w:rFonts w:ascii="Arial" w:eastAsia="宋体" w:hAnsi="Arial" w:cs="Arial"/>
                <w:b/>
                <w:bCs/>
                <w:color w:val="000000"/>
                <w:sz w:val="12"/>
                <w:szCs w:val="12"/>
              </w:rPr>
              <w:t>104,575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6CC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CC3"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6CC4" w14:textId="77777777" w:rsidR="00584EC1" w:rsidRDefault="00871F8D">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74DD6CC5" w14:textId="77777777" w:rsidR="00584EC1" w:rsidRDefault="00871F8D">
            <w:pPr>
              <w:jc w:val="right"/>
              <w:textAlignment w:val="bottom"/>
            </w:pPr>
            <w:r>
              <w:rPr>
                <w:rFonts w:ascii="Arial" w:eastAsia="宋体" w:hAnsi="Arial" w:cs="Arial"/>
                <w:b/>
                <w:bCs/>
                <w:color w:val="000000"/>
                <w:sz w:val="12"/>
                <w:szCs w:val="12"/>
              </w:rPr>
              <w:t>6</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6CC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CC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CC8" w14:textId="77777777" w:rsidR="00584EC1" w:rsidRDefault="00871F8D">
            <w:pPr>
              <w:jc w:val="right"/>
              <w:textAlignment w:val="bottom"/>
            </w:pPr>
            <w:r>
              <w:rPr>
                <w:rFonts w:ascii="Arial" w:eastAsia="宋体" w:hAnsi="Arial" w:cs="Arial"/>
                <w:b/>
                <w:bCs/>
                <w:color w:val="000000"/>
                <w:sz w:val="12"/>
                <w:szCs w:val="12"/>
              </w:rPr>
              <w:t>.02</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6CC9" w14:textId="77777777" w:rsidR="00584EC1" w:rsidRDefault="00871F8D">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vAlign w:val="bottom"/>
          </w:tcPr>
          <w:p w14:paraId="74DD6CCA"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6CCB" w14:textId="77777777" w:rsidR="00584EC1" w:rsidRDefault="00871F8D">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74DD6CCC" w14:textId="77777777" w:rsidR="00584EC1" w:rsidRDefault="00871F8D">
            <w:pPr>
              <w:jc w:val="right"/>
              <w:textAlignment w:val="bottom"/>
            </w:pPr>
            <w:r>
              <w:rPr>
                <w:rFonts w:ascii="Arial" w:eastAsia="宋体" w:hAnsi="Arial" w:cs="Arial"/>
                <w:color w:val="000000"/>
                <w:sz w:val="12"/>
                <w:szCs w:val="12"/>
              </w:rPr>
              <w:t>85,432 </w:t>
            </w:r>
          </w:p>
        </w:tc>
        <w:tc>
          <w:tcPr>
            <w:tcW w:w="0" w:type="auto"/>
            <w:shd w:val="clear" w:color="auto" w:fill="CCEEFF"/>
            <w:tcMar>
              <w:top w:w="40" w:type="dxa"/>
              <w:left w:w="0" w:type="dxa"/>
              <w:bottom w:w="40" w:type="dxa"/>
              <w:right w:w="20" w:type="dxa"/>
            </w:tcMar>
            <w:vAlign w:val="bottom"/>
          </w:tcPr>
          <w:p w14:paraId="74DD6CC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CCE"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6CCF" w14:textId="77777777" w:rsidR="00584EC1" w:rsidRDefault="00871F8D">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74DD6CD0" w14:textId="77777777" w:rsidR="00584EC1" w:rsidRDefault="00871F8D">
            <w:pPr>
              <w:jc w:val="right"/>
              <w:textAlignment w:val="bottom"/>
            </w:pPr>
            <w:r>
              <w:rPr>
                <w:rFonts w:ascii="Arial" w:eastAsia="宋体" w:hAnsi="Arial" w:cs="Arial"/>
                <w:color w:val="000000"/>
                <w:sz w:val="12"/>
                <w:szCs w:val="12"/>
              </w:rPr>
              <w:t>4 </w:t>
            </w:r>
          </w:p>
        </w:tc>
        <w:tc>
          <w:tcPr>
            <w:tcW w:w="0" w:type="auto"/>
            <w:shd w:val="clear" w:color="auto" w:fill="CCEEFF"/>
            <w:tcMar>
              <w:top w:w="40" w:type="dxa"/>
              <w:left w:w="0" w:type="dxa"/>
              <w:bottom w:w="40" w:type="dxa"/>
              <w:right w:w="20" w:type="dxa"/>
            </w:tcMar>
            <w:vAlign w:val="bottom"/>
          </w:tcPr>
          <w:p w14:paraId="74DD6CD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CD2"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CD3" w14:textId="77777777" w:rsidR="00584EC1" w:rsidRDefault="00871F8D">
            <w:pPr>
              <w:jc w:val="right"/>
              <w:textAlignment w:val="bottom"/>
            </w:pPr>
            <w:r>
              <w:rPr>
                <w:rFonts w:ascii="Arial" w:eastAsia="宋体" w:hAnsi="Arial" w:cs="Arial"/>
                <w:color w:val="000000"/>
                <w:sz w:val="12"/>
                <w:szCs w:val="12"/>
              </w:rPr>
              <w:t>.02 </w:t>
            </w:r>
          </w:p>
        </w:tc>
        <w:tc>
          <w:tcPr>
            <w:tcW w:w="0" w:type="auto"/>
            <w:shd w:val="clear" w:color="auto" w:fill="CCEEFF"/>
            <w:tcMar>
              <w:top w:w="40" w:type="dxa"/>
              <w:left w:w="0" w:type="dxa"/>
              <w:bottom w:w="40" w:type="dxa"/>
              <w:right w:w="20" w:type="dxa"/>
            </w:tcMar>
            <w:vAlign w:val="bottom"/>
          </w:tcPr>
          <w:p w14:paraId="74DD6CD4" w14:textId="77777777" w:rsidR="00584EC1" w:rsidRDefault="00871F8D">
            <w:pPr>
              <w:jc w:val="right"/>
              <w:textAlignment w:val="bottom"/>
            </w:pPr>
            <w:r>
              <w:rPr>
                <w:rFonts w:ascii="Arial" w:eastAsia="宋体" w:hAnsi="Arial" w:cs="Arial"/>
                <w:color w:val="000000"/>
                <w:sz w:val="12"/>
                <w:szCs w:val="12"/>
              </w:rPr>
              <w:t>%</w:t>
            </w:r>
          </w:p>
        </w:tc>
        <w:tc>
          <w:tcPr>
            <w:tcW w:w="0" w:type="auto"/>
            <w:shd w:val="clear" w:color="auto" w:fill="auto"/>
            <w:vAlign w:val="bottom"/>
          </w:tcPr>
          <w:p w14:paraId="74DD6CD5" w14:textId="77777777" w:rsidR="00584EC1" w:rsidRDefault="00584EC1">
            <w:pPr>
              <w:rPr>
                <w:rFonts w:ascii="宋体"/>
                <w:vanish/>
              </w:rPr>
            </w:pPr>
          </w:p>
        </w:tc>
        <w:tc>
          <w:tcPr>
            <w:tcW w:w="0" w:type="auto"/>
            <w:shd w:val="clear" w:color="auto" w:fill="auto"/>
            <w:vAlign w:val="bottom"/>
          </w:tcPr>
          <w:p w14:paraId="74DD6CD6" w14:textId="77777777" w:rsidR="00584EC1" w:rsidRDefault="00584EC1">
            <w:pPr>
              <w:rPr>
                <w:rFonts w:ascii="宋体"/>
                <w:vanish/>
              </w:rPr>
            </w:pPr>
          </w:p>
        </w:tc>
        <w:tc>
          <w:tcPr>
            <w:tcW w:w="0" w:type="auto"/>
            <w:shd w:val="clear" w:color="auto" w:fill="auto"/>
            <w:vAlign w:val="bottom"/>
          </w:tcPr>
          <w:p w14:paraId="74DD6CD7" w14:textId="77777777" w:rsidR="00584EC1" w:rsidRDefault="00584EC1">
            <w:pPr>
              <w:rPr>
                <w:rFonts w:ascii="宋体"/>
                <w:vanish/>
              </w:rPr>
            </w:pPr>
          </w:p>
        </w:tc>
        <w:tc>
          <w:tcPr>
            <w:tcW w:w="0" w:type="auto"/>
            <w:shd w:val="clear" w:color="auto" w:fill="auto"/>
            <w:vAlign w:val="bottom"/>
          </w:tcPr>
          <w:p w14:paraId="74DD6CD8" w14:textId="77777777" w:rsidR="00584EC1" w:rsidRDefault="00584EC1">
            <w:pPr>
              <w:rPr>
                <w:rFonts w:ascii="宋体"/>
                <w:vanish/>
              </w:rPr>
            </w:pPr>
          </w:p>
        </w:tc>
        <w:tc>
          <w:tcPr>
            <w:tcW w:w="0" w:type="auto"/>
            <w:gridSpan w:val="3"/>
            <w:shd w:val="clear" w:color="auto" w:fill="auto"/>
            <w:vAlign w:val="bottom"/>
          </w:tcPr>
          <w:p w14:paraId="74DD6CD9" w14:textId="77777777" w:rsidR="00584EC1" w:rsidRDefault="00584EC1">
            <w:pPr>
              <w:rPr>
                <w:rFonts w:ascii="宋体"/>
                <w:vanish/>
              </w:rPr>
            </w:pPr>
          </w:p>
        </w:tc>
        <w:tc>
          <w:tcPr>
            <w:tcW w:w="0" w:type="auto"/>
            <w:gridSpan w:val="3"/>
            <w:shd w:val="clear" w:color="auto" w:fill="auto"/>
            <w:vAlign w:val="bottom"/>
          </w:tcPr>
          <w:p w14:paraId="74DD6CDA" w14:textId="77777777" w:rsidR="00584EC1" w:rsidRDefault="00584EC1">
            <w:pPr>
              <w:rPr>
                <w:rFonts w:ascii="宋体"/>
                <w:vanish/>
              </w:rPr>
            </w:pPr>
          </w:p>
        </w:tc>
        <w:tc>
          <w:tcPr>
            <w:tcW w:w="0" w:type="auto"/>
            <w:gridSpan w:val="3"/>
            <w:shd w:val="clear" w:color="auto" w:fill="auto"/>
            <w:vAlign w:val="bottom"/>
          </w:tcPr>
          <w:p w14:paraId="74DD6CDB" w14:textId="77777777" w:rsidR="00584EC1" w:rsidRDefault="00584EC1">
            <w:pPr>
              <w:rPr>
                <w:rFonts w:ascii="宋体"/>
                <w:vanish/>
              </w:rPr>
            </w:pPr>
          </w:p>
        </w:tc>
        <w:tc>
          <w:tcPr>
            <w:tcW w:w="0" w:type="auto"/>
            <w:gridSpan w:val="3"/>
            <w:shd w:val="clear" w:color="auto" w:fill="auto"/>
            <w:vAlign w:val="bottom"/>
          </w:tcPr>
          <w:p w14:paraId="74DD6CDC" w14:textId="77777777" w:rsidR="00584EC1" w:rsidRDefault="00584EC1">
            <w:pPr>
              <w:rPr>
                <w:rFonts w:ascii="宋体"/>
                <w:vanish/>
              </w:rPr>
            </w:pPr>
          </w:p>
        </w:tc>
        <w:tc>
          <w:tcPr>
            <w:tcW w:w="0" w:type="auto"/>
            <w:gridSpan w:val="2"/>
            <w:shd w:val="clear" w:color="auto" w:fill="auto"/>
            <w:vAlign w:val="bottom"/>
          </w:tcPr>
          <w:p w14:paraId="74DD6CDD" w14:textId="77777777" w:rsidR="00584EC1" w:rsidRDefault="00584EC1">
            <w:pPr>
              <w:rPr>
                <w:rFonts w:ascii="宋体"/>
                <w:vanish/>
              </w:rPr>
            </w:pPr>
          </w:p>
        </w:tc>
        <w:tc>
          <w:tcPr>
            <w:tcW w:w="0" w:type="auto"/>
            <w:shd w:val="clear" w:color="auto" w:fill="auto"/>
            <w:vAlign w:val="bottom"/>
          </w:tcPr>
          <w:p w14:paraId="74DD6CDE" w14:textId="77777777" w:rsidR="00584EC1" w:rsidRDefault="00584EC1">
            <w:pPr>
              <w:rPr>
                <w:rFonts w:ascii="宋体"/>
                <w:vanish/>
              </w:rPr>
            </w:pPr>
          </w:p>
        </w:tc>
      </w:tr>
      <w:tr w:rsidR="00584EC1" w14:paraId="74DD6CFC" w14:textId="77777777">
        <w:tc>
          <w:tcPr>
            <w:tcW w:w="0" w:type="auto"/>
            <w:gridSpan w:val="3"/>
            <w:shd w:val="clear" w:color="auto" w:fill="FFFFFF"/>
            <w:tcMar>
              <w:top w:w="40" w:type="dxa"/>
              <w:left w:w="20" w:type="dxa"/>
              <w:bottom w:w="40" w:type="dxa"/>
              <w:right w:w="20" w:type="dxa"/>
            </w:tcMar>
            <w:vAlign w:val="bottom"/>
          </w:tcPr>
          <w:p w14:paraId="74DD6CE0" w14:textId="77777777" w:rsidR="00584EC1" w:rsidRDefault="00871F8D">
            <w:pPr>
              <w:textAlignment w:val="bottom"/>
            </w:pPr>
            <w:r>
              <w:rPr>
                <w:rFonts w:ascii="Arial" w:eastAsia="宋体" w:hAnsi="Arial" w:cs="Arial"/>
                <w:color w:val="000000"/>
                <w:sz w:val="12"/>
                <w:szCs w:val="12"/>
              </w:rPr>
              <w:t>Non-U.S.</w:t>
            </w:r>
            <w:r>
              <w:rPr>
                <w:rFonts w:ascii="Arial" w:eastAsia="宋体" w:hAnsi="Arial" w:cs="Arial"/>
                <w:color w:val="000000"/>
                <w:sz w:val="7"/>
                <w:szCs w:val="7"/>
              </w:rPr>
              <w:t>(2)(4)</w:t>
            </w:r>
          </w:p>
        </w:tc>
        <w:tc>
          <w:tcPr>
            <w:tcW w:w="0" w:type="auto"/>
            <w:gridSpan w:val="2"/>
            <w:shd w:val="clear" w:color="auto" w:fill="FFFFFF"/>
            <w:tcMar>
              <w:top w:w="40" w:type="dxa"/>
              <w:left w:w="20" w:type="dxa"/>
              <w:bottom w:w="40" w:type="dxa"/>
              <w:right w:w="0" w:type="dxa"/>
            </w:tcMar>
            <w:vAlign w:val="bottom"/>
          </w:tcPr>
          <w:p w14:paraId="74DD6CE1" w14:textId="77777777" w:rsidR="00584EC1" w:rsidRDefault="00871F8D">
            <w:pPr>
              <w:jc w:val="right"/>
              <w:textAlignment w:val="bottom"/>
            </w:pPr>
            <w:r>
              <w:rPr>
                <w:rFonts w:ascii="Arial" w:eastAsia="宋体" w:hAnsi="Arial" w:cs="Arial"/>
                <w:b/>
                <w:bCs/>
                <w:color w:val="000000"/>
                <w:sz w:val="12"/>
                <w:szCs w:val="12"/>
              </w:rPr>
              <w:t>82,230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6CE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CE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CE4" w14:textId="77777777" w:rsidR="00584EC1" w:rsidRDefault="00871F8D">
            <w:pPr>
              <w:jc w:val="right"/>
              <w:textAlignment w:val="bottom"/>
            </w:pPr>
            <w:r>
              <w:rPr>
                <w:rFonts w:ascii="Arial" w:eastAsia="宋体" w:hAnsi="Arial" w:cs="Arial"/>
                <w:b/>
                <w:bCs/>
                <w:color w:val="000000"/>
                <w:sz w:val="12"/>
                <w:szCs w:val="12"/>
              </w:rPr>
              <w:t>(68)</w:t>
            </w:r>
          </w:p>
        </w:tc>
        <w:tc>
          <w:tcPr>
            <w:tcW w:w="0" w:type="auto"/>
            <w:shd w:val="clear" w:color="auto" w:fill="FFFFFF"/>
            <w:tcMar>
              <w:top w:w="40" w:type="dxa"/>
              <w:left w:w="0" w:type="dxa"/>
              <w:bottom w:w="40" w:type="dxa"/>
              <w:right w:w="20" w:type="dxa"/>
            </w:tcMar>
            <w:vAlign w:val="bottom"/>
          </w:tcPr>
          <w:p w14:paraId="74DD6CE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CE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CE7" w14:textId="77777777" w:rsidR="00584EC1" w:rsidRDefault="00871F8D">
            <w:pPr>
              <w:jc w:val="right"/>
              <w:textAlignment w:val="bottom"/>
            </w:pPr>
            <w:r>
              <w:rPr>
                <w:rFonts w:ascii="Arial" w:eastAsia="宋体" w:hAnsi="Arial" w:cs="Arial"/>
                <w:b/>
                <w:bCs/>
                <w:color w:val="000000"/>
                <w:sz w:val="12"/>
                <w:szCs w:val="12"/>
              </w:rPr>
              <w:t>(.33)</w:t>
            </w:r>
          </w:p>
        </w:tc>
        <w:tc>
          <w:tcPr>
            <w:tcW w:w="0" w:type="auto"/>
            <w:shd w:val="clear" w:color="auto" w:fill="FFFFFF"/>
            <w:tcMar>
              <w:top w:w="40" w:type="dxa"/>
              <w:left w:w="0" w:type="dxa"/>
              <w:bottom w:w="40" w:type="dxa"/>
              <w:right w:w="20" w:type="dxa"/>
            </w:tcMar>
            <w:vAlign w:val="bottom"/>
          </w:tcPr>
          <w:p w14:paraId="74DD6CE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CE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CEA" w14:textId="77777777" w:rsidR="00584EC1" w:rsidRDefault="00871F8D">
            <w:pPr>
              <w:jc w:val="right"/>
              <w:textAlignment w:val="bottom"/>
            </w:pPr>
            <w:r>
              <w:rPr>
                <w:rFonts w:ascii="Arial" w:eastAsia="宋体" w:hAnsi="Arial" w:cs="Arial"/>
                <w:color w:val="000000"/>
                <w:sz w:val="12"/>
                <w:szCs w:val="12"/>
              </w:rPr>
              <w:t>69,514 </w:t>
            </w:r>
          </w:p>
        </w:tc>
        <w:tc>
          <w:tcPr>
            <w:tcW w:w="0" w:type="auto"/>
            <w:shd w:val="clear" w:color="auto" w:fill="FFFFFF"/>
            <w:tcMar>
              <w:top w:w="40" w:type="dxa"/>
              <w:left w:w="0" w:type="dxa"/>
              <w:bottom w:w="40" w:type="dxa"/>
              <w:right w:w="20" w:type="dxa"/>
            </w:tcMar>
            <w:vAlign w:val="bottom"/>
          </w:tcPr>
          <w:p w14:paraId="74DD6CE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CE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CED" w14:textId="77777777" w:rsidR="00584EC1" w:rsidRDefault="00871F8D">
            <w:pPr>
              <w:jc w:val="right"/>
              <w:textAlignment w:val="bottom"/>
            </w:pPr>
            <w:r>
              <w:rPr>
                <w:rFonts w:ascii="Arial" w:eastAsia="宋体" w:hAnsi="Arial" w:cs="Arial"/>
                <w:color w:val="000000"/>
                <w:sz w:val="12"/>
                <w:szCs w:val="12"/>
              </w:rPr>
              <w:t>(65)</w:t>
            </w:r>
          </w:p>
        </w:tc>
        <w:tc>
          <w:tcPr>
            <w:tcW w:w="0" w:type="auto"/>
            <w:shd w:val="clear" w:color="auto" w:fill="FFFFFF"/>
            <w:tcMar>
              <w:top w:w="40" w:type="dxa"/>
              <w:left w:w="0" w:type="dxa"/>
              <w:bottom w:w="40" w:type="dxa"/>
              <w:right w:w="20" w:type="dxa"/>
            </w:tcMar>
            <w:vAlign w:val="bottom"/>
          </w:tcPr>
          <w:p w14:paraId="74DD6CE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CE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CF0" w14:textId="77777777" w:rsidR="00584EC1" w:rsidRDefault="00871F8D">
            <w:pPr>
              <w:jc w:val="right"/>
              <w:textAlignment w:val="bottom"/>
            </w:pPr>
            <w:r>
              <w:rPr>
                <w:rFonts w:ascii="Arial" w:eastAsia="宋体" w:hAnsi="Arial" w:cs="Arial"/>
                <w:color w:val="000000"/>
                <w:sz w:val="12"/>
                <w:szCs w:val="12"/>
              </w:rPr>
              <w:t>(.37)</w:t>
            </w:r>
          </w:p>
        </w:tc>
        <w:tc>
          <w:tcPr>
            <w:tcW w:w="0" w:type="auto"/>
            <w:shd w:val="clear" w:color="auto" w:fill="FFFFFF"/>
            <w:tcMar>
              <w:top w:w="40" w:type="dxa"/>
              <w:left w:w="0" w:type="dxa"/>
              <w:bottom w:w="40" w:type="dxa"/>
              <w:right w:w="20" w:type="dxa"/>
            </w:tcMar>
            <w:vAlign w:val="bottom"/>
          </w:tcPr>
          <w:p w14:paraId="74DD6CF1" w14:textId="77777777" w:rsidR="00584EC1" w:rsidRDefault="00584EC1">
            <w:pPr>
              <w:jc w:val="right"/>
              <w:rPr>
                <w:rFonts w:ascii="宋体"/>
              </w:rPr>
            </w:pPr>
          </w:p>
        </w:tc>
        <w:tc>
          <w:tcPr>
            <w:tcW w:w="0" w:type="auto"/>
            <w:shd w:val="clear" w:color="auto" w:fill="auto"/>
            <w:vAlign w:val="bottom"/>
          </w:tcPr>
          <w:p w14:paraId="74DD6CF2" w14:textId="77777777" w:rsidR="00584EC1" w:rsidRDefault="00584EC1">
            <w:pPr>
              <w:rPr>
                <w:rFonts w:ascii="宋体"/>
                <w:vanish/>
              </w:rPr>
            </w:pPr>
          </w:p>
        </w:tc>
        <w:tc>
          <w:tcPr>
            <w:tcW w:w="0" w:type="auto"/>
            <w:shd w:val="clear" w:color="auto" w:fill="auto"/>
            <w:vAlign w:val="bottom"/>
          </w:tcPr>
          <w:p w14:paraId="74DD6CF3" w14:textId="77777777" w:rsidR="00584EC1" w:rsidRDefault="00584EC1">
            <w:pPr>
              <w:rPr>
                <w:rFonts w:ascii="宋体"/>
                <w:vanish/>
              </w:rPr>
            </w:pPr>
          </w:p>
        </w:tc>
        <w:tc>
          <w:tcPr>
            <w:tcW w:w="0" w:type="auto"/>
            <w:shd w:val="clear" w:color="auto" w:fill="auto"/>
            <w:vAlign w:val="bottom"/>
          </w:tcPr>
          <w:p w14:paraId="74DD6CF4" w14:textId="77777777" w:rsidR="00584EC1" w:rsidRDefault="00584EC1">
            <w:pPr>
              <w:rPr>
                <w:rFonts w:ascii="宋体"/>
                <w:vanish/>
              </w:rPr>
            </w:pPr>
          </w:p>
        </w:tc>
        <w:tc>
          <w:tcPr>
            <w:tcW w:w="0" w:type="auto"/>
            <w:shd w:val="clear" w:color="auto" w:fill="auto"/>
            <w:vAlign w:val="bottom"/>
          </w:tcPr>
          <w:p w14:paraId="74DD6CF5" w14:textId="77777777" w:rsidR="00584EC1" w:rsidRDefault="00584EC1">
            <w:pPr>
              <w:rPr>
                <w:rFonts w:ascii="宋体"/>
                <w:vanish/>
              </w:rPr>
            </w:pPr>
          </w:p>
        </w:tc>
        <w:tc>
          <w:tcPr>
            <w:tcW w:w="0" w:type="auto"/>
            <w:gridSpan w:val="3"/>
            <w:shd w:val="clear" w:color="auto" w:fill="auto"/>
            <w:vAlign w:val="bottom"/>
          </w:tcPr>
          <w:p w14:paraId="74DD6CF6" w14:textId="77777777" w:rsidR="00584EC1" w:rsidRDefault="00584EC1">
            <w:pPr>
              <w:rPr>
                <w:rFonts w:ascii="宋体"/>
                <w:vanish/>
              </w:rPr>
            </w:pPr>
          </w:p>
        </w:tc>
        <w:tc>
          <w:tcPr>
            <w:tcW w:w="0" w:type="auto"/>
            <w:gridSpan w:val="3"/>
            <w:shd w:val="clear" w:color="auto" w:fill="auto"/>
            <w:vAlign w:val="bottom"/>
          </w:tcPr>
          <w:p w14:paraId="74DD6CF7" w14:textId="77777777" w:rsidR="00584EC1" w:rsidRDefault="00584EC1">
            <w:pPr>
              <w:rPr>
                <w:rFonts w:ascii="宋体"/>
                <w:vanish/>
              </w:rPr>
            </w:pPr>
          </w:p>
        </w:tc>
        <w:tc>
          <w:tcPr>
            <w:tcW w:w="0" w:type="auto"/>
            <w:gridSpan w:val="3"/>
            <w:shd w:val="clear" w:color="auto" w:fill="auto"/>
            <w:vAlign w:val="bottom"/>
          </w:tcPr>
          <w:p w14:paraId="74DD6CF8" w14:textId="77777777" w:rsidR="00584EC1" w:rsidRDefault="00584EC1">
            <w:pPr>
              <w:rPr>
                <w:rFonts w:ascii="宋体"/>
                <w:vanish/>
              </w:rPr>
            </w:pPr>
          </w:p>
        </w:tc>
        <w:tc>
          <w:tcPr>
            <w:tcW w:w="0" w:type="auto"/>
            <w:gridSpan w:val="3"/>
            <w:shd w:val="clear" w:color="auto" w:fill="auto"/>
            <w:vAlign w:val="bottom"/>
          </w:tcPr>
          <w:p w14:paraId="74DD6CF9" w14:textId="77777777" w:rsidR="00584EC1" w:rsidRDefault="00584EC1">
            <w:pPr>
              <w:rPr>
                <w:rFonts w:ascii="宋体"/>
                <w:vanish/>
              </w:rPr>
            </w:pPr>
          </w:p>
        </w:tc>
        <w:tc>
          <w:tcPr>
            <w:tcW w:w="0" w:type="auto"/>
            <w:gridSpan w:val="2"/>
            <w:shd w:val="clear" w:color="auto" w:fill="auto"/>
            <w:vAlign w:val="bottom"/>
          </w:tcPr>
          <w:p w14:paraId="74DD6CFA" w14:textId="77777777" w:rsidR="00584EC1" w:rsidRDefault="00584EC1">
            <w:pPr>
              <w:rPr>
                <w:rFonts w:ascii="宋体"/>
                <w:vanish/>
              </w:rPr>
            </w:pPr>
          </w:p>
        </w:tc>
        <w:tc>
          <w:tcPr>
            <w:tcW w:w="0" w:type="auto"/>
            <w:shd w:val="clear" w:color="auto" w:fill="auto"/>
            <w:vAlign w:val="bottom"/>
          </w:tcPr>
          <w:p w14:paraId="74DD6CFB" w14:textId="77777777" w:rsidR="00584EC1" w:rsidRDefault="00584EC1">
            <w:pPr>
              <w:rPr>
                <w:rFonts w:ascii="宋体"/>
                <w:vanish/>
              </w:rPr>
            </w:pPr>
          </w:p>
        </w:tc>
      </w:tr>
      <w:tr w:rsidR="00584EC1" w14:paraId="74DD6D19" w14:textId="77777777">
        <w:tc>
          <w:tcPr>
            <w:tcW w:w="0" w:type="auto"/>
            <w:gridSpan w:val="3"/>
            <w:shd w:val="clear" w:color="auto" w:fill="CCEEFF"/>
            <w:tcMar>
              <w:top w:w="40" w:type="dxa"/>
              <w:left w:w="20" w:type="dxa"/>
              <w:bottom w:w="40" w:type="dxa"/>
              <w:right w:w="20" w:type="dxa"/>
            </w:tcMar>
            <w:vAlign w:val="bottom"/>
          </w:tcPr>
          <w:p w14:paraId="74DD6CFD" w14:textId="77777777" w:rsidR="00584EC1" w:rsidRDefault="00871F8D">
            <w:pPr>
              <w:textAlignment w:val="bottom"/>
            </w:pPr>
            <w:r>
              <w:rPr>
                <w:rFonts w:ascii="Arial" w:eastAsia="宋体" w:hAnsi="Arial" w:cs="Arial"/>
                <w:color w:val="000000"/>
                <w:sz w:val="12"/>
                <w:szCs w:val="12"/>
              </w:rPr>
              <w:t>Total interest-bearing deposits</w:t>
            </w:r>
            <w:r>
              <w:rPr>
                <w:rFonts w:ascii="Arial" w:eastAsia="宋体" w:hAnsi="Arial" w:cs="Arial"/>
                <w:color w:val="000000"/>
                <w:sz w:val="7"/>
                <w:szCs w:val="7"/>
              </w:rPr>
              <w:t>(4)(5)</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6CFE" w14:textId="77777777" w:rsidR="00584EC1" w:rsidRDefault="00871F8D">
            <w:pPr>
              <w:jc w:val="right"/>
              <w:textAlignment w:val="bottom"/>
            </w:pPr>
            <w:r>
              <w:rPr>
                <w:rFonts w:ascii="Arial" w:eastAsia="宋体" w:hAnsi="Arial" w:cs="Arial"/>
                <w:b/>
                <w:bCs/>
                <w:color w:val="000000"/>
                <w:sz w:val="12"/>
                <w:szCs w:val="12"/>
              </w:rPr>
              <w:t>186,805</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6CF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D00"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6D01" w14:textId="77777777" w:rsidR="00584EC1" w:rsidRDefault="00871F8D">
            <w:pPr>
              <w:jc w:val="right"/>
              <w:textAlignment w:val="bottom"/>
            </w:pPr>
            <w:r>
              <w:rPr>
                <w:rFonts w:ascii="Arial" w:eastAsia="宋体" w:hAnsi="Arial" w:cs="Arial"/>
                <w:b/>
                <w:bCs/>
                <w:color w:val="000000"/>
                <w:sz w:val="12"/>
                <w:szCs w:val="12"/>
              </w:rPr>
              <w:t>(6</w:t>
            </w:r>
            <w:r>
              <w:rPr>
                <w:rFonts w:ascii="Arial" w:eastAsia="宋体" w:hAnsi="Arial" w:cs="Arial"/>
                <w:b/>
                <w:bCs/>
                <w:color w:val="000000"/>
                <w:sz w:val="12"/>
                <w:szCs w:val="12"/>
              </w:rPr>
              <w:t>2)</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6D0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D03"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D04" w14:textId="77777777" w:rsidR="00584EC1" w:rsidRDefault="00871F8D">
            <w:pPr>
              <w:jc w:val="right"/>
              <w:textAlignment w:val="bottom"/>
            </w:pPr>
            <w:r>
              <w:rPr>
                <w:rFonts w:ascii="Arial" w:eastAsia="宋体" w:hAnsi="Arial" w:cs="Arial"/>
                <w:b/>
                <w:bCs/>
                <w:color w:val="000000"/>
                <w:sz w:val="12"/>
                <w:szCs w:val="12"/>
              </w:rPr>
              <w:t>(.13)</w:t>
            </w:r>
          </w:p>
        </w:tc>
        <w:tc>
          <w:tcPr>
            <w:tcW w:w="0" w:type="auto"/>
            <w:shd w:val="clear" w:color="auto" w:fill="CCEEFF"/>
            <w:tcMar>
              <w:top w:w="40" w:type="dxa"/>
              <w:left w:w="0" w:type="dxa"/>
              <w:bottom w:w="40" w:type="dxa"/>
              <w:right w:w="20" w:type="dxa"/>
            </w:tcMar>
            <w:vAlign w:val="bottom"/>
          </w:tcPr>
          <w:p w14:paraId="74DD6D0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D06"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6D07" w14:textId="77777777" w:rsidR="00584EC1" w:rsidRDefault="00871F8D">
            <w:pPr>
              <w:jc w:val="right"/>
              <w:textAlignment w:val="bottom"/>
            </w:pPr>
            <w:r>
              <w:rPr>
                <w:rFonts w:ascii="Arial" w:eastAsia="宋体" w:hAnsi="Arial" w:cs="Arial"/>
                <w:color w:val="000000"/>
                <w:sz w:val="12"/>
                <w:szCs w:val="12"/>
              </w:rPr>
              <w:t>154,946 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6D0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D09"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6D0A" w14:textId="77777777" w:rsidR="00584EC1" w:rsidRDefault="00871F8D">
            <w:pPr>
              <w:jc w:val="right"/>
              <w:textAlignment w:val="bottom"/>
            </w:pPr>
            <w:r>
              <w:rPr>
                <w:rFonts w:ascii="Arial" w:eastAsia="宋体" w:hAnsi="Arial" w:cs="Arial"/>
                <w:color w:val="000000"/>
                <w:sz w:val="12"/>
                <w:szCs w:val="12"/>
              </w:rPr>
              <w:t>(61)</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6D0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D0C"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D0D" w14:textId="77777777" w:rsidR="00584EC1" w:rsidRDefault="00871F8D">
            <w:pPr>
              <w:jc w:val="right"/>
              <w:textAlignment w:val="bottom"/>
            </w:pPr>
            <w:r>
              <w:rPr>
                <w:rFonts w:ascii="Arial" w:eastAsia="宋体" w:hAnsi="Arial" w:cs="Arial"/>
                <w:color w:val="000000"/>
                <w:sz w:val="12"/>
                <w:szCs w:val="12"/>
              </w:rPr>
              <w:t>(.16)</w:t>
            </w:r>
          </w:p>
        </w:tc>
        <w:tc>
          <w:tcPr>
            <w:tcW w:w="0" w:type="auto"/>
            <w:shd w:val="clear" w:color="auto" w:fill="CCEEFF"/>
            <w:tcMar>
              <w:top w:w="40" w:type="dxa"/>
              <w:left w:w="0" w:type="dxa"/>
              <w:bottom w:w="40" w:type="dxa"/>
              <w:right w:w="20" w:type="dxa"/>
            </w:tcMar>
            <w:vAlign w:val="bottom"/>
          </w:tcPr>
          <w:p w14:paraId="74DD6D0E" w14:textId="77777777" w:rsidR="00584EC1" w:rsidRDefault="00584EC1">
            <w:pPr>
              <w:jc w:val="right"/>
              <w:rPr>
                <w:rFonts w:ascii="宋体"/>
              </w:rPr>
            </w:pPr>
          </w:p>
        </w:tc>
        <w:tc>
          <w:tcPr>
            <w:tcW w:w="0" w:type="auto"/>
            <w:shd w:val="clear" w:color="auto" w:fill="auto"/>
            <w:vAlign w:val="bottom"/>
          </w:tcPr>
          <w:p w14:paraId="74DD6D0F" w14:textId="77777777" w:rsidR="00584EC1" w:rsidRDefault="00584EC1">
            <w:pPr>
              <w:rPr>
                <w:rFonts w:ascii="宋体"/>
                <w:vanish/>
              </w:rPr>
            </w:pPr>
          </w:p>
        </w:tc>
        <w:tc>
          <w:tcPr>
            <w:tcW w:w="0" w:type="auto"/>
            <w:shd w:val="clear" w:color="auto" w:fill="auto"/>
            <w:vAlign w:val="bottom"/>
          </w:tcPr>
          <w:p w14:paraId="74DD6D10" w14:textId="77777777" w:rsidR="00584EC1" w:rsidRDefault="00584EC1">
            <w:pPr>
              <w:rPr>
                <w:rFonts w:ascii="宋体"/>
                <w:vanish/>
              </w:rPr>
            </w:pPr>
          </w:p>
        </w:tc>
        <w:tc>
          <w:tcPr>
            <w:tcW w:w="0" w:type="auto"/>
            <w:shd w:val="clear" w:color="auto" w:fill="auto"/>
            <w:vAlign w:val="bottom"/>
          </w:tcPr>
          <w:p w14:paraId="74DD6D11" w14:textId="77777777" w:rsidR="00584EC1" w:rsidRDefault="00584EC1">
            <w:pPr>
              <w:rPr>
                <w:rFonts w:ascii="宋体"/>
                <w:vanish/>
              </w:rPr>
            </w:pPr>
          </w:p>
        </w:tc>
        <w:tc>
          <w:tcPr>
            <w:tcW w:w="0" w:type="auto"/>
            <w:shd w:val="clear" w:color="auto" w:fill="auto"/>
            <w:vAlign w:val="bottom"/>
          </w:tcPr>
          <w:p w14:paraId="74DD6D12" w14:textId="77777777" w:rsidR="00584EC1" w:rsidRDefault="00584EC1">
            <w:pPr>
              <w:rPr>
                <w:rFonts w:ascii="宋体"/>
                <w:vanish/>
              </w:rPr>
            </w:pPr>
          </w:p>
        </w:tc>
        <w:tc>
          <w:tcPr>
            <w:tcW w:w="0" w:type="auto"/>
            <w:gridSpan w:val="3"/>
            <w:shd w:val="clear" w:color="auto" w:fill="auto"/>
            <w:vAlign w:val="bottom"/>
          </w:tcPr>
          <w:p w14:paraId="74DD6D13" w14:textId="77777777" w:rsidR="00584EC1" w:rsidRDefault="00584EC1">
            <w:pPr>
              <w:rPr>
                <w:rFonts w:ascii="宋体"/>
                <w:vanish/>
              </w:rPr>
            </w:pPr>
          </w:p>
        </w:tc>
        <w:tc>
          <w:tcPr>
            <w:tcW w:w="0" w:type="auto"/>
            <w:gridSpan w:val="3"/>
            <w:shd w:val="clear" w:color="auto" w:fill="auto"/>
            <w:vAlign w:val="bottom"/>
          </w:tcPr>
          <w:p w14:paraId="74DD6D14" w14:textId="77777777" w:rsidR="00584EC1" w:rsidRDefault="00584EC1">
            <w:pPr>
              <w:rPr>
                <w:rFonts w:ascii="宋体"/>
                <w:vanish/>
              </w:rPr>
            </w:pPr>
          </w:p>
        </w:tc>
        <w:tc>
          <w:tcPr>
            <w:tcW w:w="0" w:type="auto"/>
            <w:gridSpan w:val="3"/>
            <w:shd w:val="clear" w:color="auto" w:fill="auto"/>
            <w:vAlign w:val="bottom"/>
          </w:tcPr>
          <w:p w14:paraId="74DD6D15" w14:textId="77777777" w:rsidR="00584EC1" w:rsidRDefault="00584EC1">
            <w:pPr>
              <w:rPr>
                <w:rFonts w:ascii="宋体"/>
                <w:vanish/>
              </w:rPr>
            </w:pPr>
          </w:p>
        </w:tc>
        <w:tc>
          <w:tcPr>
            <w:tcW w:w="0" w:type="auto"/>
            <w:gridSpan w:val="3"/>
            <w:shd w:val="clear" w:color="auto" w:fill="auto"/>
            <w:vAlign w:val="bottom"/>
          </w:tcPr>
          <w:p w14:paraId="74DD6D16" w14:textId="77777777" w:rsidR="00584EC1" w:rsidRDefault="00584EC1">
            <w:pPr>
              <w:rPr>
                <w:rFonts w:ascii="宋体"/>
                <w:vanish/>
              </w:rPr>
            </w:pPr>
          </w:p>
        </w:tc>
        <w:tc>
          <w:tcPr>
            <w:tcW w:w="0" w:type="auto"/>
            <w:gridSpan w:val="2"/>
            <w:shd w:val="clear" w:color="auto" w:fill="auto"/>
            <w:vAlign w:val="bottom"/>
          </w:tcPr>
          <w:p w14:paraId="74DD6D17" w14:textId="77777777" w:rsidR="00584EC1" w:rsidRDefault="00584EC1">
            <w:pPr>
              <w:rPr>
                <w:rFonts w:ascii="宋体"/>
                <w:vanish/>
              </w:rPr>
            </w:pPr>
          </w:p>
        </w:tc>
        <w:tc>
          <w:tcPr>
            <w:tcW w:w="0" w:type="auto"/>
            <w:shd w:val="clear" w:color="auto" w:fill="auto"/>
            <w:vAlign w:val="bottom"/>
          </w:tcPr>
          <w:p w14:paraId="74DD6D18" w14:textId="77777777" w:rsidR="00584EC1" w:rsidRDefault="00584EC1">
            <w:pPr>
              <w:rPr>
                <w:rFonts w:ascii="宋体"/>
                <w:vanish/>
              </w:rPr>
            </w:pPr>
          </w:p>
        </w:tc>
      </w:tr>
      <w:tr w:rsidR="00584EC1" w14:paraId="74DD6D36" w14:textId="77777777">
        <w:tc>
          <w:tcPr>
            <w:tcW w:w="0" w:type="auto"/>
            <w:gridSpan w:val="3"/>
            <w:shd w:val="clear" w:color="auto" w:fill="FFFFFF"/>
            <w:tcMar>
              <w:top w:w="40" w:type="dxa"/>
              <w:left w:w="20" w:type="dxa"/>
              <w:bottom w:w="40" w:type="dxa"/>
              <w:right w:w="20" w:type="dxa"/>
            </w:tcMar>
            <w:vAlign w:val="bottom"/>
          </w:tcPr>
          <w:p w14:paraId="74DD6D1A" w14:textId="77777777" w:rsidR="00584EC1" w:rsidRDefault="00871F8D">
            <w:pPr>
              <w:textAlignment w:val="bottom"/>
            </w:pPr>
            <w:r>
              <w:rPr>
                <w:rFonts w:ascii="Arial" w:eastAsia="宋体" w:hAnsi="Arial" w:cs="Arial"/>
                <w:color w:val="000000"/>
                <w:sz w:val="12"/>
                <w:szCs w:val="12"/>
              </w:rPr>
              <w:t xml:space="preserve">Securities sold </w:t>
            </w:r>
            <w:r>
              <w:rPr>
                <w:rFonts w:ascii="Arial" w:eastAsia="宋体" w:hAnsi="Arial" w:cs="Arial"/>
                <w:color w:val="000000"/>
                <w:sz w:val="12"/>
                <w:szCs w:val="12"/>
              </w:rPr>
              <w:t>under repurchase agreements</w:t>
            </w:r>
          </w:p>
        </w:tc>
        <w:tc>
          <w:tcPr>
            <w:tcW w:w="0" w:type="auto"/>
            <w:gridSpan w:val="2"/>
            <w:shd w:val="clear" w:color="auto" w:fill="FFFFFF"/>
            <w:tcMar>
              <w:top w:w="40" w:type="dxa"/>
              <w:left w:w="20" w:type="dxa"/>
              <w:bottom w:w="40" w:type="dxa"/>
              <w:right w:w="0" w:type="dxa"/>
            </w:tcMar>
            <w:vAlign w:val="bottom"/>
          </w:tcPr>
          <w:p w14:paraId="74DD6D1B" w14:textId="77777777" w:rsidR="00584EC1" w:rsidRDefault="00871F8D">
            <w:pPr>
              <w:jc w:val="right"/>
              <w:textAlignment w:val="bottom"/>
            </w:pPr>
            <w:r>
              <w:rPr>
                <w:rFonts w:ascii="Arial" w:eastAsia="宋体" w:hAnsi="Arial" w:cs="Arial"/>
                <w:b/>
                <w:bCs/>
                <w:color w:val="000000"/>
                <w:sz w:val="12"/>
                <w:szCs w:val="12"/>
              </w:rPr>
              <w:t>332</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6D1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D1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D1E"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6D1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D2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D21"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6D2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D2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D24" w14:textId="77777777" w:rsidR="00584EC1" w:rsidRDefault="00871F8D">
            <w:pPr>
              <w:jc w:val="right"/>
              <w:textAlignment w:val="bottom"/>
            </w:pPr>
            <w:r>
              <w:rPr>
                <w:rFonts w:ascii="Arial" w:eastAsia="宋体" w:hAnsi="Arial" w:cs="Arial"/>
                <w:color w:val="000000"/>
                <w:sz w:val="12"/>
                <w:szCs w:val="12"/>
              </w:rPr>
              <w:t>2,891 </w:t>
            </w:r>
          </w:p>
        </w:tc>
        <w:tc>
          <w:tcPr>
            <w:tcW w:w="0" w:type="auto"/>
            <w:shd w:val="clear" w:color="auto" w:fill="FFFFFF"/>
            <w:tcMar>
              <w:top w:w="40" w:type="dxa"/>
              <w:left w:w="0" w:type="dxa"/>
              <w:bottom w:w="40" w:type="dxa"/>
              <w:right w:w="20" w:type="dxa"/>
            </w:tcMar>
            <w:vAlign w:val="bottom"/>
          </w:tcPr>
          <w:p w14:paraId="74DD6D2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D2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D27" w14:textId="77777777" w:rsidR="00584EC1" w:rsidRDefault="00871F8D">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6D2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D2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D2A" w14:textId="77777777" w:rsidR="00584EC1" w:rsidRDefault="00871F8D">
            <w:pPr>
              <w:jc w:val="right"/>
              <w:textAlignment w:val="bottom"/>
            </w:pPr>
            <w:r>
              <w:rPr>
                <w:rFonts w:ascii="Arial" w:eastAsia="宋体" w:hAnsi="Arial" w:cs="Arial"/>
                <w:color w:val="000000"/>
                <w:sz w:val="12"/>
                <w:szCs w:val="12"/>
              </w:rPr>
              <w:t>.08 </w:t>
            </w:r>
          </w:p>
        </w:tc>
        <w:tc>
          <w:tcPr>
            <w:tcW w:w="0" w:type="auto"/>
            <w:shd w:val="clear" w:color="auto" w:fill="FFFFFF"/>
            <w:tcMar>
              <w:top w:w="40" w:type="dxa"/>
              <w:left w:w="0" w:type="dxa"/>
              <w:bottom w:w="40" w:type="dxa"/>
              <w:right w:w="20" w:type="dxa"/>
            </w:tcMar>
            <w:vAlign w:val="bottom"/>
          </w:tcPr>
          <w:p w14:paraId="74DD6D2B" w14:textId="77777777" w:rsidR="00584EC1" w:rsidRDefault="00584EC1">
            <w:pPr>
              <w:jc w:val="right"/>
              <w:rPr>
                <w:rFonts w:ascii="宋体"/>
              </w:rPr>
            </w:pPr>
          </w:p>
        </w:tc>
        <w:tc>
          <w:tcPr>
            <w:tcW w:w="0" w:type="auto"/>
            <w:shd w:val="clear" w:color="auto" w:fill="auto"/>
            <w:vAlign w:val="bottom"/>
          </w:tcPr>
          <w:p w14:paraId="74DD6D2C" w14:textId="77777777" w:rsidR="00584EC1" w:rsidRDefault="00584EC1">
            <w:pPr>
              <w:rPr>
                <w:rFonts w:ascii="宋体"/>
                <w:vanish/>
              </w:rPr>
            </w:pPr>
          </w:p>
        </w:tc>
        <w:tc>
          <w:tcPr>
            <w:tcW w:w="0" w:type="auto"/>
            <w:shd w:val="clear" w:color="auto" w:fill="auto"/>
            <w:vAlign w:val="bottom"/>
          </w:tcPr>
          <w:p w14:paraId="74DD6D2D" w14:textId="77777777" w:rsidR="00584EC1" w:rsidRDefault="00584EC1">
            <w:pPr>
              <w:rPr>
                <w:rFonts w:ascii="宋体"/>
                <w:vanish/>
              </w:rPr>
            </w:pPr>
          </w:p>
        </w:tc>
        <w:tc>
          <w:tcPr>
            <w:tcW w:w="0" w:type="auto"/>
            <w:shd w:val="clear" w:color="auto" w:fill="auto"/>
            <w:vAlign w:val="bottom"/>
          </w:tcPr>
          <w:p w14:paraId="74DD6D2E" w14:textId="77777777" w:rsidR="00584EC1" w:rsidRDefault="00584EC1">
            <w:pPr>
              <w:rPr>
                <w:rFonts w:ascii="宋体"/>
                <w:vanish/>
              </w:rPr>
            </w:pPr>
          </w:p>
        </w:tc>
        <w:tc>
          <w:tcPr>
            <w:tcW w:w="0" w:type="auto"/>
            <w:shd w:val="clear" w:color="auto" w:fill="auto"/>
            <w:vAlign w:val="bottom"/>
          </w:tcPr>
          <w:p w14:paraId="74DD6D2F" w14:textId="77777777" w:rsidR="00584EC1" w:rsidRDefault="00584EC1">
            <w:pPr>
              <w:rPr>
                <w:rFonts w:ascii="宋体"/>
                <w:vanish/>
              </w:rPr>
            </w:pPr>
          </w:p>
        </w:tc>
        <w:tc>
          <w:tcPr>
            <w:tcW w:w="0" w:type="auto"/>
            <w:gridSpan w:val="3"/>
            <w:shd w:val="clear" w:color="auto" w:fill="auto"/>
            <w:vAlign w:val="bottom"/>
          </w:tcPr>
          <w:p w14:paraId="74DD6D30" w14:textId="77777777" w:rsidR="00584EC1" w:rsidRDefault="00584EC1">
            <w:pPr>
              <w:rPr>
                <w:rFonts w:ascii="宋体"/>
                <w:vanish/>
              </w:rPr>
            </w:pPr>
          </w:p>
        </w:tc>
        <w:tc>
          <w:tcPr>
            <w:tcW w:w="0" w:type="auto"/>
            <w:gridSpan w:val="3"/>
            <w:shd w:val="clear" w:color="auto" w:fill="auto"/>
            <w:vAlign w:val="bottom"/>
          </w:tcPr>
          <w:p w14:paraId="74DD6D31" w14:textId="77777777" w:rsidR="00584EC1" w:rsidRDefault="00584EC1">
            <w:pPr>
              <w:rPr>
                <w:rFonts w:ascii="宋体"/>
                <w:vanish/>
              </w:rPr>
            </w:pPr>
          </w:p>
        </w:tc>
        <w:tc>
          <w:tcPr>
            <w:tcW w:w="0" w:type="auto"/>
            <w:gridSpan w:val="3"/>
            <w:shd w:val="clear" w:color="auto" w:fill="auto"/>
            <w:vAlign w:val="bottom"/>
          </w:tcPr>
          <w:p w14:paraId="74DD6D32" w14:textId="77777777" w:rsidR="00584EC1" w:rsidRDefault="00584EC1">
            <w:pPr>
              <w:rPr>
                <w:rFonts w:ascii="宋体"/>
                <w:vanish/>
              </w:rPr>
            </w:pPr>
          </w:p>
        </w:tc>
        <w:tc>
          <w:tcPr>
            <w:tcW w:w="0" w:type="auto"/>
            <w:gridSpan w:val="3"/>
            <w:shd w:val="clear" w:color="auto" w:fill="auto"/>
            <w:vAlign w:val="bottom"/>
          </w:tcPr>
          <w:p w14:paraId="74DD6D33" w14:textId="77777777" w:rsidR="00584EC1" w:rsidRDefault="00584EC1">
            <w:pPr>
              <w:rPr>
                <w:rFonts w:ascii="宋体"/>
                <w:vanish/>
              </w:rPr>
            </w:pPr>
          </w:p>
        </w:tc>
        <w:tc>
          <w:tcPr>
            <w:tcW w:w="0" w:type="auto"/>
            <w:gridSpan w:val="2"/>
            <w:shd w:val="clear" w:color="auto" w:fill="auto"/>
            <w:vAlign w:val="bottom"/>
          </w:tcPr>
          <w:p w14:paraId="74DD6D34" w14:textId="77777777" w:rsidR="00584EC1" w:rsidRDefault="00584EC1">
            <w:pPr>
              <w:rPr>
                <w:rFonts w:ascii="宋体"/>
                <w:vanish/>
              </w:rPr>
            </w:pPr>
          </w:p>
        </w:tc>
        <w:tc>
          <w:tcPr>
            <w:tcW w:w="0" w:type="auto"/>
            <w:shd w:val="clear" w:color="auto" w:fill="auto"/>
            <w:vAlign w:val="bottom"/>
          </w:tcPr>
          <w:p w14:paraId="74DD6D35" w14:textId="77777777" w:rsidR="00584EC1" w:rsidRDefault="00584EC1">
            <w:pPr>
              <w:rPr>
                <w:rFonts w:ascii="宋体"/>
                <w:vanish/>
              </w:rPr>
            </w:pPr>
          </w:p>
        </w:tc>
      </w:tr>
      <w:tr w:rsidR="00584EC1" w14:paraId="74DD6D53" w14:textId="77777777">
        <w:tc>
          <w:tcPr>
            <w:tcW w:w="0" w:type="auto"/>
            <w:gridSpan w:val="3"/>
            <w:shd w:val="clear" w:color="auto" w:fill="CCEEFF"/>
            <w:tcMar>
              <w:top w:w="40" w:type="dxa"/>
              <w:left w:w="20" w:type="dxa"/>
              <w:bottom w:w="40" w:type="dxa"/>
              <w:right w:w="20" w:type="dxa"/>
            </w:tcMar>
            <w:vAlign w:val="bottom"/>
          </w:tcPr>
          <w:p w14:paraId="74DD6D37" w14:textId="77777777" w:rsidR="00584EC1" w:rsidRDefault="00871F8D">
            <w:pPr>
              <w:textAlignment w:val="bottom"/>
            </w:pPr>
            <w:r>
              <w:rPr>
                <w:rFonts w:ascii="Arial" w:eastAsia="宋体" w:hAnsi="Arial" w:cs="Arial"/>
                <w:color w:val="000000"/>
                <w:sz w:val="12"/>
                <w:szCs w:val="12"/>
              </w:rPr>
              <w:t xml:space="preserve">Short-term borrowings under money market liquidity </w:t>
            </w:r>
            <w:r>
              <w:rPr>
                <w:rFonts w:ascii="Arial" w:eastAsia="宋体" w:hAnsi="Arial" w:cs="Arial"/>
                <w:color w:val="000000"/>
                <w:sz w:val="12"/>
                <w:szCs w:val="12"/>
              </w:rPr>
              <w:t>facility</w:t>
            </w:r>
          </w:p>
        </w:tc>
        <w:tc>
          <w:tcPr>
            <w:tcW w:w="0" w:type="auto"/>
            <w:gridSpan w:val="2"/>
            <w:shd w:val="clear" w:color="auto" w:fill="CCEEFF"/>
            <w:tcMar>
              <w:top w:w="40" w:type="dxa"/>
              <w:left w:w="20" w:type="dxa"/>
              <w:bottom w:w="40" w:type="dxa"/>
              <w:right w:w="0" w:type="dxa"/>
            </w:tcMar>
            <w:vAlign w:val="bottom"/>
          </w:tcPr>
          <w:p w14:paraId="74DD6D38"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6D3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D3A"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D3B"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6D3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D3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D3E"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6D3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D4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D41" w14:textId="77777777" w:rsidR="00584EC1" w:rsidRDefault="00871F8D">
            <w:pPr>
              <w:jc w:val="right"/>
              <w:textAlignment w:val="bottom"/>
            </w:pPr>
            <w:r>
              <w:rPr>
                <w:rFonts w:ascii="Arial" w:eastAsia="宋体" w:hAnsi="Arial" w:cs="Arial"/>
                <w:color w:val="000000"/>
                <w:sz w:val="12"/>
                <w:szCs w:val="12"/>
              </w:rPr>
              <w:t>7,449 </w:t>
            </w:r>
          </w:p>
        </w:tc>
        <w:tc>
          <w:tcPr>
            <w:tcW w:w="0" w:type="auto"/>
            <w:shd w:val="clear" w:color="auto" w:fill="CCEEFF"/>
            <w:tcMar>
              <w:top w:w="40" w:type="dxa"/>
              <w:left w:w="0" w:type="dxa"/>
              <w:bottom w:w="40" w:type="dxa"/>
              <w:right w:w="20" w:type="dxa"/>
            </w:tcMar>
            <w:vAlign w:val="bottom"/>
          </w:tcPr>
          <w:p w14:paraId="74DD6D4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D43"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D44" w14:textId="77777777" w:rsidR="00584EC1" w:rsidRDefault="00871F8D">
            <w:pPr>
              <w:jc w:val="right"/>
              <w:textAlignment w:val="bottom"/>
            </w:pPr>
            <w:r>
              <w:rPr>
                <w:rFonts w:ascii="Arial" w:eastAsia="宋体" w:hAnsi="Arial" w:cs="Arial"/>
                <w:color w:val="000000"/>
                <w:sz w:val="12"/>
                <w:szCs w:val="12"/>
              </w:rPr>
              <w:t>23 </w:t>
            </w:r>
          </w:p>
        </w:tc>
        <w:tc>
          <w:tcPr>
            <w:tcW w:w="0" w:type="auto"/>
            <w:shd w:val="clear" w:color="auto" w:fill="CCEEFF"/>
            <w:tcMar>
              <w:top w:w="40" w:type="dxa"/>
              <w:left w:w="0" w:type="dxa"/>
              <w:bottom w:w="40" w:type="dxa"/>
              <w:right w:w="20" w:type="dxa"/>
            </w:tcMar>
            <w:vAlign w:val="bottom"/>
          </w:tcPr>
          <w:p w14:paraId="74DD6D4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D4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D47" w14:textId="77777777" w:rsidR="00584EC1" w:rsidRDefault="00871F8D">
            <w:pPr>
              <w:jc w:val="right"/>
              <w:textAlignment w:val="bottom"/>
            </w:pPr>
            <w:r>
              <w:rPr>
                <w:rFonts w:ascii="Arial" w:eastAsia="宋体" w:hAnsi="Arial" w:cs="Arial"/>
                <w:color w:val="000000"/>
                <w:sz w:val="12"/>
                <w:szCs w:val="12"/>
              </w:rPr>
              <w:t>1.24 </w:t>
            </w:r>
          </w:p>
        </w:tc>
        <w:tc>
          <w:tcPr>
            <w:tcW w:w="0" w:type="auto"/>
            <w:shd w:val="clear" w:color="auto" w:fill="CCEEFF"/>
            <w:tcMar>
              <w:top w:w="40" w:type="dxa"/>
              <w:left w:w="0" w:type="dxa"/>
              <w:bottom w:w="40" w:type="dxa"/>
              <w:right w:w="20" w:type="dxa"/>
            </w:tcMar>
            <w:vAlign w:val="bottom"/>
          </w:tcPr>
          <w:p w14:paraId="74DD6D48" w14:textId="77777777" w:rsidR="00584EC1" w:rsidRDefault="00584EC1">
            <w:pPr>
              <w:jc w:val="right"/>
              <w:rPr>
                <w:rFonts w:ascii="宋体"/>
              </w:rPr>
            </w:pPr>
          </w:p>
        </w:tc>
        <w:tc>
          <w:tcPr>
            <w:tcW w:w="0" w:type="auto"/>
            <w:shd w:val="clear" w:color="auto" w:fill="auto"/>
            <w:vAlign w:val="bottom"/>
          </w:tcPr>
          <w:p w14:paraId="74DD6D49" w14:textId="77777777" w:rsidR="00584EC1" w:rsidRDefault="00584EC1">
            <w:pPr>
              <w:rPr>
                <w:rFonts w:ascii="宋体"/>
                <w:vanish/>
              </w:rPr>
            </w:pPr>
          </w:p>
        </w:tc>
        <w:tc>
          <w:tcPr>
            <w:tcW w:w="0" w:type="auto"/>
            <w:shd w:val="clear" w:color="auto" w:fill="auto"/>
            <w:vAlign w:val="bottom"/>
          </w:tcPr>
          <w:p w14:paraId="74DD6D4A" w14:textId="77777777" w:rsidR="00584EC1" w:rsidRDefault="00584EC1">
            <w:pPr>
              <w:rPr>
                <w:rFonts w:ascii="宋体"/>
                <w:vanish/>
              </w:rPr>
            </w:pPr>
          </w:p>
        </w:tc>
        <w:tc>
          <w:tcPr>
            <w:tcW w:w="0" w:type="auto"/>
            <w:shd w:val="clear" w:color="auto" w:fill="auto"/>
            <w:vAlign w:val="bottom"/>
          </w:tcPr>
          <w:p w14:paraId="74DD6D4B" w14:textId="77777777" w:rsidR="00584EC1" w:rsidRDefault="00584EC1">
            <w:pPr>
              <w:rPr>
                <w:rFonts w:ascii="宋体"/>
                <w:vanish/>
              </w:rPr>
            </w:pPr>
          </w:p>
        </w:tc>
        <w:tc>
          <w:tcPr>
            <w:tcW w:w="0" w:type="auto"/>
            <w:shd w:val="clear" w:color="auto" w:fill="auto"/>
            <w:vAlign w:val="bottom"/>
          </w:tcPr>
          <w:p w14:paraId="74DD6D4C" w14:textId="77777777" w:rsidR="00584EC1" w:rsidRDefault="00584EC1">
            <w:pPr>
              <w:rPr>
                <w:rFonts w:ascii="宋体"/>
                <w:vanish/>
              </w:rPr>
            </w:pPr>
          </w:p>
        </w:tc>
        <w:tc>
          <w:tcPr>
            <w:tcW w:w="0" w:type="auto"/>
            <w:gridSpan w:val="3"/>
            <w:shd w:val="clear" w:color="auto" w:fill="auto"/>
            <w:vAlign w:val="bottom"/>
          </w:tcPr>
          <w:p w14:paraId="74DD6D4D" w14:textId="77777777" w:rsidR="00584EC1" w:rsidRDefault="00584EC1">
            <w:pPr>
              <w:rPr>
                <w:rFonts w:ascii="宋体"/>
                <w:vanish/>
              </w:rPr>
            </w:pPr>
          </w:p>
        </w:tc>
        <w:tc>
          <w:tcPr>
            <w:tcW w:w="0" w:type="auto"/>
            <w:gridSpan w:val="3"/>
            <w:shd w:val="clear" w:color="auto" w:fill="auto"/>
            <w:vAlign w:val="bottom"/>
          </w:tcPr>
          <w:p w14:paraId="74DD6D4E" w14:textId="77777777" w:rsidR="00584EC1" w:rsidRDefault="00584EC1">
            <w:pPr>
              <w:rPr>
                <w:rFonts w:ascii="宋体"/>
                <w:vanish/>
              </w:rPr>
            </w:pPr>
          </w:p>
        </w:tc>
        <w:tc>
          <w:tcPr>
            <w:tcW w:w="0" w:type="auto"/>
            <w:gridSpan w:val="3"/>
            <w:shd w:val="clear" w:color="auto" w:fill="auto"/>
            <w:vAlign w:val="bottom"/>
          </w:tcPr>
          <w:p w14:paraId="74DD6D4F" w14:textId="77777777" w:rsidR="00584EC1" w:rsidRDefault="00584EC1">
            <w:pPr>
              <w:rPr>
                <w:rFonts w:ascii="宋体"/>
                <w:vanish/>
              </w:rPr>
            </w:pPr>
          </w:p>
        </w:tc>
        <w:tc>
          <w:tcPr>
            <w:tcW w:w="0" w:type="auto"/>
            <w:gridSpan w:val="3"/>
            <w:shd w:val="clear" w:color="auto" w:fill="auto"/>
            <w:vAlign w:val="bottom"/>
          </w:tcPr>
          <w:p w14:paraId="74DD6D50" w14:textId="77777777" w:rsidR="00584EC1" w:rsidRDefault="00584EC1">
            <w:pPr>
              <w:rPr>
                <w:rFonts w:ascii="宋体"/>
                <w:vanish/>
              </w:rPr>
            </w:pPr>
          </w:p>
        </w:tc>
        <w:tc>
          <w:tcPr>
            <w:tcW w:w="0" w:type="auto"/>
            <w:gridSpan w:val="2"/>
            <w:shd w:val="clear" w:color="auto" w:fill="auto"/>
            <w:vAlign w:val="bottom"/>
          </w:tcPr>
          <w:p w14:paraId="74DD6D51" w14:textId="77777777" w:rsidR="00584EC1" w:rsidRDefault="00584EC1">
            <w:pPr>
              <w:rPr>
                <w:rFonts w:ascii="宋体"/>
                <w:vanish/>
              </w:rPr>
            </w:pPr>
          </w:p>
        </w:tc>
        <w:tc>
          <w:tcPr>
            <w:tcW w:w="0" w:type="auto"/>
            <w:shd w:val="clear" w:color="auto" w:fill="auto"/>
            <w:vAlign w:val="bottom"/>
          </w:tcPr>
          <w:p w14:paraId="74DD6D52" w14:textId="77777777" w:rsidR="00584EC1" w:rsidRDefault="00584EC1">
            <w:pPr>
              <w:rPr>
                <w:rFonts w:ascii="宋体"/>
                <w:vanish/>
              </w:rPr>
            </w:pPr>
          </w:p>
        </w:tc>
      </w:tr>
      <w:tr w:rsidR="00584EC1" w14:paraId="74DD6D70" w14:textId="77777777">
        <w:tc>
          <w:tcPr>
            <w:tcW w:w="0" w:type="auto"/>
            <w:gridSpan w:val="3"/>
            <w:shd w:val="clear" w:color="auto" w:fill="FFFFFF"/>
            <w:tcMar>
              <w:top w:w="40" w:type="dxa"/>
              <w:left w:w="20" w:type="dxa"/>
              <w:bottom w:w="40" w:type="dxa"/>
              <w:right w:w="20" w:type="dxa"/>
            </w:tcMar>
            <w:vAlign w:val="bottom"/>
          </w:tcPr>
          <w:p w14:paraId="74DD6D54" w14:textId="77777777" w:rsidR="00584EC1" w:rsidRDefault="00871F8D">
            <w:pPr>
              <w:textAlignment w:val="bottom"/>
            </w:pPr>
            <w:r>
              <w:rPr>
                <w:rFonts w:ascii="Arial" w:eastAsia="宋体" w:hAnsi="Arial" w:cs="Arial"/>
                <w:color w:val="000000"/>
                <w:sz w:val="12"/>
                <w:szCs w:val="12"/>
              </w:rPr>
              <w:t>Other short-term borrowings</w:t>
            </w:r>
          </w:p>
        </w:tc>
        <w:tc>
          <w:tcPr>
            <w:tcW w:w="0" w:type="auto"/>
            <w:gridSpan w:val="2"/>
            <w:shd w:val="clear" w:color="auto" w:fill="FFFFFF"/>
            <w:tcMar>
              <w:top w:w="40" w:type="dxa"/>
              <w:left w:w="20" w:type="dxa"/>
              <w:bottom w:w="40" w:type="dxa"/>
              <w:right w:w="0" w:type="dxa"/>
            </w:tcMar>
            <w:vAlign w:val="bottom"/>
          </w:tcPr>
          <w:p w14:paraId="74DD6D55" w14:textId="77777777" w:rsidR="00584EC1" w:rsidRDefault="00871F8D">
            <w:pPr>
              <w:jc w:val="right"/>
              <w:textAlignment w:val="bottom"/>
            </w:pPr>
            <w:r>
              <w:rPr>
                <w:rFonts w:ascii="Arial" w:eastAsia="宋体" w:hAnsi="Arial" w:cs="Arial"/>
                <w:b/>
                <w:bCs/>
                <w:color w:val="000000"/>
                <w:sz w:val="12"/>
                <w:szCs w:val="12"/>
              </w:rPr>
              <w:t>837</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6D5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D5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D58"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6D5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D5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D5B" w14:textId="77777777" w:rsidR="00584EC1" w:rsidRDefault="00871F8D">
            <w:pPr>
              <w:jc w:val="right"/>
              <w:textAlignment w:val="bottom"/>
            </w:pPr>
            <w:r>
              <w:rPr>
                <w:rFonts w:ascii="Arial" w:eastAsia="宋体" w:hAnsi="Arial" w:cs="Arial"/>
                <w:b/>
                <w:bCs/>
                <w:color w:val="000000"/>
                <w:sz w:val="12"/>
                <w:szCs w:val="12"/>
              </w:rPr>
              <w:t>.17</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6D5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D5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D5E" w14:textId="77777777" w:rsidR="00584EC1" w:rsidRDefault="00871F8D">
            <w:pPr>
              <w:jc w:val="right"/>
              <w:textAlignment w:val="bottom"/>
            </w:pPr>
            <w:r>
              <w:rPr>
                <w:rFonts w:ascii="Arial" w:eastAsia="宋体" w:hAnsi="Arial" w:cs="Arial"/>
                <w:color w:val="000000"/>
                <w:sz w:val="12"/>
                <w:szCs w:val="12"/>
              </w:rPr>
              <w:t>1,724 </w:t>
            </w:r>
          </w:p>
        </w:tc>
        <w:tc>
          <w:tcPr>
            <w:tcW w:w="0" w:type="auto"/>
            <w:shd w:val="clear" w:color="auto" w:fill="FFFFFF"/>
            <w:tcMar>
              <w:top w:w="40" w:type="dxa"/>
              <w:left w:w="0" w:type="dxa"/>
              <w:bottom w:w="40" w:type="dxa"/>
              <w:right w:w="20" w:type="dxa"/>
            </w:tcMar>
            <w:vAlign w:val="bottom"/>
          </w:tcPr>
          <w:p w14:paraId="74DD6D5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D6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D61" w14:textId="77777777" w:rsidR="00584EC1" w:rsidRDefault="00871F8D">
            <w:pPr>
              <w:jc w:val="right"/>
              <w:textAlignment w:val="bottom"/>
            </w:pPr>
            <w:r>
              <w:rPr>
                <w:rFonts w:ascii="Arial" w:eastAsia="宋体" w:hAnsi="Arial" w:cs="Arial"/>
                <w:color w:val="000000"/>
                <w:sz w:val="12"/>
                <w:szCs w:val="12"/>
              </w:rPr>
              <w:t>2 </w:t>
            </w:r>
          </w:p>
        </w:tc>
        <w:tc>
          <w:tcPr>
            <w:tcW w:w="0" w:type="auto"/>
            <w:shd w:val="clear" w:color="auto" w:fill="FFFFFF"/>
            <w:tcMar>
              <w:top w:w="40" w:type="dxa"/>
              <w:left w:w="0" w:type="dxa"/>
              <w:bottom w:w="40" w:type="dxa"/>
              <w:right w:w="20" w:type="dxa"/>
            </w:tcMar>
            <w:vAlign w:val="bottom"/>
          </w:tcPr>
          <w:p w14:paraId="74DD6D6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D6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D64" w14:textId="77777777" w:rsidR="00584EC1" w:rsidRDefault="00871F8D">
            <w:pPr>
              <w:jc w:val="right"/>
              <w:textAlignment w:val="bottom"/>
            </w:pPr>
            <w:r>
              <w:rPr>
                <w:rFonts w:ascii="Arial" w:eastAsia="宋体" w:hAnsi="Arial" w:cs="Arial"/>
                <w:color w:val="000000"/>
                <w:sz w:val="12"/>
                <w:szCs w:val="12"/>
              </w:rPr>
              <w:t>.44 </w:t>
            </w:r>
          </w:p>
        </w:tc>
        <w:tc>
          <w:tcPr>
            <w:tcW w:w="0" w:type="auto"/>
            <w:shd w:val="clear" w:color="auto" w:fill="FFFFFF"/>
            <w:tcMar>
              <w:top w:w="40" w:type="dxa"/>
              <w:left w:w="0" w:type="dxa"/>
              <w:bottom w:w="40" w:type="dxa"/>
              <w:right w:w="20" w:type="dxa"/>
            </w:tcMar>
            <w:vAlign w:val="bottom"/>
          </w:tcPr>
          <w:p w14:paraId="74DD6D65" w14:textId="77777777" w:rsidR="00584EC1" w:rsidRDefault="00584EC1">
            <w:pPr>
              <w:jc w:val="right"/>
              <w:rPr>
                <w:rFonts w:ascii="宋体"/>
              </w:rPr>
            </w:pPr>
          </w:p>
        </w:tc>
        <w:tc>
          <w:tcPr>
            <w:tcW w:w="0" w:type="auto"/>
            <w:shd w:val="clear" w:color="auto" w:fill="auto"/>
            <w:vAlign w:val="bottom"/>
          </w:tcPr>
          <w:p w14:paraId="74DD6D66" w14:textId="77777777" w:rsidR="00584EC1" w:rsidRDefault="00584EC1">
            <w:pPr>
              <w:rPr>
                <w:rFonts w:ascii="宋体"/>
                <w:vanish/>
              </w:rPr>
            </w:pPr>
          </w:p>
        </w:tc>
        <w:tc>
          <w:tcPr>
            <w:tcW w:w="0" w:type="auto"/>
            <w:shd w:val="clear" w:color="auto" w:fill="auto"/>
            <w:vAlign w:val="bottom"/>
          </w:tcPr>
          <w:p w14:paraId="74DD6D67" w14:textId="77777777" w:rsidR="00584EC1" w:rsidRDefault="00584EC1">
            <w:pPr>
              <w:rPr>
                <w:rFonts w:ascii="宋体"/>
                <w:vanish/>
              </w:rPr>
            </w:pPr>
          </w:p>
        </w:tc>
        <w:tc>
          <w:tcPr>
            <w:tcW w:w="0" w:type="auto"/>
            <w:shd w:val="clear" w:color="auto" w:fill="auto"/>
            <w:vAlign w:val="bottom"/>
          </w:tcPr>
          <w:p w14:paraId="74DD6D68" w14:textId="77777777" w:rsidR="00584EC1" w:rsidRDefault="00584EC1">
            <w:pPr>
              <w:rPr>
                <w:rFonts w:ascii="宋体"/>
                <w:vanish/>
              </w:rPr>
            </w:pPr>
          </w:p>
        </w:tc>
        <w:tc>
          <w:tcPr>
            <w:tcW w:w="0" w:type="auto"/>
            <w:shd w:val="clear" w:color="auto" w:fill="auto"/>
            <w:vAlign w:val="bottom"/>
          </w:tcPr>
          <w:p w14:paraId="74DD6D69" w14:textId="77777777" w:rsidR="00584EC1" w:rsidRDefault="00584EC1">
            <w:pPr>
              <w:rPr>
                <w:rFonts w:ascii="宋体"/>
                <w:vanish/>
              </w:rPr>
            </w:pPr>
          </w:p>
        </w:tc>
        <w:tc>
          <w:tcPr>
            <w:tcW w:w="0" w:type="auto"/>
            <w:gridSpan w:val="3"/>
            <w:shd w:val="clear" w:color="auto" w:fill="auto"/>
            <w:vAlign w:val="bottom"/>
          </w:tcPr>
          <w:p w14:paraId="74DD6D6A" w14:textId="77777777" w:rsidR="00584EC1" w:rsidRDefault="00584EC1">
            <w:pPr>
              <w:rPr>
                <w:rFonts w:ascii="宋体"/>
                <w:vanish/>
              </w:rPr>
            </w:pPr>
          </w:p>
        </w:tc>
        <w:tc>
          <w:tcPr>
            <w:tcW w:w="0" w:type="auto"/>
            <w:gridSpan w:val="3"/>
            <w:shd w:val="clear" w:color="auto" w:fill="auto"/>
            <w:vAlign w:val="bottom"/>
          </w:tcPr>
          <w:p w14:paraId="74DD6D6B" w14:textId="77777777" w:rsidR="00584EC1" w:rsidRDefault="00584EC1">
            <w:pPr>
              <w:rPr>
                <w:rFonts w:ascii="宋体"/>
                <w:vanish/>
              </w:rPr>
            </w:pPr>
          </w:p>
        </w:tc>
        <w:tc>
          <w:tcPr>
            <w:tcW w:w="0" w:type="auto"/>
            <w:gridSpan w:val="3"/>
            <w:shd w:val="clear" w:color="auto" w:fill="auto"/>
            <w:vAlign w:val="bottom"/>
          </w:tcPr>
          <w:p w14:paraId="74DD6D6C" w14:textId="77777777" w:rsidR="00584EC1" w:rsidRDefault="00584EC1">
            <w:pPr>
              <w:rPr>
                <w:rFonts w:ascii="宋体"/>
                <w:vanish/>
              </w:rPr>
            </w:pPr>
          </w:p>
        </w:tc>
        <w:tc>
          <w:tcPr>
            <w:tcW w:w="0" w:type="auto"/>
            <w:gridSpan w:val="3"/>
            <w:shd w:val="clear" w:color="auto" w:fill="auto"/>
            <w:vAlign w:val="bottom"/>
          </w:tcPr>
          <w:p w14:paraId="74DD6D6D" w14:textId="77777777" w:rsidR="00584EC1" w:rsidRDefault="00584EC1">
            <w:pPr>
              <w:rPr>
                <w:rFonts w:ascii="宋体"/>
                <w:vanish/>
              </w:rPr>
            </w:pPr>
          </w:p>
        </w:tc>
        <w:tc>
          <w:tcPr>
            <w:tcW w:w="0" w:type="auto"/>
            <w:gridSpan w:val="2"/>
            <w:shd w:val="clear" w:color="auto" w:fill="auto"/>
            <w:vAlign w:val="bottom"/>
          </w:tcPr>
          <w:p w14:paraId="74DD6D6E" w14:textId="77777777" w:rsidR="00584EC1" w:rsidRDefault="00584EC1">
            <w:pPr>
              <w:rPr>
                <w:rFonts w:ascii="宋体"/>
                <w:vanish/>
              </w:rPr>
            </w:pPr>
          </w:p>
        </w:tc>
        <w:tc>
          <w:tcPr>
            <w:tcW w:w="0" w:type="auto"/>
            <w:shd w:val="clear" w:color="auto" w:fill="auto"/>
            <w:vAlign w:val="bottom"/>
          </w:tcPr>
          <w:p w14:paraId="74DD6D6F" w14:textId="77777777" w:rsidR="00584EC1" w:rsidRDefault="00584EC1">
            <w:pPr>
              <w:rPr>
                <w:rFonts w:ascii="宋体"/>
                <w:vanish/>
              </w:rPr>
            </w:pPr>
          </w:p>
        </w:tc>
      </w:tr>
      <w:tr w:rsidR="00584EC1" w14:paraId="74DD6D8D" w14:textId="77777777">
        <w:tc>
          <w:tcPr>
            <w:tcW w:w="0" w:type="auto"/>
            <w:gridSpan w:val="3"/>
            <w:shd w:val="clear" w:color="auto" w:fill="CCEEFF"/>
            <w:tcMar>
              <w:top w:w="40" w:type="dxa"/>
              <w:left w:w="20" w:type="dxa"/>
              <w:bottom w:w="40" w:type="dxa"/>
              <w:right w:w="20" w:type="dxa"/>
            </w:tcMar>
            <w:vAlign w:val="bottom"/>
          </w:tcPr>
          <w:p w14:paraId="74DD6D71" w14:textId="77777777" w:rsidR="00584EC1" w:rsidRDefault="00871F8D">
            <w:pPr>
              <w:textAlignment w:val="bottom"/>
            </w:pPr>
            <w:r>
              <w:rPr>
                <w:rFonts w:ascii="Arial" w:eastAsia="宋体" w:hAnsi="Arial" w:cs="Arial"/>
                <w:color w:val="000000"/>
                <w:sz w:val="12"/>
                <w:szCs w:val="12"/>
              </w:rPr>
              <w:t>Long-term debt</w:t>
            </w:r>
          </w:p>
        </w:tc>
        <w:tc>
          <w:tcPr>
            <w:tcW w:w="0" w:type="auto"/>
            <w:gridSpan w:val="2"/>
            <w:shd w:val="clear" w:color="auto" w:fill="CCEEFF"/>
            <w:tcMar>
              <w:top w:w="40" w:type="dxa"/>
              <w:left w:w="20" w:type="dxa"/>
              <w:bottom w:w="40" w:type="dxa"/>
              <w:right w:w="0" w:type="dxa"/>
            </w:tcMar>
            <w:vAlign w:val="bottom"/>
          </w:tcPr>
          <w:p w14:paraId="74DD6D72" w14:textId="77777777" w:rsidR="00584EC1" w:rsidRDefault="00871F8D">
            <w:pPr>
              <w:jc w:val="right"/>
              <w:textAlignment w:val="bottom"/>
            </w:pPr>
            <w:r>
              <w:rPr>
                <w:rFonts w:ascii="Arial" w:eastAsia="宋体" w:hAnsi="Arial" w:cs="Arial"/>
                <w:b/>
                <w:bCs/>
                <w:color w:val="000000"/>
                <w:sz w:val="12"/>
                <w:szCs w:val="12"/>
              </w:rPr>
              <w:t>13,021</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6D7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D74"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D75" w14:textId="77777777" w:rsidR="00584EC1" w:rsidRDefault="00871F8D">
            <w:pPr>
              <w:jc w:val="right"/>
              <w:textAlignment w:val="bottom"/>
            </w:pPr>
            <w:r>
              <w:rPr>
                <w:rFonts w:ascii="Arial" w:eastAsia="宋体" w:hAnsi="Arial" w:cs="Arial"/>
                <w:b/>
                <w:bCs/>
                <w:color w:val="000000"/>
                <w:sz w:val="12"/>
                <w:szCs w:val="12"/>
              </w:rPr>
              <w:t>51</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6D7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D7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D78" w14:textId="77777777" w:rsidR="00584EC1" w:rsidRDefault="00871F8D">
            <w:pPr>
              <w:jc w:val="right"/>
              <w:textAlignment w:val="bottom"/>
            </w:pPr>
            <w:r>
              <w:rPr>
                <w:rFonts w:ascii="Arial" w:eastAsia="宋体" w:hAnsi="Arial" w:cs="Arial"/>
                <w:b/>
                <w:bCs/>
                <w:color w:val="000000"/>
                <w:sz w:val="12"/>
                <w:szCs w:val="12"/>
              </w:rPr>
              <w:t>1.59</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6D7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D7A"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D7B" w14:textId="77777777" w:rsidR="00584EC1" w:rsidRDefault="00871F8D">
            <w:pPr>
              <w:jc w:val="right"/>
              <w:textAlignment w:val="bottom"/>
            </w:pPr>
            <w:r>
              <w:rPr>
                <w:rFonts w:ascii="Arial" w:eastAsia="宋体" w:hAnsi="Arial" w:cs="Arial"/>
                <w:color w:val="000000"/>
                <w:sz w:val="12"/>
                <w:szCs w:val="12"/>
              </w:rPr>
              <w:t>14,794 </w:t>
            </w:r>
          </w:p>
        </w:tc>
        <w:tc>
          <w:tcPr>
            <w:tcW w:w="0" w:type="auto"/>
            <w:shd w:val="clear" w:color="auto" w:fill="CCEEFF"/>
            <w:tcMar>
              <w:top w:w="40" w:type="dxa"/>
              <w:left w:w="0" w:type="dxa"/>
              <w:bottom w:w="40" w:type="dxa"/>
              <w:right w:w="20" w:type="dxa"/>
            </w:tcMar>
            <w:vAlign w:val="bottom"/>
          </w:tcPr>
          <w:p w14:paraId="74DD6D7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D7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D7E" w14:textId="77777777" w:rsidR="00584EC1" w:rsidRDefault="00871F8D">
            <w:pPr>
              <w:jc w:val="right"/>
              <w:textAlignment w:val="bottom"/>
            </w:pPr>
            <w:r>
              <w:rPr>
                <w:rFonts w:ascii="Arial" w:eastAsia="宋体" w:hAnsi="Arial" w:cs="Arial"/>
                <w:color w:val="000000"/>
                <w:sz w:val="12"/>
                <w:szCs w:val="12"/>
              </w:rPr>
              <w:t>69 </w:t>
            </w:r>
          </w:p>
        </w:tc>
        <w:tc>
          <w:tcPr>
            <w:tcW w:w="0" w:type="auto"/>
            <w:shd w:val="clear" w:color="auto" w:fill="CCEEFF"/>
            <w:tcMar>
              <w:top w:w="40" w:type="dxa"/>
              <w:left w:w="0" w:type="dxa"/>
              <w:bottom w:w="40" w:type="dxa"/>
              <w:right w:w="20" w:type="dxa"/>
            </w:tcMar>
            <w:vAlign w:val="bottom"/>
          </w:tcPr>
          <w:p w14:paraId="74DD6D7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D8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D81" w14:textId="77777777" w:rsidR="00584EC1" w:rsidRDefault="00871F8D">
            <w:pPr>
              <w:jc w:val="right"/>
              <w:textAlignment w:val="bottom"/>
            </w:pPr>
            <w:r>
              <w:rPr>
                <w:rFonts w:ascii="Arial" w:eastAsia="宋体" w:hAnsi="Arial" w:cs="Arial"/>
                <w:color w:val="000000"/>
                <w:sz w:val="12"/>
                <w:szCs w:val="12"/>
              </w:rPr>
              <w:t>1.86 </w:t>
            </w:r>
          </w:p>
        </w:tc>
        <w:tc>
          <w:tcPr>
            <w:tcW w:w="0" w:type="auto"/>
            <w:shd w:val="clear" w:color="auto" w:fill="CCEEFF"/>
            <w:tcMar>
              <w:top w:w="40" w:type="dxa"/>
              <w:left w:w="0" w:type="dxa"/>
              <w:bottom w:w="40" w:type="dxa"/>
              <w:right w:w="20" w:type="dxa"/>
            </w:tcMar>
            <w:vAlign w:val="bottom"/>
          </w:tcPr>
          <w:p w14:paraId="74DD6D82" w14:textId="77777777" w:rsidR="00584EC1" w:rsidRDefault="00584EC1">
            <w:pPr>
              <w:jc w:val="right"/>
              <w:rPr>
                <w:rFonts w:ascii="宋体"/>
              </w:rPr>
            </w:pPr>
          </w:p>
        </w:tc>
        <w:tc>
          <w:tcPr>
            <w:tcW w:w="0" w:type="auto"/>
            <w:shd w:val="clear" w:color="auto" w:fill="auto"/>
            <w:vAlign w:val="bottom"/>
          </w:tcPr>
          <w:p w14:paraId="74DD6D83" w14:textId="77777777" w:rsidR="00584EC1" w:rsidRDefault="00584EC1">
            <w:pPr>
              <w:rPr>
                <w:rFonts w:ascii="宋体"/>
                <w:vanish/>
              </w:rPr>
            </w:pPr>
          </w:p>
        </w:tc>
        <w:tc>
          <w:tcPr>
            <w:tcW w:w="0" w:type="auto"/>
            <w:shd w:val="clear" w:color="auto" w:fill="auto"/>
            <w:vAlign w:val="bottom"/>
          </w:tcPr>
          <w:p w14:paraId="74DD6D84" w14:textId="77777777" w:rsidR="00584EC1" w:rsidRDefault="00584EC1">
            <w:pPr>
              <w:rPr>
                <w:rFonts w:ascii="宋体"/>
                <w:vanish/>
              </w:rPr>
            </w:pPr>
          </w:p>
        </w:tc>
        <w:tc>
          <w:tcPr>
            <w:tcW w:w="0" w:type="auto"/>
            <w:shd w:val="clear" w:color="auto" w:fill="auto"/>
            <w:vAlign w:val="bottom"/>
          </w:tcPr>
          <w:p w14:paraId="74DD6D85" w14:textId="77777777" w:rsidR="00584EC1" w:rsidRDefault="00584EC1">
            <w:pPr>
              <w:rPr>
                <w:rFonts w:ascii="宋体"/>
                <w:vanish/>
              </w:rPr>
            </w:pPr>
          </w:p>
        </w:tc>
        <w:tc>
          <w:tcPr>
            <w:tcW w:w="0" w:type="auto"/>
            <w:shd w:val="clear" w:color="auto" w:fill="auto"/>
            <w:vAlign w:val="bottom"/>
          </w:tcPr>
          <w:p w14:paraId="74DD6D86" w14:textId="77777777" w:rsidR="00584EC1" w:rsidRDefault="00584EC1">
            <w:pPr>
              <w:rPr>
                <w:rFonts w:ascii="宋体"/>
                <w:vanish/>
              </w:rPr>
            </w:pPr>
          </w:p>
        </w:tc>
        <w:tc>
          <w:tcPr>
            <w:tcW w:w="0" w:type="auto"/>
            <w:gridSpan w:val="3"/>
            <w:shd w:val="clear" w:color="auto" w:fill="auto"/>
            <w:vAlign w:val="bottom"/>
          </w:tcPr>
          <w:p w14:paraId="74DD6D87" w14:textId="77777777" w:rsidR="00584EC1" w:rsidRDefault="00584EC1">
            <w:pPr>
              <w:rPr>
                <w:rFonts w:ascii="宋体"/>
                <w:vanish/>
              </w:rPr>
            </w:pPr>
          </w:p>
        </w:tc>
        <w:tc>
          <w:tcPr>
            <w:tcW w:w="0" w:type="auto"/>
            <w:gridSpan w:val="3"/>
            <w:shd w:val="clear" w:color="auto" w:fill="auto"/>
            <w:vAlign w:val="bottom"/>
          </w:tcPr>
          <w:p w14:paraId="74DD6D88" w14:textId="77777777" w:rsidR="00584EC1" w:rsidRDefault="00584EC1">
            <w:pPr>
              <w:rPr>
                <w:rFonts w:ascii="宋体"/>
                <w:vanish/>
              </w:rPr>
            </w:pPr>
          </w:p>
        </w:tc>
        <w:tc>
          <w:tcPr>
            <w:tcW w:w="0" w:type="auto"/>
            <w:gridSpan w:val="3"/>
            <w:shd w:val="clear" w:color="auto" w:fill="auto"/>
            <w:vAlign w:val="bottom"/>
          </w:tcPr>
          <w:p w14:paraId="74DD6D89" w14:textId="77777777" w:rsidR="00584EC1" w:rsidRDefault="00584EC1">
            <w:pPr>
              <w:rPr>
                <w:rFonts w:ascii="宋体"/>
                <w:vanish/>
              </w:rPr>
            </w:pPr>
          </w:p>
        </w:tc>
        <w:tc>
          <w:tcPr>
            <w:tcW w:w="0" w:type="auto"/>
            <w:gridSpan w:val="3"/>
            <w:shd w:val="clear" w:color="auto" w:fill="auto"/>
            <w:vAlign w:val="bottom"/>
          </w:tcPr>
          <w:p w14:paraId="74DD6D8A" w14:textId="77777777" w:rsidR="00584EC1" w:rsidRDefault="00584EC1">
            <w:pPr>
              <w:rPr>
                <w:rFonts w:ascii="宋体"/>
                <w:vanish/>
              </w:rPr>
            </w:pPr>
          </w:p>
        </w:tc>
        <w:tc>
          <w:tcPr>
            <w:tcW w:w="0" w:type="auto"/>
            <w:gridSpan w:val="2"/>
            <w:shd w:val="clear" w:color="auto" w:fill="auto"/>
            <w:vAlign w:val="bottom"/>
          </w:tcPr>
          <w:p w14:paraId="74DD6D8B" w14:textId="77777777" w:rsidR="00584EC1" w:rsidRDefault="00584EC1">
            <w:pPr>
              <w:rPr>
                <w:rFonts w:ascii="宋体"/>
                <w:vanish/>
              </w:rPr>
            </w:pPr>
          </w:p>
        </w:tc>
        <w:tc>
          <w:tcPr>
            <w:tcW w:w="0" w:type="auto"/>
            <w:shd w:val="clear" w:color="auto" w:fill="auto"/>
            <w:vAlign w:val="bottom"/>
          </w:tcPr>
          <w:p w14:paraId="74DD6D8C" w14:textId="77777777" w:rsidR="00584EC1" w:rsidRDefault="00584EC1">
            <w:pPr>
              <w:rPr>
                <w:rFonts w:ascii="宋体"/>
                <w:vanish/>
              </w:rPr>
            </w:pPr>
          </w:p>
        </w:tc>
      </w:tr>
      <w:tr w:rsidR="00584EC1" w14:paraId="74DD6DAA" w14:textId="77777777">
        <w:tc>
          <w:tcPr>
            <w:tcW w:w="0" w:type="auto"/>
            <w:gridSpan w:val="3"/>
            <w:shd w:val="clear" w:color="auto" w:fill="FFFFFF"/>
            <w:tcMar>
              <w:top w:w="40" w:type="dxa"/>
              <w:left w:w="20" w:type="dxa"/>
              <w:bottom w:w="40" w:type="dxa"/>
              <w:right w:w="20" w:type="dxa"/>
            </w:tcMar>
            <w:vAlign w:val="bottom"/>
          </w:tcPr>
          <w:p w14:paraId="74DD6D8E" w14:textId="77777777" w:rsidR="00584EC1" w:rsidRDefault="00871F8D">
            <w:pPr>
              <w:textAlignment w:val="bottom"/>
            </w:pPr>
            <w:r>
              <w:rPr>
                <w:rFonts w:ascii="Arial" w:eastAsia="宋体" w:hAnsi="Arial" w:cs="Arial"/>
                <w:color w:val="000000"/>
                <w:sz w:val="12"/>
                <w:szCs w:val="12"/>
              </w:rPr>
              <w:t>Other interest-bearing liabilities</w:t>
            </w:r>
          </w:p>
        </w:tc>
        <w:tc>
          <w:tcPr>
            <w:tcW w:w="0" w:type="auto"/>
            <w:gridSpan w:val="2"/>
            <w:shd w:val="clear" w:color="auto" w:fill="FFFFFF"/>
            <w:tcMar>
              <w:top w:w="40" w:type="dxa"/>
              <w:left w:w="20" w:type="dxa"/>
              <w:bottom w:w="40" w:type="dxa"/>
              <w:right w:w="0" w:type="dxa"/>
            </w:tcMar>
            <w:vAlign w:val="bottom"/>
          </w:tcPr>
          <w:p w14:paraId="74DD6D8F" w14:textId="77777777" w:rsidR="00584EC1" w:rsidRDefault="00871F8D">
            <w:pPr>
              <w:jc w:val="right"/>
              <w:textAlignment w:val="bottom"/>
            </w:pPr>
            <w:r>
              <w:rPr>
                <w:rFonts w:ascii="Arial" w:eastAsia="宋体" w:hAnsi="Arial" w:cs="Arial"/>
                <w:b/>
                <w:bCs/>
                <w:color w:val="000000"/>
                <w:sz w:val="12"/>
                <w:szCs w:val="12"/>
              </w:rPr>
              <w:t>5,461</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6D9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D9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D92" w14:textId="77777777" w:rsidR="00584EC1" w:rsidRDefault="00871F8D">
            <w:pPr>
              <w:jc w:val="right"/>
              <w:textAlignment w:val="bottom"/>
            </w:pPr>
            <w:r>
              <w:rPr>
                <w:rFonts w:ascii="Arial" w:eastAsia="宋体" w:hAnsi="Arial" w:cs="Arial"/>
                <w:b/>
                <w:bCs/>
                <w:color w:val="000000"/>
                <w:sz w:val="12"/>
                <w:szCs w:val="12"/>
              </w:rPr>
              <w:t>11</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6D9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D9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D95" w14:textId="77777777" w:rsidR="00584EC1" w:rsidRDefault="00871F8D">
            <w:pPr>
              <w:jc w:val="right"/>
              <w:textAlignment w:val="bottom"/>
            </w:pPr>
            <w:r>
              <w:rPr>
                <w:rFonts w:ascii="Arial" w:eastAsia="宋体" w:hAnsi="Arial" w:cs="Arial"/>
                <w:b/>
                <w:bCs/>
                <w:color w:val="000000"/>
                <w:sz w:val="12"/>
                <w:szCs w:val="12"/>
              </w:rPr>
              <w:t>.78</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6D9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D9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D98" w14:textId="77777777" w:rsidR="00584EC1" w:rsidRDefault="00871F8D">
            <w:pPr>
              <w:jc w:val="right"/>
              <w:textAlignment w:val="bottom"/>
            </w:pPr>
            <w:r>
              <w:rPr>
                <w:rFonts w:ascii="Arial" w:eastAsia="宋体" w:hAnsi="Arial" w:cs="Arial"/>
                <w:color w:val="000000"/>
                <w:sz w:val="12"/>
                <w:szCs w:val="12"/>
              </w:rPr>
              <w:t>2,764 </w:t>
            </w:r>
          </w:p>
        </w:tc>
        <w:tc>
          <w:tcPr>
            <w:tcW w:w="0" w:type="auto"/>
            <w:shd w:val="clear" w:color="auto" w:fill="FFFFFF"/>
            <w:tcMar>
              <w:top w:w="40" w:type="dxa"/>
              <w:left w:w="0" w:type="dxa"/>
              <w:bottom w:w="40" w:type="dxa"/>
              <w:right w:w="20" w:type="dxa"/>
            </w:tcMar>
            <w:vAlign w:val="bottom"/>
          </w:tcPr>
          <w:p w14:paraId="74DD6D9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D9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D9B" w14:textId="77777777" w:rsidR="00584EC1" w:rsidRDefault="00871F8D">
            <w:pPr>
              <w:jc w:val="right"/>
              <w:textAlignment w:val="bottom"/>
            </w:pPr>
            <w:r>
              <w:rPr>
                <w:rFonts w:ascii="Arial" w:eastAsia="宋体" w:hAnsi="Arial" w:cs="Arial"/>
                <w:color w:val="000000"/>
                <w:sz w:val="12"/>
                <w:szCs w:val="12"/>
              </w:rPr>
              <w:t>9 </w:t>
            </w:r>
          </w:p>
        </w:tc>
        <w:tc>
          <w:tcPr>
            <w:tcW w:w="0" w:type="auto"/>
            <w:shd w:val="clear" w:color="auto" w:fill="FFFFFF"/>
            <w:tcMar>
              <w:top w:w="40" w:type="dxa"/>
              <w:left w:w="0" w:type="dxa"/>
              <w:bottom w:w="40" w:type="dxa"/>
              <w:right w:w="20" w:type="dxa"/>
            </w:tcMar>
            <w:vAlign w:val="bottom"/>
          </w:tcPr>
          <w:p w14:paraId="74DD6D9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D9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D9E" w14:textId="77777777" w:rsidR="00584EC1" w:rsidRDefault="00871F8D">
            <w:pPr>
              <w:jc w:val="right"/>
              <w:textAlignment w:val="bottom"/>
            </w:pPr>
            <w:r>
              <w:rPr>
                <w:rFonts w:ascii="Arial" w:eastAsia="宋体" w:hAnsi="Arial" w:cs="Arial"/>
                <w:color w:val="000000"/>
                <w:sz w:val="12"/>
                <w:szCs w:val="12"/>
              </w:rPr>
              <w:t>1.28 </w:t>
            </w:r>
          </w:p>
        </w:tc>
        <w:tc>
          <w:tcPr>
            <w:tcW w:w="0" w:type="auto"/>
            <w:shd w:val="clear" w:color="auto" w:fill="FFFFFF"/>
            <w:tcMar>
              <w:top w:w="40" w:type="dxa"/>
              <w:left w:w="0" w:type="dxa"/>
              <w:bottom w:w="40" w:type="dxa"/>
              <w:right w:w="20" w:type="dxa"/>
            </w:tcMar>
            <w:vAlign w:val="bottom"/>
          </w:tcPr>
          <w:p w14:paraId="74DD6D9F" w14:textId="77777777" w:rsidR="00584EC1" w:rsidRDefault="00584EC1">
            <w:pPr>
              <w:jc w:val="right"/>
              <w:rPr>
                <w:rFonts w:ascii="宋体"/>
              </w:rPr>
            </w:pPr>
          </w:p>
        </w:tc>
        <w:tc>
          <w:tcPr>
            <w:tcW w:w="0" w:type="auto"/>
            <w:shd w:val="clear" w:color="auto" w:fill="auto"/>
            <w:vAlign w:val="bottom"/>
          </w:tcPr>
          <w:p w14:paraId="74DD6DA0" w14:textId="77777777" w:rsidR="00584EC1" w:rsidRDefault="00584EC1">
            <w:pPr>
              <w:rPr>
                <w:rFonts w:ascii="宋体"/>
                <w:vanish/>
              </w:rPr>
            </w:pPr>
          </w:p>
        </w:tc>
        <w:tc>
          <w:tcPr>
            <w:tcW w:w="0" w:type="auto"/>
            <w:shd w:val="clear" w:color="auto" w:fill="auto"/>
            <w:vAlign w:val="bottom"/>
          </w:tcPr>
          <w:p w14:paraId="74DD6DA1" w14:textId="77777777" w:rsidR="00584EC1" w:rsidRDefault="00584EC1">
            <w:pPr>
              <w:rPr>
                <w:rFonts w:ascii="宋体"/>
                <w:vanish/>
              </w:rPr>
            </w:pPr>
          </w:p>
        </w:tc>
        <w:tc>
          <w:tcPr>
            <w:tcW w:w="0" w:type="auto"/>
            <w:shd w:val="clear" w:color="auto" w:fill="auto"/>
            <w:vAlign w:val="bottom"/>
          </w:tcPr>
          <w:p w14:paraId="74DD6DA2" w14:textId="77777777" w:rsidR="00584EC1" w:rsidRDefault="00584EC1">
            <w:pPr>
              <w:rPr>
                <w:rFonts w:ascii="宋体"/>
                <w:vanish/>
              </w:rPr>
            </w:pPr>
          </w:p>
        </w:tc>
        <w:tc>
          <w:tcPr>
            <w:tcW w:w="0" w:type="auto"/>
            <w:shd w:val="clear" w:color="auto" w:fill="auto"/>
            <w:vAlign w:val="bottom"/>
          </w:tcPr>
          <w:p w14:paraId="74DD6DA3" w14:textId="77777777" w:rsidR="00584EC1" w:rsidRDefault="00584EC1">
            <w:pPr>
              <w:rPr>
                <w:rFonts w:ascii="宋体"/>
                <w:vanish/>
              </w:rPr>
            </w:pPr>
          </w:p>
        </w:tc>
        <w:tc>
          <w:tcPr>
            <w:tcW w:w="0" w:type="auto"/>
            <w:gridSpan w:val="3"/>
            <w:shd w:val="clear" w:color="auto" w:fill="auto"/>
            <w:vAlign w:val="bottom"/>
          </w:tcPr>
          <w:p w14:paraId="74DD6DA4" w14:textId="77777777" w:rsidR="00584EC1" w:rsidRDefault="00584EC1">
            <w:pPr>
              <w:rPr>
                <w:rFonts w:ascii="宋体"/>
                <w:vanish/>
              </w:rPr>
            </w:pPr>
          </w:p>
        </w:tc>
        <w:tc>
          <w:tcPr>
            <w:tcW w:w="0" w:type="auto"/>
            <w:gridSpan w:val="3"/>
            <w:shd w:val="clear" w:color="auto" w:fill="auto"/>
            <w:vAlign w:val="bottom"/>
          </w:tcPr>
          <w:p w14:paraId="74DD6DA5" w14:textId="77777777" w:rsidR="00584EC1" w:rsidRDefault="00584EC1">
            <w:pPr>
              <w:rPr>
                <w:rFonts w:ascii="宋体"/>
                <w:vanish/>
              </w:rPr>
            </w:pPr>
          </w:p>
        </w:tc>
        <w:tc>
          <w:tcPr>
            <w:tcW w:w="0" w:type="auto"/>
            <w:gridSpan w:val="3"/>
            <w:shd w:val="clear" w:color="auto" w:fill="auto"/>
            <w:vAlign w:val="bottom"/>
          </w:tcPr>
          <w:p w14:paraId="74DD6DA6" w14:textId="77777777" w:rsidR="00584EC1" w:rsidRDefault="00584EC1">
            <w:pPr>
              <w:rPr>
                <w:rFonts w:ascii="宋体"/>
                <w:vanish/>
              </w:rPr>
            </w:pPr>
          </w:p>
        </w:tc>
        <w:tc>
          <w:tcPr>
            <w:tcW w:w="0" w:type="auto"/>
            <w:gridSpan w:val="3"/>
            <w:shd w:val="clear" w:color="auto" w:fill="auto"/>
            <w:vAlign w:val="bottom"/>
          </w:tcPr>
          <w:p w14:paraId="74DD6DA7" w14:textId="77777777" w:rsidR="00584EC1" w:rsidRDefault="00584EC1">
            <w:pPr>
              <w:rPr>
                <w:rFonts w:ascii="宋体"/>
                <w:vanish/>
              </w:rPr>
            </w:pPr>
          </w:p>
        </w:tc>
        <w:tc>
          <w:tcPr>
            <w:tcW w:w="0" w:type="auto"/>
            <w:gridSpan w:val="2"/>
            <w:shd w:val="clear" w:color="auto" w:fill="auto"/>
            <w:vAlign w:val="bottom"/>
          </w:tcPr>
          <w:p w14:paraId="74DD6DA8" w14:textId="77777777" w:rsidR="00584EC1" w:rsidRDefault="00584EC1">
            <w:pPr>
              <w:rPr>
                <w:rFonts w:ascii="宋体"/>
                <w:vanish/>
              </w:rPr>
            </w:pPr>
          </w:p>
        </w:tc>
        <w:tc>
          <w:tcPr>
            <w:tcW w:w="0" w:type="auto"/>
            <w:shd w:val="clear" w:color="auto" w:fill="auto"/>
            <w:vAlign w:val="bottom"/>
          </w:tcPr>
          <w:p w14:paraId="74DD6DA9" w14:textId="77777777" w:rsidR="00584EC1" w:rsidRDefault="00584EC1">
            <w:pPr>
              <w:rPr>
                <w:rFonts w:ascii="宋体"/>
                <w:vanish/>
              </w:rPr>
            </w:pPr>
          </w:p>
        </w:tc>
      </w:tr>
      <w:tr w:rsidR="00584EC1" w14:paraId="74DD6DCB" w14:textId="77777777">
        <w:tc>
          <w:tcPr>
            <w:tcW w:w="0" w:type="auto"/>
            <w:gridSpan w:val="3"/>
            <w:shd w:val="clear" w:color="auto" w:fill="CCEEFF"/>
            <w:tcMar>
              <w:top w:w="40" w:type="dxa"/>
              <w:left w:w="20" w:type="dxa"/>
              <w:bottom w:w="40" w:type="dxa"/>
              <w:right w:w="20" w:type="dxa"/>
            </w:tcMar>
            <w:vAlign w:val="bottom"/>
          </w:tcPr>
          <w:p w14:paraId="74DD6DAB" w14:textId="77777777" w:rsidR="00584EC1" w:rsidRDefault="00871F8D">
            <w:pPr>
              <w:textAlignment w:val="bottom"/>
            </w:pPr>
            <w:r>
              <w:rPr>
                <w:rFonts w:ascii="Arial" w:eastAsia="宋体" w:hAnsi="Arial" w:cs="Arial"/>
                <w:color w:val="000000"/>
                <w:sz w:val="12"/>
                <w:szCs w:val="12"/>
              </w:rPr>
              <w:t>Average total interest-bearing liabilities</w:t>
            </w:r>
          </w:p>
        </w:tc>
        <w:tc>
          <w:tcPr>
            <w:tcW w:w="0" w:type="auto"/>
            <w:tcBorders>
              <w:top w:val="single" w:sz="8" w:space="0" w:color="000000"/>
            </w:tcBorders>
            <w:shd w:val="clear" w:color="auto" w:fill="CCEEFF"/>
            <w:tcMar>
              <w:top w:w="40" w:type="dxa"/>
              <w:left w:w="20" w:type="dxa"/>
              <w:bottom w:w="40" w:type="dxa"/>
              <w:right w:w="0" w:type="dxa"/>
            </w:tcMar>
            <w:vAlign w:val="bottom"/>
          </w:tcPr>
          <w:p w14:paraId="74DD6DAC"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6DAD" w14:textId="77777777" w:rsidR="00584EC1" w:rsidRDefault="00871F8D">
            <w:pPr>
              <w:jc w:val="right"/>
              <w:textAlignment w:val="bottom"/>
            </w:pPr>
            <w:r>
              <w:rPr>
                <w:rFonts w:ascii="Arial" w:eastAsia="宋体" w:hAnsi="Arial" w:cs="Arial"/>
                <w:b/>
                <w:bCs/>
                <w:color w:val="000000"/>
                <w:sz w:val="12"/>
                <w:szCs w:val="12"/>
              </w:rPr>
              <w:t>206,45</w:t>
            </w:r>
            <w:r>
              <w:rPr>
                <w:rFonts w:ascii="Arial" w:eastAsia="宋体" w:hAnsi="Arial" w:cs="Arial"/>
                <w:b/>
                <w:bCs/>
                <w:color w:val="000000"/>
                <w:sz w:val="12"/>
                <w:szCs w:val="12"/>
              </w:rPr>
              <w:t>6</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6DA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DAF"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6DB0"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6DB1"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6DB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DB3"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DB4"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6DB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DB6"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6DB7"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6DB8" w14:textId="77777777" w:rsidR="00584EC1" w:rsidRDefault="00871F8D">
            <w:pPr>
              <w:jc w:val="right"/>
              <w:textAlignment w:val="bottom"/>
            </w:pPr>
            <w:r>
              <w:rPr>
                <w:rFonts w:ascii="Arial" w:eastAsia="宋体" w:hAnsi="Arial" w:cs="Arial"/>
                <w:color w:val="000000"/>
                <w:sz w:val="12"/>
                <w:szCs w:val="12"/>
              </w:rPr>
              <w:t>184,568 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6DB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DBA"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6DBB"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6DBC" w14:textId="77777777" w:rsidR="00584EC1" w:rsidRDefault="00871F8D">
            <w:pPr>
              <w:jc w:val="right"/>
              <w:textAlignment w:val="bottom"/>
            </w:pPr>
            <w:r>
              <w:rPr>
                <w:rFonts w:ascii="Arial" w:eastAsia="宋体" w:hAnsi="Arial" w:cs="Arial"/>
                <w:color w:val="000000"/>
                <w:sz w:val="12"/>
                <w:szCs w:val="12"/>
              </w:rPr>
              <w:t>42 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6DB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DBE"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DBF" w14:textId="77777777" w:rsidR="00584EC1" w:rsidRDefault="00871F8D">
            <w:pPr>
              <w:jc w:val="right"/>
              <w:textAlignment w:val="bottom"/>
            </w:pPr>
            <w:r>
              <w:rPr>
                <w:rFonts w:ascii="Arial" w:eastAsia="宋体" w:hAnsi="Arial" w:cs="Arial"/>
                <w:color w:val="000000"/>
                <w:sz w:val="12"/>
                <w:szCs w:val="12"/>
              </w:rPr>
              <w:t>.09 </w:t>
            </w:r>
          </w:p>
        </w:tc>
        <w:tc>
          <w:tcPr>
            <w:tcW w:w="0" w:type="auto"/>
            <w:shd w:val="clear" w:color="auto" w:fill="CCEEFF"/>
            <w:tcMar>
              <w:top w:w="40" w:type="dxa"/>
              <w:left w:w="0" w:type="dxa"/>
              <w:bottom w:w="40" w:type="dxa"/>
              <w:right w:w="20" w:type="dxa"/>
            </w:tcMar>
            <w:vAlign w:val="bottom"/>
          </w:tcPr>
          <w:p w14:paraId="74DD6DC0" w14:textId="77777777" w:rsidR="00584EC1" w:rsidRDefault="00584EC1">
            <w:pPr>
              <w:jc w:val="right"/>
              <w:rPr>
                <w:rFonts w:ascii="宋体"/>
              </w:rPr>
            </w:pPr>
          </w:p>
        </w:tc>
        <w:tc>
          <w:tcPr>
            <w:tcW w:w="0" w:type="auto"/>
            <w:shd w:val="clear" w:color="auto" w:fill="auto"/>
            <w:vAlign w:val="bottom"/>
          </w:tcPr>
          <w:p w14:paraId="74DD6DC1" w14:textId="77777777" w:rsidR="00584EC1" w:rsidRDefault="00584EC1">
            <w:pPr>
              <w:rPr>
                <w:rFonts w:ascii="宋体"/>
                <w:vanish/>
              </w:rPr>
            </w:pPr>
          </w:p>
        </w:tc>
        <w:tc>
          <w:tcPr>
            <w:tcW w:w="0" w:type="auto"/>
            <w:shd w:val="clear" w:color="auto" w:fill="auto"/>
            <w:vAlign w:val="bottom"/>
          </w:tcPr>
          <w:p w14:paraId="74DD6DC2" w14:textId="77777777" w:rsidR="00584EC1" w:rsidRDefault="00584EC1">
            <w:pPr>
              <w:rPr>
                <w:rFonts w:ascii="宋体"/>
                <w:vanish/>
              </w:rPr>
            </w:pPr>
          </w:p>
        </w:tc>
        <w:tc>
          <w:tcPr>
            <w:tcW w:w="0" w:type="auto"/>
            <w:shd w:val="clear" w:color="auto" w:fill="auto"/>
            <w:vAlign w:val="bottom"/>
          </w:tcPr>
          <w:p w14:paraId="74DD6DC3" w14:textId="77777777" w:rsidR="00584EC1" w:rsidRDefault="00584EC1">
            <w:pPr>
              <w:rPr>
                <w:rFonts w:ascii="宋体"/>
                <w:vanish/>
              </w:rPr>
            </w:pPr>
          </w:p>
        </w:tc>
        <w:tc>
          <w:tcPr>
            <w:tcW w:w="0" w:type="auto"/>
            <w:shd w:val="clear" w:color="auto" w:fill="auto"/>
            <w:vAlign w:val="bottom"/>
          </w:tcPr>
          <w:p w14:paraId="74DD6DC4" w14:textId="77777777" w:rsidR="00584EC1" w:rsidRDefault="00584EC1">
            <w:pPr>
              <w:rPr>
                <w:rFonts w:ascii="宋体"/>
                <w:vanish/>
              </w:rPr>
            </w:pPr>
          </w:p>
        </w:tc>
        <w:tc>
          <w:tcPr>
            <w:tcW w:w="0" w:type="auto"/>
            <w:gridSpan w:val="3"/>
            <w:shd w:val="clear" w:color="auto" w:fill="auto"/>
            <w:vAlign w:val="bottom"/>
          </w:tcPr>
          <w:p w14:paraId="74DD6DC5" w14:textId="77777777" w:rsidR="00584EC1" w:rsidRDefault="00584EC1">
            <w:pPr>
              <w:rPr>
                <w:rFonts w:ascii="宋体"/>
                <w:vanish/>
              </w:rPr>
            </w:pPr>
          </w:p>
        </w:tc>
        <w:tc>
          <w:tcPr>
            <w:tcW w:w="0" w:type="auto"/>
            <w:gridSpan w:val="3"/>
            <w:shd w:val="clear" w:color="auto" w:fill="auto"/>
            <w:vAlign w:val="bottom"/>
          </w:tcPr>
          <w:p w14:paraId="74DD6DC6" w14:textId="77777777" w:rsidR="00584EC1" w:rsidRDefault="00584EC1">
            <w:pPr>
              <w:rPr>
                <w:rFonts w:ascii="宋体"/>
                <w:vanish/>
              </w:rPr>
            </w:pPr>
          </w:p>
        </w:tc>
        <w:tc>
          <w:tcPr>
            <w:tcW w:w="0" w:type="auto"/>
            <w:gridSpan w:val="3"/>
            <w:shd w:val="clear" w:color="auto" w:fill="auto"/>
            <w:vAlign w:val="bottom"/>
          </w:tcPr>
          <w:p w14:paraId="74DD6DC7" w14:textId="77777777" w:rsidR="00584EC1" w:rsidRDefault="00584EC1">
            <w:pPr>
              <w:rPr>
                <w:rFonts w:ascii="宋体"/>
                <w:vanish/>
              </w:rPr>
            </w:pPr>
          </w:p>
        </w:tc>
        <w:tc>
          <w:tcPr>
            <w:tcW w:w="0" w:type="auto"/>
            <w:gridSpan w:val="3"/>
            <w:shd w:val="clear" w:color="auto" w:fill="auto"/>
            <w:vAlign w:val="bottom"/>
          </w:tcPr>
          <w:p w14:paraId="74DD6DC8" w14:textId="77777777" w:rsidR="00584EC1" w:rsidRDefault="00584EC1">
            <w:pPr>
              <w:rPr>
                <w:rFonts w:ascii="宋体"/>
                <w:vanish/>
              </w:rPr>
            </w:pPr>
          </w:p>
        </w:tc>
        <w:tc>
          <w:tcPr>
            <w:tcW w:w="0" w:type="auto"/>
            <w:gridSpan w:val="2"/>
            <w:shd w:val="clear" w:color="auto" w:fill="auto"/>
            <w:vAlign w:val="bottom"/>
          </w:tcPr>
          <w:p w14:paraId="74DD6DC9" w14:textId="77777777" w:rsidR="00584EC1" w:rsidRDefault="00584EC1">
            <w:pPr>
              <w:rPr>
                <w:rFonts w:ascii="宋体"/>
                <w:vanish/>
              </w:rPr>
            </w:pPr>
          </w:p>
        </w:tc>
        <w:tc>
          <w:tcPr>
            <w:tcW w:w="0" w:type="auto"/>
            <w:shd w:val="clear" w:color="auto" w:fill="auto"/>
            <w:vAlign w:val="bottom"/>
          </w:tcPr>
          <w:p w14:paraId="74DD6DCA" w14:textId="77777777" w:rsidR="00584EC1" w:rsidRDefault="00584EC1">
            <w:pPr>
              <w:rPr>
                <w:rFonts w:ascii="宋体"/>
                <w:vanish/>
              </w:rPr>
            </w:pPr>
          </w:p>
        </w:tc>
      </w:tr>
      <w:tr w:rsidR="00584EC1" w14:paraId="74DD6DE4" w14:textId="77777777">
        <w:tc>
          <w:tcPr>
            <w:tcW w:w="0" w:type="auto"/>
            <w:gridSpan w:val="3"/>
            <w:shd w:val="clear" w:color="auto" w:fill="FFFFFF"/>
            <w:tcMar>
              <w:top w:w="40" w:type="dxa"/>
              <w:left w:w="20" w:type="dxa"/>
              <w:bottom w:w="40" w:type="dxa"/>
              <w:right w:w="20" w:type="dxa"/>
            </w:tcMar>
            <w:vAlign w:val="bottom"/>
          </w:tcPr>
          <w:p w14:paraId="74DD6DCC" w14:textId="77777777" w:rsidR="00584EC1" w:rsidRDefault="00871F8D">
            <w:pPr>
              <w:textAlignment w:val="bottom"/>
            </w:pPr>
            <w:r>
              <w:rPr>
                <w:rFonts w:ascii="Arial" w:eastAsia="宋体" w:hAnsi="Arial" w:cs="Arial"/>
                <w:color w:val="000000"/>
                <w:sz w:val="12"/>
                <w:szCs w:val="12"/>
              </w:rPr>
              <w:t>Interest rate spread</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6DCD"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DCE"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6DCF"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DD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DD1" w14:textId="77777777" w:rsidR="00584EC1" w:rsidRDefault="00871F8D">
            <w:pPr>
              <w:jc w:val="right"/>
              <w:textAlignment w:val="bottom"/>
            </w:pPr>
            <w:r>
              <w:rPr>
                <w:rFonts w:ascii="Arial" w:eastAsia="宋体" w:hAnsi="Arial" w:cs="Arial"/>
                <w:b/>
                <w:bCs/>
                <w:color w:val="000000"/>
                <w:sz w:val="12"/>
                <w:szCs w:val="12"/>
              </w:rPr>
              <w:t>.76</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6DD2" w14:textId="77777777" w:rsidR="00584EC1" w:rsidRDefault="00871F8D">
            <w:pPr>
              <w:jc w:val="right"/>
              <w:textAlignment w:val="bottom"/>
            </w:pPr>
            <w:r>
              <w:rPr>
                <w:rFonts w:ascii="Arial" w:eastAsia="宋体" w:hAnsi="Arial" w:cs="Arial"/>
                <w:b/>
                <w:bCs/>
                <w:color w:val="000000"/>
                <w:sz w:val="12"/>
                <w:szCs w:val="12"/>
              </w:rPr>
              <w:t>%</w:t>
            </w:r>
          </w:p>
        </w:tc>
        <w:tc>
          <w:tcPr>
            <w:tcW w:w="0" w:type="auto"/>
            <w:gridSpan w:val="3"/>
            <w:shd w:val="clear" w:color="auto" w:fill="FFFFFF"/>
            <w:tcMar>
              <w:top w:w="0" w:type="dxa"/>
              <w:left w:w="20" w:type="dxa"/>
              <w:bottom w:w="0" w:type="dxa"/>
              <w:right w:w="20" w:type="dxa"/>
            </w:tcMar>
            <w:vAlign w:val="bottom"/>
          </w:tcPr>
          <w:p w14:paraId="74DD6DD3"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6DD4"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DD5"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6DD6"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DD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DD8" w14:textId="77777777" w:rsidR="00584EC1" w:rsidRDefault="00871F8D">
            <w:pPr>
              <w:jc w:val="right"/>
              <w:textAlignment w:val="bottom"/>
            </w:pPr>
            <w:r>
              <w:rPr>
                <w:rFonts w:ascii="Arial" w:eastAsia="宋体" w:hAnsi="Arial" w:cs="Arial"/>
                <w:color w:val="000000"/>
                <w:sz w:val="12"/>
                <w:szCs w:val="12"/>
              </w:rPr>
              <w:t>.83 </w:t>
            </w:r>
          </w:p>
        </w:tc>
        <w:tc>
          <w:tcPr>
            <w:tcW w:w="0" w:type="auto"/>
            <w:shd w:val="clear" w:color="auto" w:fill="FFFFFF"/>
            <w:tcMar>
              <w:top w:w="40" w:type="dxa"/>
              <w:left w:w="0" w:type="dxa"/>
              <w:bottom w:w="40" w:type="dxa"/>
              <w:right w:w="20" w:type="dxa"/>
            </w:tcMar>
            <w:vAlign w:val="bottom"/>
          </w:tcPr>
          <w:p w14:paraId="74DD6DD9" w14:textId="77777777" w:rsidR="00584EC1" w:rsidRDefault="00871F8D">
            <w:pPr>
              <w:jc w:val="right"/>
              <w:textAlignment w:val="bottom"/>
            </w:pPr>
            <w:r>
              <w:rPr>
                <w:rFonts w:ascii="Arial" w:eastAsia="宋体" w:hAnsi="Arial" w:cs="Arial"/>
                <w:color w:val="000000"/>
                <w:sz w:val="12"/>
                <w:szCs w:val="12"/>
              </w:rPr>
              <w:t>%</w:t>
            </w:r>
          </w:p>
        </w:tc>
        <w:tc>
          <w:tcPr>
            <w:tcW w:w="0" w:type="auto"/>
            <w:shd w:val="clear" w:color="auto" w:fill="auto"/>
            <w:vAlign w:val="bottom"/>
          </w:tcPr>
          <w:p w14:paraId="74DD6DDA" w14:textId="77777777" w:rsidR="00584EC1" w:rsidRDefault="00584EC1">
            <w:pPr>
              <w:rPr>
                <w:rFonts w:ascii="宋体"/>
                <w:vanish/>
              </w:rPr>
            </w:pPr>
          </w:p>
        </w:tc>
        <w:tc>
          <w:tcPr>
            <w:tcW w:w="0" w:type="auto"/>
            <w:shd w:val="clear" w:color="auto" w:fill="auto"/>
            <w:vAlign w:val="bottom"/>
          </w:tcPr>
          <w:p w14:paraId="74DD6DDB" w14:textId="77777777" w:rsidR="00584EC1" w:rsidRDefault="00584EC1">
            <w:pPr>
              <w:rPr>
                <w:rFonts w:ascii="宋体"/>
                <w:vanish/>
              </w:rPr>
            </w:pPr>
          </w:p>
        </w:tc>
        <w:tc>
          <w:tcPr>
            <w:tcW w:w="0" w:type="auto"/>
            <w:shd w:val="clear" w:color="auto" w:fill="auto"/>
            <w:vAlign w:val="bottom"/>
          </w:tcPr>
          <w:p w14:paraId="74DD6DDC" w14:textId="77777777" w:rsidR="00584EC1" w:rsidRDefault="00584EC1">
            <w:pPr>
              <w:rPr>
                <w:rFonts w:ascii="宋体"/>
                <w:vanish/>
              </w:rPr>
            </w:pPr>
          </w:p>
        </w:tc>
        <w:tc>
          <w:tcPr>
            <w:tcW w:w="0" w:type="auto"/>
            <w:shd w:val="clear" w:color="auto" w:fill="auto"/>
            <w:vAlign w:val="bottom"/>
          </w:tcPr>
          <w:p w14:paraId="74DD6DDD" w14:textId="77777777" w:rsidR="00584EC1" w:rsidRDefault="00584EC1">
            <w:pPr>
              <w:rPr>
                <w:rFonts w:ascii="宋体"/>
                <w:vanish/>
              </w:rPr>
            </w:pPr>
          </w:p>
        </w:tc>
        <w:tc>
          <w:tcPr>
            <w:tcW w:w="0" w:type="auto"/>
            <w:gridSpan w:val="3"/>
            <w:shd w:val="clear" w:color="auto" w:fill="auto"/>
            <w:vAlign w:val="bottom"/>
          </w:tcPr>
          <w:p w14:paraId="74DD6DDE" w14:textId="77777777" w:rsidR="00584EC1" w:rsidRDefault="00584EC1">
            <w:pPr>
              <w:rPr>
                <w:rFonts w:ascii="宋体"/>
                <w:vanish/>
              </w:rPr>
            </w:pPr>
          </w:p>
        </w:tc>
        <w:tc>
          <w:tcPr>
            <w:tcW w:w="0" w:type="auto"/>
            <w:gridSpan w:val="3"/>
            <w:shd w:val="clear" w:color="auto" w:fill="auto"/>
            <w:vAlign w:val="bottom"/>
          </w:tcPr>
          <w:p w14:paraId="74DD6DDF" w14:textId="77777777" w:rsidR="00584EC1" w:rsidRDefault="00584EC1">
            <w:pPr>
              <w:rPr>
                <w:rFonts w:ascii="宋体"/>
                <w:vanish/>
              </w:rPr>
            </w:pPr>
          </w:p>
        </w:tc>
        <w:tc>
          <w:tcPr>
            <w:tcW w:w="0" w:type="auto"/>
            <w:gridSpan w:val="3"/>
            <w:shd w:val="clear" w:color="auto" w:fill="auto"/>
            <w:vAlign w:val="bottom"/>
          </w:tcPr>
          <w:p w14:paraId="74DD6DE0" w14:textId="77777777" w:rsidR="00584EC1" w:rsidRDefault="00584EC1">
            <w:pPr>
              <w:rPr>
                <w:rFonts w:ascii="宋体"/>
                <w:vanish/>
              </w:rPr>
            </w:pPr>
          </w:p>
        </w:tc>
        <w:tc>
          <w:tcPr>
            <w:tcW w:w="0" w:type="auto"/>
            <w:gridSpan w:val="3"/>
            <w:shd w:val="clear" w:color="auto" w:fill="auto"/>
            <w:vAlign w:val="bottom"/>
          </w:tcPr>
          <w:p w14:paraId="74DD6DE1" w14:textId="77777777" w:rsidR="00584EC1" w:rsidRDefault="00584EC1">
            <w:pPr>
              <w:rPr>
                <w:rFonts w:ascii="宋体"/>
                <w:vanish/>
              </w:rPr>
            </w:pPr>
          </w:p>
        </w:tc>
        <w:tc>
          <w:tcPr>
            <w:tcW w:w="0" w:type="auto"/>
            <w:gridSpan w:val="2"/>
            <w:shd w:val="clear" w:color="auto" w:fill="auto"/>
            <w:vAlign w:val="bottom"/>
          </w:tcPr>
          <w:p w14:paraId="74DD6DE2" w14:textId="77777777" w:rsidR="00584EC1" w:rsidRDefault="00584EC1">
            <w:pPr>
              <w:rPr>
                <w:rFonts w:ascii="宋体"/>
                <w:vanish/>
              </w:rPr>
            </w:pPr>
          </w:p>
        </w:tc>
        <w:tc>
          <w:tcPr>
            <w:tcW w:w="0" w:type="auto"/>
            <w:shd w:val="clear" w:color="auto" w:fill="auto"/>
            <w:vAlign w:val="bottom"/>
          </w:tcPr>
          <w:p w14:paraId="74DD6DE3" w14:textId="77777777" w:rsidR="00584EC1" w:rsidRDefault="00584EC1">
            <w:pPr>
              <w:rPr>
                <w:rFonts w:ascii="宋体"/>
                <w:vanish/>
              </w:rPr>
            </w:pPr>
          </w:p>
        </w:tc>
      </w:tr>
      <w:tr w:rsidR="00584EC1" w14:paraId="74DD6DFF" w14:textId="77777777">
        <w:tc>
          <w:tcPr>
            <w:tcW w:w="0" w:type="auto"/>
            <w:gridSpan w:val="3"/>
            <w:shd w:val="clear" w:color="auto" w:fill="CCEEFF"/>
            <w:tcMar>
              <w:top w:w="40" w:type="dxa"/>
              <w:left w:w="20" w:type="dxa"/>
              <w:bottom w:w="40" w:type="dxa"/>
              <w:right w:w="20" w:type="dxa"/>
            </w:tcMar>
            <w:vAlign w:val="bottom"/>
          </w:tcPr>
          <w:p w14:paraId="74DD6DE5" w14:textId="77777777" w:rsidR="00584EC1" w:rsidRDefault="00871F8D">
            <w:pPr>
              <w:textAlignment w:val="bottom"/>
            </w:pPr>
            <w:r>
              <w:rPr>
                <w:rFonts w:ascii="Arial" w:eastAsia="宋体" w:hAnsi="Arial" w:cs="Arial"/>
                <w:color w:val="000000"/>
                <w:sz w:val="12"/>
                <w:szCs w:val="12"/>
              </w:rPr>
              <w:t>Net interest income, fully taxable-equivalent basis</w:t>
            </w:r>
          </w:p>
        </w:tc>
        <w:tc>
          <w:tcPr>
            <w:tcW w:w="0" w:type="auto"/>
            <w:gridSpan w:val="3"/>
            <w:shd w:val="clear" w:color="auto" w:fill="CCEEFF"/>
            <w:tcMar>
              <w:top w:w="0" w:type="dxa"/>
              <w:left w:w="20" w:type="dxa"/>
              <w:bottom w:w="0" w:type="dxa"/>
              <w:right w:w="20" w:type="dxa"/>
            </w:tcMar>
            <w:vAlign w:val="bottom"/>
          </w:tcPr>
          <w:p w14:paraId="74DD6DE6"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6DE7"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6DE8" w14:textId="77777777" w:rsidR="00584EC1" w:rsidRDefault="00871F8D">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74DD6DE9" w14:textId="77777777" w:rsidR="00584EC1" w:rsidRDefault="00871F8D">
            <w:pPr>
              <w:jc w:val="right"/>
              <w:textAlignment w:val="bottom"/>
            </w:pPr>
            <w:r>
              <w:rPr>
                <w:rFonts w:ascii="Arial" w:eastAsia="宋体" w:hAnsi="Arial" w:cs="Arial"/>
                <w:b/>
                <w:bCs/>
                <w:color w:val="000000"/>
                <w:sz w:val="12"/>
                <w:szCs w:val="12"/>
              </w:rPr>
              <w:t>490</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6DE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DEB"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6DEC"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6DED"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6DEE"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6DEF"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6DF0" w14:textId="77777777" w:rsidR="00584EC1" w:rsidRDefault="00871F8D">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74DD6DF1" w14:textId="77777777" w:rsidR="00584EC1" w:rsidRDefault="00871F8D">
            <w:pPr>
              <w:jc w:val="right"/>
              <w:textAlignment w:val="bottom"/>
            </w:pPr>
            <w:r>
              <w:rPr>
                <w:rFonts w:ascii="Arial" w:eastAsia="宋体" w:hAnsi="Arial" w:cs="Arial"/>
                <w:color w:val="000000"/>
                <w:sz w:val="12"/>
                <w:szCs w:val="12"/>
              </w:rPr>
              <w:t>482 </w:t>
            </w:r>
          </w:p>
        </w:tc>
        <w:tc>
          <w:tcPr>
            <w:tcW w:w="0" w:type="auto"/>
            <w:shd w:val="clear" w:color="auto" w:fill="CCEEFF"/>
            <w:tcMar>
              <w:top w:w="40" w:type="dxa"/>
              <w:left w:w="0" w:type="dxa"/>
              <w:bottom w:w="40" w:type="dxa"/>
              <w:right w:w="20" w:type="dxa"/>
            </w:tcMar>
            <w:vAlign w:val="bottom"/>
          </w:tcPr>
          <w:p w14:paraId="74DD6DF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DF3"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6DF4" w14:textId="77777777" w:rsidR="00584EC1" w:rsidRDefault="00584EC1">
            <w:pPr>
              <w:rPr>
                <w:rFonts w:ascii="宋体"/>
              </w:rPr>
            </w:pPr>
          </w:p>
        </w:tc>
        <w:tc>
          <w:tcPr>
            <w:tcW w:w="0" w:type="auto"/>
            <w:shd w:val="clear" w:color="auto" w:fill="auto"/>
            <w:vAlign w:val="bottom"/>
          </w:tcPr>
          <w:p w14:paraId="74DD6DF5" w14:textId="77777777" w:rsidR="00584EC1" w:rsidRDefault="00584EC1">
            <w:pPr>
              <w:rPr>
                <w:rFonts w:ascii="宋体"/>
                <w:vanish/>
              </w:rPr>
            </w:pPr>
          </w:p>
        </w:tc>
        <w:tc>
          <w:tcPr>
            <w:tcW w:w="0" w:type="auto"/>
            <w:shd w:val="clear" w:color="auto" w:fill="auto"/>
            <w:vAlign w:val="bottom"/>
          </w:tcPr>
          <w:p w14:paraId="74DD6DF6" w14:textId="77777777" w:rsidR="00584EC1" w:rsidRDefault="00584EC1">
            <w:pPr>
              <w:rPr>
                <w:rFonts w:ascii="宋体"/>
                <w:vanish/>
              </w:rPr>
            </w:pPr>
          </w:p>
        </w:tc>
        <w:tc>
          <w:tcPr>
            <w:tcW w:w="0" w:type="auto"/>
            <w:shd w:val="clear" w:color="auto" w:fill="auto"/>
            <w:vAlign w:val="bottom"/>
          </w:tcPr>
          <w:p w14:paraId="74DD6DF7" w14:textId="77777777" w:rsidR="00584EC1" w:rsidRDefault="00584EC1">
            <w:pPr>
              <w:rPr>
                <w:rFonts w:ascii="宋体"/>
                <w:vanish/>
              </w:rPr>
            </w:pPr>
          </w:p>
        </w:tc>
        <w:tc>
          <w:tcPr>
            <w:tcW w:w="0" w:type="auto"/>
            <w:shd w:val="clear" w:color="auto" w:fill="auto"/>
            <w:vAlign w:val="bottom"/>
          </w:tcPr>
          <w:p w14:paraId="74DD6DF8" w14:textId="77777777" w:rsidR="00584EC1" w:rsidRDefault="00584EC1">
            <w:pPr>
              <w:rPr>
                <w:rFonts w:ascii="宋体"/>
                <w:vanish/>
              </w:rPr>
            </w:pPr>
          </w:p>
        </w:tc>
        <w:tc>
          <w:tcPr>
            <w:tcW w:w="0" w:type="auto"/>
            <w:gridSpan w:val="3"/>
            <w:shd w:val="clear" w:color="auto" w:fill="auto"/>
            <w:vAlign w:val="bottom"/>
          </w:tcPr>
          <w:p w14:paraId="74DD6DF9" w14:textId="77777777" w:rsidR="00584EC1" w:rsidRDefault="00584EC1">
            <w:pPr>
              <w:rPr>
                <w:rFonts w:ascii="宋体"/>
                <w:vanish/>
              </w:rPr>
            </w:pPr>
          </w:p>
        </w:tc>
        <w:tc>
          <w:tcPr>
            <w:tcW w:w="0" w:type="auto"/>
            <w:gridSpan w:val="3"/>
            <w:shd w:val="clear" w:color="auto" w:fill="auto"/>
            <w:vAlign w:val="bottom"/>
          </w:tcPr>
          <w:p w14:paraId="74DD6DFA" w14:textId="77777777" w:rsidR="00584EC1" w:rsidRDefault="00584EC1">
            <w:pPr>
              <w:rPr>
                <w:rFonts w:ascii="宋体"/>
                <w:vanish/>
              </w:rPr>
            </w:pPr>
          </w:p>
        </w:tc>
        <w:tc>
          <w:tcPr>
            <w:tcW w:w="0" w:type="auto"/>
            <w:gridSpan w:val="3"/>
            <w:shd w:val="clear" w:color="auto" w:fill="auto"/>
            <w:vAlign w:val="bottom"/>
          </w:tcPr>
          <w:p w14:paraId="74DD6DFB" w14:textId="77777777" w:rsidR="00584EC1" w:rsidRDefault="00584EC1">
            <w:pPr>
              <w:rPr>
                <w:rFonts w:ascii="宋体"/>
                <w:vanish/>
              </w:rPr>
            </w:pPr>
          </w:p>
        </w:tc>
        <w:tc>
          <w:tcPr>
            <w:tcW w:w="0" w:type="auto"/>
            <w:gridSpan w:val="3"/>
            <w:shd w:val="clear" w:color="auto" w:fill="auto"/>
            <w:vAlign w:val="bottom"/>
          </w:tcPr>
          <w:p w14:paraId="74DD6DFC" w14:textId="77777777" w:rsidR="00584EC1" w:rsidRDefault="00584EC1">
            <w:pPr>
              <w:rPr>
                <w:rFonts w:ascii="宋体"/>
                <w:vanish/>
              </w:rPr>
            </w:pPr>
          </w:p>
        </w:tc>
        <w:tc>
          <w:tcPr>
            <w:tcW w:w="0" w:type="auto"/>
            <w:gridSpan w:val="2"/>
            <w:shd w:val="clear" w:color="auto" w:fill="auto"/>
            <w:vAlign w:val="bottom"/>
          </w:tcPr>
          <w:p w14:paraId="74DD6DFD" w14:textId="77777777" w:rsidR="00584EC1" w:rsidRDefault="00584EC1">
            <w:pPr>
              <w:rPr>
                <w:rFonts w:ascii="宋体"/>
                <w:vanish/>
              </w:rPr>
            </w:pPr>
          </w:p>
        </w:tc>
        <w:tc>
          <w:tcPr>
            <w:tcW w:w="0" w:type="auto"/>
            <w:shd w:val="clear" w:color="auto" w:fill="auto"/>
            <w:vAlign w:val="bottom"/>
          </w:tcPr>
          <w:p w14:paraId="74DD6DFE" w14:textId="77777777" w:rsidR="00584EC1" w:rsidRDefault="00584EC1">
            <w:pPr>
              <w:rPr>
                <w:rFonts w:ascii="宋体"/>
                <w:vanish/>
              </w:rPr>
            </w:pPr>
          </w:p>
        </w:tc>
      </w:tr>
      <w:tr w:rsidR="00584EC1" w14:paraId="74DD6E18" w14:textId="77777777">
        <w:tc>
          <w:tcPr>
            <w:tcW w:w="0" w:type="auto"/>
            <w:gridSpan w:val="3"/>
            <w:shd w:val="clear" w:color="auto" w:fill="FFFFFF"/>
            <w:tcMar>
              <w:top w:w="40" w:type="dxa"/>
              <w:left w:w="20" w:type="dxa"/>
              <w:bottom w:w="40" w:type="dxa"/>
              <w:right w:w="20" w:type="dxa"/>
            </w:tcMar>
            <w:vAlign w:val="bottom"/>
          </w:tcPr>
          <w:p w14:paraId="74DD6E00" w14:textId="77777777" w:rsidR="00584EC1" w:rsidRDefault="00871F8D">
            <w:pPr>
              <w:textAlignment w:val="bottom"/>
            </w:pPr>
            <w:r>
              <w:rPr>
                <w:rFonts w:ascii="Arial" w:eastAsia="宋体" w:hAnsi="Arial" w:cs="Arial"/>
                <w:color w:val="000000"/>
                <w:sz w:val="12"/>
                <w:szCs w:val="12"/>
              </w:rPr>
              <w:t>Net interest margin, fully taxable-equivalent basis</w:t>
            </w:r>
          </w:p>
        </w:tc>
        <w:tc>
          <w:tcPr>
            <w:tcW w:w="0" w:type="auto"/>
            <w:gridSpan w:val="3"/>
            <w:shd w:val="clear" w:color="auto" w:fill="FFFFFF"/>
            <w:tcMar>
              <w:top w:w="0" w:type="dxa"/>
              <w:left w:w="20" w:type="dxa"/>
              <w:bottom w:w="0" w:type="dxa"/>
              <w:right w:w="20" w:type="dxa"/>
            </w:tcMar>
            <w:vAlign w:val="bottom"/>
          </w:tcPr>
          <w:p w14:paraId="74DD6E01"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E0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E03"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E0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E05" w14:textId="77777777" w:rsidR="00584EC1" w:rsidRDefault="00871F8D">
            <w:pPr>
              <w:jc w:val="right"/>
              <w:textAlignment w:val="bottom"/>
            </w:pPr>
            <w:r>
              <w:rPr>
                <w:rFonts w:ascii="Arial" w:eastAsia="宋体" w:hAnsi="Arial" w:cs="Arial"/>
                <w:b/>
                <w:bCs/>
                <w:color w:val="000000"/>
                <w:sz w:val="12"/>
                <w:szCs w:val="12"/>
              </w:rPr>
              <w:t>.76</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6E06" w14:textId="77777777" w:rsidR="00584EC1" w:rsidRDefault="00871F8D">
            <w:pPr>
              <w:jc w:val="right"/>
              <w:textAlignment w:val="bottom"/>
            </w:pPr>
            <w:r>
              <w:rPr>
                <w:rFonts w:ascii="Arial" w:eastAsia="宋体" w:hAnsi="Arial" w:cs="Arial"/>
                <w:b/>
                <w:bCs/>
                <w:color w:val="000000"/>
                <w:sz w:val="12"/>
                <w:szCs w:val="12"/>
              </w:rPr>
              <w:t>%</w:t>
            </w:r>
          </w:p>
        </w:tc>
        <w:tc>
          <w:tcPr>
            <w:tcW w:w="0" w:type="auto"/>
            <w:gridSpan w:val="3"/>
            <w:shd w:val="clear" w:color="auto" w:fill="FFFFFF"/>
            <w:tcMar>
              <w:top w:w="0" w:type="dxa"/>
              <w:left w:w="20" w:type="dxa"/>
              <w:bottom w:w="0" w:type="dxa"/>
              <w:right w:w="20" w:type="dxa"/>
            </w:tcMar>
            <w:vAlign w:val="bottom"/>
          </w:tcPr>
          <w:p w14:paraId="74DD6E07"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E08"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E09"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E0A"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E0B"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E0C" w14:textId="77777777" w:rsidR="00584EC1" w:rsidRDefault="00871F8D">
            <w:pPr>
              <w:jc w:val="right"/>
              <w:textAlignment w:val="bottom"/>
            </w:pPr>
            <w:r>
              <w:rPr>
                <w:rFonts w:ascii="Arial" w:eastAsia="宋体" w:hAnsi="Arial" w:cs="Arial"/>
                <w:color w:val="000000"/>
                <w:sz w:val="12"/>
                <w:szCs w:val="12"/>
              </w:rPr>
              <w:t>.85 </w:t>
            </w:r>
          </w:p>
        </w:tc>
        <w:tc>
          <w:tcPr>
            <w:tcW w:w="0" w:type="auto"/>
            <w:shd w:val="clear" w:color="auto" w:fill="FFFFFF"/>
            <w:tcMar>
              <w:top w:w="40" w:type="dxa"/>
              <w:left w:w="0" w:type="dxa"/>
              <w:bottom w:w="40" w:type="dxa"/>
              <w:right w:w="20" w:type="dxa"/>
            </w:tcMar>
            <w:vAlign w:val="bottom"/>
          </w:tcPr>
          <w:p w14:paraId="74DD6E0D" w14:textId="77777777" w:rsidR="00584EC1" w:rsidRDefault="00871F8D">
            <w:pPr>
              <w:jc w:val="right"/>
              <w:textAlignment w:val="bottom"/>
            </w:pPr>
            <w:r>
              <w:rPr>
                <w:rFonts w:ascii="Arial" w:eastAsia="宋体" w:hAnsi="Arial" w:cs="Arial"/>
                <w:color w:val="000000"/>
                <w:sz w:val="12"/>
                <w:szCs w:val="12"/>
              </w:rPr>
              <w:t>%</w:t>
            </w:r>
          </w:p>
        </w:tc>
        <w:tc>
          <w:tcPr>
            <w:tcW w:w="0" w:type="auto"/>
            <w:shd w:val="clear" w:color="auto" w:fill="auto"/>
            <w:vAlign w:val="bottom"/>
          </w:tcPr>
          <w:p w14:paraId="74DD6E0E" w14:textId="77777777" w:rsidR="00584EC1" w:rsidRDefault="00584EC1">
            <w:pPr>
              <w:rPr>
                <w:rFonts w:ascii="宋体"/>
                <w:vanish/>
              </w:rPr>
            </w:pPr>
          </w:p>
        </w:tc>
        <w:tc>
          <w:tcPr>
            <w:tcW w:w="0" w:type="auto"/>
            <w:shd w:val="clear" w:color="auto" w:fill="auto"/>
            <w:vAlign w:val="bottom"/>
          </w:tcPr>
          <w:p w14:paraId="74DD6E0F" w14:textId="77777777" w:rsidR="00584EC1" w:rsidRDefault="00584EC1">
            <w:pPr>
              <w:rPr>
                <w:rFonts w:ascii="宋体"/>
                <w:vanish/>
              </w:rPr>
            </w:pPr>
          </w:p>
        </w:tc>
        <w:tc>
          <w:tcPr>
            <w:tcW w:w="0" w:type="auto"/>
            <w:shd w:val="clear" w:color="auto" w:fill="auto"/>
            <w:vAlign w:val="bottom"/>
          </w:tcPr>
          <w:p w14:paraId="74DD6E10" w14:textId="77777777" w:rsidR="00584EC1" w:rsidRDefault="00584EC1">
            <w:pPr>
              <w:rPr>
                <w:rFonts w:ascii="宋体"/>
                <w:vanish/>
              </w:rPr>
            </w:pPr>
          </w:p>
        </w:tc>
        <w:tc>
          <w:tcPr>
            <w:tcW w:w="0" w:type="auto"/>
            <w:shd w:val="clear" w:color="auto" w:fill="auto"/>
            <w:vAlign w:val="bottom"/>
          </w:tcPr>
          <w:p w14:paraId="74DD6E11" w14:textId="77777777" w:rsidR="00584EC1" w:rsidRDefault="00584EC1">
            <w:pPr>
              <w:rPr>
                <w:rFonts w:ascii="宋体"/>
                <w:vanish/>
              </w:rPr>
            </w:pPr>
          </w:p>
        </w:tc>
        <w:tc>
          <w:tcPr>
            <w:tcW w:w="0" w:type="auto"/>
            <w:gridSpan w:val="3"/>
            <w:shd w:val="clear" w:color="auto" w:fill="auto"/>
            <w:vAlign w:val="bottom"/>
          </w:tcPr>
          <w:p w14:paraId="74DD6E12" w14:textId="77777777" w:rsidR="00584EC1" w:rsidRDefault="00584EC1">
            <w:pPr>
              <w:rPr>
                <w:rFonts w:ascii="宋体"/>
                <w:vanish/>
              </w:rPr>
            </w:pPr>
          </w:p>
        </w:tc>
        <w:tc>
          <w:tcPr>
            <w:tcW w:w="0" w:type="auto"/>
            <w:gridSpan w:val="3"/>
            <w:shd w:val="clear" w:color="auto" w:fill="auto"/>
            <w:vAlign w:val="bottom"/>
          </w:tcPr>
          <w:p w14:paraId="74DD6E13" w14:textId="77777777" w:rsidR="00584EC1" w:rsidRDefault="00584EC1">
            <w:pPr>
              <w:rPr>
                <w:rFonts w:ascii="宋体"/>
                <w:vanish/>
              </w:rPr>
            </w:pPr>
          </w:p>
        </w:tc>
        <w:tc>
          <w:tcPr>
            <w:tcW w:w="0" w:type="auto"/>
            <w:gridSpan w:val="3"/>
            <w:shd w:val="clear" w:color="auto" w:fill="auto"/>
            <w:vAlign w:val="bottom"/>
          </w:tcPr>
          <w:p w14:paraId="74DD6E14" w14:textId="77777777" w:rsidR="00584EC1" w:rsidRDefault="00584EC1">
            <w:pPr>
              <w:rPr>
                <w:rFonts w:ascii="宋体"/>
                <w:vanish/>
              </w:rPr>
            </w:pPr>
          </w:p>
        </w:tc>
        <w:tc>
          <w:tcPr>
            <w:tcW w:w="0" w:type="auto"/>
            <w:gridSpan w:val="3"/>
            <w:shd w:val="clear" w:color="auto" w:fill="auto"/>
            <w:vAlign w:val="bottom"/>
          </w:tcPr>
          <w:p w14:paraId="74DD6E15" w14:textId="77777777" w:rsidR="00584EC1" w:rsidRDefault="00584EC1">
            <w:pPr>
              <w:rPr>
                <w:rFonts w:ascii="宋体"/>
                <w:vanish/>
              </w:rPr>
            </w:pPr>
          </w:p>
        </w:tc>
        <w:tc>
          <w:tcPr>
            <w:tcW w:w="0" w:type="auto"/>
            <w:gridSpan w:val="2"/>
            <w:shd w:val="clear" w:color="auto" w:fill="auto"/>
            <w:vAlign w:val="bottom"/>
          </w:tcPr>
          <w:p w14:paraId="74DD6E16" w14:textId="77777777" w:rsidR="00584EC1" w:rsidRDefault="00584EC1">
            <w:pPr>
              <w:rPr>
                <w:rFonts w:ascii="宋体"/>
                <w:vanish/>
              </w:rPr>
            </w:pPr>
          </w:p>
        </w:tc>
        <w:tc>
          <w:tcPr>
            <w:tcW w:w="0" w:type="auto"/>
            <w:shd w:val="clear" w:color="auto" w:fill="auto"/>
            <w:vAlign w:val="bottom"/>
          </w:tcPr>
          <w:p w14:paraId="74DD6E17" w14:textId="77777777" w:rsidR="00584EC1" w:rsidRDefault="00584EC1">
            <w:pPr>
              <w:rPr>
                <w:rFonts w:ascii="宋体"/>
                <w:vanish/>
              </w:rPr>
            </w:pPr>
          </w:p>
        </w:tc>
      </w:tr>
      <w:tr w:rsidR="00584EC1" w14:paraId="74DD6E31" w14:textId="77777777">
        <w:tc>
          <w:tcPr>
            <w:tcW w:w="0" w:type="auto"/>
            <w:gridSpan w:val="3"/>
            <w:shd w:val="clear" w:color="auto" w:fill="CCEEFF"/>
            <w:tcMar>
              <w:top w:w="40" w:type="dxa"/>
              <w:left w:w="20" w:type="dxa"/>
              <w:bottom w:w="40" w:type="dxa"/>
              <w:right w:w="20" w:type="dxa"/>
            </w:tcMar>
            <w:vAlign w:val="bottom"/>
          </w:tcPr>
          <w:p w14:paraId="74DD6E19" w14:textId="77777777" w:rsidR="00584EC1" w:rsidRDefault="00871F8D">
            <w:pPr>
              <w:textAlignment w:val="bottom"/>
            </w:pPr>
            <w:r>
              <w:rPr>
                <w:rFonts w:ascii="Arial" w:eastAsia="宋体" w:hAnsi="Arial" w:cs="Arial"/>
                <w:color w:val="000000"/>
                <w:sz w:val="12"/>
                <w:szCs w:val="12"/>
              </w:rPr>
              <w:t>Tax-equivalent adjustment</w:t>
            </w:r>
          </w:p>
        </w:tc>
        <w:tc>
          <w:tcPr>
            <w:tcW w:w="0" w:type="auto"/>
            <w:gridSpan w:val="3"/>
            <w:shd w:val="clear" w:color="auto" w:fill="CCEEFF"/>
            <w:tcMar>
              <w:top w:w="0" w:type="dxa"/>
              <w:left w:w="20" w:type="dxa"/>
              <w:bottom w:w="0" w:type="dxa"/>
              <w:right w:w="20" w:type="dxa"/>
            </w:tcMar>
            <w:vAlign w:val="bottom"/>
          </w:tcPr>
          <w:p w14:paraId="74DD6E1A"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6E1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E1C" w14:textId="77777777" w:rsidR="00584EC1" w:rsidRDefault="00871F8D">
            <w:pPr>
              <w:jc w:val="right"/>
              <w:textAlignment w:val="bottom"/>
            </w:pPr>
            <w:r>
              <w:rPr>
                <w:rFonts w:ascii="Arial" w:eastAsia="宋体" w:hAnsi="Arial" w:cs="Arial"/>
                <w:b/>
                <w:bCs/>
                <w:color w:val="000000"/>
                <w:sz w:val="12"/>
                <w:szCs w:val="12"/>
              </w:rPr>
              <w:t>(3)</w:t>
            </w:r>
          </w:p>
        </w:tc>
        <w:tc>
          <w:tcPr>
            <w:tcW w:w="0" w:type="auto"/>
            <w:shd w:val="clear" w:color="auto" w:fill="CCEEFF"/>
            <w:tcMar>
              <w:top w:w="40" w:type="dxa"/>
              <w:left w:w="0" w:type="dxa"/>
              <w:bottom w:w="40" w:type="dxa"/>
              <w:right w:w="20" w:type="dxa"/>
            </w:tcMar>
            <w:vAlign w:val="bottom"/>
          </w:tcPr>
          <w:p w14:paraId="74DD6E1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E1E"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6E1F"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6E20"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6E21"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6E22"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E23" w14:textId="77777777" w:rsidR="00584EC1" w:rsidRDefault="00871F8D">
            <w:pPr>
              <w:jc w:val="right"/>
              <w:textAlignment w:val="bottom"/>
            </w:pPr>
            <w:r>
              <w:rPr>
                <w:rFonts w:ascii="Arial" w:eastAsia="宋体" w:hAnsi="Arial" w:cs="Arial"/>
                <w:color w:val="000000"/>
                <w:sz w:val="12"/>
                <w:szCs w:val="12"/>
              </w:rPr>
              <w:t>(4)</w:t>
            </w:r>
          </w:p>
        </w:tc>
        <w:tc>
          <w:tcPr>
            <w:tcW w:w="0" w:type="auto"/>
            <w:shd w:val="clear" w:color="auto" w:fill="CCEEFF"/>
            <w:tcMar>
              <w:top w:w="40" w:type="dxa"/>
              <w:left w:w="0" w:type="dxa"/>
              <w:bottom w:w="40" w:type="dxa"/>
              <w:right w:w="20" w:type="dxa"/>
            </w:tcMar>
            <w:vAlign w:val="bottom"/>
          </w:tcPr>
          <w:p w14:paraId="74DD6E2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E25"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6E26" w14:textId="77777777" w:rsidR="00584EC1" w:rsidRDefault="00584EC1">
            <w:pPr>
              <w:rPr>
                <w:rFonts w:ascii="宋体"/>
              </w:rPr>
            </w:pPr>
          </w:p>
        </w:tc>
        <w:tc>
          <w:tcPr>
            <w:tcW w:w="0" w:type="auto"/>
            <w:shd w:val="clear" w:color="auto" w:fill="auto"/>
            <w:vAlign w:val="bottom"/>
          </w:tcPr>
          <w:p w14:paraId="74DD6E27" w14:textId="77777777" w:rsidR="00584EC1" w:rsidRDefault="00584EC1">
            <w:pPr>
              <w:rPr>
                <w:rFonts w:ascii="宋体"/>
                <w:vanish/>
              </w:rPr>
            </w:pPr>
          </w:p>
        </w:tc>
        <w:tc>
          <w:tcPr>
            <w:tcW w:w="0" w:type="auto"/>
            <w:shd w:val="clear" w:color="auto" w:fill="auto"/>
            <w:vAlign w:val="bottom"/>
          </w:tcPr>
          <w:p w14:paraId="74DD6E28" w14:textId="77777777" w:rsidR="00584EC1" w:rsidRDefault="00584EC1">
            <w:pPr>
              <w:rPr>
                <w:rFonts w:ascii="宋体"/>
                <w:vanish/>
              </w:rPr>
            </w:pPr>
          </w:p>
        </w:tc>
        <w:tc>
          <w:tcPr>
            <w:tcW w:w="0" w:type="auto"/>
            <w:shd w:val="clear" w:color="auto" w:fill="auto"/>
            <w:vAlign w:val="bottom"/>
          </w:tcPr>
          <w:p w14:paraId="74DD6E29" w14:textId="77777777" w:rsidR="00584EC1" w:rsidRDefault="00584EC1">
            <w:pPr>
              <w:rPr>
                <w:rFonts w:ascii="宋体"/>
                <w:vanish/>
              </w:rPr>
            </w:pPr>
          </w:p>
        </w:tc>
        <w:tc>
          <w:tcPr>
            <w:tcW w:w="0" w:type="auto"/>
            <w:shd w:val="clear" w:color="auto" w:fill="auto"/>
            <w:vAlign w:val="bottom"/>
          </w:tcPr>
          <w:p w14:paraId="74DD6E2A" w14:textId="77777777" w:rsidR="00584EC1" w:rsidRDefault="00584EC1">
            <w:pPr>
              <w:rPr>
                <w:rFonts w:ascii="宋体"/>
                <w:vanish/>
              </w:rPr>
            </w:pPr>
          </w:p>
        </w:tc>
        <w:tc>
          <w:tcPr>
            <w:tcW w:w="0" w:type="auto"/>
            <w:gridSpan w:val="3"/>
            <w:shd w:val="clear" w:color="auto" w:fill="auto"/>
            <w:vAlign w:val="bottom"/>
          </w:tcPr>
          <w:p w14:paraId="74DD6E2B" w14:textId="77777777" w:rsidR="00584EC1" w:rsidRDefault="00584EC1">
            <w:pPr>
              <w:rPr>
                <w:rFonts w:ascii="宋体"/>
                <w:vanish/>
              </w:rPr>
            </w:pPr>
          </w:p>
        </w:tc>
        <w:tc>
          <w:tcPr>
            <w:tcW w:w="0" w:type="auto"/>
            <w:gridSpan w:val="3"/>
            <w:shd w:val="clear" w:color="auto" w:fill="auto"/>
            <w:vAlign w:val="bottom"/>
          </w:tcPr>
          <w:p w14:paraId="74DD6E2C" w14:textId="77777777" w:rsidR="00584EC1" w:rsidRDefault="00584EC1">
            <w:pPr>
              <w:rPr>
                <w:rFonts w:ascii="宋体"/>
                <w:vanish/>
              </w:rPr>
            </w:pPr>
          </w:p>
        </w:tc>
        <w:tc>
          <w:tcPr>
            <w:tcW w:w="0" w:type="auto"/>
            <w:gridSpan w:val="3"/>
            <w:shd w:val="clear" w:color="auto" w:fill="auto"/>
            <w:vAlign w:val="bottom"/>
          </w:tcPr>
          <w:p w14:paraId="74DD6E2D" w14:textId="77777777" w:rsidR="00584EC1" w:rsidRDefault="00584EC1">
            <w:pPr>
              <w:rPr>
                <w:rFonts w:ascii="宋体"/>
                <w:vanish/>
              </w:rPr>
            </w:pPr>
          </w:p>
        </w:tc>
        <w:tc>
          <w:tcPr>
            <w:tcW w:w="0" w:type="auto"/>
            <w:gridSpan w:val="3"/>
            <w:shd w:val="clear" w:color="auto" w:fill="auto"/>
            <w:vAlign w:val="bottom"/>
          </w:tcPr>
          <w:p w14:paraId="74DD6E2E" w14:textId="77777777" w:rsidR="00584EC1" w:rsidRDefault="00584EC1">
            <w:pPr>
              <w:rPr>
                <w:rFonts w:ascii="宋体"/>
                <w:vanish/>
              </w:rPr>
            </w:pPr>
          </w:p>
        </w:tc>
        <w:tc>
          <w:tcPr>
            <w:tcW w:w="0" w:type="auto"/>
            <w:gridSpan w:val="2"/>
            <w:shd w:val="clear" w:color="auto" w:fill="auto"/>
            <w:vAlign w:val="bottom"/>
          </w:tcPr>
          <w:p w14:paraId="74DD6E2F" w14:textId="77777777" w:rsidR="00584EC1" w:rsidRDefault="00584EC1">
            <w:pPr>
              <w:rPr>
                <w:rFonts w:ascii="宋体"/>
                <w:vanish/>
              </w:rPr>
            </w:pPr>
          </w:p>
        </w:tc>
        <w:tc>
          <w:tcPr>
            <w:tcW w:w="0" w:type="auto"/>
            <w:shd w:val="clear" w:color="auto" w:fill="auto"/>
            <w:vAlign w:val="bottom"/>
          </w:tcPr>
          <w:p w14:paraId="74DD6E30" w14:textId="77777777" w:rsidR="00584EC1" w:rsidRDefault="00584EC1">
            <w:pPr>
              <w:rPr>
                <w:rFonts w:ascii="宋体"/>
                <w:vanish/>
              </w:rPr>
            </w:pPr>
          </w:p>
        </w:tc>
      </w:tr>
      <w:tr w:rsidR="00584EC1" w14:paraId="74DD6E4C" w14:textId="77777777">
        <w:tc>
          <w:tcPr>
            <w:tcW w:w="0" w:type="auto"/>
            <w:gridSpan w:val="3"/>
            <w:shd w:val="clear" w:color="auto" w:fill="FFFFFF"/>
            <w:tcMar>
              <w:top w:w="40" w:type="dxa"/>
              <w:left w:w="20" w:type="dxa"/>
              <w:bottom w:w="40" w:type="dxa"/>
              <w:right w:w="20" w:type="dxa"/>
            </w:tcMar>
            <w:vAlign w:val="bottom"/>
          </w:tcPr>
          <w:p w14:paraId="74DD6E32" w14:textId="77777777" w:rsidR="00584EC1" w:rsidRDefault="00871F8D">
            <w:pPr>
              <w:textAlignment w:val="bottom"/>
            </w:pPr>
            <w:r>
              <w:rPr>
                <w:rFonts w:ascii="Arial" w:eastAsia="宋体" w:hAnsi="Arial" w:cs="Arial"/>
                <w:color w:val="000000"/>
                <w:sz w:val="12"/>
                <w:szCs w:val="12"/>
              </w:rPr>
              <w:t>Net interest income, GAAP-basis</w:t>
            </w:r>
          </w:p>
        </w:tc>
        <w:tc>
          <w:tcPr>
            <w:tcW w:w="0" w:type="auto"/>
            <w:gridSpan w:val="3"/>
            <w:shd w:val="clear" w:color="auto" w:fill="FFFFFF"/>
            <w:tcMar>
              <w:top w:w="0" w:type="dxa"/>
              <w:left w:w="20" w:type="dxa"/>
              <w:bottom w:w="0" w:type="dxa"/>
              <w:right w:w="20" w:type="dxa"/>
            </w:tcMar>
            <w:vAlign w:val="bottom"/>
          </w:tcPr>
          <w:p w14:paraId="74DD6E33"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E34"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6E35"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6E36" w14:textId="77777777" w:rsidR="00584EC1" w:rsidRDefault="00871F8D">
            <w:pPr>
              <w:jc w:val="right"/>
              <w:textAlignment w:val="bottom"/>
            </w:pPr>
            <w:r>
              <w:rPr>
                <w:rFonts w:ascii="Arial" w:eastAsia="宋体" w:hAnsi="Arial" w:cs="Arial"/>
                <w:b/>
                <w:bCs/>
                <w:color w:val="000000"/>
                <w:sz w:val="12"/>
                <w:szCs w:val="12"/>
              </w:rPr>
              <w:t>487</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6E3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E38"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E39"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E3A"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E3B"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E3C"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6E3D"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6E3E" w14:textId="77777777" w:rsidR="00584EC1" w:rsidRDefault="00871F8D">
            <w:pPr>
              <w:jc w:val="right"/>
              <w:textAlignment w:val="bottom"/>
            </w:pPr>
            <w:r>
              <w:rPr>
                <w:rFonts w:ascii="Arial" w:eastAsia="宋体" w:hAnsi="Arial" w:cs="Arial"/>
                <w:color w:val="000000"/>
                <w:sz w:val="12"/>
                <w:szCs w:val="12"/>
              </w:rPr>
              <w:t>478 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6E3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E40"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E41" w14:textId="77777777" w:rsidR="00584EC1" w:rsidRDefault="00584EC1">
            <w:pPr>
              <w:rPr>
                <w:rFonts w:ascii="宋体"/>
              </w:rPr>
            </w:pPr>
          </w:p>
        </w:tc>
        <w:tc>
          <w:tcPr>
            <w:tcW w:w="0" w:type="auto"/>
            <w:shd w:val="clear" w:color="auto" w:fill="auto"/>
            <w:vAlign w:val="bottom"/>
          </w:tcPr>
          <w:p w14:paraId="74DD6E42" w14:textId="77777777" w:rsidR="00584EC1" w:rsidRDefault="00584EC1">
            <w:pPr>
              <w:rPr>
                <w:rFonts w:ascii="宋体"/>
                <w:vanish/>
              </w:rPr>
            </w:pPr>
          </w:p>
        </w:tc>
        <w:tc>
          <w:tcPr>
            <w:tcW w:w="0" w:type="auto"/>
            <w:shd w:val="clear" w:color="auto" w:fill="auto"/>
            <w:vAlign w:val="bottom"/>
          </w:tcPr>
          <w:p w14:paraId="74DD6E43" w14:textId="77777777" w:rsidR="00584EC1" w:rsidRDefault="00584EC1">
            <w:pPr>
              <w:rPr>
                <w:rFonts w:ascii="宋体"/>
                <w:vanish/>
              </w:rPr>
            </w:pPr>
          </w:p>
        </w:tc>
        <w:tc>
          <w:tcPr>
            <w:tcW w:w="0" w:type="auto"/>
            <w:shd w:val="clear" w:color="auto" w:fill="auto"/>
            <w:vAlign w:val="bottom"/>
          </w:tcPr>
          <w:p w14:paraId="74DD6E44" w14:textId="77777777" w:rsidR="00584EC1" w:rsidRDefault="00584EC1">
            <w:pPr>
              <w:rPr>
                <w:rFonts w:ascii="宋体"/>
                <w:vanish/>
              </w:rPr>
            </w:pPr>
          </w:p>
        </w:tc>
        <w:tc>
          <w:tcPr>
            <w:tcW w:w="0" w:type="auto"/>
            <w:shd w:val="clear" w:color="auto" w:fill="auto"/>
            <w:vAlign w:val="bottom"/>
          </w:tcPr>
          <w:p w14:paraId="74DD6E45" w14:textId="77777777" w:rsidR="00584EC1" w:rsidRDefault="00584EC1">
            <w:pPr>
              <w:rPr>
                <w:rFonts w:ascii="宋体"/>
                <w:vanish/>
              </w:rPr>
            </w:pPr>
          </w:p>
        </w:tc>
        <w:tc>
          <w:tcPr>
            <w:tcW w:w="0" w:type="auto"/>
            <w:gridSpan w:val="3"/>
            <w:shd w:val="clear" w:color="auto" w:fill="auto"/>
            <w:vAlign w:val="bottom"/>
          </w:tcPr>
          <w:p w14:paraId="74DD6E46" w14:textId="77777777" w:rsidR="00584EC1" w:rsidRDefault="00584EC1">
            <w:pPr>
              <w:rPr>
                <w:rFonts w:ascii="宋体"/>
                <w:vanish/>
              </w:rPr>
            </w:pPr>
          </w:p>
        </w:tc>
        <w:tc>
          <w:tcPr>
            <w:tcW w:w="0" w:type="auto"/>
            <w:gridSpan w:val="3"/>
            <w:shd w:val="clear" w:color="auto" w:fill="auto"/>
            <w:vAlign w:val="bottom"/>
          </w:tcPr>
          <w:p w14:paraId="74DD6E47" w14:textId="77777777" w:rsidR="00584EC1" w:rsidRDefault="00584EC1">
            <w:pPr>
              <w:rPr>
                <w:rFonts w:ascii="宋体"/>
                <w:vanish/>
              </w:rPr>
            </w:pPr>
          </w:p>
        </w:tc>
        <w:tc>
          <w:tcPr>
            <w:tcW w:w="0" w:type="auto"/>
            <w:gridSpan w:val="3"/>
            <w:shd w:val="clear" w:color="auto" w:fill="auto"/>
            <w:vAlign w:val="bottom"/>
          </w:tcPr>
          <w:p w14:paraId="74DD6E48" w14:textId="77777777" w:rsidR="00584EC1" w:rsidRDefault="00584EC1">
            <w:pPr>
              <w:rPr>
                <w:rFonts w:ascii="宋体"/>
                <w:vanish/>
              </w:rPr>
            </w:pPr>
          </w:p>
        </w:tc>
        <w:tc>
          <w:tcPr>
            <w:tcW w:w="0" w:type="auto"/>
            <w:gridSpan w:val="3"/>
            <w:shd w:val="clear" w:color="auto" w:fill="auto"/>
            <w:vAlign w:val="bottom"/>
          </w:tcPr>
          <w:p w14:paraId="74DD6E49" w14:textId="77777777" w:rsidR="00584EC1" w:rsidRDefault="00584EC1">
            <w:pPr>
              <w:rPr>
                <w:rFonts w:ascii="宋体"/>
                <w:vanish/>
              </w:rPr>
            </w:pPr>
          </w:p>
        </w:tc>
        <w:tc>
          <w:tcPr>
            <w:tcW w:w="0" w:type="auto"/>
            <w:gridSpan w:val="2"/>
            <w:shd w:val="clear" w:color="auto" w:fill="auto"/>
            <w:vAlign w:val="bottom"/>
          </w:tcPr>
          <w:p w14:paraId="74DD6E4A" w14:textId="77777777" w:rsidR="00584EC1" w:rsidRDefault="00584EC1">
            <w:pPr>
              <w:rPr>
                <w:rFonts w:ascii="宋体"/>
                <w:vanish/>
              </w:rPr>
            </w:pPr>
          </w:p>
        </w:tc>
        <w:tc>
          <w:tcPr>
            <w:tcW w:w="0" w:type="auto"/>
            <w:shd w:val="clear" w:color="auto" w:fill="auto"/>
            <w:vAlign w:val="bottom"/>
          </w:tcPr>
          <w:p w14:paraId="74DD6E4B" w14:textId="77777777" w:rsidR="00584EC1" w:rsidRDefault="00584EC1">
            <w:pPr>
              <w:rPr>
                <w:rFonts w:ascii="宋体"/>
                <w:vanish/>
              </w:rPr>
            </w:pPr>
          </w:p>
        </w:tc>
      </w:tr>
      <w:tr w:rsidR="00584EC1" w14:paraId="74DD6E5E" w14:textId="77777777">
        <w:tc>
          <w:tcPr>
            <w:tcW w:w="0" w:type="auto"/>
            <w:gridSpan w:val="3"/>
            <w:shd w:val="clear" w:color="auto" w:fill="auto"/>
            <w:tcMar>
              <w:top w:w="0" w:type="dxa"/>
              <w:left w:w="20" w:type="dxa"/>
              <w:bottom w:w="0" w:type="dxa"/>
              <w:right w:w="20" w:type="dxa"/>
            </w:tcMar>
            <w:vAlign w:val="bottom"/>
          </w:tcPr>
          <w:p w14:paraId="74DD6E4D" w14:textId="77777777" w:rsidR="00584EC1" w:rsidRDefault="00584EC1">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74DD6E4E" w14:textId="77777777" w:rsidR="00584EC1" w:rsidRDefault="00871F8D">
            <w:pPr>
              <w:jc w:val="center"/>
              <w:textAlignment w:val="bottom"/>
            </w:pPr>
            <w:r>
              <w:rPr>
                <w:rFonts w:ascii="Arial" w:eastAsia="宋体" w:hAnsi="Arial" w:cs="Arial"/>
                <w:b/>
                <w:bCs/>
                <w:color w:val="000000"/>
                <w:sz w:val="12"/>
                <w:szCs w:val="12"/>
              </w:rPr>
              <w:t>Nine Months Ended September 30,</w:t>
            </w:r>
          </w:p>
        </w:tc>
        <w:tc>
          <w:tcPr>
            <w:tcW w:w="0" w:type="auto"/>
            <w:shd w:val="clear" w:color="auto" w:fill="auto"/>
            <w:vAlign w:val="bottom"/>
          </w:tcPr>
          <w:p w14:paraId="74DD6E4F" w14:textId="77777777" w:rsidR="00584EC1" w:rsidRDefault="00584EC1">
            <w:pPr>
              <w:rPr>
                <w:rFonts w:ascii="宋体"/>
                <w:vanish/>
              </w:rPr>
            </w:pPr>
          </w:p>
        </w:tc>
        <w:tc>
          <w:tcPr>
            <w:tcW w:w="0" w:type="auto"/>
            <w:shd w:val="clear" w:color="auto" w:fill="auto"/>
            <w:vAlign w:val="bottom"/>
          </w:tcPr>
          <w:p w14:paraId="74DD6E50" w14:textId="77777777" w:rsidR="00584EC1" w:rsidRDefault="00584EC1">
            <w:pPr>
              <w:rPr>
                <w:rFonts w:ascii="宋体"/>
                <w:vanish/>
              </w:rPr>
            </w:pPr>
          </w:p>
        </w:tc>
        <w:tc>
          <w:tcPr>
            <w:tcW w:w="0" w:type="auto"/>
            <w:shd w:val="clear" w:color="auto" w:fill="auto"/>
            <w:vAlign w:val="bottom"/>
          </w:tcPr>
          <w:p w14:paraId="74DD6E51" w14:textId="77777777" w:rsidR="00584EC1" w:rsidRDefault="00584EC1">
            <w:pPr>
              <w:rPr>
                <w:rFonts w:ascii="宋体"/>
                <w:vanish/>
              </w:rPr>
            </w:pPr>
          </w:p>
        </w:tc>
        <w:tc>
          <w:tcPr>
            <w:tcW w:w="0" w:type="auto"/>
            <w:shd w:val="clear" w:color="auto" w:fill="auto"/>
            <w:vAlign w:val="bottom"/>
          </w:tcPr>
          <w:p w14:paraId="74DD6E52" w14:textId="77777777" w:rsidR="00584EC1" w:rsidRDefault="00584EC1">
            <w:pPr>
              <w:rPr>
                <w:rFonts w:ascii="宋体"/>
                <w:vanish/>
              </w:rPr>
            </w:pPr>
          </w:p>
        </w:tc>
        <w:tc>
          <w:tcPr>
            <w:tcW w:w="0" w:type="auto"/>
            <w:gridSpan w:val="3"/>
            <w:shd w:val="clear" w:color="auto" w:fill="auto"/>
            <w:vAlign w:val="bottom"/>
          </w:tcPr>
          <w:p w14:paraId="74DD6E53" w14:textId="77777777" w:rsidR="00584EC1" w:rsidRDefault="00584EC1">
            <w:pPr>
              <w:rPr>
                <w:rFonts w:ascii="宋体"/>
                <w:vanish/>
              </w:rPr>
            </w:pPr>
          </w:p>
        </w:tc>
        <w:tc>
          <w:tcPr>
            <w:tcW w:w="0" w:type="auto"/>
            <w:gridSpan w:val="3"/>
            <w:shd w:val="clear" w:color="auto" w:fill="auto"/>
            <w:vAlign w:val="bottom"/>
          </w:tcPr>
          <w:p w14:paraId="74DD6E54" w14:textId="77777777" w:rsidR="00584EC1" w:rsidRDefault="00584EC1">
            <w:pPr>
              <w:rPr>
                <w:rFonts w:ascii="宋体"/>
                <w:vanish/>
              </w:rPr>
            </w:pPr>
          </w:p>
        </w:tc>
        <w:tc>
          <w:tcPr>
            <w:tcW w:w="0" w:type="auto"/>
            <w:shd w:val="clear" w:color="auto" w:fill="auto"/>
            <w:vAlign w:val="bottom"/>
          </w:tcPr>
          <w:p w14:paraId="74DD6E55" w14:textId="77777777" w:rsidR="00584EC1" w:rsidRDefault="00584EC1">
            <w:pPr>
              <w:rPr>
                <w:rFonts w:ascii="宋体"/>
              </w:rPr>
            </w:pPr>
          </w:p>
        </w:tc>
        <w:tc>
          <w:tcPr>
            <w:tcW w:w="0" w:type="auto"/>
            <w:shd w:val="clear" w:color="auto" w:fill="auto"/>
            <w:vAlign w:val="bottom"/>
          </w:tcPr>
          <w:p w14:paraId="74DD6E56" w14:textId="77777777" w:rsidR="00584EC1" w:rsidRDefault="00584EC1">
            <w:pPr>
              <w:rPr>
                <w:rFonts w:ascii="宋体"/>
              </w:rPr>
            </w:pPr>
          </w:p>
        </w:tc>
        <w:tc>
          <w:tcPr>
            <w:tcW w:w="0" w:type="auto"/>
            <w:shd w:val="clear" w:color="auto" w:fill="auto"/>
            <w:vAlign w:val="bottom"/>
          </w:tcPr>
          <w:p w14:paraId="74DD6E57" w14:textId="77777777" w:rsidR="00584EC1" w:rsidRDefault="00584EC1">
            <w:pPr>
              <w:rPr>
                <w:rFonts w:ascii="宋体"/>
              </w:rPr>
            </w:pPr>
          </w:p>
        </w:tc>
        <w:tc>
          <w:tcPr>
            <w:tcW w:w="0" w:type="auto"/>
            <w:shd w:val="clear" w:color="auto" w:fill="auto"/>
            <w:vAlign w:val="bottom"/>
          </w:tcPr>
          <w:p w14:paraId="74DD6E58" w14:textId="77777777" w:rsidR="00584EC1" w:rsidRDefault="00584EC1">
            <w:pPr>
              <w:rPr>
                <w:rFonts w:ascii="宋体"/>
              </w:rPr>
            </w:pPr>
          </w:p>
        </w:tc>
        <w:tc>
          <w:tcPr>
            <w:tcW w:w="0" w:type="auto"/>
            <w:shd w:val="clear" w:color="auto" w:fill="auto"/>
            <w:vAlign w:val="bottom"/>
          </w:tcPr>
          <w:p w14:paraId="74DD6E59" w14:textId="77777777" w:rsidR="00584EC1" w:rsidRDefault="00584EC1">
            <w:pPr>
              <w:rPr>
                <w:rFonts w:ascii="宋体"/>
              </w:rPr>
            </w:pPr>
          </w:p>
        </w:tc>
        <w:tc>
          <w:tcPr>
            <w:tcW w:w="0" w:type="auto"/>
            <w:shd w:val="clear" w:color="auto" w:fill="auto"/>
            <w:vAlign w:val="bottom"/>
          </w:tcPr>
          <w:p w14:paraId="74DD6E5A" w14:textId="77777777" w:rsidR="00584EC1" w:rsidRDefault="00584EC1">
            <w:pPr>
              <w:rPr>
                <w:rFonts w:ascii="宋体"/>
              </w:rPr>
            </w:pPr>
          </w:p>
        </w:tc>
        <w:tc>
          <w:tcPr>
            <w:tcW w:w="0" w:type="auto"/>
            <w:shd w:val="clear" w:color="auto" w:fill="auto"/>
            <w:vAlign w:val="bottom"/>
          </w:tcPr>
          <w:p w14:paraId="74DD6E5B" w14:textId="77777777" w:rsidR="00584EC1" w:rsidRDefault="00584EC1">
            <w:pPr>
              <w:rPr>
                <w:rFonts w:ascii="宋体"/>
              </w:rPr>
            </w:pPr>
          </w:p>
        </w:tc>
        <w:tc>
          <w:tcPr>
            <w:tcW w:w="0" w:type="auto"/>
            <w:shd w:val="clear" w:color="auto" w:fill="auto"/>
            <w:vAlign w:val="bottom"/>
          </w:tcPr>
          <w:p w14:paraId="74DD6E5C" w14:textId="77777777" w:rsidR="00584EC1" w:rsidRDefault="00584EC1">
            <w:pPr>
              <w:rPr>
                <w:rFonts w:ascii="宋体"/>
              </w:rPr>
            </w:pPr>
          </w:p>
        </w:tc>
        <w:tc>
          <w:tcPr>
            <w:tcW w:w="0" w:type="auto"/>
            <w:shd w:val="clear" w:color="auto" w:fill="auto"/>
            <w:vAlign w:val="bottom"/>
          </w:tcPr>
          <w:p w14:paraId="74DD6E5D" w14:textId="77777777" w:rsidR="00584EC1" w:rsidRDefault="00584EC1">
            <w:pPr>
              <w:rPr>
                <w:rFonts w:ascii="宋体"/>
              </w:rPr>
            </w:pPr>
          </w:p>
        </w:tc>
      </w:tr>
      <w:tr w:rsidR="00584EC1" w14:paraId="74DD6E76" w14:textId="77777777">
        <w:tc>
          <w:tcPr>
            <w:tcW w:w="0" w:type="auto"/>
            <w:gridSpan w:val="3"/>
            <w:shd w:val="clear" w:color="auto" w:fill="auto"/>
            <w:tcMar>
              <w:top w:w="0" w:type="dxa"/>
              <w:left w:w="20" w:type="dxa"/>
              <w:bottom w:w="0" w:type="dxa"/>
              <w:right w:w="20" w:type="dxa"/>
            </w:tcMar>
            <w:vAlign w:val="bottom"/>
          </w:tcPr>
          <w:p w14:paraId="74DD6E5F" w14:textId="77777777" w:rsidR="00584EC1" w:rsidRDefault="00584EC1">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4DD6E60" w14:textId="77777777" w:rsidR="00584EC1" w:rsidRDefault="00871F8D">
            <w:pPr>
              <w:jc w:val="center"/>
              <w:textAlignment w:val="bottom"/>
            </w:pPr>
            <w:r>
              <w:rPr>
                <w:rFonts w:ascii="Arial" w:eastAsia="宋体" w:hAnsi="Arial" w:cs="Arial"/>
                <w:b/>
                <w:bCs/>
                <w:color w:val="000000"/>
                <w:sz w:val="12"/>
                <w:szCs w:val="12"/>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6E61" w14:textId="77777777" w:rsidR="00584EC1" w:rsidRDefault="00584EC1">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4DD6E62" w14:textId="77777777" w:rsidR="00584EC1" w:rsidRDefault="00871F8D">
            <w:pPr>
              <w:jc w:val="center"/>
              <w:textAlignment w:val="bottom"/>
            </w:pPr>
            <w:r>
              <w:rPr>
                <w:rFonts w:ascii="Arial" w:eastAsia="宋体" w:hAnsi="Arial" w:cs="Arial"/>
                <w:b/>
                <w:bCs/>
                <w:color w:val="000000"/>
                <w:sz w:val="12"/>
                <w:szCs w:val="12"/>
              </w:rPr>
              <w:t>2020</w:t>
            </w:r>
          </w:p>
        </w:tc>
        <w:tc>
          <w:tcPr>
            <w:tcW w:w="0" w:type="auto"/>
            <w:shd w:val="clear" w:color="auto" w:fill="auto"/>
            <w:vAlign w:val="bottom"/>
          </w:tcPr>
          <w:p w14:paraId="74DD6E63" w14:textId="77777777" w:rsidR="00584EC1" w:rsidRDefault="00584EC1">
            <w:pPr>
              <w:rPr>
                <w:rFonts w:ascii="宋体"/>
                <w:vanish/>
              </w:rPr>
            </w:pPr>
          </w:p>
        </w:tc>
        <w:tc>
          <w:tcPr>
            <w:tcW w:w="0" w:type="auto"/>
            <w:shd w:val="clear" w:color="auto" w:fill="auto"/>
            <w:vAlign w:val="bottom"/>
          </w:tcPr>
          <w:p w14:paraId="74DD6E64" w14:textId="77777777" w:rsidR="00584EC1" w:rsidRDefault="00584EC1">
            <w:pPr>
              <w:rPr>
                <w:rFonts w:ascii="宋体"/>
                <w:vanish/>
              </w:rPr>
            </w:pPr>
          </w:p>
        </w:tc>
        <w:tc>
          <w:tcPr>
            <w:tcW w:w="0" w:type="auto"/>
            <w:shd w:val="clear" w:color="auto" w:fill="auto"/>
            <w:vAlign w:val="bottom"/>
          </w:tcPr>
          <w:p w14:paraId="74DD6E65" w14:textId="77777777" w:rsidR="00584EC1" w:rsidRDefault="00584EC1">
            <w:pPr>
              <w:rPr>
                <w:rFonts w:ascii="宋体"/>
                <w:vanish/>
              </w:rPr>
            </w:pPr>
          </w:p>
        </w:tc>
        <w:tc>
          <w:tcPr>
            <w:tcW w:w="0" w:type="auto"/>
            <w:shd w:val="clear" w:color="auto" w:fill="auto"/>
            <w:vAlign w:val="bottom"/>
          </w:tcPr>
          <w:p w14:paraId="74DD6E66" w14:textId="77777777" w:rsidR="00584EC1" w:rsidRDefault="00584EC1">
            <w:pPr>
              <w:rPr>
                <w:rFonts w:ascii="宋体"/>
                <w:vanish/>
              </w:rPr>
            </w:pPr>
          </w:p>
        </w:tc>
        <w:tc>
          <w:tcPr>
            <w:tcW w:w="0" w:type="auto"/>
            <w:shd w:val="clear" w:color="auto" w:fill="auto"/>
            <w:vAlign w:val="bottom"/>
          </w:tcPr>
          <w:p w14:paraId="74DD6E67" w14:textId="77777777" w:rsidR="00584EC1" w:rsidRDefault="00584EC1">
            <w:pPr>
              <w:rPr>
                <w:rFonts w:ascii="宋体"/>
              </w:rPr>
            </w:pPr>
          </w:p>
        </w:tc>
        <w:tc>
          <w:tcPr>
            <w:tcW w:w="0" w:type="auto"/>
            <w:shd w:val="clear" w:color="auto" w:fill="auto"/>
            <w:vAlign w:val="bottom"/>
          </w:tcPr>
          <w:p w14:paraId="74DD6E68" w14:textId="77777777" w:rsidR="00584EC1" w:rsidRDefault="00584EC1">
            <w:pPr>
              <w:rPr>
                <w:rFonts w:ascii="宋体"/>
              </w:rPr>
            </w:pPr>
          </w:p>
        </w:tc>
        <w:tc>
          <w:tcPr>
            <w:tcW w:w="0" w:type="auto"/>
            <w:shd w:val="clear" w:color="auto" w:fill="auto"/>
            <w:vAlign w:val="bottom"/>
          </w:tcPr>
          <w:p w14:paraId="74DD6E69" w14:textId="77777777" w:rsidR="00584EC1" w:rsidRDefault="00584EC1">
            <w:pPr>
              <w:rPr>
                <w:rFonts w:ascii="宋体"/>
              </w:rPr>
            </w:pPr>
          </w:p>
        </w:tc>
        <w:tc>
          <w:tcPr>
            <w:tcW w:w="0" w:type="auto"/>
            <w:shd w:val="clear" w:color="auto" w:fill="auto"/>
            <w:vAlign w:val="bottom"/>
          </w:tcPr>
          <w:p w14:paraId="74DD6E6A" w14:textId="77777777" w:rsidR="00584EC1" w:rsidRDefault="00584EC1">
            <w:pPr>
              <w:rPr>
                <w:rFonts w:ascii="宋体"/>
              </w:rPr>
            </w:pPr>
          </w:p>
        </w:tc>
        <w:tc>
          <w:tcPr>
            <w:tcW w:w="0" w:type="auto"/>
            <w:shd w:val="clear" w:color="auto" w:fill="auto"/>
            <w:vAlign w:val="bottom"/>
          </w:tcPr>
          <w:p w14:paraId="74DD6E6B" w14:textId="77777777" w:rsidR="00584EC1" w:rsidRDefault="00584EC1">
            <w:pPr>
              <w:rPr>
                <w:rFonts w:ascii="宋体"/>
              </w:rPr>
            </w:pPr>
          </w:p>
        </w:tc>
        <w:tc>
          <w:tcPr>
            <w:tcW w:w="0" w:type="auto"/>
            <w:shd w:val="clear" w:color="auto" w:fill="auto"/>
            <w:vAlign w:val="bottom"/>
          </w:tcPr>
          <w:p w14:paraId="74DD6E6C" w14:textId="77777777" w:rsidR="00584EC1" w:rsidRDefault="00584EC1">
            <w:pPr>
              <w:rPr>
                <w:rFonts w:ascii="宋体"/>
              </w:rPr>
            </w:pPr>
          </w:p>
        </w:tc>
        <w:tc>
          <w:tcPr>
            <w:tcW w:w="0" w:type="auto"/>
            <w:shd w:val="clear" w:color="auto" w:fill="auto"/>
            <w:vAlign w:val="bottom"/>
          </w:tcPr>
          <w:p w14:paraId="74DD6E6D" w14:textId="77777777" w:rsidR="00584EC1" w:rsidRDefault="00584EC1">
            <w:pPr>
              <w:rPr>
                <w:rFonts w:ascii="宋体"/>
              </w:rPr>
            </w:pPr>
          </w:p>
        </w:tc>
        <w:tc>
          <w:tcPr>
            <w:tcW w:w="0" w:type="auto"/>
            <w:shd w:val="clear" w:color="auto" w:fill="auto"/>
            <w:vAlign w:val="bottom"/>
          </w:tcPr>
          <w:p w14:paraId="74DD6E6E" w14:textId="77777777" w:rsidR="00584EC1" w:rsidRDefault="00584EC1">
            <w:pPr>
              <w:rPr>
                <w:rFonts w:ascii="宋体"/>
              </w:rPr>
            </w:pPr>
          </w:p>
        </w:tc>
        <w:tc>
          <w:tcPr>
            <w:tcW w:w="0" w:type="auto"/>
            <w:shd w:val="clear" w:color="auto" w:fill="auto"/>
            <w:vAlign w:val="bottom"/>
          </w:tcPr>
          <w:p w14:paraId="74DD6E6F" w14:textId="77777777" w:rsidR="00584EC1" w:rsidRDefault="00584EC1">
            <w:pPr>
              <w:rPr>
                <w:rFonts w:ascii="宋体"/>
              </w:rPr>
            </w:pPr>
          </w:p>
        </w:tc>
        <w:tc>
          <w:tcPr>
            <w:tcW w:w="0" w:type="auto"/>
            <w:shd w:val="clear" w:color="auto" w:fill="auto"/>
            <w:vAlign w:val="bottom"/>
          </w:tcPr>
          <w:p w14:paraId="74DD6E70" w14:textId="77777777" w:rsidR="00584EC1" w:rsidRDefault="00584EC1">
            <w:pPr>
              <w:rPr>
                <w:rFonts w:ascii="宋体"/>
              </w:rPr>
            </w:pPr>
          </w:p>
        </w:tc>
        <w:tc>
          <w:tcPr>
            <w:tcW w:w="0" w:type="auto"/>
            <w:shd w:val="clear" w:color="auto" w:fill="auto"/>
            <w:vAlign w:val="bottom"/>
          </w:tcPr>
          <w:p w14:paraId="74DD6E71" w14:textId="77777777" w:rsidR="00584EC1" w:rsidRDefault="00584EC1">
            <w:pPr>
              <w:rPr>
                <w:rFonts w:ascii="宋体"/>
              </w:rPr>
            </w:pPr>
          </w:p>
        </w:tc>
        <w:tc>
          <w:tcPr>
            <w:tcW w:w="0" w:type="auto"/>
            <w:shd w:val="clear" w:color="auto" w:fill="auto"/>
            <w:vAlign w:val="bottom"/>
          </w:tcPr>
          <w:p w14:paraId="74DD6E72" w14:textId="77777777" w:rsidR="00584EC1" w:rsidRDefault="00584EC1">
            <w:pPr>
              <w:rPr>
                <w:rFonts w:ascii="宋体"/>
              </w:rPr>
            </w:pPr>
          </w:p>
        </w:tc>
        <w:tc>
          <w:tcPr>
            <w:tcW w:w="0" w:type="auto"/>
            <w:shd w:val="clear" w:color="auto" w:fill="auto"/>
            <w:vAlign w:val="bottom"/>
          </w:tcPr>
          <w:p w14:paraId="74DD6E73" w14:textId="77777777" w:rsidR="00584EC1" w:rsidRDefault="00584EC1">
            <w:pPr>
              <w:rPr>
                <w:rFonts w:ascii="宋体"/>
              </w:rPr>
            </w:pPr>
          </w:p>
        </w:tc>
        <w:tc>
          <w:tcPr>
            <w:tcW w:w="0" w:type="auto"/>
            <w:shd w:val="clear" w:color="auto" w:fill="auto"/>
            <w:vAlign w:val="bottom"/>
          </w:tcPr>
          <w:p w14:paraId="74DD6E74" w14:textId="77777777" w:rsidR="00584EC1" w:rsidRDefault="00584EC1">
            <w:pPr>
              <w:rPr>
                <w:rFonts w:ascii="宋体"/>
              </w:rPr>
            </w:pPr>
          </w:p>
        </w:tc>
        <w:tc>
          <w:tcPr>
            <w:tcW w:w="0" w:type="auto"/>
            <w:shd w:val="clear" w:color="auto" w:fill="auto"/>
            <w:vAlign w:val="bottom"/>
          </w:tcPr>
          <w:p w14:paraId="74DD6E75" w14:textId="77777777" w:rsidR="00584EC1" w:rsidRDefault="00584EC1">
            <w:pPr>
              <w:rPr>
                <w:rFonts w:ascii="宋体"/>
              </w:rPr>
            </w:pPr>
          </w:p>
        </w:tc>
      </w:tr>
      <w:tr w:rsidR="00584EC1" w14:paraId="74DD6E8D" w14:textId="77777777">
        <w:tc>
          <w:tcPr>
            <w:tcW w:w="0" w:type="auto"/>
            <w:gridSpan w:val="3"/>
            <w:shd w:val="clear" w:color="auto" w:fill="FFFFFF"/>
            <w:tcMar>
              <w:top w:w="40" w:type="dxa"/>
              <w:left w:w="20" w:type="dxa"/>
              <w:bottom w:w="40" w:type="dxa"/>
              <w:right w:w="20" w:type="dxa"/>
            </w:tcMar>
            <w:vAlign w:val="bottom"/>
          </w:tcPr>
          <w:p w14:paraId="74DD6E77" w14:textId="77777777" w:rsidR="00584EC1" w:rsidRDefault="00871F8D">
            <w:pPr>
              <w:textAlignment w:val="bottom"/>
            </w:pPr>
            <w:r>
              <w:rPr>
                <w:rFonts w:ascii="Arial" w:eastAsia="宋体" w:hAnsi="Arial" w:cs="Arial"/>
                <w:b/>
                <w:bCs/>
                <w:color w:val="000000"/>
                <w:sz w:val="12"/>
                <w:szCs w:val="12"/>
              </w:rPr>
              <w:t>(Dollars in millions; fully taxable-equivalent basis)</w:t>
            </w: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74DD6E78" w14:textId="77777777" w:rsidR="00584EC1" w:rsidRDefault="00871F8D">
            <w:pPr>
              <w:jc w:val="center"/>
              <w:textAlignment w:val="bottom"/>
            </w:pPr>
            <w:r>
              <w:rPr>
                <w:rFonts w:ascii="Arial" w:eastAsia="宋体" w:hAnsi="Arial" w:cs="Arial"/>
                <w:b/>
                <w:bCs/>
                <w:color w:val="000000"/>
                <w:sz w:val="12"/>
                <w:szCs w:val="12"/>
              </w:rPr>
              <w:t>Average</w:t>
            </w:r>
            <w:r>
              <w:rPr>
                <w:rFonts w:ascii="Arial" w:eastAsia="宋体" w:hAnsi="Arial" w:cs="Arial"/>
                <w:b/>
                <w:bCs/>
                <w:color w:val="000000"/>
                <w:sz w:val="12"/>
                <w:szCs w:val="12"/>
              </w:rPr>
              <w:br/>
              <w:t>Balance</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6E79" w14:textId="77777777" w:rsidR="00584EC1" w:rsidRDefault="00584EC1">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74DD6E7A" w14:textId="77777777" w:rsidR="00584EC1" w:rsidRDefault="00871F8D">
            <w:pPr>
              <w:jc w:val="center"/>
              <w:textAlignment w:val="bottom"/>
            </w:pPr>
            <w:r>
              <w:rPr>
                <w:rFonts w:ascii="Arial" w:eastAsia="宋体" w:hAnsi="Arial" w:cs="Arial"/>
                <w:b/>
                <w:bCs/>
                <w:color w:val="000000"/>
                <w:sz w:val="12"/>
                <w:szCs w:val="12"/>
              </w:rPr>
              <w:t>Interest</w:t>
            </w:r>
            <w:r>
              <w:rPr>
                <w:rFonts w:ascii="Arial" w:eastAsia="宋体" w:hAnsi="Arial" w:cs="Arial"/>
                <w:b/>
                <w:bCs/>
                <w:color w:val="000000"/>
                <w:sz w:val="12"/>
                <w:szCs w:val="12"/>
              </w:rPr>
              <w:br/>
              <w:t>Revenue/Expense</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6E7B" w14:textId="77777777" w:rsidR="00584EC1" w:rsidRDefault="00584EC1">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74DD6E7C" w14:textId="77777777" w:rsidR="00584EC1" w:rsidRDefault="00871F8D">
            <w:pPr>
              <w:jc w:val="center"/>
              <w:textAlignment w:val="bottom"/>
            </w:pPr>
            <w:r>
              <w:rPr>
                <w:rFonts w:ascii="Arial" w:eastAsia="宋体" w:hAnsi="Arial" w:cs="Arial"/>
                <w:b/>
                <w:bCs/>
                <w:color w:val="000000"/>
                <w:sz w:val="12"/>
                <w:szCs w:val="12"/>
              </w:rPr>
              <w:t>Rate</w:t>
            </w:r>
          </w:p>
        </w:tc>
        <w:tc>
          <w:tcPr>
            <w:tcW w:w="0" w:type="auto"/>
            <w:gridSpan w:val="3"/>
            <w:shd w:val="clear" w:color="auto" w:fill="FFFFFF"/>
            <w:tcMar>
              <w:top w:w="0" w:type="dxa"/>
              <w:left w:w="20" w:type="dxa"/>
              <w:bottom w:w="0" w:type="dxa"/>
              <w:right w:w="20" w:type="dxa"/>
            </w:tcMar>
            <w:vAlign w:val="bottom"/>
          </w:tcPr>
          <w:p w14:paraId="74DD6E7D" w14:textId="77777777" w:rsidR="00584EC1" w:rsidRDefault="00584EC1">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74DD6E7E" w14:textId="77777777" w:rsidR="00584EC1" w:rsidRDefault="00871F8D">
            <w:pPr>
              <w:jc w:val="center"/>
              <w:textAlignment w:val="bottom"/>
            </w:pPr>
            <w:r>
              <w:rPr>
                <w:rFonts w:ascii="Arial" w:eastAsia="宋体" w:hAnsi="Arial" w:cs="Arial"/>
                <w:b/>
                <w:bCs/>
                <w:color w:val="000000"/>
                <w:sz w:val="12"/>
                <w:szCs w:val="12"/>
              </w:rPr>
              <w:t>Average</w:t>
            </w:r>
            <w:r>
              <w:rPr>
                <w:rFonts w:ascii="Arial" w:eastAsia="宋体" w:hAnsi="Arial" w:cs="Arial"/>
                <w:b/>
                <w:bCs/>
                <w:color w:val="000000"/>
                <w:sz w:val="12"/>
                <w:szCs w:val="12"/>
              </w:rPr>
              <w:br/>
              <w:t>Balance</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6E7F" w14:textId="77777777" w:rsidR="00584EC1" w:rsidRDefault="00584EC1">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74DD6E80" w14:textId="77777777" w:rsidR="00584EC1" w:rsidRDefault="00871F8D">
            <w:pPr>
              <w:jc w:val="center"/>
              <w:textAlignment w:val="bottom"/>
            </w:pPr>
            <w:r>
              <w:rPr>
                <w:rFonts w:ascii="Arial" w:eastAsia="宋体" w:hAnsi="Arial" w:cs="Arial"/>
                <w:b/>
                <w:bCs/>
                <w:color w:val="000000"/>
                <w:sz w:val="12"/>
                <w:szCs w:val="12"/>
              </w:rPr>
              <w:t>Interest</w:t>
            </w:r>
            <w:r>
              <w:rPr>
                <w:rFonts w:ascii="Arial" w:eastAsia="宋体" w:hAnsi="Arial" w:cs="Arial"/>
                <w:b/>
                <w:bCs/>
                <w:color w:val="000000"/>
                <w:sz w:val="12"/>
                <w:szCs w:val="12"/>
              </w:rPr>
              <w:br/>
              <w:t>Revenue/Expense</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6E81" w14:textId="77777777" w:rsidR="00584EC1" w:rsidRDefault="00584EC1">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74DD6E82" w14:textId="77777777" w:rsidR="00584EC1" w:rsidRDefault="00871F8D">
            <w:pPr>
              <w:jc w:val="center"/>
              <w:textAlignment w:val="bottom"/>
            </w:pPr>
            <w:r>
              <w:rPr>
                <w:rFonts w:ascii="Arial" w:eastAsia="宋体" w:hAnsi="Arial" w:cs="Arial"/>
                <w:b/>
                <w:bCs/>
                <w:color w:val="000000"/>
                <w:sz w:val="12"/>
                <w:szCs w:val="12"/>
              </w:rPr>
              <w:t>Rate</w:t>
            </w:r>
          </w:p>
        </w:tc>
        <w:tc>
          <w:tcPr>
            <w:tcW w:w="0" w:type="auto"/>
            <w:shd w:val="clear" w:color="auto" w:fill="auto"/>
            <w:vAlign w:val="bottom"/>
          </w:tcPr>
          <w:p w14:paraId="74DD6E83" w14:textId="77777777" w:rsidR="00584EC1" w:rsidRDefault="00584EC1">
            <w:pPr>
              <w:rPr>
                <w:rFonts w:ascii="宋体"/>
                <w:vanish/>
              </w:rPr>
            </w:pPr>
          </w:p>
        </w:tc>
        <w:tc>
          <w:tcPr>
            <w:tcW w:w="0" w:type="auto"/>
            <w:shd w:val="clear" w:color="auto" w:fill="auto"/>
            <w:vAlign w:val="bottom"/>
          </w:tcPr>
          <w:p w14:paraId="74DD6E84" w14:textId="77777777" w:rsidR="00584EC1" w:rsidRDefault="00584EC1">
            <w:pPr>
              <w:rPr>
                <w:rFonts w:ascii="宋体"/>
                <w:vanish/>
              </w:rPr>
            </w:pPr>
          </w:p>
        </w:tc>
        <w:tc>
          <w:tcPr>
            <w:tcW w:w="0" w:type="auto"/>
            <w:shd w:val="clear" w:color="auto" w:fill="auto"/>
            <w:vAlign w:val="bottom"/>
          </w:tcPr>
          <w:p w14:paraId="74DD6E85" w14:textId="77777777" w:rsidR="00584EC1" w:rsidRDefault="00584EC1">
            <w:pPr>
              <w:rPr>
                <w:rFonts w:ascii="宋体"/>
                <w:vanish/>
              </w:rPr>
            </w:pPr>
          </w:p>
        </w:tc>
        <w:tc>
          <w:tcPr>
            <w:tcW w:w="0" w:type="auto"/>
            <w:shd w:val="clear" w:color="auto" w:fill="auto"/>
            <w:vAlign w:val="bottom"/>
          </w:tcPr>
          <w:p w14:paraId="74DD6E86" w14:textId="77777777" w:rsidR="00584EC1" w:rsidRDefault="00584EC1">
            <w:pPr>
              <w:rPr>
                <w:rFonts w:ascii="宋体"/>
                <w:vanish/>
              </w:rPr>
            </w:pPr>
          </w:p>
        </w:tc>
        <w:tc>
          <w:tcPr>
            <w:tcW w:w="0" w:type="auto"/>
            <w:gridSpan w:val="3"/>
            <w:shd w:val="clear" w:color="auto" w:fill="auto"/>
            <w:vAlign w:val="bottom"/>
          </w:tcPr>
          <w:p w14:paraId="74DD6E87" w14:textId="77777777" w:rsidR="00584EC1" w:rsidRDefault="00584EC1">
            <w:pPr>
              <w:rPr>
                <w:rFonts w:ascii="宋体"/>
                <w:vanish/>
              </w:rPr>
            </w:pPr>
          </w:p>
        </w:tc>
        <w:tc>
          <w:tcPr>
            <w:tcW w:w="0" w:type="auto"/>
            <w:gridSpan w:val="3"/>
            <w:shd w:val="clear" w:color="auto" w:fill="auto"/>
            <w:vAlign w:val="bottom"/>
          </w:tcPr>
          <w:p w14:paraId="74DD6E88" w14:textId="77777777" w:rsidR="00584EC1" w:rsidRDefault="00584EC1">
            <w:pPr>
              <w:rPr>
                <w:rFonts w:ascii="宋体"/>
                <w:vanish/>
              </w:rPr>
            </w:pPr>
          </w:p>
        </w:tc>
        <w:tc>
          <w:tcPr>
            <w:tcW w:w="0" w:type="auto"/>
            <w:gridSpan w:val="3"/>
            <w:shd w:val="clear" w:color="auto" w:fill="auto"/>
            <w:vAlign w:val="bottom"/>
          </w:tcPr>
          <w:p w14:paraId="74DD6E89" w14:textId="77777777" w:rsidR="00584EC1" w:rsidRDefault="00584EC1">
            <w:pPr>
              <w:rPr>
                <w:rFonts w:ascii="宋体"/>
                <w:vanish/>
              </w:rPr>
            </w:pPr>
          </w:p>
        </w:tc>
        <w:tc>
          <w:tcPr>
            <w:tcW w:w="0" w:type="auto"/>
            <w:gridSpan w:val="3"/>
            <w:shd w:val="clear" w:color="auto" w:fill="auto"/>
            <w:vAlign w:val="bottom"/>
          </w:tcPr>
          <w:p w14:paraId="74DD6E8A" w14:textId="77777777" w:rsidR="00584EC1" w:rsidRDefault="00584EC1">
            <w:pPr>
              <w:rPr>
                <w:rFonts w:ascii="宋体"/>
                <w:vanish/>
              </w:rPr>
            </w:pPr>
          </w:p>
        </w:tc>
        <w:tc>
          <w:tcPr>
            <w:tcW w:w="0" w:type="auto"/>
            <w:gridSpan w:val="2"/>
            <w:shd w:val="clear" w:color="auto" w:fill="auto"/>
            <w:vAlign w:val="bottom"/>
          </w:tcPr>
          <w:p w14:paraId="74DD6E8B" w14:textId="77777777" w:rsidR="00584EC1" w:rsidRDefault="00584EC1">
            <w:pPr>
              <w:rPr>
                <w:rFonts w:ascii="宋体"/>
                <w:vanish/>
              </w:rPr>
            </w:pPr>
          </w:p>
        </w:tc>
        <w:tc>
          <w:tcPr>
            <w:tcW w:w="0" w:type="auto"/>
            <w:shd w:val="clear" w:color="auto" w:fill="auto"/>
            <w:vAlign w:val="bottom"/>
          </w:tcPr>
          <w:p w14:paraId="74DD6E8C" w14:textId="77777777" w:rsidR="00584EC1" w:rsidRDefault="00584EC1">
            <w:pPr>
              <w:rPr>
                <w:rFonts w:ascii="宋体"/>
                <w:vanish/>
              </w:rPr>
            </w:pPr>
          </w:p>
        </w:tc>
      </w:tr>
      <w:tr w:rsidR="00584EC1" w14:paraId="74DD6EAE" w14:textId="77777777">
        <w:tc>
          <w:tcPr>
            <w:tcW w:w="0" w:type="auto"/>
            <w:gridSpan w:val="3"/>
            <w:shd w:val="clear" w:color="auto" w:fill="CCEEFF"/>
            <w:tcMar>
              <w:top w:w="40" w:type="dxa"/>
              <w:left w:w="20" w:type="dxa"/>
              <w:bottom w:w="40" w:type="dxa"/>
              <w:right w:w="20" w:type="dxa"/>
            </w:tcMar>
            <w:vAlign w:val="bottom"/>
          </w:tcPr>
          <w:p w14:paraId="74DD6E8E" w14:textId="77777777" w:rsidR="00584EC1" w:rsidRDefault="00871F8D">
            <w:pPr>
              <w:textAlignment w:val="bottom"/>
            </w:pPr>
            <w:r>
              <w:rPr>
                <w:rFonts w:ascii="Arial" w:eastAsia="宋体" w:hAnsi="Arial" w:cs="Arial"/>
                <w:color w:val="000000"/>
                <w:sz w:val="12"/>
                <w:szCs w:val="12"/>
              </w:rPr>
              <w:t>Interest-bearing deposits with banks</w:t>
            </w:r>
            <w:r>
              <w:rPr>
                <w:rFonts w:ascii="Arial" w:eastAsia="宋体" w:hAnsi="Arial" w:cs="Arial"/>
                <w:color w:val="000000"/>
                <w:sz w:val="7"/>
                <w:szCs w:val="7"/>
              </w:rPr>
              <w:t>(2)</w:t>
            </w:r>
          </w:p>
        </w:tc>
        <w:tc>
          <w:tcPr>
            <w:tcW w:w="0" w:type="auto"/>
            <w:tcBorders>
              <w:top w:val="single" w:sz="8" w:space="0" w:color="000000"/>
            </w:tcBorders>
            <w:shd w:val="clear" w:color="auto" w:fill="CCEEFF"/>
            <w:tcMar>
              <w:top w:w="40" w:type="dxa"/>
              <w:left w:w="20" w:type="dxa"/>
              <w:bottom w:w="40" w:type="dxa"/>
              <w:right w:w="0" w:type="dxa"/>
            </w:tcMar>
            <w:vAlign w:val="bottom"/>
          </w:tcPr>
          <w:p w14:paraId="74DD6E8F"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6E90" w14:textId="77777777" w:rsidR="00584EC1" w:rsidRDefault="00871F8D">
            <w:pPr>
              <w:jc w:val="right"/>
              <w:textAlignment w:val="bottom"/>
            </w:pPr>
            <w:r>
              <w:rPr>
                <w:rFonts w:ascii="Arial" w:eastAsia="宋体" w:hAnsi="Arial" w:cs="Arial"/>
                <w:b/>
                <w:bCs/>
                <w:color w:val="000000"/>
                <w:sz w:val="12"/>
                <w:szCs w:val="12"/>
              </w:rPr>
              <w:t>91,291</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6E9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E92"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6E93"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6E94" w14:textId="77777777" w:rsidR="00584EC1" w:rsidRDefault="00871F8D">
            <w:pPr>
              <w:jc w:val="right"/>
              <w:textAlignment w:val="bottom"/>
            </w:pPr>
            <w:r>
              <w:rPr>
                <w:rFonts w:ascii="Arial" w:eastAsia="宋体" w:hAnsi="Arial" w:cs="Arial"/>
                <w:b/>
                <w:bCs/>
                <w:color w:val="000000"/>
                <w:sz w:val="12"/>
                <w:szCs w:val="12"/>
              </w:rPr>
              <w:t>(13)</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6E9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E96"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6E97" w14:textId="77777777" w:rsidR="00584EC1" w:rsidRDefault="00871F8D">
            <w:pPr>
              <w:jc w:val="right"/>
              <w:textAlignment w:val="bottom"/>
            </w:pPr>
            <w:r>
              <w:rPr>
                <w:rFonts w:ascii="Arial" w:eastAsia="宋体" w:hAnsi="Arial" w:cs="Arial"/>
                <w:b/>
                <w:bCs/>
                <w:color w:val="000000"/>
                <w:sz w:val="12"/>
                <w:szCs w:val="12"/>
              </w:rPr>
              <w:t>(.02)</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6E98" w14:textId="77777777" w:rsidR="00584EC1" w:rsidRDefault="00871F8D">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vAlign w:val="bottom"/>
          </w:tcPr>
          <w:p w14:paraId="74DD6E99"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6E9A"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6E9B" w14:textId="77777777" w:rsidR="00584EC1" w:rsidRDefault="00871F8D">
            <w:pPr>
              <w:jc w:val="right"/>
              <w:textAlignment w:val="bottom"/>
            </w:pPr>
            <w:r>
              <w:rPr>
                <w:rFonts w:ascii="Arial" w:eastAsia="宋体" w:hAnsi="Arial" w:cs="Arial"/>
                <w:color w:val="000000"/>
                <w:sz w:val="12"/>
                <w:szCs w:val="12"/>
              </w:rPr>
              <w:t>75,517 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6E9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E9D"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6E9E"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6E9F" w14:textId="77777777" w:rsidR="00584EC1" w:rsidRDefault="00871F8D">
            <w:pPr>
              <w:jc w:val="right"/>
              <w:textAlignment w:val="bottom"/>
            </w:pPr>
            <w:r>
              <w:rPr>
                <w:rFonts w:ascii="Arial" w:eastAsia="宋体" w:hAnsi="Arial" w:cs="Arial"/>
                <w:color w:val="000000"/>
                <w:sz w:val="12"/>
                <w:szCs w:val="12"/>
              </w:rPr>
              <w:t>79 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6EA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EA1"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6EA2" w14:textId="77777777" w:rsidR="00584EC1" w:rsidRDefault="00871F8D">
            <w:pPr>
              <w:jc w:val="right"/>
              <w:textAlignment w:val="bottom"/>
            </w:pPr>
            <w:r>
              <w:rPr>
                <w:rFonts w:ascii="Arial" w:eastAsia="宋体" w:hAnsi="Arial" w:cs="Arial"/>
                <w:color w:val="000000"/>
                <w:sz w:val="12"/>
                <w:szCs w:val="12"/>
              </w:rPr>
              <w:t>.14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6EA3" w14:textId="77777777" w:rsidR="00584EC1" w:rsidRDefault="00871F8D">
            <w:pPr>
              <w:jc w:val="right"/>
              <w:textAlignment w:val="bottom"/>
            </w:pPr>
            <w:r>
              <w:rPr>
                <w:rFonts w:ascii="Arial" w:eastAsia="宋体" w:hAnsi="Arial" w:cs="Arial"/>
                <w:color w:val="000000"/>
                <w:sz w:val="12"/>
                <w:szCs w:val="12"/>
              </w:rPr>
              <w:t>%</w:t>
            </w:r>
          </w:p>
        </w:tc>
        <w:tc>
          <w:tcPr>
            <w:tcW w:w="0" w:type="auto"/>
            <w:shd w:val="clear" w:color="auto" w:fill="auto"/>
            <w:vAlign w:val="bottom"/>
          </w:tcPr>
          <w:p w14:paraId="74DD6EA4" w14:textId="77777777" w:rsidR="00584EC1" w:rsidRDefault="00584EC1">
            <w:pPr>
              <w:rPr>
                <w:rFonts w:ascii="宋体"/>
                <w:vanish/>
              </w:rPr>
            </w:pPr>
          </w:p>
        </w:tc>
        <w:tc>
          <w:tcPr>
            <w:tcW w:w="0" w:type="auto"/>
            <w:shd w:val="clear" w:color="auto" w:fill="auto"/>
            <w:vAlign w:val="bottom"/>
          </w:tcPr>
          <w:p w14:paraId="74DD6EA5" w14:textId="77777777" w:rsidR="00584EC1" w:rsidRDefault="00584EC1">
            <w:pPr>
              <w:rPr>
                <w:rFonts w:ascii="宋体"/>
                <w:vanish/>
              </w:rPr>
            </w:pPr>
          </w:p>
        </w:tc>
        <w:tc>
          <w:tcPr>
            <w:tcW w:w="0" w:type="auto"/>
            <w:shd w:val="clear" w:color="auto" w:fill="auto"/>
            <w:vAlign w:val="bottom"/>
          </w:tcPr>
          <w:p w14:paraId="74DD6EA6" w14:textId="77777777" w:rsidR="00584EC1" w:rsidRDefault="00584EC1">
            <w:pPr>
              <w:rPr>
                <w:rFonts w:ascii="宋体"/>
                <w:vanish/>
              </w:rPr>
            </w:pPr>
          </w:p>
        </w:tc>
        <w:tc>
          <w:tcPr>
            <w:tcW w:w="0" w:type="auto"/>
            <w:shd w:val="clear" w:color="auto" w:fill="auto"/>
            <w:vAlign w:val="bottom"/>
          </w:tcPr>
          <w:p w14:paraId="74DD6EA7" w14:textId="77777777" w:rsidR="00584EC1" w:rsidRDefault="00584EC1">
            <w:pPr>
              <w:rPr>
                <w:rFonts w:ascii="宋体"/>
                <w:vanish/>
              </w:rPr>
            </w:pPr>
          </w:p>
        </w:tc>
        <w:tc>
          <w:tcPr>
            <w:tcW w:w="0" w:type="auto"/>
            <w:gridSpan w:val="3"/>
            <w:shd w:val="clear" w:color="auto" w:fill="auto"/>
            <w:vAlign w:val="bottom"/>
          </w:tcPr>
          <w:p w14:paraId="74DD6EA8" w14:textId="77777777" w:rsidR="00584EC1" w:rsidRDefault="00584EC1">
            <w:pPr>
              <w:rPr>
                <w:rFonts w:ascii="宋体"/>
                <w:vanish/>
              </w:rPr>
            </w:pPr>
          </w:p>
        </w:tc>
        <w:tc>
          <w:tcPr>
            <w:tcW w:w="0" w:type="auto"/>
            <w:gridSpan w:val="3"/>
            <w:shd w:val="clear" w:color="auto" w:fill="auto"/>
            <w:vAlign w:val="bottom"/>
          </w:tcPr>
          <w:p w14:paraId="74DD6EA9" w14:textId="77777777" w:rsidR="00584EC1" w:rsidRDefault="00584EC1">
            <w:pPr>
              <w:rPr>
                <w:rFonts w:ascii="宋体"/>
                <w:vanish/>
              </w:rPr>
            </w:pPr>
          </w:p>
        </w:tc>
        <w:tc>
          <w:tcPr>
            <w:tcW w:w="0" w:type="auto"/>
            <w:gridSpan w:val="3"/>
            <w:shd w:val="clear" w:color="auto" w:fill="auto"/>
            <w:vAlign w:val="bottom"/>
          </w:tcPr>
          <w:p w14:paraId="74DD6EAA" w14:textId="77777777" w:rsidR="00584EC1" w:rsidRDefault="00584EC1">
            <w:pPr>
              <w:rPr>
                <w:rFonts w:ascii="宋体"/>
                <w:vanish/>
              </w:rPr>
            </w:pPr>
          </w:p>
        </w:tc>
        <w:tc>
          <w:tcPr>
            <w:tcW w:w="0" w:type="auto"/>
            <w:gridSpan w:val="3"/>
            <w:shd w:val="clear" w:color="auto" w:fill="auto"/>
            <w:vAlign w:val="bottom"/>
          </w:tcPr>
          <w:p w14:paraId="74DD6EAB" w14:textId="77777777" w:rsidR="00584EC1" w:rsidRDefault="00584EC1">
            <w:pPr>
              <w:rPr>
                <w:rFonts w:ascii="宋体"/>
                <w:vanish/>
              </w:rPr>
            </w:pPr>
          </w:p>
        </w:tc>
        <w:tc>
          <w:tcPr>
            <w:tcW w:w="0" w:type="auto"/>
            <w:gridSpan w:val="2"/>
            <w:shd w:val="clear" w:color="auto" w:fill="auto"/>
            <w:vAlign w:val="bottom"/>
          </w:tcPr>
          <w:p w14:paraId="74DD6EAC" w14:textId="77777777" w:rsidR="00584EC1" w:rsidRDefault="00584EC1">
            <w:pPr>
              <w:rPr>
                <w:rFonts w:ascii="宋体"/>
                <w:vanish/>
              </w:rPr>
            </w:pPr>
          </w:p>
        </w:tc>
        <w:tc>
          <w:tcPr>
            <w:tcW w:w="0" w:type="auto"/>
            <w:shd w:val="clear" w:color="auto" w:fill="auto"/>
            <w:vAlign w:val="bottom"/>
          </w:tcPr>
          <w:p w14:paraId="74DD6EAD" w14:textId="77777777" w:rsidR="00584EC1" w:rsidRDefault="00584EC1">
            <w:pPr>
              <w:rPr>
                <w:rFonts w:ascii="宋体"/>
                <w:vanish/>
              </w:rPr>
            </w:pPr>
          </w:p>
        </w:tc>
      </w:tr>
      <w:tr w:rsidR="00584EC1" w14:paraId="74DD6ECB" w14:textId="77777777">
        <w:tc>
          <w:tcPr>
            <w:tcW w:w="0" w:type="auto"/>
            <w:gridSpan w:val="3"/>
            <w:shd w:val="clear" w:color="auto" w:fill="FFFFFF"/>
            <w:tcMar>
              <w:top w:w="40" w:type="dxa"/>
              <w:left w:w="20" w:type="dxa"/>
              <w:bottom w:w="40" w:type="dxa"/>
              <w:right w:w="20" w:type="dxa"/>
            </w:tcMar>
            <w:vAlign w:val="bottom"/>
          </w:tcPr>
          <w:p w14:paraId="74DD6EAF" w14:textId="77777777" w:rsidR="00584EC1" w:rsidRDefault="00871F8D">
            <w:pPr>
              <w:textAlignment w:val="bottom"/>
            </w:pPr>
            <w:r>
              <w:rPr>
                <w:rFonts w:ascii="Arial" w:eastAsia="宋体" w:hAnsi="Arial" w:cs="Arial"/>
                <w:color w:val="000000"/>
                <w:sz w:val="12"/>
                <w:szCs w:val="12"/>
              </w:rPr>
              <w:t>Securities purchased under resale agreements</w:t>
            </w:r>
            <w:r>
              <w:rPr>
                <w:rFonts w:ascii="Arial" w:eastAsia="宋体" w:hAnsi="Arial" w:cs="Arial"/>
                <w:color w:val="000000"/>
                <w:sz w:val="7"/>
                <w:szCs w:val="7"/>
              </w:rPr>
              <w:t>(3)</w:t>
            </w:r>
          </w:p>
        </w:tc>
        <w:tc>
          <w:tcPr>
            <w:tcW w:w="0" w:type="auto"/>
            <w:gridSpan w:val="2"/>
            <w:shd w:val="clear" w:color="auto" w:fill="FFFFFF"/>
            <w:tcMar>
              <w:top w:w="40" w:type="dxa"/>
              <w:left w:w="20" w:type="dxa"/>
              <w:bottom w:w="40" w:type="dxa"/>
              <w:right w:w="0" w:type="dxa"/>
            </w:tcMar>
            <w:vAlign w:val="bottom"/>
          </w:tcPr>
          <w:p w14:paraId="74DD6EB0" w14:textId="77777777" w:rsidR="00584EC1" w:rsidRDefault="00871F8D">
            <w:pPr>
              <w:jc w:val="right"/>
              <w:textAlignment w:val="bottom"/>
            </w:pPr>
            <w:r>
              <w:rPr>
                <w:rFonts w:ascii="Arial" w:eastAsia="宋体" w:hAnsi="Arial" w:cs="Arial"/>
                <w:b/>
                <w:bCs/>
                <w:color w:val="000000"/>
                <w:sz w:val="12"/>
                <w:szCs w:val="12"/>
              </w:rPr>
              <w:t>4,194</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6EB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EB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EB3" w14:textId="77777777" w:rsidR="00584EC1" w:rsidRDefault="00871F8D">
            <w:pPr>
              <w:jc w:val="right"/>
              <w:textAlignment w:val="bottom"/>
            </w:pPr>
            <w:r>
              <w:rPr>
                <w:rFonts w:ascii="Arial" w:eastAsia="宋体" w:hAnsi="Arial" w:cs="Arial"/>
                <w:b/>
                <w:bCs/>
                <w:color w:val="000000"/>
                <w:sz w:val="12"/>
                <w:szCs w:val="12"/>
              </w:rPr>
              <w:t>19</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6EB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EB5"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EB6" w14:textId="77777777" w:rsidR="00584EC1" w:rsidRDefault="00871F8D">
            <w:pPr>
              <w:jc w:val="right"/>
              <w:textAlignment w:val="bottom"/>
            </w:pPr>
            <w:r>
              <w:rPr>
                <w:rFonts w:ascii="Arial" w:eastAsia="宋体" w:hAnsi="Arial" w:cs="Arial"/>
                <w:b/>
                <w:bCs/>
                <w:color w:val="000000"/>
                <w:sz w:val="12"/>
                <w:szCs w:val="12"/>
              </w:rPr>
              <w:t>.61</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6EB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EB8"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EB9" w14:textId="77777777" w:rsidR="00584EC1" w:rsidRDefault="00871F8D">
            <w:pPr>
              <w:jc w:val="right"/>
              <w:textAlignment w:val="bottom"/>
            </w:pPr>
            <w:r>
              <w:rPr>
                <w:rFonts w:ascii="Arial" w:eastAsia="宋体" w:hAnsi="Arial" w:cs="Arial"/>
                <w:color w:val="000000"/>
                <w:sz w:val="12"/>
                <w:szCs w:val="12"/>
              </w:rPr>
              <w:t>3,114 </w:t>
            </w:r>
          </w:p>
        </w:tc>
        <w:tc>
          <w:tcPr>
            <w:tcW w:w="0" w:type="auto"/>
            <w:shd w:val="clear" w:color="auto" w:fill="FFFFFF"/>
            <w:tcMar>
              <w:top w:w="40" w:type="dxa"/>
              <w:left w:w="0" w:type="dxa"/>
              <w:bottom w:w="40" w:type="dxa"/>
              <w:right w:w="20" w:type="dxa"/>
            </w:tcMar>
            <w:vAlign w:val="bottom"/>
          </w:tcPr>
          <w:p w14:paraId="74DD6EB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EBB"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EBC" w14:textId="77777777" w:rsidR="00584EC1" w:rsidRDefault="00871F8D">
            <w:pPr>
              <w:jc w:val="right"/>
              <w:textAlignment w:val="bottom"/>
            </w:pPr>
            <w:r>
              <w:rPr>
                <w:rFonts w:ascii="Arial" w:eastAsia="宋体" w:hAnsi="Arial" w:cs="Arial"/>
                <w:color w:val="000000"/>
                <w:sz w:val="12"/>
                <w:szCs w:val="12"/>
              </w:rPr>
              <w:t>109 </w:t>
            </w:r>
          </w:p>
        </w:tc>
        <w:tc>
          <w:tcPr>
            <w:tcW w:w="0" w:type="auto"/>
            <w:shd w:val="clear" w:color="auto" w:fill="FFFFFF"/>
            <w:tcMar>
              <w:top w:w="40" w:type="dxa"/>
              <w:left w:w="0" w:type="dxa"/>
              <w:bottom w:w="40" w:type="dxa"/>
              <w:right w:w="20" w:type="dxa"/>
            </w:tcMar>
            <w:vAlign w:val="bottom"/>
          </w:tcPr>
          <w:p w14:paraId="74DD6EB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EB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EBF" w14:textId="77777777" w:rsidR="00584EC1" w:rsidRDefault="00871F8D">
            <w:pPr>
              <w:jc w:val="right"/>
              <w:textAlignment w:val="bottom"/>
            </w:pPr>
            <w:r>
              <w:rPr>
                <w:rFonts w:ascii="Arial" w:eastAsia="宋体" w:hAnsi="Arial" w:cs="Arial"/>
                <w:color w:val="000000"/>
                <w:sz w:val="12"/>
                <w:szCs w:val="12"/>
              </w:rPr>
              <w:t>4.68 </w:t>
            </w:r>
          </w:p>
        </w:tc>
        <w:tc>
          <w:tcPr>
            <w:tcW w:w="0" w:type="auto"/>
            <w:shd w:val="clear" w:color="auto" w:fill="FFFFFF"/>
            <w:tcMar>
              <w:top w:w="40" w:type="dxa"/>
              <w:left w:w="0" w:type="dxa"/>
              <w:bottom w:w="40" w:type="dxa"/>
              <w:right w:w="20" w:type="dxa"/>
            </w:tcMar>
            <w:vAlign w:val="bottom"/>
          </w:tcPr>
          <w:p w14:paraId="74DD6EC0" w14:textId="77777777" w:rsidR="00584EC1" w:rsidRDefault="00584EC1">
            <w:pPr>
              <w:jc w:val="right"/>
              <w:rPr>
                <w:rFonts w:ascii="宋体"/>
              </w:rPr>
            </w:pPr>
          </w:p>
        </w:tc>
        <w:tc>
          <w:tcPr>
            <w:tcW w:w="0" w:type="auto"/>
            <w:shd w:val="clear" w:color="auto" w:fill="auto"/>
            <w:vAlign w:val="bottom"/>
          </w:tcPr>
          <w:p w14:paraId="74DD6EC1" w14:textId="77777777" w:rsidR="00584EC1" w:rsidRDefault="00584EC1">
            <w:pPr>
              <w:rPr>
                <w:rFonts w:ascii="宋体"/>
                <w:vanish/>
              </w:rPr>
            </w:pPr>
          </w:p>
        </w:tc>
        <w:tc>
          <w:tcPr>
            <w:tcW w:w="0" w:type="auto"/>
            <w:shd w:val="clear" w:color="auto" w:fill="auto"/>
            <w:vAlign w:val="bottom"/>
          </w:tcPr>
          <w:p w14:paraId="74DD6EC2" w14:textId="77777777" w:rsidR="00584EC1" w:rsidRDefault="00584EC1">
            <w:pPr>
              <w:rPr>
                <w:rFonts w:ascii="宋体"/>
                <w:vanish/>
              </w:rPr>
            </w:pPr>
          </w:p>
        </w:tc>
        <w:tc>
          <w:tcPr>
            <w:tcW w:w="0" w:type="auto"/>
            <w:shd w:val="clear" w:color="auto" w:fill="auto"/>
            <w:vAlign w:val="bottom"/>
          </w:tcPr>
          <w:p w14:paraId="74DD6EC3" w14:textId="77777777" w:rsidR="00584EC1" w:rsidRDefault="00584EC1">
            <w:pPr>
              <w:rPr>
                <w:rFonts w:ascii="宋体"/>
                <w:vanish/>
              </w:rPr>
            </w:pPr>
          </w:p>
        </w:tc>
        <w:tc>
          <w:tcPr>
            <w:tcW w:w="0" w:type="auto"/>
            <w:shd w:val="clear" w:color="auto" w:fill="auto"/>
            <w:vAlign w:val="bottom"/>
          </w:tcPr>
          <w:p w14:paraId="74DD6EC4" w14:textId="77777777" w:rsidR="00584EC1" w:rsidRDefault="00584EC1">
            <w:pPr>
              <w:rPr>
                <w:rFonts w:ascii="宋体"/>
                <w:vanish/>
              </w:rPr>
            </w:pPr>
          </w:p>
        </w:tc>
        <w:tc>
          <w:tcPr>
            <w:tcW w:w="0" w:type="auto"/>
            <w:gridSpan w:val="3"/>
            <w:shd w:val="clear" w:color="auto" w:fill="auto"/>
            <w:vAlign w:val="bottom"/>
          </w:tcPr>
          <w:p w14:paraId="74DD6EC5" w14:textId="77777777" w:rsidR="00584EC1" w:rsidRDefault="00584EC1">
            <w:pPr>
              <w:rPr>
                <w:rFonts w:ascii="宋体"/>
                <w:vanish/>
              </w:rPr>
            </w:pPr>
          </w:p>
        </w:tc>
        <w:tc>
          <w:tcPr>
            <w:tcW w:w="0" w:type="auto"/>
            <w:gridSpan w:val="3"/>
            <w:shd w:val="clear" w:color="auto" w:fill="auto"/>
            <w:vAlign w:val="bottom"/>
          </w:tcPr>
          <w:p w14:paraId="74DD6EC6" w14:textId="77777777" w:rsidR="00584EC1" w:rsidRDefault="00584EC1">
            <w:pPr>
              <w:rPr>
                <w:rFonts w:ascii="宋体"/>
                <w:vanish/>
              </w:rPr>
            </w:pPr>
          </w:p>
        </w:tc>
        <w:tc>
          <w:tcPr>
            <w:tcW w:w="0" w:type="auto"/>
            <w:gridSpan w:val="3"/>
            <w:shd w:val="clear" w:color="auto" w:fill="auto"/>
            <w:vAlign w:val="bottom"/>
          </w:tcPr>
          <w:p w14:paraId="74DD6EC7" w14:textId="77777777" w:rsidR="00584EC1" w:rsidRDefault="00584EC1">
            <w:pPr>
              <w:rPr>
                <w:rFonts w:ascii="宋体"/>
                <w:vanish/>
              </w:rPr>
            </w:pPr>
          </w:p>
        </w:tc>
        <w:tc>
          <w:tcPr>
            <w:tcW w:w="0" w:type="auto"/>
            <w:gridSpan w:val="3"/>
            <w:shd w:val="clear" w:color="auto" w:fill="auto"/>
            <w:vAlign w:val="bottom"/>
          </w:tcPr>
          <w:p w14:paraId="74DD6EC8" w14:textId="77777777" w:rsidR="00584EC1" w:rsidRDefault="00584EC1">
            <w:pPr>
              <w:rPr>
                <w:rFonts w:ascii="宋体"/>
                <w:vanish/>
              </w:rPr>
            </w:pPr>
          </w:p>
        </w:tc>
        <w:tc>
          <w:tcPr>
            <w:tcW w:w="0" w:type="auto"/>
            <w:gridSpan w:val="2"/>
            <w:shd w:val="clear" w:color="auto" w:fill="auto"/>
            <w:vAlign w:val="bottom"/>
          </w:tcPr>
          <w:p w14:paraId="74DD6EC9" w14:textId="77777777" w:rsidR="00584EC1" w:rsidRDefault="00584EC1">
            <w:pPr>
              <w:rPr>
                <w:rFonts w:ascii="宋体"/>
                <w:vanish/>
              </w:rPr>
            </w:pPr>
          </w:p>
        </w:tc>
        <w:tc>
          <w:tcPr>
            <w:tcW w:w="0" w:type="auto"/>
            <w:shd w:val="clear" w:color="auto" w:fill="auto"/>
            <w:vAlign w:val="bottom"/>
          </w:tcPr>
          <w:p w14:paraId="74DD6ECA" w14:textId="77777777" w:rsidR="00584EC1" w:rsidRDefault="00584EC1">
            <w:pPr>
              <w:rPr>
                <w:rFonts w:ascii="宋体"/>
                <w:vanish/>
              </w:rPr>
            </w:pPr>
          </w:p>
        </w:tc>
      </w:tr>
      <w:tr w:rsidR="00584EC1" w14:paraId="74DD6EE8" w14:textId="77777777">
        <w:tc>
          <w:tcPr>
            <w:tcW w:w="0" w:type="auto"/>
            <w:gridSpan w:val="3"/>
            <w:shd w:val="clear" w:color="auto" w:fill="CCEEFF"/>
            <w:tcMar>
              <w:top w:w="40" w:type="dxa"/>
              <w:left w:w="20" w:type="dxa"/>
              <w:bottom w:w="40" w:type="dxa"/>
              <w:right w:w="20" w:type="dxa"/>
            </w:tcMar>
            <w:vAlign w:val="bottom"/>
          </w:tcPr>
          <w:p w14:paraId="74DD6ECC" w14:textId="77777777" w:rsidR="00584EC1" w:rsidRDefault="00871F8D">
            <w:pPr>
              <w:textAlignment w:val="bottom"/>
            </w:pPr>
            <w:r>
              <w:rPr>
                <w:rFonts w:ascii="Arial" w:eastAsia="宋体" w:hAnsi="Arial" w:cs="Arial"/>
                <w:color w:val="000000"/>
                <w:sz w:val="12"/>
                <w:szCs w:val="12"/>
              </w:rPr>
              <w:t>Trading account assets</w:t>
            </w:r>
          </w:p>
        </w:tc>
        <w:tc>
          <w:tcPr>
            <w:tcW w:w="0" w:type="auto"/>
            <w:gridSpan w:val="2"/>
            <w:shd w:val="clear" w:color="auto" w:fill="CCEEFF"/>
            <w:tcMar>
              <w:top w:w="40" w:type="dxa"/>
              <w:left w:w="20" w:type="dxa"/>
              <w:bottom w:w="40" w:type="dxa"/>
              <w:right w:w="0" w:type="dxa"/>
            </w:tcMar>
            <w:vAlign w:val="bottom"/>
          </w:tcPr>
          <w:p w14:paraId="74DD6ECD" w14:textId="77777777" w:rsidR="00584EC1" w:rsidRDefault="00871F8D">
            <w:pPr>
              <w:jc w:val="right"/>
              <w:textAlignment w:val="bottom"/>
            </w:pPr>
            <w:r>
              <w:rPr>
                <w:rFonts w:ascii="Arial" w:eastAsia="宋体" w:hAnsi="Arial" w:cs="Arial"/>
                <w:b/>
                <w:bCs/>
                <w:color w:val="000000"/>
                <w:sz w:val="12"/>
                <w:szCs w:val="12"/>
              </w:rPr>
              <w:t>754</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6EC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ECF"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ED0"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6ED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ED2"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ED3" w14:textId="77777777" w:rsidR="00584EC1" w:rsidRDefault="00871F8D">
            <w:pPr>
              <w:jc w:val="right"/>
              <w:textAlignment w:val="bottom"/>
            </w:pPr>
            <w:r>
              <w:rPr>
                <w:rFonts w:ascii="Arial" w:eastAsia="宋体" w:hAnsi="Arial" w:cs="Arial"/>
                <w:b/>
                <w:bCs/>
                <w:color w:val="000000"/>
                <w:sz w:val="12"/>
                <w:szCs w:val="12"/>
              </w:rPr>
              <w:t>.01</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6ED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ED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ED6" w14:textId="77777777" w:rsidR="00584EC1" w:rsidRDefault="00871F8D">
            <w:pPr>
              <w:jc w:val="right"/>
              <w:textAlignment w:val="bottom"/>
            </w:pPr>
            <w:r>
              <w:rPr>
                <w:rFonts w:ascii="Arial" w:eastAsia="宋体" w:hAnsi="Arial" w:cs="Arial"/>
                <w:color w:val="000000"/>
                <w:sz w:val="12"/>
                <w:szCs w:val="12"/>
              </w:rPr>
              <w:t>897 </w:t>
            </w:r>
          </w:p>
        </w:tc>
        <w:tc>
          <w:tcPr>
            <w:tcW w:w="0" w:type="auto"/>
            <w:shd w:val="clear" w:color="auto" w:fill="CCEEFF"/>
            <w:tcMar>
              <w:top w:w="40" w:type="dxa"/>
              <w:left w:w="0" w:type="dxa"/>
              <w:bottom w:w="40" w:type="dxa"/>
              <w:right w:w="20" w:type="dxa"/>
            </w:tcMar>
            <w:vAlign w:val="bottom"/>
          </w:tcPr>
          <w:p w14:paraId="74DD6ED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ED8"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ED9" w14:textId="77777777" w:rsidR="00584EC1" w:rsidRDefault="00871F8D">
            <w:pPr>
              <w:jc w:val="right"/>
              <w:textAlignment w:val="bottom"/>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6ED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ED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EDC" w14:textId="77777777" w:rsidR="00584EC1" w:rsidRDefault="00871F8D">
            <w:pPr>
              <w:jc w:val="right"/>
              <w:textAlignment w:val="bottom"/>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6EDD" w14:textId="77777777" w:rsidR="00584EC1" w:rsidRDefault="00584EC1">
            <w:pPr>
              <w:jc w:val="right"/>
              <w:rPr>
                <w:rFonts w:ascii="宋体"/>
              </w:rPr>
            </w:pPr>
          </w:p>
        </w:tc>
        <w:tc>
          <w:tcPr>
            <w:tcW w:w="0" w:type="auto"/>
            <w:shd w:val="clear" w:color="auto" w:fill="auto"/>
            <w:vAlign w:val="bottom"/>
          </w:tcPr>
          <w:p w14:paraId="74DD6EDE" w14:textId="77777777" w:rsidR="00584EC1" w:rsidRDefault="00584EC1">
            <w:pPr>
              <w:rPr>
                <w:rFonts w:ascii="宋体"/>
                <w:vanish/>
              </w:rPr>
            </w:pPr>
          </w:p>
        </w:tc>
        <w:tc>
          <w:tcPr>
            <w:tcW w:w="0" w:type="auto"/>
            <w:shd w:val="clear" w:color="auto" w:fill="auto"/>
            <w:vAlign w:val="bottom"/>
          </w:tcPr>
          <w:p w14:paraId="74DD6EDF" w14:textId="77777777" w:rsidR="00584EC1" w:rsidRDefault="00584EC1">
            <w:pPr>
              <w:rPr>
                <w:rFonts w:ascii="宋体"/>
                <w:vanish/>
              </w:rPr>
            </w:pPr>
          </w:p>
        </w:tc>
        <w:tc>
          <w:tcPr>
            <w:tcW w:w="0" w:type="auto"/>
            <w:shd w:val="clear" w:color="auto" w:fill="auto"/>
            <w:vAlign w:val="bottom"/>
          </w:tcPr>
          <w:p w14:paraId="74DD6EE0" w14:textId="77777777" w:rsidR="00584EC1" w:rsidRDefault="00584EC1">
            <w:pPr>
              <w:rPr>
                <w:rFonts w:ascii="宋体"/>
                <w:vanish/>
              </w:rPr>
            </w:pPr>
          </w:p>
        </w:tc>
        <w:tc>
          <w:tcPr>
            <w:tcW w:w="0" w:type="auto"/>
            <w:shd w:val="clear" w:color="auto" w:fill="auto"/>
            <w:vAlign w:val="bottom"/>
          </w:tcPr>
          <w:p w14:paraId="74DD6EE1" w14:textId="77777777" w:rsidR="00584EC1" w:rsidRDefault="00584EC1">
            <w:pPr>
              <w:rPr>
                <w:rFonts w:ascii="宋体"/>
                <w:vanish/>
              </w:rPr>
            </w:pPr>
          </w:p>
        </w:tc>
        <w:tc>
          <w:tcPr>
            <w:tcW w:w="0" w:type="auto"/>
            <w:gridSpan w:val="3"/>
            <w:shd w:val="clear" w:color="auto" w:fill="auto"/>
            <w:vAlign w:val="bottom"/>
          </w:tcPr>
          <w:p w14:paraId="74DD6EE2" w14:textId="77777777" w:rsidR="00584EC1" w:rsidRDefault="00584EC1">
            <w:pPr>
              <w:rPr>
                <w:rFonts w:ascii="宋体"/>
                <w:vanish/>
              </w:rPr>
            </w:pPr>
          </w:p>
        </w:tc>
        <w:tc>
          <w:tcPr>
            <w:tcW w:w="0" w:type="auto"/>
            <w:gridSpan w:val="3"/>
            <w:shd w:val="clear" w:color="auto" w:fill="auto"/>
            <w:vAlign w:val="bottom"/>
          </w:tcPr>
          <w:p w14:paraId="74DD6EE3" w14:textId="77777777" w:rsidR="00584EC1" w:rsidRDefault="00584EC1">
            <w:pPr>
              <w:rPr>
                <w:rFonts w:ascii="宋体"/>
                <w:vanish/>
              </w:rPr>
            </w:pPr>
          </w:p>
        </w:tc>
        <w:tc>
          <w:tcPr>
            <w:tcW w:w="0" w:type="auto"/>
            <w:gridSpan w:val="3"/>
            <w:shd w:val="clear" w:color="auto" w:fill="auto"/>
            <w:vAlign w:val="bottom"/>
          </w:tcPr>
          <w:p w14:paraId="74DD6EE4" w14:textId="77777777" w:rsidR="00584EC1" w:rsidRDefault="00584EC1">
            <w:pPr>
              <w:rPr>
                <w:rFonts w:ascii="宋体"/>
                <w:vanish/>
              </w:rPr>
            </w:pPr>
          </w:p>
        </w:tc>
        <w:tc>
          <w:tcPr>
            <w:tcW w:w="0" w:type="auto"/>
            <w:gridSpan w:val="3"/>
            <w:shd w:val="clear" w:color="auto" w:fill="auto"/>
            <w:vAlign w:val="bottom"/>
          </w:tcPr>
          <w:p w14:paraId="74DD6EE5" w14:textId="77777777" w:rsidR="00584EC1" w:rsidRDefault="00584EC1">
            <w:pPr>
              <w:rPr>
                <w:rFonts w:ascii="宋体"/>
                <w:vanish/>
              </w:rPr>
            </w:pPr>
          </w:p>
        </w:tc>
        <w:tc>
          <w:tcPr>
            <w:tcW w:w="0" w:type="auto"/>
            <w:gridSpan w:val="2"/>
            <w:shd w:val="clear" w:color="auto" w:fill="auto"/>
            <w:vAlign w:val="bottom"/>
          </w:tcPr>
          <w:p w14:paraId="74DD6EE6" w14:textId="77777777" w:rsidR="00584EC1" w:rsidRDefault="00584EC1">
            <w:pPr>
              <w:rPr>
                <w:rFonts w:ascii="宋体"/>
                <w:vanish/>
              </w:rPr>
            </w:pPr>
          </w:p>
        </w:tc>
        <w:tc>
          <w:tcPr>
            <w:tcW w:w="0" w:type="auto"/>
            <w:shd w:val="clear" w:color="auto" w:fill="auto"/>
            <w:vAlign w:val="bottom"/>
          </w:tcPr>
          <w:p w14:paraId="74DD6EE7" w14:textId="77777777" w:rsidR="00584EC1" w:rsidRDefault="00584EC1">
            <w:pPr>
              <w:rPr>
                <w:rFonts w:ascii="宋体"/>
                <w:vanish/>
              </w:rPr>
            </w:pPr>
          </w:p>
        </w:tc>
      </w:tr>
      <w:tr w:rsidR="00584EC1" w14:paraId="74DD6EFF" w14:textId="77777777">
        <w:tc>
          <w:tcPr>
            <w:tcW w:w="0" w:type="auto"/>
            <w:gridSpan w:val="3"/>
            <w:shd w:val="clear" w:color="auto" w:fill="FFFFFF"/>
            <w:tcMar>
              <w:top w:w="40" w:type="dxa"/>
              <w:left w:w="20" w:type="dxa"/>
              <w:bottom w:w="40" w:type="dxa"/>
              <w:right w:w="20" w:type="dxa"/>
            </w:tcMar>
            <w:vAlign w:val="bottom"/>
          </w:tcPr>
          <w:p w14:paraId="74DD6EE9" w14:textId="77777777" w:rsidR="00584EC1" w:rsidRDefault="00871F8D">
            <w:pPr>
              <w:textAlignment w:val="bottom"/>
            </w:pPr>
            <w:r>
              <w:rPr>
                <w:rFonts w:ascii="Arial" w:eastAsia="宋体" w:hAnsi="Arial" w:cs="Arial"/>
                <w:color w:val="000000"/>
                <w:sz w:val="12"/>
                <w:szCs w:val="12"/>
              </w:rPr>
              <w:t xml:space="preserve">Investment </w:t>
            </w:r>
            <w:r>
              <w:rPr>
                <w:rFonts w:ascii="Arial" w:eastAsia="宋体" w:hAnsi="Arial" w:cs="Arial"/>
                <w:color w:val="000000"/>
                <w:sz w:val="12"/>
                <w:szCs w:val="12"/>
              </w:rPr>
              <w:t>securities:</w:t>
            </w:r>
          </w:p>
        </w:tc>
        <w:tc>
          <w:tcPr>
            <w:tcW w:w="0" w:type="auto"/>
            <w:gridSpan w:val="3"/>
            <w:shd w:val="clear" w:color="auto" w:fill="FFFFFF"/>
            <w:tcMar>
              <w:top w:w="0" w:type="dxa"/>
              <w:left w:w="20" w:type="dxa"/>
              <w:bottom w:w="0" w:type="dxa"/>
              <w:right w:w="20" w:type="dxa"/>
            </w:tcMar>
            <w:vAlign w:val="bottom"/>
          </w:tcPr>
          <w:p w14:paraId="74DD6EEA"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EEB"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EEC"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EED"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EEE"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EEF"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EF0"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EF1"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EF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EF3"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EF4" w14:textId="77777777" w:rsidR="00584EC1" w:rsidRDefault="00584EC1">
            <w:pPr>
              <w:rPr>
                <w:rFonts w:ascii="宋体"/>
              </w:rPr>
            </w:pPr>
          </w:p>
        </w:tc>
        <w:tc>
          <w:tcPr>
            <w:tcW w:w="0" w:type="auto"/>
            <w:shd w:val="clear" w:color="auto" w:fill="auto"/>
            <w:vAlign w:val="bottom"/>
          </w:tcPr>
          <w:p w14:paraId="74DD6EF5" w14:textId="77777777" w:rsidR="00584EC1" w:rsidRDefault="00584EC1">
            <w:pPr>
              <w:rPr>
                <w:rFonts w:ascii="宋体"/>
                <w:vanish/>
              </w:rPr>
            </w:pPr>
          </w:p>
        </w:tc>
        <w:tc>
          <w:tcPr>
            <w:tcW w:w="0" w:type="auto"/>
            <w:shd w:val="clear" w:color="auto" w:fill="auto"/>
            <w:vAlign w:val="bottom"/>
          </w:tcPr>
          <w:p w14:paraId="74DD6EF6" w14:textId="77777777" w:rsidR="00584EC1" w:rsidRDefault="00584EC1">
            <w:pPr>
              <w:rPr>
                <w:rFonts w:ascii="宋体"/>
                <w:vanish/>
              </w:rPr>
            </w:pPr>
          </w:p>
        </w:tc>
        <w:tc>
          <w:tcPr>
            <w:tcW w:w="0" w:type="auto"/>
            <w:shd w:val="clear" w:color="auto" w:fill="auto"/>
            <w:vAlign w:val="bottom"/>
          </w:tcPr>
          <w:p w14:paraId="74DD6EF7" w14:textId="77777777" w:rsidR="00584EC1" w:rsidRDefault="00584EC1">
            <w:pPr>
              <w:rPr>
                <w:rFonts w:ascii="宋体"/>
                <w:vanish/>
              </w:rPr>
            </w:pPr>
          </w:p>
        </w:tc>
        <w:tc>
          <w:tcPr>
            <w:tcW w:w="0" w:type="auto"/>
            <w:shd w:val="clear" w:color="auto" w:fill="auto"/>
            <w:vAlign w:val="bottom"/>
          </w:tcPr>
          <w:p w14:paraId="74DD6EF8" w14:textId="77777777" w:rsidR="00584EC1" w:rsidRDefault="00584EC1">
            <w:pPr>
              <w:rPr>
                <w:rFonts w:ascii="宋体"/>
                <w:vanish/>
              </w:rPr>
            </w:pPr>
          </w:p>
        </w:tc>
        <w:tc>
          <w:tcPr>
            <w:tcW w:w="0" w:type="auto"/>
            <w:gridSpan w:val="3"/>
            <w:shd w:val="clear" w:color="auto" w:fill="auto"/>
            <w:vAlign w:val="bottom"/>
          </w:tcPr>
          <w:p w14:paraId="74DD6EF9" w14:textId="77777777" w:rsidR="00584EC1" w:rsidRDefault="00584EC1">
            <w:pPr>
              <w:rPr>
                <w:rFonts w:ascii="宋体"/>
                <w:vanish/>
              </w:rPr>
            </w:pPr>
          </w:p>
        </w:tc>
        <w:tc>
          <w:tcPr>
            <w:tcW w:w="0" w:type="auto"/>
            <w:gridSpan w:val="3"/>
            <w:shd w:val="clear" w:color="auto" w:fill="auto"/>
            <w:vAlign w:val="bottom"/>
          </w:tcPr>
          <w:p w14:paraId="74DD6EFA" w14:textId="77777777" w:rsidR="00584EC1" w:rsidRDefault="00584EC1">
            <w:pPr>
              <w:rPr>
                <w:rFonts w:ascii="宋体"/>
                <w:vanish/>
              </w:rPr>
            </w:pPr>
          </w:p>
        </w:tc>
        <w:tc>
          <w:tcPr>
            <w:tcW w:w="0" w:type="auto"/>
            <w:gridSpan w:val="3"/>
            <w:shd w:val="clear" w:color="auto" w:fill="auto"/>
            <w:vAlign w:val="bottom"/>
          </w:tcPr>
          <w:p w14:paraId="74DD6EFB" w14:textId="77777777" w:rsidR="00584EC1" w:rsidRDefault="00584EC1">
            <w:pPr>
              <w:rPr>
                <w:rFonts w:ascii="宋体"/>
                <w:vanish/>
              </w:rPr>
            </w:pPr>
          </w:p>
        </w:tc>
        <w:tc>
          <w:tcPr>
            <w:tcW w:w="0" w:type="auto"/>
            <w:gridSpan w:val="3"/>
            <w:shd w:val="clear" w:color="auto" w:fill="auto"/>
            <w:vAlign w:val="bottom"/>
          </w:tcPr>
          <w:p w14:paraId="74DD6EFC" w14:textId="77777777" w:rsidR="00584EC1" w:rsidRDefault="00584EC1">
            <w:pPr>
              <w:rPr>
                <w:rFonts w:ascii="宋体"/>
                <w:vanish/>
              </w:rPr>
            </w:pPr>
          </w:p>
        </w:tc>
        <w:tc>
          <w:tcPr>
            <w:tcW w:w="0" w:type="auto"/>
            <w:gridSpan w:val="2"/>
            <w:shd w:val="clear" w:color="auto" w:fill="auto"/>
            <w:vAlign w:val="bottom"/>
          </w:tcPr>
          <w:p w14:paraId="74DD6EFD" w14:textId="77777777" w:rsidR="00584EC1" w:rsidRDefault="00584EC1">
            <w:pPr>
              <w:rPr>
                <w:rFonts w:ascii="宋体"/>
                <w:vanish/>
              </w:rPr>
            </w:pPr>
          </w:p>
        </w:tc>
        <w:tc>
          <w:tcPr>
            <w:tcW w:w="0" w:type="auto"/>
            <w:shd w:val="clear" w:color="auto" w:fill="auto"/>
            <w:vAlign w:val="bottom"/>
          </w:tcPr>
          <w:p w14:paraId="74DD6EFE" w14:textId="77777777" w:rsidR="00584EC1" w:rsidRDefault="00584EC1">
            <w:pPr>
              <w:rPr>
                <w:rFonts w:ascii="宋体"/>
                <w:vanish/>
              </w:rPr>
            </w:pPr>
          </w:p>
        </w:tc>
      </w:tr>
      <w:tr w:rsidR="00584EC1" w14:paraId="74DD6F1C" w14:textId="77777777">
        <w:tc>
          <w:tcPr>
            <w:tcW w:w="0" w:type="auto"/>
            <w:gridSpan w:val="3"/>
            <w:shd w:val="clear" w:color="auto" w:fill="CCEEFF"/>
            <w:tcMar>
              <w:top w:w="40" w:type="dxa"/>
              <w:left w:w="20" w:type="dxa"/>
              <w:bottom w:w="40" w:type="dxa"/>
              <w:right w:w="20" w:type="dxa"/>
            </w:tcMar>
            <w:vAlign w:val="bottom"/>
          </w:tcPr>
          <w:p w14:paraId="74DD6F00" w14:textId="77777777" w:rsidR="00584EC1" w:rsidRDefault="00871F8D">
            <w:pPr>
              <w:textAlignment w:val="bottom"/>
            </w:pPr>
            <w:r>
              <w:rPr>
                <w:rFonts w:ascii="Arial" w:eastAsia="宋体" w:hAnsi="Arial" w:cs="Arial"/>
                <w:color w:val="000000"/>
                <w:sz w:val="12"/>
                <w:szCs w:val="12"/>
              </w:rPr>
              <w:t>Investment securities available-for-sale</w:t>
            </w:r>
          </w:p>
        </w:tc>
        <w:tc>
          <w:tcPr>
            <w:tcW w:w="0" w:type="auto"/>
            <w:gridSpan w:val="2"/>
            <w:shd w:val="clear" w:color="auto" w:fill="CCEEFF"/>
            <w:tcMar>
              <w:top w:w="40" w:type="dxa"/>
              <w:left w:w="20" w:type="dxa"/>
              <w:bottom w:w="40" w:type="dxa"/>
              <w:right w:w="0" w:type="dxa"/>
            </w:tcMar>
            <w:vAlign w:val="bottom"/>
          </w:tcPr>
          <w:p w14:paraId="74DD6F01" w14:textId="77777777" w:rsidR="00584EC1" w:rsidRDefault="00871F8D">
            <w:pPr>
              <w:jc w:val="right"/>
              <w:textAlignment w:val="bottom"/>
            </w:pPr>
            <w:r>
              <w:rPr>
                <w:rFonts w:ascii="Arial" w:eastAsia="宋体" w:hAnsi="Arial" w:cs="Arial"/>
                <w:b/>
                <w:bCs/>
                <w:color w:val="000000"/>
                <w:sz w:val="12"/>
                <w:szCs w:val="12"/>
              </w:rPr>
              <w:t>65,051</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6F0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F03"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F04" w14:textId="77777777" w:rsidR="00584EC1" w:rsidRDefault="00871F8D">
            <w:pPr>
              <w:jc w:val="right"/>
              <w:textAlignment w:val="bottom"/>
            </w:pPr>
            <w:r>
              <w:rPr>
                <w:rFonts w:ascii="Arial" w:eastAsia="宋体" w:hAnsi="Arial" w:cs="Arial"/>
                <w:b/>
                <w:bCs/>
                <w:color w:val="000000"/>
                <w:sz w:val="12"/>
                <w:szCs w:val="12"/>
              </w:rPr>
              <w:t>435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6F0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F0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F07" w14:textId="77777777" w:rsidR="00584EC1" w:rsidRDefault="00871F8D">
            <w:pPr>
              <w:jc w:val="right"/>
              <w:textAlignment w:val="bottom"/>
            </w:pPr>
            <w:r>
              <w:rPr>
                <w:rFonts w:ascii="Arial" w:eastAsia="宋体" w:hAnsi="Arial" w:cs="Arial"/>
                <w:b/>
                <w:bCs/>
                <w:color w:val="000000"/>
                <w:sz w:val="12"/>
                <w:szCs w:val="12"/>
              </w:rPr>
              <w:t>.89</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6F0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F0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F0A" w14:textId="77777777" w:rsidR="00584EC1" w:rsidRDefault="00871F8D">
            <w:pPr>
              <w:jc w:val="right"/>
              <w:textAlignment w:val="bottom"/>
            </w:pPr>
            <w:r>
              <w:rPr>
                <w:rFonts w:ascii="Arial" w:eastAsia="宋体" w:hAnsi="Arial" w:cs="Arial"/>
                <w:color w:val="000000"/>
                <w:sz w:val="12"/>
                <w:szCs w:val="12"/>
              </w:rPr>
              <w:t>57,109 </w:t>
            </w:r>
          </w:p>
        </w:tc>
        <w:tc>
          <w:tcPr>
            <w:tcW w:w="0" w:type="auto"/>
            <w:shd w:val="clear" w:color="auto" w:fill="CCEEFF"/>
            <w:tcMar>
              <w:top w:w="40" w:type="dxa"/>
              <w:left w:w="0" w:type="dxa"/>
              <w:bottom w:w="40" w:type="dxa"/>
              <w:right w:w="20" w:type="dxa"/>
            </w:tcMar>
            <w:vAlign w:val="bottom"/>
          </w:tcPr>
          <w:p w14:paraId="74DD6F0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F0C"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F0D" w14:textId="77777777" w:rsidR="00584EC1" w:rsidRDefault="00871F8D">
            <w:pPr>
              <w:jc w:val="right"/>
              <w:textAlignment w:val="bottom"/>
            </w:pPr>
            <w:r>
              <w:rPr>
                <w:rFonts w:ascii="Arial" w:eastAsia="宋体" w:hAnsi="Arial" w:cs="Arial"/>
                <w:color w:val="000000"/>
                <w:sz w:val="12"/>
                <w:szCs w:val="12"/>
              </w:rPr>
              <w:t>609 </w:t>
            </w:r>
          </w:p>
        </w:tc>
        <w:tc>
          <w:tcPr>
            <w:tcW w:w="0" w:type="auto"/>
            <w:shd w:val="clear" w:color="auto" w:fill="CCEEFF"/>
            <w:tcMar>
              <w:top w:w="40" w:type="dxa"/>
              <w:left w:w="0" w:type="dxa"/>
              <w:bottom w:w="40" w:type="dxa"/>
              <w:right w:w="20" w:type="dxa"/>
            </w:tcMar>
            <w:vAlign w:val="bottom"/>
          </w:tcPr>
          <w:p w14:paraId="74DD6F0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F0F"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F10" w14:textId="77777777" w:rsidR="00584EC1" w:rsidRDefault="00871F8D">
            <w:pPr>
              <w:jc w:val="right"/>
              <w:textAlignment w:val="bottom"/>
            </w:pPr>
            <w:r>
              <w:rPr>
                <w:rFonts w:ascii="Arial" w:eastAsia="宋体" w:hAnsi="Arial" w:cs="Arial"/>
                <w:color w:val="000000"/>
                <w:sz w:val="12"/>
                <w:szCs w:val="12"/>
              </w:rPr>
              <w:t>1.42 </w:t>
            </w:r>
          </w:p>
        </w:tc>
        <w:tc>
          <w:tcPr>
            <w:tcW w:w="0" w:type="auto"/>
            <w:shd w:val="clear" w:color="auto" w:fill="CCEEFF"/>
            <w:tcMar>
              <w:top w:w="40" w:type="dxa"/>
              <w:left w:w="0" w:type="dxa"/>
              <w:bottom w:w="40" w:type="dxa"/>
              <w:right w:w="20" w:type="dxa"/>
            </w:tcMar>
            <w:vAlign w:val="bottom"/>
          </w:tcPr>
          <w:p w14:paraId="74DD6F11" w14:textId="77777777" w:rsidR="00584EC1" w:rsidRDefault="00584EC1">
            <w:pPr>
              <w:jc w:val="right"/>
              <w:rPr>
                <w:rFonts w:ascii="宋体"/>
              </w:rPr>
            </w:pPr>
          </w:p>
        </w:tc>
        <w:tc>
          <w:tcPr>
            <w:tcW w:w="0" w:type="auto"/>
            <w:shd w:val="clear" w:color="auto" w:fill="auto"/>
            <w:vAlign w:val="bottom"/>
          </w:tcPr>
          <w:p w14:paraId="74DD6F12" w14:textId="77777777" w:rsidR="00584EC1" w:rsidRDefault="00584EC1">
            <w:pPr>
              <w:rPr>
                <w:rFonts w:ascii="宋体"/>
                <w:vanish/>
              </w:rPr>
            </w:pPr>
          </w:p>
        </w:tc>
        <w:tc>
          <w:tcPr>
            <w:tcW w:w="0" w:type="auto"/>
            <w:shd w:val="clear" w:color="auto" w:fill="auto"/>
            <w:vAlign w:val="bottom"/>
          </w:tcPr>
          <w:p w14:paraId="74DD6F13" w14:textId="77777777" w:rsidR="00584EC1" w:rsidRDefault="00584EC1">
            <w:pPr>
              <w:rPr>
                <w:rFonts w:ascii="宋体"/>
                <w:vanish/>
              </w:rPr>
            </w:pPr>
          </w:p>
        </w:tc>
        <w:tc>
          <w:tcPr>
            <w:tcW w:w="0" w:type="auto"/>
            <w:shd w:val="clear" w:color="auto" w:fill="auto"/>
            <w:vAlign w:val="bottom"/>
          </w:tcPr>
          <w:p w14:paraId="74DD6F14" w14:textId="77777777" w:rsidR="00584EC1" w:rsidRDefault="00584EC1">
            <w:pPr>
              <w:rPr>
                <w:rFonts w:ascii="宋体"/>
                <w:vanish/>
              </w:rPr>
            </w:pPr>
          </w:p>
        </w:tc>
        <w:tc>
          <w:tcPr>
            <w:tcW w:w="0" w:type="auto"/>
            <w:shd w:val="clear" w:color="auto" w:fill="auto"/>
            <w:vAlign w:val="bottom"/>
          </w:tcPr>
          <w:p w14:paraId="74DD6F15" w14:textId="77777777" w:rsidR="00584EC1" w:rsidRDefault="00584EC1">
            <w:pPr>
              <w:rPr>
                <w:rFonts w:ascii="宋体"/>
                <w:vanish/>
              </w:rPr>
            </w:pPr>
          </w:p>
        </w:tc>
        <w:tc>
          <w:tcPr>
            <w:tcW w:w="0" w:type="auto"/>
            <w:gridSpan w:val="3"/>
            <w:shd w:val="clear" w:color="auto" w:fill="auto"/>
            <w:vAlign w:val="bottom"/>
          </w:tcPr>
          <w:p w14:paraId="74DD6F16" w14:textId="77777777" w:rsidR="00584EC1" w:rsidRDefault="00584EC1">
            <w:pPr>
              <w:rPr>
                <w:rFonts w:ascii="宋体"/>
                <w:vanish/>
              </w:rPr>
            </w:pPr>
          </w:p>
        </w:tc>
        <w:tc>
          <w:tcPr>
            <w:tcW w:w="0" w:type="auto"/>
            <w:gridSpan w:val="3"/>
            <w:shd w:val="clear" w:color="auto" w:fill="auto"/>
            <w:vAlign w:val="bottom"/>
          </w:tcPr>
          <w:p w14:paraId="74DD6F17" w14:textId="77777777" w:rsidR="00584EC1" w:rsidRDefault="00584EC1">
            <w:pPr>
              <w:rPr>
                <w:rFonts w:ascii="宋体"/>
                <w:vanish/>
              </w:rPr>
            </w:pPr>
          </w:p>
        </w:tc>
        <w:tc>
          <w:tcPr>
            <w:tcW w:w="0" w:type="auto"/>
            <w:gridSpan w:val="3"/>
            <w:shd w:val="clear" w:color="auto" w:fill="auto"/>
            <w:vAlign w:val="bottom"/>
          </w:tcPr>
          <w:p w14:paraId="74DD6F18" w14:textId="77777777" w:rsidR="00584EC1" w:rsidRDefault="00584EC1">
            <w:pPr>
              <w:rPr>
                <w:rFonts w:ascii="宋体"/>
                <w:vanish/>
              </w:rPr>
            </w:pPr>
          </w:p>
        </w:tc>
        <w:tc>
          <w:tcPr>
            <w:tcW w:w="0" w:type="auto"/>
            <w:gridSpan w:val="3"/>
            <w:shd w:val="clear" w:color="auto" w:fill="auto"/>
            <w:vAlign w:val="bottom"/>
          </w:tcPr>
          <w:p w14:paraId="74DD6F19" w14:textId="77777777" w:rsidR="00584EC1" w:rsidRDefault="00584EC1">
            <w:pPr>
              <w:rPr>
                <w:rFonts w:ascii="宋体"/>
                <w:vanish/>
              </w:rPr>
            </w:pPr>
          </w:p>
        </w:tc>
        <w:tc>
          <w:tcPr>
            <w:tcW w:w="0" w:type="auto"/>
            <w:gridSpan w:val="2"/>
            <w:shd w:val="clear" w:color="auto" w:fill="auto"/>
            <w:vAlign w:val="bottom"/>
          </w:tcPr>
          <w:p w14:paraId="74DD6F1A" w14:textId="77777777" w:rsidR="00584EC1" w:rsidRDefault="00584EC1">
            <w:pPr>
              <w:rPr>
                <w:rFonts w:ascii="宋体"/>
                <w:vanish/>
              </w:rPr>
            </w:pPr>
          </w:p>
        </w:tc>
        <w:tc>
          <w:tcPr>
            <w:tcW w:w="0" w:type="auto"/>
            <w:shd w:val="clear" w:color="auto" w:fill="auto"/>
            <w:vAlign w:val="bottom"/>
          </w:tcPr>
          <w:p w14:paraId="74DD6F1B" w14:textId="77777777" w:rsidR="00584EC1" w:rsidRDefault="00584EC1">
            <w:pPr>
              <w:rPr>
                <w:rFonts w:ascii="宋体"/>
                <w:vanish/>
              </w:rPr>
            </w:pPr>
          </w:p>
        </w:tc>
      </w:tr>
      <w:tr w:rsidR="00584EC1" w14:paraId="74DD6F39" w14:textId="77777777">
        <w:tc>
          <w:tcPr>
            <w:tcW w:w="0" w:type="auto"/>
            <w:gridSpan w:val="3"/>
            <w:shd w:val="clear" w:color="auto" w:fill="FFFFFF"/>
            <w:tcMar>
              <w:top w:w="40" w:type="dxa"/>
              <w:left w:w="20" w:type="dxa"/>
              <w:bottom w:w="40" w:type="dxa"/>
              <w:right w:w="20" w:type="dxa"/>
            </w:tcMar>
            <w:vAlign w:val="bottom"/>
          </w:tcPr>
          <w:p w14:paraId="74DD6F1D" w14:textId="77777777" w:rsidR="00584EC1" w:rsidRDefault="00871F8D">
            <w:pPr>
              <w:textAlignment w:val="bottom"/>
            </w:pPr>
            <w:r>
              <w:rPr>
                <w:rFonts w:ascii="Arial" w:eastAsia="宋体" w:hAnsi="Arial" w:cs="Arial"/>
                <w:color w:val="000000"/>
                <w:sz w:val="12"/>
                <w:szCs w:val="12"/>
              </w:rPr>
              <w:t>Investment securities held-to-maturity</w:t>
            </w:r>
          </w:p>
        </w:tc>
        <w:tc>
          <w:tcPr>
            <w:tcW w:w="0" w:type="auto"/>
            <w:gridSpan w:val="2"/>
            <w:shd w:val="clear" w:color="auto" w:fill="FFFFFF"/>
            <w:tcMar>
              <w:top w:w="40" w:type="dxa"/>
              <w:left w:w="20" w:type="dxa"/>
              <w:bottom w:w="40" w:type="dxa"/>
              <w:right w:w="0" w:type="dxa"/>
            </w:tcMar>
            <w:vAlign w:val="bottom"/>
          </w:tcPr>
          <w:p w14:paraId="74DD6F1E" w14:textId="77777777" w:rsidR="00584EC1" w:rsidRDefault="00871F8D">
            <w:pPr>
              <w:jc w:val="right"/>
              <w:textAlignment w:val="bottom"/>
            </w:pPr>
            <w:r>
              <w:rPr>
                <w:rFonts w:ascii="Arial" w:eastAsia="宋体" w:hAnsi="Arial" w:cs="Arial"/>
                <w:b/>
                <w:bCs/>
                <w:color w:val="000000"/>
                <w:sz w:val="12"/>
                <w:szCs w:val="12"/>
              </w:rPr>
              <w:t>45,526</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6F1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F2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F21" w14:textId="77777777" w:rsidR="00584EC1" w:rsidRDefault="00871F8D">
            <w:pPr>
              <w:jc w:val="right"/>
              <w:textAlignment w:val="bottom"/>
            </w:pPr>
            <w:r>
              <w:rPr>
                <w:rFonts w:ascii="Arial" w:eastAsia="宋体" w:hAnsi="Arial" w:cs="Arial"/>
                <w:b/>
                <w:bCs/>
                <w:color w:val="000000"/>
                <w:sz w:val="12"/>
                <w:szCs w:val="12"/>
              </w:rPr>
              <w:t>51</w:t>
            </w:r>
            <w:r>
              <w:rPr>
                <w:rFonts w:ascii="Arial" w:eastAsia="宋体" w:hAnsi="Arial" w:cs="Arial"/>
                <w:b/>
                <w:bCs/>
                <w:color w:val="000000"/>
                <w:sz w:val="12"/>
                <w:szCs w:val="12"/>
              </w:rPr>
              <w:t>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6F2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F2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F24" w14:textId="77777777" w:rsidR="00584EC1" w:rsidRDefault="00871F8D">
            <w:pPr>
              <w:jc w:val="right"/>
              <w:textAlignment w:val="bottom"/>
            </w:pPr>
            <w:r>
              <w:rPr>
                <w:rFonts w:ascii="Arial" w:eastAsia="宋体" w:hAnsi="Arial" w:cs="Arial"/>
                <w:b/>
                <w:bCs/>
                <w:color w:val="000000"/>
                <w:sz w:val="12"/>
                <w:szCs w:val="12"/>
              </w:rPr>
              <w:t>1.49</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6F2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F2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F27" w14:textId="77777777" w:rsidR="00584EC1" w:rsidRDefault="00871F8D">
            <w:pPr>
              <w:jc w:val="right"/>
              <w:textAlignment w:val="bottom"/>
            </w:pPr>
            <w:r>
              <w:rPr>
                <w:rFonts w:ascii="Arial" w:eastAsia="宋体" w:hAnsi="Arial" w:cs="Arial"/>
                <w:color w:val="000000"/>
                <w:sz w:val="12"/>
                <w:szCs w:val="12"/>
              </w:rPr>
              <w:t>41,595 </w:t>
            </w:r>
          </w:p>
        </w:tc>
        <w:tc>
          <w:tcPr>
            <w:tcW w:w="0" w:type="auto"/>
            <w:shd w:val="clear" w:color="auto" w:fill="FFFFFF"/>
            <w:tcMar>
              <w:top w:w="40" w:type="dxa"/>
              <w:left w:w="0" w:type="dxa"/>
              <w:bottom w:w="40" w:type="dxa"/>
              <w:right w:w="20" w:type="dxa"/>
            </w:tcMar>
            <w:vAlign w:val="bottom"/>
          </w:tcPr>
          <w:p w14:paraId="74DD6F2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F2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F2A" w14:textId="77777777" w:rsidR="00584EC1" w:rsidRDefault="00871F8D">
            <w:pPr>
              <w:jc w:val="right"/>
              <w:textAlignment w:val="bottom"/>
            </w:pPr>
            <w:r>
              <w:rPr>
                <w:rFonts w:ascii="Arial" w:eastAsia="宋体" w:hAnsi="Arial" w:cs="Arial"/>
                <w:color w:val="000000"/>
                <w:sz w:val="12"/>
                <w:szCs w:val="12"/>
              </w:rPr>
              <w:t>641 </w:t>
            </w:r>
          </w:p>
        </w:tc>
        <w:tc>
          <w:tcPr>
            <w:tcW w:w="0" w:type="auto"/>
            <w:shd w:val="clear" w:color="auto" w:fill="FFFFFF"/>
            <w:tcMar>
              <w:top w:w="40" w:type="dxa"/>
              <w:left w:w="0" w:type="dxa"/>
              <w:bottom w:w="40" w:type="dxa"/>
              <w:right w:w="20" w:type="dxa"/>
            </w:tcMar>
            <w:vAlign w:val="bottom"/>
          </w:tcPr>
          <w:p w14:paraId="74DD6F2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F2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F2D" w14:textId="77777777" w:rsidR="00584EC1" w:rsidRDefault="00871F8D">
            <w:pPr>
              <w:jc w:val="right"/>
              <w:textAlignment w:val="bottom"/>
            </w:pPr>
            <w:r>
              <w:rPr>
                <w:rFonts w:ascii="Arial" w:eastAsia="宋体" w:hAnsi="Arial" w:cs="Arial"/>
                <w:color w:val="000000"/>
                <w:sz w:val="12"/>
                <w:szCs w:val="12"/>
              </w:rPr>
              <w:t>2.06 </w:t>
            </w:r>
          </w:p>
        </w:tc>
        <w:tc>
          <w:tcPr>
            <w:tcW w:w="0" w:type="auto"/>
            <w:shd w:val="clear" w:color="auto" w:fill="FFFFFF"/>
            <w:tcMar>
              <w:top w:w="40" w:type="dxa"/>
              <w:left w:w="0" w:type="dxa"/>
              <w:bottom w:w="40" w:type="dxa"/>
              <w:right w:w="20" w:type="dxa"/>
            </w:tcMar>
            <w:vAlign w:val="bottom"/>
          </w:tcPr>
          <w:p w14:paraId="74DD6F2E" w14:textId="77777777" w:rsidR="00584EC1" w:rsidRDefault="00584EC1">
            <w:pPr>
              <w:jc w:val="right"/>
              <w:rPr>
                <w:rFonts w:ascii="宋体"/>
              </w:rPr>
            </w:pPr>
          </w:p>
        </w:tc>
        <w:tc>
          <w:tcPr>
            <w:tcW w:w="0" w:type="auto"/>
            <w:shd w:val="clear" w:color="auto" w:fill="auto"/>
            <w:vAlign w:val="bottom"/>
          </w:tcPr>
          <w:p w14:paraId="74DD6F2F" w14:textId="77777777" w:rsidR="00584EC1" w:rsidRDefault="00584EC1">
            <w:pPr>
              <w:rPr>
                <w:rFonts w:ascii="宋体"/>
                <w:vanish/>
              </w:rPr>
            </w:pPr>
          </w:p>
        </w:tc>
        <w:tc>
          <w:tcPr>
            <w:tcW w:w="0" w:type="auto"/>
            <w:shd w:val="clear" w:color="auto" w:fill="auto"/>
            <w:vAlign w:val="bottom"/>
          </w:tcPr>
          <w:p w14:paraId="74DD6F30" w14:textId="77777777" w:rsidR="00584EC1" w:rsidRDefault="00584EC1">
            <w:pPr>
              <w:rPr>
                <w:rFonts w:ascii="宋体"/>
                <w:vanish/>
              </w:rPr>
            </w:pPr>
          </w:p>
        </w:tc>
        <w:tc>
          <w:tcPr>
            <w:tcW w:w="0" w:type="auto"/>
            <w:shd w:val="clear" w:color="auto" w:fill="auto"/>
            <w:vAlign w:val="bottom"/>
          </w:tcPr>
          <w:p w14:paraId="74DD6F31" w14:textId="77777777" w:rsidR="00584EC1" w:rsidRDefault="00584EC1">
            <w:pPr>
              <w:rPr>
                <w:rFonts w:ascii="宋体"/>
                <w:vanish/>
              </w:rPr>
            </w:pPr>
          </w:p>
        </w:tc>
        <w:tc>
          <w:tcPr>
            <w:tcW w:w="0" w:type="auto"/>
            <w:shd w:val="clear" w:color="auto" w:fill="auto"/>
            <w:vAlign w:val="bottom"/>
          </w:tcPr>
          <w:p w14:paraId="74DD6F32" w14:textId="77777777" w:rsidR="00584EC1" w:rsidRDefault="00584EC1">
            <w:pPr>
              <w:rPr>
                <w:rFonts w:ascii="宋体"/>
                <w:vanish/>
              </w:rPr>
            </w:pPr>
          </w:p>
        </w:tc>
        <w:tc>
          <w:tcPr>
            <w:tcW w:w="0" w:type="auto"/>
            <w:gridSpan w:val="3"/>
            <w:shd w:val="clear" w:color="auto" w:fill="auto"/>
            <w:vAlign w:val="bottom"/>
          </w:tcPr>
          <w:p w14:paraId="74DD6F33" w14:textId="77777777" w:rsidR="00584EC1" w:rsidRDefault="00584EC1">
            <w:pPr>
              <w:rPr>
                <w:rFonts w:ascii="宋体"/>
                <w:vanish/>
              </w:rPr>
            </w:pPr>
          </w:p>
        </w:tc>
        <w:tc>
          <w:tcPr>
            <w:tcW w:w="0" w:type="auto"/>
            <w:gridSpan w:val="3"/>
            <w:shd w:val="clear" w:color="auto" w:fill="auto"/>
            <w:vAlign w:val="bottom"/>
          </w:tcPr>
          <w:p w14:paraId="74DD6F34" w14:textId="77777777" w:rsidR="00584EC1" w:rsidRDefault="00584EC1">
            <w:pPr>
              <w:rPr>
                <w:rFonts w:ascii="宋体"/>
                <w:vanish/>
              </w:rPr>
            </w:pPr>
          </w:p>
        </w:tc>
        <w:tc>
          <w:tcPr>
            <w:tcW w:w="0" w:type="auto"/>
            <w:gridSpan w:val="3"/>
            <w:shd w:val="clear" w:color="auto" w:fill="auto"/>
            <w:vAlign w:val="bottom"/>
          </w:tcPr>
          <w:p w14:paraId="74DD6F35" w14:textId="77777777" w:rsidR="00584EC1" w:rsidRDefault="00584EC1">
            <w:pPr>
              <w:rPr>
                <w:rFonts w:ascii="宋体"/>
                <w:vanish/>
              </w:rPr>
            </w:pPr>
          </w:p>
        </w:tc>
        <w:tc>
          <w:tcPr>
            <w:tcW w:w="0" w:type="auto"/>
            <w:gridSpan w:val="3"/>
            <w:shd w:val="clear" w:color="auto" w:fill="auto"/>
            <w:vAlign w:val="bottom"/>
          </w:tcPr>
          <w:p w14:paraId="74DD6F36" w14:textId="77777777" w:rsidR="00584EC1" w:rsidRDefault="00584EC1">
            <w:pPr>
              <w:rPr>
                <w:rFonts w:ascii="宋体"/>
                <w:vanish/>
              </w:rPr>
            </w:pPr>
          </w:p>
        </w:tc>
        <w:tc>
          <w:tcPr>
            <w:tcW w:w="0" w:type="auto"/>
            <w:gridSpan w:val="2"/>
            <w:shd w:val="clear" w:color="auto" w:fill="auto"/>
            <w:vAlign w:val="bottom"/>
          </w:tcPr>
          <w:p w14:paraId="74DD6F37" w14:textId="77777777" w:rsidR="00584EC1" w:rsidRDefault="00584EC1">
            <w:pPr>
              <w:rPr>
                <w:rFonts w:ascii="宋体"/>
                <w:vanish/>
              </w:rPr>
            </w:pPr>
          </w:p>
        </w:tc>
        <w:tc>
          <w:tcPr>
            <w:tcW w:w="0" w:type="auto"/>
            <w:shd w:val="clear" w:color="auto" w:fill="auto"/>
            <w:vAlign w:val="bottom"/>
          </w:tcPr>
          <w:p w14:paraId="74DD6F38" w14:textId="77777777" w:rsidR="00584EC1" w:rsidRDefault="00584EC1">
            <w:pPr>
              <w:rPr>
                <w:rFonts w:ascii="宋体"/>
                <w:vanish/>
              </w:rPr>
            </w:pPr>
          </w:p>
        </w:tc>
      </w:tr>
      <w:tr w:rsidR="00584EC1" w14:paraId="74DD6F56" w14:textId="77777777">
        <w:tc>
          <w:tcPr>
            <w:tcW w:w="0" w:type="auto"/>
            <w:gridSpan w:val="3"/>
            <w:shd w:val="clear" w:color="auto" w:fill="CCEEFF"/>
            <w:tcMar>
              <w:top w:w="40" w:type="dxa"/>
              <w:left w:w="20" w:type="dxa"/>
              <w:bottom w:w="40" w:type="dxa"/>
              <w:right w:w="20" w:type="dxa"/>
            </w:tcMar>
            <w:vAlign w:val="bottom"/>
          </w:tcPr>
          <w:p w14:paraId="74DD6F3A" w14:textId="77777777" w:rsidR="00584EC1" w:rsidRDefault="00871F8D">
            <w:pPr>
              <w:textAlignment w:val="bottom"/>
            </w:pPr>
            <w:r>
              <w:rPr>
                <w:rFonts w:ascii="Arial" w:eastAsia="宋体" w:hAnsi="Arial" w:cs="Arial"/>
                <w:color w:val="000000"/>
                <w:sz w:val="12"/>
                <w:szCs w:val="12"/>
              </w:rPr>
              <w:t>Investment securities held-to-maturity purchased un</w:t>
            </w:r>
            <w:r>
              <w:rPr>
                <w:rFonts w:ascii="Arial" w:eastAsia="宋体" w:hAnsi="Arial" w:cs="Arial"/>
                <w:color w:val="000000"/>
                <w:sz w:val="12"/>
                <w:szCs w:val="12"/>
              </w:rPr>
              <w:t>der money market liquidity facility</w:t>
            </w:r>
          </w:p>
        </w:tc>
        <w:tc>
          <w:tcPr>
            <w:tcW w:w="0" w:type="auto"/>
            <w:gridSpan w:val="2"/>
            <w:shd w:val="clear" w:color="auto" w:fill="CCEEFF"/>
            <w:tcMar>
              <w:top w:w="40" w:type="dxa"/>
              <w:left w:w="20" w:type="dxa"/>
              <w:bottom w:w="40" w:type="dxa"/>
              <w:right w:w="0" w:type="dxa"/>
            </w:tcMar>
            <w:vAlign w:val="bottom"/>
          </w:tcPr>
          <w:p w14:paraId="74DD6F3B" w14:textId="77777777" w:rsidR="00584EC1" w:rsidRDefault="00871F8D">
            <w:pPr>
              <w:jc w:val="right"/>
              <w:textAlignment w:val="bottom"/>
            </w:pPr>
            <w:r>
              <w:rPr>
                <w:rFonts w:ascii="Arial" w:eastAsia="宋体" w:hAnsi="Arial" w:cs="Arial"/>
                <w:b/>
                <w:bCs/>
                <w:color w:val="000000"/>
                <w:sz w:val="12"/>
                <w:szCs w:val="12"/>
              </w:rPr>
              <w:t>420</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6F3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F3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F3E" w14:textId="77777777" w:rsidR="00584EC1" w:rsidRDefault="00871F8D">
            <w:pPr>
              <w:jc w:val="right"/>
              <w:textAlignment w:val="bottom"/>
            </w:pPr>
            <w:r>
              <w:rPr>
                <w:rFonts w:ascii="Arial" w:eastAsia="宋体" w:hAnsi="Arial" w:cs="Arial"/>
                <w:b/>
                <w:bCs/>
                <w:color w:val="000000"/>
                <w:sz w:val="12"/>
                <w:szCs w:val="12"/>
              </w:rPr>
              <w:t>4</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6F3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F4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F41" w14:textId="77777777" w:rsidR="00584EC1" w:rsidRDefault="00871F8D">
            <w:pPr>
              <w:jc w:val="right"/>
              <w:textAlignment w:val="bottom"/>
            </w:pPr>
            <w:r>
              <w:rPr>
                <w:rFonts w:ascii="Arial" w:eastAsia="宋体" w:hAnsi="Arial" w:cs="Arial"/>
                <w:b/>
                <w:bCs/>
                <w:color w:val="000000"/>
                <w:sz w:val="12"/>
                <w:szCs w:val="12"/>
              </w:rPr>
              <w:t>1.35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6F4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F43"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F44" w14:textId="77777777" w:rsidR="00584EC1" w:rsidRDefault="00871F8D">
            <w:pPr>
              <w:jc w:val="right"/>
              <w:textAlignment w:val="bottom"/>
            </w:pPr>
            <w:r>
              <w:rPr>
                <w:rFonts w:ascii="Arial" w:eastAsia="宋体" w:hAnsi="Arial" w:cs="Arial"/>
                <w:color w:val="000000"/>
                <w:sz w:val="12"/>
                <w:szCs w:val="12"/>
              </w:rPr>
              <w:t>9,516 </w:t>
            </w:r>
          </w:p>
        </w:tc>
        <w:tc>
          <w:tcPr>
            <w:tcW w:w="0" w:type="auto"/>
            <w:shd w:val="clear" w:color="auto" w:fill="CCEEFF"/>
            <w:tcMar>
              <w:top w:w="40" w:type="dxa"/>
              <w:left w:w="0" w:type="dxa"/>
              <w:bottom w:w="40" w:type="dxa"/>
              <w:right w:w="20" w:type="dxa"/>
            </w:tcMar>
            <w:vAlign w:val="bottom"/>
          </w:tcPr>
          <w:p w14:paraId="74DD6F4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F4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F47" w14:textId="77777777" w:rsidR="00584EC1" w:rsidRDefault="00871F8D">
            <w:pPr>
              <w:jc w:val="right"/>
              <w:textAlignment w:val="bottom"/>
            </w:pPr>
            <w:r>
              <w:rPr>
                <w:rFonts w:ascii="Arial" w:eastAsia="宋体" w:hAnsi="Arial" w:cs="Arial"/>
                <w:color w:val="000000"/>
                <w:sz w:val="12"/>
                <w:szCs w:val="12"/>
              </w:rPr>
              <w:t>103 </w:t>
            </w:r>
          </w:p>
        </w:tc>
        <w:tc>
          <w:tcPr>
            <w:tcW w:w="0" w:type="auto"/>
            <w:shd w:val="clear" w:color="auto" w:fill="CCEEFF"/>
            <w:tcMar>
              <w:top w:w="40" w:type="dxa"/>
              <w:left w:w="0" w:type="dxa"/>
              <w:bottom w:w="40" w:type="dxa"/>
              <w:right w:w="20" w:type="dxa"/>
            </w:tcMar>
            <w:vAlign w:val="bottom"/>
          </w:tcPr>
          <w:p w14:paraId="74DD6F4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F4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F4A" w14:textId="77777777" w:rsidR="00584EC1" w:rsidRDefault="00871F8D">
            <w:pPr>
              <w:jc w:val="right"/>
              <w:textAlignment w:val="bottom"/>
            </w:pPr>
            <w:r>
              <w:rPr>
                <w:rFonts w:ascii="Arial" w:eastAsia="宋体" w:hAnsi="Arial" w:cs="Arial"/>
                <w:color w:val="000000"/>
                <w:sz w:val="12"/>
                <w:szCs w:val="12"/>
              </w:rPr>
              <w:t>1.45 </w:t>
            </w:r>
          </w:p>
        </w:tc>
        <w:tc>
          <w:tcPr>
            <w:tcW w:w="0" w:type="auto"/>
            <w:shd w:val="clear" w:color="auto" w:fill="CCEEFF"/>
            <w:tcMar>
              <w:top w:w="40" w:type="dxa"/>
              <w:left w:w="0" w:type="dxa"/>
              <w:bottom w:w="40" w:type="dxa"/>
              <w:right w:w="20" w:type="dxa"/>
            </w:tcMar>
            <w:vAlign w:val="bottom"/>
          </w:tcPr>
          <w:p w14:paraId="74DD6F4B" w14:textId="77777777" w:rsidR="00584EC1" w:rsidRDefault="00584EC1">
            <w:pPr>
              <w:jc w:val="right"/>
              <w:rPr>
                <w:rFonts w:ascii="宋体"/>
              </w:rPr>
            </w:pPr>
          </w:p>
        </w:tc>
        <w:tc>
          <w:tcPr>
            <w:tcW w:w="0" w:type="auto"/>
            <w:shd w:val="clear" w:color="auto" w:fill="auto"/>
            <w:vAlign w:val="bottom"/>
          </w:tcPr>
          <w:p w14:paraId="74DD6F4C" w14:textId="77777777" w:rsidR="00584EC1" w:rsidRDefault="00584EC1">
            <w:pPr>
              <w:rPr>
                <w:rFonts w:ascii="宋体"/>
                <w:vanish/>
              </w:rPr>
            </w:pPr>
          </w:p>
        </w:tc>
        <w:tc>
          <w:tcPr>
            <w:tcW w:w="0" w:type="auto"/>
            <w:shd w:val="clear" w:color="auto" w:fill="auto"/>
            <w:vAlign w:val="bottom"/>
          </w:tcPr>
          <w:p w14:paraId="74DD6F4D" w14:textId="77777777" w:rsidR="00584EC1" w:rsidRDefault="00584EC1">
            <w:pPr>
              <w:rPr>
                <w:rFonts w:ascii="宋体"/>
                <w:vanish/>
              </w:rPr>
            </w:pPr>
          </w:p>
        </w:tc>
        <w:tc>
          <w:tcPr>
            <w:tcW w:w="0" w:type="auto"/>
            <w:shd w:val="clear" w:color="auto" w:fill="auto"/>
            <w:vAlign w:val="bottom"/>
          </w:tcPr>
          <w:p w14:paraId="74DD6F4E" w14:textId="77777777" w:rsidR="00584EC1" w:rsidRDefault="00584EC1">
            <w:pPr>
              <w:rPr>
                <w:rFonts w:ascii="宋体"/>
                <w:vanish/>
              </w:rPr>
            </w:pPr>
          </w:p>
        </w:tc>
        <w:tc>
          <w:tcPr>
            <w:tcW w:w="0" w:type="auto"/>
            <w:shd w:val="clear" w:color="auto" w:fill="auto"/>
            <w:vAlign w:val="bottom"/>
          </w:tcPr>
          <w:p w14:paraId="74DD6F4F" w14:textId="77777777" w:rsidR="00584EC1" w:rsidRDefault="00584EC1">
            <w:pPr>
              <w:rPr>
                <w:rFonts w:ascii="宋体"/>
                <w:vanish/>
              </w:rPr>
            </w:pPr>
          </w:p>
        </w:tc>
        <w:tc>
          <w:tcPr>
            <w:tcW w:w="0" w:type="auto"/>
            <w:gridSpan w:val="3"/>
            <w:shd w:val="clear" w:color="auto" w:fill="auto"/>
            <w:vAlign w:val="bottom"/>
          </w:tcPr>
          <w:p w14:paraId="74DD6F50" w14:textId="77777777" w:rsidR="00584EC1" w:rsidRDefault="00584EC1">
            <w:pPr>
              <w:rPr>
                <w:rFonts w:ascii="宋体"/>
                <w:vanish/>
              </w:rPr>
            </w:pPr>
          </w:p>
        </w:tc>
        <w:tc>
          <w:tcPr>
            <w:tcW w:w="0" w:type="auto"/>
            <w:gridSpan w:val="3"/>
            <w:shd w:val="clear" w:color="auto" w:fill="auto"/>
            <w:vAlign w:val="bottom"/>
          </w:tcPr>
          <w:p w14:paraId="74DD6F51" w14:textId="77777777" w:rsidR="00584EC1" w:rsidRDefault="00584EC1">
            <w:pPr>
              <w:rPr>
                <w:rFonts w:ascii="宋体"/>
                <w:vanish/>
              </w:rPr>
            </w:pPr>
          </w:p>
        </w:tc>
        <w:tc>
          <w:tcPr>
            <w:tcW w:w="0" w:type="auto"/>
            <w:gridSpan w:val="3"/>
            <w:shd w:val="clear" w:color="auto" w:fill="auto"/>
            <w:vAlign w:val="bottom"/>
          </w:tcPr>
          <w:p w14:paraId="74DD6F52" w14:textId="77777777" w:rsidR="00584EC1" w:rsidRDefault="00584EC1">
            <w:pPr>
              <w:rPr>
                <w:rFonts w:ascii="宋体"/>
                <w:vanish/>
              </w:rPr>
            </w:pPr>
          </w:p>
        </w:tc>
        <w:tc>
          <w:tcPr>
            <w:tcW w:w="0" w:type="auto"/>
            <w:gridSpan w:val="3"/>
            <w:shd w:val="clear" w:color="auto" w:fill="auto"/>
            <w:vAlign w:val="bottom"/>
          </w:tcPr>
          <w:p w14:paraId="74DD6F53" w14:textId="77777777" w:rsidR="00584EC1" w:rsidRDefault="00584EC1">
            <w:pPr>
              <w:rPr>
                <w:rFonts w:ascii="宋体"/>
                <w:vanish/>
              </w:rPr>
            </w:pPr>
          </w:p>
        </w:tc>
        <w:tc>
          <w:tcPr>
            <w:tcW w:w="0" w:type="auto"/>
            <w:gridSpan w:val="2"/>
            <w:shd w:val="clear" w:color="auto" w:fill="auto"/>
            <w:vAlign w:val="bottom"/>
          </w:tcPr>
          <w:p w14:paraId="74DD6F54" w14:textId="77777777" w:rsidR="00584EC1" w:rsidRDefault="00584EC1">
            <w:pPr>
              <w:rPr>
                <w:rFonts w:ascii="宋体"/>
                <w:vanish/>
              </w:rPr>
            </w:pPr>
          </w:p>
        </w:tc>
        <w:tc>
          <w:tcPr>
            <w:tcW w:w="0" w:type="auto"/>
            <w:shd w:val="clear" w:color="auto" w:fill="auto"/>
            <w:vAlign w:val="bottom"/>
          </w:tcPr>
          <w:p w14:paraId="74DD6F55" w14:textId="77777777" w:rsidR="00584EC1" w:rsidRDefault="00584EC1">
            <w:pPr>
              <w:rPr>
                <w:rFonts w:ascii="宋体"/>
                <w:vanish/>
              </w:rPr>
            </w:pPr>
          </w:p>
        </w:tc>
      </w:tr>
      <w:tr w:rsidR="00584EC1" w14:paraId="74DD6F73" w14:textId="77777777">
        <w:tc>
          <w:tcPr>
            <w:tcW w:w="0" w:type="auto"/>
            <w:gridSpan w:val="3"/>
            <w:shd w:val="clear" w:color="auto" w:fill="FFFFFF"/>
            <w:tcMar>
              <w:top w:w="40" w:type="dxa"/>
              <w:left w:w="20" w:type="dxa"/>
              <w:bottom w:w="40" w:type="dxa"/>
              <w:right w:w="20" w:type="dxa"/>
            </w:tcMar>
            <w:vAlign w:val="bottom"/>
          </w:tcPr>
          <w:p w14:paraId="74DD6F57" w14:textId="77777777" w:rsidR="00584EC1" w:rsidRDefault="00871F8D">
            <w:pPr>
              <w:textAlignment w:val="bottom"/>
            </w:pPr>
            <w:r>
              <w:rPr>
                <w:rFonts w:ascii="Arial" w:eastAsia="宋体" w:hAnsi="Arial" w:cs="Arial"/>
                <w:color w:val="000000"/>
                <w:sz w:val="12"/>
                <w:szCs w:val="12"/>
              </w:rPr>
              <w:t>Total investment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6F58" w14:textId="77777777" w:rsidR="00584EC1" w:rsidRDefault="00871F8D">
            <w:pPr>
              <w:jc w:val="right"/>
              <w:textAlignment w:val="bottom"/>
            </w:pPr>
            <w:r>
              <w:rPr>
                <w:rFonts w:ascii="Arial" w:eastAsia="宋体" w:hAnsi="Arial" w:cs="Arial"/>
                <w:b/>
                <w:bCs/>
                <w:color w:val="000000"/>
                <w:sz w:val="12"/>
                <w:szCs w:val="12"/>
              </w:rPr>
              <w:t>110,997</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6F5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F5A"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6F5B" w14:textId="77777777" w:rsidR="00584EC1" w:rsidRDefault="00871F8D">
            <w:pPr>
              <w:jc w:val="right"/>
              <w:textAlignment w:val="bottom"/>
            </w:pPr>
            <w:r>
              <w:rPr>
                <w:rFonts w:ascii="Arial" w:eastAsia="宋体" w:hAnsi="Arial" w:cs="Arial"/>
                <w:b/>
                <w:bCs/>
                <w:color w:val="000000"/>
                <w:sz w:val="12"/>
                <w:szCs w:val="12"/>
              </w:rPr>
              <w:t>949</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6F5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F5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F5E" w14:textId="77777777" w:rsidR="00584EC1" w:rsidRDefault="00871F8D">
            <w:pPr>
              <w:jc w:val="right"/>
              <w:textAlignment w:val="bottom"/>
            </w:pPr>
            <w:r>
              <w:rPr>
                <w:rFonts w:ascii="Arial" w:eastAsia="宋体" w:hAnsi="Arial" w:cs="Arial"/>
                <w:b/>
                <w:bCs/>
                <w:color w:val="000000"/>
                <w:sz w:val="12"/>
                <w:szCs w:val="12"/>
              </w:rPr>
              <w:t>1.14</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6F5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F60"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6F61" w14:textId="77777777" w:rsidR="00584EC1" w:rsidRDefault="00871F8D">
            <w:pPr>
              <w:jc w:val="right"/>
              <w:textAlignment w:val="bottom"/>
            </w:pPr>
            <w:r>
              <w:rPr>
                <w:rFonts w:ascii="Arial" w:eastAsia="宋体" w:hAnsi="Arial" w:cs="Arial"/>
                <w:color w:val="000000"/>
                <w:sz w:val="12"/>
                <w:szCs w:val="12"/>
              </w:rPr>
              <w:t>108,220 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6F6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F63"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6F64" w14:textId="77777777" w:rsidR="00584EC1" w:rsidRDefault="00871F8D">
            <w:pPr>
              <w:jc w:val="right"/>
              <w:textAlignment w:val="bottom"/>
            </w:pPr>
            <w:r>
              <w:rPr>
                <w:rFonts w:ascii="Arial" w:eastAsia="宋体" w:hAnsi="Arial" w:cs="Arial"/>
                <w:color w:val="000000"/>
                <w:sz w:val="12"/>
                <w:szCs w:val="12"/>
              </w:rPr>
              <w:t>1,353 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6F6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F6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F67" w14:textId="77777777" w:rsidR="00584EC1" w:rsidRDefault="00871F8D">
            <w:pPr>
              <w:jc w:val="right"/>
              <w:textAlignment w:val="bottom"/>
            </w:pPr>
            <w:r>
              <w:rPr>
                <w:rFonts w:ascii="Arial" w:eastAsia="宋体" w:hAnsi="Arial" w:cs="Arial"/>
                <w:color w:val="000000"/>
                <w:sz w:val="12"/>
                <w:szCs w:val="12"/>
              </w:rPr>
              <w:t>1.67 </w:t>
            </w:r>
          </w:p>
        </w:tc>
        <w:tc>
          <w:tcPr>
            <w:tcW w:w="0" w:type="auto"/>
            <w:shd w:val="clear" w:color="auto" w:fill="FFFFFF"/>
            <w:tcMar>
              <w:top w:w="40" w:type="dxa"/>
              <w:left w:w="0" w:type="dxa"/>
              <w:bottom w:w="40" w:type="dxa"/>
              <w:right w:w="20" w:type="dxa"/>
            </w:tcMar>
            <w:vAlign w:val="bottom"/>
          </w:tcPr>
          <w:p w14:paraId="74DD6F68" w14:textId="77777777" w:rsidR="00584EC1" w:rsidRDefault="00584EC1">
            <w:pPr>
              <w:jc w:val="right"/>
              <w:rPr>
                <w:rFonts w:ascii="宋体"/>
              </w:rPr>
            </w:pPr>
          </w:p>
        </w:tc>
        <w:tc>
          <w:tcPr>
            <w:tcW w:w="0" w:type="auto"/>
            <w:shd w:val="clear" w:color="auto" w:fill="auto"/>
            <w:vAlign w:val="bottom"/>
          </w:tcPr>
          <w:p w14:paraId="74DD6F69" w14:textId="77777777" w:rsidR="00584EC1" w:rsidRDefault="00584EC1">
            <w:pPr>
              <w:rPr>
                <w:rFonts w:ascii="宋体"/>
                <w:vanish/>
              </w:rPr>
            </w:pPr>
          </w:p>
        </w:tc>
        <w:tc>
          <w:tcPr>
            <w:tcW w:w="0" w:type="auto"/>
            <w:shd w:val="clear" w:color="auto" w:fill="auto"/>
            <w:vAlign w:val="bottom"/>
          </w:tcPr>
          <w:p w14:paraId="74DD6F6A" w14:textId="77777777" w:rsidR="00584EC1" w:rsidRDefault="00584EC1">
            <w:pPr>
              <w:rPr>
                <w:rFonts w:ascii="宋体"/>
                <w:vanish/>
              </w:rPr>
            </w:pPr>
          </w:p>
        </w:tc>
        <w:tc>
          <w:tcPr>
            <w:tcW w:w="0" w:type="auto"/>
            <w:shd w:val="clear" w:color="auto" w:fill="auto"/>
            <w:vAlign w:val="bottom"/>
          </w:tcPr>
          <w:p w14:paraId="74DD6F6B" w14:textId="77777777" w:rsidR="00584EC1" w:rsidRDefault="00584EC1">
            <w:pPr>
              <w:rPr>
                <w:rFonts w:ascii="宋体"/>
                <w:vanish/>
              </w:rPr>
            </w:pPr>
          </w:p>
        </w:tc>
        <w:tc>
          <w:tcPr>
            <w:tcW w:w="0" w:type="auto"/>
            <w:shd w:val="clear" w:color="auto" w:fill="auto"/>
            <w:vAlign w:val="bottom"/>
          </w:tcPr>
          <w:p w14:paraId="74DD6F6C" w14:textId="77777777" w:rsidR="00584EC1" w:rsidRDefault="00584EC1">
            <w:pPr>
              <w:rPr>
                <w:rFonts w:ascii="宋体"/>
                <w:vanish/>
              </w:rPr>
            </w:pPr>
          </w:p>
        </w:tc>
        <w:tc>
          <w:tcPr>
            <w:tcW w:w="0" w:type="auto"/>
            <w:gridSpan w:val="3"/>
            <w:shd w:val="clear" w:color="auto" w:fill="auto"/>
            <w:vAlign w:val="bottom"/>
          </w:tcPr>
          <w:p w14:paraId="74DD6F6D" w14:textId="77777777" w:rsidR="00584EC1" w:rsidRDefault="00584EC1">
            <w:pPr>
              <w:rPr>
                <w:rFonts w:ascii="宋体"/>
                <w:vanish/>
              </w:rPr>
            </w:pPr>
          </w:p>
        </w:tc>
        <w:tc>
          <w:tcPr>
            <w:tcW w:w="0" w:type="auto"/>
            <w:gridSpan w:val="3"/>
            <w:shd w:val="clear" w:color="auto" w:fill="auto"/>
            <w:vAlign w:val="bottom"/>
          </w:tcPr>
          <w:p w14:paraId="74DD6F6E" w14:textId="77777777" w:rsidR="00584EC1" w:rsidRDefault="00584EC1">
            <w:pPr>
              <w:rPr>
                <w:rFonts w:ascii="宋体"/>
                <w:vanish/>
              </w:rPr>
            </w:pPr>
          </w:p>
        </w:tc>
        <w:tc>
          <w:tcPr>
            <w:tcW w:w="0" w:type="auto"/>
            <w:gridSpan w:val="3"/>
            <w:shd w:val="clear" w:color="auto" w:fill="auto"/>
            <w:vAlign w:val="bottom"/>
          </w:tcPr>
          <w:p w14:paraId="74DD6F6F" w14:textId="77777777" w:rsidR="00584EC1" w:rsidRDefault="00584EC1">
            <w:pPr>
              <w:rPr>
                <w:rFonts w:ascii="宋体"/>
                <w:vanish/>
              </w:rPr>
            </w:pPr>
          </w:p>
        </w:tc>
        <w:tc>
          <w:tcPr>
            <w:tcW w:w="0" w:type="auto"/>
            <w:gridSpan w:val="3"/>
            <w:shd w:val="clear" w:color="auto" w:fill="auto"/>
            <w:vAlign w:val="bottom"/>
          </w:tcPr>
          <w:p w14:paraId="74DD6F70" w14:textId="77777777" w:rsidR="00584EC1" w:rsidRDefault="00584EC1">
            <w:pPr>
              <w:rPr>
                <w:rFonts w:ascii="宋体"/>
                <w:vanish/>
              </w:rPr>
            </w:pPr>
          </w:p>
        </w:tc>
        <w:tc>
          <w:tcPr>
            <w:tcW w:w="0" w:type="auto"/>
            <w:gridSpan w:val="2"/>
            <w:shd w:val="clear" w:color="auto" w:fill="auto"/>
            <w:vAlign w:val="bottom"/>
          </w:tcPr>
          <w:p w14:paraId="74DD6F71" w14:textId="77777777" w:rsidR="00584EC1" w:rsidRDefault="00584EC1">
            <w:pPr>
              <w:rPr>
                <w:rFonts w:ascii="宋体"/>
                <w:vanish/>
              </w:rPr>
            </w:pPr>
          </w:p>
        </w:tc>
        <w:tc>
          <w:tcPr>
            <w:tcW w:w="0" w:type="auto"/>
            <w:shd w:val="clear" w:color="auto" w:fill="auto"/>
            <w:vAlign w:val="bottom"/>
          </w:tcPr>
          <w:p w14:paraId="74DD6F72" w14:textId="77777777" w:rsidR="00584EC1" w:rsidRDefault="00584EC1">
            <w:pPr>
              <w:rPr>
                <w:rFonts w:ascii="宋体"/>
                <w:vanish/>
              </w:rPr>
            </w:pPr>
          </w:p>
        </w:tc>
      </w:tr>
      <w:tr w:rsidR="00584EC1" w14:paraId="74DD6F90" w14:textId="77777777">
        <w:tc>
          <w:tcPr>
            <w:tcW w:w="0" w:type="auto"/>
            <w:gridSpan w:val="3"/>
            <w:shd w:val="clear" w:color="auto" w:fill="CCEEFF"/>
            <w:tcMar>
              <w:top w:w="40" w:type="dxa"/>
              <w:left w:w="20" w:type="dxa"/>
              <w:bottom w:w="40" w:type="dxa"/>
              <w:right w:w="20" w:type="dxa"/>
            </w:tcMar>
            <w:vAlign w:val="bottom"/>
          </w:tcPr>
          <w:p w14:paraId="74DD6F74" w14:textId="77777777" w:rsidR="00584EC1" w:rsidRDefault="00871F8D">
            <w:pPr>
              <w:textAlignment w:val="bottom"/>
            </w:pPr>
            <w:r>
              <w:rPr>
                <w:rFonts w:ascii="Arial" w:eastAsia="宋体" w:hAnsi="Arial" w:cs="Arial"/>
                <w:color w:val="000000"/>
                <w:sz w:val="12"/>
                <w:szCs w:val="12"/>
              </w:rPr>
              <w:t xml:space="preserve">Loans </w:t>
            </w:r>
          </w:p>
        </w:tc>
        <w:tc>
          <w:tcPr>
            <w:tcW w:w="0" w:type="auto"/>
            <w:gridSpan w:val="2"/>
            <w:shd w:val="clear" w:color="auto" w:fill="CCEEFF"/>
            <w:tcMar>
              <w:top w:w="40" w:type="dxa"/>
              <w:left w:w="20" w:type="dxa"/>
              <w:bottom w:w="40" w:type="dxa"/>
              <w:right w:w="0" w:type="dxa"/>
            </w:tcMar>
            <w:vAlign w:val="bottom"/>
          </w:tcPr>
          <w:p w14:paraId="74DD6F75" w14:textId="77777777" w:rsidR="00584EC1" w:rsidRDefault="00871F8D">
            <w:pPr>
              <w:jc w:val="right"/>
              <w:textAlignment w:val="bottom"/>
            </w:pPr>
            <w:r>
              <w:rPr>
                <w:rFonts w:ascii="Arial" w:eastAsia="宋体" w:hAnsi="Arial" w:cs="Arial"/>
                <w:b/>
                <w:bCs/>
                <w:color w:val="000000"/>
                <w:sz w:val="12"/>
                <w:szCs w:val="12"/>
              </w:rPr>
              <w:t>29,858</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6F7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F7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F78" w14:textId="77777777" w:rsidR="00584EC1" w:rsidRDefault="00871F8D">
            <w:pPr>
              <w:jc w:val="right"/>
              <w:textAlignment w:val="bottom"/>
            </w:pPr>
            <w:r>
              <w:rPr>
                <w:rFonts w:ascii="Arial" w:eastAsia="宋体" w:hAnsi="Arial" w:cs="Arial"/>
                <w:b/>
                <w:bCs/>
                <w:color w:val="000000"/>
                <w:sz w:val="12"/>
                <w:szCs w:val="12"/>
              </w:rPr>
              <w:t>467</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6F7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F7A"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F7B" w14:textId="77777777" w:rsidR="00584EC1" w:rsidRDefault="00871F8D">
            <w:pPr>
              <w:jc w:val="right"/>
              <w:textAlignment w:val="bottom"/>
            </w:pPr>
            <w:r>
              <w:rPr>
                <w:rFonts w:ascii="Arial" w:eastAsia="宋体" w:hAnsi="Arial" w:cs="Arial"/>
                <w:b/>
                <w:bCs/>
                <w:color w:val="000000"/>
                <w:sz w:val="12"/>
                <w:szCs w:val="12"/>
              </w:rPr>
              <w:t>2.09</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6F7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F7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F7E" w14:textId="77777777" w:rsidR="00584EC1" w:rsidRDefault="00871F8D">
            <w:pPr>
              <w:jc w:val="right"/>
              <w:textAlignment w:val="bottom"/>
            </w:pPr>
            <w:r>
              <w:rPr>
                <w:rFonts w:ascii="Arial" w:eastAsia="宋体" w:hAnsi="Arial" w:cs="Arial"/>
                <w:color w:val="000000"/>
                <w:sz w:val="12"/>
                <w:szCs w:val="12"/>
              </w:rPr>
              <w:t>27,266 </w:t>
            </w:r>
          </w:p>
        </w:tc>
        <w:tc>
          <w:tcPr>
            <w:tcW w:w="0" w:type="auto"/>
            <w:shd w:val="clear" w:color="auto" w:fill="CCEEFF"/>
            <w:tcMar>
              <w:top w:w="40" w:type="dxa"/>
              <w:left w:w="0" w:type="dxa"/>
              <w:bottom w:w="40" w:type="dxa"/>
              <w:right w:w="20" w:type="dxa"/>
            </w:tcMar>
            <w:vAlign w:val="bottom"/>
          </w:tcPr>
          <w:p w14:paraId="74DD6F7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F8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F81" w14:textId="77777777" w:rsidR="00584EC1" w:rsidRDefault="00871F8D">
            <w:pPr>
              <w:jc w:val="right"/>
              <w:textAlignment w:val="bottom"/>
            </w:pPr>
            <w:r>
              <w:rPr>
                <w:rFonts w:ascii="Arial" w:eastAsia="宋体" w:hAnsi="Arial" w:cs="Arial"/>
                <w:color w:val="000000"/>
                <w:sz w:val="12"/>
                <w:szCs w:val="12"/>
              </w:rPr>
              <w:t>482 </w:t>
            </w:r>
          </w:p>
        </w:tc>
        <w:tc>
          <w:tcPr>
            <w:tcW w:w="0" w:type="auto"/>
            <w:shd w:val="clear" w:color="auto" w:fill="CCEEFF"/>
            <w:tcMar>
              <w:top w:w="40" w:type="dxa"/>
              <w:left w:w="0" w:type="dxa"/>
              <w:bottom w:w="40" w:type="dxa"/>
              <w:right w:w="20" w:type="dxa"/>
            </w:tcMar>
            <w:vAlign w:val="bottom"/>
          </w:tcPr>
          <w:p w14:paraId="74DD6F8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F83"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F84" w14:textId="77777777" w:rsidR="00584EC1" w:rsidRDefault="00871F8D">
            <w:pPr>
              <w:jc w:val="right"/>
              <w:textAlignment w:val="bottom"/>
            </w:pPr>
            <w:r>
              <w:rPr>
                <w:rFonts w:ascii="Arial" w:eastAsia="宋体" w:hAnsi="Arial" w:cs="Arial"/>
                <w:color w:val="000000"/>
                <w:sz w:val="12"/>
                <w:szCs w:val="12"/>
              </w:rPr>
              <w:t>2.36 </w:t>
            </w:r>
          </w:p>
        </w:tc>
        <w:tc>
          <w:tcPr>
            <w:tcW w:w="0" w:type="auto"/>
            <w:shd w:val="clear" w:color="auto" w:fill="CCEEFF"/>
            <w:tcMar>
              <w:top w:w="40" w:type="dxa"/>
              <w:left w:w="0" w:type="dxa"/>
              <w:bottom w:w="40" w:type="dxa"/>
              <w:right w:w="20" w:type="dxa"/>
            </w:tcMar>
            <w:vAlign w:val="bottom"/>
          </w:tcPr>
          <w:p w14:paraId="74DD6F85" w14:textId="77777777" w:rsidR="00584EC1" w:rsidRDefault="00584EC1">
            <w:pPr>
              <w:jc w:val="right"/>
              <w:rPr>
                <w:rFonts w:ascii="宋体"/>
              </w:rPr>
            </w:pPr>
          </w:p>
        </w:tc>
        <w:tc>
          <w:tcPr>
            <w:tcW w:w="0" w:type="auto"/>
            <w:shd w:val="clear" w:color="auto" w:fill="auto"/>
            <w:vAlign w:val="bottom"/>
          </w:tcPr>
          <w:p w14:paraId="74DD6F86" w14:textId="77777777" w:rsidR="00584EC1" w:rsidRDefault="00584EC1">
            <w:pPr>
              <w:rPr>
                <w:rFonts w:ascii="宋体"/>
                <w:vanish/>
              </w:rPr>
            </w:pPr>
          </w:p>
        </w:tc>
        <w:tc>
          <w:tcPr>
            <w:tcW w:w="0" w:type="auto"/>
            <w:shd w:val="clear" w:color="auto" w:fill="auto"/>
            <w:vAlign w:val="bottom"/>
          </w:tcPr>
          <w:p w14:paraId="74DD6F87" w14:textId="77777777" w:rsidR="00584EC1" w:rsidRDefault="00584EC1">
            <w:pPr>
              <w:rPr>
                <w:rFonts w:ascii="宋体"/>
                <w:vanish/>
              </w:rPr>
            </w:pPr>
          </w:p>
        </w:tc>
        <w:tc>
          <w:tcPr>
            <w:tcW w:w="0" w:type="auto"/>
            <w:shd w:val="clear" w:color="auto" w:fill="auto"/>
            <w:vAlign w:val="bottom"/>
          </w:tcPr>
          <w:p w14:paraId="74DD6F88" w14:textId="77777777" w:rsidR="00584EC1" w:rsidRDefault="00584EC1">
            <w:pPr>
              <w:rPr>
                <w:rFonts w:ascii="宋体"/>
                <w:vanish/>
              </w:rPr>
            </w:pPr>
          </w:p>
        </w:tc>
        <w:tc>
          <w:tcPr>
            <w:tcW w:w="0" w:type="auto"/>
            <w:shd w:val="clear" w:color="auto" w:fill="auto"/>
            <w:vAlign w:val="bottom"/>
          </w:tcPr>
          <w:p w14:paraId="74DD6F89" w14:textId="77777777" w:rsidR="00584EC1" w:rsidRDefault="00584EC1">
            <w:pPr>
              <w:rPr>
                <w:rFonts w:ascii="宋体"/>
                <w:vanish/>
              </w:rPr>
            </w:pPr>
          </w:p>
        </w:tc>
        <w:tc>
          <w:tcPr>
            <w:tcW w:w="0" w:type="auto"/>
            <w:gridSpan w:val="3"/>
            <w:shd w:val="clear" w:color="auto" w:fill="auto"/>
            <w:vAlign w:val="bottom"/>
          </w:tcPr>
          <w:p w14:paraId="74DD6F8A" w14:textId="77777777" w:rsidR="00584EC1" w:rsidRDefault="00584EC1">
            <w:pPr>
              <w:rPr>
                <w:rFonts w:ascii="宋体"/>
                <w:vanish/>
              </w:rPr>
            </w:pPr>
          </w:p>
        </w:tc>
        <w:tc>
          <w:tcPr>
            <w:tcW w:w="0" w:type="auto"/>
            <w:gridSpan w:val="3"/>
            <w:shd w:val="clear" w:color="auto" w:fill="auto"/>
            <w:vAlign w:val="bottom"/>
          </w:tcPr>
          <w:p w14:paraId="74DD6F8B" w14:textId="77777777" w:rsidR="00584EC1" w:rsidRDefault="00584EC1">
            <w:pPr>
              <w:rPr>
                <w:rFonts w:ascii="宋体"/>
                <w:vanish/>
              </w:rPr>
            </w:pPr>
          </w:p>
        </w:tc>
        <w:tc>
          <w:tcPr>
            <w:tcW w:w="0" w:type="auto"/>
            <w:gridSpan w:val="3"/>
            <w:shd w:val="clear" w:color="auto" w:fill="auto"/>
            <w:vAlign w:val="bottom"/>
          </w:tcPr>
          <w:p w14:paraId="74DD6F8C" w14:textId="77777777" w:rsidR="00584EC1" w:rsidRDefault="00584EC1">
            <w:pPr>
              <w:rPr>
                <w:rFonts w:ascii="宋体"/>
                <w:vanish/>
              </w:rPr>
            </w:pPr>
          </w:p>
        </w:tc>
        <w:tc>
          <w:tcPr>
            <w:tcW w:w="0" w:type="auto"/>
            <w:gridSpan w:val="3"/>
            <w:shd w:val="clear" w:color="auto" w:fill="auto"/>
            <w:vAlign w:val="bottom"/>
          </w:tcPr>
          <w:p w14:paraId="74DD6F8D" w14:textId="77777777" w:rsidR="00584EC1" w:rsidRDefault="00584EC1">
            <w:pPr>
              <w:rPr>
                <w:rFonts w:ascii="宋体"/>
                <w:vanish/>
              </w:rPr>
            </w:pPr>
          </w:p>
        </w:tc>
        <w:tc>
          <w:tcPr>
            <w:tcW w:w="0" w:type="auto"/>
            <w:gridSpan w:val="2"/>
            <w:shd w:val="clear" w:color="auto" w:fill="auto"/>
            <w:vAlign w:val="bottom"/>
          </w:tcPr>
          <w:p w14:paraId="74DD6F8E" w14:textId="77777777" w:rsidR="00584EC1" w:rsidRDefault="00584EC1">
            <w:pPr>
              <w:rPr>
                <w:rFonts w:ascii="宋体"/>
                <w:vanish/>
              </w:rPr>
            </w:pPr>
          </w:p>
        </w:tc>
        <w:tc>
          <w:tcPr>
            <w:tcW w:w="0" w:type="auto"/>
            <w:shd w:val="clear" w:color="auto" w:fill="auto"/>
            <w:vAlign w:val="bottom"/>
          </w:tcPr>
          <w:p w14:paraId="74DD6F8F" w14:textId="77777777" w:rsidR="00584EC1" w:rsidRDefault="00584EC1">
            <w:pPr>
              <w:rPr>
                <w:rFonts w:ascii="宋体"/>
                <w:vanish/>
              </w:rPr>
            </w:pPr>
          </w:p>
        </w:tc>
      </w:tr>
      <w:tr w:rsidR="00584EC1" w14:paraId="74DD6FAD" w14:textId="77777777">
        <w:tc>
          <w:tcPr>
            <w:tcW w:w="0" w:type="auto"/>
            <w:gridSpan w:val="3"/>
            <w:shd w:val="clear" w:color="auto" w:fill="FFFFFF"/>
            <w:tcMar>
              <w:top w:w="40" w:type="dxa"/>
              <w:left w:w="20" w:type="dxa"/>
              <w:bottom w:w="40" w:type="dxa"/>
              <w:right w:w="20" w:type="dxa"/>
            </w:tcMar>
            <w:vAlign w:val="bottom"/>
          </w:tcPr>
          <w:p w14:paraId="74DD6F91" w14:textId="77777777" w:rsidR="00584EC1" w:rsidRDefault="00871F8D">
            <w:pPr>
              <w:textAlignment w:val="bottom"/>
            </w:pPr>
            <w:r>
              <w:rPr>
                <w:rFonts w:ascii="Arial" w:eastAsia="宋体" w:hAnsi="Arial" w:cs="Arial"/>
                <w:color w:val="000000"/>
                <w:sz w:val="12"/>
                <w:szCs w:val="12"/>
              </w:rPr>
              <w:t>Other interest-earning assets</w:t>
            </w:r>
          </w:p>
        </w:tc>
        <w:tc>
          <w:tcPr>
            <w:tcW w:w="0" w:type="auto"/>
            <w:gridSpan w:val="2"/>
            <w:shd w:val="clear" w:color="auto" w:fill="FFFFFF"/>
            <w:tcMar>
              <w:top w:w="40" w:type="dxa"/>
              <w:left w:w="20" w:type="dxa"/>
              <w:bottom w:w="40" w:type="dxa"/>
              <w:right w:w="0" w:type="dxa"/>
            </w:tcMar>
            <w:vAlign w:val="bottom"/>
          </w:tcPr>
          <w:p w14:paraId="74DD6F92" w14:textId="77777777" w:rsidR="00584EC1" w:rsidRDefault="00871F8D">
            <w:pPr>
              <w:jc w:val="right"/>
              <w:textAlignment w:val="bottom"/>
            </w:pPr>
            <w:r>
              <w:rPr>
                <w:rFonts w:ascii="Arial" w:eastAsia="宋体" w:hAnsi="Arial" w:cs="Arial"/>
                <w:b/>
                <w:bCs/>
                <w:color w:val="000000"/>
                <w:sz w:val="12"/>
                <w:szCs w:val="12"/>
              </w:rPr>
              <w:t>21,322</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6F9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F9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F95" w14:textId="77777777" w:rsidR="00584EC1" w:rsidRDefault="00871F8D">
            <w:pPr>
              <w:jc w:val="right"/>
              <w:textAlignment w:val="bottom"/>
            </w:pPr>
            <w:r>
              <w:rPr>
                <w:rFonts w:ascii="Arial" w:eastAsia="宋体" w:hAnsi="Arial" w:cs="Arial"/>
                <w:b/>
                <w:bCs/>
                <w:color w:val="000000"/>
                <w:sz w:val="12"/>
                <w:szCs w:val="12"/>
              </w:rPr>
              <w:t>13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6F9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F9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F98" w14:textId="77777777" w:rsidR="00584EC1" w:rsidRDefault="00871F8D">
            <w:pPr>
              <w:jc w:val="right"/>
              <w:textAlignment w:val="bottom"/>
            </w:pPr>
            <w:r>
              <w:rPr>
                <w:rFonts w:ascii="Arial" w:eastAsia="宋体" w:hAnsi="Arial" w:cs="Arial"/>
                <w:b/>
                <w:bCs/>
                <w:color w:val="000000"/>
                <w:sz w:val="12"/>
                <w:szCs w:val="12"/>
              </w:rPr>
              <w:t>.08</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6F9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F9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F9B" w14:textId="77777777" w:rsidR="00584EC1" w:rsidRDefault="00871F8D">
            <w:pPr>
              <w:jc w:val="right"/>
              <w:textAlignment w:val="bottom"/>
            </w:pPr>
            <w:r>
              <w:rPr>
                <w:rFonts w:ascii="Arial" w:eastAsia="宋体" w:hAnsi="Arial" w:cs="Arial"/>
                <w:color w:val="000000"/>
                <w:sz w:val="12"/>
                <w:szCs w:val="12"/>
              </w:rPr>
              <w:t>10,729 </w:t>
            </w:r>
          </w:p>
        </w:tc>
        <w:tc>
          <w:tcPr>
            <w:tcW w:w="0" w:type="auto"/>
            <w:shd w:val="clear" w:color="auto" w:fill="FFFFFF"/>
            <w:tcMar>
              <w:top w:w="40" w:type="dxa"/>
              <w:left w:w="0" w:type="dxa"/>
              <w:bottom w:w="40" w:type="dxa"/>
              <w:right w:w="20" w:type="dxa"/>
            </w:tcMar>
            <w:vAlign w:val="bottom"/>
          </w:tcPr>
          <w:p w14:paraId="74DD6F9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F9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F9E" w14:textId="77777777" w:rsidR="00584EC1" w:rsidRDefault="00871F8D">
            <w:pPr>
              <w:jc w:val="right"/>
              <w:textAlignment w:val="bottom"/>
            </w:pPr>
            <w:r>
              <w:rPr>
                <w:rFonts w:ascii="Arial" w:eastAsia="宋体" w:hAnsi="Arial" w:cs="Arial"/>
                <w:color w:val="000000"/>
                <w:sz w:val="12"/>
                <w:szCs w:val="12"/>
              </w:rPr>
              <w:t>52 </w:t>
            </w:r>
          </w:p>
        </w:tc>
        <w:tc>
          <w:tcPr>
            <w:tcW w:w="0" w:type="auto"/>
            <w:shd w:val="clear" w:color="auto" w:fill="FFFFFF"/>
            <w:tcMar>
              <w:top w:w="40" w:type="dxa"/>
              <w:left w:w="0" w:type="dxa"/>
              <w:bottom w:w="40" w:type="dxa"/>
              <w:right w:w="20" w:type="dxa"/>
            </w:tcMar>
            <w:vAlign w:val="bottom"/>
          </w:tcPr>
          <w:p w14:paraId="74DD6F9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6FA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6FA1" w14:textId="77777777" w:rsidR="00584EC1" w:rsidRDefault="00871F8D">
            <w:pPr>
              <w:jc w:val="right"/>
              <w:textAlignment w:val="bottom"/>
            </w:pPr>
            <w:r>
              <w:rPr>
                <w:rFonts w:ascii="Arial" w:eastAsia="宋体" w:hAnsi="Arial" w:cs="Arial"/>
                <w:color w:val="000000"/>
                <w:sz w:val="12"/>
                <w:szCs w:val="12"/>
              </w:rPr>
              <w:t>.64 </w:t>
            </w:r>
          </w:p>
        </w:tc>
        <w:tc>
          <w:tcPr>
            <w:tcW w:w="0" w:type="auto"/>
            <w:shd w:val="clear" w:color="auto" w:fill="FFFFFF"/>
            <w:tcMar>
              <w:top w:w="40" w:type="dxa"/>
              <w:left w:w="0" w:type="dxa"/>
              <w:bottom w:w="40" w:type="dxa"/>
              <w:right w:w="20" w:type="dxa"/>
            </w:tcMar>
            <w:vAlign w:val="bottom"/>
          </w:tcPr>
          <w:p w14:paraId="74DD6FA2" w14:textId="77777777" w:rsidR="00584EC1" w:rsidRDefault="00584EC1">
            <w:pPr>
              <w:jc w:val="right"/>
              <w:rPr>
                <w:rFonts w:ascii="宋体"/>
              </w:rPr>
            </w:pPr>
          </w:p>
        </w:tc>
        <w:tc>
          <w:tcPr>
            <w:tcW w:w="0" w:type="auto"/>
            <w:shd w:val="clear" w:color="auto" w:fill="auto"/>
            <w:vAlign w:val="bottom"/>
          </w:tcPr>
          <w:p w14:paraId="74DD6FA3" w14:textId="77777777" w:rsidR="00584EC1" w:rsidRDefault="00584EC1">
            <w:pPr>
              <w:rPr>
                <w:rFonts w:ascii="宋体"/>
                <w:vanish/>
              </w:rPr>
            </w:pPr>
          </w:p>
        </w:tc>
        <w:tc>
          <w:tcPr>
            <w:tcW w:w="0" w:type="auto"/>
            <w:shd w:val="clear" w:color="auto" w:fill="auto"/>
            <w:vAlign w:val="bottom"/>
          </w:tcPr>
          <w:p w14:paraId="74DD6FA4" w14:textId="77777777" w:rsidR="00584EC1" w:rsidRDefault="00584EC1">
            <w:pPr>
              <w:rPr>
                <w:rFonts w:ascii="宋体"/>
                <w:vanish/>
              </w:rPr>
            </w:pPr>
          </w:p>
        </w:tc>
        <w:tc>
          <w:tcPr>
            <w:tcW w:w="0" w:type="auto"/>
            <w:shd w:val="clear" w:color="auto" w:fill="auto"/>
            <w:vAlign w:val="bottom"/>
          </w:tcPr>
          <w:p w14:paraId="74DD6FA5" w14:textId="77777777" w:rsidR="00584EC1" w:rsidRDefault="00584EC1">
            <w:pPr>
              <w:rPr>
                <w:rFonts w:ascii="宋体"/>
                <w:vanish/>
              </w:rPr>
            </w:pPr>
          </w:p>
        </w:tc>
        <w:tc>
          <w:tcPr>
            <w:tcW w:w="0" w:type="auto"/>
            <w:shd w:val="clear" w:color="auto" w:fill="auto"/>
            <w:vAlign w:val="bottom"/>
          </w:tcPr>
          <w:p w14:paraId="74DD6FA6" w14:textId="77777777" w:rsidR="00584EC1" w:rsidRDefault="00584EC1">
            <w:pPr>
              <w:rPr>
                <w:rFonts w:ascii="宋体"/>
                <w:vanish/>
              </w:rPr>
            </w:pPr>
          </w:p>
        </w:tc>
        <w:tc>
          <w:tcPr>
            <w:tcW w:w="0" w:type="auto"/>
            <w:gridSpan w:val="3"/>
            <w:shd w:val="clear" w:color="auto" w:fill="auto"/>
            <w:vAlign w:val="bottom"/>
          </w:tcPr>
          <w:p w14:paraId="74DD6FA7" w14:textId="77777777" w:rsidR="00584EC1" w:rsidRDefault="00584EC1">
            <w:pPr>
              <w:rPr>
                <w:rFonts w:ascii="宋体"/>
                <w:vanish/>
              </w:rPr>
            </w:pPr>
          </w:p>
        </w:tc>
        <w:tc>
          <w:tcPr>
            <w:tcW w:w="0" w:type="auto"/>
            <w:gridSpan w:val="3"/>
            <w:shd w:val="clear" w:color="auto" w:fill="auto"/>
            <w:vAlign w:val="bottom"/>
          </w:tcPr>
          <w:p w14:paraId="74DD6FA8" w14:textId="77777777" w:rsidR="00584EC1" w:rsidRDefault="00584EC1">
            <w:pPr>
              <w:rPr>
                <w:rFonts w:ascii="宋体"/>
                <w:vanish/>
              </w:rPr>
            </w:pPr>
          </w:p>
        </w:tc>
        <w:tc>
          <w:tcPr>
            <w:tcW w:w="0" w:type="auto"/>
            <w:gridSpan w:val="3"/>
            <w:shd w:val="clear" w:color="auto" w:fill="auto"/>
            <w:vAlign w:val="bottom"/>
          </w:tcPr>
          <w:p w14:paraId="74DD6FA9" w14:textId="77777777" w:rsidR="00584EC1" w:rsidRDefault="00584EC1">
            <w:pPr>
              <w:rPr>
                <w:rFonts w:ascii="宋体"/>
                <w:vanish/>
              </w:rPr>
            </w:pPr>
          </w:p>
        </w:tc>
        <w:tc>
          <w:tcPr>
            <w:tcW w:w="0" w:type="auto"/>
            <w:gridSpan w:val="3"/>
            <w:shd w:val="clear" w:color="auto" w:fill="auto"/>
            <w:vAlign w:val="bottom"/>
          </w:tcPr>
          <w:p w14:paraId="74DD6FAA" w14:textId="77777777" w:rsidR="00584EC1" w:rsidRDefault="00584EC1">
            <w:pPr>
              <w:rPr>
                <w:rFonts w:ascii="宋体"/>
                <w:vanish/>
              </w:rPr>
            </w:pPr>
          </w:p>
        </w:tc>
        <w:tc>
          <w:tcPr>
            <w:tcW w:w="0" w:type="auto"/>
            <w:gridSpan w:val="2"/>
            <w:shd w:val="clear" w:color="auto" w:fill="auto"/>
            <w:vAlign w:val="bottom"/>
          </w:tcPr>
          <w:p w14:paraId="74DD6FAB" w14:textId="77777777" w:rsidR="00584EC1" w:rsidRDefault="00584EC1">
            <w:pPr>
              <w:rPr>
                <w:rFonts w:ascii="宋体"/>
                <w:vanish/>
              </w:rPr>
            </w:pPr>
          </w:p>
        </w:tc>
        <w:tc>
          <w:tcPr>
            <w:tcW w:w="0" w:type="auto"/>
            <w:shd w:val="clear" w:color="auto" w:fill="auto"/>
            <w:vAlign w:val="bottom"/>
          </w:tcPr>
          <w:p w14:paraId="74DD6FAC" w14:textId="77777777" w:rsidR="00584EC1" w:rsidRDefault="00584EC1">
            <w:pPr>
              <w:rPr>
                <w:rFonts w:ascii="宋体"/>
                <w:vanish/>
              </w:rPr>
            </w:pPr>
          </w:p>
        </w:tc>
      </w:tr>
      <w:tr w:rsidR="00584EC1" w14:paraId="74DD6FCE" w14:textId="77777777">
        <w:tc>
          <w:tcPr>
            <w:tcW w:w="0" w:type="auto"/>
            <w:gridSpan w:val="3"/>
            <w:shd w:val="clear" w:color="auto" w:fill="CCEEFF"/>
            <w:tcMar>
              <w:top w:w="40" w:type="dxa"/>
              <w:left w:w="20" w:type="dxa"/>
              <w:bottom w:w="40" w:type="dxa"/>
              <w:right w:w="20" w:type="dxa"/>
            </w:tcMar>
            <w:vAlign w:val="bottom"/>
          </w:tcPr>
          <w:p w14:paraId="74DD6FAE" w14:textId="77777777" w:rsidR="00584EC1" w:rsidRDefault="00871F8D">
            <w:pPr>
              <w:textAlignment w:val="bottom"/>
            </w:pPr>
            <w:r>
              <w:rPr>
                <w:rFonts w:ascii="Arial" w:eastAsia="宋体" w:hAnsi="Arial" w:cs="Arial"/>
                <w:color w:val="000000"/>
                <w:sz w:val="12"/>
                <w:szCs w:val="12"/>
              </w:rPr>
              <w:t>Average total interest-earning assets</w:t>
            </w:r>
          </w:p>
        </w:tc>
        <w:tc>
          <w:tcPr>
            <w:tcW w:w="0" w:type="auto"/>
            <w:tcBorders>
              <w:top w:val="single" w:sz="8" w:space="0" w:color="000000"/>
            </w:tcBorders>
            <w:shd w:val="clear" w:color="auto" w:fill="CCEEFF"/>
            <w:tcMar>
              <w:top w:w="40" w:type="dxa"/>
              <w:left w:w="20" w:type="dxa"/>
              <w:bottom w:w="40" w:type="dxa"/>
              <w:right w:w="0" w:type="dxa"/>
            </w:tcMar>
            <w:vAlign w:val="bottom"/>
          </w:tcPr>
          <w:p w14:paraId="74DD6FAF"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6FB0" w14:textId="77777777" w:rsidR="00584EC1" w:rsidRDefault="00871F8D">
            <w:pPr>
              <w:jc w:val="right"/>
              <w:textAlignment w:val="bottom"/>
            </w:pPr>
            <w:r>
              <w:rPr>
                <w:rFonts w:ascii="Arial" w:eastAsia="宋体" w:hAnsi="Arial" w:cs="Arial"/>
                <w:b/>
                <w:bCs/>
                <w:color w:val="000000"/>
                <w:sz w:val="12"/>
                <w:szCs w:val="12"/>
              </w:rPr>
              <w:t>258,416</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6FB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FB2"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6FB3"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6FB4" w14:textId="77777777" w:rsidR="00584EC1" w:rsidRDefault="00871F8D">
            <w:pPr>
              <w:jc w:val="right"/>
              <w:textAlignment w:val="bottom"/>
            </w:pPr>
            <w:r>
              <w:rPr>
                <w:rFonts w:ascii="Arial" w:eastAsia="宋体" w:hAnsi="Arial" w:cs="Arial"/>
                <w:b/>
                <w:bCs/>
                <w:color w:val="000000"/>
                <w:sz w:val="12"/>
                <w:szCs w:val="12"/>
              </w:rPr>
              <w:t>1,435</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6FB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FB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FB7" w14:textId="77777777" w:rsidR="00584EC1" w:rsidRDefault="00871F8D">
            <w:pPr>
              <w:jc w:val="right"/>
              <w:textAlignment w:val="bottom"/>
            </w:pPr>
            <w:r>
              <w:rPr>
                <w:rFonts w:ascii="Arial" w:eastAsia="宋体" w:hAnsi="Arial" w:cs="Arial"/>
                <w:b/>
                <w:bCs/>
                <w:color w:val="000000"/>
                <w:sz w:val="12"/>
                <w:szCs w:val="12"/>
              </w:rPr>
              <w:t>.74</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6FB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FB9"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6FBA"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6FBB" w14:textId="77777777" w:rsidR="00584EC1" w:rsidRDefault="00871F8D">
            <w:pPr>
              <w:jc w:val="right"/>
              <w:textAlignment w:val="bottom"/>
            </w:pPr>
            <w:r>
              <w:rPr>
                <w:rFonts w:ascii="Arial" w:eastAsia="宋体" w:hAnsi="Arial" w:cs="Arial"/>
                <w:color w:val="000000"/>
                <w:sz w:val="12"/>
                <w:szCs w:val="12"/>
              </w:rPr>
              <w:t>225,743 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6FB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FBD"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6FBE"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6FBF" w14:textId="77777777" w:rsidR="00584EC1" w:rsidRDefault="00871F8D">
            <w:pPr>
              <w:jc w:val="right"/>
              <w:textAlignment w:val="bottom"/>
            </w:pPr>
            <w:r>
              <w:rPr>
                <w:rFonts w:ascii="Arial" w:eastAsia="宋体" w:hAnsi="Arial" w:cs="Arial"/>
                <w:color w:val="000000"/>
                <w:sz w:val="12"/>
                <w:szCs w:val="12"/>
              </w:rPr>
              <w:t>2,075 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6FC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FC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FC2" w14:textId="77777777" w:rsidR="00584EC1" w:rsidRDefault="00871F8D">
            <w:pPr>
              <w:jc w:val="right"/>
              <w:textAlignment w:val="bottom"/>
            </w:pPr>
            <w:r>
              <w:rPr>
                <w:rFonts w:ascii="Arial" w:eastAsia="宋体" w:hAnsi="Arial" w:cs="Arial"/>
                <w:color w:val="000000"/>
                <w:sz w:val="12"/>
                <w:szCs w:val="12"/>
              </w:rPr>
              <w:t>1.23 </w:t>
            </w:r>
          </w:p>
        </w:tc>
        <w:tc>
          <w:tcPr>
            <w:tcW w:w="0" w:type="auto"/>
            <w:shd w:val="clear" w:color="auto" w:fill="CCEEFF"/>
            <w:tcMar>
              <w:top w:w="40" w:type="dxa"/>
              <w:left w:w="0" w:type="dxa"/>
              <w:bottom w:w="40" w:type="dxa"/>
              <w:right w:w="20" w:type="dxa"/>
            </w:tcMar>
            <w:vAlign w:val="bottom"/>
          </w:tcPr>
          <w:p w14:paraId="74DD6FC3" w14:textId="77777777" w:rsidR="00584EC1" w:rsidRDefault="00584EC1">
            <w:pPr>
              <w:jc w:val="right"/>
              <w:rPr>
                <w:rFonts w:ascii="宋体"/>
              </w:rPr>
            </w:pPr>
          </w:p>
        </w:tc>
        <w:tc>
          <w:tcPr>
            <w:tcW w:w="0" w:type="auto"/>
            <w:shd w:val="clear" w:color="auto" w:fill="auto"/>
            <w:vAlign w:val="bottom"/>
          </w:tcPr>
          <w:p w14:paraId="74DD6FC4" w14:textId="77777777" w:rsidR="00584EC1" w:rsidRDefault="00584EC1">
            <w:pPr>
              <w:rPr>
                <w:rFonts w:ascii="宋体"/>
                <w:vanish/>
              </w:rPr>
            </w:pPr>
          </w:p>
        </w:tc>
        <w:tc>
          <w:tcPr>
            <w:tcW w:w="0" w:type="auto"/>
            <w:shd w:val="clear" w:color="auto" w:fill="auto"/>
            <w:vAlign w:val="bottom"/>
          </w:tcPr>
          <w:p w14:paraId="74DD6FC5" w14:textId="77777777" w:rsidR="00584EC1" w:rsidRDefault="00584EC1">
            <w:pPr>
              <w:rPr>
                <w:rFonts w:ascii="宋体"/>
                <w:vanish/>
              </w:rPr>
            </w:pPr>
          </w:p>
        </w:tc>
        <w:tc>
          <w:tcPr>
            <w:tcW w:w="0" w:type="auto"/>
            <w:shd w:val="clear" w:color="auto" w:fill="auto"/>
            <w:vAlign w:val="bottom"/>
          </w:tcPr>
          <w:p w14:paraId="74DD6FC6" w14:textId="77777777" w:rsidR="00584EC1" w:rsidRDefault="00584EC1">
            <w:pPr>
              <w:rPr>
                <w:rFonts w:ascii="宋体"/>
                <w:vanish/>
              </w:rPr>
            </w:pPr>
          </w:p>
        </w:tc>
        <w:tc>
          <w:tcPr>
            <w:tcW w:w="0" w:type="auto"/>
            <w:shd w:val="clear" w:color="auto" w:fill="auto"/>
            <w:vAlign w:val="bottom"/>
          </w:tcPr>
          <w:p w14:paraId="74DD6FC7" w14:textId="77777777" w:rsidR="00584EC1" w:rsidRDefault="00584EC1">
            <w:pPr>
              <w:rPr>
                <w:rFonts w:ascii="宋体"/>
                <w:vanish/>
              </w:rPr>
            </w:pPr>
          </w:p>
        </w:tc>
        <w:tc>
          <w:tcPr>
            <w:tcW w:w="0" w:type="auto"/>
            <w:gridSpan w:val="3"/>
            <w:shd w:val="clear" w:color="auto" w:fill="auto"/>
            <w:vAlign w:val="bottom"/>
          </w:tcPr>
          <w:p w14:paraId="74DD6FC8" w14:textId="77777777" w:rsidR="00584EC1" w:rsidRDefault="00584EC1">
            <w:pPr>
              <w:rPr>
                <w:rFonts w:ascii="宋体"/>
                <w:vanish/>
              </w:rPr>
            </w:pPr>
          </w:p>
        </w:tc>
        <w:tc>
          <w:tcPr>
            <w:tcW w:w="0" w:type="auto"/>
            <w:gridSpan w:val="3"/>
            <w:shd w:val="clear" w:color="auto" w:fill="auto"/>
            <w:vAlign w:val="bottom"/>
          </w:tcPr>
          <w:p w14:paraId="74DD6FC9" w14:textId="77777777" w:rsidR="00584EC1" w:rsidRDefault="00584EC1">
            <w:pPr>
              <w:rPr>
                <w:rFonts w:ascii="宋体"/>
                <w:vanish/>
              </w:rPr>
            </w:pPr>
          </w:p>
        </w:tc>
        <w:tc>
          <w:tcPr>
            <w:tcW w:w="0" w:type="auto"/>
            <w:gridSpan w:val="3"/>
            <w:shd w:val="clear" w:color="auto" w:fill="auto"/>
            <w:vAlign w:val="bottom"/>
          </w:tcPr>
          <w:p w14:paraId="74DD6FCA" w14:textId="77777777" w:rsidR="00584EC1" w:rsidRDefault="00584EC1">
            <w:pPr>
              <w:rPr>
                <w:rFonts w:ascii="宋体"/>
                <w:vanish/>
              </w:rPr>
            </w:pPr>
          </w:p>
        </w:tc>
        <w:tc>
          <w:tcPr>
            <w:tcW w:w="0" w:type="auto"/>
            <w:gridSpan w:val="3"/>
            <w:shd w:val="clear" w:color="auto" w:fill="auto"/>
            <w:vAlign w:val="bottom"/>
          </w:tcPr>
          <w:p w14:paraId="74DD6FCB" w14:textId="77777777" w:rsidR="00584EC1" w:rsidRDefault="00584EC1">
            <w:pPr>
              <w:rPr>
                <w:rFonts w:ascii="宋体"/>
                <w:vanish/>
              </w:rPr>
            </w:pPr>
          </w:p>
        </w:tc>
        <w:tc>
          <w:tcPr>
            <w:tcW w:w="0" w:type="auto"/>
            <w:gridSpan w:val="2"/>
            <w:shd w:val="clear" w:color="auto" w:fill="auto"/>
            <w:vAlign w:val="bottom"/>
          </w:tcPr>
          <w:p w14:paraId="74DD6FCC" w14:textId="77777777" w:rsidR="00584EC1" w:rsidRDefault="00584EC1">
            <w:pPr>
              <w:rPr>
                <w:rFonts w:ascii="宋体"/>
                <w:vanish/>
              </w:rPr>
            </w:pPr>
          </w:p>
        </w:tc>
        <w:tc>
          <w:tcPr>
            <w:tcW w:w="0" w:type="auto"/>
            <w:shd w:val="clear" w:color="auto" w:fill="auto"/>
            <w:vAlign w:val="bottom"/>
          </w:tcPr>
          <w:p w14:paraId="74DD6FCD" w14:textId="77777777" w:rsidR="00584EC1" w:rsidRDefault="00584EC1">
            <w:pPr>
              <w:rPr>
                <w:rFonts w:ascii="宋体"/>
                <w:vanish/>
              </w:rPr>
            </w:pPr>
          </w:p>
        </w:tc>
      </w:tr>
      <w:tr w:rsidR="00584EC1" w14:paraId="74DD6FE5" w14:textId="77777777">
        <w:tc>
          <w:tcPr>
            <w:tcW w:w="0" w:type="auto"/>
            <w:gridSpan w:val="3"/>
            <w:shd w:val="clear" w:color="auto" w:fill="FFFFFF"/>
            <w:tcMar>
              <w:top w:w="40" w:type="dxa"/>
              <w:left w:w="20" w:type="dxa"/>
              <w:bottom w:w="40" w:type="dxa"/>
              <w:right w:w="20" w:type="dxa"/>
            </w:tcMar>
            <w:vAlign w:val="bottom"/>
          </w:tcPr>
          <w:p w14:paraId="74DD6FCF" w14:textId="77777777" w:rsidR="00584EC1" w:rsidRDefault="00871F8D">
            <w:pPr>
              <w:textAlignment w:val="bottom"/>
            </w:pPr>
            <w:r>
              <w:rPr>
                <w:rFonts w:ascii="Arial" w:eastAsia="宋体" w:hAnsi="Arial" w:cs="Arial"/>
                <w:color w:val="000000"/>
                <w:sz w:val="12"/>
                <w:szCs w:val="12"/>
              </w:rPr>
              <w:t>Interest-bearing deposits:</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6FD0"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FD1"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6FD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FD3"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FD4"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FD5"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6FD6"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FD7"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6FD8"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FD9"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6FDA" w14:textId="77777777" w:rsidR="00584EC1" w:rsidRDefault="00584EC1">
            <w:pPr>
              <w:rPr>
                <w:rFonts w:ascii="宋体"/>
              </w:rPr>
            </w:pPr>
          </w:p>
        </w:tc>
        <w:tc>
          <w:tcPr>
            <w:tcW w:w="0" w:type="auto"/>
            <w:shd w:val="clear" w:color="auto" w:fill="auto"/>
            <w:vAlign w:val="bottom"/>
          </w:tcPr>
          <w:p w14:paraId="74DD6FDB" w14:textId="77777777" w:rsidR="00584EC1" w:rsidRDefault="00584EC1">
            <w:pPr>
              <w:rPr>
                <w:rFonts w:ascii="宋体"/>
                <w:vanish/>
              </w:rPr>
            </w:pPr>
          </w:p>
        </w:tc>
        <w:tc>
          <w:tcPr>
            <w:tcW w:w="0" w:type="auto"/>
            <w:shd w:val="clear" w:color="auto" w:fill="auto"/>
            <w:vAlign w:val="bottom"/>
          </w:tcPr>
          <w:p w14:paraId="74DD6FDC" w14:textId="77777777" w:rsidR="00584EC1" w:rsidRDefault="00584EC1">
            <w:pPr>
              <w:rPr>
                <w:rFonts w:ascii="宋体"/>
                <w:vanish/>
              </w:rPr>
            </w:pPr>
          </w:p>
        </w:tc>
        <w:tc>
          <w:tcPr>
            <w:tcW w:w="0" w:type="auto"/>
            <w:shd w:val="clear" w:color="auto" w:fill="auto"/>
            <w:vAlign w:val="bottom"/>
          </w:tcPr>
          <w:p w14:paraId="74DD6FDD" w14:textId="77777777" w:rsidR="00584EC1" w:rsidRDefault="00584EC1">
            <w:pPr>
              <w:rPr>
                <w:rFonts w:ascii="宋体"/>
                <w:vanish/>
              </w:rPr>
            </w:pPr>
          </w:p>
        </w:tc>
        <w:tc>
          <w:tcPr>
            <w:tcW w:w="0" w:type="auto"/>
            <w:shd w:val="clear" w:color="auto" w:fill="auto"/>
            <w:vAlign w:val="bottom"/>
          </w:tcPr>
          <w:p w14:paraId="74DD6FDE" w14:textId="77777777" w:rsidR="00584EC1" w:rsidRDefault="00584EC1">
            <w:pPr>
              <w:rPr>
                <w:rFonts w:ascii="宋体"/>
                <w:vanish/>
              </w:rPr>
            </w:pPr>
          </w:p>
        </w:tc>
        <w:tc>
          <w:tcPr>
            <w:tcW w:w="0" w:type="auto"/>
            <w:gridSpan w:val="3"/>
            <w:shd w:val="clear" w:color="auto" w:fill="auto"/>
            <w:vAlign w:val="bottom"/>
          </w:tcPr>
          <w:p w14:paraId="74DD6FDF" w14:textId="77777777" w:rsidR="00584EC1" w:rsidRDefault="00584EC1">
            <w:pPr>
              <w:rPr>
                <w:rFonts w:ascii="宋体"/>
                <w:vanish/>
              </w:rPr>
            </w:pPr>
          </w:p>
        </w:tc>
        <w:tc>
          <w:tcPr>
            <w:tcW w:w="0" w:type="auto"/>
            <w:gridSpan w:val="3"/>
            <w:shd w:val="clear" w:color="auto" w:fill="auto"/>
            <w:vAlign w:val="bottom"/>
          </w:tcPr>
          <w:p w14:paraId="74DD6FE0" w14:textId="77777777" w:rsidR="00584EC1" w:rsidRDefault="00584EC1">
            <w:pPr>
              <w:rPr>
                <w:rFonts w:ascii="宋体"/>
                <w:vanish/>
              </w:rPr>
            </w:pPr>
          </w:p>
        </w:tc>
        <w:tc>
          <w:tcPr>
            <w:tcW w:w="0" w:type="auto"/>
            <w:gridSpan w:val="3"/>
            <w:shd w:val="clear" w:color="auto" w:fill="auto"/>
            <w:vAlign w:val="bottom"/>
          </w:tcPr>
          <w:p w14:paraId="74DD6FE1" w14:textId="77777777" w:rsidR="00584EC1" w:rsidRDefault="00584EC1">
            <w:pPr>
              <w:rPr>
                <w:rFonts w:ascii="宋体"/>
                <w:vanish/>
              </w:rPr>
            </w:pPr>
          </w:p>
        </w:tc>
        <w:tc>
          <w:tcPr>
            <w:tcW w:w="0" w:type="auto"/>
            <w:gridSpan w:val="3"/>
            <w:shd w:val="clear" w:color="auto" w:fill="auto"/>
            <w:vAlign w:val="bottom"/>
          </w:tcPr>
          <w:p w14:paraId="74DD6FE2" w14:textId="77777777" w:rsidR="00584EC1" w:rsidRDefault="00584EC1">
            <w:pPr>
              <w:rPr>
                <w:rFonts w:ascii="宋体"/>
                <w:vanish/>
              </w:rPr>
            </w:pPr>
          </w:p>
        </w:tc>
        <w:tc>
          <w:tcPr>
            <w:tcW w:w="0" w:type="auto"/>
            <w:gridSpan w:val="2"/>
            <w:shd w:val="clear" w:color="auto" w:fill="auto"/>
            <w:vAlign w:val="bottom"/>
          </w:tcPr>
          <w:p w14:paraId="74DD6FE3" w14:textId="77777777" w:rsidR="00584EC1" w:rsidRDefault="00584EC1">
            <w:pPr>
              <w:rPr>
                <w:rFonts w:ascii="宋体"/>
                <w:vanish/>
              </w:rPr>
            </w:pPr>
          </w:p>
        </w:tc>
        <w:tc>
          <w:tcPr>
            <w:tcW w:w="0" w:type="auto"/>
            <w:shd w:val="clear" w:color="auto" w:fill="auto"/>
            <w:vAlign w:val="bottom"/>
          </w:tcPr>
          <w:p w14:paraId="74DD6FE4" w14:textId="77777777" w:rsidR="00584EC1" w:rsidRDefault="00584EC1">
            <w:pPr>
              <w:rPr>
                <w:rFonts w:ascii="宋体"/>
                <w:vanish/>
              </w:rPr>
            </w:pPr>
          </w:p>
        </w:tc>
      </w:tr>
      <w:tr w:rsidR="00584EC1" w14:paraId="74DD7006" w14:textId="77777777">
        <w:tc>
          <w:tcPr>
            <w:tcW w:w="0" w:type="auto"/>
            <w:gridSpan w:val="3"/>
            <w:shd w:val="clear" w:color="auto" w:fill="CCEEFF"/>
            <w:tcMar>
              <w:top w:w="40" w:type="dxa"/>
              <w:left w:w="20" w:type="dxa"/>
              <w:bottom w:w="40" w:type="dxa"/>
              <w:right w:w="20" w:type="dxa"/>
            </w:tcMar>
            <w:vAlign w:val="bottom"/>
          </w:tcPr>
          <w:p w14:paraId="74DD6FE6" w14:textId="77777777" w:rsidR="00584EC1" w:rsidRDefault="00871F8D">
            <w:pPr>
              <w:textAlignment w:val="bottom"/>
            </w:pPr>
            <w:r>
              <w:rPr>
                <w:rFonts w:ascii="Arial" w:eastAsia="宋体" w:hAnsi="Arial" w:cs="Arial"/>
                <w:color w:val="000000"/>
                <w:sz w:val="12"/>
                <w:szCs w:val="12"/>
              </w:rPr>
              <w:t>U.S.</w:t>
            </w:r>
          </w:p>
        </w:tc>
        <w:tc>
          <w:tcPr>
            <w:tcW w:w="0" w:type="auto"/>
            <w:shd w:val="clear" w:color="auto" w:fill="CCEEFF"/>
            <w:tcMar>
              <w:top w:w="40" w:type="dxa"/>
              <w:left w:w="20" w:type="dxa"/>
              <w:bottom w:w="40" w:type="dxa"/>
              <w:right w:w="0" w:type="dxa"/>
            </w:tcMar>
            <w:vAlign w:val="bottom"/>
          </w:tcPr>
          <w:p w14:paraId="74DD6FE7" w14:textId="77777777" w:rsidR="00584EC1" w:rsidRDefault="00871F8D">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74DD6FE8" w14:textId="77777777" w:rsidR="00584EC1" w:rsidRDefault="00871F8D">
            <w:pPr>
              <w:jc w:val="right"/>
              <w:textAlignment w:val="bottom"/>
            </w:pPr>
            <w:r>
              <w:rPr>
                <w:rFonts w:ascii="Arial" w:eastAsia="宋体" w:hAnsi="Arial" w:cs="Arial"/>
                <w:b/>
                <w:bCs/>
                <w:color w:val="000000"/>
                <w:sz w:val="12"/>
                <w:szCs w:val="12"/>
              </w:rPr>
              <w:t>105,286</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6FE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FEA"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6FEB" w14:textId="77777777" w:rsidR="00584EC1" w:rsidRDefault="00871F8D">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74DD6FEC" w14:textId="77777777" w:rsidR="00584EC1" w:rsidRDefault="00871F8D">
            <w:pPr>
              <w:jc w:val="right"/>
              <w:textAlignment w:val="bottom"/>
            </w:pPr>
            <w:r>
              <w:rPr>
                <w:rFonts w:ascii="Arial" w:eastAsia="宋体" w:hAnsi="Arial" w:cs="Arial"/>
                <w:b/>
                <w:bCs/>
                <w:color w:val="000000"/>
                <w:sz w:val="12"/>
                <w:szCs w:val="12"/>
              </w:rPr>
              <w:t>10</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6FE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FEE"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FEF" w14:textId="77777777" w:rsidR="00584EC1" w:rsidRDefault="00871F8D">
            <w:pPr>
              <w:jc w:val="right"/>
              <w:textAlignment w:val="bottom"/>
            </w:pPr>
            <w:r>
              <w:rPr>
                <w:rFonts w:ascii="Arial" w:eastAsia="宋体" w:hAnsi="Arial" w:cs="Arial"/>
                <w:b/>
                <w:bCs/>
                <w:color w:val="000000"/>
                <w:sz w:val="12"/>
                <w:szCs w:val="12"/>
              </w:rPr>
              <w:t>.01</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6FF0" w14:textId="77777777" w:rsidR="00584EC1" w:rsidRDefault="00871F8D">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vAlign w:val="bottom"/>
          </w:tcPr>
          <w:p w14:paraId="74DD6FF1"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6FF2" w14:textId="77777777" w:rsidR="00584EC1" w:rsidRDefault="00871F8D">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74DD6FF3" w14:textId="77777777" w:rsidR="00584EC1" w:rsidRDefault="00871F8D">
            <w:pPr>
              <w:jc w:val="right"/>
              <w:textAlignment w:val="bottom"/>
            </w:pPr>
            <w:r>
              <w:rPr>
                <w:rFonts w:ascii="Arial" w:eastAsia="宋体" w:hAnsi="Arial" w:cs="Arial"/>
                <w:color w:val="000000"/>
                <w:sz w:val="12"/>
                <w:szCs w:val="12"/>
              </w:rPr>
              <w:t>85,592 </w:t>
            </w:r>
          </w:p>
        </w:tc>
        <w:tc>
          <w:tcPr>
            <w:tcW w:w="0" w:type="auto"/>
            <w:shd w:val="clear" w:color="auto" w:fill="CCEEFF"/>
            <w:tcMar>
              <w:top w:w="40" w:type="dxa"/>
              <w:left w:w="0" w:type="dxa"/>
              <w:bottom w:w="40" w:type="dxa"/>
              <w:right w:w="20" w:type="dxa"/>
            </w:tcMar>
            <w:vAlign w:val="bottom"/>
          </w:tcPr>
          <w:p w14:paraId="74DD6FF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FF5"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6FF6" w14:textId="77777777" w:rsidR="00584EC1" w:rsidRDefault="00871F8D">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74DD6FF7" w14:textId="77777777" w:rsidR="00584EC1" w:rsidRDefault="00871F8D">
            <w:pPr>
              <w:jc w:val="right"/>
              <w:textAlignment w:val="bottom"/>
            </w:pPr>
            <w:r>
              <w:rPr>
                <w:rFonts w:ascii="Arial" w:eastAsia="宋体" w:hAnsi="Arial" w:cs="Arial"/>
                <w:color w:val="000000"/>
                <w:sz w:val="12"/>
                <w:szCs w:val="12"/>
              </w:rPr>
              <w:t>111 </w:t>
            </w:r>
          </w:p>
        </w:tc>
        <w:tc>
          <w:tcPr>
            <w:tcW w:w="0" w:type="auto"/>
            <w:shd w:val="clear" w:color="auto" w:fill="CCEEFF"/>
            <w:tcMar>
              <w:top w:w="40" w:type="dxa"/>
              <w:left w:w="0" w:type="dxa"/>
              <w:bottom w:w="40" w:type="dxa"/>
              <w:right w:w="20" w:type="dxa"/>
            </w:tcMar>
            <w:vAlign w:val="bottom"/>
          </w:tcPr>
          <w:p w14:paraId="74DD6FF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6FF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6FFA" w14:textId="77777777" w:rsidR="00584EC1" w:rsidRDefault="00871F8D">
            <w:pPr>
              <w:jc w:val="right"/>
              <w:textAlignment w:val="bottom"/>
            </w:pPr>
            <w:r>
              <w:rPr>
                <w:rFonts w:ascii="Arial" w:eastAsia="宋体" w:hAnsi="Arial" w:cs="Arial"/>
                <w:color w:val="000000"/>
                <w:sz w:val="12"/>
                <w:szCs w:val="12"/>
              </w:rPr>
              <w:t>.17 </w:t>
            </w:r>
          </w:p>
        </w:tc>
        <w:tc>
          <w:tcPr>
            <w:tcW w:w="0" w:type="auto"/>
            <w:shd w:val="clear" w:color="auto" w:fill="CCEEFF"/>
            <w:tcMar>
              <w:top w:w="40" w:type="dxa"/>
              <w:left w:w="0" w:type="dxa"/>
              <w:bottom w:w="40" w:type="dxa"/>
              <w:right w:w="20" w:type="dxa"/>
            </w:tcMar>
            <w:vAlign w:val="bottom"/>
          </w:tcPr>
          <w:p w14:paraId="74DD6FFB" w14:textId="77777777" w:rsidR="00584EC1" w:rsidRDefault="00871F8D">
            <w:pPr>
              <w:jc w:val="right"/>
              <w:textAlignment w:val="bottom"/>
            </w:pPr>
            <w:r>
              <w:rPr>
                <w:rFonts w:ascii="Arial" w:eastAsia="宋体" w:hAnsi="Arial" w:cs="Arial"/>
                <w:color w:val="000000"/>
                <w:sz w:val="12"/>
                <w:szCs w:val="12"/>
              </w:rPr>
              <w:t>%</w:t>
            </w:r>
          </w:p>
        </w:tc>
        <w:tc>
          <w:tcPr>
            <w:tcW w:w="0" w:type="auto"/>
            <w:shd w:val="clear" w:color="auto" w:fill="auto"/>
            <w:vAlign w:val="bottom"/>
          </w:tcPr>
          <w:p w14:paraId="74DD6FFC" w14:textId="77777777" w:rsidR="00584EC1" w:rsidRDefault="00584EC1">
            <w:pPr>
              <w:rPr>
                <w:rFonts w:ascii="宋体"/>
                <w:vanish/>
              </w:rPr>
            </w:pPr>
          </w:p>
        </w:tc>
        <w:tc>
          <w:tcPr>
            <w:tcW w:w="0" w:type="auto"/>
            <w:shd w:val="clear" w:color="auto" w:fill="auto"/>
            <w:vAlign w:val="bottom"/>
          </w:tcPr>
          <w:p w14:paraId="74DD6FFD" w14:textId="77777777" w:rsidR="00584EC1" w:rsidRDefault="00584EC1">
            <w:pPr>
              <w:rPr>
                <w:rFonts w:ascii="宋体"/>
                <w:vanish/>
              </w:rPr>
            </w:pPr>
          </w:p>
        </w:tc>
        <w:tc>
          <w:tcPr>
            <w:tcW w:w="0" w:type="auto"/>
            <w:shd w:val="clear" w:color="auto" w:fill="auto"/>
            <w:vAlign w:val="bottom"/>
          </w:tcPr>
          <w:p w14:paraId="74DD6FFE" w14:textId="77777777" w:rsidR="00584EC1" w:rsidRDefault="00584EC1">
            <w:pPr>
              <w:rPr>
                <w:rFonts w:ascii="宋体"/>
                <w:vanish/>
              </w:rPr>
            </w:pPr>
          </w:p>
        </w:tc>
        <w:tc>
          <w:tcPr>
            <w:tcW w:w="0" w:type="auto"/>
            <w:shd w:val="clear" w:color="auto" w:fill="auto"/>
            <w:vAlign w:val="bottom"/>
          </w:tcPr>
          <w:p w14:paraId="74DD6FFF" w14:textId="77777777" w:rsidR="00584EC1" w:rsidRDefault="00584EC1">
            <w:pPr>
              <w:rPr>
                <w:rFonts w:ascii="宋体"/>
                <w:vanish/>
              </w:rPr>
            </w:pPr>
          </w:p>
        </w:tc>
        <w:tc>
          <w:tcPr>
            <w:tcW w:w="0" w:type="auto"/>
            <w:gridSpan w:val="3"/>
            <w:shd w:val="clear" w:color="auto" w:fill="auto"/>
            <w:vAlign w:val="bottom"/>
          </w:tcPr>
          <w:p w14:paraId="74DD7000" w14:textId="77777777" w:rsidR="00584EC1" w:rsidRDefault="00584EC1">
            <w:pPr>
              <w:rPr>
                <w:rFonts w:ascii="宋体"/>
                <w:vanish/>
              </w:rPr>
            </w:pPr>
          </w:p>
        </w:tc>
        <w:tc>
          <w:tcPr>
            <w:tcW w:w="0" w:type="auto"/>
            <w:gridSpan w:val="3"/>
            <w:shd w:val="clear" w:color="auto" w:fill="auto"/>
            <w:vAlign w:val="bottom"/>
          </w:tcPr>
          <w:p w14:paraId="74DD7001" w14:textId="77777777" w:rsidR="00584EC1" w:rsidRDefault="00584EC1">
            <w:pPr>
              <w:rPr>
                <w:rFonts w:ascii="宋体"/>
                <w:vanish/>
              </w:rPr>
            </w:pPr>
          </w:p>
        </w:tc>
        <w:tc>
          <w:tcPr>
            <w:tcW w:w="0" w:type="auto"/>
            <w:gridSpan w:val="3"/>
            <w:shd w:val="clear" w:color="auto" w:fill="auto"/>
            <w:vAlign w:val="bottom"/>
          </w:tcPr>
          <w:p w14:paraId="74DD7002" w14:textId="77777777" w:rsidR="00584EC1" w:rsidRDefault="00584EC1">
            <w:pPr>
              <w:rPr>
                <w:rFonts w:ascii="宋体"/>
                <w:vanish/>
              </w:rPr>
            </w:pPr>
          </w:p>
        </w:tc>
        <w:tc>
          <w:tcPr>
            <w:tcW w:w="0" w:type="auto"/>
            <w:gridSpan w:val="3"/>
            <w:shd w:val="clear" w:color="auto" w:fill="auto"/>
            <w:vAlign w:val="bottom"/>
          </w:tcPr>
          <w:p w14:paraId="74DD7003" w14:textId="77777777" w:rsidR="00584EC1" w:rsidRDefault="00584EC1">
            <w:pPr>
              <w:rPr>
                <w:rFonts w:ascii="宋体"/>
                <w:vanish/>
              </w:rPr>
            </w:pPr>
          </w:p>
        </w:tc>
        <w:tc>
          <w:tcPr>
            <w:tcW w:w="0" w:type="auto"/>
            <w:gridSpan w:val="2"/>
            <w:shd w:val="clear" w:color="auto" w:fill="auto"/>
            <w:vAlign w:val="bottom"/>
          </w:tcPr>
          <w:p w14:paraId="74DD7004" w14:textId="77777777" w:rsidR="00584EC1" w:rsidRDefault="00584EC1">
            <w:pPr>
              <w:rPr>
                <w:rFonts w:ascii="宋体"/>
                <w:vanish/>
              </w:rPr>
            </w:pPr>
          </w:p>
        </w:tc>
        <w:tc>
          <w:tcPr>
            <w:tcW w:w="0" w:type="auto"/>
            <w:shd w:val="clear" w:color="auto" w:fill="auto"/>
            <w:vAlign w:val="bottom"/>
          </w:tcPr>
          <w:p w14:paraId="74DD7005" w14:textId="77777777" w:rsidR="00584EC1" w:rsidRDefault="00584EC1">
            <w:pPr>
              <w:rPr>
                <w:rFonts w:ascii="宋体"/>
                <w:vanish/>
              </w:rPr>
            </w:pPr>
          </w:p>
        </w:tc>
      </w:tr>
      <w:tr w:rsidR="00584EC1" w14:paraId="74DD7023" w14:textId="77777777">
        <w:tc>
          <w:tcPr>
            <w:tcW w:w="0" w:type="auto"/>
            <w:gridSpan w:val="3"/>
            <w:shd w:val="clear" w:color="auto" w:fill="FFFFFF"/>
            <w:tcMar>
              <w:top w:w="40" w:type="dxa"/>
              <w:left w:w="20" w:type="dxa"/>
              <w:bottom w:w="40" w:type="dxa"/>
              <w:right w:w="20" w:type="dxa"/>
            </w:tcMar>
            <w:vAlign w:val="bottom"/>
          </w:tcPr>
          <w:p w14:paraId="74DD7007" w14:textId="77777777" w:rsidR="00584EC1" w:rsidRDefault="00871F8D">
            <w:pPr>
              <w:textAlignment w:val="bottom"/>
            </w:pPr>
            <w:r>
              <w:rPr>
                <w:rFonts w:ascii="Arial" w:eastAsia="宋体" w:hAnsi="Arial" w:cs="Arial"/>
                <w:color w:val="000000"/>
                <w:sz w:val="12"/>
                <w:szCs w:val="12"/>
              </w:rPr>
              <w:t>Non-U.S.</w:t>
            </w:r>
            <w:r>
              <w:rPr>
                <w:rFonts w:ascii="Arial" w:eastAsia="宋体" w:hAnsi="Arial" w:cs="Arial"/>
                <w:color w:val="000000"/>
                <w:sz w:val="7"/>
                <w:szCs w:val="7"/>
              </w:rPr>
              <w:t>(2)(4)</w:t>
            </w:r>
          </w:p>
        </w:tc>
        <w:tc>
          <w:tcPr>
            <w:tcW w:w="0" w:type="auto"/>
            <w:gridSpan w:val="2"/>
            <w:shd w:val="clear" w:color="auto" w:fill="FFFFFF"/>
            <w:tcMar>
              <w:top w:w="40" w:type="dxa"/>
              <w:left w:w="20" w:type="dxa"/>
              <w:bottom w:w="40" w:type="dxa"/>
              <w:right w:w="0" w:type="dxa"/>
            </w:tcMar>
            <w:vAlign w:val="bottom"/>
          </w:tcPr>
          <w:p w14:paraId="74DD7008" w14:textId="77777777" w:rsidR="00584EC1" w:rsidRDefault="00871F8D">
            <w:pPr>
              <w:jc w:val="right"/>
              <w:textAlignment w:val="bottom"/>
            </w:pPr>
            <w:r>
              <w:rPr>
                <w:rFonts w:ascii="Arial" w:eastAsia="宋体" w:hAnsi="Arial" w:cs="Arial"/>
                <w:b/>
                <w:bCs/>
                <w:color w:val="000000"/>
                <w:sz w:val="12"/>
                <w:szCs w:val="12"/>
              </w:rPr>
              <w:t>81,318</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700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00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00B" w14:textId="77777777" w:rsidR="00584EC1" w:rsidRDefault="00871F8D">
            <w:pPr>
              <w:jc w:val="right"/>
              <w:textAlignment w:val="bottom"/>
            </w:pPr>
            <w:r>
              <w:rPr>
                <w:rFonts w:ascii="Arial" w:eastAsia="宋体" w:hAnsi="Arial" w:cs="Arial"/>
                <w:b/>
                <w:bCs/>
                <w:color w:val="000000"/>
                <w:sz w:val="12"/>
                <w:szCs w:val="12"/>
              </w:rPr>
              <w:t>(206)</w:t>
            </w:r>
          </w:p>
        </w:tc>
        <w:tc>
          <w:tcPr>
            <w:tcW w:w="0" w:type="auto"/>
            <w:shd w:val="clear" w:color="auto" w:fill="FFFFFF"/>
            <w:tcMar>
              <w:top w:w="40" w:type="dxa"/>
              <w:left w:w="0" w:type="dxa"/>
              <w:bottom w:w="40" w:type="dxa"/>
              <w:right w:w="20" w:type="dxa"/>
            </w:tcMar>
            <w:vAlign w:val="bottom"/>
          </w:tcPr>
          <w:p w14:paraId="74DD700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00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00E" w14:textId="77777777" w:rsidR="00584EC1" w:rsidRDefault="00871F8D">
            <w:pPr>
              <w:jc w:val="right"/>
              <w:textAlignment w:val="bottom"/>
            </w:pPr>
            <w:r>
              <w:rPr>
                <w:rFonts w:ascii="Arial" w:eastAsia="宋体" w:hAnsi="Arial" w:cs="Arial"/>
                <w:b/>
                <w:bCs/>
                <w:color w:val="000000"/>
                <w:sz w:val="12"/>
                <w:szCs w:val="12"/>
              </w:rPr>
              <w:t>(.34)</w:t>
            </w:r>
          </w:p>
        </w:tc>
        <w:tc>
          <w:tcPr>
            <w:tcW w:w="0" w:type="auto"/>
            <w:shd w:val="clear" w:color="auto" w:fill="FFFFFF"/>
            <w:tcMar>
              <w:top w:w="40" w:type="dxa"/>
              <w:left w:w="0" w:type="dxa"/>
              <w:bottom w:w="40" w:type="dxa"/>
              <w:right w:w="20" w:type="dxa"/>
            </w:tcMar>
            <w:vAlign w:val="bottom"/>
          </w:tcPr>
          <w:p w14:paraId="74DD700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01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011" w14:textId="77777777" w:rsidR="00584EC1" w:rsidRDefault="00871F8D">
            <w:pPr>
              <w:jc w:val="right"/>
              <w:textAlignment w:val="bottom"/>
            </w:pPr>
            <w:r>
              <w:rPr>
                <w:rFonts w:ascii="Arial" w:eastAsia="宋体" w:hAnsi="Arial" w:cs="Arial"/>
                <w:color w:val="000000"/>
                <w:sz w:val="12"/>
                <w:szCs w:val="12"/>
              </w:rPr>
              <w:t>66,953 </w:t>
            </w:r>
          </w:p>
        </w:tc>
        <w:tc>
          <w:tcPr>
            <w:tcW w:w="0" w:type="auto"/>
            <w:shd w:val="clear" w:color="auto" w:fill="FFFFFF"/>
            <w:tcMar>
              <w:top w:w="40" w:type="dxa"/>
              <w:left w:w="0" w:type="dxa"/>
              <w:bottom w:w="40" w:type="dxa"/>
              <w:right w:w="20" w:type="dxa"/>
            </w:tcMar>
            <w:vAlign w:val="bottom"/>
          </w:tcPr>
          <w:p w14:paraId="74DD701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01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014" w14:textId="77777777" w:rsidR="00584EC1" w:rsidRDefault="00871F8D">
            <w:pPr>
              <w:jc w:val="right"/>
              <w:textAlignment w:val="bottom"/>
            </w:pPr>
            <w:r>
              <w:rPr>
                <w:rFonts w:ascii="Arial" w:eastAsia="宋体" w:hAnsi="Arial" w:cs="Arial"/>
                <w:color w:val="000000"/>
                <w:sz w:val="12"/>
                <w:szCs w:val="12"/>
              </w:rPr>
              <w:t>(158)</w:t>
            </w:r>
          </w:p>
        </w:tc>
        <w:tc>
          <w:tcPr>
            <w:tcW w:w="0" w:type="auto"/>
            <w:shd w:val="clear" w:color="auto" w:fill="FFFFFF"/>
            <w:tcMar>
              <w:top w:w="40" w:type="dxa"/>
              <w:left w:w="0" w:type="dxa"/>
              <w:bottom w:w="40" w:type="dxa"/>
              <w:right w:w="20" w:type="dxa"/>
            </w:tcMar>
            <w:vAlign w:val="bottom"/>
          </w:tcPr>
          <w:p w14:paraId="74DD701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01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017" w14:textId="77777777" w:rsidR="00584EC1" w:rsidRDefault="00871F8D">
            <w:pPr>
              <w:jc w:val="right"/>
              <w:textAlignment w:val="bottom"/>
            </w:pPr>
            <w:r>
              <w:rPr>
                <w:rFonts w:ascii="Arial" w:eastAsia="宋体" w:hAnsi="Arial" w:cs="Arial"/>
                <w:color w:val="000000"/>
                <w:sz w:val="12"/>
                <w:szCs w:val="12"/>
              </w:rPr>
              <w:t>(.31)</w:t>
            </w:r>
          </w:p>
        </w:tc>
        <w:tc>
          <w:tcPr>
            <w:tcW w:w="0" w:type="auto"/>
            <w:shd w:val="clear" w:color="auto" w:fill="FFFFFF"/>
            <w:tcMar>
              <w:top w:w="40" w:type="dxa"/>
              <w:left w:w="0" w:type="dxa"/>
              <w:bottom w:w="40" w:type="dxa"/>
              <w:right w:w="20" w:type="dxa"/>
            </w:tcMar>
            <w:vAlign w:val="bottom"/>
          </w:tcPr>
          <w:p w14:paraId="74DD7018" w14:textId="77777777" w:rsidR="00584EC1" w:rsidRDefault="00584EC1">
            <w:pPr>
              <w:jc w:val="right"/>
              <w:rPr>
                <w:rFonts w:ascii="宋体"/>
              </w:rPr>
            </w:pPr>
          </w:p>
        </w:tc>
        <w:tc>
          <w:tcPr>
            <w:tcW w:w="0" w:type="auto"/>
            <w:shd w:val="clear" w:color="auto" w:fill="auto"/>
            <w:vAlign w:val="bottom"/>
          </w:tcPr>
          <w:p w14:paraId="74DD7019" w14:textId="77777777" w:rsidR="00584EC1" w:rsidRDefault="00584EC1">
            <w:pPr>
              <w:rPr>
                <w:rFonts w:ascii="宋体"/>
                <w:vanish/>
              </w:rPr>
            </w:pPr>
          </w:p>
        </w:tc>
        <w:tc>
          <w:tcPr>
            <w:tcW w:w="0" w:type="auto"/>
            <w:shd w:val="clear" w:color="auto" w:fill="auto"/>
            <w:vAlign w:val="bottom"/>
          </w:tcPr>
          <w:p w14:paraId="74DD701A" w14:textId="77777777" w:rsidR="00584EC1" w:rsidRDefault="00584EC1">
            <w:pPr>
              <w:rPr>
                <w:rFonts w:ascii="宋体"/>
                <w:vanish/>
              </w:rPr>
            </w:pPr>
          </w:p>
        </w:tc>
        <w:tc>
          <w:tcPr>
            <w:tcW w:w="0" w:type="auto"/>
            <w:shd w:val="clear" w:color="auto" w:fill="auto"/>
            <w:vAlign w:val="bottom"/>
          </w:tcPr>
          <w:p w14:paraId="74DD701B" w14:textId="77777777" w:rsidR="00584EC1" w:rsidRDefault="00584EC1">
            <w:pPr>
              <w:rPr>
                <w:rFonts w:ascii="宋体"/>
                <w:vanish/>
              </w:rPr>
            </w:pPr>
          </w:p>
        </w:tc>
        <w:tc>
          <w:tcPr>
            <w:tcW w:w="0" w:type="auto"/>
            <w:shd w:val="clear" w:color="auto" w:fill="auto"/>
            <w:vAlign w:val="bottom"/>
          </w:tcPr>
          <w:p w14:paraId="74DD701C" w14:textId="77777777" w:rsidR="00584EC1" w:rsidRDefault="00584EC1">
            <w:pPr>
              <w:rPr>
                <w:rFonts w:ascii="宋体"/>
                <w:vanish/>
              </w:rPr>
            </w:pPr>
          </w:p>
        </w:tc>
        <w:tc>
          <w:tcPr>
            <w:tcW w:w="0" w:type="auto"/>
            <w:gridSpan w:val="3"/>
            <w:shd w:val="clear" w:color="auto" w:fill="auto"/>
            <w:vAlign w:val="bottom"/>
          </w:tcPr>
          <w:p w14:paraId="74DD701D" w14:textId="77777777" w:rsidR="00584EC1" w:rsidRDefault="00584EC1">
            <w:pPr>
              <w:rPr>
                <w:rFonts w:ascii="宋体"/>
                <w:vanish/>
              </w:rPr>
            </w:pPr>
          </w:p>
        </w:tc>
        <w:tc>
          <w:tcPr>
            <w:tcW w:w="0" w:type="auto"/>
            <w:gridSpan w:val="3"/>
            <w:shd w:val="clear" w:color="auto" w:fill="auto"/>
            <w:vAlign w:val="bottom"/>
          </w:tcPr>
          <w:p w14:paraId="74DD701E" w14:textId="77777777" w:rsidR="00584EC1" w:rsidRDefault="00584EC1">
            <w:pPr>
              <w:rPr>
                <w:rFonts w:ascii="宋体"/>
                <w:vanish/>
              </w:rPr>
            </w:pPr>
          </w:p>
        </w:tc>
        <w:tc>
          <w:tcPr>
            <w:tcW w:w="0" w:type="auto"/>
            <w:gridSpan w:val="3"/>
            <w:shd w:val="clear" w:color="auto" w:fill="auto"/>
            <w:vAlign w:val="bottom"/>
          </w:tcPr>
          <w:p w14:paraId="74DD701F" w14:textId="77777777" w:rsidR="00584EC1" w:rsidRDefault="00584EC1">
            <w:pPr>
              <w:rPr>
                <w:rFonts w:ascii="宋体"/>
                <w:vanish/>
              </w:rPr>
            </w:pPr>
          </w:p>
        </w:tc>
        <w:tc>
          <w:tcPr>
            <w:tcW w:w="0" w:type="auto"/>
            <w:gridSpan w:val="3"/>
            <w:shd w:val="clear" w:color="auto" w:fill="auto"/>
            <w:vAlign w:val="bottom"/>
          </w:tcPr>
          <w:p w14:paraId="74DD7020" w14:textId="77777777" w:rsidR="00584EC1" w:rsidRDefault="00584EC1">
            <w:pPr>
              <w:rPr>
                <w:rFonts w:ascii="宋体"/>
                <w:vanish/>
              </w:rPr>
            </w:pPr>
          </w:p>
        </w:tc>
        <w:tc>
          <w:tcPr>
            <w:tcW w:w="0" w:type="auto"/>
            <w:gridSpan w:val="2"/>
            <w:shd w:val="clear" w:color="auto" w:fill="auto"/>
            <w:vAlign w:val="bottom"/>
          </w:tcPr>
          <w:p w14:paraId="74DD7021" w14:textId="77777777" w:rsidR="00584EC1" w:rsidRDefault="00584EC1">
            <w:pPr>
              <w:rPr>
                <w:rFonts w:ascii="宋体"/>
                <w:vanish/>
              </w:rPr>
            </w:pPr>
          </w:p>
        </w:tc>
        <w:tc>
          <w:tcPr>
            <w:tcW w:w="0" w:type="auto"/>
            <w:shd w:val="clear" w:color="auto" w:fill="auto"/>
            <w:vAlign w:val="bottom"/>
          </w:tcPr>
          <w:p w14:paraId="74DD7022" w14:textId="77777777" w:rsidR="00584EC1" w:rsidRDefault="00584EC1">
            <w:pPr>
              <w:rPr>
                <w:rFonts w:ascii="宋体"/>
                <w:vanish/>
              </w:rPr>
            </w:pPr>
          </w:p>
        </w:tc>
      </w:tr>
      <w:tr w:rsidR="00584EC1" w14:paraId="74DD7040" w14:textId="77777777">
        <w:tc>
          <w:tcPr>
            <w:tcW w:w="0" w:type="auto"/>
            <w:gridSpan w:val="3"/>
            <w:shd w:val="clear" w:color="auto" w:fill="CCEEFF"/>
            <w:tcMar>
              <w:top w:w="40" w:type="dxa"/>
              <w:left w:w="20" w:type="dxa"/>
              <w:bottom w:w="40" w:type="dxa"/>
              <w:right w:w="20" w:type="dxa"/>
            </w:tcMar>
            <w:vAlign w:val="bottom"/>
          </w:tcPr>
          <w:p w14:paraId="74DD7024" w14:textId="77777777" w:rsidR="00584EC1" w:rsidRDefault="00871F8D">
            <w:pPr>
              <w:textAlignment w:val="bottom"/>
            </w:pPr>
            <w:r>
              <w:rPr>
                <w:rFonts w:ascii="Arial" w:eastAsia="宋体" w:hAnsi="Arial" w:cs="Arial"/>
                <w:color w:val="000000"/>
                <w:sz w:val="12"/>
                <w:szCs w:val="12"/>
              </w:rPr>
              <w:t>Total interest-bearing deposits</w:t>
            </w:r>
            <w:r>
              <w:rPr>
                <w:rFonts w:ascii="Arial" w:eastAsia="宋体" w:hAnsi="Arial" w:cs="Arial"/>
                <w:color w:val="000000"/>
                <w:sz w:val="7"/>
                <w:szCs w:val="7"/>
              </w:rPr>
              <w:t>(4)(5)</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7025" w14:textId="77777777" w:rsidR="00584EC1" w:rsidRDefault="00871F8D">
            <w:pPr>
              <w:jc w:val="right"/>
              <w:textAlignment w:val="bottom"/>
            </w:pPr>
            <w:r>
              <w:rPr>
                <w:rFonts w:ascii="Arial" w:eastAsia="宋体" w:hAnsi="Arial" w:cs="Arial"/>
                <w:b/>
                <w:bCs/>
                <w:color w:val="000000"/>
                <w:sz w:val="12"/>
                <w:szCs w:val="12"/>
              </w:rPr>
              <w:t>186,604</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02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027"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7028" w14:textId="77777777" w:rsidR="00584EC1" w:rsidRDefault="00871F8D">
            <w:pPr>
              <w:jc w:val="right"/>
              <w:textAlignment w:val="bottom"/>
            </w:pPr>
            <w:r>
              <w:rPr>
                <w:rFonts w:ascii="Arial" w:eastAsia="宋体" w:hAnsi="Arial" w:cs="Arial"/>
                <w:b/>
                <w:bCs/>
                <w:color w:val="000000"/>
                <w:sz w:val="12"/>
                <w:szCs w:val="12"/>
              </w:rPr>
              <w:t>(1</w:t>
            </w:r>
            <w:r>
              <w:rPr>
                <w:rFonts w:ascii="Arial" w:eastAsia="宋体" w:hAnsi="Arial" w:cs="Arial"/>
                <w:b/>
                <w:bCs/>
                <w:color w:val="000000"/>
                <w:sz w:val="12"/>
                <w:szCs w:val="12"/>
              </w:rPr>
              <w:t>96)</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02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02A"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702B" w14:textId="77777777" w:rsidR="00584EC1" w:rsidRDefault="00871F8D">
            <w:pPr>
              <w:jc w:val="right"/>
              <w:textAlignment w:val="bottom"/>
            </w:pPr>
            <w:r>
              <w:rPr>
                <w:rFonts w:ascii="Arial" w:eastAsia="宋体" w:hAnsi="Arial" w:cs="Arial"/>
                <w:b/>
                <w:bCs/>
                <w:color w:val="000000"/>
                <w:sz w:val="12"/>
                <w:szCs w:val="12"/>
              </w:rPr>
              <w:t>(.14)</w:t>
            </w:r>
          </w:p>
        </w:tc>
        <w:tc>
          <w:tcPr>
            <w:tcW w:w="0" w:type="auto"/>
            <w:shd w:val="clear" w:color="auto" w:fill="CCEEFF"/>
            <w:tcMar>
              <w:top w:w="40" w:type="dxa"/>
              <w:left w:w="0" w:type="dxa"/>
              <w:bottom w:w="40" w:type="dxa"/>
              <w:right w:w="20" w:type="dxa"/>
            </w:tcMar>
            <w:vAlign w:val="bottom"/>
          </w:tcPr>
          <w:p w14:paraId="74DD702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02D"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702E" w14:textId="77777777" w:rsidR="00584EC1" w:rsidRDefault="00871F8D">
            <w:pPr>
              <w:jc w:val="right"/>
              <w:textAlignment w:val="bottom"/>
            </w:pPr>
            <w:r>
              <w:rPr>
                <w:rFonts w:ascii="Arial" w:eastAsia="宋体" w:hAnsi="Arial" w:cs="Arial"/>
                <w:color w:val="000000"/>
                <w:sz w:val="12"/>
                <w:szCs w:val="12"/>
              </w:rPr>
              <w:t>152,545 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02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030"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7031" w14:textId="77777777" w:rsidR="00584EC1" w:rsidRDefault="00871F8D">
            <w:pPr>
              <w:jc w:val="right"/>
              <w:textAlignment w:val="bottom"/>
            </w:pPr>
            <w:r>
              <w:rPr>
                <w:rFonts w:ascii="Arial" w:eastAsia="宋体" w:hAnsi="Arial" w:cs="Arial"/>
                <w:color w:val="000000"/>
                <w:sz w:val="12"/>
                <w:szCs w:val="12"/>
              </w:rPr>
              <w:t>(47)</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03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033"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7034" w14:textId="77777777" w:rsidR="00584EC1" w:rsidRDefault="00871F8D">
            <w:pPr>
              <w:jc w:val="right"/>
              <w:textAlignment w:val="bottom"/>
            </w:pPr>
            <w:r>
              <w:rPr>
                <w:rFonts w:ascii="Arial" w:eastAsia="宋体" w:hAnsi="Arial" w:cs="Arial"/>
                <w:color w:val="000000"/>
                <w:sz w:val="12"/>
                <w:szCs w:val="12"/>
              </w:rPr>
              <w:t>(.04)</w:t>
            </w:r>
          </w:p>
        </w:tc>
        <w:tc>
          <w:tcPr>
            <w:tcW w:w="0" w:type="auto"/>
            <w:shd w:val="clear" w:color="auto" w:fill="CCEEFF"/>
            <w:tcMar>
              <w:top w:w="40" w:type="dxa"/>
              <w:left w:w="0" w:type="dxa"/>
              <w:bottom w:w="40" w:type="dxa"/>
              <w:right w:w="20" w:type="dxa"/>
            </w:tcMar>
            <w:vAlign w:val="bottom"/>
          </w:tcPr>
          <w:p w14:paraId="74DD7035" w14:textId="77777777" w:rsidR="00584EC1" w:rsidRDefault="00584EC1">
            <w:pPr>
              <w:jc w:val="right"/>
              <w:rPr>
                <w:rFonts w:ascii="宋体"/>
              </w:rPr>
            </w:pPr>
          </w:p>
        </w:tc>
        <w:tc>
          <w:tcPr>
            <w:tcW w:w="0" w:type="auto"/>
            <w:shd w:val="clear" w:color="auto" w:fill="auto"/>
            <w:vAlign w:val="bottom"/>
          </w:tcPr>
          <w:p w14:paraId="74DD7036" w14:textId="77777777" w:rsidR="00584EC1" w:rsidRDefault="00584EC1">
            <w:pPr>
              <w:rPr>
                <w:rFonts w:ascii="宋体"/>
                <w:vanish/>
              </w:rPr>
            </w:pPr>
          </w:p>
        </w:tc>
        <w:tc>
          <w:tcPr>
            <w:tcW w:w="0" w:type="auto"/>
            <w:shd w:val="clear" w:color="auto" w:fill="auto"/>
            <w:vAlign w:val="bottom"/>
          </w:tcPr>
          <w:p w14:paraId="74DD7037" w14:textId="77777777" w:rsidR="00584EC1" w:rsidRDefault="00584EC1">
            <w:pPr>
              <w:rPr>
                <w:rFonts w:ascii="宋体"/>
                <w:vanish/>
              </w:rPr>
            </w:pPr>
          </w:p>
        </w:tc>
        <w:tc>
          <w:tcPr>
            <w:tcW w:w="0" w:type="auto"/>
            <w:shd w:val="clear" w:color="auto" w:fill="auto"/>
            <w:vAlign w:val="bottom"/>
          </w:tcPr>
          <w:p w14:paraId="74DD7038" w14:textId="77777777" w:rsidR="00584EC1" w:rsidRDefault="00584EC1">
            <w:pPr>
              <w:rPr>
                <w:rFonts w:ascii="宋体"/>
                <w:vanish/>
              </w:rPr>
            </w:pPr>
          </w:p>
        </w:tc>
        <w:tc>
          <w:tcPr>
            <w:tcW w:w="0" w:type="auto"/>
            <w:shd w:val="clear" w:color="auto" w:fill="auto"/>
            <w:vAlign w:val="bottom"/>
          </w:tcPr>
          <w:p w14:paraId="74DD7039" w14:textId="77777777" w:rsidR="00584EC1" w:rsidRDefault="00584EC1">
            <w:pPr>
              <w:rPr>
                <w:rFonts w:ascii="宋体"/>
                <w:vanish/>
              </w:rPr>
            </w:pPr>
          </w:p>
        </w:tc>
        <w:tc>
          <w:tcPr>
            <w:tcW w:w="0" w:type="auto"/>
            <w:gridSpan w:val="3"/>
            <w:shd w:val="clear" w:color="auto" w:fill="auto"/>
            <w:vAlign w:val="bottom"/>
          </w:tcPr>
          <w:p w14:paraId="74DD703A" w14:textId="77777777" w:rsidR="00584EC1" w:rsidRDefault="00584EC1">
            <w:pPr>
              <w:rPr>
                <w:rFonts w:ascii="宋体"/>
                <w:vanish/>
              </w:rPr>
            </w:pPr>
          </w:p>
        </w:tc>
        <w:tc>
          <w:tcPr>
            <w:tcW w:w="0" w:type="auto"/>
            <w:gridSpan w:val="3"/>
            <w:shd w:val="clear" w:color="auto" w:fill="auto"/>
            <w:vAlign w:val="bottom"/>
          </w:tcPr>
          <w:p w14:paraId="74DD703B" w14:textId="77777777" w:rsidR="00584EC1" w:rsidRDefault="00584EC1">
            <w:pPr>
              <w:rPr>
                <w:rFonts w:ascii="宋体"/>
                <w:vanish/>
              </w:rPr>
            </w:pPr>
          </w:p>
        </w:tc>
        <w:tc>
          <w:tcPr>
            <w:tcW w:w="0" w:type="auto"/>
            <w:gridSpan w:val="3"/>
            <w:shd w:val="clear" w:color="auto" w:fill="auto"/>
            <w:vAlign w:val="bottom"/>
          </w:tcPr>
          <w:p w14:paraId="74DD703C" w14:textId="77777777" w:rsidR="00584EC1" w:rsidRDefault="00584EC1">
            <w:pPr>
              <w:rPr>
                <w:rFonts w:ascii="宋体"/>
                <w:vanish/>
              </w:rPr>
            </w:pPr>
          </w:p>
        </w:tc>
        <w:tc>
          <w:tcPr>
            <w:tcW w:w="0" w:type="auto"/>
            <w:gridSpan w:val="3"/>
            <w:shd w:val="clear" w:color="auto" w:fill="auto"/>
            <w:vAlign w:val="bottom"/>
          </w:tcPr>
          <w:p w14:paraId="74DD703D" w14:textId="77777777" w:rsidR="00584EC1" w:rsidRDefault="00584EC1">
            <w:pPr>
              <w:rPr>
                <w:rFonts w:ascii="宋体"/>
                <w:vanish/>
              </w:rPr>
            </w:pPr>
          </w:p>
        </w:tc>
        <w:tc>
          <w:tcPr>
            <w:tcW w:w="0" w:type="auto"/>
            <w:gridSpan w:val="2"/>
            <w:shd w:val="clear" w:color="auto" w:fill="auto"/>
            <w:vAlign w:val="bottom"/>
          </w:tcPr>
          <w:p w14:paraId="74DD703E" w14:textId="77777777" w:rsidR="00584EC1" w:rsidRDefault="00584EC1">
            <w:pPr>
              <w:rPr>
                <w:rFonts w:ascii="宋体"/>
                <w:vanish/>
              </w:rPr>
            </w:pPr>
          </w:p>
        </w:tc>
        <w:tc>
          <w:tcPr>
            <w:tcW w:w="0" w:type="auto"/>
            <w:shd w:val="clear" w:color="auto" w:fill="auto"/>
            <w:vAlign w:val="bottom"/>
          </w:tcPr>
          <w:p w14:paraId="74DD703F" w14:textId="77777777" w:rsidR="00584EC1" w:rsidRDefault="00584EC1">
            <w:pPr>
              <w:rPr>
                <w:rFonts w:ascii="宋体"/>
                <w:vanish/>
              </w:rPr>
            </w:pPr>
          </w:p>
        </w:tc>
      </w:tr>
      <w:tr w:rsidR="00584EC1" w14:paraId="74DD705D" w14:textId="77777777">
        <w:tc>
          <w:tcPr>
            <w:tcW w:w="0" w:type="auto"/>
            <w:gridSpan w:val="3"/>
            <w:shd w:val="clear" w:color="auto" w:fill="FFFFFF"/>
            <w:tcMar>
              <w:top w:w="40" w:type="dxa"/>
              <w:left w:w="20" w:type="dxa"/>
              <w:bottom w:w="40" w:type="dxa"/>
              <w:right w:w="20" w:type="dxa"/>
            </w:tcMar>
            <w:vAlign w:val="bottom"/>
          </w:tcPr>
          <w:p w14:paraId="74DD7041" w14:textId="77777777" w:rsidR="00584EC1" w:rsidRDefault="00871F8D">
            <w:pPr>
              <w:textAlignment w:val="bottom"/>
            </w:pPr>
            <w:r>
              <w:rPr>
                <w:rFonts w:ascii="Arial" w:eastAsia="宋体" w:hAnsi="Arial" w:cs="Arial"/>
                <w:color w:val="000000"/>
                <w:sz w:val="12"/>
                <w:szCs w:val="12"/>
              </w:rPr>
              <w:t xml:space="preserve">Securities sold </w:t>
            </w:r>
            <w:r>
              <w:rPr>
                <w:rFonts w:ascii="Arial" w:eastAsia="宋体" w:hAnsi="Arial" w:cs="Arial"/>
                <w:color w:val="000000"/>
                <w:sz w:val="12"/>
                <w:szCs w:val="12"/>
              </w:rPr>
              <w:t>under repurchase agreements</w:t>
            </w:r>
          </w:p>
        </w:tc>
        <w:tc>
          <w:tcPr>
            <w:tcW w:w="0" w:type="auto"/>
            <w:gridSpan w:val="2"/>
            <w:shd w:val="clear" w:color="auto" w:fill="FFFFFF"/>
            <w:tcMar>
              <w:top w:w="40" w:type="dxa"/>
              <w:left w:w="20" w:type="dxa"/>
              <w:bottom w:w="40" w:type="dxa"/>
              <w:right w:w="0" w:type="dxa"/>
            </w:tcMar>
            <w:vAlign w:val="bottom"/>
          </w:tcPr>
          <w:p w14:paraId="74DD7042" w14:textId="77777777" w:rsidR="00584EC1" w:rsidRDefault="00871F8D">
            <w:pPr>
              <w:jc w:val="right"/>
              <w:textAlignment w:val="bottom"/>
            </w:pPr>
            <w:r>
              <w:rPr>
                <w:rFonts w:ascii="Arial" w:eastAsia="宋体" w:hAnsi="Arial" w:cs="Arial"/>
                <w:b/>
                <w:bCs/>
                <w:color w:val="000000"/>
                <w:sz w:val="12"/>
                <w:szCs w:val="12"/>
              </w:rPr>
              <w:t>606</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704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04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045"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704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04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048" w14:textId="77777777" w:rsidR="00584EC1" w:rsidRDefault="00871F8D">
            <w:pPr>
              <w:jc w:val="right"/>
              <w:textAlignment w:val="bottom"/>
            </w:pPr>
            <w:r>
              <w:rPr>
                <w:rFonts w:ascii="Arial" w:eastAsia="宋体" w:hAnsi="Arial" w:cs="Arial"/>
                <w:b/>
                <w:bCs/>
                <w:color w:val="000000"/>
                <w:sz w:val="12"/>
                <w:szCs w:val="12"/>
              </w:rPr>
              <w:t>.02</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704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04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04B" w14:textId="77777777" w:rsidR="00584EC1" w:rsidRDefault="00871F8D">
            <w:pPr>
              <w:jc w:val="right"/>
              <w:textAlignment w:val="bottom"/>
            </w:pPr>
            <w:r>
              <w:rPr>
                <w:rFonts w:ascii="Arial" w:eastAsia="宋体" w:hAnsi="Arial" w:cs="Arial"/>
                <w:color w:val="000000"/>
                <w:sz w:val="12"/>
                <w:szCs w:val="12"/>
              </w:rPr>
              <w:t>2,687 </w:t>
            </w:r>
          </w:p>
        </w:tc>
        <w:tc>
          <w:tcPr>
            <w:tcW w:w="0" w:type="auto"/>
            <w:shd w:val="clear" w:color="auto" w:fill="FFFFFF"/>
            <w:tcMar>
              <w:top w:w="40" w:type="dxa"/>
              <w:left w:w="0" w:type="dxa"/>
              <w:bottom w:w="40" w:type="dxa"/>
              <w:right w:w="20" w:type="dxa"/>
            </w:tcMar>
            <w:vAlign w:val="bottom"/>
          </w:tcPr>
          <w:p w14:paraId="74DD704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04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04E" w14:textId="77777777" w:rsidR="00584EC1" w:rsidRDefault="00871F8D">
            <w:pPr>
              <w:jc w:val="right"/>
              <w:textAlignment w:val="bottom"/>
            </w:pPr>
            <w:r>
              <w:rPr>
                <w:rFonts w:ascii="Arial" w:eastAsia="宋体" w:hAnsi="Arial" w:cs="Arial"/>
                <w:color w:val="000000"/>
                <w:sz w:val="12"/>
                <w:szCs w:val="12"/>
              </w:rPr>
              <w:t>3 </w:t>
            </w:r>
          </w:p>
        </w:tc>
        <w:tc>
          <w:tcPr>
            <w:tcW w:w="0" w:type="auto"/>
            <w:shd w:val="clear" w:color="auto" w:fill="FFFFFF"/>
            <w:tcMar>
              <w:top w:w="40" w:type="dxa"/>
              <w:left w:w="0" w:type="dxa"/>
              <w:bottom w:w="40" w:type="dxa"/>
              <w:right w:w="20" w:type="dxa"/>
            </w:tcMar>
            <w:vAlign w:val="bottom"/>
          </w:tcPr>
          <w:p w14:paraId="74DD704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05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051" w14:textId="77777777" w:rsidR="00584EC1" w:rsidRDefault="00871F8D">
            <w:pPr>
              <w:jc w:val="right"/>
              <w:textAlignment w:val="bottom"/>
            </w:pPr>
            <w:r>
              <w:rPr>
                <w:rFonts w:ascii="Arial" w:eastAsia="宋体" w:hAnsi="Arial" w:cs="Arial"/>
                <w:color w:val="000000"/>
                <w:sz w:val="12"/>
                <w:szCs w:val="12"/>
              </w:rPr>
              <w:t>.16 </w:t>
            </w:r>
          </w:p>
        </w:tc>
        <w:tc>
          <w:tcPr>
            <w:tcW w:w="0" w:type="auto"/>
            <w:shd w:val="clear" w:color="auto" w:fill="FFFFFF"/>
            <w:tcMar>
              <w:top w:w="40" w:type="dxa"/>
              <w:left w:w="0" w:type="dxa"/>
              <w:bottom w:w="40" w:type="dxa"/>
              <w:right w:w="20" w:type="dxa"/>
            </w:tcMar>
            <w:vAlign w:val="bottom"/>
          </w:tcPr>
          <w:p w14:paraId="74DD7052" w14:textId="77777777" w:rsidR="00584EC1" w:rsidRDefault="00584EC1">
            <w:pPr>
              <w:jc w:val="right"/>
              <w:rPr>
                <w:rFonts w:ascii="宋体"/>
              </w:rPr>
            </w:pPr>
          </w:p>
        </w:tc>
        <w:tc>
          <w:tcPr>
            <w:tcW w:w="0" w:type="auto"/>
            <w:shd w:val="clear" w:color="auto" w:fill="auto"/>
            <w:vAlign w:val="bottom"/>
          </w:tcPr>
          <w:p w14:paraId="74DD7053" w14:textId="77777777" w:rsidR="00584EC1" w:rsidRDefault="00584EC1">
            <w:pPr>
              <w:rPr>
                <w:rFonts w:ascii="宋体"/>
                <w:vanish/>
              </w:rPr>
            </w:pPr>
          </w:p>
        </w:tc>
        <w:tc>
          <w:tcPr>
            <w:tcW w:w="0" w:type="auto"/>
            <w:shd w:val="clear" w:color="auto" w:fill="auto"/>
            <w:vAlign w:val="bottom"/>
          </w:tcPr>
          <w:p w14:paraId="74DD7054" w14:textId="77777777" w:rsidR="00584EC1" w:rsidRDefault="00584EC1">
            <w:pPr>
              <w:rPr>
                <w:rFonts w:ascii="宋体"/>
                <w:vanish/>
              </w:rPr>
            </w:pPr>
          </w:p>
        </w:tc>
        <w:tc>
          <w:tcPr>
            <w:tcW w:w="0" w:type="auto"/>
            <w:shd w:val="clear" w:color="auto" w:fill="auto"/>
            <w:vAlign w:val="bottom"/>
          </w:tcPr>
          <w:p w14:paraId="74DD7055" w14:textId="77777777" w:rsidR="00584EC1" w:rsidRDefault="00584EC1">
            <w:pPr>
              <w:rPr>
                <w:rFonts w:ascii="宋体"/>
                <w:vanish/>
              </w:rPr>
            </w:pPr>
          </w:p>
        </w:tc>
        <w:tc>
          <w:tcPr>
            <w:tcW w:w="0" w:type="auto"/>
            <w:shd w:val="clear" w:color="auto" w:fill="auto"/>
            <w:vAlign w:val="bottom"/>
          </w:tcPr>
          <w:p w14:paraId="74DD7056" w14:textId="77777777" w:rsidR="00584EC1" w:rsidRDefault="00584EC1">
            <w:pPr>
              <w:rPr>
                <w:rFonts w:ascii="宋体"/>
                <w:vanish/>
              </w:rPr>
            </w:pPr>
          </w:p>
        </w:tc>
        <w:tc>
          <w:tcPr>
            <w:tcW w:w="0" w:type="auto"/>
            <w:gridSpan w:val="3"/>
            <w:shd w:val="clear" w:color="auto" w:fill="auto"/>
            <w:vAlign w:val="bottom"/>
          </w:tcPr>
          <w:p w14:paraId="74DD7057" w14:textId="77777777" w:rsidR="00584EC1" w:rsidRDefault="00584EC1">
            <w:pPr>
              <w:rPr>
                <w:rFonts w:ascii="宋体"/>
                <w:vanish/>
              </w:rPr>
            </w:pPr>
          </w:p>
        </w:tc>
        <w:tc>
          <w:tcPr>
            <w:tcW w:w="0" w:type="auto"/>
            <w:gridSpan w:val="3"/>
            <w:shd w:val="clear" w:color="auto" w:fill="auto"/>
            <w:vAlign w:val="bottom"/>
          </w:tcPr>
          <w:p w14:paraId="74DD7058" w14:textId="77777777" w:rsidR="00584EC1" w:rsidRDefault="00584EC1">
            <w:pPr>
              <w:rPr>
                <w:rFonts w:ascii="宋体"/>
                <w:vanish/>
              </w:rPr>
            </w:pPr>
          </w:p>
        </w:tc>
        <w:tc>
          <w:tcPr>
            <w:tcW w:w="0" w:type="auto"/>
            <w:gridSpan w:val="3"/>
            <w:shd w:val="clear" w:color="auto" w:fill="auto"/>
            <w:vAlign w:val="bottom"/>
          </w:tcPr>
          <w:p w14:paraId="74DD7059" w14:textId="77777777" w:rsidR="00584EC1" w:rsidRDefault="00584EC1">
            <w:pPr>
              <w:rPr>
                <w:rFonts w:ascii="宋体"/>
                <w:vanish/>
              </w:rPr>
            </w:pPr>
          </w:p>
        </w:tc>
        <w:tc>
          <w:tcPr>
            <w:tcW w:w="0" w:type="auto"/>
            <w:gridSpan w:val="3"/>
            <w:shd w:val="clear" w:color="auto" w:fill="auto"/>
            <w:vAlign w:val="bottom"/>
          </w:tcPr>
          <w:p w14:paraId="74DD705A" w14:textId="77777777" w:rsidR="00584EC1" w:rsidRDefault="00584EC1">
            <w:pPr>
              <w:rPr>
                <w:rFonts w:ascii="宋体"/>
                <w:vanish/>
              </w:rPr>
            </w:pPr>
          </w:p>
        </w:tc>
        <w:tc>
          <w:tcPr>
            <w:tcW w:w="0" w:type="auto"/>
            <w:gridSpan w:val="2"/>
            <w:shd w:val="clear" w:color="auto" w:fill="auto"/>
            <w:vAlign w:val="bottom"/>
          </w:tcPr>
          <w:p w14:paraId="74DD705B" w14:textId="77777777" w:rsidR="00584EC1" w:rsidRDefault="00584EC1">
            <w:pPr>
              <w:rPr>
                <w:rFonts w:ascii="宋体"/>
                <w:vanish/>
              </w:rPr>
            </w:pPr>
          </w:p>
        </w:tc>
        <w:tc>
          <w:tcPr>
            <w:tcW w:w="0" w:type="auto"/>
            <w:shd w:val="clear" w:color="auto" w:fill="auto"/>
            <w:vAlign w:val="bottom"/>
          </w:tcPr>
          <w:p w14:paraId="74DD705C" w14:textId="77777777" w:rsidR="00584EC1" w:rsidRDefault="00584EC1">
            <w:pPr>
              <w:rPr>
                <w:rFonts w:ascii="宋体"/>
                <w:vanish/>
              </w:rPr>
            </w:pPr>
          </w:p>
        </w:tc>
      </w:tr>
      <w:tr w:rsidR="00584EC1" w14:paraId="74DD707A" w14:textId="77777777">
        <w:tc>
          <w:tcPr>
            <w:tcW w:w="0" w:type="auto"/>
            <w:gridSpan w:val="3"/>
            <w:shd w:val="clear" w:color="auto" w:fill="CCEEFF"/>
            <w:tcMar>
              <w:top w:w="40" w:type="dxa"/>
              <w:left w:w="20" w:type="dxa"/>
              <w:bottom w:w="40" w:type="dxa"/>
              <w:right w:w="20" w:type="dxa"/>
            </w:tcMar>
            <w:vAlign w:val="bottom"/>
          </w:tcPr>
          <w:p w14:paraId="74DD705E" w14:textId="77777777" w:rsidR="00584EC1" w:rsidRDefault="00871F8D">
            <w:pPr>
              <w:textAlignment w:val="bottom"/>
            </w:pPr>
            <w:r>
              <w:rPr>
                <w:rFonts w:ascii="Arial" w:eastAsia="宋体" w:hAnsi="Arial" w:cs="Arial"/>
                <w:color w:val="000000"/>
                <w:sz w:val="12"/>
                <w:szCs w:val="12"/>
              </w:rPr>
              <w:t xml:space="preserve">Short-term borrowings under money market liquidity </w:t>
            </w:r>
            <w:r>
              <w:rPr>
                <w:rFonts w:ascii="Arial" w:eastAsia="宋体" w:hAnsi="Arial" w:cs="Arial"/>
                <w:color w:val="000000"/>
                <w:sz w:val="12"/>
                <w:szCs w:val="12"/>
              </w:rPr>
              <w:t>facility</w:t>
            </w:r>
          </w:p>
        </w:tc>
        <w:tc>
          <w:tcPr>
            <w:tcW w:w="0" w:type="auto"/>
            <w:gridSpan w:val="2"/>
            <w:shd w:val="clear" w:color="auto" w:fill="CCEEFF"/>
            <w:tcMar>
              <w:top w:w="40" w:type="dxa"/>
              <w:left w:w="20" w:type="dxa"/>
              <w:bottom w:w="40" w:type="dxa"/>
              <w:right w:w="0" w:type="dxa"/>
            </w:tcMar>
            <w:vAlign w:val="bottom"/>
          </w:tcPr>
          <w:p w14:paraId="74DD705F" w14:textId="77777777" w:rsidR="00584EC1" w:rsidRDefault="00871F8D">
            <w:pPr>
              <w:jc w:val="right"/>
              <w:textAlignment w:val="bottom"/>
            </w:pPr>
            <w:r>
              <w:rPr>
                <w:rFonts w:ascii="Arial" w:eastAsia="宋体" w:hAnsi="Arial" w:cs="Arial"/>
                <w:b/>
                <w:bCs/>
                <w:color w:val="000000"/>
                <w:sz w:val="12"/>
                <w:szCs w:val="12"/>
              </w:rPr>
              <w:t>421</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706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06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7062" w14:textId="77777777" w:rsidR="00584EC1" w:rsidRDefault="00871F8D">
            <w:pPr>
              <w:jc w:val="right"/>
              <w:textAlignment w:val="bottom"/>
            </w:pPr>
            <w:r>
              <w:rPr>
                <w:rFonts w:ascii="Arial" w:eastAsia="宋体" w:hAnsi="Arial" w:cs="Arial"/>
                <w:b/>
                <w:bCs/>
                <w:color w:val="000000"/>
                <w:sz w:val="12"/>
                <w:szCs w:val="12"/>
              </w:rPr>
              <w:t>4</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706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064"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7065" w14:textId="77777777" w:rsidR="00584EC1" w:rsidRDefault="00871F8D">
            <w:pPr>
              <w:jc w:val="right"/>
              <w:textAlignment w:val="bottom"/>
            </w:pPr>
            <w:r>
              <w:rPr>
                <w:rFonts w:ascii="Arial" w:eastAsia="宋体" w:hAnsi="Arial" w:cs="Arial"/>
                <w:b/>
                <w:bCs/>
                <w:color w:val="000000"/>
                <w:sz w:val="12"/>
                <w:szCs w:val="12"/>
              </w:rPr>
              <w:t>1.21</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706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06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7068" w14:textId="77777777" w:rsidR="00584EC1" w:rsidRDefault="00871F8D">
            <w:pPr>
              <w:jc w:val="right"/>
              <w:textAlignment w:val="bottom"/>
            </w:pPr>
            <w:r>
              <w:rPr>
                <w:rFonts w:ascii="Arial" w:eastAsia="宋体" w:hAnsi="Arial" w:cs="Arial"/>
                <w:color w:val="000000"/>
                <w:sz w:val="12"/>
                <w:szCs w:val="12"/>
              </w:rPr>
              <w:t>9,550 </w:t>
            </w:r>
          </w:p>
        </w:tc>
        <w:tc>
          <w:tcPr>
            <w:tcW w:w="0" w:type="auto"/>
            <w:shd w:val="clear" w:color="auto" w:fill="CCEEFF"/>
            <w:tcMar>
              <w:top w:w="40" w:type="dxa"/>
              <w:left w:w="0" w:type="dxa"/>
              <w:bottom w:w="40" w:type="dxa"/>
              <w:right w:w="20" w:type="dxa"/>
            </w:tcMar>
            <w:vAlign w:val="bottom"/>
          </w:tcPr>
          <w:p w14:paraId="74DD706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06A"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706B" w14:textId="77777777" w:rsidR="00584EC1" w:rsidRDefault="00871F8D">
            <w:pPr>
              <w:jc w:val="right"/>
              <w:textAlignment w:val="bottom"/>
            </w:pPr>
            <w:r>
              <w:rPr>
                <w:rFonts w:ascii="Arial" w:eastAsia="宋体" w:hAnsi="Arial" w:cs="Arial"/>
                <w:color w:val="000000"/>
                <w:sz w:val="12"/>
                <w:szCs w:val="12"/>
              </w:rPr>
              <w:t>87 </w:t>
            </w:r>
          </w:p>
        </w:tc>
        <w:tc>
          <w:tcPr>
            <w:tcW w:w="0" w:type="auto"/>
            <w:shd w:val="clear" w:color="auto" w:fill="CCEEFF"/>
            <w:tcMar>
              <w:top w:w="40" w:type="dxa"/>
              <w:left w:w="0" w:type="dxa"/>
              <w:bottom w:w="40" w:type="dxa"/>
              <w:right w:w="20" w:type="dxa"/>
            </w:tcMar>
            <w:vAlign w:val="bottom"/>
          </w:tcPr>
          <w:p w14:paraId="74DD706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06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706E" w14:textId="77777777" w:rsidR="00584EC1" w:rsidRDefault="00871F8D">
            <w:pPr>
              <w:jc w:val="right"/>
              <w:textAlignment w:val="bottom"/>
            </w:pPr>
            <w:r>
              <w:rPr>
                <w:rFonts w:ascii="Arial" w:eastAsia="宋体" w:hAnsi="Arial" w:cs="Arial"/>
                <w:color w:val="000000"/>
                <w:sz w:val="12"/>
                <w:szCs w:val="12"/>
              </w:rPr>
              <w:t>1.22 </w:t>
            </w:r>
          </w:p>
        </w:tc>
        <w:tc>
          <w:tcPr>
            <w:tcW w:w="0" w:type="auto"/>
            <w:shd w:val="clear" w:color="auto" w:fill="CCEEFF"/>
            <w:tcMar>
              <w:top w:w="40" w:type="dxa"/>
              <w:left w:w="0" w:type="dxa"/>
              <w:bottom w:w="40" w:type="dxa"/>
              <w:right w:w="20" w:type="dxa"/>
            </w:tcMar>
            <w:vAlign w:val="bottom"/>
          </w:tcPr>
          <w:p w14:paraId="74DD706F" w14:textId="77777777" w:rsidR="00584EC1" w:rsidRDefault="00584EC1">
            <w:pPr>
              <w:jc w:val="right"/>
              <w:rPr>
                <w:rFonts w:ascii="宋体"/>
              </w:rPr>
            </w:pPr>
          </w:p>
        </w:tc>
        <w:tc>
          <w:tcPr>
            <w:tcW w:w="0" w:type="auto"/>
            <w:shd w:val="clear" w:color="auto" w:fill="auto"/>
            <w:vAlign w:val="bottom"/>
          </w:tcPr>
          <w:p w14:paraId="74DD7070" w14:textId="77777777" w:rsidR="00584EC1" w:rsidRDefault="00584EC1">
            <w:pPr>
              <w:rPr>
                <w:rFonts w:ascii="宋体"/>
                <w:vanish/>
              </w:rPr>
            </w:pPr>
          </w:p>
        </w:tc>
        <w:tc>
          <w:tcPr>
            <w:tcW w:w="0" w:type="auto"/>
            <w:shd w:val="clear" w:color="auto" w:fill="auto"/>
            <w:vAlign w:val="bottom"/>
          </w:tcPr>
          <w:p w14:paraId="74DD7071" w14:textId="77777777" w:rsidR="00584EC1" w:rsidRDefault="00584EC1">
            <w:pPr>
              <w:rPr>
                <w:rFonts w:ascii="宋体"/>
                <w:vanish/>
              </w:rPr>
            </w:pPr>
          </w:p>
        </w:tc>
        <w:tc>
          <w:tcPr>
            <w:tcW w:w="0" w:type="auto"/>
            <w:shd w:val="clear" w:color="auto" w:fill="auto"/>
            <w:vAlign w:val="bottom"/>
          </w:tcPr>
          <w:p w14:paraId="74DD7072" w14:textId="77777777" w:rsidR="00584EC1" w:rsidRDefault="00584EC1">
            <w:pPr>
              <w:rPr>
                <w:rFonts w:ascii="宋体"/>
                <w:vanish/>
              </w:rPr>
            </w:pPr>
          </w:p>
        </w:tc>
        <w:tc>
          <w:tcPr>
            <w:tcW w:w="0" w:type="auto"/>
            <w:shd w:val="clear" w:color="auto" w:fill="auto"/>
            <w:vAlign w:val="bottom"/>
          </w:tcPr>
          <w:p w14:paraId="74DD7073" w14:textId="77777777" w:rsidR="00584EC1" w:rsidRDefault="00584EC1">
            <w:pPr>
              <w:rPr>
                <w:rFonts w:ascii="宋体"/>
                <w:vanish/>
              </w:rPr>
            </w:pPr>
          </w:p>
        </w:tc>
        <w:tc>
          <w:tcPr>
            <w:tcW w:w="0" w:type="auto"/>
            <w:gridSpan w:val="3"/>
            <w:shd w:val="clear" w:color="auto" w:fill="auto"/>
            <w:vAlign w:val="bottom"/>
          </w:tcPr>
          <w:p w14:paraId="74DD7074" w14:textId="77777777" w:rsidR="00584EC1" w:rsidRDefault="00584EC1">
            <w:pPr>
              <w:rPr>
                <w:rFonts w:ascii="宋体"/>
                <w:vanish/>
              </w:rPr>
            </w:pPr>
          </w:p>
        </w:tc>
        <w:tc>
          <w:tcPr>
            <w:tcW w:w="0" w:type="auto"/>
            <w:gridSpan w:val="3"/>
            <w:shd w:val="clear" w:color="auto" w:fill="auto"/>
            <w:vAlign w:val="bottom"/>
          </w:tcPr>
          <w:p w14:paraId="74DD7075" w14:textId="77777777" w:rsidR="00584EC1" w:rsidRDefault="00584EC1">
            <w:pPr>
              <w:rPr>
                <w:rFonts w:ascii="宋体"/>
                <w:vanish/>
              </w:rPr>
            </w:pPr>
          </w:p>
        </w:tc>
        <w:tc>
          <w:tcPr>
            <w:tcW w:w="0" w:type="auto"/>
            <w:gridSpan w:val="3"/>
            <w:shd w:val="clear" w:color="auto" w:fill="auto"/>
            <w:vAlign w:val="bottom"/>
          </w:tcPr>
          <w:p w14:paraId="74DD7076" w14:textId="77777777" w:rsidR="00584EC1" w:rsidRDefault="00584EC1">
            <w:pPr>
              <w:rPr>
                <w:rFonts w:ascii="宋体"/>
                <w:vanish/>
              </w:rPr>
            </w:pPr>
          </w:p>
        </w:tc>
        <w:tc>
          <w:tcPr>
            <w:tcW w:w="0" w:type="auto"/>
            <w:gridSpan w:val="3"/>
            <w:shd w:val="clear" w:color="auto" w:fill="auto"/>
            <w:vAlign w:val="bottom"/>
          </w:tcPr>
          <w:p w14:paraId="74DD7077" w14:textId="77777777" w:rsidR="00584EC1" w:rsidRDefault="00584EC1">
            <w:pPr>
              <w:rPr>
                <w:rFonts w:ascii="宋体"/>
                <w:vanish/>
              </w:rPr>
            </w:pPr>
          </w:p>
        </w:tc>
        <w:tc>
          <w:tcPr>
            <w:tcW w:w="0" w:type="auto"/>
            <w:gridSpan w:val="2"/>
            <w:shd w:val="clear" w:color="auto" w:fill="auto"/>
            <w:vAlign w:val="bottom"/>
          </w:tcPr>
          <w:p w14:paraId="74DD7078" w14:textId="77777777" w:rsidR="00584EC1" w:rsidRDefault="00584EC1">
            <w:pPr>
              <w:rPr>
                <w:rFonts w:ascii="宋体"/>
                <w:vanish/>
              </w:rPr>
            </w:pPr>
          </w:p>
        </w:tc>
        <w:tc>
          <w:tcPr>
            <w:tcW w:w="0" w:type="auto"/>
            <w:shd w:val="clear" w:color="auto" w:fill="auto"/>
            <w:vAlign w:val="bottom"/>
          </w:tcPr>
          <w:p w14:paraId="74DD7079" w14:textId="77777777" w:rsidR="00584EC1" w:rsidRDefault="00584EC1">
            <w:pPr>
              <w:rPr>
                <w:rFonts w:ascii="宋体"/>
                <w:vanish/>
              </w:rPr>
            </w:pPr>
          </w:p>
        </w:tc>
      </w:tr>
      <w:tr w:rsidR="00584EC1" w14:paraId="74DD7097" w14:textId="77777777">
        <w:tc>
          <w:tcPr>
            <w:tcW w:w="0" w:type="auto"/>
            <w:gridSpan w:val="3"/>
            <w:shd w:val="clear" w:color="auto" w:fill="FFFFFF"/>
            <w:tcMar>
              <w:top w:w="40" w:type="dxa"/>
              <w:left w:w="20" w:type="dxa"/>
              <w:bottom w:w="40" w:type="dxa"/>
              <w:right w:w="20" w:type="dxa"/>
            </w:tcMar>
            <w:vAlign w:val="bottom"/>
          </w:tcPr>
          <w:p w14:paraId="74DD707B" w14:textId="77777777" w:rsidR="00584EC1" w:rsidRDefault="00871F8D">
            <w:pPr>
              <w:textAlignment w:val="bottom"/>
            </w:pPr>
            <w:r>
              <w:rPr>
                <w:rFonts w:ascii="Arial" w:eastAsia="宋体" w:hAnsi="Arial" w:cs="Arial"/>
                <w:color w:val="000000"/>
                <w:sz w:val="12"/>
                <w:szCs w:val="12"/>
              </w:rPr>
              <w:t>Other short-term borrowings</w:t>
            </w:r>
          </w:p>
        </w:tc>
        <w:tc>
          <w:tcPr>
            <w:tcW w:w="0" w:type="auto"/>
            <w:gridSpan w:val="2"/>
            <w:shd w:val="clear" w:color="auto" w:fill="FFFFFF"/>
            <w:tcMar>
              <w:top w:w="40" w:type="dxa"/>
              <w:left w:w="20" w:type="dxa"/>
              <w:bottom w:w="40" w:type="dxa"/>
              <w:right w:w="0" w:type="dxa"/>
            </w:tcMar>
            <w:vAlign w:val="bottom"/>
          </w:tcPr>
          <w:p w14:paraId="74DD707C" w14:textId="77777777" w:rsidR="00584EC1" w:rsidRDefault="00871F8D">
            <w:pPr>
              <w:jc w:val="right"/>
              <w:textAlignment w:val="bottom"/>
            </w:pPr>
            <w:r>
              <w:rPr>
                <w:rFonts w:ascii="Arial" w:eastAsia="宋体" w:hAnsi="Arial" w:cs="Arial"/>
                <w:b/>
                <w:bCs/>
                <w:color w:val="000000"/>
                <w:sz w:val="12"/>
                <w:szCs w:val="12"/>
              </w:rPr>
              <w:t>832</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707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07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07F" w14:textId="77777777" w:rsidR="00584EC1" w:rsidRDefault="00871F8D">
            <w:pPr>
              <w:jc w:val="right"/>
              <w:textAlignment w:val="bottom"/>
            </w:pPr>
            <w:r>
              <w:rPr>
                <w:rFonts w:ascii="Arial" w:eastAsia="宋体" w:hAnsi="Arial" w:cs="Arial"/>
                <w:b/>
                <w:bCs/>
                <w:color w:val="000000"/>
                <w:sz w:val="12"/>
                <w:szCs w:val="12"/>
              </w:rPr>
              <w:t>1</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708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08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082" w14:textId="77777777" w:rsidR="00584EC1" w:rsidRDefault="00871F8D">
            <w:pPr>
              <w:jc w:val="right"/>
              <w:textAlignment w:val="bottom"/>
            </w:pPr>
            <w:r>
              <w:rPr>
                <w:rFonts w:ascii="Arial" w:eastAsia="宋体" w:hAnsi="Arial" w:cs="Arial"/>
                <w:b/>
                <w:bCs/>
                <w:color w:val="000000"/>
                <w:sz w:val="12"/>
                <w:szCs w:val="12"/>
              </w:rPr>
              <w:t>.20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708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08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085" w14:textId="77777777" w:rsidR="00584EC1" w:rsidRDefault="00871F8D">
            <w:pPr>
              <w:jc w:val="right"/>
              <w:textAlignment w:val="bottom"/>
            </w:pPr>
            <w:r>
              <w:rPr>
                <w:rFonts w:ascii="Arial" w:eastAsia="宋体" w:hAnsi="Arial" w:cs="Arial"/>
                <w:color w:val="000000"/>
                <w:sz w:val="12"/>
                <w:szCs w:val="12"/>
              </w:rPr>
              <w:t>2,582 </w:t>
            </w:r>
          </w:p>
        </w:tc>
        <w:tc>
          <w:tcPr>
            <w:tcW w:w="0" w:type="auto"/>
            <w:shd w:val="clear" w:color="auto" w:fill="FFFFFF"/>
            <w:tcMar>
              <w:top w:w="40" w:type="dxa"/>
              <w:left w:w="0" w:type="dxa"/>
              <w:bottom w:w="40" w:type="dxa"/>
              <w:right w:w="20" w:type="dxa"/>
            </w:tcMar>
            <w:vAlign w:val="bottom"/>
          </w:tcPr>
          <w:p w14:paraId="74DD708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08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088" w14:textId="77777777" w:rsidR="00584EC1" w:rsidRDefault="00871F8D">
            <w:pPr>
              <w:jc w:val="right"/>
              <w:textAlignment w:val="bottom"/>
            </w:pPr>
            <w:r>
              <w:rPr>
                <w:rFonts w:ascii="Arial" w:eastAsia="宋体" w:hAnsi="Arial" w:cs="Arial"/>
                <w:color w:val="000000"/>
                <w:sz w:val="12"/>
                <w:szCs w:val="12"/>
              </w:rPr>
              <w:t>17 </w:t>
            </w:r>
          </w:p>
        </w:tc>
        <w:tc>
          <w:tcPr>
            <w:tcW w:w="0" w:type="auto"/>
            <w:shd w:val="clear" w:color="auto" w:fill="FFFFFF"/>
            <w:tcMar>
              <w:top w:w="40" w:type="dxa"/>
              <w:left w:w="0" w:type="dxa"/>
              <w:bottom w:w="40" w:type="dxa"/>
              <w:right w:w="20" w:type="dxa"/>
            </w:tcMar>
            <w:vAlign w:val="bottom"/>
          </w:tcPr>
          <w:p w14:paraId="74DD708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08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08B" w14:textId="77777777" w:rsidR="00584EC1" w:rsidRDefault="00871F8D">
            <w:pPr>
              <w:jc w:val="right"/>
              <w:textAlignment w:val="bottom"/>
            </w:pPr>
            <w:r>
              <w:rPr>
                <w:rFonts w:ascii="Arial" w:eastAsia="宋体" w:hAnsi="Arial" w:cs="Arial"/>
                <w:color w:val="000000"/>
                <w:sz w:val="12"/>
                <w:szCs w:val="12"/>
              </w:rPr>
              <w:t>.86 </w:t>
            </w:r>
          </w:p>
        </w:tc>
        <w:tc>
          <w:tcPr>
            <w:tcW w:w="0" w:type="auto"/>
            <w:shd w:val="clear" w:color="auto" w:fill="FFFFFF"/>
            <w:tcMar>
              <w:top w:w="40" w:type="dxa"/>
              <w:left w:w="0" w:type="dxa"/>
              <w:bottom w:w="40" w:type="dxa"/>
              <w:right w:w="20" w:type="dxa"/>
            </w:tcMar>
            <w:vAlign w:val="bottom"/>
          </w:tcPr>
          <w:p w14:paraId="74DD708C" w14:textId="77777777" w:rsidR="00584EC1" w:rsidRDefault="00584EC1">
            <w:pPr>
              <w:jc w:val="right"/>
              <w:rPr>
                <w:rFonts w:ascii="宋体"/>
              </w:rPr>
            </w:pPr>
          </w:p>
        </w:tc>
        <w:tc>
          <w:tcPr>
            <w:tcW w:w="0" w:type="auto"/>
            <w:shd w:val="clear" w:color="auto" w:fill="auto"/>
            <w:vAlign w:val="bottom"/>
          </w:tcPr>
          <w:p w14:paraId="74DD708D" w14:textId="77777777" w:rsidR="00584EC1" w:rsidRDefault="00584EC1">
            <w:pPr>
              <w:rPr>
                <w:rFonts w:ascii="宋体"/>
                <w:vanish/>
              </w:rPr>
            </w:pPr>
          </w:p>
        </w:tc>
        <w:tc>
          <w:tcPr>
            <w:tcW w:w="0" w:type="auto"/>
            <w:shd w:val="clear" w:color="auto" w:fill="auto"/>
            <w:vAlign w:val="bottom"/>
          </w:tcPr>
          <w:p w14:paraId="74DD708E" w14:textId="77777777" w:rsidR="00584EC1" w:rsidRDefault="00584EC1">
            <w:pPr>
              <w:rPr>
                <w:rFonts w:ascii="宋体"/>
                <w:vanish/>
              </w:rPr>
            </w:pPr>
          </w:p>
        </w:tc>
        <w:tc>
          <w:tcPr>
            <w:tcW w:w="0" w:type="auto"/>
            <w:shd w:val="clear" w:color="auto" w:fill="auto"/>
            <w:vAlign w:val="bottom"/>
          </w:tcPr>
          <w:p w14:paraId="74DD708F" w14:textId="77777777" w:rsidR="00584EC1" w:rsidRDefault="00584EC1">
            <w:pPr>
              <w:rPr>
                <w:rFonts w:ascii="宋体"/>
                <w:vanish/>
              </w:rPr>
            </w:pPr>
          </w:p>
        </w:tc>
        <w:tc>
          <w:tcPr>
            <w:tcW w:w="0" w:type="auto"/>
            <w:shd w:val="clear" w:color="auto" w:fill="auto"/>
            <w:vAlign w:val="bottom"/>
          </w:tcPr>
          <w:p w14:paraId="74DD7090" w14:textId="77777777" w:rsidR="00584EC1" w:rsidRDefault="00584EC1">
            <w:pPr>
              <w:rPr>
                <w:rFonts w:ascii="宋体"/>
                <w:vanish/>
              </w:rPr>
            </w:pPr>
          </w:p>
        </w:tc>
        <w:tc>
          <w:tcPr>
            <w:tcW w:w="0" w:type="auto"/>
            <w:gridSpan w:val="3"/>
            <w:shd w:val="clear" w:color="auto" w:fill="auto"/>
            <w:vAlign w:val="bottom"/>
          </w:tcPr>
          <w:p w14:paraId="74DD7091" w14:textId="77777777" w:rsidR="00584EC1" w:rsidRDefault="00584EC1">
            <w:pPr>
              <w:rPr>
                <w:rFonts w:ascii="宋体"/>
                <w:vanish/>
              </w:rPr>
            </w:pPr>
          </w:p>
        </w:tc>
        <w:tc>
          <w:tcPr>
            <w:tcW w:w="0" w:type="auto"/>
            <w:gridSpan w:val="3"/>
            <w:shd w:val="clear" w:color="auto" w:fill="auto"/>
            <w:vAlign w:val="bottom"/>
          </w:tcPr>
          <w:p w14:paraId="74DD7092" w14:textId="77777777" w:rsidR="00584EC1" w:rsidRDefault="00584EC1">
            <w:pPr>
              <w:rPr>
                <w:rFonts w:ascii="宋体"/>
                <w:vanish/>
              </w:rPr>
            </w:pPr>
          </w:p>
        </w:tc>
        <w:tc>
          <w:tcPr>
            <w:tcW w:w="0" w:type="auto"/>
            <w:gridSpan w:val="3"/>
            <w:shd w:val="clear" w:color="auto" w:fill="auto"/>
            <w:vAlign w:val="bottom"/>
          </w:tcPr>
          <w:p w14:paraId="74DD7093" w14:textId="77777777" w:rsidR="00584EC1" w:rsidRDefault="00584EC1">
            <w:pPr>
              <w:rPr>
                <w:rFonts w:ascii="宋体"/>
                <w:vanish/>
              </w:rPr>
            </w:pPr>
          </w:p>
        </w:tc>
        <w:tc>
          <w:tcPr>
            <w:tcW w:w="0" w:type="auto"/>
            <w:gridSpan w:val="3"/>
            <w:shd w:val="clear" w:color="auto" w:fill="auto"/>
            <w:vAlign w:val="bottom"/>
          </w:tcPr>
          <w:p w14:paraId="74DD7094" w14:textId="77777777" w:rsidR="00584EC1" w:rsidRDefault="00584EC1">
            <w:pPr>
              <w:rPr>
                <w:rFonts w:ascii="宋体"/>
                <w:vanish/>
              </w:rPr>
            </w:pPr>
          </w:p>
        </w:tc>
        <w:tc>
          <w:tcPr>
            <w:tcW w:w="0" w:type="auto"/>
            <w:gridSpan w:val="2"/>
            <w:shd w:val="clear" w:color="auto" w:fill="auto"/>
            <w:vAlign w:val="bottom"/>
          </w:tcPr>
          <w:p w14:paraId="74DD7095" w14:textId="77777777" w:rsidR="00584EC1" w:rsidRDefault="00584EC1">
            <w:pPr>
              <w:rPr>
                <w:rFonts w:ascii="宋体"/>
                <w:vanish/>
              </w:rPr>
            </w:pPr>
          </w:p>
        </w:tc>
        <w:tc>
          <w:tcPr>
            <w:tcW w:w="0" w:type="auto"/>
            <w:shd w:val="clear" w:color="auto" w:fill="auto"/>
            <w:vAlign w:val="bottom"/>
          </w:tcPr>
          <w:p w14:paraId="74DD7096" w14:textId="77777777" w:rsidR="00584EC1" w:rsidRDefault="00584EC1">
            <w:pPr>
              <w:rPr>
                <w:rFonts w:ascii="宋体"/>
                <w:vanish/>
              </w:rPr>
            </w:pPr>
          </w:p>
        </w:tc>
      </w:tr>
      <w:tr w:rsidR="00584EC1" w14:paraId="74DD70B4" w14:textId="77777777">
        <w:tc>
          <w:tcPr>
            <w:tcW w:w="0" w:type="auto"/>
            <w:gridSpan w:val="3"/>
            <w:shd w:val="clear" w:color="auto" w:fill="CCEEFF"/>
            <w:tcMar>
              <w:top w:w="40" w:type="dxa"/>
              <w:left w:w="20" w:type="dxa"/>
              <w:bottom w:w="40" w:type="dxa"/>
              <w:right w:w="20" w:type="dxa"/>
            </w:tcMar>
            <w:vAlign w:val="bottom"/>
          </w:tcPr>
          <w:p w14:paraId="74DD7098" w14:textId="77777777" w:rsidR="00584EC1" w:rsidRDefault="00871F8D">
            <w:pPr>
              <w:textAlignment w:val="bottom"/>
            </w:pPr>
            <w:r>
              <w:rPr>
                <w:rFonts w:ascii="Arial" w:eastAsia="宋体" w:hAnsi="Arial" w:cs="Arial"/>
                <w:color w:val="000000"/>
                <w:sz w:val="12"/>
                <w:szCs w:val="12"/>
              </w:rPr>
              <w:t>Long-term debt</w:t>
            </w:r>
          </w:p>
        </w:tc>
        <w:tc>
          <w:tcPr>
            <w:tcW w:w="0" w:type="auto"/>
            <w:gridSpan w:val="2"/>
            <w:shd w:val="clear" w:color="auto" w:fill="CCEEFF"/>
            <w:tcMar>
              <w:top w:w="40" w:type="dxa"/>
              <w:left w:w="20" w:type="dxa"/>
              <w:bottom w:w="40" w:type="dxa"/>
              <w:right w:w="0" w:type="dxa"/>
            </w:tcMar>
            <w:vAlign w:val="bottom"/>
          </w:tcPr>
          <w:p w14:paraId="74DD7099" w14:textId="77777777" w:rsidR="00584EC1" w:rsidRDefault="00871F8D">
            <w:pPr>
              <w:jc w:val="right"/>
              <w:textAlignment w:val="bottom"/>
            </w:pPr>
            <w:r>
              <w:rPr>
                <w:rFonts w:ascii="Arial" w:eastAsia="宋体" w:hAnsi="Arial" w:cs="Arial"/>
                <w:b/>
                <w:bCs/>
                <w:color w:val="000000"/>
                <w:sz w:val="12"/>
                <w:szCs w:val="12"/>
              </w:rPr>
              <w:t>13,43</w:t>
            </w:r>
            <w:r>
              <w:rPr>
                <w:rFonts w:ascii="Arial" w:eastAsia="宋体" w:hAnsi="Arial" w:cs="Arial"/>
                <w:b/>
                <w:bCs/>
                <w:color w:val="000000"/>
                <w:sz w:val="12"/>
                <w:szCs w:val="12"/>
              </w:rPr>
              <w:t>1</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709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09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709C" w14:textId="77777777" w:rsidR="00584EC1" w:rsidRDefault="00871F8D">
            <w:pPr>
              <w:jc w:val="right"/>
              <w:textAlignment w:val="bottom"/>
            </w:pPr>
            <w:r>
              <w:rPr>
                <w:rFonts w:ascii="Arial" w:eastAsia="宋体" w:hAnsi="Arial" w:cs="Arial"/>
                <w:b/>
                <w:bCs/>
                <w:color w:val="000000"/>
                <w:sz w:val="12"/>
                <w:szCs w:val="12"/>
              </w:rPr>
              <w:t>165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709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09E"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709F" w14:textId="77777777" w:rsidR="00584EC1" w:rsidRDefault="00871F8D">
            <w:pPr>
              <w:jc w:val="right"/>
              <w:textAlignment w:val="bottom"/>
            </w:pPr>
            <w:r>
              <w:rPr>
                <w:rFonts w:ascii="Arial" w:eastAsia="宋体" w:hAnsi="Arial" w:cs="Arial"/>
                <w:b/>
                <w:bCs/>
                <w:color w:val="000000"/>
                <w:sz w:val="12"/>
                <w:szCs w:val="12"/>
              </w:rPr>
              <w:t>1.64</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70A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0A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70A2" w14:textId="77777777" w:rsidR="00584EC1" w:rsidRDefault="00871F8D">
            <w:pPr>
              <w:jc w:val="right"/>
              <w:textAlignment w:val="bottom"/>
            </w:pPr>
            <w:r>
              <w:rPr>
                <w:rFonts w:ascii="Arial" w:eastAsia="宋体" w:hAnsi="Arial" w:cs="Arial"/>
                <w:color w:val="000000"/>
                <w:sz w:val="12"/>
                <w:szCs w:val="12"/>
              </w:rPr>
              <w:t>14,553 </w:t>
            </w:r>
          </w:p>
        </w:tc>
        <w:tc>
          <w:tcPr>
            <w:tcW w:w="0" w:type="auto"/>
            <w:shd w:val="clear" w:color="auto" w:fill="CCEEFF"/>
            <w:tcMar>
              <w:top w:w="40" w:type="dxa"/>
              <w:left w:w="0" w:type="dxa"/>
              <w:bottom w:w="40" w:type="dxa"/>
              <w:right w:w="20" w:type="dxa"/>
            </w:tcMar>
            <w:vAlign w:val="bottom"/>
          </w:tcPr>
          <w:p w14:paraId="74DD70A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0A4"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70A5" w14:textId="77777777" w:rsidR="00584EC1" w:rsidRDefault="00871F8D">
            <w:pPr>
              <w:jc w:val="right"/>
              <w:textAlignment w:val="bottom"/>
            </w:pPr>
            <w:r>
              <w:rPr>
                <w:rFonts w:ascii="Arial" w:eastAsia="宋体" w:hAnsi="Arial" w:cs="Arial"/>
                <w:color w:val="000000"/>
                <w:sz w:val="12"/>
                <w:szCs w:val="12"/>
              </w:rPr>
              <w:t>252 </w:t>
            </w:r>
          </w:p>
        </w:tc>
        <w:tc>
          <w:tcPr>
            <w:tcW w:w="0" w:type="auto"/>
            <w:shd w:val="clear" w:color="auto" w:fill="CCEEFF"/>
            <w:tcMar>
              <w:top w:w="40" w:type="dxa"/>
              <w:left w:w="0" w:type="dxa"/>
              <w:bottom w:w="40" w:type="dxa"/>
              <w:right w:w="20" w:type="dxa"/>
            </w:tcMar>
            <w:vAlign w:val="bottom"/>
          </w:tcPr>
          <w:p w14:paraId="74DD70A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0A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70A8" w14:textId="77777777" w:rsidR="00584EC1" w:rsidRDefault="00871F8D">
            <w:pPr>
              <w:jc w:val="right"/>
              <w:textAlignment w:val="bottom"/>
            </w:pPr>
            <w:r>
              <w:rPr>
                <w:rFonts w:ascii="Arial" w:eastAsia="宋体" w:hAnsi="Arial" w:cs="Arial"/>
                <w:color w:val="000000"/>
                <w:sz w:val="12"/>
                <w:szCs w:val="12"/>
              </w:rPr>
              <w:t>2.31 </w:t>
            </w:r>
          </w:p>
        </w:tc>
        <w:tc>
          <w:tcPr>
            <w:tcW w:w="0" w:type="auto"/>
            <w:shd w:val="clear" w:color="auto" w:fill="CCEEFF"/>
            <w:tcMar>
              <w:top w:w="40" w:type="dxa"/>
              <w:left w:w="0" w:type="dxa"/>
              <w:bottom w:w="40" w:type="dxa"/>
              <w:right w:w="20" w:type="dxa"/>
            </w:tcMar>
            <w:vAlign w:val="bottom"/>
          </w:tcPr>
          <w:p w14:paraId="74DD70A9" w14:textId="77777777" w:rsidR="00584EC1" w:rsidRDefault="00584EC1">
            <w:pPr>
              <w:jc w:val="right"/>
              <w:rPr>
                <w:rFonts w:ascii="宋体"/>
              </w:rPr>
            </w:pPr>
          </w:p>
        </w:tc>
        <w:tc>
          <w:tcPr>
            <w:tcW w:w="0" w:type="auto"/>
            <w:shd w:val="clear" w:color="auto" w:fill="auto"/>
            <w:vAlign w:val="bottom"/>
          </w:tcPr>
          <w:p w14:paraId="74DD70AA" w14:textId="77777777" w:rsidR="00584EC1" w:rsidRDefault="00584EC1">
            <w:pPr>
              <w:rPr>
                <w:rFonts w:ascii="宋体"/>
                <w:vanish/>
              </w:rPr>
            </w:pPr>
          </w:p>
        </w:tc>
        <w:tc>
          <w:tcPr>
            <w:tcW w:w="0" w:type="auto"/>
            <w:shd w:val="clear" w:color="auto" w:fill="auto"/>
            <w:vAlign w:val="bottom"/>
          </w:tcPr>
          <w:p w14:paraId="74DD70AB" w14:textId="77777777" w:rsidR="00584EC1" w:rsidRDefault="00584EC1">
            <w:pPr>
              <w:rPr>
                <w:rFonts w:ascii="宋体"/>
                <w:vanish/>
              </w:rPr>
            </w:pPr>
          </w:p>
        </w:tc>
        <w:tc>
          <w:tcPr>
            <w:tcW w:w="0" w:type="auto"/>
            <w:shd w:val="clear" w:color="auto" w:fill="auto"/>
            <w:vAlign w:val="bottom"/>
          </w:tcPr>
          <w:p w14:paraId="74DD70AC" w14:textId="77777777" w:rsidR="00584EC1" w:rsidRDefault="00584EC1">
            <w:pPr>
              <w:rPr>
                <w:rFonts w:ascii="宋体"/>
                <w:vanish/>
              </w:rPr>
            </w:pPr>
          </w:p>
        </w:tc>
        <w:tc>
          <w:tcPr>
            <w:tcW w:w="0" w:type="auto"/>
            <w:shd w:val="clear" w:color="auto" w:fill="auto"/>
            <w:vAlign w:val="bottom"/>
          </w:tcPr>
          <w:p w14:paraId="74DD70AD" w14:textId="77777777" w:rsidR="00584EC1" w:rsidRDefault="00584EC1">
            <w:pPr>
              <w:rPr>
                <w:rFonts w:ascii="宋体"/>
                <w:vanish/>
              </w:rPr>
            </w:pPr>
          </w:p>
        </w:tc>
        <w:tc>
          <w:tcPr>
            <w:tcW w:w="0" w:type="auto"/>
            <w:gridSpan w:val="3"/>
            <w:shd w:val="clear" w:color="auto" w:fill="auto"/>
            <w:vAlign w:val="bottom"/>
          </w:tcPr>
          <w:p w14:paraId="74DD70AE" w14:textId="77777777" w:rsidR="00584EC1" w:rsidRDefault="00584EC1">
            <w:pPr>
              <w:rPr>
                <w:rFonts w:ascii="宋体"/>
                <w:vanish/>
              </w:rPr>
            </w:pPr>
          </w:p>
        </w:tc>
        <w:tc>
          <w:tcPr>
            <w:tcW w:w="0" w:type="auto"/>
            <w:gridSpan w:val="3"/>
            <w:shd w:val="clear" w:color="auto" w:fill="auto"/>
            <w:vAlign w:val="bottom"/>
          </w:tcPr>
          <w:p w14:paraId="74DD70AF" w14:textId="77777777" w:rsidR="00584EC1" w:rsidRDefault="00584EC1">
            <w:pPr>
              <w:rPr>
                <w:rFonts w:ascii="宋体"/>
                <w:vanish/>
              </w:rPr>
            </w:pPr>
          </w:p>
        </w:tc>
        <w:tc>
          <w:tcPr>
            <w:tcW w:w="0" w:type="auto"/>
            <w:gridSpan w:val="3"/>
            <w:shd w:val="clear" w:color="auto" w:fill="auto"/>
            <w:vAlign w:val="bottom"/>
          </w:tcPr>
          <w:p w14:paraId="74DD70B0" w14:textId="77777777" w:rsidR="00584EC1" w:rsidRDefault="00584EC1">
            <w:pPr>
              <w:rPr>
                <w:rFonts w:ascii="宋体"/>
                <w:vanish/>
              </w:rPr>
            </w:pPr>
          </w:p>
        </w:tc>
        <w:tc>
          <w:tcPr>
            <w:tcW w:w="0" w:type="auto"/>
            <w:gridSpan w:val="3"/>
            <w:shd w:val="clear" w:color="auto" w:fill="auto"/>
            <w:vAlign w:val="bottom"/>
          </w:tcPr>
          <w:p w14:paraId="74DD70B1" w14:textId="77777777" w:rsidR="00584EC1" w:rsidRDefault="00584EC1">
            <w:pPr>
              <w:rPr>
                <w:rFonts w:ascii="宋体"/>
                <w:vanish/>
              </w:rPr>
            </w:pPr>
          </w:p>
        </w:tc>
        <w:tc>
          <w:tcPr>
            <w:tcW w:w="0" w:type="auto"/>
            <w:gridSpan w:val="2"/>
            <w:shd w:val="clear" w:color="auto" w:fill="auto"/>
            <w:vAlign w:val="bottom"/>
          </w:tcPr>
          <w:p w14:paraId="74DD70B2" w14:textId="77777777" w:rsidR="00584EC1" w:rsidRDefault="00584EC1">
            <w:pPr>
              <w:rPr>
                <w:rFonts w:ascii="宋体"/>
                <w:vanish/>
              </w:rPr>
            </w:pPr>
          </w:p>
        </w:tc>
        <w:tc>
          <w:tcPr>
            <w:tcW w:w="0" w:type="auto"/>
            <w:shd w:val="clear" w:color="auto" w:fill="auto"/>
            <w:vAlign w:val="bottom"/>
          </w:tcPr>
          <w:p w14:paraId="74DD70B3" w14:textId="77777777" w:rsidR="00584EC1" w:rsidRDefault="00584EC1">
            <w:pPr>
              <w:rPr>
                <w:rFonts w:ascii="宋体"/>
                <w:vanish/>
              </w:rPr>
            </w:pPr>
          </w:p>
        </w:tc>
      </w:tr>
      <w:tr w:rsidR="00584EC1" w14:paraId="74DD70D1" w14:textId="77777777">
        <w:tc>
          <w:tcPr>
            <w:tcW w:w="0" w:type="auto"/>
            <w:gridSpan w:val="3"/>
            <w:shd w:val="clear" w:color="auto" w:fill="FFFFFF"/>
            <w:tcMar>
              <w:top w:w="40" w:type="dxa"/>
              <w:left w:w="20" w:type="dxa"/>
              <w:bottom w:w="40" w:type="dxa"/>
              <w:right w:w="20" w:type="dxa"/>
            </w:tcMar>
            <w:vAlign w:val="bottom"/>
          </w:tcPr>
          <w:p w14:paraId="74DD70B5" w14:textId="77777777" w:rsidR="00584EC1" w:rsidRDefault="00871F8D">
            <w:pPr>
              <w:textAlignment w:val="bottom"/>
            </w:pPr>
            <w:r>
              <w:rPr>
                <w:rFonts w:ascii="Arial" w:eastAsia="宋体" w:hAnsi="Arial" w:cs="Arial"/>
                <w:color w:val="000000"/>
                <w:sz w:val="12"/>
                <w:szCs w:val="12"/>
              </w:rPr>
              <w:t>Other interest-bearing liabilities</w:t>
            </w:r>
          </w:p>
        </w:tc>
        <w:tc>
          <w:tcPr>
            <w:tcW w:w="0" w:type="auto"/>
            <w:gridSpan w:val="2"/>
            <w:shd w:val="clear" w:color="auto" w:fill="FFFFFF"/>
            <w:tcMar>
              <w:top w:w="40" w:type="dxa"/>
              <w:left w:w="20" w:type="dxa"/>
              <w:bottom w:w="40" w:type="dxa"/>
              <w:right w:w="0" w:type="dxa"/>
            </w:tcMar>
            <w:vAlign w:val="bottom"/>
          </w:tcPr>
          <w:p w14:paraId="74DD70B6" w14:textId="77777777" w:rsidR="00584EC1" w:rsidRDefault="00871F8D">
            <w:pPr>
              <w:jc w:val="right"/>
              <w:textAlignment w:val="bottom"/>
            </w:pPr>
            <w:r>
              <w:rPr>
                <w:rFonts w:ascii="Arial" w:eastAsia="宋体" w:hAnsi="Arial" w:cs="Arial"/>
                <w:b/>
                <w:bCs/>
                <w:color w:val="000000"/>
                <w:sz w:val="12"/>
                <w:szCs w:val="12"/>
              </w:rPr>
              <w:t>5,332</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70B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0B8"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0B9" w14:textId="77777777" w:rsidR="00584EC1" w:rsidRDefault="00871F8D">
            <w:pPr>
              <w:jc w:val="right"/>
              <w:textAlignment w:val="bottom"/>
            </w:pPr>
            <w:r>
              <w:rPr>
                <w:rFonts w:ascii="Arial" w:eastAsia="宋体" w:hAnsi="Arial" w:cs="Arial"/>
                <w:b/>
                <w:bCs/>
                <w:color w:val="000000"/>
                <w:sz w:val="12"/>
                <w:szCs w:val="12"/>
              </w:rPr>
              <w:t>30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70B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0BB"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0BC" w14:textId="77777777" w:rsidR="00584EC1" w:rsidRDefault="00871F8D">
            <w:pPr>
              <w:jc w:val="right"/>
              <w:textAlignment w:val="bottom"/>
            </w:pPr>
            <w:r>
              <w:rPr>
                <w:rFonts w:ascii="Arial" w:eastAsia="宋体" w:hAnsi="Arial" w:cs="Arial"/>
                <w:b/>
                <w:bCs/>
                <w:color w:val="000000"/>
                <w:sz w:val="12"/>
                <w:szCs w:val="12"/>
              </w:rPr>
              <w:t>.77</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70B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0B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0BF" w14:textId="77777777" w:rsidR="00584EC1" w:rsidRDefault="00871F8D">
            <w:pPr>
              <w:jc w:val="right"/>
              <w:textAlignment w:val="bottom"/>
            </w:pPr>
            <w:r>
              <w:rPr>
                <w:rFonts w:ascii="Arial" w:eastAsia="宋体" w:hAnsi="Arial" w:cs="Arial"/>
                <w:color w:val="000000"/>
                <w:sz w:val="12"/>
                <w:szCs w:val="12"/>
              </w:rPr>
              <w:t>3,217 </w:t>
            </w:r>
          </w:p>
        </w:tc>
        <w:tc>
          <w:tcPr>
            <w:tcW w:w="0" w:type="auto"/>
            <w:shd w:val="clear" w:color="auto" w:fill="FFFFFF"/>
            <w:tcMar>
              <w:top w:w="40" w:type="dxa"/>
              <w:left w:w="0" w:type="dxa"/>
              <w:bottom w:w="40" w:type="dxa"/>
              <w:right w:w="20" w:type="dxa"/>
            </w:tcMar>
            <w:vAlign w:val="bottom"/>
          </w:tcPr>
          <w:p w14:paraId="74DD70C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0C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0C2" w14:textId="77777777" w:rsidR="00584EC1" w:rsidRDefault="00871F8D">
            <w:pPr>
              <w:jc w:val="right"/>
              <w:textAlignment w:val="bottom"/>
            </w:pPr>
            <w:r>
              <w:rPr>
                <w:rFonts w:ascii="Arial" w:eastAsia="宋体" w:hAnsi="Arial" w:cs="Arial"/>
                <w:color w:val="000000"/>
                <w:sz w:val="12"/>
                <w:szCs w:val="12"/>
              </w:rPr>
              <w:t>49 </w:t>
            </w:r>
          </w:p>
        </w:tc>
        <w:tc>
          <w:tcPr>
            <w:tcW w:w="0" w:type="auto"/>
            <w:shd w:val="clear" w:color="auto" w:fill="FFFFFF"/>
            <w:tcMar>
              <w:top w:w="40" w:type="dxa"/>
              <w:left w:w="0" w:type="dxa"/>
              <w:bottom w:w="40" w:type="dxa"/>
              <w:right w:w="20" w:type="dxa"/>
            </w:tcMar>
            <w:vAlign w:val="bottom"/>
          </w:tcPr>
          <w:p w14:paraId="74DD70C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0C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0C5" w14:textId="77777777" w:rsidR="00584EC1" w:rsidRDefault="00871F8D">
            <w:pPr>
              <w:jc w:val="right"/>
              <w:textAlignment w:val="bottom"/>
            </w:pPr>
            <w:r>
              <w:rPr>
                <w:rFonts w:ascii="Arial" w:eastAsia="宋体" w:hAnsi="Arial" w:cs="Arial"/>
                <w:color w:val="000000"/>
                <w:sz w:val="12"/>
                <w:szCs w:val="12"/>
              </w:rPr>
              <w:t>2.01 </w:t>
            </w:r>
          </w:p>
        </w:tc>
        <w:tc>
          <w:tcPr>
            <w:tcW w:w="0" w:type="auto"/>
            <w:shd w:val="clear" w:color="auto" w:fill="FFFFFF"/>
            <w:tcMar>
              <w:top w:w="40" w:type="dxa"/>
              <w:left w:w="0" w:type="dxa"/>
              <w:bottom w:w="40" w:type="dxa"/>
              <w:right w:w="20" w:type="dxa"/>
            </w:tcMar>
            <w:vAlign w:val="bottom"/>
          </w:tcPr>
          <w:p w14:paraId="74DD70C6" w14:textId="77777777" w:rsidR="00584EC1" w:rsidRDefault="00584EC1">
            <w:pPr>
              <w:jc w:val="right"/>
              <w:rPr>
                <w:rFonts w:ascii="宋体"/>
              </w:rPr>
            </w:pPr>
          </w:p>
        </w:tc>
        <w:tc>
          <w:tcPr>
            <w:tcW w:w="0" w:type="auto"/>
            <w:shd w:val="clear" w:color="auto" w:fill="auto"/>
            <w:vAlign w:val="bottom"/>
          </w:tcPr>
          <w:p w14:paraId="74DD70C7" w14:textId="77777777" w:rsidR="00584EC1" w:rsidRDefault="00584EC1">
            <w:pPr>
              <w:rPr>
                <w:rFonts w:ascii="宋体"/>
                <w:vanish/>
              </w:rPr>
            </w:pPr>
          </w:p>
        </w:tc>
        <w:tc>
          <w:tcPr>
            <w:tcW w:w="0" w:type="auto"/>
            <w:shd w:val="clear" w:color="auto" w:fill="auto"/>
            <w:vAlign w:val="bottom"/>
          </w:tcPr>
          <w:p w14:paraId="74DD70C8" w14:textId="77777777" w:rsidR="00584EC1" w:rsidRDefault="00584EC1">
            <w:pPr>
              <w:rPr>
                <w:rFonts w:ascii="宋体"/>
                <w:vanish/>
              </w:rPr>
            </w:pPr>
          </w:p>
        </w:tc>
        <w:tc>
          <w:tcPr>
            <w:tcW w:w="0" w:type="auto"/>
            <w:shd w:val="clear" w:color="auto" w:fill="auto"/>
            <w:vAlign w:val="bottom"/>
          </w:tcPr>
          <w:p w14:paraId="74DD70C9" w14:textId="77777777" w:rsidR="00584EC1" w:rsidRDefault="00584EC1">
            <w:pPr>
              <w:rPr>
                <w:rFonts w:ascii="宋体"/>
                <w:vanish/>
              </w:rPr>
            </w:pPr>
          </w:p>
        </w:tc>
        <w:tc>
          <w:tcPr>
            <w:tcW w:w="0" w:type="auto"/>
            <w:shd w:val="clear" w:color="auto" w:fill="auto"/>
            <w:vAlign w:val="bottom"/>
          </w:tcPr>
          <w:p w14:paraId="74DD70CA" w14:textId="77777777" w:rsidR="00584EC1" w:rsidRDefault="00584EC1">
            <w:pPr>
              <w:rPr>
                <w:rFonts w:ascii="宋体"/>
                <w:vanish/>
              </w:rPr>
            </w:pPr>
          </w:p>
        </w:tc>
        <w:tc>
          <w:tcPr>
            <w:tcW w:w="0" w:type="auto"/>
            <w:gridSpan w:val="3"/>
            <w:shd w:val="clear" w:color="auto" w:fill="auto"/>
            <w:vAlign w:val="bottom"/>
          </w:tcPr>
          <w:p w14:paraId="74DD70CB" w14:textId="77777777" w:rsidR="00584EC1" w:rsidRDefault="00584EC1">
            <w:pPr>
              <w:rPr>
                <w:rFonts w:ascii="宋体"/>
                <w:vanish/>
              </w:rPr>
            </w:pPr>
          </w:p>
        </w:tc>
        <w:tc>
          <w:tcPr>
            <w:tcW w:w="0" w:type="auto"/>
            <w:gridSpan w:val="3"/>
            <w:shd w:val="clear" w:color="auto" w:fill="auto"/>
            <w:vAlign w:val="bottom"/>
          </w:tcPr>
          <w:p w14:paraId="74DD70CC" w14:textId="77777777" w:rsidR="00584EC1" w:rsidRDefault="00584EC1">
            <w:pPr>
              <w:rPr>
                <w:rFonts w:ascii="宋体"/>
                <w:vanish/>
              </w:rPr>
            </w:pPr>
          </w:p>
        </w:tc>
        <w:tc>
          <w:tcPr>
            <w:tcW w:w="0" w:type="auto"/>
            <w:gridSpan w:val="3"/>
            <w:shd w:val="clear" w:color="auto" w:fill="auto"/>
            <w:vAlign w:val="bottom"/>
          </w:tcPr>
          <w:p w14:paraId="74DD70CD" w14:textId="77777777" w:rsidR="00584EC1" w:rsidRDefault="00584EC1">
            <w:pPr>
              <w:rPr>
                <w:rFonts w:ascii="宋体"/>
                <w:vanish/>
              </w:rPr>
            </w:pPr>
          </w:p>
        </w:tc>
        <w:tc>
          <w:tcPr>
            <w:tcW w:w="0" w:type="auto"/>
            <w:gridSpan w:val="3"/>
            <w:shd w:val="clear" w:color="auto" w:fill="auto"/>
            <w:vAlign w:val="bottom"/>
          </w:tcPr>
          <w:p w14:paraId="74DD70CE" w14:textId="77777777" w:rsidR="00584EC1" w:rsidRDefault="00584EC1">
            <w:pPr>
              <w:rPr>
                <w:rFonts w:ascii="宋体"/>
                <w:vanish/>
              </w:rPr>
            </w:pPr>
          </w:p>
        </w:tc>
        <w:tc>
          <w:tcPr>
            <w:tcW w:w="0" w:type="auto"/>
            <w:gridSpan w:val="2"/>
            <w:shd w:val="clear" w:color="auto" w:fill="auto"/>
            <w:vAlign w:val="bottom"/>
          </w:tcPr>
          <w:p w14:paraId="74DD70CF" w14:textId="77777777" w:rsidR="00584EC1" w:rsidRDefault="00584EC1">
            <w:pPr>
              <w:rPr>
                <w:rFonts w:ascii="宋体"/>
                <w:vanish/>
              </w:rPr>
            </w:pPr>
          </w:p>
        </w:tc>
        <w:tc>
          <w:tcPr>
            <w:tcW w:w="0" w:type="auto"/>
            <w:shd w:val="clear" w:color="auto" w:fill="auto"/>
            <w:vAlign w:val="bottom"/>
          </w:tcPr>
          <w:p w14:paraId="74DD70D0" w14:textId="77777777" w:rsidR="00584EC1" w:rsidRDefault="00584EC1">
            <w:pPr>
              <w:rPr>
                <w:rFonts w:ascii="宋体"/>
                <w:vanish/>
              </w:rPr>
            </w:pPr>
          </w:p>
        </w:tc>
      </w:tr>
      <w:tr w:rsidR="00584EC1" w14:paraId="74DD70F2" w14:textId="77777777">
        <w:tc>
          <w:tcPr>
            <w:tcW w:w="0" w:type="auto"/>
            <w:gridSpan w:val="3"/>
            <w:shd w:val="clear" w:color="auto" w:fill="CCEEFF"/>
            <w:tcMar>
              <w:top w:w="40" w:type="dxa"/>
              <w:left w:w="20" w:type="dxa"/>
              <w:bottom w:w="40" w:type="dxa"/>
              <w:right w:w="20" w:type="dxa"/>
            </w:tcMar>
            <w:vAlign w:val="bottom"/>
          </w:tcPr>
          <w:p w14:paraId="74DD70D2" w14:textId="77777777" w:rsidR="00584EC1" w:rsidRDefault="00871F8D">
            <w:pPr>
              <w:textAlignment w:val="bottom"/>
            </w:pPr>
            <w:r>
              <w:rPr>
                <w:rFonts w:ascii="Arial" w:eastAsia="宋体" w:hAnsi="Arial" w:cs="Arial"/>
                <w:color w:val="000000"/>
                <w:sz w:val="12"/>
                <w:szCs w:val="12"/>
              </w:rPr>
              <w:t>Average total interest-bearing liabilities</w:t>
            </w:r>
          </w:p>
        </w:tc>
        <w:tc>
          <w:tcPr>
            <w:tcW w:w="0" w:type="auto"/>
            <w:tcBorders>
              <w:top w:val="single" w:sz="8" w:space="0" w:color="000000"/>
            </w:tcBorders>
            <w:shd w:val="clear" w:color="auto" w:fill="CCEEFF"/>
            <w:tcMar>
              <w:top w:w="40" w:type="dxa"/>
              <w:left w:w="20" w:type="dxa"/>
              <w:bottom w:w="40" w:type="dxa"/>
              <w:right w:w="0" w:type="dxa"/>
            </w:tcMar>
            <w:vAlign w:val="bottom"/>
          </w:tcPr>
          <w:p w14:paraId="74DD70D3"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70D4" w14:textId="77777777" w:rsidR="00584EC1" w:rsidRDefault="00871F8D">
            <w:pPr>
              <w:jc w:val="right"/>
              <w:textAlignment w:val="bottom"/>
            </w:pPr>
            <w:r>
              <w:rPr>
                <w:rFonts w:ascii="Arial" w:eastAsia="宋体" w:hAnsi="Arial" w:cs="Arial"/>
                <w:b/>
                <w:bCs/>
                <w:color w:val="000000"/>
                <w:sz w:val="12"/>
                <w:szCs w:val="12"/>
              </w:rPr>
              <w:t>207,22</w:t>
            </w:r>
            <w:r>
              <w:rPr>
                <w:rFonts w:ascii="Arial" w:eastAsia="宋体" w:hAnsi="Arial" w:cs="Arial"/>
                <w:b/>
                <w:bCs/>
                <w:color w:val="000000"/>
                <w:sz w:val="12"/>
                <w:szCs w:val="12"/>
              </w:rPr>
              <w:t>6</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0D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0D6"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70D7"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70D8" w14:textId="77777777" w:rsidR="00584EC1" w:rsidRDefault="00871F8D">
            <w:pPr>
              <w:jc w:val="right"/>
              <w:textAlignment w:val="bottom"/>
            </w:pPr>
            <w:r>
              <w:rPr>
                <w:rFonts w:ascii="Arial" w:eastAsia="宋体" w:hAnsi="Arial" w:cs="Arial"/>
                <w:b/>
                <w:bCs/>
                <w:color w:val="000000"/>
                <w:sz w:val="12"/>
                <w:szCs w:val="12"/>
              </w:rPr>
              <w:t>4</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0D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0DA"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70DB"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70D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0DD"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70DE"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70DF" w14:textId="77777777" w:rsidR="00584EC1" w:rsidRDefault="00871F8D">
            <w:pPr>
              <w:jc w:val="right"/>
              <w:textAlignment w:val="bottom"/>
            </w:pPr>
            <w:r>
              <w:rPr>
                <w:rFonts w:ascii="Arial" w:eastAsia="宋体" w:hAnsi="Arial" w:cs="Arial"/>
                <w:color w:val="000000"/>
                <w:sz w:val="12"/>
                <w:szCs w:val="12"/>
              </w:rPr>
              <w:t>185,134 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0E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0E1"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70E2"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70E3" w14:textId="77777777" w:rsidR="00584EC1" w:rsidRDefault="00871F8D">
            <w:pPr>
              <w:jc w:val="right"/>
              <w:textAlignment w:val="bottom"/>
            </w:pPr>
            <w:r>
              <w:rPr>
                <w:rFonts w:ascii="Arial" w:eastAsia="宋体" w:hAnsi="Arial" w:cs="Arial"/>
                <w:color w:val="000000"/>
                <w:sz w:val="12"/>
                <w:szCs w:val="12"/>
              </w:rPr>
              <w:t>361 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0E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0E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70E6" w14:textId="77777777" w:rsidR="00584EC1" w:rsidRDefault="00871F8D">
            <w:pPr>
              <w:jc w:val="right"/>
              <w:textAlignment w:val="bottom"/>
            </w:pPr>
            <w:r>
              <w:rPr>
                <w:rFonts w:ascii="Arial" w:eastAsia="宋体" w:hAnsi="Arial" w:cs="Arial"/>
                <w:color w:val="000000"/>
                <w:sz w:val="12"/>
                <w:szCs w:val="12"/>
              </w:rPr>
              <w:t>.26 </w:t>
            </w:r>
          </w:p>
        </w:tc>
        <w:tc>
          <w:tcPr>
            <w:tcW w:w="0" w:type="auto"/>
            <w:shd w:val="clear" w:color="auto" w:fill="CCEEFF"/>
            <w:tcMar>
              <w:top w:w="40" w:type="dxa"/>
              <w:left w:w="0" w:type="dxa"/>
              <w:bottom w:w="40" w:type="dxa"/>
              <w:right w:w="20" w:type="dxa"/>
            </w:tcMar>
            <w:vAlign w:val="bottom"/>
          </w:tcPr>
          <w:p w14:paraId="74DD70E7" w14:textId="77777777" w:rsidR="00584EC1" w:rsidRDefault="00584EC1">
            <w:pPr>
              <w:jc w:val="right"/>
              <w:rPr>
                <w:rFonts w:ascii="宋体"/>
              </w:rPr>
            </w:pPr>
          </w:p>
        </w:tc>
        <w:tc>
          <w:tcPr>
            <w:tcW w:w="0" w:type="auto"/>
            <w:shd w:val="clear" w:color="auto" w:fill="auto"/>
            <w:vAlign w:val="bottom"/>
          </w:tcPr>
          <w:p w14:paraId="74DD70E8" w14:textId="77777777" w:rsidR="00584EC1" w:rsidRDefault="00584EC1">
            <w:pPr>
              <w:rPr>
                <w:rFonts w:ascii="宋体"/>
                <w:vanish/>
              </w:rPr>
            </w:pPr>
          </w:p>
        </w:tc>
        <w:tc>
          <w:tcPr>
            <w:tcW w:w="0" w:type="auto"/>
            <w:shd w:val="clear" w:color="auto" w:fill="auto"/>
            <w:vAlign w:val="bottom"/>
          </w:tcPr>
          <w:p w14:paraId="74DD70E9" w14:textId="77777777" w:rsidR="00584EC1" w:rsidRDefault="00584EC1">
            <w:pPr>
              <w:rPr>
                <w:rFonts w:ascii="宋体"/>
                <w:vanish/>
              </w:rPr>
            </w:pPr>
          </w:p>
        </w:tc>
        <w:tc>
          <w:tcPr>
            <w:tcW w:w="0" w:type="auto"/>
            <w:shd w:val="clear" w:color="auto" w:fill="auto"/>
            <w:vAlign w:val="bottom"/>
          </w:tcPr>
          <w:p w14:paraId="74DD70EA" w14:textId="77777777" w:rsidR="00584EC1" w:rsidRDefault="00584EC1">
            <w:pPr>
              <w:rPr>
                <w:rFonts w:ascii="宋体"/>
                <w:vanish/>
              </w:rPr>
            </w:pPr>
          </w:p>
        </w:tc>
        <w:tc>
          <w:tcPr>
            <w:tcW w:w="0" w:type="auto"/>
            <w:shd w:val="clear" w:color="auto" w:fill="auto"/>
            <w:vAlign w:val="bottom"/>
          </w:tcPr>
          <w:p w14:paraId="74DD70EB" w14:textId="77777777" w:rsidR="00584EC1" w:rsidRDefault="00584EC1">
            <w:pPr>
              <w:rPr>
                <w:rFonts w:ascii="宋体"/>
                <w:vanish/>
              </w:rPr>
            </w:pPr>
          </w:p>
        </w:tc>
        <w:tc>
          <w:tcPr>
            <w:tcW w:w="0" w:type="auto"/>
            <w:gridSpan w:val="3"/>
            <w:shd w:val="clear" w:color="auto" w:fill="auto"/>
            <w:vAlign w:val="bottom"/>
          </w:tcPr>
          <w:p w14:paraId="74DD70EC" w14:textId="77777777" w:rsidR="00584EC1" w:rsidRDefault="00584EC1">
            <w:pPr>
              <w:rPr>
                <w:rFonts w:ascii="宋体"/>
                <w:vanish/>
              </w:rPr>
            </w:pPr>
          </w:p>
        </w:tc>
        <w:tc>
          <w:tcPr>
            <w:tcW w:w="0" w:type="auto"/>
            <w:gridSpan w:val="3"/>
            <w:shd w:val="clear" w:color="auto" w:fill="auto"/>
            <w:vAlign w:val="bottom"/>
          </w:tcPr>
          <w:p w14:paraId="74DD70ED" w14:textId="77777777" w:rsidR="00584EC1" w:rsidRDefault="00584EC1">
            <w:pPr>
              <w:rPr>
                <w:rFonts w:ascii="宋体"/>
                <w:vanish/>
              </w:rPr>
            </w:pPr>
          </w:p>
        </w:tc>
        <w:tc>
          <w:tcPr>
            <w:tcW w:w="0" w:type="auto"/>
            <w:gridSpan w:val="3"/>
            <w:shd w:val="clear" w:color="auto" w:fill="auto"/>
            <w:vAlign w:val="bottom"/>
          </w:tcPr>
          <w:p w14:paraId="74DD70EE" w14:textId="77777777" w:rsidR="00584EC1" w:rsidRDefault="00584EC1">
            <w:pPr>
              <w:rPr>
                <w:rFonts w:ascii="宋体"/>
                <w:vanish/>
              </w:rPr>
            </w:pPr>
          </w:p>
        </w:tc>
        <w:tc>
          <w:tcPr>
            <w:tcW w:w="0" w:type="auto"/>
            <w:gridSpan w:val="3"/>
            <w:shd w:val="clear" w:color="auto" w:fill="auto"/>
            <w:vAlign w:val="bottom"/>
          </w:tcPr>
          <w:p w14:paraId="74DD70EF" w14:textId="77777777" w:rsidR="00584EC1" w:rsidRDefault="00584EC1">
            <w:pPr>
              <w:rPr>
                <w:rFonts w:ascii="宋体"/>
                <w:vanish/>
              </w:rPr>
            </w:pPr>
          </w:p>
        </w:tc>
        <w:tc>
          <w:tcPr>
            <w:tcW w:w="0" w:type="auto"/>
            <w:gridSpan w:val="2"/>
            <w:shd w:val="clear" w:color="auto" w:fill="auto"/>
            <w:vAlign w:val="bottom"/>
          </w:tcPr>
          <w:p w14:paraId="74DD70F0" w14:textId="77777777" w:rsidR="00584EC1" w:rsidRDefault="00584EC1">
            <w:pPr>
              <w:rPr>
                <w:rFonts w:ascii="宋体"/>
                <w:vanish/>
              </w:rPr>
            </w:pPr>
          </w:p>
        </w:tc>
        <w:tc>
          <w:tcPr>
            <w:tcW w:w="0" w:type="auto"/>
            <w:shd w:val="clear" w:color="auto" w:fill="auto"/>
            <w:vAlign w:val="bottom"/>
          </w:tcPr>
          <w:p w14:paraId="74DD70F1" w14:textId="77777777" w:rsidR="00584EC1" w:rsidRDefault="00584EC1">
            <w:pPr>
              <w:rPr>
                <w:rFonts w:ascii="宋体"/>
                <w:vanish/>
              </w:rPr>
            </w:pPr>
          </w:p>
        </w:tc>
      </w:tr>
      <w:tr w:rsidR="00584EC1" w14:paraId="74DD710B" w14:textId="77777777">
        <w:tc>
          <w:tcPr>
            <w:tcW w:w="0" w:type="auto"/>
            <w:gridSpan w:val="3"/>
            <w:shd w:val="clear" w:color="auto" w:fill="FFFFFF"/>
            <w:tcMar>
              <w:top w:w="40" w:type="dxa"/>
              <w:left w:w="20" w:type="dxa"/>
              <w:bottom w:w="40" w:type="dxa"/>
              <w:right w:w="20" w:type="dxa"/>
            </w:tcMar>
            <w:vAlign w:val="bottom"/>
          </w:tcPr>
          <w:p w14:paraId="74DD70F3" w14:textId="77777777" w:rsidR="00584EC1" w:rsidRDefault="00871F8D">
            <w:pPr>
              <w:textAlignment w:val="bottom"/>
            </w:pPr>
            <w:r>
              <w:rPr>
                <w:rFonts w:ascii="Arial" w:eastAsia="宋体" w:hAnsi="Arial" w:cs="Arial"/>
                <w:color w:val="000000"/>
                <w:sz w:val="12"/>
                <w:szCs w:val="12"/>
              </w:rPr>
              <w:t>Interest rate spread</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70F4"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70F5"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70F6"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70F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0F8" w14:textId="77777777" w:rsidR="00584EC1" w:rsidRDefault="00871F8D">
            <w:pPr>
              <w:jc w:val="right"/>
              <w:textAlignment w:val="bottom"/>
            </w:pPr>
            <w:r>
              <w:rPr>
                <w:rFonts w:ascii="Arial" w:eastAsia="宋体" w:hAnsi="Arial" w:cs="Arial"/>
                <w:b/>
                <w:bCs/>
                <w:color w:val="000000"/>
                <w:sz w:val="12"/>
                <w:szCs w:val="12"/>
              </w:rPr>
              <w:t>.74</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70F9" w14:textId="77777777" w:rsidR="00584EC1" w:rsidRDefault="00871F8D">
            <w:pPr>
              <w:jc w:val="right"/>
              <w:textAlignment w:val="bottom"/>
            </w:pPr>
            <w:r>
              <w:rPr>
                <w:rFonts w:ascii="Arial" w:eastAsia="宋体" w:hAnsi="Arial" w:cs="Arial"/>
                <w:b/>
                <w:bCs/>
                <w:color w:val="000000"/>
                <w:sz w:val="12"/>
                <w:szCs w:val="12"/>
              </w:rPr>
              <w:t>%</w:t>
            </w:r>
          </w:p>
        </w:tc>
        <w:tc>
          <w:tcPr>
            <w:tcW w:w="0" w:type="auto"/>
            <w:gridSpan w:val="3"/>
            <w:shd w:val="clear" w:color="auto" w:fill="FFFFFF"/>
            <w:tcMar>
              <w:top w:w="0" w:type="dxa"/>
              <w:left w:w="20" w:type="dxa"/>
              <w:bottom w:w="0" w:type="dxa"/>
              <w:right w:w="20" w:type="dxa"/>
            </w:tcMar>
            <w:vAlign w:val="bottom"/>
          </w:tcPr>
          <w:p w14:paraId="74DD70FA"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70FB"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70FC"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70FD"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70F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0FF" w14:textId="77777777" w:rsidR="00584EC1" w:rsidRDefault="00871F8D">
            <w:pPr>
              <w:jc w:val="right"/>
              <w:textAlignment w:val="bottom"/>
            </w:pPr>
            <w:r>
              <w:rPr>
                <w:rFonts w:ascii="Arial" w:eastAsia="宋体" w:hAnsi="Arial" w:cs="Arial"/>
                <w:color w:val="000000"/>
                <w:sz w:val="12"/>
                <w:szCs w:val="12"/>
              </w:rPr>
              <w:t>.97 </w:t>
            </w:r>
          </w:p>
        </w:tc>
        <w:tc>
          <w:tcPr>
            <w:tcW w:w="0" w:type="auto"/>
            <w:shd w:val="clear" w:color="auto" w:fill="FFFFFF"/>
            <w:tcMar>
              <w:top w:w="40" w:type="dxa"/>
              <w:left w:w="0" w:type="dxa"/>
              <w:bottom w:w="40" w:type="dxa"/>
              <w:right w:w="20" w:type="dxa"/>
            </w:tcMar>
            <w:vAlign w:val="bottom"/>
          </w:tcPr>
          <w:p w14:paraId="74DD7100" w14:textId="77777777" w:rsidR="00584EC1" w:rsidRDefault="00871F8D">
            <w:pPr>
              <w:jc w:val="right"/>
              <w:textAlignment w:val="bottom"/>
            </w:pPr>
            <w:r>
              <w:rPr>
                <w:rFonts w:ascii="Arial" w:eastAsia="宋体" w:hAnsi="Arial" w:cs="Arial"/>
                <w:color w:val="000000"/>
                <w:sz w:val="12"/>
                <w:szCs w:val="12"/>
              </w:rPr>
              <w:t>%</w:t>
            </w:r>
          </w:p>
        </w:tc>
        <w:tc>
          <w:tcPr>
            <w:tcW w:w="0" w:type="auto"/>
            <w:shd w:val="clear" w:color="auto" w:fill="auto"/>
            <w:vAlign w:val="bottom"/>
          </w:tcPr>
          <w:p w14:paraId="74DD7101" w14:textId="77777777" w:rsidR="00584EC1" w:rsidRDefault="00584EC1">
            <w:pPr>
              <w:rPr>
                <w:rFonts w:ascii="宋体"/>
                <w:vanish/>
              </w:rPr>
            </w:pPr>
          </w:p>
        </w:tc>
        <w:tc>
          <w:tcPr>
            <w:tcW w:w="0" w:type="auto"/>
            <w:shd w:val="clear" w:color="auto" w:fill="auto"/>
            <w:vAlign w:val="bottom"/>
          </w:tcPr>
          <w:p w14:paraId="74DD7102" w14:textId="77777777" w:rsidR="00584EC1" w:rsidRDefault="00584EC1">
            <w:pPr>
              <w:rPr>
                <w:rFonts w:ascii="宋体"/>
                <w:vanish/>
              </w:rPr>
            </w:pPr>
          </w:p>
        </w:tc>
        <w:tc>
          <w:tcPr>
            <w:tcW w:w="0" w:type="auto"/>
            <w:shd w:val="clear" w:color="auto" w:fill="auto"/>
            <w:vAlign w:val="bottom"/>
          </w:tcPr>
          <w:p w14:paraId="74DD7103" w14:textId="77777777" w:rsidR="00584EC1" w:rsidRDefault="00584EC1">
            <w:pPr>
              <w:rPr>
                <w:rFonts w:ascii="宋体"/>
                <w:vanish/>
              </w:rPr>
            </w:pPr>
          </w:p>
        </w:tc>
        <w:tc>
          <w:tcPr>
            <w:tcW w:w="0" w:type="auto"/>
            <w:shd w:val="clear" w:color="auto" w:fill="auto"/>
            <w:vAlign w:val="bottom"/>
          </w:tcPr>
          <w:p w14:paraId="74DD7104" w14:textId="77777777" w:rsidR="00584EC1" w:rsidRDefault="00584EC1">
            <w:pPr>
              <w:rPr>
                <w:rFonts w:ascii="宋体"/>
                <w:vanish/>
              </w:rPr>
            </w:pPr>
          </w:p>
        </w:tc>
        <w:tc>
          <w:tcPr>
            <w:tcW w:w="0" w:type="auto"/>
            <w:gridSpan w:val="3"/>
            <w:shd w:val="clear" w:color="auto" w:fill="auto"/>
            <w:vAlign w:val="bottom"/>
          </w:tcPr>
          <w:p w14:paraId="74DD7105" w14:textId="77777777" w:rsidR="00584EC1" w:rsidRDefault="00584EC1">
            <w:pPr>
              <w:rPr>
                <w:rFonts w:ascii="宋体"/>
                <w:vanish/>
              </w:rPr>
            </w:pPr>
          </w:p>
        </w:tc>
        <w:tc>
          <w:tcPr>
            <w:tcW w:w="0" w:type="auto"/>
            <w:gridSpan w:val="3"/>
            <w:shd w:val="clear" w:color="auto" w:fill="auto"/>
            <w:vAlign w:val="bottom"/>
          </w:tcPr>
          <w:p w14:paraId="74DD7106" w14:textId="77777777" w:rsidR="00584EC1" w:rsidRDefault="00584EC1">
            <w:pPr>
              <w:rPr>
                <w:rFonts w:ascii="宋体"/>
                <w:vanish/>
              </w:rPr>
            </w:pPr>
          </w:p>
        </w:tc>
        <w:tc>
          <w:tcPr>
            <w:tcW w:w="0" w:type="auto"/>
            <w:gridSpan w:val="3"/>
            <w:shd w:val="clear" w:color="auto" w:fill="auto"/>
            <w:vAlign w:val="bottom"/>
          </w:tcPr>
          <w:p w14:paraId="74DD7107" w14:textId="77777777" w:rsidR="00584EC1" w:rsidRDefault="00584EC1">
            <w:pPr>
              <w:rPr>
                <w:rFonts w:ascii="宋体"/>
                <w:vanish/>
              </w:rPr>
            </w:pPr>
          </w:p>
        </w:tc>
        <w:tc>
          <w:tcPr>
            <w:tcW w:w="0" w:type="auto"/>
            <w:gridSpan w:val="3"/>
            <w:shd w:val="clear" w:color="auto" w:fill="auto"/>
            <w:vAlign w:val="bottom"/>
          </w:tcPr>
          <w:p w14:paraId="74DD7108" w14:textId="77777777" w:rsidR="00584EC1" w:rsidRDefault="00584EC1">
            <w:pPr>
              <w:rPr>
                <w:rFonts w:ascii="宋体"/>
                <w:vanish/>
              </w:rPr>
            </w:pPr>
          </w:p>
        </w:tc>
        <w:tc>
          <w:tcPr>
            <w:tcW w:w="0" w:type="auto"/>
            <w:gridSpan w:val="2"/>
            <w:shd w:val="clear" w:color="auto" w:fill="auto"/>
            <w:vAlign w:val="bottom"/>
          </w:tcPr>
          <w:p w14:paraId="74DD7109" w14:textId="77777777" w:rsidR="00584EC1" w:rsidRDefault="00584EC1">
            <w:pPr>
              <w:rPr>
                <w:rFonts w:ascii="宋体"/>
                <w:vanish/>
              </w:rPr>
            </w:pPr>
          </w:p>
        </w:tc>
        <w:tc>
          <w:tcPr>
            <w:tcW w:w="0" w:type="auto"/>
            <w:shd w:val="clear" w:color="auto" w:fill="auto"/>
            <w:vAlign w:val="bottom"/>
          </w:tcPr>
          <w:p w14:paraId="74DD710A" w14:textId="77777777" w:rsidR="00584EC1" w:rsidRDefault="00584EC1">
            <w:pPr>
              <w:rPr>
                <w:rFonts w:ascii="宋体"/>
                <w:vanish/>
              </w:rPr>
            </w:pPr>
          </w:p>
        </w:tc>
      </w:tr>
      <w:tr w:rsidR="00584EC1" w14:paraId="74DD7126" w14:textId="77777777">
        <w:tc>
          <w:tcPr>
            <w:tcW w:w="0" w:type="auto"/>
            <w:gridSpan w:val="3"/>
            <w:shd w:val="clear" w:color="auto" w:fill="CCEEFF"/>
            <w:tcMar>
              <w:top w:w="40" w:type="dxa"/>
              <w:left w:w="20" w:type="dxa"/>
              <w:bottom w:w="40" w:type="dxa"/>
              <w:right w:w="20" w:type="dxa"/>
            </w:tcMar>
            <w:vAlign w:val="bottom"/>
          </w:tcPr>
          <w:p w14:paraId="74DD710C" w14:textId="77777777" w:rsidR="00584EC1" w:rsidRDefault="00871F8D">
            <w:pPr>
              <w:textAlignment w:val="bottom"/>
            </w:pPr>
            <w:r>
              <w:rPr>
                <w:rFonts w:ascii="Arial" w:eastAsia="宋体" w:hAnsi="Arial" w:cs="Arial"/>
                <w:color w:val="000000"/>
                <w:sz w:val="12"/>
                <w:szCs w:val="12"/>
              </w:rPr>
              <w:t>Net interest income, fully taxable-equivalent basis</w:t>
            </w:r>
          </w:p>
        </w:tc>
        <w:tc>
          <w:tcPr>
            <w:tcW w:w="0" w:type="auto"/>
            <w:gridSpan w:val="3"/>
            <w:shd w:val="clear" w:color="auto" w:fill="CCEEFF"/>
            <w:tcMar>
              <w:top w:w="0" w:type="dxa"/>
              <w:left w:w="20" w:type="dxa"/>
              <w:bottom w:w="0" w:type="dxa"/>
              <w:right w:w="20" w:type="dxa"/>
            </w:tcMar>
            <w:vAlign w:val="bottom"/>
          </w:tcPr>
          <w:p w14:paraId="74DD710D"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710E"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710F" w14:textId="77777777" w:rsidR="00584EC1" w:rsidRDefault="00871F8D">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74DD7110" w14:textId="77777777" w:rsidR="00584EC1" w:rsidRDefault="00871F8D">
            <w:pPr>
              <w:jc w:val="right"/>
              <w:textAlignment w:val="bottom"/>
            </w:pPr>
            <w:r>
              <w:rPr>
                <w:rFonts w:ascii="Arial" w:eastAsia="宋体" w:hAnsi="Arial" w:cs="Arial"/>
                <w:b/>
                <w:bCs/>
                <w:color w:val="000000"/>
                <w:sz w:val="12"/>
                <w:szCs w:val="12"/>
              </w:rPr>
              <w:t>1,431</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711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112"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7113"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7114"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7115"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7116"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7117" w14:textId="77777777" w:rsidR="00584EC1" w:rsidRDefault="00871F8D">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74DD7118" w14:textId="77777777" w:rsidR="00584EC1" w:rsidRDefault="00871F8D">
            <w:pPr>
              <w:jc w:val="right"/>
              <w:textAlignment w:val="bottom"/>
            </w:pPr>
            <w:r>
              <w:rPr>
                <w:rFonts w:ascii="Arial" w:eastAsia="宋体" w:hAnsi="Arial" w:cs="Arial"/>
                <w:color w:val="000000"/>
                <w:sz w:val="12"/>
                <w:szCs w:val="12"/>
              </w:rPr>
              <w:t>1,714 </w:t>
            </w:r>
          </w:p>
        </w:tc>
        <w:tc>
          <w:tcPr>
            <w:tcW w:w="0" w:type="auto"/>
            <w:shd w:val="clear" w:color="auto" w:fill="CCEEFF"/>
            <w:tcMar>
              <w:top w:w="40" w:type="dxa"/>
              <w:left w:w="0" w:type="dxa"/>
              <w:bottom w:w="40" w:type="dxa"/>
              <w:right w:w="20" w:type="dxa"/>
            </w:tcMar>
            <w:vAlign w:val="bottom"/>
          </w:tcPr>
          <w:p w14:paraId="74DD711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11A"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711B" w14:textId="77777777" w:rsidR="00584EC1" w:rsidRDefault="00584EC1">
            <w:pPr>
              <w:rPr>
                <w:rFonts w:ascii="宋体"/>
              </w:rPr>
            </w:pPr>
          </w:p>
        </w:tc>
        <w:tc>
          <w:tcPr>
            <w:tcW w:w="0" w:type="auto"/>
            <w:shd w:val="clear" w:color="auto" w:fill="auto"/>
            <w:vAlign w:val="bottom"/>
          </w:tcPr>
          <w:p w14:paraId="74DD711C" w14:textId="77777777" w:rsidR="00584EC1" w:rsidRDefault="00584EC1">
            <w:pPr>
              <w:rPr>
                <w:rFonts w:ascii="宋体"/>
                <w:vanish/>
              </w:rPr>
            </w:pPr>
          </w:p>
        </w:tc>
        <w:tc>
          <w:tcPr>
            <w:tcW w:w="0" w:type="auto"/>
            <w:shd w:val="clear" w:color="auto" w:fill="auto"/>
            <w:vAlign w:val="bottom"/>
          </w:tcPr>
          <w:p w14:paraId="74DD711D" w14:textId="77777777" w:rsidR="00584EC1" w:rsidRDefault="00584EC1">
            <w:pPr>
              <w:rPr>
                <w:rFonts w:ascii="宋体"/>
                <w:vanish/>
              </w:rPr>
            </w:pPr>
          </w:p>
        </w:tc>
        <w:tc>
          <w:tcPr>
            <w:tcW w:w="0" w:type="auto"/>
            <w:shd w:val="clear" w:color="auto" w:fill="auto"/>
            <w:vAlign w:val="bottom"/>
          </w:tcPr>
          <w:p w14:paraId="74DD711E" w14:textId="77777777" w:rsidR="00584EC1" w:rsidRDefault="00584EC1">
            <w:pPr>
              <w:rPr>
                <w:rFonts w:ascii="宋体"/>
                <w:vanish/>
              </w:rPr>
            </w:pPr>
          </w:p>
        </w:tc>
        <w:tc>
          <w:tcPr>
            <w:tcW w:w="0" w:type="auto"/>
            <w:shd w:val="clear" w:color="auto" w:fill="auto"/>
            <w:vAlign w:val="bottom"/>
          </w:tcPr>
          <w:p w14:paraId="74DD711F" w14:textId="77777777" w:rsidR="00584EC1" w:rsidRDefault="00584EC1">
            <w:pPr>
              <w:rPr>
                <w:rFonts w:ascii="宋体"/>
                <w:vanish/>
              </w:rPr>
            </w:pPr>
          </w:p>
        </w:tc>
        <w:tc>
          <w:tcPr>
            <w:tcW w:w="0" w:type="auto"/>
            <w:gridSpan w:val="3"/>
            <w:shd w:val="clear" w:color="auto" w:fill="auto"/>
            <w:vAlign w:val="bottom"/>
          </w:tcPr>
          <w:p w14:paraId="74DD7120" w14:textId="77777777" w:rsidR="00584EC1" w:rsidRDefault="00584EC1">
            <w:pPr>
              <w:rPr>
                <w:rFonts w:ascii="宋体"/>
                <w:vanish/>
              </w:rPr>
            </w:pPr>
          </w:p>
        </w:tc>
        <w:tc>
          <w:tcPr>
            <w:tcW w:w="0" w:type="auto"/>
            <w:gridSpan w:val="3"/>
            <w:shd w:val="clear" w:color="auto" w:fill="auto"/>
            <w:vAlign w:val="bottom"/>
          </w:tcPr>
          <w:p w14:paraId="74DD7121" w14:textId="77777777" w:rsidR="00584EC1" w:rsidRDefault="00584EC1">
            <w:pPr>
              <w:rPr>
                <w:rFonts w:ascii="宋体"/>
                <w:vanish/>
              </w:rPr>
            </w:pPr>
          </w:p>
        </w:tc>
        <w:tc>
          <w:tcPr>
            <w:tcW w:w="0" w:type="auto"/>
            <w:gridSpan w:val="3"/>
            <w:shd w:val="clear" w:color="auto" w:fill="auto"/>
            <w:vAlign w:val="bottom"/>
          </w:tcPr>
          <w:p w14:paraId="74DD7122" w14:textId="77777777" w:rsidR="00584EC1" w:rsidRDefault="00584EC1">
            <w:pPr>
              <w:rPr>
                <w:rFonts w:ascii="宋体"/>
                <w:vanish/>
              </w:rPr>
            </w:pPr>
          </w:p>
        </w:tc>
        <w:tc>
          <w:tcPr>
            <w:tcW w:w="0" w:type="auto"/>
            <w:gridSpan w:val="3"/>
            <w:shd w:val="clear" w:color="auto" w:fill="auto"/>
            <w:vAlign w:val="bottom"/>
          </w:tcPr>
          <w:p w14:paraId="74DD7123" w14:textId="77777777" w:rsidR="00584EC1" w:rsidRDefault="00584EC1">
            <w:pPr>
              <w:rPr>
                <w:rFonts w:ascii="宋体"/>
                <w:vanish/>
              </w:rPr>
            </w:pPr>
          </w:p>
        </w:tc>
        <w:tc>
          <w:tcPr>
            <w:tcW w:w="0" w:type="auto"/>
            <w:gridSpan w:val="2"/>
            <w:shd w:val="clear" w:color="auto" w:fill="auto"/>
            <w:vAlign w:val="bottom"/>
          </w:tcPr>
          <w:p w14:paraId="74DD7124" w14:textId="77777777" w:rsidR="00584EC1" w:rsidRDefault="00584EC1">
            <w:pPr>
              <w:rPr>
                <w:rFonts w:ascii="宋体"/>
                <w:vanish/>
              </w:rPr>
            </w:pPr>
          </w:p>
        </w:tc>
        <w:tc>
          <w:tcPr>
            <w:tcW w:w="0" w:type="auto"/>
            <w:shd w:val="clear" w:color="auto" w:fill="auto"/>
            <w:vAlign w:val="bottom"/>
          </w:tcPr>
          <w:p w14:paraId="74DD7125" w14:textId="77777777" w:rsidR="00584EC1" w:rsidRDefault="00584EC1">
            <w:pPr>
              <w:rPr>
                <w:rFonts w:ascii="宋体"/>
                <w:vanish/>
              </w:rPr>
            </w:pPr>
          </w:p>
        </w:tc>
      </w:tr>
      <w:tr w:rsidR="00584EC1" w14:paraId="74DD713F" w14:textId="77777777">
        <w:tc>
          <w:tcPr>
            <w:tcW w:w="0" w:type="auto"/>
            <w:gridSpan w:val="3"/>
            <w:shd w:val="clear" w:color="auto" w:fill="FFFFFF"/>
            <w:tcMar>
              <w:top w:w="40" w:type="dxa"/>
              <w:left w:w="20" w:type="dxa"/>
              <w:bottom w:w="40" w:type="dxa"/>
              <w:right w:w="20" w:type="dxa"/>
            </w:tcMar>
            <w:vAlign w:val="bottom"/>
          </w:tcPr>
          <w:p w14:paraId="74DD7127" w14:textId="77777777" w:rsidR="00584EC1" w:rsidRDefault="00871F8D">
            <w:pPr>
              <w:textAlignment w:val="bottom"/>
            </w:pPr>
            <w:r>
              <w:rPr>
                <w:rFonts w:ascii="Arial" w:eastAsia="宋体" w:hAnsi="Arial" w:cs="Arial"/>
                <w:color w:val="000000"/>
                <w:sz w:val="12"/>
                <w:szCs w:val="12"/>
              </w:rPr>
              <w:t>Net interest margin, fully taxable-equivalent basis</w:t>
            </w:r>
          </w:p>
        </w:tc>
        <w:tc>
          <w:tcPr>
            <w:tcW w:w="0" w:type="auto"/>
            <w:gridSpan w:val="3"/>
            <w:shd w:val="clear" w:color="auto" w:fill="FFFFFF"/>
            <w:tcMar>
              <w:top w:w="0" w:type="dxa"/>
              <w:left w:w="20" w:type="dxa"/>
              <w:bottom w:w="0" w:type="dxa"/>
              <w:right w:w="20" w:type="dxa"/>
            </w:tcMar>
            <w:vAlign w:val="bottom"/>
          </w:tcPr>
          <w:p w14:paraId="74DD7128"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7129"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712A"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712B"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12C" w14:textId="77777777" w:rsidR="00584EC1" w:rsidRDefault="00871F8D">
            <w:pPr>
              <w:jc w:val="right"/>
              <w:textAlignment w:val="bottom"/>
            </w:pPr>
            <w:r>
              <w:rPr>
                <w:rFonts w:ascii="Arial" w:eastAsia="宋体" w:hAnsi="Arial" w:cs="Arial"/>
                <w:b/>
                <w:bCs/>
                <w:color w:val="000000"/>
                <w:sz w:val="12"/>
                <w:szCs w:val="12"/>
              </w:rPr>
              <w:t>.74</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712D" w14:textId="77777777" w:rsidR="00584EC1" w:rsidRDefault="00871F8D">
            <w:pPr>
              <w:jc w:val="right"/>
              <w:textAlignment w:val="bottom"/>
            </w:pPr>
            <w:r>
              <w:rPr>
                <w:rFonts w:ascii="Arial" w:eastAsia="宋体" w:hAnsi="Arial" w:cs="Arial"/>
                <w:b/>
                <w:bCs/>
                <w:color w:val="000000"/>
                <w:sz w:val="12"/>
                <w:szCs w:val="12"/>
              </w:rPr>
              <w:t>%</w:t>
            </w:r>
          </w:p>
        </w:tc>
        <w:tc>
          <w:tcPr>
            <w:tcW w:w="0" w:type="auto"/>
            <w:gridSpan w:val="3"/>
            <w:shd w:val="clear" w:color="auto" w:fill="FFFFFF"/>
            <w:tcMar>
              <w:top w:w="0" w:type="dxa"/>
              <w:left w:w="20" w:type="dxa"/>
              <w:bottom w:w="0" w:type="dxa"/>
              <w:right w:w="20" w:type="dxa"/>
            </w:tcMar>
            <w:vAlign w:val="bottom"/>
          </w:tcPr>
          <w:p w14:paraId="74DD712E"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712F"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7130"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7131"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713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133" w14:textId="77777777" w:rsidR="00584EC1" w:rsidRDefault="00871F8D">
            <w:pPr>
              <w:jc w:val="right"/>
              <w:textAlignment w:val="bottom"/>
            </w:pPr>
            <w:r>
              <w:rPr>
                <w:rFonts w:ascii="Arial" w:eastAsia="宋体" w:hAnsi="Arial" w:cs="Arial"/>
                <w:color w:val="000000"/>
                <w:sz w:val="12"/>
                <w:szCs w:val="12"/>
              </w:rPr>
              <w:t>1.01 </w:t>
            </w:r>
          </w:p>
        </w:tc>
        <w:tc>
          <w:tcPr>
            <w:tcW w:w="0" w:type="auto"/>
            <w:shd w:val="clear" w:color="auto" w:fill="FFFFFF"/>
            <w:tcMar>
              <w:top w:w="40" w:type="dxa"/>
              <w:left w:w="0" w:type="dxa"/>
              <w:bottom w:w="40" w:type="dxa"/>
              <w:right w:w="20" w:type="dxa"/>
            </w:tcMar>
            <w:vAlign w:val="bottom"/>
          </w:tcPr>
          <w:p w14:paraId="74DD7134" w14:textId="77777777" w:rsidR="00584EC1" w:rsidRDefault="00871F8D">
            <w:pPr>
              <w:jc w:val="right"/>
              <w:textAlignment w:val="bottom"/>
            </w:pPr>
            <w:r>
              <w:rPr>
                <w:rFonts w:ascii="Arial" w:eastAsia="宋体" w:hAnsi="Arial" w:cs="Arial"/>
                <w:color w:val="000000"/>
                <w:sz w:val="12"/>
                <w:szCs w:val="12"/>
              </w:rPr>
              <w:t>%</w:t>
            </w:r>
          </w:p>
        </w:tc>
        <w:tc>
          <w:tcPr>
            <w:tcW w:w="0" w:type="auto"/>
            <w:shd w:val="clear" w:color="auto" w:fill="auto"/>
            <w:vAlign w:val="bottom"/>
          </w:tcPr>
          <w:p w14:paraId="74DD7135" w14:textId="77777777" w:rsidR="00584EC1" w:rsidRDefault="00584EC1">
            <w:pPr>
              <w:rPr>
                <w:rFonts w:ascii="宋体"/>
                <w:vanish/>
              </w:rPr>
            </w:pPr>
          </w:p>
        </w:tc>
        <w:tc>
          <w:tcPr>
            <w:tcW w:w="0" w:type="auto"/>
            <w:shd w:val="clear" w:color="auto" w:fill="auto"/>
            <w:vAlign w:val="bottom"/>
          </w:tcPr>
          <w:p w14:paraId="74DD7136" w14:textId="77777777" w:rsidR="00584EC1" w:rsidRDefault="00584EC1">
            <w:pPr>
              <w:rPr>
                <w:rFonts w:ascii="宋体"/>
                <w:vanish/>
              </w:rPr>
            </w:pPr>
          </w:p>
        </w:tc>
        <w:tc>
          <w:tcPr>
            <w:tcW w:w="0" w:type="auto"/>
            <w:shd w:val="clear" w:color="auto" w:fill="auto"/>
            <w:vAlign w:val="bottom"/>
          </w:tcPr>
          <w:p w14:paraId="74DD7137" w14:textId="77777777" w:rsidR="00584EC1" w:rsidRDefault="00584EC1">
            <w:pPr>
              <w:rPr>
                <w:rFonts w:ascii="宋体"/>
                <w:vanish/>
              </w:rPr>
            </w:pPr>
          </w:p>
        </w:tc>
        <w:tc>
          <w:tcPr>
            <w:tcW w:w="0" w:type="auto"/>
            <w:shd w:val="clear" w:color="auto" w:fill="auto"/>
            <w:vAlign w:val="bottom"/>
          </w:tcPr>
          <w:p w14:paraId="74DD7138" w14:textId="77777777" w:rsidR="00584EC1" w:rsidRDefault="00584EC1">
            <w:pPr>
              <w:rPr>
                <w:rFonts w:ascii="宋体"/>
                <w:vanish/>
              </w:rPr>
            </w:pPr>
          </w:p>
        </w:tc>
        <w:tc>
          <w:tcPr>
            <w:tcW w:w="0" w:type="auto"/>
            <w:gridSpan w:val="3"/>
            <w:shd w:val="clear" w:color="auto" w:fill="auto"/>
            <w:vAlign w:val="bottom"/>
          </w:tcPr>
          <w:p w14:paraId="74DD7139" w14:textId="77777777" w:rsidR="00584EC1" w:rsidRDefault="00584EC1">
            <w:pPr>
              <w:rPr>
                <w:rFonts w:ascii="宋体"/>
                <w:vanish/>
              </w:rPr>
            </w:pPr>
          </w:p>
        </w:tc>
        <w:tc>
          <w:tcPr>
            <w:tcW w:w="0" w:type="auto"/>
            <w:gridSpan w:val="3"/>
            <w:shd w:val="clear" w:color="auto" w:fill="auto"/>
            <w:vAlign w:val="bottom"/>
          </w:tcPr>
          <w:p w14:paraId="74DD713A" w14:textId="77777777" w:rsidR="00584EC1" w:rsidRDefault="00584EC1">
            <w:pPr>
              <w:rPr>
                <w:rFonts w:ascii="宋体"/>
                <w:vanish/>
              </w:rPr>
            </w:pPr>
          </w:p>
        </w:tc>
        <w:tc>
          <w:tcPr>
            <w:tcW w:w="0" w:type="auto"/>
            <w:gridSpan w:val="3"/>
            <w:shd w:val="clear" w:color="auto" w:fill="auto"/>
            <w:vAlign w:val="bottom"/>
          </w:tcPr>
          <w:p w14:paraId="74DD713B" w14:textId="77777777" w:rsidR="00584EC1" w:rsidRDefault="00584EC1">
            <w:pPr>
              <w:rPr>
                <w:rFonts w:ascii="宋体"/>
                <w:vanish/>
              </w:rPr>
            </w:pPr>
          </w:p>
        </w:tc>
        <w:tc>
          <w:tcPr>
            <w:tcW w:w="0" w:type="auto"/>
            <w:gridSpan w:val="3"/>
            <w:shd w:val="clear" w:color="auto" w:fill="auto"/>
            <w:vAlign w:val="bottom"/>
          </w:tcPr>
          <w:p w14:paraId="74DD713C" w14:textId="77777777" w:rsidR="00584EC1" w:rsidRDefault="00584EC1">
            <w:pPr>
              <w:rPr>
                <w:rFonts w:ascii="宋体"/>
                <w:vanish/>
              </w:rPr>
            </w:pPr>
          </w:p>
        </w:tc>
        <w:tc>
          <w:tcPr>
            <w:tcW w:w="0" w:type="auto"/>
            <w:gridSpan w:val="2"/>
            <w:shd w:val="clear" w:color="auto" w:fill="auto"/>
            <w:vAlign w:val="bottom"/>
          </w:tcPr>
          <w:p w14:paraId="74DD713D" w14:textId="77777777" w:rsidR="00584EC1" w:rsidRDefault="00584EC1">
            <w:pPr>
              <w:rPr>
                <w:rFonts w:ascii="宋体"/>
                <w:vanish/>
              </w:rPr>
            </w:pPr>
          </w:p>
        </w:tc>
        <w:tc>
          <w:tcPr>
            <w:tcW w:w="0" w:type="auto"/>
            <w:shd w:val="clear" w:color="auto" w:fill="auto"/>
            <w:vAlign w:val="bottom"/>
          </w:tcPr>
          <w:p w14:paraId="74DD713E" w14:textId="77777777" w:rsidR="00584EC1" w:rsidRDefault="00584EC1">
            <w:pPr>
              <w:rPr>
                <w:rFonts w:ascii="宋体"/>
                <w:vanish/>
              </w:rPr>
            </w:pPr>
          </w:p>
        </w:tc>
      </w:tr>
      <w:tr w:rsidR="00584EC1" w14:paraId="74DD7158" w14:textId="77777777">
        <w:tc>
          <w:tcPr>
            <w:tcW w:w="0" w:type="auto"/>
            <w:gridSpan w:val="3"/>
            <w:shd w:val="clear" w:color="auto" w:fill="CCEEFF"/>
            <w:tcMar>
              <w:top w:w="40" w:type="dxa"/>
              <w:left w:w="20" w:type="dxa"/>
              <w:bottom w:w="40" w:type="dxa"/>
              <w:right w:w="20" w:type="dxa"/>
            </w:tcMar>
            <w:vAlign w:val="bottom"/>
          </w:tcPr>
          <w:p w14:paraId="74DD7140" w14:textId="77777777" w:rsidR="00584EC1" w:rsidRDefault="00871F8D">
            <w:pPr>
              <w:textAlignment w:val="bottom"/>
            </w:pPr>
            <w:r>
              <w:rPr>
                <w:rFonts w:ascii="Arial" w:eastAsia="宋体" w:hAnsi="Arial" w:cs="Arial"/>
                <w:color w:val="000000"/>
                <w:sz w:val="12"/>
                <w:szCs w:val="12"/>
              </w:rPr>
              <w:t>Tax-equivalent adjustment</w:t>
            </w:r>
          </w:p>
        </w:tc>
        <w:tc>
          <w:tcPr>
            <w:tcW w:w="0" w:type="auto"/>
            <w:gridSpan w:val="3"/>
            <w:shd w:val="clear" w:color="auto" w:fill="CCEEFF"/>
            <w:tcMar>
              <w:top w:w="0" w:type="dxa"/>
              <w:left w:w="20" w:type="dxa"/>
              <w:bottom w:w="0" w:type="dxa"/>
              <w:right w:w="20" w:type="dxa"/>
            </w:tcMar>
            <w:vAlign w:val="bottom"/>
          </w:tcPr>
          <w:p w14:paraId="74DD7141"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7142"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7143" w14:textId="77777777" w:rsidR="00584EC1" w:rsidRDefault="00871F8D">
            <w:pPr>
              <w:jc w:val="right"/>
              <w:textAlignment w:val="bottom"/>
            </w:pPr>
            <w:r>
              <w:rPr>
                <w:rFonts w:ascii="Arial" w:eastAsia="宋体" w:hAnsi="Arial" w:cs="Arial"/>
                <w:b/>
                <w:bCs/>
                <w:color w:val="000000"/>
                <w:sz w:val="12"/>
                <w:szCs w:val="12"/>
              </w:rPr>
              <w:t>(10)</w:t>
            </w:r>
          </w:p>
        </w:tc>
        <w:tc>
          <w:tcPr>
            <w:tcW w:w="0" w:type="auto"/>
            <w:shd w:val="clear" w:color="auto" w:fill="CCEEFF"/>
            <w:tcMar>
              <w:top w:w="40" w:type="dxa"/>
              <w:left w:w="0" w:type="dxa"/>
              <w:bottom w:w="40" w:type="dxa"/>
              <w:right w:w="20" w:type="dxa"/>
            </w:tcMar>
            <w:vAlign w:val="bottom"/>
          </w:tcPr>
          <w:p w14:paraId="74DD714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145"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7146"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7147"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7148"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714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714A" w14:textId="77777777" w:rsidR="00584EC1" w:rsidRDefault="00871F8D">
            <w:pPr>
              <w:jc w:val="right"/>
              <w:textAlignment w:val="bottom"/>
            </w:pPr>
            <w:r>
              <w:rPr>
                <w:rFonts w:ascii="Arial" w:eastAsia="宋体" w:hAnsi="Arial" w:cs="Arial"/>
                <w:color w:val="000000"/>
                <w:sz w:val="12"/>
                <w:szCs w:val="12"/>
              </w:rPr>
              <w:t>(13)</w:t>
            </w:r>
          </w:p>
        </w:tc>
        <w:tc>
          <w:tcPr>
            <w:tcW w:w="0" w:type="auto"/>
            <w:shd w:val="clear" w:color="auto" w:fill="CCEEFF"/>
            <w:tcMar>
              <w:top w:w="40" w:type="dxa"/>
              <w:left w:w="0" w:type="dxa"/>
              <w:bottom w:w="40" w:type="dxa"/>
              <w:right w:w="20" w:type="dxa"/>
            </w:tcMar>
            <w:vAlign w:val="bottom"/>
          </w:tcPr>
          <w:p w14:paraId="74DD714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14C"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714D" w14:textId="77777777" w:rsidR="00584EC1" w:rsidRDefault="00584EC1">
            <w:pPr>
              <w:rPr>
                <w:rFonts w:ascii="宋体"/>
              </w:rPr>
            </w:pPr>
          </w:p>
        </w:tc>
        <w:tc>
          <w:tcPr>
            <w:tcW w:w="0" w:type="auto"/>
            <w:shd w:val="clear" w:color="auto" w:fill="auto"/>
            <w:vAlign w:val="bottom"/>
          </w:tcPr>
          <w:p w14:paraId="74DD714E" w14:textId="77777777" w:rsidR="00584EC1" w:rsidRDefault="00584EC1">
            <w:pPr>
              <w:rPr>
                <w:rFonts w:ascii="宋体"/>
                <w:vanish/>
              </w:rPr>
            </w:pPr>
          </w:p>
        </w:tc>
        <w:tc>
          <w:tcPr>
            <w:tcW w:w="0" w:type="auto"/>
            <w:shd w:val="clear" w:color="auto" w:fill="auto"/>
            <w:vAlign w:val="bottom"/>
          </w:tcPr>
          <w:p w14:paraId="74DD714F" w14:textId="77777777" w:rsidR="00584EC1" w:rsidRDefault="00584EC1">
            <w:pPr>
              <w:rPr>
                <w:rFonts w:ascii="宋体"/>
                <w:vanish/>
              </w:rPr>
            </w:pPr>
          </w:p>
        </w:tc>
        <w:tc>
          <w:tcPr>
            <w:tcW w:w="0" w:type="auto"/>
            <w:shd w:val="clear" w:color="auto" w:fill="auto"/>
            <w:vAlign w:val="bottom"/>
          </w:tcPr>
          <w:p w14:paraId="74DD7150" w14:textId="77777777" w:rsidR="00584EC1" w:rsidRDefault="00584EC1">
            <w:pPr>
              <w:rPr>
                <w:rFonts w:ascii="宋体"/>
                <w:vanish/>
              </w:rPr>
            </w:pPr>
          </w:p>
        </w:tc>
        <w:tc>
          <w:tcPr>
            <w:tcW w:w="0" w:type="auto"/>
            <w:shd w:val="clear" w:color="auto" w:fill="auto"/>
            <w:vAlign w:val="bottom"/>
          </w:tcPr>
          <w:p w14:paraId="74DD7151" w14:textId="77777777" w:rsidR="00584EC1" w:rsidRDefault="00584EC1">
            <w:pPr>
              <w:rPr>
                <w:rFonts w:ascii="宋体"/>
                <w:vanish/>
              </w:rPr>
            </w:pPr>
          </w:p>
        </w:tc>
        <w:tc>
          <w:tcPr>
            <w:tcW w:w="0" w:type="auto"/>
            <w:gridSpan w:val="3"/>
            <w:shd w:val="clear" w:color="auto" w:fill="auto"/>
            <w:vAlign w:val="bottom"/>
          </w:tcPr>
          <w:p w14:paraId="74DD7152" w14:textId="77777777" w:rsidR="00584EC1" w:rsidRDefault="00584EC1">
            <w:pPr>
              <w:rPr>
                <w:rFonts w:ascii="宋体"/>
                <w:vanish/>
              </w:rPr>
            </w:pPr>
          </w:p>
        </w:tc>
        <w:tc>
          <w:tcPr>
            <w:tcW w:w="0" w:type="auto"/>
            <w:gridSpan w:val="3"/>
            <w:shd w:val="clear" w:color="auto" w:fill="auto"/>
            <w:vAlign w:val="bottom"/>
          </w:tcPr>
          <w:p w14:paraId="74DD7153" w14:textId="77777777" w:rsidR="00584EC1" w:rsidRDefault="00584EC1">
            <w:pPr>
              <w:rPr>
                <w:rFonts w:ascii="宋体"/>
                <w:vanish/>
              </w:rPr>
            </w:pPr>
          </w:p>
        </w:tc>
        <w:tc>
          <w:tcPr>
            <w:tcW w:w="0" w:type="auto"/>
            <w:gridSpan w:val="3"/>
            <w:shd w:val="clear" w:color="auto" w:fill="auto"/>
            <w:vAlign w:val="bottom"/>
          </w:tcPr>
          <w:p w14:paraId="74DD7154" w14:textId="77777777" w:rsidR="00584EC1" w:rsidRDefault="00584EC1">
            <w:pPr>
              <w:rPr>
                <w:rFonts w:ascii="宋体"/>
                <w:vanish/>
              </w:rPr>
            </w:pPr>
          </w:p>
        </w:tc>
        <w:tc>
          <w:tcPr>
            <w:tcW w:w="0" w:type="auto"/>
            <w:gridSpan w:val="3"/>
            <w:shd w:val="clear" w:color="auto" w:fill="auto"/>
            <w:vAlign w:val="bottom"/>
          </w:tcPr>
          <w:p w14:paraId="74DD7155" w14:textId="77777777" w:rsidR="00584EC1" w:rsidRDefault="00584EC1">
            <w:pPr>
              <w:rPr>
                <w:rFonts w:ascii="宋体"/>
                <w:vanish/>
              </w:rPr>
            </w:pPr>
          </w:p>
        </w:tc>
        <w:tc>
          <w:tcPr>
            <w:tcW w:w="0" w:type="auto"/>
            <w:gridSpan w:val="2"/>
            <w:shd w:val="clear" w:color="auto" w:fill="auto"/>
            <w:vAlign w:val="bottom"/>
          </w:tcPr>
          <w:p w14:paraId="74DD7156" w14:textId="77777777" w:rsidR="00584EC1" w:rsidRDefault="00584EC1">
            <w:pPr>
              <w:rPr>
                <w:rFonts w:ascii="宋体"/>
                <w:vanish/>
              </w:rPr>
            </w:pPr>
          </w:p>
        </w:tc>
        <w:tc>
          <w:tcPr>
            <w:tcW w:w="0" w:type="auto"/>
            <w:shd w:val="clear" w:color="auto" w:fill="auto"/>
            <w:vAlign w:val="bottom"/>
          </w:tcPr>
          <w:p w14:paraId="74DD7157" w14:textId="77777777" w:rsidR="00584EC1" w:rsidRDefault="00584EC1">
            <w:pPr>
              <w:rPr>
                <w:rFonts w:ascii="宋体"/>
                <w:vanish/>
              </w:rPr>
            </w:pPr>
          </w:p>
        </w:tc>
      </w:tr>
      <w:tr w:rsidR="00584EC1" w14:paraId="74DD7173" w14:textId="77777777">
        <w:tc>
          <w:tcPr>
            <w:tcW w:w="0" w:type="auto"/>
            <w:gridSpan w:val="3"/>
            <w:shd w:val="clear" w:color="auto" w:fill="FFFFFF"/>
            <w:tcMar>
              <w:top w:w="40" w:type="dxa"/>
              <w:left w:w="20" w:type="dxa"/>
              <w:bottom w:w="40" w:type="dxa"/>
              <w:right w:w="20" w:type="dxa"/>
            </w:tcMar>
            <w:vAlign w:val="bottom"/>
          </w:tcPr>
          <w:p w14:paraId="74DD7159" w14:textId="77777777" w:rsidR="00584EC1" w:rsidRDefault="00871F8D">
            <w:pPr>
              <w:textAlignment w:val="bottom"/>
            </w:pPr>
            <w:r>
              <w:rPr>
                <w:rFonts w:ascii="Arial" w:eastAsia="宋体" w:hAnsi="Arial" w:cs="Arial"/>
                <w:color w:val="000000"/>
                <w:sz w:val="12"/>
                <w:szCs w:val="12"/>
              </w:rPr>
              <w:t xml:space="preserve">Net interest income, GAAP-basis </w:t>
            </w:r>
          </w:p>
        </w:tc>
        <w:tc>
          <w:tcPr>
            <w:tcW w:w="0" w:type="auto"/>
            <w:gridSpan w:val="3"/>
            <w:shd w:val="clear" w:color="auto" w:fill="FFFFFF"/>
            <w:tcMar>
              <w:top w:w="0" w:type="dxa"/>
              <w:left w:w="20" w:type="dxa"/>
              <w:bottom w:w="0" w:type="dxa"/>
              <w:right w:w="20" w:type="dxa"/>
            </w:tcMar>
            <w:vAlign w:val="bottom"/>
          </w:tcPr>
          <w:p w14:paraId="74DD715A"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715B"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715C"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715D" w14:textId="77777777" w:rsidR="00584EC1" w:rsidRDefault="00871F8D">
            <w:pPr>
              <w:jc w:val="right"/>
              <w:textAlignment w:val="bottom"/>
            </w:pPr>
            <w:r>
              <w:rPr>
                <w:rFonts w:ascii="Arial" w:eastAsia="宋体" w:hAnsi="Arial" w:cs="Arial"/>
                <w:b/>
                <w:bCs/>
                <w:color w:val="000000"/>
                <w:sz w:val="12"/>
                <w:szCs w:val="12"/>
              </w:rPr>
              <w:t>1,421</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715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15F"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7160"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7161"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716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7163"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7164"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7165" w14:textId="77777777" w:rsidR="00584EC1" w:rsidRDefault="00871F8D">
            <w:pPr>
              <w:jc w:val="right"/>
              <w:textAlignment w:val="bottom"/>
            </w:pPr>
            <w:r>
              <w:rPr>
                <w:rFonts w:ascii="Arial" w:eastAsia="宋体" w:hAnsi="Arial" w:cs="Arial"/>
                <w:color w:val="000000"/>
                <w:sz w:val="12"/>
                <w:szCs w:val="12"/>
              </w:rPr>
              <w:t>1,701 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716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167"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7168" w14:textId="77777777" w:rsidR="00584EC1" w:rsidRDefault="00584EC1">
            <w:pPr>
              <w:rPr>
                <w:rFonts w:ascii="宋体"/>
              </w:rPr>
            </w:pPr>
          </w:p>
        </w:tc>
        <w:tc>
          <w:tcPr>
            <w:tcW w:w="0" w:type="auto"/>
            <w:shd w:val="clear" w:color="auto" w:fill="auto"/>
            <w:vAlign w:val="bottom"/>
          </w:tcPr>
          <w:p w14:paraId="74DD7169" w14:textId="77777777" w:rsidR="00584EC1" w:rsidRDefault="00584EC1">
            <w:pPr>
              <w:rPr>
                <w:rFonts w:ascii="宋体"/>
                <w:vanish/>
              </w:rPr>
            </w:pPr>
          </w:p>
        </w:tc>
        <w:tc>
          <w:tcPr>
            <w:tcW w:w="0" w:type="auto"/>
            <w:shd w:val="clear" w:color="auto" w:fill="auto"/>
            <w:vAlign w:val="bottom"/>
          </w:tcPr>
          <w:p w14:paraId="74DD716A" w14:textId="77777777" w:rsidR="00584EC1" w:rsidRDefault="00584EC1">
            <w:pPr>
              <w:rPr>
                <w:rFonts w:ascii="宋体"/>
                <w:vanish/>
              </w:rPr>
            </w:pPr>
          </w:p>
        </w:tc>
        <w:tc>
          <w:tcPr>
            <w:tcW w:w="0" w:type="auto"/>
            <w:shd w:val="clear" w:color="auto" w:fill="auto"/>
            <w:vAlign w:val="bottom"/>
          </w:tcPr>
          <w:p w14:paraId="74DD716B" w14:textId="77777777" w:rsidR="00584EC1" w:rsidRDefault="00584EC1">
            <w:pPr>
              <w:rPr>
                <w:rFonts w:ascii="宋体"/>
                <w:vanish/>
              </w:rPr>
            </w:pPr>
          </w:p>
        </w:tc>
        <w:tc>
          <w:tcPr>
            <w:tcW w:w="0" w:type="auto"/>
            <w:shd w:val="clear" w:color="auto" w:fill="auto"/>
            <w:vAlign w:val="bottom"/>
          </w:tcPr>
          <w:p w14:paraId="74DD716C" w14:textId="77777777" w:rsidR="00584EC1" w:rsidRDefault="00584EC1">
            <w:pPr>
              <w:rPr>
                <w:rFonts w:ascii="宋体"/>
                <w:vanish/>
              </w:rPr>
            </w:pPr>
          </w:p>
        </w:tc>
        <w:tc>
          <w:tcPr>
            <w:tcW w:w="0" w:type="auto"/>
            <w:gridSpan w:val="3"/>
            <w:shd w:val="clear" w:color="auto" w:fill="auto"/>
            <w:vAlign w:val="bottom"/>
          </w:tcPr>
          <w:p w14:paraId="74DD716D" w14:textId="77777777" w:rsidR="00584EC1" w:rsidRDefault="00584EC1">
            <w:pPr>
              <w:rPr>
                <w:rFonts w:ascii="宋体"/>
                <w:vanish/>
              </w:rPr>
            </w:pPr>
          </w:p>
        </w:tc>
        <w:tc>
          <w:tcPr>
            <w:tcW w:w="0" w:type="auto"/>
            <w:gridSpan w:val="3"/>
            <w:shd w:val="clear" w:color="auto" w:fill="auto"/>
            <w:vAlign w:val="bottom"/>
          </w:tcPr>
          <w:p w14:paraId="74DD716E" w14:textId="77777777" w:rsidR="00584EC1" w:rsidRDefault="00584EC1">
            <w:pPr>
              <w:rPr>
                <w:rFonts w:ascii="宋体"/>
                <w:vanish/>
              </w:rPr>
            </w:pPr>
          </w:p>
        </w:tc>
        <w:tc>
          <w:tcPr>
            <w:tcW w:w="0" w:type="auto"/>
            <w:gridSpan w:val="3"/>
            <w:shd w:val="clear" w:color="auto" w:fill="auto"/>
            <w:vAlign w:val="bottom"/>
          </w:tcPr>
          <w:p w14:paraId="74DD716F" w14:textId="77777777" w:rsidR="00584EC1" w:rsidRDefault="00584EC1">
            <w:pPr>
              <w:rPr>
                <w:rFonts w:ascii="宋体"/>
                <w:vanish/>
              </w:rPr>
            </w:pPr>
          </w:p>
        </w:tc>
        <w:tc>
          <w:tcPr>
            <w:tcW w:w="0" w:type="auto"/>
            <w:gridSpan w:val="3"/>
            <w:shd w:val="clear" w:color="auto" w:fill="auto"/>
            <w:vAlign w:val="bottom"/>
          </w:tcPr>
          <w:p w14:paraId="74DD7170" w14:textId="77777777" w:rsidR="00584EC1" w:rsidRDefault="00584EC1">
            <w:pPr>
              <w:rPr>
                <w:rFonts w:ascii="宋体"/>
                <w:vanish/>
              </w:rPr>
            </w:pPr>
          </w:p>
        </w:tc>
        <w:tc>
          <w:tcPr>
            <w:tcW w:w="0" w:type="auto"/>
            <w:gridSpan w:val="2"/>
            <w:shd w:val="clear" w:color="auto" w:fill="auto"/>
            <w:vAlign w:val="bottom"/>
          </w:tcPr>
          <w:p w14:paraId="74DD7171" w14:textId="77777777" w:rsidR="00584EC1" w:rsidRDefault="00584EC1">
            <w:pPr>
              <w:rPr>
                <w:rFonts w:ascii="宋体"/>
                <w:vanish/>
              </w:rPr>
            </w:pPr>
          </w:p>
        </w:tc>
        <w:tc>
          <w:tcPr>
            <w:tcW w:w="0" w:type="auto"/>
            <w:shd w:val="clear" w:color="auto" w:fill="auto"/>
            <w:vAlign w:val="bottom"/>
          </w:tcPr>
          <w:p w14:paraId="74DD7172" w14:textId="77777777" w:rsidR="00584EC1" w:rsidRDefault="00584EC1">
            <w:pPr>
              <w:rPr>
                <w:rFonts w:ascii="宋体"/>
                <w:vanish/>
              </w:rPr>
            </w:pPr>
          </w:p>
        </w:tc>
      </w:tr>
    </w:tbl>
    <w:p w14:paraId="74DD7174" w14:textId="77777777" w:rsidR="00584EC1" w:rsidRDefault="00584EC1">
      <w:pPr>
        <w:rPr>
          <w:vanish/>
        </w:rPr>
      </w:pPr>
    </w:p>
    <w:tbl>
      <w:tblPr>
        <w:tblW w:w="4831" w:type="pct"/>
        <w:tblCellMar>
          <w:top w:w="15" w:type="dxa"/>
          <w:left w:w="15" w:type="dxa"/>
          <w:bottom w:w="15" w:type="dxa"/>
          <w:right w:w="15" w:type="dxa"/>
        </w:tblCellMar>
        <w:tblLook w:val="04A0" w:firstRow="1" w:lastRow="0" w:firstColumn="1" w:lastColumn="0" w:noHBand="0" w:noVBand="1"/>
      </w:tblPr>
      <w:tblGrid>
        <w:gridCol w:w="67"/>
        <w:gridCol w:w="2157"/>
        <w:gridCol w:w="36"/>
        <w:gridCol w:w="67"/>
        <w:gridCol w:w="5691"/>
        <w:gridCol w:w="36"/>
      </w:tblGrid>
      <w:tr w:rsidR="00584EC1" w14:paraId="74DD717B" w14:textId="77777777">
        <w:tc>
          <w:tcPr>
            <w:tcW w:w="50" w:type="pct"/>
            <w:shd w:val="clear" w:color="auto" w:fill="auto"/>
            <w:vAlign w:val="bottom"/>
          </w:tcPr>
          <w:p w14:paraId="74DD7175" w14:textId="77777777" w:rsidR="00584EC1" w:rsidRDefault="00584EC1">
            <w:pPr>
              <w:rPr>
                <w:rFonts w:ascii="宋体"/>
              </w:rPr>
            </w:pPr>
          </w:p>
        </w:tc>
        <w:tc>
          <w:tcPr>
            <w:tcW w:w="1348" w:type="pct"/>
            <w:shd w:val="clear" w:color="auto" w:fill="auto"/>
            <w:vAlign w:val="bottom"/>
          </w:tcPr>
          <w:p w14:paraId="74DD7176" w14:textId="77777777" w:rsidR="00584EC1" w:rsidRDefault="00584EC1">
            <w:pPr>
              <w:rPr>
                <w:rFonts w:ascii="宋体"/>
              </w:rPr>
            </w:pPr>
          </w:p>
        </w:tc>
        <w:tc>
          <w:tcPr>
            <w:tcW w:w="5" w:type="pct"/>
            <w:shd w:val="clear" w:color="auto" w:fill="auto"/>
            <w:vAlign w:val="bottom"/>
          </w:tcPr>
          <w:p w14:paraId="74DD7177" w14:textId="77777777" w:rsidR="00584EC1" w:rsidRDefault="00584EC1">
            <w:pPr>
              <w:rPr>
                <w:rFonts w:ascii="宋体"/>
              </w:rPr>
            </w:pPr>
          </w:p>
        </w:tc>
        <w:tc>
          <w:tcPr>
            <w:tcW w:w="50" w:type="pct"/>
            <w:shd w:val="clear" w:color="auto" w:fill="auto"/>
            <w:vAlign w:val="bottom"/>
          </w:tcPr>
          <w:p w14:paraId="74DD7178" w14:textId="77777777" w:rsidR="00584EC1" w:rsidRDefault="00584EC1">
            <w:pPr>
              <w:rPr>
                <w:rFonts w:ascii="宋体"/>
              </w:rPr>
            </w:pPr>
          </w:p>
        </w:tc>
        <w:tc>
          <w:tcPr>
            <w:tcW w:w="3541" w:type="pct"/>
            <w:shd w:val="clear" w:color="auto" w:fill="auto"/>
            <w:vAlign w:val="bottom"/>
          </w:tcPr>
          <w:p w14:paraId="74DD7179" w14:textId="77777777" w:rsidR="00584EC1" w:rsidRDefault="00584EC1">
            <w:pPr>
              <w:rPr>
                <w:rFonts w:ascii="宋体"/>
              </w:rPr>
            </w:pPr>
          </w:p>
        </w:tc>
        <w:tc>
          <w:tcPr>
            <w:tcW w:w="5" w:type="pct"/>
            <w:shd w:val="clear" w:color="auto" w:fill="auto"/>
            <w:vAlign w:val="bottom"/>
          </w:tcPr>
          <w:p w14:paraId="74DD717A" w14:textId="77777777" w:rsidR="00584EC1" w:rsidRDefault="00584EC1">
            <w:pPr>
              <w:rPr>
                <w:rFonts w:ascii="宋体"/>
              </w:rPr>
            </w:pPr>
          </w:p>
        </w:tc>
      </w:tr>
      <w:tr w:rsidR="00584EC1" w14:paraId="74DD717E"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4DD717C"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717D" w14:textId="77777777" w:rsidR="00584EC1" w:rsidRDefault="00584EC1">
            <w:pPr>
              <w:rPr>
                <w:rFonts w:ascii="宋体"/>
              </w:rPr>
            </w:pPr>
          </w:p>
        </w:tc>
      </w:tr>
    </w:tbl>
    <w:p w14:paraId="74DD717F" w14:textId="77777777" w:rsidR="00584EC1" w:rsidRDefault="00871F8D">
      <w:pPr>
        <w:jc w:val="both"/>
      </w:pPr>
      <w:r>
        <w:rPr>
          <w:rFonts w:ascii="Arial" w:eastAsia="宋体" w:hAnsi="Arial" w:cs="Arial"/>
          <w:color w:val="000000"/>
          <w:sz w:val="7"/>
          <w:szCs w:val="7"/>
        </w:rPr>
        <w:t>(1)</w:t>
      </w:r>
      <w:r>
        <w:rPr>
          <w:rFonts w:ascii="Arial" w:eastAsia="宋体" w:hAnsi="Arial" w:cs="Arial"/>
          <w:color w:val="000000"/>
          <w:sz w:val="12"/>
          <w:szCs w:val="12"/>
        </w:rPr>
        <w:t xml:space="preserve"> Rates earned/paid on interest-earning assets and interest-bearing liabilities include the impact of hedge activities associated with our asset and liability management activities where applicable.</w:t>
      </w:r>
    </w:p>
    <w:p w14:paraId="74DD7180" w14:textId="77777777" w:rsidR="00584EC1" w:rsidRDefault="00871F8D">
      <w:pPr>
        <w:spacing w:before="60"/>
        <w:jc w:val="both"/>
      </w:pPr>
      <w:r>
        <w:rPr>
          <w:rFonts w:ascii="Arial" w:eastAsia="宋体" w:hAnsi="Arial" w:cs="Arial"/>
          <w:color w:val="000000"/>
          <w:sz w:val="7"/>
          <w:szCs w:val="7"/>
        </w:rPr>
        <w:t>(2)</w:t>
      </w:r>
      <w:r>
        <w:rPr>
          <w:rFonts w:ascii="Arial" w:eastAsia="宋体" w:hAnsi="Arial" w:cs="Arial"/>
          <w:color w:val="000000"/>
          <w:sz w:val="12"/>
          <w:szCs w:val="12"/>
        </w:rPr>
        <w:t xml:space="preserve"> Negative values reflect the interest rate environment </w:t>
      </w:r>
      <w:r>
        <w:rPr>
          <w:rFonts w:ascii="Arial" w:eastAsia="宋体" w:hAnsi="Arial" w:cs="Arial"/>
          <w:color w:val="000000"/>
          <w:sz w:val="12"/>
          <w:szCs w:val="12"/>
        </w:rPr>
        <w:t>outside of the U.S. where central bank rates are below zero for several major currencies.</w:t>
      </w:r>
    </w:p>
    <w:p w14:paraId="74DD7181" w14:textId="77777777" w:rsidR="00584EC1" w:rsidRDefault="00871F8D">
      <w:pPr>
        <w:spacing w:before="60"/>
        <w:jc w:val="both"/>
      </w:pPr>
      <w:r>
        <w:rPr>
          <w:rFonts w:ascii="Arial" w:eastAsia="宋体" w:hAnsi="Arial" w:cs="Arial"/>
          <w:color w:val="000000"/>
          <w:sz w:val="7"/>
          <w:szCs w:val="7"/>
        </w:rPr>
        <w:t>(3)</w:t>
      </w:r>
      <w:r>
        <w:rPr>
          <w:rFonts w:ascii="Arial" w:eastAsia="宋体" w:hAnsi="Arial" w:cs="Arial"/>
          <w:color w:val="000000"/>
          <w:sz w:val="12"/>
          <w:szCs w:val="12"/>
        </w:rPr>
        <w:t xml:space="preserve"> Reflects the impact of balance sheet netting under enforceable netting agreements of approximately $52.17 billion and $66.92 billion in the three and nine months ended September 30, 2021, respectively, compared to $83.48 billion and $103.46 billion in the</w:t>
      </w:r>
      <w:r>
        <w:rPr>
          <w:rFonts w:ascii="Arial" w:eastAsia="宋体" w:hAnsi="Arial" w:cs="Arial"/>
          <w:color w:val="000000"/>
          <w:sz w:val="12"/>
          <w:szCs w:val="12"/>
        </w:rPr>
        <w:t xml:space="preserve"> same periods in 2020, respectively. Excluding the impact of netting, the average interest rates would be approximately 0.05% and 0.04% in the three and nine months ended September 30, 2021, respectively, compared to 0.09% and 0.14% in the same periods in </w:t>
      </w:r>
      <w:r>
        <w:rPr>
          <w:rFonts w:ascii="Arial" w:eastAsia="宋体" w:hAnsi="Arial" w:cs="Arial"/>
          <w:color w:val="000000"/>
          <w:sz w:val="12"/>
          <w:szCs w:val="12"/>
        </w:rPr>
        <w:t>2020, respectively.</w:t>
      </w:r>
    </w:p>
    <w:p w14:paraId="74DD7182" w14:textId="77777777" w:rsidR="00584EC1" w:rsidRDefault="00871F8D">
      <w:pPr>
        <w:spacing w:before="60"/>
        <w:jc w:val="both"/>
      </w:pPr>
      <w:r>
        <w:rPr>
          <w:rFonts w:ascii="Arial" w:eastAsia="宋体" w:hAnsi="Arial" w:cs="Arial"/>
          <w:color w:val="000000"/>
          <w:sz w:val="7"/>
          <w:szCs w:val="7"/>
        </w:rPr>
        <w:t>(4)</w:t>
      </w:r>
      <w:r>
        <w:rPr>
          <w:rFonts w:ascii="Arial" w:eastAsia="宋体" w:hAnsi="Arial" w:cs="Arial"/>
          <w:color w:val="000000"/>
          <w:sz w:val="12"/>
          <w:szCs w:val="12"/>
        </w:rPr>
        <w:t xml:space="preserve"> Average rate includes the impact of FX swap costs of approximately ($16) million and ($53) million in the three and nine months ended September 30, 2021, respectively, compared to ($19) million and ($39) million for the same periods</w:t>
      </w:r>
      <w:r>
        <w:rPr>
          <w:rFonts w:ascii="Arial" w:eastAsia="宋体" w:hAnsi="Arial" w:cs="Arial"/>
          <w:color w:val="000000"/>
          <w:sz w:val="12"/>
          <w:szCs w:val="12"/>
        </w:rPr>
        <w:t xml:space="preserve"> in 2020, respectively. Average rates for total interest-bearing deposits excluding the impact of FX swap costs were (0.10)% in both the three and nine months ended September 30, 2021, compared to (0.11)% and (0.01)% in the same periods in 2020, respective</w:t>
      </w:r>
      <w:r>
        <w:rPr>
          <w:rFonts w:ascii="Arial" w:eastAsia="宋体" w:hAnsi="Arial" w:cs="Arial"/>
          <w:color w:val="000000"/>
          <w:sz w:val="12"/>
          <w:szCs w:val="12"/>
        </w:rPr>
        <w:t>ly.</w:t>
      </w:r>
    </w:p>
    <w:p w14:paraId="74DD7183" w14:textId="77777777" w:rsidR="00584EC1" w:rsidRDefault="00871F8D">
      <w:pPr>
        <w:spacing w:before="60"/>
        <w:jc w:val="both"/>
      </w:pPr>
      <w:r>
        <w:rPr>
          <w:rFonts w:ascii="Arial" w:eastAsia="宋体" w:hAnsi="Arial" w:cs="Arial"/>
          <w:color w:val="000000"/>
          <w:sz w:val="7"/>
          <w:szCs w:val="7"/>
        </w:rPr>
        <w:t>(5)</w:t>
      </w:r>
      <w:r>
        <w:rPr>
          <w:rFonts w:ascii="Arial" w:eastAsia="宋体" w:hAnsi="Arial" w:cs="Arial"/>
          <w:color w:val="000000"/>
          <w:sz w:val="12"/>
          <w:szCs w:val="12"/>
        </w:rPr>
        <w:t xml:space="preserve"> Total deposits averaged $233.27 billion and $233.96 billion in the three and nine months ended September 30, 2021, respectively, compared to $189.23 billion and $188.82 billion in the same periods in 2020, respectively.</w:t>
      </w:r>
    </w:p>
    <w:p w14:paraId="74DD7184" w14:textId="77777777" w:rsidR="00584EC1" w:rsidRDefault="00871F8D">
      <w:pPr>
        <w:ind w:firstLine="450"/>
        <w:jc w:val="right"/>
      </w:pPr>
      <w:r>
        <w:rPr>
          <w:rFonts w:ascii="Arial" w:eastAsia="宋体" w:hAnsi="Arial" w:cs="Arial"/>
          <w:color w:val="000000"/>
          <w:sz w:val="18"/>
          <w:szCs w:val="18"/>
        </w:rPr>
        <w:t>State Street Corporation | 1</w:t>
      </w:r>
      <w:r>
        <w:rPr>
          <w:rFonts w:ascii="Arial" w:eastAsia="宋体" w:hAnsi="Arial" w:cs="Arial"/>
          <w:color w:val="000000"/>
          <w:sz w:val="18"/>
          <w:szCs w:val="18"/>
        </w:rPr>
        <w:t>5</w:t>
      </w:r>
    </w:p>
    <w:p w14:paraId="74DD7185" w14:textId="77777777" w:rsidR="00584EC1" w:rsidRDefault="00584EC1">
      <w:pPr>
        <w:ind w:firstLine="450"/>
        <w:jc w:val="center"/>
      </w:pPr>
    </w:p>
    <w:p w14:paraId="74DD7186" w14:textId="77777777" w:rsidR="00584EC1" w:rsidRDefault="00871F8D">
      <w:r>
        <w:pict w14:anchorId="74DE29FD">
          <v:rect id="_x0000_i1039" style="width:415.3pt;height:1.5pt" o:hralign="center" o:hrstd="t" o:hr="t" fillcolor="#a0a0a0" stroked="f"/>
        </w:pict>
      </w:r>
    </w:p>
    <w:p w14:paraId="74DD7187" w14:textId="77777777" w:rsidR="00584EC1" w:rsidRDefault="00871F8D">
      <w:pPr>
        <w:ind w:firstLine="450"/>
        <w:jc w:val="center"/>
      </w:pPr>
      <w:r>
        <w:rPr>
          <w:rFonts w:ascii="Arial" w:eastAsia="宋体" w:hAnsi="Arial" w:cs="Arial"/>
          <w:b/>
          <w:bCs/>
          <w:color w:val="000000"/>
          <w:sz w:val="20"/>
          <w:szCs w:val="20"/>
        </w:rPr>
        <w:t>MANAGEMENT’S DISCUSSION AND ANALYSIS OF FINANCIAL CONDITION</w:t>
      </w:r>
    </w:p>
    <w:p w14:paraId="74DD7188" w14:textId="77777777" w:rsidR="00584EC1" w:rsidRDefault="00871F8D">
      <w:pPr>
        <w:ind w:firstLine="450"/>
        <w:jc w:val="center"/>
      </w:pPr>
      <w:r>
        <w:rPr>
          <w:rFonts w:ascii="Arial" w:eastAsia="宋体" w:hAnsi="Arial" w:cs="Arial"/>
          <w:b/>
          <w:bCs/>
          <w:color w:val="000000"/>
          <w:sz w:val="20"/>
          <w:szCs w:val="20"/>
        </w:rPr>
        <w:t>AND RESULTS OF OPERATIONS</w:t>
      </w:r>
    </w:p>
    <w:p w14:paraId="74DD7189" w14:textId="77777777" w:rsidR="00584EC1" w:rsidRDefault="00871F8D">
      <w:pPr>
        <w:spacing w:before="120"/>
        <w:ind w:firstLine="450"/>
        <w:jc w:val="both"/>
        <w:textAlignment w:val="top"/>
      </w:pPr>
      <w:r>
        <w:rPr>
          <w:rFonts w:ascii="Arial" w:eastAsia="宋体" w:hAnsi="Arial" w:cs="Arial"/>
          <w:color w:val="000000"/>
          <w:sz w:val="20"/>
          <w:szCs w:val="20"/>
        </w:rPr>
        <w:t xml:space="preserve">Changes in the components of interest-earning assets and interest-bearing liabilities are discussed in more detail below. Additional information about the </w:t>
      </w:r>
      <w:r>
        <w:rPr>
          <w:rFonts w:ascii="Arial" w:eastAsia="宋体" w:hAnsi="Arial" w:cs="Arial"/>
          <w:color w:val="000000"/>
          <w:sz w:val="20"/>
          <w:szCs w:val="20"/>
        </w:rPr>
        <w:t>components of interest income and interest expense is provided in Note 14 to the consolidated financial statements within this Form 10-Q.</w:t>
      </w:r>
    </w:p>
    <w:p w14:paraId="74DD718A" w14:textId="77777777" w:rsidR="00584EC1" w:rsidRDefault="00871F8D">
      <w:pPr>
        <w:spacing w:before="60"/>
        <w:ind w:firstLine="450"/>
        <w:jc w:val="both"/>
        <w:textAlignment w:val="top"/>
      </w:pPr>
      <w:r>
        <w:rPr>
          <w:rFonts w:ascii="Arial" w:eastAsia="宋体" w:hAnsi="Arial" w:cs="Arial"/>
          <w:color w:val="000000"/>
          <w:sz w:val="20"/>
          <w:szCs w:val="20"/>
        </w:rPr>
        <w:t>Average total interest-earning assets were $254.50 billion and $258.42 billion in the three and nine months ended Sept</w:t>
      </w:r>
      <w:r>
        <w:rPr>
          <w:rFonts w:ascii="Arial" w:eastAsia="宋体" w:hAnsi="Arial" w:cs="Arial"/>
          <w:color w:val="000000"/>
          <w:sz w:val="20"/>
          <w:szCs w:val="20"/>
        </w:rPr>
        <w:t xml:space="preserve">ember 30, 2021, respectively, compared to $225.81 billion and $225.74 billion in the same periods in 2020, respectively. The increase is primarily due to higher interest-bearing deposits with banks, investment securities, loans and other interest- earning </w:t>
      </w:r>
      <w:r>
        <w:rPr>
          <w:rFonts w:ascii="Arial" w:eastAsia="宋体" w:hAnsi="Arial" w:cs="Arial"/>
          <w:color w:val="000000"/>
          <w:sz w:val="20"/>
          <w:szCs w:val="20"/>
        </w:rPr>
        <w:t>assets, partially offset by a decrease in investment securities purchased under the MMLF facility.</w:t>
      </w:r>
    </w:p>
    <w:p w14:paraId="74DD718B" w14:textId="77777777" w:rsidR="00584EC1" w:rsidRDefault="00871F8D">
      <w:pPr>
        <w:spacing w:before="60"/>
        <w:ind w:firstLine="450"/>
        <w:jc w:val="both"/>
        <w:textAlignment w:val="top"/>
      </w:pPr>
      <w:r>
        <w:rPr>
          <w:rFonts w:ascii="Arial" w:eastAsia="宋体" w:hAnsi="Arial" w:cs="Arial"/>
          <w:color w:val="000000"/>
          <w:sz w:val="20"/>
          <w:szCs w:val="20"/>
        </w:rPr>
        <w:t>Interest-bearing deposits with banks averaged $79.38 billion and $91.29 billion in the three and nine months ended September 30, 2021, respectively, compared</w:t>
      </w:r>
      <w:r>
        <w:rPr>
          <w:rFonts w:ascii="Arial" w:eastAsia="宋体" w:hAnsi="Arial" w:cs="Arial"/>
          <w:color w:val="000000"/>
          <w:sz w:val="20"/>
          <w:szCs w:val="20"/>
        </w:rPr>
        <w:t xml:space="preserve"> to $72.72 billion and $75.52 billion in the same periods in 2020, respectively. These deposits primarily reflect our maintenance of cash balances at the Federal Reserve, the European Central Bank (ECB) and other non-U.S. central banks. The higher levels o</w:t>
      </w:r>
      <w:r>
        <w:rPr>
          <w:rFonts w:ascii="Arial" w:eastAsia="宋体" w:hAnsi="Arial" w:cs="Arial"/>
          <w:color w:val="000000"/>
          <w:sz w:val="20"/>
          <w:szCs w:val="20"/>
        </w:rPr>
        <w:t>f average cash balances with central banks reflect higher levels of client deposits.</w:t>
      </w:r>
    </w:p>
    <w:p w14:paraId="74DD718C" w14:textId="77777777" w:rsidR="00584EC1" w:rsidRDefault="00871F8D">
      <w:pPr>
        <w:spacing w:before="60"/>
        <w:ind w:firstLine="450"/>
        <w:jc w:val="both"/>
        <w:textAlignment w:val="top"/>
      </w:pPr>
      <w:r>
        <w:rPr>
          <w:rFonts w:ascii="Arial" w:eastAsia="宋体" w:hAnsi="Arial" w:cs="Arial"/>
          <w:color w:val="000000"/>
          <w:sz w:val="20"/>
          <w:szCs w:val="20"/>
        </w:rPr>
        <w:t>Securities repurchased under resale agreements averaged $4.06 billion and $4.19 billion in the three and nine months ended September 30, 2021, respectively, compared to $4</w:t>
      </w:r>
      <w:r>
        <w:rPr>
          <w:rFonts w:ascii="Arial" w:eastAsia="宋体" w:hAnsi="Arial" w:cs="Arial"/>
          <w:color w:val="000000"/>
          <w:sz w:val="20"/>
          <w:szCs w:val="20"/>
        </w:rPr>
        <w:t xml:space="preserve">.18 billion and $3.11 billion in the same periods in 2020, respectively. The impact of balance sheet netting decreased to $52.17 billion and $66.92 billion in the three and nine months ended September 30, 2021, respectively, compared to $83.48 billion and </w:t>
      </w:r>
      <w:r>
        <w:rPr>
          <w:rFonts w:ascii="Arial" w:eastAsia="宋体" w:hAnsi="Arial" w:cs="Arial"/>
          <w:color w:val="000000"/>
          <w:sz w:val="20"/>
          <w:szCs w:val="20"/>
        </w:rPr>
        <w:t>$103.46 billion in the same periods in 2020, respectively. We maintain an agreement with Fixed Income Clearing Corporation (FICC), a clearing organization that enables us to net securities sold under repurchase agreements against those repurchased under re</w:t>
      </w:r>
      <w:r>
        <w:rPr>
          <w:rFonts w:ascii="Arial" w:eastAsia="宋体" w:hAnsi="Arial" w:cs="Arial"/>
          <w:color w:val="000000"/>
          <w:sz w:val="20"/>
          <w:szCs w:val="20"/>
        </w:rPr>
        <w:t>sale agreements with counterparties that are also members of the clearing organization, when specific netting criteria are met. The decrease in average balance sheet netting in the three and nine months ended September 30, 2021, compared to the same period</w:t>
      </w:r>
      <w:r>
        <w:rPr>
          <w:rFonts w:ascii="Arial" w:eastAsia="宋体" w:hAnsi="Arial" w:cs="Arial"/>
          <w:color w:val="000000"/>
          <w:sz w:val="20"/>
          <w:szCs w:val="20"/>
        </w:rPr>
        <w:t>s in 2020, is primarily due to lower FICC repo volumes from an increased cash supply and lower short-term interest rates driven by extensive Federal Reserve stimulus.</w:t>
      </w:r>
    </w:p>
    <w:p w14:paraId="74DD718D" w14:textId="77777777" w:rsidR="00584EC1" w:rsidRDefault="00871F8D">
      <w:pPr>
        <w:spacing w:before="60"/>
        <w:ind w:firstLine="450"/>
        <w:jc w:val="both"/>
        <w:textAlignment w:val="top"/>
      </w:pPr>
      <w:r>
        <w:rPr>
          <w:rFonts w:ascii="Arial" w:eastAsia="宋体" w:hAnsi="Arial" w:cs="Arial"/>
          <w:color w:val="000000"/>
          <w:sz w:val="20"/>
          <w:szCs w:val="20"/>
        </w:rPr>
        <w:t>We have been a sponsoring member within FICC since 2005 and continue to expand our client</w:t>
      </w:r>
      <w:r>
        <w:rPr>
          <w:rFonts w:ascii="Arial" w:eastAsia="宋体" w:hAnsi="Arial" w:cs="Arial"/>
          <w:color w:val="000000"/>
          <w:sz w:val="20"/>
          <w:szCs w:val="20"/>
        </w:rPr>
        <w:t xml:space="preserve"> base as program eligibility parameters broaden. We enter into repurchase and resale transactions in eligible securities with sponsored clients and with other FICC members and, pursuant to FICC Government Securities Division rules, submit, novate </w:t>
      </w:r>
    </w:p>
    <w:p w14:paraId="74DD718E" w14:textId="77777777" w:rsidR="00584EC1" w:rsidRDefault="00871F8D">
      <w:pPr>
        <w:spacing w:before="60"/>
        <w:jc w:val="both"/>
        <w:textAlignment w:val="top"/>
      </w:pPr>
      <w:r>
        <w:rPr>
          <w:rFonts w:ascii="Arial" w:eastAsia="宋体" w:hAnsi="Arial" w:cs="Arial"/>
          <w:color w:val="000000"/>
          <w:sz w:val="20"/>
          <w:szCs w:val="20"/>
        </w:rPr>
        <w:t xml:space="preserve">and net </w:t>
      </w:r>
      <w:r>
        <w:rPr>
          <w:rFonts w:ascii="Arial" w:eastAsia="宋体" w:hAnsi="Arial" w:cs="Arial"/>
          <w:color w:val="000000"/>
          <w:sz w:val="20"/>
          <w:szCs w:val="20"/>
        </w:rPr>
        <w:t xml:space="preserve">the transactions. We may sponsor clients to clear their eligible repurchase transactions with FICC, backed by our guarantee to FICC of the prompt and full payment and performance of our sponsored member clients’ respective obligations. We generally obtain </w:t>
      </w:r>
      <w:r>
        <w:rPr>
          <w:rFonts w:ascii="Arial" w:eastAsia="宋体" w:hAnsi="Arial" w:cs="Arial"/>
          <w:color w:val="000000"/>
          <w:sz w:val="20"/>
          <w:szCs w:val="20"/>
        </w:rPr>
        <w:t>a security interest from our sponsored clients in the high quality securities collateral that they receive, which is designed to mitigate our potential exposure to FICC.</w:t>
      </w:r>
    </w:p>
    <w:p w14:paraId="74DD718F" w14:textId="77777777" w:rsidR="00584EC1" w:rsidRDefault="00871F8D">
      <w:pPr>
        <w:spacing w:before="60"/>
        <w:ind w:firstLine="450"/>
        <w:jc w:val="both"/>
        <w:textAlignment w:val="top"/>
      </w:pPr>
      <w:r>
        <w:rPr>
          <w:rFonts w:ascii="Arial" w:eastAsia="宋体" w:hAnsi="Arial" w:cs="Arial"/>
          <w:color w:val="000000"/>
          <w:sz w:val="20"/>
          <w:szCs w:val="20"/>
        </w:rPr>
        <w:t>Average investment securities were $113.64 billion and $111.00 billion, in the three a</w:t>
      </w:r>
      <w:r>
        <w:rPr>
          <w:rFonts w:ascii="Arial" w:eastAsia="宋体" w:hAnsi="Arial" w:cs="Arial"/>
          <w:color w:val="000000"/>
          <w:sz w:val="20"/>
          <w:szCs w:val="20"/>
        </w:rPr>
        <w:t>nd nine months ended September 30, 2021, respectively, including $420 million MMLF securities in the nine months ended September 30, 2021, compared to $110.45 billion and $108.22 billion, including $7.49 billion and $9.52 billion MMLF securities, in the sa</w:t>
      </w:r>
      <w:r>
        <w:rPr>
          <w:rFonts w:ascii="Arial" w:eastAsia="宋体" w:hAnsi="Arial" w:cs="Arial"/>
          <w:color w:val="000000"/>
          <w:sz w:val="20"/>
          <w:szCs w:val="20"/>
        </w:rPr>
        <w:t xml:space="preserve">me periods in 2020, respectively. We did not have any MMLF securities in the three months ended September 30, 2021. Average investment securities, excluding MMLF HTM securities, increased to $113.64 billion and $110.58 billion in the three and nine months </w:t>
      </w:r>
      <w:r>
        <w:rPr>
          <w:rFonts w:ascii="Arial" w:eastAsia="宋体" w:hAnsi="Arial" w:cs="Arial"/>
          <w:color w:val="000000"/>
          <w:sz w:val="20"/>
          <w:szCs w:val="20"/>
        </w:rPr>
        <w:t xml:space="preserve">ended September 30, 2021, respectively, compared to $102.96 billion and $98.70 billion in the same periods in 2020, respectively, primarily driven by U.S. Treasuries, CMBS balances and foreign government bonds. The growth reflects our deployment of higher </w:t>
      </w:r>
      <w:r>
        <w:rPr>
          <w:rFonts w:ascii="Arial" w:eastAsia="宋体" w:hAnsi="Arial" w:cs="Arial"/>
          <w:color w:val="000000"/>
          <w:sz w:val="20"/>
          <w:szCs w:val="20"/>
        </w:rPr>
        <w:t>structural deposit levels that resulted from the COVID-19 pandemic.</w:t>
      </w:r>
    </w:p>
    <w:p w14:paraId="74DD7190" w14:textId="77777777" w:rsidR="00584EC1" w:rsidRDefault="00871F8D">
      <w:pPr>
        <w:spacing w:before="60"/>
        <w:ind w:firstLine="450"/>
        <w:jc w:val="both"/>
        <w:textAlignment w:val="top"/>
      </w:pPr>
      <w:r>
        <w:rPr>
          <w:rFonts w:ascii="Arial" w:eastAsia="宋体" w:hAnsi="Arial" w:cs="Arial"/>
          <w:color w:val="000000"/>
          <w:sz w:val="20"/>
          <w:szCs w:val="20"/>
        </w:rPr>
        <w:t>Loans averaged $32.04 billion and $29.86 billion in the three and nine months ended September 30, 2021, respectively, compared to $25.97 billion and $27.27 billion in the same periods in 2</w:t>
      </w:r>
      <w:r>
        <w:rPr>
          <w:rFonts w:ascii="Arial" w:eastAsia="宋体" w:hAnsi="Arial" w:cs="Arial"/>
          <w:color w:val="000000"/>
          <w:sz w:val="20"/>
          <w:szCs w:val="20"/>
        </w:rPr>
        <w:t>020, respectively. Average core loans, which exclude overdrafts and highlight our efforts to grow our lending portfolio, averaged $28.41 billion and $25.92 billion in the three and nine months ended September 30, 2021, respectively, compared to $22.54 bill</w:t>
      </w:r>
      <w:r>
        <w:rPr>
          <w:rFonts w:ascii="Arial" w:eastAsia="宋体" w:hAnsi="Arial" w:cs="Arial"/>
          <w:color w:val="000000"/>
          <w:sz w:val="20"/>
          <w:szCs w:val="20"/>
        </w:rPr>
        <w:t>ion and $22.42 billion in the same periods in 2020, respectively. The increases in both periods are primarily due to growth in CLOs in loan form and fund finance loans. Additional information about these loans is provided in Note 4 to the consolidated fina</w:t>
      </w:r>
      <w:r>
        <w:rPr>
          <w:rFonts w:ascii="Arial" w:eastAsia="宋体" w:hAnsi="Arial" w:cs="Arial"/>
          <w:color w:val="000000"/>
          <w:sz w:val="20"/>
          <w:szCs w:val="20"/>
        </w:rPr>
        <w:t>ncial statements in this Form 10-Q.</w:t>
      </w:r>
    </w:p>
    <w:p w14:paraId="74DD7191" w14:textId="77777777" w:rsidR="00584EC1" w:rsidRDefault="00871F8D">
      <w:pPr>
        <w:spacing w:before="60"/>
        <w:ind w:firstLine="450"/>
        <w:jc w:val="both"/>
        <w:textAlignment w:val="top"/>
      </w:pPr>
      <w:r>
        <w:rPr>
          <w:rFonts w:ascii="Arial" w:eastAsia="宋体" w:hAnsi="Arial" w:cs="Arial"/>
          <w:color w:val="000000"/>
          <w:sz w:val="20"/>
          <w:szCs w:val="20"/>
        </w:rPr>
        <w:t>Average other interest-earning assets, largely associated with our enhanced custody business, increased to $24.66 billion and $21.32 billion in the three and nine months ended September 30, 2021, respectively, from $11.5</w:t>
      </w:r>
      <w:r>
        <w:rPr>
          <w:rFonts w:ascii="Arial" w:eastAsia="宋体" w:hAnsi="Arial" w:cs="Arial"/>
          <w:color w:val="000000"/>
          <w:sz w:val="20"/>
          <w:szCs w:val="20"/>
        </w:rPr>
        <w:t>9 billion and $10.73 billion in the same periods in 2020, respectively, primarily driven by an increase in the level of cash collateral posted. Enhanced custody is our securities financing business where we act as principal with respect to our custody clie</w:t>
      </w:r>
      <w:r>
        <w:rPr>
          <w:rFonts w:ascii="Arial" w:eastAsia="宋体" w:hAnsi="Arial" w:cs="Arial"/>
          <w:color w:val="000000"/>
          <w:sz w:val="20"/>
          <w:szCs w:val="20"/>
        </w:rPr>
        <w:t>nts and generate securities finance revenue. The NII earned on these transactions is generally lower than the interest earned on other alternative investments.</w:t>
      </w:r>
    </w:p>
    <w:p w14:paraId="74DD7192" w14:textId="77777777" w:rsidR="00584EC1" w:rsidRDefault="00871F8D">
      <w:pPr>
        <w:ind w:firstLine="450"/>
        <w:jc w:val="right"/>
      </w:pPr>
      <w:r>
        <w:rPr>
          <w:rFonts w:ascii="Arial" w:eastAsia="宋体" w:hAnsi="Arial" w:cs="Arial"/>
          <w:color w:val="000000"/>
          <w:sz w:val="18"/>
          <w:szCs w:val="18"/>
        </w:rPr>
        <w:t>State Street Corporation | 16</w:t>
      </w:r>
    </w:p>
    <w:p w14:paraId="74DD7193" w14:textId="77777777" w:rsidR="00584EC1" w:rsidRDefault="00584EC1">
      <w:pPr>
        <w:ind w:firstLine="450"/>
        <w:jc w:val="center"/>
      </w:pPr>
    </w:p>
    <w:p w14:paraId="74DD7194" w14:textId="77777777" w:rsidR="00584EC1" w:rsidRDefault="00871F8D">
      <w:r>
        <w:pict w14:anchorId="74DE29FE">
          <v:rect id="_x0000_i1040" style="width:415.3pt;height:1.5pt" o:hralign="center" o:hrstd="t" o:hr="t" fillcolor="#a0a0a0" stroked="f"/>
        </w:pict>
      </w:r>
    </w:p>
    <w:p w14:paraId="74DD7195" w14:textId="77777777" w:rsidR="00584EC1" w:rsidRDefault="00871F8D">
      <w:pPr>
        <w:ind w:firstLine="450"/>
        <w:jc w:val="center"/>
      </w:pPr>
      <w:r>
        <w:rPr>
          <w:rFonts w:ascii="Arial" w:eastAsia="宋体" w:hAnsi="Arial" w:cs="Arial"/>
          <w:b/>
          <w:bCs/>
          <w:color w:val="000000"/>
          <w:sz w:val="20"/>
          <w:szCs w:val="20"/>
        </w:rPr>
        <w:t>MANAGEMENT’S DISCUSSION AND ANALYSIS OF FINANCIAL CONDITION</w:t>
      </w:r>
    </w:p>
    <w:p w14:paraId="74DD7196" w14:textId="77777777" w:rsidR="00584EC1" w:rsidRDefault="00871F8D">
      <w:pPr>
        <w:ind w:firstLine="450"/>
        <w:jc w:val="center"/>
      </w:pPr>
      <w:r>
        <w:rPr>
          <w:rFonts w:ascii="Arial" w:eastAsia="宋体" w:hAnsi="Arial" w:cs="Arial"/>
          <w:b/>
          <w:bCs/>
          <w:color w:val="000000"/>
          <w:sz w:val="20"/>
          <w:szCs w:val="20"/>
        </w:rPr>
        <w:t>AND</w:t>
      </w:r>
      <w:r>
        <w:rPr>
          <w:rFonts w:ascii="Arial" w:eastAsia="宋体" w:hAnsi="Arial" w:cs="Arial"/>
          <w:b/>
          <w:bCs/>
          <w:color w:val="000000"/>
          <w:sz w:val="20"/>
          <w:szCs w:val="20"/>
        </w:rPr>
        <w:t xml:space="preserve"> RESULTS OF OPERATIONS</w:t>
      </w:r>
    </w:p>
    <w:p w14:paraId="74DD7197" w14:textId="77777777" w:rsidR="00584EC1" w:rsidRDefault="00871F8D">
      <w:pPr>
        <w:spacing w:before="60"/>
        <w:ind w:firstLine="450"/>
        <w:jc w:val="both"/>
        <w:textAlignment w:val="top"/>
      </w:pPr>
      <w:r>
        <w:rPr>
          <w:rFonts w:ascii="Arial" w:eastAsia="宋体" w:hAnsi="Arial" w:cs="Arial"/>
          <w:color w:val="000000"/>
          <w:sz w:val="20"/>
          <w:szCs w:val="20"/>
        </w:rPr>
        <w:t xml:space="preserve">Aggregate average total interest-bearing deposits increased to $186.81 billion and $186.60 billion in the three and nine months ended September 30, 2021, respectively, from $154.95 billion and $152.55 billion in the same </w:t>
      </w:r>
      <w:r>
        <w:rPr>
          <w:rFonts w:ascii="Arial" w:eastAsia="宋体" w:hAnsi="Arial" w:cs="Arial"/>
          <w:color w:val="000000"/>
          <w:sz w:val="20"/>
          <w:szCs w:val="20"/>
        </w:rPr>
        <w:t>periods in 2020, respectively. Average U.S. interest-bearing deposits increased as a result of the market uncertainty due to the COVID-19 pandemic, U.S. monetary policy and the level of global interest rates. We expect deposits to remain elevated within th</w:t>
      </w:r>
      <w:r>
        <w:rPr>
          <w:rFonts w:ascii="Arial" w:eastAsia="宋体" w:hAnsi="Arial" w:cs="Arial"/>
          <w:color w:val="000000"/>
          <w:sz w:val="20"/>
          <w:szCs w:val="20"/>
        </w:rPr>
        <w:t>e current environment of low interest rates and continued expansion of the money supply by the Federal Reserve, but modestly reduced from third quarter of 2021 levels. Future deposit levels will be influenced by the underlying asset servicing business, cli</w:t>
      </w:r>
      <w:r>
        <w:rPr>
          <w:rFonts w:ascii="Arial" w:eastAsia="宋体" w:hAnsi="Arial" w:cs="Arial"/>
          <w:color w:val="000000"/>
          <w:sz w:val="20"/>
          <w:szCs w:val="20"/>
        </w:rPr>
        <w:t>ent deposit behavior and market conditions, including the general levels of U.S. and non-U.S. interest rates.</w:t>
      </w:r>
    </w:p>
    <w:p w14:paraId="74DD7198" w14:textId="77777777" w:rsidR="00584EC1" w:rsidRDefault="00871F8D">
      <w:pPr>
        <w:spacing w:before="60"/>
        <w:ind w:firstLine="450"/>
        <w:jc w:val="both"/>
        <w:textAlignment w:val="top"/>
      </w:pPr>
      <w:r>
        <w:rPr>
          <w:rFonts w:ascii="Arial" w:eastAsia="宋体" w:hAnsi="Arial" w:cs="Arial"/>
          <w:color w:val="000000"/>
          <w:sz w:val="20"/>
          <w:szCs w:val="20"/>
        </w:rPr>
        <w:t>Average other short-term borrowings decreased to $0.84 billion and $0.83 billion in the three and nine months ended September 30, 2021, respective</w:t>
      </w:r>
      <w:r>
        <w:rPr>
          <w:rFonts w:ascii="Arial" w:eastAsia="宋体" w:hAnsi="Arial" w:cs="Arial"/>
          <w:color w:val="000000"/>
          <w:sz w:val="20"/>
          <w:szCs w:val="20"/>
        </w:rPr>
        <w:t>ly, from $1.72 billion and $2.58 billion in the same periods in 2020, respectively. The decrease is primarily due to lower borrowings from the FHLB in the three and nine months ended September 30, 2021, compared to the same periods in 2020.</w:t>
      </w:r>
    </w:p>
    <w:p w14:paraId="74DD7199" w14:textId="77777777" w:rsidR="00584EC1" w:rsidRDefault="00871F8D">
      <w:pPr>
        <w:spacing w:before="60"/>
        <w:ind w:firstLine="450"/>
        <w:jc w:val="both"/>
        <w:textAlignment w:val="top"/>
      </w:pPr>
      <w:r>
        <w:rPr>
          <w:rFonts w:ascii="Arial" w:eastAsia="宋体" w:hAnsi="Arial" w:cs="Arial"/>
          <w:color w:val="000000"/>
          <w:sz w:val="20"/>
          <w:szCs w:val="20"/>
        </w:rPr>
        <w:t>Average long-te</w:t>
      </w:r>
      <w:r>
        <w:rPr>
          <w:rFonts w:ascii="Arial" w:eastAsia="宋体" w:hAnsi="Arial" w:cs="Arial"/>
          <w:color w:val="000000"/>
          <w:sz w:val="20"/>
          <w:szCs w:val="20"/>
        </w:rPr>
        <w:t>rm debt was $13.02 billion and $13.43 billion in the three and nine months ended September 30, 2021, respectively, compared to $14.79 billion and $14.55 billion in the same periods in 2020, respectively. These amounts reflect issuances, redemptions and mat</w:t>
      </w:r>
      <w:r>
        <w:rPr>
          <w:rFonts w:ascii="Arial" w:eastAsia="宋体" w:hAnsi="Arial" w:cs="Arial"/>
          <w:color w:val="000000"/>
          <w:sz w:val="20"/>
          <w:szCs w:val="20"/>
        </w:rPr>
        <w:t xml:space="preserve">urities of senior debt during the respective periods. </w:t>
      </w:r>
    </w:p>
    <w:p w14:paraId="74DD719A" w14:textId="77777777" w:rsidR="00584EC1" w:rsidRDefault="00871F8D">
      <w:pPr>
        <w:spacing w:before="60"/>
        <w:ind w:firstLine="450"/>
        <w:jc w:val="both"/>
        <w:textAlignment w:val="top"/>
      </w:pPr>
      <w:r>
        <w:rPr>
          <w:rFonts w:ascii="Arial" w:eastAsia="宋体" w:hAnsi="Arial" w:cs="Arial"/>
          <w:color w:val="000000"/>
          <w:sz w:val="20"/>
          <w:szCs w:val="20"/>
        </w:rPr>
        <w:t>Average other interest-bearing liabilities were $5.46 billion and $5.33 billion in the three and nine months ended September 30, 2021, respectively, compared to $2.76 billion and $3.22 billion in the s</w:t>
      </w:r>
      <w:r>
        <w:rPr>
          <w:rFonts w:ascii="Arial" w:eastAsia="宋体" w:hAnsi="Arial" w:cs="Arial"/>
          <w:color w:val="000000"/>
          <w:sz w:val="20"/>
          <w:szCs w:val="20"/>
        </w:rPr>
        <w:t>ame periods in 2020, respectively. Other interest-bearing liabilities primarily reflect our level of cash collateral received from clients in connection with our enhanced custody business, which is presented on a net basis where we have enforceable netting</w:t>
      </w:r>
      <w:r>
        <w:rPr>
          <w:rFonts w:ascii="Arial" w:eastAsia="宋体" w:hAnsi="Arial" w:cs="Arial"/>
          <w:color w:val="000000"/>
          <w:sz w:val="20"/>
          <w:szCs w:val="20"/>
        </w:rPr>
        <w:t xml:space="preserve"> agreements.</w:t>
      </w:r>
    </w:p>
    <w:p w14:paraId="74DD719B" w14:textId="77777777" w:rsidR="00584EC1" w:rsidRDefault="00871F8D">
      <w:pPr>
        <w:spacing w:before="60"/>
        <w:ind w:firstLine="450"/>
        <w:jc w:val="both"/>
        <w:textAlignment w:val="top"/>
      </w:pPr>
      <w:r>
        <w:rPr>
          <w:rFonts w:ascii="Arial" w:eastAsia="宋体" w:hAnsi="Arial" w:cs="Arial"/>
          <w:color w:val="000000"/>
          <w:sz w:val="20"/>
          <w:szCs w:val="20"/>
        </w:rPr>
        <w:t>Several factors could affect future levels of NII and NIM, including the volume and mix of client deposits and funding sources; central bank actions; balance sheet management activities; changes in the level and slope of U.S. and non-U.S. inte</w:t>
      </w:r>
      <w:r>
        <w:rPr>
          <w:rFonts w:ascii="Arial" w:eastAsia="宋体" w:hAnsi="Arial" w:cs="Arial"/>
          <w:color w:val="000000"/>
          <w:sz w:val="20"/>
          <w:szCs w:val="20"/>
        </w:rPr>
        <w:t>rest rates; revised or proposed regulatory capital or liquidity standards, or interpretations of those standards; the yields earned on securities purchased compared to the yields earned on securities sold or matured; and changes in the type and amount of c</w:t>
      </w:r>
      <w:r>
        <w:rPr>
          <w:rFonts w:ascii="Arial" w:eastAsia="宋体" w:hAnsi="Arial" w:cs="Arial"/>
          <w:color w:val="000000"/>
          <w:sz w:val="20"/>
          <w:szCs w:val="20"/>
        </w:rPr>
        <w:t>redit or other loans we extend.</w:t>
      </w:r>
    </w:p>
    <w:p w14:paraId="74DD719C" w14:textId="77777777" w:rsidR="00584EC1" w:rsidRDefault="00871F8D">
      <w:pPr>
        <w:spacing w:before="60"/>
        <w:ind w:firstLine="450"/>
        <w:jc w:val="both"/>
        <w:textAlignment w:val="top"/>
      </w:pPr>
      <w:r>
        <w:rPr>
          <w:rFonts w:ascii="Arial" w:eastAsia="宋体" w:hAnsi="Arial" w:cs="Arial"/>
          <w:color w:val="000000"/>
          <w:sz w:val="20"/>
          <w:szCs w:val="20"/>
        </w:rPr>
        <w:t xml:space="preserve">Based on market conditions and other factors, including regulatory standards, we continue to </w:t>
      </w:r>
    </w:p>
    <w:p w14:paraId="74DD719D" w14:textId="77777777" w:rsidR="00584EC1" w:rsidRDefault="00871F8D">
      <w:pPr>
        <w:spacing w:before="60"/>
        <w:jc w:val="both"/>
        <w:textAlignment w:val="top"/>
      </w:pPr>
      <w:r>
        <w:rPr>
          <w:rFonts w:ascii="Arial" w:eastAsia="宋体" w:hAnsi="Arial" w:cs="Arial"/>
          <w:color w:val="000000"/>
          <w:sz w:val="20"/>
          <w:szCs w:val="20"/>
        </w:rPr>
        <w:t>reinvest the majority of the proceeds from pay-downs and maturities of investment securities in highly-rated U.S. and non-U.S. sec</w:t>
      </w:r>
      <w:r>
        <w:rPr>
          <w:rFonts w:ascii="Arial" w:eastAsia="宋体" w:hAnsi="Arial" w:cs="Arial"/>
          <w:color w:val="000000"/>
          <w:sz w:val="20"/>
          <w:szCs w:val="20"/>
        </w:rPr>
        <w:t>urities, such as federal agency MBS, sovereign debt securities and U.S. Treasury and agency securities. The pace at which we reinvest and the types of investment securities purchased will depend on the impact of market conditions, the implementation of reg</w:t>
      </w:r>
      <w:r>
        <w:rPr>
          <w:rFonts w:ascii="Arial" w:eastAsia="宋体" w:hAnsi="Arial" w:cs="Arial"/>
          <w:color w:val="000000"/>
          <w:sz w:val="20"/>
          <w:szCs w:val="20"/>
        </w:rPr>
        <w:t>ulatory standards, including interpretation of those standards and other factors over time. We expect these factors and the levels of global interest rates to impact our reinvestment program and future levels of NII and NIM.</w:t>
      </w:r>
    </w:p>
    <w:p w14:paraId="74DD719E" w14:textId="77777777" w:rsidR="00584EC1" w:rsidRDefault="00871F8D">
      <w:pPr>
        <w:spacing w:before="90"/>
        <w:textAlignment w:val="top"/>
      </w:pPr>
      <w:r>
        <w:rPr>
          <w:rFonts w:ascii="Arial" w:eastAsia="宋体" w:hAnsi="Arial" w:cs="Arial"/>
          <w:b/>
          <w:bCs/>
          <w:color w:val="000000"/>
          <w:sz w:val="20"/>
          <w:szCs w:val="20"/>
        </w:rPr>
        <w:t>Provision for Credit Losses</w:t>
      </w:r>
    </w:p>
    <w:p w14:paraId="74DD719F" w14:textId="77777777" w:rsidR="00584EC1" w:rsidRDefault="00871F8D">
      <w:pPr>
        <w:spacing w:before="60"/>
        <w:ind w:firstLine="450"/>
        <w:jc w:val="both"/>
        <w:textAlignment w:val="top"/>
      </w:pPr>
      <w:r>
        <w:rPr>
          <w:rFonts w:ascii="Arial" w:eastAsia="宋体" w:hAnsi="Arial" w:cs="Arial"/>
          <w:color w:val="000000"/>
          <w:sz w:val="20"/>
          <w:szCs w:val="20"/>
        </w:rPr>
        <w:t>The</w:t>
      </w:r>
      <w:r>
        <w:rPr>
          <w:rFonts w:ascii="Arial" w:eastAsia="宋体" w:hAnsi="Arial" w:cs="Arial"/>
          <w:color w:val="000000"/>
          <w:sz w:val="20"/>
          <w:szCs w:val="20"/>
        </w:rPr>
        <w:t>re was a $2 million reserve release for the provision for credit losses in the third quarter of 2021, which is primarily driven by improvements in credit quality and stable economic outlook. We recorded no provision for credit losses in the third quarter o</w:t>
      </w:r>
      <w:r>
        <w:rPr>
          <w:rFonts w:ascii="Arial" w:eastAsia="宋体" w:hAnsi="Arial" w:cs="Arial"/>
          <w:color w:val="000000"/>
          <w:sz w:val="20"/>
          <w:szCs w:val="20"/>
        </w:rPr>
        <w:t>f 2020.</w:t>
      </w:r>
    </w:p>
    <w:p w14:paraId="74DD71A0" w14:textId="77777777" w:rsidR="00584EC1" w:rsidRDefault="00871F8D">
      <w:pPr>
        <w:spacing w:before="60"/>
        <w:ind w:firstLine="450"/>
        <w:jc w:val="both"/>
        <w:textAlignment w:val="top"/>
      </w:pPr>
      <w:r>
        <w:rPr>
          <w:rFonts w:ascii="Arial" w:eastAsia="宋体" w:hAnsi="Arial" w:cs="Arial"/>
          <w:color w:val="000000"/>
          <w:sz w:val="20"/>
          <w:szCs w:val="20"/>
        </w:rPr>
        <w:t>Additional information is provided under “Loans” in "Financial Condition" in this Management's Discussion and Analysis and in Note 4 to the consolidated financial statements in this Form 10-Q.</w:t>
      </w:r>
    </w:p>
    <w:p w14:paraId="74DD71A1" w14:textId="77777777" w:rsidR="00584EC1" w:rsidRDefault="00871F8D">
      <w:pPr>
        <w:spacing w:before="90"/>
        <w:textAlignment w:val="top"/>
      </w:pPr>
      <w:r>
        <w:rPr>
          <w:rFonts w:ascii="Arial" w:eastAsia="宋体" w:hAnsi="Arial" w:cs="Arial"/>
          <w:b/>
          <w:bCs/>
          <w:color w:val="000000"/>
          <w:sz w:val="20"/>
          <w:szCs w:val="20"/>
        </w:rPr>
        <w:t>Expenses</w:t>
      </w:r>
    </w:p>
    <w:p w14:paraId="74DD71A2" w14:textId="77777777" w:rsidR="00584EC1" w:rsidRDefault="00871F8D">
      <w:pPr>
        <w:spacing w:before="60"/>
        <w:ind w:firstLine="450"/>
        <w:jc w:val="both"/>
        <w:textAlignment w:val="top"/>
      </w:pPr>
      <w:r>
        <w:rPr>
          <w:rFonts w:ascii="Arial" w:eastAsia="宋体" w:hAnsi="Arial" w:cs="Arial"/>
          <w:color w:val="000000"/>
          <w:sz w:val="20"/>
          <w:szCs w:val="20"/>
        </w:rPr>
        <w:t>Table 8: Expenses, provides the breakout of ex</w:t>
      </w:r>
      <w:r>
        <w:rPr>
          <w:rFonts w:ascii="Arial" w:eastAsia="宋体" w:hAnsi="Arial" w:cs="Arial"/>
          <w:color w:val="000000"/>
          <w:sz w:val="20"/>
          <w:szCs w:val="20"/>
        </w:rPr>
        <w:t>penses for the three and nine months ended September 30, 2021 compared to the same periods in 2020.</w:t>
      </w:r>
    </w:p>
    <w:tbl>
      <w:tblPr>
        <w:tblW w:w="5000" w:type="pct"/>
        <w:tblCellMar>
          <w:top w:w="15" w:type="dxa"/>
          <w:left w:w="15" w:type="dxa"/>
          <w:bottom w:w="15" w:type="dxa"/>
          <w:right w:w="15" w:type="dxa"/>
        </w:tblCellMar>
        <w:tblLook w:val="04A0" w:firstRow="1" w:lastRow="0" w:firstColumn="1" w:lastColumn="0" w:noHBand="0" w:noVBand="1"/>
      </w:tblPr>
      <w:tblGrid>
        <w:gridCol w:w="39"/>
        <w:gridCol w:w="4016"/>
        <w:gridCol w:w="38"/>
        <w:gridCol w:w="93"/>
        <w:gridCol w:w="1210"/>
        <w:gridCol w:w="36"/>
        <w:gridCol w:w="36"/>
        <w:gridCol w:w="39"/>
        <w:gridCol w:w="36"/>
        <w:gridCol w:w="93"/>
        <w:gridCol w:w="1210"/>
        <w:gridCol w:w="36"/>
        <w:gridCol w:w="36"/>
        <w:gridCol w:w="36"/>
        <w:gridCol w:w="36"/>
        <w:gridCol w:w="40"/>
        <w:gridCol w:w="36"/>
        <w:gridCol w:w="42"/>
        <w:gridCol w:w="876"/>
        <w:gridCol w:w="136"/>
        <w:gridCol w:w="36"/>
        <w:gridCol w:w="36"/>
        <w:gridCol w:w="36"/>
        <w:gridCol w:w="36"/>
        <w:gridCol w:w="36"/>
        <w:gridCol w:w="36"/>
      </w:tblGrid>
      <w:tr w:rsidR="00584EC1" w14:paraId="74DD71B9" w14:textId="77777777">
        <w:tc>
          <w:tcPr>
            <w:tcW w:w="50" w:type="pct"/>
            <w:shd w:val="clear" w:color="auto" w:fill="auto"/>
            <w:vAlign w:val="bottom"/>
          </w:tcPr>
          <w:p w14:paraId="74DD71A3" w14:textId="77777777" w:rsidR="00584EC1" w:rsidRDefault="00584EC1">
            <w:pPr>
              <w:rPr>
                <w:rFonts w:ascii="宋体"/>
              </w:rPr>
            </w:pPr>
          </w:p>
        </w:tc>
        <w:tc>
          <w:tcPr>
            <w:tcW w:w="2523" w:type="pct"/>
            <w:shd w:val="clear" w:color="auto" w:fill="auto"/>
            <w:vAlign w:val="bottom"/>
          </w:tcPr>
          <w:p w14:paraId="74DD71A4" w14:textId="77777777" w:rsidR="00584EC1" w:rsidRDefault="00584EC1">
            <w:pPr>
              <w:rPr>
                <w:rFonts w:ascii="宋体"/>
              </w:rPr>
            </w:pPr>
          </w:p>
        </w:tc>
        <w:tc>
          <w:tcPr>
            <w:tcW w:w="5" w:type="pct"/>
            <w:shd w:val="clear" w:color="auto" w:fill="auto"/>
            <w:vAlign w:val="bottom"/>
          </w:tcPr>
          <w:p w14:paraId="74DD71A5" w14:textId="77777777" w:rsidR="00584EC1" w:rsidRDefault="00584EC1">
            <w:pPr>
              <w:rPr>
                <w:rFonts w:ascii="宋体"/>
              </w:rPr>
            </w:pPr>
          </w:p>
        </w:tc>
        <w:tc>
          <w:tcPr>
            <w:tcW w:w="50" w:type="pct"/>
            <w:shd w:val="clear" w:color="auto" w:fill="auto"/>
            <w:vAlign w:val="bottom"/>
          </w:tcPr>
          <w:p w14:paraId="74DD71A6" w14:textId="77777777" w:rsidR="00584EC1" w:rsidRDefault="00584EC1">
            <w:pPr>
              <w:rPr>
                <w:rFonts w:ascii="宋体"/>
              </w:rPr>
            </w:pPr>
          </w:p>
        </w:tc>
        <w:tc>
          <w:tcPr>
            <w:tcW w:w="778" w:type="pct"/>
            <w:shd w:val="clear" w:color="auto" w:fill="auto"/>
            <w:vAlign w:val="bottom"/>
          </w:tcPr>
          <w:p w14:paraId="74DD71A7" w14:textId="77777777" w:rsidR="00584EC1" w:rsidRDefault="00584EC1">
            <w:pPr>
              <w:rPr>
                <w:rFonts w:ascii="宋体"/>
              </w:rPr>
            </w:pPr>
          </w:p>
        </w:tc>
        <w:tc>
          <w:tcPr>
            <w:tcW w:w="5" w:type="pct"/>
            <w:shd w:val="clear" w:color="auto" w:fill="auto"/>
            <w:vAlign w:val="bottom"/>
          </w:tcPr>
          <w:p w14:paraId="74DD71A8" w14:textId="77777777" w:rsidR="00584EC1" w:rsidRDefault="00584EC1">
            <w:pPr>
              <w:rPr>
                <w:rFonts w:ascii="宋体"/>
              </w:rPr>
            </w:pPr>
          </w:p>
        </w:tc>
        <w:tc>
          <w:tcPr>
            <w:tcW w:w="5" w:type="pct"/>
            <w:shd w:val="clear" w:color="auto" w:fill="auto"/>
            <w:vAlign w:val="bottom"/>
          </w:tcPr>
          <w:p w14:paraId="74DD71A9" w14:textId="77777777" w:rsidR="00584EC1" w:rsidRDefault="00584EC1">
            <w:pPr>
              <w:rPr>
                <w:rFonts w:ascii="宋体"/>
              </w:rPr>
            </w:pPr>
          </w:p>
        </w:tc>
        <w:tc>
          <w:tcPr>
            <w:tcW w:w="52" w:type="pct"/>
            <w:shd w:val="clear" w:color="auto" w:fill="auto"/>
            <w:vAlign w:val="bottom"/>
          </w:tcPr>
          <w:p w14:paraId="74DD71AA" w14:textId="77777777" w:rsidR="00584EC1" w:rsidRDefault="00584EC1">
            <w:pPr>
              <w:rPr>
                <w:rFonts w:ascii="宋体"/>
              </w:rPr>
            </w:pPr>
          </w:p>
        </w:tc>
        <w:tc>
          <w:tcPr>
            <w:tcW w:w="5" w:type="pct"/>
            <w:shd w:val="clear" w:color="auto" w:fill="auto"/>
            <w:vAlign w:val="bottom"/>
          </w:tcPr>
          <w:p w14:paraId="74DD71AB" w14:textId="77777777" w:rsidR="00584EC1" w:rsidRDefault="00584EC1">
            <w:pPr>
              <w:rPr>
                <w:rFonts w:ascii="宋体"/>
              </w:rPr>
            </w:pPr>
          </w:p>
        </w:tc>
        <w:tc>
          <w:tcPr>
            <w:tcW w:w="50" w:type="pct"/>
            <w:shd w:val="clear" w:color="auto" w:fill="auto"/>
            <w:vAlign w:val="bottom"/>
          </w:tcPr>
          <w:p w14:paraId="74DD71AC" w14:textId="77777777" w:rsidR="00584EC1" w:rsidRDefault="00584EC1">
            <w:pPr>
              <w:rPr>
                <w:rFonts w:ascii="宋体"/>
              </w:rPr>
            </w:pPr>
          </w:p>
        </w:tc>
        <w:tc>
          <w:tcPr>
            <w:tcW w:w="778" w:type="pct"/>
            <w:shd w:val="clear" w:color="auto" w:fill="auto"/>
            <w:vAlign w:val="bottom"/>
          </w:tcPr>
          <w:p w14:paraId="74DD71AD" w14:textId="77777777" w:rsidR="00584EC1" w:rsidRDefault="00584EC1">
            <w:pPr>
              <w:rPr>
                <w:rFonts w:ascii="宋体"/>
              </w:rPr>
            </w:pPr>
          </w:p>
        </w:tc>
        <w:tc>
          <w:tcPr>
            <w:tcW w:w="5" w:type="pct"/>
            <w:shd w:val="clear" w:color="auto" w:fill="auto"/>
            <w:vAlign w:val="bottom"/>
          </w:tcPr>
          <w:p w14:paraId="74DD71AE" w14:textId="77777777" w:rsidR="00584EC1" w:rsidRDefault="00584EC1">
            <w:pPr>
              <w:rPr>
                <w:rFonts w:ascii="宋体"/>
              </w:rPr>
            </w:pPr>
          </w:p>
        </w:tc>
        <w:tc>
          <w:tcPr>
            <w:tcW w:w="0" w:type="auto"/>
            <w:shd w:val="clear" w:color="auto" w:fill="auto"/>
            <w:vAlign w:val="bottom"/>
          </w:tcPr>
          <w:p w14:paraId="74DD71AF" w14:textId="77777777" w:rsidR="00584EC1" w:rsidRDefault="00584EC1">
            <w:pPr>
              <w:rPr>
                <w:rFonts w:ascii="宋体"/>
                <w:vanish/>
              </w:rPr>
            </w:pPr>
          </w:p>
        </w:tc>
        <w:tc>
          <w:tcPr>
            <w:tcW w:w="0" w:type="auto"/>
            <w:shd w:val="clear" w:color="auto" w:fill="auto"/>
            <w:vAlign w:val="bottom"/>
          </w:tcPr>
          <w:p w14:paraId="74DD71B0" w14:textId="77777777" w:rsidR="00584EC1" w:rsidRDefault="00584EC1">
            <w:pPr>
              <w:rPr>
                <w:rFonts w:ascii="宋体"/>
                <w:vanish/>
              </w:rPr>
            </w:pPr>
          </w:p>
        </w:tc>
        <w:tc>
          <w:tcPr>
            <w:tcW w:w="5" w:type="pct"/>
            <w:shd w:val="clear" w:color="auto" w:fill="auto"/>
            <w:vAlign w:val="bottom"/>
          </w:tcPr>
          <w:p w14:paraId="74DD71B1" w14:textId="77777777" w:rsidR="00584EC1" w:rsidRDefault="00584EC1">
            <w:pPr>
              <w:rPr>
                <w:rFonts w:ascii="宋体"/>
              </w:rPr>
            </w:pPr>
          </w:p>
        </w:tc>
        <w:tc>
          <w:tcPr>
            <w:tcW w:w="52" w:type="pct"/>
            <w:shd w:val="clear" w:color="auto" w:fill="auto"/>
            <w:vAlign w:val="bottom"/>
          </w:tcPr>
          <w:p w14:paraId="74DD71B2" w14:textId="77777777" w:rsidR="00584EC1" w:rsidRDefault="00584EC1">
            <w:pPr>
              <w:rPr>
                <w:rFonts w:ascii="宋体"/>
              </w:rPr>
            </w:pPr>
          </w:p>
        </w:tc>
        <w:tc>
          <w:tcPr>
            <w:tcW w:w="5" w:type="pct"/>
            <w:shd w:val="clear" w:color="auto" w:fill="auto"/>
            <w:vAlign w:val="bottom"/>
          </w:tcPr>
          <w:p w14:paraId="74DD71B3" w14:textId="77777777" w:rsidR="00584EC1" w:rsidRDefault="00584EC1">
            <w:pPr>
              <w:rPr>
                <w:rFonts w:ascii="宋体"/>
              </w:rPr>
            </w:pPr>
          </w:p>
        </w:tc>
        <w:tc>
          <w:tcPr>
            <w:tcW w:w="50" w:type="pct"/>
            <w:shd w:val="clear" w:color="auto" w:fill="auto"/>
            <w:vAlign w:val="bottom"/>
          </w:tcPr>
          <w:p w14:paraId="74DD71B4" w14:textId="77777777" w:rsidR="00584EC1" w:rsidRDefault="00584EC1">
            <w:pPr>
              <w:rPr>
                <w:rFonts w:ascii="宋体"/>
              </w:rPr>
            </w:pPr>
          </w:p>
        </w:tc>
        <w:tc>
          <w:tcPr>
            <w:tcW w:w="574" w:type="pct"/>
            <w:shd w:val="clear" w:color="auto" w:fill="auto"/>
            <w:vAlign w:val="bottom"/>
          </w:tcPr>
          <w:p w14:paraId="74DD71B5" w14:textId="77777777" w:rsidR="00584EC1" w:rsidRDefault="00584EC1">
            <w:pPr>
              <w:rPr>
                <w:rFonts w:ascii="宋体"/>
              </w:rPr>
            </w:pPr>
          </w:p>
        </w:tc>
        <w:tc>
          <w:tcPr>
            <w:tcW w:w="5" w:type="pct"/>
            <w:shd w:val="clear" w:color="auto" w:fill="auto"/>
            <w:vAlign w:val="bottom"/>
          </w:tcPr>
          <w:p w14:paraId="74DD71B6" w14:textId="77777777" w:rsidR="00584EC1" w:rsidRDefault="00584EC1">
            <w:pPr>
              <w:rPr>
                <w:rFonts w:ascii="宋体"/>
              </w:rPr>
            </w:pPr>
          </w:p>
        </w:tc>
        <w:tc>
          <w:tcPr>
            <w:tcW w:w="0" w:type="auto"/>
            <w:gridSpan w:val="3"/>
            <w:shd w:val="clear" w:color="auto" w:fill="auto"/>
            <w:vAlign w:val="bottom"/>
          </w:tcPr>
          <w:p w14:paraId="74DD71B7" w14:textId="77777777" w:rsidR="00584EC1" w:rsidRDefault="00584EC1">
            <w:pPr>
              <w:rPr>
                <w:rFonts w:ascii="宋体"/>
                <w:vanish/>
              </w:rPr>
            </w:pPr>
          </w:p>
        </w:tc>
        <w:tc>
          <w:tcPr>
            <w:tcW w:w="0" w:type="auto"/>
            <w:gridSpan w:val="3"/>
            <w:shd w:val="clear" w:color="auto" w:fill="auto"/>
            <w:vAlign w:val="bottom"/>
          </w:tcPr>
          <w:p w14:paraId="74DD71B8" w14:textId="77777777" w:rsidR="00584EC1" w:rsidRDefault="00584EC1">
            <w:pPr>
              <w:rPr>
                <w:rFonts w:ascii="宋体"/>
                <w:vanish/>
              </w:rPr>
            </w:pPr>
          </w:p>
        </w:tc>
      </w:tr>
      <w:tr w:rsidR="00584EC1" w14:paraId="74DD71C7" w14:textId="77777777">
        <w:tc>
          <w:tcPr>
            <w:tcW w:w="0" w:type="auto"/>
            <w:gridSpan w:val="14"/>
            <w:shd w:val="clear" w:color="auto" w:fill="auto"/>
            <w:tcMar>
              <w:top w:w="40" w:type="dxa"/>
              <w:left w:w="20" w:type="dxa"/>
              <w:bottom w:w="40" w:type="dxa"/>
              <w:right w:w="20" w:type="dxa"/>
            </w:tcMar>
            <w:vAlign w:val="bottom"/>
          </w:tcPr>
          <w:p w14:paraId="74DD71BA" w14:textId="77777777" w:rsidR="00584EC1" w:rsidRDefault="00871F8D">
            <w:pPr>
              <w:textAlignment w:val="bottom"/>
            </w:pPr>
            <w:r>
              <w:rPr>
                <w:rFonts w:ascii="Arial" w:eastAsia="宋体" w:hAnsi="Arial" w:cs="Arial"/>
                <w:b/>
                <w:bCs/>
                <w:color w:val="000000"/>
                <w:sz w:val="16"/>
                <w:szCs w:val="16"/>
              </w:rPr>
              <w:t>TABLE 8: EXPENSES</w:t>
            </w:r>
          </w:p>
        </w:tc>
        <w:tc>
          <w:tcPr>
            <w:tcW w:w="0" w:type="auto"/>
            <w:shd w:val="clear" w:color="auto" w:fill="auto"/>
            <w:vAlign w:val="bottom"/>
          </w:tcPr>
          <w:p w14:paraId="74DD71BB" w14:textId="77777777" w:rsidR="00584EC1" w:rsidRDefault="00584EC1">
            <w:pPr>
              <w:rPr>
                <w:rFonts w:ascii="宋体"/>
              </w:rPr>
            </w:pPr>
          </w:p>
        </w:tc>
        <w:tc>
          <w:tcPr>
            <w:tcW w:w="0" w:type="auto"/>
            <w:shd w:val="clear" w:color="auto" w:fill="auto"/>
            <w:vAlign w:val="bottom"/>
          </w:tcPr>
          <w:p w14:paraId="74DD71BC" w14:textId="77777777" w:rsidR="00584EC1" w:rsidRDefault="00584EC1">
            <w:pPr>
              <w:rPr>
                <w:rFonts w:ascii="宋体"/>
              </w:rPr>
            </w:pPr>
          </w:p>
        </w:tc>
        <w:tc>
          <w:tcPr>
            <w:tcW w:w="0" w:type="auto"/>
            <w:shd w:val="clear" w:color="auto" w:fill="auto"/>
            <w:vAlign w:val="bottom"/>
          </w:tcPr>
          <w:p w14:paraId="74DD71BD" w14:textId="77777777" w:rsidR="00584EC1" w:rsidRDefault="00584EC1">
            <w:pPr>
              <w:rPr>
                <w:rFonts w:ascii="宋体"/>
              </w:rPr>
            </w:pPr>
          </w:p>
        </w:tc>
        <w:tc>
          <w:tcPr>
            <w:tcW w:w="0" w:type="auto"/>
            <w:shd w:val="clear" w:color="auto" w:fill="auto"/>
            <w:vAlign w:val="bottom"/>
          </w:tcPr>
          <w:p w14:paraId="74DD71BE" w14:textId="77777777" w:rsidR="00584EC1" w:rsidRDefault="00584EC1">
            <w:pPr>
              <w:rPr>
                <w:rFonts w:ascii="宋体"/>
              </w:rPr>
            </w:pPr>
          </w:p>
        </w:tc>
        <w:tc>
          <w:tcPr>
            <w:tcW w:w="0" w:type="auto"/>
            <w:shd w:val="clear" w:color="auto" w:fill="auto"/>
            <w:vAlign w:val="bottom"/>
          </w:tcPr>
          <w:p w14:paraId="74DD71BF" w14:textId="77777777" w:rsidR="00584EC1" w:rsidRDefault="00584EC1">
            <w:pPr>
              <w:rPr>
                <w:rFonts w:ascii="宋体"/>
              </w:rPr>
            </w:pPr>
          </w:p>
        </w:tc>
        <w:tc>
          <w:tcPr>
            <w:tcW w:w="0" w:type="auto"/>
            <w:shd w:val="clear" w:color="auto" w:fill="auto"/>
            <w:vAlign w:val="bottom"/>
          </w:tcPr>
          <w:p w14:paraId="74DD71C0" w14:textId="77777777" w:rsidR="00584EC1" w:rsidRDefault="00584EC1">
            <w:pPr>
              <w:rPr>
                <w:rFonts w:ascii="宋体"/>
              </w:rPr>
            </w:pPr>
          </w:p>
        </w:tc>
        <w:tc>
          <w:tcPr>
            <w:tcW w:w="0" w:type="auto"/>
            <w:shd w:val="clear" w:color="auto" w:fill="auto"/>
            <w:vAlign w:val="bottom"/>
          </w:tcPr>
          <w:p w14:paraId="74DD71C1" w14:textId="77777777" w:rsidR="00584EC1" w:rsidRDefault="00584EC1">
            <w:pPr>
              <w:rPr>
                <w:rFonts w:ascii="宋体"/>
              </w:rPr>
            </w:pPr>
          </w:p>
        </w:tc>
        <w:tc>
          <w:tcPr>
            <w:tcW w:w="0" w:type="auto"/>
            <w:shd w:val="clear" w:color="auto" w:fill="auto"/>
            <w:vAlign w:val="bottom"/>
          </w:tcPr>
          <w:p w14:paraId="74DD71C2" w14:textId="77777777" w:rsidR="00584EC1" w:rsidRDefault="00584EC1">
            <w:pPr>
              <w:rPr>
                <w:rFonts w:ascii="宋体"/>
              </w:rPr>
            </w:pPr>
          </w:p>
        </w:tc>
        <w:tc>
          <w:tcPr>
            <w:tcW w:w="0" w:type="auto"/>
            <w:shd w:val="clear" w:color="auto" w:fill="auto"/>
            <w:vAlign w:val="bottom"/>
          </w:tcPr>
          <w:p w14:paraId="74DD71C3" w14:textId="77777777" w:rsidR="00584EC1" w:rsidRDefault="00584EC1">
            <w:pPr>
              <w:rPr>
                <w:rFonts w:ascii="宋体"/>
              </w:rPr>
            </w:pPr>
          </w:p>
        </w:tc>
        <w:tc>
          <w:tcPr>
            <w:tcW w:w="0" w:type="auto"/>
            <w:shd w:val="clear" w:color="auto" w:fill="auto"/>
            <w:vAlign w:val="bottom"/>
          </w:tcPr>
          <w:p w14:paraId="74DD71C4" w14:textId="77777777" w:rsidR="00584EC1" w:rsidRDefault="00584EC1">
            <w:pPr>
              <w:rPr>
                <w:rFonts w:ascii="宋体"/>
              </w:rPr>
            </w:pPr>
          </w:p>
        </w:tc>
        <w:tc>
          <w:tcPr>
            <w:tcW w:w="0" w:type="auto"/>
            <w:shd w:val="clear" w:color="auto" w:fill="auto"/>
            <w:vAlign w:val="bottom"/>
          </w:tcPr>
          <w:p w14:paraId="74DD71C5" w14:textId="77777777" w:rsidR="00584EC1" w:rsidRDefault="00584EC1">
            <w:pPr>
              <w:rPr>
                <w:rFonts w:ascii="宋体"/>
              </w:rPr>
            </w:pPr>
          </w:p>
        </w:tc>
        <w:tc>
          <w:tcPr>
            <w:tcW w:w="0" w:type="auto"/>
            <w:shd w:val="clear" w:color="auto" w:fill="auto"/>
            <w:vAlign w:val="bottom"/>
          </w:tcPr>
          <w:p w14:paraId="74DD71C6" w14:textId="77777777" w:rsidR="00584EC1" w:rsidRDefault="00584EC1">
            <w:pPr>
              <w:rPr>
                <w:rFonts w:ascii="宋体"/>
              </w:rPr>
            </w:pPr>
          </w:p>
        </w:tc>
      </w:tr>
      <w:tr w:rsidR="00584EC1" w14:paraId="74DD71D0" w14:textId="77777777">
        <w:trPr>
          <w:trHeight w:val="340"/>
        </w:trPr>
        <w:tc>
          <w:tcPr>
            <w:tcW w:w="0" w:type="auto"/>
            <w:gridSpan w:val="3"/>
            <w:shd w:val="clear" w:color="auto" w:fill="auto"/>
            <w:tcMar>
              <w:top w:w="0" w:type="dxa"/>
              <w:left w:w="20" w:type="dxa"/>
              <w:bottom w:w="0" w:type="dxa"/>
              <w:right w:w="20" w:type="dxa"/>
            </w:tcMar>
            <w:vAlign w:val="bottom"/>
          </w:tcPr>
          <w:p w14:paraId="74DD71C8" w14:textId="77777777" w:rsidR="00584EC1" w:rsidRDefault="00584EC1">
            <w:pPr>
              <w:rPr>
                <w:rFonts w:ascii="宋体"/>
              </w:rPr>
            </w:pPr>
          </w:p>
        </w:tc>
        <w:tc>
          <w:tcPr>
            <w:tcW w:w="0" w:type="auto"/>
            <w:gridSpan w:val="9"/>
            <w:shd w:val="clear" w:color="auto" w:fill="auto"/>
            <w:tcMar>
              <w:top w:w="40" w:type="dxa"/>
              <w:left w:w="20" w:type="dxa"/>
              <w:bottom w:w="40" w:type="dxa"/>
              <w:right w:w="20" w:type="dxa"/>
            </w:tcMar>
            <w:vAlign w:val="bottom"/>
          </w:tcPr>
          <w:p w14:paraId="74DD71C9" w14:textId="77777777" w:rsidR="00584EC1" w:rsidRDefault="00871F8D">
            <w:pPr>
              <w:jc w:val="center"/>
              <w:textAlignment w:val="bottom"/>
            </w:pPr>
            <w:r>
              <w:rPr>
                <w:rFonts w:ascii="Arial" w:eastAsia="宋体" w:hAnsi="Arial" w:cs="Arial"/>
                <w:b/>
                <w:bCs/>
                <w:color w:val="000000"/>
                <w:sz w:val="13"/>
                <w:szCs w:val="13"/>
              </w:rPr>
              <w:t>Three Months Ended September 30,</w:t>
            </w:r>
          </w:p>
        </w:tc>
        <w:tc>
          <w:tcPr>
            <w:tcW w:w="0" w:type="auto"/>
            <w:shd w:val="clear" w:color="auto" w:fill="auto"/>
            <w:vAlign w:val="bottom"/>
          </w:tcPr>
          <w:p w14:paraId="74DD71CA" w14:textId="77777777" w:rsidR="00584EC1" w:rsidRDefault="00584EC1">
            <w:pPr>
              <w:rPr>
                <w:rFonts w:ascii="宋体"/>
                <w:vanish/>
              </w:rPr>
            </w:pPr>
          </w:p>
        </w:tc>
        <w:tc>
          <w:tcPr>
            <w:tcW w:w="0" w:type="auto"/>
            <w:shd w:val="clear" w:color="auto" w:fill="auto"/>
            <w:vAlign w:val="bottom"/>
          </w:tcPr>
          <w:p w14:paraId="74DD71CB" w14:textId="77777777" w:rsidR="00584EC1" w:rsidRDefault="00584EC1">
            <w:pPr>
              <w:rPr>
                <w:rFonts w:ascii="宋体"/>
                <w:vanish/>
              </w:rPr>
            </w:pPr>
          </w:p>
        </w:tc>
        <w:tc>
          <w:tcPr>
            <w:tcW w:w="0" w:type="auto"/>
            <w:gridSpan w:val="3"/>
            <w:shd w:val="clear" w:color="auto" w:fill="auto"/>
            <w:tcMar>
              <w:top w:w="0" w:type="dxa"/>
              <w:left w:w="20" w:type="dxa"/>
              <w:bottom w:w="0" w:type="dxa"/>
              <w:right w:w="20" w:type="dxa"/>
            </w:tcMar>
            <w:vAlign w:val="bottom"/>
          </w:tcPr>
          <w:p w14:paraId="74DD71CC" w14:textId="77777777" w:rsidR="00584EC1" w:rsidRDefault="00584EC1">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74DD71CD" w14:textId="77777777" w:rsidR="00584EC1" w:rsidRDefault="00871F8D">
            <w:pPr>
              <w:jc w:val="center"/>
              <w:textAlignment w:val="bottom"/>
            </w:pPr>
            <w:r>
              <w:rPr>
                <w:rFonts w:ascii="Arial" w:eastAsia="宋体" w:hAnsi="Arial" w:cs="Arial"/>
                <w:b/>
                <w:bCs/>
                <w:color w:val="000000"/>
                <w:sz w:val="13"/>
                <w:szCs w:val="13"/>
              </w:rPr>
              <w:t xml:space="preserve">% Change </w:t>
            </w:r>
          </w:p>
        </w:tc>
        <w:tc>
          <w:tcPr>
            <w:tcW w:w="0" w:type="auto"/>
            <w:gridSpan w:val="3"/>
            <w:shd w:val="clear" w:color="auto" w:fill="auto"/>
            <w:vAlign w:val="bottom"/>
          </w:tcPr>
          <w:p w14:paraId="74DD71CE" w14:textId="77777777" w:rsidR="00584EC1" w:rsidRDefault="00584EC1">
            <w:pPr>
              <w:rPr>
                <w:rFonts w:ascii="宋体"/>
                <w:vanish/>
              </w:rPr>
            </w:pPr>
          </w:p>
        </w:tc>
        <w:tc>
          <w:tcPr>
            <w:tcW w:w="0" w:type="auto"/>
            <w:gridSpan w:val="3"/>
            <w:shd w:val="clear" w:color="auto" w:fill="auto"/>
            <w:vAlign w:val="bottom"/>
          </w:tcPr>
          <w:p w14:paraId="74DD71CF" w14:textId="77777777" w:rsidR="00584EC1" w:rsidRDefault="00584EC1">
            <w:pPr>
              <w:rPr>
                <w:rFonts w:ascii="宋体"/>
                <w:vanish/>
              </w:rPr>
            </w:pPr>
          </w:p>
        </w:tc>
      </w:tr>
      <w:tr w:rsidR="00584EC1" w14:paraId="74DD71DD" w14:textId="77777777">
        <w:trPr>
          <w:trHeight w:val="240"/>
        </w:trPr>
        <w:tc>
          <w:tcPr>
            <w:tcW w:w="0" w:type="auto"/>
            <w:gridSpan w:val="3"/>
            <w:shd w:val="clear" w:color="auto" w:fill="auto"/>
            <w:tcMar>
              <w:top w:w="40" w:type="dxa"/>
              <w:left w:w="20" w:type="dxa"/>
              <w:bottom w:w="40" w:type="dxa"/>
              <w:right w:w="20" w:type="dxa"/>
            </w:tcMar>
            <w:vAlign w:val="bottom"/>
          </w:tcPr>
          <w:p w14:paraId="74DD71D1" w14:textId="77777777" w:rsidR="00584EC1" w:rsidRDefault="00871F8D">
            <w:pPr>
              <w:textAlignment w:val="bottom"/>
            </w:pPr>
            <w:r>
              <w:rPr>
                <w:rFonts w:ascii="Arial" w:eastAsia="宋体" w:hAnsi="Arial" w:cs="Arial"/>
                <w:b/>
                <w:bCs/>
                <w:color w:val="000000"/>
                <w:sz w:val="13"/>
                <w:szCs w:val="13"/>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71D2" w14:textId="77777777" w:rsidR="00584EC1" w:rsidRDefault="00871F8D">
            <w:pPr>
              <w:jc w:val="center"/>
              <w:textAlignment w:val="bottom"/>
            </w:pPr>
            <w:r>
              <w:rPr>
                <w:rFonts w:ascii="Arial" w:eastAsia="宋体" w:hAnsi="Arial" w:cs="Arial"/>
                <w:b/>
                <w:bCs/>
                <w:color w:val="000000"/>
                <w:sz w:val="13"/>
                <w:szCs w:val="13"/>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71D3"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71D4" w14:textId="77777777" w:rsidR="00584EC1" w:rsidRDefault="00871F8D">
            <w:pPr>
              <w:jc w:val="center"/>
              <w:textAlignment w:val="bottom"/>
            </w:pPr>
            <w:r>
              <w:rPr>
                <w:rFonts w:ascii="Arial" w:eastAsia="宋体" w:hAnsi="Arial" w:cs="Arial"/>
                <w:b/>
                <w:bCs/>
                <w:color w:val="000000"/>
                <w:sz w:val="13"/>
                <w:szCs w:val="13"/>
              </w:rPr>
              <w:t>2020</w:t>
            </w:r>
          </w:p>
        </w:tc>
        <w:tc>
          <w:tcPr>
            <w:tcW w:w="0" w:type="auto"/>
            <w:shd w:val="clear" w:color="auto" w:fill="auto"/>
            <w:vAlign w:val="bottom"/>
          </w:tcPr>
          <w:p w14:paraId="74DD71D5" w14:textId="77777777" w:rsidR="00584EC1" w:rsidRDefault="00584EC1">
            <w:pPr>
              <w:rPr>
                <w:rFonts w:ascii="宋体"/>
                <w:vanish/>
              </w:rPr>
            </w:pPr>
          </w:p>
        </w:tc>
        <w:tc>
          <w:tcPr>
            <w:tcW w:w="0" w:type="auto"/>
            <w:shd w:val="clear" w:color="auto" w:fill="auto"/>
            <w:vAlign w:val="bottom"/>
          </w:tcPr>
          <w:p w14:paraId="74DD71D6" w14:textId="77777777" w:rsidR="00584EC1" w:rsidRDefault="00584EC1">
            <w:pPr>
              <w:rPr>
                <w:rFonts w:ascii="宋体"/>
                <w:vanish/>
              </w:rPr>
            </w:pPr>
          </w:p>
        </w:tc>
        <w:tc>
          <w:tcPr>
            <w:tcW w:w="0" w:type="auto"/>
            <w:gridSpan w:val="3"/>
            <w:shd w:val="clear" w:color="auto" w:fill="auto"/>
            <w:tcMar>
              <w:top w:w="0" w:type="dxa"/>
              <w:left w:w="20" w:type="dxa"/>
              <w:bottom w:w="0" w:type="dxa"/>
              <w:right w:w="20" w:type="dxa"/>
            </w:tcMar>
            <w:vAlign w:val="bottom"/>
          </w:tcPr>
          <w:p w14:paraId="74DD71D7" w14:textId="77777777" w:rsidR="00584EC1" w:rsidRDefault="00584EC1">
            <w:pPr>
              <w:rPr>
                <w:rFonts w:ascii="宋体"/>
              </w:rPr>
            </w:pPr>
          </w:p>
        </w:tc>
        <w:tc>
          <w:tcPr>
            <w:tcW w:w="0" w:type="auto"/>
            <w:gridSpan w:val="3"/>
            <w:vMerge/>
            <w:shd w:val="clear" w:color="auto" w:fill="auto"/>
            <w:tcMar>
              <w:top w:w="40" w:type="dxa"/>
              <w:left w:w="20" w:type="dxa"/>
              <w:bottom w:w="40" w:type="dxa"/>
              <w:right w:w="20" w:type="dxa"/>
            </w:tcMar>
            <w:vAlign w:val="bottom"/>
          </w:tcPr>
          <w:p w14:paraId="74DD71D8" w14:textId="77777777" w:rsidR="00584EC1" w:rsidRDefault="00584EC1">
            <w:pPr>
              <w:jc w:val="center"/>
              <w:rPr>
                <w:rFonts w:ascii="宋体"/>
              </w:rPr>
            </w:pPr>
          </w:p>
        </w:tc>
        <w:tc>
          <w:tcPr>
            <w:tcW w:w="0" w:type="auto"/>
            <w:gridSpan w:val="3"/>
            <w:shd w:val="clear" w:color="auto" w:fill="auto"/>
            <w:vAlign w:val="bottom"/>
          </w:tcPr>
          <w:p w14:paraId="74DD71D9" w14:textId="77777777" w:rsidR="00584EC1" w:rsidRDefault="00584EC1">
            <w:pPr>
              <w:rPr>
                <w:rFonts w:ascii="宋体"/>
                <w:vanish/>
              </w:rPr>
            </w:pPr>
          </w:p>
        </w:tc>
        <w:tc>
          <w:tcPr>
            <w:tcW w:w="0" w:type="auto"/>
            <w:shd w:val="clear" w:color="auto" w:fill="auto"/>
            <w:vAlign w:val="bottom"/>
          </w:tcPr>
          <w:p w14:paraId="74DD71DA" w14:textId="77777777" w:rsidR="00584EC1" w:rsidRDefault="00584EC1">
            <w:pPr>
              <w:rPr>
                <w:rFonts w:ascii="宋体"/>
              </w:rPr>
            </w:pPr>
          </w:p>
        </w:tc>
        <w:tc>
          <w:tcPr>
            <w:tcW w:w="0" w:type="auto"/>
            <w:shd w:val="clear" w:color="auto" w:fill="auto"/>
            <w:vAlign w:val="bottom"/>
          </w:tcPr>
          <w:p w14:paraId="74DD71DB" w14:textId="77777777" w:rsidR="00584EC1" w:rsidRDefault="00584EC1">
            <w:pPr>
              <w:rPr>
                <w:rFonts w:ascii="宋体"/>
              </w:rPr>
            </w:pPr>
          </w:p>
        </w:tc>
        <w:tc>
          <w:tcPr>
            <w:tcW w:w="0" w:type="auto"/>
            <w:shd w:val="clear" w:color="auto" w:fill="auto"/>
            <w:vAlign w:val="bottom"/>
          </w:tcPr>
          <w:p w14:paraId="74DD71DC" w14:textId="77777777" w:rsidR="00584EC1" w:rsidRDefault="00584EC1">
            <w:pPr>
              <w:rPr>
                <w:rFonts w:ascii="宋体"/>
              </w:rPr>
            </w:pPr>
          </w:p>
        </w:tc>
      </w:tr>
      <w:tr w:rsidR="00584EC1" w14:paraId="74DD71ED" w14:textId="77777777">
        <w:tc>
          <w:tcPr>
            <w:tcW w:w="0" w:type="auto"/>
            <w:gridSpan w:val="3"/>
            <w:shd w:val="clear" w:color="auto" w:fill="CCEEFF"/>
            <w:tcMar>
              <w:top w:w="40" w:type="dxa"/>
              <w:left w:w="20" w:type="dxa"/>
              <w:bottom w:w="40" w:type="dxa"/>
              <w:right w:w="20" w:type="dxa"/>
            </w:tcMar>
            <w:vAlign w:val="bottom"/>
          </w:tcPr>
          <w:p w14:paraId="74DD71DE" w14:textId="77777777" w:rsidR="00584EC1" w:rsidRDefault="00871F8D">
            <w:pPr>
              <w:textAlignment w:val="bottom"/>
            </w:pPr>
            <w:r>
              <w:rPr>
                <w:rFonts w:ascii="Arial" w:eastAsia="宋体" w:hAnsi="Arial" w:cs="Arial"/>
                <w:color w:val="000000"/>
                <w:sz w:val="13"/>
                <w:szCs w:val="13"/>
              </w:rPr>
              <w:t>Compensation and employee benefits</w:t>
            </w:r>
          </w:p>
        </w:tc>
        <w:tc>
          <w:tcPr>
            <w:tcW w:w="0" w:type="auto"/>
            <w:tcBorders>
              <w:top w:val="single" w:sz="8" w:space="0" w:color="000000"/>
            </w:tcBorders>
            <w:shd w:val="clear" w:color="auto" w:fill="CCEEFF"/>
            <w:tcMar>
              <w:top w:w="40" w:type="dxa"/>
              <w:left w:w="20" w:type="dxa"/>
              <w:bottom w:w="40" w:type="dxa"/>
              <w:right w:w="0" w:type="dxa"/>
            </w:tcMar>
            <w:vAlign w:val="bottom"/>
          </w:tcPr>
          <w:p w14:paraId="74DD71DF" w14:textId="77777777" w:rsidR="00584EC1" w:rsidRDefault="00871F8D">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71E0" w14:textId="77777777" w:rsidR="00584EC1" w:rsidRDefault="00871F8D">
            <w:pPr>
              <w:jc w:val="right"/>
              <w:textAlignment w:val="bottom"/>
            </w:pPr>
            <w:r>
              <w:rPr>
                <w:rFonts w:ascii="Arial" w:eastAsia="宋体" w:hAnsi="Arial" w:cs="Arial"/>
                <w:b/>
                <w:bCs/>
                <w:color w:val="000000"/>
                <w:sz w:val="13"/>
                <w:szCs w:val="13"/>
              </w:rPr>
              <w:t>1,054</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1E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1E2"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71E3" w14:textId="77777777" w:rsidR="00584EC1" w:rsidRDefault="00871F8D">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71E4" w14:textId="77777777" w:rsidR="00584EC1" w:rsidRDefault="00871F8D">
            <w:pPr>
              <w:jc w:val="right"/>
              <w:textAlignment w:val="bottom"/>
            </w:pPr>
            <w:r>
              <w:rPr>
                <w:rFonts w:ascii="Arial" w:eastAsia="宋体" w:hAnsi="Arial" w:cs="Arial"/>
                <w:color w:val="000000"/>
                <w:sz w:val="13"/>
                <w:szCs w:val="13"/>
              </w:rPr>
              <w:t>1,062 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1E5" w14:textId="77777777" w:rsidR="00584EC1" w:rsidRDefault="00584EC1">
            <w:pPr>
              <w:jc w:val="right"/>
              <w:rPr>
                <w:rFonts w:ascii="宋体"/>
              </w:rPr>
            </w:pPr>
          </w:p>
        </w:tc>
        <w:tc>
          <w:tcPr>
            <w:tcW w:w="0" w:type="auto"/>
            <w:shd w:val="clear" w:color="auto" w:fill="auto"/>
            <w:vAlign w:val="bottom"/>
          </w:tcPr>
          <w:p w14:paraId="74DD71E6" w14:textId="77777777" w:rsidR="00584EC1" w:rsidRDefault="00584EC1">
            <w:pPr>
              <w:rPr>
                <w:rFonts w:ascii="宋体"/>
                <w:vanish/>
              </w:rPr>
            </w:pPr>
          </w:p>
        </w:tc>
        <w:tc>
          <w:tcPr>
            <w:tcW w:w="0" w:type="auto"/>
            <w:shd w:val="clear" w:color="auto" w:fill="auto"/>
            <w:vAlign w:val="bottom"/>
          </w:tcPr>
          <w:p w14:paraId="74DD71E7" w14:textId="77777777" w:rsidR="00584EC1" w:rsidRDefault="00584EC1">
            <w:pPr>
              <w:rPr>
                <w:rFonts w:ascii="宋体"/>
                <w:vanish/>
              </w:rPr>
            </w:pPr>
          </w:p>
        </w:tc>
        <w:tc>
          <w:tcPr>
            <w:tcW w:w="0" w:type="auto"/>
            <w:gridSpan w:val="3"/>
            <w:shd w:val="clear" w:color="auto" w:fill="CCEEFF"/>
            <w:tcMar>
              <w:top w:w="0" w:type="dxa"/>
              <w:left w:w="20" w:type="dxa"/>
              <w:bottom w:w="0" w:type="dxa"/>
              <w:right w:w="20" w:type="dxa"/>
            </w:tcMar>
            <w:vAlign w:val="bottom"/>
          </w:tcPr>
          <w:p w14:paraId="74DD71E8"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71E9" w14:textId="77777777" w:rsidR="00584EC1" w:rsidRDefault="00871F8D">
            <w:pPr>
              <w:jc w:val="right"/>
              <w:textAlignment w:val="bottom"/>
            </w:pPr>
            <w:r>
              <w:rPr>
                <w:rFonts w:ascii="Arial" w:eastAsia="宋体" w:hAnsi="Arial" w:cs="Arial"/>
                <w:color w:val="000000"/>
                <w:sz w:val="13"/>
                <w:szCs w:val="13"/>
              </w:rPr>
              <w:t>(1)</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1EA" w14:textId="77777777" w:rsidR="00584EC1" w:rsidRDefault="00871F8D">
            <w:pPr>
              <w:jc w:val="right"/>
              <w:textAlignment w:val="bottom"/>
            </w:pPr>
            <w:r>
              <w:rPr>
                <w:rFonts w:ascii="Arial" w:eastAsia="宋体" w:hAnsi="Arial" w:cs="Arial"/>
                <w:color w:val="000000"/>
                <w:sz w:val="13"/>
                <w:szCs w:val="13"/>
              </w:rPr>
              <w:t>%</w:t>
            </w:r>
          </w:p>
        </w:tc>
        <w:tc>
          <w:tcPr>
            <w:tcW w:w="0" w:type="auto"/>
            <w:gridSpan w:val="3"/>
            <w:shd w:val="clear" w:color="auto" w:fill="auto"/>
            <w:vAlign w:val="bottom"/>
          </w:tcPr>
          <w:p w14:paraId="74DD71EB" w14:textId="77777777" w:rsidR="00584EC1" w:rsidRDefault="00584EC1">
            <w:pPr>
              <w:rPr>
                <w:rFonts w:ascii="宋体"/>
                <w:vanish/>
              </w:rPr>
            </w:pPr>
          </w:p>
        </w:tc>
        <w:tc>
          <w:tcPr>
            <w:tcW w:w="0" w:type="auto"/>
            <w:gridSpan w:val="3"/>
            <w:shd w:val="clear" w:color="auto" w:fill="auto"/>
            <w:vAlign w:val="bottom"/>
          </w:tcPr>
          <w:p w14:paraId="74DD71EC" w14:textId="77777777" w:rsidR="00584EC1" w:rsidRDefault="00584EC1">
            <w:pPr>
              <w:rPr>
                <w:rFonts w:ascii="宋体"/>
                <w:vanish/>
              </w:rPr>
            </w:pPr>
          </w:p>
        </w:tc>
      </w:tr>
      <w:tr w:rsidR="00584EC1" w14:paraId="74DD71FB" w14:textId="77777777">
        <w:tc>
          <w:tcPr>
            <w:tcW w:w="0" w:type="auto"/>
            <w:gridSpan w:val="3"/>
            <w:shd w:val="clear" w:color="auto" w:fill="FFFFFF"/>
            <w:tcMar>
              <w:top w:w="40" w:type="dxa"/>
              <w:left w:w="20" w:type="dxa"/>
              <w:bottom w:w="40" w:type="dxa"/>
              <w:right w:w="20" w:type="dxa"/>
            </w:tcMar>
            <w:vAlign w:val="bottom"/>
          </w:tcPr>
          <w:p w14:paraId="74DD71EE" w14:textId="77777777" w:rsidR="00584EC1" w:rsidRDefault="00871F8D">
            <w:pPr>
              <w:textAlignment w:val="bottom"/>
            </w:pPr>
            <w:r>
              <w:rPr>
                <w:rFonts w:ascii="Arial" w:eastAsia="宋体" w:hAnsi="Arial" w:cs="Arial"/>
                <w:color w:val="000000"/>
                <w:sz w:val="13"/>
                <w:szCs w:val="13"/>
              </w:rPr>
              <w:t>Information systems and communications</w:t>
            </w:r>
          </w:p>
        </w:tc>
        <w:tc>
          <w:tcPr>
            <w:tcW w:w="0" w:type="auto"/>
            <w:gridSpan w:val="2"/>
            <w:shd w:val="clear" w:color="auto" w:fill="FFFFFF"/>
            <w:tcMar>
              <w:top w:w="40" w:type="dxa"/>
              <w:left w:w="20" w:type="dxa"/>
              <w:bottom w:w="40" w:type="dxa"/>
              <w:right w:w="0" w:type="dxa"/>
            </w:tcMar>
            <w:vAlign w:val="bottom"/>
          </w:tcPr>
          <w:p w14:paraId="74DD71EF" w14:textId="77777777" w:rsidR="00584EC1" w:rsidRDefault="00871F8D">
            <w:pPr>
              <w:jc w:val="right"/>
              <w:textAlignment w:val="bottom"/>
            </w:pPr>
            <w:r>
              <w:rPr>
                <w:rFonts w:ascii="Arial" w:eastAsia="宋体" w:hAnsi="Arial" w:cs="Arial"/>
                <w:b/>
                <w:bCs/>
                <w:color w:val="000000"/>
                <w:sz w:val="13"/>
                <w:szCs w:val="13"/>
              </w:rPr>
              <w:t>406</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71F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1F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1F2" w14:textId="77777777" w:rsidR="00584EC1" w:rsidRDefault="00871F8D">
            <w:pPr>
              <w:jc w:val="right"/>
              <w:textAlignment w:val="bottom"/>
            </w:pPr>
            <w:r>
              <w:rPr>
                <w:rFonts w:ascii="Arial" w:eastAsia="宋体" w:hAnsi="Arial" w:cs="Arial"/>
                <w:color w:val="000000"/>
                <w:sz w:val="13"/>
                <w:szCs w:val="13"/>
              </w:rPr>
              <w:t>395 </w:t>
            </w:r>
          </w:p>
        </w:tc>
        <w:tc>
          <w:tcPr>
            <w:tcW w:w="0" w:type="auto"/>
            <w:shd w:val="clear" w:color="auto" w:fill="FFFFFF"/>
            <w:tcMar>
              <w:top w:w="40" w:type="dxa"/>
              <w:left w:w="0" w:type="dxa"/>
              <w:bottom w:w="40" w:type="dxa"/>
              <w:right w:w="20" w:type="dxa"/>
            </w:tcMar>
            <w:vAlign w:val="bottom"/>
          </w:tcPr>
          <w:p w14:paraId="74DD71F3" w14:textId="77777777" w:rsidR="00584EC1" w:rsidRDefault="00584EC1">
            <w:pPr>
              <w:jc w:val="right"/>
              <w:rPr>
                <w:rFonts w:ascii="宋体"/>
              </w:rPr>
            </w:pPr>
          </w:p>
        </w:tc>
        <w:tc>
          <w:tcPr>
            <w:tcW w:w="0" w:type="auto"/>
            <w:shd w:val="clear" w:color="auto" w:fill="auto"/>
            <w:vAlign w:val="bottom"/>
          </w:tcPr>
          <w:p w14:paraId="74DD71F4" w14:textId="77777777" w:rsidR="00584EC1" w:rsidRDefault="00584EC1">
            <w:pPr>
              <w:rPr>
                <w:rFonts w:ascii="宋体"/>
                <w:vanish/>
              </w:rPr>
            </w:pPr>
          </w:p>
        </w:tc>
        <w:tc>
          <w:tcPr>
            <w:tcW w:w="0" w:type="auto"/>
            <w:shd w:val="clear" w:color="auto" w:fill="auto"/>
            <w:vAlign w:val="bottom"/>
          </w:tcPr>
          <w:p w14:paraId="74DD71F5" w14:textId="77777777" w:rsidR="00584EC1" w:rsidRDefault="00584EC1">
            <w:pPr>
              <w:rPr>
                <w:rFonts w:ascii="宋体"/>
                <w:vanish/>
              </w:rPr>
            </w:pPr>
          </w:p>
        </w:tc>
        <w:tc>
          <w:tcPr>
            <w:tcW w:w="0" w:type="auto"/>
            <w:gridSpan w:val="3"/>
            <w:shd w:val="clear" w:color="auto" w:fill="FFFFFF"/>
            <w:tcMar>
              <w:top w:w="0" w:type="dxa"/>
              <w:left w:w="20" w:type="dxa"/>
              <w:bottom w:w="0" w:type="dxa"/>
              <w:right w:w="20" w:type="dxa"/>
            </w:tcMar>
            <w:vAlign w:val="bottom"/>
          </w:tcPr>
          <w:p w14:paraId="74DD71F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1F7" w14:textId="77777777" w:rsidR="00584EC1" w:rsidRDefault="00871F8D">
            <w:pPr>
              <w:jc w:val="right"/>
              <w:textAlignment w:val="bottom"/>
            </w:pPr>
            <w:r>
              <w:rPr>
                <w:rFonts w:ascii="Arial" w:eastAsia="宋体" w:hAnsi="Arial" w:cs="Arial"/>
                <w:color w:val="000000"/>
                <w:sz w:val="13"/>
                <w:szCs w:val="13"/>
              </w:rPr>
              <w:t>3 </w:t>
            </w:r>
          </w:p>
        </w:tc>
        <w:tc>
          <w:tcPr>
            <w:tcW w:w="0" w:type="auto"/>
            <w:shd w:val="clear" w:color="auto" w:fill="FFFFFF"/>
            <w:tcMar>
              <w:top w:w="40" w:type="dxa"/>
              <w:left w:w="0" w:type="dxa"/>
              <w:bottom w:w="40" w:type="dxa"/>
              <w:right w:w="20" w:type="dxa"/>
            </w:tcMar>
            <w:vAlign w:val="bottom"/>
          </w:tcPr>
          <w:p w14:paraId="74DD71F8" w14:textId="77777777" w:rsidR="00584EC1" w:rsidRDefault="00584EC1">
            <w:pPr>
              <w:jc w:val="right"/>
              <w:rPr>
                <w:rFonts w:ascii="宋体"/>
              </w:rPr>
            </w:pPr>
          </w:p>
        </w:tc>
        <w:tc>
          <w:tcPr>
            <w:tcW w:w="0" w:type="auto"/>
            <w:gridSpan w:val="3"/>
            <w:shd w:val="clear" w:color="auto" w:fill="auto"/>
            <w:vAlign w:val="bottom"/>
          </w:tcPr>
          <w:p w14:paraId="74DD71F9" w14:textId="77777777" w:rsidR="00584EC1" w:rsidRDefault="00584EC1">
            <w:pPr>
              <w:rPr>
                <w:rFonts w:ascii="宋体"/>
                <w:vanish/>
              </w:rPr>
            </w:pPr>
          </w:p>
        </w:tc>
        <w:tc>
          <w:tcPr>
            <w:tcW w:w="0" w:type="auto"/>
            <w:gridSpan w:val="3"/>
            <w:shd w:val="clear" w:color="auto" w:fill="auto"/>
            <w:vAlign w:val="bottom"/>
          </w:tcPr>
          <w:p w14:paraId="74DD71FA" w14:textId="77777777" w:rsidR="00584EC1" w:rsidRDefault="00584EC1">
            <w:pPr>
              <w:rPr>
                <w:rFonts w:ascii="宋体"/>
                <w:vanish/>
              </w:rPr>
            </w:pPr>
          </w:p>
        </w:tc>
      </w:tr>
      <w:tr w:rsidR="00584EC1" w14:paraId="74DD7209" w14:textId="77777777">
        <w:tc>
          <w:tcPr>
            <w:tcW w:w="0" w:type="auto"/>
            <w:gridSpan w:val="3"/>
            <w:shd w:val="clear" w:color="auto" w:fill="CCEEFF"/>
            <w:tcMar>
              <w:top w:w="40" w:type="dxa"/>
              <w:left w:w="20" w:type="dxa"/>
              <w:bottom w:w="40" w:type="dxa"/>
              <w:right w:w="20" w:type="dxa"/>
            </w:tcMar>
            <w:vAlign w:val="bottom"/>
          </w:tcPr>
          <w:p w14:paraId="74DD71FC" w14:textId="77777777" w:rsidR="00584EC1" w:rsidRDefault="00871F8D">
            <w:pPr>
              <w:textAlignment w:val="bottom"/>
            </w:pPr>
            <w:r>
              <w:rPr>
                <w:rFonts w:ascii="Arial" w:eastAsia="宋体" w:hAnsi="Arial" w:cs="Arial"/>
                <w:color w:val="000000"/>
                <w:sz w:val="13"/>
                <w:szCs w:val="13"/>
              </w:rPr>
              <w:t>Transaction processing services</w:t>
            </w:r>
          </w:p>
        </w:tc>
        <w:tc>
          <w:tcPr>
            <w:tcW w:w="0" w:type="auto"/>
            <w:gridSpan w:val="2"/>
            <w:shd w:val="clear" w:color="auto" w:fill="CCEEFF"/>
            <w:tcMar>
              <w:top w:w="40" w:type="dxa"/>
              <w:left w:w="20" w:type="dxa"/>
              <w:bottom w:w="40" w:type="dxa"/>
              <w:right w:w="0" w:type="dxa"/>
            </w:tcMar>
            <w:vAlign w:val="bottom"/>
          </w:tcPr>
          <w:p w14:paraId="74DD71FD" w14:textId="77777777" w:rsidR="00584EC1" w:rsidRDefault="00871F8D">
            <w:pPr>
              <w:jc w:val="right"/>
              <w:textAlignment w:val="bottom"/>
            </w:pPr>
            <w:r>
              <w:rPr>
                <w:rFonts w:ascii="Arial" w:eastAsia="宋体" w:hAnsi="Arial" w:cs="Arial"/>
                <w:b/>
                <w:bCs/>
                <w:color w:val="000000"/>
                <w:sz w:val="13"/>
                <w:szCs w:val="13"/>
              </w:rPr>
              <w:t>253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71F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1FF"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7200" w14:textId="77777777" w:rsidR="00584EC1" w:rsidRDefault="00871F8D">
            <w:pPr>
              <w:jc w:val="right"/>
              <w:textAlignment w:val="bottom"/>
            </w:pPr>
            <w:r>
              <w:rPr>
                <w:rFonts w:ascii="Arial" w:eastAsia="宋体" w:hAnsi="Arial" w:cs="Arial"/>
                <w:color w:val="000000"/>
                <w:sz w:val="13"/>
                <w:szCs w:val="13"/>
              </w:rPr>
              <w:t>234 </w:t>
            </w:r>
          </w:p>
        </w:tc>
        <w:tc>
          <w:tcPr>
            <w:tcW w:w="0" w:type="auto"/>
            <w:shd w:val="clear" w:color="auto" w:fill="CCEEFF"/>
            <w:tcMar>
              <w:top w:w="40" w:type="dxa"/>
              <w:left w:w="0" w:type="dxa"/>
              <w:bottom w:w="40" w:type="dxa"/>
              <w:right w:w="20" w:type="dxa"/>
            </w:tcMar>
            <w:vAlign w:val="bottom"/>
          </w:tcPr>
          <w:p w14:paraId="74DD7201" w14:textId="77777777" w:rsidR="00584EC1" w:rsidRDefault="00584EC1">
            <w:pPr>
              <w:jc w:val="right"/>
              <w:rPr>
                <w:rFonts w:ascii="宋体"/>
              </w:rPr>
            </w:pPr>
          </w:p>
        </w:tc>
        <w:tc>
          <w:tcPr>
            <w:tcW w:w="0" w:type="auto"/>
            <w:shd w:val="clear" w:color="auto" w:fill="auto"/>
            <w:vAlign w:val="bottom"/>
          </w:tcPr>
          <w:p w14:paraId="74DD7202" w14:textId="77777777" w:rsidR="00584EC1" w:rsidRDefault="00584EC1">
            <w:pPr>
              <w:rPr>
                <w:rFonts w:ascii="宋体"/>
                <w:vanish/>
              </w:rPr>
            </w:pPr>
          </w:p>
        </w:tc>
        <w:tc>
          <w:tcPr>
            <w:tcW w:w="0" w:type="auto"/>
            <w:shd w:val="clear" w:color="auto" w:fill="auto"/>
            <w:vAlign w:val="bottom"/>
          </w:tcPr>
          <w:p w14:paraId="74DD7203" w14:textId="77777777" w:rsidR="00584EC1" w:rsidRDefault="00584EC1">
            <w:pPr>
              <w:rPr>
                <w:rFonts w:ascii="宋体"/>
                <w:vanish/>
              </w:rPr>
            </w:pPr>
          </w:p>
        </w:tc>
        <w:tc>
          <w:tcPr>
            <w:tcW w:w="0" w:type="auto"/>
            <w:gridSpan w:val="3"/>
            <w:shd w:val="clear" w:color="auto" w:fill="CCEEFF"/>
            <w:tcMar>
              <w:top w:w="0" w:type="dxa"/>
              <w:left w:w="20" w:type="dxa"/>
              <w:bottom w:w="0" w:type="dxa"/>
              <w:right w:w="20" w:type="dxa"/>
            </w:tcMar>
            <w:vAlign w:val="bottom"/>
          </w:tcPr>
          <w:p w14:paraId="74DD7204"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7205" w14:textId="77777777" w:rsidR="00584EC1" w:rsidRDefault="00871F8D">
            <w:pPr>
              <w:jc w:val="right"/>
              <w:textAlignment w:val="bottom"/>
            </w:pPr>
            <w:r>
              <w:rPr>
                <w:rFonts w:ascii="Arial" w:eastAsia="宋体" w:hAnsi="Arial" w:cs="Arial"/>
                <w:color w:val="000000"/>
                <w:sz w:val="13"/>
                <w:szCs w:val="13"/>
              </w:rPr>
              <w:t>8 </w:t>
            </w:r>
          </w:p>
        </w:tc>
        <w:tc>
          <w:tcPr>
            <w:tcW w:w="0" w:type="auto"/>
            <w:shd w:val="clear" w:color="auto" w:fill="CCEEFF"/>
            <w:tcMar>
              <w:top w:w="40" w:type="dxa"/>
              <w:left w:w="0" w:type="dxa"/>
              <w:bottom w:w="40" w:type="dxa"/>
              <w:right w:w="20" w:type="dxa"/>
            </w:tcMar>
            <w:vAlign w:val="bottom"/>
          </w:tcPr>
          <w:p w14:paraId="74DD7206" w14:textId="77777777" w:rsidR="00584EC1" w:rsidRDefault="00584EC1">
            <w:pPr>
              <w:jc w:val="right"/>
              <w:rPr>
                <w:rFonts w:ascii="宋体"/>
              </w:rPr>
            </w:pPr>
          </w:p>
        </w:tc>
        <w:tc>
          <w:tcPr>
            <w:tcW w:w="0" w:type="auto"/>
            <w:gridSpan w:val="3"/>
            <w:shd w:val="clear" w:color="auto" w:fill="auto"/>
            <w:vAlign w:val="bottom"/>
          </w:tcPr>
          <w:p w14:paraId="74DD7207" w14:textId="77777777" w:rsidR="00584EC1" w:rsidRDefault="00584EC1">
            <w:pPr>
              <w:rPr>
                <w:rFonts w:ascii="宋体"/>
                <w:vanish/>
              </w:rPr>
            </w:pPr>
          </w:p>
        </w:tc>
        <w:tc>
          <w:tcPr>
            <w:tcW w:w="0" w:type="auto"/>
            <w:gridSpan w:val="3"/>
            <w:shd w:val="clear" w:color="auto" w:fill="auto"/>
            <w:vAlign w:val="bottom"/>
          </w:tcPr>
          <w:p w14:paraId="74DD7208" w14:textId="77777777" w:rsidR="00584EC1" w:rsidRDefault="00584EC1">
            <w:pPr>
              <w:rPr>
                <w:rFonts w:ascii="宋体"/>
                <w:vanish/>
              </w:rPr>
            </w:pPr>
          </w:p>
        </w:tc>
      </w:tr>
      <w:tr w:rsidR="00584EC1" w14:paraId="74DD7217" w14:textId="77777777">
        <w:tc>
          <w:tcPr>
            <w:tcW w:w="0" w:type="auto"/>
            <w:gridSpan w:val="3"/>
            <w:shd w:val="clear" w:color="auto" w:fill="FFFFFF"/>
            <w:tcMar>
              <w:top w:w="40" w:type="dxa"/>
              <w:left w:w="20" w:type="dxa"/>
              <w:bottom w:w="40" w:type="dxa"/>
              <w:right w:w="20" w:type="dxa"/>
            </w:tcMar>
            <w:vAlign w:val="bottom"/>
          </w:tcPr>
          <w:p w14:paraId="74DD720A" w14:textId="77777777" w:rsidR="00584EC1" w:rsidRDefault="00871F8D">
            <w:pPr>
              <w:textAlignment w:val="bottom"/>
            </w:pPr>
            <w:r>
              <w:rPr>
                <w:rFonts w:ascii="Arial" w:eastAsia="宋体" w:hAnsi="Arial" w:cs="Arial"/>
                <w:color w:val="000000"/>
                <w:sz w:val="13"/>
                <w:szCs w:val="13"/>
              </w:rPr>
              <w:t>Occupancy</w:t>
            </w:r>
          </w:p>
        </w:tc>
        <w:tc>
          <w:tcPr>
            <w:tcW w:w="0" w:type="auto"/>
            <w:gridSpan w:val="2"/>
            <w:shd w:val="clear" w:color="auto" w:fill="FFFFFF"/>
            <w:tcMar>
              <w:top w:w="40" w:type="dxa"/>
              <w:left w:w="20" w:type="dxa"/>
              <w:bottom w:w="40" w:type="dxa"/>
              <w:right w:w="0" w:type="dxa"/>
            </w:tcMar>
            <w:vAlign w:val="bottom"/>
          </w:tcPr>
          <w:p w14:paraId="74DD720B" w14:textId="77777777" w:rsidR="00584EC1" w:rsidRDefault="00871F8D">
            <w:pPr>
              <w:jc w:val="right"/>
              <w:textAlignment w:val="bottom"/>
            </w:pPr>
            <w:r>
              <w:rPr>
                <w:rFonts w:ascii="Arial" w:eastAsia="宋体" w:hAnsi="Arial" w:cs="Arial"/>
                <w:b/>
                <w:bCs/>
                <w:color w:val="000000"/>
                <w:sz w:val="13"/>
                <w:szCs w:val="13"/>
              </w:rPr>
              <w:t>102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720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20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20E" w14:textId="77777777" w:rsidR="00584EC1" w:rsidRDefault="00871F8D">
            <w:pPr>
              <w:jc w:val="right"/>
              <w:textAlignment w:val="bottom"/>
            </w:pPr>
            <w:r>
              <w:rPr>
                <w:rFonts w:ascii="Arial" w:eastAsia="宋体" w:hAnsi="Arial" w:cs="Arial"/>
                <w:color w:val="000000"/>
                <w:sz w:val="13"/>
                <w:szCs w:val="13"/>
              </w:rPr>
              <w:t>109 </w:t>
            </w:r>
          </w:p>
        </w:tc>
        <w:tc>
          <w:tcPr>
            <w:tcW w:w="0" w:type="auto"/>
            <w:shd w:val="clear" w:color="auto" w:fill="FFFFFF"/>
            <w:tcMar>
              <w:top w:w="40" w:type="dxa"/>
              <w:left w:w="0" w:type="dxa"/>
              <w:bottom w:w="40" w:type="dxa"/>
              <w:right w:w="20" w:type="dxa"/>
            </w:tcMar>
            <w:vAlign w:val="bottom"/>
          </w:tcPr>
          <w:p w14:paraId="74DD720F" w14:textId="77777777" w:rsidR="00584EC1" w:rsidRDefault="00584EC1">
            <w:pPr>
              <w:jc w:val="right"/>
              <w:rPr>
                <w:rFonts w:ascii="宋体"/>
              </w:rPr>
            </w:pPr>
          </w:p>
        </w:tc>
        <w:tc>
          <w:tcPr>
            <w:tcW w:w="0" w:type="auto"/>
            <w:shd w:val="clear" w:color="auto" w:fill="auto"/>
            <w:vAlign w:val="bottom"/>
          </w:tcPr>
          <w:p w14:paraId="74DD7210" w14:textId="77777777" w:rsidR="00584EC1" w:rsidRDefault="00584EC1">
            <w:pPr>
              <w:rPr>
                <w:rFonts w:ascii="宋体"/>
                <w:vanish/>
              </w:rPr>
            </w:pPr>
          </w:p>
        </w:tc>
        <w:tc>
          <w:tcPr>
            <w:tcW w:w="0" w:type="auto"/>
            <w:shd w:val="clear" w:color="auto" w:fill="auto"/>
            <w:vAlign w:val="bottom"/>
          </w:tcPr>
          <w:p w14:paraId="74DD7211" w14:textId="77777777" w:rsidR="00584EC1" w:rsidRDefault="00584EC1">
            <w:pPr>
              <w:rPr>
                <w:rFonts w:ascii="宋体"/>
                <w:vanish/>
              </w:rPr>
            </w:pPr>
          </w:p>
        </w:tc>
        <w:tc>
          <w:tcPr>
            <w:tcW w:w="0" w:type="auto"/>
            <w:gridSpan w:val="3"/>
            <w:shd w:val="clear" w:color="auto" w:fill="FFFFFF"/>
            <w:tcMar>
              <w:top w:w="0" w:type="dxa"/>
              <w:left w:w="20" w:type="dxa"/>
              <w:bottom w:w="0" w:type="dxa"/>
              <w:right w:w="20" w:type="dxa"/>
            </w:tcMar>
            <w:vAlign w:val="bottom"/>
          </w:tcPr>
          <w:p w14:paraId="74DD721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213" w14:textId="77777777" w:rsidR="00584EC1" w:rsidRDefault="00871F8D">
            <w:pPr>
              <w:jc w:val="right"/>
              <w:textAlignment w:val="bottom"/>
            </w:pPr>
            <w:r>
              <w:rPr>
                <w:rFonts w:ascii="Arial" w:eastAsia="宋体" w:hAnsi="Arial" w:cs="Arial"/>
                <w:color w:val="000000"/>
                <w:sz w:val="13"/>
                <w:szCs w:val="13"/>
              </w:rPr>
              <w:t>(6)</w:t>
            </w:r>
          </w:p>
        </w:tc>
        <w:tc>
          <w:tcPr>
            <w:tcW w:w="0" w:type="auto"/>
            <w:shd w:val="clear" w:color="auto" w:fill="FFFFFF"/>
            <w:tcMar>
              <w:top w:w="40" w:type="dxa"/>
              <w:left w:w="0" w:type="dxa"/>
              <w:bottom w:w="40" w:type="dxa"/>
              <w:right w:w="20" w:type="dxa"/>
            </w:tcMar>
            <w:vAlign w:val="bottom"/>
          </w:tcPr>
          <w:p w14:paraId="74DD7214" w14:textId="77777777" w:rsidR="00584EC1" w:rsidRDefault="00584EC1">
            <w:pPr>
              <w:jc w:val="right"/>
              <w:rPr>
                <w:rFonts w:ascii="宋体"/>
              </w:rPr>
            </w:pPr>
          </w:p>
        </w:tc>
        <w:tc>
          <w:tcPr>
            <w:tcW w:w="0" w:type="auto"/>
            <w:gridSpan w:val="3"/>
            <w:shd w:val="clear" w:color="auto" w:fill="auto"/>
            <w:vAlign w:val="bottom"/>
          </w:tcPr>
          <w:p w14:paraId="74DD7215" w14:textId="77777777" w:rsidR="00584EC1" w:rsidRDefault="00584EC1">
            <w:pPr>
              <w:rPr>
                <w:rFonts w:ascii="宋体"/>
                <w:vanish/>
              </w:rPr>
            </w:pPr>
          </w:p>
        </w:tc>
        <w:tc>
          <w:tcPr>
            <w:tcW w:w="0" w:type="auto"/>
            <w:gridSpan w:val="3"/>
            <w:shd w:val="clear" w:color="auto" w:fill="auto"/>
            <w:vAlign w:val="bottom"/>
          </w:tcPr>
          <w:p w14:paraId="74DD7216" w14:textId="77777777" w:rsidR="00584EC1" w:rsidRDefault="00584EC1">
            <w:pPr>
              <w:rPr>
                <w:rFonts w:ascii="宋体"/>
                <w:vanish/>
              </w:rPr>
            </w:pPr>
          </w:p>
        </w:tc>
      </w:tr>
      <w:tr w:rsidR="00584EC1" w14:paraId="74DD7225" w14:textId="77777777">
        <w:tc>
          <w:tcPr>
            <w:tcW w:w="0" w:type="auto"/>
            <w:gridSpan w:val="3"/>
            <w:shd w:val="clear" w:color="auto" w:fill="CCEEFF"/>
            <w:tcMar>
              <w:top w:w="40" w:type="dxa"/>
              <w:left w:w="20" w:type="dxa"/>
              <w:bottom w:w="40" w:type="dxa"/>
              <w:right w:w="20" w:type="dxa"/>
            </w:tcMar>
          </w:tcPr>
          <w:p w14:paraId="74DD7218" w14:textId="77777777" w:rsidR="00584EC1" w:rsidRDefault="00871F8D">
            <w:pPr>
              <w:textAlignment w:val="top"/>
            </w:pPr>
            <w:r>
              <w:rPr>
                <w:rFonts w:ascii="Arial" w:eastAsia="宋体" w:hAnsi="Arial" w:cs="Arial"/>
                <w:color w:val="000000"/>
                <w:sz w:val="13"/>
                <w:szCs w:val="13"/>
              </w:rPr>
              <w:t>Amortization of other intangible assets</w:t>
            </w:r>
          </w:p>
        </w:tc>
        <w:tc>
          <w:tcPr>
            <w:tcW w:w="0" w:type="auto"/>
            <w:gridSpan w:val="2"/>
            <w:shd w:val="clear" w:color="auto" w:fill="CCEEFF"/>
            <w:tcMar>
              <w:top w:w="40" w:type="dxa"/>
              <w:left w:w="20" w:type="dxa"/>
              <w:bottom w:w="40" w:type="dxa"/>
              <w:right w:w="0" w:type="dxa"/>
            </w:tcMar>
            <w:vAlign w:val="bottom"/>
          </w:tcPr>
          <w:p w14:paraId="74DD7219" w14:textId="77777777" w:rsidR="00584EC1" w:rsidRDefault="00871F8D">
            <w:pPr>
              <w:jc w:val="right"/>
              <w:textAlignment w:val="bottom"/>
            </w:pPr>
            <w:r>
              <w:rPr>
                <w:rFonts w:ascii="Arial" w:eastAsia="宋体" w:hAnsi="Arial" w:cs="Arial"/>
                <w:b/>
                <w:bCs/>
                <w:color w:val="000000"/>
                <w:sz w:val="13"/>
                <w:szCs w:val="13"/>
              </w:rPr>
              <w:t>62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721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21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721C" w14:textId="77777777" w:rsidR="00584EC1" w:rsidRDefault="00871F8D">
            <w:pPr>
              <w:jc w:val="right"/>
              <w:textAlignment w:val="bottom"/>
            </w:pPr>
            <w:r>
              <w:rPr>
                <w:rFonts w:ascii="Arial" w:eastAsia="宋体" w:hAnsi="Arial" w:cs="Arial"/>
                <w:color w:val="000000"/>
                <w:sz w:val="13"/>
                <w:szCs w:val="13"/>
              </w:rPr>
              <w:t>59 </w:t>
            </w:r>
          </w:p>
        </w:tc>
        <w:tc>
          <w:tcPr>
            <w:tcW w:w="0" w:type="auto"/>
            <w:shd w:val="clear" w:color="auto" w:fill="CCEEFF"/>
            <w:tcMar>
              <w:top w:w="40" w:type="dxa"/>
              <w:left w:w="0" w:type="dxa"/>
              <w:bottom w:w="40" w:type="dxa"/>
              <w:right w:w="20" w:type="dxa"/>
            </w:tcMar>
            <w:vAlign w:val="bottom"/>
          </w:tcPr>
          <w:p w14:paraId="74DD721D" w14:textId="77777777" w:rsidR="00584EC1" w:rsidRDefault="00584EC1">
            <w:pPr>
              <w:jc w:val="right"/>
              <w:rPr>
                <w:rFonts w:ascii="宋体"/>
              </w:rPr>
            </w:pPr>
          </w:p>
        </w:tc>
        <w:tc>
          <w:tcPr>
            <w:tcW w:w="0" w:type="auto"/>
            <w:shd w:val="clear" w:color="auto" w:fill="auto"/>
            <w:vAlign w:val="bottom"/>
          </w:tcPr>
          <w:p w14:paraId="74DD721E" w14:textId="77777777" w:rsidR="00584EC1" w:rsidRDefault="00584EC1">
            <w:pPr>
              <w:rPr>
                <w:rFonts w:ascii="宋体"/>
                <w:vanish/>
              </w:rPr>
            </w:pPr>
          </w:p>
        </w:tc>
        <w:tc>
          <w:tcPr>
            <w:tcW w:w="0" w:type="auto"/>
            <w:shd w:val="clear" w:color="auto" w:fill="auto"/>
            <w:vAlign w:val="bottom"/>
          </w:tcPr>
          <w:p w14:paraId="74DD721F" w14:textId="77777777" w:rsidR="00584EC1" w:rsidRDefault="00584EC1">
            <w:pPr>
              <w:rPr>
                <w:rFonts w:ascii="宋体"/>
                <w:vanish/>
              </w:rPr>
            </w:pPr>
          </w:p>
        </w:tc>
        <w:tc>
          <w:tcPr>
            <w:tcW w:w="0" w:type="auto"/>
            <w:gridSpan w:val="3"/>
            <w:shd w:val="clear" w:color="auto" w:fill="CCEEFF"/>
            <w:tcMar>
              <w:top w:w="0" w:type="dxa"/>
              <w:left w:w="20" w:type="dxa"/>
              <w:bottom w:w="0" w:type="dxa"/>
              <w:right w:w="20" w:type="dxa"/>
            </w:tcMar>
            <w:vAlign w:val="bottom"/>
          </w:tcPr>
          <w:p w14:paraId="74DD722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7221" w14:textId="77777777" w:rsidR="00584EC1" w:rsidRDefault="00871F8D">
            <w:pPr>
              <w:jc w:val="right"/>
              <w:textAlignment w:val="bottom"/>
            </w:pPr>
            <w:r>
              <w:rPr>
                <w:rFonts w:ascii="Arial" w:eastAsia="宋体" w:hAnsi="Arial" w:cs="Arial"/>
                <w:color w:val="000000"/>
                <w:sz w:val="13"/>
                <w:szCs w:val="13"/>
              </w:rPr>
              <w:t>5 </w:t>
            </w:r>
          </w:p>
        </w:tc>
        <w:tc>
          <w:tcPr>
            <w:tcW w:w="0" w:type="auto"/>
            <w:shd w:val="clear" w:color="auto" w:fill="CCEEFF"/>
            <w:tcMar>
              <w:top w:w="40" w:type="dxa"/>
              <w:left w:w="0" w:type="dxa"/>
              <w:bottom w:w="40" w:type="dxa"/>
              <w:right w:w="20" w:type="dxa"/>
            </w:tcMar>
            <w:vAlign w:val="bottom"/>
          </w:tcPr>
          <w:p w14:paraId="74DD7222" w14:textId="77777777" w:rsidR="00584EC1" w:rsidRDefault="00584EC1">
            <w:pPr>
              <w:jc w:val="right"/>
              <w:rPr>
                <w:rFonts w:ascii="宋体"/>
              </w:rPr>
            </w:pPr>
          </w:p>
        </w:tc>
        <w:tc>
          <w:tcPr>
            <w:tcW w:w="0" w:type="auto"/>
            <w:gridSpan w:val="3"/>
            <w:shd w:val="clear" w:color="auto" w:fill="auto"/>
            <w:vAlign w:val="bottom"/>
          </w:tcPr>
          <w:p w14:paraId="74DD7223" w14:textId="77777777" w:rsidR="00584EC1" w:rsidRDefault="00584EC1">
            <w:pPr>
              <w:rPr>
                <w:rFonts w:ascii="宋体"/>
                <w:vanish/>
              </w:rPr>
            </w:pPr>
          </w:p>
        </w:tc>
        <w:tc>
          <w:tcPr>
            <w:tcW w:w="0" w:type="auto"/>
            <w:gridSpan w:val="3"/>
            <w:shd w:val="clear" w:color="auto" w:fill="auto"/>
            <w:vAlign w:val="bottom"/>
          </w:tcPr>
          <w:p w14:paraId="74DD7224" w14:textId="77777777" w:rsidR="00584EC1" w:rsidRDefault="00584EC1">
            <w:pPr>
              <w:rPr>
                <w:rFonts w:ascii="宋体"/>
                <w:vanish/>
              </w:rPr>
            </w:pPr>
          </w:p>
        </w:tc>
      </w:tr>
      <w:tr w:rsidR="00584EC1" w14:paraId="74DD7233" w14:textId="77777777">
        <w:tc>
          <w:tcPr>
            <w:tcW w:w="0" w:type="auto"/>
            <w:gridSpan w:val="3"/>
            <w:shd w:val="clear" w:color="auto" w:fill="FFFFFF"/>
            <w:tcMar>
              <w:top w:w="40" w:type="dxa"/>
              <w:left w:w="20" w:type="dxa"/>
              <w:bottom w:w="40" w:type="dxa"/>
              <w:right w:w="20" w:type="dxa"/>
            </w:tcMar>
            <w:vAlign w:val="bottom"/>
          </w:tcPr>
          <w:p w14:paraId="74DD7226" w14:textId="77777777" w:rsidR="00584EC1" w:rsidRDefault="00871F8D">
            <w:pPr>
              <w:textAlignment w:val="bottom"/>
            </w:pPr>
            <w:r>
              <w:rPr>
                <w:rFonts w:ascii="Arial" w:eastAsia="宋体" w:hAnsi="Arial" w:cs="Arial"/>
                <w:color w:val="000000"/>
                <w:sz w:val="13"/>
                <w:szCs w:val="13"/>
              </w:rPr>
              <w:t>Acquisition costs</w:t>
            </w:r>
          </w:p>
        </w:tc>
        <w:tc>
          <w:tcPr>
            <w:tcW w:w="0" w:type="auto"/>
            <w:gridSpan w:val="2"/>
            <w:shd w:val="clear" w:color="auto" w:fill="FFFFFF"/>
            <w:tcMar>
              <w:top w:w="40" w:type="dxa"/>
              <w:left w:w="20" w:type="dxa"/>
              <w:bottom w:w="40" w:type="dxa"/>
              <w:right w:w="0" w:type="dxa"/>
            </w:tcMar>
            <w:vAlign w:val="bottom"/>
          </w:tcPr>
          <w:p w14:paraId="74DD7227" w14:textId="77777777" w:rsidR="00584EC1" w:rsidRDefault="00871F8D">
            <w:pPr>
              <w:jc w:val="right"/>
              <w:textAlignment w:val="bottom"/>
            </w:pPr>
            <w:r>
              <w:rPr>
                <w:rFonts w:ascii="Arial" w:eastAsia="宋体" w:hAnsi="Arial" w:cs="Arial"/>
                <w:b/>
                <w:bCs/>
                <w:color w:val="000000"/>
                <w:sz w:val="13"/>
                <w:szCs w:val="13"/>
              </w:rPr>
              <w:t>18</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722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22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22A" w14:textId="77777777" w:rsidR="00584EC1" w:rsidRDefault="00871F8D">
            <w:pPr>
              <w:jc w:val="right"/>
              <w:textAlignment w:val="bottom"/>
            </w:pPr>
            <w:r>
              <w:rPr>
                <w:rFonts w:ascii="Arial" w:eastAsia="宋体" w:hAnsi="Arial" w:cs="Arial"/>
                <w:color w:val="000000"/>
                <w:sz w:val="13"/>
                <w:szCs w:val="13"/>
              </w:rPr>
              <w:t>15 </w:t>
            </w:r>
          </w:p>
        </w:tc>
        <w:tc>
          <w:tcPr>
            <w:tcW w:w="0" w:type="auto"/>
            <w:shd w:val="clear" w:color="auto" w:fill="FFFFFF"/>
            <w:tcMar>
              <w:top w:w="40" w:type="dxa"/>
              <w:left w:w="0" w:type="dxa"/>
              <w:bottom w:w="40" w:type="dxa"/>
              <w:right w:w="20" w:type="dxa"/>
            </w:tcMar>
            <w:vAlign w:val="bottom"/>
          </w:tcPr>
          <w:p w14:paraId="74DD722B" w14:textId="77777777" w:rsidR="00584EC1" w:rsidRDefault="00584EC1">
            <w:pPr>
              <w:jc w:val="right"/>
              <w:rPr>
                <w:rFonts w:ascii="宋体"/>
              </w:rPr>
            </w:pPr>
          </w:p>
        </w:tc>
        <w:tc>
          <w:tcPr>
            <w:tcW w:w="0" w:type="auto"/>
            <w:shd w:val="clear" w:color="auto" w:fill="auto"/>
            <w:vAlign w:val="bottom"/>
          </w:tcPr>
          <w:p w14:paraId="74DD722C" w14:textId="77777777" w:rsidR="00584EC1" w:rsidRDefault="00584EC1">
            <w:pPr>
              <w:rPr>
                <w:rFonts w:ascii="宋体"/>
                <w:vanish/>
              </w:rPr>
            </w:pPr>
          </w:p>
        </w:tc>
        <w:tc>
          <w:tcPr>
            <w:tcW w:w="0" w:type="auto"/>
            <w:shd w:val="clear" w:color="auto" w:fill="auto"/>
            <w:vAlign w:val="bottom"/>
          </w:tcPr>
          <w:p w14:paraId="74DD722D" w14:textId="77777777" w:rsidR="00584EC1" w:rsidRDefault="00584EC1">
            <w:pPr>
              <w:rPr>
                <w:rFonts w:ascii="宋体"/>
                <w:vanish/>
              </w:rPr>
            </w:pPr>
          </w:p>
        </w:tc>
        <w:tc>
          <w:tcPr>
            <w:tcW w:w="0" w:type="auto"/>
            <w:gridSpan w:val="3"/>
            <w:shd w:val="clear" w:color="auto" w:fill="FFFFFF"/>
            <w:tcMar>
              <w:top w:w="0" w:type="dxa"/>
              <w:left w:w="20" w:type="dxa"/>
              <w:bottom w:w="0" w:type="dxa"/>
              <w:right w:w="20" w:type="dxa"/>
            </w:tcMar>
            <w:vAlign w:val="bottom"/>
          </w:tcPr>
          <w:p w14:paraId="74DD722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22F" w14:textId="77777777" w:rsidR="00584EC1" w:rsidRDefault="00871F8D">
            <w:pPr>
              <w:jc w:val="right"/>
              <w:textAlignment w:val="bottom"/>
            </w:pPr>
            <w:r>
              <w:rPr>
                <w:rFonts w:ascii="Arial" w:eastAsia="宋体" w:hAnsi="Arial" w:cs="Arial"/>
                <w:color w:val="000000"/>
                <w:sz w:val="13"/>
                <w:szCs w:val="13"/>
              </w:rPr>
              <w:t>20 </w:t>
            </w:r>
          </w:p>
        </w:tc>
        <w:tc>
          <w:tcPr>
            <w:tcW w:w="0" w:type="auto"/>
            <w:shd w:val="clear" w:color="auto" w:fill="FFFFFF"/>
            <w:tcMar>
              <w:top w:w="40" w:type="dxa"/>
              <w:left w:w="0" w:type="dxa"/>
              <w:bottom w:w="40" w:type="dxa"/>
              <w:right w:w="20" w:type="dxa"/>
            </w:tcMar>
            <w:vAlign w:val="bottom"/>
          </w:tcPr>
          <w:p w14:paraId="74DD7230" w14:textId="77777777" w:rsidR="00584EC1" w:rsidRDefault="00584EC1">
            <w:pPr>
              <w:jc w:val="right"/>
              <w:rPr>
                <w:rFonts w:ascii="宋体"/>
              </w:rPr>
            </w:pPr>
          </w:p>
        </w:tc>
        <w:tc>
          <w:tcPr>
            <w:tcW w:w="0" w:type="auto"/>
            <w:gridSpan w:val="3"/>
            <w:shd w:val="clear" w:color="auto" w:fill="auto"/>
            <w:vAlign w:val="bottom"/>
          </w:tcPr>
          <w:p w14:paraId="74DD7231" w14:textId="77777777" w:rsidR="00584EC1" w:rsidRDefault="00584EC1">
            <w:pPr>
              <w:rPr>
                <w:rFonts w:ascii="宋体"/>
                <w:vanish/>
              </w:rPr>
            </w:pPr>
          </w:p>
        </w:tc>
        <w:tc>
          <w:tcPr>
            <w:tcW w:w="0" w:type="auto"/>
            <w:gridSpan w:val="3"/>
            <w:shd w:val="clear" w:color="auto" w:fill="auto"/>
            <w:vAlign w:val="bottom"/>
          </w:tcPr>
          <w:p w14:paraId="74DD7232" w14:textId="77777777" w:rsidR="00584EC1" w:rsidRDefault="00584EC1">
            <w:pPr>
              <w:rPr>
                <w:rFonts w:ascii="宋体"/>
                <w:vanish/>
              </w:rPr>
            </w:pPr>
          </w:p>
        </w:tc>
      </w:tr>
      <w:tr w:rsidR="00584EC1" w14:paraId="74DD723E" w14:textId="77777777">
        <w:trPr>
          <w:hidden/>
        </w:trPr>
        <w:tc>
          <w:tcPr>
            <w:tcW w:w="0" w:type="auto"/>
            <w:gridSpan w:val="3"/>
            <w:shd w:val="clear" w:color="auto" w:fill="auto"/>
            <w:vAlign w:val="bottom"/>
          </w:tcPr>
          <w:p w14:paraId="74DD7234" w14:textId="77777777" w:rsidR="00584EC1" w:rsidRDefault="00584EC1">
            <w:pPr>
              <w:rPr>
                <w:rFonts w:ascii="宋体"/>
                <w:vanish/>
              </w:rPr>
            </w:pPr>
          </w:p>
        </w:tc>
        <w:tc>
          <w:tcPr>
            <w:tcW w:w="0" w:type="auto"/>
            <w:gridSpan w:val="3"/>
            <w:shd w:val="clear" w:color="auto" w:fill="auto"/>
            <w:vAlign w:val="bottom"/>
          </w:tcPr>
          <w:p w14:paraId="74DD7235" w14:textId="77777777" w:rsidR="00584EC1" w:rsidRDefault="00584EC1">
            <w:pPr>
              <w:rPr>
                <w:rFonts w:ascii="宋体"/>
                <w:vanish/>
              </w:rPr>
            </w:pPr>
          </w:p>
        </w:tc>
        <w:tc>
          <w:tcPr>
            <w:tcW w:w="0" w:type="auto"/>
            <w:gridSpan w:val="3"/>
            <w:shd w:val="clear" w:color="auto" w:fill="auto"/>
            <w:vAlign w:val="bottom"/>
          </w:tcPr>
          <w:p w14:paraId="74DD7236" w14:textId="77777777" w:rsidR="00584EC1" w:rsidRDefault="00584EC1">
            <w:pPr>
              <w:rPr>
                <w:rFonts w:ascii="宋体"/>
                <w:vanish/>
              </w:rPr>
            </w:pPr>
          </w:p>
        </w:tc>
        <w:tc>
          <w:tcPr>
            <w:tcW w:w="0" w:type="auto"/>
            <w:gridSpan w:val="3"/>
            <w:shd w:val="clear" w:color="auto" w:fill="auto"/>
            <w:vAlign w:val="bottom"/>
          </w:tcPr>
          <w:p w14:paraId="74DD7237" w14:textId="77777777" w:rsidR="00584EC1" w:rsidRDefault="00584EC1">
            <w:pPr>
              <w:rPr>
                <w:rFonts w:ascii="宋体"/>
                <w:vanish/>
              </w:rPr>
            </w:pPr>
          </w:p>
        </w:tc>
        <w:tc>
          <w:tcPr>
            <w:tcW w:w="0" w:type="auto"/>
            <w:shd w:val="clear" w:color="auto" w:fill="auto"/>
            <w:vAlign w:val="bottom"/>
          </w:tcPr>
          <w:p w14:paraId="74DD7238" w14:textId="77777777" w:rsidR="00584EC1" w:rsidRDefault="00584EC1">
            <w:pPr>
              <w:rPr>
                <w:rFonts w:ascii="宋体"/>
                <w:vanish/>
              </w:rPr>
            </w:pPr>
          </w:p>
        </w:tc>
        <w:tc>
          <w:tcPr>
            <w:tcW w:w="0" w:type="auto"/>
            <w:shd w:val="clear" w:color="auto" w:fill="auto"/>
            <w:vAlign w:val="bottom"/>
          </w:tcPr>
          <w:p w14:paraId="74DD7239" w14:textId="77777777" w:rsidR="00584EC1" w:rsidRDefault="00584EC1">
            <w:pPr>
              <w:rPr>
                <w:rFonts w:ascii="宋体"/>
                <w:vanish/>
              </w:rPr>
            </w:pPr>
          </w:p>
        </w:tc>
        <w:tc>
          <w:tcPr>
            <w:tcW w:w="0" w:type="auto"/>
            <w:gridSpan w:val="3"/>
            <w:shd w:val="clear" w:color="auto" w:fill="auto"/>
            <w:vAlign w:val="bottom"/>
          </w:tcPr>
          <w:p w14:paraId="74DD723A" w14:textId="77777777" w:rsidR="00584EC1" w:rsidRDefault="00584EC1">
            <w:pPr>
              <w:rPr>
                <w:rFonts w:ascii="宋体"/>
                <w:vanish/>
              </w:rPr>
            </w:pPr>
          </w:p>
        </w:tc>
        <w:tc>
          <w:tcPr>
            <w:tcW w:w="0" w:type="auto"/>
            <w:gridSpan w:val="3"/>
            <w:shd w:val="clear" w:color="auto" w:fill="auto"/>
            <w:vAlign w:val="bottom"/>
          </w:tcPr>
          <w:p w14:paraId="74DD723B" w14:textId="77777777" w:rsidR="00584EC1" w:rsidRDefault="00584EC1">
            <w:pPr>
              <w:rPr>
                <w:rFonts w:ascii="宋体"/>
                <w:vanish/>
              </w:rPr>
            </w:pPr>
          </w:p>
        </w:tc>
        <w:tc>
          <w:tcPr>
            <w:tcW w:w="0" w:type="auto"/>
            <w:gridSpan w:val="3"/>
            <w:shd w:val="clear" w:color="auto" w:fill="auto"/>
            <w:vAlign w:val="bottom"/>
          </w:tcPr>
          <w:p w14:paraId="74DD723C" w14:textId="77777777" w:rsidR="00584EC1" w:rsidRDefault="00584EC1">
            <w:pPr>
              <w:rPr>
                <w:rFonts w:ascii="宋体"/>
                <w:vanish/>
              </w:rPr>
            </w:pPr>
          </w:p>
        </w:tc>
        <w:tc>
          <w:tcPr>
            <w:tcW w:w="0" w:type="auto"/>
            <w:gridSpan w:val="3"/>
            <w:shd w:val="clear" w:color="auto" w:fill="auto"/>
            <w:vAlign w:val="bottom"/>
          </w:tcPr>
          <w:p w14:paraId="74DD723D" w14:textId="77777777" w:rsidR="00584EC1" w:rsidRDefault="00584EC1">
            <w:pPr>
              <w:rPr>
                <w:rFonts w:ascii="宋体"/>
                <w:vanish/>
              </w:rPr>
            </w:pPr>
          </w:p>
        </w:tc>
      </w:tr>
      <w:tr w:rsidR="00584EC1" w14:paraId="74DD7249" w14:textId="77777777">
        <w:tc>
          <w:tcPr>
            <w:tcW w:w="0" w:type="auto"/>
            <w:gridSpan w:val="3"/>
            <w:shd w:val="clear" w:color="auto" w:fill="CCEEFF"/>
            <w:tcMar>
              <w:top w:w="40" w:type="dxa"/>
              <w:left w:w="20" w:type="dxa"/>
              <w:bottom w:w="40" w:type="dxa"/>
              <w:right w:w="20" w:type="dxa"/>
            </w:tcMar>
            <w:vAlign w:val="bottom"/>
          </w:tcPr>
          <w:p w14:paraId="74DD723F" w14:textId="77777777" w:rsidR="00584EC1" w:rsidRDefault="00871F8D">
            <w:pPr>
              <w:textAlignment w:val="bottom"/>
            </w:pPr>
            <w:r>
              <w:rPr>
                <w:rFonts w:ascii="Arial" w:eastAsia="宋体" w:hAnsi="Arial" w:cs="Arial"/>
                <w:color w:val="000000"/>
                <w:sz w:val="13"/>
                <w:szCs w:val="13"/>
              </w:rPr>
              <w:t>Other:</w:t>
            </w:r>
          </w:p>
        </w:tc>
        <w:tc>
          <w:tcPr>
            <w:tcW w:w="0" w:type="auto"/>
            <w:gridSpan w:val="3"/>
            <w:shd w:val="clear" w:color="auto" w:fill="CCEEFF"/>
            <w:tcMar>
              <w:top w:w="0" w:type="dxa"/>
              <w:left w:w="20" w:type="dxa"/>
              <w:bottom w:w="0" w:type="dxa"/>
              <w:right w:w="20" w:type="dxa"/>
            </w:tcMar>
            <w:vAlign w:val="bottom"/>
          </w:tcPr>
          <w:p w14:paraId="74DD7240"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7241"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7242" w14:textId="77777777" w:rsidR="00584EC1" w:rsidRDefault="00584EC1">
            <w:pPr>
              <w:rPr>
                <w:rFonts w:ascii="宋体"/>
              </w:rPr>
            </w:pPr>
          </w:p>
        </w:tc>
        <w:tc>
          <w:tcPr>
            <w:tcW w:w="0" w:type="auto"/>
            <w:shd w:val="clear" w:color="auto" w:fill="auto"/>
            <w:vAlign w:val="bottom"/>
          </w:tcPr>
          <w:p w14:paraId="74DD7243" w14:textId="77777777" w:rsidR="00584EC1" w:rsidRDefault="00584EC1">
            <w:pPr>
              <w:rPr>
                <w:rFonts w:ascii="宋体"/>
                <w:vanish/>
              </w:rPr>
            </w:pPr>
          </w:p>
        </w:tc>
        <w:tc>
          <w:tcPr>
            <w:tcW w:w="0" w:type="auto"/>
            <w:shd w:val="clear" w:color="auto" w:fill="auto"/>
            <w:vAlign w:val="bottom"/>
          </w:tcPr>
          <w:p w14:paraId="74DD7244" w14:textId="77777777" w:rsidR="00584EC1" w:rsidRDefault="00584EC1">
            <w:pPr>
              <w:rPr>
                <w:rFonts w:ascii="宋体"/>
                <w:vanish/>
              </w:rPr>
            </w:pPr>
          </w:p>
        </w:tc>
        <w:tc>
          <w:tcPr>
            <w:tcW w:w="0" w:type="auto"/>
            <w:gridSpan w:val="3"/>
            <w:shd w:val="clear" w:color="auto" w:fill="CCEEFF"/>
            <w:tcMar>
              <w:top w:w="0" w:type="dxa"/>
              <w:left w:w="20" w:type="dxa"/>
              <w:bottom w:w="0" w:type="dxa"/>
              <w:right w:w="20" w:type="dxa"/>
            </w:tcMar>
            <w:vAlign w:val="bottom"/>
          </w:tcPr>
          <w:p w14:paraId="74DD7245"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7246" w14:textId="77777777" w:rsidR="00584EC1" w:rsidRDefault="00584EC1">
            <w:pPr>
              <w:rPr>
                <w:rFonts w:ascii="宋体"/>
              </w:rPr>
            </w:pPr>
          </w:p>
        </w:tc>
        <w:tc>
          <w:tcPr>
            <w:tcW w:w="0" w:type="auto"/>
            <w:gridSpan w:val="3"/>
            <w:shd w:val="clear" w:color="auto" w:fill="auto"/>
            <w:vAlign w:val="bottom"/>
          </w:tcPr>
          <w:p w14:paraId="74DD7247" w14:textId="77777777" w:rsidR="00584EC1" w:rsidRDefault="00584EC1">
            <w:pPr>
              <w:rPr>
                <w:rFonts w:ascii="宋体"/>
                <w:vanish/>
              </w:rPr>
            </w:pPr>
          </w:p>
        </w:tc>
        <w:tc>
          <w:tcPr>
            <w:tcW w:w="0" w:type="auto"/>
            <w:gridSpan w:val="3"/>
            <w:shd w:val="clear" w:color="auto" w:fill="auto"/>
            <w:vAlign w:val="bottom"/>
          </w:tcPr>
          <w:p w14:paraId="74DD7248" w14:textId="77777777" w:rsidR="00584EC1" w:rsidRDefault="00584EC1">
            <w:pPr>
              <w:rPr>
                <w:rFonts w:ascii="宋体"/>
                <w:vanish/>
              </w:rPr>
            </w:pPr>
          </w:p>
        </w:tc>
      </w:tr>
      <w:tr w:rsidR="00584EC1" w14:paraId="74DD7257" w14:textId="77777777">
        <w:tc>
          <w:tcPr>
            <w:tcW w:w="0" w:type="auto"/>
            <w:gridSpan w:val="3"/>
            <w:shd w:val="clear" w:color="auto" w:fill="FFFFFF"/>
            <w:tcMar>
              <w:top w:w="40" w:type="dxa"/>
              <w:left w:w="155" w:type="dxa"/>
              <w:bottom w:w="40" w:type="dxa"/>
              <w:right w:w="20" w:type="dxa"/>
            </w:tcMar>
            <w:vAlign w:val="bottom"/>
          </w:tcPr>
          <w:p w14:paraId="74DD724A" w14:textId="77777777" w:rsidR="00584EC1" w:rsidRDefault="00871F8D">
            <w:pPr>
              <w:textAlignment w:val="bottom"/>
            </w:pPr>
            <w:r>
              <w:rPr>
                <w:rFonts w:ascii="Arial" w:eastAsia="宋体" w:hAnsi="Arial" w:cs="Arial"/>
                <w:color w:val="000000"/>
                <w:sz w:val="13"/>
                <w:szCs w:val="13"/>
              </w:rPr>
              <w:t>Professional services</w:t>
            </w:r>
          </w:p>
        </w:tc>
        <w:tc>
          <w:tcPr>
            <w:tcW w:w="0" w:type="auto"/>
            <w:gridSpan w:val="2"/>
            <w:shd w:val="clear" w:color="auto" w:fill="FFFFFF"/>
            <w:tcMar>
              <w:top w:w="40" w:type="dxa"/>
              <w:left w:w="20" w:type="dxa"/>
              <w:bottom w:w="40" w:type="dxa"/>
              <w:right w:w="0" w:type="dxa"/>
            </w:tcMar>
            <w:vAlign w:val="bottom"/>
          </w:tcPr>
          <w:p w14:paraId="74DD724B" w14:textId="77777777" w:rsidR="00584EC1" w:rsidRDefault="00871F8D">
            <w:pPr>
              <w:jc w:val="right"/>
              <w:textAlignment w:val="bottom"/>
            </w:pPr>
            <w:r>
              <w:rPr>
                <w:rFonts w:ascii="Arial" w:eastAsia="宋体" w:hAnsi="Arial" w:cs="Arial"/>
                <w:b/>
                <w:bCs/>
                <w:color w:val="000000"/>
                <w:sz w:val="13"/>
                <w:szCs w:val="13"/>
              </w:rPr>
              <w:t>91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724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24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24E" w14:textId="77777777" w:rsidR="00584EC1" w:rsidRDefault="00871F8D">
            <w:pPr>
              <w:jc w:val="right"/>
              <w:textAlignment w:val="bottom"/>
            </w:pPr>
            <w:r>
              <w:rPr>
                <w:rFonts w:ascii="Arial" w:eastAsia="宋体" w:hAnsi="Arial" w:cs="Arial"/>
                <w:color w:val="000000"/>
                <w:sz w:val="13"/>
                <w:szCs w:val="13"/>
              </w:rPr>
              <w:t>89 </w:t>
            </w:r>
          </w:p>
        </w:tc>
        <w:tc>
          <w:tcPr>
            <w:tcW w:w="0" w:type="auto"/>
            <w:shd w:val="clear" w:color="auto" w:fill="FFFFFF"/>
            <w:tcMar>
              <w:top w:w="40" w:type="dxa"/>
              <w:left w:w="0" w:type="dxa"/>
              <w:bottom w:w="40" w:type="dxa"/>
              <w:right w:w="20" w:type="dxa"/>
            </w:tcMar>
            <w:vAlign w:val="bottom"/>
          </w:tcPr>
          <w:p w14:paraId="74DD724F" w14:textId="77777777" w:rsidR="00584EC1" w:rsidRDefault="00584EC1">
            <w:pPr>
              <w:jc w:val="right"/>
              <w:rPr>
                <w:rFonts w:ascii="宋体"/>
              </w:rPr>
            </w:pPr>
          </w:p>
        </w:tc>
        <w:tc>
          <w:tcPr>
            <w:tcW w:w="0" w:type="auto"/>
            <w:shd w:val="clear" w:color="auto" w:fill="auto"/>
            <w:vAlign w:val="bottom"/>
          </w:tcPr>
          <w:p w14:paraId="74DD7250" w14:textId="77777777" w:rsidR="00584EC1" w:rsidRDefault="00584EC1">
            <w:pPr>
              <w:rPr>
                <w:rFonts w:ascii="宋体"/>
                <w:vanish/>
              </w:rPr>
            </w:pPr>
          </w:p>
        </w:tc>
        <w:tc>
          <w:tcPr>
            <w:tcW w:w="0" w:type="auto"/>
            <w:shd w:val="clear" w:color="auto" w:fill="auto"/>
            <w:vAlign w:val="bottom"/>
          </w:tcPr>
          <w:p w14:paraId="74DD7251" w14:textId="77777777" w:rsidR="00584EC1" w:rsidRDefault="00584EC1">
            <w:pPr>
              <w:rPr>
                <w:rFonts w:ascii="宋体"/>
                <w:vanish/>
              </w:rPr>
            </w:pPr>
          </w:p>
        </w:tc>
        <w:tc>
          <w:tcPr>
            <w:tcW w:w="0" w:type="auto"/>
            <w:gridSpan w:val="3"/>
            <w:shd w:val="clear" w:color="auto" w:fill="FFFFFF"/>
            <w:tcMar>
              <w:top w:w="0" w:type="dxa"/>
              <w:left w:w="20" w:type="dxa"/>
              <w:bottom w:w="0" w:type="dxa"/>
              <w:right w:w="20" w:type="dxa"/>
            </w:tcMar>
            <w:vAlign w:val="bottom"/>
          </w:tcPr>
          <w:p w14:paraId="74DD725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253" w14:textId="77777777" w:rsidR="00584EC1" w:rsidRDefault="00871F8D">
            <w:pPr>
              <w:jc w:val="right"/>
              <w:textAlignment w:val="bottom"/>
            </w:pPr>
            <w:r>
              <w:rPr>
                <w:rFonts w:ascii="Arial" w:eastAsia="宋体" w:hAnsi="Arial" w:cs="Arial"/>
                <w:color w:val="000000"/>
                <w:sz w:val="13"/>
                <w:szCs w:val="13"/>
              </w:rPr>
              <w:t>2 </w:t>
            </w:r>
          </w:p>
        </w:tc>
        <w:tc>
          <w:tcPr>
            <w:tcW w:w="0" w:type="auto"/>
            <w:shd w:val="clear" w:color="auto" w:fill="FFFFFF"/>
            <w:tcMar>
              <w:top w:w="40" w:type="dxa"/>
              <w:left w:w="0" w:type="dxa"/>
              <w:bottom w:w="40" w:type="dxa"/>
              <w:right w:w="20" w:type="dxa"/>
            </w:tcMar>
            <w:vAlign w:val="bottom"/>
          </w:tcPr>
          <w:p w14:paraId="74DD7254" w14:textId="77777777" w:rsidR="00584EC1" w:rsidRDefault="00584EC1">
            <w:pPr>
              <w:jc w:val="right"/>
              <w:rPr>
                <w:rFonts w:ascii="宋体"/>
              </w:rPr>
            </w:pPr>
          </w:p>
        </w:tc>
        <w:tc>
          <w:tcPr>
            <w:tcW w:w="0" w:type="auto"/>
            <w:gridSpan w:val="3"/>
            <w:shd w:val="clear" w:color="auto" w:fill="auto"/>
            <w:vAlign w:val="bottom"/>
          </w:tcPr>
          <w:p w14:paraId="74DD7255" w14:textId="77777777" w:rsidR="00584EC1" w:rsidRDefault="00584EC1">
            <w:pPr>
              <w:rPr>
                <w:rFonts w:ascii="宋体"/>
                <w:vanish/>
              </w:rPr>
            </w:pPr>
          </w:p>
        </w:tc>
        <w:tc>
          <w:tcPr>
            <w:tcW w:w="0" w:type="auto"/>
            <w:gridSpan w:val="3"/>
            <w:shd w:val="clear" w:color="auto" w:fill="auto"/>
            <w:vAlign w:val="bottom"/>
          </w:tcPr>
          <w:p w14:paraId="74DD7256" w14:textId="77777777" w:rsidR="00584EC1" w:rsidRDefault="00584EC1">
            <w:pPr>
              <w:rPr>
                <w:rFonts w:ascii="宋体"/>
                <w:vanish/>
              </w:rPr>
            </w:pPr>
          </w:p>
        </w:tc>
      </w:tr>
      <w:tr w:rsidR="00584EC1" w14:paraId="74DD7265" w14:textId="77777777">
        <w:tc>
          <w:tcPr>
            <w:tcW w:w="0" w:type="auto"/>
            <w:gridSpan w:val="3"/>
            <w:shd w:val="clear" w:color="auto" w:fill="CCEEFF"/>
            <w:tcMar>
              <w:top w:w="40" w:type="dxa"/>
              <w:left w:w="155" w:type="dxa"/>
              <w:bottom w:w="40" w:type="dxa"/>
              <w:right w:w="20" w:type="dxa"/>
            </w:tcMar>
            <w:vAlign w:val="bottom"/>
          </w:tcPr>
          <w:p w14:paraId="74DD7258" w14:textId="77777777" w:rsidR="00584EC1" w:rsidRDefault="00871F8D">
            <w:pPr>
              <w:textAlignment w:val="bottom"/>
            </w:pPr>
            <w:r>
              <w:rPr>
                <w:rFonts w:ascii="Arial" w:eastAsia="宋体" w:hAnsi="Arial" w:cs="Arial"/>
                <w:color w:val="000000"/>
                <w:sz w:val="13"/>
                <w:szCs w:val="13"/>
              </w:rPr>
              <w:t>Other</w:t>
            </w:r>
          </w:p>
        </w:tc>
        <w:tc>
          <w:tcPr>
            <w:tcW w:w="0" w:type="auto"/>
            <w:gridSpan w:val="2"/>
            <w:shd w:val="clear" w:color="auto" w:fill="CCEEFF"/>
            <w:tcMar>
              <w:top w:w="40" w:type="dxa"/>
              <w:left w:w="20" w:type="dxa"/>
              <w:bottom w:w="40" w:type="dxa"/>
              <w:right w:w="0" w:type="dxa"/>
            </w:tcMar>
            <w:vAlign w:val="bottom"/>
          </w:tcPr>
          <w:p w14:paraId="74DD7259" w14:textId="77777777" w:rsidR="00584EC1" w:rsidRDefault="00871F8D">
            <w:pPr>
              <w:jc w:val="right"/>
              <w:textAlignment w:val="bottom"/>
            </w:pPr>
            <w:r>
              <w:rPr>
                <w:rFonts w:ascii="Arial" w:eastAsia="宋体" w:hAnsi="Arial" w:cs="Arial"/>
                <w:b/>
                <w:bCs/>
                <w:color w:val="000000"/>
                <w:sz w:val="13"/>
                <w:szCs w:val="13"/>
              </w:rPr>
              <w:t>130</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725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25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725C" w14:textId="77777777" w:rsidR="00584EC1" w:rsidRDefault="00871F8D">
            <w:pPr>
              <w:jc w:val="right"/>
              <w:textAlignment w:val="bottom"/>
            </w:pPr>
            <w:r>
              <w:rPr>
                <w:rFonts w:ascii="Arial" w:eastAsia="宋体" w:hAnsi="Arial" w:cs="Arial"/>
                <w:color w:val="000000"/>
                <w:sz w:val="13"/>
                <w:szCs w:val="13"/>
              </w:rPr>
              <w:t>140 </w:t>
            </w:r>
          </w:p>
        </w:tc>
        <w:tc>
          <w:tcPr>
            <w:tcW w:w="0" w:type="auto"/>
            <w:shd w:val="clear" w:color="auto" w:fill="CCEEFF"/>
            <w:tcMar>
              <w:top w:w="40" w:type="dxa"/>
              <w:left w:w="0" w:type="dxa"/>
              <w:bottom w:w="40" w:type="dxa"/>
              <w:right w:w="20" w:type="dxa"/>
            </w:tcMar>
            <w:vAlign w:val="bottom"/>
          </w:tcPr>
          <w:p w14:paraId="74DD725D" w14:textId="77777777" w:rsidR="00584EC1" w:rsidRDefault="00584EC1">
            <w:pPr>
              <w:jc w:val="right"/>
              <w:rPr>
                <w:rFonts w:ascii="宋体"/>
              </w:rPr>
            </w:pPr>
          </w:p>
        </w:tc>
        <w:tc>
          <w:tcPr>
            <w:tcW w:w="0" w:type="auto"/>
            <w:shd w:val="clear" w:color="auto" w:fill="auto"/>
            <w:vAlign w:val="bottom"/>
          </w:tcPr>
          <w:p w14:paraId="74DD725E" w14:textId="77777777" w:rsidR="00584EC1" w:rsidRDefault="00584EC1">
            <w:pPr>
              <w:rPr>
                <w:rFonts w:ascii="宋体"/>
                <w:vanish/>
              </w:rPr>
            </w:pPr>
          </w:p>
        </w:tc>
        <w:tc>
          <w:tcPr>
            <w:tcW w:w="0" w:type="auto"/>
            <w:shd w:val="clear" w:color="auto" w:fill="auto"/>
            <w:vAlign w:val="bottom"/>
          </w:tcPr>
          <w:p w14:paraId="74DD725F" w14:textId="77777777" w:rsidR="00584EC1" w:rsidRDefault="00584EC1">
            <w:pPr>
              <w:rPr>
                <w:rFonts w:ascii="宋体"/>
                <w:vanish/>
              </w:rPr>
            </w:pPr>
          </w:p>
        </w:tc>
        <w:tc>
          <w:tcPr>
            <w:tcW w:w="0" w:type="auto"/>
            <w:gridSpan w:val="3"/>
            <w:shd w:val="clear" w:color="auto" w:fill="CCEEFF"/>
            <w:tcMar>
              <w:top w:w="0" w:type="dxa"/>
              <w:left w:w="20" w:type="dxa"/>
              <w:bottom w:w="0" w:type="dxa"/>
              <w:right w:w="20" w:type="dxa"/>
            </w:tcMar>
            <w:vAlign w:val="bottom"/>
          </w:tcPr>
          <w:p w14:paraId="74DD726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7261" w14:textId="77777777" w:rsidR="00584EC1" w:rsidRDefault="00871F8D">
            <w:pPr>
              <w:jc w:val="right"/>
              <w:textAlignment w:val="bottom"/>
            </w:pPr>
            <w:r>
              <w:rPr>
                <w:rFonts w:ascii="Arial" w:eastAsia="宋体" w:hAnsi="Arial" w:cs="Arial"/>
                <w:color w:val="000000"/>
                <w:sz w:val="13"/>
                <w:szCs w:val="13"/>
              </w:rPr>
              <w:t>(7)</w:t>
            </w:r>
          </w:p>
        </w:tc>
        <w:tc>
          <w:tcPr>
            <w:tcW w:w="0" w:type="auto"/>
            <w:shd w:val="clear" w:color="auto" w:fill="CCEEFF"/>
            <w:tcMar>
              <w:top w:w="40" w:type="dxa"/>
              <w:left w:w="0" w:type="dxa"/>
              <w:bottom w:w="40" w:type="dxa"/>
              <w:right w:w="20" w:type="dxa"/>
            </w:tcMar>
            <w:vAlign w:val="bottom"/>
          </w:tcPr>
          <w:p w14:paraId="74DD7262" w14:textId="77777777" w:rsidR="00584EC1" w:rsidRDefault="00584EC1">
            <w:pPr>
              <w:jc w:val="right"/>
              <w:rPr>
                <w:rFonts w:ascii="宋体"/>
              </w:rPr>
            </w:pPr>
          </w:p>
        </w:tc>
        <w:tc>
          <w:tcPr>
            <w:tcW w:w="0" w:type="auto"/>
            <w:gridSpan w:val="3"/>
            <w:shd w:val="clear" w:color="auto" w:fill="auto"/>
            <w:vAlign w:val="bottom"/>
          </w:tcPr>
          <w:p w14:paraId="74DD7263" w14:textId="77777777" w:rsidR="00584EC1" w:rsidRDefault="00584EC1">
            <w:pPr>
              <w:rPr>
                <w:rFonts w:ascii="宋体"/>
                <w:vanish/>
              </w:rPr>
            </w:pPr>
          </w:p>
        </w:tc>
        <w:tc>
          <w:tcPr>
            <w:tcW w:w="0" w:type="auto"/>
            <w:gridSpan w:val="3"/>
            <w:shd w:val="clear" w:color="auto" w:fill="auto"/>
            <w:vAlign w:val="bottom"/>
          </w:tcPr>
          <w:p w14:paraId="74DD7264" w14:textId="77777777" w:rsidR="00584EC1" w:rsidRDefault="00584EC1">
            <w:pPr>
              <w:rPr>
                <w:rFonts w:ascii="宋体"/>
                <w:vanish/>
              </w:rPr>
            </w:pPr>
          </w:p>
        </w:tc>
      </w:tr>
      <w:tr w:rsidR="00584EC1" w14:paraId="74DD7273" w14:textId="77777777">
        <w:tc>
          <w:tcPr>
            <w:tcW w:w="0" w:type="auto"/>
            <w:gridSpan w:val="3"/>
            <w:shd w:val="clear" w:color="auto" w:fill="FFFFFF"/>
            <w:tcMar>
              <w:top w:w="40" w:type="dxa"/>
              <w:left w:w="20" w:type="dxa"/>
              <w:bottom w:w="40" w:type="dxa"/>
              <w:right w:w="20" w:type="dxa"/>
            </w:tcMar>
            <w:vAlign w:val="bottom"/>
          </w:tcPr>
          <w:p w14:paraId="74DD7266" w14:textId="77777777" w:rsidR="00584EC1" w:rsidRDefault="00871F8D">
            <w:pPr>
              <w:textAlignment w:val="bottom"/>
            </w:pPr>
            <w:r>
              <w:rPr>
                <w:rFonts w:ascii="Arial" w:eastAsia="宋体" w:hAnsi="Arial" w:cs="Arial"/>
                <w:color w:val="000000"/>
                <w:sz w:val="13"/>
                <w:szCs w:val="13"/>
              </w:rPr>
              <w:t>Total ot</w:t>
            </w:r>
            <w:r>
              <w:rPr>
                <w:rFonts w:ascii="Arial" w:eastAsia="宋体" w:hAnsi="Arial" w:cs="Arial"/>
                <w:color w:val="000000"/>
                <w:sz w:val="13"/>
                <w:szCs w:val="13"/>
              </w:rPr>
              <w:t>her</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7267" w14:textId="77777777" w:rsidR="00584EC1" w:rsidRDefault="00871F8D">
            <w:pPr>
              <w:jc w:val="right"/>
              <w:textAlignment w:val="bottom"/>
            </w:pPr>
            <w:r>
              <w:rPr>
                <w:rFonts w:ascii="Arial" w:eastAsia="宋体" w:hAnsi="Arial" w:cs="Arial"/>
                <w:b/>
                <w:bCs/>
                <w:color w:val="000000"/>
                <w:sz w:val="13"/>
                <w:szCs w:val="13"/>
              </w:rPr>
              <w:t>221</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726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269"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726A" w14:textId="77777777" w:rsidR="00584EC1" w:rsidRDefault="00871F8D">
            <w:pPr>
              <w:jc w:val="right"/>
              <w:textAlignment w:val="bottom"/>
            </w:pPr>
            <w:r>
              <w:rPr>
                <w:rFonts w:ascii="Arial" w:eastAsia="宋体" w:hAnsi="Arial" w:cs="Arial"/>
                <w:color w:val="000000"/>
                <w:sz w:val="13"/>
                <w:szCs w:val="13"/>
              </w:rPr>
              <w:t>229 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726B" w14:textId="77777777" w:rsidR="00584EC1" w:rsidRDefault="00584EC1">
            <w:pPr>
              <w:jc w:val="right"/>
              <w:rPr>
                <w:rFonts w:ascii="宋体"/>
              </w:rPr>
            </w:pPr>
          </w:p>
        </w:tc>
        <w:tc>
          <w:tcPr>
            <w:tcW w:w="0" w:type="auto"/>
            <w:shd w:val="clear" w:color="auto" w:fill="auto"/>
            <w:vAlign w:val="bottom"/>
          </w:tcPr>
          <w:p w14:paraId="74DD726C" w14:textId="77777777" w:rsidR="00584EC1" w:rsidRDefault="00584EC1">
            <w:pPr>
              <w:rPr>
                <w:rFonts w:ascii="宋体"/>
                <w:vanish/>
              </w:rPr>
            </w:pPr>
          </w:p>
        </w:tc>
        <w:tc>
          <w:tcPr>
            <w:tcW w:w="0" w:type="auto"/>
            <w:shd w:val="clear" w:color="auto" w:fill="auto"/>
            <w:vAlign w:val="bottom"/>
          </w:tcPr>
          <w:p w14:paraId="74DD726D" w14:textId="77777777" w:rsidR="00584EC1" w:rsidRDefault="00584EC1">
            <w:pPr>
              <w:rPr>
                <w:rFonts w:ascii="宋体"/>
                <w:vanish/>
              </w:rPr>
            </w:pPr>
          </w:p>
        </w:tc>
        <w:tc>
          <w:tcPr>
            <w:tcW w:w="0" w:type="auto"/>
            <w:gridSpan w:val="3"/>
            <w:shd w:val="clear" w:color="auto" w:fill="FFFFFF"/>
            <w:tcMar>
              <w:top w:w="0" w:type="dxa"/>
              <w:left w:w="20" w:type="dxa"/>
              <w:bottom w:w="0" w:type="dxa"/>
              <w:right w:w="20" w:type="dxa"/>
            </w:tcMar>
            <w:vAlign w:val="bottom"/>
          </w:tcPr>
          <w:p w14:paraId="74DD726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26F" w14:textId="77777777" w:rsidR="00584EC1" w:rsidRDefault="00871F8D">
            <w:pPr>
              <w:jc w:val="right"/>
              <w:textAlignment w:val="bottom"/>
            </w:pPr>
            <w:r>
              <w:rPr>
                <w:rFonts w:ascii="Arial" w:eastAsia="宋体" w:hAnsi="Arial" w:cs="Arial"/>
                <w:color w:val="000000"/>
                <w:sz w:val="13"/>
                <w:szCs w:val="13"/>
              </w:rPr>
              <w:t>(3)</w:t>
            </w:r>
          </w:p>
        </w:tc>
        <w:tc>
          <w:tcPr>
            <w:tcW w:w="0" w:type="auto"/>
            <w:shd w:val="clear" w:color="auto" w:fill="FFFFFF"/>
            <w:tcMar>
              <w:top w:w="40" w:type="dxa"/>
              <w:left w:w="0" w:type="dxa"/>
              <w:bottom w:w="40" w:type="dxa"/>
              <w:right w:w="20" w:type="dxa"/>
            </w:tcMar>
            <w:vAlign w:val="bottom"/>
          </w:tcPr>
          <w:p w14:paraId="74DD7270" w14:textId="77777777" w:rsidR="00584EC1" w:rsidRDefault="00584EC1">
            <w:pPr>
              <w:jc w:val="right"/>
              <w:rPr>
                <w:rFonts w:ascii="宋体"/>
              </w:rPr>
            </w:pPr>
          </w:p>
        </w:tc>
        <w:tc>
          <w:tcPr>
            <w:tcW w:w="0" w:type="auto"/>
            <w:gridSpan w:val="3"/>
            <w:shd w:val="clear" w:color="auto" w:fill="auto"/>
            <w:vAlign w:val="bottom"/>
          </w:tcPr>
          <w:p w14:paraId="74DD7271" w14:textId="77777777" w:rsidR="00584EC1" w:rsidRDefault="00584EC1">
            <w:pPr>
              <w:rPr>
                <w:rFonts w:ascii="宋体"/>
                <w:vanish/>
              </w:rPr>
            </w:pPr>
          </w:p>
        </w:tc>
        <w:tc>
          <w:tcPr>
            <w:tcW w:w="0" w:type="auto"/>
            <w:gridSpan w:val="3"/>
            <w:shd w:val="clear" w:color="auto" w:fill="auto"/>
            <w:vAlign w:val="bottom"/>
          </w:tcPr>
          <w:p w14:paraId="74DD7272" w14:textId="77777777" w:rsidR="00584EC1" w:rsidRDefault="00584EC1">
            <w:pPr>
              <w:rPr>
                <w:rFonts w:ascii="宋体"/>
                <w:vanish/>
              </w:rPr>
            </w:pPr>
          </w:p>
        </w:tc>
      </w:tr>
      <w:tr w:rsidR="00584EC1" w14:paraId="74DD7283" w14:textId="77777777">
        <w:tc>
          <w:tcPr>
            <w:tcW w:w="0" w:type="auto"/>
            <w:gridSpan w:val="3"/>
            <w:shd w:val="clear" w:color="auto" w:fill="CCEEFF"/>
            <w:tcMar>
              <w:top w:w="40" w:type="dxa"/>
              <w:left w:w="20" w:type="dxa"/>
              <w:bottom w:w="40" w:type="dxa"/>
              <w:right w:w="20" w:type="dxa"/>
            </w:tcMar>
            <w:vAlign w:val="bottom"/>
          </w:tcPr>
          <w:p w14:paraId="74DD7274" w14:textId="77777777" w:rsidR="00584EC1" w:rsidRDefault="00871F8D">
            <w:pPr>
              <w:textAlignment w:val="bottom"/>
            </w:pPr>
            <w:r>
              <w:rPr>
                <w:rFonts w:ascii="Arial" w:eastAsia="宋体" w:hAnsi="Arial" w:cs="Arial"/>
                <w:color w:val="000000"/>
                <w:sz w:val="13"/>
                <w:szCs w:val="13"/>
              </w:rPr>
              <w:t>Total expenses</w:t>
            </w:r>
          </w:p>
        </w:tc>
        <w:tc>
          <w:tcPr>
            <w:tcW w:w="0" w:type="auto"/>
            <w:tcBorders>
              <w:top w:val="single" w:sz="8" w:space="0" w:color="000000"/>
            </w:tcBorders>
            <w:shd w:val="clear" w:color="auto" w:fill="CCEEFF"/>
            <w:tcMar>
              <w:top w:w="40" w:type="dxa"/>
              <w:left w:w="20" w:type="dxa"/>
              <w:bottom w:w="40" w:type="dxa"/>
              <w:right w:w="0" w:type="dxa"/>
            </w:tcMar>
            <w:vAlign w:val="bottom"/>
          </w:tcPr>
          <w:p w14:paraId="74DD7275" w14:textId="77777777" w:rsidR="00584EC1" w:rsidRDefault="00871F8D">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7276" w14:textId="77777777" w:rsidR="00584EC1" w:rsidRDefault="00871F8D">
            <w:pPr>
              <w:jc w:val="right"/>
              <w:textAlignment w:val="bottom"/>
            </w:pPr>
            <w:r>
              <w:rPr>
                <w:rFonts w:ascii="Arial" w:eastAsia="宋体" w:hAnsi="Arial" w:cs="Arial"/>
                <w:b/>
                <w:bCs/>
                <w:color w:val="000000"/>
                <w:sz w:val="13"/>
                <w:szCs w:val="13"/>
              </w:rPr>
              <w:t>2,116</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27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278"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7279" w14:textId="77777777" w:rsidR="00584EC1" w:rsidRDefault="00871F8D">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727A" w14:textId="77777777" w:rsidR="00584EC1" w:rsidRDefault="00871F8D">
            <w:pPr>
              <w:jc w:val="right"/>
              <w:textAlignment w:val="bottom"/>
            </w:pPr>
            <w:r>
              <w:rPr>
                <w:rFonts w:ascii="Arial" w:eastAsia="宋体" w:hAnsi="Arial" w:cs="Arial"/>
                <w:color w:val="000000"/>
                <w:sz w:val="13"/>
                <w:szCs w:val="13"/>
              </w:rPr>
              <w:t>2,103 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27B" w14:textId="77777777" w:rsidR="00584EC1" w:rsidRDefault="00584EC1">
            <w:pPr>
              <w:jc w:val="right"/>
              <w:rPr>
                <w:rFonts w:ascii="宋体"/>
              </w:rPr>
            </w:pPr>
          </w:p>
        </w:tc>
        <w:tc>
          <w:tcPr>
            <w:tcW w:w="0" w:type="auto"/>
            <w:shd w:val="clear" w:color="auto" w:fill="auto"/>
            <w:vAlign w:val="bottom"/>
          </w:tcPr>
          <w:p w14:paraId="74DD727C" w14:textId="77777777" w:rsidR="00584EC1" w:rsidRDefault="00584EC1">
            <w:pPr>
              <w:rPr>
                <w:rFonts w:ascii="宋体"/>
                <w:vanish/>
              </w:rPr>
            </w:pPr>
          </w:p>
        </w:tc>
        <w:tc>
          <w:tcPr>
            <w:tcW w:w="0" w:type="auto"/>
            <w:shd w:val="clear" w:color="auto" w:fill="auto"/>
            <w:vAlign w:val="bottom"/>
          </w:tcPr>
          <w:p w14:paraId="74DD727D" w14:textId="77777777" w:rsidR="00584EC1" w:rsidRDefault="00584EC1">
            <w:pPr>
              <w:rPr>
                <w:rFonts w:ascii="宋体"/>
                <w:vanish/>
              </w:rPr>
            </w:pPr>
          </w:p>
        </w:tc>
        <w:tc>
          <w:tcPr>
            <w:tcW w:w="0" w:type="auto"/>
            <w:gridSpan w:val="3"/>
            <w:shd w:val="clear" w:color="auto" w:fill="CCEEFF"/>
            <w:tcMar>
              <w:top w:w="0" w:type="dxa"/>
              <w:left w:w="20" w:type="dxa"/>
              <w:bottom w:w="0" w:type="dxa"/>
              <w:right w:w="20" w:type="dxa"/>
            </w:tcMar>
            <w:vAlign w:val="bottom"/>
          </w:tcPr>
          <w:p w14:paraId="74DD727E"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727F" w14:textId="77777777" w:rsidR="00584EC1" w:rsidRDefault="00871F8D">
            <w:pPr>
              <w:jc w:val="right"/>
              <w:textAlignment w:val="bottom"/>
            </w:pPr>
            <w:r>
              <w:rPr>
                <w:rFonts w:ascii="Arial" w:eastAsia="宋体" w:hAnsi="Arial" w:cs="Arial"/>
                <w:color w:val="000000"/>
                <w:sz w:val="13"/>
                <w:szCs w:val="13"/>
              </w:rPr>
              <w:t>1 </w:t>
            </w:r>
          </w:p>
        </w:tc>
        <w:tc>
          <w:tcPr>
            <w:tcW w:w="0" w:type="auto"/>
            <w:shd w:val="clear" w:color="auto" w:fill="CCEEFF"/>
            <w:tcMar>
              <w:top w:w="40" w:type="dxa"/>
              <w:left w:w="0" w:type="dxa"/>
              <w:bottom w:w="40" w:type="dxa"/>
              <w:right w:w="20" w:type="dxa"/>
            </w:tcMar>
            <w:vAlign w:val="bottom"/>
          </w:tcPr>
          <w:p w14:paraId="74DD7280" w14:textId="77777777" w:rsidR="00584EC1" w:rsidRDefault="00584EC1">
            <w:pPr>
              <w:jc w:val="right"/>
              <w:rPr>
                <w:rFonts w:ascii="宋体"/>
              </w:rPr>
            </w:pPr>
          </w:p>
        </w:tc>
        <w:tc>
          <w:tcPr>
            <w:tcW w:w="0" w:type="auto"/>
            <w:gridSpan w:val="3"/>
            <w:shd w:val="clear" w:color="auto" w:fill="auto"/>
            <w:vAlign w:val="bottom"/>
          </w:tcPr>
          <w:p w14:paraId="74DD7281" w14:textId="77777777" w:rsidR="00584EC1" w:rsidRDefault="00584EC1">
            <w:pPr>
              <w:rPr>
                <w:rFonts w:ascii="宋体"/>
                <w:vanish/>
              </w:rPr>
            </w:pPr>
          </w:p>
        </w:tc>
        <w:tc>
          <w:tcPr>
            <w:tcW w:w="0" w:type="auto"/>
            <w:gridSpan w:val="3"/>
            <w:shd w:val="clear" w:color="auto" w:fill="auto"/>
            <w:vAlign w:val="bottom"/>
          </w:tcPr>
          <w:p w14:paraId="74DD7282" w14:textId="77777777" w:rsidR="00584EC1" w:rsidRDefault="00584EC1">
            <w:pPr>
              <w:rPr>
                <w:rFonts w:ascii="宋体"/>
                <w:vanish/>
              </w:rPr>
            </w:pPr>
          </w:p>
        </w:tc>
      </w:tr>
      <w:tr w:rsidR="00584EC1" w14:paraId="74DD7291" w14:textId="77777777">
        <w:tc>
          <w:tcPr>
            <w:tcW w:w="0" w:type="auto"/>
            <w:gridSpan w:val="3"/>
            <w:shd w:val="clear" w:color="auto" w:fill="FFFFFF"/>
            <w:tcMar>
              <w:top w:w="40" w:type="dxa"/>
              <w:left w:w="20" w:type="dxa"/>
              <w:bottom w:w="40" w:type="dxa"/>
              <w:right w:w="20" w:type="dxa"/>
            </w:tcMar>
            <w:vAlign w:val="bottom"/>
          </w:tcPr>
          <w:p w14:paraId="74DD7284" w14:textId="77777777" w:rsidR="00584EC1" w:rsidRDefault="00871F8D">
            <w:pPr>
              <w:textAlignment w:val="bottom"/>
            </w:pPr>
            <w:r>
              <w:rPr>
                <w:rFonts w:ascii="Arial" w:eastAsia="宋体" w:hAnsi="Arial" w:cs="Arial"/>
                <w:color w:val="000000"/>
                <w:sz w:val="13"/>
                <w:szCs w:val="13"/>
              </w:rPr>
              <w:t>Number of employees at quarter-end</w:t>
            </w: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74DD7285" w14:textId="77777777" w:rsidR="00584EC1" w:rsidRDefault="00871F8D">
            <w:pPr>
              <w:jc w:val="right"/>
              <w:textAlignment w:val="bottom"/>
            </w:pPr>
            <w:r>
              <w:rPr>
                <w:rFonts w:ascii="Arial" w:eastAsia="宋体" w:hAnsi="Arial" w:cs="Arial"/>
                <w:b/>
                <w:bCs/>
                <w:color w:val="000000"/>
                <w:sz w:val="13"/>
                <w:szCs w:val="13"/>
              </w:rPr>
              <w:t>38,932</w:t>
            </w:r>
            <w:r>
              <w:rPr>
                <w:rFonts w:ascii="Arial" w:eastAsia="宋体" w:hAnsi="Arial" w:cs="Arial"/>
                <w:color w:val="000000"/>
                <w:sz w:val="13"/>
                <w:szCs w:val="13"/>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74DD728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287" w14:textId="77777777" w:rsidR="00584EC1" w:rsidRDefault="00584EC1">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74DD7288" w14:textId="77777777" w:rsidR="00584EC1" w:rsidRDefault="00871F8D">
            <w:pPr>
              <w:jc w:val="right"/>
              <w:textAlignment w:val="bottom"/>
            </w:pPr>
            <w:r>
              <w:rPr>
                <w:rFonts w:ascii="Arial" w:eastAsia="宋体" w:hAnsi="Arial" w:cs="Arial"/>
                <w:color w:val="000000"/>
                <w:sz w:val="13"/>
                <w:szCs w:val="13"/>
              </w:rPr>
              <w:t>38,979 </w:t>
            </w:r>
          </w:p>
        </w:tc>
        <w:tc>
          <w:tcPr>
            <w:tcW w:w="0" w:type="auto"/>
            <w:tcBorders>
              <w:top w:val="double" w:sz="6" w:space="0" w:color="000000"/>
            </w:tcBorders>
            <w:shd w:val="clear" w:color="auto" w:fill="FFFFFF"/>
            <w:tcMar>
              <w:top w:w="40" w:type="dxa"/>
              <w:left w:w="0" w:type="dxa"/>
              <w:bottom w:w="40" w:type="dxa"/>
              <w:right w:w="20" w:type="dxa"/>
            </w:tcMar>
            <w:vAlign w:val="bottom"/>
          </w:tcPr>
          <w:p w14:paraId="74DD7289" w14:textId="77777777" w:rsidR="00584EC1" w:rsidRDefault="00584EC1">
            <w:pPr>
              <w:jc w:val="right"/>
              <w:rPr>
                <w:rFonts w:ascii="宋体"/>
              </w:rPr>
            </w:pPr>
          </w:p>
        </w:tc>
        <w:tc>
          <w:tcPr>
            <w:tcW w:w="0" w:type="auto"/>
            <w:shd w:val="clear" w:color="auto" w:fill="auto"/>
            <w:vAlign w:val="bottom"/>
          </w:tcPr>
          <w:p w14:paraId="74DD728A" w14:textId="77777777" w:rsidR="00584EC1" w:rsidRDefault="00584EC1">
            <w:pPr>
              <w:rPr>
                <w:rFonts w:ascii="宋体"/>
                <w:vanish/>
              </w:rPr>
            </w:pPr>
          </w:p>
        </w:tc>
        <w:tc>
          <w:tcPr>
            <w:tcW w:w="0" w:type="auto"/>
            <w:shd w:val="clear" w:color="auto" w:fill="auto"/>
            <w:vAlign w:val="bottom"/>
          </w:tcPr>
          <w:p w14:paraId="74DD728B" w14:textId="77777777" w:rsidR="00584EC1" w:rsidRDefault="00584EC1">
            <w:pPr>
              <w:rPr>
                <w:rFonts w:ascii="宋体"/>
                <w:vanish/>
              </w:rPr>
            </w:pPr>
          </w:p>
        </w:tc>
        <w:tc>
          <w:tcPr>
            <w:tcW w:w="0" w:type="auto"/>
            <w:gridSpan w:val="3"/>
            <w:shd w:val="clear" w:color="auto" w:fill="FFFFFF"/>
            <w:tcMar>
              <w:top w:w="0" w:type="dxa"/>
              <w:left w:w="20" w:type="dxa"/>
              <w:bottom w:w="0" w:type="dxa"/>
              <w:right w:w="20" w:type="dxa"/>
            </w:tcMar>
            <w:vAlign w:val="bottom"/>
          </w:tcPr>
          <w:p w14:paraId="74DD728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28D" w14:textId="77777777" w:rsidR="00584EC1" w:rsidRDefault="00871F8D">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728E" w14:textId="77777777" w:rsidR="00584EC1" w:rsidRDefault="00584EC1">
            <w:pPr>
              <w:jc w:val="right"/>
              <w:rPr>
                <w:rFonts w:ascii="宋体"/>
              </w:rPr>
            </w:pPr>
          </w:p>
        </w:tc>
        <w:tc>
          <w:tcPr>
            <w:tcW w:w="0" w:type="auto"/>
            <w:gridSpan w:val="3"/>
            <w:shd w:val="clear" w:color="auto" w:fill="auto"/>
            <w:vAlign w:val="bottom"/>
          </w:tcPr>
          <w:p w14:paraId="74DD728F" w14:textId="77777777" w:rsidR="00584EC1" w:rsidRDefault="00584EC1">
            <w:pPr>
              <w:rPr>
                <w:rFonts w:ascii="宋体"/>
                <w:vanish/>
              </w:rPr>
            </w:pPr>
          </w:p>
        </w:tc>
        <w:tc>
          <w:tcPr>
            <w:tcW w:w="0" w:type="auto"/>
            <w:gridSpan w:val="3"/>
            <w:shd w:val="clear" w:color="auto" w:fill="auto"/>
            <w:vAlign w:val="bottom"/>
          </w:tcPr>
          <w:p w14:paraId="74DD7290" w14:textId="77777777" w:rsidR="00584EC1" w:rsidRDefault="00584EC1">
            <w:pPr>
              <w:rPr>
                <w:rFonts w:ascii="宋体"/>
                <w:vanish/>
              </w:rPr>
            </w:pPr>
          </w:p>
        </w:tc>
      </w:tr>
      <w:tr w:rsidR="00584EC1" w14:paraId="74DD729C" w14:textId="77777777">
        <w:trPr>
          <w:trHeight w:val="60"/>
        </w:trPr>
        <w:tc>
          <w:tcPr>
            <w:tcW w:w="0" w:type="auto"/>
            <w:gridSpan w:val="3"/>
            <w:shd w:val="clear" w:color="auto" w:fill="auto"/>
            <w:tcMar>
              <w:top w:w="0" w:type="dxa"/>
              <w:left w:w="20" w:type="dxa"/>
              <w:bottom w:w="0" w:type="dxa"/>
              <w:right w:w="20" w:type="dxa"/>
            </w:tcMar>
            <w:vAlign w:val="bottom"/>
          </w:tcPr>
          <w:p w14:paraId="74DD729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7293"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7294"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7295" w14:textId="77777777" w:rsidR="00584EC1" w:rsidRDefault="00584EC1">
            <w:pPr>
              <w:rPr>
                <w:rFonts w:ascii="宋体"/>
              </w:rPr>
            </w:pPr>
          </w:p>
        </w:tc>
        <w:tc>
          <w:tcPr>
            <w:tcW w:w="0" w:type="auto"/>
            <w:shd w:val="clear" w:color="auto" w:fill="auto"/>
            <w:vAlign w:val="bottom"/>
          </w:tcPr>
          <w:p w14:paraId="74DD7296" w14:textId="77777777" w:rsidR="00584EC1" w:rsidRDefault="00584EC1">
            <w:pPr>
              <w:rPr>
                <w:rFonts w:ascii="宋体"/>
                <w:vanish/>
              </w:rPr>
            </w:pPr>
          </w:p>
        </w:tc>
        <w:tc>
          <w:tcPr>
            <w:tcW w:w="0" w:type="auto"/>
            <w:shd w:val="clear" w:color="auto" w:fill="auto"/>
            <w:vAlign w:val="bottom"/>
          </w:tcPr>
          <w:p w14:paraId="74DD7297" w14:textId="77777777" w:rsidR="00584EC1" w:rsidRDefault="00584EC1">
            <w:pPr>
              <w:rPr>
                <w:rFonts w:ascii="宋体"/>
                <w:vanish/>
              </w:rPr>
            </w:pPr>
          </w:p>
        </w:tc>
        <w:tc>
          <w:tcPr>
            <w:tcW w:w="0" w:type="auto"/>
            <w:gridSpan w:val="3"/>
            <w:shd w:val="clear" w:color="auto" w:fill="auto"/>
            <w:tcMar>
              <w:top w:w="0" w:type="dxa"/>
              <w:left w:w="20" w:type="dxa"/>
              <w:bottom w:w="0" w:type="dxa"/>
              <w:right w:w="20" w:type="dxa"/>
            </w:tcMar>
            <w:vAlign w:val="bottom"/>
          </w:tcPr>
          <w:p w14:paraId="74DD7298"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7299" w14:textId="77777777" w:rsidR="00584EC1" w:rsidRDefault="00584EC1">
            <w:pPr>
              <w:rPr>
                <w:rFonts w:ascii="宋体"/>
              </w:rPr>
            </w:pPr>
          </w:p>
        </w:tc>
        <w:tc>
          <w:tcPr>
            <w:tcW w:w="0" w:type="auto"/>
            <w:gridSpan w:val="3"/>
            <w:shd w:val="clear" w:color="auto" w:fill="auto"/>
            <w:vAlign w:val="bottom"/>
          </w:tcPr>
          <w:p w14:paraId="74DD729A" w14:textId="77777777" w:rsidR="00584EC1" w:rsidRDefault="00584EC1">
            <w:pPr>
              <w:rPr>
                <w:rFonts w:ascii="宋体"/>
                <w:vanish/>
              </w:rPr>
            </w:pPr>
          </w:p>
        </w:tc>
        <w:tc>
          <w:tcPr>
            <w:tcW w:w="0" w:type="auto"/>
            <w:gridSpan w:val="3"/>
            <w:shd w:val="clear" w:color="auto" w:fill="auto"/>
            <w:vAlign w:val="bottom"/>
          </w:tcPr>
          <w:p w14:paraId="74DD729B" w14:textId="77777777" w:rsidR="00584EC1" w:rsidRDefault="00584EC1">
            <w:pPr>
              <w:rPr>
                <w:rFonts w:ascii="宋体"/>
                <w:vanish/>
              </w:rPr>
            </w:pPr>
          </w:p>
        </w:tc>
      </w:tr>
      <w:tr w:rsidR="00584EC1" w14:paraId="74DD72A5" w14:textId="77777777">
        <w:trPr>
          <w:trHeight w:val="340"/>
        </w:trPr>
        <w:tc>
          <w:tcPr>
            <w:tcW w:w="0" w:type="auto"/>
            <w:gridSpan w:val="3"/>
            <w:shd w:val="clear" w:color="auto" w:fill="auto"/>
            <w:tcMar>
              <w:top w:w="0" w:type="dxa"/>
              <w:left w:w="20" w:type="dxa"/>
              <w:bottom w:w="0" w:type="dxa"/>
              <w:right w:w="20" w:type="dxa"/>
            </w:tcMar>
            <w:vAlign w:val="bottom"/>
          </w:tcPr>
          <w:p w14:paraId="74DD729D" w14:textId="77777777" w:rsidR="00584EC1" w:rsidRDefault="00584EC1">
            <w:pPr>
              <w:rPr>
                <w:rFonts w:ascii="宋体"/>
              </w:rPr>
            </w:pPr>
          </w:p>
        </w:tc>
        <w:tc>
          <w:tcPr>
            <w:tcW w:w="0" w:type="auto"/>
            <w:gridSpan w:val="9"/>
            <w:shd w:val="clear" w:color="auto" w:fill="auto"/>
            <w:tcMar>
              <w:top w:w="40" w:type="dxa"/>
              <w:left w:w="20" w:type="dxa"/>
              <w:bottom w:w="40" w:type="dxa"/>
              <w:right w:w="20" w:type="dxa"/>
            </w:tcMar>
            <w:vAlign w:val="bottom"/>
          </w:tcPr>
          <w:p w14:paraId="74DD729E" w14:textId="77777777" w:rsidR="00584EC1" w:rsidRDefault="00871F8D">
            <w:pPr>
              <w:jc w:val="center"/>
              <w:textAlignment w:val="bottom"/>
            </w:pPr>
            <w:r>
              <w:rPr>
                <w:rFonts w:ascii="Arial" w:eastAsia="宋体" w:hAnsi="Arial" w:cs="Arial"/>
                <w:b/>
                <w:bCs/>
                <w:color w:val="000000"/>
                <w:sz w:val="13"/>
                <w:szCs w:val="13"/>
              </w:rPr>
              <w:t>Nine Months Ended September 30,</w:t>
            </w:r>
          </w:p>
        </w:tc>
        <w:tc>
          <w:tcPr>
            <w:tcW w:w="0" w:type="auto"/>
            <w:shd w:val="clear" w:color="auto" w:fill="auto"/>
            <w:vAlign w:val="bottom"/>
          </w:tcPr>
          <w:p w14:paraId="74DD729F" w14:textId="77777777" w:rsidR="00584EC1" w:rsidRDefault="00584EC1">
            <w:pPr>
              <w:rPr>
                <w:rFonts w:ascii="宋体"/>
                <w:vanish/>
              </w:rPr>
            </w:pPr>
          </w:p>
        </w:tc>
        <w:tc>
          <w:tcPr>
            <w:tcW w:w="0" w:type="auto"/>
            <w:shd w:val="clear" w:color="auto" w:fill="auto"/>
            <w:vAlign w:val="bottom"/>
          </w:tcPr>
          <w:p w14:paraId="74DD72A0" w14:textId="77777777" w:rsidR="00584EC1" w:rsidRDefault="00584EC1">
            <w:pPr>
              <w:rPr>
                <w:rFonts w:ascii="宋体"/>
                <w:vanish/>
              </w:rPr>
            </w:pPr>
          </w:p>
        </w:tc>
        <w:tc>
          <w:tcPr>
            <w:tcW w:w="0" w:type="auto"/>
            <w:gridSpan w:val="3"/>
            <w:shd w:val="clear" w:color="auto" w:fill="auto"/>
            <w:tcMar>
              <w:top w:w="0" w:type="dxa"/>
              <w:left w:w="20" w:type="dxa"/>
              <w:bottom w:w="0" w:type="dxa"/>
              <w:right w:w="20" w:type="dxa"/>
            </w:tcMar>
            <w:vAlign w:val="bottom"/>
          </w:tcPr>
          <w:p w14:paraId="74DD72A1" w14:textId="77777777" w:rsidR="00584EC1" w:rsidRDefault="00584EC1">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74DD72A2" w14:textId="77777777" w:rsidR="00584EC1" w:rsidRDefault="00871F8D">
            <w:pPr>
              <w:jc w:val="center"/>
              <w:textAlignment w:val="bottom"/>
            </w:pPr>
            <w:r>
              <w:rPr>
                <w:rFonts w:ascii="Arial" w:eastAsia="宋体" w:hAnsi="Arial" w:cs="Arial"/>
                <w:b/>
                <w:bCs/>
                <w:color w:val="000000"/>
                <w:sz w:val="13"/>
                <w:szCs w:val="13"/>
              </w:rPr>
              <w:t>% Change</w:t>
            </w:r>
          </w:p>
        </w:tc>
        <w:tc>
          <w:tcPr>
            <w:tcW w:w="0" w:type="auto"/>
            <w:gridSpan w:val="3"/>
            <w:shd w:val="clear" w:color="auto" w:fill="auto"/>
            <w:vAlign w:val="bottom"/>
          </w:tcPr>
          <w:p w14:paraId="74DD72A3" w14:textId="77777777" w:rsidR="00584EC1" w:rsidRDefault="00584EC1">
            <w:pPr>
              <w:rPr>
                <w:rFonts w:ascii="宋体"/>
                <w:vanish/>
              </w:rPr>
            </w:pPr>
          </w:p>
        </w:tc>
        <w:tc>
          <w:tcPr>
            <w:tcW w:w="0" w:type="auto"/>
            <w:gridSpan w:val="3"/>
            <w:shd w:val="clear" w:color="auto" w:fill="auto"/>
            <w:vAlign w:val="bottom"/>
          </w:tcPr>
          <w:p w14:paraId="74DD72A4" w14:textId="77777777" w:rsidR="00584EC1" w:rsidRDefault="00584EC1">
            <w:pPr>
              <w:rPr>
                <w:rFonts w:ascii="宋体"/>
                <w:vanish/>
              </w:rPr>
            </w:pPr>
          </w:p>
        </w:tc>
      </w:tr>
      <w:tr w:rsidR="00584EC1" w14:paraId="74DD72B2" w14:textId="77777777">
        <w:trPr>
          <w:trHeight w:val="180"/>
        </w:trPr>
        <w:tc>
          <w:tcPr>
            <w:tcW w:w="0" w:type="auto"/>
            <w:gridSpan w:val="3"/>
            <w:shd w:val="clear" w:color="auto" w:fill="auto"/>
            <w:tcMar>
              <w:top w:w="40" w:type="dxa"/>
              <w:left w:w="20" w:type="dxa"/>
              <w:bottom w:w="40" w:type="dxa"/>
              <w:right w:w="20" w:type="dxa"/>
            </w:tcMar>
            <w:vAlign w:val="bottom"/>
          </w:tcPr>
          <w:p w14:paraId="74DD72A6" w14:textId="77777777" w:rsidR="00584EC1" w:rsidRDefault="00871F8D">
            <w:pPr>
              <w:textAlignment w:val="bottom"/>
            </w:pPr>
            <w:r>
              <w:rPr>
                <w:rFonts w:ascii="Arial" w:eastAsia="宋体" w:hAnsi="Arial" w:cs="Arial"/>
                <w:b/>
                <w:bCs/>
                <w:color w:val="000000"/>
                <w:sz w:val="13"/>
                <w:szCs w:val="13"/>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72A7" w14:textId="77777777" w:rsidR="00584EC1" w:rsidRDefault="00871F8D">
            <w:pPr>
              <w:jc w:val="center"/>
              <w:textAlignment w:val="bottom"/>
            </w:pPr>
            <w:r>
              <w:rPr>
                <w:rFonts w:ascii="Arial" w:eastAsia="宋体" w:hAnsi="Arial" w:cs="Arial"/>
                <w:b/>
                <w:bCs/>
                <w:color w:val="000000"/>
                <w:sz w:val="13"/>
                <w:szCs w:val="13"/>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72A8"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72A9" w14:textId="77777777" w:rsidR="00584EC1" w:rsidRDefault="00871F8D">
            <w:pPr>
              <w:jc w:val="center"/>
              <w:textAlignment w:val="bottom"/>
            </w:pPr>
            <w:r>
              <w:rPr>
                <w:rFonts w:ascii="Arial" w:eastAsia="宋体" w:hAnsi="Arial" w:cs="Arial"/>
                <w:b/>
                <w:bCs/>
                <w:color w:val="000000"/>
                <w:sz w:val="13"/>
                <w:szCs w:val="13"/>
              </w:rPr>
              <w:t>2020</w:t>
            </w:r>
          </w:p>
        </w:tc>
        <w:tc>
          <w:tcPr>
            <w:tcW w:w="0" w:type="auto"/>
            <w:shd w:val="clear" w:color="auto" w:fill="auto"/>
            <w:vAlign w:val="bottom"/>
          </w:tcPr>
          <w:p w14:paraId="74DD72AA" w14:textId="77777777" w:rsidR="00584EC1" w:rsidRDefault="00584EC1">
            <w:pPr>
              <w:rPr>
                <w:rFonts w:ascii="宋体"/>
                <w:vanish/>
              </w:rPr>
            </w:pPr>
          </w:p>
        </w:tc>
        <w:tc>
          <w:tcPr>
            <w:tcW w:w="0" w:type="auto"/>
            <w:shd w:val="clear" w:color="auto" w:fill="auto"/>
            <w:vAlign w:val="bottom"/>
          </w:tcPr>
          <w:p w14:paraId="74DD72AB" w14:textId="77777777" w:rsidR="00584EC1" w:rsidRDefault="00584EC1">
            <w:pPr>
              <w:rPr>
                <w:rFonts w:ascii="宋体"/>
                <w:vanish/>
              </w:rPr>
            </w:pPr>
          </w:p>
        </w:tc>
        <w:tc>
          <w:tcPr>
            <w:tcW w:w="0" w:type="auto"/>
            <w:gridSpan w:val="3"/>
            <w:shd w:val="clear" w:color="auto" w:fill="auto"/>
            <w:tcMar>
              <w:top w:w="0" w:type="dxa"/>
              <w:left w:w="20" w:type="dxa"/>
              <w:bottom w:w="0" w:type="dxa"/>
              <w:right w:w="20" w:type="dxa"/>
            </w:tcMar>
            <w:vAlign w:val="bottom"/>
          </w:tcPr>
          <w:p w14:paraId="74DD72AC" w14:textId="77777777" w:rsidR="00584EC1" w:rsidRDefault="00584EC1">
            <w:pPr>
              <w:rPr>
                <w:rFonts w:ascii="宋体"/>
              </w:rPr>
            </w:pPr>
          </w:p>
        </w:tc>
        <w:tc>
          <w:tcPr>
            <w:tcW w:w="0" w:type="auto"/>
            <w:gridSpan w:val="3"/>
            <w:vMerge/>
            <w:shd w:val="clear" w:color="auto" w:fill="auto"/>
            <w:tcMar>
              <w:top w:w="40" w:type="dxa"/>
              <w:left w:w="20" w:type="dxa"/>
              <w:bottom w:w="40" w:type="dxa"/>
              <w:right w:w="20" w:type="dxa"/>
            </w:tcMar>
            <w:vAlign w:val="bottom"/>
          </w:tcPr>
          <w:p w14:paraId="74DD72AD" w14:textId="77777777" w:rsidR="00584EC1" w:rsidRDefault="00584EC1">
            <w:pPr>
              <w:jc w:val="center"/>
              <w:rPr>
                <w:rFonts w:ascii="宋体"/>
              </w:rPr>
            </w:pPr>
          </w:p>
        </w:tc>
        <w:tc>
          <w:tcPr>
            <w:tcW w:w="0" w:type="auto"/>
            <w:gridSpan w:val="3"/>
            <w:shd w:val="clear" w:color="auto" w:fill="auto"/>
            <w:vAlign w:val="bottom"/>
          </w:tcPr>
          <w:p w14:paraId="74DD72AE" w14:textId="77777777" w:rsidR="00584EC1" w:rsidRDefault="00584EC1">
            <w:pPr>
              <w:rPr>
                <w:rFonts w:ascii="宋体"/>
                <w:vanish/>
              </w:rPr>
            </w:pPr>
          </w:p>
        </w:tc>
        <w:tc>
          <w:tcPr>
            <w:tcW w:w="0" w:type="auto"/>
            <w:shd w:val="clear" w:color="auto" w:fill="auto"/>
            <w:vAlign w:val="bottom"/>
          </w:tcPr>
          <w:p w14:paraId="74DD72AF" w14:textId="77777777" w:rsidR="00584EC1" w:rsidRDefault="00584EC1">
            <w:pPr>
              <w:rPr>
                <w:rFonts w:ascii="宋体"/>
              </w:rPr>
            </w:pPr>
          </w:p>
        </w:tc>
        <w:tc>
          <w:tcPr>
            <w:tcW w:w="0" w:type="auto"/>
            <w:shd w:val="clear" w:color="auto" w:fill="auto"/>
            <w:vAlign w:val="bottom"/>
          </w:tcPr>
          <w:p w14:paraId="74DD72B0" w14:textId="77777777" w:rsidR="00584EC1" w:rsidRDefault="00584EC1">
            <w:pPr>
              <w:rPr>
                <w:rFonts w:ascii="宋体"/>
              </w:rPr>
            </w:pPr>
          </w:p>
        </w:tc>
        <w:tc>
          <w:tcPr>
            <w:tcW w:w="0" w:type="auto"/>
            <w:shd w:val="clear" w:color="auto" w:fill="auto"/>
            <w:vAlign w:val="bottom"/>
          </w:tcPr>
          <w:p w14:paraId="74DD72B1" w14:textId="77777777" w:rsidR="00584EC1" w:rsidRDefault="00584EC1">
            <w:pPr>
              <w:rPr>
                <w:rFonts w:ascii="宋体"/>
              </w:rPr>
            </w:pPr>
          </w:p>
        </w:tc>
      </w:tr>
      <w:tr w:rsidR="00584EC1" w14:paraId="74DD72C2" w14:textId="77777777">
        <w:tc>
          <w:tcPr>
            <w:tcW w:w="0" w:type="auto"/>
            <w:gridSpan w:val="3"/>
            <w:shd w:val="clear" w:color="auto" w:fill="CCEEFF"/>
            <w:tcMar>
              <w:top w:w="40" w:type="dxa"/>
              <w:left w:w="20" w:type="dxa"/>
              <w:bottom w:w="40" w:type="dxa"/>
              <w:right w:w="20" w:type="dxa"/>
            </w:tcMar>
            <w:vAlign w:val="bottom"/>
          </w:tcPr>
          <w:p w14:paraId="74DD72B3" w14:textId="77777777" w:rsidR="00584EC1" w:rsidRDefault="00871F8D">
            <w:pPr>
              <w:textAlignment w:val="bottom"/>
            </w:pPr>
            <w:r>
              <w:rPr>
                <w:rFonts w:ascii="Arial" w:eastAsia="宋体" w:hAnsi="Arial" w:cs="Arial"/>
                <w:color w:val="000000"/>
                <w:sz w:val="13"/>
                <w:szCs w:val="13"/>
              </w:rPr>
              <w:t>Compensation and employee benefits</w:t>
            </w:r>
          </w:p>
        </w:tc>
        <w:tc>
          <w:tcPr>
            <w:tcW w:w="0" w:type="auto"/>
            <w:tcBorders>
              <w:top w:val="single" w:sz="8" w:space="0" w:color="000000"/>
            </w:tcBorders>
            <w:shd w:val="clear" w:color="auto" w:fill="CCEEFF"/>
            <w:tcMar>
              <w:top w:w="40" w:type="dxa"/>
              <w:left w:w="20" w:type="dxa"/>
              <w:bottom w:w="40" w:type="dxa"/>
              <w:right w:w="0" w:type="dxa"/>
            </w:tcMar>
            <w:vAlign w:val="bottom"/>
          </w:tcPr>
          <w:p w14:paraId="74DD72B4" w14:textId="77777777" w:rsidR="00584EC1" w:rsidRDefault="00871F8D">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72B5" w14:textId="77777777" w:rsidR="00584EC1" w:rsidRDefault="00871F8D">
            <w:pPr>
              <w:jc w:val="right"/>
              <w:textAlignment w:val="bottom"/>
            </w:pPr>
            <w:r>
              <w:rPr>
                <w:rFonts w:ascii="Arial" w:eastAsia="宋体" w:hAnsi="Arial" w:cs="Arial"/>
                <w:b/>
                <w:bCs/>
                <w:color w:val="000000"/>
                <w:sz w:val="13"/>
                <w:szCs w:val="13"/>
              </w:rPr>
              <w:t>3,373</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2B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2B7"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72B8" w14:textId="77777777" w:rsidR="00584EC1" w:rsidRDefault="00871F8D">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72B9" w14:textId="77777777" w:rsidR="00584EC1" w:rsidRDefault="00871F8D">
            <w:pPr>
              <w:jc w:val="right"/>
              <w:textAlignment w:val="bottom"/>
            </w:pPr>
            <w:r>
              <w:rPr>
                <w:rFonts w:ascii="Arial" w:eastAsia="宋体" w:hAnsi="Arial" w:cs="Arial"/>
                <w:color w:val="000000"/>
                <w:sz w:val="13"/>
                <w:szCs w:val="13"/>
              </w:rPr>
              <w:t>3,321 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2BA" w14:textId="77777777" w:rsidR="00584EC1" w:rsidRDefault="00584EC1">
            <w:pPr>
              <w:jc w:val="right"/>
              <w:rPr>
                <w:rFonts w:ascii="宋体"/>
              </w:rPr>
            </w:pPr>
          </w:p>
        </w:tc>
        <w:tc>
          <w:tcPr>
            <w:tcW w:w="0" w:type="auto"/>
            <w:shd w:val="clear" w:color="auto" w:fill="auto"/>
            <w:vAlign w:val="bottom"/>
          </w:tcPr>
          <w:p w14:paraId="74DD72BB" w14:textId="77777777" w:rsidR="00584EC1" w:rsidRDefault="00584EC1">
            <w:pPr>
              <w:rPr>
                <w:rFonts w:ascii="宋体"/>
                <w:vanish/>
              </w:rPr>
            </w:pPr>
          </w:p>
        </w:tc>
        <w:tc>
          <w:tcPr>
            <w:tcW w:w="0" w:type="auto"/>
            <w:shd w:val="clear" w:color="auto" w:fill="auto"/>
            <w:vAlign w:val="bottom"/>
          </w:tcPr>
          <w:p w14:paraId="74DD72BC" w14:textId="77777777" w:rsidR="00584EC1" w:rsidRDefault="00584EC1">
            <w:pPr>
              <w:rPr>
                <w:rFonts w:ascii="宋体"/>
                <w:vanish/>
              </w:rPr>
            </w:pPr>
          </w:p>
        </w:tc>
        <w:tc>
          <w:tcPr>
            <w:tcW w:w="0" w:type="auto"/>
            <w:gridSpan w:val="3"/>
            <w:shd w:val="clear" w:color="auto" w:fill="CCEEFF"/>
            <w:tcMar>
              <w:top w:w="0" w:type="dxa"/>
              <w:left w:w="20" w:type="dxa"/>
              <w:bottom w:w="0" w:type="dxa"/>
              <w:right w:w="20" w:type="dxa"/>
            </w:tcMar>
            <w:vAlign w:val="bottom"/>
          </w:tcPr>
          <w:p w14:paraId="74DD72BD"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72BE" w14:textId="77777777" w:rsidR="00584EC1" w:rsidRDefault="00871F8D">
            <w:pPr>
              <w:jc w:val="right"/>
              <w:textAlignment w:val="bottom"/>
            </w:pPr>
            <w:r>
              <w:rPr>
                <w:rFonts w:ascii="Arial" w:eastAsia="宋体" w:hAnsi="Arial" w:cs="Arial"/>
                <w:color w:val="000000"/>
                <w:sz w:val="13"/>
                <w:szCs w:val="13"/>
              </w:rPr>
              <w:t>2 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2BF" w14:textId="77777777" w:rsidR="00584EC1" w:rsidRDefault="00871F8D">
            <w:pPr>
              <w:jc w:val="right"/>
              <w:textAlignment w:val="bottom"/>
            </w:pPr>
            <w:r>
              <w:rPr>
                <w:rFonts w:ascii="Arial" w:eastAsia="宋体" w:hAnsi="Arial" w:cs="Arial"/>
                <w:color w:val="000000"/>
                <w:sz w:val="13"/>
                <w:szCs w:val="13"/>
              </w:rPr>
              <w:t>%</w:t>
            </w:r>
          </w:p>
        </w:tc>
        <w:tc>
          <w:tcPr>
            <w:tcW w:w="0" w:type="auto"/>
            <w:gridSpan w:val="3"/>
            <w:shd w:val="clear" w:color="auto" w:fill="auto"/>
            <w:vAlign w:val="bottom"/>
          </w:tcPr>
          <w:p w14:paraId="74DD72C0" w14:textId="77777777" w:rsidR="00584EC1" w:rsidRDefault="00584EC1">
            <w:pPr>
              <w:rPr>
                <w:rFonts w:ascii="宋体"/>
                <w:vanish/>
              </w:rPr>
            </w:pPr>
          </w:p>
        </w:tc>
        <w:tc>
          <w:tcPr>
            <w:tcW w:w="0" w:type="auto"/>
            <w:gridSpan w:val="3"/>
            <w:shd w:val="clear" w:color="auto" w:fill="auto"/>
            <w:vAlign w:val="bottom"/>
          </w:tcPr>
          <w:p w14:paraId="74DD72C1" w14:textId="77777777" w:rsidR="00584EC1" w:rsidRDefault="00584EC1">
            <w:pPr>
              <w:rPr>
                <w:rFonts w:ascii="宋体"/>
                <w:vanish/>
              </w:rPr>
            </w:pPr>
          </w:p>
        </w:tc>
      </w:tr>
      <w:tr w:rsidR="00584EC1" w14:paraId="74DD72D0" w14:textId="77777777">
        <w:tc>
          <w:tcPr>
            <w:tcW w:w="0" w:type="auto"/>
            <w:gridSpan w:val="3"/>
            <w:shd w:val="clear" w:color="auto" w:fill="FFFFFF"/>
            <w:tcMar>
              <w:top w:w="40" w:type="dxa"/>
              <w:left w:w="20" w:type="dxa"/>
              <w:bottom w:w="40" w:type="dxa"/>
              <w:right w:w="20" w:type="dxa"/>
            </w:tcMar>
            <w:vAlign w:val="bottom"/>
          </w:tcPr>
          <w:p w14:paraId="74DD72C3" w14:textId="77777777" w:rsidR="00584EC1" w:rsidRDefault="00871F8D">
            <w:pPr>
              <w:textAlignment w:val="bottom"/>
            </w:pPr>
            <w:r>
              <w:rPr>
                <w:rFonts w:ascii="Arial" w:eastAsia="宋体" w:hAnsi="Arial" w:cs="Arial"/>
                <w:color w:val="000000"/>
                <w:sz w:val="13"/>
                <w:szCs w:val="13"/>
              </w:rPr>
              <w:t>Information systems and communications</w:t>
            </w:r>
          </w:p>
        </w:tc>
        <w:tc>
          <w:tcPr>
            <w:tcW w:w="0" w:type="auto"/>
            <w:gridSpan w:val="2"/>
            <w:shd w:val="clear" w:color="auto" w:fill="FFFFFF"/>
            <w:tcMar>
              <w:top w:w="40" w:type="dxa"/>
              <w:left w:w="20" w:type="dxa"/>
              <w:bottom w:w="40" w:type="dxa"/>
              <w:right w:w="0" w:type="dxa"/>
            </w:tcMar>
            <w:vAlign w:val="bottom"/>
          </w:tcPr>
          <w:p w14:paraId="74DD72C4" w14:textId="77777777" w:rsidR="00584EC1" w:rsidRDefault="00871F8D">
            <w:pPr>
              <w:jc w:val="right"/>
              <w:textAlignment w:val="bottom"/>
            </w:pPr>
            <w:r>
              <w:rPr>
                <w:rFonts w:ascii="Arial" w:eastAsia="宋体" w:hAnsi="Arial" w:cs="Arial"/>
                <w:b/>
                <w:bCs/>
                <w:color w:val="000000"/>
                <w:sz w:val="13"/>
                <w:szCs w:val="13"/>
              </w:rPr>
              <w:t>1,225</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72C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2C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2C7" w14:textId="77777777" w:rsidR="00584EC1" w:rsidRDefault="00871F8D">
            <w:pPr>
              <w:jc w:val="right"/>
              <w:textAlignment w:val="bottom"/>
            </w:pPr>
            <w:r>
              <w:rPr>
                <w:rFonts w:ascii="Arial" w:eastAsia="宋体" w:hAnsi="Arial" w:cs="Arial"/>
                <w:color w:val="000000"/>
                <w:sz w:val="13"/>
                <w:szCs w:val="13"/>
              </w:rPr>
              <w:t>1,156 </w:t>
            </w:r>
          </w:p>
        </w:tc>
        <w:tc>
          <w:tcPr>
            <w:tcW w:w="0" w:type="auto"/>
            <w:shd w:val="clear" w:color="auto" w:fill="FFFFFF"/>
            <w:tcMar>
              <w:top w:w="40" w:type="dxa"/>
              <w:left w:w="0" w:type="dxa"/>
              <w:bottom w:w="40" w:type="dxa"/>
              <w:right w:w="20" w:type="dxa"/>
            </w:tcMar>
            <w:vAlign w:val="bottom"/>
          </w:tcPr>
          <w:p w14:paraId="74DD72C8" w14:textId="77777777" w:rsidR="00584EC1" w:rsidRDefault="00584EC1">
            <w:pPr>
              <w:jc w:val="right"/>
              <w:rPr>
                <w:rFonts w:ascii="宋体"/>
              </w:rPr>
            </w:pPr>
          </w:p>
        </w:tc>
        <w:tc>
          <w:tcPr>
            <w:tcW w:w="0" w:type="auto"/>
            <w:shd w:val="clear" w:color="auto" w:fill="auto"/>
            <w:vAlign w:val="bottom"/>
          </w:tcPr>
          <w:p w14:paraId="74DD72C9" w14:textId="77777777" w:rsidR="00584EC1" w:rsidRDefault="00584EC1">
            <w:pPr>
              <w:rPr>
                <w:rFonts w:ascii="宋体"/>
                <w:vanish/>
              </w:rPr>
            </w:pPr>
          </w:p>
        </w:tc>
        <w:tc>
          <w:tcPr>
            <w:tcW w:w="0" w:type="auto"/>
            <w:shd w:val="clear" w:color="auto" w:fill="auto"/>
            <w:vAlign w:val="bottom"/>
          </w:tcPr>
          <w:p w14:paraId="74DD72CA" w14:textId="77777777" w:rsidR="00584EC1" w:rsidRDefault="00584EC1">
            <w:pPr>
              <w:rPr>
                <w:rFonts w:ascii="宋体"/>
                <w:vanish/>
              </w:rPr>
            </w:pPr>
          </w:p>
        </w:tc>
        <w:tc>
          <w:tcPr>
            <w:tcW w:w="0" w:type="auto"/>
            <w:gridSpan w:val="3"/>
            <w:shd w:val="clear" w:color="auto" w:fill="FFFFFF"/>
            <w:tcMar>
              <w:top w:w="0" w:type="dxa"/>
              <w:left w:w="20" w:type="dxa"/>
              <w:bottom w:w="0" w:type="dxa"/>
              <w:right w:w="20" w:type="dxa"/>
            </w:tcMar>
            <w:vAlign w:val="bottom"/>
          </w:tcPr>
          <w:p w14:paraId="74DD72CB"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2CC" w14:textId="77777777" w:rsidR="00584EC1" w:rsidRDefault="00871F8D">
            <w:pPr>
              <w:jc w:val="right"/>
              <w:textAlignment w:val="bottom"/>
            </w:pPr>
            <w:r>
              <w:rPr>
                <w:rFonts w:ascii="Arial" w:eastAsia="宋体" w:hAnsi="Arial" w:cs="Arial"/>
                <w:color w:val="000000"/>
                <w:sz w:val="13"/>
                <w:szCs w:val="13"/>
              </w:rPr>
              <w:t>6 </w:t>
            </w:r>
          </w:p>
        </w:tc>
        <w:tc>
          <w:tcPr>
            <w:tcW w:w="0" w:type="auto"/>
            <w:shd w:val="clear" w:color="auto" w:fill="FFFFFF"/>
            <w:tcMar>
              <w:top w:w="40" w:type="dxa"/>
              <w:left w:w="0" w:type="dxa"/>
              <w:bottom w:w="40" w:type="dxa"/>
              <w:right w:w="20" w:type="dxa"/>
            </w:tcMar>
            <w:vAlign w:val="bottom"/>
          </w:tcPr>
          <w:p w14:paraId="74DD72CD" w14:textId="77777777" w:rsidR="00584EC1" w:rsidRDefault="00584EC1">
            <w:pPr>
              <w:jc w:val="right"/>
              <w:rPr>
                <w:rFonts w:ascii="宋体"/>
              </w:rPr>
            </w:pPr>
          </w:p>
        </w:tc>
        <w:tc>
          <w:tcPr>
            <w:tcW w:w="0" w:type="auto"/>
            <w:gridSpan w:val="3"/>
            <w:shd w:val="clear" w:color="auto" w:fill="auto"/>
            <w:vAlign w:val="bottom"/>
          </w:tcPr>
          <w:p w14:paraId="74DD72CE" w14:textId="77777777" w:rsidR="00584EC1" w:rsidRDefault="00584EC1">
            <w:pPr>
              <w:rPr>
                <w:rFonts w:ascii="宋体"/>
                <w:vanish/>
              </w:rPr>
            </w:pPr>
          </w:p>
        </w:tc>
        <w:tc>
          <w:tcPr>
            <w:tcW w:w="0" w:type="auto"/>
            <w:gridSpan w:val="3"/>
            <w:shd w:val="clear" w:color="auto" w:fill="auto"/>
            <w:vAlign w:val="bottom"/>
          </w:tcPr>
          <w:p w14:paraId="74DD72CF" w14:textId="77777777" w:rsidR="00584EC1" w:rsidRDefault="00584EC1">
            <w:pPr>
              <w:rPr>
                <w:rFonts w:ascii="宋体"/>
                <w:vanish/>
              </w:rPr>
            </w:pPr>
          </w:p>
        </w:tc>
      </w:tr>
      <w:tr w:rsidR="00584EC1" w14:paraId="74DD72DE" w14:textId="77777777">
        <w:tc>
          <w:tcPr>
            <w:tcW w:w="0" w:type="auto"/>
            <w:gridSpan w:val="3"/>
            <w:shd w:val="clear" w:color="auto" w:fill="CCEEFF"/>
            <w:tcMar>
              <w:top w:w="40" w:type="dxa"/>
              <w:left w:w="20" w:type="dxa"/>
              <w:bottom w:w="40" w:type="dxa"/>
              <w:right w:w="20" w:type="dxa"/>
            </w:tcMar>
            <w:vAlign w:val="bottom"/>
          </w:tcPr>
          <w:p w14:paraId="74DD72D1" w14:textId="77777777" w:rsidR="00584EC1" w:rsidRDefault="00871F8D">
            <w:pPr>
              <w:textAlignment w:val="bottom"/>
            </w:pPr>
            <w:r>
              <w:rPr>
                <w:rFonts w:ascii="Arial" w:eastAsia="宋体" w:hAnsi="Arial" w:cs="Arial"/>
                <w:color w:val="000000"/>
                <w:sz w:val="13"/>
                <w:szCs w:val="13"/>
              </w:rPr>
              <w:t>Transaction processing services</w:t>
            </w:r>
          </w:p>
        </w:tc>
        <w:tc>
          <w:tcPr>
            <w:tcW w:w="0" w:type="auto"/>
            <w:gridSpan w:val="2"/>
            <w:shd w:val="clear" w:color="auto" w:fill="CCEEFF"/>
            <w:tcMar>
              <w:top w:w="40" w:type="dxa"/>
              <w:left w:w="20" w:type="dxa"/>
              <w:bottom w:w="40" w:type="dxa"/>
              <w:right w:w="0" w:type="dxa"/>
            </w:tcMar>
            <w:vAlign w:val="bottom"/>
          </w:tcPr>
          <w:p w14:paraId="74DD72D2" w14:textId="77777777" w:rsidR="00584EC1" w:rsidRDefault="00871F8D">
            <w:pPr>
              <w:jc w:val="right"/>
              <w:textAlignment w:val="bottom"/>
            </w:pPr>
            <w:r>
              <w:rPr>
                <w:rFonts w:ascii="Arial" w:eastAsia="宋体" w:hAnsi="Arial" w:cs="Arial"/>
                <w:b/>
                <w:bCs/>
                <w:color w:val="000000"/>
                <w:sz w:val="13"/>
                <w:szCs w:val="13"/>
              </w:rPr>
              <w:t>786</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72D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2D4"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72D5" w14:textId="77777777" w:rsidR="00584EC1" w:rsidRDefault="00871F8D">
            <w:pPr>
              <w:jc w:val="right"/>
              <w:textAlignment w:val="bottom"/>
            </w:pPr>
            <w:r>
              <w:rPr>
                <w:rFonts w:ascii="Arial" w:eastAsia="宋体" w:hAnsi="Arial" w:cs="Arial"/>
                <w:color w:val="000000"/>
                <w:sz w:val="13"/>
                <w:szCs w:val="13"/>
              </w:rPr>
              <w:t>721 </w:t>
            </w:r>
          </w:p>
        </w:tc>
        <w:tc>
          <w:tcPr>
            <w:tcW w:w="0" w:type="auto"/>
            <w:shd w:val="clear" w:color="auto" w:fill="CCEEFF"/>
            <w:tcMar>
              <w:top w:w="40" w:type="dxa"/>
              <w:left w:w="0" w:type="dxa"/>
              <w:bottom w:w="40" w:type="dxa"/>
              <w:right w:w="20" w:type="dxa"/>
            </w:tcMar>
            <w:vAlign w:val="bottom"/>
          </w:tcPr>
          <w:p w14:paraId="74DD72D6" w14:textId="77777777" w:rsidR="00584EC1" w:rsidRDefault="00584EC1">
            <w:pPr>
              <w:jc w:val="right"/>
              <w:rPr>
                <w:rFonts w:ascii="宋体"/>
              </w:rPr>
            </w:pPr>
          </w:p>
        </w:tc>
        <w:tc>
          <w:tcPr>
            <w:tcW w:w="0" w:type="auto"/>
            <w:shd w:val="clear" w:color="auto" w:fill="auto"/>
            <w:vAlign w:val="bottom"/>
          </w:tcPr>
          <w:p w14:paraId="74DD72D7" w14:textId="77777777" w:rsidR="00584EC1" w:rsidRDefault="00584EC1">
            <w:pPr>
              <w:rPr>
                <w:rFonts w:ascii="宋体"/>
                <w:vanish/>
              </w:rPr>
            </w:pPr>
          </w:p>
        </w:tc>
        <w:tc>
          <w:tcPr>
            <w:tcW w:w="0" w:type="auto"/>
            <w:shd w:val="clear" w:color="auto" w:fill="auto"/>
            <w:vAlign w:val="bottom"/>
          </w:tcPr>
          <w:p w14:paraId="74DD72D8" w14:textId="77777777" w:rsidR="00584EC1" w:rsidRDefault="00584EC1">
            <w:pPr>
              <w:rPr>
                <w:rFonts w:ascii="宋体"/>
                <w:vanish/>
              </w:rPr>
            </w:pPr>
          </w:p>
        </w:tc>
        <w:tc>
          <w:tcPr>
            <w:tcW w:w="0" w:type="auto"/>
            <w:gridSpan w:val="3"/>
            <w:shd w:val="clear" w:color="auto" w:fill="CCEEFF"/>
            <w:tcMar>
              <w:top w:w="0" w:type="dxa"/>
              <w:left w:w="20" w:type="dxa"/>
              <w:bottom w:w="0" w:type="dxa"/>
              <w:right w:w="20" w:type="dxa"/>
            </w:tcMar>
            <w:vAlign w:val="bottom"/>
          </w:tcPr>
          <w:p w14:paraId="74DD72D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72DA" w14:textId="77777777" w:rsidR="00584EC1" w:rsidRDefault="00871F8D">
            <w:pPr>
              <w:jc w:val="right"/>
              <w:textAlignment w:val="bottom"/>
            </w:pPr>
            <w:r>
              <w:rPr>
                <w:rFonts w:ascii="Arial" w:eastAsia="宋体" w:hAnsi="Arial" w:cs="Arial"/>
                <w:color w:val="000000"/>
                <w:sz w:val="13"/>
                <w:szCs w:val="13"/>
              </w:rPr>
              <w:t>9 </w:t>
            </w:r>
          </w:p>
        </w:tc>
        <w:tc>
          <w:tcPr>
            <w:tcW w:w="0" w:type="auto"/>
            <w:shd w:val="clear" w:color="auto" w:fill="CCEEFF"/>
            <w:tcMar>
              <w:top w:w="40" w:type="dxa"/>
              <w:left w:w="0" w:type="dxa"/>
              <w:bottom w:w="40" w:type="dxa"/>
              <w:right w:w="20" w:type="dxa"/>
            </w:tcMar>
            <w:vAlign w:val="bottom"/>
          </w:tcPr>
          <w:p w14:paraId="74DD72DB" w14:textId="77777777" w:rsidR="00584EC1" w:rsidRDefault="00584EC1">
            <w:pPr>
              <w:jc w:val="right"/>
              <w:rPr>
                <w:rFonts w:ascii="宋体"/>
              </w:rPr>
            </w:pPr>
          </w:p>
        </w:tc>
        <w:tc>
          <w:tcPr>
            <w:tcW w:w="0" w:type="auto"/>
            <w:gridSpan w:val="3"/>
            <w:shd w:val="clear" w:color="auto" w:fill="auto"/>
            <w:vAlign w:val="bottom"/>
          </w:tcPr>
          <w:p w14:paraId="74DD72DC" w14:textId="77777777" w:rsidR="00584EC1" w:rsidRDefault="00584EC1">
            <w:pPr>
              <w:rPr>
                <w:rFonts w:ascii="宋体"/>
                <w:vanish/>
              </w:rPr>
            </w:pPr>
          </w:p>
        </w:tc>
        <w:tc>
          <w:tcPr>
            <w:tcW w:w="0" w:type="auto"/>
            <w:gridSpan w:val="3"/>
            <w:shd w:val="clear" w:color="auto" w:fill="auto"/>
            <w:vAlign w:val="bottom"/>
          </w:tcPr>
          <w:p w14:paraId="74DD72DD" w14:textId="77777777" w:rsidR="00584EC1" w:rsidRDefault="00584EC1">
            <w:pPr>
              <w:rPr>
                <w:rFonts w:ascii="宋体"/>
                <w:vanish/>
              </w:rPr>
            </w:pPr>
          </w:p>
        </w:tc>
      </w:tr>
      <w:tr w:rsidR="00584EC1" w14:paraId="74DD72EC" w14:textId="77777777">
        <w:tc>
          <w:tcPr>
            <w:tcW w:w="0" w:type="auto"/>
            <w:gridSpan w:val="3"/>
            <w:shd w:val="clear" w:color="auto" w:fill="FFFFFF"/>
            <w:tcMar>
              <w:top w:w="40" w:type="dxa"/>
              <w:left w:w="20" w:type="dxa"/>
              <w:bottom w:w="40" w:type="dxa"/>
              <w:right w:w="20" w:type="dxa"/>
            </w:tcMar>
            <w:vAlign w:val="bottom"/>
          </w:tcPr>
          <w:p w14:paraId="74DD72DF" w14:textId="77777777" w:rsidR="00584EC1" w:rsidRDefault="00871F8D">
            <w:pPr>
              <w:textAlignment w:val="bottom"/>
            </w:pPr>
            <w:r>
              <w:rPr>
                <w:rFonts w:ascii="Arial" w:eastAsia="宋体" w:hAnsi="Arial" w:cs="Arial"/>
                <w:color w:val="000000"/>
                <w:sz w:val="13"/>
                <w:szCs w:val="13"/>
              </w:rPr>
              <w:t>Occupancy</w:t>
            </w:r>
          </w:p>
        </w:tc>
        <w:tc>
          <w:tcPr>
            <w:tcW w:w="0" w:type="auto"/>
            <w:gridSpan w:val="2"/>
            <w:shd w:val="clear" w:color="auto" w:fill="FFFFFF"/>
            <w:tcMar>
              <w:top w:w="40" w:type="dxa"/>
              <w:left w:w="20" w:type="dxa"/>
              <w:bottom w:w="40" w:type="dxa"/>
              <w:right w:w="0" w:type="dxa"/>
            </w:tcMar>
            <w:vAlign w:val="bottom"/>
          </w:tcPr>
          <w:p w14:paraId="74DD72E0" w14:textId="77777777" w:rsidR="00584EC1" w:rsidRDefault="00871F8D">
            <w:pPr>
              <w:jc w:val="right"/>
              <w:textAlignment w:val="bottom"/>
            </w:pPr>
            <w:r>
              <w:rPr>
                <w:rFonts w:ascii="Arial" w:eastAsia="宋体" w:hAnsi="Arial" w:cs="Arial"/>
                <w:b/>
                <w:bCs/>
                <w:color w:val="000000"/>
                <w:sz w:val="13"/>
                <w:szCs w:val="13"/>
              </w:rPr>
              <w:t>311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72E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2E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2E3" w14:textId="77777777" w:rsidR="00584EC1" w:rsidRDefault="00871F8D">
            <w:pPr>
              <w:jc w:val="right"/>
              <w:textAlignment w:val="bottom"/>
            </w:pPr>
            <w:r>
              <w:rPr>
                <w:rFonts w:ascii="Arial" w:eastAsia="宋体" w:hAnsi="Arial" w:cs="Arial"/>
                <w:color w:val="000000"/>
                <w:sz w:val="13"/>
                <w:szCs w:val="13"/>
              </w:rPr>
              <w:t>327 </w:t>
            </w:r>
          </w:p>
        </w:tc>
        <w:tc>
          <w:tcPr>
            <w:tcW w:w="0" w:type="auto"/>
            <w:shd w:val="clear" w:color="auto" w:fill="FFFFFF"/>
            <w:tcMar>
              <w:top w:w="40" w:type="dxa"/>
              <w:left w:w="0" w:type="dxa"/>
              <w:bottom w:w="40" w:type="dxa"/>
              <w:right w:w="20" w:type="dxa"/>
            </w:tcMar>
            <w:vAlign w:val="bottom"/>
          </w:tcPr>
          <w:p w14:paraId="74DD72E4" w14:textId="77777777" w:rsidR="00584EC1" w:rsidRDefault="00584EC1">
            <w:pPr>
              <w:jc w:val="right"/>
              <w:rPr>
                <w:rFonts w:ascii="宋体"/>
              </w:rPr>
            </w:pPr>
          </w:p>
        </w:tc>
        <w:tc>
          <w:tcPr>
            <w:tcW w:w="0" w:type="auto"/>
            <w:shd w:val="clear" w:color="auto" w:fill="auto"/>
            <w:vAlign w:val="bottom"/>
          </w:tcPr>
          <w:p w14:paraId="74DD72E5" w14:textId="77777777" w:rsidR="00584EC1" w:rsidRDefault="00584EC1">
            <w:pPr>
              <w:rPr>
                <w:rFonts w:ascii="宋体"/>
                <w:vanish/>
              </w:rPr>
            </w:pPr>
          </w:p>
        </w:tc>
        <w:tc>
          <w:tcPr>
            <w:tcW w:w="0" w:type="auto"/>
            <w:shd w:val="clear" w:color="auto" w:fill="auto"/>
            <w:vAlign w:val="bottom"/>
          </w:tcPr>
          <w:p w14:paraId="74DD72E6" w14:textId="77777777" w:rsidR="00584EC1" w:rsidRDefault="00584EC1">
            <w:pPr>
              <w:rPr>
                <w:rFonts w:ascii="宋体"/>
                <w:vanish/>
              </w:rPr>
            </w:pPr>
          </w:p>
        </w:tc>
        <w:tc>
          <w:tcPr>
            <w:tcW w:w="0" w:type="auto"/>
            <w:gridSpan w:val="3"/>
            <w:shd w:val="clear" w:color="auto" w:fill="FFFFFF"/>
            <w:tcMar>
              <w:top w:w="0" w:type="dxa"/>
              <w:left w:w="20" w:type="dxa"/>
              <w:bottom w:w="0" w:type="dxa"/>
              <w:right w:w="20" w:type="dxa"/>
            </w:tcMar>
            <w:vAlign w:val="bottom"/>
          </w:tcPr>
          <w:p w14:paraId="74DD72E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2E8" w14:textId="77777777" w:rsidR="00584EC1" w:rsidRDefault="00871F8D">
            <w:pPr>
              <w:jc w:val="right"/>
              <w:textAlignment w:val="bottom"/>
            </w:pPr>
            <w:r>
              <w:rPr>
                <w:rFonts w:ascii="Arial" w:eastAsia="宋体" w:hAnsi="Arial" w:cs="Arial"/>
                <w:color w:val="000000"/>
                <w:sz w:val="13"/>
                <w:szCs w:val="13"/>
              </w:rPr>
              <w:t>(5)</w:t>
            </w:r>
          </w:p>
        </w:tc>
        <w:tc>
          <w:tcPr>
            <w:tcW w:w="0" w:type="auto"/>
            <w:shd w:val="clear" w:color="auto" w:fill="FFFFFF"/>
            <w:tcMar>
              <w:top w:w="40" w:type="dxa"/>
              <w:left w:w="0" w:type="dxa"/>
              <w:bottom w:w="40" w:type="dxa"/>
              <w:right w:w="20" w:type="dxa"/>
            </w:tcMar>
            <w:vAlign w:val="bottom"/>
          </w:tcPr>
          <w:p w14:paraId="74DD72E9" w14:textId="77777777" w:rsidR="00584EC1" w:rsidRDefault="00584EC1">
            <w:pPr>
              <w:jc w:val="right"/>
              <w:rPr>
                <w:rFonts w:ascii="宋体"/>
              </w:rPr>
            </w:pPr>
          </w:p>
        </w:tc>
        <w:tc>
          <w:tcPr>
            <w:tcW w:w="0" w:type="auto"/>
            <w:gridSpan w:val="3"/>
            <w:shd w:val="clear" w:color="auto" w:fill="auto"/>
            <w:vAlign w:val="bottom"/>
          </w:tcPr>
          <w:p w14:paraId="74DD72EA" w14:textId="77777777" w:rsidR="00584EC1" w:rsidRDefault="00584EC1">
            <w:pPr>
              <w:rPr>
                <w:rFonts w:ascii="宋体"/>
                <w:vanish/>
              </w:rPr>
            </w:pPr>
          </w:p>
        </w:tc>
        <w:tc>
          <w:tcPr>
            <w:tcW w:w="0" w:type="auto"/>
            <w:gridSpan w:val="3"/>
            <w:shd w:val="clear" w:color="auto" w:fill="auto"/>
            <w:vAlign w:val="bottom"/>
          </w:tcPr>
          <w:p w14:paraId="74DD72EB" w14:textId="77777777" w:rsidR="00584EC1" w:rsidRDefault="00584EC1">
            <w:pPr>
              <w:rPr>
                <w:rFonts w:ascii="宋体"/>
                <w:vanish/>
              </w:rPr>
            </w:pPr>
          </w:p>
        </w:tc>
      </w:tr>
      <w:tr w:rsidR="00584EC1" w14:paraId="74DD72FA" w14:textId="77777777">
        <w:tc>
          <w:tcPr>
            <w:tcW w:w="0" w:type="auto"/>
            <w:gridSpan w:val="3"/>
            <w:shd w:val="clear" w:color="auto" w:fill="CCEEFF"/>
            <w:tcMar>
              <w:top w:w="40" w:type="dxa"/>
              <w:left w:w="20" w:type="dxa"/>
              <w:bottom w:w="40" w:type="dxa"/>
              <w:right w:w="20" w:type="dxa"/>
            </w:tcMar>
          </w:tcPr>
          <w:p w14:paraId="74DD72ED" w14:textId="77777777" w:rsidR="00584EC1" w:rsidRDefault="00871F8D">
            <w:pPr>
              <w:textAlignment w:val="top"/>
            </w:pPr>
            <w:r>
              <w:rPr>
                <w:rFonts w:ascii="Arial" w:eastAsia="宋体" w:hAnsi="Arial" w:cs="Arial"/>
                <w:color w:val="000000"/>
                <w:sz w:val="13"/>
                <w:szCs w:val="13"/>
              </w:rPr>
              <w:t>Amortization of other intangible assets</w:t>
            </w:r>
          </w:p>
        </w:tc>
        <w:tc>
          <w:tcPr>
            <w:tcW w:w="0" w:type="auto"/>
            <w:gridSpan w:val="2"/>
            <w:shd w:val="clear" w:color="auto" w:fill="CCEEFF"/>
            <w:tcMar>
              <w:top w:w="40" w:type="dxa"/>
              <w:left w:w="20" w:type="dxa"/>
              <w:bottom w:w="40" w:type="dxa"/>
              <w:right w:w="0" w:type="dxa"/>
            </w:tcMar>
            <w:vAlign w:val="bottom"/>
          </w:tcPr>
          <w:p w14:paraId="74DD72EE" w14:textId="77777777" w:rsidR="00584EC1" w:rsidRDefault="00871F8D">
            <w:pPr>
              <w:jc w:val="right"/>
              <w:textAlignment w:val="bottom"/>
            </w:pPr>
            <w:r>
              <w:rPr>
                <w:rFonts w:ascii="Arial" w:eastAsia="宋体" w:hAnsi="Arial" w:cs="Arial"/>
                <w:b/>
                <w:bCs/>
                <w:color w:val="000000"/>
                <w:sz w:val="13"/>
                <w:szCs w:val="13"/>
              </w:rPr>
              <w:t>183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72E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2F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72F1" w14:textId="77777777" w:rsidR="00584EC1" w:rsidRDefault="00871F8D">
            <w:pPr>
              <w:jc w:val="right"/>
              <w:textAlignment w:val="bottom"/>
            </w:pPr>
            <w:r>
              <w:rPr>
                <w:rFonts w:ascii="Arial" w:eastAsia="宋体" w:hAnsi="Arial" w:cs="Arial"/>
                <w:color w:val="000000"/>
                <w:sz w:val="13"/>
                <w:szCs w:val="13"/>
              </w:rPr>
              <w:t>175 </w:t>
            </w:r>
          </w:p>
        </w:tc>
        <w:tc>
          <w:tcPr>
            <w:tcW w:w="0" w:type="auto"/>
            <w:shd w:val="clear" w:color="auto" w:fill="CCEEFF"/>
            <w:tcMar>
              <w:top w:w="40" w:type="dxa"/>
              <w:left w:w="0" w:type="dxa"/>
              <w:bottom w:w="40" w:type="dxa"/>
              <w:right w:w="20" w:type="dxa"/>
            </w:tcMar>
            <w:vAlign w:val="bottom"/>
          </w:tcPr>
          <w:p w14:paraId="74DD72F2" w14:textId="77777777" w:rsidR="00584EC1" w:rsidRDefault="00584EC1">
            <w:pPr>
              <w:jc w:val="right"/>
              <w:rPr>
                <w:rFonts w:ascii="宋体"/>
              </w:rPr>
            </w:pPr>
          </w:p>
        </w:tc>
        <w:tc>
          <w:tcPr>
            <w:tcW w:w="0" w:type="auto"/>
            <w:shd w:val="clear" w:color="auto" w:fill="auto"/>
            <w:vAlign w:val="bottom"/>
          </w:tcPr>
          <w:p w14:paraId="74DD72F3" w14:textId="77777777" w:rsidR="00584EC1" w:rsidRDefault="00584EC1">
            <w:pPr>
              <w:rPr>
                <w:rFonts w:ascii="宋体"/>
                <w:vanish/>
              </w:rPr>
            </w:pPr>
          </w:p>
        </w:tc>
        <w:tc>
          <w:tcPr>
            <w:tcW w:w="0" w:type="auto"/>
            <w:shd w:val="clear" w:color="auto" w:fill="auto"/>
            <w:vAlign w:val="bottom"/>
          </w:tcPr>
          <w:p w14:paraId="74DD72F4" w14:textId="77777777" w:rsidR="00584EC1" w:rsidRDefault="00584EC1">
            <w:pPr>
              <w:rPr>
                <w:rFonts w:ascii="宋体"/>
                <w:vanish/>
              </w:rPr>
            </w:pPr>
          </w:p>
        </w:tc>
        <w:tc>
          <w:tcPr>
            <w:tcW w:w="0" w:type="auto"/>
            <w:gridSpan w:val="3"/>
            <w:shd w:val="clear" w:color="auto" w:fill="CCEEFF"/>
            <w:tcMar>
              <w:top w:w="0" w:type="dxa"/>
              <w:left w:w="20" w:type="dxa"/>
              <w:bottom w:w="0" w:type="dxa"/>
              <w:right w:w="20" w:type="dxa"/>
            </w:tcMar>
            <w:vAlign w:val="bottom"/>
          </w:tcPr>
          <w:p w14:paraId="74DD72F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72F6" w14:textId="77777777" w:rsidR="00584EC1" w:rsidRDefault="00871F8D">
            <w:pPr>
              <w:jc w:val="right"/>
              <w:textAlignment w:val="bottom"/>
            </w:pPr>
            <w:r>
              <w:rPr>
                <w:rFonts w:ascii="Arial" w:eastAsia="宋体" w:hAnsi="Arial" w:cs="Arial"/>
                <w:color w:val="000000"/>
                <w:sz w:val="13"/>
                <w:szCs w:val="13"/>
              </w:rPr>
              <w:t>5 </w:t>
            </w:r>
          </w:p>
        </w:tc>
        <w:tc>
          <w:tcPr>
            <w:tcW w:w="0" w:type="auto"/>
            <w:shd w:val="clear" w:color="auto" w:fill="CCEEFF"/>
            <w:tcMar>
              <w:top w:w="40" w:type="dxa"/>
              <w:left w:w="0" w:type="dxa"/>
              <w:bottom w:w="40" w:type="dxa"/>
              <w:right w:w="20" w:type="dxa"/>
            </w:tcMar>
            <w:vAlign w:val="bottom"/>
          </w:tcPr>
          <w:p w14:paraId="74DD72F7" w14:textId="77777777" w:rsidR="00584EC1" w:rsidRDefault="00584EC1">
            <w:pPr>
              <w:jc w:val="right"/>
              <w:rPr>
                <w:rFonts w:ascii="宋体"/>
              </w:rPr>
            </w:pPr>
          </w:p>
        </w:tc>
        <w:tc>
          <w:tcPr>
            <w:tcW w:w="0" w:type="auto"/>
            <w:gridSpan w:val="3"/>
            <w:shd w:val="clear" w:color="auto" w:fill="auto"/>
            <w:vAlign w:val="bottom"/>
          </w:tcPr>
          <w:p w14:paraId="74DD72F8" w14:textId="77777777" w:rsidR="00584EC1" w:rsidRDefault="00584EC1">
            <w:pPr>
              <w:rPr>
                <w:rFonts w:ascii="宋体"/>
                <w:vanish/>
              </w:rPr>
            </w:pPr>
          </w:p>
        </w:tc>
        <w:tc>
          <w:tcPr>
            <w:tcW w:w="0" w:type="auto"/>
            <w:gridSpan w:val="3"/>
            <w:shd w:val="clear" w:color="auto" w:fill="auto"/>
            <w:vAlign w:val="bottom"/>
          </w:tcPr>
          <w:p w14:paraId="74DD72F9" w14:textId="77777777" w:rsidR="00584EC1" w:rsidRDefault="00584EC1">
            <w:pPr>
              <w:rPr>
                <w:rFonts w:ascii="宋体"/>
                <w:vanish/>
              </w:rPr>
            </w:pPr>
          </w:p>
        </w:tc>
      </w:tr>
      <w:tr w:rsidR="00584EC1" w14:paraId="74DD7308" w14:textId="77777777">
        <w:tc>
          <w:tcPr>
            <w:tcW w:w="0" w:type="auto"/>
            <w:gridSpan w:val="3"/>
            <w:shd w:val="clear" w:color="auto" w:fill="FFFFFF"/>
            <w:tcMar>
              <w:top w:w="40" w:type="dxa"/>
              <w:left w:w="20" w:type="dxa"/>
              <w:bottom w:w="40" w:type="dxa"/>
              <w:right w:w="20" w:type="dxa"/>
            </w:tcMar>
            <w:vAlign w:val="bottom"/>
          </w:tcPr>
          <w:p w14:paraId="74DD72FB" w14:textId="77777777" w:rsidR="00584EC1" w:rsidRDefault="00871F8D">
            <w:pPr>
              <w:textAlignment w:val="bottom"/>
            </w:pPr>
            <w:r>
              <w:rPr>
                <w:rFonts w:ascii="Arial" w:eastAsia="宋体" w:hAnsi="Arial" w:cs="Arial"/>
                <w:color w:val="000000"/>
                <w:sz w:val="13"/>
                <w:szCs w:val="13"/>
              </w:rPr>
              <w:t>Acquisition costs</w:t>
            </w:r>
          </w:p>
        </w:tc>
        <w:tc>
          <w:tcPr>
            <w:tcW w:w="0" w:type="auto"/>
            <w:gridSpan w:val="2"/>
            <w:shd w:val="clear" w:color="auto" w:fill="FFFFFF"/>
            <w:tcMar>
              <w:top w:w="40" w:type="dxa"/>
              <w:left w:w="20" w:type="dxa"/>
              <w:bottom w:w="40" w:type="dxa"/>
              <w:right w:w="0" w:type="dxa"/>
            </w:tcMar>
            <w:vAlign w:val="bottom"/>
          </w:tcPr>
          <w:p w14:paraId="74DD72FC" w14:textId="77777777" w:rsidR="00584EC1" w:rsidRDefault="00871F8D">
            <w:pPr>
              <w:jc w:val="right"/>
              <w:textAlignment w:val="bottom"/>
            </w:pPr>
            <w:r>
              <w:rPr>
                <w:rFonts w:ascii="Arial" w:eastAsia="宋体" w:hAnsi="Arial" w:cs="Arial"/>
                <w:b/>
                <w:bCs/>
                <w:color w:val="000000"/>
                <w:sz w:val="13"/>
                <w:szCs w:val="13"/>
              </w:rPr>
              <w:t>40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72F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2F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2FF" w14:textId="77777777" w:rsidR="00584EC1" w:rsidRDefault="00871F8D">
            <w:pPr>
              <w:jc w:val="right"/>
              <w:textAlignment w:val="bottom"/>
            </w:pPr>
            <w:r>
              <w:rPr>
                <w:rFonts w:ascii="Arial" w:eastAsia="宋体" w:hAnsi="Arial" w:cs="Arial"/>
                <w:color w:val="000000"/>
                <w:sz w:val="13"/>
                <w:szCs w:val="13"/>
              </w:rPr>
              <w:t>38 </w:t>
            </w:r>
          </w:p>
        </w:tc>
        <w:tc>
          <w:tcPr>
            <w:tcW w:w="0" w:type="auto"/>
            <w:shd w:val="clear" w:color="auto" w:fill="FFFFFF"/>
            <w:tcMar>
              <w:top w:w="40" w:type="dxa"/>
              <w:left w:w="0" w:type="dxa"/>
              <w:bottom w:w="40" w:type="dxa"/>
              <w:right w:w="20" w:type="dxa"/>
            </w:tcMar>
            <w:vAlign w:val="bottom"/>
          </w:tcPr>
          <w:p w14:paraId="74DD7300" w14:textId="77777777" w:rsidR="00584EC1" w:rsidRDefault="00584EC1">
            <w:pPr>
              <w:jc w:val="right"/>
              <w:rPr>
                <w:rFonts w:ascii="宋体"/>
              </w:rPr>
            </w:pPr>
          </w:p>
        </w:tc>
        <w:tc>
          <w:tcPr>
            <w:tcW w:w="0" w:type="auto"/>
            <w:shd w:val="clear" w:color="auto" w:fill="auto"/>
            <w:vAlign w:val="bottom"/>
          </w:tcPr>
          <w:p w14:paraId="74DD7301" w14:textId="77777777" w:rsidR="00584EC1" w:rsidRDefault="00584EC1">
            <w:pPr>
              <w:rPr>
                <w:rFonts w:ascii="宋体"/>
                <w:vanish/>
              </w:rPr>
            </w:pPr>
          </w:p>
        </w:tc>
        <w:tc>
          <w:tcPr>
            <w:tcW w:w="0" w:type="auto"/>
            <w:shd w:val="clear" w:color="auto" w:fill="auto"/>
            <w:vAlign w:val="bottom"/>
          </w:tcPr>
          <w:p w14:paraId="74DD7302" w14:textId="77777777" w:rsidR="00584EC1" w:rsidRDefault="00584EC1">
            <w:pPr>
              <w:rPr>
                <w:rFonts w:ascii="宋体"/>
                <w:vanish/>
              </w:rPr>
            </w:pPr>
          </w:p>
        </w:tc>
        <w:tc>
          <w:tcPr>
            <w:tcW w:w="0" w:type="auto"/>
            <w:gridSpan w:val="3"/>
            <w:shd w:val="clear" w:color="auto" w:fill="FFFFFF"/>
            <w:tcMar>
              <w:top w:w="0" w:type="dxa"/>
              <w:left w:w="20" w:type="dxa"/>
              <w:bottom w:w="0" w:type="dxa"/>
              <w:right w:w="20" w:type="dxa"/>
            </w:tcMar>
            <w:vAlign w:val="bottom"/>
          </w:tcPr>
          <w:p w14:paraId="74DD730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304" w14:textId="77777777" w:rsidR="00584EC1" w:rsidRDefault="00871F8D">
            <w:pPr>
              <w:jc w:val="right"/>
              <w:textAlignment w:val="bottom"/>
            </w:pPr>
            <w:r>
              <w:rPr>
                <w:rFonts w:ascii="Arial" w:eastAsia="宋体" w:hAnsi="Arial" w:cs="Arial"/>
                <w:color w:val="000000"/>
                <w:sz w:val="13"/>
                <w:szCs w:val="13"/>
              </w:rPr>
              <w:t>5 </w:t>
            </w:r>
          </w:p>
        </w:tc>
        <w:tc>
          <w:tcPr>
            <w:tcW w:w="0" w:type="auto"/>
            <w:shd w:val="clear" w:color="auto" w:fill="FFFFFF"/>
            <w:tcMar>
              <w:top w:w="40" w:type="dxa"/>
              <w:left w:w="0" w:type="dxa"/>
              <w:bottom w:w="40" w:type="dxa"/>
              <w:right w:w="20" w:type="dxa"/>
            </w:tcMar>
            <w:vAlign w:val="bottom"/>
          </w:tcPr>
          <w:p w14:paraId="74DD7305" w14:textId="77777777" w:rsidR="00584EC1" w:rsidRDefault="00584EC1">
            <w:pPr>
              <w:jc w:val="right"/>
              <w:rPr>
                <w:rFonts w:ascii="宋体"/>
              </w:rPr>
            </w:pPr>
          </w:p>
        </w:tc>
        <w:tc>
          <w:tcPr>
            <w:tcW w:w="0" w:type="auto"/>
            <w:gridSpan w:val="3"/>
            <w:shd w:val="clear" w:color="auto" w:fill="auto"/>
            <w:vAlign w:val="bottom"/>
          </w:tcPr>
          <w:p w14:paraId="74DD7306" w14:textId="77777777" w:rsidR="00584EC1" w:rsidRDefault="00584EC1">
            <w:pPr>
              <w:rPr>
                <w:rFonts w:ascii="宋体"/>
                <w:vanish/>
              </w:rPr>
            </w:pPr>
          </w:p>
        </w:tc>
        <w:tc>
          <w:tcPr>
            <w:tcW w:w="0" w:type="auto"/>
            <w:gridSpan w:val="3"/>
            <w:shd w:val="clear" w:color="auto" w:fill="auto"/>
            <w:vAlign w:val="bottom"/>
          </w:tcPr>
          <w:p w14:paraId="74DD7307" w14:textId="77777777" w:rsidR="00584EC1" w:rsidRDefault="00584EC1">
            <w:pPr>
              <w:rPr>
                <w:rFonts w:ascii="宋体"/>
                <w:vanish/>
              </w:rPr>
            </w:pPr>
          </w:p>
        </w:tc>
      </w:tr>
      <w:tr w:rsidR="00584EC1" w14:paraId="74DD7315" w14:textId="77777777">
        <w:tc>
          <w:tcPr>
            <w:tcW w:w="0" w:type="auto"/>
            <w:gridSpan w:val="3"/>
            <w:shd w:val="clear" w:color="auto" w:fill="CCEEFF"/>
            <w:tcMar>
              <w:top w:w="40" w:type="dxa"/>
              <w:left w:w="20" w:type="dxa"/>
              <w:bottom w:w="40" w:type="dxa"/>
              <w:right w:w="20" w:type="dxa"/>
            </w:tcMar>
            <w:vAlign w:val="bottom"/>
          </w:tcPr>
          <w:p w14:paraId="74DD7309" w14:textId="77777777" w:rsidR="00584EC1" w:rsidRDefault="00871F8D">
            <w:pPr>
              <w:textAlignment w:val="bottom"/>
            </w:pPr>
            <w:r>
              <w:rPr>
                <w:rFonts w:ascii="Arial" w:eastAsia="宋体" w:hAnsi="Arial" w:cs="Arial"/>
                <w:color w:val="000000"/>
                <w:sz w:val="13"/>
                <w:szCs w:val="13"/>
              </w:rPr>
              <w:t>Restructuring charges, net</w:t>
            </w:r>
          </w:p>
        </w:tc>
        <w:tc>
          <w:tcPr>
            <w:tcW w:w="0" w:type="auto"/>
            <w:gridSpan w:val="2"/>
            <w:shd w:val="clear" w:color="auto" w:fill="CCEEFF"/>
            <w:tcMar>
              <w:top w:w="40" w:type="dxa"/>
              <w:left w:w="20" w:type="dxa"/>
              <w:bottom w:w="40" w:type="dxa"/>
              <w:right w:w="0" w:type="dxa"/>
            </w:tcMar>
            <w:vAlign w:val="bottom"/>
          </w:tcPr>
          <w:p w14:paraId="74DD730A" w14:textId="77777777" w:rsidR="00584EC1" w:rsidRDefault="00871F8D">
            <w:pPr>
              <w:jc w:val="right"/>
              <w:textAlignment w:val="bottom"/>
            </w:pPr>
            <w:r>
              <w:rPr>
                <w:rFonts w:ascii="Arial" w:eastAsia="宋体" w:hAnsi="Arial" w:cs="Arial"/>
                <w:b/>
                <w:bCs/>
                <w:color w:val="000000"/>
                <w:sz w:val="13"/>
                <w:szCs w:val="13"/>
              </w:rPr>
              <w:t>(1)</w:t>
            </w:r>
          </w:p>
        </w:tc>
        <w:tc>
          <w:tcPr>
            <w:tcW w:w="0" w:type="auto"/>
            <w:shd w:val="clear" w:color="auto" w:fill="CCEEFF"/>
            <w:tcMar>
              <w:top w:w="40" w:type="dxa"/>
              <w:left w:w="0" w:type="dxa"/>
              <w:bottom w:w="40" w:type="dxa"/>
              <w:right w:w="20" w:type="dxa"/>
            </w:tcMar>
            <w:vAlign w:val="bottom"/>
          </w:tcPr>
          <w:p w14:paraId="74DD730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30C"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730D" w14:textId="77777777" w:rsidR="00584EC1" w:rsidRDefault="00871F8D">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730E" w14:textId="77777777" w:rsidR="00584EC1" w:rsidRDefault="00584EC1">
            <w:pPr>
              <w:jc w:val="right"/>
              <w:rPr>
                <w:rFonts w:ascii="宋体"/>
              </w:rPr>
            </w:pPr>
          </w:p>
        </w:tc>
        <w:tc>
          <w:tcPr>
            <w:tcW w:w="0" w:type="auto"/>
            <w:shd w:val="clear" w:color="auto" w:fill="auto"/>
            <w:vAlign w:val="bottom"/>
          </w:tcPr>
          <w:p w14:paraId="74DD730F" w14:textId="77777777" w:rsidR="00584EC1" w:rsidRDefault="00584EC1">
            <w:pPr>
              <w:rPr>
                <w:rFonts w:ascii="宋体"/>
                <w:vanish/>
              </w:rPr>
            </w:pPr>
          </w:p>
        </w:tc>
        <w:tc>
          <w:tcPr>
            <w:tcW w:w="0" w:type="auto"/>
            <w:shd w:val="clear" w:color="auto" w:fill="auto"/>
            <w:vAlign w:val="bottom"/>
          </w:tcPr>
          <w:p w14:paraId="74DD7310" w14:textId="77777777" w:rsidR="00584EC1" w:rsidRDefault="00584EC1">
            <w:pPr>
              <w:rPr>
                <w:rFonts w:ascii="宋体"/>
                <w:vanish/>
              </w:rPr>
            </w:pPr>
          </w:p>
        </w:tc>
        <w:tc>
          <w:tcPr>
            <w:tcW w:w="0" w:type="auto"/>
            <w:gridSpan w:val="3"/>
            <w:shd w:val="clear" w:color="auto" w:fill="CCEEFF"/>
            <w:tcMar>
              <w:top w:w="0" w:type="dxa"/>
              <w:left w:w="20" w:type="dxa"/>
              <w:bottom w:w="0" w:type="dxa"/>
              <w:right w:w="20" w:type="dxa"/>
            </w:tcMar>
            <w:vAlign w:val="bottom"/>
          </w:tcPr>
          <w:p w14:paraId="74DD7311" w14:textId="77777777" w:rsidR="00584EC1" w:rsidRDefault="00584EC1">
            <w:pPr>
              <w:rPr>
                <w:rFonts w:ascii="宋体"/>
              </w:rPr>
            </w:pPr>
          </w:p>
        </w:tc>
        <w:tc>
          <w:tcPr>
            <w:tcW w:w="0" w:type="auto"/>
            <w:gridSpan w:val="3"/>
            <w:shd w:val="clear" w:color="auto" w:fill="CCEEFF"/>
            <w:tcMar>
              <w:top w:w="40" w:type="dxa"/>
              <w:left w:w="20" w:type="dxa"/>
              <w:bottom w:w="40" w:type="dxa"/>
              <w:right w:w="140" w:type="dxa"/>
            </w:tcMar>
            <w:vAlign w:val="bottom"/>
          </w:tcPr>
          <w:p w14:paraId="74DD7312" w14:textId="77777777" w:rsidR="00584EC1" w:rsidRDefault="00871F8D">
            <w:pPr>
              <w:jc w:val="right"/>
              <w:textAlignment w:val="bottom"/>
            </w:pPr>
            <w:r>
              <w:rPr>
                <w:rFonts w:ascii="Arial" w:eastAsia="宋体" w:hAnsi="Arial" w:cs="Arial"/>
                <w:color w:val="000000"/>
                <w:sz w:val="13"/>
                <w:szCs w:val="13"/>
              </w:rPr>
              <w:t>nm</w:t>
            </w:r>
          </w:p>
        </w:tc>
        <w:tc>
          <w:tcPr>
            <w:tcW w:w="0" w:type="auto"/>
            <w:gridSpan w:val="3"/>
            <w:shd w:val="clear" w:color="auto" w:fill="auto"/>
            <w:vAlign w:val="bottom"/>
          </w:tcPr>
          <w:p w14:paraId="74DD7313" w14:textId="77777777" w:rsidR="00584EC1" w:rsidRDefault="00584EC1">
            <w:pPr>
              <w:rPr>
                <w:rFonts w:ascii="宋体"/>
                <w:vanish/>
              </w:rPr>
            </w:pPr>
          </w:p>
        </w:tc>
        <w:tc>
          <w:tcPr>
            <w:tcW w:w="0" w:type="auto"/>
            <w:gridSpan w:val="3"/>
            <w:shd w:val="clear" w:color="auto" w:fill="auto"/>
            <w:vAlign w:val="bottom"/>
          </w:tcPr>
          <w:p w14:paraId="74DD7314" w14:textId="77777777" w:rsidR="00584EC1" w:rsidRDefault="00584EC1">
            <w:pPr>
              <w:rPr>
                <w:rFonts w:ascii="宋体"/>
                <w:vanish/>
              </w:rPr>
            </w:pPr>
          </w:p>
        </w:tc>
      </w:tr>
      <w:tr w:rsidR="00584EC1" w14:paraId="74DD7320" w14:textId="77777777">
        <w:tc>
          <w:tcPr>
            <w:tcW w:w="0" w:type="auto"/>
            <w:gridSpan w:val="3"/>
            <w:shd w:val="clear" w:color="auto" w:fill="FFFFFF"/>
            <w:tcMar>
              <w:top w:w="40" w:type="dxa"/>
              <w:left w:w="20" w:type="dxa"/>
              <w:bottom w:w="40" w:type="dxa"/>
              <w:right w:w="20" w:type="dxa"/>
            </w:tcMar>
            <w:vAlign w:val="bottom"/>
          </w:tcPr>
          <w:p w14:paraId="74DD7316" w14:textId="77777777" w:rsidR="00584EC1" w:rsidRDefault="00871F8D">
            <w:pPr>
              <w:textAlignment w:val="bottom"/>
            </w:pPr>
            <w:r>
              <w:rPr>
                <w:rFonts w:ascii="Arial" w:eastAsia="宋体" w:hAnsi="Arial" w:cs="Arial"/>
                <w:color w:val="000000"/>
                <w:sz w:val="13"/>
                <w:szCs w:val="13"/>
              </w:rPr>
              <w:t>Other:</w:t>
            </w:r>
          </w:p>
        </w:tc>
        <w:tc>
          <w:tcPr>
            <w:tcW w:w="0" w:type="auto"/>
            <w:gridSpan w:val="3"/>
            <w:shd w:val="clear" w:color="auto" w:fill="FFFFFF"/>
            <w:tcMar>
              <w:top w:w="0" w:type="dxa"/>
              <w:left w:w="20" w:type="dxa"/>
              <w:bottom w:w="0" w:type="dxa"/>
              <w:right w:w="20" w:type="dxa"/>
            </w:tcMar>
            <w:vAlign w:val="bottom"/>
          </w:tcPr>
          <w:p w14:paraId="74DD7317"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7318"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7319" w14:textId="77777777" w:rsidR="00584EC1" w:rsidRDefault="00584EC1">
            <w:pPr>
              <w:rPr>
                <w:rFonts w:ascii="宋体"/>
              </w:rPr>
            </w:pPr>
          </w:p>
        </w:tc>
        <w:tc>
          <w:tcPr>
            <w:tcW w:w="0" w:type="auto"/>
            <w:shd w:val="clear" w:color="auto" w:fill="auto"/>
            <w:vAlign w:val="bottom"/>
          </w:tcPr>
          <w:p w14:paraId="74DD731A" w14:textId="77777777" w:rsidR="00584EC1" w:rsidRDefault="00584EC1">
            <w:pPr>
              <w:rPr>
                <w:rFonts w:ascii="宋体"/>
                <w:vanish/>
              </w:rPr>
            </w:pPr>
          </w:p>
        </w:tc>
        <w:tc>
          <w:tcPr>
            <w:tcW w:w="0" w:type="auto"/>
            <w:shd w:val="clear" w:color="auto" w:fill="auto"/>
            <w:vAlign w:val="bottom"/>
          </w:tcPr>
          <w:p w14:paraId="74DD731B" w14:textId="77777777" w:rsidR="00584EC1" w:rsidRDefault="00584EC1">
            <w:pPr>
              <w:rPr>
                <w:rFonts w:ascii="宋体"/>
                <w:vanish/>
              </w:rPr>
            </w:pPr>
          </w:p>
        </w:tc>
        <w:tc>
          <w:tcPr>
            <w:tcW w:w="0" w:type="auto"/>
            <w:gridSpan w:val="3"/>
            <w:shd w:val="clear" w:color="auto" w:fill="FFFFFF"/>
            <w:tcMar>
              <w:top w:w="0" w:type="dxa"/>
              <w:left w:w="20" w:type="dxa"/>
              <w:bottom w:w="0" w:type="dxa"/>
              <w:right w:w="20" w:type="dxa"/>
            </w:tcMar>
            <w:vAlign w:val="bottom"/>
          </w:tcPr>
          <w:p w14:paraId="74DD731C"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731D" w14:textId="77777777" w:rsidR="00584EC1" w:rsidRDefault="00584EC1">
            <w:pPr>
              <w:rPr>
                <w:rFonts w:ascii="宋体"/>
              </w:rPr>
            </w:pPr>
          </w:p>
        </w:tc>
        <w:tc>
          <w:tcPr>
            <w:tcW w:w="0" w:type="auto"/>
            <w:gridSpan w:val="3"/>
            <w:shd w:val="clear" w:color="auto" w:fill="auto"/>
            <w:vAlign w:val="bottom"/>
          </w:tcPr>
          <w:p w14:paraId="74DD731E" w14:textId="77777777" w:rsidR="00584EC1" w:rsidRDefault="00584EC1">
            <w:pPr>
              <w:rPr>
                <w:rFonts w:ascii="宋体"/>
                <w:vanish/>
              </w:rPr>
            </w:pPr>
          </w:p>
        </w:tc>
        <w:tc>
          <w:tcPr>
            <w:tcW w:w="0" w:type="auto"/>
            <w:gridSpan w:val="3"/>
            <w:shd w:val="clear" w:color="auto" w:fill="auto"/>
            <w:vAlign w:val="bottom"/>
          </w:tcPr>
          <w:p w14:paraId="74DD731F" w14:textId="77777777" w:rsidR="00584EC1" w:rsidRDefault="00584EC1">
            <w:pPr>
              <w:rPr>
                <w:rFonts w:ascii="宋体"/>
                <w:vanish/>
              </w:rPr>
            </w:pPr>
          </w:p>
        </w:tc>
      </w:tr>
      <w:tr w:rsidR="00584EC1" w14:paraId="74DD732E" w14:textId="77777777">
        <w:tc>
          <w:tcPr>
            <w:tcW w:w="0" w:type="auto"/>
            <w:gridSpan w:val="3"/>
            <w:shd w:val="clear" w:color="auto" w:fill="CCEEFF"/>
            <w:tcMar>
              <w:top w:w="40" w:type="dxa"/>
              <w:left w:w="155" w:type="dxa"/>
              <w:bottom w:w="40" w:type="dxa"/>
              <w:right w:w="20" w:type="dxa"/>
            </w:tcMar>
            <w:vAlign w:val="bottom"/>
          </w:tcPr>
          <w:p w14:paraId="74DD7321" w14:textId="77777777" w:rsidR="00584EC1" w:rsidRDefault="00871F8D">
            <w:pPr>
              <w:textAlignment w:val="bottom"/>
            </w:pPr>
            <w:r>
              <w:rPr>
                <w:rFonts w:ascii="Arial" w:eastAsia="宋体" w:hAnsi="Arial" w:cs="Arial"/>
                <w:color w:val="000000"/>
                <w:sz w:val="13"/>
                <w:szCs w:val="13"/>
              </w:rPr>
              <w:t>Professional services</w:t>
            </w:r>
          </w:p>
        </w:tc>
        <w:tc>
          <w:tcPr>
            <w:tcW w:w="0" w:type="auto"/>
            <w:gridSpan w:val="2"/>
            <w:shd w:val="clear" w:color="auto" w:fill="CCEEFF"/>
            <w:tcMar>
              <w:top w:w="40" w:type="dxa"/>
              <w:left w:w="20" w:type="dxa"/>
              <w:bottom w:w="40" w:type="dxa"/>
              <w:right w:w="0" w:type="dxa"/>
            </w:tcMar>
            <w:vAlign w:val="bottom"/>
          </w:tcPr>
          <w:p w14:paraId="74DD7322" w14:textId="77777777" w:rsidR="00584EC1" w:rsidRDefault="00871F8D">
            <w:pPr>
              <w:jc w:val="right"/>
              <w:textAlignment w:val="bottom"/>
            </w:pPr>
            <w:r>
              <w:rPr>
                <w:rFonts w:ascii="Arial" w:eastAsia="宋体" w:hAnsi="Arial" w:cs="Arial"/>
                <w:b/>
                <w:bCs/>
                <w:color w:val="000000"/>
                <w:sz w:val="13"/>
                <w:szCs w:val="13"/>
              </w:rPr>
              <w:t>246</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732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324"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7325" w14:textId="77777777" w:rsidR="00584EC1" w:rsidRDefault="00871F8D">
            <w:pPr>
              <w:jc w:val="right"/>
              <w:textAlignment w:val="bottom"/>
            </w:pPr>
            <w:r>
              <w:rPr>
                <w:rFonts w:ascii="Arial" w:eastAsia="宋体" w:hAnsi="Arial" w:cs="Arial"/>
                <w:color w:val="000000"/>
                <w:sz w:val="13"/>
                <w:szCs w:val="13"/>
              </w:rPr>
              <w:t>261 </w:t>
            </w:r>
          </w:p>
        </w:tc>
        <w:tc>
          <w:tcPr>
            <w:tcW w:w="0" w:type="auto"/>
            <w:shd w:val="clear" w:color="auto" w:fill="CCEEFF"/>
            <w:tcMar>
              <w:top w:w="40" w:type="dxa"/>
              <w:left w:w="0" w:type="dxa"/>
              <w:bottom w:w="40" w:type="dxa"/>
              <w:right w:w="20" w:type="dxa"/>
            </w:tcMar>
            <w:vAlign w:val="bottom"/>
          </w:tcPr>
          <w:p w14:paraId="74DD7326" w14:textId="77777777" w:rsidR="00584EC1" w:rsidRDefault="00584EC1">
            <w:pPr>
              <w:jc w:val="right"/>
              <w:rPr>
                <w:rFonts w:ascii="宋体"/>
              </w:rPr>
            </w:pPr>
          </w:p>
        </w:tc>
        <w:tc>
          <w:tcPr>
            <w:tcW w:w="0" w:type="auto"/>
            <w:shd w:val="clear" w:color="auto" w:fill="auto"/>
            <w:vAlign w:val="bottom"/>
          </w:tcPr>
          <w:p w14:paraId="74DD7327" w14:textId="77777777" w:rsidR="00584EC1" w:rsidRDefault="00584EC1">
            <w:pPr>
              <w:rPr>
                <w:rFonts w:ascii="宋体"/>
                <w:vanish/>
              </w:rPr>
            </w:pPr>
          </w:p>
        </w:tc>
        <w:tc>
          <w:tcPr>
            <w:tcW w:w="0" w:type="auto"/>
            <w:shd w:val="clear" w:color="auto" w:fill="auto"/>
            <w:vAlign w:val="bottom"/>
          </w:tcPr>
          <w:p w14:paraId="74DD7328" w14:textId="77777777" w:rsidR="00584EC1" w:rsidRDefault="00584EC1">
            <w:pPr>
              <w:rPr>
                <w:rFonts w:ascii="宋体"/>
                <w:vanish/>
              </w:rPr>
            </w:pPr>
          </w:p>
        </w:tc>
        <w:tc>
          <w:tcPr>
            <w:tcW w:w="0" w:type="auto"/>
            <w:gridSpan w:val="3"/>
            <w:shd w:val="clear" w:color="auto" w:fill="CCEEFF"/>
            <w:tcMar>
              <w:top w:w="0" w:type="dxa"/>
              <w:left w:w="20" w:type="dxa"/>
              <w:bottom w:w="0" w:type="dxa"/>
              <w:right w:w="20" w:type="dxa"/>
            </w:tcMar>
            <w:vAlign w:val="bottom"/>
          </w:tcPr>
          <w:p w14:paraId="74DD732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732A" w14:textId="77777777" w:rsidR="00584EC1" w:rsidRDefault="00871F8D">
            <w:pPr>
              <w:jc w:val="right"/>
              <w:textAlignment w:val="bottom"/>
            </w:pPr>
            <w:r>
              <w:rPr>
                <w:rFonts w:ascii="Arial" w:eastAsia="宋体" w:hAnsi="Arial" w:cs="Arial"/>
                <w:color w:val="000000"/>
                <w:sz w:val="13"/>
                <w:szCs w:val="13"/>
              </w:rPr>
              <w:t>(6)</w:t>
            </w:r>
          </w:p>
        </w:tc>
        <w:tc>
          <w:tcPr>
            <w:tcW w:w="0" w:type="auto"/>
            <w:shd w:val="clear" w:color="auto" w:fill="CCEEFF"/>
            <w:tcMar>
              <w:top w:w="40" w:type="dxa"/>
              <w:left w:w="0" w:type="dxa"/>
              <w:bottom w:w="40" w:type="dxa"/>
              <w:right w:w="20" w:type="dxa"/>
            </w:tcMar>
            <w:vAlign w:val="bottom"/>
          </w:tcPr>
          <w:p w14:paraId="74DD732B" w14:textId="77777777" w:rsidR="00584EC1" w:rsidRDefault="00584EC1">
            <w:pPr>
              <w:jc w:val="right"/>
              <w:rPr>
                <w:rFonts w:ascii="宋体"/>
              </w:rPr>
            </w:pPr>
          </w:p>
        </w:tc>
        <w:tc>
          <w:tcPr>
            <w:tcW w:w="0" w:type="auto"/>
            <w:gridSpan w:val="3"/>
            <w:shd w:val="clear" w:color="auto" w:fill="auto"/>
            <w:vAlign w:val="bottom"/>
          </w:tcPr>
          <w:p w14:paraId="74DD732C" w14:textId="77777777" w:rsidR="00584EC1" w:rsidRDefault="00584EC1">
            <w:pPr>
              <w:rPr>
                <w:rFonts w:ascii="宋体"/>
                <w:vanish/>
              </w:rPr>
            </w:pPr>
          </w:p>
        </w:tc>
        <w:tc>
          <w:tcPr>
            <w:tcW w:w="0" w:type="auto"/>
            <w:gridSpan w:val="3"/>
            <w:shd w:val="clear" w:color="auto" w:fill="auto"/>
            <w:vAlign w:val="bottom"/>
          </w:tcPr>
          <w:p w14:paraId="74DD732D" w14:textId="77777777" w:rsidR="00584EC1" w:rsidRDefault="00584EC1">
            <w:pPr>
              <w:rPr>
                <w:rFonts w:ascii="宋体"/>
                <w:vanish/>
              </w:rPr>
            </w:pPr>
          </w:p>
        </w:tc>
      </w:tr>
      <w:tr w:rsidR="00584EC1" w14:paraId="74DD733C" w14:textId="77777777">
        <w:tc>
          <w:tcPr>
            <w:tcW w:w="0" w:type="auto"/>
            <w:gridSpan w:val="3"/>
            <w:shd w:val="clear" w:color="auto" w:fill="FFFFFF"/>
            <w:tcMar>
              <w:top w:w="40" w:type="dxa"/>
              <w:left w:w="155" w:type="dxa"/>
              <w:bottom w:w="40" w:type="dxa"/>
              <w:right w:w="20" w:type="dxa"/>
            </w:tcMar>
            <w:vAlign w:val="bottom"/>
          </w:tcPr>
          <w:p w14:paraId="74DD732F" w14:textId="77777777" w:rsidR="00584EC1" w:rsidRDefault="00871F8D">
            <w:pPr>
              <w:textAlignment w:val="bottom"/>
            </w:pPr>
            <w:r>
              <w:rPr>
                <w:rFonts w:ascii="Arial" w:eastAsia="宋体" w:hAnsi="Arial" w:cs="Arial"/>
                <w:color w:val="000000"/>
                <w:sz w:val="13"/>
                <w:szCs w:val="13"/>
              </w:rPr>
              <w:t>Other</w:t>
            </w:r>
          </w:p>
        </w:tc>
        <w:tc>
          <w:tcPr>
            <w:tcW w:w="0" w:type="auto"/>
            <w:gridSpan w:val="2"/>
            <w:shd w:val="clear" w:color="auto" w:fill="FFFFFF"/>
            <w:tcMar>
              <w:top w:w="40" w:type="dxa"/>
              <w:left w:w="20" w:type="dxa"/>
              <w:bottom w:w="40" w:type="dxa"/>
              <w:right w:w="0" w:type="dxa"/>
            </w:tcMar>
            <w:vAlign w:val="bottom"/>
          </w:tcPr>
          <w:p w14:paraId="74DD7330" w14:textId="77777777" w:rsidR="00584EC1" w:rsidRDefault="00871F8D">
            <w:pPr>
              <w:jc w:val="right"/>
              <w:textAlignment w:val="bottom"/>
            </w:pPr>
            <w:r>
              <w:rPr>
                <w:rFonts w:ascii="Arial" w:eastAsia="宋体" w:hAnsi="Arial" w:cs="Arial"/>
                <w:b/>
                <w:bCs/>
                <w:color w:val="000000"/>
                <w:sz w:val="13"/>
                <w:szCs w:val="13"/>
              </w:rPr>
              <w:t>39</w:t>
            </w:r>
            <w:r>
              <w:rPr>
                <w:rFonts w:ascii="Arial" w:eastAsia="宋体" w:hAnsi="Arial" w:cs="Arial"/>
                <w:b/>
                <w:bCs/>
                <w:color w:val="000000"/>
                <w:sz w:val="13"/>
                <w:szCs w:val="13"/>
              </w:rPr>
              <w:t>6</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733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33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333" w14:textId="77777777" w:rsidR="00584EC1" w:rsidRDefault="00871F8D">
            <w:pPr>
              <w:jc w:val="right"/>
              <w:textAlignment w:val="bottom"/>
            </w:pPr>
            <w:r>
              <w:rPr>
                <w:rFonts w:ascii="Arial" w:eastAsia="宋体" w:hAnsi="Arial" w:cs="Arial"/>
                <w:color w:val="000000"/>
                <w:sz w:val="13"/>
                <w:szCs w:val="13"/>
              </w:rPr>
              <w:t>441 </w:t>
            </w:r>
          </w:p>
        </w:tc>
        <w:tc>
          <w:tcPr>
            <w:tcW w:w="0" w:type="auto"/>
            <w:shd w:val="clear" w:color="auto" w:fill="FFFFFF"/>
            <w:tcMar>
              <w:top w:w="40" w:type="dxa"/>
              <w:left w:w="0" w:type="dxa"/>
              <w:bottom w:w="40" w:type="dxa"/>
              <w:right w:w="20" w:type="dxa"/>
            </w:tcMar>
            <w:vAlign w:val="bottom"/>
          </w:tcPr>
          <w:p w14:paraId="74DD7334" w14:textId="77777777" w:rsidR="00584EC1" w:rsidRDefault="00584EC1">
            <w:pPr>
              <w:jc w:val="right"/>
              <w:rPr>
                <w:rFonts w:ascii="宋体"/>
              </w:rPr>
            </w:pPr>
          </w:p>
        </w:tc>
        <w:tc>
          <w:tcPr>
            <w:tcW w:w="0" w:type="auto"/>
            <w:shd w:val="clear" w:color="auto" w:fill="auto"/>
            <w:vAlign w:val="bottom"/>
          </w:tcPr>
          <w:p w14:paraId="74DD7335" w14:textId="77777777" w:rsidR="00584EC1" w:rsidRDefault="00584EC1">
            <w:pPr>
              <w:rPr>
                <w:rFonts w:ascii="宋体"/>
                <w:vanish/>
              </w:rPr>
            </w:pPr>
          </w:p>
        </w:tc>
        <w:tc>
          <w:tcPr>
            <w:tcW w:w="0" w:type="auto"/>
            <w:shd w:val="clear" w:color="auto" w:fill="auto"/>
            <w:vAlign w:val="bottom"/>
          </w:tcPr>
          <w:p w14:paraId="74DD7336" w14:textId="77777777" w:rsidR="00584EC1" w:rsidRDefault="00584EC1">
            <w:pPr>
              <w:rPr>
                <w:rFonts w:ascii="宋体"/>
                <w:vanish/>
              </w:rPr>
            </w:pPr>
          </w:p>
        </w:tc>
        <w:tc>
          <w:tcPr>
            <w:tcW w:w="0" w:type="auto"/>
            <w:gridSpan w:val="3"/>
            <w:shd w:val="clear" w:color="auto" w:fill="FFFFFF"/>
            <w:tcMar>
              <w:top w:w="0" w:type="dxa"/>
              <w:left w:w="20" w:type="dxa"/>
              <w:bottom w:w="0" w:type="dxa"/>
              <w:right w:w="20" w:type="dxa"/>
            </w:tcMar>
            <w:vAlign w:val="bottom"/>
          </w:tcPr>
          <w:p w14:paraId="74DD733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338" w14:textId="77777777" w:rsidR="00584EC1" w:rsidRDefault="00871F8D">
            <w:pPr>
              <w:jc w:val="right"/>
              <w:textAlignment w:val="bottom"/>
            </w:pPr>
            <w:r>
              <w:rPr>
                <w:rFonts w:ascii="Arial" w:eastAsia="宋体" w:hAnsi="Arial" w:cs="Arial"/>
                <w:color w:val="000000"/>
                <w:sz w:val="13"/>
                <w:szCs w:val="13"/>
              </w:rPr>
              <w:t>(10)</w:t>
            </w:r>
          </w:p>
        </w:tc>
        <w:tc>
          <w:tcPr>
            <w:tcW w:w="0" w:type="auto"/>
            <w:shd w:val="clear" w:color="auto" w:fill="FFFFFF"/>
            <w:tcMar>
              <w:top w:w="40" w:type="dxa"/>
              <w:left w:w="0" w:type="dxa"/>
              <w:bottom w:w="40" w:type="dxa"/>
              <w:right w:w="20" w:type="dxa"/>
            </w:tcMar>
            <w:vAlign w:val="bottom"/>
          </w:tcPr>
          <w:p w14:paraId="74DD7339" w14:textId="77777777" w:rsidR="00584EC1" w:rsidRDefault="00584EC1">
            <w:pPr>
              <w:jc w:val="right"/>
              <w:rPr>
                <w:rFonts w:ascii="宋体"/>
              </w:rPr>
            </w:pPr>
          </w:p>
        </w:tc>
        <w:tc>
          <w:tcPr>
            <w:tcW w:w="0" w:type="auto"/>
            <w:gridSpan w:val="3"/>
            <w:shd w:val="clear" w:color="auto" w:fill="auto"/>
            <w:vAlign w:val="bottom"/>
          </w:tcPr>
          <w:p w14:paraId="74DD733A" w14:textId="77777777" w:rsidR="00584EC1" w:rsidRDefault="00584EC1">
            <w:pPr>
              <w:rPr>
                <w:rFonts w:ascii="宋体"/>
                <w:vanish/>
              </w:rPr>
            </w:pPr>
          </w:p>
        </w:tc>
        <w:tc>
          <w:tcPr>
            <w:tcW w:w="0" w:type="auto"/>
            <w:gridSpan w:val="3"/>
            <w:shd w:val="clear" w:color="auto" w:fill="auto"/>
            <w:vAlign w:val="bottom"/>
          </w:tcPr>
          <w:p w14:paraId="74DD733B" w14:textId="77777777" w:rsidR="00584EC1" w:rsidRDefault="00584EC1">
            <w:pPr>
              <w:rPr>
                <w:rFonts w:ascii="宋体"/>
                <w:vanish/>
              </w:rPr>
            </w:pPr>
          </w:p>
        </w:tc>
      </w:tr>
      <w:tr w:rsidR="00584EC1" w14:paraId="74DD734A" w14:textId="77777777">
        <w:tc>
          <w:tcPr>
            <w:tcW w:w="0" w:type="auto"/>
            <w:gridSpan w:val="3"/>
            <w:shd w:val="clear" w:color="auto" w:fill="CCEEFF"/>
            <w:tcMar>
              <w:top w:w="40" w:type="dxa"/>
              <w:left w:w="20" w:type="dxa"/>
              <w:bottom w:w="40" w:type="dxa"/>
              <w:right w:w="20" w:type="dxa"/>
            </w:tcMar>
            <w:vAlign w:val="bottom"/>
          </w:tcPr>
          <w:p w14:paraId="74DD733D" w14:textId="77777777" w:rsidR="00584EC1" w:rsidRDefault="00871F8D">
            <w:pPr>
              <w:textAlignment w:val="bottom"/>
            </w:pPr>
            <w:r>
              <w:rPr>
                <w:rFonts w:ascii="Arial" w:eastAsia="宋体" w:hAnsi="Arial" w:cs="Arial"/>
                <w:color w:val="000000"/>
                <w:sz w:val="13"/>
                <w:szCs w:val="13"/>
              </w:rPr>
              <w:t>Total ot</w:t>
            </w:r>
            <w:r>
              <w:rPr>
                <w:rFonts w:ascii="Arial" w:eastAsia="宋体" w:hAnsi="Arial" w:cs="Arial"/>
                <w:color w:val="000000"/>
                <w:sz w:val="13"/>
                <w:szCs w:val="13"/>
              </w:rPr>
              <w:t>her</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733E" w14:textId="77777777" w:rsidR="00584EC1" w:rsidRDefault="00871F8D">
            <w:pPr>
              <w:jc w:val="right"/>
              <w:textAlignment w:val="bottom"/>
            </w:pPr>
            <w:r>
              <w:rPr>
                <w:rFonts w:ascii="Arial" w:eastAsia="宋体" w:hAnsi="Arial" w:cs="Arial"/>
                <w:b/>
                <w:bCs/>
                <w:color w:val="000000"/>
                <w:sz w:val="13"/>
                <w:szCs w:val="13"/>
              </w:rPr>
              <w:t>642</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33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340"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7341" w14:textId="77777777" w:rsidR="00584EC1" w:rsidRDefault="00871F8D">
            <w:pPr>
              <w:jc w:val="right"/>
              <w:textAlignment w:val="bottom"/>
            </w:pPr>
            <w:r>
              <w:rPr>
                <w:rFonts w:ascii="Arial" w:eastAsia="宋体" w:hAnsi="Arial" w:cs="Arial"/>
                <w:color w:val="000000"/>
                <w:sz w:val="13"/>
                <w:szCs w:val="13"/>
              </w:rPr>
              <w:t>702 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342" w14:textId="77777777" w:rsidR="00584EC1" w:rsidRDefault="00584EC1">
            <w:pPr>
              <w:jc w:val="right"/>
              <w:rPr>
                <w:rFonts w:ascii="宋体"/>
              </w:rPr>
            </w:pPr>
          </w:p>
        </w:tc>
        <w:tc>
          <w:tcPr>
            <w:tcW w:w="0" w:type="auto"/>
            <w:shd w:val="clear" w:color="auto" w:fill="auto"/>
            <w:vAlign w:val="bottom"/>
          </w:tcPr>
          <w:p w14:paraId="74DD7343" w14:textId="77777777" w:rsidR="00584EC1" w:rsidRDefault="00584EC1">
            <w:pPr>
              <w:rPr>
                <w:rFonts w:ascii="宋体"/>
                <w:vanish/>
              </w:rPr>
            </w:pPr>
          </w:p>
        </w:tc>
        <w:tc>
          <w:tcPr>
            <w:tcW w:w="0" w:type="auto"/>
            <w:shd w:val="clear" w:color="auto" w:fill="auto"/>
            <w:vAlign w:val="bottom"/>
          </w:tcPr>
          <w:p w14:paraId="74DD7344" w14:textId="77777777" w:rsidR="00584EC1" w:rsidRDefault="00584EC1">
            <w:pPr>
              <w:rPr>
                <w:rFonts w:ascii="宋体"/>
                <w:vanish/>
              </w:rPr>
            </w:pPr>
          </w:p>
        </w:tc>
        <w:tc>
          <w:tcPr>
            <w:tcW w:w="0" w:type="auto"/>
            <w:gridSpan w:val="3"/>
            <w:shd w:val="clear" w:color="auto" w:fill="CCEEFF"/>
            <w:tcMar>
              <w:top w:w="0" w:type="dxa"/>
              <w:left w:w="20" w:type="dxa"/>
              <w:bottom w:w="0" w:type="dxa"/>
              <w:right w:w="20" w:type="dxa"/>
            </w:tcMar>
            <w:vAlign w:val="bottom"/>
          </w:tcPr>
          <w:p w14:paraId="74DD734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7346" w14:textId="77777777" w:rsidR="00584EC1" w:rsidRDefault="00871F8D">
            <w:pPr>
              <w:jc w:val="right"/>
              <w:textAlignment w:val="bottom"/>
            </w:pPr>
            <w:r>
              <w:rPr>
                <w:rFonts w:ascii="Arial" w:eastAsia="宋体" w:hAnsi="Arial" w:cs="Arial"/>
                <w:color w:val="000000"/>
                <w:sz w:val="13"/>
                <w:szCs w:val="13"/>
              </w:rPr>
              <w:t>(9)</w:t>
            </w:r>
          </w:p>
        </w:tc>
        <w:tc>
          <w:tcPr>
            <w:tcW w:w="0" w:type="auto"/>
            <w:shd w:val="clear" w:color="auto" w:fill="CCEEFF"/>
            <w:tcMar>
              <w:top w:w="40" w:type="dxa"/>
              <w:left w:w="0" w:type="dxa"/>
              <w:bottom w:w="40" w:type="dxa"/>
              <w:right w:w="20" w:type="dxa"/>
            </w:tcMar>
            <w:vAlign w:val="bottom"/>
          </w:tcPr>
          <w:p w14:paraId="74DD7347" w14:textId="77777777" w:rsidR="00584EC1" w:rsidRDefault="00584EC1">
            <w:pPr>
              <w:jc w:val="right"/>
              <w:rPr>
                <w:rFonts w:ascii="宋体"/>
              </w:rPr>
            </w:pPr>
          </w:p>
        </w:tc>
        <w:tc>
          <w:tcPr>
            <w:tcW w:w="0" w:type="auto"/>
            <w:gridSpan w:val="3"/>
            <w:shd w:val="clear" w:color="auto" w:fill="auto"/>
            <w:vAlign w:val="bottom"/>
          </w:tcPr>
          <w:p w14:paraId="74DD7348" w14:textId="77777777" w:rsidR="00584EC1" w:rsidRDefault="00584EC1">
            <w:pPr>
              <w:rPr>
                <w:rFonts w:ascii="宋体"/>
                <w:vanish/>
              </w:rPr>
            </w:pPr>
          </w:p>
        </w:tc>
        <w:tc>
          <w:tcPr>
            <w:tcW w:w="0" w:type="auto"/>
            <w:gridSpan w:val="3"/>
            <w:shd w:val="clear" w:color="auto" w:fill="auto"/>
            <w:vAlign w:val="bottom"/>
          </w:tcPr>
          <w:p w14:paraId="74DD7349" w14:textId="77777777" w:rsidR="00584EC1" w:rsidRDefault="00584EC1">
            <w:pPr>
              <w:rPr>
                <w:rFonts w:ascii="宋体"/>
                <w:vanish/>
              </w:rPr>
            </w:pPr>
          </w:p>
        </w:tc>
      </w:tr>
      <w:tr w:rsidR="00584EC1" w14:paraId="74DD735A" w14:textId="77777777">
        <w:tc>
          <w:tcPr>
            <w:tcW w:w="0" w:type="auto"/>
            <w:gridSpan w:val="3"/>
            <w:shd w:val="clear" w:color="auto" w:fill="FFFFFF"/>
            <w:tcMar>
              <w:top w:w="40" w:type="dxa"/>
              <w:left w:w="20" w:type="dxa"/>
              <w:bottom w:w="40" w:type="dxa"/>
              <w:right w:w="20" w:type="dxa"/>
            </w:tcMar>
            <w:vAlign w:val="bottom"/>
          </w:tcPr>
          <w:p w14:paraId="74DD734B" w14:textId="77777777" w:rsidR="00584EC1" w:rsidRDefault="00871F8D">
            <w:pPr>
              <w:textAlignment w:val="bottom"/>
            </w:pPr>
            <w:r>
              <w:rPr>
                <w:rFonts w:ascii="Arial" w:eastAsia="宋体" w:hAnsi="Arial" w:cs="Arial"/>
                <w:color w:val="000000"/>
                <w:sz w:val="13"/>
                <w:szCs w:val="13"/>
              </w:rPr>
              <w:t>Total expenses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734C" w14:textId="77777777" w:rsidR="00584EC1" w:rsidRDefault="00871F8D">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734D" w14:textId="77777777" w:rsidR="00584EC1" w:rsidRDefault="00871F8D">
            <w:pPr>
              <w:jc w:val="right"/>
              <w:textAlignment w:val="bottom"/>
            </w:pPr>
            <w:r>
              <w:rPr>
                <w:rFonts w:ascii="Arial" w:eastAsia="宋体" w:hAnsi="Arial" w:cs="Arial"/>
                <w:b/>
                <w:bCs/>
                <w:color w:val="000000"/>
                <w:sz w:val="13"/>
                <w:szCs w:val="13"/>
              </w:rPr>
              <w:t>6,559</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734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34F"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7350" w14:textId="77777777" w:rsidR="00584EC1" w:rsidRDefault="00871F8D">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7351" w14:textId="77777777" w:rsidR="00584EC1" w:rsidRDefault="00871F8D">
            <w:pPr>
              <w:jc w:val="right"/>
              <w:textAlignment w:val="bottom"/>
            </w:pPr>
            <w:r>
              <w:rPr>
                <w:rFonts w:ascii="Arial" w:eastAsia="宋体" w:hAnsi="Arial" w:cs="Arial"/>
                <w:color w:val="000000"/>
                <w:sz w:val="13"/>
                <w:szCs w:val="13"/>
              </w:rPr>
              <w:t>6,440 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7352" w14:textId="77777777" w:rsidR="00584EC1" w:rsidRDefault="00584EC1">
            <w:pPr>
              <w:jc w:val="right"/>
              <w:rPr>
                <w:rFonts w:ascii="宋体"/>
              </w:rPr>
            </w:pPr>
          </w:p>
        </w:tc>
        <w:tc>
          <w:tcPr>
            <w:tcW w:w="0" w:type="auto"/>
            <w:shd w:val="clear" w:color="auto" w:fill="auto"/>
            <w:vAlign w:val="bottom"/>
          </w:tcPr>
          <w:p w14:paraId="74DD7353" w14:textId="77777777" w:rsidR="00584EC1" w:rsidRDefault="00584EC1">
            <w:pPr>
              <w:rPr>
                <w:rFonts w:ascii="宋体"/>
                <w:vanish/>
              </w:rPr>
            </w:pPr>
          </w:p>
        </w:tc>
        <w:tc>
          <w:tcPr>
            <w:tcW w:w="0" w:type="auto"/>
            <w:shd w:val="clear" w:color="auto" w:fill="auto"/>
            <w:vAlign w:val="bottom"/>
          </w:tcPr>
          <w:p w14:paraId="74DD7354" w14:textId="77777777" w:rsidR="00584EC1" w:rsidRDefault="00584EC1">
            <w:pPr>
              <w:rPr>
                <w:rFonts w:ascii="宋体"/>
                <w:vanish/>
              </w:rPr>
            </w:pPr>
          </w:p>
        </w:tc>
        <w:tc>
          <w:tcPr>
            <w:tcW w:w="0" w:type="auto"/>
            <w:gridSpan w:val="3"/>
            <w:shd w:val="clear" w:color="auto" w:fill="FFFFFF"/>
            <w:tcMar>
              <w:top w:w="0" w:type="dxa"/>
              <w:left w:w="20" w:type="dxa"/>
              <w:bottom w:w="0" w:type="dxa"/>
              <w:right w:w="20" w:type="dxa"/>
            </w:tcMar>
            <w:vAlign w:val="bottom"/>
          </w:tcPr>
          <w:p w14:paraId="74DD7355"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356" w14:textId="77777777" w:rsidR="00584EC1" w:rsidRDefault="00871F8D">
            <w:pPr>
              <w:jc w:val="right"/>
              <w:textAlignment w:val="bottom"/>
            </w:pPr>
            <w:r>
              <w:rPr>
                <w:rFonts w:ascii="Arial" w:eastAsia="宋体" w:hAnsi="Arial" w:cs="Arial"/>
                <w:color w:val="000000"/>
                <w:sz w:val="13"/>
                <w:szCs w:val="13"/>
              </w:rPr>
              <w:t>2 </w:t>
            </w:r>
          </w:p>
        </w:tc>
        <w:tc>
          <w:tcPr>
            <w:tcW w:w="0" w:type="auto"/>
            <w:shd w:val="clear" w:color="auto" w:fill="FFFFFF"/>
            <w:tcMar>
              <w:top w:w="40" w:type="dxa"/>
              <w:left w:w="0" w:type="dxa"/>
              <w:bottom w:w="40" w:type="dxa"/>
              <w:right w:w="20" w:type="dxa"/>
            </w:tcMar>
            <w:vAlign w:val="bottom"/>
          </w:tcPr>
          <w:p w14:paraId="74DD7357" w14:textId="77777777" w:rsidR="00584EC1" w:rsidRDefault="00584EC1">
            <w:pPr>
              <w:jc w:val="right"/>
              <w:rPr>
                <w:rFonts w:ascii="宋体"/>
              </w:rPr>
            </w:pPr>
          </w:p>
        </w:tc>
        <w:tc>
          <w:tcPr>
            <w:tcW w:w="0" w:type="auto"/>
            <w:gridSpan w:val="3"/>
            <w:shd w:val="clear" w:color="auto" w:fill="auto"/>
            <w:vAlign w:val="bottom"/>
          </w:tcPr>
          <w:p w14:paraId="74DD7358" w14:textId="77777777" w:rsidR="00584EC1" w:rsidRDefault="00584EC1">
            <w:pPr>
              <w:rPr>
                <w:rFonts w:ascii="宋体"/>
                <w:vanish/>
              </w:rPr>
            </w:pPr>
          </w:p>
        </w:tc>
        <w:tc>
          <w:tcPr>
            <w:tcW w:w="0" w:type="auto"/>
            <w:gridSpan w:val="3"/>
            <w:shd w:val="clear" w:color="auto" w:fill="auto"/>
            <w:vAlign w:val="bottom"/>
          </w:tcPr>
          <w:p w14:paraId="74DD7359" w14:textId="77777777" w:rsidR="00584EC1" w:rsidRDefault="00584EC1">
            <w:pPr>
              <w:rPr>
                <w:rFonts w:ascii="宋体"/>
                <w:vanish/>
              </w:rPr>
            </w:pPr>
          </w:p>
        </w:tc>
      </w:tr>
      <w:tr w:rsidR="00584EC1" w14:paraId="74DD7365" w14:textId="77777777">
        <w:trPr>
          <w:hidden/>
        </w:trPr>
        <w:tc>
          <w:tcPr>
            <w:tcW w:w="0" w:type="auto"/>
            <w:gridSpan w:val="3"/>
            <w:shd w:val="clear" w:color="auto" w:fill="auto"/>
            <w:vAlign w:val="bottom"/>
          </w:tcPr>
          <w:p w14:paraId="74DD735B" w14:textId="77777777" w:rsidR="00584EC1" w:rsidRDefault="00584EC1">
            <w:pPr>
              <w:rPr>
                <w:rFonts w:ascii="宋体"/>
                <w:vanish/>
              </w:rPr>
            </w:pPr>
          </w:p>
        </w:tc>
        <w:tc>
          <w:tcPr>
            <w:tcW w:w="0" w:type="auto"/>
            <w:gridSpan w:val="3"/>
            <w:shd w:val="clear" w:color="auto" w:fill="auto"/>
            <w:vAlign w:val="bottom"/>
          </w:tcPr>
          <w:p w14:paraId="74DD735C" w14:textId="77777777" w:rsidR="00584EC1" w:rsidRDefault="00584EC1">
            <w:pPr>
              <w:rPr>
                <w:rFonts w:ascii="宋体"/>
                <w:vanish/>
              </w:rPr>
            </w:pPr>
          </w:p>
        </w:tc>
        <w:tc>
          <w:tcPr>
            <w:tcW w:w="0" w:type="auto"/>
            <w:gridSpan w:val="3"/>
            <w:shd w:val="clear" w:color="auto" w:fill="auto"/>
            <w:vAlign w:val="bottom"/>
          </w:tcPr>
          <w:p w14:paraId="74DD735D" w14:textId="77777777" w:rsidR="00584EC1" w:rsidRDefault="00584EC1">
            <w:pPr>
              <w:rPr>
                <w:rFonts w:ascii="宋体"/>
                <w:vanish/>
              </w:rPr>
            </w:pPr>
          </w:p>
        </w:tc>
        <w:tc>
          <w:tcPr>
            <w:tcW w:w="0" w:type="auto"/>
            <w:gridSpan w:val="3"/>
            <w:shd w:val="clear" w:color="auto" w:fill="auto"/>
            <w:vAlign w:val="bottom"/>
          </w:tcPr>
          <w:p w14:paraId="74DD735E" w14:textId="77777777" w:rsidR="00584EC1" w:rsidRDefault="00584EC1">
            <w:pPr>
              <w:rPr>
                <w:rFonts w:ascii="宋体"/>
                <w:vanish/>
              </w:rPr>
            </w:pPr>
          </w:p>
        </w:tc>
        <w:tc>
          <w:tcPr>
            <w:tcW w:w="0" w:type="auto"/>
            <w:shd w:val="clear" w:color="auto" w:fill="auto"/>
            <w:vAlign w:val="bottom"/>
          </w:tcPr>
          <w:p w14:paraId="74DD735F" w14:textId="77777777" w:rsidR="00584EC1" w:rsidRDefault="00584EC1">
            <w:pPr>
              <w:rPr>
                <w:rFonts w:ascii="宋体"/>
                <w:vanish/>
              </w:rPr>
            </w:pPr>
          </w:p>
        </w:tc>
        <w:tc>
          <w:tcPr>
            <w:tcW w:w="0" w:type="auto"/>
            <w:shd w:val="clear" w:color="auto" w:fill="auto"/>
            <w:vAlign w:val="bottom"/>
          </w:tcPr>
          <w:p w14:paraId="74DD7360" w14:textId="77777777" w:rsidR="00584EC1" w:rsidRDefault="00584EC1">
            <w:pPr>
              <w:rPr>
                <w:rFonts w:ascii="宋体"/>
                <w:vanish/>
              </w:rPr>
            </w:pPr>
          </w:p>
        </w:tc>
        <w:tc>
          <w:tcPr>
            <w:tcW w:w="0" w:type="auto"/>
            <w:gridSpan w:val="3"/>
            <w:shd w:val="clear" w:color="auto" w:fill="auto"/>
            <w:vAlign w:val="bottom"/>
          </w:tcPr>
          <w:p w14:paraId="74DD7361" w14:textId="77777777" w:rsidR="00584EC1" w:rsidRDefault="00584EC1">
            <w:pPr>
              <w:rPr>
                <w:rFonts w:ascii="宋体"/>
                <w:vanish/>
              </w:rPr>
            </w:pPr>
          </w:p>
        </w:tc>
        <w:tc>
          <w:tcPr>
            <w:tcW w:w="0" w:type="auto"/>
            <w:gridSpan w:val="3"/>
            <w:shd w:val="clear" w:color="auto" w:fill="auto"/>
            <w:vAlign w:val="bottom"/>
          </w:tcPr>
          <w:p w14:paraId="74DD7362" w14:textId="77777777" w:rsidR="00584EC1" w:rsidRDefault="00584EC1">
            <w:pPr>
              <w:rPr>
                <w:rFonts w:ascii="宋体"/>
                <w:vanish/>
              </w:rPr>
            </w:pPr>
          </w:p>
        </w:tc>
        <w:tc>
          <w:tcPr>
            <w:tcW w:w="0" w:type="auto"/>
            <w:gridSpan w:val="3"/>
            <w:shd w:val="clear" w:color="auto" w:fill="auto"/>
            <w:vAlign w:val="bottom"/>
          </w:tcPr>
          <w:p w14:paraId="74DD7363" w14:textId="77777777" w:rsidR="00584EC1" w:rsidRDefault="00584EC1">
            <w:pPr>
              <w:rPr>
                <w:rFonts w:ascii="宋体"/>
                <w:vanish/>
              </w:rPr>
            </w:pPr>
          </w:p>
        </w:tc>
        <w:tc>
          <w:tcPr>
            <w:tcW w:w="0" w:type="auto"/>
            <w:gridSpan w:val="3"/>
            <w:shd w:val="clear" w:color="auto" w:fill="auto"/>
            <w:vAlign w:val="bottom"/>
          </w:tcPr>
          <w:p w14:paraId="74DD7364" w14:textId="77777777" w:rsidR="00584EC1" w:rsidRDefault="00584EC1">
            <w:pPr>
              <w:rPr>
                <w:rFonts w:ascii="宋体"/>
                <w:vanish/>
              </w:rPr>
            </w:pPr>
          </w:p>
        </w:tc>
      </w:tr>
    </w:tbl>
    <w:p w14:paraId="74DD7366" w14:textId="77777777" w:rsidR="00584EC1" w:rsidRDefault="00871F8D">
      <w:pPr>
        <w:ind w:firstLine="450"/>
        <w:jc w:val="right"/>
      </w:pPr>
      <w:r>
        <w:rPr>
          <w:rFonts w:ascii="Arial" w:eastAsia="宋体" w:hAnsi="Arial" w:cs="Arial"/>
          <w:color w:val="000000"/>
          <w:sz w:val="18"/>
          <w:szCs w:val="18"/>
        </w:rPr>
        <w:t>State Street Corporation | 17</w:t>
      </w:r>
    </w:p>
    <w:p w14:paraId="74DD7367" w14:textId="77777777" w:rsidR="00584EC1" w:rsidRDefault="00584EC1">
      <w:pPr>
        <w:ind w:firstLine="450"/>
        <w:jc w:val="center"/>
      </w:pPr>
    </w:p>
    <w:p w14:paraId="74DD7368" w14:textId="77777777" w:rsidR="00584EC1" w:rsidRDefault="00871F8D">
      <w:r>
        <w:pict w14:anchorId="74DE29FF">
          <v:rect id="_x0000_i1041" style="width:415.3pt;height:1.5pt" o:hralign="center" o:hrstd="t" o:hr="t" fillcolor="#a0a0a0" stroked="f"/>
        </w:pict>
      </w:r>
    </w:p>
    <w:p w14:paraId="74DD7369" w14:textId="77777777" w:rsidR="00584EC1" w:rsidRDefault="00871F8D">
      <w:pPr>
        <w:ind w:firstLine="450"/>
        <w:jc w:val="center"/>
      </w:pPr>
      <w:r>
        <w:rPr>
          <w:rFonts w:ascii="Arial" w:eastAsia="宋体" w:hAnsi="Arial" w:cs="Arial"/>
          <w:b/>
          <w:bCs/>
          <w:color w:val="000000"/>
          <w:sz w:val="20"/>
          <w:szCs w:val="20"/>
        </w:rPr>
        <w:t>MANAGEMENT’S DISCUSSION AND ANALYSIS OF FINANCIAL CONDITION</w:t>
      </w:r>
    </w:p>
    <w:p w14:paraId="74DD736A" w14:textId="77777777" w:rsidR="00584EC1" w:rsidRDefault="00871F8D">
      <w:pPr>
        <w:ind w:firstLine="450"/>
        <w:jc w:val="center"/>
      </w:pPr>
      <w:r>
        <w:rPr>
          <w:rFonts w:ascii="Arial" w:eastAsia="宋体" w:hAnsi="Arial" w:cs="Arial"/>
          <w:b/>
          <w:bCs/>
          <w:color w:val="000000"/>
          <w:sz w:val="20"/>
          <w:szCs w:val="20"/>
        </w:rPr>
        <w:t>AND RESULTS OF OPERATIONS</w:t>
      </w:r>
    </w:p>
    <w:p w14:paraId="74DD736B" w14:textId="77777777" w:rsidR="00584EC1" w:rsidRDefault="00871F8D">
      <w:pPr>
        <w:spacing w:before="60"/>
        <w:ind w:firstLine="450"/>
        <w:jc w:val="both"/>
        <w:textAlignment w:val="top"/>
      </w:pPr>
      <w:r>
        <w:rPr>
          <w:rFonts w:ascii="Arial" w:eastAsia="宋体" w:hAnsi="Arial" w:cs="Arial"/>
          <w:color w:val="000000"/>
          <w:sz w:val="20"/>
          <w:szCs w:val="20"/>
        </w:rPr>
        <w:t xml:space="preserve">Compensation and employee benefits expenses decreased 1% in the third </w:t>
      </w:r>
      <w:r>
        <w:rPr>
          <w:rFonts w:ascii="Arial" w:eastAsia="宋体" w:hAnsi="Arial" w:cs="Arial"/>
          <w:color w:val="000000"/>
          <w:sz w:val="20"/>
          <w:szCs w:val="20"/>
        </w:rPr>
        <w:t>quarter of 2021, compared to the same period in 2020, primarily due to higher salary deferrals and lower headcount, partially offset by higher medical benefits costs. Compensation and employee benefits expenses increased 2% in the nine months ended Septemb</w:t>
      </w:r>
      <w:r>
        <w:rPr>
          <w:rFonts w:ascii="Arial" w:eastAsia="宋体" w:hAnsi="Arial" w:cs="Arial"/>
          <w:color w:val="000000"/>
          <w:sz w:val="20"/>
          <w:szCs w:val="20"/>
        </w:rPr>
        <w:t>er 30, 2021, compared to the same period in 2020, primarily due to currency translation and higher seasonal expenses, partially offset by lower headcount in high cost locations and incentive compensation. Currency translation increased compensation and emp</w:t>
      </w:r>
      <w:r>
        <w:rPr>
          <w:rFonts w:ascii="Arial" w:eastAsia="宋体" w:hAnsi="Arial" w:cs="Arial"/>
          <w:color w:val="000000"/>
          <w:sz w:val="20"/>
          <w:szCs w:val="20"/>
        </w:rPr>
        <w:t>loyee benefits by 2% in the nine months ended September 30, 2021, compared to the same period in 2020.</w:t>
      </w:r>
    </w:p>
    <w:p w14:paraId="74DD736C" w14:textId="77777777" w:rsidR="00584EC1" w:rsidRDefault="00871F8D">
      <w:pPr>
        <w:spacing w:before="60"/>
        <w:ind w:firstLine="450"/>
        <w:jc w:val="both"/>
        <w:textAlignment w:val="top"/>
      </w:pPr>
      <w:r>
        <w:rPr>
          <w:rFonts w:ascii="Arial" w:eastAsia="宋体" w:hAnsi="Arial" w:cs="Arial"/>
          <w:color w:val="000000"/>
          <w:sz w:val="20"/>
          <w:szCs w:val="20"/>
        </w:rPr>
        <w:t>Total headcount was flat as of September 30, 2021 compared to September 30, 2020, primarily driven by hiring in global hubs, offset by a reduction in hig</w:t>
      </w:r>
      <w:r>
        <w:rPr>
          <w:rFonts w:ascii="Arial" w:eastAsia="宋体" w:hAnsi="Arial" w:cs="Arial"/>
          <w:color w:val="000000"/>
          <w:sz w:val="20"/>
          <w:szCs w:val="20"/>
        </w:rPr>
        <w:t>h cost locations.</w:t>
      </w:r>
    </w:p>
    <w:p w14:paraId="74DD736D" w14:textId="77777777" w:rsidR="00584EC1" w:rsidRDefault="00871F8D">
      <w:pPr>
        <w:spacing w:before="60"/>
        <w:ind w:firstLine="450"/>
        <w:jc w:val="both"/>
        <w:textAlignment w:val="top"/>
      </w:pPr>
      <w:r>
        <w:rPr>
          <w:rFonts w:ascii="Arial" w:eastAsia="宋体" w:hAnsi="Arial" w:cs="Arial"/>
          <w:color w:val="000000"/>
          <w:sz w:val="20"/>
          <w:szCs w:val="20"/>
        </w:rPr>
        <w:t>Information systems and communications expenses increased 3% in the third quarter of 2021, compared to the same period in 2020, primarily due to higher technology and infrastructure investments. Information systems and communications expe</w:t>
      </w:r>
      <w:r>
        <w:rPr>
          <w:rFonts w:ascii="Arial" w:eastAsia="宋体" w:hAnsi="Arial" w:cs="Arial"/>
          <w:color w:val="000000"/>
          <w:sz w:val="20"/>
          <w:szCs w:val="20"/>
        </w:rPr>
        <w:t>nses increased 6% in the nine months ended September 30, 2021, compared to the same period in 2020, primarily related to higher software costs, technology infrastructure investments and notable items, partially offset by transformation initiatives. Currenc</w:t>
      </w:r>
      <w:r>
        <w:rPr>
          <w:rFonts w:ascii="Arial" w:eastAsia="宋体" w:hAnsi="Arial" w:cs="Arial"/>
          <w:color w:val="000000"/>
          <w:sz w:val="20"/>
          <w:szCs w:val="20"/>
        </w:rPr>
        <w:t>y translation increased information systems and communications expenses by 1% in the nine months ended September 30, 2021, compared to the same period in 2020.</w:t>
      </w:r>
    </w:p>
    <w:p w14:paraId="74DD736E" w14:textId="77777777" w:rsidR="00584EC1" w:rsidRDefault="00871F8D">
      <w:pPr>
        <w:spacing w:before="60"/>
        <w:ind w:firstLine="450"/>
        <w:jc w:val="both"/>
        <w:textAlignment w:val="top"/>
      </w:pPr>
      <w:r>
        <w:rPr>
          <w:rFonts w:ascii="Arial" w:eastAsia="宋体" w:hAnsi="Arial" w:cs="Arial"/>
          <w:color w:val="000000"/>
          <w:sz w:val="20"/>
          <w:szCs w:val="20"/>
        </w:rPr>
        <w:t xml:space="preserve">Transaction processing services expenses increased 8% and 9% in the three and nine months </w:t>
      </w:r>
      <w:r>
        <w:rPr>
          <w:rFonts w:ascii="Arial" w:eastAsia="宋体" w:hAnsi="Arial" w:cs="Arial"/>
          <w:color w:val="000000"/>
          <w:sz w:val="20"/>
          <w:szCs w:val="20"/>
        </w:rPr>
        <w:t>ended September 30, 2021, respectively, compared to the same periods in 2020, primarily due to higher sub-custody costs and market data fees. Currency translation increased transaction processing services and communications expenses by 2% in the nine month</w:t>
      </w:r>
      <w:r>
        <w:rPr>
          <w:rFonts w:ascii="Arial" w:eastAsia="宋体" w:hAnsi="Arial" w:cs="Arial"/>
          <w:color w:val="000000"/>
          <w:sz w:val="20"/>
          <w:szCs w:val="20"/>
        </w:rPr>
        <w:t>s ended September 30, 2021, compared to the same period in 2020.</w:t>
      </w:r>
    </w:p>
    <w:p w14:paraId="74DD736F" w14:textId="77777777" w:rsidR="00584EC1" w:rsidRDefault="00871F8D">
      <w:pPr>
        <w:spacing w:before="60"/>
        <w:ind w:firstLine="450"/>
        <w:jc w:val="both"/>
        <w:textAlignment w:val="top"/>
      </w:pPr>
      <w:r>
        <w:rPr>
          <w:rFonts w:ascii="Arial" w:eastAsia="宋体" w:hAnsi="Arial" w:cs="Arial"/>
          <w:color w:val="000000"/>
          <w:sz w:val="20"/>
          <w:szCs w:val="20"/>
        </w:rPr>
        <w:t>Occupancy expenses decreased 6% and 5% in the three and nine months ended September 30, 2021, respectively, compared to the same periods in 2020, primarily due to footprint optimization. Curr</w:t>
      </w:r>
      <w:r>
        <w:rPr>
          <w:rFonts w:ascii="Arial" w:eastAsia="宋体" w:hAnsi="Arial" w:cs="Arial"/>
          <w:color w:val="000000"/>
          <w:sz w:val="20"/>
          <w:szCs w:val="20"/>
        </w:rPr>
        <w:t>ency translation increased occupancy expenses by 2% in the nine months ended September 30, 2021, compared to the same period in 2020.</w:t>
      </w:r>
    </w:p>
    <w:p w14:paraId="74DD7370" w14:textId="77777777" w:rsidR="00584EC1" w:rsidRDefault="00871F8D">
      <w:pPr>
        <w:spacing w:before="60"/>
        <w:ind w:firstLine="450"/>
        <w:jc w:val="both"/>
        <w:textAlignment w:val="top"/>
      </w:pPr>
      <w:r>
        <w:rPr>
          <w:rFonts w:ascii="Arial" w:eastAsia="宋体" w:hAnsi="Arial" w:cs="Arial"/>
          <w:color w:val="000000"/>
          <w:sz w:val="20"/>
          <w:szCs w:val="20"/>
        </w:rPr>
        <w:t>Amortization of other intangible assets increased 5% in both the three and nine months ended September 30, 2021 compared t</w:t>
      </w:r>
      <w:r>
        <w:rPr>
          <w:rFonts w:ascii="Arial" w:eastAsia="宋体" w:hAnsi="Arial" w:cs="Arial"/>
          <w:color w:val="000000"/>
          <w:sz w:val="20"/>
          <w:szCs w:val="20"/>
        </w:rPr>
        <w:t>o the same periods in 2020, primarily due to the lift-out in the first quarter of 2021 of the depository bank and fund administrator activities of Fideuram Bank Luxembourg, a subsidiary of Intesa Sanpaolo.</w:t>
      </w:r>
    </w:p>
    <w:p w14:paraId="74DD7371" w14:textId="77777777" w:rsidR="00584EC1" w:rsidRDefault="00871F8D">
      <w:pPr>
        <w:spacing w:before="60"/>
        <w:ind w:firstLine="450"/>
        <w:jc w:val="both"/>
        <w:textAlignment w:val="top"/>
      </w:pPr>
      <w:r>
        <w:rPr>
          <w:rFonts w:ascii="Arial" w:eastAsia="宋体" w:hAnsi="Arial" w:cs="Arial"/>
          <w:color w:val="000000"/>
          <w:sz w:val="20"/>
          <w:szCs w:val="20"/>
        </w:rPr>
        <w:t>Other expenses decreased 3% in the third quarter o</w:t>
      </w:r>
      <w:r>
        <w:rPr>
          <w:rFonts w:ascii="Arial" w:eastAsia="宋体" w:hAnsi="Arial" w:cs="Arial"/>
          <w:color w:val="000000"/>
          <w:sz w:val="20"/>
          <w:szCs w:val="20"/>
        </w:rPr>
        <w:t>f 2021, compared to the same period in 2020, primarily driven by lower sub-advisor costs and marketing costs, partially offset by the absence of notable items from the third quarter of 2020. Other expenses decreased 9% in the nine months ended September 30</w:t>
      </w:r>
      <w:r>
        <w:rPr>
          <w:rFonts w:ascii="Arial" w:eastAsia="宋体" w:hAnsi="Arial" w:cs="Arial"/>
          <w:color w:val="000000"/>
          <w:sz w:val="20"/>
          <w:szCs w:val="20"/>
        </w:rPr>
        <w:t>, 2021, compared to the same period in 2020, primarily due to lower securities processing losses, professional services and travel costs.</w:t>
      </w:r>
    </w:p>
    <w:p w14:paraId="74DD7372" w14:textId="77777777" w:rsidR="00584EC1" w:rsidRDefault="00871F8D">
      <w:pPr>
        <w:spacing w:before="60"/>
        <w:jc w:val="both"/>
        <w:textAlignment w:val="top"/>
      </w:pPr>
      <w:r>
        <w:rPr>
          <w:rFonts w:ascii="Arial" w:eastAsia="宋体" w:hAnsi="Arial" w:cs="Arial"/>
          <w:b/>
          <w:bCs/>
          <w:i/>
          <w:iCs/>
          <w:color w:val="000000"/>
          <w:sz w:val="20"/>
          <w:szCs w:val="20"/>
        </w:rPr>
        <w:t>Acquisition Costs</w:t>
      </w:r>
    </w:p>
    <w:p w14:paraId="74DD7373" w14:textId="77777777" w:rsidR="00584EC1" w:rsidRDefault="00871F8D">
      <w:pPr>
        <w:spacing w:before="60"/>
        <w:ind w:firstLine="450"/>
        <w:jc w:val="both"/>
        <w:textAlignment w:val="top"/>
      </w:pPr>
      <w:r>
        <w:rPr>
          <w:rFonts w:ascii="Arial" w:eastAsia="宋体" w:hAnsi="Arial" w:cs="Arial"/>
          <w:color w:val="000000"/>
          <w:sz w:val="20"/>
          <w:szCs w:val="20"/>
        </w:rPr>
        <w:t>We recorded approximately $11 million and $33 million of acquisition costs in the three and nine mon</w:t>
      </w:r>
      <w:r>
        <w:rPr>
          <w:rFonts w:ascii="Arial" w:eastAsia="宋体" w:hAnsi="Arial" w:cs="Arial"/>
          <w:color w:val="000000"/>
          <w:sz w:val="20"/>
          <w:szCs w:val="20"/>
        </w:rPr>
        <w:t xml:space="preserve">ths ended September 30, 2021, respectively, compared to $15 million and $38 million in the same periods in 2020, respectively, related to our acquisition of CRD. As we integrate CRD into our business, we expect to incur up to approximately $225 million in </w:t>
      </w:r>
      <w:r>
        <w:rPr>
          <w:rFonts w:ascii="Arial" w:eastAsia="宋体" w:hAnsi="Arial" w:cs="Arial"/>
          <w:color w:val="000000"/>
          <w:sz w:val="20"/>
          <w:szCs w:val="20"/>
        </w:rPr>
        <w:t>total of acquisition costs for the period beginning the last quarter of 2018 through 2021, after which we will no longer distinguish certain CRD costs as acquisition costs. As of September 30, 2021, we have incurred a total of $197 million of acquisition c</w:t>
      </w:r>
      <w:r>
        <w:rPr>
          <w:rFonts w:ascii="Arial" w:eastAsia="宋体" w:hAnsi="Arial" w:cs="Arial"/>
          <w:color w:val="000000"/>
          <w:sz w:val="20"/>
          <w:szCs w:val="20"/>
        </w:rPr>
        <w:t xml:space="preserve">osts related to CRD. </w:t>
      </w:r>
    </w:p>
    <w:p w14:paraId="74DD7374" w14:textId="77777777" w:rsidR="00584EC1" w:rsidRDefault="00871F8D">
      <w:pPr>
        <w:spacing w:before="60"/>
        <w:ind w:firstLine="450"/>
        <w:jc w:val="both"/>
        <w:textAlignment w:val="top"/>
      </w:pPr>
      <w:r>
        <w:rPr>
          <w:rFonts w:ascii="Arial" w:eastAsia="宋体" w:hAnsi="Arial" w:cs="Arial"/>
          <w:color w:val="000000"/>
          <w:sz w:val="20"/>
          <w:szCs w:val="20"/>
        </w:rPr>
        <w:t>In addition, we recorded approximately $7 million of acquisition costs in the third quarter of 2021 related to our proposed acquisition of the BBH Investor Services business. We expect to incur up to approximately $590 million of tota</w:t>
      </w:r>
      <w:r>
        <w:rPr>
          <w:rFonts w:ascii="Arial" w:eastAsia="宋体" w:hAnsi="Arial" w:cs="Arial"/>
          <w:color w:val="000000"/>
          <w:sz w:val="20"/>
          <w:szCs w:val="20"/>
        </w:rPr>
        <w:t>l acquisition and integration costs related to the acquisition through the third year following its closing.</w:t>
      </w:r>
    </w:p>
    <w:p w14:paraId="74DD7375" w14:textId="77777777" w:rsidR="00584EC1" w:rsidRDefault="00871F8D">
      <w:pPr>
        <w:spacing w:before="60"/>
        <w:jc w:val="both"/>
        <w:textAlignment w:val="top"/>
      </w:pPr>
      <w:r>
        <w:rPr>
          <w:rFonts w:ascii="Arial" w:eastAsia="宋体" w:hAnsi="Arial" w:cs="Arial"/>
          <w:b/>
          <w:bCs/>
          <w:i/>
          <w:iCs/>
          <w:color w:val="000000"/>
          <w:sz w:val="20"/>
          <w:szCs w:val="20"/>
        </w:rPr>
        <w:t>Restructuring and Repositioning Charges</w:t>
      </w:r>
    </w:p>
    <w:p w14:paraId="74DD7376" w14:textId="77777777" w:rsidR="00584EC1" w:rsidRDefault="00871F8D">
      <w:pPr>
        <w:spacing w:before="60"/>
        <w:ind w:firstLine="450"/>
        <w:jc w:val="both"/>
        <w:textAlignment w:val="top"/>
      </w:pPr>
      <w:r>
        <w:rPr>
          <w:rFonts w:ascii="Arial" w:eastAsia="宋体" w:hAnsi="Arial" w:cs="Arial"/>
          <w:color w:val="000000"/>
          <w:sz w:val="20"/>
          <w:szCs w:val="20"/>
        </w:rPr>
        <w:t>The following table presents aggregate activity for repositioning charges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3355"/>
        <w:gridCol w:w="38"/>
        <w:gridCol w:w="88"/>
        <w:gridCol w:w="985"/>
        <w:gridCol w:w="37"/>
        <w:gridCol w:w="36"/>
        <w:gridCol w:w="43"/>
        <w:gridCol w:w="36"/>
        <w:gridCol w:w="88"/>
        <w:gridCol w:w="861"/>
        <w:gridCol w:w="37"/>
        <w:gridCol w:w="36"/>
        <w:gridCol w:w="43"/>
        <w:gridCol w:w="36"/>
        <w:gridCol w:w="128"/>
        <w:gridCol w:w="128"/>
        <w:gridCol w:w="128"/>
        <w:gridCol w:w="36"/>
        <w:gridCol w:w="36"/>
        <w:gridCol w:w="36"/>
        <w:gridCol w:w="88"/>
        <w:gridCol w:w="985"/>
        <w:gridCol w:w="36"/>
        <w:gridCol w:w="36"/>
        <w:gridCol w:w="43"/>
        <w:gridCol w:w="36"/>
        <w:gridCol w:w="87"/>
        <w:gridCol w:w="739"/>
        <w:gridCol w:w="36"/>
      </w:tblGrid>
      <w:tr w:rsidR="00584EC1" w14:paraId="74DD7393" w14:textId="77777777">
        <w:tc>
          <w:tcPr>
            <w:tcW w:w="50" w:type="pct"/>
            <w:shd w:val="clear" w:color="auto" w:fill="auto"/>
            <w:vAlign w:val="bottom"/>
          </w:tcPr>
          <w:p w14:paraId="74DD7377" w14:textId="77777777" w:rsidR="00584EC1" w:rsidRDefault="00584EC1">
            <w:pPr>
              <w:rPr>
                <w:rFonts w:ascii="宋体"/>
              </w:rPr>
            </w:pPr>
          </w:p>
        </w:tc>
        <w:tc>
          <w:tcPr>
            <w:tcW w:w="2161" w:type="pct"/>
            <w:shd w:val="clear" w:color="auto" w:fill="auto"/>
            <w:vAlign w:val="bottom"/>
          </w:tcPr>
          <w:p w14:paraId="74DD7378" w14:textId="77777777" w:rsidR="00584EC1" w:rsidRDefault="00584EC1">
            <w:pPr>
              <w:rPr>
                <w:rFonts w:ascii="宋体"/>
              </w:rPr>
            </w:pPr>
          </w:p>
        </w:tc>
        <w:tc>
          <w:tcPr>
            <w:tcW w:w="5" w:type="pct"/>
            <w:shd w:val="clear" w:color="auto" w:fill="auto"/>
            <w:vAlign w:val="bottom"/>
          </w:tcPr>
          <w:p w14:paraId="74DD7379" w14:textId="77777777" w:rsidR="00584EC1" w:rsidRDefault="00584EC1">
            <w:pPr>
              <w:rPr>
                <w:rFonts w:ascii="宋体"/>
              </w:rPr>
            </w:pPr>
          </w:p>
        </w:tc>
        <w:tc>
          <w:tcPr>
            <w:tcW w:w="50" w:type="pct"/>
            <w:shd w:val="clear" w:color="auto" w:fill="auto"/>
            <w:vAlign w:val="bottom"/>
          </w:tcPr>
          <w:p w14:paraId="74DD737A" w14:textId="77777777" w:rsidR="00584EC1" w:rsidRDefault="00584EC1">
            <w:pPr>
              <w:rPr>
                <w:rFonts w:ascii="宋体"/>
              </w:rPr>
            </w:pPr>
          </w:p>
        </w:tc>
        <w:tc>
          <w:tcPr>
            <w:tcW w:w="652" w:type="pct"/>
            <w:shd w:val="clear" w:color="auto" w:fill="auto"/>
            <w:vAlign w:val="bottom"/>
          </w:tcPr>
          <w:p w14:paraId="74DD737B" w14:textId="77777777" w:rsidR="00584EC1" w:rsidRDefault="00584EC1">
            <w:pPr>
              <w:rPr>
                <w:rFonts w:ascii="宋体"/>
              </w:rPr>
            </w:pPr>
          </w:p>
        </w:tc>
        <w:tc>
          <w:tcPr>
            <w:tcW w:w="5" w:type="pct"/>
            <w:shd w:val="clear" w:color="auto" w:fill="auto"/>
            <w:vAlign w:val="bottom"/>
          </w:tcPr>
          <w:p w14:paraId="74DD737C" w14:textId="77777777" w:rsidR="00584EC1" w:rsidRDefault="00584EC1">
            <w:pPr>
              <w:rPr>
                <w:rFonts w:ascii="宋体"/>
              </w:rPr>
            </w:pPr>
          </w:p>
        </w:tc>
        <w:tc>
          <w:tcPr>
            <w:tcW w:w="5" w:type="pct"/>
            <w:shd w:val="clear" w:color="auto" w:fill="auto"/>
            <w:vAlign w:val="bottom"/>
          </w:tcPr>
          <w:p w14:paraId="74DD737D" w14:textId="77777777" w:rsidR="00584EC1" w:rsidRDefault="00584EC1">
            <w:pPr>
              <w:rPr>
                <w:rFonts w:ascii="宋体"/>
              </w:rPr>
            </w:pPr>
          </w:p>
        </w:tc>
        <w:tc>
          <w:tcPr>
            <w:tcW w:w="52" w:type="pct"/>
            <w:shd w:val="clear" w:color="auto" w:fill="auto"/>
            <w:vAlign w:val="bottom"/>
          </w:tcPr>
          <w:p w14:paraId="74DD737E" w14:textId="77777777" w:rsidR="00584EC1" w:rsidRDefault="00584EC1">
            <w:pPr>
              <w:rPr>
                <w:rFonts w:ascii="宋体"/>
              </w:rPr>
            </w:pPr>
          </w:p>
        </w:tc>
        <w:tc>
          <w:tcPr>
            <w:tcW w:w="5" w:type="pct"/>
            <w:shd w:val="clear" w:color="auto" w:fill="auto"/>
            <w:vAlign w:val="bottom"/>
          </w:tcPr>
          <w:p w14:paraId="74DD737F" w14:textId="77777777" w:rsidR="00584EC1" w:rsidRDefault="00584EC1">
            <w:pPr>
              <w:rPr>
                <w:rFonts w:ascii="宋体"/>
              </w:rPr>
            </w:pPr>
          </w:p>
        </w:tc>
        <w:tc>
          <w:tcPr>
            <w:tcW w:w="50" w:type="pct"/>
            <w:shd w:val="clear" w:color="auto" w:fill="auto"/>
            <w:vAlign w:val="bottom"/>
          </w:tcPr>
          <w:p w14:paraId="74DD7380" w14:textId="77777777" w:rsidR="00584EC1" w:rsidRDefault="00584EC1">
            <w:pPr>
              <w:rPr>
                <w:rFonts w:ascii="宋体"/>
              </w:rPr>
            </w:pPr>
          </w:p>
        </w:tc>
        <w:tc>
          <w:tcPr>
            <w:tcW w:w="573" w:type="pct"/>
            <w:shd w:val="clear" w:color="auto" w:fill="auto"/>
            <w:vAlign w:val="bottom"/>
          </w:tcPr>
          <w:p w14:paraId="74DD7381" w14:textId="77777777" w:rsidR="00584EC1" w:rsidRDefault="00584EC1">
            <w:pPr>
              <w:rPr>
                <w:rFonts w:ascii="宋体"/>
              </w:rPr>
            </w:pPr>
          </w:p>
        </w:tc>
        <w:tc>
          <w:tcPr>
            <w:tcW w:w="5" w:type="pct"/>
            <w:shd w:val="clear" w:color="auto" w:fill="auto"/>
            <w:vAlign w:val="bottom"/>
          </w:tcPr>
          <w:p w14:paraId="74DD7382" w14:textId="77777777" w:rsidR="00584EC1" w:rsidRDefault="00584EC1">
            <w:pPr>
              <w:rPr>
                <w:rFonts w:ascii="宋体"/>
              </w:rPr>
            </w:pPr>
          </w:p>
        </w:tc>
        <w:tc>
          <w:tcPr>
            <w:tcW w:w="5" w:type="pct"/>
            <w:shd w:val="clear" w:color="auto" w:fill="auto"/>
            <w:vAlign w:val="bottom"/>
          </w:tcPr>
          <w:p w14:paraId="74DD7383" w14:textId="77777777" w:rsidR="00584EC1" w:rsidRDefault="00584EC1">
            <w:pPr>
              <w:rPr>
                <w:rFonts w:ascii="宋体"/>
              </w:rPr>
            </w:pPr>
          </w:p>
        </w:tc>
        <w:tc>
          <w:tcPr>
            <w:tcW w:w="52" w:type="pct"/>
            <w:shd w:val="clear" w:color="auto" w:fill="auto"/>
            <w:vAlign w:val="bottom"/>
          </w:tcPr>
          <w:p w14:paraId="74DD7384" w14:textId="77777777" w:rsidR="00584EC1" w:rsidRDefault="00584EC1">
            <w:pPr>
              <w:rPr>
                <w:rFonts w:ascii="宋体"/>
              </w:rPr>
            </w:pPr>
          </w:p>
        </w:tc>
        <w:tc>
          <w:tcPr>
            <w:tcW w:w="5" w:type="pct"/>
            <w:shd w:val="clear" w:color="auto" w:fill="auto"/>
            <w:vAlign w:val="bottom"/>
          </w:tcPr>
          <w:p w14:paraId="74DD7385" w14:textId="77777777" w:rsidR="00584EC1" w:rsidRDefault="00584EC1">
            <w:pPr>
              <w:rPr>
                <w:rFonts w:ascii="宋体"/>
              </w:rPr>
            </w:pPr>
          </w:p>
        </w:tc>
        <w:tc>
          <w:tcPr>
            <w:tcW w:w="0" w:type="auto"/>
            <w:shd w:val="clear" w:color="auto" w:fill="auto"/>
            <w:vAlign w:val="bottom"/>
          </w:tcPr>
          <w:p w14:paraId="74DD7386" w14:textId="77777777" w:rsidR="00584EC1" w:rsidRDefault="00584EC1">
            <w:pPr>
              <w:rPr>
                <w:rFonts w:ascii="宋体"/>
                <w:vanish/>
              </w:rPr>
            </w:pPr>
          </w:p>
        </w:tc>
        <w:tc>
          <w:tcPr>
            <w:tcW w:w="0" w:type="auto"/>
            <w:shd w:val="clear" w:color="auto" w:fill="auto"/>
            <w:vAlign w:val="bottom"/>
          </w:tcPr>
          <w:p w14:paraId="74DD7387" w14:textId="77777777" w:rsidR="00584EC1" w:rsidRDefault="00584EC1">
            <w:pPr>
              <w:rPr>
                <w:rFonts w:ascii="宋体"/>
                <w:vanish/>
              </w:rPr>
            </w:pPr>
          </w:p>
        </w:tc>
        <w:tc>
          <w:tcPr>
            <w:tcW w:w="0" w:type="auto"/>
            <w:shd w:val="clear" w:color="auto" w:fill="auto"/>
            <w:vAlign w:val="bottom"/>
          </w:tcPr>
          <w:p w14:paraId="74DD7388" w14:textId="77777777" w:rsidR="00584EC1" w:rsidRDefault="00584EC1">
            <w:pPr>
              <w:rPr>
                <w:rFonts w:ascii="宋体"/>
                <w:vanish/>
              </w:rPr>
            </w:pPr>
          </w:p>
        </w:tc>
        <w:tc>
          <w:tcPr>
            <w:tcW w:w="0" w:type="auto"/>
            <w:gridSpan w:val="3"/>
            <w:shd w:val="clear" w:color="auto" w:fill="auto"/>
            <w:vAlign w:val="bottom"/>
          </w:tcPr>
          <w:p w14:paraId="74DD7389" w14:textId="77777777" w:rsidR="00584EC1" w:rsidRDefault="00584EC1">
            <w:pPr>
              <w:rPr>
                <w:rFonts w:ascii="宋体"/>
                <w:vanish/>
              </w:rPr>
            </w:pPr>
          </w:p>
        </w:tc>
        <w:tc>
          <w:tcPr>
            <w:tcW w:w="50" w:type="pct"/>
            <w:shd w:val="clear" w:color="auto" w:fill="auto"/>
            <w:vAlign w:val="bottom"/>
          </w:tcPr>
          <w:p w14:paraId="74DD738A" w14:textId="77777777" w:rsidR="00584EC1" w:rsidRDefault="00584EC1">
            <w:pPr>
              <w:rPr>
                <w:rFonts w:ascii="宋体"/>
              </w:rPr>
            </w:pPr>
          </w:p>
        </w:tc>
        <w:tc>
          <w:tcPr>
            <w:tcW w:w="652" w:type="pct"/>
            <w:shd w:val="clear" w:color="auto" w:fill="auto"/>
            <w:vAlign w:val="bottom"/>
          </w:tcPr>
          <w:p w14:paraId="74DD738B" w14:textId="77777777" w:rsidR="00584EC1" w:rsidRDefault="00584EC1">
            <w:pPr>
              <w:rPr>
                <w:rFonts w:ascii="宋体"/>
              </w:rPr>
            </w:pPr>
          </w:p>
        </w:tc>
        <w:tc>
          <w:tcPr>
            <w:tcW w:w="5" w:type="pct"/>
            <w:shd w:val="clear" w:color="auto" w:fill="auto"/>
            <w:vAlign w:val="bottom"/>
          </w:tcPr>
          <w:p w14:paraId="74DD738C" w14:textId="77777777" w:rsidR="00584EC1" w:rsidRDefault="00584EC1">
            <w:pPr>
              <w:rPr>
                <w:rFonts w:ascii="宋体"/>
              </w:rPr>
            </w:pPr>
          </w:p>
        </w:tc>
        <w:tc>
          <w:tcPr>
            <w:tcW w:w="5" w:type="pct"/>
            <w:shd w:val="clear" w:color="auto" w:fill="auto"/>
            <w:vAlign w:val="bottom"/>
          </w:tcPr>
          <w:p w14:paraId="74DD738D" w14:textId="77777777" w:rsidR="00584EC1" w:rsidRDefault="00584EC1">
            <w:pPr>
              <w:rPr>
                <w:rFonts w:ascii="宋体"/>
              </w:rPr>
            </w:pPr>
          </w:p>
        </w:tc>
        <w:tc>
          <w:tcPr>
            <w:tcW w:w="52" w:type="pct"/>
            <w:shd w:val="clear" w:color="auto" w:fill="auto"/>
            <w:vAlign w:val="bottom"/>
          </w:tcPr>
          <w:p w14:paraId="74DD738E" w14:textId="77777777" w:rsidR="00584EC1" w:rsidRDefault="00584EC1">
            <w:pPr>
              <w:rPr>
                <w:rFonts w:ascii="宋体"/>
              </w:rPr>
            </w:pPr>
          </w:p>
        </w:tc>
        <w:tc>
          <w:tcPr>
            <w:tcW w:w="5" w:type="pct"/>
            <w:shd w:val="clear" w:color="auto" w:fill="auto"/>
            <w:vAlign w:val="bottom"/>
          </w:tcPr>
          <w:p w14:paraId="74DD738F" w14:textId="77777777" w:rsidR="00584EC1" w:rsidRDefault="00584EC1">
            <w:pPr>
              <w:rPr>
                <w:rFonts w:ascii="宋体"/>
              </w:rPr>
            </w:pPr>
          </w:p>
        </w:tc>
        <w:tc>
          <w:tcPr>
            <w:tcW w:w="50" w:type="pct"/>
            <w:shd w:val="clear" w:color="auto" w:fill="auto"/>
            <w:vAlign w:val="bottom"/>
          </w:tcPr>
          <w:p w14:paraId="74DD7390" w14:textId="77777777" w:rsidR="00584EC1" w:rsidRDefault="00584EC1">
            <w:pPr>
              <w:rPr>
                <w:rFonts w:ascii="宋体"/>
              </w:rPr>
            </w:pPr>
          </w:p>
        </w:tc>
        <w:tc>
          <w:tcPr>
            <w:tcW w:w="495" w:type="pct"/>
            <w:shd w:val="clear" w:color="auto" w:fill="auto"/>
            <w:vAlign w:val="bottom"/>
          </w:tcPr>
          <w:p w14:paraId="74DD7391" w14:textId="77777777" w:rsidR="00584EC1" w:rsidRDefault="00584EC1">
            <w:pPr>
              <w:rPr>
                <w:rFonts w:ascii="宋体"/>
              </w:rPr>
            </w:pPr>
          </w:p>
        </w:tc>
        <w:tc>
          <w:tcPr>
            <w:tcW w:w="5" w:type="pct"/>
            <w:shd w:val="clear" w:color="auto" w:fill="auto"/>
            <w:vAlign w:val="bottom"/>
          </w:tcPr>
          <w:p w14:paraId="74DD7392" w14:textId="77777777" w:rsidR="00584EC1" w:rsidRDefault="00584EC1">
            <w:pPr>
              <w:rPr>
                <w:rFonts w:ascii="宋体"/>
              </w:rPr>
            </w:pPr>
          </w:p>
        </w:tc>
      </w:tr>
      <w:tr w:rsidR="00584EC1" w14:paraId="74DD73A1" w14:textId="77777777">
        <w:tc>
          <w:tcPr>
            <w:tcW w:w="0" w:type="auto"/>
            <w:gridSpan w:val="18"/>
            <w:shd w:val="clear" w:color="auto" w:fill="auto"/>
            <w:tcMar>
              <w:top w:w="40" w:type="dxa"/>
              <w:left w:w="20" w:type="dxa"/>
              <w:bottom w:w="40" w:type="dxa"/>
              <w:right w:w="20" w:type="dxa"/>
            </w:tcMar>
            <w:vAlign w:val="bottom"/>
          </w:tcPr>
          <w:p w14:paraId="74DD7394" w14:textId="77777777" w:rsidR="00584EC1" w:rsidRDefault="00871F8D">
            <w:pPr>
              <w:jc w:val="both"/>
              <w:textAlignment w:val="bottom"/>
            </w:pPr>
            <w:r>
              <w:rPr>
                <w:rFonts w:ascii="Arial" w:eastAsia="宋体" w:hAnsi="Arial" w:cs="Arial"/>
                <w:b/>
                <w:bCs/>
                <w:color w:val="000000"/>
                <w:sz w:val="16"/>
                <w:szCs w:val="16"/>
              </w:rPr>
              <w:t>TABLE 9: RESTRUCTURING AND REPOSITIONING CHARGES</w:t>
            </w:r>
          </w:p>
        </w:tc>
        <w:tc>
          <w:tcPr>
            <w:tcW w:w="0" w:type="auto"/>
            <w:shd w:val="clear" w:color="auto" w:fill="auto"/>
            <w:vAlign w:val="bottom"/>
          </w:tcPr>
          <w:p w14:paraId="74DD7395" w14:textId="77777777" w:rsidR="00584EC1" w:rsidRDefault="00584EC1">
            <w:pPr>
              <w:rPr>
                <w:rFonts w:ascii="宋体"/>
              </w:rPr>
            </w:pPr>
          </w:p>
        </w:tc>
        <w:tc>
          <w:tcPr>
            <w:tcW w:w="0" w:type="auto"/>
            <w:shd w:val="clear" w:color="auto" w:fill="auto"/>
            <w:vAlign w:val="bottom"/>
          </w:tcPr>
          <w:p w14:paraId="74DD7396" w14:textId="77777777" w:rsidR="00584EC1" w:rsidRDefault="00584EC1">
            <w:pPr>
              <w:rPr>
                <w:rFonts w:ascii="宋体"/>
              </w:rPr>
            </w:pPr>
          </w:p>
        </w:tc>
        <w:tc>
          <w:tcPr>
            <w:tcW w:w="0" w:type="auto"/>
            <w:shd w:val="clear" w:color="auto" w:fill="auto"/>
            <w:vAlign w:val="bottom"/>
          </w:tcPr>
          <w:p w14:paraId="74DD7397" w14:textId="77777777" w:rsidR="00584EC1" w:rsidRDefault="00584EC1">
            <w:pPr>
              <w:rPr>
                <w:rFonts w:ascii="宋体"/>
              </w:rPr>
            </w:pPr>
          </w:p>
        </w:tc>
        <w:tc>
          <w:tcPr>
            <w:tcW w:w="0" w:type="auto"/>
            <w:shd w:val="clear" w:color="auto" w:fill="auto"/>
            <w:vAlign w:val="bottom"/>
          </w:tcPr>
          <w:p w14:paraId="74DD7398" w14:textId="77777777" w:rsidR="00584EC1" w:rsidRDefault="00584EC1">
            <w:pPr>
              <w:rPr>
                <w:rFonts w:ascii="宋体"/>
              </w:rPr>
            </w:pPr>
          </w:p>
        </w:tc>
        <w:tc>
          <w:tcPr>
            <w:tcW w:w="0" w:type="auto"/>
            <w:shd w:val="clear" w:color="auto" w:fill="auto"/>
            <w:vAlign w:val="bottom"/>
          </w:tcPr>
          <w:p w14:paraId="74DD7399" w14:textId="77777777" w:rsidR="00584EC1" w:rsidRDefault="00584EC1">
            <w:pPr>
              <w:rPr>
                <w:rFonts w:ascii="宋体"/>
              </w:rPr>
            </w:pPr>
          </w:p>
        </w:tc>
        <w:tc>
          <w:tcPr>
            <w:tcW w:w="0" w:type="auto"/>
            <w:shd w:val="clear" w:color="auto" w:fill="auto"/>
            <w:vAlign w:val="bottom"/>
          </w:tcPr>
          <w:p w14:paraId="74DD739A" w14:textId="77777777" w:rsidR="00584EC1" w:rsidRDefault="00584EC1">
            <w:pPr>
              <w:rPr>
                <w:rFonts w:ascii="宋体"/>
              </w:rPr>
            </w:pPr>
          </w:p>
        </w:tc>
        <w:tc>
          <w:tcPr>
            <w:tcW w:w="0" w:type="auto"/>
            <w:shd w:val="clear" w:color="auto" w:fill="auto"/>
            <w:vAlign w:val="bottom"/>
          </w:tcPr>
          <w:p w14:paraId="74DD739B" w14:textId="77777777" w:rsidR="00584EC1" w:rsidRDefault="00584EC1">
            <w:pPr>
              <w:rPr>
                <w:rFonts w:ascii="宋体"/>
              </w:rPr>
            </w:pPr>
          </w:p>
        </w:tc>
        <w:tc>
          <w:tcPr>
            <w:tcW w:w="0" w:type="auto"/>
            <w:shd w:val="clear" w:color="auto" w:fill="auto"/>
            <w:vAlign w:val="bottom"/>
          </w:tcPr>
          <w:p w14:paraId="74DD739C" w14:textId="77777777" w:rsidR="00584EC1" w:rsidRDefault="00584EC1">
            <w:pPr>
              <w:rPr>
                <w:rFonts w:ascii="宋体"/>
              </w:rPr>
            </w:pPr>
          </w:p>
        </w:tc>
        <w:tc>
          <w:tcPr>
            <w:tcW w:w="0" w:type="auto"/>
            <w:shd w:val="clear" w:color="auto" w:fill="auto"/>
            <w:vAlign w:val="bottom"/>
          </w:tcPr>
          <w:p w14:paraId="74DD739D" w14:textId="77777777" w:rsidR="00584EC1" w:rsidRDefault="00584EC1">
            <w:pPr>
              <w:rPr>
                <w:rFonts w:ascii="宋体"/>
              </w:rPr>
            </w:pPr>
          </w:p>
        </w:tc>
        <w:tc>
          <w:tcPr>
            <w:tcW w:w="0" w:type="auto"/>
            <w:shd w:val="clear" w:color="auto" w:fill="auto"/>
            <w:vAlign w:val="bottom"/>
          </w:tcPr>
          <w:p w14:paraId="74DD739E" w14:textId="77777777" w:rsidR="00584EC1" w:rsidRDefault="00584EC1">
            <w:pPr>
              <w:rPr>
                <w:rFonts w:ascii="宋体"/>
              </w:rPr>
            </w:pPr>
          </w:p>
        </w:tc>
        <w:tc>
          <w:tcPr>
            <w:tcW w:w="0" w:type="auto"/>
            <w:shd w:val="clear" w:color="auto" w:fill="auto"/>
            <w:vAlign w:val="bottom"/>
          </w:tcPr>
          <w:p w14:paraId="74DD739F" w14:textId="77777777" w:rsidR="00584EC1" w:rsidRDefault="00584EC1">
            <w:pPr>
              <w:rPr>
                <w:rFonts w:ascii="宋体"/>
              </w:rPr>
            </w:pPr>
          </w:p>
        </w:tc>
        <w:tc>
          <w:tcPr>
            <w:tcW w:w="0" w:type="auto"/>
            <w:shd w:val="clear" w:color="auto" w:fill="auto"/>
            <w:vAlign w:val="bottom"/>
          </w:tcPr>
          <w:p w14:paraId="74DD73A0" w14:textId="77777777" w:rsidR="00584EC1" w:rsidRDefault="00584EC1">
            <w:pPr>
              <w:rPr>
                <w:rFonts w:ascii="宋体"/>
              </w:rPr>
            </w:pPr>
          </w:p>
        </w:tc>
      </w:tr>
      <w:tr w:rsidR="00584EC1" w14:paraId="74DD73AE" w14:textId="77777777">
        <w:tc>
          <w:tcPr>
            <w:tcW w:w="0" w:type="auto"/>
            <w:gridSpan w:val="3"/>
            <w:shd w:val="clear" w:color="auto" w:fill="auto"/>
            <w:tcMar>
              <w:top w:w="40" w:type="dxa"/>
              <w:left w:w="20" w:type="dxa"/>
              <w:bottom w:w="40" w:type="dxa"/>
              <w:right w:w="20" w:type="dxa"/>
            </w:tcMar>
            <w:vAlign w:val="bottom"/>
          </w:tcPr>
          <w:p w14:paraId="74DD73A2" w14:textId="77777777" w:rsidR="00584EC1" w:rsidRDefault="00871F8D">
            <w:pPr>
              <w:textAlignment w:val="bottom"/>
            </w:pPr>
            <w:r>
              <w:rPr>
                <w:rFonts w:ascii="Arial" w:eastAsia="宋体" w:hAnsi="Arial" w:cs="Arial"/>
                <w:b/>
                <w:bCs/>
                <w:color w:val="000000"/>
                <w:sz w:val="12"/>
                <w:szCs w:val="12"/>
              </w:rPr>
              <w:t>(In millions)</w:t>
            </w:r>
          </w:p>
        </w:tc>
        <w:tc>
          <w:tcPr>
            <w:tcW w:w="0" w:type="auto"/>
            <w:gridSpan w:val="3"/>
            <w:shd w:val="clear" w:color="auto" w:fill="auto"/>
            <w:tcMar>
              <w:top w:w="40" w:type="dxa"/>
              <w:left w:w="20" w:type="dxa"/>
              <w:bottom w:w="40" w:type="dxa"/>
              <w:right w:w="20" w:type="dxa"/>
            </w:tcMar>
            <w:vAlign w:val="bottom"/>
          </w:tcPr>
          <w:p w14:paraId="74DD73A3" w14:textId="77777777" w:rsidR="00584EC1" w:rsidRDefault="00871F8D">
            <w:pPr>
              <w:jc w:val="center"/>
              <w:textAlignment w:val="bottom"/>
            </w:pPr>
            <w:r>
              <w:rPr>
                <w:rFonts w:ascii="Arial" w:eastAsia="宋体" w:hAnsi="Arial" w:cs="Arial"/>
                <w:b/>
                <w:bCs/>
                <w:color w:val="000000"/>
                <w:sz w:val="12"/>
                <w:szCs w:val="12"/>
              </w:rPr>
              <w:t>Employee</w:t>
            </w:r>
            <w:r>
              <w:rPr>
                <w:rFonts w:ascii="Arial" w:eastAsia="宋体" w:hAnsi="Arial" w:cs="Arial"/>
                <w:b/>
                <w:bCs/>
                <w:color w:val="000000"/>
                <w:sz w:val="12"/>
                <w:szCs w:val="12"/>
              </w:rPr>
              <w:br/>
              <w:t>Related Costs</w:t>
            </w:r>
          </w:p>
        </w:tc>
        <w:tc>
          <w:tcPr>
            <w:tcW w:w="0" w:type="auto"/>
            <w:gridSpan w:val="3"/>
            <w:shd w:val="clear" w:color="auto" w:fill="auto"/>
            <w:tcMar>
              <w:top w:w="0" w:type="dxa"/>
              <w:left w:w="20" w:type="dxa"/>
              <w:bottom w:w="0" w:type="dxa"/>
              <w:right w:w="20" w:type="dxa"/>
            </w:tcMar>
            <w:vAlign w:val="bottom"/>
          </w:tcPr>
          <w:p w14:paraId="74DD73A4"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73A5" w14:textId="77777777" w:rsidR="00584EC1" w:rsidRDefault="00871F8D">
            <w:pPr>
              <w:jc w:val="center"/>
              <w:textAlignment w:val="bottom"/>
            </w:pPr>
            <w:r>
              <w:rPr>
                <w:rFonts w:ascii="Arial" w:eastAsia="宋体" w:hAnsi="Arial" w:cs="Arial"/>
                <w:b/>
                <w:bCs/>
                <w:color w:val="000000"/>
                <w:sz w:val="12"/>
                <w:szCs w:val="12"/>
              </w:rPr>
              <w:t>Real Estate</w:t>
            </w:r>
            <w:r>
              <w:rPr>
                <w:rFonts w:ascii="Arial" w:eastAsia="宋体" w:hAnsi="Arial" w:cs="Arial"/>
                <w:b/>
                <w:bCs/>
                <w:color w:val="000000"/>
                <w:sz w:val="12"/>
                <w:szCs w:val="12"/>
              </w:rPr>
              <w:br/>
              <w:t>Actions</w:t>
            </w:r>
          </w:p>
        </w:tc>
        <w:tc>
          <w:tcPr>
            <w:tcW w:w="0" w:type="auto"/>
            <w:gridSpan w:val="3"/>
            <w:shd w:val="clear" w:color="auto" w:fill="auto"/>
            <w:tcMar>
              <w:top w:w="0" w:type="dxa"/>
              <w:left w:w="20" w:type="dxa"/>
              <w:bottom w:w="0" w:type="dxa"/>
              <w:right w:w="20" w:type="dxa"/>
            </w:tcMar>
            <w:vAlign w:val="bottom"/>
          </w:tcPr>
          <w:p w14:paraId="74DD73A6" w14:textId="77777777" w:rsidR="00584EC1" w:rsidRDefault="00584EC1">
            <w:pPr>
              <w:rPr>
                <w:rFonts w:ascii="宋体"/>
              </w:rPr>
            </w:pPr>
          </w:p>
        </w:tc>
        <w:tc>
          <w:tcPr>
            <w:tcW w:w="0" w:type="auto"/>
            <w:shd w:val="clear" w:color="auto" w:fill="auto"/>
            <w:vAlign w:val="bottom"/>
          </w:tcPr>
          <w:p w14:paraId="74DD73A7" w14:textId="77777777" w:rsidR="00584EC1" w:rsidRDefault="00584EC1">
            <w:pPr>
              <w:rPr>
                <w:rFonts w:ascii="宋体"/>
                <w:vanish/>
              </w:rPr>
            </w:pPr>
          </w:p>
        </w:tc>
        <w:tc>
          <w:tcPr>
            <w:tcW w:w="0" w:type="auto"/>
            <w:shd w:val="clear" w:color="auto" w:fill="auto"/>
            <w:vAlign w:val="bottom"/>
          </w:tcPr>
          <w:p w14:paraId="74DD73A8" w14:textId="77777777" w:rsidR="00584EC1" w:rsidRDefault="00584EC1">
            <w:pPr>
              <w:rPr>
                <w:rFonts w:ascii="宋体"/>
                <w:vanish/>
              </w:rPr>
            </w:pPr>
          </w:p>
        </w:tc>
        <w:tc>
          <w:tcPr>
            <w:tcW w:w="0" w:type="auto"/>
            <w:shd w:val="clear" w:color="auto" w:fill="auto"/>
            <w:vAlign w:val="bottom"/>
          </w:tcPr>
          <w:p w14:paraId="74DD73A9" w14:textId="77777777" w:rsidR="00584EC1" w:rsidRDefault="00584EC1">
            <w:pPr>
              <w:rPr>
                <w:rFonts w:ascii="宋体"/>
                <w:vanish/>
              </w:rPr>
            </w:pPr>
          </w:p>
        </w:tc>
        <w:tc>
          <w:tcPr>
            <w:tcW w:w="0" w:type="auto"/>
            <w:gridSpan w:val="3"/>
            <w:shd w:val="clear" w:color="auto" w:fill="auto"/>
            <w:vAlign w:val="bottom"/>
          </w:tcPr>
          <w:p w14:paraId="74DD73AA" w14:textId="77777777" w:rsidR="00584EC1" w:rsidRDefault="00584EC1">
            <w:pPr>
              <w:rPr>
                <w:rFonts w:ascii="宋体"/>
                <w:vanish/>
              </w:rPr>
            </w:pPr>
          </w:p>
        </w:tc>
        <w:tc>
          <w:tcPr>
            <w:tcW w:w="0" w:type="auto"/>
            <w:gridSpan w:val="3"/>
            <w:shd w:val="clear" w:color="auto" w:fill="auto"/>
            <w:tcMar>
              <w:top w:w="40" w:type="dxa"/>
              <w:left w:w="20" w:type="dxa"/>
              <w:bottom w:w="40" w:type="dxa"/>
              <w:right w:w="20" w:type="dxa"/>
            </w:tcMar>
            <w:vAlign w:val="bottom"/>
          </w:tcPr>
          <w:p w14:paraId="74DD73AB" w14:textId="77777777" w:rsidR="00584EC1" w:rsidRDefault="00871F8D">
            <w:pPr>
              <w:jc w:val="center"/>
              <w:textAlignment w:val="bottom"/>
            </w:pPr>
            <w:r>
              <w:rPr>
                <w:rFonts w:ascii="Arial" w:eastAsia="宋体" w:hAnsi="Arial" w:cs="Arial"/>
                <w:b/>
                <w:bCs/>
                <w:color w:val="000000"/>
                <w:sz w:val="12"/>
                <w:szCs w:val="12"/>
              </w:rPr>
              <w:t>Asset and Other Write-offs</w:t>
            </w:r>
          </w:p>
        </w:tc>
        <w:tc>
          <w:tcPr>
            <w:tcW w:w="0" w:type="auto"/>
            <w:gridSpan w:val="3"/>
            <w:shd w:val="clear" w:color="auto" w:fill="auto"/>
            <w:tcMar>
              <w:top w:w="0" w:type="dxa"/>
              <w:left w:w="20" w:type="dxa"/>
              <w:bottom w:w="0" w:type="dxa"/>
              <w:right w:w="20" w:type="dxa"/>
            </w:tcMar>
            <w:vAlign w:val="bottom"/>
          </w:tcPr>
          <w:p w14:paraId="74DD73AC"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73AD" w14:textId="77777777" w:rsidR="00584EC1" w:rsidRDefault="00871F8D">
            <w:pPr>
              <w:jc w:val="center"/>
              <w:textAlignment w:val="bottom"/>
            </w:pPr>
            <w:r>
              <w:rPr>
                <w:rFonts w:ascii="Arial" w:eastAsia="宋体" w:hAnsi="Arial" w:cs="Arial"/>
                <w:b/>
                <w:bCs/>
                <w:color w:val="000000"/>
                <w:sz w:val="12"/>
                <w:szCs w:val="12"/>
              </w:rPr>
              <w:t>Total</w:t>
            </w:r>
          </w:p>
        </w:tc>
      </w:tr>
      <w:tr w:rsidR="00584EC1" w14:paraId="74DD73C3" w14:textId="77777777">
        <w:tc>
          <w:tcPr>
            <w:tcW w:w="0" w:type="auto"/>
            <w:gridSpan w:val="3"/>
            <w:shd w:val="clear" w:color="auto" w:fill="CCEEFF"/>
            <w:tcMar>
              <w:top w:w="40" w:type="dxa"/>
              <w:left w:w="20" w:type="dxa"/>
              <w:bottom w:w="40" w:type="dxa"/>
              <w:right w:w="20" w:type="dxa"/>
            </w:tcMar>
            <w:vAlign w:val="bottom"/>
          </w:tcPr>
          <w:p w14:paraId="74DD73AF" w14:textId="77777777" w:rsidR="00584EC1" w:rsidRDefault="00871F8D">
            <w:pPr>
              <w:textAlignment w:val="bottom"/>
            </w:pPr>
            <w:r>
              <w:rPr>
                <w:rFonts w:ascii="Arial" w:eastAsia="宋体" w:hAnsi="Arial" w:cs="Arial"/>
                <w:b/>
                <w:bCs/>
                <w:color w:val="000000"/>
                <w:sz w:val="12"/>
                <w:szCs w:val="12"/>
              </w:rPr>
              <w:t xml:space="preserve">Accrual </w:t>
            </w:r>
            <w:r>
              <w:rPr>
                <w:rFonts w:ascii="Arial" w:eastAsia="宋体" w:hAnsi="Arial" w:cs="Arial"/>
                <w:b/>
                <w:bCs/>
                <w:color w:val="000000"/>
                <w:sz w:val="12"/>
                <w:szCs w:val="12"/>
              </w:rPr>
              <w:t>Balance at December 31, 2019</w:t>
            </w:r>
          </w:p>
        </w:tc>
        <w:tc>
          <w:tcPr>
            <w:tcW w:w="0" w:type="auto"/>
            <w:tcBorders>
              <w:top w:val="single" w:sz="8" w:space="0" w:color="000000"/>
            </w:tcBorders>
            <w:shd w:val="clear" w:color="auto" w:fill="CCEEFF"/>
            <w:tcMar>
              <w:top w:w="40" w:type="dxa"/>
              <w:left w:w="20" w:type="dxa"/>
              <w:bottom w:w="40" w:type="dxa"/>
              <w:right w:w="0" w:type="dxa"/>
            </w:tcMar>
            <w:vAlign w:val="bottom"/>
          </w:tcPr>
          <w:p w14:paraId="74DD73B0"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73B1" w14:textId="77777777" w:rsidR="00584EC1" w:rsidRDefault="00871F8D">
            <w:pPr>
              <w:jc w:val="right"/>
              <w:textAlignment w:val="bottom"/>
            </w:pPr>
            <w:r>
              <w:rPr>
                <w:rFonts w:ascii="Arial" w:eastAsia="宋体" w:hAnsi="Arial" w:cs="Arial"/>
                <w:color w:val="000000"/>
                <w:sz w:val="12"/>
                <w:szCs w:val="12"/>
              </w:rPr>
              <w:t>190 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3B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3B3"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73B4"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73B5" w14:textId="77777777" w:rsidR="00584EC1" w:rsidRDefault="00871F8D">
            <w:pPr>
              <w:jc w:val="right"/>
              <w:textAlignment w:val="bottom"/>
            </w:pPr>
            <w:r>
              <w:rPr>
                <w:rFonts w:ascii="Arial" w:eastAsia="宋体" w:hAnsi="Arial" w:cs="Arial"/>
                <w:color w:val="000000"/>
                <w:sz w:val="12"/>
                <w:szCs w:val="12"/>
              </w:rPr>
              <w:t>7 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3B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3B7" w14:textId="77777777" w:rsidR="00584EC1" w:rsidRDefault="00584EC1">
            <w:pPr>
              <w:rPr>
                <w:rFonts w:ascii="宋体"/>
              </w:rPr>
            </w:pPr>
          </w:p>
        </w:tc>
        <w:tc>
          <w:tcPr>
            <w:tcW w:w="0" w:type="auto"/>
            <w:shd w:val="clear" w:color="auto" w:fill="auto"/>
            <w:vAlign w:val="bottom"/>
          </w:tcPr>
          <w:p w14:paraId="74DD73B8" w14:textId="77777777" w:rsidR="00584EC1" w:rsidRDefault="00584EC1">
            <w:pPr>
              <w:rPr>
                <w:rFonts w:ascii="宋体"/>
                <w:vanish/>
              </w:rPr>
            </w:pPr>
          </w:p>
        </w:tc>
        <w:tc>
          <w:tcPr>
            <w:tcW w:w="0" w:type="auto"/>
            <w:shd w:val="clear" w:color="auto" w:fill="auto"/>
            <w:vAlign w:val="bottom"/>
          </w:tcPr>
          <w:p w14:paraId="74DD73B9" w14:textId="77777777" w:rsidR="00584EC1" w:rsidRDefault="00584EC1">
            <w:pPr>
              <w:rPr>
                <w:rFonts w:ascii="宋体"/>
                <w:vanish/>
              </w:rPr>
            </w:pPr>
          </w:p>
        </w:tc>
        <w:tc>
          <w:tcPr>
            <w:tcW w:w="0" w:type="auto"/>
            <w:shd w:val="clear" w:color="auto" w:fill="auto"/>
            <w:vAlign w:val="bottom"/>
          </w:tcPr>
          <w:p w14:paraId="74DD73BA" w14:textId="77777777" w:rsidR="00584EC1" w:rsidRDefault="00584EC1">
            <w:pPr>
              <w:rPr>
                <w:rFonts w:ascii="宋体"/>
                <w:vanish/>
              </w:rPr>
            </w:pPr>
          </w:p>
        </w:tc>
        <w:tc>
          <w:tcPr>
            <w:tcW w:w="0" w:type="auto"/>
            <w:gridSpan w:val="3"/>
            <w:shd w:val="clear" w:color="auto" w:fill="auto"/>
            <w:vAlign w:val="bottom"/>
          </w:tcPr>
          <w:p w14:paraId="74DD73BB" w14:textId="77777777" w:rsidR="00584EC1" w:rsidRDefault="00584EC1">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73BC"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73BD" w14:textId="77777777" w:rsidR="00584EC1" w:rsidRDefault="00871F8D">
            <w:pPr>
              <w:jc w:val="right"/>
              <w:textAlignment w:val="bottom"/>
            </w:pPr>
            <w:r>
              <w:rPr>
                <w:rFonts w:ascii="Arial" w:eastAsia="宋体" w:hAnsi="Arial" w:cs="Arial"/>
                <w:color w:val="000000"/>
                <w:sz w:val="12"/>
                <w:szCs w:val="12"/>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3B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3BF"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73C0"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73C1" w14:textId="77777777" w:rsidR="00584EC1" w:rsidRDefault="00871F8D">
            <w:pPr>
              <w:jc w:val="right"/>
              <w:textAlignment w:val="bottom"/>
            </w:pPr>
            <w:r>
              <w:rPr>
                <w:rFonts w:ascii="Arial" w:eastAsia="宋体" w:hAnsi="Arial" w:cs="Arial"/>
                <w:color w:val="000000"/>
                <w:sz w:val="12"/>
                <w:szCs w:val="12"/>
              </w:rPr>
              <w:t>198 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3C2" w14:textId="77777777" w:rsidR="00584EC1" w:rsidRDefault="00584EC1">
            <w:pPr>
              <w:jc w:val="right"/>
              <w:rPr>
                <w:rFonts w:ascii="宋体"/>
              </w:rPr>
            </w:pPr>
          </w:p>
        </w:tc>
      </w:tr>
      <w:tr w:rsidR="00584EC1" w14:paraId="74DD73D0" w14:textId="77777777">
        <w:trPr>
          <w:hidden/>
        </w:trPr>
        <w:tc>
          <w:tcPr>
            <w:tcW w:w="0" w:type="auto"/>
            <w:gridSpan w:val="3"/>
            <w:shd w:val="clear" w:color="auto" w:fill="auto"/>
            <w:vAlign w:val="bottom"/>
          </w:tcPr>
          <w:p w14:paraId="74DD73C4" w14:textId="77777777" w:rsidR="00584EC1" w:rsidRDefault="00584EC1">
            <w:pPr>
              <w:rPr>
                <w:rFonts w:ascii="宋体"/>
                <w:vanish/>
              </w:rPr>
            </w:pPr>
          </w:p>
        </w:tc>
        <w:tc>
          <w:tcPr>
            <w:tcW w:w="0" w:type="auto"/>
            <w:gridSpan w:val="3"/>
            <w:shd w:val="clear" w:color="auto" w:fill="auto"/>
            <w:vAlign w:val="bottom"/>
          </w:tcPr>
          <w:p w14:paraId="74DD73C5" w14:textId="77777777" w:rsidR="00584EC1" w:rsidRDefault="00584EC1">
            <w:pPr>
              <w:rPr>
                <w:rFonts w:ascii="宋体"/>
                <w:vanish/>
              </w:rPr>
            </w:pPr>
          </w:p>
        </w:tc>
        <w:tc>
          <w:tcPr>
            <w:tcW w:w="0" w:type="auto"/>
            <w:gridSpan w:val="3"/>
            <w:shd w:val="clear" w:color="auto" w:fill="auto"/>
            <w:vAlign w:val="bottom"/>
          </w:tcPr>
          <w:p w14:paraId="74DD73C6" w14:textId="77777777" w:rsidR="00584EC1" w:rsidRDefault="00584EC1">
            <w:pPr>
              <w:rPr>
                <w:rFonts w:ascii="宋体"/>
                <w:vanish/>
              </w:rPr>
            </w:pPr>
          </w:p>
        </w:tc>
        <w:tc>
          <w:tcPr>
            <w:tcW w:w="0" w:type="auto"/>
            <w:gridSpan w:val="3"/>
            <w:shd w:val="clear" w:color="auto" w:fill="auto"/>
            <w:vAlign w:val="bottom"/>
          </w:tcPr>
          <w:p w14:paraId="74DD73C7" w14:textId="77777777" w:rsidR="00584EC1" w:rsidRDefault="00584EC1">
            <w:pPr>
              <w:rPr>
                <w:rFonts w:ascii="宋体"/>
                <w:vanish/>
              </w:rPr>
            </w:pPr>
          </w:p>
        </w:tc>
        <w:tc>
          <w:tcPr>
            <w:tcW w:w="0" w:type="auto"/>
            <w:gridSpan w:val="3"/>
            <w:shd w:val="clear" w:color="auto" w:fill="auto"/>
            <w:vAlign w:val="bottom"/>
          </w:tcPr>
          <w:p w14:paraId="74DD73C8" w14:textId="77777777" w:rsidR="00584EC1" w:rsidRDefault="00584EC1">
            <w:pPr>
              <w:rPr>
                <w:rFonts w:ascii="宋体"/>
                <w:vanish/>
              </w:rPr>
            </w:pPr>
          </w:p>
        </w:tc>
        <w:tc>
          <w:tcPr>
            <w:tcW w:w="0" w:type="auto"/>
            <w:shd w:val="clear" w:color="auto" w:fill="auto"/>
            <w:vAlign w:val="bottom"/>
          </w:tcPr>
          <w:p w14:paraId="74DD73C9" w14:textId="77777777" w:rsidR="00584EC1" w:rsidRDefault="00584EC1">
            <w:pPr>
              <w:rPr>
                <w:rFonts w:ascii="宋体"/>
                <w:vanish/>
              </w:rPr>
            </w:pPr>
          </w:p>
        </w:tc>
        <w:tc>
          <w:tcPr>
            <w:tcW w:w="0" w:type="auto"/>
            <w:shd w:val="clear" w:color="auto" w:fill="auto"/>
            <w:vAlign w:val="bottom"/>
          </w:tcPr>
          <w:p w14:paraId="74DD73CA" w14:textId="77777777" w:rsidR="00584EC1" w:rsidRDefault="00584EC1">
            <w:pPr>
              <w:rPr>
                <w:rFonts w:ascii="宋体"/>
                <w:vanish/>
              </w:rPr>
            </w:pPr>
          </w:p>
        </w:tc>
        <w:tc>
          <w:tcPr>
            <w:tcW w:w="0" w:type="auto"/>
            <w:shd w:val="clear" w:color="auto" w:fill="auto"/>
            <w:vAlign w:val="bottom"/>
          </w:tcPr>
          <w:p w14:paraId="74DD73CB" w14:textId="77777777" w:rsidR="00584EC1" w:rsidRDefault="00584EC1">
            <w:pPr>
              <w:rPr>
                <w:rFonts w:ascii="宋体"/>
                <w:vanish/>
              </w:rPr>
            </w:pPr>
          </w:p>
        </w:tc>
        <w:tc>
          <w:tcPr>
            <w:tcW w:w="0" w:type="auto"/>
            <w:gridSpan w:val="3"/>
            <w:shd w:val="clear" w:color="auto" w:fill="auto"/>
            <w:vAlign w:val="bottom"/>
          </w:tcPr>
          <w:p w14:paraId="74DD73CC" w14:textId="77777777" w:rsidR="00584EC1" w:rsidRDefault="00584EC1">
            <w:pPr>
              <w:rPr>
                <w:rFonts w:ascii="宋体"/>
                <w:vanish/>
              </w:rPr>
            </w:pPr>
          </w:p>
        </w:tc>
        <w:tc>
          <w:tcPr>
            <w:tcW w:w="0" w:type="auto"/>
            <w:gridSpan w:val="3"/>
            <w:shd w:val="clear" w:color="auto" w:fill="auto"/>
            <w:vAlign w:val="bottom"/>
          </w:tcPr>
          <w:p w14:paraId="74DD73CD" w14:textId="77777777" w:rsidR="00584EC1" w:rsidRDefault="00584EC1">
            <w:pPr>
              <w:rPr>
                <w:rFonts w:ascii="宋体"/>
                <w:vanish/>
              </w:rPr>
            </w:pPr>
          </w:p>
        </w:tc>
        <w:tc>
          <w:tcPr>
            <w:tcW w:w="0" w:type="auto"/>
            <w:gridSpan w:val="3"/>
            <w:shd w:val="clear" w:color="auto" w:fill="auto"/>
            <w:vAlign w:val="bottom"/>
          </w:tcPr>
          <w:p w14:paraId="74DD73CE" w14:textId="77777777" w:rsidR="00584EC1" w:rsidRDefault="00584EC1">
            <w:pPr>
              <w:rPr>
                <w:rFonts w:ascii="宋体"/>
                <w:vanish/>
              </w:rPr>
            </w:pPr>
          </w:p>
        </w:tc>
        <w:tc>
          <w:tcPr>
            <w:tcW w:w="0" w:type="auto"/>
            <w:gridSpan w:val="3"/>
            <w:shd w:val="clear" w:color="auto" w:fill="auto"/>
            <w:vAlign w:val="bottom"/>
          </w:tcPr>
          <w:p w14:paraId="74DD73CF" w14:textId="77777777" w:rsidR="00584EC1" w:rsidRDefault="00584EC1">
            <w:pPr>
              <w:rPr>
                <w:rFonts w:ascii="宋体"/>
                <w:vanish/>
              </w:rPr>
            </w:pPr>
          </w:p>
        </w:tc>
      </w:tr>
      <w:tr w:rsidR="00584EC1" w14:paraId="74DD73E1" w14:textId="77777777">
        <w:tc>
          <w:tcPr>
            <w:tcW w:w="0" w:type="auto"/>
            <w:gridSpan w:val="3"/>
            <w:shd w:val="clear" w:color="auto" w:fill="FFFFFF"/>
            <w:tcMar>
              <w:top w:w="40" w:type="dxa"/>
              <w:left w:w="20" w:type="dxa"/>
              <w:bottom w:w="40" w:type="dxa"/>
              <w:right w:w="20" w:type="dxa"/>
            </w:tcMar>
            <w:vAlign w:val="bottom"/>
          </w:tcPr>
          <w:p w14:paraId="74DD73D1" w14:textId="77777777" w:rsidR="00584EC1" w:rsidRDefault="00871F8D">
            <w:pPr>
              <w:textAlignment w:val="bottom"/>
            </w:pPr>
            <w:r>
              <w:rPr>
                <w:rFonts w:ascii="Arial" w:eastAsia="宋体" w:hAnsi="Arial" w:cs="Arial"/>
                <w:color w:val="000000"/>
                <w:sz w:val="12"/>
                <w:szCs w:val="12"/>
              </w:rPr>
              <w:t>Payments and Other Adjustments</w:t>
            </w:r>
          </w:p>
        </w:tc>
        <w:tc>
          <w:tcPr>
            <w:tcW w:w="0" w:type="auto"/>
            <w:gridSpan w:val="2"/>
            <w:shd w:val="clear" w:color="auto" w:fill="FFFFFF"/>
            <w:tcMar>
              <w:top w:w="40" w:type="dxa"/>
              <w:left w:w="20" w:type="dxa"/>
              <w:bottom w:w="40" w:type="dxa"/>
              <w:right w:w="0" w:type="dxa"/>
            </w:tcMar>
            <w:vAlign w:val="bottom"/>
          </w:tcPr>
          <w:p w14:paraId="74DD73D2" w14:textId="77777777" w:rsidR="00584EC1" w:rsidRDefault="00871F8D">
            <w:pPr>
              <w:jc w:val="right"/>
              <w:textAlignment w:val="bottom"/>
            </w:pPr>
            <w:r>
              <w:rPr>
                <w:rFonts w:ascii="Arial" w:eastAsia="宋体" w:hAnsi="Arial" w:cs="Arial"/>
                <w:color w:val="000000"/>
                <w:sz w:val="12"/>
                <w:szCs w:val="12"/>
              </w:rPr>
              <w:t>(33)</w:t>
            </w:r>
          </w:p>
        </w:tc>
        <w:tc>
          <w:tcPr>
            <w:tcW w:w="0" w:type="auto"/>
            <w:shd w:val="clear" w:color="auto" w:fill="FFFFFF"/>
            <w:tcMar>
              <w:top w:w="40" w:type="dxa"/>
              <w:left w:w="0" w:type="dxa"/>
              <w:bottom w:w="40" w:type="dxa"/>
              <w:right w:w="20" w:type="dxa"/>
            </w:tcMar>
            <w:vAlign w:val="bottom"/>
          </w:tcPr>
          <w:p w14:paraId="74DD73D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3D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3D5" w14:textId="77777777" w:rsidR="00584EC1" w:rsidRDefault="00871F8D">
            <w:pPr>
              <w:jc w:val="right"/>
              <w:textAlignment w:val="bottom"/>
            </w:pPr>
            <w:r>
              <w:rPr>
                <w:rFonts w:ascii="Arial" w:eastAsia="宋体" w:hAnsi="Arial" w:cs="Arial"/>
                <w:color w:val="000000"/>
                <w:sz w:val="12"/>
                <w:szCs w:val="12"/>
              </w:rPr>
              <w:t>(1)</w:t>
            </w:r>
          </w:p>
        </w:tc>
        <w:tc>
          <w:tcPr>
            <w:tcW w:w="0" w:type="auto"/>
            <w:shd w:val="clear" w:color="auto" w:fill="FFFFFF"/>
            <w:tcMar>
              <w:top w:w="40" w:type="dxa"/>
              <w:left w:w="0" w:type="dxa"/>
              <w:bottom w:w="40" w:type="dxa"/>
              <w:right w:w="20" w:type="dxa"/>
            </w:tcMar>
            <w:vAlign w:val="bottom"/>
          </w:tcPr>
          <w:p w14:paraId="74DD73D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3D7" w14:textId="77777777" w:rsidR="00584EC1" w:rsidRDefault="00584EC1">
            <w:pPr>
              <w:rPr>
                <w:rFonts w:ascii="宋体"/>
              </w:rPr>
            </w:pPr>
          </w:p>
        </w:tc>
        <w:tc>
          <w:tcPr>
            <w:tcW w:w="0" w:type="auto"/>
            <w:shd w:val="clear" w:color="auto" w:fill="auto"/>
            <w:vAlign w:val="bottom"/>
          </w:tcPr>
          <w:p w14:paraId="74DD73D8" w14:textId="77777777" w:rsidR="00584EC1" w:rsidRDefault="00584EC1">
            <w:pPr>
              <w:rPr>
                <w:rFonts w:ascii="宋体"/>
                <w:vanish/>
              </w:rPr>
            </w:pPr>
          </w:p>
        </w:tc>
        <w:tc>
          <w:tcPr>
            <w:tcW w:w="0" w:type="auto"/>
            <w:shd w:val="clear" w:color="auto" w:fill="auto"/>
            <w:vAlign w:val="bottom"/>
          </w:tcPr>
          <w:p w14:paraId="74DD73D9" w14:textId="77777777" w:rsidR="00584EC1" w:rsidRDefault="00584EC1">
            <w:pPr>
              <w:rPr>
                <w:rFonts w:ascii="宋体"/>
                <w:vanish/>
              </w:rPr>
            </w:pPr>
          </w:p>
        </w:tc>
        <w:tc>
          <w:tcPr>
            <w:tcW w:w="0" w:type="auto"/>
            <w:shd w:val="clear" w:color="auto" w:fill="auto"/>
            <w:vAlign w:val="bottom"/>
          </w:tcPr>
          <w:p w14:paraId="74DD73DA" w14:textId="77777777" w:rsidR="00584EC1" w:rsidRDefault="00584EC1">
            <w:pPr>
              <w:rPr>
                <w:rFonts w:ascii="宋体"/>
                <w:vanish/>
              </w:rPr>
            </w:pPr>
          </w:p>
        </w:tc>
        <w:tc>
          <w:tcPr>
            <w:tcW w:w="0" w:type="auto"/>
            <w:gridSpan w:val="3"/>
            <w:shd w:val="clear" w:color="auto" w:fill="auto"/>
            <w:vAlign w:val="bottom"/>
          </w:tcPr>
          <w:p w14:paraId="74DD73DB"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D73DC" w14:textId="77777777" w:rsidR="00584EC1" w:rsidRDefault="00871F8D">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73D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3D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3DF" w14:textId="77777777" w:rsidR="00584EC1" w:rsidRDefault="00871F8D">
            <w:pPr>
              <w:jc w:val="right"/>
              <w:textAlignment w:val="bottom"/>
            </w:pPr>
            <w:r>
              <w:rPr>
                <w:rFonts w:ascii="Arial" w:eastAsia="宋体" w:hAnsi="Arial" w:cs="Arial"/>
                <w:color w:val="000000"/>
                <w:sz w:val="12"/>
                <w:szCs w:val="12"/>
              </w:rPr>
              <w:t>(34)</w:t>
            </w:r>
          </w:p>
        </w:tc>
        <w:tc>
          <w:tcPr>
            <w:tcW w:w="0" w:type="auto"/>
            <w:shd w:val="clear" w:color="auto" w:fill="FFFFFF"/>
            <w:tcMar>
              <w:top w:w="40" w:type="dxa"/>
              <w:left w:w="0" w:type="dxa"/>
              <w:bottom w:w="40" w:type="dxa"/>
              <w:right w:w="20" w:type="dxa"/>
            </w:tcMar>
            <w:vAlign w:val="bottom"/>
          </w:tcPr>
          <w:p w14:paraId="74DD73E0" w14:textId="77777777" w:rsidR="00584EC1" w:rsidRDefault="00584EC1">
            <w:pPr>
              <w:jc w:val="right"/>
              <w:rPr>
                <w:rFonts w:ascii="宋体"/>
              </w:rPr>
            </w:pPr>
          </w:p>
        </w:tc>
      </w:tr>
      <w:tr w:rsidR="00584EC1" w14:paraId="74DD73F2" w14:textId="77777777">
        <w:tc>
          <w:tcPr>
            <w:tcW w:w="0" w:type="auto"/>
            <w:gridSpan w:val="3"/>
            <w:shd w:val="clear" w:color="auto" w:fill="CCEEFF"/>
            <w:tcMar>
              <w:top w:w="40" w:type="dxa"/>
              <w:left w:w="20" w:type="dxa"/>
              <w:bottom w:w="40" w:type="dxa"/>
              <w:right w:w="20" w:type="dxa"/>
            </w:tcMar>
            <w:vAlign w:val="bottom"/>
          </w:tcPr>
          <w:p w14:paraId="74DD73E2" w14:textId="77777777" w:rsidR="00584EC1" w:rsidRDefault="00871F8D">
            <w:pPr>
              <w:textAlignment w:val="bottom"/>
            </w:pPr>
            <w:r>
              <w:rPr>
                <w:rFonts w:ascii="Arial" w:eastAsia="宋体" w:hAnsi="Arial" w:cs="Arial"/>
                <w:b/>
                <w:bCs/>
                <w:color w:val="000000"/>
                <w:sz w:val="12"/>
                <w:szCs w:val="12"/>
              </w:rPr>
              <w:t>Accrual Balance at March 31, 2020</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73E3" w14:textId="77777777" w:rsidR="00584EC1" w:rsidRDefault="00871F8D">
            <w:pPr>
              <w:jc w:val="right"/>
              <w:textAlignment w:val="bottom"/>
            </w:pPr>
            <w:r>
              <w:rPr>
                <w:rFonts w:ascii="Arial" w:eastAsia="宋体" w:hAnsi="Arial" w:cs="Arial"/>
                <w:color w:val="000000"/>
                <w:sz w:val="12"/>
                <w:szCs w:val="12"/>
              </w:rPr>
              <w:t>157 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3E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3E5"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73E6" w14:textId="77777777" w:rsidR="00584EC1" w:rsidRDefault="00871F8D">
            <w:pPr>
              <w:jc w:val="right"/>
              <w:textAlignment w:val="bottom"/>
            </w:pPr>
            <w:r>
              <w:rPr>
                <w:rFonts w:ascii="Arial" w:eastAsia="宋体" w:hAnsi="Arial" w:cs="Arial"/>
                <w:color w:val="000000"/>
                <w:sz w:val="12"/>
                <w:szCs w:val="12"/>
              </w:rPr>
              <w:t>6 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3E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3E8" w14:textId="77777777" w:rsidR="00584EC1" w:rsidRDefault="00584EC1">
            <w:pPr>
              <w:rPr>
                <w:rFonts w:ascii="宋体"/>
              </w:rPr>
            </w:pPr>
          </w:p>
        </w:tc>
        <w:tc>
          <w:tcPr>
            <w:tcW w:w="0" w:type="auto"/>
            <w:shd w:val="clear" w:color="auto" w:fill="auto"/>
            <w:vAlign w:val="bottom"/>
          </w:tcPr>
          <w:p w14:paraId="74DD73E9" w14:textId="77777777" w:rsidR="00584EC1" w:rsidRDefault="00584EC1">
            <w:pPr>
              <w:rPr>
                <w:rFonts w:ascii="宋体"/>
                <w:vanish/>
              </w:rPr>
            </w:pPr>
          </w:p>
        </w:tc>
        <w:tc>
          <w:tcPr>
            <w:tcW w:w="0" w:type="auto"/>
            <w:shd w:val="clear" w:color="auto" w:fill="auto"/>
            <w:vAlign w:val="bottom"/>
          </w:tcPr>
          <w:p w14:paraId="74DD73EA" w14:textId="77777777" w:rsidR="00584EC1" w:rsidRDefault="00584EC1">
            <w:pPr>
              <w:rPr>
                <w:rFonts w:ascii="宋体"/>
                <w:vanish/>
              </w:rPr>
            </w:pPr>
          </w:p>
        </w:tc>
        <w:tc>
          <w:tcPr>
            <w:tcW w:w="0" w:type="auto"/>
            <w:shd w:val="clear" w:color="auto" w:fill="auto"/>
            <w:vAlign w:val="bottom"/>
          </w:tcPr>
          <w:p w14:paraId="74DD73EB" w14:textId="77777777" w:rsidR="00584EC1" w:rsidRDefault="00584EC1">
            <w:pPr>
              <w:rPr>
                <w:rFonts w:ascii="宋体"/>
                <w:vanish/>
              </w:rPr>
            </w:pPr>
          </w:p>
        </w:tc>
        <w:tc>
          <w:tcPr>
            <w:tcW w:w="0" w:type="auto"/>
            <w:gridSpan w:val="3"/>
            <w:shd w:val="clear" w:color="auto" w:fill="auto"/>
            <w:vAlign w:val="bottom"/>
          </w:tcPr>
          <w:p w14:paraId="74DD73EC" w14:textId="77777777" w:rsidR="00584EC1" w:rsidRDefault="00584EC1">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73ED" w14:textId="77777777" w:rsidR="00584EC1" w:rsidRDefault="00871F8D">
            <w:pPr>
              <w:jc w:val="right"/>
              <w:textAlignment w:val="bottom"/>
            </w:pPr>
            <w:r>
              <w:rPr>
                <w:rFonts w:ascii="Arial" w:eastAsia="宋体" w:hAnsi="Arial" w:cs="Arial"/>
                <w:color w:val="000000"/>
                <w:sz w:val="12"/>
                <w:szCs w:val="12"/>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3E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3EF"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73F0" w14:textId="77777777" w:rsidR="00584EC1" w:rsidRDefault="00871F8D">
            <w:pPr>
              <w:jc w:val="right"/>
              <w:textAlignment w:val="bottom"/>
            </w:pPr>
            <w:r>
              <w:rPr>
                <w:rFonts w:ascii="Arial" w:eastAsia="宋体" w:hAnsi="Arial" w:cs="Arial"/>
                <w:color w:val="000000"/>
                <w:sz w:val="12"/>
                <w:szCs w:val="12"/>
              </w:rPr>
              <w:t>164 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3F1" w14:textId="77777777" w:rsidR="00584EC1" w:rsidRDefault="00584EC1">
            <w:pPr>
              <w:jc w:val="right"/>
              <w:rPr>
                <w:rFonts w:ascii="宋体"/>
              </w:rPr>
            </w:pPr>
          </w:p>
        </w:tc>
      </w:tr>
      <w:tr w:rsidR="00584EC1" w14:paraId="74DD73FF" w14:textId="77777777">
        <w:trPr>
          <w:hidden/>
        </w:trPr>
        <w:tc>
          <w:tcPr>
            <w:tcW w:w="0" w:type="auto"/>
            <w:gridSpan w:val="3"/>
            <w:shd w:val="clear" w:color="auto" w:fill="auto"/>
            <w:vAlign w:val="bottom"/>
          </w:tcPr>
          <w:p w14:paraId="74DD73F3" w14:textId="77777777" w:rsidR="00584EC1" w:rsidRDefault="00584EC1">
            <w:pPr>
              <w:rPr>
                <w:rFonts w:ascii="宋体"/>
                <w:vanish/>
              </w:rPr>
            </w:pPr>
          </w:p>
        </w:tc>
        <w:tc>
          <w:tcPr>
            <w:tcW w:w="0" w:type="auto"/>
            <w:gridSpan w:val="3"/>
            <w:shd w:val="clear" w:color="auto" w:fill="auto"/>
            <w:vAlign w:val="bottom"/>
          </w:tcPr>
          <w:p w14:paraId="74DD73F4" w14:textId="77777777" w:rsidR="00584EC1" w:rsidRDefault="00584EC1">
            <w:pPr>
              <w:rPr>
                <w:rFonts w:ascii="宋体"/>
                <w:vanish/>
              </w:rPr>
            </w:pPr>
          </w:p>
        </w:tc>
        <w:tc>
          <w:tcPr>
            <w:tcW w:w="0" w:type="auto"/>
            <w:gridSpan w:val="3"/>
            <w:shd w:val="clear" w:color="auto" w:fill="auto"/>
            <w:vAlign w:val="bottom"/>
          </w:tcPr>
          <w:p w14:paraId="74DD73F5" w14:textId="77777777" w:rsidR="00584EC1" w:rsidRDefault="00584EC1">
            <w:pPr>
              <w:rPr>
                <w:rFonts w:ascii="宋体"/>
                <w:vanish/>
              </w:rPr>
            </w:pPr>
          </w:p>
        </w:tc>
        <w:tc>
          <w:tcPr>
            <w:tcW w:w="0" w:type="auto"/>
            <w:gridSpan w:val="3"/>
            <w:shd w:val="clear" w:color="auto" w:fill="auto"/>
            <w:vAlign w:val="bottom"/>
          </w:tcPr>
          <w:p w14:paraId="74DD73F6" w14:textId="77777777" w:rsidR="00584EC1" w:rsidRDefault="00584EC1">
            <w:pPr>
              <w:rPr>
                <w:rFonts w:ascii="宋体"/>
                <w:vanish/>
              </w:rPr>
            </w:pPr>
          </w:p>
        </w:tc>
        <w:tc>
          <w:tcPr>
            <w:tcW w:w="0" w:type="auto"/>
            <w:gridSpan w:val="3"/>
            <w:shd w:val="clear" w:color="auto" w:fill="auto"/>
            <w:vAlign w:val="bottom"/>
          </w:tcPr>
          <w:p w14:paraId="74DD73F7" w14:textId="77777777" w:rsidR="00584EC1" w:rsidRDefault="00584EC1">
            <w:pPr>
              <w:rPr>
                <w:rFonts w:ascii="宋体"/>
                <w:vanish/>
              </w:rPr>
            </w:pPr>
          </w:p>
        </w:tc>
        <w:tc>
          <w:tcPr>
            <w:tcW w:w="0" w:type="auto"/>
            <w:shd w:val="clear" w:color="auto" w:fill="auto"/>
            <w:vAlign w:val="bottom"/>
          </w:tcPr>
          <w:p w14:paraId="74DD73F8" w14:textId="77777777" w:rsidR="00584EC1" w:rsidRDefault="00584EC1">
            <w:pPr>
              <w:rPr>
                <w:rFonts w:ascii="宋体"/>
                <w:vanish/>
              </w:rPr>
            </w:pPr>
          </w:p>
        </w:tc>
        <w:tc>
          <w:tcPr>
            <w:tcW w:w="0" w:type="auto"/>
            <w:shd w:val="clear" w:color="auto" w:fill="auto"/>
            <w:vAlign w:val="bottom"/>
          </w:tcPr>
          <w:p w14:paraId="74DD73F9" w14:textId="77777777" w:rsidR="00584EC1" w:rsidRDefault="00584EC1">
            <w:pPr>
              <w:rPr>
                <w:rFonts w:ascii="宋体"/>
                <w:vanish/>
              </w:rPr>
            </w:pPr>
          </w:p>
        </w:tc>
        <w:tc>
          <w:tcPr>
            <w:tcW w:w="0" w:type="auto"/>
            <w:shd w:val="clear" w:color="auto" w:fill="auto"/>
            <w:vAlign w:val="bottom"/>
          </w:tcPr>
          <w:p w14:paraId="74DD73FA" w14:textId="77777777" w:rsidR="00584EC1" w:rsidRDefault="00584EC1">
            <w:pPr>
              <w:rPr>
                <w:rFonts w:ascii="宋体"/>
                <w:vanish/>
              </w:rPr>
            </w:pPr>
          </w:p>
        </w:tc>
        <w:tc>
          <w:tcPr>
            <w:tcW w:w="0" w:type="auto"/>
            <w:gridSpan w:val="3"/>
            <w:shd w:val="clear" w:color="auto" w:fill="auto"/>
            <w:vAlign w:val="bottom"/>
          </w:tcPr>
          <w:p w14:paraId="74DD73FB" w14:textId="77777777" w:rsidR="00584EC1" w:rsidRDefault="00584EC1">
            <w:pPr>
              <w:rPr>
                <w:rFonts w:ascii="宋体"/>
                <w:vanish/>
              </w:rPr>
            </w:pPr>
          </w:p>
        </w:tc>
        <w:tc>
          <w:tcPr>
            <w:tcW w:w="0" w:type="auto"/>
            <w:gridSpan w:val="3"/>
            <w:shd w:val="clear" w:color="auto" w:fill="auto"/>
            <w:vAlign w:val="bottom"/>
          </w:tcPr>
          <w:p w14:paraId="74DD73FC" w14:textId="77777777" w:rsidR="00584EC1" w:rsidRDefault="00584EC1">
            <w:pPr>
              <w:rPr>
                <w:rFonts w:ascii="宋体"/>
                <w:vanish/>
              </w:rPr>
            </w:pPr>
          </w:p>
        </w:tc>
        <w:tc>
          <w:tcPr>
            <w:tcW w:w="0" w:type="auto"/>
            <w:gridSpan w:val="3"/>
            <w:shd w:val="clear" w:color="auto" w:fill="auto"/>
            <w:vAlign w:val="bottom"/>
          </w:tcPr>
          <w:p w14:paraId="74DD73FD" w14:textId="77777777" w:rsidR="00584EC1" w:rsidRDefault="00584EC1">
            <w:pPr>
              <w:rPr>
                <w:rFonts w:ascii="宋体"/>
                <w:vanish/>
              </w:rPr>
            </w:pPr>
          </w:p>
        </w:tc>
        <w:tc>
          <w:tcPr>
            <w:tcW w:w="0" w:type="auto"/>
            <w:gridSpan w:val="3"/>
            <w:shd w:val="clear" w:color="auto" w:fill="auto"/>
            <w:vAlign w:val="bottom"/>
          </w:tcPr>
          <w:p w14:paraId="74DD73FE" w14:textId="77777777" w:rsidR="00584EC1" w:rsidRDefault="00584EC1">
            <w:pPr>
              <w:rPr>
                <w:rFonts w:ascii="宋体"/>
                <w:vanish/>
              </w:rPr>
            </w:pPr>
          </w:p>
        </w:tc>
      </w:tr>
      <w:tr w:rsidR="00584EC1" w14:paraId="74DD740C" w14:textId="77777777">
        <w:trPr>
          <w:hidden/>
        </w:trPr>
        <w:tc>
          <w:tcPr>
            <w:tcW w:w="0" w:type="auto"/>
            <w:gridSpan w:val="3"/>
            <w:shd w:val="clear" w:color="auto" w:fill="auto"/>
            <w:vAlign w:val="bottom"/>
          </w:tcPr>
          <w:p w14:paraId="74DD7400" w14:textId="77777777" w:rsidR="00584EC1" w:rsidRDefault="00584EC1">
            <w:pPr>
              <w:rPr>
                <w:rFonts w:ascii="宋体"/>
                <w:vanish/>
              </w:rPr>
            </w:pPr>
          </w:p>
        </w:tc>
        <w:tc>
          <w:tcPr>
            <w:tcW w:w="0" w:type="auto"/>
            <w:gridSpan w:val="3"/>
            <w:shd w:val="clear" w:color="auto" w:fill="auto"/>
            <w:vAlign w:val="bottom"/>
          </w:tcPr>
          <w:p w14:paraId="74DD7401" w14:textId="77777777" w:rsidR="00584EC1" w:rsidRDefault="00584EC1">
            <w:pPr>
              <w:rPr>
                <w:rFonts w:ascii="宋体"/>
                <w:vanish/>
              </w:rPr>
            </w:pPr>
          </w:p>
        </w:tc>
        <w:tc>
          <w:tcPr>
            <w:tcW w:w="0" w:type="auto"/>
            <w:gridSpan w:val="3"/>
            <w:shd w:val="clear" w:color="auto" w:fill="auto"/>
            <w:vAlign w:val="bottom"/>
          </w:tcPr>
          <w:p w14:paraId="74DD7402" w14:textId="77777777" w:rsidR="00584EC1" w:rsidRDefault="00584EC1">
            <w:pPr>
              <w:rPr>
                <w:rFonts w:ascii="宋体"/>
                <w:vanish/>
              </w:rPr>
            </w:pPr>
          </w:p>
        </w:tc>
        <w:tc>
          <w:tcPr>
            <w:tcW w:w="0" w:type="auto"/>
            <w:gridSpan w:val="3"/>
            <w:shd w:val="clear" w:color="auto" w:fill="auto"/>
            <w:vAlign w:val="bottom"/>
          </w:tcPr>
          <w:p w14:paraId="74DD7403" w14:textId="77777777" w:rsidR="00584EC1" w:rsidRDefault="00584EC1">
            <w:pPr>
              <w:rPr>
                <w:rFonts w:ascii="宋体"/>
                <w:vanish/>
              </w:rPr>
            </w:pPr>
          </w:p>
        </w:tc>
        <w:tc>
          <w:tcPr>
            <w:tcW w:w="0" w:type="auto"/>
            <w:gridSpan w:val="3"/>
            <w:shd w:val="clear" w:color="auto" w:fill="auto"/>
            <w:vAlign w:val="bottom"/>
          </w:tcPr>
          <w:p w14:paraId="74DD7404" w14:textId="77777777" w:rsidR="00584EC1" w:rsidRDefault="00584EC1">
            <w:pPr>
              <w:rPr>
                <w:rFonts w:ascii="宋体"/>
                <w:vanish/>
              </w:rPr>
            </w:pPr>
          </w:p>
        </w:tc>
        <w:tc>
          <w:tcPr>
            <w:tcW w:w="0" w:type="auto"/>
            <w:shd w:val="clear" w:color="auto" w:fill="auto"/>
            <w:vAlign w:val="bottom"/>
          </w:tcPr>
          <w:p w14:paraId="74DD7405" w14:textId="77777777" w:rsidR="00584EC1" w:rsidRDefault="00584EC1">
            <w:pPr>
              <w:rPr>
                <w:rFonts w:ascii="宋体"/>
                <w:vanish/>
              </w:rPr>
            </w:pPr>
          </w:p>
        </w:tc>
        <w:tc>
          <w:tcPr>
            <w:tcW w:w="0" w:type="auto"/>
            <w:shd w:val="clear" w:color="auto" w:fill="auto"/>
            <w:vAlign w:val="bottom"/>
          </w:tcPr>
          <w:p w14:paraId="74DD7406" w14:textId="77777777" w:rsidR="00584EC1" w:rsidRDefault="00584EC1">
            <w:pPr>
              <w:rPr>
                <w:rFonts w:ascii="宋体"/>
                <w:vanish/>
              </w:rPr>
            </w:pPr>
          </w:p>
        </w:tc>
        <w:tc>
          <w:tcPr>
            <w:tcW w:w="0" w:type="auto"/>
            <w:shd w:val="clear" w:color="auto" w:fill="auto"/>
            <w:vAlign w:val="bottom"/>
          </w:tcPr>
          <w:p w14:paraId="74DD7407" w14:textId="77777777" w:rsidR="00584EC1" w:rsidRDefault="00584EC1">
            <w:pPr>
              <w:rPr>
                <w:rFonts w:ascii="宋体"/>
                <w:vanish/>
              </w:rPr>
            </w:pPr>
          </w:p>
        </w:tc>
        <w:tc>
          <w:tcPr>
            <w:tcW w:w="0" w:type="auto"/>
            <w:gridSpan w:val="3"/>
            <w:shd w:val="clear" w:color="auto" w:fill="auto"/>
            <w:vAlign w:val="bottom"/>
          </w:tcPr>
          <w:p w14:paraId="74DD7408" w14:textId="77777777" w:rsidR="00584EC1" w:rsidRDefault="00584EC1">
            <w:pPr>
              <w:rPr>
                <w:rFonts w:ascii="宋体"/>
                <w:vanish/>
              </w:rPr>
            </w:pPr>
          </w:p>
        </w:tc>
        <w:tc>
          <w:tcPr>
            <w:tcW w:w="0" w:type="auto"/>
            <w:gridSpan w:val="3"/>
            <w:shd w:val="clear" w:color="auto" w:fill="auto"/>
            <w:vAlign w:val="bottom"/>
          </w:tcPr>
          <w:p w14:paraId="74DD7409" w14:textId="77777777" w:rsidR="00584EC1" w:rsidRDefault="00584EC1">
            <w:pPr>
              <w:rPr>
                <w:rFonts w:ascii="宋体"/>
                <w:vanish/>
              </w:rPr>
            </w:pPr>
          </w:p>
        </w:tc>
        <w:tc>
          <w:tcPr>
            <w:tcW w:w="0" w:type="auto"/>
            <w:gridSpan w:val="3"/>
            <w:shd w:val="clear" w:color="auto" w:fill="auto"/>
            <w:vAlign w:val="bottom"/>
          </w:tcPr>
          <w:p w14:paraId="74DD740A" w14:textId="77777777" w:rsidR="00584EC1" w:rsidRDefault="00584EC1">
            <w:pPr>
              <w:rPr>
                <w:rFonts w:ascii="宋体"/>
                <w:vanish/>
              </w:rPr>
            </w:pPr>
          </w:p>
        </w:tc>
        <w:tc>
          <w:tcPr>
            <w:tcW w:w="0" w:type="auto"/>
            <w:gridSpan w:val="3"/>
            <w:shd w:val="clear" w:color="auto" w:fill="auto"/>
            <w:vAlign w:val="bottom"/>
          </w:tcPr>
          <w:p w14:paraId="74DD740B" w14:textId="77777777" w:rsidR="00584EC1" w:rsidRDefault="00584EC1">
            <w:pPr>
              <w:rPr>
                <w:rFonts w:ascii="宋体"/>
                <w:vanish/>
              </w:rPr>
            </w:pPr>
          </w:p>
        </w:tc>
      </w:tr>
      <w:tr w:rsidR="00584EC1" w14:paraId="74DD741D" w14:textId="77777777">
        <w:tc>
          <w:tcPr>
            <w:tcW w:w="0" w:type="auto"/>
            <w:gridSpan w:val="3"/>
            <w:shd w:val="clear" w:color="auto" w:fill="FFFFFF"/>
            <w:tcMar>
              <w:top w:w="40" w:type="dxa"/>
              <w:left w:w="20" w:type="dxa"/>
              <w:bottom w:w="40" w:type="dxa"/>
              <w:right w:w="20" w:type="dxa"/>
            </w:tcMar>
            <w:vAlign w:val="bottom"/>
          </w:tcPr>
          <w:p w14:paraId="74DD740D" w14:textId="77777777" w:rsidR="00584EC1" w:rsidRDefault="00871F8D">
            <w:pPr>
              <w:textAlignment w:val="bottom"/>
            </w:pPr>
            <w:r>
              <w:rPr>
                <w:rFonts w:ascii="Arial" w:eastAsia="宋体" w:hAnsi="Arial" w:cs="Arial"/>
                <w:color w:val="000000"/>
                <w:sz w:val="12"/>
                <w:szCs w:val="12"/>
              </w:rPr>
              <w:t>Payments and Other Adjustments</w:t>
            </w:r>
          </w:p>
        </w:tc>
        <w:tc>
          <w:tcPr>
            <w:tcW w:w="0" w:type="auto"/>
            <w:gridSpan w:val="2"/>
            <w:shd w:val="clear" w:color="auto" w:fill="FFFFFF"/>
            <w:tcMar>
              <w:top w:w="40" w:type="dxa"/>
              <w:left w:w="20" w:type="dxa"/>
              <w:bottom w:w="40" w:type="dxa"/>
              <w:right w:w="0" w:type="dxa"/>
            </w:tcMar>
            <w:vAlign w:val="bottom"/>
          </w:tcPr>
          <w:p w14:paraId="74DD740E" w14:textId="77777777" w:rsidR="00584EC1" w:rsidRDefault="00871F8D">
            <w:pPr>
              <w:jc w:val="right"/>
              <w:textAlignment w:val="bottom"/>
            </w:pPr>
            <w:r>
              <w:rPr>
                <w:rFonts w:ascii="Arial" w:eastAsia="宋体" w:hAnsi="Arial" w:cs="Arial"/>
                <w:color w:val="000000"/>
                <w:sz w:val="12"/>
                <w:szCs w:val="12"/>
              </w:rPr>
              <w:t>(25)</w:t>
            </w:r>
          </w:p>
        </w:tc>
        <w:tc>
          <w:tcPr>
            <w:tcW w:w="0" w:type="auto"/>
            <w:shd w:val="clear" w:color="auto" w:fill="FFFFFF"/>
            <w:tcMar>
              <w:top w:w="40" w:type="dxa"/>
              <w:left w:w="0" w:type="dxa"/>
              <w:bottom w:w="40" w:type="dxa"/>
              <w:right w:w="20" w:type="dxa"/>
            </w:tcMar>
            <w:vAlign w:val="bottom"/>
          </w:tcPr>
          <w:p w14:paraId="74DD740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41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411" w14:textId="77777777" w:rsidR="00584EC1" w:rsidRDefault="00871F8D">
            <w:pPr>
              <w:jc w:val="right"/>
              <w:textAlignment w:val="bottom"/>
            </w:pPr>
            <w:r>
              <w:rPr>
                <w:rFonts w:ascii="Arial" w:eastAsia="宋体" w:hAnsi="Arial" w:cs="Arial"/>
                <w:color w:val="000000"/>
                <w:sz w:val="12"/>
                <w:szCs w:val="12"/>
              </w:rPr>
              <w:t>(1)</w:t>
            </w:r>
          </w:p>
        </w:tc>
        <w:tc>
          <w:tcPr>
            <w:tcW w:w="0" w:type="auto"/>
            <w:shd w:val="clear" w:color="auto" w:fill="FFFFFF"/>
            <w:tcMar>
              <w:top w:w="40" w:type="dxa"/>
              <w:left w:w="0" w:type="dxa"/>
              <w:bottom w:w="40" w:type="dxa"/>
              <w:right w:w="20" w:type="dxa"/>
            </w:tcMar>
            <w:vAlign w:val="bottom"/>
          </w:tcPr>
          <w:p w14:paraId="74DD741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413" w14:textId="77777777" w:rsidR="00584EC1" w:rsidRDefault="00584EC1">
            <w:pPr>
              <w:rPr>
                <w:rFonts w:ascii="宋体"/>
              </w:rPr>
            </w:pPr>
          </w:p>
        </w:tc>
        <w:tc>
          <w:tcPr>
            <w:tcW w:w="0" w:type="auto"/>
            <w:shd w:val="clear" w:color="auto" w:fill="auto"/>
            <w:vAlign w:val="bottom"/>
          </w:tcPr>
          <w:p w14:paraId="74DD7414" w14:textId="77777777" w:rsidR="00584EC1" w:rsidRDefault="00584EC1">
            <w:pPr>
              <w:rPr>
                <w:rFonts w:ascii="宋体"/>
                <w:vanish/>
              </w:rPr>
            </w:pPr>
          </w:p>
        </w:tc>
        <w:tc>
          <w:tcPr>
            <w:tcW w:w="0" w:type="auto"/>
            <w:shd w:val="clear" w:color="auto" w:fill="auto"/>
            <w:vAlign w:val="bottom"/>
          </w:tcPr>
          <w:p w14:paraId="74DD7415" w14:textId="77777777" w:rsidR="00584EC1" w:rsidRDefault="00584EC1">
            <w:pPr>
              <w:rPr>
                <w:rFonts w:ascii="宋体"/>
                <w:vanish/>
              </w:rPr>
            </w:pPr>
          </w:p>
        </w:tc>
        <w:tc>
          <w:tcPr>
            <w:tcW w:w="0" w:type="auto"/>
            <w:shd w:val="clear" w:color="auto" w:fill="auto"/>
            <w:vAlign w:val="bottom"/>
          </w:tcPr>
          <w:p w14:paraId="74DD7416" w14:textId="77777777" w:rsidR="00584EC1" w:rsidRDefault="00584EC1">
            <w:pPr>
              <w:rPr>
                <w:rFonts w:ascii="宋体"/>
                <w:vanish/>
              </w:rPr>
            </w:pPr>
          </w:p>
        </w:tc>
        <w:tc>
          <w:tcPr>
            <w:tcW w:w="0" w:type="auto"/>
            <w:gridSpan w:val="3"/>
            <w:shd w:val="clear" w:color="auto" w:fill="auto"/>
            <w:vAlign w:val="bottom"/>
          </w:tcPr>
          <w:p w14:paraId="74DD7417"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D7418" w14:textId="77777777" w:rsidR="00584EC1" w:rsidRDefault="00871F8D">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741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41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41B" w14:textId="77777777" w:rsidR="00584EC1" w:rsidRDefault="00871F8D">
            <w:pPr>
              <w:jc w:val="right"/>
              <w:textAlignment w:val="bottom"/>
            </w:pPr>
            <w:r>
              <w:rPr>
                <w:rFonts w:ascii="Arial" w:eastAsia="宋体" w:hAnsi="Arial" w:cs="Arial"/>
                <w:color w:val="000000"/>
                <w:sz w:val="12"/>
                <w:szCs w:val="12"/>
              </w:rPr>
              <w:t>(26)</w:t>
            </w:r>
          </w:p>
        </w:tc>
        <w:tc>
          <w:tcPr>
            <w:tcW w:w="0" w:type="auto"/>
            <w:shd w:val="clear" w:color="auto" w:fill="FFFFFF"/>
            <w:tcMar>
              <w:top w:w="40" w:type="dxa"/>
              <w:left w:w="0" w:type="dxa"/>
              <w:bottom w:w="40" w:type="dxa"/>
              <w:right w:w="20" w:type="dxa"/>
            </w:tcMar>
            <w:vAlign w:val="bottom"/>
          </w:tcPr>
          <w:p w14:paraId="74DD741C" w14:textId="77777777" w:rsidR="00584EC1" w:rsidRDefault="00584EC1">
            <w:pPr>
              <w:jc w:val="right"/>
              <w:rPr>
                <w:rFonts w:ascii="宋体"/>
              </w:rPr>
            </w:pPr>
          </w:p>
        </w:tc>
      </w:tr>
      <w:tr w:rsidR="00584EC1" w14:paraId="74DD7432" w14:textId="77777777">
        <w:tc>
          <w:tcPr>
            <w:tcW w:w="0" w:type="auto"/>
            <w:gridSpan w:val="3"/>
            <w:shd w:val="clear" w:color="auto" w:fill="CCEEFF"/>
            <w:tcMar>
              <w:top w:w="40" w:type="dxa"/>
              <w:left w:w="20" w:type="dxa"/>
              <w:bottom w:w="40" w:type="dxa"/>
              <w:right w:w="20" w:type="dxa"/>
            </w:tcMar>
            <w:vAlign w:val="bottom"/>
          </w:tcPr>
          <w:p w14:paraId="74DD741E" w14:textId="77777777" w:rsidR="00584EC1" w:rsidRDefault="00871F8D">
            <w:pPr>
              <w:textAlignment w:val="bottom"/>
            </w:pPr>
            <w:r>
              <w:rPr>
                <w:rFonts w:ascii="Arial" w:eastAsia="宋体" w:hAnsi="Arial" w:cs="Arial"/>
                <w:b/>
                <w:bCs/>
                <w:color w:val="000000"/>
                <w:sz w:val="12"/>
                <w:szCs w:val="12"/>
              </w:rPr>
              <w:t>Accrual Balance at June 30, 2020</w:t>
            </w:r>
          </w:p>
        </w:tc>
        <w:tc>
          <w:tcPr>
            <w:tcW w:w="0" w:type="auto"/>
            <w:tcBorders>
              <w:top w:val="single" w:sz="8" w:space="0" w:color="000000"/>
            </w:tcBorders>
            <w:shd w:val="clear" w:color="auto" w:fill="CCEEFF"/>
            <w:tcMar>
              <w:top w:w="40" w:type="dxa"/>
              <w:left w:w="20" w:type="dxa"/>
              <w:bottom w:w="40" w:type="dxa"/>
              <w:right w:w="0" w:type="dxa"/>
            </w:tcMar>
            <w:vAlign w:val="bottom"/>
          </w:tcPr>
          <w:p w14:paraId="74DD741F"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7420" w14:textId="77777777" w:rsidR="00584EC1" w:rsidRDefault="00871F8D">
            <w:pPr>
              <w:jc w:val="right"/>
              <w:textAlignment w:val="bottom"/>
            </w:pPr>
            <w:r>
              <w:rPr>
                <w:rFonts w:ascii="Arial" w:eastAsia="宋体" w:hAnsi="Arial" w:cs="Arial"/>
                <w:color w:val="000000"/>
                <w:sz w:val="12"/>
                <w:szCs w:val="12"/>
              </w:rPr>
              <w:t>132 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42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422"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7423"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7424" w14:textId="77777777" w:rsidR="00584EC1" w:rsidRDefault="00871F8D">
            <w:pPr>
              <w:jc w:val="right"/>
              <w:textAlignment w:val="bottom"/>
            </w:pPr>
            <w:r>
              <w:rPr>
                <w:rFonts w:ascii="Arial" w:eastAsia="宋体" w:hAnsi="Arial" w:cs="Arial"/>
                <w:color w:val="000000"/>
                <w:sz w:val="12"/>
                <w:szCs w:val="12"/>
              </w:rPr>
              <w:t>5 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42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426" w14:textId="77777777" w:rsidR="00584EC1" w:rsidRDefault="00584EC1">
            <w:pPr>
              <w:rPr>
                <w:rFonts w:ascii="宋体"/>
              </w:rPr>
            </w:pPr>
          </w:p>
        </w:tc>
        <w:tc>
          <w:tcPr>
            <w:tcW w:w="0" w:type="auto"/>
            <w:shd w:val="clear" w:color="auto" w:fill="auto"/>
            <w:vAlign w:val="bottom"/>
          </w:tcPr>
          <w:p w14:paraId="74DD7427" w14:textId="77777777" w:rsidR="00584EC1" w:rsidRDefault="00584EC1">
            <w:pPr>
              <w:rPr>
                <w:rFonts w:ascii="宋体"/>
                <w:vanish/>
              </w:rPr>
            </w:pPr>
          </w:p>
        </w:tc>
        <w:tc>
          <w:tcPr>
            <w:tcW w:w="0" w:type="auto"/>
            <w:shd w:val="clear" w:color="auto" w:fill="auto"/>
            <w:vAlign w:val="bottom"/>
          </w:tcPr>
          <w:p w14:paraId="74DD7428" w14:textId="77777777" w:rsidR="00584EC1" w:rsidRDefault="00584EC1">
            <w:pPr>
              <w:rPr>
                <w:rFonts w:ascii="宋体"/>
                <w:vanish/>
              </w:rPr>
            </w:pPr>
          </w:p>
        </w:tc>
        <w:tc>
          <w:tcPr>
            <w:tcW w:w="0" w:type="auto"/>
            <w:shd w:val="clear" w:color="auto" w:fill="auto"/>
            <w:vAlign w:val="bottom"/>
          </w:tcPr>
          <w:p w14:paraId="74DD7429" w14:textId="77777777" w:rsidR="00584EC1" w:rsidRDefault="00584EC1">
            <w:pPr>
              <w:rPr>
                <w:rFonts w:ascii="宋体"/>
                <w:vanish/>
              </w:rPr>
            </w:pPr>
          </w:p>
        </w:tc>
        <w:tc>
          <w:tcPr>
            <w:tcW w:w="0" w:type="auto"/>
            <w:gridSpan w:val="3"/>
            <w:shd w:val="clear" w:color="auto" w:fill="auto"/>
            <w:vAlign w:val="bottom"/>
          </w:tcPr>
          <w:p w14:paraId="74DD742A" w14:textId="77777777" w:rsidR="00584EC1" w:rsidRDefault="00584EC1">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742B"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742C" w14:textId="77777777" w:rsidR="00584EC1" w:rsidRDefault="00871F8D">
            <w:pPr>
              <w:jc w:val="right"/>
              <w:textAlignment w:val="bottom"/>
            </w:pPr>
            <w:r>
              <w:rPr>
                <w:rFonts w:ascii="Arial" w:eastAsia="宋体" w:hAnsi="Arial" w:cs="Arial"/>
                <w:color w:val="000000"/>
                <w:sz w:val="12"/>
                <w:szCs w:val="12"/>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42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42E"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742F"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7430" w14:textId="77777777" w:rsidR="00584EC1" w:rsidRDefault="00871F8D">
            <w:pPr>
              <w:jc w:val="right"/>
              <w:textAlignment w:val="bottom"/>
            </w:pPr>
            <w:r>
              <w:rPr>
                <w:rFonts w:ascii="Arial" w:eastAsia="宋体" w:hAnsi="Arial" w:cs="Arial"/>
                <w:color w:val="000000"/>
                <w:sz w:val="12"/>
                <w:szCs w:val="12"/>
              </w:rPr>
              <w:t>138 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431" w14:textId="77777777" w:rsidR="00584EC1" w:rsidRDefault="00584EC1">
            <w:pPr>
              <w:jc w:val="right"/>
              <w:rPr>
                <w:rFonts w:ascii="宋体"/>
              </w:rPr>
            </w:pPr>
          </w:p>
        </w:tc>
      </w:tr>
      <w:tr w:rsidR="00584EC1" w14:paraId="74DD7443" w14:textId="77777777">
        <w:tc>
          <w:tcPr>
            <w:tcW w:w="0" w:type="auto"/>
            <w:gridSpan w:val="3"/>
            <w:shd w:val="clear" w:color="auto" w:fill="FFFFFF"/>
            <w:tcMar>
              <w:top w:w="40" w:type="dxa"/>
              <w:left w:w="20" w:type="dxa"/>
              <w:bottom w:w="40" w:type="dxa"/>
              <w:right w:w="20" w:type="dxa"/>
            </w:tcMar>
            <w:vAlign w:val="bottom"/>
          </w:tcPr>
          <w:p w14:paraId="74DD7433" w14:textId="77777777" w:rsidR="00584EC1" w:rsidRDefault="00871F8D">
            <w:pPr>
              <w:textAlignment w:val="bottom"/>
            </w:pPr>
            <w:r>
              <w:rPr>
                <w:rFonts w:ascii="Arial" w:eastAsia="宋体" w:hAnsi="Arial" w:cs="Arial"/>
                <w:color w:val="000000"/>
                <w:sz w:val="12"/>
                <w:szCs w:val="12"/>
              </w:rPr>
              <w:t>Payments and Other Adjustments</w:t>
            </w:r>
          </w:p>
        </w:tc>
        <w:tc>
          <w:tcPr>
            <w:tcW w:w="0" w:type="auto"/>
            <w:gridSpan w:val="2"/>
            <w:shd w:val="clear" w:color="auto" w:fill="FFFFFF"/>
            <w:tcMar>
              <w:top w:w="40" w:type="dxa"/>
              <w:left w:w="20" w:type="dxa"/>
              <w:bottom w:w="40" w:type="dxa"/>
              <w:right w:w="0" w:type="dxa"/>
            </w:tcMar>
            <w:vAlign w:val="bottom"/>
          </w:tcPr>
          <w:p w14:paraId="74DD7434" w14:textId="77777777" w:rsidR="00584EC1" w:rsidRDefault="00871F8D">
            <w:pPr>
              <w:jc w:val="right"/>
              <w:textAlignment w:val="bottom"/>
            </w:pPr>
            <w:r>
              <w:rPr>
                <w:rFonts w:ascii="Arial" w:eastAsia="宋体" w:hAnsi="Arial" w:cs="Arial"/>
                <w:color w:val="000000"/>
                <w:sz w:val="12"/>
                <w:szCs w:val="12"/>
              </w:rPr>
              <w:t>(10)</w:t>
            </w:r>
          </w:p>
        </w:tc>
        <w:tc>
          <w:tcPr>
            <w:tcW w:w="0" w:type="auto"/>
            <w:shd w:val="clear" w:color="auto" w:fill="FFFFFF"/>
            <w:tcMar>
              <w:top w:w="40" w:type="dxa"/>
              <w:left w:w="0" w:type="dxa"/>
              <w:bottom w:w="40" w:type="dxa"/>
              <w:right w:w="20" w:type="dxa"/>
            </w:tcMar>
            <w:vAlign w:val="bottom"/>
          </w:tcPr>
          <w:p w14:paraId="74DD743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43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437" w14:textId="77777777" w:rsidR="00584EC1" w:rsidRDefault="00871F8D">
            <w:pPr>
              <w:jc w:val="right"/>
              <w:textAlignment w:val="bottom"/>
            </w:pPr>
            <w:r>
              <w:rPr>
                <w:rFonts w:ascii="Arial" w:eastAsia="宋体" w:hAnsi="Arial" w:cs="Arial"/>
                <w:color w:val="000000"/>
                <w:sz w:val="12"/>
                <w:szCs w:val="12"/>
              </w:rPr>
              <w:t>1 </w:t>
            </w:r>
          </w:p>
        </w:tc>
        <w:tc>
          <w:tcPr>
            <w:tcW w:w="0" w:type="auto"/>
            <w:shd w:val="clear" w:color="auto" w:fill="FFFFFF"/>
            <w:tcMar>
              <w:top w:w="40" w:type="dxa"/>
              <w:left w:w="0" w:type="dxa"/>
              <w:bottom w:w="40" w:type="dxa"/>
              <w:right w:w="20" w:type="dxa"/>
            </w:tcMar>
            <w:vAlign w:val="bottom"/>
          </w:tcPr>
          <w:p w14:paraId="74DD743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439" w14:textId="77777777" w:rsidR="00584EC1" w:rsidRDefault="00584EC1">
            <w:pPr>
              <w:rPr>
                <w:rFonts w:ascii="宋体"/>
              </w:rPr>
            </w:pPr>
          </w:p>
        </w:tc>
        <w:tc>
          <w:tcPr>
            <w:tcW w:w="0" w:type="auto"/>
            <w:shd w:val="clear" w:color="auto" w:fill="auto"/>
            <w:vAlign w:val="bottom"/>
          </w:tcPr>
          <w:p w14:paraId="74DD743A" w14:textId="77777777" w:rsidR="00584EC1" w:rsidRDefault="00584EC1">
            <w:pPr>
              <w:rPr>
                <w:rFonts w:ascii="宋体"/>
                <w:vanish/>
              </w:rPr>
            </w:pPr>
          </w:p>
        </w:tc>
        <w:tc>
          <w:tcPr>
            <w:tcW w:w="0" w:type="auto"/>
            <w:shd w:val="clear" w:color="auto" w:fill="auto"/>
            <w:vAlign w:val="bottom"/>
          </w:tcPr>
          <w:p w14:paraId="74DD743B" w14:textId="77777777" w:rsidR="00584EC1" w:rsidRDefault="00584EC1">
            <w:pPr>
              <w:rPr>
                <w:rFonts w:ascii="宋体"/>
                <w:vanish/>
              </w:rPr>
            </w:pPr>
          </w:p>
        </w:tc>
        <w:tc>
          <w:tcPr>
            <w:tcW w:w="0" w:type="auto"/>
            <w:shd w:val="clear" w:color="auto" w:fill="auto"/>
            <w:vAlign w:val="bottom"/>
          </w:tcPr>
          <w:p w14:paraId="74DD743C" w14:textId="77777777" w:rsidR="00584EC1" w:rsidRDefault="00584EC1">
            <w:pPr>
              <w:rPr>
                <w:rFonts w:ascii="宋体"/>
                <w:vanish/>
              </w:rPr>
            </w:pPr>
          </w:p>
        </w:tc>
        <w:tc>
          <w:tcPr>
            <w:tcW w:w="0" w:type="auto"/>
            <w:gridSpan w:val="3"/>
            <w:shd w:val="clear" w:color="auto" w:fill="auto"/>
            <w:vAlign w:val="bottom"/>
          </w:tcPr>
          <w:p w14:paraId="74DD743D"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D743E" w14:textId="77777777" w:rsidR="00584EC1" w:rsidRDefault="00871F8D">
            <w:pPr>
              <w:jc w:val="right"/>
              <w:textAlignment w:val="bottom"/>
            </w:pPr>
            <w:r>
              <w:rPr>
                <w:rFonts w:ascii="Arial" w:eastAsia="宋体" w:hAnsi="Arial" w:cs="Arial"/>
                <w:color w:val="000000"/>
                <w:sz w:val="12"/>
                <w:szCs w:val="12"/>
              </w:rPr>
              <w:t>(1)</w:t>
            </w:r>
          </w:p>
        </w:tc>
        <w:tc>
          <w:tcPr>
            <w:tcW w:w="0" w:type="auto"/>
            <w:shd w:val="clear" w:color="auto" w:fill="FFFFFF"/>
            <w:tcMar>
              <w:top w:w="40" w:type="dxa"/>
              <w:left w:w="0" w:type="dxa"/>
              <w:bottom w:w="40" w:type="dxa"/>
              <w:right w:w="20" w:type="dxa"/>
            </w:tcMar>
            <w:vAlign w:val="bottom"/>
          </w:tcPr>
          <w:p w14:paraId="74DD743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44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441" w14:textId="77777777" w:rsidR="00584EC1" w:rsidRDefault="00871F8D">
            <w:pPr>
              <w:jc w:val="right"/>
              <w:textAlignment w:val="bottom"/>
            </w:pPr>
            <w:r>
              <w:rPr>
                <w:rFonts w:ascii="Arial" w:eastAsia="宋体" w:hAnsi="Arial" w:cs="Arial"/>
                <w:color w:val="000000"/>
                <w:sz w:val="12"/>
                <w:szCs w:val="12"/>
              </w:rPr>
              <w:t>(10)</w:t>
            </w:r>
          </w:p>
        </w:tc>
        <w:tc>
          <w:tcPr>
            <w:tcW w:w="0" w:type="auto"/>
            <w:shd w:val="clear" w:color="auto" w:fill="FFFFFF"/>
            <w:tcMar>
              <w:top w:w="40" w:type="dxa"/>
              <w:left w:w="0" w:type="dxa"/>
              <w:bottom w:w="40" w:type="dxa"/>
              <w:right w:w="20" w:type="dxa"/>
            </w:tcMar>
            <w:vAlign w:val="bottom"/>
          </w:tcPr>
          <w:p w14:paraId="74DD7442" w14:textId="77777777" w:rsidR="00584EC1" w:rsidRDefault="00584EC1">
            <w:pPr>
              <w:jc w:val="right"/>
              <w:rPr>
                <w:rFonts w:ascii="宋体"/>
              </w:rPr>
            </w:pPr>
          </w:p>
        </w:tc>
      </w:tr>
      <w:tr w:rsidR="00584EC1" w14:paraId="74DD7458" w14:textId="77777777">
        <w:tc>
          <w:tcPr>
            <w:tcW w:w="0" w:type="auto"/>
            <w:gridSpan w:val="3"/>
            <w:shd w:val="clear" w:color="auto" w:fill="CCEEFF"/>
            <w:tcMar>
              <w:top w:w="40" w:type="dxa"/>
              <w:left w:w="20" w:type="dxa"/>
              <w:bottom w:w="40" w:type="dxa"/>
              <w:right w:w="20" w:type="dxa"/>
            </w:tcMar>
            <w:vAlign w:val="bottom"/>
          </w:tcPr>
          <w:p w14:paraId="74DD7444" w14:textId="77777777" w:rsidR="00584EC1" w:rsidRDefault="00871F8D">
            <w:pPr>
              <w:textAlignment w:val="bottom"/>
            </w:pPr>
            <w:r>
              <w:rPr>
                <w:rFonts w:ascii="Arial" w:eastAsia="宋体" w:hAnsi="Arial" w:cs="Arial"/>
                <w:b/>
                <w:bCs/>
                <w:color w:val="000000"/>
                <w:sz w:val="12"/>
                <w:szCs w:val="12"/>
              </w:rPr>
              <w:t>Accrual Balance at September 30, 2020</w:t>
            </w:r>
          </w:p>
        </w:tc>
        <w:tc>
          <w:tcPr>
            <w:tcW w:w="0" w:type="auto"/>
            <w:tcBorders>
              <w:top w:val="single" w:sz="8" w:space="0" w:color="000000"/>
            </w:tcBorders>
            <w:shd w:val="clear" w:color="auto" w:fill="CCEEFF"/>
            <w:tcMar>
              <w:top w:w="40" w:type="dxa"/>
              <w:left w:w="20" w:type="dxa"/>
              <w:bottom w:w="40" w:type="dxa"/>
              <w:right w:w="0" w:type="dxa"/>
            </w:tcMar>
            <w:vAlign w:val="bottom"/>
          </w:tcPr>
          <w:p w14:paraId="74DD7445"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7446" w14:textId="77777777" w:rsidR="00584EC1" w:rsidRDefault="00871F8D">
            <w:pPr>
              <w:jc w:val="right"/>
              <w:textAlignment w:val="bottom"/>
            </w:pPr>
            <w:r>
              <w:rPr>
                <w:rFonts w:ascii="Arial" w:eastAsia="宋体" w:hAnsi="Arial" w:cs="Arial"/>
                <w:color w:val="000000"/>
                <w:sz w:val="12"/>
                <w:szCs w:val="12"/>
              </w:rPr>
              <w:t>122 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44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448"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7449"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744A" w14:textId="77777777" w:rsidR="00584EC1" w:rsidRDefault="00871F8D">
            <w:pPr>
              <w:jc w:val="right"/>
              <w:textAlignment w:val="bottom"/>
            </w:pPr>
            <w:r>
              <w:rPr>
                <w:rFonts w:ascii="Arial" w:eastAsia="宋体" w:hAnsi="Arial" w:cs="Arial"/>
                <w:color w:val="000000"/>
                <w:sz w:val="12"/>
                <w:szCs w:val="12"/>
              </w:rPr>
              <w:t>6 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44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44C" w14:textId="77777777" w:rsidR="00584EC1" w:rsidRDefault="00584EC1">
            <w:pPr>
              <w:rPr>
                <w:rFonts w:ascii="宋体"/>
              </w:rPr>
            </w:pPr>
          </w:p>
        </w:tc>
        <w:tc>
          <w:tcPr>
            <w:tcW w:w="0" w:type="auto"/>
            <w:shd w:val="clear" w:color="auto" w:fill="auto"/>
            <w:vAlign w:val="bottom"/>
          </w:tcPr>
          <w:p w14:paraId="74DD744D" w14:textId="77777777" w:rsidR="00584EC1" w:rsidRDefault="00584EC1">
            <w:pPr>
              <w:rPr>
                <w:rFonts w:ascii="宋体"/>
                <w:vanish/>
              </w:rPr>
            </w:pPr>
          </w:p>
        </w:tc>
        <w:tc>
          <w:tcPr>
            <w:tcW w:w="0" w:type="auto"/>
            <w:shd w:val="clear" w:color="auto" w:fill="auto"/>
            <w:vAlign w:val="bottom"/>
          </w:tcPr>
          <w:p w14:paraId="74DD744E" w14:textId="77777777" w:rsidR="00584EC1" w:rsidRDefault="00584EC1">
            <w:pPr>
              <w:rPr>
                <w:rFonts w:ascii="宋体"/>
                <w:vanish/>
              </w:rPr>
            </w:pPr>
          </w:p>
        </w:tc>
        <w:tc>
          <w:tcPr>
            <w:tcW w:w="0" w:type="auto"/>
            <w:shd w:val="clear" w:color="auto" w:fill="auto"/>
            <w:vAlign w:val="bottom"/>
          </w:tcPr>
          <w:p w14:paraId="74DD744F" w14:textId="77777777" w:rsidR="00584EC1" w:rsidRDefault="00584EC1">
            <w:pPr>
              <w:rPr>
                <w:rFonts w:ascii="宋体"/>
                <w:vanish/>
              </w:rPr>
            </w:pPr>
          </w:p>
        </w:tc>
        <w:tc>
          <w:tcPr>
            <w:tcW w:w="0" w:type="auto"/>
            <w:gridSpan w:val="3"/>
            <w:shd w:val="clear" w:color="auto" w:fill="auto"/>
            <w:vAlign w:val="bottom"/>
          </w:tcPr>
          <w:p w14:paraId="74DD7450" w14:textId="77777777" w:rsidR="00584EC1" w:rsidRDefault="00584EC1">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7451"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7452" w14:textId="77777777" w:rsidR="00584EC1" w:rsidRDefault="00871F8D">
            <w:pPr>
              <w:jc w:val="right"/>
              <w:textAlignment w:val="bottom"/>
            </w:pP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45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454"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7455"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7456" w14:textId="77777777" w:rsidR="00584EC1" w:rsidRDefault="00871F8D">
            <w:pPr>
              <w:jc w:val="right"/>
              <w:textAlignment w:val="bottom"/>
            </w:pPr>
            <w:r>
              <w:rPr>
                <w:rFonts w:ascii="Arial" w:eastAsia="宋体" w:hAnsi="Arial" w:cs="Arial"/>
                <w:color w:val="000000"/>
                <w:sz w:val="12"/>
                <w:szCs w:val="12"/>
              </w:rPr>
              <w:t>128 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457" w14:textId="77777777" w:rsidR="00584EC1" w:rsidRDefault="00584EC1">
            <w:pPr>
              <w:jc w:val="right"/>
              <w:rPr>
                <w:rFonts w:ascii="宋体"/>
              </w:rPr>
            </w:pPr>
          </w:p>
        </w:tc>
      </w:tr>
      <w:tr w:rsidR="00584EC1" w14:paraId="74DD7465" w14:textId="77777777">
        <w:trPr>
          <w:trHeight w:val="60"/>
        </w:trPr>
        <w:tc>
          <w:tcPr>
            <w:tcW w:w="0" w:type="auto"/>
            <w:gridSpan w:val="3"/>
            <w:shd w:val="clear" w:color="auto" w:fill="FFFFFF"/>
            <w:tcMar>
              <w:top w:w="0" w:type="dxa"/>
              <w:left w:w="20" w:type="dxa"/>
              <w:bottom w:w="0" w:type="dxa"/>
              <w:right w:w="20" w:type="dxa"/>
            </w:tcMar>
            <w:vAlign w:val="bottom"/>
          </w:tcPr>
          <w:p w14:paraId="74DD7459"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745A"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745B"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745C"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745D" w14:textId="77777777" w:rsidR="00584EC1" w:rsidRDefault="00584EC1">
            <w:pPr>
              <w:rPr>
                <w:rFonts w:ascii="宋体"/>
              </w:rPr>
            </w:pPr>
          </w:p>
        </w:tc>
        <w:tc>
          <w:tcPr>
            <w:tcW w:w="0" w:type="auto"/>
            <w:shd w:val="clear" w:color="auto" w:fill="auto"/>
            <w:vAlign w:val="bottom"/>
          </w:tcPr>
          <w:p w14:paraId="74DD745E" w14:textId="77777777" w:rsidR="00584EC1" w:rsidRDefault="00584EC1">
            <w:pPr>
              <w:rPr>
                <w:rFonts w:ascii="宋体"/>
                <w:vanish/>
              </w:rPr>
            </w:pPr>
          </w:p>
        </w:tc>
        <w:tc>
          <w:tcPr>
            <w:tcW w:w="0" w:type="auto"/>
            <w:shd w:val="clear" w:color="auto" w:fill="auto"/>
            <w:vAlign w:val="bottom"/>
          </w:tcPr>
          <w:p w14:paraId="74DD745F" w14:textId="77777777" w:rsidR="00584EC1" w:rsidRDefault="00584EC1">
            <w:pPr>
              <w:rPr>
                <w:rFonts w:ascii="宋体"/>
                <w:vanish/>
              </w:rPr>
            </w:pPr>
          </w:p>
        </w:tc>
        <w:tc>
          <w:tcPr>
            <w:tcW w:w="0" w:type="auto"/>
            <w:shd w:val="clear" w:color="auto" w:fill="auto"/>
            <w:vAlign w:val="bottom"/>
          </w:tcPr>
          <w:p w14:paraId="74DD7460" w14:textId="77777777" w:rsidR="00584EC1" w:rsidRDefault="00584EC1">
            <w:pPr>
              <w:rPr>
                <w:rFonts w:ascii="宋体"/>
                <w:vanish/>
              </w:rPr>
            </w:pPr>
          </w:p>
        </w:tc>
        <w:tc>
          <w:tcPr>
            <w:tcW w:w="0" w:type="auto"/>
            <w:gridSpan w:val="3"/>
            <w:shd w:val="clear" w:color="auto" w:fill="auto"/>
            <w:vAlign w:val="bottom"/>
          </w:tcPr>
          <w:p w14:paraId="74DD7461" w14:textId="77777777" w:rsidR="00584EC1" w:rsidRDefault="00584EC1">
            <w:pPr>
              <w:rPr>
                <w:rFonts w:ascii="宋体"/>
                <w:vanish/>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746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7463"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7464" w14:textId="77777777" w:rsidR="00584EC1" w:rsidRDefault="00584EC1">
            <w:pPr>
              <w:rPr>
                <w:rFonts w:ascii="宋体"/>
              </w:rPr>
            </w:pPr>
          </w:p>
        </w:tc>
      </w:tr>
      <w:tr w:rsidR="00584EC1" w14:paraId="74DD747A" w14:textId="77777777">
        <w:tc>
          <w:tcPr>
            <w:tcW w:w="0" w:type="auto"/>
            <w:gridSpan w:val="3"/>
            <w:shd w:val="clear" w:color="auto" w:fill="CCEEFF"/>
            <w:tcMar>
              <w:top w:w="40" w:type="dxa"/>
              <w:left w:w="20" w:type="dxa"/>
              <w:bottom w:w="40" w:type="dxa"/>
              <w:right w:w="20" w:type="dxa"/>
            </w:tcMar>
            <w:vAlign w:val="bottom"/>
          </w:tcPr>
          <w:p w14:paraId="74DD7466" w14:textId="77777777" w:rsidR="00584EC1" w:rsidRDefault="00871F8D">
            <w:pPr>
              <w:textAlignment w:val="bottom"/>
            </w:pPr>
            <w:r>
              <w:rPr>
                <w:rFonts w:ascii="Arial" w:eastAsia="宋体" w:hAnsi="Arial" w:cs="Arial"/>
                <w:b/>
                <w:bCs/>
                <w:color w:val="000000"/>
                <w:sz w:val="12"/>
                <w:szCs w:val="12"/>
              </w:rPr>
              <w:t>Accrual Balance at December 31, 2020</w:t>
            </w:r>
          </w:p>
        </w:tc>
        <w:tc>
          <w:tcPr>
            <w:tcW w:w="0" w:type="auto"/>
            <w:shd w:val="clear" w:color="auto" w:fill="CCEEFF"/>
            <w:tcMar>
              <w:top w:w="40" w:type="dxa"/>
              <w:left w:w="20" w:type="dxa"/>
              <w:bottom w:w="40" w:type="dxa"/>
              <w:right w:w="0" w:type="dxa"/>
            </w:tcMar>
            <w:vAlign w:val="bottom"/>
          </w:tcPr>
          <w:p w14:paraId="74DD7467" w14:textId="77777777" w:rsidR="00584EC1" w:rsidRDefault="00871F8D">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74DD7468" w14:textId="77777777" w:rsidR="00584EC1" w:rsidRDefault="00871F8D">
            <w:pPr>
              <w:jc w:val="right"/>
              <w:textAlignment w:val="bottom"/>
            </w:pPr>
            <w:r>
              <w:rPr>
                <w:rFonts w:ascii="Arial" w:eastAsia="宋体" w:hAnsi="Arial" w:cs="Arial"/>
                <w:color w:val="000000"/>
                <w:sz w:val="12"/>
                <w:szCs w:val="12"/>
              </w:rPr>
              <w:t>190 </w:t>
            </w:r>
          </w:p>
        </w:tc>
        <w:tc>
          <w:tcPr>
            <w:tcW w:w="0" w:type="auto"/>
            <w:shd w:val="clear" w:color="auto" w:fill="CCEEFF"/>
            <w:tcMar>
              <w:top w:w="40" w:type="dxa"/>
              <w:left w:w="0" w:type="dxa"/>
              <w:bottom w:w="40" w:type="dxa"/>
              <w:right w:w="20" w:type="dxa"/>
            </w:tcMar>
            <w:vAlign w:val="bottom"/>
          </w:tcPr>
          <w:p w14:paraId="74DD746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46A"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746B" w14:textId="77777777" w:rsidR="00584EC1" w:rsidRDefault="00871F8D">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74DD746C" w14:textId="77777777" w:rsidR="00584EC1" w:rsidRDefault="00871F8D">
            <w:pPr>
              <w:jc w:val="right"/>
              <w:textAlignment w:val="bottom"/>
            </w:pPr>
            <w:r>
              <w:rPr>
                <w:rFonts w:ascii="Arial" w:eastAsia="宋体" w:hAnsi="Arial" w:cs="Arial"/>
                <w:color w:val="000000"/>
                <w:sz w:val="12"/>
                <w:szCs w:val="12"/>
              </w:rPr>
              <w:t>6 </w:t>
            </w:r>
          </w:p>
        </w:tc>
        <w:tc>
          <w:tcPr>
            <w:tcW w:w="0" w:type="auto"/>
            <w:shd w:val="clear" w:color="auto" w:fill="CCEEFF"/>
            <w:tcMar>
              <w:top w:w="40" w:type="dxa"/>
              <w:left w:w="0" w:type="dxa"/>
              <w:bottom w:w="40" w:type="dxa"/>
              <w:right w:w="20" w:type="dxa"/>
            </w:tcMar>
            <w:vAlign w:val="bottom"/>
          </w:tcPr>
          <w:p w14:paraId="74DD746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46E" w14:textId="77777777" w:rsidR="00584EC1" w:rsidRDefault="00584EC1">
            <w:pPr>
              <w:rPr>
                <w:rFonts w:ascii="宋体"/>
              </w:rPr>
            </w:pPr>
          </w:p>
        </w:tc>
        <w:tc>
          <w:tcPr>
            <w:tcW w:w="0" w:type="auto"/>
            <w:shd w:val="clear" w:color="auto" w:fill="auto"/>
            <w:vAlign w:val="bottom"/>
          </w:tcPr>
          <w:p w14:paraId="74DD746F" w14:textId="77777777" w:rsidR="00584EC1" w:rsidRDefault="00584EC1">
            <w:pPr>
              <w:rPr>
                <w:rFonts w:ascii="宋体"/>
                <w:vanish/>
              </w:rPr>
            </w:pPr>
          </w:p>
        </w:tc>
        <w:tc>
          <w:tcPr>
            <w:tcW w:w="0" w:type="auto"/>
            <w:shd w:val="clear" w:color="auto" w:fill="auto"/>
            <w:vAlign w:val="bottom"/>
          </w:tcPr>
          <w:p w14:paraId="74DD7470" w14:textId="77777777" w:rsidR="00584EC1" w:rsidRDefault="00584EC1">
            <w:pPr>
              <w:rPr>
                <w:rFonts w:ascii="宋体"/>
                <w:vanish/>
              </w:rPr>
            </w:pPr>
          </w:p>
        </w:tc>
        <w:tc>
          <w:tcPr>
            <w:tcW w:w="0" w:type="auto"/>
            <w:shd w:val="clear" w:color="auto" w:fill="auto"/>
            <w:vAlign w:val="bottom"/>
          </w:tcPr>
          <w:p w14:paraId="74DD7471" w14:textId="77777777" w:rsidR="00584EC1" w:rsidRDefault="00584EC1">
            <w:pPr>
              <w:rPr>
                <w:rFonts w:ascii="宋体"/>
                <w:vanish/>
              </w:rPr>
            </w:pPr>
          </w:p>
        </w:tc>
        <w:tc>
          <w:tcPr>
            <w:tcW w:w="0" w:type="auto"/>
            <w:gridSpan w:val="3"/>
            <w:shd w:val="clear" w:color="auto" w:fill="auto"/>
            <w:vAlign w:val="bottom"/>
          </w:tcPr>
          <w:p w14:paraId="74DD7472" w14:textId="77777777" w:rsidR="00584EC1" w:rsidRDefault="00584EC1">
            <w:pPr>
              <w:rPr>
                <w:rFonts w:ascii="宋体"/>
                <w:vanish/>
              </w:rPr>
            </w:pPr>
          </w:p>
        </w:tc>
        <w:tc>
          <w:tcPr>
            <w:tcW w:w="0" w:type="auto"/>
            <w:shd w:val="clear" w:color="auto" w:fill="CCEEFF"/>
            <w:tcMar>
              <w:top w:w="40" w:type="dxa"/>
              <w:left w:w="20" w:type="dxa"/>
              <w:bottom w:w="40" w:type="dxa"/>
              <w:right w:w="0" w:type="dxa"/>
            </w:tcMar>
            <w:vAlign w:val="bottom"/>
          </w:tcPr>
          <w:p w14:paraId="74DD7473" w14:textId="77777777" w:rsidR="00584EC1" w:rsidRDefault="00871F8D">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74DD7474" w14:textId="77777777" w:rsidR="00584EC1" w:rsidRDefault="00871F8D">
            <w:pPr>
              <w:jc w:val="right"/>
              <w:textAlignment w:val="bottom"/>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747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476"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7477" w14:textId="77777777" w:rsidR="00584EC1" w:rsidRDefault="00871F8D">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74DD7478" w14:textId="77777777" w:rsidR="00584EC1" w:rsidRDefault="00871F8D">
            <w:pPr>
              <w:jc w:val="right"/>
              <w:textAlignment w:val="bottom"/>
            </w:pPr>
            <w:r>
              <w:rPr>
                <w:rFonts w:ascii="Arial" w:eastAsia="宋体" w:hAnsi="Arial" w:cs="Arial"/>
                <w:color w:val="000000"/>
                <w:sz w:val="12"/>
                <w:szCs w:val="12"/>
              </w:rPr>
              <w:t>196 </w:t>
            </w:r>
          </w:p>
        </w:tc>
        <w:tc>
          <w:tcPr>
            <w:tcW w:w="0" w:type="auto"/>
            <w:shd w:val="clear" w:color="auto" w:fill="CCEEFF"/>
            <w:tcMar>
              <w:top w:w="40" w:type="dxa"/>
              <w:left w:w="0" w:type="dxa"/>
              <w:bottom w:w="40" w:type="dxa"/>
              <w:right w:w="20" w:type="dxa"/>
            </w:tcMar>
            <w:vAlign w:val="bottom"/>
          </w:tcPr>
          <w:p w14:paraId="74DD7479" w14:textId="77777777" w:rsidR="00584EC1" w:rsidRDefault="00584EC1">
            <w:pPr>
              <w:jc w:val="right"/>
              <w:rPr>
                <w:rFonts w:ascii="宋体"/>
              </w:rPr>
            </w:pPr>
          </w:p>
        </w:tc>
      </w:tr>
      <w:tr w:rsidR="00584EC1" w14:paraId="74DD748B" w14:textId="77777777">
        <w:tc>
          <w:tcPr>
            <w:tcW w:w="0" w:type="auto"/>
            <w:gridSpan w:val="3"/>
            <w:shd w:val="clear" w:color="auto" w:fill="FFFFFF"/>
            <w:tcMar>
              <w:top w:w="40" w:type="dxa"/>
              <w:left w:w="20" w:type="dxa"/>
              <w:bottom w:w="40" w:type="dxa"/>
              <w:right w:w="20" w:type="dxa"/>
            </w:tcMar>
            <w:vAlign w:val="bottom"/>
          </w:tcPr>
          <w:p w14:paraId="74DD747B" w14:textId="77777777" w:rsidR="00584EC1" w:rsidRDefault="00871F8D">
            <w:pPr>
              <w:textAlignment w:val="bottom"/>
            </w:pPr>
            <w:r>
              <w:rPr>
                <w:rFonts w:ascii="Arial" w:eastAsia="宋体" w:hAnsi="Arial" w:cs="Arial"/>
                <w:color w:val="000000"/>
                <w:sz w:val="12"/>
                <w:szCs w:val="12"/>
              </w:rPr>
              <w:t>Accruals for Beacon</w:t>
            </w:r>
          </w:p>
        </w:tc>
        <w:tc>
          <w:tcPr>
            <w:tcW w:w="0" w:type="auto"/>
            <w:gridSpan w:val="2"/>
            <w:shd w:val="clear" w:color="auto" w:fill="FFFFFF"/>
            <w:tcMar>
              <w:top w:w="40" w:type="dxa"/>
              <w:left w:w="20" w:type="dxa"/>
              <w:bottom w:w="40" w:type="dxa"/>
              <w:right w:w="0" w:type="dxa"/>
            </w:tcMar>
            <w:vAlign w:val="bottom"/>
          </w:tcPr>
          <w:p w14:paraId="74DD747C" w14:textId="77777777" w:rsidR="00584EC1" w:rsidRDefault="00871F8D">
            <w:pPr>
              <w:jc w:val="right"/>
              <w:textAlignment w:val="bottom"/>
            </w:pPr>
            <w:r>
              <w:rPr>
                <w:rFonts w:ascii="Arial" w:eastAsia="宋体" w:hAnsi="Arial" w:cs="Arial"/>
                <w:color w:val="000000"/>
                <w:sz w:val="12"/>
                <w:szCs w:val="12"/>
              </w:rPr>
              <w:t>(1)</w:t>
            </w:r>
          </w:p>
        </w:tc>
        <w:tc>
          <w:tcPr>
            <w:tcW w:w="0" w:type="auto"/>
            <w:shd w:val="clear" w:color="auto" w:fill="FFFFFF"/>
            <w:tcMar>
              <w:top w:w="40" w:type="dxa"/>
              <w:left w:w="0" w:type="dxa"/>
              <w:bottom w:w="40" w:type="dxa"/>
              <w:right w:w="20" w:type="dxa"/>
            </w:tcMar>
            <w:vAlign w:val="bottom"/>
          </w:tcPr>
          <w:p w14:paraId="74DD747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47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47F" w14:textId="77777777" w:rsidR="00584EC1" w:rsidRDefault="00871F8D">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748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481" w14:textId="77777777" w:rsidR="00584EC1" w:rsidRDefault="00584EC1">
            <w:pPr>
              <w:rPr>
                <w:rFonts w:ascii="宋体"/>
              </w:rPr>
            </w:pPr>
          </w:p>
        </w:tc>
        <w:tc>
          <w:tcPr>
            <w:tcW w:w="0" w:type="auto"/>
            <w:shd w:val="clear" w:color="auto" w:fill="auto"/>
            <w:vAlign w:val="bottom"/>
          </w:tcPr>
          <w:p w14:paraId="74DD7482" w14:textId="77777777" w:rsidR="00584EC1" w:rsidRDefault="00584EC1">
            <w:pPr>
              <w:rPr>
                <w:rFonts w:ascii="宋体"/>
                <w:vanish/>
              </w:rPr>
            </w:pPr>
          </w:p>
        </w:tc>
        <w:tc>
          <w:tcPr>
            <w:tcW w:w="0" w:type="auto"/>
            <w:shd w:val="clear" w:color="auto" w:fill="auto"/>
            <w:vAlign w:val="bottom"/>
          </w:tcPr>
          <w:p w14:paraId="74DD7483" w14:textId="77777777" w:rsidR="00584EC1" w:rsidRDefault="00584EC1">
            <w:pPr>
              <w:rPr>
                <w:rFonts w:ascii="宋体"/>
                <w:vanish/>
              </w:rPr>
            </w:pPr>
          </w:p>
        </w:tc>
        <w:tc>
          <w:tcPr>
            <w:tcW w:w="0" w:type="auto"/>
            <w:shd w:val="clear" w:color="auto" w:fill="auto"/>
            <w:vAlign w:val="bottom"/>
          </w:tcPr>
          <w:p w14:paraId="74DD7484" w14:textId="77777777" w:rsidR="00584EC1" w:rsidRDefault="00584EC1">
            <w:pPr>
              <w:rPr>
                <w:rFonts w:ascii="宋体"/>
                <w:vanish/>
              </w:rPr>
            </w:pPr>
          </w:p>
        </w:tc>
        <w:tc>
          <w:tcPr>
            <w:tcW w:w="0" w:type="auto"/>
            <w:gridSpan w:val="3"/>
            <w:shd w:val="clear" w:color="auto" w:fill="auto"/>
            <w:vAlign w:val="bottom"/>
          </w:tcPr>
          <w:p w14:paraId="74DD7485"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D7486" w14:textId="77777777" w:rsidR="00584EC1" w:rsidRDefault="00871F8D">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748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488"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489" w14:textId="77777777" w:rsidR="00584EC1" w:rsidRDefault="00871F8D">
            <w:pPr>
              <w:jc w:val="right"/>
              <w:textAlignment w:val="bottom"/>
            </w:pPr>
            <w:r>
              <w:rPr>
                <w:rFonts w:ascii="Arial" w:eastAsia="宋体" w:hAnsi="Arial" w:cs="Arial"/>
                <w:color w:val="000000"/>
                <w:sz w:val="12"/>
                <w:szCs w:val="12"/>
              </w:rPr>
              <w:t>(1)</w:t>
            </w:r>
          </w:p>
        </w:tc>
        <w:tc>
          <w:tcPr>
            <w:tcW w:w="0" w:type="auto"/>
            <w:shd w:val="clear" w:color="auto" w:fill="FFFFFF"/>
            <w:tcMar>
              <w:top w:w="40" w:type="dxa"/>
              <w:left w:w="0" w:type="dxa"/>
              <w:bottom w:w="40" w:type="dxa"/>
              <w:right w:w="20" w:type="dxa"/>
            </w:tcMar>
            <w:vAlign w:val="bottom"/>
          </w:tcPr>
          <w:p w14:paraId="74DD748A" w14:textId="77777777" w:rsidR="00584EC1" w:rsidRDefault="00584EC1">
            <w:pPr>
              <w:jc w:val="right"/>
              <w:rPr>
                <w:rFonts w:ascii="宋体"/>
              </w:rPr>
            </w:pPr>
          </w:p>
        </w:tc>
      </w:tr>
      <w:tr w:rsidR="00584EC1" w14:paraId="74DD749C" w14:textId="77777777">
        <w:tc>
          <w:tcPr>
            <w:tcW w:w="0" w:type="auto"/>
            <w:gridSpan w:val="3"/>
            <w:shd w:val="clear" w:color="auto" w:fill="CCEEFF"/>
            <w:tcMar>
              <w:top w:w="40" w:type="dxa"/>
              <w:left w:w="20" w:type="dxa"/>
              <w:bottom w:w="40" w:type="dxa"/>
              <w:right w:w="20" w:type="dxa"/>
            </w:tcMar>
            <w:vAlign w:val="bottom"/>
          </w:tcPr>
          <w:p w14:paraId="74DD748C" w14:textId="77777777" w:rsidR="00584EC1" w:rsidRDefault="00871F8D">
            <w:pPr>
              <w:textAlignment w:val="bottom"/>
            </w:pPr>
            <w:r>
              <w:rPr>
                <w:rFonts w:ascii="Arial" w:eastAsia="宋体" w:hAnsi="Arial" w:cs="Arial"/>
                <w:color w:val="000000"/>
                <w:sz w:val="12"/>
                <w:szCs w:val="12"/>
              </w:rPr>
              <w:t>Accruals for Repositioning Charges</w:t>
            </w:r>
          </w:p>
        </w:tc>
        <w:tc>
          <w:tcPr>
            <w:tcW w:w="0" w:type="auto"/>
            <w:gridSpan w:val="2"/>
            <w:shd w:val="clear" w:color="auto" w:fill="CCEEFF"/>
            <w:tcMar>
              <w:top w:w="40" w:type="dxa"/>
              <w:left w:w="20" w:type="dxa"/>
              <w:bottom w:w="40" w:type="dxa"/>
              <w:right w:w="0" w:type="dxa"/>
            </w:tcMar>
            <w:vAlign w:val="bottom"/>
          </w:tcPr>
          <w:p w14:paraId="74DD748D" w14:textId="77777777" w:rsidR="00584EC1" w:rsidRDefault="00871F8D">
            <w:pPr>
              <w:jc w:val="right"/>
              <w:textAlignment w:val="bottom"/>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748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48F"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7490" w14:textId="77777777" w:rsidR="00584EC1" w:rsidRDefault="00871F8D">
            <w:pPr>
              <w:jc w:val="right"/>
              <w:textAlignment w:val="bottom"/>
            </w:pPr>
            <w:r>
              <w:rPr>
                <w:rFonts w:ascii="Arial" w:eastAsia="宋体" w:hAnsi="Arial" w:cs="Arial"/>
                <w:color w:val="000000"/>
                <w:sz w:val="12"/>
                <w:szCs w:val="12"/>
              </w:rPr>
              <w:t>2 </w:t>
            </w:r>
          </w:p>
        </w:tc>
        <w:tc>
          <w:tcPr>
            <w:tcW w:w="0" w:type="auto"/>
            <w:shd w:val="clear" w:color="auto" w:fill="CCEEFF"/>
            <w:tcMar>
              <w:top w:w="40" w:type="dxa"/>
              <w:left w:w="0" w:type="dxa"/>
              <w:bottom w:w="40" w:type="dxa"/>
              <w:right w:w="20" w:type="dxa"/>
            </w:tcMar>
            <w:vAlign w:val="bottom"/>
          </w:tcPr>
          <w:p w14:paraId="74DD749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492" w14:textId="77777777" w:rsidR="00584EC1" w:rsidRDefault="00584EC1">
            <w:pPr>
              <w:rPr>
                <w:rFonts w:ascii="宋体"/>
              </w:rPr>
            </w:pPr>
          </w:p>
        </w:tc>
        <w:tc>
          <w:tcPr>
            <w:tcW w:w="0" w:type="auto"/>
            <w:shd w:val="clear" w:color="auto" w:fill="auto"/>
            <w:vAlign w:val="bottom"/>
          </w:tcPr>
          <w:p w14:paraId="74DD7493" w14:textId="77777777" w:rsidR="00584EC1" w:rsidRDefault="00584EC1">
            <w:pPr>
              <w:rPr>
                <w:rFonts w:ascii="宋体"/>
                <w:vanish/>
              </w:rPr>
            </w:pPr>
          </w:p>
        </w:tc>
        <w:tc>
          <w:tcPr>
            <w:tcW w:w="0" w:type="auto"/>
            <w:shd w:val="clear" w:color="auto" w:fill="auto"/>
            <w:vAlign w:val="bottom"/>
          </w:tcPr>
          <w:p w14:paraId="74DD7494" w14:textId="77777777" w:rsidR="00584EC1" w:rsidRDefault="00584EC1">
            <w:pPr>
              <w:rPr>
                <w:rFonts w:ascii="宋体"/>
                <w:vanish/>
              </w:rPr>
            </w:pPr>
          </w:p>
        </w:tc>
        <w:tc>
          <w:tcPr>
            <w:tcW w:w="0" w:type="auto"/>
            <w:shd w:val="clear" w:color="auto" w:fill="auto"/>
            <w:vAlign w:val="bottom"/>
          </w:tcPr>
          <w:p w14:paraId="74DD7495" w14:textId="77777777" w:rsidR="00584EC1" w:rsidRDefault="00584EC1">
            <w:pPr>
              <w:rPr>
                <w:rFonts w:ascii="宋体"/>
                <w:vanish/>
              </w:rPr>
            </w:pPr>
          </w:p>
        </w:tc>
        <w:tc>
          <w:tcPr>
            <w:tcW w:w="0" w:type="auto"/>
            <w:gridSpan w:val="3"/>
            <w:shd w:val="clear" w:color="auto" w:fill="auto"/>
            <w:vAlign w:val="bottom"/>
          </w:tcPr>
          <w:p w14:paraId="74DD7496" w14:textId="77777777" w:rsidR="00584EC1" w:rsidRDefault="00584EC1">
            <w:pPr>
              <w:rPr>
                <w:rFonts w:ascii="宋体"/>
                <w:vanish/>
              </w:rPr>
            </w:pPr>
          </w:p>
        </w:tc>
        <w:tc>
          <w:tcPr>
            <w:tcW w:w="0" w:type="auto"/>
            <w:gridSpan w:val="2"/>
            <w:shd w:val="clear" w:color="auto" w:fill="CCEEFF"/>
            <w:tcMar>
              <w:top w:w="40" w:type="dxa"/>
              <w:left w:w="20" w:type="dxa"/>
              <w:bottom w:w="40" w:type="dxa"/>
              <w:right w:w="0" w:type="dxa"/>
            </w:tcMar>
            <w:vAlign w:val="bottom"/>
          </w:tcPr>
          <w:p w14:paraId="74DD7497" w14:textId="77777777" w:rsidR="00584EC1" w:rsidRDefault="00871F8D">
            <w:pPr>
              <w:jc w:val="right"/>
              <w:textAlignment w:val="bottom"/>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749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49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749A" w14:textId="77777777" w:rsidR="00584EC1" w:rsidRDefault="00871F8D">
            <w:pPr>
              <w:jc w:val="right"/>
              <w:textAlignment w:val="bottom"/>
            </w:pPr>
            <w:r>
              <w:rPr>
                <w:rFonts w:ascii="Arial" w:eastAsia="宋体" w:hAnsi="Arial" w:cs="Arial"/>
                <w:color w:val="000000"/>
                <w:sz w:val="12"/>
                <w:szCs w:val="12"/>
              </w:rPr>
              <w:t>2 </w:t>
            </w:r>
          </w:p>
        </w:tc>
        <w:tc>
          <w:tcPr>
            <w:tcW w:w="0" w:type="auto"/>
            <w:shd w:val="clear" w:color="auto" w:fill="CCEEFF"/>
            <w:tcMar>
              <w:top w:w="40" w:type="dxa"/>
              <w:left w:w="0" w:type="dxa"/>
              <w:bottom w:w="40" w:type="dxa"/>
              <w:right w:w="20" w:type="dxa"/>
            </w:tcMar>
            <w:vAlign w:val="bottom"/>
          </w:tcPr>
          <w:p w14:paraId="74DD749B" w14:textId="77777777" w:rsidR="00584EC1" w:rsidRDefault="00584EC1">
            <w:pPr>
              <w:jc w:val="right"/>
              <w:rPr>
                <w:rFonts w:ascii="宋体"/>
              </w:rPr>
            </w:pPr>
          </w:p>
        </w:tc>
      </w:tr>
      <w:tr w:rsidR="00584EC1" w14:paraId="74DD74AD" w14:textId="77777777">
        <w:tc>
          <w:tcPr>
            <w:tcW w:w="0" w:type="auto"/>
            <w:gridSpan w:val="3"/>
            <w:shd w:val="clear" w:color="auto" w:fill="FFFFFF"/>
            <w:tcMar>
              <w:top w:w="40" w:type="dxa"/>
              <w:left w:w="20" w:type="dxa"/>
              <w:bottom w:w="40" w:type="dxa"/>
              <w:right w:w="20" w:type="dxa"/>
            </w:tcMar>
            <w:vAlign w:val="bottom"/>
          </w:tcPr>
          <w:p w14:paraId="74DD749D" w14:textId="77777777" w:rsidR="00584EC1" w:rsidRDefault="00871F8D">
            <w:pPr>
              <w:textAlignment w:val="bottom"/>
            </w:pPr>
            <w:r>
              <w:rPr>
                <w:rFonts w:ascii="Arial" w:eastAsia="宋体" w:hAnsi="Arial" w:cs="Arial"/>
                <w:color w:val="000000"/>
                <w:sz w:val="12"/>
                <w:szCs w:val="12"/>
              </w:rPr>
              <w:t>Payments and Other Adjustments</w:t>
            </w:r>
          </w:p>
        </w:tc>
        <w:tc>
          <w:tcPr>
            <w:tcW w:w="0" w:type="auto"/>
            <w:gridSpan w:val="2"/>
            <w:shd w:val="clear" w:color="auto" w:fill="FFFFFF"/>
            <w:tcMar>
              <w:top w:w="40" w:type="dxa"/>
              <w:left w:w="20" w:type="dxa"/>
              <w:bottom w:w="40" w:type="dxa"/>
              <w:right w:w="0" w:type="dxa"/>
            </w:tcMar>
            <w:vAlign w:val="bottom"/>
          </w:tcPr>
          <w:p w14:paraId="74DD749E" w14:textId="77777777" w:rsidR="00584EC1" w:rsidRDefault="00871F8D">
            <w:pPr>
              <w:jc w:val="right"/>
              <w:textAlignment w:val="bottom"/>
            </w:pPr>
            <w:r>
              <w:rPr>
                <w:rFonts w:ascii="Arial" w:eastAsia="宋体" w:hAnsi="Arial" w:cs="Arial"/>
                <w:color w:val="000000"/>
                <w:sz w:val="12"/>
                <w:szCs w:val="12"/>
              </w:rPr>
              <w:t>(9)</w:t>
            </w:r>
          </w:p>
        </w:tc>
        <w:tc>
          <w:tcPr>
            <w:tcW w:w="0" w:type="auto"/>
            <w:shd w:val="clear" w:color="auto" w:fill="FFFFFF"/>
            <w:tcMar>
              <w:top w:w="40" w:type="dxa"/>
              <w:left w:w="0" w:type="dxa"/>
              <w:bottom w:w="40" w:type="dxa"/>
              <w:right w:w="20" w:type="dxa"/>
            </w:tcMar>
            <w:vAlign w:val="bottom"/>
          </w:tcPr>
          <w:p w14:paraId="74DD749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4A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4A1" w14:textId="77777777" w:rsidR="00584EC1" w:rsidRDefault="00871F8D">
            <w:pPr>
              <w:jc w:val="right"/>
              <w:textAlignment w:val="bottom"/>
            </w:pPr>
            <w:r>
              <w:rPr>
                <w:rFonts w:ascii="Arial" w:eastAsia="宋体" w:hAnsi="Arial" w:cs="Arial"/>
                <w:color w:val="000000"/>
                <w:sz w:val="12"/>
                <w:szCs w:val="12"/>
              </w:rPr>
              <w:t>(2)</w:t>
            </w:r>
          </w:p>
        </w:tc>
        <w:tc>
          <w:tcPr>
            <w:tcW w:w="0" w:type="auto"/>
            <w:shd w:val="clear" w:color="auto" w:fill="FFFFFF"/>
            <w:tcMar>
              <w:top w:w="40" w:type="dxa"/>
              <w:left w:w="0" w:type="dxa"/>
              <w:bottom w:w="40" w:type="dxa"/>
              <w:right w:w="20" w:type="dxa"/>
            </w:tcMar>
            <w:vAlign w:val="bottom"/>
          </w:tcPr>
          <w:p w14:paraId="74DD74A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4A3" w14:textId="77777777" w:rsidR="00584EC1" w:rsidRDefault="00584EC1">
            <w:pPr>
              <w:rPr>
                <w:rFonts w:ascii="宋体"/>
              </w:rPr>
            </w:pPr>
          </w:p>
        </w:tc>
        <w:tc>
          <w:tcPr>
            <w:tcW w:w="0" w:type="auto"/>
            <w:shd w:val="clear" w:color="auto" w:fill="auto"/>
            <w:vAlign w:val="bottom"/>
          </w:tcPr>
          <w:p w14:paraId="74DD74A4" w14:textId="77777777" w:rsidR="00584EC1" w:rsidRDefault="00584EC1">
            <w:pPr>
              <w:rPr>
                <w:rFonts w:ascii="宋体"/>
                <w:vanish/>
              </w:rPr>
            </w:pPr>
          </w:p>
        </w:tc>
        <w:tc>
          <w:tcPr>
            <w:tcW w:w="0" w:type="auto"/>
            <w:shd w:val="clear" w:color="auto" w:fill="auto"/>
            <w:vAlign w:val="bottom"/>
          </w:tcPr>
          <w:p w14:paraId="74DD74A5" w14:textId="77777777" w:rsidR="00584EC1" w:rsidRDefault="00584EC1">
            <w:pPr>
              <w:rPr>
                <w:rFonts w:ascii="宋体"/>
                <w:vanish/>
              </w:rPr>
            </w:pPr>
          </w:p>
        </w:tc>
        <w:tc>
          <w:tcPr>
            <w:tcW w:w="0" w:type="auto"/>
            <w:shd w:val="clear" w:color="auto" w:fill="auto"/>
            <w:vAlign w:val="bottom"/>
          </w:tcPr>
          <w:p w14:paraId="74DD74A6" w14:textId="77777777" w:rsidR="00584EC1" w:rsidRDefault="00584EC1">
            <w:pPr>
              <w:rPr>
                <w:rFonts w:ascii="宋体"/>
                <w:vanish/>
              </w:rPr>
            </w:pPr>
          </w:p>
        </w:tc>
        <w:tc>
          <w:tcPr>
            <w:tcW w:w="0" w:type="auto"/>
            <w:gridSpan w:val="3"/>
            <w:shd w:val="clear" w:color="auto" w:fill="auto"/>
            <w:vAlign w:val="bottom"/>
          </w:tcPr>
          <w:p w14:paraId="74DD74A7"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D74A8" w14:textId="77777777" w:rsidR="00584EC1" w:rsidRDefault="00871F8D">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74A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4A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4AB" w14:textId="77777777" w:rsidR="00584EC1" w:rsidRDefault="00871F8D">
            <w:pPr>
              <w:jc w:val="right"/>
              <w:textAlignment w:val="bottom"/>
            </w:pPr>
            <w:r>
              <w:rPr>
                <w:rFonts w:ascii="Arial" w:eastAsia="宋体" w:hAnsi="Arial" w:cs="Arial"/>
                <w:color w:val="000000"/>
                <w:sz w:val="12"/>
                <w:szCs w:val="12"/>
              </w:rPr>
              <w:t>(11)</w:t>
            </w:r>
          </w:p>
        </w:tc>
        <w:tc>
          <w:tcPr>
            <w:tcW w:w="0" w:type="auto"/>
            <w:shd w:val="clear" w:color="auto" w:fill="FFFFFF"/>
            <w:tcMar>
              <w:top w:w="40" w:type="dxa"/>
              <w:left w:w="0" w:type="dxa"/>
              <w:bottom w:w="40" w:type="dxa"/>
              <w:right w:w="20" w:type="dxa"/>
            </w:tcMar>
            <w:vAlign w:val="bottom"/>
          </w:tcPr>
          <w:p w14:paraId="74DD74AC" w14:textId="77777777" w:rsidR="00584EC1" w:rsidRDefault="00584EC1">
            <w:pPr>
              <w:jc w:val="right"/>
              <w:rPr>
                <w:rFonts w:ascii="宋体"/>
              </w:rPr>
            </w:pPr>
          </w:p>
        </w:tc>
      </w:tr>
      <w:tr w:rsidR="00584EC1" w14:paraId="74DD74C2" w14:textId="77777777">
        <w:tc>
          <w:tcPr>
            <w:tcW w:w="0" w:type="auto"/>
            <w:gridSpan w:val="3"/>
            <w:shd w:val="clear" w:color="auto" w:fill="CCEEFF"/>
            <w:tcMar>
              <w:top w:w="40" w:type="dxa"/>
              <w:left w:w="20" w:type="dxa"/>
              <w:bottom w:w="40" w:type="dxa"/>
              <w:right w:w="20" w:type="dxa"/>
            </w:tcMar>
            <w:vAlign w:val="bottom"/>
          </w:tcPr>
          <w:p w14:paraId="74DD74AE" w14:textId="77777777" w:rsidR="00584EC1" w:rsidRDefault="00871F8D">
            <w:pPr>
              <w:textAlignment w:val="bottom"/>
            </w:pPr>
            <w:r>
              <w:rPr>
                <w:rFonts w:ascii="Arial" w:eastAsia="宋体" w:hAnsi="Arial" w:cs="Arial"/>
                <w:b/>
                <w:bCs/>
                <w:color w:val="000000"/>
                <w:sz w:val="12"/>
                <w:szCs w:val="12"/>
              </w:rPr>
              <w:t>Accrual Balance at March 31, 2021</w:t>
            </w:r>
          </w:p>
        </w:tc>
        <w:tc>
          <w:tcPr>
            <w:tcW w:w="0" w:type="auto"/>
            <w:tcBorders>
              <w:top w:val="single" w:sz="8" w:space="0" w:color="000000"/>
            </w:tcBorders>
            <w:shd w:val="clear" w:color="auto" w:fill="CCEEFF"/>
            <w:tcMar>
              <w:top w:w="40" w:type="dxa"/>
              <w:left w:w="20" w:type="dxa"/>
              <w:bottom w:w="40" w:type="dxa"/>
              <w:right w:w="0" w:type="dxa"/>
            </w:tcMar>
            <w:vAlign w:val="bottom"/>
          </w:tcPr>
          <w:p w14:paraId="74DD74AF"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74B0" w14:textId="77777777" w:rsidR="00584EC1" w:rsidRDefault="00871F8D">
            <w:pPr>
              <w:jc w:val="right"/>
              <w:textAlignment w:val="bottom"/>
            </w:pPr>
            <w:r>
              <w:rPr>
                <w:rFonts w:ascii="Arial" w:eastAsia="宋体" w:hAnsi="Arial" w:cs="Arial"/>
                <w:color w:val="000000"/>
                <w:sz w:val="12"/>
                <w:szCs w:val="12"/>
              </w:rPr>
              <w:t>180 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4B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4B2"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74B3"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74B4" w14:textId="77777777" w:rsidR="00584EC1" w:rsidRDefault="00871F8D">
            <w:pPr>
              <w:jc w:val="right"/>
              <w:textAlignment w:val="bottom"/>
            </w:pPr>
            <w:r>
              <w:rPr>
                <w:rFonts w:ascii="Arial" w:eastAsia="宋体" w:hAnsi="Arial" w:cs="Arial"/>
                <w:color w:val="000000"/>
                <w:sz w:val="12"/>
                <w:szCs w:val="12"/>
              </w:rPr>
              <w:t>6 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4B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4B6" w14:textId="77777777" w:rsidR="00584EC1" w:rsidRDefault="00584EC1">
            <w:pPr>
              <w:rPr>
                <w:rFonts w:ascii="宋体"/>
              </w:rPr>
            </w:pPr>
          </w:p>
        </w:tc>
        <w:tc>
          <w:tcPr>
            <w:tcW w:w="0" w:type="auto"/>
            <w:shd w:val="clear" w:color="auto" w:fill="auto"/>
            <w:vAlign w:val="bottom"/>
          </w:tcPr>
          <w:p w14:paraId="74DD74B7" w14:textId="77777777" w:rsidR="00584EC1" w:rsidRDefault="00584EC1">
            <w:pPr>
              <w:rPr>
                <w:rFonts w:ascii="宋体"/>
                <w:vanish/>
              </w:rPr>
            </w:pPr>
          </w:p>
        </w:tc>
        <w:tc>
          <w:tcPr>
            <w:tcW w:w="0" w:type="auto"/>
            <w:shd w:val="clear" w:color="auto" w:fill="auto"/>
            <w:vAlign w:val="bottom"/>
          </w:tcPr>
          <w:p w14:paraId="74DD74B8" w14:textId="77777777" w:rsidR="00584EC1" w:rsidRDefault="00584EC1">
            <w:pPr>
              <w:rPr>
                <w:rFonts w:ascii="宋体"/>
                <w:vanish/>
              </w:rPr>
            </w:pPr>
          </w:p>
        </w:tc>
        <w:tc>
          <w:tcPr>
            <w:tcW w:w="0" w:type="auto"/>
            <w:shd w:val="clear" w:color="auto" w:fill="auto"/>
            <w:vAlign w:val="bottom"/>
          </w:tcPr>
          <w:p w14:paraId="74DD74B9" w14:textId="77777777" w:rsidR="00584EC1" w:rsidRDefault="00584EC1">
            <w:pPr>
              <w:rPr>
                <w:rFonts w:ascii="宋体"/>
                <w:vanish/>
              </w:rPr>
            </w:pPr>
          </w:p>
        </w:tc>
        <w:tc>
          <w:tcPr>
            <w:tcW w:w="0" w:type="auto"/>
            <w:gridSpan w:val="3"/>
            <w:shd w:val="clear" w:color="auto" w:fill="auto"/>
            <w:vAlign w:val="bottom"/>
          </w:tcPr>
          <w:p w14:paraId="74DD74BA" w14:textId="77777777" w:rsidR="00584EC1" w:rsidRDefault="00584EC1">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74BB"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74BC" w14:textId="77777777" w:rsidR="00584EC1" w:rsidRDefault="00871F8D">
            <w:pPr>
              <w:jc w:val="right"/>
              <w:textAlignment w:val="bottom"/>
            </w:pP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4B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4BE"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74BF"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74C0" w14:textId="77777777" w:rsidR="00584EC1" w:rsidRDefault="00871F8D">
            <w:pPr>
              <w:jc w:val="right"/>
              <w:textAlignment w:val="bottom"/>
            </w:pPr>
            <w:r>
              <w:rPr>
                <w:rFonts w:ascii="Arial" w:eastAsia="宋体" w:hAnsi="Arial" w:cs="Arial"/>
                <w:color w:val="000000"/>
                <w:sz w:val="12"/>
                <w:szCs w:val="12"/>
              </w:rPr>
              <w:t>186 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4C1" w14:textId="77777777" w:rsidR="00584EC1" w:rsidRDefault="00584EC1">
            <w:pPr>
              <w:jc w:val="right"/>
              <w:rPr>
                <w:rFonts w:ascii="宋体"/>
              </w:rPr>
            </w:pPr>
          </w:p>
        </w:tc>
      </w:tr>
      <w:tr w:rsidR="00584EC1" w14:paraId="74DD74CF" w14:textId="77777777">
        <w:trPr>
          <w:hidden/>
        </w:trPr>
        <w:tc>
          <w:tcPr>
            <w:tcW w:w="0" w:type="auto"/>
            <w:gridSpan w:val="3"/>
            <w:shd w:val="clear" w:color="auto" w:fill="auto"/>
            <w:vAlign w:val="bottom"/>
          </w:tcPr>
          <w:p w14:paraId="74DD74C3" w14:textId="77777777" w:rsidR="00584EC1" w:rsidRDefault="00584EC1">
            <w:pPr>
              <w:rPr>
                <w:rFonts w:ascii="宋体"/>
                <w:vanish/>
              </w:rPr>
            </w:pPr>
          </w:p>
        </w:tc>
        <w:tc>
          <w:tcPr>
            <w:tcW w:w="0" w:type="auto"/>
            <w:gridSpan w:val="3"/>
            <w:shd w:val="clear" w:color="auto" w:fill="auto"/>
            <w:vAlign w:val="bottom"/>
          </w:tcPr>
          <w:p w14:paraId="74DD74C4" w14:textId="77777777" w:rsidR="00584EC1" w:rsidRDefault="00584EC1">
            <w:pPr>
              <w:rPr>
                <w:rFonts w:ascii="宋体"/>
                <w:vanish/>
              </w:rPr>
            </w:pPr>
          </w:p>
        </w:tc>
        <w:tc>
          <w:tcPr>
            <w:tcW w:w="0" w:type="auto"/>
            <w:gridSpan w:val="3"/>
            <w:shd w:val="clear" w:color="auto" w:fill="auto"/>
            <w:vAlign w:val="bottom"/>
          </w:tcPr>
          <w:p w14:paraId="74DD74C5" w14:textId="77777777" w:rsidR="00584EC1" w:rsidRDefault="00584EC1">
            <w:pPr>
              <w:rPr>
                <w:rFonts w:ascii="宋体"/>
                <w:vanish/>
              </w:rPr>
            </w:pPr>
          </w:p>
        </w:tc>
        <w:tc>
          <w:tcPr>
            <w:tcW w:w="0" w:type="auto"/>
            <w:gridSpan w:val="3"/>
            <w:shd w:val="clear" w:color="auto" w:fill="auto"/>
            <w:vAlign w:val="bottom"/>
          </w:tcPr>
          <w:p w14:paraId="74DD74C6" w14:textId="77777777" w:rsidR="00584EC1" w:rsidRDefault="00584EC1">
            <w:pPr>
              <w:rPr>
                <w:rFonts w:ascii="宋体"/>
                <w:vanish/>
              </w:rPr>
            </w:pPr>
          </w:p>
        </w:tc>
        <w:tc>
          <w:tcPr>
            <w:tcW w:w="0" w:type="auto"/>
            <w:gridSpan w:val="3"/>
            <w:shd w:val="clear" w:color="auto" w:fill="auto"/>
            <w:vAlign w:val="bottom"/>
          </w:tcPr>
          <w:p w14:paraId="74DD74C7" w14:textId="77777777" w:rsidR="00584EC1" w:rsidRDefault="00584EC1">
            <w:pPr>
              <w:rPr>
                <w:rFonts w:ascii="宋体"/>
                <w:vanish/>
              </w:rPr>
            </w:pPr>
          </w:p>
        </w:tc>
        <w:tc>
          <w:tcPr>
            <w:tcW w:w="0" w:type="auto"/>
            <w:shd w:val="clear" w:color="auto" w:fill="auto"/>
            <w:vAlign w:val="bottom"/>
          </w:tcPr>
          <w:p w14:paraId="74DD74C8" w14:textId="77777777" w:rsidR="00584EC1" w:rsidRDefault="00584EC1">
            <w:pPr>
              <w:rPr>
                <w:rFonts w:ascii="宋体"/>
                <w:vanish/>
              </w:rPr>
            </w:pPr>
          </w:p>
        </w:tc>
        <w:tc>
          <w:tcPr>
            <w:tcW w:w="0" w:type="auto"/>
            <w:shd w:val="clear" w:color="auto" w:fill="auto"/>
            <w:vAlign w:val="bottom"/>
          </w:tcPr>
          <w:p w14:paraId="74DD74C9" w14:textId="77777777" w:rsidR="00584EC1" w:rsidRDefault="00584EC1">
            <w:pPr>
              <w:rPr>
                <w:rFonts w:ascii="宋体"/>
                <w:vanish/>
              </w:rPr>
            </w:pPr>
          </w:p>
        </w:tc>
        <w:tc>
          <w:tcPr>
            <w:tcW w:w="0" w:type="auto"/>
            <w:shd w:val="clear" w:color="auto" w:fill="auto"/>
            <w:vAlign w:val="bottom"/>
          </w:tcPr>
          <w:p w14:paraId="74DD74CA" w14:textId="77777777" w:rsidR="00584EC1" w:rsidRDefault="00584EC1">
            <w:pPr>
              <w:rPr>
                <w:rFonts w:ascii="宋体"/>
                <w:vanish/>
              </w:rPr>
            </w:pPr>
          </w:p>
        </w:tc>
        <w:tc>
          <w:tcPr>
            <w:tcW w:w="0" w:type="auto"/>
            <w:gridSpan w:val="3"/>
            <w:shd w:val="clear" w:color="auto" w:fill="auto"/>
            <w:vAlign w:val="bottom"/>
          </w:tcPr>
          <w:p w14:paraId="74DD74CB" w14:textId="77777777" w:rsidR="00584EC1" w:rsidRDefault="00584EC1">
            <w:pPr>
              <w:rPr>
                <w:rFonts w:ascii="宋体"/>
                <w:vanish/>
              </w:rPr>
            </w:pPr>
          </w:p>
        </w:tc>
        <w:tc>
          <w:tcPr>
            <w:tcW w:w="0" w:type="auto"/>
            <w:gridSpan w:val="3"/>
            <w:shd w:val="clear" w:color="auto" w:fill="auto"/>
            <w:vAlign w:val="bottom"/>
          </w:tcPr>
          <w:p w14:paraId="74DD74CC" w14:textId="77777777" w:rsidR="00584EC1" w:rsidRDefault="00584EC1">
            <w:pPr>
              <w:rPr>
                <w:rFonts w:ascii="宋体"/>
                <w:vanish/>
              </w:rPr>
            </w:pPr>
          </w:p>
        </w:tc>
        <w:tc>
          <w:tcPr>
            <w:tcW w:w="0" w:type="auto"/>
            <w:gridSpan w:val="3"/>
            <w:shd w:val="clear" w:color="auto" w:fill="auto"/>
            <w:vAlign w:val="bottom"/>
          </w:tcPr>
          <w:p w14:paraId="74DD74CD" w14:textId="77777777" w:rsidR="00584EC1" w:rsidRDefault="00584EC1">
            <w:pPr>
              <w:rPr>
                <w:rFonts w:ascii="宋体"/>
                <w:vanish/>
              </w:rPr>
            </w:pPr>
          </w:p>
        </w:tc>
        <w:tc>
          <w:tcPr>
            <w:tcW w:w="0" w:type="auto"/>
            <w:gridSpan w:val="3"/>
            <w:shd w:val="clear" w:color="auto" w:fill="auto"/>
            <w:vAlign w:val="bottom"/>
          </w:tcPr>
          <w:p w14:paraId="74DD74CE" w14:textId="77777777" w:rsidR="00584EC1" w:rsidRDefault="00584EC1">
            <w:pPr>
              <w:rPr>
                <w:rFonts w:ascii="宋体"/>
                <w:vanish/>
              </w:rPr>
            </w:pPr>
          </w:p>
        </w:tc>
      </w:tr>
      <w:tr w:rsidR="00584EC1" w14:paraId="74DD74DC" w14:textId="77777777">
        <w:trPr>
          <w:hidden/>
        </w:trPr>
        <w:tc>
          <w:tcPr>
            <w:tcW w:w="0" w:type="auto"/>
            <w:gridSpan w:val="3"/>
            <w:shd w:val="clear" w:color="auto" w:fill="auto"/>
            <w:vAlign w:val="bottom"/>
          </w:tcPr>
          <w:p w14:paraId="74DD74D0" w14:textId="77777777" w:rsidR="00584EC1" w:rsidRDefault="00584EC1">
            <w:pPr>
              <w:rPr>
                <w:rFonts w:ascii="宋体"/>
                <w:vanish/>
              </w:rPr>
            </w:pPr>
          </w:p>
        </w:tc>
        <w:tc>
          <w:tcPr>
            <w:tcW w:w="0" w:type="auto"/>
            <w:gridSpan w:val="3"/>
            <w:shd w:val="clear" w:color="auto" w:fill="auto"/>
            <w:vAlign w:val="bottom"/>
          </w:tcPr>
          <w:p w14:paraId="74DD74D1" w14:textId="77777777" w:rsidR="00584EC1" w:rsidRDefault="00584EC1">
            <w:pPr>
              <w:rPr>
                <w:rFonts w:ascii="宋体"/>
                <w:vanish/>
              </w:rPr>
            </w:pPr>
          </w:p>
        </w:tc>
        <w:tc>
          <w:tcPr>
            <w:tcW w:w="0" w:type="auto"/>
            <w:gridSpan w:val="3"/>
            <w:shd w:val="clear" w:color="auto" w:fill="auto"/>
            <w:vAlign w:val="bottom"/>
          </w:tcPr>
          <w:p w14:paraId="74DD74D2" w14:textId="77777777" w:rsidR="00584EC1" w:rsidRDefault="00584EC1">
            <w:pPr>
              <w:rPr>
                <w:rFonts w:ascii="宋体"/>
                <w:vanish/>
              </w:rPr>
            </w:pPr>
          </w:p>
        </w:tc>
        <w:tc>
          <w:tcPr>
            <w:tcW w:w="0" w:type="auto"/>
            <w:gridSpan w:val="3"/>
            <w:shd w:val="clear" w:color="auto" w:fill="auto"/>
            <w:vAlign w:val="bottom"/>
          </w:tcPr>
          <w:p w14:paraId="74DD74D3" w14:textId="77777777" w:rsidR="00584EC1" w:rsidRDefault="00584EC1">
            <w:pPr>
              <w:rPr>
                <w:rFonts w:ascii="宋体"/>
                <w:vanish/>
              </w:rPr>
            </w:pPr>
          </w:p>
        </w:tc>
        <w:tc>
          <w:tcPr>
            <w:tcW w:w="0" w:type="auto"/>
            <w:gridSpan w:val="3"/>
            <w:shd w:val="clear" w:color="auto" w:fill="auto"/>
            <w:vAlign w:val="bottom"/>
          </w:tcPr>
          <w:p w14:paraId="74DD74D4" w14:textId="77777777" w:rsidR="00584EC1" w:rsidRDefault="00584EC1">
            <w:pPr>
              <w:rPr>
                <w:rFonts w:ascii="宋体"/>
                <w:vanish/>
              </w:rPr>
            </w:pPr>
          </w:p>
        </w:tc>
        <w:tc>
          <w:tcPr>
            <w:tcW w:w="0" w:type="auto"/>
            <w:shd w:val="clear" w:color="auto" w:fill="auto"/>
            <w:vAlign w:val="bottom"/>
          </w:tcPr>
          <w:p w14:paraId="74DD74D5" w14:textId="77777777" w:rsidR="00584EC1" w:rsidRDefault="00584EC1">
            <w:pPr>
              <w:rPr>
                <w:rFonts w:ascii="宋体"/>
                <w:vanish/>
              </w:rPr>
            </w:pPr>
          </w:p>
        </w:tc>
        <w:tc>
          <w:tcPr>
            <w:tcW w:w="0" w:type="auto"/>
            <w:shd w:val="clear" w:color="auto" w:fill="auto"/>
            <w:vAlign w:val="bottom"/>
          </w:tcPr>
          <w:p w14:paraId="74DD74D6" w14:textId="77777777" w:rsidR="00584EC1" w:rsidRDefault="00584EC1">
            <w:pPr>
              <w:rPr>
                <w:rFonts w:ascii="宋体"/>
                <w:vanish/>
              </w:rPr>
            </w:pPr>
          </w:p>
        </w:tc>
        <w:tc>
          <w:tcPr>
            <w:tcW w:w="0" w:type="auto"/>
            <w:shd w:val="clear" w:color="auto" w:fill="auto"/>
            <w:vAlign w:val="bottom"/>
          </w:tcPr>
          <w:p w14:paraId="74DD74D7" w14:textId="77777777" w:rsidR="00584EC1" w:rsidRDefault="00584EC1">
            <w:pPr>
              <w:rPr>
                <w:rFonts w:ascii="宋体"/>
                <w:vanish/>
              </w:rPr>
            </w:pPr>
          </w:p>
        </w:tc>
        <w:tc>
          <w:tcPr>
            <w:tcW w:w="0" w:type="auto"/>
            <w:gridSpan w:val="3"/>
            <w:shd w:val="clear" w:color="auto" w:fill="auto"/>
            <w:vAlign w:val="bottom"/>
          </w:tcPr>
          <w:p w14:paraId="74DD74D8" w14:textId="77777777" w:rsidR="00584EC1" w:rsidRDefault="00584EC1">
            <w:pPr>
              <w:rPr>
                <w:rFonts w:ascii="宋体"/>
                <w:vanish/>
              </w:rPr>
            </w:pPr>
          </w:p>
        </w:tc>
        <w:tc>
          <w:tcPr>
            <w:tcW w:w="0" w:type="auto"/>
            <w:gridSpan w:val="3"/>
            <w:shd w:val="clear" w:color="auto" w:fill="auto"/>
            <w:vAlign w:val="bottom"/>
          </w:tcPr>
          <w:p w14:paraId="74DD74D9" w14:textId="77777777" w:rsidR="00584EC1" w:rsidRDefault="00584EC1">
            <w:pPr>
              <w:rPr>
                <w:rFonts w:ascii="宋体"/>
                <w:vanish/>
              </w:rPr>
            </w:pPr>
          </w:p>
        </w:tc>
        <w:tc>
          <w:tcPr>
            <w:tcW w:w="0" w:type="auto"/>
            <w:gridSpan w:val="3"/>
            <w:shd w:val="clear" w:color="auto" w:fill="auto"/>
            <w:vAlign w:val="bottom"/>
          </w:tcPr>
          <w:p w14:paraId="74DD74DA" w14:textId="77777777" w:rsidR="00584EC1" w:rsidRDefault="00584EC1">
            <w:pPr>
              <w:rPr>
                <w:rFonts w:ascii="宋体"/>
                <w:vanish/>
              </w:rPr>
            </w:pPr>
          </w:p>
        </w:tc>
        <w:tc>
          <w:tcPr>
            <w:tcW w:w="0" w:type="auto"/>
            <w:gridSpan w:val="3"/>
            <w:shd w:val="clear" w:color="auto" w:fill="auto"/>
            <w:vAlign w:val="bottom"/>
          </w:tcPr>
          <w:p w14:paraId="74DD74DB" w14:textId="77777777" w:rsidR="00584EC1" w:rsidRDefault="00584EC1">
            <w:pPr>
              <w:rPr>
                <w:rFonts w:ascii="宋体"/>
                <w:vanish/>
              </w:rPr>
            </w:pPr>
          </w:p>
        </w:tc>
      </w:tr>
      <w:tr w:rsidR="00584EC1" w14:paraId="74DD74ED" w14:textId="77777777">
        <w:tc>
          <w:tcPr>
            <w:tcW w:w="0" w:type="auto"/>
            <w:gridSpan w:val="3"/>
            <w:shd w:val="clear" w:color="auto" w:fill="FFFFFF"/>
            <w:tcMar>
              <w:top w:w="40" w:type="dxa"/>
              <w:left w:w="20" w:type="dxa"/>
              <w:bottom w:w="40" w:type="dxa"/>
              <w:right w:w="20" w:type="dxa"/>
            </w:tcMar>
            <w:vAlign w:val="bottom"/>
          </w:tcPr>
          <w:p w14:paraId="74DD74DD" w14:textId="77777777" w:rsidR="00584EC1" w:rsidRDefault="00871F8D">
            <w:pPr>
              <w:textAlignment w:val="bottom"/>
            </w:pPr>
            <w:r>
              <w:rPr>
                <w:rFonts w:ascii="Arial" w:eastAsia="宋体" w:hAnsi="Arial" w:cs="Arial"/>
                <w:color w:val="000000"/>
                <w:sz w:val="12"/>
                <w:szCs w:val="12"/>
              </w:rPr>
              <w:t>Payments and Other Adjustments</w:t>
            </w:r>
          </w:p>
        </w:tc>
        <w:tc>
          <w:tcPr>
            <w:tcW w:w="0" w:type="auto"/>
            <w:gridSpan w:val="2"/>
            <w:shd w:val="clear" w:color="auto" w:fill="FFFFFF"/>
            <w:tcMar>
              <w:top w:w="40" w:type="dxa"/>
              <w:left w:w="20" w:type="dxa"/>
              <w:bottom w:w="40" w:type="dxa"/>
              <w:right w:w="0" w:type="dxa"/>
            </w:tcMar>
            <w:vAlign w:val="bottom"/>
          </w:tcPr>
          <w:p w14:paraId="74DD74DE" w14:textId="77777777" w:rsidR="00584EC1" w:rsidRDefault="00871F8D">
            <w:pPr>
              <w:jc w:val="right"/>
              <w:textAlignment w:val="bottom"/>
            </w:pPr>
            <w:r>
              <w:rPr>
                <w:rFonts w:ascii="Arial" w:eastAsia="宋体" w:hAnsi="Arial" w:cs="Arial"/>
                <w:color w:val="000000"/>
                <w:sz w:val="12"/>
                <w:szCs w:val="12"/>
              </w:rPr>
              <w:t>(34)</w:t>
            </w:r>
          </w:p>
        </w:tc>
        <w:tc>
          <w:tcPr>
            <w:tcW w:w="0" w:type="auto"/>
            <w:shd w:val="clear" w:color="auto" w:fill="FFFFFF"/>
            <w:tcMar>
              <w:top w:w="40" w:type="dxa"/>
              <w:left w:w="0" w:type="dxa"/>
              <w:bottom w:w="40" w:type="dxa"/>
              <w:right w:w="20" w:type="dxa"/>
            </w:tcMar>
            <w:vAlign w:val="bottom"/>
          </w:tcPr>
          <w:p w14:paraId="74DD74D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4E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4E1"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74E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4E3" w14:textId="77777777" w:rsidR="00584EC1" w:rsidRDefault="00584EC1">
            <w:pPr>
              <w:rPr>
                <w:rFonts w:ascii="宋体"/>
              </w:rPr>
            </w:pPr>
          </w:p>
        </w:tc>
        <w:tc>
          <w:tcPr>
            <w:tcW w:w="0" w:type="auto"/>
            <w:shd w:val="clear" w:color="auto" w:fill="auto"/>
            <w:vAlign w:val="bottom"/>
          </w:tcPr>
          <w:p w14:paraId="74DD74E4" w14:textId="77777777" w:rsidR="00584EC1" w:rsidRDefault="00584EC1">
            <w:pPr>
              <w:rPr>
                <w:rFonts w:ascii="宋体"/>
                <w:vanish/>
              </w:rPr>
            </w:pPr>
          </w:p>
        </w:tc>
        <w:tc>
          <w:tcPr>
            <w:tcW w:w="0" w:type="auto"/>
            <w:shd w:val="clear" w:color="auto" w:fill="auto"/>
            <w:vAlign w:val="bottom"/>
          </w:tcPr>
          <w:p w14:paraId="74DD74E5" w14:textId="77777777" w:rsidR="00584EC1" w:rsidRDefault="00584EC1">
            <w:pPr>
              <w:rPr>
                <w:rFonts w:ascii="宋体"/>
                <w:vanish/>
              </w:rPr>
            </w:pPr>
          </w:p>
        </w:tc>
        <w:tc>
          <w:tcPr>
            <w:tcW w:w="0" w:type="auto"/>
            <w:shd w:val="clear" w:color="auto" w:fill="auto"/>
            <w:vAlign w:val="bottom"/>
          </w:tcPr>
          <w:p w14:paraId="74DD74E6" w14:textId="77777777" w:rsidR="00584EC1" w:rsidRDefault="00584EC1">
            <w:pPr>
              <w:rPr>
                <w:rFonts w:ascii="宋体"/>
                <w:vanish/>
              </w:rPr>
            </w:pPr>
          </w:p>
        </w:tc>
        <w:tc>
          <w:tcPr>
            <w:tcW w:w="0" w:type="auto"/>
            <w:gridSpan w:val="3"/>
            <w:shd w:val="clear" w:color="auto" w:fill="auto"/>
            <w:vAlign w:val="bottom"/>
          </w:tcPr>
          <w:p w14:paraId="74DD74E7"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D74E8"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74E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4E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4EB" w14:textId="77777777" w:rsidR="00584EC1" w:rsidRDefault="00871F8D">
            <w:pPr>
              <w:jc w:val="right"/>
              <w:textAlignment w:val="bottom"/>
            </w:pPr>
            <w:r>
              <w:rPr>
                <w:rFonts w:ascii="Arial" w:eastAsia="宋体" w:hAnsi="Arial" w:cs="Arial"/>
                <w:color w:val="000000"/>
                <w:sz w:val="12"/>
                <w:szCs w:val="12"/>
              </w:rPr>
              <w:t>(34)</w:t>
            </w:r>
          </w:p>
        </w:tc>
        <w:tc>
          <w:tcPr>
            <w:tcW w:w="0" w:type="auto"/>
            <w:shd w:val="clear" w:color="auto" w:fill="FFFFFF"/>
            <w:tcMar>
              <w:top w:w="40" w:type="dxa"/>
              <w:left w:w="0" w:type="dxa"/>
              <w:bottom w:w="40" w:type="dxa"/>
              <w:right w:w="20" w:type="dxa"/>
            </w:tcMar>
            <w:vAlign w:val="bottom"/>
          </w:tcPr>
          <w:p w14:paraId="74DD74EC" w14:textId="77777777" w:rsidR="00584EC1" w:rsidRDefault="00584EC1">
            <w:pPr>
              <w:jc w:val="right"/>
              <w:rPr>
                <w:rFonts w:ascii="宋体"/>
              </w:rPr>
            </w:pPr>
          </w:p>
        </w:tc>
      </w:tr>
      <w:tr w:rsidR="00584EC1" w14:paraId="74DD7502" w14:textId="77777777">
        <w:tc>
          <w:tcPr>
            <w:tcW w:w="0" w:type="auto"/>
            <w:gridSpan w:val="3"/>
            <w:shd w:val="clear" w:color="auto" w:fill="CCEEFF"/>
            <w:tcMar>
              <w:top w:w="40" w:type="dxa"/>
              <w:left w:w="20" w:type="dxa"/>
              <w:bottom w:w="40" w:type="dxa"/>
              <w:right w:w="20" w:type="dxa"/>
            </w:tcMar>
            <w:vAlign w:val="bottom"/>
          </w:tcPr>
          <w:p w14:paraId="74DD74EE" w14:textId="77777777" w:rsidR="00584EC1" w:rsidRDefault="00871F8D">
            <w:pPr>
              <w:textAlignment w:val="bottom"/>
            </w:pPr>
            <w:r>
              <w:rPr>
                <w:rFonts w:ascii="Arial" w:eastAsia="宋体" w:hAnsi="Arial" w:cs="Arial"/>
                <w:b/>
                <w:bCs/>
                <w:color w:val="000000"/>
                <w:sz w:val="12"/>
                <w:szCs w:val="12"/>
              </w:rPr>
              <w:t>Accrual Balance at June 30, 2021</w:t>
            </w:r>
          </w:p>
        </w:tc>
        <w:tc>
          <w:tcPr>
            <w:tcW w:w="0" w:type="auto"/>
            <w:tcBorders>
              <w:top w:val="single" w:sz="8" w:space="0" w:color="000000"/>
            </w:tcBorders>
            <w:shd w:val="clear" w:color="auto" w:fill="CCEEFF"/>
            <w:tcMar>
              <w:top w:w="40" w:type="dxa"/>
              <w:left w:w="20" w:type="dxa"/>
              <w:bottom w:w="40" w:type="dxa"/>
              <w:right w:w="0" w:type="dxa"/>
            </w:tcMar>
            <w:vAlign w:val="bottom"/>
          </w:tcPr>
          <w:p w14:paraId="74DD74EF"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74F0" w14:textId="77777777" w:rsidR="00584EC1" w:rsidRDefault="00871F8D">
            <w:pPr>
              <w:jc w:val="right"/>
              <w:textAlignment w:val="bottom"/>
            </w:pPr>
            <w:r>
              <w:rPr>
                <w:rFonts w:ascii="Arial" w:eastAsia="宋体" w:hAnsi="Arial" w:cs="Arial"/>
                <w:color w:val="000000"/>
                <w:sz w:val="12"/>
                <w:szCs w:val="12"/>
              </w:rPr>
              <w:t>146 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4F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4F2"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74F3"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74F4" w14:textId="77777777" w:rsidR="00584EC1" w:rsidRDefault="00871F8D">
            <w:pPr>
              <w:jc w:val="right"/>
              <w:textAlignment w:val="bottom"/>
            </w:pPr>
            <w:r>
              <w:rPr>
                <w:rFonts w:ascii="Arial" w:eastAsia="宋体" w:hAnsi="Arial" w:cs="Arial"/>
                <w:color w:val="000000"/>
                <w:sz w:val="12"/>
                <w:szCs w:val="12"/>
              </w:rPr>
              <w:t>6 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4F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4F6" w14:textId="77777777" w:rsidR="00584EC1" w:rsidRDefault="00584EC1">
            <w:pPr>
              <w:rPr>
                <w:rFonts w:ascii="宋体"/>
              </w:rPr>
            </w:pPr>
          </w:p>
        </w:tc>
        <w:tc>
          <w:tcPr>
            <w:tcW w:w="0" w:type="auto"/>
            <w:shd w:val="clear" w:color="auto" w:fill="auto"/>
            <w:vAlign w:val="bottom"/>
          </w:tcPr>
          <w:p w14:paraId="74DD74F7" w14:textId="77777777" w:rsidR="00584EC1" w:rsidRDefault="00584EC1">
            <w:pPr>
              <w:rPr>
                <w:rFonts w:ascii="宋体"/>
                <w:vanish/>
              </w:rPr>
            </w:pPr>
          </w:p>
        </w:tc>
        <w:tc>
          <w:tcPr>
            <w:tcW w:w="0" w:type="auto"/>
            <w:shd w:val="clear" w:color="auto" w:fill="auto"/>
            <w:vAlign w:val="bottom"/>
          </w:tcPr>
          <w:p w14:paraId="74DD74F8" w14:textId="77777777" w:rsidR="00584EC1" w:rsidRDefault="00584EC1">
            <w:pPr>
              <w:rPr>
                <w:rFonts w:ascii="宋体"/>
                <w:vanish/>
              </w:rPr>
            </w:pPr>
          </w:p>
        </w:tc>
        <w:tc>
          <w:tcPr>
            <w:tcW w:w="0" w:type="auto"/>
            <w:shd w:val="clear" w:color="auto" w:fill="auto"/>
            <w:vAlign w:val="bottom"/>
          </w:tcPr>
          <w:p w14:paraId="74DD74F9" w14:textId="77777777" w:rsidR="00584EC1" w:rsidRDefault="00584EC1">
            <w:pPr>
              <w:rPr>
                <w:rFonts w:ascii="宋体"/>
                <w:vanish/>
              </w:rPr>
            </w:pPr>
          </w:p>
        </w:tc>
        <w:tc>
          <w:tcPr>
            <w:tcW w:w="0" w:type="auto"/>
            <w:gridSpan w:val="3"/>
            <w:shd w:val="clear" w:color="auto" w:fill="auto"/>
            <w:vAlign w:val="bottom"/>
          </w:tcPr>
          <w:p w14:paraId="74DD74FA" w14:textId="77777777" w:rsidR="00584EC1" w:rsidRDefault="00584EC1">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74FB"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74FC" w14:textId="77777777" w:rsidR="00584EC1" w:rsidRDefault="00871F8D">
            <w:pPr>
              <w:jc w:val="right"/>
              <w:textAlignment w:val="bottom"/>
            </w:pP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4F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4FE"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74FF"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7500" w14:textId="77777777" w:rsidR="00584EC1" w:rsidRDefault="00871F8D">
            <w:pPr>
              <w:jc w:val="right"/>
              <w:textAlignment w:val="bottom"/>
            </w:pPr>
            <w:r>
              <w:rPr>
                <w:rFonts w:ascii="Arial" w:eastAsia="宋体" w:hAnsi="Arial" w:cs="Arial"/>
                <w:color w:val="000000"/>
                <w:sz w:val="12"/>
                <w:szCs w:val="12"/>
              </w:rPr>
              <w:t>152 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501" w14:textId="77777777" w:rsidR="00584EC1" w:rsidRDefault="00584EC1">
            <w:pPr>
              <w:jc w:val="right"/>
              <w:rPr>
                <w:rFonts w:ascii="宋体"/>
              </w:rPr>
            </w:pPr>
          </w:p>
        </w:tc>
      </w:tr>
      <w:tr w:rsidR="00584EC1" w14:paraId="74DD7513" w14:textId="77777777">
        <w:tc>
          <w:tcPr>
            <w:tcW w:w="0" w:type="auto"/>
            <w:gridSpan w:val="3"/>
            <w:shd w:val="clear" w:color="auto" w:fill="FFFFFF"/>
            <w:tcMar>
              <w:top w:w="40" w:type="dxa"/>
              <w:left w:w="20" w:type="dxa"/>
              <w:bottom w:w="40" w:type="dxa"/>
              <w:right w:w="20" w:type="dxa"/>
            </w:tcMar>
            <w:vAlign w:val="bottom"/>
          </w:tcPr>
          <w:p w14:paraId="74DD7503" w14:textId="77777777" w:rsidR="00584EC1" w:rsidRDefault="00871F8D">
            <w:pPr>
              <w:textAlignment w:val="bottom"/>
            </w:pPr>
            <w:r>
              <w:rPr>
                <w:rFonts w:ascii="Arial" w:eastAsia="宋体" w:hAnsi="Arial" w:cs="Arial"/>
                <w:color w:val="000000"/>
                <w:sz w:val="12"/>
                <w:szCs w:val="12"/>
              </w:rPr>
              <w:t>Payments and other adjustments</w:t>
            </w:r>
          </w:p>
        </w:tc>
        <w:tc>
          <w:tcPr>
            <w:tcW w:w="0" w:type="auto"/>
            <w:gridSpan w:val="2"/>
            <w:shd w:val="clear" w:color="auto" w:fill="FFFFFF"/>
            <w:tcMar>
              <w:top w:w="40" w:type="dxa"/>
              <w:left w:w="20" w:type="dxa"/>
              <w:bottom w:w="40" w:type="dxa"/>
              <w:right w:w="0" w:type="dxa"/>
            </w:tcMar>
            <w:vAlign w:val="bottom"/>
          </w:tcPr>
          <w:p w14:paraId="74DD7504" w14:textId="77777777" w:rsidR="00584EC1" w:rsidRDefault="00871F8D">
            <w:pPr>
              <w:jc w:val="right"/>
              <w:textAlignment w:val="bottom"/>
            </w:pPr>
            <w:r>
              <w:rPr>
                <w:rFonts w:ascii="Arial" w:eastAsia="宋体" w:hAnsi="Arial" w:cs="Arial"/>
                <w:b/>
                <w:bCs/>
                <w:color w:val="000000"/>
                <w:sz w:val="12"/>
                <w:szCs w:val="12"/>
              </w:rPr>
              <w:t>(23)</w:t>
            </w:r>
          </w:p>
        </w:tc>
        <w:tc>
          <w:tcPr>
            <w:tcW w:w="0" w:type="auto"/>
            <w:shd w:val="clear" w:color="auto" w:fill="FFFFFF"/>
            <w:tcMar>
              <w:top w:w="40" w:type="dxa"/>
              <w:left w:w="0" w:type="dxa"/>
              <w:bottom w:w="40" w:type="dxa"/>
              <w:right w:w="20" w:type="dxa"/>
            </w:tcMar>
            <w:vAlign w:val="bottom"/>
          </w:tcPr>
          <w:p w14:paraId="74DD750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50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507"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750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509" w14:textId="77777777" w:rsidR="00584EC1" w:rsidRDefault="00584EC1">
            <w:pPr>
              <w:rPr>
                <w:rFonts w:ascii="宋体"/>
              </w:rPr>
            </w:pPr>
          </w:p>
        </w:tc>
        <w:tc>
          <w:tcPr>
            <w:tcW w:w="0" w:type="auto"/>
            <w:shd w:val="clear" w:color="auto" w:fill="auto"/>
            <w:vAlign w:val="bottom"/>
          </w:tcPr>
          <w:p w14:paraId="74DD750A" w14:textId="77777777" w:rsidR="00584EC1" w:rsidRDefault="00584EC1">
            <w:pPr>
              <w:rPr>
                <w:rFonts w:ascii="宋体"/>
                <w:vanish/>
              </w:rPr>
            </w:pPr>
          </w:p>
        </w:tc>
        <w:tc>
          <w:tcPr>
            <w:tcW w:w="0" w:type="auto"/>
            <w:shd w:val="clear" w:color="auto" w:fill="auto"/>
            <w:vAlign w:val="bottom"/>
          </w:tcPr>
          <w:p w14:paraId="74DD750B" w14:textId="77777777" w:rsidR="00584EC1" w:rsidRDefault="00584EC1">
            <w:pPr>
              <w:rPr>
                <w:rFonts w:ascii="宋体"/>
                <w:vanish/>
              </w:rPr>
            </w:pPr>
          </w:p>
        </w:tc>
        <w:tc>
          <w:tcPr>
            <w:tcW w:w="0" w:type="auto"/>
            <w:shd w:val="clear" w:color="auto" w:fill="auto"/>
            <w:vAlign w:val="bottom"/>
          </w:tcPr>
          <w:p w14:paraId="74DD750C" w14:textId="77777777" w:rsidR="00584EC1" w:rsidRDefault="00584EC1">
            <w:pPr>
              <w:rPr>
                <w:rFonts w:ascii="宋体"/>
                <w:vanish/>
              </w:rPr>
            </w:pPr>
          </w:p>
        </w:tc>
        <w:tc>
          <w:tcPr>
            <w:tcW w:w="0" w:type="auto"/>
            <w:gridSpan w:val="3"/>
            <w:shd w:val="clear" w:color="auto" w:fill="auto"/>
            <w:vAlign w:val="bottom"/>
          </w:tcPr>
          <w:p w14:paraId="74DD750D"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D750E"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750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51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511" w14:textId="77777777" w:rsidR="00584EC1" w:rsidRDefault="00871F8D">
            <w:pPr>
              <w:jc w:val="right"/>
              <w:textAlignment w:val="bottom"/>
            </w:pPr>
            <w:r>
              <w:rPr>
                <w:rFonts w:ascii="Arial" w:eastAsia="宋体" w:hAnsi="Arial" w:cs="Arial"/>
                <w:b/>
                <w:bCs/>
                <w:color w:val="000000"/>
                <w:sz w:val="12"/>
                <w:szCs w:val="12"/>
              </w:rPr>
              <w:t>(23)</w:t>
            </w:r>
          </w:p>
        </w:tc>
        <w:tc>
          <w:tcPr>
            <w:tcW w:w="0" w:type="auto"/>
            <w:shd w:val="clear" w:color="auto" w:fill="FFFFFF"/>
            <w:tcMar>
              <w:top w:w="40" w:type="dxa"/>
              <w:left w:w="0" w:type="dxa"/>
              <w:bottom w:w="40" w:type="dxa"/>
              <w:right w:w="20" w:type="dxa"/>
            </w:tcMar>
            <w:vAlign w:val="bottom"/>
          </w:tcPr>
          <w:p w14:paraId="74DD7512" w14:textId="77777777" w:rsidR="00584EC1" w:rsidRDefault="00584EC1">
            <w:pPr>
              <w:jc w:val="right"/>
              <w:rPr>
                <w:rFonts w:ascii="宋体"/>
              </w:rPr>
            </w:pPr>
          </w:p>
        </w:tc>
      </w:tr>
      <w:tr w:rsidR="00584EC1" w14:paraId="74DD7528" w14:textId="77777777">
        <w:tc>
          <w:tcPr>
            <w:tcW w:w="0" w:type="auto"/>
            <w:gridSpan w:val="3"/>
            <w:shd w:val="clear" w:color="auto" w:fill="CCEEFF"/>
            <w:tcMar>
              <w:top w:w="40" w:type="dxa"/>
              <w:left w:w="20" w:type="dxa"/>
              <w:bottom w:w="40" w:type="dxa"/>
              <w:right w:w="20" w:type="dxa"/>
            </w:tcMar>
            <w:vAlign w:val="bottom"/>
          </w:tcPr>
          <w:p w14:paraId="74DD7514" w14:textId="77777777" w:rsidR="00584EC1" w:rsidRDefault="00871F8D">
            <w:pPr>
              <w:textAlignment w:val="bottom"/>
            </w:pPr>
            <w:r>
              <w:rPr>
                <w:rFonts w:ascii="Arial" w:eastAsia="宋体" w:hAnsi="Arial" w:cs="Arial"/>
                <w:b/>
                <w:bCs/>
                <w:color w:val="000000"/>
                <w:sz w:val="12"/>
                <w:szCs w:val="12"/>
              </w:rPr>
              <w:t>Accrual Balance at September 30, 2021</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7515"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7516" w14:textId="77777777" w:rsidR="00584EC1" w:rsidRDefault="00871F8D">
            <w:pPr>
              <w:jc w:val="right"/>
              <w:textAlignment w:val="bottom"/>
            </w:pPr>
            <w:r>
              <w:rPr>
                <w:rFonts w:ascii="Arial" w:eastAsia="宋体" w:hAnsi="Arial" w:cs="Arial"/>
                <w:b/>
                <w:bCs/>
                <w:color w:val="000000"/>
                <w:sz w:val="12"/>
                <w:szCs w:val="12"/>
              </w:rPr>
              <w:t>123</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751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518"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7519"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751A" w14:textId="77777777" w:rsidR="00584EC1" w:rsidRDefault="00871F8D">
            <w:pPr>
              <w:jc w:val="right"/>
              <w:textAlignment w:val="bottom"/>
            </w:pPr>
            <w:r>
              <w:rPr>
                <w:rFonts w:ascii="Arial" w:eastAsia="宋体" w:hAnsi="Arial" w:cs="Arial"/>
                <w:b/>
                <w:bCs/>
                <w:color w:val="000000"/>
                <w:sz w:val="12"/>
                <w:szCs w:val="12"/>
              </w:rPr>
              <w:t>6</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751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51C" w14:textId="77777777" w:rsidR="00584EC1" w:rsidRDefault="00584EC1">
            <w:pPr>
              <w:rPr>
                <w:rFonts w:ascii="宋体"/>
              </w:rPr>
            </w:pPr>
          </w:p>
        </w:tc>
        <w:tc>
          <w:tcPr>
            <w:tcW w:w="0" w:type="auto"/>
            <w:shd w:val="clear" w:color="auto" w:fill="auto"/>
            <w:vAlign w:val="bottom"/>
          </w:tcPr>
          <w:p w14:paraId="74DD751D" w14:textId="77777777" w:rsidR="00584EC1" w:rsidRDefault="00584EC1">
            <w:pPr>
              <w:rPr>
                <w:rFonts w:ascii="宋体"/>
                <w:vanish/>
              </w:rPr>
            </w:pPr>
          </w:p>
        </w:tc>
        <w:tc>
          <w:tcPr>
            <w:tcW w:w="0" w:type="auto"/>
            <w:shd w:val="clear" w:color="auto" w:fill="auto"/>
            <w:vAlign w:val="bottom"/>
          </w:tcPr>
          <w:p w14:paraId="74DD751E" w14:textId="77777777" w:rsidR="00584EC1" w:rsidRDefault="00584EC1">
            <w:pPr>
              <w:rPr>
                <w:rFonts w:ascii="宋体"/>
                <w:vanish/>
              </w:rPr>
            </w:pPr>
          </w:p>
        </w:tc>
        <w:tc>
          <w:tcPr>
            <w:tcW w:w="0" w:type="auto"/>
            <w:shd w:val="clear" w:color="auto" w:fill="auto"/>
            <w:vAlign w:val="bottom"/>
          </w:tcPr>
          <w:p w14:paraId="74DD751F" w14:textId="77777777" w:rsidR="00584EC1" w:rsidRDefault="00584EC1">
            <w:pPr>
              <w:rPr>
                <w:rFonts w:ascii="宋体"/>
                <w:vanish/>
              </w:rPr>
            </w:pPr>
          </w:p>
        </w:tc>
        <w:tc>
          <w:tcPr>
            <w:tcW w:w="0" w:type="auto"/>
            <w:gridSpan w:val="3"/>
            <w:shd w:val="clear" w:color="auto" w:fill="auto"/>
            <w:vAlign w:val="bottom"/>
          </w:tcPr>
          <w:p w14:paraId="74DD7520" w14:textId="77777777" w:rsidR="00584EC1" w:rsidRDefault="00584EC1">
            <w:pPr>
              <w:rPr>
                <w:rFonts w:ascii="宋体"/>
                <w:vanish/>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7521"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7522"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752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524"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7525"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7526" w14:textId="77777777" w:rsidR="00584EC1" w:rsidRDefault="00871F8D">
            <w:pPr>
              <w:jc w:val="right"/>
              <w:textAlignment w:val="bottom"/>
            </w:pPr>
            <w:r>
              <w:rPr>
                <w:rFonts w:ascii="Arial" w:eastAsia="宋体" w:hAnsi="Arial" w:cs="Arial"/>
                <w:b/>
                <w:bCs/>
                <w:color w:val="000000"/>
                <w:sz w:val="12"/>
                <w:szCs w:val="12"/>
              </w:rPr>
              <w:t>129</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7527" w14:textId="77777777" w:rsidR="00584EC1" w:rsidRDefault="00584EC1">
            <w:pPr>
              <w:jc w:val="right"/>
              <w:rPr>
                <w:rFonts w:ascii="宋体"/>
              </w:rPr>
            </w:pPr>
          </w:p>
        </w:tc>
      </w:tr>
    </w:tbl>
    <w:p w14:paraId="74DD7529" w14:textId="77777777" w:rsidR="00584EC1" w:rsidRDefault="00871F8D">
      <w:pPr>
        <w:ind w:firstLine="450"/>
        <w:jc w:val="right"/>
      </w:pPr>
      <w:r>
        <w:rPr>
          <w:rFonts w:ascii="Arial" w:eastAsia="宋体" w:hAnsi="Arial" w:cs="Arial"/>
          <w:color w:val="000000"/>
          <w:sz w:val="18"/>
          <w:szCs w:val="18"/>
        </w:rPr>
        <w:t>State Street Corporation | 18</w:t>
      </w:r>
    </w:p>
    <w:p w14:paraId="74DD752A" w14:textId="77777777" w:rsidR="00584EC1" w:rsidRDefault="00584EC1">
      <w:pPr>
        <w:ind w:firstLine="450"/>
        <w:jc w:val="center"/>
      </w:pPr>
    </w:p>
    <w:p w14:paraId="74DD752B" w14:textId="77777777" w:rsidR="00584EC1" w:rsidRDefault="00871F8D">
      <w:r>
        <w:pict w14:anchorId="74DE2A00">
          <v:rect id="_x0000_i1042" style="width:415.3pt;height:1.5pt" o:hralign="center" o:hrstd="t" o:hr="t" fillcolor="#a0a0a0" stroked="f"/>
        </w:pict>
      </w:r>
    </w:p>
    <w:p w14:paraId="74DD752C" w14:textId="77777777" w:rsidR="00584EC1" w:rsidRDefault="00871F8D">
      <w:pPr>
        <w:ind w:firstLine="450"/>
        <w:jc w:val="center"/>
      </w:pPr>
      <w:r>
        <w:rPr>
          <w:rFonts w:ascii="Arial" w:eastAsia="宋体" w:hAnsi="Arial" w:cs="Arial"/>
          <w:b/>
          <w:bCs/>
          <w:color w:val="000000"/>
          <w:sz w:val="20"/>
          <w:szCs w:val="20"/>
        </w:rPr>
        <w:t>MANAGEMENT’S DISCUSSION AND ANALYSIS OF FINANCIAL CO</w:t>
      </w:r>
      <w:r>
        <w:rPr>
          <w:rFonts w:ascii="Arial" w:eastAsia="宋体" w:hAnsi="Arial" w:cs="Arial"/>
          <w:b/>
          <w:bCs/>
          <w:color w:val="000000"/>
          <w:sz w:val="20"/>
          <w:szCs w:val="20"/>
        </w:rPr>
        <w:t>NDITION</w:t>
      </w:r>
    </w:p>
    <w:p w14:paraId="74DD752D" w14:textId="77777777" w:rsidR="00584EC1" w:rsidRDefault="00871F8D">
      <w:pPr>
        <w:ind w:firstLine="450"/>
        <w:jc w:val="center"/>
      </w:pPr>
      <w:r>
        <w:rPr>
          <w:rFonts w:ascii="Arial" w:eastAsia="宋体" w:hAnsi="Arial" w:cs="Arial"/>
          <w:b/>
          <w:bCs/>
          <w:color w:val="000000"/>
          <w:sz w:val="20"/>
          <w:szCs w:val="20"/>
        </w:rPr>
        <w:t>AND RESULTS OF OPERATIONS</w:t>
      </w:r>
    </w:p>
    <w:p w14:paraId="74DD752E" w14:textId="77777777" w:rsidR="00584EC1" w:rsidRDefault="00871F8D">
      <w:pPr>
        <w:spacing w:before="90"/>
        <w:textAlignment w:val="top"/>
      </w:pPr>
      <w:r>
        <w:rPr>
          <w:rFonts w:ascii="Arial" w:eastAsia="宋体" w:hAnsi="Arial" w:cs="Arial"/>
          <w:b/>
          <w:bCs/>
          <w:color w:val="000000"/>
          <w:sz w:val="20"/>
          <w:szCs w:val="20"/>
        </w:rPr>
        <w:t>Income Tax Expense</w:t>
      </w:r>
    </w:p>
    <w:p w14:paraId="74DD752F" w14:textId="77777777" w:rsidR="00584EC1" w:rsidRDefault="00871F8D">
      <w:pPr>
        <w:spacing w:before="60"/>
        <w:ind w:firstLine="450"/>
        <w:jc w:val="both"/>
        <w:textAlignment w:val="top"/>
      </w:pPr>
      <w:r>
        <w:rPr>
          <w:rFonts w:ascii="Arial" w:eastAsia="宋体" w:hAnsi="Arial" w:cs="Arial"/>
          <w:color w:val="000000"/>
          <w:sz w:val="20"/>
          <w:szCs w:val="20"/>
        </w:rPr>
        <w:t>Income tax expense was $162 million and $445 million in the three and nine months ended September 30, 2021, respectively, compared to $126 million and $375 million in the same periods in 2020, respective</w:t>
      </w:r>
      <w:r>
        <w:rPr>
          <w:rFonts w:ascii="Arial" w:eastAsia="宋体" w:hAnsi="Arial" w:cs="Arial"/>
          <w:color w:val="000000"/>
          <w:sz w:val="20"/>
          <w:szCs w:val="20"/>
        </w:rPr>
        <w:t xml:space="preserve">ly. Our effective tax rate was 18.5% and 18.2% in the three and nine months ended September 30, 2021, respectively, compared to 18.5% and 16.6% in the same periods in 2020, respectively. The increase in the nine months ended September 30, 2021 compared to </w:t>
      </w:r>
      <w:r>
        <w:rPr>
          <w:rFonts w:ascii="Arial" w:eastAsia="宋体" w:hAnsi="Arial" w:cs="Arial"/>
          <w:color w:val="000000"/>
          <w:sz w:val="20"/>
          <w:szCs w:val="20"/>
        </w:rPr>
        <w:t xml:space="preserve">the same period in 2020, is primarily due to lower benefits from tax credit investments. </w:t>
      </w:r>
    </w:p>
    <w:p w14:paraId="74DD7530" w14:textId="77777777" w:rsidR="00584EC1" w:rsidRDefault="00871F8D">
      <w:pPr>
        <w:spacing w:before="90"/>
        <w:jc w:val="both"/>
        <w:textAlignment w:val="top"/>
      </w:pPr>
      <w:r>
        <w:rPr>
          <w:rFonts w:ascii="Arial" w:eastAsia="宋体" w:hAnsi="Arial" w:cs="Arial"/>
          <w:b/>
          <w:bCs/>
          <w:color w:val="000000"/>
          <w:sz w:val="20"/>
          <w:szCs w:val="20"/>
        </w:rPr>
        <w:t>LINE OF BUSINESS INFORMATION</w:t>
      </w:r>
    </w:p>
    <w:p w14:paraId="74DD7531" w14:textId="77777777" w:rsidR="00584EC1" w:rsidRDefault="00871F8D">
      <w:pPr>
        <w:spacing w:before="60"/>
        <w:ind w:firstLine="450"/>
        <w:jc w:val="both"/>
        <w:textAlignment w:val="top"/>
      </w:pPr>
      <w:r>
        <w:rPr>
          <w:rFonts w:ascii="Arial" w:eastAsia="宋体" w:hAnsi="Arial" w:cs="Arial"/>
          <w:color w:val="000000"/>
          <w:sz w:val="20"/>
          <w:szCs w:val="20"/>
        </w:rPr>
        <w:t>Our operations are organized into two lines of business: Investment Servicing and Investment Management, which are defined based on produ</w:t>
      </w:r>
      <w:r>
        <w:rPr>
          <w:rFonts w:ascii="Arial" w:eastAsia="宋体" w:hAnsi="Arial" w:cs="Arial"/>
          <w:color w:val="000000"/>
          <w:sz w:val="20"/>
          <w:szCs w:val="20"/>
        </w:rPr>
        <w:t>cts and services provided. The results of operations for these lines of business are not necessarily comparable with those of other companies, including companies in the financial services industry.</w:t>
      </w:r>
    </w:p>
    <w:p w14:paraId="74DD7532" w14:textId="77777777" w:rsidR="00584EC1" w:rsidRDefault="00871F8D">
      <w:pPr>
        <w:spacing w:before="60"/>
        <w:ind w:firstLine="450"/>
        <w:jc w:val="both"/>
        <w:textAlignment w:val="top"/>
      </w:pPr>
      <w:r>
        <w:rPr>
          <w:rFonts w:ascii="Arial" w:eastAsia="宋体" w:hAnsi="Arial" w:cs="Arial"/>
          <w:i/>
          <w:iCs/>
          <w:color w:val="000000"/>
          <w:sz w:val="20"/>
          <w:szCs w:val="20"/>
        </w:rPr>
        <w:t xml:space="preserve">Investment Servicing, </w:t>
      </w:r>
      <w:r>
        <w:rPr>
          <w:rFonts w:ascii="Arial" w:eastAsia="宋体" w:hAnsi="Arial" w:cs="Arial"/>
          <w:color w:val="000000"/>
          <w:sz w:val="20"/>
          <w:szCs w:val="20"/>
        </w:rPr>
        <w:t>through</w:t>
      </w:r>
      <w:r>
        <w:rPr>
          <w:rFonts w:ascii="Arial" w:eastAsia="宋体" w:hAnsi="Arial" w:cs="Arial"/>
          <w:i/>
          <w:iCs/>
          <w:color w:val="000000"/>
          <w:sz w:val="20"/>
          <w:szCs w:val="20"/>
        </w:rPr>
        <w:t xml:space="preserve"> </w:t>
      </w:r>
      <w:r>
        <w:rPr>
          <w:rFonts w:ascii="Arial" w:eastAsia="宋体" w:hAnsi="Arial" w:cs="Arial"/>
          <w:color w:val="000000"/>
          <w:sz w:val="20"/>
          <w:szCs w:val="20"/>
        </w:rPr>
        <w:t xml:space="preserve">State Street </w:t>
      </w:r>
      <w:r>
        <w:rPr>
          <w:rFonts w:ascii="Arial" w:eastAsia="宋体" w:hAnsi="Arial" w:cs="Arial"/>
          <w:color w:val="000000"/>
          <w:sz w:val="20"/>
          <w:szCs w:val="20"/>
        </w:rPr>
        <w:t>Institutional Services, State Street Global Markets, State Street Global Exchange and CRD, provides services for institutional clients, including mutual funds, collective investment funds and other investment pools, corporate and public retirement plans, i</w:t>
      </w:r>
      <w:r>
        <w:rPr>
          <w:rFonts w:ascii="Arial" w:eastAsia="宋体" w:hAnsi="Arial" w:cs="Arial"/>
          <w:color w:val="000000"/>
          <w:sz w:val="20"/>
          <w:szCs w:val="20"/>
        </w:rPr>
        <w:t>nsurance companies, investment managers, foundations and endowments worldwide. Products include: custody; product accounting; daily pricing and administration; master trust and master custody; depotbank services (a fund oversight role created by non-U.S. r</w:t>
      </w:r>
      <w:r>
        <w:rPr>
          <w:rFonts w:ascii="Arial" w:eastAsia="宋体" w:hAnsi="Arial" w:cs="Arial"/>
          <w:color w:val="000000"/>
          <w:sz w:val="20"/>
          <w:szCs w:val="20"/>
        </w:rPr>
        <w:t>egulation); record-keeping; cash management; foreign exchange, brokerage and other trading services; securities finance and enhanced custody products; deposit and short-term investment facilities; loans and lease financing; investment manager and alternati</w:t>
      </w:r>
      <w:r>
        <w:rPr>
          <w:rFonts w:ascii="Arial" w:eastAsia="宋体" w:hAnsi="Arial" w:cs="Arial"/>
          <w:color w:val="000000"/>
          <w:sz w:val="20"/>
          <w:szCs w:val="20"/>
        </w:rPr>
        <w:t>ve investment manager operations outsourcing; performance, risk and compliance analytics; and financial data management to support institutional investors.</w:t>
      </w:r>
    </w:p>
    <w:p w14:paraId="74DD7533" w14:textId="77777777" w:rsidR="00584EC1" w:rsidRDefault="00871F8D">
      <w:pPr>
        <w:spacing w:before="60"/>
        <w:ind w:firstLine="450"/>
        <w:jc w:val="both"/>
        <w:textAlignment w:val="top"/>
      </w:pPr>
      <w:r>
        <w:rPr>
          <w:rFonts w:ascii="Arial" w:eastAsia="宋体" w:hAnsi="Arial" w:cs="Arial"/>
          <w:color w:val="000000"/>
          <w:sz w:val="20"/>
          <w:szCs w:val="20"/>
        </w:rPr>
        <w:t>Included within our Investment Servicing line of business is CRD, which we acquired in October 2018.</w:t>
      </w:r>
      <w:r>
        <w:rPr>
          <w:rFonts w:ascii="Arial" w:eastAsia="宋体" w:hAnsi="Arial" w:cs="Arial"/>
          <w:color w:val="000000"/>
          <w:sz w:val="20"/>
          <w:szCs w:val="20"/>
        </w:rPr>
        <w:t xml:space="preserve"> The Charles River Investment Management solution </w:t>
      </w:r>
    </w:p>
    <w:p w14:paraId="74DD7534" w14:textId="77777777" w:rsidR="00584EC1" w:rsidRDefault="00871F8D">
      <w:pPr>
        <w:spacing w:before="60"/>
        <w:jc w:val="both"/>
        <w:textAlignment w:val="top"/>
      </w:pPr>
      <w:r>
        <w:rPr>
          <w:rFonts w:ascii="Arial" w:eastAsia="宋体" w:hAnsi="Arial" w:cs="Arial"/>
          <w:color w:val="000000"/>
          <w:sz w:val="20"/>
          <w:szCs w:val="20"/>
        </w:rPr>
        <w:t>is a technology offering which is designed to automate and simplify the institutional investment process across asset classes, from portfolio management and risk analytics through trading and post-trade se</w:t>
      </w:r>
      <w:r>
        <w:rPr>
          <w:rFonts w:ascii="Arial" w:eastAsia="宋体" w:hAnsi="Arial" w:cs="Arial"/>
          <w:color w:val="000000"/>
          <w:sz w:val="20"/>
          <w:szCs w:val="20"/>
        </w:rPr>
        <w:t>ttlement, with integrated compliance and managed data throughout. With the acquisition of CRD, we took the first step in building our front-to-back platform, State Street Alpha. Today our State Street Alpha platform combines portfolio management, trading a</w:t>
      </w:r>
      <w:r>
        <w:rPr>
          <w:rFonts w:ascii="Arial" w:eastAsia="宋体" w:hAnsi="Arial" w:cs="Arial"/>
          <w:color w:val="000000"/>
          <w:sz w:val="20"/>
          <w:szCs w:val="20"/>
        </w:rPr>
        <w:t xml:space="preserve">nd execution, advanced data aggregation, analytics and compliance tools, and integration with other industry platforms and providers. </w:t>
      </w:r>
    </w:p>
    <w:p w14:paraId="74DD7535" w14:textId="77777777" w:rsidR="00584EC1" w:rsidRDefault="00871F8D">
      <w:pPr>
        <w:spacing w:before="60"/>
        <w:ind w:firstLine="450"/>
        <w:jc w:val="both"/>
        <w:textAlignment w:val="top"/>
      </w:pPr>
      <w:r>
        <w:rPr>
          <w:rFonts w:ascii="Arial" w:eastAsia="宋体" w:hAnsi="Arial" w:cs="Arial"/>
          <w:color w:val="000000"/>
          <w:sz w:val="20"/>
          <w:szCs w:val="20"/>
        </w:rPr>
        <w:t>Following completion of our proposed acquisition of the BBH Investor Services business, the acquired business will be inc</w:t>
      </w:r>
      <w:r>
        <w:rPr>
          <w:rFonts w:ascii="Arial" w:eastAsia="宋体" w:hAnsi="Arial" w:cs="Arial"/>
          <w:color w:val="000000"/>
          <w:sz w:val="20"/>
          <w:szCs w:val="20"/>
        </w:rPr>
        <w:t>luded within our Investment Servicing line of business.</w:t>
      </w:r>
    </w:p>
    <w:p w14:paraId="74DD7536" w14:textId="77777777" w:rsidR="00584EC1" w:rsidRDefault="00871F8D">
      <w:pPr>
        <w:spacing w:before="60"/>
        <w:ind w:firstLine="450"/>
        <w:jc w:val="both"/>
        <w:textAlignment w:val="top"/>
      </w:pPr>
      <w:r>
        <w:rPr>
          <w:rFonts w:ascii="Arial" w:eastAsia="宋体" w:hAnsi="Arial" w:cs="Arial"/>
          <w:i/>
          <w:iCs/>
          <w:color w:val="000000"/>
          <w:sz w:val="20"/>
          <w:szCs w:val="20"/>
        </w:rPr>
        <w:t>Investment Management</w:t>
      </w:r>
      <w:r>
        <w:rPr>
          <w:rFonts w:ascii="Arial" w:eastAsia="宋体" w:hAnsi="Arial" w:cs="Arial"/>
          <w:color w:val="000000"/>
          <w:sz w:val="20"/>
          <w:szCs w:val="20"/>
        </w:rPr>
        <w:t xml:space="preserve">, through State Street Global Advisors, provides a broad range of investment management strategies and products for our clients. Our investment management strategies and products </w:t>
      </w:r>
      <w:r>
        <w:rPr>
          <w:rFonts w:ascii="Arial" w:eastAsia="宋体" w:hAnsi="Arial" w:cs="Arial"/>
          <w:color w:val="000000"/>
          <w:sz w:val="20"/>
          <w:szCs w:val="20"/>
        </w:rPr>
        <w:t>span the risk/reward spectrum for equity, fixed income and cash assets, including core and enhanced indexing, multi-asset strategies, active quantitative and fundamental active capabilities and alternative investment strategies. Our AUM is currently primar</w:t>
      </w:r>
      <w:r>
        <w:rPr>
          <w:rFonts w:ascii="Arial" w:eastAsia="宋体" w:hAnsi="Arial" w:cs="Arial"/>
          <w:color w:val="000000"/>
          <w:sz w:val="20"/>
          <w:szCs w:val="20"/>
        </w:rPr>
        <w:t>ily weighted to indexed strategies. In addition, we provide a breadth of services and solutions, including environmental, social and governance investing, defined benefit and defined contribution and Global Fiduciary Solutions (formerly Outsourced Chief In</w:t>
      </w:r>
      <w:r>
        <w:rPr>
          <w:rFonts w:ascii="Arial" w:eastAsia="宋体" w:hAnsi="Arial" w:cs="Arial"/>
          <w:color w:val="000000"/>
          <w:sz w:val="20"/>
          <w:szCs w:val="20"/>
        </w:rPr>
        <w:t>vestment Officer). State Street Global Advisors is also a provider of ETFs, including the SPDR</w:t>
      </w:r>
      <w:r>
        <w:rPr>
          <w:rFonts w:ascii="Arial" w:eastAsia="宋体" w:hAnsi="Arial" w:cs="Arial"/>
          <w:color w:val="000000"/>
          <w:sz w:val="13"/>
          <w:szCs w:val="13"/>
        </w:rPr>
        <w:t xml:space="preserve">® </w:t>
      </w:r>
      <w:r>
        <w:rPr>
          <w:rFonts w:ascii="Arial" w:eastAsia="宋体" w:hAnsi="Arial" w:cs="Arial"/>
          <w:color w:val="000000"/>
          <w:sz w:val="20"/>
          <w:szCs w:val="20"/>
        </w:rPr>
        <w:t xml:space="preserve">ETF brand. While management fees are primarily determined by the values of AUM and the investment strategies employed, management fees reflect other factors as </w:t>
      </w:r>
      <w:r>
        <w:rPr>
          <w:rFonts w:ascii="Arial" w:eastAsia="宋体" w:hAnsi="Arial" w:cs="Arial"/>
          <w:color w:val="000000"/>
          <w:sz w:val="20"/>
          <w:szCs w:val="20"/>
        </w:rPr>
        <w:t>well, including the benchmarks specified in the respective management agreements related to performance fees.</w:t>
      </w:r>
    </w:p>
    <w:p w14:paraId="74DD7537" w14:textId="77777777" w:rsidR="00584EC1" w:rsidRDefault="00871F8D">
      <w:pPr>
        <w:spacing w:before="60"/>
        <w:ind w:firstLine="450"/>
        <w:jc w:val="both"/>
        <w:textAlignment w:val="top"/>
      </w:pPr>
      <w:r>
        <w:rPr>
          <w:rFonts w:ascii="Arial" w:eastAsia="宋体" w:hAnsi="Arial" w:cs="Arial"/>
          <w:color w:val="000000"/>
          <w:sz w:val="20"/>
          <w:szCs w:val="20"/>
        </w:rPr>
        <w:t>For information about our two lines of business, as well as the revenues, expenses and capital allocation methodologies associated with them, refe</w:t>
      </w:r>
      <w:r>
        <w:rPr>
          <w:rFonts w:ascii="Arial" w:eastAsia="宋体" w:hAnsi="Arial" w:cs="Arial"/>
          <w:color w:val="000000"/>
          <w:sz w:val="20"/>
          <w:szCs w:val="20"/>
        </w:rPr>
        <w:t>r to Note 17 to the consolidated financial statements in this Form 10-Q.</w:t>
      </w:r>
    </w:p>
    <w:p w14:paraId="74DD7538" w14:textId="77777777" w:rsidR="00584EC1" w:rsidRDefault="00871F8D">
      <w:pPr>
        <w:ind w:firstLine="450"/>
        <w:jc w:val="right"/>
      </w:pPr>
      <w:r>
        <w:rPr>
          <w:rFonts w:ascii="Arial" w:eastAsia="宋体" w:hAnsi="Arial" w:cs="Arial"/>
          <w:color w:val="000000"/>
          <w:sz w:val="18"/>
          <w:szCs w:val="18"/>
        </w:rPr>
        <w:t>State Street Corporation | 19</w:t>
      </w:r>
    </w:p>
    <w:p w14:paraId="74DD7539" w14:textId="77777777" w:rsidR="00584EC1" w:rsidRDefault="00584EC1">
      <w:pPr>
        <w:ind w:firstLine="450"/>
        <w:jc w:val="center"/>
      </w:pPr>
    </w:p>
    <w:p w14:paraId="74DD753A" w14:textId="77777777" w:rsidR="00584EC1" w:rsidRDefault="00871F8D">
      <w:r>
        <w:pict w14:anchorId="74DE2A01">
          <v:rect id="_x0000_i1043" style="width:415.3pt;height:1.5pt" o:hralign="center" o:hrstd="t" o:hr="t" fillcolor="#a0a0a0" stroked="f"/>
        </w:pict>
      </w:r>
    </w:p>
    <w:p w14:paraId="74DD753B" w14:textId="77777777" w:rsidR="00584EC1" w:rsidRDefault="00871F8D">
      <w:pPr>
        <w:ind w:firstLine="450"/>
        <w:jc w:val="center"/>
      </w:pPr>
      <w:r>
        <w:rPr>
          <w:rFonts w:ascii="Arial" w:eastAsia="宋体" w:hAnsi="Arial" w:cs="Arial"/>
          <w:b/>
          <w:bCs/>
          <w:color w:val="000000"/>
          <w:sz w:val="20"/>
          <w:szCs w:val="20"/>
        </w:rPr>
        <w:t>MANAGEMENT’S DISCUSSION AND ANALYSIS OF FINANCIAL CONDITION</w:t>
      </w:r>
    </w:p>
    <w:p w14:paraId="74DD753C" w14:textId="77777777" w:rsidR="00584EC1" w:rsidRDefault="00871F8D">
      <w:pPr>
        <w:ind w:firstLine="450"/>
        <w:jc w:val="center"/>
      </w:pPr>
      <w:r>
        <w:rPr>
          <w:rFonts w:ascii="Arial" w:eastAsia="宋体" w:hAnsi="Arial" w:cs="Arial"/>
          <w:b/>
          <w:bCs/>
          <w:color w:val="000000"/>
          <w:sz w:val="20"/>
          <w:szCs w:val="20"/>
        </w:rPr>
        <w:t>AND RESULTS OF OPERATIONS</w:t>
      </w:r>
    </w:p>
    <w:p w14:paraId="74DD753D" w14:textId="77777777" w:rsidR="00584EC1" w:rsidRDefault="00871F8D">
      <w:pPr>
        <w:spacing w:before="90"/>
      </w:pPr>
      <w:r>
        <w:rPr>
          <w:rFonts w:ascii="Arial" w:eastAsia="宋体" w:hAnsi="Arial" w:cs="Arial"/>
          <w:b/>
          <w:bCs/>
          <w:color w:val="000000"/>
          <w:sz w:val="20"/>
          <w:szCs w:val="20"/>
        </w:rPr>
        <w:t>Investment Servicing</w:t>
      </w:r>
    </w:p>
    <w:tbl>
      <w:tblPr>
        <w:tblW w:w="5000" w:type="pct"/>
        <w:tblCellMar>
          <w:top w:w="15" w:type="dxa"/>
          <w:left w:w="15" w:type="dxa"/>
          <w:bottom w:w="15" w:type="dxa"/>
          <w:right w:w="15" w:type="dxa"/>
        </w:tblCellMar>
        <w:tblLook w:val="04A0" w:firstRow="1" w:lastRow="0" w:firstColumn="1" w:lastColumn="0" w:noHBand="0" w:noVBand="1"/>
      </w:tblPr>
      <w:tblGrid>
        <w:gridCol w:w="37"/>
        <w:gridCol w:w="2850"/>
        <w:gridCol w:w="37"/>
        <w:gridCol w:w="111"/>
        <w:gridCol w:w="111"/>
        <w:gridCol w:w="111"/>
        <w:gridCol w:w="111"/>
        <w:gridCol w:w="111"/>
        <w:gridCol w:w="36"/>
        <w:gridCol w:w="98"/>
        <w:gridCol w:w="1049"/>
        <w:gridCol w:w="145"/>
        <w:gridCol w:w="36"/>
        <w:gridCol w:w="36"/>
        <w:gridCol w:w="36"/>
        <w:gridCol w:w="98"/>
        <w:gridCol w:w="1049"/>
        <w:gridCol w:w="145"/>
        <w:gridCol w:w="36"/>
        <w:gridCol w:w="36"/>
        <w:gridCol w:w="36"/>
        <w:gridCol w:w="554"/>
        <w:gridCol w:w="36"/>
        <w:gridCol w:w="39"/>
        <w:gridCol w:w="491"/>
        <w:gridCol w:w="145"/>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584EC1" w14:paraId="74DD7560" w14:textId="77777777">
        <w:tc>
          <w:tcPr>
            <w:tcW w:w="50" w:type="pct"/>
            <w:shd w:val="clear" w:color="auto" w:fill="auto"/>
            <w:vAlign w:val="bottom"/>
          </w:tcPr>
          <w:p w14:paraId="74DD753E" w14:textId="77777777" w:rsidR="00584EC1" w:rsidRDefault="00584EC1">
            <w:pPr>
              <w:rPr>
                <w:rFonts w:ascii="宋体"/>
              </w:rPr>
            </w:pPr>
          </w:p>
        </w:tc>
        <w:tc>
          <w:tcPr>
            <w:tcW w:w="2371" w:type="pct"/>
            <w:shd w:val="clear" w:color="auto" w:fill="auto"/>
            <w:vAlign w:val="bottom"/>
          </w:tcPr>
          <w:p w14:paraId="74DD753F" w14:textId="77777777" w:rsidR="00584EC1" w:rsidRDefault="00584EC1">
            <w:pPr>
              <w:rPr>
                <w:rFonts w:ascii="宋体"/>
              </w:rPr>
            </w:pPr>
          </w:p>
        </w:tc>
        <w:tc>
          <w:tcPr>
            <w:tcW w:w="5" w:type="pct"/>
            <w:shd w:val="clear" w:color="auto" w:fill="auto"/>
            <w:vAlign w:val="bottom"/>
          </w:tcPr>
          <w:p w14:paraId="74DD7540" w14:textId="77777777" w:rsidR="00584EC1" w:rsidRDefault="00584EC1">
            <w:pPr>
              <w:rPr>
                <w:rFonts w:ascii="宋体"/>
              </w:rPr>
            </w:pPr>
          </w:p>
        </w:tc>
        <w:tc>
          <w:tcPr>
            <w:tcW w:w="0" w:type="auto"/>
            <w:shd w:val="clear" w:color="auto" w:fill="auto"/>
            <w:vAlign w:val="bottom"/>
          </w:tcPr>
          <w:p w14:paraId="74DD7541" w14:textId="77777777" w:rsidR="00584EC1" w:rsidRDefault="00584EC1">
            <w:pPr>
              <w:rPr>
                <w:rFonts w:ascii="宋体"/>
                <w:vanish/>
              </w:rPr>
            </w:pPr>
          </w:p>
        </w:tc>
        <w:tc>
          <w:tcPr>
            <w:tcW w:w="0" w:type="auto"/>
            <w:shd w:val="clear" w:color="auto" w:fill="auto"/>
            <w:vAlign w:val="bottom"/>
          </w:tcPr>
          <w:p w14:paraId="74DD7542" w14:textId="77777777" w:rsidR="00584EC1" w:rsidRDefault="00584EC1">
            <w:pPr>
              <w:rPr>
                <w:rFonts w:ascii="宋体"/>
                <w:vanish/>
              </w:rPr>
            </w:pPr>
          </w:p>
        </w:tc>
        <w:tc>
          <w:tcPr>
            <w:tcW w:w="0" w:type="auto"/>
            <w:shd w:val="clear" w:color="auto" w:fill="auto"/>
            <w:vAlign w:val="bottom"/>
          </w:tcPr>
          <w:p w14:paraId="74DD7543" w14:textId="77777777" w:rsidR="00584EC1" w:rsidRDefault="00584EC1">
            <w:pPr>
              <w:rPr>
                <w:rFonts w:ascii="宋体"/>
                <w:vanish/>
              </w:rPr>
            </w:pPr>
          </w:p>
        </w:tc>
        <w:tc>
          <w:tcPr>
            <w:tcW w:w="0" w:type="auto"/>
            <w:shd w:val="clear" w:color="auto" w:fill="auto"/>
            <w:vAlign w:val="bottom"/>
          </w:tcPr>
          <w:p w14:paraId="74DD7544" w14:textId="77777777" w:rsidR="00584EC1" w:rsidRDefault="00584EC1">
            <w:pPr>
              <w:rPr>
                <w:rFonts w:ascii="宋体"/>
                <w:vanish/>
              </w:rPr>
            </w:pPr>
          </w:p>
        </w:tc>
        <w:tc>
          <w:tcPr>
            <w:tcW w:w="0" w:type="auto"/>
            <w:shd w:val="clear" w:color="auto" w:fill="auto"/>
            <w:vAlign w:val="bottom"/>
          </w:tcPr>
          <w:p w14:paraId="74DD7545" w14:textId="77777777" w:rsidR="00584EC1" w:rsidRDefault="00584EC1">
            <w:pPr>
              <w:rPr>
                <w:rFonts w:ascii="宋体"/>
                <w:vanish/>
              </w:rPr>
            </w:pPr>
          </w:p>
        </w:tc>
        <w:tc>
          <w:tcPr>
            <w:tcW w:w="0" w:type="auto"/>
            <w:shd w:val="clear" w:color="auto" w:fill="auto"/>
            <w:vAlign w:val="bottom"/>
          </w:tcPr>
          <w:p w14:paraId="74DD7546" w14:textId="77777777" w:rsidR="00584EC1" w:rsidRDefault="00584EC1">
            <w:pPr>
              <w:rPr>
                <w:rFonts w:ascii="宋体"/>
                <w:vanish/>
              </w:rPr>
            </w:pPr>
          </w:p>
        </w:tc>
        <w:tc>
          <w:tcPr>
            <w:tcW w:w="50" w:type="pct"/>
            <w:shd w:val="clear" w:color="auto" w:fill="auto"/>
            <w:vAlign w:val="bottom"/>
          </w:tcPr>
          <w:p w14:paraId="74DD7547" w14:textId="77777777" w:rsidR="00584EC1" w:rsidRDefault="00584EC1">
            <w:pPr>
              <w:rPr>
                <w:rFonts w:ascii="宋体"/>
              </w:rPr>
            </w:pPr>
          </w:p>
        </w:tc>
        <w:tc>
          <w:tcPr>
            <w:tcW w:w="902" w:type="pct"/>
            <w:shd w:val="clear" w:color="auto" w:fill="auto"/>
            <w:vAlign w:val="bottom"/>
          </w:tcPr>
          <w:p w14:paraId="74DD7548" w14:textId="77777777" w:rsidR="00584EC1" w:rsidRDefault="00584EC1">
            <w:pPr>
              <w:rPr>
                <w:rFonts w:ascii="宋体"/>
              </w:rPr>
            </w:pPr>
          </w:p>
        </w:tc>
        <w:tc>
          <w:tcPr>
            <w:tcW w:w="5" w:type="pct"/>
            <w:shd w:val="clear" w:color="auto" w:fill="auto"/>
            <w:vAlign w:val="bottom"/>
          </w:tcPr>
          <w:p w14:paraId="74DD7549" w14:textId="77777777" w:rsidR="00584EC1" w:rsidRDefault="00584EC1">
            <w:pPr>
              <w:rPr>
                <w:rFonts w:ascii="宋体"/>
              </w:rPr>
            </w:pPr>
          </w:p>
        </w:tc>
        <w:tc>
          <w:tcPr>
            <w:tcW w:w="5" w:type="pct"/>
            <w:shd w:val="clear" w:color="auto" w:fill="auto"/>
            <w:vAlign w:val="bottom"/>
          </w:tcPr>
          <w:p w14:paraId="74DD754A" w14:textId="77777777" w:rsidR="00584EC1" w:rsidRDefault="00584EC1">
            <w:pPr>
              <w:rPr>
                <w:rFonts w:ascii="宋体"/>
              </w:rPr>
            </w:pPr>
          </w:p>
        </w:tc>
        <w:tc>
          <w:tcPr>
            <w:tcW w:w="26" w:type="pct"/>
            <w:shd w:val="clear" w:color="auto" w:fill="auto"/>
            <w:vAlign w:val="bottom"/>
          </w:tcPr>
          <w:p w14:paraId="74DD754B" w14:textId="77777777" w:rsidR="00584EC1" w:rsidRDefault="00584EC1">
            <w:pPr>
              <w:rPr>
                <w:rFonts w:ascii="宋体"/>
              </w:rPr>
            </w:pPr>
          </w:p>
        </w:tc>
        <w:tc>
          <w:tcPr>
            <w:tcW w:w="5" w:type="pct"/>
            <w:shd w:val="clear" w:color="auto" w:fill="auto"/>
            <w:vAlign w:val="bottom"/>
          </w:tcPr>
          <w:p w14:paraId="74DD754C" w14:textId="77777777" w:rsidR="00584EC1" w:rsidRDefault="00584EC1">
            <w:pPr>
              <w:rPr>
                <w:rFonts w:ascii="宋体"/>
              </w:rPr>
            </w:pPr>
          </w:p>
        </w:tc>
        <w:tc>
          <w:tcPr>
            <w:tcW w:w="50" w:type="pct"/>
            <w:shd w:val="clear" w:color="auto" w:fill="auto"/>
            <w:vAlign w:val="bottom"/>
          </w:tcPr>
          <w:p w14:paraId="74DD754D" w14:textId="77777777" w:rsidR="00584EC1" w:rsidRDefault="00584EC1">
            <w:pPr>
              <w:rPr>
                <w:rFonts w:ascii="宋体"/>
              </w:rPr>
            </w:pPr>
          </w:p>
        </w:tc>
        <w:tc>
          <w:tcPr>
            <w:tcW w:w="902" w:type="pct"/>
            <w:shd w:val="clear" w:color="auto" w:fill="auto"/>
            <w:vAlign w:val="bottom"/>
          </w:tcPr>
          <w:p w14:paraId="74DD754E" w14:textId="77777777" w:rsidR="00584EC1" w:rsidRDefault="00584EC1">
            <w:pPr>
              <w:rPr>
                <w:rFonts w:ascii="宋体"/>
              </w:rPr>
            </w:pPr>
          </w:p>
        </w:tc>
        <w:tc>
          <w:tcPr>
            <w:tcW w:w="5" w:type="pct"/>
            <w:shd w:val="clear" w:color="auto" w:fill="auto"/>
            <w:vAlign w:val="bottom"/>
          </w:tcPr>
          <w:p w14:paraId="74DD754F" w14:textId="77777777" w:rsidR="00584EC1" w:rsidRDefault="00584EC1">
            <w:pPr>
              <w:rPr>
                <w:rFonts w:ascii="宋体"/>
              </w:rPr>
            </w:pPr>
          </w:p>
        </w:tc>
        <w:tc>
          <w:tcPr>
            <w:tcW w:w="5" w:type="pct"/>
            <w:shd w:val="clear" w:color="auto" w:fill="auto"/>
            <w:vAlign w:val="bottom"/>
          </w:tcPr>
          <w:p w14:paraId="74DD7550" w14:textId="77777777" w:rsidR="00584EC1" w:rsidRDefault="00584EC1">
            <w:pPr>
              <w:rPr>
                <w:rFonts w:ascii="宋体"/>
              </w:rPr>
            </w:pPr>
          </w:p>
        </w:tc>
        <w:tc>
          <w:tcPr>
            <w:tcW w:w="26" w:type="pct"/>
            <w:shd w:val="clear" w:color="auto" w:fill="auto"/>
            <w:vAlign w:val="bottom"/>
          </w:tcPr>
          <w:p w14:paraId="74DD7551" w14:textId="77777777" w:rsidR="00584EC1" w:rsidRDefault="00584EC1">
            <w:pPr>
              <w:rPr>
                <w:rFonts w:ascii="宋体"/>
              </w:rPr>
            </w:pPr>
          </w:p>
        </w:tc>
        <w:tc>
          <w:tcPr>
            <w:tcW w:w="5" w:type="pct"/>
            <w:shd w:val="clear" w:color="auto" w:fill="auto"/>
            <w:vAlign w:val="bottom"/>
          </w:tcPr>
          <w:p w14:paraId="74DD7552" w14:textId="77777777" w:rsidR="00584EC1" w:rsidRDefault="00584EC1">
            <w:pPr>
              <w:rPr>
                <w:rFonts w:ascii="宋体"/>
              </w:rPr>
            </w:pPr>
          </w:p>
        </w:tc>
        <w:tc>
          <w:tcPr>
            <w:tcW w:w="0" w:type="auto"/>
            <w:shd w:val="clear" w:color="auto" w:fill="auto"/>
            <w:vAlign w:val="bottom"/>
          </w:tcPr>
          <w:p w14:paraId="74DD7553" w14:textId="77777777" w:rsidR="00584EC1" w:rsidRDefault="00584EC1">
            <w:pPr>
              <w:rPr>
                <w:rFonts w:ascii="宋体"/>
                <w:vanish/>
              </w:rPr>
            </w:pPr>
          </w:p>
        </w:tc>
        <w:tc>
          <w:tcPr>
            <w:tcW w:w="0" w:type="auto"/>
            <w:shd w:val="clear" w:color="auto" w:fill="auto"/>
            <w:vAlign w:val="bottom"/>
          </w:tcPr>
          <w:p w14:paraId="74DD7554" w14:textId="77777777" w:rsidR="00584EC1" w:rsidRDefault="00584EC1">
            <w:pPr>
              <w:rPr>
                <w:rFonts w:ascii="宋体"/>
                <w:vanish/>
              </w:rPr>
            </w:pPr>
          </w:p>
        </w:tc>
        <w:tc>
          <w:tcPr>
            <w:tcW w:w="50" w:type="pct"/>
            <w:shd w:val="clear" w:color="auto" w:fill="auto"/>
            <w:vAlign w:val="bottom"/>
          </w:tcPr>
          <w:p w14:paraId="74DD7555" w14:textId="77777777" w:rsidR="00584EC1" w:rsidRDefault="00584EC1">
            <w:pPr>
              <w:rPr>
                <w:rFonts w:ascii="宋体"/>
              </w:rPr>
            </w:pPr>
          </w:p>
        </w:tc>
        <w:tc>
          <w:tcPr>
            <w:tcW w:w="529" w:type="pct"/>
            <w:shd w:val="clear" w:color="auto" w:fill="auto"/>
            <w:vAlign w:val="bottom"/>
          </w:tcPr>
          <w:p w14:paraId="74DD7556" w14:textId="77777777" w:rsidR="00584EC1" w:rsidRDefault="00584EC1">
            <w:pPr>
              <w:rPr>
                <w:rFonts w:ascii="宋体"/>
              </w:rPr>
            </w:pPr>
          </w:p>
        </w:tc>
        <w:tc>
          <w:tcPr>
            <w:tcW w:w="5" w:type="pct"/>
            <w:shd w:val="clear" w:color="auto" w:fill="auto"/>
            <w:vAlign w:val="bottom"/>
          </w:tcPr>
          <w:p w14:paraId="74DD7557" w14:textId="77777777" w:rsidR="00584EC1" w:rsidRDefault="00584EC1">
            <w:pPr>
              <w:rPr>
                <w:rFonts w:ascii="宋体"/>
              </w:rPr>
            </w:pPr>
          </w:p>
        </w:tc>
        <w:tc>
          <w:tcPr>
            <w:tcW w:w="0" w:type="auto"/>
            <w:gridSpan w:val="3"/>
            <w:shd w:val="clear" w:color="auto" w:fill="auto"/>
            <w:vAlign w:val="bottom"/>
          </w:tcPr>
          <w:p w14:paraId="74DD7558" w14:textId="77777777" w:rsidR="00584EC1" w:rsidRDefault="00584EC1">
            <w:pPr>
              <w:rPr>
                <w:rFonts w:ascii="宋体"/>
                <w:vanish/>
              </w:rPr>
            </w:pPr>
          </w:p>
        </w:tc>
        <w:tc>
          <w:tcPr>
            <w:tcW w:w="0" w:type="auto"/>
            <w:gridSpan w:val="3"/>
            <w:shd w:val="clear" w:color="auto" w:fill="auto"/>
            <w:vAlign w:val="bottom"/>
          </w:tcPr>
          <w:p w14:paraId="74DD7559" w14:textId="77777777" w:rsidR="00584EC1" w:rsidRDefault="00584EC1">
            <w:pPr>
              <w:rPr>
                <w:rFonts w:ascii="宋体"/>
                <w:vanish/>
              </w:rPr>
            </w:pPr>
          </w:p>
        </w:tc>
        <w:tc>
          <w:tcPr>
            <w:tcW w:w="0" w:type="auto"/>
            <w:gridSpan w:val="3"/>
            <w:shd w:val="clear" w:color="auto" w:fill="auto"/>
            <w:vAlign w:val="bottom"/>
          </w:tcPr>
          <w:p w14:paraId="74DD755A" w14:textId="77777777" w:rsidR="00584EC1" w:rsidRDefault="00584EC1">
            <w:pPr>
              <w:rPr>
                <w:rFonts w:ascii="宋体"/>
                <w:vanish/>
              </w:rPr>
            </w:pPr>
          </w:p>
        </w:tc>
        <w:tc>
          <w:tcPr>
            <w:tcW w:w="0" w:type="auto"/>
            <w:gridSpan w:val="3"/>
            <w:shd w:val="clear" w:color="auto" w:fill="auto"/>
            <w:vAlign w:val="bottom"/>
          </w:tcPr>
          <w:p w14:paraId="74DD755B" w14:textId="77777777" w:rsidR="00584EC1" w:rsidRDefault="00584EC1">
            <w:pPr>
              <w:rPr>
                <w:rFonts w:ascii="宋体"/>
                <w:vanish/>
              </w:rPr>
            </w:pPr>
          </w:p>
        </w:tc>
        <w:tc>
          <w:tcPr>
            <w:tcW w:w="0" w:type="auto"/>
            <w:gridSpan w:val="3"/>
            <w:shd w:val="clear" w:color="auto" w:fill="auto"/>
            <w:vAlign w:val="bottom"/>
          </w:tcPr>
          <w:p w14:paraId="74DD755C" w14:textId="77777777" w:rsidR="00584EC1" w:rsidRDefault="00584EC1">
            <w:pPr>
              <w:rPr>
                <w:rFonts w:ascii="宋体"/>
                <w:vanish/>
              </w:rPr>
            </w:pPr>
          </w:p>
        </w:tc>
        <w:tc>
          <w:tcPr>
            <w:tcW w:w="0" w:type="auto"/>
            <w:gridSpan w:val="3"/>
            <w:shd w:val="clear" w:color="auto" w:fill="auto"/>
            <w:vAlign w:val="bottom"/>
          </w:tcPr>
          <w:p w14:paraId="74DD755D" w14:textId="77777777" w:rsidR="00584EC1" w:rsidRDefault="00584EC1">
            <w:pPr>
              <w:rPr>
                <w:rFonts w:ascii="宋体"/>
                <w:vanish/>
              </w:rPr>
            </w:pPr>
          </w:p>
        </w:tc>
        <w:tc>
          <w:tcPr>
            <w:tcW w:w="0" w:type="auto"/>
            <w:gridSpan w:val="2"/>
            <w:shd w:val="clear" w:color="auto" w:fill="auto"/>
            <w:vAlign w:val="bottom"/>
          </w:tcPr>
          <w:p w14:paraId="74DD755E" w14:textId="77777777" w:rsidR="00584EC1" w:rsidRDefault="00584EC1">
            <w:pPr>
              <w:rPr>
                <w:rFonts w:ascii="宋体"/>
                <w:vanish/>
              </w:rPr>
            </w:pPr>
          </w:p>
        </w:tc>
        <w:tc>
          <w:tcPr>
            <w:tcW w:w="0" w:type="auto"/>
            <w:shd w:val="clear" w:color="auto" w:fill="auto"/>
            <w:vAlign w:val="bottom"/>
          </w:tcPr>
          <w:p w14:paraId="74DD755F" w14:textId="77777777" w:rsidR="00584EC1" w:rsidRDefault="00584EC1">
            <w:pPr>
              <w:rPr>
                <w:rFonts w:ascii="宋体"/>
                <w:vanish/>
              </w:rPr>
            </w:pPr>
          </w:p>
        </w:tc>
      </w:tr>
      <w:tr w:rsidR="00584EC1" w14:paraId="74DD757F" w14:textId="77777777">
        <w:tc>
          <w:tcPr>
            <w:tcW w:w="0" w:type="auto"/>
            <w:gridSpan w:val="8"/>
            <w:shd w:val="clear" w:color="auto" w:fill="auto"/>
            <w:tcMar>
              <w:top w:w="40" w:type="dxa"/>
              <w:left w:w="20" w:type="dxa"/>
              <w:bottom w:w="40" w:type="dxa"/>
              <w:right w:w="20" w:type="dxa"/>
            </w:tcMar>
            <w:vAlign w:val="bottom"/>
          </w:tcPr>
          <w:p w14:paraId="74DD7561" w14:textId="77777777" w:rsidR="00584EC1" w:rsidRDefault="00871F8D">
            <w:pPr>
              <w:jc w:val="both"/>
              <w:textAlignment w:val="bottom"/>
            </w:pPr>
            <w:r>
              <w:rPr>
                <w:rFonts w:ascii="Arial" w:eastAsia="宋体" w:hAnsi="Arial" w:cs="Arial"/>
                <w:b/>
                <w:bCs/>
                <w:color w:val="000000"/>
                <w:sz w:val="16"/>
                <w:szCs w:val="16"/>
              </w:rPr>
              <w:t>TABLE 10: INVESTMENT SERVICING LINE OF BUSINESS RESULTS</w:t>
            </w:r>
          </w:p>
        </w:tc>
        <w:tc>
          <w:tcPr>
            <w:tcW w:w="0" w:type="auto"/>
            <w:shd w:val="clear" w:color="auto" w:fill="auto"/>
            <w:vAlign w:val="bottom"/>
          </w:tcPr>
          <w:p w14:paraId="74DD7562" w14:textId="77777777" w:rsidR="00584EC1" w:rsidRDefault="00584EC1">
            <w:pPr>
              <w:rPr>
                <w:rFonts w:ascii="宋体"/>
                <w:vanish/>
              </w:rPr>
            </w:pPr>
          </w:p>
        </w:tc>
        <w:tc>
          <w:tcPr>
            <w:tcW w:w="0" w:type="auto"/>
            <w:gridSpan w:val="3"/>
            <w:shd w:val="clear" w:color="auto" w:fill="auto"/>
            <w:vAlign w:val="bottom"/>
          </w:tcPr>
          <w:p w14:paraId="74DD7563" w14:textId="77777777" w:rsidR="00584EC1" w:rsidRDefault="00584EC1">
            <w:pPr>
              <w:rPr>
                <w:rFonts w:ascii="宋体"/>
                <w:vanish/>
              </w:rPr>
            </w:pPr>
          </w:p>
        </w:tc>
        <w:tc>
          <w:tcPr>
            <w:tcW w:w="0" w:type="auto"/>
            <w:gridSpan w:val="3"/>
            <w:shd w:val="clear" w:color="auto" w:fill="auto"/>
            <w:vAlign w:val="bottom"/>
          </w:tcPr>
          <w:p w14:paraId="74DD7564" w14:textId="77777777" w:rsidR="00584EC1" w:rsidRDefault="00584EC1">
            <w:pPr>
              <w:rPr>
                <w:rFonts w:ascii="宋体"/>
                <w:vanish/>
              </w:rPr>
            </w:pPr>
          </w:p>
        </w:tc>
        <w:tc>
          <w:tcPr>
            <w:tcW w:w="0" w:type="auto"/>
            <w:gridSpan w:val="3"/>
            <w:shd w:val="clear" w:color="auto" w:fill="auto"/>
            <w:vAlign w:val="bottom"/>
          </w:tcPr>
          <w:p w14:paraId="74DD7565" w14:textId="77777777" w:rsidR="00584EC1" w:rsidRDefault="00584EC1">
            <w:pPr>
              <w:rPr>
                <w:rFonts w:ascii="宋体"/>
                <w:vanish/>
              </w:rPr>
            </w:pPr>
          </w:p>
        </w:tc>
        <w:tc>
          <w:tcPr>
            <w:tcW w:w="0" w:type="auto"/>
            <w:gridSpan w:val="3"/>
            <w:shd w:val="clear" w:color="auto" w:fill="auto"/>
            <w:vAlign w:val="bottom"/>
          </w:tcPr>
          <w:p w14:paraId="74DD7566" w14:textId="77777777" w:rsidR="00584EC1" w:rsidRDefault="00584EC1">
            <w:pPr>
              <w:rPr>
                <w:rFonts w:ascii="宋体"/>
                <w:vanish/>
              </w:rPr>
            </w:pPr>
          </w:p>
        </w:tc>
        <w:tc>
          <w:tcPr>
            <w:tcW w:w="0" w:type="auto"/>
            <w:shd w:val="clear" w:color="auto" w:fill="auto"/>
            <w:vAlign w:val="bottom"/>
          </w:tcPr>
          <w:p w14:paraId="74DD7567" w14:textId="77777777" w:rsidR="00584EC1" w:rsidRDefault="00584EC1">
            <w:pPr>
              <w:rPr>
                <w:rFonts w:ascii="宋体"/>
                <w:vanish/>
              </w:rPr>
            </w:pPr>
          </w:p>
        </w:tc>
        <w:tc>
          <w:tcPr>
            <w:tcW w:w="0" w:type="auto"/>
            <w:shd w:val="clear" w:color="auto" w:fill="auto"/>
            <w:vAlign w:val="bottom"/>
          </w:tcPr>
          <w:p w14:paraId="74DD7568" w14:textId="77777777" w:rsidR="00584EC1" w:rsidRDefault="00584EC1">
            <w:pPr>
              <w:rPr>
                <w:rFonts w:ascii="宋体"/>
                <w:vanish/>
              </w:rPr>
            </w:pPr>
          </w:p>
        </w:tc>
        <w:tc>
          <w:tcPr>
            <w:tcW w:w="0" w:type="auto"/>
            <w:gridSpan w:val="3"/>
            <w:shd w:val="clear" w:color="auto" w:fill="auto"/>
            <w:vAlign w:val="bottom"/>
          </w:tcPr>
          <w:p w14:paraId="74DD7569" w14:textId="77777777" w:rsidR="00584EC1" w:rsidRDefault="00584EC1">
            <w:pPr>
              <w:rPr>
                <w:rFonts w:ascii="宋体"/>
                <w:vanish/>
              </w:rPr>
            </w:pPr>
          </w:p>
        </w:tc>
        <w:tc>
          <w:tcPr>
            <w:tcW w:w="0" w:type="auto"/>
            <w:shd w:val="clear" w:color="auto" w:fill="auto"/>
            <w:vAlign w:val="bottom"/>
          </w:tcPr>
          <w:p w14:paraId="74DD756A" w14:textId="77777777" w:rsidR="00584EC1" w:rsidRDefault="00584EC1">
            <w:pPr>
              <w:rPr>
                <w:rFonts w:ascii="宋体"/>
              </w:rPr>
            </w:pPr>
          </w:p>
        </w:tc>
        <w:tc>
          <w:tcPr>
            <w:tcW w:w="0" w:type="auto"/>
            <w:shd w:val="clear" w:color="auto" w:fill="auto"/>
            <w:vAlign w:val="bottom"/>
          </w:tcPr>
          <w:p w14:paraId="74DD756B" w14:textId="77777777" w:rsidR="00584EC1" w:rsidRDefault="00584EC1">
            <w:pPr>
              <w:rPr>
                <w:rFonts w:ascii="宋体"/>
              </w:rPr>
            </w:pPr>
          </w:p>
        </w:tc>
        <w:tc>
          <w:tcPr>
            <w:tcW w:w="0" w:type="auto"/>
            <w:shd w:val="clear" w:color="auto" w:fill="auto"/>
            <w:vAlign w:val="bottom"/>
          </w:tcPr>
          <w:p w14:paraId="74DD756C" w14:textId="77777777" w:rsidR="00584EC1" w:rsidRDefault="00584EC1">
            <w:pPr>
              <w:rPr>
                <w:rFonts w:ascii="宋体"/>
              </w:rPr>
            </w:pPr>
          </w:p>
        </w:tc>
        <w:tc>
          <w:tcPr>
            <w:tcW w:w="0" w:type="auto"/>
            <w:shd w:val="clear" w:color="auto" w:fill="auto"/>
            <w:vAlign w:val="bottom"/>
          </w:tcPr>
          <w:p w14:paraId="74DD756D" w14:textId="77777777" w:rsidR="00584EC1" w:rsidRDefault="00584EC1">
            <w:pPr>
              <w:rPr>
                <w:rFonts w:ascii="宋体"/>
              </w:rPr>
            </w:pPr>
          </w:p>
        </w:tc>
        <w:tc>
          <w:tcPr>
            <w:tcW w:w="0" w:type="auto"/>
            <w:shd w:val="clear" w:color="auto" w:fill="auto"/>
            <w:vAlign w:val="bottom"/>
          </w:tcPr>
          <w:p w14:paraId="74DD756E" w14:textId="77777777" w:rsidR="00584EC1" w:rsidRDefault="00584EC1">
            <w:pPr>
              <w:rPr>
                <w:rFonts w:ascii="宋体"/>
              </w:rPr>
            </w:pPr>
          </w:p>
        </w:tc>
        <w:tc>
          <w:tcPr>
            <w:tcW w:w="0" w:type="auto"/>
            <w:shd w:val="clear" w:color="auto" w:fill="auto"/>
            <w:vAlign w:val="bottom"/>
          </w:tcPr>
          <w:p w14:paraId="74DD756F" w14:textId="77777777" w:rsidR="00584EC1" w:rsidRDefault="00584EC1">
            <w:pPr>
              <w:rPr>
                <w:rFonts w:ascii="宋体"/>
              </w:rPr>
            </w:pPr>
          </w:p>
        </w:tc>
        <w:tc>
          <w:tcPr>
            <w:tcW w:w="0" w:type="auto"/>
            <w:shd w:val="clear" w:color="auto" w:fill="auto"/>
            <w:vAlign w:val="bottom"/>
          </w:tcPr>
          <w:p w14:paraId="74DD7570" w14:textId="77777777" w:rsidR="00584EC1" w:rsidRDefault="00584EC1">
            <w:pPr>
              <w:rPr>
                <w:rFonts w:ascii="宋体"/>
              </w:rPr>
            </w:pPr>
          </w:p>
        </w:tc>
        <w:tc>
          <w:tcPr>
            <w:tcW w:w="0" w:type="auto"/>
            <w:shd w:val="clear" w:color="auto" w:fill="auto"/>
            <w:vAlign w:val="bottom"/>
          </w:tcPr>
          <w:p w14:paraId="74DD7571" w14:textId="77777777" w:rsidR="00584EC1" w:rsidRDefault="00584EC1">
            <w:pPr>
              <w:rPr>
                <w:rFonts w:ascii="宋体"/>
              </w:rPr>
            </w:pPr>
          </w:p>
        </w:tc>
        <w:tc>
          <w:tcPr>
            <w:tcW w:w="0" w:type="auto"/>
            <w:shd w:val="clear" w:color="auto" w:fill="auto"/>
            <w:vAlign w:val="bottom"/>
          </w:tcPr>
          <w:p w14:paraId="74DD7572" w14:textId="77777777" w:rsidR="00584EC1" w:rsidRDefault="00584EC1">
            <w:pPr>
              <w:rPr>
                <w:rFonts w:ascii="宋体"/>
              </w:rPr>
            </w:pPr>
          </w:p>
        </w:tc>
        <w:tc>
          <w:tcPr>
            <w:tcW w:w="0" w:type="auto"/>
            <w:shd w:val="clear" w:color="auto" w:fill="auto"/>
            <w:vAlign w:val="bottom"/>
          </w:tcPr>
          <w:p w14:paraId="74DD7573" w14:textId="77777777" w:rsidR="00584EC1" w:rsidRDefault="00584EC1">
            <w:pPr>
              <w:rPr>
                <w:rFonts w:ascii="宋体"/>
              </w:rPr>
            </w:pPr>
          </w:p>
        </w:tc>
        <w:tc>
          <w:tcPr>
            <w:tcW w:w="0" w:type="auto"/>
            <w:shd w:val="clear" w:color="auto" w:fill="auto"/>
            <w:vAlign w:val="bottom"/>
          </w:tcPr>
          <w:p w14:paraId="74DD7574" w14:textId="77777777" w:rsidR="00584EC1" w:rsidRDefault="00584EC1">
            <w:pPr>
              <w:rPr>
                <w:rFonts w:ascii="宋体"/>
              </w:rPr>
            </w:pPr>
          </w:p>
        </w:tc>
        <w:tc>
          <w:tcPr>
            <w:tcW w:w="0" w:type="auto"/>
            <w:shd w:val="clear" w:color="auto" w:fill="auto"/>
            <w:vAlign w:val="bottom"/>
          </w:tcPr>
          <w:p w14:paraId="74DD7575" w14:textId="77777777" w:rsidR="00584EC1" w:rsidRDefault="00584EC1">
            <w:pPr>
              <w:rPr>
                <w:rFonts w:ascii="宋体"/>
              </w:rPr>
            </w:pPr>
          </w:p>
        </w:tc>
        <w:tc>
          <w:tcPr>
            <w:tcW w:w="0" w:type="auto"/>
            <w:shd w:val="clear" w:color="auto" w:fill="auto"/>
            <w:vAlign w:val="bottom"/>
          </w:tcPr>
          <w:p w14:paraId="74DD7576" w14:textId="77777777" w:rsidR="00584EC1" w:rsidRDefault="00584EC1">
            <w:pPr>
              <w:rPr>
                <w:rFonts w:ascii="宋体"/>
              </w:rPr>
            </w:pPr>
          </w:p>
        </w:tc>
        <w:tc>
          <w:tcPr>
            <w:tcW w:w="0" w:type="auto"/>
            <w:shd w:val="clear" w:color="auto" w:fill="auto"/>
            <w:vAlign w:val="bottom"/>
          </w:tcPr>
          <w:p w14:paraId="74DD7577" w14:textId="77777777" w:rsidR="00584EC1" w:rsidRDefault="00584EC1">
            <w:pPr>
              <w:rPr>
                <w:rFonts w:ascii="宋体"/>
              </w:rPr>
            </w:pPr>
          </w:p>
        </w:tc>
        <w:tc>
          <w:tcPr>
            <w:tcW w:w="0" w:type="auto"/>
            <w:shd w:val="clear" w:color="auto" w:fill="auto"/>
            <w:vAlign w:val="bottom"/>
          </w:tcPr>
          <w:p w14:paraId="74DD7578" w14:textId="77777777" w:rsidR="00584EC1" w:rsidRDefault="00584EC1">
            <w:pPr>
              <w:rPr>
                <w:rFonts w:ascii="宋体"/>
              </w:rPr>
            </w:pPr>
          </w:p>
        </w:tc>
        <w:tc>
          <w:tcPr>
            <w:tcW w:w="0" w:type="auto"/>
            <w:shd w:val="clear" w:color="auto" w:fill="auto"/>
            <w:vAlign w:val="bottom"/>
          </w:tcPr>
          <w:p w14:paraId="74DD7579" w14:textId="77777777" w:rsidR="00584EC1" w:rsidRDefault="00584EC1">
            <w:pPr>
              <w:rPr>
                <w:rFonts w:ascii="宋体"/>
              </w:rPr>
            </w:pPr>
          </w:p>
        </w:tc>
        <w:tc>
          <w:tcPr>
            <w:tcW w:w="0" w:type="auto"/>
            <w:shd w:val="clear" w:color="auto" w:fill="auto"/>
            <w:vAlign w:val="bottom"/>
          </w:tcPr>
          <w:p w14:paraId="74DD757A" w14:textId="77777777" w:rsidR="00584EC1" w:rsidRDefault="00584EC1">
            <w:pPr>
              <w:rPr>
                <w:rFonts w:ascii="宋体"/>
              </w:rPr>
            </w:pPr>
          </w:p>
        </w:tc>
        <w:tc>
          <w:tcPr>
            <w:tcW w:w="0" w:type="auto"/>
            <w:shd w:val="clear" w:color="auto" w:fill="auto"/>
            <w:vAlign w:val="bottom"/>
          </w:tcPr>
          <w:p w14:paraId="74DD757B" w14:textId="77777777" w:rsidR="00584EC1" w:rsidRDefault="00584EC1">
            <w:pPr>
              <w:rPr>
                <w:rFonts w:ascii="宋体"/>
              </w:rPr>
            </w:pPr>
          </w:p>
        </w:tc>
        <w:tc>
          <w:tcPr>
            <w:tcW w:w="0" w:type="auto"/>
            <w:shd w:val="clear" w:color="auto" w:fill="auto"/>
            <w:vAlign w:val="bottom"/>
          </w:tcPr>
          <w:p w14:paraId="74DD757C" w14:textId="77777777" w:rsidR="00584EC1" w:rsidRDefault="00584EC1">
            <w:pPr>
              <w:rPr>
                <w:rFonts w:ascii="宋体"/>
              </w:rPr>
            </w:pPr>
          </w:p>
        </w:tc>
        <w:tc>
          <w:tcPr>
            <w:tcW w:w="0" w:type="auto"/>
            <w:shd w:val="clear" w:color="auto" w:fill="auto"/>
            <w:vAlign w:val="bottom"/>
          </w:tcPr>
          <w:p w14:paraId="74DD757D" w14:textId="77777777" w:rsidR="00584EC1" w:rsidRDefault="00584EC1">
            <w:pPr>
              <w:rPr>
                <w:rFonts w:ascii="宋体"/>
              </w:rPr>
            </w:pPr>
          </w:p>
        </w:tc>
        <w:tc>
          <w:tcPr>
            <w:tcW w:w="0" w:type="auto"/>
            <w:shd w:val="clear" w:color="auto" w:fill="auto"/>
            <w:vAlign w:val="bottom"/>
          </w:tcPr>
          <w:p w14:paraId="74DD757E" w14:textId="77777777" w:rsidR="00584EC1" w:rsidRDefault="00584EC1">
            <w:pPr>
              <w:rPr>
                <w:rFonts w:ascii="宋体"/>
              </w:rPr>
            </w:pPr>
          </w:p>
        </w:tc>
      </w:tr>
      <w:tr w:rsidR="00584EC1" w14:paraId="74DD7595" w14:textId="77777777">
        <w:trPr>
          <w:trHeight w:val="180"/>
        </w:trPr>
        <w:tc>
          <w:tcPr>
            <w:tcW w:w="0" w:type="auto"/>
            <w:gridSpan w:val="3"/>
            <w:vMerge w:val="restart"/>
            <w:shd w:val="clear" w:color="auto" w:fill="auto"/>
            <w:tcMar>
              <w:top w:w="40" w:type="dxa"/>
              <w:left w:w="20" w:type="dxa"/>
              <w:bottom w:w="40" w:type="dxa"/>
              <w:right w:w="20" w:type="dxa"/>
            </w:tcMar>
            <w:vAlign w:val="bottom"/>
          </w:tcPr>
          <w:p w14:paraId="74DD7580" w14:textId="77777777" w:rsidR="00584EC1" w:rsidRDefault="00871F8D">
            <w:pPr>
              <w:textAlignment w:val="bottom"/>
            </w:pPr>
            <w:r>
              <w:rPr>
                <w:rFonts w:ascii="Arial" w:eastAsia="宋体" w:hAnsi="Arial" w:cs="Arial"/>
                <w:b/>
                <w:bCs/>
                <w:color w:val="000000"/>
                <w:sz w:val="14"/>
                <w:szCs w:val="14"/>
              </w:rPr>
              <w:t>(Dollars in millions, except where otherwise noted)</w:t>
            </w:r>
          </w:p>
        </w:tc>
        <w:tc>
          <w:tcPr>
            <w:tcW w:w="0" w:type="auto"/>
            <w:shd w:val="clear" w:color="auto" w:fill="auto"/>
            <w:vAlign w:val="bottom"/>
          </w:tcPr>
          <w:p w14:paraId="74DD7581" w14:textId="77777777" w:rsidR="00584EC1" w:rsidRDefault="00584EC1">
            <w:pPr>
              <w:rPr>
                <w:rFonts w:ascii="宋体"/>
                <w:vanish/>
              </w:rPr>
            </w:pPr>
          </w:p>
        </w:tc>
        <w:tc>
          <w:tcPr>
            <w:tcW w:w="0" w:type="auto"/>
            <w:shd w:val="clear" w:color="auto" w:fill="auto"/>
            <w:vAlign w:val="bottom"/>
          </w:tcPr>
          <w:p w14:paraId="74DD7582" w14:textId="77777777" w:rsidR="00584EC1" w:rsidRDefault="00584EC1">
            <w:pPr>
              <w:rPr>
                <w:rFonts w:ascii="宋体"/>
                <w:vanish/>
              </w:rPr>
            </w:pPr>
          </w:p>
        </w:tc>
        <w:tc>
          <w:tcPr>
            <w:tcW w:w="0" w:type="auto"/>
            <w:shd w:val="clear" w:color="auto" w:fill="auto"/>
            <w:vAlign w:val="bottom"/>
          </w:tcPr>
          <w:p w14:paraId="74DD7583" w14:textId="77777777" w:rsidR="00584EC1" w:rsidRDefault="00584EC1">
            <w:pPr>
              <w:rPr>
                <w:rFonts w:ascii="宋体"/>
                <w:vanish/>
              </w:rPr>
            </w:pPr>
          </w:p>
        </w:tc>
        <w:tc>
          <w:tcPr>
            <w:tcW w:w="0" w:type="auto"/>
            <w:shd w:val="clear" w:color="auto" w:fill="auto"/>
            <w:vAlign w:val="bottom"/>
          </w:tcPr>
          <w:p w14:paraId="74DD7584" w14:textId="77777777" w:rsidR="00584EC1" w:rsidRDefault="00584EC1">
            <w:pPr>
              <w:rPr>
                <w:rFonts w:ascii="宋体"/>
                <w:vanish/>
              </w:rPr>
            </w:pPr>
          </w:p>
        </w:tc>
        <w:tc>
          <w:tcPr>
            <w:tcW w:w="0" w:type="auto"/>
            <w:gridSpan w:val="5"/>
            <w:shd w:val="clear" w:color="auto" w:fill="auto"/>
            <w:tcMar>
              <w:top w:w="40" w:type="dxa"/>
              <w:left w:w="20" w:type="dxa"/>
              <w:bottom w:w="40" w:type="dxa"/>
              <w:right w:w="20" w:type="dxa"/>
            </w:tcMar>
            <w:vAlign w:val="bottom"/>
          </w:tcPr>
          <w:p w14:paraId="74DD7585" w14:textId="77777777" w:rsidR="00584EC1" w:rsidRDefault="00871F8D">
            <w:pPr>
              <w:jc w:val="center"/>
              <w:textAlignment w:val="bottom"/>
            </w:pPr>
            <w:r>
              <w:rPr>
                <w:rFonts w:ascii="Arial" w:eastAsia="宋体" w:hAnsi="Arial" w:cs="Arial"/>
                <w:b/>
                <w:bCs/>
                <w:color w:val="000000"/>
                <w:sz w:val="14"/>
                <w:szCs w:val="14"/>
              </w:rPr>
              <w:t xml:space="preserve">Three Months Ended </w:t>
            </w:r>
            <w:r>
              <w:rPr>
                <w:rFonts w:ascii="Arial" w:eastAsia="宋体" w:hAnsi="Arial" w:cs="Arial"/>
                <w:b/>
                <w:bCs/>
                <w:color w:val="000000"/>
                <w:sz w:val="14"/>
                <w:szCs w:val="14"/>
              </w:rPr>
              <w:t>September 30,</w:t>
            </w:r>
          </w:p>
        </w:tc>
        <w:tc>
          <w:tcPr>
            <w:tcW w:w="0" w:type="auto"/>
            <w:gridSpan w:val="3"/>
            <w:shd w:val="clear" w:color="auto" w:fill="auto"/>
            <w:tcMar>
              <w:top w:w="0" w:type="dxa"/>
              <w:left w:w="20" w:type="dxa"/>
              <w:bottom w:w="0" w:type="dxa"/>
              <w:right w:w="20" w:type="dxa"/>
            </w:tcMar>
            <w:vAlign w:val="bottom"/>
          </w:tcPr>
          <w:p w14:paraId="74DD7586" w14:textId="77777777" w:rsidR="00584EC1" w:rsidRDefault="00584EC1">
            <w:pPr>
              <w:rPr>
                <w:rFonts w:ascii="宋体"/>
              </w:rPr>
            </w:pPr>
          </w:p>
        </w:tc>
        <w:tc>
          <w:tcPr>
            <w:tcW w:w="0" w:type="auto"/>
            <w:gridSpan w:val="3"/>
            <w:shd w:val="clear" w:color="auto" w:fill="auto"/>
            <w:vAlign w:val="bottom"/>
          </w:tcPr>
          <w:p w14:paraId="74DD7587" w14:textId="77777777" w:rsidR="00584EC1" w:rsidRDefault="00584EC1">
            <w:pPr>
              <w:rPr>
                <w:rFonts w:ascii="宋体"/>
                <w:vanish/>
              </w:rPr>
            </w:pPr>
          </w:p>
        </w:tc>
        <w:tc>
          <w:tcPr>
            <w:tcW w:w="0" w:type="auto"/>
            <w:gridSpan w:val="3"/>
            <w:shd w:val="clear" w:color="auto" w:fill="auto"/>
            <w:vAlign w:val="bottom"/>
          </w:tcPr>
          <w:p w14:paraId="74DD7588" w14:textId="77777777" w:rsidR="00584EC1" w:rsidRDefault="00584EC1">
            <w:pPr>
              <w:rPr>
                <w:rFonts w:ascii="宋体"/>
                <w:vanish/>
              </w:rPr>
            </w:pPr>
          </w:p>
        </w:tc>
        <w:tc>
          <w:tcPr>
            <w:tcW w:w="0" w:type="auto"/>
            <w:vMerge w:val="restart"/>
            <w:shd w:val="clear" w:color="auto" w:fill="auto"/>
            <w:tcMar>
              <w:top w:w="40" w:type="dxa"/>
              <w:left w:w="20" w:type="dxa"/>
              <w:bottom w:w="40" w:type="dxa"/>
              <w:right w:w="20" w:type="dxa"/>
            </w:tcMar>
            <w:vAlign w:val="bottom"/>
          </w:tcPr>
          <w:p w14:paraId="74DD7589" w14:textId="77777777" w:rsidR="00584EC1" w:rsidRDefault="00871F8D">
            <w:pPr>
              <w:jc w:val="center"/>
              <w:textAlignment w:val="bottom"/>
            </w:pPr>
            <w:r>
              <w:rPr>
                <w:rFonts w:ascii="Arial" w:eastAsia="宋体" w:hAnsi="Arial" w:cs="Arial"/>
                <w:b/>
                <w:bCs/>
                <w:color w:val="000000"/>
                <w:sz w:val="14"/>
                <w:szCs w:val="14"/>
              </w:rPr>
              <w:t xml:space="preserve">% Change </w:t>
            </w:r>
          </w:p>
        </w:tc>
        <w:tc>
          <w:tcPr>
            <w:tcW w:w="0" w:type="auto"/>
            <w:shd w:val="clear" w:color="auto" w:fill="auto"/>
            <w:vAlign w:val="bottom"/>
          </w:tcPr>
          <w:p w14:paraId="74DD758A" w14:textId="77777777" w:rsidR="00584EC1" w:rsidRDefault="00584EC1">
            <w:pPr>
              <w:rPr>
                <w:rFonts w:ascii="宋体"/>
                <w:vanish/>
              </w:rPr>
            </w:pPr>
          </w:p>
        </w:tc>
        <w:tc>
          <w:tcPr>
            <w:tcW w:w="0" w:type="auto"/>
            <w:gridSpan w:val="3"/>
            <w:shd w:val="clear" w:color="auto" w:fill="auto"/>
            <w:vAlign w:val="bottom"/>
          </w:tcPr>
          <w:p w14:paraId="74DD758B" w14:textId="77777777" w:rsidR="00584EC1" w:rsidRDefault="00584EC1">
            <w:pPr>
              <w:rPr>
                <w:rFonts w:ascii="宋体"/>
                <w:vanish/>
              </w:rPr>
            </w:pPr>
          </w:p>
        </w:tc>
        <w:tc>
          <w:tcPr>
            <w:tcW w:w="0" w:type="auto"/>
            <w:gridSpan w:val="3"/>
            <w:shd w:val="clear" w:color="auto" w:fill="auto"/>
            <w:vAlign w:val="bottom"/>
          </w:tcPr>
          <w:p w14:paraId="74DD758C" w14:textId="77777777" w:rsidR="00584EC1" w:rsidRDefault="00584EC1">
            <w:pPr>
              <w:rPr>
                <w:rFonts w:ascii="宋体"/>
                <w:vanish/>
              </w:rPr>
            </w:pPr>
          </w:p>
        </w:tc>
        <w:tc>
          <w:tcPr>
            <w:tcW w:w="0" w:type="auto"/>
            <w:gridSpan w:val="3"/>
            <w:shd w:val="clear" w:color="auto" w:fill="auto"/>
            <w:vAlign w:val="bottom"/>
          </w:tcPr>
          <w:p w14:paraId="74DD758D" w14:textId="77777777" w:rsidR="00584EC1" w:rsidRDefault="00584EC1">
            <w:pPr>
              <w:rPr>
                <w:rFonts w:ascii="宋体"/>
                <w:vanish/>
              </w:rPr>
            </w:pPr>
          </w:p>
        </w:tc>
        <w:tc>
          <w:tcPr>
            <w:tcW w:w="0" w:type="auto"/>
            <w:gridSpan w:val="3"/>
            <w:shd w:val="clear" w:color="auto" w:fill="auto"/>
            <w:vAlign w:val="bottom"/>
          </w:tcPr>
          <w:p w14:paraId="74DD758E" w14:textId="77777777" w:rsidR="00584EC1" w:rsidRDefault="00584EC1">
            <w:pPr>
              <w:rPr>
                <w:rFonts w:ascii="宋体"/>
                <w:vanish/>
              </w:rPr>
            </w:pPr>
          </w:p>
        </w:tc>
        <w:tc>
          <w:tcPr>
            <w:tcW w:w="0" w:type="auto"/>
            <w:gridSpan w:val="3"/>
            <w:shd w:val="clear" w:color="auto" w:fill="auto"/>
            <w:vAlign w:val="bottom"/>
          </w:tcPr>
          <w:p w14:paraId="74DD758F" w14:textId="77777777" w:rsidR="00584EC1" w:rsidRDefault="00584EC1">
            <w:pPr>
              <w:rPr>
                <w:rFonts w:ascii="宋体"/>
                <w:vanish/>
              </w:rPr>
            </w:pPr>
          </w:p>
        </w:tc>
        <w:tc>
          <w:tcPr>
            <w:tcW w:w="0" w:type="auto"/>
            <w:gridSpan w:val="3"/>
            <w:shd w:val="clear" w:color="auto" w:fill="auto"/>
            <w:vAlign w:val="bottom"/>
          </w:tcPr>
          <w:p w14:paraId="74DD7590" w14:textId="77777777" w:rsidR="00584EC1" w:rsidRDefault="00584EC1">
            <w:pPr>
              <w:rPr>
                <w:rFonts w:ascii="宋体"/>
                <w:vanish/>
              </w:rPr>
            </w:pPr>
          </w:p>
        </w:tc>
        <w:tc>
          <w:tcPr>
            <w:tcW w:w="0" w:type="auto"/>
            <w:gridSpan w:val="3"/>
            <w:shd w:val="clear" w:color="auto" w:fill="auto"/>
            <w:vAlign w:val="bottom"/>
          </w:tcPr>
          <w:p w14:paraId="74DD7591" w14:textId="77777777" w:rsidR="00584EC1" w:rsidRDefault="00584EC1">
            <w:pPr>
              <w:rPr>
                <w:rFonts w:ascii="宋体"/>
                <w:vanish/>
              </w:rPr>
            </w:pPr>
          </w:p>
        </w:tc>
        <w:tc>
          <w:tcPr>
            <w:tcW w:w="0" w:type="auto"/>
            <w:shd w:val="clear" w:color="auto" w:fill="auto"/>
            <w:vAlign w:val="bottom"/>
          </w:tcPr>
          <w:p w14:paraId="74DD7592" w14:textId="77777777" w:rsidR="00584EC1" w:rsidRDefault="00584EC1">
            <w:pPr>
              <w:rPr>
                <w:rFonts w:ascii="宋体"/>
              </w:rPr>
            </w:pPr>
          </w:p>
        </w:tc>
        <w:tc>
          <w:tcPr>
            <w:tcW w:w="0" w:type="auto"/>
            <w:shd w:val="clear" w:color="auto" w:fill="auto"/>
            <w:vAlign w:val="bottom"/>
          </w:tcPr>
          <w:p w14:paraId="74DD7593" w14:textId="77777777" w:rsidR="00584EC1" w:rsidRDefault="00584EC1">
            <w:pPr>
              <w:rPr>
                <w:rFonts w:ascii="宋体"/>
              </w:rPr>
            </w:pPr>
          </w:p>
        </w:tc>
        <w:tc>
          <w:tcPr>
            <w:tcW w:w="0" w:type="auto"/>
            <w:shd w:val="clear" w:color="auto" w:fill="auto"/>
            <w:vAlign w:val="bottom"/>
          </w:tcPr>
          <w:p w14:paraId="74DD7594" w14:textId="77777777" w:rsidR="00584EC1" w:rsidRDefault="00584EC1">
            <w:pPr>
              <w:rPr>
                <w:rFonts w:ascii="宋体"/>
              </w:rPr>
            </w:pPr>
          </w:p>
        </w:tc>
      </w:tr>
      <w:tr w:rsidR="00584EC1" w14:paraId="74DD75AF" w14:textId="77777777">
        <w:trPr>
          <w:trHeight w:val="180"/>
        </w:trPr>
        <w:tc>
          <w:tcPr>
            <w:tcW w:w="0" w:type="auto"/>
            <w:gridSpan w:val="3"/>
            <w:vMerge/>
            <w:shd w:val="clear" w:color="auto" w:fill="auto"/>
            <w:tcMar>
              <w:top w:w="40" w:type="dxa"/>
              <w:left w:w="20" w:type="dxa"/>
              <w:bottom w:w="40" w:type="dxa"/>
              <w:right w:w="20" w:type="dxa"/>
            </w:tcMar>
            <w:vAlign w:val="bottom"/>
          </w:tcPr>
          <w:p w14:paraId="74DD7596" w14:textId="77777777" w:rsidR="00584EC1" w:rsidRDefault="00584EC1">
            <w:pPr>
              <w:rPr>
                <w:rFonts w:ascii="宋体"/>
              </w:rPr>
            </w:pPr>
          </w:p>
        </w:tc>
        <w:tc>
          <w:tcPr>
            <w:tcW w:w="0" w:type="auto"/>
            <w:shd w:val="clear" w:color="auto" w:fill="auto"/>
            <w:vAlign w:val="bottom"/>
          </w:tcPr>
          <w:p w14:paraId="74DD7597" w14:textId="77777777" w:rsidR="00584EC1" w:rsidRDefault="00584EC1">
            <w:pPr>
              <w:rPr>
                <w:rFonts w:ascii="宋体"/>
                <w:vanish/>
              </w:rPr>
            </w:pPr>
          </w:p>
        </w:tc>
        <w:tc>
          <w:tcPr>
            <w:tcW w:w="0" w:type="auto"/>
            <w:shd w:val="clear" w:color="auto" w:fill="auto"/>
            <w:vAlign w:val="bottom"/>
          </w:tcPr>
          <w:p w14:paraId="74DD7598" w14:textId="77777777" w:rsidR="00584EC1" w:rsidRDefault="00584EC1">
            <w:pPr>
              <w:rPr>
                <w:rFonts w:ascii="宋体"/>
                <w:vanish/>
              </w:rPr>
            </w:pPr>
          </w:p>
        </w:tc>
        <w:tc>
          <w:tcPr>
            <w:tcW w:w="0" w:type="auto"/>
            <w:shd w:val="clear" w:color="auto" w:fill="auto"/>
            <w:vAlign w:val="bottom"/>
          </w:tcPr>
          <w:p w14:paraId="74DD7599" w14:textId="77777777" w:rsidR="00584EC1" w:rsidRDefault="00584EC1">
            <w:pPr>
              <w:rPr>
                <w:rFonts w:ascii="宋体"/>
                <w:vanish/>
              </w:rPr>
            </w:pPr>
          </w:p>
        </w:tc>
        <w:tc>
          <w:tcPr>
            <w:tcW w:w="0" w:type="auto"/>
            <w:shd w:val="clear" w:color="auto" w:fill="auto"/>
            <w:vAlign w:val="bottom"/>
          </w:tcPr>
          <w:p w14:paraId="74DD759A" w14:textId="77777777" w:rsidR="00584EC1" w:rsidRDefault="00584EC1">
            <w:pPr>
              <w:rPr>
                <w:rFonts w:ascii="宋体"/>
                <w:vanish/>
              </w:rPr>
            </w:pPr>
          </w:p>
        </w:tc>
        <w:tc>
          <w:tcPr>
            <w:tcW w:w="0" w:type="auto"/>
            <w:shd w:val="clear" w:color="auto" w:fill="auto"/>
            <w:vAlign w:val="bottom"/>
          </w:tcPr>
          <w:p w14:paraId="74DD759B" w14:textId="77777777" w:rsidR="00584EC1" w:rsidRDefault="00584EC1">
            <w:pPr>
              <w:rPr>
                <w:rFonts w:ascii="宋体"/>
                <w:vanish/>
              </w:rPr>
            </w:pPr>
          </w:p>
        </w:tc>
        <w:tc>
          <w:tcPr>
            <w:tcW w:w="0" w:type="auto"/>
            <w:shd w:val="clear" w:color="auto" w:fill="auto"/>
            <w:vAlign w:val="bottom"/>
          </w:tcPr>
          <w:p w14:paraId="74DD759C" w14:textId="77777777" w:rsidR="00584EC1" w:rsidRDefault="00584EC1">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759D" w14:textId="77777777" w:rsidR="00584EC1" w:rsidRDefault="00871F8D">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759E"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759F" w14:textId="77777777" w:rsidR="00584EC1" w:rsidRDefault="00871F8D">
            <w:pPr>
              <w:jc w:val="center"/>
              <w:textAlignment w:val="bottom"/>
            </w:pPr>
            <w:r>
              <w:rPr>
                <w:rFonts w:ascii="Arial" w:eastAsia="宋体" w:hAnsi="Arial" w:cs="Arial"/>
                <w:b/>
                <w:bCs/>
                <w:color w:val="000000"/>
                <w:sz w:val="14"/>
                <w:szCs w:val="14"/>
              </w:rPr>
              <w:t>2020</w:t>
            </w:r>
          </w:p>
        </w:tc>
        <w:tc>
          <w:tcPr>
            <w:tcW w:w="0" w:type="auto"/>
            <w:gridSpan w:val="3"/>
            <w:shd w:val="clear" w:color="auto" w:fill="auto"/>
            <w:tcMar>
              <w:top w:w="0" w:type="dxa"/>
              <w:left w:w="20" w:type="dxa"/>
              <w:bottom w:w="0" w:type="dxa"/>
              <w:right w:w="20" w:type="dxa"/>
            </w:tcMar>
            <w:vAlign w:val="bottom"/>
          </w:tcPr>
          <w:p w14:paraId="74DD75A0" w14:textId="77777777" w:rsidR="00584EC1" w:rsidRDefault="00584EC1">
            <w:pPr>
              <w:rPr>
                <w:rFonts w:ascii="宋体"/>
              </w:rPr>
            </w:pPr>
          </w:p>
        </w:tc>
        <w:tc>
          <w:tcPr>
            <w:tcW w:w="0" w:type="auto"/>
            <w:vMerge/>
            <w:shd w:val="clear" w:color="auto" w:fill="auto"/>
            <w:tcMar>
              <w:top w:w="40" w:type="dxa"/>
              <w:left w:w="20" w:type="dxa"/>
              <w:bottom w:w="40" w:type="dxa"/>
              <w:right w:w="20" w:type="dxa"/>
            </w:tcMar>
            <w:vAlign w:val="bottom"/>
          </w:tcPr>
          <w:p w14:paraId="74DD75A1" w14:textId="77777777" w:rsidR="00584EC1" w:rsidRDefault="00584EC1">
            <w:pPr>
              <w:jc w:val="center"/>
              <w:rPr>
                <w:rFonts w:ascii="宋体"/>
              </w:rPr>
            </w:pPr>
          </w:p>
        </w:tc>
        <w:tc>
          <w:tcPr>
            <w:tcW w:w="0" w:type="auto"/>
            <w:shd w:val="clear" w:color="auto" w:fill="auto"/>
            <w:vAlign w:val="bottom"/>
          </w:tcPr>
          <w:p w14:paraId="74DD75A2" w14:textId="77777777" w:rsidR="00584EC1" w:rsidRDefault="00584EC1">
            <w:pPr>
              <w:rPr>
                <w:rFonts w:ascii="宋体"/>
                <w:vanish/>
              </w:rPr>
            </w:pPr>
          </w:p>
        </w:tc>
        <w:tc>
          <w:tcPr>
            <w:tcW w:w="0" w:type="auto"/>
            <w:gridSpan w:val="3"/>
            <w:shd w:val="clear" w:color="auto" w:fill="auto"/>
            <w:vAlign w:val="bottom"/>
          </w:tcPr>
          <w:p w14:paraId="74DD75A3" w14:textId="77777777" w:rsidR="00584EC1" w:rsidRDefault="00584EC1">
            <w:pPr>
              <w:rPr>
                <w:rFonts w:ascii="宋体"/>
                <w:vanish/>
              </w:rPr>
            </w:pPr>
          </w:p>
        </w:tc>
        <w:tc>
          <w:tcPr>
            <w:tcW w:w="0" w:type="auto"/>
            <w:gridSpan w:val="3"/>
            <w:shd w:val="clear" w:color="auto" w:fill="auto"/>
            <w:vAlign w:val="bottom"/>
          </w:tcPr>
          <w:p w14:paraId="74DD75A4" w14:textId="77777777" w:rsidR="00584EC1" w:rsidRDefault="00584EC1">
            <w:pPr>
              <w:rPr>
                <w:rFonts w:ascii="宋体"/>
                <w:vanish/>
              </w:rPr>
            </w:pPr>
          </w:p>
        </w:tc>
        <w:tc>
          <w:tcPr>
            <w:tcW w:w="0" w:type="auto"/>
            <w:gridSpan w:val="3"/>
            <w:shd w:val="clear" w:color="auto" w:fill="auto"/>
            <w:vAlign w:val="bottom"/>
          </w:tcPr>
          <w:p w14:paraId="74DD75A5" w14:textId="77777777" w:rsidR="00584EC1" w:rsidRDefault="00584EC1">
            <w:pPr>
              <w:rPr>
                <w:rFonts w:ascii="宋体"/>
                <w:vanish/>
              </w:rPr>
            </w:pPr>
          </w:p>
        </w:tc>
        <w:tc>
          <w:tcPr>
            <w:tcW w:w="0" w:type="auto"/>
            <w:gridSpan w:val="3"/>
            <w:shd w:val="clear" w:color="auto" w:fill="auto"/>
            <w:vAlign w:val="bottom"/>
          </w:tcPr>
          <w:p w14:paraId="74DD75A6" w14:textId="77777777" w:rsidR="00584EC1" w:rsidRDefault="00584EC1">
            <w:pPr>
              <w:rPr>
                <w:rFonts w:ascii="宋体"/>
                <w:vanish/>
              </w:rPr>
            </w:pPr>
          </w:p>
        </w:tc>
        <w:tc>
          <w:tcPr>
            <w:tcW w:w="0" w:type="auto"/>
            <w:gridSpan w:val="3"/>
            <w:shd w:val="clear" w:color="auto" w:fill="auto"/>
            <w:vAlign w:val="bottom"/>
          </w:tcPr>
          <w:p w14:paraId="74DD75A7" w14:textId="77777777" w:rsidR="00584EC1" w:rsidRDefault="00584EC1">
            <w:pPr>
              <w:rPr>
                <w:rFonts w:ascii="宋体"/>
                <w:vanish/>
              </w:rPr>
            </w:pPr>
          </w:p>
        </w:tc>
        <w:tc>
          <w:tcPr>
            <w:tcW w:w="0" w:type="auto"/>
            <w:gridSpan w:val="3"/>
            <w:shd w:val="clear" w:color="auto" w:fill="auto"/>
            <w:vAlign w:val="bottom"/>
          </w:tcPr>
          <w:p w14:paraId="74DD75A8" w14:textId="77777777" w:rsidR="00584EC1" w:rsidRDefault="00584EC1">
            <w:pPr>
              <w:rPr>
                <w:rFonts w:ascii="宋体"/>
                <w:vanish/>
              </w:rPr>
            </w:pPr>
          </w:p>
        </w:tc>
        <w:tc>
          <w:tcPr>
            <w:tcW w:w="0" w:type="auto"/>
            <w:shd w:val="clear" w:color="auto" w:fill="auto"/>
            <w:vAlign w:val="bottom"/>
          </w:tcPr>
          <w:p w14:paraId="74DD75A9" w14:textId="77777777" w:rsidR="00584EC1" w:rsidRDefault="00584EC1">
            <w:pPr>
              <w:rPr>
                <w:rFonts w:ascii="宋体"/>
              </w:rPr>
            </w:pPr>
          </w:p>
        </w:tc>
        <w:tc>
          <w:tcPr>
            <w:tcW w:w="0" w:type="auto"/>
            <w:shd w:val="clear" w:color="auto" w:fill="auto"/>
            <w:vAlign w:val="bottom"/>
          </w:tcPr>
          <w:p w14:paraId="74DD75AA" w14:textId="77777777" w:rsidR="00584EC1" w:rsidRDefault="00584EC1">
            <w:pPr>
              <w:rPr>
                <w:rFonts w:ascii="宋体"/>
              </w:rPr>
            </w:pPr>
          </w:p>
        </w:tc>
        <w:tc>
          <w:tcPr>
            <w:tcW w:w="0" w:type="auto"/>
            <w:shd w:val="clear" w:color="auto" w:fill="auto"/>
            <w:vAlign w:val="bottom"/>
          </w:tcPr>
          <w:p w14:paraId="74DD75AB" w14:textId="77777777" w:rsidR="00584EC1" w:rsidRDefault="00584EC1">
            <w:pPr>
              <w:rPr>
                <w:rFonts w:ascii="宋体"/>
              </w:rPr>
            </w:pPr>
          </w:p>
        </w:tc>
        <w:tc>
          <w:tcPr>
            <w:tcW w:w="0" w:type="auto"/>
            <w:shd w:val="clear" w:color="auto" w:fill="auto"/>
            <w:vAlign w:val="bottom"/>
          </w:tcPr>
          <w:p w14:paraId="74DD75AC" w14:textId="77777777" w:rsidR="00584EC1" w:rsidRDefault="00584EC1">
            <w:pPr>
              <w:rPr>
                <w:rFonts w:ascii="宋体"/>
              </w:rPr>
            </w:pPr>
          </w:p>
        </w:tc>
        <w:tc>
          <w:tcPr>
            <w:tcW w:w="0" w:type="auto"/>
            <w:shd w:val="clear" w:color="auto" w:fill="auto"/>
            <w:vAlign w:val="bottom"/>
          </w:tcPr>
          <w:p w14:paraId="74DD75AD" w14:textId="77777777" w:rsidR="00584EC1" w:rsidRDefault="00584EC1">
            <w:pPr>
              <w:rPr>
                <w:rFonts w:ascii="宋体"/>
              </w:rPr>
            </w:pPr>
          </w:p>
        </w:tc>
        <w:tc>
          <w:tcPr>
            <w:tcW w:w="0" w:type="auto"/>
            <w:shd w:val="clear" w:color="auto" w:fill="auto"/>
            <w:vAlign w:val="bottom"/>
          </w:tcPr>
          <w:p w14:paraId="74DD75AE" w14:textId="77777777" w:rsidR="00584EC1" w:rsidRDefault="00584EC1">
            <w:pPr>
              <w:rPr>
                <w:rFonts w:ascii="宋体"/>
              </w:rPr>
            </w:pPr>
          </w:p>
        </w:tc>
      </w:tr>
      <w:tr w:rsidR="00584EC1" w14:paraId="74DD75CB" w14:textId="77777777">
        <w:tc>
          <w:tcPr>
            <w:tcW w:w="0" w:type="auto"/>
            <w:gridSpan w:val="3"/>
            <w:shd w:val="clear" w:color="auto" w:fill="CCEEFF"/>
            <w:tcMar>
              <w:top w:w="40" w:type="dxa"/>
              <w:left w:w="20" w:type="dxa"/>
              <w:bottom w:w="40" w:type="dxa"/>
              <w:right w:w="20" w:type="dxa"/>
            </w:tcMar>
            <w:vAlign w:val="bottom"/>
          </w:tcPr>
          <w:p w14:paraId="74DD75B0" w14:textId="77777777" w:rsidR="00584EC1" w:rsidRDefault="00871F8D">
            <w:pPr>
              <w:textAlignment w:val="bottom"/>
            </w:pPr>
            <w:r>
              <w:rPr>
                <w:rFonts w:ascii="Arial" w:eastAsia="宋体" w:hAnsi="Arial" w:cs="Arial"/>
                <w:color w:val="000000"/>
                <w:sz w:val="14"/>
                <w:szCs w:val="14"/>
              </w:rPr>
              <w:t>Servicing fees</w:t>
            </w:r>
          </w:p>
        </w:tc>
        <w:tc>
          <w:tcPr>
            <w:tcW w:w="0" w:type="auto"/>
            <w:shd w:val="clear" w:color="auto" w:fill="auto"/>
            <w:vAlign w:val="bottom"/>
          </w:tcPr>
          <w:p w14:paraId="74DD75B1" w14:textId="77777777" w:rsidR="00584EC1" w:rsidRDefault="00584EC1">
            <w:pPr>
              <w:rPr>
                <w:rFonts w:ascii="宋体"/>
                <w:vanish/>
              </w:rPr>
            </w:pPr>
          </w:p>
        </w:tc>
        <w:tc>
          <w:tcPr>
            <w:tcW w:w="0" w:type="auto"/>
            <w:shd w:val="clear" w:color="auto" w:fill="auto"/>
            <w:vAlign w:val="bottom"/>
          </w:tcPr>
          <w:p w14:paraId="74DD75B2" w14:textId="77777777" w:rsidR="00584EC1" w:rsidRDefault="00584EC1">
            <w:pPr>
              <w:rPr>
                <w:rFonts w:ascii="宋体"/>
                <w:vanish/>
              </w:rPr>
            </w:pPr>
          </w:p>
        </w:tc>
        <w:tc>
          <w:tcPr>
            <w:tcW w:w="0" w:type="auto"/>
            <w:shd w:val="clear" w:color="auto" w:fill="auto"/>
            <w:vAlign w:val="bottom"/>
          </w:tcPr>
          <w:p w14:paraId="74DD75B3" w14:textId="77777777" w:rsidR="00584EC1" w:rsidRDefault="00584EC1">
            <w:pPr>
              <w:rPr>
                <w:rFonts w:ascii="宋体"/>
                <w:vanish/>
              </w:rPr>
            </w:pPr>
          </w:p>
        </w:tc>
        <w:tc>
          <w:tcPr>
            <w:tcW w:w="0" w:type="auto"/>
            <w:shd w:val="clear" w:color="auto" w:fill="auto"/>
            <w:vAlign w:val="bottom"/>
          </w:tcPr>
          <w:p w14:paraId="74DD75B4" w14:textId="77777777" w:rsidR="00584EC1" w:rsidRDefault="00584EC1">
            <w:pPr>
              <w:rPr>
                <w:rFonts w:ascii="宋体"/>
                <w:vanish/>
              </w:rPr>
            </w:pPr>
          </w:p>
        </w:tc>
        <w:tc>
          <w:tcPr>
            <w:tcW w:w="0" w:type="auto"/>
            <w:shd w:val="clear" w:color="auto" w:fill="auto"/>
            <w:vAlign w:val="bottom"/>
          </w:tcPr>
          <w:p w14:paraId="74DD75B5" w14:textId="77777777" w:rsidR="00584EC1" w:rsidRDefault="00584EC1">
            <w:pPr>
              <w:rPr>
                <w:rFonts w:ascii="宋体"/>
                <w:vanish/>
              </w:rPr>
            </w:pPr>
          </w:p>
        </w:tc>
        <w:tc>
          <w:tcPr>
            <w:tcW w:w="0" w:type="auto"/>
            <w:shd w:val="clear" w:color="auto" w:fill="auto"/>
            <w:vAlign w:val="bottom"/>
          </w:tcPr>
          <w:p w14:paraId="74DD75B6" w14:textId="77777777" w:rsidR="00584EC1" w:rsidRDefault="00584EC1">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75B7"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75B8" w14:textId="77777777" w:rsidR="00584EC1" w:rsidRDefault="00871F8D">
            <w:pPr>
              <w:jc w:val="right"/>
              <w:textAlignment w:val="bottom"/>
            </w:pPr>
            <w:r>
              <w:rPr>
                <w:rFonts w:ascii="Arial" w:eastAsia="宋体" w:hAnsi="Arial" w:cs="Arial"/>
                <w:b/>
                <w:bCs/>
                <w:color w:val="000000"/>
                <w:sz w:val="14"/>
                <w:szCs w:val="14"/>
              </w:rPr>
              <w:t>1,395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5B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5BA"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75BB"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75BC" w14:textId="77777777" w:rsidR="00584EC1" w:rsidRDefault="00871F8D">
            <w:pPr>
              <w:jc w:val="right"/>
              <w:textAlignment w:val="bottom"/>
            </w:pPr>
            <w:r>
              <w:rPr>
                <w:rFonts w:ascii="Arial" w:eastAsia="宋体" w:hAnsi="Arial" w:cs="Arial"/>
                <w:color w:val="000000"/>
                <w:sz w:val="14"/>
                <w:szCs w:val="14"/>
              </w:rPr>
              <w:t>1,301 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5B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5BE" w14:textId="77777777" w:rsidR="00584EC1" w:rsidRDefault="00584EC1">
            <w:pPr>
              <w:rPr>
                <w:rFonts w:ascii="宋体"/>
              </w:rPr>
            </w:pPr>
          </w:p>
        </w:tc>
        <w:tc>
          <w:tcPr>
            <w:tcW w:w="0" w:type="auto"/>
            <w:shd w:val="clear" w:color="auto" w:fill="auto"/>
            <w:vAlign w:val="bottom"/>
          </w:tcPr>
          <w:p w14:paraId="74DD75BF" w14:textId="77777777" w:rsidR="00584EC1" w:rsidRDefault="00584EC1">
            <w:pPr>
              <w:rPr>
                <w:rFonts w:ascii="宋体"/>
                <w:vanish/>
              </w:rPr>
            </w:pPr>
          </w:p>
        </w:tc>
        <w:tc>
          <w:tcPr>
            <w:tcW w:w="0" w:type="auto"/>
            <w:shd w:val="clear" w:color="auto" w:fill="auto"/>
            <w:vAlign w:val="bottom"/>
          </w:tcPr>
          <w:p w14:paraId="74DD75C0" w14:textId="77777777" w:rsidR="00584EC1" w:rsidRDefault="00584EC1">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75C1" w14:textId="77777777" w:rsidR="00584EC1" w:rsidRDefault="00871F8D">
            <w:pPr>
              <w:jc w:val="right"/>
              <w:textAlignment w:val="bottom"/>
            </w:pPr>
            <w:r>
              <w:rPr>
                <w:rFonts w:ascii="Arial" w:eastAsia="宋体" w:hAnsi="Arial" w:cs="Arial"/>
                <w:color w:val="000000"/>
                <w:sz w:val="14"/>
                <w:szCs w:val="14"/>
              </w:rPr>
              <w:t>7 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5C2" w14:textId="77777777" w:rsidR="00584EC1" w:rsidRDefault="00871F8D">
            <w:pPr>
              <w:jc w:val="right"/>
              <w:textAlignment w:val="bottom"/>
            </w:pPr>
            <w:r>
              <w:rPr>
                <w:rFonts w:ascii="Arial" w:eastAsia="宋体" w:hAnsi="Arial" w:cs="Arial"/>
                <w:color w:val="000000"/>
                <w:sz w:val="14"/>
                <w:szCs w:val="14"/>
              </w:rPr>
              <w:t>%</w:t>
            </w:r>
          </w:p>
        </w:tc>
        <w:tc>
          <w:tcPr>
            <w:tcW w:w="0" w:type="auto"/>
            <w:gridSpan w:val="3"/>
            <w:shd w:val="clear" w:color="auto" w:fill="auto"/>
            <w:vAlign w:val="bottom"/>
          </w:tcPr>
          <w:p w14:paraId="74DD75C3" w14:textId="77777777" w:rsidR="00584EC1" w:rsidRDefault="00584EC1">
            <w:pPr>
              <w:rPr>
                <w:rFonts w:ascii="宋体"/>
                <w:vanish/>
              </w:rPr>
            </w:pPr>
          </w:p>
        </w:tc>
        <w:tc>
          <w:tcPr>
            <w:tcW w:w="0" w:type="auto"/>
            <w:gridSpan w:val="3"/>
            <w:shd w:val="clear" w:color="auto" w:fill="auto"/>
            <w:vAlign w:val="bottom"/>
          </w:tcPr>
          <w:p w14:paraId="74DD75C4" w14:textId="77777777" w:rsidR="00584EC1" w:rsidRDefault="00584EC1">
            <w:pPr>
              <w:rPr>
                <w:rFonts w:ascii="宋体"/>
                <w:vanish/>
              </w:rPr>
            </w:pPr>
          </w:p>
        </w:tc>
        <w:tc>
          <w:tcPr>
            <w:tcW w:w="0" w:type="auto"/>
            <w:gridSpan w:val="3"/>
            <w:shd w:val="clear" w:color="auto" w:fill="auto"/>
            <w:vAlign w:val="bottom"/>
          </w:tcPr>
          <w:p w14:paraId="74DD75C5" w14:textId="77777777" w:rsidR="00584EC1" w:rsidRDefault="00584EC1">
            <w:pPr>
              <w:rPr>
                <w:rFonts w:ascii="宋体"/>
                <w:vanish/>
              </w:rPr>
            </w:pPr>
          </w:p>
        </w:tc>
        <w:tc>
          <w:tcPr>
            <w:tcW w:w="0" w:type="auto"/>
            <w:gridSpan w:val="3"/>
            <w:shd w:val="clear" w:color="auto" w:fill="auto"/>
            <w:vAlign w:val="bottom"/>
          </w:tcPr>
          <w:p w14:paraId="74DD75C6" w14:textId="77777777" w:rsidR="00584EC1" w:rsidRDefault="00584EC1">
            <w:pPr>
              <w:rPr>
                <w:rFonts w:ascii="宋体"/>
                <w:vanish/>
              </w:rPr>
            </w:pPr>
          </w:p>
        </w:tc>
        <w:tc>
          <w:tcPr>
            <w:tcW w:w="0" w:type="auto"/>
            <w:gridSpan w:val="3"/>
            <w:shd w:val="clear" w:color="auto" w:fill="auto"/>
            <w:vAlign w:val="bottom"/>
          </w:tcPr>
          <w:p w14:paraId="74DD75C7" w14:textId="77777777" w:rsidR="00584EC1" w:rsidRDefault="00584EC1">
            <w:pPr>
              <w:rPr>
                <w:rFonts w:ascii="宋体"/>
                <w:vanish/>
              </w:rPr>
            </w:pPr>
          </w:p>
        </w:tc>
        <w:tc>
          <w:tcPr>
            <w:tcW w:w="0" w:type="auto"/>
            <w:gridSpan w:val="3"/>
            <w:shd w:val="clear" w:color="auto" w:fill="auto"/>
            <w:vAlign w:val="bottom"/>
          </w:tcPr>
          <w:p w14:paraId="74DD75C8" w14:textId="77777777" w:rsidR="00584EC1" w:rsidRDefault="00584EC1">
            <w:pPr>
              <w:rPr>
                <w:rFonts w:ascii="宋体"/>
                <w:vanish/>
              </w:rPr>
            </w:pPr>
          </w:p>
        </w:tc>
        <w:tc>
          <w:tcPr>
            <w:tcW w:w="0" w:type="auto"/>
            <w:gridSpan w:val="2"/>
            <w:shd w:val="clear" w:color="auto" w:fill="auto"/>
            <w:vAlign w:val="bottom"/>
          </w:tcPr>
          <w:p w14:paraId="74DD75C9" w14:textId="77777777" w:rsidR="00584EC1" w:rsidRDefault="00584EC1">
            <w:pPr>
              <w:rPr>
                <w:rFonts w:ascii="宋体"/>
                <w:vanish/>
              </w:rPr>
            </w:pPr>
          </w:p>
        </w:tc>
        <w:tc>
          <w:tcPr>
            <w:tcW w:w="0" w:type="auto"/>
            <w:shd w:val="clear" w:color="auto" w:fill="auto"/>
            <w:vAlign w:val="bottom"/>
          </w:tcPr>
          <w:p w14:paraId="74DD75CA" w14:textId="77777777" w:rsidR="00584EC1" w:rsidRDefault="00584EC1">
            <w:pPr>
              <w:rPr>
                <w:rFonts w:ascii="宋体"/>
                <w:vanish/>
              </w:rPr>
            </w:pPr>
          </w:p>
        </w:tc>
      </w:tr>
      <w:tr w:rsidR="00584EC1" w14:paraId="74DD75E5" w14:textId="77777777">
        <w:tc>
          <w:tcPr>
            <w:tcW w:w="0" w:type="auto"/>
            <w:gridSpan w:val="3"/>
            <w:shd w:val="clear" w:color="auto" w:fill="FFFFFF"/>
            <w:tcMar>
              <w:top w:w="40" w:type="dxa"/>
              <w:left w:w="20" w:type="dxa"/>
              <w:bottom w:w="40" w:type="dxa"/>
              <w:right w:w="20" w:type="dxa"/>
            </w:tcMar>
            <w:vAlign w:val="bottom"/>
          </w:tcPr>
          <w:p w14:paraId="74DD75CC" w14:textId="77777777" w:rsidR="00584EC1" w:rsidRDefault="00871F8D">
            <w:pPr>
              <w:textAlignment w:val="bottom"/>
            </w:pPr>
            <w:r>
              <w:rPr>
                <w:rFonts w:ascii="Arial" w:eastAsia="宋体" w:hAnsi="Arial" w:cs="Arial"/>
                <w:color w:val="000000"/>
                <w:sz w:val="14"/>
                <w:szCs w:val="14"/>
              </w:rPr>
              <w:t>Foreign exchange trading services</w:t>
            </w:r>
          </w:p>
        </w:tc>
        <w:tc>
          <w:tcPr>
            <w:tcW w:w="0" w:type="auto"/>
            <w:shd w:val="clear" w:color="auto" w:fill="auto"/>
            <w:vAlign w:val="bottom"/>
          </w:tcPr>
          <w:p w14:paraId="74DD75CD" w14:textId="77777777" w:rsidR="00584EC1" w:rsidRDefault="00584EC1">
            <w:pPr>
              <w:rPr>
                <w:rFonts w:ascii="宋体"/>
                <w:vanish/>
              </w:rPr>
            </w:pPr>
          </w:p>
        </w:tc>
        <w:tc>
          <w:tcPr>
            <w:tcW w:w="0" w:type="auto"/>
            <w:shd w:val="clear" w:color="auto" w:fill="auto"/>
            <w:vAlign w:val="bottom"/>
          </w:tcPr>
          <w:p w14:paraId="74DD75CE" w14:textId="77777777" w:rsidR="00584EC1" w:rsidRDefault="00584EC1">
            <w:pPr>
              <w:rPr>
                <w:rFonts w:ascii="宋体"/>
                <w:vanish/>
              </w:rPr>
            </w:pPr>
          </w:p>
        </w:tc>
        <w:tc>
          <w:tcPr>
            <w:tcW w:w="0" w:type="auto"/>
            <w:shd w:val="clear" w:color="auto" w:fill="auto"/>
            <w:vAlign w:val="bottom"/>
          </w:tcPr>
          <w:p w14:paraId="74DD75CF" w14:textId="77777777" w:rsidR="00584EC1" w:rsidRDefault="00584EC1">
            <w:pPr>
              <w:rPr>
                <w:rFonts w:ascii="宋体"/>
                <w:vanish/>
              </w:rPr>
            </w:pPr>
          </w:p>
        </w:tc>
        <w:tc>
          <w:tcPr>
            <w:tcW w:w="0" w:type="auto"/>
            <w:shd w:val="clear" w:color="auto" w:fill="auto"/>
            <w:vAlign w:val="bottom"/>
          </w:tcPr>
          <w:p w14:paraId="74DD75D0" w14:textId="77777777" w:rsidR="00584EC1" w:rsidRDefault="00584EC1">
            <w:pPr>
              <w:rPr>
                <w:rFonts w:ascii="宋体"/>
                <w:vanish/>
              </w:rPr>
            </w:pPr>
          </w:p>
        </w:tc>
        <w:tc>
          <w:tcPr>
            <w:tcW w:w="0" w:type="auto"/>
            <w:shd w:val="clear" w:color="auto" w:fill="auto"/>
            <w:vAlign w:val="bottom"/>
          </w:tcPr>
          <w:p w14:paraId="74DD75D1" w14:textId="77777777" w:rsidR="00584EC1" w:rsidRDefault="00584EC1">
            <w:pPr>
              <w:rPr>
                <w:rFonts w:ascii="宋体"/>
                <w:vanish/>
              </w:rPr>
            </w:pPr>
          </w:p>
        </w:tc>
        <w:tc>
          <w:tcPr>
            <w:tcW w:w="0" w:type="auto"/>
            <w:shd w:val="clear" w:color="auto" w:fill="auto"/>
            <w:vAlign w:val="bottom"/>
          </w:tcPr>
          <w:p w14:paraId="74DD75D2"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D75D3" w14:textId="77777777" w:rsidR="00584EC1" w:rsidRDefault="00871F8D">
            <w:pPr>
              <w:jc w:val="right"/>
              <w:textAlignment w:val="bottom"/>
            </w:pPr>
            <w:r>
              <w:rPr>
                <w:rFonts w:ascii="Arial" w:eastAsia="宋体" w:hAnsi="Arial" w:cs="Arial"/>
                <w:b/>
                <w:bCs/>
                <w:color w:val="000000"/>
                <w:sz w:val="14"/>
                <w:szCs w:val="14"/>
              </w:rPr>
              <w:t>266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75D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5D5" w14:textId="77777777" w:rsidR="00584EC1" w:rsidRDefault="00584EC1">
            <w:pPr>
              <w:rPr>
                <w:rFonts w:ascii="宋体"/>
              </w:rPr>
            </w:pPr>
          </w:p>
        </w:tc>
        <w:tc>
          <w:tcPr>
            <w:tcW w:w="0" w:type="auto"/>
            <w:gridSpan w:val="2"/>
            <w:shd w:val="clear" w:color="auto" w:fill="auto"/>
            <w:tcMar>
              <w:top w:w="40" w:type="dxa"/>
              <w:left w:w="20" w:type="dxa"/>
              <w:bottom w:w="40" w:type="dxa"/>
              <w:right w:w="0" w:type="dxa"/>
            </w:tcMar>
            <w:vAlign w:val="bottom"/>
          </w:tcPr>
          <w:p w14:paraId="74DD75D6" w14:textId="77777777" w:rsidR="00584EC1" w:rsidRDefault="00871F8D">
            <w:pPr>
              <w:jc w:val="right"/>
              <w:textAlignment w:val="bottom"/>
            </w:pPr>
            <w:r>
              <w:rPr>
                <w:rFonts w:ascii="Arial" w:eastAsia="宋体" w:hAnsi="Arial" w:cs="Arial"/>
                <w:color w:val="000000"/>
                <w:sz w:val="14"/>
                <w:szCs w:val="14"/>
              </w:rPr>
              <w:t>252 </w:t>
            </w:r>
          </w:p>
        </w:tc>
        <w:tc>
          <w:tcPr>
            <w:tcW w:w="0" w:type="auto"/>
            <w:shd w:val="clear" w:color="auto" w:fill="auto"/>
            <w:tcMar>
              <w:top w:w="40" w:type="dxa"/>
              <w:left w:w="0" w:type="dxa"/>
              <w:bottom w:w="40" w:type="dxa"/>
              <w:right w:w="20" w:type="dxa"/>
            </w:tcMar>
            <w:vAlign w:val="bottom"/>
          </w:tcPr>
          <w:p w14:paraId="74DD75D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5D8" w14:textId="77777777" w:rsidR="00584EC1" w:rsidRDefault="00584EC1">
            <w:pPr>
              <w:rPr>
                <w:rFonts w:ascii="宋体"/>
              </w:rPr>
            </w:pPr>
          </w:p>
        </w:tc>
        <w:tc>
          <w:tcPr>
            <w:tcW w:w="0" w:type="auto"/>
            <w:shd w:val="clear" w:color="auto" w:fill="auto"/>
            <w:vAlign w:val="bottom"/>
          </w:tcPr>
          <w:p w14:paraId="74DD75D9" w14:textId="77777777" w:rsidR="00584EC1" w:rsidRDefault="00584EC1">
            <w:pPr>
              <w:rPr>
                <w:rFonts w:ascii="宋体"/>
                <w:vanish/>
              </w:rPr>
            </w:pPr>
          </w:p>
        </w:tc>
        <w:tc>
          <w:tcPr>
            <w:tcW w:w="0" w:type="auto"/>
            <w:shd w:val="clear" w:color="auto" w:fill="auto"/>
            <w:vAlign w:val="bottom"/>
          </w:tcPr>
          <w:p w14:paraId="74DD75DA"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D75DB" w14:textId="77777777" w:rsidR="00584EC1" w:rsidRDefault="00871F8D">
            <w:pPr>
              <w:jc w:val="right"/>
              <w:textAlignment w:val="bottom"/>
            </w:pPr>
            <w:r>
              <w:rPr>
                <w:rFonts w:ascii="Arial" w:eastAsia="宋体" w:hAnsi="Arial" w:cs="Arial"/>
                <w:color w:val="000000"/>
                <w:sz w:val="14"/>
                <w:szCs w:val="14"/>
              </w:rPr>
              <w:t>6 </w:t>
            </w:r>
          </w:p>
        </w:tc>
        <w:tc>
          <w:tcPr>
            <w:tcW w:w="0" w:type="auto"/>
            <w:shd w:val="clear" w:color="auto" w:fill="FFFFFF"/>
            <w:tcMar>
              <w:top w:w="40" w:type="dxa"/>
              <w:left w:w="0" w:type="dxa"/>
              <w:bottom w:w="40" w:type="dxa"/>
              <w:right w:w="20" w:type="dxa"/>
            </w:tcMar>
            <w:vAlign w:val="bottom"/>
          </w:tcPr>
          <w:p w14:paraId="74DD75DC" w14:textId="77777777" w:rsidR="00584EC1" w:rsidRDefault="00584EC1">
            <w:pPr>
              <w:jc w:val="right"/>
              <w:rPr>
                <w:rFonts w:ascii="宋体"/>
              </w:rPr>
            </w:pPr>
          </w:p>
        </w:tc>
        <w:tc>
          <w:tcPr>
            <w:tcW w:w="0" w:type="auto"/>
            <w:gridSpan w:val="3"/>
            <w:shd w:val="clear" w:color="auto" w:fill="auto"/>
            <w:vAlign w:val="bottom"/>
          </w:tcPr>
          <w:p w14:paraId="74DD75DD" w14:textId="77777777" w:rsidR="00584EC1" w:rsidRDefault="00584EC1">
            <w:pPr>
              <w:rPr>
                <w:rFonts w:ascii="宋体"/>
                <w:vanish/>
              </w:rPr>
            </w:pPr>
          </w:p>
        </w:tc>
        <w:tc>
          <w:tcPr>
            <w:tcW w:w="0" w:type="auto"/>
            <w:gridSpan w:val="3"/>
            <w:shd w:val="clear" w:color="auto" w:fill="auto"/>
            <w:vAlign w:val="bottom"/>
          </w:tcPr>
          <w:p w14:paraId="74DD75DE" w14:textId="77777777" w:rsidR="00584EC1" w:rsidRDefault="00584EC1">
            <w:pPr>
              <w:rPr>
                <w:rFonts w:ascii="宋体"/>
                <w:vanish/>
              </w:rPr>
            </w:pPr>
          </w:p>
        </w:tc>
        <w:tc>
          <w:tcPr>
            <w:tcW w:w="0" w:type="auto"/>
            <w:gridSpan w:val="3"/>
            <w:shd w:val="clear" w:color="auto" w:fill="auto"/>
            <w:vAlign w:val="bottom"/>
          </w:tcPr>
          <w:p w14:paraId="74DD75DF" w14:textId="77777777" w:rsidR="00584EC1" w:rsidRDefault="00584EC1">
            <w:pPr>
              <w:rPr>
                <w:rFonts w:ascii="宋体"/>
                <w:vanish/>
              </w:rPr>
            </w:pPr>
          </w:p>
        </w:tc>
        <w:tc>
          <w:tcPr>
            <w:tcW w:w="0" w:type="auto"/>
            <w:gridSpan w:val="3"/>
            <w:shd w:val="clear" w:color="auto" w:fill="auto"/>
            <w:vAlign w:val="bottom"/>
          </w:tcPr>
          <w:p w14:paraId="74DD75E0" w14:textId="77777777" w:rsidR="00584EC1" w:rsidRDefault="00584EC1">
            <w:pPr>
              <w:rPr>
                <w:rFonts w:ascii="宋体"/>
                <w:vanish/>
              </w:rPr>
            </w:pPr>
          </w:p>
        </w:tc>
        <w:tc>
          <w:tcPr>
            <w:tcW w:w="0" w:type="auto"/>
            <w:gridSpan w:val="3"/>
            <w:shd w:val="clear" w:color="auto" w:fill="auto"/>
            <w:vAlign w:val="bottom"/>
          </w:tcPr>
          <w:p w14:paraId="74DD75E1" w14:textId="77777777" w:rsidR="00584EC1" w:rsidRDefault="00584EC1">
            <w:pPr>
              <w:rPr>
                <w:rFonts w:ascii="宋体"/>
                <w:vanish/>
              </w:rPr>
            </w:pPr>
          </w:p>
        </w:tc>
        <w:tc>
          <w:tcPr>
            <w:tcW w:w="0" w:type="auto"/>
            <w:gridSpan w:val="3"/>
            <w:shd w:val="clear" w:color="auto" w:fill="auto"/>
            <w:vAlign w:val="bottom"/>
          </w:tcPr>
          <w:p w14:paraId="74DD75E2" w14:textId="77777777" w:rsidR="00584EC1" w:rsidRDefault="00584EC1">
            <w:pPr>
              <w:rPr>
                <w:rFonts w:ascii="宋体"/>
                <w:vanish/>
              </w:rPr>
            </w:pPr>
          </w:p>
        </w:tc>
        <w:tc>
          <w:tcPr>
            <w:tcW w:w="0" w:type="auto"/>
            <w:gridSpan w:val="2"/>
            <w:shd w:val="clear" w:color="auto" w:fill="auto"/>
            <w:vAlign w:val="bottom"/>
          </w:tcPr>
          <w:p w14:paraId="74DD75E3" w14:textId="77777777" w:rsidR="00584EC1" w:rsidRDefault="00584EC1">
            <w:pPr>
              <w:rPr>
                <w:rFonts w:ascii="宋体"/>
                <w:vanish/>
              </w:rPr>
            </w:pPr>
          </w:p>
        </w:tc>
        <w:tc>
          <w:tcPr>
            <w:tcW w:w="0" w:type="auto"/>
            <w:shd w:val="clear" w:color="auto" w:fill="auto"/>
            <w:vAlign w:val="bottom"/>
          </w:tcPr>
          <w:p w14:paraId="74DD75E4" w14:textId="77777777" w:rsidR="00584EC1" w:rsidRDefault="00584EC1">
            <w:pPr>
              <w:rPr>
                <w:rFonts w:ascii="宋体"/>
                <w:vanish/>
              </w:rPr>
            </w:pPr>
          </w:p>
        </w:tc>
      </w:tr>
      <w:tr w:rsidR="00584EC1" w14:paraId="74DD75FF" w14:textId="77777777">
        <w:tc>
          <w:tcPr>
            <w:tcW w:w="0" w:type="auto"/>
            <w:gridSpan w:val="3"/>
            <w:shd w:val="clear" w:color="auto" w:fill="CCEEFF"/>
            <w:tcMar>
              <w:top w:w="40" w:type="dxa"/>
              <w:left w:w="20" w:type="dxa"/>
              <w:bottom w:w="40" w:type="dxa"/>
              <w:right w:w="20" w:type="dxa"/>
            </w:tcMar>
            <w:vAlign w:val="bottom"/>
          </w:tcPr>
          <w:p w14:paraId="74DD75E6" w14:textId="77777777" w:rsidR="00584EC1" w:rsidRDefault="00871F8D">
            <w:pPr>
              <w:textAlignment w:val="bottom"/>
            </w:pPr>
            <w:r>
              <w:rPr>
                <w:rFonts w:ascii="Arial" w:eastAsia="宋体" w:hAnsi="Arial" w:cs="Arial"/>
                <w:color w:val="000000"/>
                <w:sz w:val="14"/>
                <w:szCs w:val="14"/>
              </w:rPr>
              <w:t>Securities finance</w:t>
            </w:r>
          </w:p>
        </w:tc>
        <w:tc>
          <w:tcPr>
            <w:tcW w:w="0" w:type="auto"/>
            <w:shd w:val="clear" w:color="auto" w:fill="auto"/>
            <w:vAlign w:val="bottom"/>
          </w:tcPr>
          <w:p w14:paraId="74DD75E7" w14:textId="77777777" w:rsidR="00584EC1" w:rsidRDefault="00584EC1">
            <w:pPr>
              <w:rPr>
                <w:rFonts w:ascii="宋体"/>
                <w:vanish/>
              </w:rPr>
            </w:pPr>
          </w:p>
        </w:tc>
        <w:tc>
          <w:tcPr>
            <w:tcW w:w="0" w:type="auto"/>
            <w:shd w:val="clear" w:color="auto" w:fill="auto"/>
            <w:vAlign w:val="bottom"/>
          </w:tcPr>
          <w:p w14:paraId="74DD75E8" w14:textId="77777777" w:rsidR="00584EC1" w:rsidRDefault="00584EC1">
            <w:pPr>
              <w:rPr>
                <w:rFonts w:ascii="宋体"/>
                <w:vanish/>
              </w:rPr>
            </w:pPr>
          </w:p>
        </w:tc>
        <w:tc>
          <w:tcPr>
            <w:tcW w:w="0" w:type="auto"/>
            <w:shd w:val="clear" w:color="auto" w:fill="auto"/>
            <w:vAlign w:val="bottom"/>
          </w:tcPr>
          <w:p w14:paraId="74DD75E9" w14:textId="77777777" w:rsidR="00584EC1" w:rsidRDefault="00584EC1">
            <w:pPr>
              <w:rPr>
                <w:rFonts w:ascii="宋体"/>
                <w:vanish/>
              </w:rPr>
            </w:pPr>
          </w:p>
        </w:tc>
        <w:tc>
          <w:tcPr>
            <w:tcW w:w="0" w:type="auto"/>
            <w:shd w:val="clear" w:color="auto" w:fill="auto"/>
            <w:vAlign w:val="bottom"/>
          </w:tcPr>
          <w:p w14:paraId="74DD75EA" w14:textId="77777777" w:rsidR="00584EC1" w:rsidRDefault="00584EC1">
            <w:pPr>
              <w:rPr>
                <w:rFonts w:ascii="宋体"/>
                <w:vanish/>
              </w:rPr>
            </w:pPr>
          </w:p>
        </w:tc>
        <w:tc>
          <w:tcPr>
            <w:tcW w:w="0" w:type="auto"/>
            <w:shd w:val="clear" w:color="auto" w:fill="auto"/>
            <w:vAlign w:val="bottom"/>
          </w:tcPr>
          <w:p w14:paraId="74DD75EB" w14:textId="77777777" w:rsidR="00584EC1" w:rsidRDefault="00584EC1">
            <w:pPr>
              <w:rPr>
                <w:rFonts w:ascii="宋体"/>
                <w:vanish/>
              </w:rPr>
            </w:pPr>
          </w:p>
        </w:tc>
        <w:tc>
          <w:tcPr>
            <w:tcW w:w="0" w:type="auto"/>
            <w:shd w:val="clear" w:color="auto" w:fill="auto"/>
            <w:vAlign w:val="bottom"/>
          </w:tcPr>
          <w:p w14:paraId="74DD75EC" w14:textId="77777777" w:rsidR="00584EC1" w:rsidRDefault="00584EC1">
            <w:pPr>
              <w:rPr>
                <w:rFonts w:ascii="宋体"/>
                <w:vanish/>
              </w:rPr>
            </w:pPr>
          </w:p>
        </w:tc>
        <w:tc>
          <w:tcPr>
            <w:tcW w:w="0" w:type="auto"/>
            <w:gridSpan w:val="2"/>
            <w:shd w:val="clear" w:color="auto" w:fill="CCEEFF"/>
            <w:tcMar>
              <w:top w:w="40" w:type="dxa"/>
              <w:left w:w="20" w:type="dxa"/>
              <w:bottom w:w="40" w:type="dxa"/>
              <w:right w:w="0" w:type="dxa"/>
            </w:tcMar>
            <w:vAlign w:val="bottom"/>
          </w:tcPr>
          <w:p w14:paraId="74DD75ED" w14:textId="77777777" w:rsidR="00584EC1" w:rsidRDefault="00871F8D">
            <w:pPr>
              <w:jc w:val="right"/>
              <w:textAlignment w:val="bottom"/>
            </w:pPr>
            <w:r>
              <w:rPr>
                <w:rFonts w:ascii="Arial" w:eastAsia="宋体" w:hAnsi="Arial" w:cs="Arial"/>
                <w:b/>
                <w:bCs/>
                <w:color w:val="000000"/>
                <w:sz w:val="14"/>
                <w:szCs w:val="14"/>
              </w:rPr>
              <w:t>103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75E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5EF"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75F0" w14:textId="77777777" w:rsidR="00584EC1" w:rsidRDefault="00871F8D">
            <w:pPr>
              <w:jc w:val="right"/>
              <w:textAlignment w:val="bottom"/>
            </w:pPr>
            <w:r>
              <w:rPr>
                <w:rFonts w:ascii="Arial" w:eastAsia="宋体" w:hAnsi="Arial" w:cs="Arial"/>
                <w:color w:val="000000"/>
                <w:sz w:val="14"/>
                <w:szCs w:val="14"/>
              </w:rPr>
              <w:t>81 </w:t>
            </w:r>
          </w:p>
        </w:tc>
        <w:tc>
          <w:tcPr>
            <w:tcW w:w="0" w:type="auto"/>
            <w:shd w:val="clear" w:color="auto" w:fill="CCEEFF"/>
            <w:tcMar>
              <w:top w:w="40" w:type="dxa"/>
              <w:left w:w="0" w:type="dxa"/>
              <w:bottom w:w="40" w:type="dxa"/>
              <w:right w:w="20" w:type="dxa"/>
            </w:tcMar>
            <w:vAlign w:val="bottom"/>
          </w:tcPr>
          <w:p w14:paraId="74DD75F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5F2" w14:textId="77777777" w:rsidR="00584EC1" w:rsidRDefault="00584EC1">
            <w:pPr>
              <w:rPr>
                <w:rFonts w:ascii="宋体"/>
              </w:rPr>
            </w:pPr>
          </w:p>
        </w:tc>
        <w:tc>
          <w:tcPr>
            <w:tcW w:w="0" w:type="auto"/>
            <w:shd w:val="clear" w:color="auto" w:fill="auto"/>
            <w:vAlign w:val="bottom"/>
          </w:tcPr>
          <w:p w14:paraId="74DD75F3" w14:textId="77777777" w:rsidR="00584EC1" w:rsidRDefault="00584EC1">
            <w:pPr>
              <w:rPr>
                <w:rFonts w:ascii="宋体"/>
                <w:vanish/>
              </w:rPr>
            </w:pPr>
          </w:p>
        </w:tc>
        <w:tc>
          <w:tcPr>
            <w:tcW w:w="0" w:type="auto"/>
            <w:shd w:val="clear" w:color="auto" w:fill="auto"/>
            <w:vAlign w:val="bottom"/>
          </w:tcPr>
          <w:p w14:paraId="74DD75F4" w14:textId="77777777" w:rsidR="00584EC1" w:rsidRDefault="00584EC1">
            <w:pPr>
              <w:rPr>
                <w:rFonts w:ascii="宋体"/>
                <w:vanish/>
              </w:rPr>
            </w:pPr>
          </w:p>
        </w:tc>
        <w:tc>
          <w:tcPr>
            <w:tcW w:w="0" w:type="auto"/>
            <w:gridSpan w:val="2"/>
            <w:shd w:val="clear" w:color="auto" w:fill="CCEEFF"/>
            <w:tcMar>
              <w:top w:w="40" w:type="dxa"/>
              <w:left w:w="20" w:type="dxa"/>
              <w:bottom w:w="40" w:type="dxa"/>
              <w:right w:w="0" w:type="dxa"/>
            </w:tcMar>
            <w:vAlign w:val="bottom"/>
          </w:tcPr>
          <w:p w14:paraId="74DD75F5" w14:textId="77777777" w:rsidR="00584EC1" w:rsidRDefault="00871F8D">
            <w:pPr>
              <w:jc w:val="right"/>
              <w:textAlignment w:val="bottom"/>
            </w:pPr>
            <w:r>
              <w:rPr>
                <w:rFonts w:ascii="Arial" w:eastAsia="宋体" w:hAnsi="Arial" w:cs="Arial"/>
                <w:color w:val="000000"/>
                <w:sz w:val="14"/>
                <w:szCs w:val="14"/>
              </w:rPr>
              <w:t>27 </w:t>
            </w:r>
          </w:p>
        </w:tc>
        <w:tc>
          <w:tcPr>
            <w:tcW w:w="0" w:type="auto"/>
            <w:shd w:val="clear" w:color="auto" w:fill="CCEEFF"/>
            <w:tcMar>
              <w:top w:w="40" w:type="dxa"/>
              <w:left w:w="0" w:type="dxa"/>
              <w:bottom w:w="40" w:type="dxa"/>
              <w:right w:w="20" w:type="dxa"/>
            </w:tcMar>
            <w:vAlign w:val="bottom"/>
          </w:tcPr>
          <w:p w14:paraId="74DD75F6" w14:textId="77777777" w:rsidR="00584EC1" w:rsidRDefault="00584EC1">
            <w:pPr>
              <w:jc w:val="right"/>
              <w:rPr>
                <w:rFonts w:ascii="宋体"/>
              </w:rPr>
            </w:pPr>
          </w:p>
        </w:tc>
        <w:tc>
          <w:tcPr>
            <w:tcW w:w="0" w:type="auto"/>
            <w:gridSpan w:val="3"/>
            <w:shd w:val="clear" w:color="auto" w:fill="auto"/>
            <w:vAlign w:val="bottom"/>
          </w:tcPr>
          <w:p w14:paraId="74DD75F7" w14:textId="77777777" w:rsidR="00584EC1" w:rsidRDefault="00584EC1">
            <w:pPr>
              <w:rPr>
                <w:rFonts w:ascii="宋体"/>
                <w:vanish/>
              </w:rPr>
            </w:pPr>
          </w:p>
        </w:tc>
        <w:tc>
          <w:tcPr>
            <w:tcW w:w="0" w:type="auto"/>
            <w:gridSpan w:val="3"/>
            <w:shd w:val="clear" w:color="auto" w:fill="auto"/>
            <w:vAlign w:val="bottom"/>
          </w:tcPr>
          <w:p w14:paraId="74DD75F8" w14:textId="77777777" w:rsidR="00584EC1" w:rsidRDefault="00584EC1">
            <w:pPr>
              <w:rPr>
                <w:rFonts w:ascii="宋体"/>
                <w:vanish/>
              </w:rPr>
            </w:pPr>
          </w:p>
        </w:tc>
        <w:tc>
          <w:tcPr>
            <w:tcW w:w="0" w:type="auto"/>
            <w:gridSpan w:val="3"/>
            <w:shd w:val="clear" w:color="auto" w:fill="auto"/>
            <w:vAlign w:val="bottom"/>
          </w:tcPr>
          <w:p w14:paraId="74DD75F9" w14:textId="77777777" w:rsidR="00584EC1" w:rsidRDefault="00584EC1">
            <w:pPr>
              <w:rPr>
                <w:rFonts w:ascii="宋体"/>
                <w:vanish/>
              </w:rPr>
            </w:pPr>
          </w:p>
        </w:tc>
        <w:tc>
          <w:tcPr>
            <w:tcW w:w="0" w:type="auto"/>
            <w:gridSpan w:val="3"/>
            <w:shd w:val="clear" w:color="auto" w:fill="auto"/>
            <w:vAlign w:val="bottom"/>
          </w:tcPr>
          <w:p w14:paraId="74DD75FA" w14:textId="77777777" w:rsidR="00584EC1" w:rsidRDefault="00584EC1">
            <w:pPr>
              <w:rPr>
                <w:rFonts w:ascii="宋体"/>
                <w:vanish/>
              </w:rPr>
            </w:pPr>
          </w:p>
        </w:tc>
        <w:tc>
          <w:tcPr>
            <w:tcW w:w="0" w:type="auto"/>
            <w:gridSpan w:val="3"/>
            <w:shd w:val="clear" w:color="auto" w:fill="auto"/>
            <w:vAlign w:val="bottom"/>
          </w:tcPr>
          <w:p w14:paraId="74DD75FB" w14:textId="77777777" w:rsidR="00584EC1" w:rsidRDefault="00584EC1">
            <w:pPr>
              <w:rPr>
                <w:rFonts w:ascii="宋体"/>
                <w:vanish/>
              </w:rPr>
            </w:pPr>
          </w:p>
        </w:tc>
        <w:tc>
          <w:tcPr>
            <w:tcW w:w="0" w:type="auto"/>
            <w:gridSpan w:val="3"/>
            <w:shd w:val="clear" w:color="auto" w:fill="auto"/>
            <w:vAlign w:val="bottom"/>
          </w:tcPr>
          <w:p w14:paraId="74DD75FC" w14:textId="77777777" w:rsidR="00584EC1" w:rsidRDefault="00584EC1">
            <w:pPr>
              <w:rPr>
                <w:rFonts w:ascii="宋体"/>
                <w:vanish/>
              </w:rPr>
            </w:pPr>
          </w:p>
        </w:tc>
        <w:tc>
          <w:tcPr>
            <w:tcW w:w="0" w:type="auto"/>
            <w:gridSpan w:val="2"/>
            <w:shd w:val="clear" w:color="auto" w:fill="auto"/>
            <w:vAlign w:val="bottom"/>
          </w:tcPr>
          <w:p w14:paraId="74DD75FD" w14:textId="77777777" w:rsidR="00584EC1" w:rsidRDefault="00584EC1">
            <w:pPr>
              <w:rPr>
                <w:rFonts w:ascii="宋体"/>
                <w:vanish/>
              </w:rPr>
            </w:pPr>
          </w:p>
        </w:tc>
        <w:tc>
          <w:tcPr>
            <w:tcW w:w="0" w:type="auto"/>
            <w:shd w:val="clear" w:color="auto" w:fill="auto"/>
            <w:vAlign w:val="bottom"/>
          </w:tcPr>
          <w:p w14:paraId="74DD75FE" w14:textId="77777777" w:rsidR="00584EC1" w:rsidRDefault="00584EC1">
            <w:pPr>
              <w:rPr>
                <w:rFonts w:ascii="宋体"/>
                <w:vanish/>
              </w:rPr>
            </w:pPr>
          </w:p>
        </w:tc>
      </w:tr>
      <w:tr w:rsidR="00584EC1" w14:paraId="74DD7619" w14:textId="77777777">
        <w:tc>
          <w:tcPr>
            <w:tcW w:w="0" w:type="auto"/>
            <w:gridSpan w:val="3"/>
            <w:shd w:val="clear" w:color="auto" w:fill="FFFFFF"/>
            <w:tcMar>
              <w:top w:w="40" w:type="dxa"/>
              <w:left w:w="20" w:type="dxa"/>
              <w:bottom w:w="40" w:type="dxa"/>
              <w:right w:w="20" w:type="dxa"/>
            </w:tcMar>
            <w:vAlign w:val="bottom"/>
          </w:tcPr>
          <w:p w14:paraId="74DD7600" w14:textId="77777777" w:rsidR="00584EC1" w:rsidRDefault="00871F8D">
            <w:pPr>
              <w:textAlignment w:val="bottom"/>
            </w:pPr>
            <w:r>
              <w:rPr>
                <w:rFonts w:ascii="Arial" w:eastAsia="宋体" w:hAnsi="Arial" w:cs="Arial"/>
                <w:color w:val="000000"/>
                <w:sz w:val="14"/>
                <w:szCs w:val="14"/>
              </w:rPr>
              <w:t>Software and processing fees</w:t>
            </w:r>
          </w:p>
        </w:tc>
        <w:tc>
          <w:tcPr>
            <w:tcW w:w="0" w:type="auto"/>
            <w:shd w:val="clear" w:color="auto" w:fill="auto"/>
            <w:vAlign w:val="bottom"/>
          </w:tcPr>
          <w:p w14:paraId="74DD7601" w14:textId="77777777" w:rsidR="00584EC1" w:rsidRDefault="00584EC1">
            <w:pPr>
              <w:rPr>
                <w:rFonts w:ascii="宋体"/>
                <w:vanish/>
              </w:rPr>
            </w:pPr>
          </w:p>
        </w:tc>
        <w:tc>
          <w:tcPr>
            <w:tcW w:w="0" w:type="auto"/>
            <w:shd w:val="clear" w:color="auto" w:fill="auto"/>
            <w:vAlign w:val="bottom"/>
          </w:tcPr>
          <w:p w14:paraId="74DD7602" w14:textId="77777777" w:rsidR="00584EC1" w:rsidRDefault="00584EC1">
            <w:pPr>
              <w:rPr>
                <w:rFonts w:ascii="宋体"/>
                <w:vanish/>
              </w:rPr>
            </w:pPr>
          </w:p>
        </w:tc>
        <w:tc>
          <w:tcPr>
            <w:tcW w:w="0" w:type="auto"/>
            <w:shd w:val="clear" w:color="auto" w:fill="auto"/>
            <w:vAlign w:val="bottom"/>
          </w:tcPr>
          <w:p w14:paraId="74DD7603" w14:textId="77777777" w:rsidR="00584EC1" w:rsidRDefault="00584EC1">
            <w:pPr>
              <w:rPr>
                <w:rFonts w:ascii="宋体"/>
                <w:vanish/>
              </w:rPr>
            </w:pPr>
          </w:p>
        </w:tc>
        <w:tc>
          <w:tcPr>
            <w:tcW w:w="0" w:type="auto"/>
            <w:shd w:val="clear" w:color="auto" w:fill="auto"/>
            <w:vAlign w:val="bottom"/>
          </w:tcPr>
          <w:p w14:paraId="74DD7604" w14:textId="77777777" w:rsidR="00584EC1" w:rsidRDefault="00584EC1">
            <w:pPr>
              <w:rPr>
                <w:rFonts w:ascii="宋体"/>
                <w:vanish/>
              </w:rPr>
            </w:pPr>
          </w:p>
        </w:tc>
        <w:tc>
          <w:tcPr>
            <w:tcW w:w="0" w:type="auto"/>
            <w:shd w:val="clear" w:color="auto" w:fill="auto"/>
            <w:vAlign w:val="bottom"/>
          </w:tcPr>
          <w:p w14:paraId="74DD7605" w14:textId="77777777" w:rsidR="00584EC1" w:rsidRDefault="00584EC1">
            <w:pPr>
              <w:rPr>
                <w:rFonts w:ascii="宋体"/>
                <w:vanish/>
              </w:rPr>
            </w:pPr>
          </w:p>
        </w:tc>
        <w:tc>
          <w:tcPr>
            <w:tcW w:w="0" w:type="auto"/>
            <w:shd w:val="clear" w:color="auto" w:fill="auto"/>
            <w:vAlign w:val="bottom"/>
          </w:tcPr>
          <w:p w14:paraId="74DD7606"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D7607" w14:textId="77777777" w:rsidR="00584EC1" w:rsidRDefault="00871F8D">
            <w:pPr>
              <w:jc w:val="right"/>
              <w:textAlignment w:val="bottom"/>
            </w:pPr>
            <w:r>
              <w:rPr>
                <w:rFonts w:ascii="Arial" w:eastAsia="宋体" w:hAnsi="Arial" w:cs="Arial"/>
                <w:b/>
                <w:bCs/>
                <w:color w:val="000000"/>
                <w:sz w:val="14"/>
                <w:szCs w:val="14"/>
              </w:rPr>
              <w:t>204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760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609" w14:textId="77777777" w:rsidR="00584EC1" w:rsidRDefault="00584EC1">
            <w:pPr>
              <w:rPr>
                <w:rFonts w:ascii="宋体"/>
              </w:rPr>
            </w:pPr>
          </w:p>
        </w:tc>
        <w:tc>
          <w:tcPr>
            <w:tcW w:w="0" w:type="auto"/>
            <w:gridSpan w:val="2"/>
            <w:shd w:val="clear" w:color="auto" w:fill="auto"/>
            <w:tcMar>
              <w:top w:w="40" w:type="dxa"/>
              <w:left w:w="20" w:type="dxa"/>
              <w:bottom w:w="40" w:type="dxa"/>
              <w:right w:w="0" w:type="dxa"/>
            </w:tcMar>
            <w:vAlign w:val="bottom"/>
          </w:tcPr>
          <w:p w14:paraId="74DD760A" w14:textId="77777777" w:rsidR="00584EC1" w:rsidRDefault="00871F8D">
            <w:pPr>
              <w:jc w:val="right"/>
              <w:textAlignment w:val="bottom"/>
            </w:pPr>
            <w:r>
              <w:rPr>
                <w:rFonts w:ascii="Arial" w:eastAsia="宋体" w:hAnsi="Arial" w:cs="Arial"/>
                <w:color w:val="000000"/>
                <w:sz w:val="14"/>
                <w:szCs w:val="14"/>
              </w:rPr>
              <w:t>162 </w:t>
            </w:r>
          </w:p>
        </w:tc>
        <w:tc>
          <w:tcPr>
            <w:tcW w:w="0" w:type="auto"/>
            <w:shd w:val="clear" w:color="auto" w:fill="auto"/>
            <w:tcMar>
              <w:top w:w="40" w:type="dxa"/>
              <w:left w:w="0" w:type="dxa"/>
              <w:bottom w:w="40" w:type="dxa"/>
              <w:right w:w="20" w:type="dxa"/>
            </w:tcMar>
            <w:vAlign w:val="bottom"/>
          </w:tcPr>
          <w:p w14:paraId="74DD760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60C" w14:textId="77777777" w:rsidR="00584EC1" w:rsidRDefault="00584EC1">
            <w:pPr>
              <w:rPr>
                <w:rFonts w:ascii="宋体"/>
              </w:rPr>
            </w:pPr>
          </w:p>
        </w:tc>
        <w:tc>
          <w:tcPr>
            <w:tcW w:w="0" w:type="auto"/>
            <w:shd w:val="clear" w:color="auto" w:fill="auto"/>
            <w:vAlign w:val="bottom"/>
          </w:tcPr>
          <w:p w14:paraId="74DD760D" w14:textId="77777777" w:rsidR="00584EC1" w:rsidRDefault="00584EC1">
            <w:pPr>
              <w:rPr>
                <w:rFonts w:ascii="宋体"/>
                <w:vanish/>
              </w:rPr>
            </w:pPr>
          </w:p>
        </w:tc>
        <w:tc>
          <w:tcPr>
            <w:tcW w:w="0" w:type="auto"/>
            <w:shd w:val="clear" w:color="auto" w:fill="auto"/>
            <w:vAlign w:val="bottom"/>
          </w:tcPr>
          <w:p w14:paraId="74DD760E"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D760F" w14:textId="77777777" w:rsidR="00584EC1" w:rsidRDefault="00871F8D">
            <w:pPr>
              <w:jc w:val="right"/>
              <w:textAlignment w:val="bottom"/>
            </w:pPr>
            <w:r>
              <w:rPr>
                <w:rFonts w:ascii="Arial" w:eastAsia="宋体" w:hAnsi="Arial" w:cs="Arial"/>
                <w:color w:val="000000"/>
                <w:sz w:val="14"/>
                <w:szCs w:val="14"/>
              </w:rPr>
              <w:t>26 </w:t>
            </w:r>
          </w:p>
        </w:tc>
        <w:tc>
          <w:tcPr>
            <w:tcW w:w="0" w:type="auto"/>
            <w:shd w:val="clear" w:color="auto" w:fill="FFFFFF"/>
            <w:tcMar>
              <w:top w:w="40" w:type="dxa"/>
              <w:left w:w="0" w:type="dxa"/>
              <w:bottom w:w="40" w:type="dxa"/>
              <w:right w:w="20" w:type="dxa"/>
            </w:tcMar>
            <w:vAlign w:val="bottom"/>
          </w:tcPr>
          <w:p w14:paraId="74DD7610" w14:textId="77777777" w:rsidR="00584EC1" w:rsidRDefault="00584EC1">
            <w:pPr>
              <w:jc w:val="right"/>
              <w:rPr>
                <w:rFonts w:ascii="宋体"/>
              </w:rPr>
            </w:pPr>
          </w:p>
        </w:tc>
        <w:tc>
          <w:tcPr>
            <w:tcW w:w="0" w:type="auto"/>
            <w:gridSpan w:val="3"/>
            <w:shd w:val="clear" w:color="auto" w:fill="auto"/>
            <w:vAlign w:val="bottom"/>
          </w:tcPr>
          <w:p w14:paraId="74DD7611" w14:textId="77777777" w:rsidR="00584EC1" w:rsidRDefault="00584EC1">
            <w:pPr>
              <w:rPr>
                <w:rFonts w:ascii="宋体"/>
                <w:vanish/>
              </w:rPr>
            </w:pPr>
          </w:p>
        </w:tc>
        <w:tc>
          <w:tcPr>
            <w:tcW w:w="0" w:type="auto"/>
            <w:gridSpan w:val="3"/>
            <w:shd w:val="clear" w:color="auto" w:fill="auto"/>
            <w:vAlign w:val="bottom"/>
          </w:tcPr>
          <w:p w14:paraId="74DD7612" w14:textId="77777777" w:rsidR="00584EC1" w:rsidRDefault="00584EC1">
            <w:pPr>
              <w:rPr>
                <w:rFonts w:ascii="宋体"/>
                <w:vanish/>
              </w:rPr>
            </w:pPr>
          </w:p>
        </w:tc>
        <w:tc>
          <w:tcPr>
            <w:tcW w:w="0" w:type="auto"/>
            <w:gridSpan w:val="3"/>
            <w:shd w:val="clear" w:color="auto" w:fill="auto"/>
            <w:vAlign w:val="bottom"/>
          </w:tcPr>
          <w:p w14:paraId="74DD7613" w14:textId="77777777" w:rsidR="00584EC1" w:rsidRDefault="00584EC1">
            <w:pPr>
              <w:rPr>
                <w:rFonts w:ascii="宋体"/>
                <w:vanish/>
              </w:rPr>
            </w:pPr>
          </w:p>
        </w:tc>
        <w:tc>
          <w:tcPr>
            <w:tcW w:w="0" w:type="auto"/>
            <w:gridSpan w:val="3"/>
            <w:shd w:val="clear" w:color="auto" w:fill="auto"/>
            <w:vAlign w:val="bottom"/>
          </w:tcPr>
          <w:p w14:paraId="74DD7614" w14:textId="77777777" w:rsidR="00584EC1" w:rsidRDefault="00584EC1">
            <w:pPr>
              <w:rPr>
                <w:rFonts w:ascii="宋体"/>
                <w:vanish/>
              </w:rPr>
            </w:pPr>
          </w:p>
        </w:tc>
        <w:tc>
          <w:tcPr>
            <w:tcW w:w="0" w:type="auto"/>
            <w:gridSpan w:val="3"/>
            <w:shd w:val="clear" w:color="auto" w:fill="auto"/>
            <w:vAlign w:val="bottom"/>
          </w:tcPr>
          <w:p w14:paraId="74DD7615" w14:textId="77777777" w:rsidR="00584EC1" w:rsidRDefault="00584EC1">
            <w:pPr>
              <w:rPr>
                <w:rFonts w:ascii="宋体"/>
                <w:vanish/>
              </w:rPr>
            </w:pPr>
          </w:p>
        </w:tc>
        <w:tc>
          <w:tcPr>
            <w:tcW w:w="0" w:type="auto"/>
            <w:gridSpan w:val="3"/>
            <w:shd w:val="clear" w:color="auto" w:fill="auto"/>
            <w:vAlign w:val="bottom"/>
          </w:tcPr>
          <w:p w14:paraId="74DD7616" w14:textId="77777777" w:rsidR="00584EC1" w:rsidRDefault="00584EC1">
            <w:pPr>
              <w:rPr>
                <w:rFonts w:ascii="宋体"/>
                <w:vanish/>
              </w:rPr>
            </w:pPr>
          </w:p>
        </w:tc>
        <w:tc>
          <w:tcPr>
            <w:tcW w:w="0" w:type="auto"/>
            <w:gridSpan w:val="2"/>
            <w:shd w:val="clear" w:color="auto" w:fill="auto"/>
            <w:vAlign w:val="bottom"/>
          </w:tcPr>
          <w:p w14:paraId="74DD7617" w14:textId="77777777" w:rsidR="00584EC1" w:rsidRDefault="00584EC1">
            <w:pPr>
              <w:rPr>
                <w:rFonts w:ascii="宋体"/>
                <w:vanish/>
              </w:rPr>
            </w:pPr>
          </w:p>
        </w:tc>
        <w:tc>
          <w:tcPr>
            <w:tcW w:w="0" w:type="auto"/>
            <w:shd w:val="clear" w:color="auto" w:fill="auto"/>
            <w:vAlign w:val="bottom"/>
          </w:tcPr>
          <w:p w14:paraId="74DD7618" w14:textId="77777777" w:rsidR="00584EC1" w:rsidRDefault="00584EC1">
            <w:pPr>
              <w:rPr>
                <w:rFonts w:ascii="宋体"/>
                <w:vanish/>
              </w:rPr>
            </w:pPr>
          </w:p>
        </w:tc>
      </w:tr>
      <w:tr w:rsidR="00584EC1" w14:paraId="74DD7633" w14:textId="77777777">
        <w:tc>
          <w:tcPr>
            <w:tcW w:w="0" w:type="auto"/>
            <w:gridSpan w:val="3"/>
            <w:shd w:val="clear" w:color="auto" w:fill="CCEEFF"/>
            <w:tcMar>
              <w:top w:w="40" w:type="dxa"/>
              <w:left w:w="20" w:type="dxa"/>
              <w:bottom w:w="40" w:type="dxa"/>
              <w:right w:w="20" w:type="dxa"/>
            </w:tcMar>
            <w:vAlign w:val="bottom"/>
          </w:tcPr>
          <w:p w14:paraId="74DD761A" w14:textId="77777777" w:rsidR="00584EC1" w:rsidRDefault="00871F8D">
            <w:pPr>
              <w:textAlignment w:val="bottom"/>
            </w:pPr>
            <w:r>
              <w:rPr>
                <w:rFonts w:ascii="Arial" w:eastAsia="宋体" w:hAnsi="Arial" w:cs="Arial"/>
                <w:color w:val="000000"/>
                <w:sz w:val="14"/>
                <w:szCs w:val="14"/>
              </w:rPr>
              <w:t>Total fee revenue</w:t>
            </w:r>
          </w:p>
        </w:tc>
        <w:tc>
          <w:tcPr>
            <w:tcW w:w="0" w:type="auto"/>
            <w:shd w:val="clear" w:color="auto" w:fill="auto"/>
            <w:vAlign w:val="bottom"/>
          </w:tcPr>
          <w:p w14:paraId="74DD761B" w14:textId="77777777" w:rsidR="00584EC1" w:rsidRDefault="00584EC1">
            <w:pPr>
              <w:rPr>
                <w:rFonts w:ascii="宋体"/>
                <w:vanish/>
              </w:rPr>
            </w:pPr>
          </w:p>
        </w:tc>
        <w:tc>
          <w:tcPr>
            <w:tcW w:w="0" w:type="auto"/>
            <w:shd w:val="clear" w:color="auto" w:fill="auto"/>
            <w:vAlign w:val="bottom"/>
          </w:tcPr>
          <w:p w14:paraId="74DD761C" w14:textId="77777777" w:rsidR="00584EC1" w:rsidRDefault="00584EC1">
            <w:pPr>
              <w:rPr>
                <w:rFonts w:ascii="宋体"/>
                <w:vanish/>
              </w:rPr>
            </w:pPr>
          </w:p>
        </w:tc>
        <w:tc>
          <w:tcPr>
            <w:tcW w:w="0" w:type="auto"/>
            <w:shd w:val="clear" w:color="auto" w:fill="auto"/>
            <w:vAlign w:val="bottom"/>
          </w:tcPr>
          <w:p w14:paraId="74DD761D" w14:textId="77777777" w:rsidR="00584EC1" w:rsidRDefault="00584EC1">
            <w:pPr>
              <w:rPr>
                <w:rFonts w:ascii="宋体"/>
                <w:vanish/>
              </w:rPr>
            </w:pPr>
          </w:p>
        </w:tc>
        <w:tc>
          <w:tcPr>
            <w:tcW w:w="0" w:type="auto"/>
            <w:shd w:val="clear" w:color="auto" w:fill="auto"/>
            <w:vAlign w:val="bottom"/>
          </w:tcPr>
          <w:p w14:paraId="74DD761E" w14:textId="77777777" w:rsidR="00584EC1" w:rsidRDefault="00584EC1">
            <w:pPr>
              <w:rPr>
                <w:rFonts w:ascii="宋体"/>
                <w:vanish/>
              </w:rPr>
            </w:pPr>
          </w:p>
        </w:tc>
        <w:tc>
          <w:tcPr>
            <w:tcW w:w="0" w:type="auto"/>
            <w:shd w:val="clear" w:color="auto" w:fill="auto"/>
            <w:vAlign w:val="bottom"/>
          </w:tcPr>
          <w:p w14:paraId="74DD761F" w14:textId="77777777" w:rsidR="00584EC1" w:rsidRDefault="00584EC1">
            <w:pPr>
              <w:rPr>
                <w:rFonts w:ascii="宋体"/>
                <w:vanish/>
              </w:rPr>
            </w:pPr>
          </w:p>
        </w:tc>
        <w:tc>
          <w:tcPr>
            <w:tcW w:w="0" w:type="auto"/>
            <w:shd w:val="clear" w:color="auto" w:fill="auto"/>
            <w:vAlign w:val="bottom"/>
          </w:tcPr>
          <w:p w14:paraId="74DD7620" w14:textId="77777777" w:rsidR="00584EC1" w:rsidRDefault="00584EC1">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7621" w14:textId="77777777" w:rsidR="00584EC1" w:rsidRDefault="00871F8D">
            <w:pPr>
              <w:jc w:val="right"/>
              <w:textAlignment w:val="bottom"/>
            </w:pPr>
            <w:r>
              <w:rPr>
                <w:rFonts w:ascii="Arial" w:eastAsia="宋体" w:hAnsi="Arial" w:cs="Arial"/>
                <w:b/>
                <w:bCs/>
                <w:color w:val="000000"/>
                <w:sz w:val="14"/>
                <w:szCs w:val="14"/>
              </w:rPr>
              <w:t>1,968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62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623"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7624" w14:textId="77777777" w:rsidR="00584EC1" w:rsidRDefault="00871F8D">
            <w:pPr>
              <w:jc w:val="right"/>
              <w:textAlignment w:val="bottom"/>
            </w:pPr>
            <w:r>
              <w:rPr>
                <w:rFonts w:ascii="Arial" w:eastAsia="宋体" w:hAnsi="Arial" w:cs="Arial"/>
                <w:color w:val="000000"/>
                <w:sz w:val="14"/>
                <w:szCs w:val="14"/>
              </w:rPr>
              <w:t>1,796 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62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626" w14:textId="77777777" w:rsidR="00584EC1" w:rsidRDefault="00584EC1">
            <w:pPr>
              <w:rPr>
                <w:rFonts w:ascii="宋体"/>
              </w:rPr>
            </w:pPr>
          </w:p>
        </w:tc>
        <w:tc>
          <w:tcPr>
            <w:tcW w:w="0" w:type="auto"/>
            <w:shd w:val="clear" w:color="auto" w:fill="auto"/>
            <w:vAlign w:val="bottom"/>
          </w:tcPr>
          <w:p w14:paraId="74DD7627" w14:textId="77777777" w:rsidR="00584EC1" w:rsidRDefault="00584EC1">
            <w:pPr>
              <w:rPr>
                <w:rFonts w:ascii="宋体"/>
                <w:vanish/>
              </w:rPr>
            </w:pPr>
          </w:p>
        </w:tc>
        <w:tc>
          <w:tcPr>
            <w:tcW w:w="0" w:type="auto"/>
            <w:shd w:val="clear" w:color="auto" w:fill="auto"/>
            <w:vAlign w:val="bottom"/>
          </w:tcPr>
          <w:p w14:paraId="74DD7628" w14:textId="77777777" w:rsidR="00584EC1" w:rsidRDefault="00584EC1">
            <w:pPr>
              <w:rPr>
                <w:rFonts w:ascii="宋体"/>
                <w:vanish/>
              </w:rPr>
            </w:pPr>
          </w:p>
        </w:tc>
        <w:tc>
          <w:tcPr>
            <w:tcW w:w="0" w:type="auto"/>
            <w:gridSpan w:val="2"/>
            <w:shd w:val="clear" w:color="auto" w:fill="CCEEFF"/>
            <w:tcMar>
              <w:top w:w="40" w:type="dxa"/>
              <w:left w:w="20" w:type="dxa"/>
              <w:bottom w:w="40" w:type="dxa"/>
              <w:right w:w="0" w:type="dxa"/>
            </w:tcMar>
            <w:vAlign w:val="bottom"/>
          </w:tcPr>
          <w:p w14:paraId="74DD7629" w14:textId="77777777" w:rsidR="00584EC1" w:rsidRDefault="00871F8D">
            <w:pPr>
              <w:jc w:val="right"/>
              <w:textAlignment w:val="bottom"/>
            </w:pPr>
            <w:r>
              <w:rPr>
                <w:rFonts w:ascii="Arial" w:eastAsia="宋体" w:hAnsi="Arial" w:cs="Arial"/>
                <w:color w:val="000000"/>
                <w:sz w:val="14"/>
                <w:szCs w:val="14"/>
              </w:rPr>
              <w:t>10 </w:t>
            </w:r>
          </w:p>
        </w:tc>
        <w:tc>
          <w:tcPr>
            <w:tcW w:w="0" w:type="auto"/>
            <w:shd w:val="clear" w:color="auto" w:fill="CCEEFF"/>
            <w:tcMar>
              <w:top w:w="40" w:type="dxa"/>
              <w:left w:w="0" w:type="dxa"/>
              <w:bottom w:w="40" w:type="dxa"/>
              <w:right w:w="20" w:type="dxa"/>
            </w:tcMar>
            <w:vAlign w:val="bottom"/>
          </w:tcPr>
          <w:p w14:paraId="74DD762A" w14:textId="77777777" w:rsidR="00584EC1" w:rsidRDefault="00584EC1">
            <w:pPr>
              <w:jc w:val="right"/>
              <w:rPr>
                <w:rFonts w:ascii="宋体"/>
              </w:rPr>
            </w:pPr>
          </w:p>
        </w:tc>
        <w:tc>
          <w:tcPr>
            <w:tcW w:w="0" w:type="auto"/>
            <w:gridSpan w:val="3"/>
            <w:shd w:val="clear" w:color="auto" w:fill="auto"/>
            <w:vAlign w:val="bottom"/>
          </w:tcPr>
          <w:p w14:paraId="74DD762B" w14:textId="77777777" w:rsidR="00584EC1" w:rsidRDefault="00584EC1">
            <w:pPr>
              <w:rPr>
                <w:rFonts w:ascii="宋体"/>
                <w:vanish/>
              </w:rPr>
            </w:pPr>
          </w:p>
        </w:tc>
        <w:tc>
          <w:tcPr>
            <w:tcW w:w="0" w:type="auto"/>
            <w:gridSpan w:val="3"/>
            <w:shd w:val="clear" w:color="auto" w:fill="auto"/>
            <w:vAlign w:val="bottom"/>
          </w:tcPr>
          <w:p w14:paraId="74DD762C" w14:textId="77777777" w:rsidR="00584EC1" w:rsidRDefault="00584EC1">
            <w:pPr>
              <w:rPr>
                <w:rFonts w:ascii="宋体"/>
                <w:vanish/>
              </w:rPr>
            </w:pPr>
          </w:p>
        </w:tc>
        <w:tc>
          <w:tcPr>
            <w:tcW w:w="0" w:type="auto"/>
            <w:gridSpan w:val="3"/>
            <w:shd w:val="clear" w:color="auto" w:fill="auto"/>
            <w:vAlign w:val="bottom"/>
          </w:tcPr>
          <w:p w14:paraId="74DD762D" w14:textId="77777777" w:rsidR="00584EC1" w:rsidRDefault="00584EC1">
            <w:pPr>
              <w:rPr>
                <w:rFonts w:ascii="宋体"/>
                <w:vanish/>
              </w:rPr>
            </w:pPr>
          </w:p>
        </w:tc>
        <w:tc>
          <w:tcPr>
            <w:tcW w:w="0" w:type="auto"/>
            <w:gridSpan w:val="3"/>
            <w:shd w:val="clear" w:color="auto" w:fill="auto"/>
            <w:vAlign w:val="bottom"/>
          </w:tcPr>
          <w:p w14:paraId="74DD762E" w14:textId="77777777" w:rsidR="00584EC1" w:rsidRDefault="00584EC1">
            <w:pPr>
              <w:rPr>
                <w:rFonts w:ascii="宋体"/>
                <w:vanish/>
              </w:rPr>
            </w:pPr>
          </w:p>
        </w:tc>
        <w:tc>
          <w:tcPr>
            <w:tcW w:w="0" w:type="auto"/>
            <w:gridSpan w:val="3"/>
            <w:shd w:val="clear" w:color="auto" w:fill="auto"/>
            <w:vAlign w:val="bottom"/>
          </w:tcPr>
          <w:p w14:paraId="74DD762F" w14:textId="77777777" w:rsidR="00584EC1" w:rsidRDefault="00584EC1">
            <w:pPr>
              <w:rPr>
                <w:rFonts w:ascii="宋体"/>
                <w:vanish/>
              </w:rPr>
            </w:pPr>
          </w:p>
        </w:tc>
        <w:tc>
          <w:tcPr>
            <w:tcW w:w="0" w:type="auto"/>
            <w:gridSpan w:val="3"/>
            <w:shd w:val="clear" w:color="auto" w:fill="auto"/>
            <w:vAlign w:val="bottom"/>
          </w:tcPr>
          <w:p w14:paraId="74DD7630" w14:textId="77777777" w:rsidR="00584EC1" w:rsidRDefault="00584EC1">
            <w:pPr>
              <w:rPr>
                <w:rFonts w:ascii="宋体"/>
                <w:vanish/>
              </w:rPr>
            </w:pPr>
          </w:p>
        </w:tc>
        <w:tc>
          <w:tcPr>
            <w:tcW w:w="0" w:type="auto"/>
            <w:gridSpan w:val="2"/>
            <w:shd w:val="clear" w:color="auto" w:fill="auto"/>
            <w:vAlign w:val="bottom"/>
          </w:tcPr>
          <w:p w14:paraId="74DD7631" w14:textId="77777777" w:rsidR="00584EC1" w:rsidRDefault="00584EC1">
            <w:pPr>
              <w:rPr>
                <w:rFonts w:ascii="宋体"/>
                <w:vanish/>
              </w:rPr>
            </w:pPr>
          </w:p>
        </w:tc>
        <w:tc>
          <w:tcPr>
            <w:tcW w:w="0" w:type="auto"/>
            <w:shd w:val="clear" w:color="auto" w:fill="auto"/>
            <w:vAlign w:val="bottom"/>
          </w:tcPr>
          <w:p w14:paraId="74DD7632" w14:textId="77777777" w:rsidR="00584EC1" w:rsidRDefault="00584EC1">
            <w:pPr>
              <w:rPr>
                <w:rFonts w:ascii="宋体"/>
                <w:vanish/>
              </w:rPr>
            </w:pPr>
          </w:p>
        </w:tc>
      </w:tr>
      <w:tr w:rsidR="00584EC1" w14:paraId="74DD764D" w14:textId="77777777">
        <w:tc>
          <w:tcPr>
            <w:tcW w:w="0" w:type="auto"/>
            <w:gridSpan w:val="3"/>
            <w:shd w:val="clear" w:color="auto" w:fill="FFFFFF"/>
            <w:tcMar>
              <w:top w:w="40" w:type="dxa"/>
              <w:left w:w="20" w:type="dxa"/>
              <w:bottom w:w="40" w:type="dxa"/>
              <w:right w:w="20" w:type="dxa"/>
            </w:tcMar>
            <w:vAlign w:val="bottom"/>
          </w:tcPr>
          <w:p w14:paraId="74DD7634" w14:textId="77777777" w:rsidR="00584EC1" w:rsidRDefault="00871F8D">
            <w:pPr>
              <w:textAlignment w:val="bottom"/>
            </w:pPr>
            <w:r>
              <w:rPr>
                <w:rFonts w:ascii="Arial" w:eastAsia="宋体" w:hAnsi="Arial" w:cs="Arial"/>
                <w:color w:val="000000"/>
                <w:sz w:val="14"/>
                <w:szCs w:val="14"/>
              </w:rPr>
              <w:t>Net interest income</w:t>
            </w:r>
          </w:p>
        </w:tc>
        <w:tc>
          <w:tcPr>
            <w:tcW w:w="0" w:type="auto"/>
            <w:shd w:val="clear" w:color="auto" w:fill="auto"/>
            <w:vAlign w:val="bottom"/>
          </w:tcPr>
          <w:p w14:paraId="74DD7635" w14:textId="77777777" w:rsidR="00584EC1" w:rsidRDefault="00584EC1">
            <w:pPr>
              <w:rPr>
                <w:rFonts w:ascii="宋体"/>
                <w:vanish/>
              </w:rPr>
            </w:pPr>
          </w:p>
        </w:tc>
        <w:tc>
          <w:tcPr>
            <w:tcW w:w="0" w:type="auto"/>
            <w:shd w:val="clear" w:color="auto" w:fill="auto"/>
            <w:vAlign w:val="bottom"/>
          </w:tcPr>
          <w:p w14:paraId="74DD7636" w14:textId="77777777" w:rsidR="00584EC1" w:rsidRDefault="00584EC1">
            <w:pPr>
              <w:rPr>
                <w:rFonts w:ascii="宋体"/>
                <w:vanish/>
              </w:rPr>
            </w:pPr>
          </w:p>
        </w:tc>
        <w:tc>
          <w:tcPr>
            <w:tcW w:w="0" w:type="auto"/>
            <w:shd w:val="clear" w:color="auto" w:fill="auto"/>
            <w:vAlign w:val="bottom"/>
          </w:tcPr>
          <w:p w14:paraId="74DD7637" w14:textId="77777777" w:rsidR="00584EC1" w:rsidRDefault="00584EC1">
            <w:pPr>
              <w:rPr>
                <w:rFonts w:ascii="宋体"/>
                <w:vanish/>
              </w:rPr>
            </w:pPr>
          </w:p>
        </w:tc>
        <w:tc>
          <w:tcPr>
            <w:tcW w:w="0" w:type="auto"/>
            <w:shd w:val="clear" w:color="auto" w:fill="auto"/>
            <w:vAlign w:val="bottom"/>
          </w:tcPr>
          <w:p w14:paraId="74DD7638" w14:textId="77777777" w:rsidR="00584EC1" w:rsidRDefault="00584EC1">
            <w:pPr>
              <w:rPr>
                <w:rFonts w:ascii="宋体"/>
                <w:vanish/>
              </w:rPr>
            </w:pPr>
          </w:p>
        </w:tc>
        <w:tc>
          <w:tcPr>
            <w:tcW w:w="0" w:type="auto"/>
            <w:shd w:val="clear" w:color="auto" w:fill="auto"/>
            <w:vAlign w:val="bottom"/>
          </w:tcPr>
          <w:p w14:paraId="74DD7639" w14:textId="77777777" w:rsidR="00584EC1" w:rsidRDefault="00584EC1">
            <w:pPr>
              <w:rPr>
                <w:rFonts w:ascii="宋体"/>
                <w:vanish/>
              </w:rPr>
            </w:pPr>
          </w:p>
        </w:tc>
        <w:tc>
          <w:tcPr>
            <w:tcW w:w="0" w:type="auto"/>
            <w:shd w:val="clear" w:color="auto" w:fill="auto"/>
            <w:vAlign w:val="bottom"/>
          </w:tcPr>
          <w:p w14:paraId="74DD763A"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D763B" w14:textId="77777777" w:rsidR="00584EC1" w:rsidRDefault="00871F8D">
            <w:pPr>
              <w:jc w:val="right"/>
              <w:textAlignment w:val="bottom"/>
            </w:pPr>
            <w:r>
              <w:rPr>
                <w:rFonts w:ascii="Arial" w:eastAsia="宋体" w:hAnsi="Arial" w:cs="Arial"/>
                <w:b/>
                <w:bCs/>
                <w:color w:val="000000"/>
                <w:sz w:val="14"/>
                <w:szCs w:val="14"/>
              </w:rPr>
              <w:t>491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763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63D" w14:textId="77777777" w:rsidR="00584EC1" w:rsidRDefault="00584EC1">
            <w:pPr>
              <w:rPr>
                <w:rFonts w:ascii="宋体"/>
              </w:rPr>
            </w:pPr>
          </w:p>
        </w:tc>
        <w:tc>
          <w:tcPr>
            <w:tcW w:w="0" w:type="auto"/>
            <w:gridSpan w:val="2"/>
            <w:shd w:val="clear" w:color="auto" w:fill="auto"/>
            <w:tcMar>
              <w:top w:w="40" w:type="dxa"/>
              <w:left w:w="20" w:type="dxa"/>
              <w:bottom w:w="40" w:type="dxa"/>
              <w:right w:w="0" w:type="dxa"/>
            </w:tcMar>
            <w:vAlign w:val="bottom"/>
          </w:tcPr>
          <w:p w14:paraId="74DD763E" w14:textId="77777777" w:rsidR="00584EC1" w:rsidRDefault="00871F8D">
            <w:pPr>
              <w:jc w:val="right"/>
              <w:textAlignment w:val="bottom"/>
            </w:pPr>
            <w:r>
              <w:rPr>
                <w:rFonts w:ascii="Arial" w:eastAsia="宋体" w:hAnsi="Arial" w:cs="Arial"/>
                <w:color w:val="000000"/>
                <w:sz w:val="14"/>
                <w:szCs w:val="14"/>
              </w:rPr>
              <w:t>482 </w:t>
            </w:r>
          </w:p>
        </w:tc>
        <w:tc>
          <w:tcPr>
            <w:tcW w:w="0" w:type="auto"/>
            <w:shd w:val="clear" w:color="auto" w:fill="auto"/>
            <w:tcMar>
              <w:top w:w="40" w:type="dxa"/>
              <w:left w:w="0" w:type="dxa"/>
              <w:bottom w:w="40" w:type="dxa"/>
              <w:right w:w="20" w:type="dxa"/>
            </w:tcMar>
            <w:vAlign w:val="bottom"/>
          </w:tcPr>
          <w:p w14:paraId="74DD763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640" w14:textId="77777777" w:rsidR="00584EC1" w:rsidRDefault="00584EC1">
            <w:pPr>
              <w:rPr>
                <w:rFonts w:ascii="宋体"/>
              </w:rPr>
            </w:pPr>
          </w:p>
        </w:tc>
        <w:tc>
          <w:tcPr>
            <w:tcW w:w="0" w:type="auto"/>
            <w:shd w:val="clear" w:color="auto" w:fill="auto"/>
            <w:vAlign w:val="bottom"/>
          </w:tcPr>
          <w:p w14:paraId="74DD7641" w14:textId="77777777" w:rsidR="00584EC1" w:rsidRDefault="00584EC1">
            <w:pPr>
              <w:rPr>
                <w:rFonts w:ascii="宋体"/>
                <w:vanish/>
              </w:rPr>
            </w:pPr>
          </w:p>
        </w:tc>
        <w:tc>
          <w:tcPr>
            <w:tcW w:w="0" w:type="auto"/>
            <w:shd w:val="clear" w:color="auto" w:fill="auto"/>
            <w:vAlign w:val="bottom"/>
          </w:tcPr>
          <w:p w14:paraId="74DD7642"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D7643" w14:textId="77777777" w:rsidR="00584EC1" w:rsidRDefault="00871F8D">
            <w:pPr>
              <w:jc w:val="right"/>
              <w:textAlignment w:val="bottom"/>
            </w:pPr>
            <w:r>
              <w:rPr>
                <w:rFonts w:ascii="Arial" w:eastAsia="宋体" w:hAnsi="Arial" w:cs="Arial"/>
                <w:color w:val="000000"/>
                <w:sz w:val="14"/>
                <w:szCs w:val="14"/>
              </w:rPr>
              <w:t>2 </w:t>
            </w:r>
          </w:p>
        </w:tc>
        <w:tc>
          <w:tcPr>
            <w:tcW w:w="0" w:type="auto"/>
            <w:shd w:val="clear" w:color="auto" w:fill="FFFFFF"/>
            <w:tcMar>
              <w:top w:w="40" w:type="dxa"/>
              <w:left w:w="0" w:type="dxa"/>
              <w:bottom w:w="40" w:type="dxa"/>
              <w:right w:w="20" w:type="dxa"/>
            </w:tcMar>
            <w:vAlign w:val="bottom"/>
          </w:tcPr>
          <w:p w14:paraId="74DD7644" w14:textId="77777777" w:rsidR="00584EC1" w:rsidRDefault="00584EC1">
            <w:pPr>
              <w:jc w:val="right"/>
              <w:rPr>
                <w:rFonts w:ascii="宋体"/>
              </w:rPr>
            </w:pPr>
          </w:p>
        </w:tc>
        <w:tc>
          <w:tcPr>
            <w:tcW w:w="0" w:type="auto"/>
            <w:gridSpan w:val="3"/>
            <w:shd w:val="clear" w:color="auto" w:fill="auto"/>
            <w:vAlign w:val="bottom"/>
          </w:tcPr>
          <w:p w14:paraId="74DD7645" w14:textId="77777777" w:rsidR="00584EC1" w:rsidRDefault="00584EC1">
            <w:pPr>
              <w:rPr>
                <w:rFonts w:ascii="宋体"/>
                <w:vanish/>
              </w:rPr>
            </w:pPr>
          </w:p>
        </w:tc>
        <w:tc>
          <w:tcPr>
            <w:tcW w:w="0" w:type="auto"/>
            <w:gridSpan w:val="3"/>
            <w:shd w:val="clear" w:color="auto" w:fill="auto"/>
            <w:vAlign w:val="bottom"/>
          </w:tcPr>
          <w:p w14:paraId="74DD7646" w14:textId="77777777" w:rsidR="00584EC1" w:rsidRDefault="00584EC1">
            <w:pPr>
              <w:rPr>
                <w:rFonts w:ascii="宋体"/>
                <w:vanish/>
              </w:rPr>
            </w:pPr>
          </w:p>
        </w:tc>
        <w:tc>
          <w:tcPr>
            <w:tcW w:w="0" w:type="auto"/>
            <w:gridSpan w:val="3"/>
            <w:shd w:val="clear" w:color="auto" w:fill="auto"/>
            <w:vAlign w:val="bottom"/>
          </w:tcPr>
          <w:p w14:paraId="74DD7647" w14:textId="77777777" w:rsidR="00584EC1" w:rsidRDefault="00584EC1">
            <w:pPr>
              <w:rPr>
                <w:rFonts w:ascii="宋体"/>
                <w:vanish/>
              </w:rPr>
            </w:pPr>
          </w:p>
        </w:tc>
        <w:tc>
          <w:tcPr>
            <w:tcW w:w="0" w:type="auto"/>
            <w:gridSpan w:val="3"/>
            <w:shd w:val="clear" w:color="auto" w:fill="auto"/>
            <w:vAlign w:val="bottom"/>
          </w:tcPr>
          <w:p w14:paraId="74DD7648" w14:textId="77777777" w:rsidR="00584EC1" w:rsidRDefault="00584EC1">
            <w:pPr>
              <w:rPr>
                <w:rFonts w:ascii="宋体"/>
                <w:vanish/>
              </w:rPr>
            </w:pPr>
          </w:p>
        </w:tc>
        <w:tc>
          <w:tcPr>
            <w:tcW w:w="0" w:type="auto"/>
            <w:gridSpan w:val="3"/>
            <w:shd w:val="clear" w:color="auto" w:fill="auto"/>
            <w:vAlign w:val="bottom"/>
          </w:tcPr>
          <w:p w14:paraId="74DD7649" w14:textId="77777777" w:rsidR="00584EC1" w:rsidRDefault="00584EC1">
            <w:pPr>
              <w:rPr>
                <w:rFonts w:ascii="宋体"/>
                <w:vanish/>
              </w:rPr>
            </w:pPr>
          </w:p>
        </w:tc>
        <w:tc>
          <w:tcPr>
            <w:tcW w:w="0" w:type="auto"/>
            <w:gridSpan w:val="3"/>
            <w:shd w:val="clear" w:color="auto" w:fill="auto"/>
            <w:vAlign w:val="bottom"/>
          </w:tcPr>
          <w:p w14:paraId="74DD764A" w14:textId="77777777" w:rsidR="00584EC1" w:rsidRDefault="00584EC1">
            <w:pPr>
              <w:rPr>
                <w:rFonts w:ascii="宋体"/>
                <w:vanish/>
              </w:rPr>
            </w:pPr>
          </w:p>
        </w:tc>
        <w:tc>
          <w:tcPr>
            <w:tcW w:w="0" w:type="auto"/>
            <w:gridSpan w:val="2"/>
            <w:shd w:val="clear" w:color="auto" w:fill="auto"/>
            <w:vAlign w:val="bottom"/>
          </w:tcPr>
          <w:p w14:paraId="74DD764B" w14:textId="77777777" w:rsidR="00584EC1" w:rsidRDefault="00584EC1">
            <w:pPr>
              <w:rPr>
                <w:rFonts w:ascii="宋体"/>
                <w:vanish/>
              </w:rPr>
            </w:pPr>
          </w:p>
        </w:tc>
        <w:tc>
          <w:tcPr>
            <w:tcW w:w="0" w:type="auto"/>
            <w:shd w:val="clear" w:color="auto" w:fill="auto"/>
            <w:vAlign w:val="bottom"/>
          </w:tcPr>
          <w:p w14:paraId="74DD764C" w14:textId="77777777" w:rsidR="00584EC1" w:rsidRDefault="00584EC1">
            <w:pPr>
              <w:rPr>
                <w:rFonts w:ascii="宋体"/>
                <w:vanish/>
              </w:rPr>
            </w:pPr>
          </w:p>
        </w:tc>
      </w:tr>
      <w:tr w:rsidR="00584EC1" w14:paraId="74DD7666" w14:textId="77777777">
        <w:tc>
          <w:tcPr>
            <w:tcW w:w="0" w:type="auto"/>
            <w:gridSpan w:val="3"/>
            <w:shd w:val="clear" w:color="auto" w:fill="CCEEFF"/>
            <w:tcMar>
              <w:top w:w="40" w:type="dxa"/>
              <w:left w:w="20" w:type="dxa"/>
              <w:bottom w:w="40" w:type="dxa"/>
              <w:right w:w="20" w:type="dxa"/>
            </w:tcMar>
            <w:vAlign w:val="bottom"/>
          </w:tcPr>
          <w:p w14:paraId="74DD764E" w14:textId="77777777" w:rsidR="00584EC1" w:rsidRDefault="00871F8D">
            <w:pPr>
              <w:textAlignment w:val="bottom"/>
            </w:pPr>
            <w:r>
              <w:rPr>
                <w:rFonts w:ascii="Arial" w:eastAsia="宋体" w:hAnsi="Arial" w:cs="Arial"/>
                <w:color w:val="000000"/>
                <w:sz w:val="14"/>
                <w:szCs w:val="14"/>
              </w:rPr>
              <w:t>Total other income</w:t>
            </w:r>
          </w:p>
        </w:tc>
        <w:tc>
          <w:tcPr>
            <w:tcW w:w="0" w:type="auto"/>
            <w:shd w:val="clear" w:color="auto" w:fill="auto"/>
            <w:vAlign w:val="bottom"/>
          </w:tcPr>
          <w:p w14:paraId="74DD764F" w14:textId="77777777" w:rsidR="00584EC1" w:rsidRDefault="00584EC1">
            <w:pPr>
              <w:rPr>
                <w:rFonts w:ascii="宋体"/>
                <w:vanish/>
              </w:rPr>
            </w:pPr>
          </w:p>
        </w:tc>
        <w:tc>
          <w:tcPr>
            <w:tcW w:w="0" w:type="auto"/>
            <w:shd w:val="clear" w:color="auto" w:fill="auto"/>
            <w:vAlign w:val="bottom"/>
          </w:tcPr>
          <w:p w14:paraId="74DD7650" w14:textId="77777777" w:rsidR="00584EC1" w:rsidRDefault="00584EC1">
            <w:pPr>
              <w:rPr>
                <w:rFonts w:ascii="宋体"/>
                <w:vanish/>
              </w:rPr>
            </w:pPr>
          </w:p>
        </w:tc>
        <w:tc>
          <w:tcPr>
            <w:tcW w:w="0" w:type="auto"/>
            <w:shd w:val="clear" w:color="auto" w:fill="auto"/>
            <w:vAlign w:val="bottom"/>
          </w:tcPr>
          <w:p w14:paraId="74DD7651" w14:textId="77777777" w:rsidR="00584EC1" w:rsidRDefault="00584EC1">
            <w:pPr>
              <w:rPr>
                <w:rFonts w:ascii="宋体"/>
                <w:vanish/>
              </w:rPr>
            </w:pPr>
          </w:p>
        </w:tc>
        <w:tc>
          <w:tcPr>
            <w:tcW w:w="0" w:type="auto"/>
            <w:shd w:val="clear" w:color="auto" w:fill="auto"/>
            <w:vAlign w:val="bottom"/>
          </w:tcPr>
          <w:p w14:paraId="74DD7652" w14:textId="77777777" w:rsidR="00584EC1" w:rsidRDefault="00584EC1">
            <w:pPr>
              <w:rPr>
                <w:rFonts w:ascii="宋体"/>
                <w:vanish/>
              </w:rPr>
            </w:pPr>
          </w:p>
        </w:tc>
        <w:tc>
          <w:tcPr>
            <w:tcW w:w="0" w:type="auto"/>
            <w:shd w:val="clear" w:color="auto" w:fill="auto"/>
            <w:vAlign w:val="bottom"/>
          </w:tcPr>
          <w:p w14:paraId="74DD7653" w14:textId="77777777" w:rsidR="00584EC1" w:rsidRDefault="00584EC1">
            <w:pPr>
              <w:rPr>
                <w:rFonts w:ascii="宋体"/>
                <w:vanish/>
              </w:rPr>
            </w:pPr>
          </w:p>
        </w:tc>
        <w:tc>
          <w:tcPr>
            <w:tcW w:w="0" w:type="auto"/>
            <w:shd w:val="clear" w:color="auto" w:fill="auto"/>
            <w:vAlign w:val="bottom"/>
          </w:tcPr>
          <w:p w14:paraId="74DD7654" w14:textId="77777777" w:rsidR="00584EC1" w:rsidRDefault="00584EC1">
            <w:pPr>
              <w:rPr>
                <w:rFonts w:ascii="宋体"/>
                <w:vanish/>
              </w:rPr>
            </w:pPr>
          </w:p>
        </w:tc>
        <w:tc>
          <w:tcPr>
            <w:tcW w:w="0" w:type="auto"/>
            <w:gridSpan w:val="2"/>
            <w:shd w:val="clear" w:color="auto" w:fill="CCEEFF"/>
            <w:tcMar>
              <w:top w:w="40" w:type="dxa"/>
              <w:left w:w="20" w:type="dxa"/>
              <w:bottom w:w="40" w:type="dxa"/>
              <w:right w:w="0" w:type="dxa"/>
            </w:tcMar>
            <w:vAlign w:val="bottom"/>
          </w:tcPr>
          <w:p w14:paraId="74DD7655" w14:textId="77777777" w:rsidR="00584EC1" w:rsidRDefault="00871F8D">
            <w:pPr>
              <w:jc w:val="right"/>
              <w:textAlignment w:val="bottom"/>
            </w:pPr>
            <w:r>
              <w:rPr>
                <w:rFonts w:ascii="Arial" w:eastAsia="宋体" w:hAnsi="Arial" w:cs="Arial"/>
                <w:b/>
                <w:bCs/>
                <w:color w:val="000000"/>
                <w:sz w:val="14"/>
                <w:szCs w:val="14"/>
              </w:rPr>
              <w:t>(1)</w:t>
            </w:r>
          </w:p>
        </w:tc>
        <w:tc>
          <w:tcPr>
            <w:tcW w:w="0" w:type="auto"/>
            <w:shd w:val="clear" w:color="auto" w:fill="CCEEFF"/>
            <w:tcMar>
              <w:top w:w="40" w:type="dxa"/>
              <w:left w:w="0" w:type="dxa"/>
              <w:bottom w:w="40" w:type="dxa"/>
              <w:right w:w="20" w:type="dxa"/>
            </w:tcMar>
            <w:vAlign w:val="bottom"/>
          </w:tcPr>
          <w:p w14:paraId="74DD765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65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7658"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765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65A" w14:textId="77777777" w:rsidR="00584EC1" w:rsidRDefault="00584EC1">
            <w:pPr>
              <w:rPr>
                <w:rFonts w:ascii="宋体"/>
              </w:rPr>
            </w:pPr>
          </w:p>
        </w:tc>
        <w:tc>
          <w:tcPr>
            <w:tcW w:w="0" w:type="auto"/>
            <w:shd w:val="clear" w:color="auto" w:fill="auto"/>
            <w:vAlign w:val="bottom"/>
          </w:tcPr>
          <w:p w14:paraId="74DD765B" w14:textId="77777777" w:rsidR="00584EC1" w:rsidRDefault="00584EC1">
            <w:pPr>
              <w:rPr>
                <w:rFonts w:ascii="宋体"/>
                <w:vanish/>
              </w:rPr>
            </w:pPr>
          </w:p>
        </w:tc>
        <w:tc>
          <w:tcPr>
            <w:tcW w:w="0" w:type="auto"/>
            <w:shd w:val="clear" w:color="auto" w:fill="auto"/>
            <w:vAlign w:val="bottom"/>
          </w:tcPr>
          <w:p w14:paraId="74DD765C" w14:textId="77777777" w:rsidR="00584EC1" w:rsidRDefault="00584EC1">
            <w:pPr>
              <w:rPr>
                <w:rFonts w:ascii="宋体"/>
                <w:vanish/>
              </w:rPr>
            </w:pPr>
          </w:p>
        </w:tc>
        <w:tc>
          <w:tcPr>
            <w:tcW w:w="0" w:type="auto"/>
            <w:gridSpan w:val="3"/>
            <w:shd w:val="clear" w:color="auto" w:fill="CCEEFF"/>
            <w:tcMar>
              <w:top w:w="40" w:type="dxa"/>
              <w:left w:w="20" w:type="dxa"/>
              <w:bottom w:w="40" w:type="dxa"/>
              <w:right w:w="140" w:type="dxa"/>
            </w:tcMar>
            <w:vAlign w:val="bottom"/>
          </w:tcPr>
          <w:p w14:paraId="74DD765D" w14:textId="77777777" w:rsidR="00584EC1" w:rsidRDefault="00871F8D">
            <w:pPr>
              <w:jc w:val="right"/>
              <w:textAlignment w:val="bottom"/>
            </w:pPr>
            <w:r>
              <w:rPr>
                <w:rFonts w:ascii="Arial" w:eastAsia="宋体" w:hAnsi="Arial" w:cs="Arial"/>
                <w:color w:val="000000"/>
                <w:sz w:val="14"/>
                <w:szCs w:val="14"/>
              </w:rPr>
              <w:t>nm</w:t>
            </w:r>
          </w:p>
        </w:tc>
        <w:tc>
          <w:tcPr>
            <w:tcW w:w="0" w:type="auto"/>
            <w:gridSpan w:val="3"/>
            <w:shd w:val="clear" w:color="auto" w:fill="auto"/>
            <w:vAlign w:val="bottom"/>
          </w:tcPr>
          <w:p w14:paraId="74DD765E" w14:textId="77777777" w:rsidR="00584EC1" w:rsidRDefault="00584EC1">
            <w:pPr>
              <w:rPr>
                <w:rFonts w:ascii="宋体"/>
                <w:vanish/>
              </w:rPr>
            </w:pPr>
          </w:p>
        </w:tc>
        <w:tc>
          <w:tcPr>
            <w:tcW w:w="0" w:type="auto"/>
            <w:gridSpan w:val="3"/>
            <w:shd w:val="clear" w:color="auto" w:fill="auto"/>
            <w:vAlign w:val="bottom"/>
          </w:tcPr>
          <w:p w14:paraId="74DD765F" w14:textId="77777777" w:rsidR="00584EC1" w:rsidRDefault="00584EC1">
            <w:pPr>
              <w:rPr>
                <w:rFonts w:ascii="宋体"/>
                <w:vanish/>
              </w:rPr>
            </w:pPr>
          </w:p>
        </w:tc>
        <w:tc>
          <w:tcPr>
            <w:tcW w:w="0" w:type="auto"/>
            <w:gridSpan w:val="3"/>
            <w:shd w:val="clear" w:color="auto" w:fill="auto"/>
            <w:vAlign w:val="bottom"/>
          </w:tcPr>
          <w:p w14:paraId="74DD7660" w14:textId="77777777" w:rsidR="00584EC1" w:rsidRDefault="00584EC1">
            <w:pPr>
              <w:rPr>
                <w:rFonts w:ascii="宋体"/>
                <w:vanish/>
              </w:rPr>
            </w:pPr>
          </w:p>
        </w:tc>
        <w:tc>
          <w:tcPr>
            <w:tcW w:w="0" w:type="auto"/>
            <w:gridSpan w:val="3"/>
            <w:shd w:val="clear" w:color="auto" w:fill="auto"/>
            <w:vAlign w:val="bottom"/>
          </w:tcPr>
          <w:p w14:paraId="74DD7661" w14:textId="77777777" w:rsidR="00584EC1" w:rsidRDefault="00584EC1">
            <w:pPr>
              <w:rPr>
                <w:rFonts w:ascii="宋体"/>
                <w:vanish/>
              </w:rPr>
            </w:pPr>
          </w:p>
        </w:tc>
        <w:tc>
          <w:tcPr>
            <w:tcW w:w="0" w:type="auto"/>
            <w:gridSpan w:val="3"/>
            <w:shd w:val="clear" w:color="auto" w:fill="auto"/>
            <w:vAlign w:val="bottom"/>
          </w:tcPr>
          <w:p w14:paraId="74DD7662" w14:textId="77777777" w:rsidR="00584EC1" w:rsidRDefault="00584EC1">
            <w:pPr>
              <w:rPr>
                <w:rFonts w:ascii="宋体"/>
                <w:vanish/>
              </w:rPr>
            </w:pPr>
          </w:p>
        </w:tc>
        <w:tc>
          <w:tcPr>
            <w:tcW w:w="0" w:type="auto"/>
            <w:gridSpan w:val="3"/>
            <w:shd w:val="clear" w:color="auto" w:fill="auto"/>
            <w:vAlign w:val="bottom"/>
          </w:tcPr>
          <w:p w14:paraId="74DD7663" w14:textId="77777777" w:rsidR="00584EC1" w:rsidRDefault="00584EC1">
            <w:pPr>
              <w:rPr>
                <w:rFonts w:ascii="宋体"/>
                <w:vanish/>
              </w:rPr>
            </w:pPr>
          </w:p>
        </w:tc>
        <w:tc>
          <w:tcPr>
            <w:tcW w:w="0" w:type="auto"/>
            <w:gridSpan w:val="2"/>
            <w:shd w:val="clear" w:color="auto" w:fill="auto"/>
            <w:vAlign w:val="bottom"/>
          </w:tcPr>
          <w:p w14:paraId="74DD7664" w14:textId="77777777" w:rsidR="00584EC1" w:rsidRDefault="00584EC1">
            <w:pPr>
              <w:rPr>
                <w:rFonts w:ascii="宋体"/>
                <w:vanish/>
              </w:rPr>
            </w:pPr>
          </w:p>
        </w:tc>
        <w:tc>
          <w:tcPr>
            <w:tcW w:w="0" w:type="auto"/>
            <w:shd w:val="clear" w:color="auto" w:fill="auto"/>
            <w:vAlign w:val="bottom"/>
          </w:tcPr>
          <w:p w14:paraId="74DD7665" w14:textId="77777777" w:rsidR="00584EC1" w:rsidRDefault="00584EC1">
            <w:pPr>
              <w:rPr>
                <w:rFonts w:ascii="宋体"/>
                <w:vanish/>
              </w:rPr>
            </w:pPr>
          </w:p>
        </w:tc>
      </w:tr>
      <w:tr w:rsidR="00584EC1" w14:paraId="74DD7680" w14:textId="77777777">
        <w:tc>
          <w:tcPr>
            <w:tcW w:w="0" w:type="auto"/>
            <w:gridSpan w:val="3"/>
            <w:shd w:val="clear" w:color="auto" w:fill="FFFFFF"/>
            <w:tcMar>
              <w:top w:w="40" w:type="dxa"/>
              <w:left w:w="20" w:type="dxa"/>
              <w:bottom w:w="40" w:type="dxa"/>
              <w:right w:w="20" w:type="dxa"/>
            </w:tcMar>
            <w:vAlign w:val="bottom"/>
          </w:tcPr>
          <w:p w14:paraId="74DD7667" w14:textId="77777777" w:rsidR="00584EC1" w:rsidRDefault="00871F8D">
            <w:pPr>
              <w:textAlignment w:val="bottom"/>
            </w:pPr>
            <w:r>
              <w:rPr>
                <w:rFonts w:ascii="Arial" w:eastAsia="宋体" w:hAnsi="Arial" w:cs="Arial"/>
                <w:b/>
                <w:bCs/>
                <w:color w:val="000000"/>
                <w:sz w:val="14"/>
                <w:szCs w:val="14"/>
              </w:rPr>
              <w:t>Total revenue</w:t>
            </w:r>
          </w:p>
        </w:tc>
        <w:tc>
          <w:tcPr>
            <w:tcW w:w="0" w:type="auto"/>
            <w:shd w:val="clear" w:color="auto" w:fill="auto"/>
            <w:vAlign w:val="bottom"/>
          </w:tcPr>
          <w:p w14:paraId="74DD7668" w14:textId="77777777" w:rsidR="00584EC1" w:rsidRDefault="00584EC1">
            <w:pPr>
              <w:rPr>
                <w:rFonts w:ascii="宋体"/>
                <w:vanish/>
              </w:rPr>
            </w:pPr>
          </w:p>
        </w:tc>
        <w:tc>
          <w:tcPr>
            <w:tcW w:w="0" w:type="auto"/>
            <w:shd w:val="clear" w:color="auto" w:fill="auto"/>
            <w:vAlign w:val="bottom"/>
          </w:tcPr>
          <w:p w14:paraId="74DD7669" w14:textId="77777777" w:rsidR="00584EC1" w:rsidRDefault="00584EC1">
            <w:pPr>
              <w:rPr>
                <w:rFonts w:ascii="宋体"/>
                <w:vanish/>
              </w:rPr>
            </w:pPr>
          </w:p>
        </w:tc>
        <w:tc>
          <w:tcPr>
            <w:tcW w:w="0" w:type="auto"/>
            <w:shd w:val="clear" w:color="auto" w:fill="auto"/>
            <w:vAlign w:val="bottom"/>
          </w:tcPr>
          <w:p w14:paraId="74DD766A" w14:textId="77777777" w:rsidR="00584EC1" w:rsidRDefault="00584EC1">
            <w:pPr>
              <w:rPr>
                <w:rFonts w:ascii="宋体"/>
                <w:vanish/>
              </w:rPr>
            </w:pPr>
          </w:p>
        </w:tc>
        <w:tc>
          <w:tcPr>
            <w:tcW w:w="0" w:type="auto"/>
            <w:shd w:val="clear" w:color="auto" w:fill="auto"/>
            <w:vAlign w:val="bottom"/>
          </w:tcPr>
          <w:p w14:paraId="74DD766B" w14:textId="77777777" w:rsidR="00584EC1" w:rsidRDefault="00584EC1">
            <w:pPr>
              <w:rPr>
                <w:rFonts w:ascii="宋体"/>
                <w:vanish/>
              </w:rPr>
            </w:pPr>
          </w:p>
        </w:tc>
        <w:tc>
          <w:tcPr>
            <w:tcW w:w="0" w:type="auto"/>
            <w:shd w:val="clear" w:color="auto" w:fill="auto"/>
            <w:vAlign w:val="bottom"/>
          </w:tcPr>
          <w:p w14:paraId="74DD766C" w14:textId="77777777" w:rsidR="00584EC1" w:rsidRDefault="00584EC1">
            <w:pPr>
              <w:rPr>
                <w:rFonts w:ascii="宋体"/>
                <w:vanish/>
              </w:rPr>
            </w:pPr>
          </w:p>
        </w:tc>
        <w:tc>
          <w:tcPr>
            <w:tcW w:w="0" w:type="auto"/>
            <w:shd w:val="clear" w:color="auto" w:fill="auto"/>
            <w:vAlign w:val="bottom"/>
          </w:tcPr>
          <w:p w14:paraId="74DD766D" w14:textId="77777777" w:rsidR="00584EC1" w:rsidRDefault="00584EC1">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766E" w14:textId="77777777" w:rsidR="00584EC1" w:rsidRDefault="00871F8D">
            <w:pPr>
              <w:jc w:val="right"/>
              <w:textAlignment w:val="bottom"/>
            </w:pPr>
            <w:r>
              <w:rPr>
                <w:rFonts w:ascii="Arial" w:eastAsia="宋体" w:hAnsi="Arial" w:cs="Arial"/>
                <w:b/>
                <w:bCs/>
                <w:color w:val="000000"/>
                <w:sz w:val="14"/>
                <w:szCs w:val="14"/>
              </w:rPr>
              <w:t>2,458</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766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670"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7671" w14:textId="77777777" w:rsidR="00584EC1" w:rsidRDefault="00871F8D">
            <w:pPr>
              <w:jc w:val="right"/>
              <w:textAlignment w:val="bottom"/>
            </w:pPr>
            <w:r>
              <w:rPr>
                <w:rFonts w:ascii="Arial" w:eastAsia="宋体" w:hAnsi="Arial" w:cs="Arial"/>
                <w:color w:val="000000"/>
                <w:sz w:val="14"/>
                <w:szCs w:val="14"/>
              </w:rPr>
              <w:t>2,278 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767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673" w14:textId="77777777" w:rsidR="00584EC1" w:rsidRDefault="00584EC1">
            <w:pPr>
              <w:rPr>
                <w:rFonts w:ascii="宋体"/>
              </w:rPr>
            </w:pPr>
          </w:p>
        </w:tc>
        <w:tc>
          <w:tcPr>
            <w:tcW w:w="0" w:type="auto"/>
            <w:shd w:val="clear" w:color="auto" w:fill="auto"/>
            <w:vAlign w:val="bottom"/>
          </w:tcPr>
          <w:p w14:paraId="74DD7674" w14:textId="77777777" w:rsidR="00584EC1" w:rsidRDefault="00584EC1">
            <w:pPr>
              <w:rPr>
                <w:rFonts w:ascii="宋体"/>
                <w:vanish/>
              </w:rPr>
            </w:pPr>
          </w:p>
        </w:tc>
        <w:tc>
          <w:tcPr>
            <w:tcW w:w="0" w:type="auto"/>
            <w:shd w:val="clear" w:color="auto" w:fill="auto"/>
            <w:vAlign w:val="bottom"/>
          </w:tcPr>
          <w:p w14:paraId="74DD7675"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D7676" w14:textId="77777777" w:rsidR="00584EC1" w:rsidRDefault="00871F8D">
            <w:pPr>
              <w:jc w:val="right"/>
              <w:textAlignment w:val="bottom"/>
            </w:pPr>
            <w:r>
              <w:rPr>
                <w:rFonts w:ascii="Arial" w:eastAsia="宋体" w:hAnsi="Arial" w:cs="Arial"/>
                <w:color w:val="000000"/>
                <w:sz w:val="14"/>
                <w:szCs w:val="14"/>
              </w:rPr>
              <w:t>8 </w:t>
            </w:r>
          </w:p>
        </w:tc>
        <w:tc>
          <w:tcPr>
            <w:tcW w:w="0" w:type="auto"/>
            <w:shd w:val="clear" w:color="auto" w:fill="FFFFFF"/>
            <w:tcMar>
              <w:top w:w="40" w:type="dxa"/>
              <w:left w:w="0" w:type="dxa"/>
              <w:bottom w:w="40" w:type="dxa"/>
              <w:right w:w="20" w:type="dxa"/>
            </w:tcMar>
            <w:vAlign w:val="bottom"/>
          </w:tcPr>
          <w:p w14:paraId="74DD7677" w14:textId="77777777" w:rsidR="00584EC1" w:rsidRDefault="00584EC1">
            <w:pPr>
              <w:jc w:val="right"/>
              <w:rPr>
                <w:rFonts w:ascii="宋体"/>
              </w:rPr>
            </w:pPr>
          </w:p>
        </w:tc>
        <w:tc>
          <w:tcPr>
            <w:tcW w:w="0" w:type="auto"/>
            <w:gridSpan w:val="3"/>
            <w:shd w:val="clear" w:color="auto" w:fill="auto"/>
            <w:vAlign w:val="bottom"/>
          </w:tcPr>
          <w:p w14:paraId="74DD7678" w14:textId="77777777" w:rsidR="00584EC1" w:rsidRDefault="00584EC1">
            <w:pPr>
              <w:rPr>
                <w:rFonts w:ascii="宋体"/>
                <w:vanish/>
              </w:rPr>
            </w:pPr>
          </w:p>
        </w:tc>
        <w:tc>
          <w:tcPr>
            <w:tcW w:w="0" w:type="auto"/>
            <w:gridSpan w:val="3"/>
            <w:shd w:val="clear" w:color="auto" w:fill="auto"/>
            <w:vAlign w:val="bottom"/>
          </w:tcPr>
          <w:p w14:paraId="74DD7679" w14:textId="77777777" w:rsidR="00584EC1" w:rsidRDefault="00584EC1">
            <w:pPr>
              <w:rPr>
                <w:rFonts w:ascii="宋体"/>
                <w:vanish/>
              </w:rPr>
            </w:pPr>
          </w:p>
        </w:tc>
        <w:tc>
          <w:tcPr>
            <w:tcW w:w="0" w:type="auto"/>
            <w:gridSpan w:val="3"/>
            <w:shd w:val="clear" w:color="auto" w:fill="auto"/>
            <w:vAlign w:val="bottom"/>
          </w:tcPr>
          <w:p w14:paraId="74DD767A" w14:textId="77777777" w:rsidR="00584EC1" w:rsidRDefault="00584EC1">
            <w:pPr>
              <w:rPr>
                <w:rFonts w:ascii="宋体"/>
                <w:vanish/>
              </w:rPr>
            </w:pPr>
          </w:p>
        </w:tc>
        <w:tc>
          <w:tcPr>
            <w:tcW w:w="0" w:type="auto"/>
            <w:gridSpan w:val="3"/>
            <w:shd w:val="clear" w:color="auto" w:fill="auto"/>
            <w:vAlign w:val="bottom"/>
          </w:tcPr>
          <w:p w14:paraId="74DD767B" w14:textId="77777777" w:rsidR="00584EC1" w:rsidRDefault="00584EC1">
            <w:pPr>
              <w:rPr>
                <w:rFonts w:ascii="宋体"/>
                <w:vanish/>
              </w:rPr>
            </w:pPr>
          </w:p>
        </w:tc>
        <w:tc>
          <w:tcPr>
            <w:tcW w:w="0" w:type="auto"/>
            <w:gridSpan w:val="3"/>
            <w:shd w:val="clear" w:color="auto" w:fill="auto"/>
            <w:vAlign w:val="bottom"/>
          </w:tcPr>
          <w:p w14:paraId="74DD767C" w14:textId="77777777" w:rsidR="00584EC1" w:rsidRDefault="00584EC1">
            <w:pPr>
              <w:rPr>
                <w:rFonts w:ascii="宋体"/>
                <w:vanish/>
              </w:rPr>
            </w:pPr>
          </w:p>
        </w:tc>
        <w:tc>
          <w:tcPr>
            <w:tcW w:w="0" w:type="auto"/>
            <w:gridSpan w:val="3"/>
            <w:shd w:val="clear" w:color="auto" w:fill="auto"/>
            <w:vAlign w:val="bottom"/>
          </w:tcPr>
          <w:p w14:paraId="74DD767D" w14:textId="77777777" w:rsidR="00584EC1" w:rsidRDefault="00584EC1">
            <w:pPr>
              <w:rPr>
                <w:rFonts w:ascii="宋体"/>
                <w:vanish/>
              </w:rPr>
            </w:pPr>
          </w:p>
        </w:tc>
        <w:tc>
          <w:tcPr>
            <w:tcW w:w="0" w:type="auto"/>
            <w:gridSpan w:val="2"/>
            <w:shd w:val="clear" w:color="auto" w:fill="auto"/>
            <w:vAlign w:val="bottom"/>
          </w:tcPr>
          <w:p w14:paraId="74DD767E" w14:textId="77777777" w:rsidR="00584EC1" w:rsidRDefault="00584EC1">
            <w:pPr>
              <w:rPr>
                <w:rFonts w:ascii="宋体"/>
                <w:vanish/>
              </w:rPr>
            </w:pPr>
          </w:p>
        </w:tc>
        <w:tc>
          <w:tcPr>
            <w:tcW w:w="0" w:type="auto"/>
            <w:shd w:val="clear" w:color="auto" w:fill="auto"/>
            <w:vAlign w:val="bottom"/>
          </w:tcPr>
          <w:p w14:paraId="74DD767F" w14:textId="77777777" w:rsidR="00584EC1" w:rsidRDefault="00584EC1">
            <w:pPr>
              <w:rPr>
                <w:rFonts w:ascii="宋体"/>
                <w:vanish/>
              </w:rPr>
            </w:pPr>
          </w:p>
        </w:tc>
      </w:tr>
      <w:tr w:rsidR="00584EC1" w14:paraId="74DD7699" w14:textId="77777777">
        <w:tc>
          <w:tcPr>
            <w:tcW w:w="0" w:type="auto"/>
            <w:gridSpan w:val="3"/>
            <w:shd w:val="clear" w:color="auto" w:fill="CCEEFF"/>
            <w:tcMar>
              <w:top w:w="40" w:type="dxa"/>
              <w:left w:w="20" w:type="dxa"/>
              <w:bottom w:w="40" w:type="dxa"/>
              <w:right w:w="20" w:type="dxa"/>
            </w:tcMar>
            <w:vAlign w:val="bottom"/>
          </w:tcPr>
          <w:p w14:paraId="74DD7681" w14:textId="77777777" w:rsidR="00584EC1" w:rsidRDefault="00871F8D">
            <w:pPr>
              <w:textAlignment w:val="bottom"/>
            </w:pPr>
            <w:r>
              <w:rPr>
                <w:rFonts w:ascii="Arial" w:eastAsia="宋体" w:hAnsi="Arial" w:cs="Arial"/>
                <w:color w:val="000000"/>
                <w:sz w:val="14"/>
                <w:szCs w:val="14"/>
              </w:rPr>
              <w:t>Provision for credit losses</w:t>
            </w:r>
          </w:p>
        </w:tc>
        <w:tc>
          <w:tcPr>
            <w:tcW w:w="0" w:type="auto"/>
            <w:shd w:val="clear" w:color="auto" w:fill="auto"/>
            <w:vAlign w:val="bottom"/>
          </w:tcPr>
          <w:p w14:paraId="74DD7682" w14:textId="77777777" w:rsidR="00584EC1" w:rsidRDefault="00584EC1">
            <w:pPr>
              <w:rPr>
                <w:rFonts w:ascii="宋体"/>
                <w:vanish/>
              </w:rPr>
            </w:pPr>
          </w:p>
        </w:tc>
        <w:tc>
          <w:tcPr>
            <w:tcW w:w="0" w:type="auto"/>
            <w:shd w:val="clear" w:color="auto" w:fill="auto"/>
            <w:vAlign w:val="bottom"/>
          </w:tcPr>
          <w:p w14:paraId="74DD7683" w14:textId="77777777" w:rsidR="00584EC1" w:rsidRDefault="00584EC1">
            <w:pPr>
              <w:rPr>
                <w:rFonts w:ascii="宋体"/>
                <w:vanish/>
              </w:rPr>
            </w:pPr>
          </w:p>
        </w:tc>
        <w:tc>
          <w:tcPr>
            <w:tcW w:w="0" w:type="auto"/>
            <w:shd w:val="clear" w:color="auto" w:fill="auto"/>
            <w:vAlign w:val="bottom"/>
          </w:tcPr>
          <w:p w14:paraId="74DD7684" w14:textId="77777777" w:rsidR="00584EC1" w:rsidRDefault="00584EC1">
            <w:pPr>
              <w:rPr>
                <w:rFonts w:ascii="宋体"/>
                <w:vanish/>
              </w:rPr>
            </w:pPr>
          </w:p>
        </w:tc>
        <w:tc>
          <w:tcPr>
            <w:tcW w:w="0" w:type="auto"/>
            <w:shd w:val="clear" w:color="auto" w:fill="auto"/>
            <w:vAlign w:val="bottom"/>
          </w:tcPr>
          <w:p w14:paraId="74DD7685" w14:textId="77777777" w:rsidR="00584EC1" w:rsidRDefault="00584EC1">
            <w:pPr>
              <w:rPr>
                <w:rFonts w:ascii="宋体"/>
                <w:vanish/>
              </w:rPr>
            </w:pPr>
          </w:p>
        </w:tc>
        <w:tc>
          <w:tcPr>
            <w:tcW w:w="0" w:type="auto"/>
            <w:shd w:val="clear" w:color="auto" w:fill="auto"/>
            <w:vAlign w:val="bottom"/>
          </w:tcPr>
          <w:p w14:paraId="74DD7686" w14:textId="77777777" w:rsidR="00584EC1" w:rsidRDefault="00584EC1">
            <w:pPr>
              <w:rPr>
                <w:rFonts w:ascii="宋体"/>
                <w:vanish/>
              </w:rPr>
            </w:pPr>
          </w:p>
        </w:tc>
        <w:tc>
          <w:tcPr>
            <w:tcW w:w="0" w:type="auto"/>
            <w:shd w:val="clear" w:color="auto" w:fill="auto"/>
            <w:vAlign w:val="bottom"/>
          </w:tcPr>
          <w:p w14:paraId="74DD7687" w14:textId="77777777" w:rsidR="00584EC1" w:rsidRDefault="00584EC1">
            <w:pPr>
              <w:rPr>
                <w:rFonts w:ascii="宋体"/>
                <w:vanish/>
              </w:rPr>
            </w:pPr>
          </w:p>
        </w:tc>
        <w:tc>
          <w:tcPr>
            <w:tcW w:w="0" w:type="auto"/>
            <w:gridSpan w:val="2"/>
            <w:shd w:val="clear" w:color="auto" w:fill="CCEEFF"/>
            <w:tcMar>
              <w:top w:w="40" w:type="dxa"/>
              <w:left w:w="20" w:type="dxa"/>
              <w:bottom w:w="40" w:type="dxa"/>
              <w:right w:w="0" w:type="dxa"/>
            </w:tcMar>
            <w:vAlign w:val="bottom"/>
          </w:tcPr>
          <w:p w14:paraId="74DD7688" w14:textId="77777777" w:rsidR="00584EC1" w:rsidRDefault="00871F8D">
            <w:pPr>
              <w:jc w:val="right"/>
              <w:textAlignment w:val="bottom"/>
            </w:pPr>
            <w:r>
              <w:rPr>
                <w:rFonts w:ascii="Arial" w:eastAsia="宋体" w:hAnsi="Arial" w:cs="Arial"/>
                <w:b/>
                <w:bCs/>
                <w:color w:val="000000"/>
                <w:sz w:val="14"/>
                <w:szCs w:val="14"/>
              </w:rPr>
              <w:t>(2)</w:t>
            </w:r>
          </w:p>
        </w:tc>
        <w:tc>
          <w:tcPr>
            <w:tcW w:w="0" w:type="auto"/>
            <w:shd w:val="clear" w:color="auto" w:fill="CCEEFF"/>
            <w:tcMar>
              <w:top w:w="40" w:type="dxa"/>
              <w:left w:w="0" w:type="dxa"/>
              <w:bottom w:w="40" w:type="dxa"/>
              <w:right w:w="20" w:type="dxa"/>
            </w:tcMar>
            <w:vAlign w:val="bottom"/>
          </w:tcPr>
          <w:p w14:paraId="74DD768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68A"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768B"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768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68D" w14:textId="77777777" w:rsidR="00584EC1" w:rsidRDefault="00584EC1">
            <w:pPr>
              <w:rPr>
                <w:rFonts w:ascii="宋体"/>
              </w:rPr>
            </w:pPr>
          </w:p>
        </w:tc>
        <w:tc>
          <w:tcPr>
            <w:tcW w:w="0" w:type="auto"/>
            <w:shd w:val="clear" w:color="auto" w:fill="auto"/>
            <w:vAlign w:val="bottom"/>
          </w:tcPr>
          <w:p w14:paraId="74DD768E" w14:textId="77777777" w:rsidR="00584EC1" w:rsidRDefault="00584EC1">
            <w:pPr>
              <w:rPr>
                <w:rFonts w:ascii="宋体"/>
                <w:vanish/>
              </w:rPr>
            </w:pPr>
          </w:p>
        </w:tc>
        <w:tc>
          <w:tcPr>
            <w:tcW w:w="0" w:type="auto"/>
            <w:shd w:val="clear" w:color="auto" w:fill="auto"/>
            <w:vAlign w:val="bottom"/>
          </w:tcPr>
          <w:p w14:paraId="74DD768F" w14:textId="77777777" w:rsidR="00584EC1" w:rsidRDefault="00584EC1">
            <w:pPr>
              <w:rPr>
                <w:rFonts w:ascii="宋体"/>
                <w:vanish/>
              </w:rPr>
            </w:pPr>
          </w:p>
        </w:tc>
        <w:tc>
          <w:tcPr>
            <w:tcW w:w="0" w:type="auto"/>
            <w:gridSpan w:val="3"/>
            <w:shd w:val="clear" w:color="auto" w:fill="CCEEFF"/>
            <w:tcMar>
              <w:top w:w="40" w:type="dxa"/>
              <w:left w:w="20" w:type="dxa"/>
              <w:bottom w:w="40" w:type="dxa"/>
              <w:right w:w="140" w:type="dxa"/>
            </w:tcMar>
            <w:vAlign w:val="bottom"/>
          </w:tcPr>
          <w:p w14:paraId="74DD7690" w14:textId="77777777" w:rsidR="00584EC1" w:rsidRDefault="00871F8D">
            <w:pPr>
              <w:jc w:val="right"/>
              <w:textAlignment w:val="bottom"/>
            </w:pPr>
            <w:r>
              <w:rPr>
                <w:rFonts w:ascii="Arial" w:eastAsia="宋体" w:hAnsi="Arial" w:cs="Arial"/>
                <w:color w:val="000000"/>
                <w:sz w:val="14"/>
                <w:szCs w:val="14"/>
              </w:rPr>
              <w:t>nm</w:t>
            </w:r>
          </w:p>
        </w:tc>
        <w:tc>
          <w:tcPr>
            <w:tcW w:w="0" w:type="auto"/>
            <w:gridSpan w:val="3"/>
            <w:shd w:val="clear" w:color="auto" w:fill="auto"/>
            <w:vAlign w:val="bottom"/>
          </w:tcPr>
          <w:p w14:paraId="74DD7691" w14:textId="77777777" w:rsidR="00584EC1" w:rsidRDefault="00584EC1">
            <w:pPr>
              <w:rPr>
                <w:rFonts w:ascii="宋体"/>
                <w:vanish/>
              </w:rPr>
            </w:pPr>
          </w:p>
        </w:tc>
        <w:tc>
          <w:tcPr>
            <w:tcW w:w="0" w:type="auto"/>
            <w:gridSpan w:val="3"/>
            <w:shd w:val="clear" w:color="auto" w:fill="auto"/>
            <w:vAlign w:val="bottom"/>
          </w:tcPr>
          <w:p w14:paraId="74DD7692" w14:textId="77777777" w:rsidR="00584EC1" w:rsidRDefault="00584EC1">
            <w:pPr>
              <w:rPr>
                <w:rFonts w:ascii="宋体"/>
                <w:vanish/>
              </w:rPr>
            </w:pPr>
          </w:p>
        </w:tc>
        <w:tc>
          <w:tcPr>
            <w:tcW w:w="0" w:type="auto"/>
            <w:gridSpan w:val="3"/>
            <w:shd w:val="clear" w:color="auto" w:fill="auto"/>
            <w:vAlign w:val="bottom"/>
          </w:tcPr>
          <w:p w14:paraId="74DD7693" w14:textId="77777777" w:rsidR="00584EC1" w:rsidRDefault="00584EC1">
            <w:pPr>
              <w:rPr>
                <w:rFonts w:ascii="宋体"/>
                <w:vanish/>
              </w:rPr>
            </w:pPr>
          </w:p>
        </w:tc>
        <w:tc>
          <w:tcPr>
            <w:tcW w:w="0" w:type="auto"/>
            <w:gridSpan w:val="3"/>
            <w:shd w:val="clear" w:color="auto" w:fill="auto"/>
            <w:vAlign w:val="bottom"/>
          </w:tcPr>
          <w:p w14:paraId="74DD7694" w14:textId="77777777" w:rsidR="00584EC1" w:rsidRDefault="00584EC1">
            <w:pPr>
              <w:rPr>
                <w:rFonts w:ascii="宋体"/>
                <w:vanish/>
              </w:rPr>
            </w:pPr>
          </w:p>
        </w:tc>
        <w:tc>
          <w:tcPr>
            <w:tcW w:w="0" w:type="auto"/>
            <w:gridSpan w:val="3"/>
            <w:shd w:val="clear" w:color="auto" w:fill="auto"/>
            <w:vAlign w:val="bottom"/>
          </w:tcPr>
          <w:p w14:paraId="74DD7695" w14:textId="77777777" w:rsidR="00584EC1" w:rsidRDefault="00584EC1">
            <w:pPr>
              <w:rPr>
                <w:rFonts w:ascii="宋体"/>
                <w:vanish/>
              </w:rPr>
            </w:pPr>
          </w:p>
        </w:tc>
        <w:tc>
          <w:tcPr>
            <w:tcW w:w="0" w:type="auto"/>
            <w:gridSpan w:val="3"/>
            <w:shd w:val="clear" w:color="auto" w:fill="auto"/>
            <w:vAlign w:val="bottom"/>
          </w:tcPr>
          <w:p w14:paraId="74DD7696" w14:textId="77777777" w:rsidR="00584EC1" w:rsidRDefault="00584EC1">
            <w:pPr>
              <w:rPr>
                <w:rFonts w:ascii="宋体"/>
                <w:vanish/>
              </w:rPr>
            </w:pPr>
          </w:p>
        </w:tc>
        <w:tc>
          <w:tcPr>
            <w:tcW w:w="0" w:type="auto"/>
            <w:gridSpan w:val="2"/>
            <w:shd w:val="clear" w:color="auto" w:fill="auto"/>
            <w:vAlign w:val="bottom"/>
          </w:tcPr>
          <w:p w14:paraId="74DD7697" w14:textId="77777777" w:rsidR="00584EC1" w:rsidRDefault="00584EC1">
            <w:pPr>
              <w:rPr>
                <w:rFonts w:ascii="宋体"/>
                <w:vanish/>
              </w:rPr>
            </w:pPr>
          </w:p>
        </w:tc>
        <w:tc>
          <w:tcPr>
            <w:tcW w:w="0" w:type="auto"/>
            <w:shd w:val="clear" w:color="auto" w:fill="auto"/>
            <w:vAlign w:val="bottom"/>
          </w:tcPr>
          <w:p w14:paraId="74DD7698" w14:textId="77777777" w:rsidR="00584EC1" w:rsidRDefault="00584EC1">
            <w:pPr>
              <w:rPr>
                <w:rFonts w:ascii="宋体"/>
                <w:vanish/>
              </w:rPr>
            </w:pPr>
          </w:p>
        </w:tc>
      </w:tr>
      <w:tr w:rsidR="00584EC1" w14:paraId="74DD76B3" w14:textId="77777777">
        <w:tc>
          <w:tcPr>
            <w:tcW w:w="0" w:type="auto"/>
            <w:gridSpan w:val="3"/>
            <w:shd w:val="clear" w:color="auto" w:fill="FFFFFF"/>
            <w:tcMar>
              <w:top w:w="40" w:type="dxa"/>
              <w:left w:w="20" w:type="dxa"/>
              <w:bottom w:w="40" w:type="dxa"/>
              <w:right w:w="20" w:type="dxa"/>
            </w:tcMar>
            <w:vAlign w:val="bottom"/>
          </w:tcPr>
          <w:p w14:paraId="74DD769A" w14:textId="77777777" w:rsidR="00584EC1" w:rsidRDefault="00871F8D">
            <w:pPr>
              <w:textAlignment w:val="bottom"/>
            </w:pPr>
            <w:r>
              <w:rPr>
                <w:rFonts w:ascii="Arial" w:eastAsia="宋体" w:hAnsi="Arial" w:cs="Arial"/>
                <w:b/>
                <w:bCs/>
                <w:color w:val="000000"/>
                <w:sz w:val="14"/>
                <w:szCs w:val="14"/>
              </w:rPr>
              <w:t>Total expenses</w:t>
            </w:r>
          </w:p>
        </w:tc>
        <w:tc>
          <w:tcPr>
            <w:tcW w:w="0" w:type="auto"/>
            <w:shd w:val="clear" w:color="auto" w:fill="auto"/>
            <w:vAlign w:val="bottom"/>
          </w:tcPr>
          <w:p w14:paraId="74DD769B" w14:textId="77777777" w:rsidR="00584EC1" w:rsidRDefault="00584EC1">
            <w:pPr>
              <w:rPr>
                <w:rFonts w:ascii="宋体"/>
                <w:vanish/>
              </w:rPr>
            </w:pPr>
          </w:p>
        </w:tc>
        <w:tc>
          <w:tcPr>
            <w:tcW w:w="0" w:type="auto"/>
            <w:shd w:val="clear" w:color="auto" w:fill="auto"/>
            <w:vAlign w:val="bottom"/>
          </w:tcPr>
          <w:p w14:paraId="74DD769C" w14:textId="77777777" w:rsidR="00584EC1" w:rsidRDefault="00584EC1">
            <w:pPr>
              <w:rPr>
                <w:rFonts w:ascii="宋体"/>
                <w:vanish/>
              </w:rPr>
            </w:pPr>
          </w:p>
        </w:tc>
        <w:tc>
          <w:tcPr>
            <w:tcW w:w="0" w:type="auto"/>
            <w:shd w:val="clear" w:color="auto" w:fill="auto"/>
            <w:vAlign w:val="bottom"/>
          </w:tcPr>
          <w:p w14:paraId="74DD769D" w14:textId="77777777" w:rsidR="00584EC1" w:rsidRDefault="00584EC1">
            <w:pPr>
              <w:rPr>
                <w:rFonts w:ascii="宋体"/>
                <w:vanish/>
              </w:rPr>
            </w:pPr>
          </w:p>
        </w:tc>
        <w:tc>
          <w:tcPr>
            <w:tcW w:w="0" w:type="auto"/>
            <w:shd w:val="clear" w:color="auto" w:fill="auto"/>
            <w:vAlign w:val="bottom"/>
          </w:tcPr>
          <w:p w14:paraId="74DD769E" w14:textId="77777777" w:rsidR="00584EC1" w:rsidRDefault="00584EC1">
            <w:pPr>
              <w:rPr>
                <w:rFonts w:ascii="宋体"/>
                <w:vanish/>
              </w:rPr>
            </w:pPr>
          </w:p>
        </w:tc>
        <w:tc>
          <w:tcPr>
            <w:tcW w:w="0" w:type="auto"/>
            <w:shd w:val="clear" w:color="auto" w:fill="auto"/>
            <w:vAlign w:val="bottom"/>
          </w:tcPr>
          <w:p w14:paraId="74DD769F" w14:textId="77777777" w:rsidR="00584EC1" w:rsidRDefault="00584EC1">
            <w:pPr>
              <w:rPr>
                <w:rFonts w:ascii="宋体"/>
                <w:vanish/>
              </w:rPr>
            </w:pPr>
          </w:p>
        </w:tc>
        <w:tc>
          <w:tcPr>
            <w:tcW w:w="0" w:type="auto"/>
            <w:shd w:val="clear" w:color="auto" w:fill="auto"/>
            <w:vAlign w:val="bottom"/>
          </w:tcPr>
          <w:p w14:paraId="74DD76A0"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D76A1" w14:textId="77777777" w:rsidR="00584EC1" w:rsidRDefault="00871F8D">
            <w:pPr>
              <w:jc w:val="right"/>
              <w:textAlignment w:val="bottom"/>
            </w:pPr>
            <w:r>
              <w:rPr>
                <w:rFonts w:ascii="Arial" w:eastAsia="宋体" w:hAnsi="Arial" w:cs="Arial"/>
                <w:b/>
                <w:bCs/>
                <w:color w:val="000000"/>
                <w:sz w:val="14"/>
                <w:szCs w:val="14"/>
              </w:rPr>
              <w:t>1,755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76A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6A3" w14:textId="77777777" w:rsidR="00584EC1" w:rsidRDefault="00584EC1">
            <w:pPr>
              <w:rPr>
                <w:rFonts w:ascii="宋体"/>
              </w:rPr>
            </w:pPr>
          </w:p>
        </w:tc>
        <w:tc>
          <w:tcPr>
            <w:tcW w:w="0" w:type="auto"/>
            <w:gridSpan w:val="2"/>
            <w:shd w:val="clear" w:color="auto" w:fill="auto"/>
            <w:tcMar>
              <w:top w:w="40" w:type="dxa"/>
              <w:left w:w="20" w:type="dxa"/>
              <w:bottom w:w="40" w:type="dxa"/>
              <w:right w:w="0" w:type="dxa"/>
            </w:tcMar>
            <w:vAlign w:val="bottom"/>
          </w:tcPr>
          <w:p w14:paraId="74DD76A4" w14:textId="77777777" w:rsidR="00584EC1" w:rsidRDefault="00871F8D">
            <w:pPr>
              <w:jc w:val="right"/>
              <w:textAlignment w:val="bottom"/>
            </w:pPr>
            <w:r>
              <w:rPr>
                <w:rFonts w:ascii="Arial" w:eastAsia="宋体" w:hAnsi="Arial" w:cs="Arial"/>
                <w:color w:val="000000"/>
                <w:sz w:val="14"/>
                <w:szCs w:val="14"/>
              </w:rPr>
              <w:t>1,739 </w:t>
            </w:r>
          </w:p>
        </w:tc>
        <w:tc>
          <w:tcPr>
            <w:tcW w:w="0" w:type="auto"/>
            <w:shd w:val="clear" w:color="auto" w:fill="auto"/>
            <w:tcMar>
              <w:top w:w="40" w:type="dxa"/>
              <w:left w:w="0" w:type="dxa"/>
              <w:bottom w:w="40" w:type="dxa"/>
              <w:right w:w="20" w:type="dxa"/>
            </w:tcMar>
            <w:vAlign w:val="bottom"/>
          </w:tcPr>
          <w:p w14:paraId="74DD76A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6A6" w14:textId="77777777" w:rsidR="00584EC1" w:rsidRDefault="00584EC1">
            <w:pPr>
              <w:rPr>
                <w:rFonts w:ascii="宋体"/>
              </w:rPr>
            </w:pPr>
          </w:p>
        </w:tc>
        <w:tc>
          <w:tcPr>
            <w:tcW w:w="0" w:type="auto"/>
            <w:shd w:val="clear" w:color="auto" w:fill="auto"/>
            <w:vAlign w:val="bottom"/>
          </w:tcPr>
          <w:p w14:paraId="74DD76A7" w14:textId="77777777" w:rsidR="00584EC1" w:rsidRDefault="00584EC1">
            <w:pPr>
              <w:rPr>
                <w:rFonts w:ascii="宋体"/>
                <w:vanish/>
              </w:rPr>
            </w:pPr>
          </w:p>
        </w:tc>
        <w:tc>
          <w:tcPr>
            <w:tcW w:w="0" w:type="auto"/>
            <w:shd w:val="clear" w:color="auto" w:fill="auto"/>
            <w:vAlign w:val="bottom"/>
          </w:tcPr>
          <w:p w14:paraId="74DD76A8"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D76A9" w14:textId="77777777" w:rsidR="00584EC1" w:rsidRDefault="00871F8D">
            <w:pPr>
              <w:jc w:val="right"/>
              <w:textAlignment w:val="bottom"/>
            </w:pPr>
            <w:r>
              <w:rPr>
                <w:rFonts w:ascii="Arial" w:eastAsia="宋体" w:hAnsi="Arial" w:cs="Arial"/>
                <w:color w:val="000000"/>
                <w:sz w:val="14"/>
                <w:szCs w:val="14"/>
              </w:rPr>
              <w:t>1 </w:t>
            </w:r>
          </w:p>
        </w:tc>
        <w:tc>
          <w:tcPr>
            <w:tcW w:w="0" w:type="auto"/>
            <w:shd w:val="clear" w:color="auto" w:fill="FFFFFF"/>
            <w:tcMar>
              <w:top w:w="40" w:type="dxa"/>
              <w:left w:w="0" w:type="dxa"/>
              <w:bottom w:w="40" w:type="dxa"/>
              <w:right w:w="20" w:type="dxa"/>
            </w:tcMar>
            <w:vAlign w:val="bottom"/>
          </w:tcPr>
          <w:p w14:paraId="74DD76AA" w14:textId="77777777" w:rsidR="00584EC1" w:rsidRDefault="00584EC1">
            <w:pPr>
              <w:jc w:val="right"/>
              <w:rPr>
                <w:rFonts w:ascii="宋体"/>
              </w:rPr>
            </w:pPr>
          </w:p>
        </w:tc>
        <w:tc>
          <w:tcPr>
            <w:tcW w:w="0" w:type="auto"/>
            <w:gridSpan w:val="3"/>
            <w:shd w:val="clear" w:color="auto" w:fill="auto"/>
            <w:vAlign w:val="bottom"/>
          </w:tcPr>
          <w:p w14:paraId="74DD76AB" w14:textId="77777777" w:rsidR="00584EC1" w:rsidRDefault="00584EC1">
            <w:pPr>
              <w:rPr>
                <w:rFonts w:ascii="宋体"/>
                <w:vanish/>
              </w:rPr>
            </w:pPr>
          </w:p>
        </w:tc>
        <w:tc>
          <w:tcPr>
            <w:tcW w:w="0" w:type="auto"/>
            <w:gridSpan w:val="3"/>
            <w:shd w:val="clear" w:color="auto" w:fill="auto"/>
            <w:vAlign w:val="bottom"/>
          </w:tcPr>
          <w:p w14:paraId="74DD76AC" w14:textId="77777777" w:rsidR="00584EC1" w:rsidRDefault="00584EC1">
            <w:pPr>
              <w:rPr>
                <w:rFonts w:ascii="宋体"/>
                <w:vanish/>
              </w:rPr>
            </w:pPr>
          </w:p>
        </w:tc>
        <w:tc>
          <w:tcPr>
            <w:tcW w:w="0" w:type="auto"/>
            <w:gridSpan w:val="3"/>
            <w:shd w:val="clear" w:color="auto" w:fill="auto"/>
            <w:vAlign w:val="bottom"/>
          </w:tcPr>
          <w:p w14:paraId="74DD76AD" w14:textId="77777777" w:rsidR="00584EC1" w:rsidRDefault="00584EC1">
            <w:pPr>
              <w:rPr>
                <w:rFonts w:ascii="宋体"/>
                <w:vanish/>
              </w:rPr>
            </w:pPr>
          </w:p>
        </w:tc>
        <w:tc>
          <w:tcPr>
            <w:tcW w:w="0" w:type="auto"/>
            <w:gridSpan w:val="3"/>
            <w:shd w:val="clear" w:color="auto" w:fill="auto"/>
            <w:vAlign w:val="bottom"/>
          </w:tcPr>
          <w:p w14:paraId="74DD76AE" w14:textId="77777777" w:rsidR="00584EC1" w:rsidRDefault="00584EC1">
            <w:pPr>
              <w:rPr>
                <w:rFonts w:ascii="宋体"/>
                <w:vanish/>
              </w:rPr>
            </w:pPr>
          </w:p>
        </w:tc>
        <w:tc>
          <w:tcPr>
            <w:tcW w:w="0" w:type="auto"/>
            <w:gridSpan w:val="3"/>
            <w:shd w:val="clear" w:color="auto" w:fill="auto"/>
            <w:vAlign w:val="bottom"/>
          </w:tcPr>
          <w:p w14:paraId="74DD76AF" w14:textId="77777777" w:rsidR="00584EC1" w:rsidRDefault="00584EC1">
            <w:pPr>
              <w:rPr>
                <w:rFonts w:ascii="宋体"/>
                <w:vanish/>
              </w:rPr>
            </w:pPr>
          </w:p>
        </w:tc>
        <w:tc>
          <w:tcPr>
            <w:tcW w:w="0" w:type="auto"/>
            <w:gridSpan w:val="3"/>
            <w:shd w:val="clear" w:color="auto" w:fill="auto"/>
            <w:vAlign w:val="bottom"/>
          </w:tcPr>
          <w:p w14:paraId="74DD76B0" w14:textId="77777777" w:rsidR="00584EC1" w:rsidRDefault="00584EC1">
            <w:pPr>
              <w:rPr>
                <w:rFonts w:ascii="宋体"/>
                <w:vanish/>
              </w:rPr>
            </w:pPr>
          </w:p>
        </w:tc>
        <w:tc>
          <w:tcPr>
            <w:tcW w:w="0" w:type="auto"/>
            <w:gridSpan w:val="2"/>
            <w:shd w:val="clear" w:color="auto" w:fill="auto"/>
            <w:vAlign w:val="bottom"/>
          </w:tcPr>
          <w:p w14:paraId="74DD76B1" w14:textId="77777777" w:rsidR="00584EC1" w:rsidRDefault="00584EC1">
            <w:pPr>
              <w:rPr>
                <w:rFonts w:ascii="宋体"/>
                <w:vanish/>
              </w:rPr>
            </w:pPr>
          </w:p>
        </w:tc>
        <w:tc>
          <w:tcPr>
            <w:tcW w:w="0" w:type="auto"/>
            <w:shd w:val="clear" w:color="auto" w:fill="auto"/>
            <w:vAlign w:val="bottom"/>
          </w:tcPr>
          <w:p w14:paraId="74DD76B2" w14:textId="77777777" w:rsidR="00584EC1" w:rsidRDefault="00584EC1">
            <w:pPr>
              <w:rPr>
                <w:rFonts w:ascii="宋体"/>
                <w:vanish/>
              </w:rPr>
            </w:pPr>
          </w:p>
        </w:tc>
      </w:tr>
      <w:tr w:rsidR="00584EC1" w14:paraId="74DD76CF" w14:textId="77777777">
        <w:tc>
          <w:tcPr>
            <w:tcW w:w="0" w:type="auto"/>
            <w:gridSpan w:val="3"/>
            <w:shd w:val="clear" w:color="auto" w:fill="CCEEFF"/>
            <w:tcMar>
              <w:top w:w="40" w:type="dxa"/>
              <w:left w:w="20" w:type="dxa"/>
              <w:bottom w:w="40" w:type="dxa"/>
              <w:right w:w="20" w:type="dxa"/>
            </w:tcMar>
            <w:vAlign w:val="bottom"/>
          </w:tcPr>
          <w:p w14:paraId="74DD76B4" w14:textId="77777777" w:rsidR="00584EC1" w:rsidRDefault="00871F8D">
            <w:pPr>
              <w:textAlignment w:val="bottom"/>
            </w:pPr>
            <w:r>
              <w:rPr>
                <w:rFonts w:ascii="Arial" w:eastAsia="宋体" w:hAnsi="Arial" w:cs="Arial"/>
                <w:b/>
                <w:bCs/>
                <w:color w:val="000000"/>
                <w:sz w:val="14"/>
                <w:szCs w:val="14"/>
              </w:rPr>
              <w:t>Income before income tax expense</w:t>
            </w:r>
          </w:p>
        </w:tc>
        <w:tc>
          <w:tcPr>
            <w:tcW w:w="0" w:type="auto"/>
            <w:shd w:val="clear" w:color="auto" w:fill="auto"/>
            <w:vAlign w:val="bottom"/>
          </w:tcPr>
          <w:p w14:paraId="74DD76B5" w14:textId="77777777" w:rsidR="00584EC1" w:rsidRDefault="00584EC1">
            <w:pPr>
              <w:rPr>
                <w:rFonts w:ascii="宋体"/>
                <w:vanish/>
              </w:rPr>
            </w:pPr>
          </w:p>
        </w:tc>
        <w:tc>
          <w:tcPr>
            <w:tcW w:w="0" w:type="auto"/>
            <w:shd w:val="clear" w:color="auto" w:fill="auto"/>
            <w:vAlign w:val="bottom"/>
          </w:tcPr>
          <w:p w14:paraId="74DD76B6" w14:textId="77777777" w:rsidR="00584EC1" w:rsidRDefault="00584EC1">
            <w:pPr>
              <w:rPr>
                <w:rFonts w:ascii="宋体"/>
                <w:vanish/>
              </w:rPr>
            </w:pPr>
          </w:p>
        </w:tc>
        <w:tc>
          <w:tcPr>
            <w:tcW w:w="0" w:type="auto"/>
            <w:shd w:val="clear" w:color="auto" w:fill="auto"/>
            <w:vAlign w:val="bottom"/>
          </w:tcPr>
          <w:p w14:paraId="74DD76B7" w14:textId="77777777" w:rsidR="00584EC1" w:rsidRDefault="00584EC1">
            <w:pPr>
              <w:rPr>
                <w:rFonts w:ascii="宋体"/>
                <w:vanish/>
              </w:rPr>
            </w:pPr>
          </w:p>
        </w:tc>
        <w:tc>
          <w:tcPr>
            <w:tcW w:w="0" w:type="auto"/>
            <w:shd w:val="clear" w:color="auto" w:fill="auto"/>
            <w:vAlign w:val="bottom"/>
          </w:tcPr>
          <w:p w14:paraId="74DD76B8" w14:textId="77777777" w:rsidR="00584EC1" w:rsidRDefault="00584EC1">
            <w:pPr>
              <w:rPr>
                <w:rFonts w:ascii="宋体"/>
                <w:vanish/>
              </w:rPr>
            </w:pPr>
          </w:p>
        </w:tc>
        <w:tc>
          <w:tcPr>
            <w:tcW w:w="0" w:type="auto"/>
            <w:shd w:val="clear" w:color="auto" w:fill="auto"/>
            <w:vAlign w:val="bottom"/>
          </w:tcPr>
          <w:p w14:paraId="74DD76B9" w14:textId="77777777" w:rsidR="00584EC1" w:rsidRDefault="00584EC1">
            <w:pPr>
              <w:rPr>
                <w:rFonts w:ascii="宋体"/>
                <w:vanish/>
              </w:rPr>
            </w:pPr>
          </w:p>
        </w:tc>
        <w:tc>
          <w:tcPr>
            <w:tcW w:w="0" w:type="auto"/>
            <w:shd w:val="clear" w:color="auto" w:fill="auto"/>
            <w:vAlign w:val="bottom"/>
          </w:tcPr>
          <w:p w14:paraId="74DD76BA" w14:textId="77777777" w:rsidR="00584EC1" w:rsidRDefault="00584EC1">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76BB"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76BC" w14:textId="77777777" w:rsidR="00584EC1" w:rsidRDefault="00871F8D">
            <w:pPr>
              <w:jc w:val="right"/>
              <w:textAlignment w:val="bottom"/>
            </w:pPr>
            <w:r>
              <w:rPr>
                <w:rFonts w:ascii="Arial" w:eastAsia="宋体" w:hAnsi="Arial" w:cs="Arial"/>
                <w:b/>
                <w:bCs/>
                <w:color w:val="000000"/>
                <w:sz w:val="14"/>
                <w:szCs w:val="14"/>
              </w:rPr>
              <w:t>705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6B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6BE"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76BF"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76C0" w14:textId="77777777" w:rsidR="00584EC1" w:rsidRDefault="00871F8D">
            <w:pPr>
              <w:jc w:val="right"/>
              <w:textAlignment w:val="bottom"/>
            </w:pPr>
            <w:r>
              <w:rPr>
                <w:rFonts w:ascii="Arial" w:eastAsia="宋体" w:hAnsi="Arial" w:cs="Arial"/>
                <w:color w:val="000000"/>
                <w:sz w:val="14"/>
                <w:szCs w:val="14"/>
              </w:rPr>
              <w:t>539 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6C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6C2" w14:textId="77777777" w:rsidR="00584EC1" w:rsidRDefault="00584EC1">
            <w:pPr>
              <w:rPr>
                <w:rFonts w:ascii="宋体"/>
              </w:rPr>
            </w:pPr>
          </w:p>
        </w:tc>
        <w:tc>
          <w:tcPr>
            <w:tcW w:w="0" w:type="auto"/>
            <w:shd w:val="clear" w:color="auto" w:fill="auto"/>
            <w:vAlign w:val="bottom"/>
          </w:tcPr>
          <w:p w14:paraId="74DD76C3" w14:textId="77777777" w:rsidR="00584EC1" w:rsidRDefault="00584EC1">
            <w:pPr>
              <w:rPr>
                <w:rFonts w:ascii="宋体"/>
                <w:vanish/>
              </w:rPr>
            </w:pPr>
          </w:p>
        </w:tc>
        <w:tc>
          <w:tcPr>
            <w:tcW w:w="0" w:type="auto"/>
            <w:shd w:val="clear" w:color="auto" w:fill="auto"/>
            <w:vAlign w:val="bottom"/>
          </w:tcPr>
          <w:p w14:paraId="74DD76C4" w14:textId="77777777" w:rsidR="00584EC1" w:rsidRDefault="00584EC1">
            <w:pPr>
              <w:rPr>
                <w:rFonts w:ascii="宋体"/>
                <w:vanish/>
              </w:rPr>
            </w:pPr>
          </w:p>
        </w:tc>
        <w:tc>
          <w:tcPr>
            <w:tcW w:w="0" w:type="auto"/>
            <w:gridSpan w:val="2"/>
            <w:shd w:val="clear" w:color="auto" w:fill="CCEEFF"/>
            <w:tcMar>
              <w:top w:w="40" w:type="dxa"/>
              <w:left w:w="20" w:type="dxa"/>
              <w:bottom w:w="40" w:type="dxa"/>
              <w:right w:w="0" w:type="dxa"/>
            </w:tcMar>
            <w:vAlign w:val="bottom"/>
          </w:tcPr>
          <w:p w14:paraId="74DD76C5" w14:textId="77777777" w:rsidR="00584EC1" w:rsidRDefault="00871F8D">
            <w:pPr>
              <w:jc w:val="right"/>
              <w:textAlignment w:val="bottom"/>
            </w:pPr>
            <w:r>
              <w:rPr>
                <w:rFonts w:ascii="Arial" w:eastAsia="宋体" w:hAnsi="Arial" w:cs="Arial"/>
                <w:color w:val="000000"/>
                <w:sz w:val="14"/>
                <w:szCs w:val="14"/>
              </w:rPr>
              <w:t>31 </w:t>
            </w:r>
          </w:p>
        </w:tc>
        <w:tc>
          <w:tcPr>
            <w:tcW w:w="0" w:type="auto"/>
            <w:shd w:val="clear" w:color="auto" w:fill="CCEEFF"/>
            <w:tcMar>
              <w:top w:w="40" w:type="dxa"/>
              <w:left w:w="0" w:type="dxa"/>
              <w:bottom w:w="40" w:type="dxa"/>
              <w:right w:w="20" w:type="dxa"/>
            </w:tcMar>
            <w:vAlign w:val="bottom"/>
          </w:tcPr>
          <w:p w14:paraId="74DD76C6" w14:textId="77777777" w:rsidR="00584EC1" w:rsidRDefault="00584EC1">
            <w:pPr>
              <w:jc w:val="right"/>
              <w:rPr>
                <w:rFonts w:ascii="宋体"/>
              </w:rPr>
            </w:pPr>
          </w:p>
        </w:tc>
        <w:tc>
          <w:tcPr>
            <w:tcW w:w="0" w:type="auto"/>
            <w:gridSpan w:val="3"/>
            <w:shd w:val="clear" w:color="auto" w:fill="auto"/>
            <w:vAlign w:val="bottom"/>
          </w:tcPr>
          <w:p w14:paraId="74DD76C7" w14:textId="77777777" w:rsidR="00584EC1" w:rsidRDefault="00584EC1">
            <w:pPr>
              <w:rPr>
                <w:rFonts w:ascii="宋体"/>
                <w:vanish/>
              </w:rPr>
            </w:pPr>
          </w:p>
        </w:tc>
        <w:tc>
          <w:tcPr>
            <w:tcW w:w="0" w:type="auto"/>
            <w:gridSpan w:val="3"/>
            <w:shd w:val="clear" w:color="auto" w:fill="auto"/>
            <w:vAlign w:val="bottom"/>
          </w:tcPr>
          <w:p w14:paraId="74DD76C8" w14:textId="77777777" w:rsidR="00584EC1" w:rsidRDefault="00584EC1">
            <w:pPr>
              <w:rPr>
                <w:rFonts w:ascii="宋体"/>
                <w:vanish/>
              </w:rPr>
            </w:pPr>
          </w:p>
        </w:tc>
        <w:tc>
          <w:tcPr>
            <w:tcW w:w="0" w:type="auto"/>
            <w:gridSpan w:val="3"/>
            <w:shd w:val="clear" w:color="auto" w:fill="auto"/>
            <w:vAlign w:val="bottom"/>
          </w:tcPr>
          <w:p w14:paraId="74DD76C9" w14:textId="77777777" w:rsidR="00584EC1" w:rsidRDefault="00584EC1">
            <w:pPr>
              <w:rPr>
                <w:rFonts w:ascii="宋体"/>
                <w:vanish/>
              </w:rPr>
            </w:pPr>
          </w:p>
        </w:tc>
        <w:tc>
          <w:tcPr>
            <w:tcW w:w="0" w:type="auto"/>
            <w:gridSpan w:val="3"/>
            <w:shd w:val="clear" w:color="auto" w:fill="auto"/>
            <w:vAlign w:val="bottom"/>
          </w:tcPr>
          <w:p w14:paraId="74DD76CA" w14:textId="77777777" w:rsidR="00584EC1" w:rsidRDefault="00584EC1">
            <w:pPr>
              <w:rPr>
                <w:rFonts w:ascii="宋体"/>
                <w:vanish/>
              </w:rPr>
            </w:pPr>
          </w:p>
        </w:tc>
        <w:tc>
          <w:tcPr>
            <w:tcW w:w="0" w:type="auto"/>
            <w:gridSpan w:val="3"/>
            <w:shd w:val="clear" w:color="auto" w:fill="auto"/>
            <w:vAlign w:val="bottom"/>
          </w:tcPr>
          <w:p w14:paraId="74DD76CB" w14:textId="77777777" w:rsidR="00584EC1" w:rsidRDefault="00584EC1">
            <w:pPr>
              <w:rPr>
                <w:rFonts w:ascii="宋体"/>
                <w:vanish/>
              </w:rPr>
            </w:pPr>
          </w:p>
        </w:tc>
        <w:tc>
          <w:tcPr>
            <w:tcW w:w="0" w:type="auto"/>
            <w:gridSpan w:val="3"/>
            <w:shd w:val="clear" w:color="auto" w:fill="auto"/>
            <w:vAlign w:val="bottom"/>
          </w:tcPr>
          <w:p w14:paraId="74DD76CC" w14:textId="77777777" w:rsidR="00584EC1" w:rsidRDefault="00584EC1">
            <w:pPr>
              <w:rPr>
                <w:rFonts w:ascii="宋体"/>
                <w:vanish/>
              </w:rPr>
            </w:pPr>
          </w:p>
        </w:tc>
        <w:tc>
          <w:tcPr>
            <w:tcW w:w="0" w:type="auto"/>
            <w:gridSpan w:val="2"/>
            <w:shd w:val="clear" w:color="auto" w:fill="auto"/>
            <w:vAlign w:val="bottom"/>
          </w:tcPr>
          <w:p w14:paraId="74DD76CD" w14:textId="77777777" w:rsidR="00584EC1" w:rsidRDefault="00584EC1">
            <w:pPr>
              <w:rPr>
                <w:rFonts w:ascii="宋体"/>
                <w:vanish/>
              </w:rPr>
            </w:pPr>
          </w:p>
        </w:tc>
        <w:tc>
          <w:tcPr>
            <w:tcW w:w="0" w:type="auto"/>
            <w:shd w:val="clear" w:color="auto" w:fill="auto"/>
            <w:vAlign w:val="bottom"/>
          </w:tcPr>
          <w:p w14:paraId="74DD76CE" w14:textId="77777777" w:rsidR="00584EC1" w:rsidRDefault="00584EC1">
            <w:pPr>
              <w:rPr>
                <w:rFonts w:ascii="宋体"/>
                <w:vanish/>
              </w:rPr>
            </w:pPr>
          </w:p>
        </w:tc>
      </w:tr>
      <w:tr w:rsidR="00584EC1" w14:paraId="74DD76E8" w14:textId="77777777">
        <w:tc>
          <w:tcPr>
            <w:tcW w:w="0" w:type="auto"/>
            <w:gridSpan w:val="3"/>
            <w:shd w:val="clear" w:color="auto" w:fill="FFFFFF"/>
            <w:tcMar>
              <w:top w:w="40" w:type="dxa"/>
              <w:left w:w="20" w:type="dxa"/>
              <w:bottom w:w="40" w:type="dxa"/>
              <w:right w:w="20" w:type="dxa"/>
            </w:tcMar>
            <w:vAlign w:val="bottom"/>
          </w:tcPr>
          <w:p w14:paraId="74DD76D0" w14:textId="77777777" w:rsidR="00584EC1" w:rsidRDefault="00871F8D">
            <w:pPr>
              <w:textAlignment w:val="bottom"/>
            </w:pPr>
            <w:r>
              <w:rPr>
                <w:rFonts w:ascii="Arial" w:eastAsia="宋体" w:hAnsi="Arial" w:cs="Arial"/>
                <w:color w:val="000000"/>
                <w:sz w:val="14"/>
                <w:szCs w:val="14"/>
              </w:rPr>
              <w:t>Pre-tax margin</w:t>
            </w:r>
          </w:p>
        </w:tc>
        <w:tc>
          <w:tcPr>
            <w:tcW w:w="0" w:type="auto"/>
            <w:shd w:val="clear" w:color="auto" w:fill="auto"/>
            <w:vAlign w:val="bottom"/>
          </w:tcPr>
          <w:p w14:paraId="74DD76D1" w14:textId="77777777" w:rsidR="00584EC1" w:rsidRDefault="00584EC1">
            <w:pPr>
              <w:rPr>
                <w:rFonts w:ascii="宋体"/>
                <w:vanish/>
              </w:rPr>
            </w:pPr>
          </w:p>
        </w:tc>
        <w:tc>
          <w:tcPr>
            <w:tcW w:w="0" w:type="auto"/>
            <w:shd w:val="clear" w:color="auto" w:fill="auto"/>
            <w:vAlign w:val="bottom"/>
          </w:tcPr>
          <w:p w14:paraId="74DD76D2" w14:textId="77777777" w:rsidR="00584EC1" w:rsidRDefault="00584EC1">
            <w:pPr>
              <w:rPr>
                <w:rFonts w:ascii="宋体"/>
                <w:vanish/>
              </w:rPr>
            </w:pPr>
          </w:p>
        </w:tc>
        <w:tc>
          <w:tcPr>
            <w:tcW w:w="0" w:type="auto"/>
            <w:shd w:val="clear" w:color="auto" w:fill="auto"/>
            <w:vAlign w:val="bottom"/>
          </w:tcPr>
          <w:p w14:paraId="74DD76D3" w14:textId="77777777" w:rsidR="00584EC1" w:rsidRDefault="00584EC1">
            <w:pPr>
              <w:rPr>
                <w:rFonts w:ascii="宋体"/>
                <w:vanish/>
              </w:rPr>
            </w:pPr>
          </w:p>
        </w:tc>
        <w:tc>
          <w:tcPr>
            <w:tcW w:w="0" w:type="auto"/>
            <w:shd w:val="clear" w:color="auto" w:fill="auto"/>
            <w:vAlign w:val="bottom"/>
          </w:tcPr>
          <w:p w14:paraId="74DD76D4" w14:textId="77777777" w:rsidR="00584EC1" w:rsidRDefault="00584EC1">
            <w:pPr>
              <w:rPr>
                <w:rFonts w:ascii="宋体"/>
                <w:vanish/>
              </w:rPr>
            </w:pPr>
          </w:p>
        </w:tc>
        <w:tc>
          <w:tcPr>
            <w:tcW w:w="0" w:type="auto"/>
            <w:shd w:val="clear" w:color="auto" w:fill="auto"/>
            <w:vAlign w:val="bottom"/>
          </w:tcPr>
          <w:p w14:paraId="74DD76D5" w14:textId="77777777" w:rsidR="00584EC1" w:rsidRDefault="00584EC1">
            <w:pPr>
              <w:rPr>
                <w:rFonts w:ascii="宋体"/>
                <w:vanish/>
              </w:rPr>
            </w:pPr>
          </w:p>
        </w:tc>
        <w:tc>
          <w:tcPr>
            <w:tcW w:w="0" w:type="auto"/>
            <w:shd w:val="clear" w:color="auto" w:fill="auto"/>
            <w:vAlign w:val="bottom"/>
          </w:tcPr>
          <w:p w14:paraId="74DD76D6" w14:textId="77777777" w:rsidR="00584EC1" w:rsidRDefault="00584EC1">
            <w:pPr>
              <w:rPr>
                <w:rFonts w:ascii="宋体"/>
                <w:vanish/>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74DD76D7" w14:textId="77777777" w:rsidR="00584EC1" w:rsidRDefault="00871F8D">
            <w:pPr>
              <w:jc w:val="right"/>
              <w:textAlignment w:val="bottom"/>
            </w:pPr>
            <w:r>
              <w:rPr>
                <w:rFonts w:ascii="Arial" w:eastAsia="宋体" w:hAnsi="Arial" w:cs="Arial"/>
                <w:b/>
                <w:bCs/>
                <w:color w:val="000000"/>
                <w:sz w:val="14"/>
                <w:szCs w:val="14"/>
              </w:rPr>
              <w:t>29</w:t>
            </w:r>
            <w:r>
              <w:rPr>
                <w:rFonts w:ascii="Arial" w:eastAsia="宋体" w:hAnsi="Arial" w:cs="Arial"/>
                <w:color w:val="000000"/>
                <w:sz w:val="14"/>
                <w:szCs w:val="14"/>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74DD76D8" w14:textId="77777777" w:rsidR="00584EC1" w:rsidRDefault="00871F8D">
            <w:pPr>
              <w:jc w:val="right"/>
              <w:textAlignment w:val="bottom"/>
            </w:pPr>
            <w:r>
              <w:rPr>
                <w:rFonts w:ascii="Arial" w:eastAsia="宋体" w:hAnsi="Arial" w:cs="Arial"/>
                <w:b/>
                <w:bCs/>
                <w:color w:val="000000"/>
                <w:sz w:val="14"/>
                <w:szCs w:val="14"/>
              </w:rPr>
              <w:t>%</w:t>
            </w:r>
          </w:p>
        </w:tc>
        <w:tc>
          <w:tcPr>
            <w:tcW w:w="0" w:type="auto"/>
            <w:gridSpan w:val="3"/>
            <w:shd w:val="clear" w:color="auto" w:fill="FFFFFF"/>
            <w:tcMar>
              <w:top w:w="0" w:type="dxa"/>
              <w:left w:w="20" w:type="dxa"/>
              <w:bottom w:w="0" w:type="dxa"/>
              <w:right w:w="20" w:type="dxa"/>
            </w:tcMar>
            <w:vAlign w:val="bottom"/>
          </w:tcPr>
          <w:p w14:paraId="74DD76D9" w14:textId="77777777" w:rsidR="00584EC1" w:rsidRDefault="00584EC1">
            <w:pPr>
              <w:rPr>
                <w:rFonts w:ascii="宋体"/>
              </w:rPr>
            </w:pPr>
          </w:p>
        </w:tc>
        <w:tc>
          <w:tcPr>
            <w:tcW w:w="0" w:type="auto"/>
            <w:gridSpan w:val="2"/>
            <w:tcBorders>
              <w:top w:val="double" w:sz="6" w:space="0" w:color="000000"/>
            </w:tcBorders>
            <w:shd w:val="clear" w:color="auto" w:fill="auto"/>
            <w:tcMar>
              <w:top w:w="40" w:type="dxa"/>
              <w:left w:w="20" w:type="dxa"/>
              <w:bottom w:w="40" w:type="dxa"/>
              <w:right w:w="0" w:type="dxa"/>
            </w:tcMar>
            <w:vAlign w:val="bottom"/>
          </w:tcPr>
          <w:p w14:paraId="74DD76DA" w14:textId="77777777" w:rsidR="00584EC1" w:rsidRDefault="00871F8D">
            <w:pPr>
              <w:jc w:val="right"/>
              <w:textAlignment w:val="bottom"/>
            </w:pPr>
            <w:r>
              <w:rPr>
                <w:rFonts w:ascii="Arial" w:eastAsia="宋体" w:hAnsi="Arial" w:cs="Arial"/>
                <w:color w:val="000000"/>
                <w:sz w:val="14"/>
                <w:szCs w:val="14"/>
              </w:rPr>
              <w:t>24 </w:t>
            </w:r>
          </w:p>
        </w:tc>
        <w:tc>
          <w:tcPr>
            <w:tcW w:w="0" w:type="auto"/>
            <w:tcBorders>
              <w:top w:val="double" w:sz="6" w:space="0" w:color="000000"/>
            </w:tcBorders>
            <w:shd w:val="clear" w:color="auto" w:fill="auto"/>
            <w:tcMar>
              <w:top w:w="40" w:type="dxa"/>
              <w:left w:w="0" w:type="dxa"/>
              <w:bottom w:w="40" w:type="dxa"/>
              <w:right w:w="20" w:type="dxa"/>
            </w:tcMar>
            <w:vAlign w:val="bottom"/>
          </w:tcPr>
          <w:p w14:paraId="74DD76DB" w14:textId="77777777" w:rsidR="00584EC1" w:rsidRDefault="00871F8D">
            <w:pPr>
              <w:jc w:val="right"/>
              <w:textAlignment w:val="bottom"/>
            </w:pPr>
            <w:r>
              <w:rPr>
                <w:rFonts w:ascii="Arial" w:eastAsia="宋体" w:hAnsi="Arial" w:cs="Arial"/>
                <w:color w:val="000000"/>
                <w:sz w:val="14"/>
                <w:szCs w:val="14"/>
              </w:rPr>
              <w:t>%</w:t>
            </w:r>
          </w:p>
        </w:tc>
        <w:tc>
          <w:tcPr>
            <w:tcW w:w="0" w:type="auto"/>
            <w:gridSpan w:val="3"/>
            <w:shd w:val="clear" w:color="auto" w:fill="FFFFFF"/>
            <w:tcMar>
              <w:top w:w="0" w:type="dxa"/>
              <w:left w:w="20" w:type="dxa"/>
              <w:bottom w:w="0" w:type="dxa"/>
              <w:right w:w="20" w:type="dxa"/>
            </w:tcMar>
            <w:vAlign w:val="bottom"/>
          </w:tcPr>
          <w:p w14:paraId="74DD76DC" w14:textId="77777777" w:rsidR="00584EC1" w:rsidRDefault="00584EC1">
            <w:pPr>
              <w:rPr>
                <w:rFonts w:ascii="宋体"/>
              </w:rPr>
            </w:pPr>
          </w:p>
        </w:tc>
        <w:tc>
          <w:tcPr>
            <w:tcW w:w="0" w:type="auto"/>
            <w:shd w:val="clear" w:color="auto" w:fill="auto"/>
            <w:vAlign w:val="bottom"/>
          </w:tcPr>
          <w:p w14:paraId="74DD76DD" w14:textId="77777777" w:rsidR="00584EC1" w:rsidRDefault="00584EC1">
            <w:pPr>
              <w:rPr>
                <w:rFonts w:ascii="宋体"/>
                <w:vanish/>
              </w:rPr>
            </w:pPr>
          </w:p>
        </w:tc>
        <w:tc>
          <w:tcPr>
            <w:tcW w:w="0" w:type="auto"/>
            <w:shd w:val="clear" w:color="auto" w:fill="auto"/>
            <w:vAlign w:val="bottom"/>
          </w:tcPr>
          <w:p w14:paraId="74DD76DE" w14:textId="77777777" w:rsidR="00584EC1" w:rsidRDefault="00584EC1">
            <w:pPr>
              <w:rPr>
                <w:rFonts w:ascii="宋体"/>
                <w:vanish/>
              </w:rPr>
            </w:pPr>
          </w:p>
        </w:tc>
        <w:tc>
          <w:tcPr>
            <w:tcW w:w="0" w:type="auto"/>
            <w:gridSpan w:val="3"/>
            <w:shd w:val="clear" w:color="auto" w:fill="FFFFFF"/>
            <w:tcMar>
              <w:top w:w="0" w:type="dxa"/>
              <w:left w:w="20" w:type="dxa"/>
              <w:bottom w:w="0" w:type="dxa"/>
              <w:right w:w="20" w:type="dxa"/>
            </w:tcMar>
            <w:vAlign w:val="bottom"/>
          </w:tcPr>
          <w:p w14:paraId="74DD76DF" w14:textId="77777777" w:rsidR="00584EC1" w:rsidRDefault="00584EC1">
            <w:pPr>
              <w:rPr>
                <w:rFonts w:ascii="宋体"/>
              </w:rPr>
            </w:pPr>
          </w:p>
        </w:tc>
        <w:tc>
          <w:tcPr>
            <w:tcW w:w="0" w:type="auto"/>
            <w:gridSpan w:val="3"/>
            <w:shd w:val="clear" w:color="auto" w:fill="auto"/>
            <w:vAlign w:val="bottom"/>
          </w:tcPr>
          <w:p w14:paraId="74DD76E0" w14:textId="77777777" w:rsidR="00584EC1" w:rsidRDefault="00584EC1">
            <w:pPr>
              <w:rPr>
                <w:rFonts w:ascii="宋体"/>
                <w:vanish/>
              </w:rPr>
            </w:pPr>
          </w:p>
        </w:tc>
        <w:tc>
          <w:tcPr>
            <w:tcW w:w="0" w:type="auto"/>
            <w:gridSpan w:val="3"/>
            <w:shd w:val="clear" w:color="auto" w:fill="auto"/>
            <w:vAlign w:val="bottom"/>
          </w:tcPr>
          <w:p w14:paraId="74DD76E1" w14:textId="77777777" w:rsidR="00584EC1" w:rsidRDefault="00584EC1">
            <w:pPr>
              <w:rPr>
                <w:rFonts w:ascii="宋体"/>
                <w:vanish/>
              </w:rPr>
            </w:pPr>
          </w:p>
        </w:tc>
        <w:tc>
          <w:tcPr>
            <w:tcW w:w="0" w:type="auto"/>
            <w:gridSpan w:val="3"/>
            <w:shd w:val="clear" w:color="auto" w:fill="auto"/>
            <w:vAlign w:val="bottom"/>
          </w:tcPr>
          <w:p w14:paraId="74DD76E2" w14:textId="77777777" w:rsidR="00584EC1" w:rsidRDefault="00584EC1">
            <w:pPr>
              <w:rPr>
                <w:rFonts w:ascii="宋体"/>
                <w:vanish/>
              </w:rPr>
            </w:pPr>
          </w:p>
        </w:tc>
        <w:tc>
          <w:tcPr>
            <w:tcW w:w="0" w:type="auto"/>
            <w:gridSpan w:val="3"/>
            <w:shd w:val="clear" w:color="auto" w:fill="auto"/>
            <w:vAlign w:val="bottom"/>
          </w:tcPr>
          <w:p w14:paraId="74DD76E3" w14:textId="77777777" w:rsidR="00584EC1" w:rsidRDefault="00584EC1">
            <w:pPr>
              <w:rPr>
                <w:rFonts w:ascii="宋体"/>
                <w:vanish/>
              </w:rPr>
            </w:pPr>
          </w:p>
        </w:tc>
        <w:tc>
          <w:tcPr>
            <w:tcW w:w="0" w:type="auto"/>
            <w:gridSpan w:val="3"/>
            <w:shd w:val="clear" w:color="auto" w:fill="auto"/>
            <w:vAlign w:val="bottom"/>
          </w:tcPr>
          <w:p w14:paraId="74DD76E4" w14:textId="77777777" w:rsidR="00584EC1" w:rsidRDefault="00584EC1">
            <w:pPr>
              <w:rPr>
                <w:rFonts w:ascii="宋体"/>
                <w:vanish/>
              </w:rPr>
            </w:pPr>
          </w:p>
        </w:tc>
        <w:tc>
          <w:tcPr>
            <w:tcW w:w="0" w:type="auto"/>
            <w:gridSpan w:val="3"/>
            <w:shd w:val="clear" w:color="auto" w:fill="auto"/>
            <w:vAlign w:val="bottom"/>
          </w:tcPr>
          <w:p w14:paraId="74DD76E5" w14:textId="77777777" w:rsidR="00584EC1" w:rsidRDefault="00584EC1">
            <w:pPr>
              <w:rPr>
                <w:rFonts w:ascii="宋体"/>
                <w:vanish/>
              </w:rPr>
            </w:pPr>
          </w:p>
        </w:tc>
        <w:tc>
          <w:tcPr>
            <w:tcW w:w="0" w:type="auto"/>
            <w:gridSpan w:val="2"/>
            <w:shd w:val="clear" w:color="auto" w:fill="auto"/>
            <w:vAlign w:val="bottom"/>
          </w:tcPr>
          <w:p w14:paraId="74DD76E6" w14:textId="77777777" w:rsidR="00584EC1" w:rsidRDefault="00584EC1">
            <w:pPr>
              <w:rPr>
                <w:rFonts w:ascii="宋体"/>
                <w:vanish/>
              </w:rPr>
            </w:pPr>
          </w:p>
        </w:tc>
        <w:tc>
          <w:tcPr>
            <w:tcW w:w="0" w:type="auto"/>
            <w:shd w:val="clear" w:color="auto" w:fill="auto"/>
            <w:vAlign w:val="bottom"/>
          </w:tcPr>
          <w:p w14:paraId="74DD76E7" w14:textId="77777777" w:rsidR="00584EC1" w:rsidRDefault="00584EC1">
            <w:pPr>
              <w:rPr>
                <w:rFonts w:ascii="宋体"/>
                <w:vanish/>
              </w:rPr>
            </w:pPr>
          </w:p>
        </w:tc>
      </w:tr>
      <w:tr w:rsidR="00584EC1" w14:paraId="74DD76FF" w14:textId="77777777">
        <w:trPr>
          <w:trHeight w:val="60"/>
        </w:trPr>
        <w:tc>
          <w:tcPr>
            <w:tcW w:w="0" w:type="auto"/>
            <w:gridSpan w:val="3"/>
            <w:shd w:val="clear" w:color="auto" w:fill="auto"/>
            <w:tcMar>
              <w:top w:w="0" w:type="dxa"/>
              <w:left w:w="20" w:type="dxa"/>
              <w:bottom w:w="0" w:type="dxa"/>
              <w:right w:w="20" w:type="dxa"/>
            </w:tcMar>
            <w:vAlign w:val="bottom"/>
          </w:tcPr>
          <w:p w14:paraId="74DD76E9" w14:textId="77777777" w:rsidR="00584EC1" w:rsidRDefault="00584EC1">
            <w:pPr>
              <w:rPr>
                <w:rFonts w:ascii="宋体"/>
              </w:rPr>
            </w:pPr>
          </w:p>
        </w:tc>
        <w:tc>
          <w:tcPr>
            <w:tcW w:w="0" w:type="auto"/>
            <w:shd w:val="clear" w:color="auto" w:fill="auto"/>
            <w:vAlign w:val="bottom"/>
          </w:tcPr>
          <w:p w14:paraId="74DD76EA" w14:textId="77777777" w:rsidR="00584EC1" w:rsidRDefault="00584EC1">
            <w:pPr>
              <w:rPr>
                <w:rFonts w:ascii="宋体"/>
                <w:vanish/>
              </w:rPr>
            </w:pPr>
          </w:p>
        </w:tc>
        <w:tc>
          <w:tcPr>
            <w:tcW w:w="0" w:type="auto"/>
            <w:shd w:val="clear" w:color="auto" w:fill="auto"/>
            <w:vAlign w:val="bottom"/>
          </w:tcPr>
          <w:p w14:paraId="74DD76EB" w14:textId="77777777" w:rsidR="00584EC1" w:rsidRDefault="00584EC1">
            <w:pPr>
              <w:rPr>
                <w:rFonts w:ascii="宋体"/>
                <w:vanish/>
              </w:rPr>
            </w:pPr>
          </w:p>
        </w:tc>
        <w:tc>
          <w:tcPr>
            <w:tcW w:w="0" w:type="auto"/>
            <w:shd w:val="clear" w:color="auto" w:fill="auto"/>
            <w:vAlign w:val="bottom"/>
          </w:tcPr>
          <w:p w14:paraId="74DD76EC" w14:textId="77777777" w:rsidR="00584EC1" w:rsidRDefault="00584EC1">
            <w:pPr>
              <w:rPr>
                <w:rFonts w:ascii="宋体"/>
                <w:vanish/>
              </w:rPr>
            </w:pPr>
          </w:p>
        </w:tc>
        <w:tc>
          <w:tcPr>
            <w:tcW w:w="0" w:type="auto"/>
            <w:shd w:val="clear" w:color="auto" w:fill="auto"/>
            <w:vAlign w:val="bottom"/>
          </w:tcPr>
          <w:p w14:paraId="74DD76ED" w14:textId="77777777" w:rsidR="00584EC1" w:rsidRDefault="00584EC1">
            <w:pPr>
              <w:rPr>
                <w:rFonts w:ascii="宋体"/>
                <w:vanish/>
              </w:rPr>
            </w:pPr>
          </w:p>
        </w:tc>
        <w:tc>
          <w:tcPr>
            <w:tcW w:w="0" w:type="auto"/>
            <w:shd w:val="clear" w:color="auto" w:fill="auto"/>
            <w:vAlign w:val="bottom"/>
          </w:tcPr>
          <w:p w14:paraId="74DD76EE" w14:textId="77777777" w:rsidR="00584EC1" w:rsidRDefault="00584EC1">
            <w:pPr>
              <w:rPr>
                <w:rFonts w:ascii="宋体"/>
                <w:vanish/>
              </w:rPr>
            </w:pPr>
          </w:p>
        </w:tc>
        <w:tc>
          <w:tcPr>
            <w:tcW w:w="0" w:type="auto"/>
            <w:shd w:val="clear" w:color="auto" w:fill="auto"/>
            <w:vAlign w:val="bottom"/>
          </w:tcPr>
          <w:p w14:paraId="74DD76EF" w14:textId="77777777" w:rsidR="00584EC1" w:rsidRDefault="00584EC1">
            <w:pPr>
              <w:rPr>
                <w:rFonts w:ascii="宋体"/>
                <w:vanish/>
              </w:rPr>
            </w:pPr>
          </w:p>
        </w:tc>
        <w:tc>
          <w:tcPr>
            <w:tcW w:w="0" w:type="auto"/>
            <w:gridSpan w:val="3"/>
            <w:shd w:val="clear" w:color="auto" w:fill="auto"/>
            <w:tcMar>
              <w:top w:w="0" w:type="dxa"/>
              <w:left w:w="20" w:type="dxa"/>
              <w:bottom w:w="0" w:type="dxa"/>
              <w:right w:w="20" w:type="dxa"/>
            </w:tcMar>
            <w:vAlign w:val="bottom"/>
          </w:tcPr>
          <w:p w14:paraId="74DD76F0"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76F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76F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76F3" w14:textId="77777777" w:rsidR="00584EC1" w:rsidRDefault="00584EC1">
            <w:pPr>
              <w:rPr>
                <w:rFonts w:ascii="宋体"/>
              </w:rPr>
            </w:pPr>
          </w:p>
        </w:tc>
        <w:tc>
          <w:tcPr>
            <w:tcW w:w="0" w:type="auto"/>
            <w:shd w:val="clear" w:color="auto" w:fill="auto"/>
            <w:vAlign w:val="bottom"/>
          </w:tcPr>
          <w:p w14:paraId="74DD76F4" w14:textId="77777777" w:rsidR="00584EC1" w:rsidRDefault="00584EC1">
            <w:pPr>
              <w:rPr>
                <w:rFonts w:ascii="宋体"/>
                <w:vanish/>
              </w:rPr>
            </w:pPr>
          </w:p>
        </w:tc>
        <w:tc>
          <w:tcPr>
            <w:tcW w:w="0" w:type="auto"/>
            <w:shd w:val="clear" w:color="auto" w:fill="auto"/>
            <w:vAlign w:val="bottom"/>
          </w:tcPr>
          <w:p w14:paraId="74DD76F5" w14:textId="77777777" w:rsidR="00584EC1" w:rsidRDefault="00584EC1">
            <w:pPr>
              <w:rPr>
                <w:rFonts w:ascii="宋体"/>
                <w:vanish/>
              </w:rPr>
            </w:pPr>
          </w:p>
        </w:tc>
        <w:tc>
          <w:tcPr>
            <w:tcW w:w="0" w:type="auto"/>
            <w:gridSpan w:val="3"/>
            <w:shd w:val="clear" w:color="auto" w:fill="auto"/>
            <w:tcMar>
              <w:top w:w="0" w:type="dxa"/>
              <w:left w:w="20" w:type="dxa"/>
              <w:bottom w:w="0" w:type="dxa"/>
              <w:right w:w="20" w:type="dxa"/>
            </w:tcMar>
            <w:vAlign w:val="bottom"/>
          </w:tcPr>
          <w:p w14:paraId="74DD76F6" w14:textId="77777777" w:rsidR="00584EC1" w:rsidRDefault="00584EC1">
            <w:pPr>
              <w:rPr>
                <w:rFonts w:ascii="宋体"/>
              </w:rPr>
            </w:pPr>
          </w:p>
        </w:tc>
        <w:tc>
          <w:tcPr>
            <w:tcW w:w="0" w:type="auto"/>
            <w:gridSpan w:val="3"/>
            <w:shd w:val="clear" w:color="auto" w:fill="auto"/>
            <w:vAlign w:val="bottom"/>
          </w:tcPr>
          <w:p w14:paraId="74DD76F7" w14:textId="77777777" w:rsidR="00584EC1" w:rsidRDefault="00584EC1">
            <w:pPr>
              <w:rPr>
                <w:rFonts w:ascii="宋体"/>
                <w:vanish/>
              </w:rPr>
            </w:pPr>
          </w:p>
        </w:tc>
        <w:tc>
          <w:tcPr>
            <w:tcW w:w="0" w:type="auto"/>
            <w:gridSpan w:val="3"/>
            <w:shd w:val="clear" w:color="auto" w:fill="auto"/>
            <w:vAlign w:val="bottom"/>
          </w:tcPr>
          <w:p w14:paraId="74DD76F8" w14:textId="77777777" w:rsidR="00584EC1" w:rsidRDefault="00584EC1">
            <w:pPr>
              <w:rPr>
                <w:rFonts w:ascii="宋体"/>
                <w:vanish/>
              </w:rPr>
            </w:pPr>
          </w:p>
        </w:tc>
        <w:tc>
          <w:tcPr>
            <w:tcW w:w="0" w:type="auto"/>
            <w:gridSpan w:val="3"/>
            <w:shd w:val="clear" w:color="auto" w:fill="auto"/>
            <w:vAlign w:val="bottom"/>
          </w:tcPr>
          <w:p w14:paraId="74DD76F9" w14:textId="77777777" w:rsidR="00584EC1" w:rsidRDefault="00584EC1">
            <w:pPr>
              <w:rPr>
                <w:rFonts w:ascii="宋体"/>
                <w:vanish/>
              </w:rPr>
            </w:pPr>
          </w:p>
        </w:tc>
        <w:tc>
          <w:tcPr>
            <w:tcW w:w="0" w:type="auto"/>
            <w:gridSpan w:val="3"/>
            <w:shd w:val="clear" w:color="auto" w:fill="auto"/>
            <w:vAlign w:val="bottom"/>
          </w:tcPr>
          <w:p w14:paraId="74DD76FA" w14:textId="77777777" w:rsidR="00584EC1" w:rsidRDefault="00584EC1">
            <w:pPr>
              <w:rPr>
                <w:rFonts w:ascii="宋体"/>
                <w:vanish/>
              </w:rPr>
            </w:pPr>
          </w:p>
        </w:tc>
        <w:tc>
          <w:tcPr>
            <w:tcW w:w="0" w:type="auto"/>
            <w:gridSpan w:val="3"/>
            <w:shd w:val="clear" w:color="auto" w:fill="auto"/>
            <w:vAlign w:val="bottom"/>
          </w:tcPr>
          <w:p w14:paraId="74DD76FB" w14:textId="77777777" w:rsidR="00584EC1" w:rsidRDefault="00584EC1">
            <w:pPr>
              <w:rPr>
                <w:rFonts w:ascii="宋体"/>
                <w:vanish/>
              </w:rPr>
            </w:pPr>
          </w:p>
        </w:tc>
        <w:tc>
          <w:tcPr>
            <w:tcW w:w="0" w:type="auto"/>
            <w:gridSpan w:val="3"/>
            <w:shd w:val="clear" w:color="auto" w:fill="auto"/>
            <w:vAlign w:val="bottom"/>
          </w:tcPr>
          <w:p w14:paraId="74DD76FC" w14:textId="77777777" w:rsidR="00584EC1" w:rsidRDefault="00584EC1">
            <w:pPr>
              <w:rPr>
                <w:rFonts w:ascii="宋体"/>
                <w:vanish/>
              </w:rPr>
            </w:pPr>
          </w:p>
        </w:tc>
        <w:tc>
          <w:tcPr>
            <w:tcW w:w="0" w:type="auto"/>
            <w:gridSpan w:val="2"/>
            <w:shd w:val="clear" w:color="auto" w:fill="auto"/>
            <w:vAlign w:val="bottom"/>
          </w:tcPr>
          <w:p w14:paraId="74DD76FD" w14:textId="77777777" w:rsidR="00584EC1" w:rsidRDefault="00584EC1">
            <w:pPr>
              <w:rPr>
                <w:rFonts w:ascii="宋体"/>
                <w:vanish/>
              </w:rPr>
            </w:pPr>
          </w:p>
        </w:tc>
        <w:tc>
          <w:tcPr>
            <w:tcW w:w="0" w:type="auto"/>
            <w:shd w:val="clear" w:color="auto" w:fill="auto"/>
            <w:vAlign w:val="bottom"/>
          </w:tcPr>
          <w:p w14:paraId="74DD76FE" w14:textId="77777777" w:rsidR="00584EC1" w:rsidRDefault="00584EC1">
            <w:pPr>
              <w:rPr>
                <w:rFonts w:ascii="宋体"/>
                <w:vanish/>
              </w:rPr>
            </w:pPr>
          </w:p>
        </w:tc>
      </w:tr>
      <w:tr w:rsidR="00584EC1" w14:paraId="74DD7715" w14:textId="77777777">
        <w:trPr>
          <w:trHeight w:val="180"/>
        </w:trPr>
        <w:tc>
          <w:tcPr>
            <w:tcW w:w="0" w:type="auto"/>
            <w:gridSpan w:val="3"/>
            <w:vMerge w:val="restart"/>
            <w:shd w:val="clear" w:color="auto" w:fill="auto"/>
            <w:tcMar>
              <w:top w:w="40" w:type="dxa"/>
              <w:left w:w="20" w:type="dxa"/>
              <w:bottom w:w="40" w:type="dxa"/>
              <w:right w:w="20" w:type="dxa"/>
            </w:tcMar>
            <w:vAlign w:val="bottom"/>
          </w:tcPr>
          <w:p w14:paraId="74DD7700" w14:textId="77777777" w:rsidR="00584EC1" w:rsidRDefault="00871F8D">
            <w:pPr>
              <w:textAlignment w:val="bottom"/>
            </w:pPr>
            <w:r>
              <w:rPr>
                <w:rFonts w:ascii="Arial" w:eastAsia="宋体" w:hAnsi="Arial" w:cs="Arial"/>
                <w:b/>
                <w:bCs/>
                <w:color w:val="000000"/>
                <w:sz w:val="14"/>
                <w:szCs w:val="14"/>
              </w:rPr>
              <w:t>(Dollars in millions, except where otherwise noted)</w:t>
            </w:r>
          </w:p>
        </w:tc>
        <w:tc>
          <w:tcPr>
            <w:tcW w:w="0" w:type="auto"/>
            <w:shd w:val="clear" w:color="auto" w:fill="auto"/>
            <w:vAlign w:val="bottom"/>
          </w:tcPr>
          <w:p w14:paraId="74DD7701" w14:textId="77777777" w:rsidR="00584EC1" w:rsidRDefault="00584EC1">
            <w:pPr>
              <w:rPr>
                <w:rFonts w:ascii="宋体"/>
                <w:vanish/>
              </w:rPr>
            </w:pPr>
          </w:p>
        </w:tc>
        <w:tc>
          <w:tcPr>
            <w:tcW w:w="0" w:type="auto"/>
            <w:shd w:val="clear" w:color="auto" w:fill="auto"/>
            <w:vAlign w:val="bottom"/>
          </w:tcPr>
          <w:p w14:paraId="74DD7702" w14:textId="77777777" w:rsidR="00584EC1" w:rsidRDefault="00584EC1">
            <w:pPr>
              <w:rPr>
                <w:rFonts w:ascii="宋体"/>
                <w:vanish/>
              </w:rPr>
            </w:pPr>
          </w:p>
        </w:tc>
        <w:tc>
          <w:tcPr>
            <w:tcW w:w="0" w:type="auto"/>
            <w:shd w:val="clear" w:color="auto" w:fill="auto"/>
            <w:vAlign w:val="bottom"/>
          </w:tcPr>
          <w:p w14:paraId="74DD7703" w14:textId="77777777" w:rsidR="00584EC1" w:rsidRDefault="00584EC1">
            <w:pPr>
              <w:rPr>
                <w:rFonts w:ascii="宋体"/>
                <w:vanish/>
              </w:rPr>
            </w:pPr>
          </w:p>
        </w:tc>
        <w:tc>
          <w:tcPr>
            <w:tcW w:w="0" w:type="auto"/>
            <w:shd w:val="clear" w:color="auto" w:fill="auto"/>
            <w:vAlign w:val="bottom"/>
          </w:tcPr>
          <w:p w14:paraId="74DD7704" w14:textId="77777777" w:rsidR="00584EC1" w:rsidRDefault="00584EC1">
            <w:pPr>
              <w:rPr>
                <w:rFonts w:ascii="宋体"/>
                <w:vanish/>
              </w:rPr>
            </w:pPr>
          </w:p>
        </w:tc>
        <w:tc>
          <w:tcPr>
            <w:tcW w:w="0" w:type="auto"/>
            <w:gridSpan w:val="5"/>
            <w:shd w:val="clear" w:color="auto" w:fill="auto"/>
            <w:tcMar>
              <w:top w:w="40" w:type="dxa"/>
              <w:left w:w="20" w:type="dxa"/>
              <w:bottom w:w="40" w:type="dxa"/>
              <w:right w:w="20" w:type="dxa"/>
            </w:tcMar>
            <w:vAlign w:val="bottom"/>
          </w:tcPr>
          <w:p w14:paraId="74DD7705" w14:textId="77777777" w:rsidR="00584EC1" w:rsidRDefault="00871F8D">
            <w:pPr>
              <w:jc w:val="center"/>
              <w:textAlignment w:val="bottom"/>
            </w:pPr>
            <w:r>
              <w:rPr>
                <w:rFonts w:ascii="Arial" w:eastAsia="宋体" w:hAnsi="Arial" w:cs="Arial"/>
                <w:b/>
                <w:bCs/>
                <w:color w:val="000000"/>
                <w:sz w:val="14"/>
                <w:szCs w:val="14"/>
              </w:rPr>
              <w:t>Nine Months Ended September 30,</w:t>
            </w:r>
          </w:p>
        </w:tc>
        <w:tc>
          <w:tcPr>
            <w:tcW w:w="0" w:type="auto"/>
            <w:gridSpan w:val="3"/>
            <w:shd w:val="clear" w:color="auto" w:fill="auto"/>
            <w:tcMar>
              <w:top w:w="0" w:type="dxa"/>
              <w:left w:w="20" w:type="dxa"/>
              <w:bottom w:w="0" w:type="dxa"/>
              <w:right w:w="20" w:type="dxa"/>
            </w:tcMar>
            <w:vAlign w:val="bottom"/>
          </w:tcPr>
          <w:p w14:paraId="74DD7706" w14:textId="77777777" w:rsidR="00584EC1" w:rsidRDefault="00584EC1">
            <w:pPr>
              <w:rPr>
                <w:rFonts w:ascii="宋体"/>
              </w:rPr>
            </w:pPr>
          </w:p>
        </w:tc>
        <w:tc>
          <w:tcPr>
            <w:tcW w:w="0" w:type="auto"/>
            <w:gridSpan w:val="3"/>
            <w:shd w:val="clear" w:color="auto" w:fill="auto"/>
            <w:vAlign w:val="bottom"/>
          </w:tcPr>
          <w:p w14:paraId="74DD7707" w14:textId="77777777" w:rsidR="00584EC1" w:rsidRDefault="00584EC1">
            <w:pPr>
              <w:rPr>
                <w:rFonts w:ascii="宋体"/>
                <w:vanish/>
              </w:rPr>
            </w:pPr>
          </w:p>
        </w:tc>
        <w:tc>
          <w:tcPr>
            <w:tcW w:w="0" w:type="auto"/>
            <w:gridSpan w:val="3"/>
            <w:shd w:val="clear" w:color="auto" w:fill="auto"/>
            <w:vAlign w:val="bottom"/>
          </w:tcPr>
          <w:p w14:paraId="74DD7708" w14:textId="77777777" w:rsidR="00584EC1" w:rsidRDefault="00584EC1">
            <w:pPr>
              <w:rPr>
                <w:rFonts w:ascii="宋体"/>
                <w:vanish/>
              </w:rPr>
            </w:pPr>
          </w:p>
        </w:tc>
        <w:tc>
          <w:tcPr>
            <w:tcW w:w="0" w:type="auto"/>
            <w:vMerge w:val="restart"/>
            <w:shd w:val="clear" w:color="auto" w:fill="auto"/>
            <w:tcMar>
              <w:top w:w="40" w:type="dxa"/>
              <w:left w:w="20" w:type="dxa"/>
              <w:bottom w:w="40" w:type="dxa"/>
              <w:right w:w="20" w:type="dxa"/>
            </w:tcMar>
            <w:vAlign w:val="bottom"/>
          </w:tcPr>
          <w:p w14:paraId="74DD7709" w14:textId="77777777" w:rsidR="00584EC1" w:rsidRDefault="00871F8D">
            <w:pPr>
              <w:jc w:val="center"/>
              <w:textAlignment w:val="bottom"/>
            </w:pPr>
            <w:r>
              <w:rPr>
                <w:rFonts w:ascii="Arial" w:eastAsia="宋体" w:hAnsi="Arial" w:cs="Arial"/>
                <w:b/>
                <w:bCs/>
                <w:color w:val="000000"/>
                <w:sz w:val="14"/>
                <w:szCs w:val="14"/>
              </w:rPr>
              <w:t xml:space="preserve">% Change </w:t>
            </w:r>
          </w:p>
        </w:tc>
        <w:tc>
          <w:tcPr>
            <w:tcW w:w="0" w:type="auto"/>
            <w:shd w:val="clear" w:color="auto" w:fill="auto"/>
            <w:vAlign w:val="bottom"/>
          </w:tcPr>
          <w:p w14:paraId="74DD770A" w14:textId="77777777" w:rsidR="00584EC1" w:rsidRDefault="00584EC1">
            <w:pPr>
              <w:rPr>
                <w:rFonts w:ascii="宋体"/>
                <w:vanish/>
              </w:rPr>
            </w:pPr>
          </w:p>
        </w:tc>
        <w:tc>
          <w:tcPr>
            <w:tcW w:w="0" w:type="auto"/>
            <w:gridSpan w:val="3"/>
            <w:shd w:val="clear" w:color="auto" w:fill="auto"/>
            <w:vAlign w:val="bottom"/>
          </w:tcPr>
          <w:p w14:paraId="74DD770B" w14:textId="77777777" w:rsidR="00584EC1" w:rsidRDefault="00584EC1">
            <w:pPr>
              <w:rPr>
                <w:rFonts w:ascii="宋体"/>
                <w:vanish/>
              </w:rPr>
            </w:pPr>
          </w:p>
        </w:tc>
        <w:tc>
          <w:tcPr>
            <w:tcW w:w="0" w:type="auto"/>
            <w:gridSpan w:val="3"/>
            <w:shd w:val="clear" w:color="auto" w:fill="auto"/>
            <w:vAlign w:val="bottom"/>
          </w:tcPr>
          <w:p w14:paraId="74DD770C" w14:textId="77777777" w:rsidR="00584EC1" w:rsidRDefault="00584EC1">
            <w:pPr>
              <w:rPr>
                <w:rFonts w:ascii="宋体"/>
                <w:vanish/>
              </w:rPr>
            </w:pPr>
          </w:p>
        </w:tc>
        <w:tc>
          <w:tcPr>
            <w:tcW w:w="0" w:type="auto"/>
            <w:gridSpan w:val="3"/>
            <w:shd w:val="clear" w:color="auto" w:fill="auto"/>
            <w:vAlign w:val="bottom"/>
          </w:tcPr>
          <w:p w14:paraId="74DD770D" w14:textId="77777777" w:rsidR="00584EC1" w:rsidRDefault="00584EC1">
            <w:pPr>
              <w:rPr>
                <w:rFonts w:ascii="宋体"/>
                <w:vanish/>
              </w:rPr>
            </w:pPr>
          </w:p>
        </w:tc>
        <w:tc>
          <w:tcPr>
            <w:tcW w:w="0" w:type="auto"/>
            <w:gridSpan w:val="3"/>
            <w:shd w:val="clear" w:color="auto" w:fill="auto"/>
            <w:vAlign w:val="bottom"/>
          </w:tcPr>
          <w:p w14:paraId="74DD770E" w14:textId="77777777" w:rsidR="00584EC1" w:rsidRDefault="00584EC1">
            <w:pPr>
              <w:rPr>
                <w:rFonts w:ascii="宋体"/>
                <w:vanish/>
              </w:rPr>
            </w:pPr>
          </w:p>
        </w:tc>
        <w:tc>
          <w:tcPr>
            <w:tcW w:w="0" w:type="auto"/>
            <w:gridSpan w:val="3"/>
            <w:shd w:val="clear" w:color="auto" w:fill="auto"/>
            <w:vAlign w:val="bottom"/>
          </w:tcPr>
          <w:p w14:paraId="74DD770F" w14:textId="77777777" w:rsidR="00584EC1" w:rsidRDefault="00584EC1">
            <w:pPr>
              <w:rPr>
                <w:rFonts w:ascii="宋体"/>
                <w:vanish/>
              </w:rPr>
            </w:pPr>
          </w:p>
        </w:tc>
        <w:tc>
          <w:tcPr>
            <w:tcW w:w="0" w:type="auto"/>
            <w:gridSpan w:val="3"/>
            <w:shd w:val="clear" w:color="auto" w:fill="auto"/>
            <w:vAlign w:val="bottom"/>
          </w:tcPr>
          <w:p w14:paraId="74DD7710" w14:textId="77777777" w:rsidR="00584EC1" w:rsidRDefault="00584EC1">
            <w:pPr>
              <w:rPr>
                <w:rFonts w:ascii="宋体"/>
                <w:vanish/>
              </w:rPr>
            </w:pPr>
          </w:p>
        </w:tc>
        <w:tc>
          <w:tcPr>
            <w:tcW w:w="0" w:type="auto"/>
            <w:gridSpan w:val="3"/>
            <w:shd w:val="clear" w:color="auto" w:fill="auto"/>
            <w:vAlign w:val="bottom"/>
          </w:tcPr>
          <w:p w14:paraId="74DD7711" w14:textId="77777777" w:rsidR="00584EC1" w:rsidRDefault="00584EC1">
            <w:pPr>
              <w:rPr>
                <w:rFonts w:ascii="宋体"/>
                <w:vanish/>
              </w:rPr>
            </w:pPr>
          </w:p>
        </w:tc>
        <w:tc>
          <w:tcPr>
            <w:tcW w:w="0" w:type="auto"/>
            <w:shd w:val="clear" w:color="auto" w:fill="auto"/>
            <w:vAlign w:val="bottom"/>
          </w:tcPr>
          <w:p w14:paraId="74DD7712" w14:textId="77777777" w:rsidR="00584EC1" w:rsidRDefault="00584EC1">
            <w:pPr>
              <w:rPr>
                <w:rFonts w:ascii="宋体"/>
              </w:rPr>
            </w:pPr>
          </w:p>
        </w:tc>
        <w:tc>
          <w:tcPr>
            <w:tcW w:w="0" w:type="auto"/>
            <w:shd w:val="clear" w:color="auto" w:fill="auto"/>
            <w:vAlign w:val="bottom"/>
          </w:tcPr>
          <w:p w14:paraId="74DD7713" w14:textId="77777777" w:rsidR="00584EC1" w:rsidRDefault="00584EC1">
            <w:pPr>
              <w:rPr>
                <w:rFonts w:ascii="宋体"/>
              </w:rPr>
            </w:pPr>
          </w:p>
        </w:tc>
        <w:tc>
          <w:tcPr>
            <w:tcW w:w="0" w:type="auto"/>
            <w:shd w:val="clear" w:color="auto" w:fill="auto"/>
            <w:vAlign w:val="bottom"/>
          </w:tcPr>
          <w:p w14:paraId="74DD7714" w14:textId="77777777" w:rsidR="00584EC1" w:rsidRDefault="00584EC1">
            <w:pPr>
              <w:rPr>
                <w:rFonts w:ascii="宋体"/>
              </w:rPr>
            </w:pPr>
          </w:p>
        </w:tc>
      </w:tr>
      <w:tr w:rsidR="00584EC1" w14:paraId="74DD772F" w14:textId="77777777">
        <w:trPr>
          <w:trHeight w:val="180"/>
        </w:trPr>
        <w:tc>
          <w:tcPr>
            <w:tcW w:w="0" w:type="auto"/>
            <w:gridSpan w:val="3"/>
            <w:vMerge/>
            <w:shd w:val="clear" w:color="auto" w:fill="auto"/>
            <w:tcMar>
              <w:top w:w="40" w:type="dxa"/>
              <w:left w:w="20" w:type="dxa"/>
              <w:bottom w:w="40" w:type="dxa"/>
              <w:right w:w="20" w:type="dxa"/>
            </w:tcMar>
            <w:vAlign w:val="bottom"/>
          </w:tcPr>
          <w:p w14:paraId="74DD7716" w14:textId="77777777" w:rsidR="00584EC1" w:rsidRDefault="00584EC1">
            <w:pPr>
              <w:rPr>
                <w:rFonts w:ascii="宋体"/>
              </w:rPr>
            </w:pPr>
          </w:p>
        </w:tc>
        <w:tc>
          <w:tcPr>
            <w:tcW w:w="0" w:type="auto"/>
            <w:shd w:val="clear" w:color="auto" w:fill="auto"/>
            <w:vAlign w:val="bottom"/>
          </w:tcPr>
          <w:p w14:paraId="74DD7717" w14:textId="77777777" w:rsidR="00584EC1" w:rsidRDefault="00584EC1">
            <w:pPr>
              <w:rPr>
                <w:rFonts w:ascii="宋体"/>
                <w:vanish/>
              </w:rPr>
            </w:pPr>
          </w:p>
        </w:tc>
        <w:tc>
          <w:tcPr>
            <w:tcW w:w="0" w:type="auto"/>
            <w:shd w:val="clear" w:color="auto" w:fill="auto"/>
            <w:vAlign w:val="bottom"/>
          </w:tcPr>
          <w:p w14:paraId="74DD7718" w14:textId="77777777" w:rsidR="00584EC1" w:rsidRDefault="00584EC1">
            <w:pPr>
              <w:rPr>
                <w:rFonts w:ascii="宋体"/>
                <w:vanish/>
              </w:rPr>
            </w:pPr>
          </w:p>
        </w:tc>
        <w:tc>
          <w:tcPr>
            <w:tcW w:w="0" w:type="auto"/>
            <w:shd w:val="clear" w:color="auto" w:fill="auto"/>
            <w:vAlign w:val="bottom"/>
          </w:tcPr>
          <w:p w14:paraId="74DD7719" w14:textId="77777777" w:rsidR="00584EC1" w:rsidRDefault="00584EC1">
            <w:pPr>
              <w:rPr>
                <w:rFonts w:ascii="宋体"/>
                <w:vanish/>
              </w:rPr>
            </w:pPr>
          </w:p>
        </w:tc>
        <w:tc>
          <w:tcPr>
            <w:tcW w:w="0" w:type="auto"/>
            <w:shd w:val="clear" w:color="auto" w:fill="auto"/>
            <w:vAlign w:val="bottom"/>
          </w:tcPr>
          <w:p w14:paraId="74DD771A" w14:textId="77777777" w:rsidR="00584EC1" w:rsidRDefault="00584EC1">
            <w:pPr>
              <w:rPr>
                <w:rFonts w:ascii="宋体"/>
                <w:vanish/>
              </w:rPr>
            </w:pPr>
          </w:p>
        </w:tc>
        <w:tc>
          <w:tcPr>
            <w:tcW w:w="0" w:type="auto"/>
            <w:shd w:val="clear" w:color="auto" w:fill="auto"/>
            <w:vAlign w:val="bottom"/>
          </w:tcPr>
          <w:p w14:paraId="74DD771B" w14:textId="77777777" w:rsidR="00584EC1" w:rsidRDefault="00584EC1">
            <w:pPr>
              <w:rPr>
                <w:rFonts w:ascii="宋体"/>
                <w:vanish/>
              </w:rPr>
            </w:pPr>
          </w:p>
        </w:tc>
        <w:tc>
          <w:tcPr>
            <w:tcW w:w="0" w:type="auto"/>
            <w:shd w:val="clear" w:color="auto" w:fill="auto"/>
            <w:vAlign w:val="bottom"/>
          </w:tcPr>
          <w:p w14:paraId="74DD771C" w14:textId="77777777" w:rsidR="00584EC1" w:rsidRDefault="00584EC1">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771D" w14:textId="77777777" w:rsidR="00584EC1" w:rsidRDefault="00871F8D">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771E"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771F" w14:textId="77777777" w:rsidR="00584EC1" w:rsidRDefault="00871F8D">
            <w:pPr>
              <w:jc w:val="center"/>
              <w:textAlignment w:val="bottom"/>
            </w:pPr>
            <w:r>
              <w:rPr>
                <w:rFonts w:ascii="Arial" w:eastAsia="宋体" w:hAnsi="Arial" w:cs="Arial"/>
                <w:b/>
                <w:bCs/>
                <w:color w:val="000000"/>
                <w:sz w:val="14"/>
                <w:szCs w:val="14"/>
              </w:rPr>
              <w:t>2020</w:t>
            </w:r>
          </w:p>
        </w:tc>
        <w:tc>
          <w:tcPr>
            <w:tcW w:w="0" w:type="auto"/>
            <w:gridSpan w:val="3"/>
            <w:shd w:val="clear" w:color="auto" w:fill="auto"/>
            <w:tcMar>
              <w:top w:w="0" w:type="dxa"/>
              <w:left w:w="20" w:type="dxa"/>
              <w:bottom w:w="0" w:type="dxa"/>
              <w:right w:w="20" w:type="dxa"/>
            </w:tcMar>
            <w:vAlign w:val="bottom"/>
          </w:tcPr>
          <w:p w14:paraId="74DD7720" w14:textId="77777777" w:rsidR="00584EC1" w:rsidRDefault="00584EC1">
            <w:pPr>
              <w:rPr>
                <w:rFonts w:ascii="宋体"/>
              </w:rPr>
            </w:pPr>
          </w:p>
        </w:tc>
        <w:tc>
          <w:tcPr>
            <w:tcW w:w="0" w:type="auto"/>
            <w:vMerge/>
            <w:shd w:val="clear" w:color="auto" w:fill="auto"/>
            <w:tcMar>
              <w:top w:w="40" w:type="dxa"/>
              <w:left w:w="20" w:type="dxa"/>
              <w:bottom w:w="40" w:type="dxa"/>
              <w:right w:w="20" w:type="dxa"/>
            </w:tcMar>
            <w:vAlign w:val="bottom"/>
          </w:tcPr>
          <w:p w14:paraId="74DD7721" w14:textId="77777777" w:rsidR="00584EC1" w:rsidRDefault="00584EC1">
            <w:pPr>
              <w:jc w:val="center"/>
              <w:rPr>
                <w:rFonts w:ascii="宋体"/>
              </w:rPr>
            </w:pPr>
          </w:p>
        </w:tc>
        <w:tc>
          <w:tcPr>
            <w:tcW w:w="0" w:type="auto"/>
            <w:shd w:val="clear" w:color="auto" w:fill="auto"/>
            <w:vAlign w:val="bottom"/>
          </w:tcPr>
          <w:p w14:paraId="74DD7722" w14:textId="77777777" w:rsidR="00584EC1" w:rsidRDefault="00584EC1">
            <w:pPr>
              <w:rPr>
                <w:rFonts w:ascii="宋体"/>
                <w:vanish/>
              </w:rPr>
            </w:pPr>
          </w:p>
        </w:tc>
        <w:tc>
          <w:tcPr>
            <w:tcW w:w="0" w:type="auto"/>
            <w:gridSpan w:val="3"/>
            <w:shd w:val="clear" w:color="auto" w:fill="auto"/>
            <w:vAlign w:val="bottom"/>
          </w:tcPr>
          <w:p w14:paraId="74DD7723" w14:textId="77777777" w:rsidR="00584EC1" w:rsidRDefault="00584EC1">
            <w:pPr>
              <w:rPr>
                <w:rFonts w:ascii="宋体"/>
                <w:vanish/>
              </w:rPr>
            </w:pPr>
          </w:p>
        </w:tc>
        <w:tc>
          <w:tcPr>
            <w:tcW w:w="0" w:type="auto"/>
            <w:gridSpan w:val="3"/>
            <w:shd w:val="clear" w:color="auto" w:fill="auto"/>
            <w:vAlign w:val="bottom"/>
          </w:tcPr>
          <w:p w14:paraId="74DD7724" w14:textId="77777777" w:rsidR="00584EC1" w:rsidRDefault="00584EC1">
            <w:pPr>
              <w:rPr>
                <w:rFonts w:ascii="宋体"/>
                <w:vanish/>
              </w:rPr>
            </w:pPr>
          </w:p>
        </w:tc>
        <w:tc>
          <w:tcPr>
            <w:tcW w:w="0" w:type="auto"/>
            <w:gridSpan w:val="3"/>
            <w:shd w:val="clear" w:color="auto" w:fill="auto"/>
            <w:vAlign w:val="bottom"/>
          </w:tcPr>
          <w:p w14:paraId="74DD7725" w14:textId="77777777" w:rsidR="00584EC1" w:rsidRDefault="00584EC1">
            <w:pPr>
              <w:rPr>
                <w:rFonts w:ascii="宋体"/>
                <w:vanish/>
              </w:rPr>
            </w:pPr>
          </w:p>
        </w:tc>
        <w:tc>
          <w:tcPr>
            <w:tcW w:w="0" w:type="auto"/>
            <w:gridSpan w:val="3"/>
            <w:shd w:val="clear" w:color="auto" w:fill="auto"/>
            <w:vAlign w:val="bottom"/>
          </w:tcPr>
          <w:p w14:paraId="74DD7726" w14:textId="77777777" w:rsidR="00584EC1" w:rsidRDefault="00584EC1">
            <w:pPr>
              <w:rPr>
                <w:rFonts w:ascii="宋体"/>
                <w:vanish/>
              </w:rPr>
            </w:pPr>
          </w:p>
        </w:tc>
        <w:tc>
          <w:tcPr>
            <w:tcW w:w="0" w:type="auto"/>
            <w:gridSpan w:val="3"/>
            <w:shd w:val="clear" w:color="auto" w:fill="auto"/>
            <w:vAlign w:val="bottom"/>
          </w:tcPr>
          <w:p w14:paraId="74DD7727" w14:textId="77777777" w:rsidR="00584EC1" w:rsidRDefault="00584EC1">
            <w:pPr>
              <w:rPr>
                <w:rFonts w:ascii="宋体"/>
                <w:vanish/>
              </w:rPr>
            </w:pPr>
          </w:p>
        </w:tc>
        <w:tc>
          <w:tcPr>
            <w:tcW w:w="0" w:type="auto"/>
            <w:gridSpan w:val="3"/>
            <w:shd w:val="clear" w:color="auto" w:fill="auto"/>
            <w:vAlign w:val="bottom"/>
          </w:tcPr>
          <w:p w14:paraId="74DD7728" w14:textId="77777777" w:rsidR="00584EC1" w:rsidRDefault="00584EC1">
            <w:pPr>
              <w:rPr>
                <w:rFonts w:ascii="宋体"/>
                <w:vanish/>
              </w:rPr>
            </w:pPr>
          </w:p>
        </w:tc>
        <w:tc>
          <w:tcPr>
            <w:tcW w:w="0" w:type="auto"/>
            <w:shd w:val="clear" w:color="auto" w:fill="auto"/>
            <w:vAlign w:val="bottom"/>
          </w:tcPr>
          <w:p w14:paraId="74DD7729" w14:textId="77777777" w:rsidR="00584EC1" w:rsidRDefault="00584EC1">
            <w:pPr>
              <w:rPr>
                <w:rFonts w:ascii="宋体"/>
              </w:rPr>
            </w:pPr>
          </w:p>
        </w:tc>
        <w:tc>
          <w:tcPr>
            <w:tcW w:w="0" w:type="auto"/>
            <w:shd w:val="clear" w:color="auto" w:fill="auto"/>
            <w:vAlign w:val="bottom"/>
          </w:tcPr>
          <w:p w14:paraId="74DD772A" w14:textId="77777777" w:rsidR="00584EC1" w:rsidRDefault="00584EC1">
            <w:pPr>
              <w:rPr>
                <w:rFonts w:ascii="宋体"/>
              </w:rPr>
            </w:pPr>
          </w:p>
        </w:tc>
        <w:tc>
          <w:tcPr>
            <w:tcW w:w="0" w:type="auto"/>
            <w:shd w:val="clear" w:color="auto" w:fill="auto"/>
            <w:vAlign w:val="bottom"/>
          </w:tcPr>
          <w:p w14:paraId="74DD772B" w14:textId="77777777" w:rsidR="00584EC1" w:rsidRDefault="00584EC1">
            <w:pPr>
              <w:rPr>
                <w:rFonts w:ascii="宋体"/>
              </w:rPr>
            </w:pPr>
          </w:p>
        </w:tc>
        <w:tc>
          <w:tcPr>
            <w:tcW w:w="0" w:type="auto"/>
            <w:shd w:val="clear" w:color="auto" w:fill="auto"/>
            <w:vAlign w:val="bottom"/>
          </w:tcPr>
          <w:p w14:paraId="74DD772C" w14:textId="77777777" w:rsidR="00584EC1" w:rsidRDefault="00584EC1">
            <w:pPr>
              <w:rPr>
                <w:rFonts w:ascii="宋体"/>
              </w:rPr>
            </w:pPr>
          </w:p>
        </w:tc>
        <w:tc>
          <w:tcPr>
            <w:tcW w:w="0" w:type="auto"/>
            <w:shd w:val="clear" w:color="auto" w:fill="auto"/>
            <w:vAlign w:val="bottom"/>
          </w:tcPr>
          <w:p w14:paraId="74DD772D" w14:textId="77777777" w:rsidR="00584EC1" w:rsidRDefault="00584EC1">
            <w:pPr>
              <w:rPr>
                <w:rFonts w:ascii="宋体"/>
              </w:rPr>
            </w:pPr>
          </w:p>
        </w:tc>
        <w:tc>
          <w:tcPr>
            <w:tcW w:w="0" w:type="auto"/>
            <w:shd w:val="clear" w:color="auto" w:fill="auto"/>
            <w:vAlign w:val="bottom"/>
          </w:tcPr>
          <w:p w14:paraId="74DD772E" w14:textId="77777777" w:rsidR="00584EC1" w:rsidRDefault="00584EC1">
            <w:pPr>
              <w:rPr>
                <w:rFonts w:ascii="宋体"/>
              </w:rPr>
            </w:pPr>
          </w:p>
        </w:tc>
      </w:tr>
      <w:tr w:rsidR="00584EC1" w14:paraId="74DD774B" w14:textId="77777777">
        <w:tc>
          <w:tcPr>
            <w:tcW w:w="0" w:type="auto"/>
            <w:gridSpan w:val="3"/>
            <w:shd w:val="clear" w:color="auto" w:fill="CCEEFF"/>
            <w:tcMar>
              <w:top w:w="40" w:type="dxa"/>
              <w:left w:w="20" w:type="dxa"/>
              <w:bottom w:w="40" w:type="dxa"/>
              <w:right w:w="20" w:type="dxa"/>
            </w:tcMar>
            <w:vAlign w:val="bottom"/>
          </w:tcPr>
          <w:p w14:paraId="74DD7730" w14:textId="77777777" w:rsidR="00584EC1" w:rsidRDefault="00871F8D">
            <w:pPr>
              <w:textAlignment w:val="bottom"/>
            </w:pPr>
            <w:r>
              <w:rPr>
                <w:rFonts w:ascii="Arial" w:eastAsia="宋体" w:hAnsi="Arial" w:cs="Arial"/>
                <w:color w:val="000000"/>
                <w:sz w:val="14"/>
                <w:szCs w:val="14"/>
              </w:rPr>
              <w:t>Servicing fees</w:t>
            </w:r>
          </w:p>
        </w:tc>
        <w:tc>
          <w:tcPr>
            <w:tcW w:w="0" w:type="auto"/>
            <w:shd w:val="clear" w:color="auto" w:fill="auto"/>
            <w:vAlign w:val="bottom"/>
          </w:tcPr>
          <w:p w14:paraId="74DD7731" w14:textId="77777777" w:rsidR="00584EC1" w:rsidRDefault="00584EC1">
            <w:pPr>
              <w:rPr>
                <w:rFonts w:ascii="宋体"/>
                <w:vanish/>
              </w:rPr>
            </w:pPr>
          </w:p>
        </w:tc>
        <w:tc>
          <w:tcPr>
            <w:tcW w:w="0" w:type="auto"/>
            <w:shd w:val="clear" w:color="auto" w:fill="auto"/>
            <w:vAlign w:val="bottom"/>
          </w:tcPr>
          <w:p w14:paraId="74DD7732" w14:textId="77777777" w:rsidR="00584EC1" w:rsidRDefault="00584EC1">
            <w:pPr>
              <w:rPr>
                <w:rFonts w:ascii="宋体"/>
                <w:vanish/>
              </w:rPr>
            </w:pPr>
          </w:p>
        </w:tc>
        <w:tc>
          <w:tcPr>
            <w:tcW w:w="0" w:type="auto"/>
            <w:shd w:val="clear" w:color="auto" w:fill="auto"/>
            <w:vAlign w:val="bottom"/>
          </w:tcPr>
          <w:p w14:paraId="74DD7733" w14:textId="77777777" w:rsidR="00584EC1" w:rsidRDefault="00584EC1">
            <w:pPr>
              <w:rPr>
                <w:rFonts w:ascii="宋体"/>
                <w:vanish/>
              </w:rPr>
            </w:pPr>
          </w:p>
        </w:tc>
        <w:tc>
          <w:tcPr>
            <w:tcW w:w="0" w:type="auto"/>
            <w:shd w:val="clear" w:color="auto" w:fill="auto"/>
            <w:vAlign w:val="bottom"/>
          </w:tcPr>
          <w:p w14:paraId="74DD7734" w14:textId="77777777" w:rsidR="00584EC1" w:rsidRDefault="00584EC1">
            <w:pPr>
              <w:rPr>
                <w:rFonts w:ascii="宋体"/>
                <w:vanish/>
              </w:rPr>
            </w:pPr>
          </w:p>
        </w:tc>
        <w:tc>
          <w:tcPr>
            <w:tcW w:w="0" w:type="auto"/>
            <w:shd w:val="clear" w:color="auto" w:fill="auto"/>
            <w:vAlign w:val="bottom"/>
          </w:tcPr>
          <w:p w14:paraId="74DD7735" w14:textId="77777777" w:rsidR="00584EC1" w:rsidRDefault="00584EC1">
            <w:pPr>
              <w:rPr>
                <w:rFonts w:ascii="宋体"/>
                <w:vanish/>
              </w:rPr>
            </w:pPr>
          </w:p>
        </w:tc>
        <w:tc>
          <w:tcPr>
            <w:tcW w:w="0" w:type="auto"/>
            <w:shd w:val="clear" w:color="auto" w:fill="auto"/>
            <w:vAlign w:val="bottom"/>
          </w:tcPr>
          <w:p w14:paraId="74DD7736" w14:textId="77777777" w:rsidR="00584EC1" w:rsidRDefault="00584EC1">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7737"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7738" w14:textId="77777777" w:rsidR="00584EC1" w:rsidRDefault="00871F8D">
            <w:pPr>
              <w:jc w:val="right"/>
              <w:textAlignment w:val="bottom"/>
            </w:pPr>
            <w:r>
              <w:rPr>
                <w:rFonts w:ascii="Arial" w:eastAsia="宋体" w:hAnsi="Arial" w:cs="Arial"/>
                <w:b/>
                <w:bCs/>
                <w:color w:val="000000"/>
                <w:sz w:val="14"/>
                <w:szCs w:val="14"/>
              </w:rPr>
              <w:t>4,165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73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73A"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773B"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773C" w14:textId="77777777" w:rsidR="00584EC1" w:rsidRDefault="00871F8D">
            <w:pPr>
              <w:jc w:val="right"/>
              <w:textAlignment w:val="bottom"/>
            </w:pPr>
            <w:r>
              <w:rPr>
                <w:rFonts w:ascii="Arial" w:eastAsia="宋体" w:hAnsi="Arial" w:cs="Arial"/>
                <w:color w:val="000000"/>
                <w:sz w:val="14"/>
                <w:szCs w:val="14"/>
              </w:rPr>
              <w:t>3,860 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73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73E" w14:textId="77777777" w:rsidR="00584EC1" w:rsidRDefault="00584EC1">
            <w:pPr>
              <w:rPr>
                <w:rFonts w:ascii="宋体"/>
              </w:rPr>
            </w:pPr>
          </w:p>
        </w:tc>
        <w:tc>
          <w:tcPr>
            <w:tcW w:w="0" w:type="auto"/>
            <w:shd w:val="clear" w:color="auto" w:fill="auto"/>
            <w:vAlign w:val="bottom"/>
          </w:tcPr>
          <w:p w14:paraId="74DD773F" w14:textId="77777777" w:rsidR="00584EC1" w:rsidRDefault="00584EC1">
            <w:pPr>
              <w:rPr>
                <w:rFonts w:ascii="宋体"/>
                <w:vanish/>
              </w:rPr>
            </w:pPr>
          </w:p>
        </w:tc>
        <w:tc>
          <w:tcPr>
            <w:tcW w:w="0" w:type="auto"/>
            <w:shd w:val="clear" w:color="auto" w:fill="auto"/>
            <w:vAlign w:val="bottom"/>
          </w:tcPr>
          <w:p w14:paraId="74DD7740" w14:textId="77777777" w:rsidR="00584EC1" w:rsidRDefault="00584EC1">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7741" w14:textId="77777777" w:rsidR="00584EC1" w:rsidRDefault="00871F8D">
            <w:pPr>
              <w:jc w:val="right"/>
              <w:textAlignment w:val="bottom"/>
            </w:pPr>
            <w:r>
              <w:rPr>
                <w:rFonts w:ascii="Arial" w:eastAsia="宋体" w:hAnsi="Arial" w:cs="Arial"/>
                <w:color w:val="000000"/>
                <w:sz w:val="14"/>
                <w:szCs w:val="14"/>
              </w:rPr>
              <w:t>8 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742" w14:textId="77777777" w:rsidR="00584EC1" w:rsidRDefault="00871F8D">
            <w:pPr>
              <w:jc w:val="right"/>
              <w:textAlignment w:val="bottom"/>
            </w:pPr>
            <w:r>
              <w:rPr>
                <w:rFonts w:ascii="Arial" w:eastAsia="宋体" w:hAnsi="Arial" w:cs="Arial"/>
                <w:color w:val="000000"/>
                <w:sz w:val="14"/>
                <w:szCs w:val="14"/>
              </w:rPr>
              <w:t>%</w:t>
            </w:r>
          </w:p>
        </w:tc>
        <w:tc>
          <w:tcPr>
            <w:tcW w:w="0" w:type="auto"/>
            <w:gridSpan w:val="3"/>
            <w:shd w:val="clear" w:color="auto" w:fill="auto"/>
            <w:vAlign w:val="bottom"/>
          </w:tcPr>
          <w:p w14:paraId="74DD7743" w14:textId="77777777" w:rsidR="00584EC1" w:rsidRDefault="00584EC1">
            <w:pPr>
              <w:rPr>
                <w:rFonts w:ascii="宋体"/>
                <w:vanish/>
              </w:rPr>
            </w:pPr>
          </w:p>
        </w:tc>
        <w:tc>
          <w:tcPr>
            <w:tcW w:w="0" w:type="auto"/>
            <w:gridSpan w:val="3"/>
            <w:shd w:val="clear" w:color="auto" w:fill="auto"/>
            <w:vAlign w:val="bottom"/>
          </w:tcPr>
          <w:p w14:paraId="74DD7744" w14:textId="77777777" w:rsidR="00584EC1" w:rsidRDefault="00584EC1">
            <w:pPr>
              <w:rPr>
                <w:rFonts w:ascii="宋体"/>
                <w:vanish/>
              </w:rPr>
            </w:pPr>
          </w:p>
        </w:tc>
        <w:tc>
          <w:tcPr>
            <w:tcW w:w="0" w:type="auto"/>
            <w:gridSpan w:val="3"/>
            <w:shd w:val="clear" w:color="auto" w:fill="auto"/>
            <w:vAlign w:val="bottom"/>
          </w:tcPr>
          <w:p w14:paraId="74DD7745" w14:textId="77777777" w:rsidR="00584EC1" w:rsidRDefault="00584EC1">
            <w:pPr>
              <w:rPr>
                <w:rFonts w:ascii="宋体"/>
                <w:vanish/>
              </w:rPr>
            </w:pPr>
          </w:p>
        </w:tc>
        <w:tc>
          <w:tcPr>
            <w:tcW w:w="0" w:type="auto"/>
            <w:gridSpan w:val="3"/>
            <w:shd w:val="clear" w:color="auto" w:fill="auto"/>
            <w:vAlign w:val="bottom"/>
          </w:tcPr>
          <w:p w14:paraId="74DD7746" w14:textId="77777777" w:rsidR="00584EC1" w:rsidRDefault="00584EC1">
            <w:pPr>
              <w:rPr>
                <w:rFonts w:ascii="宋体"/>
                <w:vanish/>
              </w:rPr>
            </w:pPr>
          </w:p>
        </w:tc>
        <w:tc>
          <w:tcPr>
            <w:tcW w:w="0" w:type="auto"/>
            <w:gridSpan w:val="3"/>
            <w:shd w:val="clear" w:color="auto" w:fill="auto"/>
            <w:vAlign w:val="bottom"/>
          </w:tcPr>
          <w:p w14:paraId="74DD7747" w14:textId="77777777" w:rsidR="00584EC1" w:rsidRDefault="00584EC1">
            <w:pPr>
              <w:rPr>
                <w:rFonts w:ascii="宋体"/>
                <w:vanish/>
              </w:rPr>
            </w:pPr>
          </w:p>
        </w:tc>
        <w:tc>
          <w:tcPr>
            <w:tcW w:w="0" w:type="auto"/>
            <w:gridSpan w:val="3"/>
            <w:shd w:val="clear" w:color="auto" w:fill="auto"/>
            <w:vAlign w:val="bottom"/>
          </w:tcPr>
          <w:p w14:paraId="74DD7748" w14:textId="77777777" w:rsidR="00584EC1" w:rsidRDefault="00584EC1">
            <w:pPr>
              <w:rPr>
                <w:rFonts w:ascii="宋体"/>
                <w:vanish/>
              </w:rPr>
            </w:pPr>
          </w:p>
        </w:tc>
        <w:tc>
          <w:tcPr>
            <w:tcW w:w="0" w:type="auto"/>
            <w:gridSpan w:val="2"/>
            <w:shd w:val="clear" w:color="auto" w:fill="auto"/>
            <w:vAlign w:val="bottom"/>
          </w:tcPr>
          <w:p w14:paraId="74DD7749" w14:textId="77777777" w:rsidR="00584EC1" w:rsidRDefault="00584EC1">
            <w:pPr>
              <w:rPr>
                <w:rFonts w:ascii="宋体"/>
                <w:vanish/>
              </w:rPr>
            </w:pPr>
          </w:p>
        </w:tc>
        <w:tc>
          <w:tcPr>
            <w:tcW w:w="0" w:type="auto"/>
            <w:shd w:val="clear" w:color="auto" w:fill="auto"/>
            <w:vAlign w:val="bottom"/>
          </w:tcPr>
          <w:p w14:paraId="74DD774A" w14:textId="77777777" w:rsidR="00584EC1" w:rsidRDefault="00584EC1">
            <w:pPr>
              <w:rPr>
                <w:rFonts w:ascii="宋体"/>
                <w:vanish/>
              </w:rPr>
            </w:pPr>
          </w:p>
        </w:tc>
      </w:tr>
      <w:tr w:rsidR="00584EC1" w14:paraId="74DD7765" w14:textId="77777777">
        <w:tc>
          <w:tcPr>
            <w:tcW w:w="0" w:type="auto"/>
            <w:gridSpan w:val="3"/>
            <w:shd w:val="clear" w:color="auto" w:fill="FFFFFF"/>
            <w:tcMar>
              <w:top w:w="40" w:type="dxa"/>
              <w:left w:w="20" w:type="dxa"/>
              <w:bottom w:w="40" w:type="dxa"/>
              <w:right w:w="20" w:type="dxa"/>
            </w:tcMar>
            <w:vAlign w:val="bottom"/>
          </w:tcPr>
          <w:p w14:paraId="74DD774C" w14:textId="77777777" w:rsidR="00584EC1" w:rsidRDefault="00871F8D">
            <w:pPr>
              <w:textAlignment w:val="bottom"/>
            </w:pPr>
            <w:r>
              <w:rPr>
                <w:rFonts w:ascii="Arial" w:eastAsia="宋体" w:hAnsi="Arial" w:cs="Arial"/>
                <w:color w:val="000000"/>
                <w:sz w:val="14"/>
                <w:szCs w:val="14"/>
              </w:rPr>
              <w:t>Foreign exchange trading services</w:t>
            </w:r>
          </w:p>
        </w:tc>
        <w:tc>
          <w:tcPr>
            <w:tcW w:w="0" w:type="auto"/>
            <w:shd w:val="clear" w:color="auto" w:fill="auto"/>
            <w:vAlign w:val="bottom"/>
          </w:tcPr>
          <w:p w14:paraId="74DD774D" w14:textId="77777777" w:rsidR="00584EC1" w:rsidRDefault="00584EC1">
            <w:pPr>
              <w:rPr>
                <w:rFonts w:ascii="宋体"/>
                <w:vanish/>
              </w:rPr>
            </w:pPr>
          </w:p>
        </w:tc>
        <w:tc>
          <w:tcPr>
            <w:tcW w:w="0" w:type="auto"/>
            <w:shd w:val="clear" w:color="auto" w:fill="auto"/>
            <w:vAlign w:val="bottom"/>
          </w:tcPr>
          <w:p w14:paraId="74DD774E" w14:textId="77777777" w:rsidR="00584EC1" w:rsidRDefault="00584EC1">
            <w:pPr>
              <w:rPr>
                <w:rFonts w:ascii="宋体"/>
                <w:vanish/>
              </w:rPr>
            </w:pPr>
          </w:p>
        </w:tc>
        <w:tc>
          <w:tcPr>
            <w:tcW w:w="0" w:type="auto"/>
            <w:shd w:val="clear" w:color="auto" w:fill="auto"/>
            <w:vAlign w:val="bottom"/>
          </w:tcPr>
          <w:p w14:paraId="74DD774F" w14:textId="77777777" w:rsidR="00584EC1" w:rsidRDefault="00584EC1">
            <w:pPr>
              <w:rPr>
                <w:rFonts w:ascii="宋体"/>
                <w:vanish/>
              </w:rPr>
            </w:pPr>
          </w:p>
        </w:tc>
        <w:tc>
          <w:tcPr>
            <w:tcW w:w="0" w:type="auto"/>
            <w:shd w:val="clear" w:color="auto" w:fill="auto"/>
            <w:vAlign w:val="bottom"/>
          </w:tcPr>
          <w:p w14:paraId="74DD7750" w14:textId="77777777" w:rsidR="00584EC1" w:rsidRDefault="00584EC1">
            <w:pPr>
              <w:rPr>
                <w:rFonts w:ascii="宋体"/>
                <w:vanish/>
              </w:rPr>
            </w:pPr>
          </w:p>
        </w:tc>
        <w:tc>
          <w:tcPr>
            <w:tcW w:w="0" w:type="auto"/>
            <w:shd w:val="clear" w:color="auto" w:fill="auto"/>
            <w:vAlign w:val="bottom"/>
          </w:tcPr>
          <w:p w14:paraId="74DD7751" w14:textId="77777777" w:rsidR="00584EC1" w:rsidRDefault="00584EC1">
            <w:pPr>
              <w:rPr>
                <w:rFonts w:ascii="宋体"/>
                <w:vanish/>
              </w:rPr>
            </w:pPr>
          </w:p>
        </w:tc>
        <w:tc>
          <w:tcPr>
            <w:tcW w:w="0" w:type="auto"/>
            <w:shd w:val="clear" w:color="auto" w:fill="auto"/>
            <w:vAlign w:val="bottom"/>
          </w:tcPr>
          <w:p w14:paraId="74DD7752"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D7753" w14:textId="77777777" w:rsidR="00584EC1" w:rsidRDefault="00871F8D">
            <w:pPr>
              <w:jc w:val="right"/>
              <w:textAlignment w:val="bottom"/>
            </w:pPr>
            <w:r>
              <w:rPr>
                <w:rFonts w:ascii="Arial" w:eastAsia="宋体" w:hAnsi="Arial" w:cs="Arial"/>
                <w:b/>
                <w:bCs/>
                <w:color w:val="000000"/>
                <w:sz w:val="14"/>
                <w:szCs w:val="14"/>
              </w:rPr>
              <w:t>869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775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755"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756" w14:textId="77777777" w:rsidR="00584EC1" w:rsidRDefault="00871F8D">
            <w:pPr>
              <w:jc w:val="right"/>
              <w:textAlignment w:val="bottom"/>
            </w:pPr>
            <w:r>
              <w:rPr>
                <w:rFonts w:ascii="Arial" w:eastAsia="宋体" w:hAnsi="Arial" w:cs="Arial"/>
                <w:color w:val="000000"/>
                <w:sz w:val="14"/>
                <w:szCs w:val="14"/>
              </w:rPr>
              <w:t>998 </w:t>
            </w:r>
          </w:p>
        </w:tc>
        <w:tc>
          <w:tcPr>
            <w:tcW w:w="0" w:type="auto"/>
            <w:shd w:val="clear" w:color="auto" w:fill="FFFFFF"/>
            <w:tcMar>
              <w:top w:w="40" w:type="dxa"/>
              <w:left w:w="0" w:type="dxa"/>
              <w:bottom w:w="40" w:type="dxa"/>
              <w:right w:w="20" w:type="dxa"/>
            </w:tcMar>
            <w:vAlign w:val="bottom"/>
          </w:tcPr>
          <w:p w14:paraId="74DD775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758" w14:textId="77777777" w:rsidR="00584EC1" w:rsidRDefault="00584EC1">
            <w:pPr>
              <w:rPr>
                <w:rFonts w:ascii="宋体"/>
              </w:rPr>
            </w:pPr>
          </w:p>
        </w:tc>
        <w:tc>
          <w:tcPr>
            <w:tcW w:w="0" w:type="auto"/>
            <w:shd w:val="clear" w:color="auto" w:fill="auto"/>
            <w:vAlign w:val="bottom"/>
          </w:tcPr>
          <w:p w14:paraId="74DD7759" w14:textId="77777777" w:rsidR="00584EC1" w:rsidRDefault="00584EC1">
            <w:pPr>
              <w:rPr>
                <w:rFonts w:ascii="宋体"/>
                <w:vanish/>
              </w:rPr>
            </w:pPr>
          </w:p>
        </w:tc>
        <w:tc>
          <w:tcPr>
            <w:tcW w:w="0" w:type="auto"/>
            <w:shd w:val="clear" w:color="auto" w:fill="auto"/>
            <w:vAlign w:val="bottom"/>
          </w:tcPr>
          <w:p w14:paraId="74DD775A"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D775B" w14:textId="77777777" w:rsidR="00584EC1" w:rsidRDefault="00871F8D">
            <w:pPr>
              <w:jc w:val="right"/>
              <w:textAlignment w:val="bottom"/>
            </w:pPr>
            <w:r>
              <w:rPr>
                <w:rFonts w:ascii="Arial" w:eastAsia="宋体" w:hAnsi="Arial" w:cs="Arial"/>
                <w:color w:val="000000"/>
                <w:sz w:val="14"/>
                <w:szCs w:val="14"/>
              </w:rPr>
              <w:t>(13)</w:t>
            </w:r>
          </w:p>
        </w:tc>
        <w:tc>
          <w:tcPr>
            <w:tcW w:w="0" w:type="auto"/>
            <w:shd w:val="clear" w:color="auto" w:fill="FFFFFF"/>
            <w:tcMar>
              <w:top w:w="40" w:type="dxa"/>
              <w:left w:w="0" w:type="dxa"/>
              <w:bottom w:w="40" w:type="dxa"/>
              <w:right w:w="20" w:type="dxa"/>
            </w:tcMar>
            <w:vAlign w:val="bottom"/>
          </w:tcPr>
          <w:p w14:paraId="74DD775C" w14:textId="77777777" w:rsidR="00584EC1" w:rsidRDefault="00584EC1">
            <w:pPr>
              <w:jc w:val="right"/>
              <w:rPr>
                <w:rFonts w:ascii="宋体"/>
              </w:rPr>
            </w:pPr>
          </w:p>
        </w:tc>
        <w:tc>
          <w:tcPr>
            <w:tcW w:w="0" w:type="auto"/>
            <w:gridSpan w:val="3"/>
            <w:shd w:val="clear" w:color="auto" w:fill="auto"/>
            <w:vAlign w:val="bottom"/>
          </w:tcPr>
          <w:p w14:paraId="74DD775D" w14:textId="77777777" w:rsidR="00584EC1" w:rsidRDefault="00584EC1">
            <w:pPr>
              <w:rPr>
                <w:rFonts w:ascii="宋体"/>
                <w:vanish/>
              </w:rPr>
            </w:pPr>
          </w:p>
        </w:tc>
        <w:tc>
          <w:tcPr>
            <w:tcW w:w="0" w:type="auto"/>
            <w:gridSpan w:val="3"/>
            <w:shd w:val="clear" w:color="auto" w:fill="auto"/>
            <w:vAlign w:val="bottom"/>
          </w:tcPr>
          <w:p w14:paraId="74DD775E" w14:textId="77777777" w:rsidR="00584EC1" w:rsidRDefault="00584EC1">
            <w:pPr>
              <w:rPr>
                <w:rFonts w:ascii="宋体"/>
                <w:vanish/>
              </w:rPr>
            </w:pPr>
          </w:p>
        </w:tc>
        <w:tc>
          <w:tcPr>
            <w:tcW w:w="0" w:type="auto"/>
            <w:gridSpan w:val="3"/>
            <w:shd w:val="clear" w:color="auto" w:fill="auto"/>
            <w:vAlign w:val="bottom"/>
          </w:tcPr>
          <w:p w14:paraId="74DD775F" w14:textId="77777777" w:rsidR="00584EC1" w:rsidRDefault="00584EC1">
            <w:pPr>
              <w:rPr>
                <w:rFonts w:ascii="宋体"/>
                <w:vanish/>
              </w:rPr>
            </w:pPr>
          </w:p>
        </w:tc>
        <w:tc>
          <w:tcPr>
            <w:tcW w:w="0" w:type="auto"/>
            <w:gridSpan w:val="3"/>
            <w:shd w:val="clear" w:color="auto" w:fill="auto"/>
            <w:vAlign w:val="bottom"/>
          </w:tcPr>
          <w:p w14:paraId="74DD7760" w14:textId="77777777" w:rsidR="00584EC1" w:rsidRDefault="00584EC1">
            <w:pPr>
              <w:rPr>
                <w:rFonts w:ascii="宋体"/>
                <w:vanish/>
              </w:rPr>
            </w:pPr>
          </w:p>
        </w:tc>
        <w:tc>
          <w:tcPr>
            <w:tcW w:w="0" w:type="auto"/>
            <w:gridSpan w:val="3"/>
            <w:shd w:val="clear" w:color="auto" w:fill="auto"/>
            <w:vAlign w:val="bottom"/>
          </w:tcPr>
          <w:p w14:paraId="74DD7761" w14:textId="77777777" w:rsidR="00584EC1" w:rsidRDefault="00584EC1">
            <w:pPr>
              <w:rPr>
                <w:rFonts w:ascii="宋体"/>
                <w:vanish/>
              </w:rPr>
            </w:pPr>
          </w:p>
        </w:tc>
        <w:tc>
          <w:tcPr>
            <w:tcW w:w="0" w:type="auto"/>
            <w:gridSpan w:val="3"/>
            <w:shd w:val="clear" w:color="auto" w:fill="auto"/>
            <w:vAlign w:val="bottom"/>
          </w:tcPr>
          <w:p w14:paraId="74DD7762" w14:textId="77777777" w:rsidR="00584EC1" w:rsidRDefault="00584EC1">
            <w:pPr>
              <w:rPr>
                <w:rFonts w:ascii="宋体"/>
                <w:vanish/>
              </w:rPr>
            </w:pPr>
          </w:p>
        </w:tc>
        <w:tc>
          <w:tcPr>
            <w:tcW w:w="0" w:type="auto"/>
            <w:gridSpan w:val="2"/>
            <w:shd w:val="clear" w:color="auto" w:fill="auto"/>
            <w:vAlign w:val="bottom"/>
          </w:tcPr>
          <w:p w14:paraId="74DD7763" w14:textId="77777777" w:rsidR="00584EC1" w:rsidRDefault="00584EC1">
            <w:pPr>
              <w:rPr>
                <w:rFonts w:ascii="宋体"/>
                <w:vanish/>
              </w:rPr>
            </w:pPr>
          </w:p>
        </w:tc>
        <w:tc>
          <w:tcPr>
            <w:tcW w:w="0" w:type="auto"/>
            <w:shd w:val="clear" w:color="auto" w:fill="auto"/>
            <w:vAlign w:val="bottom"/>
          </w:tcPr>
          <w:p w14:paraId="74DD7764" w14:textId="77777777" w:rsidR="00584EC1" w:rsidRDefault="00584EC1">
            <w:pPr>
              <w:rPr>
                <w:rFonts w:ascii="宋体"/>
                <w:vanish/>
              </w:rPr>
            </w:pPr>
          </w:p>
        </w:tc>
      </w:tr>
      <w:tr w:rsidR="00584EC1" w14:paraId="74DD777F" w14:textId="77777777">
        <w:tc>
          <w:tcPr>
            <w:tcW w:w="0" w:type="auto"/>
            <w:gridSpan w:val="3"/>
            <w:shd w:val="clear" w:color="auto" w:fill="CCEEFF"/>
            <w:tcMar>
              <w:top w:w="40" w:type="dxa"/>
              <w:left w:w="20" w:type="dxa"/>
              <w:bottom w:w="40" w:type="dxa"/>
              <w:right w:w="20" w:type="dxa"/>
            </w:tcMar>
            <w:vAlign w:val="bottom"/>
          </w:tcPr>
          <w:p w14:paraId="74DD7766" w14:textId="77777777" w:rsidR="00584EC1" w:rsidRDefault="00871F8D">
            <w:pPr>
              <w:textAlignment w:val="bottom"/>
            </w:pPr>
            <w:r>
              <w:rPr>
                <w:rFonts w:ascii="Arial" w:eastAsia="宋体" w:hAnsi="Arial" w:cs="Arial"/>
                <w:color w:val="000000"/>
                <w:sz w:val="14"/>
                <w:szCs w:val="14"/>
              </w:rPr>
              <w:t>Securities finance</w:t>
            </w:r>
          </w:p>
        </w:tc>
        <w:tc>
          <w:tcPr>
            <w:tcW w:w="0" w:type="auto"/>
            <w:shd w:val="clear" w:color="auto" w:fill="auto"/>
            <w:vAlign w:val="bottom"/>
          </w:tcPr>
          <w:p w14:paraId="74DD7767" w14:textId="77777777" w:rsidR="00584EC1" w:rsidRDefault="00584EC1">
            <w:pPr>
              <w:rPr>
                <w:rFonts w:ascii="宋体"/>
                <w:vanish/>
              </w:rPr>
            </w:pPr>
          </w:p>
        </w:tc>
        <w:tc>
          <w:tcPr>
            <w:tcW w:w="0" w:type="auto"/>
            <w:shd w:val="clear" w:color="auto" w:fill="auto"/>
            <w:vAlign w:val="bottom"/>
          </w:tcPr>
          <w:p w14:paraId="74DD7768" w14:textId="77777777" w:rsidR="00584EC1" w:rsidRDefault="00584EC1">
            <w:pPr>
              <w:rPr>
                <w:rFonts w:ascii="宋体"/>
                <w:vanish/>
              </w:rPr>
            </w:pPr>
          </w:p>
        </w:tc>
        <w:tc>
          <w:tcPr>
            <w:tcW w:w="0" w:type="auto"/>
            <w:shd w:val="clear" w:color="auto" w:fill="auto"/>
            <w:vAlign w:val="bottom"/>
          </w:tcPr>
          <w:p w14:paraId="74DD7769" w14:textId="77777777" w:rsidR="00584EC1" w:rsidRDefault="00584EC1">
            <w:pPr>
              <w:rPr>
                <w:rFonts w:ascii="宋体"/>
                <w:vanish/>
              </w:rPr>
            </w:pPr>
          </w:p>
        </w:tc>
        <w:tc>
          <w:tcPr>
            <w:tcW w:w="0" w:type="auto"/>
            <w:shd w:val="clear" w:color="auto" w:fill="auto"/>
            <w:vAlign w:val="bottom"/>
          </w:tcPr>
          <w:p w14:paraId="74DD776A" w14:textId="77777777" w:rsidR="00584EC1" w:rsidRDefault="00584EC1">
            <w:pPr>
              <w:rPr>
                <w:rFonts w:ascii="宋体"/>
                <w:vanish/>
              </w:rPr>
            </w:pPr>
          </w:p>
        </w:tc>
        <w:tc>
          <w:tcPr>
            <w:tcW w:w="0" w:type="auto"/>
            <w:shd w:val="clear" w:color="auto" w:fill="auto"/>
            <w:vAlign w:val="bottom"/>
          </w:tcPr>
          <w:p w14:paraId="74DD776B" w14:textId="77777777" w:rsidR="00584EC1" w:rsidRDefault="00584EC1">
            <w:pPr>
              <w:rPr>
                <w:rFonts w:ascii="宋体"/>
                <w:vanish/>
              </w:rPr>
            </w:pPr>
          </w:p>
        </w:tc>
        <w:tc>
          <w:tcPr>
            <w:tcW w:w="0" w:type="auto"/>
            <w:shd w:val="clear" w:color="auto" w:fill="auto"/>
            <w:vAlign w:val="bottom"/>
          </w:tcPr>
          <w:p w14:paraId="74DD776C" w14:textId="77777777" w:rsidR="00584EC1" w:rsidRDefault="00584EC1">
            <w:pPr>
              <w:rPr>
                <w:rFonts w:ascii="宋体"/>
                <w:vanish/>
              </w:rPr>
            </w:pPr>
          </w:p>
        </w:tc>
        <w:tc>
          <w:tcPr>
            <w:tcW w:w="0" w:type="auto"/>
            <w:gridSpan w:val="2"/>
            <w:shd w:val="clear" w:color="auto" w:fill="CCEEFF"/>
            <w:tcMar>
              <w:top w:w="40" w:type="dxa"/>
              <w:left w:w="20" w:type="dxa"/>
              <w:bottom w:w="40" w:type="dxa"/>
              <w:right w:w="0" w:type="dxa"/>
            </w:tcMar>
            <w:vAlign w:val="bottom"/>
          </w:tcPr>
          <w:p w14:paraId="74DD776D" w14:textId="77777777" w:rsidR="00584EC1" w:rsidRDefault="00871F8D">
            <w:pPr>
              <w:jc w:val="right"/>
              <w:textAlignment w:val="bottom"/>
            </w:pPr>
            <w:r>
              <w:rPr>
                <w:rFonts w:ascii="Arial" w:eastAsia="宋体" w:hAnsi="Arial" w:cs="Arial"/>
                <w:b/>
                <w:bCs/>
                <w:color w:val="000000"/>
                <w:sz w:val="14"/>
                <w:szCs w:val="14"/>
              </w:rPr>
              <w:t>304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776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76F"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7770" w14:textId="77777777" w:rsidR="00584EC1" w:rsidRDefault="00871F8D">
            <w:pPr>
              <w:jc w:val="right"/>
              <w:textAlignment w:val="bottom"/>
            </w:pPr>
            <w:r>
              <w:rPr>
                <w:rFonts w:ascii="Arial" w:eastAsia="宋体" w:hAnsi="Arial" w:cs="Arial"/>
                <w:color w:val="000000"/>
                <w:sz w:val="14"/>
                <w:szCs w:val="14"/>
              </w:rPr>
              <w:t>258 </w:t>
            </w:r>
          </w:p>
        </w:tc>
        <w:tc>
          <w:tcPr>
            <w:tcW w:w="0" w:type="auto"/>
            <w:shd w:val="clear" w:color="auto" w:fill="CCEEFF"/>
            <w:tcMar>
              <w:top w:w="40" w:type="dxa"/>
              <w:left w:w="0" w:type="dxa"/>
              <w:bottom w:w="40" w:type="dxa"/>
              <w:right w:w="20" w:type="dxa"/>
            </w:tcMar>
            <w:vAlign w:val="bottom"/>
          </w:tcPr>
          <w:p w14:paraId="74DD777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772" w14:textId="77777777" w:rsidR="00584EC1" w:rsidRDefault="00584EC1">
            <w:pPr>
              <w:rPr>
                <w:rFonts w:ascii="宋体"/>
              </w:rPr>
            </w:pPr>
          </w:p>
        </w:tc>
        <w:tc>
          <w:tcPr>
            <w:tcW w:w="0" w:type="auto"/>
            <w:shd w:val="clear" w:color="auto" w:fill="auto"/>
            <w:vAlign w:val="bottom"/>
          </w:tcPr>
          <w:p w14:paraId="74DD7773" w14:textId="77777777" w:rsidR="00584EC1" w:rsidRDefault="00584EC1">
            <w:pPr>
              <w:rPr>
                <w:rFonts w:ascii="宋体"/>
                <w:vanish/>
              </w:rPr>
            </w:pPr>
          </w:p>
        </w:tc>
        <w:tc>
          <w:tcPr>
            <w:tcW w:w="0" w:type="auto"/>
            <w:shd w:val="clear" w:color="auto" w:fill="auto"/>
            <w:vAlign w:val="bottom"/>
          </w:tcPr>
          <w:p w14:paraId="74DD7774" w14:textId="77777777" w:rsidR="00584EC1" w:rsidRDefault="00584EC1">
            <w:pPr>
              <w:rPr>
                <w:rFonts w:ascii="宋体"/>
                <w:vanish/>
              </w:rPr>
            </w:pPr>
          </w:p>
        </w:tc>
        <w:tc>
          <w:tcPr>
            <w:tcW w:w="0" w:type="auto"/>
            <w:gridSpan w:val="2"/>
            <w:shd w:val="clear" w:color="auto" w:fill="CCEEFF"/>
            <w:tcMar>
              <w:top w:w="40" w:type="dxa"/>
              <w:left w:w="20" w:type="dxa"/>
              <w:bottom w:w="40" w:type="dxa"/>
              <w:right w:w="0" w:type="dxa"/>
            </w:tcMar>
            <w:vAlign w:val="bottom"/>
          </w:tcPr>
          <w:p w14:paraId="74DD7775" w14:textId="77777777" w:rsidR="00584EC1" w:rsidRDefault="00871F8D">
            <w:pPr>
              <w:jc w:val="right"/>
              <w:textAlignment w:val="bottom"/>
            </w:pPr>
            <w:r>
              <w:rPr>
                <w:rFonts w:ascii="Arial" w:eastAsia="宋体" w:hAnsi="Arial" w:cs="Arial"/>
                <w:color w:val="000000"/>
                <w:sz w:val="14"/>
                <w:szCs w:val="14"/>
              </w:rPr>
              <w:t>18 </w:t>
            </w:r>
          </w:p>
        </w:tc>
        <w:tc>
          <w:tcPr>
            <w:tcW w:w="0" w:type="auto"/>
            <w:shd w:val="clear" w:color="auto" w:fill="CCEEFF"/>
            <w:tcMar>
              <w:top w:w="40" w:type="dxa"/>
              <w:left w:w="0" w:type="dxa"/>
              <w:bottom w:w="40" w:type="dxa"/>
              <w:right w:w="20" w:type="dxa"/>
            </w:tcMar>
            <w:vAlign w:val="bottom"/>
          </w:tcPr>
          <w:p w14:paraId="74DD7776" w14:textId="77777777" w:rsidR="00584EC1" w:rsidRDefault="00584EC1">
            <w:pPr>
              <w:jc w:val="right"/>
              <w:rPr>
                <w:rFonts w:ascii="宋体"/>
              </w:rPr>
            </w:pPr>
          </w:p>
        </w:tc>
        <w:tc>
          <w:tcPr>
            <w:tcW w:w="0" w:type="auto"/>
            <w:gridSpan w:val="3"/>
            <w:shd w:val="clear" w:color="auto" w:fill="auto"/>
            <w:vAlign w:val="bottom"/>
          </w:tcPr>
          <w:p w14:paraId="74DD7777" w14:textId="77777777" w:rsidR="00584EC1" w:rsidRDefault="00584EC1">
            <w:pPr>
              <w:rPr>
                <w:rFonts w:ascii="宋体"/>
                <w:vanish/>
              </w:rPr>
            </w:pPr>
          </w:p>
        </w:tc>
        <w:tc>
          <w:tcPr>
            <w:tcW w:w="0" w:type="auto"/>
            <w:gridSpan w:val="3"/>
            <w:shd w:val="clear" w:color="auto" w:fill="auto"/>
            <w:vAlign w:val="bottom"/>
          </w:tcPr>
          <w:p w14:paraId="74DD7778" w14:textId="77777777" w:rsidR="00584EC1" w:rsidRDefault="00584EC1">
            <w:pPr>
              <w:rPr>
                <w:rFonts w:ascii="宋体"/>
                <w:vanish/>
              </w:rPr>
            </w:pPr>
          </w:p>
        </w:tc>
        <w:tc>
          <w:tcPr>
            <w:tcW w:w="0" w:type="auto"/>
            <w:gridSpan w:val="3"/>
            <w:shd w:val="clear" w:color="auto" w:fill="auto"/>
            <w:vAlign w:val="bottom"/>
          </w:tcPr>
          <w:p w14:paraId="74DD7779" w14:textId="77777777" w:rsidR="00584EC1" w:rsidRDefault="00584EC1">
            <w:pPr>
              <w:rPr>
                <w:rFonts w:ascii="宋体"/>
                <w:vanish/>
              </w:rPr>
            </w:pPr>
          </w:p>
        </w:tc>
        <w:tc>
          <w:tcPr>
            <w:tcW w:w="0" w:type="auto"/>
            <w:gridSpan w:val="3"/>
            <w:shd w:val="clear" w:color="auto" w:fill="auto"/>
            <w:vAlign w:val="bottom"/>
          </w:tcPr>
          <w:p w14:paraId="74DD777A" w14:textId="77777777" w:rsidR="00584EC1" w:rsidRDefault="00584EC1">
            <w:pPr>
              <w:rPr>
                <w:rFonts w:ascii="宋体"/>
                <w:vanish/>
              </w:rPr>
            </w:pPr>
          </w:p>
        </w:tc>
        <w:tc>
          <w:tcPr>
            <w:tcW w:w="0" w:type="auto"/>
            <w:gridSpan w:val="3"/>
            <w:shd w:val="clear" w:color="auto" w:fill="auto"/>
            <w:vAlign w:val="bottom"/>
          </w:tcPr>
          <w:p w14:paraId="74DD777B" w14:textId="77777777" w:rsidR="00584EC1" w:rsidRDefault="00584EC1">
            <w:pPr>
              <w:rPr>
                <w:rFonts w:ascii="宋体"/>
                <w:vanish/>
              </w:rPr>
            </w:pPr>
          </w:p>
        </w:tc>
        <w:tc>
          <w:tcPr>
            <w:tcW w:w="0" w:type="auto"/>
            <w:gridSpan w:val="3"/>
            <w:shd w:val="clear" w:color="auto" w:fill="auto"/>
            <w:vAlign w:val="bottom"/>
          </w:tcPr>
          <w:p w14:paraId="74DD777C" w14:textId="77777777" w:rsidR="00584EC1" w:rsidRDefault="00584EC1">
            <w:pPr>
              <w:rPr>
                <w:rFonts w:ascii="宋体"/>
                <w:vanish/>
              </w:rPr>
            </w:pPr>
          </w:p>
        </w:tc>
        <w:tc>
          <w:tcPr>
            <w:tcW w:w="0" w:type="auto"/>
            <w:gridSpan w:val="2"/>
            <w:shd w:val="clear" w:color="auto" w:fill="auto"/>
            <w:vAlign w:val="bottom"/>
          </w:tcPr>
          <w:p w14:paraId="74DD777D" w14:textId="77777777" w:rsidR="00584EC1" w:rsidRDefault="00584EC1">
            <w:pPr>
              <w:rPr>
                <w:rFonts w:ascii="宋体"/>
                <w:vanish/>
              </w:rPr>
            </w:pPr>
          </w:p>
        </w:tc>
        <w:tc>
          <w:tcPr>
            <w:tcW w:w="0" w:type="auto"/>
            <w:shd w:val="clear" w:color="auto" w:fill="auto"/>
            <w:vAlign w:val="bottom"/>
          </w:tcPr>
          <w:p w14:paraId="74DD777E" w14:textId="77777777" w:rsidR="00584EC1" w:rsidRDefault="00584EC1">
            <w:pPr>
              <w:rPr>
                <w:rFonts w:ascii="宋体"/>
                <w:vanish/>
              </w:rPr>
            </w:pPr>
          </w:p>
        </w:tc>
      </w:tr>
      <w:tr w:rsidR="00584EC1" w14:paraId="74DD7799" w14:textId="77777777">
        <w:tc>
          <w:tcPr>
            <w:tcW w:w="0" w:type="auto"/>
            <w:gridSpan w:val="3"/>
            <w:shd w:val="clear" w:color="auto" w:fill="FFFFFF"/>
            <w:tcMar>
              <w:top w:w="40" w:type="dxa"/>
              <w:left w:w="20" w:type="dxa"/>
              <w:bottom w:w="40" w:type="dxa"/>
              <w:right w:w="20" w:type="dxa"/>
            </w:tcMar>
            <w:vAlign w:val="bottom"/>
          </w:tcPr>
          <w:p w14:paraId="74DD7780" w14:textId="77777777" w:rsidR="00584EC1" w:rsidRDefault="00871F8D">
            <w:pPr>
              <w:textAlignment w:val="bottom"/>
            </w:pPr>
            <w:r>
              <w:rPr>
                <w:rFonts w:ascii="Arial" w:eastAsia="宋体" w:hAnsi="Arial" w:cs="Arial"/>
                <w:color w:val="000000"/>
                <w:sz w:val="14"/>
                <w:szCs w:val="14"/>
              </w:rPr>
              <w:t>Software and processing fees</w:t>
            </w:r>
          </w:p>
        </w:tc>
        <w:tc>
          <w:tcPr>
            <w:tcW w:w="0" w:type="auto"/>
            <w:shd w:val="clear" w:color="auto" w:fill="auto"/>
            <w:vAlign w:val="bottom"/>
          </w:tcPr>
          <w:p w14:paraId="74DD7781" w14:textId="77777777" w:rsidR="00584EC1" w:rsidRDefault="00584EC1">
            <w:pPr>
              <w:rPr>
                <w:rFonts w:ascii="宋体"/>
                <w:vanish/>
              </w:rPr>
            </w:pPr>
          </w:p>
        </w:tc>
        <w:tc>
          <w:tcPr>
            <w:tcW w:w="0" w:type="auto"/>
            <w:shd w:val="clear" w:color="auto" w:fill="auto"/>
            <w:vAlign w:val="bottom"/>
          </w:tcPr>
          <w:p w14:paraId="74DD7782" w14:textId="77777777" w:rsidR="00584EC1" w:rsidRDefault="00584EC1">
            <w:pPr>
              <w:rPr>
                <w:rFonts w:ascii="宋体"/>
                <w:vanish/>
              </w:rPr>
            </w:pPr>
          </w:p>
        </w:tc>
        <w:tc>
          <w:tcPr>
            <w:tcW w:w="0" w:type="auto"/>
            <w:shd w:val="clear" w:color="auto" w:fill="auto"/>
            <w:vAlign w:val="bottom"/>
          </w:tcPr>
          <w:p w14:paraId="74DD7783" w14:textId="77777777" w:rsidR="00584EC1" w:rsidRDefault="00584EC1">
            <w:pPr>
              <w:rPr>
                <w:rFonts w:ascii="宋体"/>
                <w:vanish/>
              </w:rPr>
            </w:pPr>
          </w:p>
        </w:tc>
        <w:tc>
          <w:tcPr>
            <w:tcW w:w="0" w:type="auto"/>
            <w:shd w:val="clear" w:color="auto" w:fill="auto"/>
            <w:vAlign w:val="bottom"/>
          </w:tcPr>
          <w:p w14:paraId="74DD7784" w14:textId="77777777" w:rsidR="00584EC1" w:rsidRDefault="00584EC1">
            <w:pPr>
              <w:rPr>
                <w:rFonts w:ascii="宋体"/>
                <w:vanish/>
              </w:rPr>
            </w:pPr>
          </w:p>
        </w:tc>
        <w:tc>
          <w:tcPr>
            <w:tcW w:w="0" w:type="auto"/>
            <w:shd w:val="clear" w:color="auto" w:fill="auto"/>
            <w:vAlign w:val="bottom"/>
          </w:tcPr>
          <w:p w14:paraId="74DD7785" w14:textId="77777777" w:rsidR="00584EC1" w:rsidRDefault="00584EC1">
            <w:pPr>
              <w:rPr>
                <w:rFonts w:ascii="宋体"/>
                <w:vanish/>
              </w:rPr>
            </w:pPr>
          </w:p>
        </w:tc>
        <w:tc>
          <w:tcPr>
            <w:tcW w:w="0" w:type="auto"/>
            <w:shd w:val="clear" w:color="auto" w:fill="auto"/>
            <w:vAlign w:val="bottom"/>
          </w:tcPr>
          <w:p w14:paraId="74DD7786"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D7787" w14:textId="77777777" w:rsidR="00584EC1" w:rsidRDefault="00871F8D">
            <w:pPr>
              <w:jc w:val="right"/>
              <w:textAlignment w:val="bottom"/>
            </w:pPr>
            <w:r>
              <w:rPr>
                <w:rFonts w:ascii="Arial" w:eastAsia="宋体" w:hAnsi="Arial" w:cs="Arial"/>
                <w:b/>
                <w:bCs/>
                <w:color w:val="000000"/>
                <w:sz w:val="14"/>
                <w:szCs w:val="14"/>
              </w:rPr>
              <w:t>585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778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78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78A" w14:textId="77777777" w:rsidR="00584EC1" w:rsidRDefault="00871F8D">
            <w:pPr>
              <w:jc w:val="right"/>
              <w:textAlignment w:val="bottom"/>
            </w:pPr>
            <w:r>
              <w:rPr>
                <w:rFonts w:ascii="Arial" w:eastAsia="宋体" w:hAnsi="Arial" w:cs="Arial"/>
                <w:color w:val="000000"/>
                <w:sz w:val="14"/>
                <w:szCs w:val="14"/>
              </w:rPr>
              <w:t>528 </w:t>
            </w:r>
          </w:p>
        </w:tc>
        <w:tc>
          <w:tcPr>
            <w:tcW w:w="0" w:type="auto"/>
            <w:shd w:val="clear" w:color="auto" w:fill="FFFFFF"/>
            <w:tcMar>
              <w:top w:w="40" w:type="dxa"/>
              <w:left w:w="0" w:type="dxa"/>
              <w:bottom w:w="40" w:type="dxa"/>
              <w:right w:w="20" w:type="dxa"/>
            </w:tcMar>
            <w:vAlign w:val="bottom"/>
          </w:tcPr>
          <w:p w14:paraId="74DD778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78C" w14:textId="77777777" w:rsidR="00584EC1" w:rsidRDefault="00584EC1">
            <w:pPr>
              <w:rPr>
                <w:rFonts w:ascii="宋体"/>
              </w:rPr>
            </w:pPr>
          </w:p>
        </w:tc>
        <w:tc>
          <w:tcPr>
            <w:tcW w:w="0" w:type="auto"/>
            <w:shd w:val="clear" w:color="auto" w:fill="auto"/>
            <w:vAlign w:val="bottom"/>
          </w:tcPr>
          <w:p w14:paraId="74DD778D" w14:textId="77777777" w:rsidR="00584EC1" w:rsidRDefault="00584EC1">
            <w:pPr>
              <w:rPr>
                <w:rFonts w:ascii="宋体"/>
                <w:vanish/>
              </w:rPr>
            </w:pPr>
          </w:p>
        </w:tc>
        <w:tc>
          <w:tcPr>
            <w:tcW w:w="0" w:type="auto"/>
            <w:shd w:val="clear" w:color="auto" w:fill="auto"/>
            <w:vAlign w:val="bottom"/>
          </w:tcPr>
          <w:p w14:paraId="74DD778E"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D778F" w14:textId="77777777" w:rsidR="00584EC1" w:rsidRDefault="00871F8D">
            <w:pPr>
              <w:jc w:val="right"/>
              <w:textAlignment w:val="bottom"/>
            </w:pPr>
            <w:r>
              <w:rPr>
                <w:rFonts w:ascii="Arial" w:eastAsia="宋体" w:hAnsi="Arial" w:cs="Arial"/>
                <w:color w:val="000000"/>
                <w:sz w:val="14"/>
                <w:szCs w:val="14"/>
              </w:rPr>
              <w:t>11 </w:t>
            </w:r>
          </w:p>
        </w:tc>
        <w:tc>
          <w:tcPr>
            <w:tcW w:w="0" w:type="auto"/>
            <w:shd w:val="clear" w:color="auto" w:fill="FFFFFF"/>
            <w:tcMar>
              <w:top w:w="40" w:type="dxa"/>
              <w:left w:w="0" w:type="dxa"/>
              <w:bottom w:w="40" w:type="dxa"/>
              <w:right w:w="20" w:type="dxa"/>
            </w:tcMar>
            <w:vAlign w:val="bottom"/>
          </w:tcPr>
          <w:p w14:paraId="74DD7790" w14:textId="77777777" w:rsidR="00584EC1" w:rsidRDefault="00584EC1">
            <w:pPr>
              <w:jc w:val="right"/>
              <w:rPr>
                <w:rFonts w:ascii="宋体"/>
              </w:rPr>
            </w:pPr>
          </w:p>
        </w:tc>
        <w:tc>
          <w:tcPr>
            <w:tcW w:w="0" w:type="auto"/>
            <w:gridSpan w:val="3"/>
            <w:shd w:val="clear" w:color="auto" w:fill="auto"/>
            <w:vAlign w:val="bottom"/>
          </w:tcPr>
          <w:p w14:paraId="74DD7791" w14:textId="77777777" w:rsidR="00584EC1" w:rsidRDefault="00584EC1">
            <w:pPr>
              <w:rPr>
                <w:rFonts w:ascii="宋体"/>
                <w:vanish/>
              </w:rPr>
            </w:pPr>
          </w:p>
        </w:tc>
        <w:tc>
          <w:tcPr>
            <w:tcW w:w="0" w:type="auto"/>
            <w:gridSpan w:val="3"/>
            <w:shd w:val="clear" w:color="auto" w:fill="auto"/>
            <w:vAlign w:val="bottom"/>
          </w:tcPr>
          <w:p w14:paraId="74DD7792" w14:textId="77777777" w:rsidR="00584EC1" w:rsidRDefault="00584EC1">
            <w:pPr>
              <w:rPr>
                <w:rFonts w:ascii="宋体"/>
                <w:vanish/>
              </w:rPr>
            </w:pPr>
          </w:p>
        </w:tc>
        <w:tc>
          <w:tcPr>
            <w:tcW w:w="0" w:type="auto"/>
            <w:gridSpan w:val="3"/>
            <w:shd w:val="clear" w:color="auto" w:fill="auto"/>
            <w:vAlign w:val="bottom"/>
          </w:tcPr>
          <w:p w14:paraId="74DD7793" w14:textId="77777777" w:rsidR="00584EC1" w:rsidRDefault="00584EC1">
            <w:pPr>
              <w:rPr>
                <w:rFonts w:ascii="宋体"/>
                <w:vanish/>
              </w:rPr>
            </w:pPr>
          </w:p>
        </w:tc>
        <w:tc>
          <w:tcPr>
            <w:tcW w:w="0" w:type="auto"/>
            <w:gridSpan w:val="3"/>
            <w:shd w:val="clear" w:color="auto" w:fill="auto"/>
            <w:vAlign w:val="bottom"/>
          </w:tcPr>
          <w:p w14:paraId="74DD7794" w14:textId="77777777" w:rsidR="00584EC1" w:rsidRDefault="00584EC1">
            <w:pPr>
              <w:rPr>
                <w:rFonts w:ascii="宋体"/>
                <w:vanish/>
              </w:rPr>
            </w:pPr>
          </w:p>
        </w:tc>
        <w:tc>
          <w:tcPr>
            <w:tcW w:w="0" w:type="auto"/>
            <w:gridSpan w:val="3"/>
            <w:shd w:val="clear" w:color="auto" w:fill="auto"/>
            <w:vAlign w:val="bottom"/>
          </w:tcPr>
          <w:p w14:paraId="74DD7795" w14:textId="77777777" w:rsidR="00584EC1" w:rsidRDefault="00584EC1">
            <w:pPr>
              <w:rPr>
                <w:rFonts w:ascii="宋体"/>
                <w:vanish/>
              </w:rPr>
            </w:pPr>
          </w:p>
        </w:tc>
        <w:tc>
          <w:tcPr>
            <w:tcW w:w="0" w:type="auto"/>
            <w:gridSpan w:val="3"/>
            <w:shd w:val="clear" w:color="auto" w:fill="auto"/>
            <w:vAlign w:val="bottom"/>
          </w:tcPr>
          <w:p w14:paraId="74DD7796" w14:textId="77777777" w:rsidR="00584EC1" w:rsidRDefault="00584EC1">
            <w:pPr>
              <w:rPr>
                <w:rFonts w:ascii="宋体"/>
                <w:vanish/>
              </w:rPr>
            </w:pPr>
          </w:p>
        </w:tc>
        <w:tc>
          <w:tcPr>
            <w:tcW w:w="0" w:type="auto"/>
            <w:gridSpan w:val="2"/>
            <w:shd w:val="clear" w:color="auto" w:fill="auto"/>
            <w:vAlign w:val="bottom"/>
          </w:tcPr>
          <w:p w14:paraId="74DD7797" w14:textId="77777777" w:rsidR="00584EC1" w:rsidRDefault="00584EC1">
            <w:pPr>
              <w:rPr>
                <w:rFonts w:ascii="宋体"/>
                <w:vanish/>
              </w:rPr>
            </w:pPr>
          </w:p>
        </w:tc>
        <w:tc>
          <w:tcPr>
            <w:tcW w:w="0" w:type="auto"/>
            <w:shd w:val="clear" w:color="auto" w:fill="auto"/>
            <w:vAlign w:val="bottom"/>
          </w:tcPr>
          <w:p w14:paraId="74DD7798" w14:textId="77777777" w:rsidR="00584EC1" w:rsidRDefault="00584EC1">
            <w:pPr>
              <w:rPr>
                <w:rFonts w:ascii="宋体"/>
                <w:vanish/>
              </w:rPr>
            </w:pPr>
          </w:p>
        </w:tc>
      </w:tr>
      <w:tr w:rsidR="00584EC1" w14:paraId="74DD77B3" w14:textId="77777777">
        <w:tc>
          <w:tcPr>
            <w:tcW w:w="0" w:type="auto"/>
            <w:gridSpan w:val="3"/>
            <w:shd w:val="clear" w:color="auto" w:fill="CCEEFF"/>
            <w:tcMar>
              <w:top w:w="40" w:type="dxa"/>
              <w:left w:w="20" w:type="dxa"/>
              <w:bottom w:w="40" w:type="dxa"/>
              <w:right w:w="20" w:type="dxa"/>
            </w:tcMar>
            <w:vAlign w:val="bottom"/>
          </w:tcPr>
          <w:p w14:paraId="74DD779A" w14:textId="77777777" w:rsidR="00584EC1" w:rsidRDefault="00871F8D">
            <w:pPr>
              <w:textAlignment w:val="bottom"/>
            </w:pPr>
            <w:r>
              <w:rPr>
                <w:rFonts w:ascii="Arial" w:eastAsia="宋体" w:hAnsi="Arial" w:cs="Arial"/>
                <w:color w:val="000000"/>
                <w:sz w:val="14"/>
                <w:szCs w:val="14"/>
              </w:rPr>
              <w:t>Total fee revenue</w:t>
            </w:r>
          </w:p>
        </w:tc>
        <w:tc>
          <w:tcPr>
            <w:tcW w:w="0" w:type="auto"/>
            <w:shd w:val="clear" w:color="auto" w:fill="auto"/>
            <w:vAlign w:val="bottom"/>
          </w:tcPr>
          <w:p w14:paraId="74DD779B" w14:textId="77777777" w:rsidR="00584EC1" w:rsidRDefault="00584EC1">
            <w:pPr>
              <w:rPr>
                <w:rFonts w:ascii="宋体"/>
                <w:vanish/>
              </w:rPr>
            </w:pPr>
          </w:p>
        </w:tc>
        <w:tc>
          <w:tcPr>
            <w:tcW w:w="0" w:type="auto"/>
            <w:shd w:val="clear" w:color="auto" w:fill="auto"/>
            <w:vAlign w:val="bottom"/>
          </w:tcPr>
          <w:p w14:paraId="74DD779C" w14:textId="77777777" w:rsidR="00584EC1" w:rsidRDefault="00584EC1">
            <w:pPr>
              <w:rPr>
                <w:rFonts w:ascii="宋体"/>
                <w:vanish/>
              </w:rPr>
            </w:pPr>
          </w:p>
        </w:tc>
        <w:tc>
          <w:tcPr>
            <w:tcW w:w="0" w:type="auto"/>
            <w:shd w:val="clear" w:color="auto" w:fill="auto"/>
            <w:vAlign w:val="bottom"/>
          </w:tcPr>
          <w:p w14:paraId="74DD779D" w14:textId="77777777" w:rsidR="00584EC1" w:rsidRDefault="00584EC1">
            <w:pPr>
              <w:rPr>
                <w:rFonts w:ascii="宋体"/>
                <w:vanish/>
              </w:rPr>
            </w:pPr>
          </w:p>
        </w:tc>
        <w:tc>
          <w:tcPr>
            <w:tcW w:w="0" w:type="auto"/>
            <w:shd w:val="clear" w:color="auto" w:fill="auto"/>
            <w:vAlign w:val="bottom"/>
          </w:tcPr>
          <w:p w14:paraId="74DD779E" w14:textId="77777777" w:rsidR="00584EC1" w:rsidRDefault="00584EC1">
            <w:pPr>
              <w:rPr>
                <w:rFonts w:ascii="宋体"/>
                <w:vanish/>
              </w:rPr>
            </w:pPr>
          </w:p>
        </w:tc>
        <w:tc>
          <w:tcPr>
            <w:tcW w:w="0" w:type="auto"/>
            <w:shd w:val="clear" w:color="auto" w:fill="auto"/>
            <w:vAlign w:val="bottom"/>
          </w:tcPr>
          <w:p w14:paraId="74DD779F" w14:textId="77777777" w:rsidR="00584EC1" w:rsidRDefault="00584EC1">
            <w:pPr>
              <w:rPr>
                <w:rFonts w:ascii="宋体"/>
                <w:vanish/>
              </w:rPr>
            </w:pPr>
          </w:p>
        </w:tc>
        <w:tc>
          <w:tcPr>
            <w:tcW w:w="0" w:type="auto"/>
            <w:shd w:val="clear" w:color="auto" w:fill="auto"/>
            <w:vAlign w:val="bottom"/>
          </w:tcPr>
          <w:p w14:paraId="74DD77A0" w14:textId="77777777" w:rsidR="00584EC1" w:rsidRDefault="00584EC1">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77A1" w14:textId="77777777" w:rsidR="00584EC1" w:rsidRDefault="00871F8D">
            <w:pPr>
              <w:jc w:val="right"/>
              <w:textAlignment w:val="bottom"/>
            </w:pPr>
            <w:r>
              <w:rPr>
                <w:rFonts w:ascii="Arial" w:eastAsia="宋体" w:hAnsi="Arial" w:cs="Arial"/>
                <w:b/>
                <w:bCs/>
                <w:color w:val="000000"/>
                <w:sz w:val="14"/>
                <w:szCs w:val="14"/>
              </w:rPr>
              <w:t>5,923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7A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7A3"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77A4" w14:textId="77777777" w:rsidR="00584EC1" w:rsidRDefault="00871F8D">
            <w:pPr>
              <w:jc w:val="right"/>
              <w:textAlignment w:val="bottom"/>
            </w:pPr>
            <w:r>
              <w:rPr>
                <w:rFonts w:ascii="Arial" w:eastAsia="宋体" w:hAnsi="Arial" w:cs="Arial"/>
                <w:color w:val="000000"/>
                <w:sz w:val="14"/>
                <w:szCs w:val="14"/>
              </w:rPr>
              <w:t>5,644 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7A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7A6" w14:textId="77777777" w:rsidR="00584EC1" w:rsidRDefault="00584EC1">
            <w:pPr>
              <w:rPr>
                <w:rFonts w:ascii="宋体"/>
              </w:rPr>
            </w:pPr>
          </w:p>
        </w:tc>
        <w:tc>
          <w:tcPr>
            <w:tcW w:w="0" w:type="auto"/>
            <w:shd w:val="clear" w:color="auto" w:fill="auto"/>
            <w:vAlign w:val="bottom"/>
          </w:tcPr>
          <w:p w14:paraId="74DD77A7" w14:textId="77777777" w:rsidR="00584EC1" w:rsidRDefault="00584EC1">
            <w:pPr>
              <w:rPr>
                <w:rFonts w:ascii="宋体"/>
                <w:vanish/>
              </w:rPr>
            </w:pPr>
          </w:p>
        </w:tc>
        <w:tc>
          <w:tcPr>
            <w:tcW w:w="0" w:type="auto"/>
            <w:shd w:val="clear" w:color="auto" w:fill="auto"/>
            <w:vAlign w:val="bottom"/>
          </w:tcPr>
          <w:p w14:paraId="74DD77A8" w14:textId="77777777" w:rsidR="00584EC1" w:rsidRDefault="00584EC1">
            <w:pPr>
              <w:rPr>
                <w:rFonts w:ascii="宋体"/>
                <w:vanish/>
              </w:rPr>
            </w:pPr>
          </w:p>
        </w:tc>
        <w:tc>
          <w:tcPr>
            <w:tcW w:w="0" w:type="auto"/>
            <w:gridSpan w:val="2"/>
            <w:shd w:val="clear" w:color="auto" w:fill="CCEEFF"/>
            <w:tcMar>
              <w:top w:w="40" w:type="dxa"/>
              <w:left w:w="20" w:type="dxa"/>
              <w:bottom w:w="40" w:type="dxa"/>
              <w:right w:w="0" w:type="dxa"/>
            </w:tcMar>
            <w:vAlign w:val="bottom"/>
          </w:tcPr>
          <w:p w14:paraId="74DD77A9" w14:textId="77777777" w:rsidR="00584EC1" w:rsidRDefault="00871F8D">
            <w:pPr>
              <w:jc w:val="right"/>
              <w:textAlignment w:val="bottom"/>
            </w:pPr>
            <w:r>
              <w:rPr>
                <w:rFonts w:ascii="Arial" w:eastAsia="宋体" w:hAnsi="Arial" w:cs="Arial"/>
                <w:color w:val="000000"/>
                <w:sz w:val="14"/>
                <w:szCs w:val="14"/>
              </w:rPr>
              <w:t>5 </w:t>
            </w:r>
          </w:p>
        </w:tc>
        <w:tc>
          <w:tcPr>
            <w:tcW w:w="0" w:type="auto"/>
            <w:shd w:val="clear" w:color="auto" w:fill="CCEEFF"/>
            <w:tcMar>
              <w:top w:w="40" w:type="dxa"/>
              <w:left w:w="0" w:type="dxa"/>
              <w:bottom w:w="40" w:type="dxa"/>
              <w:right w:w="20" w:type="dxa"/>
            </w:tcMar>
            <w:vAlign w:val="bottom"/>
          </w:tcPr>
          <w:p w14:paraId="74DD77AA" w14:textId="77777777" w:rsidR="00584EC1" w:rsidRDefault="00584EC1">
            <w:pPr>
              <w:jc w:val="right"/>
              <w:rPr>
                <w:rFonts w:ascii="宋体"/>
              </w:rPr>
            </w:pPr>
          </w:p>
        </w:tc>
        <w:tc>
          <w:tcPr>
            <w:tcW w:w="0" w:type="auto"/>
            <w:gridSpan w:val="3"/>
            <w:shd w:val="clear" w:color="auto" w:fill="auto"/>
            <w:vAlign w:val="bottom"/>
          </w:tcPr>
          <w:p w14:paraId="74DD77AB" w14:textId="77777777" w:rsidR="00584EC1" w:rsidRDefault="00584EC1">
            <w:pPr>
              <w:rPr>
                <w:rFonts w:ascii="宋体"/>
                <w:vanish/>
              </w:rPr>
            </w:pPr>
          </w:p>
        </w:tc>
        <w:tc>
          <w:tcPr>
            <w:tcW w:w="0" w:type="auto"/>
            <w:gridSpan w:val="3"/>
            <w:shd w:val="clear" w:color="auto" w:fill="auto"/>
            <w:vAlign w:val="bottom"/>
          </w:tcPr>
          <w:p w14:paraId="74DD77AC" w14:textId="77777777" w:rsidR="00584EC1" w:rsidRDefault="00584EC1">
            <w:pPr>
              <w:rPr>
                <w:rFonts w:ascii="宋体"/>
                <w:vanish/>
              </w:rPr>
            </w:pPr>
          </w:p>
        </w:tc>
        <w:tc>
          <w:tcPr>
            <w:tcW w:w="0" w:type="auto"/>
            <w:gridSpan w:val="3"/>
            <w:shd w:val="clear" w:color="auto" w:fill="auto"/>
            <w:vAlign w:val="bottom"/>
          </w:tcPr>
          <w:p w14:paraId="74DD77AD" w14:textId="77777777" w:rsidR="00584EC1" w:rsidRDefault="00584EC1">
            <w:pPr>
              <w:rPr>
                <w:rFonts w:ascii="宋体"/>
                <w:vanish/>
              </w:rPr>
            </w:pPr>
          </w:p>
        </w:tc>
        <w:tc>
          <w:tcPr>
            <w:tcW w:w="0" w:type="auto"/>
            <w:gridSpan w:val="3"/>
            <w:shd w:val="clear" w:color="auto" w:fill="auto"/>
            <w:vAlign w:val="bottom"/>
          </w:tcPr>
          <w:p w14:paraId="74DD77AE" w14:textId="77777777" w:rsidR="00584EC1" w:rsidRDefault="00584EC1">
            <w:pPr>
              <w:rPr>
                <w:rFonts w:ascii="宋体"/>
                <w:vanish/>
              </w:rPr>
            </w:pPr>
          </w:p>
        </w:tc>
        <w:tc>
          <w:tcPr>
            <w:tcW w:w="0" w:type="auto"/>
            <w:gridSpan w:val="3"/>
            <w:shd w:val="clear" w:color="auto" w:fill="auto"/>
            <w:vAlign w:val="bottom"/>
          </w:tcPr>
          <w:p w14:paraId="74DD77AF" w14:textId="77777777" w:rsidR="00584EC1" w:rsidRDefault="00584EC1">
            <w:pPr>
              <w:rPr>
                <w:rFonts w:ascii="宋体"/>
                <w:vanish/>
              </w:rPr>
            </w:pPr>
          </w:p>
        </w:tc>
        <w:tc>
          <w:tcPr>
            <w:tcW w:w="0" w:type="auto"/>
            <w:gridSpan w:val="3"/>
            <w:shd w:val="clear" w:color="auto" w:fill="auto"/>
            <w:vAlign w:val="bottom"/>
          </w:tcPr>
          <w:p w14:paraId="74DD77B0" w14:textId="77777777" w:rsidR="00584EC1" w:rsidRDefault="00584EC1">
            <w:pPr>
              <w:rPr>
                <w:rFonts w:ascii="宋体"/>
                <w:vanish/>
              </w:rPr>
            </w:pPr>
          </w:p>
        </w:tc>
        <w:tc>
          <w:tcPr>
            <w:tcW w:w="0" w:type="auto"/>
            <w:gridSpan w:val="2"/>
            <w:shd w:val="clear" w:color="auto" w:fill="auto"/>
            <w:vAlign w:val="bottom"/>
          </w:tcPr>
          <w:p w14:paraId="74DD77B1" w14:textId="77777777" w:rsidR="00584EC1" w:rsidRDefault="00584EC1">
            <w:pPr>
              <w:rPr>
                <w:rFonts w:ascii="宋体"/>
                <w:vanish/>
              </w:rPr>
            </w:pPr>
          </w:p>
        </w:tc>
        <w:tc>
          <w:tcPr>
            <w:tcW w:w="0" w:type="auto"/>
            <w:shd w:val="clear" w:color="auto" w:fill="auto"/>
            <w:vAlign w:val="bottom"/>
          </w:tcPr>
          <w:p w14:paraId="74DD77B2" w14:textId="77777777" w:rsidR="00584EC1" w:rsidRDefault="00584EC1">
            <w:pPr>
              <w:rPr>
                <w:rFonts w:ascii="宋体"/>
                <w:vanish/>
              </w:rPr>
            </w:pPr>
          </w:p>
        </w:tc>
      </w:tr>
      <w:tr w:rsidR="00584EC1" w14:paraId="74DD77CD" w14:textId="77777777">
        <w:tc>
          <w:tcPr>
            <w:tcW w:w="0" w:type="auto"/>
            <w:gridSpan w:val="3"/>
            <w:shd w:val="clear" w:color="auto" w:fill="FFFFFF"/>
            <w:tcMar>
              <w:top w:w="40" w:type="dxa"/>
              <w:left w:w="20" w:type="dxa"/>
              <w:bottom w:w="40" w:type="dxa"/>
              <w:right w:w="20" w:type="dxa"/>
            </w:tcMar>
            <w:vAlign w:val="bottom"/>
          </w:tcPr>
          <w:p w14:paraId="74DD77B4" w14:textId="77777777" w:rsidR="00584EC1" w:rsidRDefault="00871F8D">
            <w:pPr>
              <w:textAlignment w:val="bottom"/>
            </w:pPr>
            <w:r>
              <w:rPr>
                <w:rFonts w:ascii="Arial" w:eastAsia="宋体" w:hAnsi="Arial" w:cs="Arial"/>
                <w:color w:val="000000"/>
                <w:sz w:val="14"/>
                <w:szCs w:val="14"/>
              </w:rPr>
              <w:t>Net interest income</w:t>
            </w:r>
          </w:p>
        </w:tc>
        <w:tc>
          <w:tcPr>
            <w:tcW w:w="0" w:type="auto"/>
            <w:shd w:val="clear" w:color="auto" w:fill="auto"/>
            <w:vAlign w:val="bottom"/>
          </w:tcPr>
          <w:p w14:paraId="74DD77B5" w14:textId="77777777" w:rsidR="00584EC1" w:rsidRDefault="00584EC1">
            <w:pPr>
              <w:rPr>
                <w:rFonts w:ascii="宋体"/>
                <w:vanish/>
              </w:rPr>
            </w:pPr>
          </w:p>
        </w:tc>
        <w:tc>
          <w:tcPr>
            <w:tcW w:w="0" w:type="auto"/>
            <w:shd w:val="clear" w:color="auto" w:fill="auto"/>
            <w:vAlign w:val="bottom"/>
          </w:tcPr>
          <w:p w14:paraId="74DD77B6" w14:textId="77777777" w:rsidR="00584EC1" w:rsidRDefault="00584EC1">
            <w:pPr>
              <w:rPr>
                <w:rFonts w:ascii="宋体"/>
                <w:vanish/>
              </w:rPr>
            </w:pPr>
          </w:p>
        </w:tc>
        <w:tc>
          <w:tcPr>
            <w:tcW w:w="0" w:type="auto"/>
            <w:shd w:val="clear" w:color="auto" w:fill="auto"/>
            <w:vAlign w:val="bottom"/>
          </w:tcPr>
          <w:p w14:paraId="74DD77B7" w14:textId="77777777" w:rsidR="00584EC1" w:rsidRDefault="00584EC1">
            <w:pPr>
              <w:rPr>
                <w:rFonts w:ascii="宋体"/>
                <w:vanish/>
              </w:rPr>
            </w:pPr>
          </w:p>
        </w:tc>
        <w:tc>
          <w:tcPr>
            <w:tcW w:w="0" w:type="auto"/>
            <w:shd w:val="clear" w:color="auto" w:fill="auto"/>
            <w:vAlign w:val="bottom"/>
          </w:tcPr>
          <w:p w14:paraId="74DD77B8" w14:textId="77777777" w:rsidR="00584EC1" w:rsidRDefault="00584EC1">
            <w:pPr>
              <w:rPr>
                <w:rFonts w:ascii="宋体"/>
                <w:vanish/>
              </w:rPr>
            </w:pPr>
          </w:p>
        </w:tc>
        <w:tc>
          <w:tcPr>
            <w:tcW w:w="0" w:type="auto"/>
            <w:shd w:val="clear" w:color="auto" w:fill="auto"/>
            <w:vAlign w:val="bottom"/>
          </w:tcPr>
          <w:p w14:paraId="74DD77B9" w14:textId="77777777" w:rsidR="00584EC1" w:rsidRDefault="00584EC1">
            <w:pPr>
              <w:rPr>
                <w:rFonts w:ascii="宋体"/>
                <w:vanish/>
              </w:rPr>
            </w:pPr>
          </w:p>
        </w:tc>
        <w:tc>
          <w:tcPr>
            <w:tcW w:w="0" w:type="auto"/>
            <w:shd w:val="clear" w:color="auto" w:fill="auto"/>
            <w:vAlign w:val="bottom"/>
          </w:tcPr>
          <w:p w14:paraId="74DD77BA"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D77BB" w14:textId="77777777" w:rsidR="00584EC1" w:rsidRDefault="00871F8D">
            <w:pPr>
              <w:jc w:val="right"/>
              <w:textAlignment w:val="bottom"/>
            </w:pPr>
            <w:r>
              <w:rPr>
                <w:rFonts w:ascii="Arial" w:eastAsia="宋体" w:hAnsi="Arial" w:cs="Arial"/>
                <w:b/>
                <w:bCs/>
                <w:color w:val="000000"/>
                <w:sz w:val="14"/>
                <w:szCs w:val="14"/>
              </w:rPr>
              <w:t>1,432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77B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7B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7BE" w14:textId="77777777" w:rsidR="00584EC1" w:rsidRDefault="00871F8D">
            <w:pPr>
              <w:jc w:val="right"/>
              <w:textAlignment w:val="bottom"/>
            </w:pPr>
            <w:r>
              <w:rPr>
                <w:rFonts w:ascii="Arial" w:eastAsia="宋体" w:hAnsi="Arial" w:cs="Arial"/>
                <w:color w:val="000000"/>
                <w:sz w:val="14"/>
                <w:szCs w:val="14"/>
              </w:rPr>
              <w:t>1,716 </w:t>
            </w:r>
          </w:p>
        </w:tc>
        <w:tc>
          <w:tcPr>
            <w:tcW w:w="0" w:type="auto"/>
            <w:shd w:val="clear" w:color="auto" w:fill="FFFFFF"/>
            <w:tcMar>
              <w:top w:w="40" w:type="dxa"/>
              <w:left w:w="0" w:type="dxa"/>
              <w:bottom w:w="40" w:type="dxa"/>
              <w:right w:w="20" w:type="dxa"/>
            </w:tcMar>
            <w:vAlign w:val="bottom"/>
          </w:tcPr>
          <w:p w14:paraId="74DD77B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7C0" w14:textId="77777777" w:rsidR="00584EC1" w:rsidRDefault="00584EC1">
            <w:pPr>
              <w:rPr>
                <w:rFonts w:ascii="宋体"/>
              </w:rPr>
            </w:pPr>
          </w:p>
        </w:tc>
        <w:tc>
          <w:tcPr>
            <w:tcW w:w="0" w:type="auto"/>
            <w:shd w:val="clear" w:color="auto" w:fill="auto"/>
            <w:vAlign w:val="bottom"/>
          </w:tcPr>
          <w:p w14:paraId="74DD77C1" w14:textId="77777777" w:rsidR="00584EC1" w:rsidRDefault="00584EC1">
            <w:pPr>
              <w:rPr>
                <w:rFonts w:ascii="宋体"/>
                <w:vanish/>
              </w:rPr>
            </w:pPr>
          </w:p>
        </w:tc>
        <w:tc>
          <w:tcPr>
            <w:tcW w:w="0" w:type="auto"/>
            <w:shd w:val="clear" w:color="auto" w:fill="auto"/>
            <w:vAlign w:val="bottom"/>
          </w:tcPr>
          <w:p w14:paraId="74DD77C2"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D77C3" w14:textId="77777777" w:rsidR="00584EC1" w:rsidRDefault="00871F8D">
            <w:pPr>
              <w:jc w:val="right"/>
              <w:textAlignment w:val="bottom"/>
            </w:pPr>
            <w:r>
              <w:rPr>
                <w:rFonts w:ascii="Arial" w:eastAsia="宋体" w:hAnsi="Arial" w:cs="Arial"/>
                <w:color w:val="000000"/>
                <w:sz w:val="14"/>
                <w:szCs w:val="14"/>
              </w:rPr>
              <w:t>(17)</w:t>
            </w:r>
          </w:p>
        </w:tc>
        <w:tc>
          <w:tcPr>
            <w:tcW w:w="0" w:type="auto"/>
            <w:shd w:val="clear" w:color="auto" w:fill="FFFFFF"/>
            <w:tcMar>
              <w:top w:w="40" w:type="dxa"/>
              <w:left w:w="0" w:type="dxa"/>
              <w:bottom w:w="40" w:type="dxa"/>
              <w:right w:w="20" w:type="dxa"/>
            </w:tcMar>
            <w:vAlign w:val="bottom"/>
          </w:tcPr>
          <w:p w14:paraId="74DD77C4" w14:textId="77777777" w:rsidR="00584EC1" w:rsidRDefault="00584EC1">
            <w:pPr>
              <w:jc w:val="right"/>
              <w:rPr>
                <w:rFonts w:ascii="宋体"/>
              </w:rPr>
            </w:pPr>
          </w:p>
        </w:tc>
        <w:tc>
          <w:tcPr>
            <w:tcW w:w="0" w:type="auto"/>
            <w:gridSpan w:val="3"/>
            <w:shd w:val="clear" w:color="auto" w:fill="auto"/>
            <w:vAlign w:val="bottom"/>
          </w:tcPr>
          <w:p w14:paraId="74DD77C5" w14:textId="77777777" w:rsidR="00584EC1" w:rsidRDefault="00584EC1">
            <w:pPr>
              <w:rPr>
                <w:rFonts w:ascii="宋体"/>
                <w:vanish/>
              </w:rPr>
            </w:pPr>
          </w:p>
        </w:tc>
        <w:tc>
          <w:tcPr>
            <w:tcW w:w="0" w:type="auto"/>
            <w:gridSpan w:val="3"/>
            <w:shd w:val="clear" w:color="auto" w:fill="auto"/>
            <w:vAlign w:val="bottom"/>
          </w:tcPr>
          <w:p w14:paraId="74DD77C6" w14:textId="77777777" w:rsidR="00584EC1" w:rsidRDefault="00584EC1">
            <w:pPr>
              <w:rPr>
                <w:rFonts w:ascii="宋体"/>
                <w:vanish/>
              </w:rPr>
            </w:pPr>
          </w:p>
        </w:tc>
        <w:tc>
          <w:tcPr>
            <w:tcW w:w="0" w:type="auto"/>
            <w:gridSpan w:val="3"/>
            <w:shd w:val="clear" w:color="auto" w:fill="auto"/>
            <w:vAlign w:val="bottom"/>
          </w:tcPr>
          <w:p w14:paraId="74DD77C7" w14:textId="77777777" w:rsidR="00584EC1" w:rsidRDefault="00584EC1">
            <w:pPr>
              <w:rPr>
                <w:rFonts w:ascii="宋体"/>
                <w:vanish/>
              </w:rPr>
            </w:pPr>
          </w:p>
        </w:tc>
        <w:tc>
          <w:tcPr>
            <w:tcW w:w="0" w:type="auto"/>
            <w:gridSpan w:val="3"/>
            <w:shd w:val="clear" w:color="auto" w:fill="auto"/>
            <w:vAlign w:val="bottom"/>
          </w:tcPr>
          <w:p w14:paraId="74DD77C8" w14:textId="77777777" w:rsidR="00584EC1" w:rsidRDefault="00584EC1">
            <w:pPr>
              <w:rPr>
                <w:rFonts w:ascii="宋体"/>
                <w:vanish/>
              </w:rPr>
            </w:pPr>
          </w:p>
        </w:tc>
        <w:tc>
          <w:tcPr>
            <w:tcW w:w="0" w:type="auto"/>
            <w:gridSpan w:val="3"/>
            <w:shd w:val="clear" w:color="auto" w:fill="auto"/>
            <w:vAlign w:val="bottom"/>
          </w:tcPr>
          <w:p w14:paraId="74DD77C9" w14:textId="77777777" w:rsidR="00584EC1" w:rsidRDefault="00584EC1">
            <w:pPr>
              <w:rPr>
                <w:rFonts w:ascii="宋体"/>
                <w:vanish/>
              </w:rPr>
            </w:pPr>
          </w:p>
        </w:tc>
        <w:tc>
          <w:tcPr>
            <w:tcW w:w="0" w:type="auto"/>
            <w:gridSpan w:val="3"/>
            <w:shd w:val="clear" w:color="auto" w:fill="auto"/>
            <w:vAlign w:val="bottom"/>
          </w:tcPr>
          <w:p w14:paraId="74DD77CA" w14:textId="77777777" w:rsidR="00584EC1" w:rsidRDefault="00584EC1">
            <w:pPr>
              <w:rPr>
                <w:rFonts w:ascii="宋体"/>
                <w:vanish/>
              </w:rPr>
            </w:pPr>
          </w:p>
        </w:tc>
        <w:tc>
          <w:tcPr>
            <w:tcW w:w="0" w:type="auto"/>
            <w:gridSpan w:val="2"/>
            <w:shd w:val="clear" w:color="auto" w:fill="auto"/>
            <w:vAlign w:val="bottom"/>
          </w:tcPr>
          <w:p w14:paraId="74DD77CB" w14:textId="77777777" w:rsidR="00584EC1" w:rsidRDefault="00584EC1">
            <w:pPr>
              <w:rPr>
                <w:rFonts w:ascii="宋体"/>
                <w:vanish/>
              </w:rPr>
            </w:pPr>
          </w:p>
        </w:tc>
        <w:tc>
          <w:tcPr>
            <w:tcW w:w="0" w:type="auto"/>
            <w:shd w:val="clear" w:color="auto" w:fill="auto"/>
            <w:vAlign w:val="bottom"/>
          </w:tcPr>
          <w:p w14:paraId="74DD77CC" w14:textId="77777777" w:rsidR="00584EC1" w:rsidRDefault="00584EC1">
            <w:pPr>
              <w:rPr>
                <w:rFonts w:ascii="宋体"/>
                <w:vanish/>
              </w:rPr>
            </w:pPr>
          </w:p>
        </w:tc>
      </w:tr>
      <w:tr w:rsidR="00584EC1" w14:paraId="74DD77E6" w14:textId="77777777">
        <w:tc>
          <w:tcPr>
            <w:tcW w:w="0" w:type="auto"/>
            <w:gridSpan w:val="3"/>
            <w:shd w:val="clear" w:color="auto" w:fill="CCEEFF"/>
            <w:tcMar>
              <w:top w:w="40" w:type="dxa"/>
              <w:left w:w="20" w:type="dxa"/>
              <w:bottom w:w="40" w:type="dxa"/>
              <w:right w:w="20" w:type="dxa"/>
            </w:tcMar>
            <w:vAlign w:val="bottom"/>
          </w:tcPr>
          <w:p w14:paraId="74DD77CE" w14:textId="77777777" w:rsidR="00584EC1" w:rsidRDefault="00871F8D">
            <w:pPr>
              <w:textAlignment w:val="bottom"/>
            </w:pPr>
            <w:r>
              <w:rPr>
                <w:rFonts w:ascii="Arial" w:eastAsia="宋体" w:hAnsi="Arial" w:cs="Arial"/>
                <w:color w:val="000000"/>
                <w:sz w:val="14"/>
                <w:szCs w:val="14"/>
              </w:rPr>
              <w:t>Total other income</w:t>
            </w:r>
          </w:p>
        </w:tc>
        <w:tc>
          <w:tcPr>
            <w:tcW w:w="0" w:type="auto"/>
            <w:shd w:val="clear" w:color="auto" w:fill="auto"/>
            <w:vAlign w:val="bottom"/>
          </w:tcPr>
          <w:p w14:paraId="74DD77CF" w14:textId="77777777" w:rsidR="00584EC1" w:rsidRDefault="00584EC1">
            <w:pPr>
              <w:rPr>
                <w:rFonts w:ascii="宋体"/>
                <w:vanish/>
              </w:rPr>
            </w:pPr>
          </w:p>
        </w:tc>
        <w:tc>
          <w:tcPr>
            <w:tcW w:w="0" w:type="auto"/>
            <w:shd w:val="clear" w:color="auto" w:fill="auto"/>
            <w:vAlign w:val="bottom"/>
          </w:tcPr>
          <w:p w14:paraId="74DD77D0" w14:textId="77777777" w:rsidR="00584EC1" w:rsidRDefault="00584EC1">
            <w:pPr>
              <w:rPr>
                <w:rFonts w:ascii="宋体"/>
                <w:vanish/>
              </w:rPr>
            </w:pPr>
          </w:p>
        </w:tc>
        <w:tc>
          <w:tcPr>
            <w:tcW w:w="0" w:type="auto"/>
            <w:shd w:val="clear" w:color="auto" w:fill="auto"/>
            <w:vAlign w:val="bottom"/>
          </w:tcPr>
          <w:p w14:paraId="74DD77D1" w14:textId="77777777" w:rsidR="00584EC1" w:rsidRDefault="00584EC1">
            <w:pPr>
              <w:rPr>
                <w:rFonts w:ascii="宋体"/>
                <w:vanish/>
              </w:rPr>
            </w:pPr>
          </w:p>
        </w:tc>
        <w:tc>
          <w:tcPr>
            <w:tcW w:w="0" w:type="auto"/>
            <w:shd w:val="clear" w:color="auto" w:fill="auto"/>
            <w:vAlign w:val="bottom"/>
          </w:tcPr>
          <w:p w14:paraId="74DD77D2" w14:textId="77777777" w:rsidR="00584EC1" w:rsidRDefault="00584EC1">
            <w:pPr>
              <w:rPr>
                <w:rFonts w:ascii="宋体"/>
                <w:vanish/>
              </w:rPr>
            </w:pPr>
          </w:p>
        </w:tc>
        <w:tc>
          <w:tcPr>
            <w:tcW w:w="0" w:type="auto"/>
            <w:shd w:val="clear" w:color="auto" w:fill="auto"/>
            <w:vAlign w:val="bottom"/>
          </w:tcPr>
          <w:p w14:paraId="74DD77D3" w14:textId="77777777" w:rsidR="00584EC1" w:rsidRDefault="00584EC1">
            <w:pPr>
              <w:rPr>
                <w:rFonts w:ascii="宋体"/>
                <w:vanish/>
              </w:rPr>
            </w:pPr>
          </w:p>
        </w:tc>
        <w:tc>
          <w:tcPr>
            <w:tcW w:w="0" w:type="auto"/>
            <w:shd w:val="clear" w:color="auto" w:fill="auto"/>
            <w:vAlign w:val="bottom"/>
          </w:tcPr>
          <w:p w14:paraId="74DD77D4" w14:textId="77777777" w:rsidR="00584EC1" w:rsidRDefault="00584EC1">
            <w:pPr>
              <w:rPr>
                <w:rFonts w:ascii="宋体"/>
                <w:vanish/>
              </w:rPr>
            </w:pPr>
          </w:p>
        </w:tc>
        <w:tc>
          <w:tcPr>
            <w:tcW w:w="0" w:type="auto"/>
            <w:gridSpan w:val="2"/>
            <w:shd w:val="clear" w:color="auto" w:fill="CCEEFF"/>
            <w:tcMar>
              <w:top w:w="40" w:type="dxa"/>
              <w:left w:w="20" w:type="dxa"/>
              <w:bottom w:w="40" w:type="dxa"/>
              <w:right w:w="0" w:type="dxa"/>
            </w:tcMar>
            <w:vAlign w:val="bottom"/>
          </w:tcPr>
          <w:p w14:paraId="74DD77D5" w14:textId="77777777" w:rsidR="00584EC1" w:rsidRDefault="00871F8D">
            <w:pPr>
              <w:jc w:val="right"/>
              <w:textAlignment w:val="bottom"/>
            </w:pPr>
            <w:r>
              <w:rPr>
                <w:rFonts w:ascii="Arial" w:eastAsia="宋体" w:hAnsi="Arial" w:cs="Arial"/>
                <w:b/>
                <w:bCs/>
                <w:color w:val="000000"/>
                <w:sz w:val="14"/>
                <w:szCs w:val="14"/>
              </w:rPr>
              <w:t>(1)</w:t>
            </w:r>
          </w:p>
        </w:tc>
        <w:tc>
          <w:tcPr>
            <w:tcW w:w="0" w:type="auto"/>
            <w:shd w:val="clear" w:color="auto" w:fill="CCEEFF"/>
            <w:tcMar>
              <w:top w:w="40" w:type="dxa"/>
              <w:left w:w="0" w:type="dxa"/>
              <w:bottom w:w="40" w:type="dxa"/>
              <w:right w:w="20" w:type="dxa"/>
            </w:tcMar>
            <w:vAlign w:val="bottom"/>
          </w:tcPr>
          <w:p w14:paraId="74DD77D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7D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77D8" w14:textId="77777777" w:rsidR="00584EC1" w:rsidRDefault="00871F8D">
            <w:pPr>
              <w:jc w:val="right"/>
              <w:textAlignment w:val="bottom"/>
            </w:pPr>
            <w:r>
              <w:rPr>
                <w:rFonts w:ascii="Arial" w:eastAsia="宋体" w:hAnsi="Arial" w:cs="Arial"/>
                <w:color w:val="000000"/>
                <w:sz w:val="14"/>
                <w:szCs w:val="14"/>
              </w:rPr>
              <w:t>2 </w:t>
            </w:r>
          </w:p>
        </w:tc>
        <w:tc>
          <w:tcPr>
            <w:tcW w:w="0" w:type="auto"/>
            <w:shd w:val="clear" w:color="auto" w:fill="CCEEFF"/>
            <w:tcMar>
              <w:top w:w="40" w:type="dxa"/>
              <w:left w:w="0" w:type="dxa"/>
              <w:bottom w:w="40" w:type="dxa"/>
              <w:right w:w="20" w:type="dxa"/>
            </w:tcMar>
            <w:vAlign w:val="bottom"/>
          </w:tcPr>
          <w:p w14:paraId="74DD77D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7DA" w14:textId="77777777" w:rsidR="00584EC1" w:rsidRDefault="00584EC1">
            <w:pPr>
              <w:rPr>
                <w:rFonts w:ascii="宋体"/>
              </w:rPr>
            </w:pPr>
          </w:p>
        </w:tc>
        <w:tc>
          <w:tcPr>
            <w:tcW w:w="0" w:type="auto"/>
            <w:shd w:val="clear" w:color="auto" w:fill="auto"/>
            <w:vAlign w:val="bottom"/>
          </w:tcPr>
          <w:p w14:paraId="74DD77DB" w14:textId="77777777" w:rsidR="00584EC1" w:rsidRDefault="00584EC1">
            <w:pPr>
              <w:rPr>
                <w:rFonts w:ascii="宋体"/>
                <w:vanish/>
              </w:rPr>
            </w:pPr>
          </w:p>
        </w:tc>
        <w:tc>
          <w:tcPr>
            <w:tcW w:w="0" w:type="auto"/>
            <w:shd w:val="clear" w:color="auto" w:fill="auto"/>
            <w:vAlign w:val="bottom"/>
          </w:tcPr>
          <w:p w14:paraId="74DD77DC" w14:textId="77777777" w:rsidR="00584EC1" w:rsidRDefault="00584EC1">
            <w:pPr>
              <w:rPr>
                <w:rFonts w:ascii="宋体"/>
                <w:vanish/>
              </w:rPr>
            </w:pPr>
          </w:p>
        </w:tc>
        <w:tc>
          <w:tcPr>
            <w:tcW w:w="0" w:type="auto"/>
            <w:gridSpan w:val="3"/>
            <w:shd w:val="clear" w:color="auto" w:fill="CCEEFF"/>
            <w:tcMar>
              <w:top w:w="40" w:type="dxa"/>
              <w:left w:w="20" w:type="dxa"/>
              <w:bottom w:w="40" w:type="dxa"/>
              <w:right w:w="140" w:type="dxa"/>
            </w:tcMar>
            <w:vAlign w:val="bottom"/>
          </w:tcPr>
          <w:p w14:paraId="74DD77DD" w14:textId="77777777" w:rsidR="00584EC1" w:rsidRDefault="00871F8D">
            <w:pPr>
              <w:jc w:val="right"/>
              <w:textAlignment w:val="bottom"/>
            </w:pPr>
            <w:r>
              <w:rPr>
                <w:rFonts w:ascii="Arial" w:eastAsia="宋体" w:hAnsi="Arial" w:cs="Arial"/>
                <w:color w:val="000000"/>
                <w:sz w:val="14"/>
                <w:szCs w:val="14"/>
              </w:rPr>
              <w:t>nm</w:t>
            </w:r>
          </w:p>
        </w:tc>
        <w:tc>
          <w:tcPr>
            <w:tcW w:w="0" w:type="auto"/>
            <w:gridSpan w:val="3"/>
            <w:shd w:val="clear" w:color="auto" w:fill="auto"/>
            <w:vAlign w:val="bottom"/>
          </w:tcPr>
          <w:p w14:paraId="74DD77DE" w14:textId="77777777" w:rsidR="00584EC1" w:rsidRDefault="00584EC1">
            <w:pPr>
              <w:rPr>
                <w:rFonts w:ascii="宋体"/>
                <w:vanish/>
              </w:rPr>
            </w:pPr>
          </w:p>
        </w:tc>
        <w:tc>
          <w:tcPr>
            <w:tcW w:w="0" w:type="auto"/>
            <w:gridSpan w:val="3"/>
            <w:shd w:val="clear" w:color="auto" w:fill="auto"/>
            <w:vAlign w:val="bottom"/>
          </w:tcPr>
          <w:p w14:paraId="74DD77DF" w14:textId="77777777" w:rsidR="00584EC1" w:rsidRDefault="00584EC1">
            <w:pPr>
              <w:rPr>
                <w:rFonts w:ascii="宋体"/>
                <w:vanish/>
              </w:rPr>
            </w:pPr>
          </w:p>
        </w:tc>
        <w:tc>
          <w:tcPr>
            <w:tcW w:w="0" w:type="auto"/>
            <w:gridSpan w:val="3"/>
            <w:shd w:val="clear" w:color="auto" w:fill="auto"/>
            <w:vAlign w:val="bottom"/>
          </w:tcPr>
          <w:p w14:paraId="74DD77E0" w14:textId="77777777" w:rsidR="00584EC1" w:rsidRDefault="00584EC1">
            <w:pPr>
              <w:rPr>
                <w:rFonts w:ascii="宋体"/>
                <w:vanish/>
              </w:rPr>
            </w:pPr>
          </w:p>
        </w:tc>
        <w:tc>
          <w:tcPr>
            <w:tcW w:w="0" w:type="auto"/>
            <w:gridSpan w:val="3"/>
            <w:shd w:val="clear" w:color="auto" w:fill="auto"/>
            <w:vAlign w:val="bottom"/>
          </w:tcPr>
          <w:p w14:paraId="74DD77E1" w14:textId="77777777" w:rsidR="00584EC1" w:rsidRDefault="00584EC1">
            <w:pPr>
              <w:rPr>
                <w:rFonts w:ascii="宋体"/>
                <w:vanish/>
              </w:rPr>
            </w:pPr>
          </w:p>
        </w:tc>
        <w:tc>
          <w:tcPr>
            <w:tcW w:w="0" w:type="auto"/>
            <w:gridSpan w:val="3"/>
            <w:shd w:val="clear" w:color="auto" w:fill="auto"/>
            <w:vAlign w:val="bottom"/>
          </w:tcPr>
          <w:p w14:paraId="74DD77E2" w14:textId="77777777" w:rsidR="00584EC1" w:rsidRDefault="00584EC1">
            <w:pPr>
              <w:rPr>
                <w:rFonts w:ascii="宋体"/>
                <w:vanish/>
              </w:rPr>
            </w:pPr>
          </w:p>
        </w:tc>
        <w:tc>
          <w:tcPr>
            <w:tcW w:w="0" w:type="auto"/>
            <w:gridSpan w:val="3"/>
            <w:shd w:val="clear" w:color="auto" w:fill="auto"/>
            <w:vAlign w:val="bottom"/>
          </w:tcPr>
          <w:p w14:paraId="74DD77E3" w14:textId="77777777" w:rsidR="00584EC1" w:rsidRDefault="00584EC1">
            <w:pPr>
              <w:rPr>
                <w:rFonts w:ascii="宋体"/>
                <w:vanish/>
              </w:rPr>
            </w:pPr>
          </w:p>
        </w:tc>
        <w:tc>
          <w:tcPr>
            <w:tcW w:w="0" w:type="auto"/>
            <w:gridSpan w:val="2"/>
            <w:shd w:val="clear" w:color="auto" w:fill="auto"/>
            <w:vAlign w:val="bottom"/>
          </w:tcPr>
          <w:p w14:paraId="74DD77E4" w14:textId="77777777" w:rsidR="00584EC1" w:rsidRDefault="00584EC1">
            <w:pPr>
              <w:rPr>
                <w:rFonts w:ascii="宋体"/>
                <w:vanish/>
              </w:rPr>
            </w:pPr>
          </w:p>
        </w:tc>
        <w:tc>
          <w:tcPr>
            <w:tcW w:w="0" w:type="auto"/>
            <w:shd w:val="clear" w:color="auto" w:fill="auto"/>
            <w:vAlign w:val="bottom"/>
          </w:tcPr>
          <w:p w14:paraId="74DD77E5" w14:textId="77777777" w:rsidR="00584EC1" w:rsidRDefault="00584EC1">
            <w:pPr>
              <w:rPr>
                <w:rFonts w:ascii="宋体"/>
                <w:vanish/>
              </w:rPr>
            </w:pPr>
          </w:p>
        </w:tc>
      </w:tr>
      <w:tr w:rsidR="00584EC1" w14:paraId="74DD7800" w14:textId="77777777">
        <w:tc>
          <w:tcPr>
            <w:tcW w:w="0" w:type="auto"/>
            <w:gridSpan w:val="3"/>
            <w:shd w:val="clear" w:color="auto" w:fill="FFFFFF"/>
            <w:tcMar>
              <w:top w:w="40" w:type="dxa"/>
              <w:left w:w="20" w:type="dxa"/>
              <w:bottom w:w="40" w:type="dxa"/>
              <w:right w:w="20" w:type="dxa"/>
            </w:tcMar>
            <w:vAlign w:val="bottom"/>
          </w:tcPr>
          <w:p w14:paraId="74DD77E7" w14:textId="77777777" w:rsidR="00584EC1" w:rsidRDefault="00871F8D">
            <w:pPr>
              <w:textAlignment w:val="bottom"/>
            </w:pPr>
            <w:r>
              <w:rPr>
                <w:rFonts w:ascii="Arial" w:eastAsia="宋体" w:hAnsi="Arial" w:cs="Arial"/>
                <w:b/>
                <w:bCs/>
                <w:color w:val="000000"/>
                <w:sz w:val="14"/>
                <w:szCs w:val="14"/>
              </w:rPr>
              <w:t>Total revenue</w:t>
            </w:r>
          </w:p>
        </w:tc>
        <w:tc>
          <w:tcPr>
            <w:tcW w:w="0" w:type="auto"/>
            <w:shd w:val="clear" w:color="auto" w:fill="auto"/>
            <w:vAlign w:val="bottom"/>
          </w:tcPr>
          <w:p w14:paraId="74DD77E8" w14:textId="77777777" w:rsidR="00584EC1" w:rsidRDefault="00584EC1">
            <w:pPr>
              <w:rPr>
                <w:rFonts w:ascii="宋体"/>
                <w:vanish/>
              </w:rPr>
            </w:pPr>
          </w:p>
        </w:tc>
        <w:tc>
          <w:tcPr>
            <w:tcW w:w="0" w:type="auto"/>
            <w:shd w:val="clear" w:color="auto" w:fill="auto"/>
            <w:vAlign w:val="bottom"/>
          </w:tcPr>
          <w:p w14:paraId="74DD77E9" w14:textId="77777777" w:rsidR="00584EC1" w:rsidRDefault="00584EC1">
            <w:pPr>
              <w:rPr>
                <w:rFonts w:ascii="宋体"/>
                <w:vanish/>
              </w:rPr>
            </w:pPr>
          </w:p>
        </w:tc>
        <w:tc>
          <w:tcPr>
            <w:tcW w:w="0" w:type="auto"/>
            <w:shd w:val="clear" w:color="auto" w:fill="auto"/>
            <w:vAlign w:val="bottom"/>
          </w:tcPr>
          <w:p w14:paraId="74DD77EA" w14:textId="77777777" w:rsidR="00584EC1" w:rsidRDefault="00584EC1">
            <w:pPr>
              <w:rPr>
                <w:rFonts w:ascii="宋体"/>
                <w:vanish/>
              </w:rPr>
            </w:pPr>
          </w:p>
        </w:tc>
        <w:tc>
          <w:tcPr>
            <w:tcW w:w="0" w:type="auto"/>
            <w:shd w:val="clear" w:color="auto" w:fill="auto"/>
            <w:vAlign w:val="bottom"/>
          </w:tcPr>
          <w:p w14:paraId="74DD77EB" w14:textId="77777777" w:rsidR="00584EC1" w:rsidRDefault="00584EC1">
            <w:pPr>
              <w:rPr>
                <w:rFonts w:ascii="宋体"/>
                <w:vanish/>
              </w:rPr>
            </w:pPr>
          </w:p>
        </w:tc>
        <w:tc>
          <w:tcPr>
            <w:tcW w:w="0" w:type="auto"/>
            <w:shd w:val="clear" w:color="auto" w:fill="auto"/>
            <w:vAlign w:val="bottom"/>
          </w:tcPr>
          <w:p w14:paraId="74DD77EC" w14:textId="77777777" w:rsidR="00584EC1" w:rsidRDefault="00584EC1">
            <w:pPr>
              <w:rPr>
                <w:rFonts w:ascii="宋体"/>
                <w:vanish/>
              </w:rPr>
            </w:pPr>
          </w:p>
        </w:tc>
        <w:tc>
          <w:tcPr>
            <w:tcW w:w="0" w:type="auto"/>
            <w:shd w:val="clear" w:color="auto" w:fill="auto"/>
            <w:vAlign w:val="bottom"/>
          </w:tcPr>
          <w:p w14:paraId="74DD77ED" w14:textId="77777777" w:rsidR="00584EC1" w:rsidRDefault="00584EC1">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77EE" w14:textId="77777777" w:rsidR="00584EC1" w:rsidRDefault="00871F8D">
            <w:pPr>
              <w:jc w:val="right"/>
              <w:textAlignment w:val="bottom"/>
            </w:pPr>
            <w:r>
              <w:rPr>
                <w:rFonts w:ascii="Arial" w:eastAsia="宋体" w:hAnsi="Arial" w:cs="Arial"/>
                <w:b/>
                <w:bCs/>
                <w:color w:val="000000"/>
                <w:sz w:val="14"/>
                <w:szCs w:val="14"/>
              </w:rPr>
              <w:t>7,354</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77E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7F0"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77F1" w14:textId="77777777" w:rsidR="00584EC1" w:rsidRDefault="00871F8D">
            <w:pPr>
              <w:jc w:val="right"/>
              <w:textAlignment w:val="bottom"/>
            </w:pPr>
            <w:r>
              <w:rPr>
                <w:rFonts w:ascii="Arial" w:eastAsia="宋体" w:hAnsi="Arial" w:cs="Arial"/>
                <w:color w:val="000000"/>
                <w:sz w:val="14"/>
                <w:szCs w:val="14"/>
              </w:rPr>
              <w:t>7,362 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77F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7F3" w14:textId="77777777" w:rsidR="00584EC1" w:rsidRDefault="00584EC1">
            <w:pPr>
              <w:rPr>
                <w:rFonts w:ascii="宋体"/>
              </w:rPr>
            </w:pPr>
          </w:p>
        </w:tc>
        <w:tc>
          <w:tcPr>
            <w:tcW w:w="0" w:type="auto"/>
            <w:shd w:val="clear" w:color="auto" w:fill="auto"/>
            <w:vAlign w:val="bottom"/>
          </w:tcPr>
          <w:p w14:paraId="74DD77F4" w14:textId="77777777" w:rsidR="00584EC1" w:rsidRDefault="00584EC1">
            <w:pPr>
              <w:rPr>
                <w:rFonts w:ascii="宋体"/>
                <w:vanish/>
              </w:rPr>
            </w:pPr>
          </w:p>
        </w:tc>
        <w:tc>
          <w:tcPr>
            <w:tcW w:w="0" w:type="auto"/>
            <w:shd w:val="clear" w:color="auto" w:fill="auto"/>
            <w:vAlign w:val="bottom"/>
          </w:tcPr>
          <w:p w14:paraId="74DD77F5"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D77F6"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77F7" w14:textId="77777777" w:rsidR="00584EC1" w:rsidRDefault="00584EC1">
            <w:pPr>
              <w:jc w:val="right"/>
              <w:rPr>
                <w:rFonts w:ascii="宋体"/>
              </w:rPr>
            </w:pPr>
          </w:p>
        </w:tc>
        <w:tc>
          <w:tcPr>
            <w:tcW w:w="0" w:type="auto"/>
            <w:gridSpan w:val="3"/>
            <w:shd w:val="clear" w:color="auto" w:fill="auto"/>
            <w:vAlign w:val="bottom"/>
          </w:tcPr>
          <w:p w14:paraId="74DD77F8" w14:textId="77777777" w:rsidR="00584EC1" w:rsidRDefault="00584EC1">
            <w:pPr>
              <w:rPr>
                <w:rFonts w:ascii="宋体"/>
                <w:vanish/>
              </w:rPr>
            </w:pPr>
          </w:p>
        </w:tc>
        <w:tc>
          <w:tcPr>
            <w:tcW w:w="0" w:type="auto"/>
            <w:gridSpan w:val="3"/>
            <w:shd w:val="clear" w:color="auto" w:fill="auto"/>
            <w:vAlign w:val="bottom"/>
          </w:tcPr>
          <w:p w14:paraId="74DD77F9" w14:textId="77777777" w:rsidR="00584EC1" w:rsidRDefault="00584EC1">
            <w:pPr>
              <w:rPr>
                <w:rFonts w:ascii="宋体"/>
                <w:vanish/>
              </w:rPr>
            </w:pPr>
          </w:p>
        </w:tc>
        <w:tc>
          <w:tcPr>
            <w:tcW w:w="0" w:type="auto"/>
            <w:gridSpan w:val="3"/>
            <w:shd w:val="clear" w:color="auto" w:fill="auto"/>
            <w:vAlign w:val="bottom"/>
          </w:tcPr>
          <w:p w14:paraId="74DD77FA" w14:textId="77777777" w:rsidR="00584EC1" w:rsidRDefault="00584EC1">
            <w:pPr>
              <w:rPr>
                <w:rFonts w:ascii="宋体"/>
                <w:vanish/>
              </w:rPr>
            </w:pPr>
          </w:p>
        </w:tc>
        <w:tc>
          <w:tcPr>
            <w:tcW w:w="0" w:type="auto"/>
            <w:gridSpan w:val="3"/>
            <w:shd w:val="clear" w:color="auto" w:fill="auto"/>
            <w:vAlign w:val="bottom"/>
          </w:tcPr>
          <w:p w14:paraId="74DD77FB" w14:textId="77777777" w:rsidR="00584EC1" w:rsidRDefault="00584EC1">
            <w:pPr>
              <w:rPr>
                <w:rFonts w:ascii="宋体"/>
                <w:vanish/>
              </w:rPr>
            </w:pPr>
          </w:p>
        </w:tc>
        <w:tc>
          <w:tcPr>
            <w:tcW w:w="0" w:type="auto"/>
            <w:gridSpan w:val="3"/>
            <w:shd w:val="clear" w:color="auto" w:fill="auto"/>
            <w:vAlign w:val="bottom"/>
          </w:tcPr>
          <w:p w14:paraId="74DD77FC" w14:textId="77777777" w:rsidR="00584EC1" w:rsidRDefault="00584EC1">
            <w:pPr>
              <w:rPr>
                <w:rFonts w:ascii="宋体"/>
                <w:vanish/>
              </w:rPr>
            </w:pPr>
          </w:p>
        </w:tc>
        <w:tc>
          <w:tcPr>
            <w:tcW w:w="0" w:type="auto"/>
            <w:gridSpan w:val="3"/>
            <w:shd w:val="clear" w:color="auto" w:fill="auto"/>
            <w:vAlign w:val="bottom"/>
          </w:tcPr>
          <w:p w14:paraId="74DD77FD" w14:textId="77777777" w:rsidR="00584EC1" w:rsidRDefault="00584EC1">
            <w:pPr>
              <w:rPr>
                <w:rFonts w:ascii="宋体"/>
                <w:vanish/>
              </w:rPr>
            </w:pPr>
          </w:p>
        </w:tc>
        <w:tc>
          <w:tcPr>
            <w:tcW w:w="0" w:type="auto"/>
            <w:gridSpan w:val="2"/>
            <w:shd w:val="clear" w:color="auto" w:fill="auto"/>
            <w:vAlign w:val="bottom"/>
          </w:tcPr>
          <w:p w14:paraId="74DD77FE" w14:textId="77777777" w:rsidR="00584EC1" w:rsidRDefault="00584EC1">
            <w:pPr>
              <w:rPr>
                <w:rFonts w:ascii="宋体"/>
                <w:vanish/>
              </w:rPr>
            </w:pPr>
          </w:p>
        </w:tc>
        <w:tc>
          <w:tcPr>
            <w:tcW w:w="0" w:type="auto"/>
            <w:shd w:val="clear" w:color="auto" w:fill="auto"/>
            <w:vAlign w:val="bottom"/>
          </w:tcPr>
          <w:p w14:paraId="74DD77FF" w14:textId="77777777" w:rsidR="00584EC1" w:rsidRDefault="00584EC1">
            <w:pPr>
              <w:rPr>
                <w:rFonts w:ascii="宋体"/>
                <w:vanish/>
              </w:rPr>
            </w:pPr>
          </w:p>
        </w:tc>
      </w:tr>
      <w:tr w:rsidR="00584EC1" w14:paraId="74DD7819" w14:textId="77777777">
        <w:tc>
          <w:tcPr>
            <w:tcW w:w="0" w:type="auto"/>
            <w:gridSpan w:val="3"/>
            <w:shd w:val="clear" w:color="auto" w:fill="CCEEFF"/>
            <w:tcMar>
              <w:top w:w="40" w:type="dxa"/>
              <w:left w:w="20" w:type="dxa"/>
              <w:bottom w:w="40" w:type="dxa"/>
              <w:right w:w="20" w:type="dxa"/>
            </w:tcMar>
            <w:vAlign w:val="bottom"/>
          </w:tcPr>
          <w:p w14:paraId="74DD7801" w14:textId="77777777" w:rsidR="00584EC1" w:rsidRDefault="00871F8D">
            <w:pPr>
              <w:textAlignment w:val="bottom"/>
            </w:pPr>
            <w:r>
              <w:rPr>
                <w:rFonts w:ascii="Arial" w:eastAsia="宋体" w:hAnsi="Arial" w:cs="Arial"/>
                <w:color w:val="000000"/>
                <w:sz w:val="14"/>
                <w:szCs w:val="14"/>
              </w:rPr>
              <w:t>Provision for credit losses</w:t>
            </w:r>
          </w:p>
        </w:tc>
        <w:tc>
          <w:tcPr>
            <w:tcW w:w="0" w:type="auto"/>
            <w:shd w:val="clear" w:color="auto" w:fill="auto"/>
            <w:vAlign w:val="bottom"/>
          </w:tcPr>
          <w:p w14:paraId="74DD7802" w14:textId="77777777" w:rsidR="00584EC1" w:rsidRDefault="00584EC1">
            <w:pPr>
              <w:rPr>
                <w:rFonts w:ascii="宋体"/>
                <w:vanish/>
              </w:rPr>
            </w:pPr>
          </w:p>
        </w:tc>
        <w:tc>
          <w:tcPr>
            <w:tcW w:w="0" w:type="auto"/>
            <w:shd w:val="clear" w:color="auto" w:fill="auto"/>
            <w:vAlign w:val="bottom"/>
          </w:tcPr>
          <w:p w14:paraId="74DD7803" w14:textId="77777777" w:rsidR="00584EC1" w:rsidRDefault="00584EC1">
            <w:pPr>
              <w:rPr>
                <w:rFonts w:ascii="宋体"/>
                <w:vanish/>
              </w:rPr>
            </w:pPr>
          </w:p>
        </w:tc>
        <w:tc>
          <w:tcPr>
            <w:tcW w:w="0" w:type="auto"/>
            <w:shd w:val="clear" w:color="auto" w:fill="auto"/>
            <w:vAlign w:val="bottom"/>
          </w:tcPr>
          <w:p w14:paraId="74DD7804" w14:textId="77777777" w:rsidR="00584EC1" w:rsidRDefault="00584EC1">
            <w:pPr>
              <w:rPr>
                <w:rFonts w:ascii="宋体"/>
                <w:vanish/>
              </w:rPr>
            </w:pPr>
          </w:p>
        </w:tc>
        <w:tc>
          <w:tcPr>
            <w:tcW w:w="0" w:type="auto"/>
            <w:shd w:val="clear" w:color="auto" w:fill="auto"/>
            <w:vAlign w:val="bottom"/>
          </w:tcPr>
          <w:p w14:paraId="74DD7805" w14:textId="77777777" w:rsidR="00584EC1" w:rsidRDefault="00584EC1">
            <w:pPr>
              <w:rPr>
                <w:rFonts w:ascii="宋体"/>
                <w:vanish/>
              </w:rPr>
            </w:pPr>
          </w:p>
        </w:tc>
        <w:tc>
          <w:tcPr>
            <w:tcW w:w="0" w:type="auto"/>
            <w:shd w:val="clear" w:color="auto" w:fill="auto"/>
            <w:vAlign w:val="bottom"/>
          </w:tcPr>
          <w:p w14:paraId="74DD7806" w14:textId="77777777" w:rsidR="00584EC1" w:rsidRDefault="00584EC1">
            <w:pPr>
              <w:rPr>
                <w:rFonts w:ascii="宋体"/>
                <w:vanish/>
              </w:rPr>
            </w:pPr>
          </w:p>
        </w:tc>
        <w:tc>
          <w:tcPr>
            <w:tcW w:w="0" w:type="auto"/>
            <w:shd w:val="clear" w:color="auto" w:fill="auto"/>
            <w:vAlign w:val="bottom"/>
          </w:tcPr>
          <w:p w14:paraId="74DD7807" w14:textId="77777777" w:rsidR="00584EC1" w:rsidRDefault="00584EC1">
            <w:pPr>
              <w:rPr>
                <w:rFonts w:ascii="宋体"/>
                <w:vanish/>
              </w:rPr>
            </w:pPr>
          </w:p>
        </w:tc>
        <w:tc>
          <w:tcPr>
            <w:tcW w:w="0" w:type="auto"/>
            <w:gridSpan w:val="2"/>
            <w:shd w:val="clear" w:color="auto" w:fill="CCEEFF"/>
            <w:tcMar>
              <w:top w:w="40" w:type="dxa"/>
              <w:left w:w="20" w:type="dxa"/>
              <w:bottom w:w="40" w:type="dxa"/>
              <w:right w:w="0" w:type="dxa"/>
            </w:tcMar>
            <w:vAlign w:val="bottom"/>
          </w:tcPr>
          <w:p w14:paraId="74DD7808" w14:textId="77777777" w:rsidR="00584EC1" w:rsidRDefault="00871F8D">
            <w:pPr>
              <w:jc w:val="right"/>
              <w:textAlignment w:val="bottom"/>
            </w:pPr>
            <w:r>
              <w:rPr>
                <w:rFonts w:ascii="Arial" w:eastAsia="宋体" w:hAnsi="Arial" w:cs="Arial"/>
                <w:b/>
                <w:bCs/>
                <w:color w:val="000000"/>
                <w:sz w:val="14"/>
                <w:szCs w:val="14"/>
              </w:rPr>
              <w:t>(26)</w:t>
            </w:r>
          </w:p>
        </w:tc>
        <w:tc>
          <w:tcPr>
            <w:tcW w:w="0" w:type="auto"/>
            <w:shd w:val="clear" w:color="auto" w:fill="CCEEFF"/>
            <w:tcMar>
              <w:top w:w="40" w:type="dxa"/>
              <w:left w:w="0" w:type="dxa"/>
              <w:bottom w:w="40" w:type="dxa"/>
              <w:right w:w="20" w:type="dxa"/>
            </w:tcMar>
            <w:vAlign w:val="bottom"/>
          </w:tcPr>
          <w:p w14:paraId="74DD780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80A"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780B" w14:textId="77777777" w:rsidR="00584EC1" w:rsidRDefault="00871F8D">
            <w:pPr>
              <w:jc w:val="right"/>
              <w:textAlignment w:val="bottom"/>
            </w:pPr>
            <w:r>
              <w:rPr>
                <w:rFonts w:ascii="Arial" w:eastAsia="宋体" w:hAnsi="Arial" w:cs="Arial"/>
                <w:color w:val="000000"/>
                <w:sz w:val="14"/>
                <w:szCs w:val="14"/>
              </w:rPr>
              <w:t>88 </w:t>
            </w:r>
          </w:p>
        </w:tc>
        <w:tc>
          <w:tcPr>
            <w:tcW w:w="0" w:type="auto"/>
            <w:shd w:val="clear" w:color="auto" w:fill="CCEEFF"/>
            <w:tcMar>
              <w:top w:w="40" w:type="dxa"/>
              <w:left w:w="0" w:type="dxa"/>
              <w:bottom w:w="40" w:type="dxa"/>
              <w:right w:w="20" w:type="dxa"/>
            </w:tcMar>
            <w:vAlign w:val="bottom"/>
          </w:tcPr>
          <w:p w14:paraId="74DD780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80D" w14:textId="77777777" w:rsidR="00584EC1" w:rsidRDefault="00584EC1">
            <w:pPr>
              <w:rPr>
                <w:rFonts w:ascii="宋体"/>
              </w:rPr>
            </w:pPr>
          </w:p>
        </w:tc>
        <w:tc>
          <w:tcPr>
            <w:tcW w:w="0" w:type="auto"/>
            <w:shd w:val="clear" w:color="auto" w:fill="auto"/>
            <w:vAlign w:val="bottom"/>
          </w:tcPr>
          <w:p w14:paraId="74DD780E" w14:textId="77777777" w:rsidR="00584EC1" w:rsidRDefault="00584EC1">
            <w:pPr>
              <w:rPr>
                <w:rFonts w:ascii="宋体"/>
                <w:vanish/>
              </w:rPr>
            </w:pPr>
          </w:p>
        </w:tc>
        <w:tc>
          <w:tcPr>
            <w:tcW w:w="0" w:type="auto"/>
            <w:shd w:val="clear" w:color="auto" w:fill="auto"/>
            <w:vAlign w:val="bottom"/>
          </w:tcPr>
          <w:p w14:paraId="74DD780F" w14:textId="77777777" w:rsidR="00584EC1" w:rsidRDefault="00584EC1">
            <w:pPr>
              <w:rPr>
                <w:rFonts w:ascii="宋体"/>
                <w:vanish/>
              </w:rPr>
            </w:pPr>
          </w:p>
        </w:tc>
        <w:tc>
          <w:tcPr>
            <w:tcW w:w="0" w:type="auto"/>
            <w:gridSpan w:val="3"/>
            <w:shd w:val="clear" w:color="auto" w:fill="CCEEFF"/>
            <w:tcMar>
              <w:top w:w="40" w:type="dxa"/>
              <w:left w:w="20" w:type="dxa"/>
              <w:bottom w:w="40" w:type="dxa"/>
              <w:right w:w="140" w:type="dxa"/>
            </w:tcMar>
            <w:vAlign w:val="bottom"/>
          </w:tcPr>
          <w:p w14:paraId="74DD7810" w14:textId="77777777" w:rsidR="00584EC1" w:rsidRDefault="00871F8D">
            <w:pPr>
              <w:jc w:val="right"/>
              <w:textAlignment w:val="bottom"/>
            </w:pPr>
            <w:r>
              <w:rPr>
                <w:rFonts w:ascii="Arial" w:eastAsia="宋体" w:hAnsi="Arial" w:cs="Arial"/>
                <w:color w:val="000000"/>
                <w:sz w:val="14"/>
                <w:szCs w:val="14"/>
              </w:rPr>
              <w:t>nm</w:t>
            </w:r>
          </w:p>
        </w:tc>
        <w:tc>
          <w:tcPr>
            <w:tcW w:w="0" w:type="auto"/>
            <w:gridSpan w:val="3"/>
            <w:shd w:val="clear" w:color="auto" w:fill="auto"/>
            <w:vAlign w:val="bottom"/>
          </w:tcPr>
          <w:p w14:paraId="74DD7811" w14:textId="77777777" w:rsidR="00584EC1" w:rsidRDefault="00584EC1">
            <w:pPr>
              <w:rPr>
                <w:rFonts w:ascii="宋体"/>
                <w:vanish/>
              </w:rPr>
            </w:pPr>
          </w:p>
        </w:tc>
        <w:tc>
          <w:tcPr>
            <w:tcW w:w="0" w:type="auto"/>
            <w:gridSpan w:val="3"/>
            <w:shd w:val="clear" w:color="auto" w:fill="auto"/>
            <w:vAlign w:val="bottom"/>
          </w:tcPr>
          <w:p w14:paraId="74DD7812" w14:textId="77777777" w:rsidR="00584EC1" w:rsidRDefault="00584EC1">
            <w:pPr>
              <w:rPr>
                <w:rFonts w:ascii="宋体"/>
                <w:vanish/>
              </w:rPr>
            </w:pPr>
          </w:p>
        </w:tc>
        <w:tc>
          <w:tcPr>
            <w:tcW w:w="0" w:type="auto"/>
            <w:gridSpan w:val="3"/>
            <w:shd w:val="clear" w:color="auto" w:fill="auto"/>
            <w:vAlign w:val="bottom"/>
          </w:tcPr>
          <w:p w14:paraId="74DD7813" w14:textId="77777777" w:rsidR="00584EC1" w:rsidRDefault="00584EC1">
            <w:pPr>
              <w:rPr>
                <w:rFonts w:ascii="宋体"/>
                <w:vanish/>
              </w:rPr>
            </w:pPr>
          </w:p>
        </w:tc>
        <w:tc>
          <w:tcPr>
            <w:tcW w:w="0" w:type="auto"/>
            <w:gridSpan w:val="3"/>
            <w:shd w:val="clear" w:color="auto" w:fill="auto"/>
            <w:vAlign w:val="bottom"/>
          </w:tcPr>
          <w:p w14:paraId="74DD7814" w14:textId="77777777" w:rsidR="00584EC1" w:rsidRDefault="00584EC1">
            <w:pPr>
              <w:rPr>
                <w:rFonts w:ascii="宋体"/>
                <w:vanish/>
              </w:rPr>
            </w:pPr>
          </w:p>
        </w:tc>
        <w:tc>
          <w:tcPr>
            <w:tcW w:w="0" w:type="auto"/>
            <w:gridSpan w:val="3"/>
            <w:shd w:val="clear" w:color="auto" w:fill="auto"/>
            <w:vAlign w:val="bottom"/>
          </w:tcPr>
          <w:p w14:paraId="74DD7815" w14:textId="77777777" w:rsidR="00584EC1" w:rsidRDefault="00584EC1">
            <w:pPr>
              <w:rPr>
                <w:rFonts w:ascii="宋体"/>
                <w:vanish/>
              </w:rPr>
            </w:pPr>
          </w:p>
        </w:tc>
        <w:tc>
          <w:tcPr>
            <w:tcW w:w="0" w:type="auto"/>
            <w:gridSpan w:val="3"/>
            <w:shd w:val="clear" w:color="auto" w:fill="auto"/>
            <w:vAlign w:val="bottom"/>
          </w:tcPr>
          <w:p w14:paraId="74DD7816" w14:textId="77777777" w:rsidR="00584EC1" w:rsidRDefault="00584EC1">
            <w:pPr>
              <w:rPr>
                <w:rFonts w:ascii="宋体"/>
                <w:vanish/>
              </w:rPr>
            </w:pPr>
          </w:p>
        </w:tc>
        <w:tc>
          <w:tcPr>
            <w:tcW w:w="0" w:type="auto"/>
            <w:gridSpan w:val="2"/>
            <w:shd w:val="clear" w:color="auto" w:fill="auto"/>
            <w:vAlign w:val="bottom"/>
          </w:tcPr>
          <w:p w14:paraId="74DD7817" w14:textId="77777777" w:rsidR="00584EC1" w:rsidRDefault="00584EC1">
            <w:pPr>
              <w:rPr>
                <w:rFonts w:ascii="宋体"/>
                <w:vanish/>
              </w:rPr>
            </w:pPr>
          </w:p>
        </w:tc>
        <w:tc>
          <w:tcPr>
            <w:tcW w:w="0" w:type="auto"/>
            <w:shd w:val="clear" w:color="auto" w:fill="auto"/>
            <w:vAlign w:val="bottom"/>
          </w:tcPr>
          <w:p w14:paraId="74DD7818" w14:textId="77777777" w:rsidR="00584EC1" w:rsidRDefault="00584EC1">
            <w:pPr>
              <w:rPr>
                <w:rFonts w:ascii="宋体"/>
                <w:vanish/>
              </w:rPr>
            </w:pPr>
          </w:p>
        </w:tc>
      </w:tr>
      <w:tr w:rsidR="00584EC1" w14:paraId="74DD7833" w14:textId="77777777">
        <w:tc>
          <w:tcPr>
            <w:tcW w:w="0" w:type="auto"/>
            <w:gridSpan w:val="3"/>
            <w:shd w:val="clear" w:color="auto" w:fill="FFFFFF"/>
            <w:tcMar>
              <w:top w:w="40" w:type="dxa"/>
              <w:left w:w="20" w:type="dxa"/>
              <w:bottom w:w="40" w:type="dxa"/>
              <w:right w:w="20" w:type="dxa"/>
            </w:tcMar>
            <w:vAlign w:val="bottom"/>
          </w:tcPr>
          <w:p w14:paraId="74DD781A" w14:textId="77777777" w:rsidR="00584EC1" w:rsidRDefault="00871F8D">
            <w:pPr>
              <w:textAlignment w:val="bottom"/>
            </w:pPr>
            <w:r>
              <w:rPr>
                <w:rFonts w:ascii="Arial" w:eastAsia="宋体" w:hAnsi="Arial" w:cs="Arial"/>
                <w:b/>
                <w:bCs/>
                <w:color w:val="000000"/>
                <w:sz w:val="14"/>
                <w:szCs w:val="14"/>
              </w:rPr>
              <w:t>Total expenses</w:t>
            </w:r>
          </w:p>
        </w:tc>
        <w:tc>
          <w:tcPr>
            <w:tcW w:w="0" w:type="auto"/>
            <w:shd w:val="clear" w:color="auto" w:fill="auto"/>
            <w:vAlign w:val="bottom"/>
          </w:tcPr>
          <w:p w14:paraId="74DD781B" w14:textId="77777777" w:rsidR="00584EC1" w:rsidRDefault="00584EC1">
            <w:pPr>
              <w:rPr>
                <w:rFonts w:ascii="宋体"/>
                <w:vanish/>
              </w:rPr>
            </w:pPr>
          </w:p>
        </w:tc>
        <w:tc>
          <w:tcPr>
            <w:tcW w:w="0" w:type="auto"/>
            <w:shd w:val="clear" w:color="auto" w:fill="auto"/>
            <w:vAlign w:val="bottom"/>
          </w:tcPr>
          <w:p w14:paraId="74DD781C" w14:textId="77777777" w:rsidR="00584EC1" w:rsidRDefault="00584EC1">
            <w:pPr>
              <w:rPr>
                <w:rFonts w:ascii="宋体"/>
                <w:vanish/>
              </w:rPr>
            </w:pPr>
          </w:p>
        </w:tc>
        <w:tc>
          <w:tcPr>
            <w:tcW w:w="0" w:type="auto"/>
            <w:shd w:val="clear" w:color="auto" w:fill="auto"/>
            <w:vAlign w:val="bottom"/>
          </w:tcPr>
          <w:p w14:paraId="74DD781D" w14:textId="77777777" w:rsidR="00584EC1" w:rsidRDefault="00584EC1">
            <w:pPr>
              <w:rPr>
                <w:rFonts w:ascii="宋体"/>
                <w:vanish/>
              </w:rPr>
            </w:pPr>
          </w:p>
        </w:tc>
        <w:tc>
          <w:tcPr>
            <w:tcW w:w="0" w:type="auto"/>
            <w:shd w:val="clear" w:color="auto" w:fill="auto"/>
            <w:vAlign w:val="bottom"/>
          </w:tcPr>
          <w:p w14:paraId="74DD781E" w14:textId="77777777" w:rsidR="00584EC1" w:rsidRDefault="00584EC1">
            <w:pPr>
              <w:rPr>
                <w:rFonts w:ascii="宋体"/>
                <w:vanish/>
              </w:rPr>
            </w:pPr>
          </w:p>
        </w:tc>
        <w:tc>
          <w:tcPr>
            <w:tcW w:w="0" w:type="auto"/>
            <w:shd w:val="clear" w:color="auto" w:fill="auto"/>
            <w:vAlign w:val="bottom"/>
          </w:tcPr>
          <w:p w14:paraId="74DD781F" w14:textId="77777777" w:rsidR="00584EC1" w:rsidRDefault="00584EC1">
            <w:pPr>
              <w:rPr>
                <w:rFonts w:ascii="宋体"/>
                <w:vanish/>
              </w:rPr>
            </w:pPr>
          </w:p>
        </w:tc>
        <w:tc>
          <w:tcPr>
            <w:tcW w:w="0" w:type="auto"/>
            <w:shd w:val="clear" w:color="auto" w:fill="auto"/>
            <w:vAlign w:val="bottom"/>
          </w:tcPr>
          <w:p w14:paraId="74DD7820"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D7821" w14:textId="77777777" w:rsidR="00584EC1" w:rsidRDefault="00871F8D">
            <w:pPr>
              <w:jc w:val="right"/>
              <w:textAlignment w:val="bottom"/>
            </w:pPr>
            <w:r>
              <w:rPr>
                <w:rFonts w:ascii="Arial" w:eastAsia="宋体" w:hAnsi="Arial" w:cs="Arial"/>
                <w:b/>
                <w:bCs/>
                <w:color w:val="000000"/>
                <w:sz w:val="14"/>
                <w:szCs w:val="14"/>
              </w:rPr>
              <w:t>5,389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782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82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824" w14:textId="77777777" w:rsidR="00584EC1" w:rsidRDefault="00871F8D">
            <w:pPr>
              <w:jc w:val="right"/>
              <w:textAlignment w:val="bottom"/>
            </w:pPr>
            <w:r>
              <w:rPr>
                <w:rFonts w:ascii="Arial" w:eastAsia="宋体" w:hAnsi="Arial" w:cs="Arial"/>
                <w:color w:val="000000"/>
                <w:sz w:val="14"/>
                <w:szCs w:val="14"/>
              </w:rPr>
              <w:t>5,315 </w:t>
            </w:r>
          </w:p>
        </w:tc>
        <w:tc>
          <w:tcPr>
            <w:tcW w:w="0" w:type="auto"/>
            <w:shd w:val="clear" w:color="auto" w:fill="FFFFFF"/>
            <w:tcMar>
              <w:top w:w="40" w:type="dxa"/>
              <w:left w:w="0" w:type="dxa"/>
              <w:bottom w:w="40" w:type="dxa"/>
              <w:right w:w="20" w:type="dxa"/>
            </w:tcMar>
            <w:vAlign w:val="bottom"/>
          </w:tcPr>
          <w:p w14:paraId="74DD782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826" w14:textId="77777777" w:rsidR="00584EC1" w:rsidRDefault="00584EC1">
            <w:pPr>
              <w:rPr>
                <w:rFonts w:ascii="宋体"/>
              </w:rPr>
            </w:pPr>
          </w:p>
        </w:tc>
        <w:tc>
          <w:tcPr>
            <w:tcW w:w="0" w:type="auto"/>
            <w:shd w:val="clear" w:color="auto" w:fill="auto"/>
            <w:vAlign w:val="bottom"/>
          </w:tcPr>
          <w:p w14:paraId="74DD7827" w14:textId="77777777" w:rsidR="00584EC1" w:rsidRDefault="00584EC1">
            <w:pPr>
              <w:rPr>
                <w:rFonts w:ascii="宋体"/>
                <w:vanish/>
              </w:rPr>
            </w:pPr>
          </w:p>
        </w:tc>
        <w:tc>
          <w:tcPr>
            <w:tcW w:w="0" w:type="auto"/>
            <w:shd w:val="clear" w:color="auto" w:fill="auto"/>
            <w:vAlign w:val="bottom"/>
          </w:tcPr>
          <w:p w14:paraId="74DD7828"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D7829" w14:textId="77777777" w:rsidR="00584EC1" w:rsidRDefault="00871F8D">
            <w:pPr>
              <w:jc w:val="right"/>
              <w:textAlignment w:val="bottom"/>
            </w:pPr>
            <w:r>
              <w:rPr>
                <w:rFonts w:ascii="Arial" w:eastAsia="宋体" w:hAnsi="Arial" w:cs="Arial"/>
                <w:color w:val="000000"/>
                <w:sz w:val="14"/>
                <w:szCs w:val="14"/>
              </w:rPr>
              <w:t>1 </w:t>
            </w:r>
          </w:p>
        </w:tc>
        <w:tc>
          <w:tcPr>
            <w:tcW w:w="0" w:type="auto"/>
            <w:shd w:val="clear" w:color="auto" w:fill="FFFFFF"/>
            <w:tcMar>
              <w:top w:w="40" w:type="dxa"/>
              <w:left w:w="0" w:type="dxa"/>
              <w:bottom w:w="40" w:type="dxa"/>
              <w:right w:w="20" w:type="dxa"/>
            </w:tcMar>
            <w:vAlign w:val="bottom"/>
          </w:tcPr>
          <w:p w14:paraId="74DD782A" w14:textId="77777777" w:rsidR="00584EC1" w:rsidRDefault="00584EC1">
            <w:pPr>
              <w:jc w:val="right"/>
              <w:rPr>
                <w:rFonts w:ascii="宋体"/>
              </w:rPr>
            </w:pPr>
          </w:p>
        </w:tc>
        <w:tc>
          <w:tcPr>
            <w:tcW w:w="0" w:type="auto"/>
            <w:gridSpan w:val="3"/>
            <w:shd w:val="clear" w:color="auto" w:fill="auto"/>
            <w:vAlign w:val="bottom"/>
          </w:tcPr>
          <w:p w14:paraId="74DD782B" w14:textId="77777777" w:rsidR="00584EC1" w:rsidRDefault="00584EC1">
            <w:pPr>
              <w:rPr>
                <w:rFonts w:ascii="宋体"/>
                <w:vanish/>
              </w:rPr>
            </w:pPr>
          </w:p>
        </w:tc>
        <w:tc>
          <w:tcPr>
            <w:tcW w:w="0" w:type="auto"/>
            <w:gridSpan w:val="3"/>
            <w:shd w:val="clear" w:color="auto" w:fill="auto"/>
            <w:vAlign w:val="bottom"/>
          </w:tcPr>
          <w:p w14:paraId="74DD782C" w14:textId="77777777" w:rsidR="00584EC1" w:rsidRDefault="00584EC1">
            <w:pPr>
              <w:rPr>
                <w:rFonts w:ascii="宋体"/>
                <w:vanish/>
              </w:rPr>
            </w:pPr>
          </w:p>
        </w:tc>
        <w:tc>
          <w:tcPr>
            <w:tcW w:w="0" w:type="auto"/>
            <w:gridSpan w:val="3"/>
            <w:shd w:val="clear" w:color="auto" w:fill="auto"/>
            <w:vAlign w:val="bottom"/>
          </w:tcPr>
          <w:p w14:paraId="74DD782D" w14:textId="77777777" w:rsidR="00584EC1" w:rsidRDefault="00584EC1">
            <w:pPr>
              <w:rPr>
                <w:rFonts w:ascii="宋体"/>
                <w:vanish/>
              </w:rPr>
            </w:pPr>
          </w:p>
        </w:tc>
        <w:tc>
          <w:tcPr>
            <w:tcW w:w="0" w:type="auto"/>
            <w:gridSpan w:val="3"/>
            <w:shd w:val="clear" w:color="auto" w:fill="auto"/>
            <w:vAlign w:val="bottom"/>
          </w:tcPr>
          <w:p w14:paraId="74DD782E" w14:textId="77777777" w:rsidR="00584EC1" w:rsidRDefault="00584EC1">
            <w:pPr>
              <w:rPr>
                <w:rFonts w:ascii="宋体"/>
                <w:vanish/>
              </w:rPr>
            </w:pPr>
          </w:p>
        </w:tc>
        <w:tc>
          <w:tcPr>
            <w:tcW w:w="0" w:type="auto"/>
            <w:gridSpan w:val="3"/>
            <w:shd w:val="clear" w:color="auto" w:fill="auto"/>
            <w:vAlign w:val="bottom"/>
          </w:tcPr>
          <w:p w14:paraId="74DD782F" w14:textId="77777777" w:rsidR="00584EC1" w:rsidRDefault="00584EC1">
            <w:pPr>
              <w:rPr>
                <w:rFonts w:ascii="宋体"/>
                <w:vanish/>
              </w:rPr>
            </w:pPr>
          </w:p>
        </w:tc>
        <w:tc>
          <w:tcPr>
            <w:tcW w:w="0" w:type="auto"/>
            <w:gridSpan w:val="3"/>
            <w:shd w:val="clear" w:color="auto" w:fill="auto"/>
            <w:vAlign w:val="bottom"/>
          </w:tcPr>
          <w:p w14:paraId="74DD7830" w14:textId="77777777" w:rsidR="00584EC1" w:rsidRDefault="00584EC1">
            <w:pPr>
              <w:rPr>
                <w:rFonts w:ascii="宋体"/>
                <w:vanish/>
              </w:rPr>
            </w:pPr>
          </w:p>
        </w:tc>
        <w:tc>
          <w:tcPr>
            <w:tcW w:w="0" w:type="auto"/>
            <w:gridSpan w:val="2"/>
            <w:shd w:val="clear" w:color="auto" w:fill="auto"/>
            <w:vAlign w:val="bottom"/>
          </w:tcPr>
          <w:p w14:paraId="74DD7831" w14:textId="77777777" w:rsidR="00584EC1" w:rsidRDefault="00584EC1">
            <w:pPr>
              <w:rPr>
                <w:rFonts w:ascii="宋体"/>
                <w:vanish/>
              </w:rPr>
            </w:pPr>
          </w:p>
        </w:tc>
        <w:tc>
          <w:tcPr>
            <w:tcW w:w="0" w:type="auto"/>
            <w:shd w:val="clear" w:color="auto" w:fill="auto"/>
            <w:vAlign w:val="bottom"/>
          </w:tcPr>
          <w:p w14:paraId="74DD7832" w14:textId="77777777" w:rsidR="00584EC1" w:rsidRDefault="00584EC1">
            <w:pPr>
              <w:rPr>
                <w:rFonts w:ascii="宋体"/>
                <w:vanish/>
              </w:rPr>
            </w:pPr>
          </w:p>
        </w:tc>
      </w:tr>
      <w:tr w:rsidR="00584EC1" w14:paraId="74DD784F" w14:textId="77777777">
        <w:tc>
          <w:tcPr>
            <w:tcW w:w="0" w:type="auto"/>
            <w:gridSpan w:val="3"/>
            <w:shd w:val="clear" w:color="auto" w:fill="CCEEFF"/>
            <w:tcMar>
              <w:top w:w="40" w:type="dxa"/>
              <w:left w:w="20" w:type="dxa"/>
              <w:bottom w:w="40" w:type="dxa"/>
              <w:right w:w="20" w:type="dxa"/>
            </w:tcMar>
            <w:vAlign w:val="bottom"/>
          </w:tcPr>
          <w:p w14:paraId="74DD7834" w14:textId="77777777" w:rsidR="00584EC1" w:rsidRDefault="00871F8D">
            <w:pPr>
              <w:textAlignment w:val="bottom"/>
            </w:pPr>
            <w:r>
              <w:rPr>
                <w:rFonts w:ascii="Arial" w:eastAsia="宋体" w:hAnsi="Arial" w:cs="Arial"/>
                <w:b/>
                <w:bCs/>
                <w:color w:val="000000"/>
                <w:sz w:val="14"/>
                <w:szCs w:val="14"/>
              </w:rPr>
              <w:t>Income before income tax expense</w:t>
            </w:r>
          </w:p>
        </w:tc>
        <w:tc>
          <w:tcPr>
            <w:tcW w:w="0" w:type="auto"/>
            <w:shd w:val="clear" w:color="auto" w:fill="auto"/>
            <w:vAlign w:val="bottom"/>
          </w:tcPr>
          <w:p w14:paraId="74DD7835" w14:textId="77777777" w:rsidR="00584EC1" w:rsidRDefault="00584EC1">
            <w:pPr>
              <w:rPr>
                <w:rFonts w:ascii="宋体"/>
                <w:vanish/>
              </w:rPr>
            </w:pPr>
          </w:p>
        </w:tc>
        <w:tc>
          <w:tcPr>
            <w:tcW w:w="0" w:type="auto"/>
            <w:shd w:val="clear" w:color="auto" w:fill="auto"/>
            <w:vAlign w:val="bottom"/>
          </w:tcPr>
          <w:p w14:paraId="74DD7836" w14:textId="77777777" w:rsidR="00584EC1" w:rsidRDefault="00584EC1">
            <w:pPr>
              <w:rPr>
                <w:rFonts w:ascii="宋体"/>
                <w:vanish/>
              </w:rPr>
            </w:pPr>
          </w:p>
        </w:tc>
        <w:tc>
          <w:tcPr>
            <w:tcW w:w="0" w:type="auto"/>
            <w:shd w:val="clear" w:color="auto" w:fill="auto"/>
            <w:vAlign w:val="bottom"/>
          </w:tcPr>
          <w:p w14:paraId="74DD7837" w14:textId="77777777" w:rsidR="00584EC1" w:rsidRDefault="00584EC1">
            <w:pPr>
              <w:rPr>
                <w:rFonts w:ascii="宋体"/>
                <w:vanish/>
              </w:rPr>
            </w:pPr>
          </w:p>
        </w:tc>
        <w:tc>
          <w:tcPr>
            <w:tcW w:w="0" w:type="auto"/>
            <w:shd w:val="clear" w:color="auto" w:fill="auto"/>
            <w:vAlign w:val="bottom"/>
          </w:tcPr>
          <w:p w14:paraId="74DD7838" w14:textId="77777777" w:rsidR="00584EC1" w:rsidRDefault="00584EC1">
            <w:pPr>
              <w:rPr>
                <w:rFonts w:ascii="宋体"/>
                <w:vanish/>
              </w:rPr>
            </w:pPr>
          </w:p>
        </w:tc>
        <w:tc>
          <w:tcPr>
            <w:tcW w:w="0" w:type="auto"/>
            <w:shd w:val="clear" w:color="auto" w:fill="auto"/>
            <w:vAlign w:val="bottom"/>
          </w:tcPr>
          <w:p w14:paraId="74DD7839" w14:textId="77777777" w:rsidR="00584EC1" w:rsidRDefault="00584EC1">
            <w:pPr>
              <w:rPr>
                <w:rFonts w:ascii="宋体"/>
                <w:vanish/>
              </w:rPr>
            </w:pPr>
          </w:p>
        </w:tc>
        <w:tc>
          <w:tcPr>
            <w:tcW w:w="0" w:type="auto"/>
            <w:shd w:val="clear" w:color="auto" w:fill="auto"/>
            <w:vAlign w:val="bottom"/>
          </w:tcPr>
          <w:p w14:paraId="74DD783A" w14:textId="77777777" w:rsidR="00584EC1" w:rsidRDefault="00584EC1">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783B"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783C" w14:textId="77777777" w:rsidR="00584EC1" w:rsidRDefault="00871F8D">
            <w:pPr>
              <w:jc w:val="right"/>
              <w:textAlignment w:val="bottom"/>
            </w:pPr>
            <w:r>
              <w:rPr>
                <w:rFonts w:ascii="Arial" w:eastAsia="宋体" w:hAnsi="Arial" w:cs="Arial"/>
                <w:b/>
                <w:bCs/>
                <w:color w:val="000000"/>
                <w:sz w:val="14"/>
                <w:szCs w:val="14"/>
              </w:rPr>
              <w:t>1,991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83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83E"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783F"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7840" w14:textId="77777777" w:rsidR="00584EC1" w:rsidRDefault="00871F8D">
            <w:pPr>
              <w:jc w:val="right"/>
              <w:textAlignment w:val="bottom"/>
            </w:pPr>
            <w:r>
              <w:rPr>
                <w:rFonts w:ascii="Arial" w:eastAsia="宋体" w:hAnsi="Arial" w:cs="Arial"/>
                <w:color w:val="000000"/>
                <w:sz w:val="14"/>
                <w:szCs w:val="14"/>
              </w:rPr>
              <w:t>1,959 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84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842" w14:textId="77777777" w:rsidR="00584EC1" w:rsidRDefault="00584EC1">
            <w:pPr>
              <w:rPr>
                <w:rFonts w:ascii="宋体"/>
              </w:rPr>
            </w:pPr>
          </w:p>
        </w:tc>
        <w:tc>
          <w:tcPr>
            <w:tcW w:w="0" w:type="auto"/>
            <w:shd w:val="clear" w:color="auto" w:fill="auto"/>
            <w:vAlign w:val="bottom"/>
          </w:tcPr>
          <w:p w14:paraId="74DD7843" w14:textId="77777777" w:rsidR="00584EC1" w:rsidRDefault="00584EC1">
            <w:pPr>
              <w:rPr>
                <w:rFonts w:ascii="宋体"/>
                <w:vanish/>
              </w:rPr>
            </w:pPr>
          </w:p>
        </w:tc>
        <w:tc>
          <w:tcPr>
            <w:tcW w:w="0" w:type="auto"/>
            <w:shd w:val="clear" w:color="auto" w:fill="auto"/>
            <w:vAlign w:val="bottom"/>
          </w:tcPr>
          <w:p w14:paraId="74DD7844" w14:textId="77777777" w:rsidR="00584EC1" w:rsidRDefault="00584EC1">
            <w:pPr>
              <w:rPr>
                <w:rFonts w:ascii="宋体"/>
                <w:vanish/>
              </w:rPr>
            </w:pPr>
          </w:p>
        </w:tc>
        <w:tc>
          <w:tcPr>
            <w:tcW w:w="0" w:type="auto"/>
            <w:gridSpan w:val="2"/>
            <w:shd w:val="clear" w:color="auto" w:fill="CCEEFF"/>
            <w:tcMar>
              <w:top w:w="40" w:type="dxa"/>
              <w:left w:w="20" w:type="dxa"/>
              <w:bottom w:w="40" w:type="dxa"/>
              <w:right w:w="0" w:type="dxa"/>
            </w:tcMar>
            <w:vAlign w:val="bottom"/>
          </w:tcPr>
          <w:p w14:paraId="74DD7845" w14:textId="77777777" w:rsidR="00584EC1" w:rsidRDefault="00871F8D">
            <w:pPr>
              <w:jc w:val="right"/>
              <w:textAlignment w:val="bottom"/>
            </w:pPr>
            <w:r>
              <w:rPr>
                <w:rFonts w:ascii="Arial" w:eastAsia="宋体" w:hAnsi="Arial" w:cs="Arial"/>
                <w:color w:val="000000"/>
                <w:sz w:val="14"/>
                <w:szCs w:val="14"/>
              </w:rPr>
              <w:t>2 </w:t>
            </w:r>
          </w:p>
        </w:tc>
        <w:tc>
          <w:tcPr>
            <w:tcW w:w="0" w:type="auto"/>
            <w:shd w:val="clear" w:color="auto" w:fill="CCEEFF"/>
            <w:tcMar>
              <w:top w:w="40" w:type="dxa"/>
              <w:left w:w="0" w:type="dxa"/>
              <w:bottom w:w="40" w:type="dxa"/>
              <w:right w:w="20" w:type="dxa"/>
            </w:tcMar>
            <w:vAlign w:val="bottom"/>
          </w:tcPr>
          <w:p w14:paraId="74DD7846" w14:textId="77777777" w:rsidR="00584EC1" w:rsidRDefault="00584EC1">
            <w:pPr>
              <w:jc w:val="right"/>
              <w:rPr>
                <w:rFonts w:ascii="宋体"/>
              </w:rPr>
            </w:pPr>
          </w:p>
        </w:tc>
        <w:tc>
          <w:tcPr>
            <w:tcW w:w="0" w:type="auto"/>
            <w:gridSpan w:val="3"/>
            <w:shd w:val="clear" w:color="auto" w:fill="auto"/>
            <w:vAlign w:val="bottom"/>
          </w:tcPr>
          <w:p w14:paraId="74DD7847" w14:textId="77777777" w:rsidR="00584EC1" w:rsidRDefault="00584EC1">
            <w:pPr>
              <w:rPr>
                <w:rFonts w:ascii="宋体"/>
                <w:vanish/>
              </w:rPr>
            </w:pPr>
          </w:p>
        </w:tc>
        <w:tc>
          <w:tcPr>
            <w:tcW w:w="0" w:type="auto"/>
            <w:gridSpan w:val="3"/>
            <w:shd w:val="clear" w:color="auto" w:fill="auto"/>
            <w:vAlign w:val="bottom"/>
          </w:tcPr>
          <w:p w14:paraId="74DD7848" w14:textId="77777777" w:rsidR="00584EC1" w:rsidRDefault="00584EC1">
            <w:pPr>
              <w:rPr>
                <w:rFonts w:ascii="宋体"/>
                <w:vanish/>
              </w:rPr>
            </w:pPr>
          </w:p>
        </w:tc>
        <w:tc>
          <w:tcPr>
            <w:tcW w:w="0" w:type="auto"/>
            <w:gridSpan w:val="3"/>
            <w:shd w:val="clear" w:color="auto" w:fill="auto"/>
            <w:vAlign w:val="bottom"/>
          </w:tcPr>
          <w:p w14:paraId="74DD7849" w14:textId="77777777" w:rsidR="00584EC1" w:rsidRDefault="00584EC1">
            <w:pPr>
              <w:rPr>
                <w:rFonts w:ascii="宋体"/>
                <w:vanish/>
              </w:rPr>
            </w:pPr>
          </w:p>
        </w:tc>
        <w:tc>
          <w:tcPr>
            <w:tcW w:w="0" w:type="auto"/>
            <w:gridSpan w:val="3"/>
            <w:shd w:val="clear" w:color="auto" w:fill="auto"/>
            <w:vAlign w:val="bottom"/>
          </w:tcPr>
          <w:p w14:paraId="74DD784A" w14:textId="77777777" w:rsidR="00584EC1" w:rsidRDefault="00584EC1">
            <w:pPr>
              <w:rPr>
                <w:rFonts w:ascii="宋体"/>
                <w:vanish/>
              </w:rPr>
            </w:pPr>
          </w:p>
        </w:tc>
        <w:tc>
          <w:tcPr>
            <w:tcW w:w="0" w:type="auto"/>
            <w:gridSpan w:val="3"/>
            <w:shd w:val="clear" w:color="auto" w:fill="auto"/>
            <w:vAlign w:val="bottom"/>
          </w:tcPr>
          <w:p w14:paraId="74DD784B" w14:textId="77777777" w:rsidR="00584EC1" w:rsidRDefault="00584EC1">
            <w:pPr>
              <w:rPr>
                <w:rFonts w:ascii="宋体"/>
                <w:vanish/>
              </w:rPr>
            </w:pPr>
          </w:p>
        </w:tc>
        <w:tc>
          <w:tcPr>
            <w:tcW w:w="0" w:type="auto"/>
            <w:gridSpan w:val="3"/>
            <w:shd w:val="clear" w:color="auto" w:fill="auto"/>
            <w:vAlign w:val="bottom"/>
          </w:tcPr>
          <w:p w14:paraId="74DD784C" w14:textId="77777777" w:rsidR="00584EC1" w:rsidRDefault="00584EC1">
            <w:pPr>
              <w:rPr>
                <w:rFonts w:ascii="宋体"/>
                <w:vanish/>
              </w:rPr>
            </w:pPr>
          </w:p>
        </w:tc>
        <w:tc>
          <w:tcPr>
            <w:tcW w:w="0" w:type="auto"/>
            <w:gridSpan w:val="2"/>
            <w:shd w:val="clear" w:color="auto" w:fill="auto"/>
            <w:vAlign w:val="bottom"/>
          </w:tcPr>
          <w:p w14:paraId="74DD784D" w14:textId="77777777" w:rsidR="00584EC1" w:rsidRDefault="00584EC1">
            <w:pPr>
              <w:rPr>
                <w:rFonts w:ascii="宋体"/>
                <w:vanish/>
              </w:rPr>
            </w:pPr>
          </w:p>
        </w:tc>
        <w:tc>
          <w:tcPr>
            <w:tcW w:w="0" w:type="auto"/>
            <w:shd w:val="clear" w:color="auto" w:fill="auto"/>
            <w:vAlign w:val="bottom"/>
          </w:tcPr>
          <w:p w14:paraId="74DD784E" w14:textId="77777777" w:rsidR="00584EC1" w:rsidRDefault="00584EC1">
            <w:pPr>
              <w:rPr>
                <w:rFonts w:ascii="宋体"/>
                <w:vanish/>
              </w:rPr>
            </w:pPr>
          </w:p>
        </w:tc>
      </w:tr>
      <w:tr w:rsidR="00584EC1" w14:paraId="74DD7868" w14:textId="77777777">
        <w:tc>
          <w:tcPr>
            <w:tcW w:w="0" w:type="auto"/>
            <w:gridSpan w:val="3"/>
            <w:shd w:val="clear" w:color="auto" w:fill="FFFFFF"/>
            <w:tcMar>
              <w:top w:w="40" w:type="dxa"/>
              <w:left w:w="20" w:type="dxa"/>
              <w:bottom w:w="40" w:type="dxa"/>
              <w:right w:w="20" w:type="dxa"/>
            </w:tcMar>
            <w:vAlign w:val="bottom"/>
          </w:tcPr>
          <w:p w14:paraId="74DD7850" w14:textId="77777777" w:rsidR="00584EC1" w:rsidRDefault="00871F8D">
            <w:pPr>
              <w:textAlignment w:val="bottom"/>
            </w:pPr>
            <w:r>
              <w:rPr>
                <w:rFonts w:ascii="Arial" w:eastAsia="宋体" w:hAnsi="Arial" w:cs="Arial"/>
                <w:color w:val="000000"/>
                <w:sz w:val="14"/>
                <w:szCs w:val="14"/>
              </w:rPr>
              <w:t>Pre-tax margin</w:t>
            </w:r>
          </w:p>
        </w:tc>
        <w:tc>
          <w:tcPr>
            <w:tcW w:w="0" w:type="auto"/>
            <w:shd w:val="clear" w:color="auto" w:fill="auto"/>
            <w:vAlign w:val="bottom"/>
          </w:tcPr>
          <w:p w14:paraId="74DD7851" w14:textId="77777777" w:rsidR="00584EC1" w:rsidRDefault="00584EC1">
            <w:pPr>
              <w:rPr>
                <w:rFonts w:ascii="宋体"/>
                <w:vanish/>
              </w:rPr>
            </w:pPr>
          </w:p>
        </w:tc>
        <w:tc>
          <w:tcPr>
            <w:tcW w:w="0" w:type="auto"/>
            <w:shd w:val="clear" w:color="auto" w:fill="auto"/>
            <w:vAlign w:val="bottom"/>
          </w:tcPr>
          <w:p w14:paraId="74DD7852" w14:textId="77777777" w:rsidR="00584EC1" w:rsidRDefault="00584EC1">
            <w:pPr>
              <w:rPr>
                <w:rFonts w:ascii="宋体"/>
                <w:vanish/>
              </w:rPr>
            </w:pPr>
          </w:p>
        </w:tc>
        <w:tc>
          <w:tcPr>
            <w:tcW w:w="0" w:type="auto"/>
            <w:shd w:val="clear" w:color="auto" w:fill="auto"/>
            <w:vAlign w:val="bottom"/>
          </w:tcPr>
          <w:p w14:paraId="74DD7853" w14:textId="77777777" w:rsidR="00584EC1" w:rsidRDefault="00584EC1">
            <w:pPr>
              <w:rPr>
                <w:rFonts w:ascii="宋体"/>
                <w:vanish/>
              </w:rPr>
            </w:pPr>
          </w:p>
        </w:tc>
        <w:tc>
          <w:tcPr>
            <w:tcW w:w="0" w:type="auto"/>
            <w:shd w:val="clear" w:color="auto" w:fill="auto"/>
            <w:vAlign w:val="bottom"/>
          </w:tcPr>
          <w:p w14:paraId="74DD7854" w14:textId="77777777" w:rsidR="00584EC1" w:rsidRDefault="00584EC1">
            <w:pPr>
              <w:rPr>
                <w:rFonts w:ascii="宋体"/>
                <w:vanish/>
              </w:rPr>
            </w:pPr>
          </w:p>
        </w:tc>
        <w:tc>
          <w:tcPr>
            <w:tcW w:w="0" w:type="auto"/>
            <w:shd w:val="clear" w:color="auto" w:fill="auto"/>
            <w:vAlign w:val="bottom"/>
          </w:tcPr>
          <w:p w14:paraId="74DD7855" w14:textId="77777777" w:rsidR="00584EC1" w:rsidRDefault="00584EC1">
            <w:pPr>
              <w:rPr>
                <w:rFonts w:ascii="宋体"/>
                <w:vanish/>
              </w:rPr>
            </w:pPr>
          </w:p>
        </w:tc>
        <w:tc>
          <w:tcPr>
            <w:tcW w:w="0" w:type="auto"/>
            <w:shd w:val="clear" w:color="auto" w:fill="auto"/>
            <w:vAlign w:val="bottom"/>
          </w:tcPr>
          <w:p w14:paraId="74DD7856" w14:textId="77777777" w:rsidR="00584EC1" w:rsidRDefault="00584EC1">
            <w:pPr>
              <w:rPr>
                <w:rFonts w:ascii="宋体"/>
                <w:vanish/>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74DD7857" w14:textId="77777777" w:rsidR="00584EC1" w:rsidRDefault="00871F8D">
            <w:pPr>
              <w:jc w:val="right"/>
              <w:textAlignment w:val="bottom"/>
            </w:pPr>
            <w:r>
              <w:rPr>
                <w:rFonts w:ascii="Arial" w:eastAsia="宋体" w:hAnsi="Arial" w:cs="Arial"/>
                <w:b/>
                <w:bCs/>
                <w:color w:val="000000"/>
                <w:sz w:val="14"/>
                <w:szCs w:val="14"/>
              </w:rPr>
              <w:t>27</w:t>
            </w:r>
            <w:r>
              <w:rPr>
                <w:rFonts w:ascii="Arial" w:eastAsia="宋体" w:hAnsi="Arial" w:cs="Arial"/>
                <w:color w:val="000000"/>
                <w:sz w:val="14"/>
                <w:szCs w:val="14"/>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74DD7858" w14:textId="77777777" w:rsidR="00584EC1" w:rsidRDefault="00871F8D">
            <w:pPr>
              <w:jc w:val="right"/>
              <w:textAlignment w:val="bottom"/>
            </w:pPr>
            <w:r>
              <w:rPr>
                <w:rFonts w:ascii="Arial" w:eastAsia="宋体" w:hAnsi="Arial" w:cs="Arial"/>
                <w:b/>
                <w:bCs/>
                <w:color w:val="000000"/>
                <w:sz w:val="14"/>
                <w:szCs w:val="14"/>
              </w:rPr>
              <w:t>%</w:t>
            </w:r>
          </w:p>
        </w:tc>
        <w:tc>
          <w:tcPr>
            <w:tcW w:w="0" w:type="auto"/>
            <w:gridSpan w:val="3"/>
            <w:shd w:val="clear" w:color="auto" w:fill="FFFFFF"/>
            <w:tcMar>
              <w:top w:w="0" w:type="dxa"/>
              <w:left w:w="20" w:type="dxa"/>
              <w:bottom w:w="0" w:type="dxa"/>
              <w:right w:w="20" w:type="dxa"/>
            </w:tcMar>
            <w:vAlign w:val="bottom"/>
          </w:tcPr>
          <w:p w14:paraId="74DD7859" w14:textId="77777777" w:rsidR="00584EC1" w:rsidRDefault="00584EC1">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74DD785A" w14:textId="77777777" w:rsidR="00584EC1" w:rsidRDefault="00871F8D">
            <w:pPr>
              <w:jc w:val="right"/>
              <w:textAlignment w:val="bottom"/>
            </w:pPr>
            <w:r>
              <w:rPr>
                <w:rFonts w:ascii="Arial" w:eastAsia="宋体" w:hAnsi="Arial" w:cs="Arial"/>
                <w:color w:val="000000"/>
                <w:sz w:val="14"/>
                <w:szCs w:val="14"/>
              </w:rPr>
              <w:t>27 </w:t>
            </w:r>
          </w:p>
        </w:tc>
        <w:tc>
          <w:tcPr>
            <w:tcW w:w="0" w:type="auto"/>
            <w:tcBorders>
              <w:top w:val="double" w:sz="6" w:space="0" w:color="000000"/>
            </w:tcBorders>
            <w:shd w:val="clear" w:color="auto" w:fill="FFFFFF"/>
            <w:tcMar>
              <w:top w:w="40" w:type="dxa"/>
              <w:left w:w="0" w:type="dxa"/>
              <w:bottom w:w="40" w:type="dxa"/>
              <w:right w:w="20" w:type="dxa"/>
            </w:tcMar>
            <w:vAlign w:val="bottom"/>
          </w:tcPr>
          <w:p w14:paraId="74DD785B" w14:textId="77777777" w:rsidR="00584EC1" w:rsidRDefault="00871F8D">
            <w:pPr>
              <w:jc w:val="right"/>
              <w:textAlignment w:val="bottom"/>
            </w:pPr>
            <w:r>
              <w:rPr>
                <w:rFonts w:ascii="Arial" w:eastAsia="宋体" w:hAnsi="Arial" w:cs="Arial"/>
                <w:color w:val="000000"/>
                <w:sz w:val="14"/>
                <w:szCs w:val="14"/>
              </w:rPr>
              <w:t>%</w:t>
            </w:r>
          </w:p>
        </w:tc>
        <w:tc>
          <w:tcPr>
            <w:tcW w:w="0" w:type="auto"/>
            <w:gridSpan w:val="3"/>
            <w:shd w:val="clear" w:color="auto" w:fill="FFFFFF"/>
            <w:tcMar>
              <w:top w:w="0" w:type="dxa"/>
              <w:left w:w="20" w:type="dxa"/>
              <w:bottom w:w="0" w:type="dxa"/>
              <w:right w:w="20" w:type="dxa"/>
            </w:tcMar>
            <w:vAlign w:val="bottom"/>
          </w:tcPr>
          <w:p w14:paraId="74DD785C" w14:textId="77777777" w:rsidR="00584EC1" w:rsidRDefault="00584EC1">
            <w:pPr>
              <w:rPr>
                <w:rFonts w:ascii="宋体"/>
              </w:rPr>
            </w:pPr>
          </w:p>
        </w:tc>
        <w:tc>
          <w:tcPr>
            <w:tcW w:w="0" w:type="auto"/>
            <w:shd w:val="clear" w:color="auto" w:fill="auto"/>
            <w:vAlign w:val="bottom"/>
          </w:tcPr>
          <w:p w14:paraId="74DD785D" w14:textId="77777777" w:rsidR="00584EC1" w:rsidRDefault="00584EC1">
            <w:pPr>
              <w:rPr>
                <w:rFonts w:ascii="宋体"/>
                <w:vanish/>
              </w:rPr>
            </w:pPr>
          </w:p>
        </w:tc>
        <w:tc>
          <w:tcPr>
            <w:tcW w:w="0" w:type="auto"/>
            <w:shd w:val="clear" w:color="auto" w:fill="auto"/>
            <w:vAlign w:val="bottom"/>
          </w:tcPr>
          <w:p w14:paraId="74DD785E" w14:textId="77777777" w:rsidR="00584EC1" w:rsidRDefault="00584EC1">
            <w:pPr>
              <w:rPr>
                <w:rFonts w:ascii="宋体"/>
                <w:vanish/>
              </w:rPr>
            </w:pPr>
          </w:p>
        </w:tc>
        <w:tc>
          <w:tcPr>
            <w:tcW w:w="0" w:type="auto"/>
            <w:gridSpan w:val="3"/>
            <w:shd w:val="clear" w:color="auto" w:fill="FFFFFF"/>
            <w:tcMar>
              <w:top w:w="0" w:type="dxa"/>
              <w:left w:w="20" w:type="dxa"/>
              <w:bottom w:w="0" w:type="dxa"/>
              <w:right w:w="20" w:type="dxa"/>
            </w:tcMar>
            <w:vAlign w:val="bottom"/>
          </w:tcPr>
          <w:p w14:paraId="74DD785F" w14:textId="77777777" w:rsidR="00584EC1" w:rsidRDefault="00584EC1">
            <w:pPr>
              <w:rPr>
                <w:rFonts w:ascii="宋体"/>
              </w:rPr>
            </w:pPr>
          </w:p>
        </w:tc>
        <w:tc>
          <w:tcPr>
            <w:tcW w:w="0" w:type="auto"/>
            <w:gridSpan w:val="3"/>
            <w:shd w:val="clear" w:color="auto" w:fill="auto"/>
            <w:vAlign w:val="bottom"/>
          </w:tcPr>
          <w:p w14:paraId="74DD7860" w14:textId="77777777" w:rsidR="00584EC1" w:rsidRDefault="00584EC1">
            <w:pPr>
              <w:rPr>
                <w:rFonts w:ascii="宋体"/>
                <w:vanish/>
              </w:rPr>
            </w:pPr>
          </w:p>
        </w:tc>
        <w:tc>
          <w:tcPr>
            <w:tcW w:w="0" w:type="auto"/>
            <w:gridSpan w:val="3"/>
            <w:shd w:val="clear" w:color="auto" w:fill="auto"/>
            <w:vAlign w:val="bottom"/>
          </w:tcPr>
          <w:p w14:paraId="74DD7861" w14:textId="77777777" w:rsidR="00584EC1" w:rsidRDefault="00584EC1">
            <w:pPr>
              <w:rPr>
                <w:rFonts w:ascii="宋体"/>
                <w:vanish/>
              </w:rPr>
            </w:pPr>
          </w:p>
        </w:tc>
        <w:tc>
          <w:tcPr>
            <w:tcW w:w="0" w:type="auto"/>
            <w:gridSpan w:val="3"/>
            <w:shd w:val="clear" w:color="auto" w:fill="auto"/>
            <w:vAlign w:val="bottom"/>
          </w:tcPr>
          <w:p w14:paraId="74DD7862" w14:textId="77777777" w:rsidR="00584EC1" w:rsidRDefault="00584EC1">
            <w:pPr>
              <w:rPr>
                <w:rFonts w:ascii="宋体"/>
                <w:vanish/>
              </w:rPr>
            </w:pPr>
          </w:p>
        </w:tc>
        <w:tc>
          <w:tcPr>
            <w:tcW w:w="0" w:type="auto"/>
            <w:gridSpan w:val="3"/>
            <w:shd w:val="clear" w:color="auto" w:fill="auto"/>
            <w:vAlign w:val="bottom"/>
          </w:tcPr>
          <w:p w14:paraId="74DD7863" w14:textId="77777777" w:rsidR="00584EC1" w:rsidRDefault="00584EC1">
            <w:pPr>
              <w:rPr>
                <w:rFonts w:ascii="宋体"/>
                <w:vanish/>
              </w:rPr>
            </w:pPr>
          </w:p>
        </w:tc>
        <w:tc>
          <w:tcPr>
            <w:tcW w:w="0" w:type="auto"/>
            <w:gridSpan w:val="3"/>
            <w:shd w:val="clear" w:color="auto" w:fill="auto"/>
            <w:vAlign w:val="bottom"/>
          </w:tcPr>
          <w:p w14:paraId="74DD7864" w14:textId="77777777" w:rsidR="00584EC1" w:rsidRDefault="00584EC1">
            <w:pPr>
              <w:rPr>
                <w:rFonts w:ascii="宋体"/>
                <w:vanish/>
              </w:rPr>
            </w:pPr>
          </w:p>
        </w:tc>
        <w:tc>
          <w:tcPr>
            <w:tcW w:w="0" w:type="auto"/>
            <w:gridSpan w:val="3"/>
            <w:shd w:val="clear" w:color="auto" w:fill="auto"/>
            <w:vAlign w:val="bottom"/>
          </w:tcPr>
          <w:p w14:paraId="74DD7865" w14:textId="77777777" w:rsidR="00584EC1" w:rsidRDefault="00584EC1">
            <w:pPr>
              <w:rPr>
                <w:rFonts w:ascii="宋体"/>
                <w:vanish/>
              </w:rPr>
            </w:pPr>
          </w:p>
        </w:tc>
        <w:tc>
          <w:tcPr>
            <w:tcW w:w="0" w:type="auto"/>
            <w:gridSpan w:val="2"/>
            <w:shd w:val="clear" w:color="auto" w:fill="auto"/>
            <w:vAlign w:val="bottom"/>
          </w:tcPr>
          <w:p w14:paraId="74DD7866" w14:textId="77777777" w:rsidR="00584EC1" w:rsidRDefault="00584EC1">
            <w:pPr>
              <w:rPr>
                <w:rFonts w:ascii="宋体"/>
                <w:vanish/>
              </w:rPr>
            </w:pPr>
          </w:p>
        </w:tc>
        <w:tc>
          <w:tcPr>
            <w:tcW w:w="0" w:type="auto"/>
            <w:shd w:val="clear" w:color="auto" w:fill="auto"/>
            <w:vAlign w:val="bottom"/>
          </w:tcPr>
          <w:p w14:paraId="74DD7867" w14:textId="77777777" w:rsidR="00584EC1" w:rsidRDefault="00584EC1">
            <w:pPr>
              <w:rPr>
                <w:rFonts w:ascii="宋体"/>
                <w:vanish/>
              </w:rPr>
            </w:pPr>
          </w:p>
        </w:tc>
      </w:tr>
    </w:tbl>
    <w:p w14:paraId="74DD7869" w14:textId="77777777" w:rsidR="00584EC1" w:rsidRDefault="00584EC1">
      <w:pPr>
        <w:rPr>
          <w:vanish/>
        </w:rPr>
      </w:pPr>
    </w:p>
    <w:tbl>
      <w:tblPr>
        <w:tblW w:w="1535" w:type="pct"/>
        <w:tblCellMar>
          <w:top w:w="15" w:type="dxa"/>
          <w:left w:w="15" w:type="dxa"/>
          <w:bottom w:w="15" w:type="dxa"/>
          <w:right w:w="15" w:type="dxa"/>
        </w:tblCellMar>
        <w:tblLook w:val="04A0" w:firstRow="1" w:lastRow="0" w:firstColumn="1" w:lastColumn="0" w:noHBand="0" w:noVBand="1"/>
      </w:tblPr>
      <w:tblGrid>
        <w:gridCol w:w="36"/>
        <w:gridCol w:w="1809"/>
        <w:gridCol w:w="36"/>
        <w:gridCol w:w="36"/>
        <w:gridCol w:w="36"/>
        <w:gridCol w:w="36"/>
        <w:gridCol w:w="36"/>
        <w:gridCol w:w="498"/>
        <w:gridCol w:w="36"/>
      </w:tblGrid>
      <w:tr w:rsidR="00584EC1" w14:paraId="74DD7873" w14:textId="77777777">
        <w:tc>
          <w:tcPr>
            <w:tcW w:w="50" w:type="pct"/>
            <w:shd w:val="clear" w:color="auto" w:fill="auto"/>
            <w:vAlign w:val="bottom"/>
          </w:tcPr>
          <w:p w14:paraId="74DD786A" w14:textId="77777777" w:rsidR="00584EC1" w:rsidRDefault="00584EC1">
            <w:pPr>
              <w:rPr>
                <w:rFonts w:ascii="宋体"/>
              </w:rPr>
            </w:pPr>
          </w:p>
        </w:tc>
        <w:tc>
          <w:tcPr>
            <w:tcW w:w="3635" w:type="pct"/>
            <w:shd w:val="clear" w:color="auto" w:fill="auto"/>
            <w:vAlign w:val="bottom"/>
          </w:tcPr>
          <w:p w14:paraId="74DD786B" w14:textId="77777777" w:rsidR="00584EC1" w:rsidRDefault="00584EC1">
            <w:pPr>
              <w:rPr>
                <w:rFonts w:ascii="宋体"/>
              </w:rPr>
            </w:pPr>
          </w:p>
        </w:tc>
        <w:tc>
          <w:tcPr>
            <w:tcW w:w="5" w:type="pct"/>
            <w:shd w:val="clear" w:color="auto" w:fill="auto"/>
            <w:vAlign w:val="bottom"/>
          </w:tcPr>
          <w:p w14:paraId="74DD786C" w14:textId="77777777" w:rsidR="00584EC1" w:rsidRDefault="00584EC1">
            <w:pPr>
              <w:rPr>
                <w:rFonts w:ascii="宋体"/>
              </w:rPr>
            </w:pPr>
          </w:p>
        </w:tc>
        <w:tc>
          <w:tcPr>
            <w:tcW w:w="5" w:type="pct"/>
            <w:shd w:val="clear" w:color="auto" w:fill="auto"/>
            <w:vAlign w:val="bottom"/>
          </w:tcPr>
          <w:p w14:paraId="74DD786D" w14:textId="77777777" w:rsidR="00584EC1" w:rsidRDefault="00584EC1">
            <w:pPr>
              <w:rPr>
                <w:rFonts w:ascii="宋体"/>
              </w:rPr>
            </w:pPr>
          </w:p>
        </w:tc>
        <w:tc>
          <w:tcPr>
            <w:tcW w:w="85" w:type="pct"/>
            <w:shd w:val="clear" w:color="auto" w:fill="auto"/>
            <w:vAlign w:val="bottom"/>
          </w:tcPr>
          <w:p w14:paraId="74DD786E" w14:textId="77777777" w:rsidR="00584EC1" w:rsidRDefault="00584EC1">
            <w:pPr>
              <w:rPr>
                <w:rFonts w:ascii="宋体"/>
              </w:rPr>
            </w:pPr>
          </w:p>
        </w:tc>
        <w:tc>
          <w:tcPr>
            <w:tcW w:w="5" w:type="pct"/>
            <w:shd w:val="clear" w:color="auto" w:fill="auto"/>
            <w:vAlign w:val="bottom"/>
          </w:tcPr>
          <w:p w14:paraId="74DD786F" w14:textId="77777777" w:rsidR="00584EC1" w:rsidRDefault="00584EC1">
            <w:pPr>
              <w:rPr>
                <w:rFonts w:ascii="宋体"/>
              </w:rPr>
            </w:pPr>
          </w:p>
        </w:tc>
        <w:tc>
          <w:tcPr>
            <w:tcW w:w="50" w:type="pct"/>
            <w:shd w:val="clear" w:color="auto" w:fill="auto"/>
            <w:vAlign w:val="bottom"/>
          </w:tcPr>
          <w:p w14:paraId="74DD7870" w14:textId="77777777" w:rsidR="00584EC1" w:rsidRDefault="00584EC1">
            <w:pPr>
              <w:rPr>
                <w:rFonts w:ascii="宋体"/>
              </w:rPr>
            </w:pPr>
          </w:p>
        </w:tc>
        <w:tc>
          <w:tcPr>
            <w:tcW w:w="1159" w:type="pct"/>
            <w:shd w:val="clear" w:color="auto" w:fill="auto"/>
            <w:vAlign w:val="bottom"/>
          </w:tcPr>
          <w:p w14:paraId="74DD7871" w14:textId="77777777" w:rsidR="00584EC1" w:rsidRDefault="00584EC1">
            <w:pPr>
              <w:rPr>
                <w:rFonts w:ascii="宋体"/>
              </w:rPr>
            </w:pPr>
          </w:p>
        </w:tc>
        <w:tc>
          <w:tcPr>
            <w:tcW w:w="5" w:type="pct"/>
            <w:shd w:val="clear" w:color="auto" w:fill="auto"/>
            <w:vAlign w:val="bottom"/>
          </w:tcPr>
          <w:p w14:paraId="74DD7872" w14:textId="77777777" w:rsidR="00584EC1" w:rsidRDefault="00584EC1">
            <w:pPr>
              <w:rPr>
                <w:rFonts w:ascii="宋体"/>
              </w:rPr>
            </w:pPr>
          </w:p>
        </w:tc>
      </w:tr>
      <w:tr w:rsidR="00584EC1" w14:paraId="74DD7877"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4DD7874"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787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7876" w14:textId="77777777" w:rsidR="00584EC1" w:rsidRDefault="00584EC1">
            <w:pPr>
              <w:rPr>
                <w:rFonts w:ascii="宋体"/>
              </w:rPr>
            </w:pPr>
          </w:p>
        </w:tc>
      </w:tr>
    </w:tbl>
    <w:p w14:paraId="74DD7878" w14:textId="77777777" w:rsidR="00584EC1" w:rsidRDefault="00871F8D">
      <w:pPr>
        <w:jc w:val="both"/>
      </w:pPr>
      <w:r>
        <w:rPr>
          <w:rFonts w:ascii="Arial" w:eastAsia="宋体" w:hAnsi="Arial" w:cs="Arial"/>
          <w:color w:val="000000"/>
          <w:sz w:val="8"/>
          <w:szCs w:val="8"/>
        </w:rPr>
        <w:t>nm</w:t>
      </w:r>
      <w:r>
        <w:rPr>
          <w:rFonts w:ascii="Arial" w:eastAsia="宋体" w:hAnsi="Arial" w:cs="Arial"/>
          <w:color w:val="000000"/>
          <w:sz w:val="13"/>
          <w:szCs w:val="13"/>
        </w:rPr>
        <w:t xml:space="preserve"> Not meaningful</w:t>
      </w:r>
    </w:p>
    <w:p w14:paraId="74DD7879" w14:textId="77777777" w:rsidR="00584EC1" w:rsidRDefault="00871F8D">
      <w:pPr>
        <w:spacing w:before="60"/>
        <w:jc w:val="both"/>
      </w:pPr>
      <w:r>
        <w:rPr>
          <w:rFonts w:ascii="Arial" w:eastAsia="宋体" w:hAnsi="Arial" w:cs="Arial"/>
          <w:b/>
          <w:bCs/>
          <w:i/>
          <w:iCs/>
          <w:color w:val="000000"/>
          <w:sz w:val="20"/>
          <w:szCs w:val="20"/>
        </w:rPr>
        <w:t>Servicing Fees</w:t>
      </w:r>
    </w:p>
    <w:p w14:paraId="74DD787A" w14:textId="77777777" w:rsidR="00584EC1" w:rsidRDefault="00871F8D">
      <w:pPr>
        <w:spacing w:before="60"/>
        <w:ind w:firstLine="450"/>
        <w:jc w:val="both"/>
      </w:pPr>
      <w:r>
        <w:rPr>
          <w:rFonts w:ascii="Arial" w:eastAsia="宋体" w:hAnsi="Arial" w:cs="Arial"/>
          <w:color w:val="000000"/>
          <w:sz w:val="20"/>
          <w:szCs w:val="20"/>
        </w:rPr>
        <w:t xml:space="preserve">Servicing fees, as presented in Table 10: Investment Servicing Line of Business Results, increased 7% and 8% in the three and nine months ended </w:t>
      </w:r>
      <w:r>
        <w:rPr>
          <w:rFonts w:ascii="Arial" w:eastAsia="宋体" w:hAnsi="Arial" w:cs="Arial"/>
          <w:color w:val="000000"/>
          <w:sz w:val="20"/>
          <w:szCs w:val="20"/>
        </w:rPr>
        <w:t xml:space="preserve">September 30, 2021, respectively, compared to the same periods in 2020, respectively, primarily due to higher average equity market levels, client activity and flows, and net new business, partially offset by normal pricing headwinds. Currency translation </w:t>
      </w:r>
      <w:r>
        <w:rPr>
          <w:rFonts w:ascii="Arial" w:eastAsia="宋体" w:hAnsi="Arial" w:cs="Arial"/>
          <w:color w:val="000000"/>
          <w:sz w:val="20"/>
          <w:szCs w:val="20"/>
        </w:rPr>
        <w:t>increased servicing fees by 2% in the nine months ended September 30, 2021, compared to the same period in 2020.</w:t>
      </w:r>
    </w:p>
    <w:p w14:paraId="74DD787B" w14:textId="77777777" w:rsidR="00584EC1" w:rsidRDefault="00871F8D">
      <w:pPr>
        <w:spacing w:before="60"/>
        <w:ind w:firstLine="450"/>
        <w:jc w:val="both"/>
      </w:pPr>
      <w:r>
        <w:rPr>
          <w:rFonts w:ascii="Arial" w:eastAsia="宋体" w:hAnsi="Arial" w:cs="Arial"/>
          <w:color w:val="000000"/>
          <w:sz w:val="20"/>
          <w:szCs w:val="20"/>
        </w:rPr>
        <w:t xml:space="preserve">Servicing fees generated outside the U.S. were approximately 48% of total servicing fees in both the three and nine months ended </w:t>
      </w:r>
      <w:r>
        <w:rPr>
          <w:rFonts w:ascii="Arial" w:eastAsia="宋体" w:hAnsi="Arial" w:cs="Arial"/>
          <w:color w:val="000000"/>
          <w:sz w:val="20"/>
          <w:szCs w:val="20"/>
        </w:rPr>
        <w:t>September 30, 2021, compared to approximately 47% and 46% in the same periods in 2020, respectively.</w:t>
      </w:r>
    </w:p>
    <w:tbl>
      <w:tblPr>
        <w:tblW w:w="5000" w:type="pct"/>
        <w:tblCellMar>
          <w:top w:w="15" w:type="dxa"/>
          <w:left w:w="15" w:type="dxa"/>
          <w:bottom w:w="15" w:type="dxa"/>
          <w:right w:w="15" w:type="dxa"/>
        </w:tblCellMar>
        <w:tblLook w:val="04A0" w:firstRow="1" w:lastRow="0" w:firstColumn="1" w:lastColumn="0" w:noHBand="0" w:noVBand="1"/>
      </w:tblPr>
      <w:tblGrid>
        <w:gridCol w:w="38"/>
        <w:gridCol w:w="2918"/>
        <w:gridCol w:w="37"/>
        <w:gridCol w:w="99"/>
        <w:gridCol w:w="1291"/>
        <w:gridCol w:w="37"/>
        <w:gridCol w:w="36"/>
        <w:gridCol w:w="36"/>
        <w:gridCol w:w="36"/>
        <w:gridCol w:w="99"/>
        <w:gridCol w:w="1241"/>
        <w:gridCol w:w="37"/>
        <w:gridCol w:w="36"/>
        <w:gridCol w:w="36"/>
        <w:gridCol w:w="36"/>
        <w:gridCol w:w="99"/>
        <w:gridCol w:w="1251"/>
        <w:gridCol w:w="37"/>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584EC1" w14:paraId="74DD7898" w14:textId="77777777">
        <w:tc>
          <w:tcPr>
            <w:tcW w:w="50" w:type="pct"/>
            <w:shd w:val="clear" w:color="auto" w:fill="auto"/>
            <w:vAlign w:val="bottom"/>
          </w:tcPr>
          <w:p w14:paraId="74DD787C" w14:textId="77777777" w:rsidR="00584EC1" w:rsidRDefault="00584EC1">
            <w:pPr>
              <w:rPr>
                <w:rFonts w:ascii="宋体"/>
              </w:rPr>
            </w:pPr>
          </w:p>
        </w:tc>
        <w:tc>
          <w:tcPr>
            <w:tcW w:w="2006" w:type="pct"/>
            <w:shd w:val="clear" w:color="auto" w:fill="auto"/>
            <w:vAlign w:val="bottom"/>
          </w:tcPr>
          <w:p w14:paraId="74DD787D" w14:textId="77777777" w:rsidR="00584EC1" w:rsidRDefault="00584EC1">
            <w:pPr>
              <w:rPr>
                <w:rFonts w:ascii="宋体"/>
              </w:rPr>
            </w:pPr>
          </w:p>
        </w:tc>
        <w:tc>
          <w:tcPr>
            <w:tcW w:w="5" w:type="pct"/>
            <w:shd w:val="clear" w:color="auto" w:fill="auto"/>
            <w:vAlign w:val="bottom"/>
          </w:tcPr>
          <w:p w14:paraId="74DD787E" w14:textId="77777777" w:rsidR="00584EC1" w:rsidRDefault="00584EC1">
            <w:pPr>
              <w:rPr>
                <w:rFonts w:ascii="宋体"/>
              </w:rPr>
            </w:pPr>
          </w:p>
        </w:tc>
        <w:tc>
          <w:tcPr>
            <w:tcW w:w="50" w:type="pct"/>
            <w:shd w:val="clear" w:color="auto" w:fill="auto"/>
            <w:vAlign w:val="bottom"/>
          </w:tcPr>
          <w:p w14:paraId="74DD787F" w14:textId="77777777" w:rsidR="00584EC1" w:rsidRDefault="00584EC1">
            <w:pPr>
              <w:rPr>
                <w:rFonts w:ascii="宋体"/>
              </w:rPr>
            </w:pPr>
          </w:p>
        </w:tc>
        <w:tc>
          <w:tcPr>
            <w:tcW w:w="902" w:type="pct"/>
            <w:shd w:val="clear" w:color="auto" w:fill="auto"/>
            <w:vAlign w:val="bottom"/>
          </w:tcPr>
          <w:p w14:paraId="74DD7880" w14:textId="77777777" w:rsidR="00584EC1" w:rsidRDefault="00584EC1">
            <w:pPr>
              <w:rPr>
                <w:rFonts w:ascii="宋体"/>
              </w:rPr>
            </w:pPr>
          </w:p>
        </w:tc>
        <w:tc>
          <w:tcPr>
            <w:tcW w:w="5" w:type="pct"/>
            <w:shd w:val="clear" w:color="auto" w:fill="auto"/>
            <w:vAlign w:val="bottom"/>
          </w:tcPr>
          <w:p w14:paraId="74DD7881" w14:textId="77777777" w:rsidR="00584EC1" w:rsidRDefault="00584EC1">
            <w:pPr>
              <w:rPr>
                <w:rFonts w:ascii="宋体"/>
              </w:rPr>
            </w:pPr>
          </w:p>
        </w:tc>
        <w:tc>
          <w:tcPr>
            <w:tcW w:w="5" w:type="pct"/>
            <w:shd w:val="clear" w:color="auto" w:fill="auto"/>
            <w:vAlign w:val="bottom"/>
          </w:tcPr>
          <w:p w14:paraId="74DD7882" w14:textId="77777777" w:rsidR="00584EC1" w:rsidRDefault="00584EC1">
            <w:pPr>
              <w:rPr>
                <w:rFonts w:ascii="宋体"/>
              </w:rPr>
            </w:pPr>
          </w:p>
        </w:tc>
        <w:tc>
          <w:tcPr>
            <w:tcW w:w="26" w:type="pct"/>
            <w:shd w:val="clear" w:color="auto" w:fill="auto"/>
            <w:vAlign w:val="bottom"/>
          </w:tcPr>
          <w:p w14:paraId="74DD7883" w14:textId="77777777" w:rsidR="00584EC1" w:rsidRDefault="00584EC1">
            <w:pPr>
              <w:rPr>
                <w:rFonts w:ascii="宋体"/>
              </w:rPr>
            </w:pPr>
          </w:p>
        </w:tc>
        <w:tc>
          <w:tcPr>
            <w:tcW w:w="5" w:type="pct"/>
            <w:shd w:val="clear" w:color="auto" w:fill="auto"/>
            <w:vAlign w:val="bottom"/>
          </w:tcPr>
          <w:p w14:paraId="74DD7884" w14:textId="77777777" w:rsidR="00584EC1" w:rsidRDefault="00584EC1">
            <w:pPr>
              <w:rPr>
                <w:rFonts w:ascii="宋体"/>
              </w:rPr>
            </w:pPr>
          </w:p>
        </w:tc>
        <w:tc>
          <w:tcPr>
            <w:tcW w:w="50" w:type="pct"/>
            <w:shd w:val="clear" w:color="auto" w:fill="auto"/>
            <w:vAlign w:val="bottom"/>
          </w:tcPr>
          <w:p w14:paraId="74DD7885" w14:textId="77777777" w:rsidR="00584EC1" w:rsidRDefault="00584EC1">
            <w:pPr>
              <w:rPr>
                <w:rFonts w:ascii="宋体"/>
              </w:rPr>
            </w:pPr>
          </w:p>
        </w:tc>
        <w:tc>
          <w:tcPr>
            <w:tcW w:w="895" w:type="pct"/>
            <w:shd w:val="clear" w:color="auto" w:fill="auto"/>
            <w:vAlign w:val="bottom"/>
          </w:tcPr>
          <w:p w14:paraId="74DD7886" w14:textId="77777777" w:rsidR="00584EC1" w:rsidRDefault="00584EC1">
            <w:pPr>
              <w:rPr>
                <w:rFonts w:ascii="宋体"/>
              </w:rPr>
            </w:pPr>
          </w:p>
        </w:tc>
        <w:tc>
          <w:tcPr>
            <w:tcW w:w="5" w:type="pct"/>
            <w:shd w:val="clear" w:color="auto" w:fill="auto"/>
            <w:vAlign w:val="bottom"/>
          </w:tcPr>
          <w:p w14:paraId="74DD7887" w14:textId="77777777" w:rsidR="00584EC1" w:rsidRDefault="00584EC1">
            <w:pPr>
              <w:rPr>
                <w:rFonts w:ascii="宋体"/>
              </w:rPr>
            </w:pPr>
          </w:p>
        </w:tc>
        <w:tc>
          <w:tcPr>
            <w:tcW w:w="5" w:type="pct"/>
            <w:shd w:val="clear" w:color="auto" w:fill="auto"/>
            <w:vAlign w:val="bottom"/>
          </w:tcPr>
          <w:p w14:paraId="74DD7888" w14:textId="77777777" w:rsidR="00584EC1" w:rsidRDefault="00584EC1">
            <w:pPr>
              <w:rPr>
                <w:rFonts w:ascii="宋体"/>
              </w:rPr>
            </w:pPr>
          </w:p>
        </w:tc>
        <w:tc>
          <w:tcPr>
            <w:tcW w:w="26" w:type="pct"/>
            <w:shd w:val="clear" w:color="auto" w:fill="auto"/>
            <w:vAlign w:val="bottom"/>
          </w:tcPr>
          <w:p w14:paraId="74DD7889" w14:textId="77777777" w:rsidR="00584EC1" w:rsidRDefault="00584EC1">
            <w:pPr>
              <w:rPr>
                <w:rFonts w:ascii="宋体"/>
              </w:rPr>
            </w:pPr>
          </w:p>
        </w:tc>
        <w:tc>
          <w:tcPr>
            <w:tcW w:w="5" w:type="pct"/>
            <w:shd w:val="clear" w:color="auto" w:fill="auto"/>
            <w:vAlign w:val="bottom"/>
          </w:tcPr>
          <w:p w14:paraId="74DD788A" w14:textId="77777777" w:rsidR="00584EC1" w:rsidRDefault="00584EC1">
            <w:pPr>
              <w:rPr>
                <w:rFonts w:ascii="宋体"/>
              </w:rPr>
            </w:pPr>
          </w:p>
        </w:tc>
        <w:tc>
          <w:tcPr>
            <w:tcW w:w="50" w:type="pct"/>
            <w:shd w:val="clear" w:color="auto" w:fill="auto"/>
            <w:vAlign w:val="bottom"/>
          </w:tcPr>
          <w:p w14:paraId="74DD788B" w14:textId="77777777" w:rsidR="00584EC1" w:rsidRDefault="00584EC1">
            <w:pPr>
              <w:rPr>
                <w:rFonts w:ascii="宋体"/>
              </w:rPr>
            </w:pPr>
          </w:p>
        </w:tc>
        <w:tc>
          <w:tcPr>
            <w:tcW w:w="902" w:type="pct"/>
            <w:shd w:val="clear" w:color="auto" w:fill="auto"/>
            <w:vAlign w:val="bottom"/>
          </w:tcPr>
          <w:p w14:paraId="74DD788C" w14:textId="77777777" w:rsidR="00584EC1" w:rsidRDefault="00584EC1">
            <w:pPr>
              <w:rPr>
                <w:rFonts w:ascii="宋体"/>
              </w:rPr>
            </w:pPr>
          </w:p>
        </w:tc>
        <w:tc>
          <w:tcPr>
            <w:tcW w:w="5" w:type="pct"/>
            <w:shd w:val="clear" w:color="auto" w:fill="auto"/>
            <w:vAlign w:val="bottom"/>
          </w:tcPr>
          <w:p w14:paraId="74DD788D" w14:textId="77777777" w:rsidR="00584EC1" w:rsidRDefault="00584EC1">
            <w:pPr>
              <w:rPr>
                <w:rFonts w:ascii="宋体"/>
              </w:rPr>
            </w:pPr>
          </w:p>
        </w:tc>
        <w:tc>
          <w:tcPr>
            <w:tcW w:w="0" w:type="auto"/>
            <w:shd w:val="clear" w:color="auto" w:fill="auto"/>
            <w:vAlign w:val="bottom"/>
          </w:tcPr>
          <w:p w14:paraId="74DD788E" w14:textId="77777777" w:rsidR="00584EC1" w:rsidRDefault="00584EC1">
            <w:pPr>
              <w:rPr>
                <w:rFonts w:ascii="宋体"/>
                <w:vanish/>
              </w:rPr>
            </w:pPr>
          </w:p>
        </w:tc>
        <w:tc>
          <w:tcPr>
            <w:tcW w:w="0" w:type="auto"/>
            <w:shd w:val="clear" w:color="auto" w:fill="auto"/>
            <w:vAlign w:val="bottom"/>
          </w:tcPr>
          <w:p w14:paraId="74DD788F" w14:textId="77777777" w:rsidR="00584EC1" w:rsidRDefault="00584EC1">
            <w:pPr>
              <w:rPr>
                <w:rFonts w:ascii="宋体"/>
                <w:vanish/>
              </w:rPr>
            </w:pPr>
          </w:p>
        </w:tc>
        <w:tc>
          <w:tcPr>
            <w:tcW w:w="0" w:type="auto"/>
            <w:gridSpan w:val="3"/>
            <w:shd w:val="clear" w:color="auto" w:fill="auto"/>
            <w:vAlign w:val="bottom"/>
          </w:tcPr>
          <w:p w14:paraId="74DD7890" w14:textId="77777777" w:rsidR="00584EC1" w:rsidRDefault="00584EC1">
            <w:pPr>
              <w:rPr>
                <w:rFonts w:ascii="宋体"/>
                <w:vanish/>
              </w:rPr>
            </w:pPr>
          </w:p>
        </w:tc>
        <w:tc>
          <w:tcPr>
            <w:tcW w:w="0" w:type="auto"/>
            <w:gridSpan w:val="3"/>
            <w:shd w:val="clear" w:color="auto" w:fill="auto"/>
            <w:vAlign w:val="bottom"/>
          </w:tcPr>
          <w:p w14:paraId="74DD7891" w14:textId="77777777" w:rsidR="00584EC1" w:rsidRDefault="00584EC1">
            <w:pPr>
              <w:rPr>
                <w:rFonts w:ascii="宋体"/>
                <w:vanish/>
              </w:rPr>
            </w:pPr>
          </w:p>
        </w:tc>
        <w:tc>
          <w:tcPr>
            <w:tcW w:w="0" w:type="auto"/>
            <w:gridSpan w:val="3"/>
            <w:shd w:val="clear" w:color="auto" w:fill="auto"/>
            <w:vAlign w:val="bottom"/>
          </w:tcPr>
          <w:p w14:paraId="74DD7892" w14:textId="77777777" w:rsidR="00584EC1" w:rsidRDefault="00584EC1">
            <w:pPr>
              <w:rPr>
                <w:rFonts w:ascii="宋体"/>
                <w:vanish/>
              </w:rPr>
            </w:pPr>
          </w:p>
        </w:tc>
        <w:tc>
          <w:tcPr>
            <w:tcW w:w="0" w:type="auto"/>
            <w:gridSpan w:val="3"/>
            <w:shd w:val="clear" w:color="auto" w:fill="auto"/>
            <w:vAlign w:val="bottom"/>
          </w:tcPr>
          <w:p w14:paraId="74DD7893" w14:textId="77777777" w:rsidR="00584EC1" w:rsidRDefault="00584EC1">
            <w:pPr>
              <w:rPr>
                <w:rFonts w:ascii="宋体"/>
                <w:vanish/>
              </w:rPr>
            </w:pPr>
          </w:p>
        </w:tc>
        <w:tc>
          <w:tcPr>
            <w:tcW w:w="0" w:type="auto"/>
            <w:gridSpan w:val="3"/>
            <w:shd w:val="clear" w:color="auto" w:fill="auto"/>
            <w:vAlign w:val="bottom"/>
          </w:tcPr>
          <w:p w14:paraId="74DD7894" w14:textId="77777777" w:rsidR="00584EC1" w:rsidRDefault="00584EC1">
            <w:pPr>
              <w:rPr>
                <w:rFonts w:ascii="宋体"/>
                <w:vanish/>
              </w:rPr>
            </w:pPr>
          </w:p>
        </w:tc>
        <w:tc>
          <w:tcPr>
            <w:tcW w:w="0" w:type="auto"/>
            <w:gridSpan w:val="3"/>
            <w:shd w:val="clear" w:color="auto" w:fill="auto"/>
            <w:vAlign w:val="bottom"/>
          </w:tcPr>
          <w:p w14:paraId="74DD7895" w14:textId="77777777" w:rsidR="00584EC1" w:rsidRDefault="00584EC1">
            <w:pPr>
              <w:rPr>
                <w:rFonts w:ascii="宋体"/>
                <w:vanish/>
              </w:rPr>
            </w:pPr>
          </w:p>
        </w:tc>
        <w:tc>
          <w:tcPr>
            <w:tcW w:w="0" w:type="auto"/>
            <w:gridSpan w:val="3"/>
            <w:shd w:val="clear" w:color="auto" w:fill="auto"/>
            <w:vAlign w:val="bottom"/>
          </w:tcPr>
          <w:p w14:paraId="74DD7896" w14:textId="77777777" w:rsidR="00584EC1" w:rsidRDefault="00584EC1">
            <w:pPr>
              <w:rPr>
                <w:rFonts w:ascii="宋体"/>
                <w:vanish/>
              </w:rPr>
            </w:pPr>
          </w:p>
        </w:tc>
        <w:tc>
          <w:tcPr>
            <w:tcW w:w="0" w:type="auto"/>
            <w:gridSpan w:val="3"/>
            <w:shd w:val="clear" w:color="auto" w:fill="auto"/>
            <w:vAlign w:val="bottom"/>
          </w:tcPr>
          <w:p w14:paraId="74DD7897" w14:textId="77777777" w:rsidR="00584EC1" w:rsidRDefault="00584EC1">
            <w:pPr>
              <w:rPr>
                <w:rFonts w:ascii="宋体"/>
                <w:vanish/>
              </w:rPr>
            </w:pPr>
          </w:p>
        </w:tc>
      </w:tr>
      <w:tr w:rsidR="00584EC1" w14:paraId="74DD78B4" w14:textId="77777777">
        <w:tc>
          <w:tcPr>
            <w:tcW w:w="0" w:type="auto"/>
            <w:gridSpan w:val="18"/>
            <w:shd w:val="clear" w:color="auto" w:fill="auto"/>
            <w:tcMar>
              <w:top w:w="40" w:type="dxa"/>
              <w:left w:w="20" w:type="dxa"/>
              <w:bottom w:w="40" w:type="dxa"/>
              <w:right w:w="20" w:type="dxa"/>
            </w:tcMar>
            <w:vAlign w:val="bottom"/>
          </w:tcPr>
          <w:p w14:paraId="74DD7899" w14:textId="77777777" w:rsidR="00584EC1" w:rsidRDefault="00871F8D">
            <w:pPr>
              <w:textAlignment w:val="bottom"/>
            </w:pPr>
            <w:r>
              <w:rPr>
                <w:rFonts w:ascii="Arial" w:eastAsia="宋体" w:hAnsi="Arial" w:cs="Arial"/>
                <w:b/>
                <w:bCs/>
                <w:color w:val="000000"/>
                <w:sz w:val="16"/>
                <w:szCs w:val="16"/>
              </w:rPr>
              <w:t>TABLE 11: ASSETS UNDER CUSTODY AND/OR ADMINISTRATION BY PRODUCT</w:t>
            </w:r>
            <w:r>
              <w:rPr>
                <w:rFonts w:ascii="Arial" w:eastAsia="宋体" w:hAnsi="Arial" w:cs="Arial"/>
                <w:b/>
                <w:bCs/>
                <w:color w:val="000000"/>
                <w:sz w:val="10"/>
                <w:szCs w:val="10"/>
              </w:rPr>
              <w:t>(1)(2)</w:t>
            </w:r>
          </w:p>
        </w:tc>
        <w:tc>
          <w:tcPr>
            <w:tcW w:w="0" w:type="auto"/>
            <w:shd w:val="clear" w:color="auto" w:fill="auto"/>
            <w:vAlign w:val="bottom"/>
          </w:tcPr>
          <w:p w14:paraId="74DD789A" w14:textId="77777777" w:rsidR="00584EC1" w:rsidRDefault="00584EC1">
            <w:pPr>
              <w:rPr>
                <w:rFonts w:ascii="宋体"/>
                <w:vanish/>
              </w:rPr>
            </w:pPr>
          </w:p>
        </w:tc>
        <w:tc>
          <w:tcPr>
            <w:tcW w:w="0" w:type="auto"/>
            <w:shd w:val="clear" w:color="auto" w:fill="auto"/>
            <w:vAlign w:val="bottom"/>
          </w:tcPr>
          <w:p w14:paraId="74DD789B" w14:textId="77777777" w:rsidR="00584EC1" w:rsidRDefault="00584EC1">
            <w:pPr>
              <w:rPr>
                <w:rFonts w:ascii="宋体"/>
                <w:vanish/>
              </w:rPr>
            </w:pPr>
          </w:p>
        </w:tc>
        <w:tc>
          <w:tcPr>
            <w:tcW w:w="0" w:type="auto"/>
            <w:shd w:val="clear" w:color="auto" w:fill="auto"/>
            <w:vAlign w:val="bottom"/>
          </w:tcPr>
          <w:p w14:paraId="74DD789C" w14:textId="77777777" w:rsidR="00584EC1" w:rsidRDefault="00584EC1">
            <w:pPr>
              <w:rPr>
                <w:rFonts w:ascii="宋体"/>
              </w:rPr>
            </w:pPr>
          </w:p>
        </w:tc>
        <w:tc>
          <w:tcPr>
            <w:tcW w:w="0" w:type="auto"/>
            <w:shd w:val="clear" w:color="auto" w:fill="auto"/>
            <w:vAlign w:val="bottom"/>
          </w:tcPr>
          <w:p w14:paraId="74DD789D" w14:textId="77777777" w:rsidR="00584EC1" w:rsidRDefault="00584EC1">
            <w:pPr>
              <w:rPr>
                <w:rFonts w:ascii="宋体"/>
              </w:rPr>
            </w:pPr>
          </w:p>
        </w:tc>
        <w:tc>
          <w:tcPr>
            <w:tcW w:w="0" w:type="auto"/>
            <w:shd w:val="clear" w:color="auto" w:fill="auto"/>
            <w:vAlign w:val="bottom"/>
          </w:tcPr>
          <w:p w14:paraId="74DD789E" w14:textId="77777777" w:rsidR="00584EC1" w:rsidRDefault="00584EC1">
            <w:pPr>
              <w:rPr>
                <w:rFonts w:ascii="宋体"/>
              </w:rPr>
            </w:pPr>
          </w:p>
        </w:tc>
        <w:tc>
          <w:tcPr>
            <w:tcW w:w="0" w:type="auto"/>
            <w:shd w:val="clear" w:color="auto" w:fill="auto"/>
            <w:vAlign w:val="bottom"/>
          </w:tcPr>
          <w:p w14:paraId="74DD789F" w14:textId="77777777" w:rsidR="00584EC1" w:rsidRDefault="00584EC1">
            <w:pPr>
              <w:rPr>
                <w:rFonts w:ascii="宋体"/>
              </w:rPr>
            </w:pPr>
          </w:p>
        </w:tc>
        <w:tc>
          <w:tcPr>
            <w:tcW w:w="0" w:type="auto"/>
            <w:shd w:val="clear" w:color="auto" w:fill="auto"/>
            <w:vAlign w:val="bottom"/>
          </w:tcPr>
          <w:p w14:paraId="74DD78A0" w14:textId="77777777" w:rsidR="00584EC1" w:rsidRDefault="00584EC1">
            <w:pPr>
              <w:rPr>
                <w:rFonts w:ascii="宋体"/>
              </w:rPr>
            </w:pPr>
          </w:p>
        </w:tc>
        <w:tc>
          <w:tcPr>
            <w:tcW w:w="0" w:type="auto"/>
            <w:shd w:val="clear" w:color="auto" w:fill="auto"/>
            <w:vAlign w:val="bottom"/>
          </w:tcPr>
          <w:p w14:paraId="74DD78A1" w14:textId="77777777" w:rsidR="00584EC1" w:rsidRDefault="00584EC1">
            <w:pPr>
              <w:rPr>
                <w:rFonts w:ascii="宋体"/>
              </w:rPr>
            </w:pPr>
          </w:p>
        </w:tc>
        <w:tc>
          <w:tcPr>
            <w:tcW w:w="0" w:type="auto"/>
            <w:shd w:val="clear" w:color="auto" w:fill="auto"/>
            <w:vAlign w:val="bottom"/>
          </w:tcPr>
          <w:p w14:paraId="74DD78A2" w14:textId="77777777" w:rsidR="00584EC1" w:rsidRDefault="00584EC1">
            <w:pPr>
              <w:rPr>
                <w:rFonts w:ascii="宋体"/>
              </w:rPr>
            </w:pPr>
          </w:p>
        </w:tc>
        <w:tc>
          <w:tcPr>
            <w:tcW w:w="0" w:type="auto"/>
            <w:shd w:val="clear" w:color="auto" w:fill="auto"/>
            <w:vAlign w:val="bottom"/>
          </w:tcPr>
          <w:p w14:paraId="74DD78A3" w14:textId="77777777" w:rsidR="00584EC1" w:rsidRDefault="00584EC1">
            <w:pPr>
              <w:rPr>
                <w:rFonts w:ascii="宋体"/>
              </w:rPr>
            </w:pPr>
          </w:p>
        </w:tc>
        <w:tc>
          <w:tcPr>
            <w:tcW w:w="0" w:type="auto"/>
            <w:shd w:val="clear" w:color="auto" w:fill="auto"/>
            <w:vAlign w:val="bottom"/>
          </w:tcPr>
          <w:p w14:paraId="74DD78A4" w14:textId="77777777" w:rsidR="00584EC1" w:rsidRDefault="00584EC1">
            <w:pPr>
              <w:rPr>
                <w:rFonts w:ascii="宋体"/>
              </w:rPr>
            </w:pPr>
          </w:p>
        </w:tc>
        <w:tc>
          <w:tcPr>
            <w:tcW w:w="0" w:type="auto"/>
            <w:shd w:val="clear" w:color="auto" w:fill="auto"/>
            <w:vAlign w:val="bottom"/>
          </w:tcPr>
          <w:p w14:paraId="74DD78A5" w14:textId="77777777" w:rsidR="00584EC1" w:rsidRDefault="00584EC1">
            <w:pPr>
              <w:rPr>
                <w:rFonts w:ascii="宋体"/>
              </w:rPr>
            </w:pPr>
          </w:p>
        </w:tc>
        <w:tc>
          <w:tcPr>
            <w:tcW w:w="0" w:type="auto"/>
            <w:shd w:val="clear" w:color="auto" w:fill="auto"/>
            <w:vAlign w:val="bottom"/>
          </w:tcPr>
          <w:p w14:paraId="74DD78A6" w14:textId="77777777" w:rsidR="00584EC1" w:rsidRDefault="00584EC1">
            <w:pPr>
              <w:rPr>
                <w:rFonts w:ascii="宋体"/>
              </w:rPr>
            </w:pPr>
          </w:p>
        </w:tc>
        <w:tc>
          <w:tcPr>
            <w:tcW w:w="0" w:type="auto"/>
            <w:shd w:val="clear" w:color="auto" w:fill="auto"/>
            <w:vAlign w:val="bottom"/>
          </w:tcPr>
          <w:p w14:paraId="74DD78A7" w14:textId="77777777" w:rsidR="00584EC1" w:rsidRDefault="00584EC1">
            <w:pPr>
              <w:rPr>
                <w:rFonts w:ascii="宋体"/>
              </w:rPr>
            </w:pPr>
          </w:p>
        </w:tc>
        <w:tc>
          <w:tcPr>
            <w:tcW w:w="0" w:type="auto"/>
            <w:shd w:val="clear" w:color="auto" w:fill="auto"/>
            <w:vAlign w:val="bottom"/>
          </w:tcPr>
          <w:p w14:paraId="74DD78A8" w14:textId="77777777" w:rsidR="00584EC1" w:rsidRDefault="00584EC1">
            <w:pPr>
              <w:rPr>
                <w:rFonts w:ascii="宋体"/>
              </w:rPr>
            </w:pPr>
          </w:p>
        </w:tc>
        <w:tc>
          <w:tcPr>
            <w:tcW w:w="0" w:type="auto"/>
            <w:shd w:val="clear" w:color="auto" w:fill="auto"/>
            <w:vAlign w:val="bottom"/>
          </w:tcPr>
          <w:p w14:paraId="74DD78A9" w14:textId="77777777" w:rsidR="00584EC1" w:rsidRDefault="00584EC1">
            <w:pPr>
              <w:rPr>
                <w:rFonts w:ascii="宋体"/>
              </w:rPr>
            </w:pPr>
          </w:p>
        </w:tc>
        <w:tc>
          <w:tcPr>
            <w:tcW w:w="0" w:type="auto"/>
            <w:shd w:val="clear" w:color="auto" w:fill="auto"/>
            <w:vAlign w:val="bottom"/>
          </w:tcPr>
          <w:p w14:paraId="74DD78AA" w14:textId="77777777" w:rsidR="00584EC1" w:rsidRDefault="00584EC1">
            <w:pPr>
              <w:rPr>
                <w:rFonts w:ascii="宋体"/>
              </w:rPr>
            </w:pPr>
          </w:p>
        </w:tc>
        <w:tc>
          <w:tcPr>
            <w:tcW w:w="0" w:type="auto"/>
            <w:shd w:val="clear" w:color="auto" w:fill="auto"/>
            <w:vAlign w:val="bottom"/>
          </w:tcPr>
          <w:p w14:paraId="74DD78AB" w14:textId="77777777" w:rsidR="00584EC1" w:rsidRDefault="00584EC1">
            <w:pPr>
              <w:rPr>
                <w:rFonts w:ascii="宋体"/>
              </w:rPr>
            </w:pPr>
          </w:p>
        </w:tc>
        <w:tc>
          <w:tcPr>
            <w:tcW w:w="0" w:type="auto"/>
            <w:shd w:val="clear" w:color="auto" w:fill="auto"/>
            <w:vAlign w:val="bottom"/>
          </w:tcPr>
          <w:p w14:paraId="74DD78AC" w14:textId="77777777" w:rsidR="00584EC1" w:rsidRDefault="00584EC1">
            <w:pPr>
              <w:rPr>
                <w:rFonts w:ascii="宋体"/>
              </w:rPr>
            </w:pPr>
          </w:p>
        </w:tc>
        <w:tc>
          <w:tcPr>
            <w:tcW w:w="0" w:type="auto"/>
            <w:shd w:val="clear" w:color="auto" w:fill="auto"/>
            <w:vAlign w:val="bottom"/>
          </w:tcPr>
          <w:p w14:paraId="74DD78AD" w14:textId="77777777" w:rsidR="00584EC1" w:rsidRDefault="00584EC1">
            <w:pPr>
              <w:rPr>
                <w:rFonts w:ascii="宋体"/>
              </w:rPr>
            </w:pPr>
          </w:p>
        </w:tc>
        <w:tc>
          <w:tcPr>
            <w:tcW w:w="0" w:type="auto"/>
            <w:shd w:val="clear" w:color="auto" w:fill="auto"/>
            <w:vAlign w:val="bottom"/>
          </w:tcPr>
          <w:p w14:paraId="74DD78AE" w14:textId="77777777" w:rsidR="00584EC1" w:rsidRDefault="00584EC1">
            <w:pPr>
              <w:rPr>
                <w:rFonts w:ascii="宋体"/>
              </w:rPr>
            </w:pPr>
          </w:p>
        </w:tc>
        <w:tc>
          <w:tcPr>
            <w:tcW w:w="0" w:type="auto"/>
            <w:shd w:val="clear" w:color="auto" w:fill="auto"/>
            <w:vAlign w:val="bottom"/>
          </w:tcPr>
          <w:p w14:paraId="74DD78AF" w14:textId="77777777" w:rsidR="00584EC1" w:rsidRDefault="00584EC1">
            <w:pPr>
              <w:rPr>
                <w:rFonts w:ascii="宋体"/>
              </w:rPr>
            </w:pPr>
          </w:p>
        </w:tc>
        <w:tc>
          <w:tcPr>
            <w:tcW w:w="0" w:type="auto"/>
            <w:shd w:val="clear" w:color="auto" w:fill="auto"/>
            <w:vAlign w:val="bottom"/>
          </w:tcPr>
          <w:p w14:paraId="74DD78B0" w14:textId="77777777" w:rsidR="00584EC1" w:rsidRDefault="00584EC1">
            <w:pPr>
              <w:rPr>
                <w:rFonts w:ascii="宋体"/>
              </w:rPr>
            </w:pPr>
          </w:p>
        </w:tc>
        <w:tc>
          <w:tcPr>
            <w:tcW w:w="0" w:type="auto"/>
            <w:shd w:val="clear" w:color="auto" w:fill="auto"/>
            <w:vAlign w:val="bottom"/>
          </w:tcPr>
          <w:p w14:paraId="74DD78B1" w14:textId="77777777" w:rsidR="00584EC1" w:rsidRDefault="00584EC1">
            <w:pPr>
              <w:rPr>
                <w:rFonts w:ascii="宋体"/>
              </w:rPr>
            </w:pPr>
          </w:p>
        </w:tc>
        <w:tc>
          <w:tcPr>
            <w:tcW w:w="0" w:type="auto"/>
            <w:shd w:val="clear" w:color="auto" w:fill="auto"/>
            <w:vAlign w:val="bottom"/>
          </w:tcPr>
          <w:p w14:paraId="74DD78B2" w14:textId="77777777" w:rsidR="00584EC1" w:rsidRDefault="00584EC1">
            <w:pPr>
              <w:rPr>
                <w:rFonts w:ascii="宋体"/>
              </w:rPr>
            </w:pPr>
          </w:p>
        </w:tc>
        <w:tc>
          <w:tcPr>
            <w:tcW w:w="0" w:type="auto"/>
            <w:shd w:val="clear" w:color="auto" w:fill="auto"/>
            <w:vAlign w:val="bottom"/>
          </w:tcPr>
          <w:p w14:paraId="74DD78B3" w14:textId="77777777" w:rsidR="00584EC1" w:rsidRDefault="00584EC1">
            <w:pPr>
              <w:rPr>
                <w:rFonts w:ascii="宋体"/>
              </w:rPr>
            </w:pPr>
          </w:p>
        </w:tc>
      </w:tr>
      <w:tr w:rsidR="00584EC1" w14:paraId="74DD78C5" w14:textId="77777777">
        <w:tc>
          <w:tcPr>
            <w:tcW w:w="0" w:type="auto"/>
            <w:gridSpan w:val="3"/>
            <w:shd w:val="clear" w:color="auto" w:fill="auto"/>
            <w:tcMar>
              <w:top w:w="40" w:type="dxa"/>
              <w:left w:w="20" w:type="dxa"/>
              <w:bottom w:w="40" w:type="dxa"/>
              <w:right w:w="20" w:type="dxa"/>
            </w:tcMar>
            <w:vAlign w:val="bottom"/>
          </w:tcPr>
          <w:p w14:paraId="74DD78B5" w14:textId="77777777" w:rsidR="00584EC1" w:rsidRDefault="00871F8D">
            <w:pPr>
              <w:textAlignment w:val="bottom"/>
            </w:pPr>
            <w:r>
              <w:rPr>
                <w:rFonts w:ascii="Arial" w:eastAsia="宋体" w:hAnsi="Arial" w:cs="Arial"/>
                <w:b/>
                <w:bCs/>
                <w:color w:val="000000"/>
                <w:sz w:val="14"/>
                <w:szCs w:val="14"/>
              </w:rPr>
              <w:t>(In billions)</w:t>
            </w:r>
          </w:p>
        </w:tc>
        <w:tc>
          <w:tcPr>
            <w:tcW w:w="0" w:type="auto"/>
            <w:gridSpan w:val="3"/>
            <w:shd w:val="clear" w:color="auto" w:fill="auto"/>
            <w:tcMar>
              <w:top w:w="40" w:type="dxa"/>
              <w:left w:w="20" w:type="dxa"/>
              <w:bottom w:w="40" w:type="dxa"/>
              <w:right w:w="20" w:type="dxa"/>
            </w:tcMar>
            <w:vAlign w:val="bottom"/>
          </w:tcPr>
          <w:p w14:paraId="74DD78B6" w14:textId="77777777" w:rsidR="00584EC1" w:rsidRDefault="00871F8D">
            <w:pPr>
              <w:jc w:val="center"/>
              <w:textAlignment w:val="bottom"/>
            </w:pPr>
            <w:r>
              <w:rPr>
                <w:rFonts w:ascii="Arial" w:eastAsia="宋体" w:hAnsi="Arial" w:cs="Arial"/>
                <w:b/>
                <w:bCs/>
                <w:color w:val="000000"/>
                <w:sz w:val="14"/>
                <w:szCs w:val="14"/>
              </w:rPr>
              <w:t>September 30, 2021</w:t>
            </w:r>
          </w:p>
        </w:tc>
        <w:tc>
          <w:tcPr>
            <w:tcW w:w="0" w:type="auto"/>
            <w:gridSpan w:val="3"/>
            <w:shd w:val="clear" w:color="auto" w:fill="auto"/>
            <w:tcMar>
              <w:top w:w="0" w:type="dxa"/>
              <w:left w:w="20" w:type="dxa"/>
              <w:bottom w:w="0" w:type="dxa"/>
              <w:right w:w="20" w:type="dxa"/>
            </w:tcMar>
            <w:vAlign w:val="bottom"/>
          </w:tcPr>
          <w:p w14:paraId="74DD78B7"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78B8" w14:textId="77777777" w:rsidR="00584EC1" w:rsidRDefault="00871F8D">
            <w:pPr>
              <w:jc w:val="center"/>
              <w:textAlignment w:val="bottom"/>
            </w:pPr>
            <w:r>
              <w:rPr>
                <w:rFonts w:ascii="Arial" w:eastAsia="宋体" w:hAnsi="Arial" w:cs="Arial"/>
                <w:b/>
                <w:bCs/>
                <w:color w:val="000000"/>
                <w:sz w:val="14"/>
                <w:szCs w:val="14"/>
              </w:rPr>
              <w:t>December 31, 2020</w:t>
            </w:r>
          </w:p>
        </w:tc>
        <w:tc>
          <w:tcPr>
            <w:tcW w:w="0" w:type="auto"/>
            <w:gridSpan w:val="3"/>
            <w:shd w:val="clear" w:color="auto" w:fill="auto"/>
            <w:tcMar>
              <w:top w:w="0" w:type="dxa"/>
              <w:left w:w="20" w:type="dxa"/>
              <w:bottom w:w="0" w:type="dxa"/>
              <w:right w:w="20" w:type="dxa"/>
            </w:tcMar>
            <w:vAlign w:val="bottom"/>
          </w:tcPr>
          <w:p w14:paraId="74DD78B9"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78BA" w14:textId="77777777" w:rsidR="00584EC1" w:rsidRDefault="00871F8D">
            <w:pPr>
              <w:jc w:val="center"/>
              <w:textAlignment w:val="bottom"/>
            </w:pPr>
            <w:r>
              <w:rPr>
                <w:rFonts w:ascii="Arial" w:eastAsia="宋体" w:hAnsi="Arial" w:cs="Arial"/>
                <w:b/>
                <w:bCs/>
                <w:color w:val="000000"/>
                <w:sz w:val="14"/>
                <w:szCs w:val="14"/>
              </w:rPr>
              <w:t>September 30, 2020</w:t>
            </w:r>
          </w:p>
        </w:tc>
        <w:tc>
          <w:tcPr>
            <w:tcW w:w="0" w:type="auto"/>
            <w:shd w:val="clear" w:color="auto" w:fill="auto"/>
            <w:vAlign w:val="bottom"/>
          </w:tcPr>
          <w:p w14:paraId="74DD78BB" w14:textId="77777777" w:rsidR="00584EC1" w:rsidRDefault="00584EC1">
            <w:pPr>
              <w:rPr>
                <w:rFonts w:ascii="宋体"/>
                <w:vanish/>
              </w:rPr>
            </w:pPr>
          </w:p>
        </w:tc>
        <w:tc>
          <w:tcPr>
            <w:tcW w:w="0" w:type="auto"/>
            <w:shd w:val="clear" w:color="auto" w:fill="auto"/>
            <w:vAlign w:val="bottom"/>
          </w:tcPr>
          <w:p w14:paraId="74DD78BC" w14:textId="77777777" w:rsidR="00584EC1" w:rsidRDefault="00584EC1">
            <w:pPr>
              <w:rPr>
                <w:rFonts w:ascii="宋体"/>
                <w:vanish/>
              </w:rPr>
            </w:pPr>
          </w:p>
        </w:tc>
        <w:tc>
          <w:tcPr>
            <w:tcW w:w="0" w:type="auto"/>
            <w:gridSpan w:val="3"/>
            <w:shd w:val="clear" w:color="auto" w:fill="auto"/>
            <w:vAlign w:val="bottom"/>
          </w:tcPr>
          <w:p w14:paraId="74DD78BD" w14:textId="77777777" w:rsidR="00584EC1" w:rsidRDefault="00584EC1">
            <w:pPr>
              <w:rPr>
                <w:rFonts w:ascii="宋体"/>
                <w:vanish/>
              </w:rPr>
            </w:pPr>
          </w:p>
        </w:tc>
        <w:tc>
          <w:tcPr>
            <w:tcW w:w="0" w:type="auto"/>
            <w:gridSpan w:val="3"/>
            <w:shd w:val="clear" w:color="auto" w:fill="auto"/>
            <w:vAlign w:val="bottom"/>
          </w:tcPr>
          <w:p w14:paraId="74DD78BE" w14:textId="77777777" w:rsidR="00584EC1" w:rsidRDefault="00584EC1">
            <w:pPr>
              <w:rPr>
                <w:rFonts w:ascii="宋体"/>
                <w:vanish/>
              </w:rPr>
            </w:pPr>
          </w:p>
        </w:tc>
        <w:tc>
          <w:tcPr>
            <w:tcW w:w="0" w:type="auto"/>
            <w:gridSpan w:val="3"/>
            <w:shd w:val="clear" w:color="auto" w:fill="auto"/>
            <w:vAlign w:val="bottom"/>
          </w:tcPr>
          <w:p w14:paraId="74DD78BF" w14:textId="77777777" w:rsidR="00584EC1" w:rsidRDefault="00584EC1">
            <w:pPr>
              <w:rPr>
                <w:rFonts w:ascii="宋体"/>
                <w:vanish/>
              </w:rPr>
            </w:pPr>
          </w:p>
        </w:tc>
        <w:tc>
          <w:tcPr>
            <w:tcW w:w="0" w:type="auto"/>
            <w:gridSpan w:val="3"/>
            <w:shd w:val="clear" w:color="auto" w:fill="auto"/>
            <w:vAlign w:val="bottom"/>
          </w:tcPr>
          <w:p w14:paraId="74DD78C0" w14:textId="77777777" w:rsidR="00584EC1" w:rsidRDefault="00584EC1">
            <w:pPr>
              <w:rPr>
                <w:rFonts w:ascii="宋体"/>
                <w:vanish/>
              </w:rPr>
            </w:pPr>
          </w:p>
        </w:tc>
        <w:tc>
          <w:tcPr>
            <w:tcW w:w="0" w:type="auto"/>
            <w:gridSpan w:val="3"/>
            <w:shd w:val="clear" w:color="auto" w:fill="auto"/>
            <w:vAlign w:val="bottom"/>
          </w:tcPr>
          <w:p w14:paraId="74DD78C1" w14:textId="77777777" w:rsidR="00584EC1" w:rsidRDefault="00584EC1">
            <w:pPr>
              <w:rPr>
                <w:rFonts w:ascii="宋体"/>
                <w:vanish/>
              </w:rPr>
            </w:pPr>
          </w:p>
        </w:tc>
        <w:tc>
          <w:tcPr>
            <w:tcW w:w="0" w:type="auto"/>
            <w:gridSpan w:val="3"/>
            <w:shd w:val="clear" w:color="auto" w:fill="auto"/>
            <w:vAlign w:val="bottom"/>
          </w:tcPr>
          <w:p w14:paraId="74DD78C2" w14:textId="77777777" w:rsidR="00584EC1" w:rsidRDefault="00584EC1">
            <w:pPr>
              <w:rPr>
                <w:rFonts w:ascii="宋体"/>
                <w:vanish/>
              </w:rPr>
            </w:pPr>
          </w:p>
        </w:tc>
        <w:tc>
          <w:tcPr>
            <w:tcW w:w="0" w:type="auto"/>
            <w:gridSpan w:val="3"/>
            <w:shd w:val="clear" w:color="auto" w:fill="auto"/>
            <w:vAlign w:val="bottom"/>
          </w:tcPr>
          <w:p w14:paraId="74DD78C3" w14:textId="77777777" w:rsidR="00584EC1" w:rsidRDefault="00584EC1">
            <w:pPr>
              <w:rPr>
                <w:rFonts w:ascii="宋体"/>
                <w:vanish/>
              </w:rPr>
            </w:pPr>
          </w:p>
        </w:tc>
        <w:tc>
          <w:tcPr>
            <w:tcW w:w="0" w:type="auto"/>
            <w:gridSpan w:val="3"/>
            <w:shd w:val="clear" w:color="auto" w:fill="auto"/>
            <w:vAlign w:val="bottom"/>
          </w:tcPr>
          <w:p w14:paraId="74DD78C4" w14:textId="77777777" w:rsidR="00584EC1" w:rsidRDefault="00584EC1">
            <w:pPr>
              <w:rPr>
                <w:rFonts w:ascii="宋体"/>
                <w:vanish/>
              </w:rPr>
            </w:pPr>
          </w:p>
        </w:tc>
      </w:tr>
      <w:tr w:rsidR="00584EC1" w14:paraId="74DD78DC" w14:textId="77777777">
        <w:tc>
          <w:tcPr>
            <w:tcW w:w="0" w:type="auto"/>
            <w:gridSpan w:val="3"/>
            <w:shd w:val="clear" w:color="auto" w:fill="CCEEFF"/>
            <w:tcMar>
              <w:top w:w="40" w:type="dxa"/>
              <w:left w:w="20" w:type="dxa"/>
              <w:bottom w:w="40" w:type="dxa"/>
              <w:right w:w="20" w:type="dxa"/>
            </w:tcMar>
            <w:vAlign w:val="bottom"/>
          </w:tcPr>
          <w:p w14:paraId="74DD78C6" w14:textId="77777777" w:rsidR="00584EC1" w:rsidRDefault="00871F8D">
            <w:pPr>
              <w:textAlignment w:val="bottom"/>
            </w:pPr>
            <w:r>
              <w:rPr>
                <w:rFonts w:ascii="Arial" w:eastAsia="宋体" w:hAnsi="Arial" w:cs="Arial"/>
                <w:color w:val="000000"/>
                <w:sz w:val="14"/>
                <w:szCs w:val="14"/>
              </w:rPr>
              <w:t>Collective funds</w:t>
            </w:r>
          </w:p>
        </w:tc>
        <w:tc>
          <w:tcPr>
            <w:tcW w:w="0" w:type="auto"/>
            <w:tcBorders>
              <w:top w:val="single" w:sz="8" w:space="0" w:color="000000"/>
            </w:tcBorders>
            <w:shd w:val="clear" w:color="auto" w:fill="CCEEFF"/>
            <w:tcMar>
              <w:top w:w="40" w:type="dxa"/>
              <w:left w:w="20" w:type="dxa"/>
              <w:bottom w:w="40" w:type="dxa"/>
              <w:right w:w="0" w:type="dxa"/>
            </w:tcMar>
            <w:vAlign w:val="bottom"/>
          </w:tcPr>
          <w:p w14:paraId="74DD78C7"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78C8" w14:textId="77777777" w:rsidR="00584EC1" w:rsidRDefault="00871F8D">
            <w:pPr>
              <w:jc w:val="right"/>
              <w:textAlignment w:val="bottom"/>
            </w:pPr>
            <w:r>
              <w:rPr>
                <w:rFonts w:ascii="Arial" w:eastAsia="宋体" w:hAnsi="Arial" w:cs="Arial"/>
                <w:b/>
                <w:bCs/>
                <w:color w:val="000000"/>
                <w:sz w:val="14"/>
                <w:szCs w:val="14"/>
              </w:rPr>
              <w:t>15,159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8C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8CA"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78CB"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78CC" w14:textId="77777777" w:rsidR="00584EC1" w:rsidRDefault="00871F8D">
            <w:pPr>
              <w:jc w:val="right"/>
              <w:textAlignment w:val="bottom"/>
            </w:pPr>
            <w:r>
              <w:rPr>
                <w:rFonts w:ascii="Arial" w:eastAsia="宋体" w:hAnsi="Arial" w:cs="Arial"/>
                <w:color w:val="000000"/>
                <w:sz w:val="14"/>
                <w:szCs w:val="14"/>
              </w:rPr>
              <w:t>13,387 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8C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8CE"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78CF"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78D0" w14:textId="77777777" w:rsidR="00584EC1" w:rsidRDefault="00871F8D">
            <w:pPr>
              <w:jc w:val="right"/>
              <w:textAlignment w:val="bottom"/>
            </w:pPr>
            <w:r>
              <w:rPr>
                <w:rFonts w:ascii="Arial" w:eastAsia="宋体" w:hAnsi="Arial" w:cs="Arial"/>
                <w:color w:val="000000"/>
                <w:sz w:val="14"/>
                <w:szCs w:val="14"/>
              </w:rPr>
              <w:t>12,204 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8D1" w14:textId="77777777" w:rsidR="00584EC1" w:rsidRDefault="00584EC1">
            <w:pPr>
              <w:jc w:val="right"/>
              <w:rPr>
                <w:rFonts w:ascii="宋体"/>
              </w:rPr>
            </w:pPr>
          </w:p>
        </w:tc>
        <w:tc>
          <w:tcPr>
            <w:tcW w:w="0" w:type="auto"/>
            <w:shd w:val="clear" w:color="auto" w:fill="auto"/>
            <w:vAlign w:val="bottom"/>
          </w:tcPr>
          <w:p w14:paraId="74DD78D2" w14:textId="77777777" w:rsidR="00584EC1" w:rsidRDefault="00584EC1">
            <w:pPr>
              <w:rPr>
                <w:rFonts w:ascii="宋体"/>
                <w:vanish/>
              </w:rPr>
            </w:pPr>
          </w:p>
        </w:tc>
        <w:tc>
          <w:tcPr>
            <w:tcW w:w="0" w:type="auto"/>
            <w:shd w:val="clear" w:color="auto" w:fill="auto"/>
            <w:vAlign w:val="bottom"/>
          </w:tcPr>
          <w:p w14:paraId="74DD78D3" w14:textId="77777777" w:rsidR="00584EC1" w:rsidRDefault="00584EC1">
            <w:pPr>
              <w:rPr>
                <w:rFonts w:ascii="宋体"/>
                <w:vanish/>
              </w:rPr>
            </w:pPr>
          </w:p>
        </w:tc>
        <w:tc>
          <w:tcPr>
            <w:tcW w:w="0" w:type="auto"/>
            <w:gridSpan w:val="3"/>
            <w:shd w:val="clear" w:color="auto" w:fill="auto"/>
            <w:vAlign w:val="bottom"/>
          </w:tcPr>
          <w:p w14:paraId="74DD78D4" w14:textId="77777777" w:rsidR="00584EC1" w:rsidRDefault="00584EC1">
            <w:pPr>
              <w:rPr>
                <w:rFonts w:ascii="宋体"/>
                <w:vanish/>
              </w:rPr>
            </w:pPr>
          </w:p>
        </w:tc>
        <w:tc>
          <w:tcPr>
            <w:tcW w:w="0" w:type="auto"/>
            <w:gridSpan w:val="3"/>
            <w:shd w:val="clear" w:color="auto" w:fill="auto"/>
            <w:vAlign w:val="bottom"/>
          </w:tcPr>
          <w:p w14:paraId="74DD78D5" w14:textId="77777777" w:rsidR="00584EC1" w:rsidRDefault="00584EC1">
            <w:pPr>
              <w:rPr>
                <w:rFonts w:ascii="宋体"/>
                <w:vanish/>
              </w:rPr>
            </w:pPr>
          </w:p>
        </w:tc>
        <w:tc>
          <w:tcPr>
            <w:tcW w:w="0" w:type="auto"/>
            <w:gridSpan w:val="3"/>
            <w:shd w:val="clear" w:color="auto" w:fill="auto"/>
            <w:vAlign w:val="bottom"/>
          </w:tcPr>
          <w:p w14:paraId="74DD78D6" w14:textId="77777777" w:rsidR="00584EC1" w:rsidRDefault="00584EC1">
            <w:pPr>
              <w:rPr>
                <w:rFonts w:ascii="宋体"/>
                <w:vanish/>
              </w:rPr>
            </w:pPr>
          </w:p>
        </w:tc>
        <w:tc>
          <w:tcPr>
            <w:tcW w:w="0" w:type="auto"/>
            <w:gridSpan w:val="3"/>
            <w:shd w:val="clear" w:color="auto" w:fill="auto"/>
            <w:vAlign w:val="bottom"/>
          </w:tcPr>
          <w:p w14:paraId="74DD78D7" w14:textId="77777777" w:rsidR="00584EC1" w:rsidRDefault="00584EC1">
            <w:pPr>
              <w:rPr>
                <w:rFonts w:ascii="宋体"/>
                <w:vanish/>
              </w:rPr>
            </w:pPr>
          </w:p>
        </w:tc>
        <w:tc>
          <w:tcPr>
            <w:tcW w:w="0" w:type="auto"/>
            <w:gridSpan w:val="3"/>
            <w:shd w:val="clear" w:color="auto" w:fill="auto"/>
            <w:vAlign w:val="bottom"/>
          </w:tcPr>
          <w:p w14:paraId="74DD78D8" w14:textId="77777777" w:rsidR="00584EC1" w:rsidRDefault="00584EC1">
            <w:pPr>
              <w:rPr>
                <w:rFonts w:ascii="宋体"/>
                <w:vanish/>
              </w:rPr>
            </w:pPr>
          </w:p>
        </w:tc>
        <w:tc>
          <w:tcPr>
            <w:tcW w:w="0" w:type="auto"/>
            <w:gridSpan w:val="3"/>
            <w:shd w:val="clear" w:color="auto" w:fill="auto"/>
            <w:vAlign w:val="bottom"/>
          </w:tcPr>
          <w:p w14:paraId="74DD78D9" w14:textId="77777777" w:rsidR="00584EC1" w:rsidRDefault="00584EC1">
            <w:pPr>
              <w:rPr>
                <w:rFonts w:ascii="宋体"/>
                <w:vanish/>
              </w:rPr>
            </w:pPr>
          </w:p>
        </w:tc>
        <w:tc>
          <w:tcPr>
            <w:tcW w:w="0" w:type="auto"/>
            <w:gridSpan w:val="3"/>
            <w:shd w:val="clear" w:color="auto" w:fill="auto"/>
            <w:vAlign w:val="bottom"/>
          </w:tcPr>
          <w:p w14:paraId="74DD78DA" w14:textId="77777777" w:rsidR="00584EC1" w:rsidRDefault="00584EC1">
            <w:pPr>
              <w:rPr>
                <w:rFonts w:ascii="宋体"/>
                <w:vanish/>
              </w:rPr>
            </w:pPr>
          </w:p>
        </w:tc>
        <w:tc>
          <w:tcPr>
            <w:tcW w:w="0" w:type="auto"/>
            <w:gridSpan w:val="3"/>
            <w:shd w:val="clear" w:color="auto" w:fill="auto"/>
            <w:vAlign w:val="bottom"/>
          </w:tcPr>
          <w:p w14:paraId="74DD78DB" w14:textId="77777777" w:rsidR="00584EC1" w:rsidRDefault="00584EC1">
            <w:pPr>
              <w:rPr>
                <w:rFonts w:ascii="宋体"/>
                <w:vanish/>
              </w:rPr>
            </w:pPr>
          </w:p>
        </w:tc>
      </w:tr>
      <w:tr w:rsidR="00584EC1" w14:paraId="74DD78F0" w14:textId="77777777">
        <w:tc>
          <w:tcPr>
            <w:tcW w:w="0" w:type="auto"/>
            <w:gridSpan w:val="3"/>
            <w:shd w:val="clear" w:color="auto" w:fill="FFFFFF"/>
            <w:tcMar>
              <w:top w:w="40" w:type="dxa"/>
              <w:left w:w="20" w:type="dxa"/>
              <w:bottom w:w="40" w:type="dxa"/>
              <w:right w:w="20" w:type="dxa"/>
            </w:tcMar>
            <w:vAlign w:val="bottom"/>
          </w:tcPr>
          <w:p w14:paraId="74DD78DD" w14:textId="77777777" w:rsidR="00584EC1" w:rsidRDefault="00871F8D">
            <w:pPr>
              <w:textAlignment w:val="bottom"/>
            </w:pPr>
            <w:r>
              <w:rPr>
                <w:rFonts w:ascii="Arial" w:eastAsia="宋体" w:hAnsi="Arial" w:cs="Arial"/>
                <w:color w:val="000000"/>
                <w:sz w:val="14"/>
                <w:szCs w:val="14"/>
              </w:rPr>
              <w:t>Mutual funds</w:t>
            </w:r>
          </w:p>
        </w:tc>
        <w:tc>
          <w:tcPr>
            <w:tcW w:w="0" w:type="auto"/>
            <w:gridSpan w:val="2"/>
            <w:shd w:val="clear" w:color="auto" w:fill="FFFFFF"/>
            <w:tcMar>
              <w:top w:w="40" w:type="dxa"/>
              <w:left w:w="20" w:type="dxa"/>
              <w:bottom w:w="40" w:type="dxa"/>
              <w:right w:w="0" w:type="dxa"/>
            </w:tcMar>
            <w:vAlign w:val="bottom"/>
          </w:tcPr>
          <w:p w14:paraId="74DD78DE" w14:textId="77777777" w:rsidR="00584EC1" w:rsidRDefault="00871F8D">
            <w:pPr>
              <w:jc w:val="right"/>
              <w:textAlignment w:val="bottom"/>
            </w:pPr>
            <w:r>
              <w:rPr>
                <w:rFonts w:ascii="Arial" w:eastAsia="宋体" w:hAnsi="Arial" w:cs="Arial"/>
                <w:b/>
                <w:bCs/>
                <w:color w:val="000000"/>
                <w:sz w:val="14"/>
                <w:szCs w:val="14"/>
              </w:rPr>
              <w:t>11,505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78D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8E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8E1" w14:textId="77777777" w:rsidR="00584EC1" w:rsidRDefault="00871F8D">
            <w:pPr>
              <w:jc w:val="right"/>
              <w:textAlignment w:val="bottom"/>
            </w:pPr>
            <w:r>
              <w:rPr>
                <w:rFonts w:ascii="Arial" w:eastAsia="宋体" w:hAnsi="Arial" w:cs="Arial"/>
                <w:color w:val="000000"/>
                <w:sz w:val="14"/>
                <w:szCs w:val="14"/>
              </w:rPr>
              <w:t>9,810 </w:t>
            </w:r>
          </w:p>
        </w:tc>
        <w:tc>
          <w:tcPr>
            <w:tcW w:w="0" w:type="auto"/>
            <w:shd w:val="clear" w:color="auto" w:fill="FFFFFF"/>
            <w:tcMar>
              <w:top w:w="40" w:type="dxa"/>
              <w:left w:w="0" w:type="dxa"/>
              <w:bottom w:w="40" w:type="dxa"/>
              <w:right w:w="20" w:type="dxa"/>
            </w:tcMar>
            <w:vAlign w:val="bottom"/>
          </w:tcPr>
          <w:p w14:paraId="74DD78E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8E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8E4" w14:textId="77777777" w:rsidR="00584EC1" w:rsidRDefault="00871F8D">
            <w:pPr>
              <w:jc w:val="right"/>
              <w:textAlignment w:val="bottom"/>
            </w:pPr>
            <w:r>
              <w:rPr>
                <w:rFonts w:ascii="Arial" w:eastAsia="宋体" w:hAnsi="Arial" w:cs="Arial"/>
                <w:color w:val="000000"/>
                <w:sz w:val="14"/>
                <w:szCs w:val="14"/>
              </w:rPr>
              <w:t>9,183 </w:t>
            </w:r>
          </w:p>
        </w:tc>
        <w:tc>
          <w:tcPr>
            <w:tcW w:w="0" w:type="auto"/>
            <w:shd w:val="clear" w:color="auto" w:fill="FFFFFF"/>
            <w:tcMar>
              <w:top w:w="40" w:type="dxa"/>
              <w:left w:w="0" w:type="dxa"/>
              <w:bottom w:w="40" w:type="dxa"/>
              <w:right w:w="20" w:type="dxa"/>
            </w:tcMar>
            <w:vAlign w:val="bottom"/>
          </w:tcPr>
          <w:p w14:paraId="74DD78E5" w14:textId="77777777" w:rsidR="00584EC1" w:rsidRDefault="00584EC1">
            <w:pPr>
              <w:jc w:val="right"/>
              <w:rPr>
                <w:rFonts w:ascii="宋体"/>
              </w:rPr>
            </w:pPr>
          </w:p>
        </w:tc>
        <w:tc>
          <w:tcPr>
            <w:tcW w:w="0" w:type="auto"/>
            <w:shd w:val="clear" w:color="auto" w:fill="auto"/>
            <w:vAlign w:val="bottom"/>
          </w:tcPr>
          <w:p w14:paraId="74DD78E6" w14:textId="77777777" w:rsidR="00584EC1" w:rsidRDefault="00584EC1">
            <w:pPr>
              <w:rPr>
                <w:rFonts w:ascii="宋体"/>
                <w:vanish/>
              </w:rPr>
            </w:pPr>
          </w:p>
        </w:tc>
        <w:tc>
          <w:tcPr>
            <w:tcW w:w="0" w:type="auto"/>
            <w:shd w:val="clear" w:color="auto" w:fill="auto"/>
            <w:vAlign w:val="bottom"/>
          </w:tcPr>
          <w:p w14:paraId="74DD78E7" w14:textId="77777777" w:rsidR="00584EC1" w:rsidRDefault="00584EC1">
            <w:pPr>
              <w:rPr>
                <w:rFonts w:ascii="宋体"/>
                <w:vanish/>
              </w:rPr>
            </w:pPr>
          </w:p>
        </w:tc>
        <w:tc>
          <w:tcPr>
            <w:tcW w:w="0" w:type="auto"/>
            <w:gridSpan w:val="3"/>
            <w:shd w:val="clear" w:color="auto" w:fill="auto"/>
            <w:vAlign w:val="bottom"/>
          </w:tcPr>
          <w:p w14:paraId="74DD78E8" w14:textId="77777777" w:rsidR="00584EC1" w:rsidRDefault="00584EC1">
            <w:pPr>
              <w:rPr>
                <w:rFonts w:ascii="宋体"/>
                <w:vanish/>
              </w:rPr>
            </w:pPr>
          </w:p>
        </w:tc>
        <w:tc>
          <w:tcPr>
            <w:tcW w:w="0" w:type="auto"/>
            <w:gridSpan w:val="3"/>
            <w:shd w:val="clear" w:color="auto" w:fill="auto"/>
            <w:vAlign w:val="bottom"/>
          </w:tcPr>
          <w:p w14:paraId="74DD78E9" w14:textId="77777777" w:rsidR="00584EC1" w:rsidRDefault="00584EC1">
            <w:pPr>
              <w:rPr>
                <w:rFonts w:ascii="宋体"/>
                <w:vanish/>
              </w:rPr>
            </w:pPr>
          </w:p>
        </w:tc>
        <w:tc>
          <w:tcPr>
            <w:tcW w:w="0" w:type="auto"/>
            <w:gridSpan w:val="3"/>
            <w:shd w:val="clear" w:color="auto" w:fill="auto"/>
            <w:vAlign w:val="bottom"/>
          </w:tcPr>
          <w:p w14:paraId="74DD78EA" w14:textId="77777777" w:rsidR="00584EC1" w:rsidRDefault="00584EC1">
            <w:pPr>
              <w:rPr>
                <w:rFonts w:ascii="宋体"/>
                <w:vanish/>
              </w:rPr>
            </w:pPr>
          </w:p>
        </w:tc>
        <w:tc>
          <w:tcPr>
            <w:tcW w:w="0" w:type="auto"/>
            <w:gridSpan w:val="3"/>
            <w:shd w:val="clear" w:color="auto" w:fill="auto"/>
            <w:vAlign w:val="bottom"/>
          </w:tcPr>
          <w:p w14:paraId="74DD78EB" w14:textId="77777777" w:rsidR="00584EC1" w:rsidRDefault="00584EC1">
            <w:pPr>
              <w:rPr>
                <w:rFonts w:ascii="宋体"/>
                <w:vanish/>
              </w:rPr>
            </w:pPr>
          </w:p>
        </w:tc>
        <w:tc>
          <w:tcPr>
            <w:tcW w:w="0" w:type="auto"/>
            <w:gridSpan w:val="3"/>
            <w:shd w:val="clear" w:color="auto" w:fill="auto"/>
            <w:vAlign w:val="bottom"/>
          </w:tcPr>
          <w:p w14:paraId="74DD78EC" w14:textId="77777777" w:rsidR="00584EC1" w:rsidRDefault="00584EC1">
            <w:pPr>
              <w:rPr>
                <w:rFonts w:ascii="宋体"/>
                <w:vanish/>
              </w:rPr>
            </w:pPr>
          </w:p>
        </w:tc>
        <w:tc>
          <w:tcPr>
            <w:tcW w:w="0" w:type="auto"/>
            <w:gridSpan w:val="3"/>
            <w:shd w:val="clear" w:color="auto" w:fill="auto"/>
            <w:vAlign w:val="bottom"/>
          </w:tcPr>
          <w:p w14:paraId="74DD78ED" w14:textId="77777777" w:rsidR="00584EC1" w:rsidRDefault="00584EC1">
            <w:pPr>
              <w:rPr>
                <w:rFonts w:ascii="宋体"/>
                <w:vanish/>
              </w:rPr>
            </w:pPr>
          </w:p>
        </w:tc>
        <w:tc>
          <w:tcPr>
            <w:tcW w:w="0" w:type="auto"/>
            <w:gridSpan w:val="3"/>
            <w:shd w:val="clear" w:color="auto" w:fill="auto"/>
            <w:vAlign w:val="bottom"/>
          </w:tcPr>
          <w:p w14:paraId="74DD78EE" w14:textId="77777777" w:rsidR="00584EC1" w:rsidRDefault="00584EC1">
            <w:pPr>
              <w:rPr>
                <w:rFonts w:ascii="宋体"/>
                <w:vanish/>
              </w:rPr>
            </w:pPr>
          </w:p>
        </w:tc>
        <w:tc>
          <w:tcPr>
            <w:tcW w:w="0" w:type="auto"/>
            <w:gridSpan w:val="3"/>
            <w:shd w:val="clear" w:color="auto" w:fill="auto"/>
            <w:vAlign w:val="bottom"/>
          </w:tcPr>
          <w:p w14:paraId="74DD78EF" w14:textId="77777777" w:rsidR="00584EC1" w:rsidRDefault="00584EC1">
            <w:pPr>
              <w:rPr>
                <w:rFonts w:ascii="宋体"/>
                <w:vanish/>
              </w:rPr>
            </w:pPr>
          </w:p>
        </w:tc>
      </w:tr>
      <w:tr w:rsidR="00584EC1" w14:paraId="74DD7904" w14:textId="77777777">
        <w:tc>
          <w:tcPr>
            <w:tcW w:w="0" w:type="auto"/>
            <w:gridSpan w:val="3"/>
            <w:shd w:val="clear" w:color="auto" w:fill="CCEEFF"/>
            <w:tcMar>
              <w:top w:w="40" w:type="dxa"/>
              <w:left w:w="20" w:type="dxa"/>
              <w:bottom w:w="40" w:type="dxa"/>
              <w:right w:w="20" w:type="dxa"/>
            </w:tcMar>
            <w:vAlign w:val="bottom"/>
          </w:tcPr>
          <w:p w14:paraId="74DD78F1" w14:textId="77777777" w:rsidR="00584EC1" w:rsidRDefault="00871F8D">
            <w:pPr>
              <w:textAlignment w:val="bottom"/>
            </w:pPr>
            <w:r>
              <w:rPr>
                <w:rFonts w:ascii="Arial" w:eastAsia="宋体" w:hAnsi="Arial" w:cs="Arial"/>
                <w:color w:val="000000"/>
                <w:sz w:val="14"/>
                <w:szCs w:val="14"/>
              </w:rPr>
              <w:t>Insurance and other products</w:t>
            </w:r>
          </w:p>
        </w:tc>
        <w:tc>
          <w:tcPr>
            <w:tcW w:w="0" w:type="auto"/>
            <w:gridSpan w:val="2"/>
            <w:shd w:val="clear" w:color="auto" w:fill="CCEEFF"/>
            <w:tcMar>
              <w:top w:w="40" w:type="dxa"/>
              <w:left w:w="20" w:type="dxa"/>
              <w:bottom w:w="40" w:type="dxa"/>
              <w:right w:w="0" w:type="dxa"/>
            </w:tcMar>
            <w:vAlign w:val="bottom"/>
          </w:tcPr>
          <w:p w14:paraId="74DD78F2" w14:textId="77777777" w:rsidR="00584EC1" w:rsidRDefault="00871F8D">
            <w:pPr>
              <w:jc w:val="right"/>
              <w:textAlignment w:val="bottom"/>
            </w:pPr>
            <w:r>
              <w:rPr>
                <w:rFonts w:ascii="Arial" w:eastAsia="宋体" w:hAnsi="Arial" w:cs="Arial"/>
                <w:b/>
                <w:bCs/>
                <w:color w:val="000000"/>
                <w:sz w:val="14"/>
                <w:szCs w:val="14"/>
              </w:rPr>
              <w:t>8,176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78F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8F4"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78F5" w14:textId="77777777" w:rsidR="00584EC1" w:rsidRDefault="00871F8D">
            <w:pPr>
              <w:jc w:val="right"/>
              <w:textAlignment w:val="bottom"/>
            </w:pPr>
            <w:r>
              <w:rPr>
                <w:rFonts w:ascii="Arial" w:eastAsia="宋体" w:hAnsi="Arial" w:cs="Arial"/>
                <w:color w:val="000000"/>
                <w:sz w:val="14"/>
                <w:szCs w:val="14"/>
              </w:rPr>
              <w:t>8,000 </w:t>
            </w:r>
          </w:p>
        </w:tc>
        <w:tc>
          <w:tcPr>
            <w:tcW w:w="0" w:type="auto"/>
            <w:shd w:val="clear" w:color="auto" w:fill="CCEEFF"/>
            <w:tcMar>
              <w:top w:w="40" w:type="dxa"/>
              <w:left w:w="0" w:type="dxa"/>
              <w:bottom w:w="40" w:type="dxa"/>
              <w:right w:w="20" w:type="dxa"/>
            </w:tcMar>
            <w:vAlign w:val="bottom"/>
          </w:tcPr>
          <w:p w14:paraId="74DD78F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8F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78F8" w14:textId="77777777" w:rsidR="00584EC1" w:rsidRDefault="00871F8D">
            <w:pPr>
              <w:jc w:val="right"/>
              <w:textAlignment w:val="bottom"/>
            </w:pPr>
            <w:r>
              <w:rPr>
                <w:rFonts w:ascii="Arial" w:eastAsia="宋体" w:hAnsi="Arial" w:cs="Arial"/>
                <w:color w:val="000000"/>
                <w:sz w:val="14"/>
                <w:szCs w:val="14"/>
              </w:rPr>
              <w:t>7,939 </w:t>
            </w:r>
          </w:p>
        </w:tc>
        <w:tc>
          <w:tcPr>
            <w:tcW w:w="0" w:type="auto"/>
            <w:shd w:val="clear" w:color="auto" w:fill="CCEEFF"/>
            <w:tcMar>
              <w:top w:w="40" w:type="dxa"/>
              <w:left w:w="0" w:type="dxa"/>
              <w:bottom w:w="40" w:type="dxa"/>
              <w:right w:w="20" w:type="dxa"/>
            </w:tcMar>
            <w:vAlign w:val="bottom"/>
          </w:tcPr>
          <w:p w14:paraId="74DD78F9" w14:textId="77777777" w:rsidR="00584EC1" w:rsidRDefault="00584EC1">
            <w:pPr>
              <w:jc w:val="right"/>
              <w:rPr>
                <w:rFonts w:ascii="宋体"/>
              </w:rPr>
            </w:pPr>
          </w:p>
        </w:tc>
        <w:tc>
          <w:tcPr>
            <w:tcW w:w="0" w:type="auto"/>
            <w:shd w:val="clear" w:color="auto" w:fill="auto"/>
            <w:vAlign w:val="bottom"/>
          </w:tcPr>
          <w:p w14:paraId="74DD78FA" w14:textId="77777777" w:rsidR="00584EC1" w:rsidRDefault="00584EC1">
            <w:pPr>
              <w:rPr>
                <w:rFonts w:ascii="宋体"/>
                <w:vanish/>
              </w:rPr>
            </w:pPr>
          </w:p>
        </w:tc>
        <w:tc>
          <w:tcPr>
            <w:tcW w:w="0" w:type="auto"/>
            <w:shd w:val="clear" w:color="auto" w:fill="auto"/>
            <w:vAlign w:val="bottom"/>
          </w:tcPr>
          <w:p w14:paraId="74DD78FB" w14:textId="77777777" w:rsidR="00584EC1" w:rsidRDefault="00584EC1">
            <w:pPr>
              <w:rPr>
                <w:rFonts w:ascii="宋体"/>
                <w:vanish/>
              </w:rPr>
            </w:pPr>
          </w:p>
        </w:tc>
        <w:tc>
          <w:tcPr>
            <w:tcW w:w="0" w:type="auto"/>
            <w:gridSpan w:val="3"/>
            <w:shd w:val="clear" w:color="auto" w:fill="auto"/>
            <w:vAlign w:val="bottom"/>
          </w:tcPr>
          <w:p w14:paraId="74DD78FC" w14:textId="77777777" w:rsidR="00584EC1" w:rsidRDefault="00584EC1">
            <w:pPr>
              <w:rPr>
                <w:rFonts w:ascii="宋体"/>
                <w:vanish/>
              </w:rPr>
            </w:pPr>
          </w:p>
        </w:tc>
        <w:tc>
          <w:tcPr>
            <w:tcW w:w="0" w:type="auto"/>
            <w:gridSpan w:val="3"/>
            <w:shd w:val="clear" w:color="auto" w:fill="auto"/>
            <w:vAlign w:val="bottom"/>
          </w:tcPr>
          <w:p w14:paraId="74DD78FD" w14:textId="77777777" w:rsidR="00584EC1" w:rsidRDefault="00584EC1">
            <w:pPr>
              <w:rPr>
                <w:rFonts w:ascii="宋体"/>
                <w:vanish/>
              </w:rPr>
            </w:pPr>
          </w:p>
        </w:tc>
        <w:tc>
          <w:tcPr>
            <w:tcW w:w="0" w:type="auto"/>
            <w:gridSpan w:val="3"/>
            <w:shd w:val="clear" w:color="auto" w:fill="auto"/>
            <w:vAlign w:val="bottom"/>
          </w:tcPr>
          <w:p w14:paraId="74DD78FE" w14:textId="77777777" w:rsidR="00584EC1" w:rsidRDefault="00584EC1">
            <w:pPr>
              <w:rPr>
                <w:rFonts w:ascii="宋体"/>
                <w:vanish/>
              </w:rPr>
            </w:pPr>
          </w:p>
        </w:tc>
        <w:tc>
          <w:tcPr>
            <w:tcW w:w="0" w:type="auto"/>
            <w:gridSpan w:val="3"/>
            <w:shd w:val="clear" w:color="auto" w:fill="auto"/>
            <w:vAlign w:val="bottom"/>
          </w:tcPr>
          <w:p w14:paraId="74DD78FF" w14:textId="77777777" w:rsidR="00584EC1" w:rsidRDefault="00584EC1">
            <w:pPr>
              <w:rPr>
                <w:rFonts w:ascii="宋体"/>
                <w:vanish/>
              </w:rPr>
            </w:pPr>
          </w:p>
        </w:tc>
        <w:tc>
          <w:tcPr>
            <w:tcW w:w="0" w:type="auto"/>
            <w:gridSpan w:val="3"/>
            <w:shd w:val="clear" w:color="auto" w:fill="auto"/>
            <w:vAlign w:val="bottom"/>
          </w:tcPr>
          <w:p w14:paraId="74DD7900" w14:textId="77777777" w:rsidR="00584EC1" w:rsidRDefault="00584EC1">
            <w:pPr>
              <w:rPr>
                <w:rFonts w:ascii="宋体"/>
                <w:vanish/>
              </w:rPr>
            </w:pPr>
          </w:p>
        </w:tc>
        <w:tc>
          <w:tcPr>
            <w:tcW w:w="0" w:type="auto"/>
            <w:gridSpan w:val="3"/>
            <w:shd w:val="clear" w:color="auto" w:fill="auto"/>
            <w:vAlign w:val="bottom"/>
          </w:tcPr>
          <w:p w14:paraId="74DD7901" w14:textId="77777777" w:rsidR="00584EC1" w:rsidRDefault="00584EC1">
            <w:pPr>
              <w:rPr>
                <w:rFonts w:ascii="宋体"/>
                <w:vanish/>
              </w:rPr>
            </w:pPr>
          </w:p>
        </w:tc>
        <w:tc>
          <w:tcPr>
            <w:tcW w:w="0" w:type="auto"/>
            <w:gridSpan w:val="3"/>
            <w:shd w:val="clear" w:color="auto" w:fill="auto"/>
            <w:vAlign w:val="bottom"/>
          </w:tcPr>
          <w:p w14:paraId="74DD7902" w14:textId="77777777" w:rsidR="00584EC1" w:rsidRDefault="00584EC1">
            <w:pPr>
              <w:rPr>
                <w:rFonts w:ascii="宋体"/>
                <w:vanish/>
              </w:rPr>
            </w:pPr>
          </w:p>
        </w:tc>
        <w:tc>
          <w:tcPr>
            <w:tcW w:w="0" w:type="auto"/>
            <w:gridSpan w:val="3"/>
            <w:shd w:val="clear" w:color="auto" w:fill="auto"/>
            <w:vAlign w:val="bottom"/>
          </w:tcPr>
          <w:p w14:paraId="74DD7903" w14:textId="77777777" w:rsidR="00584EC1" w:rsidRDefault="00584EC1">
            <w:pPr>
              <w:rPr>
                <w:rFonts w:ascii="宋体"/>
                <w:vanish/>
              </w:rPr>
            </w:pPr>
          </w:p>
        </w:tc>
      </w:tr>
      <w:tr w:rsidR="00584EC1" w14:paraId="74DD7918" w14:textId="77777777">
        <w:tc>
          <w:tcPr>
            <w:tcW w:w="0" w:type="auto"/>
            <w:gridSpan w:val="3"/>
            <w:shd w:val="clear" w:color="auto" w:fill="FFFFFF"/>
            <w:tcMar>
              <w:top w:w="40" w:type="dxa"/>
              <w:left w:w="20" w:type="dxa"/>
              <w:bottom w:w="40" w:type="dxa"/>
              <w:right w:w="20" w:type="dxa"/>
            </w:tcMar>
            <w:vAlign w:val="bottom"/>
          </w:tcPr>
          <w:p w14:paraId="74DD7905" w14:textId="77777777" w:rsidR="00584EC1" w:rsidRDefault="00871F8D">
            <w:pPr>
              <w:textAlignment w:val="bottom"/>
            </w:pPr>
            <w:r>
              <w:rPr>
                <w:rFonts w:ascii="Arial" w:eastAsia="宋体" w:hAnsi="Arial" w:cs="Arial"/>
                <w:color w:val="000000"/>
                <w:sz w:val="14"/>
                <w:szCs w:val="14"/>
              </w:rPr>
              <w:t>Pension products</w:t>
            </w:r>
          </w:p>
        </w:tc>
        <w:tc>
          <w:tcPr>
            <w:tcW w:w="0" w:type="auto"/>
            <w:gridSpan w:val="2"/>
            <w:shd w:val="clear" w:color="auto" w:fill="FFFFFF"/>
            <w:tcMar>
              <w:top w:w="40" w:type="dxa"/>
              <w:left w:w="20" w:type="dxa"/>
              <w:bottom w:w="40" w:type="dxa"/>
              <w:right w:w="0" w:type="dxa"/>
            </w:tcMar>
            <w:vAlign w:val="bottom"/>
          </w:tcPr>
          <w:p w14:paraId="74DD7906" w14:textId="77777777" w:rsidR="00584EC1" w:rsidRDefault="00871F8D">
            <w:pPr>
              <w:jc w:val="right"/>
              <w:textAlignment w:val="bottom"/>
            </w:pPr>
            <w:r>
              <w:rPr>
                <w:rFonts w:ascii="Arial" w:eastAsia="宋体" w:hAnsi="Arial" w:cs="Arial"/>
                <w:b/>
                <w:bCs/>
                <w:color w:val="000000"/>
                <w:sz w:val="14"/>
                <w:szCs w:val="14"/>
              </w:rPr>
              <w:t>8,497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790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908"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909" w14:textId="77777777" w:rsidR="00584EC1" w:rsidRDefault="00871F8D">
            <w:pPr>
              <w:jc w:val="right"/>
              <w:textAlignment w:val="bottom"/>
            </w:pPr>
            <w:r>
              <w:rPr>
                <w:rFonts w:ascii="Arial" w:eastAsia="宋体" w:hAnsi="Arial" w:cs="Arial"/>
                <w:color w:val="000000"/>
                <w:sz w:val="14"/>
                <w:szCs w:val="14"/>
              </w:rPr>
              <w:t>7,594 </w:t>
            </w:r>
          </w:p>
        </w:tc>
        <w:tc>
          <w:tcPr>
            <w:tcW w:w="0" w:type="auto"/>
            <w:shd w:val="clear" w:color="auto" w:fill="FFFFFF"/>
            <w:tcMar>
              <w:top w:w="40" w:type="dxa"/>
              <w:left w:w="0" w:type="dxa"/>
              <w:bottom w:w="40" w:type="dxa"/>
              <w:right w:w="20" w:type="dxa"/>
            </w:tcMar>
            <w:vAlign w:val="bottom"/>
          </w:tcPr>
          <w:p w14:paraId="74DD790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90B"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90C" w14:textId="77777777" w:rsidR="00584EC1" w:rsidRDefault="00871F8D">
            <w:pPr>
              <w:jc w:val="right"/>
              <w:textAlignment w:val="bottom"/>
            </w:pPr>
            <w:r>
              <w:rPr>
                <w:rFonts w:ascii="Arial" w:eastAsia="宋体" w:hAnsi="Arial" w:cs="Arial"/>
                <w:color w:val="000000"/>
                <w:sz w:val="14"/>
                <w:szCs w:val="14"/>
              </w:rPr>
              <w:t>7,317 </w:t>
            </w:r>
          </w:p>
        </w:tc>
        <w:tc>
          <w:tcPr>
            <w:tcW w:w="0" w:type="auto"/>
            <w:shd w:val="clear" w:color="auto" w:fill="FFFFFF"/>
            <w:tcMar>
              <w:top w:w="40" w:type="dxa"/>
              <w:left w:w="0" w:type="dxa"/>
              <w:bottom w:w="40" w:type="dxa"/>
              <w:right w:w="20" w:type="dxa"/>
            </w:tcMar>
            <w:vAlign w:val="bottom"/>
          </w:tcPr>
          <w:p w14:paraId="74DD790D" w14:textId="77777777" w:rsidR="00584EC1" w:rsidRDefault="00584EC1">
            <w:pPr>
              <w:jc w:val="right"/>
              <w:rPr>
                <w:rFonts w:ascii="宋体"/>
              </w:rPr>
            </w:pPr>
          </w:p>
        </w:tc>
        <w:tc>
          <w:tcPr>
            <w:tcW w:w="0" w:type="auto"/>
            <w:shd w:val="clear" w:color="auto" w:fill="auto"/>
            <w:vAlign w:val="bottom"/>
          </w:tcPr>
          <w:p w14:paraId="74DD790E" w14:textId="77777777" w:rsidR="00584EC1" w:rsidRDefault="00584EC1">
            <w:pPr>
              <w:rPr>
                <w:rFonts w:ascii="宋体"/>
                <w:vanish/>
              </w:rPr>
            </w:pPr>
          </w:p>
        </w:tc>
        <w:tc>
          <w:tcPr>
            <w:tcW w:w="0" w:type="auto"/>
            <w:shd w:val="clear" w:color="auto" w:fill="auto"/>
            <w:vAlign w:val="bottom"/>
          </w:tcPr>
          <w:p w14:paraId="74DD790F" w14:textId="77777777" w:rsidR="00584EC1" w:rsidRDefault="00584EC1">
            <w:pPr>
              <w:rPr>
                <w:rFonts w:ascii="宋体"/>
                <w:vanish/>
              </w:rPr>
            </w:pPr>
          </w:p>
        </w:tc>
        <w:tc>
          <w:tcPr>
            <w:tcW w:w="0" w:type="auto"/>
            <w:gridSpan w:val="3"/>
            <w:shd w:val="clear" w:color="auto" w:fill="auto"/>
            <w:vAlign w:val="bottom"/>
          </w:tcPr>
          <w:p w14:paraId="74DD7910" w14:textId="77777777" w:rsidR="00584EC1" w:rsidRDefault="00584EC1">
            <w:pPr>
              <w:rPr>
                <w:rFonts w:ascii="宋体"/>
                <w:vanish/>
              </w:rPr>
            </w:pPr>
          </w:p>
        </w:tc>
        <w:tc>
          <w:tcPr>
            <w:tcW w:w="0" w:type="auto"/>
            <w:gridSpan w:val="3"/>
            <w:shd w:val="clear" w:color="auto" w:fill="auto"/>
            <w:vAlign w:val="bottom"/>
          </w:tcPr>
          <w:p w14:paraId="74DD7911" w14:textId="77777777" w:rsidR="00584EC1" w:rsidRDefault="00584EC1">
            <w:pPr>
              <w:rPr>
                <w:rFonts w:ascii="宋体"/>
                <w:vanish/>
              </w:rPr>
            </w:pPr>
          </w:p>
        </w:tc>
        <w:tc>
          <w:tcPr>
            <w:tcW w:w="0" w:type="auto"/>
            <w:gridSpan w:val="3"/>
            <w:shd w:val="clear" w:color="auto" w:fill="auto"/>
            <w:vAlign w:val="bottom"/>
          </w:tcPr>
          <w:p w14:paraId="74DD7912" w14:textId="77777777" w:rsidR="00584EC1" w:rsidRDefault="00584EC1">
            <w:pPr>
              <w:rPr>
                <w:rFonts w:ascii="宋体"/>
                <w:vanish/>
              </w:rPr>
            </w:pPr>
          </w:p>
        </w:tc>
        <w:tc>
          <w:tcPr>
            <w:tcW w:w="0" w:type="auto"/>
            <w:gridSpan w:val="3"/>
            <w:shd w:val="clear" w:color="auto" w:fill="auto"/>
            <w:vAlign w:val="bottom"/>
          </w:tcPr>
          <w:p w14:paraId="74DD7913" w14:textId="77777777" w:rsidR="00584EC1" w:rsidRDefault="00584EC1">
            <w:pPr>
              <w:rPr>
                <w:rFonts w:ascii="宋体"/>
                <w:vanish/>
              </w:rPr>
            </w:pPr>
          </w:p>
        </w:tc>
        <w:tc>
          <w:tcPr>
            <w:tcW w:w="0" w:type="auto"/>
            <w:gridSpan w:val="3"/>
            <w:shd w:val="clear" w:color="auto" w:fill="auto"/>
            <w:vAlign w:val="bottom"/>
          </w:tcPr>
          <w:p w14:paraId="74DD7914" w14:textId="77777777" w:rsidR="00584EC1" w:rsidRDefault="00584EC1">
            <w:pPr>
              <w:rPr>
                <w:rFonts w:ascii="宋体"/>
                <w:vanish/>
              </w:rPr>
            </w:pPr>
          </w:p>
        </w:tc>
        <w:tc>
          <w:tcPr>
            <w:tcW w:w="0" w:type="auto"/>
            <w:gridSpan w:val="3"/>
            <w:shd w:val="clear" w:color="auto" w:fill="auto"/>
            <w:vAlign w:val="bottom"/>
          </w:tcPr>
          <w:p w14:paraId="74DD7915" w14:textId="77777777" w:rsidR="00584EC1" w:rsidRDefault="00584EC1">
            <w:pPr>
              <w:rPr>
                <w:rFonts w:ascii="宋体"/>
                <w:vanish/>
              </w:rPr>
            </w:pPr>
          </w:p>
        </w:tc>
        <w:tc>
          <w:tcPr>
            <w:tcW w:w="0" w:type="auto"/>
            <w:gridSpan w:val="3"/>
            <w:shd w:val="clear" w:color="auto" w:fill="auto"/>
            <w:vAlign w:val="bottom"/>
          </w:tcPr>
          <w:p w14:paraId="74DD7916" w14:textId="77777777" w:rsidR="00584EC1" w:rsidRDefault="00584EC1">
            <w:pPr>
              <w:rPr>
                <w:rFonts w:ascii="宋体"/>
                <w:vanish/>
              </w:rPr>
            </w:pPr>
          </w:p>
        </w:tc>
        <w:tc>
          <w:tcPr>
            <w:tcW w:w="0" w:type="auto"/>
            <w:gridSpan w:val="3"/>
            <w:shd w:val="clear" w:color="auto" w:fill="auto"/>
            <w:vAlign w:val="bottom"/>
          </w:tcPr>
          <w:p w14:paraId="74DD7917" w14:textId="77777777" w:rsidR="00584EC1" w:rsidRDefault="00584EC1">
            <w:pPr>
              <w:rPr>
                <w:rFonts w:ascii="宋体"/>
                <w:vanish/>
              </w:rPr>
            </w:pPr>
          </w:p>
        </w:tc>
      </w:tr>
      <w:tr w:rsidR="00584EC1" w14:paraId="74DD792F" w14:textId="77777777">
        <w:tc>
          <w:tcPr>
            <w:tcW w:w="0" w:type="auto"/>
            <w:gridSpan w:val="3"/>
            <w:shd w:val="clear" w:color="auto" w:fill="CCEEFF"/>
            <w:tcMar>
              <w:top w:w="40" w:type="dxa"/>
              <w:left w:w="20" w:type="dxa"/>
              <w:bottom w:w="40" w:type="dxa"/>
              <w:right w:w="20" w:type="dxa"/>
            </w:tcMar>
            <w:vAlign w:val="bottom"/>
          </w:tcPr>
          <w:p w14:paraId="74DD7919" w14:textId="77777777" w:rsidR="00584EC1" w:rsidRDefault="00871F8D">
            <w:pPr>
              <w:textAlignment w:val="bottom"/>
            </w:pPr>
            <w:r>
              <w:rPr>
                <w:rFonts w:ascii="Arial" w:eastAsia="宋体" w:hAnsi="Arial" w:cs="Arial"/>
                <w:b/>
                <w:bCs/>
                <w:color w:val="000000"/>
                <w:sz w:val="14"/>
                <w:szCs w:val="14"/>
              </w:rPr>
              <w:t xml:space="preserve">Total </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791A"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791B" w14:textId="77777777" w:rsidR="00584EC1" w:rsidRDefault="00871F8D">
            <w:pPr>
              <w:jc w:val="right"/>
              <w:textAlignment w:val="bottom"/>
            </w:pPr>
            <w:r>
              <w:rPr>
                <w:rFonts w:ascii="Arial" w:eastAsia="宋体" w:hAnsi="Arial" w:cs="Arial"/>
                <w:b/>
                <w:bCs/>
                <w:color w:val="000000"/>
                <w:sz w:val="14"/>
                <w:szCs w:val="14"/>
              </w:rPr>
              <w:t>43,337</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791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91D"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791E"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791F" w14:textId="77777777" w:rsidR="00584EC1" w:rsidRDefault="00871F8D">
            <w:pPr>
              <w:jc w:val="right"/>
              <w:textAlignment w:val="bottom"/>
            </w:pPr>
            <w:r>
              <w:rPr>
                <w:rFonts w:ascii="Arial" w:eastAsia="宋体" w:hAnsi="Arial" w:cs="Arial"/>
                <w:color w:val="000000"/>
                <w:sz w:val="14"/>
                <w:szCs w:val="14"/>
              </w:rPr>
              <w:t>38,791 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792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921"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7922"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7923" w14:textId="77777777" w:rsidR="00584EC1" w:rsidRDefault="00871F8D">
            <w:pPr>
              <w:jc w:val="right"/>
              <w:textAlignment w:val="bottom"/>
            </w:pPr>
            <w:r>
              <w:rPr>
                <w:rFonts w:ascii="Arial" w:eastAsia="宋体" w:hAnsi="Arial" w:cs="Arial"/>
                <w:color w:val="000000"/>
                <w:sz w:val="14"/>
                <w:szCs w:val="14"/>
              </w:rPr>
              <w:t>36,643 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7924" w14:textId="77777777" w:rsidR="00584EC1" w:rsidRDefault="00584EC1">
            <w:pPr>
              <w:jc w:val="right"/>
              <w:rPr>
                <w:rFonts w:ascii="宋体"/>
              </w:rPr>
            </w:pPr>
          </w:p>
        </w:tc>
        <w:tc>
          <w:tcPr>
            <w:tcW w:w="0" w:type="auto"/>
            <w:shd w:val="clear" w:color="auto" w:fill="auto"/>
            <w:vAlign w:val="bottom"/>
          </w:tcPr>
          <w:p w14:paraId="74DD7925" w14:textId="77777777" w:rsidR="00584EC1" w:rsidRDefault="00584EC1">
            <w:pPr>
              <w:rPr>
                <w:rFonts w:ascii="宋体"/>
                <w:vanish/>
              </w:rPr>
            </w:pPr>
          </w:p>
        </w:tc>
        <w:tc>
          <w:tcPr>
            <w:tcW w:w="0" w:type="auto"/>
            <w:shd w:val="clear" w:color="auto" w:fill="auto"/>
            <w:vAlign w:val="bottom"/>
          </w:tcPr>
          <w:p w14:paraId="74DD7926" w14:textId="77777777" w:rsidR="00584EC1" w:rsidRDefault="00584EC1">
            <w:pPr>
              <w:rPr>
                <w:rFonts w:ascii="宋体"/>
                <w:vanish/>
              </w:rPr>
            </w:pPr>
          </w:p>
        </w:tc>
        <w:tc>
          <w:tcPr>
            <w:tcW w:w="0" w:type="auto"/>
            <w:gridSpan w:val="3"/>
            <w:shd w:val="clear" w:color="auto" w:fill="auto"/>
            <w:vAlign w:val="bottom"/>
          </w:tcPr>
          <w:p w14:paraId="74DD7927" w14:textId="77777777" w:rsidR="00584EC1" w:rsidRDefault="00584EC1">
            <w:pPr>
              <w:rPr>
                <w:rFonts w:ascii="宋体"/>
                <w:vanish/>
              </w:rPr>
            </w:pPr>
          </w:p>
        </w:tc>
        <w:tc>
          <w:tcPr>
            <w:tcW w:w="0" w:type="auto"/>
            <w:gridSpan w:val="3"/>
            <w:shd w:val="clear" w:color="auto" w:fill="auto"/>
            <w:vAlign w:val="bottom"/>
          </w:tcPr>
          <w:p w14:paraId="74DD7928" w14:textId="77777777" w:rsidR="00584EC1" w:rsidRDefault="00584EC1">
            <w:pPr>
              <w:rPr>
                <w:rFonts w:ascii="宋体"/>
                <w:vanish/>
              </w:rPr>
            </w:pPr>
          </w:p>
        </w:tc>
        <w:tc>
          <w:tcPr>
            <w:tcW w:w="0" w:type="auto"/>
            <w:gridSpan w:val="3"/>
            <w:shd w:val="clear" w:color="auto" w:fill="auto"/>
            <w:vAlign w:val="bottom"/>
          </w:tcPr>
          <w:p w14:paraId="74DD7929" w14:textId="77777777" w:rsidR="00584EC1" w:rsidRDefault="00584EC1">
            <w:pPr>
              <w:rPr>
                <w:rFonts w:ascii="宋体"/>
                <w:vanish/>
              </w:rPr>
            </w:pPr>
          </w:p>
        </w:tc>
        <w:tc>
          <w:tcPr>
            <w:tcW w:w="0" w:type="auto"/>
            <w:gridSpan w:val="3"/>
            <w:shd w:val="clear" w:color="auto" w:fill="auto"/>
            <w:vAlign w:val="bottom"/>
          </w:tcPr>
          <w:p w14:paraId="74DD792A" w14:textId="77777777" w:rsidR="00584EC1" w:rsidRDefault="00584EC1">
            <w:pPr>
              <w:rPr>
                <w:rFonts w:ascii="宋体"/>
                <w:vanish/>
              </w:rPr>
            </w:pPr>
          </w:p>
        </w:tc>
        <w:tc>
          <w:tcPr>
            <w:tcW w:w="0" w:type="auto"/>
            <w:gridSpan w:val="3"/>
            <w:shd w:val="clear" w:color="auto" w:fill="auto"/>
            <w:vAlign w:val="bottom"/>
          </w:tcPr>
          <w:p w14:paraId="74DD792B" w14:textId="77777777" w:rsidR="00584EC1" w:rsidRDefault="00584EC1">
            <w:pPr>
              <w:rPr>
                <w:rFonts w:ascii="宋体"/>
                <w:vanish/>
              </w:rPr>
            </w:pPr>
          </w:p>
        </w:tc>
        <w:tc>
          <w:tcPr>
            <w:tcW w:w="0" w:type="auto"/>
            <w:gridSpan w:val="3"/>
            <w:shd w:val="clear" w:color="auto" w:fill="auto"/>
            <w:vAlign w:val="bottom"/>
          </w:tcPr>
          <w:p w14:paraId="74DD792C" w14:textId="77777777" w:rsidR="00584EC1" w:rsidRDefault="00584EC1">
            <w:pPr>
              <w:rPr>
                <w:rFonts w:ascii="宋体"/>
                <w:vanish/>
              </w:rPr>
            </w:pPr>
          </w:p>
        </w:tc>
        <w:tc>
          <w:tcPr>
            <w:tcW w:w="0" w:type="auto"/>
            <w:gridSpan w:val="3"/>
            <w:shd w:val="clear" w:color="auto" w:fill="auto"/>
            <w:vAlign w:val="bottom"/>
          </w:tcPr>
          <w:p w14:paraId="74DD792D" w14:textId="77777777" w:rsidR="00584EC1" w:rsidRDefault="00584EC1">
            <w:pPr>
              <w:rPr>
                <w:rFonts w:ascii="宋体"/>
                <w:vanish/>
              </w:rPr>
            </w:pPr>
          </w:p>
        </w:tc>
        <w:tc>
          <w:tcPr>
            <w:tcW w:w="0" w:type="auto"/>
            <w:gridSpan w:val="3"/>
            <w:shd w:val="clear" w:color="auto" w:fill="auto"/>
            <w:vAlign w:val="bottom"/>
          </w:tcPr>
          <w:p w14:paraId="74DD792E" w14:textId="77777777" w:rsidR="00584EC1" w:rsidRDefault="00584EC1">
            <w:pPr>
              <w:rPr>
                <w:rFonts w:ascii="宋体"/>
                <w:vanish/>
              </w:rPr>
            </w:pPr>
          </w:p>
        </w:tc>
      </w:tr>
    </w:tbl>
    <w:p w14:paraId="74DD7930" w14:textId="77777777" w:rsidR="00584EC1" w:rsidRDefault="00584E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2818"/>
        <w:gridCol w:w="36"/>
        <w:gridCol w:w="99"/>
        <w:gridCol w:w="1252"/>
        <w:gridCol w:w="37"/>
        <w:gridCol w:w="36"/>
        <w:gridCol w:w="36"/>
        <w:gridCol w:w="36"/>
        <w:gridCol w:w="99"/>
        <w:gridCol w:w="1208"/>
        <w:gridCol w:w="37"/>
        <w:gridCol w:w="36"/>
        <w:gridCol w:w="36"/>
        <w:gridCol w:w="36"/>
        <w:gridCol w:w="99"/>
        <w:gridCol w:w="1208"/>
        <w:gridCol w:w="37"/>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584EC1" w14:paraId="74DD794F" w14:textId="77777777">
        <w:tc>
          <w:tcPr>
            <w:tcW w:w="50" w:type="pct"/>
            <w:shd w:val="clear" w:color="auto" w:fill="auto"/>
            <w:vAlign w:val="bottom"/>
          </w:tcPr>
          <w:p w14:paraId="74DD7931" w14:textId="77777777" w:rsidR="00584EC1" w:rsidRDefault="00584EC1">
            <w:pPr>
              <w:rPr>
                <w:rFonts w:ascii="宋体"/>
              </w:rPr>
            </w:pPr>
          </w:p>
        </w:tc>
        <w:tc>
          <w:tcPr>
            <w:tcW w:w="1999" w:type="pct"/>
            <w:shd w:val="clear" w:color="auto" w:fill="auto"/>
            <w:vAlign w:val="bottom"/>
          </w:tcPr>
          <w:p w14:paraId="74DD7932" w14:textId="77777777" w:rsidR="00584EC1" w:rsidRDefault="00584EC1">
            <w:pPr>
              <w:rPr>
                <w:rFonts w:ascii="宋体"/>
              </w:rPr>
            </w:pPr>
          </w:p>
        </w:tc>
        <w:tc>
          <w:tcPr>
            <w:tcW w:w="5" w:type="pct"/>
            <w:shd w:val="clear" w:color="auto" w:fill="auto"/>
            <w:vAlign w:val="bottom"/>
          </w:tcPr>
          <w:p w14:paraId="74DD7933" w14:textId="77777777" w:rsidR="00584EC1" w:rsidRDefault="00584EC1">
            <w:pPr>
              <w:rPr>
                <w:rFonts w:ascii="宋体"/>
              </w:rPr>
            </w:pPr>
          </w:p>
        </w:tc>
        <w:tc>
          <w:tcPr>
            <w:tcW w:w="50" w:type="pct"/>
            <w:shd w:val="clear" w:color="auto" w:fill="auto"/>
            <w:vAlign w:val="bottom"/>
          </w:tcPr>
          <w:p w14:paraId="74DD7934" w14:textId="77777777" w:rsidR="00584EC1" w:rsidRDefault="00584EC1">
            <w:pPr>
              <w:rPr>
                <w:rFonts w:ascii="宋体"/>
              </w:rPr>
            </w:pPr>
          </w:p>
        </w:tc>
        <w:tc>
          <w:tcPr>
            <w:tcW w:w="902" w:type="pct"/>
            <w:shd w:val="clear" w:color="auto" w:fill="auto"/>
            <w:vAlign w:val="bottom"/>
          </w:tcPr>
          <w:p w14:paraId="74DD7935" w14:textId="77777777" w:rsidR="00584EC1" w:rsidRDefault="00584EC1">
            <w:pPr>
              <w:rPr>
                <w:rFonts w:ascii="宋体"/>
              </w:rPr>
            </w:pPr>
          </w:p>
        </w:tc>
        <w:tc>
          <w:tcPr>
            <w:tcW w:w="5" w:type="pct"/>
            <w:shd w:val="clear" w:color="auto" w:fill="auto"/>
            <w:vAlign w:val="bottom"/>
          </w:tcPr>
          <w:p w14:paraId="74DD7936" w14:textId="77777777" w:rsidR="00584EC1" w:rsidRDefault="00584EC1">
            <w:pPr>
              <w:rPr>
                <w:rFonts w:ascii="宋体"/>
              </w:rPr>
            </w:pPr>
          </w:p>
        </w:tc>
        <w:tc>
          <w:tcPr>
            <w:tcW w:w="5" w:type="pct"/>
            <w:shd w:val="clear" w:color="auto" w:fill="auto"/>
            <w:vAlign w:val="bottom"/>
          </w:tcPr>
          <w:p w14:paraId="74DD7937" w14:textId="77777777" w:rsidR="00584EC1" w:rsidRDefault="00584EC1">
            <w:pPr>
              <w:rPr>
                <w:rFonts w:ascii="宋体"/>
              </w:rPr>
            </w:pPr>
          </w:p>
        </w:tc>
        <w:tc>
          <w:tcPr>
            <w:tcW w:w="26" w:type="pct"/>
            <w:shd w:val="clear" w:color="auto" w:fill="auto"/>
            <w:vAlign w:val="bottom"/>
          </w:tcPr>
          <w:p w14:paraId="74DD7938" w14:textId="77777777" w:rsidR="00584EC1" w:rsidRDefault="00584EC1">
            <w:pPr>
              <w:rPr>
                <w:rFonts w:ascii="宋体"/>
              </w:rPr>
            </w:pPr>
          </w:p>
        </w:tc>
        <w:tc>
          <w:tcPr>
            <w:tcW w:w="5" w:type="pct"/>
            <w:shd w:val="clear" w:color="auto" w:fill="auto"/>
            <w:vAlign w:val="bottom"/>
          </w:tcPr>
          <w:p w14:paraId="74DD7939" w14:textId="77777777" w:rsidR="00584EC1" w:rsidRDefault="00584EC1">
            <w:pPr>
              <w:rPr>
                <w:rFonts w:ascii="宋体"/>
              </w:rPr>
            </w:pPr>
          </w:p>
        </w:tc>
        <w:tc>
          <w:tcPr>
            <w:tcW w:w="50" w:type="pct"/>
            <w:shd w:val="clear" w:color="auto" w:fill="auto"/>
            <w:vAlign w:val="bottom"/>
          </w:tcPr>
          <w:p w14:paraId="74DD793A" w14:textId="77777777" w:rsidR="00584EC1" w:rsidRDefault="00584EC1">
            <w:pPr>
              <w:rPr>
                <w:rFonts w:ascii="宋体"/>
              </w:rPr>
            </w:pPr>
          </w:p>
        </w:tc>
        <w:tc>
          <w:tcPr>
            <w:tcW w:w="902" w:type="pct"/>
            <w:shd w:val="clear" w:color="auto" w:fill="auto"/>
            <w:vAlign w:val="bottom"/>
          </w:tcPr>
          <w:p w14:paraId="74DD793B" w14:textId="77777777" w:rsidR="00584EC1" w:rsidRDefault="00584EC1">
            <w:pPr>
              <w:rPr>
                <w:rFonts w:ascii="宋体"/>
              </w:rPr>
            </w:pPr>
          </w:p>
        </w:tc>
        <w:tc>
          <w:tcPr>
            <w:tcW w:w="5" w:type="pct"/>
            <w:shd w:val="clear" w:color="auto" w:fill="auto"/>
            <w:vAlign w:val="bottom"/>
          </w:tcPr>
          <w:p w14:paraId="74DD793C" w14:textId="77777777" w:rsidR="00584EC1" w:rsidRDefault="00584EC1">
            <w:pPr>
              <w:rPr>
                <w:rFonts w:ascii="宋体"/>
              </w:rPr>
            </w:pPr>
          </w:p>
        </w:tc>
        <w:tc>
          <w:tcPr>
            <w:tcW w:w="5" w:type="pct"/>
            <w:shd w:val="clear" w:color="auto" w:fill="auto"/>
            <w:vAlign w:val="bottom"/>
          </w:tcPr>
          <w:p w14:paraId="74DD793D" w14:textId="77777777" w:rsidR="00584EC1" w:rsidRDefault="00584EC1">
            <w:pPr>
              <w:rPr>
                <w:rFonts w:ascii="宋体"/>
              </w:rPr>
            </w:pPr>
          </w:p>
        </w:tc>
        <w:tc>
          <w:tcPr>
            <w:tcW w:w="26" w:type="pct"/>
            <w:shd w:val="clear" w:color="auto" w:fill="auto"/>
            <w:vAlign w:val="bottom"/>
          </w:tcPr>
          <w:p w14:paraId="74DD793E" w14:textId="77777777" w:rsidR="00584EC1" w:rsidRDefault="00584EC1">
            <w:pPr>
              <w:rPr>
                <w:rFonts w:ascii="宋体"/>
              </w:rPr>
            </w:pPr>
          </w:p>
        </w:tc>
        <w:tc>
          <w:tcPr>
            <w:tcW w:w="5" w:type="pct"/>
            <w:shd w:val="clear" w:color="auto" w:fill="auto"/>
            <w:vAlign w:val="bottom"/>
          </w:tcPr>
          <w:p w14:paraId="74DD793F" w14:textId="77777777" w:rsidR="00584EC1" w:rsidRDefault="00584EC1">
            <w:pPr>
              <w:rPr>
                <w:rFonts w:ascii="宋体"/>
              </w:rPr>
            </w:pPr>
          </w:p>
        </w:tc>
        <w:tc>
          <w:tcPr>
            <w:tcW w:w="50" w:type="pct"/>
            <w:shd w:val="clear" w:color="auto" w:fill="auto"/>
            <w:vAlign w:val="bottom"/>
          </w:tcPr>
          <w:p w14:paraId="74DD7940" w14:textId="77777777" w:rsidR="00584EC1" w:rsidRDefault="00584EC1">
            <w:pPr>
              <w:rPr>
                <w:rFonts w:ascii="宋体"/>
              </w:rPr>
            </w:pPr>
          </w:p>
        </w:tc>
        <w:tc>
          <w:tcPr>
            <w:tcW w:w="902" w:type="pct"/>
            <w:shd w:val="clear" w:color="auto" w:fill="auto"/>
            <w:vAlign w:val="bottom"/>
          </w:tcPr>
          <w:p w14:paraId="74DD7941" w14:textId="77777777" w:rsidR="00584EC1" w:rsidRDefault="00584EC1">
            <w:pPr>
              <w:rPr>
                <w:rFonts w:ascii="宋体"/>
              </w:rPr>
            </w:pPr>
          </w:p>
        </w:tc>
        <w:tc>
          <w:tcPr>
            <w:tcW w:w="5" w:type="pct"/>
            <w:shd w:val="clear" w:color="auto" w:fill="auto"/>
            <w:vAlign w:val="bottom"/>
          </w:tcPr>
          <w:p w14:paraId="74DD7942" w14:textId="77777777" w:rsidR="00584EC1" w:rsidRDefault="00584EC1">
            <w:pPr>
              <w:rPr>
                <w:rFonts w:ascii="宋体"/>
              </w:rPr>
            </w:pPr>
          </w:p>
        </w:tc>
        <w:tc>
          <w:tcPr>
            <w:tcW w:w="0" w:type="auto"/>
            <w:shd w:val="clear" w:color="auto" w:fill="auto"/>
            <w:vAlign w:val="bottom"/>
          </w:tcPr>
          <w:p w14:paraId="74DD7943" w14:textId="77777777" w:rsidR="00584EC1" w:rsidRDefault="00584EC1">
            <w:pPr>
              <w:rPr>
                <w:rFonts w:ascii="宋体"/>
                <w:vanish/>
              </w:rPr>
            </w:pPr>
          </w:p>
        </w:tc>
        <w:tc>
          <w:tcPr>
            <w:tcW w:w="0" w:type="auto"/>
            <w:shd w:val="clear" w:color="auto" w:fill="auto"/>
            <w:vAlign w:val="bottom"/>
          </w:tcPr>
          <w:p w14:paraId="74DD7944" w14:textId="77777777" w:rsidR="00584EC1" w:rsidRDefault="00584EC1">
            <w:pPr>
              <w:rPr>
                <w:rFonts w:ascii="宋体"/>
                <w:vanish/>
              </w:rPr>
            </w:pPr>
          </w:p>
        </w:tc>
        <w:tc>
          <w:tcPr>
            <w:tcW w:w="0" w:type="auto"/>
            <w:gridSpan w:val="3"/>
            <w:shd w:val="clear" w:color="auto" w:fill="auto"/>
            <w:vAlign w:val="bottom"/>
          </w:tcPr>
          <w:p w14:paraId="74DD7945" w14:textId="77777777" w:rsidR="00584EC1" w:rsidRDefault="00584EC1">
            <w:pPr>
              <w:rPr>
                <w:rFonts w:ascii="宋体"/>
                <w:vanish/>
              </w:rPr>
            </w:pPr>
          </w:p>
        </w:tc>
        <w:tc>
          <w:tcPr>
            <w:tcW w:w="0" w:type="auto"/>
            <w:gridSpan w:val="3"/>
            <w:shd w:val="clear" w:color="auto" w:fill="auto"/>
            <w:vAlign w:val="bottom"/>
          </w:tcPr>
          <w:p w14:paraId="74DD7946" w14:textId="77777777" w:rsidR="00584EC1" w:rsidRDefault="00584EC1">
            <w:pPr>
              <w:rPr>
                <w:rFonts w:ascii="宋体"/>
                <w:vanish/>
              </w:rPr>
            </w:pPr>
          </w:p>
        </w:tc>
        <w:tc>
          <w:tcPr>
            <w:tcW w:w="0" w:type="auto"/>
            <w:gridSpan w:val="3"/>
            <w:shd w:val="clear" w:color="auto" w:fill="auto"/>
            <w:vAlign w:val="bottom"/>
          </w:tcPr>
          <w:p w14:paraId="74DD7947" w14:textId="77777777" w:rsidR="00584EC1" w:rsidRDefault="00584EC1">
            <w:pPr>
              <w:rPr>
                <w:rFonts w:ascii="宋体"/>
                <w:vanish/>
              </w:rPr>
            </w:pPr>
          </w:p>
        </w:tc>
        <w:tc>
          <w:tcPr>
            <w:tcW w:w="0" w:type="auto"/>
            <w:gridSpan w:val="3"/>
            <w:shd w:val="clear" w:color="auto" w:fill="auto"/>
            <w:vAlign w:val="bottom"/>
          </w:tcPr>
          <w:p w14:paraId="74DD7948" w14:textId="77777777" w:rsidR="00584EC1" w:rsidRDefault="00584EC1">
            <w:pPr>
              <w:rPr>
                <w:rFonts w:ascii="宋体"/>
                <w:vanish/>
              </w:rPr>
            </w:pPr>
          </w:p>
        </w:tc>
        <w:tc>
          <w:tcPr>
            <w:tcW w:w="0" w:type="auto"/>
            <w:gridSpan w:val="3"/>
            <w:shd w:val="clear" w:color="auto" w:fill="auto"/>
            <w:vAlign w:val="bottom"/>
          </w:tcPr>
          <w:p w14:paraId="74DD7949" w14:textId="77777777" w:rsidR="00584EC1" w:rsidRDefault="00584EC1">
            <w:pPr>
              <w:rPr>
                <w:rFonts w:ascii="宋体"/>
                <w:vanish/>
              </w:rPr>
            </w:pPr>
          </w:p>
        </w:tc>
        <w:tc>
          <w:tcPr>
            <w:tcW w:w="0" w:type="auto"/>
            <w:gridSpan w:val="3"/>
            <w:shd w:val="clear" w:color="auto" w:fill="auto"/>
            <w:vAlign w:val="bottom"/>
          </w:tcPr>
          <w:p w14:paraId="74DD794A" w14:textId="77777777" w:rsidR="00584EC1" w:rsidRDefault="00584EC1">
            <w:pPr>
              <w:rPr>
                <w:rFonts w:ascii="宋体"/>
                <w:vanish/>
              </w:rPr>
            </w:pPr>
          </w:p>
        </w:tc>
        <w:tc>
          <w:tcPr>
            <w:tcW w:w="0" w:type="auto"/>
            <w:gridSpan w:val="3"/>
            <w:shd w:val="clear" w:color="auto" w:fill="auto"/>
            <w:vAlign w:val="bottom"/>
          </w:tcPr>
          <w:p w14:paraId="74DD794B" w14:textId="77777777" w:rsidR="00584EC1" w:rsidRDefault="00584EC1">
            <w:pPr>
              <w:rPr>
                <w:rFonts w:ascii="宋体"/>
                <w:vanish/>
              </w:rPr>
            </w:pPr>
          </w:p>
        </w:tc>
        <w:tc>
          <w:tcPr>
            <w:tcW w:w="0" w:type="auto"/>
            <w:gridSpan w:val="3"/>
            <w:shd w:val="clear" w:color="auto" w:fill="auto"/>
            <w:vAlign w:val="bottom"/>
          </w:tcPr>
          <w:p w14:paraId="74DD794C" w14:textId="77777777" w:rsidR="00584EC1" w:rsidRDefault="00584EC1">
            <w:pPr>
              <w:rPr>
                <w:rFonts w:ascii="宋体"/>
                <w:vanish/>
              </w:rPr>
            </w:pPr>
          </w:p>
        </w:tc>
        <w:tc>
          <w:tcPr>
            <w:tcW w:w="0" w:type="auto"/>
            <w:gridSpan w:val="3"/>
            <w:shd w:val="clear" w:color="auto" w:fill="auto"/>
            <w:vAlign w:val="bottom"/>
          </w:tcPr>
          <w:p w14:paraId="74DD794D" w14:textId="77777777" w:rsidR="00584EC1" w:rsidRDefault="00584EC1">
            <w:pPr>
              <w:rPr>
                <w:rFonts w:ascii="宋体"/>
                <w:vanish/>
              </w:rPr>
            </w:pPr>
          </w:p>
        </w:tc>
        <w:tc>
          <w:tcPr>
            <w:tcW w:w="0" w:type="auto"/>
            <w:gridSpan w:val="3"/>
            <w:shd w:val="clear" w:color="auto" w:fill="auto"/>
            <w:vAlign w:val="bottom"/>
          </w:tcPr>
          <w:p w14:paraId="74DD794E" w14:textId="77777777" w:rsidR="00584EC1" w:rsidRDefault="00584EC1">
            <w:pPr>
              <w:rPr>
                <w:rFonts w:ascii="宋体"/>
                <w:vanish/>
              </w:rPr>
            </w:pPr>
          </w:p>
        </w:tc>
      </w:tr>
      <w:tr w:rsidR="00584EC1" w14:paraId="74DD7971" w14:textId="77777777">
        <w:tc>
          <w:tcPr>
            <w:tcW w:w="0" w:type="auto"/>
            <w:gridSpan w:val="18"/>
            <w:shd w:val="clear" w:color="auto" w:fill="auto"/>
            <w:tcMar>
              <w:top w:w="40" w:type="dxa"/>
              <w:left w:w="20" w:type="dxa"/>
              <w:bottom w:w="40" w:type="dxa"/>
              <w:right w:w="20" w:type="dxa"/>
            </w:tcMar>
            <w:vAlign w:val="bottom"/>
          </w:tcPr>
          <w:p w14:paraId="74DD7950" w14:textId="77777777" w:rsidR="00584EC1" w:rsidRDefault="00871F8D">
            <w:pPr>
              <w:textAlignment w:val="bottom"/>
            </w:pPr>
            <w:r>
              <w:rPr>
                <w:rFonts w:ascii="Arial" w:eastAsia="宋体" w:hAnsi="Arial" w:cs="Arial"/>
                <w:b/>
                <w:bCs/>
                <w:color w:val="000000"/>
                <w:sz w:val="16"/>
                <w:szCs w:val="16"/>
              </w:rPr>
              <w:t>TABLE 12: ASSETS UNDER CUSTODY AND/OR ADMINISTRATION BY ASSET CLASS</w:t>
            </w:r>
            <w:r>
              <w:rPr>
                <w:rFonts w:ascii="Arial" w:eastAsia="宋体" w:hAnsi="Arial" w:cs="Arial"/>
                <w:b/>
                <w:bCs/>
                <w:color w:val="000000"/>
                <w:sz w:val="10"/>
                <w:szCs w:val="10"/>
              </w:rPr>
              <w:t>(2)</w:t>
            </w:r>
          </w:p>
        </w:tc>
        <w:tc>
          <w:tcPr>
            <w:tcW w:w="0" w:type="auto"/>
            <w:shd w:val="clear" w:color="auto" w:fill="auto"/>
            <w:vAlign w:val="bottom"/>
          </w:tcPr>
          <w:p w14:paraId="74DD7951" w14:textId="77777777" w:rsidR="00584EC1" w:rsidRDefault="00584EC1">
            <w:pPr>
              <w:rPr>
                <w:rFonts w:ascii="宋体"/>
                <w:vanish/>
              </w:rPr>
            </w:pPr>
          </w:p>
        </w:tc>
        <w:tc>
          <w:tcPr>
            <w:tcW w:w="0" w:type="auto"/>
            <w:shd w:val="clear" w:color="auto" w:fill="auto"/>
            <w:vAlign w:val="bottom"/>
          </w:tcPr>
          <w:p w14:paraId="74DD7952" w14:textId="77777777" w:rsidR="00584EC1" w:rsidRDefault="00584EC1">
            <w:pPr>
              <w:rPr>
                <w:rFonts w:ascii="宋体"/>
                <w:vanish/>
              </w:rPr>
            </w:pPr>
          </w:p>
        </w:tc>
        <w:tc>
          <w:tcPr>
            <w:tcW w:w="0" w:type="auto"/>
            <w:shd w:val="clear" w:color="auto" w:fill="auto"/>
            <w:vAlign w:val="bottom"/>
          </w:tcPr>
          <w:p w14:paraId="74DD7953" w14:textId="77777777" w:rsidR="00584EC1" w:rsidRDefault="00584EC1">
            <w:pPr>
              <w:rPr>
                <w:rFonts w:ascii="宋体"/>
              </w:rPr>
            </w:pPr>
          </w:p>
        </w:tc>
        <w:tc>
          <w:tcPr>
            <w:tcW w:w="0" w:type="auto"/>
            <w:shd w:val="clear" w:color="auto" w:fill="auto"/>
            <w:vAlign w:val="bottom"/>
          </w:tcPr>
          <w:p w14:paraId="74DD7954" w14:textId="77777777" w:rsidR="00584EC1" w:rsidRDefault="00584EC1">
            <w:pPr>
              <w:rPr>
                <w:rFonts w:ascii="宋体"/>
              </w:rPr>
            </w:pPr>
          </w:p>
        </w:tc>
        <w:tc>
          <w:tcPr>
            <w:tcW w:w="0" w:type="auto"/>
            <w:shd w:val="clear" w:color="auto" w:fill="auto"/>
            <w:vAlign w:val="bottom"/>
          </w:tcPr>
          <w:p w14:paraId="74DD7955" w14:textId="77777777" w:rsidR="00584EC1" w:rsidRDefault="00584EC1">
            <w:pPr>
              <w:rPr>
                <w:rFonts w:ascii="宋体"/>
              </w:rPr>
            </w:pPr>
          </w:p>
        </w:tc>
        <w:tc>
          <w:tcPr>
            <w:tcW w:w="0" w:type="auto"/>
            <w:shd w:val="clear" w:color="auto" w:fill="auto"/>
            <w:vAlign w:val="bottom"/>
          </w:tcPr>
          <w:p w14:paraId="74DD7956" w14:textId="77777777" w:rsidR="00584EC1" w:rsidRDefault="00584EC1">
            <w:pPr>
              <w:rPr>
                <w:rFonts w:ascii="宋体"/>
              </w:rPr>
            </w:pPr>
          </w:p>
        </w:tc>
        <w:tc>
          <w:tcPr>
            <w:tcW w:w="0" w:type="auto"/>
            <w:shd w:val="clear" w:color="auto" w:fill="auto"/>
            <w:vAlign w:val="bottom"/>
          </w:tcPr>
          <w:p w14:paraId="74DD7957" w14:textId="77777777" w:rsidR="00584EC1" w:rsidRDefault="00584EC1">
            <w:pPr>
              <w:rPr>
                <w:rFonts w:ascii="宋体"/>
              </w:rPr>
            </w:pPr>
          </w:p>
        </w:tc>
        <w:tc>
          <w:tcPr>
            <w:tcW w:w="0" w:type="auto"/>
            <w:shd w:val="clear" w:color="auto" w:fill="auto"/>
            <w:vAlign w:val="bottom"/>
          </w:tcPr>
          <w:p w14:paraId="74DD7958" w14:textId="77777777" w:rsidR="00584EC1" w:rsidRDefault="00584EC1">
            <w:pPr>
              <w:rPr>
                <w:rFonts w:ascii="宋体"/>
              </w:rPr>
            </w:pPr>
          </w:p>
        </w:tc>
        <w:tc>
          <w:tcPr>
            <w:tcW w:w="0" w:type="auto"/>
            <w:shd w:val="clear" w:color="auto" w:fill="auto"/>
            <w:vAlign w:val="bottom"/>
          </w:tcPr>
          <w:p w14:paraId="74DD7959" w14:textId="77777777" w:rsidR="00584EC1" w:rsidRDefault="00584EC1">
            <w:pPr>
              <w:rPr>
                <w:rFonts w:ascii="宋体"/>
              </w:rPr>
            </w:pPr>
          </w:p>
        </w:tc>
        <w:tc>
          <w:tcPr>
            <w:tcW w:w="0" w:type="auto"/>
            <w:shd w:val="clear" w:color="auto" w:fill="auto"/>
            <w:vAlign w:val="bottom"/>
          </w:tcPr>
          <w:p w14:paraId="74DD795A" w14:textId="77777777" w:rsidR="00584EC1" w:rsidRDefault="00584EC1">
            <w:pPr>
              <w:rPr>
                <w:rFonts w:ascii="宋体"/>
              </w:rPr>
            </w:pPr>
          </w:p>
        </w:tc>
        <w:tc>
          <w:tcPr>
            <w:tcW w:w="0" w:type="auto"/>
            <w:shd w:val="clear" w:color="auto" w:fill="auto"/>
            <w:vAlign w:val="bottom"/>
          </w:tcPr>
          <w:p w14:paraId="74DD795B" w14:textId="77777777" w:rsidR="00584EC1" w:rsidRDefault="00584EC1">
            <w:pPr>
              <w:rPr>
                <w:rFonts w:ascii="宋体"/>
              </w:rPr>
            </w:pPr>
          </w:p>
        </w:tc>
        <w:tc>
          <w:tcPr>
            <w:tcW w:w="0" w:type="auto"/>
            <w:shd w:val="clear" w:color="auto" w:fill="auto"/>
            <w:vAlign w:val="bottom"/>
          </w:tcPr>
          <w:p w14:paraId="74DD795C" w14:textId="77777777" w:rsidR="00584EC1" w:rsidRDefault="00584EC1">
            <w:pPr>
              <w:rPr>
                <w:rFonts w:ascii="宋体"/>
              </w:rPr>
            </w:pPr>
          </w:p>
        </w:tc>
        <w:tc>
          <w:tcPr>
            <w:tcW w:w="0" w:type="auto"/>
            <w:shd w:val="clear" w:color="auto" w:fill="auto"/>
            <w:vAlign w:val="bottom"/>
          </w:tcPr>
          <w:p w14:paraId="74DD795D" w14:textId="77777777" w:rsidR="00584EC1" w:rsidRDefault="00584EC1">
            <w:pPr>
              <w:rPr>
                <w:rFonts w:ascii="宋体"/>
              </w:rPr>
            </w:pPr>
          </w:p>
        </w:tc>
        <w:tc>
          <w:tcPr>
            <w:tcW w:w="0" w:type="auto"/>
            <w:shd w:val="clear" w:color="auto" w:fill="auto"/>
            <w:vAlign w:val="bottom"/>
          </w:tcPr>
          <w:p w14:paraId="74DD795E" w14:textId="77777777" w:rsidR="00584EC1" w:rsidRDefault="00584EC1">
            <w:pPr>
              <w:rPr>
                <w:rFonts w:ascii="宋体"/>
              </w:rPr>
            </w:pPr>
          </w:p>
        </w:tc>
        <w:tc>
          <w:tcPr>
            <w:tcW w:w="0" w:type="auto"/>
            <w:shd w:val="clear" w:color="auto" w:fill="auto"/>
            <w:vAlign w:val="bottom"/>
          </w:tcPr>
          <w:p w14:paraId="74DD795F" w14:textId="77777777" w:rsidR="00584EC1" w:rsidRDefault="00584EC1">
            <w:pPr>
              <w:rPr>
                <w:rFonts w:ascii="宋体"/>
              </w:rPr>
            </w:pPr>
          </w:p>
        </w:tc>
        <w:tc>
          <w:tcPr>
            <w:tcW w:w="0" w:type="auto"/>
            <w:shd w:val="clear" w:color="auto" w:fill="auto"/>
            <w:vAlign w:val="bottom"/>
          </w:tcPr>
          <w:p w14:paraId="74DD7960" w14:textId="77777777" w:rsidR="00584EC1" w:rsidRDefault="00584EC1">
            <w:pPr>
              <w:rPr>
                <w:rFonts w:ascii="宋体"/>
              </w:rPr>
            </w:pPr>
          </w:p>
        </w:tc>
        <w:tc>
          <w:tcPr>
            <w:tcW w:w="0" w:type="auto"/>
            <w:shd w:val="clear" w:color="auto" w:fill="auto"/>
            <w:vAlign w:val="bottom"/>
          </w:tcPr>
          <w:p w14:paraId="74DD7961" w14:textId="77777777" w:rsidR="00584EC1" w:rsidRDefault="00584EC1">
            <w:pPr>
              <w:rPr>
                <w:rFonts w:ascii="宋体"/>
              </w:rPr>
            </w:pPr>
          </w:p>
        </w:tc>
        <w:tc>
          <w:tcPr>
            <w:tcW w:w="0" w:type="auto"/>
            <w:shd w:val="clear" w:color="auto" w:fill="auto"/>
            <w:vAlign w:val="bottom"/>
          </w:tcPr>
          <w:p w14:paraId="74DD7962" w14:textId="77777777" w:rsidR="00584EC1" w:rsidRDefault="00584EC1">
            <w:pPr>
              <w:rPr>
                <w:rFonts w:ascii="宋体"/>
              </w:rPr>
            </w:pPr>
          </w:p>
        </w:tc>
        <w:tc>
          <w:tcPr>
            <w:tcW w:w="0" w:type="auto"/>
            <w:shd w:val="clear" w:color="auto" w:fill="auto"/>
            <w:vAlign w:val="bottom"/>
          </w:tcPr>
          <w:p w14:paraId="74DD7963" w14:textId="77777777" w:rsidR="00584EC1" w:rsidRDefault="00584EC1">
            <w:pPr>
              <w:rPr>
                <w:rFonts w:ascii="宋体"/>
              </w:rPr>
            </w:pPr>
          </w:p>
        </w:tc>
        <w:tc>
          <w:tcPr>
            <w:tcW w:w="0" w:type="auto"/>
            <w:shd w:val="clear" w:color="auto" w:fill="auto"/>
            <w:vAlign w:val="bottom"/>
          </w:tcPr>
          <w:p w14:paraId="74DD7964" w14:textId="77777777" w:rsidR="00584EC1" w:rsidRDefault="00584EC1">
            <w:pPr>
              <w:rPr>
                <w:rFonts w:ascii="宋体"/>
              </w:rPr>
            </w:pPr>
          </w:p>
        </w:tc>
        <w:tc>
          <w:tcPr>
            <w:tcW w:w="0" w:type="auto"/>
            <w:shd w:val="clear" w:color="auto" w:fill="auto"/>
            <w:vAlign w:val="bottom"/>
          </w:tcPr>
          <w:p w14:paraId="74DD7965" w14:textId="77777777" w:rsidR="00584EC1" w:rsidRDefault="00584EC1">
            <w:pPr>
              <w:rPr>
                <w:rFonts w:ascii="宋体"/>
              </w:rPr>
            </w:pPr>
          </w:p>
        </w:tc>
        <w:tc>
          <w:tcPr>
            <w:tcW w:w="0" w:type="auto"/>
            <w:shd w:val="clear" w:color="auto" w:fill="auto"/>
            <w:vAlign w:val="bottom"/>
          </w:tcPr>
          <w:p w14:paraId="74DD7966" w14:textId="77777777" w:rsidR="00584EC1" w:rsidRDefault="00584EC1">
            <w:pPr>
              <w:rPr>
                <w:rFonts w:ascii="宋体"/>
              </w:rPr>
            </w:pPr>
          </w:p>
        </w:tc>
        <w:tc>
          <w:tcPr>
            <w:tcW w:w="0" w:type="auto"/>
            <w:shd w:val="clear" w:color="auto" w:fill="auto"/>
            <w:vAlign w:val="bottom"/>
          </w:tcPr>
          <w:p w14:paraId="74DD7967" w14:textId="77777777" w:rsidR="00584EC1" w:rsidRDefault="00584EC1">
            <w:pPr>
              <w:rPr>
                <w:rFonts w:ascii="宋体"/>
              </w:rPr>
            </w:pPr>
          </w:p>
        </w:tc>
        <w:tc>
          <w:tcPr>
            <w:tcW w:w="0" w:type="auto"/>
            <w:shd w:val="clear" w:color="auto" w:fill="auto"/>
            <w:vAlign w:val="bottom"/>
          </w:tcPr>
          <w:p w14:paraId="74DD7968" w14:textId="77777777" w:rsidR="00584EC1" w:rsidRDefault="00584EC1">
            <w:pPr>
              <w:rPr>
                <w:rFonts w:ascii="宋体"/>
              </w:rPr>
            </w:pPr>
          </w:p>
        </w:tc>
        <w:tc>
          <w:tcPr>
            <w:tcW w:w="0" w:type="auto"/>
            <w:shd w:val="clear" w:color="auto" w:fill="auto"/>
            <w:vAlign w:val="bottom"/>
          </w:tcPr>
          <w:p w14:paraId="74DD7969" w14:textId="77777777" w:rsidR="00584EC1" w:rsidRDefault="00584EC1">
            <w:pPr>
              <w:rPr>
                <w:rFonts w:ascii="宋体"/>
              </w:rPr>
            </w:pPr>
          </w:p>
        </w:tc>
        <w:tc>
          <w:tcPr>
            <w:tcW w:w="0" w:type="auto"/>
            <w:shd w:val="clear" w:color="auto" w:fill="auto"/>
            <w:vAlign w:val="bottom"/>
          </w:tcPr>
          <w:p w14:paraId="74DD796A" w14:textId="77777777" w:rsidR="00584EC1" w:rsidRDefault="00584EC1">
            <w:pPr>
              <w:rPr>
                <w:rFonts w:ascii="宋体"/>
              </w:rPr>
            </w:pPr>
          </w:p>
        </w:tc>
        <w:tc>
          <w:tcPr>
            <w:tcW w:w="0" w:type="auto"/>
            <w:shd w:val="clear" w:color="auto" w:fill="auto"/>
            <w:vAlign w:val="bottom"/>
          </w:tcPr>
          <w:p w14:paraId="74DD796B" w14:textId="77777777" w:rsidR="00584EC1" w:rsidRDefault="00584EC1">
            <w:pPr>
              <w:rPr>
                <w:rFonts w:ascii="宋体"/>
              </w:rPr>
            </w:pPr>
          </w:p>
        </w:tc>
        <w:tc>
          <w:tcPr>
            <w:tcW w:w="0" w:type="auto"/>
            <w:shd w:val="clear" w:color="auto" w:fill="auto"/>
            <w:vAlign w:val="bottom"/>
          </w:tcPr>
          <w:p w14:paraId="74DD796C" w14:textId="77777777" w:rsidR="00584EC1" w:rsidRDefault="00584EC1">
            <w:pPr>
              <w:rPr>
                <w:rFonts w:ascii="宋体"/>
              </w:rPr>
            </w:pPr>
          </w:p>
        </w:tc>
        <w:tc>
          <w:tcPr>
            <w:tcW w:w="0" w:type="auto"/>
            <w:shd w:val="clear" w:color="auto" w:fill="auto"/>
            <w:vAlign w:val="bottom"/>
          </w:tcPr>
          <w:p w14:paraId="74DD796D" w14:textId="77777777" w:rsidR="00584EC1" w:rsidRDefault="00584EC1">
            <w:pPr>
              <w:rPr>
                <w:rFonts w:ascii="宋体"/>
              </w:rPr>
            </w:pPr>
          </w:p>
        </w:tc>
        <w:tc>
          <w:tcPr>
            <w:tcW w:w="0" w:type="auto"/>
            <w:shd w:val="clear" w:color="auto" w:fill="auto"/>
            <w:vAlign w:val="bottom"/>
          </w:tcPr>
          <w:p w14:paraId="74DD796E" w14:textId="77777777" w:rsidR="00584EC1" w:rsidRDefault="00584EC1">
            <w:pPr>
              <w:rPr>
                <w:rFonts w:ascii="宋体"/>
              </w:rPr>
            </w:pPr>
          </w:p>
        </w:tc>
        <w:tc>
          <w:tcPr>
            <w:tcW w:w="0" w:type="auto"/>
            <w:shd w:val="clear" w:color="auto" w:fill="auto"/>
            <w:vAlign w:val="bottom"/>
          </w:tcPr>
          <w:p w14:paraId="74DD796F" w14:textId="77777777" w:rsidR="00584EC1" w:rsidRDefault="00584EC1">
            <w:pPr>
              <w:rPr>
                <w:rFonts w:ascii="宋体"/>
              </w:rPr>
            </w:pPr>
          </w:p>
        </w:tc>
        <w:tc>
          <w:tcPr>
            <w:tcW w:w="0" w:type="auto"/>
            <w:shd w:val="clear" w:color="auto" w:fill="auto"/>
            <w:vAlign w:val="bottom"/>
          </w:tcPr>
          <w:p w14:paraId="74DD7970" w14:textId="77777777" w:rsidR="00584EC1" w:rsidRDefault="00584EC1">
            <w:pPr>
              <w:rPr>
                <w:rFonts w:ascii="宋体"/>
              </w:rPr>
            </w:pPr>
          </w:p>
        </w:tc>
      </w:tr>
      <w:tr w:rsidR="00584EC1" w14:paraId="74DD7984" w14:textId="77777777">
        <w:tc>
          <w:tcPr>
            <w:tcW w:w="0" w:type="auto"/>
            <w:gridSpan w:val="3"/>
            <w:shd w:val="clear" w:color="auto" w:fill="auto"/>
            <w:tcMar>
              <w:top w:w="40" w:type="dxa"/>
              <w:left w:w="20" w:type="dxa"/>
              <w:bottom w:w="40" w:type="dxa"/>
              <w:right w:w="20" w:type="dxa"/>
            </w:tcMar>
            <w:vAlign w:val="bottom"/>
          </w:tcPr>
          <w:p w14:paraId="74DD7972" w14:textId="77777777" w:rsidR="00584EC1" w:rsidRDefault="00871F8D">
            <w:pPr>
              <w:textAlignment w:val="bottom"/>
            </w:pPr>
            <w:r>
              <w:rPr>
                <w:rFonts w:ascii="Arial" w:eastAsia="宋体" w:hAnsi="Arial" w:cs="Arial"/>
                <w:b/>
                <w:bCs/>
                <w:color w:val="000000"/>
                <w:sz w:val="14"/>
                <w:szCs w:val="14"/>
              </w:rPr>
              <w:t>(In billions)</w:t>
            </w:r>
          </w:p>
        </w:tc>
        <w:tc>
          <w:tcPr>
            <w:tcW w:w="0" w:type="auto"/>
            <w:gridSpan w:val="3"/>
            <w:shd w:val="clear" w:color="auto" w:fill="auto"/>
            <w:tcMar>
              <w:top w:w="40" w:type="dxa"/>
              <w:left w:w="20" w:type="dxa"/>
              <w:bottom w:w="40" w:type="dxa"/>
              <w:right w:w="20" w:type="dxa"/>
            </w:tcMar>
            <w:vAlign w:val="bottom"/>
          </w:tcPr>
          <w:p w14:paraId="74DD7973" w14:textId="77777777" w:rsidR="00584EC1" w:rsidRDefault="00871F8D">
            <w:pPr>
              <w:jc w:val="center"/>
              <w:textAlignment w:val="bottom"/>
            </w:pPr>
            <w:r>
              <w:rPr>
                <w:rFonts w:ascii="Arial" w:eastAsia="宋体" w:hAnsi="Arial" w:cs="Arial"/>
                <w:b/>
                <w:bCs/>
                <w:color w:val="000000"/>
                <w:sz w:val="14"/>
                <w:szCs w:val="14"/>
              </w:rPr>
              <w:t>September 30, 2021</w:t>
            </w:r>
          </w:p>
        </w:tc>
        <w:tc>
          <w:tcPr>
            <w:tcW w:w="0" w:type="auto"/>
            <w:gridSpan w:val="3"/>
            <w:shd w:val="clear" w:color="auto" w:fill="auto"/>
            <w:tcMar>
              <w:top w:w="0" w:type="dxa"/>
              <w:left w:w="20" w:type="dxa"/>
              <w:bottom w:w="0" w:type="dxa"/>
              <w:right w:w="20" w:type="dxa"/>
            </w:tcMar>
            <w:vAlign w:val="bottom"/>
          </w:tcPr>
          <w:p w14:paraId="74DD7974"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7975" w14:textId="77777777" w:rsidR="00584EC1" w:rsidRDefault="00871F8D">
            <w:pPr>
              <w:jc w:val="center"/>
              <w:textAlignment w:val="bottom"/>
            </w:pPr>
            <w:r>
              <w:rPr>
                <w:rFonts w:ascii="Arial" w:eastAsia="宋体" w:hAnsi="Arial" w:cs="Arial"/>
                <w:b/>
                <w:bCs/>
                <w:color w:val="000000"/>
                <w:sz w:val="14"/>
                <w:szCs w:val="14"/>
              </w:rPr>
              <w:t>December 31, 2020</w:t>
            </w:r>
          </w:p>
        </w:tc>
        <w:tc>
          <w:tcPr>
            <w:tcW w:w="0" w:type="auto"/>
            <w:gridSpan w:val="3"/>
            <w:shd w:val="clear" w:color="auto" w:fill="auto"/>
            <w:tcMar>
              <w:top w:w="0" w:type="dxa"/>
              <w:left w:w="20" w:type="dxa"/>
              <w:bottom w:w="0" w:type="dxa"/>
              <w:right w:w="20" w:type="dxa"/>
            </w:tcMar>
            <w:vAlign w:val="bottom"/>
          </w:tcPr>
          <w:p w14:paraId="74DD7976"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7977" w14:textId="77777777" w:rsidR="00584EC1" w:rsidRDefault="00871F8D">
            <w:pPr>
              <w:jc w:val="center"/>
              <w:textAlignment w:val="bottom"/>
            </w:pPr>
            <w:r>
              <w:rPr>
                <w:rFonts w:ascii="Arial" w:eastAsia="宋体" w:hAnsi="Arial" w:cs="Arial"/>
                <w:b/>
                <w:bCs/>
                <w:color w:val="000000"/>
                <w:sz w:val="14"/>
                <w:szCs w:val="14"/>
              </w:rPr>
              <w:t>September 30, 2020</w:t>
            </w:r>
          </w:p>
        </w:tc>
        <w:tc>
          <w:tcPr>
            <w:tcW w:w="0" w:type="auto"/>
            <w:shd w:val="clear" w:color="auto" w:fill="auto"/>
            <w:vAlign w:val="bottom"/>
          </w:tcPr>
          <w:p w14:paraId="74DD7978" w14:textId="77777777" w:rsidR="00584EC1" w:rsidRDefault="00584EC1">
            <w:pPr>
              <w:rPr>
                <w:rFonts w:ascii="宋体"/>
                <w:vanish/>
              </w:rPr>
            </w:pPr>
          </w:p>
        </w:tc>
        <w:tc>
          <w:tcPr>
            <w:tcW w:w="0" w:type="auto"/>
            <w:shd w:val="clear" w:color="auto" w:fill="auto"/>
            <w:vAlign w:val="bottom"/>
          </w:tcPr>
          <w:p w14:paraId="74DD7979" w14:textId="77777777" w:rsidR="00584EC1" w:rsidRDefault="00584EC1">
            <w:pPr>
              <w:rPr>
                <w:rFonts w:ascii="宋体"/>
                <w:vanish/>
              </w:rPr>
            </w:pPr>
          </w:p>
        </w:tc>
        <w:tc>
          <w:tcPr>
            <w:tcW w:w="0" w:type="auto"/>
            <w:gridSpan w:val="3"/>
            <w:shd w:val="clear" w:color="auto" w:fill="auto"/>
            <w:vAlign w:val="bottom"/>
          </w:tcPr>
          <w:p w14:paraId="74DD797A" w14:textId="77777777" w:rsidR="00584EC1" w:rsidRDefault="00584EC1">
            <w:pPr>
              <w:rPr>
                <w:rFonts w:ascii="宋体"/>
                <w:vanish/>
              </w:rPr>
            </w:pPr>
          </w:p>
        </w:tc>
        <w:tc>
          <w:tcPr>
            <w:tcW w:w="0" w:type="auto"/>
            <w:gridSpan w:val="3"/>
            <w:shd w:val="clear" w:color="auto" w:fill="auto"/>
            <w:vAlign w:val="bottom"/>
          </w:tcPr>
          <w:p w14:paraId="74DD797B" w14:textId="77777777" w:rsidR="00584EC1" w:rsidRDefault="00584EC1">
            <w:pPr>
              <w:rPr>
                <w:rFonts w:ascii="宋体"/>
                <w:vanish/>
              </w:rPr>
            </w:pPr>
          </w:p>
        </w:tc>
        <w:tc>
          <w:tcPr>
            <w:tcW w:w="0" w:type="auto"/>
            <w:gridSpan w:val="3"/>
            <w:shd w:val="clear" w:color="auto" w:fill="auto"/>
            <w:vAlign w:val="bottom"/>
          </w:tcPr>
          <w:p w14:paraId="74DD797C" w14:textId="77777777" w:rsidR="00584EC1" w:rsidRDefault="00584EC1">
            <w:pPr>
              <w:rPr>
                <w:rFonts w:ascii="宋体"/>
                <w:vanish/>
              </w:rPr>
            </w:pPr>
          </w:p>
        </w:tc>
        <w:tc>
          <w:tcPr>
            <w:tcW w:w="0" w:type="auto"/>
            <w:gridSpan w:val="3"/>
            <w:shd w:val="clear" w:color="auto" w:fill="auto"/>
            <w:vAlign w:val="bottom"/>
          </w:tcPr>
          <w:p w14:paraId="74DD797D" w14:textId="77777777" w:rsidR="00584EC1" w:rsidRDefault="00584EC1">
            <w:pPr>
              <w:rPr>
                <w:rFonts w:ascii="宋体"/>
                <w:vanish/>
              </w:rPr>
            </w:pPr>
          </w:p>
        </w:tc>
        <w:tc>
          <w:tcPr>
            <w:tcW w:w="0" w:type="auto"/>
            <w:gridSpan w:val="3"/>
            <w:shd w:val="clear" w:color="auto" w:fill="auto"/>
            <w:vAlign w:val="bottom"/>
          </w:tcPr>
          <w:p w14:paraId="74DD797E" w14:textId="77777777" w:rsidR="00584EC1" w:rsidRDefault="00584EC1">
            <w:pPr>
              <w:rPr>
                <w:rFonts w:ascii="宋体"/>
                <w:vanish/>
              </w:rPr>
            </w:pPr>
          </w:p>
        </w:tc>
        <w:tc>
          <w:tcPr>
            <w:tcW w:w="0" w:type="auto"/>
            <w:gridSpan w:val="3"/>
            <w:shd w:val="clear" w:color="auto" w:fill="auto"/>
            <w:vAlign w:val="bottom"/>
          </w:tcPr>
          <w:p w14:paraId="74DD797F" w14:textId="77777777" w:rsidR="00584EC1" w:rsidRDefault="00584EC1">
            <w:pPr>
              <w:rPr>
                <w:rFonts w:ascii="宋体"/>
                <w:vanish/>
              </w:rPr>
            </w:pPr>
          </w:p>
        </w:tc>
        <w:tc>
          <w:tcPr>
            <w:tcW w:w="0" w:type="auto"/>
            <w:gridSpan w:val="3"/>
            <w:shd w:val="clear" w:color="auto" w:fill="auto"/>
            <w:vAlign w:val="bottom"/>
          </w:tcPr>
          <w:p w14:paraId="74DD7980" w14:textId="77777777" w:rsidR="00584EC1" w:rsidRDefault="00584EC1">
            <w:pPr>
              <w:rPr>
                <w:rFonts w:ascii="宋体"/>
                <w:vanish/>
              </w:rPr>
            </w:pPr>
          </w:p>
        </w:tc>
        <w:tc>
          <w:tcPr>
            <w:tcW w:w="0" w:type="auto"/>
            <w:gridSpan w:val="3"/>
            <w:shd w:val="clear" w:color="auto" w:fill="auto"/>
            <w:vAlign w:val="bottom"/>
          </w:tcPr>
          <w:p w14:paraId="74DD7981" w14:textId="77777777" w:rsidR="00584EC1" w:rsidRDefault="00584EC1">
            <w:pPr>
              <w:rPr>
                <w:rFonts w:ascii="宋体"/>
                <w:vanish/>
              </w:rPr>
            </w:pPr>
          </w:p>
        </w:tc>
        <w:tc>
          <w:tcPr>
            <w:tcW w:w="0" w:type="auto"/>
            <w:gridSpan w:val="3"/>
            <w:shd w:val="clear" w:color="auto" w:fill="auto"/>
            <w:vAlign w:val="bottom"/>
          </w:tcPr>
          <w:p w14:paraId="74DD7982" w14:textId="77777777" w:rsidR="00584EC1" w:rsidRDefault="00584EC1">
            <w:pPr>
              <w:rPr>
                <w:rFonts w:ascii="宋体"/>
                <w:vanish/>
              </w:rPr>
            </w:pPr>
          </w:p>
        </w:tc>
        <w:tc>
          <w:tcPr>
            <w:tcW w:w="0" w:type="auto"/>
            <w:gridSpan w:val="3"/>
            <w:shd w:val="clear" w:color="auto" w:fill="auto"/>
            <w:vAlign w:val="bottom"/>
          </w:tcPr>
          <w:p w14:paraId="74DD7983" w14:textId="77777777" w:rsidR="00584EC1" w:rsidRDefault="00584EC1">
            <w:pPr>
              <w:rPr>
                <w:rFonts w:ascii="宋体"/>
                <w:vanish/>
              </w:rPr>
            </w:pPr>
          </w:p>
        </w:tc>
      </w:tr>
      <w:tr w:rsidR="00584EC1" w14:paraId="74DD799D" w14:textId="77777777">
        <w:tc>
          <w:tcPr>
            <w:tcW w:w="0" w:type="auto"/>
            <w:gridSpan w:val="3"/>
            <w:shd w:val="clear" w:color="auto" w:fill="CCEEFF"/>
            <w:tcMar>
              <w:top w:w="40" w:type="dxa"/>
              <w:left w:w="20" w:type="dxa"/>
              <w:bottom w:w="40" w:type="dxa"/>
              <w:right w:w="20" w:type="dxa"/>
            </w:tcMar>
            <w:vAlign w:val="bottom"/>
          </w:tcPr>
          <w:p w14:paraId="74DD7985" w14:textId="77777777" w:rsidR="00584EC1" w:rsidRDefault="00871F8D">
            <w:pPr>
              <w:textAlignment w:val="bottom"/>
            </w:pPr>
            <w:r>
              <w:rPr>
                <w:rFonts w:ascii="Arial" w:eastAsia="宋体" w:hAnsi="Arial" w:cs="Arial"/>
                <w:color w:val="000000"/>
                <w:sz w:val="14"/>
                <w:szCs w:val="14"/>
              </w:rPr>
              <w:t>Equities</w:t>
            </w:r>
          </w:p>
        </w:tc>
        <w:tc>
          <w:tcPr>
            <w:tcW w:w="0" w:type="auto"/>
            <w:tcBorders>
              <w:top w:val="single" w:sz="8" w:space="0" w:color="000000"/>
            </w:tcBorders>
            <w:shd w:val="clear" w:color="auto" w:fill="CCEEFF"/>
            <w:tcMar>
              <w:top w:w="40" w:type="dxa"/>
              <w:left w:w="20" w:type="dxa"/>
              <w:bottom w:w="40" w:type="dxa"/>
              <w:right w:w="0" w:type="dxa"/>
            </w:tcMar>
            <w:vAlign w:val="bottom"/>
          </w:tcPr>
          <w:p w14:paraId="74DD7986"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7987" w14:textId="77777777" w:rsidR="00584EC1" w:rsidRDefault="00871F8D">
            <w:pPr>
              <w:jc w:val="right"/>
              <w:textAlignment w:val="bottom"/>
            </w:pPr>
            <w:r>
              <w:rPr>
                <w:rFonts w:ascii="Arial" w:eastAsia="宋体" w:hAnsi="Arial" w:cs="Arial"/>
                <w:b/>
                <w:bCs/>
                <w:color w:val="000000"/>
                <w:sz w:val="14"/>
                <w:szCs w:val="14"/>
              </w:rPr>
              <w:t>25,350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98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989"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798A"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798B" w14:textId="77777777" w:rsidR="00584EC1" w:rsidRDefault="00871F8D">
            <w:pPr>
              <w:jc w:val="right"/>
              <w:textAlignment w:val="bottom"/>
            </w:pPr>
            <w:r>
              <w:rPr>
                <w:rFonts w:ascii="Arial" w:eastAsia="宋体" w:hAnsi="Arial" w:cs="Arial"/>
                <w:color w:val="000000"/>
                <w:sz w:val="14"/>
                <w:szCs w:val="14"/>
              </w:rPr>
              <w:t>21,626 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98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98D"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798E"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798F" w14:textId="77777777" w:rsidR="00584EC1" w:rsidRDefault="00871F8D">
            <w:pPr>
              <w:jc w:val="right"/>
              <w:textAlignment w:val="bottom"/>
            </w:pPr>
            <w:r>
              <w:rPr>
                <w:rFonts w:ascii="Arial" w:eastAsia="宋体" w:hAnsi="Arial" w:cs="Arial"/>
                <w:color w:val="000000"/>
                <w:sz w:val="14"/>
                <w:szCs w:val="14"/>
              </w:rPr>
              <w:t>20,094 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990" w14:textId="77777777" w:rsidR="00584EC1" w:rsidRDefault="00584EC1">
            <w:pPr>
              <w:jc w:val="right"/>
              <w:rPr>
                <w:rFonts w:ascii="宋体"/>
              </w:rPr>
            </w:pPr>
          </w:p>
        </w:tc>
        <w:tc>
          <w:tcPr>
            <w:tcW w:w="0" w:type="auto"/>
            <w:shd w:val="clear" w:color="auto" w:fill="auto"/>
            <w:vAlign w:val="bottom"/>
          </w:tcPr>
          <w:p w14:paraId="74DD7991" w14:textId="77777777" w:rsidR="00584EC1" w:rsidRDefault="00584EC1">
            <w:pPr>
              <w:rPr>
                <w:rFonts w:ascii="宋体"/>
                <w:vanish/>
              </w:rPr>
            </w:pPr>
          </w:p>
        </w:tc>
        <w:tc>
          <w:tcPr>
            <w:tcW w:w="0" w:type="auto"/>
            <w:shd w:val="clear" w:color="auto" w:fill="auto"/>
            <w:vAlign w:val="bottom"/>
          </w:tcPr>
          <w:p w14:paraId="74DD7992" w14:textId="77777777" w:rsidR="00584EC1" w:rsidRDefault="00584EC1">
            <w:pPr>
              <w:rPr>
                <w:rFonts w:ascii="宋体"/>
                <w:vanish/>
              </w:rPr>
            </w:pPr>
          </w:p>
        </w:tc>
        <w:tc>
          <w:tcPr>
            <w:tcW w:w="0" w:type="auto"/>
            <w:gridSpan w:val="3"/>
            <w:shd w:val="clear" w:color="auto" w:fill="auto"/>
            <w:vAlign w:val="bottom"/>
          </w:tcPr>
          <w:p w14:paraId="74DD7993" w14:textId="77777777" w:rsidR="00584EC1" w:rsidRDefault="00584EC1">
            <w:pPr>
              <w:rPr>
                <w:rFonts w:ascii="宋体"/>
                <w:vanish/>
              </w:rPr>
            </w:pPr>
          </w:p>
        </w:tc>
        <w:tc>
          <w:tcPr>
            <w:tcW w:w="0" w:type="auto"/>
            <w:gridSpan w:val="3"/>
            <w:shd w:val="clear" w:color="auto" w:fill="auto"/>
            <w:vAlign w:val="bottom"/>
          </w:tcPr>
          <w:p w14:paraId="74DD7994" w14:textId="77777777" w:rsidR="00584EC1" w:rsidRDefault="00584EC1">
            <w:pPr>
              <w:rPr>
                <w:rFonts w:ascii="宋体"/>
                <w:vanish/>
              </w:rPr>
            </w:pPr>
          </w:p>
        </w:tc>
        <w:tc>
          <w:tcPr>
            <w:tcW w:w="0" w:type="auto"/>
            <w:gridSpan w:val="3"/>
            <w:shd w:val="clear" w:color="auto" w:fill="auto"/>
            <w:vAlign w:val="bottom"/>
          </w:tcPr>
          <w:p w14:paraId="74DD7995" w14:textId="77777777" w:rsidR="00584EC1" w:rsidRDefault="00584EC1">
            <w:pPr>
              <w:rPr>
                <w:rFonts w:ascii="宋体"/>
                <w:vanish/>
              </w:rPr>
            </w:pPr>
          </w:p>
        </w:tc>
        <w:tc>
          <w:tcPr>
            <w:tcW w:w="0" w:type="auto"/>
            <w:gridSpan w:val="3"/>
            <w:shd w:val="clear" w:color="auto" w:fill="auto"/>
            <w:vAlign w:val="bottom"/>
          </w:tcPr>
          <w:p w14:paraId="74DD7996" w14:textId="77777777" w:rsidR="00584EC1" w:rsidRDefault="00584EC1">
            <w:pPr>
              <w:rPr>
                <w:rFonts w:ascii="宋体"/>
                <w:vanish/>
              </w:rPr>
            </w:pPr>
          </w:p>
        </w:tc>
        <w:tc>
          <w:tcPr>
            <w:tcW w:w="0" w:type="auto"/>
            <w:gridSpan w:val="3"/>
            <w:shd w:val="clear" w:color="auto" w:fill="auto"/>
            <w:vAlign w:val="bottom"/>
          </w:tcPr>
          <w:p w14:paraId="74DD7997" w14:textId="77777777" w:rsidR="00584EC1" w:rsidRDefault="00584EC1">
            <w:pPr>
              <w:rPr>
                <w:rFonts w:ascii="宋体"/>
                <w:vanish/>
              </w:rPr>
            </w:pPr>
          </w:p>
        </w:tc>
        <w:tc>
          <w:tcPr>
            <w:tcW w:w="0" w:type="auto"/>
            <w:gridSpan w:val="3"/>
            <w:shd w:val="clear" w:color="auto" w:fill="auto"/>
            <w:vAlign w:val="bottom"/>
          </w:tcPr>
          <w:p w14:paraId="74DD7998" w14:textId="77777777" w:rsidR="00584EC1" w:rsidRDefault="00584EC1">
            <w:pPr>
              <w:rPr>
                <w:rFonts w:ascii="宋体"/>
                <w:vanish/>
              </w:rPr>
            </w:pPr>
          </w:p>
        </w:tc>
        <w:tc>
          <w:tcPr>
            <w:tcW w:w="0" w:type="auto"/>
            <w:gridSpan w:val="3"/>
            <w:shd w:val="clear" w:color="auto" w:fill="auto"/>
            <w:vAlign w:val="bottom"/>
          </w:tcPr>
          <w:p w14:paraId="74DD7999" w14:textId="77777777" w:rsidR="00584EC1" w:rsidRDefault="00584EC1">
            <w:pPr>
              <w:rPr>
                <w:rFonts w:ascii="宋体"/>
                <w:vanish/>
              </w:rPr>
            </w:pPr>
          </w:p>
        </w:tc>
        <w:tc>
          <w:tcPr>
            <w:tcW w:w="0" w:type="auto"/>
            <w:gridSpan w:val="3"/>
            <w:shd w:val="clear" w:color="auto" w:fill="auto"/>
            <w:vAlign w:val="bottom"/>
          </w:tcPr>
          <w:p w14:paraId="74DD799A" w14:textId="77777777" w:rsidR="00584EC1" w:rsidRDefault="00584EC1">
            <w:pPr>
              <w:rPr>
                <w:rFonts w:ascii="宋体"/>
                <w:vanish/>
              </w:rPr>
            </w:pPr>
          </w:p>
        </w:tc>
        <w:tc>
          <w:tcPr>
            <w:tcW w:w="0" w:type="auto"/>
            <w:gridSpan w:val="3"/>
            <w:shd w:val="clear" w:color="auto" w:fill="auto"/>
            <w:vAlign w:val="bottom"/>
          </w:tcPr>
          <w:p w14:paraId="74DD799B" w14:textId="77777777" w:rsidR="00584EC1" w:rsidRDefault="00584EC1">
            <w:pPr>
              <w:rPr>
                <w:rFonts w:ascii="宋体"/>
                <w:vanish/>
              </w:rPr>
            </w:pPr>
          </w:p>
        </w:tc>
        <w:tc>
          <w:tcPr>
            <w:tcW w:w="0" w:type="auto"/>
            <w:gridSpan w:val="3"/>
            <w:shd w:val="clear" w:color="auto" w:fill="auto"/>
            <w:vAlign w:val="bottom"/>
          </w:tcPr>
          <w:p w14:paraId="74DD799C" w14:textId="77777777" w:rsidR="00584EC1" w:rsidRDefault="00584EC1">
            <w:pPr>
              <w:rPr>
                <w:rFonts w:ascii="宋体"/>
                <w:vanish/>
              </w:rPr>
            </w:pPr>
          </w:p>
        </w:tc>
      </w:tr>
      <w:tr w:rsidR="00584EC1" w14:paraId="74DD79B3" w14:textId="77777777">
        <w:tc>
          <w:tcPr>
            <w:tcW w:w="0" w:type="auto"/>
            <w:gridSpan w:val="3"/>
            <w:shd w:val="clear" w:color="auto" w:fill="FFFFFF"/>
            <w:tcMar>
              <w:top w:w="40" w:type="dxa"/>
              <w:left w:w="20" w:type="dxa"/>
              <w:bottom w:w="40" w:type="dxa"/>
              <w:right w:w="20" w:type="dxa"/>
            </w:tcMar>
            <w:vAlign w:val="bottom"/>
          </w:tcPr>
          <w:p w14:paraId="74DD799E" w14:textId="77777777" w:rsidR="00584EC1" w:rsidRDefault="00871F8D">
            <w:pPr>
              <w:textAlignment w:val="bottom"/>
            </w:pPr>
            <w:r>
              <w:rPr>
                <w:rFonts w:ascii="Arial" w:eastAsia="宋体" w:hAnsi="Arial" w:cs="Arial"/>
                <w:color w:val="000000"/>
                <w:sz w:val="14"/>
                <w:szCs w:val="14"/>
              </w:rPr>
              <w:t>Fixed-income</w:t>
            </w:r>
          </w:p>
        </w:tc>
        <w:tc>
          <w:tcPr>
            <w:tcW w:w="0" w:type="auto"/>
            <w:gridSpan w:val="2"/>
            <w:shd w:val="clear" w:color="auto" w:fill="FFFFFF"/>
            <w:tcMar>
              <w:top w:w="40" w:type="dxa"/>
              <w:left w:w="20" w:type="dxa"/>
              <w:bottom w:w="40" w:type="dxa"/>
              <w:right w:w="0" w:type="dxa"/>
            </w:tcMar>
            <w:vAlign w:val="bottom"/>
          </w:tcPr>
          <w:p w14:paraId="74DD799F" w14:textId="77777777" w:rsidR="00584EC1" w:rsidRDefault="00871F8D">
            <w:pPr>
              <w:jc w:val="right"/>
              <w:textAlignment w:val="bottom"/>
            </w:pPr>
            <w:r>
              <w:rPr>
                <w:rFonts w:ascii="Arial" w:eastAsia="宋体" w:hAnsi="Arial" w:cs="Arial"/>
                <w:b/>
                <w:bCs/>
                <w:color w:val="000000"/>
                <w:sz w:val="14"/>
                <w:szCs w:val="14"/>
              </w:rPr>
              <w:t>12,808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79A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9A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9A2" w14:textId="77777777" w:rsidR="00584EC1" w:rsidRDefault="00871F8D">
            <w:pPr>
              <w:jc w:val="right"/>
              <w:textAlignment w:val="bottom"/>
            </w:pPr>
            <w:r>
              <w:rPr>
                <w:rFonts w:ascii="Arial" w:eastAsia="宋体" w:hAnsi="Arial" w:cs="Arial"/>
                <w:color w:val="000000"/>
                <w:sz w:val="14"/>
                <w:szCs w:val="14"/>
              </w:rPr>
              <w:t>12,834 </w:t>
            </w:r>
          </w:p>
        </w:tc>
        <w:tc>
          <w:tcPr>
            <w:tcW w:w="0" w:type="auto"/>
            <w:shd w:val="clear" w:color="auto" w:fill="FFFFFF"/>
            <w:tcMar>
              <w:top w:w="40" w:type="dxa"/>
              <w:left w:w="0" w:type="dxa"/>
              <w:bottom w:w="40" w:type="dxa"/>
              <w:right w:w="20" w:type="dxa"/>
            </w:tcMar>
            <w:vAlign w:val="bottom"/>
          </w:tcPr>
          <w:p w14:paraId="74DD79A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9A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9A5" w14:textId="77777777" w:rsidR="00584EC1" w:rsidRDefault="00871F8D">
            <w:pPr>
              <w:jc w:val="right"/>
              <w:textAlignment w:val="bottom"/>
            </w:pPr>
            <w:r>
              <w:rPr>
                <w:rFonts w:ascii="Arial" w:eastAsia="宋体" w:hAnsi="Arial" w:cs="Arial"/>
                <w:color w:val="000000"/>
                <w:sz w:val="14"/>
                <w:szCs w:val="14"/>
              </w:rPr>
              <w:t>12,403 </w:t>
            </w:r>
          </w:p>
        </w:tc>
        <w:tc>
          <w:tcPr>
            <w:tcW w:w="0" w:type="auto"/>
            <w:shd w:val="clear" w:color="auto" w:fill="FFFFFF"/>
            <w:tcMar>
              <w:top w:w="40" w:type="dxa"/>
              <w:left w:w="0" w:type="dxa"/>
              <w:bottom w:w="40" w:type="dxa"/>
              <w:right w:w="20" w:type="dxa"/>
            </w:tcMar>
            <w:vAlign w:val="bottom"/>
          </w:tcPr>
          <w:p w14:paraId="74DD79A6" w14:textId="77777777" w:rsidR="00584EC1" w:rsidRDefault="00584EC1">
            <w:pPr>
              <w:jc w:val="right"/>
              <w:rPr>
                <w:rFonts w:ascii="宋体"/>
              </w:rPr>
            </w:pPr>
          </w:p>
        </w:tc>
        <w:tc>
          <w:tcPr>
            <w:tcW w:w="0" w:type="auto"/>
            <w:shd w:val="clear" w:color="auto" w:fill="auto"/>
            <w:vAlign w:val="bottom"/>
          </w:tcPr>
          <w:p w14:paraId="74DD79A7" w14:textId="77777777" w:rsidR="00584EC1" w:rsidRDefault="00584EC1">
            <w:pPr>
              <w:rPr>
                <w:rFonts w:ascii="宋体"/>
                <w:vanish/>
              </w:rPr>
            </w:pPr>
          </w:p>
        </w:tc>
        <w:tc>
          <w:tcPr>
            <w:tcW w:w="0" w:type="auto"/>
            <w:shd w:val="clear" w:color="auto" w:fill="auto"/>
            <w:vAlign w:val="bottom"/>
          </w:tcPr>
          <w:p w14:paraId="74DD79A8" w14:textId="77777777" w:rsidR="00584EC1" w:rsidRDefault="00584EC1">
            <w:pPr>
              <w:rPr>
                <w:rFonts w:ascii="宋体"/>
                <w:vanish/>
              </w:rPr>
            </w:pPr>
          </w:p>
        </w:tc>
        <w:tc>
          <w:tcPr>
            <w:tcW w:w="0" w:type="auto"/>
            <w:gridSpan w:val="3"/>
            <w:shd w:val="clear" w:color="auto" w:fill="auto"/>
            <w:vAlign w:val="bottom"/>
          </w:tcPr>
          <w:p w14:paraId="74DD79A9" w14:textId="77777777" w:rsidR="00584EC1" w:rsidRDefault="00584EC1">
            <w:pPr>
              <w:rPr>
                <w:rFonts w:ascii="宋体"/>
                <w:vanish/>
              </w:rPr>
            </w:pPr>
          </w:p>
        </w:tc>
        <w:tc>
          <w:tcPr>
            <w:tcW w:w="0" w:type="auto"/>
            <w:gridSpan w:val="3"/>
            <w:shd w:val="clear" w:color="auto" w:fill="auto"/>
            <w:vAlign w:val="bottom"/>
          </w:tcPr>
          <w:p w14:paraId="74DD79AA" w14:textId="77777777" w:rsidR="00584EC1" w:rsidRDefault="00584EC1">
            <w:pPr>
              <w:rPr>
                <w:rFonts w:ascii="宋体"/>
                <w:vanish/>
              </w:rPr>
            </w:pPr>
          </w:p>
        </w:tc>
        <w:tc>
          <w:tcPr>
            <w:tcW w:w="0" w:type="auto"/>
            <w:gridSpan w:val="3"/>
            <w:shd w:val="clear" w:color="auto" w:fill="auto"/>
            <w:vAlign w:val="bottom"/>
          </w:tcPr>
          <w:p w14:paraId="74DD79AB" w14:textId="77777777" w:rsidR="00584EC1" w:rsidRDefault="00584EC1">
            <w:pPr>
              <w:rPr>
                <w:rFonts w:ascii="宋体"/>
                <w:vanish/>
              </w:rPr>
            </w:pPr>
          </w:p>
        </w:tc>
        <w:tc>
          <w:tcPr>
            <w:tcW w:w="0" w:type="auto"/>
            <w:gridSpan w:val="3"/>
            <w:shd w:val="clear" w:color="auto" w:fill="auto"/>
            <w:vAlign w:val="bottom"/>
          </w:tcPr>
          <w:p w14:paraId="74DD79AC" w14:textId="77777777" w:rsidR="00584EC1" w:rsidRDefault="00584EC1">
            <w:pPr>
              <w:rPr>
                <w:rFonts w:ascii="宋体"/>
                <w:vanish/>
              </w:rPr>
            </w:pPr>
          </w:p>
        </w:tc>
        <w:tc>
          <w:tcPr>
            <w:tcW w:w="0" w:type="auto"/>
            <w:gridSpan w:val="3"/>
            <w:shd w:val="clear" w:color="auto" w:fill="auto"/>
            <w:vAlign w:val="bottom"/>
          </w:tcPr>
          <w:p w14:paraId="74DD79AD" w14:textId="77777777" w:rsidR="00584EC1" w:rsidRDefault="00584EC1">
            <w:pPr>
              <w:rPr>
                <w:rFonts w:ascii="宋体"/>
                <w:vanish/>
              </w:rPr>
            </w:pPr>
          </w:p>
        </w:tc>
        <w:tc>
          <w:tcPr>
            <w:tcW w:w="0" w:type="auto"/>
            <w:gridSpan w:val="3"/>
            <w:shd w:val="clear" w:color="auto" w:fill="auto"/>
            <w:vAlign w:val="bottom"/>
          </w:tcPr>
          <w:p w14:paraId="74DD79AE" w14:textId="77777777" w:rsidR="00584EC1" w:rsidRDefault="00584EC1">
            <w:pPr>
              <w:rPr>
                <w:rFonts w:ascii="宋体"/>
                <w:vanish/>
              </w:rPr>
            </w:pPr>
          </w:p>
        </w:tc>
        <w:tc>
          <w:tcPr>
            <w:tcW w:w="0" w:type="auto"/>
            <w:gridSpan w:val="3"/>
            <w:shd w:val="clear" w:color="auto" w:fill="auto"/>
            <w:vAlign w:val="bottom"/>
          </w:tcPr>
          <w:p w14:paraId="74DD79AF" w14:textId="77777777" w:rsidR="00584EC1" w:rsidRDefault="00584EC1">
            <w:pPr>
              <w:rPr>
                <w:rFonts w:ascii="宋体"/>
                <w:vanish/>
              </w:rPr>
            </w:pPr>
          </w:p>
        </w:tc>
        <w:tc>
          <w:tcPr>
            <w:tcW w:w="0" w:type="auto"/>
            <w:gridSpan w:val="3"/>
            <w:shd w:val="clear" w:color="auto" w:fill="auto"/>
            <w:vAlign w:val="bottom"/>
          </w:tcPr>
          <w:p w14:paraId="74DD79B0" w14:textId="77777777" w:rsidR="00584EC1" w:rsidRDefault="00584EC1">
            <w:pPr>
              <w:rPr>
                <w:rFonts w:ascii="宋体"/>
                <w:vanish/>
              </w:rPr>
            </w:pPr>
          </w:p>
        </w:tc>
        <w:tc>
          <w:tcPr>
            <w:tcW w:w="0" w:type="auto"/>
            <w:gridSpan w:val="3"/>
            <w:shd w:val="clear" w:color="auto" w:fill="auto"/>
            <w:vAlign w:val="bottom"/>
          </w:tcPr>
          <w:p w14:paraId="74DD79B1" w14:textId="77777777" w:rsidR="00584EC1" w:rsidRDefault="00584EC1">
            <w:pPr>
              <w:rPr>
                <w:rFonts w:ascii="宋体"/>
                <w:vanish/>
              </w:rPr>
            </w:pPr>
          </w:p>
        </w:tc>
        <w:tc>
          <w:tcPr>
            <w:tcW w:w="0" w:type="auto"/>
            <w:gridSpan w:val="3"/>
            <w:shd w:val="clear" w:color="auto" w:fill="auto"/>
            <w:vAlign w:val="bottom"/>
          </w:tcPr>
          <w:p w14:paraId="74DD79B2" w14:textId="77777777" w:rsidR="00584EC1" w:rsidRDefault="00584EC1">
            <w:pPr>
              <w:rPr>
                <w:rFonts w:ascii="宋体"/>
                <w:vanish/>
              </w:rPr>
            </w:pPr>
          </w:p>
        </w:tc>
      </w:tr>
      <w:tr w:rsidR="00584EC1" w14:paraId="74DD79C9" w14:textId="77777777">
        <w:tc>
          <w:tcPr>
            <w:tcW w:w="0" w:type="auto"/>
            <w:gridSpan w:val="3"/>
            <w:shd w:val="clear" w:color="auto" w:fill="CCEEFF"/>
            <w:tcMar>
              <w:top w:w="40" w:type="dxa"/>
              <w:left w:w="20" w:type="dxa"/>
              <w:bottom w:w="40" w:type="dxa"/>
              <w:right w:w="20" w:type="dxa"/>
            </w:tcMar>
            <w:vAlign w:val="bottom"/>
          </w:tcPr>
          <w:p w14:paraId="74DD79B4" w14:textId="77777777" w:rsidR="00584EC1" w:rsidRDefault="00871F8D">
            <w:pPr>
              <w:textAlignment w:val="bottom"/>
            </w:pPr>
            <w:r>
              <w:rPr>
                <w:rFonts w:ascii="Arial" w:eastAsia="宋体" w:hAnsi="Arial" w:cs="Arial"/>
                <w:color w:val="000000"/>
                <w:sz w:val="14"/>
                <w:szCs w:val="14"/>
              </w:rPr>
              <w:t>Short-term and other investments</w:t>
            </w:r>
          </w:p>
        </w:tc>
        <w:tc>
          <w:tcPr>
            <w:tcW w:w="0" w:type="auto"/>
            <w:gridSpan w:val="2"/>
            <w:shd w:val="clear" w:color="auto" w:fill="CCEEFF"/>
            <w:tcMar>
              <w:top w:w="40" w:type="dxa"/>
              <w:left w:w="20" w:type="dxa"/>
              <w:bottom w:w="40" w:type="dxa"/>
              <w:right w:w="0" w:type="dxa"/>
            </w:tcMar>
            <w:vAlign w:val="bottom"/>
          </w:tcPr>
          <w:p w14:paraId="74DD79B5" w14:textId="77777777" w:rsidR="00584EC1" w:rsidRDefault="00871F8D">
            <w:pPr>
              <w:jc w:val="right"/>
              <w:textAlignment w:val="bottom"/>
            </w:pPr>
            <w:r>
              <w:rPr>
                <w:rFonts w:ascii="Arial" w:eastAsia="宋体" w:hAnsi="Arial" w:cs="Arial"/>
                <w:b/>
                <w:bCs/>
                <w:color w:val="000000"/>
                <w:sz w:val="14"/>
                <w:szCs w:val="14"/>
              </w:rPr>
              <w:t>5,179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79B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9B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79B8" w14:textId="77777777" w:rsidR="00584EC1" w:rsidRDefault="00871F8D">
            <w:pPr>
              <w:jc w:val="right"/>
              <w:textAlignment w:val="bottom"/>
            </w:pPr>
            <w:r>
              <w:rPr>
                <w:rFonts w:ascii="Arial" w:eastAsia="宋体" w:hAnsi="Arial" w:cs="Arial"/>
                <w:color w:val="000000"/>
                <w:sz w:val="14"/>
                <w:szCs w:val="14"/>
              </w:rPr>
              <w:t>4,331 </w:t>
            </w:r>
          </w:p>
        </w:tc>
        <w:tc>
          <w:tcPr>
            <w:tcW w:w="0" w:type="auto"/>
            <w:shd w:val="clear" w:color="auto" w:fill="CCEEFF"/>
            <w:tcMar>
              <w:top w:w="40" w:type="dxa"/>
              <w:left w:w="0" w:type="dxa"/>
              <w:bottom w:w="40" w:type="dxa"/>
              <w:right w:w="20" w:type="dxa"/>
            </w:tcMar>
            <w:vAlign w:val="bottom"/>
          </w:tcPr>
          <w:p w14:paraId="74DD79B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9BA"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79BB" w14:textId="77777777" w:rsidR="00584EC1" w:rsidRDefault="00871F8D">
            <w:pPr>
              <w:jc w:val="right"/>
              <w:textAlignment w:val="bottom"/>
            </w:pPr>
            <w:r>
              <w:rPr>
                <w:rFonts w:ascii="Arial" w:eastAsia="宋体" w:hAnsi="Arial" w:cs="Arial"/>
                <w:color w:val="000000"/>
                <w:sz w:val="14"/>
                <w:szCs w:val="14"/>
              </w:rPr>
              <w:t>4,146 </w:t>
            </w:r>
          </w:p>
        </w:tc>
        <w:tc>
          <w:tcPr>
            <w:tcW w:w="0" w:type="auto"/>
            <w:shd w:val="clear" w:color="auto" w:fill="CCEEFF"/>
            <w:tcMar>
              <w:top w:w="40" w:type="dxa"/>
              <w:left w:w="0" w:type="dxa"/>
              <w:bottom w:w="40" w:type="dxa"/>
              <w:right w:w="20" w:type="dxa"/>
            </w:tcMar>
            <w:vAlign w:val="bottom"/>
          </w:tcPr>
          <w:p w14:paraId="74DD79BC" w14:textId="77777777" w:rsidR="00584EC1" w:rsidRDefault="00584EC1">
            <w:pPr>
              <w:jc w:val="right"/>
              <w:rPr>
                <w:rFonts w:ascii="宋体"/>
              </w:rPr>
            </w:pPr>
          </w:p>
        </w:tc>
        <w:tc>
          <w:tcPr>
            <w:tcW w:w="0" w:type="auto"/>
            <w:shd w:val="clear" w:color="auto" w:fill="auto"/>
            <w:vAlign w:val="bottom"/>
          </w:tcPr>
          <w:p w14:paraId="74DD79BD" w14:textId="77777777" w:rsidR="00584EC1" w:rsidRDefault="00584EC1">
            <w:pPr>
              <w:rPr>
                <w:rFonts w:ascii="宋体"/>
                <w:vanish/>
              </w:rPr>
            </w:pPr>
          </w:p>
        </w:tc>
        <w:tc>
          <w:tcPr>
            <w:tcW w:w="0" w:type="auto"/>
            <w:shd w:val="clear" w:color="auto" w:fill="auto"/>
            <w:vAlign w:val="bottom"/>
          </w:tcPr>
          <w:p w14:paraId="74DD79BE" w14:textId="77777777" w:rsidR="00584EC1" w:rsidRDefault="00584EC1">
            <w:pPr>
              <w:rPr>
                <w:rFonts w:ascii="宋体"/>
                <w:vanish/>
              </w:rPr>
            </w:pPr>
          </w:p>
        </w:tc>
        <w:tc>
          <w:tcPr>
            <w:tcW w:w="0" w:type="auto"/>
            <w:gridSpan w:val="3"/>
            <w:shd w:val="clear" w:color="auto" w:fill="auto"/>
            <w:vAlign w:val="bottom"/>
          </w:tcPr>
          <w:p w14:paraId="74DD79BF" w14:textId="77777777" w:rsidR="00584EC1" w:rsidRDefault="00584EC1">
            <w:pPr>
              <w:rPr>
                <w:rFonts w:ascii="宋体"/>
                <w:vanish/>
              </w:rPr>
            </w:pPr>
          </w:p>
        </w:tc>
        <w:tc>
          <w:tcPr>
            <w:tcW w:w="0" w:type="auto"/>
            <w:gridSpan w:val="3"/>
            <w:shd w:val="clear" w:color="auto" w:fill="auto"/>
            <w:vAlign w:val="bottom"/>
          </w:tcPr>
          <w:p w14:paraId="74DD79C0" w14:textId="77777777" w:rsidR="00584EC1" w:rsidRDefault="00584EC1">
            <w:pPr>
              <w:rPr>
                <w:rFonts w:ascii="宋体"/>
                <w:vanish/>
              </w:rPr>
            </w:pPr>
          </w:p>
        </w:tc>
        <w:tc>
          <w:tcPr>
            <w:tcW w:w="0" w:type="auto"/>
            <w:gridSpan w:val="3"/>
            <w:shd w:val="clear" w:color="auto" w:fill="auto"/>
            <w:vAlign w:val="bottom"/>
          </w:tcPr>
          <w:p w14:paraId="74DD79C1" w14:textId="77777777" w:rsidR="00584EC1" w:rsidRDefault="00584EC1">
            <w:pPr>
              <w:rPr>
                <w:rFonts w:ascii="宋体"/>
                <w:vanish/>
              </w:rPr>
            </w:pPr>
          </w:p>
        </w:tc>
        <w:tc>
          <w:tcPr>
            <w:tcW w:w="0" w:type="auto"/>
            <w:gridSpan w:val="3"/>
            <w:shd w:val="clear" w:color="auto" w:fill="auto"/>
            <w:vAlign w:val="bottom"/>
          </w:tcPr>
          <w:p w14:paraId="74DD79C2" w14:textId="77777777" w:rsidR="00584EC1" w:rsidRDefault="00584EC1">
            <w:pPr>
              <w:rPr>
                <w:rFonts w:ascii="宋体"/>
                <w:vanish/>
              </w:rPr>
            </w:pPr>
          </w:p>
        </w:tc>
        <w:tc>
          <w:tcPr>
            <w:tcW w:w="0" w:type="auto"/>
            <w:gridSpan w:val="3"/>
            <w:shd w:val="clear" w:color="auto" w:fill="auto"/>
            <w:vAlign w:val="bottom"/>
          </w:tcPr>
          <w:p w14:paraId="74DD79C3" w14:textId="77777777" w:rsidR="00584EC1" w:rsidRDefault="00584EC1">
            <w:pPr>
              <w:rPr>
                <w:rFonts w:ascii="宋体"/>
                <w:vanish/>
              </w:rPr>
            </w:pPr>
          </w:p>
        </w:tc>
        <w:tc>
          <w:tcPr>
            <w:tcW w:w="0" w:type="auto"/>
            <w:gridSpan w:val="3"/>
            <w:shd w:val="clear" w:color="auto" w:fill="auto"/>
            <w:vAlign w:val="bottom"/>
          </w:tcPr>
          <w:p w14:paraId="74DD79C4" w14:textId="77777777" w:rsidR="00584EC1" w:rsidRDefault="00584EC1">
            <w:pPr>
              <w:rPr>
                <w:rFonts w:ascii="宋体"/>
                <w:vanish/>
              </w:rPr>
            </w:pPr>
          </w:p>
        </w:tc>
        <w:tc>
          <w:tcPr>
            <w:tcW w:w="0" w:type="auto"/>
            <w:gridSpan w:val="3"/>
            <w:shd w:val="clear" w:color="auto" w:fill="auto"/>
            <w:vAlign w:val="bottom"/>
          </w:tcPr>
          <w:p w14:paraId="74DD79C5" w14:textId="77777777" w:rsidR="00584EC1" w:rsidRDefault="00584EC1">
            <w:pPr>
              <w:rPr>
                <w:rFonts w:ascii="宋体"/>
                <w:vanish/>
              </w:rPr>
            </w:pPr>
          </w:p>
        </w:tc>
        <w:tc>
          <w:tcPr>
            <w:tcW w:w="0" w:type="auto"/>
            <w:gridSpan w:val="3"/>
            <w:shd w:val="clear" w:color="auto" w:fill="auto"/>
            <w:vAlign w:val="bottom"/>
          </w:tcPr>
          <w:p w14:paraId="74DD79C6" w14:textId="77777777" w:rsidR="00584EC1" w:rsidRDefault="00584EC1">
            <w:pPr>
              <w:rPr>
                <w:rFonts w:ascii="宋体"/>
                <w:vanish/>
              </w:rPr>
            </w:pPr>
          </w:p>
        </w:tc>
        <w:tc>
          <w:tcPr>
            <w:tcW w:w="0" w:type="auto"/>
            <w:gridSpan w:val="3"/>
            <w:shd w:val="clear" w:color="auto" w:fill="auto"/>
            <w:vAlign w:val="bottom"/>
          </w:tcPr>
          <w:p w14:paraId="74DD79C7" w14:textId="77777777" w:rsidR="00584EC1" w:rsidRDefault="00584EC1">
            <w:pPr>
              <w:rPr>
                <w:rFonts w:ascii="宋体"/>
                <w:vanish/>
              </w:rPr>
            </w:pPr>
          </w:p>
        </w:tc>
        <w:tc>
          <w:tcPr>
            <w:tcW w:w="0" w:type="auto"/>
            <w:gridSpan w:val="3"/>
            <w:shd w:val="clear" w:color="auto" w:fill="auto"/>
            <w:vAlign w:val="bottom"/>
          </w:tcPr>
          <w:p w14:paraId="74DD79C8" w14:textId="77777777" w:rsidR="00584EC1" w:rsidRDefault="00584EC1">
            <w:pPr>
              <w:rPr>
                <w:rFonts w:ascii="宋体"/>
                <w:vanish/>
              </w:rPr>
            </w:pPr>
          </w:p>
        </w:tc>
      </w:tr>
      <w:tr w:rsidR="00584EC1" w14:paraId="74DD79E2" w14:textId="77777777">
        <w:tc>
          <w:tcPr>
            <w:tcW w:w="0" w:type="auto"/>
            <w:gridSpan w:val="3"/>
            <w:shd w:val="clear" w:color="auto" w:fill="FFFFFF"/>
            <w:tcMar>
              <w:top w:w="40" w:type="dxa"/>
              <w:left w:w="20" w:type="dxa"/>
              <w:bottom w:w="40" w:type="dxa"/>
              <w:right w:w="20" w:type="dxa"/>
            </w:tcMar>
            <w:vAlign w:val="bottom"/>
          </w:tcPr>
          <w:p w14:paraId="74DD79CA" w14:textId="77777777" w:rsidR="00584EC1" w:rsidRDefault="00871F8D">
            <w:pPr>
              <w:textAlignment w:val="bottom"/>
            </w:pPr>
            <w:r>
              <w:rPr>
                <w:rFonts w:ascii="Arial" w:eastAsia="宋体" w:hAnsi="Arial" w:cs="Arial"/>
                <w:b/>
                <w:bCs/>
                <w:color w:val="000000"/>
                <w:sz w:val="14"/>
                <w:szCs w:val="14"/>
              </w:rPr>
              <w:t xml:space="preserve">Total </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79CB"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79CC" w14:textId="77777777" w:rsidR="00584EC1" w:rsidRDefault="00871F8D">
            <w:pPr>
              <w:jc w:val="right"/>
              <w:textAlignment w:val="bottom"/>
            </w:pPr>
            <w:r>
              <w:rPr>
                <w:rFonts w:ascii="Arial" w:eastAsia="宋体" w:hAnsi="Arial" w:cs="Arial"/>
                <w:b/>
                <w:bCs/>
                <w:color w:val="000000"/>
                <w:sz w:val="14"/>
                <w:szCs w:val="14"/>
              </w:rPr>
              <w:t>43,337</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79C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9CE"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79CF"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79D0" w14:textId="77777777" w:rsidR="00584EC1" w:rsidRDefault="00871F8D">
            <w:pPr>
              <w:jc w:val="right"/>
              <w:textAlignment w:val="bottom"/>
            </w:pPr>
            <w:r>
              <w:rPr>
                <w:rFonts w:ascii="Arial" w:eastAsia="宋体" w:hAnsi="Arial" w:cs="Arial"/>
                <w:color w:val="000000"/>
                <w:sz w:val="14"/>
                <w:szCs w:val="14"/>
              </w:rPr>
              <w:t>38,791 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79D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9D2"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79D3"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79D4" w14:textId="77777777" w:rsidR="00584EC1" w:rsidRDefault="00871F8D">
            <w:pPr>
              <w:jc w:val="right"/>
              <w:textAlignment w:val="bottom"/>
            </w:pPr>
            <w:r>
              <w:rPr>
                <w:rFonts w:ascii="Arial" w:eastAsia="宋体" w:hAnsi="Arial" w:cs="Arial"/>
                <w:color w:val="000000"/>
                <w:sz w:val="14"/>
                <w:szCs w:val="14"/>
              </w:rPr>
              <w:t>36,643 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79D5" w14:textId="77777777" w:rsidR="00584EC1" w:rsidRDefault="00584EC1">
            <w:pPr>
              <w:jc w:val="right"/>
              <w:rPr>
                <w:rFonts w:ascii="宋体"/>
              </w:rPr>
            </w:pPr>
          </w:p>
        </w:tc>
        <w:tc>
          <w:tcPr>
            <w:tcW w:w="0" w:type="auto"/>
            <w:shd w:val="clear" w:color="auto" w:fill="auto"/>
            <w:vAlign w:val="bottom"/>
          </w:tcPr>
          <w:p w14:paraId="74DD79D6" w14:textId="77777777" w:rsidR="00584EC1" w:rsidRDefault="00584EC1">
            <w:pPr>
              <w:rPr>
                <w:rFonts w:ascii="宋体"/>
                <w:vanish/>
              </w:rPr>
            </w:pPr>
          </w:p>
        </w:tc>
        <w:tc>
          <w:tcPr>
            <w:tcW w:w="0" w:type="auto"/>
            <w:shd w:val="clear" w:color="auto" w:fill="auto"/>
            <w:vAlign w:val="bottom"/>
          </w:tcPr>
          <w:p w14:paraId="74DD79D7" w14:textId="77777777" w:rsidR="00584EC1" w:rsidRDefault="00584EC1">
            <w:pPr>
              <w:rPr>
                <w:rFonts w:ascii="宋体"/>
                <w:vanish/>
              </w:rPr>
            </w:pPr>
          </w:p>
        </w:tc>
        <w:tc>
          <w:tcPr>
            <w:tcW w:w="0" w:type="auto"/>
            <w:gridSpan w:val="3"/>
            <w:shd w:val="clear" w:color="auto" w:fill="auto"/>
            <w:vAlign w:val="bottom"/>
          </w:tcPr>
          <w:p w14:paraId="74DD79D8" w14:textId="77777777" w:rsidR="00584EC1" w:rsidRDefault="00584EC1">
            <w:pPr>
              <w:rPr>
                <w:rFonts w:ascii="宋体"/>
                <w:vanish/>
              </w:rPr>
            </w:pPr>
          </w:p>
        </w:tc>
        <w:tc>
          <w:tcPr>
            <w:tcW w:w="0" w:type="auto"/>
            <w:gridSpan w:val="3"/>
            <w:shd w:val="clear" w:color="auto" w:fill="auto"/>
            <w:vAlign w:val="bottom"/>
          </w:tcPr>
          <w:p w14:paraId="74DD79D9" w14:textId="77777777" w:rsidR="00584EC1" w:rsidRDefault="00584EC1">
            <w:pPr>
              <w:rPr>
                <w:rFonts w:ascii="宋体"/>
                <w:vanish/>
              </w:rPr>
            </w:pPr>
          </w:p>
        </w:tc>
        <w:tc>
          <w:tcPr>
            <w:tcW w:w="0" w:type="auto"/>
            <w:gridSpan w:val="3"/>
            <w:shd w:val="clear" w:color="auto" w:fill="auto"/>
            <w:vAlign w:val="bottom"/>
          </w:tcPr>
          <w:p w14:paraId="74DD79DA" w14:textId="77777777" w:rsidR="00584EC1" w:rsidRDefault="00584EC1">
            <w:pPr>
              <w:rPr>
                <w:rFonts w:ascii="宋体"/>
                <w:vanish/>
              </w:rPr>
            </w:pPr>
          </w:p>
        </w:tc>
        <w:tc>
          <w:tcPr>
            <w:tcW w:w="0" w:type="auto"/>
            <w:gridSpan w:val="3"/>
            <w:shd w:val="clear" w:color="auto" w:fill="auto"/>
            <w:vAlign w:val="bottom"/>
          </w:tcPr>
          <w:p w14:paraId="74DD79DB" w14:textId="77777777" w:rsidR="00584EC1" w:rsidRDefault="00584EC1">
            <w:pPr>
              <w:rPr>
                <w:rFonts w:ascii="宋体"/>
                <w:vanish/>
              </w:rPr>
            </w:pPr>
          </w:p>
        </w:tc>
        <w:tc>
          <w:tcPr>
            <w:tcW w:w="0" w:type="auto"/>
            <w:gridSpan w:val="3"/>
            <w:shd w:val="clear" w:color="auto" w:fill="auto"/>
            <w:vAlign w:val="bottom"/>
          </w:tcPr>
          <w:p w14:paraId="74DD79DC" w14:textId="77777777" w:rsidR="00584EC1" w:rsidRDefault="00584EC1">
            <w:pPr>
              <w:rPr>
                <w:rFonts w:ascii="宋体"/>
                <w:vanish/>
              </w:rPr>
            </w:pPr>
          </w:p>
        </w:tc>
        <w:tc>
          <w:tcPr>
            <w:tcW w:w="0" w:type="auto"/>
            <w:gridSpan w:val="3"/>
            <w:shd w:val="clear" w:color="auto" w:fill="auto"/>
            <w:vAlign w:val="bottom"/>
          </w:tcPr>
          <w:p w14:paraId="74DD79DD" w14:textId="77777777" w:rsidR="00584EC1" w:rsidRDefault="00584EC1">
            <w:pPr>
              <w:rPr>
                <w:rFonts w:ascii="宋体"/>
                <w:vanish/>
              </w:rPr>
            </w:pPr>
          </w:p>
        </w:tc>
        <w:tc>
          <w:tcPr>
            <w:tcW w:w="0" w:type="auto"/>
            <w:gridSpan w:val="3"/>
            <w:shd w:val="clear" w:color="auto" w:fill="auto"/>
            <w:vAlign w:val="bottom"/>
          </w:tcPr>
          <w:p w14:paraId="74DD79DE" w14:textId="77777777" w:rsidR="00584EC1" w:rsidRDefault="00584EC1">
            <w:pPr>
              <w:rPr>
                <w:rFonts w:ascii="宋体"/>
                <w:vanish/>
              </w:rPr>
            </w:pPr>
          </w:p>
        </w:tc>
        <w:tc>
          <w:tcPr>
            <w:tcW w:w="0" w:type="auto"/>
            <w:gridSpan w:val="3"/>
            <w:shd w:val="clear" w:color="auto" w:fill="auto"/>
            <w:vAlign w:val="bottom"/>
          </w:tcPr>
          <w:p w14:paraId="74DD79DF" w14:textId="77777777" w:rsidR="00584EC1" w:rsidRDefault="00584EC1">
            <w:pPr>
              <w:rPr>
                <w:rFonts w:ascii="宋体"/>
                <w:vanish/>
              </w:rPr>
            </w:pPr>
          </w:p>
        </w:tc>
        <w:tc>
          <w:tcPr>
            <w:tcW w:w="0" w:type="auto"/>
            <w:gridSpan w:val="3"/>
            <w:shd w:val="clear" w:color="auto" w:fill="auto"/>
            <w:vAlign w:val="bottom"/>
          </w:tcPr>
          <w:p w14:paraId="74DD79E0" w14:textId="77777777" w:rsidR="00584EC1" w:rsidRDefault="00584EC1">
            <w:pPr>
              <w:rPr>
                <w:rFonts w:ascii="宋体"/>
                <w:vanish/>
              </w:rPr>
            </w:pPr>
          </w:p>
        </w:tc>
        <w:tc>
          <w:tcPr>
            <w:tcW w:w="0" w:type="auto"/>
            <w:gridSpan w:val="3"/>
            <w:shd w:val="clear" w:color="auto" w:fill="auto"/>
            <w:vAlign w:val="bottom"/>
          </w:tcPr>
          <w:p w14:paraId="74DD79E1" w14:textId="77777777" w:rsidR="00584EC1" w:rsidRDefault="00584EC1">
            <w:pPr>
              <w:rPr>
                <w:rFonts w:ascii="宋体"/>
                <w:vanish/>
              </w:rPr>
            </w:pPr>
          </w:p>
        </w:tc>
      </w:tr>
    </w:tbl>
    <w:p w14:paraId="74DD79E3" w14:textId="77777777" w:rsidR="00584EC1" w:rsidRDefault="00584E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3060"/>
        <w:gridCol w:w="36"/>
        <w:gridCol w:w="99"/>
        <w:gridCol w:w="1358"/>
        <w:gridCol w:w="37"/>
        <w:gridCol w:w="36"/>
        <w:gridCol w:w="36"/>
        <w:gridCol w:w="36"/>
        <w:gridCol w:w="99"/>
        <w:gridCol w:w="1322"/>
        <w:gridCol w:w="37"/>
        <w:gridCol w:w="36"/>
        <w:gridCol w:w="36"/>
        <w:gridCol w:w="36"/>
        <w:gridCol w:w="99"/>
        <w:gridCol w:w="1322"/>
        <w:gridCol w:w="37"/>
        <w:gridCol w:w="36"/>
        <w:gridCol w:w="36"/>
        <w:gridCol w:w="36"/>
        <w:gridCol w:w="36"/>
        <w:gridCol w:w="36"/>
        <w:gridCol w:w="36"/>
        <w:gridCol w:w="36"/>
        <w:gridCol w:w="36"/>
        <w:gridCol w:w="36"/>
        <w:gridCol w:w="36"/>
        <w:gridCol w:w="36"/>
        <w:gridCol w:w="36"/>
        <w:gridCol w:w="36"/>
        <w:gridCol w:w="36"/>
        <w:gridCol w:w="36"/>
        <w:gridCol w:w="36"/>
      </w:tblGrid>
      <w:tr w:rsidR="00584EC1" w14:paraId="74DD79FE" w14:textId="77777777">
        <w:tc>
          <w:tcPr>
            <w:tcW w:w="50" w:type="pct"/>
            <w:shd w:val="clear" w:color="auto" w:fill="auto"/>
            <w:vAlign w:val="bottom"/>
          </w:tcPr>
          <w:p w14:paraId="74DD79E4" w14:textId="77777777" w:rsidR="00584EC1" w:rsidRDefault="00584EC1">
            <w:pPr>
              <w:rPr>
                <w:rFonts w:ascii="宋体"/>
              </w:rPr>
            </w:pPr>
          </w:p>
        </w:tc>
        <w:tc>
          <w:tcPr>
            <w:tcW w:w="1999" w:type="pct"/>
            <w:shd w:val="clear" w:color="auto" w:fill="auto"/>
            <w:vAlign w:val="bottom"/>
          </w:tcPr>
          <w:p w14:paraId="74DD79E5" w14:textId="77777777" w:rsidR="00584EC1" w:rsidRDefault="00584EC1">
            <w:pPr>
              <w:rPr>
                <w:rFonts w:ascii="宋体"/>
              </w:rPr>
            </w:pPr>
          </w:p>
        </w:tc>
        <w:tc>
          <w:tcPr>
            <w:tcW w:w="5" w:type="pct"/>
            <w:shd w:val="clear" w:color="auto" w:fill="auto"/>
            <w:vAlign w:val="bottom"/>
          </w:tcPr>
          <w:p w14:paraId="74DD79E6" w14:textId="77777777" w:rsidR="00584EC1" w:rsidRDefault="00584EC1">
            <w:pPr>
              <w:rPr>
                <w:rFonts w:ascii="宋体"/>
              </w:rPr>
            </w:pPr>
          </w:p>
        </w:tc>
        <w:tc>
          <w:tcPr>
            <w:tcW w:w="50" w:type="pct"/>
            <w:shd w:val="clear" w:color="auto" w:fill="auto"/>
            <w:vAlign w:val="bottom"/>
          </w:tcPr>
          <w:p w14:paraId="74DD79E7" w14:textId="77777777" w:rsidR="00584EC1" w:rsidRDefault="00584EC1">
            <w:pPr>
              <w:rPr>
                <w:rFonts w:ascii="宋体"/>
              </w:rPr>
            </w:pPr>
          </w:p>
        </w:tc>
        <w:tc>
          <w:tcPr>
            <w:tcW w:w="902" w:type="pct"/>
            <w:shd w:val="clear" w:color="auto" w:fill="auto"/>
            <w:vAlign w:val="bottom"/>
          </w:tcPr>
          <w:p w14:paraId="74DD79E8" w14:textId="77777777" w:rsidR="00584EC1" w:rsidRDefault="00584EC1">
            <w:pPr>
              <w:rPr>
                <w:rFonts w:ascii="宋体"/>
              </w:rPr>
            </w:pPr>
          </w:p>
        </w:tc>
        <w:tc>
          <w:tcPr>
            <w:tcW w:w="5" w:type="pct"/>
            <w:shd w:val="clear" w:color="auto" w:fill="auto"/>
            <w:vAlign w:val="bottom"/>
          </w:tcPr>
          <w:p w14:paraId="74DD79E9" w14:textId="77777777" w:rsidR="00584EC1" w:rsidRDefault="00584EC1">
            <w:pPr>
              <w:rPr>
                <w:rFonts w:ascii="宋体"/>
              </w:rPr>
            </w:pPr>
          </w:p>
        </w:tc>
        <w:tc>
          <w:tcPr>
            <w:tcW w:w="5" w:type="pct"/>
            <w:shd w:val="clear" w:color="auto" w:fill="auto"/>
            <w:vAlign w:val="bottom"/>
          </w:tcPr>
          <w:p w14:paraId="74DD79EA" w14:textId="77777777" w:rsidR="00584EC1" w:rsidRDefault="00584EC1">
            <w:pPr>
              <w:rPr>
                <w:rFonts w:ascii="宋体"/>
              </w:rPr>
            </w:pPr>
          </w:p>
        </w:tc>
        <w:tc>
          <w:tcPr>
            <w:tcW w:w="26" w:type="pct"/>
            <w:shd w:val="clear" w:color="auto" w:fill="auto"/>
            <w:vAlign w:val="bottom"/>
          </w:tcPr>
          <w:p w14:paraId="74DD79EB" w14:textId="77777777" w:rsidR="00584EC1" w:rsidRDefault="00584EC1">
            <w:pPr>
              <w:rPr>
                <w:rFonts w:ascii="宋体"/>
              </w:rPr>
            </w:pPr>
          </w:p>
        </w:tc>
        <w:tc>
          <w:tcPr>
            <w:tcW w:w="5" w:type="pct"/>
            <w:shd w:val="clear" w:color="auto" w:fill="auto"/>
            <w:vAlign w:val="bottom"/>
          </w:tcPr>
          <w:p w14:paraId="74DD79EC" w14:textId="77777777" w:rsidR="00584EC1" w:rsidRDefault="00584EC1">
            <w:pPr>
              <w:rPr>
                <w:rFonts w:ascii="宋体"/>
              </w:rPr>
            </w:pPr>
          </w:p>
        </w:tc>
        <w:tc>
          <w:tcPr>
            <w:tcW w:w="50" w:type="pct"/>
            <w:shd w:val="clear" w:color="auto" w:fill="auto"/>
            <w:vAlign w:val="bottom"/>
          </w:tcPr>
          <w:p w14:paraId="74DD79ED" w14:textId="77777777" w:rsidR="00584EC1" w:rsidRDefault="00584EC1">
            <w:pPr>
              <w:rPr>
                <w:rFonts w:ascii="宋体"/>
              </w:rPr>
            </w:pPr>
          </w:p>
        </w:tc>
        <w:tc>
          <w:tcPr>
            <w:tcW w:w="902" w:type="pct"/>
            <w:shd w:val="clear" w:color="auto" w:fill="auto"/>
            <w:vAlign w:val="bottom"/>
          </w:tcPr>
          <w:p w14:paraId="74DD79EE" w14:textId="77777777" w:rsidR="00584EC1" w:rsidRDefault="00584EC1">
            <w:pPr>
              <w:rPr>
                <w:rFonts w:ascii="宋体"/>
              </w:rPr>
            </w:pPr>
          </w:p>
        </w:tc>
        <w:tc>
          <w:tcPr>
            <w:tcW w:w="5" w:type="pct"/>
            <w:shd w:val="clear" w:color="auto" w:fill="auto"/>
            <w:vAlign w:val="bottom"/>
          </w:tcPr>
          <w:p w14:paraId="74DD79EF" w14:textId="77777777" w:rsidR="00584EC1" w:rsidRDefault="00584EC1">
            <w:pPr>
              <w:rPr>
                <w:rFonts w:ascii="宋体"/>
              </w:rPr>
            </w:pPr>
          </w:p>
        </w:tc>
        <w:tc>
          <w:tcPr>
            <w:tcW w:w="5" w:type="pct"/>
            <w:shd w:val="clear" w:color="auto" w:fill="auto"/>
            <w:vAlign w:val="bottom"/>
          </w:tcPr>
          <w:p w14:paraId="74DD79F0" w14:textId="77777777" w:rsidR="00584EC1" w:rsidRDefault="00584EC1">
            <w:pPr>
              <w:rPr>
                <w:rFonts w:ascii="宋体"/>
              </w:rPr>
            </w:pPr>
          </w:p>
        </w:tc>
        <w:tc>
          <w:tcPr>
            <w:tcW w:w="26" w:type="pct"/>
            <w:shd w:val="clear" w:color="auto" w:fill="auto"/>
            <w:vAlign w:val="bottom"/>
          </w:tcPr>
          <w:p w14:paraId="74DD79F1" w14:textId="77777777" w:rsidR="00584EC1" w:rsidRDefault="00584EC1">
            <w:pPr>
              <w:rPr>
                <w:rFonts w:ascii="宋体"/>
              </w:rPr>
            </w:pPr>
          </w:p>
        </w:tc>
        <w:tc>
          <w:tcPr>
            <w:tcW w:w="5" w:type="pct"/>
            <w:shd w:val="clear" w:color="auto" w:fill="auto"/>
            <w:vAlign w:val="bottom"/>
          </w:tcPr>
          <w:p w14:paraId="74DD79F2" w14:textId="77777777" w:rsidR="00584EC1" w:rsidRDefault="00584EC1">
            <w:pPr>
              <w:rPr>
                <w:rFonts w:ascii="宋体"/>
              </w:rPr>
            </w:pPr>
          </w:p>
        </w:tc>
        <w:tc>
          <w:tcPr>
            <w:tcW w:w="50" w:type="pct"/>
            <w:shd w:val="clear" w:color="auto" w:fill="auto"/>
            <w:vAlign w:val="bottom"/>
          </w:tcPr>
          <w:p w14:paraId="74DD79F3" w14:textId="77777777" w:rsidR="00584EC1" w:rsidRDefault="00584EC1">
            <w:pPr>
              <w:rPr>
                <w:rFonts w:ascii="宋体"/>
              </w:rPr>
            </w:pPr>
          </w:p>
        </w:tc>
        <w:tc>
          <w:tcPr>
            <w:tcW w:w="902" w:type="pct"/>
            <w:shd w:val="clear" w:color="auto" w:fill="auto"/>
            <w:vAlign w:val="bottom"/>
          </w:tcPr>
          <w:p w14:paraId="74DD79F4" w14:textId="77777777" w:rsidR="00584EC1" w:rsidRDefault="00584EC1">
            <w:pPr>
              <w:rPr>
                <w:rFonts w:ascii="宋体"/>
              </w:rPr>
            </w:pPr>
          </w:p>
        </w:tc>
        <w:tc>
          <w:tcPr>
            <w:tcW w:w="5" w:type="pct"/>
            <w:shd w:val="clear" w:color="auto" w:fill="auto"/>
            <w:vAlign w:val="bottom"/>
          </w:tcPr>
          <w:p w14:paraId="74DD79F5" w14:textId="77777777" w:rsidR="00584EC1" w:rsidRDefault="00584EC1">
            <w:pPr>
              <w:rPr>
                <w:rFonts w:ascii="宋体"/>
              </w:rPr>
            </w:pPr>
          </w:p>
        </w:tc>
        <w:tc>
          <w:tcPr>
            <w:tcW w:w="0" w:type="auto"/>
            <w:shd w:val="clear" w:color="auto" w:fill="auto"/>
            <w:vAlign w:val="bottom"/>
          </w:tcPr>
          <w:p w14:paraId="74DD79F6" w14:textId="77777777" w:rsidR="00584EC1" w:rsidRDefault="00584EC1">
            <w:pPr>
              <w:rPr>
                <w:rFonts w:ascii="宋体"/>
                <w:vanish/>
              </w:rPr>
            </w:pPr>
          </w:p>
        </w:tc>
        <w:tc>
          <w:tcPr>
            <w:tcW w:w="0" w:type="auto"/>
            <w:shd w:val="clear" w:color="auto" w:fill="auto"/>
            <w:vAlign w:val="bottom"/>
          </w:tcPr>
          <w:p w14:paraId="74DD79F7" w14:textId="77777777" w:rsidR="00584EC1" w:rsidRDefault="00584EC1">
            <w:pPr>
              <w:rPr>
                <w:rFonts w:ascii="宋体"/>
                <w:vanish/>
              </w:rPr>
            </w:pPr>
          </w:p>
        </w:tc>
        <w:tc>
          <w:tcPr>
            <w:tcW w:w="0" w:type="auto"/>
            <w:shd w:val="clear" w:color="auto" w:fill="auto"/>
            <w:vAlign w:val="bottom"/>
          </w:tcPr>
          <w:p w14:paraId="74DD79F8" w14:textId="77777777" w:rsidR="00584EC1" w:rsidRDefault="00584EC1">
            <w:pPr>
              <w:rPr>
                <w:rFonts w:ascii="宋体"/>
                <w:vanish/>
              </w:rPr>
            </w:pPr>
          </w:p>
        </w:tc>
        <w:tc>
          <w:tcPr>
            <w:tcW w:w="0" w:type="auto"/>
            <w:shd w:val="clear" w:color="auto" w:fill="auto"/>
            <w:vAlign w:val="bottom"/>
          </w:tcPr>
          <w:p w14:paraId="74DD79F9" w14:textId="77777777" w:rsidR="00584EC1" w:rsidRDefault="00584EC1">
            <w:pPr>
              <w:rPr>
                <w:rFonts w:ascii="宋体"/>
                <w:vanish/>
              </w:rPr>
            </w:pPr>
          </w:p>
        </w:tc>
        <w:tc>
          <w:tcPr>
            <w:tcW w:w="0" w:type="auto"/>
            <w:gridSpan w:val="3"/>
            <w:shd w:val="clear" w:color="auto" w:fill="auto"/>
            <w:vAlign w:val="bottom"/>
          </w:tcPr>
          <w:p w14:paraId="74DD79FA" w14:textId="77777777" w:rsidR="00584EC1" w:rsidRDefault="00584EC1">
            <w:pPr>
              <w:rPr>
                <w:rFonts w:ascii="宋体"/>
                <w:vanish/>
              </w:rPr>
            </w:pPr>
          </w:p>
        </w:tc>
        <w:tc>
          <w:tcPr>
            <w:tcW w:w="0" w:type="auto"/>
            <w:gridSpan w:val="3"/>
            <w:shd w:val="clear" w:color="auto" w:fill="auto"/>
            <w:vAlign w:val="bottom"/>
          </w:tcPr>
          <w:p w14:paraId="74DD79FB" w14:textId="77777777" w:rsidR="00584EC1" w:rsidRDefault="00584EC1">
            <w:pPr>
              <w:rPr>
                <w:rFonts w:ascii="宋体"/>
                <w:vanish/>
              </w:rPr>
            </w:pPr>
          </w:p>
        </w:tc>
        <w:tc>
          <w:tcPr>
            <w:tcW w:w="0" w:type="auto"/>
            <w:gridSpan w:val="3"/>
            <w:shd w:val="clear" w:color="auto" w:fill="auto"/>
            <w:vAlign w:val="bottom"/>
          </w:tcPr>
          <w:p w14:paraId="74DD79FC" w14:textId="77777777" w:rsidR="00584EC1" w:rsidRDefault="00584EC1">
            <w:pPr>
              <w:rPr>
                <w:rFonts w:ascii="宋体"/>
                <w:vanish/>
              </w:rPr>
            </w:pPr>
          </w:p>
        </w:tc>
        <w:tc>
          <w:tcPr>
            <w:tcW w:w="0" w:type="auto"/>
            <w:gridSpan w:val="3"/>
            <w:shd w:val="clear" w:color="auto" w:fill="auto"/>
            <w:vAlign w:val="bottom"/>
          </w:tcPr>
          <w:p w14:paraId="74DD79FD" w14:textId="77777777" w:rsidR="00584EC1" w:rsidRDefault="00584EC1">
            <w:pPr>
              <w:rPr>
                <w:rFonts w:ascii="宋体"/>
                <w:vanish/>
              </w:rPr>
            </w:pPr>
          </w:p>
        </w:tc>
      </w:tr>
      <w:tr w:rsidR="00584EC1" w14:paraId="74DD7A10" w14:textId="77777777">
        <w:tc>
          <w:tcPr>
            <w:tcW w:w="0" w:type="auto"/>
            <w:gridSpan w:val="18"/>
            <w:shd w:val="clear" w:color="auto" w:fill="auto"/>
            <w:tcMar>
              <w:top w:w="40" w:type="dxa"/>
              <w:left w:w="20" w:type="dxa"/>
              <w:bottom w:w="40" w:type="dxa"/>
              <w:right w:w="20" w:type="dxa"/>
            </w:tcMar>
            <w:vAlign w:val="bottom"/>
          </w:tcPr>
          <w:p w14:paraId="74DD79FF" w14:textId="77777777" w:rsidR="00584EC1" w:rsidRDefault="00871F8D">
            <w:pPr>
              <w:textAlignment w:val="bottom"/>
            </w:pPr>
            <w:r>
              <w:rPr>
                <w:rFonts w:ascii="Arial" w:eastAsia="宋体" w:hAnsi="Arial" w:cs="Arial"/>
                <w:b/>
                <w:bCs/>
                <w:color w:val="000000"/>
                <w:sz w:val="16"/>
                <w:szCs w:val="16"/>
              </w:rPr>
              <w:t>TABLE 13: ASSETS UNDER CUSTODY AND/OR ADMINISTRATION BY GEOGRAPHY</w:t>
            </w:r>
            <w:r>
              <w:rPr>
                <w:rFonts w:ascii="Arial" w:eastAsia="宋体" w:hAnsi="Arial" w:cs="Arial"/>
                <w:b/>
                <w:bCs/>
                <w:color w:val="000000"/>
                <w:sz w:val="10"/>
                <w:szCs w:val="10"/>
              </w:rPr>
              <w:t>(2)(3)</w:t>
            </w:r>
          </w:p>
        </w:tc>
        <w:tc>
          <w:tcPr>
            <w:tcW w:w="0" w:type="auto"/>
            <w:shd w:val="clear" w:color="auto" w:fill="auto"/>
            <w:vAlign w:val="bottom"/>
          </w:tcPr>
          <w:p w14:paraId="74DD7A00" w14:textId="77777777" w:rsidR="00584EC1" w:rsidRDefault="00584EC1">
            <w:pPr>
              <w:rPr>
                <w:rFonts w:ascii="宋体"/>
                <w:vanish/>
              </w:rPr>
            </w:pPr>
          </w:p>
        </w:tc>
        <w:tc>
          <w:tcPr>
            <w:tcW w:w="0" w:type="auto"/>
            <w:shd w:val="clear" w:color="auto" w:fill="auto"/>
            <w:vAlign w:val="bottom"/>
          </w:tcPr>
          <w:p w14:paraId="74DD7A01" w14:textId="77777777" w:rsidR="00584EC1" w:rsidRDefault="00584EC1">
            <w:pPr>
              <w:rPr>
                <w:rFonts w:ascii="宋体"/>
                <w:vanish/>
              </w:rPr>
            </w:pPr>
          </w:p>
        </w:tc>
        <w:tc>
          <w:tcPr>
            <w:tcW w:w="0" w:type="auto"/>
            <w:shd w:val="clear" w:color="auto" w:fill="auto"/>
            <w:vAlign w:val="bottom"/>
          </w:tcPr>
          <w:p w14:paraId="74DD7A02" w14:textId="77777777" w:rsidR="00584EC1" w:rsidRDefault="00584EC1">
            <w:pPr>
              <w:rPr>
                <w:rFonts w:ascii="宋体"/>
                <w:vanish/>
              </w:rPr>
            </w:pPr>
          </w:p>
        </w:tc>
        <w:tc>
          <w:tcPr>
            <w:tcW w:w="0" w:type="auto"/>
            <w:shd w:val="clear" w:color="auto" w:fill="auto"/>
            <w:vAlign w:val="bottom"/>
          </w:tcPr>
          <w:p w14:paraId="74DD7A03" w14:textId="77777777" w:rsidR="00584EC1" w:rsidRDefault="00584EC1">
            <w:pPr>
              <w:rPr>
                <w:rFonts w:ascii="宋体"/>
                <w:vanish/>
              </w:rPr>
            </w:pPr>
          </w:p>
        </w:tc>
        <w:tc>
          <w:tcPr>
            <w:tcW w:w="0" w:type="auto"/>
            <w:shd w:val="clear" w:color="auto" w:fill="auto"/>
            <w:vAlign w:val="bottom"/>
          </w:tcPr>
          <w:p w14:paraId="74DD7A04" w14:textId="77777777" w:rsidR="00584EC1" w:rsidRDefault="00584EC1">
            <w:pPr>
              <w:rPr>
                <w:rFonts w:ascii="宋体"/>
              </w:rPr>
            </w:pPr>
          </w:p>
        </w:tc>
        <w:tc>
          <w:tcPr>
            <w:tcW w:w="0" w:type="auto"/>
            <w:shd w:val="clear" w:color="auto" w:fill="auto"/>
            <w:vAlign w:val="bottom"/>
          </w:tcPr>
          <w:p w14:paraId="74DD7A05" w14:textId="77777777" w:rsidR="00584EC1" w:rsidRDefault="00584EC1">
            <w:pPr>
              <w:rPr>
                <w:rFonts w:ascii="宋体"/>
              </w:rPr>
            </w:pPr>
          </w:p>
        </w:tc>
        <w:tc>
          <w:tcPr>
            <w:tcW w:w="0" w:type="auto"/>
            <w:shd w:val="clear" w:color="auto" w:fill="auto"/>
            <w:vAlign w:val="bottom"/>
          </w:tcPr>
          <w:p w14:paraId="74DD7A06" w14:textId="77777777" w:rsidR="00584EC1" w:rsidRDefault="00584EC1">
            <w:pPr>
              <w:rPr>
                <w:rFonts w:ascii="宋体"/>
              </w:rPr>
            </w:pPr>
          </w:p>
        </w:tc>
        <w:tc>
          <w:tcPr>
            <w:tcW w:w="0" w:type="auto"/>
            <w:shd w:val="clear" w:color="auto" w:fill="auto"/>
            <w:vAlign w:val="bottom"/>
          </w:tcPr>
          <w:p w14:paraId="74DD7A07" w14:textId="77777777" w:rsidR="00584EC1" w:rsidRDefault="00584EC1">
            <w:pPr>
              <w:rPr>
                <w:rFonts w:ascii="宋体"/>
              </w:rPr>
            </w:pPr>
          </w:p>
        </w:tc>
        <w:tc>
          <w:tcPr>
            <w:tcW w:w="0" w:type="auto"/>
            <w:shd w:val="clear" w:color="auto" w:fill="auto"/>
            <w:vAlign w:val="bottom"/>
          </w:tcPr>
          <w:p w14:paraId="74DD7A08" w14:textId="77777777" w:rsidR="00584EC1" w:rsidRDefault="00584EC1">
            <w:pPr>
              <w:rPr>
                <w:rFonts w:ascii="宋体"/>
              </w:rPr>
            </w:pPr>
          </w:p>
        </w:tc>
        <w:tc>
          <w:tcPr>
            <w:tcW w:w="0" w:type="auto"/>
            <w:shd w:val="clear" w:color="auto" w:fill="auto"/>
            <w:vAlign w:val="bottom"/>
          </w:tcPr>
          <w:p w14:paraId="74DD7A09" w14:textId="77777777" w:rsidR="00584EC1" w:rsidRDefault="00584EC1">
            <w:pPr>
              <w:rPr>
                <w:rFonts w:ascii="宋体"/>
              </w:rPr>
            </w:pPr>
          </w:p>
        </w:tc>
        <w:tc>
          <w:tcPr>
            <w:tcW w:w="0" w:type="auto"/>
            <w:shd w:val="clear" w:color="auto" w:fill="auto"/>
            <w:vAlign w:val="bottom"/>
          </w:tcPr>
          <w:p w14:paraId="74DD7A0A" w14:textId="77777777" w:rsidR="00584EC1" w:rsidRDefault="00584EC1">
            <w:pPr>
              <w:rPr>
                <w:rFonts w:ascii="宋体"/>
              </w:rPr>
            </w:pPr>
          </w:p>
        </w:tc>
        <w:tc>
          <w:tcPr>
            <w:tcW w:w="0" w:type="auto"/>
            <w:shd w:val="clear" w:color="auto" w:fill="auto"/>
            <w:vAlign w:val="bottom"/>
          </w:tcPr>
          <w:p w14:paraId="74DD7A0B" w14:textId="77777777" w:rsidR="00584EC1" w:rsidRDefault="00584EC1">
            <w:pPr>
              <w:rPr>
                <w:rFonts w:ascii="宋体"/>
              </w:rPr>
            </w:pPr>
          </w:p>
        </w:tc>
        <w:tc>
          <w:tcPr>
            <w:tcW w:w="0" w:type="auto"/>
            <w:shd w:val="clear" w:color="auto" w:fill="auto"/>
            <w:vAlign w:val="bottom"/>
          </w:tcPr>
          <w:p w14:paraId="74DD7A0C" w14:textId="77777777" w:rsidR="00584EC1" w:rsidRDefault="00584EC1">
            <w:pPr>
              <w:rPr>
                <w:rFonts w:ascii="宋体"/>
              </w:rPr>
            </w:pPr>
          </w:p>
        </w:tc>
        <w:tc>
          <w:tcPr>
            <w:tcW w:w="0" w:type="auto"/>
            <w:shd w:val="clear" w:color="auto" w:fill="auto"/>
            <w:vAlign w:val="bottom"/>
          </w:tcPr>
          <w:p w14:paraId="74DD7A0D" w14:textId="77777777" w:rsidR="00584EC1" w:rsidRDefault="00584EC1">
            <w:pPr>
              <w:rPr>
                <w:rFonts w:ascii="宋体"/>
              </w:rPr>
            </w:pPr>
          </w:p>
        </w:tc>
        <w:tc>
          <w:tcPr>
            <w:tcW w:w="0" w:type="auto"/>
            <w:shd w:val="clear" w:color="auto" w:fill="auto"/>
            <w:vAlign w:val="bottom"/>
          </w:tcPr>
          <w:p w14:paraId="74DD7A0E" w14:textId="77777777" w:rsidR="00584EC1" w:rsidRDefault="00584EC1">
            <w:pPr>
              <w:rPr>
                <w:rFonts w:ascii="宋体"/>
              </w:rPr>
            </w:pPr>
          </w:p>
        </w:tc>
        <w:tc>
          <w:tcPr>
            <w:tcW w:w="0" w:type="auto"/>
            <w:shd w:val="clear" w:color="auto" w:fill="auto"/>
            <w:vAlign w:val="bottom"/>
          </w:tcPr>
          <w:p w14:paraId="74DD7A0F" w14:textId="77777777" w:rsidR="00584EC1" w:rsidRDefault="00584EC1">
            <w:pPr>
              <w:rPr>
                <w:rFonts w:ascii="宋体"/>
              </w:rPr>
            </w:pPr>
          </w:p>
        </w:tc>
      </w:tr>
      <w:tr w:rsidR="00584EC1" w14:paraId="74DD7A1F" w14:textId="77777777">
        <w:tc>
          <w:tcPr>
            <w:tcW w:w="0" w:type="auto"/>
            <w:gridSpan w:val="3"/>
            <w:shd w:val="clear" w:color="auto" w:fill="auto"/>
            <w:tcMar>
              <w:top w:w="40" w:type="dxa"/>
              <w:left w:w="20" w:type="dxa"/>
              <w:bottom w:w="40" w:type="dxa"/>
              <w:right w:w="20" w:type="dxa"/>
            </w:tcMar>
            <w:vAlign w:val="bottom"/>
          </w:tcPr>
          <w:p w14:paraId="74DD7A11" w14:textId="77777777" w:rsidR="00584EC1" w:rsidRDefault="00871F8D">
            <w:pPr>
              <w:textAlignment w:val="bottom"/>
            </w:pPr>
            <w:r>
              <w:rPr>
                <w:rFonts w:ascii="Arial" w:eastAsia="宋体" w:hAnsi="Arial" w:cs="Arial"/>
                <w:b/>
                <w:bCs/>
                <w:color w:val="000000"/>
                <w:sz w:val="14"/>
                <w:szCs w:val="14"/>
              </w:rPr>
              <w:t>(In billions)</w:t>
            </w:r>
          </w:p>
        </w:tc>
        <w:tc>
          <w:tcPr>
            <w:tcW w:w="0" w:type="auto"/>
            <w:gridSpan w:val="3"/>
            <w:shd w:val="clear" w:color="auto" w:fill="auto"/>
            <w:tcMar>
              <w:top w:w="40" w:type="dxa"/>
              <w:left w:w="20" w:type="dxa"/>
              <w:bottom w:w="40" w:type="dxa"/>
              <w:right w:w="20" w:type="dxa"/>
            </w:tcMar>
            <w:vAlign w:val="bottom"/>
          </w:tcPr>
          <w:p w14:paraId="74DD7A12" w14:textId="77777777" w:rsidR="00584EC1" w:rsidRDefault="00871F8D">
            <w:pPr>
              <w:jc w:val="center"/>
              <w:textAlignment w:val="bottom"/>
            </w:pPr>
            <w:r>
              <w:rPr>
                <w:rFonts w:ascii="Arial" w:eastAsia="宋体" w:hAnsi="Arial" w:cs="Arial"/>
                <w:b/>
                <w:bCs/>
                <w:color w:val="000000"/>
                <w:sz w:val="14"/>
                <w:szCs w:val="14"/>
              </w:rPr>
              <w:t>September 30, 2021</w:t>
            </w:r>
          </w:p>
        </w:tc>
        <w:tc>
          <w:tcPr>
            <w:tcW w:w="0" w:type="auto"/>
            <w:gridSpan w:val="3"/>
            <w:shd w:val="clear" w:color="auto" w:fill="auto"/>
            <w:tcMar>
              <w:top w:w="0" w:type="dxa"/>
              <w:left w:w="20" w:type="dxa"/>
              <w:bottom w:w="0" w:type="dxa"/>
              <w:right w:w="20" w:type="dxa"/>
            </w:tcMar>
            <w:vAlign w:val="bottom"/>
          </w:tcPr>
          <w:p w14:paraId="74DD7A13"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7A14" w14:textId="77777777" w:rsidR="00584EC1" w:rsidRDefault="00871F8D">
            <w:pPr>
              <w:jc w:val="center"/>
              <w:textAlignment w:val="bottom"/>
            </w:pPr>
            <w:r>
              <w:rPr>
                <w:rFonts w:ascii="Arial" w:eastAsia="宋体" w:hAnsi="Arial" w:cs="Arial"/>
                <w:b/>
                <w:bCs/>
                <w:color w:val="000000"/>
                <w:sz w:val="14"/>
                <w:szCs w:val="14"/>
              </w:rPr>
              <w:t>December 31, 2020</w:t>
            </w:r>
          </w:p>
        </w:tc>
        <w:tc>
          <w:tcPr>
            <w:tcW w:w="0" w:type="auto"/>
            <w:gridSpan w:val="3"/>
            <w:shd w:val="clear" w:color="auto" w:fill="auto"/>
            <w:tcMar>
              <w:top w:w="0" w:type="dxa"/>
              <w:left w:w="20" w:type="dxa"/>
              <w:bottom w:w="0" w:type="dxa"/>
              <w:right w:w="20" w:type="dxa"/>
            </w:tcMar>
            <w:vAlign w:val="bottom"/>
          </w:tcPr>
          <w:p w14:paraId="74DD7A15"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7A16" w14:textId="77777777" w:rsidR="00584EC1" w:rsidRDefault="00871F8D">
            <w:pPr>
              <w:jc w:val="center"/>
              <w:textAlignment w:val="bottom"/>
            </w:pPr>
            <w:r>
              <w:rPr>
                <w:rFonts w:ascii="Arial" w:eastAsia="宋体" w:hAnsi="Arial" w:cs="Arial"/>
                <w:b/>
                <w:bCs/>
                <w:color w:val="000000"/>
                <w:sz w:val="14"/>
                <w:szCs w:val="14"/>
              </w:rPr>
              <w:t>September 30, 2020</w:t>
            </w:r>
          </w:p>
        </w:tc>
        <w:tc>
          <w:tcPr>
            <w:tcW w:w="0" w:type="auto"/>
            <w:shd w:val="clear" w:color="auto" w:fill="auto"/>
            <w:vAlign w:val="bottom"/>
          </w:tcPr>
          <w:p w14:paraId="74DD7A17" w14:textId="77777777" w:rsidR="00584EC1" w:rsidRDefault="00584EC1">
            <w:pPr>
              <w:rPr>
                <w:rFonts w:ascii="宋体"/>
                <w:vanish/>
              </w:rPr>
            </w:pPr>
          </w:p>
        </w:tc>
        <w:tc>
          <w:tcPr>
            <w:tcW w:w="0" w:type="auto"/>
            <w:shd w:val="clear" w:color="auto" w:fill="auto"/>
            <w:vAlign w:val="bottom"/>
          </w:tcPr>
          <w:p w14:paraId="74DD7A18" w14:textId="77777777" w:rsidR="00584EC1" w:rsidRDefault="00584EC1">
            <w:pPr>
              <w:rPr>
                <w:rFonts w:ascii="宋体"/>
                <w:vanish/>
              </w:rPr>
            </w:pPr>
          </w:p>
        </w:tc>
        <w:tc>
          <w:tcPr>
            <w:tcW w:w="0" w:type="auto"/>
            <w:shd w:val="clear" w:color="auto" w:fill="auto"/>
            <w:vAlign w:val="bottom"/>
          </w:tcPr>
          <w:p w14:paraId="74DD7A19" w14:textId="77777777" w:rsidR="00584EC1" w:rsidRDefault="00584EC1">
            <w:pPr>
              <w:rPr>
                <w:rFonts w:ascii="宋体"/>
                <w:vanish/>
              </w:rPr>
            </w:pPr>
          </w:p>
        </w:tc>
        <w:tc>
          <w:tcPr>
            <w:tcW w:w="0" w:type="auto"/>
            <w:shd w:val="clear" w:color="auto" w:fill="auto"/>
            <w:vAlign w:val="bottom"/>
          </w:tcPr>
          <w:p w14:paraId="74DD7A1A" w14:textId="77777777" w:rsidR="00584EC1" w:rsidRDefault="00584EC1">
            <w:pPr>
              <w:rPr>
                <w:rFonts w:ascii="宋体"/>
                <w:vanish/>
              </w:rPr>
            </w:pPr>
          </w:p>
        </w:tc>
        <w:tc>
          <w:tcPr>
            <w:tcW w:w="0" w:type="auto"/>
            <w:gridSpan w:val="3"/>
            <w:shd w:val="clear" w:color="auto" w:fill="auto"/>
            <w:vAlign w:val="bottom"/>
          </w:tcPr>
          <w:p w14:paraId="74DD7A1B" w14:textId="77777777" w:rsidR="00584EC1" w:rsidRDefault="00584EC1">
            <w:pPr>
              <w:rPr>
                <w:rFonts w:ascii="宋体"/>
                <w:vanish/>
              </w:rPr>
            </w:pPr>
          </w:p>
        </w:tc>
        <w:tc>
          <w:tcPr>
            <w:tcW w:w="0" w:type="auto"/>
            <w:gridSpan w:val="3"/>
            <w:shd w:val="clear" w:color="auto" w:fill="auto"/>
            <w:vAlign w:val="bottom"/>
          </w:tcPr>
          <w:p w14:paraId="74DD7A1C" w14:textId="77777777" w:rsidR="00584EC1" w:rsidRDefault="00584EC1">
            <w:pPr>
              <w:rPr>
                <w:rFonts w:ascii="宋体"/>
                <w:vanish/>
              </w:rPr>
            </w:pPr>
          </w:p>
        </w:tc>
        <w:tc>
          <w:tcPr>
            <w:tcW w:w="0" w:type="auto"/>
            <w:gridSpan w:val="3"/>
            <w:shd w:val="clear" w:color="auto" w:fill="auto"/>
            <w:vAlign w:val="bottom"/>
          </w:tcPr>
          <w:p w14:paraId="74DD7A1D" w14:textId="77777777" w:rsidR="00584EC1" w:rsidRDefault="00584EC1">
            <w:pPr>
              <w:rPr>
                <w:rFonts w:ascii="宋体"/>
                <w:vanish/>
              </w:rPr>
            </w:pPr>
          </w:p>
        </w:tc>
        <w:tc>
          <w:tcPr>
            <w:tcW w:w="0" w:type="auto"/>
            <w:gridSpan w:val="3"/>
            <w:shd w:val="clear" w:color="auto" w:fill="auto"/>
            <w:vAlign w:val="bottom"/>
          </w:tcPr>
          <w:p w14:paraId="74DD7A1E" w14:textId="77777777" w:rsidR="00584EC1" w:rsidRDefault="00584EC1">
            <w:pPr>
              <w:rPr>
                <w:rFonts w:ascii="宋体"/>
                <w:vanish/>
              </w:rPr>
            </w:pPr>
          </w:p>
        </w:tc>
      </w:tr>
      <w:tr w:rsidR="00584EC1" w14:paraId="74DD7A34" w14:textId="77777777">
        <w:tc>
          <w:tcPr>
            <w:tcW w:w="0" w:type="auto"/>
            <w:gridSpan w:val="3"/>
            <w:shd w:val="clear" w:color="auto" w:fill="CCEEFF"/>
            <w:tcMar>
              <w:top w:w="40" w:type="dxa"/>
              <w:left w:w="20" w:type="dxa"/>
              <w:bottom w:w="40" w:type="dxa"/>
              <w:right w:w="20" w:type="dxa"/>
            </w:tcMar>
            <w:vAlign w:val="bottom"/>
          </w:tcPr>
          <w:p w14:paraId="74DD7A20" w14:textId="77777777" w:rsidR="00584EC1" w:rsidRDefault="00871F8D">
            <w:pPr>
              <w:textAlignment w:val="bottom"/>
            </w:pPr>
            <w:r>
              <w:rPr>
                <w:rFonts w:ascii="Arial" w:eastAsia="宋体" w:hAnsi="Arial" w:cs="Arial"/>
                <w:color w:val="000000"/>
                <w:sz w:val="14"/>
                <w:szCs w:val="14"/>
              </w:rPr>
              <w:t>Americas</w:t>
            </w:r>
          </w:p>
        </w:tc>
        <w:tc>
          <w:tcPr>
            <w:tcW w:w="0" w:type="auto"/>
            <w:tcBorders>
              <w:top w:val="single" w:sz="8" w:space="0" w:color="000000"/>
            </w:tcBorders>
            <w:shd w:val="clear" w:color="auto" w:fill="CCEEFF"/>
            <w:tcMar>
              <w:top w:w="40" w:type="dxa"/>
              <w:left w:w="20" w:type="dxa"/>
              <w:bottom w:w="40" w:type="dxa"/>
              <w:right w:w="0" w:type="dxa"/>
            </w:tcMar>
            <w:vAlign w:val="bottom"/>
          </w:tcPr>
          <w:p w14:paraId="74DD7A21"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7A22" w14:textId="77777777" w:rsidR="00584EC1" w:rsidRDefault="00871F8D">
            <w:pPr>
              <w:jc w:val="right"/>
              <w:textAlignment w:val="bottom"/>
            </w:pPr>
            <w:r>
              <w:rPr>
                <w:rFonts w:ascii="Arial" w:eastAsia="宋体" w:hAnsi="Arial" w:cs="Arial"/>
                <w:b/>
                <w:bCs/>
                <w:color w:val="000000"/>
                <w:sz w:val="14"/>
                <w:szCs w:val="14"/>
              </w:rPr>
              <w:t>31,934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A2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A24"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7A25"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7A26" w14:textId="77777777" w:rsidR="00584EC1" w:rsidRDefault="00871F8D">
            <w:pPr>
              <w:jc w:val="right"/>
              <w:textAlignment w:val="bottom"/>
            </w:pPr>
            <w:r>
              <w:rPr>
                <w:rFonts w:ascii="Arial" w:eastAsia="宋体" w:hAnsi="Arial" w:cs="Arial"/>
                <w:color w:val="000000"/>
                <w:sz w:val="14"/>
                <w:szCs w:val="14"/>
              </w:rPr>
              <w:t>28,245 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A2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A28"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7A29"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7A2A" w14:textId="77777777" w:rsidR="00584EC1" w:rsidRDefault="00871F8D">
            <w:pPr>
              <w:jc w:val="right"/>
              <w:textAlignment w:val="bottom"/>
            </w:pPr>
            <w:r>
              <w:rPr>
                <w:rFonts w:ascii="Arial" w:eastAsia="宋体" w:hAnsi="Arial" w:cs="Arial"/>
                <w:color w:val="000000"/>
                <w:sz w:val="14"/>
                <w:szCs w:val="14"/>
              </w:rPr>
              <w:t>26,666 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A2B" w14:textId="77777777" w:rsidR="00584EC1" w:rsidRDefault="00584EC1">
            <w:pPr>
              <w:jc w:val="right"/>
              <w:rPr>
                <w:rFonts w:ascii="宋体"/>
              </w:rPr>
            </w:pPr>
          </w:p>
        </w:tc>
        <w:tc>
          <w:tcPr>
            <w:tcW w:w="0" w:type="auto"/>
            <w:shd w:val="clear" w:color="auto" w:fill="auto"/>
            <w:vAlign w:val="bottom"/>
          </w:tcPr>
          <w:p w14:paraId="74DD7A2C" w14:textId="77777777" w:rsidR="00584EC1" w:rsidRDefault="00584EC1">
            <w:pPr>
              <w:rPr>
                <w:rFonts w:ascii="宋体"/>
                <w:vanish/>
              </w:rPr>
            </w:pPr>
          </w:p>
        </w:tc>
        <w:tc>
          <w:tcPr>
            <w:tcW w:w="0" w:type="auto"/>
            <w:shd w:val="clear" w:color="auto" w:fill="auto"/>
            <w:vAlign w:val="bottom"/>
          </w:tcPr>
          <w:p w14:paraId="74DD7A2D" w14:textId="77777777" w:rsidR="00584EC1" w:rsidRDefault="00584EC1">
            <w:pPr>
              <w:rPr>
                <w:rFonts w:ascii="宋体"/>
                <w:vanish/>
              </w:rPr>
            </w:pPr>
          </w:p>
        </w:tc>
        <w:tc>
          <w:tcPr>
            <w:tcW w:w="0" w:type="auto"/>
            <w:shd w:val="clear" w:color="auto" w:fill="auto"/>
            <w:vAlign w:val="bottom"/>
          </w:tcPr>
          <w:p w14:paraId="74DD7A2E" w14:textId="77777777" w:rsidR="00584EC1" w:rsidRDefault="00584EC1">
            <w:pPr>
              <w:rPr>
                <w:rFonts w:ascii="宋体"/>
                <w:vanish/>
              </w:rPr>
            </w:pPr>
          </w:p>
        </w:tc>
        <w:tc>
          <w:tcPr>
            <w:tcW w:w="0" w:type="auto"/>
            <w:shd w:val="clear" w:color="auto" w:fill="auto"/>
            <w:vAlign w:val="bottom"/>
          </w:tcPr>
          <w:p w14:paraId="74DD7A2F" w14:textId="77777777" w:rsidR="00584EC1" w:rsidRDefault="00584EC1">
            <w:pPr>
              <w:rPr>
                <w:rFonts w:ascii="宋体"/>
                <w:vanish/>
              </w:rPr>
            </w:pPr>
          </w:p>
        </w:tc>
        <w:tc>
          <w:tcPr>
            <w:tcW w:w="0" w:type="auto"/>
            <w:gridSpan w:val="3"/>
            <w:shd w:val="clear" w:color="auto" w:fill="auto"/>
            <w:vAlign w:val="bottom"/>
          </w:tcPr>
          <w:p w14:paraId="74DD7A30" w14:textId="77777777" w:rsidR="00584EC1" w:rsidRDefault="00584EC1">
            <w:pPr>
              <w:rPr>
                <w:rFonts w:ascii="宋体"/>
                <w:vanish/>
              </w:rPr>
            </w:pPr>
          </w:p>
        </w:tc>
        <w:tc>
          <w:tcPr>
            <w:tcW w:w="0" w:type="auto"/>
            <w:gridSpan w:val="3"/>
            <w:shd w:val="clear" w:color="auto" w:fill="auto"/>
            <w:vAlign w:val="bottom"/>
          </w:tcPr>
          <w:p w14:paraId="74DD7A31" w14:textId="77777777" w:rsidR="00584EC1" w:rsidRDefault="00584EC1">
            <w:pPr>
              <w:rPr>
                <w:rFonts w:ascii="宋体"/>
                <w:vanish/>
              </w:rPr>
            </w:pPr>
          </w:p>
        </w:tc>
        <w:tc>
          <w:tcPr>
            <w:tcW w:w="0" w:type="auto"/>
            <w:gridSpan w:val="3"/>
            <w:shd w:val="clear" w:color="auto" w:fill="auto"/>
            <w:vAlign w:val="bottom"/>
          </w:tcPr>
          <w:p w14:paraId="74DD7A32" w14:textId="77777777" w:rsidR="00584EC1" w:rsidRDefault="00584EC1">
            <w:pPr>
              <w:rPr>
                <w:rFonts w:ascii="宋体"/>
                <w:vanish/>
              </w:rPr>
            </w:pPr>
          </w:p>
        </w:tc>
        <w:tc>
          <w:tcPr>
            <w:tcW w:w="0" w:type="auto"/>
            <w:gridSpan w:val="3"/>
            <w:shd w:val="clear" w:color="auto" w:fill="auto"/>
            <w:vAlign w:val="bottom"/>
          </w:tcPr>
          <w:p w14:paraId="74DD7A33" w14:textId="77777777" w:rsidR="00584EC1" w:rsidRDefault="00584EC1">
            <w:pPr>
              <w:rPr>
                <w:rFonts w:ascii="宋体"/>
                <w:vanish/>
              </w:rPr>
            </w:pPr>
          </w:p>
        </w:tc>
      </w:tr>
      <w:tr w:rsidR="00584EC1" w14:paraId="74DD7A46" w14:textId="77777777">
        <w:tc>
          <w:tcPr>
            <w:tcW w:w="0" w:type="auto"/>
            <w:gridSpan w:val="3"/>
            <w:shd w:val="clear" w:color="auto" w:fill="FFFFFF"/>
            <w:tcMar>
              <w:top w:w="40" w:type="dxa"/>
              <w:left w:w="20" w:type="dxa"/>
              <w:bottom w:w="40" w:type="dxa"/>
              <w:right w:w="20" w:type="dxa"/>
            </w:tcMar>
            <w:vAlign w:val="bottom"/>
          </w:tcPr>
          <w:p w14:paraId="74DD7A35" w14:textId="77777777" w:rsidR="00584EC1" w:rsidRDefault="00871F8D">
            <w:pPr>
              <w:textAlignment w:val="bottom"/>
            </w:pPr>
            <w:r>
              <w:rPr>
                <w:rFonts w:ascii="Arial" w:eastAsia="宋体" w:hAnsi="Arial" w:cs="Arial"/>
                <w:color w:val="000000"/>
                <w:sz w:val="14"/>
                <w:szCs w:val="14"/>
              </w:rPr>
              <w:t>Europe/Middle East/Africa</w:t>
            </w:r>
          </w:p>
        </w:tc>
        <w:tc>
          <w:tcPr>
            <w:tcW w:w="0" w:type="auto"/>
            <w:gridSpan w:val="2"/>
            <w:shd w:val="clear" w:color="auto" w:fill="FFFFFF"/>
            <w:tcMar>
              <w:top w:w="40" w:type="dxa"/>
              <w:left w:w="20" w:type="dxa"/>
              <w:bottom w:w="40" w:type="dxa"/>
              <w:right w:w="0" w:type="dxa"/>
            </w:tcMar>
            <w:vAlign w:val="bottom"/>
          </w:tcPr>
          <w:p w14:paraId="74DD7A36" w14:textId="77777777" w:rsidR="00584EC1" w:rsidRDefault="00871F8D">
            <w:pPr>
              <w:jc w:val="right"/>
              <w:textAlignment w:val="bottom"/>
            </w:pPr>
            <w:r>
              <w:rPr>
                <w:rFonts w:ascii="Arial" w:eastAsia="宋体" w:hAnsi="Arial" w:cs="Arial"/>
                <w:b/>
                <w:bCs/>
                <w:color w:val="000000"/>
                <w:sz w:val="14"/>
                <w:szCs w:val="14"/>
              </w:rPr>
              <w:t>8,748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7A3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A38"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A39" w14:textId="77777777" w:rsidR="00584EC1" w:rsidRDefault="00871F8D">
            <w:pPr>
              <w:jc w:val="right"/>
              <w:textAlignment w:val="bottom"/>
            </w:pPr>
            <w:r>
              <w:rPr>
                <w:rFonts w:ascii="Arial" w:eastAsia="宋体" w:hAnsi="Arial" w:cs="Arial"/>
                <w:color w:val="000000"/>
                <w:sz w:val="14"/>
                <w:szCs w:val="14"/>
              </w:rPr>
              <w:t>8,101 </w:t>
            </w:r>
          </w:p>
        </w:tc>
        <w:tc>
          <w:tcPr>
            <w:tcW w:w="0" w:type="auto"/>
            <w:shd w:val="clear" w:color="auto" w:fill="FFFFFF"/>
            <w:tcMar>
              <w:top w:w="40" w:type="dxa"/>
              <w:left w:w="0" w:type="dxa"/>
              <w:bottom w:w="40" w:type="dxa"/>
              <w:right w:w="20" w:type="dxa"/>
            </w:tcMar>
            <w:vAlign w:val="bottom"/>
          </w:tcPr>
          <w:p w14:paraId="74DD7A3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A3B"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A3C" w14:textId="77777777" w:rsidR="00584EC1" w:rsidRDefault="00871F8D">
            <w:pPr>
              <w:jc w:val="right"/>
              <w:textAlignment w:val="bottom"/>
            </w:pPr>
            <w:r>
              <w:rPr>
                <w:rFonts w:ascii="Arial" w:eastAsia="宋体" w:hAnsi="Arial" w:cs="Arial"/>
                <w:color w:val="000000"/>
                <w:sz w:val="14"/>
                <w:szCs w:val="14"/>
              </w:rPr>
              <w:t>7,675 </w:t>
            </w:r>
          </w:p>
        </w:tc>
        <w:tc>
          <w:tcPr>
            <w:tcW w:w="0" w:type="auto"/>
            <w:shd w:val="clear" w:color="auto" w:fill="FFFFFF"/>
            <w:tcMar>
              <w:top w:w="40" w:type="dxa"/>
              <w:left w:w="0" w:type="dxa"/>
              <w:bottom w:w="40" w:type="dxa"/>
              <w:right w:w="20" w:type="dxa"/>
            </w:tcMar>
            <w:vAlign w:val="bottom"/>
          </w:tcPr>
          <w:p w14:paraId="74DD7A3D" w14:textId="77777777" w:rsidR="00584EC1" w:rsidRDefault="00584EC1">
            <w:pPr>
              <w:jc w:val="right"/>
              <w:rPr>
                <w:rFonts w:ascii="宋体"/>
              </w:rPr>
            </w:pPr>
          </w:p>
        </w:tc>
        <w:tc>
          <w:tcPr>
            <w:tcW w:w="0" w:type="auto"/>
            <w:shd w:val="clear" w:color="auto" w:fill="auto"/>
            <w:vAlign w:val="bottom"/>
          </w:tcPr>
          <w:p w14:paraId="74DD7A3E" w14:textId="77777777" w:rsidR="00584EC1" w:rsidRDefault="00584EC1">
            <w:pPr>
              <w:rPr>
                <w:rFonts w:ascii="宋体"/>
                <w:vanish/>
              </w:rPr>
            </w:pPr>
          </w:p>
        </w:tc>
        <w:tc>
          <w:tcPr>
            <w:tcW w:w="0" w:type="auto"/>
            <w:shd w:val="clear" w:color="auto" w:fill="auto"/>
            <w:vAlign w:val="bottom"/>
          </w:tcPr>
          <w:p w14:paraId="74DD7A3F" w14:textId="77777777" w:rsidR="00584EC1" w:rsidRDefault="00584EC1">
            <w:pPr>
              <w:rPr>
                <w:rFonts w:ascii="宋体"/>
                <w:vanish/>
              </w:rPr>
            </w:pPr>
          </w:p>
        </w:tc>
        <w:tc>
          <w:tcPr>
            <w:tcW w:w="0" w:type="auto"/>
            <w:shd w:val="clear" w:color="auto" w:fill="auto"/>
            <w:vAlign w:val="bottom"/>
          </w:tcPr>
          <w:p w14:paraId="74DD7A40" w14:textId="77777777" w:rsidR="00584EC1" w:rsidRDefault="00584EC1">
            <w:pPr>
              <w:rPr>
                <w:rFonts w:ascii="宋体"/>
                <w:vanish/>
              </w:rPr>
            </w:pPr>
          </w:p>
        </w:tc>
        <w:tc>
          <w:tcPr>
            <w:tcW w:w="0" w:type="auto"/>
            <w:shd w:val="clear" w:color="auto" w:fill="auto"/>
            <w:vAlign w:val="bottom"/>
          </w:tcPr>
          <w:p w14:paraId="74DD7A41" w14:textId="77777777" w:rsidR="00584EC1" w:rsidRDefault="00584EC1">
            <w:pPr>
              <w:rPr>
                <w:rFonts w:ascii="宋体"/>
                <w:vanish/>
              </w:rPr>
            </w:pPr>
          </w:p>
        </w:tc>
        <w:tc>
          <w:tcPr>
            <w:tcW w:w="0" w:type="auto"/>
            <w:gridSpan w:val="3"/>
            <w:shd w:val="clear" w:color="auto" w:fill="auto"/>
            <w:vAlign w:val="bottom"/>
          </w:tcPr>
          <w:p w14:paraId="74DD7A42" w14:textId="77777777" w:rsidR="00584EC1" w:rsidRDefault="00584EC1">
            <w:pPr>
              <w:rPr>
                <w:rFonts w:ascii="宋体"/>
                <w:vanish/>
              </w:rPr>
            </w:pPr>
          </w:p>
        </w:tc>
        <w:tc>
          <w:tcPr>
            <w:tcW w:w="0" w:type="auto"/>
            <w:gridSpan w:val="3"/>
            <w:shd w:val="clear" w:color="auto" w:fill="auto"/>
            <w:vAlign w:val="bottom"/>
          </w:tcPr>
          <w:p w14:paraId="74DD7A43" w14:textId="77777777" w:rsidR="00584EC1" w:rsidRDefault="00584EC1">
            <w:pPr>
              <w:rPr>
                <w:rFonts w:ascii="宋体"/>
                <w:vanish/>
              </w:rPr>
            </w:pPr>
          </w:p>
        </w:tc>
        <w:tc>
          <w:tcPr>
            <w:tcW w:w="0" w:type="auto"/>
            <w:gridSpan w:val="3"/>
            <w:shd w:val="clear" w:color="auto" w:fill="auto"/>
            <w:vAlign w:val="bottom"/>
          </w:tcPr>
          <w:p w14:paraId="74DD7A44" w14:textId="77777777" w:rsidR="00584EC1" w:rsidRDefault="00584EC1">
            <w:pPr>
              <w:rPr>
                <w:rFonts w:ascii="宋体"/>
                <w:vanish/>
              </w:rPr>
            </w:pPr>
          </w:p>
        </w:tc>
        <w:tc>
          <w:tcPr>
            <w:tcW w:w="0" w:type="auto"/>
            <w:gridSpan w:val="3"/>
            <w:shd w:val="clear" w:color="auto" w:fill="auto"/>
            <w:vAlign w:val="bottom"/>
          </w:tcPr>
          <w:p w14:paraId="74DD7A45" w14:textId="77777777" w:rsidR="00584EC1" w:rsidRDefault="00584EC1">
            <w:pPr>
              <w:rPr>
                <w:rFonts w:ascii="宋体"/>
                <w:vanish/>
              </w:rPr>
            </w:pPr>
          </w:p>
        </w:tc>
      </w:tr>
      <w:tr w:rsidR="00584EC1" w14:paraId="74DD7A58" w14:textId="77777777">
        <w:tc>
          <w:tcPr>
            <w:tcW w:w="0" w:type="auto"/>
            <w:gridSpan w:val="3"/>
            <w:shd w:val="clear" w:color="auto" w:fill="CCEEFF"/>
            <w:tcMar>
              <w:top w:w="40" w:type="dxa"/>
              <w:left w:w="20" w:type="dxa"/>
              <w:bottom w:w="40" w:type="dxa"/>
              <w:right w:w="20" w:type="dxa"/>
            </w:tcMar>
            <w:vAlign w:val="bottom"/>
          </w:tcPr>
          <w:p w14:paraId="74DD7A47" w14:textId="77777777" w:rsidR="00584EC1" w:rsidRDefault="00871F8D">
            <w:pPr>
              <w:textAlignment w:val="bottom"/>
            </w:pPr>
            <w:r>
              <w:rPr>
                <w:rFonts w:ascii="Arial" w:eastAsia="宋体" w:hAnsi="Arial" w:cs="Arial"/>
                <w:color w:val="000000"/>
                <w:sz w:val="14"/>
                <w:szCs w:val="14"/>
              </w:rPr>
              <w:t>Asia/Pacific</w:t>
            </w:r>
          </w:p>
        </w:tc>
        <w:tc>
          <w:tcPr>
            <w:tcW w:w="0" w:type="auto"/>
            <w:gridSpan w:val="2"/>
            <w:shd w:val="clear" w:color="auto" w:fill="CCEEFF"/>
            <w:tcMar>
              <w:top w:w="40" w:type="dxa"/>
              <w:left w:w="20" w:type="dxa"/>
              <w:bottom w:w="40" w:type="dxa"/>
              <w:right w:w="0" w:type="dxa"/>
            </w:tcMar>
            <w:vAlign w:val="bottom"/>
          </w:tcPr>
          <w:p w14:paraId="74DD7A48" w14:textId="77777777" w:rsidR="00584EC1" w:rsidRDefault="00871F8D">
            <w:pPr>
              <w:jc w:val="right"/>
              <w:textAlignment w:val="bottom"/>
            </w:pPr>
            <w:r>
              <w:rPr>
                <w:rFonts w:ascii="Arial" w:eastAsia="宋体" w:hAnsi="Arial" w:cs="Arial"/>
                <w:b/>
                <w:bCs/>
                <w:color w:val="000000"/>
                <w:sz w:val="14"/>
                <w:szCs w:val="14"/>
              </w:rPr>
              <w:t>2,655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7A4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A4A"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7A4B" w14:textId="77777777" w:rsidR="00584EC1" w:rsidRDefault="00871F8D">
            <w:pPr>
              <w:jc w:val="right"/>
              <w:textAlignment w:val="bottom"/>
            </w:pPr>
            <w:r>
              <w:rPr>
                <w:rFonts w:ascii="Arial" w:eastAsia="宋体" w:hAnsi="Arial" w:cs="Arial"/>
                <w:color w:val="000000"/>
                <w:sz w:val="14"/>
                <w:szCs w:val="14"/>
              </w:rPr>
              <w:t>2,445 </w:t>
            </w:r>
          </w:p>
        </w:tc>
        <w:tc>
          <w:tcPr>
            <w:tcW w:w="0" w:type="auto"/>
            <w:shd w:val="clear" w:color="auto" w:fill="CCEEFF"/>
            <w:tcMar>
              <w:top w:w="40" w:type="dxa"/>
              <w:left w:w="0" w:type="dxa"/>
              <w:bottom w:w="40" w:type="dxa"/>
              <w:right w:w="20" w:type="dxa"/>
            </w:tcMar>
            <w:vAlign w:val="bottom"/>
          </w:tcPr>
          <w:p w14:paraId="74DD7A4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A4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7A4E" w14:textId="77777777" w:rsidR="00584EC1" w:rsidRDefault="00871F8D">
            <w:pPr>
              <w:jc w:val="right"/>
              <w:textAlignment w:val="bottom"/>
            </w:pPr>
            <w:r>
              <w:rPr>
                <w:rFonts w:ascii="Arial" w:eastAsia="宋体" w:hAnsi="Arial" w:cs="Arial"/>
                <w:color w:val="000000"/>
                <w:sz w:val="14"/>
                <w:szCs w:val="14"/>
              </w:rPr>
              <w:t>2,302 </w:t>
            </w:r>
          </w:p>
        </w:tc>
        <w:tc>
          <w:tcPr>
            <w:tcW w:w="0" w:type="auto"/>
            <w:shd w:val="clear" w:color="auto" w:fill="CCEEFF"/>
            <w:tcMar>
              <w:top w:w="40" w:type="dxa"/>
              <w:left w:w="0" w:type="dxa"/>
              <w:bottom w:w="40" w:type="dxa"/>
              <w:right w:w="20" w:type="dxa"/>
            </w:tcMar>
            <w:vAlign w:val="bottom"/>
          </w:tcPr>
          <w:p w14:paraId="74DD7A4F" w14:textId="77777777" w:rsidR="00584EC1" w:rsidRDefault="00584EC1">
            <w:pPr>
              <w:jc w:val="right"/>
              <w:rPr>
                <w:rFonts w:ascii="宋体"/>
              </w:rPr>
            </w:pPr>
          </w:p>
        </w:tc>
        <w:tc>
          <w:tcPr>
            <w:tcW w:w="0" w:type="auto"/>
            <w:shd w:val="clear" w:color="auto" w:fill="auto"/>
            <w:vAlign w:val="bottom"/>
          </w:tcPr>
          <w:p w14:paraId="74DD7A50" w14:textId="77777777" w:rsidR="00584EC1" w:rsidRDefault="00584EC1">
            <w:pPr>
              <w:rPr>
                <w:rFonts w:ascii="宋体"/>
                <w:vanish/>
              </w:rPr>
            </w:pPr>
          </w:p>
        </w:tc>
        <w:tc>
          <w:tcPr>
            <w:tcW w:w="0" w:type="auto"/>
            <w:shd w:val="clear" w:color="auto" w:fill="auto"/>
            <w:vAlign w:val="bottom"/>
          </w:tcPr>
          <w:p w14:paraId="74DD7A51" w14:textId="77777777" w:rsidR="00584EC1" w:rsidRDefault="00584EC1">
            <w:pPr>
              <w:rPr>
                <w:rFonts w:ascii="宋体"/>
                <w:vanish/>
              </w:rPr>
            </w:pPr>
          </w:p>
        </w:tc>
        <w:tc>
          <w:tcPr>
            <w:tcW w:w="0" w:type="auto"/>
            <w:shd w:val="clear" w:color="auto" w:fill="auto"/>
            <w:vAlign w:val="bottom"/>
          </w:tcPr>
          <w:p w14:paraId="74DD7A52" w14:textId="77777777" w:rsidR="00584EC1" w:rsidRDefault="00584EC1">
            <w:pPr>
              <w:rPr>
                <w:rFonts w:ascii="宋体"/>
                <w:vanish/>
              </w:rPr>
            </w:pPr>
          </w:p>
        </w:tc>
        <w:tc>
          <w:tcPr>
            <w:tcW w:w="0" w:type="auto"/>
            <w:shd w:val="clear" w:color="auto" w:fill="auto"/>
            <w:vAlign w:val="bottom"/>
          </w:tcPr>
          <w:p w14:paraId="74DD7A53" w14:textId="77777777" w:rsidR="00584EC1" w:rsidRDefault="00584EC1">
            <w:pPr>
              <w:rPr>
                <w:rFonts w:ascii="宋体"/>
                <w:vanish/>
              </w:rPr>
            </w:pPr>
          </w:p>
        </w:tc>
        <w:tc>
          <w:tcPr>
            <w:tcW w:w="0" w:type="auto"/>
            <w:gridSpan w:val="3"/>
            <w:shd w:val="clear" w:color="auto" w:fill="auto"/>
            <w:vAlign w:val="bottom"/>
          </w:tcPr>
          <w:p w14:paraId="74DD7A54" w14:textId="77777777" w:rsidR="00584EC1" w:rsidRDefault="00584EC1">
            <w:pPr>
              <w:rPr>
                <w:rFonts w:ascii="宋体"/>
                <w:vanish/>
              </w:rPr>
            </w:pPr>
          </w:p>
        </w:tc>
        <w:tc>
          <w:tcPr>
            <w:tcW w:w="0" w:type="auto"/>
            <w:gridSpan w:val="3"/>
            <w:shd w:val="clear" w:color="auto" w:fill="auto"/>
            <w:vAlign w:val="bottom"/>
          </w:tcPr>
          <w:p w14:paraId="74DD7A55" w14:textId="77777777" w:rsidR="00584EC1" w:rsidRDefault="00584EC1">
            <w:pPr>
              <w:rPr>
                <w:rFonts w:ascii="宋体"/>
                <w:vanish/>
              </w:rPr>
            </w:pPr>
          </w:p>
        </w:tc>
        <w:tc>
          <w:tcPr>
            <w:tcW w:w="0" w:type="auto"/>
            <w:gridSpan w:val="3"/>
            <w:shd w:val="clear" w:color="auto" w:fill="auto"/>
            <w:vAlign w:val="bottom"/>
          </w:tcPr>
          <w:p w14:paraId="74DD7A56" w14:textId="77777777" w:rsidR="00584EC1" w:rsidRDefault="00584EC1">
            <w:pPr>
              <w:rPr>
                <w:rFonts w:ascii="宋体"/>
                <w:vanish/>
              </w:rPr>
            </w:pPr>
          </w:p>
        </w:tc>
        <w:tc>
          <w:tcPr>
            <w:tcW w:w="0" w:type="auto"/>
            <w:gridSpan w:val="3"/>
            <w:shd w:val="clear" w:color="auto" w:fill="auto"/>
            <w:vAlign w:val="bottom"/>
          </w:tcPr>
          <w:p w14:paraId="74DD7A57" w14:textId="77777777" w:rsidR="00584EC1" w:rsidRDefault="00584EC1">
            <w:pPr>
              <w:rPr>
                <w:rFonts w:ascii="宋体"/>
                <w:vanish/>
              </w:rPr>
            </w:pPr>
          </w:p>
        </w:tc>
      </w:tr>
      <w:tr w:rsidR="00584EC1" w14:paraId="74DD7A6D" w14:textId="77777777">
        <w:tc>
          <w:tcPr>
            <w:tcW w:w="0" w:type="auto"/>
            <w:gridSpan w:val="3"/>
            <w:shd w:val="clear" w:color="auto" w:fill="FFFFFF"/>
            <w:tcMar>
              <w:top w:w="40" w:type="dxa"/>
              <w:left w:w="20" w:type="dxa"/>
              <w:bottom w:w="40" w:type="dxa"/>
              <w:right w:w="20" w:type="dxa"/>
            </w:tcMar>
            <w:vAlign w:val="bottom"/>
          </w:tcPr>
          <w:p w14:paraId="74DD7A59" w14:textId="77777777" w:rsidR="00584EC1" w:rsidRDefault="00871F8D">
            <w:pPr>
              <w:textAlignment w:val="bottom"/>
            </w:pPr>
            <w:r>
              <w:rPr>
                <w:rFonts w:ascii="Arial" w:eastAsia="宋体" w:hAnsi="Arial" w:cs="Arial"/>
                <w:b/>
                <w:bCs/>
                <w:color w:val="000000"/>
                <w:sz w:val="14"/>
                <w:szCs w:val="14"/>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7A5A"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7A5B" w14:textId="77777777" w:rsidR="00584EC1" w:rsidRDefault="00871F8D">
            <w:pPr>
              <w:jc w:val="right"/>
              <w:textAlignment w:val="bottom"/>
            </w:pPr>
            <w:r>
              <w:rPr>
                <w:rFonts w:ascii="Arial" w:eastAsia="宋体" w:hAnsi="Arial" w:cs="Arial"/>
                <w:b/>
                <w:bCs/>
                <w:color w:val="000000"/>
                <w:sz w:val="14"/>
                <w:szCs w:val="14"/>
              </w:rPr>
              <w:t>43,337</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7A5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A5D"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7A5E"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7A5F" w14:textId="77777777" w:rsidR="00584EC1" w:rsidRDefault="00871F8D">
            <w:pPr>
              <w:jc w:val="right"/>
              <w:textAlignment w:val="bottom"/>
            </w:pPr>
            <w:r>
              <w:rPr>
                <w:rFonts w:ascii="Arial" w:eastAsia="宋体" w:hAnsi="Arial" w:cs="Arial"/>
                <w:color w:val="000000"/>
                <w:sz w:val="14"/>
                <w:szCs w:val="14"/>
              </w:rPr>
              <w:t>38,791 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7A6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A61"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7A62"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7A63" w14:textId="77777777" w:rsidR="00584EC1" w:rsidRDefault="00871F8D">
            <w:pPr>
              <w:jc w:val="right"/>
              <w:textAlignment w:val="bottom"/>
            </w:pPr>
            <w:r>
              <w:rPr>
                <w:rFonts w:ascii="Arial" w:eastAsia="宋体" w:hAnsi="Arial" w:cs="Arial"/>
                <w:color w:val="000000"/>
                <w:sz w:val="14"/>
                <w:szCs w:val="14"/>
              </w:rPr>
              <w:t>36,643 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7A64" w14:textId="77777777" w:rsidR="00584EC1" w:rsidRDefault="00584EC1">
            <w:pPr>
              <w:jc w:val="right"/>
              <w:rPr>
                <w:rFonts w:ascii="宋体"/>
              </w:rPr>
            </w:pPr>
          </w:p>
        </w:tc>
        <w:tc>
          <w:tcPr>
            <w:tcW w:w="0" w:type="auto"/>
            <w:shd w:val="clear" w:color="auto" w:fill="auto"/>
            <w:vAlign w:val="bottom"/>
          </w:tcPr>
          <w:p w14:paraId="74DD7A65" w14:textId="77777777" w:rsidR="00584EC1" w:rsidRDefault="00584EC1">
            <w:pPr>
              <w:rPr>
                <w:rFonts w:ascii="宋体"/>
                <w:vanish/>
              </w:rPr>
            </w:pPr>
          </w:p>
        </w:tc>
        <w:tc>
          <w:tcPr>
            <w:tcW w:w="0" w:type="auto"/>
            <w:shd w:val="clear" w:color="auto" w:fill="auto"/>
            <w:vAlign w:val="bottom"/>
          </w:tcPr>
          <w:p w14:paraId="74DD7A66" w14:textId="77777777" w:rsidR="00584EC1" w:rsidRDefault="00584EC1">
            <w:pPr>
              <w:rPr>
                <w:rFonts w:ascii="宋体"/>
                <w:vanish/>
              </w:rPr>
            </w:pPr>
          </w:p>
        </w:tc>
        <w:tc>
          <w:tcPr>
            <w:tcW w:w="0" w:type="auto"/>
            <w:shd w:val="clear" w:color="auto" w:fill="auto"/>
            <w:vAlign w:val="bottom"/>
          </w:tcPr>
          <w:p w14:paraId="74DD7A67" w14:textId="77777777" w:rsidR="00584EC1" w:rsidRDefault="00584EC1">
            <w:pPr>
              <w:rPr>
                <w:rFonts w:ascii="宋体"/>
                <w:vanish/>
              </w:rPr>
            </w:pPr>
          </w:p>
        </w:tc>
        <w:tc>
          <w:tcPr>
            <w:tcW w:w="0" w:type="auto"/>
            <w:shd w:val="clear" w:color="auto" w:fill="auto"/>
            <w:vAlign w:val="bottom"/>
          </w:tcPr>
          <w:p w14:paraId="74DD7A68" w14:textId="77777777" w:rsidR="00584EC1" w:rsidRDefault="00584EC1">
            <w:pPr>
              <w:rPr>
                <w:rFonts w:ascii="宋体"/>
                <w:vanish/>
              </w:rPr>
            </w:pPr>
          </w:p>
        </w:tc>
        <w:tc>
          <w:tcPr>
            <w:tcW w:w="0" w:type="auto"/>
            <w:gridSpan w:val="3"/>
            <w:shd w:val="clear" w:color="auto" w:fill="auto"/>
            <w:vAlign w:val="bottom"/>
          </w:tcPr>
          <w:p w14:paraId="74DD7A69" w14:textId="77777777" w:rsidR="00584EC1" w:rsidRDefault="00584EC1">
            <w:pPr>
              <w:rPr>
                <w:rFonts w:ascii="宋体"/>
                <w:vanish/>
              </w:rPr>
            </w:pPr>
          </w:p>
        </w:tc>
        <w:tc>
          <w:tcPr>
            <w:tcW w:w="0" w:type="auto"/>
            <w:gridSpan w:val="3"/>
            <w:shd w:val="clear" w:color="auto" w:fill="auto"/>
            <w:vAlign w:val="bottom"/>
          </w:tcPr>
          <w:p w14:paraId="74DD7A6A" w14:textId="77777777" w:rsidR="00584EC1" w:rsidRDefault="00584EC1">
            <w:pPr>
              <w:rPr>
                <w:rFonts w:ascii="宋体"/>
                <w:vanish/>
              </w:rPr>
            </w:pPr>
          </w:p>
        </w:tc>
        <w:tc>
          <w:tcPr>
            <w:tcW w:w="0" w:type="auto"/>
            <w:gridSpan w:val="3"/>
            <w:shd w:val="clear" w:color="auto" w:fill="auto"/>
            <w:vAlign w:val="bottom"/>
          </w:tcPr>
          <w:p w14:paraId="74DD7A6B" w14:textId="77777777" w:rsidR="00584EC1" w:rsidRDefault="00584EC1">
            <w:pPr>
              <w:rPr>
                <w:rFonts w:ascii="宋体"/>
                <w:vanish/>
              </w:rPr>
            </w:pPr>
          </w:p>
        </w:tc>
        <w:tc>
          <w:tcPr>
            <w:tcW w:w="0" w:type="auto"/>
            <w:gridSpan w:val="3"/>
            <w:shd w:val="clear" w:color="auto" w:fill="auto"/>
            <w:vAlign w:val="bottom"/>
          </w:tcPr>
          <w:p w14:paraId="74DD7A6C" w14:textId="77777777" w:rsidR="00584EC1" w:rsidRDefault="00584EC1">
            <w:pPr>
              <w:rPr>
                <w:rFonts w:ascii="宋体"/>
                <w:vanish/>
              </w:rPr>
            </w:pPr>
          </w:p>
        </w:tc>
      </w:tr>
    </w:tbl>
    <w:p w14:paraId="74DD7A6E" w14:textId="77777777" w:rsidR="00584EC1" w:rsidRDefault="00584E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584EC1" w14:paraId="74DD7A75" w14:textId="77777777">
        <w:tc>
          <w:tcPr>
            <w:tcW w:w="50" w:type="pct"/>
            <w:shd w:val="clear" w:color="auto" w:fill="auto"/>
            <w:vAlign w:val="bottom"/>
          </w:tcPr>
          <w:p w14:paraId="74DD7A6F" w14:textId="77777777" w:rsidR="00584EC1" w:rsidRDefault="00584EC1">
            <w:pPr>
              <w:rPr>
                <w:rFonts w:ascii="宋体"/>
              </w:rPr>
            </w:pPr>
          </w:p>
        </w:tc>
        <w:tc>
          <w:tcPr>
            <w:tcW w:w="1348" w:type="pct"/>
            <w:shd w:val="clear" w:color="auto" w:fill="auto"/>
            <w:vAlign w:val="bottom"/>
          </w:tcPr>
          <w:p w14:paraId="74DD7A70" w14:textId="77777777" w:rsidR="00584EC1" w:rsidRDefault="00584EC1">
            <w:pPr>
              <w:rPr>
                <w:rFonts w:ascii="宋体"/>
              </w:rPr>
            </w:pPr>
          </w:p>
        </w:tc>
        <w:tc>
          <w:tcPr>
            <w:tcW w:w="5" w:type="pct"/>
            <w:shd w:val="clear" w:color="auto" w:fill="auto"/>
            <w:vAlign w:val="bottom"/>
          </w:tcPr>
          <w:p w14:paraId="74DD7A71" w14:textId="77777777" w:rsidR="00584EC1" w:rsidRDefault="00584EC1">
            <w:pPr>
              <w:rPr>
                <w:rFonts w:ascii="宋体"/>
              </w:rPr>
            </w:pPr>
          </w:p>
        </w:tc>
        <w:tc>
          <w:tcPr>
            <w:tcW w:w="50" w:type="pct"/>
            <w:shd w:val="clear" w:color="auto" w:fill="auto"/>
            <w:vAlign w:val="bottom"/>
          </w:tcPr>
          <w:p w14:paraId="74DD7A72" w14:textId="77777777" w:rsidR="00584EC1" w:rsidRDefault="00584EC1">
            <w:pPr>
              <w:rPr>
                <w:rFonts w:ascii="宋体"/>
              </w:rPr>
            </w:pPr>
          </w:p>
        </w:tc>
        <w:tc>
          <w:tcPr>
            <w:tcW w:w="3541" w:type="pct"/>
            <w:shd w:val="clear" w:color="auto" w:fill="auto"/>
            <w:vAlign w:val="bottom"/>
          </w:tcPr>
          <w:p w14:paraId="74DD7A73" w14:textId="77777777" w:rsidR="00584EC1" w:rsidRDefault="00584EC1">
            <w:pPr>
              <w:rPr>
                <w:rFonts w:ascii="宋体"/>
              </w:rPr>
            </w:pPr>
          </w:p>
        </w:tc>
        <w:tc>
          <w:tcPr>
            <w:tcW w:w="5" w:type="pct"/>
            <w:shd w:val="clear" w:color="auto" w:fill="auto"/>
            <w:vAlign w:val="bottom"/>
          </w:tcPr>
          <w:p w14:paraId="74DD7A74" w14:textId="77777777" w:rsidR="00584EC1" w:rsidRDefault="00584EC1">
            <w:pPr>
              <w:rPr>
                <w:rFonts w:ascii="宋体"/>
              </w:rPr>
            </w:pPr>
          </w:p>
        </w:tc>
      </w:tr>
      <w:tr w:rsidR="00584EC1" w14:paraId="74DD7A78"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4DD7A76"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7A77" w14:textId="77777777" w:rsidR="00584EC1" w:rsidRDefault="00584EC1">
            <w:pPr>
              <w:rPr>
                <w:rFonts w:ascii="宋体"/>
              </w:rPr>
            </w:pPr>
          </w:p>
        </w:tc>
      </w:tr>
    </w:tbl>
    <w:p w14:paraId="74DD7A79" w14:textId="77777777" w:rsidR="00584EC1" w:rsidRDefault="00871F8D">
      <w:pPr>
        <w:spacing w:before="20"/>
        <w:jc w:val="both"/>
      </w:pPr>
      <w:r>
        <w:rPr>
          <w:rFonts w:ascii="Arial" w:eastAsia="宋体" w:hAnsi="Arial" w:cs="Arial"/>
          <w:color w:val="000000"/>
          <w:sz w:val="8"/>
          <w:szCs w:val="8"/>
        </w:rPr>
        <w:t xml:space="preserve">(1) </w:t>
      </w:r>
      <w:r>
        <w:rPr>
          <w:rFonts w:ascii="Arial" w:eastAsia="宋体" w:hAnsi="Arial" w:cs="Arial"/>
          <w:color w:val="000000"/>
          <w:sz w:val="13"/>
          <w:szCs w:val="13"/>
        </w:rPr>
        <w:t>Certain previously reported amounts presented have been reclassified to conform to current-period presentation.</w:t>
      </w:r>
    </w:p>
    <w:p w14:paraId="74DD7A7A" w14:textId="77777777" w:rsidR="00584EC1" w:rsidRDefault="00871F8D">
      <w:pPr>
        <w:spacing w:before="20"/>
        <w:jc w:val="both"/>
      </w:pPr>
      <w:r>
        <w:rPr>
          <w:rFonts w:ascii="Arial" w:eastAsia="宋体" w:hAnsi="Arial" w:cs="Arial"/>
          <w:color w:val="000000"/>
          <w:sz w:val="8"/>
          <w:szCs w:val="8"/>
        </w:rPr>
        <w:t>(2)</w:t>
      </w:r>
      <w:r>
        <w:rPr>
          <w:rFonts w:ascii="Arial" w:eastAsia="宋体" w:hAnsi="Arial" w:cs="Arial"/>
          <w:color w:val="000000"/>
          <w:sz w:val="13"/>
          <w:szCs w:val="13"/>
        </w:rPr>
        <w:t xml:space="preserve"> Consistent with past practice, AUC/A values for certain asset classes are based on a lag, typically one-month.</w:t>
      </w:r>
    </w:p>
    <w:p w14:paraId="74DD7A7B" w14:textId="77777777" w:rsidR="00584EC1" w:rsidRDefault="00871F8D">
      <w:pPr>
        <w:spacing w:before="20"/>
        <w:jc w:val="both"/>
      </w:pPr>
      <w:r>
        <w:rPr>
          <w:rFonts w:ascii="Arial" w:eastAsia="宋体" w:hAnsi="Arial" w:cs="Arial"/>
          <w:color w:val="000000"/>
          <w:sz w:val="8"/>
          <w:szCs w:val="8"/>
        </w:rPr>
        <w:t xml:space="preserve">(3) </w:t>
      </w:r>
      <w:r>
        <w:rPr>
          <w:rFonts w:ascii="Arial" w:eastAsia="宋体" w:hAnsi="Arial" w:cs="Arial"/>
          <w:color w:val="000000"/>
          <w:sz w:val="13"/>
          <w:szCs w:val="13"/>
        </w:rPr>
        <w:t xml:space="preserve">Geographic mix is generally based on the domicile of the entity servicing the funds and is not necessarily representative of the </w:t>
      </w:r>
      <w:r>
        <w:rPr>
          <w:rFonts w:ascii="Arial" w:eastAsia="宋体" w:hAnsi="Arial" w:cs="Arial"/>
          <w:color w:val="000000"/>
          <w:sz w:val="13"/>
          <w:szCs w:val="13"/>
        </w:rPr>
        <w:t>underlying asset mix.</w:t>
      </w:r>
    </w:p>
    <w:p w14:paraId="74DD7A7C" w14:textId="77777777" w:rsidR="00584EC1" w:rsidRDefault="00871F8D">
      <w:pPr>
        <w:ind w:firstLine="450"/>
        <w:jc w:val="right"/>
      </w:pPr>
      <w:r>
        <w:rPr>
          <w:rFonts w:ascii="Arial" w:eastAsia="宋体" w:hAnsi="Arial" w:cs="Arial"/>
          <w:color w:val="000000"/>
          <w:sz w:val="18"/>
          <w:szCs w:val="18"/>
        </w:rPr>
        <w:t>State Street Corporation | 20</w:t>
      </w:r>
    </w:p>
    <w:p w14:paraId="74DD7A7D" w14:textId="77777777" w:rsidR="00584EC1" w:rsidRDefault="00584EC1">
      <w:pPr>
        <w:ind w:firstLine="450"/>
        <w:jc w:val="center"/>
      </w:pPr>
    </w:p>
    <w:p w14:paraId="74DD7A7E" w14:textId="77777777" w:rsidR="00584EC1" w:rsidRDefault="00871F8D">
      <w:r>
        <w:pict w14:anchorId="74DE2A02">
          <v:rect id="_x0000_i1044" style="width:415.3pt;height:1.5pt" o:hralign="center" o:hrstd="t" o:hr="t" fillcolor="#a0a0a0" stroked="f"/>
        </w:pict>
      </w:r>
    </w:p>
    <w:p w14:paraId="74DD7A7F" w14:textId="77777777" w:rsidR="00584EC1" w:rsidRDefault="00871F8D">
      <w:pPr>
        <w:ind w:firstLine="450"/>
        <w:jc w:val="center"/>
      </w:pPr>
      <w:r>
        <w:rPr>
          <w:rFonts w:ascii="Arial" w:eastAsia="宋体" w:hAnsi="Arial" w:cs="Arial"/>
          <w:b/>
          <w:bCs/>
          <w:color w:val="000000"/>
          <w:sz w:val="20"/>
          <w:szCs w:val="20"/>
        </w:rPr>
        <w:t>MANAGEMENT’S DISCUSSION AND ANALYSIS OF FINANCIAL CONDITION</w:t>
      </w:r>
    </w:p>
    <w:p w14:paraId="74DD7A80" w14:textId="77777777" w:rsidR="00584EC1" w:rsidRDefault="00871F8D">
      <w:pPr>
        <w:ind w:firstLine="450"/>
        <w:jc w:val="center"/>
      </w:pPr>
      <w:r>
        <w:rPr>
          <w:rFonts w:ascii="Arial" w:eastAsia="宋体" w:hAnsi="Arial" w:cs="Arial"/>
          <w:b/>
          <w:bCs/>
          <w:color w:val="000000"/>
          <w:sz w:val="20"/>
          <w:szCs w:val="20"/>
        </w:rPr>
        <w:t>AND RESULTS OF OPERATIONS</w:t>
      </w:r>
    </w:p>
    <w:p w14:paraId="74DD7A81" w14:textId="77777777" w:rsidR="00584EC1" w:rsidRDefault="00871F8D">
      <w:pPr>
        <w:spacing w:before="60"/>
        <w:ind w:firstLine="450"/>
        <w:jc w:val="both"/>
        <w:textAlignment w:val="top"/>
      </w:pPr>
      <w:r>
        <w:rPr>
          <w:rFonts w:ascii="Arial" w:eastAsia="宋体" w:hAnsi="Arial" w:cs="Arial"/>
          <w:color w:val="000000"/>
          <w:sz w:val="20"/>
          <w:szCs w:val="20"/>
        </w:rPr>
        <w:t xml:space="preserve">Asset servicing mandates newly announced in the third quarter of 2021 totaled approximately $1.66 </w:t>
      </w:r>
      <w:r>
        <w:rPr>
          <w:rFonts w:ascii="Arial" w:eastAsia="宋体" w:hAnsi="Arial" w:cs="Arial"/>
          <w:color w:val="000000"/>
          <w:sz w:val="20"/>
          <w:szCs w:val="20"/>
        </w:rPr>
        <w:t>trillion, with State Street Alpha representing a large proportion of the wins. Servicing assets remaining to be installed in future periods totaled approximately $2.73 trillion as of September 30, 2021, which will be reflected in AUC/A in future periods af</w:t>
      </w:r>
      <w:r>
        <w:rPr>
          <w:rFonts w:ascii="Arial" w:eastAsia="宋体" w:hAnsi="Arial" w:cs="Arial"/>
          <w:color w:val="000000"/>
          <w:sz w:val="20"/>
          <w:szCs w:val="20"/>
        </w:rPr>
        <w:t xml:space="preserve">ter installation and will generate servicing fee revenue in subsequent periods. The full revenue impact of such mandates will be realized over several quarters as the assets are installed and additional services are added over that period. With respect to </w:t>
      </w:r>
      <w:r>
        <w:rPr>
          <w:rFonts w:ascii="Arial" w:eastAsia="宋体" w:hAnsi="Arial" w:cs="Arial"/>
          <w:color w:val="000000"/>
          <w:sz w:val="20"/>
          <w:szCs w:val="20"/>
        </w:rPr>
        <w:t>the current asset mandates of approximately $2.73 trillion that are yet to be installed as of September 30, 2021, we expect the conversion will occur over the coming 12 to 24 months, with approximately half of the annualized revenue expected to be recogniz</w:t>
      </w:r>
      <w:r>
        <w:rPr>
          <w:rFonts w:ascii="Arial" w:eastAsia="宋体" w:hAnsi="Arial" w:cs="Arial"/>
          <w:color w:val="000000"/>
          <w:sz w:val="20"/>
          <w:szCs w:val="20"/>
        </w:rPr>
        <w:t>ed through 2022, and the remainder primarily in 2023.</w:t>
      </w:r>
    </w:p>
    <w:p w14:paraId="74DD7A82" w14:textId="77777777" w:rsidR="00584EC1" w:rsidRDefault="00871F8D">
      <w:pPr>
        <w:spacing w:before="60"/>
        <w:ind w:firstLine="450"/>
        <w:jc w:val="both"/>
        <w:textAlignment w:val="top"/>
      </w:pPr>
      <w:r>
        <w:rPr>
          <w:rFonts w:ascii="Arial" w:eastAsia="宋体" w:hAnsi="Arial" w:cs="Arial"/>
          <w:color w:val="000000"/>
          <w:sz w:val="20"/>
          <w:szCs w:val="20"/>
        </w:rPr>
        <w:t>New asset servicing mandates may be subject to completion of definitive agreements, approval of applicable boards and shareholders and customary regulatory approvals. New asset servicing mandates and se</w:t>
      </w:r>
      <w:r>
        <w:rPr>
          <w:rFonts w:ascii="Arial" w:eastAsia="宋体" w:hAnsi="Arial" w:cs="Arial"/>
          <w:color w:val="000000"/>
          <w:sz w:val="20"/>
          <w:szCs w:val="20"/>
        </w:rPr>
        <w:t xml:space="preserve">rvicing assets remaining to be installed in future periods exclude certain new business which has been contracted, but for which the client has not yet provided permission to publicly disclose and the expected installation date extends beyond one quarter. </w:t>
      </w:r>
      <w:r>
        <w:rPr>
          <w:rFonts w:ascii="Arial" w:eastAsia="宋体" w:hAnsi="Arial" w:cs="Arial"/>
          <w:color w:val="000000"/>
          <w:sz w:val="20"/>
          <w:szCs w:val="20"/>
        </w:rPr>
        <w:t>These excluded assets, which from time to time may be significant, will be included in new asset servicing mandates and reflected in servicing assets remaining to be installed in the period in which the client provides its permission. Servicing mandates an</w:t>
      </w:r>
      <w:r>
        <w:rPr>
          <w:rFonts w:ascii="Arial" w:eastAsia="宋体" w:hAnsi="Arial" w:cs="Arial"/>
          <w:color w:val="000000"/>
          <w:sz w:val="20"/>
          <w:szCs w:val="20"/>
        </w:rPr>
        <w:t xml:space="preserve">d servicing assets remaining to be installed in future periods are presented on a gross basis and therefore also do not include the impact of clients who have notified us during the period of their intent to terminate or reduce their relationship with us, </w:t>
      </w:r>
      <w:r>
        <w:rPr>
          <w:rFonts w:ascii="Arial" w:eastAsia="宋体" w:hAnsi="Arial" w:cs="Arial"/>
          <w:color w:val="000000"/>
          <w:sz w:val="20"/>
          <w:szCs w:val="20"/>
        </w:rPr>
        <w:t xml:space="preserve">which may from time to time be significant. </w:t>
      </w:r>
    </w:p>
    <w:p w14:paraId="74DD7A83" w14:textId="77777777" w:rsidR="00584EC1" w:rsidRDefault="00871F8D">
      <w:pPr>
        <w:spacing w:before="60"/>
        <w:ind w:firstLine="450"/>
        <w:jc w:val="both"/>
        <w:textAlignment w:val="top"/>
      </w:pPr>
      <w:r>
        <w:rPr>
          <w:rFonts w:ascii="Arial" w:eastAsia="宋体" w:hAnsi="Arial" w:cs="Arial"/>
          <w:color w:val="000000"/>
          <w:sz w:val="20"/>
          <w:szCs w:val="20"/>
        </w:rPr>
        <w:t>With respect to these new servicing mandates, once installed we may provide various services, including accounting, bank loan servicing, compliance reporting and monitoring, custody, depository banking services,</w:t>
      </w:r>
      <w:r>
        <w:rPr>
          <w:rFonts w:ascii="Arial" w:eastAsia="宋体" w:hAnsi="Arial" w:cs="Arial"/>
          <w:color w:val="000000"/>
          <w:sz w:val="20"/>
          <w:szCs w:val="20"/>
        </w:rPr>
        <w:t xml:space="preserve"> FX, fund administration, hedge fund servicing, middle office outsourcing, performance and analytics, private equity administration, real estate administration, securities finance, transfer agency and wealth management services. Revenues associated with ne</w:t>
      </w:r>
      <w:r>
        <w:rPr>
          <w:rFonts w:ascii="Arial" w:eastAsia="宋体" w:hAnsi="Arial" w:cs="Arial"/>
          <w:color w:val="000000"/>
          <w:sz w:val="20"/>
          <w:szCs w:val="20"/>
        </w:rPr>
        <w:t>w servicing mandates may vary based on the breadth of services provided and the timing of installation, and the types of assets.</w:t>
      </w:r>
    </w:p>
    <w:p w14:paraId="74DD7A84" w14:textId="77777777" w:rsidR="00584EC1" w:rsidRDefault="00871F8D">
      <w:pPr>
        <w:spacing w:before="60"/>
        <w:ind w:firstLine="450"/>
        <w:jc w:val="both"/>
        <w:textAlignment w:val="top"/>
      </w:pPr>
      <w:r>
        <w:rPr>
          <w:rFonts w:ascii="Arial" w:eastAsia="宋体" w:hAnsi="Arial" w:cs="Arial"/>
          <w:color w:val="000000"/>
          <w:sz w:val="20"/>
          <w:szCs w:val="20"/>
        </w:rPr>
        <w:t xml:space="preserve">As a result of a decision to diversify providers, one of our large asset servicing clients has advised us it expects to move a </w:t>
      </w:r>
      <w:r>
        <w:rPr>
          <w:rFonts w:ascii="Arial" w:eastAsia="宋体" w:hAnsi="Arial" w:cs="Arial"/>
          <w:color w:val="000000"/>
          <w:sz w:val="20"/>
          <w:szCs w:val="20"/>
        </w:rPr>
        <w:t xml:space="preserve">significant portion of its ETF assets currently with State Street to one or more other providers, pending necessary approvals. We expect to continue as a significant service provider for this client after this transition and for the client to </w:t>
      </w:r>
    </w:p>
    <w:p w14:paraId="74DD7A85" w14:textId="77777777" w:rsidR="00584EC1" w:rsidRDefault="00871F8D">
      <w:pPr>
        <w:spacing w:before="60"/>
        <w:jc w:val="both"/>
        <w:textAlignment w:val="top"/>
      </w:pPr>
      <w:r>
        <w:rPr>
          <w:rFonts w:ascii="Arial" w:eastAsia="宋体" w:hAnsi="Arial" w:cs="Arial"/>
          <w:color w:val="000000"/>
          <w:sz w:val="20"/>
          <w:szCs w:val="20"/>
        </w:rPr>
        <w:t xml:space="preserve">continue to </w:t>
      </w:r>
      <w:r>
        <w:rPr>
          <w:rFonts w:ascii="Arial" w:eastAsia="宋体" w:hAnsi="Arial" w:cs="Arial"/>
          <w:color w:val="000000"/>
          <w:sz w:val="20"/>
          <w:szCs w:val="20"/>
        </w:rPr>
        <w:t>be meaningful to our business. The transition is expected to begin in 2022 but will principally occur in 2023. For the year ended December 31, 2020, the fee revenue associated with the transitioning assets represented approximately 1.5% of our total fee re</w:t>
      </w:r>
      <w:r>
        <w:rPr>
          <w:rFonts w:ascii="Arial" w:eastAsia="宋体" w:hAnsi="Arial" w:cs="Arial"/>
          <w:color w:val="000000"/>
          <w:sz w:val="20"/>
          <w:szCs w:val="20"/>
        </w:rPr>
        <w:t>venue. The total revenue and income impact of this transition will depend upon a range of factors, including potential growth in our continuing business with the client and expense reductions associated with the transition.</w:t>
      </w:r>
    </w:p>
    <w:p w14:paraId="74DD7A86" w14:textId="77777777" w:rsidR="00584EC1" w:rsidRDefault="00871F8D">
      <w:pPr>
        <w:spacing w:before="60"/>
        <w:ind w:firstLine="450"/>
        <w:jc w:val="both"/>
        <w:textAlignment w:val="top"/>
      </w:pPr>
      <w:r>
        <w:rPr>
          <w:rFonts w:ascii="Arial" w:eastAsia="宋体" w:hAnsi="Arial" w:cs="Arial"/>
          <w:color w:val="000000"/>
          <w:sz w:val="20"/>
          <w:szCs w:val="20"/>
        </w:rPr>
        <w:t>For additional information about</w:t>
      </w:r>
      <w:r>
        <w:rPr>
          <w:rFonts w:ascii="Arial" w:eastAsia="宋体" w:hAnsi="Arial" w:cs="Arial"/>
          <w:color w:val="000000"/>
          <w:sz w:val="20"/>
          <w:szCs w:val="20"/>
        </w:rPr>
        <w:t xml:space="preserve"> the impact of worldwide equity and fixed-income valuations on our fee revenue, as well as other key drivers of our servicing fee revenue, refer to "Fee Revenue" in "Consolidated Results of Operations" included in this Management's Discussion and Analysis.</w:t>
      </w:r>
    </w:p>
    <w:p w14:paraId="74DD7A87" w14:textId="77777777" w:rsidR="00584EC1" w:rsidRDefault="00871F8D">
      <w:pPr>
        <w:spacing w:before="60"/>
        <w:jc w:val="both"/>
        <w:textAlignment w:val="top"/>
      </w:pPr>
      <w:r>
        <w:rPr>
          <w:rFonts w:ascii="Arial" w:eastAsia="宋体" w:hAnsi="Arial" w:cs="Arial"/>
          <w:b/>
          <w:bCs/>
          <w:i/>
          <w:iCs/>
          <w:color w:val="000000"/>
          <w:sz w:val="20"/>
          <w:szCs w:val="20"/>
        </w:rPr>
        <w:t>Foreign Exchange Trading Services</w:t>
      </w:r>
    </w:p>
    <w:p w14:paraId="74DD7A88" w14:textId="77777777" w:rsidR="00584EC1" w:rsidRDefault="00871F8D">
      <w:pPr>
        <w:spacing w:before="60"/>
        <w:ind w:firstLine="450"/>
        <w:jc w:val="both"/>
        <w:textAlignment w:val="top"/>
      </w:pPr>
      <w:r>
        <w:rPr>
          <w:rFonts w:ascii="Arial" w:eastAsia="宋体" w:hAnsi="Arial" w:cs="Arial"/>
          <w:color w:val="000000"/>
          <w:sz w:val="20"/>
          <w:szCs w:val="20"/>
        </w:rPr>
        <w:t>Foreign exchange trading services revenue, as presented in Table 10: Investment Servicing Line of Business Results, increased 6% in the three months ended September 30, 2021, compared to the same period in 2020, primarily</w:t>
      </w:r>
      <w:r>
        <w:rPr>
          <w:rFonts w:ascii="Arial" w:eastAsia="宋体" w:hAnsi="Arial" w:cs="Arial"/>
          <w:color w:val="000000"/>
          <w:sz w:val="20"/>
          <w:szCs w:val="20"/>
        </w:rPr>
        <w:t xml:space="preserve"> due to higher direct sales and trading revenue and indirect volumes, partially offset by lower FX volatility. Foreign exchange trading services revenue, as presented in Table 10: Investment Servicing Line of Business Results, decreased 13% in the nine mon</w:t>
      </w:r>
      <w:r>
        <w:rPr>
          <w:rFonts w:ascii="Arial" w:eastAsia="宋体" w:hAnsi="Arial" w:cs="Arial"/>
          <w:color w:val="000000"/>
          <w:sz w:val="20"/>
          <w:szCs w:val="20"/>
        </w:rPr>
        <w:t>ths ended September 30, 2021, compared to the same period in 2020, primarily due to lower FX volatility, as compared to the high levels of volatility experienced in the first nine months of 2020 due to the COVID-19 pandemic. Foreign exchange trading servic</w:t>
      </w:r>
      <w:r>
        <w:rPr>
          <w:rFonts w:ascii="Arial" w:eastAsia="宋体" w:hAnsi="Arial" w:cs="Arial"/>
          <w:color w:val="000000"/>
          <w:sz w:val="20"/>
          <w:szCs w:val="20"/>
        </w:rPr>
        <w:t>es is composed of revenue generated by FX trading and revenue generated by brokerage and other trading services, which made up 66% and 34%, respectively, of foreign exchange trading services revenue in the third quarter of 2021, compared to 61% and 39%, re</w:t>
      </w:r>
      <w:r>
        <w:rPr>
          <w:rFonts w:ascii="Arial" w:eastAsia="宋体" w:hAnsi="Arial" w:cs="Arial"/>
          <w:color w:val="000000"/>
          <w:sz w:val="20"/>
          <w:szCs w:val="20"/>
        </w:rPr>
        <w:t>spectively, in the same period in 2020. The impact of gross money market fund fee waivers on foreign exchange trading services was $15 million and $38 million in the three and nine months ended September 30, 2021, respectively, compared to $2 million and $</w:t>
      </w:r>
      <w:r>
        <w:rPr>
          <w:rFonts w:ascii="Arial" w:eastAsia="宋体" w:hAnsi="Arial" w:cs="Arial"/>
          <w:color w:val="000000"/>
          <w:sz w:val="20"/>
          <w:szCs w:val="20"/>
        </w:rPr>
        <w:t>4 million in the same periods in 2020, respectively.</w:t>
      </w:r>
    </w:p>
    <w:p w14:paraId="74DD7A89" w14:textId="77777777" w:rsidR="00584EC1" w:rsidRDefault="00871F8D">
      <w:pPr>
        <w:spacing w:before="60"/>
        <w:ind w:firstLine="450"/>
        <w:jc w:val="both"/>
        <w:textAlignment w:val="top"/>
      </w:pPr>
      <w:r>
        <w:rPr>
          <w:rFonts w:ascii="Arial" w:eastAsia="宋体" w:hAnsi="Arial" w:cs="Arial"/>
          <w:color w:val="000000"/>
          <w:sz w:val="20"/>
          <w:szCs w:val="20"/>
        </w:rPr>
        <w:t>We primarily earn FX trading revenue by acting as a principal market-maker through both "direct sales and trading” and “indirect FX trading.”</w:t>
      </w:r>
    </w:p>
    <w:p w14:paraId="74DD7A8A" w14:textId="77777777" w:rsidR="00584EC1" w:rsidRDefault="00871F8D">
      <w:pPr>
        <w:spacing w:before="60"/>
        <w:ind w:hanging="360"/>
        <w:jc w:val="both"/>
        <w:textAlignment w:val="top"/>
      </w:pPr>
      <w:r>
        <w:rPr>
          <w:rFonts w:ascii="Arial" w:eastAsia="宋体" w:hAnsi="Arial" w:cs="Arial"/>
          <w:color w:val="000000"/>
          <w:sz w:val="20"/>
          <w:szCs w:val="20"/>
        </w:rPr>
        <w:t>•Direct sales and trading: Represent FX transactions at negot</w:t>
      </w:r>
      <w:r>
        <w:rPr>
          <w:rFonts w:ascii="Arial" w:eastAsia="宋体" w:hAnsi="Arial" w:cs="Arial"/>
          <w:color w:val="000000"/>
          <w:sz w:val="20"/>
          <w:szCs w:val="20"/>
        </w:rPr>
        <w:t xml:space="preserve">iated rates with clients and investment managers that contact our trading desk directly. These principal market-making activities include transactions for funds serviced by third party custodians or prime brokers, as well as those funds under custody with </w:t>
      </w:r>
      <w:r>
        <w:rPr>
          <w:rFonts w:ascii="Arial" w:eastAsia="宋体" w:hAnsi="Arial" w:cs="Arial"/>
          <w:color w:val="000000"/>
          <w:sz w:val="20"/>
          <w:szCs w:val="20"/>
        </w:rPr>
        <w:t>us.</w:t>
      </w:r>
    </w:p>
    <w:p w14:paraId="74DD7A8B" w14:textId="77777777" w:rsidR="00584EC1" w:rsidRDefault="00871F8D">
      <w:pPr>
        <w:ind w:firstLine="450"/>
        <w:jc w:val="right"/>
      </w:pPr>
      <w:r>
        <w:rPr>
          <w:rFonts w:ascii="Arial" w:eastAsia="宋体" w:hAnsi="Arial" w:cs="Arial"/>
          <w:color w:val="000000"/>
          <w:sz w:val="18"/>
          <w:szCs w:val="18"/>
        </w:rPr>
        <w:t>State Street Corporation | 21</w:t>
      </w:r>
    </w:p>
    <w:p w14:paraId="74DD7A8C" w14:textId="77777777" w:rsidR="00584EC1" w:rsidRDefault="00584EC1">
      <w:pPr>
        <w:ind w:firstLine="450"/>
        <w:jc w:val="center"/>
      </w:pPr>
    </w:p>
    <w:p w14:paraId="74DD7A8D" w14:textId="77777777" w:rsidR="00584EC1" w:rsidRDefault="00871F8D">
      <w:r>
        <w:pict w14:anchorId="74DE2A03">
          <v:rect id="_x0000_i1045" style="width:415.3pt;height:1.5pt" o:hralign="center" o:hrstd="t" o:hr="t" fillcolor="#a0a0a0" stroked="f"/>
        </w:pict>
      </w:r>
    </w:p>
    <w:p w14:paraId="74DD7A8E" w14:textId="77777777" w:rsidR="00584EC1" w:rsidRDefault="00871F8D">
      <w:pPr>
        <w:ind w:firstLine="450"/>
        <w:jc w:val="center"/>
      </w:pPr>
      <w:r>
        <w:rPr>
          <w:rFonts w:ascii="Arial" w:eastAsia="宋体" w:hAnsi="Arial" w:cs="Arial"/>
          <w:b/>
          <w:bCs/>
          <w:color w:val="000000"/>
          <w:sz w:val="20"/>
          <w:szCs w:val="20"/>
        </w:rPr>
        <w:t>MANAGEMENT’S DISCUSSION AND ANALYSIS OF FINANCIAL CONDITION</w:t>
      </w:r>
    </w:p>
    <w:p w14:paraId="74DD7A8F" w14:textId="77777777" w:rsidR="00584EC1" w:rsidRDefault="00871F8D">
      <w:pPr>
        <w:ind w:firstLine="450"/>
        <w:jc w:val="center"/>
      </w:pPr>
      <w:r>
        <w:rPr>
          <w:rFonts w:ascii="Arial" w:eastAsia="宋体" w:hAnsi="Arial" w:cs="Arial"/>
          <w:b/>
          <w:bCs/>
          <w:color w:val="000000"/>
          <w:sz w:val="20"/>
          <w:szCs w:val="20"/>
        </w:rPr>
        <w:t>AND RESULTS OF OPERATIONS</w:t>
      </w:r>
    </w:p>
    <w:p w14:paraId="74DD7A90" w14:textId="77777777" w:rsidR="00584EC1" w:rsidRDefault="00871F8D">
      <w:pPr>
        <w:spacing w:before="60"/>
        <w:ind w:hanging="360"/>
        <w:jc w:val="both"/>
        <w:textAlignment w:val="top"/>
      </w:pPr>
      <w:r>
        <w:rPr>
          <w:rFonts w:ascii="Arial" w:eastAsia="宋体" w:hAnsi="Arial" w:cs="Arial"/>
          <w:color w:val="000000"/>
          <w:sz w:val="20"/>
          <w:szCs w:val="20"/>
        </w:rPr>
        <w:t>•Indirect FX trading: Represents FX transactions with clients, for which we are the funds' custodian, or their investment managers, r</w:t>
      </w:r>
      <w:r>
        <w:rPr>
          <w:rFonts w:ascii="Arial" w:eastAsia="宋体" w:hAnsi="Arial" w:cs="Arial"/>
          <w:color w:val="000000"/>
          <w:sz w:val="20"/>
          <w:szCs w:val="20"/>
        </w:rPr>
        <w:t>outed to our FX desk through our asset-servicing operation. We execute indirect FX trades as a principal at rates disclosed to our clients.</w:t>
      </w:r>
    </w:p>
    <w:p w14:paraId="74DD7A91" w14:textId="77777777" w:rsidR="00584EC1" w:rsidRDefault="00871F8D">
      <w:pPr>
        <w:spacing w:before="60"/>
        <w:ind w:firstLine="450"/>
        <w:jc w:val="both"/>
        <w:textAlignment w:val="top"/>
      </w:pPr>
      <w:r>
        <w:rPr>
          <w:rFonts w:ascii="Arial" w:eastAsia="宋体" w:hAnsi="Arial" w:cs="Arial"/>
          <w:color w:val="000000"/>
          <w:sz w:val="20"/>
          <w:szCs w:val="20"/>
        </w:rPr>
        <w:t>Our FX trading revenue is influenced by multiple factors, including: the volume and type of client FX transactions and related spreads; currency volatility, reflecting market conditions; and our management of exchange rate, interest rate and other market r</w:t>
      </w:r>
      <w:r>
        <w:rPr>
          <w:rFonts w:ascii="Arial" w:eastAsia="宋体" w:hAnsi="Arial" w:cs="Arial"/>
          <w:color w:val="000000"/>
          <w:sz w:val="20"/>
          <w:szCs w:val="20"/>
        </w:rPr>
        <w:t>isks associated with our FX activities. The relative impact of these factors on our total FX trading revenues often differs from period to period. For example, assuming all other factors remain constant, increases or decreases in volumes or bid-offer sprea</w:t>
      </w:r>
      <w:r>
        <w:rPr>
          <w:rFonts w:ascii="Arial" w:eastAsia="宋体" w:hAnsi="Arial" w:cs="Arial"/>
          <w:color w:val="000000"/>
          <w:sz w:val="20"/>
          <w:szCs w:val="20"/>
        </w:rPr>
        <w:t xml:space="preserve">ds across product mix tend to result in increases or decreases, as the case may be, in client-related FX revenue. </w:t>
      </w:r>
    </w:p>
    <w:p w14:paraId="74DD7A92" w14:textId="77777777" w:rsidR="00584EC1" w:rsidRDefault="00871F8D">
      <w:pPr>
        <w:spacing w:before="60"/>
        <w:ind w:firstLine="450"/>
        <w:jc w:val="both"/>
        <w:textAlignment w:val="top"/>
      </w:pPr>
      <w:r>
        <w:rPr>
          <w:rFonts w:ascii="Arial" w:eastAsia="宋体" w:hAnsi="Arial" w:cs="Arial"/>
          <w:color w:val="000000"/>
          <w:sz w:val="20"/>
          <w:szCs w:val="20"/>
        </w:rPr>
        <w:t>Our clients that utilize indirect FX trading can, in addition to executing their FX transactions through dealers not affiliated with us, tran</w:t>
      </w:r>
      <w:r>
        <w:rPr>
          <w:rFonts w:ascii="Arial" w:eastAsia="宋体" w:hAnsi="Arial" w:cs="Arial"/>
          <w:color w:val="000000"/>
          <w:sz w:val="20"/>
          <w:szCs w:val="20"/>
        </w:rPr>
        <w:t>sition from indirect FX trading to either direct sales and trading execution, including our “Street FX” service, or to one of our electronic trading platforms. Street FX, in which we continue to act as a principal market-maker, enables our clients to defin</w:t>
      </w:r>
      <w:r>
        <w:rPr>
          <w:rFonts w:ascii="Arial" w:eastAsia="宋体" w:hAnsi="Arial" w:cs="Arial"/>
          <w:color w:val="000000"/>
          <w:sz w:val="20"/>
          <w:szCs w:val="20"/>
        </w:rPr>
        <w:t>e their FX execution strategy and automate the FX trade execution process, both for funds under custody with us as well as those under custody at another bank.</w:t>
      </w:r>
    </w:p>
    <w:p w14:paraId="74DD7A93" w14:textId="77777777" w:rsidR="00584EC1" w:rsidRDefault="00871F8D">
      <w:pPr>
        <w:spacing w:before="60"/>
        <w:ind w:firstLine="450"/>
        <w:jc w:val="both"/>
        <w:textAlignment w:val="top"/>
      </w:pPr>
      <w:r>
        <w:rPr>
          <w:rFonts w:ascii="Arial" w:eastAsia="宋体" w:hAnsi="Arial" w:cs="Arial"/>
          <w:color w:val="000000"/>
          <w:sz w:val="20"/>
          <w:szCs w:val="20"/>
        </w:rPr>
        <w:t>We also earn foreign exchange trading services revenue through "electronic FX services" and "oth</w:t>
      </w:r>
      <w:r>
        <w:rPr>
          <w:rFonts w:ascii="Arial" w:eastAsia="宋体" w:hAnsi="Arial" w:cs="Arial"/>
          <w:color w:val="000000"/>
          <w:sz w:val="20"/>
          <w:szCs w:val="20"/>
        </w:rPr>
        <w:t xml:space="preserve">er trading, transition management and brokerage revenue." </w:t>
      </w:r>
    </w:p>
    <w:p w14:paraId="74DD7A94" w14:textId="77777777" w:rsidR="00584EC1" w:rsidRDefault="00871F8D">
      <w:pPr>
        <w:spacing w:before="60"/>
        <w:ind w:hanging="360"/>
        <w:jc w:val="both"/>
        <w:textAlignment w:val="top"/>
      </w:pPr>
      <w:r>
        <w:rPr>
          <w:rFonts w:ascii="Arial" w:eastAsia="宋体" w:hAnsi="Arial" w:cs="Arial"/>
          <w:color w:val="000000"/>
          <w:sz w:val="20"/>
          <w:szCs w:val="20"/>
        </w:rPr>
        <w:t>•Electronic FX services: Our clients may choose to execute FX transactions through one of our electronic trading platforms. These transactions generate revenue through a “click” fee.</w:t>
      </w:r>
    </w:p>
    <w:p w14:paraId="74DD7A95" w14:textId="77777777" w:rsidR="00584EC1" w:rsidRDefault="00871F8D">
      <w:pPr>
        <w:spacing w:before="60" w:after="60"/>
        <w:ind w:hanging="360"/>
        <w:jc w:val="both"/>
        <w:textAlignment w:val="top"/>
      </w:pPr>
      <w:r>
        <w:rPr>
          <w:rFonts w:ascii="Arial" w:eastAsia="宋体" w:hAnsi="Arial" w:cs="Arial"/>
          <w:color w:val="000000"/>
          <w:sz w:val="20"/>
          <w:szCs w:val="20"/>
        </w:rPr>
        <w:t>•Other trading</w:t>
      </w:r>
      <w:r>
        <w:rPr>
          <w:rFonts w:ascii="Arial" w:eastAsia="宋体" w:hAnsi="Arial" w:cs="Arial"/>
          <w:color w:val="000000"/>
          <w:sz w:val="20"/>
          <w:szCs w:val="20"/>
        </w:rPr>
        <w:t>, transition management and brokerage revenue: As our clients look to us to enhance and preserve portfolio values, they may choose to utilize our Transition or Currency Management capabilities or transact with our Equity Trade execution group. These transa</w:t>
      </w:r>
      <w:r>
        <w:rPr>
          <w:rFonts w:ascii="Arial" w:eastAsia="宋体" w:hAnsi="Arial" w:cs="Arial"/>
          <w:color w:val="000000"/>
          <w:sz w:val="20"/>
          <w:szCs w:val="20"/>
        </w:rPr>
        <w:t>ctions, which are not limited to foreign exchange, generate revenue via commissions charged for trades transacted during the management of these portfolios.</w:t>
      </w:r>
    </w:p>
    <w:p w14:paraId="74DD7A96" w14:textId="77777777" w:rsidR="00584EC1" w:rsidRDefault="00871F8D">
      <w:pPr>
        <w:spacing w:before="60"/>
        <w:jc w:val="both"/>
        <w:textAlignment w:val="top"/>
      </w:pPr>
      <w:r>
        <w:rPr>
          <w:rFonts w:ascii="Arial" w:eastAsia="宋体" w:hAnsi="Arial" w:cs="Arial"/>
          <w:b/>
          <w:bCs/>
          <w:i/>
          <w:iCs/>
          <w:color w:val="000000"/>
          <w:sz w:val="20"/>
          <w:szCs w:val="20"/>
        </w:rPr>
        <w:t>Securities Finance</w:t>
      </w:r>
    </w:p>
    <w:p w14:paraId="74DD7A97" w14:textId="77777777" w:rsidR="00584EC1" w:rsidRDefault="00871F8D">
      <w:pPr>
        <w:spacing w:before="60"/>
        <w:ind w:firstLine="450"/>
        <w:jc w:val="both"/>
        <w:textAlignment w:val="top"/>
      </w:pPr>
      <w:r>
        <w:rPr>
          <w:rFonts w:ascii="Arial" w:eastAsia="宋体" w:hAnsi="Arial" w:cs="Arial"/>
          <w:color w:val="000000"/>
          <w:sz w:val="20"/>
          <w:szCs w:val="20"/>
        </w:rPr>
        <w:t xml:space="preserve">Our securities finance business consists of three components: </w:t>
      </w:r>
    </w:p>
    <w:p w14:paraId="74DD7A98" w14:textId="77777777" w:rsidR="00584EC1" w:rsidRDefault="00871F8D">
      <w:pPr>
        <w:spacing w:before="60"/>
        <w:ind w:hanging="360"/>
        <w:jc w:val="both"/>
        <w:textAlignment w:val="top"/>
      </w:pPr>
      <w:r>
        <w:rPr>
          <w:rFonts w:ascii="Arial" w:eastAsia="宋体" w:hAnsi="Arial" w:cs="Arial"/>
          <w:color w:val="000000"/>
          <w:sz w:val="20"/>
          <w:szCs w:val="20"/>
        </w:rPr>
        <w:t>(1) an agency len</w:t>
      </w:r>
      <w:r>
        <w:rPr>
          <w:rFonts w:ascii="Arial" w:eastAsia="宋体" w:hAnsi="Arial" w:cs="Arial"/>
          <w:color w:val="000000"/>
          <w:sz w:val="20"/>
          <w:szCs w:val="20"/>
        </w:rPr>
        <w:t xml:space="preserve">ding program for State Street Global Advisors managed investment funds with a broad range of investment objectives, which we refer to as the State Street Global Advisors lending funds; </w:t>
      </w:r>
    </w:p>
    <w:p w14:paraId="74DD7A99" w14:textId="77777777" w:rsidR="00584EC1" w:rsidRDefault="00871F8D">
      <w:pPr>
        <w:spacing w:before="60"/>
        <w:ind w:hanging="360"/>
        <w:jc w:val="both"/>
        <w:textAlignment w:val="top"/>
      </w:pPr>
      <w:r>
        <w:rPr>
          <w:rFonts w:ascii="Arial" w:eastAsia="宋体" w:hAnsi="Arial" w:cs="Arial"/>
          <w:color w:val="000000"/>
          <w:sz w:val="20"/>
          <w:szCs w:val="20"/>
        </w:rPr>
        <w:t xml:space="preserve">(2) an agency lending program for third-party investment managers and </w:t>
      </w:r>
      <w:r>
        <w:rPr>
          <w:rFonts w:ascii="Arial" w:eastAsia="宋体" w:hAnsi="Arial" w:cs="Arial"/>
          <w:color w:val="000000"/>
          <w:sz w:val="20"/>
          <w:szCs w:val="20"/>
        </w:rPr>
        <w:t xml:space="preserve">asset owners, which we refer to as the agency lending funds; and </w:t>
      </w:r>
    </w:p>
    <w:p w14:paraId="74DD7A9A" w14:textId="77777777" w:rsidR="00584EC1" w:rsidRDefault="00871F8D">
      <w:pPr>
        <w:spacing w:before="60"/>
        <w:ind w:hanging="360"/>
        <w:jc w:val="both"/>
        <w:textAlignment w:val="top"/>
      </w:pPr>
      <w:r>
        <w:rPr>
          <w:rFonts w:ascii="Arial" w:eastAsia="宋体" w:hAnsi="Arial" w:cs="Arial"/>
          <w:color w:val="000000"/>
          <w:sz w:val="20"/>
          <w:szCs w:val="20"/>
        </w:rPr>
        <w:t>(3) security lending transactions which we enter into as principal, which we refer to as our enhanced custody business.</w:t>
      </w:r>
    </w:p>
    <w:p w14:paraId="74DD7A9B" w14:textId="77777777" w:rsidR="00584EC1" w:rsidRDefault="00871F8D">
      <w:pPr>
        <w:spacing w:before="60"/>
        <w:ind w:firstLine="450"/>
        <w:jc w:val="both"/>
        <w:textAlignment w:val="top"/>
      </w:pPr>
      <w:r>
        <w:rPr>
          <w:rFonts w:ascii="Arial" w:eastAsia="宋体" w:hAnsi="Arial" w:cs="Arial"/>
          <w:color w:val="000000"/>
          <w:sz w:val="20"/>
          <w:szCs w:val="20"/>
        </w:rPr>
        <w:t xml:space="preserve">Securities finance revenue earned from our agency lending activities, </w:t>
      </w:r>
      <w:r>
        <w:rPr>
          <w:rFonts w:ascii="Arial" w:eastAsia="宋体" w:hAnsi="Arial" w:cs="Arial"/>
          <w:color w:val="000000"/>
          <w:sz w:val="20"/>
          <w:szCs w:val="20"/>
        </w:rPr>
        <w:t>which is composed of our split of both the spreads related to cash collateral and the fees related to non-cash collateral, is principally a function of the volume of securities on loan, the interest rate spreads and fees earned on the underlying collateral</w:t>
      </w:r>
      <w:r>
        <w:rPr>
          <w:rFonts w:ascii="Arial" w:eastAsia="宋体" w:hAnsi="Arial" w:cs="Arial"/>
          <w:color w:val="000000"/>
          <w:sz w:val="20"/>
          <w:szCs w:val="20"/>
        </w:rPr>
        <w:t xml:space="preserve"> and our share of the fee split.</w:t>
      </w:r>
    </w:p>
    <w:p w14:paraId="74DD7A9C" w14:textId="77777777" w:rsidR="00584EC1" w:rsidRDefault="00871F8D">
      <w:pPr>
        <w:spacing w:before="60"/>
        <w:ind w:firstLine="450"/>
        <w:jc w:val="both"/>
        <w:textAlignment w:val="top"/>
      </w:pPr>
      <w:r>
        <w:rPr>
          <w:rFonts w:ascii="Arial" w:eastAsia="宋体" w:hAnsi="Arial" w:cs="Arial"/>
          <w:color w:val="000000"/>
          <w:sz w:val="20"/>
          <w:szCs w:val="20"/>
        </w:rPr>
        <w:t xml:space="preserve">As principal, our enhanced custody business borrows securities from the lending client or other market participants and then lends such securities to the subsequent borrower, either our client or a broker/dealer. We act as </w:t>
      </w:r>
      <w:r>
        <w:rPr>
          <w:rFonts w:ascii="Arial" w:eastAsia="宋体" w:hAnsi="Arial" w:cs="Arial"/>
          <w:color w:val="000000"/>
          <w:sz w:val="20"/>
          <w:szCs w:val="20"/>
        </w:rPr>
        <w:t xml:space="preserve">principal when the lending client is unable to, or elects not to, transact directly with the market and execute the transaction and furnish the securities. In our role as principal, we provide support to the transaction through our credit rating. While we </w:t>
      </w:r>
      <w:r>
        <w:rPr>
          <w:rFonts w:ascii="Arial" w:eastAsia="宋体" w:hAnsi="Arial" w:cs="Arial"/>
          <w:color w:val="000000"/>
          <w:sz w:val="20"/>
          <w:szCs w:val="20"/>
        </w:rPr>
        <w:t>source a significant proportion of the securities furnished by us in our role as principal from third parties, we have the ability to source securities through assets under custody from clients who have designated us as an eligible borrower.</w:t>
      </w:r>
    </w:p>
    <w:p w14:paraId="74DD7A9D" w14:textId="77777777" w:rsidR="00584EC1" w:rsidRDefault="00871F8D">
      <w:pPr>
        <w:spacing w:before="60"/>
        <w:ind w:firstLine="450"/>
        <w:jc w:val="both"/>
        <w:textAlignment w:val="top"/>
      </w:pPr>
      <w:r>
        <w:rPr>
          <w:rFonts w:ascii="Arial" w:eastAsia="宋体" w:hAnsi="Arial" w:cs="Arial"/>
          <w:color w:val="000000"/>
          <w:sz w:val="20"/>
          <w:szCs w:val="20"/>
        </w:rPr>
        <w:t>Securities fin</w:t>
      </w:r>
      <w:r>
        <w:rPr>
          <w:rFonts w:ascii="Arial" w:eastAsia="宋体" w:hAnsi="Arial" w:cs="Arial"/>
          <w:color w:val="000000"/>
          <w:sz w:val="20"/>
          <w:szCs w:val="20"/>
        </w:rPr>
        <w:t xml:space="preserve">ance revenue, as presented in Table 10: Investment Servicing Line of Business Results, increased 27% in the three months ended September 30, 2021, compared to the same period in 2020, primarily driven by higher client securities loan balances and spreads, </w:t>
      </w:r>
      <w:r>
        <w:rPr>
          <w:rFonts w:ascii="Arial" w:eastAsia="宋体" w:hAnsi="Arial" w:cs="Arial"/>
          <w:color w:val="000000"/>
          <w:sz w:val="20"/>
          <w:szCs w:val="20"/>
        </w:rPr>
        <w:t>as well as new business wins in enhanced custody. Securities finance revenue, as presented in Table 10: Investment Servicing Line of Business Results, increased 18% in the nine months ended September 30, 2021, compared to the same period in 2020, primarily</w:t>
      </w:r>
      <w:r>
        <w:rPr>
          <w:rFonts w:ascii="Arial" w:eastAsia="宋体" w:hAnsi="Arial" w:cs="Arial"/>
          <w:color w:val="000000"/>
          <w:sz w:val="20"/>
          <w:szCs w:val="20"/>
        </w:rPr>
        <w:t xml:space="preserve"> driven by higher agency lending and enhanced custody balances, partially offset by lower spreads.</w:t>
      </w:r>
    </w:p>
    <w:p w14:paraId="74DD7A9E" w14:textId="77777777" w:rsidR="00584EC1" w:rsidRDefault="00871F8D">
      <w:pPr>
        <w:ind w:firstLine="450"/>
        <w:jc w:val="right"/>
      </w:pPr>
      <w:r>
        <w:rPr>
          <w:rFonts w:ascii="Arial" w:eastAsia="宋体" w:hAnsi="Arial" w:cs="Arial"/>
          <w:color w:val="000000"/>
          <w:sz w:val="18"/>
          <w:szCs w:val="18"/>
        </w:rPr>
        <w:t>State Street Corporation | 22</w:t>
      </w:r>
    </w:p>
    <w:p w14:paraId="74DD7A9F" w14:textId="77777777" w:rsidR="00584EC1" w:rsidRDefault="00584EC1">
      <w:pPr>
        <w:ind w:firstLine="450"/>
        <w:jc w:val="center"/>
      </w:pPr>
    </w:p>
    <w:p w14:paraId="74DD7AA0" w14:textId="77777777" w:rsidR="00584EC1" w:rsidRDefault="00871F8D">
      <w:r>
        <w:pict w14:anchorId="74DE2A04">
          <v:rect id="_x0000_i1046" style="width:415.3pt;height:1.5pt" o:hralign="center" o:hrstd="t" o:hr="t" fillcolor="#a0a0a0" stroked="f"/>
        </w:pict>
      </w:r>
    </w:p>
    <w:p w14:paraId="74DD7AA1" w14:textId="77777777" w:rsidR="00584EC1" w:rsidRDefault="00871F8D">
      <w:pPr>
        <w:ind w:firstLine="450"/>
        <w:jc w:val="center"/>
      </w:pPr>
      <w:r>
        <w:rPr>
          <w:rFonts w:ascii="Arial" w:eastAsia="宋体" w:hAnsi="Arial" w:cs="Arial"/>
          <w:b/>
          <w:bCs/>
          <w:color w:val="000000"/>
          <w:sz w:val="20"/>
          <w:szCs w:val="20"/>
        </w:rPr>
        <w:t>MANAGEMENT’S DISCUSSION AND ANALYSIS OF FINANCIAL CONDITION</w:t>
      </w:r>
    </w:p>
    <w:p w14:paraId="74DD7AA2" w14:textId="77777777" w:rsidR="00584EC1" w:rsidRDefault="00871F8D">
      <w:pPr>
        <w:ind w:firstLine="450"/>
        <w:jc w:val="center"/>
      </w:pPr>
      <w:r>
        <w:rPr>
          <w:rFonts w:ascii="Arial" w:eastAsia="宋体" w:hAnsi="Arial" w:cs="Arial"/>
          <w:b/>
          <w:bCs/>
          <w:color w:val="000000"/>
          <w:sz w:val="20"/>
          <w:szCs w:val="20"/>
        </w:rPr>
        <w:t>AND RESULTS OF OPERATIONS</w:t>
      </w:r>
    </w:p>
    <w:p w14:paraId="74DD7AA3" w14:textId="77777777" w:rsidR="00584EC1" w:rsidRDefault="00871F8D">
      <w:pPr>
        <w:spacing w:before="60"/>
        <w:ind w:firstLine="450"/>
        <w:jc w:val="both"/>
        <w:textAlignment w:val="top"/>
      </w:pPr>
      <w:r>
        <w:rPr>
          <w:rFonts w:ascii="Arial" w:eastAsia="宋体" w:hAnsi="Arial" w:cs="Arial"/>
          <w:color w:val="000000"/>
          <w:sz w:val="20"/>
          <w:szCs w:val="20"/>
        </w:rPr>
        <w:t xml:space="preserve">Market influences may continue to </w:t>
      </w:r>
      <w:r>
        <w:rPr>
          <w:rFonts w:ascii="Arial" w:eastAsia="宋体" w:hAnsi="Arial" w:cs="Arial"/>
          <w:color w:val="000000"/>
          <w:sz w:val="20"/>
          <w:szCs w:val="20"/>
        </w:rPr>
        <w:t>affect client demand for securities finance, and as a result our revenue from, and the profitability of, our securities lending activities in future periods. In addition, the constantly evolving regulatory environment, including revised or proposed capital</w:t>
      </w:r>
      <w:r>
        <w:rPr>
          <w:rFonts w:ascii="Arial" w:eastAsia="宋体" w:hAnsi="Arial" w:cs="Arial"/>
          <w:color w:val="000000"/>
          <w:sz w:val="20"/>
          <w:szCs w:val="20"/>
        </w:rPr>
        <w:t xml:space="preserve"> and liquidity standards, interpretations of those standards, and our own balance sheet management activities, may influence modifications to the way in which we deliver our agency lending or enhanced custody businesses, the volume of our securities lendin</w:t>
      </w:r>
      <w:r>
        <w:rPr>
          <w:rFonts w:ascii="Arial" w:eastAsia="宋体" w:hAnsi="Arial" w:cs="Arial"/>
          <w:color w:val="000000"/>
          <w:sz w:val="20"/>
          <w:szCs w:val="20"/>
        </w:rPr>
        <w:t>g activity and related revenue and profitability in future periods.</w:t>
      </w:r>
    </w:p>
    <w:p w14:paraId="74DD7AA4" w14:textId="77777777" w:rsidR="00584EC1" w:rsidRDefault="00871F8D">
      <w:pPr>
        <w:spacing w:before="60"/>
        <w:jc w:val="both"/>
        <w:textAlignment w:val="top"/>
      </w:pPr>
      <w:r>
        <w:rPr>
          <w:rFonts w:ascii="Arial" w:eastAsia="宋体" w:hAnsi="Arial" w:cs="Arial"/>
          <w:b/>
          <w:bCs/>
          <w:i/>
          <w:iCs/>
          <w:color w:val="000000"/>
          <w:sz w:val="20"/>
          <w:szCs w:val="20"/>
        </w:rPr>
        <w:t>Software and Processing Fees</w:t>
      </w:r>
    </w:p>
    <w:p w14:paraId="74DD7AA5" w14:textId="77777777" w:rsidR="00584EC1" w:rsidRDefault="00871F8D">
      <w:pPr>
        <w:spacing w:before="60"/>
        <w:ind w:firstLine="450"/>
        <w:jc w:val="both"/>
        <w:textAlignment w:val="top"/>
      </w:pPr>
      <w:r>
        <w:rPr>
          <w:rFonts w:ascii="Arial" w:eastAsia="宋体" w:hAnsi="Arial" w:cs="Arial"/>
          <w:color w:val="000000"/>
          <w:sz w:val="20"/>
          <w:szCs w:val="20"/>
        </w:rPr>
        <w:t>Software and processing fees revenue includes diverse types of fees and revenue, including fees from software licensing and maintenance, fees from our structur</w:t>
      </w:r>
      <w:r>
        <w:rPr>
          <w:rFonts w:ascii="Arial" w:eastAsia="宋体" w:hAnsi="Arial" w:cs="Arial"/>
          <w:color w:val="000000"/>
          <w:sz w:val="20"/>
          <w:szCs w:val="20"/>
        </w:rPr>
        <w:t>ed products business and other revenue including equity income from our joint venture investments, gains and losses on sales of other assets, market-related adjustments and income associated with certain tax-advantaged investments.</w:t>
      </w:r>
    </w:p>
    <w:p w14:paraId="74DD7AA6" w14:textId="77777777" w:rsidR="00584EC1" w:rsidRDefault="00871F8D">
      <w:pPr>
        <w:spacing w:before="60"/>
        <w:ind w:firstLine="450"/>
        <w:jc w:val="both"/>
        <w:textAlignment w:val="top"/>
      </w:pPr>
      <w:r>
        <w:rPr>
          <w:rFonts w:ascii="Arial" w:eastAsia="宋体" w:hAnsi="Arial" w:cs="Arial"/>
          <w:color w:val="000000"/>
          <w:sz w:val="20"/>
          <w:szCs w:val="20"/>
        </w:rPr>
        <w:t>Software and processing fees revenue, presented in Table 10: Investment Servicing Line of Business Results, increased 26% and 11% in the three and nine months ended September 30, 2021, compared to the same periods in 2020, respectively, and reflects approx</w:t>
      </w:r>
      <w:r>
        <w:rPr>
          <w:rFonts w:ascii="Arial" w:eastAsia="宋体" w:hAnsi="Arial" w:cs="Arial"/>
          <w:color w:val="000000"/>
          <w:sz w:val="20"/>
          <w:szCs w:val="20"/>
        </w:rPr>
        <w:t>imately $104 million and $327 million from CRD in the three and nine months ended September 30, 2021, respectively, compared to approximately $86 million and $303 million from CRD in the same periods in 2020, respectively. Revenue related to the front offi</w:t>
      </w:r>
      <w:r>
        <w:rPr>
          <w:rFonts w:ascii="Arial" w:eastAsia="宋体" w:hAnsi="Arial" w:cs="Arial"/>
          <w:color w:val="000000"/>
          <w:sz w:val="20"/>
          <w:szCs w:val="20"/>
        </w:rPr>
        <w:t>ce solutions provided by CRD is primarily driven by the sale of term software licenses and software as service arrangements, including professional services such as consulting and implementation services, software support and maintenance. Approximately 50%</w:t>
      </w:r>
      <w:r>
        <w:rPr>
          <w:rFonts w:ascii="Arial" w:eastAsia="宋体" w:hAnsi="Arial" w:cs="Arial"/>
          <w:color w:val="000000"/>
          <w:sz w:val="20"/>
          <w:szCs w:val="20"/>
        </w:rPr>
        <w:t>-70% of revenue associated with a sale of software to be installed on-premises is recognized at a point in time when the customer benefits from obtaining access to and use of the software license, with the percentage varying based on the length of the cont</w:t>
      </w:r>
      <w:r>
        <w:rPr>
          <w:rFonts w:ascii="Arial" w:eastAsia="宋体" w:hAnsi="Arial" w:cs="Arial"/>
          <w:color w:val="000000"/>
          <w:sz w:val="20"/>
          <w:szCs w:val="20"/>
        </w:rPr>
        <w:t>ract and other contractual terms. The remainder of revenue for on-premise installations is recognized over the length of the contract as maintenance and other services are provided. Upon renewal of an on-premises software contract, the same pattern of reve</w:t>
      </w:r>
      <w:r>
        <w:rPr>
          <w:rFonts w:ascii="Arial" w:eastAsia="宋体" w:hAnsi="Arial" w:cs="Arial"/>
          <w:color w:val="000000"/>
          <w:sz w:val="20"/>
          <w:szCs w:val="20"/>
        </w:rPr>
        <w:t>nue recognition is followed with 50%-70% recognized upon renewal and the balance recognized over the term of the contract. Revenue for a Software as a Service (SaaS) related arrangement, where the customer does not take possession of the software, is recog</w:t>
      </w:r>
      <w:r>
        <w:rPr>
          <w:rFonts w:ascii="Arial" w:eastAsia="宋体" w:hAnsi="Arial" w:cs="Arial"/>
          <w:color w:val="000000"/>
          <w:sz w:val="20"/>
          <w:szCs w:val="20"/>
        </w:rPr>
        <w:t xml:space="preserve">nized over the term of the contract as services are provided. Upon </w:t>
      </w:r>
    </w:p>
    <w:p w14:paraId="74DD7AA7" w14:textId="77777777" w:rsidR="00584EC1" w:rsidRDefault="00871F8D">
      <w:pPr>
        <w:spacing w:before="60"/>
        <w:jc w:val="both"/>
        <w:textAlignment w:val="top"/>
      </w:pPr>
      <w:r>
        <w:rPr>
          <w:rFonts w:ascii="Arial" w:eastAsia="宋体" w:hAnsi="Arial" w:cs="Arial"/>
          <w:color w:val="000000"/>
          <w:sz w:val="20"/>
          <w:szCs w:val="20"/>
        </w:rPr>
        <w:t>renewal of a SaaS arrangement, revenue continues to be recognized as services are provided under the new contract. As a result of these differences in how portions of CRD revenue are accou</w:t>
      </w:r>
      <w:r>
        <w:rPr>
          <w:rFonts w:ascii="Arial" w:eastAsia="宋体" w:hAnsi="Arial" w:cs="Arial"/>
          <w:color w:val="000000"/>
          <w:sz w:val="20"/>
          <w:szCs w:val="20"/>
        </w:rPr>
        <w:t>nted for, CRD revenue may vary more than other business units quarter to quarter. CRD contributed approximately $106 million and $336 million in total revenue in the three and nine months ended September 30, 2021, respectively, compared to approximately $8</w:t>
      </w:r>
      <w:r>
        <w:rPr>
          <w:rFonts w:ascii="Arial" w:eastAsia="宋体" w:hAnsi="Arial" w:cs="Arial"/>
          <w:color w:val="000000"/>
          <w:sz w:val="20"/>
          <w:szCs w:val="20"/>
        </w:rPr>
        <w:t>9 million and $314 million in the same periods in 2020, respectively, which included in the three and nine months ended September 30, 2021 approximately $104 million and $327 million in software and processing fees, respectively, and $3 million and $9 mill</w:t>
      </w:r>
      <w:r>
        <w:rPr>
          <w:rFonts w:ascii="Arial" w:eastAsia="宋体" w:hAnsi="Arial" w:cs="Arial"/>
          <w:color w:val="000000"/>
          <w:sz w:val="20"/>
          <w:szCs w:val="20"/>
        </w:rPr>
        <w:t xml:space="preserve">ion in brokerage and other trading services, respectively, within foreign exchange trading services. </w:t>
      </w:r>
    </w:p>
    <w:p w14:paraId="74DD7AA8" w14:textId="77777777" w:rsidR="00584EC1" w:rsidRDefault="00871F8D">
      <w:pPr>
        <w:spacing w:before="60"/>
        <w:ind w:firstLine="450"/>
        <w:jc w:val="both"/>
        <w:textAlignment w:val="top"/>
      </w:pPr>
      <w:r>
        <w:rPr>
          <w:rFonts w:ascii="Arial" w:eastAsia="宋体" w:hAnsi="Arial" w:cs="Arial"/>
          <w:color w:val="000000"/>
          <w:sz w:val="20"/>
          <w:szCs w:val="20"/>
        </w:rPr>
        <w:t>Amortization of tax advantage investments negatively impacted software and processing fees by approximately $23 million and $79 million in the three and n</w:t>
      </w:r>
      <w:r>
        <w:rPr>
          <w:rFonts w:ascii="Arial" w:eastAsia="宋体" w:hAnsi="Arial" w:cs="Arial"/>
          <w:color w:val="000000"/>
          <w:sz w:val="20"/>
          <w:szCs w:val="20"/>
        </w:rPr>
        <w:t>ine months ended September 30, 2021, respectively, compared to $24 million and $67 million in the same periods in 2020, respectively.</w:t>
      </w:r>
    </w:p>
    <w:p w14:paraId="74DD7AA9" w14:textId="77777777" w:rsidR="00584EC1" w:rsidRDefault="00871F8D">
      <w:pPr>
        <w:spacing w:before="60"/>
        <w:ind w:firstLine="450"/>
        <w:jc w:val="both"/>
        <w:textAlignment w:val="top"/>
      </w:pPr>
      <w:r>
        <w:rPr>
          <w:rFonts w:ascii="Arial" w:eastAsia="宋体" w:hAnsi="Arial" w:cs="Arial"/>
          <w:color w:val="000000"/>
          <w:sz w:val="20"/>
          <w:szCs w:val="20"/>
        </w:rPr>
        <w:t xml:space="preserve">In addition, FX and market-related adjustments, which also includes certain fair value adjustments, impacted software and </w:t>
      </w:r>
      <w:r>
        <w:rPr>
          <w:rFonts w:ascii="Arial" w:eastAsia="宋体" w:hAnsi="Arial" w:cs="Arial"/>
          <w:color w:val="000000"/>
          <w:sz w:val="20"/>
          <w:szCs w:val="20"/>
        </w:rPr>
        <w:t xml:space="preserve">processing fees by approximately $14 million and $16 million in the three and nine months ended September 30, 2021, respectively, compared to ($2) million and $3 million in the same periods in 2020, respectively. </w:t>
      </w:r>
    </w:p>
    <w:p w14:paraId="74DD7AAA" w14:textId="77777777" w:rsidR="00584EC1" w:rsidRDefault="00871F8D">
      <w:pPr>
        <w:spacing w:before="60"/>
        <w:jc w:val="both"/>
        <w:textAlignment w:val="top"/>
      </w:pPr>
      <w:r>
        <w:rPr>
          <w:rFonts w:ascii="Arial" w:eastAsia="宋体" w:hAnsi="Arial" w:cs="Arial"/>
          <w:b/>
          <w:bCs/>
          <w:i/>
          <w:iCs/>
          <w:color w:val="000000"/>
          <w:sz w:val="20"/>
          <w:szCs w:val="20"/>
        </w:rPr>
        <w:t>Expenses</w:t>
      </w:r>
    </w:p>
    <w:p w14:paraId="74DD7AAB" w14:textId="77777777" w:rsidR="00584EC1" w:rsidRDefault="00871F8D">
      <w:pPr>
        <w:spacing w:before="60"/>
        <w:ind w:firstLine="450"/>
        <w:jc w:val="both"/>
        <w:textAlignment w:val="top"/>
      </w:pPr>
      <w:r>
        <w:rPr>
          <w:rFonts w:ascii="Arial" w:eastAsia="宋体" w:hAnsi="Arial" w:cs="Arial"/>
          <w:color w:val="000000"/>
          <w:sz w:val="20"/>
          <w:szCs w:val="20"/>
        </w:rPr>
        <w:t>Total expenses for Investment Ser</w:t>
      </w:r>
      <w:r>
        <w:rPr>
          <w:rFonts w:ascii="Arial" w:eastAsia="宋体" w:hAnsi="Arial" w:cs="Arial"/>
          <w:color w:val="000000"/>
          <w:sz w:val="20"/>
          <w:szCs w:val="20"/>
        </w:rPr>
        <w:t>vicing increased 1% in both the three and nine months ended September 30, 2021, compared to the same periods in 2020, primarily reflecting the impact of notable items and unfavorable currency translation. Currency translation increased expenses for Investm</w:t>
      </w:r>
      <w:r>
        <w:rPr>
          <w:rFonts w:ascii="Arial" w:eastAsia="宋体" w:hAnsi="Arial" w:cs="Arial"/>
          <w:color w:val="000000"/>
          <w:sz w:val="20"/>
          <w:szCs w:val="20"/>
        </w:rPr>
        <w:t>ent Servicing by 1% in both the three and nine months ended September 30, 2021 relative to the same periods in 2020. Seasonal deferred incentive compensation expense and payroll taxes were $141 million in the nine months ended September 30, 2021 compared t</w:t>
      </w:r>
      <w:r>
        <w:rPr>
          <w:rFonts w:ascii="Arial" w:eastAsia="宋体" w:hAnsi="Arial" w:cs="Arial"/>
          <w:color w:val="000000"/>
          <w:sz w:val="20"/>
          <w:szCs w:val="20"/>
        </w:rPr>
        <w:t>o $125 million in the same period in 2020. Total expenses contributed by CRD were approximately $74 million and $211 million in the three and nine months ended September 30, 2021, respectively, compared to $62 million and $181 million in the same periods i</w:t>
      </w:r>
      <w:r>
        <w:rPr>
          <w:rFonts w:ascii="Arial" w:eastAsia="宋体" w:hAnsi="Arial" w:cs="Arial"/>
          <w:color w:val="000000"/>
          <w:sz w:val="20"/>
          <w:szCs w:val="20"/>
        </w:rPr>
        <w:t>n 2020, respectively. Additional information about expenses is provided under "Expenses" in "Consolidated Results of Operations" included in this Management's Discussion and Analysis.</w:t>
      </w:r>
    </w:p>
    <w:p w14:paraId="74DD7AAC" w14:textId="77777777" w:rsidR="00584EC1" w:rsidRDefault="00871F8D">
      <w:pPr>
        <w:ind w:firstLine="450"/>
        <w:jc w:val="right"/>
      </w:pPr>
      <w:r>
        <w:rPr>
          <w:rFonts w:ascii="Arial" w:eastAsia="宋体" w:hAnsi="Arial" w:cs="Arial"/>
          <w:color w:val="000000"/>
          <w:sz w:val="18"/>
          <w:szCs w:val="18"/>
        </w:rPr>
        <w:t>State Street Corporation | 23</w:t>
      </w:r>
    </w:p>
    <w:p w14:paraId="74DD7AAD" w14:textId="77777777" w:rsidR="00584EC1" w:rsidRDefault="00584EC1">
      <w:pPr>
        <w:ind w:firstLine="450"/>
        <w:jc w:val="center"/>
      </w:pPr>
    </w:p>
    <w:p w14:paraId="74DD7AAE" w14:textId="77777777" w:rsidR="00584EC1" w:rsidRDefault="00871F8D">
      <w:r>
        <w:pict w14:anchorId="74DE2A05">
          <v:rect id="_x0000_i1047" style="width:415.3pt;height:1.5pt" o:hralign="center" o:hrstd="t" o:hr="t" fillcolor="#a0a0a0" stroked="f"/>
        </w:pict>
      </w:r>
    </w:p>
    <w:p w14:paraId="74DD7AAF" w14:textId="77777777" w:rsidR="00584EC1" w:rsidRDefault="00871F8D">
      <w:pPr>
        <w:ind w:firstLine="450"/>
        <w:jc w:val="center"/>
      </w:pPr>
      <w:r>
        <w:rPr>
          <w:rFonts w:ascii="Arial" w:eastAsia="宋体" w:hAnsi="Arial" w:cs="Arial"/>
          <w:b/>
          <w:bCs/>
          <w:color w:val="000000"/>
          <w:sz w:val="20"/>
          <w:szCs w:val="20"/>
        </w:rPr>
        <w:t>MANAGEMENT’S DISCUSSION AND ANALYSIS OF</w:t>
      </w:r>
      <w:r>
        <w:rPr>
          <w:rFonts w:ascii="Arial" w:eastAsia="宋体" w:hAnsi="Arial" w:cs="Arial"/>
          <w:b/>
          <w:bCs/>
          <w:color w:val="000000"/>
          <w:sz w:val="20"/>
          <w:szCs w:val="20"/>
        </w:rPr>
        <w:t xml:space="preserve"> FINANCIAL CONDITION</w:t>
      </w:r>
    </w:p>
    <w:p w14:paraId="74DD7AB0" w14:textId="77777777" w:rsidR="00584EC1" w:rsidRDefault="00871F8D">
      <w:pPr>
        <w:ind w:firstLine="450"/>
        <w:jc w:val="center"/>
      </w:pPr>
      <w:r>
        <w:rPr>
          <w:rFonts w:ascii="Arial" w:eastAsia="宋体" w:hAnsi="Arial" w:cs="Arial"/>
          <w:b/>
          <w:bCs/>
          <w:color w:val="000000"/>
          <w:sz w:val="20"/>
          <w:szCs w:val="20"/>
        </w:rPr>
        <w:t>AND RESULTS OF OPERATIONS</w:t>
      </w:r>
    </w:p>
    <w:p w14:paraId="74DD7AB1" w14:textId="77777777" w:rsidR="00584EC1" w:rsidRDefault="00871F8D">
      <w:pPr>
        <w:spacing w:before="90"/>
        <w:jc w:val="both"/>
      </w:pPr>
      <w:r>
        <w:rPr>
          <w:rFonts w:ascii="Arial" w:eastAsia="宋体" w:hAnsi="Arial" w:cs="Arial"/>
          <w:b/>
          <w:bCs/>
          <w:color w:val="000000"/>
          <w:sz w:val="20"/>
          <w:szCs w:val="20"/>
        </w:rPr>
        <w:t>Investment Management</w:t>
      </w:r>
    </w:p>
    <w:tbl>
      <w:tblPr>
        <w:tblW w:w="5000" w:type="pct"/>
        <w:tblCellMar>
          <w:top w:w="15" w:type="dxa"/>
          <w:left w:w="15" w:type="dxa"/>
          <w:bottom w:w="15" w:type="dxa"/>
          <w:right w:w="15" w:type="dxa"/>
        </w:tblCellMar>
        <w:tblLook w:val="04A0" w:firstRow="1" w:lastRow="0" w:firstColumn="1" w:lastColumn="0" w:noHBand="0" w:noVBand="1"/>
      </w:tblPr>
      <w:tblGrid>
        <w:gridCol w:w="39"/>
        <w:gridCol w:w="3041"/>
        <w:gridCol w:w="38"/>
        <w:gridCol w:w="124"/>
        <w:gridCol w:w="124"/>
        <w:gridCol w:w="124"/>
        <w:gridCol w:w="124"/>
        <w:gridCol w:w="124"/>
        <w:gridCol w:w="36"/>
        <w:gridCol w:w="98"/>
        <w:gridCol w:w="1120"/>
        <w:gridCol w:w="145"/>
        <w:gridCol w:w="36"/>
        <w:gridCol w:w="36"/>
        <w:gridCol w:w="36"/>
        <w:gridCol w:w="98"/>
        <w:gridCol w:w="1120"/>
        <w:gridCol w:w="145"/>
        <w:gridCol w:w="36"/>
        <w:gridCol w:w="36"/>
        <w:gridCol w:w="36"/>
        <w:gridCol w:w="185"/>
        <w:gridCol w:w="185"/>
        <w:gridCol w:w="185"/>
        <w:gridCol w:w="36"/>
        <w:gridCol w:w="36"/>
        <w:gridCol w:w="36"/>
        <w:gridCol w:w="38"/>
        <w:gridCol w:w="558"/>
        <w:gridCol w:w="145"/>
        <w:gridCol w:w="36"/>
        <w:gridCol w:w="36"/>
        <w:gridCol w:w="36"/>
        <w:gridCol w:w="36"/>
        <w:gridCol w:w="36"/>
        <w:gridCol w:w="36"/>
      </w:tblGrid>
      <w:tr w:rsidR="00584EC1" w14:paraId="74DD7ACE" w14:textId="77777777">
        <w:tc>
          <w:tcPr>
            <w:tcW w:w="50" w:type="pct"/>
            <w:shd w:val="clear" w:color="auto" w:fill="auto"/>
            <w:vAlign w:val="bottom"/>
          </w:tcPr>
          <w:p w14:paraId="74DD7AB2" w14:textId="77777777" w:rsidR="00584EC1" w:rsidRDefault="00584EC1">
            <w:pPr>
              <w:rPr>
                <w:rFonts w:ascii="宋体"/>
              </w:rPr>
            </w:pPr>
          </w:p>
        </w:tc>
        <w:tc>
          <w:tcPr>
            <w:tcW w:w="2371" w:type="pct"/>
            <w:shd w:val="clear" w:color="auto" w:fill="auto"/>
            <w:vAlign w:val="bottom"/>
          </w:tcPr>
          <w:p w14:paraId="74DD7AB3" w14:textId="77777777" w:rsidR="00584EC1" w:rsidRDefault="00584EC1">
            <w:pPr>
              <w:rPr>
                <w:rFonts w:ascii="宋体"/>
              </w:rPr>
            </w:pPr>
          </w:p>
        </w:tc>
        <w:tc>
          <w:tcPr>
            <w:tcW w:w="5" w:type="pct"/>
            <w:shd w:val="clear" w:color="auto" w:fill="auto"/>
            <w:vAlign w:val="bottom"/>
          </w:tcPr>
          <w:p w14:paraId="74DD7AB4" w14:textId="77777777" w:rsidR="00584EC1" w:rsidRDefault="00584EC1">
            <w:pPr>
              <w:rPr>
                <w:rFonts w:ascii="宋体"/>
              </w:rPr>
            </w:pPr>
          </w:p>
        </w:tc>
        <w:tc>
          <w:tcPr>
            <w:tcW w:w="0" w:type="auto"/>
            <w:shd w:val="clear" w:color="auto" w:fill="auto"/>
            <w:vAlign w:val="bottom"/>
          </w:tcPr>
          <w:p w14:paraId="74DD7AB5" w14:textId="77777777" w:rsidR="00584EC1" w:rsidRDefault="00584EC1">
            <w:pPr>
              <w:rPr>
                <w:rFonts w:ascii="宋体"/>
                <w:vanish/>
              </w:rPr>
            </w:pPr>
          </w:p>
        </w:tc>
        <w:tc>
          <w:tcPr>
            <w:tcW w:w="0" w:type="auto"/>
            <w:shd w:val="clear" w:color="auto" w:fill="auto"/>
            <w:vAlign w:val="bottom"/>
          </w:tcPr>
          <w:p w14:paraId="74DD7AB6" w14:textId="77777777" w:rsidR="00584EC1" w:rsidRDefault="00584EC1">
            <w:pPr>
              <w:rPr>
                <w:rFonts w:ascii="宋体"/>
                <w:vanish/>
              </w:rPr>
            </w:pPr>
          </w:p>
        </w:tc>
        <w:tc>
          <w:tcPr>
            <w:tcW w:w="0" w:type="auto"/>
            <w:shd w:val="clear" w:color="auto" w:fill="auto"/>
            <w:vAlign w:val="bottom"/>
          </w:tcPr>
          <w:p w14:paraId="74DD7AB7" w14:textId="77777777" w:rsidR="00584EC1" w:rsidRDefault="00584EC1">
            <w:pPr>
              <w:rPr>
                <w:rFonts w:ascii="宋体"/>
                <w:vanish/>
              </w:rPr>
            </w:pPr>
          </w:p>
        </w:tc>
        <w:tc>
          <w:tcPr>
            <w:tcW w:w="0" w:type="auto"/>
            <w:shd w:val="clear" w:color="auto" w:fill="auto"/>
            <w:vAlign w:val="bottom"/>
          </w:tcPr>
          <w:p w14:paraId="74DD7AB8" w14:textId="77777777" w:rsidR="00584EC1" w:rsidRDefault="00584EC1">
            <w:pPr>
              <w:rPr>
                <w:rFonts w:ascii="宋体"/>
                <w:vanish/>
              </w:rPr>
            </w:pPr>
          </w:p>
        </w:tc>
        <w:tc>
          <w:tcPr>
            <w:tcW w:w="0" w:type="auto"/>
            <w:shd w:val="clear" w:color="auto" w:fill="auto"/>
            <w:vAlign w:val="bottom"/>
          </w:tcPr>
          <w:p w14:paraId="74DD7AB9" w14:textId="77777777" w:rsidR="00584EC1" w:rsidRDefault="00584EC1">
            <w:pPr>
              <w:rPr>
                <w:rFonts w:ascii="宋体"/>
                <w:vanish/>
              </w:rPr>
            </w:pPr>
          </w:p>
        </w:tc>
        <w:tc>
          <w:tcPr>
            <w:tcW w:w="0" w:type="auto"/>
            <w:shd w:val="clear" w:color="auto" w:fill="auto"/>
            <w:vAlign w:val="bottom"/>
          </w:tcPr>
          <w:p w14:paraId="74DD7ABA" w14:textId="77777777" w:rsidR="00584EC1" w:rsidRDefault="00584EC1">
            <w:pPr>
              <w:rPr>
                <w:rFonts w:ascii="宋体"/>
                <w:vanish/>
              </w:rPr>
            </w:pPr>
          </w:p>
        </w:tc>
        <w:tc>
          <w:tcPr>
            <w:tcW w:w="50" w:type="pct"/>
            <w:shd w:val="clear" w:color="auto" w:fill="auto"/>
            <w:vAlign w:val="bottom"/>
          </w:tcPr>
          <w:p w14:paraId="74DD7ABB" w14:textId="77777777" w:rsidR="00584EC1" w:rsidRDefault="00584EC1">
            <w:pPr>
              <w:rPr>
                <w:rFonts w:ascii="宋体"/>
              </w:rPr>
            </w:pPr>
          </w:p>
        </w:tc>
        <w:tc>
          <w:tcPr>
            <w:tcW w:w="902" w:type="pct"/>
            <w:shd w:val="clear" w:color="auto" w:fill="auto"/>
            <w:vAlign w:val="bottom"/>
          </w:tcPr>
          <w:p w14:paraId="74DD7ABC" w14:textId="77777777" w:rsidR="00584EC1" w:rsidRDefault="00584EC1">
            <w:pPr>
              <w:rPr>
                <w:rFonts w:ascii="宋体"/>
              </w:rPr>
            </w:pPr>
          </w:p>
        </w:tc>
        <w:tc>
          <w:tcPr>
            <w:tcW w:w="5" w:type="pct"/>
            <w:shd w:val="clear" w:color="auto" w:fill="auto"/>
            <w:vAlign w:val="bottom"/>
          </w:tcPr>
          <w:p w14:paraId="74DD7ABD" w14:textId="77777777" w:rsidR="00584EC1" w:rsidRDefault="00584EC1">
            <w:pPr>
              <w:rPr>
                <w:rFonts w:ascii="宋体"/>
              </w:rPr>
            </w:pPr>
          </w:p>
        </w:tc>
        <w:tc>
          <w:tcPr>
            <w:tcW w:w="5" w:type="pct"/>
            <w:shd w:val="clear" w:color="auto" w:fill="auto"/>
            <w:vAlign w:val="bottom"/>
          </w:tcPr>
          <w:p w14:paraId="74DD7ABE" w14:textId="77777777" w:rsidR="00584EC1" w:rsidRDefault="00584EC1">
            <w:pPr>
              <w:rPr>
                <w:rFonts w:ascii="宋体"/>
              </w:rPr>
            </w:pPr>
          </w:p>
        </w:tc>
        <w:tc>
          <w:tcPr>
            <w:tcW w:w="19" w:type="pct"/>
            <w:shd w:val="clear" w:color="auto" w:fill="auto"/>
            <w:vAlign w:val="bottom"/>
          </w:tcPr>
          <w:p w14:paraId="74DD7ABF" w14:textId="77777777" w:rsidR="00584EC1" w:rsidRDefault="00584EC1">
            <w:pPr>
              <w:rPr>
                <w:rFonts w:ascii="宋体"/>
              </w:rPr>
            </w:pPr>
          </w:p>
        </w:tc>
        <w:tc>
          <w:tcPr>
            <w:tcW w:w="5" w:type="pct"/>
            <w:shd w:val="clear" w:color="auto" w:fill="auto"/>
            <w:vAlign w:val="bottom"/>
          </w:tcPr>
          <w:p w14:paraId="74DD7AC0" w14:textId="77777777" w:rsidR="00584EC1" w:rsidRDefault="00584EC1">
            <w:pPr>
              <w:rPr>
                <w:rFonts w:ascii="宋体"/>
              </w:rPr>
            </w:pPr>
          </w:p>
        </w:tc>
        <w:tc>
          <w:tcPr>
            <w:tcW w:w="50" w:type="pct"/>
            <w:shd w:val="clear" w:color="auto" w:fill="auto"/>
            <w:vAlign w:val="bottom"/>
          </w:tcPr>
          <w:p w14:paraId="74DD7AC1" w14:textId="77777777" w:rsidR="00584EC1" w:rsidRDefault="00584EC1">
            <w:pPr>
              <w:rPr>
                <w:rFonts w:ascii="宋体"/>
              </w:rPr>
            </w:pPr>
          </w:p>
        </w:tc>
        <w:tc>
          <w:tcPr>
            <w:tcW w:w="902" w:type="pct"/>
            <w:shd w:val="clear" w:color="auto" w:fill="auto"/>
            <w:vAlign w:val="bottom"/>
          </w:tcPr>
          <w:p w14:paraId="74DD7AC2" w14:textId="77777777" w:rsidR="00584EC1" w:rsidRDefault="00584EC1">
            <w:pPr>
              <w:rPr>
                <w:rFonts w:ascii="宋体"/>
              </w:rPr>
            </w:pPr>
          </w:p>
        </w:tc>
        <w:tc>
          <w:tcPr>
            <w:tcW w:w="5" w:type="pct"/>
            <w:shd w:val="clear" w:color="auto" w:fill="auto"/>
            <w:vAlign w:val="bottom"/>
          </w:tcPr>
          <w:p w14:paraId="74DD7AC3" w14:textId="77777777" w:rsidR="00584EC1" w:rsidRDefault="00584EC1">
            <w:pPr>
              <w:rPr>
                <w:rFonts w:ascii="宋体"/>
              </w:rPr>
            </w:pPr>
          </w:p>
        </w:tc>
        <w:tc>
          <w:tcPr>
            <w:tcW w:w="5" w:type="pct"/>
            <w:shd w:val="clear" w:color="auto" w:fill="auto"/>
            <w:vAlign w:val="bottom"/>
          </w:tcPr>
          <w:p w14:paraId="74DD7AC4" w14:textId="77777777" w:rsidR="00584EC1" w:rsidRDefault="00584EC1">
            <w:pPr>
              <w:rPr>
                <w:rFonts w:ascii="宋体"/>
              </w:rPr>
            </w:pPr>
          </w:p>
        </w:tc>
        <w:tc>
          <w:tcPr>
            <w:tcW w:w="19" w:type="pct"/>
            <w:shd w:val="clear" w:color="auto" w:fill="auto"/>
            <w:vAlign w:val="bottom"/>
          </w:tcPr>
          <w:p w14:paraId="74DD7AC5" w14:textId="77777777" w:rsidR="00584EC1" w:rsidRDefault="00584EC1">
            <w:pPr>
              <w:rPr>
                <w:rFonts w:ascii="宋体"/>
              </w:rPr>
            </w:pPr>
          </w:p>
        </w:tc>
        <w:tc>
          <w:tcPr>
            <w:tcW w:w="5" w:type="pct"/>
            <w:shd w:val="clear" w:color="auto" w:fill="auto"/>
            <w:vAlign w:val="bottom"/>
          </w:tcPr>
          <w:p w14:paraId="74DD7AC6" w14:textId="77777777" w:rsidR="00584EC1" w:rsidRDefault="00584EC1">
            <w:pPr>
              <w:rPr>
                <w:rFonts w:ascii="宋体"/>
              </w:rPr>
            </w:pPr>
          </w:p>
        </w:tc>
        <w:tc>
          <w:tcPr>
            <w:tcW w:w="0" w:type="auto"/>
            <w:gridSpan w:val="3"/>
            <w:shd w:val="clear" w:color="auto" w:fill="auto"/>
            <w:vAlign w:val="bottom"/>
          </w:tcPr>
          <w:p w14:paraId="74DD7AC7" w14:textId="77777777" w:rsidR="00584EC1" w:rsidRDefault="00584EC1">
            <w:pPr>
              <w:rPr>
                <w:rFonts w:ascii="宋体"/>
                <w:vanish/>
              </w:rPr>
            </w:pPr>
          </w:p>
        </w:tc>
        <w:tc>
          <w:tcPr>
            <w:tcW w:w="0" w:type="auto"/>
            <w:gridSpan w:val="3"/>
            <w:shd w:val="clear" w:color="auto" w:fill="auto"/>
            <w:vAlign w:val="bottom"/>
          </w:tcPr>
          <w:p w14:paraId="74DD7AC8" w14:textId="77777777" w:rsidR="00584EC1" w:rsidRDefault="00584EC1">
            <w:pPr>
              <w:rPr>
                <w:rFonts w:ascii="宋体"/>
                <w:vanish/>
              </w:rPr>
            </w:pPr>
          </w:p>
        </w:tc>
        <w:tc>
          <w:tcPr>
            <w:tcW w:w="50" w:type="pct"/>
            <w:shd w:val="clear" w:color="auto" w:fill="auto"/>
            <w:vAlign w:val="bottom"/>
          </w:tcPr>
          <w:p w14:paraId="74DD7AC9" w14:textId="77777777" w:rsidR="00584EC1" w:rsidRDefault="00584EC1">
            <w:pPr>
              <w:rPr>
                <w:rFonts w:ascii="宋体"/>
              </w:rPr>
            </w:pPr>
          </w:p>
        </w:tc>
        <w:tc>
          <w:tcPr>
            <w:tcW w:w="544" w:type="pct"/>
            <w:shd w:val="clear" w:color="auto" w:fill="auto"/>
            <w:vAlign w:val="bottom"/>
          </w:tcPr>
          <w:p w14:paraId="74DD7ACA" w14:textId="77777777" w:rsidR="00584EC1" w:rsidRDefault="00584EC1">
            <w:pPr>
              <w:rPr>
                <w:rFonts w:ascii="宋体"/>
              </w:rPr>
            </w:pPr>
          </w:p>
        </w:tc>
        <w:tc>
          <w:tcPr>
            <w:tcW w:w="5" w:type="pct"/>
            <w:shd w:val="clear" w:color="auto" w:fill="auto"/>
            <w:vAlign w:val="bottom"/>
          </w:tcPr>
          <w:p w14:paraId="74DD7ACB" w14:textId="77777777" w:rsidR="00584EC1" w:rsidRDefault="00584EC1">
            <w:pPr>
              <w:rPr>
                <w:rFonts w:ascii="宋体"/>
              </w:rPr>
            </w:pPr>
          </w:p>
        </w:tc>
        <w:tc>
          <w:tcPr>
            <w:tcW w:w="0" w:type="auto"/>
            <w:gridSpan w:val="3"/>
            <w:shd w:val="clear" w:color="auto" w:fill="auto"/>
            <w:vAlign w:val="bottom"/>
          </w:tcPr>
          <w:p w14:paraId="74DD7ACC" w14:textId="77777777" w:rsidR="00584EC1" w:rsidRDefault="00584EC1">
            <w:pPr>
              <w:rPr>
                <w:rFonts w:ascii="宋体"/>
                <w:vanish/>
              </w:rPr>
            </w:pPr>
          </w:p>
        </w:tc>
        <w:tc>
          <w:tcPr>
            <w:tcW w:w="0" w:type="auto"/>
            <w:gridSpan w:val="3"/>
            <w:shd w:val="clear" w:color="auto" w:fill="auto"/>
            <w:vAlign w:val="bottom"/>
          </w:tcPr>
          <w:p w14:paraId="74DD7ACD" w14:textId="77777777" w:rsidR="00584EC1" w:rsidRDefault="00584EC1">
            <w:pPr>
              <w:rPr>
                <w:rFonts w:ascii="宋体"/>
                <w:vanish/>
              </w:rPr>
            </w:pPr>
          </w:p>
        </w:tc>
      </w:tr>
      <w:tr w:rsidR="00584EC1" w14:paraId="74DD7AEA" w14:textId="77777777">
        <w:tc>
          <w:tcPr>
            <w:tcW w:w="0" w:type="auto"/>
            <w:gridSpan w:val="8"/>
            <w:shd w:val="clear" w:color="auto" w:fill="auto"/>
            <w:tcMar>
              <w:top w:w="40" w:type="dxa"/>
              <w:left w:w="20" w:type="dxa"/>
              <w:bottom w:w="40" w:type="dxa"/>
              <w:right w:w="20" w:type="dxa"/>
            </w:tcMar>
            <w:vAlign w:val="bottom"/>
          </w:tcPr>
          <w:p w14:paraId="74DD7ACF" w14:textId="77777777" w:rsidR="00584EC1" w:rsidRDefault="00871F8D">
            <w:pPr>
              <w:textAlignment w:val="bottom"/>
            </w:pPr>
            <w:r>
              <w:rPr>
                <w:rFonts w:ascii="Arial" w:eastAsia="宋体" w:hAnsi="Arial" w:cs="Arial"/>
                <w:b/>
                <w:bCs/>
                <w:color w:val="000000"/>
                <w:sz w:val="16"/>
                <w:szCs w:val="16"/>
              </w:rPr>
              <w:t>TABLE 14: INVESTMENT MANAGEMENT LINE OF BUSINESS RESULTS</w:t>
            </w:r>
          </w:p>
        </w:tc>
        <w:tc>
          <w:tcPr>
            <w:tcW w:w="0" w:type="auto"/>
            <w:shd w:val="clear" w:color="auto" w:fill="auto"/>
            <w:vAlign w:val="bottom"/>
          </w:tcPr>
          <w:p w14:paraId="74DD7AD0" w14:textId="77777777" w:rsidR="00584EC1" w:rsidRDefault="00584EC1">
            <w:pPr>
              <w:rPr>
                <w:rFonts w:ascii="宋体"/>
                <w:vanish/>
              </w:rPr>
            </w:pPr>
          </w:p>
        </w:tc>
        <w:tc>
          <w:tcPr>
            <w:tcW w:w="0" w:type="auto"/>
            <w:gridSpan w:val="3"/>
            <w:shd w:val="clear" w:color="auto" w:fill="auto"/>
            <w:vAlign w:val="bottom"/>
          </w:tcPr>
          <w:p w14:paraId="74DD7AD1" w14:textId="77777777" w:rsidR="00584EC1" w:rsidRDefault="00584EC1">
            <w:pPr>
              <w:rPr>
                <w:rFonts w:ascii="宋体"/>
                <w:vanish/>
              </w:rPr>
            </w:pPr>
          </w:p>
        </w:tc>
        <w:tc>
          <w:tcPr>
            <w:tcW w:w="0" w:type="auto"/>
            <w:shd w:val="clear" w:color="auto" w:fill="auto"/>
            <w:vAlign w:val="bottom"/>
          </w:tcPr>
          <w:p w14:paraId="74DD7AD2" w14:textId="77777777" w:rsidR="00584EC1" w:rsidRDefault="00584EC1">
            <w:pPr>
              <w:rPr>
                <w:rFonts w:ascii="宋体"/>
              </w:rPr>
            </w:pPr>
          </w:p>
        </w:tc>
        <w:tc>
          <w:tcPr>
            <w:tcW w:w="0" w:type="auto"/>
            <w:shd w:val="clear" w:color="auto" w:fill="auto"/>
            <w:vAlign w:val="bottom"/>
          </w:tcPr>
          <w:p w14:paraId="74DD7AD3" w14:textId="77777777" w:rsidR="00584EC1" w:rsidRDefault="00584EC1">
            <w:pPr>
              <w:rPr>
                <w:rFonts w:ascii="宋体"/>
              </w:rPr>
            </w:pPr>
          </w:p>
        </w:tc>
        <w:tc>
          <w:tcPr>
            <w:tcW w:w="0" w:type="auto"/>
            <w:shd w:val="clear" w:color="auto" w:fill="auto"/>
            <w:vAlign w:val="bottom"/>
          </w:tcPr>
          <w:p w14:paraId="74DD7AD4" w14:textId="77777777" w:rsidR="00584EC1" w:rsidRDefault="00584EC1">
            <w:pPr>
              <w:rPr>
                <w:rFonts w:ascii="宋体"/>
              </w:rPr>
            </w:pPr>
          </w:p>
        </w:tc>
        <w:tc>
          <w:tcPr>
            <w:tcW w:w="0" w:type="auto"/>
            <w:shd w:val="clear" w:color="auto" w:fill="auto"/>
            <w:vAlign w:val="bottom"/>
          </w:tcPr>
          <w:p w14:paraId="74DD7AD5" w14:textId="77777777" w:rsidR="00584EC1" w:rsidRDefault="00584EC1">
            <w:pPr>
              <w:rPr>
                <w:rFonts w:ascii="宋体"/>
              </w:rPr>
            </w:pPr>
          </w:p>
        </w:tc>
        <w:tc>
          <w:tcPr>
            <w:tcW w:w="0" w:type="auto"/>
            <w:shd w:val="clear" w:color="auto" w:fill="auto"/>
            <w:vAlign w:val="bottom"/>
          </w:tcPr>
          <w:p w14:paraId="74DD7AD6" w14:textId="77777777" w:rsidR="00584EC1" w:rsidRDefault="00584EC1">
            <w:pPr>
              <w:rPr>
                <w:rFonts w:ascii="宋体"/>
              </w:rPr>
            </w:pPr>
          </w:p>
        </w:tc>
        <w:tc>
          <w:tcPr>
            <w:tcW w:w="0" w:type="auto"/>
            <w:shd w:val="clear" w:color="auto" w:fill="auto"/>
            <w:vAlign w:val="bottom"/>
          </w:tcPr>
          <w:p w14:paraId="74DD7AD7" w14:textId="77777777" w:rsidR="00584EC1" w:rsidRDefault="00584EC1">
            <w:pPr>
              <w:rPr>
                <w:rFonts w:ascii="宋体"/>
              </w:rPr>
            </w:pPr>
          </w:p>
        </w:tc>
        <w:tc>
          <w:tcPr>
            <w:tcW w:w="0" w:type="auto"/>
            <w:shd w:val="clear" w:color="auto" w:fill="auto"/>
            <w:vAlign w:val="bottom"/>
          </w:tcPr>
          <w:p w14:paraId="74DD7AD8" w14:textId="77777777" w:rsidR="00584EC1" w:rsidRDefault="00584EC1">
            <w:pPr>
              <w:rPr>
                <w:rFonts w:ascii="宋体"/>
              </w:rPr>
            </w:pPr>
          </w:p>
        </w:tc>
        <w:tc>
          <w:tcPr>
            <w:tcW w:w="0" w:type="auto"/>
            <w:shd w:val="clear" w:color="auto" w:fill="auto"/>
            <w:vAlign w:val="bottom"/>
          </w:tcPr>
          <w:p w14:paraId="74DD7AD9" w14:textId="77777777" w:rsidR="00584EC1" w:rsidRDefault="00584EC1">
            <w:pPr>
              <w:rPr>
                <w:rFonts w:ascii="宋体"/>
              </w:rPr>
            </w:pPr>
          </w:p>
        </w:tc>
        <w:tc>
          <w:tcPr>
            <w:tcW w:w="0" w:type="auto"/>
            <w:shd w:val="clear" w:color="auto" w:fill="auto"/>
            <w:vAlign w:val="bottom"/>
          </w:tcPr>
          <w:p w14:paraId="74DD7ADA" w14:textId="77777777" w:rsidR="00584EC1" w:rsidRDefault="00584EC1">
            <w:pPr>
              <w:rPr>
                <w:rFonts w:ascii="宋体"/>
              </w:rPr>
            </w:pPr>
          </w:p>
        </w:tc>
        <w:tc>
          <w:tcPr>
            <w:tcW w:w="0" w:type="auto"/>
            <w:shd w:val="clear" w:color="auto" w:fill="auto"/>
            <w:vAlign w:val="bottom"/>
          </w:tcPr>
          <w:p w14:paraId="74DD7ADB" w14:textId="77777777" w:rsidR="00584EC1" w:rsidRDefault="00584EC1">
            <w:pPr>
              <w:rPr>
                <w:rFonts w:ascii="宋体"/>
              </w:rPr>
            </w:pPr>
          </w:p>
        </w:tc>
        <w:tc>
          <w:tcPr>
            <w:tcW w:w="0" w:type="auto"/>
            <w:shd w:val="clear" w:color="auto" w:fill="auto"/>
            <w:vAlign w:val="bottom"/>
          </w:tcPr>
          <w:p w14:paraId="74DD7ADC" w14:textId="77777777" w:rsidR="00584EC1" w:rsidRDefault="00584EC1">
            <w:pPr>
              <w:rPr>
                <w:rFonts w:ascii="宋体"/>
              </w:rPr>
            </w:pPr>
          </w:p>
        </w:tc>
        <w:tc>
          <w:tcPr>
            <w:tcW w:w="0" w:type="auto"/>
            <w:shd w:val="clear" w:color="auto" w:fill="auto"/>
            <w:vAlign w:val="bottom"/>
          </w:tcPr>
          <w:p w14:paraId="74DD7ADD" w14:textId="77777777" w:rsidR="00584EC1" w:rsidRDefault="00584EC1">
            <w:pPr>
              <w:rPr>
                <w:rFonts w:ascii="宋体"/>
              </w:rPr>
            </w:pPr>
          </w:p>
        </w:tc>
        <w:tc>
          <w:tcPr>
            <w:tcW w:w="0" w:type="auto"/>
            <w:shd w:val="clear" w:color="auto" w:fill="auto"/>
            <w:vAlign w:val="bottom"/>
          </w:tcPr>
          <w:p w14:paraId="74DD7ADE" w14:textId="77777777" w:rsidR="00584EC1" w:rsidRDefault="00584EC1">
            <w:pPr>
              <w:rPr>
                <w:rFonts w:ascii="宋体"/>
              </w:rPr>
            </w:pPr>
          </w:p>
        </w:tc>
        <w:tc>
          <w:tcPr>
            <w:tcW w:w="0" w:type="auto"/>
            <w:shd w:val="clear" w:color="auto" w:fill="auto"/>
            <w:vAlign w:val="bottom"/>
          </w:tcPr>
          <w:p w14:paraId="74DD7ADF" w14:textId="77777777" w:rsidR="00584EC1" w:rsidRDefault="00584EC1">
            <w:pPr>
              <w:rPr>
                <w:rFonts w:ascii="宋体"/>
              </w:rPr>
            </w:pPr>
          </w:p>
        </w:tc>
        <w:tc>
          <w:tcPr>
            <w:tcW w:w="0" w:type="auto"/>
            <w:shd w:val="clear" w:color="auto" w:fill="auto"/>
            <w:vAlign w:val="bottom"/>
          </w:tcPr>
          <w:p w14:paraId="74DD7AE0" w14:textId="77777777" w:rsidR="00584EC1" w:rsidRDefault="00584EC1">
            <w:pPr>
              <w:rPr>
                <w:rFonts w:ascii="宋体"/>
              </w:rPr>
            </w:pPr>
          </w:p>
        </w:tc>
        <w:tc>
          <w:tcPr>
            <w:tcW w:w="0" w:type="auto"/>
            <w:shd w:val="clear" w:color="auto" w:fill="auto"/>
            <w:vAlign w:val="bottom"/>
          </w:tcPr>
          <w:p w14:paraId="74DD7AE1" w14:textId="77777777" w:rsidR="00584EC1" w:rsidRDefault="00584EC1">
            <w:pPr>
              <w:rPr>
                <w:rFonts w:ascii="宋体"/>
              </w:rPr>
            </w:pPr>
          </w:p>
        </w:tc>
        <w:tc>
          <w:tcPr>
            <w:tcW w:w="0" w:type="auto"/>
            <w:shd w:val="clear" w:color="auto" w:fill="auto"/>
            <w:vAlign w:val="bottom"/>
          </w:tcPr>
          <w:p w14:paraId="74DD7AE2" w14:textId="77777777" w:rsidR="00584EC1" w:rsidRDefault="00584EC1">
            <w:pPr>
              <w:rPr>
                <w:rFonts w:ascii="宋体"/>
              </w:rPr>
            </w:pPr>
          </w:p>
        </w:tc>
        <w:tc>
          <w:tcPr>
            <w:tcW w:w="0" w:type="auto"/>
            <w:shd w:val="clear" w:color="auto" w:fill="auto"/>
            <w:vAlign w:val="bottom"/>
          </w:tcPr>
          <w:p w14:paraId="74DD7AE3" w14:textId="77777777" w:rsidR="00584EC1" w:rsidRDefault="00584EC1">
            <w:pPr>
              <w:rPr>
                <w:rFonts w:ascii="宋体"/>
              </w:rPr>
            </w:pPr>
          </w:p>
        </w:tc>
        <w:tc>
          <w:tcPr>
            <w:tcW w:w="0" w:type="auto"/>
            <w:shd w:val="clear" w:color="auto" w:fill="auto"/>
            <w:vAlign w:val="bottom"/>
          </w:tcPr>
          <w:p w14:paraId="74DD7AE4" w14:textId="77777777" w:rsidR="00584EC1" w:rsidRDefault="00584EC1">
            <w:pPr>
              <w:rPr>
                <w:rFonts w:ascii="宋体"/>
              </w:rPr>
            </w:pPr>
          </w:p>
        </w:tc>
        <w:tc>
          <w:tcPr>
            <w:tcW w:w="0" w:type="auto"/>
            <w:shd w:val="clear" w:color="auto" w:fill="auto"/>
            <w:vAlign w:val="bottom"/>
          </w:tcPr>
          <w:p w14:paraId="74DD7AE5" w14:textId="77777777" w:rsidR="00584EC1" w:rsidRDefault="00584EC1">
            <w:pPr>
              <w:rPr>
                <w:rFonts w:ascii="宋体"/>
              </w:rPr>
            </w:pPr>
          </w:p>
        </w:tc>
        <w:tc>
          <w:tcPr>
            <w:tcW w:w="0" w:type="auto"/>
            <w:shd w:val="clear" w:color="auto" w:fill="auto"/>
            <w:vAlign w:val="bottom"/>
          </w:tcPr>
          <w:p w14:paraId="74DD7AE6" w14:textId="77777777" w:rsidR="00584EC1" w:rsidRDefault="00584EC1">
            <w:pPr>
              <w:rPr>
                <w:rFonts w:ascii="宋体"/>
              </w:rPr>
            </w:pPr>
          </w:p>
        </w:tc>
        <w:tc>
          <w:tcPr>
            <w:tcW w:w="0" w:type="auto"/>
            <w:shd w:val="clear" w:color="auto" w:fill="auto"/>
            <w:vAlign w:val="bottom"/>
          </w:tcPr>
          <w:p w14:paraId="74DD7AE7" w14:textId="77777777" w:rsidR="00584EC1" w:rsidRDefault="00584EC1">
            <w:pPr>
              <w:rPr>
                <w:rFonts w:ascii="宋体"/>
              </w:rPr>
            </w:pPr>
          </w:p>
        </w:tc>
        <w:tc>
          <w:tcPr>
            <w:tcW w:w="0" w:type="auto"/>
            <w:shd w:val="clear" w:color="auto" w:fill="auto"/>
            <w:vAlign w:val="bottom"/>
          </w:tcPr>
          <w:p w14:paraId="74DD7AE8" w14:textId="77777777" w:rsidR="00584EC1" w:rsidRDefault="00584EC1">
            <w:pPr>
              <w:rPr>
                <w:rFonts w:ascii="宋体"/>
              </w:rPr>
            </w:pPr>
          </w:p>
        </w:tc>
        <w:tc>
          <w:tcPr>
            <w:tcW w:w="0" w:type="auto"/>
            <w:shd w:val="clear" w:color="auto" w:fill="auto"/>
            <w:vAlign w:val="bottom"/>
          </w:tcPr>
          <w:p w14:paraId="74DD7AE9" w14:textId="77777777" w:rsidR="00584EC1" w:rsidRDefault="00584EC1">
            <w:pPr>
              <w:rPr>
                <w:rFonts w:ascii="宋体"/>
              </w:rPr>
            </w:pPr>
          </w:p>
        </w:tc>
      </w:tr>
      <w:tr w:rsidR="00584EC1" w14:paraId="74DD7AFD" w14:textId="77777777">
        <w:trPr>
          <w:trHeight w:val="220"/>
        </w:trPr>
        <w:tc>
          <w:tcPr>
            <w:tcW w:w="0" w:type="auto"/>
            <w:gridSpan w:val="3"/>
            <w:vMerge w:val="restart"/>
            <w:shd w:val="clear" w:color="auto" w:fill="auto"/>
            <w:tcMar>
              <w:top w:w="40" w:type="dxa"/>
              <w:left w:w="20" w:type="dxa"/>
              <w:bottom w:w="40" w:type="dxa"/>
              <w:right w:w="20" w:type="dxa"/>
            </w:tcMar>
            <w:vAlign w:val="bottom"/>
          </w:tcPr>
          <w:p w14:paraId="74DD7AEB" w14:textId="77777777" w:rsidR="00584EC1" w:rsidRDefault="00871F8D">
            <w:pPr>
              <w:textAlignment w:val="bottom"/>
            </w:pPr>
            <w:r>
              <w:rPr>
                <w:rFonts w:ascii="Arial" w:eastAsia="宋体" w:hAnsi="Arial" w:cs="Arial"/>
                <w:b/>
                <w:bCs/>
                <w:color w:val="000000"/>
                <w:sz w:val="14"/>
                <w:szCs w:val="14"/>
              </w:rPr>
              <w:t>(Dollars in millions, except where otherwise noted)</w:t>
            </w:r>
          </w:p>
        </w:tc>
        <w:tc>
          <w:tcPr>
            <w:tcW w:w="0" w:type="auto"/>
            <w:shd w:val="clear" w:color="auto" w:fill="auto"/>
            <w:vAlign w:val="bottom"/>
          </w:tcPr>
          <w:p w14:paraId="74DD7AEC" w14:textId="77777777" w:rsidR="00584EC1" w:rsidRDefault="00584EC1">
            <w:pPr>
              <w:rPr>
                <w:rFonts w:ascii="宋体"/>
                <w:vanish/>
              </w:rPr>
            </w:pPr>
          </w:p>
        </w:tc>
        <w:tc>
          <w:tcPr>
            <w:tcW w:w="0" w:type="auto"/>
            <w:shd w:val="clear" w:color="auto" w:fill="auto"/>
            <w:vAlign w:val="bottom"/>
          </w:tcPr>
          <w:p w14:paraId="74DD7AED" w14:textId="77777777" w:rsidR="00584EC1" w:rsidRDefault="00584EC1">
            <w:pPr>
              <w:rPr>
                <w:rFonts w:ascii="宋体"/>
                <w:vanish/>
              </w:rPr>
            </w:pPr>
          </w:p>
        </w:tc>
        <w:tc>
          <w:tcPr>
            <w:tcW w:w="0" w:type="auto"/>
            <w:shd w:val="clear" w:color="auto" w:fill="auto"/>
            <w:vAlign w:val="bottom"/>
          </w:tcPr>
          <w:p w14:paraId="74DD7AEE" w14:textId="77777777" w:rsidR="00584EC1" w:rsidRDefault="00584EC1">
            <w:pPr>
              <w:rPr>
                <w:rFonts w:ascii="宋体"/>
                <w:vanish/>
              </w:rPr>
            </w:pPr>
          </w:p>
        </w:tc>
        <w:tc>
          <w:tcPr>
            <w:tcW w:w="0" w:type="auto"/>
            <w:shd w:val="clear" w:color="auto" w:fill="auto"/>
            <w:vAlign w:val="bottom"/>
          </w:tcPr>
          <w:p w14:paraId="74DD7AEF" w14:textId="77777777" w:rsidR="00584EC1" w:rsidRDefault="00584EC1">
            <w:pPr>
              <w:rPr>
                <w:rFonts w:ascii="宋体"/>
                <w:vanish/>
              </w:rPr>
            </w:pPr>
          </w:p>
        </w:tc>
        <w:tc>
          <w:tcPr>
            <w:tcW w:w="0" w:type="auto"/>
            <w:gridSpan w:val="5"/>
            <w:shd w:val="clear" w:color="auto" w:fill="auto"/>
            <w:tcMar>
              <w:top w:w="40" w:type="dxa"/>
              <w:left w:w="20" w:type="dxa"/>
              <w:bottom w:w="40" w:type="dxa"/>
              <w:right w:w="20" w:type="dxa"/>
            </w:tcMar>
            <w:vAlign w:val="bottom"/>
          </w:tcPr>
          <w:p w14:paraId="74DD7AF0" w14:textId="77777777" w:rsidR="00584EC1" w:rsidRDefault="00871F8D">
            <w:pPr>
              <w:jc w:val="center"/>
              <w:textAlignment w:val="bottom"/>
            </w:pPr>
            <w:r>
              <w:rPr>
                <w:rFonts w:ascii="Arial" w:eastAsia="宋体" w:hAnsi="Arial" w:cs="Arial"/>
                <w:b/>
                <w:bCs/>
                <w:color w:val="000000"/>
                <w:sz w:val="14"/>
                <w:szCs w:val="14"/>
              </w:rPr>
              <w:t>Three Months Ended September 30,</w:t>
            </w:r>
          </w:p>
        </w:tc>
        <w:tc>
          <w:tcPr>
            <w:tcW w:w="0" w:type="auto"/>
            <w:gridSpan w:val="3"/>
            <w:shd w:val="clear" w:color="auto" w:fill="auto"/>
            <w:tcMar>
              <w:top w:w="0" w:type="dxa"/>
              <w:left w:w="20" w:type="dxa"/>
              <w:bottom w:w="0" w:type="dxa"/>
              <w:right w:w="20" w:type="dxa"/>
            </w:tcMar>
            <w:vAlign w:val="bottom"/>
          </w:tcPr>
          <w:p w14:paraId="74DD7AF1" w14:textId="77777777" w:rsidR="00584EC1" w:rsidRDefault="00584EC1">
            <w:pPr>
              <w:rPr>
                <w:rFonts w:ascii="宋体"/>
              </w:rPr>
            </w:pPr>
          </w:p>
        </w:tc>
        <w:tc>
          <w:tcPr>
            <w:tcW w:w="0" w:type="auto"/>
            <w:gridSpan w:val="3"/>
            <w:shd w:val="clear" w:color="auto" w:fill="auto"/>
            <w:vAlign w:val="bottom"/>
          </w:tcPr>
          <w:p w14:paraId="74DD7AF2" w14:textId="77777777" w:rsidR="00584EC1" w:rsidRDefault="00584EC1">
            <w:pPr>
              <w:rPr>
                <w:rFonts w:ascii="宋体"/>
                <w:vanish/>
              </w:rPr>
            </w:pPr>
          </w:p>
        </w:tc>
        <w:tc>
          <w:tcPr>
            <w:tcW w:w="0" w:type="auto"/>
            <w:gridSpan w:val="3"/>
            <w:shd w:val="clear" w:color="auto" w:fill="auto"/>
            <w:vAlign w:val="bottom"/>
          </w:tcPr>
          <w:p w14:paraId="74DD7AF3" w14:textId="77777777" w:rsidR="00584EC1" w:rsidRDefault="00584EC1">
            <w:pPr>
              <w:rPr>
                <w:rFonts w:ascii="宋体"/>
                <w:vanish/>
              </w:rPr>
            </w:pPr>
          </w:p>
        </w:tc>
        <w:tc>
          <w:tcPr>
            <w:tcW w:w="0" w:type="auto"/>
            <w:gridSpan w:val="3"/>
            <w:vMerge w:val="restart"/>
            <w:shd w:val="clear" w:color="auto" w:fill="auto"/>
            <w:tcMar>
              <w:top w:w="40" w:type="dxa"/>
              <w:left w:w="20" w:type="dxa"/>
              <w:bottom w:w="40" w:type="dxa"/>
              <w:right w:w="20" w:type="dxa"/>
            </w:tcMar>
            <w:vAlign w:val="bottom"/>
          </w:tcPr>
          <w:p w14:paraId="74DD7AF4" w14:textId="77777777" w:rsidR="00584EC1" w:rsidRDefault="00871F8D">
            <w:pPr>
              <w:jc w:val="center"/>
              <w:textAlignment w:val="bottom"/>
            </w:pPr>
            <w:r>
              <w:rPr>
                <w:rFonts w:ascii="Arial" w:eastAsia="宋体" w:hAnsi="Arial" w:cs="Arial"/>
                <w:b/>
                <w:bCs/>
                <w:color w:val="000000"/>
                <w:sz w:val="14"/>
                <w:szCs w:val="14"/>
              </w:rPr>
              <w:t xml:space="preserve">% Change </w:t>
            </w:r>
          </w:p>
        </w:tc>
        <w:tc>
          <w:tcPr>
            <w:tcW w:w="0" w:type="auto"/>
            <w:gridSpan w:val="3"/>
            <w:shd w:val="clear" w:color="auto" w:fill="auto"/>
            <w:vAlign w:val="bottom"/>
          </w:tcPr>
          <w:p w14:paraId="74DD7AF5" w14:textId="77777777" w:rsidR="00584EC1" w:rsidRDefault="00584EC1">
            <w:pPr>
              <w:rPr>
                <w:rFonts w:ascii="宋体"/>
                <w:vanish/>
              </w:rPr>
            </w:pPr>
          </w:p>
        </w:tc>
        <w:tc>
          <w:tcPr>
            <w:tcW w:w="0" w:type="auto"/>
            <w:gridSpan w:val="3"/>
            <w:shd w:val="clear" w:color="auto" w:fill="auto"/>
            <w:vAlign w:val="bottom"/>
          </w:tcPr>
          <w:p w14:paraId="74DD7AF6" w14:textId="77777777" w:rsidR="00584EC1" w:rsidRDefault="00584EC1">
            <w:pPr>
              <w:rPr>
                <w:rFonts w:ascii="宋体"/>
                <w:vanish/>
              </w:rPr>
            </w:pPr>
          </w:p>
        </w:tc>
        <w:tc>
          <w:tcPr>
            <w:tcW w:w="0" w:type="auto"/>
            <w:shd w:val="clear" w:color="auto" w:fill="auto"/>
            <w:vAlign w:val="bottom"/>
          </w:tcPr>
          <w:p w14:paraId="74DD7AF7" w14:textId="77777777" w:rsidR="00584EC1" w:rsidRDefault="00584EC1">
            <w:pPr>
              <w:rPr>
                <w:rFonts w:ascii="宋体"/>
              </w:rPr>
            </w:pPr>
          </w:p>
        </w:tc>
        <w:tc>
          <w:tcPr>
            <w:tcW w:w="0" w:type="auto"/>
            <w:shd w:val="clear" w:color="auto" w:fill="auto"/>
            <w:vAlign w:val="bottom"/>
          </w:tcPr>
          <w:p w14:paraId="74DD7AF8" w14:textId="77777777" w:rsidR="00584EC1" w:rsidRDefault="00584EC1">
            <w:pPr>
              <w:rPr>
                <w:rFonts w:ascii="宋体"/>
              </w:rPr>
            </w:pPr>
          </w:p>
        </w:tc>
        <w:tc>
          <w:tcPr>
            <w:tcW w:w="0" w:type="auto"/>
            <w:shd w:val="clear" w:color="auto" w:fill="auto"/>
            <w:vAlign w:val="bottom"/>
          </w:tcPr>
          <w:p w14:paraId="74DD7AF9" w14:textId="77777777" w:rsidR="00584EC1" w:rsidRDefault="00584EC1">
            <w:pPr>
              <w:rPr>
                <w:rFonts w:ascii="宋体"/>
              </w:rPr>
            </w:pPr>
          </w:p>
        </w:tc>
        <w:tc>
          <w:tcPr>
            <w:tcW w:w="0" w:type="auto"/>
            <w:shd w:val="clear" w:color="auto" w:fill="auto"/>
            <w:vAlign w:val="bottom"/>
          </w:tcPr>
          <w:p w14:paraId="74DD7AFA" w14:textId="77777777" w:rsidR="00584EC1" w:rsidRDefault="00584EC1">
            <w:pPr>
              <w:rPr>
                <w:rFonts w:ascii="宋体"/>
              </w:rPr>
            </w:pPr>
          </w:p>
        </w:tc>
        <w:tc>
          <w:tcPr>
            <w:tcW w:w="0" w:type="auto"/>
            <w:shd w:val="clear" w:color="auto" w:fill="auto"/>
            <w:vAlign w:val="bottom"/>
          </w:tcPr>
          <w:p w14:paraId="74DD7AFB" w14:textId="77777777" w:rsidR="00584EC1" w:rsidRDefault="00584EC1">
            <w:pPr>
              <w:rPr>
                <w:rFonts w:ascii="宋体"/>
              </w:rPr>
            </w:pPr>
          </w:p>
        </w:tc>
        <w:tc>
          <w:tcPr>
            <w:tcW w:w="0" w:type="auto"/>
            <w:shd w:val="clear" w:color="auto" w:fill="auto"/>
            <w:vAlign w:val="bottom"/>
          </w:tcPr>
          <w:p w14:paraId="74DD7AFC" w14:textId="77777777" w:rsidR="00584EC1" w:rsidRDefault="00584EC1">
            <w:pPr>
              <w:rPr>
                <w:rFonts w:ascii="宋体"/>
              </w:rPr>
            </w:pPr>
          </w:p>
        </w:tc>
      </w:tr>
      <w:tr w:rsidR="00584EC1" w14:paraId="74DD7B12" w14:textId="77777777">
        <w:trPr>
          <w:trHeight w:val="220"/>
        </w:trPr>
        <w:tc>
          <w:tcPr>
            <w:tcW w:w="0" w:type="auto"/>
            <w:gridSpan w:val="3"/>
            <w:vMerge/>
            <w:shd w:val="clear" w:color="auto" w:fill="auto"/>
            <w:tcMar>
              <w:top w:w="40" w:type="dxa"/>
              <w:left w:w="20" w:type="dxa"/>
              <w:bottom w:w="40" w:type="dxa"/>
              <w:right w:w="20" w:type="dxa"/>
            </w:tcMar>
            <w:vAlign w:val="bottom"/>
          </w:tcPr>
          <w:p w14:paraId="74DD7AFE" w14:textId="77777777" w:rsidR="00584EC1" w:rsidRDefault="00584EC1">
            <w:pPr>
              <w:rPr>
                <w:rFonts w:ascii="宋体"/>
              </w:rPr>
            </w:pPr>
          </w:p>
        </w:tc>
        <w:tc>
          <w:tcPr>
            <w:tcW w:w="0" w:type="auto"/>
            <w:shd w:val="clear" w:color="auto" w:fill="auto"/>
            <w:vAlign w:val="bottom"/>
          </w:tcPr>
          <w:p w14:paraId="74DD7AFF" w14:textId="77777777" w:rsidR="00584EC1" w:rsidRDefault="00584EC1">
            <w:pPr>
              <w:rPr>
                <w:rFonts w:ascii="宋体"/>
                <w:vanish/>
              </w:rPr>
            </w:pPr>
          </w:p>
        </w:tc>
        <w:tc>
          <w:tcPr>
            <w:tcW w:w="0" w:type="auto"/>
            <w:shd w:val="clear" w:color="auto" w:fill="auto"/>
            <w:vAlign w:val="bottom"/>
          </w:tcPr>
          <w:p w14:paraId="74DD7B00" w14:textId="77777777" w:rsidR="00584EC1" w:rsidRDefault="00584EC1">
            <w:pPr>
              <w:rPr>
                <w:rFonts w:ascii="宋体"/>
                <w:vanish/>
              </w:rPr>
            </w:pPr>
          </w:p>
        </w:tc>
        <w:tc>
          <w:tcPr>
            <w:tcW w:w="0" w:type="auto"/>
            <w:shd w:val="clear" w:color="auto" w:fill="auto"/>
            <w:vAlign w:val="bottom"/>
          </w:tcPr>
          <w:p w14:paraId="74DD7B01" w14:textId="77777777" w:rsidR="00584EC1" w:rsidRDefault="00584EC1">
            <w:pPr>
              <w:rPr>
                <w:rFonts w:ascii="宋体"/>
                <w:vanish/>
              </w:rPr>
            </w:pPr>
          </w:p>
        </w:tc>
        <w:tc>
          <w:tcPr>
            <w:tcW w:w="0" w:type="auto"/>
            <w:shd w:val="clear" w:color="auto" w:fill="auto"/>
            <w:vAlign w:val="bottom"/>
          </w:tcPr>
          <w:p w14:paraId="74DD7B02" w14:textId="77777777" w:rsidR="00584EC1" w:rsidRDefault="00584EC1">
            <w:pPr>
              <w:rPr>
                <w:rFonts w:ascii="宋体"/>
                <w:vanish/>
              </w:rPr>
            </w:pPr>
          </w:p>
        </w:tc>
        <w:tc>
          <w:tcPr>
            <w:tcW w:w="0" w:type="auto"/>
            <w:shd w:val="clear" w:color="auto" w:fill="auto"/>
            <w:vAlign w:val="bottom"/>
          </w:tcPr>
          <w:p w14:paraId="74DD7B03" w14:textId="77777777" w:rsidR="00584EC1" w:rsidRDefault="00584EC1">
            <w:pPr>
              <w:rPr>
                <w:rFonts w:ascii="宋体"/>
                <w:vanish/>
              </w:rPr>
            </w:pPr>
          </w:p>
        </w:tc>
        <w:tc>
          <w:tcPr>
            <w:tcW w:w="0" w:type="auto"/>
            <w:shd w:val="clear" w:color="auto" w:fill="auto"/>
            <w:vAlign w:val="bottom"/>
          </w:tcPr>
          <w:p w14:paraId="74DD7B04" w14:textId="77777777" w:rsidR="00584EC1" w:rsidRDefault="00584EC1">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7B05" w14:textId="77777777" w:rsidR="00584EC1" w:rsidRDefault="00871F8D">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7B06"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7B07" w14:textId="77777777" w:rsidR="00584EC1" w:rsidRDefault="00871F8D">
            <w:pPr>
              <w:jc w:val="center"/>
              <w:textAlignment w:val="bottom"/>
            </w:pPr>
            <w:r>
              <w:rPr>
                <w:rFonts w:ascii="Arial" w:eastAsia="宋体" w:hAnsi="Arial" w:cs="Arial"/>
                <w:b/>
                <w:bCs/>
                <w:color w:val="000000"/>
                <w:sz w:val="14"/>
                <w:szCs w:val="14"/>
              </w:rPr>
              <w:t>2020</w:t>
            </w:r>
          </w:p>
        </w:tc>
        <w:tc>
          <w:tcPr>
            <w:tcW w:w="0" w:type="auto"/>
            <w:gridSpan w:val="3"/>
            <w:shd w:val="clear" w:color="auto" w:fill="auto"/>
            <w:tcMar>
              <w:top w:w="0" w:type="dxa"/>
              <w:left w:w="20" w:type="dxa"/>
              <w:bottom w:w="0" w:type="dxa"/>
              <w:right w:w="20" w:type="dxa"/>
            </w:tcMar>
            <w:vAlign w:val="bottom"/>
          </w:tcPr>
          <w:p w14:paraId="74DD7B08" w14:textId="77777777" w:rsidR="00584EC1" w:rsidRDefault="00584EC1">
            <w:pPr>
              <w:rPr>
                <w:rFonts w:ascii="宋体"/>
              </w:rPr>
            </w:pPr>
          </w:p>
        </w:tc>
        <w:tc>
          <w:tcPr>
            <w:tcW w:w="0" w:type="auto"/>
            <w:gridSpan w:val="3"/>
            <w:vMerge/>
            <w:shd w:val="clear" w:color="auto" w:fill="auto"/>
            <w:tcMar>
              <w:top w:w="40" w:type="dxa"/>
              <w:left w:w="20" w:type="dxa"/>
              <w:bottom w:w="40" w:type="dxa"/>
              <w:right w:w="20" w:type="dxa"/>
            </w:tcMar>
            <w:vAlign w:val="bottom"/>
          </w:tcPr>
          <w:p w14:paraId="74DD7B09" w14:textId="77777777" w:rsidR="00584EC1" w:rsidRDefault="00584EC1">
            <w:pPr>
              <w:jc w:val="center"/>
              <w:rPr>
                <w:rFonts w:ascii="宋体"/>
              </w:rPr>
            </w:pPr>
          </w:p>
        </w:tc>
        <w:tc>
          <w:tcPr>
            <w:tcW w:w="0" w:type="auto"/>
            <w:gridSpan w:val="3"/>
            <w:shd w:val="clear" w:color="auto" w:fill="auto"/>
            <w:vAlign w:val="bottom"/>
          </w:tcPr>
          <w:p w14:paraId="74DD7B0A" w14:textId="77777777" w:rsidR="00584EC1" w:rsidRDefault="00584EC1">
            <w:pPr>
              <w:rPr>
                <w:rFonts w:ascii="宋体"/>
                <w:vanish/>
              </w:rPr>
            </w:pPr>
          </w:p>
        </w:tc>
        <w:tc>
          <w:tcPr>
            <w:tcW w:w="0" w:type="auto"/>
            <w:gridSpan w:val="3"/>
            <w:shd w:val="clear" w:color="auto" w:fill="auto"/>
            <w:vAlign w:val="bottom"/>
          </w:tcPr>
          <w:p w14:paraId="74DD7B0B" w14:textId="77777777" w:rsidR="00584EC1" w:rsidRDefault="00584EC1">
            <w:pPr>
              <w:rPr>
                <w:rFonts w:ascii="宋体"/>
                <w:vanish/>
              </w:rPr>
            </w:pPr>
          </w:p>
        </w:tc>
        <w:tc>
          <w:tcPr>
            <w:tcW w:w="0" w:type="auto"/>
            <w:shd w:val="clear" w:color="auto" w:fill="auto"/>
            <w:vAlign w:val="bottom"/>
          </w:tcPr>
          <w:p w14:paraId="74DD7B0C" w14:textId="77777777" w:rsidR="00584EC1" w:rsidRDefault="00584EC1">
            <w:pPr>
              <w:rPr>
                <w:rFonts w:ascii="宋体"/>
              </w:rPr>
            </w:pPr>
          </w:p>
        </w:tc>
        <w:tc>
          <w:tcPr>
            <w:tcW w:w="0" w:type="auto"/>
            <w:shd w:val="clear" w:color="auto" w:fill="auto"/>
            <w:vAlign w:val="bottom"/>
          </w:tcPr>
          <w:p w14:paraId="74DD7B0D" w14:textId="77777777" w:rsidR="00584EC1" w:rsidRDefault="00584EC1">
            <w:pPr>
              <w:rPr>
                <w:rFonts w:ascii="宋体"/>
              </w:rPr>
            </w:pPr>
          </w:p>
        </w:tc>
        <w:tc>
          <w:tcPr>
            <w:tcW w:w="0" w:type="auto"/>
            <w:shd w:val="clear" w:color="auto" w:fill="auto"/>
            <w:vAlign w:val="bottom"/>
          </w:tcPr>
          <w:p w14:paraId="74DD7B0E" w14:textId="77777777" w:rsidR="00584EC1" w:rsidRDefault="00584EC1">
            <w:pPr>
              <w:rPr>
                <w:rFonts w:ascii="宋体"/>
              </w:rPr>
            </w:pPr>
          </w:p>
        </w:tc>
        <w:tc>
          <w:tcPr>
            <w:tcW w:w="0" w:type="auto"/>
            <w:shd w:val="clear" w:color="auto" w:fill="auto"/>
            <w:vAlign w:val="bottom"/>
          </w:tcPr>
          <w:p w14:paraId="74DD7B0F" w14:textId="77777777" w:rsidR="00584EC1" w:rsidRDefault="00584EC1">
            <w:pPr>
              <w:rPr>
                <w:rFonts w:ascii="宋体"/>
              </w:rPr>
            </w:pPr>
          </w:p>
        </w:tc>
        <w:tc>
          <w:tcPr>
            <w:tcW w:w="0" w:type="auto"/>
            <w:shd w:val="clear" w:color="auto" w:fill="auto"/>
            <w:vAlign w:val="bottom"/>
          </w:tcPr>
          <w:p w14:paraId="74DD7B10" w14:textId="77777777" w:rsidR="00584EC1" w:rsidRDefault="00584EC1">
            <w:pPr>
              <w:rPr>
                <w:rFonts w:ascii="宋体"/>
              </w:rPr>
            </w:pPr>
          </w:p>
        </w:tc>
        <w:tc>
          <w:tcPr>
            <w:tcW w:w="0" w:type="auto"/>
            <w:shd w:val="clear" w:color="auto" w:fill="auto"/>
            <w:vAlign w:val="bottom"/>
          </w:tcPr>
          <w:p w14:paraId="74DD7B11" w14:textId="77777777" w:rsidR="00584EC1" w:rsidRDefault="00584EC1">
            <w:pPr>
              <w:rPr>
                <w:rFonts w:ascii="宋体"/>
              </w:rPr>
            </w:pPr>
          </w:p>
        </w:tc>
      </w:tr>
      <w:tr w:rsidR="00584EC1" w14:paraId="74DD7B28" w14:textId="77777777">
        <w:tc>
          <w:tcPr>
            <w:tcW w:w="0" w:type="auto"/>
            <w:gridSpan w:val="3"/>
            <w:shd w:val="clear" w:color="auto" w:fill="CCEEFF"/>
            <w:tcMar>
              <w:top w:w="40" w:type="dxa"/>
              <w:left w:w="20" w:type="dxa"/>
              <w:bottom w:w="40" w:type="dxa"/>
              <w:right w:w="20" w:type="dxa"/>
            </w:tcMar>
            <w:vAlign w:val="bottom"/>
          </w:tcPr>
          <w:p w14:paraId="74DD7B13" w14:textId="77777777" w:rsidR="00584EC1" w:rsidRDefault="00871F8D">
            <w:pPr>
              <w:textAlignment w:val="bottom"/>
            </w:pPr>
            <w:r>
              <w:rPr>
                <w:rFonts w:ascii="Arial" w:eastAsia="宋体" w:hAnsi="Arial" w:cs="Arial"/>
                <w:color w:val="000000"/>
                <w:sz w:val="14"/>
                <w:szCs w:val="14"/>
              </w:rPr>
              <w:t>Management fees</w:t>
            </w:r>
            <w:r>
              <w:rPr>
                <w:rFonts w:ascii="Arial" w:eastAsia="宋体" w:hAnsi="Arial" w:cs="Arial"/>
                <w:color w:val="000000"/>
                <w:sz w:val="9"/>
                <w:szCs w:val="9"/>
              </w:rPr>
              <w:t>(1)(2)</w:t>
            </w:r>
          </w:p>
        </w:tc>
        <w:tc>
          <w:tcPr>
            <w:tcW w:w="0" w:type="auto"/>
            <w:shd w:val="clear" w:color="auto" w:fill="auto"/>
            <w:vAlign w:val="bottom"/>
          </w:tcPr>
          <w:p w14:paraId="74DD7B14" w14:textId="77777777" w:rsidR="00584EC1" w:rsidRDefault="00584EC1">
            <w:pPr>
              <w:rPr>
                <w:rFonts w:ascii="宋体"/>
                <w:vanish/>
              </w:rPr>
            </w:pPr>
          </w:p>
        </w:tc>
        <w:tc>
          <w:tcPr>
            <w:tcW w:w="0" w:type="auto"/>
            <w:shd w:val="clear" w:color="auto" w:fill="auto"/>
            <w:vAlign w:val="bottom"/>
          </w:tcPr>
          <w:p w14:paraId="74DD7B15" w14:textId="77777777" w:rsidR="00584EC1" w:rsidRDefault="00584EC1">
            <w:pPr>
              <w:rPr>
                <w:rFonts w:ascii="宋体"/>
                <w:vanish/>
              </w:rPr>
            </w:pPr>
          </w:p>
        </w:tc>
        <w:tc>
          <w:tcPr>
            <w:tcW w:w="0" w:type="auto"/>
            <w:shd w:val="clear" w:color="auto" w:fill="auto"/>
            <w:vAlign w:val="bottom"/>
          </w:tcPr>
          <w:p w14:paraId="74DD7B16" w14:textId="77777777" w:rsidR="00584EC1" w:rsidRDefault="00584EC1">
            <w:pPr>
              <w:rPr>
                <w:rFonts w:ascii="宋体"/>
                <w:vanish/>
              </w:rPr>
            </w:pPr>
          </w:p>
        </w:tc>
        <w:tc>
          <w:tcPr>
            <w:tcW w:w="0" w:type="auto"/>
            <w:shd w:val="clear" w:color="auto" w:fill="auto"/>
            <w:vAlign w:val="bottom"/>
          </w:tcPr>
          <w:p w14:paraId="74DD7B17" w14:textId="77777777" w:rsidR="00584EC1" w:rsidRDefault="00584EC1">
            <w:pPr>
              <w:rPr>
                <w:rFonts w:ascii="宋体"/>
                <w:vanish/>
              </w:rPr>
            </w:pPr>
          </w:p>
        </w:tc>
        <w:tc>
          <w:tcPr>
            <w:tcW w:w="0" w:type="auto"/>
            <w:shd w:val="clear" w:color="auto" w:fill="auto"/>
            <w:vAlign w:val="bottom"/>
          </w:tcPr>
          <w:p w14:paraId="74DD7B18" w14:textId="77777777" w:rsidR="00584EC1" w:rsidRDefault="00584EC1">
            <w:pPr>
              <w:rPr>
                <w:rFonts w:ascii="宋体"/>
                <w:vanish/>
              </w:rPr>
            </w:pPr>
          </w:p>
        </w:tc>
        <w:tc>
          <w:tcPr>
            <w:tcW w:w="0" w:type="auto"/>
            <w:shd w:val="clear" w:color="auto" w:fill="auto"/>
            <w:vAlign w:val="bottom"/>
          </w:tcPr>
          <w:p w14:paraId="74DD7B19" w14:textId="77777777" w:rsidR="00584EC1" w:rsidRDefault="00584EC1">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7B1A"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7B1B" w14:textId="77777777" w:rsidR="00584EC1" w:rsidRDefault="00871F8D">
            <w:pPr>
              <w:jc w:val="right"/>
              <w:textAlignment w:val="bottom"/>
            </w:pPr>
            <w:r>
              <w:rPr>
                <w:rFonts w:ascii="Arial" w:eastAsia="宋体" w:hAnsi="Arial" w:cs="Arial"/>
                <w:b/>
                <w:bCs/>
                <w:color w:val="000000"/>
                <w:sz w:val="14"/>
                <w:szCs w:val="14"/>
              </w:rPr>
              <w:t>526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B1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B1D"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7B1E"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7B1F" w14:textId="77777777" w:rsidR="00584EC1" w:rsidRDefault="00871F8D">
            <w:pPr>
              <w:jc w:val="right"/>
              <w:textAlignment w:val="bottom"/>
            </w:pPr>
            <w:r>
              <w:rPr>
                <w:rFonts w:ascii="Arial" w:eastAsia="宋体" w:hAnsi="Arial" w:cs="Arial"/>
                <w:color w:val="000000"/>
                <w:sz w:val="14"/>
                <w:szCs w:val="14"/>
              </w:rPr>
              <w:t>479 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B2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B21" w14:textId="77777777" w:rsidR="00584EC1" w:rsidRDefault="00584EC1">
            <w:pPr>
              <w:rPr>
                <w:rFonts w:ascii="宋体"/>
              </w:rPr>
            </w:pPr>
          </w:p>
        </w:tc>
        <w:tc>
          <w:tcPr>
            <w:tcW w:w="0" w:type="auto"/>
            <w:gridSpan w:val="3"/>
            <w:shd w:val="clear" w:color="auto" w:fill="auto"/>
            <w:vAlign w:val="bottom"/>
          </w:tcPr>
          <w:p w14:paraId="74DD7B22" w14:textId="77777777" w:rsidR="00584EC1" w:rsidRDefault="00584EC1">
            <w:pPr>
              <w:rPr>
                <w:rFonts w:ascii="宋体"/>
                <w:vanish/>
              </w:rPr>
            </w:pPr>
          </w:p>
        </w:tc>
        <w:tc>
          <w:tcPr>
            <w:tcW w:w="0" w:type="auto"/>
            <w:gridSpan w:val="3"/>
            <w:shd w:val="clear" w:color="auto" w:fill="auto"/>
            <w:vAlign w:val="bottom"/>
          </w:tcPr>
          <w:p w14:paraId="74DD7B23" w14:textId="77777777" w:rsidR="00584EC1" w:rsidRDefault="00584EC1">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7B24" w14:textId="77777777" w:rsidR="00584EC1" w:rsidRDefault="00871F8D">
            <w:pPr>
              <w:jc w:val="right"/>
              <w:textAlignment w:val="bottom"/>
            </w:pPr>
            <w:r>
              <w:rPr>
                <w:rFonts w:ascii="Arial" w:eastAsia="宋体" w:hAnsi="Arial" w:cs="Arial"/>
                <w:color w:val="000000"/>
                <w:sz w:val="14"/>
                <w:szCs w:val="14"/>
              </w:rPr>
              <w:t>10 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B25" w14:textId="77777777" w:rsidR="00584EC1" w:rsidRDefault="00871F8D">
            <w:pPr>
              <w:jc w:val="right"/>
              <w:textAlignment w:val="bottom"/>
            </w:pPr>
            <w:r>
              <w:rPr>
                <w:rFonts w:ascii="Arial" w:eastAsia="宋体" w:hAnsi="Arial" w:cs="Arial"/>
                <w:color w:val="000000"/>
                <w:sz w:val="14"/>
                <w:szCs w:val="14"/>
              </w:rPr>
              <w:t>%</w:t>
            </w:r>
          </w:p>
        </w:tc>
        <w:tc>
          <w:tcPr>
            <w:tcW w:w="0" w:type="auto"/>
            <w:gridSpan w:val="3"/>
            <w:shd w:val="clear" w:color="auto" w:fill="auto"/>
            <w:vAlign w:val="bottom"/>
          </w:tcPr>
          <w:p w14:paraId="74DD7B26" w14:textId="77777777" w:rsidR="00584EC1" w:rsidRDefault="00584EC1">
            <w:pPr>
              <w:rPr>
                <w:rFonts w:ascii="宋体"/>
                <w:vanish/>
              </w:rPr>
            </w:pPr>
          </w:p>
        </w:tc>
        <w:tc>
          <w:tcPr>
            <w:tcW w:w="0" w:type="auto"/>
            <w:gridSpan w:val="3"/>
            <w:shd w:val="clear" w:color="auto" w:fill="auto"/>
            <w:vAlign w:val="bottom"/>
          </w:tcPr>
          <w:p w14:paraId="74DD7B27" w14:textId="77777777" w:rsidR="00584EC1" w:rsidRDefault="00584EC1">
            <w:pPr>
              <w:rPr>
                <w:rFonts w:ascii="宋体"/>
                <w:vanish/>
              </w:rPr>
            </w:pPr>
          </w:p>
        </w:tc>
      </w:tr>
      <w:tr w:rsidR="00584EC1" w14:paraId="74DD7B3C" w14:textId="77777777">
        <w:tc>
          <w:tcPr>
            <w:tcW w:w="0" w:type="auto"/>
            <w:gridSpan w:val="3"/>
            <w:shd w:val="clear" w:color="auto" w:fill="FFFFFF"/>
            <w:tcMar>
              <w:top w:w="40" w:type="dxa"/>
              <w:left w:w="20" w:type="dxa"/>
              <w:bottom w:w="40" w:type="dxa"/>
              <w:right w:w="20" w:type="dxa"/>
            </w:tcMar>
            <w:vAlign w:val="bottom"/>
          </w:tcPr>
          <w:p w14:paraId="74DD7B29" w14:textId="77777777" w:rsidR="00584EC1" w:rsidRDefault="00871F8D">
            <w:pPr>
              <w:textAlignment w:val="bottom"/>
            </w:pPr>
            <w:r>
              <w:rPr>
                <w:rFonts w:ascii="Arial" w:eastAsia="宋体" w:hAnsi="Arial" w:cs="Arial"/>
                <w:color w:val="000000"/>
                <w:sz w:val="14"/>
                <w:szCs w:val="14"/>
              </w:rPr>
              <w:t>Foreign exchange trading services</w:t>
            </w:r>
            <w:r>
              <w:rPr>
                <w:rFonts w:ascii="Arial" w:eastAsia="宋体" w:hAnsi="Arial" w:cs="Arial"/>
                <w:color w:val="000000"/>
                <w:sz w:val="9"/>
                <w:szCs w:val="9"/>
              </w:rPr>
              <w:t>(1)(3)</w:t>
            </w:r>
          </w:p>
        </w:tc>
        <w:tc>
          <w:tcPr>
            <w:tcW w:w="0" w:type="auto"/>
            <w:shd w:val="clear" w:color="auto" w:fill="auto"/>
            <w:vAlign w:val="bottom"/>
          </w:tcPr>
          <w:p w14:paraId="74DD7B2A" w14:textId="77777777" w:rsidR="00584EC1" w:rsidRDefault="00584EC1">
            <w:pPr>
              <w:rPr>
                <w:rFonts w:ascii="宋体"/>
                <w:vanish/>
              </w:rPr>
            </w:pPr>
          </w:p>
        </w:tc>
        <w:tc>
          <w:tcPr>
            <w:tcW w:w="0" w:type="auto"/>
            <w:shd w:val="clear" w:color="auto" w:fill="auto"/>
            <w:vAlign w:val="bottom"/>
          </w:tcPr>
          <w:p w14:paraId="74DD7B2B" w14:textId="77777777" w:rsidR="00584EC1" w:rsidRDefault="00584EC1">
            <w:pPr>
              <w:rPr>
                <w:rFonts w:ascii="宋体"/>
                <w:vanish/>
              </w:rPr>
            </w:pPr>
          </w:p>
        </w:tc>
        <w:tc>
          <w:tcPr>
            <w:tcW w:w="0" w:type="auto"/>
            <w:shd w:val="clear" w:color="auto" w:fill="auto"/>
            <w:vAlign w:val="bottom"/>
          </w:tcPr>
          <w:p w14:paraId="74DD7B2C" w14:textId="77777777" w:rsidR="00584EC1" w:rsidRDefault="00584EC1">
            <w:pPr>
              <w:rPr>
                <w:rFonts w:ascii="宋体"/>
                <w:vanish/>
              </w:rPr>
            </w:pPr>
          </w:p>
        </w:tc>
        <w:tc>
          <w:tcPr>
            <w:tcW w:w="0" w:type="auto"/>
            <w:shd w:val="clear" w:color="auto" w:fill="auto"/>
            <w:vAlign w:val="bottom"/>
          </w:tcPr>
          <w:p w14:paraId="74DD7B2D" w14:textId="77777777" w:rsidR="00584EC1" w:rsidRDefault="00584EC1">
            <w:pPr>
              <w:rPr>
                <w:rFonts w:ascii="宋体"/>
                <w:vanish/>
              </w:rPr>
            </w:pPr>
          </w:p>
        </w:tc>
        <w:tc>
          <w:tcPr>
            <w:tcW w:w="0" w:type="auto"/>
            <w:shd w:val="clear" w:color="auto" w:fill="auto"/>
            <w:vAlign w:val="bottom"/>
          </w:tcPr>
          <w:p w14:paraId="74DD7B2E" w14:textId="77777777" w:rsidR="00584EC1" w:rsidRDefault="00584EC1">
            <w:pPr>
              <w:rPr>
                <w:rFonts w:ascii="宋体"/>
                <w:vanish/>
              </w:rPr>
            </w:pPr>
          </w:p>
        </w:tc>
        <w:tc>
          <w:tcPr>
            <w:tcW w:w="0" w:type="auto"/>
            <w:shd w:val="clear" w:color="auto" w:fill="auto"/>
            <w:vAlign w:val="bottom"/>
          </w:tcPr>
          <w:p w14:paraId="74DD7B2F"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D7B30" w14:textId="77777777" w:rsidR="00584EC1" w:rsidRDefault="00871F8D">
            <w:pPr>
              <w:jc w:val="right"/>
              <w:textAlignment w:val="bottom"/>
            </w:pPr>
            <w:r>
              <w:rPr>
                <w:rFonts w:ascii="Arial" w:eastAsia="宋体" w:hAnsi="Arial" w:cs="Arial"/>
                <w:b/>
                <w:bCs/>
                <w:color w:val="000000"/>
                <w:sz w:val="14"/>
                <w:szCs w:val="14"/>
              </w:rPr>
              <w:t>13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7B3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B3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B33" w14:textId="77777777" w:rsidR="00584EC1" w:rsidRDefault="00871F8D">
            <w:pPr>
              <w:jc w:val="right"/>
              <w:textAlignment w:val="bottom"/>
            </w:pPr>
            <w:r>
              <w:rPr>
                <w:rFonts w:ascii="Arial" w:eastAsia="宋体" w:hAnsi="Arial" w:cs="Arial"/>
                <w:color w:val="000000"/>
                <w:sz w:val="14"/>
                <w:szCs w:val="14"/>
              </w:rPr>
              <w:t>18 </w:t>
            </w:r>
          </w:p>
        </w:tc>
        <w:tc>
          <w:tcPr>
            <w:tcW w:w="0" w:type="auto"/>
            <w:shd w:val="clear" w:color="auto" w:fill="FFFFFF"/>
            <w:tcMar>
              <w:top w:w="40" w:type="dxa"/>
              <w:left w:w="0" w:type="dxa"/>
              <w:bottom w:w="40" w:type="dxa"/>
              <w:right w:w="20" w:type="dxa"/>
            </w:tcMar>
            <w:vAlign w:val="bottom"/>
          </w:tcPr>
          <w:p w14:paraId="74DD7B3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B35" w14:textId="77777777" w:rsidR="00584EC1" w:rsidRDefault="00584EC1">
            <w:pPr>
              <w:rPr>
                <w:rFonts w:ascii="宋体"/>
              </w:rPr>
            </w:pPr>
          </w:p>
        </w:tc>
        <w:tc>
          <w:tcPr>
            <w:tcW w:w="0" w:type="auto"/>
            <w:gridSpan w:val="3"/>
            <w:shd w:val="clear" w:color="auto" w:fill="auto"/>
            <w:vAlign w:val="bottom"/>
          </w:tcPr>
          <w:p w14:paraId="74DD7B36" w14:textId="77777777" w:rsidR="00584EC1" w:rsidRDefault="00584EC1">
            <w:pPr>
              <w:rPr>
                <w:rFonts w:ascii="宋体"/>
                <w:vanish/>
              </w:rPr>
            </w:pPr>
          </w:p>
        </w:tc>
        <w:tc>
          <w:tcPr>
            <w:tcW w:w="0" w:type="auto"/>
            <w:gridSpan w:val="3"/>
            <w:shd w:val="clear" w:color="auto" w:fill="auto"/>
            <w:vAlign w:val="bottom"/>
          </w:tcPr>
          <w:p w14:paraId="74DD7B37"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D7B38" w14:textId="77777777" w:rsidR="00584EC1" w:rsidRDefault="00871F8D">
            <w:pPr>
              <w:jc w:val="right"/>
              <w:textAlignment w:val="bottom"/>
            </w:pPr>
            <w:r>
              <w:rPr>
                <w:rFonts w:ascii="Arial" w:eastAsia="宋体" w:hAnsi="Arial" w:cs="Arial"/>
                <w:color w:val="000000"/>
                <w:sz w:val="14"/>
                <w:szCs w:val="14"/>
              </w:rPr>
              <w:t>(28)</w:t>
            </w:r>
          </w:p>
        </w:tc>
        <w:tc>
          <w:tcPr>
            <w:tcW w:w="0" w:type="auto"/>
            <w:shd w:val="clear" w:color="auto" w:fill="FFFFFF"/>
            <w:tcMar>
              <w:top w:w="40" w:type="dxa"/>
              <w:left w:w="0" w:type="dxa"/>
              <w:bottom w:w="40" w:type="dxa"/>
              <w:right w:w="20" w:type="dxa"/>
            </w:tcMar>
            <w:vAlign w:val="bottom"/>
          </w:tcPr>
          <w:p w14:paraId="74DD7B39" w14:textId="77777777" w:rsidR="00584EC1" w:rsidRDefault="00584EC1">
            <w:pPr>
              <w:jc w:val="right"/>
              <w:rPr>
                <w:rFonts w:ascii="宋体"/>
              </w:rPr>
            </w:pPr>
          </w:p>
        </w:tc>
        <w:tc>
          <w:tcPr>
            <w:tcW w:w="0" w:type="auto"/>
            <w:gridSpan w:val="3"/>
            <w:shd w:val="clear" w:color="auto" w:fill="auto"/>
            <w:vAlign w:val="bottom"/>
          </w:tcPr>
          <w:p w14:paraId="74DD7B3A" w14:textId="77777777" w:rsidR="00584EC1" w:rsidRDefault="00584EC1">
            <w:pPr>
              <w:rPr>
                <w:rFonts w:ascii="宋体"/>
                <w:vanish/>
              </w:rPr>
            </w:pPr>
          </w:p>
        </w:tc>
        <w:tc>
          <w:tcPr>
            <w:tcW w:w="0" w:type="auto"/>
            <w:gridSpan w:val="3"/>
            <w:shd w:val="clear" w:color="auto" w:fill="auto"/>
            <w:vAlign w:val="bottom"/>
          </w:tcPr>
          <w:p w14:paraId="74DD7B3B" w14:textId="77777777" w:rsidR="00584EC1" w:rsidRDefault="00584EC1">
            <w:pPr>
              <w:rPr>
                <w:rFonts w:ascii="宋体"/>
                <w:vanish/>
              </w:rPr>
            </w:pPr>
          </w:p>
        </w:tc>
      </w:tr>
      <w:tr w:rsidR="00584EC1" w14:paraId="74DD7B50" w14:textId="77777777">
        <w:tc>
          <w:tcPr>
            <w:tcW w:w="0" w:type="auto"/>
            <w:gridSpan w:val="3"/>
            <w:shd w:val="clear" w:color="auto" w:fill="CCEEFF"/>
            <w:tcMar>
              <w:top w:w="40" w:type="dxa"/>
              <w:left w:w="20" w:type="dxa"/>
              <w:bottom w:w="40" w:type="dxa"/>
              <w:right w:w="20" w:type="dxa"/>
            </w:tcMar>
            <w:vAlign w:val="bottom"/>
          </w:tcPr>
          <w:p w14:paraId="74DD7B3D" w14:textId="77777777" w:rsidR="00584EC1" w:rsidRDefault="00871F8D">
            <w:pPr>
              <w:textAlignment w:val="bottom"/>
            </w:pPr>
            <w:r>
              <w:rPr>
                <w:rFonts w:ascii="Arial" w:eastAsia="宋体" w:hAnsi="Arial" w:cs="Arial"/>
                <w:color w:val="000000"/>
                <w:sz w:val="14"/>
                <w:szCs w:val="14"/>
              </w:rPr>
              <w:t>Securities finance</w:t>
            </w:r>
          </w:p>
        </w:tc>
        <w:tc>
          <w:tcPr>
            <w:tcW w:w="0" w:type="auto"/>
            <w:shd w:val="clear" w:color="auto" w:fill="auto"/>
            <w:vAlign w:val="bottom"/>
          </w:tcPr>
          <w:p w14:paraId="74DD7B3E" w14:textId="77777777" w:rsidR="00584EC1" w:rsidRDefault="00584EC1">
            <w:pPr>
              <w:rPr>
                <w:rFonts w:ascii="宋体"/>
                <w:vanish/>
              </w:rPr>
            </w:pPr>
          </w:p>
        </w:tc>
        <w:tc>
          <w:tcPr>
            <w:tcW w:w="0" w:type="auto"/>
            <w:shd w:val="clear" w:color="auto" w:fill="auto"/>
            <w:vAlign w:val="bottom"/>
          </w:tcPr>
          <w:p w14:paraId="74DD7B3F" w14:textId="77777777" w:rsidR="00584EC1" w:rsidRDefault="00584EC1">
            <w:pPr>
              <w:rPr>
                <w:rFonts w:ascii="宋体"/>
                <w:vanish/>
              </w:rPr>
            </w:pPr>
          </w:p>
        </w:tc>
        <w:tc>
          <w:tcPr>
            <w:tcW w:w="0" w:type="auto"/>
            <w:shd w:val="clear" w:color="auto" w:fill="auto"/>
            <w:vAlign w:val="bottom"/>
          </w:tcPr>
          <w:p w14:paraId="74DD7B40" w14:textId="77777777" w:rsidR="00584EC1" w:rsidRDefault="00584EC1">
            <w:pPr>
              <w:rPr>
                <w:rFonts w:ascii="宋体"/>
                <w:vanish/>
              </w:rPr>
            </w:pPr>
          </w:p>
        </w:tc>
        <w:tc>
          <w:tcPr>
            <w:tcW w:w="0" w:type="auto"/>
            <w:shd w:val="clear" w:color="auto" w:fill="auto"/>
            <w:vAlign w:val="bottom"/>
          </w:tcPr>
          <w:p w14:paraId="74DD7B41" w14:textId="77777777" w:rsidR="00584EC1" w:rsidRDefault="00584EC1">
            <w:pPr>
              <w:rPr>
                <w:rFonts w:ascii="宋体"/>
                <w:vanish/>
              </w:rPr>
            </w:pPr>
          </w:p>
        </w:tc>
        <w:tc>
          <w:tcPr>
            <w:tcW w:w="0" w:type="auto"/>
            <w:shd w:val="clear" w:color="auto" w:fill="auto"/>
            <w:vAlign w:val="bottom"/>
          </w:tcPr>
          <w:p w14:paraId="74DD7B42" w14:textId="77777777" w:rsidR="00584EC1" w:rsidRDefault="00584EC1">
            <w:pPr>
              <w:rPr>
                <w:rFonts w:ascii="宋体"/>
                <w:vanish/>
              </w:rPr>
            </w:pPr>
          </w:p>
        </w:tc>
        <w:tc>
          <w:tcPr>
            <w:tcW w:w="0" w:type="auto"/>
            <w:shd w:val="clear" w:color="auto" w:fill="auto"/>
            <w:vAlign w:val="bottom"/>
          </w:tcPr>
          <w:p w14:paraId="74DD7B43" w14:textId="77777777" w:rsidR="00584EC1" w:rsidRDefault="00584EC1">
            <w:pPr>
              <w:rPr>
                <w:rFonts w:ascii="宋体"/>
                <w:vanish/>
              </w:rPr>
            </w:pPr>
          </w:p>
        </w:tc>
        <w:tc>
          <w:tcPr>
            <w:tcW w:w="0" w:type="auto"/>
            <w:gridSpan w:val="2"/>
            <w:shd w:val="clear" w:color="auto" w:fill="CCEEFF"/>
            <w:tcMar>
              <w:top w:w="40" w:type="dxa"/>
              <w:left w:w="20" w:type="dxa"/>
              <w:bottom w:w="40" w:type="dxa"/>
              <w:right w:w="0" w:type="dxa"/>
            </w:tcMar>
            <w:vAlign w:val="bottom"/>
          </w:tcPr>
          <w:p w14:paraId="74DD7B44" w14:textId="77777777" w:rsidR="00584EC1" w:rsidRDefault="00871F8D">
            <w:pPr>
              <w:jc w:val="right"/>
              <w:textAlignment w:val="bottom"/>
            </w:pPr>
            <w:r>
              <w:rPr>
                <w:rFonts w:ascii="Arial" w:eastAsia="宋体" w:hAnsi="Arial" w:cs="Arial"/>
                <w:b/>
                <w:bCs/>
                <w:color w:val="000000"/>
                <w:sz w:val="14"/>
                <w:szCs w:val="14"/>
              </w:rPr>
              <w:t>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7B4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B4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7B47" w14:textId="77777777" w:rsidR="00584EC1" w:rsidRDefault="00871F8D">
            <w:pPr>
              <w:jc w:val="right"/>
              <w:textAlignment w:val="bottom"/>
            </w:pPr>
            <w:r>
              <w:rPr>
                <w:rFonts w:ascii="Arial" w:eastAsia="宋体" w:hAnsi="Arial" w:cs="Arial"/>
                <w:color w:val="000000"/>
                <w:sz w:val="14"/>
                <w:szCs w:val="14"/>
              </w:rPr>
              <w:t>3 </w:t>
            </w:r>
          </w:p>
        </w:tc>
        <w:tc>
          <w:tcPr>
            <w:tcW w:w="0" w:type="auto"/>
            <w:shd w:val="clear" w:color="auto" w:fill="CCEEFF"/>
            <w:tcMar>
              <w:top w:w="40" w:type="dxa"/>
              <w:left w:w="0" w:type="dxa"/>
              <w:bottom w:w="40" w:type="dxa"/>
              <w:right w:w="20" w:type="dxa"/>
            </w:tcMar>
            <w:vAlign w:val="bottom"/>
          </w:tcPr>
          <w:p w14:paraId="74DD7B4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B49" w14:textId="77777777" w:rsidR="00584EC1" w:rsidRDefault="00584EC1">
            <w:pPr>
              <w:rPr>
                <w:rFonts w:ascii="宋体"/>
              </w:rPr>
            </w:pPr>
          </w:p>
        </w:tc>
        <w:tc>
          <w:tcPr>
            <w:tcW w:w="0" w:type="auto"/>
            <w:gridSpan w:val="3"/>
            <w:shd w:val="clear" w:color="auto" w:fill="auto"/>
            <w:vAlign w:val="bottom"/>
          </w:tcPr>
          <w:p w14:paraId="74DD7B4A" w14:textId="77777777" w:rsidR="00584EC1" w:rsidRDefault="00584EC1">
            <w:pPr>
              <w:rPr>
                <w:rFonts w:ascii="宋体"/>
                <w:vanish/>
              </w:rPr>
            </w:pPr>
          </w:p>
        </w:tc>
        <w:tc>
          <w:tcPr>
            <w:tcW w:w="0" w:type="auto"/>
            <w:gridSpan w:val="3"/>
            <w:shd w:val="clear" w:color="auto" w:fill="auto"/>
            <w:vAlign w:val="bottom"/>
          </w:tcPr>
          <w:p w14:paraId="74DD7B4B" w14:textId="77777777" w:rsidR="00584EC1" w:rsidRDefault="00584EC1">
            <w:pPr>
              <w:rPr>
                <w:rFonts w:ascii="宋体"/>
                <w:vanish/>
              </w:rPr>
            </w:pPr>
          </w:p>
        </w:tc>
        <w:tc>
          <w:tcPr>
            <w:tcW w:w="0" w:type="auto"/>
            <w:gridSpan w:val="2"/>
            <w:shd w:val="clear" w:color="auto" w:fill="CCEEFF"/>
            <w:tcMar>
              <w:top w:w="40" w:type="dxa"/>
              <w:left w:w="20" w:type="dxa"/>
              <w:bottom w:w="40" w:type="dxa"/>
              <w:right w:w="0" w:type="dxa"/>
            </w:tcMar>
            <w:vAlign w:val="bottom"/>
          </w:tcPr>
          <w:p w14:paraId="74DD7B4C"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7B4D" w14:textId="77777777" w:rsidR="00584EC1" w:rsidRDefault="00584EC1">
            <w:pPr>
              <w:jc w:val="right"/>
              <w:rPr>
                <w:rFonts w:ascii="宋体"/>
              </w:rPr>
            </w:pPr>
          </w:p>
        </w:tc>
        <w:tc>
          <w:tcPr>
            <w:tcW w:w="0" w:type="auto"/>
            <w:gridSpan w:val="3"/>
            <w:shd w:val="clear" w:color="auto" w:fill="auto"/>
            <w:vAlign w:val="bottom"/>
          </w:tcPr>
          <w:p w14:paraId="74DD7B4E" w14:textId="77777777" w:rsidR="00584EC1" w:rsidRDefault="00584EC1">
            <w:pPr>
              <w:rPr>
                <w:rFonts w:ascii="宋体"/>
                <w:vanish/>
              </w:rPr>
            </w:pPr>
          </w:p>
        </w:tc>
        <w:tc>
          <w:tcPr>
            <w:tcW w:w="0" w:type="auto"/>
            <w:gridSpan w:val="3"/>
            <w:shd w:val="clear" w:color="auto" w:fill="auto"/>
            <w:vAlign w:val="bottom"/>
          </w:tcPr>
          <w:p w14:paraId="74DD7B4F" w14:textId="77777777" w:rsidR="00584EC1" w:rsidRDefault="00584EC1">
            <w:pPr>
              <w:rPr>
                <w:rFonts w:ascii="宋体"/>
                <w:vanish/>
              </w:rPr>
            </w:pPr>
          </w:p>
        </w:tc>
      </w:tr>
      <w:tr w:rsidR="00584EC1" w14:paraId="74DD7B63" w14:textId="77777777">
        <w:tc>
          <w:tcPr>
            <w:tcW w:w="0" w:type="auto"/>
            <w:gridSpan w:val="3"/>
            <w:shd w:val="clear" w:color="auto" w:fill="FFFFFF"/>
            <w:tcMar>
              <w:top w:w="40" w:type="dxa"/>
              <w:left w:w="20" w:type="dxa"/>
              <w:bottom w:w="40" w:type="dxa"/>
              <w:right w:w="20" w:type="dxa"/>
            </w:tcMar>
            <w:vAlign w:val="bottom"/>
          </w:tcPr>
          <w:p w14:paraId="74DD7B51" w14:textId="77777777" w:rsidR="00584EC1" w:rsidRDefault="00871F8D">
            <w:pPr>
              <w:textAlignment w:val="bottom"/>
            </w:pPr>
            <w:r>
              <w:rPr>
                <w:rFonts w:ascii="Arial" w:eastAsia="宋体" w:hAnsi="Arial" w:cs="Arial"/>
                <w:color w:val="000000"/>
                <w:sz w:val="14"/>
                <w:szCs w:val="14"/>
              </w:rPr>
              <w:t>Software and processing fees</w:t>
            </w:r>
            <w:r>
              <w:rPr>
                <w:rFonts w:ascii="Arial" w:eastAsia="宋体" w:hAnsi="Arial" w:cs="Arial"/>
                <w:color w:val="000000"/>
                <w:sz w:val="9"/>
                <w:szCs w:val="9"/>
              </w:rPr>
              <w:t>(4)</w:t>
            </w:r>
          </w:p>
        </w:tc>
        <w:tc>
          <w:tcPr>
            <w:tcW w:w="0" w:type="auto"/>
            <w:shd w:val="clear" w:color="auto" w:fill="auto"/>
            <w:vAlign w:val="bottom"/>
          </w:tcPr>
          <w:p w14:paraId="74DD7B52" w14:textId="77777777" w:rsidR="00584EC1" w:rsidRDefault="00584EC1">
            <w:pPr>
              <w:rPr>
                <w:rFonts w:ascii="宋体"/>
                <w:vanish/>
              </w:rPr>
            </w:pPr>
          </w:p>
        </w:tc>
        <w:tc>
          <w:tcPr>
            <w:tcW w:w="0" w:type="auto"/>
            <w:shd w:val="clear" w:color="auto" w:fill="auto"/>
            <w:vAlign w:val="bottom"/>
          </w:tcPr>
          <w:p w14:paraId="74DD7B53" w14:textId="77777777" w:rsidR="00584EC1" w:rsidRDefault="00584EC1">
            <w:pPr>
              <w:rPr>
                <w:rFonts w:ascii="宋体"/>
                <w:vanish/>
              </w:rPr>
            </w:pPr>
          </w:p>
        </w:tc>
        <w:tc>
          <w:tcPr>
            <w:tcW w:w="0" w:type="auto"/>
            <w:shd w:val="clear" w:color="auto" w:fill="auto"/>
            <w:vAlign w:val="bottom"/>
          </w:tcPr>
          <w:p w14:paraId="74DD7B54" w14:textId="77777777" w:rsidR="00584EC1" w:rsidRDefault="00584EC1">
            <w:pPr>
              <w:rPr>
                <w:rFonts w:ascii="宋体"/>
                <w:vanish/>
              </w:rPr>
            </w:pPr>
          </w:p>
        </w:tc>
        <w:tc>
          <w:tcPr>
            <w:tcW w:w="0" w:type="auto"/>
            <w:shd w:val="clear" w:color="auto" w:fill="auto"/>
            <w:vAlign w:val="bottom"/>
          </w:tcPr>
          <w:p w14:paraId="74DD7B55" w14:textId="77777777" w:rsidR="00584EC1" w:rsidRDefault="00584EC1">
            <w:pPr>
              <w:rPr>
                <w:rFonts w:ascii="宋体"/>
                <w:vanish/>
              </w:rPr>
            </w:pPr>
          </w:p>
        </w:tc>
        <w:tc>
          <w:tcPr>
            <w:tcW w:w="0" w:type="auto"/>
            <w:shd w:val="clear" w:color="auto" w:fill="auto"/>
            <w:vAlign w:val="bottom"/>
          </w:tcPr>
          <w:p w14:paraId="74DD7B56" w14:textId="77777777" w:rsidR="00584EC1" w:rsidRDefault="00584EC1">
            <w:pPr>
              <w:rPr>
                <w:rFonts w:ascii="宋体"/>
                <w:vanish/>
              </w:rPr>
            </w:pPr>
          </w:p>
        </w:tc>
        <w:tc>
          <w:tcPr>
            <w:tcW w:w="0" w:type="auto"/>
            <w:shd w:val="clear" w:color="auto" w:fill="auto"/>
            <w:vAlign w:val="bottom"/>
          </w:tcPr>
          <w:p w14:paraId="74DD7B57"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D7B58" w14:textId="77777777" w:rsidR="00584EC1" w:rsidRDefault="00871F8D">
            <w:pPr>
              <w:jc w:val="right"/>
              <w:textAlignment w:val="bottom"/>
            </w:pPr>
            <w:r>
              <w:rPr>
                <w:rFonts w:ascii="Arial" w:eastAsia="宋体" w:hAnsi="Arial" w:cs="Arial"/>
                <w:b/>
                <w:bCs/>
                <w:color w:val="000000"/>
                <w:sz w:val="14"/>
                <w:szCs w:val="14"/>
              </w:rPr>
              <w:t>(6)</w:t>
            </w:r>
          </w:p>
        </w:tc>
        <w:tc>
          <w:tcPr>
            <w:tcW w:w="0" w:type="auto"/>
            <w:shd w:val="clear" w:color="auto" w:fill="FFFFFF"/>
            <w:tcMar>
              <w:top w:w="40" w:type="dxa"/>
              <w:left w:w="0" w:type="dxa"/>
              <w:bottom w:w="40" w:type="dxa"/>
              <w:right w:w="20" w:type="dxa"/>
            </w:tcMar>
            <w:vAlign w:val="bottom"/>
          </w:tcPr>
          <w:p w14:paraId="74DD7B5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B5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B5B" w14:textId="77777777" w:rsidR="00584EC1" w:rsidRDefault="00871F8D">
            <w:pPr>
              <w:jc w:val="right"/>
              <w:textAlignment w:val="bottom"/>
            </w:pPr>
            <w:r>
              <w:rPr>
                <w:rFonts w:ascii="Arial" w:eastAsia="宋体" w:hAnsi="Arial" w:cs="Arial"/>
                <w:color w:val="000000"/>
                <w:sz w:val="14"/>
                <w:szCs w:val="14"/>
              </w:rPr>
              <w:t>10 </w:t>
            </w:r>
          </w:p>
        </w:tc>
        <w:tc>
          <w:tcPr>
            <w:tcW w:w="0" w:type="auto"/>
            <w:shd w:val="clear" w:color="auto" w:fill="FFFFFF"/>
            <w:tcMar>
              <w:top w:w="40" w:type="dxa"/>
              <w:left w:w="0" w:type="dxa"/>
              <w:bottom w:w="40" w:type="dxa"/>
              <w:right w:w="20" w:type="dxa"/>
            </w:tcMar>
            <w:vAlign w:val="bottom"/>
          </w:tcPr>
          <w:p w14:paraId="74DD7B5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B5D" w14:textId="77777777" w:rsidR="00584EC1" w:rsidRDefault="00584EC1">
            <w:pPr>
              <w:rPr>
                <w:rFonts w:ascii="宋体"/>
              </w:rPr>
            </w:pPr>
          </w:p>
        </w:tc>
        <w:tc>
          <w:tcPr>
            <w:tcW w:w="0" w:type="auto"/>
            <w:gridSpan w:val="3"/>
            <w:shd w:val="clear" w:color="auto" w:fill="auto"/>
            <w:vAlign w:val="bottom"/>
          </w:tcPr>
          <w:p w14:paraId="74DD7B5E" w14:textId="77777777" w:rsidR="00584EC1" w:rsidRDefault="00584EC1">
            <w:pPr>
              <w:rPr>
                <w:rFonts w:ascii="宋体"/>
                <w:vanish/>
              </w:rPr>
            </w:pPr>
          </w:p>
        </w:tc>
        <w:tc>
          <w:tcPr>
            <w:tcW w:w="0" w:type="auto"/>
            <w:gridSpan w:val="3"/>
            <w:shd w:val="clear" w:color="auto" w:fill="auto"/>
            <w:vAlign w:val="bottom"/>
          </w:tcPr>
          <w:p w14:paraId="74DD7B5F" w14:textId="77777777" w:rsidR="00584EC1" w:rsidRDefault="00584EC1">
            <w:pPr>
              <w:rPr>
                <w:rFonts w:ascii="宋体"/>
                <w:vanish/>
              </w:rPr>
            </w:pPr>
          </w:p>
        </w:tc>
        <w:tc>
          <w:tcPr>
            <w:tcW w:w="0" w:type="auto"/>
            <w:gridSpan w:val="3"/>
            <w:shd w:val="clear" w:color="auto" w:fill="FFFFFF"/>
            <w:tcMar>
              <w:top w:w="40" w:type="dxa"/>
              <w:left w:w="20" w:type="dxa"/>
              <w:bottom w:w="40" w:type="dxa"/>
              <w:right w:w="140" w:type="dxa"/>
            </w:tcMar>
            <w:vAlign w:val="bottom"/>
          </w:tcPr>
          <w:p w14:paraId="74DD7B60" w14:textId="77777777" w:rsidR="00584EC1" w:rsidRDefault="00871F8D">
            <w:pPr>
              <w:jc w:val="right"/>
              <w:textAlignment w:val="bottom"/>
            </w:pPr>
            <w:r>
              <w:rPr>
                <w:rFonts w:ascii="Arial" w:eastAsia="宋体" w:hAnsi="Arial" w:cs="Arial"/>
                <w:color w:val="000000"/>
                <w:sz w:val="14"/>
                <w:szCs w:val="14"/>
              </w:rPr>
              <w:t>nm</w:t>
            </w:r>
          </w:p>
        </w:tc>
        <w:tc>
          <w:tcPr>
            <w:tcW w:w="0" w:type="auto"/>
            <w:gridSpan w:val="3"/>
            <w:shd w:val="clear" w:color="auto" w:fill="auto"/>
            <w:vAlign w:val="bottom"/>
          </w:tcPr>
          <w:p w14:paraId="74DD7B61" w14:textId="77777777" w:rsidR="00584EC1" w:rsidRDefault="00584EC1">
            <w:pPr>
              <w:rPr>
                <w:rFonts w:ascii="宋体"/>
                <w:vanish/>
              </w:rPr>
            </w:pPr>
          </w:p>
        </w:tc>
        <w:tc>
          <w:tcPr>
            <w:tcW w:w="0" w:type="auto"/>
            <w:gridSpan w:val="3"/>
            <w:shd w:val="clear" w:color="auto" w:fill="auto"/>
            <w:vAlign w:val="bottom"/>
          </w:tcPr>
          <w:p w14:paraId="74DD7B62" w14:textId="77777777" w:rsidR="00584EC1" w:rsidRDefault="00584EC1">
            <w:pPr>
              <w:rPr>
                <w:rFonts w:ascii="宋体"/>
                <w:vanish/>
              </w:rPr>
            </w:pPr>
          </w:p>
        </w:tc>
      </w:tr>
      <w:tr w:rsidR="00584EC1" w14:paraId="74DD7B77" w14:textId="77777777">
        <w:tc>
          <w:tcPr>
            <w:tcW w:w="0" w:type="auto"/>
            <w:gridSpan w:val="3"/>
            <w:shd w:val="clear" w:color="auto" w:fill="CCEEFF"/>
            <w:tcMar>
              <w:top w:w="40" w:type="dxa"/>
              <w:left w:w="20" w:type="dxa"/>
              <w:bottom w:w="40" w:type="dxa"/>
              <w:right w:w="20" w:type="dxa"/>
            </w:tcMar>
            <w:vAlign w:val="bottom"/>
          </w:tcPr>
          <w:p w14:paraId="74DD7B64" w14:textId="77777777" w:rsidR="00584EC1" w:rsidRDefault="00871F8D">
            <w:pPr>
              <w:textAlignment w:val="bottom"/>
            </w:pPr>
            <w:r>
              <w:rPr>
                <w:rFonts w:ascii="Arial" w:eastAsia="宋体" w:hAnsi="Arial" w:cs="Arial"/>
                <w:color w:val="000000"/>
                <w:sz w:val="14"/>
                <w:szCs w:val="14"/>
              </w:rPr>
              <w:t>Total fee revenue</w:t>
            </w:r>
          </w:p>
        </w:tc>
        <w:tc>
          <w:tcPr>
            <w:tcW w:w="0" w:type="auto"/>
            <w:shd w:val="clear" w:color="auto" w:fill="auto"/>
            <w:vAlign w:val="bottom"/>
          </w:tcPr>
          <w:p w14:paraId="74DD7B65" w14:textId="77777777" w:rsidR="00584EC1" w:rsidRDefault="00584EC1">
            <w:pPr>
              <w:rPr>
                <w:rFonts w:ascii="宋体"/>
                <w:vanish/>
              </w:rPr>
            </w:pPr>
          </w:p>
        </w:tc>
        <w:tc>
          <w:tcPr>
            <w:tcW w:w="0" w:type="auto"/>
            <w:shd w:val="clear" w:color="auto" w:fill="auto"/>
            <w:vAlign w:val="bottom"/>
          </w:tcPr>
          <w:p w14:paraId="74DD7B66" w14:textId="77777777" w:rsidR="00584EC1" w:rsidRDefault="00584EC1">
            <w:pPr>
              <w:rPr>
                <w:rFonts w:ascii="宋体"/>
                <w:vanish/>
              </w:rPr>
            </w:pPr>
          </w:p>
        </w:tc>
        <w:tc>
          <w:tcPr>
            <w:tcW w:w="0" w:type="auto"/>
            <w:shd w:val="clear" w:color="auto" w:fill="auto"/>
            <w:vAlign w:val="bottom"/>
          </w:tcPr>
          <w:p w14:paraId="74DD7B67" w14:textId="77777777" w:rsidR="00584EC1" w:rsidRDefault="00584EC1">
            <w:pPr>
              <w:rPr>
                <w:rFonts w:ascii="宋体"/>
                <w:vanish/>
              </w:rPr>
            </w:pPr>
          </w:p>
        </w:tc>
        <w:tc>
          <w:tcPr>
            <w:tcW w:w="0" w:type="auto"/>
            <w:shd w:val="clear" w:color="auto" w:fill="auto"/>
            <w:vAlign w:val="bottom"/>
          </w:tcPr>
          <w:p w14:paraId="74DD7B68" w14:textId="77777777" w:rsidR="00584EC1" w:rsidRDefault="00584EC1">
            <w:pPr>
              <w:rPr>
                <w:rFonts w:ascii="宋体"/>
                <w:vanish/>
              </w:rPr>
            </w:pPr>
          </w:p>
        </w:tc>
        <w:tc>
          <w:tcPr>
            <w:tcW w:w="0" w:type="auto"/>
            <w:shd w:val="clear" w:color="auto" w:fill="auto"/>
            <w:vAlign w:val="bottom"/>
          </w:tcPr>
          <w:p w14:paraId="74DD7B69" w14:textId="77777777" w:rsidR="00584EC1" w:rsidRDefault="00584EC1">
            <w:pPr>
              <w:rPr>
                <w:rFonts w:ascii="宋体"/>
                <w:vanish/>
              </w:rPr>
            </w:pPr>
          </w:p>
        </w:tc>
        <w:tc>
          <w:tcPr>
            <w:tcW w:w="0" w:type="auto"/>
            <w:shd w:val="clear" w:color="auto" w:fill="auto"/>
            <w:vAlign w:val="bottom"/>
          </w:tcPr>
          <w:p w14:paraId="74DD7B6A" w14:textId="77777777" w:rsidR="00584EC1" w:rsidRDefault="00584EC1">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7B6B" w14:textId="77777777" w:rsidR="00584EC1" w:rsidRDefault="00871F8D">
            <w:pPr>
              <w:jc w:val="right"/>
              <w:textAlignment w:val="bottom"/>
            </w:pPr>
            <w:r>
              <w:rPr>
                <w:rFonts w:ascii="Arial" w:eastAsia="宋体" w:hAnsi="Arial" w:cs="Arial"/>
                <w:b/>
                <w:bCs/>
                <w:color w:val="000000"/>
                <w:sz w:val="14"/>
                <w:szCs w:val="14"/>
              </w:rPr>
              <w:t>536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B6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B6D"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7B6E" w14:textId="77777777" w:rsidR="00584EC1" w:rsidRDefault="00871F8D">
            <w:pPr>
              <w:jc w:val="right"/>
              <w:textAlignment w:val="bottom"/>
            </w:pPr>
            <w:r>
              <w:rPr>
                <w:rFonts w:ascii="Arial" w:eastAsia="宋体" w:hAnsi="Arial" w:cs="Arial"/>
                <w:color w:val="000000"/>
                <w:sz w:val="14"/>
                <w:szCs w:val="14"/>
              </w:rPr>
              <w:t>510 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B6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B70" w14:textId="77777777" w:rsidR="00584EC1" w:rsidRDefault="00584EC1">
            <w:pPr>
              <w:rPr>
                <w:rFonts w:ascii="宋体"/>
              </w:rPr>
            </w:pPr>
          </w:p>
        </w:tc>
        <w:tc>
          <w:tcPr>
            <w:tcW w:w="0" w:type="auto"/>
            <w:gridSpan w:val="3"/>
            <w:shd w:val="clear" w:color="auto" w:fill="auto"/>
            <w:vAlign w:val="bottom"/>
          </w:tcPr>
          <w:p w14:paraId="74DD7B71" w14:textId="77777777" w:rsidR="00584EC1" w:rsidRDefault="00584EC1">
            <w:pPr>
              <w:rPr>
                <w:rFonts w:ascii="宋体"/>
                <w:vanish/>
              </w:rPr>
            </w:pPr>
          </w:p>
        </w:tc>
        <w:tc>
          <w:tcPr>
            <w:tcW w:w="0" w:type="auto"/>
            <w:gridSpan w:val="3"/>
            <w:shd w:val="clear" w:color="auto" w:fill="auto"/>
            <w:vAlign w:val="bottom"/>
          </w:tcPr>
          <w:p w14:paraId="74DD7B72" w14:textId="77777777" w:rsidR="00584EC1" w:rsidRDefault="00584EC1">
            <w:pPr>
              <w:rPr>
                <w:rFonts w:ascii="宋体"/>
                <w:vanish/>
              </w:rPr>
            </w:pPr>
          </w:p>
        </w:tc>
        <w:tc>
          <w:tcPr>
            <w:tcW w:w="0" w:type="auto"/>
            <w:gridSpan w:val="2"/>
            <w:shd w:val="clear" w:color="auto" w:fill="CCEEFF"/>
            <w:tcMar>
              <w:top w:w="40" w:type="dxa"/>
              <w:left w:w="20" w:type="dxa"/>
              <w:bottom w:w="40" w:type="dxa"/>
              <w:right w:w="0" w:type="dxa"/>
            </w:tcMar>
            <w:vAlign w:val="bottom"/>
          </w:tcPr>
          <w:p w14:paraId="74DD7B73" w14:textId="77777777" w:rsidR="00584EC1" w:rsidRDefault="00871F8D">
            <w:pPr>
              <w:jc w:val="right"/>
              <w:textAlignment w:val="bottom"/>
            </w:pPr>
            <w:r>
              <w:rPr>
                <w:rFonts w:ascii="Arial" w:eastAsia="宋体" w:hAnsi="Arial" w:cs="Arial"/>
                <w:color w:val="000000"/>
                <w:sz w:val="14"/>
                <w:szCs w:val="14"/>
              </w:rPr>
              <w:t>5 </w:t>
            </w:r>
          </w:p>
        </w:tc>
        <w:tc>
          <w:tcPr>
            <w:tcW w:w="0" w:type="auto"/>
            <w:shd w:val="clear" w:color="auto" w:fill="CCEEFF"/>
            <w:tcMar>
              <w:top w:w="40" w:type="dxa"/>
              <w:left w:w="0" w:type="dxa"/>
              <w:bottom w:w="40" w:type="dxa"/>
              <w:right w:w="20" w:type="dxa"/>
            </w:tcMar>
            <w:vAlign w:val="bottom"/>
          </w:tcPr>
          <w:p w14:paraId="74DD7B74" w14:textId="77777777" w:rsidR="00584EC1" w:rsidRDefault="00584EC1">
            <w:pPr>
              <w:jc w:val="right"/>
              <w:rPr>
                <w:rFonts w:ascii="宋体"/>
              </w:rPr>
            </w:pPr>
          </w:p>
        </w:tc>
        <w:tc>
          <w:tcPr>
            <w:tcW w:w="0" w:type="auto"/>
            <w:gridSpan w:val="3"/>
            <w:shd w:val="clear" w:color="auto" w:fill="auto"/>
            <w:vAlign w:val="bottom"/>
          </w:tcPr>
          <w:p w14:paraId="74DD7B75" w14:textId="77777777" w:rsidR="00584EC1" w:rsidRDefault="00584EC1">
            <w:pPr>
              <w:rPr>
                <w:rFonts w:ascii="宋体"/>
                <w:vanish/>
              </w:rPr>
            </w:pPr>
          </w:p>
        </w:tc>
        <w:tc>
          <w:tcPr>
            <w:tcW w:w="0" w:type="auto"/>
            <w:gridSpan w:val="3"/>
            <w:shd w:val="clear" w:color="auto" w:fill="auto"/>
            <w:vAlign w:val="bottom"/>
          </w:tcPr>
          <w:p w14:paraId="74DD7B76" w14:textId="77777777" w:rsidR="00584EC1" w:rsidRDefault="00584EC1">
            <w:pPr>
              <w:rPr>
                <w:rFonts w:ascii="宋体"/>
                <w:vanish/>
              </w:rPr>
            </w:pPr>
          </w:p>
        </w:tc>
      </w:tr>
      <w:tr w:rsidR="00584EC1" w14:paraId="74DD7B8B" w14:textId="77777777">
        <w:tc>
          <w:tcPr>
            <w:tcW w:w="0" w:type="auto"/>
            <w:gridSpan w:val="3"/>
            <w:shd w:val="clear" w:color="auto" w:fill="FFFFFF"/>
            <w:tcMar>
              <w:top w:w="40" w:type="dxa"/>
              <w:left w:w="20" w:type="dxa"/>
              <w:bottom w:w="40" w:type="dxa"/>
              <w:right w:w="20" w:type="dxa"/>
            </w:tcMar>
            <w:vAlign w:val="bottom"/>
          </w:tcPr>
          <w:p w14:paraId="74DD7B78" w14:textId="77777777" w:rsidR="00584EC1" w:rsidRDefault="00871F8D">
            <w:pPr>
              <w:textAlignment w:val="bottom"/>
            </w:pPr>
            <w:r>
              <w:rPr>
                <w:rFonts w:ascii="Arial" w:eastAsia="宋体" w:hAnsi="Arial" w:cs="Arial"/>
                <w:color w:val="000000"/>
                <w:sz w:val="14"/>
                <w:szCs w:val="14"/>
              </w:rPr>
              <w:t>Net interest income</w:t>
            </w:r>
          </w:p>
        </w:tc>
        <w:tc>
          <w:tcPr>
            <w:tcW w:w="0" w:type="auto"/>
            <w:shd w:val="clear" w:color="auto" w:fill="auto"/>
            <w:vAlign w:val="bottom"/>
          </w:tcPr>
          <w:p w14:paraId="74DD7B79" w14:textId="77777777" w:rsidR="00584EC1" w:rsidRDefault="00584EC1">
            <w:pPr>
              <w:rPr>
                <w:rFonts w:ascii="宋体"/>
                <w:vanish/>
              </w:rPr>
            </w:pPr>
          </w:p>
        </w:tc>
        <w:tc>
          <w:tcPr>
            <w:tcW w:w="0" w:type="auto"/>
            <w:shd w:val="clear" w:color="auto" w:fill="auto"/>
            <w:vAlign w:val="bottom"/>
          </w:tcPr>
          <w:p w14:paraId="74DD7B7A" w14:textId="77777777" w:rsidR="00584EC1" w:rsidRDefault="00584EC1">
            <w:pPr>
              <w:rPr>
                <w:rFonts w:ascii="宋体"/>
                <w:vanish/>
              </w:rPr>
            </w:pPr>
          </w:p>
        </w:tc>
        <w:tc>
          <w:tcPr>
            <w:tcW w:w="0" w:type="auto"/>
            <w:shd w:val="clear" w:color="auto" w:fill="auto"/>
            <w:vAlign w:val="bottom"/>
          </w:tcPr>
          <w:p w14:paraId="74DD7B7B" w14:textId="77777777" w:rsidR="00584EC1" w:rsidRDefault="00584EC1">
            <w:pPr>
              <w:rPr>
                <w:rFonts w:ascii="宋体"/>
                <w:vanish/>
              </w:rPr>
            </w:pPr>
          </w:p>
        </w:tc>
        <w:tc>
          <w:tcPr>
            <w:tcW w:w="0" w:type="auto"/>
            <w:shd w:val="clear" w:color="auto" w:fill="auto"/>
            <w:vAlign w:val="bottom"/>
          </w:tcPr>
          <w:p w14:paraId="74DD7B7C" w14:textId="77777777" w:rsidR="00584EC1" w:rsidRDefault="00584EC1">
            <w:pPr>
              <w:rPr>
                <w:rFonts w:ascii="宋体"/>
                <w:vanish/>
              </w:rPr>
            </w:pPr>
          </w:p>
        </w:tc>
        <w:tc>
          <w:tcPr>
            <w:tcW w:w="0" w:type="auto"/>
            <w:shd w:val="clear" w:color="auto" w:fill="auto"/>
            <w:vAlign w:val="bottom"/>
          </w:tcPr>
          <w:p w14:paraId="74DD7B7D" w14:textId="77777777" w:rsidR="00584EC1" w:rsidRDefault="00584EC1">
            <w:pPr>
              <w:rPr>
                <w:rFonts w:ascii="宋体"/>
                <w:vanish/>
              </w:rPr>
            </w:pPr>
          </w:p>
        </w:tc>
        <w:tc>
          <w:tcPr>
            <w:tcW w:w="0" w:type="auto"/>
            <w:shd w:val="clear" w:color="auto" w:fill="auto"/>
            <w:vAlign w:val="bottom"/>
          </w:tcPr>
          <w:p w14:paraId="74DD7B7E"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D7B7F" w14:textId="77777777" w:rsidR="00584EC1" w:rsidRDefault="00871F8D">
            <w:pPr>
              <w:jc w:val="right"/>
              <w:textAlignment w:val="bottom"/>
            </w:pPr>
            <w:r>
              <w:rPr>
                <w:rFonts w:ascii="Arial" w:eastAsia="宋体" w:hAnsi="Arial" w:cs="Arial"/>
                <w:b/>
                <w:bCs/>
                <w:color w:val="000000"/>
                <w:sz w:val="14"/>
                <w:szCs w:val="14"/>
              </w:rPr>
              <w:t>(4)</w:t>
            </w:r>
          </w:p>
        </w:tc>
        <w:tc>
          <w:tcPr>
            <w:tcW w:w="0" w:type="auto"/>
            <w:shd w:val="clear" w:color="auto" w:fill="FFFFFF"/>
            <w:tcMar>
              <w:top w:w="40" w:type="dxa"/>
              <w:left w:w="0" w:type="dxa"/>
              <w:bottom w:w="40" w:type="dxa"/>
              <w:right w:w="20" w:type="dxa"/>
            </w:tcMar>
            <w:vAlign w:val="bottom"/>
          </w:tcPr>
          <w:p w14:paraId="74DD7B8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B8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B82" w14:textId="77777777" w:rsidR="00584EC1" w:rsidRDefault="00871F8D">
            <w:pPr>
              <w:jc w:val="right"/>
              <w:textAlignment w:val="bottom"/>
            </w:pPr>
            <w:r>
              <w:rPr>
                <w:rFonts w:ascii="Arial" w:eastAsia="宋体" w:hAnsi="Arial" w:cs="Arial"/>
                <w:color w:val="000000"/>
                <w:sz w:val="14"/>
                <w:szCs w:val="14"/>
              </w:rPr>
              <w:t>(4)</w:t>
            </w:r>
          </w:p>
        </w:tc>
        <w:tc>
          <w:tcPr>
            <w:tcW w:w="0" w:type="auto"/>
            <w:shd w:val="clear" w:color="auto" w:fill="FFFFFF"/>
            <w:tcMar>
              <w:top w:w="40" w:type="dxa"/>
              <w:left w:w="0" w:type="dxa"/>
              <w:bottom w:w="40" w:type="dxa"/>
              <w:right w:w="20" w:type="dxa"/>
            </w:tcMar>
            <w:vAlign w:val="bottom"/>
          </w:tcPr>
          <w:p w14:paraId="74DD7B8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B84" w14:textId="77777777" w:rsidR="00584EC1" w:rsidRDefault="00584EC1">
            <w:pPr>
              <w:rPr>
                <w:rFonts w:ascii="宋体"/>
              </w:rPr>
            </w:pPr>
          </w:p>
        </w:tc>
        <w:tc>
          <w:tcPr>
            <w:tcW w:w="0" w:type="auto"/>
            <w:gridSpan w:val="3"/>
            <w:shd w:val="clear" w:color="auto" w:fill="auto"/>
            <w:vAlign w:val="bottom"/>
          </w:tcPr>
          <w:p w14:paraId="74DD7B85" w14:textId="77777777" w:rsidR="00584EC1" w:rsidRDefault="00584EC1">
            <w:pPr>
              <w:rPr>
                <w:rFonts w:ascii="宋体"/>
                <w:vanish/>
              </w:rPr>
            </w:pPr>
          </w:p>
        </w:tc>
        <w:tc>
          <w:tcPr>
            <w:tcW w:w="0" w:type="auto"/>
            <w:gridSpan w:val="3"/>
            <w:shd w:val="clear" w:color="auto" w:fill="auto"/>
            <w:vAlign w:val="bottom"/>
          </w:tcPr>
          <w:p w14:paraId="74DD7B86"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D7B87"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7B88" w14:textId="77777777" w:rsidR="00584EC1" w:rsidRDefault="00584EC1">
            <w:pPr>
              <w:jc w:val="right"/>
              <w:rPr>
                <w:rFonts w:ascii="宋体"/>
              </w:rPr>
            </w:pPr>
          </w:p>
        </w:tc>
        <w:tc>
          <w:tcPr>
            <w:tcW w:w="0" w:type="auto"/>
            <w:gridSpan w:val="3"/>
            <w:shd w:val="clear" w:color="auto" w:fill="auto"/>
            <w:vAlign w:val="bottom"/>
          </w:tcPr>
          <w:p w14:paraId="74DD7B89" w14:textId="77777777" w:rsidR="00584EC1" w:rsidRDefault="00584EC1">
            <w:pPr>
              <w:rPr>
                <w:rFonts w:ascii="宋体"/>
                <w:vanish/>
              </w:rPr>
            </w:pPr>
          </w:p>
        </w:tc>
        <w:tc>
          <w:tcPr>
            <w:tcW w:w="0" w:type="auto"/>
            <w:gridSpan w:val="3"/>
            <w:shd w:val="clear" w:color="auto" w:fill="auto"/>
            <w:vAlign w:val="bottom"/>
          </w:tcPr>
          <w:p w14:paraId="74DD7B8A" w14:textId="77777777" w:rsidR="00584EC1" w:rsidRDefault="00584EC1">
            <w:pPr>
              <w:rPr>
                <w:rFonts w:ascii="宋体"/>
                <w:vanish/>
              </w:rPr>
            </w:pPr>
          </w:p>
        </w:tc>
      </w:tr>
      <w:tr w:rsidR="00584EC1" w14:paraId="74DD7B9F" w14:textId="77777777">
        <w:tc>
          <w:tcPr>
            <w:tcW w:w="0" w:type="auto"/>
            <w:gridSpan w:val="3"/>
            <w:shd w:val="clear" w:color="auto" w:fill="CCEEFF"/>
            <w:tcMar>
              <w:top w:w="40" w:type="dxa"/>
              <w:left w:w="20" w:type="dxa"/>
              <w:bottom w:w="40" w:type="dxa"/>
              <w:right w:w="20" w:type="dxa"/>
            </w:tcMar>
            <w:vAlign w:val="bottom"/>
          </w:tcPr>
          <w:p w14:paraId="74DD7B8C" w14:textId="77777777" w:rsidR="00584EC1" w:rsidRDefault="00871F8D">
            <w:pPr>
              <w:textAlignment w:val="bottom"/>
            </w:pPr>
            <w:r>
              <w:rPr>
                <w:rFonts w:ascii="Arial" w:eastAsia="宋体" w:hAnsi="Arial" w:cs="Arial"/>
                <w:b/>
                <w:bCs/>
                <w:color w:val="000000"/>
                <w:sz w:val="14"/>
                <w:szCs w:val="14"/>
              </w:rPr>
              <w:t>Total revenue</w:t>
            </w:r>
          </w:p>
        </w:tc>
        <w:tc>
          <w:tcPr>
            <w:tcW w:w="0" w:type="auto"/>
            <w:shd w:val="clear" w:color="auto" w:fill="auto"/>
            <w:vAlign w:val="bottom"/>
          </w:tcPr>
          <w:p w14:paraId="74DD7B8D" w14:textId="77777777" w:rsidR="00584EC1" w:rsidRDefault="00584EC1">
            <w:pPr>
              <w:rPr>
                <w:rFonts w:ascii="宋体"/>
                <w:vanish/>
              </w:rPr>
            </w:pPr>
          </w:p>
        </w:tc>
        <w:tc>
          <w:tcPr>
            <w:tcW w:w="0" w:type="auto"/>
            <w:shd w:val="clear" w:color="auto" w:fill="auto"/>
            <w:vAlign w:val="bottom"/>
          </w:tcPr>
          <w:p w14:paraId="74DD7B8E" w14:textId="77777777" w:rsidR="00584EC1" w:rsidRDefault="00584EC1">
            <w:pPr>
              <w:rPr>
                <w:rFonts w:ascii="宋体"/>
                <w:vanish/>
              </w:rPr>
            </w:pPr>
          </w:p>
        </w:tc>
        <w:tc>
          <w:tcPr>
            <w:tcW w:w="0" w:type="auto"/>
            <w:shd w:val="clear" w:color="auto" w:fill="auto"/>
            <w:vAlign w:val="bottom"/>
          </w:tcPr>
          <w:p w14:paraId="74DD7B8F" w14:textId="77777777" w:rsidR="00584EC1" w:rsidRDefault="00584EC1">
            <w:pPr>
              <w:rPr>
                <w:rFonts w:ascii="宋体"/>
                <w:vanish/>
              </w:rPr>
            </w:pPr>
          </w:p>
        </w:tc>
        <w:tc>
          <w:tcPr>
            <w:tcW w:w="0" w:type="auto"/>
            <w:shd w:val="clear" w:color="auto" w:fill="auto"/>
            <w:vAlign w:val="bottom"/>
          </w:tcPr>
          <w:p w14:paraId="74DD7B90" w14:textId="77777777" w:rsidR="00584EC1" w:rsidRDefault="00584EC1">
            <w:pPr>
              <w:rPr>
                <w:rFonts w:ascii="宋体"/>
                <w:vanish/>
              </w:rPr>
            </w:pPr>
          </w:p>
        </w:tc>
        <w:tc>
          <w:tcPr>
            <w:tcW w:w="0" w:type="auto"/>
            <w:shd w:val="clear" w:color="auto" w:fill="auto"/>
            <w:vAlign w:val="bottom"/>
          </w:tcPr>
          <w:p w14:paraId="74DD7B91" w14:textId="77777777" w:rsidR="00584EC1" w:rsidRDefault="00584EC1">
            <w:pPr>
              <w:rPr>
                <w:rFonts w:ascii="宋体"/>
                <w:vanish/>
              </w:rPr>
            </w:pPr>
          </w:p>
        </w:tc>
        <w:tc>
          <w:tcPr>
            <w:tcW w:w="0" w:type="auto"/>
            <w:shd w:val="clear" w:color="auto" w:fill="auto"/>
            <w:vAlign w:val="bottom"/>
          </w:tcPr>
          <w:p w14:paraId="74DD7B92" w14:textId="77777777" w:rsidR="00584EC1" w:rsidRDefault="00584EC1">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7B93" w14:textId="77777777" w:rsidR="00584EC1" w:rsidRDefault="00871F8D">
            <w:pPr>
              <w:jc w:val="right"/>
              <w:textAlignment w:val="bottom"/>
            </w:pPr>
            <w:r>
              <w:rPr>
                <w:rFonts w:ascii="Arial" w:eastAsia="宋体" w:hAnsi="Arial" w:cs="Arial"/>
                <w:b/>
                <w:bCs/>
                <w:color w:val="000000"/>
                <w:sz w:val="14"/>
                <w:szCs w:val="14"/>
              </w:rPr>
              <w:t>532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B9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B95"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7B96" w14:textId="77777777" w:rsidR="00584EC1" w:rsidRDefault="00871F8D">
            <w:pPr>
              <w:jc w:val="right"/>
              <w:textAlignment w:val="bottom"/>
            </w:pPr>
            <w:r>
              <w:rPr>
                <w:rFonts w:ascii="Arial" w:eastAsia="宋体" w:hAnsi="Arial" w:cs="Arial"/>
                <w:color w:val="000000"/>
                <w:sz w:val="14"/>
                <w:szCs w:val="14"/>
              </w:rPr>
              <w:t>506 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B9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B98" w14:textId="77777777" w:rsidR="00584EC1" w:rsidRDefault="00584EC1">
            <w:pPr>
              <w:rPr>
                <w:rFonts w:ascii="宋体"/>
              </w:rPr>
            </w:pPr>
          </w:p>
        </w:tc>
        <w:tc>
          <w:tcPr>
            <w:tcW w:w="0" w:type="auto"/>
            <w:gridSpan w:val="3"/>
            <w:shd w:val="clear" w:color="auto" w:fill="auto"/>
            <w:vAlign w:val="bottom"/>
          </w:tcPr>
          <w:p w14:paraId="74DD7B99" w14:textId="77777777" w:rsidR="00584EC1" w:rsidRDefault="00584EC1">
            <w:pPr>
              <w:rPr>
                <w:rFonts w:ascii="宋体"/>
                <w:vanish/>
              </w:rPr>
            </w:pPr>
          </w:p>
        </w:tc>
        <w:tc>
          <w:tcPr>
            <w:tcW w:w="0" w:type="auto"/>
            <w:gridSpan w:val="3"/>
            <w:shd w:val="clear" w:color="auto" w:fill="auto"/>
            <w:vAlign w:val="bottom"/>
          </w:tcPr>
          <w:p w14:paraId="74DD7B9A" w14:textId="77777777" w:rsidR="00584EC1" w:rsidRDefault="00584EC1">
            <w:pPr>
              <w:rPr>
                <w:rFonts w:ascii="宋体"/>
                <w:vanish/>
              </w:rPr>
            </w:pPr>
          </w:p>
        </w:tc>
        <w:tc>
          <w:tcPr>
            <w:tcW w:w="0" w:type="auto"/>
            <w:gridSpan w:val="2"/>
            <w:shd w:val="clear" w:color="auto" w:fill="CCEEFF"/>
            <w:tcMar>
              <w:top w:w="40" w:type="dxa"/>
              <w:left w:w="20" w:type="dxa"/>
              <w:bottom w:w="40" w:type="dxa"/>
              <w:right w:w="0" w:type="dxa"/>
            </w:tcMar>
            <w:vAlign w:val="bottom"/>
          </w:tcPr>
          <w:p w14:paraId="74DD7B9B" w14:textId="77777777" w:rsidR="00584EC1" w:rsidRDefault="00871F8D">
            <w:pPr>
              <w:jc w:val="right"/>
              <w:textAlignment w:val="bottom"/>
            </w:pPr>
            <w:r>
              <w:rPr>
                <w:rFonts w:ascii="Arial" w:eastAsia="宋体" w:hAnsi="Arial" w:cs="Arial"/>
                <w:color w:val="000000"/>
                <w:sz w:val="14"/>
                <w:szCs w:val="14"/>
              </w:rPr>
              <w:t>5 </w:t>
            </w:r>
          </w:p>
        </w:tc>
        <w:tc>
          <w:tcPr>
            <w:tcW w:w="0" w:type="auto"/>
            <w:shd w:val="clear" w:color="auto" w:fill="CCEEFF"/>
            <w:tcMar>
              <w:top w:w="40" w:type="dxa"/>
              <w:left w:w="0" w:type="dxa"/>
              <w:bottom w:w="40" w:type="dxa"/>
              <w:right w:w="20" w:type="dxa"/>
            </w:tcMar>
            <w:vAlign w:val="bottom"/>
          </w:tcPr>
          <w:p w14:paraId="74DD7B9C" w14:textId="77777777" w:rsidR="00584EC1" w:rsidRDefault="00584EC1">
            <w:pPr>
              <w:jc w:val="right"/>
              <w:rPr>
                <w:rFonts w:ascii="宋体"/>
              </w:rPr>
            </w:pPr>
          </w:p>
        </w:tc>
        <w:tc>
          <w:tcPr>
            <w:tcW w:w="0" w:type="auto"/>
            <w:gridSpan w:val="3"/>
            <w:shd w:val="clear" w:color="auto" w:fill="auto"/>
            <w:vAlign w:val="bottom"/>
          </w:tcPr>
          <w:p w14:paraId="74DD7B9D" w14:textId="77777777" w:rsidR="00584EC1" w:rsidRDefault="00584EC1">
            <w:pPr>
              <w:rPr>
                <w:rFonts w:ascii="宋体"/>
                <w:vanish/>
              </w:rPr>
            </w:pPr>
          </w:p>
        </w:tc>
        <w:tc>
          <w:tcPr>
            <w:tcW w:w="0" w:type="auto"/>
            <w:gridSpan w:val="3"/>
            <w:shd w:val="clear" w:color="auto" w:fill="auto"/>
            <w:vAlign w:val="bottom"/>
          </w:tcPr>
          <w:p w14:paraId="74DD7B9E" w14:textId="77777777" w:rsidR="00584EC1" w:rsidRDefault="00584EC1">
            <w:pPr>
              <w:rPr>
                <w:rFonts w:ascii="宋体"/>
                <w:vanish/>
              </w:rPr>
            </w:pPr>
          </w:p>
        </w:tc>
      </w:tr>
      <w:tr w:rsidR="00584EC1" w14:paraId="74DD7BB2" w14:textId="77777777">
        <w:tc>
          <w:tcPr>
            <w:tcW w:w="0" w:type="auto"/>
            <w:gridSpan w:val="3"/>
            <w:shd w:val="clear" w:color="auto" w:fill="FFFFFF"/>
            <w:tcMar>
              <w:top w:w="40" w:type="dxa"/>
              <w:left w:w="20" w:type="dxa"/>
              <w:bottom w:w="40" w:type="dxa"/>
              <w:right w:w="20" w:type="dxa"/>
            </w:tcMar>
            <w:vAlign w:val="bottom"/>
          </w:tcPr>
          <w:p w14:paraId="74DD7BA0" w14:textId="77777777" w:rsidR="00584EC1" w:rsidRDefault="00871F8D">
            <w:pPr>
              <w:textAlignment w:val="bottom"/>
            </w:pPr>
            <w:r>
              <w:rPr>
                <w:rFonts w:ascii="Arial" w:eastAsia="宋体" w:hAnsi="Arial" w:cs="Arial"/>
                <w:b/>
                <w:bCs/>
                <w:color w:val="000000"/>
                <w:sz w:val="14"/>
                <w:szCs w:val="14"/>
              </w:rPr>
              <w:t>Provision for credit losses</w:t>
            </w:r>
          </w:p>
        </w:tc>
        <w:tc>
          <w:tcPr>
            <w:tcW w:w="0" w:type="auto"/>
            <w:shd w:val="clear" w:color="auto" w:fill="auto"/>
            <w:vAlign w:val="bottom"/>
          </w:tcPr>
          <w:p w14:paraId="74DD7BA1" w14:textId="77777777" w:rsidR="00584EC1" w:rsidRDefault="00584EC1">
            <w:pPr>
              <w:rPr>
                <w:rFonts w:ascii="宋体"/>
                <w:vanish/>
              </w:rPr>
            </w:pPr>
          </w:p>
        </w:tc>
        <w:tc>
          <w:tcPr>
            <w:tcW w:w="0" w:type="auto"/>
            <w:shd w:val="clear" w:color="auto" w:fill="auto"/>
            <w:vAlign w:val="bottom"/>
          </w:tcPr>
          <w:p w14:paraId="74DD7BA2" w14:textId="77777777" w:rsidR="00584EC1" w:rsidRDefault="00584EC1">
            <w:pPr>
              <w:rPr>
                <w:rFonts w:ascii="宋体"/>
                <w:vanish/>
              </w:rPr>
            </w:pPr>
          </w:p>
        </w:tc>
        <w:tc>
          <w:tcPr>
            <w:tcW w:w="0" w:type="auto"/>
            <w:shd w:val="clear" w:color="auto" w:fill="auto"/>
            <w:vAlign w:val="bottom"/>
          </w:tcPr>
          <w:p w14:paraId="74DD7BA3" w14:textId="77777777" w:rsidR="00584EC1" w:rsidRDefault="00584EC1">
            <w:pPr>
              <w:rPr>
                <w:rFonts w:ascii="宋体"/>
                <w:vanish/>
              </w:rPr>
            </w:pPr>
          </w:p>
        </w:tc>
        <w:tc>
          <w:tcPr>
            <w:tcW w:w="0" w:type="auto"/>
            <w:shd w:val="clear" w:color="auto" w:fill="auto"/>
            <w:vAlign w:val="bottom"/>
          </w:tcPr>
          <w:p w14:paraId="74DD7BA4" w14:textId="77777777" w:rsidR="00584EC1" w:rsidRDefault="00584EC1">
            <w:pPr>
              <w:rPr>
                <w:rFonts w:ascii="宋体"/>
                <w:vanish/>
              </w:rPr>
            </w:pPr>
          </w:p>
        </w:tc>
        <w:tc>
          <w:tcPr>
            <w:tcW w:w="0" w:type="auto"/>
            <w:shd w:val="clear" w:color="auto" w:fill="auto"/>
            <w:vAlign w:val="bottom"/>
          </w:tcPr>
          <w:p w14:paraId="74DD7BA5" w14:textId="77777777" w:rsidR="00584EC1" w:rsidRDefault="00584EC1">
            <w:pPr>
              <w:rPr>
                <w:rFonts w:ascii="宋体"/>
                <w:vanish/>
              </w:rPr>
            </w:pPr>
          </w:p>
        </w:tc>
        <w:tc>
          <w:tcPr>
            <w:tcW w:w="0" w:type="auto"/>
            <w:shd w:val="clear" w:color="auto" w:fill="auto"/>
            <w:vAlign w:val="bottom"/>
          </w:tcPr>
          <w:p w14:paraId="74DD7BA6"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D7BA7"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7BA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BA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BAA"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7BA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BAC" w14:textId="77777777" w:rsidR="00584EC1" w:rsidRDefault="00584EC1">
            <w:pPr>
              <w:rPr>
                <w:rFonts w:ascii="宋体"/>
              </w:rPr>
            </w:pPr>
          </w:p>
        </w:tc>
        <w:tc>
          <w:tcPr>
            <w:tcW w:w="0" w:type="auto"/>
            <w:gridSpan w:val="3"/>
            <w:shd w:val="clear" w:color="auto" w:fill="auto"/>
            <w:vAlign w:val="bottom"/>
          </w:tcPr>
          <w:p w14:paraId="74DD7BAD" w14:textId="77777777" w:rsidR="00584EC1" w:rsidRDefault="00584EC1">
            <w:pPr>
              <w:rPr>
                <w:rFonts w:ascii="宋体"/>
                <w:vanish/>
              </w:rPr>
            </w:pPr>
          </w:p>
        </w:tc>
        <w:tc>
          <w:tcPr>
            <w:tcW w:w="0" w:type="auto"/>
            <w:gridSpan w:val="3"/>
            <w:shd w:val="clear" w:color="auto" w:fill="auto"/>
            <w:vAlign w:val="bottom"/>
          </w:tcPr>
          <w:p w14:paraId="74DD7BAE" w14:textId="77777777" w:rsidR="00584EC1" w:rsidRDefault="00584EC1">
            <w:pPr>
              <w:rPr>
                <w:rFonts w:ascii="宋体"/>
                <w:vanish/>
              </w:rPr>
            </w:pPr>
          </w:p>
        </w:tc>
        <w:tc>
          <w:tcPr>
            <w:tcW w:w="0" w:type="auto"/>
            <w:gridSpan w:val="3"/>
            <w:shd w:val="clear" w:color="auto" w:fill="FFFFFF"/>
            <w:tcMar>
              <w:top w:w="40" w:type="dxa"/>
              <w:left w:w="20" w:type="dxa"/>
              <w:bottom w:w="40" w:type="dxa"/>
              <w:right w:w="140" w:type="dxa"/>
            </w:tcMar>
            <w:vAlign w:val="bottom"/>
          </w:tcPr>
          <w:p w14:paraId="74DD7BAF" w14:textId="77777777" w:rsidR="00584EC1" w:rsidRDefault="00871F8D">
            <w:pPr>
              <w:jc w:val="right"/>
              <w:textAlignment w:val="bottom"/>
            </w:pPr>
            <w:r>
              <w:rPr>
                <w:rFonts w:ascii="Arial" w:eastAsia="宋体" w:hAnsi="Arial" w:cs="Arial"/>
                <w:color w:val="000000"/>
                <w:sz w:val="14"/>
                <w:szCs w:val="14"/>
              </w:rPr>
              <w:t>nm</w:t>
            </w:r>
          </w:p>
        </w:tc>
        <w:tc>
          <w:tcPr>
            <w:tcW w:w="0" w:type="auto"/>
            <w:gridSpan w:val="3"/>
            <w:shd w:val="clear" w:color="auto" w:fill="auto"/>
            <w:vAlign w:val="bottom"/>
          </w:tcPr>
          <w:p w14:paraId="74DD7BB0" w14:textId="77777777" w:rsidR="00584EC1" w:rsidRDefault="00584EC1">
            <w:pPr>
              <w:rPr>
                <w:rFonts w:ascii="宋体"/>
                <w:vanish/>
              </w:rPr>
            </w:pPr>
          </w:p>
        </w:tc>
        <w:tc>
          <w:tcPr>
            <w:tcW w:w="0" w:type="auto"/>
            <w:gridSpan w:val="3"/>
            <w:shd w:val="clear" w:color="auto" w:fill="auto"/>
            <w:vAlign w:val="bottom"/>
          </w:tcPr>
          <w:p w14:paraId="74DD7BB1" w14:textId="77777777" w:rsidR="00584EC1" w:rsidRDefault="00584EC1">
            <w:pPr>
              <w:rPr>
                <w:rFonts w:ascii="宋体"/>
                <w:vanish/>
              </w:rPr>
            </w:pPr>
          </w:p>
        </w:tc>
      </w:tr>
      <w:tr w:rsidR="00584EC1" w14:paraId="74DD7BC6" w14:textId="77777777">
        <w:tc>
          <w:tcPr>
            <w:tcW w:w="0" w:type="auto"/>
            <w:gridSpan w:val="3"/>
            <w:shd w:val="clear" w:color="auto" w:fill="CCEEFF"/>
            <w:tcMar>
              <w:top w:w="40" w:type="dxa"/>
              <w:left w:w="20" w:type="dxa"/>
              <w:bottom w:w="40" w:type="dxa"/>
              <w:right w:w="20" w:type="dxa"/>
            </w:tcMar>
            <w:vAlign w:val="bottom"/>
          </w:tcPr>
          <w:p w14:paraId="74DD7BB3" w14:textId="77777777" w:rsidR="00584EC1" w:rsidRDefault="00871F8D">
            <w:pPr>
              <w:textAlignment w:val="bottom"/>
            </w:pPr>
            <w:r>
              <w:rPr>
                <w:rFonts w:ascii="Arial" w:eastAsia="宋体" w:hAnsi="Arial" w:cs="Arial"/>
                <w:b/>
                <w:bCs/>
                <w:color w:val="000000"/>
                <w:sz w:val="14"/>
                <w:szCs w:val="14"/>
              </w:rPr>
              <w:t>Total expenses</w:t>
            </w:r>
          </w:p>
        </w:tc>
        <w:tc>
          <w:tcPr>
            <w:tcW w:w="0" w:type="auto"/>
            <w:shd w:val="clear" w:color="auto" w:fill="auto"/>
            <w:vAlign w:val="bottom"/>
          </w:tcPr>
          <w:p w14:paraId="74DD7BB4" w14:textId="77777777" w:rsidR="00584EC1" w:rsidRDefault="00584EC1">
            <w:pPr>
              <w:rPr>
                <w:rFonts w:ascii="宋体"/>
                <w:vanish/>
              </w:rPr>
            </w:pPr>
          </w:p>
        </w:tc>
        <w:tc>
          <w:tcPr>
            <w:tcW w:w="0" w:type="auto"/>
            <w:shd w:val="clear" w:color="auto" w:fill="auto"/>
            <w:vAlign w:val="bottom"/>
          </w:tcPr>
          <w:p w14:paraId="74DD7BB5" w14:textId="77777777" w:rsidR="00584EC1" w:rsidRDefault="00584EC1">
            <w:pPr>
              <w:rPr>
                <w:rFonts w:ascii="宋体"/>
                <w:vanish/>
              </w:rPr>
            </w:pPr>
          </w:p>
        </w:tc>
        <w:tc>
          <w:tcPr>
            <w:tcW w:w="0" w:type="auto"/>
            <w:shd w:val="clear" w:color="auto" w:fill="auto"/>
            <w:vAlign w:val="bottom"/>
          </w:tcPr>
          <w:p w14:paraId="74DD7BB6" w14:textId="77777777" w:rsidR="00584EC1" w:rsidRDefault="00584EC1">
            <w:pPr>
              <w:rPr>
                <w:rFonts w:ascii="宋体"/>
                <w:vanish/>
              </w:rPr>
            </w:pPr>
          </w:p>
        </w:tc>
        <w:tc>
          <w:tcPr>
            <w:tcW w:w="0" w:type="auto"/>
            <w:shd w:val="clear" w:color="auto" w:fill="auto"/>
            <w:vAlign w:val="bottom"/>
          </w:tcPr>
          <w:p w14:paraId="74DD7BB7" w14:textId="77777777" w:rsidR="00584EC1" w:rsidRDefault="00584EC1">
            <w:pPr>
              <w:rPr>
                <w:rFonts w:ascii="宋体"/>
                <w:vanish/>
              </w:rPr>
            </w:pPr>
          </w:p>
        </w:tc>
        <w:tc>
          <w:tcPr>
            <w:tcW w:w="0" w:type="auto"/>
            <w:shd w:val="clear" w:color="auto" w:fill="auto"/>
            <w:vAlign w:val="bottom"/>
          </w:tcPr>
          <w:p w14:paraId="74DD7BB8" w14:textId="77777777" w:rsidR="00584EC1" w:rsidRDefault="00584EC1">
            <w:pPr>
              <w:rPr>
                <w:rFonts w:ascii="宋体"/>
                <w:vanish/>
              </w:rPr>
            </w:pPr>
          </w:p>
        </w:tc>
        <w:tc>
          <w:tcPr>
            <w:tcW w:w="0" w:type="auto"/>
            <w:shd w:val="clear" w:color="auto" w:fill="auto"/>
            <w:vAlign w:val="bottom"/>
          </w:tcPr>
          <w:p w14:paraId="74DD7BB9" w14:textId="77777777" w:rsidR="00584EC1" w:rsidRDefault="00584EC1">
            <w:pPr>
              <w:rPr>
                <w:rFonts w:ascii="宋体"/>
                <w:vanish/>
              </w:rPr>
            </w:pPr>
          </w:p>
        </w:tc>
        <w:tc>
          <w:tcPr>
            <w:tcW w:w="0" w:type="auto"/>
            <w:gridSpan w:val="2"/>
            <w:shd w:val="clear" w:color="auto" w:fill="CCEEFF"/>
            <w:tcMar>
              <w:top w:w="40" w:type="dxa"/>
              <w:left w:w="20" w:type="dxa"/>
              <w:bottom w:w="40" w:type="dxa"/>
              <w:right w:w="0" w:type="dxa"/>
            </w:tcMar>
            <w:vAlign w:val="bottom"/>
          </w:tcPr>
          <w:p w14:paraId="74DD7BBA" w14:textId="77777777" w:rsidR="00584EC1" w:rsidRDefault="00871F8D">
            <w:pPr>
              <w:jc w:val="right"/>
              <w:textAlignment w:val="bottom"/>
            </w:pPr>
            <w:r>
              <w:rPr>
                <w:rFonts w:ascii="Arial" w:eastAsia="宋体" w:hAnsi="Arial" w:cs="Arial"/>
                <w:b/>
                <w:bCs/>
                <w:color w:val="000000"/>
                <w:sz w:val="14"/>
                <w:szCs w:val="14"/>
              </w:rPr>
              <w:t>339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7BB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BBC"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7BBD" w14:textId="77777777" w:rsidR="00584EC1" w:rsidRDefault="00871F8D">
            <w:pPr>
              <w:jc w:val="right"/>
              <w:textAlignment w:val="bottom"/>
            </w:pPr>
            <w:r>
              <w:rPr>
                <w:rFonts w:ascii="Arial" w:eastAsia="宋体" w:hAnsi="Arial" w:cs="Arial"/>
                <w:color w:val="000000"/>
                <w:sz w:val="14"/>
                <w:szCs w:val="14"/>
              </w:rPr>
              <w:t>358 </w:t>
            </w:r>
          </w:p>
        </w:tc>
        <w:tc>
          <w:tcPr>
            <w:tcW w:w="0" w:type="auto"/>
            <w:shd w:val="clear" w:color="auto" w:fill="CCEEFF"/>
            <w:tcMar>
              <w:top w:w="40" w:type="dxa"/>
              <w:left w:w="0" w:type="dxa"/>
              <w:bottom w:w="40" w:type="dxa"/>
              <w:right w:w="20" w:type="dxa"/>
            </w:tcMar>
            <w:vAlign w:val="bottom"/>
          </w:tcPr>
          <w:p w14:paraId="74DD7BB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BBF" w14:textId="77777777" w:rsidR="00584EC1" w:rsidRDefault="00584EC1">
            <w:pPr>
              <w:rPr>
                <w:rFonts w:ascii="宋体"/>
              </w:rPr>
            </w:pPr>
          </w:p>
        </w:tc>
        <w:tc>
          <w:tcPr>
            <w:tcW w:w="0" w:type="auto"/>
            <w:gridSpan w:val="3"/>
            <w:shd w:val="clear" w:color="auto" w:fill="auto"/>
            <w:vAlign w:val="bottom"/>
          </w:tcPr>
          <w:p w14:paraId="74DD7BC0" w14:textId="77777777" w:rsidR="00584EC1" w:rsidRDefault="00584EC1">
            <w:pPr>
              <w:rPr>
                <w:rFonts w:ascii="宋体"/>
                <w:vanish/>
              </w:rPr>
            </w:pPr>
          </w:p>
        </w:tc>
        <w:tc>
          <w:tcPr>
            <w:tcW w:w="0" w:type="auto"/>
            <w:gridSpan w:val="3"/>
            <w:shd w:val="clear" w:color="auto" w:fill="auto"/>
            <w:vAlign w:val="bottom"/>
          </w:tcPr>
          <w:p w14:paraId="74DD7BC1" w14:textId="77777777" w:rsidR="00584EC1" w:rsidRDefault="00584EC1">
            <w:pPr>
              <w:rPr>
                <w:rFonts w:ascii="宋体"/>
                <w:vanish/>
              </w:rPr>
            </w:pPr>
          </w:p>
        </w:tc>
        <w:tc>
          <w:tcPr>
            <w:tcW w:w="0" w:type="auto"/>
            <w:gridSpan w:val="2"/>
            <w:shd w:val="clear" w:color="auto" w:fill="CCEEFF"/>
            <w:tcMar>
              <w:top w:w="40" w:type="dxa"/>
              <w:left w:w="20" w:type="dxa"/>
              <w:bottom w:w="40" w:type="dxa"/>
              <w:right w:w="0" w:type="dxa"/>
            </w:tcMar>
            <w:vAlign w:val="bottom"/>
          </w:tcPr>
          <w:p w14:paraId="74DD7BC2" w14:textId="77777777" w:rsidR="00584EC1" w:rsidRDefault="00871F8D">
            <w:pPr>
              <w:jc w:val="right"/>
              <w:textAlignment w:val="bottom"/>
            </w:pPr>
            <w:r>
              <w:rPr>
                <w:rFonts w:ascii="Arial" w:eastAsia="宋体" w:hAnsi="Arial" w:cs="Arial"/>
                <w:color w:val="000000"/>
                <w:sz w:val="14"/>
                <w:szCs w:val="14"/>
              </w:rPr>
              <w:t>(5)</w:t>
            </w:r>
          </w:p>
        </w:tc>
        <w:tc>
          <w:tcPr>
            <w:tcW w:w="0" w:type="auto"/>
            <w:shd w:val="clear" w:color="auto" w:fill="CCEEFF"/>
            <w:tcMar>
              <w:top w:w="40" w:type="dxa"/>
              <w:left w:w="0" w:type="dxa"/>
              <w:bottom w:w="40" w:type="dxa"/>
              <w:right w:w="20" w:type="dxa"/>
            </w:tcMar>
            <w:vAlign w:val="bottom"/>
          </w:tcPr>
          <w:p w14:paraId="74DD7BC3" w14:textId="77777777" w:rsidR="00584EC1" w:rsidRDefault="00584EC1">
            <w:pPr>
              <w:jc w:val="right"/>
              <w:rPr>
                <w:rFonts w:ascii="宋体"/>
              </w:rPr>
            </w:pPr>
          </w:p>
        </w:tc>
        <w:tc>
          <w:tcPr>
            <w:tcW w:w="0" w:type="auto"/>
            <w:gridSpan w:val="3"/>
            <w:shd w:val="clear" w:color="auto" w:fill="auto"/>
            <w:vAlign w:val="bottom"/>
          </w:tcPr>
          <w:p w14:paraId="74DD7BC4" w14:textId="77777777" w:rsidR="00584EC1" w:rsidRDefault="00584EC1">
            <w:pPr>
              <w:rPr>
                <w:rFonts w:ascii="宋体"/>
                <w:vanish/>
              </w:rPr>
            </w:pPr>
          </w:p>
        </w:tc>
        <w:tc>
          <w:tcPr>
            <w:tcW w:w="0" w:type="auto"/>
            <w:gridSpan w:val="3"/>
            <w:shd w:val="clear" w:color="auto" w:fill="auto"/>
            <w:vAlign w:val="bottom"/>
          </w:tcPr>
          <w:p w14:paraId="74DD7BC5" w14:textId="77777777" w:rsidR="00584EC1" w:rsidRDefault="00584EC1">
            <w:pPr>
              <w:rPr>
                <w:rFonts w:ascii="宋体"/>
                <w:vanish/>
              </w:rPr>
            </w:pPr>
          </w:p>
        </w:tc>
      </w:tr>
      <w:tr w:rsidR="00584EC1" w14:paraId="74DD7BDC" w14:textId="77777777">
        <w:tc>
          <w:tcPr>
            <w:tcW w:w="0" w:type="auto"/>
            <w:gridSpan w:val="3"/>
            <w:shd w:val="clear" w:color="auto" w:fill="FFFFFF"/>
            <w:tcMar>
              <w:top w:w="40" w:type="dxa"/>
              <w:left w:w="20" w:type="dxa"/>
              <w:bottom w:w="40" w:type="dxa"/>
              <w:right w:w="20" w:type="dxa"/>
            </w:tcMar>
            <w:vAlign w:val="bottom"/>
          </w:tcPr>
          <w:p w14:paraId="74DD7BC7" w14:textId="77777777" w:rsidR="00584EC1" w:rsidRDefault="00871F8D">
            <w:pPr>
              <w:textAlignment w:val="bottom"/>
            </w:pPr>
            <w:r>
              <w:rPr>
                <w:rFonts w:ascii="Arial" w:eastAsia="宋体" w:hAnsi="Arial" w:cs="Arial"/>
                <w:b/>
                <w:bCs/>
                <w:color w:val="000000"/>
                <w:sz w:val="14"/>
                <w:szCs w:val="14"/>
              </w:rPr>
              <w:t>Income before income tax expense</w:t>
            </w:r>
          </w:p>
        </w:tc>
        <w:tc>
          <w:tcPr>
            <w:tcW w:w="0" w:type="auto"/>
            <w:shd w:val="clear" w:color="auto" w:fill="auto"/>
            <w:vAlign w:val="bottom"/>
          </w:tcPr>
          <w:p w14:paraId="74DD7BC8" w14:textId="77777777" w:rsidR="00584EC1" w:rsidRDefault="00584EC1">
            <w:pPr>
              <w:rPr>
                <w:rFonts w:ascii="宋体"/>
                <w:vanish/>
              </w:rPr>
            </w:pPr>
          </w:p>
        </w:tc>
        <w:tc>
          <w:tcPr>
            <w:tcW w:w="0" w:type="auto"/>
            <w:shd w:val="clear" w:color="auto" w:fill="auto"/>
            <w:vAlign w:val="bottom"/>
          </w:tcPr>
          <w:p w14:paraId="74DD7BC9" w14:textId="77777777" w:rsidR="00584EC1" w:rsidRDefault="00584EC1">
            <w:pPr>
              <w:rPr>
                <w:rFonts w:ascii="宋体"/>
                <w:vanish/>
              </w:rPr>
            </w:pPr>
          </w:p>
        </w:tc>
        <w:tc>
          <w:tcPr>
            <w:tcW w:w="0" w:type="auto"/>
            <w:shd w:val="clear" w:color="auto" w:fill="auto"/>
            <w:vAlign w:val="bottom"/>
          </w:tcPr>
          <w:p w14:paraId="74DD7BCA" w14:textId="77777777" w:rsidR="00584EC1" w:rsidRDefault="00584EC1">
            <w:pPr>
              <w:rPr>
                <w:rFonts w:ascii="宋体"/>
                <w:vanish/>
              </w:rPr>
            </w:pPr>
          </w:p>
        </w:tc>
        <w:tc>
          <w:tcPr>
            <w:tcW w:w="0" w:type="auto"/>
            <w:shd w:val="clear" w:color="auto" w:fill="auto"/>
            <w:vAlign w:val="bottom"/>
          </w:tcPr>
          <w:p w14:paraId="74DD7BCB" w14:textId="77777777" w:rsidR="00584EC1" w:rsidRDefault="00584EC1">
            <w:pPr>
              <w:rPr>
                <w:rFonts w:ascii="宋体"/>
                <w:vanish/>
              </w:rPr>
            </w:pPr>
          </w:p>
        </w:tc>
        <w:tc>
          <w:tcPr>
            <w:tcW w:w="0" w:type="auto"/>
            <w:shd w:val="clear" w:color="auto" w:fill="auto"/>
            <w:vAlign w:val="bottom"/>
          </w:tcPr>
          <w:p w14:paraId="74DD7BCC" w14:textId="77777777" w:rsidR="00584EC1" w:rsidRDefault="00584EC1">
            <w:pPr>
              <w:rPr>
                <w:rFonts w:ascii="宋体"/>
                <w:vanish/>
              </w:rPr>
            </w:pPr>
          </w:p>
        </w:tc>
        <w:tc>
          <w:tcPr>
            <w:tcW w:w="0" w:type="auto"/>
            <w:shd w:val="clear" w:color="auto" w:fill="auto"/>
            <w:vAlign w:val="bottom"/>
          </w:tcPr>
          <w:p w14:paraId="74DD7BCD" w14:textId="77777777" w:rsidR="00584EC1" w:rsidRDefault="00584EC1">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7BCE"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7BCF" w14:textId="77777777" w:rsidR="00584EC1" w:rsidRDefault="00871F8D">
            <w:pPr>
              <w:jc w:val="right"/>
              <w:textAlignment w:val="bottom"/>
            </w:pPr>
            <w:r>
              <w:rPr>
                <w:rFonts w:ascii="Arial" w:eastAsia="宋体" w:hAnsi="Arial" w:cs="Arial"/>
                <w:b/>
                <w:bCs/>
                <w:color w:val="000000"/>
                <w:sz w:val="14"/>
                <w:szCs w:val="14"/>
              </w:rPr>
              <w:t>193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7BD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BD1"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7BD2"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7BD3" w14:textId="77777777" w:rsidR="00584EC1" w:rsidRDefault="00871F8D">
            <w:pPr>
              <w:jc w:val="right"/>
              <w:textAlignment w:val="bottom"/>
            </w:pPr>
            <w:r>
              <w:rPr>
                <w:rFonts w:ascii="Arial" w:eastAsia="宋体" w:hAnsi="Arial" w:cs="Arial"/>
                <w:color w:val="000000"/>
                <w:sz w:val="14"/>
                <w:szCs w:val="14"/>
              </w:rPr>
              <w:t>148 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7BD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BD5" w14:textId="77777777" w:rsidR="00584EC1" w:rsidRDefault="00584EC1">
            <w:pPr>
              <w:rPr>
                <w:rFonts w:ascii="宋体"/>
              </w:rPr>
            </w:pPr>
          </w:p>
        </w:tc>
        <w:tc>
          <w:tcPr>
            <w:tcW w:w="0" w:type="auto"/>
            <w:gridSpan w:val="3"/>
            <w:shd w:val="clear" w:color="auto" w:fill="auto"/>
            <w:vAlign w:val="bottom"/>
          </w:tcPr>
          <w:p w14:paraId="74DD7BD6" w14:textId="77777777" w:rsidR="00584EC1" w:rsidRDefault="00584EC1">
            <w:pPr>
              <w:rPr>
                <w:rFonts w:ascii="宋体"/>
                <w:vanish/>
              </w:rPr>
            </w:pPr>
          </w:p>
        </w:tc>
        <w:tc>
          <w:tcPr>
            <w:tcW w:w="0" w:type="auto"/>
            <w:gridSpan w:val="3"/>
            <w:shd w:val="clear" w:color="auto" w:fill="auto"/>
            <w:vAlign w:val="bottom"/>
          </w:tcPr>
          <w:p w14:paraId="74DD7BD7"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D7BD8" w14:textId="77777777" w:rsidR="00584EC1" w:rsidRDefault="00871F8D">
            <w:pPr>
              <w:jc w:val="right"/>
              <w:textAlignment w:val="bottom"/>
            </w:pPr>
            <w:r>
              <w:rPr>
                <w:rFonts w:ascii="Arial" w:eastAsia="宋体" w:hAnsi="Arial" w:cs="Arial"/>
                <w:color w:val="000000"/>
                <w:sz w:val="14"/>
                <w:szCs w:val="14"/>
              </w:rPr>
              <w:t>30 </w:t>
            </w:r>
          </w:p>
        </w:tc>
        <w:tc>
          <w:tcPr>
            <w:tcW w:w="0" w:type="auto"/>
            <w:shd w:val="clear" w:color="auto" w:fill="FFFFFF"/>
            <w:tcMar>
              <w:top w:w="40" w:type="dxa"/>
              <w:left w:w="0" w:type="dxa"/>
              <w:bottom w:w="40" w:type="dxa"/>
              <w:right w:w="20" w:type="dxa"/>
            </w:tcMar>
            <w:vAlign w:val="bottom"/>
          </w:tcPr>
          <w:p w14:paraId="74DD7BD9" w14:textId="77777777" w:rsidR="00584EC1" w:rsidRDefault="00584EC1">
            <w:pPr>
              <w:jc w:val="right"/>
              <w:rPr>
                <w:rFonts w:ascii="宋体"/>
              </w:rPr>
            </w:pPr>
          </w:p>
        </w:tc>
        <w:tc>
          <w:tcPr>
            <w:tcW w:w="0" w:type="auto"/>
            <w:gridSpan w:val="3"/>
            <w:shd w:val="clear" w:color="auto" w:fill="auto"/>
            <w:vAlign w:val="bottom"/>
          </w:tcPr>
          <w:p w14:paraId="74DD7BDA" w14:textId="77777777" w:rsidR="00584EC1" w:rsidRDefault="00584EC1">
            <w:pPr>
              <w:rPr>
                <w:rFonts w:ascii="宋体"/>
                <w:vanish/>
              </w:rPr>
            </w:pPr>
          </w:p>
        </w:tc>
        <w:tc>
          <w:tcPr>
            <w:tcW w:w="0" w:type="auto"/>
            <w:gridSpan w:val="3"/>
            <w:shd w:val="clear" w:color="auto" w:fill="auto"/>
            <w:vAlign w:val="bottom"/>
          </w:tcPr>
          <w:p w14:paraId="74DD7BDB" w14:textId="77777777" w:rsidR="00584EC1" w:rsidRDefault="00584EC1">
            <w:pPr>
              <w:rPr>
                <w:rFonts w:ascii="宋体"/>
                <w:vanish/>
              </w:rPr>
            </w:pPr>
          </w:p>
        </w:tc>
      </w:tr>
      <w:tr w:rsidR="00584EC1" w14:paraId="74DD7BEF" w14:textId="77777777">
        <w:tc>
          <w:tcPr>
            <w:tcW w:w="0" w:type="auto"/>
            <w:gridSpan w:val="3"/>
            <w:shd w:val="clear" w:color="auto" w:fill="CCEEFF"/>
            <w:tcMar>
              <w:top w:w="40" w:type="dxa"/>
              <w:left w:w="20" w:type="dxa"/>
              <w:bottom w:w="40" w:type="dxa"/>
              <w:right w:w="20" w:type="dxa"/>
            </w:tcMar>
            <w:vAlign w:val="bottom"/>
          </w:tcPr>
          <w:p w14:paraId="74DD7BDD" w14:textId="77777777" w:rsidR="00584EC1" w:rsidRDefault="00871F8D">
            <w:pPr>
              <w:textAlignment w:val="bottom"/>
            </w:pPr>
            <w:r>
              <w:rPr>
                <w:rFonts w:ascii="Arial" w:eastAsia="宋体" w:hAnsi="Arial" w:cs="Arial"/>
                <w:color w:val="000000"/>
                <w:sz w:val="14"/>
                <w:szCs w:val="14"/>
              </w:rPr>
              <w:t>Pre-tax margin</w:t>
            </w:r>
          </w:p>
        </w:tc>
        <w:tc>
          <w:tcPr>
            <w:tcW w:w="0" w:type="auto"/>
            <w:shd w:val="clear" w:color="auto" w:fill="auto"/>
            <w:vAlign w:val="bottom"/>
          </w:tcPr>
          <w:p w14:paraId="74DD7BDE" w14:textId="77777777" w:rsidR="00584EC1" w:rsidRDefault="00584EC1">
            <w:pPr>
              <w:rPr>
                <w:rFonts w:ascii="宋体"/>
                <w:vanish/>
              </w:rPr>
            </w:pPr>
          </w:p>
        </w:tc>
        <w:tc>
          <w:tcPr>
            <w:tcW w:w="0" w:type="auto"/>
            <w:shd w:val="clear" w:color="auto" w:fill="auto"/>
            <w:vAlign w:val="bottom"/>
          </w:tcPr>
          <w:p w14:paraId="74DD7BDF" w14:textId="77777777" w:rsidR="00584EC1" w:rsidRDefault="00584EC1">
            <w:pPr>
              <w:rPr>
                <w:rFonts w:ascii="宋体"/>
                <w:vanish/>
              </w:rPr>
            </w:pPr>
          </w:p>
        </w:tc>
        <w:tc>
          <w:tcPr>
            <w:tcW w:w="0" w:type="auto"/>
            <w:shd w:val="clear" w:color="auto" w:fill="auto"/>
            <w:vAlign w:val="bottom"/>
          </w:tcPr>
          <w:p w14:paraId="74DD7BE0" w14:textId="77777777" w:rsidR="00584EC1" w:rsidRDefault="00584EC1">
            <w:pPr>
              <w:rPr>
                <w:rFonts w:ascii="宋体"/>
                <w:vanish/>
              </w:rPr>
            </w:pPr>
          </w:p>
        </w:tc>
        <w:tc>
          <w:tcPr>
            <w:tcW w:w="0" w:type="auto"/>
            <w:shd w:val="clear" w:color="auto" w:fill="auto"/>
            <w:vAlign w:val="bottom"/>
          </w:tcPr>
          <w:p w14:paraId="74DD7BE1" w14:textId="77777777" w:rsidR="00584EC1" w:rsidRDefault="00584EC1">
            <w:pPr>
              <w:rPr>
                <w:rFonts w:ascii="宋体"/>
                <w:vanish/>
              </w:rPr>
            </w:pPr>
          </w:p>
        </w:tc>
        <w:tc>
          <w:tcPr>
            <w:tcW w:w="0" w:type="auto"/>
            <w:shd w:val="clear" w:color="auto" w:fill="auto"/>
            <w:vAlign w:val="bottom"/>
          </w:tcPr>
          <w:p w14:paraId="74DD7BE2" w14:textId="77777777" w:rsidR="00584EC1" w:rsidRDefault="00584EC1">
            <w:pPr>
              <w:rPr>
                <w:rFonts w:ascii="宋体"/>
                <w:vanish/>
              </w:rPr>
            </w:pPr>
          </w:p>
        </w:tc>
        <w:tc>
          <w:tcPr>
            <w:tcW w:w="0" w:type="auto"/>
            <w:shd w:val="clear" w:color="auto" w:fill="auto"/>
            <w:vAlign w:val="bottom"/>
          </w:tcPr>
          <w:p w14:paraId="74DD7BE3" w14:textId="77777777" w:rsidR="00584EC1" w:rsidRDefault="00584EC1">
            <w:pPr>
              <w:rPr>
                <w:rFonts w:ascii="宋体"/>
                <w:vanish/>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74DD7BE4" w14:textId="77777777" w:rsidR="00584EC1" w:rsidRDefault="00871F8D">
            <w:pPr>
              <w:jc w:val="right"/>
              <w:textAlignment w:val="bottom"/>
            </w:pPr>
            <w:r>
              <w:rPr>
                <w:rFonts w:ascii="Arial" w:eastAsia="宋体" w:hAnsi="Arial" w:cs="Arial"/>
                <w:b/>
                <w:bCs/>
                <w:color w:val="000000"/>
                <w:sz w:val="14"/>
                <w:szCs w:val="14"/>
              </w:rPr>
              <w:t>36</w:t>
            </w:r>
            <w:r>
              <w:rPr>
                <w:rFonts w:ascii="Arial" w:eastAsia="宋体" w:hAnsi="Arial" w:cs="Arial"/>
                <w:color w:val="000000"/>
                <w:sz w:val="14"/>
                <w:szCs w:val="14"/>
              </w:rPr>
              <w:t> </w:t>
            </w:r>
          </w:p>
        </w:tc>
        <w:tc>
          <w:tcPr>
            <w:tcW w:w="0" w:type="auto"/>
            <w:tcBorders>
              <w:top w:val="double" w:sz="6" w:space="0" w:color="000000"/>
            </w:tcBorders>
            <w:shd w:val="clear" w:color="auto" w:fill="CCEEFF"/>
            <w:tcMar>
              <w:top w:w="40" w:type="dxa"/>
              <w:left w:w="0" w:type="dxa"/>
              <w:bottom w:w="40" w:type="dxa"/>
              <w:right w:w="20" w:type="dxa"/>
            </w:tcMar>
            <w:vAlign w:val="bottom"/>
          </w:tcPr>
          <w:p w14:paraId="74DD7BE5" w14:textId="77777777" w:rsidR="00584EC1" w:rsidRDefault="00871F8D">
            <w:pPr>
              <w:jc w:val="right"/>
              <w:textAlignment w:val="bottom"/>
            </w:pPr>
            <w:r>
              <w:rPr>
                <w:rFonts w:ascii="Arial" w:eastAsia="宋体" w:hAnsi="Arial" w:cs="Arial"/>
                <w:b/>
                <w:bCs/>
                <w:color w:val="000000"/>
                <w:sz w:val="14"/>
                <w:szCs w:val="14"/>
              </w:rPr>
              <w:t>%</w:t>
            </w:r>
          </w:p>
        </w:tc>
        <w:tc>
          <w:tcPr>
            <w:tcW w:w="0" w:type="auto"/>
            <w:gridSpan w:val="3"/>
            <w:shd w:val="clear" w:color="auto" w:fill="CCEEFF"/>
            <w:tcMar>
              <w:top w:w="0" w:type="dxa"/>
              <w:left w:w="20" w:type="dxa"/>
              <w:bottom w:w="0" w:type="dxa"/>
              <w:right w:w="20" w:type="dxa"/>
            </w:tcMar>
            <w:vAlign w:val="bottom"/>
          </w:tcPr>
          <w:p w14:paraId="74DD7BE6" w14:textId="77777777" w:rsidR="00584EC1" w:rsidRDefault="00584EC1">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74DD7BE7" w14:textId="77777777" w:rsidR="00584EC1" w:rsidRDefault="00871F8D">
            <w:pPr>
              <w:jc w:val="right"/>
              <w:textAlignment w:val="bottom"/>
            </w:pPr>
            <w:r>
              <w:rPr>
                <w:rFonts w:ascii="Arial" w:eastAsia="宋体" w:hAnsi="Arial" w:cs="Arial"/>
                <w:color w:val="000000"/>
                <w:sz w:val="14"/>
                <w:szCs w:val="14"/>
              </w:rPr>
              <w:t>29 </w:t>
            </w:r>
          </w:p>
        </w:tc>
        <w:tc>
          <w:tcPr>
            <w:tcW w:w="0" w:type="auto"/>
            <w:tcBorders>
              <w:top w:val="double" w:sz="6" w:space="0" w:color="000000"/>
            </w:tcBorders>
            <w:shd w:val="clear" w:color="auto" w:fill="CCEEFF"/>
            <w:tcMar>
              <w:top w:w="40" w:type="dxa"/>
              <w:left w:w="0" w:type="dxa"/>
              <w:bottom w:w="40" w:type="dxa"/>
              <w:right w:w="20" w:type="dxa"/>
            </w:tcMar>
            <w:vAlign w:val="bottom"/>
          </w:tcPr>
          <w:p w14:paraId="74DD7BE8" w14:textId="77777777" w:rsidR="00584EC1" w:rsidRDefault="00871F8D">
            <w:pPr>
              <w:jc w:val="right"/>
              <w:textAlignment w:val="bottom"/>
            </w:pPr>
            <w:r>
              <w:rPr>
                <w:rFonts w:ascii="Arial" w:eastAsia="宋体" w:hAnsi="Arial" w:cs="Arial"/>
                <w:color w:val="000000"/>
                <w:sz w:val="14"/>
                <w:szCs w:val="14"/>
              </w:rPr>
              <w:t>%</w:t>
            </w:r>
          </w:p>
        </w:tc>
        <w:tc>
          <w:tcPr>
            <w:tcW w:w="0" w:type="auto"/>
            <w:gridSpan w:val="3"/>
            <w:shd w:val="clear" w:color="auto" w:fill="CCEEFF"/>
            <w:tcMar>
              <w:top w:w="0" w:type="dxa"/>
              <w:left w:w="20" w:type="dxa"/>
              <w:bottom w:w="0" w:type="dxa"/>
              <w:right w:w="20" w:type="dxa"/>
            </w:tcMar>
            <w:vAlign w:val="bottom"/>
          </w:tcPr>
          <w:p w14:paraId="74DD7BE9" w14:textId="77777777" w:rsidR="00584EC1" w:rsidRDefault="00584EC1">
            <w:pPr>
              <w:rPr>
                <w:rFonts w:ascii="宋体"/>
              </w:rPr>
            </w:pPr>
          </w:p>
        </w:tc>
        <w:tc>
          <w:tcPr>
            <w:tcW w:w="0" w:type="auto"/>
            <w:gridSpan w:val="3"/>
            <w:shd w:val="clear" w:color="auto" w:fill="auto"/>
            <w:vAlign w:val="bottom"/>
          </w:tcPr>
          <w:p w14:paraId="74DD7BEA" w14:textId="77777777" w:rsidR="00584EC1" w:rsidRDefault="00584EC1">
            <w:pPr>
              <w:rPr>
                <w:rFonts w:ascii="宋体"/>
                <w:vanish/>
              </w:rPr>
            </w:pPr>
          </w:p>
        </w:tc>
        <w:tc>
          <w:tcPr>
            <w:tcW w:w="0" w:type="auto"/>
            <w:gridSpan w:val="3"/>
            <w:shd w:val="clear" w:color="auto" w:fill="auto"/>
            <w:vAlign w:val="bottom"/>
          </w:tcPr>
          <w:p w14:paraId="74DD7BEB" w14:textId="77777777" w:rsidR="00584EC1" w:rsidRDefault="00584EC1">
            <w:pPr>
              <w:rPr>
                <w:rFonts w:ascii="宋体"/>
                <w:vanish/>
              </w:rPr>
            </w:pPr>
          </w:p>
        </w:tc>
        <w:tc>
          <w:tcPr>
            <w:tcW w:w="0" w:type="auto"/>
            <w:gridSpan w:val="3"/>
            <w:shd w:val="clear" w:color="auto" w:fill="CCEEFF"/>
            <w:tcMar>
              <w:top w:w="0" w:type="dxa"/>
              <w:left w:w="20" w:type="dxa"/>
              <w:bottom w:w="0" w:type="dxa"/>
              <w:right w:w="20" w:type="dxa"/>
            </w:tcMar>
            <w:vAlign w:val="bottom"/>
          </w:tcPr>
          <w:p w14:paraId="74DD7BEC" w14:textId="77777777" w:rsidR="00584EC1" w:rsidRDefault="00584EC1">
            <w:pPr>
              <w:rPr>
                <w:rFonts w:ascii="宋体"/>
              </w:rPr>
            </w:pPr>
          </w:p>
        </w:tc>
        <w:tc>
          <w:tcPr>
            <w:tcW w:w="0" w:type="auto"/>
            <w:gridSpan w:val="3"/>
            <w:shd w:val="clear" w:color="auto" w:fill="auto"/>
            <w:vAlign w:val="bottom"/>
          </w:tcPr>
          <w:p w14:paraId="74DD7BED" w14:textId="77777777" w:rsidR="00584EC1" w:rsidRDefault="00584EC1">
            <w:pPr>
              <w:rPr>
                <w:rFonts w:ascii="宋体"/>
                <w:vanish/>
              </w:rPr>
            </w:pPr>
          </w:p>
        </w:tc>
        <w:tc>
          <w:tcPr>
            <w:tcW w:w="0" w:type="auto"/>
            <w:gridSpan w:val="3"/>
            <w:shd w:val="clear" w:color="auto" w:fill="auto"/>
            <w:vAlign w:val="bottom"/>
          </w:tcPr>
          <w:p w14:paraId="74DD7BEE" w14:textId="77777777" w:rsidR="00584EC1" w:rsidRDefault="00584EC1">
            <w:pPr>
              <w:rPr>
                <w:rFonts w:ascii="宋体"/>
                <w:vanish/>
              </w:rPr>
            </w:pPr>
          </w:p>
        </w:tc>
      </w:tr>
      <w:tr w:rsidR="00584EC1" w14:paraId="74DD7C00" w14:textId="77777777">
        <w:trPr>
          <w:hidden/>
        </w:trPr>
        <w:tc>
          <w:tcPr>
            <w:tcW w:w="0" w:type="auto"/>
            <w:gridSpan w:val="3"/>
            <w:shd w:val="clear" w:color="auto" w:fill="auto"/>
            <w:vAlign w:val="bottom"/>
          </w:tcPr>
          <w:p w14:paraId="74DD7BF0" w14:textId="77777777" w:rsidR="00584EC1" w:rsidRDefault="00584EC1">
            <w:pPr>
              <w:rPr>
                <w:rFonts w:ascii="宋体"/>
                <w:vanish/>
              </w:rPr>
            </w:pPr>
          </w:p>
        </w:tc>
        <w:tc>
          <w:tcPr>
            <w:tcW w:w="0" w:type="auto"/>
            <w:shd w:val="clear" w:color="auto" w:fill="auto"/>
            <w:vAlign w:val="bottom"/>
          </w:tcPr>
          <w:p w14:paraId="74DD7BF1" w14:textId="77777777" w:rsidR="00584EC1" w:rsidRDefault="00584EC1">
            <w:pPr>
              <w:rPr>
                <w:rFonts w:ascii="宋体"/>
                <w:vanish/>
              </w:rPr>
            </w:pPr>
          </w:p>
        </w:tc>
        <w:tc>
          <w:tcPr>
            <w:tcW w:w="0" w:type="auto"/>
            <w:shd w:val="clear" w:color="auto" w:fill="auto"/>
            <w:vAlign w:val="bottom"/>
          </w:tcPr>
          <w:p w14:paraId="74DD7BF2" w14:textId="77777777" w:rsidR="00584EC1" w:rsidRDefault="00584EC1">
            <w:pPr>
              <w:rPr>
                <w:rFonts w:ascii="宋体"/>
                <w:vanish/>
              </w:rPr>
            </w:pPr>
          </w:p>
        </w:tc>
        <w:tc>
          <w:tcPr>
            <w:tcW w:w="0" w:type="auto"/>
            <w:shd w:val="clear" w:color="auto" w:fill="auto"/>
            <w:vAlign w:val="bottom"/>
          </w:tcPr>
          <w:p w14:paraId="74DD7BF3" w14:textId="77777777" w:rsidR="00584EC1" w:rsidRDefault="00584EC1">
            <w:pPr>
              <w:rPr>
                <w:rFonts w:ascii="宋体"/>
                <w:vanish/>
              </w:rPr>
            </w:pPr>
          </w:p>
        </w:tc>
        <w:tc>
          <w:tcPr>
            <w:tcW w:w="0" w:type="auto"/>
            <w:shd w:val="clear" w:color="auto" w:fill="auto"/>
            <w:vAlign w:val="bottom"/>
          </w:tcPr>
          <w:p w14:paraId="74DD7BF4" w14:textId="77777777" w:rsidR="00584EC1" w:rsidRDefault="00584EC1">
            <w:pPr>
              <w:rPr>
                <w:rFonts w:ascii="宋体"/>
                <w:vanish/>
              </w:rPr>
            </w:pPr>
          </w:p>
        </w:tc>
        <w:tc>
          <w:tcPr>
            <w:tcW w:w="0" w:type="auto"/>
            <w:shd w:val="clear" w:color="auto" w:fill="auto"/>
            <w:vAlign w:val="bottom"/>
          </w:tcPr>
          <w:p w14:paraId="74DD7BF5" w14:textId="77777777" w:rsidR="00584EC1" w:rsidRDefault="00584EC1">
            <w:pPr>
              <w:rPr>
                <w:rFonts w:ascii="宋体"/>
                <w:vanish/>
              </w:rPr>
            </w:pPr>
          </w:p>
        </w:tc>
        <w:tc>
          <w:tcPr>
            <w:tcW w:w="0" w:type="auto"/>
            <w:shd w:val="clear" w:color="auto" w:fill="auto"/>
            <w:vAlign w:val="bottom"/>
          </w:tcPr>
          <w:p w14:paraId="74DD7BF6" w14:textId="77777777" w:rsidR="00584EC1" w:rsidRDefault="00584EC1">
            <w:pPr>
              <w:rPr>
                <w:rFonts w:ascii="宋体"/>
                <w:vanish/>
              </w:rPr>
            </w:pPr>
          </w:p>
        </w:tc>
        <w:tc>
          <w:tcPr>
            <w:tcW w:w="0" w:type="auto"/>
            <w:gridSpan w:val="3"/>
            <w:shd w:val="clear" w:color="auto" w:fill="auto"/>
            <w:vAlign w:val="bottom"/>
          </w:tcPr>
          <w:p w14:paraId="74DD7BF7" w14:textId="77777777" w:rsidR="00584EC1" w:rsidRDefault="00584EC1">
            <w:pPr>
              <w:rPr>
                <w:rFonts w:ascii="宋体"/>
                <w:vanish/>
              </w:rPr>
            </w:pPr>
          </w:p>
        </w:tc>
        <w:tc>
          <w:tcPr>
            <w:tcW w:w="0" w:type="auto"/>
            <w:gridSpan w:val="3"/>
            <w:shd w:val="clear" w:color="auto" w:fill="auto"/>
            <w:vAlign w:val="bottom"/>
          </w:tcPr>
          <w:p w14:paraId="74DD7BF8" w14:textId="77777777" w:rsidR="00584EC1" w:rsidRDefault="00584EC1">
            <w:pPr>
              <w:rPr>
                <w:rFonts w:ascii="宋体"/>
                <w:vanish/>
              </w:rPr>
            </w:pPr>
          </w:p>
        </w:tc>
        <w:tc>
          <w:tcPr>
            <w:tcW w:w="0" w:type="auto"/>
            <w:gridSpan w:val="3"/>
            <w:shd w:val="clear" w:color="auto" w:fill="auto"/>
            <w:vAlign w:val="bottom"/>
          </w:tcPr>
          <w:p w14:paraId="74DD7BF9" w14:textId="77777777" w:rsidR="00584EC1" w:rsidRDefault="00584EC1">
            <w:pPr>
              <w:rPr>
                <w:rFonts w:ascii="宋体"/>
                <w:vanish/>
              </w:rPr>
            </w:pPr>
          </w:p>
        </w:tc>
        <w:tc>
          <w:tcPr>
            <w:tcW w:w="0" w:type="auto"/>
            <w:gridSpan w:val="3"/>
            <w:shd w:val="clear" w:color="auto" w:fill="auto"/>
            <w:vAlign w:val="bottom"/>
          </w:tcPr>
          <w:p w14:paraId="74DD7BFA" w14:textId="77777777" w:rsidR="00584EC1" w:rsidRDefault="00584EC1">
            <w:pPr>
              <w:rPr>
                <w:rFonts w:ascii="宋体"/>
                <w:vanish/>
              </w:rPr>
            </w:pPr>
          </w:p>
        </w:tc>
        <w:tc>
          <w:tcPr>
            <w:tcW w:w="0" w:type="auto"/>
            <w:gridSpan w:val="3"/>
            <w:shd w:val="clear" w:color="auto" w:fill="auto"/>
            <w:vAlign w:val="bottom"/>
          </w:tcPr>
          <w:p w14:paraId="74DD7BFB" w14:textId="77777777" w:rsidR="00584EC1" w:rsidRDefault="00584EC1">
            <w:pPr>
              <w:rPr>
                <w:rFonts w:ascii="宋体"/>
                <w:vanish/>
              </w:rPr>
            </w:pPr>
          </w:p>
        </w:tc>
        <w:tc>
          <w:tcPr>
            <w:tcW w:w="0" w:type="auto"/>
            <w:gridSpan w:val="3"/>
            <w:shd w:val="clear" w:color="auto" w:fill="auto"/>
            <w:vAlign w:val="bottom"/>
          </w:tcPr>
          <w:p w14:paraId="74DD7BFC" w14:textId="77777777" w:rsidR="00584EC1" w:rsidRDefault="00584EC1">
            <w:pPr>
              <w:rPr>
                <w:rFonts w:ascii="宋体"/>
                <w:vanish/>
              </w:rPr>
            </w:pPr>
          </w:p>
        </w:tc>
        <w:tc>
          <w:tcPr>
            <w:tcW w:w="0" w:type="auto"/>
            <w:gridSpan w:val="3"/>
            <w:shd w:val="clear" w:color="auto" w:fill="auto"/>
            <w:vAlign w:val="bottom"/>
          </w:tcPr>
          <w:p w14:paraId="74DD7BFD" w14:textId="77777777" w:rsidR="00584EC1" w:rsidRDefault="00584EC1">
            <w:pPr>
              <w:rPr>
                <w:rFonts w:ascii="宋体"/>
                <w:vanish/>
              </w:rPr>
            </w:pPr>
          </w:p>
        </w:tc>
        <w:tc>
          <w:tcPr>
            <w:tcW w:w="0" w:type="auto"/>
            <w:gridSpan w:val="3"/>
            <w:shd w:val="clear" w:color="auto" w:fill="auto"/>
            <w:vAlign w:val="bottom"/>
          </w:tcPr>
          <w:p w14:paraId="74DD7BFE" w14:textId="77777777" w:rsidR="00584EC1" w:rsidRDefault="00584EC1">
            <w:pPr>
              <w:rPr>
                <w:rFonts w:ascii="宋体"/>
                <w:vanish/>
              </w:rPr>
            </w:pPr>
          </w:p>
        </w:tc>
        <w:tc>
          <w:tcPr>
            <w:tcW w:w="0" w:type="auto"/>
            <w:gridSpan w:val="3"/>
            <w:shd w:val="clear" w:color="auto" w:fill="auto"/>
            <w:vAlign w:val="bottom"/>
          </w:tcPr>
          <w:p w14:paraId="74DD7BFF" w14:textId="77777777" w:rsidR="00584EC1" w:rsidRDefault="00584EC1">
            <w:pPr>
              <w:rPr>
                <w:rFonts w:ascii="宋体"/>
                <w:vanish/>
              </w:rPr>
            </w:pPr>
          </w:p>
        </w:tc>
      </w:tr>
      <w:tr w:rsidR="00584EC1" w14:paraId="74DD7C19" w14:textId="77777777">
        <w:trPr>
          <w:hidden/>
        </w:trPr>
        <w:tc>
          <w:tcPr>
            <w:tcW w:w="0" w:type="auto"/>
            <w:gridSpan w:val="3"/>
            <w:shd w:val="clear" w:color="auto" w:fill="auto"/>
            <w:vAlign w:val="bottom"/>
          </w:tcPr>
          <w:p w14:paraId="74DD7C01" w14:textId="77777777" w:rsidR="00584EC1" w:rsidRDefault="00584EC1">
            <w:pPr>
              <w:rPr>
                <w:rFonts w:ascii="宋体"/>
                <w:vanish/>
              </w:rPr>
            </w:pPr>
          </w:p>
        </w:tc>
        <w:tc>
          <w:tcPr>
            <w:tcW w:w="0" w:type="auto"/>
            <w:shd w:val="clear" w:color="auto" w:fill="auto"/>
            <w:vAlign w:val="bottom"/>
          </w:tcPr>
          <w:p w14:paraId="74DD7C02" w14:textId="77777777" w:rsidR="00584EC1" w:rsidRDefault="00584EC1">
            <w:pPr>
              <w:rPr>
                <w:rFonts w:ascii="宋体"/>
                <w:vanish/>
              </w:rPr>
            </w:pPr>
          </w:p>
        </w:tc>
        <w:tc>
          <w:tcPr>
            <w:tcW w:w="0" w:type="auto"/>
            <w:shd w:val="clear" w:color="auto" w:fill="auto"/>
            <w:vAlign w:val="bottom"/>
          </w:tcPr>
          <w:p w14:paraId="74DD7C03" w14:textId="77777777" w:rsidR="00584EC1" w:rsidRDefault="00584EC1">
            <w:pPr>
              <w:rPr>
                <w:rFonts w:ascii="宋体"/>
                <w:vanish/>
              </w:rPr>
            </w:pPr>
          </w:p>
        </w:tc>
        <w:tc>
          <w:tcPr>
            <w:tcW w:w="0" w:type="auto"/>
            <w:shd w:val="clear" w:color="auto" w:fill="auto"/>
            <w:vAlign w:val="bottom"/>
          </w:tcPr>
          <w:p w14:paraId="74DD7C04" w14:textId="77777777" w:rsidR="00584EC1" w:rsidRDefault="00584EC1">
            <w:pPr>
              <w:rPr>
                <w:rFonts w:ascii="宋体"/>
                <w:vanish/>
              </w:rPr>
            </w:pPr>
          </w:p>
        </w:tc>
        <w:tc>
          <w:tcPr>
            <w:tcW w:w="0" w:type="auto"/>
            <w:shd w:val="clear" w:color="auto" w:fill="auto"/>
            <w:vAlign w:val="bottom"/>
          </w:tcPr>
          <w:p w14:paraId="74DD7C05" w14:textId="77777777" w:rsidR="00584EC1" w:rsidRDefault="00584EC1">
            <w:pPr>
              <w:rPr>
                <w:rFonts w:ascii="宋体"/>
                <w:vanish/>
              </w:rPr>
            </w:pPr>
          </w:p>
        </w:tc>
        <w:tc>
          <w:tcPr>
            <w:tcW w:w="0" w:type="auto"/>
            <w:shd w:val="clear" w:color="auto" w:fill="auto"/>
            <w:vAlign w:val="bottom"/>
          </w:tcPr>
          <w:p w14:paraId="74DD7C06" w14:textId="77777777" w:rsidR="00584EC1" w:rsidRDefault="00584EC1">
            <w:pPr>
              <w:rPr>
                <w:rFonts w:ascii="宋体"/>
                <w:vanish/>
              </w:rPr>
            </w:pPr>
          </w:p>
        </w:tc>
        <w:tc>
          <w:tcPr>
            <w:tcW w:w="0" w:type="auto"/>
            <w:shd w:val="clear" w:color="auto" w:fill="auto"/>
            <w:vAlign w:val="bottom"/>
          </w:tcPr>
          <w:p w14:paraId="74DD7C07" w14:textId="77777777" w:rsidR="00584EC1" w:rsidRDefault="00584EC1">
            <w:pPr>
              <w:rPr>
                <w:rFonts w:ascii="宋体"/>
                <w:vanish/>
              </w:rPr>
            </w:pPr>
          </w:p>
        </w:tc>
        <w:tc>
          <w:tcPr>
            <w:tcW w:w="0" w:type="auto"/>
            <w:gridSpan w:val="3"/>
            <w:shd w:val="clear" w:color="auto" w:fill="auto"/>
            <w:vAlign w:val="bottom"/>
          </w:tcPr>
          <w:p w14:paraId="74DD7C08" w14:textId="77777777" w:rsidR="00584EC1" w:rsidRDefault="00584EC1">
            <w:pPr>
              <w:rPr>
                <w:rFonts w:ascii="宋体"/>
                <w:vanish/>
              </w:rPr>
            </w:pPr>
          </w:p>
        </w:tc>
        <w:tc>
          <w:tcPr>
            <w:tcW w:w="0" w:type="auto"/>
            <w:gridSpan w:val="3"/>
            <w:shd w:val="clear" w:color="auto" w:fill="auto"/>
            <w:vAlign w:val="bottom"/>
          </w:tcPr>
          <w:p w14:paraId="74DD7C09" w14:textId="77777777" w:rsidR="00584EC1" w:rsidRDefault="00584EC1">
            <w:pPr>
              <w:rPr>
                <w:rFonts w:ascii="宋体"/>
                <w:vanish/>
              </w:rPr>
            </w:pPr>
          </w:p>
        </w:tc>
        <w:tc>
          <w:tcPr>
            <w:tcW w:w="0" w:type="auto"/>
            <w:gridSpan w:val="3"/>
            <w:shd w:val="clear" w:color="auto" w:fill="auto"/>
            <w:vAlign w:val="bottom"/>
          </w:tcPr>
          <w:p w14:paraId="74DD7C0A" w14:textId="77777777" w:rsidR="00584EC1" w:rsidRDefault="00584EC1">
            <w:pPr>
              <w:rPr>
                <w:rFonts w:ascii="宋体"/>
                <w:vanish/>
              </w:rPr>
            </w:pPr>
          </w:p>
        </w:tc>
        <w:tc>
          <w:tcPr>
            <w:tcW w:w="0" w:type="auto"/>
            <w:gridSpan w:val="3"/>
            <w:shd w:val="clear" w:color="auto" w:fill="auto"/>
            <w:vAlign w:val="bottom"/>
          </w:tcPr>
          <w:p w14:paraId="74DD7C0B" w14:textId="77777777" w:rsidR="00584EC1" w:rsidRDefault="00584EC1">
            <w:pPr>
              <w:rPr>
                <w:rFonts w:ascii="宋体"/>
                <w:vanish/>
              </w:rPr>
            </w:pPr>
          </w:p>
        </w:tc>
        <w:tc>
          <w:tcPr>
            <w:tcW w:w="0" w:type="auto"/>
            <w:gridSpan w:val="3"/>
            <w:shd w:val="clear" w:color="auto" w:fill="auto"/>
            <w:vAlign w:val="bottom"/>
          </w:tcPr>
          <w:p w14:paraId="74DD7C0C" w14:textId="77777777" w:rsidR="00584EC1" w:rsidRDefault="00584EC1">
            <w:pPr>
              <w:rPr>
                <w:rFonts w:ascii="宋体"/>
                <w:vanish/>
              </w:rPr>
            </w:pPr>
          </w:p>
        </w:tc>
        <w:tc>
          <w:tcPr>
            <w:tcW w:w="0" w:type="auto"/>
            <w:shd w:val="clear" w:color="auto" w:fill="auto"/>
            <w:vAlign w:val="bottom"/>
          </w:tcPr>
          <w:p w14:paraId="74DD7C0D" w14:textId="77777777" w:rsidR="00584EC1" w:rsidRDefault="00584EC1">
            <w:pPr>
              <w:rPr>
                <w:rFonts w:ascii="宋体"/>
              </w:rPr>
            </w:pPr>
          </w:p>
        </w:tc>
        <w:tc>
          <w:tcPr>
            <w:tcW w:w="0" w:type="auto"/>
            <w:shd w:val="clear" w:color="auto" w:fill="auto"/>
            <w:vAlign w:val="bottom"/>
          </w:tcPr>
          <w:p w14:paraId="74DD7C0E" w14:textId="77777777" w:rsidR="00584EC1" w:rsidRDefault="00584EC1">
            <w:pPr>
              <w:rPr>
                <w:rFonts w:ascii="宋体"/>
              </w:rPr>
            </w:pPr>
          </w:p>
        </w:tc>
        <w:tc>
          <w:tcPr>
            <w:tcW w:w="0" w:type="auto"/>
            <w:shd w:val="clear" w:color="auto" w:fill="auto"/>
            <w:vAlign w:val="bottom"/>
          </w:tcPr>
          <w:p w14:paraId="74DD7C0F" w14:textId="77777777" w:rsidR="00584EC1" w:rsidRDefault="00584EC1">
            <w:pPr>
              <w:rPr>
                <w:rFonts w:ascii="宋体"/>
              </w:rPr>
            </w:pPr>
          </w:p>
        </w:tc>
        <w:tc>
          <w:tcPr>
            <w:tcW w:w="0" w:type="auto"/>
            <w:shd w:val="clear" w:color="auto" w:fill="auto"/>
            <w:vAlign w:val="bottom"/>
          </w:tcPr>
          <w:p w14:paraId="74DD7C10" w14:textId="77777777" w:rsidR="00584EC1" w:rsidRDefault="00584EC1">
            <w:pPr>
              <w:rPr>
                <w:rFonts w:ascii="宋体"/>
              </w:rPr>
            </w:pPr>
          </w:p>
        </w:tc>
        <w:tc>
          <w:tcPr>
            <w:tcW w:w="0" w:type="auto"/>
            <w:shd w:val="clear" w:color="auto" w:fill="auto"/>
            <w:vAlign w:val="bottom"/>
          </w:tcPr>
          <w:p w14:paraId="74DD7C11" w14:textId="77777777" w:rsidR="00584EC1" w:rsidRDefault="00584EC1">
            <w:pPr>
              <w:rPr>
                <w:rFonts w:ascii="宋体"/>
              </w:rPr>
            </w:pPr>
          </w:p>
        </w:tc>
        <w:tc>
          <w:tcPr>
            <w:tcW w:w="0" w:type="auto"/>
            <w:shd w:val="clear" w:color="auto" w:fill="auto"/>
            <w:vAlign w:val="bottom"/>
          </w:tcPr>
          <w:p w14:paraId="74DD7C12" w14:textId="77777777" w:rsidR="00584EC1" w:rsidRDefault="00584EC1">
            <w:pPr>
              <w:rPr>
                <w:rFonts w:ascii="宋体"/>
              </w:rPr>
            </w:pPr>
          </w:p>
        </w:tc>
        <w:tc>
          <w:tcPr>
            <w:tcW w:w="0" w:type="auto"/>
            <w:shd w:val="clear" w:color="auto" w:fill="auto"/>
            <w:vAlign w:val="bottom"/>
          </w:tcPr>
          <w:p w14:paraId="74DD7C13" w14:textId="77777777" w:rsidR="00584EC1" w:rsidRDefault="00584EC1">
            <w:pPr>
              <w:rPr>
                <w:rFonts w:ascii="宋体"/>
              </w:rPr>
            </w:pPr>
          </w:p>
        </w:tc>
        <w:tc>
          <w:tcPr>
            <w:tcW w:w="0" w:type="auto"/>
            <w:shd w:val="clear" w:color="auto" w:fill="auto"/>
            <w:vAlign w:val="bottom"/>
          </w:tcPr>
          <w:p w14:paraId="74DD7C14" w14:textId="77777777" w:rsidR="00584EC1" w:rsidRDefault="00584EC1">
            <w:pPr>
              <w:rPr>
                <w:rFonts w:ascii="宋体"/>
              </w:rPr>
            </w:pPr>
          </w:p>
        </w:tc>
        <w:tc>
          <w:tcPr>
            <w:tcW w:w="0" w:type="auto"/>
            <w:shd w:val="clear" w:color="auto" w:fill="auto"/>
            <w:vAlign w:val="bottom"/>
          </w:tcPr>
          <w:p w14:paraId="74DD7C15" w14:textId="77777777" w:rsidR="00584EC1" w:rsidRDefault="00584EC1">
            <w:pPr>
              <w:rPr>
                <w:rFonts w:ascii="宋体"/>
              </w:rPr>
            </w:pPr>
          </w:p>
        </w:tc>
        <w:tc>
          <w:tcPr>
            <w:tcW w:w="0" w:type="auto"/>
            <w:shd w:val="clear" w:color="auto" w:fill="auto"/>
            <w:vAlign w:val="bottom"/>
          </w:tcPr>
          <w:p w14:paraId="74DD7C16" w14:textId="77777777" w:rsidR="00584EC1" w:rsidRDefault="00584EC1">
            <w:pPr>
              <w:rPr>
                <w:rFonts w:ascii="宋体"/>
              </w:rPr>
            </w:pPr>
          </w:p>
        </w:tc>
        <w:tc>
          <w:tcPr>
            <w:tcW w:w="0" w:type="auto"/>
            <w:shd w:val="clear" w:color="auto" w:fill="auto"/>
            <w:vAlign w:val="bottom"/>
          </w:tcPr>
          <w:p w14:paraId="74DD7C17" w14:textId="77777777" w:rsidR="00584EC1" w:rsidRDefault="00584EC1">
            <w:pPr>
              <w:rPr>
                <w:rFonts w:ascii="宋体"/>
              </w:rPr>
            </w:pPr>
          </w:p>
        </w:tc>
        <w:tc>
          <w:tcPr>
            <w:tcW w:w="0" w:type="auto"/>
            <w:shd w:val="clear" w:color="auto" w:fill="auto"/>
            <w:vAlign w:val="bottom"/>
          </w:tcPr>
          <w:p w14:paraId="74DD7C18" w14:textId="77777777" w:rsidR="00584EC1" w:rsidRDefault="00584EC1">
            <w:pPr>
              <w:rPr>
                <w:rFonts w:ascii="宋体"/>
              </w:rPr>
            </w:pPr>
          </w:p>
        </w:tc>
      </w:tr>
      <w:tr w:rsidR="00584EC1" w14:paraId="74DD7C2A" w14:textId="77777777">
        <w:trPr>
          <w:trHeight w:val="60"/>
        </w:trPr>
        <w:tc>
          <w:tcPr>
            <w:tcW w:w="0" w:type="auto"/>
            <w:gridSpan w:val="3"/>
            <w:shd w:val="clear" w:color="auto" w:fill="auto"/>
            <w:tcMar>
              <w:top w:w="0" w:type="dxa"/>
              <w:left w:w="20" w:type="dxa"/>
              <w:bottom w:w="0" w:type="dxa"/>
              <w:right w:w="20" w:type="dxa"/>
            </w:tcMar>
            <w:vAlign w:val="bottom"/>
          </w:tcPr>
          <w:p w14:paraId="74DD7C1A" w14:textId="77777777" w:rsidR="00584EC1" w:rsidRDefault="00584EC1">
            <w:pPr>
              <w:rPr>
                <w:rFonts w:ascii="宋体"/>
              </w:rPr>
            </w:pPr>
          </w:p>
        </w:tc>
        <w:tc>
          <w:tcPr>
            <w:tcW w:w="0" w:type="auto"/>
            <w:shd w:val="clear" w:color="auto" w:fill="auto"/>
            <w:vAlign w:val="bottom"/>
          </w:tcPr>
          <w:p w14:paraId="74DD7C1B" w14:textId="77777777" w:rsidR="00584EC1" w:rsidRDefault="00584EC1">
            <w:pPr>
              <w:rPr>
                <w:rFonts w:ascii="宋体"/>
                <w:vanish/>
              </w:rPr>
            </w:pPr>
          </w:p>
        </w:tc>
        <w:tc>
          <w:tcPr>
            <w:tcW w:w="0" w:type="auto"/>
            <w:shd w:val="clear" w:color="auto" w:fill="auto"/>
            <w:vAlign w:val="bottom"/>
          </w:tcPr>
          <w:p w14:paraId="74DD7C1C" w14:textId="77777777" w:rsidR="00584EC1" w:rsidRDefault="00584EC1">
            <w:pPr>
              <w:rPr>
                <w:rFonts w:ascii="宋体"/>
                <w:vanish/>
              </w:rPr>
            </w:pPr>
          </w:p>
        </w:tc>
        <w:tc>
          <w:tcPr>
            <w:tcW w:w="0" w:type="auto"/>
            <w:shd w:val="clear" w:color="auto" w:fill="auto"/>
            <w:vAlign w:val="bottom"/>
          </w:tcPr>
          <w:p w14:paraId="74DD7C1D" w14:textId="77777777" w:rsidR="00584EC1" w:rsidRDefault="00584EC1">
            <w:pPr>
              <w:rPr>
                <w:rFonts w:ascii="宋体"/>
                <w:vanish/>
              </w:rPr>
            </w:pPr>
          </w:p>
        </w:tc>
        <w:tc>
          <w:tcPr>
            <w:tcW w:w="0" w:type="auto"/>
            <w:shd w:val="clear" w:color="auto" w:fill="auto"/>
            <w:vAlign w:val="bottom"/>
          </w:tcPr>
          <w:p w14:paraId="74DD7C1E" w14:textId="77777777" w:rsidR="00584EC1" w:rsidRDefault="00584EC1">
            <w:pPr>
              <w:rPr>
                <w:rFonts w:ascii="宋体"/>
                <w:vanish/>
              </w:rPr>
            </w:pPr>
          </w:p>
        </w:tc>
        <w:tc>
          <w:tcPr>
            <w:tcW w:w="0" w:type="auto"/>
            <w:shd w:val="clear" w:color="auto" w:fill="auto"/>
            <w:vAlign w:val="bottom"/>
          </w:tcPr>
          <w:p w14:paraId="74DD7C1F" w14:textId="77777777" w:rsidR="00584EC1" w:rsidRDefault="00584EC1">
            <w:pPr>
              <w:rPr>
                <w:rFonts w:ascii="宋体"/>
                <w:vanish/>
              </w:rPr>
            </w:pPr>
          </w:p>
        </w:tc>
        <w:tc>
          <w:tcPr>
            <w:tcW w:w="0" w:type="auto"/>
            <w:shd w:val="clear" w:color="auto" w:fill="auto"/>
            <w:vAlign w:val="bottom"/>
          </w:tcPr>
          <w:p w14:paraId="74DD7C20" w14:textId="77777777" w:rsidR="00584EC1" w:rsidRDefault="00584EC1">
            <w:pPr>
              <w:rPr>
                <w:rFonts w:ascii="宋体"/>
                <w:vanish/>
              </w:rPr>
            </w:pPr>
          </w:p>
        </w:tc>
        <w:tc>
          <w:tcPr>
            <w:tcW w:w="0" w:type="auto"/>
            <w:gridSpan w:val="3"/>
            <w:shd w:val="clear" w:color="auto" w:fill="auto"/>
            <w:tcMar>
              <w:top w:w="0" w:type="dxa"/>
              <w:left w:w="20" w:type="dxa"/>
              <w:bottom w:w="0" w:type="dxa"/>
              <w:right w:w="20" w:type="dxa"/>
            </w:tcMar>
            <w:vAlign w:val="bottom"/>
          </w:tcPr>
          <w:p w14:paraId="74DD7C2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7C2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7C23"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7C24" w14:textId="77777777" w:rsidR="00584EC1" w:rsidRDefault="00584EC1">
            <w:pPr>
              <w:rPr>
                <w:rFonts w:ascii="宋体"/>
              </w:rPr>
            </w:pPr>
          </w:p>
        </w:tc>
        <w:tc>
          <w:tcPr>
            <w:tcW w:w="0" w:type="auto"/>
            <w:gridSpan w:val="3"/>
            <w:shd w:val="clear" w:color="auto" w:fill="auto"/>
            <w:vAlign w:val="bottom"/>
          </w:tcPr>
          <w:p w14:paraId="74DD7C25" w14:textId="77777777" w:rsidR="00584EC1" w:rsidRDefault="00584EC1">
            <w:pPr>
              <w:rPr>
                <w:rFonts w:ascii="宋体"/>
                <w:vanish/>
              </w:rPr>
            </w:pPr>
          </w:p>
        </w:tc>
        <w:tc>
          <w:tcPr>
            <w:tcW w:w="0" w:type="auto"/>
            <w:gridSpan w:val="3"/>
            <w:shd w:val="clear" w:color="auto" w:fill="auto"/>
            <w:vAlign w:val="bottom"/>
          </w:tcPr>
          <w:p w14:paraId="74DD7C26" w14:textId="77777777" w:rsidR="00584EC1" w:rsidRDefault="00584EC1">
            <w:pPr>
              <w:rPr>
                <w:rFonts w:ascii="宋体"/>
                <w:vanish/>
              </w:rPr>
            </w:pPr>
          </w:p>
        </w:tc>
        <w:tc>
          <w:tcPr>
            <w:tcW w:w="0" w:type="auto"/>
            <w:gridSpan w:val="3"/>
            <w:shd w:val="clear" w:color="auto" w:fill="auto"/>
            <w:tcMar>
              <w:top w:w="0" w:type="dxa"/>
              <w:left w:w="20" w:type="dxa"/>
              <w:bottom w:w="0" w:type="dxa"/>
              <w:right w:w="20" w:type="dxa"/>
            </w:tcMar>
            <w:vAlign w:val="bottom"/>
          </w:tcPr>
          <w:p w14:paraId="74DD7C27" w14:textId="77777777" w:rsidR="00584EC1" w:rsidRDefault="00584EC1">
            <w:pPr>
              <w:rPr>
                <w:rFonts w:ascii="宋体"/>
              </w:rPr>
            </w:pPr>
          </w:p>
        </w:tc>
        <w:tc>
          <w:tcPr>
            <w:tcW w:w="0" w:type="auto"/>
            <w:gridSpan w:val="3"/>
            <w:shd w:val="clear" w:color="auto" w:fill="auto"/>
            <w:vAlign w:val="bottom"/>
          </w:tcPr>
          <w:p w14:paraId="74DD7C28" w14:textId="77777777" w:rsidR="00584EC1" w:rsidRDefault="00584EC1">
            <w:pPr>
              <w:rPr>
                <w:rFonts w:ascii="宋体"/>
                <w:vanish/>
              </w:rPr>
            </w:pPr>
          </w:p>
        </w:tc>
        <w:tc>
          <w:tcPr>
            <w:tcW w:w="0" w:type="auto"/>
            <w:gridSpan w:val="3"/>
            <w:shd w:val="clear" w:color="auto" w:fill="auto"/>
            <w:vAlign w:val="bottom"/>
          </w:tcPr>
          <w:p w14:paraId="74DD7C29" w14:textId="77777777" w:rsidR="00584EC1" w:rsidRDefault="00584EC1">
            <w:pPr>
              <w:rPr>
                <w:rFonts w:ascii="宋体"/>
                <w:vanish/>
              </w:rPr>
            </w:pPr>
          </w:p>
        </w:tc>
      </w:tr>
      <w:tr w:rsidR="00584EC1" w14:paraId="74DD7C3D" w14:textId="77777777">
        <w:trPr>
          <w:trHeight w:val="220"/>
        </w:trPr>
        <w:tc>
          <w:tcPr>
            <w:tcW w:w="0" w:type="auto"/>
            <w:gridSpan w:val="3"/>
            <w:vMerge w:val="restart"/>
            <w:shd w:val="clear" w:color="auto" w:fill="auto"/>
            <w:tcMar>
              <w:top w:w="40" w:type="dxa"/>
              <w:left w:w="20" w:type="dxa"/>
              <w:bottom w:w="40" w:type="dxa"/>
              <w:right w:w="20" w:type="dxa"/>
            </w:tcMar>
            <w:vAlign w:val="bottom"/>
          </w:tcPr>
          <w:p w14:paraId="74DD7C2B" w14:textId="77777777" w:rsidR="00584EC1" w:rsidRDefault="00871F8D">
            <w:pPr>
              <w:textAlignment w:val="bottom"/>
            </w:pPr>
            <w:r>
              <w:rPr>
                <w:rFonts w:ascii="Arial" w:eastAsia="宋体" w:hAnsi="Arial" w:cs="Arial"/>
                <w:b/>
                <w:bCs/>
                <w:color w:val="000000"/>
                <w:sz w:val="14"/>
                <w:szCs w:val="14"/>
              </w:rPr>
              <w:t>(Dollars in millions, except where otherwise noted)</w:t>
            </w:r>
          </w:p>
        </w:tc>
        <w:tc>
          <w:tcPr>
            <w:tcW w:w="0" w:type="auto"/>
            <w:shd w:val="clear" w:color="auto" w:fill="auto"/>
            <w:vAlign w:val="bottom"/>
          </w:tcPr>
          <w:p w14:paraId="74DD7C2C" w14:textId="77777777" w:rsidR="00584EC1" w:rsidRDefault="00584EC1">
            <w:pPr>
              <w:rPr>
                <w:rFonts w:ascii="宋体"/>
                <w:vanish/>
              </w:rPr>
            </w:pPr>
          </w:p>
        </w:tc>
        <w:tc>
          <w:tcPr>
            <w:tcW w:w="0" w:type="auto"/>
            <w:shd w:val="clear" w:color="auto" w:fill="auto"/>
            <w:vAlign w:val="bottom"/>
          </w:tcPr>
          <w:p w14:paraId="74DD7C2D" w14:textId="77777777" w:rsidR="00584EC1" w:rsidRDefault="00584EC1">
            <w:pPr>
              <w:rPr>
                <w:rFonts w:ascii="宋体"/>
                <w:vanish/>
              </w:rPr>
            </w:pPr>
          </w:p>
        </w:tc>
        <w:tc>
          <w:tcPr>
            <w:tcW w:w="0" w:type="auto"/>
            <w:shd w:val="clear" w:color="auto" w:fill="auto"/>
            <w:vAlign w:val="bottom"/>
          </w:tcPr>
          <w:p w14:paraId="74DD7C2E" w14:textId="77777777" w:rsidR="00584EC1" w:rsidRDefault="00584EC1">
            <w:pPr>
              <w:rPr>
                <w:rFonts w:ascii="宋体"/>
                <w:vanish/>
              </w:rPr>
            </w:pPr>
          </w:p>
        </w:tc>
        <w:tc>
          <w:tcPr>
            <w:tcW w:w="0" w:type="auto"/>
            <w:shd w:val="clear" w:color="auto" w:fill="auto"/>
            <w:vAlign w:val="bottom"/>
          </w:tcPr>
          <w:p w14:paraId="74DD7C2F" w14:textId="77777777" w:rsidR="00584EC1" w:rsidRDefault="00584EC1">
            <w:pPr>
              <w:rPr>
                <w:rFonts w:ascii="宋体"/>
                <w:vanish/>
              </w:rPr>
            </w:pPr>
          </w:p>
        </w:tc>
        <w:tc>
          <w:tcPr>
            <w:tcW w:w="0" w:type="auto"/>
            <w:gridSpan w:val="5"/>
            <w:shd w:val="clear" w:color="auto" w:fill="auto"/>
            <w:tcMar>
              <w:top w:w="40" w:type="dxa"/>
              <w:left w:w="20" w:type="dxa"/>
              <w:bottom w:w="40" w:type="dxa"/>
              <w:right w:w="20" w:type="dxa"/>
            </w:tcMar>
            <w:vAlign w:val="bottom"/>
          </w:tcPr>
          <w:p w14:paraId="74DD7C30" w14:textId="77777777" w:rsidR="00584EC1" w:rsidRDefault="00871F8D">
            <w:pPr>
              <w:jc w:val="center"/>
              <w:textAlignment w:val="bottom"/>
            </w:pPr>
            <w:r>
              <w:rPr>
                <w:rFonts w:ascii="Arial" w:eastAsia="宋体" w:hAnsi="Arial" w:cs="Arial"/>
                <w:b/>
                <w:bCs/>
                <w:color w:val="000000"/>
                <w:sz w:val="14"/>
                <w:szCs w:val="14"/>
              </w:rPr>
              <w:t>Nine Months Ended September 30,</w:t>
            </w:r>
          </w:p>
        </w:tc>
        <w:tc>
          <w:tcPr>
            <w:tcW w:w="0" w:type="auto"/>
            <w:gridSpan w:val="3"/>
            <w:shd w:val="clear" w:color="auto" w:fill="auto"/>
            <w:tcMar>
              <w:top w:w="0" w:type="dxa"/>
              <w:left w:w="20" w:type="dxa"/>
              <w:bottom w:w="0" w:type="dxa"/>
              <w:right w:w="20" w:type="dxa"/>
            </w:tcMar>
            <w:vAlign w:val="bottom"/>
          </w:tcPr>
          <w:p w14:paraId="74DD7C31" w14:textId="77777777" w:rsidR="00584EC1" w:rsidRDefault="00584EC1">
            <w:pPr>
              <w:rPr>
                <w:rFonts w:ascii="宋体"/>
              </w:rPr>
            </w:pPr>
          </w:p>
        </w:tc>
        <w:tc>
          <w:tcPr>
            <w:tcW w:w="0" w:type="auto"/>
            <w:gridSpan w:val="3"/>
            <w:shd w:val="clear" w:color="auto" w:fill="auto"/>
            <w:vAlign w:val="bottom"/>
          </w:tcPr>
          <w:p w14:paraId="74DD7C32" w14:textId="77777777" w:rsidR="00584EC1" w:rsidRDefault="00584EC1">
            <w:pPr>
              <w:rPr>
                <w:rFonts w:ascii="宋体"/>
                <w:vanish/>
              </w:rPr>
            </w:pPr>
          </w:p>
        </w:tc>
        <w:tc>
          <w:tcPr>
            <w:tcW w:w="0" w:type="auto"/>
            <w:gridSpan w:val="3"/>
            <w:shd w:val="clear" w:color="auto" w:fill="auto"/>
            <w:vAlign w:val="bottom"/>
          </w:tcPr>
          <w:p w14:paraId="74DD7C33" w14:textId="77777777" w:rsidR="00584EC1" w:rsidRDefault="00584EC1">
            <w:pPr>
              <w:rPr>
                <w:rFonts w:ascii="宋体"/>
                <w:vanish/>
              </w:rPr>
            </w:pPr>
          </w:p>
        </w:tc>
        <w:tc>
          <w:tcPr>
            <w:tcW w:w="0" w:type="auto"/>
            <w:gridSpan w:val="3"/>
            <w:vMerge w:val="restart"/>
            <w:shd w:val="clear" w:color="auto" w:fill="auto"/>
            <w:tcMar>
              <w:top w:w="40" w:type="dxa"/>
              <w:left w:w="20" w:type="dxa"/>
              <w:bottom w:w="40" w:type="dxa"/>
              <w:right w:w="20" w:type="dxa"/>
            </w:tcMar>
            <w:vAlign w:val="bottom"/>
          </w:tcPr>
          <w:p w14:paraId="74DD7C34" w14:textId="77777777" w:rsidR="00584EC1" w:rsidRDefault="00871F8D">
            <w:pPr>
              <w:jc w:val="center"/>
              <w:textAlignment w:val="bottom"/>
            </w:pPr>
            <w:r>
              <w:rPr>
                <w:rFonts w:ascii="Arial" w:eastAsia="宋体" w:hAnsi="Arial" w:cs="Arial"/>
                <w:b/>
                <w:bCs/>
                <w:color w:val="000000"/>
                <w:sz w:val="14"/>
                <w:szCs w:val="14"/>
              </w:rPr>
              <w:t>% Change</w:t>
            </w:r>
          </w:p>
        </w:tc>
        <w:tc>
          <w:tcPr>
            <w:tcW w:w="0" w:type="auto"/>
            <w:gridSpan w:val="3"/>
            <w:shd w:val="clear" w:color="auto" w:fill="auto"/>
            <w:vAlign w:val="bottom"/>
          </w:tcPr>
          <w:p w14:paraId="74DD7C35" w14:textId="77777777" w:rsidR="00584EC1" w:rsidRDefault="00584EC1">
            <w:pPr>
              <w:rPr>
                <w:rFonts w:ascii="宋体"/>
                <w:vanish/>
              </w:rPr>
            </w:pPr>
          </w:p>
        </w:tc>
        <w:tc>
          <w:tcPr>
            <w:tcW w:w="0" w:type="auto"/>
            <w:gridSpan w:val="3"/>
            <w:shd w:val="clear" w:color="auto" w:fill="auto"/>
            <w:vAlign w:val="bottom"/>
          </w:tcPr>
          <w:p w14:paraId="74DD7C36" w14:textId="77777777" w:rsidR="00584EC1" w:rsidRDefault="00584EC1">
            <w:pPr>
              <w:rPr>
                <w:rFonts w:ascii="宋体"/>
                <w:vanish/>
              </w:rPr>
            </w:pPr>
          </w:p>
        </w:tc>
        <w:tc>
          <w:tcPr>
            <w:tcW w:w="0" w:type="auto"/>
            <w:shd w:val="clear" w:color="auto" w:fill="auto"/>
            <w:vAlign w:val="bottom"/>
          </w:tcPr>
          <w:p w14:paraId="74DD7C37" w14:textId="77777777" w:rsidR="00584EC1" w:rsidRDefault="00584EC1">
            <w:pPr>
              <w:rPr>
                <w:rFonts w:ascii="宋体"/>
              </w:rPr>
            </w:pPr>
          </w:p>
        </w:tc>
        <w:tc>
          <w:tcPr>
            <w:tcW w:w="0" w:type="auto"/>
            <w:shd w:val="clear" w:color="auto" w:fill="auto"/>
            <w:vAlign w:val="bottom"/>
          </w:tcPr>
          <w:p w14:paraId="74DD7C38" w14:textId="77777777" w:rsidR="00584EC1" w:rsidRDefault="00584EC1">
            <w:pPr>
              <w:rPr>
                <w:rFonts w:ascii="宋体"/>
              </w:rPr>
            </w:pPr>
          </w:p>
        </w:tc>
        <w:tc>
          <w:tcPr>
            <w:tcW w:w="0" w:type="auto"/>
            <w:shd w:val="clear" w:color="auto" w:fill="auto"/>
            <w:vAlign w:val="bottom"/>
          </w:tcPr>
          <w:p w14:paraId="74DD7C39" w14:textId="77777777" w:rsidR="00584EC1" w:rsidRDefault="00584EC1">
            <w:pPr>
              <w:rPr>
                <w:rFonts w:ascii="宋体"/>
              </w:rPr>
            </w:pPr>
          </w:p>
        </w:tc>
        <w:tc>
          <w:tcPr>
            <w:tcW w:w="0" w:type="auto"/>
            <w:shd w:val="clear" w:color="auto" w:fill="auto"/>
            <w:vAlign w:val="bottom"/>
          </w:tcPr>
          <w:p w14:paraId="74DD7C3A" w14:textId="77777777" w:rsidR="00584EC1" w:rsidRDefault="00584EC1">
            <w:pPr>
              <w:rPr>
                <w:rFonts w:ascii="宋体"/>
              </w:rPr>
            </w:pPr>
          </w:p>
        </w:tc>
        <w:tc>
          <w:tcPr>
            <w:tcW w:w="0" w:type="auto"/>
            <w:shd w:val="clear" w:color="auto" w:fill="auto"/>
            <w:vAlign w:val="bottom"/>
          </w:tcPr>
          <w:p w14:paraId="74DD7C3B" w14:textId="77777777" w:rsidR="00584EC1" w:rsidRDefault="00584EC1">
            <w:pPr>
              <w:rPr>
                <w:rFonts w:ascii="宋体"/>
              </w:rPr>
            </w:pPr>
          </w:p>
        </w:tc>
        <w:tc>
          <w:tcPr>
            <w:tcW w:w="0" w:type="auto"/>
            <w:shd w:val="clear" w:color="auto" w:fill="auto"/>
            <w:vAlign w:val="bottom"/>
          </w:tcPr>
          <w:p w14:paraId="74DD7C3C" w14:textId="77777777" w:rsidR="00584EC1" w:rsidRDefault="00584EC1">
            <w:pPr>
              <w:rPr>
                <w:rFonts w:ascii="宋体"/>
              </w:rPr>
            </w:pPr>
          </w:p>
        </w:tc>
      </w:tr>
      <w:tr w:rsidR="00584EC1" w14:paraId="74DD7C52" w14:textId="77777777">
        <w:trPr>
          <w:trHeight w:val="220"/>
        </w:trPr>
        <w:tc>
          <w:tcPr>
            <w:tcW w:w="0" w:type="auto"/>
            <w:gridSpan w:val="3"/>
            <w:vMerge/>
            <w:shd w:val="clear" w:color="auto" w:fill="auto"/>
            <w:tcMar>
              <w:top w:w="40" w:type="dxa"/>
              <w:left w:w="20" w:type="dxa"/>
              <w:bottom w:w="40" w:type="dxa"/>
              <w:right w:w="20" w:type="dxa"/>
            </w:tcMar>
            <w:vAlign w:val="bottom"/>
          </w:tcPr>
          <w:p w14:paraId="74DD7C3E" w14:textId="77777777" w:rsidR="00584EC1" w:rsidRDefault="00584EC1">
            <w:pPr>
              <w:rPr>
                <w:rFonts w:ascii="宋体"/>
              </w:rPr>
            </w:pPr>
          </w:p>
        </w:tc>
        <w:tc>
          <w:tcPr>
            <w:tcW w:w="0" w:type="auto"/>
            <w:shd w:val="clear" w:color="auto" w:fill="auto"/>
            <w:vAlign w:val="bottom"/>
          </w:tcPr>
          <w:p w14:paraId="74DD7C3F" w14:textId="77777777" w:rsidR="00584EC1" w:rsidRDefault="00584EC1">
            <w:pPr>
              <w:rPr>
                <w:rFonts w:ascii="宋体"/>
                <w:vanish/>
              </w:rPr>
            </w:pPr>
          </w:p>
        </w:tc>
        <w:tc>
          <w:tcPr>
            <w:tcW w:w="0" w:type="auto"/>
            <w:shd w:val="clear" w:color="auto" w:fill="auto"/>
            <w:vAlign w:val="bottom"/>
          </w:tcPr>
          <w:p w14:paraId="74DD7C40" w14:textId="77777777" w:rsidR="00584EC1" w:rsidRDefault="00584EC1">
            <w:pPr>
              <w:rPr>
                <w:rFonts w:ascii="宋体"/>
                <w:vanish/>
              </w:rPr>
            </w:pPr>
          </w:p>
        </w:tc>
        <w:tc>
          <w:tcPr>
            <w:tcW w:w="0" w:type="auto"/>
            <w:shd w:val="clear" w:color="auto" w:fill="auto"/>
            <w:vAlign w:val="bottom"/>
          </w:tcPr>
          <w:p w14:paraId="74DD7C41" w14:textId="77777777" w:rsidR="00584EC1" w:rsidRDefault="00584EC1">
            <w:pPr>
              <w:rPr>
                <w:rFonts w:ascii="宋体"/>
                <w:vanish/>
              </w:rPr>
            </w:pPr>
          </w:p>
        </w:tc>
        <w:tc>
          <w:tcPr>
            <w:tcW w:w="0" w:type="auto"/>
            <w:shd w:val="clear" w:color="auto" w:fill="auto"/>
            <w:vAlign w:val="bottom"/>
          </w:tcPr>
          <w:p w14:paraId="74DD7C42" w14:textId="77777777" w:rsidR="00584EC1" w:rsidRDefault="00584EC1">
            <w:pPr>
              <w:rPr>
                <w:rFonts w:ascii="宋体"/>
                <w:vanish/>
              </w:rPr>
            </w:pPr>
          </w:p>
        </w:tc>
        <w:tc>
          <w:tcPr>
            <w:tcW w:w="0" w:type="auto"/>
            <w:shd w:val="clear" w:color="auto" w:fill="auto"/>
            <w:vAlign w:val="bottom"/>
          </w:tcPr>
          <w:p w14:paraId="74DD7C43" w14:textId="77777777" w:rsidR="00584EC1" w:rsidRDefault="00584EC1">
            <w:pPr>
              <w:rPr>
                <w:rFonts w:ascii="宋体"/>
                <w:vanish/>
              </w:rPr>
            </w:pPr>
          </w:p>
        </w:tc>
        <w:tc>
          <w:tcPr>
            <w:tcW w:w="0" w:type="auto"/>
            <w:shd w:val="clear" w:color="auto" w:fill="auto"/>
            <w:vAlign w:val="bottom"/>
          </w:tcPr>
          <w:p w14:paraId="74DD7C44" w14:textId="77777777" w:rsidR="00584EC1" w:rsidRDefault="00584EC1">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7C45" w14:textId="77777777" w:rsidR="00584EC1" w:rsidRDefault="00871F8D">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7C46"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7C47" w14:textId="77777777" w:rsidR="00584EC1" w:rsidRDefault="00871F8D">
            <w:pPr>
              <w:jc w:val="center"/>
              <w:textAlignment w:val="bottom"/>
            </w:pPr>
            <w:r>
              <w:rPr>
                <w:rFonts w:ascii="Arial" w:eastAsia="宋体" w:hAnsi="Arial" w:cs="Arial"/>
                <w:b/>
                <w:bCs/>
                <w:color w:val="000000"/>
                <w:sz w:val="14"/>
                <w:szCs w:val="14"/>
              </w:rPr>
              <w:t>2020</w:t>
            </w:r>
          </w:p>
        </w:tc>
        <w:tc>
          <w:tcPr>
            <w:tcW w:w="0" w:type="auto"/>
            <w:gridSpan w:val="3"/>
            <w:shd w:val="clear" w:color="auto" w:fill="auto"/>
            <w:tcMar>
              <w:top w:w="0" w:type="dxa"/>
              <w:left w:w="20" w:type="dxa"/>
              <w:bottom w:w="0" w:type="dxa"/>
              <w:right w:w="20" w:type="dxa"/>
            </w:tcMar>
            <w:vAlign w:val="bottom"/>
          </w:tcPr>
          <w:p w14:paraId="74DD7C48" w14:textId="77777777" w:rsidR="00584EC1" w:rsidRDefault="00584EC1">
            <w:pPr>
              <w:rPr>
                <w:rFonts w:ascii="宋体"/>
              </w:rPr>
            </w:pPr>
          </w:p>
        </w:tc>
        <w:tc>
          <w:tcPr>
            <w:tcW w:w="0" w:type="auto"/>
            <w:gridSpan w:val="3"/>
            <w:vMerge/>
            <w:shd w:val="clear" w:color="auto" w:fill="auto"/>
            <w:tcMar>
              <w:top w:w="40" w:type="dxa"/>
              <w:left w:w="20" w:type="dxa"/>
              <w:bottom w:w="40" w:type="dxa"/>
              <w:right w:w="20" w:type="dxa"/>
            </w:tcMar>
            <w:vAlign w:val="bottom"/>
          </w:tcPr>
          <w:p w14:paraId="74DD7C49" w14:textId="77777777" w:rsidR="00584EC1" w:rsidRDefault="00584EC1">
            <w:pPr>
              <w:jc w:val="center"/>
              <w:rPr>
                <w:rFonts w:ascii="宋体"/>
              </w:rPr>
            </w:pPr>
          </w:p>
        </w:tc>
        <w:tc>
          <w:tcPr>
            <w:tcW w:w="0" w:type="auto"/>
            <w:gridSpan w:val="3"/>
            <w:shd w:val="clear" w:color="auto" w:fill="auto"/>
            <w:vAlign w:val="bottom"/>
          </w:tcPr>
          <w:p w14:paraId="74DD7C4A" w14:textId="77777777" w:rsidR="00584EC1" w:rsidRDefault="00584EC1">
            <w:pPr>
              <w:rPr>
                <w:rFonts w:ascii="宋体"/>
                <w:vanish/>
              </w:rPr>
            </w:pPr>
          </w:p>
        </w:tc>
        <w:tc>
          <w:tcPr>
            <w:tcW w:w="0" w:type="auto"/>
            <w:gridSpan w:val="3"/>
            <w:shd w:val="clear" w:color="auto" w:fill="auto"/>
            <w:vAlign w:val="bottom"/>
          </w:tcPr>
          <w:p w14:paraId="74DD7C4B" w14:textId="77777777" w:rsidR="00584EC1" w:rsidRDefault="00584EC1">
            <w:pPr>
              <w:rPr>
                <w:rFonts w:ascii="宋体"/>
                <w:vanish/>
              </w:rPr>
            </w:pPr>
          </w:p>
        </w:tc>
        <w:tc>
          <w:tcPr>
            <w:tcW w:w="0" w:type="auto"/>
            <w:shd w:val="clear" w:color="auto" w:fill="auto"/>
            <w:vAlign w:val="bottom"/>
          </w:tcPr>
          <w:p w14:paraId="74DD7C4C" w14:textId="77777777" w:rsidR="00584EC1" w:rsidRDefault="00584EC1">
            <w:pPr>
              <w:rPr>
                <w:rFonts w:ascii="宋体"/>
              </w:rPr>
            </w:pPr>
          </w:p>
        </w:tc>
        <w:tc>
          <w:tcPr>
            <w:tcW w:w="0" w:type="auto"/>
            <w:shd w:val="clear" w:color="auto" w:fill="auto"/>
            <w:vAlign w:val="bottom"/>
          </w:tcPr>
          <w:p w14:paraId="74DD7C4D" w14:textId="77777777" w:rsidR="00584EC1" w:rsidRDefault="00584EC1">
            <w:pPr>
              <w:rPr>
                <w:rFonts w:ascii="宋体"/>
              </w:rPr>
            </w:pPr>
          </w:p>
        </w:tc>
        <w:tc>
          <w:tcPr>
            <w:tcW w:w="0" w:type="auto"/>
            <w:shd w:val="clear" w:color="auto" w:fill="auto"/>
            <w:vAlign w:val="bottom"/>
          </w:tcPr>
          <w:p w14:paraId="74DD7C4E" w14:textId="77777777" w:rsidR="00584EC1" w:rsidRDefault="00584EC1">
            <w:pPr>
              <w:rPr>
                <w:rFonts w:ascii="宋体"/>
              </w:rPr>
            </w:pPr>
          </w:p>
        </w:tc>
        <w:tc>
          <w:tcPr>
            <w:tcW w:w="0" w:type="auto"/>
            <w:shd w:val="clear" w:color="auto" w:fill="auto"/>
            <w:vAlign w:val="bottom"/>
          </w:tcPr>
          <w:p w14:paraId="74DD7C4F" w14:textId="77777777" w:rsidR="00584EC1" w:rsidRDefault="00584EC1">
            <w:pPr>
              <w:rPr>
                <w:rFonts w:ascii="宋体"/>
              </w:rPr>
            </w:pPr>
          </w:p>
        </w:tc>
        <w:tc>
          <w:tcPr>
            <w:tcW w:w="0" w:type="auto"/>
            <w:shd w:val="clear" w:color="auto" w:fill="auto"/>
            <w:vAlign w:val="bottom"/>
          </w:tcPr>
          <w:p w14:paraId="74DD7C50" w14:textId="77777777" w:rsidR="00584EC1" w:rsidRDefault="00584EC1">
            <w:pPr>
              <w:rPr>
                <w:rFonts w:ascii="宋体"/>
              </w:rPr>
            </w:pPr>
          </w:p>
        </w:tc>
        <w:tc>
          <w:tcPr>
            <w:tcW w:w="0" w:type="auto"/>
            <w:shd w:val="clear" w:color="auto" w:fill="auto"/>
            <w:vAlign w:val="bottom"/>
          </w:tcPr>
          <w:p w14:paraId="74DD7C51" w14:textId="77777777" w:rsidR="00584EC1" w:rsidRDefault="00584EC1">
            <w:pPr>
              <w:rPr>
                <w:rFonts w:ascii="宋体"/>
              </w:rPr>
            </w:pPr>
          </w:p>
        </w:tc>
      </w:tr>
      <w:tr w:rsidR="00584EC1" w14:paraId="74DD7C68" w14:textId="77777777">
        <w:tc>
          <w:tcPr>
            <w:tcW w:w="0" w:type="auto"/>
            <w:gridSpan w:val="3"/>
            <w:shd w:val="clear" w:color="auto" w:fill="CCEEFF"/>
            <w:tcMar>
              <w:top w:w="40" w:type="dxa"/>
              <w:left w:w="20" w:type="dxa"/>
              <w:bottom w:w="40" w:type="dxa"/>
              <w:right w:w="20" w:type="dxa"/>
            </w:tcMar>
            <w:vAlign w:val="bottom"/>
          </w:tcPr>
          <w:p w14:paraId="74DD7C53" w14:textId="77777777" w:rsidR="00584EC1" w:rsidRDefault="00871F8D">
            <w:pPr>
              <w:textAlignment w:val="bottom"/>
            </w:pPr>
            <w:r>
              <w:rPr>
                <w:rFonts w:ascii="Arial" w:eastAsia="宋体" w:hAnsi="Arial" w:cs="Arial"/>
                <w:color w:val="000000"/>
                <w:sz w:val="14"/>
                <w:szCs w:val="14"/>
              </w:rPr>
              <w:t>Management fees</w:t>
            </w:r>
            <w:r>
              <w:rPr>
                <w:rFonts w:ascii="Arial" w:eastAsia="宋体" w:hAnsi="Arial" w:cs="Arial"/>
                <w:color w:val="000000"/>
                <w:sz w:val="9"/>
                <w:szCs w:val="9"/>
              </w:rPr>
              <w:t>(1)(2)</w:t>
            </w:r>
          </w:p>
        </w:tc>
        <w:tc>
          <w:tcPr>
            <w:tcW w:w="0" w:type="auto"/>
            <w:shd w:val="clear" w:color="auto" w:fill="auto"/>
            <w:vAlign w:val="bottom"/>
          </w:tcPr>
          <w:p w14:paraId="74DD7C54" w14:textId="77777777" w:rsidR="00584EC1" w:rsidRDefault="00584EC1">
            <w:pPr>
              <w:rPr>
                <w:rFonts w:ascii="宋体"/>
                <w:vanish/>
              </w:rPr>
            </w:pPr>
          </w:p>
        </w:tc>
        <w:tc>
          <w:tcPr>
            <w:tcW w:w="0" w:type="auto"/>
            <w:shd w:val="clear" w:color="auto" w:fill="auto"/>
            <w:vAlign w:val="bottom"/>
          </w:tcPr>
          <w:p w14:paraId="74DD7C55" w14:textId="77777777" w:rsidR="00584EC1" w:rsidRDefault="00584EC1">
            <w:pPr>
              <w:rPr>
                <w:rFonts w:ascii="宋体"/>
                <w:vanish/>
              </w:rPr>
            </w:pPr>
          </w:p>
        </w:tc>
        <w:tc>
          <w:tcPr>
            <w:tcW w:w="0" w:type="auto"/>
            <w:shd w:val="clear" w:color="auto" w:fill="auto"/>
            <w:vAlign w:val="bottom"/>
          </w:tcPr>
          <w:p w14:paraId="74DD7C56" w14:textId="77777777" w:rsidR="00584EC1" w:rsidRDefault="00584EC1">
            <w:pPr>
              <w:rPr>
                <w:rFonts w:ascii="宋体"/>
                <w:vanish/>
              </w:rPr>
            </w:pPr>
          </w:p>
        </w:tc>
        <w:tc>
          <w:tcPr>
            <w:tcW w:w="0" w:type="auto"/>
            <w:shd w:val="clear" w:color="auto" w:fill="auto"/>
            <w:vAlign w:val="bottom"/>
          </w:tcPr>
          <w:p w14:paraId="74DD7C57" w14:textId="77777777" w:rsidR="00584EC1" w:rsidRDefault="00584EC1">
            <w:pPr>
              <w:rPr>
                <w:rFonts w:ascii="宋体"/>
                <w:vanish/>
              </w:rPr>
            </w:pPr>
          </w:p>
        </w:tc>
        <w:tc>
          <w:tcPr>
            <w:tcW w:w="0" w:type="auto"/>
            <w:shd w:val="clear" w:color="auto" w:fill="auto"/>
            <w:vAlign w:val="bottom"/>
          </w:tcPr>
          <w:p w14:paraId="74DD7C58" w14:textId="77777777" w:rsidR="00584EC1" w:rsidRDefault="00584EC1">
            <w:pPr>
              <w:rPr>
                <w:rFonts w:ascii="宋体"/>
                <w:vanish/>
              </w:rPr>
            </w:pPr>
          </w:p>
        </w:tc>
        <w:tc>
          <w:tcPr>
            <w:tcW w:w="0" w:type="auto"/>
            <w:shd w:val="clear" w:color="auto" w:fill="auto"/>
            <w:vAlign w:val="bottom"/>
          </w:tcPr>
          <w:p w14:paraId="74DD7C59" w14:textId="77777777" w:rsidR="00584EC1" w:rsidRDefault="00584EC1">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7C5A"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7C5B" w14:textId="77777777" w:rsidR="00584EC1" w:rsidRDefault="00871F8D">
            <w:pPr>
              <w:jc w:val="right"/>
              <w:textAlignment w:val="bottom"/>
            </w:pPr>
            <w:r>
              <w:rPr>
                <w:rFonts w:ascii="Arial" w:eastAsia="宋体" w:hAnsi="Arial" w:cs="Arial"/>
                <w:b/>
                <w:bCs/>
                <w:color w:val="000000"/>
                <w:sz w:val="14"/>
                <w:szCs w:val="14"/>
              </w:rPr>
              <w:t>1,523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C5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C5D"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7C5E"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7C5F" w14:textId="77777777" w:rsidR="00584EC1" w:rsidRDefault="00871F8D">
            <w:pPr>
              <w:jc w:val="right"/>
              <w:textAlignment w:val="bottom"/>
            </w:pPr>
            <w:r>
              <w:rPr>
                <w:rFonts w:ascii="Arial" w:eastAsia="宋体" w:hAnsi="Arial" w:cs="Arial"/>
                <w:color w:val="000000"/>
                <w:sz w:val="14"/>
                <w:szCs w:val="14"/>
              </w:rPr>
              <w:t>1,387 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C6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C61" w14:textId="77777777" w:rsidR="00584EC1" w:rsidRDefault="00584EC1">
            <w:pPr>
              <w:rPr>
                <w:rFonts w:ascii="宋体"/>
              </w:rPr>
            </w:pPr>
          </w:p>
        </w:tc>
        <w:tc>
          <w:tcPr>
            <w:tcW w:w="0" w:type="auto"/>
            <w:gridSpan w:val="3"/>
            <w:shd w:val="clear" w:color="auto" w:fill="auto"/>
            <w:vAlign w:val="bottom"/>
          </w:tcPr>
          <w:p w14:paraId="74DD7C62" w14:textId="77777777" w:rsidR="00584EC1" w:rsidRDefault="00584EC1">
            <w:pPr>
              <w:rPr>
                <w:rFonts w:ascii="宋体"/>
                <w:vanish/>
              </w:rPr>
            </w:pPr>
          </w:p>
        </w:tc>
        <w:tc>
          <w:tcPr>
            <w:tcW w:w="0" w:type="auto"/>
            <w:gridSpan w:val="3"/>
            <w:shd w:val="clear" w:color="auto" w:fill="auto"/>
            <w:vAlign w:val="bottom"/>
          </w:tcPr>
          <w:p w14:paraId="74DD7C63" w14:textId="77777777" w:rsidR="00584EC1" w:rsidRDefault="00584EC1">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7C64" w14:textId="77777777" w:rsidR="00584EC1" w:rsidRDefault="00871F8D">
            <w:pPr>
              <w:jc w:val="right"/>
              <w:textAlignment w:val="bottom"/>
            </w:pPr>
            <w:r>
              <w:rPr>
                <w:rFonts w:ascii="Arial" w:eastAsia="宋体" w:hAnsi="Arial" w:cs="Arial"/>
                <w:color w:val="000000"/>
                <w:sz w:val="14"/>
                <w:szCs w:val="14"/>
              </w:rPr>
              <w:t>10 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C65" w14:textId="77777777" w:rsidR="00584EC1" w:rsidRDefault="00871F8D">
            <w:pPr>
              <w:jc w:val="right"/>
              <w:textAlignment w:val="bottom"/>
            </w:pPr>
            <w:r>
              <w:rPr>
                <w:rFonts w:ascii="Arial" w:eastAsia="宋体" w:hAnsi="Arial" w:cs="Arial"/>
                <w:color w:val="000000"/>
                <w:sz w:val="14"/>
                <w:szCs w:val="14"/>
              </w:rPr>
              <w:t>%</w:t>
            </w:r>
          </w:p>
        </w:tc>
        <w:tc>
          <w:tcPr>
            <w:tcW w:w="0" w:type="auto"/>
            <w:gridSpan w:val="3"/>
            <w:shd w:val="clear" w:color="auto" w:fill="auto"/>
            <w:vAlign w:val="bottom"/>
          </w:tcPr>
          <w:p w14:paraId="74DD7C66" w14:textId="77777777" w:rsidR="00584EC1" w:rsidRDefault="00584EC1">
            <w:pPr>
              <w:rPr>
                <w:rFonts w:ascii="宋体"/>
                <w:vanish/>
              </w:rPr>
            </w:pPr>
          </w:p>
        </w:tc>
        <w:tc>
          <w:tcPr>
            <w:tcW w:w="0" w:type="auto"/>
            <w:gridSpan w:val="3"/>
            <w:shd w:val="clear" w:color="auto" w:fill="auto"/>
            <w:vAlign w:val="bottom"/>
          </w:tcPr>
          <w:p w14:paraId="74DD7C67" w14:textId="77777777" w:rsidR="00584EC1" w:rsidRDefault="00584EC1">
            <w:pPr>
              <w:rPr>
                <w:rFonts w:ascii="宋体"/>
                <w:vanish/>
              </w:rPr>
            </w:pPr>
          </w:p>
        </w:tc>
      </w:tr>
      <w:tr w:rsidR="00584EC1" w14:paraId="74DD7C7C" w14:textId="77777777">
        <w:tc>
          <w:tcPr>
            <w:tcW w:w="0" w:type="auto"/>
            <w:gridSpan w:val="3"/>
            <w:shd w:val="clear" w:color="auto" w:fill="FFFFFF"/>
            <w:tcMar>
              <w:top w:w="40" w:type="dxa"/>
              <w:left w:w="20" w:type="dxa"/>
              <w:bottom w:w="40" w:type="dxa"/>
              <w:right w:w="20" w:type="dxa"/>
            </w:tcMar>
            <w:vAlign w:val="bottom"/>
          </w:tcPr>
          <w:p w14:paraId="74DD7C69" w14:textId="77777777" w:rsidR="00584EC1" w:rsidRDefault="00871F8D">
            <w:pPr>
              <w:textAlignment w:val="bottom"/>
            </w:pPr>
            <w:r>
              <w:rPr>
                <w:rFonts w:ascii="Arial" w:eastAsia="宋体" w:hAnsi="Arial" w:cs="Arial"/>
                <w:color w:val="000000"/>
                <w:sz w:val="14"/>
                <w:szCs w:val="14"/>
              </w:rPr>
              <w:t>Foreign exchange trading services</w:t>
            </w:r>
            <w:r>
              <w:rPr>
                <w:rFonts w:ascii="Arial" w:eastAsia="宋体" w:hAnsi="Arial" w:cs="Arial"/>
                <w:color w:val="000000"/>
                <w:sz w:val="9"/>
                <w:szCs w:val="9"/>
              </w:rPr>
              <w:t>(1)(3)</w:t>
            </w:r>
          </w:p>
        </w:tc>
        <w:tc>
          <w:tcPr>
            <w:tcW w:w="0" w:type="auto"/>
            <w:shd w:val="clear" w:color="auto" w:fill="auto"/>
            <w:vAlign w:val="bottom"/>
          </w:tcPr>
          <w:p w14:paraId="74DD7C6A" w14:textId="77777777" w:rsidR="00584EC1" w:rsidRDefault="00584EC1">
            <w:pPr>
              <w:rPr>
                <w:rFonts w:ascii="宋体"/>
                <w:vanish/>
              </w:rPr>
            </w:pPr>
          </w:p>
        </w:tc>
        <w:tc>
          <w:tcPr>
            <w:tcW w:w="0" w:type="auto"/>
            <w:shd w:val="clear" w:color="auto" w:fill="auto"/>
            <w:vAlign w:val="bottom"/>
          </w:tcPr>
          <w:p w14:paraId="74DD7C6B" w14:textId="77777777" w:rsidR="00584EC1" w:rsidRDefault="00584EC1">
            <w:pPr>
              <w:rPr>
                <w:rFonts w:ascii="宋体"/>
                <w:vanish/>
              </w:rPr>
            </w:pPr>
          </w:p>
        </w:tc>
        <w:tc>
          <w:tcPr>
            <w:tcW w:w="0" w:type="auto"/>
            <w:shd w:val="clear" w:color="auto" w:fill="auto"/>
            <w:vAlign w:val="bottom"/>
          </w:tcPr>
          <w:p w14:paraId="74DD7C6C" w14:textId="77777777" w:rsidR="00584EC1" w:rsidRDefault="00584EC1">
            <w:pPr>
              <w:rPr>
                <w:rFonts w:ascii="宋体"/>
                <w:vanish/>
              </w:rPr>
            </w:pPr>
          </w:p>
        </w:tc>
        <w:tc>
          <w:tcPr>
            <w:tcW w:w="0" w:type="auto"/>
            <w:shd w:val="clear" w:color="auto" w:fill="auto"/>
            <w:vAlign w:val="bottom"/>
          </w:tcPr>
          <w:p w14:paraId="74DD7C6D" w14:textId="77777777" w:rsidR="00584EC1" w:rsidRDefault="00584EC1">
            <w:pPr>
              <w:rPr>
                <w:rFonts w:ascii="宋体"/>
                <w:vanish/>
              </w:rPr>
            </w:pPr>
          </w:p>
        </w:tc>
        <w:tc>
          <w:tcPr>
            <w:tcW w:w="0" w:type="auto"/>
            <w:shd w:val="clear" w:color="auto" w:fill="auto"/>
            <w:vAlign w:val="bottom"/>
          </w:tcPr>
          <w:p w14:paraId="74DD7C6E" w14:textId="77777777" w:rsidR="00584EC1" w:rsidRDefault="00584EC1">
            <w:pPr>
              <w:rPr>
                <w:rFonts w:ascii="宋体"/>
                <w:vanish/>
              </w:rPr>
            </w:pPr>
          </w:p>
        </w:tc>
        <w:tc>
          <w:tcPr>
            <w:tcW w:w="0" w:type="auto"/>
            <w:shd w:val="clear" w:color="auto" w:fill="auto"/>
            <w:vAlign w:val="bottom"/>
          </w:tcPr>
          <w:p w14:paraId="74DD7C6F"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D7C70" w14:textId="77777777" w:rsidR="00584EC1" w:rsidRDefault="00871F8D">
            <w:pPr>
              <w:jc w:val="right"/>
              <w:textAlignment w:val="bottom"/>
            </w:pPr>
            <w:r>
              <w:rPr>
                <w:rFonts w:ascii="Arial" w:eastAsia="宋体" w:hAnsi="Arial" w:cs="Arial"/>
                <w:b/>
                <w:bCs/>
                <w:color w:val="000000"/>
                <w:sz w:val="14"/>
                <w:szCs w:val="14"/>
              </w:rPr>
              <w:t>42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7C7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C7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C73" w14:textId="77777777" w:rsidR="00584EC1" w:rsidRDefault="00871F8D">
            <w:pPr>
              <w:jc w:val="right"/>
              <w:textAlignment w:val="bottom"/>
            </w:pPr>
            <w:r>
              <w:rPr>
                <w:rFonts w:ascii="Arial" w:eastAsia="宋体" w:hAnsi="Arial" w:cs="Arial"/>
                <w:color w:val="000000"/>
                <w:sz w:val="14"/>
                <w:szCs w:val="14"/>
              </w:rPr>
              <w:t>41 </w:t>
            </w:r>
          </w:p>
        </w:tc>
        <w:tc>
          <w:tcPr>
            <w:tcW w:w="0" w:type="auto"/>
            <w:shd w:val="clear" w:color="auto" w:fill="FFFFFF"/>
            <w:tcMar>
              <w:top w:w="40" w:type="dxa"/>
              <w:left w:w="0" w:type="dxa"/>
              <w:bottom w:w="40" w:type="dxa"/>
              <w:right w:w="20" w:type="dxa"/>
            </w:tcMar>
            <w:vAlign w:val="bottom"/>
          </w:tcPr>
          <w:p w14:paraId="74DD7C7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C75" w14:textId="77777777" w:rsidR="00584EC1" w:rsidRDefault="00584EC1">
            <w:pPr>
              <w:rPr>
                <w:rFonts w:ascii="宋体"/>
              </w:rPr>
            </w:pPr>
          </w:p>
        </w:tc>
        <w:tc>
          <w:tcPr>
            <w:tcW w:w="0" w:type="auto"/>
            <w:gridSpan w:val="3"/>
            <w:shd w:val="clear" w:color="auto" w:fill="auto"/>
            <w:vAlign w:val="bottom"/>
          </w:tcPr>
          <w:p w14:paraId="74DD7C76" w14:textId="77777777" w:rsidR="00584EC1" w:rsidRDefault="00584EC1">
            <w:pPr>
              <w:rPr>
                <w:rFonts w:ascii="宋体"/>
                <w:vanish/>
              </w:rPr>
            </w:pPr>
          </w:p>
        </w:tc>
        <w:tc>
          <w:tcPr>
            <w:tcW w:w="0" w:type="auto"/>
            <w:gridSpan w:val="3"/>
            <w:shd w:val="clear" w:color="auto" w:fill="auto"/>
            <w:vAlign w:val="bottom"/>
          </w:tcPr>
          <w:p w14:paraId="74DD7C77"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D7C78" w14:textId="77777777" w:rsidR="00584EC1" w:rsidRDefault="00871F8D">
            <w:pPr>
              <w:jc w:val="right"/>
              <w:textAlignment w:val="bottom"/>
            </w:pPr>
            <w:r>
              <w:rPr>
                <w:rFonts w:ascii="Arial" w:eastAsia="宋体" w:hAnsi="Arial" w:cs="Arial"/>
                <w:color w:val="000000"/>
                <w:sz w:val="14"/>
                <w:szCs w:val="14"/>
              </w:rPr>
              <w:t>2 </w:t>
            </w:r>
          </w:p>
        </w:tc>
        <w:tc>
          <w:tcPr>
            <w:tcW w:w="0" w:type="auto"/>
            <w:shd w:val="clear" w:color="auto" w:fill="FFFFFF"/>
            <w:tcMar>
              <w:top w:w="40" w:type="dxa"/>
              <w:left w:w="0" w:type="dxa"/>
              <w:bottom w:w="40" w:type="dxa"/>
              <w:right w:w="20" w:type="dxa"/>
            </w:tcMar>
            <w:vAlign w:val="bottom"/>
          </w:tcPr>
          <w:p w14:paraId="74DD7C79" w14:textId="77777777" w:rsidR="00584EC1" w:rsidRDefault="00584EC1">
            <w:pPr>
              <w:jc w:val="right"/>
              <w:rPr>
                <w:rFonts w:ascii="宋体"/>
              </w:rPr>
            </w:pPr>
          </w:p>
        </w:tc>
        <w:tc>
          <w:tcPr>
            <w:tcW w:w="0" w:type="auto"/>
            <w:gridSpan w:val="3"/>
            <w:shd w:val="clear" w:color="auto" w:fill="auto"/>
            <w:vAlign w:val="bottom"/>
          </w:tcPr>
          <w:p w14:paraId="74DD7C7A" w14:textId="77777777" w:rsidR="00584EC1" w:rsidRDefault="00584EC1">
            <w:pPr>
              <w:rPr>
                <w:rFonts w:ascii="宋体"/>
                <w:vanish/>
              </w:rPr>
            </w:pPr>
          </w:p>
        </w:tc>
        <w:tc>
          <w:tcPr>
            <w:tcW w:w="0" w:type="auto"/>
            <w:gridSpan w:val="3"/>
            <w:shd w:val="clear" w:color="auto" w:fill="auto"/>
            <w:vAlign w:val="bottom"/>
          </w:tcPr>
          <w:p w14:paraId="74DD7C7B" w14:textId="77777777" w:rsidR="00584EC1" w:rsidRDefault="00584EC1">
            <w:pPr>
              <w:rPr>
                <w:rFonts w:ascii="宋体"/>
                <w:vanish/>
              </w:rPr>
            </w:pPr>
          </w:p>
        </w:tc>
      </w:tr>
      <w:tr w:rsidR="00584EC1" w14:paraId="74DD7C90" w14:textId="77777777">
        <w:tc>
          <w:tcPr>
            <w:tcW w:w="0" w:type="auto"/>
            <w:gridSpan w:val="3"/>
            <w:shd w:val="clear" w:color="auto" w:fill="CCEEFF"/>
            <w:tcMar>
              <w:top w:w="40" w:type="dxa"/>
              <w:left w:w="20" w:type="dxa"/>
              <w:bottom w:w="40" w:type="dxa"/>
              <w:right w:w="20" w:type="dxa"/>
            </w:tcMar>
            <w:vAlign w:val="bottom"/>
          </w:tcPr>
          <w:p w14:paraId="74DD7C7D" w14:textId="77777777" w:rsidR="00584EC1" w:rsidRDefault="00871F8D">
            <w:pPr>
              <w:textAlignment w:val="bottom"/>
            </w:pPr>
            <w:r>
              <w:rPr>
                <w:rFonts w:ascii="Arial" w:eastAsia="宋体" w:hAnsi="Arial" w:cs="Arial"/>
                <w:color w:val="000000"/>
                <w:sz w:val="14"/>
                <w:szCs w:val="14"/>
              </w:rPr>
              <w:t>Securities finance</w:t>
            </w:r>
          </w:p>
        </w:tc>
        <w:tc>
          <w:tcPr>
            <w:tcW w:w="0" w:type="auto"/>
            <w:shd w:val="clear" w:color="auto" w:fill="auto"/>
            <w:vAlign w:val="bottom"/>
          </w:tcPr>
          <w:p w14:paraId="74DD7C7E" w14:textId="77777777" w:rsidR="00584EC1" w:rsidRDefault="00584EC1">
            <w:pPr>
              <w:rPr>
                <w:rFonts w:ascii="宋体"/>
                <w:vanish/>
              </w:rPr>
            </w:pPr>
          </w:p>
        </w:tc>
        <w:tc>
          <w:tcPr>
            <w:tcW w:w="0" w:type="auto"/>
            <w:shd w:val="clear" w:color="auto" w:fill="auto"/>
            <w:vAlign w:val="bottom"/>
          </w:tcPr>
          <w:p w14:paraId="74DD7C7F" w14:textId="77777777" w:rsidR="00584EC1" w:rsidRDefault="00584EC1">
            <w:pPr>
              <w:rPr>
                <w:rFonts w:ascii="宋体"/>
                <w:vanish/>
              </w:rPr>
            </w:pPr>
          </w:p>
        </w:tc>
        <w:tc>
          <w:tcPr>
            <w:tcW w:w="0" w:type="auto"/>
            <w:shd w:val="clear" w:color="auto" w:fill="auto"/>
            <w:vAlign w:val="bottom"/>
          </w:tcPr>
          <w:p w14:paraId="74DD7C80" w14:textId="77777777" w:rsidR="00584EC1" w:rsidRDefault="00584EC1">
            <w:pPr>
              <w:rPr>
                <w:rFonts w:ascii="宋体"/>
                <w:vanish/>
              </w:rPr>
            </w:pPr>
          </w:p>
        </w:tc>
        <w:tc>
          <w:tcPr>
            <w:tcW w:w="0" w:type="auto"/>
            <w:shd w:val="clear" w:color="auto" w:fill="auto"/>
            <w:vAlign w:val="bottom"/>
          </w:tcPr>
          <w:p w14:paraId="74DD7C81" w14:textId="77777777" w:rsidR="00584EC1" w:rsidRDefault="00584EC1">
            <w:pPr>
              <w:rPr>
                <w:rFonts w:ascii="宋体"/>
                <w:vanish/>
              </w:rPr>
            </w:pPr>
          </w:p>
        </w:tc>
        <w:tc>
          <w:tcPr>
            <w:tcW w:w="0" w:type="auto"/>
            <w:shd w:val="clear" w:color="auto" w:fill="auto"/>
            <w:vAlign w:val="bottom"/>
          </w:tcPr>
          <w:p w14:paraId="74DD7C82" w14:textId="77777777" w:rsidR="00584EC1" w:rsidRDefault="00584EC1">
            <w:pPr>
              <w:rPr>
                <w:rFonts w:ascii="宋体"/>
                <w:vanish/>
              </w:rPr>
            </w:pPr>
          </w:p>
        </w:tc>
        <w:tc>
          <w:tcPr>
            <w:tcW w:w="0" w:type="auto"/>
            <w:shd w:val="clear" w:color="auto" w:fill="auto"/>
            <w:vAlign w:val="bottom"/>
          </w:tcPr>
          <w:p w14:paraId="74DD7C83" w14:textId="77777777" w:rsidR="00584EC1" w:rsidRDefault="00584EC1">
            <w:pPr>
              <w:rPr>
                <w:rFonts w:ascii="宋体"/>
                <w:vanish/>
              </w:rPr>
            </w:pPr>
          </w:p>
        </w:tc>
        <w:tc>
          <w:tcPr>
            <w:tcW w:w="0" w:type="auto"/>
            <w:gridSpan w:val="2"/>
            <w:shd w:val="clear" w:color="auto" w:fill="CCEEFF"/>
            <w:tcMar>
              <w:top w:w="40" w:type="dxa"/>
              <w:left w:w="20" w:type="dxa"/>
              <w:bottom w:w="40" w:type="dxa"/>
              <w:right w:w="0" w:type="dxa"/>
            </w:tcMar>
            <w:vAlign w:val="bottom"/>
          </w:tcPr>
          <w:p w14:paraId="74DD7C84" w14:textId="77777777" w:rsidR="00584EC1" w:rsidRDefault="00871F8D">
            <w:pPr>
              <w:jc w:val="right"/>
              <w:textAlignment w:val="bottom"/>
            </w:pPr>
            <w:r>
              <w:rPr>
                <w:rFonts w:ascii="Arial" w:eastAsia="宋体" w:hAnsi="Arial" w:cs="Arial"/>
                <w:b/>
                <w:bCs/>
                <w:color w:val="000000"/>
                <w:sz w:val="14"/>
                <w:szCs w:val="14"/>
              </w:rPr>
              <w:t>10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7C8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C8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7C87" w14:textId="77777777" w:rsidR="00584EC1" w:rsidRDefault="00871F8D">
            <w:pPr>
              <w:jc w:val="right"/>
              <w:textAlignment w:val="bottom"/>
            </w:pPr>
            <w:r>
              <w:rPr>
                <w:rFonts w:ascii="Arial" w:eastAsia="宋体" w:hAnsi="Arial" w:cs="Arial"/>
                <w:color w:val="000000"/>
                <w:sz w:val="14"/>
                <w:szCs w:val="14"/>
              </w:rPr>
              <w:t>10 </w:t>
            </w:r>
          </w:p>
        </w:tc>
        <w:tc>
          <w:tcPr>
            <w:tcW w:w="0" w:type="auto"/>
            <w:shd w:val="clear" w:color="auto" w:fill="CCEEFF"/>
            <w:tcMar>
              <w:top w:w="40" w:type="dxa"/>
              <w:left w:w="0" w:type="dxa"/>
              <w:bottom w:w="40" w:type="dxa"/>
              <w:right w:w="20" w:type="dxa"/>
            </w:tcMar>
            <w:vAlign w:val="bottom"/>
          </w:tcPr>
          <w:p w14:paraId="74DD7C8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C89" w14:textId="77777777" w:rsidR="00584EC1" w:rsidRDefault="00584EC1">
            <w:pPr>
              <w:rPr>
                <w:rFonts w:ascii="宋体"/>
              </w:rPr>
            </w:pPr>
          </w:p>
        </w:tc>
        <w:tc>
          <w:tcPr>
            <w:tcW w:w="0" w:type="auto"/>
            <w:gridSpan w:val="3"/>
            <w:shd w:val="clear" w:color="auto" w:fill="auto"/>
            <w:vAlign w:val="bottom"/>
          </w:tcPr>
          <w:p w14:paraId="74DD7C8A" w14:textId="77777777" w:rsidR="00584EC1" w:rsidRDefault="00584EC1">
            <w:pPr>
              <w:rPr>
                <w:rFonts w:ascii="宋体"/>
                <w:vanish/>
              </w:rPr>
            </w:pPr>
          </w:p>
        </w:tc>
        <w:tc>
          <w:tcPr>
            <w:tcW w:w="0" w:type="auto"/>
            <w:gridSpan w:val="3"/>
            <w:shd w:val="clear" w:color="auto" w:fill="auto"/>
            <w:vAlign w:val="bottom"/>
          </w:tcPr>
          <w:p w14:paraId="74DD7C8B" w14:textId="77777777" w:rsidR="00584EC1" w:rsidRDefault="00584EC1">
            <w:pPr>
              <w:rPr>
                <w:rFonts w:ascii="宋体"/>
                <w:vanish/>
              </w:rPr>
            </w:pPr>
          </w:p>
        </w:tc>
        <w:tc>
          <w:tcPr>
            <w:tcW w:w="0" w:type="auto"/>
            <w:gridSpan w:val="2"/>
            <w:shd w:val="clear" w:color="auto" w:fill="CCEEFF"/>
            <w:tcMar>
              <w:top w:w="40" w:type="dxa"/>
              <w:left w:w="20" w:type="dxa"/>
              <w:bottom w:w="40" w:type="dxa"/>
              <w:right w:w="0" w:type="dxa"/>
            </w:tcMar>
            <w:vAlign w:val="bottom"/>
          </w:tcPr>
          <w:p w14:paraId="74DD7C8C"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7C8D" w14:textId="77777777" w:rsidR="00584EC1" w:rsidRDefault="00584EC1">
            <w:pPr>
              <w:jc w:val="right"/>
              <w:rPr>
                <w:rFonts w:ascii="宋体"/>
              </w:rPr>
            </w:pPr>
          </w:p>
        </w:tc>
        <w:tc>
          <w:tcPr>
            <w:tcW w:w="0" w:type="auto"/>
            <w:gridSpan w:val="3"/>
            <w:shd w:val="clear" w:color="auto" w:fill="auto"/>
            <w:vAlign w:val="bottom"/>
          </w:tcPr>
          <w:p w14:paraId="74DD7C8E" w14:textId="77777777" w:rsidR="00584EC1" w:rsidRDefault="00584EC1">
            <w:pPr>
              <w:rPr>
                <w:rFonts w:ascii="宋体"/>
                <w:vanish/>
              </w:rPr>
            </w:pPr>
          </w:p>
        </w:tc>
        <w:tc>
          <w:tcPr>
            <w:tcW w:w="0" w:type="auto"/>
            <w:gridSpan w:val="3"/>
            <w:shd w:val="clear" w:color="auto" w:fill="auto"/>
            <w:vAlign w:val="bottom"/>
          </w:tcPr>
          <w:p w14:paraId="74DD7C8F" w14:textId="77777777" w:rsidR="00584EC1" w:rsidRDefault="00584EC1">
            <w:pPr>
              <w:rPr>
                <w:rFonts w:ascii="宋体"/>
                <w:vanish/>
              </w:rPr>
            </w:pPr>
          </w:p>
        </w:tc>
      </w:tr>
      <w:tr w:rsidR="00584EC1" w14:paraId="74DD7CA3" w14:textId="77777777">
        <w:tc>
          <w:tcPr>
            <w:tcW w:w="0" w:type="auto"/>
            <w:gridSpan w:val="3"/>
            <w:shd w:val="clear" w:color="auto" w:fill="FFFFFF"/>
            <w:tcMar>
              <w:top w:w="40" w:type="dxa"/>
              <w:left w:w="20" w:type="dxa"/>
              <w:bottom w:w="40" w:type="dxa"/>
              <w:right w:w="20" w:type="dxa"/>
            </w:tcMar>
            <w:vAlign w:val="bottom"/>
          </w:tcPr>
          <w:p w14:paraId="74DD7C91" w14:textId="77777777" w:rsidR="00584EC1" w:rsidRDefault="00871F8D">
            <w:pPr>
              <w:textAlignment w:val="bottom"/>
            </w:pPr>
            <w:r>
              <w:rPr>
                <w:rFonts w:ascii="Arial" w:eastAsia="宋体" w:hAnsi="Arial" w:cs="Arial"/>
                <w:color w:val="000000"/>
                <w:sz w:val="14"/>
                <w:szCs w:val="14"/>
              </w:rPr>
              <w:t>Software and processing fees</w:t>
            </w:r>
            <w:r>
              <w:rPr>
                <w:rFonts w:ascii="Arial" w:eastAsia="宋体" w:hAnsi="Arial" w:cs="Arial"/>
                <w:color w:val="000000"/>
                <w:sz w:val="9"/>
                <w:szCs w:val="9"/>
              </w:rPr>
              <w:t>(4)</w:t>
            </w:r>
          </w:p>
        </w:tc>
        <w:tc>
          <w:tcPr>
            <w:tcW w:w="0" w:type="auto"/>
            <w:shd w:val="clear" w:color="auto" w:fill="auto"/>
            <w:vAlign w:val="bottom"/>
          </w:tcPr>
          <w:p w14:paraId="74DD7C92" w14:textId="77777777" w:rsidR="00584EC1" w:rsidRDefault="00584EC1">
            <w:pPr>
              <w:rPr>
                <w:rFonts w:ascii="宋体"/>
                <w:vanish/>
              </w:rPr>
            </w:pPr>
          </w:p>
        </w:tc>
        <w:tc>
          <w:tcPr>
            <w:tcW w:w="0" w:type="auto"/>
            <w:shd w:val="clear" w:color="auto" w:fill="auto"/>
            <w:vAlign w:val="bottom"/>
          </w:tcPr>
          <w:p w14:paraId="74DD7C93" w14:textId="77777777" w:rsidR="00584EC1" w:rsidRDefault="00584EC1">
            <w:pPr>
              <w:rPr>
                <w:rFonts w:ascii="宋体"/>
                <w:vanish/>
              </w:rPr>
            </w:pPr>
          </w:p>
        </w:tc>
        <w:tc>
          <w:tcPr>
            <w:tcW w:w="0" w:type="auto"/>
            <w:shd w:val="clear" w:color="auto" w:fill="auto"/>
            <w:vAlign w:val="bottom"/>
          </w:tcPr>
          <w:p w14:paraId="74DD7C94" w14:textId="77777777" w:rsidR="00584EC1" w:rsidRDefault="00584EC1">
            <w:pPr>
              <w:rPr>
                <w:rFonts w:ascii="宋体"/>
                <w:vanish/>
              </w:rPr>
            </w:pPr>
          </w:p>
        </w:tc>
        <w:tc>
          <w:tcPr>
            <w:tcW w:w="0" w:type="auto"/>
            <w:shd w:val="clear" w:color="auto" w:fill="auto"/>
            <w:vAlign w:val="bottom"/>
          </w:tcPr>
          <w:p w14:paraId="74DD7C95" w14:textId="77777777" w:rsidR="00584EC1" w:rsidRDefault="00584EC1">
            <w:pPr>
              <w:rPr>
                <w:rFonts w:ascii="宋体"/>
                <w:vanish/>
              </w:rPr>
            </w:pPr>
          </w:p>
        </w:tc>
        <w:tc>
          <w:tcPr>
            <w:tcW w:w="0" w:type="auto"/>
            <w:shd w:val="clear" w:color="auto" w:fill="auto"/>
            <w:vAlign w:val="bottom"/>
          </w:tcPr>
          <w:p w14:paraId="74DD7C96" w14:textId="77777777" w:rsidR="00584EC1" w:rsidRDefault="00584EC1">
            <w:pPr>
              <w:rPr>
                <w:rFonts w:ascii="宋体"/>
                <w:vanish/>
              </w:rPr>
            </w:pPr>
          </w:p>
        </w:tc>
        <w:tc>
          <w:tcPr>
            <w:tcW w:w="0" w:type="auto"/>
            <w:shd w:val="clear" w:color="auto" w:fill="auto"/>
            <w:vAlign w:val="bottom"/>
          </w:tcPr>
          <w:p w14:paraId="74DD7C97"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D7C98" w14:textId="77777777" w:rsidR="00584EC1" w:rsidRDefault="00871F8D">
            <w:pPr>
              <w:jc w:val="right"/>
              <w:textAlignment w:val="bottom"/>
            </w:pPr>
            <w:r>
              <w:rPr>
                <w:rFonts w:ascii="Arial" w:eastAsia="宋体" w:hAnsi="Arial" w:cs="Arial"/>
                <w:b/>
                <w:bCs/>
                <w:color w:val="000000"/>
                <w:sz w:val="14"/>
                <w:szCs w:val="14"/>
              </w:rPr>
              <w:t>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7C9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C9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C9B" w14:textId="77777777" w:rsidR="00584EC1" w:rsidRDefault="00871F8D">
            <w:pPr>
              <w:jc w:val="right"/>
              <w:textAlignment w:val="bottom"/>
            </w:pPr>
            <w:r>
              <w:rPr>
                <w:rFonts w:ascii="Arial" w:eastAsia="宋体" w:hAnsi="Arial" w:cs="Arial"/>
                <w:color w:val="000000"/>
                <w:sz w:val="14"/>
                <w:szCs w:val="14"/>
              </w:rPr>
              <w:t>1 </w:t>
            </w:r>
          </w:p>
        </w:tc>
        <w:tc>
          <w:tcPr>
            <w:tcW w:w="0" w:type="auto"/>
            <w:shd w:val="clear" w:color="auto" w:fill="FFFFFF"/>
            <w:tcMar>
              <w:top w:w="40" w:type="dxa"/>
              <w:left w:w="0" w:type="dxa"/>
              <w:bottom w:w="40" w:type="dxa"/>
              <w:right w:w="20" w:type="dxa"/>
            </w:tcMar>
            <w:vAlign w:val="bottom"/>
          </w:tcPr>
          <w:p w14:paraId="74DD7C9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C9D" w14:textId="77777777" w:rsidR="00584EC1" w:rsidRDefault="00584EC1">
            <w:pPr>
              <w:rPr>
                <w:rFonts w:ascii="宋体"/>
              </w:rPr>
            </w:pPr>
          </w:p>
        </w:tc>
        <w:tc>
          <w:tcPr>
            <w:tcW w:w="0" w:type="auto"/>
            <w:gridSpan w:val="3"/>
            <w:shd w:val="clear" w:color="auto" w:fill="auto"/>
            <w:vAlign w:val="bottom"/>
          </w:tcPr>
          <w:p w14:paraId="74DD7C9E" w14:textId="77777777" w:rsidR="00584EC1" w:rsidRDefault="00584EC1">
            <w:pPr>
              <w:rPr>
                <w:rFonts w:ascii="宋体"/>
                <w:vanish/>
              </w:rPr>
            </w:pPr>
          </w:p>
        </w:tc>
        <w:tc>
          <w:tcPr>
            <w:tcW w:w="0" w:type="auto"/>
            <w:gridSpan w:val="3"/>
            <w:shd w:val="clear" w:color="auto" w:fill="auto"/>
            <w:vAlign w:val="bottom"/>
          </w:tcPr>
          <w:p w14:paraId="74DD7C9F" w14:textId="77777777" w:rsidR="00584EC1" w:rsidRDefault="00584EC1">
            <w:pPr>
              <w:rPr>
                <w:rFonts w:ascii="宋体"/>
                <w:vanish/>
              </w:rPr>
            </w:pPr>
          </w:p>
        </w:tc>
        <w:tc>
          <w:tcPr>
            <w:tcW w:w="0" w:type="auto"/>
            <w:gridSpan w:val="3"/>
            <w:shd w:val="clear" w:color="auto" w:fill="FFFFFF"/>
            <w:tcMar>
              <w:top w:w="40" w:type="dxa"/>
              <w:left w:w="20" w:type="dxa"/>
              <w:bottom w:w="40" w:type="dxa"/>
              <w:right w:w="140" w:type="dxa"/>
            </w:tcMar>
            <w:vAlign w:val="bottom"/>
          </w:tcPr>
          <w:p w14:paraId="74DD7CA0" w14:textId="77777777" w:rsidR="00584EC1" w:rsidRDefault="00871F8D">
            <w:pPr>
              <w:jc w:val="right"/>
              <w:textAlignment w:val="bottom"/>
            </w:pPr>
            <w:r>
              <w:rPr>
                <w:rFonts w:ascii="Arial" w:eastAsia="宋体" w:hAnsi="Arial" w:cs="Arial"/>
                <w:color w:val="000000"/>
                <w:sz w:val="14"/>
                <w:szCs w:val="14"/>
              </w:rPr>
              <w:t>nm</w:t>
            </w:r>
          </w:p>
        </w:tc>
        <w:tc>
          <w:tcPr>
            <w:tcW w:w="0" w:type="auto"/>
            <w:gridSpan w:val="3"/>
            <w:shd w:val="clear" w:color="auto" w:fill="auto"/>
            <w:vAlign w:val="bottom"/>
          </w:tcPr>
          <w:p w14:paraId="74DD7CA1" w14:textId="77777777" w:rsidR="00584EC1" w:rsidRDefault="00584EC1">
            <w:pPr>
              <w:rPr>
                <w:rFonts w:ascii="宋体"/>
                <w:vanish/>
              </w:rPr>
            </w:pPr>
          </w:p>
        </w:tc>
        <w:tc>
          <w:tcPr>
            <w:tcW w:w="0" w:type="auto"/>
            <w:gridSpan w:val="3"/>
            <w:shd w:val="clear" w:color="auto" w:fill="auto"/>
            <w:vAlign w:val="bottom"/>
          </w:tcPr>
          <w:p w14:paraId="74DD7CA2" w14:textId="77777777" w:rsidR="00584EC1" w:rsidRDefault="00584EC1">
            <w:pPr>
              <w:rPr>
                <w:rFonts w:ascii="宋体"/>
                <w:vanish/>
              </w:rPr>
            </w:pPr>
          </w:p>
        </w:tc>
      </w:tr>
      <w:tr w:rsidR="00584EC1" w14:paraId="74DD7CB7" w14:textId="77777777">
        <w:tc>
          <w:tcPr>
            <w:tcW w:w="0" w:type="auto"/>
            <w:gridSpan w:val="3"/>
            <w:shd w:val="clear" w:color="auto" w:fill="CCEEFF"/>
            <w:tcMar>
              <w:top w:w="40" w:type="dxa"/>
              <w:left w:w="20" w:type="dxa"/>
              <w:bottom w:w="40" w:type="dxa"/>
              <w:right w:w="20" w:type="dxa"/>
            </w:tcMar>
            <w:vAlign w:val="bottom"/>
          </w:tcPr>
          <w:p w14:paraId="74DD7CA4" w14:textId="77777777" w:rsidR="00584EC1" w:rsidRDefault="00871F8D">
            <w:pPr>
              <w:textAlignment w:val="bottom"/>
            </w:pPr>
            <w:r>
              <w:rPr>
                <w:rFonts w:ascii="Arial" w:eastAsia="宋体" w:hAnsi="Arial" w:cs="Arial"/>
                <w:color w:val="000000"/>
                <w:sz w:val="14"/>
                <w:szCs w:val="14"/>
              </w:rPr>
              <w:t>Total fee revenue</w:t>
            </w:r>
          </w:p>
        </w:tc>
        <w:tc>
          <w:tcPr>
            <w:tcW w:w="0" w:type="auto"/>
            <w:shd w:val="clear" w:color="auto" w:fill="auto"/>
            <w:vAlign w:val="bottom"/>
          </w:tcPr>
          <w:p w14:paraId="74DD7CA5" w14:textId="77777777" w:rsidR="00584EC1" w:rsidRDefault="00584EC1">
            <w:pPr>
              <w:rPr>
                <w:rFonts w:ascii="宋体"/>
                <w:vanish/>
              </w:rPr>
            </w:pPr>
          </w:p>
        </w:tc>
        <w:tc>
          <w:tcPr>
            <w:tcW w:w="0" w:type="auto"/>
            <w:shd w:val="clear" w:color="auto" w:fill="auto"/>
            <w:vAlign w:val="bottom"/>
          </w:tcPr>
          <w:p w14:paraId="74DD7CA6" w14:textId="77777777" w:rsidR="00584EC1" w:rsidRDefault="00584EC1">
            <w:pPr>
              <w:rPr>
                <w:rFonts w:ascii="宋体"/>
                <w:vanish/>
              </w:rPr>
            </w:pPr>
          </w:p>
        </w:tc>
        <w:tc>
          <w:tcPr>
            <w:tcW w:w="0" w:type="auto"/>
            <w:shd w:val="clear" w:color="auto" w:fill="auto"/>
            <w:vAlign w:val="bottom"/>
          </w:tcPr>
          <w:p w14:paraId="74DD7CA7" w14:textId="77777777" w:rsidR="00584EC1" w:rsidRDefault="00584EC1">
            <w:pPr>
              <w:rPr>
                <w:rFonts w:ascii="宋体"/>
                <w:vanish/>
              </w:rPr>
            </w:pPr>
          </w:p>
        </w:tc>
        <w:tc>
          <w:tcPr>
            <w:tcW w:w="0" w:type="auto"/>
            <w:shd w:val="clear" w:color="auto" w:fill="auto"/>
            <w:vAlign w:val="bottom"/>
          </w:tcPr>
          <w:p w14:paraId="74DD7CA8" w14:textId="77777777" w:rsidR="00584EC1" w:rsidRDefault="00584EC1">
            <w:pPr>
              <w:rPr>
                <w:rFonts w:ascii="宋体"/>
                <w:vanish/>
              </w:rPr>
            </w:pPr>
          </w:p>
        </w:tc>
        <w:tc>
          <w:tcPr>
            <w:tcW w:w="0" w:type="auto"/>
            <w:shd w:val="clear" w:color="auto" w:fill="auto"/>
            <w:vAlign w:val="bottom"/>
          </w:tcPr>
          <w:p w14:paraId="74DD7CA9" w14:textId="77777777" w:rsidR="00584EC1" w:rsidRDefault="00584EC1">
            <w:pPr>
              <w:rPr>
                <w:rFonts w:ascii="宋体"/>
                <w:vanish/>
              </w:rPr>
            </w:pPr>
          </w:p>
        </w:tc>
        <w:tc>
          <w:tcPr>
            <w:tcW w:w="0" w:type="auto"/>
            <w:shd w:val="clear" w:color="auto" w:fill="auto"/>
            <w:vAlign w:val="bottom"/>
          </w:tcPr>
          <w:p w14:paraId="74DD7CAA" w14:textId="77777777" w:rsidR="00584EC1" w:rsidRDefault="00584EC1">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7CAB" w14:textId="77777777" w:rsidR="00584EC1" w:rsidRDefault="00871F8D">
            <w:pPr>
              <w:jc w:val="right"/>
              <w:textAlignment w:val="bottom"/>
            </w:pPr>
            <w:r>
              <w:rPr>
                <w:rFonts w:ascii="Arial" w:eastAsia="宋体" w:hAnsi="Arial" w:cs="Arial"/>
                <w:b/>
                <w:bCs/>
                <w:color w:val="000000"/>
                <w:sz w:val="14"/>
                <w:szCs w:val="14"/>
              </w:rPr>
              <w:t>1,578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CA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CAD"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7CAE" w14:textId="77777777" w:rsidR="00584EC1" w:rsidRDefault="00871F8D">
            <w:pPr>
              <w:jc w:val="right"/>
              <w:textAlignment w:val="bottom"/>
            </w:pPr>
            <w:r>
              <w:rPr>
                <w:rFonts w:ascii="Arial" w:eastAsia="宋体" w:hAnsi="Arial" w:cs="Arial"/>
                <w:color w:val="000000"/>
                <w:sz w:val="14"/>
                <w:szCs w:val="14"/>
              </w:rPr>
              <w:t>1,439 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CA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CB0" w14:textId="77777777" w:rsidR="00584EC1" w:rsidRDefault="00584EC1">
            <w:pPr>
              <w:rPr>
                <w:rFonts w:ascii="宋体"/>
              </w:rPr>
            </w:pPr>
          </w:p>
        </w:tc>
        <w:tc>
          <w:tcPr>
            <w:tcW w:w="0" w:type="auto"/>
            <w:gridSpan w:val="3"/>
            <w:shd w:val="clear" w:color="auto" w:fill="auto"/>
            <w:vAlign w:val="bottom"/>
          </w:tcPr>
          <w:p w14:paraId="74DD7CB1" w14:textId="77777777" w:rsidR="00584EC1" w:rsidRDefault="00584EC1">
            <w:pPr>
              <w:rPr>
                <w:rFonts w:ascii="宋体"/>
                <w:vanish/>
              </w:rPr>
            </w:pPr>
          </w:p>
        </w:tc>
        <w:tc>
          <w:tcPr>
            <w:tcW w:w="0" w:type="auto"/>
            <w:gridSpan w:val="3"/>
            <w:shd w:val="clear" w:color="auto" w:fill="auto"/>
            <w:vAlign w:val="bottom"/>
          </w:tcPr>
          <w:p w14:paraId="74DD7CB2" w14:textId="77777777" w:rsidR="00584EC1" w:rsidRDefault="00584EC1">
            <w:pPr>
              <w:rPr>
                <w:rFonts w:ascii="宋体"/>
                <w:vanish/>
              </w:rPr>
            </w:pPr>
          </w:p>
        </w:tc>
        <w:tc>
          <w:tcPr>
            <w:tcW w:w="0" w:type="auto"/>
            <w:gridSpan w:val="2"/>
            <w:shd w:val="clear" w:color="auto" w:fill="CCEEFF"/>
            <w:tcMar>
              <w:top w:w="40" w:type="dxa"/>
              <w:left w:w="20" w:type="dxa"/>
              <w:bottom w:w="40" w:type="dxa"/>
              <w:right w:w="0" w:type="dxa"/>
            </w:tcMar>
            <w:vAlign w:val="bottom"/>
          </w:tcPr>
          <w:p w14:paraId="74DD7CB3" w14:textId="77777777" w:rsidR="00584EC1" w:rsidRDefault="00871F8D">
            <w:pPr>
              <w:jc w:val="right"/>
              <w:textAlignment w:val="bottom"/>
            </w:pPr>
            <w:r>
              <w:rPr>
                <w:rFonts w:ascii="Arial" w:eastAsia="宋体" w:hAnsi="Arial" w:cs="Arial"/>
                <w:color w:val="000000"/>
                <w:sz w:val="14"/>
                <w:szCs w:val="14"/>
              </w:rPr>
              <w:t>10 </w:t>
            </w:r>
          </w:p>
        </w:tc>
        <w:tc>
          <w:tcPr>
            <w:tcW w:w="0" w:type="auto"/>
            <w:shd w:val="clear" w:color="auto" w:fill="CCEEFF"/>
            <w:tcMar>
              <w:top w:w="40" w:type="dxa"/>
              <w:left w:w="0" w:type="dxa"/>
              <w:bottom w:w="40" w:type="dxa"/>
              <w:right w:w="20" w:type="dxa"/>
            </w:tcMar>
            <w:vAlign w:val="bottom"/>
          </w:tcPr>
          <w:p w14:paraId="74DD7CB4" w14:textId="77777777" w:rsidR="00584EC1" w:rsidRDefault="00584EC1">
            <w:pPr>
              <w:jc w:val="right"/>
              <w:rPr>
                <w:rFonts w:ascii="宋体"/>
              </w:rPr>
            </w:pPr>
          </w:p>
        </w:tc>
        <w:tc>
          <w:tcPr>
            <w:tcW w:w="0" w:type="auto"/>
            <w:gridSpan w:val="3"/>
            <w:shd w:val="clear" w:color="auto" w:fill="auto"/>
            <w:vAlign w:val="bottom"/>
          </w:tcPr>
          <w:p w14:paraId="74DD7CB5" w14:textId="77777777" w:rsidR="00584EC1" w:rsidRDefault="00584EC1">
            <w:pPr>
              <w:rPr>
                <w:rFonts w:ascii="宋体"/>
                <w:vanish/>
              </w:rPr>
            </w:pPr>
          </w:p>
        </w:tc>
        <w:tc>
          <w:tcPr>
            <w:tcW w:w="0" w:type="auto"/>
            <w:gridSpan w:val="3"/>
            <w:shd w:val="clear" w:color="auto" w:fill="auto"/>
            <w:vAlign w:val="bottom"/>
          </w:tcPr>
          <w:p w14:paraId="74DD7CB6" w14:textId="77777777" w:rsidR="00584EC1" w:rsidRDefault="00584EC1">
            <w:pPr>
              <w:rPr>
                <w:rFonts w:ascii="宋体"/>
                <w:vanish/>
              </w:rPr>
            </w:pPr>
          </w:p>
        </w:tc>
      </w:tr>
      <w:tr w:rsidR="00584EC1" w14:paraId="74DD7CCB" w14:textId="77777777">
        <w:tc>
          <w:tcPr>
            <w:tcW w:w="0" w:type="auto"/>
            <w:gridSpan w:val="3"/>
            <w:shd w:val="clear" w:color="auto" w:fill="FFFFFF"/>
            <w:tcMar>
              <w:top w:w="40" w:type="dxa"/>
              <w:left w:w="20" w:type="dxa"/>
              <w:bottom w:w="40" w:type="dxa"/>
              <w:right w:w="20" w:type="dxa"/>
            </w:tcMar>
            <w:vAlign w:val="bottom"/>
          </w:tcPr>
          <w:p w14:paraId="74DD7CB8" w14:textId="77777777" w:rsidR="00584EC1" w:rsidRDefault="00871F8D">
            <w:pPr>
              <w:textAlignment w:val="bottom"/>
            </w:pPr>
            <w:r>
              <w:rPr>
                <w:rFonts w:ascii="Arial" w:eastAsia="宋体" w:hAnsi="Arial" w:cs="Arial"/>
                <w:color w:val="000000"/>
                <w:sz w:val="14"/>
                <w:szCs w:val="14"/>
              </w:rPr>
              <w:t>Net interest income</w:t>
            </w:r>
          </w:p>
        </w:tc>
        <w:tc>
          <w:tcPr>
            <w:tcW w:w="0" w:type="auto"/>
            <w:shd w:val="clear" w:color="auto" w:fill="auto"/>
            <w:vAlign w:val="bottom"/>
          </w:tcPr>
          <w:p w14:paraId="74DD7CB9" w14:textId="77777777" w:rsidR="00584EC1" w:rsidRDefault="00584EC1">
            <w:pPr>
              <w:rPr>
                <w:rFonts w:ascii="宋体"/>
                <w:vanish/>
              </w:rPr>
            </w:pPr>
          </w:p>
        </w:tc>
        <w:tc>
          <w:tcPr>
            <w:tcW w:w="0" w:type="auto"/>
            <w:shd w:val="clear" w:color="auto" w:fill="auto"/>
            <w:vAlign w:val="bottom"/>
          </w:tcPr>
          <w:p w14:paraId="74DD7CBA" w14:textId="77777777" w:rsidR="00584EC1" w:rsidRDefault="00584EC1">
            <w:pPr>
              <w:rPr>
                <w:rFonts w:ascii="宋体"/>
                <w:vanish/>
              </w:rPr>
            </w:pPr>
          </w:p>
        </w:tc>
        <w:tc>
          <w:tcPr>
            <w:tcW w:w="0" w:type="auto"/>
            <w:shd w:val="clear" w:color="auto" w:fill="auto"/>
            <w:vAlign w:val="bottom"/>
          </w:tcPr>
          <w:p w14:paraId="74DD7CBB" w14:textId="77777777" w:rsidR="00584EC1" w:rsidRDefault="00584EC1">
            <w:pPr>
              <w:rPr>
                <w:rFonts w:ascii="宋体"/>
                <w:vanish/>
              </w:rPr>
            </w:pPr>
          </w:p>
        </w:tc>
        <w:tc>
          <w:tcPr>
            <w:tcW w:w="0" w:type="auto"/>
            <w:shd w:val="clear" w:color="auto" w:fill="auto"/>
            <w:vAlign w:val="bottom"/>
          </w:tcPr>
          <w:p w14:paraId="74DD7CBC" w14:textId="77777777" w:rsidR="00584EC1" w:rsidRDefault="00584EC1">
            <w:pPr>
              <w:rPr>
                <w:rFonts w:ascii="宋体"/>
                <w:vanish/>
              </w:rPr>
            </w:pPr>
          </w:p>
        </w:tc>
        <w:tc>
          <w:tcPr>
            <w:tcW w:w="0" w:type="auto"/>
            <w:shd w:val="clear" w:color="auto" w:fill="auto"/>
            <w:vAlign w:val="bottom"/>
          </w:tcPr>
          <w:p w14:paraId="74DD7CBD" w14:textId="77777777" w:rsidR="00584EC1" w:rsidRDefault="00584EC1">
            <w:pPr>
              <w:rPr>
                <w:rFonts w:ascii="宋体"/>
                <w:vanish/>
              </w:rPr>
            </w:pPr>
          </w:p>
        </w:tc>
        <w:tc>
          <w:tcPr>
            <w:tcW w:w="0" w:type="auto"/>
            <w:shd w:val="clear" w:color="auto" w:fill="auto"/>
            <w:vAlign w:val="bottom"/>
          </w:tcPr>
          <w:p w14:paraId="74DD7CBE"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D7CBF" w14:textId="77777777" w:rsidR="00584EC1" w:rsidRDefault="00871F8D">
            <w:pPr>
              <w:jc w:val="right"/>
              <w:textAlignment w:val="bottom"/>
            </w:pPr>
            <w:r>
              <w:rPr>
                <w:rFonts w:ascii="Arial" w:eastAsia="宋体" w:hAnsi="Arial" w:cs="Arial"/>
                <w:b/>
                <w:bCs/>
                <w:color w:val="000000"/>
                <w:sz w:val="14"/>
                <w:szCs w:val="14"/>
              </w:rPr>
              <w:t>(11)</w:t>
            </w:r>
          </w:p>
        </w:tc>
        <w:tc>
          <w:tcPr>
            <w:tcW w:w="0" w:type="auto"/>
            <w:shd w:val="clear" w:color="auto" w:fill="FFFFFF"/>
            <w:tcMar>
              <w:top w:w="40" w:type="dxa"/>
              <w:left w:w="0" w:type="dxa"/>
              <w:bottom w:w="40" w:type="dxa"/>
              <w:right w:w="20" w:type="dxa"/>
            </w:tcMar>
            <w:vAlign w:val="bottom"/>
          </w:tcPr>
          <w:p w14:paraId="74DD7CC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CC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CC2" w14:textId="77777777" w:rsidR="00584EC1" w:rsidRDefault="00871F8D">
            <w:pPr>
              <w:jc w:val="right"/>
              <w:textAlignment w:val="bottom"/>
            </w:pPr>
            <w:r>
              <w:rPr>
                <w:rFonts w:ascii="Arial" w:eastAsia="宋体" w:hAnsi="Arial" w:cs="Arial"/>
                <w:color w:val="000000"/>
                <w:sz w:val="14"/>
                <w:szCs w:val="14"/>
              </w:rPr>
              <w:t>(15)</w:t>
            </w:r>
          </w:p>
        </w:tc>
        <w:tc>
          <w:tcPr>
            <w:tcW w:w="0" w:type="auto"/>
            <w:shd w:val="clear" w:color="auto" w:fill="FFFFFF"/>
            <w:tcMar>
              <w:top w:w="40" w:type="dxa"/>
              <w:left w:w="0" w:type="dxa"/>
              <w:bottom w:w="40" w:type="dxa"/>
              <w:right w:w="20" w:type="dxa"/>
            </w:tcMar>
            <w:vAlign w:val="bottom"/>
          </w:tcPr>
          <w:p w14:paraId="74DD7CC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CC4" w14:textId="77777777" w:rsidR="00584EC1" w:rsidRDefault="00584EC1">
            <w:pPr>
              <w:rPr>
                <w:rFonts w:ascii="宋体"/>
              </w:rPr>
            </w:pPr>
          </w:p>
        </w:tc>
        <w:tc>
          <w:tcPr>
            <w:tcW w:w="0" w:type="auto"/>
            <w:gridSpan w:val="3"/>
            <w:shd w:val="clear" w:color="auto" w:fill="auto"/>
            <w:vAlign w:val="bottom"/>
          </w:tcPr>
          <w:p w14:paraId="74DD7CC5" w14:textId="77777777" w:rsidR="00584EC1" w:rsidRDefault="00584EC1">
            <w:pPr>
              <w:rPr>
                <w:rFonts w:ascii="宋体"/>
                <w:vanish/>
              </w:rPr>
            </w:pPr>
          </w:p>
        </w:tc>
        <w:tc>
          <w:tcPr>
            <w:tcW w:w="0" w:type="auto"/>
            <w:gridSpan w:val="3"/>
            <w:shd w:val="clear" w:color="auto" w:fill="auto"/>
            <w:vAlign w:val="bottom"/>
          </w:tcPr>
          <w:p w14:paraId="74DD7CC6"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D7CC7" w14:textId="77777777" w:rsidR="00584EC1" w:rsidRDefault="00871F8D">
            <w:pPr>
              <w:jc w:val="right"/>
              <w:textAlignment w:val="bottom"/>
            </w:pPr>
            <w:r>
              <w:rPr>
                <w:rFonts w:ascii="Arial" w:eastAsia="宋体" w:hAnsi="Arial" w:cs="Arial"/>
                <w:color w:val="000000"/>
                <w:sz w:val="14"/>
                <w:szCs w:val="14"/>
              </w:rPr>
              <w:t>(27)</w:t>
            </w:r>
          </w:p>
        </w:tc>
        <w:tc>
          <w:tcPr>
            <w:tcW w:w="0" w:type="auto"/>
            <w:shd w:val="clear" w:color="auto" w:fill="FFFFFF"/>
            <w:tcMar>
              <w:top w:w="40" w:type="dxa"/>
              <w:left w:w="0" w:type="dxa"/>
              <w:bottom w:w="40" w:type="dxa"/>
              <w:right w:w="20" w:type="dxa"/>
            </w:tcMar>
            <w:vAlign w:val="bottom"/>
          </w:tcPr>
          <w:p w14:paraId="74DD7CC8" w14:textId="77777777" w:rsidR="00584EC1" w:rsidRDefault="00584EC1">
            <w:pPr>
              <w:jc w:val="right"/>
              <w:rPr>
                <w:rFonts w:ascii="宋体"/>
              </w:rPr>
            </w:pPr>
          </w:p>
        </w:tc>
        <w:tc>
          <w:tcPr>
            <w:tcW w:w="0" w:type="auto"/>
            <w:gridSpan w:val="3"/>
            <w:shd w:val="clear" w:color="auto" w:fill="auto"/>
            <w:vAlign w:val="bottom"/>
          </w:tcPr>
          <w:p w14:paraId="74DD7CC9" w14:textId="77777777" w:rsidR="00584EC1" w:rsidRDefault="00584EC1">
            <w:pPr>
              <w:rPr>
                <w:rFonts w:ascii="宋体"/>
                <w:vanish/>
              </w:rPr>
            </w:pPr>
          </w:p>
        </w:tc>
        <w:tc>
          <w:tcPr>
            <w:tcW w:w="0" w:type="auto"/>
            <w:gridSpan w:val="3"/>
            <w:shd w:val="clear" w:color="auto" w:fill="auto"/>
            <w:vAlign w:val="bottom"/>
          </w:tcPr>
          <w:p w14:paraId="74DD7CCA" w14:textId="77777777" w:rsidR="00584EC1" w:rsidRDefault="00584EC1">
            <w:pPr>
              <w:rPr>
                <w:rFonts w:ascii="宋体"/>
                <w:vanish/>
              </w:rPr>
            </w:pPr>
          </w:p>
        </w:tc>
      </w:tr>
      <w:tr w:rsidR="00584EC1" w14:paraId="74DD7CDF" w14:textId="77777777">
        <w:tc>
          <w:tcPr>
            <w:tcW w:w="0" w:type="auto"/>
            <w:gridSpan w:val="3"/>
            <w:shd w:val="clear" w:color="auto" w:fill="CCEEFF"/>
            <w:tcMar>
              <w:top w:w="40" w:type="dxa"/>
              <w:left w:w="20" w:type="dxa"/>
              <w:bottom w:w="40" w:type="dxa"/>
              <w:right w:w="20" w:type="dxa"/>
            </w:tcMar>
            <w:vAlign w:val="bottom"/>
          </w:tcPr>
          <w:p w14:paraId="74DD7CCC" w14:textId="77777777" w:rsidR="00584EC1" w:rsidRDefault="00871F8D">
            <w:pPr>
              <w:textAlignment w:val="bottom"/>
            </w:pPr>
            <w:r>
              <w:rPr>
                <w:rFonts w:ascii="Arial" w:eastAsia="宋体" w:hAnsi="Arial" w:cs="Arial"/>
                <w:b/>
                <w:bCs/>
                <w:color w:val="000000"/>
                <w:sz w:val="14"/>
                <w:szCs w:val="14"/>
              </w:rPr>
              <w:t>Total revenue</w:t>
            </w:r>
          </w:p>
        </w:tc>
        <w:tc>
          <w:tcPr>
            <w:tcW w:w="0" w:type="auto"/>
            <w:shd w:val="clear" w:color="auto" w:fill="auto"/>
            <w:vAlign w:val="bottom"/>
          </w:tcPr>
          <w:p w14:paraId="74DD7CCD" w14:textId="77777777" w:rsidR="00584EC1" w:rsidRDefault="00584EC1">
            <w:pPr>
              <w:rPr>
                <w:rFonts w:ascii="宋体"/>
                <w:vanish/>
              </w:rPr>
            </w:pPr>
          </w:p>
        </w:tc>
        <w:tc>
          <w:tcPr>
            <w:tcW w:w="0" w:type="auto"/>
            <w:shd w:val="clear" w:color="auto" w:fill="auto"/>
            <w:vAlign w:val="bottom"/>
          </w:tcPr>
          <w:p w14:paraId="74DD7CCE" w14:textId="77777777" w:rsidR="00584EC1" w:rsidRDefault="00584EC1">
            <w:pPr>
              <w:rPr>
                <w:rFonts w:ascii="宋体"/>
                <w:vanish/>
              </w:rPr>
            </w:pPr>
          </w:p>
        </w:tc>
        <w:tc>
          <w:tcPr>
            <w:tcW w:w="0" w:type="auto"/>
            <w:shd w:val="clear" w:color="auto" w:fill="auto"/>
            <w:vAlign w:val="bottom"/>
          </w:tcPr>
          <w:p w14:paraId="74DD7CCF" w14:textId="77777777" w:rsidR="00584EC1" w:rsidRDefault="00584EC1">
            <w:pPr>
              <w:rPr>
                <w:rFonts w:ascii="宋体"/>
                <w:vanish/>
              </w:rPr>
            </w:pPr>
          </w:p>
        </w:tc>
        <w:tc>
          <w:tcPr>
            <w:tcW w:w="0" w:type="auto"/>
            <w:shd w:val="clear" w:color="auto" w:fill="auto"/>
            <w:vAlign w:val="bottom"/>
          </w:tcPr>
          <w:p w14:paraId="74DD7CD0" w14:textId="77777777" w:rsidR="00584EC1" w:rsidRDefault="00584EC1">
            <w:pPr>
              <w:rPr>
                <w:rFonts w:ascii="宋体"/>
                <w:vanish/>
              </w:rPr>
            </w:pPr>
          </w:p>
        </w:tc>
        <w:tc>
          <w:tcPr>
            <w:tcW w:w="0" w:type="auto"/>
            <w:shd w:val="clear" w:color="auto" w:fill="auto"/>
            <w:vAlign w:val="bottom"/>
          </w:tcPr>
          <w:p w14:paraId="74DD7CD1" w14:textId="77777777" w:rsidR="00584EC1" w:rsidRDefault="00584EC1">
            <w:pPr>
              <w:rPr>
                <w:rFonts w:ascii="宋体"/>
                <w:vanish/>
              </w:rPr>
            </w:pPr>
          </w:p>
        </w:tc>
        <w:tc>
          <w:tcPr>
            <w:tcW w:w="0" w:type="auto"/>
            <w:shd w:val="clear" w:color="auto" w:fill="auto"/>
            <w:vAlign w:val="bottom"/>
          </w:tcPr>
          <w:p w14:paraId="74DD7CD2" w14:textId="77777777" w:rsidR="00584EC1" w:rsidRDefault="00584EC1">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7CD3" w14:textId="77777777" w:rsidR="00584EC1" w:rsidRDefault="00871F8D">
            <w:pPr>
              <w:jc w:val="right"/>
              <w:textAlignment w:val="bottom"/>
            </w:pPr>
            <w:r>
              <w:rPr>
                <w:rFonts w:ascii="Arial" w:eastAsia="宋体" w:hAnsi="Arial" w:cs="Arial"/>
                <w:b/>
                <w:bCs/>
                <w:color w:val="000000"/>
                <w:sz w:val="14"/>
                <w:szCs w:val="14"/>
              </w:rPr>
              <w:t>1,567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CD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CD5"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7CD6" w14:textId="77777777" w:rsidR="00584EC1" w:rsidRDefault="00871F8D">
            <w:pPr>
              <w:jc w:val="right"/>
              <w:textAlignment w:val="bottom"/>
            </w:pPr>
            <w:r>
              <w:rPr>
                <w:rFonts w:ascii="Arial" w:eastAsia="宋体" w:hAnsi="Arial" w:cs="Arial"/>
                <w:color w:val="000000"/>
                <w:sz w:val="14"/>
                <w:szCs w:val="14"/>
              </w:rPr>
              <w:t>1,424 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CD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CD8" w14:textId="77777777" w:rsidR="00584EC1" w:rsidRDefault="00584EC1">
            <w:pPr>
              <w:rPr>
                <w:rFonts w:ascii="宋体"/>
              </w:rPr>
            </w:pPr>
          </w:p>
        </w:tc>
        <w:tc>
          <w:tcPr>
            <w:tcW w:w="0" w:type="auto"/>
            <w:gridSpan w:val="3"/>
            <w:shd w:val="clear" w:color="auto" w:fill="auto"/>
            <w:vAlign w:val="bottom"/>
          </w:tcPr>
          <w:p w14:paraId="74DD7CD9" w14:textId="77777777" w:rsidR="00584EC1" w:rsidRDefault="00584EC1">
            <w:pPr>
              <w:rPr>
                <w:rFonts w:ascii="宋体"/>
                <w:vanish/>
              </w:rPr>
            </w:pPr>
          </w:p>
        </w:tc>
        <w:tc>
          <w:tcPr>
            <w:tcW w:w="0" w:type="auto"/>
            <w:gridSpan w:val="3"/>
            <w:shd w:val="clear" w:color="auto" w:fill="auto"/>
            <w:vAlign w:val="bottom"/>
          </w:tcPr>
          <w:p w14:paraId="74DD7CDA" w14:textId="77777777" w:rsidR="00584EC1" w:rsidRDefault="00584EC1">
            <w:pPr>
              <w:rPr>
                <w:rFonts w:ascii="宋体"/>
                <w:vanish/>
              </w:rPr>
            </w:pPr>
          </w:p>
        </w:tc>
        <w:tc>
          <w:tcPr>
            <w:tcW w:w="0" w:type="auto"/>
            <w:gridSpan w:val="2"/>
            <w:shd w:val="clear" w:color="auto" w:fill="CCEEFF"/>
            <w:tcMar>
              <w:top w:w="40" w:type="dxa"/>
              <w:left w:w="20" w:type="dxa"/>
              <w:bottom w:w="40" w:type="dxa"/>
              <w:right w:w="0" w:type="dxa"/>
            </w:tcMar>
            <w:vAlign w:val="bottom"/>
          </w:tcPr>
          <w:p w14:paraId="74DD7CDB" w14:textId="77777777" w:rsidR="00584EC1" w:rsidRDefault="00871F8D">
            <w:pPr>
              <w:jc w:val="right"/>
              <w:textAlignment w:val="bottom"/>
            </w:pPr>
            <w:r>
              <w:rPr>
                <w:rFonts w:ascii="Arial" w:eastAsia="宋体" w:hAnsi="Arial" w:cs="Arial"/>
                <w:color w:val="000000"/>
                <w:sz w:val="14"/>
                <w:szCs w:val="14"/>
              </w:rPr>
              <w:t>10 </w:t>
            </w:r>
          </w:p>
        </w:tc>
        <w:tc>
          <w:tcPr>
            <w:tcW w:w="0" w:type="auto"/>
            <w:shd w:val="clear" w:color="auto" w:fill="CCEEFF"/>
            <w:tcMar>
              <w:top w:w="40" w:type="dxa"/>
              <w:left w:w="0" w:type="dxa"/>
              <w:bottom w:w="40" w:type="dxa"/>
              <w:right w:w="20" w:type="dxa"/>
            </w:tcMar>
            <w:vAlign w:val="bottom"/>
          </w:tcPr>
          <w:p w14:paraId="74DD7CDC" w14:textId="77777777" w:rsidR="00584EC1" w:rsidRDefault="00584EC1">
            <w:pPr>
              <w:jc w:val="right"/>
              <w:rPr>
                <w:rFonts w:ascii="宋体"/>
              </w:rPr>
            </w:pPr>
          </w:p>
        </w:tc>
        <w:tc>
          <w:tcPr>
            <w:tcW w:w="0" w:type="auto"/>
            <w:gridSpan w:val="3"/>
            <w:shd w:val="clear" w:color="auto" w:fill="auto"/>
            <w:vAlign w:val="bottom"/>
          </w:tcPr>
          <w:p w14:paraId="74DD7CDD" w14:textId="77777777" w:rsidR="00584EC1" w:rsidRDefault="00584EC1">
            <w:pPr>
              <w:rPr>
                <w:rFonts w:ascii="宋体"/>
                <w:vanish/>
              </w:rPr>
            </w:pPr>
          </w:p>
        </w:tc>
        <w:tc>
          <w:tcPr>
            <w:tcW w:w="0" w:type="auto"/>
            <w:gridSpan w:val="3"/>
            <w:shd w:val="clear" w:color="auto" w:fill="auto"/>
            <w:vAlign w:val="bottom"/>
          </w:tcPr>
          <w:p w14:paraId="74DD7CDE" w14:textId="77777777" w:rsidR="00584EC1" w:rsidRDefault="00584EC1">
            <w:pPr>
              <w:rPr>
                <w:rFonts w:ascii="宋体"/>
                <w:vanish/>
              </w:rPr>
            </w:pPr>
          </w:p>
        </w:tc>
      </w:tr>
      <w:tr w:rsidR="00584EC1" w14:paraId="74DD7CF2" w14:textId="77777777">
        <w:tc>
          <w:tcPr>
            <w:tcW w:w="0" w:type="auto"/>
            <w:gridSpan w:val="3"/>
            <w:shd w:val="clear" w:color="auto" w:fill="FFFFFF"/>
            <w:tcMar>
              <w:top w:w="40" w:type="dxa"/>
              <w:left w:w="20" w:type="dxa"/>
              <w:bottom w:w="40" w:type="dxa"/>
              <w:right w:w="20" w:type="dxa"/>
            </w:tcMar>
            <w:vAlign w:val="bottom"/>
          </w:tcPr>
          <w:p w14:paraId="74DD7CE0" w14:textId="77777777" w:rsidR="00584EC1" w:rsidRDefault="00871F8D">
            <w:pPr>
              <w:textAlignment w:val="bottom"/>
            </w:pPr>
            <w:r>
              <w:rPr>
                <w:rFonts w:ascii="Arial" w:eastAsia="宋体" w:hAnsi="Arial" w:cs="Arial"/>
                <w:b/>
                <w:bCs/>
                <w:color w:val="000000"/>
                <w:sz w:val="14"/>
                <w:szCs w:val="14"/>
              </w:rPr>
              <w:t>Provision for credit losses</w:t>
            </w:r>
          </w:p>
        </w:tc>
        <w:tc>
          <w:tcPr>
            <w:tcW w:w="0" w:type="auto"/>
            <w:shd w:val="clear" w:color="auto" w:fill="auto"/>
            <w:vAlign w:val="bottom"/>
          </w:tcPr>
          <w:p w14:paraId="74DD7CE1" w14:textId="77777777" w:rsidR="00584EC1" w:rsidRDefault="00584EC1">
            <w:pPr>
              <w:rPr>
                <w:rFonts w:ascii="宋体"/>
                <w:vanish/>
              </w:rPr>
            </w:pPr>
          </w:p>
        </w:tc>
        <w:tc>
          <w:tcPr>
            <w:tcW w:w="0" w:type="auto"/>
            <w:shd w:val="clear" w:color="auto" w:fill="auto"/>
            <w:vAlign w:val="bottom"/>
          </w:tcPr>
          <w:p w14:paraId="74DD7CE2" w14:textId="77777777" w:rsidR="00584EC1" w:rsidRDefault="00584EC1">
            <w:pPr>
              <w:rPr>
                <w:rFonts w:ascii="宋体"/>
                <w:vanish/>
              </w:rPr>
            </w:pPr>
          </w:p>
        </w:tc>
        <w:tc>
          <w:tcPr>
            <w:tcW w:w="0" w:type="auto"/>
            <w:shd w:val="clear" w:color="auto" w:fill="auto"/>
            <w:vAlign w:val="bottom"/>
          </w:tcPr>
          <w:p w14:paraId="74DD7CE3" w14:textId="77777777" w:rsidR="00584EC1" w:rsidRDefault="00584EC1">
            <w:pPr>
              <w:rPr>
                <w:rFonts w:ascii="宋体"/>
                <w:vanish/>
              </w:rPr>
            </w:pPr>
          </w:p>
        </w:tc>
        <w:tc>
          <w:tcPr>
            <w:tcW w:w="0" w:type="auto"/>
            <w:shd w:val="clear" w:color="auto" w:fill="auto"/>
            <w:vAlign w:val="bottom"/>
          </w:tcPr>
          <w:p w14:paraId="74DD7CE4" w14:textId="77777777" w:rsidR="00584EC1" w:rsidRDefault="00584EC1">
            <w:pPr>
              <w:rPr>
                <w:rFonts w:ascii="宋体"/>
                <w:vanish/>
              </w:rPr>
            </w:pPr>
          </w:p>
        </w:tc>
        <w:tc>
          <w:tcPr>
            <w:tcW w:w="0" w:type="auto"/>
            <w:shd w:val="clear" w:color="auto" w:fill="auto"/>
            <w:vAlign w:val="bottom"/>
          </w:tcPr>
          <w:p w14:paraId="74DD7CE5" w14:textId="77777777" w:rsidR="00584EC1" w:rsidRDefault="00584EC1">
            <w:pPr>
              <w:rPr>
                <w:rFonts w:ascii="宋体"/>
                <w:vanish/>
              </w:rPr>
            </w:pPr>
          </w:p>
        </w:tc>
        <w:tc>
          <w:tcPr>
            <w:tcW w:w="0" w:type="auto"/>
            <w:shd w:val="clear" w:color="auto" w:fill="auto"/>
            <w:vAlign w:val="bottom"/>
          </w:tcPr>
          <w:p w14:paraId="74DD7CE6"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D7CE7"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7CE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CE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CEA"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7CE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CEC" w14:textId="77777777" w:rsidR="00584EC1" w:rsidRDefault="00584EC1">
            <w:pPr>
              <w:rPr>
                <w:rFonts w:ascii="宋体"/>
              </w:rPr>
            </w:pPr>
          </w:p>
        </w:tc>
        <w:tc>
          <w:tcPr>
            <w:tcW w:w="0" w:type="auto"/>
            <w:gridSpan w:val="3"/>
            <w:shd w:val="clear" w:color="auto" w:fill="auto"/>
            <w:vAlign w:val="bottom"/>
          </w:tcPr>
          <w:p w14:paraId="74DD7CED" w14:textId="77777777" w:rsidR="00584EC1" w:rsidRDefault="00584EC1">
            <w:pPr>
              <w:rPr>
                <w:rFonts w:ascii="宋体"/>
                <w:vanish/>
              </w:rPr>
            </w:pPr>
          </w:p>
        </w:tc>
        <w:tc>
          <w:tcPr>
            <w:tcW w:w="0" w:type="auto"/>
            <w:gridSpan w:val="3"/>
            <w:shd w:val="clear" w:color="auto" w:fill="auto"/>
            <w:vAlign w:val="bottom"/>
          </w:tcPr>
          <w:p w14:paraId="74DD7CEE" w14:textId="77777777" w:rsidR="00584EC1" w:rsidRDefault="00584EC1">
            <w:pPr>
              <w:rPr>
                <w:rFonts w:ascii="宋体"/>
                <w:vanish/>
              </w:rPr>
            </w:pPr>
          </w:p>
        </w:tc>
        <w:tc>
          <w:tcPr>
            <w:tcW w:w="0" w:type="auto"/>
            <w:gridSpan w:val="3"/>
            <w:shd w:val="clear" w:color="auto" w:fill="FFFFFF"/>
            <w:tcMar>
              <w:top w:w="40" w:type="dxa"/>
              <w:left w:w="20" w:type="dxa"/>
              <w:bottom w:w="40" w:type="dxa"/>
              <w:right w:w="140" w:type="dxa"/>
            </w:tcMar>
            <w:vAlign w:val="bottom"/>
          </w:tcPr>
          <w:p w14:paraId="74DD7CEF" w14:textId="77777777" w:rsidR="00584EC1" w:rsidRDefault="00871F8D">
            <w:pPr>
              <w:jc w:val="right"/>
              <w:textAlignment w:val="bottom"/>
            </w:pPr>
            <w:r>
              <w:rPr>
                <w:rFonts w:ascii="Arial" w:eastAsia="宋体" w:hAnsi="Arial" w:cs="Arial"/>
                <w:color w:val="000000"/>
                <w:sz w:val="14"/>
                <w:szCs w:val="14"/>
              </w:rPr>
              <w:t>nm</w:t>
            </w:r>
          </w:p>
        </w:tc>
        <w:tc>
          <w:tcPr>
            <w:tcW w:w="0" w:type="auto"/>
            <w:gridSpan w:val="3"/>
            <w:shd w:val="clear" w:color="auto" w:fill="auto"/>
            <w:vAlign w:val="bottom"/>
          </w:tcPr>
          <w:p w14:paraId="74DD7CF0" w14:textId="77777777" w:rsidR="00584EC1" w:rsidRDefault="00584EC1">
            <w:pPr>
              <w:rPr>
                <w:rFonts w:ascii="宋体"/>
                <w:vanish/>
              </w:rPr>
            </w:pPr>
          </w:p>
        </w:tc>
        <w:tc>
          <w:tcPr>
            <w:tcW w:w="0" w:type="auto"/>
            <w:gridSpan w:val="3"/>
            <w:shd w:val="clear" w:color="auto" w:fill="auto"/>
            <w:vAlign w:val="bottom"/>
          </w:tcPr>
          <w:p w14:paraId="74DD7CF1" w14:textId="77777777" w:rsidR="00584EC1" w:rsidRDefault="00584EC1">
            <w:pPr>
              <w:rPr>
                <w:rFonts w:ascii="宋体"/>
                <w:vanish/>
              </w:rPr>
            </w:pPr>
          </w:p>
        </w:tc>
      </w:tr>
      <w:tr w:rsidR="00584EC1" w14:paraId="74DD7D06" w14:textId="77777777">
        <w:tc>
          <w:tcPr>
            <w:tcW w:w="0" w:type="auto"/>
            <w:gridSpan w:val="3"/>
            <w:shd w:val="clear" w:color="auto" w:fill="CCEEFF"/>
            <w:tcMar>
              <w:top w:w="40" w:type="dxa"/>
              <w:left w:w="20" w:type="dxa"/>
              <w:bottom w:w="40" w:type="dxa"/>
              <w:right w:w="20" w:type="dxa"/>
            </w:tcMar>
            <w:vAlign w:val="bottom"/>
          </w:tcPr>
          <w:p w14:paraId="74DD7CF3" w14:textId="77777777" w:rsidR="00584EC1" w:rsidRDefault="00871F8D">
            <w:pPr>
              <w:textAlignment w:val="bottom"/>
            </w:pPr>
            <w:r>
              <w:rPr>
                <w:rFonts w:ascii="Arial" w:eastAsia="宋体" w:hAnsi="Arial" w:cs="Arial"/>
                <w:b/>
                <w:bCs/>
                <w:color w:val="000000"/>
                <w:sz w:val="14"/>
                <w:szCs w:val="14"/>
              </w:rPr>
              <w:t>Total expenses</w:t>
            </w:r>
          </w:p>
        </w:tc>
        <w:tc>
          <w:tcPr>
            <w:tcW w:w="0" w:type="auto"/>
            <w:shd w:val="clear" w:color="auto" w:fill="auto"/>
            <w:vAlign w:val="bottom"/>
          </w:tcPr>
          <w:p w14:paraId="74DD7CF4" w14:textId="77777777" w:rsidR="00584EC1" w:rsidRDefault="00584EC1">
            <w:pPr>
              <w:rPr>
                <w:rFonts w:ascii="宋体"/>
                <w:vanish/>
              </w:rPr>
            </w:pPr>
          </w:p>
        </w:tc>
        <w:tc>
          <w:tcPr>
            <w:tcW w:w="0" w:type="auto"/>
            <w:shd w:val="clear" w:color="auto" w:fill="auto"/>
            <w:vAlign w:val="bottom"/>
          </w:tcPr>
          <w:p w14:paraId="74DD7CF5" w14:textId="77777777" w:rsidR="00584EC1" w:rsidRDefault="00584EC1">
            <w:pPr>
              <w:rPr>
                <w:rFonts w:ascii="宋体"/>
                <w:vanish/>
              </w:rPr>
            </w:pPr>
          </w:p>
        </w:tc>
        <w:tc>
          <w:tcPr>
            <w:tcW w:w="0" w:type="auto"/>
            <w:shd w:val="clear" w:color="auto" w:fill="auto"/>
            <w:vAlign w:val="bottom"/>
          </w:tcPr>
          <w:p w14:paraId="74DD7CF6" w14:textId="77777777" w:rsidR="00584EC1" w:rsidRDefault="00584EC1">
            <w:pPr>
              <w:rPr>
                <w:rFonts w:ascii="宋体"/>
                <w:vanish/>
              </w:rPr>
            </w:pPr>
          </w:p>
        </w:tc>
        <w:tc>
          <w:tcPr>
            <w:tcW w:w="0" w:type="auto"/>
            <w:shd w:val="clear" w:color="auto" w:fill="auto"/>
            <w:vAlign w:val="bottom"/>
          </w:tcPr>
          <w:p w14:paraId="74DD7CF7" w14:textId="77777777" w:rsidR="00584EC1" w:rsidRDefault="00584EC1">
            <w:pPr>
              <w:rPr>
                <w:rFonts w:ascii="宋体"/>
                <w:vanish/>
              </w:rPr>
            </w:pPr>
          </w:p>
        </w:tc>
        <w:tc>
          <w:tcPr>
            <w:tcW w:w="0" w:type="auto"/>
            <w:shd w:val="clear" w:color="auto" w:fill="auto"/>
            <w:vAlign w:val="bottom"/>
          </w:tcPr>
          <w:p w14:paraId="74DD7CF8" w14:textId="77777777" w:rsidR="00584EC1" w:rsidRDefault="00584EC1">
            <w:pPr>
              <w:rPr>
                <w:rFonts w:ascii="宋体"/>
                <w:vanish/>
              </w:rPr>
            </w:pPr>
          </w:p>
        </w:tc>
        <w:tc>
          <w:tcPr>
            <w:tcW w:w="0" w:type="auto"/>
            <w:shd w:val="clear" w:color="auto" w:fill="auto"/>
            <w:vAlign w:val="bottom"/>
          </w:tcPr>
          <w:p w14:paraId="74DD7CF9" w14:textId="77777777" w:rsidR="00584EC1" w:rsidRDefault="00584EC1">
            <w:pPr>
              <w:rPr>
                <w:rFonts w:ascii="宋体"/>
                <w:vanish/>
              </w:rPr>
            </w:pPr>
          </w:p>
        </w:tc>
        <w:tc>
          <w:tcPr>
            <w:tcW w:w="0" w:type="auto"/>
            <w:gridSpan w:val="2"/>
            <w:shd w:val="clear" w:color="auto" w:fill="CCEEFF"/>
            <w:tcMar>
              <w:top w:w="40" w:type="dxa"/>
              <w:left w:w="20" w:type="dxa"/>
              <w:bottom w:w="40" w:type="dxa"/>
              <w:right w:w="0" w:type="dxa"/>
            </w:tcMar>
            <w:vAlign w:val="bottom"/>
          </w:tcPr>
          <w:p w14:paraId="74DD7CFA" w14:textId="77777777" w:rsidR="00584EC1" w:rsidRDefault="00871F8D">
            <w:pPr>
              <w:jc w:val="right"/>
              <w:textAlignment w:val="bottom"/>
            </w:pPr>
            <w:r>
              <w:rPr>
                <w:rFonts w:ascii="Arial" w:eastAsia="宋体" w:hAnsi="Arial" w:cs="Arial"/>
                <w:b/>
                <w:bCs/>
                <w:color w:val="000000"/>
                <w:sz w:val="14"/>
                <w:szCs w:val="14"/>
              </w:rPr>
              <w:t>1,082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7CF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CFC"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7CFD" w14:textId="77777777" w:rsidR="00584EC1" w:rsidRDefault="00871F8D">
            <w:pPr>
              <w:jc w:val="right"/>
              <w:textAlignment w:val="bottom"/>
            </w:pPr>
            <w:r>
              <w:rPr>
                <w:rFonts w:ascii="Arial" w:eastAsia="宋体" w:hAnsi="Arial" w:cs="Arial"/>
                <w:color w:val="000000"/>
                <w:sz w:val="14"/>
                <w:szCs w:val="14"/>
              </w:rPr>
              <w:t>1,096 </w:t>
            </w:r>
          </w:p>
        </w:tc>
        <w:tc>
          <w:tcPr>
            <w:tcW w:w="0" w:type="auto"/>
            <w:shd w:val="clear" w:color="auto" w:fill="CCEEFF"/>
            <w:tcMar>
              <w:top w:w="40" w:type="dxa"/>
              <w:left w:w="0" w:type="dxa"/>
              <w:bottom w:w="40" w:type="dxa"/>
              <w:right w:w="20" w:type="dxa"/>
            </w:tcMar>
            <w:vAlign w:val="bottom"/>
          </w:tcPr>
          <w:p w14:paraId="74DD7CF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CFF" w14:textId="77777777" w:rsidR="00584EC1" w:rsidRDefault="00584EC1">
            <w:pPr>
              <w:rPr>
                <w:rFonts w:ascii="宋体"/>
              </w:rPr>
            </w:pPr>
          </w:p>
        </w:tc>
        <w:tc>
          <w:tcPr>
            <w:tcW w:w="0" w:type="auto"/>
            <w:gridSpan w:val="3"/>
            <w:shd w:val="clear" w:color="auto" w:fill="auto"/>
            <w:vAlign w:val="bottom"/>
          </w:tcPr>
          <w:p w14:paraId="74DD7D00" w14:textId="77777777" w:rsidR="00584EC1" w:rsidRDefault="00584EC1">
            <w:pPr>
              <w:rPr>
                <w:rFonts w:ascii="宋体"/>
                <w:vanish/>
              </w:rPr>
            </w:pPr>
          </w:p>
        </w:tc>
        <w:tc>
          <w:tcPr>
            <w:tcW w:w="0" w:type="auto"/>
            <w:gridSpan w:val="3"/>
            <w:shd w:val="clear" w:color="auto" w:fill="auto"/>
            <w:vAlign w:val="bottom"/>
          </w:tcPr>
          <w:p w14:paraId="74DD7D01" w14:textId="77777777" w:rsidR="00584EC1" w:rsidRDefault="00584EC1">
            <w:pPr>
              <w:rPr>
                <w:rFonts w:ascii="宋体"/>
                <w:vanish/>
              </w:rPr>
            </w:pPr>
          </w:p>
        </w:tc>
        <w:tc>
          <w:tcPr>
            <w:tcW w:w="0" w:type="auto"/>
            <w:gridSpan w:val="2"/>
            <w:shd w:val="clear" w:color="auto" w:fill="CCEEFF"/>
            <w:tcMar>
              <w:top w:w="40" w:type="dxa"/>
              <w:left w:w="20" w:type="dxa"/>
              <w:bottom w:w="40" w:type="dxa"/>
              <w:right w:w="0" w:type="dxa"/>
            </w:tcMar>
            <w:vAlign w:val="bottom"/>
          </w:tcPr>
          <w:p w14:paraId="74DD7D02" w14:textId="77777777" w:rsidR="00584EC1" w:rsidRDefault="00871F8D">
            <w:pPr>
              <w:jc w:val="right"/>
              <w:textAlignment w:val="bottom"/>
            </w:pPr>
            <w:r>
              <w:rPr>
                <w:rFonts w:ascii="Arial" w:eastAsia="宋体" w:hAnsi="Arial" w:cs="Arial"/>
                <w:color w:val="000000"/>
                <w:sz w:val="14"/>
                <w:szCs w:val="14"/>
              </w:rPr>
              <w:t>(1)</w:t>
            </w:r>
          </w:p>
        </w:tc>
        <w:tc>
          <w:tcPr>
            <w:tcW w:w="0" w:type="auto"/>
            <w:shd w:val="clear" w:color="auto" w:fill="CCEEFF"/>
            <w:tcMar>
              <w:top w:w="40" w:type="dxa"/>
              <w:left w:w="0" w:type="dxa"/>
              <w:bottom w:w="40" w:type="dxa"/>
              <w:right w:w="20" w:type="dxa"/>
            </w:tcMar>
            <w:vAlign w:val="bottom"/>
          </w:tcPr>
          <w:p w14:paraId="74DD7D03" w14:textId="77777777" w:rsidR="00584EC1" w:rsidRDefault="00584EC1">
            <w:pPr>
              <w:jc w:val="right"/>
              <w:rPr>
                <w:rFonts w:ascii="宋体"/>
              </w:rPr>
            </w:pPr>
          </w:p>
        </w:tc>
        <w:tc>
          <w:tcPr>
            <w:tcW w:w="0" w:type="auto"/>
            <w:gridSpan w:val="3"/>
            <w:shd w:val="clear" w:color="auto" w:fill="auto"/>
            <w:vAlign w:val="bottom"/>
          </w:tcPr>
          <w:p w14:paraId="74DD7D04" w14:textId="77777777" w:rsidR="00584EC1" w:rsidRDefault="00584EC1">
            <w:pPr>
              <w:rPr>
                <w:rFonts w:ascii="宋体"/>
                <w:vanish/>
              </w:rPr>
            </w:pPr>
          </w:p>
        </w:tc>
        <w:tc>
          <w:tcPr>
            <w:tcW w:w="0" w:type="auto"/>
            <w:gridSpan w:val="3"/>
            <w:shd w:val="clear" w:color="auto" w:fill="auto"/>
            <w:vAlign w:val="bottom"/>
          </w:tcPr>
          <w:p w14:paraId="74DD7D05" w14:textId="77777777" w:rsidR="00584EC1" w:rsidRDefault="00584EC1">
            <w:pPr>
              <w:rPr>
                <w:rFonts w:ascii="宋体"/>
                <w:vanish/>
              </w:rPr>
            </w:pPr>
          </w:p>
        </w:tc>
      </w:tr>
      <w:tr w:rsidR="00584EC1" w14:paraId="74DD7D1C" w14:textId="77777777">
        <w:tc>
          <w:tcPr>
            <w:tcW w:w="0" w:type="auto"/>
            <w:gridSpan w:val="3"/>
            <w:shd w:val="clear" w:color="auto" w:fill="FFFFFF"/>
            <w:tcMar>
              <w:top w:w="40" w:type="dxa"/>
              <w:left w:w="20" w:type="dxa"/>
              <w:bottom w:w="40" w:type="dxa"/>
              <w:right w:w="20" w:type="dxa"/>
            </w:tcMar>
            <w:vAlign w:val="bottom"/>
          </w:tcPr>
          <w:p w14:paraId="74DD7D07" w14:textId="77777777" w:rsidR="00584EC1" w:rsidRDefault="00871F8D">
            <w:pPr>
              <w:textAlignment w:val="bottom"/>
            </w:pPr>
            <w:r>
              <w:rPr>
                <w:rFonts w:ascii="Arial" w:eastAsia="宋体" w:hAnsi="Arial" w:cs="Arial"/>
                <w:b/>
                <w:bCs/>
                <w:color w:val="000000"/>
                <w:sz w:val="14"/>
                <w:szCs w:val="14"/>
              </w:rPr>
              <w:t>Income before income tax expense</w:t>
            </w:r>
          </w:p>
        </w:tc>
        <w:tc>
          <w:tcPr>
            <w:tcW w:w="0" w:type="auto"/>
            <w:shd w:val="clear" w:color="auto" w:fill="auto"/>
            <w:vAlign w:val="bottom"/>
          </w:tcPr>
          <w:p w14:paraId="74DD7D08" w14:textId="77777777" w:rsidR="00584EC1" w:rsidRDefault="00584EC1">
            <w:pPr>
              <w:rPr>
                <w:rFonts w:ascii="宋体"/>
                <w:vanish/>
              </w:rPr>
            </w:pPr>
          </w:p>
        </w:tc>
        <w:tc>
          <w:tcPr>
            <w:tcW w:w="0" w:type="auto"/>
            <w:shd w:val="clear" w:color="auto" w:fill="auto"/>
            <w:vAlign w:val="bottom"/>
          </w:tcPr>
          <w:p w14:paraId="74DD7D09" w14:textId="77777777" w:rsidR="00584EC1" w:rsidRDefault="00584EC1">
            <w:pPr>
              <w:rPr>
                <w:rFonts w:ascii="宋体"/>
                <w:vanish/>
              </w:rPr>
            </w:pPr>
          </w:p>
        </w:tc>
        <w:tc>
          <w:tcPr>
            <w:tcW w:w="0" w:type="auto"/>
            <w:shd w:val="clear" w:color="auto" w:fill="auto"/>
            <w:vAlign w:val="bottom"/>
          </w:tcPr>
          <w:p w14:paraId="74DD7D0A" w14:textId="77777777" w:rsidR="00584EC1" w:rsidRDefault="00584EC1">
            <w:pPr>
              <w:rPr>
                <w:rFonts w:ascii="宋体"/>
                <w:vanish/>
              </w:rPr>
            </w:pPr>
          </w:p>
        </w:tc>
        <w:tc>
          <w:tcPr>
            <w:tcW w:w="0" w:type="auto"/>
            <w:shd w:val="clear" w:color="auto" w:fill="auto"/>
            <w:vAlign w:val="bottom"/>
          </w:tcPr>
          <w:p w14:paraId="74DD7D0B" w14:textId="77777777" w:rsidR="00584EC1" w:rsidRDefault="00584EC1">
            <w:pPr>
              <w:rPr>
                <w:rFonts w:ascii="宋体"/>
                <w:vanish/>
              </w:rPr>
            </w:pPr>
          </w:p>
        </w:tc>
        <w:tc>
          <w:tcPr>
            <w:tcW w:w="0" w:type="auto"/>
            <w:shd w:val="clear" w:color="auto" w:fill="auto"/>
            <w:vAlign w:val="bottom"/>
          </w:tcPr>
          <w:p w14:paraId="74DD7D0C" w14:textId="77777777" w:rsidR="00584EC1" w:rsidRDefault="00584EC1">
            <w:pPr>
              <w:rPr>
                <w:rFonts w:ascii="宋体"/>
                <w:vanish/>
              </w:rPr>
            </w:pPr>
          </w:p>
        </w:tc>
        <w:tc>
          <w:tcPr>
            <w:tcW w:w="0" w:type="auto"/>
            <w:shd w:val="clear" w:color="auto" w:fill="auto"/>
            <w:vAlign w:val="bottom"/>
          </w:tcPr>
          <w:p w14:paraId="74DD7D0D" w14:textId="77777777" w:rsidR="00584EC1" w:rsidRDefault="00584EC1">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7D0E"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7D0F" w14:textId="77777777" w:rsidR="00584EC1" w:rsidRDefault="00871F8D">
            <w:pPr>
              <w:jc w:val="right"/>
              <w:textAlignment w:val="bottom"/>
            </w:pPr>
            <w:r>
              <w:rPr>
                <w:rFonts w:ascii="Arial" w:eastAsia="宋体" w:hAnsi="Arial" w:cs="Arial"/>
                <w:b/>
                <w:bCs/>
                <w:color w:val="000000"/>
                <w:sz w:val="14"/>
                <w:szCs w:val="14"/>
              </w:rPr>
              <w:t>485</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7D1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D11"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7D12"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7D13" w14:textId="77777777" w:rsidR="00584EC1" w:rsidRDefault="00871F8D">
            <w:pPr>
              <w:jc w:val="right"/>
              <w:textAlignment w:val="bottom"/>
            </w:pPr>
            <w:r>
              <w:rPr>
                <w:rFonts w:ascii="Arial" w:eastAsia="宋体" w:hAnsi="Arial" w:cs="Arial"/>
                <w:color w:val="000000"/>
                <w:sz w:val="14"/>
                <w:szCs w:val="14"/>
              </w:rPr>
              <w:t>328 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7D1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D15" w14:textId="77777777" w:rsidR="00584EC1" w:rsidRDefault="00584EC1">
            <w:pPr>
              <w:rPr>
                <w:rFonts w:ascii="宋体"/>
              </w:rPr>
            </w:pPr>
          </w:p>
        </w:tc>
        <w:tc>
          <w:tcPr>
            <w:tcW w:w="0" w:type="auto"/>
            <w:gridSpan w:val="3"/>
            <w:shd w:val="clear" w:color="auto" w:fill="auto"/>
            <w:vAlign w:val="bottom"/>
          </w:tcPr>
          <w:p w14:paraId="74DD7D16" w14:textId="77777777" w:rsidR="00584EC1" w:rsidRDefault="00584EC1">
            <w:pPr>
              <w:rPr>
                <w:rFonts w:ascii="宋体"/>
                <w:vanish/>
              </w:rPr>
            </w:pPr>
          </w:p>
        </w:tc>
        <w:tc>
          <w:tcPr>
            <w:tcW w:w="0" w:type="auto"/>
            <w:gridSpan w:val="3"/>
            <w:shd w:val="clear" w:color="auto" w:fill="auto"/>
            <w:vAlign w:val="bottom"/>
          </w:tcPr>
          <w:p w14:paraId="74DD7D17"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D7D18" w14:textId="77777777" w:rsidR="00584EC1" w:rsidRDefault="00871F8D">
            <w:pPr>
              <w:jc w:val="right"/>
              <w:textAlignment w:val="bottom"/>
            </w:pPr>
            <w:r>
              <w:rPr>
                <w:rFonts w:ascii="Arial" w:eastAsia="宋体" w:hAnsi="Arial" w:cs="Arial"/>
                <w:color w:val="000000"/>
                <w:sz w:val="14"/>
                <w:szCs w:val="14"/>
              </w:rPr>
              <w:t>48 </w:t>
            </w:r>
          </w:p>
        </w:tc>
        <w:tc>
          <w:tcPr>
            <w:tcW w:w="0" w:type="auto"/>
            <w:shd w:val="clear" w:color="auto" w:fill="FFFFFF"/>
            <w:tcMar>
              <w:top w:w="40" w:type="dxa"/>
              <w:left w:w="0" w:type="dxa"/>
              <w:bottom w:w="40" w:type="dxa"/>
              <w:right w:w="20" w:type="dxa"/>
            </w:tcMar>
            <w:vAlign w:val="bottom"/>
          </w:tcPr>
          <w:p w14:paraId="74DD7D19" w14:textId="77777777" w:rsidR="00584EC1" w:rsidRDefault="00584EC1">
            <w:pPr>
              <w:jc w:val="right"/>
              <w:rPr>
                <w:rFonts w:ascii="宋体"/>
              </w:rPr>
            </w:pPr>
          </w:p>
        </w:tc>
        <w:tc>
          <w:tcPr>
            <w:tcW w:w="0" w:type="auto"/>
            <w:gridSpan w:val="3"/>
            <w:shd w:val="clear" w:color="auto" w:fill="auto"/>
            <w:vAlign w:val="bottom"/>
          </w:tcPr>
          <w:p w14:paraId="74DD7D1A" w14:textId="77777777" w:rsidR="00584EC1" w:rsidRDefault="00584EC1">
            <w:pPr>
              <w:rPr>
                <w:rFonts w:ascii="宋体"/>
                <w:vanish/>
              </w:rPr>
            </w:pPr>
          </w:p>
        </w:tc>
        <w:tc>
          <w:tcPr>
            <w:tcW w:w="0" w:type="auto"/>
            <w:gridSpan w:val="3"/>
            <w:shd w:val="clear" w:color="auto" w:fill="auto"/>
            <w:vAlign w:val="bottom"/>
          </w:tcPr>
          <w:p w14:paraId="74DD7D1B" w14:textId="77777777" w:rsidR="00584EC1" w:rsidRDefault="00584EC1">
            <w:pPr>
              <w:rPr>
                <w:rFonts w:ascii="宋体"/>
                <w:vanish/>
              </w:rPr>
            </w:pPr>
          </w:p>
        </w:tc>
      </w:tr>
      <w:tr w:rsidR="00584EC1" w14:paraId="74DD7D2F" w14:textId="77777777">
        <w:tc>
          <w:tcPr>
            <w:tcW w:w="0" w:type="auto"/>
            <w:gridSpan w:val="3"/>
            <w:shd w:val="clear" w:color="auto" w:fill="CCEEFF"/>
            <w:tcMar>
              <w:top w:w="40" w:type="dxa"/>
              <w:left w:w="20" w:type="dxa"/>
              <w:bottom w:w="40" w:type="dxa"/>
              <w:right w:w="20" w:type="dxa"/>
            </w:tcMar>
            <w:vAlign w:val="bottom"/>
          </w:tcPr>
          <w:p w14:paraId="74DD7D1D" w14:textId="77777777" w:rsidR="00584EC1" w:rsidRDefault="00871F8D">
            <w:pPr>
              <w:textAlignment w:val="bottom"/>
            </w:pPr>
            <w:r>
              <w:rPr>
                <w:rFonts w:ascii="Arial" w:eastAsia="宋体" w:hAnsi="Arial" w:cs="Arial"/>
                <w:color w:val="000000"/>
                <w:sz w:val="14"/>
                <w:szCs w:val="14"/>
              </w:rPr>
              <w:t>Pre-tax margin</w:t>
            </w:r>
          </w:p>
        </w:tc>
        <w:tc>
          <w:tcPr>
            <w:tcW w:w="0" w:type="auto"/>
            <w:shd w:val="clear" w:color="auto" w:fill="auto"/>
            <w:vAlign w:val="bottom"/>
          </w:tcPr>
          <w:p w14:paraId="74DD7D1E" w14:textId="77777777" w:rsidR="00584EC1" w:rsidRDefault="00584EC1">
            <w:pPr>
              <w:rPr>
                <w:rFonts w:ascii="宋体"/>
                <w:vanish/>
              </w:rPr>
            </w:pPr>
          </w:p>
        </w:tc>
        <w:tc>
          <w:tcPr>
            <w:tcW w:w="0" w:type="auto"/>
            <w:shd w:val="clear" w:color="auto" w:fill="auto"/>
            <w:vAlign w:val="bottom"/>
          </w:tcPr>
          <w:p w14:paraId="74DD7D1F" w14:textId="77777777" w:rsidR="00584EC1" w:rsidRDefault="00584EC1">
            <w:pPr>
              <w:rPr>
                <w:rFonts w:ascii="宋体"/>
                <w:vanish/>
              </w:rPr>
            </w:pPr>
          </w:p>
        </w:tc>
        <w:tc>
          <w:tcPr>
            <w:tcW w:w="0" w:type="auto"/>
            <w:shd w:val="clear" w:color="auto" w:fill="auto"/>
            <w:vAlign w:val="bottom"/>
          </w:tcPr>
          <w:p w14:paraId="74DD7D20" w14:textId="77777777" w:rsidR="00584EC1" w:rsidRDefault="00584EC1">
            <w:pPr>
              <w:rPr>
                <w:rFonts w:ascii="宋体"/>
                <w:vanish/>
              </w:rPr>
            </w:pPr>
          </w:p>
        </w:tc>
        <w:tc>
          <w:tcPr>
            <w:tcW w:w="0" w:type="auto"/>
            <w:shd w:val="clear" w:color="auto" w:fill="auto"/>
            <w:vAlign w:val="bottom"/>
          </w:tcPr>
          <w:p w14:paraId="74DD7D21" w14:textId="77777777" w:rsidR="00584EC1" w:rsidRDefault="00584EC1">
            <w:pPr>
              <w:rPr>
                <w:rFonts w:ascii="宋体"/>
                <w:vanish/>
              </w:rPr>
            </w:pPr>
          </w:p>
        </w:tc>
        <w:tc>
          <w:tcPr>
            <w:tcW w:w="0" w:type="auto"/>
            <w:shd w:val="clear" w:color="auto" w:fill="auto"/>
            <w:vAlign w:val="bottom"/>
          </w:tcPr>
          <w:p w14:paraId="74DD7D22" w14:textId="77777777" w:rsidR="00584EC1" w:rsidRDefault="00584EC1">
            <w:pPr>
              <w:rPr>
                <w:rFonts w:ascii="宋体"/>
                <w:vanish/>
              </w:rPr>
            </w:pPr>
          </w:p>
        </w:tc>
        <w:tc>
          <w:tcPr>
            <w:tcW w:w="0" w:type="auto"/>
            <w:shd w:val="clear" w:color="auto" w:fill="auto"/>
            <w:vAlign w:val="bottom"/>
          </w:tcPr>
          <w:p w14:paraId="74DD7D23" w14:textId="77777777" w:rsidR="00584EC1" w:rsidRDefault="00584EC1">
            <w:pPr>
              <w:rPr>
                <w:rFonts w:ascii="宋体"/>
                <w:vanish/>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74DD7D24" w14:textId="77777777" w:rsidR="00584EC1" w:rsidRDefault="00871F8D">
            <w:pPr>
              <w:jc w:val="right"/>
              <w:textAlignment w:val="bottom"/>
            </w:pPr>
            <w:r>
              <w:rPr>
                <w:rFonts w:ascii="Arial" w:eastAsia="宋体" w:hAnsi="Arial" w:cs="Arial"/>
                <w:b/>
                <w:bCs/>
                <w:color w:val="000000"/>
                <w:sz w:val="14"/>
                <w:szCs w:val="14"/>
              </w:rPr>
              <w:t>31</w:t>
            </w:r>
            <w:r>
              <w:rPr>
                <w:rFonts w:ascii="Arial" w:eastAsia="宋体" w:hAnsi="Arial" w:cs="Arial"/>
                <w:color w:val="000000"/>
                <w:sz w:val="14"/>
                <w:szCs w:val="14"/>
              </w:rPr>
              <w:t> </w:t>
            </w:r>
          </w:p>
        </w:tc>
        <w:tc>
          <w:tcPr>
            <w:tcW w:w="0" w:type="auto"/>
            <w:tcBorders>
              <w:top w:val="double" w:sz="6" w:space="0" w:color="000000"/>
            </w:tcBorders>
            <w:shd w:val="clear" w:color="auto" w:fill="CCEEFF"/>
            <w:tcMar>
              <w:top w:w="40" w:type="dxa"/>
              <w:left w:w="0" w:type="dxa"/>
              <w:bottom w:w="40" w:type="dxa"/>
              <w:right w:w="20" w:type="dxa"/>
            </w:tcMar>
            <w:vAlign w:val="bottom"/>
          </w:tcPr>
          <w:p w14:paraId="74DD7D25" w14:textId="77777777" w:rsidR="00584EC1" w:rsidRDefault="00871F8D">
            <w:pPr>
              <w:jc w:val="right"/>
              <w:textAlignment w:val="bottom"/>
            </w:pPr>
            <w:r>
              <w:rPr>
                <w:rFonts w:ascii="Arial" w:eastAsia="宋体" w:hAnsi="Arial" w:cs="Arial"/>
                <w:b/>
                <w:bCs/>
                <w:color w:val="000000"/>
                <w:sz w:val="14"/>
                <w:szCs w:val="14"/>
              </w:rPr>
              <w:t>%</w:t>
            </w:r>
          </w:p>
        </w:tc>
        <w:tc>
          <w:tcPr>
            <w:tcW w:w="0" w:type="auto"/>
            <w:gridSpan w:val="3"/>
            <w:shd w:val="clear" w:color="auto" w:fill="CCEEFF"/>
            <w:tcMar>
              <w:top w:w="0" w:type="dxa"/>
              <w:left w:w="20" w:type="dxa"/>
              <w:bottom w:w="0" w:type="dxa"/>
              <w:right w:w="20" w:type="dxa"/>
            </w:tcMar>
            <w:vAlign w:val="bottom"/>
          </w:tcPr>
          <w:p w14:paraId="74DD7D26" w14:textId="77777777" w:rsidR="00584EC1" w:rsidRDefault="00584EC1">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74DD7D27" w14:textId="77777777" w:rsidR="00584EC1" w:rsidRDefault="00871F8D">
            <w:pPr>
              <w:jc w:val="right"/>
              <w:textAlignment w:val="bottom"/>
            </w:pPr>
            <w:r>
              <w:rPr>
                <w:rFonts w:ascii="Arial" w:eastAsia="宋体" w:hAnsi="Arial" w:cs="Arial"/>
                <w:color w:val="000000"/>
                <w:sz w:val="14"/>
                <w:szCs w:val="14"/>
              </w:rPr>
              <w:t>23 </w:t>
            </w:r>
          </w:p>
        </w:tc>
        <w:tc>
          <w:tcPr>
            <w:tcW w:w="0" w:type="auto"/>
            <w:tcBorders>
              <w:top w:val="double" w:sz="6" w:space="0" w:color="000000"/>
            </w:tcBorders>
            <w:shd w:val="clear" w:color="auto" w:fill="CCEEFF"/>
            <w:tcMar>
              <w:top w:w="40" w:type="dxa"/>
              <w:left w:w="0" w:type="dxa"/>
              <w:bottom w:w="40" w:type="dxa"/>
              <w:right w:w="20" w:type="dxa"/>
            </w:tcMar>
            <w:vAlign w:val="bottom"/>
          </w:tcPr>
          <w:p w14:paraId="74DD7D28" w14:textId="77777777" w:rsidR="00584EC1" w:rsidRDefault="00871F8D">
            <w:pPr>
              <w:jc w:val="right"/>
              <w:textAlignment w:val="bottom"/>
            </w:pPr>
            <w:r>
              <w:rPr>
                <w:rFonts w:ascii="Arial" w:eastAsia="宋体" w:hAnsi="Arial" w:cs="Arial"/>
                <w:color w:val="000000"/>
                <w:sz w:val="14"/>
                <w:szCs w:val="14"/>
              </w:rPr>
              <w:t>%</w:t>
            </w:r>
          </w:p>
        </w:tc>
        <w:tc>
          <w:tcPr>
            <w:tcW w:w="0" w:type="auto"/>
            <w:gridSpan w:val="3"/>
            <w:shd w:val="clear" w:color="auto" w:fill="CCEEFF"/>
            <w:tcMar>
              <w:top w:w="0" w:type="dxa"/>
              <w:left w:w="20" w:type="dxa"/>
              <w:bottom w:w="0" w:type="dxa"/>
              <w:right w:w="20" w:type="dxa"/>
            </w:tcMar>
            <w:vAlign w:val="bottom"/>
          </w:tcPr>
          <w:p w14:paraId="74DD7D29" w14:textId="77777777" w:rsidR="00584EC1" w:rsidRDefault="00584EC1">
            <w:pPr>
              <w:rPr>
                <w:rFonts w:ascii="宋体"/>
              </w:rPr>
            </w:pPr>
          </w:p>
        </w:tc>
        <w:tc>
          <w:tcPr>
            <w:tcW w:w="0" w:type="auto"/>
            <w:gridSpan w:val="3"/>
            <w:shd w:val="clear" w:color="auto" w:fill="auto"/>
            <w:vAlign w:val="bottom"/>
          </w:tcPr>
          <w:p w14:paraId="74DD7D2A" w14:textId="77777777" w:rsidR="00584EC1" w:rsidRDefault="00584EC1">
            <w:pPr>
              <w:rPr>
                <w:rFonts w:ascii="宋体"/>
                <w:vanish/>
              </w:rPr>
            </w:pPr>
          </w:p>
        </w:tc>
        <w:tc>
          <w:tcPr>
            <w:tcW w:w="0" w:type="auto"/>
            <w:gridSpan w:val="3"/>
            <w:shd w:val="clear" w:color="auto" w:fill="auto"/>
            <w:vAlign w:val="bottom"/>
          </w:tcPr>
          <w:p w14:paraId="74DD7D2B" w14:textId="77777777" w:rsidR="00584EC1" w:rsidRDefault="00584EC1">
            <w:pPr>
              <w:rPr>
                <w:rFonts w:ascii="宋体"/>
                <w:vanish/>
              </w:rPr>
            </w:pPr>
          </w:p>
        </w:tc>
        <w:tc>
          <w:tcPr>
            <w:tcW w:w="0" w:type="auto"/>
            <w:gridSpan w:val="3"/>
            <w:shd w:val="clear" w:color="auto" w:fill="CCEEFF"/>
            <w:tcMar>
              <w:top w:w="0" w:type="dxa"/>
              <w:left w:w="20" w:type="dxa"/>
              <w:bottom w:w="0" w:type="dxa"/>
              <w:right w:w="20" w:type="dxa"/>
            </w:tcMar>
            <w:vAlign w:val="bottom"/>
          </w:tcPr>
          <w:p w14:paraId="74DD7D2C" w14:textId="77777777" w:rsidR="00584EC1" w:rsidRDefault="00584EC1">
            <w:pPr>
              <w:rPr>
                <w:rFonts w:ascii="宋体"/>
              </w:rPr>
            </w:pPr>
          </w:p>
        </w:tc>
        <w:tc>
          <w:tcPr>
            <w:tcW w:w="0" w:type="auto"/>
            <w:gridSpan w:val="3"/>
            <w:shd w:val="clear" w:color="auto" w:fill="auto"/>
            <w:vAlign w:val="bottom"/>
          </w:tcPr>
          <w:p w14:paraId="74DD7D2D" w14:textId="77777777" w:rsidR="00584EC1" w:rsidRDefault="00584EC1">
            <w:pPr>
              <w:rPr>
                <w:rFonts w:ascii="宋体"/>
                <w:vanish/>
              </w:rPr>
            </w:pPr>
          </w:p>
        </w:tc>
        <w:tc>
          <w:tcPr>
            <w:tcW w:w="0" w:type="auto"/>
            <w:gridSpan w:val="3"/>
            <w:shd w:val="clear" w:color="auto" w:fill="auto"/>
            <w:vAlign w:val="bottom"/>
          </w:tcPr>
          <w:p w14:paraId="74DD7D2E" w14:textId="77777777" w:rsidR="00584EC1" w:rsidRDefault="00584EC1">
            <w:pPr>
              <w:rPr>
                <w:rFonts w:ascii="宋体"/>
                <w:vanish/>
              </w:rPr>
            </w:pPr>
          </w:p>
        </w:tc>
      </w:tr>
    </w:tbl>
    <w:p w14:paraId="74DD7D30" w14:textId="77777777" w:rsidR="00584EC1" w:rsidRDefault="00584EC1">
      <w:pPr>
        <w:rPr>
          <w:vanish/>
        </w:rPr>
      </w:pPr>
    </w:p>
    <w:tbl>
      <w:tblPr>
        <w:tblW w:w="2595" w:type="pct"/>
        <w:tblCellMar>
          <w:top w:w="15" w:type="dxa"/>
          <w:left w:w="15" w:type="dxa"/>
          <w:bottom w:w="15" w:type="dxa"/>
          <w:right w:w="15" w:type="dxa"/>
        </w:tblCellMar>
        <w:tblLook w:val="04A0" w:firstRow="1" w:lastRow="0" w:firstColumn="1" w:lastColumn="0" w:noHBand="0" w:noVBand="1"/>
      </w:tblPr>
      <w:tblGrid>
        <w:gridCol w:w="36"/>
        <w:gridCol w:w="2268"/>
        <w:gridCol w:w="36"/>
        <w:gridCol w:w="36"/>
        <w:gridCol w:w="1914"/>
        <w:gridCol w:w="36"/>
      </w:tblGrid>
      <w:tr w:rsidR="00584EC1" w14:paraId="74DD7D37" w14:textId="77777777">
        <w:tc>
          <w:tcPr>
            <w:tcW w:w="50" w:type="pct"/>
            <w:shd w:val="clear" w:color="auto" w:fill="auto"/>
            <w:vAlign w:val="bottom"/>
          </w:tcPr>
          <w:p w14:paraId="74DD7D31" w14:textId="77777777" w:rsidR="00584EC1" w:rsidRDefault="00584EC1">
            <w:pPr>
              <w:rPr>
                <w:rFonts w:ascii="宋体"/>
              </w:rPr>
            </w:pPr>
          </w:p>
        </w:tc>
        <w:tc>
          <w:tcPr>
            <w:tcW w:w="2649" w:type="pct"/>
            <w:shd w:val="clear" w:color="auto" w:fill="auto"/>
            <w:vAlign w:val="bottom"/>
          </w:tcPr>
          <w:p w14:paraId="74DD7D32" w14:textId="77777777" w:rsidR="00584EC1" w:rsidRDefault="00584EC1">
            <w:pPr>
              <w:rPr>
                <w:rFonts w:ascii="宋体"/>
              </w:rPr>
            </w:pPr>
          </w:p>
        </w:tc>
        <w:tc>
          <w:tcPr>
            <w:tcW w:w="5" w:type="pct"/>
            <w:shd w:val="clear" w:color="auto" w:fill="auto"/>
            <w:vAlign w:val="bottom"/>
          </w:tcPr>
          <w:p w14:paraId="74DD7D33" w14:textId="77777777" w:rsidR="00584EC1" w:rsidRDefault="00584EC1">
            <w:pPr>
              <w:rPr>
                <w:rFonts w:ascii="宋体"/>
              </w:rPr>
            </w:pPr>
          </w:p>
        </w:tc>
        <w:tc>
          <w:tcPr>
            <w:tcW w:w="50" w:type="pct"/>
            <w:shd w:val="clear" w:color="auto" w:fill="auto"/>
            <w:vAlign w:val="bottom"/>
          </w:tcPr>
          <w:p w14:paraId="74DD7D34" w14:textId="77777777" w:rsidR="00584EC1" w:rsidRDefault="00584EC1">
            <w:pPr>
              <w:rPr>
                <w:rFonts w:ascii="宋体"/>
              </w:rPr>
            </w:pPr>
          </w:p>
        </w:tc>
        <w:tc>
          <w:tcPr>
            <w:tcW w:w="2240" w:type="pct"/>
            <w:shd w:val="clear" w:color="auto" w:fill="auto"/>
            <w:vAlign w:val="bottom"/>
          </w:tcPr>
          <w:p w14:paraId="74DD7D35" w14:textId="77777777" w:rsidR="00584EC1" w:rsidRDefault="00584EC1">
            <w:pPr>
              <w:rPr>
                <w:rFonts w:ascii="宋体"/>
              </w:rPr>
            </w:pPr>
          </w:p>
        </w:tc>
        <w:tc>
          <w:tcPr>
            <w:tcW w:w="5" w:type="pct"/>
            <w:shd w:val="clear" w:color="auto" w:fill="auto"/>
            <w:vAlign w:val="bottom"/>
          </w:tcPr>
          <w:p w14:paraId="74DD7D36" w14:textId="77777777" w:rsidR="00584EC1" w:rsidRDefault="00584EC1">
            <w:pPr>
              <w:rPr>
                <w:rFonts w:ascii="宋体"/>
              </w:rPr>
            </w:pPr>
          </w:p>
        </w:tc>
      </w:tr>
      <w:tr w:rsidR="00584EC1" w14:paraId="74DD7D3A"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4DD7D38"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7D39" w14:textId="77777777" w:rsidR="00584EC1" w:rsidRDefault="00584EC1">
            <w:pPr>
              <w:rPr>
                <w:rFonts w:ascii="宋体"/>
              </w:rPr>
            </w:pPr>
          </w:p>
        </w:tc>
      </w:tr>
    </w:tbl>
    <w:p w14:paraId="74DD7D3B" w14:textId="77777777" w:rsidR="00584EC1" w:rsidRDefault="00871F8D">
      <w:pPr>
        <w:spacing w:before="60"/>
        <w:jc w:val="both"/>
      </w:pPr>
      <w:r>
        <w:rPr>
          <w:rFonts w:ascii="Arial" w:eastAsia="宋体" w:hAnsi="Arial" w:cs="Arial"/>
          <w:color w:val="000000"/>
          <w:sz w:val="8"/>
          <w:szCs w:val="8"/>
        </w:rPr>
        <w:t xml:space="preserve">(1) </w:t>
      </w:r>
      <w:r>
        <w:rPr>
          <w:rFonts w:ascii="Arial" w:eastAsia="宋体" w:hAnsi="Arial" w:cs="Arial"/>
          <w:color w:val="000000"/>
          <w:sz w:val="13"/>
          <w:szCs w:val="13"/>
        </w:rPr>
        <w:t xml:space="preserve">Certain fees associated with our GLD ETFs have been reclassified from Foreign exchange trading </w:t>
      </w:r>
      <w:r>
        <w:rPr>
          <w:rFonts w:ascii="Arial" w:eastAsia="宋体" w:hAnsi="Arial" w:cs="Arial"/>
          <w:color w:val="000000"/>
          <w:sz w:val="13"/>
          <w:szCs w:val="13"/>
        </w:rPr>
        <w:t>services to management fees to better reflect the nature of those fees. Prior periods have been reclassified to conform to current-period presentation. These fees were approximately $24 million and $58 million in the three and nine months ended September 3</w:t>
      </w:r>
      <w:r>
        <w:rPr>
          <w:rFonts w:ascii="Arial" w:eastAsia="宋体" w:hAnsi="Arial" w:cs="Arial"/>
          <w:color w:val="000000"/>
          <w:sz w:val="13"/>
          <w:szCs w:val="13"/>
        </w:rPr>
        <w:t>0, 2020, respectively.</w:t>
      </w:r>
    </w:p>
    <w:p w14:paraId="74DD7D3C" w14:textId="77777777" w:rsidR="00584EC1" w:rsidRDefault="00871F8D">
      <w:pPr>
        <w:spacing w:before="60"/>
        <w:jc w:val="both"/>
      </w:pPr>
      <w:r>
        <w:rPr>
          <w:rFonts w:ascii="Arial" w:eastAsia="宋体" w:hAnsi="Arial" w:cs="Arial"/>
          <w:color w:val="000000"/>
          <w:sz w:val="8"/>
          <w:szCs w:val="8"/>
        </w:rPr>
        <w:t xml:space="preserve">(2) </w:t>
      </w:r>
      <w:r>
        <w:rPr>
          <w:rFonts w:ascii="Arial" w:eastAsia="宋体" w:hAnsi="Arial" w:cs="Arial"/>
          <w:color w:val="000000"/>
          <w:sz w:val="13"/>
          <w:szCs w:val="13"/>
        </w:rPr>
        <w:t>Includes revenues from SPDR® Gold Shares and SPDR® Gold MiniSharesSM Trust AUM where we are not the investment manager but act as the marketing agent.</w:t>
      </w:r>
    </w:p>
    <w:p w14:paraId="74DD7D3D" w14:textId="77777777" w:rsidR="00584EC1" w:rsidRDefault="00871F8D">
      <w:pPr>
        <w:spacing w:before="60"/>
        <w:jc w:val="both"/>
      </w:pPr>
      <w:r>
        <w:rPr>
          <w:rFonts w:ascii="Arial" w:eastAsia="宋体" w:hAnsi="Arial" w:cs="Arial"/>
          <w:color w:val="000000"/>
          <w:sz w:val="8"/>
          <w:szCs w:val="8"/>
        </w:rPr>
        <w:t>(3)</w:t>
      </w:r>
      <w:r>
        <w:rPr>
          <w:rFonts w:ascii="Arial" w:eastAsia="宋体" w:hAnsi="Arial" w:cs="Arial"/>
          <w:color w:val="000000"/>
          <w:sz w:val="13"/>
          <w:szCs w:val="13"/>
        </w:rPr>
        <w:t xml:space="preserve"> Includes revenue for reimbursements received for certain ETFs associated w</w:t>
      </w:r>
      <w:r>
        <w:rPr>
          <w:rFonts w:ascii="Arial" w:eastAsia="宋体" w:hAnsi="Arial" w:cs="Arial"/>
          <w:color w:val="000000"/>
          <w:sz w:val="13"/>
          <w:szCs w:val="13"/>
        </w:rPr>
        <w:t>ith State Street Global Advisors where we act as the distribution and marketing agent.</w:t>
      </w:r>
    </w:p>
    <w:p w14:paraId="74DD7D3E" w14:textId="77777777" w:rsidR="00584EC1" w:rsidRDefault="00871F8D">
      <w:pPr>
        <w:spacing w:before="60"/>
        <w:jc w:val="both"/>
      </w:pPr>
      <w:r>
        <w:rPr>
          <w:rFonts w:ascii="Arial" w:eastAsia="宋体" w:hAnsi="Arial" w:cs="Arial"/>
          <w:color w:val="000000"/>
          <w:sz w:val="8"/>
          <w:szCs w:val="8"/>
        </w:rPr>
        <w:t>(4)</w:t>
      </w:r>
      <w:r>
        <w:rPr>
          <w:rFonts w:ascii="Arial" w:eastAsia="宋体" w:hAnsi="Arial" w:cs="Arial"/>
          <w:color w:val="000000"/>
          <w:sz w:val="13"/>
          <w:szCs w:val="13"/>
        </w:rPr>
        <w:t xml:space="preserve"> Includes other revenue items that are primarily driven by equity market movements.</w:t>
      </w:r>
    </w:p>
    <w:p w14:paraId="74DD7D3F" w14:textId="77777777" w:rsidR="00584EC1" w:rsidRDefault="00871F8D">
      <w:pPr>
        <w:spacing w:before="60"/>
        <w:jc w:val="both"/>
      </w:pPr>
      <w:r>
        <w:rPr>
          <w:rFonts w:ascii="Arial" w:eastAsia="宋体" w:hAnsi="Arial" w:cs="Arial"/>
          <w:color w:val="000000"/>
          <w:sz w:val="8"/>
          <w:szCs w:val="8"/>
        </w:rPr>
        <w:t>nm</w:t>
      </w:r>
      <w:r>
        <w:rPr>
          <w:rFonts w:ascii="Arial" w:eastAsia="宋体" w:hAnsi="Arial" w:cs="Arial"/>
          <w:color w:val="000000"/>
          <w:sz w:val="13"/>
          <w:szCs w:val="13"/>
        </w:rPr>
        <w:t xml:space="preserve"> Not meaningful</w:t>
      </w:r>
    </w:p>
    <w:p w14:paraId="74DD7D40" w14:textId="77777777" w:rsidR="00584EC1" w:rsidRDefault="00871F8D">
      <w:pPr>
        <w:spacing w:before="60"/>
        <w:ind w:firstLine="450"/>
        <w:jc w:val="both"/>
      </w:pPr>
      <w:r>
        <w:rPr>
          <w:rFonts w:ascii="Arial" w:eastAsia="宋体" w:hAnsi="Arial" w:cs="Arial"/>
          <w:color w:val="000000"/>
          <w:sz w:val="20"/>
          <w:szCs w:val="20"/>
        </w:rPr>
        <w:t xml:space="preserve">Investment Management total revenue increased 5% and 10% in the </w:t>
      </w:r>
      <w:r>
        <w:rPr>
          <w:rFonts w:ascii="Arial" w:eastAsia="宋体" w:hAnsi="Arial" w:cs="Arial"/>
          <w:color w:val="000000"/>
          <w:sz w:val="20"/>
          <w:szCs w:val="20"/>
        </w:rPr>
        <w:t xml:space="preserve">three and nine months ended September 30, 2021, respectively, compared to the same periods in 2020. </w:t>
      </w:r>
    </w:p>
    <w:p w14:paraId="74DD7D41" w14:textId="77777777" w:rsidR="00584EC1" w:rsidRDefault="00871F8D">
      <w:pPr>
        <w:spacing w:before="60"/>
        <w:jc w:val="both"/>
      </w:pPr>
      <w:r>
        <w:rPr>
          <w:rFonts w:ascii="Arial" w:eastAsia="宋体" w:hAnsi="Arial" w:cs="Arial"/>
          <w:b/>
          <w:bCs/>
          <w:i/>
          <w:iCs/>
          <w:color w:val="000000"/>
          <w:sz w:val="20"/>
          <w:szCs w:val="20"/>
        </w:rPr>
        <w:t>Management Fees</w:t>
      </w:r>
    </w:p>
    <w:p w14:paraId="74DD7D42" w14:textId="77777777" w:rsidR="00584EC1" w:rsidRDefault="00871F8D">
      <w:pPr>
        <w:spacing w:before="60"/>
        <w:ind w:firstLine="450"/>
        <w:jc w:val="both"/>
      </w:pPr>
      <w:r>
        <w:rPr>
          <w:rFonts w:ascii="Arial" w:eastAsia="宋体" w:hAnsi="Arial" w:cs="Arial"/>
          <w:color w:val="000000"/>
          <w:sz w:val="20"/>
          <w:szCs w:val="20"/>
        </w:rPr>
        <w:t>Management fees increased 10% in both the three and nine months ended September 30, 2021, compared to the same periods in 2020, primarily d</w:t>
      </w:r>
      <w:r>
        <w:rPr>
          <w:rFonts w:ascii="Arial" w:eastAsia="宋体" w:hAnsi="Arial" w:cs="Arial"/>
          <w:color w:val="000000"/>
          <w:sz w:val="20"/>
          <w:szCs w:val="20"/>
        </w:rPr>
        <w:t>ue to higher average equity market levels and net inflows from ETFs, partially offset by idiosyncratic actions by an institutional client, as previously reported, and higher money market fee waivers. As of September 30, 2021, and assuming short-term spot i</w:t>
      </w:r>
      <w:r>
        <w:rPr>
          <w:rFonts w:ascii="Arial" w:eastAsia="宋体" w:hAnsi="Arial" w:cs="Arial"/>
          <w:color w:val="000000"/>
          <w:sz w:val="20"/>
          <w:szCs w:val="20"/>
        </w:rPr>
        <w:t xml:space="preserve">nterest rates and the amount of money market fund assets remain constant, we estimate that the impact of gross money market fee waivers on our management fees would be approximately $20 million in the fourth quarter of 2021. Currency translation increased </w:t>
      </w:r>
      <w:r>
        <w:rPr>
          <w:rFonts w:ascii="Arial" w:eastAsia="宋体" w:hAnsi="Arial" w:cs="Arial"/>
          <w:color w:val="000000"/>
          <w:sz w:val="20"/>
          <w:szCs w:val="20"/>
        </w:rPr>
        <w:t>management fees by 2% in the nine months ended September 30, 2021, relative to the same period in 2020.</w:t>
      </w:r>
    </w:p>
    <w:p w14:paraId="74DD7D43" w14:textId="77777777" w:rsidR="00584EC1" w:rsidRDefault="00871F8D">
      <w:pPr>
        <w:ind w:firstLine="450"/>
        <w:jc w:val="right"/>
      </w:pPr>
      <w:r>
        <w:rPr>
          <w:rFonts w:ascii="Arial" w:eastAsia="宋体" w:hAnsi="Arial" w:cs="Arial"/>
          <w:color w:val="000000"/>
          <w:sz w:val="18"/>
          <w:szCs w:val="18"/>
        </w:rPr>
        <w:t>State Street Corporation | 24</w:t>
      </w:r>
    </w:p>
    <w:p w14:paraId="74DD7D44" w14:textId="77777777" w:rsidR="00584EC1" w:rsidRDefault="00584EC1">
      <w:pPr>
        <w:ind w:firstLine="450"/>
        <w:jc w:val="center"/>
      </w:pPr>
    </w:p>
    <w:p w14:paraId="74DD7D45" w14:textId="77777777" w:rsidR="00584EC1" w:rsidRDefault="00871F8D">
      <w:r>
        <w:pict w14:anchorId="74DE2A06">
          <v:rect id="_x0000_i1048" style="width:415.3pt;height:1.5pt" o:hralign="center" o:hrstd="t" o:hr="t" fillcolor="#a0a0a0" stroked="f"/>
        </w:pict>
      </w:r>
    </w:p>
    <w:p w14:paraId="74DD7D46" w14:textId="77777777" w:rsidR="00584EC1" w:rsidRDefault="00871F8D">
      <w:pPr>
        <w:ind w:firstLine="450"/>
        <w:jc w:val="center"/>
      </w:pPr>
      <w:r>
        <w:rPr>
          <w:rFonts w:ascii="Arial" w:eastAsia="宋体" w:hAnsi="Arial" w:cs="Arial"/>
          <w:b/>
          <w:bCs/>
          <w:color w:val="000000"/>
          <w:sz w:val="20"/>
          <w:szCs w:val="20"/>
        </w:rPr>
        <w:t>MANAGEMENT’S DISCUSSION AND ANALYSIS OF FINANCIAL CONDITION</w:t>
      </w:r>
    </w:p>
    <w:p w14:paraId="74DD7D47" w14:textId="77777777" w:rsidR="00584EC1" w:rsidRDefault="00871F8D">
      <w:pPr>
        <w:ind w:firstLine="450"/>
        <w:jc w:val="center"/>
      </w:pPr>
      <w:r>
        <w:rPr>
          <w:rFonts w:ascii="Arial" w:eastAsia="宋体" w:hAnsi="Arial" w:cs="Arial"/>
          <w:b/>
          <w:bCs/>
          <w:color w:val="000000"/>
          <w:sz w:val="20"/>
          <w:szCs w:val="20"/>
        </w:rPr>
        <w:t>AND RESULTS OF OPERATIONS</w:t>
      </w:r>
    </w:p>
    <w:p w14:paraId="74DD7D48" w14:textId="77777777" w:rsidR="00584EC1" w:rsidRDefault="00871F8D">
      <w:pPr>
        <w:spacing w:before="60"/>
        <w:ind w:firstLine="450"/>
        <w:jc w:val="both"/>
      </w:pPr>
      <w:r>
        <w:rPr>
          <w:rFonts w:ascii="Arial" w:eastAsia="宋体" w:hAnsi="Arial" w:cs="Arial"/>
          <w:color w:val="000000"/>
          <w:sz w:val="20"/>
          <w:szCs w:val="20"/>
        </w:rPr>
        <w:t>Management fees generated outside</w:t>
      </w:r>
      <w:r>
        <w:rPr>
          <w:rFonts w:ascii="Arial" w:eastAsia="宋体" w:hAnsi="Arial" w:cs="Arial"/>
          <w:color w:val="000000"/>
          <w:sz w:val="20"/>
          <w:szCs w:val="20"/>
        </w:rPr>
        <w:t xml:space="preserve"> the U.S. were approximately 26% of total management fees in both the three and nine months ended September 30, 2021, compared to approximately 25% and 26% in the same periods in 2020, respectively.</w:t>
      </w:r>
    </w:p>
    <w:tbl>
      <w:tblPr>
        <w:tblW w:w="4993" w:type="pct"/>
        <w:jc w:val="right"/>
        <w:tblCellMar>
          <w:top w:w="15" w:type="dxa"/>
          <w:left w:w="15" w:type="dxa"/>
          <w:bottom w:w="15" w:type="dxa"/>
          <w:right w:w="15" w:type="dxa"/>
        </w:tblCellMar>
        <w:tblLook w:val="04A0" w:firstRow="1" w:lastRow="0" w:firstColumn="1" w:lastColumn="0" w:noHBand="0" w:noVBand="1"/>
      </w:tblPr>
      <w:tblGrid>
        <w:gridCol w:w="39"/>
        <w:gridCol w:w="3224"/>
        <w:gridCol w:w="37"/>
        <w:gridCol w:w="105"/>
        <w:gridCol w:w="1148"/>
        <w:gridCol w:w="37"/>
        <w:gridCol w:w="36"/>
        <w:gridCol w:w="36"/>
        <w:gridCol w:w="36"/>
        <w:gridCol w:w="105"/>
        <w:gridCol w:w="1149"/>
        <w:gridCol w:w="37"/>
        <w:gridCol w:w="36"/>
        <w:gridCol w:w="36"/>
        <w:gridCol w:w="36"/>
        <w:gridCol w:w="105"/>
        <w:gridCol w:w="1149"/>
        <w:gridCol w:w="37"/>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584EC1" w14:paraId="74DD7D65" w14:textId="77777777">
        <w:trPr>
          <w:jc w:val="right"/>
        </w:trPr>
        <w:tc>
          <w:tcPr>
            <w:tcW w:w="50" w:type="pct"/>
            <w:shd w:val="clear" w:color="auto" w:fill="auto"/>
            <w:vAlign w:val="bottom"/>
          </w:tcPr>
          <w:p w14:paraId="74DD7D49" w14:textId="77777777" w:rsidR="00584EC1" w:rsidRDefault="00584EC1">
            <w:pPr>
              <w:rPr>
                <w:rFonts w:ascii="宋体"/>
              </w:rPr>
            </w:pPr>
          </w:p>
        </w:tc>
        <w:tc>
          <w:tcPr>
            <w:tcW w:w="2251" w:type="pct"/>
            <w:shd w:val="clear" w:color="auto" w:fill="auto"/>
            <w:vAlign w:val="bottom"/>
          </w:tcPr>
          <w:p w14:paraId="74DD7D4A" w14:textId="77777777" w:rsidR="00584EC1" w:rsidRDefault="00584EC1">
            <w:pPr>
              <w:rPr>
                <w:rFonts w:ascii="宋体"/>
              </w:rPr>
            </w:pPr>
          </w:p>
        </w:tc>
        <w:tc>
          <w:tcPr>
            <w:tcW w:w="5" w:type="pct"/>
            <w:shd w:val="clear" w:color="auto" w:fill="auto"/>
            <w:vAlign w:val="bottom"/>
          </w:tcPr>
          <w:p w14:paraId="74DD7D4B" w14:textId="77777777" w:rsidR="00584EC1" w:rsidRDefault="00584EC1">
            <w:pPr>
              <w:rPr>
                <w:rFonts w:ascii="宋体"/>
              </w:rPr>
            </w:pPr>
          </w:p>
        </w:tc>
        <w:tc>
          <w:tcPr>
            <w:tcW w:w="50" w:type="pct"/>
            <w:shd w:val="clear" w:color="auto" w:fill="auto"/>
            <w:vAlign w:val="bottom"/>
          </w:tcPr>
          <w:p w14:paraId="74DD7D4C" w14:textId="77777777" w:rsidR="00584EC1" w:rsidRDefault="00584EC1">
            <w:pPr>
              <w:rPr>
                <w:rFonts w:ascii="宋体"/>
              </w:rPr>
            </w:pPr>
          </w:p>
        </w:tc>
        <w:tc>
          <w:tcPr>
            <w:tcW w:w="823" w:type="pct"/>
            <w:shd w:val="clear" w:color="auto" w:fill="auto"/>
            <w:vAlign w:val="bottom"/>
          </w:tcPr>
          <w:p w14:paraId="74DD7D4D" w14:textId="77777777" w:rsidR="00584EC1" w:rsidRDefault="00584EC1">
            <w:pPr>
              <w:rPr>
                <w:rFonts w:ascii="宋体"/>
              </w:rPr>
            </w:pPr>
          </w:p>
        </w:tc>
        <w:tc>
          <w:tcPr>
            <w:tcW w:w="5" w:type="pct"/>
            <w:shd w:val="clear" w:color="auto" w:fill="auto"/>
            <w:vAlign w:val="bottom"/>
          </w:tcPr>
          <w:p w14:paraId="74DD7D4E" w14:textId="77777777" w:rsidR="00584EC1" w:rsidRDefault="00584EC1">
            <w:pPr>
              <w:rPr>
                <w:rFonts w:ascii="宋体"/>
              </w:rPr>
            </w:pPr>
          </w:p>
        </w:tc>
        <w:tc>
          <w:tcPr>
            <w:tcW w:w="5" w:type="pct"/>
            <w:shd w:val="clear" w:color="auto" w:fill="auto"/>
            <w:vAlign w:val="bottom"/>
          </w:tcPr>
          <w:p w14:paraId="74DD7D4F" w14:textId="77777777" w:rsidR="00584EC1" w:rsidRDefault="00584EC1">
            <w:pPr>
              <w:rPr>
                <w:rFonts w:ascii="宋体"/>
              </w:rPr>
            </w:pPr>
          </w:p>
        </w:tc>
        <w:tc>
          <w:tcPr>
            <w:tcW w:w="19" w:type="pct"/>
            <w:shd w:val="clear" w:color="auto" w:fill="auto"/>
            <w:vAlign w:val="bottom"/>
          </w:tcPr>
          <w:p w14:paraId="74DD7D50" w14:textId="77777777" w:rsidR="00584EC1" w:rsidRDefault="00584EC1">
            <w:pPr>
              <w:rPr>
                <w:rFonts w:ascii="宋体"/>
              </w:rPr>
            </w:pPr>
          </w:p>
        </w:tc>
        <w:tc>
          <w:tcPr>
            <w:tcW w:w="5" w:type="pct"/>
            <w:shd w:val="clear" w:color="auto" w:fill="auto"/>
            <w:vAlign w:val="bottom"/>
          </w:tcPr>
          <w:p w14:paraId="74DD7D51" w14:textId="77777777" w:rsidR="00584EC1" w:rsidRDefault="00584EC1">
            <w:pPr>
              <w:rPr>
                <w:rFonts w:ascii="宋体"/>
              </w:rPr>
            </w:pPr>
          </w:p>
        </w:tc>
        <w:tc>
          <w:tcPr>
            <w:tcW w:w="50" w:type="pct"/>
            <w:shd w:val="clear" w:color="auto" w:fill="auto"/>
            <w:vAlign w:val="bottom"/>
          </w:tcPr>
          <w:p w14:paraId="74DD7D52" w14:textId="77777777" w:rsidR="00584EC1" w:rsidRDefault="00584EC1">
            <w:pPr>
              <w:rPr>
                <w:rFonts w:ascii="宋体"/>
              </w:rPr>
            </w:pPr>
          </w:p>
        </w:tc>
        <w:tc>
          <w:tcPr>
            <w:tcW w:w="823" w:type="pct"/>
            <w:shd w:val="clear" w:color="auto" w:fill="auto"/>
            <w:vAlign w:val="bottom"/>
          </w:tcPr>
          <w:p w14:paraId="74DD7D53" w14:textId="77777777" w:rsidR="00584EC1" w:rsidRDefault="00584EC1">
            <w:pPr>
              <w:rPr>
                <w:rFonts w:ascii="宋体"/>
              </w:rPr>
            </w:pPr>
          </w:p>
        </w:tc>
        <w:tc>
          <w:tcPr>
            <w:tcW w:w="5" w:type="pct"/>
            <w:shd w:val="clear" w:color="auto" w:fill="auto"/>
            <w:vAlign w:val="bottom"/>
          </w:tcPr>
          <w:p w14:paraId="74DD7D54" w14:textId="77777777" w:rsidR="00584EC1" w:rsidRDefault="00584EC1">
            <w:pPr>
              <w:rPr>
                <w:rFonts w:ascii="宋体"/>
              </w:rPr>
            </w:pPr>
          </w:p>
        </w:tc>
        <w:tc>
          <w:tcPr>
            <w:tcW w:w="5" w:type="pct"/>
            <w:shd w:val="clear" w:color="auto" w:fill="auto"/>
            <w:vAlign w:val="bottom"/>
          </w:tcPr>
          <w:p w14:paraId="74DD7D55" w14:textId="77777777" w:rsidR="00584EC1" w:rsidRDefault="00584EC1">
            <w:pPr>
              <w:rPr>
                <w:rFonts w:ascii="宋体"/>
              </w:rPr>
            </w:pPr>
          </w:p>
        </w:tc>
        <w:tc>
          <w:tcPr>
            <w:tcW w:w="19" w:type="pct"/>
            <w:shd w:val="clear" w:color="auto" w:fill="auto"/>
            <w:vAlign w:val="bottom"/>
          </w:tcPr>
          <w:p w14:paraId="74DD7D56" w14:textId="77777777" w:rsidR="00584EC1" w:rsidRDefault="00584EC1">
            <w:pPr>
              <w:rPr>
                <w:rFonts w:ascii="宋体"/>
              </w:rPr>
            </w:pPr>
          </w:p>
        </w:tc>
        <w:tc>
          <w:tcPr>
            <w:tcW w:w="5" w:type="pct"/>
            <w:shd w:val="clear" w:color="auto" w:fill="auto"/>
            <w:vAlign w:val="bottom"/>
          </w:tcPr>
          <w:p w14:paraId="74DD7D57" w14:textId="77777777" w:rsidR="00584EC1" w:rsidRDefault="00584EC1">
            <w:pPr>
              <w:rPr>
                <w:rFonts w:ascii="宋体"/>
              </w:rPr>
            </w:pPr>
          </w:p>
        </w:tc>
        <w:tc>
          <w:tcPr>
            <w:tcW w:w="50" w:type="pct"/>
            <w:shd w:val="clear" w:color="auto" w:fill="auto"/>
            <w:vAlign w:val="bottom"/>
          </w:tcPr>
          <w:p w14:paraId="74DD7D58" w14:textId="77777777" w:rsidR="00584EC1" w:rsidRDefault="00584EC1">
            <w:pPr>
              <w:rPr>
                <w:rFonts w:ascii="宋体"/>
              </w:rPr>
            </w:pPr>
          </w:p>
        </w:tc>
        <w:tc>
          <w:tcPr>
            <w:tcW w:w="823" w:type="pct"/>
            <w:shd w:val="clear" w:color="auto" w:fill="auto"/>
            <w:vAlign w:val="bottom"/>
          </w:tcPr>
          <w:p w14:paraId="74DD7D59" w14:textId="77777777" w:rsidR="00584EC1" w:rsidRDefault="00584EC1">
            <w:pPr>
              <w:rPr>
                <w:rFonts w:ascii="宋体"/>
              </w:rPr>
            </w:pPr>
          </w:p>
        </w:tc>
        <w:tc>
          <w:tcPr>
            <w:tcW w:w="5" w:type="pct"/>
            <w:shd w:val="clear" w:color="auto" w:fill="auto"/>
            <w:vAlign w:val="bottom"/>
          </w:tcPr>
          <w:p w14:paraId="74DD7D5A" w14:textId="77777777" w:rsidR="00584EC1" w:rsidRDefault="00584EC1">
            <w:pPr>
              <w:rPr>
                <w:rFonts w:ascii="宋体"/>
              </w:rPr>
            </w:pPr>
          </w:p>
        </w:tc>
        <w:tc>
          <w:tcPr>
            <w:tcW w:w="0" w:type="auto"/>
            <w:shd w:val="clear" w:color="auto" w:fill="auto"/>
            <w:vAlign w:val="bottom"/>
          </w:tcPr>
          <w:p w14:paraId="74DD7D5B" w14:textId="77777777" w:rsidR="00584EC1" w:rsidRDefault="00584EC1">
            <w:pPr>
              <w:rPr>
                <w:rFonts w:ascii="宋体"/>
                <w:vanish/>
              </w:rPr>
            </w:pPr>
          </w:p>
        </w:tc>
        <w:tc>
          <w:tcPr>
            <w:tcW w:w="0" w:type="auto"/>
            <w:shd w:val="clear" w:color="auto" w:fill="auto"/>
            <w:vAlign w:val="bottom"/>
          </w:tcPr>
          <w:p w14:paraId="74DD7D5C" w14:textId="77777777" w:rsidR="00584EC1" w:rsidRDefault="00584EC1">
            <w:pPr>
              <w:rPr>
                <w:rFonts w:ascii="宋体"/>
                <w:vanish/>
              </w:rPr>
            </w:pPr>
          </w:p>
        </w:tc>
        <w:tc>
          <w:tcPr>
            <w:tcW w:w="0" w:type="auto"/>
            <w:gridSpan w:val="3"/>
            <w:shd w:val="clear" w:color="auto" w:fill="auto"/>
            <w:vAlign w:val="bottom"/>
          </w:tcPr>
          <w:p w14:paraId="74DD7D5D" w14:textId="77777777" w:rsidR="00584EC1" w:rsidRDefault="00584EC1">
            <w:pPr>
              <w:rPr>
                <w:rFonts w:ascii="宋体"/>
                <w:vanish/>
              </w:rPr>
            </w:pPr>
          </w:p>
        </w:tc>
        <w:tc>
          <w:tcPr>
            <w:tcW w:w="0" w:type="auto"/>
            <w:gridSpan w:val="3"/>
            <w:shd w:val="clear" w:color="auto" w:fill="auto"/>
            <w:vAlign w:val="bottom"/>
          </w:tcPr>
          <w:p w14:paraId="74DD7D5E" w14:textId="77777777" w:rsidR="00584EC1" w:rsidRDefault="00584EC1">
            <w:pPr>
              <w:rPr>
                <w:rFonts w:ascii="宋体"/>
                <w:vanish/>
              </w:rPr>
            </w:pPr>
          </w:p>
        </w:tc>
        <w:tc>
          <w:tcPr>
            <w:tcW w:w="0" w:type="auto"/>
            <w:gridSpan w:val="3"/>
            <w:shd w:val="clear" w:color="auto" w:fill="auto"/>
            <w:vAlign w:val="bottom"/>
          </w:tcPr>
          <w:p w14:paraId="74DD7D5F" w14:textId="77777777" w:rsidR="00584EC1" w:rsidRDefault="00584EC1">
            <w:pPr>
              <w:rPr>
                <w:rFonts w:ascii="宋体"/>
                <w:vanish/>
              </w:rPr>
            </w:pPr>
          </w:p>
        </w:tc>
        <w:tc>
          <w:tcPr>
            <w:tcW w:w="0" w:type="auto"/>
            <w:gridSpan w:val="3"/>
            <w:shd w:val="clear" w:color="auto" w:fill="auto"/>
            <w:vAlign w:val="bottom"/>
          </w:tcPr>
          <w:p w14:paraId="74DD7D60" w14:textId="77777777" w:rsidR="00584EC1" w:rsidRDefault="00584EC1">
            <w:pPr>
              <w:rPr>
                <w:rFonts w:ascii="宋体"/>
                <w:vanish/>
              </w:rPr>
            </w:pPr>
          </w:p>
        </w:tc>
        <w:tc>
          <w:tcPr>
            <w:tcW w:w="0" w:type="auto"/>
            <w:gridSpan w:val="3"/>
            <w:shd w:val="clear" w:color="auto" w:fill="auto"/>
            <w:vAlign w:val="bottom"/>
          </w:tcPr>
          <w:p w14:paraId="74DD7D61" w14:textId="77777777" w:rsidR="00584EC1" w:rsidRDefault="00584EC1">
            <w:pPr>
              <w:rPr>
                <w:rFonts w:ascii="宋体"/>
                <w:vanish/>
              </w:rPr>
            </w:pPr>
          </w:p>
        </w:tc>
        <w:tc>
          <w:tcPr>
            <w:tcW w:w="0" w:type="auto"/>
            <w:gridSpan w:val="3"/>
            <w:shd w:val="clear" w:color="auto" w:fill="auto"/>
            <w:vAlign w:val="bottom"/>
          </w:tcPr>
          <w:p w14:paraId="74DD7D62" w14:textId="77777777" w:rsidR="00584EC1" w:rsidRDefault="00584EC1">
            <w:pPr>
              <w:rPr>
                <w:rFonts w:ascii="宋体"/>
                <w:vanish/>
              </w:rPr>
            </w:pPr>
          </w:p>
        </w:tc>
        <w:tc>
          <w:tcPr>
            <w:tcW w:w="0" w:type="auto"/>
            <w:gridSpan w:val="3"/>
            <w:shd w:val="clear" w:color="auto" w:fill="auto"/>
            <w:vAlign w:val="bottom"/>
          </w:tcPr>
          <w:p w14:paraId="74DD7D63" w14:textId="77777777" w:rsidR="00584EC1" w:rsidRDefault="00584EC1">
            <w:pPr>
              <w:rPr>
                <w:rFonts w:ascii="宋体"/>
                <w:vanish/>
              </w:rPr>
            </w:pPr>
          </w:p>
        </w:tc>
        <w:tc>
          <w:tcPr>
            <w:tcW w:w="0" w:type="auto"/>
            <w:gridSpan w:val="3"/>
            <w:shd w:val="clear" w:color="auto" w:fill="auto"/>
            <w:vAlign w:val="bottom"/>
          </w:tcPr>
          <w:p w14:paraId="74DD7D64" w14:textId="77777777" w:rsidR="00584EC1" w:rsidRDefault="00584EC1">
            <w:pPr>
              <w:rPr>
                <w:rFonts w:ascii="宋体"/>
                <w:vanish/>
              </w:rPr>
            </w:pPr>
          </w:p>
        </w:tc>
      </w:tr>
      <w:tr w:rsidR="00584EC1" w14:paraId="74DD7D71" w14:textId="77777777">
        <w:trPr>
          <w:jc w:val="right"/>
        </w:trPr>
        <w:tc>
          <w:tcPr>
            <w:tcW w:w="0" w:type="auto"/>
            <w:gridSpan w:val="18"/>
            <w:shd w:val="clear" w:color="auto" w:fill="auto"/>
            <w:tcMar>
              <w:top w:w="40" w:type="dxa"/>
              <w:left w:w="20" w:type="dxa"/>
              <w:bottom w:w="40" w:type="dxa"/>
              <w:right w:w="20" w:type="dxa"/>
            </w:tcMar>
            <w:vAlign w:val="bottom"/>
          </w:tcPr>
          <w:p w14:paraId="74DD7D66" w14:textId="77777777" w:rsidR="00584EC1" w:rsidRDefault="00871F8D">
            <w:pPr>
              <w:textAlignment w:val="bottom"/>
            </w:pPr>
            <w:r>
              <w:rPr>
                <w:rFonts w:ascii="Arial" w:eastAsia="宋体" w:hAnsi="Arial" w:cs="Arial"/>
                <w:b/>
                <w:bCs/>
                <w:color w:val="000000"/>
                <w:sz w:val="16"/>
                <w:szCs w:val="16"/>
              </w:rPr>
              <w:t>TABLE 15: ASSETS UNDER MANAGEMENT BY ASSET CLASS AND INVESTMENT APPROACH</w:t>
            </w:r>
          </w:p>
        </w:tc>
        <w:tc>
          <w:tcPr>
            <w:tcW w:w="0" w:type="auto"/>
            <w:shd w:val="clear" w:color="auto" w:fill="auto"/>
            <w:vAlign w:val="bottom"/>
          </w:tcPr>
          <w:p w14:paraId="74DD7D67" w14:textId="77777777" w:rsidR="00584EC1" w:rsidRDefault="00584EC1">
            <w:pPr>
              <w:rPr>
                <w:rFonts w:ascii="宋体"/>
                <w:vanish/>
              </w:rPr>
            </w:pPr>
          </w:p>
        </w:tc>
        <w:tc>
          <w:tcPr>
            <w:tcW w:w="0" w:type="auto"/>
            <w:shd w:val="clear" w:color="auto" w:fill="auto"/>
            <w:vAlign w:val="bottom"/>
          </w:tcPr>
          <w:p w14:paraId="74DD7D68" w14:textId="77777777" w:rsidR="00584EC1" w:rsidRDefault="00584EC1">
            <w:pPr>
              <w:rPr>
                <w:rFonts w:ascii="宋体"/>
                <w:vanish/>
              </w:rPr>
            </w:pPr>
          </w:p>
        </w:tc>
        <w:tc>
          <w:tcPr>
            <w:tcW w:w="0" w:type="auto"/>
            <w:gridSpan w:val="3"/>
            <w:shd w:val="clear" w:color="auto" w:fill="auto"/>
            <w:vAlign w:val="bottom"/>
          </w:tcPr>
          <w:p w14:paraId="74DD7D69" w14:textId="77777777" w:rsidR="00584EC1" w:rsidRDefault="00584EC1">
            <w:pPr>
              <w:rPr>
                <w:rFonts w:ascii="宋体"/>
                <w:vanish/>
              </w:rPr>
            </w:pPr>
          </w:p>
        </w:tc>
        <w:tc>
          <w:tcPr>
            <w:tcW w:w="0" w:type="auto"/>
            <w:gridSpan w:val="3"/>
            <w:shd w:val="clear" w:color="auto" w:fill="auto"/>
            <w:vAlign w:val="bottom"/>
          </w:tcPr>
          <w:p w14:paraId="74DD7D6A" w14:textId="77777777" w:rsidR="00584EC1" w:rsidRDefault="00584EC1">
            <w:pPr>
              <w:rPr>
                <w:rFonts w:ascii="宋体"/>
                <w:vanish/>
              </w:rPr>
            </w:pPr>
          </w:p>
        </w:tc>
        <w:tc>
          <w:tcPr>
            <w:tcW w:w="0" w:type="auto"/>
            <w:gridSpan w:val="3"/>
            <w:shd w:val="clear" w:color="auto" w:fill="auto"/>
            <w:vAlign w:val="bottom"/>
          </w:tcPr>
          <w:p w14:paraId="74DD7D6B" w14:textId="77777777" w:rsidR="00584EC1" w:rsidRDefault="00584EC1">
            <w:pPr>
              <w:rPr>
                <w:rFonts w:ascii="宋体"/>
                <w:vanish/>
              </w:rPr>
            </w:pPr>
          </w:p>
        </w:tc>
        <w:tc>
          <w:tcPr>
            <w:tcW w:w="0" w:type="auto"/>
            <w:gridSpan w:val="3"/>
            <w:shd w:val="clear" w:color="auto" w:fill="auto"/>
            <w:vAlign w:val="bottom"/>
          </w:tcPr>
          <w:p w14:paraId="74DD7D6C" w14:textId="77777777" w:rsidR="00584EC1" w:rsidRDefault="00584EC1">
            <w:pPr>
              <w:rPr>
                <w:rFonts w:ascii="宋体"/>
                <w:vanish/>
              </w:rPr>
            </w:pPr>
          </w:p>
        </w:tc>
        <w:tc>
          <w:tcPr>
            <w:tcW w:w="0" w:type="auto"/>
            <w:gridSpan w:val="3"/>
            <w:shd w:val="clear" w:color="auto" w:fill="auto"/>
            <w:vAlign w:val="bottom"/>
          </w:tcPr>
          <w:p w14:paraId="74DD7D6D" w14:textId="77777777" w:rsidR="00584EC1" w:rsidRDefault="00584EC1">
            <w:pPr>
              <w:rPr>
                <w:rFonts w:ascii="宋体"/>
                <w:vanish/>
              </w:rPr>
            </w:pPr>
          </w:p>
        </w:tc>
        <w:tc>
          <w:tcPr>
            <w:tcW w:w="0" w:type="auto"/>
            <w:gridSpan w:val="3"/>
            <w:shd w:val="clear" w:color="auto" w:fill="auto"/>
            <w:vAlign w:val="bottom"/>
          </w:tcPr>
          <w:p w14:paraId="74DD7D6E" w14:textId="77777777" w:rsidR="00584EC1" w:rsidRDefault="00584EC1">
            <w:pPr>
              <w:rPr>
                <w:rFonts w:ascii="宋体"/>
                <w:vanish/>
              </w:rPr>
            </w:pPr>
          </w:p>
        </w:tc>
        <w:tc>
          <w:tcPr>
            <w:tcW w:w="0" w:type="auto"/>
            <w:gridSpan w:val="3"/>
            <w:shd w:val="clear" w:color="auto" w:fill="auto"/>
            <w:vAlign w:val="bottom"/>
          </w:tcPr>
          <w:p w14:paraId="74DD7D6F" w14:textId="77777777" w:rsidR="00584EC1" w:rsidRDefault="00584EC1">
            <w:pPr>
              <w:rPr>
                <w:rFonts w:ascii="宋体"/>
                <w:vanish/>
              </w:rPr>
            </w:pPr>
          </w:p>
        </w:tc>
        <w:tc>
          <w:tcPr>
            <w:tcW w:w="0" w:type="auto"/>
            <w:gridSpan w:val="3"/>
            <w:shd w:val="clear" w:color="auto" w:fill="auto"/>
            <w:vAlign w:val="bottom"/>
          </w:tcPr>
          <w:p w14:paraId="74DD7D70" w14:textId="77777777" w:rsidR="00584EC1" w:rsidRDefault="00584EC1">
            <w:pPr>
              <w:rPr>
                <w:rFonts w:ascii="宋体"/>
                <w:vanish/>
              </w:rPr>
            </w:pPr>
          </w:p>
        </w:tc>
      </w:tr>
      <w:tr w:rsidR="00584EC1" w14:paraId="74DD7D82" w14:textId="77777777">
        <w:trPr>
          <w:jc w:val="right"/>
        </w:trPr>
        <w:tc>
          <w:tcPr>
            <w:tcW w:w="0" w:type="auto"/>
            <w:gridSpan w:val="3"/>
            <w:shd w:val="clear" w:color="auto" w:fill="auto"/>
            <w:tcMar>
              <w:top w:w="40" w:type="dxa"/>
              <w:left w:w="20" w:type="dxa"/>
              <w:bottom w:w="40" w:type="dxa"/>
              <w:right w:w="20" w:type="dxa"/>
            </w:tcMar>
            <w:vAlign w:val="bottom"/>
          </w:tcPr>
          <w:p w14:paraId="74DD7D72" w14:textId="77777777" w:rsidR="00584EC1" w:rsidRDefault="00871F8D">
            <w:pPr>
              <w:textAlignment w:val="bottom"/>
            </w:pPr>
            <w:r>
              <w:rPr>
                <w:rFonts w:ascii="Arial" w:eastAsia="宋体" w:hAnsi="Arial" w:cs="Arial"/>
                <w:b/>
                <w:bCs/>
                <w:color w:val="000000"/>
                <w:sz w:val="15"/>
                <w:szCs w:val="15"/>
              </w:rPr>
              <w:t>(In billions)</w:t>
            </w: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4DD7D73" w14:textId="77777777" w:rsidR="00584EC1" w:rsidRDefault="00871F8D">
            <w:pPr>
              <w:jc w:val="center"/>
              <w:textAlignment w:val="bottom"/>
            </w:pPr>
            <w:r>
              <w:rPr>
                <w:rFonts w:ascii="Arial" w:eastAsia="宋体" w:hAnsi="Arial" w:cs="Arial"/>
                <w:b/>
                <w:bCs/>
                <w:color w:val="000000"/>
                <w:sz w:val="15"/>
                <w:szCs w:val="15"/>
              </w:rPr>
              <w:t>September 30, 2021</w:t>
            </w:r>
          </w:p>
        </w:tc>
        <w:tc>
          <w:tcPr>
            <w:tcW w:w="0" w:type="auto"/>
            <w:gridSpan w:val="3"/>
            <w:shd w:val="clear" w:color="auto" w:fill="auto"/>
            <w:tcMar>
              <w:top w:w="0" w:type="dxa"/>
              <w:left w:w="20" w:type="dxa"/>
              <w:bottom w:w="0" w:type="dxa"/>
              <w:right w:w="20" w:type="dxa"/>
            </w:tcMar>
            <w:vAlign w:val="bottom"/>
          </w:tcPr>
          <w:p w14:paraId="74DD7D74" w14:textId="77777777" w:rsidR="00584EC1" w:rsidRDefault="00584EC1">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4DD7D75" w14:textId="77777777" w:rsidR="00584EC1" w:rsidRDefault="00871F8D">
            <w:pPr>
              <w:jc w:val="center"/>
              <w:textAlignment w:val="bottom"/>
            </w:pPr>
            <w:r>
              <w:rPr>
                <w:rFonts w:ascii="Arial" w:eastAsia="宋体" w:hAnsi="Arial" w:cs="Arial"/>
                <w:b/>
                <w:bCs/>
                <w:color w:val="000000"/>
                <w:sz w:val="15"/>
                <w:szCs w:val="15"/>
              </w:rPr>
              <w:t>December 31, 2020</w:t>
            </w:r>
          </w:p>
        </w:tc>
        <w:tc>
          <w:tcPr>
            <w:tcW w:w="0" w:type="auto"/>
            <w:gridSpan w:val="3"/>
            <w:shd w:val="clear" w:color="auto" w:fill="auto"/>
            <w:tcMar>
              <w:top w:w="0" w:type="dxa"/>
              <w:left w:w="20" w:type="dxa"/>
              <w:bottom w:w="0" w:type="dxa"/>
              <w:right w:w="20" w:type="dxa"/>
            </w:tcMar>
            <w:vAlign w:val="bottom"/>
          </w:tcPr>
          <w:p w14:paraId="74DD7D76" w14:textId="77777777" w:rsidR="00584EC1" w:rsidRDefault="00584EC1">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4DD7D77" w14:textId="77777777" w:rsidR="00584EC1" w:rsidRDefault="00871F8D">
            <w:pPr>
              <w:jc w:val="center"/>
              <w:textAlignment w:val="bottom"/>
            </w:pPr>
            <w:r>
              <w:rPr>
                <w:rFonts w:ascii="Arial" w:eastAsia="宋体" w:hAnsi="Arial" w:cs="Arial"/>
                <w:b/>
                <w:bCs/>
                <w:color w:val="000000"/>
                <w:sz w:val="15"/>
                <w:szCs w:val="15"/>
              </w:rPr>
              <w:t> September 30, 2020</w:t>
            </w:r>
          </w:p>
        </w:tc>
        <w:tc>
          <w:tcPr>
            <w:tcW w:w="0" w:type="auto"/>
            <w:shd w:val="clear" w:color="auto" w:fill="auto"/>
            <w:vAlign w:val="bottom"/>
          </w:tcPr>
          <w:p w14:paraId="74DD7D78" w14:textId="77777777" w:rsidR="00584EC1" w:rsidRDefault="00584EC1">
            <w:pPr>
              <w:rPr>
                <w:rFonts w:ascii="宋体"/>
                <w:vanish/>
              </w:rPr>
            </w:pPr>
          </w:p>
        </w:tc>
        <w:tc>
          <w:tcPr>
            <w:tcW w:w="0" w:type="auto"/>
            <w:shd w:val="clear" w:color="auto" w:fill="auto"/>
            <w:vAlign w:val="bottom"/>
          </w:tcPr>
          <w:p w14:paraId="74DD7D79" w14:textId="77777777" w:rsidR="00584EC1" w:rsidRDefault="00584EC1">
            <w:pPr>
              <w:rPr>
                <w:rFonts w:ascii="宋体"/>
                <w:vanish/>
              </w:rPr>
            </w:pPr>
          </w:p>
        </w:tc>
        <w:tc>
          <w:tcPr>
            <w:tcW w:w="0" w:type="auto"/>
            <w:gridSpan w:val="3"/>
            <w:shd w:val="clear" w:color="auto" w:fill="auto"/>
            <w:vAlign w:val="bottom"/>
          </w:tcPr>
          <w:p w14:paraId="74DD7D7A" w14:textId="77777777" w:rsidR="00584EC1" w:rsidRDefault="00584EC1">
            <w:pPr>
              <w:rPr>
                <w:rFonts w:ascii="宋体"/>
                <w:vanish/>
              </w:rPr>
            </w:pPr>
          </w:p>
        </w:tc>
        <w:tc>
          <w:tcPr>
            <w:tcW w:w="0" w:type="auto"/>
            <w:gridSpan w:val="3"/>
            <w:shd w:val="clear" w:color="auto" w:fill="auto"/>
            <w:vAlign w:val="bottom"/>
          </w:tcPr>
          <w:p w14:paraId="74DD7D7B" w14:textId="77777777" w:rsidR="00584EC1" w:rsidRDefault="00584EC1">
            <w:pPr>
              <w:rPr>
                <w:rFonts w:ascii="宋体"/>
                <w:vanish/>
              </w:rPr>
            </w:pPr>
          </w:p>
        </w:tc>
        <w:tc>
          <w:tcPr>
            <w:tcW w:w="0" w:type="auto"/>
            <w:gridSpan w:val="3"/>
            <w:shd w:val="clear" w:color="auto" w:fill="auto"/>
            <w:vAlign w:val="bottom"/>
          </w:tcPr>
          <w:p w14:paraId="74DD7D7C" w14:textId="77777777" w:rsidR="00584EC1" w:rsidRDefault="00584EC1">
            <w:pPr>
              <w:rPr>
                <w:rFonts w:ascii="宋体"/>
                <w:vanish/>
              </w:rPr>
            </w:pPr>
          </w:p>
        </w:tc>
        <w:tc>
          <w:tcPr>
            <w:tcW w:w="0" w:type="auto"/>
            <w:gridSpan w:val="3"/>
            <w:shd w:val="clear" w:color="auto" w:fill="auto"/>
            <w:vAlign w:val="bottom"/>
          </w:tcPr>
          <w:p w14:paraId="74DD7D7D" w14:textId="77777777" w:rsidR="00584EC1" w:rsidRDefault="00584EC1">
            <w:pPr>
              <w:rPr>
                <w:rFonts w:ascii="宋体"/>
                <w:vanish/>
              </w:rPr>
            </w:pPr>
          </w:p>
        </w:tc>
        <w:tc>
          <w:tcPr>
            <w:tcW w:w="0" w:type="auto"/>
            <w:gridSpan w:val="3"/>
            <w:shd w:val="clear" w:color="auto" w:fill="auto"/>
            <w:vAlign w:val="bottom"/>
          </w:tcPr>
          <w:p w14:paraId="74DD7D7E" w14:textId="77777777" w:rsidR="00584EC1" w:rsidRDefault="00584EC1">
            <w:pPr>
              <w:rPr>
                <w:rFonts w:ascii="宋体"/>
                <w:vanish/>
              </w:rPr>
            </w:pPr>
          </w:p>
        </w:tc>
        <w:tc>
          <w:tcPr>
            <w:tcW w:w="0" w:type="auto"/>
            <w:gridSpan w:val="3"/>
            <w:shd w:val="clear" w:color="auto" w:fill="auto"/>
            <w:vAlign w:val="bottom"/>
          </w:tcPr>
          <w:p w14:paraId="74DD7D7F" w14:textId="77777777" w:rsidR="00584EC1" w:rsidRDefault="00584EC1">
            <w:pPr>
              <w:rPr>
                <w:rFonts w:ascii="宋体"/>
                <w:vanish/>
              </w:rPr>
            </w:pPr>
          </w:p>
        </w:tc>
        <w:tc>
          <w:tcPr>
            <w:tcW w:w="0" w:type="auto"/>
            <w:gridSpan w:val="3"/>
            <w:shd w:val="clear" w:color="auto" w:fill="auto"/>
            <w:vAlign w:val="bottom"/>
          </w:tcPr>
          <w:p w14:paraId="74DD7D80" w14:textId="77777777" w:rsidR="00584EC1" w:rsidRDefault="00584EC1">
            <w:pPr>
              <w:rPr>
                <w:rFonts w:ascii="宋体"/>
                <w:vanish/>
              </w:rPr>
            </w:pPr>
          </w:p>
        </w:tc>
        <w:tc>
          <w:tcPr>
            <w:tcW w:w="0" w:type="auto"/>
            <w:gridSpan w:val="3"/>
            <w:shd w:val="clear" w:color="auto" w:fill="auto"/>
            <w:vAlign w:val="bottom"/>
          </w:tcPr>
          <w:p w14:paraId="74DD7D81" w14:textId="77777777" w:rsidR="00584EC1" w:rsidRDefault="00584EC1">
            <w:pPr>
              <w:rPr>
                <w:rFonts w:ascii="宋体"/>
                <w:vanish/>
              </w:rPr>
            </w:pPr>
          </w:p>
        </w:tc>
      </w:tr>
      <w:tr w:rsidR="00584EC1" w14:paraId="74DD7D9E" w14:textId="77777777">
        <w:trPr>
          <w:jc w:val="right"/>
        </w:trPr>
        <w:tc>
          <w:tcPr>
            <w:tcW w:w="0" w:type="auto"/>
            <w:gridSpan w:val="18"/>
            <w:shd w:val="clear" w:color="auto" w:fill="auto"/>
            <w:tcMar>
              <w:top w:w="40" w:type="dxa"/>
              <w:left w:w="20" w:type="dxa"/>
              <w:bottom w:w="40" w:type="dxa"/>
              <w:right w:w="20" w:type="dxa"/>
            </w:tcMar>
            <w:vAlign w:val="bottom"/>
          </w:tcPr>
          <w:p w14:paraId="74DD7D83" w14:textId="77777777" w:rsidR="00584EC1" w:rsidRDefault="00871F8D">
            <w:pPr>
              <w:textAlignment w:val="bottom"/>
            </w:pPr>
            <w:r>
              <w:rPr>
                <w:rFonts w:ascii="Arial" w:eastAsia="宋体" w:hAnsi="Arial" w:cs="Arial"/>
                <w:color w:val="000000"/>
                <w:sz w:val="15"/>
                <w:szCs w:val="15"/>
              </w:rPr>
              <w:t>Equity:</w:t>
            </w:r>
          </w:p>
        </w:tc>
        <w:tc>
          <w:tcPr>
            <w:tcW w:w="0" w:type="auto"/>
            <w:shd w:val="clear" w:color="auto" w:fill="auto"/>
            <w:vAlign w:val="bottom"/>
          </w:tcPr>
          <w:p w14:paraId="74DD7D84" w14:textId="77777777" w:rsidR="00584EC1" w:rsidRDefault="00584EC1">
            <w:pPr>
              <w:rPr>
                <w:rFonts w:ascii="宋体"/>
                <w:vanish/>
              </w:rPr>
            </w:pPr>
          </w:p>
        </w:tc>
        <w:tc>
          <w:tcPr>
            <w:tcW w:w="0" w:type="auto"/>
            <w:shd w:val="clear" w:color="auto" w:fill="auto"/>
            <w:vAlign w:val="bottom"/>
          </w:tcPr>
          <w:p w14:paraId="74DD7D85" w14:textId="77777777" w:rsidR="00584EC1" w:rsidRDefault="00584EC1">
            <w:pPr>
              <w:rPr>
                <w:rFonts w:ascii="宋体"/>
                <w:vanish/>
              </w:rPr>
            </w:pPr>
          </w:p>
        </w:tc>
        <w:tc>
          <w:tcPr>
            <w:tcW w:w="0" w:type="auto"/>
            <w:shd w:val="clear" w:color="auto" w:fill="auto"/>
            <w:vAlign w:val="bottom"/>
          </w:tcPr>
          <w:p w14:paraId="74DD7D86" w14:textId="77777777" w:rsidR="00584EC1" w:rsidRDefault="00584EC1">
            <w:pPr>
              <w:rPr>
                <w:rFonts w:ascii="宋体"/>
              </w:rPr>
            </w:pPr>
          </w:p>
        </w:tc>
        <w:tc>
          <w:tcPr>
            <w:tcW w:w="0" w:type="auto"/>
            <w:shd w:val="clear" w:color="auto" w:fill="auto"/>
            <w:vAlign w:val="bottom"/>
          </w:tcPr>
          <w:p w14:paraId="74DD7D87" w14:textId="77777777" w:rsidR="00584EC1" w:rsidRDefault="00584EC1">
            <w:pPr>
              <w:rPr>
                <w:rFonts w:ascii="宋体"/>
              </w:rPr>
            </w:pPr>
          </w:p>
        </w:tc>
        <w:tc>
          <w:tcPr>
            <w:tcW w:w="0" w:type="auto"/>
            <w:shd w:val="clear" w:color="auto" w:fill="auto"/>
            <w:vAlign w:val="bottom"/>
          </w:tcPr>
          <w:p w14:paraId="74DD7D88" w14:textId="77777777" w:rsidR="00584EC1" w:rsidRDefault="00584EC1">
            <w:pPr>
              <w:rPr>
                <w:rFonts w:ascii="宋体"/>
              </w:rPr>
            </w:pPr>
          </w:p>
        </w:tc>
        <w:tc>
          <w:tcPr>
            <w:tcW w:w="0" w:type="auto"/>
            <w:shd w:val="clear" w:color="auto" w:fill="auto"/>
            <w:vAlign w:val="bottom"/>
          </w:tcPr>
          <w:p w14:paraId="74DD7D89" w14:textId="77777777" w:rsidR="00584EC1" w:rsidRDefault="00584EC1">
            <w:pPr>
              <w:rPr>
                <w:rFonts w:ascii="宋体"/>
              </w:rPr>
            </w:pPr>
          </w:p>
        </w:tc>
        <w:tc>
          <w:tcPr>
            <w:tcW w:w="0" w:type="auto"/>
            <w:shd w:val="clear" w:color="auto" w:fill="auto"/>
            <w:vAlign w:val="bottom"/>
          </w:tcPr>
          <w:p w14:paraId="74DD7D8A" w14:textId="77777777" w:rsidR="00584EC1" w:rsidRDefault="00584EC1">
            <w:pPr>
              <w:rPr>
                <w:rFonts w:ascii="宋体"/>
              </w:rPr>
            </w:pPr>
          </w:p>
        </w:tc>
        <w:tc>
          <w:tcPr>
            <w:tcW w:w="0" w:type="auto"/>
            <w:shd w:val="clear" w:color="auto" w:fill="auto"/>
            <w:vAlign w:val="bottom"/>
          </w:tcPr>
          <w:p w14:paraId="74DD7D8B" w14:textId="77777777" w:rsidR="00584EC1" w:rsidRDefault="00584EC1">
            <w:pPr>
              <w:rPr>
                <w:rFonts w:ascii="宋体"/>
              </w:rPr>
            </w:pPr>
          </w:p>
        </w:tc>
        <w:tc>
          <w:tcPr>
            <w:tcW w:w="0" w:type="auto"/>
            <w:shd w:val="clear" w:color="auto" w:fill="auto"/>
            <w:vAlign w:val="bottom"/>
          </w:tcPr>
          <w:p w14:paraId="74DD7D8C" w14:textId="77777777" w:rsidR="00584EC1" w:rsidRDefault="00584EC1">
            <w:pPr>
              <w:rPr>
                <w:rFonts w:ascii="宋体"/>
              </w:rPr>
            </w:pPr>
          </w:p>
        </w:tc>
        <w:tc>
          <w:tcPr>
            <w:tcW w:w="0" w:type="auto"/>
            <w:shd w:val="clear" w:color="auto" w:fill="auto"/>
            <w:vAlign w:val="bottom"/>
          </w:tcPr>
          <w:p w14:paraId="74DD7D8D" w14:textId="77777777" w:rsidR="00584EC1" w:rsidRDefault="00584EC1">
            <w:pPr>
              <w:rPr>
                <w:rFonts w:ascii="宋体"/>
              </w:rPr>
            </w:pPr>
          </w:p>
        </w:tc>
        <w:tc>
          <w:tcPr>
            <w:tcW w:w="0" w:type="auto"/>
            <w:shd w:val="clear" w:color="auto" w:fill="auto"/>
            <w:vAlign w:val="bottom"/>
          </w:tcPr>
          <w:p w14:paraId="74DD7D8E" w14:textId="77777777" w:rsidR="00584EC1" w:rsidRDefault="00584EC1">
            <w:pPr>
              <w:rPr>
                <w:rFonts w:ascii="宋体"/>
              </w:rPr>
            </w:pPr>
          </w:p>
        </w:tc>
        <w:tc>
          <w:tcPr>
            <w:tcW w:w="0" w:type="auto"/>
            <w:shd w:val="clear" w:color="auto" w:fill="auto"/>
            <w:vAlign w:val="bottom"/>
          </w:tcPr>
          <w:p w14:paraId="74DD7D8F" w14:textId="77777777" w:rsidR="00584EC1" w:rsidRDefault="00584EC1">
            <w:pPr>
              <w:rPr>
                <w:rFonts w:ascii="宋体"/>
              </w:rPr>
            </w:pPr>
          </w:p>
        </w:tc>
        <w:tc>
          <w:tcPr>
            <w:tcW w:w="0" w:type="auto"/>
            <w:shd w:val="clear" w:color="auto" w:fill="auto"/>
            <w:vAlign w:val="bottom"/>
          </w:tcPr>
          <w:p w14:paraId="74DD7D90" w14:textId="77777777" w:rsidR="00584EC1" w:rsidRDefault="00584EC1">
            <w:pPr>
              <w:rPr>
                <w:rFonts w:ascii="宋体"/>
              </w:rPr>
            </w:pPr>
          </w:p>
        </w:tc>
        <w:tc>
          <w:tcPr>
            <w:tcW w:w="0" w:type="auto"/>
            <w:shd w:val="clear" w:color="auto" w:fill="auto"/>
            <w:vAlign w:val="bottom"/>
          </w:tcPr>
          <w:p w14:paraId="74DD7D91" w14:textId="77777777" w:rsidR="00584EC1" w:rsidRDefault="00584EC1">
            <w:pPr>
              <w:rPr>
                <w:rFonts w:ascii="宋体"/>
              </w:rPr>
            </w:pPr>
          </w:p>
        </w:tc>
        <w:tc>
          <w:tcPr>
            <w:tcW w:w="0" w:type="auto"/>
            <w:shd w:val="clear" w:color="auto" w:fill="auto"/>
            <w:vAlign w:val="bottom"/>
          </w:tcPr>
          <w:p w14:paraId="74DD7D92" w14:textId="77777777" w:rsidR="00584EC1" w:rsidRDefault="00584EC1">
            <w:pPr>
              <w:rPr>
                <w:rFonts w:ascii="宋体"/>
              </w:rPr>
            </w:pPr>
          </w:p>
        </w:tc>
        <w:tc>
          <w:tcPr>
            <w:tcW w:w="0" w:type="auto"/>
            <w:shd w:val="clear" w:color="auto" w:fill="auto"/>
            <w:vAlign w:val="bottom"/>
          </w:tcPr>
          <w:p w14:paraId="74DD7D93" w14:textId="77777777" w:rsidR="00584EC1" w:rsidRDefault="00584EC1">
            <w:pPr>
              <w:rPr>
                <w:rFonts w:ascii="宋体"/>
              </w:rPr>
            </w:pPr>
          </w:p>
        </w:tc>
        <w:tc>
          <w:tcPr>
            <w:tcW w:w="0" w:type="auto"/>
            <w:shd w:val="clear" w:color="auto" w:fill="auto"/>
            <w:vAlign w:val="bottom"/>
          </w:tcPr>
          <w:p w14:paraId="74DD7D94" w14:textId="77777777" w:rsidR="00584EC1" w:rsidRDefault="00584EC1">
            <w:pPr>
              <w:rPr>
                <w:rFonts w:ascii="宋体"/>
              </w:rPr>
            </w:pPr>
          </w:p>
        </w:tc>
        <w:tc>
          <w:tcPr>
            <w:tcW w:w="0" w:type="auto"/>
            <w:shd w:val="clear" w:color="auto" w:fill="auto"/>
            <w:vAlign w:val="bottom"/>
          </w:tcPr>
          <w:p w14:paraId="74DD7D95" w14:textId="77777777" w:rsidR="00584EC1" w:rsidRDefault="00584EC1">
            <w:pPr>
              <w:rPr>
                <w:rFonts w:ascii="宋体"/>
              </w:rPr>
            </w:pPr>
          </w:p>
        </w:tc>
        <w:tc>
          <w:tcPr>
            <w:tcW w:w="0" w:type="auto"/>
            <w:shd w:val="clear" w:color="auto" w:fill="auto"/>
            <w:vAlign w:val="bottom"/>
          </w:tcPr>
          <w:p w14:paraId="74DD7D96" w14:textId="77777777" w:rsidR="00584EC1" w:rsidRDefault="00584EC1">
            <w:pPr>
              <w:rPr>
                <w:rFonts w:ascii="宋体"/>
              </w:rPr>
            </w:pPr>
          </w:p>
        </w:tc>
        <w:tc>
          <w:tcPr>
            <w:tcW w:w="0" w:type="auto"/>
            <w:shd w:val="clear" w:color="auto" w:fill="auto"/>
            <w:vAlign w:val="bottom"/>
          </w:tcPr>
          <w:p w14:paraId="74DD7D97" w14:textId="77777777" w:rsidR="00584EC1" w:rsidRDefault="00584EC1">
            <w:pPr>
              <w:rPr>
                <w:rFonts w:ascii="宋体"/>
              </w:rPr>
            </w:pPr>
          </w:p>
        </w:tc>
        <w:tc>
          <w:tcPr>
            <w:tcW w:w="0" w:type="auto"/>
            <w:shd w:val="clear" w:color="auto" w:fill="auto"/>
            <w:vAlign w:val="bottom"/>
          </w:tcPr>
          <w:p w14:paraId="74DD7D98" w14:textId="77777777" w:rsidR="00584EC1" w:rsidRDefault="00584EC1">
            <w:pPr>
              <w:rPr>
                <w:rFonts w:ascii="宋体"/>
              </w:rPr>
            </w:pPr>
          </w:p>
        </w:tc>
        <w:tc>
          <w:tcPr>
            <w:tcW w:w="0" w:type="auto"/>
            <w:shd w:val="clear" w:color="auto" w:fill="auto"/>
            <w:vAlign w:val="bottom"/>
          </w:tcPr>
          <w:p w14:paraId="74DD7D99" w14:textId="77777777" w:rsidR="00584EC1" w:rsidRDefault="00584EC1">
            <w:pPr>
              <w:rPr>
                <w:rFonts w:ascii="宋体"/>
              </w:rPr>
            </w:pPr>
          </w:p>
        </w:tc>
        <w:tc>
          <w:tcPr>
            <w:tcW w:w="0" w:type="auto"/>
            <w:shd w:val="clear" w:color="auto" w:fill="auto"/>
            <w:vAlign w:val="bottom"/>
          </w:tcPr>
          <w:p w14:paraId="74DD7D9A" w14:textId="77777777" w:rsidR="00584EC1" w:rsidRDefault="00584EC1">
            <w:pPr>
              <w:rPr>
                <w:rFonts w:ascii="宋体"/>
              </w:rPr>
            </w:pPr>
          </w:p>
        </w:tc>
        <w:tc>
          <w:tcPr>
            <w:tcW w:w="0" w:type="auto"/>
            <w:shd w:val="clear" w:color="auto" w:fill="auto"/>
            <w:vAlign w:val="bottom"/>
          </w:tcPr>
          <w:p w14:paraId="74DD7D9B" w14:textId="77777777" w:rsidR="00584EC1" w:rsidRDefault="00584EC1">
            <w:pPr>
              <w:rPr>
                <w:rFonts w:ascii="宋体"/>
              </w:rPr>
            </w:pPr>
          </w:p>
        </w:tc>
        <w:tc>
          <w:tcPr>
            <w:tcW w:w="0" w:type="auto"/>
            <w:shd w:val="clear" w:color="auto" w:fill="auto"/>
            <w:vAlign w:val="bottom"/>
          </w:tcPr>
          <w:p w14:paraId="74DD7D9C" w14:textId="77777777" w:rsidR="00584EC1" w:rsidRDefault="00584EC1">
            <w:pPr>
              <w:rPr>
                <w:rFonts w:ascii="宋体"/>
              </w:rPr>
            </w:pPr>
          </w:p>
        </w:tc>
        <w:tc>
          <w:tcPr>
            <w:tcW w:w="0" w:type="auto"/>
            <w:shd w:val="clear" w:color="auto" w:fill="auto"/>
            <w:vAlign w:val="bottom"/>
          </w:tcPr>
          <w:p w14:paraId="74DD7D9D" w14:textId="77777777" w:rsidR="00584EC1" w:rsidRDefault="00584EC1">
            <w:pPr>
              <w:rPr>
                <w:rFonts w:ascii="宋体"/>
              </w:rPr>
            </w:pPr>
          </w:p>
        </w:tc>
      </w:tr>
      <w:tr w:rsidR="00584EC1" w14:paraId="74DD7DB5" w14:textId="77777777">
        <w:trPr>
          <w:jc w:val="right"/>
        </w:trPr>
        <w:tc>
          <w:tcPr>
            <w:tcW w:w="0" w:type="auto"/>
            <w:gridSpan w:val="3"/>
            <w:shd w:val="clear" w:color="auto" w:fill="CCEEFF"/>
            <w:tcMar>
              <w:top w:w="40" w:type="dxa"/>
              <w:left w:w="20" w:type="dxa"/>
              <w:bottom w:w="40" w:type="dxa"/>
              <w:right w:w="20" w:type="dxa"/>
            </w:tcMar>
            <w:vAlign w:val="bottom"/>
          </w:tcPr>
          <w:p w14:paraId="74DD7D9F" w14:textId="77777777" w:rsidR="00584EC1" w:rsidRDefault="00871F8D">
            <w:pPr>
              <w:textAlignment w:val="bottom"/>
            </w:pPr>
            <w:r>
              <w:rPr>
                <w:rFonts w:ascii="Arial" w:eastAsia="宋体" w:hAnsi="Arial" w:cs="Arial"/>
                <w:color w:val="000000"/>
                <w:sz w:val="15"/>
                <w:szCs w:val="15"/>
              </w:rPr>
              <w:t>  Active</w:t>
            </w:r>
          </w:p>
        </w:tc>
        <w:tc>
          <w:tcPr>
            <w:tcW w:w="0" w:type="auto"/>
            <w:shd w:val="clear" w:color="auto" w:fill="CCEEFF"/>
            <w:tcMar>
              <w:top w:w="40" w:type="dxa"/>
              <w:left w:w="20" w:type="dxa"/>
              <w:bottom w:w="40" w:type="dxa"/>
              <w:right w:w="0" w:type="dxa"/>
            </w:tcMar>
            <w:vAlign w:val="bottom"/>
          </w:tcPr>
          <w:p w14:paraId="74DD7DA0" w14:textId="77777777" w:rsidR="00584EC1" w:rsidRDefault="00871F8D">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4DD7DA1" w14:textId="77777777" w:rsidR="00584EC1" w:rsidRDefault="00871F8D">
            <w:pPr>
              <w:jc w:val="right"/>
              <w:textAlignment w:val="bottom"/>
            </w:pPr>
            <w:r>
              <w:rPr>
                <w:rFonts w:ascii="Arial" w:eastAsia="宋体" w:hAnsi="Arial" w:cs="Arial"/>
                <w:b/>
                <w:bCs/>
                <w:color w:val="000000"/>
                <w:sz w:val="15"/>
                <w:szCs w:val="15"/>
              </w:rPr>
              <w:t>79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7DA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DA3"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7DA4" w14:textId="77777777" w:rsidR="00584EC1" w:rsidRDefault="00871F8D">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4DD7DA5" w14:textId="77777777" w:rsidR="00584EC1" w:rsidRDefault="00871F8D">
            <w:pPr>
              <w:jc w:val="right"/>
              <w:textAlignment w:val="bottom"/>
            </w:pPr>
            <w:r>
              <w:rPr>
                <w:rFonts w:ascii="Arial" w:eastAsia="宋体" w:hAnsi="Arial" w:cs="Arial"/>
                <w:color w:val="000000"/>
                <w:sz w:val="15"/>
                <w:szCs w:val="15"/>
              </w:rPr>
              <w:t>85 </w:t>
            </w:r>
          </w:p>
        </w:tc>
        <w:tc>
          <w:tcPr>
            <w:tcW w:w="0" w:type="auto"/>
            <w:shd w:val="clear" w:color="auto" w:fill="CCEEFF"/>
            <w:tcMar>
              <w:top w:w="40" w:type="dxa"/>
              <w:left w:w="0" w:type="dxa"/>
              <w:bottom w:w="40" w:type="dxa"/>
              <w:right w:w="20" w:type="dxa"/>
            </w:tcMar>
            <w:vAlign w:val="bottom"/>
          </w:tcPr>
          <w:p w14:paraId="74DD7DA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DA7"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7DA8" w14:textId="77777777" w:rsidR="00584EC1" w:rsidRDefault="00871F8D">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4DD7DA9" w14:textId="77777777" w:rsidR="00584EC1" w:rsidRDefault="00871F8D">
            <w:pPr>
              <w:jc w:val="right"/>
              <w:textAlignment w:val="bottom"/>
            </w:pPr>
            <w:r>
              <w:rPr>
                <w:rFonts w:ascii="Arial" w:eastAsia="宋体" w:hAnsi="Arial" w:cs="Arial"/>
                <w:color w:val="000000"/>
                <w:sz w:val="15"/>
                <w:szCs w:val="15"/>
              </w:rPr>
              <w:t>82 </w:t>
            </w:r>
          </w:p>
        </w:tc>
        <w:tc>
          <w:tcPr>
            <w:tcW w:w="0" w:type="auto"/>
            <w:shd w:val="clear" w:color="auto" w:fill="CCEEFF"/>
            <w:tcMar>
              <w:top w:w="40" w:type="dxa"/>
              <w:left w:w="0" w:type="dxa"/>
              <w:bottom w:w="40" w:type="dxa"/>
              <w:right w:w="20" w:type="dxa"/>
            </w:tcMar>
            <w:vAlign w:val="bottom"/>
          </w:tcPr>
          <w:p w14:paraId="74DD7DAA" w14:textId="77777777" w:rsidR="00584EC1" w:rsidRDefault="00584EC1">
            <w:pPr>
              <w:jc w:val="right"/>
              <w:rPr>
                <w:rFonts w:ascii="宋体"/>
              </w:rPr>
            </w:pPr>
          </w:p>
        </w:tc>
        <w:tc>
          <w:tcPr>
            <w:tcW w:w="0" w:type="auto"/>
            <w:shd w:val="clear" w:color="auto" w:fill="auto"/>
            <w:vAlign w:val="bottom"/>
          </w:tcPr>
          <w:p w14:paraId="74DD7DAB" w14:textId="77777777" w:rsidR="00584EC1" w:rsidRDefault="00584EC1">
            <w:pPr>
              <w:rPr>
                <w:rFonts w:ascii="宋体"/>
                <w:vanish/>
              </w:rPr>
            </w:pPr>
          </w:p>
        </w:tc>
        <w:tc>
          <w:tcPr>
            <w:tcW w:w="0" w:type="auto"/>
            <w:shd w:val="clear" w:color="auto" w:fill="auto"/>
            <w:vAlign w:val="bottom"/>
          </w:tcPr>
          <w:p w14:paraId="74DD7DAC" w14:textId="77777777" w:rsidR="00584EC1" w:rsidRDefault="00584EC1">
            <w:pPr>
              <w:rPr>
                <w:rFonts w:ascii="宋体"/>
                <w:vanish/>
              </w:rPr>
            </w:pPr>
          </w:p>
        </w:tc>
        <w:tc>
          <w:tcPr>
            <w:tcW w:w="0" w:type="auto"/>
            <w:gridSpan w:val="3"/>
            <w:shd w:val="clear" w:color="auto" w:fill="auto"/>
            <w:vAlign w:val="bottom"/>
          </w:tcPr>
          <w:p w14:paraId="74DD7DAD" w14:textId="77777777" w:rsidR="00584EC1" w:rsidRDefault="00584EC1">
            <w:pPr>
              <w:rPr>
                <w:rFonts w:ascii="宋体"/>
                <w:vanish/>
              </w:rPr>
            </w:pPr>
          </w:p>
        </w:tc>
        <w:tc>
          <w:tcPr>
            <w:tcW w:w="0" w:type="auto"/>
            <w:gridSpan w:val="3"/>
            <w:shd w:val="clear" w:color="auto" w:fill="auto"/>
            <w:vAlign w:val="bottom"/>
          </w:tcPr>
          <w:p w14:paraId="74DD7DAE" w14:textId="77777777" w:rsidR="00584EC1" w:rsidRDefault="00584EC1">
            <w:pPr>
              <w:rPr>
                <w:rFonts w:ascii="宋体"/>
                <w:vanish/>
              </w:rPr>
            </w:pPr>
          </w:p>
        </w:tc>
        <w:tc>
          <w:tcPr>
            <w:tcW w:w="0" w:type="auto"/>
            <w:gridSpan w:val="3"/>
            <w:shd w:val="clear" w:color="auto" w:fill="auto"/>
            <w:vAlign w:val="bottom"/>
          </w:tcPr>
          <w:p w14:paraId="74DD7DAF" w14:textId="77777777" w:rsidR="00584EC1" w:rsidRDefault="00584EC1">
            <w:pPr>
              <w:rPr>
                <w:rFonts w:ascii="宋体"/>
                <w:vanish/>
              </w:rPr>
            </w:pPr>
          </w:p>
        </w:tc>
        <w:tc>
          <w:tcPr>
            <w:tcW w:w="0" w:type="auto"/>
            <w:gridSpan w:val="3"/>
            <w:shd w:val="clear" w:color="auto" w:fill="auto"/>
            <w:vAlign w:val="bottom"/>
          </w:tcPr>
          <w:p w14:paraId="74DD7DB0" w14:textId="77777777" w:rsidR="00584EC1" w:rsidRDefault="00584EC1">
            <w:pPr>
              <w:rPr>
                <w:rFonts w:ascii="宋体"/>
                <w:vanish/>
              </w:rPr>
            </w:pPr>
          </w:p>
        </w:tc>
        <w:tc>
          <w:tcPr>
            <w:tcW w:w="0" w:type="auto"/>
            <w:gridSpan w:val="3"/>
            <w:shd w:val="clear" w:color="auto" w:fill="auto"/>
            <w:vAlign w:val="bottom"/>
          </w:tcPr>
          <w:p w14:paraId="74DD7DB1" w14:textId="77777777" w:rsidR="00584EC1" w:rsidRDefault="00584EC1">
            <w:pPr>
              <w:rPr>
                <w:rFonts w:ascii="宋体"/>
                <w:vanish/>
              </w:rPr>
            </w:pPr>
          </w:p>
        </w:tc>
        <w:tc>
          <w:tcPr>
            <w:tcW w:w="0" w:type="auto"/>
            <w:gridSpan w:val="3"/>
            <w:shd w:val="clear" w:color="auto" w:fill="auto"/>
            <w:vAlign w:val="bottom"/>
          </w:tcPr>
          <w:p w14:paraId="74DD7DB2" w14:textId="77777777" w:rsidR="00584EC1" w:rsidRDefault="00584EC1">
            <w:pPr>
              <w:rPr>
                <w:rFonts w:ascii="宋体"/>
                <w:vanish/>
              </w:rPr>
            </w:pPr>
          </w:p>
        </w:tc>
        <w:tc>
          <w:tcPr>
            <w:tcW w:w="0" w:type="auto"/>
            <w:gridSpan w:val="3"/>
            <w:shd w:val="clear" w:color="auto" w:fill="auto"/>
            <w:vAlign w:val="bottom"/>
          </w:tcPr>
          <w:p w14:paraId="74DD7DB3" w14:textId="77777777" w:rsidR="00584EC1" w:rsidRDefault="00584EC1">
            <w:pPr>
              <w:rPr>
                <w:rFonts w:ascii="宋体"/>
                <w:vanish/>
              </w:rPr>
            </w:pPr>
          </w:p>
        </w:tc>
        <w:tc>
          <w:tcPr>
            <w:tcW w:w="0" w:type="auto"/>
            <w:gridSpan w:val="3"/>
            <w:shd w:val="clear" w:color="auto" w:fill="auto"/>
            <w:vAlign w:val="bottom"/>
          </w:tcPr>
          <w:p w14:paraId="74DD7DB4" w14:textId="77777777" w:rsidR="00584EC1" w:rsidRDefault="00584EC1">
            <w:pPr>
              <w:rPr>
                <w:rFonts w:ascii="宋体"/>
                <w:vanish/>
              </w:rPr>
            </w:pPr>
          </w:p>
        </w:tc>
      </w:tr>
      <w:tr w:rsidR="00584EC1" w14:paraId="74DD7DC9" w14:textId="77777777">
        <w:trPr>
          <w:jc w:val="right"/>
        </w:trPr>
        <w:tc>
          <w:tcPr>
            <w:tcW w:w="0" w:type="auto"/>
            <w:gridSpan w:val="3"/>
            <w:shd w:val="clear" w:color="auto" w:fill="FFFFFF"/>
            <w:tcMar>
              <w:top w:w="40" w:type="dxa"/>
              <w:left w:w="20" w:type="dxa"/>
              <w:bottom w:w="40" w:type="dxa"/>
              <w:right w:w="20" w:type="dxa"/>
            </w:tcMar>
            <w:vAlign w:val="bottom"/>
          </w:tcPr>
          <w:p w14:paraId="74DD7DB6" w14:textId="77777777" w:rsidR="00584EC1" w:rsidRDefault="00871F8D">
            <w:pPr>
              <w:textAlignment w:val="bottom"/>
            </w:pPr>
            <w:r>
              <w:rPr>
                <w:rFonts w:ascii="Arial" w:eastAsia="宋体" w:hAnsi="Arial" w:cs="Arial"/>
                <w:color w:val="000000"/>
                <w:sz w:val="15"/>
                <w:szCs w:val="15"/>
              </w:rPr>
              <w:t>  Passive</w:t>
            </w:r>
          </w:p>
        </w:tc>
        <w:tc>
          <w:tcPr>
            <w:tcW w:w="0" w:type="auto"/>
            <w:gridSpan w:val="2"/>
            <w:shd w:val="clear" w:color="auto" w:fill="FFFFFF"/>
            <w:tcMar>
              <w:top w:w="40" w:type="dxa"/>
              <w:left w:w="20" w:type="dxa"/>
              <w:bottom w:w="40" w:type="dxa"/>
              <w:right w:w="0" w:type="dxa"/>
            </w:tcMar>
            <w:vAlign w:val="bottom"/>
          </w:tcPr>
          <w:p w14:paraId="74DD7DB7" w14:textId="77777777" w:rsidR="00584EC1" w:rsidRDefault="00871F8D">
            <w:pPr>
              <w:jc w:val="right"/>
              <w:textAlignment w:val="bottom"/>
            </w:pPr>
            <w:r>
              <w:rPr>
                <w:rFonts w:ascii="Arial" w:eastAsia="宋体" w:hAnsi="Arial" w:cs="Arial"/>
                <w:b/>
                <w:bCs/>
                <w:color w:val="000000"/>
                <w:sz w:val="15"/>
                <w:szCs w:val="15"/>
              </w:rPr>
              <w:t>2,361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7DB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DB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DBA" w14:textId="77777777" w:rsidR="00584EC1" w:rsidRDefault="00871F8D">
            <w:pPr>
              <w:jc w:val="right"/>
              <w:textAlignment w:val="bottom"/>
            </w:pPr>
            <w:r>
              <w:rPr>
                <w:rFonts w:ascii="Arial" w:eastAsia="宋体" w:hAnsi="Arial" w:cs="Arial"/>
                <w:color w:val="000000"/>
                <w:sz w:val="15"/>
                <w:szCs w:val="15"/>
              </w:rPr>
              <w:t>2,086 </w:t>
            </w:r>
          </w:p>
        </w:tc>
        <w:tc>
          <w:tcPr>
            <w:tcW w:w="0" w:type="auto"/>
            <w:shd w:val="clear" w:color="auto" w:fill="FFFFFF"/>
            <w:tcMar>
              <w:top w:w="40" w:type="dxa"/>
              <w:left w:w="0" w:type="dxa"/>
              <w:bottom w:w="40" w:type="dxa"/>
              <w:right w:w="20" w:type="dxa"/>
            </w:tcMar>
            <w:vAlign w:val="bottom"/>
          </w:tcPr>
          <w:p w14:paraId="74DD7DB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DB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DBD" w14:textId="77777777" w:rsidR="00584EC1" w:rsidRDefault="00871F8D">
            <w:pPr>
              <w:jc w:val="right"/>
              <w:textAlignment w:val="bottom"/>
            </w:pPr>
            <w:r>
              <w:rPr>
                <w:rFonts w:ascii="Arial" w:eastAsia="宋体" w:hAnsi="Arial" w:cs="Arial"/>
                <w:color w:val="000000"/>
                <w:sz w:val="15"/>
                <w:szCs w:val="15"/>
              </w:rPr>
              <w:t>1,876 </w:t>
            </w:r>
          </w:p>
        </w:tc>
        <w:tc>
          <w:tcPr>
            <w:tcW w:w="0" w:type="auto"/>
            <w:shd w:val="clear" w:color="auto" w:fill="FFFFFF"/>
            <w:tcMar>
              <w:top w:w="40" w:type="dxa"/>
              <w:left w:w="0" w:type="dxa"/>
              <w:bottom w:w="40" w:type="dxa"/>
              <w:right w:w="20" w:type="dxa"/>
            </w:tcMar>
            <w:vAlign w:val="bottom"/>
          </w:tcPr>
          <w:p w14:paraId="74DD7DBE" w14:textId="77777777" w:rsidR="00584EC1" w:rsidRDefault="00584EC1">
            <w:pPr>
              <w:jc w:val="right"/>
              <w:rPr>
                <w:rFonts w:ascii="宋体"/>
              </w:rPr>
            </w:pPr>
          </w:p>
        </w:tc>
        <w:tc>
          <w:tcPr>
            <w:tcW w:w="0" w:type="auto"/>
            <w:shd w:val="clear" w:color="auto" w:fill="auto"/>
            <w:vAlign w:val="bottom"/>
          </w:tcPr>
          <w:p w14:paraId="74DD7DBF" w14:textId="77777777" w:rsidR="00584EC1" w:rsidRDefault="00584EC1">
            <w:pPr>
              <w:rPr>
                <w:rFonts w:ascii="宋体"/>
                <w:vanish/>
              </w:rPr>
            </w:pPr>
          </w:p>
        </w:tc>
        <w:tc>
          <w:tcPr>
            <w:tcW w:w="0" w:type="auto"/>
            <w:shd w:val="clear" w:color="auto" w:fill="auto"/>
            <w:vAlign w:val="bottom"/>
          </w:tcPr>
          <w:p w14:paraId="74DD7DC0" w14:textId="77777777" w:rsidR="00584EC1" w:rsidRDefault="00584EC1">
            <w:pPr>
              <w:rPr>
                <w:rFonts w:ascii="宋体"/>
                <w:vanish/>
              </w:rPr>
            </w:pPr>
          </w:p>
        </w:tc>
        <w:tc>
          <w:tcPr>
            <w:tcW w:w="0" w:type="auto"/>
            <w:gridSpan w:val="3"/>
            <w:shd w:val="clear" w:color="auto" w:fill="auto"/>
            <w:vAlign w:val="bottom"/>
          </w:tcPr>
          <w:p w14:paraId="74DD7DC1" w14:textId="77777777" w:rsidR="00584EC1" w:rsidRDefault="00584EC1">
            <w:pPr>
              <w:rPr>
                <w:rFonts w:ascii="宋体"/>
                <w:vanish/>
              </w:rPr>
            </w:pPr>
          </w:p>
        </w:tc>
        <w:tc>
          <w:tcPr>
            <w:tcW w:w="0" w:type="auto"/>
            <w:gridSpan w:val="3"/>
            <w:shd w:val="clear" w:color="auto" w:fill="auto"/>
            <w:vAlign w:val="bottom"/>
          </w:tcPr>
          <w:p w14:paraId="74DD7DC2" w14:textId="77777777" w:rsidR="00584EC1" w:rsidRDefault="00584EC1">
            <w:pPr>
              <w:rPr>
                <w:rFonts w:ascii="宋体"/>
                <w:vanish/>
              </w:rPr>
            </w:pPr>
          </w:p>
        </w:tc>
        <w:tc>
          <w:tcPr>
            <w:tcW w:w="0" w:type="auto"/>
            <w:gridSpan w:val="3"/>
            <w:shd w:val="clear" w:color="auto" w:fill="auto"/>
            <w:vAlign w:val="bottom"/>
          </w:tcPr>
          <w:p w14:paraId="74DD7DC3" w14:textId="77777777" w:rsidR="00584EC1" w:rsidRDefault="00584EC1">
            <w:pPr>
              <w:rPr>
                <w:rFonts w:ascii="宋体"/>
                <w:vanish/>
              </w:rPr>
            </w:pPr>
          </w:p>
        </w:tc>
        <w:tc>
          <w:tcPr>
            <w:tcW w:w="0" w:type="auto"/>
            <w:gridSpan w:val="3"/>
            <w:shd w:val="clear" w:color="auto" w:fill="auto"/>
            <w:vAlign w:val="bottom"/>
          </w:tcPr>
          <w:p w14:paraId="74DD7DC4" w14:textId="77777777" w:rsidR="00584EC1" w:rsidRDefault="00584EC1">
            <w:pPr>
              <w:rPr>
                <w:rFonts w:ascii="宋体"/>
                <w:vanish/>
              </w:rPr>
            </w:pPr>
          </w:p>
        </w:tc>
        <w:tc>
          <w:tcPr>
            <w:tcW w:w="0" w:type="auto"/>
            <w:gridSpan w:val="3"/>
            <w:shd w:val="clear" w:color="auto" w:fill="auto"/>
            <w:vAlign w:val="bottom"/>
          </w:tcPr>
          <w:p w14:paraId="74DD7DC5" w14:textId="77777777" w:rsidR="00584EC1" w:rsidRDefault="00584EC1">
            <w:pPr>
              <w:rPr>
                <w:rFonts w:ascii="宋体"/>
                <w:vanish/>
              </w:rPr>
            </w:pPr>
          </w:p>
        </w:tc>
        <w:tc>
          <w:tcPr>
            <w:tcW w:w="0" w:type="auto"/>
            <w:gridSpan w:val="3"/>
            <w:shd w:val="clear" w:color="auto" w:fill="auto"/>
            <w:vAlign w:val="bottom"/>
          </w:tcPr>
          <w:p w14:paraId="74DD7DC6" w14:textId="77777777" w:rsidR="00584EC1" w:rsidRDefault="00584EC1">
            <w:pPr>
              <w:rPr>
                <w:rFonts w:ascii="宋体"/>
                <w:vanish/>
              </w:rPr>
            </w:pPr>
          </w:p>
        </w:tc>
        <w:tc>
          <w:tcPr>
            <w:tcW w:w="0" w:type="auto"/>
            <w:gridSpan w:val="3"/>
            <w:shd w:val="clear" w:color="auto" w:fill="auto"/>
            <w:vAlign w:val="bottom"/>
          </w:tcPr>
          <w:p w14:paraId="74DD7DC7" w14:textId="77777777" w:rsidR="00584EC1" w:rsidRDefault="00584EC1">
            <w:pPr>
              <w:rPr>
                <w:rFonts w:ascii="宋体"/>
                <w:vanish/>
              </w:rPr>
            </w:pPr>
          </w:p>
        </w:tc>
        <w:tc>
          <w:tcPr>
            <w:tcW w:w="0" w:type="auto"/>
            <w:gridSpan w:val="3"/>
            <w:shd w:val="clear" w:color="auto" w:fill="auto"/>
            <w:vAlign w:val="bottom"/>
          </w:tcPr>
          <w:p w14:paraId="74DD7DC8" w14:textId="77777777" w:rsidR="00584EC1" w:rsidRDefault="00584EC1">
            <w:pPr>
              <w:rPr>
                <w:rFonts w:ascii="宋体"/>
                <w:vanish/>
              </w:rPr>
            </w:pPr>
          </w:p>
        </w:tc>
      </w:tr>
      <w:tr w:rsidR="00584EC1" w14:paraId="74DD7DDD" w14:textId="77777777">
        <w:trPr>
          <w:jc w:val="right"/>
        </w:trPr>
        <w:tc>
          <w:tcPr>
            <w:tcW w:w="0" w:type="auto"/>
            <w:gridSpan w:val="3"/>
            <w:shd w:val="clear" w:color="auto" w:fill="CCEEFF"/>
            <w:tcMar>
              <w:top w:w="40" w:type="dxa"/>
              <w:left w:w="20" w:type="dxa"/>
              <w:bottom w:w="40" w:type="dxa"/>
              <w:right w:w="20" w:type="dxa"/>
            </w:tcMar>
            <w:vAlign w:val="bottom"/>
          </w:tcPr>
          <w:p w14:paraId="74DD7DCA" w14:textId="77777777" w:rsidR="00584EC1" w:rsidRDefault="00871F8D">
            <w:pPr>
              <w:textAlignment w:val="bottom"/>
            </w:pPr>
            <w:r>
              <w:rPr>
                <w:rFonts w:ascii="Arial" w:eastAsia="宋体" w:hAnsi="Arial" w:cs="Arial"/>
                <w:color w:val="000000"/>
                <w:sz w:val="15"/>
                <w:szCs w:val="15"/>
              </w:rPr>
              <w:t>Total equity</w:t>
            </w:r>
            <w:r>
              <w:rPr>
                <w:rFonts w:ascii="Arial" w:eastAsia="宋体" w:hAnsi="Arial" w:cs="Arial"/>
                <w:color w:val="000000"/>
                <w:sz w:val="9"/>
                <w:szCs w:val="9"/>
              </w:rPr>
              <w:t xml:space="preserve"> (1)</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7DCB" w14:textId="77777777" w:rsidR="00584EC1" w:rsidRDefault="00871F8D">
            <w:pPr>
              <w:jc w:val="right"/>
              <w:textAlignment w:val="bottom"/>
            </w:pPr>
            <w:r>
              <w:rPr>
                <w:rFonts w:ascii="Arial" w:eastAsia="宋体" w:hAnsi="Arial" w:cs="Arial"/>
                <w:b/>
                <w:bCs/>
                <w:color w:val="000000"/>
                <w:sz w:val="15"/>
                <w:szCs w:val="15"/>
              </w:rPr>
              <w:t>2,440</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DC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DCD"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7DCE" w14:textId="77777777" w:rsidR="00584EC1" w:rsidRDefault="00871F8D">
            <w:pPr>
              <w:jc w:val="right"/>
              <w:textAlignment w:val="bottom"/>
            </w:pPr>
            <w:r>
              <w:rPr>
                <w:rFonts w:ascii="Arial" w:eastAsia="宋体" w:hAnsi="Arial" w:cs="Arial"/>
                <w:color w:val="000000"/>
                <w:sz w:val="15"/>
                <w:szCs w:val="15"/>
              </w:rPr>
              <w:t>2,171 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DC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DD0"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7DD1" w14:textId="77777777" w:rsidR="00584EC1" w:rsidRDefault="00871F8D">
            <w:pPr>
              <w:jc w:val="right"/>
              <w:textAlignment w:val="bottom"/>
            </w:pPr>
            <w:r>
              <w:rPr>
                <w:rFonts w:ascii="Arial" w:eastAsia="宋体" w:hAnsi="Arial" w:cs="Arial"/>
                <w:color w:val="000000"/>
                <w:sz w:val="15"/>
                <w:szCs w:val="15"/>
              </w:rPr>
              <w:t>1,958 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DD2" w14:textId="77777777" w:rsidR="00584EC1" w:rsidRDefault="00584EC1">
            <w:pPr>
              <w:jc w:val="right"/>
              <w:rPr>
                <w:rFonts w:ascii="宋体"/>
              </w:rPr>
            </w:pPr>
          </w:p>
        </w:tc>
        <w:tc>
          <w:tcPr>
            <w:tcW w:w="0" w:type="auto"/>
            <w:shd w:val="clear" w:color="auto" w:fill="auto"/>
            <w:vAlign w:val="bottom"/>
          </w:tcPr>
          <w:p w14:paraId="74DD7DD3" w14:textId="77777777" w:rsidR="00584EC1" w:rsidRDefault="00584EC1">
            <w:pPr>
              <w:rPr>
                <w:rFonts w:ascii="宋体"/>
                <w:vanish/>
              </w:rPr>
            </w:pPr>
          </w:p>
        </w:tc>
        <w:tc>
          <w:tcPr>
            <w:tcW w:w="0" w:type="auto"/>
            <w:shd w:val="clear" w:color="auto" w:fill="auto"/>
            <w:vAlign w:val="bottom"/>
          </w:tcPr>
          <w:p w14:paraId="74DD7DD4" w14:textId="77777777" w:rsidR="00584EC1" w:rsidRDefault="00584EC1">
            <w:pPr>
              <w:rPr>
                <w:rFonts w:ascii="宋体"/>
                <w:vanish/>
              </w:rPr>
            </w:pPr>
          </w:p>
        </w:tc>
        <w:tc>
          <w:tcPr>
            <w:tcW w:w="0" w:type="auto"/>
            <w:gridSpan w:val="3"/>
            <w:shd w:val="clear" w:color="auto" w:fill="auto"/>
            <w:vAlign w:val="bottom"/>
          </w:tcPr>
          <w:p w14:paraId="74DD7DD5" w14:textId="77777777" w:rsidR="00584EC1" w:rsidRDefault="00584EC1">
            <w:pPr>
              <w:rPr>
                <w:rFonts w:ascii="宋体"/>
                <w:vanish/>
              </w:rPr>
            </w:pPr>
          </w:p>
        </w:tc>
        <w:tc>
          <w:tcPr>
            <w:tcW w:w="0" w:type="auto"/>
            <w:gridSpan w:val="3"/>
            <w:shd w:val="clear" w:color="auto" w:fill="auto"/>
            <w:vAlign w:val="bottom"/>
          </w:tcPr>
          <w:p w14:paraId="74DD7DD6" w14:textId="77777777" w:rsidR="00584EC1" w:rsidRDefault="00584EC1">
            <w:pPr>
              <w:rPr>
                <w:rFonts w:ascii="宋体"/>
                <w:vanish/>
              </w:rPr>
            </w:pPr>
          </w:p>
        </w:tc>
        <w:tc>
          <w:tcPr>
            <w:tcW w:w="0" w:type="auto"/>
            <w:gridSpan w:val="3"/>
            <w:shd w:val="clear" w:color="auto" w:fill="auto"/>
            <w:vAlign w:val="bottom"/>
          </w:tcPr>
          <w:p w14:paraId="74DD7DD7" w14:textId="77777777" w:rsidR="00584EC1" w:rsidRDefault="00584EC1">
            <w:pPr>
              <w:rPr>
                <w:rFonts w:ascii="宋体"/>
                <w:vanish/>
              </w:rPr>
            </w:pPr>
          </w:p>
        </w:tc>
        <w:tc>
          <w:tcPr>
            <w:tcW w:w="0" w:type="auto"/>
            <w:gridSpan w:val="3"/>
            <w:shd w:val="clear" w:color="auto" w:fill="auto"/>
            <w:vAlign w:val="bottom"/>
          </w:tcPr>
          <w:p w14:paraId="74DD7DD8" w14:textId="77777777" w:rsidR="00584EC1" w:rsidRDefault="00584EC1">
            <w:pPr>
              <w:rPr>
                <w:rFonts w:ascii="宋体"/>
                <w:vanish/>
              </w:rPr>
            </w:pPr>
          </w:p>
        </w:tc>
        <w:tc>
          <w:tcPr>
            <w:tcW w:w="0" w:type="auto"/>
            <w:gridSpan w:val="3"/>
            <w:shd w:val="clear" w:color="auto" w:fill="auto"/>
            <w:vAlign w:val="bottom"/>
          </w:tcPr>
          <w:p w14:paraId="74DD7DD9" w14:textId="77777777" w:rsidR="00584EC1" w:rsidRDefault="00584EC1">
            <w:pPr>
              <w:rPr>
                <w:rFonts w:ascii="宋体"/>
                <w:vanish/>
              </w:rPr>
            </w:pPr>
          </w:p>
        </w:tc>
        <w:tc>
          <w:tcPr>
            <w:tcW w:w="0" w:type="auto"/>
            <w:gridSpan w:val="3"/>
            <w:shd w:val="clear" w:color="auto" w:fill="auto"/>
            <w:vAlign w:val="bottom"/>
          </w:tcPr>
          <w:p w14:paraId="74DD7DDA" w14:textId="77777777" w:rsidR="00584EC1" w:rsidRDefault="00584EC1">
            <w:pPr>
              <w:rPr>
                <w:rFonts w:ascii="宋体"/>
                <w:vanish/>
              </w:rPr>
            </w:pPr>
          </w:p>
        </w:tc>
        <w:tc>
          <w:tcPr>
            <w:tcW w:w="0" w:type="auto"/>
            <w:gridSpan w:val="3"/>
            <w:shd w:val="clear" w:color="auto" w:fill="auto"/>
            <w:vAlign w:val="bottom"/>
          </w:tcPr>
          <w:p w14:paraId="74DD7DDB" w14:textId="77777777" w:rsidR="00584EC1" w:rsidRDefault="00584EC1">
            <w:pPr>
              <w:rPr>
                <w:rFonts w:ascii="宋体"/>
                <w:vanish/>
              </w:rPr>
            </w:pPr>
          </w:p>
        </w:tc>
        <w:tc>
          <w:tcPr>
            <w:tcW w:w="0" w:type="auto"/>
            <w:gridSpan w:val="3"/>
            <w:shd w:val="clear" w:color="auto" w:fill="auto"/>
            <w:vAlign w:val="bottom"/>
          </w:tcPr>
          <w:p w14:paraId="74DD7DDC" w14:textId="77777777" w:rsidR="00584EC1" w:rsidRDefault="00584EC1">
            <w:pPr>
              <w:rPr>
                <w:rFonts w:ascii="宋体"/>
                <w:vanish/>
              </w:rPr>
            </w:pPr>
          </w:p>
        </w:tc>
      </w:tr>
      <w:tr w:rsidR="00584EC1" w14:paraId="74DD7DF9" w14:textId="77777777">
        <w:trPr>
          <w:jc w:val="right"/>
        </w:trPr>
        <w:tc>
          <w:tcPr>
            <w:tcW w:w="0" w:type="auto"/>
            <w:gridSpan w:val="18"/>
            <w:shd w:val="clear" w:color="auto" w:fill="FFFFFF"/>
            <w:tcMar>
              <w:top w:w="40" w:type="dxa"/>
              <w:left w:w="20" w:type="dxa"/>
              <w:bottom w:w="40" w:type="dxa"/>
              <w:right w:w="20" w:type="dxa"/>
            </w:tcMar>
            <w:vAlign w:val="bottom"/>
          </w:tcPr>
          <w:p w14:paraId="74DD7DDE" w14:textId="77777777" w:rsidR="00584EC1" w:rsidRDefault="00871F8D">
            <w:pPr>
              <w:textAlignment w:val="bottom"/>
            </w:pPr>
            <w:r>
              <w:rPr>
                <w:rFonts w:ascii="Arial" w:eastAsia="宋体" w:hAnsi="Arial" w:cs="Arial"/>
                <w:color w:val="000000"/>
                <w:sz w:val="15"/>
                <w:szCs w:val="15"/>
              </w:rPr>
              <w:t>Fixed-income:</w:t>
            </w:r>
          </w:p>
        </w:tc>
        <w:tc>
          <w:tcPr>
            <w:tcW w:w="0" w:type="auto"/>
            <w:shd w:val="clear" w:color="auto" w:fill="auto"/>
            <w:vAlign w:val="bottom"/>
          </w:tcPr>
          <w:p w14:paraId="74DD7DDF" w14:textId="77777777" w:rsidR="00584EC1" w:rsidRDefault="00584EC1">
            <w:pPr>
              <w:rPr>
                <w:rFonts w:ascii="宋体"/>
                <w:vanish/>
              </w:rPr>
            </w:pPr>
          </w:p>
        </w:tc>
        <w:tc>
          <w:tcPr>
            <w:tcW w:w="0" w:type="auto"/>
            <w:shd w:val="clear" w:color="auto" w:fill="auto"/>
            <w:vAlign w:val="bottom"/>
          </w:tcPr>
          <w:p w14:paraId="74DD7DE0" w14:textId="77777777" w:rsidR="00584EC1" w:rsidRDefault="00584EC1">
            <w:pPr>
              <w:rPr>
                <w:rFonts w:ascii="宋体"/>
                <w:vanish/>
              </w:rPr>
            </w:pPr>
          </w:p>
        </w:tc>
        <w:tc>
          <w:tcPr>
            <w:tcW w:w="0" w:type="auto"/>
            <w:shd w:val="clear" w:color="auto" w:fill="auto"/>
            <w:vAlign w:val="bottom"/>
          </w:tcPr>
          <w:p w14:paraId="74DD7DE1" w14:textId="77777777" w:rsidR="00584EC1" w:rsidRDefault="00584EC1">
            <w:pPr>
              <w:rPr>
                <w:rFonts w:ascii="宋体"/>
              </w:rPr>
            </w:pPr>
          </w:p>
        </w:tc>
        <w:tc>
          <w:tcPr>
            <w:tcW w:w="0" w:type="auto"/>
            <w:shd w:val="clear" w:color="auto" w:fill="auto"/>
            <w:vAlign w:val="bottom"/>
          </w:tcPr>
          <w:p w14:paraId="74DD7DE2" w14:textId="77777777" w:rsidR="00584EC1" w:rsidRDefault="00584EC1">
            <w:pPr>
              <w:rPr>
                <w:rFonts w:ascii="宋体"/>
              </w:rPr>
            </w:pPr>
          </w:p>
        </w:tc>
        <w:tc>
          <w:tcPr>
            <w:tcW w:w="0" w:type="auto"/>
            <w:shd w:val="clear" w:color="auto" w:fill="auto"/>
            <w:vAlign w:val="bottom"/>
          </w:tcPr>
          <w:p w14:paraId="74DD7DE3" w14:textId="77777777" w:rsidR="00584EC1" w:rsidRDefault="00584EC1">
            <w:pPr>
              <w:rPr>
                <w:rFonts w:ascii="宋体"/>
              </w:rPr>
            </w:pPr>
          </w:p>
        </w:tc>
        <w:tc>
          <w:tcPr>
            <w:tcW w:w="0" w:type="auto"/>
            <w:shd w:val="clear" w:color="auto" w:fill="auto"/>
            <w:vAlign w:val="bottom"/>
          </w:tcPr>
          <w:p w14:paraId="74DD7DE4" w14:textId="77777777" w:rsidR="00584EC1" w:rsidRDefault="00584EC1">
            <w:pPr>
              <w:rPr>
                <w:rFonts w:ascii="宋体"/>
              </w:rPr>
            </w:pPr>
          </w:p>
        </w:tc>
        <w:tc>
          <w:tcPr>
            <w:tcW w:w="0" w:type="auto"/>
            <w:shd w:val="clear" w:color="auto" w:fill="auto"/>
            <w:vAlign w:val="bottom"/>
          </w:tcPr>
          <w:p w14:paraId="74DD7DE5" w14:textId="77777777" w:rsidR="00584EC1" w:rsidRDefault="00584EC1">
            <w:pPr>
              <w:rPr>
                <w:rFonts w:ascii="宋体"/>
              </w:rPr>
            </w:pPr>
          </w:p>
        </w:tc>
        <w:tc>
          <w:tcPr>
            <w:tcW w:w="0" w:type="auto"/>
            <w:shd w:val="clear" w:color="auto" w:fill="auto"/>
            <w:vAlign w:val="bottom"/>
          </w:tcPr>
          <w:p w14:paraId="74DD7DE6" w14:textId="77777777" w:rsidR="00584EC1" w:rsidRDefault="00584EC1">
            <w:pPr>
              <w:rPr>
                <w:rFonts w:ascii="宋体"/>
              </w:rPr>
            </w:pPr>
          </w:p>
        </w:tc>
        <w:tc>
          <w:tcPr>
            <w:tcW w:w="0" w:type="auto"/>
            <w:shd w:val="clear" w:color="auto" w:fill="auto"/>
            <w:vAlign w:val="bottom"/>
          </w:tcPr>
          <w:p w14:paraId="74DD7DE7" w14:textId="77777777" w:rsidR="00584EC1" w:rsidRDefault="00584EC1">
            <w:pPr>
              <w:rPr>
                <w:rFonts w:ascii="宋体"/>
              </w:rPr>
            </w:pPr>
          </w:p>
        </w:tc>
        <w:tc>
          <w:tcPr>
            <w:tcW w:w="0" w:type="auto"/>
            <w:shd w:val="clear" w:color="auto" w:fill="auto"/>
            <w:vAlign w:val="bottom"/>
          </w:tcPr>
          <w:p w14:paraId="74DD7DE8" w14:textId="77777777" w:rsidR="00584EC1" w:rsidRDefault="00584EC1">
            <w:pPr>
              <w:rPr>
                <w:rFonts w:ascii="宋体"/>
              </w:rPr>
            </w:pPr>
          </w:p>
        </w:tc>
        <w:tc>
          <w:tcPr>
            <w:tcW w:w="0" w:type="auto"/>
            <w:shd w:val="clear" w:color="auto" w:fill="auto"/>
            <w:vAlign w:val="bottom"/>
          </w:tcPr>
          <w:p w14:paraId="74DD7DE9" w14:textId="77777777" w:rsidR="00584EC1" w:rsidRDefault="00584EC1">
            <w:pPr>
              <w:rPr>
                <w:rFonts w:ascii="宋体"/>
              </w:rPr>
            </w:pPr>
          </w:p>
        </w:tc>
        <w:tc>
          <w:tcPr>
            <w:tcW w:w="0" w:type="auto"/>
            <w:shd w:val="clear" w:color="auto" w:fill="auto"/>
            <w:vAlign w:val="bottom"/>
          </w:tcPr>
          <w:p w14:paraId="74DD7DEA" w14:textId="77777777" w:rsidR="00584EC1" w:rsidRDefault="00584EC1">
            <w:pPr>
              <w:rPr>
                <w:rFonts w:ascii="宋体"/>
              </w:rPr>
            </w:pPr>
          </w:p>
        </w:tc>
        <w:tc>
          <w:tcPr>
            <w:tcW w:w="0" w:type="auto"/>
            <w:shd w:val="clear" w:color="auto" w:fill="auto"/>
            <w:vAlign w:val="bottom"/>
          </w:tcPr>
          <w:p w14:paraId="74DD7DEB" w14:textId="77777777" w:rsidR="00584EC1" w:rsidRDefault="00584EC1">
            <w:pPr>
              <w:rPr>
                <w:rFonts w:ascii="宋体"/>
              </w:rPr>
            </w:pPr>
          </w:p>
        </w:tc>
        <w:tc>
          <w:tcPr>
            <w:tcW w:w="0" w:type="auto"/>
            <w:shd w:val="clear" w:color="auto" w:fill="auto"/>
            <w:vAlign w:val="bottom"/>
          </w:tcPr>
          <w:p w14:paraId="74DD7DEC" w14:textId="77777777" w:rsidR="00584EC1" w:rsidRDefault="00584EC1">
            <w:pPr>
              <w:rPr>
                <w:rFonts w:ascii="宋体"/>
              </w:rPr>
            </w:pPr>
          </w:p>
        </w:tc>
        <w:tc>
          <w:tcPr>
            <w:tcW w:w="0" w:type="auto"/>
            <w:shd w:val="clear" w:color="auto" w:fill="auto"/>
            <w:vAlign w:val="bottom"/>
          </w:tcPr>
          <w:p w14:paraId="74DD7DED" w14:textId="77777777" w:rsidR="00584EC1" w:rsidRDefault="00584EC1">
            <w:pPr>
              <w:rPr>
                <w:rFonts w:ascii="宋体"/>
              </w:rPr>
            </w:pPr>
          </w:p>
        </w:tc>
        <w:tc>
          <w:tcPr>
            <w:tcW w:w="0" w:type="auto"/>
            <w:shd w:val="clear" w:color="auto" w:fill="auto"/>
            <w:vAlign w:val="bottom"/>
          </w:tcPr>
          <w:p w14:paraId="74DD7DEE" w14:textId="77777777" w:rsidR="00584EC1" w:rsidRDefault="00584EC1">
            <w:pPr>
              <w:rPr>
                <w:rFonts w:ascii="宋体"/>
              </w:rPr>
            </w:pPr>
          </w:p>
        </w:tc>
        <w:tc>
          <w:tcPr>
            <w:tcW w:w="0" w:type="auto"/>
            <w:shd w:val="clear" w:color="auto" w:fill="auto"/>
            <w:vAlign w:val="bottom"/>
          </w:tcPr>
          <w:p w14:paraId="74DD7DEF" w14:textId="77777777" w:rsidR="00584EC1" w:rsidRDefault="00584EC1">
            <w:pPr>
              <w:rPr>
                <w:rFonts w:ascii="宋体"/>
              </w:rPr>
            </w:pPr>
          </w:p>
        </w:tc>
        <w:tc>
          <w:tcPr>
            <w:tcW w:w="0" w:type="auto"/>
            <w:shd w:val="clear" w:color="auto" w:fill="auto"/>
            <w:vAlign w:val="bottom"/>
          </w:tcPr>
          <w:p w14:paraId="74DD7DF0" w14:textId="77777777" w:rsidR="00584EC1" w:rsidRDefault="00584EC1">
            <w:pPr>
              <w:rPr>
                <w:rFonts w:ascii="宋体"/>
              </w:rPr>
            </w:pPr>
          </w:p>
        </w:tc>
        <w:tc>
          <w:tcPr>
            <w:tcW w:w="0" w:type="auto"/>
            <w:shd w:val="clear" w:color="auto" w:fill="auto"/>
            <w:vAlign w:val="bottom"/>
          </w:tcPr>
          <w:p w14:paraId="74DD7DF1" w14:textId="77777777" w:rsidR="00584EC1" w:rsidRDefault="00584EC1">
            <w:pPr>
              <w:rPr>
                <w:rFonts w:ascii="宋体"/>
              </w:rPr>
            </w:pPr>
          </w:p>
        </w:tc>
        <w:tc>
          <w:tcPr>
            <w:tcW w:w="0" w:type="auto"/>
            <w:shd w:val="clear" w:color="auto" w:fill="auto"/>
            <w:vAlign w:val="bottom"/>
          </w:tcPr>
          <w:p w14:paraId="74DD7DF2" w14:textId="77777777" w:rsidR="00584EC1" w:rsidRDefault="00584EC1">
            <w:pPr>
              <w:rPr>
                <w:rFonts w:ascii="宋体"/>
              </w:rPr>
            </w:pPr>
          </w:p>
        </w:tc>
        <w:tc>
          <w:tcPr>
            <w:tcW w:w="0" w:type="auto"/>
            <w:shd w:val="clear" w:color="auto" w:fill="auto"/>
            <w:vAlign w:val="bottom"/>
          </w:tcPr>
          <w:p w14:paraId="74DD7DF3" w14:textId="77777777" w:rsidR="00584EC1" w:rsidRDefault="00584EC1">
            <w:pPr>
              <w:rPr>
                <w:rFonts w:ascii="宋体"/>
              </w:rPr>
            </w:pPr>
          </w:p>
        </w:tc>
        <w:tc>
          <w:tcPr>
            <w:tcW w:w="0" w:type="auto"/>
            <w:shd w:val="clear" w:color="auto" w:fill="auto"/>
            <w:vAlign w:val="bottom"/>
          </w:tcPr>
          <w:p w14:paraId="74DD7DF4" w14:textId="77777777" w:rsidR="00584EC1" w:rsidRDefault="00584EC1">
            <w:pPr>
              <w:rPr>
                <w:rFonts w:ascii="宋体"/>
              </w:rPr>
            </w:pPr>
          </w:p>
        </w:tc>
        <w:tc>
          <w:tcPr>
            <w:tcW w:w="0" w:type="auto"/>
            <w:shd w:val="clear" w:color="auto" w:fill="auto"/>
            <w:vAlign w:val="bottom"/>
          </w:tcPr>
          <w:p w14:paraId="74DD7DF5" w14:textId="77777777" w:rsidR="00584EC1" w:rsidRDefault="00584EC1">
            <w:pPr>
              <w:rPr>
                <w:rFonts w:ascii="宋体"/>
              </w:rPr>
            </w:pPr>
          </w:p>
        </w:tc>
        <w:tc>
          <w:tcPr>
            <w:tcW w:w="0" w:type="auto"/>
            <w:shd w:val="clear" w:color="auto" w:fill="auto"/>
            <w:vAlign w:val="bottom"/>
          </w:tcPr>
          <w:p w14:paraId="74DD7DF6" w14:textId="77777777" w:rsidR="00584EC1" w:rsidRDefault="00584EC1">
            <w:pPr>
              <w:rPr>
                <w:rFonts w:ascii="宋体"/>
              </w:rPr>
            </w:pPr>
          </w:p>
        </w:tc>
        <w:tc>
          <w:tcPr>
            <w:tcW w:w="0" w:type="auto"/>
            <w:shd w:val="clear" w:color="auto" w:fill="auto"/>
            <w:vAlign w:val="bottom"/>
          </w:tcPr>
          <w:p w14:paraId="74DD7DF7" w14:textId="77777777" w:rsidR="00584EC1" w:rsidRDefault="00584EC1">
            <w:pPr>
              <w:rPr>
                <w:rFonts w:ascii="宋体"/>
              </w:rPr>
            </w:pPr>
          </w:p>
        </w:tc>
        <w:tc>
          <w:tcPr>
            <w:tcW w:w="0" w:type="auto"/>
            <w:shd w:val="clear" w:color="auto" w:fill="auto"/>
            <w:vAlign w:val="bottom"/>
          </w:tcPr>
          <w:p w14:paraId="74DD7DF8" w14:textId="77777777" w:rsidR="00584EC1" w:rsidRDefault="00584EC1">
            <w:pPr>
              <w:rPr>
                <w:rFonts w:ascii="宋体"/>
              </w:rPr>
            </w:pPr>
          </w:p>
        </w:tc>
      </w:tr>
      <w:tr w:rsidR="00584EC1" w14:paraId="74DD7E0D" w14:textId="77777777">
        <w:trPr>
          <w:jc w:val="right"/>
        </w:trPr>
        <w:tc>
          <w:tcPr>
            <w:tcW w:w="0" w:type="auto"/>
            <w:gridSpan w:val="3"/>
            <w:shd w:val="clear" w:color="auto" w:fill="CCEEFF"/>
            <w:tcMar>
              <w:top w:w="40" w:type="dxa"/>
              <w:left w:w="20" w:type="dxa"/>
              <w:bottom w:w="40" w:type="dxa"/>
              <w:right w:w="20" w:type="dxa"/>
            </w:tcMar>
            <w:vAlign w:val="bottom"/>
          </w:tcPr>
          <w:p w14:paraId="74DD7DFA" w14:textId="77777777" w:rsidR="00584EC1" w:rsidRDefault="00871F8D">
            <w:pPr>
              <w:textAlignment w:val="bottom"/>
            </w:pPr>
            <w:r>
              <w:rPr>
                <w:rFonts w:ascii="Arial" w:eastAsia="宋体" w:hAnsi="Arial" w:cs="Arial"/>
                <w:color w:val="000000"/>
                <w:sz w:val="15"/>
                <w:szCs w:val="15"/>
              </w:rPr>
              <w:t>  Active</w:t>
            </w:r>
          </w:p>
        </w:tc>
        <w:tc>
          <w:tcPr>
            <w:tcW w:w="0" w:type="auto"/>
            <w:gridSpan w:val="2"/>
            <w:shd w:val="clear" w:color="auto" w:fill="CCEEFF"/>
            <w:tcMar>
              <w:top w:w="40" w:type="dxa"/>
              <w:left w:w="20" w:type="dxa"/>
              <w:bottom w:w="40" w:type="dxa"/>
              <w:right w:w="0" w:type="dxa"/>
            </w:tcMar>
            <w:vAlign w:val="bottom"/>
          </w:tcPr>
          <w:p w14:paraId="74DD7DFB" w14:textId="77777777" w:rsidR="00584EC1" w:rsidRDefault="00871F8D">
            <w:pPr>
              <w:jc w:val="right"/>
              <w:textAlignment w:val="bottom"/>
            </w:pPr>
            <w:r>
              <w:rPr>
                <w:rFonts w:ascii="Arial" w:eastAsia="宋体" w:hAnsi="Arial" w:cs="Arial"/>
                <w:b/>
                <w:bCs/>
                <w:color w:val="000000"/>
                <w:sz w:val="15"/>
                <w:szCs w:val="15"/>
              </w:rPr>
              <w:t>101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7DF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DF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7DFE" w14:textId="77777777" w:rsidR="00584EC1" w:rsidRDefault="00871F8D">
            <w:pPr>
              <w:jc w:val="right"/>
              <w:textAlignment w:val="bottom"/>
            </w:pPr>
            <w:r>
              <w:rPr>
                <w:rFonts w:ascii="Arial" w:eastAsia="宋体" w:hAnsi="Arial" w:cs="Arial"/>
                <w:color w:val="000000"/>
                <w:sz w:val="15"/>
                <w:szCs w:val="15"/>
              </w:rPr>
              <w:t>90 </w:t>
            </w:r>
          </w:p>
        </w:tc>
        <w:tc>
          <w:tcPr>
            <w:tcW w:w="0" w:type="auto"/>
            <w:shd w:val="clear" w:color="auto" w:fill="CCEEFF"/>
            <w:tcMar>
              <w:top w:w="40" w:type="dxa"/>
              <w:left w:w="0" w:type="dxa"/>
              <w:bottom w:w="40" w:type="dxa"/>
              <w:right w:w="20" w:type="dxa"/>
            </w:tcMar>
            <w:vAlign w:val="bottom"/>
          </w:tcPr>
          <w:p w14:paraId="74DD7DF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E0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7E01" w14:textId="77777777" w:rsidR="00584EC1" w:rsidRDefault="00871F8D">
            <w:pPr>
              <w:jc w:val="right"/>
              <w:textAlignment w:val="bottom"/>
            </w:pPr>
            <w:r>
              <w:rPr>
                <w:rFonts w:ascii="Arial" w:eastAsia="宋体" w:hAnsi="Arial" w:cs="Arial"/>
                <w:color w:val="000000"/>
                <w:sz w:val="15"/>
                <w:szCs w:val="15"/>
              </w:rPr>
              <w:t>85 </w:t>
            </w:r>
          </w:p>
        </w:tc>
        <w:tc>
          <w:tcPr>
            <w:tcW w:w="0" w:type="auto"/>
            <w:shd w:val="clear" w:color="auto" w:fill="CCEEFF"/>
            <w:tcMar>
              <w:top w:w="40" w:type="dxa"/>
              <w:left w:w="0" w:type="dxa"/>
              <w:bottom w:w="40" w:type="dxa"/>
              <w:right w:w="20" w:type="dxa"/>
            </w:tcMar>
            <w:vAlign w:val="bottom"/>
          </w:tcPr>
          <w:p w14:paraId="74DD7E02" w14:textId="77777777" w:rsidR="00584EC1" w:rsidRDefault="00584EC1">
            <w:pPr>
              <w:jc w:val="right"/>
              <w:rPr>
                <w:rFonts w:ascii="宋体"/>
              </w:rPr>
            </w:pPr>
          </w:p>
        </w:tc>
        <w:tc>
          <w:tcPr>
            <w:tcW w:w="0" w:type="auto"/>
            <w:shd w:val="clear" w:color="auto" w:fill="auto"/>
            <w:vAlign w:val="bottom"/>
          </w:tcPr>
          <w:p w14:paraId="74DD7E03" w14:textId="77777777" w:rsidR="00584EC1" w:rsidRDefault="00584EC1">
            <w:pPr>
              <w:rPr>
                <w:rFonts w:ascii="宋体"/>
                <w:vanish/>
              </w:rPr>
            </w:pPr>
          </w:p>
        </w:tc>
        <w:tc>
          <w:tcPr>
            <w:tcW w:w="0" w:type="auto"/>
            <w:shd w:val="clear" w:color="auto" w:fill="auto"/>
            <w:vAlign w:val="bottom"/>
          </w:tcPr>
          <w:p w14:paraId="74DD7E04" w14:textId="77777777" w:rsidR="00584EC1" w:rsidRDefault="00584EC1">
            <w:pPr>
              <w:rPr>
                <w:rFonts w:ascii="宋体"/>
                <w:vanish/>
              </w:rPr>
            </w:pPr>
          </w:p>
        </w:tc>
        <w:tc>
          <w:tcPr>
            <w:tcW w:w="0" w:type="auto"/>
            <w:gridSpan w:val="3"/>
            <w:shd w:val="clear" w:color="auto" w:fill="auto"/>
            <w:vAlign w:val="bottom"/>
          </w:tcPr>
          <w:p w14:paraId="74DD7E05" w14:textId="77777777" w:rsidR="00584EC1" w:rsidRDefault="00584EC1">
            <w:pPr>
              <w:rPr>
                <w:rFonts w:ascii="宋体"/>
                <w:vanish/>
              </w:rPr>
            </w:pPr>
          </w:p>
        </w:tc>
        <w:tc>
          <w:tcPr>
            <w:tcW w:w="0" w:type="auto"/>
            <w:gridSpan w:val="3"/>
            <w:shd w:val="clear" w:color="auto" w:fill="auto"/>
            <w:vAlign w:val="bottom"/>
          </w:tcPr>
          <w:p w14:paraId="74DD7E06" w14:textId="77777777" w:rsidR="00584EC1" w:rsidRDefault="00584EC1">
            <w:pPr>
              <w:rPr>
                <w:rFonts w:ascii="宋体"/>
                <w:vanish/>
              </w:rPr>
            </w:pPr>
          </w:p>
        </w:tc>
        <w:tc>
          <w:tcPr>
            <w:tcW w:w="0" w:type="auto"/>
            <w:gridSpan w:val="3"/>
            <w:shd w:val="clear" w:color="auto" w:fill="auto"/>
            <w:vAlign w:val="bottom"/>
          </w:tcPr>
          <w:p w14:paraId="74DD7E07" w14:textId="77777777" w:rsidR="00584EC1" w:rsidRDefault="00584EC1">
            <w:pPr>
              <w:rPr>
                <w:rFonts w:ascii="宋体"/>
                <w:vanish/>
              </w:rPr>
            </w:pPr>
          </w:p>
        </w:tc>
        <w:tc>
          <w:tcPr>
            <w:tcW w:w="0" w:type="auto"/>
            <w:gridSpan w:val="3"/>
            <w:shd w:val="clear" w:color="auto" w:fill="auto"/>
            <w:vAlign w:val="bottom"/>
          </w:tcPr>
          <w:p w14:paraId="74DD7E08" w14:textId="77777777" w:rsidR="00584EC1" w:rsidRDefault="00584EC1">
            <w:pPr>
              <w:rPr>
                <w:rFonts w:ascii="宋体"/>
                <w:vanish/>
              </w:rPr>
            </w:pPr>
          </w:p>
        </w:tc>
        <w:tc>
          <w:tcPr>
            <w:tcW w:w="0" w:type="auto"/>
            <w:gridSpan w:val="3"/>
            <w:shd w:val="clear" w:color="auto" w:fill="auto"/>
            <w:vAlign w:val="bottom"/>
          </w:tcPr>
          <w:p w14:paraId="74DD7E09" w14:textId="77777777" w:rsidR="00584EC1" w:rsidRDefault="00584EC1">
            <w:pPr>
              <w:rPr>
                <w:rFonts w:ascii="宋体"/>
                <w:vanish/>
              </w:rPr>
            </w:pPr>
          </w:p>
        </w:tc>
        <w:tc>
          <w:tcPr>
            <w:tcW w:w="0" w:type="auto"/>
            <w:gridSpan w:val="3"/>
            <w:shd w:val="clear" w:color="auto" w:fill="auto"/>
            <w:vAlign w:val="bottom"/>
          </w:tcPr>
          <w:p w14:paraId="74DD7E0A" w14:textId="77777777" w:rsidR="00584EC1" w:rsidRDefault="00584EC1">
            <w:pPr>
              <w:rPr>
                <w:rFonts w:ascii="宋体"/>
                <w:vanish/>
              </w:rPr>
            </w:pPr>
          </w:p>
        </w:tc>
        <w:tc>
          <w:tcPr>
            <w:tcW w:w="0" w:type="auto"/>
            <w:gridSpan w:val="3"/>
            <w:shd w:val="clear" w:color="auto" w:fill="auto"/>
            <w:vAlign w:val="bottom"/>
          </w:tcPr>
          <w:p w14:paraId="74DD7E0B" w14:textId="77777777" w:rsidR="00584EC1" w:rsidRDefault="00584EC1">
            <w:pPr>
              <w:rPr>
                <w:rFonts w:ascii="宋体"/>
                <w:vanish/>
              </w:rPr>
            </w:pPr>
          </w:p>
        </w:tc>
        <w:tc>
          <w:tcPr>
            <w:tcW w:w="0" w:type="auto"/>
            <w:gridSpan w:val="3"/>
            <w:shd w:val="clear" w:color="auto" w:fill="auto"/>
            <w:vAlign w:val="bottom"/>
          </w:tcPr>
          <w:p w14:paraId="74DD7E0C" w14:textId="77777777" w:rsidR="00584EC1" w:rsidRDefault="00584EC1">
            <w:pPr>
              <w:rPr>
                <w:rFonts w:ascii="宋体"/>
                <w:vanish/>
              </w:rPr>
            </w:pPr>
          </w:p>
        </w:tc>
      </w:tr>
      <w:tr w:rsidR="00584EC1" w14:paraId="74DD7E21" w14:textId="77777777">
        <w:trPr>
          <w:jc w:val="right"/>
        </w:trPr>
        <w:tc>
          <w:tcPr>
            <w:tcW w:w="0" w:type="auto"/>
            <w:gridSpan w:val="3"/>
            <w:shd w:val="clear" w:color="auto" w:fill="FFFFFF"/>
            <w:tcMar>
              <w:top w:w="40" w:type="dxa"/>
              <w:left w:w="20" w:type="dxa"/>
              <w:bottom w:w="40" w:type="dxa"/>
              <w:right w:w="20" w:type="dxa"/>
            </w:tcMar>
            <w:vAlign w:val="bottom"/>
          </w:tcPr>
          <w:p w14:paraId="74DD7E0E" w14:textId="77777777" w:rsidR="00584EC1" w:rsidRDefault="00871F8D">
            <w:pPr>
              <w:textAlignment w:val="bottom"/>
            </w:pPr>
            <w:r>
              <w:rPr>
                <w:rFonts w:ascii="Arial" w:eastAsia="宋体" w:hAnsi="Arial" w:cs="Arial"/>
                <w:color w:val="000000"/>
                <w:sz w:val="15"/>
                <w:szCs w:val="15"/>
              </w:rPr>
              <w:t>  Passive</w:t>
            </w:r>
          </w:p>
        </w:tc>
        <w:tc>
          <w:tcPr>
            <w:tcW w:w="0" w:type="auto"/>
            <w:gridSpan w:val="2"/>
            <w:shd w:val="clear" w:color="auto" w:fill="FFFFFF"/>
            <w:tcMar>
              <w:top w:w="40" w:type="dxa"/>
              <w:left w:w="20" w:type="dxa"/>
              <w:bottom w:w="40" w:type="dxa"/>
              <w:right w:w="0" w:type="dxa"/>
            </w:tcMar>
            <w:vAlign w:val="bottom"/>
          </w:tcPr>
          <w:p w14:paraId="74DD7E0F" w14:textId="77777777" w:rsidR="00584EC1" w:rsidRDefault="00871F8D">
            <w:pPr>
              <w:jc w:val="right"/>
              <w:textAlignment w:val="bottom"/>
            </w:pPr>
            <w:r>
              <w:rPr>
                <w:rFonts w:ascii="Arial" w:eastAsia="宋体" w:hAnsi="Arial" w:cs="Arial"/>
                <w:b/>
                <w:bCs/>
                <w:color w:val="000000"/>
                <w:sz w:val="15"/>
                <w:szCs w:val="15"/>
              </w:rPr>
              <w:t>509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7E1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E1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E12" w14:textId="77777777" w:rsidR="00584EC1" w:rsidRDefault="00871F8D">
            <w:pPr>
              <w:jc w:val="right"/>
              <w:textAlignment w:val="bottom"/>
            </w:pPr>
            <w:r>
              <w:rPr>
                <w:rFonts w:ascii="Arial" w:eastAsia="宋体" w:hAnsi="Arial" w:cs="Arial"/>
                <w:color w:val="000000"/>
                <w:sz w:val="15"/>
                <w:szCs w:val="15"/>
              </w:rPr>
              <w:t>459 </w:t>
            </w:r>
          </w:p>
        </w:tc>
        <w:tc>
          <w:tcPr>
            <w:tcW w:w="0" w:type="auto"/>
            <w:shd w:val="clear" w:color="auto" w:fill="FFFFFF"/>
            <w:tcMar>
              <w:top w:w="40" w:type="dxa"/>
              <w:left w:w="0" w:type="dxa"/>
              <w:bottom w:w="40" w:type="dxa"/>
              <w:right w:w="20" w:type="dxa"/>
            </w:tcMar>
            <w:vAlign w:val="bottom"/>
          </w:tcPr>
          <w:p w14:paraId="74DD7E1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E1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E15" w14:textId="77777777" w:rsidR="00584EC1" w:rsidRDefault="00871F8D">
            <w:pPr>
              <w:jc w:val="right"/>
              <w:textAlignment w:val="bottom"/>
            </w:pPr>
            <w:r>
              <w:rPr>
                <w:rFonts w:ascii="Arial" w:eastAsia="宋体" w:hAnsi="Arial" w:cs="Arial"/>
                <w:color w:val="000000"/>
                <w:sz w:val="15"/>
                <w:szCs w:val="15"/>
              </w:rPr>
              <w:t>424 </w:t>
            </w:r>
          </w:p>
        </w:tc>
        <w:tc>
          <w:tcPr>
            <w:tcW w:w="0" w:type="auto"/>
            <w:shd w:val="clear" w:color="auto" w:fill="FFFFFF"/>
            <w:tcMar>
              <w:top w:w="40" w:type="dxa"/>
              <w:left w:w="0" w:type="dxa"/>
              <w:bottom w:w="40" w:type="dxa"/>
              <w:right w:w="20" w:type="dxa"/>
            </w:tcMar>
            <w:vAlign w:val="bottom"/>
          </w:tcPr>
          <w:p w14:paraId="74DD7E16" w14:textId="77777777" w:rsidR="00584EC1" w:rsidRDefault="00584EC1">
            <w:pPr>
              <w:jc w:val="right"/>
              <w:rPr>
                <w:rFonts w:ascii="宋体"/>
              </w:rPr>
            </w:pPr>
          </w:p>
        </w:tc>
        <w:tc>
          <w:tcPr>
            <w:tcW w:w="0" w:type="auto"/>
            <w:shd w:val="clear" w:color="auto" w:fill="auto"/>
            <w:vAlign w:val="bottom"/>
          </w:tcPr>
          <w:p w14:paraId="74DD7E17" w14:textId="77777777" w:rsidR="00584EC1" w:rsidRDefault="00584EC1">
            <w:pPr>
              <w:rPr>
                <w:rFonts w:ascii="宋体"/>
                <w:vanish/>
              </w:rPr>
            </w:pPr>
          </w:p>
        </w:tc>
        <w:tc>
          <w:tcPr>
            <w:tcW w:w="0" w:type="auto"/>
            <w:shd w:val="clear" w:color="auto" w:fill="auto"/>
            <w:vAlign w:val="bottom"/>
          </w:tcPr>
          <w:p w14:paraId="74DD7E18" w14:textId="77777777" w:rsidR="00584EC1" w:rsidRDefault="00584EC1">
            <w:pPr>
              <w:rPr>
                <w:rFonts w:ascii="宋体"/>
                <w:vanish/>
              </w:rPr>
            </w:pPr>
          </w:p>
        </w:tc>
        <w:tc>
          <w:tcPr>
            <w:tcW w:w="0" w:type="auto"/>
            <w:gridSpan w:val="3"/>
            <w:shd w:val="clear" w:color="auto" w:fill="auto"/>
            <w:vAlign w:val="bottom"/>
          </w:tcPr>
          <w:p w14:paraId="74DD7E19" w14:textId="77777777" w:rsidR="00584EC1" w:rsidRDefault="00584EC1">
            <w:pPr>
              <w:rPr>
                <w:rFonts w:ascii="宋体"/>
                <w:vanish/>
              </w:rPr>
            </w:pPr>
          </w:p>
        </w:tc>
        <w:tc>
          <w:tcPr>
            <w:tcW w:w="0" w:type="auto"/>
            <w:gridSpan w:val="3"/>
            <w:shd w:val="clear" w:color="auto" w:fill="auto"/>
            <w:vAlign w:val="bottom"/>
          </w:tcPr>
          <w:p w14:paraId="74DD7E1A" w14:textId="77777777" w:rsidR="00584EC1" w:rsidRDefault="00584EC1">
            <w:pPr>
              <w:rPr>
                <w:rFonts w:ascii="宋体"/>
                <w:vanish/>
              </w:rPr>
            </w:pPr>
          </w:p>
        </w:tc>
        <w:tc>
          <w:tcPr>
            <w:tcW w:w="0" w:type="auto"/>
            <w:gridSpan w:val="3"/>
            <w:shd w:val="clear" w:color="auto" w:fill="auto"/>
            <w:vAlign w:val="bottom"/>
          </w:tcPr>
          <w:p w14:paraId="74DD7E1B" w14:textId="77777777" w:rsidR="00584EC1" w:rsidRDefault="00584EC1">
            <w:pPr>
              <w:rPr>
                <w:rFonts w:ascii="宋体"/>
                <w:vanish/>
              </w:rPr>
            </w:pPr>
          </w:p>
        </w:tc>
        <w:tc>
          <w:tcPr>
            <w:tcW w:w="0" w:type="auto"/>
            <w:gridSpan w:val="3"/>
            <w:shd w:val="clear" w:color="auto" w:fill="auto"/>
            <w:vAlign w:val="bottom"/>
          </w:tcPr>
          <w:p w14:paraId="74DD7E1C" w14:textId="77777777" w:rsidR="00584EC1" w:rsidRDefault="00584EC1">
            <w:pPr>
              <w:rPr>
                <w:rFonts w:ascii="宋体"/>
                <w:vanish/>
              </w:rPr>
            </w:pPr>
          </w:p>
        </w:tc>
        <w:tc>
          <w:tcPr>
            <w:tcW w:w="0" w:type="auto"/>
            <w:gridSpan w:val="3"/>
            <w:shd w:val="clear" w:color="auto" w:fill="auto"/>
            <w:vAlign w:val="bottom"/>
          </w:tcPr>
          <w:p w14:paraId="74DD7E1D" w14:textId="77777777" w:rsidR="00584EC1" w:rsidRDefault="00584EC1">
            <w:pPr>
              <w:rPr>
                <w:rFonts w:ascii="宋体"/>
                <w:vanish/>
              </w:rPr>
            </w:pPr>
          </w:p>
        </w:tc>
        <w:tc>
          <w:tcPr>
            <w:tcW w:w="0" w:type="auto"/>
            <w:gridSpan w:val="3"/>
            <w:shd w:val="clear" w:color="auto" w:fill="auto"/>
            <w:vAlign w:val="bottom"/>
          </w:tcPr>
          <w:p w14:paraId="74DD7E1E" w14:textId="77777777" w:rsidR="00584EC1" w:rsidRDefault="00584EC1">
            <w:pPr>
              <w:rPr>
                <w:rFonts w:ascii="宋体"/>
                <w:vanish/>
              </w:rPr>
            </w:pPr>
          </w:p>
        </w:tc>
        <w:tc>
          <w:tcPr>
            <w:tcW w:w="0" w:type="auto"/>
            <w:gridSpan w:val="3"/>
            <w:shd w:val="clear" w:color="auto" w:fill="auto"/>
            <w:vAlign w:val="bottom"/>
          </w:tcPr>
          <w:p w14:paraId="74DD7E1F" w14:textId="77777777" w:rsidR="00584EC1" w:rsidRDefault="00584EC1">
            <w:pPr>
              <w:rPr>
                <w:rFonts w:ascii="宋体"/>
                <w:vanish/>
              </w:rPr>
            </w:pPr>
          </w:p>
        </w:tc>
        <w:tc>
          <w:tcPr>
            <w:tcW w:w="0" w:type="auto"/>
            <w:gridSpan w:val="3"/>
            <w:shd w:val="clear" w:color="auto" w:fill="auto"/>
            <w:vAlign w:val="bottom"/>
          </w:tcPr>
          <w:p w14:paraId="74DD7E20" w14:textId="77777777" w:rsidR="00584EC1" w:rsidRDefault="00584EC1">
            <w:pPr>
              <w:rPr>
                <w:rFonts w:ascii="宋体"/>
                <w:vanish/>
              </w:rPr>
            </w:pPr>
          </w:p>
        </w:tc>
      </w:tr>
      <w:tr w:rsidR="00584EC1" w14:paraId="74DD7E35" w14:textId="77777777">
        <w:trPr>
          <w:jc w:val="right"/>
        </w:trPr>
        <w:tc>
          <w:tcPr>
            <w:tcW w:w="0" w:type="auto"/>
            <w:gridSpan w:val="3"/>
            <w:shd w:val="clear" w:color="auto" w:fill="CCEEFF"/>
            <w:tcMar>
              <w:top w:w="40" w:type="dxa"/>
              <w:left w:w="20" w:type="dxa"/>
              <w:bottom w:w="40" w:type="dxa"/>
              <w:right w:w="20" w:type="dxa"/>
            </w:tcMar>
            <w:vAlign w:val="bottom"/>
          </w:tcPr>
          <w:p w14:paraId="74DD7E22" w14:textId="77777777" w:rsidR="00584EC1" w:rsidRDefault="00871F8D">
            <w:pPr>
              <w:textAlignment w:val="bottom"/>
            </w:pPr>
            <w:r>
              <w:rPr>
                <w:rFonts w:ascii="Arial" w:eastAsia="宋体" w:hAnsi="Arial" w:cs="Arial"/>
                <w:color w:val="000000"/>
                <w:sz w:val="15"/>
                <w:szCs w:val="15"/>
              </w:rPr>
              <w:t>Total fixed-income</w:t>
            </w:r>
            <w:r>
              <w:rPr>
                <w:rFonts w:ascii="Arial" w:eastAsia="宋体" w:hAnsi="Arial" w:cs="Arial"/>
                <w:color w:val="000000"/>
                <w:sz w:val="9"/>
                <w:szCs w:val="9"/>
              </w:rPr>
              <w:t>(1)</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7E23" w14:textId="77777777" w:rsidR="00584EC1" w:rsidRDefault="00871F8D">
            <w:pPr>
              <w:jc w:val="right"/>
              <w:textAlignment w:val="bottom"/>
            </w:pPr>
            <w:r>
              <w:rPr>
                <w:rFonts w:ascii="Arial" w:eastAsia="宋体" w:hAnsi="Arial" w:cs="Arial"/>
                <w:b/>
                <w:bCs/>
                <w:color w:val="000000"/>
                <w:sz w:val="15"/>
                <w:szCs w:val="15"/>
              </w:rPr>
              <w:t>610</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E2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E25"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7E26" w14:textId="77777777" w:rsidR="00584EC1" w:rsidRDefault="00871F8D">
            <w:pPr>
              <w:jc w:val="right"/>
              <w:textAlignment w:val="bottom"/>
            </w:pPr>
            <w:r>
              <w:rPr>
                <w:rFonts w:ascii="Arial" w:eastAsia="宋体" w:hAnsi="Arial" w:cs="Arial"/>
                <w:color w:val="000000"/>
                <w:sz w:val="15"/>
                <w:szCs w:val="15"/>
              </w:rPr>
              <w:t>549 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E2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E28"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7E29" w14:textId="77777777" w:rsidR="00584EC1" w:rsidRDefault="00871F8D">
            <w:pPr>
              <w:jc w:val="right"/>
              <w:textAlignment w:val="bottom"/>
            </w:pPr>
            <w:r>
              <w:rPr>
                <w:rFonts w:ascii="Arial" w:eastAsia="宋体" w:hAnsi="Arial" w:cs="Arial"/>
                <w:color w:val="000000"/>
                <w:sz w:val="15"/>
                <w:szCs w:val="15"/>
              </w:rPr>
              <w:t>509 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7E2A" w14:textId="77777777" w:rsidR="00584EC1" w:rsidRDefault="00584EC1">
            <w:pPr>
              <w:jc w:val="right"/>
              <w:rPr>
                <w:rFonts w:ascii="宋体"/>
              </w:rPr>
            </w:pPr>
          </w:p>
        </w:tc>
        <w:tc>
          <w:tcPr>
            <w:tcW w:w="0" w:type="auto"/>
            <w:shd w:val="clear" w:color="auto" w:fill="auto"/>
            <w:vAlign w:val="bottom"/>
          </w:tcPr>
          <w:p w14:paraId="74DD7E2B" w14:textId="77777777" w:rsidR="00584EC1" w:rsidRDefault="00584EC1">
            <w:pPr>
              <w:rPr>
                <w:rFonts w:ascii="宋体"/>
                <w:vanish/>
              </w:rPr>
            </w:pPr>
          </w:p>
        </w:tc>
        <w:tc>
          <w:tcPr>
            <w:tcW w:w="0" w:type="auto"/>
            <w:shd w:val="clear" w:color="auto" w:fill="auto"/>
            <w:vAlign w:val="bottom"/>
          </w:tcPr>
          <w:p w14:paraId="74DD7E2C" w14:textId="77777777" w:rsidR="00584EC1" w:rsidRDefault="00584EC1">
            <w:pPr>
              <w:rPr>
                <w:rFonts w:ascii="宋体"/>
                <w:vanish/>
              </w:rPr>
            </w:pPr>
          </w:p>
        </w:tc>
        <w:tc>
          <w:tcPr>
            <w:tcW w:w="0" w:type="auto"/>
            <w:gridSpan w:val="3"/>
            <w:shd w:val="clear" w:color="auto" w:fill="auto"/>
            <w:vAlign w:val="bottom"/>
          </w:tcPr>
          <w:p w14:paraId="74DD7E2D" w14:textId="77777777" w:rsidR="00584EC1" w:rsidRDefault="00584EC1">
            <w:pPr>
              <w:rPr>
                <w:rFonts w:ascii="宋体"/>
                <w:vanish/>
              </w:rPr>
            </w:pPr>
          </w:p>
        </w:tc>
        <w:tc>
          <w:tcPr>
            <w:tcW w:w="0" w:type="auto"/>
            <w:gridSpan w:val="3"/>
            <w:shd w:val="clear" w:color="auto" w:fill="auto"/>
            <w:vAlign w:val="bottom"/>
          </w:tcPr>
          <w:p w14:paraId="74DD7E2E" w14:textId="77777777" w:rsidR="00584EC1" w:rsidRDefault="00584EC1">
            <w:pPr>
              <w:rPr>
                <w:rFonts w:ascii="宋体"/>
                <w:vanish/>
              </w:rPr>
            </w:pPr>
          </w:p>
        </w:tc>
        <w:tc>
          <w:tcPr>
            <w:tcW w:w="0" w:type="auto"/>
            <w:gridSpan w:val="3"/>
            <w:shd w:val="clear" w:color="auto" w:fill="auto"/>
            <w:vAlign w:val="bottom"/>
          </w:tcPr>
          <w:p w14:paraId="74DD7E2F" w14:textId="77777777" w:rsidR="00584EC1" w:rsidRDefault="00584EC1">
            <w:pPr>
              <w:rPr>
                <w:rFonts w:ascii="宋体"/>
                <w:vanish/>
              </w:rPr>
            </w:pPr>
          </w:p>
        </w:tc>
        <w:tc>
          <w:tcPr>
            <w:tcW w:w="0" w:type="auto"/>
            <w:gridSpan w:val="3"/>
            <w:shd w:val="clear" w:color="auto" w:fill="auto"/>
            <w:vAlign w:val="bottom"/>
          </w:tcPr>
          <w:p w14:paraId="74DD7E30" w14:textId="77777777" w:rsidR="00584EC1" w:rsidRDefault="00584EC1">
            <w:pPr>
              <w:rPr>
                <w:rFonts w:ascii="宋体"/>
                <w:vanish/>
              </w:rPr>
            </w:pPr>
          </w:p>
        </w:tc>
        <w:tc>
          <w:tcPr>
            <w:tcW w:w="0" w:type="auto"/>
            <w:gridSpan w:val="3"/>
            <w:shd w:val="clear" w:color="auto" w:fill="auto"/>
            <w:vAlign w:val="bottom"/>
          </w:tcPr>
          <w:p w14:paraId="74DD7E31" w14:textId="77777777" w:rsidR="00584EC1" w:rsidRDefault="00584EC1">
            <w:pPr>
              <w:rPr>
                <w:rFonts w:ascii="宋体"/>
                <w:vanish/>
              </w:rPr>
            </w:pPr>
          </w:p>
        </w:tc>
        <w:tc>
          <w:tcPr>
            <w:tcW w:w="0" w:type="auto"/>
            <w:gridSpan w:val="3"/>
            <w:shd w:val="clear" w:color="auto" w:fill="auto"/>
            <w:vAlign w:val="bottom"/>
          </w:tcPr>
          <w:p w14:paraId="74DD7E32" w14:textId="77777777" w:rsidR="00584EC1" w:rsidRDefault="00584EC1">
            <w:pPr>
              <w:rPr>
                <w:rFonts w:ascii="宋体"/>
                <w:vanish/>
              </w:rPr>
            </w:pPr>
          </w:p>
        </w:tc>
        <w:tc>
          <w:tcPr>
            <w:tcW w:w="0" w:type="auto"/>
            <w:gridSpan w:val="3"/>
            <w:shd w:val="clear" w:color="auto" w:fill="auto"/>
            <w:vAlign w:val="bottom"/>
          </w:tcPr>
          <w:p w14:paraId="74DD7E33" w14:textId="77777777" w:rsidR="00584EC1" w:rsidRDefault="00584EC1">
            <w:pPr>
              <w:rPr>
                <w:rFonts w:ascii="宋体"/>
                <w:vanish/>
              </w:rPr>
            </w:pPr>
          </w:p>
        </w:tc>
        <w:tc>
          <w:tcPr>
            <w:tcW w:w="0" w:type="auto"/>
            <w:gridSpan w:val="3"/>
            <w:shd w:val="clear" w:color="auto" w:fill="auto"/>
            <w:vAlign w:val="bottom"/>
          </w:tcPr>
          <w:p w14:paraId="74DD7E34" w14:textId="77777777" w:rsidR="00584EC1" w:rsidRDefault="00584EC1">
            <w:pPr>
              <w:rPr>
                <w:rFonts w:ascii="宋体"/>
                <w:vanish/>
              </w:rPr>
            </w:pPr>
          </w:p>
        </w:tc>
      </w:tr>
      <w:tr w:rsidR="00584EC1" w14:paraId="74DD7E49" w14:textId="77777777">
        <w:trPr>
          <w:jc w:val="right"/>
        </w:trPr>
        <w:tc>
          <w:tcPr>
            <w:tcW w:w="0" w:type="auto"/>
            <w:gridSpan w:val="3"/>
            <w:shd w:val="clear" w:color="auto" w:fill="FFFFFF"/>
            <w:tcMar>
              <w:top w:w="40" w:type="dxa"/>
              <w:left w:w="20" w:type="dxa"/>
              <w:bottom w:w="40" w:type="dxa"/>
              <w:right w:w="20" w:type="dxa"/>
            </w:tcMar>
            <w:vAlign w:val="bottom"/>
          </w:tcPr>
          <w:p w14:paraId="74DD7E36" w14:textId="77777777" w:rsidR="00584EC1" w:rsidRDefault="00871F8D">
            <w:pPr>
              <w:textAlignment w:val="bottom"/>
            </w:pPr>
            <w:r>
              <w:rPr>
                <w:rFonts w:ascii="Arial" w:eastAsia="宋体" w:hAnsi="Arial" w:cs="Arial"/>
                <w:color w:val="000000"/>
                <w:sz w:val="15"/>
                <w:szCs w:val="15"/>
              </w:rPr>
              <w:t>Cash</w:t>
            </w:r>
            <w:r>
              <w:rPr>
                <w:rFonts w:ascii="Arial" w:eastAsia="宋体" w:hAnsi="Arial" w:cs="Arial"/>
                <w:color w:val="000000"/>
                <w:sz w:val="9"/>
                <w:szCs w:val="9"/>
              </w:rPr>
              <w:t>(1)(2)</w:t>
            </w:r>
          </w:p>
        </w:tc>
        <w:tc>
          <w:tcPr>
            <w:tcW w:w="0" w:type="auto"/>
            <w:gridSpan w:val="2"/>
            <w:shd w:val="clear" w:color="auto" w:fill="FFFFFF"/>
            <w:tcMar>
              <w:top w:w="40" w:type="dxa"/>
              <w:left w:w="20" w:type="dxa"/>
              <w:bottom w:w="40" w:type="dxa"/>
              <w:right w:w="0" w:type="dxa"/>
            </w:tcMar>
            <w:vAlign w:val="bottom"/>
          </w:tcPr>
          <w:p w14:paraId="74DD7E37" w14:textId="77777777" w:rsidR="00584EC1" w:rsidRDefault="00871F8D">
            <w:pPr>
              <w:jc w:val="right"/>
              <w:textAlignment w:val="bottom"/>
            </w:pPr>
            <w:r>
              <w:rPr>
                <w:rFonts w:ascii="Arial" w:eastAsia="宋体" w:hAnsi="Arial" w:cs="Arial"/>
                <w:b/>
                <w:bCs/>
                <w:color w:val="000000"/>
                <w:sz w:val="15"/>
                <w:szCs w:val="15"/>
              </w:rPr>
              <w:t>367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7E3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E3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E3A" w14:textId="77777777" w:rsidR="00584EC1" w:rsidRDefault="00871F8D">
            <w:pPr>
              <w:jc w:val="right"/>
              <w:textAlignment w:val="bottom"/>
            </w:pPr>
            <w:r>
              <w:rPr>
                <w:rFonts w:ascii="Arial" w:eastAsia="宋体" w:hAnsi="Arial" w:cs="Arial"/>
                <w:color w:val="000000"/>
                <w:sz w:val="15"/>
                <w:szCs w:val="15"/>
              </w:rPr>
              <w:t>349 </w:t>
            </w:r>
          </w:p>
        </w:tc>
        <w:tc>
          <w:tcPr>
            <w:tcW w:w="0" w:type="auto"/>
            <w:shd w:val="clear" w:color="auto" w:fill="FFFFFF"/>
            <w:tcMar>
              <w:top w:w="40" w:type="dxa"/>
              <w:left w:w="0" w:type="dxa"/>
              <w:bottom w:w="40" w:type="dxa"/>
              <w:right w:w="20" w:type="dxa"/>
            </w:tcMar>
            <w:vAlign w:val="bottom"/>
          </w:tcPr>
          <w:p w14:paraId="74DD7E3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E3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E3D" w14:textId="77777777" w:rsidR="00584EC1" w:rsidRDefault="00871F8D">
            <w:pPr>
              <w:jc w:val="right"/>
              <w:textAlignment w:val="bottom"/>
            </w:pPr>
            <w:r>
              <w:rPr>
                <w:rFonts w:ascii="Arial" w:eastAsia="宋体" w:hAnsi="Arial" w:cs="Arial"/>
                <w:color w:val="000000"/>
                <w:sz w:val="15"/>
                <w:szCs w:val="15"/>
              </w:rPr>
              <w:t>321 </w:t>
            </w:r>
          </w:p>
        </w:tc>
        <w:tc>
          <w:tcPr>
            <w:tcW w:w="0" w:type="auto"/>
            <w:shd w:val="clear" w:color="auto" w:fill="FFFFFF"/>
            <w:tcMar>
              <w:top w:w="40" w:type="dxa"/>
              <w:left w:w="0" w:type="dxa"/>
              <w:bottom w:w="40" w:type="dxa"/>
              <w:right w:w="20" w:type="dxa"/>
            </w:tcMar>
            <w:vAlign w:val="bottom"/>
          </w:tcPr>
          <w:p w14:paraId="74DD7E3E" w14:textId="77777777" w:rsidR="00584EC1" w:rsidRDefault="00584EC1">
            <w:pPr>
              <w:jc w:val="right"/>
              <w:rPr>
                <w:rFonts w:ascii="宋体"/>
              </w:rPr>
            </w:pPr>
          </w:p>
        </w:tc>
        <w:tc>
          <w:tcPr>
            <w:tcW w:w="0" w:type="auto"/>
            <w:shd w:val="clear" w:color="auto" w:fill="auto"/>
            <w:vAlign w:val="bottom"/>
          </w:tcPr>
          <w:p w14:paraId="74DD7E3F" w14:textId="77777777" w:rsidR="00584EC1" w:rsidRDefault="00584EC1">
            <w:pPr>
              <w:rPr>
                <w:rFonts w:ascii="宋体"/>
                <w:vanish/>
              </w:rPr>
            </w:pPr>
          </w:p>
        </w:tc>
        <w:tc>
          <w:tcPr>
            <w:tcW w:w="0" w:type="auto"/>
            <w:shd w:val="clear" w:color="auto" w:fill="auto"/>
            <w:vAlign w:val="bottom"/>
          </w:tcPr>
          <w:p w14:paraId="74DD7E40" w14:textId="77777777" w:rsidR="00584EC1" w:rsidRDefault="00584EC1">
            <w:pPr>
              <w:rPr>
                <w:rFonts w:ascii="宋体"/>
                <w:vanish/>
              </w:rPr>
            </w:pPr>
          </w:p>
        </w:tc>
        <w:tc>
          <w:tcPr>
            <w:tcW w:w="0" w:type="auto"/>
            <w:gridSpan w:val="3"/>
            <w:shd w:val="clear" w:color="auto" w:fill="auto"/>
            <w:vAlign w:val="bottom"/>
          </w:tcPr>
          <w:p w14:paraId="74DD7E41" w14:textId="77777777" w:rsidR="00584EC1" w:rsidRDefault="00584EC1">
            <w:pPr>
              <w:rPr>
                <w:rFonts w:ascii="宋体"/>
                <w:vanish/>
              </w:rPr>
            </w:pPr>
          </w:p>
        </w:tc>
        <w:tc>
          <w:tcPr>
            <w:tcW w:w="0" w:type="auto"/>
            <w:gridSpan w:val="3"/>
            <w:shd w:val="clear" w:color="auto" w:fill="auto"/>
            <w:vAlign w:val="bottom"/>
          </w:tcPr>
          <w:p w14:paraId="74DD7E42" w14:textId="77777777" w:rsidR="00584EC1" w:rsidRDefault="00584EC1">
            <w:pPr>
              <w:rPr>
                <w:rFonts w:ascii="宋体"/>
                <w:vanish/>
              </w:rPr>
            </w:pPr>
          </w:p>
        </w:tc>
        <w:tc>
          <w:tcPr>
            <w:tcW w:w="0" w:type="auto"/>
            <w:gridSpan w:val="3"/>
            <w:shd w:val="clear" w:color="auto" w:fill="auto"/>
            <w:vAlign w:val="bottom"/>
          </w:tcPr>
          <w:p w14:paraId="74DD7E43" w14:textId="77777777" w:rsidR="00584EC1" w:rsidRDefault="00584EC1">
            <w:pPr>
              <w:rPr>
                <w:rFonts w:ascii="宋体"/>
                <w:vanish/>
              </w:rPr>
            </w:pPr>
          </w:p>
        </w:tc>
        <w:tc>
          <w:tcPr>
            <w:tcW w:w="0" w:type="auto"/>
            <w:gridSpan w:val="3"/>
            <w:shd w:val="clear" w:color="auto" w:fill="auto"/>
            <w:vAlign w:val="bottom"/>
          </w:tcPr>
          <w:p w14:paraId="74DD7E44" w14:textId="77777777" w:rsidR="00584EC1" w:rsidRDefault="00584EC1">
            <w:pPr>
              <w:rPr>
                <w:rFonts w:ascii="宋体"/>
                <w:vanish/>
              </w:rPr>
            </w:pPr>
          </w:p>
        </w:tc>
        <w:tc>
          <w:tcPr>
            <w:tcW w:w="0" w:type="auto"/>
            <w:gridSpan w:val="3"/>
            <w:shd w:val="clear" w:color="auto" w:fill="auto"/>
            <w:vAlign w:val="bottom"/>
          </w:tcPr>
          <w:p w14:paraId="74DD7E45" w14:textId="77777777" w:rsidR="00584EC1" w:rsidRDefault="00584EC1">
            <w:pPr>
              <w:rPr>
                <w:rFonts w:ascii="宋体"/>
                <w:vanish/>
              </w:rPr>
            </w:pPr>
          </w:p>
        </w:tc>
        <w:tc>
          <w:tcPr>
            <w:tcW w:w="0" w:type="auto"/>
            <w:gridSpan w:val="3"/>
            <w:shd w:val="clear" w:color="auto" w:fill="auto"/>
            <w:vAlign w:val="bottom"/>
          </w:tcPr>
          <w:p w14:paraId="74DD7E46" w14:textId="77777777" w:rsidR="00584EC1" w:rsidRDefault="00584EC1">
            <w:pPr>
              <w:rPr>
                <w:rFonts w:ascii="宋体"/>
                <w:vanish/>
              </w:rPr>
            </w:pPr>
          </w:p>
        </w:tc>
        <w:tc>
          <w:tcPr>
            <w:tcW w:w="0" w:type="auto"/>
            <w:gridSpan w:val="3"/>
            <w:shd w:val="clear" w:color="auto" w:fill="auto"/>
            <w:vAlign w:val="bottom"/>
          </w:tcPr>
          <w:p w14:paraId="74DD7E47" w14:textId="77777777" w:rsidR="00584EC1" w:rsidRDefault="00584EC1">
            <w:pPr>
              <w:rPr>
                <w:rFonts w:ascii="宋体"/>
                <w:vanish/>
              </w:rPr>
            </w:pPr>
          </w:p>
        </w:tc>
        <w:tc>
          <w:tcPr>
            <w:tcW w:w="0" w:type="auto"/>
            <w:gridSpan w:val="3"/>
            <w:shd w:val="clear" w:color="auto" w:fill="auto"/>
            <w:vAlign w:val="bottom"/>
          </w:tcPr>
          <w:p w14:paraId="74DD7E48" w14:textId="77777777" w:rsidR="00584EC1" w:rsidRDefault="00584EC1">
            <w:pPr>
              <w:rPr>
                <w:rFonts w:ascii="宋体"/>
                <w:vanish/>
              </w:rPr>
            </w:pPr>
          </w:p>
        </w:tc>
      </w:tr>
      <w:tr w:rsidR="00584EC1" w14:paraId="74DD7E65" w14:textId="77777777">
        <w:trPr>
          <w:jc w:val="right"/>
        </w:trPr>
        <w:tc>
          <w:tcPr>
            <w:tcW w:w="0" w:type="auto"/>
            <w:gridSpan w:val="18"/>
            <w:shd w:val="clear" w:color="auto" w:fill="CCEEFF"/>
            <w:tcMar>
              <w:top w:w="40" w:type="dxa"/>
              <w:left w:w="20" w:type="dxa"/>
              <w:bottom w:w="40" w:type="dxa"/>
              <w:right w:w="20" w:type="dxa"/>
            </w:tcMar>
            <w:vAlign w:val="bottom"/>
          </w:tcPr>
          <w:p w14:paraId="74DD7E4A" w14:textId="77777777" w:rsidR="00584EC1" w:rsidRDefault="00871F8D">
            <w:pPr>
              <w:textAlignment w:val="bottom"/>
            </w:pPr>
            <w:r>
              <w:rPr>
                <w:rFonts w:ascii="Arial" w:eastAsia="宋体" w:hAnsi="Arial" w:cs="Arial"/>
                <w:color w:val="000000"/>
                <w:sz w:val="15"/>
                <w:szCs w:val="15"/>
              </w:rPr>
              <w:t>Multi-asset-class solutions:</w:t>
            </w:r>
          </w:p>
        </w:tc>
        <w:tc>
          <w:tcPr>
            <w:tcW w:w="0" w:type="auto"/>
            <w:shd w:val="clear" w:color="auto" w:fill="auto"/>
            <w:vAlign w:val="bottom"/>
          </w:tcPr>
          <w:p w14:paraId="74DD7E4B" w14:textId="77777777" w:rsidR="00584EC1" w:rsidRDefault="00584EC1">
            <w:pPr>
              <w:rPr>
                <w:rFonts w:ascii="宋体"/>
                <w:vanish/>
              </w:rPr>
            </w:pPr>
          </w:p>
        </w:tc>
        <w:tc>
          <w:tcPr>
            <w:tcW w:w="0" w:type="auto"/>
            <w:shd w:val="clear" w:color="auto" w:fill="auto"/>
            <w:vAlign w:val="bottom"/>
          </w:tcPr>
          <w:p w14:paraId="74DD7E4C" w14:textId="77777777" w:rsidR="00584EC1" w:rsidRDefault="00584EC1">
            <w:pPr>
              <w:rPr>
                <w:rFonts w:ascii="宋体"/>
                <w:vanish/>
              </w:rPr>
            </w:pPr>
          </w:p>
        </w:tc>
        <w:tc>
          <w:tcPr>
            <w:tcW w:w="0" w:type="auto"/>
            <w:shd w:val="clear" w:color="auto" w:fill="auto"/>
            <w:vAlign w:val="bottom"/>
          </w:tcPr>
          <w:p w14:paraId="74DD7E4D" w14:textId="77777777" w:rsidR="00584EC1" w:rsidRDefault="00584EC1">
            <w:pPr>
              <w:rPr>
                <w:rFonts w:ascii="宋体"/>
              </w:rPr>
            </w:pPr>
          </w:p>
        </w:tc>
        <w:tc>
          <w:tcPr>
            <w:tcW w:w="0" w:type="auto"/>
            <w:shd w:val="clear" w:color="auto" w:fill="auto"/>
            <w:vAlign w:val="bottom"/>
          </w:tcPr>
          <w:p w14:paraId="74DD7E4E" w14:textId="77777777" w:rsidR="00584EC1" w:rsidRDefault="00584EC1">
            <w:pPr>
              <w:rPr>
                <w:rFonts w:ascii="宋体"/>
              </w:rPr>
            </w:pPr>
          </w:p>
        </w:tc>
        <w:tc>
          <w:tcPr>
            <w:tcW w:w="0" w:type="auto"/>
            <w:shd w:val="clear" w:color="auto" w:fill="auto"/>
            <w:vAlign w:val="bottom"/>
          </w:tcPr>
          <w:p w14:paraId="74DD7E4F" w14:textId="77777777" w:rsidR="00584EC1" w:rsidRDefault="00584EC1">
            <w:pPr>
              <w:rPr>
                <w:rFonts w:ascii="宋体"/>
              </w:rPr>
            </w:pPr>
          </w:p>
        </w:tc>
        <w:tc>
          <w:tcPr>
            <w:tcW w:w="0" w:type="auto"/>
            <w:shd w:val="clear" w:color="auto" w:fill="auto"/>
            <w:vAlign w:val="bottom"/>
          </w:tcPr>
          <w:p w14:paraId="74DD7E50" w14:textId="77777777" w:rsidR="00584EC1" w:rsidRDefault="00584EC1">
            <w:pPr>
              <w:rPr>
                <w:rFonts w:ascii="宋体"/>
              </w:rPr>
            </w:pPr>
          </w:p>
        </w:tc>
        <w:tc>
          <w:tcPr>
            <w:tcW w:w="0" w:type="auto"/>
            <w:shd w:val="clear" w:color="auto" w:fill="auto"/>
            <w:vAlign w:val="bottom"/>
          </w:tcPr>
          <w:p w14:paraId="74DD7E51" w14:textId="77777777" w:rsidR="00584EC1" w:rsidRDefault="00584EC1">
            <w:pPr>
              <w:rPr>
                <w:rFonts w:ascii="宋体"/>
              </w:rPr>
            </w:pPr>
          </w:p>
        </w:tc>
        <w:tc>
          <w:tcPr>
            <w:tcW w:w="0" w:type="auto"/>
            <w:shd w:val="clear" w:color="auto" w:fill="auto"/>
            <w:vAlign w:val="bottom"/>
          </w:tcPr>
          <w:p w14:paraId="74DD7E52" w14:textId="77777777" w:rsidR="00584EC1" w:rsidRDefault="00584EC1">
            <w:pPr>
              <w:rPr>
                <w:rFonts w:ascii="宋体"/>
              </w:rPr>
            </w:pPr>
          </w:p>
        </w:tc>
        <w:tc>
          <w:tcPr>
            <w:tcW w:w="0" w:type="auto"/>
            <w:shd w:val="clear" w:color="auto" w:fill="auto"/>
            <w:vAlign w:val="bottom"/>
          </w:tcPr>
          <w:p w14:paraId="74DD7E53" w14:textId="77777777" w:rsidR="00584EC1" w:rsidRDefault="00584EC1">
            <w:pPr>
              <w:rPr>
                <w:rFonts w:ascii="宋体"/>
              </w:rPr>
            </w:pPr>
          </w:p>
        </w:tc>
        <w:tc>
          <w:tcPr>
            <w:tcW w:w="0" w:type="auto"/>
            <w:shd w:val="clear" w:color="auto" w:fill="auto"/>
            <w:vAlign w:val="bottom"/>
          </w:tcPr>
          <w:p w14:paraId="74DD7E54" w14:textId="77777777" w:rsidR="00584EC1" w:rsidRDefault="00584EC1">
            <w:pPr>
              <w:rPr>
                <w:rFonts w:ascii="宋体"/>
              </w:rPr>
            </w:pPr>
          </w:p>
        </w:tc>
        <w:tc>
          <w:tcPr>
            <w:tcW w:w="0" w:type="auto"/>
            <w:shd w:val="clear" w:color="auto" w:fill="auto"/>
            <w:vAlign w:val="bottom"/>
          </w:tcPr>
          <w:p w14:paraId="74DD7E55" w14:textId="77777777" w:rsidR="00584EC1" w:rsidRDefault="00584EC1">
            <w:pPr>
              <w:rPr>
                <w:rFonts w:ascii="宋体"/>
              </w:rPr>
            </w:pPr>
          </w:p>
        </w:tc>
        <w:tc>
          <w:tcPr>
            <w:tcW w:w="0" w:type="auto"/>
            <w:shd w:val="clear" w:color="auto" w:fill="auto"/>
            <w:vAlign w:val="bottom"/>
          </w:tcPr>
          <w:p w14:paraId="74DD7E56" w14:textId="77777777" w:rsidR="00584EC1" w:rsidRDefault="00584EC1">
            <w:pPr>
              <w:rPr>
                <w:rFonts w:ascii="宋体"/>
              </w:rPr>
            </w:pPr>
          </w:p>
        </w:tc>
        <w:tc>
          <w:tcPr>
            <w:tcW w:w="0" w:type="auto"/>
            <w:shd w:val="clear" w:color="auto" w:fill="auto"/>
            <w:vAlign w:val="bottom"/>
          </w:tcPr>
          <w:p w14:paraId="74DD7E57" w14:textId="77777777" w:rsidR="00584EC1" w:rsidRDefault="00584EC1">
            <w:pPr>
              <w:rPr>
                <w:rFonts w:ascii="宋体"/>
              </w:rPr>
            </w:pPr>
          </w:p>
        </w:tc>
        <w:tc>
          <w:tcPr>
            <w:tcW w:w="0" w:type="auto"/>
            <w:shd w:val="clear" w:color="auto" w:fill="auto"/>
            <w:vAlign w:val="bottom"/>
          </w:tcPr>
          <w:p w14:paraId="74DD7E58" w14:textId="77777777" w:rsidR="00584EC1" w:rsidRDefault="00584EC1">
            <w:pPr>
              <w:rPr>
                <w:rFonts w:ascii="宋体"/>
              </w:rPr>
            </w:pPr>
          </w:p>
        </w:tc>
        <w:tc>
          <w:tcPr>
            <w:tcW w:w="0" w:type="auto"/>
            <w:shd w:val="clear" w:color="auto" w:fill="auto"/>
            <w:vAlign w:val="bottom"/>
          </w:tcPr>
          <w:p w14:paraId="74DD7E59" w14:textId="77777777" w:rsidR="00584EC1" w:rsidRDefault="00584EC1">
            <w:pPr>
              <w:rPr>
                <w:rFonts w:ascii="宋体"/>
              </w:rPr>
            </w:pPr>
          </w:p>
        </w:tc>
        <w:tc>
          <w:tcPr>
            <w:tcW w:w="0" w:type="auto"/>
            <w:shd w:val="clear" w:color="auto" w:fill="auto"/>
            <w:vAlign w:val="bottom"/>
          </w:tcPr>
          <w:p w14:paraId="74DD7E5A" w14:textId="77777777" w:rsidR="00584EC1" w:rsidRDefault="00584EC1">
            <w:pPr>
              <w:rPr>
                <w:rFonts w:ascii="宋体"/>
              </w:rPr>
            </w:pPr>
          </w:p>
        </w:tc>
        <w:tc>
          <w:tcPr>
            <w:tcW w:w="0" w:type="auto"/>
            <w:shd w:val="clear" w:color="auto" w:fill="auto"/>
            <w:vAlign w:val="bottom"/>
          </w:tcPr>
          <w:p w14:paraId="74DD7E5B" w14:textId="77777777" w:rsidR="00584EC1" w:rsidRDefault="00584EC1">
            <w:pPr>
              <w:rPr>
                <w:rFonts w:ascii="宋体"/>
              </w:rPr>
            </w:pPr>
          </w:p>
        </w:tc>
        <w:tc>
          <w:tcPr>
            <w:tcW w:w="0" w:type="auto"/>
            <w:shd w:val="clear" w:color="auto" w:fill="auto"/>
            <w:vAlign w:val="bottom"/>
          </w:tcPr>
          <w:p w14:paraId="74DD7E5C" w14:textId="77777777" w:rsidR="00584EC1" w:rsidRDefault="00584EC1">
            <w:pPr>
              <w:rPr>
                <w:rFonts w:ascii="宋体"/>
              </w:rPr>
            </w:pPr>
          </w:p>
        </w:tc>
        <w:tc>
          <w:tcPr>
            <w:tcW w:w="0" w:type="auto"/>
            <w:shd w:val="clear" w:color="auto" w:fill="auto"/>
            <w:vAlign w:val="bottom"/>
          </w:tcPr>
          <w:p w14:paraId="74DD7E5D" w14:textId="77777777" w:rsidR="00584EC1" w:rsidRDefault="00584EC1">
            <w:pPr>
              <w:rPr>
                <w:rFonts w:ascii="宋体"/>
              </w:rPr>
            </w:pPr>
          </w:p>
        </w:tc>
        <w:tc>
          <w:tcPr>
            <w:tcW w:w="0" w:type="auto"/>
            <w:shd w:val="clear" w:color="auto" w:fill="auto"/>
            <w:vAlign w:val="bottom"/>
          </w:tcPr>
          <w:p w14:paraId="74DD7E5E" w14:textId="77777777" w:rsidR="00584EC1" w:rsidRDefault="00584EC1">
            <w:pPr>
              <w:rPr>
                <w:rFonts w:ascii="宋体"/>
              </w:rPr>
            </w:pPr>
          </w:p>
        </w:tc>
        <w:tc>
          <w:tcPr>
            <w:tcW w:w="0" w:type="auto"/>
            <w:shd w:val="clear" w:color="auto" w:fill="auto"/>
            <w:vAlign w:val="bottom"/>
          </w:tcPr>
          <w:p w14:paraId="74DD7E5F" w14:textId="77777777" w:rsidR="00584EC1" w:rsidRDefault="00584EC1">
            <w:pPr>
              <w:rPr>
                <w:rFonts w:ascii="宋体"/>
              </w:rPr>
            </w:pPr>
          </w:p>
        </w:tc>
        <w:tc>
          <w:tcPr>
            <w:tcW w:w="0" w:type="auto"/>
            <w:shd w:val="clear" w:color="auto" w:fill="auto"/>
            <w:vAlign w:val="bottom"/>
          </w:tcPr>
          <w:p w14:paraId="74DD7E60" w14:textId="77777777" w:rsidR="00584EC1" w:rsidRDefault="00584EC1">
            <w:pPr>
              <w:rPr>
                <w:rFonts w:ascii="宋体"/>
              </w:rPr>
            </w:pPr>
          </w:p>
        </w:tc>
        <w:tc>
          <w:tcPr>
            <w:tcW w:w="0" w:type="auto"/>
            <w:shd w:val="clear" w:color="auto" w:fill="auto"/>
            <w:vAlign w:val="bottom"/>
          </w:tcPr>
          <w:p w14:paraId="74DD7E61" w14:textId="77777777" w:rsidR="00584EC1" w:rsidRDefault="00584EC1">
            <w:pPr>
              <w:rPr>
                <w:rFonts w:ascii="宋体"/>
              </w:rPr>
            </w:pPr>
          </w:p>
        </w:tc>
        <w:tc>
          <w:tcPr>
            <w:tcW w:w="0" w:type="auto"/>
            <w:shd w:val="clear" w:color="auto" w:fill="auto"/>
            <w:vAlign w:val="bottom"/>
          </w:tcPr>
          <w:p w14:paraId="74DD7E62" w14:textId="77777777" w:rsidR="00584EC1" w:rsidRDefault="00584EC1">
            <w:pPr>
              <w:rPr>
                <w:rFonts w:ascii="宋体"/>
              </w:rPr>
            </w:pPr>
          </w:p>
        </w:tc>
        <w:tc>
          <w:tcPr>
            <w:tcW w:w="0" w:type="auto"/>
            <w:shd w:val="clear" w:color="auto" w:fill="auto"/>
            <w:vAlign w:val="bottom"/>
          </w:tcPr>
          <w:p w14:paraId="74DD7E63" w14:textId="77777777" w:rsidR="00584EC1" w:rsidRDefault="00584EC1">
            <w:pPr>
              <w:rPr>
                <w:rFonts w:ascii="宋体"/>
              </w:rPr>
            </w:pPr>
          </w:p>
        </w:tc>
        <w:tc>
          <w:tcPr>
            <w:tcW w:w="0" w:type="auto"/>
            <w:shd w:val="clear" w:color="auto" w:fill="auto"/>
            <w:vAlign w:val="bottom"/>
          </w:tcPr>
          <w:p w14:paraId="74DD7E64" w14:textId="77777777" w:rsidR="00584EC1" w:rsidRDefault="00584EC1">
            <w:pPr>
              <w:rPr>
                <w:rFonts w:ascii="宋体"/>
              </w:rPr>
            </w:pPr>
          </w:p>
        </w:tc>
      </w:tr>
      <w:tr w:rsidR="00584EC1" w14:paraId="74DD7E79" w14:textId="77777777">
        <w:trPr>
          <w:jc w:val="right"/>
        </w:trPr>
        <w:tc>
          <w:tcPr>
            <w:tcW w:w="0" w:type="auto"/>
            <w:gridSpan w:val="3"/>
            <w:shd w:val="clear" w:color="auto" w:fill="FFFFFF"/>
            <w:tcMar>
              <w:top w:w="40" w:type="dxa"/>
              <w:left w:w="20" w:type="dxa"/>
              <w:bottom w:w="40" w:type="dxa"/>
              <w:right w:w="20" w:type="dxa"/>
            </w:tcMar>
            <w:vAlign w:val="bottom"/>
          </w:tcPr>
          <w:p w14:paraId="74DD7E66" w14:textId="77777777" w:rsidR="00584EC1" w:rsidRDefault="00871F8D">
            <w:pPr>
              <w:textAlignment w:val="bottom"/>
            </w:pPr>
            <w:r>
              <w:rPr>
                <w:rFonts w:ascii="Arial" w:eastAsia="宋体" w:hAnsi="Arial" w:cs="Arial"/>
                <w:color w:val="000000"/>
                <w:sz w:val="15"/>
                <w:szCs w:val="15"/>
              </w:rPr>
              <w:t>  Active</w:t>
            </w:r>
          </w:p>
        </w:tc>
        <w:tc>
          <w:tcPr>
            <w:tcW w:w="0" w:type="auto"/>
            <w:gridSpan w:val="2"/>
            <w:shd w:val="clear" w:color="auto" w:fill="FFFFFF"/>
            <w:tcMar>
              <w:top w:w="40" w:type="dxa"/>
              <w:left w:w="20" w:type="dxa"/>
              <w:bottom w:w="40" w:type="dxa"/>
              <w:right w:w="0" w:type="dxa"/>
            </w:tcMar>
            <w:vAlign w:val="bottom"/>
          </w:tcPr>
          <w:p w14:paraId="74DD7E67" w14:textId="77777777" w:rsidR="00584EC1" w:rsidRDefault="00871F8D">
            <w:pPr>
              <w:jc w:val="right"/>
              <w:textAlignment w:val="bottom"/>
            </w:pPr>
            <w:r>
              <w:rPr>
                <w:rFonts w:ascii="Arial" w:eastAsia="宋体" w:hAnsi="Arial" w:cs="Arial"/>
                <w:b/>
                <w:bCs/>
                <w:color w:val="000000"/>
                <w:sz w:val="15"/>
                <w:szCs w:val="15"/>
              </w:rPr>
              <w:t>35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7E6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E6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E6A" w14:textId="77777777" w:rsidR="00584EC1" w:rsidRDefault="00871F8D">
            <w:pPr>
              <w:jc w:val="right"/>
              <w:textAlignment w:val="bottom"/>
            </w:pPr>
            <w:r>
              <w:rPr>
                <w:rFonts w:ascii="Arial" w:eastAsia="宋体" w:hAnsi="Arial" w:cs="Arial"/>
                <w:color w:val="000000"/>
                <w:sz w:val="15"/>
                <w:szCs w:val="15"/>
              </w:rPr>
              <w:t>40 </w:t>
            </w:r>
          </w:p>
        </w:tc>
        <w:tc>
          <w:tcPr>
            <w:tcW w:w="0" w:type="auto"/>
            <w:shd w:val="clear" w:color="auto" w:fill="FFFFFF"/>
            <w:tcMar>
              <w:top w:w="40" w:type="dxa"/>
              <w:left w:w="0" w:type="dxa"/>
              <w:bottom w:w="40" w:type="dxa"/>
              <w:right w:w="20" w:type="dxa"/>
            </w:tcMar>
            <w:vAlign w:val="bottom"/>
          </w:tcPr>
          <w:p w14:paraId="74DD7E6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E6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E6D" w14:textId="77777777" w:rsidR="00584EC1" w:rsidRDefault="00871F8D">
            <w:pPr>
              <w:jc w:val="right"/>
              <w:textAlignment w:val="bottom"/>
            </w:pPr>
            <w:r>
              <w:rPr>
                <w:rFonts w:ascii="Arial" w:eastAsia="宋体" w:hAnsi="Arial" w:cs="Arial"/>
                <w:color w:val="000000"/>
                <w:sz w:val="15"/>
                <w:szCs w:val="15"/>
              </w:rPr>
              <w:t>40 </w:t>
            </w:r>
          </w:p>
        </w:tc>
        <w:tc>
          <w:tcPr>
            <w:tcW w:w="0" w:type="auto"/>
            <w:shd w:val="clear" w:color="auto" w:fill="FFFFFF"/>
            <w:tcMar>
              <w:top w:w="40" w:type="dxa"/>
              <w:left w:w="0" w:type="dxa"/>
              <w:bottom w:w="40" w:type="dxa"/>
              <w:right w:w="20" w:type="dxa"/>
            </w:tcMar>
            <w:vAlign w:val="bottom"/>
          </w:tcPr>
          <w:p w14:paraId="74DD7E6E" w14:textId="77777777" w:rsidR="00584EC1" w:rsidRDefault="00584EC1">
            <w:pPr>
              <w:jc w:val="right"/>
              <w:rPr>
                <w:rFonts w:ascii="宋体"/>
              </w:rPr>
            </w:pPr>
          </w:p>
        </w:tc>
        <w:tc>
          <w:tcPr>
            <w:tcW w:w="0" w:type="auto"/>
            <w:shd w:val="clear" w:color="auto" w:fill="auto"/>
            <w:vAlign w:val="bottom"/>
          </w:tcPr>
          <w:p w14:paraId="74DD7E6F" w14:textId="77777777" w:rsidR="00584EC1" w:rsidRDefault="00584EC1">
            <w:pPr>
              <w:rPr>
                <w:rFonts w:ascii="宋体"/>
                <w:vanish/>
              </w:rPr>
            </w:pPr>
          </w:p>
        </w:tc>
        <w:tc>
          <w:tcPr>
            <w:tcW w:w="0" w:type="auto"/>
            <w:shd w:val="clear" w:color="auto" w:fill="auto"/>
            <w:vAlign w:val="bottom"/>
          </w:tcPr>
          <w:p w14:paraId="74DD7E70" w14:textId="77777777" w:rsidR="00584EC1" w:rsidRDefault="00584EC1">
            <w:pPr>
              <w:rPr>
                <w:rFonts w:ascii="宋体"/>
                <w:vanish/>
              </w:rPr>
            </w:pPr>
          </w:p>
        </w:tc>
        <w:tc>
          <w:tcPr>
            <w:tcW w:w="0" w:type="auto"/>
            <w:gridSpan w:val="3"/>
            <w:shd w:val="clear" w:color="auto" w:fill="auto"/>
            <w:vAlign w:val="bottom"/>
          </w:tcPr>
          <w:p w14:paraId="74DD7E71" w14:textId="77777777" w:rsidR="00584EC1" w:rsidRDefault="00584EC1">
            <w:pPr>
              <w:rPr>
                <w:rFonts w:ascii="宋体"/>
                <w:vanish/>
              </w:rPr>
            </w:pPr>
          </w:p>
        </w:tc>
        <w:tc>
          <w:tcPr>
            <w:tcW w:w="0" w:type="auto"/>
            <w:gridSpan w:val="3"/>
            <w:shd w:val="clear" w:color="auto" w:fill="auto"/>
            <w:vAlign w:val="bottom"/>
          </w:tcPr>
          <w:p w14:paraId="74DD7E72" w14:textId="77777777" w:rsidR="00584EC1" w:rsidRDefault="00584EC1">
            <w:pPr>
              <w:rPr>
                <w:rFonts w:ascii="宋体"/>
                <w:vanish/>
              </w:rPr>
            </w:pPr>
          </w:p>
        </w:tc>
        <w:tc>
          <w:tcPr>
            <w:tcW w:w="0" w:type="auto"/>
            <w:gridSpan w:val="3"/>
            <w:shd w:val="clear" w:color="auto" w:fill="auto"/>
            <w:vAlign w:val="bottom"/>
          </w:tcPr>
          <w:p w14:paraId="74DD7E73" w14:textId="77777777" w:rsidR="00584EC1" w:rsidRDefault="00584EC1">
            <w:pPr>
              <w:rPr>
                <w:rFonts w:ascii="宋体"/>
                <w:vanish/>
              </w:rPr>
            </w:pPr>
          </w:p>
        </w:tc>
        <w:tc>
          <w:tcPr>
            <w:tcW w:w="0" w:type="auto"/>
            <w:gridSpan w:val="3"/>
            <w:shd w:val="clear" w:color="auto" w:fill="auto"/>
            <w:vAlign w:val="bottom"/>
          </w:tcPr>
          <w:p w14:paraId="74DD7E74" w14:textId="77777777" w:rsidR="00584EC1" w:rsidRDefault="00584EC1">
            <w:pPr>
              <w:rPr>
                <w:rFonts w:ascii="宋体"/>
                <w:vanish/>
              </w:rPr>
            </w:pPr>
          </w:p>
        </w:tc>
        <w:tc>
          <w:tcPr>
            <w:tcW w:w="0" w:type="auto"/>
            <w:gridSpan w:val="3"/>
            <w:shd w:val="clear" w:color="auto" w:fill="auto"/>
            <w:vAlign w:val="bottom"/>
          </w:tcPr>
          <w:p w14:paraId="74DD7E75" w14:textId="77777777" w:rsidR="00584EC1" w:rsidRDefault="00584EC1">
            <w:pPr>
              <w:rPr>
                <w:rFonts w:ascii="宋体"/>
                <w:vanish/>
              </w:rPr>
            </w:pPr>
          </w:p>
        </w:tc>
        <w:tc>
          <w:tcPr>
            <w:tcW w:w="0" w:type="auto"/>
            <w:gridSpan w:val="3"/>
            <w:shd w:val="clear" w:color="auto" w:fill="auto"/>
            <w:vAlign w:val="bottom"/>
          </w:tcPr>
          <w:p w14:paraId="74DD7E76" w14:textId="77777777" w:rsidR="00584EC1" w:rsidRDefault="00584EC1">
            <w:pPr>
              <w:rPr>
                <w:rFonts w:ascii="宋体"/>
                <w:vanish/>
              </w:rPr>
            </w:pPr>
          </w:p>
        </w:tc>
        <w:tc>
          <w:tcPr>
            <w:tcW w:w="0" w:type="auto"/>
            <w:gridSpan w:val="3"/>
            <w:shd w:val="clear" w:color="auto" w:fill="auto"/>
            <w:vAlign w:val="bottom"/>
          </w:tcPr>
          <w:p w14:paraId="74DD7E77" w14:textId="77777777" w:rsidR="00584EC1" w:rsidRDefault="00584EC1">
            <w:pPr>
              <w:rPr>
                <w:rFonts w:ascii="宋体"/>
                <w:vanish/>
              </w:rPr>
            </w:pPr>
          </w:p>
        </w:tc>
        <w:tc>
          <w:tcPr>
            <w:tcW w:w="0" w:type="auto"/>
            <w:gridSpan w:val="3"/>
            <w:shd w:val="clear" w:color="auto" w:fill="auto"/>
            <w:vAlign w:val="bottom"/>
          </w:tcPr>
          <w:p w14:paraId="74DD7E78" w14:textId="77777777" w:rsidR="00584EC1" w:rsidRDefault="00584EC1">
            <w:pPr>
              <w:rPr>
                <w:rFonts w:ascii="宋体"/>
                <w:vanish/>
              </w:rPr>
            </w:pPr>
          </w:p>
        </w:tc>
      </w:tr>
      <w:tr w:rsidR="00584EC1" w14:paraId="74DD7E8D" w14:textId="77777777">
        <w:trPr>
          <w:jc w:val="right"/>
        </w:trPr>
        <w:tc>
          <w:tcPr>
            <w:tcW w:w="0" w:type="auto"/>
            <w:gridSpan w:val="3"/>
            <w:shd w:val="clear" w:color="auto" w:fill="CCEEFF"/>
            <w:tcMar>
              <w:top w:w="40" w:type="dxa"/>
              <w:left w:w="20" w:type="dxa"/>
              <w:bottom w:w="40" w:type="dxa"/>
              <w:right w:w="20" w:type="dxa"/>
            </w:tcMar>
            <w:vAlign w:val="bottom"/>
          </w:tcPr>
          <w:p w14:paraId="74DD7E7A" w14:textId="77777777" w:rsidR="00584EC1" w:rsidRDefault="00871F8D">
            <w:pPr>
              <w:textAlignment w:val="bottom"/>
            </w:pPr>
            <w:r>
              <w:rPr>
                <w:rFonts w:ascii="Arial" w:eastAsia="宋体" w:hAnsi="Arial" w:cs="Arial"/>
                <w:color w:val="000000"/>
                <w:sz w:val="15"/>
                <w:szCs w:val="15"/>
              </w:rPr>
              <w:t>  Passive</w:t>
            </w:r>
          </w:p>
        </w:tc>
        <w:tc>
          <w:tcPr>
            <w:tcW w:w="0" w:type="auto"/>
            <w:gridSpan w:val="2"/>
            <w:shd w:val="clear" w:color="auto" w:fill="CCEEFF"/>
            <w:tcMar>
              <w:top w:w="40" w:type="dxa"/>
              <w:left w:w="20" w:type="dxa"/>
              <w:bottom w:w="40" w:type="dxa"/>
              <w:right w:w="0" w:type="dxa"/>
            </w:tcMar>
            <w:vAlign w:val="bottom"/>
          </w:tcPr>
          <w:p w14:paraId="74DD7E7B" w14:textId="77777777" w:rsidR="00584EC1" w:rsidRDefault="00871F8D">
            <w:pPr>
              <w:jc w:val="right"/>
              <w:textAlignment w:val="bottom"/>
            </w:pPr>
            <w:r>
              <w:rPr>
                <w:rFonts w:ascii="Arial" w:eastAsia="宋体" w:hAnsi="Arial" w:cs="Arial"/>
                <w:b/>
                <w:bCs/>
                <w:color w:val="000000"/>
                <w:sz w:val="15"/>
                <w:szCs w:val="15"/>
              </w:rPr>
              <w:t>174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7E7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E7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7E7E" w14:textId="77777777" w:rsidR="00584EC1" w:rsidRDefault="00871F8D">
            <w:pPr>
              <w:jc w:val="right"/>
              <w:textAlignment w:val="bottom"/>
            </w:pPr>
            <w:r>
              <w:rPr>
                <w:rFonts w:ascii="Arial" w:eastAsia="宋体" w:hAnsi="Arial" w:cs="Arial"/>
                <w:color w:val="000000"/>
                <w:sz w:val="15"/>
                <w:szCs w:val="15"/>
              </w:rPr>
              <w:t>146 </w:t>
            </w:r>
          </w:p>
        </w:tc>
        <w:tc>
          <w:tcPr>
            <w:tcW w:w="0" w:type="auto"/>
            <w:shd w:val="clear" w:color="auto" w:fill="CCEEFF"/>
            <w:tcMar>
              <w:top w:w="40" w:type="dxa"/>
              <w:left w:w="0" w:type="dxa"/>
              <w:bottom w:w="40" w:type="dxa"/>
              <w:right w:w="20" w:type="dxa"/>
            </w:tcMar>
            <w:vAlign w:val="bottom"/>
          </w:tcPr>
          <w:p w14:paraId="74DD7E7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E8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7E81" w14:textId="77777777" w:rsidR="00584EC1" w:rsidRDefault="00871F8D">
            <w:pPr>
              <w:jc w:val="right"/>
              <w:textAlignment w:val="bottom"/>
            </w:pPr>
            <w:r>
              <w:rPr>
                <w:rFonts w:ascii="Arial" w:eastAsia="宋体" w:hAnsi="Arial" w:cs="Arial"/>
                <w:color w:val="000000"/>
                <w:sz w:val="15"/>
                <w:szCs w:val="15"/>
              </w:rPr>
              <w:t>124 </w:t>
            </w:r>
          </w:p>
        </w:tc>
        <w:tc>
          <w:tcPr>
            <w:tcW w:w="0" w:type="auto"/>
            <w:shd w:val="clear" w:color="auto" w:fill="CCEEFF"/>
            <w:tcMar>
              <w:top w:w="40" w:type="dxa"/>
              <w:left w:w="0" w:type="dxa"/>
              <w:bottom w:w="40" w:type="dxa"/>
              <w:right w:w="20" w:type="dxa"/>
            </w:tcMar>
            <w:vAlign w:val="bottom"/>
          </w:tcPr>
          <w:p w14:paraId="74DD7E82" w14:textId="77777777" w:rsidR="00584EC1" w:rsidRDefault="00584EC1">
            <w:pPr>
              <w:jc w:val="right"/>
              <w:rPr>
                <w:rFonts w:ascii="宋体"/>
              </w:rPr>
            </w:pPr>
          </w:p>
        </w:tc>
        <w:tc>
          <w:tcPr>
            <w:tcW w:w="0" w:type="auto"/>
            <w:shd w:val="clear" w:color="auto" w:fill="auto"/>
            <w:vAlign w:val="bottom"/>
          </w:tcPr>
          <w:p w14:paraId="74DD7E83" w14:textId="77777777" w:rsidR="00584EC1" w:rsidRDefault="00584EC1">
            <w:pPr>
              <w:rPr>
                <w:rFonts w:ascii="宋体"/>
                <w:vanish/>
              </w:rPr>
            </w:pPr>
          </w:p>
        </w:tc>
        <w:tc>
          <w:tcPr>
            <w:tcW w:w="0" w:type="auto"/>
            <w:shd w:val="clear" w:color="auto" w:fill="auto"/>
            <w:vAlign w:val="bottom"/>
          </w:tcPr>
          <w:p w14:paraId="74DD7E84" w14:textId="77777777" w:rsidR="00584EC1" w:rsidRDefault="00584EC1">
            <w:pPr>
              <w:rPr>
                <w:rFonts w:ascii="宋体"/>
                <w:vanish/>
              </w:rPr>
            </w:pPr>
          </w:p>
        </w:tc>
        <w:tc>
          <w:tcPr>
            <w:tcW w:w="0" w:type="auto"/>
            <w:gridSpan w:val="3"/>
            <w:shd w:val="clear" w:color="auto" w:fill="auto"/>
            <w:vAlign w:val="bottom"/>
          </w:tcPr>
          <w:p w14:paraId="74DD7E85" w14:textId="77777777" w:rsidR="00584EC1" w:rsidRDefault="00584EC1">
            <w:pPr>
              <w:rPr>
                <w:rFonts w:ascii="宋体"/>
                <w:vanish/>
              </w:rPr>
            </w:pPr>
          </w:p>
        </w:tc>
        <w:tc>
          <w:tcPr>
            <w:tcW w:w="0" w:type="auto"/>
            <w:gridSpan w:val="3"/>
            <w:shd w:val="clear" w:color="auto" w:fill="auto"/>
            <w:vAlign w:val="bottom"/>
          </w:tcPr>
          <w:p w14:paraId="74DD7E86" w14:textId="77777777" w:rsidR="00584EC1" w:rsidRDefault="00584EC1">
            <w:pPr>
              <w:rPr>
                <w:rFonts w:ascii="宋体"/>
                <w:vanish/>
              </w:rPr>
            </w:pPr>
          </w:p>
        </w:tc>
        <w:tc>
          <w:tcPr>
            <w:tcW w:w="0" w:type="auto"/>
            <w:gridSpan w:val="3"/>
            <w:shd w:val="clear" w:color="auto" w:fill="auto"/>
            <w:vAlign w:val="bottom"/>
          </w:tcPr>
          <w:p w14:paraId="74DD7E87" w14:textId="77777777" w:rsidR="00584EC1" w:rsidRDefault="00584EC1">
            <w:pPr>
              <w:rPr>
                <w:rFonts w:ascii="宋体"/>
                <w:vanish/>
              </w:rPr>
            </w:pPr>
          </w:p>
        </w:tc>
        <w:tc>
          <w:tcPr>
            <w:tcW w:w="0" w:type="auto"/>
            <w:gridSpan w:val="3"/>
            <w:shd w:val="clear" w:color="auto" w:fill="auto"/>
            <w:vAlign w:val="bottom"/>
          </w:tcPr>
          <w:p w14:paraId="74DD7E88" w14:textId="77777777" w:rsidR="00584EC1" w:rsidRDefault="00584EC1">
            <w:pPr>
              <w:rPr>
                <w:rFonts w:ascii="宋体"/>
                <w:vanish/>
              </w:rPr>
            </w:pPr>
          </w:p>
        </w:tc>
        <w:tc>
          <w:tcPr>
            <w:tcW w:w="0" w:type="auto"/>
            <w:gridSpan w:val="3"/>
            <w:shd w:val="clear" w:color="auto" w:fill="auto"/>
            <w:vAlign w:val="bottom"/>
          </w:tcPr>
          <w:p w14:paraId="74DD7E89" w14:textId="77777777" w:rsidR="00584EC1" w:rsidRDefault="00584EC1">
            <w:pPr>
              <w:rPr>
                <w:rFonts w:ascii="宋体"/>
                <w:vanish/>
              </w:rPr>
            </w:pPr>
          </w:p>
        </w:tc>
        <w:tc>
          <w:tcPr>
            <w:tcW w:w="0" w:type="auto"/>
            <w:gridSpan w:val="3"/>
            <w:shd w:val="clear" w:color="auto" w:fill="auto"/>
            <w:vAlign w:val="bottom"/>
          </w:tcPr>
          <w:p w14:paraId="74DD7E8A" w14:textId="77777777" w:rsidR="00584EC1" w:rsidRDefault="00584EC1">
            <w:pPr>
              <w:rPr>
                <w:rFonts w:ascii="宋体"/>
                <w:vanish/>
              </w:rPr>
            </w:pPr>
          </w:p>
        </w:tc>
        <w:tc>
          <w:tcPr>
            <w:tcW w:w="0" w:type="auto"/>
            <w:gridSpan w:val="3"/>
            <w:shd w:val="clear" w:color="auto" w:fill="auto"/>
            <w:vAlign w:val="bottom"/>
          </w:tcPr>
          <w:p w14:paraId="74DD7E8B" w14:textId="77777777" w:rsidR="00584EC1" w:rsidRDefault="00584EC1">
            <w:pPr>
              <w:rPr>
                <w:rFonts w:ascii="宋体"/>
                <w:vanish/>
              </w:rPr>
            </w:pPr>
          </w:p>
        </w:tc>
        <w:tc>
          <w:tcPr>
            <w:tcW w:w="0" w:type="auto"/>
            <w:gridSpan w:val="3"/>
            <w:shd w:val="clear" w:color="auto" w:fill="auto"/>
            <w:vAlign w:val="bottom"/>
          </w:tcPr>
          <w:p w14:paraId="74DD7E8C" w14:textId="77777777" w:rsidR="00584EC1" w:rsidRDefault="00584EC1">
            <w:pPr>
              <w:rPr>
                <w:rFonts w:ascii="宋体"/>
                <w:vanish/>
              </w:rPr>
            </w:pPr>
          </w:p>
        </w:tc>
      </w:tr>
      <w:tr w:rsidR="00584EC1" w14:paraId="74DD7EA1" w14:textId="77777777">
        <w:trPr>
          <w:jc w:val="right"/>
        </w:trPr>
        <w:tc>
          <w:tcPr>
            <w:tcW w:w="0" w:type="auto"/>
            <w:gridSpan w:val="3"/>
            <w:shd w:val="clear" w:color="auto" w:fill="FFFFFF"/>
            <w:tcMar>
              <w:top w:w="40" w:type="dxa"/>
              <w:left w:w="20" w:type="dxa"/>
              <w:bottom w:w="40" w:type="dxa"/>
              <w:right w:w="20" w:type="dxa"/>
            </w:tcMar>
            <w:vAlign w:val="bottom"/>
          </w:tcPr>
          <w:p w14:paraId="74DD7E8E" w14:textId="77777777" w:rsidR="00584EC1" w:rsidRDefault="00871F8D">
            <w:pPr>
              <w:textAlignment w:val="bottom"/>
            </w:pPr>
            <w:r>
              <w:rPr>
                <w:rFonts w:ascii="Arial" w:eastAsia="宋体" w:hAnsi="Arial" w:cs="Arial"/>
                <w:color w:val="000000"/>
                <w:sz w:val="15"/>
                <w:szCs w:val="15"/>
              </w:rPr>
              <w:t>Total multi-asset-class solutions</w:t>
            </w:r>
            <w:r>
              <w:rPr>
                <w:rFonts w:ascii="Arial" w:eastAsia="宋体" w:hAnsi="Arial" w:cs="Arial"/>
                <w:color w:val="000000"/>
                <w:sz w:val="9"/>
                <w:szCs w:val="9"/>
              </w:rPr>
              <w:t>(1)</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7E8F" w14:textId="77777777" w:rsidR="00584EC1" w:rsidRDefault="00871F8D">
            <w:pPr>
              <w:jc w:val="right"/>
              <w:textAlignment w:val="bottom"/>
            </w:pPr>
            <w:r>
              <w:rPr>
                <w:rFonts w:ascii="Arial" w:eastAsia="宋体" w:hAnsi="Arial" w:cs="Arial"/>
                <w:b/>
                <w:bCs/>
                <w:color w:val="000000"/>
                <w:sz w:val="15"/>
                <w:szCs w:val="15"/>
              </w:rPr>
              <w:t>209</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7E9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E91"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7E92" w14:textId="77777777" w:rsidR="00584EC1" w:rsidRDefault="00871F8D">
            <w:pPr>
              <w:jc w:val="right"/>
              <w:textAlignment w:val="bottom"/>
            </w:pPr>
            <w:r>
              <w:rPr>
                <w:rFonts w:ascii="Arial" w:eastAsia="宋体" w:hAnsi="Arial" w:cs="Arial"/>
                <w:color w:val="000000"/>
                <w:sz w:val="15"/>
                <w:szCs w:val="15"/>
              </w:rPr>
              <w:t>186 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7E9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E94"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7E95" w14:textId="77777777" w:rsidR="00584EC1" w:rsidRDefault="00871F8D">
            <w:pPr>
              <w:jc w:val="right"/>
              <w:textAlignment w:val="bottom"/>
            </w:pPr>
            <w:r>
              <w:rPr>
                <w:rFonts w:ascii="Arial" w:eastAsia="宋体" w:hAnsi="Arial" w:cs="Arial"/>
                <w:color w:val="000000"/>
                <w:sz w:val="15"/>
                <w:szCs w:val="15"/>
              </w:rPr>
              <w:t>164 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7E96" w14:textId="77777777" w:rsidR="00584EC1" w:rsidRDefault="00584EC1">
            <w:pPr>
              <w:jc w:val="right"/>
              <w:rPr>
                <w:rFonts w:ascii="宋体"/>
              </w:rPr>
            </w:pPr>
          </w:p>
        </w:tc>
        <w:tc>
          <w:tcPr>
            <w:tcW w:w="0" w:type="auto"/>
            <w:shd w:val="clear" w:color="auto" w:fill="auto"/>
            <w:vAlign w:val="bottom"/>
          </w:tcPr>
          <w:p w14:paraId="74DD7E97" w14:textId="77777777" w:rsidR="00584EC1" w:rsidRDefault="00584EC1">
            <w:pPr>
              <w:rPr>
                <w:rFonts w:ascii="宋体"/>
                <w:vanish/>
              </w:rPr>
            </w:pPr>
          </w:p>
        </w:tc>
        <w:tc>
          <w:tcPr>
            <w:tcW w:w="0" w:type="auto"/>
            <w:shd w:val="clear" w:color="auto" w:fill="auto"/>
            <w:vAlign w:val="bottom"/>
          </w:tcPr>
          <w:p w14:paraId="74DD7E98" w14:textId="77777777" w:rsidR="00584EC1" w:rsidRDefault="00584EC1">
            <w:pPr>
              <w:rPr>
                <w:rFonts w:ascii="宋体"/>
                <w:vanish/>
              </w:rPr>
            </w:pPr>
          </w:p>
        </w:tc>
        <w:tc>
          <w:tcPr>
            <w:tcW w:w="0" w:type="auto"/>
            <w:gridSpan w:val="3"/>
            <w:shd w:val="clear" w:color="auto" w:fill="auto"/>
            <w:vAlign w:val="bottom"/>
          </w:tcPr>
          <w:p w14:paraId="74DD7E99" w14:textId="77777777" w:rsidR="00584EC1" w:rsidRDefault="00584EC1">
            <w:pPr>
              <w:rPr>
                <w:rFonts w:ascii="宋体"/>
                <w:vanish/>
              </w:rPr>
            </w:pPr>
          </w:p>
        </w:tc>
        <w:tc>
          <w:tcPr>
            <w:tcW w:w="0" w:type="auto"/>
            <w:gridSpan w:val="3"/>
            <w:shd w:val="clear" w:color="auto" w:fill="auto"/>
            <w:vAlign w:val="bottom"/>
          </w:tcPr>
          <w:p w14:paraId="74DD7E9A" w14:textId="77777777" w:rsidR="00584EC1" w:rsidRDefault="00584EC1">
            <w:pPr>
              <w:rPr>
                <w:rFonts w:ascii="宋体"/>
                <w:vanish/>
              </w:rPr>
            </w:pPr>
          </w:p>
        </w:tc>
        <w:tc>
          <w:tcPr>
            <w:tcW w:w="0" w:type="auto"/>
            <w:gridSpan w:val="3"/>
            <w:shd w:val="clear" w:color="auto" w:fill="auto"/>
            <w:vAlign w:val="bottom"/>
          </w:tcPr>
          <w:p w14:paraId="74DD7E9B" w14:textId="77777777" w:rsidR="00584EC1" w:rsidRDefault="00584EC1">
            <w:pPr>
              <w:rPr>
                <w:rFonts w:ascii="宋体"/>
                <w:vanish/>
              </w:rPr>
            </w:pPr>
          </w:p>
        </w:tc>
        <w:tc>
          <w:tcPr>
            <w:tcW w:w="0" w:type="auto"/>
            <w:gridSpan w:val="3"/>
            <w:shd w:val="clear" w:color="auto" w:fill="auto"/>
            <w:vAlign w:val="bottom"/>
          </w:tcPr>
          <w:p w14:paraId="74DD7E9C" w14:textId="77777777" w:rsidR="00584EC1" w:rsidRDefault="00584EC1">
            <w:pPr>
              <w:rPr>
                <w:rFonts w:ascii="宋体"/>
                <w:vanish/>
              </w:rPr>
            </w:pPr>
          </w:p>
        </w:tc>
        <w:tc>
          <w:tcPr>
            <w:tcW w:w="0" w:type="auto"/>
            <w:gridSpan w:val="3"/>
            <w:shd w:val="clear" w:color="auto" w:fill="auto"/>
            <w:vAlign w:val="bottom"/>
          </w:tcPr>
          <w:p w14:paraId="74DD7E9D" w14:textId="77777777" w:rsidR="00584EC1" w:rsidRDefault="00584EC1">
            <w:pPr>
              <w:rPr>
                <w:rFonts w:ascii="宋体"/>
                <w:vanish/>
              </w:rPr>
            </w:pPr>
          </w:p>
        </w:tc>
        <w:tc>
          <w:tcPr>
            <w:tcW w:w="0" w:type="auto"/>
            <w:gridSpan w:val="3"/>
            <w:shd w:val="clear" w:color="auto" w:fill="auto"/>
            <w:vAlign w:val="bottom"/>
          </w:tcPr>
          <w:p w14:paraId="74DD7E9E" w14:textId="77777777" w:rsidR="00584EC1" w:rsidRDefault="00584EC1">
            <w:pPr>
              <w:rPr>
                <w:rFonts w:ascii="宋体"/>
                <w:vanish/>
              </w:rPr>
            </w:pPr>
          </w:p>
        </w:tc>
        <w:tc>
          <w:tcPr>
            <w:tcW w:w="0" w:type="auto"/>
            <w:gridSpan w:val="3"/>
            <w:shd w:val="clear" w:color="auto" w:fill="auto"/>
            <w:vAlign w:val="bottom"/>
          </w:tcPr>
          <w:p w14:paraId="74DD7E9F" w14:textId="77777777" w:rsidR="00584EC1" w:rsidRDefault="00584EC1">
            <w:pPr>
              <w:rPr>
                <w:rFonts w:ascii="宋体"/>
                <w:vanish/>
              </w:rPr>
            </w:pPr>
          </w:p>
        </w:tc>
        <w:tc>
          <w:tcPr>
            <w:tcW w:w="0" w:type="auto"/>
            <w:gridSpan w:val="3"/>
            <w:shd w:val="clear" w:color="auto" w:fill="auto"/>
            <w:vAlign w:val="bottom"/>
          </w:tcPr>
          <w:p w14:paraId="74DD7EA0" w14:textId="77777777" w:rsidR="00584EC1" w:rsidRDefault="00584EC1">
            <w:pPr>
              <w:rPr>
                <w:rFonts w:ascii="宋体"/>
                <w:vanish/>
              </w:rPr>
            </w:pPr>
          </w:p>
        </w:tc>
      </w:tr>
      <w:tr w:rsidR="00584EC1" w14:paraId="74DD7EBD" w14:textId="77777777">
        <w:trPr>
          <w:jc w:val="right"/>
        </w:trPr>
        <w:tc>
          <w:tcPr>
            <w:tcW w:w="0" w:type="auto"/>
            <w:gridSpan w:val="18"/>
            <w:shd w:val="clear" w:color="auto" w:fill="CCEEFF"/>
            <w:tcMar>
              <w:top w:w="40" w:type="dxa"/>
              <w:left w:w="20" w:type="dxa"/>
              <w:bottom w:w="40" w:type="dxa"/>
              <w:right w:w="20" w:type="dxa"/>
            </w:tcMar>
            <w:vAlign w:val="bottom"/>
          </w:tcPr>
          <w:p w14:paraId="74DD7EA2" w14:textId="77777777" w:rsidR="00584EC1" w:rsidRDefault="00871F8D">
            <w:pPr>
              <w:textAlignment w:val="bottom"/>
            </w:pPr>
            <w:r>
              <w:rPr>
                <w:rFonts w:ascii="Arial" w:eastAsia="宋体" w:hAnsi="Arial" w:cs="Arial"/>
                <w:color w:val="000000"/>
                <w:sz w:val="15"/>
                <w:szCs w:val="15"/>
              </w:rPr>
              <w:t>Alternative investments</w:t>
            </w:r>
            <w:r>
              <w:rPr>
                <w:rFonts w:ascii="Arial" w:eastAsia="宋体" w:hAnsi="Arial" w:cs="Arial"/>
                <w:color w:val="000000"/>
                <w:sz w:val="9"/>
                <w:szCs w:val="9"/>
              </w:rPr>
              <w:t>(3)</w:t>
            </w:r>
            <w:r>
              <w:rPr>
                <w:rFonts w:ascii="Arial" w:eastAsia="宋体" w:hAnsi="Arial" w:cs="Arial"/>
                <w:color w:val="000000"/>
                <w:sz w:val="15"/>
                <w:szCs w:val="15"/>
              </w:rPr>
              <w:t>:</w:t>
            </w:r>
          </w:p>
        </w:tc>
        <w:tc>
          <w:tcPr>
            <w:tcW w:w="0" w:type="auto"/>
            <w:shd w:val="clear" w:color="auto" w:fill="auto"/>
            <w:vAlign w:val="bottom"/>
          </w:tcPr>
          <w:p w14:paraId="74DD7EA3" w14:textId="77777777" w:rsidR="00584EC1" w:rsidRDefault="00584EC1">
            <w:pPr>
              <w:rPr>
                <w:rFonts w:ascii="宋体"/>
                <w:vanish/>
              </w:rPr>
            </w:pPr>
          </w:p>
        </w:tc>
        <w:tc>
          <w:tcPr>
            <w:tcW w:w="0" w:type="auto"/>
            <w:shd w:val="clear" w:color="auto" w:fill="auto"/>
            <w:vAlign w:val="bottom"/>
          </w:tcPr>
          <w:p w14:paraId="74DD7EA4" w14:textId="77777777" w:rsidR="00584EC1" w:rsidRDefault="00584EC1">
            <w:pPr>
              <w:rPr>
                <w:rFonts w:ascii="宋体"/>
                <w:vanish/>
              </w:rPr>
            </w:pPr>
          </w:p>
        </w:tc>
        <w:tc>
          <w:tcPr>
            <w:tcW w:w="0" w:type="auto"/>
            <w:shd w:val="clear" w:color="auto" w:fill="auto"/>
            <w:vAlign w:val="bottom"/>
          </w:tcPr>
          <w:p w14:paraId="74DD7EA5" w14:textId="77777777" w:rsidR="00584EC1" w:rsidRDefault="00584EC1">
            <w:pPr>
              <w:rPr>
                <w:rFonts w:ascii="宋体"/>
              </w:rPr>
            </w:pPr>
          </w:p>
        </w:tc>
        <w:tc>
          <w:tcPr>
            <w:tcW w:w="0" w:type="auto"/>
            <w:shd w:val="clear" w:color="auto" w:fill="auto"/>
            <w:vAlign w:val="bottom"/>
          </w:tcPr>
          <w:p w14:paraId="74DD7EA6" w14:textId="77777777" w:rsidR="00584EC1" w:rsidRDefault="00584EC1">
            <w:pPr>
              <w:rPr>
                <w:rFonts w:ascii="宋体"/>
              </w:rPr>
            </w:pPr>
          </w:p>
        </w:tc>
        <w:tc>
          <w:tcPr>
            <w:tcW w:w="0" w:type="auto"/>
            <w:shd w:val="clear" w:color="auto" w:fill="auto"/>
            <w:vAlign w:val="bottom"/>
          </w:tcPr>
          <w:p w14:paraId="74DD7EA7" w14:textId="77777777" w:rsidR="00584EC1" w:rsidRDefault="00584EC1">
            <w:pPr>
              <w:rPr>
                <w:rFonts w:ascii="宋体"/>
              </w:rPr>
            </w:pPr>
          </w:p>
        </w:tc>
        <w:tc>
          <w:tcPr>
            <w:tcW w:w="0" w:type="auto"/>
            <w:shd w:val="clear" w:color="auto" w:fill="auto"/>
            <w:vAlign w:val="bottom"/>
          </w:tcPr>
          <w:p w14:paraId="74DD7EA8" w14:textId="77777777" w:rsidR="00584EC1" w:rsidRDefault="00584EC1">
            <w:pPr>
              <w:rPr>
                <w:rFonts w:ascii="宋体"/>
              </w:rPr>
            </w:pPr>
          </w:p>
        </w:tc>
        <w:tc>
          <w:tcPr>
            <w:tcW w:w="0" w:type="auto"/>
            <w:shd w:val="clear" w:color="auto" w:fill="auto"/>
            <w:vAlign w:val="bottom"/>
          </w:tcPr>
          <w:p w14:paraId="74DD7EA9" w14:textId="77777777" w:rsidR="00584EC1" w:rsidRDefault="00584EC1">
            <w:pPr>
              <w:rPr>
                <w:rFonts w:ascii="宋体"/>
              </w:rPr>
            </w:pPr>
          </w:p>
        </w:tc>
        <w:tc>
          <w:tcPr>
            <w:tcW w:w="0" w:type="auto"/>
            <w:shd w:val="clear" w:color="auto" w:fill="auto"/>
            <w:vAlign w:val="bottom"/>
          </w:tcPr>
          <w:p w14:paraId="74DD7EAA" w14:textId="77777777" w:rsidR="00584EC1" w:rsidRDefault="00584EC1">
            <w:pPr>
              <w:rPr>
                <w:rFonts w:ascii="宋体"/>
              </w:rPr>
            </w:pPr>
          </w:p>
        </w:tc>
        <w:tc>
          <w:tcPr>
            <w:tcW w:w="0" w:type="auto"/>
            <w:shd w:val="clear" w:color="auto" w:fill="auto"/>
            <w:vAlign w:val="bottom"/>
          </w:tcPr>
          <w:p w14:paraId="74DD7EAB" w14:textId="77777777" w:rsidR="00584EC1" w:rsidRDefault="00584EC1">
            <w:pPr>
              <w:rPr>
                <w:rFonts w:ascii="宋体"/>
              </w:rPr>
            </w:pPr>
          </w:p>
        </w:tc>
        <w:tc>
          <w:tcPr>
            <w:tcW w:w="0" w:type="auto"/>
            <w:shd w:val="clear" w:color="auto" w:fill="auto"/>
            <w:vAlign w:val="bottom"/>
          </w:tcPr>
          <w:p w14:paraId="74DD7EAC" w14:textId="77777777" w:rsidR="00584EC1" w:rsidRDefault="00584EC1">
            <w:pPr>
              <w:rPr>
                <w:rFonts w:ascii="宋体"/>
              </w:rPr>
            </w:pPr>
          </w:p>
        </w:tc>
        <w:tc>
          <w:tcPr>
            <w:tcW w:w="0" w:type="auto"/>
            <w:shd w:val="clear" w:color="auto" w:fill="auto"/>
            <w:vAlign w:val="bottom"/>
          </w:tcPr>
          <w:p w14:paraId="74DD7EAD" w14:textId="77777777" w:rsidR="00584EC1" w:rsidRDefault="00584EC1">
            <w:pPr>
              <w:rPr>
                <w:rFonts w:ascii="宋体"/>
              </w:rPr>
            </w:pPr>
          </w:p>
        </w:tc>
        <w:tc>
          <w:tcPr>
            <w:tcW w:w="0" w:type="auto"/>
            <w:shd w:val="clear" w:color="auto" w:fill="auto"/>
            <w:vAlign w:val="bottom"/>
          </w:tcPr>
          <w:p w14:paraId="74DD7EAE" w14:textId="77777777" w:rsidR="00584EC1" w:rsidRDefault="00584EC1">
            <w:pPr>
              <w:rPr>
                <w:rFonts w:ascii="宋体"/>
              </w:rPr>
            </w:pPr>
          </w:p>
        </w:tc>
        <w:tc>
          <w:tcPr>
            <w:tcW w:w="0" w:type="auto"/>
            <w:shd w:val="clear" w:color="auto" w:fill="auto"/>
            <w:vAlign w:val="bottom"/>
          </w:tcPr>
          <w:p w14:paraId="74DD7EAF" w14:textId="77777777" w:rsidR="00584EC1" w:rsidRDefault="00584EC1">
            <w:pPr>
              <w:rPr>
                <w:rFonts w:ascii="宋体"/>
              </w:rPr>
            </w:pPr>
          </w:p>
        </w:tc>
        <w:tc>
          <w:tcPr>
            <w:tcW w:w="0" w:type="auto"/>
            <w:shd w:val="clear" w:color="auto" w:fill="auto"/>
            <w:vAlign w:val="bottom"/>
          </w:tcPr>
          <w:p w14:paraId="74DD7EB0" w14:textId="77777777" w:rsidR="00584EC1" w:rsidRDefault="00584EC1">
            <w:pPr>
              <w:rPr>
                <w:rFonts w:ascii="宋体"/>
              </w:rPr>
            </w:pPr>
          </w:p>
        </w:tc>
        <w:tc>
          <w:tcPr>
            <w:tcW w:w="0" w:type="auto"/>
            <w:shd w:val="clear" w:color="auto" w:fill="auto"/>
            <w:vAlign w:val="bottom"/>
          </w:tcPr>
          <w:p w14:paraId="74DD7EB1" w14:textId="77777777" w:rsidR="00584EC1" w:rsidRDefault="00584EC1">
            <w:pPr>
              <w:rPr>
                <w:rFonts w:ascii="宋体"/>
              </w:rPr>
            </w:pPr>
          </w:p>
        </w:tc>
        <w:tc>
          <w:tcPr>
            <w:tcW w:w="0" w:type="auto"/>
            <w:shd w:val="clear" w:color="auto" w:fill="auto"/>
            <w:vAlign w:val="bottom"/>
          </w:tcPr>
          <w:p w14:paraId="74DD7EB2" w14:textId="77777777" w:rsidR="00584EC1" w:rsidRDefault="00584EC1">
            <w:pPr>
              <w:rPr>
                <w:rFonts w:ascii="宋体"/>
              </w:rPr>
            </w:pPr>
          </w:p>
        </w:tc>
        <w:tc>
          <w:tcPr>
            <w:tcW w:w="0" w:type="auto"/>
            <w:shd w:val="clear" w:color="auto" w:fill="auto"/>
            <w:vAlign w:val="bottom"/>
          </w:tcPr>
          <w:p w14:paraId="74DD7EB3" w14:textId="77777777" w:rsidR="00584EC1" w:rsidRDefault="00584EC1">
            <w:pPr>
              <w:rPr>
                <w:rFonts w:ascii="宋体"/>
              </w:rPr>
            </w:pPr>
          </w:p>
        </w:tc>
        <w:tc>
          <w:tcPr>
            <w:tcW w:w="0" w:type="auto"/>
            <w:shd w:val="clear" w:color="auto" w:fill="auto"/>
            <w:vAlign w:val="bottom"/>
          </w:tcPr>
          <w:p w14:paraId="74DD7EB4" w14:textId="77777777" w:rsidR="00584EC1" w:rsidRDefault="00584EC1">
            <w:pPr>
              <w:rPr>
                <w:rFonts w:ascii="宋体"/>
              </w:rPr>
            </w:pPr>
          </w:p>
        </w:tc>
        <w:tc>
          <w:tcPr>
            <w:tcW w:w="0" w:type="auto"/>
            <w:shd w:val="clear" w:color="auto" w:fill="auto"/>
            <w:vAlign w:val="bottom"/>
          </w:tcPr>
          <w:p w14:paraId="74DD7EB5" w14:textId="77777777" w:rsidR="00584EC1" w:rsidRDefault="00584EC1">
            <w:pPr>
              <w:rPr>
                <w:rFonts w:ascii="宋体"/>
              </w:rPr>
            </w:pPr>
          </w:p>
        </w:tc>
        <w:tc>
          <w:tcPr>
            <w:tcW w:w="0" w:type="auto"/>
            <w:shd w:val="clear" w:color="auto" w:fill="auto"/>
            <w:vAlign w:val="bottom"/>
          </w:tcPr>
          <w:p w14:paraId="74DD7EB6" w14:textId="77777777" w:rsidR="00584EC1" w:rsidRDefault="00584EC1">
            <w:pPr>
              <w:rPr>
                <w:rFonts w:ascii="宋体"/>
              </w:rPr>
            </w:pPr>
          </w:p>
        </w:tc>
        <w:tc>
          <w:tcPr>
            <w:tcW w:w="0" w:type="auto"/>
            <w:shd w:val="clear" w:color="auto" w:fill="auto"/>
            <w:vAlign w:val="bottom"/>
          </w:tcPr>
          <w:p w14:paraId="74DD7EB7" w14:textId="77777777" w:rsidR="00584EC1" w:rsidRDefault="00584EC1">
            <w:pPr>
              <w:rPr>
                <w:rFonts w:ascii="宋体"/>
              </w:rPr>
            </w:pPr>
          </w:p>
        </w:tc>
        <w:tc>
          <w:tcPr>
            <w:tcW w:w="0" w:type="auto"/>
            <w:shd w:val="clear" w:color="auto" w:fill="auto"/>
            <w:vAlign w:val="bottom"/>
          </w:tcPr>
          <w:p w14:paraId="74DD7EB8" w14:textId="77777777" w:rsidR="00584EC1" w:rsidRDefault="00584EC1">
            <w:pPr>
              <w:rPr>
                <w:rFonts w:ascii="宋体"/>
              </w:rPr>
            </w:pPr>
          </w:p>
        </w:tc>
        <w:tc>
          <w:tcPr>
            <w:tcW w:w="0" w:type="auto"/>
            <w:shd w:val="clear" w:color="auto" w:fill="auto"/>
            <w:vAlign w:val="bottom"/>
          </w:tcPr>
          <w:p w14:paraId="74DD7EB9" w14:textId="77777777" w:rsidR="00584EC1" w:rsidRDefault="00584EC1">
            <w:pPr>
              <w:rPr>
                <w:rFonts w:ascii="宋体"/>
              </w:rPr>
            </w:pPr>
          </w:p>
        </w:tc>
        <w:tc>
          <w:tcPr>
            <w:tcW w:w="0" w:type="auto"/>
            <w:shd w:val="clear" w:color="auto" w:fill="auto"/>
            <w:vAlign w:val="bottom"/>
          </w:tcPr>
          <w:p w14:paraId="74DD7EBA" w14:textId="77777777" w:rsidR="00584EC1" w:rsidRDefault="00584EC1">
            <w:pPr>
              <w:rPr>
                <w:rFonts w:ascii="宋体"/>
              </w:rPr>
            </w:pPr>
          </w:p>
        </w:tc>
        <w:tc>
          <w:tcPr>
            <w:tcW w:w="0" w:type="auto"/>
            <w:shd w:val="clear" w:color="auto" w:fill="auto"/>
            <w:vAlign w:val="bottom"/>
          </w:tcPr>
          <w:p w14:paraId="74DD7EBB" w14:textId="77777777" w:rsidR="00584EC1" w:rsidRDefault="00584EC1">
            <w:pPr>
              <w:rPr>
                <w:rFonts w:ascii="宋体"/>
              </w:rPr>
            </w:pPr>
          </w:p>
        </w:tc>
        <w:tc>
          <w:tcPr>
            <w:tcW w:w="0" w:type="auto"/>
            <w:shd w:val="clear" w:color="auto" w:fill="auto"/>
            <w:vAlign w:val="bottom"/>
          </w:tcPr>
          <w:p w14:paraId="74DD7EBC" w14:textId="77777777" w:rsidR="00584EC1" w:rsidRDefault="00584EC1">
            <w:pPr>
              <w:rPr>
                <w:rFonts w:ascii="宋体"/>
              </w:rPr>
            </w:pPr>
          </w:p>
        </w:tc>
      </w:tr>
      <w:tr w:rsidR="00584EC1" w14:paraId="74DD7ED1" w14:textId="77777777">
        <w:trPr>
          <w:jc w:val="right"/>
        </w:trPr>
        <w:tc>
          <w:tcPr>
            <w:tcW w:w="0" w:type="auto"/>
            <w:gridSpan w:val="3"/>
            <w:shd w:val="clear" w:color="auto" w:fill="FFFFFF"/>
            <w:tcMar>
              <w:top w:w="40" w:type="dxa"/>
              <w:left w:w="20" w:type="dxa"/>
              <w:bottom w:w="40" w:type="dxa"/>
              <w:right w:w="20" w:type="dxa"/>
            </w:tcMar>
            <w:vAlign w:val="bottom"/>
          </w:tcPr>
          <w:p w14:paraId="74DD7EBE" w14:textId="77777777" w:rsidR="00584EC1" w:rsidRDefault="00871F8D">
            <w:pPr>
              <w:textAlignment w:val="bottom"/>
            </w:pPr>
            <w:r>
              <w:rPr>
                <w:rFonts w:ascii="Arial" w:eastAsia="宋体" w:hAnsi="Arial" w:cs="Arial"/>
                <w:color w:val="000000"/>
                <w:sz w:val="15"/>
                <w:szCs w:val="15"/>
              </w:rPr>
              <w:t>  Active</w:t>
            </w:r>
          </w:p>
        </w:tc>
        <w:tc>
          <w:tcPr>
            <w:tcW w:w="0" w:type="auto"/>
            <w:gridSpan w:val="2"/>
            <w:shd w:val="clear" w:color="auto" w:fill="FFFFFF"/>
            <w:tcMar>
              <w:top w:w="40" w:type="dxa"/>
              <w:left w:w="20" w:type="dxa"/>
              <w:bottom w:w="40" w:type="dxa"/>
              <w:right w:w="0" w:type="dxa"/>
            </w:tcMar>
            <w:vAlign w:val="bottom"/>
          </w:tcPr>
          <w:p w14:paraId="74DD7EBF" w14:textId="77777777" w:rsidR="00584EC1" w:rsidRDefault="00871F8D">
            <w:pPr>
              <w:jc w:val="right"/>
              <w:textAlignment w:val="bottom"/>
            </w:pPr>
            <w:r>
              <w:rPr>
                <w:rFonts w:ascii="Arial" w:eastAsia="宋体" w:hAnsi="Arial" w:cs="Arial"/>
                <w:b/>
                <w:bCs/>
                <w:color w:val="000000"/>
                <w:sz w:val="15"/>
                <w:szCs w:val="15"/>
              </w:rPr>
              <w:t>58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7EC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EC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EC2" w14:textId="77777777" w:rsidR="00584EC1" w:rsidRDefault="00871F8D">
            <w:pPr>
              <w:jc w:val="right"/>
              <w:textAlignment w:val="bottom"/>
            </w:pPr>
            <w:r>
              <w:rPr>
                <w:rFonts w:ascii="Arial" w:eastAsia="宋体" w:hAnsi="Arial" w:cs="Arial"/>
                <w:color w:val="000000"/>
                <w:sz w:val="15"/>
                <w:szCs w:val="15"/>
              </w:rPr>
              <w:t>39 </w:t>
            </w:r>
          </w:p>
        </w:tc>
        <w:tc>
          <w:tcPr>
            <w:tcW w:w="0" w:type="auto"/>
            <w:shd w:val="clear" w:color="auto" w:fill="FFFFFF"/>
            <w:tcMar>
              <w:top w:w="40" w:type="dxa"/>
              <w:left w:w="0" w:type="dxa"/>
              <w:bottom w:w="40" w:type="dxa"/>
              <w:right w:w="20" w:type="dxa"/>
            </w:tcMar>
            <w:vAlign w:val="bottom"/>
          </w:tcPr>
          <w:p w14:paraId="74DD7EC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EC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7EC5" w14:textId="77777777" w:rsidR="00584EC1" w:rsidRDefault="00871F8D">
            <w:pPr>
              <w:jc w:val="right"/>
              <w:textAlignment w:val="bottom"/>
            </w:pPr>
            <w:r>
              <w:rPr>
                <w:rFonts w:ascii="Arial" w:eastAsia="宋体" w:hAnsi="Arial" w:cs="Arial"/>
                <w:color w:val="000000"/>
                <w:sz w:val="15"/>
                <w:szCs w:val="15"/>
              </w:rPr>
              <w:t>28 </w:t>
            </w:r>
          </w:p>
        </w:tc>
        <w:tc>
          <w:tcPr>
            <w:tcW w:w="0" w:type="auto"/>
            <w:shd w:val="clear" w:color="auto" w:fill="FFFFFF"/>
            <w:tcMar>
              <w:top w:w="40" w:type="dxa"/>
              <w:left w:w="0" w:type="dxa"/>
              <w:bottom w:w="40" w:type="dxa"/>
              <w:right w:w="20" w:type="dxa"/>
            </w:tcMar>
            <w:vAlign w:val="bottom"/>
          </w:tcPr>
          <w:p w14:paraId="74DD7EC6" w14:textId="77777777" w:rsidR="00584EC1" w:rsidRDefault="00584EC1">
            <w:pPr>
              <w:jc w:val="right"/>
              <w:rPr>
                <w:rFonts w:ascii="宋体"/>
              </w:rPr>
            </w:pPr>
          </w:p>
        </w:tc>
        <w:tc>
          <w:tcPr>
            <w:tcW w:w="0" w:type="auto"/>
            <w:shd w:val="clear" w:color="auto" w:fill="auto"/>
            <w:vAlign w:val="bottom"/>
          </w:tcPr>
          <w:p w14:paraId="74DD7EC7" w14:textId="77777777" w:rsidR="00584EC1" w:rsidRDefault="00584EC1">
            <w:pPr>
              <w:rPr>
                <w:rFonts w:ascii="宋体"/>
                <w:vanish/>
              </w:rPr>
            </w:pPr>
          </w:p>
        </w:tc>
        <w:tc>
          <w:tcPr>
            <w:tcW w:w="0" w:type="auto"/>
            <w:shd w:val="clear" w:color="auto" w:fill="auto"/>
            <w:vAlign w:val="bottom"/>
          </w:tcPr>
          <w:p w14:paraId="74DD7EC8" w14:textId="77777777" w:rsidR="00584EC1" w:rsidRDefault="00584EC1">
            <w:pPr>
              <w:rPr>
                <w:rFonts w:ascii="宋体"/>
                <w:vanish/>
              </w:rPr>
            </w:pPr>
          </w:p>
        </w:tc>
        <w:tc>
          <w:tcPr>
            <w:tcW w:w="0" w:type="auto"/>
            <w:gridSpan w:val="3"/>
            <w:shd w:val="clear" w:color="auto" w:fill="auto"/>
            <w:vAlign w:val="bottom"/>
          </w:tcPr>
          <w:p w14:paraId="74DD7EC9" w14:textId="77777777" w:rsidR="00584EC1" w:rsidRDefault="00584EC1">
            <w:pPr>
              <w:rPr>
                <w:rFonts w:ascii="宋体"/>
                <w:vanish/>
              </w:rPr>
            </w:pPr>
          </w:p>
        </w:tc>
        <w:tc>
          <w:tcPr>
            <w:tcW w:w="0" w:type="auto"/>
            <w:gridSpan w:val="3"/>
            <w:shd w:val="clear" w:color="auto" w:fill="auto"/>
            <w:vAlign w:val="bottom"/>
          </w:tcPr>
          <w:p w14:paraId="74DD7ECA" w14:textId="77777777" w:rsidR="00584EC1" w:rsidRDefault="00584EC1">
            <w:pPr>
              <w:rPr>
                <w:rFonts w:ascii="宋体"/>
                <w:vanish/>
              </w:rPr>
            </w:pPr>
          </w:p>
        </w:tc>
        <w:tc>
          <w:tcPr>
            <w:tcW w:w="0" w:type="auto"/>
            <w:gridSpan w:val="3"/>
            <w:shd w:val="clear" w:color="auto" w:fill="auto"/>
            <w:vAlign w:val="bottom"/>
          </w:tcPr>
          <w:p w14:paraId="74DD7ECB" w14:textId="77777777" w:rsidR="00584EC1" w:rsidRDefault="00584EC1">
            <w:pPr>
              <w:rPr>
                <w:rFonts w:ascii="宋体"/>
                <w:vanish/>
              </w:rPr>
            </w:pPr>
          </w:p>
        </w:tc>
        <w:tc>
          <w:tcPr>
            <w:tcW w:w="0" w:type="auto"/>
            <w:gridSpan w:val="3"/>
            <w:shd w:val="clear" w:color="auto" w:fill="auto"/>
            <w:vAlign w:val="bottom"/>
          </w:tcPr>
          <w:p w14:paraId="74DD7ECC" w14:textId="77777777" w:rsidR="00584EC1" w:rsidRDefault="00584EC1">
            <w:pPr>
              <w:rPr>
                <w:rFonts w:ascii="宋体"/>
                <w:vanish/>
              </w:rPr>
            </w:pPr>
          </w:p>
        </w:tc>
        <w:tc>
          <w:tcPr>
            <w:tcW w:w="0" w:type="auto"/>
            <w:gridSpan w:val="3"/>
            <w:shd w:val="clear" w:color="auto" w:fill="auto"/>
            <w:vAlign w:val="bottom"/>
          </w:tcPr>
          <w:p w14:paraId="74DD7ECD" w14:textId="77777777" w:rsidR="00584EC1" w:rsidRDefault="00584EC1">
            <w:pPr>
              <w:rPr>
                <w:rFonts w:ascii="宋体"/>
                <w:vanish/>
              </w:rPr>
            </w:pPr>
          </w:p>
        </w:tc>
        <w:tc>
          <w:tcPr>
            <w:tcW w:w="0" w:type="auto"/>
            <w:gridSpan w:val="3"/>
            <w:shd w:val="clear" w:color="auto" w:fill="auto"/>
            <w:vAlign w:val="bottom"/>
          </w:tcPr>
          <w:p w14:paraId="74DD7ECE" w14:textId="77777777" w:rsidR="00584EC1" w:rsidRDefault="00584EC1">
            <w:pPr>
              <w:rPr>
                <w:rFonts w:ascii="宋体"/>
                <w:vanish/>
              </w:rPr>
            </w:pPr>
          </w:p>
        </w:tc>
        <w:tc>
          <w:tcPr>
            <w:tcW w:w="0" w:type="auto"/>
            <w:gridSpan w:val="3"/>
            <w:shd w:val="clear" w:color="auto" w:fill="auto"/>
            <w:vAlign w:val="bottom"/>
          </w:tcPr>
          <w:p w14:paraId="74DD7ECF" w14:textId="77777777" w:rsidR="00584EC1" w:rsidRDefault="00584EC1">
            <w:pPr>
              <w:rPr>
                <w:rFonts w:ascii="宋体"/>
                <w:vanish/>
              </w:rPr>
            </w:pPr>
          </w:p>
        </w:tc>
        <w:tc>
          <w:tcPr>
            <w:tcW w:w="0" w:type="auto"/>
            <w:gridSpan w:val="3"/>
            <w:shd w:val="clear" w:color="auto" w:fill="auto"/>
            <w:vAlign w:val="bottom"/>
          </w:tcPr>
          <w:p w14:paraId="74DD7ED0" w14:textId="77777777" w:rsidR="00584EC1" w:rsidRDefault="00584EC1">
            <w:pPr>
              <w:rPr>
                <w:rFonts w:ascii="宋体"/>
                <w:vanish/>
              </w:rPr>
            </w:pPr>
          </w:p>
        </w:tc>
      </w:tr>
      <w:tr w:rsidR="00584EC1" w14:paraId="74DD7EE5" w14:textId="77777777">
        <w:trPr>
          <w:jc w:val="right"/>
        </w:trPr>
        <w:tc>
          <w:tcPr>
            <w:tcW w:w="0" w:type="auto"/>
            <w:gridSpan w:val="3"/>
            <w:shd w:val="clear" w:color="auto" w:fill="CCEEFF"/>
            <w:tcMar>
              <w:top w:w="40" w:type="dxa"/>
              <w:left w:w="20" w:type="dxa"/>
              <w:bottom w:w="40" w:type="dxa"/>
              <w:right w:w="20" w:type="dxa"/>
            </w:tcMar>
            <w:vAlign w:val="bottom"/>
          </w:tcPr>
          <w:p w14:paraId="74DD7ED2" w14:textId="77777777" w:rsidR="00584EC1" w:rsidRDefault="00871F8D">
            <w:pPr>
              <w:textAlignment w:val="bottom"/>
            </w:pPr>
            <w:r>
              <w:rPr>
                <w:rFonts w:ascii="Arial" w:eastAsia="宋体" w:hAnsi="Arial" w:cs="Arial"/>
                <w:color w:val="000000"/>
                <w:sz w:val="15"/>
                <w:szCs w:val="15"/>
              </w:rPr>
              <w:t>  Passive</w:t>
            </w:r>
          </w:p>
        </w:tc>
        <w:tc>
          <w:tcPr>
            <w:tcW w:w="0" w:type="auto"/>
            <w:gridSpan w:val="2"/>
            <w:shd w:val="clear" w:color="auto" w:fill="CCEEFF"/>
            <w:tcMar>
              <w:top w:w="40" w:type="dxa"/>
              <w:left w:w="20" w:type="dxa"/>
              <w:bottom w:w="40" w:type="dxa"/>
              <w:right w:w="0" w:type="dxa"/>
            </w:tcMar>
            <w:vAlign w:val="bottom"/>
          </w:tcPr>
          <w:p w14:paraId="74DD7ED3" w14:textId="77777777" w:rsidR="00584EC1" w:rsidRDefault="00871F8D">
            <w:pPr>
              <w:jc w:val="right"/>
              <w:textAlignment w:val="bottom"/>
            </w:pPr>
            <w:r>
              <w:rPr>
                <w:rFonts w:ascii="Arial" w:eastAsia="宋体" w:hAnsi="Arial" w:cs="Arial"/>
                <w:b/>
                <w:bCs/>
                <w:color w:val="000000"/>
                <w:sz w:val="15"/>
                <w:szCs w:val="15"/>
              </w:rPr>
              <w:t>178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7ED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ED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7ED6" w14:textId="77777777" w:rsidR="00584EC1" w:rsidRDefault="00871F8D">
            <w:pPr>
              <w:jc w:val="right"/>
              <w:textAlignment w:val="bottom"/>
            </w:pPr>
            <w:r>
              <w:rPr>
                <w:rFonts w:ascii="Arial" w:eastAsia="宋体" w:hAnsi="Arial" w:cs="Arial"/>
                <w:color w:val="000000"/>
                <w:sz w:val="15"/>
                <w:szCs w:val="15"/>
              </w:rPr>
              <w:t>173 </w:t>
            </w:r>
          </w:p>
        </w:tc>
        <w:tc>
          <w:tcPr>
            <w:tcW w:w="0" w:type="auto"/>
            <w:shd w:val="clear" w:color="auto" w:fill="CCEEFF"/>
            <w:tcMar>
              <w:top w:w="40" w:type="dxa"/>
              <w:left w:w="0" w:type="dxa"/>
              <w:bottom w:w="40" w:type="dxa"/>
              <w:right w:w="20" w:type="dxa"/>
            </w:tcMar>
            <w:vAlign w:val="bottom"/>
          </w:tcPr>
          <w:p w14:paraId="74DD7ED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ED8"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7ED9" w14:textId="77777777" w:rsidR="00584EC1" w:rsidRDefault="00871F8D">
            <w:pPr>
              <w:jc w:val="right"/>
              <w:textAlignment w:val="bottom"/>
            </w:pPr>
            <w:r>
              <w:rPr>
                <w:rFonts w:ascii="Arial" w:eastAsia="宋体" w:hAnsi="Arial" w:cs="Arial"/>
                <w:color w:val="000000"/>
                <w:sz w:val="15"/>
                <w:szCs w:val="15"/>
              </w:rPr>
              <w:t>168 </w:t>
            </w:r>
          </w:p>
        </w:tc>
        <w:tc>
          <w:tcPr>
            <w:tcW w:w="0" w:type="auto"/>
            <w:shd w:val="clear" w:color="auto" w:fill="CCEEFF"/>
            <w:tcMar>
              <w:top w:w="40" w:type="dxa"/>
              <w:left w:w="0" w:type="dxa"/>
              <w:bottom w:w="40" w:type="dxa"/>
              <w:right w:w="20" w:type="dxa"/>
            </w:tcMar>
            <w:vAlign w:val="bottom"/>
          </w:tcPr>
          <w:p w14:paraId="74DD7EDA" w14:textId="77777777" w:rsidR="00584EC1" w:rsidRDefault="00584EC1">
            <w:pPr>
              <w:jc w:val="right"/>
              <w:rPr>
                <w:rFonts w:ascii="宋体"/>
              </w:rPr>
            </w:pPr>
          </w:p>
        </w:tc>
        <w:tc>
          <w:tcPr>
            <w:tcW w:w="0" w:type="auto"/>
            <w:shd w:val="clear" w:color="auto" w:fill="auto"/>
            <w:vAlign w:val="bottom"/>
          </w:tcPr>
          <w:p w14:paraId="74DD7EDB" w14:textId="77777777" w:rsidR="00584EC1" w:rsidRDefault="00584EC1">
            <w:pPr>
              <w:rPr>
                <w:rFonts w:ascii="宋体"/>
                <w:vanish/>
              </w:rPr>
            </w:pPr>
          </w:p>
        </w:tc>
        <w:tc>
          <w:tcPr>
            <w:tcW w:w="0" w:type="auto"/>
            <w:shd w:val="clear" w:color="auto" w:fill="auto"/>
            <w:vAlign w:val="bottom"/>
          </w:tcPr>
          <w:p w14:paraId="74DD7EDC" w14:textId="77777777" w:rsidR="00584EC1" w:rsidRDefault="00584EC1">
            <w:pPr>
              <w:rPr>
                <w:rFonts w:ascii="宋体"/>
                <w:vanish/>
              </w:rPr>
            </w:pPr>
          </w:p>
        </w:tc>
        <w:tc>
          <w:tcPr>
            <w:tcW w:w="0" w:type="auto"/>
            <w:gridSpan w:val="3"/>
            <w:shd w:val="clear" w:color="auto" w:fill="auto"/>
            <w:vAlign w:val="bottom"/>
          </w:tcPr>
          <w:p w14:paraId="74DD7EDD" w14:textId="77777777" w:rsidR="00584EC1" w:rsidRDefault="00584EC1">
            <w:pPr>
              <w:rPr>
                <w:rFonts w:ascii="宋体"/>
                <w:vanish/>
              </w:rPr>
            </w:pPr>
          </w:p>
        </w:tc>
        <w:tc>
          <w:tcPr>
            <w:tcW w:w="0" w:type="auto"/>
            <w:gridSpan w:val="3"/>
            <w:shd w:val="clear" w:color="auto" w:fill="auto"/>
            <w:vAlign w:val="bottom"/>
          </w:tcPr>
          <w:p w14:paraId="74DD7EDE" w14:textId="77777777" w:rsidR="00584EC1" w:rsidRDefault="00584EC1">
            <w:pPr>
              <w:rPr>
                <w:rFonts w:ascii="宋体"/>
                <w:vanish/>
              </w:rPr>
            </w:pPr>
          </w:p>
        </w:tc>
        <w:tc>
          <w:tcPr>
            <w:tcW w:w="0" w:type="auto"/>
            <w:gridSpan w:val="3"/>
            <w:shd w:val="clear" w:color="auto" w:fill="auto"/>
            <w:vAlign w:val="bottom"/>
          </w:tcPr>
          <w:p w14:paraId="74DD7EDF" w14:textId="77777777" w:rsidR="00584EC1" w:rsidRDefault="00584EC1">
            <w:pPr>
              <w:rPr>
                <w:rFonts w:ascii="宋体"/>
                <w:vanish/>
              </w:rPr>
            </w:pPr>
          </w:p>
        </w:tc>
        <w:tc>
          <w:tcPr>
            <w:tcW w:w="0" w:type="auto"/>
            <w:gridSpan w:val="3"/>
            <w:shd w:val="clear" w:color="auto" w:fill="auto"/>
            <w:vAlign w:val="bottom"/>
          </w:tcPr>
          <w:p w14:paraId="74DD7EE0" w14:textId="77777777" w:rsidR="00584EC1" w:rsidRDefault="00584EC1">
            <w:pPr>
              <w:rPr>
                <w:rFonts w:ascii="宋体"/>
                <w:vanish/>
              </w:rPr>
            </w:pPr>
          </w:p>
        </w:tc>
        <w:tc>
          <w:tcPr>
            <w:tcW w:w="0" w:type="auto"/>
            <w:gridSpan w:val="3"/>
            <w:shd w:val="clear" w:color="auto" w:fill="auto"/>
            <w:vAlign w:val="bottom"/>
          </w:tcPr>
          <w:p w14:paraId="74DD7EE1" w14:textId="77777777" w:rsidR="00584EC1" w:rsidRDefault="00584EC1">
            <w:pPr>
              <w:rPr>
                <w:rFonts w:ascii="宋体"/>
                <w:vanish/>
              </w:rPr>
            </w:pPr>
          </w:p>
        </w:tc>
        <w:tc>
          <w:tcPr>
            <w:tcW w:w="0" w:type="auto"/>
            <w:gridSpan w:val="3"/>
            <w:shd w:val="clear" w:color="auto" w:fill="auto"/>
            <w:vAlign w:val="bottom"/>
          </w:tcPr>
          <w:p w14:paraId="74DD7EE2" w14:textId="77777777" w:rsidR="00584EC1" w:rsidRDefault="00584EC1">
            <w:pPr>
              <w:rPr>
                <w:rFonts w:ascii="宋体"/>
                <w:vanish/>
              </w:rPr>
            </w:pPr>
          </w:p>
        </w:tc>
        <w:tc>
          <w:tcPr>
            <w:tcW w:w="0" w:type="auto"/>
            <w:gridSpan w:val="3"/>
            <w:shd w:val="clear" w:color="auto" w:fill="auto"/>
            <w:vAlign w:val="bottom"/>
          </w:tcPr>
          <w:p w14:paraId="74DD7EE3" w14:textId="77777777" w:rsidR="00584EC1" w:rsidRDefault="00584EC1">
            <w:pPr>
              <w:rPr>
                <w:rFonts w:ascii="宋体"/>
                <w:vanish/>
              </w:rPr>
            </w:pPr>
          </w:p>
        </w:tc>
        <w:tc>
          <w:tcPr>
            <w:tcW w:w="0" w:type="auto"/>
            <w:gridSpan w:val="3"/>
            <w:shd w:val="clear" w:color="auto" w:fill="auto"/>
            <w:vAlign w:val="bottom"/>
          </w:tcPr>
          <w:p w14:paraId="74DD7EE4" w14:textId="77777777" w:rsidR="00584EC1" w:rsidRDefault="00584EC1">
            <w:pPr>
              <w:rPr>
                <w:rFonts w:ascii="宋体"/>
                <w:vanish/>
              </w:rPr>
            </w:pPr>
          </w:p>
        </w:tc>
      </w:tr>
      <w:tr w:rsidR="00584EC1" w14:paraId="74DD7EF9" w14:textId="77777777">
        <w:trPr>
          <w:jc w:val="right"/>
        </w:trPr>
        <w:tc>
          <w:tcPr>
            <w:tcW w:w="0" w:type="auto"/>
            <w:gridSpan w:val="3"/>
            <w:shd w:val="clear" w:color="auto" w:fill="FFFFFF"/>
            <w:tcMar>
              <w:top w:w="40" w:type="dxa"/>
              <w:left w:w="20" w:type="dxa"/>
              <w:bottom w:w="40" w:type="dxa"/>
              <w:right w:w="20" w:type="dxa"/>
            </w:tcMar>
            <w:vAlign w:val="bottom"/>
          </w:tcPr>
          <w:p w14:paraId="74DD7EE6" w14:textId="77777777" w:rsidR="00584EC1" w:rsidRDefault="00871F8D">
            <w:pPr>
              <w:textAlignment w:val="bottom"/>
            </w:pPr>
            <w:r>
              <w:rPr>
                <w:rFonts w:ascii="Arial" w:eastAsia="宋体" w:hAnsi="Arial" w:cs="Arial"/>
                <w:color w:val="000000"/>
                <w:sz w:val="15"/>
                <w:szCs w:val="15"/>
              </w:rPr>
              <w:t>Total alternative investments</w:t>
            </w:r>
            <w:r>
              <w:rPr>
                <w:rFonts w:ascii="Arial" w:eastAsia="宋体" w:hAnsi="Arial" w:cs="Arial"/>
                <w:color w:val="000000"/>
                <w:sz w:val="9"/>
                <w:szCs w:val="9"/>
              </w:rPr>
              <w:t>(1)</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7EE7" w14:textId="77777777" w:rsidR="00584EC1" w:rsidRDefault="00871F8D">
            <w:pPr>
              <w:jc w:val="right"/>
              <w:textAlignment w:val="bottom"/>
            </w:pPr>
            <w:r>
              <w:rPr>
                <w:rFonts w:ascii="Arial" w:eastAsia="宋体" w:hAnsi="Arial" w:cs="Arial"/>
                <w:b/>
                <w:bCs/>
                <w:color w:val="000000"/>
                <w:sz w:val="15"/>
                <w:szCs w:val="15"/>
              </w:rPr>
              <w:t>236</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7EE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EE9"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7EEA" w14:textId="77777777" w:rsidR="00584EC1" w:rsidRDefault="00871F8D">
            <w:pPr>
              <w:jc w:val="right"/>
              <w:textAlignment w:val="bottom"/>
            </w:pPr>
            <w:r>
              <w:rPr>
                <w:rFonts w:ascii="Arial" w:eastAsia="宋体" w:hAnsi="Arial" w:cs="Arial"/>
                <w:color w:val="000000"/>
                <w:sz w:val="15"/>
                <w:szCs w:val="15"/>
              </w:rPr>
              <w:t>212 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7EE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7EEC"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7EED" w14:textId="77777777" w:rsidR="00584EC1" w:rsidRDefault="00871F8D">
            <w:pPr>
              <w:jc w:val="right"/>
              <w:textAlignment w:val="bottom"/>
            </w:pPr>
            <w:r>
              <w:rPr>
                <w:rFonts w:ascii="Arial" w:eastAsia="宋体" w:hAnsi="Arial" w:cs="Arial"/>
                <w:color w:val="000000"/>
                <w:sz w:val="15"/>
                <w:szCs w:val="15"/>
              </w:rPr>
              <w:t>196 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7EEE" w14:textId="77777777" w:rsidR="00584EC1" w:rsidRDefault="00584EC1">
            <w:pPr>
              <w:jc w:val="right"/>
              <w:rPr>
                <w:rFonts w:ascii="宋体"/>
              </w:rPr>
            </w:pPr>
          </w:p>
        </w:tc>
        <w:tc>
          <w:tcPr>
            <w:tcW w:w="0" w:type="auto"/>
            <w:shd w:val="clear" w:color="auto" w:fill="auto"/>
            <w:vAlign w:val="bottom"/>
          </w:tcPr>
          <w:p w14:paraId="74DD7EEF" w14:textId="77777777" w:rsidR="00584EC1" w:rsidRDefault="00584EC1">
            <w:pPr>
              <w:rPr>
                <w:rFonts w:ascii="宋体"/>
                <w:vanish/>
              </w:rPr>
            </w:pPr>
          </w:p>
        </w:tc>
        <w:tc>
          <w:tcPr>
            <w:tcW w:w="0" w:type="auto"/>
            <w:shd w:val="clear" w:color="auto" w:fill="auto"/>
            <w:vAlign w:val="bottom"/>
          </w:tcPr>
          <w:p w14:paraId="74DD7EF0" w14:textId="77777777" w:rsidR="00584EC1" w:rsidRDefault="00584EC1">
            <w:pPr>
              <w:rPr>
                <w:rFonts w:ascii="宋体"/>
                <w:vanish/>
              </w:rPr>
            </w:pPr>
          </w:p>
        </w:tc>
        <w:tc>
          <w:tcPr>
            <w:tcW w:w="0" w:type="auto"/>
            <w:gridSpan w:val="3"/>
            <w:shd w:val="clear" w:color="auto" w:fill="auto"/>
            <w:vAlign w:val="bottom"/>
          </w:tcPr>
          <w:p w14:paraId="74DD7EF1" w14:textId="77777777" w:rsidR="00584EC1" w:rsidRDefault="00584EC1">
            <w:pPr>
              <w:rPr>
                <w:rFonts w:ascii="宋体"/>
                <w:vanish/>
              </w:rPr>
            </w:pPr>
          </w:p>
        </w:tc>
        <w:tc>
          <w:tcPr>
            <w:tcW w:w="0" w:type="auto"/>
            <w:gridSpan w:val="3"/>
            <w:shd w:val="clear" w:color="auto" w:fill="auto"/>
            <w:vAlign w:val="bottom"/>
          </w:tcPr>
          <w:p w14:paraId="74DD7EF2" w14:textId="77777777" w:rsidR="00584EC1" w:rsidRDefault="00584EC1">
            <w:pPr>
              <w:rPr>
                <w:rFonts w:ascii="宋体"/>
                <w:vanish/>
              </w:rPr>
            </w:pPr>
          </w:p>
        </w:tc>
        <w:tc>
          <w:tcPr>
            <w:tcW w:w="0" w:type="auto"/>
            <w:gridSpan w:val="3"/>
            <w:shd w:val="clear" w:color="auto" w:fill="auto"/>
            <w:vAlign w:val="bottom"/>
          </w:tcPr>
          <w:p w14:paraId="74DD7EF3" w14:textId="77777777" w:rsidR="00584EC1" w:rsidRDefault="00584EC1">
            <w:pPr>
              <w:rPr>
                <w:rFonts w:ascii="宋体"/>
                <w:vanish/>
              </w:rPr>
            </w:pPr>
          </w:p>
        </w:tc>
        <w:tc>
          <w:tcPr>
            <w:tcW w:w="0" w:type="auto"/>
            <w:gridSpan w:val="3"/>
            <w:shd w:val="clear" w:color="auto" w:fill="auto"/>
            <w:vAlign w:val="bottom"/>
          </w:tcPr>
          <w:p w14:paraId="74DD7EF4" w14:textId="77777777" w:rsidR="00584EC1" w:rsidRDefault="00584EC1">
            <w:pPr>
              <w:rPr>
                <w:rFonts w:ascii="宋体"/>
                <w:vanish/>
              </w:rPr>
            </w:pPr>
          </w:p>
        </w:tc>
        <w:tc>
          <w:tcPr>
            <w:tcW w:w="0" w:type="auto"/>
            <w:gridSpan w:val="3"/>
            <w:shd w:val="clear" w:color="auto" w:fill="auto"/>
            <w:vAlign w:val="bottom"/>
          </w:tcPr>
          <w:p w14:paraId="74DD7EF5" w14:textId="77777777" w:rsidR="00584EC1" w:rsidRDefault="00584EC1">
            <w:pPr>
              <w:rPr>
                <w:rFonts w:ascii="宋体"/>
                <w:vanish/>
              </w:rPr>
            </w:pPr>
          </w:p>
        </w:tc>
        <w:tc>
          <w:tcPr>
            <w:tcW w:w="0" w:type="auto"/>
            <w:gridSpan w:val="3"/>
            <w:shd w:val="clear" w:color="auto" w:fill="auto"/>
            <w:vAlign w:val="bottom"/>
          </w:tcPr>
          <w:p w14:paraId="74DD7EF6" w14:textId="77777777" w:rsidR="00584EC1" w:rsidRDefault="00584EC1">
            <w:pPr>
              <w:rPr>
                <w:rFonts w:ascii="宋体"/>
                <w:vanish/>
              </w:rPr>
            </w:pPr>
          </w:p>
        </w:tc>
        <w:tc>
          <w:tcPr>
            <w:tcW w:w="0" w:type="auto"/>
            <w:gridSpan w:val="3"/>
            <w:shd w:val="clear" w:color="auto" w:fill="auto"/>
            <w:vAlign w:val="bottom"/>
          </w:tcPr>
          <w:p w14:paraId="74DD7EF7" w14:textId="77777777" w:rsidR="00584EC1" w:rsidRDefault="00584EC1">
            <w:pPr>
              <w:rPr>
                <w:rFonts w:ascii="宋体"/>
                <w:vanish/>
              </w:rPr>
            </w:pPr>
          </w:p>
        </w:tc>
        <w:tc>
          <w:tcPr>
            <w:tcW w:w="0" w:type="auto"/>
            <w:gridSpan w:val="3"/>
            <w:shd w:val="clear" w:color="auto" w:fill="auto"/>
            <w:vAlign w:val="bottom"/>
          </w:tcPr>
          <w:p w14:paraId="74DD7EF8" w14:textId="77777777" w:rsidR="00584EC1" w:rsidRDefault="00584EC1">
            <w:pPr>
              <w:rPr>
                <w:rFonts w:ascii="宋体"/>
                <w:vanish/>
              </w:rPr>
            </w:pPr>
          </w:p>
        </w:tc>
      </w:tr>
      <w:tr w:rsidR="00584EC1" w14:paraId="74DD7F10" w14:textId="77777777">
        <w:trPr>
          <w:jc w:val="right"/>
        </w:trPr>
        <w:tc>
          <w:tcPr>
            <w:tcW w:w="0" w:type="auto"/>
            <w:gridSpan w:val="3"/>
            <w:shd w:val="clear" w:color="auto" w:fill="CCEEFF"/>
            <w:tcMar>
              <w:top w:w="40" w:type="dxa"/>
              <w:left w:w="20" w:type="dxa"/>
              <w:bottom w:w="40" w:type="dxa"/>
              <w:right w:w="20" w:type="dxa"/>
            </w:tcMar>
            <w:vAlign w:val="bottom"/>
          </w:tcPr>
          <w:p w14:paraId="74DD7EFA" w14:textId="77777777" w:rsidR="00584EC1" w:rsidRDefault="00871F8D">
            <w:pPr>
              <w:textAlignment w:val="bottom"/>
            </w:pPr>
            <w:r>
              <w:rPr>
                <w:rFonts w:ascii="Arial" w:eastAsia="宋体" w:hAnsi="Arial" w:cs="Arial"/>
                <w:b/>
                <w:bCs/>
                <w:color w:val="000000"/>
                <w:sz w:val="15"/>
                <w:szCs w:val="15"/>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7EFB" w14:textId="77777777" w:rsidR="00584EC1" w:rsidRDefault="00871F8D">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7EFC" w14:textId="77777777" w:rsidR="00584EC1" w:rsidRDefault="00871F8D">
            <w:pPr>
              <w:jc w:val="right"/>
              <w:textAlignment w:val="bottom"/>
            </w:pPr>
            <w:r>
              <w:rPr>
                <w:rFonts w:ascii="Arial" w:eastAsia="宋体" w:hAnsi="Arial" w:cs="Arial"/>
                <w:b/>
                <w:bCs/>
                <w:color w:val="000000"/>
                <w:sz w:val="15"/>
                <w:szCs w:val="15"/>
              </w:rPr>
              <w:t>3,862</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7EF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EFE"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7EFF"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7F00" w14:textId="77777777" w:rsidR="00584EC1" w:rsidRDefault="00871F8D">
            <w:pPr>
              <w:jc w:val="right"/>
              <w:textAlignment w:val="bottom"/>
            </w:pPr>
            <w:r>
              <w:rPr>
                <w:rFonts w:ascii="Arial" w:eastAsia="宋体" w:hAnsi="Arial" w:cs="Arial"/>
                <w:color w:val="000000"/>
                <w:sz w:val="15"/>
                <w:szCs w:val="15"/>
              </w:rPr>
              <w:t>3,467 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7F0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7F02"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7F03"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7F04" w14:textId="77777777" w:rsidR="00584EC1" w:rsidRDefault="00871F8D">
            <w:pPr>
              <w:jc w:val="right"/>
              <w:textAlignment w:val="bottom"/>
            </w:pPr>
            <w:r>
              <w:rPr>
                <w:rFonts w:ascii="Arial" w:eastAsia="宋体" w:hAnsi="Arial" w:cs="Arial"/>
                <w:color w:val="000000"/>
                <w:sz w:val="15"/>
                <w:szCs w:val="15"/>
              </w:rPr>
              <w:t>3,148 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7F05" w14:textId="77777777" w:rsidR="00584EC1" w:rsidRDefault="00584EC1">
            <w:pPr>
              <w:jc w:val="right"/>
              <w:rPr>
                <w:rFonts w:ascii="宋体"/>
              </w:rPr>
            </w:pPr>
          </w:p>
        </w:tc>
        <w:tc>
          <w:tcPr>
            <w:tcW w:w="0" w:type="auto"/>
            <w:shd w:val="clear" w:color="auto" w:fill="auto"/>
            <w:vAlign w:val="bottom"/>
          </w:tcPr>
          <w:p w14:paraId="74DD7F06" w14:textId="77777777" w:rsidR="00584EC1" w:rsidRDefault="00584EC1">
            <w:pPr>
              <w:rPr>
                <w:rFonts w:ascii="宋体"/>
                <w:vanish/>
              </w:rPr>
            </w:pPr>
          </w:p>
        </w:tc>
        <w:tc>
          <w:tcPr>
            <w:tcW w:w="0" w:type="auto"/>
            <w:shd w:val="clear" w:color="auto" w:fill="auto"/>
            <w:vAlign w:val="bottom"/>
          </w:tcPr>
          <w:p w14:paraId="74DD7F07" w14:textId="77777777" w:rsidR="00584EC1" w:rsidRDefault="00584EC1">
            <w:pPr>
              <w:rPr>
                <w:rFonts w:ascii="宋体"/>
                <w:vanish/>
              </w:rPr>
            </w:pPr>
          </w:p>
        </w:tc>
        <w:tc>
          <w:tcPr>
            <w:tcW w:w="0" w:type="auto"/>
            <w:gridSpan w:val="3"/>
            <w:shd w:val="clear" w:color="auto" w:fill="auto"/>
            <w:vAlign w:val="bottom"/>
          </w:tcPr>
          <w:p w14:paraId="74DD7F08" w14:textId="77777777" w:rsidR="00584EC1" w:rsidRDefault="00584EC1">
            <w:pPr>
              <w:rPr>
                <w:rFonts w:ascii="宋体"/>
                <w:vanish/>
              </w:rPr>
            </w:pPr>
          </w:p>
        </w:tc>
        <w:tc>
          <w:tcPr>
            <w:tcW w:w="0" w:type="auto"/>
            <w:gridSpan w:val="3"/>
            <w:shd w:val="clear" w:color="auto" w:fill="auto"/>
            <w:vAlign w:val="bottom"/>
          </w:tcPr>
          <w:p w14:paraId="74DD7F09" w14:textId="77777777" w:rsidR="00584EC1" w:rsidRDefault="00584EC1">
            <w:pPr>
              <w:rPr>
                <w:rFonts w:ascii="宋体"/>
                <w:vanish/>
              </w:rPr>
            </w:pPr>
          </w:p>
        </w:tc>
        <w:tc>
          <w:tcPr>
            <w:tcW w:w="0" w:type="auto"/>
            <w:gridSpan w:val="3"/>
            <w:shd w:val="clear" w:color="auto" w:fill="auto"/>
            <w:vAlign w:val="bottom"/>
          </w:tcPr>
          <w:p w14:paraId="74DD7F0A" w14:textId="77777777" w:rsidR="00584EC1" w:rsidRDefault="00584EC1">
            <w:pPr>
              <w:rPr>
                <w:rFonts w:ascii="宋体"/>
                <w:vanish/>
              </w:rPr>
            </w:pPr>
          </w:p>
        </w:tc>
        <w:tc>
          <w:tcPr>
            <w:tcW w:w="0" w:type="auto"/>
            <w:gridSpan w:val="3"/>
            <w:shd w:val="clear" w:color="auto" w:fill="auto"/>
            <w:vAlign w:val="bottom"/>
          </w:tcPr>
          <w:p w14:paraId="74DD7F0B" w14:textId="77777777" w:rsidR="00584EC1" w:rsidRDefault="00584EC1">
            <w:pPr>
              <w:rPr>
                <w:rFonts w:ascii="宋体"/>
                <w:vanish/>
              </w:rPr>
            </w:pPr>
          </w:p>
        </w:tc>
        <w:tc>
          <w:tcPr>
            <w:tcW w:w="0" w:type="auto"/>
            <w:gridSpan w:val="3"/>
            <w:shd w:val="clear" w:color="auto" w:fill="auto"/>
            <w:vAlign w:val="bottom"/>
          </w:tcPr>
          <w:p w14:paraId="74DD7F0C" w14:textId="77777777" w:rsidR="00584EC1" w:rsidRDefault="00584EC1">
            <w:pPr>
              <w:rPr>
                <w:rFonts w:ascii="宋体"/>
                <w:vanish/>
              </w:rPr>
            </w:pPr>
          </w:p>
        </w:tc>
        <w:tc>
          <w:tcPr>
            <w:tcW w:w="0" w:type="auto"/>
            <w:gridSpan w:val="3"/>
            <w:shd w:val="clear" w:color="auto" w:fill="auto"/>
            <w:vAlign w:val="bottom"/>
          </w:tcPr>
          <w:p w14:paraId="74DD7F0D" w14:textId="77777777" w:rsidR="00584EC1" w:rsidRDefault="00584EC1">
            <w:pPr>
              <w:rPr>
                <w:rFonts w:ascii="宋体"/>
                <w:vanish/>
              </w:rPr>
            </w:pPr>
          </w:p>
        </w:tc>
        <w:tc>
          <w:tcPr>
            <w:tcW w:w="0" w:type="auto"/>
            <w:gridSpan w:val="3"/>
            <w:shd w:val="clear" w:color="auto" w:fill="auto"/>
            <w:vAlign w:val="bottom"/>
          </w:tcPr>
          <w:p w14:paraId="74DD7F0E" w14:textId="77777777" w:rsidR="00584EC1" w:rsidRDefault="00584EC1">
            <w:pPr>
              <w:rPr>
                <w:rFonts w:ascii="宋体"/>
                <w:vanish/>
              </w:rPr>
            </w:pPr>
          </w:p>
        </w:tc>
        <w:tc>
          <w:tcPr>
            <w:tcW w:w="0" w:type="auto"/>
            <w:gridSpan w:val="3"/>
            <w:shd w:val="clear" w:color="auto" w:fill="auto"/>
            <w:vAlign w:val="bottom"/>
          </w:tcPr>
          <w:p w14:paraId="74DD7F0F" w14:textId="77777777" w:rsidR="00584EC1" w:rsidRDefault="00584EC1">
            <w:pPr>
              <w:rPr>
                <w:rFonts w:ascii="宋体"/>
                <w:vanish/>
              </w:rPr>
            </w:pPr>
          </w:p>
        </w:tc>
      </w:tr>
    </w:tbl>
    <w:p w14:paraId="74DD7F11" w14:textId="77777777" w:rsidR="00584EC1" w:rsidRDefault="00584EC1">
      <w:pPr>
        <w:rPr>
          <w:vanish/>
        </w:rPr>
      </w:pPr>
    </w:p>
    <w:tbl>
      <w:tblPr>
        <w:tblW w:w="5000" w:type="pct"/>
        <w:tblInd w:w="-75" w:type="dxa"/>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584EC1" w14:paraId="74DD7F18" w14:textId="77777777">
        <w:tc>
          <w:tcPr>
            <w:tcW w:w="50" w:type="pct"/>
            <w:shd w:val="clear" w:color="auto" w:fill="auto"/>
            <w:vAlign w:val="bottom"/>
          </w:tcPr>
          <w:p w14:paraId="74DD7F12" w14:textId="77777777" w:rsidR="00584EC1" w:rsidRDefault="00584EC1">
            <w:pPr>
              <w:rPr>
                <w:rFonts w:ascii="宋体"/>
              </w:rPr>
            </w:pPr>
          </w:p>
        </w:tc>
        <w:tc>
          <w:tcPr>
            <w:tcW w:w="1348" w:type="pct"/>
            <w:shd w:val="clear" w:color="auto" w:fill="auto"/>
            <w:vAlign w:val="bottom"/>
          </w:tcPr>
          <w:p w14:paraId="74DD7F13" w14:textId="77777777" w:rsidR="00584EC1" w:rsidRDefault="00584EC1">
            <w:pPr>
              <w:rPr>
                <w:rFonts w:ascii="宋体"/>
              </w:rPr>
            </w:pPr>
          </w:p>
        </w:tc>
        <w:tc>
          <w:tcPr>
            <w:tcW w:w="5" w:type="pct"/>
            <w:shd w:val="clear" w:color="auto" w:fill="auto"/>
            <w:vAlign w:val="bottom"/>
          </w:tcPr>
          <w:p w14:paraId="74DD7F14" w14:textId="77777777" w:rsidR="00584EC1" w:rsidRDefault="00584EC1">
            <w:pPr>
              <w:rPr>
                <w:rFonts w:ascii="宋体"/>
              </w:rPr>
            </w:pPr>
          </w:p>
        </w:tc>
        <w:tc>
          <w:tcPr>
            <w:tcW w:w="50" w:type="pct"/>
            <w:shd w:val="clear" w:color="auto" w:fill="auto"/>
            <w:vAlign w:val="bottom"/>
          </w:tcPr>
          <w:p w14:paraId="74DD7F15" w14:textId="77777777" w:rsidR="00584EC1" w:rsidRDefault="00584EC1">
            <w:pPr>
              <w:rPr>
                <w:rFonts w:ascii="宋体"/>
              </w:rPr>
            </w:pPr>
          </w:p>
        </w:tc>
        <w:tc>
          <w:tcPr>
            <w:tcW w:w="3541" w:type="pct"/>
            <w:shd w:val="clear" w:color="auto" w:fill="auto"/>
            <w:vAlign w:val="bottom"/>
          </w:tcPr>
          <w:p w14:paraId="74DD7F16" w14:textId="77777777" w:rsidR="00584EC1" w:rsidRDefault="00584EC1">
            <w:pPr>
              <w:rPr>
                <w:rFonts w:ascii="宋体"/>
              </w:rPr>
            </w:pPr>
          </w:p>
        </w:tc>
        <w:tc>
          <w:tcPr>
            <w:tcW w:w="5" w:type="pct"/>
            <w:shd w:val="clear" w:color="auto" w:fill="auto"/>
            <w:vAlign w:val="bottom"/>
          </w:tcPr>
          <w:p w14:paraId="74DD7F17" w14:textId="77777777" w:rsidR="00584EC1" w:rsidRDefault="00584EC1">
            <w:pPr>
              <w:rPr>
                <w:rFonts w:ascii="宋体"/>
              </w:rPr>
            </w:pPr>
          </w:p>
        </w:tc>
      </w:tr>
      <w:tr w:rsidR="00584EC1" w14:paraId="74DD7F1B"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4DD7F19"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7F1A" w14:textId="77777777" w:rsidR="00584EC1" w:rsidRDefault="00584EC1">
            <w:pPr>
              <w:rPr>
                <w:rFonts w:ascii="宋体"/>
              </w:rPr>
            </w:pPr>
          </w:p>
        </w:tc>
      </w:tr>
    </w:tbl>
    <w:p w14:paraId="74DD7F1C" w14:textId="77777777" w:rsidR="00584EC1" w:rsidRDefault="00871F8D">
      <w:pPr>
        <w:spacing w:before="60"/>
        <w:jc w:val="both"/>
      </w:pPr>
      <w:r>
        <w:rPr>
          <w:rFonts w:ascii="Arial" w:eastAsia="宋体" w:hAnsi="Arial" w:cs="Arial"/>
          <w:color w:val="000000"/>
          <w:sz w:val="8"/>
          <w:szCs w:val="8"/>
        </w:rPr>
        <w:t xml:space="preserve">(1) </w:t>
      </w:r>
      <w:r>
        <w:rPr>
          <w:rFonts w:ascii="Arial" w:eastAsia="宋体" w:hAnsi="Arial" w:cs="Arial"/>
          <w:color w:val="000000"/>
          <w:sz w:val="13"/>
          <w:szCs w:val="13"/>
        </w:rPr>
        <w:t>The implementation of an improved internal data management system for product level data in the first quarter of 2021 resulted in some AUM reclassifications between the categories presented for prior periods to align with the current presentation. There wa</w:t>
      </w:r>
      <w:r>
        <w:rPr>
          <w:rFonts w:ascii="Arial" w:eastAsia="宋体" w:hAnsi="Arial" w:cs="Arial"/>
          <w:color w:val="000000"/>
          <w:sz w:val="13"/>
          <w:szCs w:val="13"/>
        </w:rPr>
        <w:t xml:space="preserve">s no impact to the total level of reported AUM. </w:t>
      </w:r>
    </w:p>
    <w:p w14:paraId="74DD7F1D" w14:textId="77777777" w:rsidR="00584EC1" w:rsidRDefault="00871F8D">
      <w:pPr>
        <w:spacing w:before="60"/>
        <w:jc w:val="both"/>
      </w:pPr>
      <w:r>
        <w:rPr>
          <w:rFonts w:ascii="Arial" w:eastAsia="宋体" w:hAnsi="Arial" w:cs="Arial"/>
          <w:color w:val="000000"/>
          <w:sz w:val="8"/>
          <w:szCs w:val="8"/>
        </w:rPr>
        <w:t xml:space="preserve">(2) </w:t>
      </w:r>
      <w:r>
        <w:rPr>
          <w:rFonts w:ascii="Arial" w:eastAsia="宋体" w:hAnsi="Arial" w:cs="Arial"/>
          <w:color w:val="000000"/>
          <w:sz w:val="13"/>
          <w:szCs w:val="13"/>
        </w:rPr>
        <w:t>Includes both floating- and constant-net-asset-value portfolios held in commingled structures or separate accounts.</w:t>
      </w:r>
    </w:p>
    <w:p w14:paraId="74DD7F1E" w14:textId="77777777" w:rsidR="00584EC1" w:rsidRDefault="00871F8D">
      <w:pPr>
        <w:spacing w:before="60"/>
        <w:jc w:val="both"/>
      </w:pPr>
      <w:r>
        <w:rPr>
          <w:rFonts w:ascii="Arial" w:eastAsia="宋体" w:hAnsi="Arial" w:cs="Arial"/>
          <w:color w:val="000000"/>
          <w:sz w:val="8"/>
          <w:szCs w:val="8"/>
        </w:rPr>
        <w:t xml:space="preserve">(3) </w:t>
      </w:r>
      <w:r>
        <w:rPr>
          <w:rFonts w:ascii="Arial" w:eastAsia="宋体" w:hAnsi="Arial" w:cs="Arial"/>
          <w:color w:val="000000"/>
          <w:sz w:val="13"/>
          <w:szCs w:val="13"/>
        </w:rPr>
        <w:t xml:space="preserve">Includes real estate investment trusts, currency and commodities, </w:t>
      </w:r>
      <w:r>
        <w:rPr>
          <w:rFonts w:ascii="Arial" w:eastAsia="宋体" w:hAnsi="Arial" w:cs="Arial"/>
          <w:color w:val="000000"/>
          <w:sz w:val="13"/>
          <w:szCs w:val="13"/>
        </w:rPr>
        <w:t>including SPDR</w:t>
      </w:r>
      <w:r>
        <w:rPr>
          <w:rFonts w:ascii="Arial" w:eastAsia="宋体" w:hAnsi="Arial" w:cs="Arial"/>
          <w:color w:val="000000"/>
          <w:sz w:val="8"/>
          <w:szCs w:val="8"/>
        </w:rPr>
        <w:t xml:space="preserve">® </w:t>
      </w:r>
      <w:r>
        <w:rPr>
          <w:rFonts w:ascii="Arial" w:eastAsia="宋体" w:hAnsi="Arial" w:cs="Arial"/>
          <w:color w:val="000000"/>
          <w:sz w:val="13"/>
          <w:szCs w:val="13"/>
        </w:rPr>
        <w:t>Gold Shares and SPDR</w:t>
      </w:r>
      <w:r>
        <w:rPr>
          <w:rFonts w:ascii="Arial" w:eastAsia="宋体" w:hAnsi="Arial" w:cs="Arial"/>
          <w:color w:val="000000"/>
          <w:sz w:val="8"/>
          <w:szCs w:val="8"/>
        </w:rPr>
        <w:t>®</w:t>
      </w:r>
      <w:r>
        <w:rPr>
          <w:rFonts w:ascii="Arial" w:eastAsia="宋体" w:hAnsi="Arial" w:cs="Arial"/>
          <w:color w:val="000000"/>
          <w:sz w:val="13"/>
          <w:szCs w:val="13"/>
        </w:rPr>
        <w:t xml:space="preserve"> Gold MiniSharesSM Trust. We are not the investment manager for the SPDR</w:t>
      </w:r>
      <w:r>
        <w:rPr>
          <w:rFonts w:ascii="Arial" w:eastAsia="宋体" w:hAnsi="Arial" w:cs="Arial"/>
          <w:color w:val="000000"/>
          <w:sz w:val="8"/>
          <w:szCs w:val="8"/>
        </w:rPr>
        <w:t xml:space="preserve">® </w:t>
      </w:r>
      <w:r>
        <w:rPr>
          <w:rFonts w:ascii="Arial" w:eastAsia="宋体" w:hAnsi="Arial" w:cs="Arial"/>
          <w:color w:val="000000"/>
          <w:sz w:val="13"/>
          <w:szCs w:val="13"/>
        </w:rPr>
        <w:t>Gold Shares and SPDR</w:t>
      </w:r>
      <w:r>
        <w:rPr>
          <w:rFonts w:ascii="Arial" w:eastAsia="宋体" w:hAnsi="Arial" w:cs="Arial"/>
          <w:color w:val="000000"/>
          <w:sz w:val="8"/>
          <w:szCs w:val="8"/>
        </w:rPr>
        <w:t>®</w:t>
      </w:r>
      <w:r>
        <w:rPr>
          <w:rFonts w:ascii="Arial" w:eastAsia="宋体" w:hAnsi="Arial" w:cs="Arial"/>
          <w:color w:val="000000"/>
          <w:sz w:val="13"/>
          <w:szCs w:val="13"/>
        </w:rPr>
        <w:t>Gold</w:t>
      </w:r>
      <w:r>
        <w:rPr>
          <w:rFonts w:ascii="Arial" w:eastAsia="宋体" w:hAnsi="Arial" w:cs="Arial"/>
          <w:color w:val="000000"/>
          <w:sz w:val="8"/>
          <w:szCs w:val="8"/>
        </w:rPr>
        <w:t xml:space="preserve"> </w:t>
      </w:r>
      <w:r>
        <w:rPr>
          <w:rFonts w:ascii="Arial" w:eastAsia="宋体" w:hAnsi="Arial" w:cs="Arial"/>
          <w:color w:val="000000"/>
          <w:sz w:val="13"/>
          <w:szCs w:val="13"/>
        </w:rPr>
        <w:t xml:space="preserve">MiniSharesSM Trust, but act as the marketing agent. </w:t>
      </w:r>
    </w:p>
    <w:tbl>
      <w:tblPr>
        <w:tblW w:w="5000" w:type="pct"/>
        <w:tblCellMar>
          <w:top w:w="15" w:type="dxa"/>
          <w:left w:w="15" w:type="dxa"/>
          <w:bottom w:w="15" w:type="dxa"/>
          <w:right w:w="15" w:type="dxa"/>
        </w:tblCellMar>
        <w:tblLook w:val="04A0" w:firstRow="1" w:lastRow="0" w:firstColumn="1" w:lastColumn="0" w:noHBand="0" w:noVBand="1"/>
      </w:tblPr>
      <w:tblGrid>
        <w:gridCol w:w="38"/>
        <w:gridCol w:w="3071"/>
        <w:gridCol w:w="38"/>
        <w:gridCol w:w="106"/>
        <w:gridCol w:w="1419"/>
        <w:gridCol w:w="38"/>
        <w:gridCol w:w="37"/>
        <w:gridCol w:w="37"/>
        <w:gridCol w:w="37"/>
        <w:gridCol w:w="106"/>
        <w:gridCol w:w="1379"/>
        <w:gridCol w:w="38"/>
        <w:gridCol w:w="36"/>
        <w:gridCol w:w="36"/>
        <w:gridCol w:w="36"/>
        <w:gridCol w:w="105"/>
        <w:gridCol w:w="1382"/>
        <w:gridCol w:w="37"/>
        <w:gridCol w:w="36"/>
        <w:gridCol w:w="36"/>
        <w:gridCol w:w="36"/>
        <w:gridCol w:w="36"/>
        <w:gridCol w:w="36"/>
        <w:gridCol w:w="36"/>
        <w:gridCol w:w="36"/>
        <w:gridCol w:w="36"/>
        <w:gridCol w:w="36"/>
        <w:gridCol w:w="36"/>
      </w:tblGrid>
      <w:tr w:rsidR="00584EC1" w14:paraId="74DD7F3B" w14:textId="77777777">
        <w:tc>
          <w:tcPr>
            <w:tcW w:w="50" w:type="pct"/>
            <w:shd w:val="clear" w:color="auto" w:fill="auto"/>
            <w:vAlign w:val="bottom"/>
          </w:tcPr>
          <w:p w14:paraId="74DD7F1F" w14:textId="77777777" w:rsidR="00584EC1" w:rsidRDefault="00584EC1">
            <w:pPr>
              <w:rPr>
                <w:rFonts w:ascii="宋体"/>
              </w:rPr>
            </w:pPr>
          </w:p>
        </w:tc>
        <w:tc>
          <w:tcPr>
            <w:tcW w:w="1955" w:type="pct"/>
            <w:shd w:val="clear" w:color="auto" w:fill="auto"/>
            <w:vAlign w:val="bottom"/>
          </w:tcPr>
          <w:p w14:paraId="74DD7F20" w14:textId="77777777" w:rsidR="00584EC1" w:rsidRDefault="00584EC1">
            <w:pPr>
              <w:rPr>
                <w:rFonts w:ascii="宋体"/>
              </w:rPr>
            </w:pPr>
          </w:p>
        </w:tc>
        <w:tc>
          <w:tcPr>
            <w:tcW w:w="5" w:type="pct"/>
            <w:shd w:val="clear" w:color="auto" w:fill="auto"/>
            <w:vAlign w:val="bottom"/>
          </w:tcPr>
          <w:p w14:paraId="74DD7F21" w14:textId="77777777" w:rsidR="00584EC1" w:rsidRDefault="00584EC1">
            <w:pPr>
              <w:rPr>
                <w:rFonts w:ascii="宋体"/>
              </w:rPr>
            </w:pPr>
          </w:p>
        </w:tc>
        <w:tc>
          <w:tcPr>
            <w:tcW w:w="50" w:type="pct"/>
            <w:shd w:val="clear" w:color="auto" w:fill="auto"/>
            <w:vAlign w:val="bottom"/>
          </w:tcPr>
          <w:p w14:paraId="74DD7F22" w14:textId="77777777" w:rsidR="00584EC1" w:rsidRDefault="00584EC1">
            <w:pPr>
              <w:rPr>
                <w:rFonts w:ascii="宋体"/>
              </w:rPr>
            </w:pPr>
          </w:p>
        </w:tc>
        <w:tc>
          <w:tcPr>
            <w:tcW w:w="917" w:type="pct"/>
            <w:shd w:val="clear" w:color="auto" w:fill="auto"/>
            <w:vAlign w:val="bottom"/>
          </w:tcPr>
          <w:p w14:paraId="74DD7F23" w14:textId="77777777" w:rsidR="00584EC1" w:rsidRDefault="00584EC1">
            <w:pPr>
              <w:rPr>
                <w:rFonts w:ascii="宋体"/>
              </w:rPr>
            </w:pPr>
          </w:p>
        </w:tc>
        <w:tc>
          <w:tcPr>
            <w:tcW w:w="5" w:type="pct"/>
            <w:shd w:val="clear" w:color="auto" w:fill="auto"/>
            <w:vAlign w:val="bottom"/>
          </w:tcPr>
          <w:p w14:paraId="74DD7F24" w14:textId="77777777" w:rsidR="00584EC1" w:rsidRDefault="00584EC1">
            <w:pPr>
              <w:rPr>
                <w:rFonts w:ascii="宋体"/>
              </w:rPr>
            </w:pPr>
          </w:p>
        </w:tc>
        <w:tc>
          <w:tcPr>
            <w:tcW w:w="5" w:type="pct"/>
            <w:shd w:val="clear" w:color="auto" w:fill="auto"/>
            <w:vAlign w:val="bottom"/>
          </w:tcPr>
          <w:p w14:paraId="74DD7F25" w14:textId="77777777" w:rsidR="00584EC1" w:rsidRDefault="00584EC1">
            <w:pPr>
              <w:rPr>
                <w:rFonts w:ascii="宋体"/>
              </w:rPr>
            </w:pPr>
          </w:p>
        </w:tc>
        <w:tc>
          <w:tcPr>
            <w:tcW w:w="26" w:type="pct"/>
            <w:shd w:val="clear" w:color="auto" w:fill="auto"/>
            <w:vAlign w:val="bottom"/>
          </w:tcPr>
          <w:p w14:paraId="74DD7F26" w14:textId="77777777" w:rsidR="00584EC1" w:rsidRDefault="00584EC1">
            <w:pPr>
              <w:rPr>
                <w:rFonts w:ascii="宋体"/>
              </w:rPr>
            </w:pPr>
          </w:p>
        </w:tc>
        <w:tc>
          <w:tcPr>
            <w:tcW w:w="5" w:type="pct"/>
            <w:shd w:val="clear" w:color="auto" w:fill="auto"/>
            <w:vAlign w:val="bottom"/>
          </w:tcPr>
          <w:p w14:paraId="74DD7F27" w14:textId="77777777" w:rsidR="00584EC1" w:rsidRDefault="00584EC1">
            <w:pPr>
              <w:rPr>
                <w:rFonts w:ascii="宋体"/>
              </w:rPr>
            </w:pPr>
          </w:p>
        </w:tc>
        <w:tc>
          <w:tcPr>
            <w:tcW w:w="50" w:type="pct"/>
            <w:shd w:val="clear" w:color="auto" w:fill="auto"/>
            <w:vAlign w:val="bottom"/>
          </w:tcPr>
          <w:p w14:paraId="74DD7F28" w14:textId="77777777" w:rsidR="00584EC1" w:rsidRDefault="00584EC1">
            <w:pPr>
              <w:rPr>
                <w:rFonts w:ascii="宋体"/>
              </w:rPr>
            </w:pPr>
          </w:p>
        </w:tc>
        <w:tc>
          <w:tcPr>
            <w:tcW w:w="917" w:type="pct"/>
            <w:shd w:val="clear" w:color="auto" w:fill="auto"/>
            <w:vAlign w:val="bottom"/>
          </w:tcPr>
          <w:p w14:paraId="74DD7F29" w14:textId="77777777" w:rsidR="00584EC1" w:rsidRDefault="00584EC1">
            <w:pPr>
              <w:rPr>
                <w:rFonts w:ascii="宋体"/>
              </w:rPr>
            </w:pPr>
          </w:p>
        </w:tc>
        <w:tc>
          <w:tcPr>
            <w:tcW w:w="5" w:type="pct"/>
            <w:shd w:val="clear" w:color="auto" w:fill="auto"/>
            <w:vAlign w:val="bottom"/>
          </w:tcPr>
          <w:p w14:paraId="74DD7F2A" w14:textId="77777777" w:rsidR="00584EC1" w:rsidRDefault="00584EC1">
            <w:pPr>
              <w:rPr>
                <w:rFonts w:ascii="宋体"/>
              </w:rPr>
            </w:pPr>
          </w:p>
        </w:tc>
        <w:tc>
          <w:tcPr>
            <w:tcW w:w="5" w:type="pct"/>
            <w:shd w:val="clear" w:color="auto" w:fill="auto"/>
            <w:vAlign w:val="bottom"/>
          </w:tcPr>
          <w:p w14:paraId="74DD7F2B" w14:textId="77777777" w:rsidR="00584EC1" w:rsidRDefault="00584EC1">
            <w:pPr>
              <w:rPr>
                <w:rFonts w:ascii="宋体"/>
              </w:rPr>
            </w:pPr>
          </w:p>
        </w:tc>
        <w:tc>
          <w:tcPr>
            <w:tcW w:w="26" w:type="pct"/>
            <w:shd w:val="clear" w:color="auto" w:fill="auto"/>
            <w:vAlign w:val="bottom"/>
          </w:tcPr>
          <w:p w14:paraId="74DD7F2C" w14:textId="77777777" w:rsidR="00584EC1" w:rsidRDefault="00584EC1">
            <w:pPr>
              <w:rPr>
                <w:rFonts w:ascii="宋体"/>
              </w:rPr>
            </w:pPr>
          </w:p>
        </w:tc>
        <w:tc>
          <w:tcPr>
            <w:tcW w:w="5" w:type="pct"/>
            <w:shd w:val="clear" w:color="auto" w:fill="auto"/>
            <w:vAlign w:val="bottom"/>
          </w:tcPr>
          <w:p w14:paraId="74DD7F2D" w14:textId="77777777" w:rsidR="00584EC1" w:rsidRDefault="00584EC1">
            <w:pPr>
              <w:rPr>
                <w:rFonts w:ascii="宋体"/>
              </w:rPr>
            </w:pPr>
          </w:p>
        </w:tc>
        <w:tc>
          <w:tcPr>
            <w:tcW w:w="50" w:type="pct"/>
            <w:shd w:val="clear" w:color="auto" w:fill="auto"/>
            <w:vAlign w:val="bottom"/>
          </w:tcPr>
          <w:p w14:paraId="74DD7F2E" w14:textId="77777777" w:rsidR="00584EC1" w:rsidRDefault="00584EC1">
            <w:pPr>
              <w:rPr>
                <w:rFonts w:ascii="宋体"/>
              </w:rPr>
            </w:pPr>
          </w:p>
        </w:tc>
        <w:tc>
          <w:tcPr>
            <w:tcW w:w="917" w:type="pct"/>
            <w:shd w:val="clear" w:color="auto" w:fill="auto"/>
            <w:vAlign w:val="bottom"/>
          </w:tcPr>
          <w:p w14:paraId="74DD7F2F" w14:textId="77777777" w:rsidR="00584EC1" w:rsidRDefault="00584EC1">
            <w:pPr>
              <w:rPr>
                <w:rFonts w:ascii="宋体"/>
              </w:rPr>
            </w:pPr>
          </w:p>
        </w:tc>
        <w:tc>
          <w:tcPr>
            <w:tcW w:w="5" w:type="pct"/>
            <w:shd w:val="clear" w:color="auto" w:fill="auto"/>
            <w:vAlign w:val="bottom"/>
          </w:tcPr>
          <w:p w14:paraId="74DD7F30" w14:textId="77777777" w:rsidR="00584EC1" w:rsidRDefault="00584EC1">
            <w:pPr>
              <w:rPr>
                <w:rFonts w:ascii="宋体"/>
              </w:rPr>
            </w:pPr>
          </w:p>
        </w:tc>
        <w:tc>
          <w:tcPr>
            <w:tcW w:w="0" w:type="auto"/>
            <w:shd w:val="clear" w:color="auto" w:fill="auto"/>
            <w:vAlign w:val="bottom"/>
          </w:tcPr>
          <w:p w14:paraId="74DD7F31" w14:textId="77777777" w:rsidR="00584EC1" w:rsidRDefault="00584EC1">
            <w:pPr>
              <w:rPr>
                <w:rFonts w:ascii="宋体"/>
                <w:vanish/>
              </w:rPr>
            </w:pPr>
          </w:p>
        </w:tc>
        <w:tc>
          <w:tcPr>
            <w:tcW w:w="0" w:type="auto"/>
            <w:shd w:val="clear" w:color="auto" w:fill="auto"/>
            <w:vAlign w:val="bottom"/>
          </w:tcPr>
          <w:p w14:paraId="74DD7F32" w14:textId="77777777" w:rsidR="00584EC1" w:rsidRDefault="00584EC1">
            <w:pPr>
              <w:rPr>
                <w:rFonts w:ascii="宋体"/>
                <w:vanish/>
              </w:rPr>
            </w:pPr>
          </w:p>
        </w:tc>
        <w:tc>
          <w:tcPr>
            <w:tcW w:w="0" w:type="auto"/>
            <w:shd w:val="clear" w:color="auto" w:fill="auto"/>
            <w:vAlign w:val="bottom"/>
          </w:tcPr>
          <w:p w14:paraId="74DD7F33" w14:textId="77777777" w:rsidR="00584EC1" w:rsidRDefault="00584EC1">
            <w:pPr>
              <w:rPr>
                <w:rFonts w:ascii="宋体"/>
                <w:vanish/>
              </w:rPr>
            </w:pPr>
          </w:p>
        </w:tc>
        <w:tc>
          <w:tcPr>
            <w:tcW w:w="0" w:type="auto"/>
            <w:shd w:val="clear" w:color="auto" w:fill="auto"/>
            <w:vAlign w:val="bottom"/>
          </w:tcPr>
          <w:p w14:paraId="74DD7F34" w14:textId="77777777" w:rsidR="00584EC1" w:rsidRDefault="00584EC1">
            <w:pPr>
              <w:rPr>
                <w:rFonts w:ascii="宋体"/>
                <w:vanish/>
              </w:rPr>
            </w:pPr>
          </w:p>
        </w:tc>
        <w:tc>
          <w:tcPr>
            <w:tcW w:w="0" w:type="auto"/>
            <w:shd w:val="clear" w:color="auto" w:fill="auto"/>
            <w:vAlign w:val="bottom"/>
          </w:tcPr>
          <w:p w14:paraId="74DD7F35" w14:textId="77777777" w:rsidR="00584EC1" w:rsidRDefault="00584EC1">
            <w:pPr>
              <w:rPr>
                <w:rFonts w:ascii="宋体"/>
                <w:vanish/>
              </w:rPr>
            </w:pPr>
          </w:p>
        </w:tc>
        <w:tc>
          <w:tcPr>
            <w:tcW w:w="0" w:type="auto"/>
            <w:shd w:val="clear" w:color="auto" w:fill="auto"/>
            <w:vAlign w:val="bottom"/>
          </w:tcPr>
          <w:p w14:paraId="74DD7F36" w14:textId="77777777" w:rsidR="00584EC1" w:rsidRDefault="00584EC1">
            <w:pPr>
              <w:rPr>
                <w:rFonts w:ascii="宋体"/>
                <w:vanish/>
              </w:rPr>
            </w:pPr>
          </w:p>
        </w:tc>
        <w:tc>
          <w:tcPr>
            <w:tcW w:w="0" w:type="auto"/>
            <w:shd w:val="clear" w:color="auto" w:fill="auto"/>
            <w:vAlign w:val="bottom"/>
          </w:tcPr>
          <w:p w14:paraId="74DD7F37" w14:textId="77777777" w:rsidR="00584EC1" w:rsidRDefault="00584EC1">
            <w:pPr>
              <w:rPr>
                <w:rFonts w:ascii="宋体"/>
                <w:vanish/>
              </w:rPr>
            </w:pPr>
          </w:p>
        </w:tc>
        <w:tc>
          <w:tcPr>
            <w:tcW w:w="0" w:type="auto"/>
            <w:shd w:val="clear" w:color="auto" w:fill="auto"/>
            <w:vAlign w:val="bottom"/>
          </w:tcPr>
          <w:p w14:paraId="74DD7F38" w14:textId="77777777" w:rsidR="00584EC1" w:rsidRDefault="00584EC1">
            <w:pPr>
              <w:rPr>
                <w:rFonts w:ascii="宋体"/>
                <w:vanish/>
              </w:rPr>
            </w:pPr>
          </w:p>
        </w:tc>
        <w:tc>
          <w:tcPr>
            <w:tcW w:w="0" w:type="auto"/>
            <w:shd w:val="clear" w:color="auto" w:fill="auto"/>
            <w:vAlign w:val="bottom"/>
          </w:tcPr>
          <w:p w14:paraId="74DD7F39" w14:textId="77777777" w:rsidR="00584EC1" w:rsidRDefault="00584EC1">
            <w:pPr>
              <w:rPr>
                <w:rFonts w:ascii="宋体"/>
                <w:vanish/>
              </w:rPr>
            </w:pPr>
          </w:p>
        </w:tc>
        <w:tc>
          <w:tcPr>
            <w:tcW w:w="0" w:type="auto"/>
            <w:shd w:val="clear" w:color="auto" w:fill="auto"/>
            <w:vAlign w:val="bottom"/>
          </w:tcPr>
          <w:p w14:paraId="74DD7F3A" w14:textId="77777777" w:rsidR="00584EC1" w:rsidRDefault="00584EC1">
            <w:pPr>
              <w:rPr>
                <w:rFonts w:ascii="宋体"/>
                <w:vanish/>
              </w:rPr>
            </w:pPr>
          </w:p>
        </w:tc>
      </w:tr>
      <w:tr w:rsidR="00584EC1" w14:paraId="74DD7F47" w14:textId="77777777">
        <w:tc>
          <w:tcPr>
            <w:tcW w:w="0" w:type="auto"/>
            <w:gridSpan w:val="18"/>
            <w:shd w:val="clear" w:color="auto" w:fill="auto"/>
            <w:tcMar>
              <w:top w:w="40" w:type="dxa"/>
              <w:left w:w="20" w:type="dxa"/>
              <w:bottom w:w="40" w:type="dxa"/>
              <w:right w:w="20" w:type="dxa"/>
            </w:tcMar>
            <w:vAlign w:val="center"/>
          </w:tcPr>
          <w:p w14:paraId="74DD7F3C" w14:textId="77777777" w:rsidR="00584EC1" w:rsidRDefault="00871F8D">
            <w:pPr>
              <w:textAlignment w:val="center"/>
            </w:pPr>
            <w:r>
              <w:rPr>
                <w:rFonts w:ascii="Arial" w:eastAsia="宋体" w:hAnsi="Arial" w:cs="Arial"/>
                <w:b/>
                <w:bCs/>
                <w:color w:val="000000"/>
                <w:sz w:val="16"/>
                <w:szCs w:val="16"/>
              </w:rPr>
              <w:t>TABLE 16: EXCHANGE-TRADED FUNDS BY ASSET CLASS</w:t>
            </w:r>
            <w:r>
              <w:rPr>
                <w:rFonts w:ascii="Arial" w:eastAsia="宋体" w:hAnsi="Arial" w:cs="Arial"/>
                <w:b/>
                <w:bCs/>
                <w:color w:val="000000"/>
                <w:sz w:val="10"/>
                <w:szCs w:val="10"/>
              </w:rPr>
              <w:t>(1)</w:t>
            </w:r>
          </w:p>
        </w:tc>
        <w:tc>
          <w:tcPr>
            <w:tcW w:w="0" w:type="auto"/>
            <w:shd w:val="clear" w:color="auto" w:fill="auto"/>
            <w:vAlign w:val="bottom"/>
          </w:tcPr>
          <w:p w14:paraId="74DD7F3D" w14:textId="77777777" w:rsidR="00584EC1" w:rsidRDefault="00584EC1">
            <w:pPr>
              <w:rPr>
                <w:rFonts w:ascii="宋体"/>
                <w:vanish/>
              </w:rPr>
            </w:pPr>
          </w:p>
        </w:tc>
        <w:tc>
          <w:tcPr>
            <w:tcW w:w="0" w:type="auto"/>
            <w:shd w:val="clear" w:color="auto" w:fill="auto"/>
            <w:vAlign w:val="bottom"/>
          </w:tcPr>
          <w:p w14:paraId="74DD7F3E" w14:textId="77777777" w:rsidR="00584EC1" w:rsidRDefault="00584EC1">
            <w:pPr>
              <w:rPr>
                <w:rFonts w:ascii="宋体"/>
                <w:vanish/>
              </w:rPr>
            </w:pPr>
          </w:p>
        </w:tc>
        <w:tc>
          <w:tcPr>
            <w:tcW w:w="0" w:type="auto"/>
            <w:shd w:val="clear" w:color="auto" w:fill="auto"/>
            <w:vAlign w:val="bottom"/>
          </w:tcPr>
          <w:p w14:paraId="74DD7F3F" w14:textId="77777777" w:rsidR="00584EC1" w:rsidRDefault="00584EC1">
            <w:pPr>
              <w:rPr>
                <w:rFonts w:ascii="宋体"/>
                <w:vanish/>
              </w:rPr>
            </w:pPr>
          </w:p>
        </w:tc>
        <w:tc>
          <w:tcPr>
            <w:tcW w:w="0" w:type="auto"/>
            <w:shd w:val="clear" w:color="auto" w:fill="auto"/>
            <w:vAlign w:val="bottom"/>
          </w:tcPr>
          <w:p w14:paraId="74DD7F40" w14:textId="77777777" w:rsidR="00584EC1" w:rsidRDefault="00584EC1">
            <w:pPr>
              <w:rPr>
                <w:rFonts w:ascii="宋体"/>
                <w:vanish/>
              </w:rPr>
            </w:pPr>
          </w:p>
        </w:tc>
        <w:tc>
          <w:tcPr>
            <w:tcW w:w="0" w:type="auto"/>
            <w:shd w:val="clear" w:color="auto" w:fill="auto"/>
            <w:vAlign w:val="bottom"/>
          </w:tcPr>
          <w:p w14:paraId="74DD7F41" w14:textId="77777777" w:rsidR="00584EC1" w:rsidRDefault="00584EC1">
            <w:pPr>
              <w:rPr>
                <w:rFonts w:ascii="宋体"/>
                <w:vanish/>
              </w:rPr>
            </w:pPr>
          </w:p>
        </w:tc>
        <w:tc>
          <w:tcPr>
            <w:tcW w:w="0" w:type="auto"/>
            <w:shd w:val="clear" w:color="auto" w:fill="auto"/>
            <w:vAlign w:val="bottom"/>
          </w:tcPr>
          <w:p w14:paraId="74DD7F42" w14:textId="77777777" w:rsidR="00584EC1" w:rsidRDefault="00584EC1">
            <w:pPr>
              <w:rPr>
                <w:rFonts w:ascii="宋体"/>
                <w:vanish/>
              </w:rPr>
            </w:pPr>
          </w:p>
        </w:tc>
        <w:tc>
          <w:tcPr>
            <w:tcW w:w="0" w:type="auto"/>
            <w:shd w:val="clear" w:color="auto" w:fill="auto"/>
            <w:vAlign w:val="bottom"/>
          </w:tcPr>
          <w:p w14:paraId="74DD7F43" w14:textId="77777777" w:rsidR="00584EC1" w:rsidRDefault="00584EC1">
            <w:pPr>
              <w:rPr>
                <w:rFonts w:ascii="宋体"/>
                <w:vanish/>
              </w:rPr>
            </w:pPr>
          </w:p>
        </w:tc>
        <w:tc>
          <w:tcPr>
            <w:tcW w:w="0" w:type="auto"/>
            <w:shd w:val="clear" w:color="auto" w:fill="auto"/>
            <w:vAlign w:val="bottom"/>
          </w:tcPr>
          <w:p w14:paraId="74DD7F44" w14:textId="77777777" w:rsidR="00584EC1" w:rsidRDefault="00584EC1">
            <w:pPr>
              <w:rPr>
                <w:rFonts w:ascii="宋体"/>
                <w:vanish/>
              </w:rPr>
            </w:pPr>
          </w:p>
        </w:tc>
        <w:tc>
          <w:tcPr>
            <w:tcW w:w="0" w:type="auto"/>
            <w:shd w:val="clear" w:color="auto" w:fill="auto"/>
            <w:vAlign w:val="bottom"/>
          </w:tcPr>
          <w:p w14:paraId="74DD7F45" w14:textId="77777777" w:rsidR="00584EC1" w:rsidRDefault="00584EC1">
            <w:pPr>
              <w:rPr>
                <w:rFonts w:ascii="宋体"/>
                <w:vanish/>
              </w:rPr>
            </w:pPr>
          </w:p>
        </w:tc>
        <w:tc>
          <w:tcPr>
            <w:tcW w:w="0" w:type="auto"/>
            <w:shd w:val="clear" w:color="auto" w:fill="auto"/>
            <w:vAlign w:val="bottom"/>
          </w:tcPr>
          <w:p w14:paraId="74DD7F46" w14:textId="77777777" w:rsidR="00584EC1" w:rsidRDefault="00584EC1">
            <w:pPr>
              <w:rPr>
                <w:rFonts w:ascii="宋体"/>
                <w:vanish/>
              </w:rPr>
            </w:pPr>
          </w:p>
        </w:tc>
      </w:tr>
      <w:tr w:rsidR="00584EC1" w14:paraId="74DD7F58" w14:textId="77777777">
        <w:tc>
          <w:tcPr>
            <w:tcW w:w="0" w:type="auto"/>
            <w:gridSpan w:val="3"/>
            <w:shd w:val="clear" w:color="auto" w:fill="auto"/>
            <w:tcMar>
              <w:top w:w="40" w:type="dxa"/>
              <w:left w:w="380" w:type="dxa"/>
              <w:bottom w:w="40" w:type="dxa"/>
              <w:right w:w="20" w:type="dxa"/>
            </w:tcMar>
            <w:vAlign w:val="bottom"/>
          </w:tcPr>
          <w:p w14:paraId="74DD7F48" w14:textId="77777777" w:rsidR="00584EC1" w:rsidRDefault="00871F8D">
            <w:pPr>
              <w:ind w:hanging="360"/>
              <w:textAlignment w:val="bottom"/>
            </w:pPr>
            <w:r>
              <w:rPr>
                <w:rFonts w:ascii="Arial" w:eastAsia="宋体" w:hAnsi="Arial" w:cs="Arial"/>
                <w:b/>
                <w:bCs/>
                <w:color w:val="000000"/>
                <w:sz w:val="15"/>
                <w:szCs w:val="15"/>
              </w:rPr>
              <w:t>(In billions)</w:t>
            </w:r>
          </w:p>
        </w:tc>
        <w:tc>
          <w:tcPr>
            <w:tcW w:w="0" w:type="auto"/>
            <w:gridSpan w:val="3"/>
            <w:shd w:val="clear" w:color="auto" w:fill="auto"/>
            <w:tcMar>
              <w:top w:w="40" w:type="dxa"/>
              <w:left w:w="20" w:type="dxa"/>
              <w:bottom w:w="40" w:type="dxa"/>
              <w:right w:w="20" w:type="dxa"/>
            </w:tcMar>
            <w:vAlign w:val="bottom"/>
          </w:tcPr>
          <w:p w14:paraId="74DD7F49" w14:textId="77777777" w:rsidR="00584EC1" w:rsidRDefault="00871F8D">
            <w:pPr>
              <w:jc w:val="center"/>
              <w:textAlignment w:val="bottom"/>
            </w:pPr>
            <w:r>
              <w:rPr>
                <w:rFonts w:ascii="Arial" w:eastAsia="宋体" w:hAnsi="Arial" w:cs="Arial"/>
                <w:b/>
                <w:bCs/>
                <w:color w:val="000000"/>
                <w:sz w:val="15"/>
                <w:szCs w:val="15"/>
              </w:rPr>
              <w:t>September 30, 2021</w:t>
            </w:r>
          </w:p>
        </w:tc>
        <w:tc>
          <w:tcPr>
            <w:tcW w:w="0" w:type="auto"/>
            <w:gridSpan w:val="3"/>
            <w:shd w:val="clear" w:color="auto" w:fill="auto"/>
            <w:tcMar>
              <w:top w:w="0" w:type="dxa"/>
              <w:left w:w="20" w:type="dxa"/>
              <w:bottom w:w="0" w:type="dxa"/>
              <w:right w:w="20" w:type="dxa"/>
            </w:tcMar>
            <w:vAlign w:val="bottom"/>
          </w:tcPr>
          <w:p w14:paraId="74DD7F4A"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7F4B" w14:textId="77777777" w:rsidR="00584EC1" w:rsidRDefault="00871F8D">
            <w:pPr>
              <w:jc w:val="center"/>
              <w:textAlignment w:val="bottom"/>
            </w:pPr>
            <w:r>
              <w:rPr>
                <w:rFonts w:ascii="Arial" w:eastAsia="宋体" w:hAnsi="Arial" w:cs="Arial"/>
                <w:b/>
                <w:bCs/>
                <w:color w:val="000000"/>
                <w:sz w:val="15"/>
                <w:szCs w:val="15"/>
              </w:rPr>
              <w:t>December 31, 2020</w:t>
            </w:r>
          </w:p>
        </w:tc>
        <w:tc>
          <w:tcPr>
            <w:tcW w:w="0" w:type="auto"/>
            <w:gridSpan w:val="3"/>
            <w:shd w:val="clear" w:color="auto" w:fill="auto"/>
            <w:tcMar>
              <w:top w:w="0" w:type="dxa"/>
              <w:left w:w="20" w:type="dxa"/>
              <w:bottom w:w="0" w:type="dxa"/>
              <w:right w:w="20" w:type="dxa"/>
            </w:tcMar>
            <w:vAlign w:val="bottom"/>
          </w:tcPr>
          <w:p w14:paraId="74DD7F4C"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7F4D" w14:textId="77777777" w:rsidR="00584EC1" w:rsidRDefault="00871F8D">
            <w:pPr>
              <w:jc w:val="center"/>
              <w:textAlignment w:val="bottom"/>
            </w:pPr>
            <w:r>
              <w:rPr>
                <w:rFonts w:ascii="Arial" w:eastAsia="宋体" w:hAnsi="Arial" w:cs="Arial"/>
                <w:b/>
                <w:bCs/>
                <w:color w:val="000000"/>
                <w:sz w:val="15"/>
                <w:szCs w:val="15"/>
              </w:rPr>
              <w:t> September 30, 2020</w:t>
            </w:r>
          </w:p>
        </w:tc>
        <w:tc>
          <w:tcPr>
            <w:tcW w:w="0" w:type="auto"/>
            <w:shd w:val="clear" w:color="auto" w:fill="auto"/>
            <w:vAlign w:val="bottom"/>
          </w:tcPr>
          <w:p w14:paraId="74DD7F4E" w14:textId="77777777" w:rsidR="00584EC1" w:rsidRDefault="00584EC1">
            <w:pPr>
              <w:rPr>
                <w:rFonts w:ascii="宋体"/>
                <w:vanish/>
              </w:rPr>
            </w:pPr>
          </w:p>
        </w:tc>
        <w:tc>
          <w:tcPr>
            <w:tcW w:w="0" w:type="auto"/>
            <w:shd w:val="clear" w:color="auto" w:fill="auto"/>
            <w:vAlign w:val="bottom"/>
          </w:tcPr>
          <w:p w14:paraId="74DD7F4F" w14:textId="77777777" w:rsidR="00584EC1" w:rsidRDefault="00584EC1">
            <w:pPr>
              <w:rPr>
                <w:rFonts w:ascii="宋体"/>
                <w:vanish/>
              </w:rPr>
            </w:pPr>
          </w:p>
        </w:tc>
        <w:tc>
          <w:tcPr>
            <w:tcW w:w="0" w:type="auto"/>
            <w:shd w:val="clear" w:color="auto" w:fill="auto"/>
            <w:vAlign w:val="bottom"/>
          </w:tcPr>
          <w:p w14:paraId="74DD7F50" w14:textId="77777777" w:rsidR="00584EC1" w:rsidRDefault="00584EC1">
            <w:pPr>
              <w:rPr>
                <w:rFonts w:ascii="宋体"/>
                <w:vanish/>
              </w:rPr>
            </w:pPr>
          </w:p>
        </w:tc>
        <w:tc>
          <w:tcPr>
            <w:tcW w:w="0" w:type="auto"/>
            <w:shd w:val="clear" w:color="auto" w:fill="auto"/>
            <w:vAlign w:val="bottom"/>
          </w:tcPr>
          <w:p w14:paraId="74DD7F51" w14:textId="77777777" w:rsidR="00584EC1" w:rsidRDefault="00584EC1">
            <w:pPr>
              <w:rPr>
                <w:rFonts w:ascii="宋体"/>
                <w:vanish/>
              </w:rPr>
            </w:pPr>
          </w:p>
        </w:tc>
        <w:tc>
          <w:tcPr>
            <w:tcW w:w="0" w:type="auto"/>
            <w:shd w:val="clear" w:color="auto" w:fill="auto"/>
            <w:vAlign w:val="bottom"/>
          </w:tcPr>
          <w:p w14:paraId="74DD7F52" w14:textId="77777777" w:rsidR="00584EC1" w:rsidRDefault="00584EC1">
            <w:pPr>
              <w:rPr>
                <w:rFonts w:ascii="宋体"/>
                <w:vanish/>
              </w:rPr>
            </w:pPr>
          </w:p>
        </w:tc>
        <w:tc>
          <w:tcPr>
            <w:tcW w:w="0" w:type="auto"/>
            <w:shd w:val="clear" w:color="auto" w:fill="auto"/>
            <w:vAlign w:val="bottom"/>
          </w:tcPr>
          <w:p w14:paraId="74DD7F53" w14:textId="77777777" w:rsidR="00584EC1" w:rsidRDefault="00584EC1">
            <w:pPr>
              <w:rPr>
                <w:rFonts w:ascii="宋体"/>
                <w:vanish/>
              </w:rPr>
            </w:pPr>
          </w:p>
        </w:tc>
        <w:tc>
          <w:tcPr>
            <w:tcW w:w="0" w:type="auto"/>
            <w:shd w:val="clear" w:color="auto" w:fill="auto"/>
            <w:vAlign w:val="bottom"/>
          </w:tcPr>
          <w:p w14:paraId="74DD7F54" w14:textId="77777777" w:rsidR="00584EC1" w:rsidRDefault="00584EC1">
            <w:pPr>
              <w:rPr>
                <w:rFonts w:ascii="宋体"/>
                <w:vanish/>
              </w:rPr>
            </w:pPr>
          </w:p>
        </w:tc>
        <w:tc>
          <w:tcPr>
            <w:tcW w:w="0" w:type="auto"/>
            <w:shd w:val="clear" w:color="auto" w:fill="auto"/>
            <w:vAlign w:val="bottom"/>
          </w:tcPr>
          <w:p w14:paraId="74DD7F55" w14:textId="77777777" w:rsidR="00584EC1" w:rsidRDefault="00584EC1">
            <w:pPr>
              <w:rPr>
                <w:rFonts w:ascii="宋体"/>
                <w:vanish/>
              </w:rPr>
            </w:pPr>
          </w:p>
        </w:tc>
        <w:tc>
          <w:tcPr>
            <w:tcW w:w="0" w:type="auto"/>
            <w:shd w:val="clear" w:color="auto" w:fill="auto"/>
            <w:vAlign w:val="bottom"/>
          </w:tcPr>
          <w:p w14:paraId="74DD7F56" w14:textId="77777777" w:rsidR="00584EC1" w:rsidRDefault="00584EC1">
            <w:pPr>
              <w:rPr>
                <w:rFonts w:ascii="宋体"/>
                <w:vanish/>
              </w:rPr>
            </w:pPr>
          </w:p>
        </w:tc>
        <w:tc>
          <w:tcPr>
            <w:tcW w:w="0" w:type="auto"/>
            <w:shd w:val="clear" w:color="auto" w:fill="auto"/>
            <w:vAlign w:val="bottom"/>
          </w:tcPr>
          <w:p w14:paraId="74DD7F57" w14:textId="77777777" w:rsidR="00584EC1" w:rsidRDefault="00584EC1">
            <w:pPr>
              <w:rPr>
                <w:rFonts w:ascii="宋体"/>
                <w:vanish/>
              </w:rPr>
            </w:pPr>
          </w:p>
        </w:tc>
      </w:tr>
      <w:tr w:rsidR="00584EC1" w14:paraId="74DD7F6C" w14:textId="77777777">
        <w:tc>
          <w:tcPr>
            <w:tcW w:w="0" w:type="auto"/>
            <w:gridSpan w:val="3"/>
            <w:shd w:val="clear" w:color="auto" w:fill="CCEEFF"/>
            <w:tcMar>
              <w:top w:w="40" w:type="dxa"/>
              <w:left w:w="20" w:type="dxa"/>
              <w:bottom w:w="40" w:type="dxa"/>
              <w:right w:w="20" w:type="dxa"/>
            </w:tcMar>
            <w:vAlign w:val="bottom"/>
          </w:tcPr>
          <w:p w14:paraId="74DD7F59" w14:textId="77777777" w:rsidR="00584EC1" w:rsidRDefault="00871F8D">
            <w:pPr>
              <w:ind w:hanging="360"/>
              <w:textAlignment w:val="bottom"/>
            </w:pPr>
            <w:r>
              <w:rPr>
                <w:rFonts w:ascii="Arial" w:eastAsia="宋体" w:hAnsi="Arial" w:cs="Arial"/>
                <w:color w:val="000000"/>
                <w:sz w:val="15"/>
                <w:szCs w:val="15"/>
              </w:rPr>
              <w:t>Alternative Investments</w:t>
            </w:r>
            <w:r>
              <w:rPr>
                <w:rFonts w:ascii="Arial" w:eastAsia="宋体" w:hAnsi="Arial" w:cs="Arial"/>
                <w:color w:val="000000"/>
                <w:sz w:val="9"/>
                <w:szCs w:val="9"/>
              </w:rPr>
              <w:t>(2)(3)</w:t>
            </w:r>
          </w:p>
        </w:tc>
        <w:tc>
          <w:tcPr>
            <w:tcW w:w="0" w:type="auto"/>
            <w:tcBorders>
              <w:top w:val="single" w:sz="8" w:space="0" w:color="000000"/>
            </w:tcBorders>
            <w:shd w:val="clear" w:color="auto" w:fill="CCEEFF"/>
            <w:tcMar>
              <w:top w:w="40" w:type="dxa"/>
              <w:left w:w="20" w:type="dxa"/>
              <w:bottom w:w="40" w:type="dxa"/>
              <w:right w:w="0" w:type="dxa"/>
            </w:tcMar>
            <w:vAlign w:val="bottom"/>
          </w:tcPr>
          <w:p w14:paraId="74DD7F5A" w14:textId="77777777" w:rsidR="00584EC1" w:rsidRDefault="00871F8D">
            <w:pPr>
              <w:textAlignment w:val="bottom"/>
            </w:pPr>
            <w:r>
              <w:rPr>
                <w:rFonts w:ascii="Arial" w:eastAsia="宋体" w:hAnsi="Arial" w:cs="Arial"/>
                <w:b/>
                <w:bCs/>
                <w:color w:val="000000"/>
                <w:sz w:val="15"/>
                <w:szCs w:val="15"/>
              </w:rPr>
              <w:t>$</w:t>
            </w:r>
          </w:p>
        </w:tc>
        <w:tc>
          <w:tcPr>
            <w:tcW w:w="0" w:type="auto"/>
            <w:gridSpan w:val="2"/>
            <w:tcBorders>
              <w:top w:val="single" w:sz="8" w:space="0" w:color="000000"/>
            </w:tcBorders>
            <w:shd w:val="clear" w:color="auto" w:fill="CCEEFF"/>
            <w:tcMar>
              <w:top w:w="40" w:type="dxa"/>
              <w:left w:w="0" w:type="dxa"/>
              <w:bottom w:w="40" w:type="dxa"/>
              <w:right w:w="140" w:type="dxa"/>
            </w:tcMar>
            <w:vAlign w:val="bottom"/>
          </w:tcPr>
          <w:p w14:paraId="74DD7F5B" w14:textId="77777777" w:rsidR="00584EC1" w:rsidRDefault="00871F8D">
            <w:pPr>
              <w:jc w:val="right"/>
              <w:textAlignment w:val="bottom"/>
            </w:pPr>
            <w:r>
              <w:rPr>
                <w:rFonts w:ascii="Arial" w:eastAsia="宋体" w:hAnsi="Arial" w:cs="Arial"/>
                <w:b/>
                <w:bCs/>
                <w:color w:val="000000"/>
                <w:sz w:val="15"/>
                <w:szCs w:val="15"/>
              </w:rPr>
              <w:t>69</w:t>
            </w:r>
          </w:p>
        </w:tc>
        <w:tc>
          <w:tcPr>
            <w:tcW w:w="0" w:type="auto"/>
            <w:gridSpan w:val="3"/>
            <w:shd w:val="clear" w:color="auto" w:fill="CCEEFF"/>
            <w:tcMar>
              <w:top w:w="0" w:type="dxa"/>
              <w:left w:w="20" w:type="dxa"/>
              <w:bottom w:w="0" w:type="dxa"/>
              <w:right w:w="20" w:type="dxa"/>
            </w:tcMar>
            <w:vAlign w:val="bottom"/>
          </w:tcPr>
          <w:p w14:paraId="74DD7F5C"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7F5D" w14:textId="77777777" w:rsidR="00584EC1" w:rsidRDefault="00871F8D">
            <w:pPr>
              <w:textAlignment w:val="bottom"/>
            </w:pPr>
            <w:r>
              <w:rPr>
                <w:rFonts w:ascii="Arial" w:eastAsia="宋体" w:hAnsi="Arial" w:cs="Arial"/>
                <w:color w:val="000000"/>
                <w:sz w:val="15"/>
                <w:szCs w:val="15"/>
              </w:rPr>
              <w:t>$</w:t>
            </w:r>
          </w:p>
        </w:tc>
        <w:tc>
          <w:tcPr>
            <w:tcW w:w="0" w:type="auto"/>
            <w:gridSpan w:val="2"/>
            <w:tcBorders>
              <w:top w:val="single" w:sz="8" w:space="0" w:color="000000"/>
            </w:tcBorders>
            <w:shd w:val="clear" w:color="auto" w:fill="CCEEFF"/>
            <w:tcMar>
              <w:top w:w="40" w:type="dxa"/>
              <w:left w:w="0" w:type="dxa"/>
              <w:bottom w:w="40" w:type="dxa"/>
              <w:right w:w="140" w:type="dxa"/>
            </w:tcMar>
            <w:vAlign w:val="bottom"/>
          </w:tcPr>
          <w:p w14:paraId="74DD7F5E" w14:textId="77777777" w:rsidR="00584EC1" w:rsidRDefault="00871F8D">
            <w:pPr>
              <w:jc w:val="right"/>
              <w:textAlignment w:val="bottom"/>
            </w:pPr>
            <w:r>
              <w:rPr>
                <w:rFonts w:ascii="Arial" w:eastAsia="宋体" w:hAnsi="Arial" w:cs="Arial"/>
                <w:color w:val="000000"/>
                <w:sz w:val="15"/>
                <w:szCs w:val="15"/>
              </w:rPr>
              <w:t>83</w:t>
            </w:r>
          </w:p>
        </w:tc>
        <w:tc>
          <w:tcPr>
            <w:tcW w:w="0" w:type="auto"/>
            <w:gridSpan w:val="3"/>
            <w:shd w:val="clear" w:color="auto" w:fill="CCEEFF"/>
            <w:tcMar>
              <w:top w:w="0" w:type="dxa"/>
              <w:left w:w="20" w:type="dxa"/>
              <w:bottom w:w="0" w:type="dxa"/>
              <w:right w:w="20" w:type="dxa"/>
            </w:tcMar>
            <w:vAlign w:val="bottom"/>
          </w:tcPr>
          <w:p w14:paraId="74DD7F5F"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7F60" w14:textId="77777777" w:rsidR="00584EC1" w:rsidRDefault="00871F8D">
            <w:pPr>
              <w:textAlignment w:val="bottom"/>
            </w:pPr>
            <w:r>
              <w:rPr>
                <w:rFonts w:ascii="Arial" w:eastAsia="宋体" w:hAnsi="Arial" w:cs="Arial"/>
                <w:color w:val="000000"/>
                <w:sz w:val="15"/>
                <w:szCs w:val="15"/>
              </w:rPr>
              <w:t>$</w:t>
            </w:r>
          </w:p>
        </w:tc>
        <w:tc>
          <w:tcPr>
            <w:tcW w:w="0" w:type="auto"/>
            <w:gridSpan w:val="2"/>
            <w:tcBorders>
              <w:top w:val="single" w:sz="8" w:space="0" w:color="000000"/>
            </w:tcBorders>
            <w:shd w:val="clear" w:color="auto" w:fill="CCEEFF"/>
            <w:tcMar>
              <w:top w:w="40" w:type="dxa"/>
              <w:left w:w="0" w:type="dxa"/>
              <w:bottom w:w="40" w:type="dxa"/>
              <w:right w:w="140" w:type="dxa"/>
            </w:tcMar>
            <w:vAlign w:val="bottom"/>
          </w:tcPr>
          <w:p w14:paraId="74DD7F61" w14:textId="77777777" w:rsidR="00584EC1" w:rsidRDefault="00871F8D">
            <w:pPr>
              <w:jc w:val="right"/>
              <w:textAlignment w:val="bottom"/>
            </w:pPr>
            <w:r>
              <w:rPr>
                <w:rFonts w:ascii="Arial" w:eastAsia="宋体" w:hAnsi="Arial" w:cs="Arial"/>
                <w:color w:val="000000"/>
                <w:sz w:val="15"/>
                <w:szCs w:val="15"/>
              </w:rPr>
              <w:t>88</w:t>
            </w:r>
          </w:p>
        </w:tc>
        <w:tc>
          <w:tcPr>
            <w:tcW w:w="0" w:type="auto"/>
            <w:shd w:val="clear" w:color="auto" w:fill="auto"/>
            <w:vAlign w:val="bottom"/>
          </w:tcPr>
          <w:p w14:paraId="74DD7F62" w14:textId="77777777" w:rsidR="00584EC1" w:rsidRDefault="00584EC1">
            <w:pPr>
              <w:rPr>
                <w:rFonts w:ascii="宋体"/>
                <w:vanish/>
              </w:rPr>
            </w:pPr>
          </w:p>
        </w:tc>
        <w:tc>
          <w:tcPr>
            <w:tcW w:w="0" w:type="auto"/>
            <w:shd w:val="clear" w:color="auto" w:fill="auto"/>
            <w:vAlign w:val="bottom"/>
          </w:tcPr>
          <w:p w14:paraId="74DD7F63" w14:textId="77777777" w:rsidR="00584EC1" w:rsidRDefault="00584EC1">
            <w:pPr>
              <w:rPr>
                <w:rFonts w:ascii="宋体"/>
                <w:vanish/>
              </w:rPr>
            </w:pPr>
          </w:p>
        </w:tc>
        <w:tc>
          <w:tcPr>
            <w:tcW w:w="0" w:type="auto"/>
            <w:shd w:val="clear" w:color="auto" w:fill="auto"/>
            <w:vAlign w:val="bottom"/>
          </w:tcPr>
          <w:p w14:paraId="74DD7F64" w14:textId="77777777" w:rsidR="00584EC1" w:rsidRDefault="00584EC1">
            <w:pPr>
              <w:rPr>
                <w:rFonts w:ascii="宋体"/>
                <w:vanish/>
              </w:rPr>
            </w:pPr>
          </w:p>
        </w:tc>
        <w:tc>
          <w:tcPr>
            <w:tcW w:w="0" w:type="auto"/>
            <w:shd w:val="clear" w:color="auto" w:fill="auto"/>
            <w:vAlign w:val="bottom"/>
          </w:tcPr>
          <w:p w14:paraId="74DD7F65" w14:textId="77777777" w:rsidR="00584EC1" w:rsidRDefault="00584EC1">
            <w:pPr>
              <w:rPr>
                <w:rFonts w:ascii="宋体"/>
                <w:vanish/>
              </w:rPr>
            </w:pPr>
          </w:p>
        </w:tc>
        <w:tc>
          <w:tcPr>
            <w:tcW w:w="0" w:type="auto"/>
            <w:shd w:val="clear" w:color="auto" w:fill="auto"/>
            <w:vAlign w:val="bottom"/>
          </w:tcPr>
          <w:p w14:paraId="74DD7F66" w14:textId="77777777" w:rsidR="00584EC1" w:rsidRDefault="00584EC1">
            <w:pPr>
              <w:rPr>
                <w:rFonts w:ascii="宋体"/>
                <w:vanish/>
              </w:rPr>
            </w:pPr>
          </w:p>
        </w:tc>
        <w:tc>
          <w:tcPr>
            <w:tcW w:w="0" w:type="auto"/>
            <w:shd w:val="clear" w:color="auto" w:fill="auto"/>
            <w:vAlign w:val="bottom"/>
          </w:tcPr>
          <w:p w14:paraId="74DD7F67" w14:textId="77777777" w:rsidR="00584EC1" w:rsidRDefault="00584EC1">
            <w:pPr>
              <w:rPr>
                <w:rFonts w:ascii="宋体"/>
                <w:vanish/>
              </w:rPr>
            </w:pPr>
          </w:p>
        </w:tc>
        <w:tc>
          <w:tcPr>
            <w:tcW w:w="0" w:type="auto"/>
            <w:shd w:val="clear" w:color="auto" w:fill="auto"/>
            <w:vAlign w:val="bottom"/>
          </w:tcPr>
          <w:p w14:paraId="74DD7F68" w14:textId="77777777" w:rsidR="00584EC1" w:rsidRDefault="00584EC1">
            <w:pPr>
              <w:rPr>
                <w:rFonts w:ascii="宋体"/>
                <w:vanish/>
              </w:rPr>
            </w:pPr>
          </w:p>
        </w:tc>
        <w:tc>
          <w:tcPr>
            <w:tcW w:w="0" w:type="auto"/>
            <w:shd w:val="clear" w:color="auto" w:fill="auto"/>
            <w:vAlign w:val="bottom"/>
          </w:tcPr>
          <w:p w14:paraId="74DD7F69" w14:textId="77777777" w:rsidR="00584EC1" w:rsidRDefault="00584EC1">
            <w:pPr>
              <w:rPr>
                <w:rFonts w:ascii="宋体"/>
                <w:vanish/>
              </w:rPr>
            </w:pPr>
          </w:p>
        </w:tc>
        <w:tc>
          <w:tcPr>
            <w:tcW w:w="0" w:type="auto"/>
            <w:shd w:val="clear" w:color="auto" w:fill="auto"/>
            <w:vAlign w:val="bottom"/>
          </w:tcPr>
          <w:p w14:paraId="74DD7F6A" w14:textId="77777777" w:rsidR="00584EC1" w:rsidRDefault="00584EC1">
            <w:pPr>
              <w:rPr>
                <w:rFonts w:ascii="宋体"/>
                <w:vanish/>
              </w:rPr>
            </w:pPr>
          </w:p>
        </w:tc>
        <w:tc>
          <w:tcPr>
            <w:tcW w:w="0" w:type="auto"/>
            <w:shd w:val="clear" w:color="auto" w:fill="auto"/>
            <w:vAlign w:val="bottom"/>
          </w:tcPr>
          <w:p w14:paraId="74DD7F6B" w14:textId="77777777" w:rsidR="00584EC1" w:rsidRDefault="00584EC1">
            <w:pPr>
              <w:rPr>
                <w:rFonts w:ascii="宋体"/>
                <w:vanish/>
              </w:rPr>
            </w:pPr>
          </w:p>
        </w:tc>
      </w:tr>
      <w:tr w:rsidR="00584EC1" w14:paraId="74DD7F7D" w14:textId="77777777">
        <w:trPr>
          <w:hidden/>
        </w:trPr>
        <w:tc>
          <w:tcPr>
            <w:tcW w:w="0" w:type="auto"/>
            <w:gridSpan w:val="3"/>
            <w:shd w:val="clear" w:color="auto" w:fill="auto"/>
            <w:vAlign w:val="bottom"/>
          </w:tcPr>
          <w:p w14:paraId="74DD7F6D" w14:textId="77777777" w:rsidR="00584EC1" w:rsidRDefault="00584EC1">
            <w:pPr>
              <w:rPr>
                <w:rFonts w:ascii="宋体"/>
                <w:vanish/>
              </w:rPr>
            </w:pPr>
          </w:p>
        </w:tc>
        <w:tc>
          <w:tcPr>
            <w:tcW w:w="0" w:type="auto"/>
            <w:gridSpan w:val="3"/>
            <w:shd w:val="clear" w:color="auto" w:fill="auto"/>
            <w:vAlign w:val="bottom"/>
          </w:tcPr>
          <w:p w14:paraId="74DD7F6E" w14:textId="77777777" w:rsidR="00584EC1" w:rsidRDefault="00584EC1">
            <w:pPr>
              <w:rPr>
                <w:rFonts w:ascii="宋体"/>
                <w:vanish/>
              </w:rPr>
            </w:pPr>
          </w:p>
        </w:tc>
        <w:tc>
          <w:tcPr>
            <w:tcW w:w="0" w:type="auto"/>
            <w:gridSpan w:val="3"/>
            <w:shd w:val="clear" w:color="auto" w:fill="auto"/>
            <w:vAlign w:val="bottom"/>
          </w:tcPr>
          <w:p w14:paraId="74DD7F6F" w14:textId="77777777" w:rsidR="00584EC1" w:rsidRDefault="00584EC1">
            <w:pPr>
              <w:rPr>
                <w:rFonts w:ascii="宋体"/>
                <w:vanish/>
              </w:rPr>
            </w:pPr>
          </w:p>
        </w:tc>
        <w:tc>
          <w:tcPr>
            <w:tcW w:w="0" w:type="auto"/>
            <w:gridSpan w:val="3"/>
            <w:shd w:val="clear" w:color="auto" w:fill="auto"/>
            <w:vAlign w:val="bottom"/>
          </w:tcPr>
          <w:p w14:paraId="74DD7F70" w14:textId="77777777" w:rsidR="00584EC1" w:rsidRDefault="00584EC1">
            <w:pPr>
              <w:rPr>
                <w:rFonts w:ascii="宋体"/>
                <w:vanish/>
              </w:rPr>
            </w:pPr>
          </w:p>
        </w:tc>
        <w:tc>
          <w:tcPr>
            <w:tcW w:w="0" w:type="auto"/>
            <w:gridSpan w:val="3"/>
            <w:shd w:val="clear" w:color="auto" w:fill="auto"/>
            <w:vAlign w:val="bottom"/>
          </w:tcPr>
          <w:p w14:paraId="74DD7F71" w14:textId="77777777" w:rsidR="00584EC1" w:rsidRDefault="00584EC1">
            <w:pPr>
              <w:rPr>
                <w:rFonts w:ascii="宋体"/>
                <w:vanish/>
              </w:rPr>
            </w:pPr>
          </w:p>
        </w:tc>
        <w:tc>
          <w:tcPr>
            <w:tcW w:w="0" w:type="auto"/>
            <w:gridSpan w:val="3"/>
            <w:shd w:val="clear" w:color="auto" w:fill="auto"/>
            <w:vAlign w:val="bottom"/>
          </w:tcPr>
          <w:p w14:paraId="74DD7F72" w14:textId="77777777" w:rsidR="00584EC1" w:rsidRDefault="00584EC1">
            <w:pPr>
              <w:rPr>
                <w:rFonts w:ascii="宋体"/>
                <w:vanish/>
              </w:rPr>
            </w:pPr>
          </w:p>
        </w:tc>
        <w:tc>
          <w:tcPr>
            <w:tcW w:w="0" w:type="auto"/>
            <w:shd w:val="clear" w:color="auto" w:fill="auto"/>
            <w:vAlign w:val="bottom"/>
          </w:tcPr>
          <w:p w14:paraId="74DD7F73" w14:textId="77777777" w:rsidR="00584EC1" w:rsidRDefault="00584EC1">
            <w:pPr>
              <w:rPr>
                <w:rFonts w:ascii="宋体"/>
                <w:vanish/>
              </w:rPr>
            </w:pPr>
          </w:p>
        </w:tc>
        <w:tc>
          <w:tcPr>
            <w:tcW w:w="0" w:type="auto"/>
            <w:shd w:val="clear" w:color="auto" w:fill="auto"/>
            <w:vAlign w:val="bottom"/>
          </w:tcPr>
          <w:p w14:paraId="74DD7F74" w14:textId="77777777" w:rsidR="00584EC1" w:rsidRDefault="00584EC1">
            <w:pPr>
              <w:rPr>
                <w:rFonts w:ascii="宋体"/>
                <w:vanish/>
              </w:rPr>
            </w:pPr>
          </w:p>
        </w:tc>
        <w:tc>
          <w:tcPr>
            <w:tcW w:w="0" w:type="auto"/>
            <w:shd w:val="clear" w:color="auto" w:fill="auto"/>
            <w:vAlign w:val="bottom"/>
          </w:tcPr>
          <w:p w14:paraId="74DD7F75" w14:textId="77777777" w:rsidR="00584EC1" w:rsidRDefault="00584EC1">
            <w:pPr>
              <w:rPr>
                <w:rFonts w:ascii="宋体"/>
                <w:vanish/>
              </w:rPr>
            </w:pPr>
          </w:p>
        </w:tc>
        <w:tc>
          <w:tcPr>
            <w:tcW w:w="0" w:type="auto"/>
            <w:shd w:val="clear" w:color="auto" w:fill="auto"/>
            <w:vAlign w:val="bottom"/>
          </w:tcPr>
          <w:p w14:paraId="74DD7F76" w14:textId="77777777" w:rsidR="00584EC1" w:rsidRDefault="00584EC1">
            <w:pPr>
              <w:rPr>
                <w:rFonts w:ascii="宋体"/>
                <w:vanish/>
              </w:rPr>
            </w:pPr>
          </w:p>
        </w:tc>
        <w:tc>
          <w:tcPr>
            <w:tcW w:w="0" w:type="auto"/>
            <w:shd w:val="clear" w:color="auto" w:fill="auto"/>
            <w:vAlign w:val="bottom"/>
          </w:tcPr>
          <w:p w14:paraId="74DD7F77" w14:textId="77777777" w:rsidR="00584EC1" w:rsidRDefault="00584EC1">
            <w:pPr>
              <w:rPr>
                <w:rFonts w:ascii="宋体"/>
                <w:vanish/>
              </w:rPr>
            </w:pPr>
          </w:p>
        </w:tc>
        <w:tc>
          <w:tcPr>
            <w:tcW w:w="0" w:type="auto"/>
            <w:shd w:val="clear" w:color="auto" w:fill="auto"/>
            <w:vAlign w:val="bottom"/>
          </w:tcPr>
          <w:p w14:paraId="74DD7F78" w14:textId="77777777" w:rsidR="00584EC1" w:rsidRDefault="00584EC1">
            <w:pPr>
              <w:rPr>
                <w:rFonts w:ascii="宋体"/>
                <w:vanish/>
              </w:rPr>
            </w:pPr>
          </w:p>
        </w:tc>
        <w:tc>
          <w:tcPr>
            <w:tcW w:w="0" w:type="auto"/>
            <w:shd w:val="clear" w:color="auto" w:fill="auto"/>
            <w:vAlign w:val="bottom"/>
          </w:tcPr>
          <w:p w14:paraId="74DD7F79" w14:textId="77777777" w:rsidR="00584EC1" w:rsidRDefault="00584EC1">
            <w:pPr>
              <w:rPr>
                <w:rFonts w:ascii="宋体"/>
                <w:vanish/>
              </w:rPr>
            </w:pPr>
          </w:p>
        </w:tc>
        <w:tc>
          <w:tcPr>
            <w:tcW w:w="0" w:type="auto"/>
            <w:shd w:val="clear" w:color="auto" w:fill="auto"/>
            <w:vAlign w:val="bottom"/>
          </w:tcPr>
          <w:p w14:paraId="74DD7F7A" w14:textId="77777777" w:rsidR="00584EC1" w:rsidRDefault="00584EC1">
            <w:pPr>
              <w:rPr>
                <w:rFonts w:ascii="宋体"/>
                <w:vanish/>
              </w:rPr>
            </w:pPr>
          </w:p>
        </w:tc>
        <w:tc>
          <w:tcPr>
            <w:tcW w:w="0" w:type="auto"/>
            <w:shd w:val="clear" w:color="auto" w:fill="auto"/>
            <w:vAlign w:val="bottom"/>
          </w:tcPr>
          <w:p w14:paraId="74DD7F7B" w14:textId="77777777" w:rsidR="00584EC1" w:rsidRDefault="00584EC1">
            <w:pPr>
              <w:rPr>
                <w:rFonts w:ascii="宋体"/>
                <w:vanish/>
              </w:rPr>
            </w:pPr>
          </w:p>
        </w:tc>
        <w:tc>
          <w:tcPr>
            <w:tcW w:w="0" w:type="auto"/>
            <w:shd w:val="clear" w:color="auto" w:fill="auto"/>
            <w:vAlign w:val="bottom"/>
          </w:tcPr>
          <w:p w14:paraId="74DD7F7C" w14:textId="77777777" w:rsidR="00584EC1" w:rsidRDefault="00584EC1">
            <w:pPr>
              <w:rPr>
                <w:rFonts w:ascii="宋体"/>
                <w:vanish/>
              </w:rPr>
            </w:pPr>
          </w:p>
        </w:tc>
      </w:tr>
      <w:tr w:rsidR="00584EC1" w14:paraId="74DD7F8E" w14:textId="77777777">
        <w:tc>
          <w:tcPr>
            <w:tcW w:w="0" w:type="auto"/>
            <w:gridSpan w:val="3"/>
            <w:shd w:val="clear" w:color="auto" w:fill="FFFFFF"/>
            <w:tcMar>
              <w:top w:w="40" w:type="dxa"/>
              <w:left w:w="20" w:type="dxa"/>
              <w:bottom w:w="40" w:type="dxa"/>
              <w:right w:w="20" w:type="dxa"/>
            </w:tcMar>
            <w:vAlign w:val="bottom"/>
          </w:tcPr>
          <w:p w14:paraId="74DD7F7E" w14:textId="77777777" w:rsidR="00584EC1" w:rsidRDefault="00871F8D">
            <w:pPr>
              <w:ind w:hanging="360"/>
              <w:textAlignment w:val="bottom"/>
            </w:pPr>
            <w:r>
              <w:rPr>
                <w:rFonts w:ascii="Arial" w:eastAsia="宋体" w:hAnsi="Arial" w:cs="Arial"/>
                <w:color w:val="000000"/>
                <w:sz w:val="15"/>
                <w:szCs w:val="15"/>
              </w:rPr>
              <w:t>Equity</w:t>
            </w:r>
            <w:r>
              <w:rPr>
                <w:rFonts w:ascii="Arial" w:eastAsia="宋体" w:hAnsi="Arial" w:cs="Arial"/>
                <w:color w:val="000000"/>
                <w:sz w:val="9"/>
                <w:szCs w:val="9"/>
              </w:rPr>
              <w:t>(3)</w:t>
            </w:r>
          </w:p>
        </w:tc>
        <w:tc>
          <w:tcPr>
            <w:tcW w:w="0" w:type="auto"/>
            <w:gridSpan w:val="3"/>
            <w:shd w:val="clear" w:color="auto" w:fill="FFFFFF"/>
            <w:tcMar>
              <w:top w:w="40" w:type="dxa"/>
              <w:left w:w="20" w:type="dxa"/>
              <w:bottom w:w="40" w:type="dxa"/>
              <w:right w:w="140" w:type="dxa"/>
            </w:tcMar>
            <w:vAlign w:val="bottom"/>
          </w:tcPr>
          <w:p w14:paraId="74DD7F7F" w14:textId="77777777" w:rsidR="00584EC1" w:rsidRDefault="00871F8D">
            <w:pPr>
              <w:jc w:val="right"/>
              <w:textAlignment w:val="bottom"/>
            </w:pPr>
            <w:r>
              <w:rPr>
                <w:rFonts w:ascii="Arial" w:eastAsia="宋体" w:hAnsi="Arial" w:cs="Arial"/>
                <w:b/>
                <w:bCs/>
                <w:color w:val="000000"/>
                <w:sz w:val="15"/>
                <w:szCs w:val="15"/>
              </w:rPr>
              <w:t>849</w:t>
            </w:r>
          </w:p>
        </w:tc>
        <w:tc>
          <w:tcPr>
            <w:tcW w:w="0" w:type="auto"/>
            <w:gridSpan w:val="3"/>
            <w:shd w:val="clear" w:color="auto" w:fill="FFFFFF"/>
            <w:tcMar>
              <w:top w:w="0" w:type="dxa"/>
              <w:left w:w="20" w:type="dxa"/>
              <w:bottom w:w="0" w:type="dxa"/>
              <w:right w:w="20" w:type="dxa"/>
            </w:tcMar>
            <w:vAlign w:val="bottom"/>
          </w:tcPr>
          <w:p w14:paraId="74DD7F80" w14:textId="77777777" w:rsidR="00584EC1" w:rsidRDefault="00584EC1">
            <w:pPr>
              <w:rPr>
                <w:rFonts w:ascii="宋体"/>
              </w:rPr>
            </w:pPr>
          </w:p>
        </w:tc>
        <w:tc>
          <w:tcPr>
            <w:tcW w:w="0" w:type="auto"/>
            <w:gridSpan w:val="3"/>
            <w:shd w:val="clear" w:color="auto" w:fill="FFFFFF"/>
            <w:tcMar>
              <w:top w:w="40" w:type="dxa"/>
              <w:left w:w="20" w:type="dxa"/>
              <w:bottom w:w="40" w:type="dxa"/>
              <w:right w:w="140" w:type="dxa"/>
            </w:tcMar>
            <w:vAlign w:val="bottom"/>
          </w:tcPr>
          <w:p w14:paraId="74DD7F81" w14:textId="77777777" w:rsidR="00584EC1" w:rsidRDefault="00871F8D">
            <w:pPr>
              <w:jc w:val="right"/>
              <w:textAlignment w:val="bottom"/>
            </w:pPr>
            <w:r>
              <w:rPr>
                <w:rFonts w:ascii="Arial" w:eastAsia="宋体" w:hAnsi="Arial" w:cs="Arial"/>
                <w:color w:val="000000"/>
                <w:sz w:val="15"/>
                <w:szCs w:val="15"/>
              </w:rPr>
              <w:t>708</w:t>
            </w:r>
          </w:p>
        </w:tc>
        <w:tc>
          <w:tcPr>
            <w:tcW w:w="0" w:type="auto"/>
            <w:gridSpan w:val="3"/>
            <w:shd w:val="clear" w:color="auto" w:fill="FFFFFF"/>
            <w:tcMar>
              <w:top w:w="0" w:type="dxa"/>
              <w:left w:w="20" w:type="dxa"/>
              <w:bottom w:w="0" w:type="dxa"/>
              <w:right w:w="20" w:type="dxa"/>
            </w:tcMar>
            <w:vAlign w:val="bottom"/>
          </w:tcPr>
          <w:p w14:paraId="74DD7F82" w14:textId="77777777" w:rsidR="00584EC1" w:rsidRDefault="00584EC1">
            <w:pPr>
              <w:rPr>
                <w:rFonts w:ascii="宋体"/>
              </w:rPr>
            </w:pPr>
          </w:p>
        </w:tc>
        <w:tc>
          <w:tcPr>
            <w:tcW w:w="0" w:type="auto"/>
            <w:gridSpan w:val="3"/>
            <w:shd w:val="clear" w:color="auto" w:fill="FFFFFF"/>
            <w:tcMar>
              <w:top w:w="40" w:type="dxa"/>
              <w:left w:w="20" w:type="dxa"/>
              <w:bottom w:w="40" w:type="dxa"/>
              <w:right w:w="140" w:type="dxa"/>
            </w:tcMar>
            <w:vAlign w:val="bottom"/>
          </w:tcPr>
          <w:p w14:paraId="74DD7F83" w14:textId="77777777" w:rsidR="00584EC1" w:rsidRDefault="00871F8D">
            <w:pPr>
              <w:jc w:val="right"/>
              <w:textAlignment w:val="bottom"/>
            </w:pPr>
            <w:r>
              <w:rPr>
                <w:rFonts w:ascii="Arial" w:eastAsia="宋体" w:hAnsi="Arial" w:cs="Arial"/>
                <w:color w:val="000000"/>
                <w:sz w:val="15"/>
                <w:szCs w:val="15"/>
              </w:rPr>
              <w:t>605</w:t>
            </w:r>
          </w:p>
        </w:tc>
        <w:tc>
          <w:tcPr>
            <w:tcW w:w="0" w:type="auto"/>
            <w:shd w:val="clear" w:color="auto" w:fill="auto"/>
            <w:vAlign w:val="bottom"/>
          </w:tcPr>
          <w:p w14:paraId="74DD7F84" w14:textId="77777777" w:rsidR="00584EC1" w:rsidRDefault="00584EC1">
            <w:pPr>
              <w:rPr>
                <w:rFonts w:ascii="宋体"/>
                <w:vanish/>
              </w:rPr>
            </w:pPr>
          </w:p>
        </w:tc>
        <w:tc>
          <w:tcPr>
            <w:tcW w:w="0" w:type="auto"/>
            <w:shd w:val="clear" w:color="auto" w:fill="auto"/>
            <w:vAlign w:val="bottom"/>
          </w:tcPr>
          <w:p w14:paraId="74DD7F85" w14:textId="77777777" w:rsidR="00584EC1" w:rsidRDefault="00584EC1">
            <w:pPr>
              <w:rPr>
                <w:rFonts w:ascii="宋体"/>
                <w:vanish/>
              </w:rPr>
            </w:pPr>
          </w:p>
        </w:tc>
        <w:tc>
          <w:tcPr>
            <w:tcW w:w="0" w:type="auto"/>
            <w:shd w:val="clear" w:color="auto" w:fill="auto"/>
            <w:vAlign w:val="bottom"/>
          </w:tcPr>
          <w:p w14:paraId="74DD7F86" w14:textId="77777777" w:rsidR="00584EC1" w:rsidRDefault="00584EC1">
            <w:pPr>
              <w:rPr>
                <w:rFonts w:ascii="宋体"/>
                <w:vanish/>
              </w:rPr>
            </w:pPr>
          </w:p>
        </w:tc>
        <w:tc>
          <w:tcPr>
            <w:tcW w:w="0" w:type="auto"/>
            <w:shd w:val="clear" w:color="auto" w:fill="auto"/>
            <w:vAlign w:val="bottom"/>
          </w:tcPr>
          <w:p w14:paraId="74DD7F87" w14:textId="77777777" w:rsidR="00584EC1" w:rsidRDefault="00584EC1">
            <w:pPr>
              <w:rPr>
                <w:rFonts w:ascii="宋体"/>
                <w:vanish/>
              </w:rPr>
            </w:pPr>
          </w:p>
        </w:tc>
        <w:tc>
          <w:tcPr>
            <w:tcW w:w="0" w:type="auto"/>
            <w:shd w:val="clear" w:color="auto" w:fill="auto"/>
            <w:vAlign w:val="bottom"/>
          </w:tcPr>
          <w:p w14:paraId="74DD7F88" w14:textId="77777777" w:rsidR="00584EC1" w:rsidRDefault="00584EC1">
            <w:pPr>
              <w:rPr>
                <w:rFonts w:ascii="宋体"/>
                <w:vanish/>
              </w:rPr>
            </w:pPr>
          </w:p>
        </w:tc>
        <w:tc>
          <w:tcPr>
            <w:tcW w:w="0" w:type="auto"/>
            <w:shd w:val="clear" w:color="auto" w:fill="auto"/>
            <w:vAlign w:val="bottom"/>
          </w:tcPr>
          <w:p w14:paraId="74DD7F89" w14:textId="77777777" w:rsidR="00584EC1" w:rsidRDefault="00584EC1">
            <w:pPr>
              <w:rPr>
                <w:rFonts w:ascii="宋体"/>
                <w:vanish/>
              </w:rPr>
            </w:pPr>
          </w:p>
        </w:tc>
        <w:tc>
          <w:tcPr>
            <w:tcW w:w="0" w:type="auto"/>
            <w:shd w:val="clear" w:color="auto" w:fill="auto"/>
            <w:vAlign w:val="bottom"/>
          </w:tcPr>
          <w:p w14:paraId="74DD7F8A" w14:textId="77777777" w:rsidR="00584EC1" w:rsidRDefault="00584EC1">
            <w:pPr>
              <w:rPr>
                <w:rFonts w:ascii="宋体"/>
                <w:vanish/>
              </w:rPr>
            </w:pPr>
          </w:p>
        </w:tc>
        <w:tc>
          <w:tcPr>
            <w:tcW w:w="0" w:type="auto"/>
            <w:shd w:val="clear" w:color="auto" w:fill="auto"/>
            <w:vAlign w:val="bottom"/>
          </w:tcPr>
          <w:p w14:paraId="74DD7F8B" w14:textId="77777777" w:rsidR="00584EC1" w:rsidRDefault="00584EC1">
            <w:pPr>
              <w:rPr>
                <w:rFonts w:ascii="宋体"/>
                <w:vanish/>
              </w:rPr>
            </w:pPr>
          </w:p>
        </w:tc>
        <w:tc>
          <w:tcPr>
            <w:tcW w:w="0" w:type="auto"/>
            <w:shd w:val="clear" w:color="auto" w:fill="auto"/>
            <w:vAlign w:val="bottom"/>
          </w:tcPr>
          <w:p w14:paraId="74DD7F8C" w14:textId="77777777" w:rsidR="00584EC1" w:rsidRDefault="00584EC1">
            <w:pPr>
              <w:rPr>
                <w:rFonts w:ascii="宋体"/>
                <w:vanish/>
              </w:rPr>
            </w:pPr>
          </w:p>
        </w:tc>
        <w:tc>
          <w:tcPr>
            <w:tcW w:w="0" w:type="auto"/>
            <w:shd w:val="clear" w:color="auto" w:fill="auto"/>
            <w:vAlign w:val="bottom"/>
          </w:tcPr>
          <w:p w14:paraId="74DD7F8D" w14:textId="77777777" w:rsidR="00584EC1" w:rsidRDefault="00584EC1">
            <w:pPr>
              <w:rPr>
                <w:rFonts w:ascii="宋体"/>
                <w:vanish/>
              </w:rPr>
            </w:pPr>
          </w:p>
        </w:tc>
      </w:tr>
      <w:tr w:rsidR="00584EC1" w14:paraId="74DD7F9F" w14:textId="77777777">
        <w:tc>
          <w:tcPr>
            <w:tcW w:w="0" w:type="auto"/>
            <w:gridSpan w:val="3"/>
            <w:shd w:val="clear" w:color="auto" w:fill="CCEEFF"/>
            <w:tcMar>
              <w:top w:w="40" w:type="dxa"/>
              <w:left w:w="380" w:type="dxa"/>
              <w:bottom w:w="40" w:type="dxa"/>
              <w:right w:w="20" w:type="dxa"/>
            </w:tcMar>
            <w:vAlign w:val="bottom"/>
          </w:tcPr>
          <w:p w14:paraId="74DD7F8F" w14:textId="77777777" w:rsidR="00584EC1" w:rsidRDefault="00871F8D">
            <w:pPr>
              <w:ind w:hanging="360"/>
              <w:textAlignment w:val="bottom"/>
            </w:pPr>
            <w:r>
              <w:rPr>
                <w:rFonts w:ascii="Arial" w:eastAsia="宋体" w:hAnsi="Arial" w:cs="Arial"/>
                <w:color w:val="000000"/>
                <w:sz w:val="15"/>
                <w:szCs w:val="15"/>
              </w:rPr>
              <w:t>Multi Asset</w:t>
            </w:r>
          </w:p>
        </w:tc>
        <w:tc>
          <w:tcPr>
            <w:tcW w:w="0" w:type="auto"/>
            <w:gridSpan w:val="3"/>
            <w:shd w:val="clear" w:color="auto" w:fill="CCEEFF"/>
            <w:tcMar>
              <w:top w:w="40" w:type="dxa"/>
              <w:left w:w="20" w:type="dxa"/>
              <w:bottom w:w="40" w:type="dxa"/>
              <w:right w:w="140" w:type="dxa"/>
            </w:tcMar>
            <w:vAlign w:val="bottom"/>
          </w:tcPr>
          <w:p w14:paraId="74DD7F90" w14:textId="77777777" w:rsidR="00584EC1" w:rsidRDefault="00871F8D">
            <w:pPr>
              <w:jc w:val="right"/>
              <w:textAlignment w:val="bottom"/>
            </w:pPr>
            <w:r>
              <w:rPr>
                <w:rFonts w:ascii="Arial" w:eastAsia="宋体" w:hAnsi="Arial" w:cs="Arial"/>
                <w:b/>
                <w:bCs/>
                <w:color w:val="000000"/>
                <w:sz w:val="15"/>
                <w:szCs w:val="15"/>
              </w:rPr>
              <w:t>1</w:t>
            </w:r>
          </w:p>
        </w:tc>
        <w:tc>
          <w:tcPr>
            <w:tcW w:w="0" w:type="auto"/>
            <w:gridSpan w:val="3"/>
            <w:shd w:val="clear" w:color="auto" w:fill="CCEEFF"/>
            <w:tcMar>
              <w:top w:w="0" w:type="dxa"/>
              <w:left w:w="20" w:type="dxa"/>
              <w:bottom w:w="0" w:type="dxa"/>
              <w:right w:w="20" w:type="dxa"/>
            </w:tcMar>
            <w:vAlign w:val="bottom"/>
          </w:tcPr>
          <w:p w14:paraId="74DD7F91" w14:textId="77777777" w:rsidR="00584EC1" w:rsidRDefault="00584EC1">
            <w:pPr>
              <w:rPr>
                <w:rFonts w:ascii="宋体"/>
              </w:rPr>
            </w:pPr>
          </w:p>
        </w:tc>
        <w:tc>
          <w:tcPr>
            <w:tcW w:w="0" w:type="auto"/>
            <w:gridSpan w:val="3"/>
            <w:shd w:val="clear" w:color="auto" w:fill="CCEEFF"/>
            <w:tcMar>
              <w:top w:w="40" w:type="dxa"/>
              <w:left w:w="20" w:type="dxa"/>
              <w:bottom w:w="40" w:type="dxa"/>
              <w:right w:w="140" w:type="dxa"/>
            </w:tcMar>
            <w:vAlign w:val="bottom"/>
          </w:tcPr>
          <w:p w14:paraId="74DD7F92" w14:textId="77777777" w:rsidR="00584EC1" w:rsidRDefault="00871F8D">
            <w:pPr>
              <w:jc w:val="right"/>
              <w:textAlignment w:val="bottom"/>
            </w:pPr>
            <w:r>
              <w:rPr>
                <w:rFonts w:ascii="Arial" w:eastAsia="宋体" w:hAnsi="Arial" w:cs="Arial"/>
                <w:color w:val="000000"/>
                <w:sz w:val="15"/>
                <w:szCs w:val="15"/>
              </w:rPr>
              <w:t>—</w:t>
            </w:r>
          </w:p>
        </w:tc>
        <w:tc>
          <w:tcPr>
            <w:tcW w:w="0" w:type="auto"/>
            <w:gridSpan w:val="3"/>
            <w:shd w:val="clear" w:color="auto" w:fill="CCEEFF"/>
            <w:tcMar>
              <w:top w:w="0" w:type="dxa"/>
              <w:left w:w="20" w:type="dxa"/>
              <w:bottom w:w="0" w:type="dxa"/>
              <w:right w:w="20" w:type="dxa"/>
            </w:tcMar>
            <w:vAlign w:val="bottom"/>
          </w:tcPr>
          <w:p w14:paraId="74DD7F93" w14:textId="77777777" w:rsidR="00584EC1" w:rsidRDefault="00584EC1">
            <w:pPr>
              <w:rPr>
                <w:rFonts w:ascii="宋体"/>
              </w:rPr>
            </w:pPr>
          </w:p>
        </w:tc>
        <w:tc>
          <w:tcPr>
            <w:tcW w:w="0" w:type="auto"/>
            <w:gridSpan w:val="3"/>
            <w:shd w:val="clear" w:color="auto" w:fill="CCEEFF"/>
            <w:tcMar>
              <w:top w:w="40" w:type="dxa"/>
              <w:left w:w="20" w:type="dxa"/>
              <w:bottom w:w="40" w:type="dxa"/>
              <w:right w:w="140" w:type="dxa"/>
            </w:tcMar>
            <w:vAlign w:val="bottom"/>
          </w:tcPr>
          <w:p w14:paraId="74DD7F94" w14:textId="77777777" w:rsidR="00584EC1" w:rsidRDefault="00871F8D">
            <w:pPr>
              <w:jc w:val="right"/>
              <w:textAlignment w:val="bottom"/>
            </w:pPr>
            <w:r>
              <w:rPr>
                <w:rFonts w:ascii="Arial" w:eastAsia="宋体" w:hAnsi="Arial" w:cs="Arial"/>
                <w:color w:val="000000"/>
                <w:sz w:val="15"/>
                <w:szCs w:val="15"/>
              </w:rPr>
              <w:t>—</w:t>
            </w:r>
          </w:p>
        </w:tc>
        <w:tc>
          <w:tcPr>
            <w:tcW w:w="0" w:type="auto"/>
            <w:shd w:val="clear" w:color="auto" w:fill="auto"/>
            <w:vAlign w:val="bottom"/>
          </w:tcPr>
          <w:p w14:paraId="74DD7F95" w14:textId="77777777" w:rsidR="00584EC1" w:rsidRDefault="00584EC1">
            <w:pPr>
              <w:rPr>
                <w:rFonts w:ascii="宋体"/>
                <w:vanish/>
              </w:rPr>
            </w:pPr>
          </w:p>
        </w:tc>
        <w:tc>
          <w:tcPr>
            <w:tcW w:w="0" w:type="auto"/>
            <w:shd w:val="clear" w:color="auto" w:fill="auto"/>
            <w:vAlign w:val="bottom"/>
          </w:tcPr>
          <w:p w14:paraId="74DD7F96" w14:textId="77777777" w:rsidR="00584EC1" w:rsidRDefault="00584EC1">
            <w:pPr>
              <w:rPr>
                <w:rFonts w:ascii="宋体"/>
                <w:vanish/>
              </w:rPr>
            </w:pPr>
          </w:p>
        </w:tc>
        <w:tc>
          <w:tcPr>
            <w:tcW w:w="0" w:type="auto"/>
            <w:shd w:val="clear" w:color="auto" w:fill="auto"/>
            <w:vAlign w:val="bottom"/>
          </w:tcPr>
          <w:p w14:paraId="74DD7F97" w14:textId="77777777" w:rsidR="00584EC1" w:rsidRDefault="00584EC1">
            <w:pPr>
              <w:rPr>
                <w:rFonts w:ascii="宋体"/>
                <w:vanish/>
              </w:rPr>
            </w:pPr>
          </w:p>
        </w:tc>
        <w:tc>
          <w:tcPr>
            <w:tcW w:w="0" w:type="auto"/>
            <w:shd w:val="clear" w:color="auto" w:fill="auto"/>
            <w:vAlign w:val="bottom"/>
          </w:tcPr>
          <w:p w14:paraId="74DD7F98" w14:textId="77777777" w:rsidR="00584EC1" w:rsidRDefault="00584EC1">
            <w:pPr>
              <w:rPr>
                <w:rFonts w:ascii="宋体"/>
                <w:vanish/>
              </w:rPr>
            </w:pPr>
          </w:p>
        </w:tc>
        <w:tc>
          <w:tcPr>
            <w:tcW w:w="0" w:type="auto"/>
            <w:shd w:val="clear" w:color="auto" w:fill="auto"/>
            <w:vAlign w:val="bottom"/>
          </w:tcPr>
          <w:p w14:paraId="74DD7F99" w14:textId="77777777" w:rsidR="00584EC1" w:rsidRDefault="00584EC1">
            <w:pPr>
              <w:rPr>
                <w:rFonts w:ascii="宋体"/>
                <w:vanish/>
              </w:rPr>
            </w:pPr>
          </w:p>
        </w:tc>
        <w:tc>
          <w:tcPr>
            <w:tcW w:w="0" w:type="auto"/>
            <w:shd w:val="clear" w:color="auto" w:fill="auto"/>
            <w:vAlign w:val="bottom"/>
          </w:tcPr>
          <w:p w14:paraId="74DD7F9A" w14:textId="77777777" w:rsidR="00584EC1" w:rsidRDefault="00584EC1">
            <w:pPr>
              <w:rPr>
                <w:rFonts w:ascii="宋体"/>
                <w:vanish/>
              </w:rPr>
            </w:pPr>
          </w:p>
        </w:tc>
        <w:tc>
          <w:tcPr>
            <w:tcW w:w="0" w:type="auto"/>
            <w:shd w:val="clear" w:color="auto" w:fill="auto"/>
            <w:vAlign w:val="bottom"/>
          </w:tcPr>
          <w:p w14:paraId="74DD7F9B" w14:textId="77777777" w:rsidR="00584EC1" w:rsidRDefault="00584EC1">
            <w:pPr>
              <w:rPr>
                <w:rFonts w:ascii="宋体"/>
                <w:vanish/>
              </w:rPr>
            </w:pPr>
          </w:p>
        </w:tc>
        <w:tc>
          <w:tcPr>
            <w:tcW w:w="0" w:type="auto"/>
            <w:shd w:val="clear" w:color="auto" w:fill="auto"/>
            <w:vAlign w:val="bottom"/>
          </w:tcPr>
          <w:p w14:paraId="74DD7F9C" w14:textId="77777777" w:rsidR="00584EC1" w:rsidRDefault="00584EC1">
            <w:pPr>
              <w:rPr>
                <w:rFonts w:ascii="宋体"/>
                <w:vanish/>
              </w:rPr>
            </w:pPr>
          </w:p>
        </w:tc>
        <w:tc>
          <w:tcPr>
            <w:tcW w:w="0" w:type="auto"/>
            <w:shd w:val="clear" w:color="auto" w:fill="auto"/>
            <w:vAlign w:val="bottom"/>
          </w:tcPr>
          <w:p w14:paraId="74DD7F9D" w14:textId="77777777" w:rsidR="00584EC1" w:rsidRDefault="00584EC1">
            <w:pPr>
              <w:rPr>
                <w:rFonts w:ascii="宋体"/>
                <w:vanish/>
              </w:rPr>
            </w:pPr>
          </w:p>
        </w:tc>
        <w:tc>
          <w:tcPr>
            <w:tcW w:w="0" w:type="auto"/>
            <w:shd w:val="clear" w:color="auto" w:fill="auto"/>
            <w:vAlign w:val="bottom"/>
          </w:tcPr>
          <w:p w14:paraId="74DD7F9E" w14:textId="77777777" w:rsidR="00584EC1" w:rsidRDefault="00584EC1">
            <w:pPr>
              <w:rPr>
                <w:rFonts w:ascii="宋体"/>
                <w:vanish/>
              </w:rPr>
            </w:pPr>
          </w:p>
        </w:tc>
      </w:tr>
      <w:tr w:rsidR="00584EC1" w14:paraId="74DD7FB0" w14:textId="77777777">
        <w:tc>
          <w:tcPr>
            <w:tcW w:w="0" w:type="auto"/>
            <w:gridSpan w:val="3"/>
            <w:shd w:val="clear" w:color="auto" w:fill="FFFFFF"/>
            <w:tcMar>
              <w:top w:w="40" w:type="dxa"/>
              <w:left w:w="20" w:type="dxa"/>
              <w:bottom w:w="40" w:type="dxa"/>
              <w:right w:w="20" w:type="dxa"/>
            </w:tcMar>
            <w:vAlign w:val="bottom"/>
          </w:tcPr>
          <w:p w14:paraId="74DD7FA0" w14:textId="77777777" w:rsidR="00584EC1" w:rsidRDefault="00871F8D">
            <w:pPr>
              <w:ind w:hanging="360"/>
              <w:textAlignment w:val="bottom"/>
            </w:pPr>
            <w:r>
              <w:rPr>
                <w:rFonts w:ascii="Arial" w:eastAsia="宋体" w:hAnsi="Arial" w:cs="Arial"/>
                <w:color w:val="000000"/>
                <w:sz w:val="15"/>
                <w:szCs w:val="15"/>
              </w:rPr>
              <w:t>Fixed-Income</w:t>
            </w:r>
            <w:r>
              <w:rPr>
                <w:rFonts w:ascii="Arial" w:eastAsia="宋体" w:hAnsi="Arial" w:cs="Arial"/>
                <w:color w:val="000000"/>
                <w:sz w:val="9"/>
                <w:szCs w:val="9"/>
              </w:rPr>
              <w:t>(3)</w:t>
            </w:r>
          </w:p>
        </w:tc>
        <w:tc>
          <w:tcPr>
            <w:tcW w:w="0" w:type="auto"/>
            <w:gridSpan w:val="3"/>
            <w:shd w:val="clear" w:color="auto" w:fill="FFFFFF"/>
            <w:tcMar>
              <w:top w:w="40" w:type="dxa"/>
              <w:left w:w="20" w:type="dxa"/>
              <w:bottom w:w="40" w:type="dxa"/>
              <w:right w:w="140" w:type="dxa"/>
            </w:tcMar>
            <w:vAlign w:val="bottom"/>
          </w:tcPr>
          <w:p w14:paraId="74DD7FA1" w14:textId="77777777" w:rsidR="00584EC1" w:rsidRDefault="00871F8D">
            <w:pPr>
              <w:jc w:val="right"/>
              <w:textAlignment w:val="bottom"/>
            </w:pPr>
            <w:r>
              <w:rPr>
                <w:rFonts w:ascii="Arial" w:eastAsia="宋体" w:hAnsi="Arial" w:cs="Arial"/>
                <w:b/>
                <w:bCs/>
                <w:color w:val="000000"/>
                <w:sz w:val="15"/>
                <w:szCs w:val="15"/>
              </w:rPr>
              <w:t>131</w:t>
            </w:r>
          </w:p>
        </w:tc>
        <w:tc>
          <w:tcPr>
            <w:tcW w:w="0" w:type="auto"/>
            <w:gridSpan w:val="3"/>
            <w:shd w:val="clear" w:color="auto" w:fill="FFFFFF"/>
            <w:tcMar>
              <w:top w:w="0" w:type="dxa"/>
              <w:left w:w="20" w:type="dxa"/>
              <w:bottom w:w="0" w:type="dxa"/>
              <w:right w:w="20" w:type="dxa"/>
            </w:tcMar>
            <w:vAlign w:val="bottom"/>
          </w:tcPr>
          <w:p w14:paraId="74DD7FA2" w14:textId="77777777" w:rsidR="00584EC1" w:rsidRDefault="00584EC1">
            <w:pPr>
              <w:rPr>
                <w:rFonts w:ascii="宋体"/>
              </w:rPr>
            </w:pPr>
          </w:p>
        </w:tc>
        <w:tc>
          <w:tcPr>
            <w:tcW w:w="0" w:type="auto"/>
            <w:gridSpan w:val="3"/>
            <w:shd w:val="clear" w:color="auto" w:fill="FFFFFF"/>
            <w:tcMar>
              <w:top w:w="40" w:type="dxa"/>
              <w:left w:w="20" w:type="dxa"/>
              <w:bottom w:w="40" w:type="dxa"/>
              <w:right w:w="140" w:type="dxa"/>
            </w:tcMar>
            <w:vAlign w:val="bottom"/>
          </w:tcPr>
          <w:p w14:paraId="74DD7FA3" w14:textId="77777777" w:rsidR="00584EC1" w:rsidRDefault="00871F8D">
            <w:pPr>
              <w:jc w:val="right"/>
              <w:textAlignment w:val="bottom"/>
            </w:pPr>
            <w:r>
              <w:rPr>
                <w:rFonts w:ascii="Arial" w:eastAsia="宋体" w:hAnsi="Arial" w:cs="Arial"/>
                <w:color w:val="000000"/>
                <w:sz w:val="15"/>
                <w:szCs w:val="15"/>
              </w:rPr>
              <w:t>115</w:t>
            </w:r>
          </w:p>
        </w:tc>
        <w:tc>
          <w:tcPr>
            <w:tcW w:w="0" w:type="auto"/>
            <w:gridSpan w:val="3"/>
            <w:shd w:val="clear" w:color="auto" w:fill="FFFFFF"/>
            <w:tcMar>
              <w:top w:w="0" w:type="dxa"/>
              <w:left w:w="20" w:type="dxa"/>
              <w:bottom w:w="0" w:type="dxa"/>
              <w:right w:w="20" w:type="dxa"/>
            </w:tcMar>
            <w:vAlign w:val="bottom"/>
          </w:tcPr>
          <w:p w14:paraId="74DD7FA4" w14:textId="77777777" w:rsidR="00584EC1" w:rsidRDefault="00584EC1">
            <w:pPr>
              <w:rPr>
                <w:rFonts w:ascii="宋体"/>
              </w:rPr>
            </w:pPr>
          </w:p>
        </w:tc>
        <w:tc>
          <w:tcPr>
            <w:tcW w:w="0" w:type="auto"/>
            <w:gridSpan w:val="3"/>
            <w:shd w:val="clear" w:color="auto" w:fill="FFFFFF"/>
            <w:tcMar>
              <w:top w:w="40" w:type="dxa"/>
              <w:left w:w="20" w:type="dxa"/>
              <w:bottom w:w="40" w:type="dxa"/>
              <w:right w:w="140" w:type="dxa"/>
            </w:tcMar>
            <w:vAlign w:val="bottom"/>
          </w:tcPr>
          <w:p w14:paraId="74DD7FA5" w14:textId="77777777" w:rsidR="00584EC1" w:rsidRDefault="00871F8D">
            <w:pPr>
              <w:jc w:val="right"/>
              <w:textAlignment w:val="bottom"/>
            </w:pPr>
            <w:r>
              <w:rPr>
                <w:rFonts w:ascii="Arial" w:eastAsia="宋体" w:hAnsi="Arial" w:cs="Arial"/>
                <w:color w:val="000000"/>
                <w:sz w:val="15"/>
                <w:szCs w:val="15"/>
              </w:rPr>
              <w:t>108</w:t>
            </w:r>
          </w:p>
        </w:tc>
        <w:tc>
          <w:tcPr>
            <w:tcW w:w="0" w:type="auto"/>
            <w:shd w:val="clear" w:color="auto" w:fill="auto"/>
            <w:vAlign w:val="bottom"/>
          </w:tcPr>
          <w:p w14:paraId="74DD7FA6" w14:textId="77777777" w:rsidR="00584EC1" w:rsidRDefault="00584EC1">
            <w:pPr>
              <w:rPr>
                <w:rFonts w:ascii="宋体"/>
                <w:vanish/>
              </w:rPr>
            </w:pPr>
          </w:p>
        </w:tc>
        <w:tc>
          <w:tcPr>
            <w:tcW w:w="0" w:type="auto"/>
            <w:shd w:val="clear" w:color="auto" w:fill="auto"/>
            <w:vAlign w:val="bottom"/>
          </w:tcPr>
          <w:p w14:paraId="74DD7FA7" w14:textId="77777777" w:rsidR="00584EC1" w:rsidRDefault="00584EC1">
            <w:pPr>
              <w:rPr>
                <w:rFonts w:ascii="宋体"/>
                <w:vanish/>
              </w:rPr>
            </w:pPr>
          </w:p>
        </w:tc>
        <w:tc>
          <w:tcPr>
            <w:tcW w:w="0" w:type="auto"/>
            <w:shd w:val="clear" w:color="auto" w:fill="auto"/>
            <w:vAlign w:val="bottom"/>
          </w:tcPr>
          <w:p w14:paraId="74DD7FA8" w14:textId="77777777" w:rsidR="00584EC1" w:rsidRDefault="00584EC1">
            <w:pPr>
              <w:rPr>
                <w:rFonts w:ascii="宋体"/>
                <w:vanish/>
              </w:rPr>
            </w:pPr>
          </w:p>
        </w:tc>
        <w:tc>
          <w:tcPr>
            <w:tcW w:w="0" w:type="auto"/>
            <w:shd w:val="clear" w:color="auto" w:fill="auto"/>
            <w:vAlign w:val="bottom"/>
          </w:tcPr>
          <w:p w14:paraId="74DD7FA9" w14:textId="77777777" w:rsidR="00584EC1" w:rsidRDefault="00584EC1">
            <w:pPr>
              <w:rPr>
                <w:rFonts w:ascii="宋体"/>
                <w:vanish/>
              </w:rPr>
            </w:pPr>
          </w:p>
        </w:tc>
        <w:tc>
          <w:tcPr>
            <w:tcW w:w="0" w:type="auto"/>
            <w:shd w:val="clear" w:color="auto" w:fill="auto"/>
            <w:vAlign w:val="bottom"/>
          </w:tcPr>
          <w:p w14:paraId="74DD7FAA" w14:textId="77777777" w:rsidR="00584EC1" w:rsidRDefault="00584EC1">
            <w:pPr>
              <w:rPr>
                <w:rFonts w:ascii="宋体"/>
                <w:vanish/>
              </w:rPr>
            </w:pPr>
          </w:p>
        </w:tc>
        <w:tc>
          <w:tcPr>
            <w:tcW w:w="0" w:type="auto"/>
            <w:shd w:val="clear" w:color="auto" w:fill="auto"/>
            <w:vAlign w:val="bottom"/>
          </w:tcPr>
          <w:p w14:paraId="74DD7FAB" w14:textId="77777777" w:rsidR="00584EC1" w:rsidRDefault="00584EC1">
            <w:pPr>
              <w:rPr>
                <w:rFonts w:ascii="宋体"/>
                <w:vanish/>
              </w:rPr>
            </w:pPr>
          </w:p>
        </w:tc>
        <w:tc>
          <w:tcPr>
            <w:tcW w:w="0" w:type="auto"/>
            <w:shd w:val="clear" w:color="auto" w:fill="auto"/>
            <w:vAlign w:val="bottom"/>
          </w:tcPr>
          <w:p w14:paraId="74DD7FAC" w14:textId="77777777" w:rsidR="00584EC1" w:rsidRDefault="00584EC1">
            <w:pPr>
              <w:rPr>
                <w:rFonts w:ascii="宋体"/>
                <w:vanish/>
              </w:rPr>
            </w:pPr>
          </w:p>
        </w:tc>
        <w:tc>
          <w:tcPr>
            <w:tcW w:w="0" w:type="auto"/>
            <w:shd w:val="clear" w:color="auto" w:fill="auto"/>
            <w:vAlign w:val="bottom"/>
          </w:tcPr>
          <w:p w14:paraId="74DD7FAD" w14:textId="77777777" w:rsidR="00584EC1" w:rsidRDefault="00584EC1">
            <w:pPr>
              <w:rPr>
                <w:rFonts w:ascii="宋体"/>
                <w:vanish/>
              </w:rPr>
            </w:pPr>
          </w:p>
        </w:tc>
        <w:tc>
          <w:tcPr>
            <w:tcW w:w="0" w:type="auto"/>
            <w:shd w:val="clear" w:color="auto" w:fill="auto"/>
            <w:vAlign w:val="bottom"/>
          </w:tcPr>
          <w:p w14:paraId="74DD7FAE" w14:textId="77777777" w:rsidR="00584EC1" w:rsidRDefault="00584EC1">
            <w:pPr>
              <w:rPr>
                <w:rFonts w:ascii="宋体"/>
                <w:vanish/>
              </w:rPr>
            </w:pPr>
          </w:p>
        </w:tc>
        <w:tc>
          <w:tcPr>
            <w:tcW w:w="0" w:type="auto"/>
            <w:shd w:val="clear" w:color="auto" w:fill="auto"/>
            <w:vAlign w:val="bottom"/>
          </w:tcPr>
          <w:p w14:paraId="74DD7FAF" w14:textId="77777777" w:rsidR="00584EC1" w:rsidRDefault="00584EC1">
            <w:pPr>
              <w:rPr>
                <w:rFonts w:ascii="宋体"/>
                <w:vanish/>
              </w:rPr>
            </w:pPr>
          </w:p>
        </w:tc>
      </w:tr>
      <w:tr w:rsidR="00584EC1" w14:paraId="74DD7FC4" w14:textId="77777777">
        <w:tc>
          <w:tcPr>
            <w:tcW w:w="0" w:type="auto"/>
            <w:gridSpan w:val="3"/>
            <w:shd w:val="clear" w:color="auto" w:fill="CCEEFF"/>
            <w:tcMar>
              <w:top w:w="40" w:type="dxa"/>
              <w:left w:w="380" w:type="dxa"/>
              <w:bottom w:w="40" w:type="dxa"/>
              <w:right w:w="20" w:type="dxa"/>
            </w:tcMar>
            <w:vAlign w:val="bottom"/>
          </w:tcPr>
          <w:p w14:paraId="74DD7FB1" w14:textId="77777777" w:rsidR="00584EC1" w:rsidRDefault="00871F8D">
            <w:pPr>
              <w:ind w:hanging="360"/>
              <w:textAlignment w:val="bottom"/>
            </w:pPr>
            <w:r>
              <w:rPr>
                <w:rFonts w:ascii="Arial" w:eastAsia="宋体" w:hAnsi="Arial" w:cs="Arial"/>
                <w:b/>
                <w:bCs/>
                <w:color w:val="000000"/>
                <w:sz w:val="15"/>
                <w:szCs w:val="15"/>
              </w:rPr>
              <w:t>Total Exchange-Traded Funds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7FB2" w14:textId="77777777" w:rsidR="00584EC1" w:rsidRDefault="00871F8D">
            <w:pPr>
              <w:textAlignment w:val="bottom"/>
            </w:pPr>
            <w:r>
              <w:rPr>
                <w:rFonts w:ascii="Arial" w:eastAsia="宋体" w:hAnsi="Arial" w:cs="Arial"/>
                <w:b/>
                <w:bCs/>
                <w:color w:val="000000"/>
                <w:sz w:val="15"/>
                <w:szCs w:val="15"/>
              </w:rPr>
              <w:t>$</w:t>
            </w:r>
          </w:p>
        </w:tc>
        <w:tc>
          <w:tcPr>
            <w:tcW w:w="0" w:type="auto"/>
            <w:gridSpan w:val="2"/>
            <w:tcBorders>
              <w:top w:val="single" w:sz="8" w:space="0" w:color="000000"/>
              <w:bottom w:val="double" w:sz="6" w:space="0" w:color="000000"/>
            </w:tcBorders>
            <w:shd w:val="clear" w:color="auto" w:fill="CCEEFF"/>
            <w:tcMar>
              <w:top w:w="40" w:type="dxa"/>
              <w:left w:w="0" w:type="dxa"/>
              <w:bottom w:w="40" w:type="dxa"/>
              <w:right w:w="140" w:type="dxa"/>
            </w:tcMar>
            <w:vAlign w:val="bottom"/>
          </w:tcPr>
          <w:p w14:paraId="74DD7FB3" w14:textId="77777777" w:rsidR="00584EC1" w:rsidRDefault="00871F8D">
            <w:pPr>
              <w:jc w:val="right"/>
              <w:textAlignment w:val="bottom"/>
            </w:pPr>
            <w:r>
              <w:rPr>
                <w:rFonts w:ascii="Arial" w:eastAsia="宋体" w:hAnsi="Arial" w:cs="Arial"/>
                <w:b/>
                <w:bCs/>
                <w:color w:val="000000"/>
                <w:sz w:val="15"/>
                <w:szCs w:val="15"/>
              </w:rPr>
              <w:t>1,050</w:t>
            </w:r>
          </w:p>
        </w:tc>
        <w:tc>
          <w:tcPr>
            <w:tcW w:w="0" w:type="auto"/>
            <w:gridSpan w:val="3"/>
            <w:shd w:val="clear" w:color="auto" w:fill="CCEEFF"/>
            <w:tcMar>
              <w:top w:w="0" w:type="dxa"/>
              <w:left w:w="20" w:type="dxa"/>
              <w:bottom w:w="0" w:type="dxa"/>
              <w:right w:w="20" w:type="dxa"/>
            </w:tcMar>
            <w:vAlign w:val="bottom"/>
          </w:tcPr>
          <w:p w14:paraId="74DD7FB4"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7FB5" w14:textId="77777777" w:rsidR="00584EC1" w:rsidRDefault="00871F8D">
            <w:pPr>
              <w:textAlignment w:val="bottom"/>
            </w:pPr>
            <w:r>
              <w:rPr>
                <w:rFonts w:ascii="Arial" w:eastAsia="宋体" w:hAnsi="Arial" w:cs="Arial"/>
                <w:color w:val="000000"/>
                <w:sz w:val="15"/>
                <w:szCs w:val="15"/>
              </w:rPr>
              <w:t>$</w:t>
            </w:r>
          </w:p>
        </w:tc>
        <w:tc>
          <w:tcPr>
            <w:tcW w:w="0" w:type="auto"/>
            <w:gridSpan w:val="2"/>
            <w:tcBorders>
              <w:top w:val="single" w:sz="8" w:space="0" w:color="000000"/>
              <w:bottom w:val="double" w:sz="6" w:space="0" w:color="000000"/>
            </w:tcBorders>
            <w:shd w:val="clear" w:color="auto" w:fill="CCEEFF"/>
            <w:tcMar>
              <w:top w:w="40" w:type="dxa"/>
              <w:left w:w="0" w:type="dxa"/>
              <w:bottom w:w="40" w:type="dxa"/>
              <w:right w:w="140" w:type="dxa"/>
            </w:tcMar>
            <w:vAlign w:val="bottom"/>
          </w:tcPr>
          <w:p w14:paraId="74DD7FB6" w14:textId="77777777" w:rsidR="00584EC1" w:rsidRDefault="00871F8D">
            <w:pPr>
              <w:jc w:val="right"/>
              <w:textAlignment w:val="bottom"/>
            </w:pPr>
            <w:r>
              <w:rPr>
                <w:rFonts w:ascii="Arial" w:eastAsia="宋体" w:hAnsi="Arial" w:cs="Arial"/>
                <w:color w:val="000000"/>
                <w:sz w:val="15"/>
                <w:szCs w:val="15"/>
              </w:rPr>
              <w:t>906</w:t>
            </w:r>
          </w:p>
        </w:tc>
        <w:tc>
          <w:tcPr>
            <w:tcW w:w="0" w:type="auto"/>
            <w:gridSpan w:val="3"/>
            <w:shd w:val="clear" w:color="auto" w:fill="CCEEFF"/>
            <w:tcMar>
              <w:top w:w="0" w:type="dxa"/>
              <w:left w:w="20" w:type="dxa"/>
              <w:bottom w:w="0" w:type="dxa"/>
              <w:right w:w="20" w:type="dxa"/>
            </w:tcMar>
            <w:vAlign w:val="bottom"/>
          </w:tcPr>
          <w:p w14:paraId="74DD7FB7"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7FB8" w14:textId="77777777" w:rsidR="00584EC1" w:rsidRDefault="00871F8D">
            <w:pPr>
              <w:textAlignment w:val="bottom"/>
            </w:pPr>
            <w:r>
              <w:rPr>
                <w:rFonts w:ascii="Arial" w:eastAsia="宋体" w:hAnsi="Arial" w:cs="Arial"/>
                <w:color w:val="000000"/>
                <w:sz w:val="15"/>
                <w:szCs w:val="15"/>
              </w:rPr>
              <w:t>$</w:t>
            </w:r>
          </w:p>
        </w:tc>
        <w:tc>
          <w:tcPr>
            <w:tcW w:w="0" w:type="auto"/>
            <w:gridSpan w:val="2"/>
            <w:tcBorders>
              <w:top w:val="single" w:sz="8" w:space="0" w:color="000000"/>
              <w:bottom w:val="double" w:sz="6" w:space="0" w:color="000000"/>
            </w:tcBorders>
            <w:shd w:val="clear" w:color="auto" w:fill="CCEEFF"/>
            <w:tcMar>
              <w:top w:w="40" w:type="dxa"/>
              <w:left w:w="0" w:type="dxa"/>
              <w:bottom w:w="40" w:type="dxa"/>
              <w:right w:w="140" w:type="dxa"/>
            </w:tcMar>
            <w:vAlign w:val="bottom"/>
          </w:tcPr>
          <w:p w14:paraId="74DD7FB9" w14:textId="77777777" w:rsidR="00584EC1" w:rsidRDefault="00871F8D">
            <w:pPr>
              <w:jc w:val="right"/>
              <w:textAlignment w:val="bottom"/>
            </w:pPr>
            <w:r>
              <w:rPr>
                <w:rFonts w:ascii="Arial" w:eastAsia="宋体" w:hAnsi="Arial" w:cs="Arial"/>
                <w:color w:val="000000"/>
                <w:sz w:val="15"/>
                <w:szCs w:val="15"/>
              </w:rPr>
              <w:t>801</w:t>
            </w:r>
          </w:p>
        </w:tc>
        <w:tc>
          <w:tcPr>
            <w:tcW w:w="0" w:type="auto"/>
            <w:shd w:val="clear" w:color="auto" w:fill="auto"/>
            <w:vAlign w:val="bottom"/>
          </w:tcPr>
          <w:p w14:paraId="74DD7FBA" w14:textId="77777777" w:rsidR="00584EC1" w:rsidRDefault="00584EC1">
            <w:pPr>
              <w:rPr>
                <w:rFonts w:ascii="宋体"/>
                <w:vanish/>
              </w:rPr>
            </w:pPr>
          </w:p>
        </w:tc>
        <w:tc>
          <w:tcPr>
            <w:tcW w:w="0" w:type="auto"/>
            <w:shd w:val="clear" w:color="auto" w:fill="auto"/>
            <w:vAlign w:val="bottom"/>
          </w:tcPr>
          <w:p w14:paraId="74DD7FBB" w14:textId="77777777" w:rsidR="00584EC1" w:rsidRDefault="00584EC1">
            <w:pPr>
              <w:rPr>
                <w:rFonts w:ascii="宋体"/>
                <w:vanish/>
              </w:rPr>
            </w:pPr>
          </w:p>
        </w:tc>
        <w:tc>
          <w:tcPr>
            <w:tcW w:w="0" w:type="auto"/>
            <w:shd w:val="clear" w:color="auto" w:fill="auto"/>
            <w:vAlign w:val="bottom"/>
          </w:tcPr>
          <w:p w14:paraId="74DD7FBC" w14:textId="77777777" w:rsidR="00584EC1" w:rsidRDefault="00584EC1">
            <w:pPr>
              <w:rPr>
                <w:rFonts w:ascii="宋体"/>
                <w:vanish/>
              </w:rPr>
            </w:pPr>
          </w:p>
        </w:tc>
        <w:tc>
          <w:tcPr>
            <w:tcW w:w="0" w:type="auto"/>
            <w:shd w:val="clear" w:color="auto" w:fill="auto"/>
            <w:vAlign w:val="bottom"/>
          </w:tcPr>
          <w:p w14:paraId="74DD7FBD" w14:textId="77777777" w:rsidR="00584EC1" w:rsidRDefault="00584EC1">
            <w:pPr>
              <w:rPr>
                <w:rFonts w:ascii="宋体"/>
                <w:vanish/>
              </w:rPr>
            </w:pPr>
          </w:p>
        </w:tc>
        <w:tc>
          <w:tcPr>
            <w:tcW w:w="0" w:type="auto"/>
            <w:shd w:val="clear" w:color="auto" w:fill="auto"/>
            <w:vAlign w:val="bottom"/>
          </w:tcPr>
          <w:p w14:paraId="74DD7FBE" w14:textId="77777777" w:rsidR="00584EC1" w:rsidRDefault="00584EC1">
            <w:pPr>
              <w:rPr>
                <w:rFonts w:ascii="宋体"/>
                <w:vanish/>
              </w:rPr>
            </w:pPr>
          </w:p>
        </w:tc>
        <w:tc>
          <w:tcPr>
            <w:tcW w:w="0" w:type="auto"/>
            <w:shd w:val="clear" w:color="auto" w:fill="auto"/>
            <w:vAlign w:val="bottom"/>
          </w:tcPr>
          <w:p w14:paraId="74DD7FBF" w14:textId="77777777" w:rsidR="00584EC1" w:rsidRDefault="00584EC1">
            <w:pPr>
              <w:rPr>
                <w:rFonts w:ascii="宋体"/>
                <w:vanish/>
              </w:rPr>
            </w:pPr>
          </w:p>
        </w:tc>
        <w:tc>
          <w:tcPr>
            <w:tcW w:w="0" w:type="auto"/>
            <w:shd w:val="clear" w:color="auto" w:fill="auto"/>
            <w:vAlign w:val="bottom"/>
          </w:tcPr>
          <w:p w14:paraId="74DD7FC0" w14:textId="77777777" w:rsidR="00584EC1" w:rsidRDefault="00584EC1">
            <w:pPr>
              <w:rPr>
                <w:rFonts w:ascii="宋体"/>
                <w:vanish/>
              </w:rPr>
            </w:pPr>
          </w:p>
        </w:tc>
        <w:tc>
          <w:tcPr>
            <w:tcW w:w="0" w:type="auto"/>
            <w:shd w:val="clear" w:color="auto" w:fill="auto"/>
            <w:vAlign w:val="bottom"/>
          </w:tcPr>
          <w:p w14:paraId="74DD7FC1" w14:textId="77777777" w:rsidR="00584EC1" w:rsidRDefault="00584EC1">
            <w:pPr>
              <w:rPr>
                <w:rFonts w:ascii="宋体"/>
                <w:vanish/>
              </w:rPr>
            </w:pPr>
          </w:p>
        </w:tc>
        <w:tc>
          <w:tcPr>
            <w:tcW w:w="0" w:type="auto"/>
            <w:shd w:val="clear" w:color="auto" w:fill="auto"/>
            <w:vAlign w:val="bottom"/>
          </w:tcPr>
          <w:p w14:paraId="74DD7FC2" w14:textId="77777777" w:rsidR="00584EC1" w:rsidRDefault="00584EC1">
            <w:pPr>
              <w:rPr>
                <w:rFonts w:ascii="宋体"/>
                <w:vanish/>
              </w:rPr>
            </w:pPr>
          </w:p>
        </w:tc>
        <w:tc>
          <w:tcPr>
            <w:tcW w:w="0" w:type="auto"/>
            <w:shd w:val="clear" w:color="auto" w:fill="auto"/>
            <w:vAlign w:val="bottom"/>
          </w:tcPr>
          <w:p w14:paraId="74DD7FC3" w14:textId="77777777" w:rsidR="00584EC1" w:rsidRDefault="00584EC1">
            <w:pPr>
              <w:rPr>
                <w:rFonts w:ascii="宋体"/>
                <w:vanish/>
              </w:rPr>
            </w:pPr>
          </w:p>
        </w:tc>
      </w:tr>
    </w:tbl>
    <w:p w14:paraId="74DD7FC5" w14:textId="77777777" w:rsidR="00584EC1" w:rsidRDefault="00584E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584EC1" w14:paraId="74DD7FCC" w14:textId="77777777">
        <w:tc>
          <w:tcPr>
            <w:tcW w:w="50" w:type="pct"/>
            <w:shd w:val="clear" w:color="auto" w:fill="auto"/>
            <w:vAlign w:val="bottom"/>
          </w:tcPr>
          <w:p w14:paraId="74DD7FC6" w14:textId="77777777" w:rsidR="00584EC1" w:rsidRDefault="00584EC1">
            <w:pPr>
              <w:rPr>
                <w:rFonts w:ascii="宋体"/>
              </w:rPr>
            </w:pPr>
          </w:p>
        </w:tc>
        <w:tc>
          <w:tcPr>
            <w:tcW w:w="1348" w:type="pct"/>
            <w:shd w:val="clear" w:color="auto" w:fill="auto"/>
            <w:vAlign w:val="bottom"/>
          </w:tcPr>
          <w:p w14:paraId="74DD7FC7" w14:textId="77777777" w:rsidR="00584EC1" w:rsidRDefault="00584EC1">
            <w:pPr>
              <w:rPr>
                <w:rFonts w:ascii="宋体"/>
              </w:rPr>
            </w:pPr>
          </w:p>
        </w:tc>
        <w:tc>
          <w:tcPr>
            <w:tcW w:w="5" w:type="pct"/>
            <w:shd w:val="clear" w:color="auto" w:fill="auto"/>
            <w:vAlign w:val="bottom"/>
          </w:tcPr>
          <w:p w14:paraId="74DD7FC8" w14:textId="77777777" w:rsidR="00584EC1" w:rsidRDefault="00584EC1">
            <w:pPr>
              <w:rPr>
                <w:rFonts w:ascii="宋体"/>
              </w:rPr>
            </w:pPr>
          </w:p>
        </w:tc>
        <w:tc>
          <w:tcPr>
            <w:tcW w:w="50" w:type="pct"/>
            <w:shd w:val="clear" w:color="auto" w:fill="auto"/>
            <w:vAlign w:val="bottom"/>
          </w:tcPr>
          <w:p w14:paraId="74DD7FC9" w14:textId="77777777" w:rsidR="00584EC1" w:rsidRDefault="00584EC1">
            <w:pPr>
              <w:rPr>
                <w:rFonts w:ascii="宋体"/>
              </w:rPr>
            </w:pPr>
          </w:p>
        </w:tc>
        <w:tc>
          <w:tcPr>
            <w:tcW w:w="3541" w:type="pct"/>
            <w:shd w:val="clear" w:color="auto" w:fill="auto"/>
            <w:vAlign w:val="bottom"/>
          </w:tcPr>
          <w:p w14:paraId="74DD7FCA" w14:textId="77777777" w:rsidR="00584EC1" w:rsidRDefault="00584EC1">
            <w:pPr>
              <w:rPr>
                <w:rFonts w:ascii="宋体"/>
              </w:rPr>
            </w:pPr>
          </w:p>
        </w:tc>
        <w:tc>
          <w:tcPr>
            <w:tcW w:w="5" w:type="pct"/>
            <w:shd w:val="clear" w:color="auto" w:fill="auto"/>
            <w:vAlign w:val="bottom"/>
          </w:tcPr>
          <w:p w14:paraId="74DD7FCB" w14:textId="77777777" w:rsidR="00584EC1" w:rsidRDefault="00584EC1">
            <w:pPr>
              <w:rPr>
                <w:rFonts w:ascii="宋体"/>
              </w:rPr>
            </w:pPr>
          </w:p>
        </w:tc>
      </w:tr>
      <w:tr w:rsidR="00584EC1" w14:paraId="74DD7FCF"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4DD7FCD"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7FCE" w14:textId="77777777" w:rsidR="00584EC1" w:rsidRDefault="00584EC1">
            <w:pPr>
              <w:rPr>
                <w:rFonts w:ascii="宋体"/>
              </w:rPr>
            </w:pPr>
          </w:p>
        </w:tc>
      </w:tr>
    </w:tbl>
    <w:p w14:paraId="74DD7FD0" w14:textId="77777777" w:rsidR="00584EC1" w:rsidRDefault="00871F8D">
      <w:pPr>
        <w:spacing w:before="60"/>
        <w:jc w:val="both"/>
      </w:pPr>
      <w:r>
        <w:rPr>
          <w:rFonts w:ascii="Arial" w:eastAsia="宋体" w:hAnsi="Arial" w:cs="Arial"/>
          <w:color w:val="000000"/>
          <w:sz w:val="8"/>
          <w:szCs w:val="8"/>
        </w:rPr>
        <w:t xml:space="preserve">(1) </w:t>
      </w:r>
      <w:r>
        <w:rPr>
          <w:rFonts w:ascii="Arial" w:eastAsia="宋体" w:hAnsi="Arial" w:cs="Arial"/>
          <w:color w:val="000000"/>
          <w:sz w:val="13"/>
          <w:szCs w:val="13"/>
        </w:rPr>
        <w:t>ETFs are a component of AUM presented in the preceding table.</w:t>
      </w:r>
    </w:p>
    <w:p w14:paraId="74DD7FD1" w14:textId="77777777" w:rsidR="00584EC1" w:rsidRDefault="00871F8D">
      <w:pPr>
        <w:spacing w:before="60"/>
        <w:jc w:val="both"/>
      </w:pPr>
      <w:r>
        <w:rPr>
          <w:rFonts w:ascii="Arial" w:eastAsia="宋体" w:hAnsi="Arial" w:cs="Arial"/>
          <w:color w:val="000000"/>
          <w:sz w:val="8"/>
          <w:szCs w:val="8"/>
        </w:rPr>
        <w:t xml:space="preserve">(2) </w:t>
      </w:r>
      <w:r>
        <w:rPr>
          <w:rFonts w:ascii="Arial" w:eastAsia="宋体" w:hAnsi="Arial" w:cs="Arial"/>
          <w:color w:val="000000"/>
          <w:sz w:val="13"/>
          <w:szCs w:val="13"/>
        </w:rPr>
        <w:t>Includes real estate investment trusts, currency and commodities, including SPDR</w:t>
      </w:r>
      <w:r>
        <w:rPr>
          <w:rFonts w:ascii="Arial" w:eastAsia="宋体" w:hAnsi="Arial" w:cs="Arial"/>
          <w:color w:val="000000"/>
          <w:sz w:val="8"/>
          <w:szCs w:val="8"/>
        </w:rPr>
        <w:t xml:space="preserve">® </w:t>
      </w:r>
      <w:r>
        <w:rPr>
          <w:rFonts w:ascii="Arial" w:eastAsia="宋体" w:hAnsi="Arial" w:cs="Arial"/>
          <w:color w:val="000000"/>
          <w:sz w:val="13"/>
          <w:szCs w:val="13"/>
        </w:rPr>
        <w:t>Gold Shares and SPDR</w:t>
      </w:r>
      <w:r>
        <w:rPr>
          <w:rFonts w:ascii="Arial" w:eastAsia="宋体" w:hAnsi="Arial" w:cs="Arial"/>
          <w:color w:val="000000"/>
          <w:sz w:val="8"/>
          <w:szCs w:val="8"/>
        </w:rPr>
        <w:t>®</w:t>
      </w:r>
      <w:r>
        <w:rPr>
          <w:rFonts w:ascii="Arial" w:eastAsia="宋体" w:hAnsi="Arial" w:cs="Arial"/>
          <w:color w:val="000000"/>
          <w:sz w:val="13"/>
          <w:szCs w:val="13"/>
        </w:rPr>
        <w:t xml:space="preserve"> Gold MiniSharesSM Trust. We are not the investment manager for the SPDR</w:t>
      </w:r>
      <w:r>
        <w:rPr>
          <w:rFonts w:ascii="Arial" w:eastAsia="宋体" w:hAnsi="Arial" w:cs="Arial"/>
          <w:color w:val="000000"/>
          <w:sz w:val="8"/>
          <w:szCs w:val="8"/>
        </w:rPr>
        <w:t xml:space="preserve">® </w:t>
      </w:r>
      <w:r>
        <w:rPr>
          <w:rFonts w:ascii="Arial" w:eastAsia="宋体" w:hAnsi="Arial" w:cs="Arial"/>
          <w:color w:val="000000"/>
          <w:sz w:val="13"/>
          <w:szCs w:val="13"/>
        </w:rPr>
        <w:t>Gold Shares and SPDR</w:t>
      </w:r>
      <w:r>
        <w:rPr>
          <w:rFonts w:ascii="Arial" w:eastAsia="宋体" w:hAnsi="Arial" w:cs="Arial"/>
          <w:color w:val="000000"/>
          <w:sz w:val="8"/>
          <w:szCs w:val="8"/>
        </w:rPr>
        <w:t>®</w:t>
      </w:r>
      <w:r>
        <w:rPr>
          <w:rFonts w:ascii="Arial" w:eastAsia="宋体" w:hAnsi="Arial" w:cs="Arial"/>
          <w:color w:val="000000"/>
          <w:sz w:val="13"/>
          <w:szCs w:val="13"/>
        </w:rPr>
        <w:t>Gold</w:t>
      </w:r>
      <w:r>
        <w:rPr>
          <w:rFonts w:ascii="Arial" w:eastAsia="宋体" w:hAnsi="Arial" w:cs="Arial"/>
          <w:color w:val="000000"/>
          <w:sz w:val="8"/>
          <w:szCs w:val="8"/>
        </w:rPr>
        <w:t xml:space="preserve"> </w:t>
      </w:r>
      <w:r>
        <w:rPr>
          <w:rFonts w:ascii="Arial" w:eastAsia="宋体" w:hAnsi="Arial" w:cs="Arial"/>
          <w:color w:val="000000"/>
          <w:sz w:val="13"/>
          <w:szCs w:val="13"/>
        </w:rPr>
        <w:t xml:space="preserve">MiniSharesSM Trust, but act as the marketing agent. </w:t>
      </w:r>
    </w:p>
    <w:p w14:paraId="74DD7FD2" w14:textId="77777777" w:rsidR="00584EC1" w:rsidRDefault="00871F8D">
      <w:pPr>
        <w:spacing w:before="60"/>
        <w:jc w:val="both"/>
      </w:pPr>
      <w:r>
        <w:rPr>
          <w:rFonts w:ascii="Arial" w:eastAsia="宋体" w:hAnsi="Arial" w:cs="Arial"/>
          <w:color w:val="000000"/>
          <w:sz w:val="8"/>
          <w:szCs w:val="8"/>
        </w:rPr>
        <w:t xml:space="preserve">(3) </w:t>
      </w:r>
      <w:r>
        <w:rPr>
          <w:rFonts w:ascii="Arial" w:eastAsia="宋体" w:hAnsi="Arial" w:cs="Arial"/>
          <w:color w:val="000000"/>
          <w:sz w:val="13"/>
          <w:szCs w:val="13"/>
        </w:rPr>
        <w:t>The implementation of an improved internal data management system for product level data in the fir</w:t>
      </w:r>
      <w:r>
        <w:rPr>
          <w:rFonts w:ascii="Arial" w:eastAsia="宋体" w:hAnsi="Arial" w:cs="Arial"/>
          <w:color w:val="000000"/>
          <w:sz w:val="13"/>
          <w:szCs w:val="13"/>
        </w:rPr>
        <w:t xml:space="preserve">st quarter of 2021 resulted in some AUM reclassifications between the categories presented for prior periods to align with the current presentation. There was no impact to the total level of reported AUM. </w:t>
      </w:r>
    </w:p>
    <w:tbl>
      <w:tblPr>
        <w:tblW w:w="5000" w:type="pct"/>
        <w:tblCellMar>
          <w:top w:w="15" w:type="dxa"/>
          <w:left w:w="15" w:type="dxa"/>
          <w:bottom w:w="15" w:type="dxa"/>
          <w:right w:w="15" w:type="dxa"/>
        </w:tblCellMar>
        <w:tblLook w:val="04A0" w:firstRow="1" w:lastRow="0" w:firstColumn="1" w:lastColumn="0" w:noHBand="0" w:noVBand="1"/>
      </w:tblPr>
      <w:tblGrid>
        <w:gridCol w:w="38"/>
        <w:gridCol w:w="3104"/>
        <w:gridCol w:w="36"/>
        <w:gridCol w:w="105"/>
        <w:gridCol w:w="1434"/>
        <w:gridCol w:w="37"/>
        <w:gridCol w:w="36"/>
        <w:gridCol w:w="36"/>
        <w:gridCol w:w="36"/>
        <w:gridCol w:w="105"/>
        <w:gridCol w:w="1397"/>
        <w:gridCol w:w="37"/>
        <w:gridCol w:w="36"/>
        <w:gridCol w:w="36"/>
        <w:gridCol w:w="36"/>
        <w:gridCol w:w="105"/>
        <w:gridCol w:w="1397"/>
        <w:gridCol w:w="37"/>
        <w:gridCol w:w="36"/>
        <w:gridCol w:w="36"/>
        <w:gridCol w:w="36"/>
        <w:gridCol w:w="36"/>
        <w:gridCol w:w="36"/>
        <w:gridCol w:w="36"/>
        <w:gridCol w:w="36"/>
        <w:gridCol w:w="36"/>
      </w:tblGrid>
      <w:tr w:rsidR="00584EC1" w14:paraId="74DD7FED" w14:textId="77777777">
        <w:tc>
          <w:tcPr>
            <w:tcW w:w="50" w:type="pct"/>
            <w:shd w:val="clear" w:color="auto" w:fill="auto"/>
            <w:vAlign w:val="bottom"/>
          </w:tcPr>
          <w:p w14:paraId="74DD7FD3" w14:textId="77777777" w:rsidR="00584EC1" w:rsidRDefault="00584EC1">
            <w:pPr>
              <w:rPr>
                <w:rFonts w:ascii="宋体"/>
              </w:rPr>
            </w:pPr>
          </w:p>
        </w:tc>
        <w:tc>
          <w:tcPr>
            <w:tcW w:w="1955" w:type="pct"/>
            <w:shd w:val="clear" w:color="auto" w:fill="auto"/>
            <w:vAlign w:val="bottom"/>
          </w:tcPr>
          <w:p w14:paraId="74DD7FD4" w14:textId="77777777" w:rsidR="00584EC1" w:rsidRDefault="00584EC1">
            <w:pPr>
              <w:rPr>
                <w:rFonts w:ascii="宋体"/>
              </w:rPr>
            </w:pPr>
          </w:p>
        </w:tc>
        <w:tc>
          <w:tcPr>
            <w:tcW w:w="5" w:type="pct"/>
            <w:shd w:val="clear" w:color="auto" w:fill="auto"/>
            <w:vAlign w:val="bottom"/>
          </w:tcPr>
          <w:p w14:paraId="74DD7FD5" w14:textId="77777777" w:rsidR="00584EC1" w:rsidRDefault="00584EC1">
            <w:pPr>
              <w:rPr>
                <w:rFonts w:ascii="宋体"/>
              </w:rPr>
            </w:pPr>
          </w:p>
        </w:tc>
        <w:tc>
          <w:tcPr>
            <w:tcW w:w="50" w:type="pct"/>
            <w:shd w:val="clear" w:color="auto" w:fill="auto"/>
            <w:vAlign w:val="bottom"/>
          </w:tcPr>
          <w:p w14:paraId="74DD7FD6" w14:textId="77777777" w:rsidR="00584EC1" w:rsidRDefault="00584EC1">
            <w:pPr>
              <w:rPr>
                <w:rFonts w:ascii="宋体"/>
              </w:rPr>
            </w:pPr>
          </w:p>
        </w:tc>
        <w:tc>
          <w:tcPr>
            <w:tcW w:w="917" w:type="pct"/>
            <w:shd w:val="clear" w:color="auto" w:fill="auto"/>
            <w:vAlign w:val="bottom"/>
          </w:tcPr>
          <w:p w14:paraId="74DD7FD7" w14:textId="77777777" w:rsidR="00584EC1" w:rsidRDefault="00584EC1">
            <w:pPr>
              <w:rPr>
                <w:rFonts w:ascii="宋体"/>
              </w:rPr>
            </w:pPr>
          </w:p>
        </w:tc>
        <w:tc>
          <w:tcPr>
            <w:tcW w:w="5" w:type="pct"/>
            <w:shd w:val="clear" w:color="auto" w:fill="auto"/>
            <w:vAlign w:val="bottom"/>
          </w:tcPr>
          <w:p w14:paraId="74DD7FD8" w14:textId="77777777" w:rsidR="00584EC1" w:rsidRDefault="00584EC1">
            <w:pPr>
              <w:rPr>
                <w:rFonts w:ascii="宋体"/>
              </w:rPr>
            </w:pPr>
          </w:p>
        </w:tc>
        <w:tc>
          <w:tcPr>
            <w:tcW w:w="5" w:type="pct"/>
            <w:shd w:val="clear" w:color="auto" w:fill="auto"/>
            <w:vAlign w:val="bottom"/>
          </w:tcPr>
          <w:p w14:paraId="74DD7FD9" w14:textId="77777777" w:rsidR="00584EC1" w:rsidRDefault="00584EC1">
            <w:pPr>
              <w:rPr>
                <w:rFonts w:ascii="宋体"/>
              </w:rPr>
            </w:pPr>
          </w:p>
        </w:tc>
        <w:tc>
          <w:tcPr>
            <w:tcW w:w="26" w:type="pct"/>
            <w:shd w:val="clear" w:color="auto" w:fill="auto"/>
            <w:vAlign w:val="bottom"/>
          </w:tcPr>
          <w:p w14:paraId="74DD7FDA" w14:textId="77777777" w:rsidR="00584EC1" w:rsidRDefault="00584EC1">
            <w:pPr>
              <w:rPr>
                <w:rFonts w:ascii="宋体"/>
              </w:rPr>
            </w:pPr>
          </w:p>
        </w:tc>
        <w:tc>
          <w:tcPr>
            <w:tcW w:w="5" w:type="pct"/>
            <w:shd w:val="clear" w:color="auto" w:fill="auto"/>
            <w:vAlign w:val="bottom"/>
          </w:tcPr>
          <w:p w14:paraId="74DD7FDB" w14:textId="77777777" w:rsidR="00584EC1" w:rsidRDefault="00584EC1">
            <w:pPr>
              <w:rPr>
                <w:rFonts w:ascii="宋体"/>
              </w:rPr>
            </w:pPr>
          </w:p>
        </w:tc>
        <w:tc>
          <w:tcPr>
            <w:tcW w:w="50" w:type="pct"/>
            <w:shd w:val="clear" w:color="auto" w:fill="auto"/>
            <w:vAlign w:val="bottom"/>
          </w:tcPr>
          <w:p w14:paraId="74DD7FDC" w14:textId="77777777" w:rsidR="00584EC1" w:rsidRDefault="00584EC1">
            <w:pPr>
              <w:rPr>
                <w:rFonts w:ascii="宋体"/>
              </w:rPr>
            </w:pPr>
          </w:p>
        </w:tc>
        <w:tc>
          <w:tcPr>
            <w:tcW w:w="917" w:type="pct"/>
            <w:shd w:val="clear" w:color="auto" w:fill="auto"/>
            <w:vAlign w:val="bottom"/>
          </w:tcPr>
          <w:p w14:paraId="74DD7FDD" w14:textId="77777777" w:rsidR="00584EC1" w:rsidRDefault="00584EC1">
            <w:pPr>
              <w:rPr>
                <w:rFonts w:ascii="宋体"/>
              </w:rPr>
            </w:pPr>
          </w:p>
        </w:tc>
        <w:tc>
          <w:tcPr>
            <w:tcW w:w="5" w:type="pct"/>
            <w:shd w:val="clear" w:color="auto" w:fill="auto"/>
            <w:vAlign w:val="bottom"/>
          </w:tcPr>
          <w:p w14:paraId="74DD7FDE" w14:textId="77777777" w:rsidR="00584EC1" w:rsidRDefault="00584EC1">
            <w:pPr>
              <w:rPr>
                <w:rFonts w:ascii="宋体"/>
              </w:rPr>
            </w:pPr>
          </w:p>
        </w:tc>
        <w:tc>
          <w:tcPr>
            <w:tcW w:w="5" w:type="pct"/>
            <w:shd w:val="clear" w:color="auto" w:fill="auto"/>
            <w:vAlign w:val="bottom"/>
          </w:tcPr>
          <w:p w14:paraId="74DD7FDF" w14:textId="77777777" w:rsidR="00584EC1" w:rsidRDefault="00584EC1">
            <w:pPr>
              <w:rPr>
                <w:rFonts w:ascii="宋体"/>
              </w:rPr>
            </w:pPr>
          </w:p>
        </w:tc>
        <w:tc>
          <w:tcPr>
            <w:tcW w:w="26" w:type="pct"/>
            <w:shd w:val="clear" w:color="auto" w:fill="auto"/>
            <w:vAlign w:val="bottom"/>
          </w:tcPr>
          <w:p w14:paraId="74DD7FE0" w14:textId="77777777" w:rsidR="00584EC1" w:rsidRDefault="00584EC1">
            <w:pPr>
              <w:rPr>
                <w:rFonts w:ascii="宋体"/>
              </w:rPr>
            </w:pPr>
          </w:p>
        </w:tc>
        <w:tc>
          <w:tcPr>
            <w:tcW w:w="5" w:type="pct"/>
            <w:shd w:val="clear" w:color="auto" w:fill="auto"/>
            <w:vAlign w:val="bottom"/>
          </w:tcPr>
          <w:p w14:paraId="74DD7FE1" w14:textId="77777777" w:rsidR="00584EC1" w:rsidRDefault="00584EC1">
            <w:pPr>
              <w:rPr>
                <w:rFonts w:ascii="宋体"/>
              </w:rPr>
            </w:pPr>
          </w:p>
        </w:tc>
        <w:tc>
          <w:tcPr>
            <w:tcW w:w="50" w:type="pct"/>
            <w:shd w:val="clear" w:color="auto" w:fill="auto"/>
            <w:vAlign w:val="bottom"/>
          </w:tcPr>
          <w:p w14:paraId="74DD7FE2" w14:textId="77777777" w:rsidR="00584EC1" w:rsidRDefault="00584EC1">
            <w:pPr>
              <w:rPr>
                <w:rFonts w:ascii="宋体"/>
              </w:rPr>
            </w:pPr>
          </w:p>
        </w:tc>
        <w:tc>
          <w:tcPr>
            <w:tcW w:w="917" w:type="pct"/>
            <w:shd w:val="clear" w:color="auto" w:fill="auto"/>
            <w:vAlign w:val="bottom"/>
          </w:tcPr>
          <w:p w14:paraId="74DD7FE3" w14:textId="77777777" w:rsidR="00584EC1" w:rsidRDefault="00584EC1">
            <w:pPr>
              <w:rPr>
                <w:rFonts w:ascii="宋体"/>
              </w:rPr>
            </w:pPr>
          </w:p>
        </w:tc>
        <w:tc>
          <w:tcPr>
            <w:tcW w:w="5" w:type="pct"/>
            <w:shd w:val="clear" w:color="auto" w:fill="auto"/>
            <w:vAlign w:val="bottom"/>
          </w:tcPr>
          <w:p w14:paraId="74DD7FE4" w14:textId="77777777" w:rsidR="00584EC1" w:rsidRDefault="00584EC1">
            <w:pPr>
              <w:rPr>
                <w:rFonts w:ascii="宋体"/>
              </w:rPr>
            </w:pPr>
          </w:p>
        </w:tc>
        <w:tc>
          <w:tcPr>
            <w:tcW w:w="0" w:type="auto"/>
            <w:shd w:val="clear" w:color="auto" w:fill="auto"/>
            <w:vAlign w:val="bottom"/>
          </w:tcPr>
          <w:p w14:paraId="74DD7FE5" w14:textId="77777777" w:rsidR="00584EC1" w:rsidRDefault="00584EC1">
            <w:pPr>
              <w:rPr>
                <w:rFonts w:ascii="宋体"/>
                <w:vanish/>
              </w:rPr>
            </w:pPr>
          </w:p>
        </w:tc>
        <w:tc>
          <w:tcPr>
            <w:tcW w:w="0" w:type="auto"/>
            <w:shd w:val="clear" w:color="auto" w:fill="auto"/>
            <w:vAlign w:val="bottom"/>
          </w:tcPr>
          <w:p w14:paraId="74DD7FE6" w14:textId="77777777" w:rsidR="00584EC1" w:rsidRDefault="00584EC1">
            <w:pPr>
              <w:rPr>
                <w:rFonts w:ascii="宋体"/>
                <w:vanish/>
              </w:rPr>
            </w:pPr>
          </w:p>
        </w:tc>
        <w:tc>
          <w:tcPr>
            <w:tcW w:w="0" w:type="auto"/>
            <w:shd w:val="clear" w:color="auto" w:fill="auto"/>
            <w:vAlign w:val="bottom"/>
          </w:tcPr>
          <w:p w14:paraId="74DD7FE7" w14:textId="77777777" w:rsidR="00584EC1" w:rsidRDefault="00584EC1">
            <w:pPr>
              <w:rPr>
                <w:rFonts w:ascii="宋体"/>
                <w:vanish/>
              </w:rPr>
            </w:pPr>
          </w:p>
        </w:tc>
        <w:tc>
          <w:tcPr>
            <w:tcW w:w="0" w:type="auto"/>
            <w:shd w:val="clear" w:color="auto" w:fill="auto"/>
            <w:vAlign w:val="bottom"/>
          </w:tcPr>
          <w:p w14:paraId="74DD7FE8" w14:textId="77777777" w:rsidR="00584EC1" w:rsidRDefault="00584EC1">
            <w:pPr>
              <w:rPr>
                <w:rFonts w:ascii="宋体"/>
                <w:vanish/>
              </w:rPr>
            </w:pPr>
          </w:p>
        </w:tc>
        <w:tc>
          <w:tcPr>
            <w:tcW w:w="0" w:type="auto"/>
            <w:shd w:val="clear" w:color="auto" w:fill="auto"/>
            <w:vAlign w:val="bottom"/>
          </w:tcPr>
          <w:p w14:paraId="74DD7FE9" w14:textId="77777777" w:rsidR="00584EC1" w:rsidRDefault="00584EC1">
            <w:pPr>
              <w:rPr>
                <w:rFonts w:ascii="宋体"/>
                <w:vanish/>
              </w:rPr>
            </w:pPr>
          </w:p>
        </w:tc>
        <w:tc>
          <w:tcPr>
            <w:tcW w:w="0" w:type="auto"/>
            <w:shd w:val="clear" w:color="auto" w:fill="auto"/>
            <w:vAlign w:val="bottom"/>
          </w:tcPr>
          <w:p w14:paraId="74DD7FEA" w14:textId="77777777" w:rsidR="00584EC1" w:rsidRDefault="00584EC1">
            <w:pPr>
              <w:rPr>
                <w:rFonts w:ascii="宋体"/>
                <w:vanish/>
              </w:rPr>
            </w:pPr>
          </w:p>
        </w:tc>
        <w:tc>
          <w:tcPr>
            <w:tcW w:w="0" w:type="auto"/>
            <w:shd w:val="clear" w:color="auto" w:fill="auto"/>
            <w:vAlign w:val="bottom"/>
          </w:tcPr>
          <w:p w14:paraId="74DD7FEB" w14:textId="77777777" w:rsidR="00584EC1" w:rsidRDefault="00584EC1">
            <w:pPr>
              <w:rPr>
                <w:rFonts w:ascii="宋体"/>
                <w:vanish/>
              </w:rPr>
            </w:pPr>
          </w:p>
        </w:tc>
        <w:tc>
          <w:tcPr>
            <w:tcW w:w="0" w:type="auto"/>
            <w:shd w:val="clear" w:color="auto" w:fill="auto"/>
            <w:vAlign w:val="bottom"/>
          </w:tcPr>
          <w:p w14:paraId="74DD7FEC" w14:textId="77777777" w:rsidR="00584EC1" w:rsidRDefault="00584EC1">
            <w:pPr>
              <w:rPr>
                <w:rFonts w:ascii="宋体"/>
                <w:vanish/>
              </w:rPr>
            </w:pPr>
          </w:p>
        </w:tc>
      </w:tr>
      <w:tr w:rsidR="00584EC1" w14:paraId="74DD7FF7" w14:textId="77777777">
        <w:tc>
          <w:tcPr>
            <w:tcW w:w="0" w:type="auto"/>
            <w:gridSpan w:val="18"/>
            <w:shd w:val="clear" w:color="auto" w:fill="auto"/>
            <w:tcMar>
              <w:top w:w="40" w:type="dxa"/>
              <w:left w:w="20" w:type="dxa"/>
              <w:bottom w:w="40" w:type="dxa"/>
              <w:right w:w="20" w:type="dxa"/>
            </w:tcMar>
            <w:vAlign w:val="center"/>
          </w:tcPr>
          <w:p w14:paraId="74DD7FEE" w14:textId="77777777" w:rsidR="00584EC1" w:rsidRDefault="00871F8D">
            <w:pPr>
              <w:textAlignment w:val="center"/>
            </w:pPr>
            <w:r>
              <w:rPr>
                <w:rFonts w:ascii="Arial" w:eastAsia="宋体" w:hAnsi="Arial" w:cs="Arial"/>
                <w:b/>
                <w:bCs/>
                <w:color w:val="000000"/>
                <w:sz w:val="16"/>
                <w:szCs w:val="16"/>
              </w:rPr>
              <w:t>TABLE 17: GEOGRAPHIC MIX OF ASSETS UNDER MANAGEMENT</w:t>
            </w:r>
            <w:r>
              <w:rPr>
                <w:rFonts w:ascii="Arial" w:eastAsia="宋体" w:hAnsi="Arial" w:cs="Arial"/>
                <w:b/>
                <w:bCs/>
                <w:color w:val="000000"/>
                <w:sz w:val="10"/>
                <w:szCs w:val="10"/>
              </w:rPr>
              <w:t>(1)</w:t>
            </w:r>
          </w:p>
        </w:tc>
        <w:tc>
          <w:tcPr>
            <w:tcW w:w="0" w:type="auto"/>
            <w:shd w:val="clear" w:color="auto" w:fill="auto"/>
            <w:vAlign w:val="bottom"/>
          </w:tcPr>
          <w:p w14:paraId="74DD7FEF" w14:textId="77777777" w:rsidR="00584EC1" w:rsidRDefault="00584EC1">
            <w:pPr>
              <w:rPr>
                <w:rFonts w:ascii="宋体"/>
                <w:vanish/>
              </w:rPr>
            </w:pPr>
          </w:p>
        </w:tc>
        <w:tc>
          <w:tcPr>
            <w:tcW w:w="0" w:type="auto"/>
            <w:shd w:val="clear" w:color="auto" w:fill="auto"/>
            <w:vAlign w:val="bottom"/>
          </w:tcPr>
          <w:p w14:paraId="74DD7FF0" w14:textId="77777777" w:rsidR="00584EC1" w:rsidRDefault="00584EC1">
            <w:pPr>
              <w:rPr>
                <w:rFonts w:ascii="宋体"/>
                <w:vanish/>
              </w:rPr>
            </w:pPr>
          </w:p>
        </w:tc>
        <w:tc>
          <w:tcPr>
            <w:tcW w:w="0" w:type="auto"/>
            <w:shd w:val="clear" w:color="auto" w:fill="auto"/>
            <w:vAlign w:val="bottom"/>
          </w:tcPr>
          <w:p w14:paraId="74DD7FF1" w14:textId="77777777" w:rsidR="00584EC1" w:rsidRDefault="00584EC1">
            <w:pPr>
              <w:rPr>
                <w:rFonts w:ascii="宋体"/>
                <w:vanish/>
              </w:rPr>
            </w:pPr>
          </w:p>
        </w:tc>
        <w:tc>
          <w:tcPr>
            <w:tcW w:w="0" w:type="auto"/>
            <w:shd w:val="clear" w:color="auto" w:fill="auto"/>
            <w:vAlign w:val="bottom"/>
          </w:tcPr>
          <w:p w14:paraId="74DD7FF2" w14:textId="77777777" w:rsidR="00584EC1" w:rsidRDefault="00584EC1">
            <w:pPr>
              <w:rPr>
                <w:rFonts w:ascii="宋体"/>
                <w:vanish/>
              </w:rPr>
            </w:pPr>
          </w:p>
        </w:tc>
        <w:tc>
          <w:tcPr>
            <w:tcW w:w="0" w:type="auto"/>
            <w:shd w:val="clear" w:color="auto" w:fill="auto"/>
            <w:vAlign w:val="bottom"/>
          </w:tcPr>
          <w:p w14:paraId="74DD7FF3" w14:textId="77777777" w:rsidR="00584EC1" w:rsidRDefault="00584EC1">
            <w:pPr>
              <w:rPr>
                <w:rFonts w:ascii="宋体"/>
                <w:vanish/>
              </w:rPr>
            </w:pPr>
          </w:p>
        </w:tc>
        <w:tc>
          <w:tcPr>
            <w:tcW w:w="0" w:type="auto"/>
            <w:shd w:val="clear" w:color="auto" w:fill="auto"/>
            <w:vAlign w:val="bottom"/>
          </w:tcPr>
          <w:p w14:paraId="74DD7FF4" w14:textId="77777777" w:rsidR="00584EC1" w:rsidRDefault="00584EC1">
            <w:pPr>
              <w:rPr>
                <w:rFonts w:ascii="宋体"/>
                <w:vanish/>
              </w:rPr>
            </w:pPr>
          </w:p>
        </w:tc>
        <w:tc>
          <w:tcPr>
            <w:tcW w:w="0" w:type="auto"/>
            <w:shd w:val="clear" w:color="auto" w:fill="auto"/>
            <w:vAlign w:val="bottom"/>
          </w:tcPr>
          <w:p w14:paraId="74DD7FF5" w14:textId="77777777" w:rsidR="00584EC1" w:rsidRDefault="00584EC1">
            <w:pPr>
              <w:rPr>
                <w:rFonts w:ascii="宋体"/>
                <w:vanish/>
              </w:rPr>
            </w:pPr>
          </w:p>
        </w:tc>
        <w:tc>
          <w:tcPr>
            <w:tcW w:w="0" w:type="auto"/>
            <w:shd w:val="clear" w:color="auto" w:fill="auto"/>
            <w:vAlign w:val="bottom"/>
          </w:tcPr>
          <w:p w14:paraId="74DD7FF6" w14:textId="77777777" w:rsidR="00584EC1" w:rsidRDefault="00584EC1">
            <w:pPr>
              <w:rPr>
                <w:rFonts w:ascii="宋体"/>
                <w:vanish/>
              </w:rPr>
            </w:pPr>
          </w:p>
        </w:tc>
      </w:tr>
      <w:tr w:rsidR="00584EC1" w14:paraId="74DD8006" w14:textId="77777777">
        <w:tc>
          <w:tcPr>
            <w:tcW w:w="0" w:type="auto"/>
            <w:gridSpan w:val="3"/>
            <w:shd w:val="clear" w:color="auto" w:fill="auto"/>
            <w:tcMar>
              <w:top w:w="40" w:type="dxa"/>
              <w:left w:w="20" w:type="dxa"/>
              <w:bottom w:w="40" w:type="dxa"/>
              <w:right w:w="20" w:type="dxa"/>
            </w:tcMar>
            <w:vAlign w:val="bottom"/>
          </w:tcPr>
          <w:p w14:paraId="74DD7FF8" w14:textId="77777777" w:rsidR="00584EC1" w:rsidRDefault="00871F8D">
            <w:pPr>
              <w:textAlignment w:val="bottom"/>
            </w:pPr>
            <w:r>
              <w:rPr>
                <w:rFonts w:ascii="Arial" w:eastAsia="宋体" w:hAnsi="Arial" w:cs="Arial"/>
                <w:b/>
                <w:bCs/>
                <w:color w:val="000000"/>
                <w:sz w:val="15"/>
                <w:szCs w:val="15"/>
              </w:rPr>
              <w:t>(In billions)</w:t>
            </w:r>
          </w:p>
        </w:tc>
        <w:tc>
          <w:tcPr>
            <w:tcW w:w="0" w:type="auto"/>
            <w:gridSpan w:val="3"/>
            <w:shd w:val="clear" w:color="auto" w:fill="auto"/>
            <w:tcMar>
              <w:top w:w="40" w:type="dxa"/>
              <w:left w:w="20" w:type="dxa"/>
              <w:bottom w:w="40" w:type="dxa"/>
              <w:right w:w="20" w:type="dxa"/>
            </w:tcMar>
            <w:vAlign w:val="bottom"/>
          </w:tcPr>
          <w:p w14:paraId="74DD7FF9" w14:textId="77777777" w:rsidR="00584EC1" w:rsidRDefault="00871F8D">
            <w:pPr>
              <w:jc w:val="center"/>
              <w:textAlignment w:val="bottom"/>
            </w:pPr>
            <w:r>
              <w:rPr>
                <w:rFonts w:ascii="Arial" w:eastAsia="宋体" w:hAnsi="Arial" w:cs="Arial"/>
                <w:b/>
                <w:bCs/>
                <w:color w:val="000000"/>
                <w:sz w:val="15"/>
                <w:szCs w:val="15"/>
              </w:rPr>
              <w:t>September 30, 2021</w:t>
            </w:r>
          </w:p>
        </w:tc>
        <w:tc>
          <w:tcPr>
            <w:tcW w:w="0" w:type="auto"/>
            <w:gridSpan w:val="3"/>
            <w:shd w:val="clear" w:color="auto" w:fill="auto"/>
            <w:tcMar>
              <w:top w:w="0" w:type="dxa"/>
              <w:left w:w="20" w:type="dxa"/>
              <w:bottom w:w="0" w:type="dxa"/>
              <w:right w:w="20" w:type="dxa"/>
            </w:tcMar>
            <w:vAlign w:val="bottom"/>
          </w:tcPr>
          <w:p w14:paraId="74DD7FFA"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7FFB" w14:textId="77777777" w:rsidR="00584EC1" w:rsidRDefault="00871F8D">
            <w:pPr>
              <w:jc w:val="center"/>
              <w:textAlignment w:val="bottom"/>
            </w:pPr>
            <w:r>
              <w:rPr>
                <w:rFonts w:ascii="Arial" w:eastAsia="宋体" w:hAnsi="Arial" w:cs="Arial"/>
                <w:b/>
                <w:bCs/>
                <w:color w:val="000000"/>
                <w:sz w:val="15"/>
                <w:szCs w:val="15"/>
              </w:rPr>
              <w:t>December 31, 2020</w:t>
            </w:r>
          </w:p>
        </w:tc>
        <w:tc>
          <w:tcPr>
            <w:tcW w:w="0" w:type="auto"/>
            <w:gridSpan w:val="3"/>
            <w:shd w:val="clear" w:color="auto" w:fill="auto"/>
            <w:tcMar>
              <w:top w:w="0" w:type="dxa"/>
              <w:left w:w="20" w:type="dxa"/>
              <w:bottom w:w="0" w:type="dxa"/>
              <w:right w:w="20" w:type="dxa"/>
            </w:tcMar>
            <w:vAlign w:val="bottom"/>
          </w:tcPr>
          <w:p w14:paraId="74DD7FFC"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7FFD" w14:textId="77777777" w:rsidR="00584EC1" w:rsidRDefault="00871F8D">
            <w:pPr>
              <w:jc w:val="center"/>
              <w:textAlignment w:val="bottom"/>
            </w:pPr>
            <w:r>
              <w:rPr>
                <w:rFonts w:ascii="Arial" w:eastAsia="宋体" w:hAnsi="Arial" w:cs="Arial"/>
                <w:b/>
                <w:bCs/>
                <w:color w:val="000000"/>
                <w:sz w:val="15"/>
                <w:szCs w:val="15"/>
              </w:rPr>
              <w:t> September 30, 2020</w:t>
            </w:r>
          </w:p>
        </w:tc>
        <w:tc>
          <w:tcPr>
            <w:tcW w:w="0" w:type="auto"/>
            <w:shd w:val="clear" w:color="auto" w:fill="auto"/>
            <w:vAlign w:val="bottom"/>
          </w:tcPr>
          <w:p w14:paraId="74DD7FFE" w14:textId="77777777" w:rsidR="00584EC1" w:rsidRDefault="00584EC1">
            <w:pPr>
              <w:rPr>
                <w:rFonts w:ascii="宋体"/>
                <w:vanish/>
              </w:rPr>
            </w:pPr>
          </w:p>
        </w:tc>
        <w:tc>
          <w:tcPr>
            <w:tcW w:w="0" w:type="auto"/>
            <w:shd w:val="clear" w:color="auto" w:fill="auto"/>
            <w:vAlign w:val="bottom"/>
          </w:tcPr>
          <w:p w14:paraId="74DD7FFF" w14:textId="77777777" w:rsidR="00584EC1" w:rsidRDefault="00584EC1">
            <w:pPr>
              <w:rPr>
                <w:rFonts w:ascii="宋体"/>
                <w:vanish/>
              </w:rPr>
            </w:pPr>
          </w:p>
        </w:tc>
        <w:tc>
          <w:tcPr>
            <w:tcW w:w="0" w:type="auto"/>
            <w:shd w:val="clear" w:color="auto" w:fill="auto"/>
            <w:vAlign w:val="bottom"/>
          </w:tcPr>
          <w:p w14:paraId="74DD8000" w14:textId="77777777" w:rsidR="00584EC1" w:rsidRDefault="00584EC1">
            <w:pPr>
              <w:rPr>
                <w:rFonts w:ascii="宋体"/>
                <w:vanish/>
              </w:rPr>
            </w:pPr>
          </w:p>
        </w:tc>
        <w:tc>
          <w:tcPr>
            <w:tcW w:w="0" w:type="auto"/>
            <w:shd w:val="clear" w:color="auto" w:fill="auto"/>
            <w:vAlign w:val="bottom"/>
          </w:tcPr>
          <w:p w14:paraId="74DD8001" w14:textId="77777777" w:rsidR="00584EC1" w:rsidRDefault="00584EC1">
            <w:pPr>
              <w:rPr>
                <w:rFonts w:ascii="宋体"/>
                <w:vanish/>
              </w:rPr>
            </w:pPr>
          </w:p>
        </w:tc>
        <w:tc>
          <w:tcPr>
            <w:tcW w:w="0" w:type="auto"/>
            <w:shd w:val="clear" w:color="auto" w:fill="auto"/>
            <w:vAlign w:val="bottom"/>
          </w:tcPr>
          <w:p w14:paraId="74DD8002" w14:textId="77777777" w:rsidR="00584EC1" w:rsidRDefault="00584EC1">
            <w:pPr>
              <w:rPr>
                <w:rFonts w:ascii="宋体"/>
                <w:vanish/>
              </w:rPr>
            </w:pPr>
          </w:p>
        </w:tc>
        <w:tc>
          <w:tcPr>
            <w:tcW w:w="0" w:type="auto"/>
            <w:shd w:val="clear" w:color="auto" w:fill="auto"/>
            <w:vAlign w:val="bottom"/>
          </w:tcPr>
          <w:p w14:paraId="74DD8003" w14:textId="77777777" w:rsidR="00584EC1" w:rsidRDefault="00584EC1">
            <w:pPr>
              <w:rPr>
                <w:rFonts w:ascii="宋体"/>
                <w:vanish/>
              </w:rPr>
            </w:pPr>
          </w:p>
        </w:tc>
        <w:tc>
          <w:tcPr>
            <w:tcW w:w="0" w:type="auto"/>
            <w:shd w:val="clear" w:color="auto" w:fill="auto"/>
            <w:vAlign w:val="bottom"/>
          </w:tcPr>
          <w:p w14:paraId="74DD8004" w14:textId="77777777" w:rsidR="00584EC1" w:rsidRDefault="00584EC1">
            <w:pPr>
              <w:rPr>
                <w:rFonts w:ascii="宋体"/>
                <w:vanish/>
              </w:rPr>
            </w:pPr>
          </w:p>
        </w:tc>
        <w:tc>
          <w:tcPr>
            <w:tcW w:w="0" w:type="auto"/>
            <w:shd w:val="clear" w:color="auto" w:fill="auto"/>
            <w:vAlign w:val="bottom"/>
          </w:tcPr>
          <w:p w14:paraId="74DD8005" w14:textId="77777777" w:rsidR="00584EC1" w:rsidRDefault="00584EC1">
            <w:pPr>
              <w:rPr>
                <w:rFonts w:ascii="宋体"/>
                <w:vanish/>
              </w:rPr>
            </w:pPr>
          </w:p>
        </w:tc>
      </w:tr>
      <w:tr w:rsidR="00584EC1" w14:paraId="74DD801B" w14:textId="77777777">
        <w:tc>
          <w:tcPr>
            <w:tcW w:w="0" w:type="auto"/>
            <w:gridSpan w:val="3"/>
            <w:shd w:val="clear" w:color="auto" w:fill="CCEEFF"/>
            <w:tcMar>
              <w:top w:w="40" w:type="dxa"/>
              <w:left w:w="20" w:type="dxa"/>
              <w:bottom w:w="40" w:type="dxa"/>
              <w:right w:w="20" w:type="dxa"/>
            </w:tcMar>
            <w:vAlign w:val="bottom"/>
          </w:tcPr>
          <w:p w14:paraId="74DD8007" w14:textId="77777777" w:rsidR="00584EC1" w:rsidRDefault="00871F8D">
            <w:pPr>
              <w:textAlignment w:val="bottom"/>
            </w:pPr>
            <w:r>
              <w:rPr>
                <w:rFonts w:ascii="Arial" w:eastAsia="宋体" w:hAnsi="Arial" w:cs="Arial"/>
                <w:color w:val="000000"/>
                <w:sz w:val="15"/>
                <w:szCs w:val="15"/>
              </w:rPr>
              <w:t>North America</w:t>
            </w:r>
          </w:p>
        </w:tc>
        <w:tc>
          <w:tcPr>
            <w:tcW w:w="0" w:type="auto"/>
            <w:tcBorders>
              <w:top w:val="single" w:sz="8" w:space="0" w:color="000000"/>
            </w:tcBorders>
            <w:shd w:val="clear" w:color="auto" w:fill="CCEEFF"/>
            <w:tcMar>
              <w:top w:w="40" w:type="dxa"/>
              <w:left w:w="20" w:type="dxa"/>
              <w:bottom w:w="40" w:type="dxa"/>
              <w:right w:w="0" w:type="dxa"/>
            </w:tcMar>
            <w:vAlign w:val="bottom"/>
          </w:tcPr>
          <w:p w14:paraId="74DD8008" w14:textId="77777777" w:rsidR="00584EC1" w:rsidRDefault="00871F8D">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8009" w14:textId="77777777" w:rsidR="00584EC1" w:rsidRDefault="00871F8D">
            <w:pPr>
              <w:jc w:val="right"/>
              <w:textAlignment w:val="bottom"/>
            </w:pPr>
            <w:r>
              <w:rPr>
                <w:rFonts w:ascii="Arial" w:eastAsia="宋体" w:hAnsi="Arial" w:cs="Arial"/>
                <w:b/>
                <w:bCs/>
                <w:color w:val="000000"/>
                <w:sz w:val="15"/>
                <w:szCs w:val="15"/>
              </w:rPr>
              <w:t>2,732</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00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00B"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800C"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800D" w14:textId="77777777" w:rsidR="00584EC1" w:rsidRDefault="00871F8D">
            <w:pPr>
              <w:jc w:val="right"/>
              <w:textAlignment w:val="bottom"/>
            </w:pPr>
            <w:r>
              <w:rPr>
                <w:rFonts w:ascii="Arial" w:eastAsia="宋体" w:hAnsi="Arial" w:cs="Arial"/>
                <w:color w:val="000000"/>
                <w:sz w:val="15"/>
                <w:szCs w:val="15"/>
              </w:rPr>
              <w:t>2,411 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00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00F"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8010"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8011" w14:textId="77777777" w:rsidR="00584EC1" w:rsidRDefault="00871F8D">
            <w:pPr>
              <w:jc w:val="right"/>
              <w:textAlignment w:val="bottom"/>
            </w:pPr>
            <w:r>
              <w:rPr>
                <w:rFonts w:ascii="Arial" w:eastAsia="宋体" w:hAnsi="Arial" w:cs="Arial"/>
                <w:color w:val="000000"/>
                <w:sz w:val="15"/>
                <w:szCs w:val="15"/>
              </w:rPr>
              <w:t>2,163 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012" w14:textId="77777777" w:rsidR="00584EC1" w:rsidRDefault="00584EC1">
            <w:pPr>
              <w:jc w:val="right"/>
              <w:rPr>
                <w:rFonts w:ascii="宋体"/>
              </w:rPr>
            </w:pPr>
          </w:p>
        </w:tc>
        <w:tc>
          <w:tcPr>
            <w:tcW w:w="0" w:type="auto"/>
            <w:shd w:val="clear" w:color="auto" w:fill="auto"/>
            <w:vAlign w:val="bottom"/>
          </w:tcPr>
          <w:p w14:paraId="74DD8013" w14:textId="77777777" w:rsidR="00584EC1" w:rsidRDefault="00584EC1">
            <w:pPr>
              <w:rPr>
                <w:rFonts w:ascii="宋体"/>
                <w:vanish/>
              </w:rPr>
            </w:pPr>
          </w:p>
        </w:tc>
        <w:tc>
          <w:tcPr>
            <w:tcW w:w="0" w:type="auto"/>
            <w:shd w:val="clear" w:color="auto" w:fill="auto"/>
            <w:vAlign w:val="bottom"/>
          </w:tcPr>
          <w:p w14:paraId="74DD8014" w14:textId="77777777" w:rsidR="00584EC1" w:rsidRDefault="00584EC1">
            <w:pPr>
              <w:rPr>
                <w:rFonts w:ascii="宋体"/>
                <w:vanish/>
              </w:rPr>
            </w:pPr>
          </w:p>
        </w:tc>
        <w:tc>
          <w:tcPr>
            <w:tcW w:w="0" w:type="auto"/>
            <w:shd w:val="clear" w:color="auto" w:fill="auto"/>
            <w:vAlign w:val="bottom"/>
          </w:tcPr>
          <w:p w14:paraId="74DD8015" w14:textId="77777777" w:rsidR="00584EC1" w:rsidRDefault="00584EC1">
            <w:pPr>
              <w:rPr>
                <w:rFonts w:ascii="宋体"/>
                <w:vanish/>
              </w:rPr>
            </w:pPr>
          </w:p>
        </w:tc>
        <w:tc>
          <w:tcPr>
            <w:tcW w:w="0" w:type="auto"/>
            <w:shd w:val="clear" w:color="auto" w:fill="auto"/>
            <w:vAlign w:val="bottom"/>
          </w:tcPr>
          <w:p w14:paraId="74DD8016" w14:textId="77777777" w:rsidR="00584EC1" w:rsidRDefault="00584EC1">
            <w:pPr>
              <w:rPr>
                <w:rFonts w:ascii="宋体"/>
                <w:vanish/>
              </w:rPr>
            </w:pPr>
          </w:p>
        </w:tc>
        <w:tc>
          <w:tcPr>
            <w:tcW w:w="0" w:type="auto"/>
            <w:shd w:val="clear" w:color="auto" w:fill="auto"/>
            <w:vAlign w:val="bottom"/>
          </w:tcPr>
          <w:p w14:paraId="74DD8017" w14:textId="77777777" w:rsidR="00584EC1" w:rsidRDefault="00584EC1">
            <w:pPr>
              <w:rPr>
                <w:rFonts w:ascii="宋体"/>
                <w:vanish/>
              </w:rPr>
            </w:pPr>
          </w:p>
        </w:tc>
        <w:tc>
          <w:tcPr>
            <w:tcW w:w="0" w:type="auto"/>
            <w:shd w:val="clear" w:color="auto" w:fill="auto"/>
            <w:vAlign w:val="bottom"/>
          </w:tcPr>
          <w:p w14:paraId="74DD8018" w14:textId="77777777" w:rsidR="00584EC1" w:rsidRDefault="00584EC1">
            <w:pPr>
              <w:rPr>
                <w:rFonts w:ascii="宋体"/>
                <w:vanish/>
              </w:rPr>
            </w:pPr>
          </w:p>
        </w:tc>
        <w:tc>
          <w:tcPr>
            <w:tcW w:w="0" w:type="auto"/>
            <w:shd w:val="clear" w:color="auto" w:fill="auto"/>
            <w:vAlign w:val="bottom"/>
          </w:tcPr>
          <w:p w14:paraId="74DD8019" w14:textId="77777777" w:rsidR="00584EC1" w:rsidRDefault="00584EC1">
            <w:pPr>
              <w:rPr>
                <w:rFonts w:ascii="宋体"/>
                <w:vanish/>
              </w:rPr>
            </w:pPr>
          </w:p>
        </w:tc>
        <w:tc>
          <w:tcPr>
            <w:tcW w:w="0" w:type="auto"/>
            <w:shd w:val="clear" w:color="auto" w:fill="auto"/>
            <w:vAlign w:val="bottom"/>
          </w:tcPr>
          <w:p w14:paraId="74DD801A" w14:textId="77777777" w:rsidR="00584EC1" w:rsidRDefault="00584EC1">
            <w:pPr>
              <w:rPr>
                <w:rFonts w:ascii="宋体"/>
                <w:vanish/>
              </w:rPr>
            </w:pPr>
          </w:p>
        </w:tc>
      </w:tr>
      <w:tr w:rsidR="00584EC1" w14:paraId="74DD802D" w14:textId="77777777">
        <w:tc>
          <w:tcPr>
            <w:tcW w:w="0" w:type="auto"/>
            <w:gridSpan w:val="3"/>
            <w:shd w:val="clear" w:color="auto" w:fill="FFFFFF"/>
            <w:tcMar>
              <w:top w:w="40" w:type="dxa"/>
              <w:left w:w="20" w:type="dxa"/>
              <w:bottom w:w="40" w:type="dxa"/>
              <w:right w:w="20" w:type="dxa"/>
            </w:tcMar>
            <w:vAlign w:val="bottom"/>
          </w:tcPr>
          <w:p w14:paraId="74DD801C" w14:textId="77777777" w:rsidR="00584EC1" w:rsidRDefault="00871F8D">
            <w:pPr>
              <w:textAlignment w:val="bottom"/>
            </w:pPr>
            <w:r>
              <w:rPr>
                <w:rFonts w:ascii="Arial" w:eastAsia="宋体" w:hAnsi="Arial" w:cs="Arial"/>
                <w:color w:val="000000"/>
                <w:sz w:val="15"/>
                <w:szCs w:val="15"/>
              </w:rPr>
              <w:t>Europe/Middle East/Africa</w:t>
            </w:r>
          </w:p>
        </w:tc>
        <w:tc>
          <w:tcPr>
            <w:tcW w:w="0" w:type="auto"/>
            <w:gridSpan w:val="2"/>
            <w:shd w:val="clear" w:color="auto" w:fill="FFFFFF"/>
            <w:tcMar>
              <w:top w:w="40" w:type="dxa"/>
              <w:left w:w="20" w:type="dxa"/>
              <w:bottom w:w="40" w:type="dxa"/>
              <w:right w:w="0" w:type="dxa"/>
            </w:tcMar>
            <w:vAlign w:val="bottom"/>
          </w:tcPr>
          <w:p w14:paraId="74DD801D" w14:textId="77777777" w:rsidR="00584EC1" w:rsidRDefault="00871F8D">
            <w:pPr>
              <w:jc w:val="right"/>
              <w:textAlignment w:val="bottom"/>
            </w:pPr>
            <w:r>
              <w:rPr>
                <w:rFonts w:ascii="Arial" w:eastAsia="宋体" w:hAnsi="Arial" w:cs="Arial"/>
                <w:b/>
                <w:bCs/>
                <w:color w:val="000000"/>
                <w:sz w:val="15"/>
                <w:szCs w:val="15"/>
              </w:rPr>
              <w:t>558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801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01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020" w14:textId="77777777" w:rsidR="00584EC1" w:rsidRDefault="00871F8D">
            <w:pPr>
              <w:jc w:val="right"/>
              <w:textAlignment w:val="bottom"/>
            </w:pPr>
            <w:r>
              <w:rPr>
                <w:rFonts w:ascii="Arial" w:eastAsia="宋体" w:hAnsi="Arial" w:cs="Arial"/>
                <w:color w:val="000000"/>
                <w:sz w:val="15"/>
                <w:szCs w:val="15"/>
              </w:rPr>
              <w:t>512 </w:t>
            </w:r>
          </w:p>
        </w:tc>
        <w:tc>
          <w:tcPr>
            <w:tcW w:w="0" w:type="auto"/>
            <w:shd w:val="clear" w:color="auto" w:fill="FFFFFF"/>
            <w:tcMar>
              <w:top w:w="40" w:type="dxa"/>
              <w:left w:w="0" w:type="dxa"/>
              <w:bottom w:w="40" w:type="dxa"/>
              <w:right w:w="20" w:type="dxa"/>
            </w:tcMar>
            <w:vAlign w:val="bottom"/>
          </w:tcPr>
          <w:p w14:paraId="74DD802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02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023" w14:textId="77777777" w:rsidR="00584EC1" w:rsidRDefault="00871F8D">
            <w:pPr>
              <w:jc w:val="right"/>
              <w:textAlignment w:val="bottom"/>
            </w:pPr>
            <w:r>
              <w:rPr>
                <w:rFonts w:ascii="Arial" w:eastAsia="宋体" w:hAnsi="Arial" w:cs="Arial"/>
                <w:color w:val="000000"/>
                <w:sz w:val="15"/>
                <w:szCs w:val="15"/>
              </w:rPr>
              <w:t>483 </w:t>
            </w:r>
          </w:p>
        </w:tc>
        <w:tc>
          <w:tcPr>
            <w:tcW w:w="0" w:type="auto"/>
            <w:shd w:val="clear" w:color="auto" w:fill="FFFFFF"/>
            <w:tcMar>
              <w:top w:w="40" w:type="dxa"/>
              <w:left w:w="0" w:type="dxa"/>
              <w:bottom w:w="40" w:type="dxa"/>
              <w:right w:w="20" w:type="dxa"/>
            </w:tcMar>
            <w:vAlign w:val="bottom"/>
          </w:tcPr>
          <w:p w14:paraId="74DD8024" w14:textId="77777777" w:rsidR="00584EC1" w:rsidRDefault="00584EC1">
            <w:pPr>
              <w:jc w:val="right"/>
              <w:rPr>
                <w:rFonts w:ascii="宋体"/>
              </w:rPr>
            </w:pPr>
          </w:p>
        </w:tc>
        <w:tc>
          <w:tcPr>
            <w:tcW w:w="0" w:type="auto"/>
            <w:shd w:val="clear" w:color="auto" w:fill="auto"/>
            <w:vAlign w:val="bottom"/>
          </w:tcPr>
          <w:p w14:paraId="74DD8025" w14:textId="77777777" w:rsidR="00584EC1" w:rsidRDefault="00584EC1">
            <w:pPr>
              <w:rPr>
                <w:rFonts w:ascii="宋体"/>
                <w:vanish/>
              </w:rPr>
            </w:pPr>
          </w:p>
        </w:tc>
        <w:tc>
          <w:tcPr>
            <w:tcW w:w="0" w:type="auto"/>
            <w:shd w:val="clear" w:color="auto" w:fill="auto"/>
            <w:vAlign w:val="bottom"/>
          </w:tcPr>
          <w:p w14:paraId="74DD8026" w14:textId="77777777" w:rsidR="00584EC1" w:rsidRDefault="00584EC1">
            <w:pPr>
              <w:rPr>
                <w:rFonts w:ascii="宋体"/>
                <w:vanish/>
              </w:rPr>
            </w:pPr>
          </w:p>
        </w:tc>
        <w:tc>
          <w:tcPr>
            <w:tcW w:w="0" w:type="auto"/>
            <w:shd w:val="clear" w:color="auto" w:fill="auto"/>
            <w:vAlign w:val="bottom"/>
          </w:tcPr>
          <w:p w14:paraId="74DD8027" w14:textId="77777777" w:rsidR="00584EC1" w:rsidRDefault="00584EC1">
            <w:pPr>
              <w:rPr>
                <w:rFonts w:ascii="宋体"/>
                <w:vanish/>
              </w:rPr>
            </w:pPr>
          </w:p>
        </w:tc>
        <w:tc>
          <w:tcPr>
            <w:tcW w:w="0" w:type="auto"/>
            <w:shd w:val="clear" w:color="auto" w:fill="auto"/>
            <w:vAlign w:val="bottom"/>
          </w:tcPr>
          <w:p w14:paraId="74DD8028" w14:textId="77777777" w:rsidR="00584EC1" w:rsidRDefault="00584EC1">
            <w:pPr>
              <w:rPr>
                <w:rFonts w:ascii="宋体"/>
                <w:vanish/>
              </w:rPr>
            </w:pPr>
          </w:p>
        </w:tc>
        <w:tc>
          <w:tcPr>
            <w:tcW w:w="0" w:type="auto"/>
            <w:shd w:val="clear" w:color="auto" w:fill="auto"/>
            <w:vAlign w:val="bottom"/>
          </w:tcPr>
          <w:p w14:paraId="74DD8029" w14:textId="77777777" w:rsidR="00584EC1" w:rsidRDefault="00584EC1">
            <w:pPr>
              <w:rPr>
                <w:rFonts w:ascii="宋体"/>
                <w:vanish/>
              </w:rPr>
            </w:pPr>
          </w:p>
        </w:tc>
        <w:tc>
          <w:tcPr>
            <w:tcW w:w="0" w:type="auto"/>
            <w:shd w:val="clear" w:color="auto" w:fill="auto"/>
            <w:vAlign w:val="bottom"/>
          </w:tcPr>
          <w:p w14:paraId="74DD802A" w14:textId="77777777" w:rsidR="00584EC1" w:rsidRDefault="00584EC1">
            <w:pPr>
              <w:rPr>
                <w:rFonts w:ascii="宋体"/>
                <w:vanish/>
              </w:rPr>
            </w:pPr>
          </w:p>
        </w:tc>
        <w:tc>
          <w:tcPr>
            <w:tcW w:w="0" w:type="auto"/>
            <w:shd w:val="clear" w:color="auto" w:fill="auto"/>
            <w:vAlign w:val="bottom"/>
          </w:tcPr>
          <w:p w14:paraId="74DD802B" w14:textId="77777777" w:rsidR="00584EC1" w:rsidRDefault="00584EC1">
            <w:pPr>
              <w:rPr>
                <w:rFonts w:ascii="宋体"/>
                <w:vanish/>
              </w:rPr>
            </w:pPr>
          </w:p>
        </w:tc>
        <w:tc>
          <w:tcPr>
            <w:tcW w:w="0" w:type="auto"/>
            <w:shd w:val="clear" w:color="auto" w:fill="auto"/>
            <w:vAlign w:val="bottom"/>
          </w:tcPr>
          <w:p w14:paraId="74DD802C" w14:textId="77777777" w:rsidR="00584EC1" w:rsidRDefault="00584EC1">
            <w:pPr>
              <w:rPr>
                <w:rFonts w:ascii="宋体"/>
                <w:vanish/>
              </w:rPr>
            </w:pPr>
          </w:p>
        </w:tc>
      </w:tr>
      <w:tr w:rsidR="00584EC1" w14:paraId="74DD803F" w14:textId="77777777">
        <w:tc>
          <w:tcPr>
            <w:tcW w:w="0" w:type="auto"/>
            <w:gridSpan w:val="3"/>
            <w:shd w:val="clear" w:color="auto" w:fill="CCEEFF"/>
            <w:tcMar>
              <w:top w:w="40" w:type="dxa"/>
              <w:left w:w="20" w:type="dxa"/>
              <w:bottom w:w="40" w:type="dxa"/>
              <w:right w:w="20" w:type="dxa"/>
            </w:tcMar>
            <w:vAlign w:val="bottom"/>
          </w:tcPr>
          <w:p w14:paraId="74DD802E" w14:textId="77777777" w:rsidR="00584EC1" w:rsidRDefault="00871F8D">
            <w:pPr>
              <w:textAlignment w:val="bottom"/>
            </w:pPr>
            <w:r>
              <w:rPr>
                <w:rFonts w:ascii="Arial" w:eastAsia="宋体" w:hAnsi="Arial" w:cs="Arial"/>
                <w:color w:val="000000"/>
                <w:sz w:val="15"/>
                <w:szCs w:val="15"/>
              </w:rPr>
              <w:t>Asia/Pacific</w:t>
            </w:r>
          </w:p>
        </w:tc>
        <w:tc>
          <w:tcPr>
            <w:tcW w:w="0" w:type="auto"/>
            <w:gridSpan w:val="2"/>
            <w:shd w:val="clear" w:color="auto" w:fill="CCEEFF"/>
            <w:tcMar>
              <w:top w:w="40" w:type="dxa"/>
              <w:left w:w="20" w:type="dxa"/>
              <w:bottom w:w="40" w:type="dxa"/>
              <w:right w:w="0" w:type="dxa"/>
            </w:tcMar>
            <w:vAlign w:val="bottom"/>
          </w:tcPr>
          <w:p w14:paraId="74DD802F" w14:textId="77777777" w:rsidR="00584EC1" w:rsidRDefault="00871F8D">
            <w:pPr>
              <w:jc w:val="right"/>
              <w:textAlignment w:val="bottom"/>
            </w:pPr>
            <w:r>
              <w:rPr>
                <w:rFonts w:ascii="Arial" w:eastAsia="宋体" w:hAnsi="Arial" w:cs="Arial"/>
                <w:b/>
                <w:bCs/>
                <w:color w:val="000000"/>
                <w:sz w:val="15"/>
                <w:szCs w:val="15"/>
              </w:rPr>
              <w:t>572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803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03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032" w14:textId="77777777" w:rsidR="00584EC1" w:rsidRDefault="00871F8D">
            <w:pPr>
              <w:jc w:val="right"/>
              <w:textAlignment w:val="bottom"/>
            </w:pPr>
            <w:r>
              <w:rPr>
                <w:rFonts w:ascii="Arial" w:eastAsia="宋体" w:hAnsi="Arial" w:cs="Arial"/>
                <w:color w:val="000000"/>
                <w:sz w:val="15"/>
                <w:szCs w:val="15"/>
              </w:rPr>
              <w:t>544 </w:t>
            </w:r>
          </w:p>
        </w:tc>
        <w:tc>
          <w:tcPr>
            <w:tcW w:w="0" w:type="auto"/>
            <w:shd w:val="clear" w:color="auto" w:fill="CCEEFF"/>
            <w:tcMar>
              <w:top w:w="40" w:type="dxa"/>
              <w:left w:w="0" w:type="dxa"/>
              <w:bottom w:w="40" w:type="dxa"/>
              <w:right w:w="20" w:type="dxa"/>
            </w:tcMar>
            <w:vAlign w:val="bottom"/>
          </w:tcPr>
          <w:p w14:paraId="74DD803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034"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035" w14:textId="77777777" w:rsidR="00584EC1" w:rsidRDefault="00871F8D">
            <w:pPr>
              <w:jc w:val="right"/>
              <w:textAlignment w:val="bottom"/>
            </w:pPr>
            <w:r>
              <w:rPr>
                <w:rFonts w:ascii="Arial" w:eastAsia="宋体" w:hAnsi="Arial" w:cs="Arial"/>
                <w:color w:val="000000"/>
                <w:sz w:val="15"/>
                <w:szCs w:val="15"/>
              </w:rPr>
              <w:t>502 </w:t>
            </w:r>
          </w:p>
        </w:tc>
        <w:tc>
          <w:tcPr>
            <w:tcW w:w="0" w:type="auto"/>
            <w:shd w:val="clear" w:color="auto" w:fill="CCEEFF"/>
            <w:tcMar>
              <w:top w:w="40" w:type="dxa"/>
              <w:left w:w="0" w:type="dxa"/>
              <w:bottom w:w="40" w:type="dxa"/>
              <w:right w:w="20" w:type="dxa"/>
            </w:tcMar>
            <w:vAlign w:val="bottom"/>
          </w:tcPr>
          <w:p w14:paraId="74DD8036" w14:textId="77777777" w:rsidR="00584EC1" w:rsidRDefault="00584EC1">
            <w:pPr>
              <w:jc w:val="right"/>
              <w:rPr>
                <w:rFonts w:ascii="宋体"/>
              </w:rPr>
            </w:pPr>
          </w:p>
        </w:tc>
        <w:tc>
          <w:tcPr>
            <w:tcW w:w="0" w:type="auto"/>
            <w:shd w:val="clear" w:color="auto" w:fill="auto"/>
            <w:vAlign w:val="bottom"/>
          </w:tcPr>
          <w:p w14:paraId="74DD8037" w14:textId="77777777" w:rsidR="00584EC1" w:rsidRDefault="00584EC1">
            <w:pPr>
              <w:rPr>
                <w:rFonts w:ascii="宋体"/>
                <w:vanish/>
              </w:rPr>
            </w:pPr>
          </w:p>
        </w:tc>
        <w:tc>
          <w:tcPr>
            <w:tcW w:w="0" w:type="auto"/>
            <w:shd w:val="clear" w:color="auto" w:fill="auto"/>
            <w:vAlign w:val="bottom"/>
          </w:tcPr>
          <w:p w14:paraId="74DD8038" w14:textId="77777777" w:rsidR="00584EC1" w:rsidRDefault="00584EC1">
            <w:pPr>
              <w:rPr>
                <w:rFonts w:ascii="宋体"/>
                <w:vanish/>
              </w:rPr>
            </w:pPr>
          </w:p>
        </w:tc>
        <w:tc>
          <w:tcPr>
            <w:tcW w:w="0" w:type="auto"/>
            <w:shd w:val="clear" w:color="auto" w:fill="auto"/>
            <w:vAlign w:val="bottom"/>
          </w:tcPr>
          <w:p w14:paraId="74DD8039" w14:textId="77777777" w:rsidR="00584EC1" w:rsidRDefault="00584EC1">
            <w:pPr>
              <w:rPr>
                <w:rFonts w:ascii="宋体"/>
                <w:vanish/>
              </w:rPr>
            </w:pPr>
          </w:p>
        </w:tc>
        <w:tc>
          <w:tcPr>
            <w:tcW w:w="0" w:type="auto"/>
            <w:shd w:val="clear" w:color="auto" w:fill="auto"/>
            <w:vAlign w:val="bottom"/>
          </w:tcPr>
          <w:p w14:paraId="74DD803A" w14:textId="77777777" w:rsidR="00584EC1" w:rsidRDefault="00584EC1">
            <w:pPr>
              <w:rPr>
                <w:rFonts w:ascii="宋体"/>
                <w:vanish/>
              </w:rPr>
            </w:pPr>
          </w:p>
        </w:tc>
        <w:tc>
          <w:tcPr>
            <w:tcW w:w="0" w:type="auto"/>
            <w:shd w:val="clear" w:color="auto" w:fill="auto"/>
            <w:vAlign w:val="bottom"/>
          </w:tcPr>
          <w:p w14:paraId="74DD803B" w14:textId="77777777" w:rsidR="00584EC1" w:rsidRDefault="00584EC1">
            <w:pPr>
              <w:rPr>
                <w:rFonts w:ascii="宋体"/>
                <w:vanish/>
              </w:rPr>
            </w:pPr>
          </w:p>
        </w:tc>
        <w:tc>
          <w:tcPr>
            <w:tcW w:w="0" w:type="auto"/>
            <w:shd w:val="clear" w:color="auto" w:fill="auto"/>
            <w:vAlign w:val="bottom"/>
          </w:tcPr>
          <w:p w14:paraId="74DD803C" w14:textId="77777777" w:rsidR="00584EC1" w:rsidRDefault="00584EC1">
            <w:pPr>
              <w:rPr>
                <w:rFonts w:ascii="宋体"/>
                <w:vanish/>
              </w:rPr>
            </w:pPr>
          </w:p>
        </w:tc>
        <w:tc>
          <w:tcPr>
            <w:tcW w:w="0" w:type="auto"/>
            <w:shd w:val="clear" w:color="auto" w:fill="auto"/>
            <w:vAlign w:val="bottom"/>
          </w:tcPr>
          <w:p w14:paraId="74DD803D" w14:textId="77777777" w:rsidR="00584EC1" w:rsidRDefault="00584EC1">
            <w:pPr>
              <w:rPr>
                <w:rFonts w:ascii="宋体"/>
                <w:vanish/>
              </w:rPr>
            </w:pPr>
          </w:p>
        </w:tc>
        <w:tc>
          <w:tcPr>
            <w:tcW w:w="0" w:type="auto"/>
            <w:shd w:val="clear" w:color="auto" w:fill="auto"/>
            <w:vAlign w:val="bottom"/>
          </w:tcPr>
          <w:p w14:paraId="74DD803E" w14:textId="77777777" w:rsidR="00584EC1" w:rsidRDefault="00584EC1">
            <w:pPr>
              <w:rPr>
                <w:rFonts w:ascii="宋体"/>
                <w:vanish/>
              </w:rPr>
            </w:pPr>
          </w:p>
        </w:tc>
      </w:tr>
      <w:tr w:rsidR="00584EC1" w14:paraId="74DD8054" w14:textId="77777777">
        <w:tc>
          <w:tcPr>
            <w:tcW w:w="0" w:type="auto"/>
            <w:gridSpan w:val="3"/>
            <w:shd w:val="clear" w:color="auto" w:fill="FFFFFF"/>
            <w:tcMar>
              <w:top w:w="40" w:type="dxa"/>
              <w:left w:w="20" w:type="dxa"/>
              <w:bottom w:w="40" w:type="dxa"/>
              <w:right w:w="20" w:type="dxa"/>
            </w:tcMar>
            <w:vAlign w:val="bottom"/>
          </w:tcPr>
          <w:p w14:paraId="74DD8040" w14:textId="77777777" w:rsidR="00584EC1" w:rsidRDefault="00871F8D">
            <w:pPr>
              <w:textAlignment w:val="bottom"/>
            </w:pPr>
            <w:r>
              <w:rPr>
                <w:rFonts w:ascii="Arial" w:eastAsia="宋体" w:hAnsi="Arial" w:cs="Arial"/>
                <w:b/>
                <w:bCs/>
                <w:color w:val="000000"/>
                <w:sz w:val="15"/>
                <w:szCs w:val="15"/>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8041" w14:textId="77777777" w:rsidR="00584EC1" w:rsidRDefault="00871F8D">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8042" w14:textId="77777777" w:rsidR="00584EC1" w:rsidRDefault="00871F8D">
            <w:pPr>
              <w:jc w:val="right"/>
              <w:textAlignment w:val="bottom"/>
            </w:pPr>
            <w:r>
              <w:rPr>
                <w:rFonts w:ascii="Arial" w:eastAsia="宋体" w:hAnsi="Arial" w:cs="Arial"/>
                <w:b/>
                <w:bCs/>
                <w:color w:val="000000"/>
                <w:sz w:val="15"/>
                <w:szCs w:val="15"/>
              </w:rPr>
              <w:t>3,862</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804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044"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8045"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8046" w14:textId="77777777" w:rsidR="00584EC1" w:rsidRDefault="00871F8D">
            <w:pPr>
              <w:jc w:val="right"/>
              <w:textAlignment w:val="bottom"/>
            </w:pPr>
            <w:r>
              <w:rPr>
                <w:rFonts w:ascii="Arial" w:eastAsia="宋体" w:hAnsi="Arial" w:cs="Arial"/>
                <w:color w:val="000000"/>
                <w:sz w:val="15"/>
                <w:szCs w:val="15"/>
              </w:rPr>
              <w:t>3,467 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804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048"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8049"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804A" w14:textId="77777777" w:rsidR="00584EC1" w:rsidRDefault="00871F8D">
            <w:pPr>
              <w:jc w:val="right"/>
              <w:textAlignment w:val="bottom"/>
            </w:pPr>
            <w:r>
              <w:rPr>
                <w:rFonts w:ascii="Arial" w:eastAsia="宋体" w:hAnsi="Arial" w:cs="Arial"/>
                <w:color w:val="000000"/>
                <w:sz w:val="15"/>
                <w:szCs w:val="15"/>
              </w:rPr>
              <w:t>3,148 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804B" w14:textId="77777777" w:rsidR="00584EC1" w:rsidRDefault="00584EC1">
            <w:pPr>
              <w:jc w:val="right"/>
              <w:rPr>
                <w:rFonts w:ascii="宋体"/>
              </w:rPr>
            </w:pPr>
          </w:p>
        </w:tc>
        <w:tc>
          <w:tcPr>
            <w:tcW w:w="0" w:type="auto"/>
            <w:shd w:val="clear" w:color="auto" w:fill="auto"/>
            <w:vAlign w:val="bottom"/>
          </w:tcPr>
          <w:p w14:paraId="74DD804C" w14:textId="77777777" w:rsidR="00584EC1" w:rsidRDefault="00584EC1">
            <w:pPr>
              <w:rPr>
                <w:rFonts w:ascii="宋体"/>
                <w:vanish/>
              </w:rPr>
            </w:pPr>
          </w:p>
        </w:tc>
        <w:tc>
          <w:tcPr>
            <w:tcW w:w="0" w:type="auto"/>
            <w:shd w:val="clear" w:color="auto" w:fill="auto"/>
            <w:vAlign w:val="bottom"/>
          </w:tcPr>
          <w:p w14:paraId="74DD804D" w14:textId="77777777" w:rsidR="00584EC1" w:rsidRDefault="00584EC1">
            <w:pPr>
              <w:rPr>
                <w:rFonts w:ascii="宋体"/>
                <w:vanish/>
              </w:rPr>
            </w:pPr>
          </w:p>
        </w:tc>
        <w:tc>
          <w:tcPr>
            <w:tcW w:w="0" w:type="auto"/>
            <w:shd w:val="clear" w:color="auto" w:fill="auto"/>
            <w:vAlign w:val="bottom"/>
          </w:tcPr>
          <w:p w14:paraId="74DD804E" w14:textId="77777777" w:rsidR="00584EC1" w:rsidRDefault="00584EC1">
            <w:pPr>
              <w:rPr>
                <w:rFonts w:ascii="宋体"/>
                <w:vanish/>
              </w:rPr>
            </w:pPr>
          </w:p>
        </w:tc>
        <w:tc>
          <w:tcPr>
            <w:tcW w:w="0" w:type="auto"/>
            <w:shd w:val="clear" w:color="auto" w:fill="auto"/>
            <w:vAlign w:val="bottom"/>
          </w:tcPr>
          <w:p w14:paraId="74DD804F" w14:textId="77777777" w:rsidR="00584EC1" w:rsidRDefault="00584EC1">
            <w:pPr>
              <w:rPr>
                <w:rFonts w:ascii="宋体"/>
                <w:vanish/>
              </w:rPr>
            </w:pPr>
          </w:p>
        </w:tc>
        <w:tc>
          <w:tcPr>
            <w:tcW w:w="0" w:type="auto"/>
            <w:shd w:val="clear" w:color="auto" w:fill="auto"/>
            <w:vAlign w:val="bottom"/>
          </w:tcPr>
          <w:p w14:paraId="74DD8050" w14:textId="77777777" w:rsidR="00584EC1" w:rsidRDefault="00584EC1">
            <w:pPr>
              <w:rPr>
                <w:rFonts w:ascii="宋体"/>
                <w:vanish/>
              </w:rPr>
            </w:pPr>
          </w:p>
        </w:tc>
        <w:tc>
          <w:tcPr>
            <w:tcW w:w="0" w:type="auto"/>
            <w:shd w:val="clear" w:color="auto" w:fill="auto"/>
            <w:vAlign w:val="bottom"/>
          </w:tcPr>
          <w:p w14:paraId="74DD8051" w14:textId="77777777" w:rsidR="00584EC1" w:rsidRDefault="00584EC1">
            <w:pPr>
              <w:rPr>
                <w:rFonts w:ascii="宋体"/>
                <w:vanish/>
              </w:rPr>
            </w:pPr>
          </w:p>
        </w:tc>
        <w:tc>
          <w:tcPr>
            <w:tcW w:w="0" w:type="auto"/>
            <w:shd w:val="clear" w:color="auto" w:fill="auto"/>
            <w:vAlign w:val="bottom"/>
          </w:tcPr>
          <w:p w14:paraId="74DD8052" w14:textId="77777777" w:rsidR="00584EC1" w:rsidRDefault="00584EC1">
            <w:pPr>
              <w:rPr>
                <w:rFonts w:ascii="宋体"/>
                <w:vanish/>
              </w:rPr>
            </w:pPr>
          </w:p>
        </w:tc>
        <w:tc>
          <w:tcPr>
            <w:tcW w:w="0" w:type="auto"/>
            <w:shd w:val="clear" w:color="auto" w:fill="auto"/>
            <w:vAlign w:val="bottom"/>
          </w:tcPr>
          <w:p w14:paraId="74DD8053" w14:textId="77777777" w:rsidR="00584EC1" w:rsidRDefault="00584EC1">
            <w:pPr>
              <w:rPr>
                <w:rFonts w:ascii="宋体"/>
                <w:vanish/>
              </w:rPr>
            </w:pPr>
          </w:p>
        </w:tc>
      </w:tr>
    </w:tbl>
    <w:p w14:paraId="74DD8055" w14:textId="77777777" w:rsidR="00584EC1" w:rsidRDefault="00584E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584EC1" w14:paraId="74DD805C" w14:textId="77777777">
        <w:tc>
          <w:tcPr>
            <w:tcW w:w="50" w:type="pct"/>
            <w:shd w:val="clear" w:color="auto" w:fill="auto"/>
            <w:vAlign w:val="bottom"/>
          </w:tcPr>
          <w:p w14:paraId="74DD8056" w14:textId="77777777" w:rsidR="00584EC1" w:rsidRDefault="00584EC1">
            <w:pPr>
              <w:rPr>
                <w:rFonts w:ascii="宋体"/>
              </w:rPr>
            </w:pPr>
          </w:p>
        </w:tc>
        <w:tc>
          <w:tcPr>
            <w:tcW w:w="1348" w:type="pct"/>
            <w:shd w:val="clear" w:color="auto" w:fill="auto"/>
            <w:vAlign w:val="bottom"/>
          </w:tcPr>
          <w:p w14:paraId="74DD8057" w14:textId="77777777" w:rsidR="00584EC1" w:rsidRDefault="00584EC1">
            <w:pPr>
              <w:rPr>
                <w:rFonts w:ascii="宋体"/>
              </w:rPr>
            </w:pPr>
          </w:p>
        </w:tc>
        <w:tc>
          <w:tcPr>
            <w:tcW w:w="5" w:type="pct"/>
            <w:shd w:val="clear" w:color="auto" w:fill="auto"/>
            <w:vAlign w:val="bottom"/>
          </w:tcPr>
          <w:p w14:paraId="74DD8058" w14:textId="77777777" w:rsidR="00584EC1" w:rsidRDefault="00584EC1">
            <w:pPr>
              <w:rPr>
                <w:rFonts w:ascii="宋体"/>
              </w:rPr>
            </w:pPr>
          </w:p>
        </w:tc>
        <w:tc>
          <w:tcPr>
            <w:tcW w:w="50" w:type="pct"/>
            <w:shd w:val="clear" w:color="auto" w:fill="auto"/>
            <w:vAlign w:val="bottom"/>
          </w:tcPr>
          <w:p w14:paraId="74DD8059" w14:textId="77777777" w:rsidR="00584EC1" w:rsidRDefault="00584EC1">
            <w:pPr>
              <w:rPr>
                <w:rFonts w:ascii="宋体"/>
              </w:rPr>
            </w:pPr>
          </w:p>
        </w:tc>
        <w:tc>
          <w:tcPr>
            <w:tcW w:w="3541" w:type="pct"/>
            <w:shd w:val="clear" w:color="auto" w:fill="auto"/>
            <w:vAlign w:val="bottom"/>
          </w:tcPr>
          <w:p w14:paraId="74DD805A" w14:textId="77777777" w:rsidR="00584EC1" w:rsidRDefault="00584EC1">
            <w:pPr>
              <w:rPr>
                <w:rFonts w:ascii="宋体"/>
              </w:rPr>
            </w:pPr>
          </w:p>
        </w:tc>
        <w:tc>
          <w:tcPr>
            <w:tcW w:w="5" w:type="pct"/>
            <w:shd w:val="clear" w:color="auto" w:fill="auto"/>
            <w:vAlign w:val="bottom"/>
          </w:tcPr>
          <w:p w14:paraId="74DD805B" w14:textId="77777777" w:rsidR="00584EC1" w:rsidRDefault="00584EC1">
            <w:pPr>
              <w:rPr>
                <w:rFonts w:ascii="宋体"/>
              </w:rPr>
            </w:pPr>
          </w:p>
        </w:tc>
      </w:tr>
      <w:tr w:rsidR="00584EC1" w14:paraId="74DD805F"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4DD805D"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805E" w14:textId="77777777" w:rsidR="00584EC1" w:rsidRDefault="00584EC1">
            <w:pPr>
              <w:rPr>
                <w:rFonts w:ascii="宋体"/>
              </w:rPr>
            </w:pPr>
          </w:p>
        </w:tc>
      </w:tr>
    </w:tbl>
    <w:p w14:paraId="74DD8060" w14:textId="77777777" w:rsidR="00584EC1" w:rsidRDefault="00871F8D">
      <w:pPr>
        <w:spacing w:before="60"/>
        <w:jc w:val="both"/>
      </w:pPr>
      <w:r>
        <w:rPr>
          <w:rFonts w:ascii="Arial" w:eastAsia="宋体" w:hAnsi="Arial" w:cs="Arial"/>
          <w:color w:val="000000"/>
          <w:sz w:val="8"/>
          <w:szCs w:val="8"/>
        </w:rPr>
        <w:t xml:space="preserve">(1) </w:t>
      </w:r>
      <w:r>
        <w:rPr>
          <w:rFonts w:ascii="Arial" w:eastAsia="宋体" w:hAnsi="Arial" w:cs="Arial"/>
          <w:color w:val="000000"/>
          <w:sz w:val="13"/>
          <w:szCs w:val="13"/>
        </w:rPr>
        <w:t>Geographic mix is based on client location or fund management location.</w:t>
      </w:r>
    </w:p>
    <w:p w14:paraId="74DD8061" w14:textId="77777777" w:rsidR="00584EC1" w:rsidRDefault="00871F8D">
      <w:pPr>
        <w:ind w:firstLine="450"/>
        <w:jc w:val="right"/>
      </w:pPr>
      <w:r>
        <w:rPr>
          <w:rFonts w:ascii="Arial" w:eastAsia="宋体" w:hAnsi="Arial" w:cs="Arial"/>
          <w:color w:val="000000"/>
          <w:sz w:val="18"/>
          <w:szCs w:val="18"/>
        </w:rPr>
        <w:t>State Street Corporation | 25</w:t>
      </w:r>
    </w:p>
    <w:p w14:paraId="74DD8062" w14:textId="77777777" w:rsidR="00584EC1" w:rsidRDefault="00584EC1">
      <w:pPr>
        <w:ind w:firstLine="450"/>
        <w:jc w:val="center"/>
      </w:pPr>
    </w:p>
    <w:p w14:paraId="74DD8063" w14:textId="77777777" w:rsidR="00584EC1" w:rsidRDefault="00871F8D">
      <w:r>
        <w:pict w14:anchorId="74DE2A07">
          <v:rect id="_x0000_i1049" style="width:415.3pt;height:1.5pt" o:hralign="center" o:hrstd="t" o:hr="t" fillcolor="#a0a0a0" stroked="f"/>
        </w:pict>
      </w:r>
    </w:p>
    <w:p w14:paraId="74DD8064" w14:textId="77777777" w:rsidR="00584EC1" w:rsidRDefault="00871F8D">
      <w:pPr>
        <w:ind w:firstLine="450"/>
        <w:jc w:val="center"/>
      </w:pPr>
      <w:r>
        <w:rPr>
          <w:rFonts w:ascii="Arial" w:eastAsia="宋体" w:hAnsi="Arial" w:cs="Arial"/>
          <w:b/>
          <w:bCs/>
          <w:color w:val="000000"/>
          <w:sz w:val="20"/>
          <w:szCs w:val="20"/>
        </w:rPr>
        <w:t xml:space="preserve">MANAGEMENT’S DISCUSSION AND </w:t>
      </w:r>
      <w:r>
        <w:rPr>
          <w:rFonts w:ascii="Arial" w:eastAsia="宋体" w:hAnsi="Arial" w:cs="Arial"/>
          <w:b/>
          <w:bCs/>
          <w:color w:val="000000"/>
          <w:sz w:val="20"/>
          <w:szCs w:val="20"/>
        </w:rPr>
        <w:t>ANALYSIS OF FINANCIAL CONDITION</w:t>
      </w:r>
    </w:p>
    <w:p w14:paraId="74DD8065" w14:textId="77777777" w:rsidR="00584EC1" w:rsidRDefault="00871F8D">
      <w:pPr>
        <w:ind w:firstLine="450"/>
        <w:jc w:val="center"/>
      </w:pPr>
      <w:r>
        <w:rPr>
          <w:rFonts w:ascii="Arial" w:eastAsia="宋体" w:hAnsi="Arial" w:cs="Arial"/>
          <w:b/>
          <w:bCs/>
          <w:color w:val="000000"/>
          <w:sz w:val="20"/>
          <w:szCs w:val="20"/>
        </w:rPr>
        <w:t>AND RESULTS OF OPERATIONS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2081"/>
        <w:gridCol w:w="38"/>
        <w:gridCol w:w="105"/>
        <w:gridCol w:w="534"/>
        <w:gridCol w:w="37"/>
        <w:gridCol w:w="36"/>
        <w:gridCol w:w="36"/>
        <w:gridCol w:w="36"/>
        <w:gridCol w:w="105"/>
        <w:gridCol w:w="1015"/>
        <w:gridCol w:w="36"/>
        <w:gridCol w:w="36"/>
        <w:gridCol w:w="36"/>
        <w:gridCol w:w="36"/>
        <w:gridCol w:w="105"/>
        <w:gridCol w:w="549"/>
        <w:gridCol w:w="37"/>
        <w:gridCol w:w="36"/>
        <w:gridCol w:w="36"/>
        <w:gridCol w:w="36"/>
        <w:gridCol w:w="105"/>
        <w:gridCol w:w="1194"/>
        <w:gridCol w:w="36"/>
        <w:gridCol w:w="36"/>
        <w:gridCol w:w="36"/>
        <w:gridCol w:w="36"/>
        <w:gridCol w:w="105"/>
        <w:gridCol w:w="1044"/>
        <w:gridCol w:w="36"/>
        <w:gridCol w:w="36"/>
        <w:gridCol w:w="36"/>
        <w:gridCol w:w="36"/>
        <w:gridCol w:w="104"/>
        <w:gridCol w:w="418"/>
        <w:gridCol w:w="36"/>
        <w:gridCol w:w="36"/>
      </w:tblGrid>
      <w:tr w:rsidR="00584EC1" w14:paraId="74DD808B" w14:textId="77777777">
        <w:tc>
          <w:tcPr>
            <w:tcW w:w="50" w:type="pct"/>
            <w:shd w:val="clear" w:color="auto" w:fill="auto"/>
            <w:vAlign w:val="bottom"/>
          </w:tcPr>
          <w:p w14:paraId="74DD8066" w14:textId="77777777" w:rsidR="00584EC1" w:rsidRDefault="00584EC1">
            <w:pPr>
              <w:rPr>
                <w:rFonts w:ascii="宋体"/>
              </w:rPr>
            </w:pPr>
          </w:p>
        </w:tc>
        <w:tc>
          <w:tcPr>
            <w:tcW w:w="1458" w:type="pct"/>
            <w:shd w:val="clear" w:color="auto" w:fill="auto"/>
            <w:vAlign w:val="bottom"/>
          </w:tcPr>
          <w:p w14:paraId="74DD8067" w14:textId="77777777" w:rsidR="00584EC1" w:rsidRDefault="00584EC1">
            <w:pPr>
              <w:rPr>
                <w:rFonts w:ascii="宋体"/>
              </w:rPr>
            </w:pPr>
          </w:p>
        </w:tc>
        <w:tc>
          <w:tcPr>
            <w:tcW w:w="5" w:type="pct"/>
            <w:shd w:val="clear" w:color="auto" w:fill="auto"/>
            <w:vAlign w:val="bottom"/>
          </w:tcPr>
          <w:p w14:paraId="74DD8068" w14:textId="77777777" w:rsidR="00584EC1" w:rsidRDefault="00584EC1">
            <w:pPr>
              <w:rPr>
                <w:rFonts w:ascii="宋体"/>
              </w:rPr>
            </w:pPr>
          </w:p>
        </w:tc>
        <w:tc>
          <w:tcPr>
            <w:tcW w:w="50" w:type="pct"/>
            <w:shd w:val="clear" w:color="auto" w:fill="auto"/>
            <w:vAlign w:val="bottom"/>
          </w:tcPr>
          <w:p w14:paraId="74DD8069" w14:textId="77777777" w:rsidR="00584EC1" w:rsidRDefault="00584EC1">
            <w:pPr>
              <w:rPr>
                <w:rFonts w:ascii="宋体"/>
              </w:rPr>
            </w:pPr>
          </w:p>
        </w:tc>
        <w:tc>
          <w:tcPr>
            <w:tcW w:w="390" w:type="pct"/>
            <w:shd w:val="clear" w:color="auto" w:fill="auto"/>
            <w:vAlign w:val="bottom"/>
          </w:tcPr>
          <w:p w14:paraId="74DD806A" w14:textId="77777777" w:rsidR="00584EC1" w:rsidRDefault="00584EC1">
            <w:pPr>
              <w:rPr>
                <w:rFonts w:ascii="宋体"/>
              </w:rPr>
            </w:pPr>
          </w:p>
        </w:tc>
        <w:tc>
          <w:tcPr>
            <w:tcW w:w="5" w:type="pct"/>
            <w:shd w:val="clear" w:color="auto" w:fill="auto"/>
            <w:vAlign w:val="bottom"/>
          </w:tcPr>
          <w:p w14:paraId="74DD806B" w14:textId="77777777" w:rsidR="00584EC1" w:rsidRDefault="00584EC1">
            <w:pPr>
              <w:rPr>
                <w:rFonts w:ascii="宋体"/>
              </w:rPr>
            </w:pPr>
          </w:p>
        </w:tc>
        <w:tc>
          <w:tcPr>
            <w:tcW w:w="5" w:type="pct"/>
            <w:shd w:val="clear" w:color="auto" w:fill="auto"/>
            <w:vAlign w:val="bottom"/>
          </w:tcPr>
          <w:p w14:paraId="74DD806C" w14:textId="77777777" w:rsidR="00584EC1" w:rsidRDefault="00584EC1">
            <w:pPr>
              <w:rPr>
                <w:rFonts w:ascii="宋体"/>
              </w:rPr>
            </w:pPr>
          </w:p>
        </w:tc>
        <w:tc>
          <w:tcPr>
            <w:tcW w:w="26" w:type="pct"/>
            <w:shd w:val="clear" w:color="auto" w:fill="auto"/>
            <w:vAlign w:val="bottom"/>
          </w:tcPr>
          <w:p w14:paraId="74DD806D" w14:textId="77777777" w:rsidR="00584EC1" w:rsidRDefault="00584EC1">
            <w:pPr>
              <w:rPr>
                <w:rFonts w:ascii="宋体"/>
              </w:rPr>
            </w:pPr>
          </w:p>
        </w:tc>
        <w:tc>
          <w:tcPr>
            <w:tcW w:w="5" w:type="pct"/>
            <w:shd w:val="clear" w:color="auto" w:fill="auto"/>
            <w:vAlign w:val="bottom"/>
          </w:tcPr>
          <w:p w14:paraId="74DD806E" w14:textId="77777777" w:rsidR="00584EC1" w:rsidRDefault="00584EC1">
            <w:pPr>
              <w:rPr>
                <w:rFonts w:ascii="宋体"/>
              </w:rPr>
            </w:pPr>
          </w:p>
        </w:tc>
        <w:tc>
          <w:tcPr>
            <w:tcW w:w="50" w:type="pct"/>
            <w:shd w:val="clear" w:color="auto" w:fill="auto"/>
            <w:vAlign w:val="bottom"/>
          </w:tcPr>
          <w:p w14:paraId="74DD806F" w14:textId="77777777" w:rsidR="00584EC1" w:rsidRDefault="00584EC1">
            <w:pPr>
              <w:rPr>
                <w:rFonts w:ascii="宋体"/>
              </w:rPr>
            </w:pPr>
          </w:p>
        </w:tc>
        <w:tc>
          <w:tcPr>
            <w:tcW w:w="551" w:type="pct"/>
            <w:shd w:val="clear" w:color="auto" w:fill="auto"/>
            <w:vAlign w:val="bottom"/>
          </w:tcPr>
          <w:p w14:paraId="74DD8070" w14:textId="77777777" w:rsidR="00584EC1" w:rsidRDefault="00584EC1">
            <w:pPr>
              <w:rPr>
                <w:rFonts w:ascii="宋体"/>
              </w:rPr>
            </w:pPr>
          </w:p>
        </w:tc>
        <w:tc>
          <w:tcPr>
            <w:tcW w:w="5" w:type="pct"/>
            <w:shd w:val="clear" w:color="auto" w:fill="auto"/>
            <w:vAlign w:val="bottom"/>
          </w:tcPr>
          <w:p w14:paraId="74DD8071" w14:textId="77777777" w:rsidR="00584EC1" w:rsidRDefault="00584EC1">
            <w:pPr>
              <w:rPr>
                <w:rFonts w:ascii="宋体"/>
              </w:rPr>
            </w:pPr>
          </w:p>
        </w:tc>
        <w:tc>
          <w:tcPr>
            <w:tcW w:w="5" w:type="pct"/>
            <w:shd w:val="clear" w:color="auto" w:fill="auto"/>
            <w:vAlign w:val="bottom"/>
          </w:tcPr>
          <w:p w14:paraId="74DD8072" w14:textId="77777777" w:rsidR="00584EC1" w:rsidRDefault="00584EC1">
            <w:pPr>
              <w:rPr>
                <w:rFonts w:ascii="宋体"/>
              </w:rPr>
            </w:pPr>
          </w:p>
        </w:tc>
        <w:tc>
          <w:tcPr>
            <w:tcW w:w="26" w:type="pct"/>
            <w:shd w:val="clear" w:color="auto" w:fill="auto"/>
            <w:vAlign w:val="bottom"/>
          </w:tcPr>
          <w:p w14:paraId="74DD8073" w14:textId="77777777" w:rsidR="00584EC1" w:rsidRDefault="00584EC1">
            <w:pPr>
              <w:rPr>
                <w:rFonts w:ascii="宋体"/>
              </w:rPr>
            </w:pPr>
          </w:p>
        </w:tc>
        <w:tc>
          <w:tcPr>
            <w:tcW w:w="5" w:type="pct"/>
            <w:shd w:val="clear" w:color="auto" w:fill="auto"/>
            <w:vAlign w:val="bottom"/>
          </w:tcPr>
          <w:p w14:paraId="74DD8074" w14:textId="77777777" w:rsidR="00584EC1" w:rsidRDefault="00584EC1">
            <w:pPr>
              <w:rPr>
                <w:rFonts w:ascii="宋体"/>
              </w:rPr>
            </w:pPr>
          </w:p>
        </w:tc>
        <w:tc>
          <w:tcPr>
            <w:tcW w:w="50" w:type="pct"/>
            <w:shd w:val="clear" w:color="auto" w:fill="auto"/>
            <w:vAlign w:val="bottom"/>
          </w:tcPr>
          <w:p w14:paraId="74DD8075" w14:textId="77777777" w:rsidR="00584EC1" w:rsidRDefault="00584EC1">
            <w:pPr>
              <w:rPr>
                <w:rFonts w:ascii="宋体"/>
              </w:rPr>
            </w:pPr>
          </w:p>
        </w:tc>
        <w:tc>
          <w:tcPr>
            <w:tcW w:w="390" w:type="pct"/>
            <w:shd w:val="clear" w:color="auto" w:fill="auto"/>
            <w:vAlign w:val="bottom"/>
          </w:tcPr>
          <w:p w14:paraId="74DD8076" w14:textId="77777777" w:rsidR="00584EC1" w:rsidRDefault="00584EC1">
            <w:pPr>
              <w:rPr>
                <w:rFonts w:ascii="宋体"/>
              </w:rPr>
            </w:pPr>
          </w:p>
        </w:tc>
        <w:tc>
          <w:tcPr>
            <w:tcW w:w="5" w:type="pct"/>
            <w:shd w:val="clear" w:color="auto" w:fill="auto"/>
            <w:vAlign w:val="bottom"/>
          </w:tcPr>
          <w:p w14:paraId="74DD8077" w14:textId="77777777" w:rsidR="00584EC1" w:rsidRDefault="00584EC1">
            <w:pPr>
              <w:rPr>
                <w:rFonts w:ascii="宋体"/>
              </w:rPr>
            </w:pPr>
          </w:p>
        </w:tc>
        <w:tc>
          <w:tcPr>
            <w:tcW w:w="5" w:type="pct"/>
            <w:shd w:val="clear" w:color="auto" w:fill="auto"/>
            <w:vAlign w:val="bottom"/>
          </w:tcPr>
          <w:p w14:paraId="74DD8078" w14:textId="77777777" w:rsidR="00584EC1" w:rsidRDefault="00584EC1">
            <w:pPr>
              <w:rPr>
                <w:rFonts w:ascii="宋体"/>
              </w:rPr>
            </w:pPr>
          </w:p>
        </w:tc>
        <w:tc>
          <w:tcPr>
            <w:tcW w:w="26" w:type="pct"/>
            <w:shd w:val="clear" w:color="auto" w:fill="auto"/>
            <w:vAlign w:val="bottom"/>
          </w:tcPr>
          <w:p w14:paraId="74DD8079" w14:textId="77777777" w:rsidR="00584EC1" w:rsidRDefault="00584EC1">
            <w:pPr>
              <w:rPr>
                <w:rFonts w:ascii="宋体"/>
              </w:rPr>
            </w:pPr>
          </w:p>
        </w:tc>
        <w:tc>
          <w:tcPr>
            <w:tcW w:w="5" w:type="pct"/>
            <w:shd w:val="clear" w:color="auto" w:fill="auto"/>
            <w:vAlign w:val="bottom"/>
          </w:tcPr>
          <w:p w14:paraId="74DD807A" w14:textId="77777777" w:rsidR="00584EC1" w:rsidRDefault="00584EC1">
            <w:pPr>
              <w:rPr>
                <w:rFonts w:ascii="宋体"/>
              </w:rPr>
            </w:pPr>
          </w:p>
        </w:tc>
        <w:tc>
          <w:tcPr>
            <w:tcW w:w="50" w:type="pct"/>
            <w:shd w:val="clear" w:color="auto" w:fill="auto"/>
            <w:vAlign w:val="bottom"/>
          </w:tcPr>
          <w:p w14:paraId="74DD807B" w14:textId="77777777" w:rsidR="00584EC1" w:rsidRDefault="00584EC1">
            <w:pPr>
              <w:rPr>
                <w:rFonts w:ascii="宋体"/>
              </w:rPr>
            </w:pPr>
          </w:p>
        </w:tc>
        <w:tc>
          <w:tcPr>
            <w:tcW w:w="624" w:type="pct"/>
            <w:shd w:val="clear" w:color="auto" w:fill="auto"/>
            <w:vAlign w:val="bottom"/>
          </w:tcPr>
          <w:p w14:paraId="74DD807C" w14:textId="77777777" w:rsidR="00584EC1" w:rsidRDefault="00584EC1">
            <w:pPr>
              <w:rPr>
                <w:rFonts w:ascii="宋体"/>
              </w:rPr>
            </w:pPr>
          </w:p>
        </w:tc>
        <w:tc>
          <w:tcPr>
            <w:tcW w:w="5" w:type="pct"/>
            <w:shd w:val="clear" w:color="auto" w:fill="auto"/>
            <w:vAlign w:val="bottom"/>
          </w:tcPr>
          <w:p w14:paraId="74DD807D" w14:textId="77777777" w:rsidR="00584EC1" w:rsidRDefault="00584EC1">
            <w:pPr>
              <w:rPr>
                <w:rFonts w:ascii="宋体"/>
              </w:rPr>
            </w:pPr>
          </w:p>
        </w:tc>
        <w:tc>
          <w:tcPr>
            <w:tcW w:w="5" w:type="pct"/>
            <w:shd w:val="clear" w:color="auto" w:fill="auto"/>
            <w:vAlign w:val="bottom"/>
          </w:tcPr>
          <w:p w14:paraId="74DD807E" w14:textId="77777777" w:rsidR="00584EC1" w:rsidRDefault="00584EC1">
            <w:pPr>
              <w:rPr>
                <w:rFonts w:ascii="宋体"/>
              </w:rPr>
            </w:pPr>
          </w:p>
        </w:tc>
        <w:tc>
          <w:tcPr>
            <w:tcW w:w="26" w:type="pct"/>
            <w:shd w:val="clear" w:color="auto" w:fill="auto"/>
            <w:vAlign w:val="bottom"/>
          </w:tcPr>
          <w:p w14:paraId="74DD807F" w14:textId="77777777" w:rsidR="00584EC1" w:rsidRDefault="00584EC1">
            <w:pPr>
              <w:rPr>
                <w:rFonts w:ascii="宋体"/>
              </w:rPr>
            </w:pPr>
          </w:p>
        </w:tc>
        <w:tc>
          <w:tcPr>
            <w:tcW w:w="5" w:type="pct"/>
            <w:shd w:val="clear" w:color="auto" w:fill="auto"/>
            <w:vAlign w:val="bottom"/>
          </w:tcPr>
          <w:p w14:paraId="74DD8080" w14:textId="77777777" w:rsidR="00584EC1" w:rsidRDefault="00584EC1">
            <w:pPr>
              <w:rPr>
                <w:rFonts w:ascii="宋体"/>
              </w:rPr>
            </w:pPr>
          </w:p>
        </w:tc>
        <w:tc>
          <w:tcPr>
            <w:tcW w:w="50" w:type="pct"/>
            <w:shd w:val="clear" w:color="auto" w:fill="auto"/>
            <w:vAlign w:val="bottom"/>
          </w:tcPr>
          <w:p w14:paraId="74DD8081" w14:textId="77777777" w:rsidR="00584EC1" w:rsidRDefault="00584EC1">
            <w:pPr>
              <w:rPr>
                <w:rFonts w:ascii="宋体"/>
              </w:rPr>
            </w:pPr>
          </w:p>
        </w:tc>
        <w:tc>
          <w:tcPr>
            <w:tcW w:w="624" w:type="pct"/>
            <w:shd w:val="clear" w:color="auto" w:fill="auto"/>
            <w:vAlign w:val="bottom"/>
          </w:tcPr>
          <w:p w14:paraId="74DD8082" w14:textId="77777777" w:rsidR="00584EC1" w:rsidRDefault="00584EC1">
            <w:pPr>
              <w:rPr>
                <w:rFonts w:ascii="宋体"/>
              </w:rPr>
            </w:pPr>
          </w:p>
        </w:tc>
        <w:tc>
          <w:tcPr>
            <w:tcW w:w="5" w:type="pct"/>
            <w:shd w:val="clear" w:color="auto" w:fill="auto"/>
            <w:vAlign w:val="bottom"/>
          </w:tcPr>
          <w:p w14:paraId="74DD8083" w14:textId="77777777" w:rsidR="00584EC1" w:rsidRDefault="00584EC1">
            <w:pPr>
              <w:rPr>
                <w:rFonts w:ascii="宋体"/>
              </w:rPr>
            </w:pPr>
          </w:p>
        </w:tc>
        <w:tc>
          <w:tcPr>
            <w:tcW w:w="5" w:type="pct"/>
            <w:shd w:val="clear" w:color="auto" w:fill="auto"/>
            <w:vAlign w:val="bottom"/>
          </w:tcPr>
          <w:p w14:paraId="74DD8084" w14:textId="77777777" w:rsidR="00584EC1" w:rsidRDefault="00584EC1">
            <w:pPr>
              <w:rPr>
                <w:rFonts w:ascii="宋体"/>
              </w:rPr>
            </w:pPr>
          </w:p>
        </w:tc>
        <w:tc>
          <w:tcPr>
            <w:tcW w:w="26" w:type="pct"/>
            <w:shd w:val="clear" w:color="auto" w:fill="auto"/>
            <w:vAlign w:val="bottom"/>
          </w:tcPr>
          <w:p w14:paraId="74DD8085" w14:textId="77777777" w:rsidR="00584EC1" w:rsidRDefault="00584EC1">
            <w:pPr>
              <w:rPr>
                <w:rFonts w:ascii="宋体"/>
              </w:rPr>
            </w:pPr>
          </w:p>
        </w:tc>
        <w:tc>
          <w:tcPr>
            <w:tcW w:w="5" w:type="pct"/>
            <w:shd w:val="clear" w:color="auto" w:fill="auto"/>
            <w:vAlign w:val="bottom"/>
          </w:tcPr>
          <w:p w14:paraId="74DD8086" w14:textId="77777777" w:rsidR="00584EC1" w:rsidRDefault="00584EC1">
            <w:pPr>
              <w:rPr>
                <w:rFonts w:ascii="宋体"/>
              </w:rPr>
            </w:pPr>
          </w:p>
        </w:tc>
        <w:tc>
          <w:tcPr>
            <w:tcW w:w="50" w:type="pct"/>
            <w:shd w:val="clear" w:color="auto" w:fill="auto"/>
            <w:vAlign w:val="bottom"/>
          </w:tcPr>
          <w:p w14:paraId="74DD8087" w14:textId="77777777" w:rsidR="00584EC1" w:rsidRDefault="00584EC1">
            <w:pPr>
              <w:rPr>
                <w:rFonts w:ascii="宋体"/>
              </w:rPr>
            </w:pPr>
          </w:p>
        </w:tc>
        <w:tc>
          <w:tcPr>
            <w:tcW w:w="391" w:type="pct"/>
            <w:shd w:val="clear" w:color="auto" w:fill="auto"/>
            <w:vAlign w:val="bottom"/>
          </w:tcPr>
          <w:p w14:paraId="74DD8088" w14:textId="77777777" w:rsidR="00584EC1" w:rsidRDefault="00584EC1">
            <w:pPr>
              <w:rPr>
                <w:rFonts w:ascii="宋体"/>
              </w:rPr>
            </w:pPr>
          </w:p>
        </w:tc>
        <w:tc>
          <w:tcPr>
            <w:tcW w:w="5" w:type="pct"/>
            <w:shd w:val="clear" w:color="auto" w:fill="auto"/>
            <w:vAlign w:val="bottom"/>
          </w:tcPr>
          <w:p w14:paraId="74DD8089" w14:textId="77777777" w:rsidR="00584EC1" w:rsidRDefault="00584EC1">
            <w:pPr>
              <w:rPr>
                <w:rFonts w:ascii="宋体"/>
              </w:rPr>
            </w:pPr>
          </w:p>
        </w:tc>
        <w:tc>
          <w:tcPr>
            <w:tcW w:w="0" w:type="auto"/>
            <w:shd w:val="clear" w:color="auto" w:fill="auto"/>
            <w:vAlign w:val="bottom"/>
          </w:tcPr>
          <w:p w14:paraId="74DD808A" w14:textId="77777777" w:rsidR="00584EC1" w:rsidRDefault="00584EC1">
            <w:pPr>
              <w:rPr>
                <w:rFonts w:ascii="宋体"/>
                <w:vanish/>
              </w:rPr>
            </w:pPr>
          </w:p>
        </w:tc>
      </w:tr>
      <w:tr w:rsidR="00584EC1" w14:paraId="74DD808E" w14:textId="77777777">
        <w:tc>
          <w:tcPr>
            <w:tcW w:w="0" w:type="auto"/>
            <w:gridSpan w:val="36"/>
            <w:shd w:val="clear" w:color="auto" w:fill="auto"/>
            <w:tcMar>
              <w:top w:w="40" w:type="dxa"/>
              <w:left w:w="20" w:type="dxa"/>
              <w:bottom w:w="40" w:type="dxa"/>
              <w:right w:w="20" w:type="dxa"/>
            </w:tcMar>
            <w:vAlign w:val="bottom"/>
          </w:tcPr>
          <w:p w14:paraId="74DD808C" w14:textId="77777777" w:rsidR="00584EC1" w:rsidRDefault="00871F8D">
            <w:pPr>
              <w:textAlignment w:val="bottom"/>
            </w:pPr>
            <w:r>
              <w:rPr>
                <w:rFonts w:ascii="Arial" w:eastAsia="宋体" w:hAnsi="Arial" w:cs="Arial"/>
                <w:b/>
                <w:bCs/>
                <w:color w:val="000000"/>
                <w:sz w:val="16"/>
                <w:szCs w:val="16"/>
              </w:rPr>
              <w:t>TABLE 18: ACTIVITY IN ASSETS UNDER MANAGEMENT BY PRODUCT CATEGORY</w:t>
            </w:r>
          </w:p>
        </w:tc>
        <w:tc>
          <w:tcPr>
            <w:tcW w:w="0" w:type="auto"/>
            <w:shd w:val="clear" w:color="auto" w:fill="auto"/>
            <w:vAlign w:val="bottom"/>
          </w:tcPr>
          <w:p w14:paraId="74DD808D" w14:textId="77777777" w:rsidR="00584EC1" w:rsidRDefault="00584EC1">
            <w:pPr>
              <w:rPr>
                <w:rFonts w:ascii="宋体"/>
                <w:vanish/>
              </w:rPr>
            </w:pPr>
          </w:p>
        </w:tc>
      </w:tr>
      <w:tr w:rsidR="00584EC1" w14:paraId="74DD809C" w14:textId="77777777">
        <w:tc>
          <w:tcPr>
            <w:tcW w:w="0" w:type="auto"/>
            <w:gridSpan w:val="3"/>
            <w:shd w:val="clear" w:color="auto" w:fill="auto"/>
            <w:tcMar>
              <w:top w:w="40" w:type="dxa"/>
              <w:left w:w="20" w:type="dxa"/>
              <w:bottom w:w="40" w:type="dxa"/>
              <w:right w:w="20" w:type="dxa"/>
            </w:tcMar>
            <w:vAlign w:val="bottom"/>
          </w:tcPr>
          <w:p w14:paraId="74DD808F" w14:textId="77777777" w:rsidR="00584EC1" w:rsidRDefault="00871F8D">
            <w:pPr>
              <w:textAlignment w:val="bottom"/>
            </w:pPr>
            <w:r>
              <w:rPr>
                <w:rFonts w:ascii="Arial" w:eastAsia="宋体" w:hAnsi="Arial" w:cs="Arial"/>
                <w:b/>
                <w:bCs/>
                <w:color w:val="000000"/>
                <w:sz w:val="15"/>
                <w:szCs w:val="15"/>
              </w:rPr>
              <w:t>(In billions)</w:t>
            </w:r>
          </w:p>
        </w:tc>
        <w:tc>
          <w:tcPr>
            <w:tcW w:w="0" w:type="auto"/>
            <w:gridSpan w:val="3"/>
            <w:shd w:val="clear" w:color="auto" w:fill="auto"/>
            <w:tcMar>
              <w:top w:w="40" w:type="dxa"/>
              <w:left w:w="20" w:type="dxa"/>
              <w:bottom w:w="40" w:type="dxa"/>
              <w:right w:w="20" w:type="dxa"/>
            </w:tcMar>
            <w:vAlign w:val="bottom"/>
          </w:tcPr>
          <w:p w14:paraId="74DD8090" w14:textId="77777777" w:rsidR="00584EC1" w:rsidRDefault="00871F8D">
            <w:pPr>
              <w:jc w:val="center"/>
              <w:textAlignment w:val="bottom"/>
            </w:pPr>
            <w:r>
              <w:rPr>
                <w:rFonts w:ascii="Arial" w:eastAsia="宋体" w:hAnsi="Arial" w:cs="Arial"/>
                <w:b/>
                <w:bCs/>
                <w:color w:val="000000"/>
                <w:sz w:val="15"/>
                <w:szCs w:val="15"/>
              </w:rPr>
              <w:t>Equity</w:t>
            </w:r>
            <w:r>
              <w:rPr>
                <w:rFonts w:ascii="Arial" w:eastAsia="宋体" w:hAnsi="Arial" w:cs="Arial"/>
                <w:b/>
                <w:bCs/>
                <w:color w:val="000000"/>
                <w:sz w:val="9"/>
                <w:szCs w:val="9"/>
              </w:rPr>
              <w:t>(1)</w:t>
            </w:r>
          </w:p>
        </w:tc>
        <w:tc>
          <w:tcPr>
            <w:tcW w:w="0" w:type="auto"/>
            <w:gridSpan w:val="3"/>
            <w:shd w:val="clear" w:color="auto" w:fill="auto"/>
            <w:tcMar>
              <w:top w:w="0" w:type="dxa"/>
              <w:left w:w="20" w:type="dxa"/>
              <w:bottom w:w="0" w:type="dxa"/>
              <w:right w:w="20" w:type="dxa"/>
            </w:tcMar>
            <w:vAlign w:val="bottom"/>
          </w:tcPr>
          <w:p w14:paraId="74DD8091"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8092" w14:textId="77777777" w:rsidR="00584EC1" w:rsidRDefault="00871F8D">
            <w:pPr>
              <w:jc w:val="center"/>
              <w:textAlignment w:val="bottom"/>
            </w:pPr>
            <w:r>
              <w:rPr>
                <w:rFonts w:ascii="Arial" w:eastAsia="宋体" w:hAnsi="Arial" w:cs="Arial"/>
                <w:b/>
                <w:bCs/>
                <w:color w:val="000000"/>
                <w:sz w:val="15"/>
                <w:szCs w:val="15"/>
              </w:rPr>
              <w:t>Fixed-Income</w:t>
            </w:r>
            <w:r>
              <w:rPr>
                <w:rFonts w:ascii="Arial" w:eastAsia="宋体" w:hAnsi="Arial" w:cs="Arial"/>
                <w:b/>
                <w:bCs/>
                <w:color w:val="000000"/>
                <w:sz w:val="9"/>
                <w:szCs w:val="9"/>
              </w:rPr>
              <w:t>(1)</w:t>
            </w:r>
          </w:p>
        </w:tc>
        <w:tc>
          <w:tcPr>
            <w:tcW w:w="0" w:type="auto"/>
            <w:gridSpan w:val="3"/>
            <w:shd w:val="clear" w:color="auto" w:fill="auto"/>
            <w:tcMar>
              <w:top w:w="0" w:type="dxa"/>
              <w:left w:w="20" w:type="dxa"/>
              <w:bottom w:w="0" w:type="dxa"/>
              <w:right w:w="20" w:type="dxa"/>
            </w:tcMar>
            <w:vAlign w:val="bottom"/>
          </w:tcPr>
          <w:p w14:paraId="74DD8093"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8094" w14:textId="77777777" w:rsidR="00584EC1" w:rsidRDefault="00871F8D">
            <w:pPr>
              <w:jc w:val="center"/>
              <w:textAlignment w:val="bottom"/>
            </w:pPr>
            <w:r>
              <w:rPr>
                <w:rFonts w:ascii="Arial" w:eastAsia="宋体" w:hAnsi="Arial" w:cs="Arial"/>
                <w:b/>
                <w:bCs/>
                <w:color w:val="000000"/>
                <w:sz w:val="15"/>
                <w:szCs w:val="15"/>
              </w:rPr>
              <w:t>Cash</w:t>
            </w:r>
            <w:r>
              <w:rPr>
                <w:rFonts w:ascii="Arial" w:eastAsia="宋体" w:hAnsi="Arial" w:cs="Arial"/>
                <w:b/>
                <w:bCs/>
                <w:color w:val="000000"/>
                <w:sz w:val="9"/>
                <w:szCs w:val="9"/>
              </w:rPr>
              <w:t>(1)(2)</w:t>
            </w:r>
          </w:p>
        </w:tc>
        <w:tc>
          <w:tcPr>
            <w:tcW w:w="0" w:type="auto"/>
            <w:gridSpan w:val="3"/>
            <w:shd w:val="clear" w:color="auto" w:fill="auto"/>
            <w:tcMar>
              <w:top w:w="0" w:type="dxa"/>
              <w:left w:w="20" w:type="dxa"/>
              <w:bottom w:w="0" w:type="dxa"/>
              <w:right w:w="20" w:type="dxa"/>
            </w:tcMar>
            <w:vAlign w:val="bottom"/>
          </w:tcPr>
          <w:p w14:paraId="74DD8095"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8096" w14:textId="77777777" w:rsidR="00584EC1" w:rsidRDefault="00871F8D">
            <w:pPr>
              <w:jc w:val="center"/>
              <w:textAlignment w:val="bottom"/>
            </w:pPr>
            <w:r>
              <w:rPr>
                <w:rFonts w:ascii="Arial" w:eastAsia="宋体" w:hAnsi="Arial" w:cs="Arial"/>
                <w:b/>
                <w:bCs/>
                <w:color w:val="000000"/>
                <w:sz w:val="15"/>
                <w:szCs w:val="15"/>
              </w:rPr>
              <w:t>Multi-Asset-Class Solutions</w:t>
            </w:r>
            <w:r>
              <w:rPr>
                <w:rFonts w:ascii="Arial" w:eastAsia="宋体" w:hAnsi="Arial" w:cs="Arial"/>
                <w:b/>
                <w:bCs/>
                <w:color w:val="000000"/>
                <w:sz w:val="9"/>
                <w:szCs w:val="9"/>
              </w:rPr>
              <w:t>(1)</w:t>
            </w:r>
          </w:p>
        </w:tc>
        <w:tc>
          <w:tcPr>
            <w:tcW w:w="0" w:type="auto"/>
            <w:gridSpan w:val="3"/>
            <w:shd w:val="clear" w:color="auto" w:fill="auto"/>
            <w:tcMar>
              <w:top w:w="0" w:type="dxa"/>
              <w:left w:w="20" w:type="dxa"/>
              <w:bottom w:w="0" w:type="dxa"/>
              <w:right w:w="20" w:type="dxa"/>
            </w:tcMar>
            <w:vAlign w:val="bottom"/>
          </w:tcPr>
          <w:p w14:paraId="74DD8097"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8098" w14:textId="77777777" w:rsidR="00584EC1" w:rsidRDefault="00871F8D">
            <w:pPr>
              <w:jc w:val="center"/>
              <w:textAlignment w:val="bottom"/>
            </w:pPr>
            <w:r>
              <w:rPr>
                <w:rFonts w:ascii="Arial" w:eastAsia="宋体" w:hAnsi="Arial" w:cs="Arial"/>
                <w:b/>
                <w:bCs/>
                <w:color w:val="000000"/>
                <w:sz w:val="15"/>
                <w:szCs w:val="15"/>
              </w:rPr>
              <w:t>Alternative Investments</w:t>
            </w:r>
            <w:r>
              <w:rPr>
                <w:rFonts w:ascii="Arial" w:eastAsia="宋体" w:hAnsi="Arial" w:cs="Arial"/>
                <w:b/>
                <w:bCs/>
                <w:color w:val="000000"/>
                <w:sz w:val="9"/>
                <w:szCs w:val="9"/>
              </w:rPr>
              <w:t>(1)(3)</w:t>
            </w:r>
          </w:p>
        </w:tc>
        <w:tc>
          <w:tcPr>
            <w:tcW w:w="0" w:type="auto"/>
            <w:gridSpan w:val="3"/>
            <w:shd w:val="clear" w:color="auto" w:fill="auto"/>
            <w:tcMar>
              <w:top w:w="0" w:type="dxa"/>
              <w:left w:w="20" w:type="dxa"/>
              <w:bottom w:w="0" w:type="dxa"/>
              <w:right w:w="20" w:type="dxa"/>
            </w:tcMar>
            <w:vAlign w:val="bottom"/>
          </w:tcPr>
          <w:p w14:paraId="74DD8099"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809A" w14:textId="77777777" w:rsidR="00584EC1" w:rsidRDefault="00871F8D">
            <w:pPr>
              <w:jc w:val="center"/>
              <w:textAlignment w:val="bottom"/>
            </w:pPr>
            <w:r>
              <w:rPr>
                <w:rFonts w:ascii="Arial" w:eastAsia="宋体" w:hAnsi="Arial" w:cs="Arial"/>
                <w:b/>
                <w:bCs/>
                <w:color w:val="000000"/>
                <w:sz w:val="15"/>
                <w:szCs w:val="15"/>
              </w:rPr>
              <w:t>Total</w:t>
            </w:r>
          </w:p>
        </w:tc>
        <w:tc>
          <w:tcPr>
            <w:tcW w:w="0" w:type="auto"/>
            <w:shd w:val="clear" w:color="auto" w:fill="auto"/>
            <w:vAlign w:val="bottom"/>
          </w:tcPr>
          <w:p w14:paraId="74DD809B" w14:textId="77777777" w:rsidR="00584EC1" w:rsidRDefault="00584EC1">
            <w:pPr>
              <w:rPr>
                <w:rFonts w:ascii="宋体"/>
                <w:vanish/>
              </w:rPr>
            </w:pPr>
          </w:p>
        </w:tc>
      </w:tr>
      <w:tr w:rsidR="00584EC1" w14:paraId="74DD80B6" w14:textId="77777777">
        <w:tc>
          <w:tcPr>
            <w:tcW w:w="0" w:type="auto"/>
            <w:gridSpan w:val="3"/>
            <w:shd w:val="clear" w:color="auto" w:fill="CCEEFF"/>
            <w:tcMar>
              <w:top w:w="40" w:type="dxa"/>
              <w:left w:w="20" w:type="dxa"/>
              <w:bottom w:w="40" w:type="dxa"/>
              <w:right w:w="20" w:type="dxa"/>
            </w:tcMar>
            <w:vAlign w:val="bottom"/>
          </w:tcPr>
          <w:p w14:paraId="74DD809D" w14:textId="77777777" w:rsidR="00584EC1" w:rsidRDefault="00871F8D">
            <w:pPr>
              <w:textAlignment w:val="bottom"/>
            </w:pPr>
            <w:r>
              <w:rPr>
                <w:rFonts w:ascii="Arial" w:eastAsia="宋体" w:hAnsi="Arial" w:cs="Arial"/>
                <w:b/>
                <w:bCs/>
                <w:color w:val="000000"/>
                <w:sz w:val="15"/>
                <w:szCs w:val="15"/>
              </w:rPr>
              <w:t>Balance as of December 31, 2019</w:t>
            </w:r>
          </w:p>
        </w:tc>
        <w:tc>
          <w:tcPr>
            <w:tcW w:w="0" w:type="auto"/>
            <w:tcBorders>
              <w:top w:val="single" w:sz="8" w:space="0" w:color="000000"/>
            </w:tcBorders>
            <w:shd w:val="clear" w:color="auto" w:fill="CCEEFF"/>
            <w:tcMar>
              <w:top w:w="40" w:type="dxa"/>
              <w:left w:w="20" w:type="dxa"/>
              <w:bottom w:w="40" w:type="dxa"/>
              <w:right w:w="0" w:type="dxa"/>
            </w:tcMar>
            <w:vAlign w:val="bottom"/>
          </w:tcPr>
          <w:p w14:paraId="74DD809E"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809F" w14:textId="77777777" w:rsidR="00584EC1" w:rsidRDefault="00871F8D">
            <w:pPr>
              <w:jc w:val="right"/>
              <w:textAlignment w:val="bottom"/>
            </w:pPr>
            <w:r>
              <w:rPr>
                <w:rFonts w:ascii="Arial" w:eastAsia="宋体" w:hAnsi="Arial" w:cs="Arial"/>
                <w:color w:val="000000"/>
                <w:sz w:val="15"/>
                <w:szCs w:val="15"/>
              </w:rPr>
              <w:t>1,990 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0A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0A1"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80A2"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80A3" w14:textId="77777777" w:rsidR="00584EC1" w:rsidRDefault="00871F8D">
            <w:pPr>
              <w:jc w:val="right"/>
              <w:textAlignment w:val="bottom"/>
            </w:pPr>
            <w:r>
              <w:rPr>
                <w:rFonts w:ascii="Arial" w:eastAsia="宋体" w:hAnsi="Arial" w:cs="Arial"/>
                <w:color w:val="000000"/>
                <w:sz w:val="15"/>
                <w:szCs w:val="15"/>
              </w:rPr>
              <w:t>479 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0A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0A5"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80A6"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80A7" w14:textId="77777777" w:rsidR="00584EC1" w:rsidRDefault="00871F8D">
            <w:pPr>
              <w:jc w:val="right"/>
              <w:textAlignment w:val="bottom"/>
            </w:pPr>
            <w:r>
              <w:rPr>
                <w:rFonts w:ascii="Arial" w:eastAsia="宋体" w:hAnsi="Arial" w:cs="Arial"/>
                <w:color w:val="000000"/>
                <w:sz w:val="15"/>
                <w:szCs w:val="15"/>
              </w:rPr>
              <w:t>317 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0A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0A9"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80AA"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80AB" w14:textId="77777777" w:rsidR="00584EC1" w:rsidRDefault="00871F8D">
            <w:pPr>
              <w:jc w:val="right"/>
              <w:textAlignment w:val="bottom"/>
            </w:pPr>
            <w:r>
              <w:rPr>
                <w:rFonts w:ascii="Arial" w:eastAsia="宋体" w:hAnsi="Arial" w:cs="Arial"/>
                <w:color w:val="000000"/>
                <w:sz w:val="15"/>
                <w:szCs w:val="15"/>
              </w:rPr>
              <w:t>157 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0A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0AD"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80AE"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80AF" w14:textId="77777777" w:rsidR="00584EC1" w:rsidRDefault="00871F8D">
            <w:pPr>
              <w:jc w:val="right"/>
              <w:textAlignment w:val="bottom"/>
            </w:pPr>
            <w:r>
              <w:rPr>
                <w:rFonts w:ascii="Arial" w:eastAsia="宋体" w:hAnsi="Arial" w:cs="Arial"/>
                <w:color w:val="000000"/>
                <w:sz w:val="15"/>
                <w:szCs w:val="15"/>
              </w:rPr>
              <w:t>173 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0B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0B1"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80B2"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80B3" w14:textId="77777777" w:rsidR="00584EC1" w:rsidRDefault="00871F8D">
            <w:pPr>
              <w:jc w:val="right"/>
              <w:textAlignment w:val="bottom"/>
            </w:pPr>
            <w:r>
              <w:rPr>
                <w:rFonts w:ascii="Arial" w:eastAsia="宋体" w:hAnsi="Arial" w:cs="Arial"/>
                <w:color w:val="000000"/>
                <w:sz w:val="15"/>
                <w:szCs w:val="15"/>
              </w:rPr>
              <w:t>3,116 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0B4" w14:textId="77777777" w:rsidR="00584EC1" w:rsidRDefault="00584EC1">
            <w:pPr>
              <w:jc w:val="right"/>
              <w:rPr>
                <w:rFonts w:ascii="宋体"/>
              </w:rPr>
            </w:pPr>
          </w:p>
        </w:tc>
        <w:tc>
          <w:tcPr>
            <w:tcW w:w="0" w:type="auto"/>
            <w:shd w:val="clear" w:color="auto" w:fill="auto"/>
            <w:vAlign w:val="bottom"/>
          </w:tcPr>
          <w:p w14:paraId="74DD80B5" w14:textId="77777777" w:rsidR="00584EC1" w:rsidRDefault="00584EC1">
            <w:pPr>
              <w:rPr>
                <w:rFonts w:ascii="宋体"/>
                <w:vanish/>
              </w:rPr>
            </w:pPr>
          </w:p>
        </w:tc>
      </w:tr>
      <w:tr w:rsidR="00584EC1" w14:paraId="74DD80CA" w14:textId="77777777">
        <w:tc>
          <w:tcPr>
            <w:tcW w:w="0" w:type="auto"/>
            <w:gridSpan w:val="3"/>
            <w:shd w:val="clear" w:color="auto" w:fill="FFFFFF"/>
            <w:tcMar>
              <w:top w:w="40" w:type="dxa"/>
              <w:left w:w="20" w:type="dxa"/>
              <w:bottom w:w="40" w:type="dxa"/>
              <w:right w:w="20" w:type="dxa"/>
            </w:tcMar>
            <w:vAlign w:val="bottom"/>
          </w:tcPr>
          <w:p w14:paraId="74DD80B7" w14:textId="77777777" w:rsidR="00584EC1" w:rsidRDefault="00871F8D">
            <w:pPr>
              <w:textAlignment w:val="bottom"/>
            </w:pPr>
            <w:r>
              <w:rPr>
                <w:rFonts w:ascii="Arial" w:eastAsia="宋体" w:hAnsi="Arial" w:cs="Arial"/>
                <w:color w:val="000000"/>
                <w:sz w:val="15"/>
                <w:szCs w:val="15"/>
              </w:rPr>
              <w:t>Long-term institutional flows, net</w:t>
            </w:r>
            <w:r>
              <w:rPr>
                <w:rFonts w:ascii="Arial" w:eastAsia="宋体" w:hAnsi="Arial" w:cs="Arial"/>
                <w:color w:val="000000"/>
                <w:sz w:val="9"/>
                <w:szCs w:val="9"/>
              </w:rPr>
              <w:t>(4)</w:t>
            </w:r>
          </w:p>
        </w:tc>
        <w:tc>
          <w:tcPr>
            <w:tcW w:w="0" w:type="auto"/>
            <w:gridSpan w:val="2"/>
            <w:shd w:val="clear" w:color="auto" w:fill="FFFFFF"/>
            <w:tcMar>
              <w:top w:w="40" w:type="dxa"/>
              <w:left w:w="20" w:type="dxa"/>
              <w:bottom w:w="40" w:type="dxa"/>
              <w:right w:w="0" w:type="dxa"/>
            </w:tcMar>
            <w:vAlign w:val="bottom"/>
          </w:tcPr>
          <w:p w14:paraId="74DD80B8" w14:textId="77777777" w:rsidR="00584EC1" w:rsidRDefault="00871F8D">
            <w:pPr>
              <w:jc w:val="right"/>
              <w:textAlignment w:val="bottom"/>
            </w:pPr>
            <w:r>
              <w:rPr>
                <w:rFonts w:ascii="Arial" w:eastAsia="宋体" w:hAnsi="Arial" w:cs="Arial"/>
                <w:color w:val="000000"/>
                <w:sz w:val="15"/>
                <w:szCs w:val="15"/>
              </w:rPr>
              <w:t>21 </w:t>
            </w:r>
          </w:p>
        </w:tc>
        <w:tc>
          <w:tcPr>
            <w:tcW w:w="0" w:type="auto"/>
            <w:shd w:val="clear" w:color="auto" w:fill="FFFFFF"/>
            <w:tcMar>
              <w:top w:w="40" w:type="dxa"/>
              <w:left w:w="0" w:type="dxa"/>
              <w:bottom w:w="40" w:type="dxa"/>
              <w:right w:w="20" w:type="dxa"/>
            </w:tcMar>
            <w:vAlign w:val="bottom"/>
          </w:tcPr>
          <w:p w14:paraId="74DD80B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0B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0BB" w14:textId="77777777" w:rsidR="00584EC1" w:rsidRDefault="00871F8D">
            <w:pPr>
              <w:jc w:val="right"/>
              <w:textAlignment w:val="bottom"/>
            </w:pPr>
            <w:r>
              <w:rPr>
                <w:rFonts w:ascii="Arial" w:eastAsia="宋体" w:hAnsi="Arial" w:cs="Arial"/>
                <w:color w:val="000000"/>
                <w:sz w:val="15"/>
                <w:szCs w:val="15"/>
              </w:rPr>
              <w:t>(10)</w:t>
            </w:r>
          </w:p>
        </w:tc>
        <w:tc>
          <w:tcPr>
            <w:tcW w:w="0" w:type="auto"/>
            <w:shd w:val="clear" w:color="auto" w:fill="FFFFFF"/>
            <w:tcMar>
              <w:top w:w="40" w:type="dxa"/>
              <w:left w:w="0" w:type="dxa"/>
              <w:bottom w:w="40" w:type="dxa"/>
              <w:right w:w="20" w:type="dxa"/>
            </w:tcMar>
            <w:vAlign w:val="bottom"/>
          </w:tcPr>
          <w:p w14:paraId="74DD80B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0B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0BE" w14:textId="77777777" w:rsidR="00584EC1" w:rsidRDefault="00871F8D">
            <w:pPr>
              <w:jc w:val="right"/>
              <w:textAlignment w:val="bottom"/>
            </w:pPr>
            <w:r>
              <w:rPr>
                <w:rFonts w:ascii="Arial" w:eastAsia="宋体" w:hAnsi="Arial" w:cs="Arial"/>
                <w:color w:val="000000"/>
                <w:sz w:val="15"/>
                <w:szCs w:val="15"/>
              </w:rPr>
              <w:t>(1)</w:t>
            </w:r>
          </w:p>
        </w:tc>
        <w:tc>
          <w:tcPr>
            <w:tcW w:w="0" w:type="auto"/>
            <w:shd w:val="clear" w:color="auto" w:fill="FFFFFF"/>
            <w:tcMar>
              <w:top w:w="40" w:type="dxa"/>
              <w:left w:w="0" w:type="dxa"/>
              <w:bottom w:w="40" w:type="dxa"/>
              <w:right w:w="20" w:type="dxa"/>
            </w:tcMar>
            <w:vAlign w:val="bottom"/>
          </w:tcPr>
          <w:p w14:paraId="74DD80B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0C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0C1"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80C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0C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0C4"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80C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0C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0C7" w14:textId="77777777" w:rsidR="00584EC1" w:rsidRDefault="00871F8D">
            <w:pPr>
              <w:jc w:val="right"/>
              <w:textAlignment w:val="bottom"/>
            </w:pPr>
            <w:r>
              <w:rPr>
                <w:rFonts w:ascii="Arial" w:eastAsia="宋体" w:hAnsi="Arial" w:cs="Arial"/>
                <w:color w:val="000000"/>
                <w:sz w:val="15"/>
                <w:szCs w:val="15"/>
              </w:rPr>
              <w:t>10 </w:t>
            </w:r>
          </w:p>
        </w:tc>
        <w:tc>
          <w:tcPr>
            <w:tcW w:w="0" w:type="auto"/>
            <w:shd w:val="clear" w:color="auto" w:fill="FFFFFF"/>
            <w:tcMar>
              <w:top w:w="40" w:type="dxa"/>
              <w:left w:w="0" w:type="dxa"/>
              <w:bottom w:w="40" w:type="dxa"/>
              <w:right w:w="20" w:type="dxa"/>
            </w:tcMar>
            <w:vAlign w:val="bottom"/>
          </w:tcPr>
          <w:p w14:paraId="74DD80C8" w14:textId="77777777" w:rsidR="00584EC1" w:rsidRDefault="00584EC1">
            <w:pPr>
              <w:jc w:val="right"/>
              <w:rPr>
                <w:rFonts w:ascii="宋体"/>
              </w:rPr>
            </w:pPr>
          </w:p>
        </w:tc>
        <w:tc>
          <w:tcPr>
            <w:tcW w:w="0" w:type="auto"/>
            <w:shd w:val="clear" w:color="auto" w:fill="auto"/>
            <w:vAlign w:val="bottom"/>
          </w:tcPr>
          <w:p w14:paraId="74DD80C9" w14:textId="77777777" w:rsidR="00584EC1" w:rsidRDefault="00584EC1">
            <w:pPr>
              <w:rPr>
                <w:rFonts w:ascii="宋体"/>
                <w:vanish/>
              </w:rPr>
            </w:pPr>
          </w:p>
        </w:tc>
      </w:tr>
      <w:tr w:rsidR="00584EC1" w14:paraId="74DD80DE" w14:textId="77777777">
        <w:tc>
          <w:tcPr>
            <w:tcW w:w="0" w:type="auto"/>
            <w:gridSpan w:val="3"/>
            <w:shd w:val="clear" w:color="auto" w:fill="CCEEFF"/>
            <w:tcMar>
              <w:top w:w="40" w:type="dxa"/>
              <w:left w:w="20" w:type="dxa"/>
              <w:bottom w:w="40" w:type="dxa"/>
              <w:right w:w="20" w:type="dxa"/>
            </w:tcMar>
            <w:vAlign w:val="bottom"/>
          </w:tcPr>
          <w:p w14:paraId="74DD80CB" w14:textId="77777777" w:rsidR="00584EC1" w:rsidRDefault="00871F8D">
            <w:pPr>
              <w:textAlignment w:val="bottom"/>
            </w:pPr>
            <w:r>
              <w:rPr>
                <w:rFonts w:ascii="Arial" w:eastAsia="宋体" w:hAnsi="Arial" w:cs="Arial"/>
                <w:color w:val="000000"/>
                <w:sz w:val="15"/>
                <w:szCs w:val="15"/>
              </w:rPr>
              <w:t>Exchange-traded fund flows, net</w:t>
            </w:r>
          </w:p>
        </w:tc>
        <w:tc>
          <w:tcPr>
            <w:tcW w:w="0" w:type="auto"/>
            <w:gridSpan w:val="2"/>
            <w:shd w:val="clear" w:color="auto" w:fill="CCEEFF"/>
            <w:tcMar>
              <w:top w:w="40" w:type="dxa"/>
              <w:left w:w="20" w:type="dxa"/>
              <w:bottom w:w="40" w:type="dxa"/>
              <w:right w:w="0" w:type="dxa"/>
            </w:tcMar>
            <w:vAlign w:val="bottom"/>
          </w:tcPr>
          <w:p w14:paraId="74DD80CC" w14:textId="77777777" w:rsidR="00584EC1" w:rsidRDefault="00871F8D">
            <w:pPr>
              <w:jc w:val="right"/>
              <w:textAlignment w:val="bottom"/>
            </w:pPr>
            <w:r>
              <w:rPr>
                <w:rFonts w:ascii="Arial" w:eastAsia="宋体" w:hAnsi="Arial" w:cs="Arial"/>
                <w:color w:val="000000"/>
                <w:sz w:val="15"/>
                <w:szCs w:val="15"/>
              </w:rPr>
              <w:t>(14)</w:t>
            </w:r>
          </w:p>
        </w:tc>
        <w:tc>
          <w:tcPr>
            <w:tcW w:w="0" w:type="auto"/>
            <w:shd w:val="clear" w:color="auto" w:fill="CCEEFF"/>
            <w:tcMar>
              <w:top w:w="40" w:type="dxa"/>
              <w:left w:w="0" w:type="dxa"/>
              <w:bottom w:w="40" w:type="dxa"/>
              <w:right w:w="20" w:type="dxa"/>
            </w:tcMar>
            <w:vAlign w:val="bottom"/>
          </w:tcPr>
          <w:p w14:paraId="74DD80C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0CE"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0CF" w14:textId="77777777" w:rsidR="00584EC1" w:rsidRDefault="00871F8D">
            <w:pPr>
              <w:jc w:val="right"/>
              <w:textAlignment w:val="bottom"/>
            </w:pPr>
            <w:r>
              <w:rPr>
                <w:rFonts w:ascii="Arial" w:eastAsia="宋体" w:hAnsi="Arial" w:cs="Arial"/>
                <w:color w:val="000000"/>
                <w:sz w:val="15"/>
                <w:szCs w:val="15"/>
              </w:rPr>
              <w:t>7 </w:t>
            </w:r>
          </w:p>
        </w:tc>
        <w:tc>
          <w:tcPr>
            <w:tcW w:w="0" w:type="auto"/>
            <w:shd w:val="clear" w:color="auto" w:fill="CCEEFF"/>
            <w:tcMar>
              <w:top w:w="40" w:type="dxa"/>
              <w:left w:w="0" w:type="dxa"/>
              <w:bottom w:w="40" w:type="dxa"/>
              <w:right w:w="20" w:type="dxa"/>
            </w:tcMar>
            <w:vAlign w:val="bottom"/>
          </w:tcPr>
          <w:p w14:paraId="74DD80D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0D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0D2"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80D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0D4"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0D5"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80D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0D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0D8" w14:textId="77777777" w:rsidR="00584EC1" w:rsidRDefault="00871F8D">
            <w:pPr>
              <w:jc w:val="right"/>
              <w:textAlignment w:val="bottom"/>
            </w:pPr>
            <w:r>
              <w:rPr>
                <w:rFonts w:ascii="Arial" w:eastAsia="宋体" w:hAnsi="Arial" w:cs="Arial"/>
                <w:color w:val="000000"/>
                <w:sz w:val="15"/>
                <w:szCs w:val="15"/>
              </w:rPr>
              <w:t>4 </w:t>
            </w:r>
          </w:p>
        </w:tc>
        <w:tc>
          <w:tcPr>
            <w:tcW w:w="0" w:type="auto"/>
            <w:shd w:val="clear" w:color="auto" w:fill="CCEEFF"/>
            <w:tcMar>
              <w:top w:w="40" w:type="dxa"/>
              <w:left w:w="0" w:type="dxa"/>
              <w:bottom w:w="40" w:type="dxa"/>
              <w:right w:w="20" w:type="dxa"/>
            </w:tcMar>
            <w:vAlign w:val="bottom"/>
          </w:tcPr>
          <w:p w14:paraId="74DD80D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0DA"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0DB" w14:textId="77777777" w:rsidR="00584EC1" w:rsidRDefault="00871F8D">
            <w:pPr>
              <w:jc w:val="right"/>
              <w:textAlignment w:val="bottom"/>
            </w:pPr>
            <w:r>
              <w:rPr>
                <w:rFonts w:ascii="Arial" w:eastAsia="宋体" w:hAnsi="Arial" w:cs="Arial"/>
                <w:color w:val="000000"/>
                <w:sz w:val="15"/>
                <w:szCs w:val="15"/>
              </w:rPr>
              <w:t>(3)</w:t>
            </w:r>
          </w:p>
        </w:tc>
        <w:tc>
          <w:tcPr>
            <w:tcW w:w="0" w:type="auto"/>
            <w:shd w:val="clear" w:color="auto" w:fill="CCEEFF"/>
            <w:tcMar>
              <w:top w:w="40" w:type="dxa"/>
              <w:left w:w="0" w:type="dxa"/>
              <w:bottom w:w="40" w:type="dxa"/>
              <w:right w:w="20" w:type="dxa"/>
            </w:tcMar>
            <w:vAlign w:val="bottom"/>
          </w:tcPr>
          <w:p w14:paraId="74DD80DC" w14:textId="77777777" w:rsidR="00584EC1" w:rsidRDefault="00584EC1">
            <w:pPr>
              <w:jc w:val="right"/>
              <w:rPr>
                <w:rFonts w:ascii="宋体"/>
              </w:rPr>
            </w:pPr>
          </w:p>
        </w:tc>
        <w:tc>
          <w:tcPr>
            <w:tcW w:w="0" w:type="auto"/>
            <w:shd w:val="clear" w:color="auto" w:fill="auto"/>
            <w:vAlign w:val="bottom"/>
          </w:tcPr>
          <w:p w14:paraId="74DD80DD" w14:textId="77777777" w:rsidR="00584EC1" w:rsidRDefault="00584EC1">
            <w:pPr>
              <w:rPr>
                <w:rFonts w:ascii="宋体"/>
                <w:vanish/>
              </w:rPr>
            </w:pPr>
          </w:p>
        </w:tc>
      </w:tr>
      <w:tr w:rsidR="00584EC1" w14:paraId="74DD80F2" w14:textId="77777777">
        <w:tc>
          <w:tcPr>
            <w:tcW w:w="0" w:type="auto"/>
            <w:gridSpan w:val="3"/>
            <w:shd w:val="clear" w:color="auto" w:fill="FFFFFF"/>
            <w:tcMar>
              <w:top w:w="40" w:type="dxa"/>
              <w:left w:w="20" w:type="dxa"/>
              <w:bottom w:w="40" w:type="dxa"/>
              <w:right w:w="20" w:type="dxa"/>
            </w:tcMar>
            <w:vAlign w:val="bottom"/>
          </w:tcPr>
          <w:p w14:paraId="74DD80DF" w14:textId="77777777" w:rsidR="00584EC1" w:rsidRDefault="00871F8D">
            <w:pPr>
              <w:textAlignment w:val="bottom"/>
            </w:pPr>
            <w:r>
              <w:rPr>
                <w:rFonts w:ascii="Arial" w:eastAsia="宋体" w:hAnsi="Arial" w:cs="Arial"/>
                <w:color w:val="000000"/>
                <w:sz w:val="15"/>
                <w:szCs w:val="15"/>
              </w:rPr>
              <w:t>Cash fund flows, net</w:t>
            </w:r>
          </w:p>
        </w:tc>
        <w:tc>
          <w:tcPr>
            <w:tcW w:w="0" w:type="auto"/>
            <w:gridSpan w:val="2"/>
            <w:shd w:val="clear" w:color="auto" w:fill="FFFFFF"/>
            <w:tcMar>
              <w:top w:w="40" w:type="dxa"/>
              <w:left w:w="20" w:type="dxa"/>
              <w:bottom w:w="40" w:type="dxa"/>
              <w:right w:w="0" w:type="dxa"/>
            </w:tcMar>
            <w:vAlign w:val="bottom"/>
          </w:tcPr>
          <w:p w14:paraId="74DD80E0"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80E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0E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0E3"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80E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0E5"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0E6" w14:textId="77777777" w:rsidR="00584EC1" w:rsidRDefault="00871F8D">
            <w:pPr>
              <w:jc w:val="right"/>
              <w:textAlignment w:val="bottom"/>
            </w:pPr>
            <w:r>
              <w:rPr>
                <w:rFonts w:ascii="Arial" w:eastAsia="宋体" w:hAnsi="Arial" w:cs="Arial"/>
                <w:color w:val="000000"/>
                <w:sz w:val="15"/>
                <w:szCs w:val="15"/>
              </w:rPr>
              <w:t>32 </w:t>
            </w:r>
          </w:p>
        </w:tc>
        <w:tc>
          <w:tcPr>
            <w:tcW w:w="0" w:type="auto"/>
            <w:shd w:val="clear" w:color="auto" w:fill="FFFFFF"/>
            <w:tcMar>
              <w:top w:w="40" w:type="dxa"/>
              <w:left w:w="0" w:type="dxa"/>
              <w:bottom w:w="40" w:type="dxa"/>
              <w:right w:w="20" w:type="dxa"/>
            </w:tcMar>
            <w:vAlign w:val="bottom"/>
          </w:tcPr>
          <w:p w14:paraId="74DD80E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0E8"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0E9"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80E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0EB"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0EC"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80E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0E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0EF" w14:textId="77777777" w:rsidR="00584EC1" w:rsidRDefault="00871F8D">
            <w:pPr>
              <w:jc w:val="right"/>
              <w:textAlignment w:val="bottom"/>
            </w:pPr>
            <w:r>
              <w:rPr>
                <w:rFonts w:ascii="Arial" w:eastAsia="宋体" w:hAnsi="Arial" w:cs="Arial"/>
                <w:color w:val="000000"/>
                <w:sz w:val="15"/>
                <w:szCs w:val="15"/>
              </w:rPr>
              <w:t>32 </w:t>
            </w:r>
          </w:p>
        </w:tc>
        <w:tc>
          <w:tcPr>
            <w:tcW w:w="0" w:type="auto"/>
            <w:shd w:val="clear" w:color="auto" w:fill="FFFFFF"/>
            <w:tcMar>
              <w:top w:w="40" w:type="dxa"/>
              <w:left w:w="0" w:type="dxa"/>
              <w:bottom w:w="40" w:type="dxa"/>
              <w:right w:w="20" w:type="dxa"/>
            </w:tcMar>
            <w:vAlign w:val="bottom"/>
          </w:tcPr>
          <w:p w14:paraId="74DD80F0" w14:textId="77777777" w:rsidR="00584EC1" w:rsidRDefault="00584EC1">
            <w:pPr>
              <w:jc w:val="right"/>
              <w:rPr>
                <w:rFonts w:ascii="宋体"/>
              </w:rPr>
            </w:pPr>
          </w:p>
        </w:tc>
        <w:tc>
          <w:tcPr>
            <w:tcW w:w="0" w:type="auto"/>
            <w:shd w:val="clear" w:color="auto" w:fill="auto"/>
            <w:vAlign w:val="bottom"/>
          </w:tcPr>
          <w:p w14:paraId="74DD80F1" w14:textId="77777777" w:rsidR="00584EC1" w:rsidRDefault="00584EC1">
            <w:pPr>
              <w:rPr>
                <w:rFonts w:ascii="宋体"/>
                <w:vanish/>
              </w:rPr>
            </w:pPr>
          </w:p>
        </w:tc>
      </w:tr>
      <w:tr w:rsidR="00584EC1" w14:paraId="74DD8106" w14:textId="77777777">
        <w:tc>
          <w:tcPr>
            <w:tcW w:w="0" w:type="auto"/>
            <w:gridSpan w:val="3"/>
            <w:shd w:val="clear" w:color="auto" w:fill="CCEEFF"/>
            <w:tcMar>
              <w:top w:w="40" w:type="dxa"/>
              <w:left w:w="20" w:type="dxa"/>
              <w:bottom w:w="40" w:type="dxa"/>
              <w:right w:w="20" w:type="dxa"/>
            </w:tcMar>
            <w:vAlign w:val="bottom"/>
          </w:tcPr>
          <w:p w14:paraId="74DD80F3" w14:textId="77777777" w:rsidR="00584EC1" w:rsidRDefault="00871F8D">
            <w:pPr>
              <w:textAlignment w:val="bottom"/>
            </w:pPr>
            <w:r>
              <w:rPr>
                <w:rFonts w:ascii="Arial" w:eastAsia="宋体" w:hAnsi="Arial" w:cs="Arial"/>
                <w:color w:val="000000"/>
                <w:sz w:val="15"/>
                <w:szCs w:val="15"/>
              </w:rPr>
              <w:t>Total flows, net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80F4" w14:textId="77777777" w:rsidR="00584EC1" w:rsidRDefault="00871F8D">
            <w:pPr>
              <w:jc w:val="right"/>
              <w:textAlignment w:val="bottom"/>
            </w:pPr>
            <w:r>
              <w:rPr>
                <w:rFonts w:ascii="Arial" w:eastAsia="宋体" w:hAnsi="Arial" w:cs="Arial"/>
                <w:color w:val="000000"/>
                <w:sz w:val="15"/>
                <w:szCs w:val="15"/>
              </w:rPr>
              <w:t>7 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0F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0F6"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80F7" w14:textId="77777777" w:rsidR="00584EC1" w:rsidRDefault="00871F8D">
            <w:pPr>
              <w:jc w:val="right"/>
              <w:textAlignment w:val="bottom"/>
            </w:pPr>
            <w:r>
              <w:rPr>
                <w:rFonts w:ascii="Arial" w:eastAsia="宋体" w:hAnsi="Arial" w:cs="Arial"/>
                <w:color w:val="000000"/>
                <w:sz w:val="15"/>
                <w:szCs w:val="15"/>
              </w:rPr>
              <w:t>(3)</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0F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0F9"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80FA" w14:textId="77777777" w:rsidR="00584EC1" w:rsidRDefault="00871F8D">
            <w:pPr>
              <w:jc w:val="right"/>
              <w:textAlignment w:val="bottom"/>
            </w:pPr>
            <w:r>
              <w:rPr>
                <w:rFonts w:ascii="Arial" w:eastAsia="宋体" w:hAnsi="Arial" w:cs="Arial"/>
                <w:color w:val="000000"/>
                <w:sz w:val="15"/>
                <w:szCs w:val="15"/>
              </w:rPr>
              <w:t>31 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0F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0FC"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80FD" w14:textId="77777777" w:rsidR="00584EC1" w:rsidRDefault="00871F8D">
            <w:pPr>
              <w:jc w:val="right"/>
              <w:textAlignment w:val="bottom"/>
            </w:pP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0F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0FF"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8100" w14:textId="77777777" w:rsidR="00584EC1" w:rsidRDefault="00871F8D">
            <w:pPr>
              <w:jc w:val="right"/>
              <w:textAlignment w:val="bottom"/>
            </w:pPr>
            <w:r>
              <w:rPr>
                <w:rFonts w:ascii="Arial" w:eastAsia="宋体" w:hAnsi="Arial" w:cs="Arial"/>
                <w:color w:val="000000"/>
                <w:sz w:val="15"/>
                <w:szCs w:val="15"/>
              </w:rPr>
              <w:t>4 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10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102"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8103" w14:textId="77777777" w:rsidR="00584EC1" w:rsidRDefault="00871F8D">
            <w:pPr>
              <w:jc w:val="right"/>
              <w:textAlignment w:val="bottom"/>
            </w:pPr>
            <w:r>
              <w:rPr>
                <w:rFonts w:ascii="Arial" w:eastAsia="宋体" w:hAnsi="Arial" w:cs="Arial"/>
                <w:color w:val="000000"/>
                <w:sz w:val="15"/>
                <w:szCs w:val="15"/>
              </w:rPr>
              <w:t>39 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104" w14:textId="77777777" w:rsidR="00584EC1" w:rsidRDefault="00584EC1">
            <w:pPr>
              <w:jc w:val="right"/>
              <w:rPr>
                <w:rFonts w:ascii="宋体"/>
              </w:rPr>
            </w:pPr>
          </w:p>
        </w:tc>
        <w:tc>
          <w:tcPr>
            <w:tcW w:w="0" w:type="auto"/>
            <w:shd w:val="clear" w:color="auto" w:fill="auto"/>
            <w:vAlign w:val="bottom"/>
          </w:tcPr>
          <w:p w14:paraId="74DD8105" w14:textId="77777777" w:rsidR="00584EC1" w:rsidRDefault="00584EC1">
            <w:pPr>
              <w:rPr>
                <w:rFonts w:ascii="宋体"/>
                <w:vanish/>
              </w:rPr>
            </w:pPr>
          </w:p>
        </w:tc>
      </w:tr>
      <w:tr w:rsidR="00584EC1" w14:paraId="74DD811A" w14:textId="77777777">
        <w:tc>
          <w:tcPr>
            <w:tcW w:w="0" w:type="auto"/>
            <w:gridSpan w:val="3"/>
            <w:shd w:val="clear" w:color="auto" w:fill="FFFFFF"/>
            <w:tcMar>
              <w:top w:w="40" w:type="dxa"/>
              <w:left w:w="155" w:type="dxa"/>
              <w:bottom w:w="40" w:type="dxa"/>
              <w:right w:w="20" w:type="dxa"/>
            </w:tcMar>
            <w:vAlign w:val="bottom"/>
          </w:tcPr>
          <w:p w14:paraId="74DD8107" w14:textId="77777777" w:rsidR="00584EC1" w:rsidRDefault="00871F8D">
            <w:pPr>
              <w:textAlignment w:val="bottom"/>
            </w:pPr>
            <w:r>
              <w:rPr>
                <w:rFonts w:ascii="Arial" w:eastAsia="宋体" w:hAnsi="Arial" w:cs="Arial"/>
                <w:color w:val="000000"/>
                <w:sz w:val="15"/>
                <w:szCs w:val="15"/>
              </w:rPr>
              <w:t>Market appreciation (depreciation)</w:t>
            </w:r>
          </w:p>
        </w:tc>
        <w:tc>
          <w:tcPr>
            <w:tcW w:w="0" w:type="auto"/>
            <w:gridSpan w:val="2"/>
            <w:shd w:val="clear" w:color="auto" w:fill="FFFFFF"/>
            <w:tcMar>
              <w:top w:w="40" w:type="dxa"/>
              <w:left w:w="20" w:type="dxa"/>
              <w:bottom w:w="40" w:type="dxa"/>
              <w:right w:w="0" w:type="dxa"/>
            </w:tcMar>
            <w:vAlign w:val="bottom"/>
          </w:tcPr>
          <w:p w14:paraId="74DD8108" w14:textId="77777777" w:rsidR="00584EC1" w:rsidRDefault="00871F8D">
            <w:pPr>
              <w:jc w:val="right"/>
              <w:textAlignment w:val="bottom"/>
            </w:pPr>
            <w:r>
              <w:rPr>
                <w:rFonts w:ascii="Arial" w:eastAsia="宋体" w:hAnsi="Arial" w:cs="Arial"/>
                <w:color w:val="000000"/>
                <w:sz w:val="15"/>
                <w:szCs w:val="15"/>
              </w:rPr>
              <w:t>(419)</w:t>
            </w:r>
          </w:p>
        </w:tc>
        <w:tc>
          <w:tcPr>
            <w:tcW w:w="0" w:type="auto"/>
            <w:shd w:val="clear" w:color="auto" w:fill="FFFFFF"/>
            <w:tcMar>
              <w:top w:w="40" w:type="dxa"/>
              <w:left w:w="0" w:type="dxa"/>
              <w:bottom w:w="40" w:type="dxa"/>
              <w:right w:w="20" w:type="dxa"/>
            </w:tcMar>
            <w:vAlign w:val="bottom"/>
          </w:tcPr>
          <w:p w14:paraId="74DD810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10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10B" w14:textId="77777777" w:rsidR="00584EC1" w:rsidRDefault="00871F8D">
            <w:pPr>
              <w:jc w:val="right"/>
              <w:textAlignment w:val="bottom"/>
            </w:pPr>
            <w:r>
              <w:rPr>
                <w:rFonts w:ascii="Arial" w:eastAsia="宋体" w:hAnsi="Arial" w:cs="Arial"/>
                <w:color w:val="000000"/>
                <w:sz w:val="15"/>
                <w:szCs w:val="15"/>
              </w:rPr>
              <w:t>5 </w:t>
            </w:r>
          </w:p>
        </w:tc>
        <w:tc>
          <w:tcPr>
            <w:tcW w:w="0" w:type="auto"/>
            <w:shd w:val="clear" w:color="auto" w:fill="FFFFFF"/>
            <w:tcMar>
              <w:top w:w="40" w:type="dxa"/>
              <w:left w:w="0" w:type="dxa"/>
              <w:bottom w:w="40" w:type="dxa"/>
              <w:right w:w="20" w:type="dxa"/>
            </w:tcMar>
            <w:vAlign w:val="bottom"/>
          </w:tcPr>
          <w:p w14:paraId="74DD810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10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10E" w14:textId="77777777" w:rsidR="00584EC1" w:rsidRDefault="00871F8D">
            <w:pPr>
              <w:jc w:val="right"/>
              <w:textAlignment w:val="bottom"/>
            </w:pPr>
            <w:r>
              <w:rPr>
                <w:rFonts w:ascii="Arial" w:eastAsia="宋体" w:hAnsi="Arial" w:cs="Arial"/>
                <w:color w:val="000000"/>
                <w:sz w:val="15"/>
                <w:szCs w:val="15"/>
              </w:rPr>
              <w:t>2 </w:t>
            </w:r>
          </w:p>
        </w:tc>
        <w:tc>
          <w:tcPr>
            <w:tcW w:w="0" w:type="auto"/>
            <w:shd w:val="clear" w:color="auto" w:fill="FFFFFF"/>
            <w:tcMar>
              <w:top w:w="40" w:type="dxa"/>
              <w:left w:w="0" w:type="dxa"/>
              <w:bottom w:w="40" w:type="dxa"/>
              <w:right w:w="20" w:type="dxa"/>
            </w:tcMar>
            <w:vAlign w:val="bottom"/>
          </w:tcPr>
          <w:p w14:paraId="74DD810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11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111" w14:textId="77777777" w:rsidR="00584EC1" w:rsidRDefault="00871F8D">
            <w:pPr>
              <w:jc w:val="right"/>
              <w:textAlignment w:val="bottom"/>
            </w:pPr>
            <w:r>
              <w:rPr>
                <w:rFonts w:ascii="Arial" w:eastAsia="宋体" w:hAnsi="Arial" w:cs="Arial"/>
                <w:color w:val="000000"/>
                <w:sz w:val="15"/>
                <w:szCs w:val="15"/>
              </w:rPr>
              <w:t>(16)</w:t>
            </w:r>
          </w:p>
        </w:tc>
        <w:tc>
          <w:tcPr>
            <w:tcW w:w="0" w:type="auto"/>
            <w:shd w:val="clear" w:color="auto" w:fill="FFFFFF"/>
            <w:tcMar>
              <w:top w:w="40" w:type="dxa"/>
              <w:left w:w="0" w:type="dxa"/>
              <w:bottom w:w="40" w:type="dxa"/>
              <w:right w:w="20" w:type="dxa"/>
            </w:tcMar>
            <w:vAlign w:val="bottom"/>
          </w:tcPr>
          <w:p w14:paraId="74DD811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11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114" w14:textId="77777777" w:rsidR="00584EC1" w:rsidRDefault="00871F8D">
            <w:pPr>
              <w:jc w:val="right"/>
              <w:textAlignment w:val="bottom"/>
            </w:pPr>
            <w:r>
              <w:rPr>
                <w:rFonts w:ascii="Arial" w:eastAsia="宋体" w:hAnsi="Arial" w:cs="Arial"/>
                <w:color w:val="000000"/>
                <w:sz w:val="15"/>
                <w:szCs w:val="15"/>
              </w:rPr>
              <w:t>(8)</w:t>
            </w:r>
          </w:p>
        </w:tc>
        <w:tc>
          <w:tcPr>
            <w:tcW w:w="0" w:type="auto"/>
            <w:shd w:val="clear" w:color="auto" w:fill="FFFFFF"/>
            <w:tcMar>
              <w:top w:w="40" w:type="dxa"/>
              <w:left w:w="0" w:type="dxa"/>
              <w:bottom w:w="40" w:type="dxa"/>
              <w:right w:w="20" w:type="dxa"/>
            </w:tcMar>
            <w:vAlign w:val="bottom"/>
          </w:tcPr>
          <w:p w14:paraId="74DD811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11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117" w14:textId="77777777" w:rsidR="00584EC1" w:rsidRDefault="00871F8D">
            <w:pPr>
              <w:jc w:val="right"/>
              <w:textAlignment w:val="bottom"/>
            </w:pPr>
            <w:r>
              <w:rPr>
                <w:rFonts w:ascii="Arial" w:eastAsia="宋体" w:hAnsi="Arial" w:cs="Arial"/>
                <w:color w:val="000000"/>
                <w:sz w:val="15"/>
                <w:szCs w:val="15"/>
              </w:rPr>
              <w:t>(436)</w:t>
            </w:r>
          </w:p>
        </w:tc>
        <w:tc>
          <w:tcPr>
            <w:tcW w:w="0" w:type="auto"/>
            <w:shd w:val="clear" w:color="auto" w:fill="FFFFFF"/>
            <w:tcMar>
              <w:top w:w="40" w:type="dxa"/>
              <w:left w:w="0" w:type="dxa"/>
              <w:bottom w:w="40" w:type="dxa"/>
              <w:right w:w="20" w:type="dxa"/>
            </w:tcMar>
            <w:vAlign w:val="bottom"/>
          </w:tcPr>
          <w:p w14:paraId="74DD8118" w14:textId="77777777" w:rsidR="00584EC1" w:rsidRDefault="00584EC1">
            <w:pPr>
              <w:jc w:val="right"/>
              <w:rPr>
                <w:rFonts w:ascii="宋体"/>
              </w:rPr>
            </w:pPr>
          </w:p>
        </w:tc>
        <w:tc>
          <w:tcPr>
            <w:tcW w:w="0" w:type="auto"/>
            <w:shd w:val="clear" w:color="auto" w:fill="auto"/>
            <w:vAlign w:val="bottom"/>
          </w:tcPr>
          <w:p w14:paraId="74DD8119" w14:textId="77777777" w:rsidR="00584EC1" w:rsidRDefault="00584EC1">
            <w:pPr>
              <w:rPr>
                <w:rFonts w:ascii="宋体"/>
                <w:vanish/>
              </w:rPr>
            </w:pPr>
          </w:p>
        </w:tc>
      </w:tr>
      <w:tr w:rsidR="00584EC1" w14:paraId="74DD812E" w14:textId="77777777">
        <w:tc>
          <w:tcPr>
            <w:tcW w:w="0" w:type="auto"/>
            <w:gridSpan w:val="3"/>
            <w:shd w:val="clear" w:color="auto" w:fill="CCEEFF"/>
            <w:tcMar>
              <w:top w:w="40" w:type="dxa"/>
              <w:left w:w="155" w:type="dxa"/>
              <w:bottom w:w="40" w:type="dxa"/>
              <w:right w:w="20" w:type="dxa"/>
            </w:tcMar>
            <w:vAlign w:val="bottom"/>
          </w:tcPr>
          <w:p w14:paraId="74DD811B" w14:textId="77777777" w:rsidR="00584EC1" w:rsidRDefault="00871F8D">
            <w:pPr>
              <w:textAlignment w:val="bottom"/>
            </w:pPr>
            <w:r>
              <w:rPr>
                <w:rFonts w:ascii="Arial" w:eastAsia="宋体" w:hAnsi="Arial" w:cs="Arial"/>
                <w:color w:val="000000"/>
                <w:sz w:val="15"/>
                <w:szCs w:val="15"/>
              </w:rPr>
              <w:t>Foreign exchange impact</w:t>
            </w:r>
          </w:p>
        </w:tc>
        <w:tc>
          <w:tcPr>
            <w:tcW w:w="0" w:type="auto"/>
            <w:gridSpan w:val="2"/>
            <w:shd w:val="clear" w:color="auto" w:fill="CCEEFF"/>
            <w:tcMar>
              <w:top w:w="40" w:type="dxa"/>
              <w:left w:w="20" w:type="dxa"/>
              <w:bottom w:w="40" w:type="dxa"/>
              <w:right w:w="0" w:type="dxa"/>
            </w:tcMar>
            <w:vAlign w:val="bottom"/>
          </w:tcPr>
          <w:p w14:paraId="74DD811C" w14:textId="77777777" w:rsidR="00584EC1" w:rsidRDefault="00871F8D">
            <w:pPr>
              <w:jc w:val="right"/>
              <w:textAlignment w:val="bottom"/>
            </w:pPr>
            <w:r>
              <w:rPr>
                <w:rFonts w:ascii="Arial" w:eastAsia="宋体" w:hAnsi="Arial" w:cs="Arial"/>
                <w:color w:val="000000"/>
                <w:sz w:val="15"/>
                <w:szCs w:val="15"/>
              </w:rPr>
              <w:t>(17)</w:t>
            </w:r>
          </w:p>
        </w:tc>
        <w:tc>
          <w:tcPr>
            <w:tcW w:w="0" w:type="auto"/>
            <w:shd w:val="clear" w:color="auto" w:fill="CCEEFF"/>
            <w:tcMar>
              <w:top w:w="40" w:type="dxa"/>
              <w:left w:w="0" w:type="dxa"/>
              <w:bottom w:w="40" w:type="dxa"/>
              <w:right w:w="20" w:type="dxa"/>
            </w:tcMar>
            <w:vAlign w:val="bottom"/>
          </w:tcPr>
          <w:p w14:paraId="74DD811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11E"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11F" w14:textId="77777777" w:rsidR="00584EC1" w:rsidRDefault="00871F8D">
            <w:pPr>
              <w:jc w:val="right"/>
              <w:textAlignment w:val="bottom"/>
            </w:pPr>
            <w:r>
              <w:rPr>
                <w:rFonts w:ascii="Arial" w:eastAsia="宋体" w:hAnsi="Arial" w:cs="Arial"/>
                <w:color w:val="000000"/>
                <w:sz w:val="15"/>
                <w:szCs w:val="15"/>
              </w:rPr>
              <w:t>(3)</w:t>
            </w:r>
          </w:p>
        </w:tc>
        <w:tc>
          <w:tcPr>
            <w:tcW w:w="0" w:type="auto"/>
            <w:shd w:val="clear" w:color="auto" w:fill="CCEEFF"/>
            <w:tcMar>
              <w:top w:w="40" w:type="dxa"/>
              <w:left w:w="0" w:type="dxa"/>
              <w:bottom w:w="40" w:type="dxa"/>
              <w:right w:w="20" w:type="dxa"/>
            </w:tcMar>
            <w:vAlign w:val="bottom"/>
          </w:tcPr>
          <w:p w14:paraId="74DD812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12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122" w14:textId="77777777" w:rsidR="00584EC1" w:rsidRDefault="00871F8D">
            <w:pPr>
              <w:jc w:val="right"/>
              <w:textAlignment w:val="bottom"/>
            </w:pPr>
            <w:r>
              <w:rPr>
                <w:rFonts w:ascii="Arial" w:eastAsia="宋体" w:hAnsi="Arial" w:cs="Arial"/>
                <w:color w:val="000000"/>
                <w:sz w:val="15"/>
                <w:szCs w:val="15"/>
              </w:rPr>
              <w:t>(2)</w:t>
            </w:r>
          </w:p>
        </w:tc>
        <w:tc>
          <w:tcPr>
            <w:tcW w:w="0" w:type="auto"/>
            <w:shd w:val="clear" w:color="auto" w:fill="CCEEFF"/>
            <w:tcMar>
              <w:top w:w="40" w:type="dxa"/>
              <w:left w:w="0" w:type="dxa"/>
              <w:bottom w:w="40" w:type="dxa"/>
              <w:right w:w="20" w:type="dxa"/>
            </w:tcMar>
            <w:vAlign w:val="bottom"/>
          </w:tcPr>
          <w:p w14:paraId="74DD812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124"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125" w14:textId="77777777" w:rsidR="00584EC1" w:rsidRDefault="00871F8D">
            <w:pPr>
              <w:jc w:val="right"/>
              <w:textAlignment w:val="bottom"/>
            </w:pPr>
            <w:r>
              <w:rPr>
                <w:rFonts w:ascii="Arial" w:eastAsia="宋体" w:hAnsi="Arial" w:cs="Arial"/>
                <w:color w:val="000000"/>
                <w:sz w:val="15"/>
                <w:szCs w:val="15"/>
              </w:rPr>
              <w:t>(1)</w:t>
            </w:r>
          </w:p>
        </w:tc>
        <w:tc>
          <w:tcPr>
            <w:tcW w:w="0" w:type="auto"/>
            <w:shd w:val="clear" w:color="auto" w:fill="CCEEFF"/>
            <w:tcMar>
              <w:top w:w="40" w:type="dxa"/>
              <w:left w:w="0" w:type="dxa"/>
              <w:bottom w:w="40" w:type="dxa"/>
              <w:right w:w="20" w:type="dxa"/>
            </w:tcMar>
            <w:vAlign w:val="bottom"/>
          </w:tcPr>
          <w:p w14:paraId="74DD812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12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128" w14:textId="77777777" w:rsidR="00584EC1" w:rsidRDefault="00871F8D">
            <w:pPr>
              <w:jc w:val="right"/>
              <w:textAlignment w:val="bottom"/>
            </w:pPr>
            <w:r>
              <w:rPr>
                <w:rFonts w:ascii="Arial" w:eastAsia="宋体" w:hAnsi="Arial" w:cs="Arial"/>
                <w:color w:val="000000"/>
                <w:sz w:val="15"/>
                <w:szCs w:val="15"/>
              </w:rPr>
              <w:t>(7)</w:t>
            </w:r>
          </w:p>
        </w:tc>
        <w:tc>
          <w:tcPr>
            <w:tcW w:w="0" w:type="auto"/>
            <w:shd w:val="clear" w:color="auto" w:fill="CCEEFF"/>
            <w:tcMar>
              <w:top w:w="40" w:type="dxa"/>
              <w:left w:w="0" w:type="dxa"/>
              <w:bottom w:w="40" w:type="dxa"/>
              <w:right w:w="20" w:type="dxa"/>
            </w:tcMar>
            <w:vAlign w:val="bottom"/>
          </w:tcPr>
          <w:p w14:paraId="74DD812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12A"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12B" w14:textId="77777777" w:rsidR="00584EC1" w:rsidRDefault="00871F8D">
            <w:pPr>
              <w:jc w:val="right"/>
              <w:textAlignment w:val="bottom"/>
            </w:pPr>
            <w:r>
              <w:rPr>
                <w:rFonts w:ascii="Arial" w:eastAsia="宋体" w:hAnsi="Arial" w:cs="Arial"/>
                <w:color w:val="000000"/>
                <w:sz w:val="15"/>
                <w:szCs w:val="15"/>
              </w:rPr>
              <w:t>(30)</w:t>
            </w:r>
          </w:p>
        </w:tc>
        <w:tc>
          <w:tcPr>
            <w:tcW w:w="0" w:type="auto"/>
            <w:shd w:val="clear" w:color="auto" w:fill="CCEEFF"/>
            <w:tcMar>
              <w:top w:w="40" w:type="dxa"/>
              <w:left w:w="0" w:type="dxa"/>
              <w:bottom w:w="40" w:type="dxa"/>
              <w:right w:w="20" w:type="dxa"/>
            </w:tcMar>
            <w:vAlign w:val="bottom"/>
          </w:tcPr>
          <w:p w14:paraId="74DD812C" w14:textId="77777777" w:rsidR="00584EC1" w:rsidRDefault="00584EC1">
            <w:pPr>
              <w:jc w:val="right"/>
              <w:rPr>
                <w:rFonts w:ascii="宋体"/>
              </w:rPr>
            </w:pPr>
          </w:p>
        </w:tc>
        <w:tc>
          <w:tcPr>
            <w:tcW w:w="0" w:type="auto"/>
            <w:shd w:val="clear" w:color="auto" w:fill="auto"/>
            <w:vAlign w:val="bottom"/>
          </w:tcPr>
          <w:p w14:paraId="74DD812D" w14:textId="77777777" w:rsidR="00584EC1" w:rsidRDefault="00584EC1">
            <w:pPr>
              <w:rPr>
                <w:rFonts w:ascii="宋体"/>
                <w:vanish/>
              </w:rPr>
            </w:pPr>
          </w:p>
        </w:tc>
      </w:tr>
      <w:tr w:rsidR="00584EC1" w14:paraId="74DD8142" w14:textId="77777777">
        <w:tc>
          <w:tcPr>
            <w:tcW w:w="0" w:type="auto"/>
            <w:gridSpan w:val="3"/>
            <w:shd w:val="clear" w:color="auto" w:fill="FFFFFF"/>
            <w:tcMar>
              <w:top w:w="40" w:type="dxa"/>
              <w:left w:w="20" w:type="dxa"/>
              <w:bottom w:w="40" w:type="dxa"/>
              <w:right w:w="20" w:type="dxa"/>
            </w:tcMar>
            <w:vAlign w:val="bottom"/>
          </w:tcPr>
          <w:p w14:paraId="74DD812F" w14:textId="77777777" w:rsidR="00584EC1" w:rsidRDefault="00871F8D">
            <w:pPr>
              <w:textAlignment w:val="bottom"/>
            </w:pPr>
            <w:r>
              <w:rPr>
                <w:rFonts w:ascii="Arial" w:eastAsia="宋体" w:hAnsi="Arial" w:cs="Arial"/>
                <w:color w:val="000000"/>
                <w:sz w:val="15"/>
                <w:szCs w:val="15"/>
              </w:rPr>
              <w:t>Total market/foreign exchange impact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8130" w14:textId="77777777" w:rsidR="00584EC1" w:rsidRDefault="00871F8D">
            <w:pPr>
              <w:jc w:val="right"/>
              <w:textAlignment w:val="bottom"/>
            </w:pPr>
            <w:r>
              <w:rPr>
                <w:rFonts w:ascii="Arial" w:eastAsia="宋体" w:hAnsi="Arial" w:cs="Arial"/>
                <w:color w:val="000000"/>
                <w:sz w:val="15"/>
                <w:szCs w:val="15"/>
              </w:rPr>
              <w:t>(436)</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813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132"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8133" w14:textId="77777777" w:rsidR="00584EC1" w:rsidRDefault="00871F8D">
            <w:pPr>
              <w:jc w:val="right"/>
              <w:textAlignment w:val="bottom"/>
            </w:pPr>
            <w:r>
              <w:rPr>
                <w:rFonts w:ascii="Arial" w:eastAsia="宋体" w:hAnsi="Arial" w:cs="Arial"/>
                <w:color w:val="000000"/>
                <w:sz w:val="15"/>
                <w:szCs w:val="15"/>
              </w:rPr>
              <w:t>2 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813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135"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8136" w14:textId="77777777" w:rsidR="00584EC1" w:rsidRDefault="00871F8D">
            <w:pPr>
              <w:jc w:val="right"/>
              <w:textAlignment w:val="bottom"/>
            </w:pP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813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138"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8139" w14:textId="77777777" w:rsidR="00584EC1" w:rsidRDefault="00871F8D">
            <w:pPr>
              <w:jc w:val="right"/>
              <w:textAlignment w:val="bottom"/>
            </w:pPr>
            <w:r>
              <w:rPr>
                <w:rFonts w:ascii="Arial" w:eastAsia="宋体" w:hAnsi="Arial" w:cs="Arial"/>
                <w:color w:val="000000"/>
                <w:sz w:val="15"/>
                <w:szCs w:val="15"/>
              </w:rPr>
              <w:t>(17)</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813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13B"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813C" w14:textId="77777777" w:rsidR="00584EC1" w:rsidRDefault="00871F8D">
            <w:pPr>
              <w:jc w:val="right"/>
              <w:textAlignment w:val="bottom"/>
            </w:pPr>
            <w:r>
              <w:rPr>
                <w:rFonts w:ascii="Arial" w:eastAsia="宋体" w:hAnsi="Arial" w:cs="Arial"/>
                <w:color w:val="000000"/>
                <w:sz w:val="15"/>
                <w:szCs w:val="15"/>
              </w:rPr>
              <w:t>(15)</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813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13E"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813F" w14:textId="77777777" w:rsidR="00584EC1" w:rsidRDefault="00871F8D">
            <w:pPr>
              <w:jc w:val="right"/>
              <w:textAlignment w:val="bottom"/>
            </w:pPr>
            <w:r>
              <w:rPr>
                <w:rFonts w:ascii="Arial" w:eastAsia="宋体" w:hAnsi="Arial" w:cs="Arial"/>
                <w:color w:val="000000"/>
                <w:sz w:val="15"/>
                <w:szCs w:val="15"/>
              </w:rPr>
              <w:t>(466)</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8140" w14:textId="77777777" w:rsidR="00584EC1" w:rsidRDefault="00584EC1">
            <w:pPr>
              <w:jc w:val="right"/>
              <w:rPr>
                <w:rFonts w:ascii="宋体"/>
              </w:rPr>
            </w:pPr>
          </w:p>
        </w:tc>
        <w:tc>
          <w:tcPr>
            <w:tcW w:w="0" w:type="auto"/>
            <w:shd w:val="clear" w:color="auto" w:fill="auto"/>
            <w:vAlign w:val="bottom"/>
          </w:tcPr>
          <w:p w14:paraId="74DD8141" w14:textId="77777777" w:rsidR="00584EC1" w:rsidRDefault="00584EC1">
            <w:pPr>
              <w:rPr>
                <w:rFonts w:ascii="宋体"/>
                <w:vanish/>
              </w:rPr>
            </w:pPr>
          </w:p>
        </w:tc>
      </w:tr>
      <w:tr w:rsidR="00584EC1" w14:paraId="74DD8156" w14:textId="77777777">
        <w:tc>
          <w:tcPr>
            <w:tcW w:w="0" w:type="auto"/>
            <w:gridSpan w:val="3"/>
            <w:shd w:val="clear" w:color="auto" w:fill="CCEEFF"/>
            <w:tcMar>
              <w:top w:w="40" w:type="dxa"/>
              <w:left w:w="20" w:type="dxa"/>
              <w:bottom w:w="40" w:type="dxa"/>
              <w:right w:w="20" w:type="dxa"/>
            </w:tcMar>
            <w:vAlign w:val="bottom"/>
          </w:tcPr>
          <w:p w14:paraId="74DD8143" w14:textId="77777777" w:rsidR="00584EC1" w:rsidRDefault="00871F8D">
            <w:pPr>
              <w:textAlignment w:val="bottom"/>
            </w:pPr>
            <w:r>
              <w:rPr>
                <w:rFonts w:ascii="Arial" w:eastAsia="宋体" w:hAnsi="Arial" w:cs="Arial"/>
                <w:b/>
                <w:bCs/>
                <w:color w:val="000000"/>
                <w:sz w:val="15"/>
                <w:szCs w:val="15"/>
              </w:rPr>
              <w:t>Balance as of March 31, 2020</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8144" w14:textId="77777777" w:rsidR="00584EC1" w:rsidRDefault="00871F8D">
            <w:pPr>
              <w:jc w:val="right"/>
              <w:textAlignment w:val="bottom"/>
            </w:pPr>
            <w:r>
              <w:rPr>
                <w:rFonts w:ascii="Arial" w:eastAsia="宋体" w:hAnsi="Arial" w:cs="Arial"/>
                <w:color w:val="000000"/>
                <w:sz w:val="15"/>
                <w:szCs w:val="15"/>
              </w:rPr>
              <w:t>1,561 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14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146"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8147" w14:textId="77777777" w:rsidR="00584EC1" w:rsidRDefault="00871F8D">
            <w:pPr>
              <w:jc w:val="right"/>
              <w:textAlignment w:val="bottom"/>
            </w:pPr>
            <w:r>
              <w:rPr>
                <w:rFonts w:ascii="Arial" w:eastAsia="宋体" w:hAnsi="Arial" w:cs="Arial"/>
                <w:color w:val="000000"/>
                <w:sz w:val="15"/>
                <w:szCs w:val="15"/>
              </w:rPr>
              <w:t>478 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14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149"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814A" w14:textId="77777777" w:rsidR="00584EC1" w:rsidRDefault="00871F8D">
            <w:pPr>
              <w:jc w:val="right"/>
              <w:textAlignment w:val="bottom"/>
            </w:pPr>
            <w:r>
              <w:rPr>
                <w:rFonts w:ascii="Arial" w:eastAsia="宋体" w:hAnsi="Arial" w:cs="Arial"/>
                <w:color w:val="000000"/>
                <w:sz w:val="15"/>
                <w:szCs w:val="15"/>
              </w:rPr>
              <w:t>348 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14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14C"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814D" w14:textId="77777777" w:rsidR="00584EC1" w:rsidRDefault="00871F8D">
            <w:pPr>
              <w:jc w:val="right"/>
              <w:textAlignment w:val="bottom"/>
            </w:pPr>
            <w:r>
              <w:rPr>
                <w:rFonts w:ascii="Arial" w:eastAsia="宋体" w:hAnsi="Arial" w:cs="Arial"/>
                <w:color w:val="000000"/>
                <w:sz w:val="15"/>
                <w:szCs w:val="15"/>
              </w:rPr>
              <w:t>140 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14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14F"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8150" w14:textId="77777777" w:rsidR="00584EC1" w:rsidRDefault="00871F8D">
            <w:pPr>
              <w:jc w:val="right"/>
              <w:textAlignment w:val="bottom"/>
            </w:pPr>
            <w:r>
              <w:rPr>
                <w:rFonts w:ascii="Arial" w:eastAsia="宋体" w:hAnsi="Arial" w:cs="Arial"/>
                <w:color w:val="000000"/>
                <w:sz w:val="15"/>
                <w:szCs w:val="15"/>
              </w:rPr>
              <w:t>162 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15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152"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8153" w14:textId="77777777" w:rsidR="00584EC1" w:rsidRDefault="00871F8D">
            <w:pPr>
              <w:jc w:val="right"/>
              <w:textAlignment w:val="bottom"/>
            </w:pPr>
            <w:r>
              <w:rPr>
                <w:rFonts w:ascii="Arial" w:eastAsia="宋体" w:hAnsi="Arial" w:cs="Arial"/>
                <w:color w:val="000000"/>
                <w:sz w:val="15"/>
                <w:szCs w:val="15"/>
              </w:rPr>
              <w:t>2,689 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154" w14:textId="77777777" w:rsidR="00584EC1" w:rsidRDefault="00584EC1">
            <w:pPr>
              <w:jc w:val="right"/>
              <w:rPr>
                <w:rFonts w:ascii="宋体"/>
              </w:rPr>
            </w:pPr>
          </w:p>
        </w:tc>
        <w:tc>
          <w:tcPr>
            <w:tcW w:w="0" w:type="auto"/>
            <w:shd w:val="clear" w:color="auto" w:fill="auto"/>
            <w:vAlign w:val="bottom"/>
          </w:tcPr>
          <w:p w14:paraId="74DD8155" w14:textId="77777777" w:rsidR="00584EC1" w:rsidRDefault="00584EC1">
            <w:pPr>
              <w:rPr>
                <w:rFonts w:ascii="宋体"/>
                <w:vanish/>
              </w:rPr>
            </w:pPr>
          </w:p>
        </w:tc>
      </w:tr>
      <w:tr w:rsidR="00584EC1" w14:paraId="74DD816A" w14:textId="77777777">
        <w:tc>
          <w:tcPr>
            <w:tcW w:w="0" w:type="auto"/>
            <w:gridSpan w:val="3"/>
            <w:shd w:val="clear" w:color="auto" w:fill="FFFFFF"/>
            <w:tcMar>
              <w:top w:w="40" w:type="dxa"/>
              <w:left w:w="20" w:type="dxa"/>
              <w:bottom w:w="40" w:type="dxa"/>
              <w:right w:w="20" w:type="dxa"/>
            </w:tcMar>
            <w:vAlign w:val="bottom"/>
          </w:tcPr>
          <w:p w14:paraId="74DD8157" w14:textId="77777777" w:rsidR="00584EC1" w:rsidRDefault="00871F8D">
            <w:pPr>
              <w:textAlignment w:val="bottom"/>
            </w:pPr>
            <w:r>
              <w:rPr>
                <w:rFonts w:ascii="Arial" w:eastAsia="宋体" w:hAnsi="Arial" w:cs="Arial"/>
                <w:color w:val="000000"/>
                <w:sz w:val="15"/>
                <w:szCs w:val="15"/>
              </w:rPr>
              <w:t>Long-term institutional flows, net</w:t>
            </w:r>
            <w:r>
              <w:rPr>
                <w:rFonts w:ascii="Arial" w:eastAsia="宋体" w:hAnsi="Arial" w:cs="Arial"/>
                <w:color w:val="000000"/>
                <w:sz w:val="9"/>
                <w:szCs w:val="9"/>
              </w:rPr>
              <w:t>(4)</w:t>
            </w:r>
          </w:p>
        </w:tc>
        <w:tc>
          <w:tcPr>
            <w:tcW w:w="0" w:type="auto"/>
            <w:gridSpan w:val="2"/>
            <w:shd w:val="clear" w:color="auto" w:fill="FFFFFF"/>
            <w:tcMar>
              <w:top w:w="40" w:type="dxa"/>
              <w:left w:w="20" w:type="dxa"/>
              <w:bottom w:w="40" w:type="dxa"/>
              <w:right w:w="0" w:type="dxa"/>
            </w:tcMar>
            <w:vAlign w:val="bottom"/>
          </w:tcPr>
          <w:p w14:paraId="74DD8158" w14:textId="77777777" w:rsidR="00584EC1" w:rsidRDefault="00871F8D">
            <w:pPr>
              <w:jc w:val="right"/>
              <w:textAlignment w:val="bottom"/>
            </w:pPr>
            <w:r>
              <w:rPr>
                <w:rFonts w:ascii="Arial" w:eastAsia="宋体" w:hAnsi="Arial" w:cs="Arial"/>
                <w:color w:val="000000"/>
                <w:sz w:val="15"/>
                <w:szCs w:val="15"/>
              </w:rPr>
              <w:t>(17)</w:t>
            </w:r>
          </w:p>
        </w:tc>
        <w:tc>
          <w:tcPr>
            <w:tcW w:w="0" w:type="auto"/>
            <w:shd w:val="clear" w:color="auto" w:fill="FFFFFF"/>
            <w:tcMar>
              <w:top w:w="40" w:type="dxa"/>
              <w:left w:w="0" w:type="dxa"/>
              <w:bottom w:w="40" w:type="dxa"/>
              <w:right w:w="20" w:type="dxa"/>
            </w:tcMar>
            <w:vAlign w:val="bottom"/>
          </w:tcPr>
          <w:p w14:paraId="74DD815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15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15B" w14:textId="77777777" w:rsidR="00584EC1" w:rsidRDefault="00871F8D">
            <w:pPr>
              <w:jc w:val="right"/>
              <w:textAlignment w:val="bottom"/>
            </w:pPr>
            <w:r>
              <w:rPr>
                <w:rFonts w:ascii="Arial" w:eastAsia="宋体" w:hAnsi="Arial" w:cs="Arial"/>
                <w:color w:val="000000"/>
                <w:sz w:val="15"/>
                <w:szCs w:val="15"/>
              </w:rPr>
              <w:t>(10)</w:t>
            </w:r>
          </w:p>
        </w:tc>
        <w:tc>
          <w:tcPr>
            <w:tcW w:w="0" w:type="auto"/>
            <w:shd w:val="clear" w:color="auto" w:fill="FFFFFF"/>
            <w:tcMar>
              <w:top w:w="40" w:type="dxa"/>
              <w:left w:w="0" w:type="dxa"/>
              <w:bottom w:w="40" w:type="dxa"/>
              <w:right w:w="20" w:type="dxa"/>
            </w:tcMar>
            <w:vAlign w:val="bottom"/>
          </w:tcPr>
          <w:p w14:paraId="74DD815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15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15E"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815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16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161" w14:textId="77777777" w:rsidR="00584EC1" w:rsidRDefault="00871F8D">
            <w:pPr>
              <w:jc w:val="right"/>
              <w:textAlignment w:val="bottom"/>
            </w:pPr>
            <w:r>
              <w:rPr>
                <w:rFonts w:ascii="Arial" w:eastAsia="宋体" w:hAnsi="Arial" w:cs="Arial"/>
                <w:color w:val="000000"/>
                <w:sz w:val="15"/>
                <w:szCs w:val="15"/>
              </w:rPr>
              <w:t>1 </w:t>
            </w:r>
          </w:p>
        </w:tc>
        <w:tc>
          <w:tcPr>
            <w:tcW w:w="0" w:type="auto"/>
            <w:shd w:val="clear" w:color="auto" w:fill="FFFFFF"/>
            <w:tcMar>
              <w:top w:w="40" w:type="dxa"/>
              <w:left w:w="0" w:type="dxa"/>
              <w:bottom w:w="40" w:type="dxa"/>
              <w:right w:w="20" w:type="dxa"/>
            </w:tcMar>
            <w:vAlign w:val="bottom"/>
          </w:tcPr>
          <w:p w14:paraId="74DD816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16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164" w14:textId="77777777" w:rsidR="00584EC1" w:rsidRDefault="00871F8D">
            <w:pPr>
              <w:jc w:val="right"/>
              <w:textAlignment w:val="bottom"/>
            </w:pPr>
            <w:r>
              <w:rPr>
                <w:rFonts w:ascii="Arial" w:eastAsia="宋体" w:hAnsi="Arial" w:cs="Arial"/>
                <w:color w:val="000000"/>
                <w:sz w:val="15"/>
                <w:szCs w:val="15"/>
              </w:rPr>
              <w:t>(5)</w:t>
            </w:r>
          </w:p>
        </w:tc>
        <w:tc>
          <w:tcPr>
            <w:tcW w:w="0" w:type="auto"/>
            <w:shd w:val="clear" w:color="auto" w:fill="FFFFFF"/>
            <w:tcMar>
              <w:top w:w="40" w:type="dxa"/>
              <w:left w:w="0" w:type="dxa"/>
              <w:bottom w:w="40" w:type="dxa"/>
              <w:right w:w="20" w:type="dxa"/>
            </w:tcMar>
            <w:vAlign w:val="bottom"/>
          </w:tcPr>
          <w:p w14:paraId="74DD816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16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167" w14:textId="77777777" w:rsidR="00584EC1" w:rsidRDefault="00871F8D">
            <w:pPr>
              <w:jc w:val="right"/>
              <w:textAlignment w:val="bottom"/>
            </w:pPr>
            <w:r>
              <w:rPr>
                <w:rFonts w:ascii="Arial" w:eastAsia="宋体" w:hAnsi="Arial" w:cs="Arial"/>
                <w:color w:val="000000"/>
                <w:sz w:val="15"/>
                <w:szCs w:val="15"/>
              </w:rPr>
              <w:t>(31)</w:t>
            </w:r>
          </w:p>
        </w:tc>
        <w:tc>
          <w:tcPr>
            <w:tcW w:w="0" w:type="auto"/>
            <w:shd w:val="clear" w:color="auto" w:fill="FFFFFF"/>
            <w:tcMar>
              <w:top w:w="40" w:type="dxa"/>
              <w:left w:w="0" w:type="dxa"/>
              <w:bottom w:w="40" w:type="dxa"/>
              <w:right w:w="20" w:type="dxa"/>
            </w:tcMar>
            <w:vAlign w:val="bottom"/>
          </w:tcPr>
          <w:p w14:paraId="74DD8168" w14:textId="77777777" w:rsidR="00584EC1" w:rsidRDefault="00584EC1">
            <w:pPr>
              <w:jc w:val="right"/>
              <w:rPr>
                <w:rFonts w:ascii="宋体"/>
              </w:rPr>
            </w:pPr>
          </w:p>
        </w:tc>
        <w:tc>
          <w:tcPr>
            <w:tcW w:w="0" w:type="auto"/>
            <w:shd w:val="clear" w:color="auto" w:fill="auto"/>
            <w:vAlign w:val="bottom"/>
          </w:tcPr>
          <w:p w14:paraId="74DD8169" w14:textId="77777777" w:rsidR="00584EC1" w:rsidRDefault="00584EC1">
            <w:pPr>
              <w:rPr>
                <w:rFonts w:ascii="宋体"/>
                <w:vanish/>
              </w:rPr>
            </w:pPr>
          </w:p>
        </w:tc>
      </w:tr>
      <w:tr w:rsidR="00584EC1" w14:paraId="74DD817E" w14:textId="77777777">
        <w:tc>
          <w:tcPr>
            <w:tcW w:w="0" w:type="auto"/>
            <w:gridSpan w:val="3"/>
            <w:shd w:val="clear" w:color="auto" w:fill="CCEEFF"/>
            <w:tcMar>
              <w:top w:w="40" w:type="dxa"/>
              <w:left w:w="20" w:type="dxa"/>
              <w:bottom w:w="40" w:type="dxa"/>
              <w:right w:w="20" w:type="dxa"/>
            </w:tcMar>
            <w:vAlign w:val="bottom"/>
          </w:tcPr>
          <w:p w14:paraId="74DD816B" w14:textId="77777777" w:rsidR="00584EC1" w:rsidRDefault="00871F8D">
            <w:pPr>
              <w:textAlignment w:val="bottom"/>
            </w:pPr>
            <w:r>
              <w:rPr>
                <w:rFonts w:ascii="Arial" w:eastAsia="宋体" w:hAnsi="Arial" w:cs="Arial"/>
                <w:color w:val="000000"/>
                <w:sz w:val="15"/>
                <w:szCs w:val="15"/>
              </w:rPr>
              <w:t>Exchange-traded fund flows, net</w:t>
            </w:r>
          </w:p>
        </w:tc>
        <w:tc>
          <w:tcPr>
            <w:tcW w:w="0" w:type="auto"/>
            <w:gridSpan w:val="2"/>
            <w:shd w:val="clear" w:color="auto" w:fill="CCEEFF"/>
            <w:tcMar>
              <w:top w:w="40" w:type="dxa"/>
              <w:left w:w="20" w:type="dxa"/>
              <w:bottom w:w="40" w:type="dxa"/>
              <w:right w:w="0" w:type="dxa"/>
            </w:tcMar>
            <w:vAlign w:val="bottom"/>
          </w:tcPr>
          <w:p w14:paraId="74DD816C" w14:textId="77777777" w:rsidR="00584EC1" w:rsidRDefault="00871F8D">
            <w:pPr>
              <w:jc w:val="right"/>
              <w:textAlignment w:val="bottom"/>
            </w:pPr>
            <w:r>
              <w:rPr>
                <w:rFonts w:ascii="Arial" w:eastAsia="宋体" w:hAnsi="Arial" w:cs="Arial"/>
                <w:color w:val="000000"/>
                <w:sz w:val="15"/>
                <w:szCs w:val="15"/>
              </w:rPr>
              <w:t>8 </w:t>
            </w:r>
          </w:p>
        </w:tc>
        <w:tc>
          <w:tcPr>
            <w:tcW w:w="0" w:type="auto"/>
            <w:shd w:val="clear" w:color="auto" w:fill="CCEEFF"/>
            <w:tcMar>
              <w:top w:w="40" w:type="dxa"/>
              <w:left w:w="0" w:type="dxa"/>
              <w:bottom w:w="40" w:type="dxa"/>
              <w:right w:w="20" w:type="dxa"/>
            </w:tcMar>
            <w:vAlign w:val="bottom"/>
          </w:tcPr>
          <w:p w14:paraId="74DD816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16E"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16F" w14:textId="77777777" w:rsidR="00584EC1" w:rsidRDefault="00871F8D">
            <w:pPr>
              <w:jc w:val="right"/>
              <w:textAlignment w:val="bottom"/>
            </w:pPr>
            <w:r>
              <w:rPr>
                <w:rFonts w:ascii="Arial" w:eastAsia="宋体" w:hAnsi="Arial" w:cs="Arial"/>
                <w:color w:val="000000"/>
                <w:sz w:val="15"/>
                <w:szCs w:val="15"/>
              </w:rPr>
              <w:t>6 </w:t>
            </w:r>
          </w:p>
        </w:tc>
        <w:tc>
          <w:tcPr>
            <w:tcW w:w="0" w:type="auto"/>
            <w:shd w:val="clear" w:color="auto" w:fill="CCEEFF"/>
            <w:tcMar>
              <w:top w:w="40" w:type="dxa"/>
              <w:left w:w="0" w:type="dxa"/>
              <w:bottom w:w="40" w:type="dxa"/>
              <w:right w:w="20" w:type="dxa"/>
            </w:tcMar>
            <w:vAlign w:val="bottom"/>
          </w:tcPr>
          <w:p w14:paraId="74DD817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17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172"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817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174"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175"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817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17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178" w14:textId="77777777" w:rsidR="00584EC1" w:rsidRDefault="00871F8D">
            <w:pPr>
              <w:jc w:val="right"/>
              <w:textAlignment w:val="bottom"/>
            </w:pPr>
            <w:r>
              <w:rPr>
                <w:rFonts w:ascii="Arial" w:eastAsia="宋体" w:hAnsi="Arial" w:cs="Arial"/>
                <w:color w:val="000000"/>
                <w:sz w:val="15"/>
                <w:szCs w:val="15"/>
              </w:rPr>
              <w:t>12 </w:t>
            </w:r>
          </w:p>
        </w:tc>
        <w:tc>
          <w:tcPr>
            <w:tcW w:w="0" w:type="auto"/>
            <w:shd w:val="clear" w:color="auto" w:fill="CCEEFF"/>
            <w:tcMar>
              <w:top w:w="40" w:type="dxa"/>
              <w:left w:w="0" w:type="dxa"/>
              <w:bottom w:w="40" w:type="dxa"/>
              <w:right w:w="20" w:type="dxa"/>
            </w:tcMar>
            <w:vAlign w:val="bottom"/>
          </w:tcPr>
          <w:p w14:paraId="74DD817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17A"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17B" w14:textId="77777777" w:rsidR="00584EC1" w:rsidRDefault="00871F8D">
            <w:pPr>
              <w:jc w:val="right"/>
              <w:textAlignment w:val="bottom"/>
            </w:pPr>
            <w:r>
              <w:rPr>
                <w:rFonts w:ascii="Arial" w:eastAsia="宋体" w:hAnsi="Arial" w:cs="Arial"/>
                <w:color w:val="000000"/>
                <w:sz w:val="15"/>
                <w:szCs w:val="15"/>
              </w:rPr>
              <w:t>26 </w:t>
            </w:r>
          </w:p>
        </w:tc>
        <w:tc>
          <w:tcPr>
            <w:tcW w:w="0" w:type="auto"/>
            <w:shd w:val="clear" w:color="auto" w:fill="CCEEFF"/>
            <w:tcMar>
              <w:top w:w="40" w:type="dxa"/>
              <w:left w:w="0" w:type="dxa"/>
              <w:bottom w:w="40" w:type="dxa"/>
              <w:right w:w="20" w:type="dxa"/>
            </w:tcMar>
            <w:vAlign w:val="bottom"/>
          </w:tcPr>
          <w:p w14:paraId="74DD817C" w14:textId="77777777" w:rsidR="00584EC1" w:rsidRDefault="00584EC1">
            <w:pPr>
              <w:jc w:val="right"/>
              <w:rPr>
                <w:rFonts w:ascii="宋体"/>
              </w:rPr>
            </w:pPr>
          </w:p>
        </w:tc>
        <w:tc>
          <w:tcPr>
            <w:tcW w:w="0" w:type="auto"/>
            <w:shd w:val="clear" w:color="auto" w:fill="auto"/>
            <w:vAlign w:val="bottom"/>
          </w:tcPr>
          <w:p w14:paraId="74DD817D" w14:textId="77777777" w:rsidR="00584EC1" w:rsidRDefault="00584EC1">
            <w:pPr>
              <w:rPr>
                <w:rFonts w:ascii="宋体"/>
                <w:vanish/>
              </w:rPr>
            </w:pPr>
          </w:p>
        </w:tc>
      </w:tr>
      <w:tr w:rsidR="00584EC1" w14:paraId="74DD8192" w14:textId="77777777">
        <w:tc>
          <w:tcPr>
            <w:tcW w:w="0" w:type="auto"/>
            <w:gridSpan w:val="3"/>
            <w:shd w:val="clear" w:color="auto" w:fill="FFFFFF"/>
            <w:tcMar>
              <w:top w:w="40" w:type="dxa"/>
              <w:left w:w="20" w:type="dxa"/>
              <w:bottom w:w="40" w:type="dxa"/>
              <w:right w:w="20" w:type="dxa"/>
            </w:tcMar>
            <w:vAlign w:val="bottom"/>
          </w:tcPr>
          <w:p w14:paraId="74DD817F" w14:textId="77777777" w:rsidR="00584EC1" w:rsidRDefault="00871F8D">
            <w:pPr>
              <w:textAlignment w:val="bottom"/>
            </w:pPr>
            <w:r>
              <w:rPr>
                <w:rFonts w:ascii="Arial" w:eastAsia="宋体" w:hAnsi="Arial" w:cs="Arial"/>
                <w:color w:val="000000"/>
                <w:sz w:val="15"/>
                <w:szCs w:val="15"/>
              </w:rPr>
              <w:t>Cash fund flows, net</w:t>
            </w:r>
          </w:p>
        </w:tc>
        <w:tc>
          <w:tcPr>
            <w:tcW w:w="0" w:type="auto"/>
            <w:gridSpan w:val="2"/>
            <w:shd w:val="clear" w:color="auto" w:fill="FFFFFF"/>
            <w:tcMar>
              <w:top w:w="40" w:type="dxa"/>
              <w:left w:w="20" w:type="dxa"/>
              <w:bottom w:w="40" w:type="dxa"/>
              <w:right w:w="0" w:type="dxa"/>
            </w:tcMar>
            <w:vAlign w:val="bottom"/>
          </w:tcPr>
          <w:p w14:paraId="74DD8180"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818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18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183"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818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185"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186" w14:textId="77777777" w:rsidR="00584EC1" w:rsidRDefault="00871F8D">
            <w:pPr>
              <w:jc w:val="right"/>
              <w:textAlignment w:val="bottom"/>
            </w:pPr>
            <w:r>
              <w:rPr>
                <w:rFonts w:ascii="Arial" w:eastAsia="宋体" w:hAnsi="Arial" w:cs="Arial"/>
                <w:color w:val="000000"/>
                <w:sz w:val="15"/>
                <w:szCs w:val="15"/>
              </w:rPr>
              <w:t>28 </w:t>
            </w:r>
          </w:p>
        </w:tc>
        <w:tc>
          <w:tcPr>
            <w:tcW w:w="0" w:type="auto"/>
            <w:shd w:val="clear" w:color="auto" w:fill="FFFFFF"/>
            <w:tcMar>
              <w:top w:w="40" w:type="dxa"/>
              <w:left w:w="0" w:type="dxa"/>
              <w:bottom w:w="40" w:type="dxa"/>
              <w:right w:w="20" w:type="dxa"/>
            </w:tcMar>
            <w:vAlign w:val="bottom"/>
          </w:tcPr>
          <w:p w14:paraId="74DD818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188"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189"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818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18B"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18C"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818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18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18F" w14:textId="77777777" w:rsidR="00584EC1" w:rsidRDefault="00871F8D">
            <w:pPr>
              <w:jc w:val="right"/>
              <w:textAlignment w:val="bottom"/>
            </w:pPr>
            <w:r>
              <w:rPr>
                <w:rFonts w:ascii="Arial" w:eastAsia="宋体" w:hAnsi="Arial" w:cs="Arial"/>
                <w:color w:val="000000"/>
                <w:sz w:val="15"/>
                <w:szCs w:val="15"/>
              </w:rPr>
              <w:t>28 </w:t>
            </w:r>
          </w:p>
        </w:tc>
        <w:tc>
          <w:tcPr>
            <w:tcW w:w="0" w:type="auto"/>
            <w:shd w:val="clear" w:color="auto" w:fill="FFFFFF"/>
            <w:tcMar>
              <w:top w:w="40" w:type="dxa"/>
              <w:left w:w="0" w:type="dxa"/>
              <w:bottom w:w="40" w:type="dxa"/>
              <w:right w:w="20" w:type="dxa"/>
            </w:tcMar>
            <w:vAlign w:val="bottom"/>
          </w:tcPr>
          <w:p w14:paraId="74DD8190" w14:textId="77777777" w:rsidR="00584EC1" w:rsidRDefault="00584EC1">
            <w:pPr>
              <w:jc w:val="right"/>
              <w:rPr>
                <w:rFonts w:ascii="宋体"/>
              </w:rPr>
            </w:pPr>
          </w:p>
        </w:tc>
        <w:tc>
          <w:tcPr>
            <w:tcW w:w="0" w:type="auto"/>
            <w:shd w:val="clear" w:color="auto" w:fill="auto"/>
            <w:vAlign w:val="bottom"/>
          </w:tcPr>
          <w:p w14:paraId="74DD8191" w14:textId="77777777" w:rsidR="00584EC1" w:rsidRDefault="00584EC1">
            <w:pPr>
              <w:rPr>
                <w:rFonts w:ascii="宋体"/>
                <w:vanish/>
              </w:rPr>
            </w:pPr>
          </w:p>
        </w:tc>
      </w:tr>
      <w:tr w:rsidR="00584EC1" w14:paraId="74DD81A6" w14:textId="77777777">
        <w:tc>
          <w:tcPr>
            <w:tcW w:w="0" w:type="auto"/>
            <w:gridSpan w:val="3"/>
            <w:shd w:val="clear" w:color="auto" w:fill="CCEEFF"/>
            <w:tcMar>
              <w:top w:w="40" w:type="dxa"/>
              <w:left w:w="20" w:type="dxa"/>
              <w:bottom w:w="40" w:type="dxa"/>
              <w:right w:w="20" w:type="dxa"/>
            </w:tcMar>
            <w:vAlign w:val="bottom"/>
          </w:tcPr>
          <w:p w14:paraId="74DD8193" w14:textId="77777777" w:rsidR="00584EC1" w:rsidRDefault="00871F8D">
            <w:pPr>
              <w:textAlignment w:val="bottom"/>
            </w:pPr>
            <w:r>
              <w:rPr>
                <w:rFonts w:ascii="Arial" w:eastAsia="宋体" w:hAnsi="Arial" w:cs="Arial"/>
                <w:color w:val="000000"/>
                <w:sz w:val="15"/>
                <w:szCs w:val="15"/>
              </w:rPr>
              <w:t>Total flows, net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8194" w14:textId="77777777" w:rsidR="00584EC1" w:rsidRDefault="00871F8D">
            <w:pPr>
              <w:jc w:val="right"/>
              <w:textAlignment w:val="bottom"/>
            </w:pPr>
            <w:r>
              <w:rPr>
                <w:rFonts w:ascii="Arial" w:eastAsia="宋体" w:hAnsi="Arial" w:cs="Arial"/>
                <w:color w:val="000000"/>
                <w:sz w:val="15"/>
                <w:szCs w:val="15"/>
              </w:rPr>
              <w:t>(9)</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19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196"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8197" w14:textId="77777777" w:rsidR="00584EC1" w:rsidRDefault="00871F8D">
            <w:pPr>
              <w:jc w:val="right"/>
              <w:textAlignment w:val="bottom"/>
            </w:pPr>
            <w:r>
              <w:rPr>
                <w:rFonts w:ascii="Arial" w:eastAsia="宋体" w:hAnsi="Arial" w:cs="Arial"/>
                <w:color w:val="000000"/>
                <w:sz w:val="15"/>
                <w:szCs w:val="15"/>
              </w:rPr>
              <w:t>(4)</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19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199"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819A" w14:textId="77777777" w:rsidR="00584EC1" w:rsidRDefault="00871F8D">
            <w:pPr>
              <w:jc w:val="right"/>
              <w:textAlignment w:val="bottom"/>
            </w:pPr>
            <w:r>
              <w:rPr>
                <w:rFonts w:ascii="Arial" w:eastAsia="宋体" w:hAnsi="Arial" w:cs="Arial"/>
                <w:color w:val="000000"/>
                <w:sz w:val="15"/>
                <w:szCs w:val="15"/>
              </w:rPr>
              <w:t>28 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19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19C"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819D" w14:textId="77777777" w:rsidR="00584EC1" w:rsidRDefault="00871F8D">
            <w:pPr>
              <w:jc w:val="right"/>
              <w:textAlignment w:val="bottom"/>
            </w:pPr>
            <w:r>
              <w:rPr>
                <w:rFonts w:ascii="Arial" w:eastAsia="宋体" w:hAnsi="Arial" w:cs="Arial"/>
                <w:color w:val="000000"/>
                <w:sz w:val="15"/>
                <w:szCs w:val="15"/>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19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19F"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81A0" w14:textId="77777777" w:rsidR="00584EC1" w:rsidRDefault="00871F8D">
            <w:pPr>
              <w:jc w:val="right"/>
              <w:textAlignment w:val="bottom"/>
            </w:pPr>
            <w:r>
              <w:rPr>
                <w:rFonts w:ascii="Arial" w:eastAsia="宋体" w:hAnsi="Arial" w:cs="Arial"/>
                <w:color w:val="000000"/>
                <w:sz w:val="15"/>
                <w:szCs w:val="15"/>
              </w:rPr>
              <w:t>7 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1A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1A2"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81A3" w14:textId="77777777" w:rsidR="00584EC1" w:rsidRDefault="00871F8D">
            <w:pPr>
              <w:jc w:val="right"/>
              <w:textAlignment w:val="bottom"/>
            </w:pPr>
            <w:r>
              <w:rPr>
                <w:rFonts w:ascii="Arial" w:eastAsia="宋体" w:hAnsi="Arial" w:cs="Arial"/>
                <w:color w:val="000000"/>
                <w:sz w:val="15"/>
                <w:szCs w:val="15"/>
              </w:rPr>
              <w:t>23 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1A4" w14:textId="77777777" w:rsidR="00584EC1" w:rsidRDefault="00584EC1">
            <w:pPr>
              <w:jc w:val="right"/>
              <w:rPr>
                <w:rFonts w:ascii="宋体"/>
              </w:rPr>
            </w:pPr>
          </w:p>
        </w:tc>
        <w:tc>
          <w:tcPr>
            <w:tcW w:w="0" w:type="auto"/>
            <w:shd w:val="clear" w:color="auto" w:fill="auto"/>
            <w:vAlign w:val="bottom"/>
          </w:tcPr>
          <w:p w14:paraId="74DD81A5" w14:textId="77777777" w:rsidR="00584EC1" w:rsidRDefault="00584EC1">
            <w:pPr>
              <w:rPr>
                <w:rFonts w:ascii="宋体"/>
                <w:vanish/>
              </w:rPr>
            </w:pPr>
          </w:p>
        </w:tc>
      </w:tr>
      <w:tr w:rsidR="00584EC1" w14:paraId="74DD81BA" w14:textId="77777777">
        <w:tc>
          <w:tcPr>
            <w:tcW w:w="0" w:type="auto"/>
            <w:gridSpan w:val="3"/>
            <w:shd w:val="clear" w:color="auto" w:fill="FFFFFF"/>
            <w:tcMar>
              <w:top w:w="40" w:type="dxa"/>
              <w:left w:w="155" w:type="dxa"/>
              <w:bottom w:w="40" w:type="dxa"/>
              <w:right w:w="20" w:type="dxa"/>
            </w:tcMar>
            <w:vAlign w:val="bottom"/>
          </w:tcPr>
          <w:p w14:paraId="74DD81A7" w14:textId="77777777" w:rsidR="00584EC1" w:rsidRDefault="00871F8D">
            <w:pPr>
              <w:textAlignment w:val="bottom"/>
            </w:pPr>
            <w:r>
              <w:rPr>
                <w:rFonts w:ascii="Arial" w:eastAsia="宋体" w:hAnsi="Arial" w:cs="Arial"/>
                <w:color w:val="000000"/>
                <w:sz w:val="15"/>
                <w:szCs w:val="15"/>
              </w:rPr>
              <w:t>Market appreciation (depreciation)</w:t>
            </w:r>
          </w:p>
        </w:tc>
        <w:tc>
          <w:tcPr>
            <w:tcW w:w="0" w:type="auto"/>
            <w:gridSpan w:val="2"/>
            <w:shd w:val="clear" w:color="auto" w:fill="FFFFFF"/>
            <w:tcMar>
              <w:top w:w="40" w:type="dxa"/>
              <w:left w:w="20" w:type="dxa"/>
              <w:bottom w:w="40" w:type="dxa"/>
              <w:right w:w="0" w:type="dxa"/>
            </w:tcMar>
            <w:vAlign w:val="bottom"/>
          </w:tcPr>
          <w:p w14:paraId="74DD81A8" w14:textId="77777777" w:rsidR="00584EC1" w:rsidRDefault="00871F8D">
            <w:pPr>
              <w:jc w:val="right"/>
              <w:textAlignment w:val="bottom"/>
            </w:pPr>
            <w:r>
              <w:rPr>
                <w:rFonts w:ascii="Arial" w:eastAsia="宋体" w:hAnsi="Arial" w:cs="Arial"/>
                <w:color w:val="000000"/>
                <w:sz w:val="15"/>
                <w:szCs w:val="15"/>
              </w:rPr>
              <w:t>283 </w:t>
            </w:r>
          </w:p>
        </w:tc>
        <w:tc>
          <w:tcPr>
            <w:tcW w:w="0" w:type="auto"/>
            <w:shd w:val="clear" w:color="auto" w:fill="FFFFFF"/>
            <w:tcMar>
              <w:top w:w="40" w:type="dxa"/>
              <w:left w:w="0" w:type="dxa"/>
              <w:bottom w:w="40" w:type="dxa"/>
              <w:right w:w="20" w:type="dxa"/>
            </w:tcMar>
            <w:vAlign w:val="bottom"/>
          </w:tcPr>
          <w:p w14:paraId="74DD81A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1A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1AB" w14:textId="77777777" w:rsidR="00584EC1" w:rsidRDefault="00871F8D">
            <w:pPr>
              <w:jc w:val="right"/>
              <w:textAlignment w:val="bottom"/>
            </w:pPr>
            <w:r>
              <w:rPr>
                <w:rFonts w:ascii="Arial" w:eastAsia="宋体" w:hAnsi="Arial" w:cs="Arial"/>
                <w:color w:val="000000"/>
                <w:sz w:val="15"/>
                <w:szCs w:val="15"/>
              </w:rPr>
              <w:t>17 </w:t>
            </w:r>
          </w:p>
        </w:tc>
        <w:tc>
          <w:tcPr>
            <w:tcW w:w="0" w:type="auto"/>
            <w:shd w:val="clear" w:color="auto" w:fill="FFFFFF"/>
            <w:tcMar>
              <w:top w:w="40" w:type="dxa"/>
              <w:left w:w="0" w:type="dxa"/>
              <w:bottom w:w="40" w:type="dxa"/>
              <w:right w:w="20" w:type="dxa"/>
            </w:tcMar>
            <w:vAlign w:val="bottom"/>
          </w:tcPr>
          <w:p w14:paraId="74DD81A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1A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1AE" w14:textId="77777777" w:rsidR="00584EC1" w:rsidRDefault="00871F8D">
            <w:pPr>
              <w:jc w:val="right"/>
              <w:textAlignment w:val="bottom"/>
            </w:pPr>
            <w:r>
              <w:rPr>
                <w:rFonts w:ascii="Arial" w:eastAsia="宋体" w:hAnsi="Arial" w:cs="Arial"/>
                <w:color w:val="000000"/>
                <w:sz w:val="15"/>
                <w:szCs w:val="15"/>
              </w:rPr>
              <w:t>(1)</w:t>
            </w:r>
          </w:p>
        </w:tc>
        <w:tc>
          <w:tcPr>
            <w:tcW w:w="0" w:type="auto"/>
            <w:shd w:val="clear" w:color="auto" w:fill="FFFFFF"/>
            <w:tcMar>
              <w:top w:w="40" w:type="dxa"/>
              <w:left w:w="0" w:type="dxa"/>
              <w:bottom w:w="40" w:type="dxa"/>
              <w:right w:w="20" w:type="dxa"/>
            </w:tcMar>
            <w:vAlign w:val="bottom"/>
          </w:tcPr>
          <w:p w14:paraId="74DD81A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1B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1B1" w14:textId="77777777" w:rsidR="00584EC1" w:rsidRDefault="00871F8D">
            <w:pPr>
              <w:jc w:val="right"/>
              <w:textAlignment w:val="bottom"/>
            </w:pPr>
            <w:r>
              <w:rPr>
                <w:rFonts w:ascii="Arial" w:eastAsia="宋体" w:hAnsi="Arial" w:cs="Arial"/>
                <w:color w:val="000000"/>
                <w:sz w:val="15"/>
                <w:szCs w:val="15"/>
              </w:rPr>
              <w:t>15 </w:t>
            </w:r>
          </w:p>
        </w:tc>
        <w:tc>
          <w:tcPr>
            <w:tcW w:w="0" w:type="auto"/>
            <w:shd w:val="clear" w:color="auto" w:fill="FFFFFF"/>
            <w:tcMar>
              <w:top w:w="40" w:type="dxa"/>
              <w:left w:w="0" w:type="dxa"/>
              <w:bottom w:w="40" w:type="dxa"/>
              <w:right w:w="20" w:type="dxa"/>
            </w:tcMar>
            <w:vAlign w:val="bottom"/>
          </w:tcPr>
          <w:p w14:paraId="74DD81B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1B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1B4" w14:textId="77777777" w:rsidR="00584EC1" w:rsidRDefault="00871F8D">
            <w:pPr>
              <w:jc w:val="right"/>
              <w:textAlignment w:val="bottom"/>
            </w:pPr>
            <w:r>
              <w:rPr>
                <w:rFonts w:ascii="Arial" w:eastAsia="宋体" w:hAnsi="Arial" w:cs="Arial"/>
                <w:color w:val="000000"/>
                <w:sz w:val="15"/>
                <w:szCs w:val="15"/>
              </w:rPr>
              <w:t>10 </w:t>
            </w:r>
          </w:p>
        </w:tc>
        <w:tc>
          <w:tcPr>
            <w:tcW w:w="0" w:type="auto"/>
            <w:shd w:val="clear" w:color="auto" w:fill="FFFFFF"/>
            <w:tcMar>
              <w:top w:w="40" w:type="dxa"/>
              <w:left w:w="0" w:type="dxa"/>
              <w:bottom w:w="40" w:type="dxa"/>
              <w:right w:w="20" w:type="dxa"/>
            </w:tcMar>
            <w:vAlign w:val="bottom"/>
          </w:tcPr>
          <w:p w14:paraId="74DD81B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1B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1B7" w14:textId="77777777" w:rsidR="00584EC1" w:rsidRDefault="00871F8D">
            <w:pPr>
              <w:jc w:val="right"/>
              <w:textAlignment w:val="bottom"/>
            </w:pPr>
            <w:r>
              <w:rPr>
                <w:rFonts w:ascii="Arial" w:eastAsia="宋体" w:hAnsi="Arial" w:cs="Arial"/>
                <w:color w:val="000000"/>
                <w:sz w:val="15"/>
                <w:szCs w:val="15"/>
              </w:rPr>
              <w:t>324 </w:t>
            </w:r>
          </w:p>
        </w:tc>
        <w:tc>
          <w:tcPr>
            <w:tcW w:w="0" w:type="auto"/>
            <w:shd w:val="clear" w:color="auto" w:fill="FFFFFF"/>
            <w:tcMar>
              <w:top w:w="40" w:type="dxa"/>
              <w:left w:w="0" w:type="dxa"/>
              <w:bottom w:w="40" w:type="dxa"/>
              <w:right w:w="20" w:type="dxa"/>
            </w:tcMar>
            <w:vAlign w:val="bottom"/>
          </w:tcPr>
          <w:p w14:paraId="74DD81B8" w14:textId="77777777" w:rsidR="00584EC1" w:rsidRDefault="00584EC1">
            <w:pPr>
              <w:jc w:val="right"/>
              <w:rPr>
                <w:rFonts w:ascii="宋体"/>
              </w:rPr>
            </w:pPr>
          </w:p>
        </w:tc>
        <w:tc>
          <w:tcPr>
            <w:tcW w:w="0" w:type="auto"/>
            <w:shd w:val="clear" w:color="auto" w:fill="auto"/>
            <w:vAlign w:val="bottom"/>
          </w:tcPr>
          <w:p w14:paraId="74DD81B9" w14:textId="77777777" w:rsidR="00584EC1" w:rsidRDefault="00584EC1">
            <w:pPr>
              <w:rPr>
                <w:rFonts w:ascii="宋体"/>
                <w:vanish/>
              </w:rPr>
            </w:pPr>
          </w:p>
        </w:tc>
      </w:tr>
      <w:tr w:rsidR="00584EC1" w14:paraId="74DD81CE" w14:textId="77777777">
        <w:tc>
          <w:tcPr>
            <w:tcW w:w="0" w:type="auto"/>
            <w:gridSpan w:val="3"/>
            <w:shd w:val="clear" w:color="auto" w:fill="CCEEFF"/>
            <w:tcMar>
              <w:top w:w="40" w:type="dxa"/>
              <w:left w:w="155" w:type="dxa"/>
              <w:bottom w:w="40" w:type="dxa"/>
              <w:right w:w="20" w:type="dxa"/>
            </w:tcMar>
            <w:vAlign w:val="bottom"/>
          </w:tcPr>
          <w:p w14:paraId="74DD81BB" w14:textId="77777777" w:rsidR="00584EC1" w:rsidRDefault="00871F8D">
            <w:pPr>
              <w:textAlignment w:val="bottom"/>
            </w:pPr>
            <w:r>
              <w:rPr>
                <w:rFonts w:ascii="Arial" w:eastAsia="宋体" w:hAnsi="Arial" w:cs="Arial"/>
                <w:color w:val="000000"/>
                <w:sz w:val="15"/>
                <w:szCs w:val="15"/>
              </w:rPr>
              <w:t>Foreign exchange impact</w:t>
            </w:r>
          </w:p>
        </w:tc>
        <w:tc>
          <w:tcPr>
            <w:tcW w:w="0" w:type="auto"/>
            <w:gridSpan w:val="2"/>
            <w:shd w:val="clear" w:color="auto" w:fill="CCEEFF"/>
            <w:tcMar>
              <w:top w:w="40" w:type="dxa"/>
              <w:left w:w="20" w:type="dxa"/>
              <w:bottom w:w="40" w:type="dxa"/>
              <w:right w:w="0" w:type="dxa"/>
            </w:tcMar>
            <w:vAlign w:val="bottom"/>
          </w:tcPr>
          <w:p w14:paraId="74DD81BC" w14:textId="77777777" w:rsidR="00584EC1" w:rsidRDefault="00871F8D">
            <w:pPr>
              <w:jc w:val="right"/>
              <w:textAlignment w:val="bottom"/>
            </w:pPr>
            <w:r>
              <w:rPr>
                <w:rFonts w:ascii="Arial" w:eastAsia="宋体" w:hAnsi="Arial" w:cs="Arial"/>
                <w:color w:val="000000"/>
                <w:sz w:val="15"/>
                <w:szCs w:val="15"/>
              </w:rPr>
              <w:t>10 </w:t>
            </w:r>
          </w:p>
        </w:tc>
        <w:tc>
          <w:tcPr>
            <w:tcW w:w="0" w:type="auto"/>
            <w:shd w:val="clear" w:color="auto" w:fill="CCEEFF"/>
            <w:tcMar>
              <w:top w:w="40" w:type="dxa"/>
              <w:left w:w="0" w:type="dxa"/>
              <w:bottom w:w="40" w:type="dxa"/>
              <w:right w:w="20" w:type="dxa"/>
            </w:tcMar>
            <w:vAlign w:val="bottom"/>
          </w:tcPr>
          <w:p w14:paraId="74DD81B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1BE"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1BF" w14:textId="77777777" w:rsidR="00584EC1" w:rsidRDefault="00871F8D">
            <w:pPr>
              <w:jc w:val="right"/>
              <w:textAlignment w:val="bottom"/>
            </w:pPr>
            <w:r>
              <w:rPr>
                <w:rFonts w:ascii="Arial" w:eastAsia="宋体" w:hAnsi="Arial" w:cs="Arial"/>
                <w:color w:val="000000"/>
                <w:sz w:val="15"/>
                <w:szCs w:val="15"/>
              </w:rPr>
              <w:t>2 </w:t>
            </w:r>
          </w:p>
        </w:tc>
        <w:tc>
          <w:tcPr>
            <w:tcW w:w="0" w:type="auto"/>
            <w:shd w:val="clear" w:color="auto" w:fill="CCEEFF"/>
            <w:tcMar>
              <w:top w:w="40" w:type="dxa"/>
              <w:left w:w="0" w:type="dxa"/>
              <w:bottom w:w="40" w:type="dxa"/>
              <w:right w:w="20" w:type="dxa"/>
            </w:tcMar>
            <w:vAlign w:val="bottom"/>
          </w:tcPr>
          <w:p w14:paraId="74DD81C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1C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1C2" w14:textId="77777777" w:rsidR="00584EC1" w:rsidRDefault="00871F8D">
            <w:pPr>
              <w:jc w:val="right"/>
              <w:textAlignment w:val="bottom"/>
            </w:pPr>
            <w:r>
              <w:rPr>
                <w:rFonts w:ascii="Arial" w:eastAsia="宋体" w:hAnsi="Arial" w:cs="Arial"/>
                <w:color w:val="000000"/>
                <w:sz w:val="15"/>
                <w:szCs w:val="15"/>
              </w:rPr>
              <w:t>1 </w:t>
            </w:r>
          </w:p>
        </w:tc>
        <w:tc>
          <w:tcPr>
            <w:tcW w:w="0" w:type="auto"/>
            <w:shd w:val="clear" w:color="auto" w:fill="CCEEFF"/>
            <w:tcMar>
              <w:top w:w="40" w:type="dxa"/>
              <w:left w:w="0" w:type="dxa"/>
              <w:bottom w:w="40" w:type="dxa"/>
              <w:right w:w="20" w:type="dxa"/>
            </w:tcMar>
            <w:vAlign w:val="bottom"/>
          </w:tcPr>
          <w:p w14:paraId="74DD81C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1C4"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1C5" w14:textId="77777777" w:rsidR="00584EC1" w:rsidRDefault="00871F8D">
            <w:pPr>
              <w:jc w:val="right"/>
              <w:textAlignment w:val="bottom"/>
            </w:pPr>
            <w:r>
              <w:rPr>
                <w:rFonts w:ascii="Arial" w:eastAsia="宋体" w:hAnsi="Arial" w:cs="Arial"/>
                <w:color w:val="000000"/>
                <w:sz w:val="15"/>
                <w:szCs w:val="15"/>
              </w:rPr>
              <w:t>1 </w:t>
            </w:r>
          </w:p>
        </w:tc>
        <w:tc>
          <w:tcPr>
            <w:tcW w:w="0" w:type="auto"/>
            <w:shd w:val="clear" w:color="auto" w:fill="CCEEFF"/>
            <w:tcMar>
              <w:top w:w="40" w:type="dxa"/>
              <w:left w:w="0" w:type="dxa"/>
              <w:bottom w:w="40" w:type="dxa"/>
              <w:right w:w="20" w:type="dxa"/>
            </w:tcMar>
            <w:vAlign w:val="bottom"/>
          </w:tcPr>
          <w:p w14:paraId="74DD81C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1C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1C8" w14:textId="77777777" w:rsidR="00584EC1" w:rsidRDefault="00871F8D">
            <w:pPr>
              <w:jc w:val="right"/>
              <w:textAlignment w:val="bottom"/>
            </w:pPr>
            <w:r>
              <w:rPr>
                <w:rFonts w:ascii="Arial" w:eastAsia="宋体" w:hAnsi="Arial" w:cs="Arial"/>
                <w:color w:val="000000"/>
                <w:sz w:val="15"/>
                <w:szCs w:val="15"/>
              </w:rPr>
              <w:t>4 </w:t>
            </w:r>
          </w:p>
        </w:tc>
        <w:tc>
          <w:tcPr>
            <w:tcW w:w="0" w:type="auto"/>
            <w:shd w:val="clear" w:color="auto" w:fill="CCEEFF"/>
            <w:tcMar>
              <w:top w:w="40" w:type="dxa"/>
              <w:left w:w="0" w:type="dxa"/>
              <w:bottom w:w="40" w:type="dxa"/>
              <w:right w:w="20" w:type="dxa"/>
            </w:tcMar>
            <w:vAlign w:val="bottom"/>
          </w:tcPr>
          <w:p w14:paraId="74DD81C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1CA"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1CB" w14:textId="77777777" w:rsidR="00584EC1" w:rsidRDefault="00871F8D">
            <w:pPr>
              <w:jc w:val="right"/>
              <w:textAlignment w:val="bottom"/>
            </w:pPr>
            <w:r>
              <w:rPr>
                <w:rFonts w:ascii="Arial" w:eastAsia="宋体" w:hAnsi="Arial" w:cs="Arial"/>
                <w:color w:val="000000"/>
                <w:sz w:val="15"/>
                <w:szCs w:val="15"/>
              </w:rPr>
              <w:t>18 </w:t>
            </w:r>
          </w:p>
        </w:tc>
        <w:tc>
          <w:tcPr>
            <w:tcW w:w="0" w:type="auto"/>
            <w:shd w:val="clear" w:color="auto" w:fill="CCEEFF"/>
            <w:tcMar>
              <w:top w:w="40" w:type="dxa"/>
              <w:left w:w="0" w:type="dxa"/>
              <w:bottom w:w="40" w:type="dxa"/>
              <w:right w:w="20" w:type="dxa"/>
            </w:tcMar>
            <w:vAlign w:val="bottom"/>
          </w:tcPr>
          <w:p w14:paraId="74DD81CC" w14:textId="77777777" w:rsidR="00584EC1" w:rsidRDefault="00584EC1">
            <w:pPr>
              <w:jc w:val="right"/>
              <w:rPr>
                <w:rFonts w:ascii="宋体"/>
              </w:rPr>
            </w:pPr>
          </w:p>
        </w:tc>
        <w:tc>
          <w:tcPr>
            <w:tcW w:w="0" w:type="auto"/>
            <w:shd w:val="clear" w:color="auto" w:fill="auto"/>
            <w:vAlign w:val="bottom"/>
          </w:tcPr>
          <w:p w14:paraId="74DD81CD" w14:textId="77777777" w:rsidR="00584EC1" w:rsidRDefault="00584EC1">
            <w:pPr>
              <w:rPr>
                <w:rFonts w:ascii="宋体"/>
                <w:vanish/>
              </w:rPr>
            </w:pPr>
          </w:p>
        </w:tc>
      </w:tr>
      <w:tr w:rsidR="00584EC1" w14:paraId="74DD81E2" w14:textId="77777777">
        <w:tc>
          <w:tcPr>
            <w:tcW w:w="0" w:type="auto"/>
            <w:gridSpan w:val="3"/>
            <w:shd w:val="clear" w:color="auto" w:fill="FFFFFF"/>
            <w:tcMar>
              <w:top w:w="40" w:type="dxa"/>
              <w:left w:w="20" w:type="dxa"/>
              <w:bottom w:w="40" w:type="dxa"/>
              <w:right w:w="20" w:type="dxa"/>
            </w:tcMar>
            <w:vAlign w:val="bottom"/>
          </w:tcPr>
          <w:p w14:paraId="74DD81CF" w14:textId="77777777" w:rsidR="00584EC1" w:rsidRDefault="00871F8D">
            <w:pPr>
              <w:textAlignment w:val="bottom"/>
            </w:pPr>
            <w:r>
              <w:rPr>
                <w:rFonts w:ascii="Arial" w:eastAsia="宋体" w:hAnsi="Arial" w:cs="Arial"/>
                <w:color w:val="000000"/>
                <w:sz w:val="15"/>
                <w:szCs w:val="15"/>
              </w:rPr>
              <w:t>Total market/foreign exchange impact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81D0" w14:textId="77777777" w:rsidR="00584EC1" w:rsidRDefault="00871F8D">
            <w:pPr>
              <w:jc w:val="right"/>
              <w:textAlignment w:val="bottom"/>
            </w:pPr>
            <w:r>
              <w:rPr>
                <w:rFonts w:ascii="Arial" w:eastAsia="宋体" w:hAnsi="Arial" w:cs="Arial"/>
                <w:color w:val="000000"/>
                <w:sz w:val="15"/>
                <w:szCs w:val="15"/>
              </w:rPr>
              <w:t>293 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81D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1D2"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81D3" w14:textId="77777777" w:rsidR="00584EC1" w:rsidRDefault="00871F8D">
            <w:pPr>
              <w:jc w:val="right"/>
              <w:textAlignment w:val="bottom"/>
            </w:pPr>
            <w:r>
              <w:rPr>
                <w:rFonts w:ascii="Arial" w:eastAsia="宋体" w:hAnsi="Arial" w:cs="Arial"/>
                <w:color w:val="000000"/>
                <w:sz w:val="15"/>
                <w:szCs w:val="15"/>
              </w:rPr>
              <w:t>19 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81D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1D5"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81D6" w14:textId="77777777" w:rsidR="00584EC1" w:rsidRDefault="00871F8D">
            <w:pPr>
              <w:jc w:val="right"/>
              <w:textAlignment w:val="bottom"/>
            </w:pP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81D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1D8"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81D9" w14:textId="77777777" w:rsidR="00584EC1" w:rsidRDefault="00871F8D">
            <w:pPr>
              <w:jc w:val="right"/>
              <w:textAlignment w:val="bottom"/>
            </w:pPr>
            <w:r>
              <w:rPr>
                <w:rFonts w:ascii="Arial" w:eastAsia="宋体" w:hAnsi="Arial" w:cs="Arial"/>
                <w:color w:val="000000"/>
                <w:sz w:val="15"/>
                <w:szCs w:val="15"/>
              </w:rPr>
              <w:t>16 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81D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1DB"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81DC" w14:textId="77777777" w:rsidR="00584EC1" w:rsidRDefault="00871F8D">
            <w:pPr>
              <w:jc w:val="right"/>
              <w:textAlignment w:val="bottom"/>
            </w:pPr>
            <w:r>
              <w:rPr>
                <w:rFonts w:ascii="Arial" w:eastAsia="宋体" w:hAnsi="Arial" w:cs="Arial"/>
                <w:color w:val="000000"/>
                <w:sz w:val="15"/>
                <w:szCs w:val="15"/>
              </w:rPr>
              <w:t>14 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81D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1DE"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81DF" w14:textId="77777777" w:rsidR="00584EC1" w:rsidRDefault="00871F8D">
            <w:pPr>
              <w:jc w:val="right"/>
              <w:textAlignment w:val="bottom"/>
            </w:pPr>
            <w:r>
              <w:rPr>
                <w:rFonts w:ascii="Arial" w:eastAsia="宋体" w:hAnsi="Arial" w:cs="Arial"/>
                <w:color w:val="000000"/>
                <w:sz w:val="15"/>
                <w:szCs w:val="15"/>
              </w:rPr>
              <w:t>342 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81E0" w14:textId="77777777" w:rsidR="00584EC1" w:rsidRDefault="00584EC1">
            <w:pPr>
              <w:jc w:val="right"/>
              <w:rPr>
                <w:rFonts w:ascii="宋体"/>
              </w:rPr>
            </w:pPr>
          </w:p>
        </w:tc>
        <w:tc>
          <w:tcPr>
            <w:tcW w:w="0" w:type="auto"/>
            <w:shd w:val="clear" w:color="auto" w:fill="auto"/>
            <w:vAlign w:val="bottom"/>
          </w:tcPr>
          <w:p w14:paraId="74DD81E1" w14:textId="77777777" w:rsidR="00584EC1" w:rsidRDefault="00584EC1">
            <w:pPr>
              <w:rPr>
                <w:rFonts w:ascii="宋体"/>
                <w:vanish/>
              </w:rPr>
            </w:pPr>
          </w:p>
        </w:tc>
      </w:tr>
      <w:tr w:rsidR="00584EC1" w14:paraId="74DD81F6" w14:textId="77777777">
        <w:tc>
          <w:tcPr>
            <w:tcW w:w="0" w:type="auto"/>
            <w:gridSpan w:val="3"/>
            <w:shd w:val="clear" w:color="auto" w:fill="CCEEFF"/>
            <w:tcMar>
              <w:top w:w="40" w:type="dxa"/>
              <w:left w:w="20" w:type="dxa"/>
              <w:bottom w:w="40" w:type="dxa"/>
              <w:right w:w="20" w:type="dxa"/>
            </w:tcMar>
            <w:vAlign w:val="bottom"/>
          </w:tcPr>
          <w:p w14:paraId="74DD81E3" w14:textId="77777777" w:rsidR="00584EC1" w:rsidRDefault="00871F8D">
            <w:pPr>
              <w:textAlignment w:val="bottom"/>
            </w:pPr>
            <w:r>
              <w:rPr>
                <w:rFonts w:ascii="Arial" w:eastAsia="宋体" w:hAnsi="Arial" w:cs="Arial"/>
                <w:b/>
                <w:bCs/>
                <w:color w:val="000000"/>
                <w:sz w:val="15"/>
                <w:szCs w:val="15"/>
              </w:rPr>
              <w:t>Balance as of June 30, 2020</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81E4" w14:textId="77777777" w:rsidR="00584EC1" w:rsidRDefault="00871F8D">
            <w:pPr>
              <w:jc w:val="right"/>
              <w:textAlignment w:val="bottom"/>
            </w:pPr>
            <w:r>
              <w:rPr>
                <w:rFonts w:ascii="Arial" w:eastAsia="宋体" w:hAnsi="Arial" w:cs="Arial"/>
                <w:color w:val="000000"/>
                <w:sz w:val="15"/>
                <w:szCs w:val="15"/>
              </w:rPr>
              <w:t>1,845 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1E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1E6"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81E7" w14:textId="77777777" w:rsidR="00584EC1" w:rsidRDefault="00871F8D">
            <w:pPr>
              <w:jc w:val="right"/>
              <w:textAlignment w:val="bottom"/>
            </w:pPr>
            <w:r>
              <w:rPr>
                <w:rFonts w:ascii="Arial" w:eastAsia="宋体" w:hAnsi="Arial" w:cs="Arial"/>
                <w:color w:val="000000"/>
                <w:sz w:val="15"/>
                <w:szCs w:val="15"/>
              </w:rPr>
              <w:t>493 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1E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1E9"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81EA" w14:textId="77777777" w:rsidR="00584EC1" w:rsidRDefault="00871F8D">
            <w:pPr>
              <w:jc w:val="right"/>
              <w:textAlignment w:val="bottom"/>
            </w:pPr>
            <w:r>
              <w:rPr>
                <w:rFonts w:ascii="Arial" w:eastAsia="宋体" w:hAnsi="Arial" w:cs="Arial"/>
                <w:color w:val="000000"/>
                <w:sz w:val="15"/>
                <w:szCs w:val="15"/>
              </w:rPr>
              <w:t>376 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1E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1EC"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81ED" w14:textId="77777777" w:rsidR="00584EC1" w:rsidRDefault="00871F8D">
            <w:pPr>
              <w:jc w:val="right"/>
              <w:textAlignment w:val="bottom"/>
            </w:pPr>
            <w:r>
              <w:rPr>
                <w:rFonts w:ascii="Arial" w:eastAsia="宋体" w:hAnsi="Arial" w:cs="Arial"/>
                <w:color w:val="000000"/>
                <w:sz w:val="15"/>
                <w:szCs w:val="15"/>
              </w:rPr>
              <w:t>157 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1E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1EF"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81F0" w14:textId="77777777" w:rsidR="00584EC1" w:rsidRDefault="00871F8D">
            <w:pPr>
              <w:jc w:val="right"/>
              <w:textAlignment w:val="bottom"/>
            </w:pPr>
            <w:r>
              <w:rPr>
                <w:rFonts w:ascii="Arial" w:eastAsia="宋体" w:hAnsi="Arial" w:cs="Arial"/>
                <w:color w:val="000000"/>
                <w:sz w:val="15"/>
                <w:szCs w:val="15"/>
              </w:rPr>
              <w:t>183 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1F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1F2"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81F3" w14:textId="77777777" w:rsidR="00584EC1" w:rsidRDefault="00871F8D">
            <w:pPr>
              <w:jc w:val="right"/>
              <w:textAlignment w:val="bottom"/>
            </w:pPr>
            <w:r>
              <w:rPr>
                <w:rFonts w:ascii="Arial" w:eastAsia="宋体" w:hAnsi="Arial" w:cs="Arial"/>
                <w:color w:val="000000"/>
                <w:sz w:val="15"/>
                <w:szCs w:val="15"/>
              </w:rPr>
              <w:t>3,054 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1F4" w14:textId="77777777" w:rsidR="00584EC1" w:rsidRDefault="00584EC1">
            <w:pPr>
              <w:jc w:val="right"/>
              <w:rPr>
                <w:rFonts w:ascii="宋体"/>
              </w:rPr>
            </w:pPr>
          </w:p>
        </w:tc>
        <w:tc>
          <w:tcPr>
            <w:tcW w:w="0" w:type="auto"/>
            <w:shd w:val="clear" w:color="auto" w:fill="auto"/>
            <w:vAlign w:val="bottom"/>
          </w:tcPr>
          <w:p w14:paraId="74DD81F5" w14:textId="77777777" w:rsidR="00584EC1" w:rsidRDefault="00584EC1">
            <w:pPr>
              <w:rPr>
                <w:rFonts w:ascii="宋体"/>
                <w:vanish/>
              </w:rPr>
            </w:pPr>
          </w:p>
        </w:tc>
      </w:tr>
      <w:tr w:rsidR="00584EC1" w14:paraId="74DD820A" w14:textId="77777777">
        <w:tc>
          <w:tcPr>
            <w:tcW w:w="0" w:type="auto"/>
            <w:gridSpan w:val="3"/>
            <w:shd w:val="clear" w:color="auto" w:fill="FFFFFF"/>
            <w:tcMar>
              <w:top w:w="40" w:type="dxa"/>
              <w:left w:w="20" w:type="dxa"/>
              <w:bottom w:w="40" w:type="dxa"/>
              <w:right w:w="20" w:type="dxa"/>
            </w:tcMar>
            <w:vAlign w:val="bottom"/>
          </w:tcPr>
          <w:p w14:paraId="74DD81F7" w14:textId="77777777" w:rsidR="00584EC1" w:rsidRDefault="00871F8D">
            <w:pPr>
              <w:textAlignment w:val="bottom"/>
            </w:pPr>
            <w:r>
              <w:rPr>
                <w:rFonts w:ascii="Arial" w:eastAsia="宋体" w:hAnsi="Arial" w:cs="Arial"/>
                <w:color w:val="000000"/>
                <w:sz w:val="15"/>
                <w:szCs w:val="15"/>
              </w:rPr>
              <w:t>Long-term institutional flows, net</w:t>
            </w:r>
            <w:r>
              <w:rPr>
                <w:rFonts w:ascii="Arial" w:eastAsia="宋体" w:hAnsi="Arial" w:cs="Arial"/>
                <w:color w:val="000000"/>
                <w:sz w:val="9"/>
                <w:szCs w:val="9"/>
              </w:rPr>
              <w:t>(4)</w:t>
            </w:r>
          </w:p>
        </w:tc>
        <w:tc>
          <w:tcPr>
            <w:tcW w:w="0" w:type="auto"/>
            <w:gridSpan w:val="2"/>
            <w:shd w:val="clear" w:color="auto" w:fill="FFFFFF"/>
            <w:tcMar>
              <w:top w:w="40" w:type="dxa"/>
              <w:left w:w="20" w:type="dxa"/>
              <w:bottom w:w="40" w:type="dxa"/>
              <w:right w:w="0" w:type="dxa"/>
            </w:tcMar>
            <w:vAlign w:val="bottom"/>
          </w:tcPr>
          <w:p w14:paraId="74DD81F8" w14:textId="77777777" w:rsidR="00584EC1" w:rsidRDefault="00871F8D">
            <w:pPr>
              <w:jc w:val="right"/>
              <w:textAlignment w:val="bottom"/>
            </w:pPr>
            <w:r>
              <w:rPr>
                <w:rFonts w:ascii="Arial" w:eastAsia="宋体" w:hAnsi="Arial" w:cs="Arial"/>
                <w:color w:val="000000"/>
                <w:sz w:val="15"/>
                <w:szCs w:val="15"/>
              </w:rPr>
              <w:t>(22)</w:t>
            </w:r>
          </w:p>
        </w:tc>
        <w:tc>
          <w:tcPr>
            <w:tcW w:w="0" w:type="auto"/>
            <w:shd w:val="clear" w:color="auto" w:fill="FFFFFF"/>
            <w:tcMar>
              <w:top w:w="40" w:type="dxa"/>
              <w:left w:w="0" w:type="dxa"/>
              <w:bottom w:w="40" w:type="dxa"/>
              <w:right w:w="20" w:type="dxa"/>
            </w:tcMar>
            <w:vAlign w:val="bottom"/>
          </w:tcPr>
          <w:p w14:paraId="74DD81F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1F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1FB" w14:textId="77777777" w:rsidR="00584EC1" w:rsidRDefault="00871F8D">
            <w:pPr>
              <w:jc w:val="right"/>
              <w:textAlignment w:val="bottom"/>
            </w:pPr>
            <w:r>
              <w:rPr>
                <w:rFonts w:ascii="Arial" w:eastAsia="宋体" w:hAnsi="Arial" w:cs="Arial"/>
                <w:color w:val="000000"/>
                <w:sz w:val="15"/>
                <w:szCs w:val="15"/>
              </w:rPr>
              <w:t>17 </w:t>
            </w:r>
          </w:p>
        </w:tc>
        <w:tc>
          <w:tcPr>
            <w:tcW w:w="0" w:type="auto"/>
            <w:shd w:val="clear" w:color="auto" w:fill="FFFFFF"/>
            <w:tcMar>
              <w:top w:w="40" w:type="dxa"/>
              <w:left w:w="0" w:type="dxa"/>
              <w:bottom w:w="40" w:type="dxa"/>
              <w:right w:w="20" w:type="dxa"/>
            </w:tcMar>
            <w:vAlign w:val="bottom"/>
          </w:tcPr>
          <w:p w14:paraId="74DD81F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1F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1FE"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81F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20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201" w14:textId="77777777" w:rsidR="00584EC1" w:rsidRDefault="00871F8D">
            <w:pPr>
              <w:jc w:val="right"/>
              <w:textAlignment w:val="bottom"/>
            </w:pPr>
            <w:r>
              <w:rPr>
                <w:rFonts w:ascii="Arial" w:eastAsia="宋体" w:hAnsi="Arial" w:cs="Arial"/>
                <w:color w:val="000000"/>
                <w:sz w:val="15"/>
                <w:szCs w:val="15"/>
              </w:rPr>
              <w:t>2 </w:t>
            </w:r>
          </w:p>
        </w:tc>
        <w:tc>
          <w:tcPr>
            <w:tcW w:w="0" w:type="auto"/>
            <w:shd w:val="clear" w:color="auto" w:fill="FFFFFF"/>
            <w:tcMar>
              <w:top w:w="40" w:type="dxa"/>
              <w:left w:w="0" w:type="dxa"/>
              <w:bottom w:w="40" w:type="dxa"/>
              <w:right w:w="20" w:type="dxa"/>
            </w:tcMar>
            <w:vAlign w:val="bottom"/>
          </w:tcPr>
          <w:p w14:paraId="74DD820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20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204" w14:textId="77777777" w:rsidR="00584EC1" w:rsidRDefault="00871F8D">
            <w:pPr>
              <w:jc w:val="right"/>
              <w:textAlignment w:val="bottom"/>
            </w:pPr>
            <w:r>
              <w:rPr>
                <w:rFonts w:ascii="Arial" w:eastAsia="宋体" w:hAnsi="Arial" w:cs="Arial"/>
                <w:color w:val="000000"/>
                <w:sz w:val="15"/>
                <w:szCs w:val="15"/>
              </w:rPr>
              <w:t>(5)</w:t>
            </w:r>
          </w:p>
        </w:tc>
        <w:tc>
          <w:tcPr>
            <w:tcW w:w="0" w:type="auto"/>
            <w:shd w:val="clear" w:color="auto" w:fill="FFFFFF"/>
            <w:tcMar>
              <w:top w:w="40" w:type="dxa"/>
              <w:left w:w="0" w:type="dxa"/>
              <w:bottom w:w="40" w:type="dxa"/>
              <w:right w:w="20" w:type="dxa"/>
            </w:tcMar>
            <w:vAlign w:val="bottom"/>
          </w:tcPr>
          <w:p w14:paraId="74DD820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20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207" w14:textId="77777777" w:rsidR="00584EC1" w:rsidRDefault="00871F8D">
            <w:pPr>
              <w:jc w:val="right"/>
              <w:textAlignment w:val="bottom"/>
            </w:pPr>
            <w:r>
              <w:rPr>
                <w:rFonts w:ascii="Arial" w:eastAsia="宋体" w:hAnsi="Arial" w:cs="Arial"/>
                <w:color w:val="000000"/>
                <w:sz w:val="15"/>
                <w:szCs w:val="15"/>
              </w:rPr>
              <w:t>(8)</w:t>
            </w:r>
          </w:p>
        </w:tc>
        <w:tc>
          <w:tcPr>
            <w:tcW w:w="0" w:type="auto"/>
            <w:shd w:val="clear" w:color="auto" w:fill="FFFFFF"/>
            <w:tcMar>
              <w:top w:w="40" w:type="dxa"/>
              <w:left w:w="0" w:type="dxa"/>
              <w:bottom w:w="40" w:type="dxa"/>
              <w:right w:w="20" w:type="dxa"/>
            </w:tcMar>
            <w:vAlign w:val="bottom"/>
          </w:tcPr>
          <w:p w14:paraId="74DD8208" w14:textId="77777777" w:rsidR="00584EC1" w:rsidRDefault="00584EC1">
            <w:pPr>
              <w:jc w:val="right"/>
              <w:rPr>
                <w:rFonts w:ascii="宋体"/>
              </w:rPr>
            </w:pPr>
          </w:p>
        </w:tc>
        <w:tc>
          <w:tcPr>
            <w:tcW w:w="0" w:type="auto"/>
            <w:shd w:val="clear" w:color="auto" w:fill="auto"/>
            <w:vAlign w:val="bottom"/>
          </w:tcPr>
          <w:p w14:paraId="74DD8209" w14:textId="77777777" w:rsidR="00584EC1" w:rsidRDefault="00584EC1">
            <w:pPr>
              <w:rPr>
                <w:rFonts w:ascii="宋体"/>
                <w:vanish/>
              </w:rPr>
            </w:pPr>
          </w:p>
        </w:tc>
      </w:tr>
      <w:tr w:rsidR="00584EC1" w14:paraId="74DD821E" w14:textId="77777777">
        <w:tc>
          <w:tcPr>
            <w:tcW w:w="0" w:type="auto"/>
            <w:gridSpan w:val="3"/>
            <w:shd w:val="clear" w:color="auto" w:fill="CCEEFF"/>
            <w:tcMar>
              <w:top w:w="40" w:type="dxa"/>
              <w:left w:w="20" w:type="dxa"/>
              <w:bottom w:w="40" w:type="dxa"/>
              <w:right w:w="20" w:type="dxa"/>
            </w:tcMar>
            <w:vAlign w:val="bottom"/>
          </w:tcPr>
          <w:p w14:paraId="74DD820B" w14:textId="77777777" w:rsidR="00584EC1" w:rsidRDefault="00871F8D">
            <w:pPr>
              <w:textAlignment w:val="bottom"/>
            </w:pPr>
            <w:r>
              <w:rPr>
                <w:rFonts w:ascii="Arial" w:eastAsia="宋体" w:hAnsi="Arial" w:cs="Arial"/>
                <w:color w:val="000000"/>
                <w:sz w:val="15"/>
                <w:szCs w:val="15"/>
              </w:rPr>
              <w:t>Exchange-traded fund flows, net</w:t>
            </w:r>
          </w:p>
        </w:tc>
        <w:tc>
          <w:tcPr>
            <w:tcW w:w="0" w:type="auto"/>
            <w:gridSpan w:val="2"/>
            <w:shd w:val="clear" w:color="auto" w:fill="CCEEFF"/>
            <w:tcMar>
              <w:top w:w="40" w:type="dxa"/>
              <w:left w:w="20" w:type="dxa"/>
              <w:bottom w:w="40" w:type="dxa"/>
              <w:right w:w="0" w:type="dxa"/>
            </w:tcMar>
            <w:vAlign w:val="bottom"/>
          </w:tcPr>
          <w:p w14:paraId="74DD820C" w14:textId="77777777" w:rsidR="00584EC1" w:rsidRDefault="00871F8D">
            <w:pPr>
              <w:jc w:val="right"/>
              <w:textAlignment w:val="bottom"/>
            </w:pPr>
            <w:r>
              <w:rPr>
                <w:rFonts w:ascii="Arial" w:eastAsia="宋体" w:hAnsi="Arial" w:cs="Arial"/>
                <w:color w:val="000000"/>
                <w:sz w:val="15"/>
                <w:szCs w:val="15"/>
              </w:rPr>
              <w:t>(4)</w:t>
            </w:r>
          </w:p>
        </w:tc>
        <w:tc>
          <w:tcPr>
            <w:tcW w:w="0" w:type="auto"/>
            <w:shd w:val="clear" w:color="auto" w:fill="CCEEFF"/>
            <w:tcMar>
              <w:top w:w="40" w:type="dxa"/>
              <w:left w:w="0" w:type="dxa"/>
              <w:bottom w:w="40" w:type="dxa"/>
              <w:right w:w="20" w:type="dxa"/>
            </w:tcMar>
            <w:vAlign w:val="bottom"/>
          </w:tcPr>
          <w:p w14:paraId="74DD820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20E"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20F"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821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21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212"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821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214"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215"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821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21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218" w14:textId="77777777" w:rsidR="00584EC1" w:rsidRDefault="00871F8D">
            <w:pPr>
              <w:jc w:val="right"/>
              <w:textAlignment w:val="bottom"/>
            </w:pPr>
            <w:r>
              <w:rPr>
                <w:rFonts w:ascii="Arial" w:eastAsia="宋体" w:hAnsi="Arial" w:cs="Arial"/>
                <w:color w:val="000000"/>
                <w:sz w:val="15"/>
                <w:szCs w:val="15"/>
              </w:rPr>
              <w:t>5 </w:t>
            </w:r>
          </w:p>
        </w:tc>
        <w:tc>
          <w:tcPr>
            <w:tcW w:w="0" w:type="auto"/>
            <w:shd w:val="clear" w:color="auto" w:fill="CCEEFF"/>
            <w:tcMar>
              <w:top w:w="40" w:type="dxa"/>
              <w:left w:w="0" w:type="dxa"/>
              <w:bottom w:w="40" w:type="dxa"/>
              <w:right w:w="20" w:type="dxa"/>
            </w:tcMar>
            <w:vAlign w:val="bottom"/>
          </w:tcPr>
          <w:p w14:paraId="74DD821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21A"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21B" w14:textId="77777777" w:rsidR="00584EC1" w:rsidRDefault="00871F8D">
            <w:pPr>
              <w:jc w:val="right"/>
              <w:textAlignment w:val="bottom"/>
            </w:pPr>
            <w:r>
              <w:rPr>
                <w:rFonts w:ascii="Arial" w:eastAsia="宋体" w:hAnsi="Arial" w:cs="Arial"/>
                <w:color w:val="000000"/>
                <w:sz w:val="15"/>
                <w:szCs w:val="15"/>
              </w:rPr>
              <w:t>1 </w:t>
            </w:r>
          </w:p>
        </w:tc>
        <w:tc>
          <w:tcPr>
            <w:tcW w:w="0" w:type="auto"/>
            <w:shd w:val="clear" w:color="auto" w:fill="CCEEFF"/>
            <w:tcMar>
              <w:top w:w="40" w:type="dxa"/>
              <w:left w:w="0" w:type="dxa"/>
              <w:bottom w:w="40" w:type="dxa"/>
              <w:right w:w="20" w:type="dxa"/>
            </w:tcMar>
            <w:vAlign w:val="bottom"/>
          </w:tcPr>
          <w:p w14:paraId="74DD821C" w14:textId="77777777" w:rsidR="00584EC1" w:rsidRDefault="00584EC1">
            <w:pPr>
              <w:jc w:val="right"/>
              <w:rPr>
                <w:rFonts w:ascii="宋体"/>
              </w:rPr>
            </w:pPr>
          </w:p>
        </w:tc>
        <w:tc>
          <w:tcPr>
            <w:tcW w:w="0" w:type="auto"/>
            <w:shd w:val="clear" w:color="auto" w:fill="auto"/>
            <w:vAlign w:val="bottom"/>
          </w:tcPr>
          <w:p w14:paraId="74DD821D" w14:textId="77777777" w:rsidR="00584EC1" w:rsidRDefault="00584EC1">
            <w:pPr>
              <w:rPr>
                <w:rFonts w:ascii="宋体"/>
                <w:vanish/>
              </w:rPr>
            </w:pPr>
          </w:p>
        </w:tc>
      </w:tr>
      <w:tr w:rsidR="00584EC1" w14:paraId="74DD8232" w14:textId="77777777">
        <w:tc>
          <w:tcPr>
            <w:tcW w:w="0" w:type="auto"/>
            <w:gridSpan w:val="3"/>
            <w:shd w:val="clear" w:color="auto" w:fill="FFFFFF"/>
            <w:tcMar>
              <w:top w:w="40" w:type="dxa"/>
              <w:left w:w="20" w:type="dxa"/>
              <w:bottom w:w="40" w:type="dxa"/>
              <w:right w:w="20" w:type="dxa"/>
            </w:tcMar>
            <w:vAlign w:val="bottom"/>
          </w:tcPr>
          <w:p w14:paraId="74DD821F" w14:textId="77777777" w:rsidR="00584EC1" w:rsidRDefault="00871F8D">
            <w:pPr>
              <w:textAlignment w:val="bottom"/>
            </w:pPr>
            <w:r>
              <w:rPr>
                <w:rFonts w:ascii="Arial" w:eastAsia="宋体" w:hAnsi="Arial" w:cs="Arial"/>
                <w:color w:val="000000"/>
                <w:sz w:val="15"/>
                <w:szCs w:val="15"/>
              </w:rPr>
              <w:t>Cash fund flows, net</w:t>
            </w:r>
          </w:p>
        </w:tc>
        <w:tc>
          <w:tcPr>
            <w:tcW w:w="0" w:type="auto"/>
            <w:gridSpan w:val="2"/>
            <w:shd w:val="clear" w:color="auto" w:fill="FFFFFF"/>
            <w:tcMar>
              <w:top w:w="40" w:type="dxa"/>
              <w:left w:w="20" w:type="dxa"/>
              <w:bottom w:w="40" w:type="dxa"/>
              <w:right w:w="0" w:type="dxa"/>
            </w:tcMar>
            <w:vAlign w:val="bottom"/>
          </w:tcPr>
          <w:p w14:paraId="74DD8220"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822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22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223"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822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225"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226" w14:textId="77777777" w:rsidR="00584EC1" w:rsidRDefault="00871F8D">
            <w:pPr>
              <w:jc w:val="right"/>
              <w:textAlignment w:val="bottom"/>
            </w:pPr>
            <w:r>
              <w:rPr>
                <w:rFonts w:ascii="Arial" w:eastAsia="宋体" w:hAnsi="Arial" w:cs="Arial"/>
                <w:color w:val="000000"/>
                <w:sz w:val="15"/>
                <w:szCs w:val="15"/>
              </w:rPr>
              <w:t>(58)</w:t>
            </w:r>
          </w:p>
        </w:tc>
        <w:tc>
          <w:tcPr>
            <w:tcW w:w="0" w:type="auto"/>
            <w:shd w:val="clear" w:color="auto" w:fill="FFFFFF"/>
            <w:tcMar>
              <w:top w:w="40" w:type="dxa"/>
              <w:left w:w="0" w:type="dxa"/>
              <w:bottom w:w="40" w:type="dxa"/>
              <w:right w:w="20" w:type="dxa"/>
            </w:tcMar>
            <w:vAlign w:val="bottom"/>
          </w:tcPr>
          <w:p w14:paraId="74DD822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228"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229"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822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22B"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22C"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822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22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22F" w14:textId="77777777" w:rsidR="00584EC1" w:rsidRDefault="00871F8D">
            <w:pPr>
              <w:jc w:val="right"/>
              <w:textAlignment w:val="bottom"/>
            </w:pPr>
            <w:r>
              <w:rPr>
                <w:rFonts w:ascii="Arial" w:eastAsia="宋体" w:hAnsi="Arial" w:cs="Arial"/>
                <w:color w:val="000000"/>
                <w:sz w:val="15"/>
                <w:szCs w:val="15"/>
              </w:rPr>
              <w:t>(58)</w:t>
            </w:r>
          </w:p>
        </w:tc>
        <w:tc>
          <w:tcPr>
            <w:tcW w:w="0" w:type="auto"/>
            <w:shd w:val="clear" w:color="auto" w:fill="FFFFFF"/>
            <w:tcMar>
              <w:top w:w="40" w:type="dxa"/>
              <w:left w:w="0" w:type="dxa"/>
              <w:bottom w:w="40" w:type="dxa"/>
              <w:right w:w="20" w:type="dxa"/>
            </w:tcMar>
            <w:vAlign w:val="bottom"/>
          </w:tcPr>
          <w:p w14:paraId="74DD8230" w14:textId="77777777" w:rsidR="00584EC1" w:rsidRDefault="00584EC1">
            <w:pPr>
              <w:jc w:val="right"/>
              <w:rPr>
                <w:rFonts w:ascii="宋体"/>
              </w:rPr>
            </w:pPr>
          </w:p>
        </w:tc>
        <w:tc>
          <w:tcPr>
            <w:tcW w:w="0" w:type="auto"/>
            <w:shd w:val="clear" w:color="auto" w:fill="auto"/>
            <w:vAlign w:val="bottom"/>
          </w:tcPr>
          <w:p w14:paraId="74DD8231" w14:textId="77777777" w:rsidR="00584EC1" w:rsidRDefault="00584EC1">
            <w:pPr>
              <w:rPr>
                <w:rFonts w:ascii="宋体"/>
                <w:vanish/>
              </w:rPr>
            </w:pPr>
          </w:p>
        </w:tc>
      </w:tr>
      <w:tr w:rsidR="00584EC1" w14:paraId="74DD8246" w14:textId="77777777">
        <w:tc>
          <w:tcPr>
            <w:tcW w:w="0" w:type="auto"/>
            <w:gridSpan w:val="3"/>
            <w:shd w:val="clear" w:color="auto" w:fill="CCEEFF"/>
            <w:tcMar>
              <w:top w:w="40" w:type="dxa"/>
              <w:left w:w="20" w:type="dxa"/>
              <w:bottom w:w="40" w:type="dxa"/>
              <w:right w:w="20" w:type="dxa"/>
            </w:tcMar>
            <w:vAlign w:val="bottom"/>
          </w:tcPr>
          <w:p w14:paraId="74DD8233" w14:textId="77777777" w:rsidR="00584EC1" w:rsidRDefault="00871F8D">
            <w:pPr>
              <w:textAlignment w:val="bottom"/>
            </w:pPr>
            <w:r>
              <w:rPr>
                <w:rFonts w:ascii="Arial" w:eastAsia="宋体" w:hAnsi="Arial" w:cs="Arial"/>
                <w:color w:val="000000"/>
                <w:sz w:val="15"/>
                <w:szCs w:val="15"/>
              </w:rPr>
              <w:t>Total flows, net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8234" w14:textId="77777777" w:rsidR="00584EC1" w:rsidRDefault="00871F8D">
            <w:pPr>
              <w:jc w:val="right"/>
              <w:textAlignment w:val="bottom"/>
            </w:pPr>
            <w:r>
              <w:rPr>
                <w:rFonts w:ascii="Arial" w:eastAsia="宋体" w:hAnsi="Arial" w:cs="Arial"/>
                <w:color w:val="000000"/>
                <w:sz w:val="15"/>
                <w:szCs w:val="15"/>
              </w:rPr>
              <w:t>(26)</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23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236"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8237" w14:textId="77777777" w:rsidR="00584EC1" w:rsidRDefault="00871F8D">
            <w:pPr>
              <w:jc w:val="right"/>
              <w:textAlignment w:val="bottom"/>
            </w:pPr>
            <w:r>
              <w:rPr>
                <w:rFonts w:ascii="Arial" w:eastAsia="宋体" w:hAnsi="Arial" w:cs="Arial"/>
                <w:color w:val="000000"/>
                <w:sz w:val="15"/>
                <w:szCs w:val="15"/>
              </w:rPr>
              <w:t>17 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23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239"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823A" w14:textId="77777777" w:rsidR="00584EC1" w:rsidRDefault="00871F8D">
            <w:pPr>
              <w:jc w:val="right"/>
              <w:textAlignment w:val="bottom"/>
            </w:pPr>
            <w:r>
              <w:rPr>
                <w:rFonts w:ascii="Arial" w:eastAsia="宋体" w:hAnsi="Arial" w:cs="Arial"/>
                <w:color w:val="000000"/>
                <w:sz w:val="15"/>
                <w:szCs w:val="15"/>
              </w:rPr>
              <w:t>(58)</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23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23C"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823D" w14:textId="77777777" w:rsidR="00584EC1" w:rsidRDefault="00871F8D">
            <w:pPr>
              <w:jc w:val="right"/>
              <w:textAlignment w:val="bottom"/>
            </w:pPr>
            <w:r>
              <w:rPr>
                <w:rFonts w:ascii="Arial" w:eastAsia="宋体" w:hAnsi="Arial" w:cs="Arial"/>
                <w:color w:val="000000"/>
                <w:sz w:val="15"/>
                <w:szCs w:val="15"/>
              </w:rPr>
              <w:t>2 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23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23F"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8240" w14:textId="77777777" w:rsidR="00584EC1" w:rsidRDefault="00871F8D">
            <w:pPr>
              <w:jc w:val="right"/>
              <w:textAlignment w:val="bottom"/>
            </w:pP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24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242"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8243" w14:textId="77777777" w:rsidR="00584EC1" w:rsidRDefault="00871F8D">
            <w:pPr>
              <w:jc w:val="right"/>
              <w:textAlignment w:val="bottom"/>
            </w:pPr>
            <w:r>
              <w:rPr>
                <w:rFonts w:ascii="Arial" w:eastAsia="宋体" w:hAnsi="Arial" w:cs="Arial"/>
                <w:color w:val="000000"/>
                <w:sz w:val="15"/>
                <w:szCs w:val="15"/>
              </w:rPr>
              <w:t>(65)</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244" w14:textId="77777777" w:rsidR="00584EC1" w:rsidRDefault="00584EC1">
            <w:pPr>
              <w:jc w:val="right"/>
              <w:rPr>
                <w:rFonts w:ascii="宋体"/>
              </w:rPr>
            </w:pPr>
          </w:p>
        </w:tc>
        <w:tc>
          <w:tcPr>
            <w:tcW w:w="0" w:type="auto"/>
            <w:shd w:val="clear" w:color="auto" w:fill="auto"/>
            <w:vAlign w:val="bottom"/>
          </w:tcPr>
          <w:p w14:paraId="74DD8245" w14:textId="77777777" w:rsidR="00584EC1" w:rsidRDefault="00584EC1">
            <w:pPr>
              <w:rPr>
                <w:rFonts w:ascii="宋体"/>
                <w:vanish/>
              </w:rPr>
            </w:pPr>
          </w:p>
        </w:tc>
      </w:tr>
      <w:tr w:rsidR="00584EC1" w14:paraId="74DD825A" w14:textId="77777777">
        <w:tc>
          <w:tcPr>
            <w:tcW w:w="0" w:type="auto"/>
            <w:gridSpan w:val="3"/>
            <w:shd w:val="clear" w:color="auto" w:fill="FFFFFF"/>
            <w:tcMar>
              <w:top w:w="40" w:type="dxa"/>
              <w:left w:w="155" w:type="dxa"/>
              <w:bottom w:w="40" w:type="dxa"/>
              <w:right w:w="20" w:type="dxa"/>
            </w:tcMar>
            <w:vAlign w:val="bottom"/>
          </w:tcPr>
          <w:p w14:paraId="74DD8247" w14:textId="77777777" w:rsidR="00584EC1" w:rsidRDefault="00871F8D">
            <w:pPr>
              <w:textAlignment w:val="bottom"/>
            </w:pPr>
            <w:r>
              <w:rPr>
                <w:rFonts w:ascii="Arial" w:eastAsia="宋体" w:hAnsi="Arial" w:cs="Arial"/>
                <w:color w:val="000000"/>
                <w:sz w:val="15"/>
                <w:szCs w:val="15"/>
              </w:rPr>
              <w:t>Market appreciation (depreciation)</w:t>
            </w:r>
          </w:p>
        </w:tc>
        <w:tc>
          <w:tcPr>
            <w:tcW w:w="0" w:type="auto"/>
            <w:gridSpan w:val="2"/>
            <w:shd w:val="clear" w:color="auto" w:fill="FFFFFF"/>
            <w:tcMar>
              <w:top w:w="40" w:type="dxa"/>
              <w:left w:w="20" w:type="dxa"/>
              <w:bottom w:w="40" w:type="dxa"/>
              <w:right w:w="0" w:type="dxa"/>
            </w:tcMar>
            <w:vAlign w:val="bottom"/>
          </w:tcPr>
          <w:p w14:paraId="74DD8248" w14:textId="77777777" w:rsidR="00584EC1" w:rsidRDefault="00871F8D">
            <w:pPr>
              <w:jc w:val="right"/>
              <w:textAlignment w:val="bottom"/>
            </w:pPr>
            <w:r>
              <w:rPr>
                <w:rFonts w:ascii="Arial" w:eastAsia="宋体" w:hAnsi="Arial" w:cs="Arial"/>
                <w:color w:val="000000"/>
                <w:sz w:val="15"/>
                <w:szCs w:val="15"/>
              </w:rPr>
              <w:t>124 </w:t>
            </w:r>
          </w:p>
        </w:tc>
        <w:tc>
          <w:tcPr>
            <w:tcW w:w="0" w:type="auto"/>
            <w:shd w:val="clear" w:color="auto" w:fill="FFFFFF"/>
            <w:tcMar>
              <w:top w:w="40" w:type="dxa"/>
              <w:left w:w="0" w:type="dxa"/>
              <w:bottom w:w="40" w:type="dxa"/>
              <w:right w:w="20" w:type="dxa"/>
            </w:tcMar>
            <w:vAlign w:val="bottom"/>
          </w:tcPr>
          <w:p w14:paraId="74DD824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24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24B" w14:textId="77777777" w:rsidR="00584EC1" w:rsidRDefault="00871F8D">
            <w:pPr>
              <w:jc w:val="right"/>
              <w:textAlignment w:val="bottom"/>
            </w:pPr>
            <w:r>
              <w:rPr>
                <w:rFonts w:ascii="Arial" w:eastAsia="宋体" w:hAnsi="Arial" w:cs="Arial"/>
                <w:color w:val="000000"/>
                <w:sz w:val="15"/>
                <w:szCs w:val="15"/>
              </w:rPr>
              <w:t>(5)</w:t>
            </w:r>
          </w:p>
        </w:tc>
        <w:tc>
          <w:tcPr>
            <w:tcW w:w="0" w:type="auto"/>
            <w:shd w:val="clear" w:color="auto" w:fill="FFFFFF"/>
            <w:tcMar>
              <w:top w:w="40" w:type="dxa"/>
              <w:left w:w="0" w:type="dxa"/>
              <w:bottom w:w="40" w:type="dxa"/>
              <w:right w:w="20" w:type="dxa"/>
            </w:tcMar>
            <w:vAlign w:val="bottom"/>
          </w:tcPr>
          <w:p w14:paraId="74DD824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24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24E" w14:textId="77777777" w:rsidR="00584EC1" w:rsidRDefault="00871F8D">
            <w:pPr>
              <w:jc w:val="right"/>
              <w:textAlignment w:val="bottom"/>
            </w:pPr>
            <w:r>
              <w:rPr>
                <w:rFonts w:ascii="Arial" w:eastAsia="宋体" w:hAnsi="Arial" w:cs="Arial"/>
                <w:color w:val="000000"/>
                <w:sz w:val="15"/>
                <w:szCs w:val="15"/>
              </w:rPr>
              <w:t>2 </w:t>
            </w:r>
          </w:p>
        </w:tc>
        <w:tc>
          <w:tcPr>
            <w:tcW w:w="0" w:type="auto"/>
            <w:shd w:val="clear" w:color="auto" w:fill="FFFFFF"/>
            <w:tcMar>
              <w:top w:w="40" w:type="dxa"/>
              <w:left w:w="0" w:type="dxa"/>
              <w:bottom w:w="40" w:type="dxa"/>
              <w:right w:w="20" w:type="dxa"/>
            </w:tcMar>
            <w:vAlign w:val="bottom"/>
          </w:tcPr>
          <w:p w14:paraId="74DD824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25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251" w14:textId="77777777" w:rsidR="00584EC1" w:rsidRDefault="00871F8D">
            <w:pPr>
              <w:jc w:val="right"/>
              <w:textAlignment w:val="bottom"/>
            </w:pPr>
            <w:r>
              <w:rPr>
                <w:rFonts w:ascii="Arial" w:eastAsia="宋体" w:hAnsi="Arial" w:cs="Arial"/>
                <w:color w:val="000000"/>
                <w:sz w:val="15"/>
                <w:szCs w:val="15"/>
              </w:rPr>
              <w:t>4 </w:t>
            </w:r>
          </w:p>
        </w:tc>
        <w:tc>
          <w:tcPr>
            <w:tcW w:w="0" w:type="auto"/>
            <w:shd w:val="clear" w:color="auto" w:fill="FFFFFF"/>
            <w:tcMar>
              <w:top w:w="40" w:type="dxa"/>
              <w:left w:w="0" w:type="dxa"/>
              <w:bottom w:w="40" w:type="dxa"/>
              <w:right w:w="20" w:type="dxa"/>
            </w:tcMar>
            <w:vAlign w:val="bottom"/>
          </w:tcPr>
          <w:p w14:paraId="74DD825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25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254" w14:textId="77777777" w:rsidR="00584EC1" w:rsidRDefault="00871F8D">
            <w:pPr>
              <w:jc w:val="right"/>
              <w:textAlignment w:val="bottom"/>
            </w:pPr>
            <w:r>
              <w:rPr>
                <w:rFonts w:ascii="Arial" w:eastAsia="宋体" w:hAnsi="Arial" w:cs="Arial"/>
                <w:color w:val="000000"/>
                <w:sz w:val="15"/>
                <w:szCs w:val="15"/>
              </w:rPr>
              <w:t>11 </w:t>
            </w:r>
          </w:p>
        </w:tc>
        <w:tc>
          <w:tcPr>
            <w:tcW w:w="0" w:type="auto"/>
            <w:shd w:val="clear" w:color="auto" w:fill="FFFFFF"/>
            <w:tcMar>
              <w:top w:w="40" w:type="dxa"/>
              <w:left w:w="0" w:type="dxa"/>
              <w:bottom w:w="40" w:type="dxa"/>
              <w:right w:w="20" w:type="dxa"/>
            </w:tcMar>
            <w:vAlign w:val="bottom"/>
          </w:tcPr>
          <w:p w14:paraId="74DD825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25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257" w14:textId="77777777" w:rsidR="00584EC1" w:rsidRDefault="00871F8D">
            <w:pPr>
              <w:jc w:val="right"/>
              <w:textAlignment w:val="bottom"/>
            </w:pPr>
            <w:r>
              <w:rPr>
                <w:rFonts w:ascii="Arial" w:eastAsia="宋体" w:hAnsi="Arial" w:cs="Arial"/>
                <w:color w:val="000000"/>
                <w:sz w:val="15"/>
                <w:szCs w:val="15"/>
              </w:rPr>
              <w:t>136 </w:t>
            </w:r>
          </w:p>
        </w:tc>
        <w:tc>
          <w:tcPr>
            <w:tcW w:w="0" w:type="auto"/>
            <w:shd w:val="clear" w:color="auto" w:fill="FFFFFF"/>
            <w:tcMar>
              <w:top w:w="40" w:type="dxa"/>
              <w:left w:w="0" w:type="dxa"/>
              <w:bottom w:w="40" w:type="dxa"/>
              <w:right w:w="20" w:type="dxa"/>
            </w:tcMar>
            <w:vAlign w:val="bottom"/>
          </w:tcPr>
          <w:p w14:paraId="74DD8258" w14:textId="77777777" w:rsidR="00584EC1" w:rsidRDefault="00584EC1">
            <w:pPr>
              <w:jc w:val="right"/>
              <w:rPr>
                <w:rFonts w:ascii="宋体"/>
              </w:rPr>
            </w:pPr>
          </w:p>
        </w:tc>
        <w:tc>
          <w:tcPr>
            <w:tcW w:w="0" w:type="auto"/>
            <w:shd w:val="clear" w:color="auto" w:fill="auto"/>
            <w:vAlign w:val="bottom"/>
          </w:tcPr>
          <w:p w14:paraId="74DD8259" w14:textId="77777777" w:rsidR="00584EC1" w:rsidRDefault="00584EC1">
            <w:pPr>
              <w:rPr>
                <w:rFonts w:ascii="宋体"/>
                <w:vanish/>
              </w:rPr>
            </w:pPr>
          </w:p>
        </w:tc>
      </w:tr>
      <w:tr w:rsidR="00584EC1" w14:paraId="74DD826E" w14:textId="77777777">
        <w:tc>
          <w:tcPr>
            <w:tcW w:w="0" w:type="auto"/>
            <w:gridSpan w:val="3"/>
            <w:shd w:val="clear" w:color="auto" w:fill="CCEEFF"/>
            <w:tcMar>
              <w:top w:w="40" w:type="dxa"/>
              <w:left w:w="155" w:type="dxa"/>
              <w:bottom w:w="40" w:type="dxa"/>
              <w:right w:w="20" w:type="dxa"/>
            </w:tcMar>
            <w:vAlign w:val="bottom"/>
          </w:tcPr>
          <w:p w14:paraId="74DD825B" w14:textId="77777777" w:rsidR="00584EC1" w:rsidRDefault="00871F8D">
            <w:pPr>
              <w:textAlignment w:val="bottom"/>
            </w:pPr>
            <w:r>
              <w:rPr>
                <w:rFonts w:ascii="Arial" w:eastAsia="宋体" w:hAnsi="Arial" w:cs="Arial"/>
                <w:color w:val="000000"/>
                <w:sz w:val="15"/>
                <w:szCs w:val="15"/>
              </w:rPr>
              <w:t>Foreign exchange impact</w:t>
            </w:r>
          </w:p>
        </w:tc>
        <w:tc>
          <w:tcPr>
            <w:tcW w:w="0" w:type="auto"/>
            <w:gridSpan w:val="2"/>
            <w:shd w:val="clear" w:color="auto" w:fill="CCEEFF"/>
            <w:tcMar>
              <w:top w:w="40" w:type="dxa"/>
              <w:left w:w="20" w:type="dxa"/>
              <w:bottom w:w="40" w:type="dxa"/>
              <w:right w:w="0" w:type="dxa"/>
            </w:tcMar>
            <w:vAlign w:val="bottom"/>
          </w:tcPr>
          <w:p w14:paraId="74DD825C" w14:textId="77777777" w:rsidR="00584EC1" w:rsidRDefault="00871F8D">
            <w:pPr>
              <w:jc w:val="right"/>
              <w:textAlignment w:val="bottom"/>
            </w:pPr>
            <w:r>
              <w:rPr>
                <w:rFonts w:ascii="Arial" w:eastAsia="宋体" w:hAnsi="Arial" w:cs="Arial"/>
                <w:color w:val="000000"/>
                <w:sz w:val="15"/>
                <w:szCs w:val="15"/>
              </w:rPr>
              <w:t>15 </w:t>
            </w:r>
          </w:p>
        </w:tc>
        <w:tc>
          <w:tcPr>
            <w:tcW w:w="0" w:type="auto"/>
            <w:shd w:val="clear" w:color="auto" w:fill="CCEEFF"/>
            <w:tcMar>
              <w:top w:w="40" w:type="dxa"/>
              <w:left w:w="0" w:type="dxa"/>
              <w:bottom w:w="40" w:type="dxa"/>
              <w:right w:w="20" w:type="dxa"/>
            </w:tcMar>
            <w:vAlign w:val="bottom"/>
          </w:tcPr>
          <w:p w14:paraId="74DD825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25E"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25F" w14:textId="77777777" w:rsidR="00584EC1" w:rsidRDefault="00871F8D">
            <w:pPr>
              <w:jc w:val="right"/>
              <w:textAlignment w:val="bottom"/>
            </w:pPr>
            <w:r>
              <w:rPr>
                <w:rFonts w:ascii="Arial" w:eastAsia="宋体" w:hAnsi="Arial" w:cs="Arial"/>
                <w:color w:val="000000"/>
                <w:sz w:val="15"/>
                <w:szCs w:val="15"/>
              </w:rPr>
              <w:t>4 </w:t>
            </w:r>
          </w:p>
        </w:tc>
        <w:tc>
          <w:tcPr>
            <w:tcW w:w="0" w:type="auto"/>
            <w:shd w:val="clear" w:color="auto" w:fill="CCEEFF"/>
            <w:tcMar>
              <w:top w:w="40" w:type="dxa"/>
              <w:left w:w="0" w:type="dxa"/>
              <w:bottom w:w="40" w:type="dxa"/>
              <w:right w:w="20" w:type="dxa"/>
            </w:tcMar>
            <w:vAlign w:val="bottom"/>
          </w:tcPr>
          <w:p w14:paraId="74DD826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26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262" w14:textId="77777777" w:rsidR="00584EC1" w:rsidRDefault="00871F8D">
            <w:pPr>
              <w:jc w:val="right"/>
              <w:textAlignment w:val="bottom"/>
            </w:pPr>
            <w:r>
              <w:rPr>
                <w:rFonts w:ascii="Arial" w:eastAsia="宋体" w:hAnsi="Arial" w:cs="Arial"/>
                <w:color w:val="000000"/>
                <w:sz w:val="15"/>
                <w:szCs w:val="15"/>
              </w:rPr>
              <w:t>1 </w:t>
            </w:r>
          </w:p>
        </w:tc>
        <w:tc>
          <w:tcPr>
            <w:tcW w:w="0" w:type="auto"/>
            <w:shd w:val="clear" w:color="auto" w:fill="CCEEFF"/>
            <w:tcMar>
              <w:top w:w="40" w:type="dxa"/>
              <w:left w:w="0" w:type="dxa"/>
              <w:bottom w:w="40" w:type="dxa"/>
              <w:right w:w="20" w:type="dxa"/>
            </w:tcMar>
            <w:vAlign w:val="bottom"/>
          </w:tcPr>
          <w:p w14:paraId="74DD826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264"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265" w14:textId="77777777" w:rsidR="00584EC1" w:rsidRDefault="00871F8D">
            <w:pPr>
              <w:jc w:val="right"/>
              <w:textAlignment w:val="bottom"/>
            </w:pPr>
            <w:r>
              <w:rPr>
                <w:rFonts w:ascii="Arial" w:eastAsia="宋体" w:hAnsi="Arial" w:cs="Arial"/>
                <w:color w:val="000000"/>
                <w:sz w:val="15"/>
                <w:szCs w:val="15"/>
              </w:rPr>
              <w:t>1 </w:t>
            </w:r>
          </w:p>
        </w:tc>
        <w:tc>
          <w:tcPr>
            <w:tcW w:w="0" w:type="auto"/>
            <w:shd w:val="clear" w:color="auto" w:fill="CCEEFF"/>
            <w:tcMar>
              <w:top w:w="40" w:type="dxa"/>
              <w:left w:w="0" w:type="dxa"/>
              <w:bottom w:w="40" w:type="dxa"/>
              <w:right w:w="20" w:type="dxa"/>
            </w:tcMar>
            <w:vAlign w:val="bottom"/>
          </w:tcPr>
          <w:p w14:paraId="74DD826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26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268" w14:textId="77777777" w:rsidR="00584EC1" w:rsidRDefault="00871F8D">
            <w:pPr>
              <w:jc w:val="right"/>
              <w:textAlignment w:val="bottom"/>
            </w:pPr>
            <w:r>
              <w:rPr>
                <w:rFonts w:ascii="Arial" w:eastAsia="宋体" w:hAnsi="Arial" w:cs="Arial"/>
                <w:color w:val="000000"/>
                <w:sz w:val="15"/>
                <w:szCs w:val="15"/>
              </w:rPr>
              <w:t>2 </w:t>
            </w:r>
          </w:p>
        </w:tc>
        <w:tc>
          <w:tcPr>
            <w:tcW w:w="0" w:type="auto"/>
            <w:shd w:val="clear" w:color="auto" w:fill="CCEEFF"/>
            <w:tcMar>
              <w:top w:w="40" w:type="dxa"/>
              <w:left w:w="0" w:type="dxa"/>
              <w:bottom w:w="40" w:type="dxa"/>
              <w:right w:w="20" w:type="dxa"/>
            </w:tcMar>
            <w:vAlign w:val="bottom"/>
          </w:tcPr>
          <w:p w14:paraId="74DD826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26A"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26B" w14:textId="77777777" w:rsidR="00584EC1" w:rsidRDefault="00871F8D">
            <w:pPr>
              <w:jc w:val="right"/>
              <w:textAlignment w:val="bottom"/>
            </w:pPr>
            <w:r>
              <w:rPr>
                <w:rFonts w:ascii="Arial" w:eastAsia="宋体" w:hAnsi="Arial" w:cs="Arial"/>
                <w:color w:val="000000"/>
                <w:sz w:val="15"/>
                <w:szCs w:val="15"/>
              </w:rPr>
              <w:t>23 </w:t>
            </w:r>
          </w:p>
        </w:tc>
        <w:tc>
          <w:tcPr>
            <w:tcW w:w="0" w:type="auto"/>
            <w:shd w:val="clear" w:color="auto" w:fill="CCEEFF"/>
            <w:tcMar>
              <w:top w:w="40" w:type="dxa"/>
              <w:left w:w="0" w:type="dxa"/>
              <w:bottom w:w="40" w:type="dxa"/>
              <w:right w:w="20" w:type="dxa"/>
            </w:tcMar>
            <w:vAlign w:val="bottom"/>
          </w:tcPr>
          <w:p w14:paraId="74DD826C" w14:textId="77777777" w:rsidR="00584EC1" w:rsidRDefault="00584EC1">
            <w:pPr>
              <w:jc w:val="right"/>
              <w:rPr>
                <w:rFonts w:ascii="宋体"/>
              </w:rPr>
            </w:pPr>
          </w:p>
        </w:tc>
        <w:tc>
          <w:tcPr>
            <w:tcW w:w="0" w:type="auto"/>
            <w:shd w:val="clear" w:color="auto" w:fill="auto"/>
            <w:vAlign w:val="bottom"/>
          </w:tcPr>
          <w:p w14:paraId="74DD826D" w14:textId="77777777" w:rsidR="00584EC1" w:rsidRDefault="00584EC1">
            <w:pPr>
              <w:rPr>
                <w:rFonts w:ascii="宋体"/>
                <w:vanish/>
              </w:rPr>
            </w:pPr>
          </w:p>
        </w:tc>
      </w:tr>
      <w:tr w:rsidR="00584EC1" w14:paraId="74DD8282" w14:textId="77777777">
        <w:tc>
          <w:tcPr>
            <w:tcW w:w="0" w:type="auto"/>
            <w:gridSpan w:val="3"/>
            <w:shd w:val="clear" w:color="auto" w:fill="FFFFFF"/>
            <w:tcMar>
              <w:top w:w="40" w:type="dxa"/>
              <w:left w:w="20" w:type="dxa"/>
              <w:bottom w:w="40" w:type="dxa"/>
              <w:right w:w="20" w:type="dxa"/>
            </w:tcMar>
            <w:vAlign w:val="bottom"/>
          </w:tcPr>
          <w:p w14:paraId="74DD826F" w14:textId="77777777" w:rsidR="00584EC1" w:rsidRDefault="00871F8D">
            <w:pPr>
              <w:textAlignment w:val="bottom"/>
            </w:pPr>
            <w:r>
              <w:rPr>
                <w:rFonts w:ascii="Arial" w:eastAsia="宋体" w:hAnsi="Arial" w:cs="Arial"/>
                <w:color w:val="000000"/>
                <w:sz w:val="15"/>
                <w:szCs w:val="15"/>
              </w:rPr>
              <w:t>Total market/foreign exchange impact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8270" w14:textId="77777777" w:rsidR="00584EC1" w:rsidRDefault="00871F8D">
            <w:pPr>
              <w:jc w:val="right"/>
              <w:textAlignment w:val="bottom"/>
            </w:pPr>
            <w:r>
              <w:rPr>
                <w:rFonts w:ascii="Arial" w:eastAsia="宋体" w:hAnsi="Arial" w:cs="Arial"/>
                <w:color w:val="000000"/>
                <w:sz w:val="15"/>
                <w:szCs w:val="15"/>
              </w:rPr>
              <w:t>139 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827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272"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8273" w14:textId="77777777" w:rsidR="00584EC1" w:rsidRDefault="00871F8D">
            <w:pPr>
              <w:jc w:val="right"/>
              <w:textAlignment w:val="bottom"/>
            </w:pPr>
            <w:r>
              <w:rPr>
                <w:rFonts w:ascii="Arial" w:eastAsia="宋体" w:hAnsi="Arial" w:cs="Arial"/>
                <w:color w:val="000000"/>
                <w:sz w:val="15"/>
                <w:szCs w:val="15"/>
              </w:rPr>
              <w:t>(1)</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827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275"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8276" w14:textId="77777777" w:rsidR="00584EC1" w:rsidRDefault="00871F8D">
            <w:pPr>
              <w:jc w:val="right"/>
              <w:textAlignment w:val="bottom"/>
            </w:pPr>
            <w:r>
              <w:rPr>
                <w:rFonts w:ascii="Arial" w:eastAsia="宋体" w:hAnsi="Arial" w:cs="Arial"/>
                <w:color w:val="000000"/>
                <w:sz w:val="15"/>
                <w:szCs w:val="15"/>
              </w:rPr>
              <w:t>3 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827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278"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8279" w14:textId="77777777" w:rsidR="00584EC1" w:rsidRDefault="00871F8D">
            <w:pPr>
              <w:jc w:val="right"/>
              <w:textAlignment w:val="bottom"/>
            </w:pPr>
            <w:r>
              <w:rPr>
                <w:rFonts w:ascii="Arial" w:eastAsia="宋体" w:hAnsi="Arial" w:cs="Arial"/>
                <w:color w:val="000000"/>
                <w:sz w:val="15"/>
                <w:szCs w:val="15"/>
              </w:rPr>
              <w:t>5 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827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27B"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827C" w14:textId="77777777" w:rsidR="00584EC1" w:rsidRDefault="00871F8D">
            <w:pPr>
              <w:jc w:val="right"/>
              <w:textAlignment w:val="bottom"/>
            </w:pPr>
            <w:r>
              <w:rPr>
                <w:rFonts w:ascii="Arial" w:eastAsia="宋体" w:hAnsi="Arial" w:cs="Arial"/>
                <w:color w:val="000000"/>
                <w:sz w:val="15"/>
                <w:szCs w:val="15"/>
              </w:rPr>
              <w:t>13 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827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27E"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827F" w14:textId="77777777" w:rsidR="00584EC1" w:rsidRDefault="00871F8D">
            <w:pPr>
              <w:jc w:val="right"/>
              <w:textAlignment w:val="bottom"/>
            </w:pPr>
            <w:r>
              <w:rPr>
                <w:rFonts w:ascii="Arial" w:eastAsia="宋体" w:hAnsi="Arial" w:cs="Arial"/>
                <w:color w:val="000000"/>
                <w:sz w:val="15"/>
                <w:szCs w:val="15"/>
              </w:rPr>
              <w:t>159 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8280" w14:textId="77777777" w:rsidR="00584EC1" w:rsidRDefault="00584EC1">
            <w:pPr>
              <w:jc w:val="right"/>
              <w:rPr>
                <w:rFonts w:ascii="宋体"/>
              </w:rPr>
            </w:pPr>
          </w:p>
        </w:tc>
        <w:tc>
          <w:tcPr>
            <w:tcW w:w="0" w:type="auto"/>
            <w:shd w:val="clear" w:color="auto" w:fill="auto"/>
            <w:vAlign w:val="bottom"/>
          </w:tcPr>
          <w:p w14:paraId="74DD8281" w14:textId="77777777" w:rsidR="00584EC1" w:rsidRDefault="00584EC1">
            <w:pPr>
              <w:rPr>
                <w:rFonts w:ascii="宋体"/>
                <w:vanish/>
              </w:rPr>
            </w:pPr>
          </w:p>
        </w:tc>
      </w:tr>
      <w:tr w:rsidR="00584EC1" w14:paraId="74DD829C" w14:textId="77777777">
        <w:tc>
          <w:tcPr>
            <w:tcW w:w="0" w:type="auto"/>
            <w:gridSpan w:val="3"/>
            <w:shd w:val="clear" w:color="auto" w:fill="CCEEFF"/>
            <w:tcMar>
              <w:top w:w="40" w:type="dxa"/>
              <w:left w:w="20" w:type="dxa"/>
              <w:bottom w:w="40" w:type="dxa"/>
              <w:right w:w="20" w:type="dxa"/>
            </w:tcMar>
            <w:vAlign w:val="bottom"/>
          </w:tcPr>
          <w:p w14:paraId="74DD8283" w14:textId="77777777" w:rsidR="00584EC1" w:rsidRDefault="00871F8D">
            <w:pPr>
              <w:textAlignment w:val="bottom"/>
            </w:pPr>
            <w:r>
              <w:rPr>
                <w:rFonts w:ascii="Arial" w:eastAsia="宋体" w:hAnsi="Arial" w:cs="Arial"/>
                <w:b/>
                <w:bCs/>
                <w:color w:val="000000"/>
                <w:sz w:val="15"/>
                <w:szCs w:val="15"/>
              </w:rPr>
              <w:t>Balance as of September 30, 2020</w:t>
            </w:r>
          </w:p>
        </w:tc>
        <w:tc>
          <w:tcPr>
            <w:tcW w:w="0" w:type="auto"/>
            <w:tcBorders>
              <w:top w:val="single" w:sz="8" w:space="0" w:color="000000"/>
            </w:tcBorders>
            <w:shd w:val="clear" w:color="auto" w:fill="CCEEFF"/>
            <w:tcMar>
              <w:top w:w="40" w:type="dxa"/>
              <w:left w:w="20" w:type="dxa"/>
              <w:bottom w:w="40" w:type="dxa"/>
              <w:right w:w="0" w:type="dxa"/>
            </w:tcMar>
            <w:vAlign w:val="bottom"/>
          </w:tcPr>
          <w:p w14:paraId="74DD8284"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8285" w14:textId="77777777" w:rsidR="00584EC1" w:rsidRDefault="00871F8D">
            <w:pPr>
              <w:jc w:val="right"/>
              <w:textAlignment w:val="bottom"/>
            </w:pPr>
            <w:r>
              <w:rPr>
                <w:rFonts w:ascii="Arial" w:eastAsia="宋体" w:hAnsi="Arial" w:cs="Arial"/>
                <w:color w:val="000000"/>
                <w:sz w:val="15"/>
                <w:szCs w:val="15"/>
              </w:rPr>
              <w:t>1,958 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28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287"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8288"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8289" w14:textId="77777777" w:rsidR="00584EC1" w:rsidRDefault="00871F8D">
            <w:pPr>
              <w:jc w:val="right"/>
              <w:textAlignment w:val="bottom"/>
            </w:pPr>
            <w:r>
              <w:rPr>
                <w:rFonts w:ascii="Arial" w:eastAsia="宋体" w:hAnsi="Arial" w:cs="Arial"/>
                <w:color w:val="000000"/>
                <w:sz w:val="15"/>
                <w:szCs w:val="15"/>
              </w:rPr>
              <w:t>509 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28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28B"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828C"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828D" w14:textId="77777777" w:rsidR="00584EC1" w:rsidRDefault="00871F8D">
            <w:pPr>
              <w:jc w:val="right"/>
              <w:textAlignment w:val="bottom"/>
            </w:pPr>
            <w:r>
              <w:rPr>
                <w:rFonts w:ascii="Arial" w:eastAsia="宋体" w:hAnsi="Arial" w:cs="Arial"/>
                <w:color w:val="000000"/>
                <w:sz w:val="15"/>
                <w:szCs w:val="15"/>
              </w:rPr>
              <w:t>321 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28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28F"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8290"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8291" w14:textId="77777777" w:rsidR="00584EC1" w:rsidRDefault="00871F8D">
            <w:pPr>
              <w:jc w:val="right"/>
              <w:textAlignment w:val="bottom"/>
            </w:pPr>
            <w:r>
              <w:rPr>
                <w:rFonts w:ascii="Arial" w:eastAsia="宋体" w:hAnsi="Arial" w:cs="Arial"/>
                <w:color w:val="000000"/>
                <w:sz w:val="15"/>
                <w:szCs w:val="15"/>
              </w:rPr>
              <w:t>164 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29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293"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8294"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8295" w14:textId="77777777" w:rsidR="00584EC1" w:rsidRDefault="00871F8D">
            <w:pPr>
              <w:jc w:val="right"/>
              <w:textAlignment w:val="bottom"/>
            </w:pPr>
            <w:r>
              <w:rPr>
                <w:rFonts w:ascii="Arial" w:eastAsia="宋体" w:hAnsi="Arial" w:cs="Arial"/>
                <w:color w:val="000000"/>
                <w:sz w:val="15"/>
                <w:szCs w:val="15"/>
              </w:rPr>
              <w:t>196 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29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297"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8298"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8299" w14:textId="77777777" w:rsidR="00584EC1" w:rsidRDefault="00871F8D">
            <w:pPr>
              <w:jc w:val="right"/>
              <w:textAlignment w:val="bottom"/>
            </w:pPr>
            <w:r>
              <w:rPr>
                <w:rFonts w:ascii="Arial" w:eastAsia="宋体" w:hAnsi="Arial" w:cs="Arial"/>
                <w:color w:val="000000"/>
                <w:sz w:val="15"/>
                <w:szCs w:val="15"/>
              </w:rPr>
              <w:t>3,148 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29A" w14:textId="77777777" w:rsidR="00584EC1" w:rsidRDefault="00584EC1">
            <w:pPr>
              <w:jc w:val="right"/>
              <w:rPr>
                <w:rFonts w:ascii="宋体"/>
              </w:rPr>
            </w:pPr>
          </w:p>
        </w:tc>
        <w:tc>
          <w:tcPr>
            <w:tcW w:w="0" w:type="auto"/>
            <w:shd w:val="clear" w:color="auto" w:fill="auto"/>
            <w:vAlign w:val="bottom"/>
          </w:tcPr>
          <w:p w14:paraId="74DD829B" w14:textId="77777777" w:rsidR="00584EC1" w:rsidRDefault="00584EC1">
            <w:pPr>
              <w:rPr>
                <w:rFonts w:ascii="宋体"/>
                <w:vanish/>
              </w:rPr>
            </w:pPr>
          </w:p>
        </w:tc>
      </w:tr>
      <w:tr w:rsidR="00584EC1" w14:paraId="74DD82B6" w14:textId="77777777">
        <w:tc>
          <w:tcPr>
            <w:tcW w:w="0" w:type="auto"/>
            <w:gridSpan w:val="3"/>
            <w:shd w:val="clear" w:color="auto" w:fill="FFFFFF"/>
            <w:tcMar>
              <w:top w:w="40" w:type="dxa"/>
              <w:left w:w="20" w:type="dxa"/>
              <w:bottom w:w="40" w:type="dxa"/>
              <w:right w:w="20" w:type="dxa"/>
            </w:tcMar>
            <w:vAlign w:val="bottom"/>
          </w:tcPr>
          <w:p w14:paraId="74DD829D" w14:textId="77777777" w:rsidR="00584EC1" w:rsidRDefault="00871F8D">
            <w:pPr>
              <w:textAlignment w:val="bottom"/>
            </w:pPr>
            <w:r>
              <w:rPr>
                <w:rFonts w:ascii="Arial" w:eastAsia="宋体" w:hAnsi="Arial" w:cs="Arial"/>
                <w:b/>
                <w:bCs/>
                <w:color w:val="000000"/>
                <w:sz w:val="15"/>
                <w:szCs w:val="15"/>
              </w:rPr>
              <w:t>Balance as of December 31, 2020</w:t>
            </w:r>
          </w:p>
        </w:tc>
        <w:tc>
          <w:tcPr>
            <w:tcW w:w="0" w:type="auto"/>
            <w:tcBorders>
              <w:top w:val="double" w:sz="6" w:space="0" w:color="000000"/>
            </w:tcBorders>
            <w:shd w:val="clear" w:color="auto" w:fill="FFFFFF"/>
            <w:tcMar>
              <w:top w:w="40" w:type="dxa"/>
              <w:left w:w="20" w:type="dxa"/>
              <w:bottom w:w="40" w:type="dxa"/>
              <w:right w:w="0" w:type="dxa"/>
            </w:tcMar>
            <w:vAlign w:val="bottom"/>
          </w:tcPr>
          <w:p w14:paraId="74DD829E" w14:textId="77777777" w:rsidR="00584EC1" w:rsidRDefault="00871F8D">
            <w:pPr>
              <w:textAlignment w:val="bottom"/>
            </w:pPr>
            <w:r>
              <w:rPr>
                <w:rFonts w:ascii="Arial" w:eastAsia="宋体" w:hAnsi="Arial" w:cs="Arial"/>
                <w:color w:val="000000"/>
                <w:sz w:val="15"/>
                <w:szCs w:val="15"/>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74DD829F" w14:textId="77777777" w:rsidR="00584EC1" w:rsidRDefault="00871F8D">
            <w:pPr>
              <w:jc w:val="right"/>
              <w:textAlignment w:val="bottom"/>
            </w:pPr>
            <w:r>
              <w:rPr>
                <w:rFonts w:ascii="Arial" w:eastAsia="宋体" w:hAnsi="Arial" w:cs="Arial"/>
                <w:color w:val="000000"/>
                <w:sz w:val="15"/>
                <w:szCs w:val="15"/>
              </w:rPr>
              <w:t>2,171 </w:t>
            </w:r>
          </w:p>
        </w:tc>
        <w:tc>
          <w:tcPr>
            <w:tcW w:w="0" w:type="auto"/>
            <w:tcBorders>
              <w:top w:val="double" w:sz="6" w:space="0" w:color="000000"/>
            </w:tcBorders>
            <w:shd w:val="clear" w:color="auto" w:fill="FFFFFF"/>
            <w:tcMar>
              <w:top w:w="40" w:type="dxa"/>
              <w:left w:w="0" w:type="dxa"/>
              <w:bottom w:w="40" w:type="dxa"/>
              <w:right w:w="20" w:type="dxa"/>
            </w:tcMar>
            <w:vAlign w:val="bottom"/>
          </w:tcPr>
          <w:p w14:paraId="74DD82A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2A1" w14:textId="77777777" w:rsidR="00584EC1" w:rsidRDefault="00584EC1">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74DD82A2" w14:textId="77777777" w:rsidR="00584EC1" w:rsidRDefault="00871F8D">
            <w:pPr>
              <w:textAlignment w:val="bottom"/>
            </w:pPr>
            <w:r>
              <w:rPr>
                <w:rFonts w:ascii="Arial" w:eastAsia="宋体" w:hAnsi="Arial" w:cs="Arial"/>
                <w:color w:val="000000"/>
                <w:sz w:val="15"/>
                <w:szCs w:val="15"/>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74DD82A3" w14:textId="77777777" w:rsidR="00584EC1" w:rsidRDefault="00871F8D">
            <w:pPr>
              <w:jc w:val="right"/>
              <w:textAlignment w:val="bottom"/>
            </w:pPr>
            <w:r>
              <w:rPr>
                <w:rFonts w:ascii="Arial" w:eastAsia="宋体" w:hAnsi="Arial" w:cs="Arial"/>
                <w:color w:val="000000"/>
                <w:sz w:val="15"/>
                <w:szCs w:val="15"/>
              </w:rPr>
              <w:t>549 </w:t>
            </w:r>
          </w:p>
        </w:tc>
        <w:tc>
          <w:tcPr>
            <w:tcW w:w="0" w:type="auto"/>
            <w:tcBorders>
              <w:top w:val="double" w:sz="6" w:space="0" w:color="000000"/>
            </w:tcBorders>
            <w:shd w:val="clear" w:color="auto" w:fill="FFFFFF"/>
            <w:tcMar>
              <w:top w:w="40" w:type="dxa"/>
              <w:left w:w="0" w:type="dxa"/>
              <w:bottom w:w="40" w:type="dxa"/>
              <w:right w:w="20" w:type="dxa"/>
            </w:tcMar>
            <w:vAlign w:val="bottom"/>
          </w:tcPr>
          <w:p w14:paraId="74DD82A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2A5" w14:textId="77777777" w:rsidR="00584EC1" w:rsidRDefault="00584EC1">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74DD82A6" w14:textId="77777777" w:rsidR="00584EC1" w:rsidRDefault="00871F8D">
            <w:pPr>
              <w:textAlignment w:val="bottom"/>
            </w:pPr>
            <w:r>
              <w:rPr>
                <w:rFonts w:ascii="Arial" w:eastAsia="宋体" w:hAnsi="Arial" w:cs="Arial"/>
                <w:color w:val="000000"/>
                <w:sz w:val="15"/>
                <w:szCs w:val="15"/>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74DD82A7" w14:textId="77777777" w:rsidR="00584EC1" w:rsidRDefault="00871F8D">
            <w:pPr>
              <w:jc w:val="right"/>
              <w:textAlignment w:val="bottom"/>
            </w:pPr>
            <w:r>
              <w:rPr>
                <w:rFonts w:ascii="Arial" w:eastAsia="宋体" w:hAnsi="Arial" w:cs="Arial"/>
                <w:color w:val="000000"/>
                <w:sz w:val="15"/>
                <w:szCs w:val="15"/>
              </w:rPr>
              <w:t>349 </w:t>
            </w:r>
          </w:p>
        </w:tc>
        <w:tc>
          <w:tcPr>
            <w:tcW w:w="0" w:type="auto"/>
            <w:tcBorders>
              <w:top w:val="double" w:sz="6" w:space="0" w:color="000000"/>
            </w:tcBorders>
            <w:shd w:val="clear" w:color="auto" w:fill="FFFFFF"/>
            <w:tcMar>
              <w:top w:w="40" w:type="dxa"/>
              <w:left w:w="0" w:type="dxa"/>
              <w:bottom w:w="40" w:type="dxa"/>
              <w:right w:w="20" w:type="dxa"/>
            </w:tcMar>
            <w:vAlign w:val="bottom"/>
          </w:tcPr>
          <w:p w14:paraId="74DD82A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2A9" w14:textId="77777777" w:rsidR="00584EC1" w:rsidRDefault="00584EC1">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74DD82AA" w14:textId="77777777" w:rsidR="00584EC1" w:rsidRDefault="00871F8D">
            <w:pPr>
              <w:textAlignment w:val="bottom"/>
            </w:pPr>
            <w:r>
              <w:rPr>
                <w:rFonts w:ascii="Arial" w:eastAsia="宋体" w:hAnsi="Arial" w:cs="Arial"/>
                <w:color w:val="000000"/>
                <w:sz w:val="15"/>
                <w:szCs w:val="15"/>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74DD82AB" w14:textId="77777777" w:rsidR="00584EC1" w:rsidRDefault="00871F8D">
            <w:pPr>
              <w:jc w:val="right"/>
              <w:textAlignment w:val="bottom"/>
            </w:pPr>
            <w:r>
              <w:rPr>
                <w:rFonts w:ascii="Arial" w:eastAsia="宋体" w:hAnsi="Arial" w:cs="Arial"/>
                <w:color w:val="000000"/>
                <w:sz w:val="15"/>
                <w:szCs w:val="15"/>
              </w:rPr>
              <w:t>186 </w:t>
            </w:r>
          </w:p>
        </w:tc>
        <w:tc>
          <w:tcPr>
            <w:tcW w:w="0" w:type="auto"/>
            <w:tcBorders>
              <w:top w:val="double" w:sz="6" w:space="0" w:color="000000"/>
            </w:tcBorders>
            <w:shd w:val="clear" w:color="auto" w:fill="FFFFFF"/>
            <w:tcMar>
              <w:top w:w="40" w:type="dxa"/>
              <w:left w:w="0" w:type="dxa"/>
              <w:bottom w:w="40" w:type="dxa"/>
              <w:right w:w="20" w:type="dxa"/>
            </w:tcMar>
            <w:vAlign w:val="bottom"/>
          </w:tcPr>
          <w:p w14:paraId="74DD82A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2AD" w14:textId="77777777" w:rsidR="00584EC1" w:rsidRDefault="00584EC1">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74DD82AE" w14:textId="77777777" w:rsidR="00584EC1" w:rsidRDefault="00871F8D">
            <w:pPr>
              <w:textAlignment w:val="bottom"/>
            </w:pPr>
            <w:r>
              <w:rPr>
                <w:rFonts w:ascii="Arial" w:eastAsia="宋体" w:hAnsi="Arial" w:cs="Arial"/>
                <w:color w:val="000000"/>
                <w:sz w:val="15"/>
                <w:szCs w:val="15"/>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74DD82AF" w14:textId="77777777" w:rsidR="00584EC1" w:rsidRDefault="00871F8D">
            <w:pPr>
              <w:jc w:val="right"/>
              <w:textAlignment w:val="bottom"/>
            </w:pPr>
            <w:r>
              <w:rPr>
                <w:rFonts w:ascii="Arial" w:eastAsia="宋体" w:hAnsi="Arial" w:cs="Arial"/>
                <w:color w:val="000000"/>
                <w:sz w:val="15"/>
                <w:szCs w:val="15"/>
              </w:rPr>
              <w:t>212 </w:t>
            </w:r>
          </w:p>
        </w:tc>
        <w:tc>
          <w:tcPr>
            <w:tcW w:w="0" w:type="auto"/>
            <w:tcBorders>
              <w:top w:val="double" w:sz="6" w:space="0" w:color="000000"/>
            </w:tcBorders>
            <w:shd w:val="clear" w:color="auto" w:fill="FFFFFF"/>
            <w:tcMar>
              <w:top w:w="40" w:type="dxa"/>
              <w:left w:w="0" w:type="dxa"/>
              <w:bottom w:w="40" w:type="dxa"/>
              <w:right w:w="20" w:type="dxa"/>
            </w:tcMar>
            <w:vAlign w:val="bottom"/>
          </w:tcPr>
          <w:p w14:paraId="74DD82B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2B1" w14:textId="77777777" w:rsidR="00584EC1" w:rsidRDefault="00584EC1">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74DD82B2" w14:textId="77777777" w:rsidR="00584EC1" w:rsidRDefault="00871F8D">
            <w:pPr>
              <w:textAlignment w:val="bottom"/>
            </w:pPr>
            <w:r>
              <w:rPr>
                <w:rFonts w:ascii="Arial" w:eastAsia="宋体" w:hAnsi="Arial" w:cs="Arial"/>
                <w:color w:val="000000"/>
                <w:sz w:val="15"/>
                <w:szCs w:val="15"/>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74DD82B3" w14:textId="77777777" w:rsidR="00584EC1" w:rsidRDefault="00871F8D">
            <w:pPr>
              <w:jc w:val="right"/>
              <w:textAlignment w:val="bottom"/>
            </w:pPr>
            <w:r>
              <w:rPr>
                <w:rFonts w:ascii="Arial" w:eastAsia="宋体" w:hAnsi="Arial" w:cs="Arial"/>
                <w:color w:val="000000"/>
                <w:sz w:val="15"/>
                <w:szCs w:val="15"/>
              </w:rPr>
              <w:t>3,467 </w:t>
            </w:r>
          </w:p>
        </w:tc>
        <w:tc>
          <w:tcPr>
            <w:tcW w:w="0" w:type="auto"/>
            <w:tcBorders>
              <w:top w:val="double" w:sz="6" w:space="0" w:color="000000"/>
            </w:tcBorders>
            <w:shd w:val="clear" w:color="auto" w:fill="FFFFFF"/>
            <w:tcMar>
              <w:top w:w="40" w:type="dxa"/>
              <w:left w:w="0" w:type="dxa"/>
              <w:bottom w:w="40" w:type="dxa"/>
              <w:right w:w="20" w:type="dxa"/>
            </w:tcMar>
            <w:vAlign w:val="bottom"/>
          </w:tcPr>
          <w:p w14:paraId="74DD82B4" w14:textId="77777777" w:rsidR="00584EC1" w:rsidRDefault="00584EC1">
            <w:pPr>
              <w:jc w:val="right"/>
              <w:rPr>
                <w:rFonts w:ascii="宋体"/>
              </w:rPr>
            </w:pPr>
          </w:p>
        </w:tc>
        <w:tc>
          <w:tcPr>
            <w:tcW w:w="0" w:type="auto"/>
            <w:shd w:val="clear" w:color="auto" w:fill="auto"/>
            <w:vAlign w:val="bottom"/>
          </w:tcPr>
          <w:p w14:paraId="74DD82B5" w14:textId="77777777" w:rsidR="00584EC1" w:rsidRDefault="00584EC1">
            <w:pPr>
              <w:rPr>
                <w:rFonts w:ascii="宋体"/>
                <w:vanish/>
              </w:rPr>
            </w:pPr>
          </w:p>
        </w:tc>
      </w:tr>
      <w:tr w:rsidR="00584EC1" w14:paraId="74DD82CA" w14:textId="77777777">
        <w:tc>
          <w:tcPr>
            <w:tcW w:w="0" w:type="auto"/>
            <w:gridSpan w:val="3"/>
            <w:shd w:val="clear" w:color="auto" w:fill="CCEEFF"/>
            <w:tcMar>
              <w:top w:w="40" w:type="dxa"/>
              <w:left w:w="20" w:type="dxa"/>
              <w:bottom w:w="40" w:type="dxa"/>
              <w:right w:w="20" w:type="dxa"/>
            </w:tcMar>
            <w:vAlign w:val="bottom"/>
          </w:tcPr>
          <w:p w14:paraId="74DD82B7" w14:textId="77777777" w:rsidR="00584EC1" w:rsidRDefault="00871F8D">
            <w:pPr>
              <w:textAlignment w:val="bottom"/>
            </w:pPr>
            <w:r>
              <w:rPr>
                <w:rFonts w:ascii="Arial" w:eastAsia="宋体" w:hAnsi="Arial" w:cs="Arial"/>
                <w:color w:val="000000"/>
                <w:sz w:val="15"/>
                <w:szCs w:val="15"/>
              </w:rPr>
              <w:t>Long-term institutional flows, net</w:t>
            </w:r>
            <w:r>
              <w:rPr>
                <w:rFonts w:ascii="Arial" w:eastAsia="宋体" w:hAnsi="Arial" w:cs="Arial"/>
                <w:color w:val="000000"/>
                <w:sz w:val="9"/>
                <w:szCs w:val="9"/>
              </w:rPr>
              <w:t>(4)</w:t>
            </w:r>
          </w:p>
        </w:tc>
        <w:tc>
          <w:tcPr>
            <w:tcW w:w="0" w:type="auto"/>
            <w:gridSpan w:val="2"/>
            <w:shd w:val="clear" w:color="auto" w:fill="CCEEFF"/>
            <w:tcMar>
              <w:top w:w="40" w:type="dxa"/>
              <w:left w:w="20" w:type="dxa"/>
              <w:bottom w:w="40" w:type="dxa"/>
              <w:right w:w="0" w:type="dxa"/>
            </w:tcMar>
            <w:vAlign w:val="bottom"/>
          </w:tcPr>
          <w:p w14:paraId="74DD82B8" w14:textId="77777777" w:rsidR="00584EC1" w:rsidRDefault="00871F8D">
            <w:pPr>
              <w:jc w:val="right"/>
              <w:textAlignment w:val="bottom"/>
            </w:pPr>
            <w:r>
              <w:rPr>
                <w:rFonts w:ascii="Arial" w:eastAsia="宋体" w:hAnsi="Arial" w:cs="Arial"/>
                <w:color w:val="000000"/>
                <w:sz w:val="15"/>
                <w:szCs w:val="15"/>
              </w:rPr>
              <w:t>(35)</w:t>
            </w:r>
          </w:p>
        </w:tc>
        <w:tc>
          <w:tcPr>
            <w:tcW w:w="0" w:type="auto"/>
            <w:shd w:val="clear" w:color="auto" w:fill="CCEEFF"/>
            <w:tcMar>
              <w:top w:w="40" w:type="dxa"/>
              <w:left w:w="0" w:type="dxa"/>
              <w:bottom w:w="40" w:type="dxa"/>
              <w:right w:w="20" w:type="dxa"/>
            </w:tcMar>
            <w:vAlign w:val="bottom"/>
          </w:tcPr>
          <w:p w14:paraId="74DD82B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2BA"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2BB" w14:textId="77777777" w:rsidR="00584EC1" w:rsidRDefault="00871F8D">
            <w:pPr>
              <w:jc w:val="right"/>
              <w:textAlignment w:val="bottom"/>
            </w:pPr>
            <w:r>
              <w:rPr>
                <w:rFonts w:ascii="Arial" w:eastAsia="宋体" w:hAnsi="Arial" w:cs="Arial"/>
                <w:color w:val="000000"/>
                <w:sz w:val="15"/>
                <w:szCs w:val="15"/>
              </w:rPr>
              <w:t>26 </w:t>
            </w:r>
          </w:p>
        </w:tc>
        <w:tc>
          <w:tcPr>
            <w:tcW w:w="0" w:type="auto"/>
            <w:shd w:val="clear" w:color="auto" w:fill="CCEEFF"/>
            <w:tcMar>
              <w:top w:w="40" w:type="dxa"/>
              <w:left w:w="0" w:type="dxa"/>
              <w:bottom w:w="40" w:type="dxa"/>
              <w:right w:w="20" w:type="dxa"/>
            </w:tcMar>
            <w:vAlign w:val="bottom"/>
          </w:tcPr>
          <w:p w14:paraId="74DD82B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2B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2BE" w14:textId="77777777" w:rsidR="00584EC1" w:rsidRDefault="00871F8D">
            <w:pPr>
              <w:jc w:val="right"/>
              <w:textAlignment w:val="bottom"/>
            </w:pPr>
            <w:r>
              <w:rPr>
                <w:rFonts w:ascii="Arial" w:eastAsia="宋体" w:hAnsi="Arial" w:cs="Arial"/>
                <w:color w:val="000000"/>
                <w:sz w:val="15"/>
                <w:szCs w:val="15"/>
              </w:rPr>
              <w:t>(1)</w:t>
            </w:r>
          </w:p>
        </w:tc>
        <w:tc>
          <w:tcPr>
            <w:tcW w:w="0" w:type="auto"/>
            <w:shd w:val="clear" w:color="auto" w:fill="CCEEFF"/>
            <w:tcMar>
              <w:top w:w="40" w:type="dxa"/>
              <w:left w:w="0" w:type="dxa"/>
              <w:bottom w:w="40" w:type="dxa"/>
              <w:right w:w="20" w:type="dxa"/>
            </w:tcMar>
            <w:vAlign w:val="bottom"/>
          </w:tcPr>
          <w:p w14:paraId="74DD82B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2C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2C1" w14:textId="77777777" w:rsidR="00584EC1" w:rsidRDefault="00871F8D">
            <w:pPr>
              <w:jc w:val="right"/>
              <w:textAlignment w:val="bottom"/>
            </w:pPr>
            <w:r>
              <w:rPr>
                <w:rFonts w:ascii="Arial" w:eastAsia="宋体" w:hAnsi="Arial" w:cs="Arial"/>
                <w:color w:val="000000"/>
                <w:sz w:val="15"/>
                <w:szCs w:val="15"/>
              </w:rPr>
              <w:t>1 </w:t>
            </w:r>
          </w:p>
        </w:tc>
        <w:tc>
          <w:tcPr>
            <w:tcW w:w="0" w:type="auto"/>
            <w:shd w:val="clear" w:color="auto" w:fill="CCEEFF"/>
            <w:tcMar>
              <w:top w:w="40" w:type="dxa"/>
              <w:left w:w="0" w:type="dxa"/>
              <w:bottom w:w="40" w:type="dxa"/>
              <w:right w:w="20" w:type="dxa"/>
            </w:tcMar>
            <w:vAlign w:val="bottom"/>
          </w:tcPr>
          <w:p w14:paraId="74DD82C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2C3"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2C4" w14:textId="77777777" w:rsidR="00584EC1" w:rsidRDefault="00871F8D">
            <w:pPr>
              <w:jc w:val="right"/>
              <w:textAlignment w:val="bottom"/>
            </w:pPr>
            <w:r>
              <w:rPr>
                <w:rFonts w:ascii="Arial" w:eastAsia="宋体" w:hAnsi="Arial" w:cs="Arial"/>
                <w:color w:val="000000"/>
                <w:sz w:val="15"/>
                <w:szCs w:val="15"/>
              </w:rPr>
              <w:t>1 </w:t>
            </w:r>
          </w:p>
        </w:tc>
        <w:tc>
          <w:tcPr>
            <w:tcW w:w="0" w:type="auto"/>
            <w:shd w:val="clear" w:color="auto" w:fill="CCEEFF"/>
            <w:tcMar>
              <w:top w:w="40" w:type="dxa"/>
              <w:left w:w="0" w:type="dxa"/>
              <w:bottom w:w="40" w:type="dxa"/>
              <w:right w:w="20" w:type="dxa"/>
            </w:tcMar>
            <w:vAlign w:val="bottom"/>
          </w:tcPr>
          <w:p w14:paraId="74DD82C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2C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2C7" w14:textId="77777777" w:rsidR="00584EC1" w:rsidRDefault="00871F8D">
            <w:pPr>
              <w:jc w:val="right"/>
              <w:textAlignment w:val="bottom"/>
            </w:pPr>
            <w:r>
              <w:rPr>
                <w:rFonts w:ascii="Arial" w:eastAsia="宋体" w:hAnsi="Arial" w:cs="Arial"/>
                <w:color w:val="000000"/>
                <w:sz w:val="15"/>
                <w:szCs w:val="15"/>
              </w:rPr>
              <w:t>(8)</w:t>
            </w:r>
          </w:p>
        </w:tc>
        <w:tc>
          <w:tcPr>
            <w:tcW w:w="0" w:type="auto"/>
            <w:shd w:val="clear" w:color="auto" w:fill="CCEEFF"/>
            <w:tcMar>
              <w:top w:w="40" w:type="dxa"/>
              <w:left w:w="0" w:type="dxa"/>
              <w:bottom w:w="40" w:type="dxa"/>
              <w:right w:w="20" w:type="dxa"/>
            </w:tcMar>
            <w:vAlign w:val="bottom"/>
          </w:tcPr>
          <w:p w14:paraId="74DD82C8" w14:textId="77777777" w:rsidR="00584EC1" w:rsidRDefault="00584EC1">
            <w:pPr>
              <w:jc w:val="right"/>
              <w:rPr>
                <w:rFonts w:ascii="宋体"/>
              </w:rPr>
            </w:pPr>
          </w:p>
        </w:tc>
        <w:tc>
          <w:tcPr>
            <w:tcW w:w="0" w:type="auto"/>
            <w:shd w:val="clear" w:color="auto" w:fill="auto"/>
            <w:vAlign w:val="bottom"/>
          </w:tcPr>
          <w:p w14:paraId="74DD82C9" w14:textId="77777777" w:rsidR="00584EC1" w:rsidRDefault="00584EC1">
            <w:pPr>
              <w:rPr>
                <w:rFonts w:ascii="宋体"/>
                <w:vanish/>
              </w:rPr>
            </w:pPr>
          </w:p>
        </w:tc>
      </w:tr>
      <w:tr w:rsidR="00584EC1" w14:paraId="74DD82DE" w14:textId="77777777">
        <w:tc>
          <w:tcPr>
            <w:tcW w:w="0" w:type="auto"/>
            <w:gridSpan w:val="3"/>
            <w:shd w:val="clear" w:color="auto" w:fill="FFFFFF"/>
            <w:tcMar>
              <w:top w:w="40" w:type="dxa"/>
              <w:left w:w="20" w:type="dxa"/>
              <w:bottom w:w="40" w:type="dxa"/>
              <w:right w:w="20" w:type="dxa"/>
            </w:tcMar>
            <w:vAlign w:val="bottom"/>
          </w:tcPr>
          <w:p w14:paraId="74DD82CB" w14:textId="77777777" w:rsidR="00584EC1" w:rsidRDefault="00871F8D">
            <w:pPr>
              <w:textAlignment w:val="bottom"/>
            </w:pPr>
            <w:r>
              <w:rPr>
                <w:rFonts w:ascii="Arial" w:eastAsia="宋体" w:hAnsi="Arial" w:cs="Arial"/>
                <w:color w:val="000000"/>
                <w:sz w:val="15"/>
                <w:szCs w:val="15"/>
              </w:rPr>
              <w:t>Exchange-traded fund flows, net</w:t>
            </w:r>
          </w:p>
        </w:tc>
        <w:tc>
          <w:tcPr>
            <w:tcW w:w="0" w:type="auto"/>
            <w:gridSpan w:val="2"/>
            <w:shd w:val="clear" w:color="auto" w:fill="FFFFFF"/>
            <w:tcMar>
              <w:top w:w="40" w:type="dxa"/>
              <w:left w:w="20" w:type="dxa"/>
              <w:bottom w:w="40" w:type="dxa"/>
              <w:right w:w="0" w:type="dxa"/>
            </w:tcMar>
            <w:vAlign w:val="bottom"/>
          </w:tcPr>
          <w:p w14:paraId="74DD82CC" w14:textId="77777777" w:rsidR="00584EC1" w:rsidRDefault="00871F8D">
            <w:pPr>
              <w:jc w:val="right"/>
              <w:textAlignment w:val="bottom"/>
            </w:pPr>
            <w:r>
              <w:rPr>
                <w:rFonts w:ascii="Arial" w:eastAsia="宋体" w:hAnsi="Arial" w:cs="Arial"/>
                <w:color w:val="000000"/>
                <w:sz w:val="15"/>
                <w:szCs w:val="15"/>
              </w:rPr>
              <w:t>21 </w:t>
            </w:r>
          </w:p>
        </w:tc>
        <w:tc>
          <w:tcPr>
            <w:tcW w:w="0" w:type="auto"/>
            <w:shd w:val="clear" w:color="auto" w:fill="FFFFFF"/>
            <w:tcMar>
              <w:top w:w="40" w:type="dxa"/>
              <w:left w:w="0" w:type="dxa"/>
              <w:bottom w:w="40" w:type="dxa"/>
              <w:right w:w="20" w:type="dxa"/>
            </w:tcMar>
            <w:vAlign w:val="bottom"/>
          </w:tcPr>
          <w:p w14:paraId="74DD82C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2C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2CF" w14:textId="77777777" w:rsidR="00584EC1" w:rsidRDefault="00871F8D">
            <w:pPr>
              <w:jc w:val="right"/>
              <w:textAlignment w:val="bottom"/>
            </w:pPr>
            <w:r>
              <w:rPr>
                <w:rFonts w:ascii="Arial" w:eastAsia="宋体" w:hAnsi="Arial" w:cs="Arial"/>
                <w:color w:val="000000"/>
                <w:sz w:val="15"/>
                <w:szCs w:val="15"/>
              </w:rPr>
              <w:t>9 </w:t>
            </w:r>
          </w:p>
        </w:tc>
        <w:tc>
          <w:tcPr>
            <w:tcW w:w="0" w:type="auto"/>
            <w:shd w:val="clear" w:color="auto" w:fill="FFFFFF"/>
            <w:tcMar>
              <w:top w:w="40" w:type="dxa"/>
              <w:left w:w="0" w:type="dxa"/>
              <w:bottom w:w="40" w:type="dxa"/>
              <w:right w:w="20" w:type="dxa"/>
            </w:tcMar>
            <w:vAlign w:val="bottom"/>
          </w:tcPr>
          <w:p w14:paraId="74DD82D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2D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2D2"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82D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2D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2D5"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82D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2D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2D8" w14:textId="77777777" w:rsidR="00584EC1" w:rsidRDefault="00871F8D">
            <w:pPr>
              <w:jc w:val="right"/>
              <w:textAlignment w:val="bottom"/>
            </w:pPr>
            <w:r>
              <w:rPr>
                <w:rFonts w:ascii="Arial" w:eastAsia="宋体" w:hAnsi="Arial" w:cs="Arial"/>
                <w:color w:val="000000"/>
                <w:sz w:val="15"/>
                <w:szCs w:val="15"/>
              </w:rPr>
              <w:t>(7)</w:t>
            </w:r>
          </w:p>
        </w:tc>
        <w:tc>
          <w:tcPr>
            <w:tcW w:w="0" w:type="auto"/>
            <w:shd w:val="clear" w:color="auto" w:fill="FFFFFF"/>
            <w:tcMar>
              <w:top w:w="40" w:type="dxa"/>
              <w:left w:w="0" w:type="dxa"/>
              <w:bottom w:w="40" w:type="dxa"/>
              <w:right w:w="20" w:type="dxa"/>
            </w:tcMar>
            <w:vAlign w:val="bottom"/>
          </w:tcPr>
          <w:p w14:paraId="74DD82D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2D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2DB" w14:textId="77777777" w:rsidR="00584EC1" w:rsidRDefault="00871F8D">
            <w:pPr>
              <w:jc w:val="right"/>
              <w:textAlignment w:val="bottom"/>
            </w:pPr>
            <w:r>
              <w:rPr>
                <w:rFonts w:ascii="Arial" w:eastAsia="宋体" w:hAnsi="Arial" w:cs="Arial"/>
                <w:color w:val="000000"/>
                <w:sz w:val="15"/>
                <w:szCs w:val="15"/>
              </w:rPr>
              <w:t>23 </w:t>
            </w:r>
          </w:p>
        </w:tc>
        <w:tc>
          <w:tcPr>
            <w:tcW w:w="0" w:type="auto"/>
            <w:shd w:val="clear" w:color="auto" w:fill="FFFFFF"/>
            <w:tcMar>
              <w:top w:w="40" w:type="dxa"/>
              <w:left w:w="0" w:type="dxa"/>
              <w:bottom w:w="40" w:type="dxa"/>
              <w:right w:w="20" w:type="dxa"/>
            </w:tcMar>
            <w:vAlign w:val="bottom"/>
          </w:tcPr>
          <w:p w14:paraId="74DD82DC" w14:textId="77777777" w:rsidR="00584EC1" w:rsidRDefault="00584EC1">
            <w:pPr>
              <w:jc w:val="right"/>
              <w:rPr>
                <w:rFonts w:ascii="宋体"/>
              </w:rPr>
            </w:pPr>
          </w:p>
        </w:tc>
        <w:tc>
          <w:tcPr>
            <w:tcW w:w="0" w:type="auto"/>
            <w:shd w:val="clear" w:color="auto" w:fill="auto"/>
            <w:vAlign w:val="bottom"/>
          </w:tcPr>
          <w:p w14:paraId="74DD82DD" w14:textId="77777777" w:rsidR="00584EC1" w:rsidRDefault="00584EC1">
            <w:pPr>
              <w:rPr>
                <w:rFonts w:ascii="宋体"/>
                <w:vanish/>
              </w:rPr>
            </w:pPr>
          </w:p>
        </w:tc>
      </w:tr>
      <w:tr w:rsidR="00584EC1" w14:paraId="74DD82F2" w14:textId="77777777">
        <w:tc>
          <w:tcPr>
            <w:tcW w:w="0" w:type="auto"/>
            <w:gridSpan w:val="3"/>
            <w:shd w:val="clear" w:color="auto" w:fill="CCEEFF"/>
            <w:tcMar>
              <w:top w:w="40" w:type="dxa"/>
              <w:left w:w="20" w:type="dxa"/>
              <w:bottom w:w="40" w:type="dxa"/>
              <w:right w:w="20" w:type="dxa"/>
            </w:tcMar>
            <w:vAlign w:val="bottom"/>
          </w:tcPr>
          <w:p w14:paraId="74DD82DF" w14:textId="77777777" w:rsidR="00584EC1" w:rsidRDefault="00871F8D">
            <w:pPr>
              <w:textAlignment w:val="bottom"/>
            </w:pPr>
            <w:r>
              <w:rPr>
                <w:rFonts w:ascii="Arial" w:eastAsia="宋体" w:hAnsi="Arial" w:cs="Arial"/>
                <w:color w:val="000000"/>
                <w:sz w:val="15"/>
                <w:szCs w:val="15"/>
              </w:rPr>
              <w:t>Cash fund flows, net</w:t>
            </w:r>
          </w:p>
        </w:tc>
        <w:tc>
          <w:tcPr>
            <w:tcW w:w="0" w:type="auto"/>
            <w:gridSpan w:val="2"/>
            <w:shd w:val="clear" w:color="auto" w:fill="CCEEFF"/>
            <w:tcMar>
              <w:top w:w="40" w:type="dxa"/>
              <w:left w:w="20" w:type="dxa"/>
              <w:bottom w:w="40" w:type="dxa"/>
              <w:right w:w="0" w:type="dxa"/>
            </w:tcMar>
            <w:vAlign w:val="bottom"/>
          </w:tcPr>
          <w:p w14:paraId="74DD82E0"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82E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2E2"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2E3"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82E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2E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2E6" w14:textId="77777777" w:rsidR="00584EC1" w:rsidRDefault="00871F8D">
            <w:pPr>
              <w:jc w:val="right"/>
              <w:textAlignment w:val="bottom"/>
            </w:pPr>
            <w:r>
              <w:rPr>
                <w:rFonts w:ascii="Arial" w:eastAsia="宋体" w:hAnsi="Arial" w:cs="Arial"/>
                <w:color w:val="000000"/>
                <w:sz w:val="15"/>
                <w:szCs w:val="15"/>
              </w:rPr>
              <w:t>24 </w:t>
            </w:r>
          </w:p>
        </w:tc>
        <w:tc>
          <w:tcPr>
            <w:tcW w:w="0" w:type="auto"/>
            <w:shd w:val="clear" w:color="auto" w:fill="CCEEFF"/>
            <w:tcMar>
              <w:top w:w="40" w:type="dxa"/>
              <w:left w:w="0" w:type="dxa"/>
              <w:bottom w:w="40" w:type="dxa"/>
              <w:right w:w="20" w:type="dxa"/>
            </w:tcMar>
            <w:vAlign w:val="bottom"/>
          </w:tcPr>
          <w:p w14:paraId="74DD82E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2E8"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2E9"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82E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2E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2EC"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82E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2EE"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2EF" w14:textId="77777777" w:rsidR="00584EC1" w:rsidRDefault="00871F8D">
            <w:pPr>
              <w:jc w:val="right"/>
              <w:textAlignment w:val="bottom"/>
            </w:pPr>
            <w:r>
              <w:rPr>
                <w:rFonts w:ascii="Arial" w:eastAsia="宋体" w:hAnsi="Arial" w:cs="Arial"/>
                <w:color w:val="000000"/>
                <w:sz w:val="15"/>
                <w:szCs w:val="15"/>
              </w:rPr>
              <w:t>24 </w:t>
            </w:r>
          </w:p>
        </w:tc>
        <w:tc>
          <w:tcPr>
            <w:tcW w:w="0" w:type="auto"/>
            <w:shd w:val="clear" w:color="auto" w:fill="CCEEFF"/>
            <w:tcMar>
              <w:top w:w="40" w:type="dxa"/>
              <w:left w:w="0" w:type="dxa"/>
              <w:bottom w:w="40" w:type="dxa"/>
              <w:right w:w="20" w:type="dxa"/>
            </w:tcMar>
            <w:vAlign w:val="bottom"/>
          </w:tcPr>
          <w:p w14:paraId="74DD82F0" w14:textId="77777777" w:rsidR="00584EC1" w:rsidRDefault="00584EC1">
            <w:pPr>
              <w:jc w:val="right"/>
              <w:rPr>
                <w:rFonts w:ascii="宋体"/>
              </w:rPr>
            </w:pPr>
          </w:p>
        </w:tc>
        <w:tc>
          <w:tcPr>
            <w:tcW w:w="0" w:type="auto"/>
            <w:shd w:val="clear" w:color="auto" w:fill="auto"/>
            <w:vAlign w:val="bottom"/>
          </w:tcPr>
          <w:p w14:paraId="74DD82F1" w14:textId="77777777" w:rsidR="00584EC1" w:rsidRDefault="00584EC1">
            <w:pPr>
              <w:rPr>
                <w:rFonts w:ascii="宋体"/>
                <w:vanish/>
              </w:rPr>
            </w:pPr>
          </w:p>
        </w:tc>
      </w:tr>
      <w:tr w:rsidR="00584EC1" w14:paraId="74DD8306" w14:textId="77777777">
        <w:tc>
          <w:tcPr>
            <w:tcW w:w="0" w:type="auto"/>
            <w:gridSpan w:val="3"/>
            <w:shd w:val="clear" w:color="auto" w:fill="FFFFFF"/>
            <w:tcMar>
              <w:top w:w="40" w:type="dxa"/>
              <w:left w:w="20" w:type="dxa"/>
              <w:bottom w:w="40" w:type="dxa"/>
              <w:right w:w="20" w:type="dxa"/>
            </w:tcMar>
            <w:vAlign w:val="bottom"/>
          </w:tcPr>
          <w:p w14:paraId="74DD82F3" w14:textId="77777777" w:rsidR="00584EC1" w:rsidRDefault="00871F8D">
            <w:pPr>
              <w:textAlignment w:val="bottom"/>
            </w:pPr>
            <w:r>
              <w:rPr>
                <w:rFonts w:ascii="Arial" w:eastAsia="宋体" w:hAnsi="Arial" w:cs="Arial"/>
                <w:color w:val="000000"/>
                <w:sz w:val="15"/>
                <w:szCs w:val="15"/>
              </w:rPr>
              <w:t>Total flows, net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82F4" w14:textId="77777777" w:rsidR="00584EC1" w:rsidRDefault="00871F8D">
            <w:pPr>
              <w:jc w:val="right"/>
              <w:textAlignment w:val="bottom"/>
            </w:pPr>
            <w:r>
              <w:rPr>
                <w:rFonts w:ascii="Arial" w:eastAsia="宋体" w:hAnsi="Arial" w:cs="Arial"/>
                <w:color w:val="000000"/>
                <w:sz w:val="15"/>
                <w:szCs w:val="15"/>
              </w:rPr>
              <w:t>(14)</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82F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2F6"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82F7" w14:textId="77777777" w:rsidR="00584EC1" w:rsidRDefault="00871F8D">
            <w:pPr>
              <w:jc w:val="right"/>
              <w:textAlignment w:val="bottom"/>
            </w:pPr>
            <w:r>
              <w:rPr>
                <w:rFonts w:ascii="Arial" w:eastAsia="宋体" w:hAnsi="Arial" w:cs="Arial"/>
                <w:color w:val="000000"/>
                <w:sz w:val="15"/>
                <w:szCs w:val="15"/>
              </w:rPr>
              <w:t>35 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82F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2F9"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82FA" w14:textId="77777777" w:rsidR="00584EC1" w:rsidRDefault="00871F8D">
            <w:pPr>
              <w:jc w:val="right"/>
              <w:textAlignment w:val="bottom"/>
            </w:pPr>
            <w:r>
              <w:rPr>
                <w:rFonts w:ascii="Arial" w:eastAsia="宋体" w:hAnsi="Arial" w:cs="Arial"/>
                <w:color w:val="000000"/>
                <w:sz w:val="15"/>
                <w:szCs w:val="15"/>
              </w:rPr>
              <w:t>23 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82F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2FC"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82FD" w14:textId="77777777" w:rsidR="00584EC1" w:rsidRDefault="00871F8D">
            <w:pPr>
              <w:jc w:val="right"/>
              <w:textAlignment w:val="bottom"/>
            </w:pPr>
            <w:r>
              <w:rPr>
                <w:rFonts w:ascii="Arial" w:eastAsia="宋体" w:hAnsi="Arial" w:cs="Arial"/>
                <w:color w:val="000000"/>
                <w:sz w:val="15"/>
                <w:szCs w:val="15"/>
              </w:rPr>
              <w:t>1 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82F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2FF"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8300" w14:textId="77777777" w:rsidR="00584EC1" w:rsidRDefault="00871F8D">
            <w:pPr>
              <w:jc w:val="right"/>
              <w:textAlignment w:val="bottom"/>
            </w:pPr>
            <w:r>
              <w:rPr>
                <w:rFonts w:ascii="Arial" w:eastAsia="宋体" w:hAnsi="Arial" w:cs="Arial"/>
                <w:color w:val="000000"/>
                <w:sz w:val="15"/>
                <w:szCs w:val="15"/>
              </w:rPr>
              <w:t>(6)</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830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302"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8303" w14:textId="77777777" w:rsidR="00584EC1" w:rsidRDefault="00871F8D">
            <w:pPr>
              <w:jc w:val="right"/>
              <w:textAlignment w:val="bottom"/>
            </w:pPr>
            <w:r>
              <w:rPr>
                <w:rFonts w:ascii="Arial" w:eastAsia="宋体" w:hAnsi="Arial" w:cs="Arial"/>
                <w:color w:val="000000"/>
                <w:sz w:val="15"/>
                <w:szCs w:val="15"/>
              </w:rPr>
              <w:t>39 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8304" w14:textId="77777777" w:rsidR="00584EC1" w:rsidRDefault="00584EC1">
            <w:pPr>
              <w:jc w:val="right"/>
              <w:rPr>
                <w:rFonts w:ascii="宋体"/>
              </w:rPr>
            </w:pPr>
          </w:p>
        </w:tc>
        <w:tc>
          <w:tcPr>
            <w:tcW w:w="0" w:type="auto"/>
            <w:shd w:val="clear" w:color="auto" w:fill="auto"/>
            <w:vAlign w:val="bottom"/>
          </w:tcPr>
          <w:p w14:paraId="74DD8305" w14:textId="77777777" w:rsidR="00584EC1" w:rsidRDefault="00584EC1">
            <w:pPr>
              <w:rPr>
                <w:rFonts w:ascii="宋体"/>
                <w:vanish/>
              </w:rPr>
            </w:pPr>
          </w:p>
        </w:tc>
      </w:tr>
      <w:tr w:rsidR="00584EC1" w14:paraId="74DD831A" w14:textId="77777777">
        <w:tc>
          <w:tcPr>
            <w:tcW w:w="0" w:type="auto"/>
            <w:gridSpan w:val="3"/>
            <w:shd w:val="clear" w:color="auto" w:fill="CCEEFF"/>
            <w:tcMar>
              <w:top w:w="40" w:type="dxa"/>
              <w:left w:w="155" w:type="dxa"/>
              <w:bottom w:w="40" w:type="dxa"/>
              <w:right w:w="20" w:type="dxa"/>
            </w:tcMar>
            <w:vAlign w:val="bottom"/>
          </w:tcPr>
          <w:p w14:paraId="74DD8307" w14:textId="77777777" w:rsidR="00584EC1" w:rsidRDefault="00871F8D">
            <w:pPr>
              <w:textAlignment w:val="bottom"/>
            </w:pPr>
            <w:r>
              <w:rPr>
                <w:rFonts w:ascii="Arial" w:eastAsia="宋体" w:hAnsi="Arial" w:cs="Arial"/>
                <w:color w:val="000000"/>
                <w:sz w:val="15"/>
                <w:szCs w:val="15"/>
              </w:rPr>
              <w:t>Market appreciation (depreciation)</w:t>
            </w:r>
          </w:p>
        </w:tc>
        <w:tc>
          <w:tcPr>
            <w:tcW w:w="0" w:type="auto"/>
            <w:gridSpan w:val="2"/>
            <w:shd w:val="clear" w:color="auto" w:fill="CCEEFF"/>
            <w:tcMar>
              <w:top w:w="40" w:type="dxa"/>
              <w:left w:w="20" w:type="dxa"/>
              <w:bottom w:w="40" w:type="dxa"/>
              <w:right w:w="0" w:type="dxa"/>
            </w:tcMar>
            <w:vAlign w:val="bottom"/>
          </w:tcPr>
          <w:p w14:paraId="74DD8308" w14:textId="77777777" w:rsidR="00584EC1" w:rsidRDefault="00871F8D">
            <w:pPr>
              <w:jc w:val="right"/>
              <w:textAlignment w:val="bottom"/>
            </w:pPr>
            <w:r>
              <w:rPr>
                <w:rFonts w:ascii="Arial" w:eastAsia="宋体" w:hAnsi="Arial" w:cs="Arial"/>
                <w:color w:val="000000"/>
                <w:sz w:val="15"/>
                <w:szCs w:val="15"/>
              </w:rPr>
              <w:t>148 </w:t>
            </w:r>
          </w:p>
        </w:tc>
        <w:tc>
          <w:tcPr>
            <w:tcW w:w="0" w:type="auto"/>
            <w:shd w:val="clear" w:color="auto" w:fill="CCEEFF"/>
            <w:tcMar>
              <w:top w:w="40" w:type="dxa"/>
              <w:left w:w="0" w:type="dxa"/>
              <w:bottom w:w="40" w:type="dxa"/>
              <w:right w:w="20" w:type="dxa"/>
            </w:tcMar>
            <w:vAlign w:val="bottom"/>
          </w:tcPr>
          <w:p w14:paraId="74DD830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30A"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30B" w14:textId="77777777" w:rsidR="00584EC1" w:rsidRDefault="00871F8D">
            <w:pPr>
              <w:jc w:val="right"/>
              <w:textAlignment w:val="bottom"/>
            </w:pPr>
            <w:r>
              <w:rPr>
                <w:rFonts w:ascii="Arial" w:eastAsia="宋体" w:hAnsi="Arial" w:cs="Arial"/>
                <w:color w:val="000000"/>
                <w:sz w:val="15"/>
                <w:szCs w:val="15"/>
              </w:rPr>
              <w:t>(24)</w:t>
            </w:r>
          </w:p>
        </w:tc>
        <w:tc>
          <w:tcPr>
            <w:tcW w:w="0" w:type="auto"/>
            <w:shd w:val="clear" w:color="auto" w:fill="CCEEFF"/>
            <w:tcMar>
              <w:top w:w="40" w:type="dxa"/>
              <w:left w:w="0" w:type="dxa"/>
              <w:bottom w:w="40" w:type="dxa"/>
              <w:right w:w="20" w:type="dxa"/>
            </w:tcMar>
            <w:vAlign w:val="bottom"/>
          </w:tcPr>
          <w:p w14:paraId="74DD830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30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30E"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830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31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311" w14:textId="77777777" w:rsidR="00584EC1" w:rsidRDefault="00871F8D">
            <w:pPr>
              <w:jc w:val="right"/>
              <w:textAlignment w:val="bottom"/>
            </w:pPr>
            <w:r>
              <w:rPr>
                <w:rFonts w:ascii="Arial" w:eastAsia="宋体" w:hAnsi="Arial" w:cs="Arial"/>
                <w:color w:val="000000"/>
                <w:sz w:val="15"/>
                <w:szCs w:val="15"/>
              </w:rPr>
              <w:t>3 </w:t>
            </w:r>
          </w:p>
        </w:tc>
        <w:tc>
          <w:tcPr>
            <w:tcW w:w="0" w:type="auto"/>
            <w:shd w:val="clear" w:color="auto" w:fill="CCEEFF"/>
            <w:tcMar>
              <w:top w:w="40" w:type="dxa"/>
              <w:left w:w="0" w:type="dxa"/>
              <w:bottom w:w="40" w:type="dxa"/>
              <w:right w:w="20" w:type="dxa"/>
            </w:tcMar>
            <w:vAlign w:val="bottom"/>
          </w:tcPr>
          <w:p w14:paraId="74DD831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313"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314" w14:textId="77777777" w:rsidR="00584EC1" w:rsidRDefault="00871F8D">
            <w:pPr>
              <w:jc w:val="right"/>
              <w:textAlignment w:val="bottom"/>
            </w:pPr>
            <w:r>
              <w:rPr>
                <w:rFonts w:ascii="Arial" w:eastAsia="宋体" w:hAnsi="Arial" w:cs="Arial"/>
                <w:color w:val="000000"/>
                <w:sz w:val="15"/>
                <w:szCs w:val="15"/>
              </w:rPr>
              <w:t>(11)</w:t>
            </w:r>
          </w:p>
        </w:tc>
        <w:tc>
          <w:tcPr>
            <w:tcW w:w="0" w:type="auto"/>
            <w:shd w:val="clear" w:color="auto" w:fill="CCEEFF"/>
            <w:tcMar>
              <w:top w:w="40" w:type="dxa"/>
              <w:left w:w="0" w:type="dxa"/>
              <w:bottom w:w="40" w:type="dxa"/>
              <w:right w:w="20" w:type="dxa"/>
            </w:tcMar>
            <w:vAlign w:val="bottom"/>
          </w:tcPr>
          <w:p w14:paraId="74DD831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31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317" w14:textId="77777777" w:rsidR="00584EC1" w:rsidRDefault="00871F8D">
            <w:pPr>
              <w:jc w:val="right"/>
              <w:textAlignment w:val="bottom"/>
            </w:pPr>
            <w:r>
              <w:rPr>
                <w:rFonts w:ascii="Arial" w:eastAsia="宋体" w:hAnsi="Arial" w:cs="Arial"/>
                <w:color w:val="000000"/>
                <w:sz w:val="15"/>
                <w:szCs w:val="15"/>
              </w:rPr>
              <w:t>116 </w:t>
            </w:r>
          </w:p>
        </w:tc>
        <w:tc>
          <w:tcPr>
            <w:tcW w:w="0" w:type="auto"/>
            <w:shd w:val="clear" w:color="auto" w:fill="CCEEFF"/>
            <w:tcMar>
              <w:top w:w="40" w:type="dxa"/>
              <w:left w:w="0" w:type="dxa"/>
              <w:bottom w:w="40" w:type="dxa"/>
              <w:right w:w="20" w:type="dxa"/>
            </w:tcMar>
            <w:vAlign w:val="bottom"/>
          </w:tcPr>
          <w:p w14:paraId="74DD8318" w14:textId="77777777" w:rsidR="00584EC1" w:rsidRDefault="00584EC1">
            <w:pPr>
              <w:jc w:val="right"/>
              <w:rPr>
                <w:rFonts w:ascii="宋体"/>
              </w:rPr>
            </w:pPr>
          </w:p>
        </w:tc>
        <w:tc>
          <w:tcPr>
            <w:tcW w:w="0" w:type="auto"/>
            <w:shd w:val="clear" w:color="auto" w:fill="auto"/>
            <w:vAlign w:val="bottom"/>
          </w:tcPr>
          <w:p w14:paraId="74DD8319" w14:textId="77777777" w:rsidR="00584EC1" w:rsidRDefault="00584EC1">
            <w:pPr>
              <w:rPr>
                <w:rFonts w:ascii="宋体"/>
                <w:vanish/>
              </w:rPr>
            </w:pPr>
          </w:p>
        </w:tc>
      </w:tr>
      <w:tr w:rsidR="00584EC1" w14:paraId="74DD832E" w14:textId="77777777">
        <w:tc>
          <w:tcPr>
            <w:tcW w:w="0" w:type="auto"/>
            <w:gridSpan w:val="3"/>
            <w:shd w:val="clear" w:color="auto" w:fill="FFFFFF"/>
            <w:tcMar>
              <w:top w:w="40" w:type="dxa"/>
              <w:left w:w="155" w:type="dxa"/>
              <w:bottom w:w="40" w:type="dxa"/>
              <w:right w:w="20" w:type="dxa"/>
            </w:tcMar>
            <w:vAlign w:val="bottom"/>
          </w:tcPr>
          <w:p w14:paraId="74DD831B" w14:textId="77777777" w:rsidR="00584EC1" w:rsidRDefault="00871F8D">
            <w:pPr>
              <w:textAlignment w:val="bottom"/>
            </w:pPr>
            <w:r>
              <w:rPr>
                <w:rFonts w:ascii="Arial" w:eastAsia="宋体" w:hAnsi="Arial" w:cs="Arial"/>
                <w:color w:val="000000"/>
                <w:sz w:val="15"/>
                <w:szCs w:val="15"/>
              </w:rPr>
              <w:t>Foreign exchange impact</w:t>
            </w:r>
          </w:p>
        </w:tc>
        <w:tc>
          <w:tcPr>
            <w:tcW w:w="0" w:type="auto"/>
            <w:gridSpan w:val="2"/>
            <w:shd w:val="clear" w:color="auto" w:fill="FFFFFF"/>
            <w:tcMar>
              <w:top w:w="40" w:type="dxa"/>
              <w:left w:w="20" w:type="dxa"/>
              <w:bottom w:w="40" w:type="dxa"/>
              <w:right w:w="0" w:type="dxa"/>
            </w:tcMar>
            <w:vAlign w:val="bottom"/>
          </w:tcPr>
          <w:p w14:paraId="74DD831C" w14:textId="77777777" w:rsidR="00584EC1" w:rsidRDefault="00871F8D">
            <w:pPr>
              <w:jc w:val="right"/>
              <w:textAlignment w:val="bottom"/>
            </w:pPr>
            <w:r>
              <w:rPr>
                <w:rFonts w:ascii="Arial" w:eastAsia="宋体" w:hAnsi="Arial" w:cs="Arial"/>
                <w:color w:val="000000"/>
                <w:sz w:val="15"/>
                <w:szCs w:val="15"/>
              </w:rPr>
              <w:t>(23)</w:t>
            </w:r>
          </w:p>
        </w:tc>
        <w:tc>
          <w:tcPr>
            <w:tcW w:w="0" w:type="auto"/>
            <w:shd w:val="clear" w:color="auto" w:fill="FFFFFF"/>
            <w:tcMar>
              <w:top w:w="40" w:type="dxa"/>
              <w:left w:w="0" w:type="dxa"/>
              <w:bottom w:w="40" w:type="dxa"/>
              <w:right w:w="20" w:type="dxa"/>
            </w:tcMar>
            <w:vAlign w:val="bottom"/>
          </w:tcPr>
          <w:p w14:paraId="74DD831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31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31F" w14:textId="77777777" w:rsidR="00584EC1" w:rsidRDefault="00871F8D">
            <w:pPr>
              <w:jc w:val="right"/>
              <w:textAlignment w:val="bottom"/>
            </w:pPr>
            <w:r>
              <w:rPr>
                <w:rFonts w:ascii="Arial" w:eastAsia="宋体" w:hAnsi="Arial" w:cs="Arial"/>
                <w:color w:val="000000"/>
                <w:sz w:val="15"/>
                <w:szCs w:val="15"/>
              </w:rPr>
              <w:t>(6)</w:t>
            </w:r>
          </w:p>
        </w:tc>
        <w:tc>
          <w:tcPr>
            <w:tcW w:w="0" w:type="auto"/>
            <w:shd w:val="clear" w:color="auto" w:fill="FFFFFF"/>
            <w:tcMar>
              <w:top w:w="40" w:type="dxa"/>
              <w:left w:w="0" w:type="dxa"/>
              <w:bottom w:w="40" w:type="dxa"/>
              <w:right w:w="20" w:type="dxa"/>
            </w:tcMar>
            <w:vAlign w:val="bottom"/>
          </w:tcPr>
          <w:p w14:paraId="74DD832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32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322"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832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32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325" w14:textId="77777777" w:rsidR="00584EC1" w:rsidRDefault="00871F8D">
            <w:pPr>
              <w:jc w:val="right"/>
              <w:textAlignment w:val="bottom"/>
            </w:pPr>
            <w:r>
              <w:rPr>
                <w:rFonts w:ascii="Arial" w:eastAsia="宋体" w:hAnsi="Arial" w:cs="Arial"/>
                <w:color w:val="000000"/>
                <w:sz w:val="15"/>
                <w:szCs w:val="15"/>
              </w:rPr>
              <w:t>(1)</w:t>
            </w:r>
          </w:p>
        </w:tc>
        <w:tc>
          <w:tcPr>
            <w:tcW w:w="0" w:type="auto"/>
            <w:shd w:val="clear" w:color="auto" w:fill="FFFFFF"/>
            <w:tcMar>
              <w:top w:w="40" w:type="dxa"/>
              <w:left w:w="0" w:type="dxa"/>
              <w:bottom w:w="40" w:type="dxa"/>
              <w:right w:w="20" w:type="dxa"/>
            </w:tcMar>
            <w:vAlign w:val="bottom"/>
          </w:tcPr>
          <w:p w14:paraId="74DD832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32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328" w14:textId="77777777" w:rsidR="00584EC1" w:rsidRDefault="00871F8D">
            <w:pPr>
              <w:jc w:val="right"/>
              <w:textAlignment w:val="bottom"/>
            </w:pPr>
            <w:r>
              <w:rPr>
                <w:rFonts w:ascii="Arial" w:eastAsia="宋体" w:hAnsi="Arial" w:cs="Arial"/>
                <w:color w:val="000000"/>
                <w:sz w:val="15"/>
                <w:szCs w:val="15"/>
              </w:rPr>
              <w:t>(1)</w:t>
            </w:r>
          </w:p>
        </w:tc>
        <w:tc>
          <w:tcPr>
            <w:tcW w:w="0" w:type="auto"/>
            <w:shd w:val="clear" w:color="auto" w:fill="FFFFFF"/>
            <w:tcMar>
              <w:top w:w="40" w:type="dxa"/>
              <w:left w:w="0" w:type="dxa"/>
              <w:bottom w:w="40" w:type="dxa"/>
              <w:right w:w="20" w:type="dxa"/>
            </w:tcMar>
            <w:vAlign w:val="bottom"/>
          </w:tcPr>
          <w:p w14:paraId="74DD832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32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32B" w14:textId="77777777" w:rsidR="00584EC1" w:rsidRDefault="00871F8D">
            <w:pPr>
              <w:jc w:val="right"/>
              <w:textAlignment w:val="bottom"/>
            </w:pPr>
            <w:r>
              <w:rPr>
                <w:rFonts w:ascii="Arial" w:eastAsia="宋体" w:hAnsi="Arial" w:cs="Arial"/>
                <w:color w:val="000000"/>
                <w:sz w:val="15"/>
                <w:szCs w:val="15"/>
              </w:rPr>
              <w:t>(31)</w:t>
            </w:r>
          </w:p>
        </w:tc>
        <w:tc>
          <w:tcPr>
            <w:tcW w:w="0" w:type="auto"/>
            <w:shd w:val="clear" w:color="auto" w:fill="FFFFFF"/>
            <w:tcMar>
              <w:top w:w="40" w:type="dxa"/>
              <w:left w:w="0" w:type="dxa"/>
              <w:bottom w:w="40" w:type="dxa"/>
              <w:right w:w="20" w:type="dxa"/>
            </w:tcMar>
            <w:vAlign w:val="bottom"/>
          </w:tcPr>
          <w:p w14:paraId="74DD832C" w14:textId="77777777" w:rsidR="00584EC1" w:rsidRDefault="00584EC1">
            <w:pPr>
              <w:jc w:val="right"/>
              <w:rPr>
                <w:rFonts w:ascii="宋体"/>
              </w:rPr>
            </w:pPr>
          </w:p>
        </w:tc>
        <w:tc>
          <w:tcPr>
            <w:tcW w:w="0" w:type="auto"/>
            <w:shd w:val="clear" w:color="auto" w:fill="auto"/>
            <w:vAlign w:val="bottom"/>
          </w:tcPr>
          <w:p w14:paraId="74DD832D" w14:textId="77777777" w:rsidR="00584EC1" w:rsidRDefault="00584EC1">
            <w:pPr>
              <w:rPr>
                <w:rFonts w:ascii="宋体"/>
                <w:vanish/>
              </w:rPr>
            </w:pPr>
          </w:p>
        </w:tc>
      </w:tr>
      <w:tr w:rsidR="00584EC1" w14:paraId="74DD8342" w14:textId="77777777">
        <w:tc>
          <w:tcPr>
            <w:tcW w:w="0" w:type="auto"/>
            <w:gridSpan w:val="3"/>
            <w:shd w:val="clear" w:color="auto" w:fill="CCEEFF"/>
            <w:tcMar>
              <w:top w:w="40" w:type="dxa"/>
              <w:left w:w="20" w:type="dxa"/>
              <w:bottom w:w="40" w:type="dxa"/>
              <w:right w:w="20" w:type="dxa"/>
            </w:tcMar>
            <w:vAlign w:val="bottom"/>
          </w:tcPr>
          <w:p w14:paraId="74DD832F" w14:textId="77777777" w:rsidR="00584EC1" w:rsidRDefault="00871F8D">
            <w:pPr>
              <w:textAlignment w:val="bottom"/>
            </w:pPr>
            <w:r>
              <w:rPr>
                <w:rFonts w:ascii="Arial" w:eastAsia="宋体" w:hAnsi="Arial" w:cs="Arial"/>
                <w:color w:val="000000"/>
                <w:sz w:val="15"/>
                <w:szCs w:val="15"/>
              </w:rPr>
              <w:t>Total market/foreign exchange impact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8330" w14:textId="77777777" w:rsidR="00584EC1" w:rsidRDefault="00871F8D">
            <w:pPr>
              <w:jc w:val="right"/>
              <w:textAlignment w:val="bottom"/>
            </w:pPr>
            <w:r>
              <w:rPr>
                <w:rFonts w:ascii="Arial" w:eastAsia="宋体" w:hAnsi="Arial" w:cs="Arial"/>
                <w:color w:val="000000"/>
                <w:sz w:val="15"/>
                <w:szCs w:val="15"/>
              </w:rPr>
              <w:t>125 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33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332"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8333" w14:textId="77777777" w:rsidR="00584EC1" w:rsidRDefault="00871F8D">
            <w:pPr>
              <w:jc w:val="right"/>
              <w:textAlignment w:val="bottom"/>
            </w:pPr>
            <w:r>
              <w:rPr>
                <w:rFonts w:ascii="Arial" w:eastAsia="宋体" w:hAnsi="Arial" w:cs="Arial"/>
                <w:color w:val="000000"/>
                <w:sz w:val="15"/>
                <w:szCs w:val="15"/>
              </w:rPr>
              <w:t>(30)</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33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335"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8336" w14:textId="77777777" w:rsidR="00584EC1" w:rsidRDefault="00871F8D">
            <w:pPr>
              <w:jc w:val="right"/>
              <w:textAlignment w:val="bottom"/>
            </w:pP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33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338"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8339" w14:textId="77777777" w:rsidR="00584EC1" w:rsidRDefault="00871F8D">
            <w:pPr>
              <w:jc w:val="right"/>
              <w:textAlignment w:val="bottom"/>
            </w:pPr>
            <w:r>
              <w:rPr>
                <w:rFonts w:ascii="Arial" w:eastAsia="宋体" w:hAnsi="Arial" w:cs="Arial"/>
                <w:color w:val="000000"/>
                <w:sz w:val="15"/>
                <w:szCs w:val="15"/>
              </w:rPr>
              <w:t>2 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33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33B"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833C" w14:textId="77777777" w:rsidR="00584EC1" w:rsidRDefault="00871F8D">
            <w:pPr>
              <w:jc w:val="right"/>
              <w:textAlignment w:val="bottom"/>
            </w:pPr>
            <w:r>
              <w:rPr>
                <w:rFonts w:ascii="Arial" w:eastAsia="宋体" w:hAnsi="Arial" w:cs="Arial"/>
                <w:color w:val="000000"/>
                <w:sz w:val="15"/>
                <w:szCs w:val="15"/>
              </w:rPr>
              <w:t>(12)</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33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33E"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833F" w14:textId="77777777" w:rsidR="00584EC1" w:rsidRDefault="00871F8D">
            <w:pPr>
              <w:jc w:val="right"/>
              <w:textAlignment w:val="bottom"/>
            </w:pPr>
            <w:r>
              <w:rPr>
                <w:rFonts w:ascii="Arial" w:eastAsia="宋体" w:hAnsi="Arial" w:cs="Arial"/>
                <w:color w:val="000000"/>
                <w:sz w:val="15"/>
                <w:szCs w:val="15"/>
              </w:rPr>
              <w:t>85 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340" w14:textId="77777777" w:rsidR="00584EC1" w:rsidRDefault="00584EC1">
            <w:pPr>
              <w:jc w:val="right"/>
              <w:rPr>
                <w:rFonts w:ascii="宋体"/>
              </w:rPr>
            </w:pPr>
          </w:p>
        </w:tc>
        <w:tc>
          <w:tcPr>
            <w:tcW w:w="0" w:type="auto"/>
            <w:shd w:val="clear" w:color="auto" w:fill="auto"/>
            <w:vAlign w:val="bottom"/>
          </w:tcPr>
          <w:p w14:paraId="74DD8341" w14:textId="77777777" w:rsidR="00584EC1" w:rsidRDefault="00584EC1">
            <w:pPr>
              <w:rPr>
                <w:rFonts w:ascii="宋体"/>
                <w:vanish/>
              </w:rPr>
            </w:pPr>
          </w:p>
        </w:tc>
      </w:tr>
      <w:tr w:rsidR="00584EC1" w14:paraId="74DD8356" w14:textId="77777777">
        <w:tc>
          <w:tcPr>
            <w:tcW w:w="0" w:type="auto"/>
            <w:gridSpan w:val="3"/>
            <w:shd w:val="clear" w:color="auto" w:fill="FFFFFF"/>
            <w:tcMar>
              <w:top w:w="40" w:type="dxa"/>
              <w:left w:w="20" w:type="dxa"/>
              <w:bottom w:w="40" w:type="dxa"/>
              <w:right w:w="20" w:type="dxa"/>
            </w:tcMar>
            <w:vAlign w:val="bottom"/>
          </w:tcPr>
          <w:p w14:paraId="74DD8343" w14:textId="77777777" w:rsidR="00584EC1" w:rsidRDefault="00871F8D">
            <w:pPr>
              <w:textAlignment w:val="bottom"/>
            </w:pPr>
            <w:r>
              <w:rPr>
                <w:rFonts w:ascii="Arial" w:eastAsia="宋体" w:hAnsi="Arial" w:cs="Arial"/>
                <w:b/>
                <w:bCs/>
                <w:color w:val="000000"/>
                <w:sz w:val="15"/>
                <w:szCs w:val="15"/>
              </w:rPr>
              <w:t>Balance as of March 31, 2021</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8344" w14:textId="77777777" w:rsidR="00584EC1" w:rsidRDefault="00871F8D">
            <w:pPr>
              <w:jc w:val="right"/>
              <w:textAlignment w:val="bottom"/>
            </w:pPr>
            <w:r>
              <w:rPr>
                <w:rFonts w:ascii="Arial" w:eastAsia="宋体" w:hAnsi="Arial" w:cs="Arial"/>
                <w:color w:val="000000"/>
                <w:sz w:val="15"/>
                <w:szCs w:val="15"/>
              </w:rPr>
              <w:t>2,282 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834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346"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8347" w14:textId="77777777" w:rsidR="00584EC1" w:rsidRDefault="00871F8D">
            <w:pPr>
              <w:jc w:val="right"/>
              <w:textAlignment w:val="bottom"/>
            </w:pPr>
            <w:r>
              <w:rPr>
                <w:rFonts w:ascii="Arial" w:eastAsia="宋体" w:hAnsi="Arial" w:cs="Arial"/>
                <w:color w:val="000000"/>
                <w:sz w:val="15"/>
                <w:szCs w:val="15"/>
              </w:rPr>
              <w:t>554 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834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349"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834A" w14:textId="77777777" w:rsidR="00584EC1" w:rsidRDefault="00871F8D">
            <w:pPr>
              <w:jc w:val="right"/>
              <w:textAlignment w:val="bottom"/>
            </w:pPr>
            <w:r>
              <w:rPr>
                <w:rFonts w:ascii="Arial" w:eastAsia="宋体" w:hAnsi="Arial" w:cs="Arial"/>
                <w:color w:val="000000"/>
                <w:sz w:val="15"/>
                <w:szCs w:val="15"/>
              </w:rPr>
              <w:t>372 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834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34C"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834D" w14:textId="77777777" w:rsidR="00584EC1" w:rsidRDefault="00871F8D">
            <w:pPr>
              <w:jc w:val="right"/>
              <w:textAlignment w:val="bottom"/>
            </w:pPr>
            <w:r>
              <w:rPr>
                <w:rFonts w:ascii="Arial" w:eastAsia="宋体" w:hAnsi="Arial" w:cs="Arial"/>
                <w:color w:val="000000"/>
                <w:sz w:val="15"/>
                <w:szCs w:val="15"/>
              </w:rPr>
              <w:t>189 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834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34F"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8350" w14:textId="77777777" w:rsidR="00584EC1" w:rsidRDefault="00871F8D">
            <w:pPr>
              <w:jc w:val="right"/>
              <w:textAlignment w:val="bottom"/>
            </w:pPr>
            <w:r>
              <w:rPr>
                <w:rFonts w:ascii="Arial" w:eastAsia="宋体" w:hAnsi="Arial" w:cs="Arial"/>
                <w:color w:val="000000"/>
                <w:sz w:val="15"/>
                <w:szCs w:val="15"/>
              </w:rPr>
              <w:t>194 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835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352"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8353" w14:textId="77777777" w:rsidR="00584EC1" w:rsidRDefault="00871F8D">
            <w:pPr>
              <w:jc w:val="right"/>
              <w:textAlignment w:val="bottom"/>
            </w:pPr>
            <w:r>
              <w:rPr>
                <w:rFonts w:ascii="Arial" w:eastAsia="宋体" w:hAnsi="Arial" w:cs="Arial"/>
                <w:color w:val="000000"/>
                <w:sz w:val="15"/>
                <w:szCs w:val="15"/>
              </w:rPr>
              <w:t>3,591 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8354" w14:textId="77777777" w:rsidR="00584EC1" w:rsidRDefault="00584EC1">
            <w:pPr>
              <w:jc w:val="right"/>
              <w:rPr>
                <w:rFonts w:ascii="宋体"/>
              </w:rPr>
            </w:pPr>
          </w:p>
        </w:tc>
        <w:tc>
          <w:tcPr>
            <w:tcW w:w="0" w:type="auto"/>
            <w:shd w:val="clear" w:color="auto" w:fill="auto"/>
            <w:vAlign w:val="bottom"/>
          </w:tcPr>
          <w:p w14:paraId="74DD8355" w14:textId="77777777" w:rsidR="00584EC1" w:rsidRDefault="00584EC1">
            <w:pPr>
              <w:rPr>
                <w:rFonts w:ascii="宋体"/>
                <w:vanish/>
              </w:rPr>
            </w:pPr>
          </w:p>
        </w:tc>
      </w:tr>
      <w:tr w:rsidR="00584EC1" w14:paraId="74DD836A" w14:textId="77777777">
        <w:tc>
          <w:tcPr>
            <w:tcW w:w="0" w:type="auto"/>
            <w:gridSpan w:val="3"/>
            <w:shd w:val="clear" w:color="auto" w:fill="CCEEFF"/>
            <w:tcMar>
              <w:top w:w="40" w:type="dxa"/>
              <w:left w:w="20" w:type="dxa"/>
              <w:bottom w:w="40" w:type="dxa"/>
              <w:right w:w="20" w:type="dxa"/>
            </w:tcMar>
            <w:vAlign w:val="bottom"/>
          </w:tcPr>
          <w:p w14:paraId="74DD8357" w14:textId="77777777" w:rsidR="00584EC1" w:rsidRDefault="00871F8D">
            <w:pPr>
              <w:textAlignment w:val="bottom"/>
            </w:pPr>
            <w:r>
              <w:rPr>
                <w:rFonts w:ascii="Arial" w:eastAsia="宋体" w:hAnsi="Arial" w:cs="Arial"/>
                <w:color w:val="000000"/>
                <w:sz w:val="15"/>
                <w:szCs w:val="15"/>
              </w:rPr>
              <w:t>Long-term institutional flows, net</w:t>
            </w:r>
            <w:r>
              <w:rPr>
                <w:rFonts w:ascii="Arial" w:eastAsia="宋体" w:hAnsi="Arial" w:cs="Arial"/>
                <w:color w:val="000000"/>
                <w:sz w:val="9"/>
                <w:szCs w:val="9"/>
              </w:rPr>
              <w:t>(4)</w:t>
            </w:r>
          </w:p>
        </w:tc>
        <w:tc>
          <w:tcPr>
            <w:tcW w:w="0" w:type="auto"/>
            <w:gridSpan w:val="2"/>
            <w:shd w:val="clear" w:color="auto" w:fill="CCEEFF"/>
            <w:tcMar>
              <w:top w:w="40" w:type="dxa"/>
              <w:left w:w="20" w:type="dxa"/>
              <w:bottom w:w="40" w:type="dxa"/>
              <w:right w:w="0" w:type="dxa"/>
            </w:tcMar>
            <w:vAlign w:val="bottom"/>
          </w:tcPr>
          <w:p w14:paraId="74DD8358" w14:textId="77777777" w:rsidR="00584EC1" w:rsidRDefault="00871F8D">
            <w:pPr>
              <w:jc w:val="right"/>
              <w:textAlignment w:val="bottom"/>
            </w:pPr>
            <w:r>
              <w:rPr>
                <w:rFonts w:ascii="Arial" w:eastAsia="宋体" w:hAnsi="Arial" w:cs="Arial"/>
                <w:color w:val="000000"/>
                <w:sz w:val="15"/>
                <w:szCs w:val="15"/>
              </w:rPr>
              <w:t>13 </w:t>
            </w:r>
          </w:p>
        </w:tc>
        <w:tc>
          <w:tcPr>
            <w:tcW w:w="0" w:type="auto"/>
            <w:shd w:val="clear" w:color="auto" w:fill="CCEEFF"/>
            <w:tcMar>
              <w:top w:w="40" w:type="dxa"/>
              <w:left w:w="0" w:type="dxa"/>
              <w:bottom w:w="40" w:type="dxa"/>
              <w:right w:w="20" w:type="dxa"/>
            </w:tcMar>
            <w:vAlign w:val="bottom"/>
          </w:tcPr>
          <w:p w14:paraId="74DD835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35A"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35B" w14:textId="77777777" w:rsidR="00584EC1" w:rsidRDefault="00871F8D">
            <w:pPr>
              <w:jc w:val="right"/>
              <w:textAlignment w:val="bottom"/>
            </w:pPr>
            <w:r>
              <w:rPr>
                <w:rFonts w:ascii="Arial" w:eastAsia="宋体" w:hAnsi="Arial" w:cs="Arial"/>
                <w:color w:val="000000"/>
                <w:sz w:val="15"/>
                <w:szCs w:val="15"/>
              </w:rPr>
              <w:t>37 </w:t>
            </w:r>
          </w:p>
        </w:tc>
        <w:tc>
          <w:tcPr>
            <w:tcW w:w="0" w:type="auto"/>
            <w:shd w:val="clear" w:color="auto" w:fill="CCEEFF"/>
            <w:tcMar>
              <w:top w:w="40" w:type="dxa"/>
              <w:left w:w="0" w:type="dxa"/>
              <w:bottom w:w="40" w:type="dxa"/>
              <w:right w:w="20" w:type="dxa"/>
            </w:tcMar>
            <w:vAlign w:val="bottom"/>
          </w:tcPr>
          <w:p w14:paraId="74DD835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35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35E"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835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36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361" w14:textId="77777777" w:rsidR="00584EC1" w:rsidRDefault="00871F8D">
            <w:pPr>
              <w:jc w:val="right"/>
              <w:textAlignment w:val="bottom"/>
            </w:pPr>
            <w:r>
              <w:rPr>
                <w:rFonts w:ascii="Arial" w:eastAsia="宋体" w:hAnsi="Arial" w:cs="Arial"/>
                <w:color w:val="000000"/>
                <w:sz w:val="15"/>
                <w:szCs w:val="15"/>
              </w:rPr>
              <w:t>7 </w:t>
            </w:r>
          </w:p>
        </w:tc>
        <w:tc>
          <w:tcPr>
            <w:tcW w:w="0" w:type="auto"/>
            <w:shd w:val="clear" w:color="auto" w:fill="CCEEFF"/>
            <w:tcMar>
              <w:top w:w="40" w:type="dxa"/>
              <w:left w:w="0" w:type="dxa"/>
              <w:bottom w:w="40" w:type="dxa"/>
              <w:right w:w="20" w:type="dxa"/>
            </w:tcMar>
            <w:vAlign w:val="bottom"/>
          </w:tcPr>
          <w:p w14:paraId="74DD836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363"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364" w14:textId="77777777" w:rsidR="00584EC1" w:rsidRDefault="00871F8D">
            <w:pPr>
              <w:jc w:val="right"/>
              <w:textAlignment w:val="bottom"/>
            </w:pPr>
            <w:r>
              <w:rPr>
                <w:rFonts w:ascii="Arial" w:eastAsia="宋体" w:hAnsi="Arial" w:cs="Arial"/>
                <w:color w:val="000000"/>
                <w:sz w:val="15"/>
                <w:szCs w:val="15"/>
              </w:rPr>
              <w:t>(2)</w:t>
            </w:r>
          </w:p>
        </w:tc>
        <w:tc>
          <w:tcPr>
            <w:tcW w:w="0" w:type="auto"/>
            <w:shd w:val="clear" w:color="auto" w:fill="CCEEFF"/>
            <w:tcMar>
              <w:top w:w="40" w:type="dxa"/>
              <w:left w:w="0" w:type="dxa"/>
              <w:bottom w:w="40" w:type="dxa"/>
              <w:right w:w="20" w:type="dxa"/>
            </w:tcMar>
            <w:vAlign w:val="bottom"/>
          </w:tcPr>
          <w:p w14:paraId="74DD836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36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367" w14:textId="77777777" w:rsidR="00584EC1" w:rsidRDefault="00871F8D">
            <w:pPr>
              <w:jc w:val="right"/>
              <w:textAlignment w:val="bottom"/>
            </w:pPr>
            <w:r>
              <w:rPr>
                <w:rFonts w:ascii="Arial" w:eastAsia="宋体" w:hAnsi="Arial" w:cs="Arial"/>
                <w:color w:val="000000"/>
                <w:sz w:val="15"/>
                <w:szCs w:val="15"/>
              </w:rPr>
              <w:t>55 </w:t>
            </w:r>
          </w:p>
        </w:tc>
        <w:tc>
          <w:tcPr>
            <w:tcW w:w="0" w:type="auto"/>
            <w:shd w:val="clear" w:color="auto" w:fill="CCEEFF"/>
            <w:tcMar>
              <w:top w:w="40" w:type="dxa"/>
              <w:left w:w="0" w:type="dxa"/>
              <w:bottom w:w="40" w:type="dxa"/>
              <w:right w:w="20" w:type="dxa"/>
            </w:tcMar>
            <w:vAlign w:val="bottom"/>
          </w:tcPr>
          <w:p w14:paraId="74DD8368" w14:textId="77777777" w:rsidR="00584EC1" w:rsidRDefault="00584EC1">
            <w:pPr>
              <w:jc w:val="right"/>
              <w:rPr>
                <w:rFonts w:ascii="宋体"/>
              </w:rPr>
            </w:pPr>
          </w:p>
        </w:tc>
        <w:tc>
          <w:tcPr>
            <w:tcW w:w="0" w:type="auto"/>
            <w:shd w:val="clear" w:color="auto" w:fill="auto"/>
            <w:vAlign w:val="bottom"/>
          </w:tcPr>
          <w:p w14:paraId="74DD8369" w14:textId="77777777" w:rsidR="00584EC1" w:rsidRDefault="00584EC1">
            <w:pPr>
              <w:rPr>
                <w:rFonts w:ascii="宋体"/>
                <w:vanish/>
              </w:rPr>
            </w:pPr>
          </w:p>
        </w:tc>
      </w:tr>
      <w:tr w:rsidR="00584EC1" w14:paraId="74DD837E" w14:textId="77777777">
        <w:tc>
          <w:tcPr>
            <w:tcW w:w="0" w:type="auto"/>
            <w:gridSpan w:val="3"/>
            <w:shd w:val="clear" w:color="auto" w:fill="FFFFFF"/>
            <w:tcMar>
              <w:top w:w="40" w:type="dxa"/>
              <w:left w:w="20" w:type="dxa"/>
              <w:bottom w:w="40" w:type="dxa"/>
              <w:right w:w="20" w:type="dxa"/>
            </w:tcMar>
            <w:vAlign w:val="bottom"/>
          </w:tcPr>
          <w:p w14:paraId="74DD836B" w14:textId="77777777" w:rsidR="00584EC1" w:rsidRDefault="00871F8D">
            <w:pPr>
              <w:textAlignment w:val="bottom"/>
            </w:pPr>
            <w:r>
              <w:rPr>
                <w:rFonts w:ascii="Arial" w:eastAsia="宋体" w:hAnsi="Arial" w:cs="Arial"/>
                <w:color w:val="000000"/>
                <w:sz w:val="15"/>
                <w:szCs w:val="15"/>
              </w:rPr>
              <w:t>Exchange-traded fund flows, net</w:t>
            </w:r>
          </w:p>
        </w:tc>
        <w:tc>
          <w:tcPr>
            <w:tcW w:w="0" w:type="auto"/>
            <w:gridSpan w:val="2"/>
            <w:shd w:val="clear" w:color="auto" w:fill="FFFFFF"/>
            <w:tcMar>
              <w:top w:w="40" w:type="dxa"/>
              <w:left w:w="20" w:type="dxa"/>
              <w:bottom w:w="40" w:type="dxa"/>
              <w:right w:w="0" w:type="dxa"/>
            </w:tcMar>
            <w:vAlign w:val="bottom"/>
          </w:tcPr>
          <w:p w14:paraId="74DD836C" w14:textId="77777777" w:rsidR="00584EC1" w:rsidRDefault="00871F8D">
            <w:pPr>
              <w:jc w:val="right"/>
              <w:textAlignment w:val="bottom"/>
            </w:pPr>
            <w:r>
              <w:rPr>
                <w:rFonts w:ascii="Arial" w:eastAsia="宋体" w:hAnsi="Arial" w:cs="Arial"/>
                <w:color w:val="000000"/>
                <w:sz w:val="15"/>
                <w:szCs w:val="15"/>
              </w:rPr>
              <w:t>15 </w:t>
            </w:r>
          </w:p>
        </w:tc>
        <w:tc>
          <w:tcPr>
            <w:tcW w:w="0" w:type="auto"/>
            <w:shd w:val="clear" w:color="auto" w:fill="FFFFFF"/>
            <w:tcMar>
              <w:top w:w="40" w:type="dxa"/>
              <w:left w:w="0" w:type="dxa"/>
              <w:bottom w:w="40" w:type="dxa"/>
              <w:right w:w="20" w:type="dxa"/>
            </w:tcMar>
            <w:vAlign w:val="bottom"/>
          </w:tcPr>
          <w:p w14:paraId="74DD836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36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36F" w14:textId="77777777" w:rsidR="00584EC1" w:rsidRDefault="00871F8D">
            <w:pPr>
              <w:jc w:val="right"/>
              <w:textAlignment w:val="bottom"/>
            </w:pPr>
            <w:r>
              <w:rPr>
                <w:rFonts w:ascii="Arial" w:eastAsia="宋体" w:hAnsi="Arial" w:cs="Arial"/>
                <w:color w:val="000000"/>
                <w:sz w:val="15"/>
                <w:szCs w:val="15"/>
              </w:rPr>
              <w:t>5 </w:t>
            </w:r>
          </w:p>
        </w:tc>
        <w:tc>
          <w:tcPr>
            <w:tcW w:w="0" w:type="auto"/>
            <w:shd w:val="clear" w:color="auto" w:fill="FFFFFF"/>
            <w:tcMar>
              <w:top w:w="40" w:type="dxa"/>
              <w:left w:w="0" w:type="dxa"/>
              <w:bottom w:w="40" w:type="dxa"/>
              <w:right w:w="20" w:type="dxa"/>
            </w:tcMar>
            <w:vAlign w:val="bottom"/>
          </w:tcPr>
          <w:p w14:paraId="74DD837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37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372"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837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37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375"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837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37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378" w14:textId="77777777" w:rsidR="00584EC1" w:rsidRDefault="00871F8D">
            <w:pPr>
              <w:jc w:val="right"/>
              <w:textAlignment w:val="bottom"/>
            </w:pPr>
            <w:r>
              <w:rPr>
                <w:rFonts w:ascii="Arial" w:eastAsia="宋体" w:hAnsi="Arial" w:cs="Arial"/>
                <w:color w:val="000000"/>
                <w:sz w:val="15"/>
                <w:szCs w:val="15"/>
              </w:rPr>
              <w:t>1 </w:t>
            </w:r>
          </w:p>
        </w:tc>
        <w:tc>
          <w:tcPr>
            <w:tcW w:w="0" w:type="auto"/>
            <w:shd w:val="clear" w:color="auto" w:fill="FFFFFF"/>
            <w:tcMar>
              <w:top w:w="40" w:type="dxa"/>
              <w:left w:w="0" w:type="dxa"/>
              <w:bottom w:w="40" w:type="dxa"/>
              <w:right w:w="20" w:type="dxa"/>
            </w:tcMar>
            <w:vAlign w:val="bottom"/>
          </w:tcPr>
          <w:p w14:paraId="74DD837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37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37B" w14:textId="77777777" w:rsidR="00584EC1" w:rsidRDefault="00871F8D">
            <w:pPr>
              <w:jc w:val="right"/>
              <w:textAlignment w:val="bottom"/>
            </w:pPr>
            <w:r>
              <w:rPr>
                <w:rFonts w:ascii="Arial" w:eastAsia="宋体" w:hAnsi="Arial" w:cs="Arial"/>
                <w:color w:val="000000"/>
                <w:sz w:val="15"/>
                <w:szCs w:val="15"/>
              </w:rPr>
              <w:t>21 </w:t>
            </w:r>
          </w:p>
        </w:tc>
        <w:tc>
          <w:tcPr>
            <w:tcW w:w="0" w:type="auto"/>
            <w:shd w:val="clear" w:color="auto" w:fill="FFFFFF"/>
            <w:tcMar>
              <w:top w:w="40" w:type="dxa"/>
              <w:left w:w="0" w:type="dxa"/>
              <w:bottom w:w="40" w:type="dxa"/>
              <w:right w:w="20" w:type="dxa"/>
            </w:tcMar>
            <w:vAlign w:val="bottom"/>
          </w:tcPr>
          <w:p w14:paraId="74DD837C" w14:textId="77777777" w:rsidR="00584EC1" w:rsidRDefault="00584EC1">
            <w:pPr>
              <w:jc w:val="right"/>
              <w:rPr>
                <w:rFonts w:ascii="宋体"/>
              </w:rPr>
            </w:pPr>
          </w:p>
        </w:tc>
        <w:tc>
          <w:tcPr>
            <w:tcW w:w="0" w:type="auto"/>
            <w:shd w:val="clear" w:color="auto" w:fill="auto"/>
            <w:vAlign w:val="bottom"/>
          </w:tcPr>
          <w:p w14:paraId="74DD837D" w14:textId="77777777" w:rsidR="00584EC1" w:rsidRDefault="00584EC1">
            <w:pPr>
              <w:rPr>
                <w:rFonts w:ascii="宋体"/>
                <w:vanish/>
              </w:rPr>
            </w:pPr>
          </w:p>
        </w:tc>
      </w:tr>
      <w:tr w:rsidR="00584EC1" w14:paraId="74DD8392" w14:textId="77777777">
        <w:tc>
          <w:tcPr>
            <w:tcW w:w="0" w:type="auto"/>
            <w:gridSpan w:val="3"/>
            <w:shd w:val="clear" w:color="auto" w:fill="CCEEFF"/>
            <w:tcMar>
              <w:top w:w="40" w:type="dxa"/>
              <w:left w:w="20" w:type="dxa"/>
              <w:bottom w:w="40" w:type="dxa"/>
              <w:right w:w="20" w:type="dxa"/>
            </w:tcMar>
            <w:vAlign w:val="bottom"/>
          </w:tcPr>
          <w:p w14:paraId="74DD837F" w14:textId="77777777" w:rsidR="00584EC1" w:rsidRDefault="00871F8D">
            <w:pPr>
              <w:textAlignment w:val="bottom"/>
            </w:pPr>
            <w:r>
              <w:rPr>
                <w:rFonts w:ascii="Arial" w:eastAsia="宋体" w:hAnsi="Arial" w:cs="Arial"/>
                <w:color w:val="000000"/>
                <w:sz w:val="15"/>
                <w:szCs w:val="15"/>
              </w:rPr>
              <w:t>Cash fund flows, net</w:t>
            </w:r>
          </w:p>
        </w:tc>
        <w:tc>
          <w:tcPr>
            <w:tcW w:w="0" w:type="auto"/>
            <w:gridSpan w:val="2"/>
            <w:shd w:val="clear" w:color="auto" w:fill="CCEEFF"/>
            <w:tcMar>
              <w:top w:w="40" w:type="dxa"/>
              <w:left w:w="20" w:type="dxa"/>
              <w:bottom w:w="40" w:type="dxa"/>
              <w:right w:w="0" w:type="dxa"/>
            </w:tcMar>
            <w:vAlign w:val="bottom"/>
          </w:tcPr>
          <w:p w14:paraId="74DD8380"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838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382"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383"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838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38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386" w14:textId="77777777" w:rsidR="00584EC1" w:rsidRDefault="00871F8D">
            <w:pPr>
              <w:jc w:val="right"/>
              <w:textAlignment w:val="bottom"/>
            </w:pPr>
            <w:r>
              <w:rPr>
                <w:rFonts w:ascii="Arial" w:eastAsia="宋体" w:hAnsi="Arial" w:cs="Arial"/>
                <w:color w:val="000000"/>
                <w:sz w:val="15"/>
                <w:szCs w:val="15"/>
              </w:rPr>
              <w:t>7 </w:t>
            </w:r>
          </w:p>
        </w:tc>
        <w:tc>
          <w:tcPr>
            <w:tcW w:w="0" w:type="auto"/>
            <w:shd w:val="clear" w:color="auto" w:fill="CCEEFF"/>
            <w:tcMar>
              <w:top w:w="40" w:type="dxa"/>
              <w:left w:w="0" w:type="dxa"/>
              <w:bottom w:w="40" w:type="dxa"/>
              <w:right w:w="20" w:type="dxa"/>
            </w:tcMar>
            <w:vAlign w:val="bottom"/>
          </w:tcPr>
          <w:p w14:paraId="74DD838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388"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389"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838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38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38C"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838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38E"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38F" w14:textId="77777777" w:rsidR="00584EC1" w:rsidRDefault="00871F8D">
            <w:pPr>
              <w:jc w:val="right"/>
              <w:textAlignment w:val="bottom"/>
            </w:pPr>
            <w:r>
              <w:rPr>
                <w:rFonts w:ascii="Arial" w:eastAsia="宋体" w:hAnsi="Arial" w:cs="Arial"/>
                <w:color w:val="000000"/>
                <w:sz w:val="15"/>
                <w:szCs w:val="15"/>
              </w:rPr>
              <w:t>7 </w:t>
            </w:r>
          </w:p>
        </w:tc>
        <w:tc>
          <w:tcPr>
            <w:tcW w:w="0" w:type="auto"/>
            <w:shd w:val="clear" w:color="auto" w:fill="CCEEFF"/>
            <w:tcMar>
              <w:top w:w="40" w:type="dxa"/>
              <w:left w:w="0" w:type="dxa"/>
              <w:bottom w:w="40" w:type="dxa"/>
              <w:right w:w="20" w:type="dxa"/>
            </w:tcMar>
            <w:vAlign w:val="bottom"/>
          </w:tcPr>
          <w:p w14:paraId="74DD8390" w14:textId="77777777" w:rsidR="00584EC1" w:rsidRDefault="00584EC1">
            <w:pPr>
              <w:jc w:val="right"/>
              <w:rPr>
                <w:rFonts w:ascii="宋体"/>
              </w:rPr>
            </w:pPr>
          </w:p>
        </w:tc>
        <w:tc>
          <w:tcPr>
            <w:tcW w:w="0" w:type="auto"/>
            <w:shd w:val="clear" w:color="auto" w:fill="auto"/>
            <w:vAlign w:val="bottom"/>
          </w:tcPr>
          <w:p w14:paraId="74DD8391" w14:textId="77777777" w:rsidR="00584EC1" w:rsidRDefault="00584EC1">
            <w:pPr>
              <w:rPr>
                <w:rFonts w:ascii="宋体"/>
                <w:vanish/>
              </w:rPr>
            </w:pPr>
          </w:p>
        </w:tc>
      </w:tr>
      <w:tr w:rsidR="00584EC1" w14:paraId="74DD83A6" w14:textId="77777777">
        <w:tc>
          <w:tcPr>
            <w:tcW w:w="0" w:type="auto"/>
            <w:gridSpan w:val="3"/>
            <w:shd w:val="clear" w:color="auto" w:fill="FFFFFF"/>
            <w:tcMar>
              <w:top w:w="40" w:type="dxa"/>
              <w:left w:w="20" w:type="dxa"/>
              <w:bottom w:w="40" w:type="dxa"/>
              <w:right w:w="20" w:type="dxa"/>
            </w:tcMar>
            <w:vAlign w:val="bottom"/>
          </w:tcPr>
          <w:p w14:paraId="74DD8393" w14:textId="77777777" w:rsidR="00584EC1" w:rsidRDefault="00871F8D">
            <w:pPr>
              <w:textAlignment w:val="bottom"/>
            </w:pPr>
            <w:r>
              <w:rPr>
                <w:rFonts w:ascii="Arial" w:eastAsia="宋体" w:hAnsi="Arial" w:cs="Arial"/>
                <w:color w:val="000000"/>
                <w:sz w:val="15"/>
                <w:szCs w:val="15"/>
              </w:rPr>
              <w:t>Total flows, net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8394" w14:textId="77777777" w:rsidR="00584EC1" w:rsidRDefault="00871F8D">
            <w:pPr>
              <w:jc w:val="right"/>
              <w:textAlignment w:val="bottom"/>
            </w:pPr>
            <w:r>
              <w:rPr>
                <w:rFonts w:ascii="Arial" w:eastAsia="宋体" w:hAnsi="Arial" w:cs="Arial"/>
                <w:color w:val="000000"/>
                <w:sz w:val="15"/>
                <w:szCs w:val="15"/>
              </w:rPr>
              <w:t>28 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839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396"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8397" w14:textId="77777777" w:rsidR="00584EC1" w:rsidRDefault="00871F8D">
            <w:pPr>
              <w:jc w:val="right"/>
              <w:textAlignment w:val="bottom"/>
            </w:pPr>
            <w:r>
              <w:rPr>
                <w:rFonts w:ascii="Arial" w:eastAsia="宋体" w:hAnsi="Arial" w:cs="Arial"/>
                <w:color w:val="000000"/>
                <w:sz w:val="15"/>
                <w:szCs w:val="15"/>
              </w:rPr>
              <w:t>42 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839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399"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839A" w14:textId="77777777" w:rsidR="00584EC1" w:rsidRDefault="00871F8D">
            <w:pPr>
              <w:jc w:val="right"/>
              <w:textAlignment w:val="bottom"/>
            </w:pPr>
            <w:r>
              <w:rPr>
                <w:rFonts w:ascii="Arial" w:eastAsia="宋体" w:hAnsi="Arial" w:cs="Arial"/>
                <w:color w:val="000000"/>
                <w:sz w:val="15"/>
                <w:szCs w:val="15"/>
              </w:rPr>
              <w:t>7 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839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39C"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839D" w14:textId="77777777" w:rsidR="00584EC1" w:rsidRDefault="00871F8D">
            <w:pPr>
              <w:jc w:val="right"/>
              <w:textAlignment w:val="bottom"/>
            </w:pPr>
            <w:r>
              <w:rPr>
                <w:rFonts w:ascii="Arial" w:eastAsia="宋体" w:hAnsi="Arial" w:cs="Arial"/>
                <w:color w:val="000000"/>
                <w:sz w:val="15"/>
                <w:szCs w:val="15"/>
              </w:rPr>
              <w:t>7 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839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39F"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83A0" w14:textId="77777777" w:rsidR="00584EC1" w:rsidRDefault="00871F8D">
            <w:pPr>
              <w:jc w:val="right"/>
              <w:textAlignment w:val="bottom"/>
            </w:pPr>
            <w:r>
              <w:rPr>
                <w:rFonts w:ascii="Arial" w:eastAsia="宋体" w:hAnsi="Arial" w:cs="Arial"/>
                <w:color w:val="000000"/>
                <w:sz w:val="15"/>
                <w:szCs w:val="15"/>
              </w:rPr>
              <w:t>(1)</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83A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3A2"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83A3" w14:textId="77777777" w:rsidR="00584EC1" w:rsidRDefault="00871F8D">
            <w:pPr>
              <w:jc w:val="right"/>
              <w:textAlignment w:val="bottom"/>
            </w:pPr>
            <w:r>
              <w:rPr>
                <w:rFonts w:ascii="Arial" w:eastAsia="宋体" w:hAnsi="Arial" w:cs="Arial"/>
                <w:color w:val="000000"/>
                <w:sz w:val="15"/>
                <w:szCs w:val="15"/>
              </w:rPr>
              <w:t>83 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83A4" w14:textId="77777777" w:rsidR="00584EC1" w:rsidRDefault="00584EC1">
            <w:pPr>
              <w:jc w:val="right"/>
              <w:rPr>
                <w:rFonts w:ascii="宋体"/>
              </w:rPr>
            </w:pPr>
          </w:p>
        </w:tc>
        <w:tc>
          <w:tcPr>
            <w:tcW w:w="0" w:type="auto"/>
            <w:shd w:val="clear" w:color="auto" w:fill="auto"/>
            <w:vAlign w:val="bottom"/>
          </w:tcPr>
          <w:p w14:paraId="74DD83A5" w14:textId="77777777" w:rsidR="00584EC1" w:rsidRDefault="00584EC1">
            <w:pPr>
              <w:rPr>
                <w:rFonts w:ascii="宋体"/>
                <w:vanish/>
              </w:rPr>
            </w:pPr>
          </w:p>
        </w:tc>
      </w:tr>
      <w:tr w:rsidR="00584EC1" w14:paraId="74DD83BA" w14:textId="77777777">
        <w:tc>
          <w:tcPr>
            <w:tcW w:w="0" w:type="auto"/>
            <w:gridSpan w:val="3"/>
            <w:shd w:val="clear" w:color="auto" w:fill="CCEEFF"/>
            <w:tcMar>
              <w:top w:w="40" w:type="dxa"/>
              <w:left w:w="155" w:type="dxa"/>
              <w:bottom w:w="40" w:type="dxa"/>
              <w:right w:w="20" w:type="dxa"/>
            </w:tcMar>
            <w:vAlign w:val="bottom"/>
          </w:tcPr>
          <w:p w14:paraId="74DD83A7" w14:textId="77777777" w:rsidR="00584EC1" w:rsidRDefault="00871F8D">
            <w:pPr>
              <w:textAlignment w:val="bottom"/>
            </w:pPr>
            <w:r>
              <w:rPr>
                <w:rFonts w:ascii="Arial" w:eastAsia="宋体" w:hAnsi="Arial" w:cs="Arial"/>
                <w:color w:val="000000"/>
                <w:sz w:val="15"/>
                <w:szCs w:val="15"/>
              </w:rPr>
              <w:t>Market appreciation (depreciation)</w:t>
            </w:r>
          </w:p>
        </w:tc>
        <w:tc>
          <w:tcPr>
            <w:tcW w:w="0" w:type="auto"/>
            <w:gridSpan w:val="2"/>
            <w:shd w:val="clear" w:color="auto" w:fill="CCEEFF"/>
            <w:tcMar>
              <w:top w:w="40" w:type="dxa"/>
              <w:left w:w="20" w:type="dxa"/>
              <w:bottom w:w="40" w:type="dxa"/>
              <w:right w:w="0" w:type="dxa"/>
            </w:tcMar>
            <w:vAlign w:val="bottom"/>
          </w:tcPr>
          <w:p w14:paraId="74DD83A8" w14:textId="77777777" w:rsidR="00584EC1" w:rsidRDefault="00871F8D">
            <w:pPr>
              <w:jc w:val="right"/>
              <w:textAlignment w:val="bottom"/>
            </w:pPr>
            <w:r>
              <w:rPr>
                <w:rFonts w:ascii="Arial" w:eastAsia="宋体" w:hAnsi="Arial" w:cs="Arial"/>
                <w:color w:val="000000"/>
                <w:sz w:val="15"/>
                <w:szCs w:val="15"/>
              </w:rPr>
              <w:t>152 </w:t>
            </w:r>
          </w:p>
        </w:tc>
        <w:tc>
          <w:tcPr>
            <w:tcW w:w="0" w:type="auto"/>
            <w:shd w:val="clear" w:color="auto" w:fill="CCEEFF"/>
            <w:tcMar>
              <w:top w:w="40" w:type="dxa"/>
              <w:left w:w="0" w:type="dxa"/>
              <w:bottom w:w="40" w:type="dxa"/>
              <w:right w:w="20" w:type="dxa"/>
            </w:tcMar>
            <w:vAlign w:val="bottom"/>
          </w:tcPr>
          <w:p w14:paraId="74DD83A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3AA"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3AB" w14:textId="77777777" w:rsidR="00584EC1" w:rsidRDefault="00871F8D">
            <w:pPr>
              <w:jc w:val="right"/>
              <w:textAlignment w:val="bottom"/>
            </w:pPr>
            <w:r>
              <w:rPr>
                <w:rFonts w:ascii="Arial" w:eastAsia="宋体" w:hAnsi="Arial" w:cs="Arial"/>
                <w:color w:val="000000"/>
                <w:sz w:val="15"/>
                <w:szCs w:val="15"/>
              </w:rPr>
              <w:t>14 </w:t>
            </w:r>
          </w:p>
        </w:tc>
        <w:tc>
          <w:tcPr>
            <w:tcW w:w="0" w:type="auto"/>
            <w:shd w:val="clear" w:color="auto" w:fill="CCEEFF"/>
            <w:tcMar>
              <w:top w:w="40" w:type="dxa"/>
              <w:left w:w="0" w:type="dxa"/>
              <w:bottom w:w="40" w:type="dxa"/>
              <w:right w:w="20" w:type="dxa"/>
            </w:tcMar>
            <w:vAlign w:val="bottom"/>
          </w:tcPr>
          <w:p w14:paraId="74DD83A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3A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3AE" w14:textId="77777777" w:rsidR="00584EC1" w:rsidRDefault="00871F8D">
            <w:pPr>
              <w:jc w:val="right"/>
              <w:textAlignment w:val="bottom"/>
            </w:pPr>
            <w:r>
              <w:rPr>
                <w:rFonts w:ascii="Arial" w:eastAsia="宋体" w:hAnsi="Arial" w:cs="Arial"/>
                <w:color w:val="000000"/>
                <w:sz w:val="15"/>
                <w:szCs w:val="15"/>
              </w:rPr>
              <w:t>2 </w:t>
            </w:r>
          </w:p>
        </w:tc>
        <w:tc>
          <w:tcPr>
            <w:tcW w:w="0" w:type="auto"/>
            <w:shd w:val="clear" w:color="auto" w:fill="CCEEFF"/>
            <w:tcMar>
              <w:top w:w="40" w:type="dxa"/>
              <w:left w:w="0" w:type="dxa"/>
              <w:bottom w:w="40" w:type="dxa"/>
              <w:right w:w="20" w:type="dxa"/>
            </w:tcMar>
            <w:vAlign w:val="bottom"/>
          </w:tcPr>
          <w:p w14:paraId="74DD83A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3B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3B1" w14:textId="77777777" w:rsidR="00584EC1" w:rsidRDefault="00871F8D">
            <w:pPr>
              <w:jc w:val="right"/>
              <w:textAlignment w:val="bottom"/>
            </w:pPr>
            <w:r>
              <w:rPr>
                <w:rFonts w:ascii="Arial" w:eastAsia="宋体" w:hAnsi="Arial" w:cs="Arial"/>
                <w:color w:val="000000"/>
                <w:sz w:val="15"/>
                <w:szCs w:val="15"/>
              </w:rPr>
              <w:t>11 </w:t>
            </w:r>
          </w:p>
        </w:tc>
        <w:tc>
          <w:tcPr>
            <w:tcW w:w="0" w:type="auto"/>
            <w:shd w:val="clear" w:color="auto" w:fill="CCEEFF"/>
            <w:tcMar>
              <w:top w:w="40" w:type="dxa"/>
              <w:left w:w="0" w:type="dxa"/>
              <w:bottom w:w="40" w:type="dxa"/>
              <w:right w:w="20" w:type="dxa"/>
            </w:tcMar>
            <w:vAlign w:val="bottom"/>
          </w:tcPr>
          <w:p w14:paraId="74DD83B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3B3"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3B4" w14:textId="77777777" w:rsidR="00584EC1" w:rsidRDefault="00871F8D">
            <w:pPr>
              <w:jc w:val="right"/>
              <w:textAlignment w:val="bottom"/>
            </w:pPr>
            <w:r>
              <w:rPr>
                <w:rFonts w:ascii="Arial" w:eastAsia="宋体" w:hAnsi="Arial" w:cs="Arial"/>
                <w:color w:val="000000"/>
                <w:sz w:val="15"/>
                <w:szCs w:val="15"/>
              </w:rPr>
              <w:t>45 </w:t>
            </w:r>
          </w:p>
        </w:tc>
        <w:tc>
          <w:tcPr>
            <w:tcW w:w="0" w:type="auto"/>
            <w:shd w:val="clear" w:color="auto" w:fill="CCEEFF"/>
            <w:tcMar>
              <w:top w:w="40" w:type="dxa"/>
              <w:left w:w="0" w:type="dxa"/>
              <w:bottom w:w="40" w:type="dxa"/>
              <w:right w:w="20" w:type="dxa"/>
            </w:tcMar>
            <w:vAlign w:val="bottom"/>
          </w:tcPr>
          <w:p w14:paraId="74DD83B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3B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3B7" w14:textId="77777777" w:rsidR="00584EC1" w:rsidRDefault="00871F8D">
            <w:pPr>
              <w:jc w:val="right"/>
              <w:textAlignment w:val="bottom"/>
            </w:pPr>
            <w:r>
              <w:rPr>
                <w:rFonts w:ascii="Arial" w:eastAsia="宋体" w:hAnsi="Arial" w:cs="Arial"/>
                <w:color w:val="000000"/>
                <w:sz w:val="15"/>
                <w:szCs w:val="15"/>
              </w:rPr>
              <w:t>224 </w:t>
            </w:r>
          </w:p>
        </w:tc>
        <w:tc>
          <w:tcPr>
            <w:tcW w:w="0" w:type="auto"/>
            <w:shd w:val="clear" w:color="auto" w:fill="CCEEFF"/>
            <w:tcMar>
              <w:top w:w="40" w:type="dxa"/>
              <w:left w:w="0" w:type="dxa"/>
              <w:bottom w:w="40" w:type="dxa"/>
              <w:right w:w="20" w:type="dxa"/>
            </w:tcMar>
            <w:vAlign w:val="bottom"/>
          </w:tcPr>
          <w:p w14:paraId="74DD83B8" w14:textId="77777777" w:rsidR="00584EC1" w:rsidRDefault="00584EC1">
            <w:pPr>
              <w:jc w:val="right"/>
              <w:rPr>
                <w:rFonts w:ascii="宋体"/>
              </w:rPr>
            </w:pPr>
          </w:p>
        </w:tc>
        <w:tc>
          <w:tcPr>
            <w:tcW w:w="0" w:type="auto"/>
            <w:shd w:val="clear" w:color="auto" w:fill="auto"/>
            <w:vAlign w:val="bottom"/>
          </w:tcPr>
          <w:p w14:paraId="74DD83B9" w14:textId="77777777" w:rsidR="00584EC1" w:rsidRDefault="00584EC1">
            <w:pPr>
              <w:rPr>
                <w:rFonts w:ascii="宋体"/>
                <w:vanish/>
              </w:rPr>
            </w:pPr>
          </w:p>
        </w:tc>
      </w:tr>
      <w:tr w:rsidR="00584EC1" w14:paraId="74DD83CE" w14:textId="77777777">
        <w:tc>
          <w:tcPr>
            <w:tcW w:w="0" w:type="auto"/>
            <w:gridSpan w:val="3"/>
            <w:shd w:val="clear" w:color="auto" w:fill="FFFFFF"/>
            <w:tcMar>
              <w:top w:w="40" w:type="dxa"/>
              <w:left w:w="155" w:type="dxa"/>
              <w:bottom w:w="40" w:type="dxa"/>
              <w:right w:w="20" w:type="dxa"/>
            </w:tcMar>
            <w:vAlign w:val="bottom"/>
          </w:tcPr>
          <w:p w14:paraId="74DD83BB" w14:textId="77777777" w:rsidR="00584EC1" w:rsidRDefault="00871F8D">
            <w:pPr>
              <w:textAlignment w:val="bottom"/>
            </w:pPr>
            <w:r>
              <w:rPr>
                <w:rFonts w:ascii="Arial" w:eastAsia="宋体" w:hAnsi="Arial" w:cs="Arial"/>
                <w:color w:val="000000"/>
                <w:sz w:val="15"/>
                <w:szCs w:val="15"/>
              </w:rPr>
              <w:t>Foreign exchange impact</w:t>
            </w:r>
          </w:p>
        </w:tc>
        <w:tc>
          <w:tcPr>
            <w:tcW w:w="0" w:type="auto"/>
            <w:gridSpan w:val="2"/>
            <w:shd w:val="clear" w:color="auto" w:fill="FFFFFF"/>
            <w:tcMar>
              <w:top w:w="40" w:type="dxa"/>
              <w:left w:w="20" w:type="dxa"/>
              <w:bottom w:w="40" w:type="dxa"/>
              <w:right w:w="0" w:type="dxa"/>
            </w:tcMar>
            <w:vAlign w:val="bottom"/>
          </w:tcPr>
          <w:p w14:paraId="74DD83BC" w14:textId="77777777" w:rsidR="00584EC1" w:rsidRDefault="00871F8D">
            <w:pPr>
              <w:jc w:val="right"/>
              <w:textAlignment w:val="bottom"/>
            </w:pPr>
            <w:r>
              <w:rPr>
                <w:rFonts w:ascii="Arial" w:eastAsia="宋体" w:hAnsi="Arial" w:cs="Arial"/>
                <w:color w:val="000000"/>
                <w:sz w:val="15"/>
                <w:szCs w:val="15"/>
              </w:rPr>
              <w:t>(1)</w:t>
            </w:r>
          </w:p>
        </w:tc>
        <w:tc>
          <w:tcPr>
            <w:tcW w:w="0" w:type="auto"/>
            <w:shd w:val="clear" w:color="auto" w:fill="FFFFFF"/>
            <w:tcMar>
              <w:top w:w="40" w:type="dxa"/>
              <w:left w:w="0" w:type="dxa"/>
              <w:bottom w:w="40" w:type="dxa"/>
              <w:right w:w="20" w:type="dxa"/>
            </w:tcMar>
            <w:vAlign w:val="bottom"/>
          </w:tcPr>
          <w:p w14:paraId="74DD83B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3B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3BF"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83C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3C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3C2"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83C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3C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3C5"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83C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3C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3C8"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83C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3C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3CB" w14:textId="77777777" w:rsidR="00584EC1" w:rsidRDefault="00871F8D">
            <w:pPr>
              <w:jc w:val="right"/>
              <w:textAlignment w:val="bottom"/>
            </w:pPr>
            <w:r>
              <w:rPr>
                <w:rFonts w:ascii="Arial" w:eastAsia="宋体" w:hAnsi="Arial" w:cs="Arial"/>
                <w:color w:val="000000"/>
                <w:sz w:val="15"/>
                <w:szCs w:val="15"/>
              </w:rPr>
              <w:t>(1)</w:t>
            </w:r>
          </w:p>
        </w:tc>
        <w:tc>
          <w:tcPr>
            <w:tcW w:w="0" w:type="auto"/>
            <w:shd w:val="clear" w:color="auto" w:fill="FFFFFF"/>
            <w:tcMar>
              <w:top w:w="40" w:type="dxa"/>
              <w:left w:w="0" w:type="dxa"/>
              <w:bottom w:w="40" w:type="dxa"/>
              <w:right w:w="20" w:type="dxa"/>
            </w:tcMar>
            <w:vAlign w:val="bottom"/>
          </w:tcPr>
          <w:p w14:paraId="74DD83CC" w14:textId="77777777" w:rsidR="00584EC1" w:rsidRDefault="00584EC1">
            <w:pPr>
              <w:jc w:val="right"/>
              <w:rPr>
                <w:rFonts w:ascii="宋体"/>
              </w:rPr>
            </w:pPr>
          </w:p>
        </w:tc>
        <w:tc>
          <w:tcPr>
            <w:tcW w:w="0" w:type="auto"/>
            <w:shd w:val="clear" w:color="auto" w:fill="auto"/>
            <w:vAlign w:val="bottom"/>
          </w:tcPr>
          <w:p w14:paraId="74DD83CD" w14:textId="77777777" w:rsidR="00584EC1" w:rsidRDefault="00584EC1">
            <w:pPr>
              <w:rPr>
                <w:rFonts w:ascii="宋体"/>
                <w:vanish/>
              </w:rPr>
            </w:pPr>
          </w:p>
        </w:tc>
      </w:tr>
      <w:tr w:rsidR="00584EC1" w14:paraId="74DD83E2" w14:textId="77777777">
        <w:tc>
          <w:tcPr>
            <w:tcW w:w="0" w:type="auto"/>
            <w:gridSpan w:val="3"/>
            <w:shd w:val="clear" w:color="auto" w:fill="CCEEFF"/>
            <w:tcMar>
              <w:top w:w="40" w:type="dxa"/>
              <w:left w:w="20" w:type="dxa"/>
              <w:bottom w:w="40" w:type="dxa"/>
              <w:right w:w="20" w:type="dxa"/>
            </w:tcMar>
            <w:vAlign w:val="bottom"/>
          </w:tcPr>
          <w:p w14:paraId="74DD83CF" w14:textId="77777777" w:rsidR="00584EC1" w:rsidRDefault="00871F8D">
            <w:pPr>
              <w:textAlignment w:val="bottom"/>
            </w:pPr>
            <w:r>
              <w:rPr>
                <w:rFonts w:ascii="Arial" w:eastAsia="宋体" w:hAnsi="Arial" w:cs="Arial"/>
                <w:color w:val="000000"/>
                <w:sz w:val="15"/>
                <w:szCs w:val="15"/>
              </w:rPr>
              <w:t>Total market/foreign exchange impact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83D0" w14:textId="77777777" w:rsidR="00584EC1" w:rsidRDefault="00871F8D">
            <w:pPr>
              <w:jc w:val="right"/>
              <w:textAlignment w:val="bottom"/>
            </w:pPr>
            <w:r>
              <w:rPr>
                <w:rFonts w:ascii="Arial" w:eastAsia="宋体" w:hAnsi="Arial" w:cs="Arial"/>
                <w:color w:val="000000"/>
                <w:sz w:val="15"/>
                <w:szCs w:val="15"/>
              </w:rPr>
              <w:t>151 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3D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3D2"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83D3" w14:textId="77777777" w:rsidR="00584EC1" w:rsidRDefault="00871F8D">
            <w:pPr>
              <w:jc w:val="right"/>
              <w:textAlignment w:val="bottom"/>
            </w:pPr>
            <w:r>
              <w:rPr>
                <w:rFonts w:ascii="Arial" w:eastAsia="宋体" w:hAnsi="Arial" w:cs="Arial"/>
                <w:color w:val="000000"/>
                <w:sz w:val="15"/>
                <w:szCs w:val="15"/>
              </w:rPr>
              <w:t>14 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3D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3D5"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83D6" w14:textId="77777777" w:rsidR="00584EC1" w:rsidRDefault="00871F8D">
            <w:pPr>
              <w:jc w:val="right"/>
              <w:textAlignment w:val="bottom"/>
            </w:pPr>
            <w:r>
              <w:rPr>
                <w:rFonts w:ascii="Arial" w:eastAsia="宋体" w:hAnsi="Arial" w:cs="Arial"/>
                <w:color w:val="000000"/>
                <w:sz w:val="15"/>
                <w:szCs w:val="15"/>
              </w:rPr>
              <w:t>2 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3D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3D8"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83D9" w14:textId="77777777" w:rsidR="00584EC1" w:rsidRDefault="00871F8D">
            <w:pPr>
              <w:jc w:val="right"/>
              <w:textAlignment w:val="bottom"/>
            </w:pPr>
            <w:r>
              <w:rPr>
                <w:rFonts w:ascii="Arial" w:eastAsia="宋体" w:hAnsi="Arial" w:cs="Arial"/>
                <w:color w:val="000000"/>
                <w:sz w:val="15"/>
                <w:szCs w:val="15"/>
              </w:rPr>
              <w:t>11 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3D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3DB"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83DC" w14:textId="77777777" w:rsidR="00584EC1" w:rsidRDefault="00871F8D">
            <w:pPr>
              <w:jc w:val="right"/>
              <w:textAlignment w:val="bottom"/>
            </w:pPr>
            <w:r>
              <w:rPr>
                <w:rFonts w:ascii="Arial" w:eastAsia="宋体" w:hAnsi="Arial" w:cs="Arial"/>
                <w:color w:val="000000"/>
                <w:sz w:val="15"/>
                <w:szCs w:val="15"/>
              </w:rPr>
              <w:t>45 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3D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3DE"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83DF" w14:textId="77777777" w:rsidR="00584EC1" w:rsidRDefault="00871F8D">
            <w:pPr>
              <w:jc w:val="right"/>
              <w:textAlignment w:val="bottom"/>
            </w:pPr>
            <w:r>
              <w:rPr>
                <w:rFonts w:ascii="Arial" w:eastAsia="宋体" w:hAnsi="Arial" w:cs="Arial"/>
                <w:color w:val="000000"/>
                <w:sz w:val="15"/>
                <w:szCs w:val="15"/>
              </w:rPr>
              <w:t>223 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3E0" w14:textId="77777777" w:rsidR="00584EC1" w:rsidRDefault="00584EC1">
            <w:pPr>
              <w:jc w:val="right"/>
              <w:rPr>
                <w:rFonts w:ascii="宋体"/>
              </w:rPr>
            </w:pPr>
          </w:p>
        </w:tc>
        <w:tc>
          <w:tcPr>
            <w:tcW w:w="0" w:type="auto"/>
            <w:shd w:val="clear" w:color="auto" w:fill="auto"/>
            <w:vAlign w:val="bottom"/>
          </w:tcPr>
          <w:p w14:paraId="74DD83E1" w14:textId="77777777" w:rsidR="00584EC1" w:rsidRDefault="00584EC1">
            <w:pPr>
              <w:rPr>
                <w:rFonts w:ascii="宋体"/>
                <w:vanish/>
              </w:rPr>
            </w:pPr>
          </w:p>
        </w:tc>
      </w:tr>
      <w:tr w:rsidR="00584EC1" w14:paraId="74DD83F6" w14:textId="77777777">
        <w:tc>
          <w:tcPr>
            <w:tcW w:w="0" w:type="auto"/>
            <w:gridSpan w:val="3"/>
            <w:shd w:val="clear" w:color="auto" w:fill="FFFFFF"/>
            <w:tcMar>
              <w:top w:w="40" w:type="dxa"/>
              <w:left w:w="20" w:type="dxa"/>
              <w:bottom w:w="40" w:type="dxa"/>
              <w:right w:w="20" w:type="dxa"/>
            </w:tcMar>
            <w:vAlign w:val="bottom"/>
          </w:tcPr>
          <w:p w14:paraId="74DD83E3" w14:textId="77777777" w:rsidR="00584EC1" w:rsidRDefault="00871F8D">
            <w:pPr>
              <w:textAlignment w:val="bottom"/>
            </w:pPr>
            <w:r>
              <w:rPr>
                <w:rFonts w:ascii="Arial" w:eastAsia="宋体" w:hAnsi="Arial" w:cs="Arial"/>
                <w:b/>
                <w:bCs/>
                <w:color w:val="000000"/>
                <w:sz w:val="15"/>
                <w:szCs w:val="15"/>
              </w:rPr>
              <w:t>Balance as of June 30, 2021</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83E4" w14:textId="77777777" w:rsidR="00584EC1" w:rsidRDefault="00871F8D">
            <w:pPr>
              <w:jc w:val="right"/>
              <w:textAlignment w:val="bottom"/>
            </w:pPr>
            <w:r>
              <w:rPr>
                <w:rFonts w:ascii="Arial" w:eastAsia="宋体" w:hAnsi="Arial" w:cs="Arial"/>
                <w:color w:val="000000"/>
                <w:sz w:val="15"/>
                <w:szCs w:val="15"/>
              </w:rPr>
              <w:t>2,461 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83E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3E6"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83E7" w14:textId="77777777" w:rsidR="00584EC1" w:rsidRDefault="00871F8D">
            <w:pPr>
              <w:jc w:val="right"/>
              <w:textAlignment w:val="bottom"/>
            </w:pPr>
            <w:r>
              <w:rPr>
                <w:rFonts w:ascii="Arial" w:eastAsia="宋体" w:hAnsi="Arial" w:cs="Arial"/>
                <w:color w:val="000000"/>
                <w:sz w:val="15"/>
                <w:szCs w:val="15"/>
              </w:rPr>
              <w:t>610 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83E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3E9"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83EA" w14:textId="77777777" w:rsidR="00584EC1" w:rsidRDefault="00871F8D">
            <w:pPr>
              <w:jc w:val="right"/>
              <w:textAlignment w:val="bottom"/>
            </w:pPr>
            <w:r>
              <w:rPr>
                <w:rFonts w:ascii="Arial" w:eastAsia="宋体" w:hAnsi="Arial" w:cs="Arial"/>
                <w:color w:val="000000"/>
                <w:sz w:val="15"/>
                <w:szCs w:val="15"/>
              </w:rPr>
              <w:t>381 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83E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3EC"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83ED" w14:textId="77777777" w:rsidR="00584EC1" w:rsidRDefault="00871F8D">
            <w:pPr>
              <w:jc w:val="right"/>
              <w:textAlignment w:val="bottom"/>
            </w:pPr>
            <w:r>
              <w:rPr>
                <w:rFonts w:ascii="Arial" w:eastAsia="宋体" w:hAnsi="Arial" w:cs="Arial"/>
                <w:color w:val="000000"/>
                <w:sz w:val="15"/>
                <w:szCs w:val="15"/>
              </w:rPr>
              <w:t>207 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83E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3EF"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83F0" w14:textId="77777777" w:rsidR="00584EC1" w:rsidRDefault="00871F8D">
            <w:pPr>
              <w:jc w:val="right"/>
              <w:textAlignment w:val="bottom"/>
            </w:pPr>
            <w:r>
              <w:rPr>
                <w:rFonts w:ascii="Arial" w:eastAsia="宋体" w:hAnsi="Arial" w:cs="Arial"/>
                <w:color w:val="000000"/>
                <w:sz w:val="15"/>
                <w:szCs w:val="15"/>
              </w:rPr>
              <w:t>238 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83F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3F2"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83F3" w14:textId="77777777" w:rsidR="00584EC1" w:rsidRDefault="00871F8D">
            <w:pPr>
              <w:jc w:val="right"/>
              <w:textAlignment w:val="bottom"/>
            </w:pPr>
            <w:r>
              <w:rPr>
                <w:rFonts w:ascii="Arial" w:eastAsia="宋体" w:hAnsi="Arial" w:cs="Arial"/>
                <w:color w:val="000000"/>
                <w:sz w:val="15"/>
                <w:szCs w:val="15"/>
              </w:rPr>
              <w:t>3,897 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83F4" w14:textId="77777777" w:rsidR="00584EC1" w:rsidRDefault="00584EC1">
            <w:pPr>
              <w:jc w:val="right"/>
              <w:rPr>
                <w:rFonts w:ascii="宋体"/>
              </w:rPr>
            </w:pPr>
          </w:p>
        </w:tc>
        <w:tc>
          <w:tcPr>
            <w:tcW w:w="0" w:type="auto"/>
            <w:shd w:val="clear" w:color="auto" w:fill="auto"/>
            <w:vAlign w:val="bottom"/>
          </w:tcPr>
          <w:p w14:paraId="74DD83F5" w14:textId="77777777" w:rsidR="00584EC1" w:rsidRDefault="00584EC1">
            <w:pPr>
              <w:rPr>
                <w:rFonts w:ascii="宋体"/>
                <w:vanish/>
              </w:rPr>
            </w:pPr>
          </w:p>
        </w:tc>
      </w:tr>
      <w:tr w:rsidR="00584EC1" w14:paraId="74DD840A" w14:textId="77777777">
        <w:tc>
          <w:tcPr>
            <w:tcW w:w="0" w:type="auto"/>
            <w:gridSpan w:val="3"/>
            <w:shd w:val="clear" w:color="auto" w:fill="CCEEFF"/>
            <w:tcMar>
              <w:top w:w="40" w:type="dxa"/>
              <w:left w:w="20" w:type="dxa"/>
              <w:bottom w:w="40" w:type="dxa"/>
              <w:right w:w="20" w:type="dxa"/>
            </w:tcMar>
            <w:vAlign w:val="bottom"/>
          </w:tcPr>
          <w:p w14:paraId="74DD83F7" w14:textId="77777777" w:rsidR="00584EC1" w:rsidRDefault="00871F8D">
            <w:pPr>
              <w:textAlignment w:val="bottom"/>
            </w:pPr>
            <w:r>
              <w:rPr>
                <w:rFonts w:ascii="Arial" w:eastAsia="宋体" w:hAnsi="Arial" w:cs="Arial"/>
                <w:color w:val="000000"/>
                <w:sz w:val="15"/>
                <w:szCs w:val="15"/>
              </w:rPr>
              <w:t>Long-term institutional flows, net</w:t>
            </w:r>
            <w:r>
              <w:rPr>
                <w:rFonts w:ascii="Arial" w:eastAsia="宋体" w:hAnsi="Arial" w:cs="Arial"/>
                <w:color w:val="000000"/>
                <w:sz w:val="9"/>
                <w:szCs w:val="9"/>
              </w:rPr>
              <w:t>(4)</w:t>
            </w:r>
          </w:p>
        </w:tc>
        <w:tc>
          <w:tcPr>
            <w:tcW w:w="0" w:type="auto"/>
            <w:gridSpan w:val="2"/>
            <w:shd w:val="clear" w:color="auto" w:fill="CCEEFF"/>
            <w:tcMar>
              <w:top w:w="40" w:type="dxa"/>
              <w:left w:w="20" w:type="dxa"/>
              <w:bottom w:w="40" w:type="dxa"/>
              <w:right w:w="0" w:type="dxa"/>
            </w:tcMar>
            <w:vAlign w:val="bottom"/>
          </w:tcPr>
          <w:p w14:paraId="74DD83F8" w14:textId="77777777" w:rsidR="00584EC1" w:rsidRDefault="00871F8D">
            <w:pPr>
              <w:jc w:val="right"/>
              <w:textAlignment w:val="bottom"/>
            </w:pPr>
            <w:r>
              <w:rPr>
                <w:rFonts w:ascii="Arial" w:eastAsia="宋体" w:hAnsi="Arial" w:cs="Arial"/>
                <w:b/>
                <w:bCs/>
                <w:color w:val="000000"/>
                <w:sz w:val="15"/>
                <w:szCs w:val="15"/>
              </w:rPr>
              <w:t>(10)</w:t>
            </w:r>
          </w:p>
        </w:tc>
        <w:tc>
          <w:tcPr>
            <w:tcW w:w="0" w:type="auto"/>
            <w:shd w:val="clear" w:color="auto" w:fill="CCEEFF"/>
            <w:tcMar>
              <w:top w:w="40" w:type="dxa"/>
              <w:left w:w="0" w:type="dxa"/>
              <w:bottom w:w="40" w:type="dxa"/>
              <w:right w:w="20" w:type="dxa"/>
            </w:tcMar>
            <w:vAlign w:val="bottom"/>
          </w:tcPr>
          <w:p w14:paraId="74DD83F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3FA"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3FB"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83F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3F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3FE"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83F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40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401" w14:textId="77777777" w:rsidR="00584EC1" w:rsidRDefault="00871F8D">
            <w:pPr>
              <w:jc w:val="right"/>
              <w:textAlignment w:val="bottom"/>
            </w:pPr>
            <w:r>
              <w:rPr>
                <w:rFonts w:ascii="Arial" w:eastAsia="宋体" w:hAnsi="Arial" w:cs="Arial"/>
                <w:b/>
                <w:bCs/>
                <w:color w:val="000000"/>
                <w:sz w:val="15"/>
                <w:szCs w:val="15"/>
              </w:rPr>
              <w:t>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840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403"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404"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840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40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407" w14:textId="77777777" w:rsidR="00584EC1" w:rsidRDefault="00871F8D">
            <w:pPr>
              <w:jc w:val="right"/>
              <w:textAlignment w:val="bottom"/>
            </w:pPr>
            <w:r>
              <w:rPr>
                <w:rFonts w:ascii="Arial" w:eastAsia="宋体" w:hAnsi="Arial" w:cs="Arial"/>
                <w:b/>
                <w:bCs/>
                <w:color w:val="000000"/>
                <w:sz w:val="15"/>
                <w:szCs w:val="15"/>
              </w:rPr>
              <w:t>(6)</w:t>
            </w:r>
          </w:p>
        </w:tc>
        <w:tc>
          <w:tcPr>
            <w:tcW w:w="0" w:type="auto"/>
            <w:shd w:val="clear" w:color="auto" w:fill="CCEEFF"/>
            <w:tcMar>
              <w:top w:w="40" w:type="dxa"/>
              <w:left w:w="0" w:type="dxa"/>
              <w:bottom w:w="40" w:type="dxa"/>
              <w:right w:w="20" w:type="dxa"/>
            </w:tcMar>
            <w:vAlign w:val="bottom"/>
          </w:tcPr>
          <w:p w14:paraId="74DD8408" w14:textId="77777777" w:rsidR="00584EC1" w:rsidRDefault="00584EC1">
            <w:pPr>
              <w:jc w:val="right"/>
              <w:rPr>
                <w:rFonts w:ascii="宋体"/>
              </w:rPr>
            </w:pPr>
          </w:p>
        </w:tc>
        <w:tc>
          <w:tcPr>
            <w:tcW w:w="0" w:type="auto"/>
            <w:shd w:val="clear" w:color="auto" w:fill="auto"/>
            <w:vAlign w:val="bottom"/>
          </w:tcPr>
          <w:p w14:paraId="74DD8409" w14:textId="77777777" w:rsidR="00584EC1" w:rsidRDefault="00584EC1">
            <w:pPr>
              <w:rPr>
                <w:rFonts w:ascii="宋体"/>
                <w:vanish/>
              </w:rPr>
            </w:pPr>
          </w:p>
        </w:tc>
      </w:tr>
      <w:tr w:rsidR="00584EC1" w14:paraId="74DD841E" w14:textId="77777777">
        <w:tc>
          <w:tcPr>
            <w:tcW w:w="0" w:type="auto"/>
            <w:gridSpan w:val="3"/>
            <w:shd w:val="clear" w:color="auto" w:fill="FFFFFF"/>
            <w:tcMar>
              <w:top w:w="40" w:type="dxa"/>
              <w:left w:w="20" w:type="dxa"/>
              <w:bottom w:w="40" w:type="dxa"/>
              <w:right w:w="20" w:type="dxa"/>
            </w:tcMar>
            <w:vAlign w:val="bottom"/>
          </w:tcPr>
          <w:p w14:paraId="74DD840B" w14:textId="77777777" w:rsidR="00584EC1" w:rsidRDefault="00871F8D">
            <w:pPr>
              <w:textAlignment w:val="bottom"/>
            </w:pPr>
            <w:r>
              <w:rPr>
                <w:rFonts w:ascii="Arial" w:eastAsia="宋体" w:hAnsi="Arial" w:cs="Arial"/>
                <w:color w:val="000000"/>
                <w:sz w:val="15"/>
                <w:szCs w:val="15"/>
              </w:rPr>
              <w:t>Exchange-traded fund flows, net</w:t>
            </w:r>
          </w:p>
        </w:tc>
        <w:tc>
          <w:tcPr>
            <w:tcW w:w="0" w:type="auto"/>
            <w:gridSpan w:val="2"/>
            <w:shd w:val="clear" w:color="auto" w:fill="FFFFFF"/>
            <w:tcMar>
              <w:top w:w="40" w:type="dxa"/>
              <w:left w:w="20" w:type="dxa"/>
              <w:bottom w:w="40" w:type="dxa"/>
              <w:right w:w="0" w:type="dxa"/>
            </w:tcMar>
            <w:vAlign w:val="bottom"/>
          </w:tcPr>
          <w:p w14:paraId="74DD840C" w14:textId="77777777" w:rsidR="00584EC1" w:rsidRDefault="00871F8D">
            <w:pPr>
              <w:jc w:val="right"/>
              <w:textAlignment w:val="bottom"/>
            </w:pPr>
            <w:r>
              <w:rPr>
                <w:rFonts w:ascii="Arial" w:eastAsia="宋体" w:hAnsi="Arial" w:cs="Arial"/>
                <w:b/>
                <w:bCs/>
                <w:color w:val="000000"/>
                <w:sz w:val="15"/>
                <w:szCs w:val="15"/>
              </w:rPr>
              <w:t>12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840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40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40F" w14:textId="77777777" w:rsidR="00584EC1" w:rsidRDefault="00871F8D">
            <w:pPr>
              <w:jc w:val="right"/>
              <w:textAlignment w:val="bottom"/>
            </w:pPr>
            <w:r>
              <w:rPr>
                <w:rFonts w:ascii="Arial" w:eastAsia="宋体" w:hAnsi="Arial" w:cs="Arial"/>
                <w:b/>
                <w:bCs/>
                <w:color w:val="000000"/>
                <w:sz w:val="15"/>
                <w:szCs w:val="15"/>
              </w:rPr>
              <w:t>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841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41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412"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841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41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415"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841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41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418" w14:textId="77777777" w:rsidR="00584EC1" w:rsidRDefault="00871F8D">
            <w:pPr>
              <w:jc w:val="right"/>
              <w:textAlignment w:val="bottom"/>
            </w:pPr>
            <w:r>
              <w:rPr>
                <w:rFonts w:ascii="Arial" w:eastAsia="宋体" w:hAnsi="Arial" w:cs="Arial"/>
                <w:b/>
                <w:bCs/>
                <w:color w:val="000000"/>
                <w:sz w:val="15"/>
                <w:szCs w:val="15"/>
              </w:rPr>
              <w:t>(3)</w:t>
            </w:r>
          </w:p>
        </w:tc>
        <w:tc>
          <w:tcPr>
            <w:tcW w:w="0" w:type="auto"/>
            <w:shd w:val="clear" w:color="auto" w:fill="FFFFFF"/>
            <w:tcMar>
              <w:top w:w="40" w:type="dxa"/>
              <w:left w:w="0" w:type="dxa"/>
              <w:bottom w:w="40" w:type="dxa"/>
              <w:right w:w="20" w:type="dxa"/>
            </w:tcMar>
            <w:vAlign w:val="bottom"/>
          </w:tcPr>
          <w:p w14:paraId="74DD841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41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41B" w14:textId="77777777" w:rsidR="00584EC1" w:rsidRDefault="00871F8D">
            <w:pPr>
              <w:jc w:val="right"/>
              <w:textAlignment w:val="bottom"/>
            </w:pPr>
            <w:r>
              <w:rPr>
                <w:rFonts w:ascii="Arial" w:eastAsia="宋体" w:hAnsi="Arial" w:cs="Arial"/>
                <w:b/>
                <w:bCs/>
                <w:color w:val="000000"/>
                <w:sz w:val="15"/>
                <w:szCs w:val="15"/>
              </w:rPr>
              <w:t>13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841C" w14:textId="77777777" w:rsidR="00584EC1" w:rsidRDefault="00584EC1">
            <w:pPr>
              <w:jc w:val="right"/>
              <w:rPr>
                <w:rFonts w:ascii="宋体"/>
              </w:rPr>
            </w:pPr>
          </w:p>
        </w:tc>
        <w:tc>
          <w:tcPr>
            <w:tcW w:w="0" w:type="auto"/>
            <w:shd w:val="clear" w:color="auto" w:fill="auto"/>
            <w:vAlign w:val="bottom"/>
          </w:tcPr>
          <w:p w14:paraId="74DD841D" w14:textId="77777777" w:rsidR="00584EC1" w:rsidRDefault="00584EC1">
            <w:pPr>
              <w:rPr>
                <w:rFonts w:ascii="宋体"/>
                <w:vanish/>
              </w:rPr>
            </w:pPr>
          </w:p>
        </w:tc>
      </w:tr>
      <w:tr w:rsidR="00584EC1" w14:paraId="74DD8432" w14:textId="77777777">
        <w:tc>
          <w:tcPr>
            <w:tcW w:w="0" w:type="auto"/>
            <w:gridSpan w:val="3"/>
            <w:shd w:val="clear" w:color="auto" w:fill="CCEEFF"/>
            <w:tcMar>
              <w:top w:w="40" w:type="dxa"/>
              <w:left w:w="20" w:type="dxa"/>
              <w:bottom w:w="40" w:type="dxa"/>
              <w:right w:w="20" w:type="dxa"/>
            </w:tcMar>
            <w:vAlign w:val="bottom"/>
          </w:tcPr>
          <w:p w14:paraId="74DD841F" w14:textId="77777777" w:rsidR="00584EC1" w:rsidRDefault="00871F8D">
            <w:pPr>
              <w:textAlignment w:val="bottom"/>
            </w:pPr>
            <w:r>
              <w:rPr>
                <w:rFonts w:ascii="Arial" w:eastAsia="宋体" w:hAnsi="Arial" w:cs="Arial"/>
                <w:color w:val="000000"/>
                <w:sz w:val="15"/>
                <w:szCs w:val="15"/>
              </w:rPr>
              <w:t>Cash fund flows, net</w:t>
            </w:r>
          </w:p>
        </w:tc>
        <w:tc>
          <w:tcPr>
            <w:tcW w:w="0" w:type="auto"/>
            <w:gridSpan w:val="2"/>
            <w:shd w:val="clear" w:color="auto" w:fill="CCEEFF"/>
            <w:tcMar>
              <w:top w:w="40" w:type="dxa"/>
              <w:left w:w="20" w:type="dxa"/>
              <w:bottom w:w="40" w:type="dxa"/>
              <w:right w:w="0" w:type="dxa"/>
            </w:tcMar>
            <w:vAlign w:val="bottom"/>
          </w:tcPr>
          <w:p w14:paraId="74DD8420"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842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422"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423"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842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42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426" w14:textId="77777777" w:rsidR="00584EC1" w:rsidRDefault="00871F8D">
            <w:pPr>
              <w:jc w:val="right"/>
              <w:textAlignment w:val="bottom"/>
            </w:pPr>
            <w:r>
              <w:rPr>
                <w:rFonts w:ascii="Arial" w:eastAsia="宋体" w:hAnsi="Arial" w:cs="Arial"/>
                <w:b/>
                <w:bCs/>
                <w:color w:val="000000"/>
                <w:sz w:val="15"/>
                <w:szCs w:val="15"/>
              </w:rPr>
              <w:t>(12)</w:t>
            </w:r>
          </w:p>
        </w:tc>
        <w:tc>
          <w:tcPr>
            <w:tcW w:w="0" w:type="auto"/>
            <w:shd w:val="clear" w:color="auto" w:fill="CCEEFF"/>
            <w:tcMar>
              <w:top w:w="40" w:type="dxa"/>
              <w:left w:w="0" w:type="dxa"/>
              <w:bottom w:w="40" w:type="dxa"/>
              <w:right w:w="20" w:type="dxa"/>
            </w:tcMar>
            <w:vAlign w:val="bottom"/>
          </w:tcPr>
          <w:p w14:paraId="74DD842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428"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429"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842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42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42C"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842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42E"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42F" w14:textId="77777777" w:rsidR="00584EC1" w:rsidRDefault="00871F8D">
            <w:pPr>
              <w:jc w:val="right"/>
              <w:textAlignment w:val="bottom"/>
            </w:pPr>
            <w:r>
              <w:rPr>
                <w:rFonts w:ascii="Arial" w:eastAsia="宋体" w:hAnsi="Arial" w:cs="Arial"/>
                <w:b/>
                <w:bCs/>
                <w:color w:val="000000"/>
                <w:sz w:val="15"/>
                <w:szCs w:val="15"/>
              </w:rPr>
              <w:t>(12)</w:t>
            </w:r>
          </w:p>
        </w:tc>
        <w:tc>
          <w:tcPr>
            <w:tcW w:w="0" w:type="auto"/>
            <w:shd w:val="clear" w:color="auto" w:fill="CCEEFF"/>
            <w:tcMar>
              <w:top w:w="40" w:type="dxa"/>
              <w:left w:w="0" w:type="dxa"/>
              <w:bottom w:w="40" w:type="dxa"/>
              <w:right w:w="20" w:type="dxa"/>
            </w:tcMar>
            <w:vAlign w:val="bottom"/>
          </w:tcPr>
          <w:p w14:paraId="74DD8430" w14:textId="77777777" w:rsidR="00584EC1" w:rsidRDefault="00584EC1">
            <w:pPr>
              <w:jc w:val="right"/>
              <w:rPr>
                <w:rFonts w:ascii="宋体"/>
              </w:rPr>
            </w:pPr>
          </w:p>
        </w:tc>
        <w:tc>
          <w:tcPr>
            <w:tcW w:w="0" w:type="auto"/>
            <w:shd w:val="clear" w:color="auto" w:fill="auto"/>
            <w:vAlign w:val="bottom"/>
          </w:tcPr>
          <w:p w14:paraId="74DD8431" w14:textId="77777777" w:rsidR="00584EC1" w:rsidRDefault="00584EC1">
            <w:pPr>
              <w:rPr>
                <w:rFonts w:ascii="宋体"/>
                <w:vanish/>
              </w:rPr>
            </w:pPr>
          </w:p>
        </w:tc>
      </w:tr>
      <w:tr w:rsidR="00584EC1" w14:paraId="74DD8446" w14:textId="77777777">
        <w:tc>
          <w:tcPr>
            <w:tcW w:w="0" w:type="auto"/>
            <w:gridSpan w:val="3"/>
            <w:shd w:val="clear" w:color="auto" w:fill="FFFFFF"/>
            <w:tcMar>
              <w:top w:w="40" w:type="dxa"/>
              <w:left w:w="20" w:type="dxa"/>
              <w:bottom w:w="40" w:type="dxa"/>
              <w:right w:w="20" w:type="dxa"/>
            </w:tcMar>
            <w:vAlign w:val="bottom"/>
          </w:tcPr>
          <w:p w14:paraId="74DD8433" w14:textId="77777777" w:rsidR="00584EC1" w:rsidRDefault="00871F8D">
            <w:pPr>
              <w:textAlignment w:val="bottom"/>
            </w:pPr>
            <w:r>
              <w:rPr>
                <w:rFonts w:ascii="Arial" w:eastAsia="宋体" w:hAnsi="Arial" w:cs="Arial"/>
                <w:color w:val="000000"/>
                <w:sz w:val="15"/>
                <w:szCs w:val="15"/>
              </w:rPr>
              <w:t>Total flows, net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8434" w14:textId="77777777" w:rsidR="00584EC1" w:rsidRDefault="00871F8D">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843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436"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8437" w14:textId="77777777" w:rsidR="00584EC1" w:rsidRDefault="00871F8D">
            <w:pPr>
              <w:jc w:val="right"/>
              <w:textAlignment w:val="bottom"/>
            </w:pPr>
            <w:r>
              <w:rPr>
                <w:rFonts w:ascii="Arial" w:eastAsia="宋体" w:hAnsi="Arial" w:cs="Arial"/>
                <w:b/>
                <w:bCs/>
                <w:color w:val="000000"/>
                <w:sz w:val="15"/>
                <w:szCs w:val="15"/>
              </w:rPr>
              <w:t>4</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843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439"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843A" w14:textId="77777777" w:rsidR="00584EC1" w:rsidRDefault="00871F8D">
            <w:pPr>
              <w:jc w:val="right"/>
              <w:textAlignment w:val="bottom"/>
            </w:pPr>
            <w:r>
              <w:rPr>
                <w:rFonts w:ascii="Arial" w:eastAsia="宋体" w:hAnsi="Arial" w:cs="Arial"/>
                <w:b/>
                <w:bCs/>
                <w:color w:val="000000"/>
                <w:sz w:val="15"/>
                <w:szCs w:val="15"/>
              </w:rPr>
              <w:t>(12)</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843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43C"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843D" w14:textId="77777777" w:rsidR="00584EC1" w:rsidRDefault="00871F8D">
            <w:pPr>
              <w:jc w:val="right"/>
              <w:textAlignment w:val="bottom"/>
            </w:pPr>
            <w:r>
              <w:rPr>
                <w:rFonts w:ascii="Arial" w:eastAsia="宋体" w:hAnsi="Arial" w:cs="Arial"/>
                <w:b/>
                <w:bCs/>
                <w:color w:val="000000"/>
                <w:sz w:val="15"/>
                <w:szCs w:val="15"/>
              </w:rPr>
              <w:t>4</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843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43F"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8440" w14:textId="77777777" w:rsidR="00584EC1" w:rsidRDefault="00871F8D">
            <w:pPr>
              <w:jc w:val="right"/>
              <w:textAlignment w:val="bottom"/>
            </w:pPr>
            <w:r>
              <w:rPr>
                <w:rFonts w:ascii="Arial" w:eastAsia="宋体" w:hAnsi="Arial" w:cs="Arial"/>
                <w:b/>
                <w:bCs/>
                <w:color w:val="000000"/>
                <w:sz w:val="15"/>
                <w:szCs w:val="15"/>
              </w:rPr>
              <w:t>(3)</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844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442"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8443" w14:textId="77777777" w:rsidR="00584EC1" w:rsidRDefault="00871F8D">
            <w:pPr>
              <w:jc w:val="right"/>
              <w:textAlignment w:val="bottom"/>
            </w:pPr>
            <w:r>
              <w:rPr>
                <w:rFonts w:ascii="Arial" w:eastAsia="宋体" w:hAnsi="Arial" w:cs="Arial"/>
                <w:b/>
                <w:bCs/>
                <w:color w:val="000000"/>
                <w:sz w:val="15"/>
                <w:szCs w:val="15"/>
              </w:rPr>
              <w:t>(5)</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8444" w14:textId="77777777" w:rsidR="00584EC1" w:rsidRDefault="00584EC1">
            <w:pPr>
              <w:jc w:val="right"/>
              <w:rPr>
                <w:rFonts w:ascii="宋体"/>
              </w:rPr>
            </w:pPr>
          </w:p>
        </w:tc>
        <w:tc>
          <w:tcPr>
            <w:tcW w:w="0" w:type="auto"/>
            <w:shd w:val="clear" w:color="auto" w:fill="auto"/>
            <w:vAlign w:val="bottom"/>
          </w:tcPr>
          <w:p w14:paraId="74DD8445" w14:textId="77777777" w:rsidR="00584EC1" w:rsidRDefault="00584EC1">
            <w:pPr>
              <w:rPr>
                <w:rFonts w:ascii="宋体"/>
                <w:vanish/>
              </w:rPr>
            </w:pPr>
          </w:p>
        </w:tc>
      </w:tr>
      <w:tr w:rsidR="00584EC1" w14:paraId="74DD845A" w14:textId="77777777">
        <w:tc>
          <w:tcPr>
            <w:tcW w:w="0" w:type="auto"/>
            <w:gridSpan w:val="3"/>
            <w:shd w:val="clear" w:color="auto" w:fill="CCEEFF"/>
            <w:tcMar>
              <w:top w:w="40" w:type="dxa"/>
              <w:left w:w="155" w:type="dxa"/>
              <w:bottom w:w="40" w:type="dxa"/>
              <w:right w:w="20" w:type="dxa"/>
            </w:tcMar>
            <w:vAlign w:val="bottom"/>
          </w:tcPr>
          <w:p w14:paraId="74DD8447" w14:textId="77777777" w:rsidR="00584EC1" w:rsidRDefault="00871F8D">
            <w:pPr>
              <w:textAlignment w:val="bottom"/>
            </w:pPr>
            <w:r>
              <w:rPr>
                <w:rFonts w:ascii="Arial" w:eastAsia="宋体" w:hAnsi="Arial" w:cs="Arial"/>
                <w:color w:val="000000"/>
                <w:sz w:val="15"/>
                <w:szCs w:val="15"/>
              </w:rPr>
              <w:t>Market appreciation (depreciation)</w:t>
            </w:r>
          </w:p>
        </w:tc>
        <w:tc>
          <w:tcPr>
            <w:tcW w:w="0" w:type="auto"/>
            <w:gridSpan w:val="2"/>
            <w:shd w:val="clear" w:color="auto" w:fill="CCEEFF"/>
            <w:tcMar>
              <w:top w:w="40" w:type="dxa"/>
              <w:left w:w="20" w:type="dxa"/>
              <w:bottom w:w="40" w:type="dxa"/>
              <w:right w:w="0" w:type="dxa"/>
            </w:tcMar>
            <w:vAlign w:val="bottom"/>
          </w:tcPr>
          <w:p w14:paraId="74DD8448" w14:textId="77777777" w:rsidR="00584EC1" w:rsidRDefault="00871F8D">
            <w:pPr>
              <w:jc w:val="right"/>
              <w:textAlignment w:val="bottom"/>
            </w:pPr>
            <w:r>
              <w:rPr>
                <w:rFonts w:ascii="Arial" w:eastAsia="宋体" w:hAnsi="Arial" w:cs="Arial"/>
                <w:b/>
                <w:bCs/>
                <w:color w:val="000000"/>
                <w:sz w:val="15"/>
                <w:szCs w:val="15"/>
              </w:rPr>
              <w:t>(13)</w:t>
            </w:r>
          </w:p>
        </w:tc>
        <w:tc>
          <w:tcPr>
            <w:tcW w:w="0" w:type="auto"/>
            <w:shd w:val="clear" w:color="auto" w:fill="CCEEFF"/>
            <w:tcMar>
              <w:top w:w="40" w:type="dxa"/>
              <w:left w:w="0" w:type="dxa"/>
              <w:bottom w:w="40" w:type="dxa"/>
              <w:right w:w="20" w:type="dxa"/>
            </w:tcMar>
            <w:vAlign w:val="bottom"/>
          </w:tcPr>
          <w:p w14:paraId="74DD844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44A"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44B" w14:textId="77777777" w:rsidR="00584EC1" w:rsidRDefault="00871F8D">
            <w:pPr>
              <w:jc w:val="right"/>
              <w:textAlignment w:val="bottom"/>
            </w:pPr>
            <w:r>
              <w:rPr>
                <w:rFonts w:ascii="Arial" w:eastAsia="宋体" w:hAnsi="Arial" w:cs="Arial"/>
                <w:b/>
                <w:bCs/>
                <w:color w:val="000000"/>
                <w:sz w:val="15"/>
                <w:szCs w:val="15"/>
              </w:rPr>
              <w:t>(1)</w:t>
            </w:r>
          </w:p>
        </w:tc>
        <w:tc>
          <w:tcPr>
            <w:tcW w:w="0" w:type="auto"/>
            <w:shd w:val="clear" w:color="auto" w:fill="CCEEFF"/>
            <w:tcMar>
              <w:top w:w="40" w:type="dxa"/>
              <w:left w:w="0" w:type="dxa"/>
              <w:bottom w:w="40" w:type="dxa"/>
              <w:right w:w="20" w:type="dxa"/>
            </w:tcMar>
            <w:vAlign w:val="bottom"/>
          </w:tcPr>
          <w:p w14:paraId="74DD844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44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44E" w14:textId="77777777" w:rsidR="00584EC1" w:rsidRDefault="00871F8D">
            <w:pPr>
              <w:jc w:val="right"/>
              <w:textAlignment w:val="bottom"/>
            </w:pPr>
            <w:r>
              <w:rPr>
                <w:rFonts w:ascii="Arial" w:eastAsia="宋体" w:hAnsi="Arial" w:cs="Arial"/>
                <w:b/>
                <w:bCs/>
                <w:color w:val="000000"/>
                <w:sz w:val="15"/>
                <w:szCs w:val="15"/>
              </w:rPr>
              <w:t>(1)</w:t>
            </w:r>
          </w:p>
        </w:tc>
        <w:tc>
          <w:tcPr>
            <w:tcW w:w="0" w:type="auto"/>
            <w:shd w:val="clear" w:color="auto" w:fill="CCEEFF"/>
            <w:tcMar>
              <w:top w:w="40" w:type="dxa"/>
              <w:left w:w="0" w:type="dxa"/>
              <w:bottom w:w="40" w:type="dxa"/>
              <w:right w:w="20" w:type="dxa"/>
            </w:tcMar>
            <w:vAlign w:val="bottom"/>
          </w:tcPr>
          <w:p w14:paraId="74DD844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45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451" w14:textId="77777777" w:rsidR="00584EC1" w:rsidRDefault="00871F8D">
            <w:pPr>
              <w:jc w:val="right"/>
              <w:textAlignment w:val="bottom"/>
            </w:pPr>
            <w:r>
              <w:rPr>
                <w:rFonts w:ascii="Arial" w:eastAsia="宋体" w:hAnsi="Arial" w:cs="Arial"/>
                <w:b/>
                <w:bCs/>
                <w:color w:val="000000"/>
                <w:sz w:val="15"/>
                <w:szCs w:val="15"/>
              </w:rPr>
              <w:t>(1)</w:t>
            </w:r>
          </w:p>
        </w:tc>
        <w:tc>
          <w:tcPr>
            <w:tcW w:w="0" w:type="auto"/>
            <w:shd w:val="clear" w:color="auto" w:fill="CCEEFF"/>
            <w:tcMar>
              <w:top w:w="40" w:type="dxa"/>
              <w:left w:w="0" w:type="dxa"/>
              <w:bottom w:w="40" w:type="dxa"/>
              <w:right w:w="20" w:type="dxa"/>
            </w:tcMar>
            <w:vAlign w:val="bottom"/>
          </w:tcPr>
          <w:p w14:paraId="74DD845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453"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454" w14:textId="77777777" w:rsidR="00584EC1" w:rsidRDefault="00871F8D">
            <w:pPr>
              <w:jc w:val="right"/>
              <w:textAlignment w:val="bottom"/>
            </w:pPr>
            <w:r>
              <w:rPr>
                <w:rFonts w:ascii="Arial" w:eastAsia="宋体" w:hAnsi="Arial" w:cs="Arial"/>
                <w:b/>
                <w:bCs/>
                <w:color w:val="000000"/>
                <w:sz w:val="15"/>
                <w:szCs w:val="15"/>
              </w:rPr>
              <w:t>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845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45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457" w14:textId="77777777" w:rsidR="00584EC1" w:rsidRDefault="00871F8D">
            <w:pPr>
              <w:jc w:val="right"/>
              <w:textAlignment w:val="bottom"/>
            </w:pPr>
            <w:r>
              <w:rPr>
                <w:rFonts w:ascii="Arial" w:eastAsia="宋体" w:hAnsi="Arial" w:cs="Arial"/>
                <w:b/>
                <w:bCs/>
                <w:color w:val="000000"/>
                <w:sz w:val="15"/>
                <w:szCs w:val="15"/>
              </w:rPr>
              <w:t>(12)</w:t>
            </w:r>
          </w:p>
        </w:tc>
        <w:tc>
          <w:tcPr>
            <w:tcW w:w="0" w:type="auto"/>
            <w:shd w:val="clear" w:color="auto" w:fill="CCEEFF"/>
            <w:tcMar>
              <w:top w:w="40" w:type="dxa"/>
              <w:left w:w="0" w:type="dxa"/>
              <w:bottom w:w="40" w:type="dxa"/>
              <w:right w:w="20" w:type="dxa"/>
            </w:tcMar>
            <w:vAlign w:val="bottom"/>
          </w:tcPr>
          <w:p w14:paraId="74DD8458" w14:textId="77777777" w:rsidR="00584EC1" w:rsidRDefault="00584EC1">
            <w:pPr>
              <w:jc w:val="right"/>
              <w:rPr>
                <w:rFonts w:ascii="宋体"/>
              </w:rPr>
            </w:pPr>
          </w:p>
        </w:tc>
        <w:tc>
          <w:tcPr>
            <w:tcW w:w="0" w:type="auto"/>
            <w:shd w:val="clear" w:color="auto" w:fill="auto"/>
            <w:vAlign w:val="bottom"/>
          </w:tcPr>
          <w:p w14:paraId="74DD8459" w14:textId="77777777" w:rsidR="00584EC1" w:rsidRDefault="00584EC1">
            <w:pPr>
              <w:rPr>
                <w:rFonts w:ascii="宋体"/>
                <w:vanish/>
              </w:rPr>
            </w:pPr>
          </w:p>
        </w:tc>
      </w:tr>
      <w:tr w:rsidR="00584EC1" w14:paraId="74DD846E" w14:textId="77777777">
        <w:tc>
          <w:tcPr>
            <w:tcW w:w="0" w:type="auto"/>
            <w:gridSpan w:val="3"/>
            <w:shd w:val="clear" w:color="auto" w:fill="FFFFFF"/>
            <w:tcMar>
              <w:top w:w="40" w:type="dxa"/>
              <w:left w:w="155" w:type="dxa"/>
              <w:bottom w:w="40" w:type="dxa"/>
              <w:right w:w="20" w:type="dxa"/>
            </w:tcMar>
            <w:vAlign w:val="bottom"/>
          </w:tcPr>
          <w:p w14:paraId="74DD845B" w14:textId="77777777" w:rsidR="00584EC1" w:rsidRDefault="00871F8D">
            <w:pPr>
              <w:textAlignment w:val="bottom"/>
            </w:pPr>
            <w:r>
              <w:rPr>
                <w:rFonts w:ascii="Arial" w:eastAsia="宋体" w:hAnsi="Arial" w:cs="Arial"/>
                <w:color w:val="000000"/>
                <w:sz w:val="15"/>
                <w:szCs w:val="15"/>
              </w:rPr>
              <w:t>Foreign exchange impact</w:t>
            </w:r>
          </w:p>
        </w:tc>
        <w:tc>
          <w:tcPr>
            <w:tcW w:w="0" w:type="auto"/>
            <w:gridSpan w:val="2"/>
            <w:shd w:val="clear" w:color="auto" w:fill="FFFFFF"/>
            <w:tcMar>
              <w:top w:w="40" w:type="dxa"/>
              <w:left w:w="20" w:type="dxa"/>
              <w:bottom w:w="40" w:type="dxa"/>
              <w:right w:w="0" w:type="dxa"/>
            </w:tcMar>
            <w:vAlign w:val="bottom"/>
          </w:tcPr>
          <w:p w14:paraId="74DD845C" w14:textId="77777777" w:rsidR="00584EC1" w:rsidRDefault="00871F8D">
            <w:pPr>
              <w:jc w:val="right"/>
              <w:textAlignment w:val="bottom"/>
            </w:pPr>
            <w:r>
              <w:rPr>
                <w:rFonts w:ascii="Arial" w:eastAsia="宋体" w:hAnsi="Arial" w:cs="Arial"/>
                <w:b/>
                <w:bCs/>
                <w:color w:val="000000"/>
                <w:sz w:val="15"/>
                <w:szCs w:val="15"/>
              </w:rPr>
              <w:t>(10)</w:t>
            </w:r>
          </w:p>
        </w:tc>
        <w:tc>
          <w:tcPr>
            <w:tcW w:w="0" w:type="auto"/>
            <w:shd w:val="clear" w:color="auto" w:fill="FFFFFF"/>
            <w:tcMar>
              <w:top w:w="40" w:type="dxa"/>
              <w:left w:w="0" w:type="dxa"/>
              <w:bottom w:w="40" w:type="dxa"/>
              <w:right w:w="20" w:type="dxa"/>
            </w:tcMar>
            <w:vAlign w:val="bottom"/>
          </w:tcPr>
          <w:p w14:paraId="74DD845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45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45F" w14:textId="77777777" w:rsidR="00584EC1" w:rsidRDefault="00871F8D">
            <w:pPr>
              <w:jc w:val="right"/>
              <w:textAlignment w:val="bottom"/>
            </w:pPr>
            <w:r>
              <w:rPr>
                <w:rFonts w:ascii="Arial" w:eastAsia="宋体" w:hAnsi="Arial" w:cs="Arial"/>
                <w:b/>
                <w:bCs/>
                <w:color w:val="000000"/>
                <w:sz w:val="15"/>
                <w:szCs w:val="15"/>
              </w:rPr>
              <w:t>(3)</w:t>
            </w:r>
          </w:p>
        </w:tc>
        <w:tc>
          <w:tcPr>
            <w:tcW w:w="0" w:type="auto"/>
            <w:shd w:val="clear" w:color="auto" w:fill="FFFFFF"/>
            <w:tcMar>
              <w:top w:w="40" w:type="dxa"/>
              <w:left w:w="0" w:type="dxa"/>
              <w:bottom w:w="40" w:type="dxa"/>
              <w:right w:w="20" w:type="dxa"/>
            </w:tcMar>
            <w:vAlign w:val="bottom"/>
          </w:tcPr>
          <w:p w14:paraId="74DD846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46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462" w14:textId="77777777" w:rsidR="00584EC1" w:rsidRDefault="00871F8D">
            <w:pPr>
              <w:jc w:val="right"/>
              <w:textAlignment w:val="bottom"/>
            </w:pPr>
            <w:r>
              <w:rPr>
                <w:rFonts w:ascii="Arial" w:eastAsia="宋体" w:hAnsi="Arial" w:cs="Arial"/>
                <w:b/>
                <w:bCs/>
                <w:color w:val="000000"/>
                <w:sz w:val="15"/>
                <w:szCs w:val="15"/>
              </w:rPr>
              <w:t>(1)</w:t>
            </w:r>
          </w:p>
        </w:tc>
        <w:tc>
          <w:tcPr>
            <w:tcW w:w="0" w:type="auto"/>
            <w:shd w:val="clear" w:color="auto" w:fill="FFFFFF"/>
            <w:tcMar>
              <w:top w:w="40" w:type="dxa"/>
              <w:left w:w="0" w:type="dxa"/>
              <w:bottom w:w="40" w:type="dxa"/>
              <w:right w:w="20" w:type="dxa"/>
            </w:tcMar>
            <w:vAlign w:val="bottom"/>
          </w:tcPr>
          <w:p w14:paraId="74DD846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46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465" w14:textId="77777777" w:rsidR="00584EC1" w:rsidRDefault="00871F8D">
            <w:pPr>
              <w:jc w:val="right"/>
              <w:textAlignment w:val="bottom"/>
            </w:pPr>
            <w:r>
              <w:rPr>
                <w:rFonts w:ascii="Arial" w:eastAsia="宋体" w:hAnsi="Arial" w:cs="Arial"/>
                <w:b/>
                <w:bCs/>
                <w:color w:val="000000"/>
                <w:sz w:val="15"/>
                <w:szCs w:val="15"/>
              </w:rPr>
              <w:t>(1)</w:t>
            </w:r>
          </w:p>
        </w:tc>
        <w:tc>
          <w:tcPr>
            <w:tcW w:w="0" w:type="auto"/>
            <w:shd w:val="clear" w:color="auto" w:fill="FFFFFF"/>
            <w:tcMar>
              <w:top w:w="40" w:type="dxa"/>
              <w:left w:w="0" w:type="dxa"/>
              <w:bottom w:w="40" w:type="dxa"/>
              <w:right w:w="20" w:type="dxa"/>
            </w:tcMar>
            <w:vAlign w:val="bottom"/>
          </w:tcPr>
          <w:p w14:paraId="74DD846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46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468" w14:textId="77777777" w:rsidR="00584EC1" w:rsidRDefault="00871F8D">
            <w:pPr>
              <w:jc w:val="right"/>
              <w:textAlignment w:val="bottom"/>
            </w:pPr>
            <w:r>
              <w:rPr>
                <w:rFonts w:ascii="Arial" w:eastAsia="宋体" w:hAnsi="Arial" w:cs="Arial"/>
                <w:b/>
                <w:bCs/>
                <w:color w:val="000000"/>
                <w:sz w:val="15"/>
                <w:szCs w:val="15"/>
              </w:rPr>
              <w:t>(3)</w:t>
            </w:r>
          </w:p>
        </w:tc>
        <w:tc>
          <w:tcPr>
            <w:tcW w:w="0" w:type="auto"/>
            <w:shd w:val="clear" w:color="auto" w:fill="FFFFFF"/>
            <w:tcMar>
              <w:top w:w="40" w:type="dxa"/>
              <w:left w:w="0" w:type="dxa"/>
              <w:bottom w:w="40" w:type="dxa"/>
              <w:right w:w="20" w:type="dxa"/>
            </w:tcMar>
            <w:vAlign w:val="bottom"/>
          </w:tcPr>
          <w:p w14:paraId="74DD846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46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46B" w14:textId="77777777" w:rsidR="00584EC1" w:rsidRDefault="00871F8D">
            <w:pPr>
              <w:jc w:val="right"/>
              <w:textAlignment w:val="bottom"/>
            </w:pPr>
            <w:r>
              <w:rPr>
                <w:rFonts w:ascii="Arial" w:eastAsia="宋体" w:hAnsi="Arial" w:cs="Arial"/>
                <w:b/>
                <w:bCs/>
                <w:color w:val="000000"/>
                <w:sz w:val="15"/>
                <w:szCs w:val="15"/>
              </w:rPr>
              <w:t>(18)</w:t>
            </w:r>
          </w:p>
        </w:tc>
        <w:tc>
          <w:tcPr>
            <w:tcW w:w="0" w:type="auto"/>
            <w:shd w:val="clear" w:color="auto" w:fill="FFFFFF"/>
            <w:tcMar>
              <w:top w:w="40" w:type="dxa"/>
              <w:left w:w="0" w:type="dxa"/>
              <w:bottom w:w="40" w:type="dxa"/>
              <w:right w:w="20" w:type="dxa"/>
            </w:tcMar>
            <w:vAlign w:val="bottom"/>
          </w:tcPr>
          <w:p w14:paraId="74DD846C" w14:textId="77777777" w:rsidR="00584EC1" w:rsidRDefault="00584EC1">
            <w:pPr>
              <w:jc w:val="right"/>
              <w:rPr>
                <w:rFonts w:ascii="宋体"/>
              </w:rPr>
            </w:pPr>
          </w:p>
        </w:tc>
        <w:tc>
          <w:tcPr>
            <w:tcW w:w="0" w:type="auto"/>
            <w:shd w:val="clear" w:color="auto" w:fill="auto"/>
            <w:vAlign w:val="bottom"/>
          </w:tcPr>
          <w:p w14:paraId="74DD846D" w14:textId="77777777" w:rsidR="00584EC1" w:rsidRDefault="00584EC1">
            <w:pPr>
              <w:rPr>
                <w:rFonts w:ascii="宋体"/>
                <w:vanish/>
              </w:rPr>
            </w:pPr>
          </w:p>
        </w:tc>
      </w:tr>
      <w:tr w:rsidR="00584EC1" w14:paraId="74DD8482" w14:textId="77777777">
        <w:tc>
          <w:tcPr>
            <w:tcW w:w="0" w:type="auto"/>
            <w:gridSpan w:val="3"/>
            <w:shd w:val="clear" w:color="auto" w:fill="CCEEFF"/>
            <w:tcMar>
              <w:top w:w="40" w:type="dxa"/>
              <w:left w:w="20" w:type="dxa"/>
              <w:bottom w:w="40" w:type="dxa"/>
              <w:right w:w="20" w:type="dxa"/>
            </w:tcMar>
            <w:vAlign w:val="bottom"/>
          </w:tcPr>
          <w:p w14:paraId="74DD846F" w14:textId="77777777" w:rsidR="00584EC1" w:rsidRDefault="00871F8D">
            <w:pPr>
              <w:textAlignment w:val="bottom"/>
            </w:pPr>
            <w:r>
              <w:rPr>
                <w:rFonts w:ascii="Arial" w:eastAsia="宋体" w:hAnsi="Arial" w:cs="Arial"/>
                <w:color w:val="000000"/>
                <w:sz w:val="15"/>
                <w:szCs w:val="15"/>
              </w:rPr>
              <w:t>Total market/foreign exchange impact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8470" w14:textId="77777777" w:rsidR="00584EC1" w:rsidRDefault="00871F8D">
            <w:pPr>
              <w:jc w:val="right"/>
              <w:textAlignment w:val="bottom"/>
            </w:pPr>
            <w:r>
              <w:rPr>
                <w:rFonts w:ascii="Arial" w:eastAsia="宋体" w:hAnsi="Arial" w:cs="Arial"/>
                <w:b/>
                <w:bCs/>
                <w:color w:val="000000"/>
                <w:sz w:val="15"/>
                <w:szCs w:val="15"/>
              </w:rPr>
              <w:t>(23)</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47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472"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8473" w14:textId="77777777" w:rsidR="00584EC1" w:rsidRDefault="00871F8D">
            <w:pPr>
              <w:jc w:val="right"/>
              <w:textAlignment w:val="bottom"/>
            </w:pPr>
            <w:r>
              <w:rPr>
                <w:rFonts w:ascii="Arial" w:eastAsia="宋体" w:hAnsi="Arial" w:cs="Arial"/>
                <w:b/>
                <w:bCs/>
                <w:color w:val="000000"/>
                <w:sz w:val="15"/>
                <w:szCs w:val="15"/>
              </w:rPr>
              <w:t>(4)</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47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475"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8476" w14:textId="77777777" w:rsidR="00584EC1" w:rsidRDefault="00871F8D">
            <w:pPr>
              <w:jc w:val="right"/>
              <w:textAlignment w:val="bottom"/>
            </w:pPr>
            <w:r>
              <w:rPr>
                <w:rFonts w:ascii="Arial" w:eastAsia="宋体" w:hAnsi="Arial" w:cs="Arial"/>
                <w:b/>
                <w:bCs/>
                <w:color w:val="000000"/>
                <w:sz w:val="15"/>
                <w:szCs w:val="15"/>
              </w:rPr>
              <w:t>(2)</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47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478"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8479" w14:textId="77777777" w:rsidR="00584EC1" w:rsidRDefault="00871F8D">
            <w:pPr>
              <w:jc w:val="right"/>
              <w:textAlignment w:val="bottom"/>
            </w:pPr>
            <w:r>
              <w:rPr>
                <w:rFonts w:ascii="Arial" w:eastAsia="宋体" w:hAnsi="Arial" w:cs="Arial"/>
                <w:b/>
                <w:bCs/>
                <w:color w:val="000000"/>
                <w:sz w:val="15"/>
                <w:szCs w:val="15"/>
              </w:rPr>
              <w:t>(2)</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47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47B"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847C" w14:textId="77777777" w:rsidR="00584EC1" w:rsidRDefault="00871F8D">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47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47E"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847F" w14:textId="77777777" w:rsidR="00584EC1" w:rsidRDefault="00871F8D">
            <w:pPr>
              <w:jc w:val="right"/>
              <w:textAlignment w:val="bottom"/>
            </w:pPr>
            <w:r>
              <w:rPr>
                <w:rFonts w:ascii="Arial" w:eastAsia="宋体" w:hAnsi="Arial" w:cs="Arial"/>
                <w:b/>
                <w:bCs/>
                <w:color w:val="000000"/>
                <w:sz w:val="15"/>
                <w:szCs w:val="15"/>
              </w:rPr>
              <w:t>(30)</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480" w14:textId="77777777" w:rsidR="00584EC1" w:rsidRDefault="00584EC1">
            <w:pPr>
              <w:jc w:val="right"/>
              <w:rPr>
                <w:rFonts w:ascii="宋体"/>
              </w:rPr>
            </w:pPr>
          </w:p>
        </w:tc>
        <w:tc>
          <w:tcPr>
            <w:tcW w:w="0" w:type="auto"/>
            <w:shd w:val="clear" w:color="auto" w:fill="auto"/>
            <w:vAlign w:val="bottom"/>
          </w:tcPr>
          <w:p w14:paraId="74DD8481" w14:textId="77777777" w:rsidR="00584EC1" w:rsidRDefault="00584EC1">
            <w:pPr>
              <w:rPr>
                <w:rFonts w:ascii="宋体"/>
                <w:vanish/>
              </w:rPr>
            </w:pPr>
          </w:p>
        </w:tc>
      </w:tr>
      <w:tr w:rsidR="00584EC1" w14:paraId="74DD849C" w14:textId="77777777">
        <w:tc>
          <w:tcPr>
            <w:tcW w:w="0" w:type="auto"/>
            <w:gridSpan w:val="3"/>
            <w:shd w:val="clear" w:color="auto" w:fill="FFFFFF"/>
            <w:tcMar>
              <w:top w:w="40" w:type="dxa"/>
              <w:left w:w="20" w:type="dxa"/>
              <w:bottom w:w="40" w:type="dxa"/>
              <w:right w:w="20" w:type="dxa"/>
            </w:tcMar>
            <w:vAlign w:val="bottom"/>
          </w:tcPr>
          <w:p w14:paraId="74DD8483" w14:textId="77777777" w:rsidR="00584EC1" w:rsidRDefault="00871F8D">
            <w:pPr>
              <w:textAlignment w:val="bottom"/>
            </w:pPr>
            <w:r>
              <w:rPr>
                <w:rFonts w:ascii="Arial" w:eastAsia="宋体" w:hAnsi="Arial" w:cs="Arial"/>
                <w:b/>
                <w:bCs/>
                <w:color w:val="000000"/>
                <w:sz w:val="15"/>
                <w:szCs w:val="15"/>
              </w:rPr>
              <w:t>Balance as of September 30, 2021</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8484" w14:textId="77777777" w:rsidR="00584EC1" w:rsidRDefault="00871F8D">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8485" w14:textId="77777777" w:rsidR="00584EC1" w:rsidRDefault="00871F8D">
            <w:pPr>
              <w:jc w:val="right"/>
              <w:textAlignment w:val="bottom"/>
            </w:pPr>
            <w:r>
              <w:rPr>
                <w:rFonts w:ascii="Arial" w:eastAsia="宋体" w:hAnsi="Arial" w:cs="Arial"/>
                <w:b/>
                <w:bCs/>
                <w:color w:val="000000"/>
                <w:sz w:val="15"/>
                <w:szCs w:val="15"/>
              </w:rPr>
              <w:t>2,440</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848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487"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8488" w14:textId="77777777" w:rsidR="00584EC1" w:rsidRDefault="00871F8D">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8489" w14:textId="77777777" w:rsidR="00584EC1" w:rsidRDefault="00871F8D">
            <w:pPr>
              <w:jc w:val="right"/>
              <w:textAlignment w:val="bottom"/>
            </w:pPr>
            <w:r>
              <w:rPr>
                <w:rFonts w:ascii="Arial" w:eastAsia="宋体" w:hAnsi="Arial" w:cs="Arial"/>
                <w:b/>
                <w:bCs/>
                <w:color w:val="000000"/>
                <w:sz w:val="15"/>
                <w:szCs w:val="15"/>
              </w:rPr>
              <w:t>610</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848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48B"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848C" w14:textId="77777777" w:rsidR="00584EC1" w:rsidRDefault="00871F8D">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848D" w14:textId="77777777" w:rsidR="00584EC1" w:rsidRDefault="00871F8D">
            <w:pPr>
              <w:jc w:val="right"/>
              <w:textAlignment w:val="bottom"/>
            </w:pPr>
            <w:r>
              <w:rPr>
                <w:rFonts w:ascii="Arial" w:eastAsia="宋体" w:hAnsi="Arial" w:cs="Arial"/>
                <w:b/>
                <w:bCs/>
                <w:color w:val="000000"/>
                <w:sz w:val="15"/>
                <w:szCs w:val="15"/>
              </w:rPr>
              <w:t>367</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848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48F"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8490" w14:textId="77777777" w:rsidR="00584EC1" w:rsidRDefault="00871F8D">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8491" w14:textId="77777777" w:rsidR="00584EC1" w:rsidRDefault="00871F8D">
            <w:pPr>
              <w:jc w:val="right"/>
              <w:textAlignment w:val="bottom"/>
            </w:pPr>
            <w:r>
              <w:rPr>
                <w:rFonts w:ascii="Arial" w:eastAsia="宋体" w:hAnsi="Arial" w:cs="Arial"/>
                <w:b/>
                <w:bCs/>
                <w:color w:val="000000"/>
                <w:sz w:val="15"/>
                <w:szCs w:val="15"/>
              </w:rPr>
              <w:t>209</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849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493"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8494" w14:textId="77777777" w:rsidR="00584EC1" w:rsidRDefault="00871F8D">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8495" w14:textId="77777777" w:rsidR="00584EC1" w:rsidRDefault="00871F8D">
            <w:pPr>
              <w:jc w:val="right"/>
              <w:textAlignment w:val="bottom"/>
            </w:pPr>
            <w:r>
              <w:rPr>
                <w:rFonts w:ascii="Arial" w:eastAsia="宋体" w:hAnsi="Arial" w:cs="Arial"/>
                <w:b/>
                <w:bCs/>
                <w:color w:val="000000"/>
                <w:sz w:val="15"/>
                <w:szCs w:val="15"/>
              </w:rPr>
              <w:t>236</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849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497"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8498" w14:textId="77777777" w:rsidR="00584EC1" w:rsidRDefault="00871F8D">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8499" w14:textId="77777777" w:rsidR="00584EC1" w:rsidRDefault="00871F8D">
            <w:pPr>
              <w:jc w:val="right"/>
              <w:textAlignment w:val="bottom"/>
            </w:pPr>
            <w:r>
              <w:rPr>
                <w:rFonts w:ascii="Arial" w:eastAsia="宋体" w:hAnsi="Arial" w:cs="Arial"/>
                <w:b/>
                <w:bCs/>
                <w:color w:val="000000"/>
                <w:sz w:val="15"/>
                <w:szCs w:val="15"/>
              </w:rPr>
              <w:t>3,862</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849A" w14:textId="77777777" w:rsidR="00584EC1" w:rsidRDefault="00584EC1">
            <w:pPr>
              <w:jc w:val="right"/>
              <w:rPr>
                <w:rFonts w:ascii="宋体"/>
              </w:rPr>
            </w:pPr>
          </w:p>
        </w:tc>
        <w:tc>
          <w:tcPr>
            <w:tcW w:w="0" w:type="auto"/>
            <w:shd w:val="clear" w:color="auto" w:fill="auto"/>
            <w:vAlign w:val="bottom"/>
          </w:tcPr>
          <w:p w14:paraId="74DD849B" w14:textId="77777777" w:rsidR="00584EC1" w:rsidRDefault="00584EC1">
            <w:pPr>
              <w:rPr>
                <w:rFonts w:ascii="宋体"/>
                <w:vanish/>
              </w:rPr>
            </w:pPr>
          </w:p>
        </w:tc>
      </w:tr>
      <w:tr w:rsidR="00584EC1" w14:paraId="74DD84AA" w14:textId="77777777">
        <w:trPr>
          <w:hidden/>
        </w:trPr>
        <w:tc>
          <w:tcPr>
            <w:tcW w:w="0" w:type="auto"/>
            <w:gridSpan w:val="3"/>
            <w:shd w:val="clear" w:color="auto" w:fill="auto"/>
            <w:vAlign w:val="bottom"/>
          </w:tcPr>
          <w:p w14:paraId="74DD849D" w14:textId="77777777" w:rsidR="00584EC1" w:rsidRDefault="00584EC1">
            <w:pPr>
              <w:rPr>
                <w:rFonts w:ascii="宋体"/>
                <w:vanish/>
              </w:rPr>
            </w:pPr>
          </w:p>
        </w:tc>
        <w:tc>
          <w:tcPr>
            <w:tcW w:w="0" w:type="auto"/>
            <w:gridSpan w:val="3"/>
            <w:shd w:val="clear" w:color="auto" w:fill="auto"/>
            <w:vAlign w:val="bottom"/>
          </w:tcPr>
          <w:p w14:paraId="74DD849E" w14:textId="77777777" w:rsidR="00584EC1" w:rsidRDefault="00584EC1">
            <w:pPr>
              <w:rPr>
                <w:rFonts w:ascii="宋体"/>
                <w:vanish/>
              </w:rPr>
            </w:pPr>
          </w:p>
        </w:tc>
        <w:tc>
          <w:tcPr>
            <w:tcW w:w="0" w:type="auto"/>
            <w:gridSpan w:val="3"/>
            <w:shd w:val="clear" w:color="auto" w:fill="auto"/>
            <w:vAlign w:val="bottom"/>
          </w:tcPr>
          <w:p w14:paraId="74DD849F" w14:textId="77777777" w:rsidR="00584EC1" w:rsidRDefault="00584EC1">
            <w:pPr>
              <w:rPr>
                <w:rFonts w:ascii="宋体"/>
                <w:vanish/>
              </w:rPr>
            </w:pPr>
          </w:p>
        </w:tc>
        <w:tc>
          <w:tcPr>
            <w:tcW w:w="0" w:type="auto"/>
            <w:gridSpan w:val="3"/>
            <w:shd w:val="clear" w:color="auto" w:fill="auto"/>
            <w:vAlign w:val="bottom"/>
          </w:tcPr>
          <w:p w14:paraId="74DD84A0" w14:textId="77777777" w:rsidR="00584EC1" w:rsidRDefault="00584EC1">
            <w:pPr>
              <w:rPr>
                <w:rFonts w:ascii="宋体"/>
                <w:vanish/>
              </w:rPr>
            </w:pPr>
          </w:p>
        </w:tc>
        <w:tc>
          <w:tcPr>
            <w:tcW w:w="0" w:type="auto"/>
            <w:gridSpan w:val="3"/>
            <w:shd w:val="clear" w:color="auto" w:fill="auto"/>
            <w:vAlign w:val="bottom"/>
          </w:tcPr>
          <w:p w14:paraId="74DD84A1" w14:textId="77777777" w:rsidR="00584EC1" w:rsidRDefault="00584EC1">
            <w:pPr>
              <w:rPr>
                <w:rFonts w:ascii="宋体"/>
                <w:vanish/>
              </w:rPr>
            </w:pPr>
          </w:p>
        </w:tc>
        <w:tc>
          <w:tcPr>
            <w:tcW w:w="0" w:type="auto"/>
            <w:gridSpan w:val="3"/>
            <w:shd w:val="clear" w:color="auto" w:fill="auto"/>
            <w:vAlign w:val="bottom"/>
          </w:tcPr>
          <w:p w14:paraId="74DD84A2" w14:textId="77777777" w:rsidR="00584EC1" w:rsidRDefault="00584EC1">
            <w:pPr>
              <w:rPr>
                <w:rFonts w:ascii="宋体"/>
                <w:vanish/>
              </w:rPr>
            </w:pPr>
          </w:p>
        </w:tc>
        <w:tc>
          <w:tcPr>
            <w:tcW w:w="0" w:type="auto"/>
            <w:gridSpan w:val="3"/>
            <w:shd w:val="clear" w:color="auto" w:fill="auto"/>
            <w:vAlign w:val="bottom"/>
          </w:tcPr>
          <w:p w14:paraId="74DD84A3" w14:textId="77777777" w:rsidR="00584EC1" w:rsidRDefault="00584EC1">
            <w:pPr>
              <w:rPr>
                <w:rFonts w:ascii="宋体"/>
                <w:vanish/>
              </w:rPr>
            </w:pPr>
          </w:p>
        </w:tc>
        <w:tc>
          <w:tcPr>
            <w:tcW w:w="0" w:type="auto"/>
            <w:gridSpan w:val="3"/>
            <w:shd w:val="clear" w:color="auto" w:fill="auto"/>
            <w:vAlign w:val="bottom"/>
          </w:tcPr>
          <w:p w14:paraId="74DD84A4" w14:textId="77777777" w:rsidR="00584EC1" w:rsidRDefault="00584EC1">
            <w:pPr>
              <w:rPr>
                <w:rFonts w:ascii="宋体"/>
                <w:vanish/>
              </w:rPr>
            </w:pPr>
          </w:p>
        </w:tc>
        <w:tc>
          <w:tcPr>
            <w:tcW w:w="0" w:type="auto"/>
            <w:gridSpan w:val="3"/>
            <w:shd w:val="clear" w:color="auto" w:fill="auto"/>
            <w:vAlign w:val="bottom"/>
          </w:tcPr>
          <w:p w14:paraId="74DD84A5" w14:textId="77777777" w:rsidR="00584EC1" w:rsidRDefault="00584EC1">
            <w:pPr>
              <w:rPr>
                <w:rFonts w:ascii="宋体"/>
                <w:vanish/>
              </w:rPr>
            </w:pPr>
          </w:p>
        </w:tc>
        <w:tc>
          <w:tcPr>
            <w:tcW w:w="0" w:type="auto"/>
            <w:gridSpan w:val="3"/>
            <w:shd w:val="clear" w:color="auto" w:fill="auto"/>
            <w:vAlign w:val="bottom"/>
          </w:tcPr>
          <w:p w14:paraId="74DD84A6" w14:textId="77777777" w:rsidR="00584EC1" w:rsidRDefault="00584EC1">
            <w:pPr>
              <w:rPr>
                <w:rFonts w:ascii="宋体"/>
                <w:vanish/>
              </w:rPr>
            </w:pPr>
          </w:p>
        </w:tc>
        <w:tc>
          <w:tcPr>
            <w:tcW w:w="0" w:type="auto"/>
            <w:gridSpan w:val="3"/>
            <w:shd w:val="clear" w:color="auto" w:fill="auto"/>
            <w:vAlign w:val="bottom"/>
          </w:tcPr>
          <w:p w14:paraId="74DD84A7" w14:textId="77777777" w:rsidR="00584EC1" w:rsidRDefault="00584EC1">
            <w:pPr>
              <w:rPr>
                <w:rFonts w:ascii="宋体"/>
                <w:vanish/>
              </w:rPr>
            </w:pPr>
          </w:p>
        </w:tc>
        <w:tc>
          <w:tcPr>
            <w:tcW w:w="0" w:type="auto"/>
            <w:gridSpan w:val="3"/>
            <w:shd w:val="clear" w:color="auto" w:fill="auto"/>
            <w:vAlign w:val="bottom"/>
          </w:tcPr>
          <w:p w14:paraId="74DD84A8" w14:textId="77777777" w:rsidR="00584EC1" w:rsidRDefault="00584EC1">
            <w:pPr>
              <w:rPr>
                <w:rFonts w:ascii="宋体"/>
                <w:vanish/>
              </w:rPr>
            </w:pPr>
          </w:p>
        </w:tc>
        <w:tc>
          <w:tcPr>
            <w:tcW w:w="0" w:type="auto"/>
            <w:shd w:val="clear" w:color="auto" w:fill="auto"/>
            <w:vAlign w:val="bottom"/>
          </w:tcPr>
          <w:p w14:paraId="74DD84A9" w14:textId="77777777" w:rsidR="00584EC1" w:rsidRDefault="00584EC1">
            <w:pPr>
              <w:rPr>
                <w:rFonts w:ascii="宋体"/>
                <w:vanish/>
              </w:rPr>
            </w:pPr>
          </w:p>
        </w:tc>
      </w:tr>
      <w:tr w:rsidR="00584EC1" w14:paraId="74DD84B8" w14:textId="77777777">
        <w:trPr>
          <w:hidden/>
        </w:trPr>
        <w:tc>
          <w:tcPr>
            <w:tcW w:w="0" w:type="auto"/>
            <w:gridSpan w:val="3"/>
            <w:shd w:val="clear" w:color="auto" w:fill="auto"/>
            <w:vAlign w:val="bottom"/>
          </w:tcPr>
          <w:p w14:paraId="74DD84AB" w14:textId="77777777" w:rsidR="00584EC1" w:rsidRDefault="00584EC1">
            <w:pPr>
              <w:rPr>
                <w:rFonts w:ascii="宋体"/>
                <w:vanish/>
              </w:rPr>
            </w:pPr>
          </w:p>
        </w:tc>
        <w:tc>
          <w:tcPr>
            <w:tcW w:w="0" w:type="auto"/>
            <w:gridSpan w:val="3"/>
            <w:shd w:val="clear" w:color="auto" w:fill="auto"/>
            <w:vAlign w:val="bottom"/>
          </w:tcPr>
          <w:p w14:paraId="74DD84AC" w14:textId="77777777" w:rsidR="00584EC1" w:rsidRDefault="00584EC1">
            <w:pPr>
              <w:rPr>
                <w:rFonts w:ascii="宋体"/>
                <w:vanish/>
              </w:rPr>
            </w:pPr>
          </w:p>
        </w:tc>
        <w:tc>
          <w:tcPr>
            <w:tcW w:w="0" w:type="auto"/>
            <w:gridSpan w:val="3"/>
            <w:shd w:val="clear" w:color="auto" w:fill="auto"/>
            <w:vAlign w:val="bottom"/>
          </w:tcPr>
          <w:p w14:paraId="74DD84AD" w14:textId="77777777" w:rsidR="00584EC1" w:rsidRDefault="00584EC1">
            <w:pPr>
              <w:rPr>
                <w:rFonts w:ascii="宋体"/>
                <w:vanish/>
              </w:rPr>
            </w:pPr>
          </w:p>
        </w:tc>
        <w:tc>
          <w:tcPr>
            <w:tcW w:w="0" w:type="auto"/>
            <w:gridSpan w:val="3"/>
            <w:shd w:val="clear" w:color="auto" w:fill="auto"/>
            <w:vAlign w:val="bottom"/>
          </w:tcPr>
          <w:p w14:paraId="74DD84AE" w14:textId="77777777" w:rsidR="00584EC1" w:rsidRDefault="00584EC1">
            <w:pPr>
              <w:rPr>
                <w:rFonts w:ascii="宋体"/>
                <w:vanish/>
              </w:rPr>
            </w:pPr>
          </w:p>
        </w:tc>
        <w:tc>
          <w:tcPr>
            <w:tcW w:w="0" w:type="auto"/>
            <w:gridSpan w:val="3"/>
            <w:shd w:val="clear" w:color="auto" w:fill="auto"/>
            <w:vAlign w:val="bottom"/>
          </w:tcPr>
          <w:p w14:paraId="74DD84AF" w14:textId="77777777" w:rsidR="00584EC1" w:rsidRDefault="00584EC1">
            <w:pPr>
              <w:rPr>
                <w:rFonts w:ascii="宋体"/>
                <w:vanish/>
              </w:rPr>
            </w:pPr>
          </w:p>
        </w:tc>
        <w:tc>
          <w:tcPr>
            <w:tcW w:w="0" w:type="auto"/>
            <w:gridSpan w:val="3"/>
            <w:shd w:val="clear" w:color="auto" w:fill="auto"/>
            <w:vAlign w:val="bottom"/>
          </w:tcPr>
          <w:p w14:paraId="74DD84B0" w14:textId="77777777" w:rsidR="00584EC1" w:rsidRDefault="00584EC1">
            <w:pPr>
              <w:rPr>
                <w:rFonts w:ascii="宋体"/>
                <w:vanish/>
              </w:rPr>
            </w:pPr>
          </w:p>
        </w:tc>
        <w:tc>
          <w:tcPr>
            <w:tcW w:w="0" w:type="auto"/>
            <w:gridSpan w:val="3"/>
            <w:shd w:val="clear" w:color="auto" w:fill="auto"/>
            <w:vAlign w:val="bottom"/>
          </w:tcPr>
          <w:p w14:paraId="74DD84B1" w14:textId="77777777" w:rsidR="00584EC1" w:rsidRDefault="00584EC1">
            <w:pPr>
              <w:rPr>
                <w:rFonts w:ascii="宋体"/>
                <w:vanish/>
              </w:rPr>
            </w:pPr>
          </w:p>
        </w:tc>
        <w:tc>
          <w:tcPr>
            <w:tcW w:w="0" w:type="auto"/>
            <w:gridSpan w:val="3"/>
            <w:shd w:val="clear" w:color="auto" w:fill="auto"/>
            <w:vAlign w:val="bottom"/>
          </w:tcPr>
          <w:p w14:paraId="74DD84B2" w14:textId="77777777" w:rsidR="00584EC1" w:rsidRDefault="00584EC1">
            <w:pPr>
              <w:rPr>
                <w:rFonts w:ascii="宋体"/>
                <w:vanish/>
              </w:rPr>
            </w:pPr>
          </w:p>
        </w:tc>
        <w:tc>
          <w:tcPr>
            <w:tcW w:w="0" w:type="auto"/>
            <w:gridSpan w:val="3"/>
            <w:shd w:val="clear" w:color="auto" w:fill="auto"/>
            <w:vAlign w:val="bottom"/>
          </w:tcPr>
          <w:p w14:paraId="74DD84B3" w14:textId="77777777" w:rsidR="00584EC1" w:rsidRDefault="00584EC1">
            <w:pPr>
              <w:rPr>
                <w:rFonts w:ascii="宋体"/>
                <w:vanish/>
              </w:rPr>
            </w:pPr>
          </w:p>
        </w:tc>
        <w:tc>
          <w:tcPr>
            <w:tcW w:w="0" w:type="auto"/>
            <w:gridSpan w:val="3"/>
            <w:shd w:val="clear" w:color="auto" w:fill="auto"/>
            <w:vAlign w:val="bottom"/>
          </w:tcPr>
          <w:p w14:paraId="74DD84B4" w14:textId="77777777" w:rsidR="00584EC1" w:rsidRDefault="00584EC1">
            <w:pPr>
              <w:rPr>
                <w:rFonts w:ascii="宋体"/>
                <w:vanish/>
              </w:rPr>
            </w:pPr>
          </w:p>
        </w:tc>
        <w:tc>
          <w:tcPr>
            <w:tcW w:w="0" w:type="auto"/>
            <w:gridSpan w:val="3"/>
            <w:shd w:val="clear" w:color="auto" w:fill="auto"/>
            <w:vAlign w:val="bottom"/>
          </w:tcPr>
          <w:p w14:paraId="74DD84B5" w14:textId="77777777" w:rsidR="00584EC1" w:rsidRDefault="00584EC1">
            <w:pPr>
              <w:rPr>
                <w:rFonts w:ascii="宋体"/>
                <w:vanish/>
              </w:rPr>
            </w:pPr>
          </w:p>
        </w:tc>
        <w:tc>
          <w:tcPr>
            <w:tcW w:w="0" w:type="auto"/>
            <w:gridSpan w:val="3"/>
            <w:shd w:val="clear" w:color="auto" w:fill="auto"/>
            <w:vAlign w:val="bottom"/>
          </w:tcPr>
          <w:p w14:paraId="74DD84B6" w14:textId="77777777" w:rsidR="00584EC1" w:rsidRDefault="00584EC1">
            <w:pPr>
              <w:rPr>
                <w:rFonts w:ascii="宋体"/>
                <w:vanish/>
              </w:rPr>
            </w:pPr>
          </w:p>
        </w:tc>
        <w:tc>
          <w:tcPr>
            <w:tcW w:w="0" w:type="auto"/>
            <w:shd w:val="clear" w:color="auto" w:fill="auto"/>
            <w:vAlign w:val="bottom"/>
          </w:tcPr>
          <w:p w14:paraId="74DD84B7" w14:textId="77777777" w:rsidR="00584EC1" w:rsidRDefault="00584EC1">
            <w:pPr>
              <w:rPr>
                <w:rFonts w:ascii="宋体"/>
                <w:vanish/>
              </w:rPr>
            </w:pPr>
          </w:p>
        </w:tc>
      </w:tr>
      <w:tr w:rsidR="00584EC1" w14:paraId="74DD84C6" w14:textId="77777777">
        <w:trPr>
          <w:hidden/>
        </w:trPr>
        <w:tc>
          <w:tcPr>
            <w:tcW w:w="0" w:type="auto"/>
            <w:gridSpan w:val="3"/>
            <w:shd w:val="clear" w:color="auto" w:fill="auto"/>
            <w:vAlign w:val="bottom"/>
          </w:tcPr>
          <w:p w14:paraId="74DD84B9" w14:textId="77777777" w:rsidR="00584EC1" w:rsidRDefault="00584EC1">
            <w:pPr>
              <w:rPr>
                <w:rFonts w:ascii="宋体"/>
                <w:vanish/>
              </w:rPr>
            </w:pPr>
          </w:p>
        </w:tc>
        <w:tc>
          <w:tcPr>
            <w:tcW w:w="0" w:type="auto"/>
            <w:gridSpan w:val="3"/>
            <w:shd w:val="clear" w:color="auto" w:fill="auto"/>
            <w:vAlign w:val="bottom"/>
          </w:tcPr>
          <w:p w14:paraId="74DD84BA" w14:textId="77777777" w:rsidR="00584EC1" w:rsidRDefault="00584EC1">
            <w:pPr>
              <w:rPr>
                <w:rFonts w:ascii="宋体"/>
                <w:vanish/>
              </w:rPr>
            </w:pPr>
          </w:p>
        </w:tc>
        <w:tc>
          <w:tcPr>
            <w:tcW w:w="0" w:type="auto"/>
            <w:gridSpan w:val="3"/>
            <w:shd w:val="clear" w:color="auto" w:fill="auto"/>
            <w:vAlign w:val="bottom"/>
          </w:tcPr>
          <w:p w14:paraId="74DD84BB" w14:textId="77777777" w:rsidR="00584EC1" w:rsidRDefault="00584EC1">
            <w:pPr>
              <w:rPr>
                <w:rFonts w:ascii="宋体"/>
                <w:vanish/>
              </w:rPr>
            </w:pPr>
          </w:p>
        </w:tc>
        <w:tc>
          <w:tcPr>
            <w:tcW w:w="0" w:type="auto"/>
            <w:gridSpan w:val="3"/>
            <w:shd w:val="clear" w:color="auto" w:fill="auto"/>
            <w:vAlign w:val="bottom"/>
          </w:tcPr>
          <w:p w14:paraId="74DD84BC" w14:textId="77777777" w:rsidR="00584EC1" w:rsidRDefault="00584EC1">
            <w:pPr>
              <w:rPr>
                <w:rFonts w:ascii="宋体"/>
                <w:vanish/>
              </w:rPr>
            </w:pPr>
          </w:p>
        </w:tc>
        <w:tc>
          <w:tcPr>
            <w:tcW w:w="0" w:type="auto"/>
            <w:gridSpan w:val="3"/>
            <w:shd w:val="clear" w:color="auto" w:fill="auto"/>
            <w:vAlign w:val="bottom"/>
          </w:tcPr>
          <w:p w14:paraId="74DD84BD" w14:textId="77777777" w:rsidR="00584EC1" w:rsidRDefault="00584EC1">
            <w:pPr>
              <w:rPr>
                <w:rFonts w:ascii="宋体"/>
                <w:vanish/>
              </w:rPr>
            </w:pPr>
          </w:p>
        </w:tc>
        <w:tc>
          <w:tcPr>
            <w:tcW w:w="0" w:type="auto"/>
            <w:gridSpan w:val="3"/>
            <w:shd w:val="clear" w:color="auto" w:fill="auto"/>
            <w:vAlign w:val="bottom"/>
          </w:tcPr>
          <w:p w14:paraId="74DD84BE" w14:textId="77777777" w:rsidR="00584EC1" w:rsidRDefault="00584EC1">
            <w:pPr>
              <w:rPr>
                <w:rFonts w:ascii="宋体"/>
                <w:vanish/>
              </w:rPr>
            </w:pPr>
          </w:p>
        </w:tc>
        <w:tc>
          <w:tcPr>
            <w:tcW w:w="0" w:type="auto"/>
            <w:gridSpan w:val="3"/>
            <w:shd w:val="clear" w:color="auto" w:fill="auto"/>
            <w:vAlign w:val="bottom"/>
          </w:tcPr>
          <w:p w14:paraId="74DD84BF" w14:textId="77777777" w:rsidR="00584EC1" w:rsidRDefault="00584EC1">
            <w:pPr>
              <w:rPr>
                <w:rFonts w:ascii="宋体"/>
                <w:vanish/>
              </w:rPr>
            </w:pPr>
          </w:p>
        </w:tc>
        <w:tc>
          <w:tcPr>
            <w:tcW w:w="0" w:type="auto"/>
            <w:gridSpan w:val="3"/>
            <w:shd w:val="clear" w:color="auto" w:fill="auto"/>
            <w:vAlign w:val="bottom"/>
          </w:tcPr>
          <w:p w14:paraId="74DD84C0" w14:textId="77777777" w:rsidR="00584EC1" w:rsidRDefault="00584EC1">
            <w:pPr>
              <w:rPr>
                <w:rFonts w:ascii="宋体"/>
                <w:vanish/>
              </w:rPr>
            </w:pPr>
          </w:p>
        </w:tc>
        <w:tc>
          <w:tcPr>
            <w:tcW w:w="0" w:type="auto"/>
            <w:gridSpan w:val="3"/>
            <w:shd w:val="clear" w:color="auto" w:fill="auto"/>
            <w:vAlign w:val="bottom"/>
          </w:tcPr>
          <w:p w14:paraId="74DD84C1" w14:textId="77777777" w:rsidR="00584EC1" w:rsidRDefault="00584EC1">
            <w:pPr>
              <w:rPr>
                <w:rFonts w:ascii="宋体"/>
                <w:vanish/>
              </w:rPr>
            </w:pPr>
          </w:p>
        </w:tc>
        <w:tc>
          <w:tcPr>
            <w:tcW w:w="0" w:type="auto"/>
            <w:gridSpan w:val="3"/>
            <w:shd w:val="clear" w:color="auto" w:fill="auto"/>
            <w:vAlign w:val="bottom"/>
          </w:tcPr>
          <w:p w14:paraId="74DD84C2" w14:textId="77777777" w:rsidR="00584EC1" w:rsidRDefault="00584EC1">
            <w:pPr>
              <w:rPr>
                <w:rFonts w:ascii="宋体"/>
                <w:vanish/>
              </w:rPr>
            </w:pPr>
          </w:p>
        </w:tc>
        <w:tc>
          <w:tcPr>
            <w:tcW w:w="0" w:type="auto"/>
            <w:gridSpan w:val="3"/>
            <w:shd w:val="clear" w:color="auto" w:fill="auto"/>
            <w:vAlign w:val="bottom"/>
          </w:tcPr>
          <w:p w14:paraId="74DD84C3" w14:textId="77777777" w:rsidR="00584EC1" w:rsidRDefault="00584EC1">
            <w:pPr>
              <w:rPr>
                <w:rFonts w:ascii="宋体"/>
                <w:vanish/>
              </w:rPr>
            </w:pPr>
          </w:p>
        </w:tc>
        <w:tc>
          <w:tcPr>
            <w:tcW w:w="0" w:type="auto"/>
            <w:gridSpan w:val="3"/>
            <w:shd w:val="clear" w:color="auto" w:fill="auto"/>
            <w:vAlign w:val="bottom"/>
          </w:tcPr>
          <w:p w14:paraId="74DD84C4" w14:textId="77777777" w:rsidR="00584EC1" w:rsidRDefault="00584EC1">
            <w:pPr>
              <w:rPr>
                <w:rFonts w:ascii="宋体"/>
                <w:vanish/>
              </w:rPr>
            </w:pPr>
          </w:p>
        </w:tc>
        <w:tc>
          <w:tcPr>
            <w:tcW w:w="0" w:type="auto"/>
            <w:shd w:val="clear" w:color="auto" w:fill="auto"/>
            <w:vAlign w:val="bottom"/>
          </w:tcPr>
          <w:p w14:paraId="74DD84C5" w14:textId="77777777" w:rsidR="00584EC1" w:rsidRDefault="00584EC1">
            <w:pPr>
              <w:rPr>
                <w:rFonts w:ascii="宋体"/>
                <w:vanish/>
              </w:rPr>
            </w:pPr>
          </w:p>
        </w:tc>
      </w:tr>
      <w:tr w:rsidR="00584EC1" w14:paraId="74DD84D4" w14:textId="77777777">
        <w:trPr>
          <w:hidden/>
        </w:trPr>
        <w:tc>
          <w:tcPr>
            <w:tcW w:w="0" w:type="auto"/>
            <w:gridSpan w:val="3"/>
            <w:shd w:val="clear" w:color="auto" w:fill="auto"/>
            <w:vAlign w:val="bottom"/>
          </w:tcPr>
          <w:p w14:paraId="74DD84C7" w14:textId="77777777" w:rsidR="00584EC1" w:rsidRDefault="00584EC1">
            <w:pPr>
              <w:rPr>
                <w:rFonts w:ascii="宋体"/>
                <w:vanish/>
              </w:rPr>
            </w:pPr>
          </w:p>
        </w:tc>
        <w:tc>
          <w:tcPr>
            <w:tcW w:w="0" w:type="auto"/>
            <w:gridSpan w:val="3"/>
            <w:shd w:val="clear" w:color="auto" w:fill="auto"/>
            <w:vAlign w:val="bottom"/>
          </w:tcPr>
          <w:p w14:paraId="74DD84C8" w14:textId="77777777" w:rsidR="00584EC1" w:rsidRDefault="00584EC1">
            <w:pPr>
              <w:rPr>
                <w:rFonts w:ascii="宋体"/>
                <w:vanish/>
              </w:rPr>
            </w:pPr>
          </w:p>
        </w:tc>
        <w:tc>
          <w:tcPr>
            <w:tcW w:w="0" w:type="auto"/>
            <w:gridSpan w:val="3"/>
            <w:shd w:val="clear" w:color="auto" w:fill="auto"/>
            <w:vAlign w:val="bottom"/>
          </w:tcPr>
          <w:p w14:paraId="74DD84C9" w14:textId="77777777" w:rsidR="00584EC1" w:rsidRDefault="00584EC1">
            <w:pPr>
              <w:rPr>
                <w:rFonts w:ascii="宋体"/>
                <w:vanish/>
              </w:rPr>
            </w:pPr>
          </w:p>
        </w:tc>
        <w:tc>
          <w:tcPr>
            <w:tcW w:w="0" w:type="auto"/>
            <w:gridSpan w:val="3"/>
            <w:shd w:val="clear" w:color="auto" w:fill="auto"/>
            <w:vAlign w:val="bottom"/>
          </w:tcPr>
          <w:p w14:paraId="74DD84CA" w14:textId="77777777" w:rsidR="00584EC1" w:rsidRDefault="00584EC1">
            <w:pPr>
              <w:rPr>
                <w:rFonts w:ascii="宋体"/>
                <w:vanish/>
              </w:rPr>
            </w:pPr>
          </w:p>
        </w:tc>
        <w:tc>
          <w:tcPr>
            <w:tcW w:w="0" w:type="auto"/>
            <w:gridSpan w:val="3"/>
            <w:shd w:val="clear" w:color="auto" w:fill="auto"/>
            <w:vAlign w:val="bottom"/>
          </w:tcPr>
          <w:p w14:paraId="74DD84CB" w14:textId="77777777" w:rsidR="00584EC1" w:rsidRDefault="00584EC1">
            <w:pPr>
              <w:rPr>
                <w:rFonts w:ascii="宋体"/>
                <w:vanish/>
              </w:rPr>
            </w:pPr>
          </w:p>
        </w:tc>
        <w:tc>
          <w:tcPr>
            <w:tcW w:w="0" w:type="auto"/>
            <w:gridSpan w:val="3"/>
            <w:shd w:val="clear" w:color="auto" w:fill="auto"/>
            <w:vAlign w:val="bottom"/>
          </w:tcPr>
          <w:p w14:paraId="74DD84CC" w14:textId="77777777" w:rsidR="00584EC1" w:rsidRDefault="00584EC1">
            <w:pPr>
              <w:rPr>
                <w:rFonts w:ascii="宋体"/>
                <w:vanish/>
              </w:rPr>
            </w:pPr>
          </w:p>
        </w:tc>
        <w:tc>
          <w:tcPr>
            <w:tcW w:w="0" w:type="auto"/>
            <w:gridSpan w:val="3"/>
            <w:shd w:val="clear" w:color="auto" w:fill="auto"/>
            <w:vAlign w:val="bottom"/>
          </w:tcPr>
          <w:p w14:paraId="74DD84CD" w14:textId="77777777" w:rsidR="00584EC1" w:rsidRDefault="00584EC1">
            <w:pPr>
              <w:rPr>
                <w:rFonts w:ascii="宋体"/>
                <w:vanish/>
              </w:rPr>
            </w:pPr>
          </w:p>
        </w:tc>
        <w:tc>
          <w:tcPr>
            <w:tcW w:w="0" w:type="auto"/>
            <w:gridSpan w:val="3"/>
            <w:shd w:val="clear" w:color="auto" w:fill="auto"/>
            <w:vAlign w:val="bottom"/>
          </w:tcPr>
          <w:p w14:paraId="74DD84CE" w14:textId="77777777" w:rsidR="00584EC1" w:rsidRDefault="00584EC1">
            <w:pPr>
              <w:rPr>
                <w:rFonts w:ascii="宋体"/>
                <w:vanish/>
              </w:rPr>
            </w:pPr>
          </w:p>
        </w:tc>
        <w:tc>
          <w:tcPr>
            <w:tcW w:w="0" w:type="auto"/>
            <w:gridSpan w:val="3"/>
            <w:shd w:val="clear" w:color="auto" w:fill="auto"/>
            <w:vAlign w:val="bottom"/>
          </w:tcPr>
          <w:p w14:paraId="74DD84CF" w14:textId="77777777" w:rsidR="00584EC1" w:rsidRDefault="00584EC1">
            <w:pPr>
              <w:rPr>
                <w:rFonts w:ascii="宋体"/>
                <w:vanish/>
              </w:rPr>
            </w:pPr>
          </w:p>
        </w:tc>
        <w:tc>
          <w:tcPr>
            <w:tcW w:w="0" w:type="auto"/>
            <w:gridSpan w:val="3"/>
            <w:shd w:val="clear" w:color="auto" w:fill="auto"/>
            <w:vAlign w:val="bottom"/>
          </w:tcPr>
          <w:p w14:paraId="74DD84D0" w14:textId="77777777" w:rsidR="00584EC1" w:rsidRDefault="00584EC1">
            <w:pPr>
              <w:rPr>
                <w:rFonts w:ascii="宋体"/>
                <w:vanish/>
              </w:rPr>
            </w:pPr>
          </w:p>
        </w:tc>
        <w:tc>
          <w:tcPr>
            <w:tcW w:w="0" w:type="auto"/>
            <w:gridSpan w:val="3"/>
            <w:shd w:val="clear" w:color="auto" w:fill="auto"/>
            <w:vAlign w:val="bottom"/>
          </w:tcPr>
          <w:p w14:paraId="74DD84D1" w14:textId="77777777" w:rsidR="00584EC1" w:rsidRDefault="00584EC1">
            <w:pPr>
              <w:rPr>
                <w:rFonts w:ascii="宋体"/>
                <w:vanish/>
              </w:rPr>
            </w:pPr>
          </w:p>
        </w:tc>
        <w:tc>
          <w:tcPr>
            <w:tcW w:w="0" w:type="auto"/>
            <w:gridSpan w:val="3"/>
            <w:shd w:val="clear" w:color="auto" w:fill="auto"/>
            <w:vAlign w:val="bottom"/>
          </w:tcPr>
          <w:p w14:paraId="74DD84D2" w14:textId="77777777" w:rsidR="00584EC1" w:rsidRDefault="00584EC1">
            <w:pPr>
              <w:rPr>
                <w:rFonts w:ascii="宋体"/>
                <w:vanish/>
              </w:rPr>
            </w:pPr>
          </w:p>
        </w:tc>
        <w:tc>
          <w:tcPr>
            <w:tcW w:w="0" w:type="auto"/>
            <w:shd w:val="clear" w:color="auto" w:fill="auto"/>
            <w:vAlign w:val="bottom"/>
          </w:tcPr>
          <w:p w14:paraId="74DD84D3" w14:textId="77777777" w:rsidR="00584EC1" w:rsidRDefault="00584EC1">
            <w:pPr>
              <w:rPr>
                <w:rFonts w:ascii="宋体"/>
                <w:vanish/>
              </w:rPr>
            </w:pPr>
          </w:p>
        </w:tc>
      </w:tr>
      <w:tr w:rsidR="00584EC1" w14:paraId="74DD84E2" w14:textId="77777777">
        <w:trPr>
          <w:hidden/>
        </w:trPr>
        <w:tc>
          <w:tcPr>
            <w:tcW w:w="0" w:type="auto"/>
            <w:gridSpan w:val="3"/>
            <w:shd w:val="clear" w:color="auto" w:fill="auto"/>
            <w:vAlign w:val="bottom"/>
          </w:tcPr>
          <w:p w14:paraId="74DD84D5" w14:textId="77777777" w:rsidR="00584EC1" w:rsidRDefault="00584EC1">
            <w:pPr>
              <w:rPr>
                <w:rFonts w:ascii="宋体"/>
                <w:vanish/>
              </w:rPr>
            </w:pPr>
          </w:p>
        </w:tc>
        <w:tc>
          <w:tcPr>
            <w:tcW w:w="0" w:type="auto"/>
            <w:gridSpan w:val="3"/>
            <w:shd w:val="clear" w:color="auto" w:fill="auto"/>
            <w:vAlign w:val="bottom"/>
          </w:tcPr>
          <w:p w14:paraId="74DD84D6" w14:textId="77777777" w:rsidR="00584EC1" w:rsidRDefault="00584EC1">
            <w:pPr>
              <w:rPr>
                <w:rFonts w:ascii="宋体"/>
                <w:vanish/>
              </w:rPr>
            </w:pPr>
          </w:p>
        </w:tc>
        <w:tc>
          <w:tcPr>
            <w:tcW w:w="0" w:type="auto"/>
            <w:gridSpan w:val="3"/>
            <w:shd w:val="clear" w:color="auto" w:fill="auto"/>
            <w:vAlign w:val="bottom"/>
          </w:tcPr>
          <w:p w14:paraId="74DD84D7" w14:textId="77777777" w:rsidR="00584EC1" w:rsidRDefault="00584EC1">
            <w:pPr>
              <w:rPr>
                <w:rFonts w:ascii="宋体"/>
                <w:vanish/>
              </w:rPr>
            </w:pPr>
          </w:p>
        </w:tc>
        <w:tc>
          <w:tcPr>
            <w:tcW w:w="0" w:type="auto"/>
            <w:gridSpan w:val="3"/>
            <w:shd w:val="clear" w:color="auto" w:fill="auto"/>
            <w:vAlign w:val="bottom"/>
          </w:tcPr>
          <w:p w14:paraId="74DD84D8" w14:textId="77777777" w:rsidR="00584EC1" w:rsidRDefault="00584EC1">
            <w:pPr>
              <w:rPr>
                <w:rFonts w:ascii="宋体"/>
                <w:vanish/>
              </w:rPr>
            </w:pPr>
          </w:p>
        </w:tc>
        <w:tc>
          <w:tcPr>
            <w:tcW w:w="0" w:type="auto"/>
            <w:gridSpan w:val="3"/>
            <w:shd w:val="clear" w:color="auto" w:fill="auto"/>
            <w:vAlign w:val="bottom"/>
          </w:tcPr>
          <w:p w14:paraId="74DD84D9" w14:textId="77777777" w:rsidR="00584EC1" w:rsidRDefault="00584EC1">
            <w:pPr>
              <w:rPr>
                <w:rFonts w:ascii="宋体"/>
                <w:vanish/>
              </w:rPr>
            </w:pPr>
          </w:p>
        </w:tc>
        <w:tc>
          <w:tcPr>
            <w:tcW w:w="0" w:type="auto"/>
            <w:gridSpan w:val="3"/>
            <w:shd w:val="clear" w:color="auto" w:fill="auto"/>
            <w:vAlign w:val="bottom"/>
          </w:tcPr>
          <w:p w14:paraId="74DD84DA" w14:textId="77777777" w:rsidR="00584EC1" w:rsidRDefault="00584EC1">
            <w:pPr>
              <w:rPr>
                <w:rFonts w:ascii="宋体"/>
                <w:vanish/>
              </w:rPr>
            </w:pPr>
          </w:p>
        </w:tc>
        <w:tc>
          <w:tcPr>
            <w:tcW w:w="0" w:type="auto"/>
            <w:gridSpan w:val="3"/>
            <w:shd w:val="clear" w:color="auto" w:fill="auto"/>
            <w:vAlign w:val="bottom"/>
          </w:tcPr>
          <w:p w14:paraId="74DD84DB" w14:textId="77777777" w:rsidR="00584EC1" w:rsidRDefault="00584EC1">
            <w:pPr>
              <w:rPr>
                <w:rFonts w:ascii="宋体"/>
                <w:vanish/>
              </w:rPr>
            </w:pPr>
          </w:p>
        </w:tc>
        <w:tc>
          <w:tcPr>
            <w:tcW w:w="0" w:type="auto"/>
            <w:gridSpan w:val="3"/>
            <w:shd w:val="clear" w:color="auto" w:fill="auto"/>
            <w:vAlign w:val="bottom"/>
          </w:tcPr>
          <w:p w14:paraId="74DD84DC" w14:textId="77777777" w:rsidR="00584EC1" w:rsidRDefault="00584EC1">
            <w:pPr>
              <w:rPr>
                <w:rFonts w:ascii="宋体"/>
                <w:vanish/>
              </w:rPr>
            </w:pPr>
          </w:p>
        </w:tc>
        <w:tc>
          <w:tcPr>
            <w:tcW w:w="0" w:type="auto"/>
            <w:gridSpan w:val="3"/>
            <w:shd w:val="clear" w:color="auto" w:fill="auto"/>
            <w:vAlign w:val="bottom"/>
          </w:tcPr>
          <w:p w14:paraId="74DD84DD" w14:textId="77777777" w:rsidR="00584EC1" w:rsidRDefault="00584EC1">
            <w:pPr>
              <w:rPr>
                <w:rFonts w:ascii="宋体"/>
                <w:vanish/>
              </w:rPr>
            </w:pPr>
          </w:p>
        </w:tc>
        <w:tc>
          <w:tcPr>
            <w:tcW w:w="0" w:type="auto"/>
            <w:gridSpan w:val="3"/>
            <w:shd w:val="clear" w:color="auto" w:fill="auto"/>
            <w:vAlign w:val="bottom"/>
          </w:tcPr>
          <w:p w14:paraId="74DD84DE" w14:textId="77777777" w:rsidR="00584EC1" w:rsidRDefault="00584EC1">
            <w:pPr>
              <w:rPr>
                <w:rFonts w:ascii="宋体"/>
                <w:vanish/>
              </w:rPr>
            </w:pPr>
          </w:p>
        </w:tc>
        <w:tc>
          <w:tcPr>
            <w:tcW w:w="0" w:type="auto"/>
            <w:gridSpan w:val="3"/>
            <w:shd w:val="clear" w:color="auto" w:fill="auto"/>
            <w:vAlign w:val="bottom"/>
          </w:tcPr>
          <w:p w14:paraId="74DD84DF" w14:textId="77777777" w:rsidR="00584EC1" w:rsidRDefault="00584EC1">
            <w:pPr>
              <w:rPr>
                <w:rFonts w:ascii="宋体"/>
                <w:vanish/>
              </w:rPr>
            </w:pPr>
          </w:p>
        </w:tc>
        <w:tc>
          <w:tcPr>
            <w:tcW w:w="0" w:type="auto"/>
            <w:gridSpan w:val="3"/>
            <w:shd w:val="clear" w:color="auto" w:fill="auto"/>
            <w:vAlign w:val="bottom"/>
          </w:tcPr>
          <w:p w14:paraId="74DD84E0" w14:textId="77777777" w:rsidR="00584EC1" w:rsidRDefault="00584EC1">
            <w:pPr>
              <w:rPr>
                <w:rFonts w:ascii="宋体"/>
                <w:vanish/>
              </w:rPr>
            </w:pPr>
          </w:p>
        </w:tc>
        <w:tc>
          <w:tcPr>
            <w:tcW w:w="0" w:type="auto"/>
            <w:shd w:val="clear" w:color="auto" w:fill="auto"/>
            <w:vAlign w:val="bottom"/>
          </w:tcPr>
          <w:p w14:paraId="74DD84E1" w14:textId="77777777" w:rsidR="00584EC1" w:rsidRDefault="00584EC1">
            <w:pPr>
              <w:rPr>
                <w:rFonts w:ascii="宋体"/>
                <w:vanish/>
              </w:rPr>
            </w:pPr>
          </w:p>
        </w:tc>
      </w:tr>
      <w:tr w:rsidR="00584EC1" w14:paraId="74DD84F0" w14:textId="77777777">
        <w:trPr>
          <w:hidden/>
        </w:trPr>
        <w:tc>
          <w:tcPr>
            <w:tcW w:w="0" w:type="auto"/>
            <w:gridSpan w:val="3"/>
            <w:shd w:val="clear" w:color="auto" w:fill="auto"/>
            <w:vAlign w:val="bottom"/>
          </w:tcPr>
          <w:p w14:paraId="74DD84E3" w14:textId="77777777" w:rsidR="00584EC1" w:rsidRDefault="00584EC1">
            <w:pPr>
              <w:rPr>
                <w:rFonts w:ascii="宋体"/>
                <w:vanish/>
              </w:rPr>
            </w:pPr>
          </w:p>
        </w:tc>
        <w:tc>
          <w:tcPr>
            <w:tcW w:w="0" w:type="auto"/>
            <w:gridSpan w:val="3"/>
            <w:shd w:val="clear" w:color="auto" w:fill="auto"/>
            <w:vAlign w:val="bottom"/>
          </w:tcPr>
          <w:p w14:paraId="74DD84E4" w14:textId="77777777" w:rsidR="00584EC1" w:rsidRDefault="00584EC1">
            <w:pPr>
              <w:rPr>
                <w:rFonts w:ascii="宋体"/>
                <w:vanish/>
              </w:rPr>
            </w:pPr>
          </w:p>
        </w:tc>
        <w:tc>
          <w:tcPr>
            <w:tcW w:w="0" w:type="auto"/>
            <w:gridSpan w:val="3"/>
            <w:shd w:val="clear" w:color="auto" w:fill="auto"/>
            <w:vAlign w:val="bottom"/>
          </w:tcPr>
          <w:p w14:paraId="74DD84E5" w14:textId="77777777" w:rsidR="00584EC1" w:rsidRDefault="00584EC1">
            <w:pPr>
              <w:rPr>
                <w:rFonts w:ascii="宋体"/>
                <w:vanish/>
              </w:rPr>
            </w:pPr>
          </w:p>
        </w:tc>
        <w:tc>
          <w:tcPr>
            <w:tcW w:w="0" w:type="auto"/>
            <w:gridSpan w:val="3"/>
            <w:shd w:val="clear" w:color="auto" w:fill="auto"/>
            <w:vAlign w:val="bottom"/>
          </w:tcPr>
          <w:p w14:paraId="74DD84E6" w14:textId="77777777" w:rsidR="00584EC1" w:rsidRDefault="00584EC1">
            <w:pPr>
              <w:rPr>
                <w:rFonts w:ascii="宋体"/>
                <w:vanish/>
              </w:rPr>
            </w:pPr>
          </w:p>
        </w:tc>
        <w:tc>
          <w:tcPr>
            <w:tcW w:w="0" w:type="auto"/>
            <w:gridSpan w:val="3"/>
            <w:shd w:val="clear" w:color="auto" w:fill="auto"/>
            <w:vAlign w:val="bottom"/>
          </w:tcPr>
          <w:p w14:paraId="74DD84E7" w14:textId="77777777" w:rsidR="00584EC1" w:rsidRDefault="00584EC1">
            <w:pPr>
              <w:rPr>
                <w:rFonts w:ascii="宋体"/>
                <w:vanish/>
              </w:rPr>
            </w:pPr>
          </w:p>
        </w:tc>
        <w:tc>
          <w:tcPr>
            <w:tcW w:w="0" w:type="auto"/>
            <w:gridSpan w:val="3"/>
            <w:shd w:val="clear" w:color="auto" w:fill="auto"/>
            <w:vAlign w:val="bottom"/>
          </w:tcPr>
          <w:p w14:paraId="74DD84E8" w14:textId="77777777" w:rsidR="00584EC1" w:rsidRDefault="00584EC1">
            <w:pPr>
              <w:rPr>
                <w:rFonts w:ascii="宋体"/>
                <w:vanish/>
              </w:rPr>
            </w:pPr>
          </w:p>
        </w:tc>
        <w:tc>
          <w:tcPr>
            <w:tcW w:w="0" w:type="auto"/>
            <w:gridSpan w:val="3"/>
            <w:shd w:val="clear" w:color="auto" w:fill="auto"/>
            <w:vAlign w:val="bottom"/>
          </w:tcPr>
          <w:p w14:paraId="74DD84E9" w14:textId="77777777" w:rsidR="00584EC1" w:rsidRDefault="00584EC1">
            <w:pPr>
              <w:rPr>
                <w:rFonts w:ascii="宋体"/>
                <w:vanish/>
              </w:rPr>
            </w:pPr>
          </w:p>
        </w:tc>
        <w:tc>
          <w:tcPr>
            <w:tcW w:w="0" w:type="auto"/>
            <w:gridSpan w:val="3"/>
            <w:shd w:val="clear" w:color="auto" w:fill="auto"/>
            <w:vAlign w:val="bottom"/>
          </w:tcPr>
          <w:p w14:paraId="74DD84EA" w14:textId="77777777" w:rsidR="00584EC1" w:rsidRDefault="00584EC1">
            <w:pPr>
              <w:rPr>
                <w:rFonts w:ascii="宋体"/>
                <w:vanish/>
              </w:rPr>
            </w:pPr>
          </w:p>
        </w:tc>
        <w:tc>
          <w:tcPr>
            <w:tcW w:w="0" w:type="auto"/>
            <w:gridSpan w:val="3"/>
            <w:shd w:val="clear" w:color="auto" w:fill="auto"/>
            <w:vAlign w:val="bottom"/>
          </w:tcPr>
          <w:p w14:paraId="74DD84EB" w14:textId="77777777" w:rsidR="00584EC1" w:rsidRDefault="00584EC1">
            <w:pPr>
              <w:rPr>
                <w:rFonts w:ascii="宋体"/>
                <w:vanish/>
              </w:rPr>
            </w:pPr>
          </w:p>
        </w:tc>
        <w:tc>
          <w:tcPr>
            <w:tcW w:w="0" w:type="auto"/>
            <w:gridSpan w:val="3"/>
            <w:shd w:val="clear" w:color="auto" w:fill="auto"/>
            <w:vAlign w:val="bottom"/>
          </w:tcPr>
          <w:p w14:paraId="74DD84EC" w14:textId="77777777" w:rsidR="00584EC1" w:rsidRDefault="00584EC1">
            <w:pPr>
              <w:rPr>
                <w:rFonts w:ascii="宋体"/>
                <w:vanish/>
              </w:rPr>
            </w:pPr>
          </w:p>
        </w:tc>
        <w:tc>
          <w:tcPr>
            <w:tcW w:w="0" w:type="auto"/>
            <w:gridSpan w:val="3"/>
            <w:shd w:val="clear" w:color="auto" w:fill="auto"/>
            <w:vAlign w:val="bottom"/>
          </w:tcPr>
          <w:p w14:paraId="74DD84ED" w14:textId="77777777" w:rsidR="00584EC1" w:rsidRDefault="00584EC1">
            <w:pPr>
              <w:rPr>
                <w:rFonts w:ascii="宋体"/>
                <w:vanish/>
              </w:rPr>
            </w:pPr>
          </w:p>
        </w:tc>
        <w:tc>
          <w:tcPr>
            <w:tcW w:w="0" w:type="auto"/>
            <w:gridSpan w:val="3"/>
            <w:shd w:val="clear" w:color="auto" w:fill="auto"/>
            <w:vAlign w:val="bottom"/>
          </w:tcPr>
          <w:p w14:paraId="74DD84EE" w14:textId="77777777" w:rsidR="00584EC1" w:rsidRDefault="00584EC1">
            <w:pPr>
              <w:rPr>
                <w:rFonts w:ascii="宋体"/>
                <w:vanish/>
              </w:rPr>
            </w:pPr>
          </w:p>
        </w:tc>
        <w:tc>
          <w:tcPr>
            <w:tcW w:w="0" w:type="auto"/>
            <w:shd w:val="clear" w:color="auto" w:fill="auto"/>
            <w:vAlign w:val="bottom"/>
          </w:tcPr>
          <w:p w14:paraId="74DD84EF" w14:textId="77777777" w:rsidR="00584EC1" w:rsidRDefault="00584EC1">
            <w:pPr>
              <w:rPr>
                <w:rFonts w:ascii="宋体"/>
                <w:vanish/>
              </w:rPr>
            </w:pPr>
          </w:p>
        </w:tc>
      </w:tr>
      <w:tr w:rsidR="00584EC1" w14:paraId="74DD84FE" w14:textId="77777777">
        <w:trPr>
          <w:hidden/>
        </w:trPr>
        <w:tc>
          <w:tcPr>
            <w:tcW w:w="0" w:type="auto"/>
            <w:gridSpan w:val="3"/>
            <w:shd w:val="clear" w:color="auto" w:fill="auto"/>
            <w:vAlign w:val="bottom"/>
          </w:tcPr>
          <w:p w14:paraId="74DD84F1" w14:textId="77777777" w:rsidR="00584EC1" w:rsidRDefault="00584EC1">
            <w:pPr>
              <w:rPr>
                <w:rFonts w:ascii="宋体"/>
                <w:vanish/>
              </w:rPr>
            </w:pPr>
          </w:p>
        </w:tc>
        <w:tc>
          <w:tcPr>
            <w:tcW w:w="0" w:type="auto"/>
            <w:gridSpan w:val="3"/>
            <w:shd w:val="clear" w:color="auto" w:fill="auto"/>
            <w:vAlign w:val="bottom"/>
          </w:tcPr>
          <w:p w14:paraId="74DD84F2" w14:textId="77777777" w:rsidR="00584EC1" w:rsidRDefault="00584EC1">
            <w:pPr>
              <w:rPr>
                <w:rFonts w:ascii="宋体"/>
                <w:vanish/>
              </w:rPr>
            </w:pPr>
          </w:p>
        </w:tc>
        <w:tc>
          <w:tcPr>
            <w:tcW w:w="0" w:type="auto"/>
            <w:gridSpan w:val="3"/>
            <w:shd w:val="clear" w:color="auto" w:fill="auto"/>
            <w:vAlign w:val="bottom"/>
          </w:tcPr>
          <w:p w14:paraId="74DD84F3" w14:textId="77777777" w:rsidR="00584EC1" w:rsidRDefault="00584EC1">
            <w:pPr>
              <w:rPr>
                <w:rFonts w:ascii="宋体"/>
                <w:vanish/>
              </w:rPr>
            </w:pPr>
          </w:p>
        </w:tc>
        <w:tc>
          <w:tcPr>
            <w:tcW w:w="0" w:type="auto"/>
            <w:gridSpan w:val="3"/>
            <w:shd w:val="clear" w:color="auto" w:fill="auto"/>
            <w:vAlign w:val="bottom"/>
          </w:tcPr>
          <w:p w14:paraId="74DD84F4" w14:textId="77777777" w:rsidR="00584EC1" w:rsidRDefault="00584EC1">
            <w:pPr>
              <w:rPr>
                <w:rFonts w:ascii="宋体"/>
                <w:vanish/>
              </w:rPr>
            </w:pPr>
          </w:p>
        </w:tc>
        <w:tc>
          <w:tcPr>
            <w:tcW w:w="0" w:type="auto"/>
            <w:gridSpan w:val="3"/>
            <w:shd w:val="clear" w:color="auto" w:fill="auto"/>
            <w:vAlign w:val="bottom"/>
          </w:tcPr>
          <w:p w14:paraId="74DD84F5" w14:textId="77777777" w:rsidR="00584EC1" w:rsidRDefault="00584EC1">
            <w:pPr>
              <w:rPr>
                <w:rFonts w:ascii="宋体"/>
                <w:vanish/>
              </w:rPr>
            </w:pPr>
          </w:p>
        </w:tc>
        <w:tc>
          <w:tcPr>
            <w:tcW w:w="0" w:type="auto"/>
            <w:gridSpan w:val="3"/>
            <w:shd w:val="clear" w:color="auto" w:fill="auto"/>
            <w:vAlign w:val="bottom"/>
          </w:tcPr>
          <w:p w14:paraId="74DD84F6" w14:textId="77777777" w:rsidR="00584EC1" w:rsidRDefault="00584EC1">
            <w:pPr>
              <w:rPr>
                <w:rFonts w:ascii="宋体"/>
                <w:vanish/>
              </w:rPr>
            </w:pPr>
          </w:p>
        </w:tc>
        <w:tc>
          <w:tcPr>
            <w:tcW w:w="0" w:type="auto"/>
            <w:gridSpan w:val="3"/>
            <w:shd w:val="clear" w:color="auto" w:fill="auto"/>
            <w:vAlign w:val="bottom"/>
          </w:tcPr>
          <w:p w14:paraId="74DD84F7" w14:textId="77777777" w:rsidR="00584EC1" w:rsidRDefault="00584EC1">
            <w:pPr>
              <w:rPr>
                <w:rFonts w:ascii="宋体"/>
                <w:vanish/>
              </w:rPr>
            </w:pPr>
          </w:p>
        </w:tc>
        <w:tc>
          <w:tcPr>
            <w:tcW w:w="0" w:type="auto"/>
            <w:gridSpan w:val="3"/>
            <w:shd w:val="clear" w:color="auto" w:fill="auto"/>
            <w:vAlign w:val="bottom"/>
          </w:tcPr>
          <w:p w14:paraId="74DD84F8" w14:textId="77777777" w:rsidR="00584EC1" w:rsidRDefault="00584EC1">
            <w:pPr>
              <w:rPr>
                <w:rFonts w:ascii="宋体"/>
                <w:vanish/>
              </w:rPr>
            </w:pPr>
          </w:p>
        </w:tc>
        <w:tc>
          <w:tcPr>
            <w:tcW w:w="0" w:type="auto"/>
            <w:gridSpan w:val="3"/>
            <w:shd w:val="clear" w:color="auto" w:fill="auto"/>
            <w:vAlign w:val="bottom"/>
          </w:tcPr>
          <w:p w14:paraId="74DD84F9" w14:textId="77777777" w:rsidR="00584EC1" w:rsidRDefault="00584EC1">
            <w:pPr>
              <w:rPr>
                <w:rFonts w:ascii="宋体"/>
                <w:vanish/>
              </w:rPr>
            </w:pPr>
          </w:p>
        </w:tc>
        <w:tc>
          <w:tcPr>
            <w:tcW w:w="0" w:type="auto"/>
            <w:gridSpan w:val="3"/>
            <w:shd w:val="clear" w:color="auto" w:fill="auto"/>
            <w:vAlign w:val="bottom"/>
          </w:tcPr>
          <w:p w14:paraId="74DD84FA" w14:textId="77777777" w:rsidR="00584EC1" w:rsidRDefault="00584EC1">
            <w:pPr>
              <w:rPr>
                <w:rFonts w:ascii="宋体"/>
                <w:vanish/>
              </w:rPr>
            </w:pPr>
          </w:p>
        </w:tc>
        <w:tc>
          <w:tcPr>
            <w:tcW w:w="0" w:type="auto"/>
            <w:gridSpan w:val="3"/>
            <w:shd w:val="clear" w:color="auto" w:fill="auto"/>
            <w:vAlign w:val="bottom"/>
          </w:tcPr>
          <w:p w14:paraId="74DD84FB" w14:textId="77777777" w:rsidR="00584EC1" w:rsidRDefault="00584EC1">
            <w:pPr>
              <w:rPr>
                <w:rFonts w:ascii="宋体"/>
                <w:vanish/>
              </w:rPr>
            </w:pPr>
          </w:p>
        </w:tc>
        <w:tc>
          <w:tcPr>
            <w:tcW w:w="0" w:type="auto"/>
            <w:gridSpan w:val="3"/>
            <w:shd w:val="clear" w:color="auto" w:fill="auto"/>
            <w:vAlign w:val="bottom"/>
          </w:tcPr>
          <w:p w14:paraId="74DD84FC" w14:textId="77777777" w:rsidR="00584EC1" w:rsidRDefault="00584EC1">
            <w:pPr>
              <w:rPr>
                <w:rFonts w:ascii="宋体"/>
                <w:vanish/>
              </w:rPr>
            </w:pPr>
          </w:p>
        </w:tc>
        <w:tc>
          <w:tcPr>
            <w:tcW w:w="0" w:type="auto"/>
            <w:shd w:val="clear" w:color="auto" w:fill="auto"/>
            <w:vAlign w:val="bottom"/>
          </w:tcPr>
          <w:p w14:paraId="74DD84FD" w14:textId="77777777" w:rsidR="00584EC1" w:rsidRDefault="00584EC1">
            <w:pPr>
              <w:rPr>
                <w:rFonts w:ascii="宋体"/>
                <w:vanish/>
              </w:rPr>
            </w:pPr>
          </w:p>
        </w:tc>
      </w:tr>
      <w:tr w:rsidR="00584EC1" w14:paraId="74DD850C" w14:textId="77777777">
        <w:trPr>
          <w:hidden/>
        </w:trPr>
        <w:tc>
          <w:tcPr>
            <w:tcW w:w="0" w:type="auto"/>
            <w:gridSpan w:val="3"/>
            <w:shd w:val="clear" w:color="auto" w:fill="auto"/>
            <w:vAlign w:val="bottom"/>
          </w:tcPr>
          <w:p w14:paraId="74DD84FF" w14:textId="77777777" w:rsidR="00584EC1" w:rsidRDefault="00584EC1">
            <w:pPr>
              <w:rPr>
                <w:rFonts w:ascii="宋体"/>
                <w:vanish/>
              </w:rPr>
            </w:pPr>
          </w:p>
        </w:tc>
        <w:tc>
          <w:tcPr>
            <w:tcW w:w="0" w:type="auto"/>
            <w:gridSpan w:val="3"/>
            <w:shd w:val="clear" w:color="auto" w:fill="auto"/>
            <w:vAlign w:val="bottom"/>
          </w:tcPr>
          <w:p w14:paraId="74DD8500" w14:textId="77777777" w:rsidR="00584EC1" w:rsidRDefault="00584EC1">
            <w:pPr>
              <w:rPr>
                <w:rFonts w:ascii="宋体"/>
                <w:vanish/>
              </w:rPr>
            </w:pPr>
          </w:p>
        </w:tc>
        <w:tc>
          <w:tcPr>
            <w:tcW w:w="0" w:type="auto"/>
            <w:gridSpan w:val="3"/>
            <w:shd w:val="clear" w:color="auto" w:fill="auto"/>
            <w:vAlign w:val="bottom"/>
          </w:tcPr>
          <w:p w14:paraId="74DD8501" w14:textId="77777777" w:rsidR="00584EC1" w:rsidRDefault="00584EC1">
            <w:pPr>
              <w:rPr>
                <w:rFonts w:ascii="宋体"/>
                <w:vanish/>
              </w:rPr>
            </w:pPr>
          </w:p>
        </w:tc>
        <w:tc>
          <w:tcPr>
            <w:tcW w:w="0" w:type="auto"/>
            <w:gridSpan w:val="3"/>
            <w:shd w:val="clear" w:color="auto" w:fill="auto"/>
            <w:vAlign w:val="bottom"/>
          </w:tcPr>
          <w:p w14:paraId="74DD8502" w14:textId="77777777" w:rsidR="00584EC1" w:rsidRDefault="00584EC1">
            <w:pPr>
              <w:rPr>
                <w:rFonts w:ascii="宋体"/>
                <w:vanish/>
              </w:rPr>
            </w:pPr>
          </w:p>
        </w:tc>
        <w:tc>
          <w:tcPr>
            <w:tcW w:w="0" w:type="auto"/>
            <w:gridSpan w:val="3"/>
            <w:shd w:val="clear" w:color="auto" w:fill="auto"/>
            <w:vAlign w:val="bottom"/>
          </w:tcPr>
          <w:p w14:paraId="74DD8503" w14:textId="77777777" w:rsidR="00584EC1" w:rsidRDefault="00584EC1">
            <w:pPr>
              <w:rPr>
                <w:rFonts w:ascii="宋体"/>
                <w:vanish/>
              </w:rPr>
            </w:pPr>
          </w:p>
        </w:tc>
        <w:tc>
          <w:tcPr>
            <w:tcW w:w="0" w:type="auto"/>
            <w:gridSpan w:val="3"/>
            <w:shd w:val="clear" w:color="auto" w:fill="auto"/>
            <w:vAlign w:val="bottom"/>
          </w:tcPr>
          <w:p w14:paraId="74DD8504" w14:textId="77777777" w:rsidR="00584EC1" w:rsidRDefault="00584EC1">
            <w:pPr>
              <w:rPr>
                <w:rFonts w:ascii="宋体"/>
                <w:vanish/>
              </w:rPr>
            </w:pPr>
          </w:p>
        </w:tc>
        <w:tc>
          <w:tcPr>
            <w:tcW w:w="0" w:type="auto"/>
            <w:gridSpan w:val="3"/>
            <w:shd w:val="clear" w:color="auto" w:fill="auto"/>
            <w:vAlign w:val="bottom"/>
          </w:tcPr>
          <w:p w14:paraId="74DD8505" w14:textId="77777777" w:rsidR="00584EC1" w:rsidRDefault="00584EC1">
            <w:pPr>
              <w:rPr>
                <w:rFonts w:ascii="宋体"/>
                <w:vanish/>
              </w:rPr>
            </w:pPr>
          </w:p>
        </w:tc>
        <w:tc>
          <w:tcPr>
            <w:tcW w:w="0" w:type="auto"/>
            <w:gridSpan w:val="3"/>
            <w:shd w:val="clear" w:color="auto" w:fill="auto"/>
            <w:vAlign w:val="bottom"/>
          </w:tcPr>
          <w:p w14:paraId="74DD8506" w14:textId="77777777" w:rsidR="00584EC1" w:rsidRDefault="00584EC1">
            <w:pPr>
              <w:rPr>
                <w:rFonts w:ascii="宋体"/>
                <w:vanish/>
              </w:rPr>
            </w:pPr>
          </w:p>
        </w:tc>
        <w:tc>
          <w:tcPr>
            <w:tcW w:w="0" w:type="auto"/>
            <w:gridSpan w:val="3"/>
            <w:shd w:val="clear" w:color="auto" w:fill="auto"/>
            <w:vAlign w:val="bottom"/>
          </w:tcPr>
          <w:p w14:paraId="74DD8507" w14:textId="77777777" w:rsidR="00584EC1" w:rsidRDefault="00584EC1">
            <w:pPr>
              <w:rPr>
                <w:rFonts w:ascii="宋体"/>
                <w:vanish/>
              </w:rPr>
            </w:pPr>
          </w:p>
        </w:tc>
        <w:tc>
          <w:tcPr>
            <w:tcW w:w="0" w:type="auto"/>
            <w:gridSpan w:val="3"/>
            <w:shd w:val="clear" w:color="auto" w:fill="auto"/>
            <w:vAlign w:val="bottom"/>
          </w:tcPr>
          <w:p w14:paraId="74DD8508" w14:textId="77777777" w:rsidR="00584EC1" w:rsidRDefault="00584EC1">
            <w:pPr>
              <w:rPr>
                <w:rFonts w:ascii="宋体"/>
                <w:vanish/>
              </w:rPr>
            </w:pPr>
          </w:p>
        </w:tc>
        <w:tc>
          <w:tcPr>
            <w:tcW w:w="0" w:type="auto"/>
            <w:gridSpan w:val="3"/>
            <w:shd w:val="clear" w:color="auto" w:fill="auto"/>
            <w:vAlign w:val="bottom"/>
          </w:tcPr>
          <w:p w14:paraId="74DD8509" w14:textId="77777777" w:rsidR="00584EC1" w:rsidRDefault="00584EC1">
            <w:pPr>
              <w:rPr>
                <w:rFonts w:ascii="宋体"/>
                <w:vanish/>
              </w:rPr>
            </w:pPr>
          </w:p>
        </w:tc>
        <w:tc>
          <w:tcPr>
            <w:tcW w:w="0" w:type="auto"/>
            <w:gridSpan w:val="3"/>
            <w:shd w:val="clear" w:color="auto" w:fill="auto"/>
            <w:vAlign w:val="bottom"/>
          </w:tcPr>
          <w:p w14:paraId="74DD850A" w14:textId="77777777" w:rsidR="00584EC1" w:rsidRDefault="00584EC1">
            <w:pPr>
              <w:rPr>
                <w:rFonts w:ascii="宋体"/>
                <w:vanish/>
              </w:rPr>
            </w:pPr>
          </w:p>
        </w:tc>
        <w:tc>
          <w:tcPr>
            <w:tcW w:w="0" w:type="auto"/>
            <w:shd w:val="clear" w:color="auto" w:fill="auto"/>
            <w:vAlign w:val="bottom"/>
          </w:tcPr>
          <w:p w14:paraId="74DD850B" w14:textId="77777777" w:rsidR="00584EC1" w:rsidRDefault="00584EC1">
            <w:pPr>
              <w:rPr>
                <w:rFonts w:ascii="宋体"/>
                <w:vanish/>
              </w:rPr>
            </w:pPr>
          </w:p>
        </w:tc>
      </w:tr>
      <w:tr w:rsidR="00584EC1" w14:paraId="74DD851A" w14:textId="77777777">
        <w:trPr>
          <w:hidden/>
        </w:trPr>
        <w:tc>
          <w:tcPr>
            <w:tcW w:w="0" w:type="auto"/>
            <w:gridSpan w:val="3"/>
            <w:shd w:val="clear" w:color="auto" w:fill="auto"/>
            <w:vAlign w:val="bottom"/>
          </w:tcPr>
          <w:p w14:paraId="74DD850D" w14:textId="77777777" w:rsidR="00584EC1" w:rsidRDefault="00584EC1">
            <w:pPr>
              <w:rPr>
                <w:rFonts w:ascii="宋体"/>
                <w:vanish/>
              </w:rPr>
            </w:pPr>
          </w:p>
        </w:tc>
        <w:tc>
          <w:tcPr>
            <w:tcW w:w="0" w:type="auto"/>
            <w:gridSpan w:val="3"/>
            <w:shd w:val="clear" w:color="auto" w:fill="auto"/>
            <w:vAlign w:val="bottom"/>
          </w:tcPr>
          <w:p w14:paraId="74DD850E" w14:textId="77777777" w:rsidR="00584EC1" w:rsidRDefault="00584EC1">
            <w:pPr>
              <w:rPr>
                <w:rFonts w:ascii="宋体"/>
                <w:vanish/>
              </w:rPr>
            </w:pPr>
          </w:p>
        </w:tc>
        <w:tc>
          <w:tcPr>
            <w:tcW w:w="0" w:type="auto"/>
            <w:gridSpan w:val="3"/>
            <w:shd w:val="clear" w:color="auto" w:fill="auto"/>
            <w:vAlign w:val="bottom"/>
          </w:tcPr>
          <w:p w14:paraId="74DD850F" w14:textId="77777777" w:rsidR="00584EC1" w:rsidRDefault="00584EC1">
            <w:pPr>
              <w:rPr>
                <w:rFonts w:ascii="宋体"/>
                <w:vanish/>
              </w:rPr>
            </w:pPr>
          </w:p>
        </w:tc>
        <w:tc>
          <w:tcPr>
            <w:tcW w:w="0" w:type="auto"/>
            <w:gridSpan w:val="3"/>
            <w:shd w:val="clear" w:color="auto" w:fill="auto"/>
            <w:vAlign w:val="bottom"/>
          </w:tcPr>
          <w:p w14:paraId="74DD8510" w14:textId="77777777" w:rsidR="00584EC1" w:rsidRDefault="00584EC1">
            <w:pPr>
              <w:rPr>
                <w:rFonts w:ascii="宋体"/>
                <w:vanish/>
              </w:rPr>
            </w:pPr>
          </w:p>
        </w:tc>
        <w:tc>
          <w:tcPr>
            <w:tcW w:w="0" w:type="auto"/>
            <w:gridSpan w:val="3"/>
            <w:shd w:val="clear" w:color="auto" w:fill="auto"/>
            <w:vAlign w:val="bottom"/>
          </w:tcPr>
          <w:p w14:paraId="74DD8511" w14:textId="77777777" w:rsidR="00584EC1" w:rsidRDefault="00584EC1">
            <w:pPr>
              <w:rPr>
                <w:rFonts w:ascii="宋体"/>
                <w:vanish/>
              </w:rPr>
            </w:pPr>
          </w:p>
        </w:tc>
        <w:tc>
          <w:tcPr>
            <w:tcW w:w="0" w:type="auto"/>
            <w:gridSpan w:val="3"/>
            <w:shd w:val="clear" w:color="auto" w:fill="auto"/>
            <w:vAlign w:val="bottom"/>
          </w:tcPr>
          <w:p w14:paraId="74DD8512" w14:textId="77777777" w:rsidR="00584EC1" w:rsidRDefault="00584EC1">
            <w:pPr>
              <w:rPr>
                <w:rFonts w:ascii="宋体"/>
                <w:vanish/>
              </w:rPr>
            </w:pPr>
          </w:p>
        </w:tc>
        <w:tc>
          <w:tcPr>
            <w:tcW w:w="0" w:type="auto"/>
            <w:gridSpan w:val="3"/>
            <w:shd w:val="clear" w:color="auto" w:fill="auto"/>
            <w:vAlign w:val="bottom"/>
          </w:tcPr>
          <w:p w14:paraId="74DD8513" w14:textId="77777777" w:rsidR="00584EC1" w:rsidRDefault="00584EC1">
            <w:pPr>
              <w:rPr>
                <w:rFonts w:ascii="宋体"/>
                <w:vanish/>
              </w:rPr>
            </w:pPr>
          </w:p>
        </w:tc>
        <w:tc>
          <w:tcPr>
            <w:tcW w:w="0" w:type="auto"/>
            <w:gridSpan w:val="3"/>
            <w:shd w:val="clear" w:color="auto" w:fill="auto"/>
            <w:vAlign w:val="bottom"/>
          </w:tcPr>
          <w:p w14:paraId="74DD8514" w14:textId="77777777" w:rsidR="00584EC1" w:rsidRDefault="00584EC1">
            <w:pPr>
              <w:rPr>
                <w:rFonts w:ascii="宋体"/>
                <w:vanish/>
              </w:rPr>
            </w:pPr>
          </w:p>
        </w:tc>
        <w:tc>
          <w:tcPr>
            <w:tcW w:w="0" w:type="auto"/>
            <w:gridSpan w:val="3"/>
            <w:shd w:val="clear" w:color="auto" w:fill="auto"/>
            <w:vAlign w:val="bottom"/>
          </w:tcPr>
          <w:p w14:paraId="74DD8515" w14:textId="77777777" w:rsidR="00584EC1" w:rsidRDefault="00584EC1">
            <w:pPr>
              <w:rPr>
                <w:rFonts w:ascii="宋体"/>
                <w:vanish/>
              </w:rPr>
            </w:pPr>
          </w:p>
        </w:tc>
        <w:tc>
          <w:tcPr>
            <w:tcW w:w="0" w:type="auto"/>
            <w:gridSpan w:val="3"/>
            <w:shd w:val="clear" w:color="auto" w:fill="auto"/>
            <w:vAlign w:val="bottom"/>
          </w:tcPr>
          <w:p w14:paraId="74DD8516" w14:textId="77777777" w:rsidR="00584EC1" w:rsidRDefault="00584EC1">
            <w:pPr>
              <w:rPr>
                <w:rFonts w:ascii="宋体"/>
                <w:vanish/>
              </w:rPr>
            </w:pPr>
          </w:p>
        </w:tc>
        <w:tc>
          <w:tcPr>
            <w:tcW w:w="0" w:type="auto"/>
            <w:gridSpan w:val="3"/>
            <w:shd w:val="clear" w:color="auto" w:fill="auto"/>
            <w:vAlign w:val="bottom"/>
          </w:tcPr>
          <w:p w14:paraId="74DD8517" w14:textId="77777777" w:rsidR="00584EC1" w:rsidRDefault="00584EC1">
            <w:pPr>
              <w:rPr>
                <w:rFonts w:ascii="宋体"/>
                <w:vanish/>
              </w:rPr>
            </w:pPr>
          </w:p>
        </w:tc>
        <w:tc>
          <w:tcPr>
            <w:tcW w:w="0" w:type="auto"/>
            <w:gridSpan w:val="3"/>
            <w:shd w:val="clear" w:color="auto" w:fill="auto"/>
            <w:vAlign w:val="bottom"/>
          </w:tcPr>
          <w:p w14:paraId="74DD8518" w14:textId="77777777" w:rsidR="00584EC1" w:rsidRDefault="00584EC1">
            <w:pPr>
              <w:rPr>
                <w:rFonts w:ascii="宋体"/>
                <w:vanish/>
              </w:rPr>
            </w:pPr>
          </w:p>
        </w:tc>
        <w:tc>
          <w:tcPr>
            <w:tcW w:w="0" w:type="auto"/>
            <w:shd w:val="clear" w:color="auto" w:fill="auto"/>
            <w:vAlign w:val="bottom"/>
          </w:tcPr>
          <w:p w14:paraId="74DD8519" w14:textId="77777777" w:rsidR="00584EC1" w:rsidRDefault="00584EC1">
            <w:pPr>
              <w:rPr>
                <w:rFonts w:ascii="宋体"/>
                <w:vanish/>
              </w:rPr>
            </w:pPr>
          </w:p>
        </w:tc>
      </w:tr>
      <w:tr w:rsidR="00584EC1" w14:paraId="74DD8528" w14:textId="77777777">
        <w:trPr>
          <w:hidden/>
        </w:trPr>
        <w:tc>
          <w:tcPr>
            <w:tcW w:w="0" w:type="auto"/>
            <w:gridSpan w:val="3"/>
            <w:shd w:val="clear" w:color="auto" w:fill="auto"/>
            <w:vAlign w:val="bottom"/>
          </w:tcPr>
          <w:p w14:paraId="74DD851B" w14:textId="77777777" w:rsidR="00584EC1" w:rsidRDefault="00584EC1">
            <w:pPr>
              <w:rPr>
                <w:rFonts w:ascii="宋体"/>
                <w:vanish/>
              </w:rPr>
            </w:pPr>
          </w:p>
        </w:tc>
        <w:tc>
          <w:tcPr>
            <w:tcW w:w="0" w:type="auto"/>
            <w:gridSpan w:val="3"/>
            <w:shd w:val="clear" w:color="auto" w:fill="auto"/>
            <w:vAlign w:val="bottom"/>
          </w:tcPr>
          <w:p w14:paraId="74DD851C" w14:textId="77777777" w:rsidR="00584EC1" w:rsidRDefault="00584EC1">
            <w:pPr>
              <w:rPr>
                <w:rFonts w:ascii="宋体"/>
                <w:vanish/>
              </w:rPr>
            </w:pPr>
          </w:p>
        </w:tc>
        <w:tc>
          <w:tcPr>
            <w:tcW w:w="0" w:type="auto"/>
            <w:gridSpan w:val="3"/>
            <w:shd w:val="clear" w:color="auto" w:fill="auto"/>
            <w:vAlign w:val="bottom"/>
          </w:tcPr>
          <w:p w14:paraId="74DD851D" w14:textId="77777777" w:rsidR="00584EC1" w:rsidRDefault="00584EC1">
            <w:pPr>
              <w:rPr>
                <w:rFonts w:ascii="宋体"/>
                <w:vanish/>
              </w:rPr>
            </w:pPr>
          </w:p>
        </w:tc>
        <w:tc>
          <w:tcPr>
            <w:tcW w:w="0" w:type="auto"/>
            <w:gridSpan w:val="3"/>
            <w:shd w:val="clear" w:color="auto" w:fill="auto"/>
            <w:vAlign w:val="bottom"/>
          </w:tcPr>
          <w:p w14:paraId="74DD851E" w14:textId="77777777" w:rsidR="00584EC1" w:rsidRDefault="00584EC1">
            <w:pPr>
              <w:rPr>
                <w:rFonts w:ascii="宋体"/>
                <w:vanish/>
              </w:rPr>
            </w:pPr>
          </w:p>
        </w:tc>
        <w:tc>
          <w:tcPr>
            <w:tcW w:w="0" w:type="auto"/>
            <w:gridSpan w:val="3"/>
            <w:shd w:val="clear" w:color="auto" w:fill="auto"/>
            <w:vAlign w:val="bottom"/>
          </w:tcPr>
          <w:p w14:paraId="74DD851F" w14:textId="77777777" w:rsidR="00584EC1" w:rsidRDefault="00584EC1">
            <w:pPr>
              <w:rPr>
                <w:rFonts w:ascii="宋体"/>
                <w:vanish/>
              </w:rPr>
            </w:pPr>
          </w:p>
        </w:tc>
        <w:tc>
          <w:tcPr>
            <w:tcW w:w="0" w:type="auto"/>
            <w:gridSpan w:val="3"/>
            <w:shd w:val="clear" w:color="auto" w:fill="auto"/>
            <w:vAlign w:val="bottom"/>
          </w:tcPr>
          <w:p w14:paraId="74DD8520" w14:textId="77777777" w:rsidR="00584EC1" w:rsidRDefault="00584EC1">
            <w:pPr>
              <w:rPr>
                <w:rFonts w:ascii="宋体"/>
                <w:vanish/>
              </w:rPr>
            </w:pPr>
          </w:p>
        </w:tc>
        <w:tc>
          <w:tcPr>
            <w:tcW w:w="0" w:type="auto"/>
            <w:gridSpan w:val="3"/>
            <w:shd w:val="clear" w:color="auto" w:fill="auto"/>
            <w:vAlign w:val="bottom"/>
          </w:tcPr>
          <w:p w14:paraId="74DD8521" w14:textId="77777777" w:rsidR="00584EC1" w:rsidRDefault="00584EC1">
            <w:pPr>
              <w:rPr>
                <w:rFonts w:ascii="宋体"/>
                <w:vanish/>
              </w:rPr>
            </w:pPr>
          </w:p>
        </w:tc>
        <w:tc>
          <w:tcPr>
            <w:tcW w:w="0" w:type="auto"/>
            <w:gridSpan w:val="3"/>
            <w:shd w:val="clear" w:color="auto" w:fill="auto"/>
            <w:vAlign w:val="bottom"/>
          </w:tcPr>
          <w:p w14:paraId="74DD8522" w14:textId="77777777" w:rsidR="00584EC1" w:rsidRDefault="00584EC1">
            <w:pPr>
              <w:rPr>
                <w:rFonts w:ascii="宋体"/>
                <w:vanish/>
              </w:rPr>
            </w:pPr>
          </w:p>
        </w:tc>
        <w:tc>
          <w:tcPr>
            <w:tcW w:w="0" w:type="auto"/>
            <w:gridSpan w:val="3"/>
            <w:shd w:val="clear" w:color="auto" w:fill="auto"/>
            <w:vAlign w:val="bottom"/>
          </w:tcPr>
          <w:p w14:paraId="74DD8523" w14:textId="77777777" w:rsidR="00584EC1" w:rsidRDefault="00584EC1">
            <w:pPr>
              <w:rPr>
                <w:rFonts w:ascii="宋体"/>
                <w:vanish/>
              </w:rPr>
            </w:pPr>
          </w:p>
        </w:tc>
        <w:tc>
          <w:tcPr>
            <w:tcW w:w="0" w:type="auto"/>
            <w:gridSpan w:val="3"/>
            <w:shd w:val="clear" w:color="auto" w:fill="auto"/>
            <w:vAlign w:val="bottom"/>
          </w:tcPr>
          <w:p w14:paraId="74DD8524" w14:textId="77777777" w:rsidR="00584EC1" w:rsidRDefault="00584EC1">
            <w:pPr>
              <w:rPr>
                <w:rFonts w:ascii="宋体"/>
                <w:vanish/>
              </w:rPr>
            </w:pPr>
          </w:p>
        </w:tc>
        <w:tc>
          <w:tcPr>
            <w:tcW w:w="0" w:type="auto"/>
            <w:gridSpan w:val="3"/>
            <w:shd w:val="clear" w:color="auto" w:fill="auto"/>
            <w:vAlign w:val="bottom"/>
          </w:tcPr>
          <w:p w14:paraId="74DD8525" w14:textId="77777777" w:rsidR="00584EC1" w:rsidRDefault="00584EC1">
            <w:pPr>
              <w:rPr>
                <w:rFonts w:ascii="宋体"/>
                <w:vanish/>
              </w:rPr>
            </w:pPr>
          </w:p>
        </w:tc>
        <w:tc>
          <w:tcPr>
            <w:tcW w:w="0" w:type="auto"/>
            <w:gridSpan w:val="3"/>
            <w:shd w:val="clear" w:color="auto" w:fill="auto"/>
            <w:vAlign w:val="bottom"/>
          </w:tcPr>
          <w:p w14:paraId="74DD8526" w14:textId="77777777" w:rsidR="00584EC1" w:rsidRDefault="00584EC1">
            <w:pPr>
              <w:rPr>
                <w:rFonts w:ascii="宋体"/>
                <w:vanish/>
              </w:rPr>
            </w:pPr>
          </w:p>
        </w:tc>
        <w:tc>
          <w:tcPr>
            <w:tcW w:w="0" w:type="auto"/>
            <w:shd w:val="clear" w:color="auto" w:fill="auto"/>
            <w:vAlign w:val="bottom"/>
          </w:tcPr>
          <w:p w14:paraId="74DD8527" w14:textId="77777777" w:rsidR="00584EC1" w:rsidRDefault="00584EC1">
            <w:pPr>
              <w:rPr>
                <w:rFonts w:ascii="宋体"/>
                <w:vanish/>
              </w:rPr>
            </w:pPr>
          </w:p>
        </w:tc>
      </w:tr>
      <w:tr w:rsidR="00584EC1" w14:paraId="74DD8536" w14:textId="77777777">
        <w:trPr>
          <w:hidden/>
        </w:trPr>
        <w:tc>
          <w:tcPr>
            <w:tcW w:w="0" w:type="auto"/>
            <w:gridSpan w:val="3"/>
            <w:shd w:val="clear" w:color="auto" w:fill="auto"/>
            <w:vAlign w:val="bottom"/>
          </w:tcPr>
          <w:p w14:paraId="74DD8529" w14:textId="77777777" w:rsidR="00584EC1" w:rsidRDefault="00584EC1">
            <w:pPr>
              <w:rPr>
                <w:rFonts w:ascii="宋体"/>
                <w:vanish/>
              </w:rPr>
            </w:pPr>
          </w:p>
        </w:tc>
        <w:tc>
          <w:tcPr>
            <w:tcW w:w="0" w:type="auto"/>
            <w:gridSpan w:val="3"/>
            <w:shd w:val="clear" w:color="auto" w:fill="auto"/>
            <w:vAlign w:val="bottom"/>
          </w:tcPr>
          <w:p w14:paraId="74DD852A" w14:textId="77777777" w:rsidR="00584EC1" w:rsidRDefault="00584EC1">
            <w:pPr>
              <w:rPr>
                <w:rFonts w:ascii="宋体"/>
                <w:vanish/>
              </w:rPr>
            </w:pPr>
          </w:p>
        </w:tc>
        <w:tc>
          <w:tcPr>
            <w:tcW w:w="0" w:type="auto"/>
            <w:gridSpan w:val="3"/>
            <w:shd w:val="clear" w:color="auto" w:fill="auto"/>
            <w:vAlign w:val="bottom"/>
          </w:tcPr>
          <w:p w14:paraId="74DD852B" w14:textId="77777777" w:rsidR="00584EC1" w:rsidRDefault="00584EC1">
            <w:pPr>
              <w:rPr>
                <w:rFonts w:ascii="宋体"/>
                <w:vanish/>
              </w:rPr>
            </w:pPr>
          </w:p>
        </w:tc>
        <w:tc>
          <w:tcPr>
            <w:tcW w:w="0" w:type="auto"/>
            <w:gridSpan w:val="3"/>
            <w:shd w:val="clear" w:color="auto" w:fill="auto"/>
            <w:vAlign w:val="bottom"/>
          </w:tcPr>
          <w:p w14:paraId="74DD852C" w14:textId="77777777" w:rsidR="00584EC1" w:rsidRDefault="00584EC1">
            <w:pPr>
              <w:rPr>
                <w:rFonts w:ascii="宋体"/>
                <w:vanish/>
              </w:rPr>
            </w:pPr>
          </w:p>
        </w:tc>
        <w:tc>
          <w:tcPr>
            <w:tcW w:w="0" w:type="auto"/>
            <w:gridSpan w:val="3"/>
            <w:shd w:val="clear" w:color="auto" w:fill="auto"/>
            <w:vAlign w:val="bottom"/>
          </w:tcPr>
          <w:p w14:paraId="74DD852D" w14:textId="77777777" w:rsidR="00584EC1" w:rsidRDefault="00584EC1">
            <w:pPr>
              <w:rPr>
                <w:rFonts w:ascii="宋体"/>
                <w:vanish/>
              </w:rPr>
            </w:pPr>
          </w:p>
        </w:tc>
        <w:tc>
          <w:tcPr>
            <w:tcW w:w="0" w:type="auto"/>
            <w:gridSpan w:val="3"/>
            <w:shd w:val="clear" w:color="auto" w:fill="auto"/>
            <w:vAlign w:val="bottom"/>
          </w:tcPr>
          <w:p w14:paraId="74DD852E" w14:textId="77777777" w:rsidR="00584EC1" w:rsidRDefault="00584EC1">
            <w:pPr>
              <w:rPr>
                <w:rFonts w:ascii="宋体"/>
                <w:vanish/>
              </w:rPr>
            </w:pPr>
          </w:p>
        </w:tc>
        <w:tc>
          <w:tcPr>
            <w:tcW w:w="0" w:type="auto"/>
            <w:gridSpan w:val="3"/>
            <w:shd w:val="clear" w:color="auto" w:fill="auto"/>
            <w:vAlign w:val="bottom"/>
          </w:tcPr>
          <w:p w14:paraId="74DD852F" w14:textId="77777777" w:rsidR="00584EC1" w:rsidRDefault="00584EC1">
            <w:pPr>
              <w:rPr>
                <w:rFonts w:ascii="宋体"/>
                <w:vanish/>
              </w:rPr>
            </w:pPr>
          </w:p>
        </w:tc>
        <w:tc>
          <w:tcPr>
            <w:tcW w:w="0" w:type="auto"/>
            <w:gridSpan w:val="3"/>
            <w:shd w:val="clear" w:color="auto" w:fill="auto"/>
            <w:vAlign w:val="bottom"/>
          </w:tcPr>
          <w:p w14:paraId="74DD8530" w14:textId="77777777" w:rsidR="00584EC1" w:rsidRDefault="00584EC1">
            <w:pPr>
              <w:rPr>
                <w:rFonts w:ascii="宋体"/>
                <w:vanish/>
              </w:rPr>
            </w:pPr>
          </w:p>
        </w:tc>
        <w:tc>
          <w:tcPr>
            <w:tcW w:w="0" w:type="auto"/>
            <w:gridSpan w:val="3"/>
            <w:shd w:val="clear" w:color="auto" w:fill="auto"/>
            <w:vAlign w:val="bottom"/>
          </w:tcPr>
          <w:p w14:paraId="74DD8531" w14:textId="77777777" w:rsidR="00584EC1" w:rsidRDefault="00584EC1">
            <w:pPr>
              <w:rPr>
                <w:rFonts w:ascii="宋体"/>
                <w:vanish/>
              </w:rPr>
            </w:pPr>
          </w:p>
        </w:tc>
        <w:tc>
          <w:tcPr>
            <w:tcW w:w="0" w:type="auto"/>
            <w:gridSpan w:val="3"/>
            <w:shd w:val="clear" w:color="auto" w:fill="auto"/>
            <w:vAlign w:val="bottom"/>
          </w:tcPr>
          <w:p w14:paraId="74DD8532" w14:textId="77777777" w:rsidR="00584EC1" w:rsidRDefault="00584EC1">
            <w:pPr>
              <w:rPr>
                <w:rFonts w:ascii="宋体"/>
                <w:vanish/>
              </w:rPr>
            </w:pPr>
          </w:p>
        </w:tc>
        <w:tc>
          <w:tcPr>
            <w:tcW w:w="0" w:type="auto"/>
            <w:gridSpan w:val="3"/>
            <w:shd w:val="clear" w:color="auto" w:fill="auto"/>
            <w:vAlign w:val="bottom"/>
          </w:tcPr>
          <w:p w14:paraId="74DD8533" w14:textId="77777777" w:rsidR="00584EC1" w:rsidRDefault="00584EC1">
            <w:pPr>
              <w:rPr>
                <w:rFonts w:ascii="宋体"/>
                <w:vanish/>
              </w:rPr>
            </w:pPr>
          </w:p>
        </w:tc>
        <w:tc>
          <w:tcPr>
            <w:tcW w:w="0" w:type="auto"/>
            <w:gridSpan w:val="3"/>
            <w:shd w:val="clear" w:color="auto" w:fill="auto"/>
            <w:vAlign w:val="bottom"/>
          </w:tcPr>
          <w:p w14:paraId="74DD8534" w14:textId="77777777" w:rsidR="00584EC1" w:rsidRDefault="00584EC1">
            <w:pPr>
              <w:rPr>
                <w:rFonts w:ascii="宋体"/>
                <w:vanish/>
              </w:rPr>
            </w:pPr>
          </w:p>
        </w:tc>
        <w:tc>
          <w:tcPr>
            <w:tcW w:w="0" w:type="auto"/>
            <w:shd w:val="clear" w:color="auto" w:fill="auto"/>
            <w:vAlign w:val="bottom"/>
          </w:tcPr>
          <w:p w14:paraId="74DD8535" w14:textId="77777777" w:rsidR="00584EC1" w:rsidRDefault="00584EC1">
            <w:pPr>
              <w:rPr>
                <w:rFonts w:ascii="宋体"/>
                <w:vanish/>
              </w:rPr>
            </w:pPr>
          </w:p>
        </w:tc>
      </w:tr>
      <w:tr w:rsidR="00584EC1" w14:paraId="74DD8544" w14:textId="77777777">
        <w:trPr>
          <w:hidden/>
        </w:trPr>
        <w:tc>
          <w:tcPr>
            <w:tcW w:w="0" w:type="auto"/>
            <w:gridSpan w:val="3"/>
            <w:shd w:val="clear" w:color="auto" w:fill="auto"/>
            <w:vAlign w:val="bottom"/>
          </w:tcPr>
          <w:p w14:paraId="74DD8537" w14:textId="77777777" w:rsidR="00584EC1" w:rsidRDefault="00584EC1">
            <w:pPr>
              <w:rPr>
                <w:rFonts w:ascii="宋体"/>
                <w:vanish/>
              </w:rPr>
            </w:pPr>
          </w:p>
        </w:tc>
        <w:tc>
          <w:tcPr>
            <w:tcW w:w="0" w:type="auto"/>
            <w:gridSpan w:val="3"/>
            <w:shd w:val="clear" w:color="auto" w:fill="auto"/>
            <w:vAlign w:val="bottom"/>
          </w:tcPr>
          <w:p w14:paraId="74DD8538" w14:textId="77777777" w:rsidR="00584EC1" w:rsidRDefault="00584EC1">
            <w:pPr>
              <w:rPr>
                <w:rFonts w:ascii="宋体"/>
                <w:vanish/>
              </w:rPr>
            </w:pPr>
          </w:p>
        </w:tc>
        <w:tc>
          <w:tcPr>
            <w:tcW w:w="0" w:type="auto"/>
            <w:gridSpan w:val="3"/>
            <w:shd w:val="clear" w:color="auto" w:fill="auto"/>
            <w:vAlign w:val="bottom"/>
          </w:tcPr>
          <w:p w14:paraId="74DD8539" w14:textId="77777777" w:rsidR="00584EC1" w:rsidRDefault="00584EC1">
            <w:pPr>
              <w:rPr>
                <w:rFonts w:ascii="宋体"/>
                <w:vanish/>
              </w:rPr>
            </w:pPr>
          </w:p>
        </w:tc>
        <w:tc>
          <w:tcPr>
            <w:tcW w:w="0" w:type="auto"/>
            <w:gridSpan w:val="3"/>
            <w:shd w:val="clear" w:color="auto" w:fill="auto"/>
            <w:vAlign w:val="bottom"/>
          </w:tcPr>
          <w:p w14:paraId="74DD853A" w14:textId="77777777" w:rsidR="00584EC1" w:rsidRDefault="00584EC1">
            <w:pPr>
              <w:rPr>
                <w:rFonts w:ascii="宋体"/>
                <w:vanish/>
              </w:rPr>
            </w:pPr>
          </w:p>
        </w:tc>
        <w:tc>
          <w:tcPr>
            <w:tcW w:w="0" w:type="auto"/>
            <w:gridSpan w:val="3"/>
            <w:shd w:val="clear" w:color="auto" w:fill="auto"/>
            <w:vAlign w:val="bottom"/>
          </w:tcPr>
          <w:p w14:paraId="74DD853B" w14:textId="77777777" w:rsidR="00584EC1" w:rsidRDefault="00584EC1">
            <w:pPr>
              <w:rPr>
                <w:rFonts w:ascii="宋体"/>
                <w:vanish/>
              </w:rPr>
            </w:pPr>
          </w:p>
        </w:tc>
        <w:tc>
          <w:tcPr>
            <w:tcW w:w="0" w:type="auto"/>
            <w:gridSpan w:val="3"/>
            <w:shd w:val="clear" w:color="auto" w:fill="auto"/>
            <w:vAlign w:val="bottom"/>
          </w:tcPr>
          <w:p w14:paraId="74DD853C" w14:textId="77777777" w:rsidR="00584EC1" w:rsidRDefault="00584EC1">
            <w:pPr>
              <w:rPr>
                <w:rFonts w:ascii="宋体"/>
                <w:vanish/>
              </w:rPr>
            </w:pPr>
          </w:p>
        </w:tc>
        <w:tc>
          <w:tcPr>
            <w:tcW w:w="0" w:type="auto"/>
            <w:gridSpan w:val="3"/>
            <w:shd w:val="clear" w:color="auto" w:fill="auto"/>
            <w:vAlign w:val="bottom"/>
          </w:tcPr>
          <w:p w14:paraId="74DD853D" w14:textId="77777777" w:rsidR="00584EC1" w:rsidRDefault="00584EC1">
            <w:pPr>
              <w:rPr>
                <w:rFonts w:ascii="宋体"/>
                <w:vanish/>
              </w:rPr>
            </w:pPr>
          </w:p>
        </w:tc>
        <w:tc>
          <w:tcPr>
            <w:tcW w:w="0" w:type="auto"/>
            <w:gridSpan w:val="3"/>
            <w:shd w:val="clear" w:color="auto" w:fill="auto"/>
            <w:vAlign w:val="bottom"/>
          </w:tcPr>
          <w:p w14:paraId="74DD853E" w14:textId="77777777" w:rsidR="00584EC1" w:rsidRDefault="00584EC1">
            <w:pPr>
              <w:rPr>
                <w:rFonts w:ascii="宋体"/>
                <w:vanish/>
              </w:rPr>
            </w:pPr>
          </w:p>
        </w:tc>
        <w:tc>
          <w:tcPr>
            <w:tcW w:w="0" w:type="auto"/>
            <w:gridSpan w:val="3"/>
            <w:shd w:val="clear" w:color="auto" w:fill="auto"/>
            <w:vAlign w:val="bottom"/>
          </w:tcPr>
          <w:p w14:paraId="74DD853F" w14:textId="77777777" w:rsidR="00584EC1" w:rsidRDefault="00584EC1">
            <w:pPr>
              <w:rPr>
                <w:rFonts w:ascii="宋体"/>
                <w:vanish/>
              </w:rPr>
            </w:pPr>
          </w:p>
        </w:tc>
        <w:tc>
          <w:tcPr>
            <w:tcW w:w="0" w:type="auto"/>
            <w:gridSpan w:val="3"/>
            <w:shd w:val="clear" w:color="auto" w:fill="auto"/>
            <w:vAlign w:val="bottom"/>
          </w:tcPr>
          <w:p w14:paraId="74DD8540" w14:textId="77777777" w:rsidR="00584EC1" w:rsidRDefault="00584EC1">
            <w:pPr>
              <w:rPr>
                <w:rFonts w:ascii="宋体"/>
                <w:vanish/>
              </w:rPr>
            </w:pPr>
          </w:p>
        </w:tc>
        <w:tc>
          <w:tcPr>
            <w:tcW w:w="0" w:type="auto"/>
            <w:gridSpan w:val="3"/>
            <w:shd w:val="clear" w:color="auto" w:fill="auto"/>
            <w:vAlign w:val="bottom"/>
          </w:tcPr>
          <w:p w14:paraId="74DD8541" w14:textId="77777777" w:rsidR="00584EC1" w:rsidRDefault="00584EC1">
            <w:pPr>
              <w:rPr>
                <w:rFonts w:ascii="宋体"/>
                <w:vanish/>
              </w:rPr>
            </w:pPr>
          </w:p>
        </w:tc>
        <w:tc>
          <w:tcPr>
            <w:tcW w:w="0" w:type="auto"/>
            <w:gridSpan w:val="3"/>
            <w:shd w:val="clear" w:color="auto" w:fill="auto"/>
            <w:vAlign w:val="bottom"/>
          </w:tcPr>
          <w:p w14:paraId="74DD8542" w14:textId="77777777" w:rsidR="00584EC1" w:rsidRDefault="00584EC1">
            <w:pPr>
              <w:rPr>
                <w:rFonts w:ascii="宋体"/>
                <w:vanish/>
              </w:rPr>
            </w:pPr>
          </w:p>
        </w:tc>
        <w:tc>
          <w:tcPr>
            <w:tcW w:w="0" w:type="auto"/>
            <w:shd w:val="clear" w:color="auto" w:fill="auto"/>
            <w:vAlign w:val="bottom"/>
          </w:tcPr>
          <w:p w14:paraId="74DD8543" w14:textId="77777777" w:rsidR="00584EC1" w:rsidRDefault="00584EC1">
            <w:pPr>
              <w:rPr>
                <w:rFonts w:ascii="宋体"/>
                <w:vanish/>
              </w:rPr>
            </w:pPr>
          </w:p>
        </w:tc>
      </w:tr>
      <w:tr w:rsidR="00584EC1" w14:paraId="74DD8552" w14:textId="77777777">
        <w:trPr>
          <w:hidden/>
        </w:trPr>
        <w:tc>
          <w:tcPr>
            <w:tcW w:w="0" w:type="auto"/>
            <w:gridSpan w:val="3"/>
            <w:shd w:val="clear" w:color="auto" w:fill="auto"/>
            <w:vAlign w:val="bottom"/>
          </w:tcPr>
          <w:p w14:paraId="74DD8545" w14:textId="77777777" w:rsidR="00584EC1" w:rsidRDefault="00584EC1">
            <w:pPr>
              <w:rPr>
                <w:rFonts w:ascii="宋体"/>
                <w:vanish/>
              </w:rPr>
            </w:pPr>
          </w:p>
        </w:tc>
        <w:tc>
          <w:tcPr>
            <w:tcW w:w="0" w:type="auto"/>
            <w:gridSpan w:val="3"/>
            <w:shd w:val="clear" w:color="auto" w:fill="auto"/>
            <w:vAlign w:val="bottom"/>
          </w:tcPr>
          <w:p w14:paraId="74DD8546" w14:textId="77777777" w:rsidR="00584EC1" w:rsidRDefault="00584EC1">
            <w:pPr>
              <w:rPr>
                <w:rFonts w:ascii="宋体"/>
                <w:vanish/>
              </w:rPr>
            </w:pPr>
          </w:p>
        </w:tc>
        <w:tc>
          <w:tcPr>
            <w:tcW w:w="0" w:type="auto"/>
            <w:gridSpan w:val="3"/>
            <w:shd w:val="clear" w:color="auto" w:fill="auto"/>
            <w:vAlign w:val="bottom"/>
          </w:tcPr>
          <w:p w14:paraId="74DD8547" w14:textId="77777777" w:rsidR="00584EC1" w:rsidRDefault="00584EC1">
            <w:pPr>
              <w:rPr>
                <w:rFonts w:ascii="宋体"/>
                <w:vanish/>
              </w:rPr>
            </w:pPr>
          </w:p>
        </w:tc>
        <w:tc>
          <w:tcPr>
            <w:tcW w:w="0" w:type="auto"/>
            <w:gridSpan w:val="3"/>
            <w:shd w:val="clear" w:color="auto" w:fill="auto"/>
            <w:vAlign w:val="bottom"/>
          </w:tcPr>
          <w:p w14:paraId="74DD8548" w14:textId="77777777" w:rsidR="00584EC1" w:rsidRDefault="00584EC1">
            <w:pPr>
              <w:rPr>
                <w:rFonts w:ascii="宋体"/>
                <w:vanish/>
              </w:rPr>
            </w:pPr>
          </w:p>
        </w:tc>
        <w:tc>
          <w:tcPr>
            <w:tcW w:w="0" w:type="auto"/>
            <w:gridSpan w:val="3"/>
            <w:shd w:val="clear" w:color="auto" w:fill="auto"/>
            <w:vAlign w:val="bottom"/>
          </w:tcPr>
          <w:p w14:paraId="74DD8549" w14:textId="77777777" w:rsidR="00584EC1" w:rsidRDefault="00584EC1">
            <w:pPr>
              <w:rPr>
                <w:rFonts w:ascii="宋体"/>
                <w:vanish/>
              </w:rPr>
            </w:pPr>
          </w:p>
        </w:tc>
        <w:tc>
          <w:tcPr>
            <w:tcW w:w="0" w:type="auto"/>
            <w:gridSpan w:val="3"/>
            <w:shd w:val="clear" w:color="auto" w:fill="auto"/>
            <w:vAlign w:val="bottom"/>
          </w:tcPr>
          <w:p w14:paraId="74DD854A" w14:textId="77777777" w:rsidR="00584EC1" w:rsidRDefault="00584EC1">
            <w:pPr>
              <w:rPr>
                <w:rFonts w:ascii="宋体"/>
                <w:vanish/>
              </w:rPr>
            </w:pPr>
          </w:p>
        </w:tc>
        <w:tc>
          <w:tcPr>
            <w:tcW w:w="0" w:type="auto"/>
            <w:gridSpan w:val="3"/>
            <w:shd w:val="clear" w:color="auto" w:fill="auto"/>
            <w:vAlign w:val="bottom"/>
          </w:tcPr>
          <w:p w14:paraId="74DD854B" w14:textId="77777777" w:rsidR="00584EC1" w:rsidRDefault="00584EC1">
            <w:pPr>
              <w:rPr>
                <w:rFonts w:ascii="宋体"/>
                <w:vanish/>
              </w:rPr>
            </w:pPr>
          </w:p>
        </w:tc>
        <w:tc>
          <w:tcPr>
            <w:tcW w:w="0" w:type="auto"/>
            <w:gridSpan w:val="3"/>
            <w:shd w:val="clear" w:color="auto" w:fill="auto"/>
            <w:vAlign w:val="bottom"/>
          </w:tcPr>
          <w:p w14:paraId="74DD854C" w14:textId="77777777" w:rsidR="00584EC1" w:rsidRDefault="00584EC1">
            <w:pPr>
              <w:rPr>
                <w:rFonts w:ascii="宋体"/>
                <w:vanish/>
              </w:rPr>
            </w:pPr>
          </w:p>
        </w:tc>
        <w:tc>
          <w:tcPr>
            <w:tcW w:w="0" w:type="auto"/>
            <w:gridSpan w:val="3"/>
            <w:shd w:val="clear" w:color="auto" w:fill="auto"/>
            <w:vAlign w:val="bottom"/>
          </w:tcPr>
          <w:p w14:paraId="74DD854D" w14:textId="77777777" w:rsidR="00584EC1" w:rsidRDefault="00584EC1">
            <w:pPr>
              <w:rPr>
                <w:rFonts w:ascii="宋体"/>
                <w:vanish/>
              </w:rPr>
            </w:pPr>
          </w:p>
        </w:tc>
        <w:tc>
          <w:tcPr>
            <w:tcW w:w="0" w:type="auto"/>
            <w:gridSpan w:val="3"/>
            <w:shd w:val="clear" w:color="auto" w:fill="auto"/>
            <w:vAlign w:val="bottom"/>
          </w:tcPr>
          <w:p w14:paraId="74DD854E" w14:textId="77777777" w:rsidR="00584EC1" w:rsidRDefault="00584EC1">
            <w:pPr>
              <w:rPr>
                <w:rFonts w:ascii="宋体"/>
                <w:vanish/>
              </w:rPr>
            </w:pPr>
          </w:p>
        </w:tc>
        <w:tc>
          <w:tcPr>
            <w:tcW w:w="0" w:type="auto"/>
            <w:gridSpan w:val="3"/>
            <w:shd w:val="clear" w:color="auto" w:fill="auto"/>
            <w:vAlign w:val="bottom"/>
          </w:tcPr>
          <w:p w14:paraId="74DD854F" w14:textId="77777777" w:rsidR="00584EC1" w:rsidRDefault="00584EC1">
            <w:pPr>
              <w:rPr>
                <w:rFonts w:ascii="宋体"/>
                <w:vanish/>
              </w:rPr>
            </w:pPr>
          </w:p>
        </w:tc>
        <w:tc>
          <w:tcPr>
            <w:tcW w:w="0" w:type="auto"/>
            <w:gridSpan w:val="3"/>
            <w:shd w:val="clear" w:color="auto" w:fill="auto"/>
            <w:vAlign w:val="bottom"/>
          </w:tcPr>
          <w:p w14:paraId="74DD8550" w14:textId="77777777" w:rsidR="00584EC1" w:rsidRDefault="00584EC1">
            <w:pPr>
              <w:rPr>
                <w:rFonts w:ascii="宋体"/>
                <w:vanish/>
              </w:rPr>
            </w:pPr>
          </w:p>
        </w:tc>
        <w:tc>
          <w:tcPr>
            <w:tcW w:w="0" w:type="auto"/>
            <w:shd w:val="clear" w:color="auto" w:fill="auto"/>
            <w:vAlign w:val="bottom"/>
          </w:tcPr>
          <w:p w14:paraId="74DD8551" w14:textId="77777777" w:rsidR="00584EC1" w:rsidRDefault="00584EC1">
            <w:pPr>
              <w:rPr>
                <w:rFonts w:ascii="宋体"/>
                <w:vanish/>
              </w:rPr>
            </w:pPr>
          </w:p>
        </w:tc>
      </w:tr>
      <w:tr w:rsidR="00584EC1" w14:paraId="74DD8560" w14:textId="77777777">
        <w:trPr>
          <w:hidden/>
        </w:trPr>
        <w:tc>
          <w:tcPr>
            <w:tcW w:w="0" w:type="auto"/>
            <w:gridSpan w:val="3"/>
            <w:shd w:val="clear" w:color="auto" w:fill="auto"/>
            <w:vAlign w:val="bottom"/>
          </w:tcPr>
          <w:p w14:paraId="74DD8553" w14:textId="77777777" w:rsidR="00584EC1" w:rsidRDefault="00584EC1">
            <w:pPr>
              <w:rPr>
                <w:rFonts w:ascii="宋体"/>
                <w:vanish/>
              </w:rPr>
            </w:pPr>
          </w:p>
        </w:tc>
        <w:tc>
          <w:tcPr>
            <w:tcW w:w="0" w:type="auto"/>
            <w:gridSpan w:val="3"/>
            <w:shd w:val="clear" w:color="auto" w:fill="auto"/>
            <w:vAlign w:val="bottom"/>
          </w:tcPr>
          <w:p w14:paraId="74DD8554" w14:textId="77777777" w:rsidR="00584EC1" w:rsidRDefault="00584EC1">
            <w:pPr>
              <w:rPr>
                <w:rFonts w:ascii="宋体"/>
                <w:vanish/>
              </w:rPr>
            </w:pPr>
          </w:p>
        </w:tc>
        <w:tc>
          <w:tcPr>
            <w:tcW w:w="0" w:type="auto"/>
            <w:gridSpan w:val="3"/>
            <w:shd w:val="clear" w:color="auto" w:fill="auto"/>
            <w:vAlign w:val="bottom"/>
          </w:tcPr>
          <w:p w14:paraId="74DD8555" w14:textId="77777777" w:rsidR="00584EC1" w:rsidRDefault="00584EC1">
            <w:pPr>
              <w:rPr>
                <w:rFonts w:ascii="宋体"/>
                <w:vanish/>
              </w:rPr>
            </w:pPr>
          </w:p>
        </w:tc>
        <w:tc>
          <w:tcPr>
            <w:tcW w:w="0" w:type="auto"/>
            <w:gridSpan w:val="3"/>
            <w:shd w:val="clear" w:color="auto" w:fill="auto"/>
            <w:vAlign w:val="bottom"/>
          </w:tcPr>
          <w:p w14:paraId="74DD8556" w14:textId="77777777" w:rsidR="00584EC1" w:rsidRDefault="00584EC1">
            <w:pPr>
              <w:rPr>
                <w:rFonts w:ascii="宋体"/>
                <w:vanish/>
              </w:rPr>
            </w:pPr>
          </w:p>
        </w:tc>
        <w:tc>
          <w:tcPr>
            <w:tcW w:w="0" w:type="auto"/>
            <w:gridSpan w:val="3"/>
            <w:shd w:val="clear" w:color="auto" w:fill="auto"/>
            <w:vAlign w:val="bottom"/>
          </w:tcPr>
          <w:p w14:paraId="74DD8557" w14:textId="77777777" w:rsidR="00584EC1" w:rsidRDefault="00584EC1">
            <w:pPr>
              <w:rPr>
                <w:rFonts w:ascii="宋体"/>
                <w:vanish/>
              </w:rPr>
            </w:pPr>
          </w:p>
        </w:tc>
        <w:tc>
          <w:tcPr>
            <w:tcW w:w="0" w:type="auto"/>
            <w:gridSpan w:val="3"/>
            <w:shd w:val="clear" w:color="auto" w:fill="auto"/>
            <w:vAlign w:val="bottom"/>
          </w:tcPr>
          <w:p w14:paraId="74DD8558" w14:textId="77777777" w:rsidR="00584EC1" w:rsidRDefault="00584EC1">
            <w:pPr>
              <w:rPr>
                <w:rFonts w:ascii="宋体"/>
                <w:vanish/>
              </w:rPr>
            </w:pPr>
          </w:p>
        </w:tc>
        <w:tc>
          <w:tcPr>
            <w:tcW w:w="0" w:type="auto"/>
            <w:gridSpan w:val="3"/>
            <w:shd w:val="clear" w:color="auto" w:fill="auto"/>
            <w:vAlign w:val="bottom"/>
          </w:tcPr>
          <w:p w14:paraId="74DD8559" w14:textId="77777777" w:rsidR="00584EC1" w:rsidRDefault="00584EC1">
            <w:pPr>
              <w:rPr>
                <w:rFonts w:ascii="宋体"/>
                <w:vanish/>
              </w:rPr>
            </w:pPr>
          </w:p>
        </w:tc>
        <w:tc>
          <w:tcPr>
            <w:tcW w:w="0" w:type="auto"/>
            <w:gridSpan w:val="3"/>
            <w:shd w:val="clear" w:color="auto" w:fill="auto"/>
            <w:vAlign w:val="bottom"/>
          </w:tcPr>
          <w:p w14:paraId="74DD855A" w14:textId="77777777" w:rsidR="00584EC1" w:rsidRDefault="00584EC1">
            <w:pPr>
              <w:rPr>
                <w:rFonts w:ascii="宋体"/>
                <w:vanish/>
              </w:rPr>
            </w:pPr>
          </w:p>
        </w:tc>
        <w:tc>
          <w:tcPr>
            <w:tcW w:w="0" w:type="auto"/>
            <w:gridSpan w:val="3"/>
            <w:shd w:val="clear" w:color="auto" w:fill="auto"/>
            <w:vAlign w:val="bottom"/>
          </w:tcPr>
          <w:p w14:paraId="74DD855B" w14:textId="77777777" w:rsidR="00584EC1" w:rsidRDefault="00584EC1">
            <w:pPr>
              <w:rPr>
                <w:rFonts w:ascii="宋体"/>
                <w:vanish/>
              </w:rPr>
            </w:pPr>
          </w:p>
        </w:tc>
        <w:tc>
          <w:tcPr>
            <w:tcW w:w="0" w:type="auto"/>
            <w:gridSpan w:val="3"/>
            <w:shd w:val="clear" w:color="auto" w:fill="auto"/>
            <w:vAlign w:val="bottom"/>
          </w:tcPr>
          <w:p w14:paraId="74DD855C" w14:textId="77777777" w:rsidR="00584EC1" w:rsidRDefault="00584EC1">
            <w:pPr>
              <w:rPr>
                <w:rFonts w:ascii="宋体"/>
                <w:vanish/>
              </w:rPr>
            </w:pPr>
          </w:p>
        </w:tc>
        <w:tc>
          <w:tcPr>
            <w:tcW w:w="0" w:type="auto"/>
            <w:gridSpan w:val="3"/>
            <w:shd w:val="clear" w:color="auto" w:fill="auto"/>
            <w:vAlign w:val="bottom"/>
          </w:tcPr>
          <w:p w14:paraId="74DD855D" w14:textId="77777777" w:rsidR="00584EC1" w:rsidRDefault="00584EC1">
            <w:pPr>
              <w:rPr>
                <w:rFonts w:ascii="宋体"/>
                <w:vanish/>
              </w:rPr>
            </w:pPr>
          </w:p>
        </w:tc>
        <w:tc>
          <w:tcPr>
            <w:tcW w:w="0" w:type="auto"/>
            <w:gridSpan w:val="3"/>
            <w:shd w:val="clear" w:color="auto" w:fill="auto"/>
            <w:vAlign w:val="bottom"/>
          </w:tcPr>
          <w:p w14:paraId="74DD855E" w14:textId="77777777" w:rsidR="00584EC1" w:rsidRDefault="00584EC1">
            <w:pPr>
              <w:rPr>
                <w:rFonts w:ascii="宋体"/>
                <w:vanish/>
              </w:rPr>
            </w:pPr>
          </w:p>
        </w:tc>
        <w:tc>
          <w:tcPr>
            <w:tcW w:w="0" w:type="auto"/>
            <w:shd w:val="clear" w:color="auto" w:fill="auto"/>
            <w:vAlign w:val="bottom"/>
          </w:tcPr>
          <w:p w14:paraId="74DD855F" w14:textId="77777777" w:rsidR="00584EC1" w:rsidRDefault="00584EC1">
            <w:pPr>
              <w:rPr>
                <w:rFonts w:ascii="宋体"/>
                <w:vanish/>
              </w:rPr>
            </w:pPr>
          </w:p>
        </w:tc>
      </w:tr>
      <w:tr w:rsidR="00584EC1" w14:paraId="74DD856E" w14:textId="77777777">
        <w:trPr>
          <w:hidden/>
        </w:trPr>
        <w:tc>
          <w:tcPr>
            <w:tcW w:w="0" w:type="auto"/>
            <w:gridSpan w:val="3"/>
            <w:shd w:val="clear" w:color="auto" w:fill="auto"/>
            <w:vAlign w:val="bottom"/>
          </w:tcPr>
          <w:p w14:paraId="74DD8561" w14:textId="77777777" w:rsidR="00584EC1" w:rsidRDefault="00584EC1">
            <w:pPr>
              <w:rPr>
                <w:rFonts w:ascii="宋体"/>
                <w:vanish/>
              </w:rPr>
            </w:pPr>
          </w:p>
        </w:tc>
        <w:tc>
          <w:tcPr>
            <w:tcW w:w="0" w:type="auto"/>
            <w:gridSpan w:val="3"/>
            <w:shd w:val="clear" w:color="auto" w:fill="auto"/>
            <w:vAlign w:val="bottom"/>
          </w:tcPr>
          <w:p w14:paraId="74DD8562" w14:textId="77777777" w:rsidR="00584EC1" w:rsidRDefault="00584EC1">
            <w:pPr>
              <w:rPr>
                <w:rFonts w:ascii="宋体"/>
                <w:vanish/>
              </w:rPr>
            </w:pPr>
          </w:p>
        </w:tc>
        <w:tc>
          <w:tcPr>
            <w:tcW w:w="0" w:type="auto"/>
            <w:gridSpan w:val="3"/>
            <w:shd w:val="clear" w:color="auto" w:fill="auto"/>
            <w:vAlign w:val="bottom"/>
          </w:tcPr>
          <w:p w14:paraId="74DD8563" w14:textId="77777777" w:rsidR="00584EC1" w:rsidRDefault="00584EC1">
            <w:pPr>
              <w:rPr>
                <w:rFonts w:ascii="宋体"/>
                <w:vanish/>
              </w:rPr>
            </w:pPr>
          </w:p>
        </w:tc>
        <w:tc>
          <w:tcPr>
            <w:tcW w:w="0" w:type="auto"/>
            <w:gridSpan w:val="3"/>
            <w:shd w:val="clear" w:color="auto" w:fill="auto"/>
            <w:vAlign w:val="bottom"/>
          </w:tcPr>
          <w:p w14:paraId="74DD8564" w14:textId="77777777" w:rsidR="00584EC1" w:rsidRDefault="00584EC1">
            <w:pPr>
              <w:rPr>
                <w:rFonts w:ascii="宋体"/>
                <w:vanish/>
              </w:rPr>
            </w:pPr>
          </w:p>
        </w:tc>
        <w:tc>
          <w:tcPr>
            <w:tcW w:w="0" w:type="auto"/>
            <w:gridSpan w:val="3"/>
            <w:shd w:val="clear" w:color="auto" w:fill="auto"/>
            <w:vAlign w:val="bottom"/>
          </w:tcPr>
          <w:p w14:paraId="74DD8565" w14:textId="77777777" w:rsidR="00584EC1" w:rsidRDefault="00584EC1">
            <w:pPr>
              <w:rPr>
                <w:rFonts w:ascii="宋体"/>
                <w:vanish/>
              </w:rPr>
            </w:pPr>
          </w:p>
        </w:tc>
        <w:tc>
          <w:tcPr>
            <w:tcW w:w="0" w:type="auto"/>
            <w:gridSpan w:val="3"/>
            <w:shd w:val="clear" w:color="auto" w:fill="auto"/>
            <w:vAlign w:val="bottom"/>
          </w:tcPr>
          <w:p w14:paraId="74DD8566" w14:textId="77777777" w:rsidR="00584EC1" w:rsidRDefault="00584EC1">
            <w:pPr>
              <w:rPr>
                <w:rFonts w:ascii="宋体"/>
                <w:vanish/>
              </w:rPr>
            </w:pPr>
          </w:p>
        </w:tc>
        <w:tc>
          <w:tcPr>
            <w:tcW w:w="0" w:type="auto"/>
            <w:gridSpan w:val="3"/>
            <w:shd w:val="clear" w:color="auto" w:fill="auto"/>
            <w:vAlign w:val="bottom"/>
          </w:tcPr>
          <w:p w14:paraId="74DD8567" w14:textId="77777777" w:rsidR="00584EC1" w:rsidRDefault="00584EC1">
            <w:pPr>
              <w:rPr>
                <w:rFonts w:ascii="宋体"/>
                <w:vanish/>
              </w:rPr>
            </w:pPr>
          </w:p>
        </w:tc>
        <w:tc>
          <w:tcPr>
            <w:tcW w:w="0" w:type="auto"/>
            <w:gridSpan w:val="3"/>
            <w:shd w:val="clear" w:color="auto" w:fill="auto"/>
            <w:vAlign w:val="bottom"/>
          </w:tcPr>
          <w:p w14:paraId="74DD8568" w14:textId="77777777" w:rsidR="00584EC1" w:rsidRDefault="00584EC1">
            <w:pPr>
              <w:rPr>
                <w:rFonts w:ascii="宋体"/>
                <w:vanish/>
              </w:rPr>
            </w:pPr>
          </w:p>
        </w:tc>
        <w:tc>
          <w:tcPr>
            <w:tcW w:w="0" w:type="auto"/>
            <w:gridSpan w:val="3"/>
            <w:shd w:val="clear" w:color="auto" w:fill="auto"/>
            <w:vAlign w:val="bottom"/>
          </w:tcPr>
          <w:p w14:paraId="74DD8569" w14:textId="77777777" w:rsidR="00584EC1" w:rsidRDefault="00584EC1">
            <w:pPr>
              <w:rPr>
                <w:rFonts w:ascii="宋体"/>
                <w:vanish/>
              </w:rPr>
            </w:pPr>
          </w:p>
        </w:tc>
        <w:tc>
          <w:tcPr>
            <w:tcW w:w="0" w:type="auto"/>
            <w:gridSpan w:val="3"/>
            <w:shd w:val="clear" w:color="auto" w:fill="auto"/>
            <w:vAlign w:val="bottom"/>
          </w:tcPr>
          <w:p w14:paraId="74DD856A" w14:textId="77777777" w:rsidR="00584EC1" w:rsidRDefault="00584EC1">
            <w:pPr>
              <w:rPr>
                <w:rFonts w:ascii="宋体"/>
                <w:vanish/>
              </w:rPr>
            </w:pPr>
          </w:p>
        </w:tc>
        <w:tc>
          <w:tcPr>
            <w:tcW w:w="0" w:type="auto"/>
            <w:gridSpan w:val="3"/>
            <w:shd w:val="clear" w:color="auto" w:fill="auto"/>
            <w:vAlign w:val="bottom"/>
          </w:tcPr>
          <w:p w14:paraId="74DD856B" w14:textId="77777777" w:rsidR="00584EC1" w:rsidRDefault="00584EC1">
            <w:pPr>
              <w:rPr>
                <w:rFonts w:ascii="宋体"/>
                <w:vanish/>
              </w:rPr>
            </w:pPr>
          </w:p>
        </w:tc>
        <w:tc>
          <w:tcPr>
            <w:tcW w:w="0" w:type="auto"/>
            <w:gridSpan w:val="3"/>
            <w:shd w:val="clear" w:color="auto" w:fill="auto"/>
            <w:vAlign w:val="bottom"/>
          </w:tcPr>
          <w:p w14:paraId="74DD856C" w14:textId="77777777" w:rsidR="00584EC1" w:rsidRDefault="00584EC1">
            <w:pPr>
              <w:rPr>
                <w:rFonts w:ascii="宋体"/>
                <w:vanish/>
              </w:rPr>
            </w:pPr>
          </w:p>
        </w:tc>
        <w:tc>
          <w:tcPr>
            <w:tcW w:w="0" w:type="auto"/>
            <w:shd w:val="clear" w:color="auto" w:fill="auto"/>
            <w:vAlign w:val="bottom"/>
          </w:tcPr>
          <w:p w14:paraId="74DD856D" w14:textId="77777777" w:rsidR="00584EC1" w:rsidRDefault="00584EC1">
            <w:pPr>
              <w:rPr>
                <w:rFonts w:ascii="宋体"/>
                <w:vanish/>
              </w:rPr>
            </w:pPr>
          </w:p>
        </w:tc>
      </w:tr>
      <w:tr w:rsidR="00584EC1" w14:paraId="74DD857C" w14:textId="77777777">
        <w:trPr>
          <w:hidden/>
        </w:trPr>
        <w:tc>
          <w:tcPr>
            <w:tcW w:w="0" w:type="auto"/>
            <w:gridSpan w:val="3"/>
            <w:shd w:val="clear" w:color="auto" w:fill="auto"/>
            <w:vAlign w:val="bottom"/>
          </w:tcPr>
          <w:p w14:paraId="74DD856F" w14:textId="77777777" w:rsidR="00584EC1" w:rsidRDefault="00584EC1">
            <w:pPr>
              <w:rPr>
                <w:rFonts w:ascii="宋体"/>
                <w:vanish/>
              </w:rPr>
            </w:pPr>
          </w:p>
        </w:tc>
        <w:tc>
          <w:tcPr>
            <w:tcW w:w="0" w:type="auto"/>
            <w:gridSpan w:val="3"/>
            <w:shd w:val="clear" w:color="auto" w:fill="auto"/>
            <w:vAlign w:val="bottom"/>
          </w:tcPr>
          <w:p w14:paraId="74DD8570" w14:textId="77777777" w:rsidR="00584EC1" w:rsidRDefault="00584EC1">
            <w:pPr>
              <w:rPr>
                <w:rFonts w:ascii="宋体"/>
                <w:vanish/>
              </w:rPr>
            </w:pPr>
          </w:p>
        </w:tc>
        <w:tc>
          <w:tcPr>
            <w:tcW w:w="0" w:type="auto"/>
            <w:gridSpan w:val="3"/>
            <w:shd w:val="clear" w:color="auto" w:fill="auto"/>
            <w:vAlign w:val="bottom"/>
          </w:tcPr>
          <w:p w14:paraId="74DD8571" w14:textId="77777777" w:rsidR="00584EC1" w:rsidRDefault="00584EC1">
            <w:pPr>
              <w:rPr>
                <w:rFonts w:ascii="宋体"/>
                <w:vanish/>
              </w:rPr>
            </w:pPr>
          </w:p>
        </w:tc>
        <w:tc>
          <w:tcPr>
            <w:tcW w:w="0" w:type="auto"/>
            <w:gridSpan w:val="3"/>
            <w:shd w:val="clear" w:color="auto" w:fill="auto"/>
            <w:vAlign w:val="bottom"/>
          </w:tcPr>
          <w:p w14:paraId="74DD8572" w14:textId="77777777" w:rsidR="00584EC1" w:rsidRDefault="00584EC1">
            <w:pPr>
              <w:rPr>
                <w:rFonts w:ascii="宋体"/>
                <w:vanish/>
              </w:rPr>
            </w:pPr>
          </w:p>
        </w:tc>
        <w:tc>
          <w:tcPr>
            <w:tcW w:w="0" w:type="auto"/>
            <w:gridSpan w:val="3"/>
            <w:shd w:val="clear" w:color="auto" w:fill="auto"/>
            <w:vAlign w:val="bottom"/>
          </w:tcPr>
          <w:p w14:paraId="74DD8573" w14:textId="77777777" w:rsidR="00584EC1" w:rsidRDefault="00584EC1">
            <w:pPr>
              <w:rPr>
                <w:rFonts w:ascii="宋体"/>
                <w:vanish/>
              </w:rPr>
            </w:pPr>
          </w:p>
        </w:tc>
        <w:tc>
          <w:tcPr>
            <w:tcW w:w="0" w:type="auto"/>
            <w:gridSpan w:val="3"/>
            <w:shd w:val="clear" w:color="auto" w:fill="auto"/>
            <w:vAlign w:val="bottom"/>
          </w:tcPr>
          <w:p w14:paraId="74DD8574" w14:textId="77777777" w:rsidR="00584EC1" w:rsidRDefault="00584EC1">
            <w:pPr>
              <w:rPr>
                <w:rFonts w:ascii="宋体"/>
                <w:vanish/>
              </w:rPr>
            </w:pPr>
          </w:p>
        </w:tc>
        <w:tc>
          <w:tcPr>
            <w:tcW w:w="0" w:type="auto"/>
            <w:gridSpan w:val="3"/>
            <w:shd w:val="clear" w:color="auto" w:fill="auto"/>
            <w:vAlign w:val="bottom"/>
          </w:tcPr>
          <w:p w14:paraId="74DD8575" w14:textId="77777777" w:rsidR="00584EC1" w:rsidRDefault="00584EC1">
            <w:pPr>
              <w:rPr>
                <w:rFonts w:ascii="宋体"/>
                <w:vanish/>
              </w:rPr>
            </w:pPr>
          </w:p>
        </w:tc>
        <w:tc>
          <w:tcPr>
            <w:tcW w:w="0" w:type="auto"/>
            <w:gridSpan w:val="3"/>
            <w:shd w:val="clear" w:color="auto" w:fill="auto"/>
            <w:vAlign w:val="bottom"/>
          </w:tcPr>
          <w:p w14:paraId="74DD8576" w14:textId="77777777" w:rsidR="00584EC1" w:rsidRDefault="00584EC1">
            <w:pPr>
              <w:rPr>
                <w:rFonts w:ascii="宋体"/>
                <w:vanish/>
              </w:rPr>
            </w:pPr>
          </w:p>
        </w:tc>
        <w:tc>
          <w:tcPr>
            <w:tcW w:w="0" w:type="auto"/>
            <w:gridSpan w:val="3"/>
            <w:shd w:val="clear" w:color="auto" w:fill="auto"/>
            <w:vAlign w:val="bottom"/>
          </w:tcPr>
          <w:p w14:paraId="74DD8577" w14:textId="77777777" w:rsidR="00584EC1" w:rsidRDefault="00584EC1">
            <w:pPr>
              <w:rPr>
                <w:rFonts w:ascii="宋体"/>
                <w:vanish/>
              </w:rPr>
            </w:pPr>
          </w:p>
        </w:tc>
        <w:tc>
          <w:tcPr>
            <w:tcW w:w="0" w:type="auto"/>
            <w:gridSpan w:val="3"/>
            <w:shd w:val="clear" w:color="auto" w:fill="auto"/>
            <w:vAlign w:val="bottom"/>
          </w:tcPr>
          <w:p w14:paraId="74DD8578" w14:textId="77777777" w:rsidR="00584EC1" w:rsidRDefault="00584EC1">
            <w:pPr>
              <w:rPr>
                <w:rFonts w:ascii="宋体"/>
                <w:vanish/>
              </w:rPr>
            </w:pPr>
          </w:p>
        </w:tc>
        <w:tc>
          <w:tcPr>
            <w:tcW w:w="0" w:type="auto"/>
            <w:gridSpan w:val="3"/>
            <w:shd w:val="clear" w:color="auto" w:fill="auto"/>
            <w:vAlign w:val="bottom"/>
          </w:tcPr>
          <w:p w14:paraId="74DD8579" w14:textId="77777777" w:rsidR="00584EC1" w:rsidRDefault="00584EC1">
            <w:pPr>
              <w:rPr>
                <w:rFonts w:ascii="宋体"/>
                <w:vanish/>
              </w:rPr>
            </w:pPr>
          </w:p>
        </w:tc>
        <w:tc>
          <w:tcPr>
            <w:tcW w:w="0" w:type="auto"/>
            <w:gridSpan w:val="3"/>
            <w:shd w:val="clear" w:color="auto" w:fill="auto"/>
            <w:vAlign w:val="bottom"/>
          </w:tcPr>
          <w:p w14:paraId="74DD857A" w14:textId="77777777" w:rsidR="00584EC1" w:rsidRDefault="00584EC1">
            <w:pPr>
              <w:rPr>
                <w:rFonts w:ascii="宋体"/>
                <w:vanish/>
              </w:rPr>
            </w:pPr>
          </w:p>
        </w:tc>
        <w:tc>
          <w:tcPr>
            <w:tcW w:w="0" w:type="auto"/>
            <w:shd w:val="clear" w:color="auto" w:fill="auto"/>
            <w:vAlign w:val="bottom"/>
          </w:tcPr>
          <w:p w14:paraId="74DD857B" w14:textId="77777777" w:rsidR="00584EC1" w:rsidRDefault="00584EC1">
            <w:pPr>
              <w:rPr>
                <w:rFonts w:ascii="宋体"/>
                <w:vanish/>
              </w:rPr>
            </w:pPr>
          </w:p>
        </w:tc>
      </w:tr>
      <w:tr w:rsidR="00584EC1" w14:paraId="74DD858A" w14:textId="77777777">
        <w:trPr>
          <w:hidden/>
        </w:trPr>
        <w:tc>
          <w:tcPr>
            <w:tcW w:w="0" w:type="auto"/>
            <w:gridSpan w:val="3"/>
            <w:shd w:val="clear" w:color="auto" w:fill="auto"/>
            <w:vAlign w:val="bottom"/>
          </w:tcPr>
          <w:p w14:paraId="74DD857D" w14:textId="77777777" w:rsidR="00584EC1" w:rsidRDefault="00584EC1">
            <w:pPr>
              <w:rPr>
                <w:rFonts w:ascii="宋体"/>
                <w:vanish/>
              </w:rPr>
            </w:pPr>
          </w:p>
        </w:tc>
        <w:tc>
          <w:tcPr>
            <w:tcW w:w="0" w:type="auto"/>
            <w:gridSpan w:val="3"/>
            <w:shd w:val="clear" w:color="auto" w:fill="auto"/>
            <w:vAlign w:val="bottom"/>
          </w:tcPr>
          <w:p w14:paraId="74DD857E" w14:textId="77777777" w:rsidR="00584EC1" w:rsidRDefault="00584EC1">
            <w:pPr>
              <w:rPr>
                <w:rFonts w:ascii="宋体"/>
                <w:vanish/>
              </w:rPr>
            </w:pPr>
          </w:p>
        </w:tc>
        <w:tc>
          <w:tcPr>
            <w:tcW w:w="0" w:type="auto"/>
            <w:gridSpan w:val="3"/>
            <w:shd w:val="clear" w:color="auto" w:fill="auto"/>
            <w:vAlign w:val="bottom"/>
          </w:tcPr>
          <w:p w14:paraId="74DD857F" w14:textId="77777777" w:rsidR="00584EC1" w:rsidRDefault="00584EC1">
            <w:pPr>
              <w:rPr>
                <w:rFonts w:ascii="宋体"/>
                <w:vanish/>
              </w:rPr>
            </w:pPr>
          </w:p>
        </w:tc>
        <w:tc>
          <w:tcPr>
            <w:tcW w:w="0" w:type="auto"/>
            <w:gridSpan w:val="3"/>
            <w:shd w:val="clear" w:color="auto" w:fill="auto"/>
            <w:vAlign w:val="bottom"/>
          </w:tcPr>
          <w:p w14:paraId="74DD8580" w14:textId="77777777" w:rsidR="00584EC1" w:rsidRDefault="00584EC1">
            <w:pPr>
              <w:rPr>
                <w:rFonts w:ascii="宋体"/>
                <w:vanish/>
              </w:rPr>
            </w:pPr>
          </w:p>
        </w:tc>
        <w:tc>
          <w:tcPr>
            <w:tcW w:w="0" w:type="auto"/>
            <w:gridSpan w:val="3"/>
            <w:shd w:val="clear" w:color="auto" w:fill="auto"/>
            <w:vAlign w:val="bottom"/>
          </w:tcPr>
          <w:p w14:paraId="74DD8581" w14:textId="77777777" w:rsidR="00584EC1" w:rsidRDefault="00584EC1">
            <w:pPr>
              <w:rPr>
                <w:rFonts w:ascii="宋体"/>
                <w:vanish/>
              </w:rPr>
            </w:pPr>
          </w:p>
        </w:tc>
        <w:tc>
          <w:tcPr>
            <w:tcW w:w="0" w:type="auto"/>
            <w:gridSpan w:val="3"/>
            <w:shd w:val="clear" w:color="auto" w:fill="auto"/>
            <w:vAlign w:val="bottom"/>
          </w:tcPr>
          <w:p w14:paraId="74DD8582" w14:textId="77777777" w:rsidR="00584EC1" w:rsidRDefault="00584EC1">
            <w:pPr>
              <w:rPr>
                <w:rFonts w:ascii="宋体"/>
                <w:vanish/>
              </w:rPr>
            </w:pPr>
          </w:p>
        </w:tc>
        <w:tc>
          <w:tcPr>
            <w:tcW w:w="0" w:type="auto"/>
            <w:gridSpan w:val="3"/>
            <w:shd w:val="clear" w:color="auto" w:fill="auto"/>
            <w:vAlign w:val="bottom"/>
          </w:tcPr>
          <w:p w14:paraId="74DD8583" w14:textId="77777777" w:rsidR="00584EC1" w:rsidRDefault="00584EC1">
            <w:pPr>
              <w:rPr>
                <w:rFonts w:ascii="宋体"/>
                <w:vanish/>
              </w:rPr>
            </w:pPr>
          </w:p>
        </w:tc>
        <w:tc>
          <w:tcPr>
            <w:tcW w:w="0" w:type="auto"/>
            <w:gridSpan w:val="3"/>
            <w:shd w:val="clear" w:color="auto" w:fill="auto"/>
            <w:vAlign w:val="bottom"/>
          </w:tcPr>
          <w:p w14:paraId="74DD8584" w14:textId="77777777" w:rsidR="00584EC1" w:rsidRDefault="00584EC1">
            <w:pPr>
              <w:rPr>
                <w:rFonts w:ascii="宋体"/>
                <w:vanish/>
              </w:rPr>
            </w:pPr>
          </w:p>
        </w:tc>
        <w:tc>
          <w:tcPr>
            <w:tcW w:w="0" w:type="auto"/>
            <w:gridSpan w:val="3"/>
            <w:shd w:val="clear" w:color="auto" w:fill="auto"/>
            <w:vAlign w:val="bottom"/>
          </w:tcPr>
          <w:p w14:paraId="74DD8585" w14:textId="77777777" w:rsidR="00584EC1" w:rsidRDefault="00584EC1">
            <w:pPr>
              <w:rPr>
                <w:rFonts w:ascii="宋体"/>
                <w:vanish/>
              </w:rPr>
            </w:pPr>
          </w:p>
        </w:tc>
        <w:tc>
          <w:tcPr>
            <w:tcW w:w="0" w:type="auto"/>
            <w:gridSpan w:val="3"/>
            <w:shd w:val="clear" w:color="auto" w:fill="auto"/>
            <w:vAlign w:val="bottom"/>
          </w:tcPr>
          <w:p w14:paraId="74DD8586" w14:textId="77777777" w:rsidR="00584EC1" w:rsidRDefault="00584EC1">
            <w:pPr>
              <w:rPr>
                <w:rFonts w:ascii="宋体"/>
                <w:vanish/>
              </w:rPr>
            </w:pPr>
          </w:p>
        </w:tc>
        <w:tc>
          <w:tcPr>
            <w:tcW w:w="0" w:type="auto"/>
            <w:gridSpan w:val="3"/>
            <w:shd w:val="clear" w:color="auto" w:fill="auto"/>
            <w:vAlign w:val="bottom"/>
          </w:tcPr>
          <w:p w14:paraId="74DD8587" w14:textId="77777777" w:rsidR="00584EC1" w:rsidRDefault="00584EC1">
            <w:pPr>
              <w:rPr>
                <w:rFonts w:ascii="宋体"/>
                <w:vanish/>
              </w:rPr>
            </w:pPr>
          </w:p>
        </w:tc>
        <w:tc>
          <w:tcPr>
            <w:tcW w:w="0" w:type="auto"/>
            <w:gridSpan w:val="3"/>
            <w:shd w:val="clear" w:color="auto" w:fill="auto"/>
            <w:vAlign w:val="bottom"/>
          </w:tcPr>
          <w:p w14:paraId="74DD8588" w14:textId="77777777" w:rsidR="00584EC1" w:rsidRDefault="00584EC1">
            <w:pPr>
              <w:rPr>
                <w:rFonts w:ascii="宋体"/>
                <w:vanish/>
              </w:rPr>
            </w:pPr>
          </w:p>
        </w:tc>
        <w:tc>
          <w:tcPr>
            <w:tcW w:w="0" w:type="auto"/>
            <w:shd w:val="clear" w:color="auto" w:fill="auto"/>
            <w:vAlign w:val="bottom"/>
          </w:tcPr>
          <w:p w14:paraId="74DD8589" w14:textId="77777777" w:rsidR="00584EC1" w:rsidRDefault="00584EC1">
            <w:pPr>
              <w:rPr>
                <w:rFonts w:ascii="宋体"/>
                <w:vanish/>
              </w:rPr>
            </w:pPr>
          </w:p>
        </w:tc>
      </w:tr>
      <w:tr w:rsidR="00584EC1" w14:paraId="74DD8598" w14:textId="77777777">
        <w:trPr>
          <w:hidden/>
        </w:trPr>
        <w:tc>
          <w:tcPr>
            <w:tcW w:w="0" w:type="auto"/>
            <w:gridSpan w:val="3"/>
            <w:shd w:val="clear" w:color="auto" w:fill="auto"/>
            <w:vAlign w:val="bottom"/>
          </w:tcPr>
          <w:p w14:paraId="74DD858B" w14:textId="77777777" w:rsidR="00584EC1" w:rsidRDefault="00584EC1">
            <w:pPr>
              <w:rPr>
                <w:rFonts w:ascii="宋体"/>
                <w:vanish/>
              </w:rPr>
            </w:pPr>
          </w:p>
        </w:tc>
        <w:tc>
          <w:tcPr>
            <w:tcW w:w="0" w:type="auto"/>
            <w:gridSpan w:val="3"/>
            <w:shd w:val="clear" w:color="auto" w:fill="auto"/>
            <w:vAlign w:val="bottom"/>
          </w:tcPr>
          <w:p w14:paraId="74DD858C" w14:textId="77777777" w:rsidR="00584EC1" w:rsidRDefault="00584EC1">
            <w:pPr>
              <w:rPr>
                <w:rFonts w:ascii="宋体"/>
                <w:vanish/>
              </w:rPr>
            </w:pPr>
          </w:p>
        </w:tc>
        <w:tc>
          <w:tcPr>
            <w:tcW w:w="0" w:type="auto"/>
            <w:gridSpan w:val="3"/>
            <w:shd w:val="clear" w:color="auto" w:fill="auto"/>
            <w:vAlign w:val="bottom"/>
          </w:tcPr>
          <w:p w14:paraId="74DD858D" w14:textId="77777777" w:rsidR="00584EC1" w:rsidRDefault="00584EC1">
            <w:pPr>
              <w:rPr>
                <w:rFonts w:ascii="宋体"/>
                <w:vanish/>
              </w:rPr>
            </w:pPr>
          </w:p>
        </w:tc>
        <w:tc>
          <w:tcPr>
            <w:tcW w:w="0" w:type="auto"/>
            <w:gridSpan w:val="3"/>
            <w:shd w:val="clear" w:color="auto" w:fill="auto"/>
            <w:vAlign w:val="bottom"/>
          </w:tcPr>
          <w:p w14:paraId="74DD858E" w14:textId="77777777" w:rsidR="00584EC1" w:rsidRDefault="00584EC1">
            <w:pPr>
              <w:rPr>
                <w:rFonts w:ascii="宋体"/>
                <w:vanish/>
              </w:rPr>
            </w:pPr>
          </w:p>
        </w:tc>
        <w:tc>
          <w:tcPr>
            <w:tcW w:w="0" w:type="auto"/>
            <w:gridSpan w:val="3"/>
            <w:shd w:val="clear" w:color="auto" w:fill="auto"/>
            <w:vAlign w:val="bottom"/>
          </w:tcPr>
          <w:p w14:paraId="74DD858F" w14:textId="77777777" w:rsidR="00584EC1" w:rsidRDefault="00584EC1">
            <w:pPr>
              <w:rPr>
                <w:rFonts w:ascii="宋体"/>
                <w:vanish/>
              </w:rPr>
            </w:pPr>
          </w:p>
        </w:tc>
        <w:tc>
          <w:tcPr>
            <w:tcW w:w="0" w:type="auto"/>
            <w:gridSpan w:val="3"/>
            <w:shd w:val="clear" w:color="auto" w:fill="auto"/>
            <w:vAlign w:val="bottom"/>
          </w:tcPr>
          <w:p w14:paraId="74DD8590" w14:textId="77777777" w:rsidR="00584EC1" w:rsidRDefault="00584EC1">
            <w:pPr>
              <w:rPr>
                <w:rFonts w:ascii="宋体"/>
                <w:vanish/>
              </w:rPr>
            </w:pPr>
          </w:p>
        </w:tc>
        <w:tc>
          <w:tcPr>
            <w:tcW w:w="0" w:type="auto"/>
            <w:gridSpan w:val="3"/>
            <w:shd w:val="clear" w:color="auto" w:fill="auto"/>
            <w:vAlign w:val="bottom"/>
          </w:tcPr>
          <w:p w14:paraId="74DD8591" w14:textId="77777777" w:rsidR="00584EC1" w:rsidRDefault="00584EC1">
            <w:pPr>
              <w:rPr>
                <w:rFonts w:ascii="宋体"/>
                <w:vanish/>
              </w:rPr>
            </w:pPr>
          </w:p>
        </w:tc>
        <w:tc>
          <w:tcPr>
            <w:tcW w:w="0" w:type="auto"/>
            <w:gridSpan w:val="3"/>
            <w:shd w:val="clear" w:color="auto" w:fill="auto"/>
            <w:vAlign w:val="bottom"/>
          </w:tcPr>
          <w:p w14:paraId="74DD8592" w14:textId="77777777" w:rsidR="00584EC1" w:rsidRDefault="00584EC1">
            <w:pPr>
              <w:rPr>
                <w:rFonts w:ascii="宋体"/>
                <w:vanish/>
              </w:rPr>
            </w:pPr>
          </w:p>
        </w:tc>
        <w:tc>
          <w:tcPr>
            <w:tcW w:w="0" w:type="auto"/>
            <w:gridSpan w:val="3"/>
            <w:shd w:val="clear" w:color="auto" w:fill="auto"/>
            <w:vAlign w:val="bottom"/>
          </w:tcPr>
          <w:p w14:paraId="74DD8593" w14:textId="77777777" w:rsidR="00584EC1" w:rsidRDefault="00584EC1">
            <w:pPr>
              <w:rPr>
                <w:rFonts w:ascii="宋体"/>
                <w:vanish/>
              </w:rPr>
            </w:pPr>
          </w:p>
        </w:tc>
        <w:tc>
          <w:tcPr>
            <w:tcW w:w="0" w:type="auto"/>
            <w:gridSpan w:val="3"/>
            <w:shd w:val="clear" w:color="auto" w:fill="auto"/>
            <w:vAlign w:val="bottom"/>
          </w:tcPr>
          <w:p w14:paraId="74DD8594" w14:textId="77777777" w:rsidR="00584EC1" w:rsidRDefault="00584EC1">
            <w:pPr>
              <w:rPr>
                <w:rFonts w:ascii="宋体"/>
                <w:vanish/>
              </w:rPr>
            </w:pPr>
          </w:p>
        </w:tc>
        <w:tc>
          <w:tcPr>
            <w:tcW w:w="0" w:type="auto"/>
            <w:gridSpan w:val="3"/>
            <w:shd w:val="clear" w:color="auto" w:fill="auto"/>
            <w:vAlign w:val="bottom"/>
          </w:tcPr>
          <w:p w14:paraId="74DD8595" w14:textId="77777777" w:rsidR="00584EC1" w:rsidRDefault="00584EC1">
            <w:pPr>
              <w:rPr>
                <w:rFonts w:ascii="宋体"/>
                <w:vanish/>
              </w:rPr>
            </w:pPr>
          </w:p>
        </w:tc>
        <w:tc>
          <w:tcPr>
            <w:tcW w:w="0" w:type="auto"/>
            <w:gridSpan w:val="3"/>
            <w:shd w:val="clear" w:color="auto" w:fill="auto"/>
            <w:vAlign w:val="bottom"/>
          </w:tcPr>
          <w:p w14:paraId="74DD8596" w14:textId="77777777" w:rsidR="00584EC1" w:rsidRDefault="00584EC1">
            <w:pPr>
              <w:rPr>
                <w:rFonts w:ascii="宋体"/>
                <w:vanish/>
              </w:rPr>
            </w:pPr>
          </w:p>
        </w:tc>
        <w:tc>
          <w:tcPr>
            <w:tcW w:w="0" w:type="auto"/>
            <w:shd w:val="clear" w:color="auto" w:fill="auto"/>
            <w:vAlign w:val="bottom"/>
          </w:tcPr>
          <w:p w14:paraId="74DD8597" w14:textId="77777777" w:rsidR="00584EC1" w:rsidRDefault="00584EC1">
            <w:pPr>
              <w:rPr>
                <w:rFonts w:ascii="宋体"/>
                <w:vanish/>
              </w:rPr>
            </w:pPr>
          </w:p>
        </w:tc>
      </w:tr>
      <w:tr w:rsidR="00584EC1" w14:paraId="74DD85A6" w14:textId="77777777">
        <w:trPr>
          <w:hidden/>
        </w:trPr>
        <w:tc>
          <w:tcPr>
            <w:tcW w:w="0" w:type="auto"/>
            <w:gridSpan w:val="3"/>
            <w:shd w:val="clear" w:color="auto" w:fill="auto"/>
            <w:vAlign w:val="bottom"/>
          </w:tcPr>
          <w:p w14:paraId="74DD8599" w14:textId="77777777" w:rsidR="00584EC1" w:rsidRDefault="00584EC1">
            <w:pPr>
              <w:rPr>
                <w:rFonts w:ascii="宋体"/>
                <w:vanish/>
              </w:rPr>
            </w:pPr>
          </w:p>
        </w:tc>
        <w:tc>
          <w:tcPr>
            <w:tcW w:w="0" w:type="auto"/>
            <w:gridSpan w:val="3"/>
            <w:shd w:val="clear" w:color="auto" w:fill="auto"/>
            <w:vAlign w:val="bottom"/>
          </w:tcPr>
          <w:p w14:paraId="74DD859A" w14:textId="77777777" w:rsidR="00584EC1" w:rsidRDefault="00584EC1">
            <w:pPr>
              <w:rPr>
                <w:rFonts w:ascii="宋体"/>
                <w:vanish/>
              </w:rPr>
            </w:pPr>
          </w:p>
        </w:tc>
        <w:tc>
          <w:tcPr>
            <w:tcW w:w="0" w:type="auto"/>
            <w:gridSpan w:val="3"/>
            <w:shd w:val="clear" w:color="auto" w:fill="auto"/>
            <w:vAlign w:val="bottom"/>
          </w:tcPr>
          <w:p w14:paraId="74DD859B" w14:textId="77777777" w:rsidR="00584EC1" w:rsidRDefault="00584EC1">
            <w:pPr>
              <w:rPr>
                <w:rFonts w:ascii="宋体"/>
                <w:vanish/>
              </w:rPr>
            </w:pPr>
          </w:p>
        </w:tc>
        <w:tc>
          <w:tcPr>
            <w:tcW w:w="0" w:type="auto"/>
            <w:gridSpan w:val="3"/>
            <w:shd w:val="clear" w:color="auto" w:fill="auto"/>
            <w:vAlign w:val="bottom"/>
          </w:tcPr>
          <w:p w14:paraId="74DD859C" w14:textId="77777777" w:rsidR="00584EC1" w:rsidRDefault="00584EC1">
            <w:pPr>
              <w:rPr>
                <w:rFonts w:ascii="宋体"/>
                <w:vanish/>
              </w:rPr>
            </w:pPr>
          </w:p>
        </w:tc>
        <w:tc>
          <w:tcPr>
            <w:tcW w:w="0" w:type="auto"/>
            <w:gridSpan w:val="3"/>
            <w:shd w:val="clear" w:color="auto" w:fill="auto"/>
            <w:vAlign w:val="bottom"/>
          </w:tcPr>
          <w:p w14:paraId="74DD859D" w14:textId="77777777" w:rsidR="00584EC1" w:rsidRDefault="00584EC1">
            <w:pPr>
              <w:rPr>
                <w:rFonts w:ascii="宋体"/>
                <w:vanish/>
              </w:rPr>
            </w:pPr>
          </w:p>
        </w:tc>
        <w:tc>
          <w:tcPr>
            <w:tcW w:w="0" w:type="auto"/>
            <w:gridSpan w:val="3"/>
            <w:shd w:val="clear" w:color="auto" w:fill="auto"/>
            <w:vAlign w:val="bottom"/>
          </w:tcPr>
          <w:p w14:paraId="74DD859E" w14:textId="77777777" w:rsidR="00584EC1" w:rsidRDefault="00584EC1">
            <w:pPr>
              <w:rPr>
                <w:rFonts w:ascii="宋体"/>
                <w:vanish/>
              </w:rPr>
            </w:pPr>
          </w:p>
        </w:tc>
        <w:tc>
          <w:tcPr>
            <w:tcW w:w="0" w:type="auto"/>
            <w:gridSpan w:val="3"/>
            <w:shd w:val="clear" w:color="auto" w:fill="auto"/>
            <w:vAlign w:val="bottom"/>
          </w:tcPr>
          <w:p w14:paraId="74DD859F" w14:textId="77777777" w:rsidR="00584EC1" w:rsidRDefault="00584EC1">
            <w:pPr>
              <w:rPr>
                <w:rFonts w:ascii="宋体"/>
                <w:vanish/>
              </w:rPr>
            </w:pPr>
          </w:p>
        </w:tc>
        <w:tc>
          <w:tcPr>
            <w:tcW w:w="0" w:type="auto"/>
            <w:gridSpan w:val="3"/>
            <w:shd w:val="clear" w:color="auto" w:fill="auto"/>
            <w:vAlign w:val="bottom"/>
          </w:tcPr>
          <w:p w14:paraId="74DD85A0" w14:textId="77777777" w:rsidR="00584EC1" w:rsidRDefault="00584EC1">
            <w:pPr>
              <w:rPr>
                <w:rFonts w:ascii="宋体"/>
                <w:vanish/>
              </w:rPr>
            </w:pPr>
          </w:p>
        </w:tc>
        <w:tc>
          <w:tcPr>
            <w:tcW w:w="0" w:type="auto"/>
            <w:gridSpan w:val="3"/>
            <w:shd w:val="clear" w:color="auto" w:fill="auto"/>
            <w:vAlign w:val="bottom"/>
          </w:tcPr>
          <w:p w14:paraId="74DD85A1" w14:textId="77777777" w:rsidR="00584EC1" w:rsidRDefault="00584EC1">
            <w:pPr>
              <w:rPr>
                <w:rFonts w:ascii="宋体"/>
                <w:vanish/>
              </w:rPr>
            </w:pPr>
          </w:p>
        </w:tc>
        <w:tc>
          <w:tcPr>
            <w:tcW w:w="0" w:type="auto"/>
            <w:gridSpan w:val="3"/>
            <w:shd w:val="clear" w:color="auto" w:fill="auto"/>
            <w:vAlign w:val="bottom"/>
          </w:tcPr>
          <w:p w14:paraId="74DD85A2" w14:textId="77777777" w:rsidR="00584EC1" w:rsidRDefault="00584EC1">
            <w:pPr>
              <w:rPr>
                <w:rFonts w:ascii="宋体"/>
                <w:vanish/>
              </w:rPr>
            </w:pPr>
          </w:p>
        </w:tc>
        <w:tc>
          <w:tcPr>
            <w:tcW w:w="0" w:type="auto"/>
            <w:gridSpan w:val="3"/>
            <w:shd w:val="clear" w:color="auto" w:fill="auto"/>
            <w:vAlign w:val="bottom"/>
          </w:tcPr>
          <w:p w14:paraId="74DD85A3" w14:textId="77777777" w:rsidR="00584EC1" w:rsidRDefault="00584EC1">
            <w:pPr>
              <w:rPr>
                <w:rFonts w:ascii="宋体"/>
                <w:vanish/>
              </w:rPr>
            </w:pPr>
          </w:p>
        </w:tc>
        <w:tc>
          <w:tcPr>
            <w:tcW w:w="0" w:type="auto"/>
            <w:gridSpan w:val="3"/>
            <w:shd w:val="clear" w:color="auto" w:fill="auto"/>
            <w:vAlign w:val="bottom"/>
          </w:tcPr>
          <w:p w14:paraId="74DD85A4" w14:textId="77777777" w:rsidR="00584EC1" w:rsidRDefault="00584EC1">
            <w:pPr>
              <w:rPr>
                <w:rFonts w:ascii="宋体"/>
                <w:vanish/>
              </w:rPr>
            </w:pPr>
          </w:p>
        </w:tc>
        <w:tc>
          <w:tcPr>
            <w:tcW w:w="0" w:type="auto"/>
            <w:shd w:val="clear" w:color="auto" w:fill="auto"/>
            <w:vAlign w:val="bottom"/>
          </w:tcPr>
          <w:p w14:paraId="74DD85A5" w14:textId="77777777" w:rsidR="00584EC1" w:rsidRDefault="00584EC1">
            <w:pPr>
              <w:rPr>
                <w:rFonts w:ascii="宋体"/>
                <w:vanish/>
              </w:rPr>
            </w:pPr>
          </w:p>
        </w:tc>
      </w:tr>
    </w:tbl>
    <w:p w14:paraId="74DD85A7" w14:textId="77777777" w:rsidR="00584EC1" w:rsidRDefault="00584E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002"/>
        <w:gridCol w:w="36"/>
        <w:gridCol w:w="69"/>
        <w:gridCol w:w="6124"/>
        <w:gridCol w:w="36"/>
      </w:tblGrid>
      <w:tr w:rsidR="00584EC1" w14:paraId="74DD85AE" w14:textId="77777777">
        <w:tc>
          <w:tcPr>
            <w:tcW w:w="50" w:type="pct"/>
            <w:shd w:val="clear" w:color="auto" w:fill="auto"/>
            <w:vAlign w:val="bottom"/>
          </w:tcPr>
          <w:p w14:paraId="74DD85A8" w14:textId="77777777" w:rsidR="00584EC1" w:rsidRDefault="00584EC1">
            <w:pPr>
              <w:rPr>
                <w:rFonts w:ascii="宋体"/>
              </w:rPr>
            </w:pPr>
          </w:p>
        </w:tc>
        <w:tc>
          <w:tcPr>
            <w:tcW w:w="1209" w:type="pct"/>
            <w:shd w:val="clear" w:color="auto" w:fill="auto"/>
            <w:vAlign w:val="bottom"/>
          </w:tcPr>
          <w:p w14:paraId="74DD85A9" w14:textId="77777777" w:rsidR="00584EC1" w:rsidRDefault="00584EC1">
            <w:pPr>
              <w:rPr>
                <w:rFonts w:ascii="宋体"/>
              </w:rPr>
            </w:pPr>
          </w:p>
        </w:tc>
        <w:tc>
          <w:tcPr>
            <w:tcW w:w="5" w:type="pct"/>
            <w:shd w:val="clear" w:color="auto" w:fill="auto"/>
            <w:vAlign w:val="bottom"/>
          </w:tcPr>
          <w:p w14:paraId="74DD85AA" w14:textId="77777777" w:rsidR="00584EC1" w:rsidRDefault="00584EC1">
            <w:pPr>
              <w:rPr>
                <w:rFonts w:ascii="宋体"/>
              </w:rPr>
            </w:pPr>
          </w:p>
        </w:tc>
        <w:tc>
          <w:tcPr>
            <w:tcW w:w="50" w:type="pct"/>
            <w:shd w:val="clear" w:color="auto" w:fill="auto"/>
            <w:vAlign w:val="bottom"/>
          </w:tcPr>
          <w:p w14:paraId="74DD85AB" w14:textId="77777777" w:rsidR="00584EC1" w:rsidRDefault="00584EC1">
            <w:pPr>
              <w:rPr>
                <w:rFonts w:ascii="宋体"/>
              </w:rPr>
            </w:pPr>
          </w:p>
        </w:tc>
        <w:tc>
          <w:tcPr>
            <w:tcW w:w="3680" w:type="pct"/>
            <w:shd w:val="clear" w:color="auto" w:fill="auto"/>
            <w:vAlign w:val="bottom"/>
          </w:tcPr>
          <w:p w14:paraId="74DD85AC" w14:textId="77777777" w:rsidR="00584EC1" w:rsidRDefault="00584EC1">
            <w:pPr>
              <w:rPr>
                <w:rFonts w:ascii="宋体"/>
              </w:rPr>
            </w:pPr>
          </w:p>
        </w:tc>
        <w:tc>
          <w:tcPr>
            <w:tcW w:w="5" w:type="pct"/>
            <w:shd w:val="clear" w:color="auto" w:fill="auto"/>
            <w:vAlign w:val="bottom"/>
          </w:tcPr>
          <w:p w14:paraId="74DD85AD" w14:textId="77777777" w:rsidR="00584EC1" w:rsidRDefault="00584EC1">
            <w:pPr>
              <w:rPr>
                <w:rFonts w:ascii="宋体"/>
              </w:rPr>
            </w:pPr>
          </w:p>
        </w:tc>
      </w:tr>
      <w:tr w:rsidR="00584EC1" w14:paraId="74DD85B1"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4DD85AF"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85B0" w14:textId="77777777" w:rsidR="00584EC1" w:rsidRDefault="00584EC1">
            <w:pPr>
              <w:rPr>
                <w:rFonts w:ascii="宋体"/>
              </w:rPr>
            </w:pPr>
          </w:p>
        </w:tc>
      </w:tr>
    </w:tbl>
    <w:p w14:paraId="74DD85B2" w14:textId="77777777" w:rsidR="00584EC1" w:rsidRDefault="00871F8D">
      <w:pPr>
        <w:jc w:val="both"/>
      </w:pPr>
      <w:r>
        <w:rPr>
          <w:rFonts w:ascii="Arial" w:eastAsia="宋体" w:hAnsi="Arial" w:cs="Arial"/>
          <w:color w:val="000000"/>
          <w:sz w:val="9"/>
          <w:szCs w:val="9"/>
        </w:rPr>
        <w:t>(1)</w:t>
      </w:r>
      <w:r>
        <w:rPr>
          <w:rFonts w:ascii="Arial" w:eastAsia="宋体" w:hAnsi="Arial" w:cs="Arial"/>
          <w:color w:val="000000"/>
          <w:sz w:val="14"/>
          <w:szCs w:val="14"/>
        </w:rPr>
        <w:t xml:space="preserve"> The implementation of an improved internal data management system for product level data in the first quarter of 2021 resulted in some AUM reclassifications between the categories presented for prior periods to align with the current presentation. There w</w:t>
      </w:r>
      <w:r>
        <w:rPr>
          <w:rFonts w:ascii="Arial" w:eastAsia="宋体" w:hAnsi="Arial" w:cs="Arial"/>
          <w:color w:val="000000"/>
          <w:sz w:val="14"/>
          <w:szCs w:val="14"/>
        </w:rPr>
        <w:t xml:space="preserve">as no impact to the total level of reported AUM. </w:t>
      </w:r>
    </w:p>
    <w:p w14:paraId="74DD85B3" w14:textId="77777777" w:rsidR="00584EC1" w:rsidRDefault="00871F8D">
      <w:pPr>
        <w:spacing w:before="90"/>
        <w:jc w:val="both"/>
      </w:pPr>
      <w:r>
        <w:rPr>
          <w:rFonts w:ascii="Arial" w:eastAsia="宋体" w:hAnsi="Arial" w:cs="Arial"/>
          <w:color w:val="000000"/>
          <w:sz w:val="9"/>
          <w:szCs w:val="9"/>
        </w:rPr>
        <w:t xml:space="preserve">(2) </w:t>
      </w:r>
      <w:r>
        <w:rPr>
          <w:rFonts w:ascii="Arial" w:eastAsia="宋体" w:hAnsi="Arial" w:cs="Arial"/>
          <w:color w:val="000000"/>
          <w:sz w:val="14"/>
          <w:szCs w:val="14"/>
        </w:rPr>
        <w:t>Includes both floating- and constant-net-asset-value portfolios held in commingled structures or separate accounts.</w:t>
      </w:r>
    </w:p>
    <w:p w14:paraId="74DD85B4" w14:textId="77777777" w:rsidR="00584EC1" w:rsidRDefault="00871F8D">
      <w:pPr>
        <w:spacing w:before="60"/>
        <w:jc w:val="both"/>
      </w:pPr>
      <w:r>
        <w:rPr>
          <w:rFonts w:ascii="Arial" w:eastAsia="宋体" w:hAnsi="Arial" w:cs="Arial"/>
          <w:color w:val="000000"/>
          <w:sz w:val="9"/>
          <w:szCs w:val="9"/>
        </w:rPr>
        <w:t xml:space="preserve">(3) </w:t>
      </w:r>
      <w:r>
        <w:rPr>
          <w:rFonts w:ascii="Arial" w:eastAsia="宋体" w:hAnsi="Arial" w:cs="Arial"/>
          <w:color w:val="000000"/>
          <w:sz w:val="14"/>
          <w:szCs w:val="14"/>
        </w:rPr>
        <w:t xml:space="preserve">Includes real estate investment trusts, currency and commodities, </w:t>
      </w:r>
      <w:r>
        <w:rPr>
          <w:rFonts w:ascii="Arial" w:eastAsia="宋体" w:hAnsi="Arial" w:cs="Arial"/>
          <w:color w:val="000000"/>
          <w:sz w:val="14"/>
          <w:szCs w:val="14"/>
        </w:rPr>
        <w:t>including SPDR</w:t>
      </w:r>
      <w:r>
        <w:rPr>
          <w:rFonts w:ascii="Arial" w:eastAsia="宋体" w:hAnsi="Arial" w:cs="Arial"/>
          <w:color w:val="000000"/>
          <w:sz w:val="9"/>
          <w:szCs w:val="9"/>
        </w:rPr>
        <w:t xml:space="preserve">® </w:t>
      </w:r>
      <w:r>
        <w:rPr>
          <w:rFonts w:ascii="Arial" w:eastAsia="宋体" w:hAnsi="Arial" w:cs="Arial"/>
          <w:color w:val="000000"/>
          <w:sz w:val="14"/>
          <w:szCs w:val="14"/>
        </w:rPr>
        <w:t>Gold Shares and SPDR</w:t>
      </w:r>
      <w:r>
        <w:rPr>
          <w:rFonts w:ascii="Arial" w:eastAsia="宋体" w:hAnsi="Arial" w:cs="Arial"/>
          <w:color w:val="000000"/>
          <w:sz w:val="9"/>
          <w:szCs w:val="9"/>
        </w:rPr>
        <w:t>®</w:t>
      </w:r>
      <w:r>
        <w:rPr>
          <w:rFonts w:ascii="Arial" w:eastAsia="宋体" w:hAnsi="Arial" w:cs="Arial"/>
          <w:color w:val="000000"/>
          <w:sz w:val="14"/>
          <w:szCs w:val="14"/>
        </w:rPr>
        <w:t xml:space="preserve"> Gold MiniSharesSM Trust. We are not the investment manager for the SPDR</w:t>
      </w:r>
      <w:r>
        <w:rPr>
          <w:rFonts w:ascii="Arial" w:eastAsia="宋体" w:hAnsi="Arial" w:cs="Arial"/>
          <w:color w:val="000000"/>
          <w:sz w:val="9"/>
          <w:szCs w:val="9"/>
        </w:rPr>
        <w:t xml:space="preserve">® </w:t>
      </w:r>
      <w:r>
        <w:rPr>
          <w:rFonts w:ascii="Arial" w:eastAsia="宋体" w:hAnsi="Arial" w:cs="Arial"/>
          <w:color w:val="000000"/>
          <w:sz w:val="14"/>
          <w:szCs w:val="14"/>
        </w:rPr>
        <w:t>Gold Shares and SPDR</w:t>
      </w:r>
      <w:r>
        <w:rPr>
          <w:rFonts w:ascii="Arial" w:eastAsia="宋体" w:hAnsi="Arial" w:cs="Arial"/>
          <w:color w:val="000000"/>
          <w:sz w:val="9"/>
          <w:szCs w:val="9"/>
        </w:rPr>
        <w:t>®</w:t>
      </w:r>
      <w:r>
        <w:rPr>
          <w:rFonts w:ascii="Arial" w:eastAsia="宋体" w:hAnsi="Arial" w:cs="Arial"/>
          <w:color w:val="000000"/>
          <w:sz w:val="14"/>
          <w:szCs w:val="14"/>
        </w:rPr>
        <w:t>Gold</w:t>
      </w:r>
      <w:r>
        <w:rPr>
          <w:rFonts w:ascii="Arial" w:eastAsia="宋体" w:hAnsi="Arial" w:cs="Arial"/>
          <w:color w:val="000000"/>
          <w:sz w:val="9"/>
          <w:szCs w:val="9"/>
        </w:rPr>
        <w:t xml:space="preserve"> </w:t>
      </w:r>
      <w:r>
        <w:rPr>
          <w:rFonts w:ascii="Arial" w:eastAsia="宋体" w:hAnsi="Arial" w:cs="Arial"/>
          <w:color w:val="000000"/>
          <w:sz w:val="14"/>
          <w:szCs w:val="14"/>
        </w:rPr>
        <w:t>MiniSharesSM Trust, but act as the marketing agent.</w:t>
      </w:r>
    </w:p>
    <w:p w14:paraId="74DD85B5" w14:textId="77777777" w:rsidR="00584EC1" w:rsidRDefault="00871F8D">
      <w:pPr>
        <w:spacing w:before="60"/>
        <w:jc w:val="both"/>
      </w:pPr>
      <w:r>
        <w:rPr>
          <w:rFonts w:ascii="Arial" w:eastAsia="宋体" w:hAnsi="Arial" w:cs="Arial"/>
          <w:color w:val="000000"/>
          <w:sz w:val="9"/>
          <w:szCs w:val="9"/>
        </w:rPr>
        <w:t xml:space="preserve">(4) </w:t>
      </w:r>
      <w:r>
        <w:rPr>
          <w:rFonts w:ascii="Arial" w:eastAsia="宋体" w:hAnsi="Arial" w:cs="Arial"/>
          <w:color w:val="000000"/>
          <w:sz w:val="14"/>
          <w:szCs w:val="14"/>
        </w:rPr>
        <w:t>Amounts represent long-term portfolios, excluding ETFs.</w:t>
      </w:r>
      <w:r>
        <w:rPr>
          <w:rFonts w:ascii="Arial" w:eastAsia="宋体" w:hAnsi="Arial" w:cs="Arial"/>
          <w:color w:val="000000"/>
          <w:sz w:val="13"/>
          <w:szCs w:val="13"/>
        </w:rPr>
        <w:t xml:space="preserve"> </w:t>
      </w:r>
    </w:p>
    <w:p w14:paraId="74DD85B6" w14:textId="77777777" w:rsidR="00584EC1" w:rsidRDefault="00584EC1">
      <w:pPr>
        <w:ind w:firstLine="450"/>
      </w:pPr>
    </w:p>
    <w:p w14:paraId="74DD85B7" w14:textId="77777777" w:rsidR="00584EC1" w:rsidRDefault="00871F8D">
      <w:pPr>
        <w:ind w:firstLine="450"/>
        <w:jc w:val="right"/>
      </w:pPr>
      <w:r>
        <w:rPr>
          <w:rFonts w:ascii="Arial" w:eastAsia="宋体" w:hAnsi="Arial" w:cs="Arial"/>
          <w:color w:val="000000"/>
          <w:sz w:val="18"/>
          <w:szCs w:val="18"/>
        </w:rPr>
        <w:t>State</w:t>
      </w:r>
      <w:r>
        <w:rPr>
          <w:rFonts w:ascii="Arial" w:eastAsia="宋体" w:hAnsi="Arial" w:cs="Arial"/>
          <w:color w:val="000000"/>
          <w:sz w:val="18"/>
          <w:szCs w:val="18"/>
        </w:rPr>
        <w:t xml:space="preserve"> Street Corporation | 26</w:t>
      </w:r>
    </w:p>
    <w:p w14:paraId="74DD85B8" w14:textId="77777777" w:rsidR="00584EC1" w:rsidRDefault="00584EC1">
      <w:pPr>
        <w:ind w:firstLine="450"/>
        <w:jc w:val="center"/>
      </w:pPr>
    </w:p>
    <w:p w14:paraId="74DD85B9" w14:textId="77777777" w:rsidR="00584EC1" w:rsidRDefault="00871F8D">
      <w:r>
        <w:pict w14:anchorId="74DE2A08">
          <v:rect id="_x0000_i1050" style="width:415.3pt;height:1.5pt" o:hralign="center" o:hrstd="t" o:hr="t" fillcolor="#a0a0a0" stroked="f"/>
        </w:pict>
      </w:r>
    </w:p>
    <w:p w14:paraId="74DD85BA" w14:textId="77777777" w:rsidR="00584EC1" w:rsidRDefault="00871F8D">
      <w:pPr>
        <w:ind w:firstLine="450"/>
        <w:jc w:val="center"/>
      </w:pPr>
      <w:r>
        <w:rPr>
          <w:rFonts w:ascii="Arial" w:eastAsia="宋体" w:hAnsi="Arial" w:cs="Arial"/>
          <w:b/>
          <w:bCs/>
          <w:color w:val="000000"/>
          <w:sz w:val="20"/>
          <w:szCs w:val="20"/>
        </w:rPr>
        <w:t>MANAGEMENT’S DISCUSSION AND ANALYSIS OF FINANCIAL CONDITION</w:t>
      </w:r>
    </w:p>
    <w:p w14:paraId="74DD85BB" w14:textId="77777777" w:rsidR="00584EC1" w:rsidRDefault="00871F8D">
      <w:pPr>
        <w:ind w:firstLine="450"/>
        <w:jc w:val="center"/>
      </w:pPr>
      <w:r>
        <w:rPr>
          <w:rFonts w:ascii="Arial" w:eastAsia="宋体" w:hAnsi="Arial" w:cs="Arial"/>
          <w:b/>
          <w:bCs/>
          <w:color w:val="000000"/>
          <w:sz w:val="20"/>
          <w:szCs w:val="20"/>
        </w:rPr>
        <w:t>AND RESULTS OF OPERATIONS</w:t>
      </w:r>
    </w:p>
    <w:p w14:paraId="74DD85BC" w14:textId="77777777" w:rsidR="00584EC1" w:rsidRDefault="00871F8D">
      <w:pPr>
        <w:spacing w:before="60"/>
        <w:jc w:val="both"/>
        <w:textAlignment w:val="top"/>
      </w:pPr>
      <w:r>
        <w:rPr>
          <w:rFonts w:ascii="Arial" w:eastAsia="宋体" w:hAnsi="Arial" w:cs="Arial"/>
          <w:b/>
          <w:bCs/>
          <w:i/>
          <w:iCs/>
          <w:color w:val="000000"/>
          <w:sz w:val="20"/>
          <w:szCs w:val="20"/>
        </w:rPr>
        <w:t xml:space="preserve">Expenses </w:t>
      </w:r>
    </w:p>
    <w:p w14:paraId="74DD85BD" w14:textId="77777777" w:rsidR="00584EC1" w:rsidRDefault="00871F8D">
      <w:pPr>
        <w:spacing w:before="60"/>
        <w:ind w:firstLine="450"/>
        <w:jc w:val="both"/>
        <w:textAlignment w:val="top"/>
      </w:pPr>
      <w:r>
        <w:rPr>
          <w:rFonts w:ascii="Arial" w:eastAsia="宋体" w:hAnsi="Arial" w:cs="Arial"/>
          <w:color w:val="000000"/>
          <w:sz w:val="20"/>
          <w:szCs w:val="20"/>
        </w:rPr>
        <w:t>Total expenses for Investment Management decreased 5% in the three months ended September 30, 2021, compared to the same period in 2</w:t>
      </w:r>
      <w:r>
        <w:rPr>
          <w:rFonts w:ascii="Arial" w:eastAsia="宋体" w:hAnsi="Arial" w:cs="Arial"/>
          <w:color w:val="000000"/>
          <w:sz w:val="20"/>
          <w:szCs w:val="20"/>
        </w:rPr>
        <w:t>020, primarily due to expense savings initiatives, partially offset by higher investments and unfavorable currency translation. Total expenses for Investment Management decreased 1% in the nine months ended September 30, 2021, compared to the same period i</w:t>
      </w:r>
      <w:r>
        <w:rPr>
          <w:rFonts w:ascii="Arial" w:eastAsia="宋体" w:hAnsi="Arial" w:cs="Arial"/>
          <w:color w:val="000000"/>
          <w:sz w:val="20"/>
          <w:szCs w:val="20"/>
        </w:rPr>
        <w:t>n 2020, primarily due to expense savings initiatives, partially offset by higher seasonal expenses and currency translation. Seasonal deferred incentive compensation expense and payroll taxes were $35 million in the nine months ended September 30, 2021, co</w:t>
      </w:r>
      <w:r>
        <w:rPr>
          <w:rFonts w:ascii="Arial" w:eastAsia="宋体" w:hAnsi="Arial" w:cs="Arial"/>
          <w:color w:val="000000"/>
          <w:sz w:val="20"/>
          <w:szCs w:val="20"/>
        </w:rPr>
        <w:t>mpared to $26 million in the same period in 2020. Currency translation increased expenses for Investment Management by 1% in both the three and nine months ended September 30, 2021, relative to the same periods in 2020.</w:t>
      </w:r>
    </w:p>
    <w:p w14:paraId="74DD85BE" w14:textId="77777777" w:rsidR="00584EC1" w:rsidRDefault="00871F8D">
      <w:pPr>
        <w:spacing w:before="60"/>
        <w:ind w:firstLine="450"/>
        <w:jc w:val="both"/>
        <w:textAlignment w:val="top"/>
      </w:pPr>
      <w:r>
        <w:rPr>
          <w:rFonts w:ascii="Arial" w:eastAsia="宋体" w:hAnsi="Arial" w:cs="Arial"/>
          <w:color w:val="000000"/>
          <w:sz w:val="20"/>
          <w:szCs w:val="20"/>
        </w:rPr>
        <w:t xml:space="preserve">Additional information about </w:t>
      </w:r>
      <w:r>
        <w:rPr>
          <w:rFonts w:ascii="Arial" w:eastAsia="宋体" w:hAnsi="Arial" w:cs="Arial"/>
          <w:color w:val="000000"/>
          <w:sz w:val="20"/>
          <w:szCs w:val="20"/>
        </w:rPr>
        <w:t>expenses is provided under "Expenses" in "Consolidated Results of Operations" included in this Management's Discussion and Analysis.</w:t>
      </w:r>
    </w:p>
    <w:p w14:paraId="74DD85BF" w14:textId="77777777" w:rsidR="00584EC1" w:rsidRDefault="00871F8D">
      <w:pPr>
        <w:spacing w:before="90"/>
        <w:textAlignment w:val="top"/>
      </w:pPr>
      <w:r>
        <w:rPr>
          <w:rFonts w:ascii="Arial" w:eastAsia="宋体" w:hAnsi="Arial" w:cs="Arial"/>
          <w:b/>
          <w:bCs/>
          <w:color w:val="000000"/>
          <w:sz w:val="20"/>
          <w:szCs w:val="20"/>
        </w:rPr>
        <w:t>FINANCIAL CONDITION</w:t>
      </w:r>
    </w:p>
    <w:p w14:paraId="74DD85C0" w14:textId="77777777" w:rsidR="00584EC1" w:rsidRDefault="00871F8D">
      <w:pPr>
        <w:spacing w:before="60"/>
        <w:ind w:firstLine="450"/>
        <w:jc w:val="both"/>
        <w:textAlignment w:val="top"/>
      </w:pPr>
      <w:r>
        <w:rPr>
          <w:rFonts w:ascii="Arial" w:eastAsia="宋体" w:hAnsi="Arial" w:cs="Arial"/>
          <w:color w:val="000000"/>
          <w:sz w:val="20"/>
          <w:szCs w:val="20"/>
        </w:rPr>
        <w:t>The structure of our consolidated statement of condition is primarily driven by the liabilities generat</w:t>
      </w:r>
      <w:r>
        <w:rPr>
          <w:rFonts w:ascii="Arial" w:eastAsia="宋体" w:hAnsi="Arial" w:cs="Arial"/>
          <w:color w:val="000000"/>
          <w:sz w:val="20"/>
          <w:szCs w:val="20"/>
        </w:rPr>
        <w:t>ed by our Investment Servicing and Investment Management lines of business. Our clients' needs and our operating objectives determine balance sheet volume, mix and currency denomination. As our clients execute their worldwide cash management and investment</w:t>
      </w:r>
      <w:r>
        <w:rPr>
          <w:rFonts w:ascii="Arial" w:eastAsia="宋体" w:hAnsi="Arial" w:cs="Arial"/>
          <w:color w:val="000000"/>
          <w:sz w:val="20"/>
          <w:szCs w:val="20"/>
        </w:rPr>
        <w:t xml:space="preserve"> activities, they utilize deposits and short-term investments that constitute the majority of our liabilities. These liabilities are generally in the form of interest-bearing transaction account deposits, which are denominated in a variety of currencies; n</w:t>
      </w:r>
      <w:r>
        <w:rPr>
          <w:rFonts w:ascii="Arial" w:eastAsia="宋体" w:hAnsi="Arial" w:cs="Arial"/>
          <w:color w:val="000000"/>
          <w:sz w:val="20"/>
          <w:szCs w:val="20"/>
        </w:rPr>
        <w:t>on-interest-bearing demand deposits; and repurchase agreements, which generally serve as short-term investment alternatives for our clients.</w:t>
      </w:r>
    </w:p>
    <w:p w14:paraId="74DD85C1" w14:textId="77777777" w:rsidR="00584EC1" w:rsidRDefault="00871F8D">
      <w:pPr>
        <w:spacing w:before="60"/>
        <w:ind w:firstLine="450"/>
        <w:jc w:val="both"/>
        <w:textAlignment w:val="top"/>
      </w:pPr>
      <w:r>
        <w:rPr>
          <w:rFonts w:ascii="Arial" w:eastAsia="宋体" w:hAnsi="Arial" w:cs="Arial"/>
          <w:color w:val="000000"/>
          <w:sz w:val="20"/>
          <w:szCs w:val="20"/>
        </w:rPr>
        <w:t xml:space="preserve">Deposits and other liabilities resulting from client initiated transactions are invested in assets that </w:t>
      </w:r>
      <w:r>
        <w:rPr>
          <w:rFonts w:ascii="Arial" w:eastAsia="宋体" w:hAnsi="Arial" w:cs="Arial"/>
          <w:color w:val="000000"/>
          <w:sz w:val="20"/>
          <w:szCs w:val="20"/>
        </w:rPr>
        <w:t>generally have contractual maturities significantly longer than our liabilities; however, we evaluate the operational nature of our deposits and seek to maintain appropriate short-term liquidity of those liabilities that are not operational in nature and m</w:t>
      </w:r>
      <w:r>
        <w:rPr>
          <w:rFonts w:ascii="Arial" w:eastAsia="宋体" w:hAnsi="Arial" w:cs="Arial"/>
          <w:color w:val="000000"/>
          <w:sz w:val="20"/>
          <w:szCs w:val="20"/>
        </w:rPr>
        <w:t>aintain longer-termed assets for our operational deposits. Our assets consist primarily of securities held in our AFS or HTM portfolios and short-duration financial instruments, such as interest-bearing deposits with banks and securities purchased under re</w:t>
      </w:r>
      <w:r>
        <w:rPr>
          <w:rFonts w:ascii="Arial" w:eastAsia="宋体" w:hAnsi="Arial" w:cs="Arial"/>
          <w:color w:val="000000"/>
          <w:sz w:val="20"/>
          <w:szCs w:val="20"/>
        </w:rPr>
        <w:t>sale agreements. The actual mix of assets is determined by the characteristics of the client liabilities and our desire to maintain a well-diversified portfolio of high-quality assets.</w:t>
      </w:r>
    </w:p>
    <w:p w14:paraId="74DD85C2" w14:textId="77777777" w:rsidR="00584EC1" w:rsidRDefault="00871F8D">
      <w:pPr>
        <w:spacing w:before="60"/>
        <w:ind w:firstLine="450"/>
        <w:jc w:val="both"/>
        <w:textAlignment w:val="top"/>
      </w:pPr>
      <w:r>
        <w:rPr>
          <w:rFonts w:ascii="Arial" w:eastAsia="宋体" w:hAnsi="Arial" w:cs="Arial"/>
          <w:color w:val="000000"/>
          <w:sz w:val="20"/>
          <w:szCs w:val="20"/>
        </w:rPr>
        <w:t>The following information on our financial condition is based on our av</w:t>
      </w:r>
      <w:r>
        <w:rPr>
          <w:rFonts w:ascii="Arial" w:eastAsia="宋体" w:hAnsi="Arial" w:cs="Arial"/>
          <w:color w:val="000000"/>
          <w:sz w:val="20"/>
          <w:szCs w:val="20"/>
        </w:rPr>
        <w:t xml:space="preserve">erage balance sheet, which we believe is the better measure of our balance sheet trends as period-end balances can be impacted by the timing of client activities including deposits and withdrawals. </w:t>
      </w:r>
    </w:p>
    <w:tbl>
      <w:tblPr>
        <w:tblW w:w="5000" w:type="pct"/>
        <w:tblCellMar>
          <w:top w:w="15" w:type="dxa"/>
          <w:left w:w="15" w:type="dxa"/>
          <w:bottom w:w="15" w:type="dxa"/>
          <w:right w:w="15" w:type="dxa"/>
        </w:tblCellMar>
        <w:tblLook w:val="04A0" w:firstRow="1" w:lastRow="0" w:firstColumn="1" w:lastColumn="0" w:noHBand="0" w:noVBand="1"/>
      </w:tblPr>
      <w:tblGrid>
        <w:gridCol w:w="44"/>
        <w:gridCol w:w="3926"/>
        <w:gridCol w:w="38"/>
        <w:gridCol w:w="98"/>
        <w:gridCol w:w="1799"/>
        <w:gridCol w:w="36"/>
        <w:gridCol w:w="36"/>
        <w:gridCol w:w="75"/>
        <w:gridCol w:w="36"/>
        <w:gridCol w:w="98"/>
        <w:gridCol w:w="1826"/>
        <w:gridCol w:w="36"/>
        <w:gridCol w:w="36"/>
        <w:gridCol w:w="36"/>
        <w:gridCol w:w="36"/>
        <w:gridCol w:w="36"/>
        <w:gridCol w:w="36"/>
        <w:gridCol w:w="36"/>
        <w:gridCol w:w="36"/>
        <w:gridCol w:w="36"/>
      </w:tblGrid>
      <w:tr w:rsidR="00584EC1" w14:paraId="74DD85D3" w14:textId="77777777">
        <w:tc>
          <w:tcPr>
            <w:tcW w:w="50" w:type="pct"/>
            <w:shd w:val="clear" w:color="auto" w:fill="auto"/>
            <w:vAlign w:val="bottom"/>
          </w:tcPr>
          <w:p w14:paraId="74DD85C3" w14:textId="77777777" w:rsidR="00584EC1" w:rsidRDefault="00584EC1">
            <w:pPr>
              <w:rPr>
                <w:rFonts w:ascii="宋体"/>
              </w:rPr>
            </w:pPr>
          </w:p>
        </w:tc>
        <w:tc>
          <w:tcPr>
            <w:tcW w:w="2460" w:type="pct"/>
            <w:shd w:val="clear" w:color="auto" w:fill="auto"/>
            <w:vAlign w:val="bottom"/>
          </w:tcPr>
          <w:p w14:paraId="74DD85C4" w14:textId="77777777" w:rsidR="00584EC1" w:rsidRDefault="00584EC1">
            <w:pPr>
              <w:rPr>
                <w:rFonts w:ascii="宋体"/>
              </w:rPr>
            </w:pPr>
          </w:p>
        </w:tc>
        <w:tc>
          <w:tcPr>
            <w:tcW w:w="5" w:type="pct"/>
            <w:shd w:val="clear" w:color="auto" w:fill="auto"/>
            <w:vAlign w:val="bottom"/>
          </w:tcPr>
          <w:p w14:paraId="74DD85C5" w14:textId="77777777" w:rsidR="00584EC1" w:rsidRDefault="00584EC1">
            <w:pPr>
              <w:rPr>
                <w:rFonts w:ascii="宋体"/>
              </w:rPr>
            </w:pPr>
          </w:p>
        </w:tc>
        <w:tc>
          <w:tcPr>
            <w:tcW w:w="50" w:type="pct"/>
            <w:shd w:val="clear" w:color="auto" w:fill="auto"/>
            <w:vAlign w:val="bottom"/>
          </w:tcPr>
          <w:p w14:paraId="74DD85C6" w14:textId="77777777" w:rsidR="00584EC1" w:rsidRDefault="00584EC1">
            <w:pPr>
              <w:rPr>
                <w:rFonts w:ascii="宋体"/>
              </w:rPr>
            </w:pPr>
          </w:p>
        </w:tc>
        <w:tc>
          <w:tcPr>
            <w:tcW w:w="1139" w:type="pct"/>
            <w:shd w:val="clear" w:color="auto" w:fill="auto"/>
            <w:vAlign w:val="bottom"/>
          </w:tcPr>
          <w:p w14:paraId="74DD85C7" w14:textId="77777777" w:rsidR="00584EC1" w:rsidRDefault="00584EC1">
            <w:pPr>
              <w:rPr>
                <w:rFonts w:ascii="宋体"/>
              </w:rPr>
            </w:pPr>
          </w:p>
        </w:tc>
        <w:tc>
          <w:tcPr>
            <w:tcW w:w="5" w:type="pct"/>
            <w:shd w:val="clear" w:color="auto" w:fill="auto"/>
            <w:vAlign w:val="bottom"/>
          </w:tcPr>
          <w:p w14:paraId="74DD85C8" w14:textId="77777777" w:rsidR="00584EC1" w:rsidRDefault="00584EC1">
            <w:pPr>
              <w:rPr>
                <w:rFonts w:ascii="宋体"/>
              </w:rPr>
            </w:pPr>
          </w:p>
        </w:tc>
        <w:tc>
          <w:tcPr>
            <w:tcW w:w="5" w:type="pct"/>
            <w:shd w:val="clear" w:color="auto" w:fill="auto"/>
            <w:vAlign w:val="bottom"/>
          </w:tcPr>
          <w:p w14:paraId="74DD85C9" w14:textId="77777777" w:rsidR="00584EC1" w:rsidRDefault="00584EC1">
            <w:pPr>
              <w:rPr>
                <w:rFonts w:ascii="宋体"/>
              </w:rPr>
            </w:pPr>
          </w:p>
        </w:tc>
        <w:tc>
          <w:tcPr>
            <w:tcW w:w="68" w:type="pct"/>
            <w:shd w:val="clear" w:color="auto" w:fill="auto"/>
            <w:vAlign w:val="bottom"/>
          </w:tcPr>
          <w:p w14:paraId="74DD85CA" w14:textId="77777777" w:rsidR="00584EC1" w:rsidRDefault="00584EC1">
            <w:pPr>
              <w:rPr>
                <w:rFonts w:ascii="宋体"/>
              </w:rPr>
            </w:pPr>
          </w:p>
        </w:tc>
        <w:tc>
          <w:tcPr>
            <w:tcW w:w="5" w:type="pct"/>
            <w:shd w:val="clear" w:color="auto" w:fill="auto"/>
            <w:vAlign w:val="bottom"/>
          </w:tcPr>
          <w:p w14:paraId="74DD85CB" w14:textId="77777777" w:rsidR="00584EC1" w:rsidRDefault="00584EC1">
            <w:pPr>
              <w:rPr>
                <w:rFonts w:ascii="宋体"/>
              </w:rPr>
            </w:pPr>
          </w:p>
        </w:tc>
        <w:tc>
          <w:tcPr>
            <w:tcW w:w="50" w:type="pct"/>
            <w:shd w:val="clear" w:color="auto" w:fill="auto"/>
            <w:vAlign w:val="bottom"/>
          </w:tcPr>
          <w:p w14:paraId="74DD85CC" w14:textId="77777777" w:rsidR="00584EC1" w:rsidRDefault="00584EC1">
            <w:pPr>
              <w:rPr>
                <w:rFonts w:ascii="宋体"/>
              </w:rPr>
            </w:pPr>
          </w:p>
        </w:tc>
        <w:tc>
          <w:tcPr>
            <w:tcW w:w="1155" w:type="pct"/>
            <w:shd w:val="clear" w:color="auto" w:fill="auto"/>
            <w:vAlign w:val="bottom"/>
          </w:tcPr>
          <w:p w14:paraId="74DD85CD" w14:textId="77777777" w:rsidR="00584EC1" w:rsidRDefault="00584EC1">
            <w:pPr>
              <w:rPr>
                <w:rFonts w:ascii="宋体"/>
              </w:rPr>
            </w:pPr>
          </w:p>
        </w:tc>
        <w:tc>
          <w:tcPr>
            <w:tcW w:w="5" w:type="pct"/>
            <w:shd w:val="clear" w:color="auto" w:fill="auto"/>
            <w:vAlign w:val="bottom"/>
          </w:tcPr>
          <w:p w14:paraId="74DD85CE" w14:textId="77777777" w:rsidR="00584EC1" w:rsidRDefault="00584EC1">
            <w:pPr>
              <w:rPr>
                <w:rFonts w:ascii="宋体"/>
              </w:rPr>
            </w:pPr>
          </w:p>
        </w:tc>
        <w:tc>
          <w:tcPr>
            <w:tcW w:w="0" w:type="auto"/>
            <w:shd w:val="clear" w:color="auto" w:fill="auto"/>
            <w:vAlign w:val="bottom"/>
          </w:tcPr>
          <w:p w14:paraId="74DD85CF" w14:textId="77777777" w:rsidR="00584EC1" w:rsidRDefault="00584EC1">
            <w:pPr>
              <w:rPr>
                <w:rFonts w:ascii="宋体"/>
                <w:vanish/>
              </w:rPr>
            </w:pPr>
          </w:p>
        </w:tc>
        <w:tc>
          <w:tcPr>
            <w:tcW w:w="0" w:type="auto"/>
            <w:shd w:val="clear" w:color="auto" w:fill="auto"/>
            <w:vAlign w:val="bottom"/>
          </w:tcPr>
          <w:p w14:paraId="74DD85D0" w14:textId="77777777" w:rsidR="00584EC1" w:rsidRDefault="00584EC1">
            <w:pPr>
              <w:rPr>
                <w:rFonts w:ascii="宋体"/>
                <w:vanish/>
              </w:rPr>
            </w:pPr>
          </w:p>
        </w:tc>
        <w:tc>
          <w:tcPr>
            <w:tcW w:w="0" w:type="auto"/>
            <w:gridSpan w:val="3"/>
            <w:shd w:val="clear" w:color="auto" w:fill="auto"/>
            <w:vAlign w:val="bottom"/>
          </w:tcPr>
          <w:p w14:paraId="74DD85D1" w14:textId="77777777" w:rsidR="00584EC1" w:rsidRDefault="00584EC1">
            <w:pPr>
              <w:rPr>
                <w:rFonts w:ascii="宋体"/>
                <w:vanish/>
              </w:rPr>
            </w:pPr>
          </w:p>
        </w:tc>
        <w:tc>
          <w:tcPr>
            <w:tcW w:w="0" w:type="auto"/>
            <w:gridSpan w:val="3"/>
            <w:shd w:val="clear" w:color="auto" w:fill="auto"/>
            <w:vAlign w:val="bottom"/>
          </w:tcPr>
          <w:p w14:paraId="74DD85D2" w14:textId="77777777" w:rsidR="00584EC1" w:rsidRDefault="00584EC1">
            <w:pPr>
              <w:rPr>
                <w:rFonts w:ascii="宋体"/>
                <w:vanish/>
              </w:rPr>
            </w:pPr>
          </w:p>
        </w:tc>
      </w:tr>
      <w:tr w:rsidR="00584EC1" w14:paraId="74DD85E0" w14:textId="77777777">
        <w:trPr>
          <w:hidden/>
        </w:trPr>
        <w:tc>
          <w:tcPr>
            <w:tcW w:w="0" w:type="auto"/>
            <w:gridSpan w:val="3"/>
            <w:shd w:val="clear" w:color="auto" w:fill="auto"/>
            <w:vAlign w:val="bottom"/>
          </w:tcPr>
          <w:p w14:paraId="74DD85D4" w14:textId="77777777" w:rsidR="00584EC1" w:rsidRDefault="00584EC1">
            <w:pPr>
              <w:rPr>
                <w:rFonts w:ascii="宋体"/>
                <w:vanish/>
              </w:rPr>
            </w:pPr>
          </w:p>
        </w:tc>
        <w:tc>
          <w:tcPr>
            <w:tcW w:w="0" w:type="auto"/>
            <w:gridSpan w:val="3"/>
            <w:shd w:val="clear" w:color="auto" w:fill="auto"/>
            <w:vAlign w:val="bottom"/>
          </w:tcPr>
          <w:p w14:paraId="74DD85D5" w14:textId="77777777" w:rsidR="00584EC1" w:rsidRDefault="00584EC1">
            <w:pPr>
              <w:rPr>
                <w:rFonts w:ascii="宋体"/>
                <w:vanish/>
              </w:rPr>
            </w:pPr>
          </w:p>
        </w:tc>
        <w:tc>
          <w:tcPr>
            <w:tcW w:w="0" w:type="auto"/>
            <w:gridSpan w:val="3"/>
            <w:shd w:val="clear" w:color="auto" w:fill="auto"/>
            <w:vAlign w:val="bottom"/>
          </w:tcPr>
          <w:p w14:paraId="74DD85D6" w14:textId="77777777" w:rsidR="00584EC1" w:rsidRDefault="00584EC1">
            <w:pPr>
              <w:rPr>
                <w:rFonts w:ascii="宋体"/>
                <w:vanish/>
              </w:rPr>
            </w:pPr>
          </w:p>
        </w:tc>
        <w:tc>
          <w:tcPr>
            <w:tcW w:w="0" w:type="auto"/>
            <w:gridSpan w:val="3"/>
            <w:shd w:val="clear" w:color="auto" w:fill="auto"/>
            <w:vAlign w:val="bottom"/>
          </w:tcPr>
          <w:p w14:paraId="74DD85D7" w14:textId="77777777" w:rsidR="00584EC1" w:rsidRDefault="00584EC1">
            <w:pPr>
              <w:rPr>
                <w:rFonts w:ascii="宋体"/>
                <w:vanish/>
              </w:rPr>
            </w:pPr>
          </w:p>
        </w:tc>
        <w:tc>
          <w:tcPr>
            <w:tcW w:w="0" w:type="auto"/>
            <w:shd w:val="clear" w:color="auto" w:fill="auto"/>
            <w:vAlign w:val="bottom"/>
          </w:tcPr>
          <w:p w14:paraId="74DD85D8" w14:textId="77777777" w:rsidR="00584EC1" w:rsidRDefault="00584EC1">
            <w:pPr>
              <w:rPr>
                <w:rFonts w:ascii="宋体"/>
                <w:vanish/>
              </w:rPr>
            </w:pPr>
          </w:p>
        </w:tc>
        <w:tc>
          <w:tcPr>
            <w:tcW w:w="0" w:type="auto"/>
            <w:shd w:val="clear" w:color="auto" w:fill="auto"/>
            <w:vAlign w:val="bottom"/>
          </w:tcPr>
          <w:p w14:paraId="74DD85D9" w14:textId="77777777" w:rsidR="00584EC1" w:rsidRDefault="00584EC1">
            <w:pPr>
              <w:rPr>
                <w:rFonts w:ascii="宋体"/>
                <w:vanish/>
              </w:rPr>
            </w:pPr>
          </w:p>
        </w:tc>
        <w:tc>
          <w:tcPr>
            <w:tcW w:w="0" w:type="auto"/>
            <w:shd w:val="clear" w:color="auto" w:fill="auto"/>
            <w:vAlign w:val="bottom"/>
          </w:tcPr>
          <w:p w14:paraId="74DD85DA" w14:textId="77777777" w:rsidR="00584EC1" w:rsidRDefault="00584EC1">
            <w:pPr>
              <w:rPr>
                <w:rFonts w:ascii="宋体"/>
              </w:rPr>
            </w:pPr>
          </w:p>
        </w:tc>
        <w:tc>
          <w:tcPr>
            <w:tcW w:w="0" w:type="auto"/>
            <w:shd w:val="clear" w:color="auto" w:fill="auto"/>
            <w:vAlign w:val="bottom"/>
          </w:tcPr>
          <w:p w14:paraId="74DD85DB" w14:textId="77777777" w:rsidR="00584EC1" w:rsidRDefault="00584EC1">
            <w:pPr>
              <w:rPr>
                <w:rFonts w:ascii="宋体"/>
              </w:rPr>
            </w:pPr>
          </w:p>
        </w:tc>
        <w:tc>
          <w:tcPr>
            <w:tcW w:w="0" w:type="auto"/>
            <w:shd w:val="clear" w:color="auto" w:fill="auto"/>
            <w:vAlign w:val="bottom"/>
          </w:tcPr>
          <w:p w14:paraId="74DD85DC" w14:textId="77777777" w:rsidR="00584EC1" w:rsidRDefault="00584EC1">
            <w:pPr>
              <w:rPr>
                <w:rFonts w:ascii="宋体"/>
              </w:rPr>
            </w:pPr>
          </w:p>
        </w:tc>
        <w:tc>
          <w:tcPr>
            <w:tcW w:w="0" w:type="auto"/>
            <w:shd w:val="clear" w:color="auto" w:fill="auto"/>
            <w:vAlign w:val="bottom"/>
          </w:tcPr>
          <w:p w14:paraId="74DD85DD" w14:textId="77777777" w:rsidR="00584EC1" w:rsidRDefault="00584EC1">
            <w:pPr>
              <w:rPr>
                <w:rFonts w:ascii="宋体"/>
              </w:rPr>
            </w:pPr>
          </w:p>
        </w:tc>
        <w:tc>
          <w:tcPr>
            <w:tcW w:w="0" w:type="auto"/>
            <w:shd w:val="clear" w:color="auto" w:fill="auto"/>
            <w:vAlign w:val="bottom"/>
          </w:tcPr>
          <w:p w14:paraId="74DD85DE" w14:textId="77777777" w:rsidR="00584EC1" w:rsidRDefault="00584EC1">
            <w:pPr>
              <w:rPr>
                <w:rFonts w:ascii="宋体"/>
              </w:rPr>
            </w:pPr>
          </w:p>
        </w:tc>
        <w:tc>
          <w:tcPr>
            <w:tcW w:w="0" w:type="auto"/>
            <w:shd w:val="clear" w:color="auto" w:fill="auto"/>
            <w:vAlign w:val="bottom"/>
          </w:tcPr>
          <w:p w14:paraId="74DD85DF" w14:textId="77777777" w:rsidR="00584EC1" w:rsidRDefault="00584EC1">
            <w:pPr>
              <w:rPr>
                <w:rFonts w:ascii="宋体"/>
              </w:rPr>
            </w:pPr>
          </w:p>
        </w:tc>
      </w:tr>
      <w:tr w:rsidR="00584EC1" w14:paraId="74DD85E9" w14:textId="77777777">
        <w:trPr>
          <w:hidden/>
        </w:trPr>
        <w:tc>
          <w:tcPr>
            <w:tcW w:w="0" w:type="auto"/>
            <w:gridSpan w:val="3"/>
            <w:shd w:val="clear" w:color="auto" w:fill="auto"/>
            <w:vAlign w:val="bottom"/>
          </w:tcPr>
          <w:p w14:paraId="74DD85E1" w14:textId="77777777" w:rsidR="00584EC1" w:rsidRDefault="00584EC1">
            <w:pPr>
              <w:rPr>
                <w:rFonts w:ascii="宋体"/>
                <w:vanish/>
              </w:rPr>
            </w:pPr>
          </w:p>
        </w:tc>
        <w:tc>
          <w:tcPr>
            <w:tcW w:w="0" w:type="auto"/>
            <w:gridSpan w:val="3"/>
            <w:shd w:val="clear" w:color="auto" w:fill="auto"/>
            <w:vAlign w:val="bottom"/>
          </w:tcPr>
          <w:p w14:paraId="74DD85E2" w14:textId="77777777" w:rsidR="00584EC1" w:rsidRDefault="00584EC1">
            <w:pPr>
              <w:rPr>
                <w:rFonts w:ascii="宋体"/>
                <w:vanish/>
              </w:rPr>
            </w:pPr>
          </w:p>
        </w:tc>
        <w:tc>
          <w:tcPr>
            <w:tcW w:w="0" w:type="auto"/>
            <w:gridSpan w:val="3"/>
            <w:shd w:val="clear" w:color="auto" w:fill="auto"/>
            <w:vAlign w:val="bottom"/>
          </w:tcPr>
          <w:p w14:paraId="74DD85E3" w14:textId="77777777" w:rsidR="00584EC1" w:rsidRDefault="00584EC1">
            <w:pPr>
              <w:rPr>
                <w:rFonts w:ascii="宋体"/>
                <w:vanish/>
              </w:rPr>
            </w:pPr>
          </w:p>
        </w:tc>
        <w:tc>
          <w:tcPr>
            <w:tcW w:w="0" w:type="auto"/>
            <w:gridSpan w:val="3"/>
            <w:shd w:val="clear" w:color="auto" w:fill="auto"/>
            <w:vAlign w:val="bottom"/>
          </w:tcPr>
          <w:p w14:paraId="74DD85E4" w14:textId="77777777" w:rsidR="00584EC1" w:rsidRDefault="00584EC1">
            <w:pPr>
              <w:rPr>
                <w:rFonts w:ascii="宋体"/>
                <w:vanish/>
              </w:rPr>
            </w:pPr>
          </w:p>
        </w:tc>
        <w:tc>
          <w:tcPr>
            <w:tcW w:w="0" w:type="auto"/>
            <w:shd w:val="clear" w:color="auto" w:fill="auto"/>
            <w:vAlign w:val="bottom"/>
          </w:tcPr>
          <w:p w14:paraId="74DD85E5" w14:textId="77777777" w:rsidR="00584EC1" w:rsidRDefault="00584EC1">
            <w:pPr>
              <w:rPr>
                <w:rFonts w:ascii="宋体"/>
                <w:vanish/>
              </w:rPr>
            </w:pPr>
          </w:p>
        </w:tc>
        <w:tc>
          <w:tcPr>
            <w:tcW w:w="0" w:type="auto"/>
            <w:shd w:val="clear" w:color="auto" w:fill="auto"/>
            <w:vAlign w:val="bottom"/>
          </w:tcPr>
          <w:p w14:paraId="74DD85E6" w14:textId="77777777" w:rsidR="00584EC1" w:rsidRDefault="00584EC1">
            <w:pPr>
              <w:rPr>
                <w:rFonts w:ascii="宋体"/>
                <w:vanish/>
              </w:rPr>
            </w:pPr>
          </w:p>
        </w:tc>
        <w:tc>
          <w:tcPr>
            <w:tcW w:w="0" w:type="auto"/>
            <w:gridSpan w:val="3"/>
            <w:shd w:val="clear" w:color="auto" w:fill="auto"/>
            <w:vAlign w:val="bottom"/>
          </w:tcPr>
          <w:p w14:paraId="74DD85E7" w14:textId="77777777" w:rsidR="00584EC1" w:rsidRDefault="00584EC1">
            <w:pPr>
              <w:rPr>
                <w:rFonts w:ascii="宋体"/>
                <w:vanish/>
              </w:rPr>
            </w:pPr>
          </w:p>
        </w:tc>
        <w:tc>
          <w:tcPr>
            <w:tcW w:w="0" w:type="auto"/>
            <w:gridSpan w:val="3"/>
            <w:shd w:val="clear" w:color="auto" w:fill="auto"/>
            <w:vAlign w:val="bottom"/>
          </w:tcPr>
          <w:p w14:paraId="74DD85E8" w14:textId="77777777" w:rsidR="00584EC1" w:rsidRDefault="00584EC1">
            <w:pPr>
              <w:rPr>
                <w:rFonts w:ascii="宋体"/>
                <w:vanish/>
              </w:rPr>
            </w:pPr>
          </w:p>
        </w:tc>
      </w:tr>
      <w:tr w:rsidR="00584EC1" w14:paraId="74DD85F2" w14:textId="77777777">
        <w:trPr>
          <w:hidden/>
        </w:trPr>
        <w:tc>
          <w:tcPr>
            <w:tcW w:w="0" w:type="auto"/>
            <w:gridSpan w:val="3"/>
            <w:shd w:val="clear" w:color="auto" w:fill="auto"/>
            <w:vAlign w:val="bottom"/>
          </w:tcPr>
          <w:p w14:paraId="74DD85EA" w14:textId="77777777" w:rsidR="00584EC1" w:rsidRDefault="00584EC1">
            <w:pPr>
              <w:rPr>
                <w:rFonts w:ascii="宋体"/>
                <w:vanish/>
              </w:rPr>
            </w:pPr>
          </w:p>
        </w:tc>
        <w:tc>
          <w:tcPr>
            <w:tcW w:w="0" w:type="auto"/>
            <w:gridSpan w:val="3"/>
            <w:shd w:val="clear" w:color="auto" w:fill="auto"/>
            <w:vAlign w:val="bottom"/>
          </w:tcPr>
          <w:p w14:paraId="74DD85EB" w14:textId="77777777" w:rsidR="00584EC1" w:rsidRDefault="00584EC1">
            <w:pPr>
              <w:rPr>
                <w:rFonts w:ascii="宋体"/>
                <w:vanish/>
              </w:rPr>
            </w:pPr>
          </w:p>
        </w:tc>
        <w:tc>
          <w:tcPr>
            <w:tcW w:w="0" w:type="auto"/>
            <w:gridSpan w:val="3"/>
            <w:shd w:val="clear" w:color="auto" w:fill="auto"/>
            <w:vAlign w:val="bottom"/>
          </w:tcPr>
          <w:p w14:paraId="74DD85EC" w14:textId="77777777" w:rsidR="00584EC1" w:rsidRDefault="00584EC1">
            <w:pPr>
              <w:rPr>
                <w:rFonts w:ascii="宋体"/>
                <w:vanish/>
              </w:rPr>
            </w:pPr>
          </w:p>
        </w:tc>
        <w:tc>
          <w:tcPr>
            <w:tcW w:w="0" w:type="auto"/>
            <w:gridSpan w:val="3"/>
            <w:shd w:val="clear" w:color="auto" w:fill="auto"/>
            <w:vAlign w:val="bottom"/>
          </w:tcPr>
          <w:p w14:paraId="74DD85ED" w14:textId="77777777" w:rsidR="00584EC1" w:rsidRDefault="00584EC1">
            <w:pPr>
              <w:rPr>
                <w:rFonts w:ascii="宋体"/>
                <w:vanish/>
              </w:rPr>
            </w:pPr>
          </w:p>
        </w:tc>
        <w:tc>
          <w:tcPr>
            <w:tcW w:w="0" w:type="auto"/>
            <w:shd w:val="clear" w:color="auto" w:fill="auto"/>
            <w:vAlign w:val="bottom"/>
          </w:tcPr>
          <w:p w14:paraId="74DD85EE" w14:textId="77777777" w:rsidR="00584EC1" w:rsidRDefault="00584EC1">
            <w:pPr>
              <w:rPr>
                <w:rFonts w:ascii="宋体"/>
                <w:vanish/>
              </w:rPr>
            </w:pPr>
          </w:p>
        </w:tc>
        <w:tc>
          <w:tcPr>
            <w:tcW w:w="0" w:type="auto"/>
            <w:shd w:val="clear" w:color="auto" w:fill="auto"/>
            <w:vAlign w:val="bottom"/>
          </w:tcPr>
          <w:p w14:paraId="74DD85EF" w14:textId="77777777" w:rsidR="00584EC1" w:rsidRDefault="00584EC1">
            <w:pPr>
              <w:rPr>
                <w:rFonts w:ascii="宋体"/>
                <w:vanish/>
              </w:rPr>
            </w:pPr>
          </w:p>
        </w:tc>
        <w:tc>
          <w:tcPr>
            <w:tcW w:w="0" w:type="auto"/>
            <w:gridSpan w:val="3"/>
            <w:shd w:val="clear" w:color="auto" w:fill="auto"/>
            <w:vAlign w:val="bottom"/>
          </w:tcPr>
          <w:p w14:paraId="74DD85F0" w14:textId="77777777" w:rsidR="00584EC1" w:rsidRDefault="00584EC1">
            <w:pPr>
              <w:rPr>
                <w:rFonts w:ascii="宋体"/>
                <w:vanish/>
              </w:rPr>
            </w:pPr>
          </w:p>
        </w:tc>
        <w:tc>
          <w:tcPr>
            <w:tcW w:w="0" w:type="auto"/>
            <w:gridSpan w:val="3"/>
            <w:shd w:val="clear" w:color="auto" w:fill="auto"/>
            <w:vAlign w:val="bottom"/>
          </w:tcPr>
          <w:p w14:paraId="74DD85F1" w14:textId="77777777" w:rsidR="00584EC1" w:rsidRDefault="00584EC1">
            <w:pPr>
              <w:rPr>
                <w:rFonts w:ascii="宋体"/>
                <w:vanish/>
              </w:rPr>
            </w:pPr>
          </w:p>
        </w:tc>
      </w:tr>
      <w:tr w:rsidR="00584EC1" w14:paraId="74DD85FB" w14:textId="77777777">
        <w:trPr>
          <w:hidden/>
        </w:trPr>
        <w:tc>
          <w:tcPr>
            <w:tcW w:w="0" w:type="auto"/>
            <w:gridSpan w:val="3"/>
            <w:shd w:val="clear" w:color="auto" w:fill="auto"/>
            <w:vAlign w:val="bottom"/>
          </w:tcPr>
          <w:p w14:paraId="74DD85F3" w14:textId="77777777" w:rsidR="00584EC1" w:rsidRDefault="00584EC1">
            <w:pPr>
              <w:rPr>
                <w:rFonts w:ascii="宋体"/>
                <w:vanish/>
              </w:rPr>
            </w:pPr>
          </w:p>
        </w:tc>
        <w:tc>
          <w:tcPr>
            <w:tcW w:w="0" w:type="auto"/>
            <w:gridSpan w:val="3"/>
            <w:shd w:val="clear" w:color="auto" w:fill="auto"/>
            <w:vAlign w:val="bottom"/>
          </w:tcPr>
          <w:p w14:paraId="74DD85F4" w14:textId="77777777" w:rsidR="00584EC1" w:rsidRDefault="00584EC1">
            <w:pPr>
              <w:rPr>
                <w:rFonts w:ascii="宋体"/>
                <w:vanish/>
              </w:rPr>
            </w:pPr>
          </w:p>
        </w:tc>
        <w:tc>
          <w:tcPr>
            <w:tcW w:w="0" w:type="auto"/>
            <w:gridSpan w:val="3"/>
            <w:shd w:val="clear" w:color="auto" w:fill="auto"/>
            <w:vAlign w:val="bottom"/>
          </w:tcPr>
          <w:p w14:paraId="74DD85F5" w14:textId="77777777" w:rsidR="00584EC1" w:rsidRDefault="00584EC1">
            <w:pPr>
              <w:rPr>
                <w:rFonts w:ascii="宋体"/>
                <w:vanish/>
              </w:rPr>
            </w:pPr>
          </w:p>
        </w:tc>
        <w:tc>
          <w:tcPr>
            <w:tcW w:w="0" w:type="auto"/>
            <w:gridSpan w:val="3"/>
            <w:shd w:val="clear" w:color="auto" w:fill="auto"/>
            <w:vAlign w:val="bottom"/>
          </w:tcPr>
          <w:p w14:paraId="74DD85F6" w14:textId="77777777" w:rsidR="00584EC1" w:rsidRDefault="00584EC1">
            <w:pPr>
              <w:rPr>
                <w:rFonts w:ascii="宋体"/>
                <w:vanish/>
              </w:rPr>
            </w:pPr>
          </w:p>
        </w:tc>
        <w:tc>
          <w:tcPr>
            <w:tcW w:w="0" w:type="auto"/>
            <w:shd w:val="clear" w:color="auto" w:fill="auto"/>
            <w:vAlign w:val="bottom"/>
          </w:tcPr>
          <w:p w14:paraId="74DD85F7" w14:textId="77777777" w:rsidR="00584EC1" w:rsidRDefault="00584EC1">
            <w:pPr>
              <w:rPr>
                <w:rFonts w:ascii="宋体"/>
                <w:vanish/>
              </w:rPr>
            </w:pPr>
          </w:p>
        </w:tc>
        <w:tc>
          <w:tcPr>
            <w:tcW w:w="0" w:type="auto"/>
            <w:shd w:val="clear" w:color="auto" w:fill="auto"/>
            <w:vAlign w:val="bottom"/>
          </w:tcPr>
          <w:p w14:paraId="74DD85F8" w14:textId="77777777" w:rsidR="00584EC1" w:rsidRDefault="00584EC1">
            <w:pPr>
              <w:rPr>
                <w:rFonts w:ascii="宋体"/>
                <w:vanish/>
              </w:rPr>
            </w:pPr>
          </w:p>
        </w:tc>
        <w:tc>
          <w:tcPr>
            <w:tcW w:w="0" w:type="auto"/>
            <w:gridSpan w:val="3"/>
            <w:shd w:val="clear" w:color="auto" w:fill="auto"/>
            <w:vAlign w:val="bottom"/>
          </w:tcPr>
          <w:p w14:paraId="74DD85F9" w14:textId="77777777" w:rsidR="00584EC1" w:rsidRDefault="00584EC1">
            <w:pPr>
              <w:rPr>
                <w:rFonts w:ascii="宋体"/>
                <w:vanish/>
              </w:rPr>
            </w:pPr>
          </w:p>
        </w:tc>
        <w:tc>
          <w:tcPr>
            <w:tcW w:w="0" w:type="auto"/>
            <w:gridSpan w:val="3"/>
            <w:shd w:val="clear" w:color="auto" w:fill="auto"/>
            <w:vAlign w:val="bottom"/>
          </w:tcPr>
          <w:p w14:paraId="74DD85FA" w14:textId="77777777" w:rsidR="00584EC1" w:rsidRDefault="00584EC1">
            <w:pPr>
              <w:rPr>
                <w:rFonts w:ascii="宋体"/>
                <w:vanish/>
              </w:rPr>
            </w:pPr>
          </w:p>
        </w:tc>
      </w:tr>
      <w:tr w:rsidR="00584EC1" w14:paraId="74DD8604" w14:textId="77777777">
        <w:trPr>
          <w:hidden/>
        </w:trPr>
        <w:tc>
          <w:tcPr>
            <w:tcW w:w="0" w:type="auto"/>
            <w:gridSpan w:val="3"/>
            <w:shd w:val="clear" w:color="auto" w:fill="auto"/>
            <w:vAlign w:val="bottom"/>
          </w:tcPr>
          <w:p w14:paraId="74DD85FC" w14:textId="77777777" w:rsidR="00584EC1" w:rsidRDefault="00584EC1">
            <w:pPr>
              <w:rPr>
                <w:rFonts w:ascii="宋体"/>
                <w:vanish/>
              </w:rPr>
            </w:pPr>
          </w:p>
        </w:tc>
        <w:tc>
          <w:tcPr>
            <w:tcW w:w="0" w:type="auto"/>
            <w:gridSpan w:val="3"/>
            <w:shd w:val="clear" w:color="auto" w:fill="auto"/>
            <w:vAlign w:val="bottom"/>
          </w:tcPr>
          <w:p w14:paraId="74DD85FD" w14:textId="77777777" w:rsidR="00584EC1" w:rsidRDefault="00584EC1">
            <w:pPr>
              <w:rPr>
                <w:rFonts w:ascii="宋体"/>
                <w:vanish/>
              </w:rPr>
            </w:pPr>
          </w:p>
        </w:tc>
        <w:tc>
          <w:tcPr>
            <w:tcW w:w="0" w:type="auto"/>
            <w:gridSpan w:val="3"/>
            <w:shd w:val="clear" w:color="auto" w:fill="auto"/>
            <w:vAlign w:val="bottom"/>
          </w:tcPr>
          <w:p w14:paraId="74DD85FE" w14:textId="77777777" w:rsidR="00584EC1" w:rsidRDefault="00584EC1">
            <w:pPr>
              <w:rPr>
                <w:rFonts w:ascii="宋体"/>
                <w:vanish/>
              </w:rPr>
            </w:pPr>
          </w:p>
        </w:tc>
        <w:tc>
          <w:tcPr>
            <w:tcW w:w="0" w:type="auto"/>
            <w:gridSpan w:val="3"/>
            <w:shd w:val="clear" w:color="auto" w:fill="auto"/>
            <w:vAlign w:val="bottom"/>
          </w:tcPr>
          <w:p w14:paraId="74DD85FF" w14:textId="77777777" w:rsidR="00584EC1" w:rsidRDefault="00584EC1">
            <w:pPr>
              <w:rPr>
                <w:rFonts w:ascii="宋体"/>
                <w:vanish/>
              </w:rPr>
            </w:pPr>
          </w:p>
        </w:tc>
        <w:tc>
          <w:tcPr>
            <w:tcW w:w="0" w:type="auto"/>
            <w:shd w:val="clear" w:color="auto" w:fill="auto"/>
            <w:vAlign w:val="bottom"/>
          </w:tcPr>
          <w:p w14:paraId="74DD8600" w14:textId="77777777" w:rsidR="00584EC1" w:rsidRDefault="00584EC1">
            <w:pPr>
              <w:rPr>
                <w:rFonts w:ascii="宋体"/>
                <w:vanish/>
              </w:rPr>
            </w:pPr>
          </w:p>
        </w:tc>
        <w:tc>
          <w:tcPr>
            <w:tcW w:w="0" w:type="auto"/>
            <w:shd w:val="clear" w:color="auto" w:fill="auto"/>
            <w:vAlign w:val="bottom"/>
          </w:tcPr>
          <w:p w14:paraId="74DD8601" w14:textId="77777777" w:rsidR="00584EC1" w:rsidRDefault="00584EC1">
            <w:pPr>
              <w:rPr>
                <w:rFonts w:ascii="宋体"/>
                <w:vanish/>
              </w:rPr>
            </w:pPr>
          </w:p>
        </w:tc>
        <w:tc>
          <w:tcPr>
            <w:tcW w:w="0" w:type="auto"/>
            <w:gridSpan w:val="3"/>
            <w:shd w:val="clear" w:color="auto" w:fill="auto"/>
            <w:vAlign w:val="bottom"/>
          </w:tcPr>
          <w:p w14:paraId="74DD8602" w14:textId="77777777" w:rsidR="00584EC1" w:rsidRDefault="00584EC1">
            <w:pPr>
              <w:rPr>
                <w:rFonts w:ascii="宋体"/>
                <w:vanish/>
              </w:rPr>
            </w:pPr>
          </w:p>
        </w:tc>
        <w:tc>
          <w:tcPr>
            <w:tcW w:w="0" w:type="auto"/>
            <w:gridSpan w:val="3"/>
            <w:shd w:val="clear" w:color="auto" w:fill="auto"/>
            <w:vAlign w:val="bottom"/>
          </w:tcPr>
          <w:p w14:paraId="74DD8603" w14:textId="77777777" w:rsidR="00584EC1" w:rsidRDefault="00584EC1">
            <w:pPr>
              <w:rPr>
                <w:rFonts w:ascii="宋体"/>
                <w:vanish/>
              </w:rPr>
            </w:pPr>
          </w:p>
        </w:tc>
      </w:tr>
      <w:tr w:rsidR="00584EC1" w14:paraId="74DD860D" w14:textId="77777777">
        <w:trPr>
          <w:hidden/>
        </w:trPr>
        <w:tc>
          <w:tcPr>
            <w:tcW w:w="0" w:type="auto"/>
            <w:gridSpan w:val="3"/>
            <w:shd w:val="clear" w:color="auto" w:fill="auto"/>
            <w:vAlign w:val="bottom"/>
          </w:tcPr>
          <w:p w14:paraId="74DD8605" w14:textId="77777777" w:rsidR="00584EC1" w:rsidRDefault="00584EC1">
            <w:pPr>
              <w:rPr>
                <w:rFonts w:ascii="宋体"/>
                <w:vanish/>
              </w:rPr>
            </w:pPr>
          </w:p>
        </w:tc>
        <w:tc>
          <w:tcPr>
            <w:tcW w:w="0" w:type="auto"/>
            <w:gridSpan w:val="3"/>
            <w:shd w:val="clear" w:color="auto" w:fill="auto"/>
            <w:vAlign w:val="bottom"/>
          </w:tcPr>
          <w:p w14:paraId="74DD8606" w14:textId="77777777" w:rsidR="00584EC1" w:rsidRDefault="00584EC1">
            <w:pPr>
              <w:rPr>
                <w:rFonts w:ascii="宋体"/>
                <w:vanish/>
              </w:rPr>
            </w:pPr>
          </w:p>
        </w:tc>
        <w:tc>
          <w:tcPr>
            <w:tcW w:w="0" w:type="auto"/>
            <w:gridSpan w:val="3"/>
            <w:shd w:val="clear" w:color="auto" w:fill="auto"/>
            <w:vAlign w:val="bottom"/>
          </w:tcPr>
          <w:p w14:paraId="74DD8607" w14:textId="77777777" w:rsidR="00584EC1" w:rsidRDefault="00584EC1">
            <w:pPr>
              <w:rPr>
                <w:rFonts w:ascii="宋体"/>
                <w:vanish/>
              </w:rPr>
            </w:pPr>
          </w:p>
        </w:tc>
        <w:tc>
          <w:tcPr>
            <w:tcW w:w="0" w:type="auto"/>
            <w:gridSpan w:val="3"/>
            <w:shd w:val="clear" w:color="auto" w:fill="auto"/>
            <w:vAlign w:val="bottom"/>
          </w:tcPr>
          <w:p w14:paraId="74DD8608" w14:textId="77777777" w:rsidR="00584EC1" w:rsidRDefault="00584EC1">
            <w:pPr>
              <w:rPr>
                <w:rFonts w:ascii="宋体"/>
                <w:vanish/>
              </w:rPr>
            </w:pPr>
          </w:p>
        </w:tc>
        <w:tc>
          <w:tcPr>
            <w:tcW w:w="0" w:type="auto"/>
            <w:shd w:val="clear" w:color="auto" w:fill="auto"/>
            <w:vAlign w:val="bottom"/>
          </w:tcPr>
          <w:p w14:paraId="74DD8609" w14:textId="77777777" w:rsidR="00584EC1" w:rsidRDefault="00584EC1">
            <w:pPr>
              <w:rPr>
                <w:rFonts w:ascii="宋体"/>
                <w:vanish/>
              </w:rPr>
            </w:pPr>
          </w:p>
        </w:tc>
        <w:tc>
          <w:tcPr>
            <w:tcW w:w="0" w:type="auto"/>
            <w:shd w:val="clear" w:color="auto" w:fill="auto"/>
            <w:vAlign w:val="bottom"/>
          </w:tcPr>
          <w:p w14:paraId="74DD860A" w14:textId="77777777" w:rsidR="00584EC1" w:rsidRDefault="00584EC1">
            <w:pPr>
              <w:rPr>
                <w:rFonts w:ascii="宋体"/>
                <w:vanish/>
              </w:rPr>
            </w:pPr>
          </w:p>
        </w:tc>
        <w:tc>
          <w:tcPr>
            <w:tcW w:w="0" w:type="auto"/>
            <w:gridSpan w:val="3"/>
            <w:shd w:val="clear" w:color="auto" w:fill="auto"/>
            <w:vAlign w:val="bottom"/>
          </w:tcPr>
          <w:p w14:paraId="74DD860B" w14:textId="77777777" w:rsidR="00584EC1" w:rsidRDefault="00584EC1">
            <w:pPr>
              <w:rPr>
                <w:rFonts w:ascii="宋体"/>
                <w:vanish/>
              </w:rPr>
            </w:pPr>
          </w:p>
        </w:tc>
        <w:tc>
          <w:tcPr>
            <w:tcW w:w="0" w:type="auto"/>
            <w:gridSpan w:val="3"/>
            <w:shd w:val="clear" w:color="auto" w:fill="auto"/>
            <w:vAlign w:val="bottom"/>
          </w:tcPr>
          <w:p w14:paraId="74DD860C" w14:textId="77777777" w:rsidR="00584EC1" w:rsidRDefault="00584EC1">
            <w:pPr>
              <w:rPr>
                <w:rFonts w:ascii="宋体"/>
                <w:vanish/>
              </w:rPr>
            </w:pPr>
          </w:p>
        </w:tc>
      </w:tr>
      <w:tr w:rsidR="00584EC1" w14:paraId="74DD8616" w14:textId="77777777">
        <w:trPr>
          <w:hidden/>
        </w:trPr>
        <w:tc>
          <w:tcPr>
            <w:tcW w:w="0" w:type="auto"/>
            <w:gridSpan w:val="3"/>
            <w:shd w:val="clear" w:color="auto" w:fill="auto"/>
            <w:vAlign w:val="bottom"/>
          </w:tcPr>
          <w:p w14:paraId="74DD860E" w14:textId="77777777" w:rsidR="00584EC1" w:rsidRDefault="00584EC1">
            <w:pPr>
              <w:rPr>
                <w:rFonts w:ascii="宋体"/>
                <w:vanish/>
              </w:rPr>
            </w:pPr>
          </w:p>
        </w:tc>
        <w:tc>
          <w:tcPr>
            <w:tcW w:w="0" w:type="auto"/>
            <w:gridSpan w:val="3"/>
            <w:shd w:val="clear" w:color="auto" w:fill="auto"/>
            <w:vAlign w:val="bottom"/>
          </w:tcPr>
          <w:p w14:paraId="74DD860F" w14:textId="77777777" w:rsidR="00584EC1" w:rsidRDefault="00584EC1">
            <w:pPr>
              <w:rPr>
                <w:rFonts w:ascii="宋体"/>
                <w:vanish/>
              </w:rPr>
            </w:pPr>
          </w:p>
        </w:tc>
        <w:tc>
          <w:tcPr>
            <w:tcW w:w="0" w:type="auto"/>
            <w:gridSpan w:val="3"/>
            <w:shd w:val="clear" w:color="auto" w:fill="auto"/>
            <w:vAlign w:val="bottom"/>
          </w:tcPr>
          <w:p w14:paraId="74DD8610" w14:textId="77777777" w:rsidR="00584EC1" w:rsidRDefault="00584EC1">
            <w:pPr>
              <w:rPr>
                <w:rFonts w:ascii="宋体"/>
                <w:vanish/>
              </w:rPr>
            </w:pPr>
          </w:p>
        </w:tc>
        <w:tc>
          <w:tcPr>
            <w:tcW w:w="0" w:type="auto"/>
            <w:gridSpan w:val="3"/>
            <w:shd w:val="clear" w:color="auto" w:fill="auto"/>
            <w:vAlign w:val="bottom"/>
          </w:tcPr>
          <w:p w14:paraId="74DD8611" w14:textId="77777777" w:rsidR="00584EC1" w:rsidRDefault="00584EC1">
            <w:pPr>
              <w:rPr>
                <w:rFonts w:ascii="宋体"/>
                <w:vanish/>
              </w:rPr>
            </w:pPr>
          </w:p>
        </w:tc>
        <w:tc>
          <w:tcPr>
            <w:tcW w:w="0" w:type="auto"/>
            <w:shd w:val="clear" w:color="auto" w:fill="auto"/>
            <w:vAlign w:val="bottom"/>
          </w:tcPr>
          <w:p w14:paraId="74DD8612" w14:textId="77777777" w:rsidR="00584EC1" w:rsidRDefault="00584EC1">
            <w:pPr>
              <w:rPr>
                <w:rFonts w:ascii="宋体"/>
                <w:vanish/>
              </w:rPr>
            </w:pPr>
          </w:p>
        </w:tc>
        <w:tc>
          <w:tcPr>
            <w:tcW w:w="0" w:type="auto"/>
            <w:shd w:val="clear" w:color="auto" w:fill="auto"/>
            <w:vAlign w:val="bottom"/>
          </w:tcPr>
          <w:p w14:paraId="74DD8613" w14:textId="77777777" w:rsidR="00584EC1" w:rsidRDefault="00584EC1">
            <w:pPr>
              <w:rPr>
                <w:rFonts w:ascii="宋体"/>
                <w:vanish/>
              </w:rPr>
            </w:pPr>
          </w:p>
        </w:tc>
        <w:tc>
          <w:tcPr>
            <w:tcW w:w="0" w:type="auto"/>
            <w:gridSpan w:val="3"/>
            <w:shd w:val="clear" w:color="auto" w:fill="auto"/>
            <w:vAlign w:val="bottom"/>
          </w:tcPr>
          <w:p w14:paraId="74DD8614" w14:textId="77777777" w:rsidR="00584EC1" w:rsidRDefault="00584EC1">
            <w:pPr>
              <w:rPr>
                <w:rFonts w:ascii="宋体"/>
                <w:vanish/>
              </w:rPr>
            </w:pPr>
          </w:p>
        </w:tc>
        <w:tc>
          <w:tcPr>
            <w:tcW w:w="0" w:type="auto"/>
            <w:gridSpan w:val="3"/>
            <w:shd w:val="clear" w:color="auto" w:fill="auto"/>
            <w:vAlign w:val="bottom"/>
          </w:tcPr>
          <w:p w14:paraId="74DD8615" w14:textId="77777777" w:rsidR="00584EC1" w:rsidRDefault="00584EC1">
            <w:pPr>
              <w:rPr>
                <w:rFonts w:ascii="宋体"/>
                <w:vanish/>
              </w:rPr>
            </w:pPr>
          </w:p>
        </w:tc>
      </w:tr>
      <w:tr w:rsidR="00584EC1" w14:paraId="74DD861F" w14:textId="77777777">
        <w:trPr>
          <w:hidden/>
        </w:trPr>
        <w:tc>
          <w:tcPr>
            <w:tcW w:w="0" w:type="auto"/>
            <w:gridSpan w:val="3"/>
            <w:shd w:val="clear" w:color="auto" w:fill="auto"/>
            <w:vAlign w:val="bottom"/>
          </w:tcPr>
          <w:p w14:paraId="74DD8617" w14:textId="77777777" w:rsidR="00584EC1" w:rsidRDefault="00584EC1">
            <w:pPr>
              <w:rPr>
                <w:rFonts w:ascii="宋体"/>
                <w:vanish/>
              </w:rPr>
            </w:pPr>
          </w:p>
        </w:tc>
        <w:tc>
          <w:tcPr>
            <w:tcW w:w="0" w:type="auto"/>
            <w:gridSpan w:val="3"/>
            <w:shd w:val="clear" w:color="auto" w:fill="auto"/>
            <w:vAlign w:val="bottom"/>
          </w:tcPr>
          <w:p w14:paraId="74DD8618" w14:textId="77777777" w:rsidR="00584EC1" w:rsidRDefault="00584EC1">
            <w:pPr>
              <w:rPr>
                <w:rFonts w:ascii="宋体"/>
                <w:vanish/>
              </w:rPr>
            </w:pPr>
          </w:p>
        </w:tc>
        <w:tc>
          <w:tcPr>
            <w:tcW w:w="0" w:type="auto"/>
            <w:gridSpan w:val="3"/>
            <w:shd w:val="clear" w:color="auto" w:fill="auto"/>
            <w:vAlign w:val="bottom"/>
          </w:tcPr>
          <w:p w14:paraId="74DD8619" w14:textId="77777777" w:rsidR="00584EC1" w:rsidRDefault="00584EC1">
            <w:pPr>
              <w:rPr>
                <w:rFonts w:ascii="宋体"/>
                <w:vanish/>
              </w:rPr>
            </w:pPr>
          </w:p>
        </w:tc>
        <w:tc>
          <w:tcPr>
            <w:tcW w:w="0" w:type="auto"/>
            <w:gridSpan w:val="3"/>
            <w:shd w:val="clear" w:color="auto" w:fill="auto"/>
            <w:vAlign w:val="bottom"/>
          </w:tcPr>
          <w:p w14:paraId="74DD861A" w14:textId="77777777" w:rsidR="00584EC1" w:rsidRDefault="00584EC1">
            <w:pPr>
              <w:rPr>
                <w:rFonts w:ascii="宋体"/>
                <w:vanish/>
              </w:rPr>
            </w:pPr>
          </w:p>
        </w:tc>
        <w:tc>
          <w:tcPr>
            <w:tcW w:w="0" w:type="auto"/>
            <w:shd w:val="clear" w:color="auto" w:fill="auto"/>
            <w:vAlign w:val="bottom"/>
          </w:tcPr>
          <w:p w14:paraId="74DD861B" w14:textId="77777777" w:rsidR="00584EC1" w:rsidRDefault="00584EC1">
            <w:pPr>
              <w:rPr>
                <w:rFonts w:ascii="宋体"/>
                <w:vanish/>
              </w:rPr>
            </w:pPr>
          </w:p>
        </w:tc>
        <w:tc>
          <w:tcPr>
            <w:tcW w:w="0" w:type="auto"/>
            <w:shd w:val="clear" w:color="auto" w:fill="auto"/>
            <w:vAlign w:val="bottom"/>
          </w:tcPr>
          <w:p w14:paraId="74DD861C" w14:textId="77777777" w:rsidR="00584EC1" w:rsidRDefault="00584EC1">
            <w:pPr>
              <w:rPr>
                <w:rFonts w:ascii="宋体"/>
                <w:vanish/>
              </w:rPr>
            </w:pPr>
          </w:p>
        </w:tc>
        <w:tc>
          <w:tcPr>
            <w:tcW w:w="0" w:type="auto"/>
            <w:gridSpan w:val="3"/>
            <w:shd w:val="clear" w:color="auto" w:fill="auto"/>
            <w:vAlign w:val="bottom"/>
          </w:tcPr>
          <w:p w14:paraId="74DD861D" w14:textId="77777777" w:rsidR="00584EC1" w:rsidRDefault="00584EC1">
            <w:pPr>
              <w:rPr>
                <w:rFonts w:ascii="宋体"/>
                <w:vanish/>
              </w:rPr>
            </w:pPr>
          </w:p>
        </w:tc>
        <w:tc>
          <w:tcPr>
            <w:tcW w:w="0" w:type="auto"/>
            <w:gridSpan w:val="3"/>
            <w:shd w:val="clear" w:color="auto" w:fill="auto"/>
            <w:vAlign w:val="bottom"/>
          </w:tcPr>
          <w:p w14:paraId="74DD861E" w14:textId="77777777" w:rsidR="00584EC1" w:rsidRDefault="00584EC1">
            <w:pPr>
              <w:rPr>
                <w:rFonts w:ascii="宋体"/>
                <w:vanish/>
              </w:rPr>
            </w:pPr>
          </w:p>
        </w:tc>
      </w:tr>
      <w:tr w:rsidR="00584EC1" w14:paraId="74DD8628" w14:textId="77777777">
        <w:trPr>
          <w:hidden/>
        </w:trPr>
        <w:tc>
          <w:tcPr>
            <w:tcW w:w="0" w:type="auto"/>
            <w:gridSpan w:val="3"/>
            <w:shd w:val="clear" w:color="auto" w:fill="auto"/>
            <w:vAlign w:val="bottom"/>
          </w:tcPr>
          <w:p w14:paraId="74DD8620" w14:textId="77777777" w:rsidR="00584EC1" w:rsidRDefault="00584EC1">
            <w:pPr>
              <w:rPr>
                <w:rFonts w:ascii="宋体"/>
                <w:vanish/>
              </w:rPr>
            </w:pPr>
          </w:p>
        </w:tc>
        <w:tc>
          <w:tcPr>
            <w:tcW w:w="0" w:type="auto"/>
            <w:gridSpan w:val="3"/>
            <w:shd w:val="clear" w:color="auto" w:fill="auto"/>
            <w:vAlign w:val="bottom"/>
          </w:tcPr>
          <w:p w14:paraId="74DD8621" w14:textId="77777777" w:rsidR="00584EC1" w:rsidRDefault="00584EC1">
            <w:pPr>
              <w:rPr>
                <w:rFonts w:ascii="宋体"/>
                <w:vanish/>
              </w:rPr>
            </w:pPr>
          </w:p>
        </w:tc>
        <w:tc>
          <w:tcPr>
            <w:tcW w:w="0" w:type="auto"/>
            <w:gridSpan w:val="3"/>
            <w:shd w:val="clear" w:color="auto" w:fill="auto"/>
            <w:vAlign w:val="bottom"/>
          </w:tcPr>
          <w:p w14:paraId="74DD8622" w14:textId="77777777" w:rsidR="00584EC1" w:rsidRDefault="00584EC1">
            <w:pPr>
              <w:rPr>
                <w:rFonts w:ascii="宋体"/>
                <w:vanish/>
              </w:rPr>
            </w:pPr>
          </w:p>
        </w:tc>
        <w:tc>
          <w:tcPr>
            <w:tcW w:w="0" w:type="auto"/>
            <w:gridSpan w:val="3"/>
            <w:shd w:val="clear" w:color="auto" w:fill="auto"/>
            <w:vAlign w:val="bottom"/>
          </w:tcPr>
          <w:p w14:paraId="74DD8623" w14:textId="77777777" w:rsidR="00584EC1" w:rsidRDefault="00584EC1">
            <w:pPr>
              <w:rPr>
                <w:rFonts w:ascii="宋体"/>
                <w:vanish/>
              </w:rPr>
            </w:pPr>
          </w:p>
        </w:tc>
        <w:tc>
          <w:tcPr>
            <w:tcW w:w="0" w:type="auto"/>
            <w:shd w:val="clear" w:color="auto" w:fill="auto"/>
            <w:vAlign w:val="bottom"/>
          </w:tcPr>
          <w:p w14:paraId="74DD8624" w14:textId="77777777" w:rsidR="00584EC1" w:rsidRDefault="00584EC1">
            <w:pPr>
              <w:rPr>
                <w:rFonts w:ascii="宋体"/>
                <w:vanish/>
              </w:rPr>
            </w:pPr>
          </w:p>
        </w:tc>
        <w:tc>
          <w:tcPr>
            <w:tcW w:w="0" w:type="auto"/>
            <w:shd w:val="clear" w:color="auto" w:fill="auto"/>
            <w:vAlign w:val="bottom"/>
          </w:tcPr>
          <w:p w14:paraId="74DD8625" w14:textId="77777777" w:rsidR="00584EC1" w:rsidRDefault="00584EC1">
            <w:pPr>
              <w:rPr>
                <w:rFonts w:ascii="宋体"/>
                <w:vanish/>
              </w:rPr>
            </w:pPr>
          </w:p>
        </w:tc>
        <w:tc>
          <w:tcPr>
            <w:tcW w:w="0" w:type="auto"/>
            <w:gridSpan w:val="3"/>
            <w:shd w:val="clear" w:color="auto" w:fill="auto"/>
            <w:vAlign w:val="bottom"/>
          </w:tcPr>
          <w:p w14:paraId="74DD8626" w14:textId="77777777" w:rsidR="00584EC1" w:rsidRDefault="00584EC1">
            <w:pPr>
              <w:rPr>
                <w:rFonts w:ascii="宋体"/>
                <w:vanish/>
              </w:rPr>
            </w:pPr>
          </w:p>
        </w:tc>
        <w:tc>
          <w:tcPr>
            <w:tcW w:w="0" w:type="auto"/>
            <w:gridSpan w:val="3"/>
            <w:shd w:val="clear" w:color="auto" w:fill="auto"/>
            <w:vAlign w:val="bottom"/>
          </w:tcPr>
          <w:p w14:paraId="74DD8627" w14:textId="77777777" w:rsidR="00584EC1" w:rsidRDefault="00584EC1">
            <w:pPr>
              <w:rPr>
                <w:rFonts w:ascii="宋体"/>
                <w:vanish/>
              </w:rPr>
            </w:pPr>
          </w:p>
        </w:tc>
      </w:tr>
      <w:tr w:rsidR="00584EC1" w14:paraId="74DD8631" w14:textId="77777777">
        <w:trPr>
          <w:hidden/>
        </w:trPr>
        <w:tc>
          <w:tcPr>
            <w:tcW w:w="0" w:type="auto"/>
            <w:gridSpan w:val="3"/>
            <w:shd w:val="clear" w:color="auto" w:fill="auto"/>
            <w:vAlign w:val="bottom"/>
          </w:tcPr>
          <w:p w14:paraId="74DD8629" w14:textId="77777777" w:rsidR="00584EC1" w:rsidRDefault="00584EC1">
            <w:pPr>
              <w:rPr>
                <w:rFonts w:ascii="宋体"/>
                <w:vanish/>
              </w:rPr>
            </w:pPr>
          </w:p>
        </w:tc>
        <w:tc>
          <w:tcPr>
            <w:tcW w:w="0" w:type="auto"/>
            <w:gridSpan w:val="3"/>
            <w:shd w:val="clear" w:color="auto" w:fill="auto"/>
            <w:vAlign w:val="bottom"/>
          </w:tcPr>
          <w:p w14:paraId="74DD862A" w14:textId="77777777" w:rsidR="00584EC1" w:rsidRDefault="00584EC1">
            <w:pPr>
              <w:rPr>
                <w:rFonts w:ascii="宋体"/>
                <w:vanish/>
              </w:rPr>
            </w:pPr>
          </w:p>
        </w:tc>
        <w:tc>
          <w:tcPr>
            <w:tcW w:w="0" w:type="auto"/>
            <w:gridSpan w:val="3"/>
            <w:shd w:val="clear" w:color="auto" w:fill="auto"/>
            <w:vAlign w:val="bottom"/>
          </w:tcPr>
          <w:p w14:paraId="74DD862B" w14:textId="77777777" w:rsidR="00584EC1" w:rsidRDefault="00584EC1">
            <w:pPr>
              <w:rPr>
                <w:rFonts w:ascii="宋体"/>
                <w:vanish/>
              </w:rPr>
            </w:pPr>
          </w:p>
        </w:tc>
        <w:tc>
          <w:tcPr>
            <w:tcW w:w="0" w:type="auto"/>
            <w:gridSpan w:val="3"/>
            <w:shd w:val="clear" w:color="auto" w:fill="auto"/>
            <w:vAlign w:val="bottom"/>
          </w:tcPr>
          <w:p w14:paraId="74DD862C" w14:textId="77777777" w:rsidR="00584EC1" w:rsidRDefault="00584EC1">
            <w:pPr>
              <w:rPr>
                <w:rFonts w:ascii="宋体"/>
                <w:vanish/>
              </w:rPr>
            </w:pPr>
          </w:p>
        </w:tc>
        <w:tc>
          <w:tcPr>
            <w:tcW w:w="0" w:type="auto"/>
            <w:shd w:val="clear" w:color="auto" w:fill="auto"/>
            <w:vAlign w:val="bottom"/>
          </w:tcPr>
          <w:p w14:paraId="74DD862D" w14:textId="77777777" w:rsidR="00584EC1" w:rsidRDefault="00584EC1">
            <w:pPr>
              <w:rPr>
                <w:rFonts w:ascii="宋体"/>
                <w:vanish/>
              </w:rPr>
            </w:pPr>
          </w:p>
        </w:tc>
        <w:tc>
          <w:tcPr>
            <w:tcW w:w="0" w:type="auto"/>
            <w:shd w:val="clear" w:color="auto" w:fill="auto"/>
            <w:vAlign w:val="bottom"/>
          </w:tcPr>
          <w:p w14:paraId="74DD862E" w14:textId="77777777" w:rsidR="00584EC1" w:rsidRDefault="00584EC1">
            <w:pPr>
              <w:rPr>
                <w:rFonts w:ascii="宋体"/>
                <w:vanish/>
              </w:rPr>
            </w:pPr>
          </w:p>
        </w:tc>
        <w:tc>
          <w:tcPr>
            <w:tcW w:w="0" w:type="auto"/>
            <w:gridSpan w:val="3"/>
            <w:shd w:val="clear" w:color="auto" w:fill="auto"/>
            <w:vAlign w:val="bottom"/>
          </w:tcPr>
          <w:p w14:paraId="74DD862F" w14:textId="77777777" w:rsidR="00584EC1" w:rsidRDefault="00584EC1">
            <w:pPr>
              <w:rPr>
                <w:rFonts w:ascii="宋体"/>
                <w:vanish/>
              </w:rPr>
            </w:pPr>
          </w:p>
        </w:tc>
        <w:tc>
          <w:tcPr>
            <w:tcW w:w="0" w:type="auto"/>
            <w:gridSpan w:val="3"/>
            <w:shd w:val="clear" w:color="auto" w:fill="auto"/>
            <w:vAlign w:val="bottom"/>
          </w:tcPr>
          <w:p w14:paraId="74DD8630" w14:textId="77777777" w:rsidR="00584EC1" w:rsidRDefault="00584EC1">
            <w:pPr>
              <w:rPr>
                <w:rFonts w:ascii="宋体"/>
                <w:vanish/>
              </w:rPr>
            </w:pPr>
          </w:p>
        </w:tc>
      </w:tr>
      <w:tr w:rsidR="00584EC1" w14:paraId="74DD863A" w14:textId="77777777">
        <w:trPr>
          <w:hidden/>
        </w:trPr>
        <w:tc>
          <w:tcPr>
            <w:tcW w:w="0" w:type="auto"/>
            <w:gridSpan w:val="3"/>
            <w:shd w:val="clear" w:color="auto" w:fill="auto"/>
            <w:vAlign w:val="bottom"/>
          </w:tcPr>
          <w:p w14:paraId="74DD8632" w14:textId="77777777" w:rsidR="00584EC1" w:rsidRDefault="00584EC1">
            <w:pPr>
              <w:rPr>
                <w:rFonts w:ascii="宋体"/>
                <w:vanish/>
              </w:rPr>
            </w:pPr>
          </w:p>
        </w:tc>
        <w:tc>
          <w:tcPr>
            <w:tcW w:w="0" w:type="auto"/>
            <w:gridSpan w:val="3"/>
            <w:shd w:val="clear" w:color="auto" w:fill="auto"/>
            <w:vAlign w:val="bottom"/>
          </w:tcPr>
          <w:p w14:paraId="74DD8633" w14:textId="77777777" w:rsidR="00584EC1" w:rsidRDefault="00584EC1">
            <w:pPr>
              <w:rPr>
                <w:rFonts w:ascii="宋体"/>
                <w:vanish/>
              </w:rPr>
            </w:pPr>
          </w:p>
        </w:tc>
        <w:tc>
          <w:tcPr>
            <w:tcW w:w="0" w:type="auto"/>
            <w:gridSpan w:val="3"/>
            <w:shd w:val="clear" w:color="auto" w:fill="auto"/>
            <w:vAlign w:val="bottom"/>
          </w:tcPr>
          <w:p w14:paraId="74DD8634" w14:textId="77777777" w:rsidR="00584EC1" w:rsidRDefault="00584EC1">
            <w:pPr>
              <w:rPr>
                <w:rFonts w:ascii="宋体"/>
                <w:vanish/>
              </w:rPr>
            </w:pPr>
          </w:p>
        </w:tc>
        <w:tc>
          <w:tcPr>
            <w:tcW w:w="0" w:type="auto"/>
            <w:gridSpan w:val="3"/>
            <w:shd w:val="clear" w:color="auto" w:fill="auto"/>
            <w:vAlign w:val="bottom"/>
          </w:tcPr>
          <w:p w14:paraId="74DD8635" w14:textId="77777777" w:rsidR="00584EC1" w:rsidRDefault="00584EC1">
            <w:pPr>
              <w:rPr>
                <w:rFonts w:ascii="宋体"/>
                <w:vanish/>
              </w:rPr>
            </w:pPr>
          </w:p>
        </w:tc>
        <w:tc>
          <w:tcPr>
            <w:tcW w:w="0" w:type="auto"/>
            <w:shd w:val="clear" w:color="auto" w:fill="auto"/>
            <w:vAlign w:val="bottom"/>
          </w:tcPr>
          <w:p w14:paraId="74DD8636" w14:textId="77777777" w:rsidR="00584EC1" w:rsidRDefault="00584EC1">
            <w:pPr>
              <w:rPr>
                <w:rFonts w:ascii="宋体"/>
                <w:vanish/>
              </w:rPr>
            </w:pPr>
          </w:p>
        </w:tc>
        <w:tc>
          <w:tcPr>
            <w:tcW w:w="0" w:type="auto"/>
            <w:shd w:val="clear" w:color="auto" w:fill="auto"/>
            <w:vAlign w:val="bottom"/>
          </w:tcPr>
          <w:p w14:paraId="74DD8637" w14:textId="77777777" w:rsidR="00584EC1" w:rsidRDefault="00584EC1">
            <w:pPr>
              <w:rPr>
                <w:rFonts w:ascii="宋体"/>
                <w:vanish/>
              </w:rPr>
            </w:pPr>
          </w:p>
        </w:tc>
        <w:tc>
          <w:tcPr>
            <w:tcW w:w="0" w:type="auto"/>
            <w:gridSpan w:val="3"/>
            <w:shd w:val="clear" w:color="auto" w:fill="auto"/>
            <w:vAlign w:val="bottom"/>
          </w:tcPr>
          <w:p w14:paraId="74DD8638" w14:textId="77777777" w:rsidR="00584EC1" w:rsidRDefault="00584EC1">
            <w:pPr>
              <w:rPr>
                <w:rFonts w:ascii="宋体"/>
                <w:vanish/>
              </w:rPr>
            </w:pPr>
          </w:p>
        </w:tc>
        <w:tc>
          <w:tcPr>
            <w:tcW w:w="0" w:type="auto"/>
            <w:gridSpan w:val="3"/>
            <w:shd w:val="clear" w:color="auto" w:fill="auto"/>
            <w:vAlign w:val="bottom"/>
          </w:tcPr>
          <w:p w14:paraId="74DD8639" w14:textId="77777777" w:rsidR="00584EC1" w:rsidRDefault="00584EC1">
            <w:pPr>
              <w:rPr>
                <w:rFonts w:ascii="宋体"/>
                <w:vanish/>
              </w:rPr>
            </w:pPr>
          </w:p>
        </w:tc>
      </w:tr>
      <w:tr w:rsidR="00584EC1" w14:paraId="74DD8643" w14:textId="77777777">
        <w:trPr>
          <w:hidden/>
        </w:trPr>
        <w:tc>
          <w:tcPr>
            <w:tcW w:w="0" w:type="auto"/>
            <w:gridSpan w:val="3"/>
            <w:shd w:val="clear" w:color="auto" w:fill="auto"/>
            <w:vAlign w:val="bottom"/>
          </w:tcPr>
          <w:p w14:paraId="74DD863B" w14:textId="77777777" w:rsidR="00584EC1" w:rsidRDefault="00584EC1">
            <w:pPr>
              <w:rPr>
                <w:rFonts w:ascii="宋体"/>
                <w:vanish/>
              </w:rPr>
            </w:pPr>
          </w:p>
        </w:tc>
        <w:tc>
          <w:tcPr>
            <w:tcW w:w="0" w:type="auto"/>
            <w:gridSpan w:val="3"/>
            <w:shd w:val="clear" w:color="auto" w:fill="auto"/>
            <w:vAlign w:val="bottom"/>
          </w:tcPr>
          <w:p w14:paraId="74DD863C" w14:textId="77777777" w:rsidR="00584EC1" w:rsidRDefault="00584EC1">
            <w:pPr>
              <w:rPr>
                <w:rFonts w:ascii="宋体"/>
                <w:vanish/>
              </w:rPr>
            </w:pPr>
          </w:p>
        </w:tc>
        <w:tc>
          <w:tcPr>
            <w:tcW w:w="0" w:type="auto"/>
            <w:gridSpan w:val="3"/>
            <w:shd w:val="clear" w:color="auto" w:fill="auto"/>
            <w:vAlign w:val="bottom"/>
          </w:tcPr>
          <w:p w14:paraId="74DD863D" w14:textId="77777777" w:rsidR="00584EC1" w:rsidRDefault="00584EC1">
            <w:pPr>
              <w:rPr>
                <w:rFonts w:ascii="宋体"/>
                <w:vanish/>
              </w:rPr>
            </w:pPr>
          </w:p>
        </w:tc>
        <w:tc>
          <w:tcPr>
            <w:tcW w:w="0" w:type="auto"/>
            <w:gridSpan w:val="3"/>
            <w:shd w:val="clear" w:color="auto" w:fill="auto"/>
            <w:vAlign w:val="bottom"/>
          </w:tcPr>
          <w:p w14:paraId="74DD863E" w14:textId="77777777" w:rsidR="00584EC1" w:rsidRDefault="00584EC1">
            <w:pPr>
              <w:rPr>
                <w:rFonts w:ascii="宋体"/>
                <w:vanish/>
              </w:rPr>
            </w:pPr>
          </w:p>
        </w:tc>
        <w:tc>
          <w:tcPr>
            <w:tcW w:w="0" w:type="auto"/>
            <w:shd w:val="clear" w:color="auto" w:fill="auto"/>
            <w:vAlign w:val="bottom"/>
          </w:tcPr>
          <w:p w14:paraId="74DD863F" w14:textId="77777777" w:rsidR="00584EC1" w:rsidRDefault="00584EC1">
            <w:pPr>
              <w:rPr>
                <w:rFonts w:ascii="宋体"/>
                <w:vanish/>
              </w:rPr>
            </w:pPr>
          </w:p>
        </w:tc>
        <w:tc>
          <w:tcPr>
            <w:tcW w:w="0" w:type="auto"/>
            <w:shd w:val="clear" w:color="auto" w:fill="auto"/>
            <w:vAlign w:val="bottom"/>
          </w:tcPr>
          <w:p w14:paraId="74DD8640" w14:textId="77777777" w:rsidR="00584EC1" w:rsidRDefault="00584EC1">
            <w:pPr>
              <w:rPr>
                <w:rFonts w:ascii="宋体"/>
                <w:vanish/>
              </w:rPr>
            </w:pPr>
          </w:p>
        </w:tc>
        <w:tc>
          <w:tcPr>
            <w:tcW w:w="0" w:type="auto"/>
            <w:gridSpan w:val="3"/>
            <w:shd w:val="clear" w:color="auto" w:fill="auto"/>
            <w:vAlign w:val="bottom"/>
          </w:tcPr>
          <w:p w14:paraId="74DD8641" w14:textId="77777777" w:rsidR="00584EC1" w:rsidRDefault="00584EC1">
            <w:pPr>
              <w:rPr>
                <w:rFonts w:ascii="宋体"/>
                <w:vanish/>
              </w:rPr>
            </w:pPr>
          </w:p>
        </w:tc>
        <w:tc>
          <w:tcPr>
            <w:tcW w:w="0" w:type="auto"/>
            <w:gridSpan w:val="3"/>
            <w:shd w:val="clear" w:color="auto" w:fill="auto"/>
            <w:vAlign w:val="bottom"/>
          </w:tcPr>
          <w:p w14:paraId="74DD8642" w14:textId="77777777" w:rsidR="00584EC1" w:rsidRDefault="00584EC1">
            <w:pPr>
              <w:rPr>
                <w:rFonts w:ascii="宋体"/>
                <w:vanish/>
              </w:rPr>
            </w:pPr>
          </w:p>
        </w:tc>
      </w:tr>
      <w:tr w:rsidR="00584EC1" w14:paraId="74DD864C" w14:textId="77777777">
        <w:trPr>
          <w:hidden/>
        </w:trPr>
        <w:tc>
          <w:tcPr>
            <w:tcW w:w="0" w:type="auto"/>
            <w:gridSpan w:val="3"/>
            <w:shd w:val="clear" w:color="auto" w:fill="auto"/>
            <w:vAlign w:val="bottom"/>
          </w:tcPr>
          <w:p w14:paraId="74DD8644" w14:textId="77777777" w:rsidR="00584EC1" w:rsidRDefault="00584EC1">
            <w:pPr>
              <w:rPr>
                <w:rFonts w:ascii="宋体"/>
                <w:vanish/>
              </w:rPr>
            </w:pPr>
          </w:p>
        </w:tc>
        <w:tc>
          <w:tcPr>
            <w:tcW w:w="0" w:type="auto"/>
            <w:gridSpan w:val="3"/>
            <w:shd w:val="clear" w:color="auto" w:fill="auto"/>
            <w:vAlign w:val="bottom"/>
          </w:tcPr>
          <w:p w14:paraId="74DD8645" w14:textId="77777777" w:rsidR="00584EC1" w:rsidRDefault="00584EC1">
            <w:pPr>
              <w:rPr>
                <w:rFonts w:ascii="宋体"/>
                <w:vanish/>
              </w:rPr>
            </w:pPr>
          </w:p>
        </w:tc>
        <w:tc>
          <w:tcPr>
            <w:tcW w:w="0" w:type="auto"/>
            <w:gridSpan w:val="3"/>
            <w:shd w:val="clear" w:color="auto" w:fill="auto"/>
            <w:vAlign w:val="bottom"/>
          </w:tcPr>
          <w:p w14:paraId="74DD8646" w14:textId="77777777" w:rsidR="00584EC1" w:rsidRDefault="00584EC1">
            <w:pPr>
              <w:rPr>
                <w:rFonts w:ascii="宋体"/>
                <w:vanish/>
              </w:rPr>
            </w:pPr>
          </w:p>
        </w:tc>
        <w:tc>
          <w:tcPr>
            <w:tcW w:w="0" w:type="auto"/>
            <w:gridSpan w:val="3"/>
            <w:shd w:val="clear" w:color="auto" w:fill="auto"/>
            <w:vAlign w:val="bottom"/>
          </w:tcPr>
          <w:p w14:paraId="74DD8647" w14:textId="77777777" w:rsidR="00584EC1" w:rsidRDefault="00584EC1">
            <w:pPr>
              <w:rPr>
                <w:rFonts w:ascii="宋体"/>
                <w:vanish/>
              </w:rPr>
            </w:pPr>
          </w:p>
        </w:tc>
        <w:tc>
          <w:tcPr>
            <w:tcW w:w="0" w:type="auto"/>
            <w:shd w:val="clear" w:color="auto" w:fill="auto"/>
            <w:vAlign w:val="bottom"/>
          </w:tcPr>
          <w:p w14:paraId="74DD8648" w14:textId="77777777" w:rsidR="00584EC1" w:rsidRDefault="00584EC1">
            <w:pPr>
              <w:rPr>
                <w:rFonts w:ascii="宋体"/>
                <w:vanish/>
              </w:rPr>
            </w:pPr>
          </w:p>
        </w:tc>
        <w:tc>
          <w:tcPr>
            <w:tcW w:w="0" w:type="auto"/>
            <w:shd w:val="clear" w:color="auto" w:fill="auto"/>
            <w:vAlign w:val="bottom"/>
          </w:tcPr>
          <w:p w14:paraId="74DD8649" w14:textId="77777777" w:rsidR="00584EC1" w:rsidRDefault="00584EC1">
            <w:pPr>
              <w:rPr>
                <w:rFonts w:ascii="宋体"/>
                <w:vanish/>
              </w:rPr>
            </w:pPr>
          </w:p>
        </w:tc>
        <w:tc>
          <w:tcPr>
            <w:tcW w:w="0" w:type="auto"/>
            <w:gridSpan w:val="3"/>
            <w:shd w:val="clear" w:color="auto" w:fill="auto"/>
            <w:vAlign w:val="bottom"/>
          </w:tcPr>
          <w:p w14:paraId="74DD864A" w14:textId="77777777" w:rsidR="00584EC1" w:rsidRDefault="00584EC1">
            <w:pPr>
              <w:rPr>
                <w:rFonts w:ascii="宋体"/>
                <w:vanish/>
              </w:rPr>
            </w:pPr>
          </w:p>
        </w:tc>
        <w:tc>
          <w:tcPr>
            <w:tcW w:w="0" w:type="auto"/>
            <w:gridSpan w:val="3"/>
            <w:shd w:val="clear" w:color="auto" w:fill="auto"/>
            <w:vAlign w:val="bottom"/>
          </w:tcPr>
          <w:p w14:paraId="74DD864B" w14:textId="77777777" w:rsidR="00584EC1" w:rsidRDefault="00584EC1">
            <w:pPr>
              <w:rPr>
                <w:rFonts w:ascii="宋体"/>
                <w:vanish/>
              </w:rPr>
            </w:pPr>
          </w:p>
        </w:tc>
      </w:tr>
      <w:tr w:rsidR="00584EC1" w14:paraId="74DD8655" w14:textId="77777777">
        <w:trPr>
          <w:hidden/>
        </w:trPr>
        <w:tc>
          <w:tcPr>
            <w:tcW w:w="0" w:type="auto"/>
            <w:gridSpan w:val="3"/>
            <w:shd w:val="clear" w:color="auto" w:fill="auto"/>
            <w:vAlign w:val="bottom"/>
          </w:tcPr>
          <w:p w14:paraId="74DD864D" w14:textId="77777777" w:rsidR="00584EC1" w:rsidRDefault="00584EC1">
            <w:pPr>
              <w:rPr>
                <w:rFonts w:ascii="宋体"/>
                <w:vanish/>
              </w:rPr>
            </w:pPr>
          </w:p>
        </w:tc>
        <w:tc>
          <w:tcPr>
            <w:tcW w:w="0" w:type="auto"/>
            <w:gridSpan w:val="3"/>
            <w:shd w:val="clear" w:color="auto" w:fill="auto"/>
            <w:vAlign w:val="bottom"/>
          </w:tcPr>
          <w:p w14:paraId="74DD864E" w14:textId="77777777" w:rsidR="00584EC1" w:rsidRDefault="00584EC1">
            <w:pPr>
              <w:rPr>
                <w:rFonts w:ascii="宋体"/>
                <w:vanish/>
              </w:rPr>
            </w:pPr>
          </w:p>
        </w:tc>
        <w:tc>
          <w:tcPr>
            <w:tcW w:w="0" w:type="auto"/>
            <w:gridSpan w:val="3"/>
            <w:shd w:val="clear" w:color="auto" w:fill="auto"/>
            <w:vAlign w:val="bottom"/>
          </w:tcPr>
          <w:p w14:paraId="74DD864F" w14:textId="77777777" w:rsidR="00584EC1" w:rsidRDefault="00584EC1">
            <w:pPr>
              <w:rPr>
                <w:rFonts w:ascii="宋体"/>
                <w:vanish/>
              </w:rPr>
            </w:pPr>
          </w:p>
        </w:tc>
        <w:tc>
          <w:tcPr>
            <w:tcW w:w="0" w:type="auto"/>
            <w:gridSpan w:val="3"/>
            <w:shd w:val="clear" w:color="auto" w:fill="auto"/>
            <w:vAlign w:val="bottom"/>
          </w:tcPr>
          <w:p w14:paraId="74DD8650" w14:textId="77777777" w:rsidR="00584EC1" w:rsidRDefault="00584EC1">
            <w:pPr>
              <w:rPr>
                <w:rFonts w:ascii="宋体"/>
                <w:vanish/>
              </w:rPr>
            </w:pPr>
          </w:p>
        </w:tc>
        <w:tc>
          <w:tcPr>
            <w:tcW w:w="0" w:type="auto"/>
            <w:shd w:val="clear" w:color="auto" w:fill="auto"/>
            <w:vAlign w:val="bottom"/>
          </w:tcPr>
          <w:p w14:paraId="74DD8651" w14:textId="77777777" w:rsidR="00584EC1" w:rsidRDefault="00584EC1">
            <w:pPr>
              <w:rPr>
                <w:rFonts w:ascii="宋体"/>
                <w:vanish/>
              </w:rPr>
            </w:pPr>
          </w:p>
        </w:tc>
        <w:tc>
          <w:tcPr>
            <w:tcW w:w="0" w:type="auto"/>
            <w:shd w:val="clear" w:color="auto" w:fill="auto"/>
            <w:vAlign w:val="bottom"/>
          </w:tcPr>
          <w:p w14:paraId="74DD8652" w14:textId="77777777" w:rsidR="00584EC1" w:rsidRDefault="00584EC1">
            <w:pPr>
              <w:rPr>
                <w:rFonts w:ascii="宋体"/>
                <w:vanish/>
              </w:rPr>
            </w:pPr>
          </w:p>
        </w:tc>
        <w:tc>
          <w:tcPr>
            <w:tcW w:w="0" w:type="auto"/>
            <w:gridSpan w:val="3"/>
            <w:shd w:val="clear" w:color="auto" w:fill="auto"/>
            <w:vAlign w:val="bottom"/>
          </w:tcPr>
          <w:p w14:paraId="74DD8653" w14:textId="77777777" w:rsidR="00584EC1" w:rsidRDefault="00584EC1">
            <w:pPr>
              <w:rPr>
                <w:rFonts w:ascii="宋体"/>
                <w:vanish/>
              </w:rPr>
            </w:pPr>
          </w:p>
        </w:tc>
        <w:tc>
          <w:tcPr>
            <w:tcW w:w="0" w:type="auto"/>
            <w:gridSpan w:val="3"/>
            <w:shd w:val="clear" w:color="auto" w:fill="auto"/>
            <w:vAlign w:val="bottom"/>
          </w:tcPr>
          <w:p w14:paraId="74DD8654" w14:textId="77777777" w:rsidR="00584EC1" w:rsidRDefault="00584EC1">
            <w:pPr>
              <w:rPr>
                <w:rFonts w:ascii="宋体"/>
                <w:vanish/>
              </w:rPr>
            </w:pPr>
          </w:p>
        </w:tc>
      </w:tr>
      <w:tr w:rsidR="00584EC1" w14:paraId="74DD865E" w14:textId="77777777">
        <w:trPr>
          <w:hidden/>
        </w:trPr>
        <w:tc>
          <w:tcPr>
            <w:tcW w:w="0" w:type="auto"/>
            <w:gridSpan w:val="3"/>
            <w:shd w:val="clear" w:color="auto" w:fill="auto"/>
            <w:vAlign w:val="bottom"/>
          </w:tcPr>
          <w:p w14:paraId="74DD8656" w14:textId="77777777" w:rsidR="00584EC1" w:rsidRDefault="00584EC1">
            <w:pPr>
              <w:rPr>
                <w:rFonts w:ascii="宋体"/>
                <w:vanish/>
              </w:rPr>
            </w:pPr>
          </w:p>
        </w:tc>
        <w:tc>
          <w:tcPr>
            <w:tcW w:w="0" w:type="auto"/>
            <w:gridSpan w:val="3"/>
            <w:shd w:val="clear" w:color="auto" w:fill="auto"/>
            <w:vAlign w:val="bottom"/>
          </w:tcPr>
          <w:p w14:paraId="74DD8657" w14:textId="77777777" w:rsidR="00584EC1" w:rsidRDefault="00584EC1">
            <w:pPr>
              <w:rPr>
                <w:rFonts w:ascii="宋体"/>
                <w:vanish/>
              </w:rPr>
            </w:pPr>
          </w:p>
        </w:tc>
        <w:tc>
          <w:tcPr>
            <w:tcW w:w="0" w:type="auto"/>
            <w:gridSpan w:val="3"/>
            <w:shd w:val="clear" w:color="auto" w:fill="auto"/>
            <w:vAlign w:val="bottom"/>
          </w:tcPr>
          <w:p w14:paraId="74DD8658" w14:textId="77777777" w:rsidR="00584EC1" w:rsidRDefault="00584EC1">
            <w:pPr>
              <w:rPr>
                <w:rFonts w:ascii="宋体"/>
                <w:vanish/>
              </w:rPr>
            </w:pPr>
          </w:p>
        </w:tc>
        <w:tc>
          <w:tcPr>
            <w:tcW w:w="0" w:type="auto"/>
            <w:gridSpan w:val="3"/>
            <w:shd w:val="clear" w:color="auto" w:fill="auto"/>
            <w:vAlign w:val="bottom"/>
          </w:tcPr>
          <w:p w14:paraId="74DD8659" w14:textId="77777777" w:rsidR="00584EC1" w:rsidRDefault="00584EC1">
            <w:pPr>
              <w:rPr>
                <w:rFonts w:ascii="宋体"/>
                <w:vanish/>
              </w:rPr>
            </w:pPr>
          </w:p>
        </w:tc>
        <w:tc>
          <w:tcPr>
            <w:tcW w:w="0" w:type="auto"/>
            <w:shd w:val="clear" w:color="auto" w:fill="auto"/>
            <w:vAlign w:val="bottom"/>
          </w:tcPr>
          <w:p w14:paraId="74DD865A" w14:textId="77777777" w:rsidR="00584EC1" w:rsidRDefault="00584EC1">
            <w:pPr>
              <w:rPr>
                <w:rFonts w:ascii="宋体"/>
                <w:vanish/>
              </w:rPr>
            </w:pPr>
          </w:p>
        </w:tc>
        <w:tc>
          <w:tcPr>
            <w:tcW w:w="0" w:type="auto"/>
            <w:shd w:val="clear" w:color="auto" w:fill="auto"/>
            <w:vAlign w:val="bottom"/>
          </w:tcPr>
          <w:p w14:paraId="74DD865B" w14:textId="77777777" w:rsidR="00584EC1" w:rsidRDefault="00584EC1">
            <w:pPr>
              <w:rPr>
                <w:rFonts w:ascii="宋体"/>
                <w:vanish/>
              </w:rPr>
            </w:pPr>
          </w:p>
        </w:tc>
        <w:tc>
          <w:tcPr>
            <w:tcW w:w="0" w:type="auto"/>
            <w:gridSpan w:val="3"/>
            <w:shd w:val="clear" w:color="auto" w:fill="auto"/>
            <w:vAlign w:val="bottom"/>
          </w:tcPr>
          <w:p w14:paraId="74DD865C" w14:textId="77777777" w:rsidR="00584EC1" w:rsidRDefault="00584EC1">
            <w:pPr>
              <w:rPr>
                <w:rFonts w:ascii="宋体"/>
                <w:vanish/>
              </w:rPr>
            </w:pPr>
          </w:p>
        </w:tc>
        <w:tc>
          <w:tcPr>
            <w:tcW w:w="0" w:type="auto"/>
            <w:gridSpan w:val="3"/>
            <w:shd w:val="clear" w:color="auto" w:fill="auto"/>
            <w:vAlign w:val="bottom"/>
          </w:tcPr>
          <w:p w14:paraId="74DD865D" w14:textId="77777777" w:rsidR="00584EC1" w:rsidRDefault="00584EC1">
            <w:pPr>
              <w:rPr>
                <w:rFonts w:ascii="宋体"/>
                <w:vanish/>
              </w:rPr>
            </w:pPr>
          </w:p>
        </w:tc>
      </w:tr>
      <w:tr w:rsidR="00584EC1" w14:paraId="74DD8667" w14:textId="77777777">
        <w:trPr>
          <w:hidden/>
        </w:trPr>
        <w:tc>
          <w:tcPr>
            <w:tcW w:w="0" w:type="auto"/>
            <w:gridSpan w:val="3"/>
            <w:shd w:val="clear" w:color="auto" w:fill="auto"/>
            <w:vAlign w:val="bottom"/>
          </w:tcPr>
          <w:p w14:paraId="74DD865F" w14:textId="77777777" w:rsidR="00584EC1" w:rsidRDefault="00584EC1">
            <w:pPr>
              <w:rPr>
                <w:rFonts w:ascii="宋体"/>
                <w:vanish/>
              </w:rPr>
            </w:pPr>
          </w:p>
        </w:tc>
        <w:tc>
          <w:tcPr>
            <w:tcW w:w="0" w:type="auto"/>
            <w:gridSpan w:val="3"/>
            <w:shd w:val="clear" w:color="auto" w:fill="auto"/>
            <w:vAlign w:val="bottom"/>
          </w:tcPr>
          <w:p w14:paraId="74DD8660" w14:textId="77777777" w:rsidR="00584EC1" w:rsidRDefault="00584EC1">
            <w:pPr>
              <w:rPr>
                <w:rFonts w:ascii="宋体"/>
                <w:vanish/>
              </w:rPr>
            </w:pPr>
          </w:p>
        </w:tc>
        <w:tc>
          <w:tcPr>
            <w:tcW w:w="0" w:type="auto"/>
            <w:gridSpan w:val="3"/>
            <w:shd w:val="clear" w:color="auto" w:fill="auto"/>
            <w:vAlign w:val="bottom"/>
          </w:tcPr>
          <w:p w14:paraId="74DD8661" w14:textId="77777777" w:rsidR="00584EC1" w:rsidRDefault="00584EC1">
            <w:pPr>
              <w:rPr>
                <w:rFonts w:ascii="宋体"/>
                <w:vanish/>
              </w:rPr>
            </w:pPr>
          </w:p>
        </w:tc>
        <w:tc>
          <w:tcPr>
            <w:tcW w:w="0" w:type="auto"/>
            <w:gridSpan w:val="3"/>
            <w:shd w:val="clear" w:color="auto" w:fill="auto"/>
            <w:vAlign w:val="bottom"/>
          </w:tcPr>
          <w:p w14:paraId="74DD8662" w14:textId="77777777" w:rsidR="00584EC1" w:rsidRDefault="00584EC1">
            <w:pPr>
              <w:rPr>
                <w:rFonts w:ascii="宋体"/>
                <w:vanish/>
              </w:rPr>
            </w:pPr>
          </w:p>
        </w:tc>
        <w:tc>
          <w:tcPr>
            <w:tcW w:w="0" w:type="auto"/>
            <w:shd w:val="clear" w:color="auto" w:fill="auto"/>
            <w:vAlign w:val="bottom"/>
          </w:tcPr>
          <w:p w14:paraId="74DD8663" w14:textId="77777777" w:rsidR="00584EC1" w:rsidRDefault="00584EC1">
            <w:pPr>
              <w:rPr>
                <w:rFonts w:ascii="宋体"/>
                <w:vanish/>
              </w:rPr>
            </w:pPr>
          </w:p>
        </w:tc>
        <w:tc>
          <w:tcPr>
            <w:tcW w:w="0" w:type="auto"/>
            <w:shd w:val="clear" w:color="auto" w:fill="auto"/>
            <w:vAlign w:val="bottom"/>
          </w:tcPr>
          <w:p w14:paraId="74DD8664" w14:textId="77777777" w:rsidR="00584EC1" w:rsidRDefault="00584EC1">
            <w:pPr>
              <w:rPr>
                <w:rFonts w:ascii="宋体"/>
                <w:vanish/>
              </w:rPr>
            </w:pPr>
          </w:p>
        </w:tc>
        <w:tc>
          <w:tcPr>
            <w:tcW w:w="0" w:type="auto"/>
            <w:gridSpan w:val="3"/>
            <w:shd w:val="clear" w:color="auto" w:fill="auto"/>
            <w:vAlign w:val="bottom"/>
          </w:tcPr>
          <w:p w14:paraId="74DD8665" w14:textId="77777777" w:rsidR="00584EC1" w:rsidRDefault="00584EC1">
            <w:pPr>
              <w:rPr>
                <w:rFonts w:ascii="宋体"/>
                <w:vanish/>
              </w:rPr>
            </w:pPr>
          </w:p>
        </w:tc>
        <w:tc>
          <w:tcPr>
            <w:tcW w:w="0" w:type="auto"/>
            <w:gridSpan w:val="3"/>
            <w:shd w:val="clear" w:color="auto" w:fill="auto"/>
            <w:vAlign w:val="bottom"/>
          </w:tcPr>
          <w:p w14:paraId="74DD8666" w14:textId="77777777" w:rsidR="00584EC1" w:rsidRDefault="00584EC1">
            <w:pPr>
              <w:rPr>
                <w:rFonts w:ascii="宋体"/>
                <w:vanish/>
              </w:rPr>
            </w:pPr>
          </w:p>
        </w:tc>
      </w:tr>
      <w:tr w:rsidR="00584EC1" w14:paraId="74DD8670" w14:textId="77777777">
        <w:trPr>
          <w:hidden/>
        </w:trPr>
        <w:tc>
          <w:tcPr>
            <w:tcW w:w="0" w:type="auto"/>
            <w:gridSpan w:val="3"/>
            <w:shd w:val="clear" w:color="auto" w:fill="auto"/>
            <w:vAlign w:val="bottom"/>
          </w:tcPr>
          <w:p w14:paraId="74DD8668" w14:textId="77777777" w:rsidR="00584EC1" w:rsidRDefault="00584EC1">
            <w:pPr>
              <w:rPr>
                <w:rFonts w:ascii="宋体"/>
                <w:vanish/>
              </w:rPr>
            </w:pPr>
          </w:p>
        </w:tc>
        <w:tc>
          <w:tcPr>
            <w:tcW w:w="0" w:type="auto"/>
            <w:gridSpan w:val="3"/>
            <w:shd w:val="clear" w:color="auto" w:fill="auto"/>
            <w:vAlign w:val="bottom"/>
          </w:tcPr>
          <w:p w14:paraId="74DD8669" w14:textId="77777777" w:rsidR="00584EC1" w:rsidRDefault="00584EC1">
            <w:pPr>
              <w:rPr>
                <w:rFonts w:ascii="宋体"/>
                <w:vanish/>
              </w:rPr>
            </w:pPr>
          </w:p>
        </w:tc>
        <w:tc>
          <w:tcPr>
            <w:tcW w:w="0" w:type="auto"/>
            <w:gridSpan w:val="3"/>
            <w:shd w:val="clear" w:color="auto" w:fill="auto"/>
            <w:vAlign w:val="bottom"/>
          </w:tcPr>
          <w:p w14:paraId="74DD866A" w14:textId="77777777" w:rsidR="00584EC1" w:rsidRDefault="00584EC1">
            <w:pPr>
              <w:rPr>
                <w:rFonts w:ascii="宋体"/>
                <w:vanish/>
              </w:rPr>
            </w:pPr>
          </w:p>
        </w:tc>
        <w:tc>
          <w:tcPr>
            <w:tcW w:w="0" w:type="auto"/>
            <w:gridSpan w:val="3"/>
            <w:shd w:val="clear" w:color="auto" w:fill="auto"/>
            <w:vAlign w:val="bottom"/>
          </w:tcPr>
          <w:p w14:paraId="74DD866B" w14:textId="77777777" w:rsidR="00584EC1" w:rsidRDefault="00584EC1">
            <w:pPr>
              <w:rPr>
                <w:rFonts w:ascii="宋体"/>
                <w:vanish/>
              </w:rPr>
            </w:pPr>
          </w:p>
        </w:tc>
        <w:tc>
          <w:tcPr>
            <w:tcW w:w="0" w:type="auto"/>
            <w:shd w:val="clear" w:color="auto" w:fill="auto"/>
            <w:vAlign w:val="bottom"/>
          </w:tcPr>
          <w:p w14:paraId="74DD866C" w14:textId="77777777" w:rsidR="00584EC1" w:rsidRDefault="00584EC1">
            <w:pPr>
              <w:rPr>
                <w:rFonts w:ascii="宋体"/>
                <w:vanish/>
              </w:rPr>
            </w:pPr>
          </w:p>
        </w:tc>
        <w:tc>
          <w:tcPr>
            <w:tcW w:w="0" w:type="auto"/>
            <w:shd w:val="clear" w:color="auto" w:fill="auto"/>
            <w:vAlign w:val="bottom"/>
          </w:tcPr>
          <w:p w14:paraId="74DD866D" w14:textId="77777777" w:rsidR="00584EC1" w:rsidRDefault="00584EC1">
            <w:pPr>
              <w:rPr>
                <w:rFonts w:ascii="宋体"/>
                <w:vanish/>
              </w:rPr>
            </w:pPr>
          </w:p>
        </w:tc>
        <w:tc>
          <w:tcPr>
            <w:tcW w:w="0" w:type="auto"/>
            <w:gridSpan w:val="3"/>
            <w:shd w:val="clear" w:color="auto" w:fill="auto"/>
            <w:vAlign w:val="bottom"/>
          </w:tcPr>
          <w:p w14:paraId="74DD866E" w14:textId="77777777" w:rsidR="00584EC1" w:rsidRDefault="00584EC1">
            <w:pPr>
              <w:rPr>
                <w:rFonts w:ascii="宋体"/>
                <w:vanish/>
              </w:rPr>
            </w:pPr>
          </w:p>
        </w:tc>
        <w:tc>
          <w:tcPr>
            <w:tcW w:w="0" w:type="auto"/>
            <w:gridSpan w:val="3"/>
            <w:shd w:val="clear" w:color="auto" w:fill="auto"/>
            <w:vAlign w:val="bottom"/>
          </w:tcPr>
          <w:p w14:paraId="74DD866F" w14:textId="77777777" w:rsidR="00584EC1" w:rsidRDefault="00584EC1">
            <w:pPr>
              <w:rPr>
                <w:rFonts w:ascii="宋体"/>
                <w:vanish/>
              </w:rPr>
            </w:pPr>
          </w:p>
        </w:tc>
      </w:tr>
      <w:tr w:rsidR="00584EC1" w14:paraId="74DD8679" w14:textId="77777777">
        <w:trPr>
          <w:hidden/>
        </w:trPr>
        <w:tc>
          <w:tcPr>
            <w:tcW w:w="0" w:type="auto"/>
            <w:gridSpan w:val="3"/>
            <w:shd w:val="clear" w:color="auto" w:fill="auto"/>
            <w:vAlign w:val="bottom"/>
          </w:tcPr>
          <w:p w14:paraId="74DD8671" w14:textId="77777777" w:rsidR="00584EC1" w:rsidRDefault="00584EC1">
            <w:pPr>
              <w:rPr>
                <w:rFonts w:ascii="宋体"/>
                <w:vanish/>
              </w:rPr>
            </w:pPr>
          </w:p>
        </w:tc>
        <w:tc>
          <w:tcPr>
            <w:tcW w:w="0" w:type="auto"/>
            <w:gridSpan w:val="3"/>
            <w:shd w:val="clear" w:color="auto" w:fill="auto"/>
            <w:vAlign w:val="bottom"/>
          </w:tcPr>
          <w:p w14:paraId="74DD8672" w14:textId="77777777" w:rsidR="00584EC1" w:rsidRDefault="00584EC1">
            <w:pPr>
              <w:rPr>
                <w:rFonts w:ascii="宋体"/>
                <w:vanish/>
              </w:rPr>
            </w:pPr>
          </w:p>
        </w:tc>
        <w:tc>
          <w:tcPr>
            <w:tcW w:w="0" w:type="auto"/>
            <w:gridSpan w:val="3"/>
            <w:shd w:val="clear" w:color="auto" w:fill="auto"/>
            <w:vAlign w:val="bottom"/>
          </w:tcPr>
          <w:p w14:paraId="74DD8673" w14:textId="77777777" w:rsidR="00584EC1" w:rsidRDefault="00584EC1">
            <w:pPr>
              <w:rPr>
                <w:rFonts w:ascii="宋体"/>
                <w:vanish/>
              </w:rPr>
            </w:pPr>
          </w:p>
        </w:tc>
        <w:tc>
          <w:tcPr>
            <w:tcW w:w="0" w:type="auto"/>
            <w:gridSpan w:val="3"/>
            <w:shd w:val="clear" w:color="auto" w:fill="auto"/>
            <w:vAlign w:val="bottom"/>
          </w:tcPr>
          <w:p w14:paraId="74DD8674" w14:textId="77777777" w:rsidR="00584EC1" w:rsidRDefault="00584EC1">
            <w:pPr>
              <w:rPr>
                <w:rFonts w:ascii="宋体"/>
                <w:vanish/>
              </w:rPr>
            </w:pPr>
          </w:p>
        </w:tc>
        <w:tc>
          <w:tcPr>
            <w:tcW w:w="0" w:type="auto"/>
            <w:shd w:val="clear" w:color="auto" w:fill="auto"/>
            <w:vAlign w:val="bottom"/>
          </w:tcPr>
          <w:p w14:paraId="74DD8675" w14:textId="77777777" w:rsidR="00584EC1" w:rsidRDefault="00584EC1">
            <w:pPr>
              <w:rPr>
                <w:rFonts w:ascii="宋体"/>
                <w:vanish/>
              </w:rPr>
            </w:pPr>
          </w:p>
        </w:tc>
        <w:tc>
          <w:tcPr>
            <w:tcW w:w="0" w:type="auto"/>
            <w:shd w:val="clear" w:color="auto" w:fill="auto"/>
            <w:vAlign w:val="bottom"/>
          </w:tcPr>
          <w:p w14:paraId="74DD8676" w14:textId="77777777" w:rsidR="00584EC1" w:rsidRDefault="00584EC1">
            <w:pPr>
              <w:rPr>
                <w:rFonts w:ascii="宋体"/>
                <w:vanish/>
              </w:rPr>
            </w:pPr>
          </w:p>
        </w:tc>
        <w:tc>
          <w:tcPr>
            <w:tcW w:w="0" w:type="auto"/>
            <w:gridSpan w:val="3"/>
            <w:shd w:val="clear" w:color="auto" w:fill="auto"/>
            <w:vAlign w:val="bottom"/>
          </w:tcPr>
          <w:p w14:paraId="74DD8677" w14:textId="77777777" w:rsidR="00584EC1" w:rsidRDefault="00584EC1">
            <w:pPr>
              <w:rPr>
                <w:rFonts w:ascii="宋体"/>
                <w:vanish/>
              </w:rPr>
            </w:pPr>
          </w:p>
        </w:tc>
        <w:tc>
          <w:tcPr>
            <w:tcW w:w="0" w:type="auto"/>
            <w:gridSpan w:val="3"/>
            <w:shd w:val="clear" w:color="auto" w:fill="auto"/>
            <w:vAlign w:val="bottom"/>
          </w:tcPr>
          <w:p w14:paraId="74DD8678" w14:textId="77777777" w:rsidR="00584EC1" w:rsidRDefault="00584EC1">
            <w:pPr>
              <w:rPr>
                <w:rFonts w:ascii="宋体"/>
                <w:vanish/>
              </w:rPr>
            </w:pPr>
          </w:p>
        </w:tc>
      </w:tr>
      <w:tr w:rsidR="00584EC1" w14:paraId="74DD8682" w14:textId="77777777">
        <w:trPr>
          <w:hidden/>
        </w:trPr>
        <w:tc>
          <w:tcPr>
            <w:tcW w:w="0" w:type="auto"/>
            <w:gridSpan w:val="3"/>
            <w:shd w:val="clear" w:color="auto" w:fill="auto"/>
            <w:vAlign w:val="bottom"/>
          </w:tcPr>
          <w:p w14:paraId="74DD867A" w14:textId="77777777" w:rsidR="00584EC1" w:rsidRDefault="00584EC1">
            <w:pPr>
              <w:rPr>
                <w:rFonts w:ascii="宋体"/>
                <w:vanish/>
              </w:rPr>
            </w:pPr>
          </w:p>
        </w:tc>
        <w:tc>
          <w:tcPr>
            <w:tcW w:w="0" w:type="auto"/>
            <w:gridSpan w:val="3"/>
            <w:shd w:val="clear" w:color="auto" w:fill="auto"/>
            <w:vAlign w:val="bottom"/>
          </w:tcPr>
          <w:p w14:paraId="74DD867B" w14:textId="77777777" w:rsidR="00584EC1" w:rsidRDefault="00584EC1">
            <w:pPr>
              <w:rPr>
                <w:rFonts w:ascii="宋体"/>
                <w:vanish/>
              </w:rPr>
            </w:pPr>
          </w:p>
        </w:tc>
        <w:tc>
          <w:tcPr>
            <w:tcW w:w="0" w:type="auto"/>
            <w:gridSpan w:val="3"/>
            <w:shd w:val="clear" w:color="auto" w:fill="auto"/>
            <w:vAlign w:val="bottom"/>
          </w:tcPr>
          <w:p w14:paraId="74DD867C" w14:textId="77777777" w:rsidR="00584EC1" w:rsidRDefault="00584EC1">
            <w:pPr>
              <w:rPr>
                <w:rFonts w:ascii="宋体"/>
                <w:vanish/>
              </w:rPr>
            </w:pPr>
          </w:p>
        </w:tc>
        <w:tc>
          <w:tcPr>
            <w:tcW w:w="0" w:type="auto"/>
            <w:gridSpan w:val="3"/>
            <w:shd w:val="clear" w:color="auto" w:fill="auto"/>
            <w:vAlign w:val="bottom"/>
          </w:tcPr>
          <w:p w14:paraId="74DD867D" w14:textId="77777777" w:rsidR="00584EC1" w:rsidRDefault="00584EC1">
            <w:pPr>
              <w:rPr>
                <w:rFonts w:ascii="宋体"/>
                <w:vanish/>
              </w:rPr>
            </w:pPr>
          </w:p>
        </w:tc>
        <w:tc>
          <w:tcPr>
            <w:tcW w:w="0" w:type="auto"/>
            <w:shd w:val="clear" w:color="auto" w:fill="auto"/>
            <w:vAlign w:val="bottom"/>
          </w:tcPr>
          <w:p w14:paraId="74DD867E" w14:textId="77777777" w:rsidR="00584EC1" w:rsidRDefault="00584EC1">
            <w:pPr>
              <w:rPr>
                <w:rFonts w:ascii="宋体"/>
                <w:vanish/>
              </w:rPr>
            </w:pPr>
          </w:p>
        </w:tc>
        <w:tc>
          <w:tcPr>
            <w:tcW w:w="0" w:type="auto"/>
            <w:shd w:val="clear" w:color="auto" w:fill="auto"/>
            <w:vAlign w:val="bottom"/>
          </w:tcPr>
          <w:p w14:paraId="74DD867F" w14:textId="77777777" w:rsidR="00584EC1" w:rsidRDefault="00584EC1">
            <w:pPr>
              <w:rPr>
                <w:rFonts w:ascii="宋体"/>
                <w:vanish/>
              </w:rPr>
            </w:pPr>
          </w:p>
        </w:tc>
        <w:tc>
          <w:tcPr>
            <w:tcW w:w="0" w:type="auto"/>
            <w:gridSpan w:val="3"/>
            <w:shd w:val="clear" w:color="auto" w:fill="auto"/>
            <w:vAlign w:val="bottom"/>
          </w:tcPr>
          <w:p w14:paraId="74DD8680" w14:textId="77777777" w:rsidR="00584EC1" w:rsidRDefault="00584EC1">
            <w:pPr>
              <w:rPr>
                <w:rFonts w:ascii="宋体"/>
                <w:vanish/>
              </w:rPr>
            </w:pPr>
          </w:p>
        </w:tc>
        <w:tc>
          <w:tcPr>
            <w:tcW w:w="0" w:type="auto"/>
            <w:gridSpan w:val="3"/>
            <w:shd w:val="clear" w:color="auto" w:fill="auto"/>
            <w:vAlign w:val="bottom"/>
          </w:tcPr>
          <w:p w14:paraId="74DD8681" w14:textId="77777777" w:rsidR="00584EC1" w:rsidRDefault="00584EC1">
            <w:pPr>
              <w:rPr>
                <w:rFonts w:ascii="宋体"/>
                <w:vanish/>
              </w:rPr>
            </w:pPr>
          </w:p>
        </w:tc>
      </w:tr>
      <w:tr w:rsidR="00584EC1" w14:paraId="74DD868B" w14:textId="77777777">
        <w:trPr>
          <w:hidden/>
        </w:trPr>
        <w:tc>
          <w:tcPr>
            <w:tcW w:w="0" w:type="auto"/>
            <w:gridSpan w:val="3"/>
            <w:shd w:val="clear" w:color="auto" w:fill="auto"/>
            <w:vAlign w:val="bottom"/>
          </w:tcPr>
          <w:p w14:paraId="74DD8683" w14:textId="77777777" w:rsidR="00584EC1" w:rsidRDefault="00584EC1">
            <w:pPr>
              <w:rPr>
                <w:rFonts w:ascii="宋体"/>
                <w:vanish/>
              </w:rPr>
            </w:pPr>
          </w:p>
        </w:tc>
        <w:tc>
          <w:tcPr>
            <w:tcW w:w="0" w:type="auto"/>
            <w:gridSpan w:val="3"/>
            <w:shd w:val="clear" w:color="auto" w:fill="auto"/>
            <w:vAlign w:val="bottom"/>
          </w:tcPr>
          <w:p w14:paraId="74DD8684" w14:textId="77777777" w:rsidR="00584EC1" w:rsidRDefault="00584EC1">
            <w:pPr>
              <w:rPr>
                <w:rFonts w:ascii="宋体"/>
                <w:vanish/>
              </w:rPr>
            </w:pPr>
          </w:p>
        </w:tc>
        <w:tc>
          <w:tcPr>
            <w:tcW w:w="0" w:type="auto"/>
            <w:gridSpan w:val="3"/>
            <w:shd w:val="clear" w:color="auto" w:fill="auto"/>
            <w:vAlign w:val="bottom"/>
          </w:tcPr>
          <w:p w14:paraId="74DD8685" w14:textId="77777777" w:rsidR="00584EC1" w:rsidRDefault="00584EC1">
            <w:pPr>
              <w:rPr>
                <w:rFonts w:ascii="宋体"/>
                <w:vanish/>
              </w:rPr>
            </w:pPr>
          </w:p>
        </w:tc>
        <w:tc>
          <w:tcPr>
            <w:tcW w:w="0" w:type="auto"/>
            <w:gridSpan w:val="3"/>
            <w:shd w:val="clear" w:color="auto" w:fill="auto"/>
            <w:vAlign w:val="bottom"/>
          </w:tcPr>
          <w:p w14:paraId="74DD8686" w14:textId="77777777" w:rsidR="00584EC1" w:rsidRDefault="00584EC1">
            <w:pPr>
              <w:rPr>
                <w:rFonts w:ascii="宋体"/>
                <w:vanish/>
              </w:rPr>
            </w:pPr>
          </w:p>
        </w:tc>
        <w:tc>
          <w:tcPr>
            <w:tcW w:w="0" w:type="auto"/>
            <w:shd w:val="clear" w:color="auto" w:fill="auto"/>
            <w:vAlign w:val="bottom"/>
          </w:tcPr>
          <w:p w14:paraId="74DD8687" w14:textId="77777777" w:rsidR="00584EC1" w:rsidRDefault="00584EC1">
            <w:pPr>
              <w:rPr>
                <w:rFonts w:ascii="宋体"/>
                <w:vanish/>
              </w:rPr>
            </w:pPr>
          </w:p>
        </w:tc>
        <w:tc>
          <w:tcPr>
            <w:tcW w:w="0" w:type="auto"/>
            <w:shd w:val="clear" w:color="auto" w:fill="auto"/>
            <w:vAlign w:val="bottom"/>
          </w:tcPr>
          <w:p w14:paraId="74DD8688" w14:textId="77777777" w:rsidR="00584EC1" w:rsidRDefault="00584EC1">
            <w:pPr>
              <w:rPr>
                <w:rFonts w:ascii="宋体"/>
                <w:vanish/>
              </w:rPr>
            </w:pPr>
          </w:p>
        </w:tc>
        <w:tc>
          <w:tcPr>
            <w:tcW w:w="0" w:type="auto"/>
            <w:gridSpan w:val="3"/>
            <w:shd w:val="clear" w:color="auto" w:fill="auto"/>
            <w:vAlign w:val="bottom"/>
          </w:tcPr>
          <w:p w14:paraId="74DD8689" w14:textId="77777777" w:rsidR="00584EC1" w:rsidRDefault="00584EC1">
            <w:pPr>
              <w:rPr>
                <w:rFonts w:ascii="宋体"/>
                <w:vanish/>
              </w:rPr>
            </w:pPr>
          </w:p>
        </w:tc>
        <w:tc>
          <w:tcPr>
            <w:tcW w:w="0" w:type="auto"/>
            <w:gridSpan w:val="3"/>
            <w:shd w:val="clear" w:color="auto" w:fill="auto"/>
            <w:vAlign w:val="bottom"/>
          </w:tcPr>
          <w:p w14:paraId="74DD868A" w14:textId="77777777" w:rsidR="00584EC1" w:rsidRDefault="00584EC1">
            <w:pPr>
              <w:rPr>
                <w:rFonts w:ascii="宋体"/>
                <w:vanish/>
              </w:rPr>
            </w:pPr>
          </w:p>
        </w:tc>
      </w:tr>
      <w:tr w:rsidR="00584EC1" w14:paraId="74DD8694" w14:textId="77777777">
        <w:trPr>
          <w:hidden/>
        </w:trPr>
        <w:tc>
          <w:tcPr>
            <w:tcW w:w="0" w:type="auto"/>
            <w:gridSpan w:val="3"/>
            <w:shd w:val="clear" w:color="auto" w:fill="auto"/>
            <w:vAlign w:val="bottom"/>
          </w:tcPr>
          <w:p w14:paraId="74DD868C" w14:textId="77777777" w:rsidR="00584EC1" w:rsidRDefault="00584EC1">
            <w:pPr>
              <w:rPr>
                <w:rFonts w:ascii="宋体"/>
                <w:vanish/>
              </w:rPr>
            </w:pPr>
          </w:p>
        </w:tc>
        <w:tc>
          <w:tcPr>
            <w:tcW w:w="0" w:type="auto"/>
            <w:gridSpan w:val="3"/>
            <w:shd w:val="clear" w:color="auto" w:fill="auto"/>
            <w:vAlign w:val="bottom"/>
          </w:tcPr>
          <w:p w14:paraId="74DD868D" w14:textId="77777777" w:rsidR="00584EC1" w:rsidRDefault="00584EC1">
            <w:pPr>
              <w:rPr>
                <w:rFonts w:ascii="宋体"/>
                <w:vanish/>
              </w:rPr>
            </w:pPr>
          </w:p>
        </w:tc>
        <w:tc>
          <w:tcPr>
            <w:tcW w:w="0" w:type="auto"/>
            <w:gridSpan w:val="3"/>
            <w:shd w:val="clear" w:color="auto" w:fill="auto"/>
            <w:vAlign w:val="bottom"/>
          </w:tcPr>
          <w:p w14:paraId="74DD868E" w14:textId="77777777" w:rsidR="00584EC1" w:rsidRDefault="00584EC1">
            <w:pPr>
              <w:rPr>
                <w:rFonts w:ascii="宋体"/>
                <w:vanish/>
              </w:rPr>
            </w:pPr>
          </w:p>
        </w:tc>
        <w:tc>
          <w:tcPr>
            <w:tcW w:w="0" w:type="auto"/>
            <w:gridSpan w:val="3"/>
            <w:shd w:val="clear" w:color="auto" w:fill="auto"/>
            <w:vAlign w:val="bottom"/>
          </w:tcPr>
          <w:p w14:paraId="74DD868F" w14:textId="77777777" w:rsidR="00584EC1" w:rsidRDefault="00584EC1">
            <w:pPr>
              <w:rPr>
                <w:rFonts w:ascii="宋体"/>
                <w:vanish/>
              </w:rPr>
            </w:pPr>
          </w:p>
        </w:tc>
        <w:tc>
          <w:tcPr>
            <w:tcW w:w="0" w:type="auto"/>
            <w:shd w:val="clear" w:color="auto" w:fill="auto"/>
            <w:vAlign w:val="bottom"/>
          </w:tcPr>
          <w:p w14:paraId="74DD8690" w14:textId="77777777" w:rsidR="00584EC1" w:rsidRDefault="00584EC1">
            <w:pPr>
              <w:rPr>
                <w:rFonts w:ascii="宋体"/>
                <w:vanish/>
              </w:rPr>
            </w:pPr>
          </w:p>
        </w:tc>
        <w:tc>
          <w:tcPr>
            <w:tcW w:w="0" w:type="auto"/>
            <w:shd w:val="clear" w:color="auto" w:fill="auto"/>
            <w:vAlign w:val="bottom"/>
          </w:tcPr>
          <w:p w14:paraId="74DD8691" w14:textId="77777777" w:rsidR="00584EC1" w:rsidRDefault="00584EC1">
            <w:pPr>
              <w:rPr>
                <w:rFonts w:ascii="宋体"/>
                <w:vanish/>
              </w:rPr>
            </w:pPr>
          </w:p>
        </w:tc>
        <w:tc>
          <w:tcPr>
            <w:tcW w:w="0" w:type="auto"/>
            <w:gridSpan w:val="3"/>
            <w:shd w:val="clear" w:color="auto" w:fill="auto"/>
            <w:vAlign w:val="bottom"/>
          </w:tcPr>
          <w:p w14:paraId="74DD8692" w14:textId="77777777" w:rsidR="00584EC1" w:rsidRDefault="00584EC1">
            <w:pPr>
              <w:rPr>
                <w:rFonts w:ascii="宋体"/>
                <w:vanish/>
              </w:rPr>
            </w:pPr>
          </w:p>
        </w:tc>
        <w:tc>
          <w:tcPr>
            <w:tcW w:w="0" w:type="auto"/>
            <w:gridSpan w:val="3"/>
            <w:shd w:val="clear" w:color="auto" w:fill="auto"/>
            <w:vAlign w:val="bottom"/>
          </w:tcPr>
          <w:p w14:paraId="74DD8693" w14:textId="77777777" w:rsidR="00584EC1" w:rsidRDefault="00584EC1">
            <w:pPr>
              <w:rPr>
                <w:rFonts w:ascii="宋体"/>
                <w:vanish/>
              </w:rPr>
            </w:pPr>
          </w:p>
        </w:tc>
      </w:tr>
      <w:tr w:rsidR="00584EC1" w14:paraId="74DD869D" w14:textId="77777777">
        <w:trPr>
          <w:hidden/>
        </w:trPr>
        <w:tc>
          <w:tcPr>
            <w:tcW w:w="0" w:type="auto"/>
            <w:gridSpan w:val="3"/>
            <w:shd w:val="clear" w:color="auto" w:fill="auto"/>
            <w:vAlign w:val="bottom"/>
          </w:tcPr>
          <w:p w14:paraId="74DD8695" w14:textId="77777777" w:rsidR="00584EC1" w:rsidRDefault="00584EC1">
            <w:pPr>
              <w:rPr>
                <w:rFonts w:ascii="宋体"/>
                <w:vanish/>
              </w:rPr>
            </w:pPr>
          </w:p>
        </w:tc>
        <w:tc>
          <w:tcPr>
            <w:tcW w:w="0" w:type="auto"/>
            <w:gridSpan w:val="3"/>
            <w:shd w:val="clear" w:color="auto" w:fill="auto"/>
            <w:vAlign w:val="bottom"/>
          </w:tcPr>
          <w:p w14:paraId="74DD8696" w14:textId="77777777" w:rsidR="00584EC1" w:rsidRDefault="00584EC1">
            <w:pPr>
              <w:rPr>
                <w:rFonts w:ascii="宋体"/>
                <w:vanish/>
              </w:rPr>
            </w:pPr>
          </w:p>
        </w:tc>
        <w:tc>
          <w:tcPr>
            <w:tcW w:w="0" w:type="auto"/>
            <w:gridSpan w:val="3"/>
            <w:shd w:val="clear" w:color="auto" w:fill="auto"/>
            <w:vAlign w:val="bottom"/>
          </w:tcPr>
          <w:p w14:paraId="74DD8697" w14:textId="77777777" w:rsidR="00584EC1" w:rsidRDefault="00584EC1">
            <w:pPr>
              <w:rPr>
                <w:rFonts w:ascii="宋体"/>
                <w:vanish/>
              </w:rPr>
            </w:pPr>
          </w:p>
        </w:tc>
        <w:tc>
          <w:tcPr>
            <w:tcW w:w="0" w:type="auto"/>
            <w:gridSpan w:val="3"/>
            <w:shd w:val="clear" w:color="auto" w:fill="auto"/>
            <w:vAlign w:val="bottom"/>
          </w:tcPr>
          <w:p w14:paraId="74DD8698" w14:textId="77777777" w:rsidR="00584EC1" w:rsidRDefault="00584EC1">
            <w:pPr>
              <w:rPr>
                <w:rFonts w:ascii="宋体"/>
                <w:vanish/>
              </w:rPr>
            </w:pPr>
          </w:p>
        </w:tc>
        <w:tc>
          <w:tcPr>
            <w:tcW w:w="0" w:type="auto"/>
            <w:shd w:val="clear" w:color="auto" w:fill="auto"/>
            <w:vAlign w:val="bottom"/>
          </w:tcPr>
          <w:p w14:paraId="74DD8699" w14:textId="77777777" w:rsidR="00584EC1" w:rsidRDefault="00584EC1">
            <w:pPr>
              <w:rPr>
                <w:rFonts w:ascii="宋体"/>
                <w:vanish/>
              </w:rPr>
            </w:pPr>
          </w:p>
        </w:tc>
        <w:tc>
          <w:tcPr>
            <w:tcW w:w="0" w:type="auto"/>
            <w:shd w:val="clear" w:color="auto" w:fill="auto"/>
            <w:vAlign w:val="bottom"/>
          </w:tcPr>
          <w:p w14:paraId="74DD869A" w14:textId="77777777" w:rsidR="00584EC1" w:rsidRDefault="00584EC1">
            <w:pPr>
              <w:rPr>
                <w:rFonts w:ascii="宋体"/>
                <w:vanish/>
              </w:rPr>
            </w:pPr>
          </w:p>
        </w:tc>
        <w:tc>
          <w:tcPr>
            <w:tcW w:w="0" w:type="auto"/>
            <w:gridSpan w:val="3"/>
            <w:shd w:val="clear" w:color="auto" w:fill="auto"/>
            <w:vAlign w:val="bottom"/>
          </w:tcPr>
          <w:p w14:paraId="74DD869B" w14:textId="77777777" w:rsidR="00584EC1" w:rsidRDefault="00584EC1">
            <w:pPr>
              <w:rPr>
                <w:rFonts w:ascii="宋体"/>
                <w:vanish/>
              </w:rPr>
            </w:pPr>
          </w:p>
        </w:tc>
        <w:tc>
          <w:tcPr>
            <w:tcW w:w="0" w:type="auto"/>
            <w:gridSpan w:val="3"/>
            <w:shd w:val="clear" w:color="auto" w:fill="auto"/>
            <w:vAlign w:val="bottom"/>
          </w:tcPr>
          <w:p w14:paraId="74DD869C" w14:textId="77777777" w:rsidR="00584EC1" w:rsidRDefault="00584EC1">
            <w:pPr>
              <w:rPr>
                <w:rFonts w:ascii="宋体"/>
                <w:vanish/>
              </w:rPr>
            </w:pPr>
          </w:p>
        </w:tc>
      </w:tr>
      <w:tr w:rsidR="00584EC1" w14:paraId="74DD86A8" w14:textId="77777777">
        <w:trPr>
          <w:hidden/>
        </w:trPr>
        <w:tc>
          <w:tcPr>
            <w:tcW w:w="0" w:type="auto"/>
            <w:gridSpan w:val="3"/>
            <w:shd w:val="clear" w:color="auto" w:fill="auto"/>
            <w:vAlign w:val="bottom"/>
          </w:tcPr>
          <w:p w14:paraId="74DD869E" w14:textId="77777777" w:rsidR="00584EC1" w:rsidRDefault="00584EC1">
            <w:pPr>
              <w:rPr>
                <w:rFonts w:ascii="宋体"/>
                <w:vanish/>
              </w:rPr>
            </w:pPr>
          </w:p>
        </w:tc>
        <w:tc>
          <w:tcPr>
            <w:tcW w:w="0" w:type="auto"/>
            <w:gridSpan w:val="3"/>
            <w:shd w:val="clear" w:color="auto" w:fill="auto"/>
            <w:vAlign w:val="bottom"/>
          </w:tcPr>
          <w:p w14:paraId="74DD869F" w14:textId="77777777" w:rsidR="00584EC1" w:rsidRDefault="00584EC1">
            <w:pPr>
              <w:rPr>
                <w:rFonts w:ascii="宋体"/>
                <w:vanish/>
              </w:rPr>
            </w:pPr>
          </w:p>
        </w:tc>
        <w:tc>
          <w:tcPr>
            <w:tcW w:w="0" w:type="auto"/>
            <w:gridSpan w:val="3"/>
            <w:shd w:val="clear" w:color="auto" w:fill="auto"/>
            <w:vAlign w:val="bottom"/>
          </w:tcPr>
          <w:p w14:paraId="74DD86A0" w14:textId="77777777" w:rsidR="00584EC1" w:rsidRDefault="00584EC1">
            <w:pPr>
              <w:rPr>
                <w:rFonts w:ascii="宋体"/>
                <w:vanish/>
              </w:rPr>
            </w:pPr>
          </w:p>
        </w:tc>
        <w:tc>
          <w:tcPr>
            <w:tcW w:w="0" w:type="auto"/>
            <w:gridSpan w:val="3"/>
            <w:shd w:val="clear" w:color="auto" w:fill="auto"/>
            <w:vAlign w:val="bottom"/>
          </w:tcPr>
          <w:p w14:paraId="74DD86A1" w14:textId="77777777" w:rsidR="00584EC1" w:rsidRDefault="00584EC1">
            <w:pPr>
              <w:rPr>
                <w:rFonts w:ascii="宋体"/>
                <w:vanish/>
              </w:rPr>
            </w:pPr>
          </w:p>
        </w:tc>
        <w:tc>
          <w:tcPr>
            <w:tcW w:w="0" w:type="auto"/>
            <w:shd w:val="clear" w:color="auto" w:fill="auto"/>
            <w:vAlign w:val="bottom"/>
          </w:tcPr>
          <w:p w14:paraId="74DD86A2" w14:textId="77777777" w:rsidR="00584EC1" w:rsidRDefault="00584EC1">
            <w:pPr>
              <w:rPr>
                <w:rFonts w:ascii="宋体"/>
                <w:vanish/>
              </w:rPr>
            </w:pPr>
          </w:p>
        </w:tc>
        <w:tc>
          <w:tcPr>
            <w:tcW w:w="0" w:type="auto"/>
            <w:shd w:val="clear" w:color="auto" w:fill="auto"/>
            <w:vAlign w:val="bottom"/>
          </w:tcPr>
          <w:p w14:paraId="74DD86A3" w14:textId="77777777" w:rsidR="00584EC1" w:rsidRDefault="00584EC1">
            <w:pPr>
              <w:rPr>
                <w:rFonts w:ascii="宋体"/>
                <w:vanish/>
              </w:rPr>
            </w:pPr>
          </w:p>
        </w:tc>
        <w:tc>
          <w:tcPr>
            <w:tcW w:w="0" w:type="auto"/>
            <w:gridSpan w:val="3"/>
            <w:shd w:val="clear" w:color="auto" w:fill="auto"/>
            <w:vAlign w:val="bottom"/>
          </w:tcPr>
          <w:p w14:paraId="74DD86A4" w14:textId="77777777" w:rsidR="00584EC1" w:rsidRDefault="00584EC1">
            <w:pPr>
              <w:rPr>
                <w:rFonts w:ascii="宋体"/>
                <w:vanish/>
              </w:rPr>
            </w:pPr>
          </w:p>
        </w:tc>
        <w:tc>
          <w:tcPr>
            <w:tcW w:w="0" w:type="auto"/>
            <w:shd w:val="clear" w:color="auto" w:fill="auto"/>
            <w:vAlign w:val="bottom"/>
          </w:tcPr>
          <w:p w14:paraId="74DD86A5" w14:textId="77777777" w:rsidR="00584EC1" w:rsidRDefault="00584EC1">
            <w:pPr>
              <w:rPr>
                <w:rFonts w:ascii="宋体"/>
              </w:rPr>
            </w:pPr>
          </w:p>
        </w:tc>
        <w:tc>
          <w:tcPr>
            <w:tcW w:w="0" w:type="auto"/>
            <w:shd w:val="clear" w:color="auto" w:fill="auto"/>
            <w:vAlign w:val="bottom"/>
          </w:tcPr>
          <w:p w14:paraId="74DD86A6" w14:textId="77777777" w:rsidR="00584EC1" w:rsidRDefault="00584EC1">
            <w:pPr>
              <w:rPr>
                <w:rFonts w:ascii="宋体"/>
              </w:rPr>
            </w:pPr>
          </w:p>
        </w:tc>
        <w:tc>
          <w:tcPr>
            <w:tcW w:w="0" w:type="auto"/>
            <w:shd w:val="clear" w:color="auto" w:fill="auto"/>
            <w:vAlign w:val="bottom"/>
          </w:tcPr>
          <w:p w14:paraId="74DD86A7" w14:textId="77777777" w:rsidR="00584EC1" w:rsidRDefault="00584EC1">
            <w:pPr>
              <w:rPr>
                <w:rFonts w:ascii="宋体"/>
              </w:rPr>
            </w:pPr>
          </w:p>
        </w:tc>
      </w:tr>
      <w:tr w:rsidR="00584EC1" w14:paraId="74DD86B1" w14:textId="77777777">
        <w:trPr>
          <w:hidden/>
        </w:trPr>
        <w:tc>
          <w:tcPr>
            <w:tcW w:w="0" w:type="auto"/>
            <w:gridSpan w:val="3"/>
            <w:shd w:val="clear" w:color="auto" w:fill="auto"/>
            <w:vAlign w:val="bottom"/>
          </w:tcPr>
          <w:p w14:paraId="74DD86A9" w14:textId="77777777" w:rsidR="00584EC1" w:rsidRDefault="00584EC1">
            <w:pPr>
              <w:rPr>
                <w:rFonts w:ascii="宋体"/>
                <w:vanish/>
              </w:rPr>
            </w:pPr>
          </w:p>
        </w:tc>
        <w:tc>
          <w:tcPr>
            <w:tcW w:w="0" w:type="auto"/>
            <w:gridSpan w:val="3"/>
            <w:shd w:val="clear" w:color="auto" w:fill="auto"/>
            <w:vAlign w:val="bottom"/>
          </w:tcPr>
          <w:p w14:paraId="74DD86AA" w14:textId="77777777" w:rsidR="00584EC1" w:rsidRDefault="00584EC1">
            <w:pPr>
              <w:rPr>
                <w:rFonts w:ascii="宋体"/>
                <w:vanish/>
              </w:rPr>
            </w:pPr>
          </w:p>
        </w:tc>
        <w:tc>
          <w:tcPr>
            <w:tcW w:w="0" w:type="auto"/>
            <w:gridSpan w:val="3"/>
            <w:shd w:val="clear" w:color="auto" w:fill="auto"/>
            <w:vAlign w:val="bottom"/>
          </w:tcPr>
          <w:p w14:paraId="74DD86AB" w14:textId="77777777" w:rsidR="00584EC1" w:rsidRDefault="00584EC1">
            <w:pPr>
              <w:rPr>
                <w:rFonts w:ascii="宋体"/>
                <w:vanish/>
              </w:rPr>
            </w:pPr>
          </w:p>
        </w:tc>
        <w:tc>
          <w:tcPr>
            <w:tcW w:w="0" w:type="auto"/>
            <w:gridSpan w:val="3"/>
            <w:shd w:val="clear" w:color="auto" w:fill="auto"/>
            <w:vAlign w:val="bottom"/>
          </w:tcPr>
          <w:p w14:paraId="74DD86AC" w14:textId="77777777" w:rsidR="00584EC1" w:rsidRDefault="00584EC1">
            <w:pPr>
              <w:rPr>
                <w:rFonts w:ascii="宋体"/>
                <w:vanish/>
              </w:rPr>
            </w:pPr>
          </w:p>
        </w:tc>
        <w:tc>
          <w:tcPr>
            <w:tcW w:w="0" w:type="auto"/>
            <w:shd w:val="clear" w:color="auto" w:fill="auto"/>
            <w:vAlign w:val="bottom"/>
          </w:tcPr>
          <w:p w14:paraId="74DD86AD" w14:textId="77777777" w:rsidR="00584EC1" w:rsidRDefault="00584EC1">
            <w:pPr>
              <w:rPr>
                <w:rFonts w:ascii="宋体"/>
                <w:vanish/>
              </w:rPr>
            </w:pPr>
          </w:p>
        </w:tc>
        <w:tc>
          <w:tcPr>
            <w:tcW w:w="0" w:type="auto"/>
            <w:shd w:val="clear" w:color="auto" w:fill="auto"/>
            <w:vAlign w:val="bottom"/>
          </w:tcPr>
          <w:p w14:paraId="74DD86AE" w14:textId="77777777" w:rsidR="00584EC1" w:rsidRDefault="00584EC1">
            <w:pPr>
              <w:rPr>
                <w:rFonts w:ascii="宋体"/>
                <w:vanish/>
              </w:rPr>
            </w:pPr>
          </w:p>
        </w:tc>
        <w:tc>
          <w:tcPr>
            <w:tcW w:w="0" w:type="auto"/>
            <w:gridSpan w:val="3"/>
            <w:shd w:val="clear" w:color="auto" w:fill="auto"/>
            <w:vAlign w:val="bottom"/>
          </w:tcPr>
          <w:p w14:paraId="74DD86AF" w14:textId="77777777" w:rsidR="00584EC1" w:rsidRDefault="00584EC1">
            <w:pPr>
              <w:rPr>
                <w:rFonts w:ascii="宋体"/>
                <w:vanish/>
              </w:rPr>
            </w:pPr>
          </w:p>
        </w:tc>
        <w:tc>
          <w:tcPr>
            <w:tcW w:w="0" w:type="auto"/>
            <w:gridSpan w:val="3"/>
            <w:shd w:val="clear" w:color="auto" w:fill="auto"/>
            <w:vAlign w:val="bottom"/>
          </w:tcPr>
          <w:p w14:paraId="74DD86B0" w14:textId="77777777" w:rsidR="00584EC1" w:rsidRDefault="00584EC1">
            <w:pPr>
              <w:rPr>
                <w:rFonts w:ascii="宋体"/>
                <w:vanish/>
              </w:rPr>
            </w:pPr>
          </w:p>
        </w:tc>
      </w:tr>
      <w:tr w:rsidR="00584EC1" w14:paraId="74DD86BA" w14:textId="77777777">
        <w:trPr>
          <w:hidden/>
        </w:trPr>
        <w:tc>
          <w:tcPr>
            <w:tcW w:w="0" w:type="auto"/>
            <w:gridSpan w:val="3"/>
            <w:shd w:val="clear" w:color="auto" w:fill="auto"/>
            <w:vAlign w:val="bottom"/>
          </w:tcPr>
          <w:p w14:paraId="74DD86B2" w14:textId="77777777" w:rsidR="00584EC1" w:rsidRDefault="00584EC1">
            <w:pPr>
              <w:rPr>
                <w:rFonts w:ascii="宋体"/>
                <w:vanish/>
              </w:rPr>
            </w:pPr>
          </w:p>
        </w:tc>
        <w:tc>
          <w:tcPr>
            <w:tcW w:w="0" w:type="auto"/>
            <w:gridSpan w:val="3"/>
            <w:shd w:val="clear" w:color="auto" w:fill="auto"/>
            <w:vAlign w:val="bottom"/>
          </w:tcPr>
          <w:p w14:paraId="74DD86B3" w14:textId="77777777" w:rsidR="00584EC1" w:rsidRDefault="00584EC1">
            <w:pPr>
              <w:rPr>
                <w:rFonts w:ascii="宋体"/>
                <w:vanish/>
              </w:rPr>
            </w:pPr>
          </w:p>
        </w:tc>
        <w:tc>
          <w:tcPr>
            <w:tcW w:w="0" w:type="auto"/>
            <w:gridSpan w:val="3"/>
            <w:shd w:val="clear" w:color="auto" w:fill="auto"/>
            <w:vAlign w:val="bottom"/>
          </w:tcPr>
          <w:p w14:paraId="74DD86B4" w14:textId="77777777" w:rsidR="00584EC1" w:rsidRDefault="00584EC1">
            <w:pPr>
              <w:rPr>
                <w:rFonts w:ascii="宋体"/>
                <w:vanish/>
              </w:rPr>
            </w:pPr>
          </w:p>
        </w:tc>
        <w:tc>
          <w:tcPr>
            <w:tcW w:w="0" w:type="auto"/>
            <w:gridSpan w:val="3"/>
            <w:shd w:val="clear" w:color="auto" w:fill="auto"/>
            <w:vAlign w:val="bottom"/>
          </w:tcPr>
          <w:p w14:paraId="74DD86B5" w14:textId="77777777" w:rsidR="00584EC1" w:rsidRDefault="00584EC1">
            <w:pPr>
              <w:rPr>
                <w:rFonts w:ascii="宋体"/>
                <w:vanish/>
              </w:rPr>
            </w:pPr>
          </w:p>
        </w:tc>
        <w:tc>
          <w:tcPr>
            <w:tcW w:w="0" w:type="auto"/>
            <w:shd w:val="clear" w:color="auto" w:fill="auto"/>
            <w:vAlign w:val="bottom"/>
          </w:tcPr>
          <w:p w14:paraId="74DD86B6" w14:textId="77777777" w:rsidR="00584EC1" w:rsidRDefault="00584EC1">
            <w:pPr>
              <w:rPr>
                <w:rFonts w:ascii="宋体"/>
                <w:vanish/>
              </w:rPr>
            </w:pPr>
          </w:p>
        </w:tc>
        <w:tc>
          <w:tcPr>
            <w:tcW w:w="0" w:type="auto"/>
            <w:shd w:val="clear" w:color="auto" w:fill="auto"/>
            <w:vAlign w:val="bottom"/>
          </w:tcPr>
          <w:p w14:paraId="74DD86B7" w14:textId="77777777" w:rsidR="00584EC1" w:rsidRDefault="00584EC1">
            <w:pPr>
              <w:rPr>
                <w:rFonts w:ascii="宋体"/>
                <w:vanish/>
              </w:rPr>
            </w:pPr>
          </w:p>
        </w:tc>
        <w:tc>
          <w:tcPr>
            <w:tcW w:w="0" w:type="auto"/>
            <w:gridSpan w:val="3"/>
            <w:shd w:val="clear" w:color="auto" w:fill="auto"/>
            <w:vAlign w:val="bottom"/>
          </w:tcPr>
          <w:p w14:paraId="74DD86B8" w14:textId="77777777" w:rsidR="00584EC1" w:rsidRDefault="00584EC1">
            <w:pPr>
              <w:rPr>
                <w:rFonts w:ascii="宋体"/>
                <w:vanish/>
              </w:rPr>
            </w:pPr>
          </w:p>
        </w:tc>
        <w:tc>
          <w:tcPr>
            <w:tcW w:w="0" w:type="auto"/>
            <w:gridSpan w:val="3"/>
            <w:shd w:val="clear" w:color="auto" w:fill="auto"/>
            <w:vAlign w:val="bottom"/>
          </w:tcPr>
          <w:p w14:paraId="74DD86B9" w14:textId="77777777" w:rsidR="00584EC1" w:rsidRDefault="00584EC1">
            <w:pPr>
              <w:rPr>
                <w:rFonts w:ascii="宋体"/>
                <w:vanish/>
              </w:rPr>
            </w:pPr>
          </w:p>
        </w:tc>
      </w:tr>
      <w:tr w:rsidR="00584EC1" w14:paraId="74DD86C3" w14:textId="77777777">
        <w:trPr>
          <w:hidden/>
        </w:trPr>
        <w:tc>
          <w:tcPr>
            <w:tcW w:w="0" w:type="auto"/>
            <w:gridSpan w:val="3"/>
            <w:shd w:val="clear" w:color="auto" w:fill="auto"/>
            <w:vAlign w:val="bottom"/>
          </w:tcPr>
          <w:p w14:paraId="74DD86BB" w14:textId="77777777" w:rsidR="00584EC1" w:rsidRDefault="00584EC1">
            <w:pPr>
              <w:rPr>
                <w:rFonts w:ascii="宋体"/>
                <w:vanish/>
              </w:rPr>
            </w:pPr>
          </w:p>
        </w:tc>
        <w:tc>
          <w:tcPr>
            <w:tcW w:w="0" w:type="auto"/>
            <w:gridSpan w:val="3"/>
            <w:shd w:val="clear" w:color="auto" w:fill="auto"/>
            <w:vAlign w:val="bottom"/>
          </w:tcPr>
          <w:p w14:paraId="74DD86BC" w14:textId="77777777" w:rsidR="00584EC1" w:rsidRDefault="00584EC1">
            <w:pPr>
              <w:rPr>
                <w:rFonts w:ascii="宋体"/>
                <w:vanish/>
              </w:rPr>
            </w:pPr>
          </w:p>
        </w:tc>
        <w:tc>
          <w:tcPr>
            <w:tcW w:w="0" w:type="auto"/>
            <w:gridSpan w:val="3"/>
            <w:shd w:val="clear" w:color="auto" w:fill="auto"/>
            <w:vAlign w:val="bottom"/>
          </w:tcPr>
          <w:p w14:paraId="74DD86BD" w14:textId="77777777" w:rsidR="00584EC1" w:rsidRDefault="00584EC1">
            <w:pPr>
              <w:rPr>
                <w:rFonts w:ascii="宋体"/>
                <w:vanish/>
              </w:rPr>
            </w:pPr>
          </w:p>
        </w:tc>
        <w:tc>
          <w:tcPr>
            <w:tcW w:w="0" w:type="auto"/>
            <w:gridSpan w:val="3"/>
            <w:shd w:val="clear" w:color="auto" w:fill="auto"/>
            <w:vAlign w:val="bottom"/>
          </w:tcPr>
          <w:p w14:paraId="74DD86BE" w14:textId="77777777" w:rsidR="00584EC1" w:rsidRDefault="00584EC1">
            <w:pPr>
              <w:rPr>
                <w:rFonts w:ascii="宋体"/>
                <w:vanish/>
              </w:rPr>
            </w:pPr>
          </w:p>
        </w:tc>
        <w:tc>
          <w:tcPr>
            <w:tcW w:w="0" w:type="auto"/>
            <w:shd w:val="clear" w:color="auto" w:fill="auto"/>
            <w:vAlign w:val="bottom"/>
          </w:tcPr>
          <w:p w14:paraId="74DD86BF" w14:textId="77777777" w:rsidR="00584EC1" w:rsidRDefault="00584EC1">
            <w:pPr>
              <w:rPr>
                <w:rFonts w:ascii="宋体"/>
                <w:vanish/>
              </w:rPr>
            </w:pPr>
          </w:p>
        </w:tc>
        <w:tc>
          <w:tcPr>
            <w:tcW w:w="0" w:type="auto"/>
            <w:shd w:val="clear" w:color="auto" w:fill="auto"/>
            <w:vAlign w:val="bottom"/>
          </w:tcPr>
          <w:p w14:paraId="74DD86C0" w14:textId="77777777" w:rsidR="00584EC1" w:rsidRDefault="00584EC1">
            <w:pPr>
              <w:rPr>
                <w:rFonts w:ascii="宋体"/>
                <w:vanish/>
              </w:rPr>
            </w:pPr>
          </w:p>
        </w:tc>
        <w:tc>
          <w:tcPr>
            <w:tcW w:w="0" w:type="auto"/>
            <w:gridSpan w:val="3"/>
            <w:shd w:val="clear" w:color="auto" w:fill="auto"/>
            <w:vAlign w:val="bottom"/>
          </w:tcPr>
          <w:p w14:paraId="74DD86C1" w14:textId="77777777" w:rsidR="00584EC1" w:rsidRDefault="00584EC1">
            <w:pPr>
              <w:rPr>
                <w:rFonts w:ascii="宋体"/>
                <w:vanish/>
              </w:rPr>
            </w:pPr>
          </w:p>
        </w:tc>
        <w:tc>
          <w:tcPr>
            <w:tcW w:w="0" w:type="auto"/>
            <w:gridSpan w:val="3"/>
            <w:shd w:val="clear" w:color="auto" w:fill="auto"/>
            <w:vAlign w:val="bottom"/>
          </w:tcPr>
          <w:p w14:paraId="74DD86C2" w14:textId="77777777" w:rsidR="00584EC1" w:rsidRDefault="00584EC1">
            <w:pPr>
              <w:rPr>
                <w:rFonts w:ascii="宋体"/>
                <w:vanish/>
              </w:rPr>
            </w:pPr>
          </w:p>
        </w:tc>
      </w:tr>
      <w:tr w:rsidR="00584EC1" w14:paraId="74DD86CC" w14:textId="77777777">
        <w:trPr>
          <w:hidden/>
        </w:trPr>
        <w:tc>
          <w:tcPr>
            <w:tcW w:w="0" w:type="auto"/>
            <w:gridSpan w:val="3"/>
            <w:shd w:val="clear" w:color="auto" w:fill="auto"/>
            <w:vAlign w:val="bottom"/>
          </w:tcPr>
          <w:p w14:paraId="74DD86C4" w14:textId="77777777" w:rsidR="00584EC1" w:rsidRDefault="00584EC1">
            <w:pPr>
              <w:rPr>
                <w:rFonts w:ascii="宋体"/>
                <w:vanish/>
              </w:rPr>
            </w:pPr>
          </w:p>
        </w:tc>
        <w:tc>
          <w:tcPr>
            <w:tcW w:w="0" w:type="auto"/>
            <w:gridSpan w:val="3"/>
            <w:shd w:val="clear" w:color="auto" w:fill="auto"/>
            <w:vAlign w:val="bottom"/>
          </w:tcPr>
          <w:p w14:paraId="74DD86C5" w14:textId="77777777" w:rsidR="00584EC1" w:rsidRDefault="00584EC1">
            <w:pPr>
              <w:rPr>
                <w:rFonts w:ascii="宋体"/>
                <w:vanish/>
              </w:rPr>
            </w:pPr>
          </w:p>
        </w:tc>
        <w:tc>
          <w:tcPr>
            <w:tcW w:w="0" w:type="auto"/>
            <w:gridSpan w:val="3"/>
            <w:shd w:val="clear" w:color="auto" w:fill="auto"/>
            <w:vAlign w:val="bottom"/>
          </w:tcPr>
          <w:p w14:paraId="74DD86C6" w14:textId="77777777" w:rsidR="00584EC1" w:rsidRDefault="00584EC1">
            <w:pPr>
              <w:rPr>
                <w:rFonts w:ascii="宋体"/>
                <w:vanish/>
              </w:rPr>
            </w:pPr>
          </w:p>
        </w:tc>
        <w:tc>
          <w:tcPr>
            <w:tcW w:w="0" w:type="auto"/>
            <w:gridSpan w:val="3"/>
            <w:shd w:val="clear" w:color="auto" w:fill="auto"/>
            <w:vAlign w:val="bottom"/>
          </w:tcPr>
          <w:p w14:paraId="74DD86C7" w14:textId="77777777" w:rsidR="00584EC1" w:rsidRDefault="00584EC1">
            <w:pPr>
              <w:rPr>
                <w:rFonts w:ascii="宋体"/>
                <w:vanish/>
              </w:rPr>
            </w:pPr>
          </w:p>
        </w:tc>
        <w:tc>
          <w:tcPr>
            <w:tcW w:w="0" w:type="auto"/>
            <w:shd w:val="clear" w:color="auto" w:fill="auto"/>
            <w:vAlign w:val="bottom"/>
          </w:tcPr>
          <w:p w14:paraId="74DD86C8" w14:textId="77777777" w:rsidR="00584EC1" w:rsidRDefault="00584EC1">
            <w:pPr>
              <w:rPr>
                <w:rFonts w:ascii="宋体"/>
                <w:vanish/>
              </w:rPr>
            </w:pPr>
          </w:p>
        </w:tc>
        <w:tc>
          <w:tcPr>
            <w:tcW w:w="0" w:type="auto"/>
            <w:shd w:val="clear" w:color="auto" w:fill="auto"/>
            <w:vAlign w:val="bottom"/>
          </w:tcPr>
          <w:p w14:paraId="74DD86C9" w14:textId="77777777" w:rsidR="00584EC1" w:rsidRDefault="00584EC1">
            <w:pPr>
              <w:rPr>
                <w:rFonts w:ascii="宋体"/>
                <w:vanish/>
              </w:rPr>
            </w:pPr>
          </w:p>
        </w:tc>
        <w:tc>
          <w:tcPr>
            <w:tcW w:w="0" w:type="auto"/>
            <w:gridSpan w:val="3"/>
            <w:shd w:val="clear" w:color="auto" w:fill="auto"/>
            <w:vAlign w:val="bottom"/>
          </w:tcPr>
          <w:p w14:paraId="74DD86CA" w14:textId="77777777" w:rsidR="00584EC1" w:rsidRDefault="00584EC1">
            <w:pPr>
              <w:rPr>
                <w:rFonts w:ascii="宋体"/>
                <w:vanish/>
              </w:rPr>
            </w:pPr>
          </w:p>
        </w:tc>
        <w:tc>
          <w:tcPr>
            <w:tcW w:w="0" w:type="auto"/>
            <w:gridSpan w:val="3"/>
            <w:shd w:val="clear" w:color="auto" w:fill="auto"/>
            <w:vAlign w:val="bottom"/>
          </w:tcPr>
          <w:p w14:paraId="74DD86CB" w14:textId="77777777" w:rsidR="00584EC1" w:rsidRDefault="00584EC1">
            <w:pPr>
              <w:rPr>
                <w:rFonts w:ascii="宋体"/>
                <w:vanish/>
              </w:rPr>
            </w:pPr>
          </w:p>
        </w:tc>
      </w:tr>
      <w:tr w:rsidR="00584EC1" w14:paraId="74DD86D5" w14:textId="77777777">
        <w:trPr>
          <w:hidden/>
        </w:trPr>
        <w:tc>
          <w:tcPr>
            <w:tcW w:w="0" w:type="auto"/>
            <w:gridSpan w:val="3"/>
            <w:shd w:val="clear" w:color="auto" w:fill="auto"/>
            <w:vAlign w:val="bottom"/>
          </w:tcPr>
          <w:p w14:paraId="74DD86CD" w14:textId="77777777" w:rsidR="00584EC1" w:rsidRDefault="00584EC1">
            <w:pPr>
              <w:rPr>
                <w:rFonts w:ascii="宋体"/>
                <w:vanish/>
              </w:rPr>
            </w:pPr>
          </w:p>
        </w:tc>
        <w:tc>
          <w:tcPr>
            <w:tcW w:w="0" w:type="auto"/>
            <w:gridSpan w:val="3"/>
            <w:shd w:val="clear" w:color="auto" w:fill="auto"/>
            <w:vAlign w:val="bottom"/>
          </w:tcPr>
          <w:p w14:paraId="74DD86CE" w14:textId="77777777" w:rsidR="00584EC1" w:rsidRDefault="00584EC1">
            <w:pPr>
              <w:rPr>
                <w:rFonts w:ascii="宋体"/>
                <w:vanish/>
              </w:rPr>
            </w:pPr>
          </w:p>
        </w:tc>
        <w:tc>
          <w:tcPr>
            <w:tcW w:w="0" w:type="auto"/>
            <w:gridSpan w:val="3"/>
            <w:shd w:val="clear" w:color="auto" w:fill="auto"/>
            <w:vAlign w:val="bottom"/>
          </w:tcPr>
          <w:p w14:paraId="74DD86CF" w14:textId="77777777" w:rsidR="00584EC1" w:rsidRDefault="00584EC1">
            <w:pPr>
              <w:rPr>
                <w:rFonts w:ascii="宋体"/>
                <w:vanish/>
              </w:rPr>
            </w:pPr>
          </w:p>
        </w:tc>
        <w:tc>
          <w:tcPr>
            <w:tcW w:w="0" w:type="auto"/>
            <w:gridSpan w:val="3"/>
            <w:shd w:val="clear" w:color="auto" w:fill="auto"/>
            <w:vAlign w:val="bottom"/>
          </w:tcPr>
          <w:p w14:paraId="74DD86D0" w14:textId="77777777" w:rsidR="00584EC1" w:rsidRDefault="00584EC1">
            <w:pPr>
              <w:rPr>
                <w:rFonts w:ascii="宋体"/>
                <w:vanish/>
              </w:rPr>
            </w:pPr>
          </w:p>
        </w:tc>
        <w:tc>
          <w:tcPr>
            <w:tcW w:w="0" w:type="auto"/>
            <w:shd w:val="clear" w:color="auto" w:fill="auto"/>
            <w:vAlign w:val="bottom"/>
          </w:tcPr>
          <w:p w14:paraId="74DD86D1" w14:textId="77777777" w:rsidR="00584EC1" w:rsidRDefault="00584EC1">
            <w:pPr>
              <w:rPr>
                <w:rFonts w:ascii="宋体"/>
                <w:vanish/>
              </w:rPr>
            </w:pPr>
          </w:p>
        </w:tc>
        <w:tc>
          <w:tcPr>
            <w:tcW w:w="0" w:type="auto"/>
            <w:shd w:val="clear" w:color="auto" w:fill="auto"/>
            <w:vAlign w:val="bottom"/>
          </w:tcPr>
          <w:p w14:paraId="74DD86D2" w14:textId="77777777" w:rsidR="00584EC1" w:rsidRDefault="00584EC1">
            <w:pPr>
              <w:rPr>
                <w:rFonts w:ascii="宋体"/>
                <w:vanish/>
              </w:rPr>
            </w:pPr>
          </w:p>
        </w:tc>
        <w:tc>
          <w:tcPr>
            <w:tcW w:w="0" w:type="auto"/>
            <w:gridSpan w:val="3"/>
            <w:shd w:val="clear" w:color="auto" w:fill="auto"/>
            <w:vAlign w:val="bottom"/>
          </w:tcPr>
          <w:p w14:paraId="74DD86D3" w14:textId="77777777" w:rsidR="00584EC1" w:rsidRDefault="00584EC1">
            <w:pPr>
              <w:rPr>
                <w:rFonts w:ascii="宋体"/>
                <w:vanish/>
              </w:rPr>
            </w:pPr>
          </w:p>
        </w:tc>
        <w:tc>
          <w:tcPr>
            <w:tcW w:w="0" w:type="auto"/>
            <w:gridSpan w:val="3"/>
            <w:shd w:val="clear" w:color="auto" w:fill="auto"/>
            <w:vAlign w:val="bottom"/>
          </w:tcPr>
          <w:p w14:paraId="74DD86D4" w14:textId="77777777" w:rsidR="00584EC1" w:rsidRDefault="00584EC1">
            <w:pPr>
              <w:rPr>
                <w:rFonts w:ascii="宋体"/>
                <w:vanish/>
              </w:rPr>
            </w:pPr>
          </w:p>
        </w:tc>
      </w:tr>
      <w:tr w:rsidR="00584EC1" w14:paraId="74DD86DE" w14:textId="77777777">
        <w:trPr>
          <w:hidden/>
        </w:trPr>
        <w:tc>
          <w:tcPr>
            <w:tcW w:w="0" w:type="auto"/>
            <w:gridSpan w:val="3"/>
            <w:shd w:val="clear" w:color="auto" w:fill="auto"/>
            <w:vAlign w:val="bottom"/>
          </w:tcPr>
          <w:p w14:paraId="74DD86D6" w14:textId="77777777" w:rsidR="00584EC1" w:rsidRDefault="00584EC1">
            <w:pPr>
              <w:rPr>
                <w:rFonts w:ascii="宋体"/>
                <w:vanish/>
              </w:rPr>
            </w:pPr>
          </w:p>
        </w:tc>
        <w:tc>
          <w:tcPr>
            <w:tcW w:w="0" w:type="auto"/>
            <w:gridSpan w:val="3"/>
            <w:shd w:val="clear" w:color="auto" w:fill="auto"/>
            <w:vAlign w:val="bottom"/>
          </w:tcPr>
          <w:p w14:paraId="74DD86D7" w14:textId="77777777" w:rsidR="00584EC1" w:rsidRDefault="00584EC1">
            <w:pPr>
              <w:rPr>
                <w:rFonts w:ascii="宋体"/>
                <w:vanish/>
              </w:rPr>
            </w:pPr>
          </w:p>
        </w:tc>
        <w:tc>
          <w:tcPr>
            <w:tcW w:w="0" w:type="auto"/>
            <w:gridSpan w:val="3"/>
            <w:shd w:val="clear" w:color="auto" w:fill="auto"/>
            <w:vAlign w:val="bottom"/>
          </w:tcPr>
          <w:p w14:paraId="74DD86D8" w14:textId="77777777" w:rsidR="00584EC1" w:rsidRDefault="00584EC1">
            <w:pPr>
              <w:rPr>
                <w:rFonts w:ascii="宋体"/>
                <w:vanish/>
              </w:rPr>
            </w:pPr>
          </w:p>
        </w:tc>
        <w:tc>
          <w:tcPr>
            <w:tcW w:w="0" w:type="auto"/>
            <w:gridSpan w:val="3"/>
            <w:shd w:val="clear" w:color="auto" w:fill="auto"/>
            <w:vAlign w:val="bottom"/>
          </w:tcPr>
          <w:p w14:paraId="74DD86D9" w14:textId="77777777" w:rsidR="00584EC1" w:rsidRDefault="00584EC1">
            <w:pPr>
              <w:rPr>
                <w:rFonts w:ascii="宋体"/>
                <w:vanish/>
              </w:rPr>
            </w:pPr>
          </w:p>
        </w:tc>
        <w:tc>
          <w:tcPr>
            <w:tcW w:w="0" w:type="auto"/>
            <w:shd w:val="clear" w:color="auto" w:fill="auto"/>
            <w:vAlign w:val="bottom"/>
          </w:tcPr>
          <w:p w14:paraId="74DD86DA" w14:textId="77777777" w:rsidR="00584EC1" w:rsidRDefault="00584EC1">
            <w:pPr>
              <w:rPr>
                <w:rFonts w:ascii="宋体"/>
                <w:vanish/>
              </w:rPr>
            </w:pPr>
          </w:p>
        </w:tc>
        <w:tc>
          <w:tcPr>
            <w:tcW w:w="0" w:type="auto"/>
            <w:shd w:val="clear" w:color="auto" w:fill="auto"/>
            <w:vAlign w:val="bottom"/>
          </w:tcPr>
          <w:p w14:paraId="74DD86DB" w14:textId="77777777" w:rsidR="00584EC1" w:rsidRDefault="00584EC1">
            <w:pPr>
              <w:rPr>
                <w:rFonts w:ascii="宋体"/>
                <w:vanish/>
              </w:rPr>
            </w:pPr>
          </w:p>
        </w:tc>
        <w:tc>
          <w:tcPr>
            <w:tcW w:w="0" w:type="auto"/>
            <w:gridSpan w:val="3"/>
            <w:shd w:val="clear" w:color="auto" w:fill="auto"/>
            <w:vAlign w:val="bottom"/>
          </w:tcPr>
          <w:p w14:paraId="74DD86DC" w14:textId="77777777" w:rsidR="00584EC1" w:rsidRDefault="00584EC1">
            <w:pPr>
              <w:rPr>
                <w:rFonts w:ascii="宋体"/>
                <w:vanish/>
              </w:rPr>
            </w:pPr>
          </w:p>
        </w:tc>
        <w:tc>
          <w:tcPr>
            <w:tcW w:w="0" w:type="auto"/>
            <w:gridSpan w:val="3"/>
            <w:shd w:val="clear" w:color="auto" w:fill="auto"/>
            <w:vAlign w:val="bottom"/>
          </w:tcPr>
          <w:p w14:paraId="74DD86DD" w14:textId="77777777" w:rsidR="00584EC1" w:rsidRDefault="00584EC1">
            <w:pPr>
              <w:rPr>
                <w:rFonts w:ascii="宋体"/>
                <w:vanish/>
              </w:rPr>
            </w:pPr>
          </w:p>
        </w:tc>
      </w:tr>
      <w:tr w:rsidR="00584EC1" w14:paraId="74DD86E7" w14:textId="77777777">
        <w:trPr>
          <w:hidden/>
        </w:trPr>
        <w:tc>
          <w:tcPr>
            <w:tcW w:w="0" w:type="auto"/>
            <w:gridSpan w:val="3"/>
            <w:shd w:val="clear" w:color="auto" w:fill="auto"/>
            <w:vAlign w:val="bottom"/>
          </w:tcPr>
          <w:p w14:paraId="74DD86DF" w14:textId="77777777" w:rsidR="00584EC1" w:rsidRDefault="00584EC1">
            <w:pPr>
              <w:rPr>
                <w:rFonts w:ascii="宋体"/>
                <w:vanish/>
              </w:rPr>
            </w:pPr>
          </w:p>
        </w:tc>
        <w:tc>
          <w:tcPr>
            <w:tcW w:w="0" w:type="auto"/>
            <w:gridSpan w:val="3"/>
            <w:shd w:val="clear" w:color="auto" w:fill="auto"/>
            <w:vAlign w:val="bottom"/>
          </w:tcPr>
          <w:p w14:paraId="74DD86E0" w14:textId="77777777" w:rsidR="00584EC1" w:rsidRDefault="00584EC1">
            <w:pPr>
              <w:rPr>
                <w:rFonts w:ascii="宋体"/>
                <w:vanish/>
              </w:rPr>
            </w:pPr>
          </w:p>
        </w:tc>
        <w:tc>
          <w:tcPr>
            <w:tcW w:w="0" w:type="auto"/>
            <w:gridSpan w:val="3"/>
            <w:shd w:val="clear" w:color="auto" w:fill="auto"/>
            <w:vAlign w:val="bottom"/>
          </w:tcPr>
          <w:p w14:paraId="74DD86E1" w14:textId="77777777" w:rsidR="00584EC1" w:rsidRDefault="00584EC1">
            <w:pPr>
              <w:rPr>
                <w:rFonts w:ascii="宋体"/>
                <w:vanish/>
              </w:rPr>
            </w:pPr>
          </w:p>
        </w:tc>
        <w:tc>
          <w:tcPr>
            <w:tcW w:w="0" w:type="auto"/>
            <w:gridSpan w:val="3"/>
            <w:shd w:val="clear" w:color="auto" w:fill="auto"/>
            <w:vAlign w:val="bottom"/>
          </w:tcPr>
          <w:p w14:paraId="74DD86E2" w14:textId="77777777" w:rsidR="00584EC1" w:rsidRDefault="00584EC1">
            <w:pPr>
              <w:rPr>
                <w:rFonts w:ascii="宋体"/>
                <w:vanish/>
              </w:rPr>
            </w:pPr>
          </w:p>
        </w:tc>
        <w:tc>
          <w:tcPr>
            <w:tcW w:w="0" w:type="auto"/>
            <w:shd w:val="clear" w:color="auto" w:fill="auto"/>
            <w:vAlign w:val="bottom"/>
          </w:tcPr>
          <w:p w14:paraId="74DD86E3" w14:textId="77777777" w:rsidR="00584EC1" w:rsidRDefault="00584EC1">
            <w:pPr>
              <w:rPr>
                <w:rFonts w:ascii="宋体"/>
                <w:vanish/>
              </w:rPr>
            </w:pPr>
          </w:p>
        </w:tc>
        <w:tc>
          <w:tcPr>
            <w:tcW w:w="0" w:type="auto"/>
            <w:shd w:val="clear" w:color="auto" w:fill="auto"/>
            <w:vAlign w:val="bottom"/>
          </w:tcPr>
          <w:p w14:paraId="74DD86E4" w14:textId="77777777" w:rsidR="00584EC1" w:rsidRDefault="00584EC1">
            <w:pPr>
              <w:rPr>
                <w:rFonts w:ascii="宋体"/>
                <w:vanish/>
              </w:rPr>
            </w:pPr>
          </w:p>
        </w:tc>
        <w:tc>
          <w:tcPr>
            <w:tcW w:w="0" w:type="auto"/>
            <w:gridSpan w:val="3"/>
            <w:shd w:val="clear" w:color="auto" w:fill="auto"/>
            <w:vAlign w:val="bottom"/>
          </w:tcPr>
          <w:p w14:paraId="74DD86E5" w14:textId="77777777" w:rsidR="00584EC1" w:rsidRDefault="00584EC1">
            <w:pPr>
              <w:rPr>
                <w:rFonts w:ascii="宋体"/>
                <w:vanish/>
              </w:rPr>
            </w:pPr>
          </w:p>
        </w:tc>
        <w:tc>
          <w:tcPr>
            <w:tcW w:w="0" w:type="auto"/>
            <w:gridSpan w:val="3"/>
            <w:shd w:val="clear" w:color="auto" w:fill="auto"/>
            <w:vAlign w:val="bottom"/>
          </w:tcPr>
          <w:p w14:paraId="74DD86E6" w14:textId="77777777" w:rsidR="00584EC1" w:rsidRDefault="00584EC1">
            <w:pPr>
              <w:rPr>
                <w:rFonts w:ascii="宋体"/>
                <w:vanish/>
              </w:rPr>
            </w:pPr>
          </w:p>
        </w:tc>
      </w:tr>
      <w:tr w:rsidR="00584EC1" w14:paraId="74DD86F0" w14:textId="77777777">
        <w:trPr>
          <w:hidden/>
        </w:trPr>
        <w:tc>
          <w:tcPr>
            <w:tcW w:w="0" w:type="auto"/>
            <w:gridSpan w:val="3"/>
            <w:shd w:val="clear" w:color="auto" w:fill="auto"/>
            <w:vAlign w:val="bottom"/>
          </w:tcPr>
          <w:p w14:paraId="74DD86E8" w14:textId="77777777" w:rsidR="00584EC1" w:rsidRDefault="00584EC1">
            <w:pPr>
              <w:rPr>
                <w:rFonts w:ascii="宋体"/>
                <w:vanish/>
              </w:rPr>
            </w:pPr>
          </w:p>
        </w:tc>
        <w:tc>
          <w:tcPr>
            <w:tcW w:w="0" w:type="auto"/>
            <w:gridSpan w:val="3"/>
            <w:shd w:val="clear" w:color="auto" w:fill="auto"/>
            <w:vAlign w:val="bottom"/>
          </w:tcPr>
          <w:p w14:paraId="74DD86E9" w14:textId="77777777" w:rsidR="00584EC1" w:rsidRDefault="00584EC1">
            <w:pPr>
              <w:rPr>
                <w:rFonts w:ascii="宋体"/>
                <w:vanish/>
              </w:rPr>
            </w:pPr>
          </w:p>
        </w:tc>
        <w:tc>
          <w:tcPr>
            <w:tcW w:w="0" w:type="auto"/>
            <w:gridSpan w:val="3"/>
            <w:shd w:val="clear" w:color="auto" w:fill="auto"/>
            <w:vAlign w:val="bottom"/>
          </w:tcPr>
          <w:p w14:paraId="74DD86EA" w14:textId="77777777" w:rsidR="00584EC1" w:rsidRDefault="00584EC1">
            <w:pPr>
              <w:rPr>
                <w:rFonts w:ascii="宋体"/>
                <w:vanish/>
              </w:rPr>
            </w:pPr>
          </w:p>
        </w:tc>
        <w:tc>
          <w:tcPr>
            <w:tcW w:w="0" w:type="auto"/>
            <w:gridSpan w:val="3"/>
            <w:shd w:val="clear" w:color="auto" w:fill="auto"/>
            <w:vAlign w:val="bottom"/>
          </w:tcPr>
          <w:p w14:paraId="74DD86EB" w14:textId="77777777" w:rsidR="00584EC1" w:rsidRDefault="00584EC1">
            <w:pPr>
              <w:rPr>
                <w:rFonts w:ascii="宋体"/>
                <w:vanish/>
              </w:rPr>
            </w:pPr>
          </w:p>
        </w:tc>
        <w:tc>
          <w:tcPr>
            <w:tcW w:w="0" w:type="auto"/>
            <w:shd w:val="clear" w:color="auto" w:fill="auto"/>
            <w:vAlign w:val="bottom"/>
          </w:tcPr>
          <w:p w14:paraId="74DD86EC" w14:textId="77777777" w:rsidR="00584EC1" w:rsidRDefault="00584EC1">
            <w:pPr>
              <w:rPr>
                <w:rFonts w:ascii="宋体"/>
                <w:vanish/>
              </w:rPr>
            </w:pPr>
          </w:p>
        </w:tc>
        <w:tc>
          <w:tcPr>
            <w:tcW w:w="0" w:type="auto"/>
            <w:shd w:val="clear" w:color="auto" w:fill="auto"/>
            <w:vAlign w:val="bottom"/>
          </w:tcPr>
          <w:p w14:paraId="74DD86ED" w14:textId="77777777" w:rsidR="00584EC1" w:rsidRDefault="00584EC1">
            <w:pPr>
              <w:rPr>
                <w:rFonts w:ascii="宋体"/>
                <w:vanish/>
              </w:rPr>
            </w:pPr>
          </w:p>
        </w:tc>
        <w:tc>
          <w:tcPr>
            <w:tcW w:w="0" w:type="auto"/>
            <w:gridSpan w:val="3"/>
            <w:shd w:val="clear" w:color="auto" w:fill="auto"/>
            <w:vAlign w:val="bottom"/>
          </w:tcPr>
          <w:p w14:paraId="74DD86EE" w14:textId="77777777" w:rsidR="00584EC1" w:rsidRDefault="00584EC1">
            <w:pPr>
              <w:rPr>
                <w:rFonts w:ascii="宋体"/>
                <w:vanish/>
              </w:rPr>
            </w:pPr>
          </w:p>
        </w:tc>
        <w:tc>
          <w:tcPr>
            <w:tcW w:w="0" w:type="auto"/>
            <w:gridSpan w:val="3"/>
            <w:shd w:val="clear" w:color="auto" w:fill="auto"/>
            <w:vAlign w:val="bottom"/>
          </w:tcPr>
          <w:p w14:paraId="74DD86EF" w14:textId="77777777" w:rsidR="00584EC1" w:rsidRDefault="00584EC1">
            <w:pPr>
              <w:rPr>
                <w:rFonts w:ascii="宋体"/>
                <w:vanish/>
              </w:rPr>
            </w:pPr>
          </w:p>
        </w:tc>
      </w:tr>
      <w:tr w:rsidR="00584EC1" w14:paraId="74DD86F9" w14:textId="77777777">
        <w:trPr>
          <w:hidden/>
        </w:trPr>
        <w:tc>
          <w:tcPr>
            <w:tcW w:w="0" w:type="auto"/>
            <w:gridSpan w:val="3"/>
            <w:shd w:val="clear" w:color="auto" w:fill="auto"/>
            <w:vAlign w:val="bottom"/>
          </w:tcPr>
          <w:p w14:paraId="74DD86F1" w14:textId="77777777" w:rsidR="00584EC1" w:rsidRDefault="00584EC1">
            <w:pPr>
              <w:rPr>
                <w:rFonts w:ascii="宋体"/>
                <w:vanish/>
              </w:rPr>
            </w:pPr>
          </w:p>
        </w:tc>
        <w:tc>
          <w:tcPr>
            <w:tcW w:w="0" w:type="auto"/>
            <w:gridSpan w:val="3"/>
            <w:shd w:val="clear" w:color="auto" w:fill="auto"/>
            <w:vAlign w:val="bottom"/>
          </w:tcPr>
          <w:p w14:paraId="74DD86F2" w14:textId="77777777" w:rsidR="00584EC1" w:rsidRDefault="00584EC1">
            <w:pPr>
              <w:rPr>
                <w:rFonts w:ascii="宋体"/>
                <w:vanish/>
              </w:rPr>
            </w:pPr>
          </w:p>
        </w:tc>
        <w:tc>
          <w:tcPr>
            <w:tcW w:w="0" w:type="auto"/>
            <w:gridSpan w:val="3"/>
            <w:shd w:val="clear" w:color="auto" w:fill="auto"/>
            <w:vAlign w:val="bottom"/>
          </w:tcPr>
          <w:p w14:paraId="74DD86F3" w14:textId="77777777" w:rsidR="00584EC1" w:rsidRDefault="00584EC1">
            <w:pPr>
              <w:rPr>
                <w:rFonts w:ascii="宋体"/>
                <w:vanish/>
              </w:rPr>
            </w:pPr>
          </w:p>
        </w:tc>
        <w:tc>
          <w:tcPr>
            <w:tcW w:w="0" w:type="auto"/>
            <w:gridSpan w:val="3"/>
            <w:shd w:val="clear" w:color="auto" w:fill="auto"/>
            <w:vAlign w:val="bottom"/>
          </w:tcPr>
          <w:p w14:paraId="74DD86F4" w14:textId="77777777" w:rsidR="00584EC1" w:rsidRDefault="00584EC1">
            <w:pPr>
              <w:rPr>
                <w:rFonts w:ascii="宋体"/>
                <w:vanish/>
              </w:rPr>
            </w:pPr>
          </w:p>
        </w:tc>
        <w:tc>
          <w:tcPr>
            <w:tcW w:w="0" w:type="auto"/>
            <w:shd w:val="clear" w:color="auto" w:fill="auto"/>
            <w:vAlign w:val="bottom"/>
          </w:tcPr>
          <w:p w14:paraId="74DD86F5" w14:textId="77777777" w:rsidR="00584EC1" w:rsidRDefault="00584EC1">
            <w:pPr>
              <w:rPr>
                <w:rFonts w:ascii="宋体"/>
                <w:vanish/>
              </w:rPr>
            </w:pPr>
          </w:p>
        </w:tc>
        <w:tc>
          <w:tcPr>
            <w:tcW w:w="0" w:type="auto"/>
            <w:shd w:val="clear" w:color="auto" w:fill="auto"/>
            <w:vAlign w:val="bottom"/>
          </w:tcPr>
          <w:p w14:paraId="74DD86F6" w14:textId="77777777" w:rsidR="00584EC1" w:rsidRDefault="00584EC1">
            <w:pPr>
              <w:rPr>
                <w:rFonts w:ascii="宋体"/>
                <w:vanish/>
              </w:rPr>
            </w:pPr>
          </w:p>
        </w:tc>
        <w:tc>
          <w:tcPr>
            <w:tcW w:w="0" w:type="auto"/>
            <w:gridSpan w:val="3"/>
            <w:shd w:val="clear" w:color="auto" w:fill="auto"/>
            <w:vAlign w:val="bottom"/>
          </w:tcPr>
          <w:p w14:paraId="74DD86F7" w14:textId="77777777" w:rsidR="00584EC1" w:rsidRDefault="00584EC1">
            <w:pPr>
              <w:rPr>
                <w:rFonts w:ascii="宋体"/>
                <w:vanish/>
              </w:rPr>
            </w:pPr>
          </w:p>
        </w:tc>
        <w:tc>
          <w:tcPr>
            <w:tcW w:w="0" w:type="auto"/>
            <w:gridSpan w:val="3"/>
            <w:shd w:val="clear" w:color="auto" w:fill="auto"/>
            <w:vAlign w:val="bottom"/>
          </w:tcPr>
          <w:p w14:paraId="74DD86F8" w14:textId="77777777" w:rsidR="00584EC1" w:rsidRDefault="00584EC1">
            <w:pPr>
              <w:rPr>
                <w:rFonts w:ascii="宋体"/>
                <w:vanish/>
              </w:rPr>
            </w:pPr>
          </w:p>
        </w:tc>
      </w:tr>
      <w:tr w:rsidR="00584EC1" w14:paraId="74DD8702" w14:textId="77777777">
        <w:trPr>
          <w:hidden/>
        </w:trPr>
        <w:tc>
          <w:tcPr>
            <w:tcW w:w="0" w:type="auto"/>
            <w:gridSpan w:val="3"/>
            <w:shd w:val="clear" w:color="auto" w:fill="auto"/>
            <w:vAlign w:val="bottom"/>
          </w:tcPr>
          <w:p w14:paraId="74DD86FA" w14:textId="77777777" w:rsidR="00584EC1" w:rsidRDefault="00584EC1">
            <w:pPr>
              <w:rPr>
                <w:rFonts w:ascii="宋体"/>
                <w:vanish/>
              </w:rPr>
            </w:pPr>
          </w:p>
        </w:tc>
        <w:tc>
          <w:tcPr>
            <w:tcW w:w="0" w:type="auto"/>
            <w:gridSpan w:val="3"/>
            <w:shd w:val="clear" w:color="auto" w:fill="auto"/>
            <w:vAlign w:val="bottom"/>
          </w:tcPr>
          <w:p w14:paraId="74DD86FB" w14:textId="77777777" w:rsidR="00584EC1" w:rsidRDefault="00584EC1">
            <w:pPr>
              <w:rPr>
                <w:rFonts w:ascii="宋体"/>
                <w:vanish/>
              </w:rPr>
            </w:pPr>
          </w:p>
        </w:tc>
        <w:tc>
          <w:tcPr>
            <w:tcW w:w="0" w:type="auto"/>
            <w:gridSpan w:val="3"/>
            <w:shd w:val="clear" w:color="auto" w:fill="auto"/>
            <w:vAlign w:val="bottom"/>
          </w:tcPr>
          <w:p w14:paraId="74DD86FC" w14:textId="77777777" w:rsidR="00584EC1" w:rsidRDefault="00584EC1">
            <w:pPr>
              <w:rPr>
                <w:rFonts w:ascii="宋体"/>
                <w:vanish/>
              </w:rPr>
            </w:pPr>
          </w:p>
        </w:tc>
        <w:tc>
          <w:tcPr>
            <w:tcW w:w="0" w:type="auto"/>
            <w:gridSpan w:val="3"/>
            <w:shd w:val="clear" w:color="auto" w:fill="auto"/>
            <w:vAlign w:val="bottom"/>
          </w:tcPr>
          <w:p w14:paraId="74DD86FD" w14:textId="77777777" w:rsidR="00584EC1" w:rsidRDefault="00584EC1">
            <w:pPr>
              <w:rPr>
                <w:rFonts w:ascii="宋体"/>
                <w:vanish/>
              </w:rPr>
            </w:pPr>
          </w:p>
        </w:tc>
        <w:tc>
          <w:tcPr>
            <w:tcW w:w="0" w:type="auto"/>
            <w:shd w:val="clear" w:color="auto" w:fill="auto"/>
            <w:vAlign w:val="bottom"/>
          </w:tcPr>
          <w:p w14:paraId="74DD86FE" w14:textId="77777777" w:rsidR="00584EC1" w:rsidRDefault="00584EC1">
            <w:pPr>
              <w:rPr>
                <w:rFonts w:ascii="宋体"/>
                <w:vanish/>
              </w:rPr>
            </w:pPr>
          </w:p>
        </w:tc>
        <w:tc>
          <w:tcPr>
            <w:tcW w:w="0" w:type="auto"/>
            <w:shd w:val="clear" w:color="auto" w:fill="auto"/>
            <w:vAlign w:val="bottom"/>
          </w:tcPr>
          <w:p w14:paraId="74DD86FF" w14:textId="77777777" w:rsidR="00584EC1" w:rsidRDefault="00584EC1">
            <w:pPr>
              <w:rPr>
                <w:rFonts w:ascii="宋体"/>
                <w:vanish/>
              </w:rPr>
            </w:pPr>
          </w:p>
        </w:tc>
        <w:tc>
          <w:tcPr>
            <w:tcW w:w="0" w:type="auto"/>
            <w:gridSpan w:val="3"/>
            <w:shd w:val="clear" w:color="auto" w:fill="auto"/>
            <w:vAlign w:val="bottom"/>
          </w:tcPr>
          <w:p w14:paraId="74DD8700" w14:textId="77777777" w:rsidR="00584EC1" w:rsidRDefault="00584EC1">
            <w:pPr>
              <w:rPr>
                <w:rFonts w:ascii="宋体"/>
                <w:vanish/>
              </w:rPr>
            </w:pPr>
          </w:p>
        </w:tc>
        <w:tc>
          <w:tcPr>
            <w:tcW w:w="0" w:type="auto"/>
            <w:gridSpan w:val="3"/>
            <w:shd w:val="clear" w:color="auto" w:fill="auto"/>
            <w:vAlign w:val="bottom"/>
          </w:tcPr>
          <w:p w14:paraId="74DD8701" w14:textId="77777777" w:rsidR="00584EC1" w:rsidRDefault="00584EC1">
            <w:pPr>
              <w:rPr>
                <w:rFonts w:ascii="宋体"/>
                <w:vanish/>
              </w:rPr>
            </w:pPr>
          </w:p>
        </w:tc>
      </w:tr>
      <w:tr w:rsidR="00584EC1" w14:paraId="74DD870B" w14:textId="77777777">
        <w:trPr>
          <w:hidden/>
        </w:trPr>
        <w:tc>
          <w:tcPr>
            <w:tcW w:w="0" w:type="auto"/>
            <w:gridSpan w:val="3"/>
            <w:shd w:val="clear" w:color="auto" w:fill="auto"/>
            <w:vAlign w:val="bottom"/>
          </w:tcPr>
          <w:p w14:paraId="74DD8703" w14:textId="77777777" w:rsidR="00584EC1" w:rsidRDefault="00584EC1">
            <w:pPr>
              <w:rPr>
                <w:rFonts w:ascii="宋体"/>
                <w:vanish/>
              </w:rPr>
            </w:pPr>
          </w:p>
        </w:tc>
        <w:tc>
          <w:tcPr>
            <w:tcW w:w="0" w:type="auto"/>
            <w:gridSpan w:val="3"/>
            <w:shd w:val="clear" w:color="auto" w:fill="auto"/>
            <w:vAlign w:val="bottom"/>
          </w:tcPr>
          <w:p w14:paraId="74DD8704" w14:textId="77777777" w:rsidR="00584EC1" w:rsidRDefault="00584EC1">
            <w:pPr>
              <w:rPr>
                <w:rFonts w:ascii="宋体"/>
                <w:vanish/>
              </w:rPr>
            </w:pPr>
          </w:p>
        </w:tc>
        <w:tc>
          <w:tcPr>
            <w:tcW w:w="0" w:type="auto"/>
            <w:gridSpan w:val="3"/>
            <w:shd w:val="clear" w:color="auto" w:fill="auto"/>
            <w:vAlign w:val="bottom"/>
          </w:tcPr>
          <w:p w14:paraId="74DD8705" w14:textId="77777777" w:rsidR="00584EC1" w:rsidRDefault="00584EC1">
            <w:pPr>
              <w:rPr>
                <w:rFonts w:ascii="宋体"/>
                <w:vanish/>
              </w:rPr>
            </w:pPr>
          </w:p>
        </w:tc>
        <w:tc>
          <w:tcPr>
            <w:tcW w:w="0" w:type="auto"/>
            <w:gridSpan w:val="3"/>
            <w:shd w:val="clear" w:color="auto" w:fill="auto"/>
            <w:vAlign w:val="bottom"/>
          </w:tcPr>
          <w:p w14:paraId="74DD8706" w14:textId="77777777" w:rsidR="00584EC1" w:rsidRDefault="00584EC1">
            <w:pPr>
              <w:rPr>
                <w:rFonts w:ascii="宋体"/>
                <w:vanish/>
              </w:rPr>
            </w:pPr>
          </w:p>
        </w:tc>
        <w:tc>
          <w:tcPr>
            <w:tcW w:w="0" w:type="auto"/>
            <w:shd w:val="clear" w:color="auto" w:fill="auto"/>
            <w:vAlign w:val="bottom"/>
          </w:tcPr>
          <w:p w14:paraId="74DD8707" w14:textId="77777777" w:rsidR="00584EC1" w:rsidRDefault="00584EC1">
            <w:pPr>
              <w:rPr>
                <w:rFonts w:ascii="宋体"/>
                <w:vanish/>
              </w:rPr>
            </w:pPr>
          </w:p>
        </w:tc>
        <w:tc>
          <w:tcPr>
            <w:tcW w:w="0" w:type="auto"/>
            <w:shd w:val="clear" w:color="auto" w:fill="auto"/>
            <w:vAlign w:val="bottom"/>
          </w:tcPr>
          <w:p w14:paraId="74DD8708" w14:textId="77777777" w:rsidR="00584EC1" w:rsidRDefault="00584EC1">
            <w:pPr>
              <w:rPr>
                <w:rFonts w:ascii="宋体"/>
                <w:vanish/>
              </w:rPr>
            </w:pPr>
          </w:p>
        </w:tc>
        <w:tc>
          <w:tcPr>
            <w:tcW w:w="0" w:type="auto"/>
            <w:gridSpan w:val="3"/>
            <w:shd w:val="clear" w:color="auto" w:fill="auto"/>
            <w:vAlign w:val="bottom"/>
          </w:tcPr>
          <w:p w14:paraId="74DD8709" w14:textId="77777777" w:rsidR="00584EC1" w:rsidRDefault="00584EC1">
            <w:pPr>
              <w:rPr>
                <w:rFonts w:ascii="宋体"/>
                <w:vanish/>
              </w:rPr>
            </w:pPr>
          </w:p>
        </w:tc>
        <w:tc>
          <w:tcPr>
            <w:tcW w:w="0" w:type="auto"/>
            <w:gridSpan w:val="3"/>
            <w:shd w:val="clear" w:color="auto" w:fill="auto"/>
            <w:vAlign w:val="bottom"/>
          </w:tcPr>
          <w:p w14:paraId="74DD870A" w14:textId="77777777" w:rsidR="00584EC1" w:rsidRDefault="00584EC1">
            <w:pPr>
              <w:rPr>
                <w:rFonts w:ascii="宋体"/>
                <w:vanish/>
              </w:rPr>
            </w:pPr>
          </w:p>
        </w:tc>
      </w:tr>
      <w:tr w:rsidR="00584EC1" w14:paraId="74DD8714" w14:textId="77777777">
        <w:trPr>
          <w:hidden/>
        </w:trPr>
        <w:tc>
          <w:tcPr>
            <w:tcW w:w="0" w:type="auto"/>
            <w:gridSpan w:val="3"/>
            <w:shd w:val="clear" w:color="auto" w:fill="auto"/>
            <w:vAlign w:val="bottom"/>
          </w:tcPr>
          <w:p w14:paraId="74DD870C" w14:textId="77777777" w:rsidR="00584EC1" w:rsidRDefault="00584EC1">
            <w:pPr>
              <w:rPr>
                <w:rFonts w:ascii="宋体"/>
                <w:vanish/>
              </w:rPr>
            </w:pPr>
          </w:p>
        </w:tc>
        <w:tc>
          <w:tcPr>
            <w:tcW w:w="0" w:type="auto"/>
            <w:gridSpan w:val="3"/>
            <w:shd w:val="clear" w:color="auto" w:fill="auto"/>
            <w:vAlign w:val="bottom"/>
          </w:tcPr>
          <w:p w14:paraId="74DD870D" w14:textId="77777777" w:rsidR="00584EC1" w:rsidRDefault="00584EC1">
            <w:pPr>
              <w:rPr>
                <w:rFonts w:ascii="宋体"/>
                <w:vanish/>
              </w:rPr>
            </w:pPr>
          </w:p>
        </w:tc>
        <w:tc>
          <w:tcPr>
            <w:tcW w:w="0" w:type="auto"/>
            <w:gridSpan w:val="3"/>
            <w:shd w:val="clear" w:color="auto" w:fill="auto"/>
            <w:vAlign w:val="bottom"/>
          </w:tcPr>
          <w:p w14:paraId="74DD870E" w14:textId="77777777" w:rsidR="00584EC1" w:rsidRDefault="00584EC1">
            <w:pPr>
              <w:rPr>
                <w:rFonts w:ascii="宋体"/>
                <w:vanish/>
              </w:rPr>
            </w:pPr>
          </w:p>
        </w:tc>
        <w:tc>
          <w:tcPr>
            <w:tcW w:w="0" w:type="auto"/>
            <w:gridSpan w:val="3"/>
            <w:shd w:val="clear" w:color="auto" w:fill="auto"/>
            <w:vAlign w:val="bottom"/>
          </w:tcPr>
          <w:p w14:paraId="74DD870F" w14:textId="77777777" w:rsidR="00584EC1" w:rsidRDefault="00584EC1">
            <w:pPr>
              <w:rPr>
                <w:rFonts w:ascii="宋体"/>
                <w:vanish/>
              </w:rPr>
            </w:pPr>
          </w:p>
        </w:tc>
        <w:tc>
          <w:tcPr>
            <w:tcW w:w="0" w:type="auto"/>
            <w:shd w:val="clear" w:color="auto" w:fill="auto"/>
            <w:vAlign w:val="bottom"/>
          </w:tcPr>
          <w:p w14:paraId="74DD8710" w14:textId="77777777" w:rsidR="00584EC1" w:rsidRDefault="00584EC1">
            <w:pPr>
              <w:rPr>
                <w:rFonts w:ascii="宋体"/>
                <w:vanish/>
              </w:rPr>
            </w:pPr>
          </w:p>
        </w:tc>
        <w:tc>
          <w:tcPr>
            <w:tcW w:w="0" w:type="auto"/>
            <w:shd w:val="clear" w:color="auto" w:fill="auto"/>
            <w:vAlign w:val="bottom"/>
          </w:tcPr>
          <w:p w14:paraId="74DD8711" w14:textId="77777777" w:rsidR="00584EC1" w:rsidRDefault="00584EC1">
            <w:pPr>
              <w:rPr>
                <w:rFonts w:ascii="宋体"/>
                <w:vanish/>
              </w:rPr>
            </w:pPr>
          </w:p>
        </w:tc>
        <w:tc>
          <w:tcPr>
            <w:tcW w:w="0" w:type="auto"/>
            <w:gridSpan w:val="3"/>
            <w:shd w:val="clear" w:color="auto" w:fill="auto"/>
            <w:vAlign w:val="bottom"/>
          </w:tcPr>
          <w:p w14:paraId="74DD8712" w14:textId="77777777" w:rsidR="00584EC1" w:rsidRDefault="00584EC1">
            <w:pPr>
              <w:rPr>
                <w:rFonts w:ascii="宋体"/>
                <w:vanish/>
              </w:rPr>
            </w:pPr>
          </w:p>
        </w:tc>
        <w:tc>
          <w:tcPr>
            <w:tcW w:w="0" w:type="auto"/>
            <w:gridSpan w:val="3"/>
            <w:shd w:val="clear" w:color="auto" w:fill="auto"/>
            <w:vAlign w:val="bottom"/>
          </w:tcPr>
          <w:p w14:paraId="74DD8713" w14:textId="77777777" w:rsidR="00584EC1" w:rsidRDefault="00584EC1">
            <w:pPr>
              <w:rPr>
                <w:rFonts w:ascii="宋体"/>
                <w:vanish/>
              </w:rPr>
            </w:pPr>
          </w:p>
        </w:tc>
      </w:tr>
      <w:tr w:rsidR="00584EC1" w14:paraId="74DD871D" w14:textId="77777777">
        <w:trPr>
          <w:hidden/>
        </w:trPr>
        <w:tc>
          <w:tcPr>
            <w:tcW w:w="0" w:type="auto"/>
            <w:gridSpan w:val="3"/>
            <w:shd w:val="clear" w:color="auto" w:fill="auto"/>
            <w:vAlign w:val="bottom"/>
          </w:tcPr>
          <w:p w14:paraId="74DD8715" w14:textId="77777777" w:rsidR="00584EC1" w:rsidRDefault="00584EC1">
            <w:pPr>
              <w:rPr>
                <w:rFonts w:ascii="宋体"/>
                <w:vanish/>
              </w:rPr>
            </w:pPr>
          </w:p>
        </w:tc>
        <w:tc>
          <w:tcPr>
            <w:tcW w:w="0" w:type="auto"/>
            <w:gridSpan w:val="3"/>
            <w:shd w:val="clear" w:color="auto" w:fill="auto"/>
            <w:vAlign w:val="bottom"/>
          </w:tcPr>
          <w:p w14:paraId="74DD8716" w14:textId="77777777" w:rsidR="00584EC1" w:rsidRDefault="00584EC1">
            <w:pPr>
              <w:rPr>
                <w:rFonts w:ascii="宋体"/>
                <w:vanish/>
              </w:rPr>
            </w:pPr>
          </w:p>
        </w:tc>
        <w:tc>
          <w:tcPr>
            <w:tcW w:w="0" w:type="auto"/>
            <w:gridSpan w:val="3"/>
            <w:shd w:val="clear" w:color="auto" w:fill="auto"/>
            <w:vAlign w:val="bottom"/>
          </w:tcPr>
          <w:p w14:paraId="74DD8717" w14:textId="77777777" w:rsidR="00584EC1" w:rsidRDefault="00584EC1">
            <w:pPr>
              <w:rPr>
                <w:rFonts w:ascii="宋体"/>
                <w:vanish/>
              </w:rPr>
            </w:pPr>
          </w:p>
        </w:tc>
        <w:tc>
          <w:tcPr>
            <w:tcW w:w="0" w:type="auto"/>
            <w:gridSpan w:val="3"/>
            <w:shd w:val="clear" w:color="auto" w:fill="auto"/>
            <w:vAlign w:val="bottom"/>
          </w:tcPr>
          <w:p w14:paraId="74DD8718" w14:textId="77777777" w:rsidR="00584EC1" w:rsidRDefault="00584EC1">
            <w:pPr>
              <w:rPr>
                <w:rFonts w:ascii="宋体"/>
                <w:vanish/>
              </w:rPr>
            </w:pPr>
          </w:p>
        </w:tc>
        <w:tc>
          <w:tcPr>
            <w:tcW w:w="0" w:type="auto"/>
            <w:shd w:val="clear" w:color="auto" w:fill="auto"/>
            <w:vAlign w:val="bottom"/>
          </w:tcPr>
          <w:p w14:paraId="74DD8719" w14:textId="77777777" w:rsidR="00584EC1" w:rsidRDefault="00584EC1">
            <w:pPr>
              <w:rPr>
                <w:rFonts w:ascii="宋体"/>
                <w:vanish/>
              </w:rPr>
            </w:pPr>
          </w:p>
        </w:tc>
        <w:tc>
          <w:tcPr>
            <w:tcW w:w="0" w:type="auto"/>
            <w:shd w:val="clear" w:color="auto" w:fill="auto"/>
            <w:vAlign w:val="bottom"/>
          </w:tcPr>
          <w:p w14:paraId="74DD871A" w14:textId="77777777" w:rsidR="00584EC1" w:rsidRDefault="00584EC1">
            <w:pPr>
              <w:rPr>
                <w:rFonts w:ascii="宋体"/>
                <w:vanish/>
              </w:rPr>
            </w:pPr>
          </w:p>
        </w:tc>
        <w:tc>
          <w:tcPr>
            <w:tcW w:w="0" w:type="auto"/>
            <w:gridSpan w:val="3"/>
            <w:shd w:val="clear" w:color="auto" w:fill="auto"/>
            <w:vAlign w:val="bottom"/>
          </w:tcPr>
          <w:p w14:paraId="74DD871B" w14:textId="77777777" w:rsidR="00584EC1" w:rsidRDefault="00584EC1">
            <w:pPr>
              <w:rPr>
                <w:rFonts w:ascii="宋体"/>
                <w:vanish/>
              </w:rPr>
            </w:pPr>
          </w:p>
        </w:tc>
        <w:tc>
          <w:tcPr>
            <w:tcW w:w="0" w:type="auto"/>
            <w:gridSpan w:val="3"/>
            <w:shd w:val="clear" w:color="auto" w:fill="auto"/>
            <w:vAlign w:val="bottom"/>
          </w:tcPr>
          <w:p w14:paraId="74DD871C" w14:textId="77777777" w:rsidR="00584EC1" w:rsidRDefault="00584EC1">
            <w:pPr>
              <w:rPr>
                <w:rFonts w:ascii="宋体"/>
                <w:vanish/>
              </w:rPr>
            </w:pPr>
          </w:p>
        </w:tc>
      </w:tr>
      <w:tr w:rsidR="00584EC1" w14:paraId="74DD8726" w14:textId="77777777">
        <w:trPr>
          <w:hidden/>
        </w:trPr>
        <w:tc>
          <w:tcPr>
            <w:tcW w:w="0" w:type="auto"/>
            <w:gridSpan w:val="3"/>
            <w:shd w:val="clear" w:color="auto" w:fill="auto"/>
            <w:vAlign w:val="bottom"/>
          </w:tcPr>
          <w:p w14:paraId="74DD871E" w14:textId="77777777" w:rsidR="00584EC1" w:rsidRDefault="00584EC1">
            <w:pPr>
              <w:rPr>
                <w:rFonts w:ascii="宋体"/>
                <w:vanish/>
              </w:rPr>
            </w:pPr>
          </w:p>
        </w:tc>
        <w:tc>
          <w:tcPr>
            <w:tcW w:w="0" w:type="auto"/>
            <w:gridSpan w:val="3"/>
            <w:shd w:val="clear" w:color="auto" w:fill="auto"/>
            <w:vAlign w:val="bottom"/>
          </w:tcPr>
          <w:p w14:paraId="74DD871F" w14:textId="77777777" w:rsidR="00584EC1" w:rsidRDefault="00584EC1">
            <w:pPr>
              <w:rPr>
                <w:rFonts w:ascii="宋体"/>
                <w:vanish/>
              </w:rPr>
            </w:pPr>
          </w:p>
        </w:tc>
        <w:tc>
          <w:tcPr>
            <w:tcW w:w="0" w:type="auto"/>
            <w:gridSpan w:val="3"/>
            <w:shd w:val="clear" w:color="auto" w:fill="auto"/>
            <w:vAlign w:val="bottom"/>
          </w:tcPr>
          <w:p w14:paraId="74DD8720" w14:textId="77777777" w:rsidR="00584EC1" w:rsidRDefault="00584EC1">
            <w:pPr>
              <w:rPr>
                <w:rFonts w:ascii="宋体"/>
                <w:vanish/>
              </w:rPr>
            </w:pPr>
          </w:p>
        </w:tc>
        <w:tc>
          <w:tcPr>
            <w:tcW w:w="0" w:type="auto"/>
            <w:gridSpan w:val="3"/>
            <w:shd w:val="clear" w:color="auto" w:fill="auto"/>
            <w:vAlign w:val="bottom"/>
          </w:tcPr>
          <w:p w14:paraId="74DD8721" w14:textId="77777777" w:rsidR="00584EC1" w:rsidRDefault="00584EC1">
            <w:pPr>
              <w:rPr>
                <w:rFonts w:ascii="宋体"/>
                <w:vanish/>
              </w:rPr>
            </w:pPr>
          </w:p>
        </w:tc>
        <w:tc>
          <w:tcPr>
            <w:tcW w:w="0" w:type="auto"/>
            <w:shd w:val="clear" w:color="auto" w:fill="auto"/>
            <w:vAlign w:val="bottom"/>
          </w:tcPr>
          <w:p w14:paraId="74DD8722" w14:textId="77777777" w:rsidR="00584EC1" w:rsidRDefault="00584EC1">
            <w:pPr>
              <w:rPr>
                <w:rFonts w:ascii="宋体"/>
                <w:vanish/>
              </w:rPr>
            </w:pPr>
          </w:p>
        </w:tc>
        <w:tc>
          <w:tcPr>
            <w:tcW w:w="0" w:type="auto"/>
            <w:shd w:val="clear" w:color="auto" w:fill="auto"/>
            <w:vAlign w:val="bottom"/>
          </w:tcPr>
          <w:p w14:paraId="74DD8723" w14:textId="77777777" w:rsidR="00584EC1" w:rsidRDefault="00584EC1">
            <w:pPr>
              <w:rPr>
                <w:rFonts w:ascii="宋体"/>
                <w:vanish/>
              </w:rPr>
            </w:pPr>
          </w:p>
        </w:tc>
        <w:tc>
          <w:tcPr>
            <w:tcW w:w="0" w:type="auto"/>
            <w:gridSpan w:val="3"/>
            <w:shd w:val="clear" w:color="auto" w:fill="auto"/>
            <w:vAlign w:val="bottom"/>
          </w:tcPr>
          <w:p w14:paraId="74DD8724" w14:textId="77777777" w:rsidR="00584EC1" w:rsidRDefault="00584EC1">
            <w:pPr>
              <w:rPr>
                <w:rFonts w:ascii="宋体"/>
                <w:vanish/>
              </w:rPr>
            </w:pPr>
          </w:p>
        </w:tc>
        <w:tc>
          <w:tcPr>
            <w:tcW w:w="0" w:type="auto"/>
            <w:gridSpan w:val="3"/>
            <w:shd w:val="clear" w:color="auto" w:fill="auto"/>
            <w:vAlign w:val="bottom"/>
          </w:tcPr>
          <w:p w14:paraId="74DD8725" w14:textId="77777777" w:rsidR="00584EC1" w:rsidRDefault="00584EC1">
            <w:pPr>
              <w:rPr>
                <w:rFonts w:ascii="宋体"/>
                <w:vanish/>
              </w:rPr>
            </w:pPr>
          </w:p>
        </w:tc>
      </w:tr>
      <w:tr w:rsidR="00584EC1" w14:paraId="74DD872F" w14:textId="77777777">
        <w:trPr>
          <w:hidden/>
        </w:trPr>
        <w:tc>
          <w:tcPr>
            <w:tcW w:w="0" w:type="auto"/>
            <w:gridSpan w:val="3"/>
            <w:shd w:val="clear" w:color="auto" w:fill="auto"/>
            <w:vAlign w:val="bottom"/>
          </w:tcPr>
          <w:p w14:paraId="74DD8727" w14:textId="77777777" w:rsidR="00584EC1" w:rsidRDefault="00584EC1">
            <w:pPr>
              <w:rPr>
                <w:rFonts w:ascii="宋体"/>
                <w:vanish/>
              </w:rPr>
            </w:pPr>
          </w:p>
        </w:tc>
        <w:tc>
          <w:tcPr>
            <w:tcW w:w="0" w:type="auto"/>
            <w:gridSpan w:val="3"/>
            <w:shd w:val="clear" w:color="auto" w:fill="auto"/>
            <w:vAlign w:val="bottom"/>
          </w:tcPr>
          <w:p w14:paraId="74DD8728" w14:textId="77777777" w:rsidR="00584EC1" w:rsidRDefault="00584EC1">
            <w:pPr>
              <w:rPr>
                <w:rFonts w:ascii="宋体"/>
                <w:vanish/>
              </w:rPr>
            </w:pPr>
          </w:p>
        </w:tc>
        <w:tc>
          <w:tcPr>
            <w:tcW w:w="0" w:type="auto"/>
            <w:gridSpan w:val="3"/>
            <w:shd w:val="clear" w:color="auto" w:fill="auto"/>
            <w:vAlign w:val="bottom"/>
          </w:tcPr>
          <w:p w14:paraId="74DD8729" w14:textId="77777777" w:rsidR="00584EC1" w:rsidRDefault="00584EC1">
            <w:pPr>
              <w:rPr>
                <w:rFonts w:ascii="宋体"/>
                <w:vanish/>
              </w:rPr>
            </w:pPr>
          </w:p>
        </w:tc>
        <w:tc>
          <w:tcPr>
            <w:tcW w:w="0" w:type="auto"/>
            <w:gridSpan w:val="3"/>
            <w:shd w:val="clear" w:color="auto" w:fill="auto"/>
            <w:vAlign w:val="bottom"/>
          </w:tcPr>
          <w:p w14:paraId="74DD872A" w14:textId="77777777" w:rsidR="00584EC1" w:rsidRDefault="00584EC1">
            <w:pPr>
              <w:rPr>
                <w:rFonts w:ascii="宋体"/>
                <w:vanish/>
              </w:rPr>
            </w:pPr>
          </w:p>
        </w:tc>
        <w:tc>
          <w:tcPr>
            <w:tcW w:w="0" w:type="auto"/>
            <w:shd w:val="clear" w:color="auto" w:fill="auto"/>
            <w:vAlign w:val="bottom"/>
          </w:tcPr>
          <w:p w14:paraId="74DD872B" w14:textId="77777777" w:rsidR="00584EC1" w:rsidRDefault="00584EC1">
            <w:pPr>
              <w:rPr>
                <w:rFonts w:ascii="宋体"/>
                <w:vanish/>
              </w:rPr>
            </w:pPr>
          </w:p>
        </w:tc>
        <w:tc>
          <w:tcPr>
            <w:tcW w:w="0" w:type="auto"/>
            <w:shd w:val="clear" w:color="auto" w:fill="auto"/>
            <w:vAlign w:val="bottom"/>
          </w:tcPr>
          <w:p w14:paraId="74DD872C" w14:textId="77777777" w:rsidR="00584EC1" w:rsidRDefault="00584EC1">
            <w:pPr>
              <w:rPr>
                <w:rFonts w:ascii="宋体"/>
                <w:vanish/>
              </w:rPr>
            </w:pPr>
          </w:p>
        </w:tc>
        <w:tc>
          <w:tcPr>
            <w:tcW w:w="0" w:type="auto"/>
            <w:gridSpan w:val="3"/>
            <w:shd w:val="clear" w:color="auto" w:fill="auto"/>
            <w:vAlign w:val="bottom"/>
          </w:tcPr>
          <w:p w14:paraId="74DD872D" w14:textId="77777777" w:rsidR="00584EC1" w:rsidRDefault="00584EC1">
            <w:pPr>
              <w:rPr>
                <w:rFonts w:ascii="宋体"/>
                <w:vanish/>
              </w:rPr>
            </w:pPr>
          </w:p>
        </w:tc>
        <w:tc>
          <w:tcPr>
            <w:tcW w:w="0" w:type="auto"/>
            <w:gridSpan w:val="3"/>
            <w:shd w:val="clear" w:color="auto" w:fill="auto"/>
            <w:vAlign w:val="bottom"/>
          </w:tcPr>
          <w:p w14:paraId="74DD872E" w14:textId="77777777" w:rsidR="00584EC1" w:rsidRDefault="00584EC1">
            <w:pPr>
              <w:rPr>
                <w:rFonts w:ascii="宋体"/>
                <w:vanish/>
              </w:rPr>
            </w:pPr>
          </w:p>
        </w:tc>
      </w:tr>
      <w:tr w:rsidR="00584EC1" w14:paraId="74DD8735" w14:textId="77777777">
        <w:tc>
          <w:tcPr>
            <w:tcW w:w="0" w:type="auto"/>
            <w:gridSpan w:val="12"/>
            <w:shd w:val="clear" w:color="auto" w:fill="auto"/>
            <w:tcMar>
              <w:top w:w="40" w:type="dxa"/>
              <w:left w:w="20" w:type="dxa"/>
              <w:bottom w:w="40" w:type="dxa"/>
              <w:right w:w="20" w:type="dxa"/>
            </w:tcMar>
            <w:vAlign w:val="bottom"/>
          </w:tcPr>
          <w:p w14:paraId="74DD8730" w14:textId="77777777" w:rsidR="00584EC1" w:rsidRDefault="00871F8D">
            <w:pPr>
              <w:spacing w:before="60"/>
              <w:jc w:val="both"/>
              <w:textAlignment w:val="bottom"/>
            </w:pPr>
            <w:r>
              <w:rPr>
                <w:rFonts w:ascii="Arial" w:eastAsia="宋体" w:hAnsi="Arial" w:cs="Arial"/>
                <w:b/>
                <w:bCs/>
                <w:color w:val="000000"/>
                <w:sz w:val="16"/>
                <w:szCs w:val="16"/>
              </w:rPr>
              <w:t>TABLE 19: AVERAGE STATEMENT OF CONDITION</w:t>
            </w:r>
            <w:r>
              <w:rPr>
                <w:rFonts w:ascii="Arial" w:eastAsia="宋体" w:hAnsi="Arial" w:cs="Arial"/>
                <w:b/>
                <w:bCs/>
                <w:color w:val="000000"/>
                <w:sz w:val="10"/>
                <w:szCs w:val="10"/>
              </w:rPr>
              <w:t>(1)</w:t>
            </w:r>
          </w:p>
        </w:tc>
        <w:tc>
          <w:tcPr>
            <w:tcW w:w="0" w:type="auto"/>
            <w:shd w:val="clear" w:color="auto" w:fill="auto"/>
            <w:vAlign w:val="bottom"/>
          </w:tcPr>
          <w:p w14:paraId="74DD8731" w14:textId="77777777" w:rsidR="00584EC1" w:rsidRDefault="00584EC1">
            <w:pPr>
              <w:rPr>
                <w:rFonts w:ascii="宋体"/>
                <w:vanish/>
              </w:rPr>
            </w:pPr>
          </w:p>
        </w:tc>
        <w:tc>
          <w:tcPr>
            <w:tcW w:w="0" w:type="auto"/>
            <w:shd w:val="clear" w:color="auto" w:fill="auto"/>
            <w:vAlign w:val="bottom"/>
          </w:tcPr>
          <w:p w14:paraId="74DD8732" w14:textId="77777777" w:rsidR="00584EC1" w:rsidRDefault="00584EC1">
            <w:pPr>
              <w:rPr>
                <w:rFonts w:ascii="宋体"/>
                <w:vanish/>
              </w:rPr>
            </w:pPr>
          </w:p>
        </w:tc>
        <w:tc>
          <w:tcPr>
            <w:tcW w:w="0" w:type="auto"/>
            <w:gridSpan w:val="3"/>
            <w:shd w:val="clear" w:color="auto" w:fill="auto"/>
            <w:vAlign w:val="bottom"/>
          </w:tcPr>
          <w:p w14:paraId="74DD8733" w14:textId="77777777" w:rsidR="00584EC1" w:rsidRDefault="00584EC1">
            <w:pPr>
              <w:rPr>
                <w:rFonts w:ascii="宋体"/>
                <w:vanish/>
              </w:rPr>
            </w:pPr>
          </w:p>
        </w:tc>
        <w:tc>
          <w:tcPr>
            <w:tcW w:w="0" w:type="auto"/>
            <w:gridSpan w:val="3"/>
            <w:shd w:val="clear" w:color="auto" w:fill="auto"/>
            <w:vAlign w:val="bottom"/>
          </w:tcPr>
          <w:p w14:paraId="74DD8734" w14:textId="77777777" w:rsidR="00584EC1" w:rsidRDefault="00584EC1">
            <w:pPr>
              <w:rPr>
                <w:rFonts w:ascii="宋体"/>
                <w:vanish/>
              </w:rPr>
            </w:pPr>
          </w:p>
        </w:tc>
      </w:tr>
      <w:tr w:rsidR="00584EC1" w14:paraId="74DD8740" w14:textId="77777777">
        <w:tc>
          <w:tcPr>
            <w:tcW w:w="0" w:type="auto"/>
            <w:gridSpan w:val="3"/>
            <w:shd w:val="clear" w:color="auto" w:fill="auto"/>
            <w:tcMar>
              <w:top w:w="0" w:type="dxa"/>
              <w:left w:w="20" w:type="dxa"/>
              <w:bottom w:w="0" w:type="dxa"/>
              <w:right w:w="20" w:type="dxa"/>
            </w:tcMar>
            <w:vAlign w:val="bottom"/>
          </w:tcPr>
          <w:p w14:paraId="74DD8736" w14:textId="77777777" w:rsidR="00584EC1" w:rsidRDefault="00584EC1">
            <w:pPr>
              <w:rPr>
                <w:rFonts w:ascii="宋体"/>
              </w:rPr>
            </w:pPr>
          </w:p>
        </w:tc>
        <w:tc>
          <w:tcPr>
            <w:tcW w:w="0" w:type="auto"/>
            <w:gridSpan w:val="9"/>
            <w:shd w:val="clear" w:color="auto" w:fill="auto"/>
            <w:tcMar>
              <w:top w:w="40" w:type="dxa"/>
              <w:left w:w="20" w:type="dxa"/>
              <w:bottom w:w="40" w:type="dxa"/>
              <w:right w:w="20" w:type="dxa"/>
            </w:tcMar>
            <w:vAlign w:val="bottom"/>
          </w:tcPr>
          <w:p w14:paraId="74DD8737" w14:textId="77777777" w:rsidR="00584EC1" w:rsidRDefault="00871F8D">
            <w:pPr>
              <w:jc w:val="center"/>
              <w:textAlignment w:val="bottom"/>
            </w:pPr>
            <w:r>
              <w:rPr>
                <w:rFonts w:ascii="Arial" w:eastAsia="宋体" w:hAnsi="Arial" w:cs="Arial"/>
                <w:b/>
                <w:bCs/>
                <w:color w:val="000000"/>
                <w:sz w:val="14"/>
                <w:szCs w:val="14"/>
              </w:rPr>
              <w:t>Nine Months Ended September 30,</w:t>
            </w:r>
          </w:p>
        </w:tc>
        <w:tc>
          <w:tcPr>
            <w:tcW w:w="0" w:type="auto"/>
            <w:shd w:val="clear" w:color="auto" w:fill="auto"/>
            <w:vAlign w:val="bottom"/>
          </w:tcPr>
          <w:p w14:paraId="74DD8738" w14:textId="77777777" w:rsidR="00584EC1" w:rsidRDefault="00584EC1">
            <w:pPr>
              <w:rPr>
                <w:rFonts w:ascii="宋体"/>
                <w:vanish/>
              </w:rPr>
            </w:pPr>
          </w:p>
        </w:tc>
        <w:tc>
          <w:tcPr>
            <w:tcW w:w="0" w:type="auto"/>
            <w:shd w:val="clear" w:color="auto" w:fill="auto"/>
            <w:vAlign w:val="bottom"/>
          </w:tcPr>
          <w:p w14:paraId="74DD8739" w14:textId="77777777" w:rsidR="00584EC1" w:rsidRDefault="00584EC1">
            <w:pPr>
              <w:rPr>
                <w:rFonts w:ascii="宋体"/>
                <w:vanish/>
              </w:rPr>
            </w:pPr>
          </w:p>
        </w:tc>
        <w:tc>
          <w:tcPr>
            <w:tcW w:w="0" w:type="auto"/>
            <w:shd w:val="clear" w:color="auto" w:fill="auto"/>
            <w:vAlign w:val="bottom"/>
          </w:tcPr>
          <w:p w14:paraId="74DD873A" w14:textId="77777777" w:rsidR="00584EC1" w:rsidRDefault="00584EC1">
            <w:pPr>
              <w:rPr>
                <w:rFonts w:ascii="宋体"/>
              </w:rPr>
            </w:pPr>
          </w:p>
        </w:tc>
        <w:tc>
          <w:tcPr>
            <w:tcW w:w="0" w:type="auto"/>
            <w:shd w:val="clear" w:color="auto" w:fill="auto"/>
            <w:vAlign w:val="bottom"/>
          </w:tcPr>
          <w:p w14:paraId="74DD873B" w14:textId="77777777" w:rsidR="00584EC1" w:rsidRDefault="00584EC1">
            <w:pPr>
              <w:rPr>
                <w:rFonts w:ascii="宋体"/>
              </w:rPr>
            </w:pPr>
          </w:p>
        </w:tc>
        <w:tc>
          <w:tcPr>
            <w:tcW w:w="0" w:type="auto"/>
            <w:shd w:val="clear" w:color="auto" w:fill="auto"/>
            <w:vAlign w:val="bottom"/>
          </w:tcPr>
          <w:p w14:paraId="74DD873C" w14:textId="77777777" w:rsidR="00584EC1" w:rsidRDefault="00584EC1">
            <w:pPr>
              <w:rPr>
                <w:rFonts w:ascii="宋体"/>
              </w:rPr>
            </w:pPr>
          </w:p>
        </w:tc>
        <w:tc>
          <w:tcPr>
            <w:tcW w:w="0" w:type="auto"/>
            <w:shd w:val="clear" w:color="auto" w:fill="auto"/>
            <w:vAlign w:val="bottom"/>
          </w:tcPr>
          <w:p w14:paraId="74DD873D" w14:textId="77777777" w:rsidR="00584EC1" w:rsidRDefault="00584EC1">
            <w:pPr>
              <w:rPr>
                <w:rFonts w:ascii="宋体"/>
              </w:rPr>
            </w:pPr>
          </w:p>
        </w:tc>
        <w:tc>
          <w:tcPr>
            <w:tcW w:w="0" w:type="auto"/>
            <w:shd w:val="clear" w:color="auto" w:fill="auto"/>
            <w:vAlign w:val="bottom"/>
          </w:tcPr>
          <w:p w14:paraId="74DD873E" w14:textId="77777777" w:rsidR="00584EC1" w:rsidRDefault="00584EC1">
            <w:pPr>
              <w:rPr>
                <w:rFonts w:ascii="宋体"/>
              </w:rPr>
            </w:pPr>
          </w:p>
        </w:tc>
        <w:tc>
          <w:tcPr>
            <w:tcW w:w="0" w:type="auto"/>
            <w:shd w:val="clear" w:color="auto" w:fill="auto"/>
            <w:vAlign w:val="bottom"/>
          </w:tcPr>
          <w:p w14:paraId="74DD873F" w14:textId="77777777" w:rsidR="00584EC1" w:rsidRDefault="00584EC1">
            <w:pPr>
              <w:rPr>
                <w:rFonts w:ascii="宋体"/>
              </w:rPr>
            </w:pPr>
          </w:p>
        </w:tc>
      </w:tr>
      <w:tr w:rsidR="00584EC1" w14:paraId="74DD8749" w14:textId="77777777">
        <w:tc>
          <w:tcPr>
            <w:tcW w:w="0" w:type="auto"/>
            <w:gridSpan w:val="3"/>
            <w:shd w:val="clear" w:color="auto" w:fill="auto"/>
            <w:tcMar>
              <w:top w:w="40" w:type="dxa"/>
              <w:left w:w="20" w:type="dxa"/>
              <w:bottom w:w="40" w:type="dxa"/>
              <w:right w:w="20" w:type="dxa"/>
            </w:tcMar>
            <w:vAlign w:val="bottom"/>
          </w:tcPr>
          <w:p w14:paraId="74DD8741" w14:textId="77777777" w:rsidR="00584EC1" w:rsidRDefault="00871F8D">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8742" w14:textId="77777777" w:rsidR="00584EC1" w:rsidRDefault="00871F8D">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8743"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8744" w14:textId="77777777" w:rsidR="00584EC1" w:rsidRDefault="00871F8D">
            <w:pPr>
              <w:jc w:val="center"/>
              <w:textAlignment w:val="bottom"/>
            </w:pPr>
            <w:r>
              <w:rPr>
                <w:rFonts w:ascii="Arial" w:eastAsia="宋体" w:hAnsi="Arial" w:cs="Arial"/>
                <w:b/>
                <w:bCs/>
                <w:color w:val="000000"/>
                <w:sz w:val="14"/>
                <w:szCs w:val="14"/>
              </w:rPr>
              <w:t>2020</w:t>
            </w:r>
          </w:p>
        </w:tc>
        <w:tc>
          <w:tcPr>
            <w:tcW w:w="0" w:type="auto"/>
            <w:shd w:val="clear" w:color="auto" w:fill="auto"/>
            <w:vAlign w:val="bottom"/>
          </w:tcPr>
          <w:p w14:paraId="74DD8745" w14:textId="77777777" w:rsidR="00584EC1" w:rsidRDefault="00584EC1">
            <w:pPr>
              <w:rPr>
                <w:rFonts w:ascii="宋体"/>
                <w:vanish/>
              </w:rPr>
            </w:pPr>
          </w:p>
        </w:tc>
        <w:tc>
          <w:tcPr>
            <w:tcW w:w="0" w:type="auto"/>
            <w:shd w:val="clear" w:color="auto" w:fill="auto"/>
            <w:vAlign w:val="bottom"/>
          </w:tcPr>
          <w:p w14:paraId="74DD8746" w14:textId="77777777" w:rsidR="00584EC1" w:rsidRDefault="00584EC1">
            <w:pPr>
              <w:rPr>
                <w:rFonts w:ascii="宋体"/>
                <w:vanish/>
              </w:rPr>
            </w:pPr>
          </w:p>
        </w:tc>
        <w:tc>
          <w:tcPr>
            <w:tcW w:w="0" w:type="auto"/>
            <w:gridSpan w:val="3"/>
            <w:shd w:val="clear" w:color="auto" w:fill="auto"/>
            <w:vAlign w:val="bottom"/>
          </w:tcPr>
          <w:p w14:paraId="74DD8747" w14:textId="77777777" w:rsidR="00584EC1" w:rsidRDefault="00584EC1">
            <w:pPr>
              <w:rPr>
                <w:rFonts w:ascii="宋体"/>
                <w:vanish/>
              </w:rPr>
            </w:pPr>
          </w:p>
        </w:tc>
        <w:tc>
          <w:tcPr>
            <w:tcW w:w="0" w:type="auto"/>
            <w:gridSpan w:val="3"/>
            <w:shd w:val="clear" w:color="auto" w:fill="auto"/>
            <w:vAlign w:val="bottom"/>
          </w:tcPr>
          <w:p w14:paraId="74DD8748" w14:textId="77777777" w:rsidR="00584EC1" w:rsidRDefault="00584EC1">
            <w:pPr>
              <w:rPr>
                <w:rFonts w:ascii="宋体"/>
                <w:vanish/>
              </w:rPr>
            </w:pPr>
          </w:p>
        </w:tc>
      </w:tr>
      <w:tr w:rsidR="00584EC1" w14:paraId="74DD8752" w14:textId="77777777">
        <w:tc>
          <w:tcPr>
            <w:tcW w:w="0" w:type="auto"/>
            <w:gridSpan w:val="3"/>
            <w:shd w:val="clear" w:color="auto" w:fill="auto"/>
            <w:tcMar>
              <w:top w:w="40" w:type="dxa"/>
              <w:left w:w="20" w:type="dxa"/>
              <w:bottom w:w="40" w:type="dxa"/>
              <w:right w:w="20" w:type="dxa"/>
            </w:tcMar>
            <w:vAlign w:val="bottom"/>
          </w:tcPr>
          <w:p w14:paraId="74DD874A" w14:textId="77777777" w:rsidR="00584EC1" w:rsidRDefault="00871F8D">
            <w:pPr>
              <w:textAlignment w:val="bottom"/>
            </w:pPr>
            <w:r>
              <w:rPr>
                <w:rFonts w:ascii="Arial" w:eastAsia="宋体" w:hAnsi="Arial" w:cs="Arial"/>
                <w:b/>
                <w:bCs/>
                <w:color w:val="000000"/>
                <w:sz w:val="14"/>
                <w:szCs w:val="14"/>
              </w:rPr>
              <w:t>Assets: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874B"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874C"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874D" w14:textId="77777777" w:rsidR="00584EC1" w:rsidRDefault="00584EC1">
            <w:pPr>
              <w:rPr>
                <w:rFonts w:ascii="宋体"/>
              </w:rPr>
            </w:pPr>
          </w:p>
        </w:tc>
        <w:tc>
          <w:tcPr>
            <w:tcW w:w="0" w:type="auto"/>
            <w:shd w:val="clear" w:color="auto" w:fill="auto"/>
            <w:vAlign w:val="bottom"/>
          </w:tcPr>
          <w:p w14:paraId="74DD874E" w14:textId="77777777" w:rsidR="00584EC1" w:rsidRDefault="00584EC1">
            <w:pPr>
              <w:rPr>
                <w:rFonts w:ascii="宋体"/>
                <w:vanish/>
              </w:rPr>
            </w:pPr>
          </w:p>
        </w:tc>
        <w:tc>
          <w:tcPr>
            <w:tcW w:w="0" w:type="auto"/>
            <w:shd w:val="clear" w:color="auto" w:fill="auto"/>
            <w:vAlign w:val="bottom"/>
          </w:tcPr>
          <w:p w14:paraId="74DD874F" w14:textId="77777777" w:rsidR="00584EC1" w:rsidRDefault="00584EC1">
            <w:pPr>
              <w:rPr>
                <w:rFonts w:ascii="宋体"/>
                <w:vanish/>
              </w:rPr>
            </w:pPr>
          </w:p>
        </w:tc>
        <w:tc>
          <w:tcPr>
            <w:tcW w:w="0" w:type="auto"/>
            <w:gridSpan w:val="3"/>
            <w:shd w:val="clear" w:color="auto" w:fill="auto"/>
            <w:vAlign w:val="bottom"/>
          </w:tcPr>
          <w:p w14:paraId="74DD8750" w14:textId="77777777" w:rsidR="00584EC1" w:rsidRDefault="00584EC1">
            <w:pPr>
              <w:rPr>
                <w:rFonts w:ascii="宋体"/>
                <w:vanish/>
              </w:rPr>
            </w:pPr>
          </w:p>
        </w:tc>
        <w:tc>
          <w:tcPr>
            <w:tcW w:w="0" w:type="auto"/>
            <w:gridSpan w:val="3"/>
            <w:shd w:val="clear" w:color="auto" w:fill="auto"/>
            <w:vAlign w:val="bottom"/>
          </w:tcPr>
          <w:p w14:paraId="74DD8751" w14:textId="77777777" w:rsidR="00584EC1" w:rsidRDefault="00584EC1">
            <w:pPr>
              <w:rPr>
                <w:rFonts w:ascii="宋体"/>
                <w:vanish/>
              </w:rPr>
            </w:pPr>
          </w:p>
        </w:tc>
      </w:tr>
      <w:tr w:rsidR="00584EC1" w14:paraId="74DD875F" w14:textId="77777777">
        <w:tc>
          <w:tcPr>
            <w:tcW w:w="0" w:type="auto"/>
            <w:gridSpan w:val="3"/>
            <w:shd w:val="clear" w:color="auto" w:fill="CCEEFF"/>
            <w:tcMar>
              <w:top w:w="40" w:type="dxa"/>
              <w:left w:w="20" w:type="dxa"/>
              <w:bottom w:w="40" w:type="dxa"/>
              <w:right w:w="20" w:type="dxa"/>
            </w:tcMar>
            <w:vAlign w:val="bottom"/>
          </w:tcPr>
          <w:p w14:paraId="74DD8753" w14:textId="77777777" w:rsidR="00584EC1" w:rsidRDefault="00871F8D">
            <w:pPr>
              <w:textAlignment w:val="bottom"/>
            </w:pPr>
            <w:r>
              <w:rPr>
                <w:rFonts w:ascii="Arial" w:eastAsia="宋体" w:hAnsi="Arial" w:cs="Arial"/>
                <w:color w:val="000000"/>
                <w:sz w:val="14"/>
                <w:szCs w:val="14"/>
              </w:rPr>
              <w:t>Interest-bearing deposits with banks</w:t>
            </w:r>
          </w:p>
        </w:tc>
        <w:tc>
          <w:tcPr>
            <w:tcW w:w="0" w:type="auto"/>
            <w:shd w:val="clear" w:color="auto" w:fill="CCEEFF"/>
            <w:tcMar>
              <w:top w:w="40" w:type="dxa"/>
              <w:left w:w="20" w:type="dxa"/>
              <w:bottom w:w="40" w:type="dxa"/>
              <w:right w:w="0" w:type="dxa"/>
            </w:tcMar>
            <w:vAlign w:val="bottom"/>
          </w:tcPr>
          <w:p w14:paraId="74DD8754" w14:textId="77777777" w:rsidR="00584EC1" w:rsidRDefault="00871F8D">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4DD8755" w14:textId="77777777" w:rsidR="00584EC1" w:rsidRDefault="00871F8D">
            <w:pPr>
              <w:jc w:val="right"/>
              <w:textAlignment w:val="bottom"/>
            </w:pPr>
            <w:r>
              <w:rPr>
                <w:rFonts w:ascii="Arial" w:eastAsia="宋体" w:hAnsi="Arial" w:cs="Arial"/>
                <w:b/>
                <w:bCs/>
                <w:color w:val="000000"/>
                <w:sz w:val="14"/>
                <w:szCs w:val="14"/>
              </w:rPr>
              <w:t>91,291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875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757"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8758"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8759" w14:textId="77777777" w:rsidR="00584EC1" w:rsidRDefault="00871F8D">
            <w:pPr>
              <w:jc w:val="right"/>
              <w:textAlignment w:val="bottom"/>
            </w:pPr>
            <w:r>
              <w:rPr>
                <w:rFonts w:ascii="Arial" w:eastAsia="宋体" w:hAnsi="Arial" w:cs="Arial"/>
                <w:color w:val="000000"/>
                <w:sz w:val="14"/>
                <w:szCs w:val="14"/>
              </w:rPr>
              <w:t>75,517 </w:t>
            </w:r>
          </w:p>
        </w:tc>
        <w:tc>
          <w:tcPr>
            <w:tcW w:w="0" w:type="auto"/>
            <w:shd w:val="clear" w:color="auto" w:fill="CCEEFF"/>
            <w:tcMar>
              <w:top w:w="40" w:type="dxa"/>
              <w:left w:w="0" w:type="dxa"/>
              <w:bottom w:w="40" w:type="dxa"/>
              <w:right w:w="20" w:type="dxa"/>
            </w:tcMar>
            <w:vAlign w:val="bottom"/>
          </w:tcPr>
          <w:p w14:paraId="74DD875A" w14:textId="77777777" w:rsidR="00584EC1" w:rsidRDefault="00584EC1">
            <w:pPr>
              <w:jc w:val="right"/>
              <w:rPr>
                <w:rFonts w:ascii="宋体"/>
              </w:rPr>
            </w:pPr>
          </w:p>
        </w:tc>
        <w:tc>
          <w:tcPr>
            <w:tcW w:w="0" w:type="auto"/>
            <w:shd w:val="clear" w:color="auto" w:fill="auto"/>
            <w:vAlign w:val="bottom"/>
          </w:tcPr>
          <w:p w14:paraId="74DD875B" w14:textId="77777777" w:rsidR="00584EC1" w:rsidRDefault="00584EC1">
            <w:pPr>
              <w:rPr>
                <w:rFonts w:ascii="宋体"/>
                <w:vanish/>
              </w:rPr>
            </w:pPr>
          </w:p>
        </w:tc>
        <w:tc>
          <w:tcPr>
            <w:tcW w:w="0" w:type="auto"/>
            <w:shd w:val="clear" w:color="auto" w:fill="auto"/>
            <w:vAlign w:val="bottom"/>
          </w:tcPr>
          <w:p w14:paraId="74DD875C" w14:textId="77777777" w:rsidR="00584EC1" w:rsidRDefault="00584EC1">
            <w:pPr>
              <w:rPr>
                <w:rFonts w:ascii="宋体"/>
                <w:vanish/>
              </w:rPr>
            </w:pPr>
          </w:p>
        </w:tc>
        <w:tc>
          <w:tcPr>
            <w:tcW w:w="0" w:type="auto"/>
            <w:gridSpan w:val="3"/>
            <w:shd w:val="clear" w:color="auto" w:fill="auto"/>
            <w:vAlign w:val="bottom"/>
          </w:tcPr>
          <w:p w14:paraId="74DD875D" w14:textId="77777777" w:rsidR="00584EC1" w:rsidRDefault="00584EC1">
            <w:pPr>
              <w:rPr>
                <w:rFonts w:ascii="宋体"/>
                <w:vanish/>
              </w:rPr>
            </w:pPr>
          </w:p>
        </w:tc>
        <w:tc>
          <w:tcPr>
            <w:tcW w:w="0" w:type="auto"/>
            <w:gridSpan w:val="3"/>
            <w:shd w:val="clear" w:color="auto" w:fill="auto"/>
            <w:vAlign w:val="bottom"/>
          </w:tcPr>
          <w:p w14:paraId="74DD875E" w14:textId="77777777" w:rsidR="00584EC1" w:rsidRDefault="00584EC1">
            <w:pPr>
              <w:rPr>
                <w:rFonts w:ascii="宋体"/>
                <w:vanish/>
              </w:rPr>
            </w:pPr>
          </w:p>
        </w:tc>
      </w:tr>
      <w:tr w:rsidR="00584EC1" w14:paraId="74DD876A" w14:textId="77777777">
        <w:tc>
          <w:tcPr>
            <w:tcW w:w="0" w:type="auto"/>
            <w:gridSpan w:val="3"/>
            <w:shd w:val="clear" w:color="auto" w:fill="FFFFFF"/>
            <w:tcMar>
              <w:top w:w="40" w:type="dxa"/>
              <w:left w:w="20" w:type="dxa"/>
              <w:bottom w:w="40" w:type="dxa"/>
              <w:right w:w="20" w:type="dxa"/>
            </w:tcMar>
            <w:vAlign w:val="bottom"/>
          </w:tcPr>
          <w:p w14:paraId="74DD8760" w14:textId="77777777" w:rsidR="00584EC1" w:rsidRDefault="00871F8D">
            <w:pPr>
              <w:textAlignment w:val="bottom"/>
            </w:pPr>
            <w:r>
              <w:rPr>
                <w:rFonts w:ascii="Arial" w:eastAsia="宋体" w:hAnsi="Arial" w:cs="Arial"/>
                <w:color w:val="000000"/>
                <w:sz w:val="14"/>
                <w:szCs w:val="14"/>
              </w:rPr>
              <w:t>Securities purchased under resale agreements</w:t>
            </w:r>
          </w:p>
        </w:tc>
        <w:tc>
          <w:tcPr>
            <w:tcW w:w="0" w:type="auto"/>
            <w:gridSpan w:val="2"/>
            <w:shd w:val="clear" w:color="auto" w:fill="FFFFFF"/>
            <w:tcMar>
              <w:top w:w="40" w:type="dxa"/>
              <w:left w:w="20" w:type="dxa"/>
              <w:bottom w:w="40" w:type="dxa"/>
              <w:right w:w="0" w:type="dxa"/>
            </w:tcMar>
            <w:vAlign w:val="bottom"/>
          </w:tcPr>
          <w:p w14:paraId="74DD8761" w14:textId="77777777" w:rsidR="00584EC1" w:rsidRDefault="00871F8D">
            <w:pPr>
              <w:jc w:val="right"/>
              <w:textAlignment w:val="bottom"/>
            </w:pPr>
            <w:r>
              <w:rPr>
                <w:rFonts w:ascii="Arial" w:eastAsia="宋体" w:hAnsi="Arial" w:cs="Arial"/>
                <w:b/>
                <w:bCs/>
                <w:color w:val="000000"/>
                <w:sz w:val="14"/>
                <w:szCs w:val="14"/>
              </w:rPr>
              <w:t>4,194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876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76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764" w14:textId="77777777" w:rsidR="00584EC1" w:rsidRDefault="00871F8D">
            <w:pPr>
              <w:jc w:val="right"/>
              <w:textAlignment w:val="bottom"/>
            </w:pPr>
            <w:r>
              <w:rPr>
                <w:rFonts w:ascii="Arial" w:eastAsia="宋体" w:hAnsi="Arial" w:cs="Arial"/>
                <w:color w:val="000000"/>
                <w:sz w:val="14"/>
                <w:szCs w:val="14"/>
              </w:rPr>
              <w:t>3,114 </w:t>
            </w:r>
          </w:p>
        </w:tc>
        <w:tc>
          <w:tcPr>
            <w:tcW w:w="0" w:type="auto"/>
            <w:shd w:val="clear" w:color="auto" w:fill="FFFFFF"/>
            <w:tcMar>
              <w:top w:w="40" w:type="dxa"/>
              <w:left w:w="0" w:type="dxa"/>
              <w:bottom w:w="40" w:type="dxa"/>
              <w:right w:w="20" w:type="dxa"/>
            </w:tcMar>
            <w:vAlign w:val="bottom"/>
          </w:tcPr>
          <w:p w14:paraId="74DD8765" w14:textId="77777777" w:rsidR="00584EC1" w:rsidRDefault="00584EC1">
            <w:pPr>
              <w:jc w:val="right"/>
              <w:rPr>
                <w:rFonts w:ascii="宋体"/>
              </w:rPr>
            </w:pPr>
          </w:p>
        </w:tc>
        <w:tc>
          <w:tcPr>
            <w:tcW w:w="0" w:type="auto"/>
            <w:shd w:val="clear" w:color="auto" w:fill="auto"/>
            <w:vAlign w:val="bottom"/>
          </w:tcPr>
          <w:p w14:paraId="74DD8766" w14:textId="77777777" w:rsidR="00584EC1" w:rsidRDefault="00584EC1">
            <w:pPr>
              <w:rPr>
                <w:rFonts w:ascii="宋体"/>
                <w:vanish/>
              </w:rPr>
            </w:pPr>
          </w:p>
        </w:tc>
        <w:tc>
          <w:tcPr>
            <w:tcW w:w="0" w:type="auto"/>
            <w:shd w:val="clear" w:color="auto" w:fill="auto"/>
            <w:vAlign w:val="bottom"/>
          </w:tcPr>
          <w:p w14:paraId="74DD8767" w14:textId="77777777" w:rsidR="00584EC1" w:rsidRDefault="00584EC1">
            <w:pPr>
              <w:rPr>
                <w:rFonts w:ascii="宋体"/>
                <w:vanish/>
              </w:rPr>
            </w:pPr>
          </w:p>
        </w:tc>
        <w:tc>
          <w:tcPr>
            <w:tcW w:w="0" w:type="auto"/>
            <w:gridSpan w:val="3"/>
            <w:shd w:val="clear" w:color="auto" w:fill="auto"/>
            <w:vAlign w:val="bottom"/>
          </w:tcPr>
          <w:p w14:paraId="74DD8768" w14:textId="77777777" w:rsidR="00584EC1" w:rsidRDefault="00584EC1">
            <w:pPr>
              <w:rPr>
                <w:rFonts w:ascii="宋体"/>
                <w:vanish/>
              </w:rPr>
            </w:pPr>
          </w:p>
        </w:tc>
        <w:tc>
          <w:tcPr>
            <w:tcW w:w="0" w:type="auto"/>
            <w:gridSpan w:val="3"/>
            <w:shd w:val="clear" w:color="auto" w:fill="auto"/>
            <w:vAlign w:val="bottom"/>
          </w:tcPr>
          <w:p w14:paraId="74DD8769" w14:textId="77777777" w:rsidR="00584EC1" w:rsidRDefault="00584EC1">
            <w:pPr>
              <w:rPr>
                <w:rFonts w:ascii="宋体"/>
                <w:vanish/>
              </w:rPr>
            </w:pPr>
          </w:p>
        </w:tc>
      </w:tr>
      <w:tr w:rsidR="00584EC1" w14:paraId="74DD8775" w14:textId="77777777">
        <w:tc>
          <w:tcPr>
            <w:tcW w:w="0" w:type="auto"/>
            <w:gridSpan w:val="3"/>
            <w:shd w:val="clear" w:color="auto" w:fill="CCEEFF"/>
            <w:tcMar>
              <w:top w:w="40" w:type="dxa"/>
              <w:left w:w="20" w:type="dxa"/>
              <w:bottom w:w="40" w:type="dxa"/>
              <w:right w:w="20" w:type="dxa"/>
            </w:tcMar>
            <w:vAlign w:val="bottom"/>
          </w:tcPr>
          <w:p w14:paraId="74DD876B" w14:textId="77777777" w:rsidR="00584EC1" w:rsidRDefault="00871F8D">
            <w:pPr>
              <w:textAlignment w:val="bottom"/>
            </w:pPr>
            <w:r>
              <w:rPr>
                <w:rFonts w:ascii="Arial" w:eastAsia="宋体" w:hAnsi="Arial" w:cs="Arial"/>
                <w:color w:val="000000"/>
                <w:sz w:val="14"/>
                <w:szCs w:val="14"/>
              </w:rPr>
              <w:t>Trading account assets</w:t>
            </w:r>
          </w:p>
        </w:tc>
        <w:tc>
          <w:tcPr>
            <w:tcW w:w="0" w:type="auto"/>
            <w:gridSpan w:val="2"/>
            <w:shd w:val="clear" w:color="auto" w:fill="CCEEFF"/>
            <w:tcMar>
              <w:top w:w="40" w:type="dxa"/>
              <w:left w:w="20" w:type="dxa"/>
              <w:bottom w:w="40" w:type="dxa"/>
              <w:right w:w="0" w:type="dxa"/>
            </w:tcMar>
            <w:vAlign w:val="bottom"/>
          </w:tcPr>
          <w:p w14:paraId="74DD876C" w14:textId="77777777" w:rsidR="00584EC1" w:rsidRDefault="00871F8D">
            <w:pPr>
              <w:jc w:val="right"/>
              <w:textAlignment w:val="bottom"/>
            </w:pPr>
            <w:r>
              <w:rPr>
                <w:rFonts w:ascii="Arial" w:eastAsia="宋体" w:hAnsi="Arial" w:cs="Arial"/>
                <w:b/>
                <w:bCs/>
                <w:color w:val="000000"/>
                <w:sz w:val="14"/>
                <w:szCs w:val="14"/>
              </w:rPr>
              <w:t>754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876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76E"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76F" w14:textId="77777777" w:rsidR="00584EC1" w:rsidRDefault="00871F8D">
            <w:pPr>
              <w:jc w:val="right"/>
              <w:textAlignment w:val="bottom"/>
            </w:pPr>
            <w:r>
              <w:rPr>
                <w:rFonts w:ascii="Arial" w:eastAsia="宋体" w:hAnsi="Arial" w:cs="Arial"/>
                <w:color w:val="000000"/>
                <w:sz w:val="14"/>
                <w:szCs w:val="14"/>
              </w:rPr>
              <w:t>897 </w:t>
            </w:r>
          </w:p>
        </w:tc>
        <w:tc>
          <w:tcPr>
            <w:tcW w:w="0" w:type="auto"/>
            <w:shd w:val="clear" w:color="auto" w:fill="CCEEFF"/>
            <w:tcMar>
              <w:top w:w="40" w:type="dxa"/>
              <w:left w:w="0" w:type="dxa"/>
              <w:bottom w:w="40" w:type="dxa"/>
              <w:right w:w="20" w:type="dxa"/>
            </w:tcMar>
            <w:vAlign w:val="bottom"/>
          </w:tcPr>
          <w:p w14:paraId="74DD8770" w14:textId="77777777" w:rsidR="00584EC1" w:rsidRDefault="00584EC1">
            <w:pPr>
              <w:jc w:val="right"/>
              <w:rPr>
                <w:rFonts w:ascii="宋体"/>
              </w:rPr>
            </w:pPr>
          </w:p>
        </w:tc>
        <w:tc>
          <w:tcPr>
            <w:tcW w:w="0" w:type="auto"/>
            <w:shd w:val="clear" w:color="auto" w:fill="auto"/>
            <w:vAlign w:val="bottom"/>
          </w:tcPr>
          <w:p w14:paraId="74DD8771" w14:textId="77777777" w:rsidR="00584EC1" w:rsidRDefault="00584EC1">
            <w:pPr>
              <w:rPr>
                <w:rFonts w:ascii="宋体"/>
                <w:vanish/>
              </w:rPr>
            </w:pPr>
          </w:p>
        </w:tc>
        <w:tc>
          <w:tcPr>
            <w:tcW w:w="0" w:type="auto"/>
            <w:shd w:val="clear" w:color="auto" w:fill="auto"/>
            <w:vAlign w:val="bottom"/>
          </w:tcPr>
          <w:p w14:paraId="74DD8772" w14:textId="77777777" w:rsidR="00584EC1" w:rsidRDefault="00584EC1">
            <w:pPr>
              <w:rPr>
                <w:rFonts w:ascii="宋体"/>
                <w:vanish/>
              </w:rPr>
            </w:pPr>
          </w:p>
        </w:tc>
        <w:tc>
          <w:tcPr>
            <w:tcW w:w="0" w:type="auto"/>
            <w:gridSpan w:val="3"/>
            <w:shd w:val="clear" w:color="auto" w:fill="auto"/>
            <w:vAlign w:val="bottom"/>
          </w:tcPr>
          <w:p w14:paraId="74DD8773" w14:textId="77777777" w:rsidR="00584EC1" w:rsidRDefault="00584EC1">
            <w:pPr>
              <w:rPr>
                <w:rFonts w:ascii="宋体"/>
                <w:vanish/>
              </w:rPr>
            </w:pPr>
          </w:p>
        </w:tc>
        <w:tc>
          <w:tcPr>
            <w:tcW w:w="0" w:type="auto"/>
            <w:gridSpan w:val="3"/>
            <w:shd w:val="clear" w:color="auto" w:fill="auto"/>
            <w:vAlign w:val="bottom"/>
          </w:tcPr>
          <w:p w14:paraId="74DD8774" w14:textId="77777777" w:rsidR="00584EC1" w:rsidRDefault="00584EC1">
            <w:pPr>
              <w:rPr>
                <w:rFonts w:ascii="宋体"/>
                <w:vanish/>
              </w:rPr>
            </w:pPr>
          </w:p>
        </w:tc>
      </w:tr>
      <w:tr w:rsidR="00584EC1" w14:paraId="74DD877E" w14:textId="77777777">
        <w:tc>
          <w:tcPr>
            <w:tcW w:w="0" w:type="auto"/>
            <w:gridSpan w:val="3"/>
            <w:shd w:val="clear" w:color="auto" w:fill="FFFFFF"/>
            <w:tcMar>
              <w:top w:w="40" w:type="dxa"/>
              <w:left w:w="20" w:type="dxa"/>
              <w:bottom w:w="40" w:type="dxa"/>
              <w:right w:w="20" w:type="dxa"/>
            </w:tcMar>
            <w:vAlign w:val="bottom"/>
          </w:tcPr>
          <w:p w14:paraId="74DD8776" w14:textId="77777777" w:rsidR="00584EC1" w:rsidRDefault="00871F8D">
            <w:pPr>
              <w:textAlignment w:val="bottom"/>
            </w:pPr>
            <w:r>
              <w:rPr>
                <w:rFonts w:ascii="Arial" w:eastAsia="宋体" w:hAnsi="Arial" w:cs="Arial"/>
                <w:color w:val="000000"/>
                <w:sz w:val="14"/>
                <w:szCs w:val="14"/>
              </w:rPr>
              <w:t>Investment securities:</w:t>
            </w:r>
          </w:p>
        </w:tc>
        <w:tc>
          <w:tcPr>
            <w:tcW w:w="0" w:type="auto"/>
            <w:gridSpan w:val="3"/>
            <w:shd w:val="clear" w:color="auto" w:fill="FFFFFF"/>
            <w:tcMar>
              <w:top w:w="0" w:type="dxa"/>
              <w:left w:w="20" w:type="dxa"/>
              <w:bottom w:w="0" w:type="dxa"/>
              <w:right w:w="20" w:type="dxa"/>
            </w:tcMar>
            <w:vAlign w:val="bottom"/>
          </w:tcPr>
          <w:p w14:paraId="74DD8777"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8778"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8779" w14:textId="77777777" w:rsidR="00584EC1" w:rsidRDefault="00584EC1">
            <w:pPr>
              <w:rPr>
                <w:rFonts w:ascii="宋体"/>
              </w:rPr>
            </w:pPr>
          </w:p>
        </w:tc>
        <w:tc>
          <w:tcPr>
            <w:tcW w:w="0" w:type="auto"/>
            <w:shd w:val="clear" w:color="auto" w:fill="auto"/>
            <w:vAlign w:val="bottom"/>
          </w:tcPr>
          <w:p w14:paraId="74DD877A" w14:textId="77777777" w:rsidR="00584EC1" w:rsidRDefault="00584EC1">
            <w:pPr>
              <w:rPr>
                <w:rFonts w:ascii="宋体"/>
                <w:vanish/>
              </w:rPr>
            </w:pPr>
          </w:p>
        </w:tc>
        <w:tc>
          <w:tcPr>
            <w:tcW w:w="0" w:type="auto"/>
            <w:shd w:val="clear" w:color="auto" w:fill="auto"/>
            <w:vAlign w:val="bottom"/>
          </w:tcPr>
          <w:p w14:paraId="74DD877B" w14:textId="77777777" w:rsidR="00584EC1" w:rsidRDefault="00584EC1">
            <w:pPr>
              <w:rPr>
                <w:rFonts w:ascii="宋体"/>
                <w:vanish/>
              </w:rPr>
            </w:pPr>
          </w:p>
        </w:tc>
        <w:tc>
          <w:tcPr>
            <w:tcW w:w="0" w:type="auto"/>
            <w:gridSpan w:val="3"/>
            <w:shd w:val="clear" w:color="auto" w:fill="auto"/>
            <w:vAlign w:val="bottom"/>
          </w:tcPr>
          <w:p w14:paraId="74DD877C" w14:textId="77777777" w:rsidR="00584EC1" w:rsidRDefault="00584EC1">
            <w:pPr>
              <w:rPr>
                <w:rFonts w:ascii="宋体"/>
                <w:vanish/>
              </w:rPr>
            </w:pPr>
          </w:p>
        </w:tc>
        <w:tc>
          <w:tcPr>
            <w:tcW w:w="0" w:type="auto"/>
            <w:gridSpan w:val="3"/>
            <w:shd w:val="clear" w:color="auto" w:fill="auto"/>
            <w:vAlign w:val="bottom"/>
          </w:tcPr>
          <w:p w14:paraId="74DD877D" w14:textId="77777777" w:rsidR="00584EC1" w:rsidRDefault="00584EC1">
            <w:pPr>
              <w:rPr>
                <w:rFonts w:ascii="宋体"/>
                <w:vanish/>
              </w:rPr>
            </w:pPr>
          </w:p>
        </w:tc>
      </w:tr>
      <w:tr w:rsidR="00584EC1" w14:paraId="74DD8787" w14:textId="77777777">
        <w:trPr>
          <w:hidden/>
        </w:trPr>
        <w:tc>
          <w:tcPr>
            <w:tcW w:w="0" w:type="auto"/>
            <w:gridSpan w:val="3"/>
            <w:shd w:val="clear" w:color="auto" w:fill="auto"/>
            <w:vAlign w:val="bottom"/>
          </w:tcPr>
          <w:p w14:paraId="74DD877F" w14:textId="77777777" w:rsidR="00584EC1" w:rsidRDefault="00584EC1">
            <w:pPr>
              <w:rPr>
                <w:rFonts w:ascii="宋体"/>
                <w:vanish/>
              </w:rPr>
            </w:pPr>
          </w:p>
        </w:tc>
        <w:tc>
          <w:tcPr>
            <w:tcW w:w="0" w:type="auto"/>
            <w:gridSpan w:val="3"/>
            <w:shd w:val="clear" w:color="auto" w:fill="auto"/>
            <w:vAlign w:val="bottom"/>
          </w:tcPr>
          <w:p w14:paraId="74DD8780" w14:textId="77777777" w:rsidR="00584EC1" w:rsidRDefault="00584EC1">
            <w:pPr>
              <w:rPr>
                <w:rFonts w:ascii="宋体"/>
                <w:vanish/>
              </w:rPr>
            </w:pPr>
          </w:p>
        </w:tc>
        <w:tc>
          <w:tcPr>
            <w:tcW w:w="0" w:type="auto"/>
            <w:gridSpan w:val="3"/>
            <w:shd w:val="clear" w:color="auto" w:fill="auto"/>
            <w:vAlign w:val="bottom"/>
          </w:tcPr>
          <w:p w14:paraId="74DD8781" w14:textId="77777777" w:rsidR="00584EC1" w:rsidRDefault="00584EC1">
            <w:pPr>
              <w:rPr>
                <w:rFonts w:ascii="宋体"/>
                <w:vanish/>
              </w:rPr>
            </w:pPr>
          </w:p>
        </w:tc>
        <w:tc>
          <w:tcPr>
            <w:tcW w:w="0" w:type="auto"/>
            <w:gridSpan w:val="3"/>
            <w:shd w:val="clear" w:color="auto" w:fill="auto"/>
            <w:vAlign w:val="bottom"/>
          </w:tcPr>
          <w:p w14:paraId="74DD8782" w14:textId="77777777" w:rsidR="00584EC1" w:rsidRDefault="00584EC1">
            <w:pPr>
              <w:rPr>
                <w:rFonts w:ascii="宋体"/>
                <w:vanish/>
              </w:rPr>
            </w:pPr>
          </w:p>
        </w:tc>
        <w:tc>
          <w:tcPr>
            <w:tcW w:w="0" w:type="auto"/>
            <w:shd w:val="clear" w:color="auto" w:fill="auto"/>
            <w:vAlign w:val="bottom"/>
          </w:tcPr>
          <w:p w14:paraId="74DD8783" w14:textId="77777777" w:rsidR="00584EC1" w:rsidRDefault="00584EC1">
            <w:pPr>
              <w:rPr>
                <w:rFonts w:ascii="宋体"/>
                <w:vanish/>
              </w:rPr>
            </w:pPr>
          </w:p>
        </w:tc>
        <w:tc>
          <w:tcPr>
            <w:tcW w:w="0" w:type="auto"/>
            <w:shd w:val="clear" w:color="auto" w:fill="auto"/>
            <w:vAlign w:val="bottom"/>
          </w:tcPr>
          <w:p w14:paraId="74DD8784" w14:textId="77777777" w:rsidR="00584EC1" w:rsidRDefault="00584EC1">
            <w:pPr>
              <w:rPr>
                <w:rFonts w:ascii="宋体"/>
                <w:vanish/>
              </w:rPr>
            </w:pPr>
          </w:p>
        </w:tc>
        <w:tc>
          <w:tcPr>
            <w:tcW w:w="0" w:type="auto"/>
            <w:gridSpan w:val="3"/>
            <w:shd w:val="clear" w:color="auto" w:fill="auto"/>
            <w:vAlign w:val="bottom"/>
          </w:tcPr>
          <w:p w14:paraId="74DD8785" w14:textId="77777777" w:rsidR="00584EC1" w:rsidRDefault="00584EC1">
            <w:pPr>
              <w:rPr>
                <w:rFonts w:ascii="宋体"/>
                <w:vanish/>
              </w:rPr>
            </w:pPr>
          </w:p>
        </w:tc>
        <w:tc>
          <w:tcPr>
            <w:tcW w:w="0" w:type="auto"/>
            <w:gridSpan w:val="3"/>
            <w:shd w:val="clear" w:color="auto" w:fill="auto"/>
            <w:vAlign w:val="bottom"/>
          </w:tcPr>
          <w:p w14:paraId="74DD8786" w14:textId="77777777" w:rsidR="00584EC1" w:rsidRDefault="00584EC1">
            <w:pPr>
              <w:rPr>
                <w:rFonts w:ascii="宋体"/>
                <w:vanish/>
              </w:rPr>
            </w:pPr>
          </w:p>
        </w:tc>
      </w:tr>
      <w:tr w:rsidR="00584EC1" w14:paraId="74DD8790" w14:textId="77777777">
        <w:trPr>
          <w:hidden/>
        </w:trPr>
        <w:tc>
          <w:tcPr>
            <w:tcW w:w="0" w:type="auto"/>
            <w:gridSpan w:val="3"/>
            <w:shd w:val="clear" w:color="auto" w:fill="auto"/>
            <w:vAlign w:val="bottom"/>
          </w:tcPr>
          <w:p w14:paraId="74DD8788" w14:textId="77777777" w:rsidR="00584EC1" w:rsidRDefault="00584EC1">
            <w:pPr>
              <w:rPr>
                <w:rFonts w:ascii="宋体"/>
                <w:vanish/>
              </w:rPr>
            </w:pPr>
          </w:p>
        </w:tc>
        <w:tc>
          <w:tcPr>
            <w:tcW w:w="0" w:type="auto"/>
            <w:gridSpan w:val="3"/>
            <w:shd w:val="clear" w:color="auto" w:fill="auto"/>
            <w:vAlign w:val="bottom"/>
          </w:tcPr>
          <w:p w14:paraId="74DD8789" w14:textId="77777777" w:rsidR="00584EC1" w:rsidRDefault="00584EC1">
            <w:pPr>
              <w:rPr>
                <w:rFonts w:ascii="宋体"/>
                <w:vanish/>
              </w:rPr>
            </w:pPr>
          </w:p>
        </w:tc>
        <w:tc>
          <w:tcPr>
            <w:tcW w:w="0" w:type="auto"/>
            <w:gridSpan w:val="3"/>
            <w:shd w:val="clear" w:color="auto" w:fill="auto"/>
            <w:vAlign w:val="bottom"/>
          </w:tcPr>
          <w:p w14:paraId="74DD878A" w14:textId="77777777" w:rsidR="00584EC1" w:rsidRDefault="00584EC1">
            <w:pPr>
              <w:rPr>
                <w:rFonts w:ascii="宋体"/>
                <w:vanish/>
              </w:rPr>
            </w:pPr>
          </w:p>
        </w:tc>
        <w:tc>
          <w:tcPr>
            <w:tcW w:w="0" w:type="auto"/>
            <w:gridSpan w:val="3"/>
            <w:shd w:val="clear" w:color="auto" w:fill="auto"/>
            <w:vAlign w:val="bottom"/>
          </w:tcPr>
          <w:p w14:paraId="74DD878B" w14:textId="77777777" w:rsidR="00584EC1" w:rsidRDefault="00584EC1">
            <w:pPr>
              <w:rPr>
                <w:rFonts w:ascii="宋体"/>
                <w:vanish/>
              </w:rPr>
            </w:pPr>
          </w:p>
        </w:tc>
        <w:tc>
          <w:tcPr>
            <w:tcW w:w="0" w:type="auto"/>
            <w:shd w:val="clear" w:color="auto" w:fill="auto"/>
            <w:vAlign w:val="bottom"/>
          </w:tcPr>
          <w:p w14:paraId="74DD878C" w14:textId="77777777" w:rsidR="00584EC1" w:rsidRDefault="00584EC1">
            <w:pPr>
              <w:rPr>
                <w:rFonts w:ascii="宋体"/>
                <w:vanish/>
              </w:rPr>
            </w:pPr>
          </w:p>
        </w:tc>
        <w:tc>
          <w:tcPr>
            <w:tcW w:w="0" w:type="auto"/>
            <w:shd w:val="clear" w:color="auto" w:fill="auto"/>
            <w:vAlign w:val="bottom"/>
          </w:tcPr>
          <w:p w14:paraId="74DD878D" w14:textId="77777777" w:rsidR="00584EC1" w:rsidRDefault="00584EC1">
            <w:pPr>
              <w:rPr>
                <w:rFonts w:ascii="宋体"/>
                <w:vanish/>
              </w:rPr>
            </w:pPr>
          </w:p>
        </w:tc>
        <w:tc>
          <w:tcPr>
            <w:tcW w:w="0" w:type="auto"/>
            <w:gridSpan w:val="3"/>
            <w:shd w:val="clear" w:color="auto" w:fill="auto"/>
            <w:vAlign w:val="bottom"/>
          </w:tcPr>
          <w:p w14:paraId="74DD878E" w14:textId="77777777" w:rsidR="00584EC1" w:rsidRDefault="00584EC1">
            <w:pPr>
              <w:rPr>
                <w:rFonts w:ascii="宋体"/>
                <w:vanish/>
              </w:rPr>
            </w:pPr>
          </w:p>
        </w:tc>
        <w:tc>
          <w:tcPr>
            <w:tcW w:w="0" w:type="auto"/>
            <w:gridSpan w:val="3"/>
            <w:shd w:val="clear" w:color="auto" w:fill="auto"/>
            <w:vAlign w:val="bottom"/>
          </w:tcPr>
          <w:p w14:paraId="74DD878F" w14:textId="77777777" w:rsidR="00584EC1" w:rsidRDefault="00584EC1">
            <w:pPr>
              <w:rPr>
                <w:rFonts w:ascii="宋体"/>
                <w:vanish/>
              </w:rPr>
            </w:pPr>
          </w:p>
        </w:tc>
      </w:tr>
      <w:tr w:rsidR="00584EC1" w14:paraId="74DD8799" w14:textId="77777777">
        <w:trPr>
          <w:hidden/>
        </w:trPr>
        <w:tc>
          <w:tcPr>
            <w:tcW w:w="0" w:type="auto"/>
            <w:gridSpan w:val="3"/>
            <w:shd w:val="clear" w:color="auto" w:fill="auto"/>
            <w:vAlign w:val="bottom"/>
          </w:tcPr>
          <w:p w14:paraId="74DD8791" w14:textId="77777777" w:rsidR="00584EC1" w:rsidRDefault="00584EC1">
            <w:pPr>
              <w:rPr>
                <w:rFonts w:ascii="宋体"/>
                <w:vanish/>
              </w:rPr>
            </w:pPr>
          </w:p>
        </w:tc>
        <w:tc>
          <w:tcPr>
            <w:tcW w:w="0" w:type="auto"/>
            <w:gridSpan w:val="3"/>
            <w:shd w:val="clear" w:color="auto" w:fill="auto"/>
            <w:vAlign w:val="bottom"/>
          </w:tcPr>
          <w:p w14:paraId="74DD8792" w14:textId="77777777" w:rsidR="00584EC1" w:rsidRDefault="00584EC1">
            <w:pPr>
              <w:rPr>
                <w:rFonts w:ascii="宋体"/>
                <w:vanish/>
              </w:rPr>
            </w:pPr>
          </w:p>
        </w:tc>
        <w:tc>
          <w:tcPr>
            <w:tcW w:w="0" w:type="auto"/>
            <w:gridSpan w:val="3"/>
            <w:shd w:val="clear" w:color="auto" w:fill="auto"/>
            <w:vAlign w:val="bottom"/>
          </w:tcPr>
          <w:p w14:paraId="74DD8793" w14:textId="77777777" w:rsidR="00584EC1" w:rsidRDefault="00584EC1">
            <w:pPr>
              <w:rPr>
                <w:rFonts w:ascii="宋体"/>
                <w:vanish/>
              </w:rPr>
            </w:pPr>
          </w:p>
        </w:tc>
        <w:tc>
          <w:tcPr>
            <w:tcW w:w="0" w:type="auto"/>
            <w:gridSpan w:val="3"/>
            <w:shd w:val="clear" w:color="auto" w:fill="auto"/>
            <w:vAlign w:val="bottom"/>
          </w:tcPr>
          <w:p w14:paraId="74DD8794" w14:textId="77777777" w:rsidR="00584EC1" w:rsidRDefault="00584EC1">
            <w:pPr>
              <w:rPr>
                <w:rFonts w:ascii="宋体"/>
                <w:vanish/>
              </w:rPr>
            </w:pPr>
          </w:p>
        </w:tc>
        <w:tc>
          <w:tcPr>
            <w:tcW w:w="0" w:type="auto"/>
            <w:shd w:val="clear" w:color="auto" w:fill="auto"/>
            <w:vAlign w:val="bottom"/>
          </w:tcPr>
          <w:p w14:paraId="74DD8795" w14:textId="77777777" w:rsidR="00584EC1" w:rsidRDefault="00584EC1">
            <w:pPr>
              <w:rPr>
                <w:rFonts w:ascii="宋体"/>
                <w:vanish/>
              </w:rPr>
            </w:pPr>
          </w:p>
        </w:tc>
        <w:tc>
          <w:tcPr>
            <w:tcW w:w="0" w:type="auto"/>
            <w:shd w:val="clear" w:color="auto" w:fill="auto"/>
            <w:vAlign w:val="bottom"/>
          </w:tcPr>
          <w:p w14:paraId="74DD8796" w14:textId="77777777" w:rsidR="00584EC1" w:rsidRDefault="00584EC1">
            <w:pPr>
              <w:rPr>
                <w:rFonts w:ascii="宋体"/>
                <w:vanish/>
              </w:rPr>
            </w:pPr>
          </w:p>
        </w:tc>
        <w:tc>
          <w:tcPr>
            <w:tcW w:w="0" w:type="auto"/>
            <w:gridSpan w:val="3"/>
            <w:shd w:val="clear" w:color="auto" w:fill="auto"/>
            <w:vAlign w:val="bottom"/>
          </w:tcPr>
          <w:p w14:paraId="74DD8797" w14:textId="77777777" w:rsidR="00584EC1" w:rsidRDefault="00584EC1">
            <w:pPr>
              <w:rPr>
                <w:rFonts w:ascii="宋体"/>
                <w:vanish/>
              </w:rPr>
            </w:pPr>
          </w:p>
        </w:tc>
        <w:tc>
          <w:tcPr>
            <w:tcW w:w="0" w:type="auto"/>
            <w:gridSpan w:val="3"/>
            <w:shd w:val="clear" w:color="auto" w:fill="auto"/>
            <w:vAlign w:val="bottom"/>
          </w:tcPr>
          <w:p w14:paraId="74DD8798" w14:textId="77777777" w:rsidR="00584EC1" w:rsidRDefault="00584EC1">
            <w:pPr>
              <w:rPr>
                <w:rFonts w:ascii="宋体"/>
                <w:vanish/>
              </w:rPr>
            </w:pPr>
          </w:p>
        </w:tc>
      </w:tr>
      <w:tr w:rsidR="00584EC1" w14:paraId="74DD87A2" w14:textId="77777777">
        <w:trPr>
          <w:hidden/>
        </w:trPr>
        <w:tc>
          <w:tcPr>
            <w:tcW w:w="0" w:type="auto"/>
            <w:gridSpan w:val="3"/>
            <w:shd w:val="clear" w:color="auto" w:fill="auto"/>
            <w:vAlign w:val="bottom"/>
          </w:tcPr>
          <w:p w14:paraId="74DD879A" w14:textId="77777777" w:rsidR="00584EC1" w:rsidRDefault="00584EC1">
            <w:pPr>
              <w:rPr>
                <w:rFonts w:ascii="宋体"/>
                <w:vanish/>
              </w:rPr>
            </w:pPr>
          </w:p>
        </w:tc>
        <w:tc>
          <w:tcPr>
            <w:tcW w:w="0" w:type="auto"/>
            <w:gridSpan w:val="3"/>
            <w:shd w:val="clear" w:color="auto" w:fill="auto"/>
            <w:vAlign w:val="bottom"/>
          </w:tcPr>
          <w:p w14:paraId="74DD879B" w14:textId="77777777" w:rsidR="00584EC1" w:rsidRDefault="00584EC1">
            <w:pPr>
              <w:rPr>
                <w:rFonts w:ascii="宋体"/>
                <w:vanish/>
              </w:rPr>
            </w:pPr>
          </w:p>
        </w:tc>
        <w:tc>
          <w:tcPr>
            <w:tcW w:w="0" w:type="auto"/>
            <w:gridSpan w:val="3"/>
            <w:shd w:val="clear" w:color="auto" w:fill="auto"/>
            <w:vAlign w:val="bottom"/>
          </w:tcPr>
          <w:p w14:paraId="74DD879C" w14:textId="77777777" w:rsidR="00584EC1" w:rsidRDefault="00584EC1">
            <w:pPr>
              <w:rPr>
                <w:rFonts w:ascii="宋体"/>
                <w:vanish/>
              </w:rPr>
            </w:pPr>
          </w:p>
        </w:tc>
        <w:tc>
          <w:tcPr>
            <w:tcW w:w="0" w:type="auto"/>
            <w:gridSpan w:val="3"/>
            <w:shd w:val="clear" w:color="auto" w:fill="auto"/>
            <w:vAlign w:val="bottom"/>
          </w:tcPr>
          <w:p w14:paraId="74DD879D" w14:textId="77777777" w:rsidR="00584EC1" w:rsidRDefault="00584EC1">
            <w:pPr>
              <w:rPr>
                <w:rFonts w:ascii="宋体"/>
                <w:vanish/>
              </w:rPr>
            </w:pPr>
          </w:p>
        </w:tc>
        <w:tc>
          <w:tcPr>
            <w:tcW w:w="0" w:type="auto"/>
            <w:shd w:val="clear" w:color="auto" w:fill="auto"/>
            <w:vAlign w:val="bottom"/>
          </w:tcPr>
          <w:p w14:paraId="74DD879E" w14:textId="77777777" w:rsidR="00584EC1" w:rsidRDefault="00584EC1">
            <w:pPr>
              <w:rPr>
                <w:rFonts w:ascii="宋体"/>
                <w:vanish/>
              </w:rPr>
            </w:pPr>
          </w:p>
        </w:tc>
        <w:tc>
          <w:tcPr>
            <w:tcW w:w="0" w:type="auto"/>
            <w:shd w:val="clear" w:color="auto" w:fill="auto"/>
            <w:vAlign w:val="bottom"/>
          </w:tcPr>
          <w:p w14:paraId="74DD879F" w14:textId="77777777" w:rsidR="00584EC1" w:rsidRDefault="00584EC1">
            <w:pPr>
              <w:rPr>
                <w:rFonts w:ascii="宋体"/>
                <w:vanish/>
              </w:rPr>
            </w:pPr>
          </w:p>
        </w:tc>
        <w:tc>
          <w:tcPr>
            <w:tcW w:w="0" w:type="auto"/>
            <w:gridSpan w:val="3"/>
            <w:shd w:val="clear" w:color="auto" w:fill="auto"/>
            <w:vAlign w:val="bottom"/>
          </w:tcPr>
          <w:p w14:paraId="74DD87A0" w14:textId="77777777" w:rsidR="00584EC1" w:rsidRDefault="00584EC1">
            <w:pPr>
              <w:rPr>
                <w:rFonts w:ascii="宋体"/>
                <w:vanish/>
              </w:rPr>
            </w:pPr>
          </w:p>
        </w:tc>
        <w:tc>
          <w:tcPr>
            <w:tcW w:w="0" w:type="auto"/>
            <w:gridSpan w:val="3"/>
            <w:shd w:val="clear" w:color="auto" w:fill="auto"/>
            <w:vAlign w:val="bottom"/>
          </w:tcPr>
          <w:p w14:paraId="74DD87A1" w14:textId="77777777" w:rsidR="00584EC1" w:rsidRDefault="00584EC1">
            <w:pPr>
              <w:rPr>
                <w:rFonts w:ascii="宋体"/>
                <w:vanish/>
              </w:rPr>
            </w:pPr>
          </w:p>
        </w:tc>
      </w:tr>
      <w:tr w:rsidR="00584EC1" w14:paraId="74DD87AB" w14:textId="77777777">
        <w:trPr>
          <w:hidden/>
        </w:trPr>
        <w:tc>
          <w:tcPr>
            <w:tcW w:w="0" w:type="auto"/>
            <w:gridSpan w:val="3"/>
            <w:shd w:val="clear" w:color="auto" w:fill="auto"/>
            <w:vAlign w:val="bottom"/>
          </w:tcPr>
          <w:p w14:paraId="74DD87A3" w14:textId="77777777" w:rsidR="00584EC1" w:rsidRDefault="00584EC1">
            <w:pPr>
              <w:rPr>
                <w:rFonts w:ascii="宋体"/>
                <w:vanish/>
              </w:rPr>
            </w:pPr>
          </w:p>
        </w:tc>
        <w:tc>
          <w:tcPr>
            <w:tcW w:w="0" w:type="auto"/>
            <w:gridSpan w:val="3"/>
            <w:shd w:val="clear" w:color="auto" w:fill="auto"/>
            <w:vAlign w:val="bottom"/>
          </w:tcPr>
          <w:p w14:paraId="74DD87A4" w14:textId="77777777" w:rsidR="00584EC1" w:rsidRDefault="00584EC1">
            <w:pPr>
              <w:rPr>
                <w:rFonts w:ascii="宋体"/>
                <w:vanish/>
              </w:rPr>
            </w:pPr>
          </w:p>
        </w:tc>
        <w:tc>
          <w:tcPr>
            <w:tcW w:w="0" w:type="auto"/>
            <w:gridSpan w:val="3"/>
            <w:shd w:val="clear" w:color="auto" w:fill="auto"/>
            <w:vAlign w:val="bottom"/>
          </w:tcPr>
          <w:p w14:paraId="74DD87A5" w14:textId="77777777" w:rsidR="00584EC1" w:rsidRDefault="00584EC1">
            <w:pPr>
              <w:rPr>
                <w:rFonts w:ascii="宋体"/>
                <w:vanish/>
              </w:rPr>
            </w:pPr>
          </w:p>
        </w:tc>
        <w:tc>
          <w:tcPr>
            <w:tcW w:w="0" w:type="auto"/>
            <w:gridSpan w:val="3"/>
            <w:shd w:val="clear" w:color="auto" w:fill="auto"/>
            <w:vAlign w:val="bottom"/>
          </w:tcPr>
          <w:p w14:paraId="74DD87A6" w14:textId="77777777" w:rsidR="00584EC1" w:rsidRDefault="00584EC1">
            <w:pPr>
              <w:rPr>
                <w:rFonts w:ascii="宋体"/>
                <w:vanish/>
              </w:rPr>
            </w:pPr>
          </w:p>
        </w:tc>
        <w:tc>
          <w:tcPr>
            <w:tcW w:w="0" w:type="auto"/>
            <w:shd w:val="clear" w:color="auto" w:fill="auto"/>
            <w:vAlign w:val="bottom"/>
          </w:tcPr>
          <w:p w14:paraId="74DD87A7" w14:textId="77777777" w:rsidR="00584EC1" w:rsidRDefault="00584EC1">
            <w:pPr>
              <w:rPr>
                <w:rFonts w:ascii="宋体"/>
                <w:vanish/>
              </w:rPr>
            </w:pPr>
          </w:p>
        </w:tc>
        <w:tc>
          <w:tcPr>
            <w:tcW w:w="0" w:type="auto"/>
            <w:shd w:val="clear" w:color="auto" w:fill="auto"/>
            <w:vAlign w:val="bottom"/>
          </w:tcPr>
          <w:p w14:paraId="74DD87A8" w14:textId="77777777" w:rsidR="00584EC1" w:rsidRDefault="00584EC1">
            <w:pPr>
              <w:rPr>
                <w:rFonts w:ascii="宋体"/>
                <w:vanish/>
              </w:rPr>
            </w:pPr>
          </w:p>
        </w:tc>
        <w:tc>
          <w:tcPr>
            <w:tcW w:w="0" w:type="auto"/>
            <w:gridSpan w:val="3"/>
            <w:shd w:val="clear" w:color="auto" w:fill="auto"/>
            <w:vAlign w:val="bottom"/>
          </w:tcPr>
          <w:p w14:paraId="74DD87A9" w14:textId="77777777" w:rsidR="00584EC1" w:rsidRDefault="00584EC1">
            <w:pPr>
              <w:rPr>
                <w:rFonts w:ascii="宋体"/>
                <w:vanish/>
              </w:rPr>
            </w:pPr>
          </w:p>
        </w:tc>
        <w:tc>
          <w:tcPr>
            <w:tcW w:w="0" w:type="auto"/>
            <w:gridSpan w:val="3"/>
            <w:shd w:val="clear" w:color="auto" w:fill="auto"/>
            <w:vAlign w:val="bottom"/>
          </w:tcPr>
          <w:p w14:paraId="74DD87AA" w14:textId="77777777" w:rsidR="00584EC1" w:rsidRDefault="00584EC1">
            <w:pPr>
              <w:rPr>
                <w:rFonts w:ascii="宋体"/>
                <w:vanish/>
              </w:rPr>
            </w:pPr>
          </w:p>
        </w:tc>
      </w:tr>
      <w:tr w:rsidR="00584EC1" w14:paraId="74DD87B4" w14:textId="77777777">
        <w:trPr>
          <w:hidden/>
        </w:trPr>
        <w:tc>
          <w:tcPr>
            <w:tcW w:w="0" w:type="auto"/>
            <w:gridSpan w:val="3"/>
            <w:shd w:val="clear" w:color="auto" w:fill="auto"/>
            <w:vAlign w:val="bottom"/>
          </w:tcPr>
          <w:p w14:paraId="74DD87AC" w14:textId="77777777" w:rsidR="00584EC1" w:rsidRDefault="00584EC1">
            <w:pPr>
              <w:rPr>
                <w:rFonts w:ascii="宋体"/>
                <w:vanish/>
              </w:rPr>
            </w:pPr>
          </w:p>
        </w:tc>
        <w:tc>
          <w:tcPr>
            <w:tcW w:w="0" w:type="auto"/>
            <w:gridSpan w:val="3"/>
            <w:shd w:val="clear" w:color="auto" w:fill="auto"/>
            <w:vAlign w:val="bottom"/>
          </w:tcPr>
          <w:p w14:paraId="74DD87AD" w14:textId="77777777" w:rsidR="00584EC1" w:rsidRDefault="00584EC1">
            <w:pPr>
              <w:rPr>
                <w:rFonts w:ascii="宋体"/>
                <w:vanish/>
              </w:rPr>
            </w:pPr>
          </w:p>
        </w:tc>
        <w:tc>
          <w:tcPr>
            <w:tcW w:w="0" w:type="auto"/>
            <w:gridSpan w:val="3"/>
            <w:shd w:val="clear" w:color="auto" w:fill="auto"/>
            <w:vAlign w:val="bottom"/>
          </w:tcPr>
          <w:p w14:paraId="74DD87AE" w14:textId="77777777" w:rsidR="00584EC1" w:rsidRDefault="00584EC1">
            <w:pPr>
              <w:rPr>
                <w:rFonts w:ascii="宋体"/>
                <w:vanish/>
              </w:rPr>
            </w:pPr>
          </w:p>
        </w:tc>
        <w:tc>
          <w:tcPr>
            <w:tcW w:w="0" w:type="auto"/>
            <w:gridSpan w:val="3"/>
            <w:shd w:val="clear" w:color="auto" w:fill="auto"/>
            <w:vAlign w:val="bottom"/>
          </w:tcPr>
          <w:p w14:paraId="74DD87AF" w14:textId="77777777" w:rsidR="00584EC1" w:rsidRDefault="00584EC1">
            <w:pPr>
              <w:rPr>
                <w:rFonts w:ascii="宋体"/>
                <w:vanish/>
              </w:rPr>
            </w:pPr>
          </w:p>
        </w:tc>
        <w:tc>
          <w:tcPr>
            <w:tcW w:w="0" w:type="auto"/>
            <w:shd w:val="clear" w:color="auto" w:fill="auto"/>
            <w:vAlign w:val="bottom"/>
          </w:tcPr>
          <w:p w14:paraId="74DD87B0" w14:textId="77777777" w:rsidR="00584EC1" w:rsidRDefault="00584EC1">
            <w:pPr>
              <w:rPr>
                <w:rFonts w:ascii="宋体"/>
                <w:vanish/>
              </w:rPr>
            </w:pPr>
          </w:p>
        </w:tc>
        <w:tc>
          <w:tcPr>
            <w:tcW w:w="0" w:type="auto"/>
            <w:shd w:val="clear" w:color="auto" w:fill="auto"/>
            <w:vAlign w:val="bottom"/>
          </w:tcPr>
          <w:p w14:paraId="74DD87B1" w14:textId="77777777" w:rsidR="00584EC1" w:rsidRDefault="00584EC1">
            <w:pPr>
              <w:rPr>
                <w:rFonts w:ascii="宋体"/>
                <w:vanish/>
              </w:rPr>
            </w:pPr>
          </w:p>
        </w:tc>
        <w:tc>
          <w:tcPr>
            <w:tcW w:w="0" w:type="auto"/>
            <w:gridSpan w:val="3"/>
            <w:shd w:val="clear" w:color="auto" w:fill="auto"/>
            <w:vAlign w:val="bottom"/>
          </w:tcPr>
          <w:p w14:paraId="74DD87B2" w14:textId="77777777" w:rsidR="00584EC1" w:rsidRDefault="00584EC1">
            <w:pPr>
              <w:rPr>
                <w:rFonts w:ascii="宋体"/>
                <w:vanish/>
              </w:rPr>
            </w:pPr>
          </w:p>
        </w:tc>
        <w:tc>
          <w:tcPr>
            <w:tcW w:w="0" w:type="auto"/>
            <w:gridSpan w:val="3"/>
            <w:shd w:val="clear" w:color="auto" w:fill="auto"/>
            <w:vAlign w:val="bottom"/>
          </w:tcPr>
          <w:p w14:paraId="74DD87B3" w14:textId="77777777" w:rsidR="00584EC1" w:rsidRDefault="00584EC1">
            <w:pPr>
              <w:rPr>
                <w:rFonts w:ascii="宋体"/>
                <w:vanish/>
              </w:rPr>
            </w:pPr>
          </w:p>
        </w:tc>
      </w:tr>
      <w:tr w:rsidR="00584EC1" w14:paraId="74DD87BD" w14:textId="77777777">
        <w:trPr>
          <w:hidden/>
        </w:trPr>
        <w:tc>
          <w:tcPr>
            <w:tcW w:w="0" w:type="auto"/>
            <w:gridSpan w:val="3"/>
            <w:shd w:val="clear" w:color="auto" w:fill="auto"/>
            <w:vAlign w:val="bottom"/>
          </w:tcPr>
          <w:p w14:paraId="74DD87B5" w14:textId="77777777" w:rsidR="00584EC1" w:rsidRDefault="00584EC1">
            <w:pPr>
              <w:rPr>
                <w:rFonts w:ascii="宋体"/>
                <w:vanish/>
              </w:rPr>
            </w:pPr>
          </w:p>
        </w:tc>
        <w:tc>
          <w:tcPr>
            <w:tcW w:w="0" w:type="auto"/>
            <w:gridSpan w:val="3"/>
            <w:shd w:val="clear" w:color="auto" w:fill="auto"/>
            <w:vAlign w:val="bottom"/>
          </w:tcPr>
          <w:p w14:paraId="74DD87B6" w14:textId="77777777" w:rsidR="00584EC1" w:rsidRDefault="00584EC1">
            <w:pPr>
              <w:rPr>
                <w:rFonts w:ascii="宋体"/>
                <w:vanish/>
              </w:rPr>
            </w:pPr>
          </w:p>
        </w:tc>
        <w:tc>
          <w:tcPr>
            <w:tcW w:w="0" w:type="auto"/>
            <w:gridSpan w:val="3"/>
            <w:shd w:val="clear" w:color="auto" w:fill="auto"/>
            <w:vAlign w:val="bottom"/>
          </w:tcPr>
          <w:p w14:paraId="74DD87B7" w14:textId="77777777" w:rsidR="00584EC1" w:rsidRDefault="00584EC1">
            <w:pPr>
              <w:rPr>
                <w:rFonts w:ascii="宋体"/>
                <w:vanish/>
              </w:rPr>
            </w:pPr>
          </w:p>
        </w:tc>
        <w:tc>
          <w:tcPr>
            <w:tcW w:w="0" w:type="auto"/>
            <w:gridSpan w:val="3"/>
            <w:shd w:val="clear" w:color="auto" w:fill="auto"/>
            <w:vAlign w:val="bottom"/>
          </w:tcPr>
          <w:p w14:paraId="74DD87B8" w14:textId="77777777" w:rsidR="00584EC1" w:rsidRDefault="00584EC1">
            <w:pPr>
              <w:rPr>
                <w:rFonts w:ascii="宋体"/>
                <w:vanish/>
              </w:rPr>
            </w:pPr>
          </w:p>
        </w:tc>
        <w:tc>
          <w:tcPr>
            <w:tcW w:w="0" w:type="auto"/>
            <w:shd w:val="clear" w:color="auto" w:fill="auto"/>
            <w:vAlign w:val="bottom"/>
          </w:tcPr>
          <w:p w14:paraId="74DD87B9" w14:textId="77777777" w:rsidR="00584EC1" w:rsidRDefault="00584EC1">
            <w:pPr>
              <w:rPr>
                <w:rFonts w:ascii="宋体"/>
                <w:vanish/>
              </w:rPr>
            </w:pPr>
          </w:p>
        </w:tc>
        <w:tc>
          <w:tcPr>
            <w:tcW w:w="0" w:type="auto"/>
            <w:shd w:val="clear" w:color="auto" w:fill="auto"/>
            <w:vAlign w:val="bottom"/>
          </w:tcPr>
          <w:p w14:paraId="74DD87BA" w14:textId="77777777" w:rsidR="00584EC1" w:rsidRDefault="00584EC1">
            <w:pPr>
              <w:rPr>
                <w:rFonts w:ascii="宋体"/>
                <w:vanish/>
              </w:rPr>
            </w:pPr>
          </w:p>
        </w:tc>
        <w:tc>
          <w:tcPr>
            <w:tcW w:w="0" w:type="auto"/>
            <w:gridSpan w:val="3"/>
            <w:shd w:val="clear" w:color="auto" w:fill="auto"/>
            <w:vAlign w:val="bottom"/>
          </w:tcPr>
          <w:p w14:paraId="74DD87BB" w14:textId="77777777" w:rsidR="00584EC1" w:rsidRDefault="00584EC1">
            <w:pPr>
              <w:rPr>
                <w:rFonts w:ascii="宋体"/>
                <w:vanish/>
              </w:rPr>
            </w:pPr>
          </w:p>
        </w:tc>
        <w:tc>
          <w:tcPr>
            <w:tcW w:w="0" w:type="auto"/>
            <w:gridSpan w:val="3"/>
            <w:shd w:val="clear" w:color="auto" w:fill="auto"/>
            <w:vAlign w:val="bottom"/>
          </w:tcPr>
          <w:p w14:paraId="74DD87BC" w14:textId="77777777" w:rsidR="00584EC1" w:rsidRDefault="00584EC1">
            <w:pPr>
              <w:rPr>
                <w:rFonts w:ascii="宋体"/>
                <w:vanish/>
              </w:rPr>
            </w:pPr>
          </w:p>
        </w:tc>
      </w:tr>
      <w:tr w:rsidR="00584EC1" w14:paraId="74DD87C8" w14:textId="77777777">
        <w:tc>
          <w:tcPr>
            <w:tcW w:w="0" w:type="auto"/>
            <w:gridSpan w:val="3"/>
            <w:shd w:val="clear" w:color="auto" w:fill="CCEEFF"/>
            <w:tcMar>
              <w:top w:w="40" w:type="dxa"/>
              <w:left w:w="140" w:type="dxa"/>
              <w:bottom w:w="40" w:type="dxa"/>
              <w:right w:w="20" w:type="dxa"/>
            </w:tcMar>
            <w:vAlign w:val="bottom"/>
          </w:tcPr>
          <w:p w14:paraId="74DD87BE" w14:textId="77777777" w:rsidR="00584EC1" w:rsidRDefault="00871F8D">
            <w:pPr>
              <w:textAlignment w:val="bottom"/>
            </w:pPr>
            <w:r>
              <w:rPr>
                <w:rFonts w:ascii="Arial" w:eastAsia="宋体" w:hAnsi="Arial" w:cs="Arial"/>
                <w:color w:val="000000"/>
                <w:sz w:val="14"/>
                <w:szCs w:val="14"/>
              </w:rPr>
              <w:t xml:space="preserve">Investment securities </w:t>
            </w:r>
            <w:r>
              <w:rPr>
                <w:rFonts w:ascii="Arial" w:eastAsia="宋体" w:hAnsi="Arial" w:cs="Arial"/>
                <w:color w:val="000000"/>
                <w:sz w:val="14"/>
                <w:szCs w:val="14"/>
              </w:rPr>
              <w:t>available-for-sale</w:t>
            </w:r>
          </w:p>
        </w:tc>
        <w:tc>
          <w:tcPr>
            <w:tcW w:w="0" w:type="auto"/>
            <w:gridSpan w:val="2"/>
            <w:shd w:val="clear" w:color="auto" w:fill="CCEEFF"/>
            <w:tcMar>
              <w:top w:w="40" w:type="dxa"/>
              <w:left w:w="20" w:type="dxa"/>
              <w:bottom w:w="40" w:type="dxa"/>
              <w:right w:w="0" w:type="dxa"/>
            </w:tcMar>
            <w:vAlign w:val="bottom"/>
          </w:tcPr>
          <w:p w14:paraId="74DD87BF" w14:textId="77777777" w:rsidR="00584EC1" w:rsidRDefault="00871F8D">
            <w:pPr>
              <w:jc w:val="right"/>
              <w:textAlignment w:val="bottom"/>
            </w:pPr>
            <w:r>
              <w:rPr>
                <w:rFonts w:ascii="Arial" w:eastAsia="宋体" w:hAnsi="Arial" w:cs="Arial"/>
                <w:b/>
                <w:bCs/>
                <w:color w:val="000000"/>
                <w:sz w:val="14"/>
                <w:szCs w:val="14"/>
              </w:rPr>
              <w:t>65,051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87C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7C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7C2" w14:textId="77777777" w:rsidR="00584EC1" w:rsidRDefault="00871F8D">
            <w:pPr>
              <w:jc w:val="right"/>
              <w:textAlignment w:val="bottom"/>
            </w:pPr>
            <w:r>
              <w:rPr>
                <w:rFonts w:ascii="Arial" w:eastAsia="宋体" w:hAnsi="Arial" w:cs="Arial"/>
                <w:color w:val="000000"/>
                <w:sz w:val="14"/>
                <w:szCs w:val="14"/>
              </w:rPr>
              <w:t>57,109 </w:t>
            </w:r>
          </w:p>
        </w:tc>
        <w:tc>
          <w:tcPr>
            <w:tcW w:w="0" w:type="auto"/>
            <w:shd w:val="clear" w:color="auto" w:fill="CCEEFF"/>
            <w:tcMar>
              <w:top w:w="40" w:type="dxa"/>
              <w:left w:w="0" w:type="dxa"/>
              <w:bottom w:w="40" w:type="dxa"/>
              <w:right w:w="20" w:type="dxa"/>
            </w:tcMar>
            <w:vAlign w:val="bottom"/>
          </w:tcPr>
          <w:p w14:paraId="74DD87C3" w14:textId="77777777" w:rsidR="00584EC1" w:rsidRDefault="00584EC1">
            <w:pPr>
              <w:jc w:val="right"/>
              <w:rPr>
                <w:rFonts w:ascii="宋体"/>
              </w:rPr>
            </w:pPr>
          </w:p>
        </w:tc>
        <w:tc>
          <w:tcPr>
            <w:tcW w:w="0" w:type="auto"/>
            <w:shd w:val="clear" w:color="auto" w:fill="auto"/>
            <w:vAlign w:val="bottom"/>
          </w:tcPr>
          <w:p w14:paraId="74DD87C4" w14:textId="77777777" w:rsidR="00584EC1" w:rsidRDefault="00584EC1">
            <w:pPr>
              <w:rPr>
                <w:rFonts w:ascii="宋体"/>
                <w:vanish/>
              </w:rPr>
            </w:pPr>
          </w:p>
        </w:tc>
        <w:tc>
          <w:tcPr>
            <w:tcW w:w="0" w:type="auto"/>
            <w:shd w:val="clear" w:color="auto" w:fill="auto"/>
            <w:vAlign w:val="bottom"/>
          </w:tcPr>
          <w:p w14:paraId="74DD87C5" w14:textId="77777777" w:rsidR="00584EC1" w:rsidRDefault="00584EC1">
            <w:pPr>
              <w:rPr>
                <w:rFonts w:ascii="宋体"/>
                <w:vanish/>
              </w:rPr>
            </w:pPr>
          </w:p>
        </w:tc>
        <w:tc>
          <w:tcPr>
            <w:tcW w:w="0" w:type="auto"/>
            <w:gridSpan w:val="3"/>
            <w:shd w:val="clear" w:color="auto" w:fill="auto"/>
            <w:vAlign w:val="bottom"/>
          </w:tcPr>
          <w:p w14:paraId="74DD87C6" w14:textId="77777777" w:rsidR="00584EC1" w:rsidRDefault="00584EC1">
            <w:pPr>
              <w:rPr>
                <w:rFonts w:ascii="宋体"/>
                <w:vanish/>
              </w:rPr>
            </w:pPr>
          </w:p>
        </w:tc>
        <w:tc>
          <w:tcPr>
            <w:tcW w:w="0" w:type="auto"/>
            <w:gridSpan w:val="3"/>
            <w:shd w:val="clear" w:color="auto" w:fill="auto"/>
            <w:vAlign w:val="bottom"/>
          </w:tcPr>
          <w:p w14:paraId="74DD87C7" w14:textId="77777777" w:rsidR="00584EC1" w:rsidRDefault="00584EC1">
            <w:pPr>
              <w:rPr>
                <w:rFonts w:ascii="宋体"/>
                <w:vanish/>
              </w:rPr>
            </w:pPr>
          </w:p>
        </w:tc>
      </w:tr>
      <w:tr w:rsidR="00584EC1" w14:paraId="74DD87D3" w14:textId="77777777">
        <w:tc>
          <w:tcPr>
            <w:tcW w:w="0" w:type="auto"/>
            <w:gridSpan w:val="3"/>
            <w:shd w:val="clear" w:color="auto" w:fill="FFFFFF"/>
            <w:tcMar>
              <w:top w:w="40" w:type="dxa"/>
              <w:left w:w="140" w:type="dxa"/>
              <w:bottom w:w="40" w:type="dxa"/>
              <w:right w:w="20" w:type="dxa"/>
            </w:tcMar>
            <w:vAlign w:val="bottom"/>
          </w:tcPr>
          <w:p w14:paraId="74DD87C9" w14:textId="77777777" w:rsidR="00584EC1" w:rsidRDefault="00871F8D">
            <w:pPr>
              <w:textAlignment w:val="bottom"/>
            </w:pPr>
            <w:r>
              <w:rPr>
                <w:rFonts w:ascii="Arial" w:eastAsia="宋体" w:hAnsi="Arial" w:cs="Arial"/>
                <w:color w:val="000000"/>
                <w:sz w:val="14"/>
                <w:szCs w:val="14"/>
              </w:rPr>
              <w:t>Investment securities held-to-maturity</w:t>
            </w:r>
          </w:p>
        </w:tc>
        <w:tc>
          <w:tcPr>
            <w:tcW w:w="0" w:type="auto"/>
            <w:gridSpan w:val="2"/>
            <w:shd w:val="clear" w:color="auto" w:fill="FFFFFF"/>
            <w:tcMar>
              <w:top w:w="40" w:type="dxa"/>
              <w:left w:w="20" w:type="dxa"/>
              <w:bottom w:w="40" w:type="dxa"/>
              <w:right w:w="0" w:type="dxa"/>
            </w:tcMar>
            <w:vAlign w:val="bottom"/>
          </w:tcPr>
          <w:p w14:paraId="74DD87CA" w14:textId="77777777" w:rsidR="00584EC1" w:rsidRDefault="00871F8D">
            <w:pPr>
              <w:jc w:val="right"/>
              <w:textAlignment w:val="bottom"/>
            </w:pPr>
            <w:r>
              <w:rPr>
                <w:rFonts w:ascii="Arial" w:eastAsia="宋体" w:hAnsi="Arial" w:cs="Arial"/>
                <w:b/>
                <w:bCs/>
                <w:color w:val="000000"/>
                <w:sz w:val="14"/>
                <w:szCs w:val="14"/>
              </w:rPr>
              <w:t>45,526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87C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7C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7CD" w14:textId="77777777" w:rsidR="00584EC1" w:rsidRDefault="00871F8D">
            <w:pPr>
              <w:jc w:val="right"/>
              <w:textAlignment w:val="bottom"/>
            </w:pPr>
            <w:r>
              <w:rPr>
                <w:rFonts w:ascii="Arial" w:eastAsia="宋体" w:hAnsi="Arial" w:cs="Arial"/>
                <w:color w:val="000000"/>
                <w:sz w:val="14"/>
                <w:szCs w:val="14"/>
              </w:rPr>
              <w:t>41,595 </w:t>
            </w:r>
          </w:p>
        </w:tc>
        <w:tc>
          <w:tcPr>
            <w:tcW w:w="0" w:type="auto"/>
            <w:shd w:val="clear" w:color="auto" w:fill="FFFFFF"/>
            <w:tcMar>
              <w:top w:w="40" w:type="dxa"/>
              <w:left w:w="0" w:type="dxa"/>
              <w:bottom w:w="40" w:type="dxa"/>
              <w:right w:w="20" w:type="dxa"/>
            </w:tcMar>
            <w:vAlign w:val="bottom"/>
          </w:tcPr>
          <w:p w14:paraId="74DD87CE" w14:textId="77777777" w:rsidR="00584EC1" w:rsidRDefault="00584EC1">
            <w:pPr>
              <w:jc w:val="right"/>
              <w:rPr>
                <w:rFonts w:ascii="宋体"/>
              </w:rPr>
            </w:pPr>
          </w:p>
        </w:tc>
        <w:tc>
          <w:tcPr>
            <w:tcW w:w="0" w:type="auto"/>
            <w:shd w:val="clear" w:color="auto" w:fill="auto"/>
            <w:vAlign w:val="bottom"/>
          </w:tcPr>
          <w:p w14:paraId="74DD87CF" w14:textId="77777777" w:rsidR="00584EC1" w:rsidRDefault="00584EC1">
            <w:pPr>
              <w:rPr>
                <w:rFonts w:ascii="宋体"/>
                <w:vanish/>
              </w:rPr>
            </w:pPr>
          </w:p>
        </w:tc>
        <w:tc>
          <w:tcPr>
            <w:tcW w:w="0" w:type="auto"/>
            <w:shd w:val="clear" w:color="auto" w:fill="auto"/>
            <w:vAlign w:val="bottom"/>
          </w:tcPr>
          <w:p w14:paraId="74DD87D0" w14:textId="77777777" w:rsidR="00584EC1" w:rsidRDefault="00584EC1">
            <w:pPr>
              <w:rPr>
                <w:rFonts w:ascii="宋体"/>
                <w:vanish/>
              </w:rPr>
            </w:pPr>
          </w:p>
        </w:tc>
        <w:tc>
          <w:tcPr>
            <w:tcW w:w="0" w:type="auto"/>
            <w:gridSpan w:val="3"/>
            <w:shd w:val="clear" w:color="auto" w:fill="auto"/>
            <w:vAlign w:val="bottom"/>
          </w:tcPr>
          <w:p w14:paraId="74DD87D1" w14:textId="77777777" w:rsidR="00584EC1" w:rsidRDefault="00584EC1">
            <w:pPr>
              <w:rPr>
                <w:rFonts w:ascii="宋体"/>
                <w:vanish/>
              </w:rPr>
            </w:pPr>
          </w:p>
        </w:tc>
        <w:tc>
          <w:tcPr>
            <w:tcW w:w="0" w:type="auto"/>
            <w:gridSpan w:val="3"/>
            <w:shd w:val="clear" w:color="auto" w:fill="auto"/>
            <w:vAlign w:val="bottom"/>
          </w:tcPr>
          <w:p w14:paraId="74DD87D2" w14:textId="77777777" w:rsidR="00584EC1" w:rsidRDefault="00584EC1">
            <w:pPr>
              <w:rPr>
                <w:rFonts w:ascii="宋体"/>
                <w:vanish/>
              </w:rPr>
            </w:pPr>
          </w:p>
        </w:tc>
      </w:tr>
      <w:tr w:rsidR="00584EC1" w14:paraId="74DD87DE" w14:textId="77777777">
        <w:tc>
          <w:tcPr>
            <w:tcW w:w="0" w:type="auto"/>
            <w:gridSpan w:val="3"/>
            <w:shd w:val="clear" w:color="auto" w:fill="CCEEFF"/>
            <w:tcMar>
              <w:top w:w="40" w:type="dxa"/>
              <w:left w:w="140" w:type="dxa"/>
              <w:bottom w:w="40" w:type="dxa"/>
              <w:right w:w="20" w:type="dxa"/>
            </w:tcMar>
            <w:vAlign w:val="bottom"/>
          </w:tcPr>
          <w:p w14:paraId="74DD87D4" w14:textId="77777777" w:rsidR="00584EC1" w:rsidRDefault="00871F8D">
            <w:pPr>
              <w:textAlignment w:val="bottom"/>
            </w:pPr>
            <w:r>
              <w:rPr>
                <w:rFonts w:ascii="Arial" w:eastAsia="宋体" w:hAnsi="Arial" w:cs="Arial"/>
                <w:color w:val="000000"/>
                <w:sz w:val="14"/>
                <w:szCs w:val="14"/>
              </w:rPr>
              <w:t>Investment securities held-to-maturity purchased under money market liquidity facility</w:t>
            </w:r>
          </w:p>
        </w:tc>
        <w:tc>
          <w:tcPr>
            <w:tcW w:w="0" w:type="auto"/>
            <w:gridSpan w:val="2"/>
            <w:shd w:val="clear" w:color="auto" w:fill="CCEEFF"/>
            <w:tcMar>
              <w:top w:w="40" w:type="dxa"/>
              <w:left w:w="20" w:type="dxa"/>
              <w:bottom w:w="40" w:type="dxa"/>
              <w:right w:w="0" w:type="dxa"/>
            </w:tcMar>
            <w:vAlign w:val="bottom"/>
          </w:tcPr>
          <w:p w14:paraId="74DD87D5" w14:textId="77777777" w:rsidR="00584EC1" w:rsidRDefault="00871F8D">
            <w:pPr>
              <w:jc w:val="right"/>
              <w:textAlignment w:val="bottom"/>
            </w:pPr>
            <w:r>
              <w:rPr>
                <w:rFonts w:ascii="Arial" w:eastAsia="宋体" w:hAnsi="Arial" w:cs="Arial"/>
                <w:b/>
                <w:bCs/>
                <w:color w:val="000000"/>
                <w:sz w:val="14"/>
                <w:szCs w:val="14"/>
              </w:rPr>
              <w:t>420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87D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7D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7D8" w14:textId="77777777" w:rsidR="00584EC1" w:rsidRDefault="00871F8D">
            <w:pPr>
              <w:jc w:val="right"/>
              <w:textAlignment w:val="bottom"/>
            </w:pPr>
            <w:r>
              <w:rPr>
                <w:rFonts w:ascii="Arial" w:eastAsia="宋体" w:hAnsi="Arial" w:cs="Arial"/>
                <w:color w:val="000000"/>
                <w:sz w:val="14"/>
                <w:szCs w:val="14"/>
              </w:rPr>
              <w:t>9,516 </w:t>
            </w:r>
          </w:p>
        </w:tc>
        <w:tc>
          <w:tcPr>
            <w:tcW w:w="0" w:type="auto"/>
            <w:shd w:val="clear" w:color="auto" w:fill="CCEEFF"/>
            <w:tcMar>
              <w:top w:w="40" w:type="dxa"/>
              <w:left w:w="0" w:type="dxa"/>
              <w:bottom w:w="40" w:type="dxa"/>
              <w:right w:w="20" w:type="dxa"/>
            </w:tcMar>
            <w:vAlign w:val="bottom"/>
          </w:tcPr>
          <w:p w14:paraId="74DD87D9" w14:textId="77777777" w:rsidR="00584EC1" w:rsidRDefault="00584EC1">
            <w:pPr>
              <w:jc w:val="right"/>
              <w:rPr>
                <w:rFonts w:ascii="宋体"/>
              </w:rPr>
            </w:pPr>
          </w:p>
        </w:tc>
        <w:tc>
          <w:tcPr>
            <w:tcW w:w="0" w:type="auto"/>
            <w:shd w:val="clear" w:color="auto" w:fill="auto"/>
            <w:vAlign w:val="bottom"/>
          </w:tcPr>
          <w:p w14:paraId="74DD87DA" w14:textId="77777777" w:rsidR="00584EC1" w:rsidRDefault="00584EC1">
            <w:pPr>
              <w:rPr>
                <w:rFonts w:ascii="宋体"/>
                <w:vanish/>
              </w:rPr>
            </w:pPr>
          </w:p>
        </w:tc>
        <w:tc>
          <w:tcPr>
            <w:tcW w:w="0" w:type="auto"/>
            <w:shd w:val="clear" w:color="auto" w:fill="auto"/>
            <w:vAlign w:val="bottom"/>
          </w:tcPr>
          <w:p w14:paraId="74DD87DB" w14:textId="77777777" w:rsidR="00584EC1" w:rsidRDefault="00584EC1">
            <w:pPr>
              <w:rPr>
                <w:rFonts w:ascii="宋体"/>
                <w:vanish/>
              </w:rPr>
            </w:pPr>
          </w:p>
        </w:tc>
        <w:tc>
          <w:tcPr>
            <w:tcW w:w="0" w:type="auto"/>
            <w:gridSpan w:val="3"/>
            <w:shd w:val="clear" w:color="auto" w:fill="auto"/>
            <w:vAlign w:val="bottom"/>
          </w:tcPr>
          <w:p w14:paraId="74DD87DC" w14:textId="77777777" w:rsidR="00584EC1" w:rsidRDefault="00584EC1">
            <w:pPr>
              <w:rPr>
                <w:rFonts w:ascii="宋体"/>
                <w:vanish/>
              </w:rPr>
            </w:pPr>
          </w:p>
        </w:tc>
        <w:tc>
          <w:tcPr>
            <w:tcW w:w="0" w:type="auto"/>
            <w:gridSpan w:val="3"/>
            <w:shd w:val="clear" w:color="auto" w:fill="auto"/>
            <w:vAlign w:val="bottom"/>
          </w:tcPr>
          <w:p w14:paraId="74DD87DD" w14:textId="77777777" w:rsidR="00584EC1" w:rsidRDefault="00584EC1">
            <w:pPr>
              <w:rPr>
                <w:rFonts w:ascii="宋体"/>
                <w:vanish/>
              </w:rPr>
            </w:pPr>
          </w:p>
        </w:tc>
      </w:tr>
      <w:tr w:rsidR="00584EC1" w14:paraId="74DD87E9" w14:textId="77777777">
        <w:tc>
          <w:tcPr>
            <w:tcW w:w="0" w:type="auto"/>
            <w:gridSpan w:val="3"/>
            <w:shd w:val="clear" w:color="auto" w:fill="FFFFFF"/>
            <w:tcMar>
              <w:top w:w="40" w:type="dxa"/>
              <w:left w:w="20" w:type="dxa"/>
              <w:bottom w:w="40" w:type="dxa"/>
              <w:right w:w="20" w:type="dxa"/>
            </w:tcMar>
            <w:vAlign w:val="bottom"/>
          </w:tcPr>
          <w:p w14:paraId="74DD87DF" w14:textId="77777777" w:rsidR="00584EC1" w:rsidRDefault="00871F8D">
            <w:pPr>
              <w:textAlignment w:val="bottom"/>
            </w:pPr>
            <w:r>
              <w:rPr>
                <w:rFonts w:ascii="Arial" w:eastAsia="宋体" w:hAnsi="Arial" w:cs="Arial"/>
                <w:color w:val="000000"/>
                <w:sz w:val="14"/>
                <w:szCs w:val="14"/>
              </w:rPr>
              <w:t>Total investment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87E0" w14:textId="77777777" w:rsidR="00584EC1" w:rsidRDefault="00871F8D">
            <w:pPr>
              <w:jc w:val="right"/>
              <w:textAlignment w:val="bottom"/>
            </w:pPr>
            <w:r>
              <w:rPr>
                <w:rFonts w:ascii="Arial" w:eastAsia="宋体" w:hAnsi="Arial" w:cs="Arial"/>
                <w:b/>
                <w:bCs/>
                <w:color w:val="000000"/>
                <w:sz w:val="14"/>
                <w:szCs w:val="14"/>
              </w:rPr>
              <w:t>110,997</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87E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7E2"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87E3" w14:textId="77777777" w:rsidR="00584EC1" w:rsidRDefault="00871F8D">
            <w:pPr>
              <w:jc w:val="right"/>
              <w:textAlignment w:val="bottom"/>
            </w:pPr>
            <w:r>
              <w:rPr>
                <w:rFonts w:ascii="Arial" w:eastAsia="宋体" w:hAnsi="Arial" w:cs="Arial"/>
                <w:color w:val="000000"/>
                <w:sz w:val="14"/>
                <w:szCs w:val="14"/>
              </w:rPr>
              <w:t>108,220 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87E4" w14:textId="77777777" w:rsidR="00584EC1" w:rsidRDefault="00584EC1">
            <w:pPr>
              <w:jc w:val="right"/>
              <w:rPr>
                <w:rFonts w:ascii="宋体"/>
              </w:rPr>
            </w:pPr>
          </w:p>
        </w:tc>
        <w:tc>
          <w:tcPr>
            <w:tcW w:w="0" w:type="auto"/>
            <w:shd w:val="clear" w:color="auto" w:fill="auto"/>
            <w:vAlign w:val="bottom"/>
          </w:tcPr>
          <w:p w14:paraId="74DD87E5" w14:textId="77777777" w:rsidR="00584EC1" w:rsidRDefault="00584EC1">
            <w:pPr>
              <w:rPr>
                <w:rFonts w:ascii="宋体"/>
                <w:vanish/>
              </w:rPr>
            </w:pPr>
          </w:p>
        </w:tc>
        <w:tc>
          <w:tcPr>
            <w:tcW w:w="0" w:type="auto"/>
            <w:shd w:val="clear" w:color="auto" w:fill="auto"/>
            <w:vAlign w:val="bottom"/>
          </w:tcPr>
          <w:p w14:paraId="74DD87E6" w14:textId="77777777" w:rsidR="00584EC1" w:rsidRDefault="00584EC1">
            <w:pPr>
              <w:rPr>
                <w:rFonts w:ascii="宋体"/>
                <w:vanish/>
              </w:rPr>
            </w:pPr>
          </w:p>
        </w:tc>
        <w:tc>
          <w:tcPr>
            <w:tcW w:w="0" w:type="auto"/>
            <w:gridSpan w:val="3"/>
            <w:shd w:val="clear" w:color="auto" w:fill="auto"/>
            <w:vAlign w:val="bottom"/>
          </w:tcPr>
          <w:p w14:paraId="74DD87E7" w14:textId="77777777" w:rsidR="00584EC1" w:rsidRDefault="00584EC1">
            <w:pPr>
              <w:rPr>
                <w:rFonts w:ascii="宋体"/>
                <w:vanish/>
              </w:rPr>
            </w:pPr>
          </w:p>
        </w:tc>
        <w:tc>
          <w:tcPr>
            <w:tcW w:w="0" w:type="auto"/>
            <w:gridSpan w:val="3"/>
            <w:shd w:val="clear" w:color="auto" w:fill="auto"/>
            <w:vAlign w:val="bottom"/>
          </w:tcPr>
          <w:p w14:paraId="74DD87E8" w14:textId="77777777" w:rsidR="00584EC1" w:rsidRDefault="00584EC1">
            <w:pPr>
              <w:rPr>
                <w:rFonts w:ascii="宋体"/>
                <w:vanish/>
              </w:rPr>
            </w:pPr>
          </w:p>
        </w:tc>
      </w:tr>
      <w:tr w:rsidR="00584EC1" w14:paraId="74DD87F4" w14:textId="77777777">
        <w:tc>
          <w:tcPr>
            <w:tcW w:w="0" w:type="auto"/>
            <w:gridSpan w:val="3"/>
            <w:shd w:val="clear" w:color="auto" w:fill="CCEEFF"/>
            <w:tcMar>
              <w:top w:w="40" w:type="dxa"/>
              <w:left w:w="20" w:type="dxa"/>
              <w:bottom w:w="40" w:type="dxa"/>
              <w:right w:w="20" w:type="dxa"/>
            </w:tcMar>
            <w:vAlign w:val="bottom"/>
          </w:tcPr>
          <w:p w14:paraId="74DD87EA" w14:textId="77777777" w:rsidR="00584EC1" w:rsidRDefault="00871F8D">
            <w:pPr>
              <w:textAlignment w:val="bottom"/>
            </w:pPr>
            <w:r>
              <w:rPr>
                <w:rFonts w:ascii="Arial" w:eastAsia="宋体" w:hAnsi="Arial" w:cs="Arial"/>
                <w:color w:val="000000"/>
                <w:sz w:val="14"/>
                <w:szCs w:val="14"/>
              </w:rPr>
              <w:t xml:space="preserve">Loans </w:t>
            </w:r>
          </w:p>
        </w:tc>
        <w:tc>
          <w:tcPr>
            <w:tcW w:w="0" w:type="auto"/>
            <w:gridSpan w:val="2"/>
            <w:shd w:val="clear" w:color="auto" w:fill="CCEEFF"/>
            <w:tcMar>
              <w:top w:w="40" w:type="dxa"/>
              <w:left w:w="20" w:type="dxa"/>
              <w:bottom w:w="40" w:type="dxa"/>
              <w:right w:w="0" w:type="dxa"/>
            </w:tcMar>
            <w:vAlign w:val="bottom"/>
          </w:tcPr>
          <w:p w14:paraId="74DD87EB" w14:textId="77777777" w:rsidR="00584EC1" w:rsidRDefault="00871F8D">
            <w:pPr>
              <w:jc w:val="right"/>
              <w:textAlignment w:val="bottom"/>
            </w:pPr>
            <w:r>
              <w:rPr>
                <w:rFonts w:ascii="Arial" w:eastAsia="宋体" w:hAnsi="Arial" w:cs="Arial"/>
                <w:b/>
                <w:bCs/>
                <w:color w:val="000000"/>
                <w:sz w:val="14"/>
                <w:szCs w:val="14"/>
              </w:rPr>
              <w:t>29,858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87E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7E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7EE" w14:textId="77777777" w:rsidR="00584EC1" w:rsidRDefault="00871F8D">
            <w:pPr>
              <w:jc w:val="right"/>
              <w:textAlignment w:val="bottom"/>
            </w:pPr>
            <w:r>
              <w:rPr>
                <w:rFonts w:ascii="Arial" w:eastAsia="宋体" w:hAnsi="Arial" w:cs="Arial"/>
                <w:color w:val="000000"/>
                <w:sz w:val="14"/>
                <w:szCs w:val="14"/>
              </w:rPr>
              <w:t>27,266 </w:t>
            </w:r>
          </w:p>
        </w:tc>
        <w:tc>
          <w:tcPr>
            <w:tcW w:w="0" w:type="auto"/>
            <w:shd w:val="clear" w:color="auto" w:fill="CCEEFF"/>
            <w:tcMar>
              <w:top w:w="40" w:type="dxa"/>
              <w:left w:w="0" w:type="dxa"/>
              <w:bottom w:w="40" w:type="dxa"/>
              <w:right w:w="20" w:type="dxa"/>
            </w:tcMar>
            <w:vAlign w:val="bottom"/>
          </w:tcPr>
          <w:p w14:paraId="74DD87EF" w14:textId="77777777" w:rsidR="00584EC1" w:rsidRDefault="00584EC1">
            <w:pPr>
              <w:jc w:val="right"/>
              <w:rPr>
                <w:rFonts w:ascii="宋体"/>
              </w:rPr>
            </w:pPr>
          </w:p>
        </w:tc>
        <w:tc>
          <w:tcPr>
            <w:tcW w:w="0" w:type="auto"/>
            <w:shd w:val="clear" w:color="auto" w:fill="auto"/>
            <w:vAlign w:val="bottom"/>
          </w:tcPr>
          <w:p w14:paraId="74DD87F0" w14:textId="77777777" w:rsidR="00584EC1" w:rsidRDefault="00584EC1">
            <w:pPr>
              <w:rPr>
                <w:rFonts w:ascii="宋体"/>
                <w:vanish/>
              </w:rPr>
            </w:pPr>
          </w:p>
        </w:tc>
        <w:tc>
          <w:tcPr>
            <w:tcW w:w="0" w:type="auto"/>
            <w:shd w:val="clear" w:color="auto" w:fill="auto"/>
            <w:vAlign w:val="bottom"/>
          </w:tcPr>
          <w:p w14:paraId="74DD87F1" w14:textId="77777777" w:rsidR="00584EC1" w:rsidRDefault="00584EC1">
            <w:pPr>
              <w:rPr>
                <w:rFonts w:ascii="宋体"/>
                <w:vanish/>
              </w:rPr>
            </w:pPr>
          </w:p>
        </w:tc>
        <w:tc>
          <w:tcPr>
            <w:tcW w:w="0" w:type="auto"/>
            <w:gridSpan w:val="3"/>
            <w:shd w:val="clear" w:color="auto" w:fill="auto"/>
            <w:vAlign w:val="bottom"/>
          </w:tcPr>
          <w:p w14:paraId="74DD87F2" w14:textId="77777777" w:rsidR="00584EC1" w:rsidRDefault="00584EC1">
            <w:pPr>
              <w:rPr>
                <w:rFonts w:ascii="宋体"/>
                <w:vanish/>
              </w:rPr>
            </w:pPr>
          </w:p>
        </w:tc>
        <w:tc>
          <w:tcPr>
            <w:tcW w:w="0" w:type="auto"/>
            <w:gridSpan w:val="3"/>
            <w:shd w:val="clear" w:color="auto" w:fill="auto"/>
            <w:vAlign w:val="bottom"/>
          </w:tcPr>
          <w:p w14:paraId="74DD87F3" w14:textId="77777777" w:rsidR="00584EC1" w:rsidRDefault="00584EC1">
            <w:pPr>
              <w:rPr>
                <w:rFonts w:ascii="宋体"/>
                <w:vanish/>
              </w:rPr>
            </w:pPr>
          </w:p>
        </w:tc>
      </w:tr>
      <w:tr w:rsidR="00584EC1" w14:paraId="74DD87FF" w14:textId="77777777">
        <w:tc>
          <w:tcPr>
            <w:tcW w:w="0" w:type="auto"/>
            <w:gridSpan w:val="3"/>
            <w:shd w:val="clear" w:color="auto" w:fill="FFFFFF"/>
            <w:tcMar>
              <w:top w:w="40" w:type="dxa"/>
              <w:left w:w="20" w:type="dxa"/>
              <w:bottom w:w="40" w:type="dxa"/>
              <w:right w:w="20" w:type="dxa"/>
            </w:tcMar>
            <w:vAlign w:val="bottom"/>
          </w:tcPr>
          <w:p w14:paraId="74DD87F5" w14:textId="77777777" w:rsidR="00584EC1" w:rsidRDefault="00871F8D">
            <w:pPr>
              <w:textAlignment w:val="bottom"/>
            </w:pPr>
            <w:r>
              <w:rPr>
                <w:rFonts w:ascii="Arial" w:eastAsia="宋体" w:hAnsi="Arial" w:cs="Arial"/>
                <w:color w:val="000000"/>
                <w:sz w:val="14"/>
                <w:szCs w:val="14"/>
              </w:rPr>
              <w:t>Other interest-earning assets</w:t>
            </w:r>
          </w:p>
        </w:tc>
        <w:tc>
          <w:tcPr>
            <w:tcW w:w="0" w:type="auto"/>
            <w:gridSpan w:val="2"/>
            <w:shd w:val="clear" w:color="auto" w:fill="FFFFFF"/>
            <w:tcMar>
              <w:top w:w="40" w:type="dxa"/>
              <w:left w:w="20" w:type="dxa"/>
              <w:bottom w:w="40" w:type="dxa"/>
              <w:right w:w="0" w:type="dxa"/>
            </w:tcMar>
            <w:vAlign w:val="bottom"/>
          </w:tcPr>
          <w:p w14:paraId="74DD87F6" w14:textId="77777777" w:rsidR="00584EC1" w:rsidRDefault="00871F8D">
            <w:pPr>
              <w:jc w:val="right"/>
              <w:textAlignment w:val="bottom"/>
            </w:pPr>
            <w:r>
              <w:rPr>
                <w:rFonts w:ascii="Arial" w:eastAsia="宋体" w:hAnsi="Arial" w:cs="Arial"/>
                <w:b/>
                <w:bCs/>
                <w:color w:val="000000"/>
                <w:sz w:val="14"/>
                <w:szCs w:val="14"/>
              </w:rPr>
              <w:t>21,322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87F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7F8"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7F9" w14:textId="77777777" w:rsidR="00584EC1" w:rsidRDefault="00871F8D">
            <w:pPr>
              <w:jc w:val="right"/>
              <w:textAlignment w:val="bottom"/>
            </w:pPr>
            <w:r>
              <w:rPr>
                <w:rFonts w:ascii="Arial" w:eastAsia="宋体" w:hAnsi="Arial" w:cs="Arial"/>
                <w:color w:val="000000"/>
                <w:sz w:val="14"/>
                <w:szCs w:val="14"/>
              </w:rPr>
              <w:t>10,729 </w:t>
            </w:r>
          </w:p>
        </w:tc>
        <w:tc>
          <w:tcPr>
            <w:tcW w:w="0" w:type="auto"/>
            <w:shd w:val="clear" w:color="auto" w:fill="FFFFFF"/>
            <w:tcMar>
              <w:top w:w="40" w:type="dxa"/>
              <w:left w:w="0" w:type="dxa"/>
              <w:bottom w:w="40" w:type="dxa"/>
              <w:right w:w="20" w:type="dxa"/>
            </w:tcMar>
            <w:vAlign w:val="bottom"/>
          </w:tcPr>
          <w:p w14:paraId="74DD87FA" w14:textId="77777777" w:rsidR="00584EC1" w:rsidRDefault="00584EC1">
            <w:pPr>
              <w:jc w:val="right"/>
              <w:rPr>
                <w:rFonts w:ascii="宋体"/>
              </w:rPr>
            </w:pPr>
          </w:p>
        </w:tc>
        <w:tc>
          <w:tcPr>
            <w:tcW w:w="0" w:type="auto"/>
            <w:shd w:val="clear" w:color="auto" w:fill="auto"/>
            <w:vAlign w:val="bottom"/>
          </w:tcPr>
          <w:p w14:paraId="74DD87FB" w14:textId="77777777" w:rsidR="00584EC1" w:rsidRDefault="00584EC1">
            <w:pPr>
              <w:rPr>
                <w:rFonts w:ascii="宋体"/>
                <w:vanish/>
              </w:rPr>
            </w:pPr>
          </w:p>
        </w:tc>
        <w:tc>
          <w:tcPr>
            <w:tcW w:w="0" w:type="auto"/>
            <w:shd w:val="clear" w:color="auto" w:fill="auto"/>
            <w:vAlign w:val="bottom"/>
          </w:tcPr>
          <w:p w14:paraId="74DD87FC" w14:textId="77777777" w:rsidR="00584EC1" w:rsidRDefault="00584EC1">
            <w:pPr>
              <w:rPr>
                <w:rFonts w:ascii="宋体"/>
                <w:vanish/>
              </w:rPr>
            </w:pPr>
          </w:p>
        </w:tc>
        <w:tc>
          <w:tcPr>
            <w:tcW w:w="0" w:type="auto"/>
            <w:gridSpan w:val="3"/>
            <w:shd w:val="clear" w:color="auto" w:fill="auto"/>
            <w:vAlign w:val="bottom"/>
          </w:tcPr>
          <w:p w14:paraId="74DD87FD" w14:textId="77777777" w:rsidR="00584EC1" w:rsidRDefault="00584EC1">
            <w:pPr>
              <w:rPr>
                <w:rFonts w:ascii="宋体"/>
                <w:vanish/>
              </w:rPr>
            </w:pPr>
          </w:p>
        </w:tc>
        <w:tc>
          <w:tcPr>
            <w:tcW w:w="0" w:type="auto"/>
            <w:gridSpan w:val="3"/>
            <w:shd w:val="clear" w:color="auto" w:fill="auto"/>
            <w:vAlign w:val="bottom"/>
          </w:tcPr>
          <w:p w14:paraId="74DD87FE" w14:textId="77777777" w:rsidR="00584EC1" w:rsidRDefault="00584EC1">
            <w:pPr>
              <w:rPr>
                <w:rFonts w:ascii="宋体"/>
                <w:vanish/>
              </w:rPr>
            </w:pPr>
          </w:p>
        </w:tc>
      </w:tr>
      <w:tr w:rsidR="00584EC1" w14:paraId="74DD880A" w14:textId="77777777">
        <w:tc>
          <w:tcPr>
            <w:tcW w:w="0" w:type="auto"/>
            <w:gridSpan w:val="3"/>
            <w:shd w:val="clear" w:color="auto" w:fill="CCEEFF"/>
            <w:tcMar>
              <w:top w:w="40" w:type="dxa"/>
              <w:left w:w="245" w:type="dxa"/>
              <w:bottom w:w="40" w:type="dxa"/>
              <w:right w:w="20" w:type="dxa"/>
            </w:tcMar>
            <w:vAlign w:val="bottom"/>
          </w:tcPr>
          <w:p w14:paraId="74DD8800" w14:textId="77777777" w:rsidR="00584EC1" w:rsidRDefault="00871F8D">
            <w:pPr>
              <w:textAlignment w:val="bottom"/>
            </w:pPr>
            <w:r>
              <w:rPr>
                <w:rFonts w:ascii="Arial" w:eastAsia="宋体" w:hAnsi="Arial" w:cs="Arial"/>
                <w:color w:val="000000"/>
                <w:sz w:val="14"/>
                <w:szCs w:val="14"/>
              </w:rPr>
              <w:t>Average total interest-earning assets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8801" w14:textId="77777777" w:rsidR="00584EC1" w:rsidRDefault="00871F8D">
            <w:pPr>
              <w:jc w:val="right"/>
              <w:textAlignment w:val="bottom"/>
            </w:pPr>
            <w:r>
              <w:rPr>
                <w:rFonts w:ascii="Arial" w:eastAsia="宋体" w:hAnsi="Arial" w:cs="Arial"/>
                <w:b/>
                <w:bCs/>
                <w:color w:val="000000"/>
                <w:sz w:val="14"/>
                <w:szCs w:val="14"/>
              </w:rPr>
              <w:t>258,416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80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803"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8804" w14:textId="77777777" w:rsidR="00584EC1" w:rsidRDefault="00871F8D">
            <w:pPr>
              <w:jc w:val="right"/>
              <w:textAlignment w:val="bottom"/>
            </w:pPr>
            <w:r>
              <w:rPr>
                <w:rFonts w:ascii="Arial" w:eastAsia="宋体" w:hAnsi="Arial" w:cs="Arial"/>
                <w:color w:val="000000"/>
                <w:sz w:val="14"/>
                <w:szCs w:val="14"/>
              </w:rPr>
              <w:t>225,743 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805" w14:textId="77777777" w:rsidR="00584EC1" w:rsidRDefault="00584EC1">
            <w:pPr>
              <w:jc w:val="right"/>
              <w:rPr>
                <w:rFonts w:ascii="宋体"/>
              </w:rPr>
            </w:pPr>
          </w:p>
        </w:tc>
        <w:tc>
          <w:tcPr>
            <w:tcW w:w="0" w:type="auto"/>
            <w:shd w:val="clear" w:color="auto" w:fill="auto"/>
            <w:vAlign w:val="bottom"/>
          </w:tcPr>
          <w:p w14:paraId="74DD8806" w14:textId="77777777" w:rsidR="00584EC1" w:rsidRDefault="00584EC1">
            <w:pPr>
              <w:rPr>
                <w:rFonts w:ascii="宋体"/>
                <w:vanish/>
              </w:rPr>
            </w:pPr>
          </w:p>
        </w:tc>
        <w:tc>
          <w:tcPr>
            <w:tcW w:w="0" w:type="auto"/>
            <w:shd w:val="clear" w:color="auto" w:fill="auto"/>
            <w:vAlign w:val="bottom"/>
          </w:tcPr>
          <w:p w14:paraId="74DD8807" w14:textId="77777777" w:rsidR="00584EC1" w:rsidRDefault="00584EC1">
            <w:pPr>
              <w:rPr>
                <w:rFonts w:ascii="宋体"/>
                <w:vanish/>
              </w:rPr>
            </w:pPr>
          </w:p>
        </w:tc>
        <w:tc>
          <w:tcPr>
            <w:tcW w:w="0" w:type="auto"/>
            <w:gridSpan w:val="3"/>
            <w:shd w:val="clear" w:color="auto" w:fill="auto"/>
            <w:vAlign w:val="bottom"/>
          </w:tcPr>
          <w:p w14:paraId="74DD8808" w14:textId="77777777" w:rsidR="00584EC1" w:rsidRDefault="00584EC1">
            <w:pPr>
              <w:rPr>
                <w:rFonts w:ascii="宋体"/>
                <w:vanish/>
              </w:rPr>
            </w:pPr>
          </w:p>
        </w:tc>
        <w:tc>
          <w:tcPr>
            <w:tcW w:w="0" w:type="auto"/>
            <w:gridSpan w:val="3"/>
            <w:shd w:val="clear" w:color="auto" w:fill="auto"/>
            <w:vAlign w:val="bottom"/>
          </w:tcPr>
          <w:p w14:paraId="74DD8809" w14:textId="77777777" w:rsidR="00584EC1" w:rsidRDefault="00584EC1">
            <w:pPr>
              <w:rPr>
                <w:rFonts w:ascii="宋体"/>
                <w:vanish/>
              </w:rPr>
            </w:pPr>
          </w:p>
        </w:tc>
      </w:tr>
      <w:tr w:rsidR="00584EC1" w14:paraId="74DD8815" w14:textId="77777777">
        <w:tc>
          <w:tcPr>
            <w:tcW w:w="0" w:type="auto"/>
            <w:gridSpan w:val="3"/>
            <w:shd w:val="clear" w:color="auto" w:fill="FFFFFF"/>
            <w:tcMar>
              <w:top w:w="40" w:type="dxa"/>
              <w:left w:w="20" w:type="dxa"/>
              <w:bottom w:w="40" w:type="dxa"/>
              <w:right w:w="20" w:type="dxa"/>
            </w:tcMar>
            <w:vAlign w:val="bottom"/>
          </w:tcPr>
          <w:p w14:paraId="74DD880B" w14:textId="77777777" w:rsidR="00584EC1" w:rsidRDefault="00871F8D">
            <w:pPr>
              <w:textAlignment w:val="bottom"/>
            </w:pPr>
            <w:r>
              <w:rPr>
                <w:rFonts w:ascii="Arial" w:eastAsia="宋体" w:hAnsi="Arial" w:cs="Arial"/>
                <w:color w:val="000000"/>
                <w:sz w:val="14"/>
                <w:szCs w:val="14"/>
              </w:rPr>
              <w:t>Cash and due from banks</w:t>
            </w:r>
          </w:p>
        </w:tc>
        <w:tc>
          <w:tcPr>
            <w:tcW w:w="0" w:type="auto"/>
            <w:gridSpan w:val="2"/>
            <w:shd w:val="clear" w:color="auto" w:fill="FFFFFF"/>
            <w:tcMar>
              <w:top w:w="40" w:type="dxa"/>
              <w:left w:w="20" w:type="dxa"/>
              <w:bottom w:w="40" w:type="dxa"/>
              <w:right w:w="0" w:type="dxa"/>
            </w:tcMar>
            <w:vAlign w:val="bottom"/>
          </w:tcPr>
          <w:p w14:paraId="74DD880C" w14:textId="77777777" w:rsidR="00584EC1" w:rsidRDefault="00871F8D">
            <w:pPr>
              <w:jc w:val="right"/>
              <w:textAlignment w:val="bottom"/>
            </w:pPr>
            <w:r>
              <w:rPr>
                <w:rFonts w:ascii="Arial" w:eastAsia="宋体" w:hAnsi="Arial" w:cs="Arial"/>
                <w:b/>
                <w:bCs/>
                <w:color w:val="000000"/>
                <w:sz w:val="14"/>
                <w:szCs w:val="14"/>
              </w:rPr>
              <w:t>5,077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880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80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80F" w14:textId="77777777" w:rsidR="00584EC1" w:rsidRDefault="00871F8D">
            <w:pPr>
              <w:jc w:val="right"/>
              <w:textAlignment w:val="bottom"/>
            </w:pPr>
            <w:r>
              <w:rPr>
                <w:rFonts w:ascii="Arial" w:eastAsia="宋体" w:hAnsi="Arial" w:cs="Arial"/>
                <w:color w:val="000000"/>
                <w:sz w:val="14"/>
                <w:szCs w:val="14"/>
              </w:rPr>
              <w:t>3,663 </w:t>
            </w:r>
          </w:p>
        </w:tc>
        <w:tc>
          <w:tcPr>
            <w:tcW w:w="0" w:type="auto"/>
            <w:shd w:val="clear" w:color="auto" w:fill="FFFFFF"/>
            <w:tcMar>
              <w:top w:w="40" w:type="dxa"/>
              <w:left w:w="0" w:type="dxa"/>
              <w:bottom w:w="40" w:type="dxa"/>
              <w:right w:w="20" w:type="dxa"/>
            </w:tcMar>
            <w:vAlign w:val="bottom"/>
          </w:tcPr>
          <w:p w14:paraId="74DD8810" w14:textId="77777777" w:rsidR="00584EC1" w:rsidRDefault="00584EC1">
            <w:pPr>
              <w:jc w:val="right"/>
              <w:rPr>
                <w:rFonts w:ascii="宋体"/>
              </w:rPr>
            </w:pPr>
          </w:p>
        </w:tc>
        <w:tc>
          <w:tcPr>
            <w:tcW w:w="0" w:type="auto"/>
            <w:shd w:val="clear" w:color="auto" w:fill="auto"/>
            <w:vAlign w:val="bottom"/>
          </w:tcPr>
          <w:p w14:paraId="74DD8811" w14:textId="77777777" w:rsidR="00584EC1" w:rsidRDefault="00584EC1">
            <w:pPr>
              <w:rPr>
                <w:rFonts w:ascii="宋体"/>
                <w:vanish/>
              </w:rPr>
            </w:pPr>
          </w:p>
        </w:tc>
        <w:tc>
          <w:tcPr>
            <w:tcW w:w="0" w:type="auto"/>
            <w:shd w:val="clear" w:color="auto" w:fill="auto"/>
            <w:vAlign w:val="bottom"/>
          </w:tcPr>
          <w:p w14:paraId="74DD8812" w14:textId="77777777" w:rsidR="00584EC1" w:rsidRDefault="00584EC1">
            <w:pPr>
              <w:rPr>
                <w:rFonts w:ascii="宋体"/>
                <w:vanish/>
              </w:rPr>
            </w:pPr>
          </w:p>
        </w:tc>
        <w:tc>
          <w:tcPr>
            <w:tcW w:w="0" w:type="auto"/>
            <w:gridSpan w:val="3"/>
            <w:shd w:val="clear" w:color="auto" w:fill="auto"/>
            <w:vAlign w:val="bottom"/>
          </w:tcPr>
          <w:p w14:paraId="74DD8813" w14:textId="77777777" w:rsidR="00584EC1" w:rsidRDefault="00584EC1">
            <w:pPr>
              <w:rPr>
                <w:rFonts w:ascii="宋体"/>
                <w:vanish/>
              </w:rPr>
            </w:pPr>
          </w:p>
        </w:tc>
        <w:tc>
          <w:tcPr>
            <w:tcW w:w="0" w:type="auto"/>
            <w:gridSpan w:val="3"/>
            <w:shd w:val="clear" w:color="auto" w:fill="auto"/>
            <w:vAlign w:val="bottom"/>
          </w:tcPr>
          <w:p w14:paraId="74DD8814" w14:textId="77777777" w:rsidR="00584EC1" w:rsidRDefault="00584EC1">
            <w:pPr>
              <w:rPr>
                <w:rFonts w:ascii="宋体"/>
                <w:vanish/>
              </w:rPr>
            </w:pPr>
          </w:p>
        </w:tc>
      </w:tr>
      <w:tr w:rsidR="00584EC1" w14:paraId="74DD8820" w14:textId="77777777">
        <w:tc>
          <w:tcPr>
            <w:tcW w:w="0" w:type="auto"/>
            <w:gridSpan w:val="3"/>
            <w:shd w:val="clear" w:color="auto" w:fill="CCEEFF"/>
            <w:tcMar>
              <w:top w:w="40" w:type="dxa"/>
              <w:left w:w="20" w:type="dxa"/>
              <w:bottom w:w="40" w:type="dxa"/>
              <w:right w:w="20" w:type="dxa"/>
            </w:tcMar>
            <w:vAlign w:val="bottom"/>
          </w:tcPr>
          <w:p w14:paraId="74DD8816" w14:textId="77777777" w:rsidR="00584EC1" w:rsidRDefault="00871F8D">
            <w:pPr>
              <w:textAlignment w:val="bottom"/>
            </w:pPr>
            <w:r>
              <w:rPr>
                <w:rFonts w:ascii="Arial" w:eastAsia="宋体" w:hAnsi="Arial" w:cs="Arial"/>
                <w:color w:val="000000"/>
                <w:sz w:val="14"/>
                <w:szCs w:val="14"/>
              </w:rPr>
              <w:t>Other non-interest-earning assets</w:t>
            </w:r>
          </w:p>
        </w:tc>
        <w:tc>
          <w:tcPr>
            <w:tcW w:w="0" w:type="auto"/>
            <w:gridSpan w:val="2"/>
            <w:shd w:val="clear" w:color="auto" w:fill="CCEEFF"/>
            <w:tcMar>
              <w:top w:w="40" w:type="dxa"/>
              <w:left w:w="20" w:type="dxa"/>
              <w:bottom w:w="40" w:type="dxa"/>
              <w:right w:w="0" w:type="dxa"/>
            </w:tcMar>
            <w:vAlign w:val="bottom"/>
          </w:tcPr>
          <w:p w14:paraId="74DD8817" w14:textId="77777777" w:rsidR="00584EC1" w:rsidRDefault="00871F8D">
            <w:pPr>
              <w:jc w:val="right"/>
              <w:textAlignment w:val="bottom"/>
            </w:pPr>
            <w:r>
              <w:rPr>
                <w:rFonts w:ascii="Arial" w:eastAsia="宋体" w:hAnsi="Arial" w:cs="Arial"/>
                <w:b/>
                <w:bCs/>
                <w:color w:val="000000"/>
                <w:sz w:val="14"/>
                <w:szCs w:val="14"/>
              </w:rPr>
              <w:t>35,150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881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81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81A" w14:textId="77777777" w:rsidR="00584EC1" w:rsidRDefault="00871F8D">
            <w:pPr>
              <w:jc w:val="right"/>
              <w:textAlignment w:val="bottom"/>
            </w:pPr>
            <w:r>
              <w:rPr>
                <w:rFonts w:ascii="Arial" w:eastAsia="宋体" w:hAnsi="Arial" w:cs="Arial"/>
                <w:color w:val="000000"/>
                <w:sz w:val="14"/>
                <w:szCs w:val="14"/>
              </w:rPr>
              <w:t>37,336 </w:t>
            </w:r>
          </w:p>
        </w:tc>
        <w:tc>
          <w:tcPr>
            <w:tcW w:w="0" w:type="auto"/>
            <w:shd w:val="clear" w:color="auto" w:fill="CCEEFF"/>
            <w:tcMar>
              <w:top w:w="40" w:type="dxa"/>
              <w:left w:w="0" w:type="dxa"/>
              <w:bottom w:w="40" w:type="dxa"/>
              <w:right w:w="20" w:type="dxa"/>
            </w:tcMar>
            <w:vAlign w:val="bottom"/>
          </w:tcPr>
          <w:p w14:paraId="74DD881B" w14:textId="77777777" w:rsidR="00584EC1" w:rsidRDefault="00584EC1">
            <w:pPr>
              <w:jc w:val="right"/>
              <w:rPr>
                <w:rFonts w:ascii="宋体"/>
              </w:rPr>
            </w:pPr>
          </w:p>
        </w:tc>
        <w:tc>
          <w:tcPr>
            <w:tcW w:w="0" w:type="auto"/>
            <w:shd w:val="clear" w:color="auto" w:fill="auto"/>
            <w:vAlign w:val="bottom"/>
          </w:tcPr>
          <w:p w14:paraId="74DD881C" w14:textId="77777777" w:rsidR="00584EC1" w:rsidRDefault="00584EC1">
            <w:pPr>
              <w:rPr>
                <w:rFonts w:ascii="宋体"/>
                <w:vanish/>
              </w:rPr>
            </w:pPr>
          </w:p>
        </w:tc>
        <w:tc>
          <w:tcPr>
            <w:tcW w:w="0" w:type="auto"/>
            <w:shd w:val="clear" w:color="auto" w:fill="auto"/>
            <w:vAlign w:val="bottom"/>
          </w:tcPr>
          <w:p w14:paraId="74DD881D" w14:textId="77777777" w:rsidR="00584EC1" w:rsidRDefault="00584EC1">
            <w:pPr>
              <w:rPr>
                <w:rFonts w:ascii="宋体"/>
                <w:vanish/>
              </w:rPr>
            </w:pPr>
          </w:p>
        </w:tc>
        <w:tc>
          <w:tcPr>
            <w:tcW w:w="0" w:type="auto"/>
            <w:gridSpan w:val="3"/>
            <w:shd w:val="clear" w:color="auto" w:fill="auto"/>
            <w:vAlign w:val="bottom"/>
          </w:tcPr>
          <w:p w14:paraId="74DD881E" w14:textId="77777777" w:rsidR="00584EC1" w:rsidRDefault="00584EC1">
            <w:pPr>
              <w:rPr>
                <w:rFonts w:ascii="宋体"/>
                <w:vanish/>
              </w:rPr>
            </w:pPr>
          </w:p>
        </w:tc>
        <w:tc>
          <w:tcPr>
            <w:tcW w:w="0" w:type="auto"/>
            <w:gridSpan w:val="3"/>
            <w:shd w:val="clear" w:color="auto" w:fill="auto"/>
            <w:vAlign w:val="bottom"/>
          </w:tcPr>
          <w:p w14:paraId="74DD881F" w14:textId="77777777" w:rsidR="00584EC1" w:rsidRDefault="00584EC1">
            <w:pPr>
              <w:rPr>
                <w:rFonts w:ascii="宋体"/>
                <w:vanish/>
              </w:rPr>
            </w:pPr>
          </w:p>
        </w:tc>
      </w:tr>
      <w:tr w:rsidR="00584EC1" w14:paraId="74DD882D" w14:textId="77777777">
        <w:tc>
          <w:tcPr>
            <w:tcW w:w="0" w:type="auto"/>
            <w:gridSpan w:val="3"/>
            <w:shd w:val="clear" w:color="auto" w:fill="FFFFFF"/>
            <w:tcMar>
              <w:top w:w="40" w:type="dxa"/>
              <w:left w:w="245" w:type="dxa"/>
              <w:bottom w:w="40" w:type="dxa"/>
              <w:right w:w="20" w:type="dxa"/>
            </w:tcMar>
            <w:vAlign w:val="bottom"/>
          </w:tcPr>
          <w:p w14:paraId="74DD8821" w14:textId="77777777" w:rsidR="00584EC1" w:rsidRDefault="00871F8D">
            <w:pPr>
              <w:textAlignment w:val="bottom"/>
            </w:pPr>
            <w:r>
              <w:rPr>
                <w:rFonts w:ascii="Arial" w:eastAsia="宋体" w:hAnsi="Arial" w:cs="Arial"/>
                <w:b/>
                <w:bCs/>
                <w:color w:val="000000"/>
                <w:sz w:val="14"/>
                <w:szCs w:val="14"/>
              </w:rPr>
              <w:t>Average total assets</w:t>
            </w:r>
          </w:p>
        </w:tc>
        <w:tc>
          <w:tcPr>
            <w:tcW w:w="0" w:type="auto"/>
            <w:tcBorders>
              <w:top w:val="single" w:sz="8" w:space="0" w:color="000000"/>
            </w:tcBorders>
            <w:shd w:val="clear" w:color="auto" w:fill="FFFFFF"/>
            <w:tcMar>
              <w:top w:w="40" w:type="dxa"/>
              <w:left w:w="20" w:type="dxa"/>
              <w:bottom w:w="40" w:type="dxa"/>
              <w:right w:w="0" w:type="dxa"/>
            </w:tcMar>
            <w:vAlign w:val="bottom"/>
          </w:tcPr>
          <w:p w14:paraId="74DD8822"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8823" w14:textId="77777777" w:rsidR="00584EC1" w:rsidRDefault="00871F8D">
            <w:pPr>
              <w:jc w:val="right"/>
              <w:textAlignment w:val="bottom"/>
            </w:pPr>
            <w:r>
              <w:rPr>
                <w:rFonts w:ascii="Arial" w:eastAsia="宋体" w:hAnsi="Arial" w:cs="Arial"/>
                <w:b/>
                <w:bCs/>
                <w:color w:val="000000"/>
                <w:sz w:val="14"/>
                <w:szCs w:val="14"/>
              </w:rPr>
              <w:t>298,643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882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825"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8826"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8827" w14:textId="77777777" w:rsidR="00584EC1" w:rsidRDefault="00871F8D">
            <w:pPr>
              <w:jc w:val="right"/>
              <w:textAlignment w:val="bottom"/>
            </w:pPr>
            <w:r>
              <w:rPr>
                <w:rFonts w:ascii="Arial" w:eastAsia="宋体" w:hAnsi="Arial" w:cs="Arial"/>
                <w:color w:val="000000"/>
                <w:sz w:val="14"/>
                <w:szCs w:val="14"/>
              </w:rPr>
              <w:t>266,742 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8828" w14:textId="77777777" w:rsidR="00584EC1" w:rsidRDefault="00584EC1">
            <w:pPr>
              <w:jc w:val="right"/>
              <w:rPr>
                <w:rFonts w:ascii="宋体"/>
              </w:rPr>
            </w:pPr>
          </w:p>
        </w:tc>
        <w:tc>
          <w:tcPr>
            <w:tcW w:w="0" w:type="auto"/>
            <w:shd w:val="clear" w:color="auto" w:fill="auto"/>
            <w:vAlign w:val="bottom"/>
          </w:tcPr>
          <w:p w14:paraId="74DD8829" w14:textId="77777777" w:rsidR="00584EC1" w:rsidRDefault="00584EC1">
            <w:pPr>
              <w:rPr>
                <w:rFonts w:ascii="宋体"/>
                <w:vanish/>
              </w:rPr>
            </w:pPr>
          </w:p>
        </w:tc>
        <w:tc>
          <w:tcPr>
            <w:tcW w:w="0" w:type="auto"/>
            <w:shd w:val="clear" w:color="auto" w:fill="auto"/>
            <w:vAlign w:val="bottom"/>
          </w:tcPr>
          <w:p w14:paraId="74DD882A" w14:textId="77777777" w:rsidR="00584EC1" w:rsidRDefault="00584EC1">
            <w:pPr>
              <w:rPr>
                <w:rFonts w:ascii="宋体"/>
                <w:vanish/>
              </w:rPr>
            </w:pPr>
          </w:p>
        </w:tc>
        <w:tc>
          <w:tcPr>
            <w:tcW w:w="0" w:type="auto"/>
            <w:gridSpan w:val="3"/>
            <w:shd w:val="clear" w:color="auto" w:fill="auto"/>
            <w:vAlign w:val="bottom"/>
          </w:tcPr>
          <w:p w14:paraId="74DD882B" w14:textId="77777777" w:rsidR="00584EC1" w:rsidRDefault="00584EC1">
            <w:pPr>
              <w:rPr>
                <w:rFonts w:ascii="宋体"/>
                <w:vanish/>
              </w:rPr>
            </w:pPr>
          </w:p>
        </w:tc>
        <w:tc>
          <w:tcPr>
            <w:tcW w:w="0" w:type="auto"/>
            <w:gridSpan w:val="3"/>
            <w:shd w:val="clear" w:color="auto" w:fill="auto"/>
            <w:vAlign w:val="bottom"/>
          </w:tcPr>
          <w:p w14:paraId="74DD882C" w14:textId="77777777" w:rsidR="00584EC1" w:rsidRDefault="00584EC1">
            <w:pPr>
              <w:rPr>
                <w:rFonts w:ascii="宋体"/>
                <w:vanish/>
              </w:rPr>
            </w:pPr>
          </w:p>
        </w:tc>
      </w:tr>
      <w:tr w:rsidR="00584EC1" w14:paraId="74DD8836" w14:textId="77777777">
        <w:tc>
          <w:tcPr>
            <w:tcW w:w="0" w:type="auto"/>
            <w:gridSpan w:val="3"/>
            <w:shd w:val="clear" w:color="auto" w:fill="CCEEFF"/>
            <w:tcMar>
              <w:top w:w="40" w:type="dxa"/>
              <w:left w:w="20" w:type="dxa"/>
              <w:bottom w:w="40" w:type="dxa"/>
              <w:right w:w="20" w:type="dxa"/>
            </w:tcMar>
            <w:vAlign w:val="bottom"/>
          </w:tcPr>
          <w:p w14:paraId="74DD882E" w14:textId="77777777" w:rsidR="00584EC1" w:rsidRDefault="00871F8D">
            <w:pPr>
              <w:textAlignment w:val="bottom"/>
            </w:pPr>
            <w:r>
              <w:rPr>
                <w:rFonts w:ascii="Arial" w:eastAsia="宋体" w:hAnsi="Arial" w:cs="Arial"/>
                <w:b/>
                <w:bCs/>
                <w:color w:val="000000"/>
                <w:sz w:val="14"/>
                <w:szCs w:val="14"/>
              </w:rPr>
              <w:t>Liabilities and shareholders’ equity:</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4DD882F"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8830" w14:textId="77777777" w:rsidR="00584EC1" w:rsidRDefault="00584EC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4DD8831" w14:textId="77777777" w:rsidR="00584EC1" w:rsidRDefault="00584EC1">
            <w:pPr>
              <w:rPr>
                <w:rFonts w:ascii="宋体"/>
              </w:rPr>
            </w:pPr>
          </w:p>
        </w:tc>
        <w:tc>
          <w:tcPr>
            <w:tcW w:w="0" w:type="auto"/>
            <w:shd w:val="clear" w:color="auto" w:fill="auto"/>
            <w:vAlign w:val="bottom"/>
          </w:tcPr>
          <w:p w14:paraId="74DD8832" w14:textId="77777777" w:rsidR="00584EC1" w:rsidRDefault="00584EC1">
            <w:pPr>
              <w:rPr>
                <w:rFonts w:ascii="宋体"/>
                <w:vanish/>
              </w:rPr>
            </w:pPr>
          </w:p>
        </w:tc>
        <w:tc>
          <w:tcPr>
            <w:tcW w:w="0" w:type="auto"/>
            <w:shd w:val="clear" w:color="auto" w:fill="auto"/>
            <w:vAlign w:val="bottom"/>
          </w:tcPr>
          <w:p w14:paraId="74DD8833" w14:textId="77777777" w:rsidR="00584EC1" w:rsidRDefault="00584EC1">
            <w:pPr>
              <w:rPr>
                <w:rFonts w:ascii="宋体"/>
                <w:vanish/>
              </w:rPr>
            </w:pPr>
          </w:p>
        </w:tc>
        <w:tc>
          <w:tcPr>
            <w:tcW w:w="0" w:type="auto"/>
            <w:gridSpan w:val="3"/>
            <w:shd w:val="clear" w:color="auto" w:fill="auto"/>
            <w:vAlign w:val="bottom"/>
          </w:tcPr>
          <w:p w14:paraId="74DD8834" w14:textId="77777777" w:rsidR="00584EC1" w:rsidRDefault="00584EC1">
            <w:pPr>
              <w:rPr>
                <w:rFonts w:ascii="宋体"/>
                <w:vanish/>
              </w:rPr>
            </w:pPr>
          </w:p>
        </w:tc>
        <w:tc>
          <w:tcPr>
            <w:tcW w:w="0" w:type="auto"/>
            <w:gridSpan w:val="3"/>
            <w:shd w:val="clear" w:color="auto" w:fill="auto"/>
            <w:vAlign w:val="bottom"/>
          </w:tcPr>
          <w:p w14:paraId="74DD8835" w14:textId="77777777" w:rsidR="00584EC1" w:rsidRDefault="00584EC1">
            <w:pPr>
              <w:rPr>
                <w:rFonts w:ascii="宋体"/>
                <w:vanish/>
              </w:rPr>
            </w:pPr>
          </w:p>
        </w:tc>
      </w:tr>
      <w:tr w:rsidR="00584EC1" w14:paraId="74DD883F" w14:textId="77777777">
        <w:tc>
          <w:tcPr>
            <w:tcW w:w="0" w:type="auto"/>
            <w:gridSpan w:val="3"/>
            <w:shd w:val="clear" w:color="auto" w:fill="auto"/>
            <w:tcMar>
              <w:top w:w="40" w:type="dxa"/>
              <w:left w:w="20" w:type="dxa"/>
              <w:bottom w:w="40" w:type="dxa"/>
              <w:right w:w="20" w:type="dxa"/>
            </w:tcMar>
            <w:vAlign w:val="bottom"/>
          </w:tcPr>
          <w:p w14:paraId="74DD8837" w14:textId="77777777" w:rsidR="00584EC1" w:rsidRDefault="00871F8D">
            <w:pPr>
              <w:textAlignment w:val="bottom"/>
            </w:pPr>
            <w:r>
              <w:rPr>
                <w:rFonts w:ascii="Arial" w:eastAsia="宋体" w:hAnsi="Arial" w:cs="Arial"/>
                <w:color w:val="000000"/>
                <w:sz w:val="14"/>
                <w:szCs w:val="14"/>
              </w:rPr>
              <w:t>Interest-bearing deposits:</w:t>
            </w:r>
          </w:p>
        </w:tc>
        <w:tc>
          <w:tcPr>
            <w:tcW w:w="0" w:type="auto"/>
            <w:gridSpan w:val="3"/>
            <w:shd w:val="clear" w:color="auto" w:fill="auto"/>
            <w:tcMar>
              <w:top w:w="0" w:type="dxa"/>
              <w:left w:w="20" w:type="dxa"/>
              <w:bottom w:w="0" w:type="dxa"/>
              <w:right w:w="20" w:type="dxa"/>
            </w:tcMar>
            <w:vAlign w:val="bottom"/>
          </w:tcPr>
          <w:p w14:paraId="74DD8838"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8839"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883A" w14:textId="77777777" w:rsidR="00584EC1" w:rsidRDefault="00584EC1">
            <w:pPr>
              <w:rPr>
                <w:rFonts w:ascii="宋体"/>
              </w:rPr>
            </w:pPr>
          </w:p>
        </w:tc>
        <w:tc>
          <w:tcPr>
            <w:tcW w:w="0" w:type="auto"/>
            <w:shd w:val="clear" w:color="auto" w:fill="auto"/>
            <w:vAlign w:val="bottom"/>
          </w:tcPr>
          <w:p w14:paraId="74DD883B" w14:textId="77777777" w:rsidR="00584EC1" w:rsidRDefault="00584EC1">
            <w:pPr>
              <w:rPr>
                <w:rFonts w:ascii="宋体"/>
                <w:vanish/>
              </w:rPr>
            </w:pPr>
          </w:p>
        </w:tc>
        <w:tc>
          <w:tcPr>
            <w:tcW w:w="0" w:type="auto"/>
            <w:shd w:val="clear" w:color="auto" w:fill="auto"/>
            <w:vAlign w:val="bottom"/>
          </w:tcPr>
          <w:p w14:paraId="74DD883C" w14:textId="77777777" w:rsidR="00584EC1" w:rsidRDefault="00584EC1">
            <w:pPr>
              <w:rPr>
                <w:rFonts w:ascii="宋体"/>
                <w:vanish/>
              </w:rPr>
            </w:pPr>
          </w:p>
        </w:tc>
        <w:tc>
          <w:tcPr>
            <w:tcW w:w="0" w:type="auto"/>
            <w:gridSpan w:val="3"/>
            <w:shd w:val="clear" w:color="auto" w:fill="auto"/>
            <w:vAlign w:val="bottom"/>
          </w:tcPr>
          <w:p w14:paraId="74DD883D" w14:textId="77777777" w:rsidR="00584EC1" w:rsidRDefault="00584EC1">
            <w:pPr>
              <w:rPr>
                <w:rFonts w:ascii="宋体"/>
                <w:vanish/>
              </w:rPr>
            </w:pPr>
          </w:p>
        </w:tc>
        <w:tc>
          <w:tcPr>
            <w:tcW w:w="0" w:type="auto"/>
            <w:gridSpan w:val="3"/>
            <w:shd w:val="clear" w:color="auto" w:fill="auto"/>
            <w:vAlign w:val="bottom"/>
          </w:tcPr>
          <w:p w14:paraId="74DD883E" w14:textId="77777777" w:rsidR="00584EC1" w:rsidRDefault="00584EC1">
            <w:pPr>
              <w:rPr>
                <w:rFonts w:ascii="宋体"/>
                <w:vanish/>
              </w:rPr>
            </w:pPr>
          </w:p>
        </w:tc>
      </w:tr>
      <w:tr w:rsidR="00584EC1" w14:paraId="74DD884C" w14:textId="77777777">
        <w:tc>
          <w:tcPr>
            <w:tcW w:w="0" w:type="auto"/>
            <w:gridSpan w:val="3"/>
            <w:shd w:val="clear" w:color="auto" w:fill="CCEEFF"/>
            <w:tcMar>
              <w:top w:w="40" w:type="dxa"/>
              <w:left w:w="245" w:type="dxa"/>
              <w:bottom w:w="40" w:type="dxa"/>
              <w:right w:w="20" w:type="dxa"/>
            </w:tcMar>
            <w:vAlign w:val="bottom"/>
          </w:tcPr>
          <w:p w14:paraId="74DD8840" w14:textId="77777777" w:rsidR="00584EC1" w:rsidRDefault="00871F8D">
            <w:pPr>
              <w:textAlignment w:val="bottom"/>
            </w:pPr>
            <w:r>
              <w:rPr>
                <w:rFonts w:ascii="Arial" w:eastAsia="宋体" w:hAnsi="Arial" w:cs="Arial"/>
                <w:color w:val="000000"/>
                <w:sz w:val="14"/>
                <w:szCs w:val="14"/>
              </w:rPr>
              <w:t>U.S.</w:t>
            </w:r>
          </w:p>
        </w:tc>
        <w:tc>
          <w:tcPr>
            <w:tcW w:w="0" w:type="auto"/>
            <w:shd w:val="clear" w:color="auto" w:fill="CCEEFF"/>
            <w:tcMar>
              <w:top w:w="40" w:type="dxa"/>
              <w:left w:w="20" w:type="dxa"/>
              <w:bottom w:w="40" w:type="dxa"/>
              <w:right w:w="0" w:type="dxa"/>
            </w:tcMar>
            <w:vAlign w:val="bottom"/>
          </w:tcPr>
          <w:p w14:paraId="74DD8841" w14:textId="77777777" w:rsidR="00584EC1" w:rsidRDefault="00871F8D">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4DD8842" w14:textId="77777777" w:rsidR="00584EC1" w:rsidRDefault="00871F8D">
            <w:pPr>
              <w:jc w:val="right"/>
              <w:textAlignment w:val="bottom"/>
            </w:pPr>
            <w:r>
              <w:rPr>
                <w:rFonts w:ascii="Arial" w:eastAsia="宋体" w:hAnsi="Arial" w:cs="Arial"/>
                <w:b/>
                <w:bCs/>
                <w:color w:val="000000"/>
                <w:sz w:val="14"/>
                <w:szCs w:val="14"/>
              </w:rPr>
              <w:t>105,286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884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844"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8845"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8846" w14:textId="77777777" w:rsidR="00584EC1" w:rsidRDefault="00871F8D">
            <w:pPr>
              <w:jc w:val="right"/>
              <w:textAlignment w:val="bottom"/>
            </w:pPr>
            <w:r>
              <w:rPr>
                <w:rFonts w:ascii="Arial" w:eastAsia="宋体" w:hAnsi="Arial" w:cs="Arial"/>
                <w:color w:val="000000"/>
                <w:sz w:val="14"/>
                <w:szCs w:val="14"/>
              </w:rPr>
              <w:t>85,592 </w:t>
            </w:r>
          </w:p>
        </w:tc>
        <w:tc>
          <w:tcPr>
            <w:tcW w:w="0" w:type="auto"/>
            <w:shd w:val="clear" w:color="auto" w:fill="CCEEFF"/>
            <w:tcMar>
              <w:top w:w="40" w:type="dxa"/>
              <w:left w:w="0" w:type="dxa"/>
              <w:bottom w:w="40" w:type="dxa"/>
              <w:right w:w="20" w:type="dxa"/>
            </w:tcMar>
            <w:vAlign w:val="bottom"/>
          </w:tcPr>
          <w:p w14:paraId="74DD8847" w14:textId="77777777" w:rsidR="00584EC1" w:rsidRDefault="00584EC1">
            <w:pPr>
              <w:jc w:val="right"/>
              <w:rPr>
                <w:rFonts w:ascii="宋体"/>
              </w:rPr>
            </w:pPr>
          </w:p>
        </w:tc>
        <w:tc>
          <w:tcPr>
            <w:tcW w:w="0" w:type="auto"/>
            <w:shd w:val="clear" w:color="auto" w:fill="auto"/>
            <w:vAlign w:val="bottom"/>
          </w:tcPr>
          <w:p w14:paraId="74DD8848" w14:textId="77777777" w:rsidR="00584EC1" w:rsidRDefault="00584EC1">
            <w:pPr>
              <w:rPr>
                <w:rFonts w:ascii="宋体"/>
                <w:vanish/>
              </w:rPr>
            </w:pPr>
          </w:p>
        </w:tc>
        <w:tc>
          <w:tcPr>
            <w:tcW w:w="0" w:type="auto"/>
            <w:shd w:val="clear" w:color="auto" w:fill="auto"/>
            <w:vAlign w:val="bottom"/>
          </w:tcPr>
          <w:p w14:paraId="74DD8849" w14:textId="77777777" w:rsidR="00584EC1" w:rsidRDefault="00584EC1">
            <w:pPr>
              <w:rPr>
                <w:rFonts w:ascii="宋体"/>
                <w:vanish/>
              </w:rPr>
            </w:pPr>
          </w:p>
        </w:tc>
        <w:tc>
          <w:tcPr>
            <w:tcW w:w="0" w:type="auto"/>
            <w:gridSpan w:val="3"/>
            <w:shd w:val="clear" w:color="auto" w:fill="auto"/>
            <w:vAlign w:val="bottom"/>
          </w:tcPr>
          <w:p w14:paraId="74DD884A" w14:textId="77777777" w:rsidR="00584EC1" w:rsidRDefault="00584EC1">
            <w:pPr>
              <w:rPr>
                <w:rFonts w:ascii="宋体"/>
                <w:vanish/>
              </w:rPr>
            </w:pPr>
          </w:p>
        </w:tc>
        <w:tc>
          <w:tcPr>
            <w:tcW w:w="0" w:type="auto"/>
            <w:gridSpan w:val="3"/>
            <w:shd w:val="clear" w:color="auto" w:fill="auto"/>
            <w:vAlign w:val="bottom"/>
          </w:tcPr>
          <w:p w14:paraId="74DD884B" w14:textId="77777777" w:rsidR="00584EC1" w:rsidRDefault="00584EC1">
            <w:pPr>
              <w:rPr>
                <w:rFonts w:ascii="宋体"/>
                <w:vanish/>
              </w:rPr>
            </w:pPr>
          </w:p>
        </w:tc>
      </w:tr>
      <w:tr w:rsidR="00584EC1" w14:paraId="74DD8857" w14:textId="77777777">
        <w:tc>
          <w:tcPr>
            <w:tcW w:w="0" w:type="auto"/>
            <w:gridSpan w:val="3"/>
            <w:shd w:val="clear" w:color="auto" w:fill="FFFFFF"/>
            <w:tcMar>
              <w:top w:w="40" w:type="dxa"/>
              <w:left w:w="245" w:type="dxa"/>
              <w:bottom w:w="40" w:type="dxa"/>
              <w:right w:w="20" w:type="dxa"/>
            </w:tcMar>
            <w:vAlign w:val="bottom"/>
          </w:tcPr>
          <w:p w14:paraId="74DD884D" w14:textId="77777777" w:rsidR="00584EC1" w:rsidRDefault="00871F8D">
            <w:pPr>
              <w:textAlignment w:val="bottom"/>
            </w:pPr>
            <w:r>
              <w:rPr>
                <w:rFonts w:ascii="Arial" w:eastAsia="宋体" w:hAnsi="Arial" w:cs="Arial"/>
                <w:color w:val="000000"/>
                <w:sz w:val="14"/>
                <w:szCs w:val="14"/>
              </w:rPr>
              <w:t>Non-U.S.</w:t>
            </w:r>
          </w:p>
        </w:tc>
        <w:tc>
          <w:tcPr>
            <w:tcW w:w="0" w:type="auto"/>
            <w:gridSpan w:val="2"/>
            <w:shd w:val="clear" w:color="auto" w:fill="FFFFFF"/>
            <w:tcMar>
              <w:top w:w="40" w:type="dxa"/>
              <w:left w:w="20" w:type="dxa"/>
              <w:bottom w:w="40" w:type="dxa"/>
              <w:right w:w="0" w:type="dxa"/>
            </w:tcMar>
            <w:vAlign w:val="bottom"/>
          </w:tcPr>
          <w:p w14:paraId="74DD884E" w14:textId="77777777" w:rsidR="00584EC1" w:rsidRDefault="00871F8D">
            <w:pPr>
              <w:jc w:val="right"/>
              <w:textAlignment w:val="bottom"/>
            </w:pPr>
            <w:r>
              <w:rPr>
                <w:rFonts w:ascii="Arial" w:eastAsia="宋体" w:hAnsi="Arial" w:cs="Arial"/>
                <w:b/>
                <w:bCs/>
                <w:color w:val="000000"/>
                <w:sz w:val="14"/>
                <w:szCs w:val="14"/>
              </w:rPr>
              <w:t>81,318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884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85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851" w14:textId="77777777" w:rsidR="00584EC1" w:rsidRDefault="00871F8D">
            <w:pPr>
              <w:jc w:val="right"/>
              <w:textAlignment w:val="bottom"/>
            </w:pPr>
            <w:r>
              <w:rPr>
                <w:rFonts w:ascii="Arial" w:eastAsia="宋体" w:hAnsi="Arial" w:cs="Arial"/>
                <w:color w:val="000000"/>
                <w:sz w:val="14"/>
                <w:szCs w:val="14"/>
              </w:rPr>
              <w:t>66,953 </w:t>
            </w:r>
          </w:p>
        </w:tc>
        <w:tc>
          <w:tcPr>
            <w:tcW w:w="0" w:type="auto"/>
            <w:shd w:val="clear" w:color="auto" w:fill="FFFFFF"/>
            <w:tcMar>
              <w:top w:w="40" w:type="dxa"/>
              <w:left w:w="0" w:type="dxa"/>
              <w:bottom w:w="40" w:type="dxa"/>
              <w:right w:w="20" w:type="dxa"/>
            </w:tcMar>
            <w:vAlign w:val="bottom"/>
          </w:tcPr>
          <w:p w14:paraId="74DD8852" w14:textId="77777777" w:rsidR="00584EC1" w:rsidRDefault="00584EC1">
            <w:pPr>
              <w:jc w:val="right"/>
              <w:rPr>
                <w:rFonts w:ascii="宋体"/>
              </w:rPr>
            </w:pPr>
          </w:p>
        </w:tc>
        <w:tc>
          <w:tcPr>
            <w:tcW w:w="0" w:type="auto"/>
            <w:shd w:val="clear" w:color="auto" w:fill="auto"/>
            <w:vAlign w:val="bottom"/>
          </w:tcPr>
          <w:p w14:paraId="74DD8853" w14:textId="77777777" w:rsidR="00584EC1" w:rsidRDefault="00584EC1">
            <w:pPr>
              <w:rPr>
                <w:rFonts w:ascii="宋体"/>
                <w:vanish/>
              </w:rPr>
            </w:pPr>
          </w:p>
        </w:tc>
        <w:tc>
          <w:tcPr>
            <w:tcW w:w="0" w:type="auto"/>
            <w:shd w:val="clear" w:color="auto" w:fill="auto"/>
            <w:vAlign w:val="bottom"/>
          </w:tcPr>
          <w:p w14:paraId="74DD8854" w14:textId="77777777" w:rsidR="00584EC1" w:rsidRDefault="00584EC1">
            <w:pPr>
              <w:rPr>
                <w:rFonts w:ascii="宋体"/>
                <w:vanish/>
              </w:rPr>
            </w:pPr>
          </w:p>
        </w:tc>
        <w:tc>
          <w:tcPr>
            <w:tcW w:w="0" w:type="auto"/>
            <w:gridSpan w:val="3"/>
            <w:shd w:val="clear" w:color="auto" w:fill="auto"/>
            <w:vAlign w:val="bottom"/>
          </w:tcPr>
          <w:p w14:paraId="74DD8855" w14:textId="77777777" w:rsidR="00584EC1" w:rsidRDefault="00584EC1">
            <w:pPr>
              <w:rPr>
                <w:rFonts w:ascii="宋体"/>
                <w:vanish/>
              </w:rPr>
            </w:pPr>
          </w:p>
        </w:tc>
        <w:tc>
          <w:tcPr>
            <w:tcW w:w="0" w:type="auto"/>
            <w:gridSpan w:val="3"/>
            <w:shd w:val="clear" w:color="auto" w:fill="auto"/>
            <w:vAlign w:val="bottom"/>
          </w:tcPr>
          <w:p w14:paraId="74DD8856" w14:textId="77777777" w:rsidR="00584EC1" w:rsidRDefault="00584EC1">
            <w:pPr>
              <w:rPr>
                <w:rFonts w:ascii="宋体"/>
                <w:vanish/>
              </w:rPr>
            </w:pPr>
          </w:p>
        </w:tc>
      </w:tr>
      <w:tr w:rsidR="00584EC1" w14:paraId="74DD8862" w14:textId="77777777">
        <w:tc>
          <w:tcPr>
            <w:tcW w:w="0" w:type="auto"/>
            <w:gridSpan w:val="3"/>
            <w:shd w:val="clear" w:color="auto" w:fill="CCEEFF"/>
            <w:tcMar>
              <w:top w:w="40" w:type="dxa"/>
              <w:left w:w="20" w:type="dxa"/>
              <w:bottom w:w="40" w:type="dxa"/>
              <w:right w:w="20" w:type="dxa"/>
            </w:tcMar>
            <w:vAlign w:val="bottom"/>
          </w:tcPr>
          <w:p w14:paraId="74DD8858" w14:textId="77777777" w:rsidR="00584EC1" w:rsidRDefault="00871F8D">
            <w:pPr>
              <w:textAlignment w:val="bottom"/>
            </w:pPr>
            <w:r>
              <w:rPr>
                <w:rFonts w:ascii="Arial" w:eastAsia="宋体" w:hAnsi="Arial" w:cs="Arial"/>
                <w:color w:val="000000"/>
                <w:sz w:val="14"/>
                <w:szCs w:val="14"/>
              </w:rPr>
              <w:t>Total interest-bearing deposits</w:t>
            </w:r>
            <w:r>
              <w:rPr>
                <w:rFonts w:ascii="Arial" w:eastAsia="宋体" w:hAnsi="Arial" w:cs="Arial"/>
                <w:color w:val="000000"/>
                <w:sz w:val="9"/>
                <w:szCs w:val="9"/>
              </w:rPr>
              <w:t>(2)</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8859" w14:textId="77777777" w:rsidR="00584EC1" w:rsidRDefault="00871F8D">
            <w:pPr>
              <w:jc w:val="right"/>
              <w:textAlignment w:val="bottom"/>
            </w:pPr>
            <w:r>
              <w:rPr>
                <w:rFonts w:ascii="Arial" w:eastAsia="宋体" w:hAnsi="Arial" w:cs="Arial"/>
                <w:b/>
                <w:bCs/>
                <w:color w:val="000000"/>
                <w:sz w:val="14"/>
                <w:szCs w:val="14"/>
              </w:rPr>
              <w:t>186,604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85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85B"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885C" w14:textId="77777777" w:rsidR="00584EC1" w:rsidRDefault="00871F8D">
            <w:pPr>
              <w:jc w:val="right"/>
              <w:textAlignment w:val="bottom"/>
            </w:pPr>
            <w:r>
              <w:rPr>
                <w:rFonts w:ascii="Arial" w:eastAsia="宋体" w:hAnsi="Arial" w:cs="Arial"/>
                <w:color w:val="000000"/>
                <w:sz w:val="14"/>
                <w:szCs w:val="14"/>
              </w:rPr>
              <w:t>152,545 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85D" w14:textId="77777777" w:rsidR="00584EC1" w:rsidRDefault="00584EC1">
            <w:pPr>
              <w:jc w:val="right"/>
              <w:rPr>
                <w:rFonts w:ascii="宋体"/>
              </w:rPr>
            </w:pPr>
          </w:p>
        </w:tc>
        <w:tc>
          <w:tcPr>
            <w:tcW w:w="0" w:type="auto"/>
            <w:shd w:val="clear" w:color="auto" w:fill="auto"/>
            <w:vAlign w:val="bottom"/>
          </w:tcPr>
          <w:p w14:paraId="74DD885E" w14:textId="77777777" w:rsidR="00584EC1" w:rsidRDefault="00584EC1">
            <w:pPr>
              <w:rPr>
                <w:rFonts w:ascii="宋体"/>
                <w:vanish/>
              </w:rPr>
            </w:pPr>
          </w:p>
        </w:tc>
        <w:tc>
          <w:tcPr>
            <w:tcW w:w="0" w:type="auto"/>
            <w:shd w:val="clear" w:color="auto" w:fill="auto"/>
            <w:vAlign w:val="bottom"/>
          </w:tcPr>
          <w:p w14:paraId="74DD885F" w14:textId="77777777" w:rsidR="00584EC1" w:rsidRDefault="00584EC1">
            <w:pPr>
              <w:rPr>
                <w:rFonts w:ascii="宋体"/>
                <w:vanish/>
              </w:rPr>
            </w:pPr>
          </w:p>
        </w:tc>
        <w:tc>
          <w:tcPr>
            <w:tcW w:w="0" w:type="auto"/>
            <w:gridSpan w:val="3"/>
            <w:shd w:val="clear" w:color="auto" w:fill="auto"/>
            <w:vAlign w:val="bottom"/>
          </w:tcPr>
          <w:p w14:paraId="74DD8860" w14:textId="77777777" w:rsidR="00584EC1" w:rsidRDefault="00584EC1">
            <w:pPr>
              <w:rPr>
                <w:rFonts w:ascii="宋体"/>
                <w:vanish/>
              </w:rPr>
            </w:pPr>
          </w:p>
        </w:tc>
        <w:tc>
          <w:tcPr>
            <w:tcW w:w="0" w:type="auto"/>
            <w:gridSpan w:val="3"/>
            <w:shd w:val="clear" w:color="auto" w:fill="auto"/>
            <w:vAlign w:val="bottom"/>
          </w:tcPr>
          <w:p w14:paraId="74DD8861" w14:textId="77777777" w:rsidR="00584EC1" w:rsidRDefault="00584EC1">
            <w:pPr>
              <w:rPr>
                <w:rFonts w:ascii="宋体"/>
                <w:vanish/>
              </w:rPr>
            </w:pPr>
          </w:p>
        </w:tc>
      </w:tr>
      <w:tr w:rsidR="00584EC1" w14:paraId="74DD886D" w14:textId="77777777">
        <w:tc>
          <w:tcPr>
            <w:tcW w:w="0" w:type="auto"/>
            <w:gridSpan w:val="3"/>
            <w:shd w:val="clear" w:color="auto" w:fill="FFFFFF"/>
            <w:tcMar>
              <w:top w:w="40" w:type="dxa"/>
              <w:left w:w="20" w:type="dxa"/>
              <w:bottom w:w="40" w:type="dxa"/>
              <w:right w:w="20" w:type="dxa"/>
            </w:tcMar>
            <w:vAlign w:val="bottom"/>
          </w:tcPr>
          <w:p w14:paraId="74DD8863" w14:textId="77777777" w:rsidR="00584EC1" w:rsidRDefault="00871F8D">
            <w:pPr>
              <w:textAlignment w:val="bottom"/>
            </w:pPr>
            <w:r>
              <w:rPr>
                <w:rFonts w:ascii="Arial" w:eastAsia="宋体" w:hAnsi="Arial" w:cs="Arial"/>
                <w:color w:val="000000"/>
                <w:sz w:val="14"/>
                <w:szCs w:val="14"/>
              </w:rPr>
              <w:t>Securities sold under repurchase agreements</w:t>
            </w:r>
          </w:p>
        </w:tc>
        <w:tc>
          <w:tcPr>
            <w:tcW w:w="0" w:type="auto"/>
            <w:gridSpan w:val="2"/>
            <w:shd w:val="clear" w:color="auto" w:fill="FFFFFF"/>
            <w:tcMar>
              <w:top w:w="40" w:type="dxa"/>
              <w:left w:w="20" w:type="dxa"/>
              <w:bottom w:w="40" w:type="dxa"/>
              <w:right w:w="0" w:type="dxa"/>
            </w:tcMar>
            <w:vAlign w:val="bottom"/>
          </w:tcPr>
          <w:p w14:paraId="74DD8864" w14:textId="77777777" w:rsidR="00584EC1" w:rsidRDefault="00871F8D">
            <w:pPr>
              <w:jc w:val="right"/>
              <w:textAlignment w:val="bottom"/>
            </w:pPr>
            <w:r>
              <w:rPr>
                <w:rFonts w:ascii="Arial" w:eastAsia="宋体" w:hAnsi="Arial" w:cs="Arial"/>
                <w:b/>
                <w:bCs/>
                <w:color w:val="000000"/>
                <w:sz w:val="14"/>
                <w:szCs w:val="14"/>
              </w:rPr>
              <w:t>606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886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86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867" w14:textId="77777777" w:rsidR="00584EC1" w:rsidRDefault="00871F8D">
            <w:pPr>
              <w:jc w:val="right"/>
              <w:textAlignment w:val="bottom"/>
            </w:pPr>
            <w:r>
              <w:rPr>
                <w:rFonts w:ascii="Arial" w:eastAsia="宋体" w:hAnsi="Arial" w:cs="Arial"/>
                <w:color w:val="000000"/>
                <w:sz w:val="14"/>
                <w:szCs w:val="14"/>
              </w:rPr>
              <w:t>2,687 </w:t>
            </w:r>
          </w:p>
        </w:tc>
        <w:tc>
          <w:tcPr>
            <w:tcW w:w="0" w:type="auto"/>
            <w:shd w:val="clear" w:color="auto" w:fill="FFFFFF"/>
            <w:tcMar>
              <w:top w:w="40" w:type="dxa"/>
              <w:left w:w="0" w:type="dxa"/>
              <w:bottom w:w="40" w:type="dxa"/>
              <w:right w:w="20" w:type="dxa"/>
            </w:tcMar>
            <w:vAlign w:val="bottom"/>
          </w:tcPr>
          <w:p w14:paraId="74DD8868" w14:textId="77777777" w:rsidR="00584EC1" w:rsidRDefault="00584EC1">
            <w:pPr>
              <w:jc w:val="right"/>
              <w:rPr>
                <w:rFonts w:ascii="宋体"/>
              </w:rPr>
            </w:pPr>
          </w:p>
        </w:tc>
        <w:tc>
          <w:tcPr>
            <w:tcW w:w="0" w:type="auto"/>
            <w:shd w:val="clear" w:color="auto" w:fill="auto"/>
            <w:vAlign w:val="bottom"/>
          </w:tcPr>
          <w:p w14:paraId="74DD8869" w14:textId="77777777" w:rsidR="00584EC1" w:rsidRDefault="00584EC1">
            <w:pPr>
              <w:rPr>
                <w:rFonts w:ascii="宋体"/>
                <w:vanish/>
              </w:rPr>
            </w:pPr>
          </w:p>
        </w:tc>
        <w:tc>
          <w:tcPr>
            <w:tcW w:w="0" w:type="auto"/>
            <w:shd w:val="clear" w:color="auto" w:fill="auto"/>
            <w:vAlign w:val="bottom"/>
          </w:tcPr>
          <w:p w14:paraId="74DD886A" w14:textId="77777777" w:rsidR="00584EC1" w:rsidRDefault="00584EC1">
            <w:pPr>
              <w:rPr>
                <w:rFonts w:ascii="宋体"/>
                <w:vanish/>
              </w:rPr>
            </w:pPr>
          </w:p>
        </w:tc>
        <w:tc>
          <w:tcPr>
            <w:tcW w:w="0" w:type="auto"/>
            <w:gridSpan w:val="3"/>
            <w:shd w:val="clear" w:color="auto" w:fill="auto"/>
            <w:vAlign w:val="bottom"/>
          </w:tcPr>
          <w:p w14:paraId="74DD886B" w14:textId="77777777" w:rsidR="00584EC1" w:rsidRDefault="00584EC1">
            <w:pPr>
              <w:rPr>
                <w:rFonts w:ascii="宋体"/>
                <w:vanish/>
              </w:rPr>
            </w:pPr>
          </w:p>
        </w:tc>
        <w:tc>
          <w:tcPr>
            <w:tcW w:w="0" w:type="auto"/>
            <w:gridSpan w:val="3"/>
            <w:shd w:val="clear" w:color="auto" w:fill="auto"/>
            <w:vAlign w:val="bottom"/>
          </w:tcPr>
          <w:p w14:paraId="74DD886C" w14:textId="77777777" w:rsidR="00584EC1" w:rsidRDefault="00584EC1">
            <w:pPr>
              <w:rPr>
                <w:rFonts w:ascii="宋体"/>
                <w:vanish/>
              </w:rPr>
            </w:pPr>
          </w:p>
        </w:tc>
      </w:tr>
      <w:tr w:rsidR="00584EC1" w14:paraId="74DD8878" w14:textId="77777777">
        <w:tc>
          <w:tcPr>
            <w:tcW w:w="0" w:type="auto"/>
            <w:gridSpan w:val="3"/>
            <w:shd w:val="clear" w:color="auto" w:fill="CCEEFF"/>
            <w:tcMar>
              <w:top w:w="40" w:type="dxa"/>
              <w:left w:w="20" w:type="dxa"/>
              <w:bottom w:w="40" w:type="dxa"/>
              <w:right w:w="20" w:type="dxa"/>
            </w:tcMar>
            <w:vAlign w:val="bottom"/>
          </w:tcPr>
          <w:p w14:paraId="74DD886E" w14:textId="77777777" w:rsidR="00584EC1" w:rsidRDefault="00871F8D">
            <w:pPr>
              <w:textAlignment w:val="bottom"/>
            </w:pPr>
            <w:r>
              <w:rPr>
                <w:rFonts w:ascii="Arial" w:eastAsia="宋体" w:hAnsi="Arial" w:cs="Arial"/>
                <w:color w:val="000000"/>
                <w:sz w:val="14"/>
                <w:szCs w:val="14"/>
              </w:rPr>
              <w:t>Short-term borrowings under money market liquidity facility</w:t>
            </w:r>
          </w:p>
        </w:tc>
        <w:tc>
          <w:tcPr>
            <w:tcW w:w="0" w:type="auto"/>
            <w:gridSpan w:val="2"/>
            <w:shd w:val="clear" w:color="auto" w:fill="CCEEFF"/>
            <w:tcMar>
              <w:top w:w="40" w:type="dxa"/>
              <w:left w:w="20" w:type="dxa"/>
              <w:bottom w:w="40" w:type="dxa"/>
              <w:right w:w="0" w:type="dxa"/>
            </w:tcMar>
            <w:vAlign w:val="bottom"/>
          </w:tcPr>
          <w:p w14:paraId="74DD886F" w14:textId="77777777" w:rsidR="00584EC1" w:rsidRDefault="00871F8D">
            <w:pPr>
              <w:jc w:val="right"/>
              <w:textAlignment w:val="bottom"/>
            </w:pPr>
            <w:r>
              <w:rPr>
                <w:rFonts w:ascii="Arial" w:eastAsia="宋体" w:hAnsi="Arial" w:cs="Arial"/>
                <w:b/>
                <w:bCs/>
                <w:color w:val="000000"/>
                <w:sz w:val="14"/>
                <w:szCs w:val="14"/>
              </w:rPr>
              <w:t>421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887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87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872" w14:textId="77777777" w:rsidR="00584EC1" w:rsidRDefault="00871F8D">
            <w:pPr>
              <w:jc w:val="right"/>
              <w:textAlignment w:val="bottom"/>
            </w:pPr>
            <w:r>
              <w:rPr>
                <w:rFonts w:ascii="Arial" w:eastAsia="宋体" w:hAnsi="Arial" w:cs="Arial"/>
                <w:color w:val="000000"/>
                <w:sz w:val="14"/>
                <w:szCs w:val="14"/>
              </w:rPr>
              <w:t>9,550 </w:t>
            </w:r>
          </w:p>
        </w:tc>
        <w:tc>
          <w:tcPr>
            <w:tcW w:w="0" w:type="auto"/>
            <w:shd w:val="clear" w:color="auto" w:fill="CCEEFF"/>
            <w:tcMar>
              <w:top w:w="40" w:type="dxa"/>
              <w:left w:w="0" w:type="dxa"/>
              <w:bottom w:w="40" w:type="dxa"/>
              <w:right w:w="20" w:type="dxa"/>
            </w:tcMar>
            <w:vAlign w:val="bottom"/>
          </w:tcPr>
          <w:p w14:paraId="74DD8873" w14:textId="77777777" w:rsidR="00584EC1" w:rsidRDefault="00584EC1">
            <w:pPr>
              <w:jc w:val="right"/>
              <w:rPr>
                <w:rFonts w:ascii="宋体"/>
              </w:rPr>
            </w:pPr>
          </w:p>
        </w:tc>
        <w:tc>
          <w:tcPr>
            <w:tcW w:w="0" w:type="auto"/>
            <w:shd w:val="clear" w:color="auto" w:fill="auto"/>
            <w:vAlign w:val="bottom"/>
          </w:tcPr>
          <w:p w14:paraId="74DD8874" w14:textId="77777777" w:rsidR="00584EC1" w:rsidRDefault="00584EC1">
            <w:pPr>
              <w:rPr>
                <w:rFonts w:ascii="宋体"/>
                <w:vanish/>
              </w:rPr>
            </w:pPr>
          </w:p>
        </w:tc>
        <w:tc>
          <w:tcPr>
            <w:tcW w:w="0" w:type="auto"/>
            <w:shd w:val="clear" w:color="auto" w:fill="auto"/>
            <w:vAlign w:val="bottom"/>
          </w:tcPr>
          <w:p w14:paraId="74DD8875" w14:textId="77777777" w:rsidR="00584EC1" w:rsidRDefault="00584EC1">
            <w:pPr>
              <w:rPr>
                <w:rFonts w:ascii="宋体"/>
                <w:vanish/>
              </w:rPr>
            </w:pPr>
          </w:p>
        </w:tc>
        <w:tc>
          <w:tcPr>
            <w:tcW w:w="0" w:type="auto"/>
            <w:gridSpan w:val="3"/>
            <w:shd w:val="clear" w:color="auto" w:fill="auto"/>
            <w:vAlign w:val="bottom"/>
          </w:tcPr>
          <w:p w14:paraId="74DD8876" w14:textId="77777777" w:rsidR="00584EC1" w:rsidRDefault="00584EC1">
            <w:pPr>
              <w:rPr>
                <w:rFonts w:ascii="宋体"/>
                <w:vanish/>
              </w:rPr>
            </w:pPr>
          </w:p>
        </w:tc>
        <w:tc>
          <w:tcPr>
            <w:tcW w:w="0" w:type="auto"/>
            <w:gridSpan w:val="3"/>
            <w:shd w:val="clear" w:color="auto" w:fill="auto"/>
            <w:vAlign w:val="bottom"/>
          </w:tcPr>
          <w:p w14:paraId="74DD8877" w14:textId="77777777" w:rsidR="00584EC1" w:rsidRDefault="00584EC1">
            <w:pPr>
              <w:rPr>
                <w:rFonts w:ascii="宋体"/>
                <w:vanish/>
              </w:rPr>
            </w:pPr>
          </w:p>
        </w:tc>
      </w:tr>
      <w:tr w:rsidR="00584EC1" w14:paraId="74DD8883" w14:textId="77777777">
        <w:tc>
          <w:tcPr>
            <w:tcW w:w="0" w:type="auto"/>
            <w:gridSpan w:val="3"/>
            <w:shd w:val="clear" w:color="auto" w:fill="FFFFFF"/>
            <w:tcMar>
              <w:top w:w="40" w:type="dxa"/>
              <w:left w:w="20" w:type="dxa"/>
              <w:bottom w:w="40" w:type="dxa"/>
              <w:right w:w="20" w:type="dxa"/>
            </w:tcMar>
            <w:vAlign w:val="bottom"/>
          </w:tcPr>
          <w:p w14:paraId="74DD8879" w14:textId="77777777" w:rsidR="00584EC1" w:rsidRDefault="00871F8D">
            <w:pPr>
              <w:textAlignment w:val="bottom"/>
            </w:pPr>
            <w:r>
              <w:rPr>
                <w:rFonts w:ascii="Arial" w:eastAsia="宋体" w:hAnsi="Arial" w:cs="Arial"/>
                <w:color w:val="000000"/>
                <w:sz w:val="14"/>
                <w:szCs w:val="14"/>
              </w:rPr>
              <w:t>Other short-term borrowings</w:t>
            </w:r>
          </w:p>
        </w:tc>
        <w:tc>
          <w:tcPr>
            <w:tcW w:w="0" w:type="auto"/>
            <w:gridSpan w:val="2"/>
            <w:shd w:val="clear" w:color="auto" w:fill="FFFFFF"/>
            <w:tcMar>
              <w:top w:w="40" w:type="dxa"/>
              <w:left w:w="20" w:type="dxa"/>
              <w:bottom w:w="40" w:type="dxa"/>
              <w:right w:w="0" w:type="dxa"/>
            </w:tcMar>
            <w:vAlign w:val="bottom"/>
          </w:tcPr>
          <w:p w14:paraId="74DD887A" w14:textId="77777777" w:rsidR="00584EC1" w:rsidRDefault="00871F8D">
            <w:pPr>
              <w:jc w:val="right"/>
              <w:textAlignment w:val="bottom"/>
            </w:pPr>
            <w:r>
              <w:rPr>
                <w:rFonts w:ascii="Arial" w:eastAsia="宋体" w:hAnsi="Arial" w:cs="Arial"/>
                <w:b/>
                <w:bCs/>
                <w:color w:val="000000"/>
                <w:sz w:val="14"/>
                <w:szCs w:val="14"/>
              </w:rPr>
              <w:t>832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887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87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87D" w14:textId="77777777" w:rsidR="00584EC1" w:rsidRDefault="00871F8D">
            <w:pPr>
              <w:jc w:val="right"/>
              <w:textAlignment w:val="bottom"/>
            </w:pPr>
            <w:r>
              <w:rPr>
                <w:rFonts w:ascii="Arial" w:eastAsia="宋体" w:hAnsi="Arial" w:cs="Arial"/>
                <w:color w:val="000000"/>
                <w:sz w:val="14"/>
                <w:szCs w:val="14"/>
              </w:rPr>
              <w:t>2,582 </w:t>
            </w:r>
          </w:p>
        </w:tc>
        <w:tc>
          <w:tcPr>
            <w:tcW w:w="0" w:type="auto"/>
            <w:shd w:val="clear" w:color="auto" w:fill="FFFFFF"/>
            <w:tcMar>
              <w:top w:w="40" w:type="dxa"/>
              <w:left w:w="0" w:type="dxa"/>
              <w:bottom w:w="40" w:type="dxa"/>
              <w:right w:w="20" w:type="dxa"/>
            </w:tcMar>
            <w:vAlign w:val="bottom"/>
          </w:tcPr>
          <w:p w14:paraId="74DD887E" w14:textId="77777777" w:rsidR="00584EC1" w:rsidRDefault="00584EC1">
            <w:pPr>
              <w:jc w:val="right"/>
              <w:rPr>
                <w:rFonts w:ascii="宋体"/>
              </w:rPr>
            </w:pPr>
          </w:p>
        </w:tc>
        <w:tc>
          <w:tcPr>
            <w:tcW w:w="0" w:type="auto"/>
            <w:shd w:val="clear" w:color="auto" w:fill="auto"/>
            <w:vAlign w:val="bottom"/>
          </w:tcPr>
          <w:p w14:paraId="74DD887F" w14:textId="77777777" w:rsidR="00584EC1" w:rsidRDefault="00584EC1">
            <w:pPr>
              <w:rPr>
                <w:rFonts w:ascii="宋体"/>
                <w:vanish/>
              </w:rPr>
            </w:pPr>
          </w:p>
        </w:tc>
        <w:tc>
          <w:tcPr>
            <w:tcW w:w="0" w:type="auto"/>
            <w:shd w:val="clear" w:color="auto" w:fill="auto"/>
            <w:vAlign w:val="bottom"/>
          </w:tcPr>
          <w:p w14:paraId="74DD8880" w14:textId="77777777" w:rsidR="00584EC1" w:rsidRDefault="00584EC1">
            <w:pPr>
              <w:rPr>
                <w:rFonts w:ascii="宋体"/>
                <w:vanish/>
              </w:rPr>
            </w:pPr>
          </w:p>
        </w:tc>
        <w:tc>
          <w:tcPr>
            <w:tcW w:w="0" w:type="auto"/>
            <w:gridSpan w:val="3"/>
            <w:shd w:val="clear" w:color="auto" w:fill="auto"/>
            <w:vAlign w:val="bottom"/>
          </w:tcPr>
          <w:p w14:paraId="74DD8881" w14:textId="77777777" w:rsidR="00584EC1" w:rsidRDefault="00584EC1">
            <w:pPr>
              <w:rPr>
                <w:rFonts w:ascii="宋体"/>
                <w:vanish/>
              </w:rPr>
            </w:pPr>
          </w:p>
        </w:tc>
        <w:tc>
          <w:tcPr>
            <w:tcW w:w="0" w:type="auto"/>
            <w:gridSpan w:val="3"/>
            <w:shd w:val="clear" w:color="auto" w:fill="auto"/>
            <w:vAlign w:val="bottom"/>
          </w:tcPr>
          <w:p w14:paraId="74DD8882" w14:textId="77777777" w:rsidR="00584EC1" w:rsidRDefault="00584EC1">
            <w:pPr>
              <w:rPr>
                <w:rFonts w:ascii="宋体"/>
                <w:vanish/>
              </w:rPr>
            </w:pPr>
          </w:p>
        </w:tc>
      </w:tr>
      <w:tr w:rsidR="00584EC1" w14:paraId="74DD888E" w14:textId="77777777">
        <w:tc>
          <w:tcPr>
            <w:tcW w:w="0" w:type="auto"/>
            <w:gridSpan w:val="3"/>
            <w:shd w:val="clear" w:color="auto" w:fill="CCEEFF"/>
            <w:tcMar>
              <w:top w:w="40" w:type="dxa"/>
              <w:left w:w="20" w:type="dxa"/>
              <w:bottom w:w="40" w:type="dxa"/>
              <w:right w:w="20" w:type="dxa"/>
            </w:tcMar>
            <w:vAlign w:val="bottom"/>
          </w:tcPr>
          <w:p w14:paraId="74DD8884" w14:textId="77777777" w:rsidR="00584EC1" w:rsidRDefault="00871F8D">
            <w:pPr>
              <w:textAlignment w:val="bottom"/>
            </w:pPr>
            <w:r>
              <w:rPr>
                <w:rFonts w:ascii="Arial" w:eastAsia="宋体" w:hAnsi="Arial" w:cs="Arial"/>
                <w:color w:val="000000"/>
                <w:sz w:val="14"/>
                <w:szCs w:val="14"/>
              </w:rPr>
              <w:t>Long-term debt</w:t>
            </w:r>
          </w:p>
        </w:tc>
        <w:tc>
          <w:tcPr>
            <w:tcW w:w="0" w:type="auto"/>
            <w:gridSpan w:val="2"/>
            <w:shd w:val="clear" w:color="auto" w:fill="CCEEFF"/>
            <w:tcMar>
              <w:top w:w="40" w:type="dxa"/>
              <w:left w:w="20" w:type="dxa"/>
              <w:bottom w:w="40" w:type="dxa"/>
              <w:right w:w="0" w:type="dxa"/>
            </w:tcMar>
            <w:vAlign w:val="bottom"/>
          </w:tcPr>
          <w:p w14:paraId="74DD8885" w14:textId="77777777" w:rsidR="00584EC1" w:rsidRDefault="00871F8D">
            <w:pPr>
              <w:jc w:val="right"/>
              <w:textAlignment w:val="bottom"/>
            </w:pPr>
            <w:r>
              <w:rPr>
                <w:rFonts w:ascii="Arial" w:eastAsia="宋体" w:hAnsi="Arial" w:cs="Arial"/>
                <w:b/>
                <w:bCs/>
                <w:color w:val="000000"/>
                <w:sz w:val="14"/>
                <w:szCs w:val="14"/>
              </w:rPr>
              <w:t>13,431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888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88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888" w14:textId="77777777" w:rsidR="00584EC1" w:rsidRDefault="00871F8D">
            <w:pPr>
              <w:jc w:val="right"/>
              <w:textAlignment w:val="bottom"/>
            </w:pPr>
            <w:r>
              <w:rPr>
                <w:rFonts w:ascii="Arial" w:eastAsia="宋体" w:hAnsi="Arial" w:cs="Arial"/>
                <w:color w:val="000000"/>
                <w:sz w:val="14"/>
                <w:szCs w:val="14"/>
              </w:rPr>
              <w:t>14,553 </w:t>
            </w:r>
          </w:p>
        </w:tc>
        <w:tc>
          <w:tcPr>
            <w:tcW w:w="0" w:type="auto"/>
            <w:shd w:val="clear" w:color="auto" w:fill="CCEEFF"/>
            <w:tcMar>
              <w:top w:w="40" w:type="dxa"/>
              <w:left w:w="0" w:type="dxa"/>
              <w:bottom w:w="40" w:type="dxa"/>
              <w:right w:w="20" w:type="dxa"/>
            </w:tcMar>
            <w:vAlign w:val="bottom"/>
          </w:tcPr>
          <w:p w14:paraId="74DD8889" w14:textId="77777777" w:rsidR="00584EC1" w:rsidRDefault="00584EC1">
            <w:pPr>
              <w:jc w:val="right"/>
              <w:rPr>
                <w:rFonts w:ascii="宋体"/>
              </w:rPr>
            </w:pPr>
          </w:p>
        </w:tc>
        <w:tc>
          <w:tcPr>
            <w:tcW w:w="0" w:type="auto"/>
            <w:shd w:val="clear" w:color="auto" w:fill="auto"/>
            <w:vAlign w:val="bottom"/>
          </w:tcPr>
          <w:p w14:paraId="74DD888A" w14:textId="77777777" w:rsidR="00584EC1" w:rsidRDefault="00584EC1">
            <w:pPr>
              <w:rPr>
                <w:rFonts w:ascii="宋体"/>
                <w:vanish/>
              </w:rPr>
            </w:pPr>
          </w:p>
        </w:tc>
        <w:tc>
          <w:tcPr>
            <w:tcW w:w="0" w:type="auto"/>
            <w:shd w:val="clear" w:color="auto" w:fill="auto"/>
            <w:vAlign w:val="bottom"/>
          </w:tcPr>
          <w:p w14:paraId="74DD888B" w14:textId="77777777" w:rsidR="00584EC1" w:rsidRDefault="00584EC1">
            <w:pPr>
              <w:rPr>
                <w:rFonts w:ascii="宋体"/>
                <w:vanish/>
              </w:rPr>
            </w:pPr>
          </w:p>
        </w:tc>
        <w:tc>
          <w:tcPr>
            <w:tcW w:w="0" w:type="auto"/>
            <w:gridSpan w:val="3"/>
            <w:shd w:val="clear" w:color="auto" w:fill="auto"/>
            <w:vAlign w:val="bottom"/>
          </w:tcPr>
          <w:p w14:paraId="74DD888C" w14:textId="77777777" w:rsidR="00584EC1" w:rsidRDefault="00584EC1">
            <w:pPr>
              <w:rPr>
                <w:rFonts w:ascii="宋体"/>
                <w:vanish/>
              </w:rPr>
            </w:pPr>
          </w:p>
        </w:tc>
        <w:tc>
          <w:tcPr>
            <w:tcW w:w="0" w:type="auto"/>
            <w:gridSpan w:val="3"/>
            <w:shd w:val="clear" w:color="auto" w:fill="auto"/>
            <w:vAlign w:val="bottom"/>
          </w:tcPr>
          <w:p w14:paraId="74DD888D" w14:textId="77777777" w:rsidR="00584EC1" w:rsidRDefault="00584EC1">
            <w:pPr>
              <w:rPr>
                <w:rFonts w:ascii="宋体"/>
                <w:vanish/>
              </w:rPr>
            </w:pPr>
          </w:p>
        </w:tc>
      </w:tr>
      <w:tr w:rsidR="00584EC1" w14:paraId="74DD8899" w14:textId="77777777">
        <w:tc>
          <w:tcPr>
            <w:tcW w:w="0" w:type="auto"/>
            <w:gridSpan w:val="3"/>
            <w:shd w:val="clear" w:color="auto" w:fill="FFFFFF"/>
            <w:tcMar>
              <w:top w:w="40" w:type="dxa"/>
              <w:left w:w="20" w:type="dxa"/>
              <w:bottom w:w="40" w:type="dxa"/>
              <w:right w:w="20" w:type="dxa"/>
            </w:tcMar>
            <w:vAlign w:val="bottom"/>
          </w:tcPr>
          <w:p w14:paraId="74DD888F" w14:textId="77777777" w:rsidR="00584EC1" w:rsidRDefault="00871F8D">
            <w:pPr>
              <w:textAlignment w:val="bottom"/>
            </w:pPr>
            <w:r>
              <w:rPr>
                <w:rFonts w:ascii="Arial" w:eastAsia="宋体" w:hAnsi="Arial" w:cs="Arial"/>
                <w:color w:val="000000"/>
                <w:sz w:val="14"/>
                <w:szCs w:val="14"/>
              </w:rPr>
              <w:t>Other interest-bearing liabilities</w:t>
            </w:r>
          </w:p>
        </w:tc>
        <w:tc>
          <w:tcPr>
            <w:tcW w:w="0" w:type="auto"/>
            <w:gridSpan w:val="2"/>
            <w:shd w:val="clear" w:color="auto" w:fill="FFFFFF"/>
            <w:tcMar>
              <w:top w:w="40" w:type="dxa"/>
              <w:left w:w="20" w:type="dxa"/>
              <w:bottom w:w="40" w:type="dxa"/>
              <w:right w:w="0" w:type="dxa"/>
            </w:tcMar>
            <w:vAlign w:val="bottom"/>
          </w:tcPr>
          <w:p w14:paraId="74DD8890" w14:textId="77777777" w:rsidR="00584EC1" w:rsidRDefault="00871F8D">
            <w:pPr>
              <w:jc w:val="right"/>
              <w:textAlignment w:val="bottom"/>
            </w:pPr>
            <w:r>
              <w:rPr>
                <w:rFonts w:ascii="Arial" w:eastAsia="宋体" w:hAnsi="Arial" w:cs="Arial"/>
                <w:b/>
                <w:bCs/>
                <w:color w:val="000000"/>
                <w:sz w:val="14"/>
                <w:szCs w:val="14"/>
              </w:rPr>
              <w:t>5,332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889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89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893" w14:textId="77777777" w:rsidR="00584EC1" w:rsidRDefault="00871F8D">
            <w:pPr>
              <w:jc w:val="right"/>
              <w:textAlignment w:val="bottom"/>
            </w:pPr>
            <w:r>
              <w:rPr>
                <w:rFonts w:ascii="Arial" w:eastAsia="宋体" w:hAnsi="Arial" w:cs="Arial"/>
                <w:color w:val="000000"/>
                <w:sz w:val="14"/>
                <w:szCs w:val="14"/>
              </w:rPr>
              <w:t>3,217 </w:t>
            </w:r>
          </w:p>
        </w:tc>
        <w:tc>
          <w:tcPr>
            <w:tcW w:w="0" w:type="auto"/>
            <w:shd w:val="clear" w:color="auto" w:fill="FFFFFF"/>
            <w:tcMar>
              <w:top w:w="40" w:type="dxa"/>
              <w:left w:w="0" w:type="dxa"/>
              <w:bottom w:w="40" w:type="dxa"/>
              <w:right w:w="20" w:type="dxa"/>
            </w:tcMar>
            <w:vAlign w:val="bottom"/>
          </w:tcPr>
          <w:p w14:paraId="74DD8894" w14:textId="77777777" w:rsidR="00584EC1" w:rsidRDefault="00584EC1">
            <w:pPr>
              <w:jc w:val="right"/>
              <w:rPr>
                <w:rFonts w:ascii="宋体"/>
              </w:rPr>
            </w:pPr>
          </w:p>
        </w:tc>
        <w:tc>
          <w:tcPr>
            <w:tcW w:w="0" w:type="auto"/>
            <w:shd w:val="clear" w:color="auto" w:fill="auto"/>
            <w:vAlign w:val="bottom"/>
          </w:tcPr>
          <w:p w14:paraId="74DD8895" w14:textId="77777777" w:rsidR="00584EC1" w:rsidRDefault="00584EC1">
            <w:pPr>
              <w:rPr>
                <w:rFonts w:ascii="宋体"/>
                <w:vanish/>
              </w:rPr>
            </w:pPr>
          </w:p>
        </w:tc>
        <w:tc>
          <w:tcPr>
            <w:tcW w:w="0" w:type="auto"/>
            <w:shd w:val="clear" w:color="auto" w:fill="auto"/>
            <w:vAlign w:val="bottom"/>
          </w:tcPr>
          <w:p w14:paraId="74DD8896" w14:textId="77777777" w:rsidR="00584EC1" w:rsidRDefault="00584EC1">
            <w:pPr>
              <w:rPr>
                <w:rFonts w:ascii="宋体"/>
                <w:vanish/>
              </w:rPr>
            </w:pPr>
          </w:p>
        </w:tc>
        <w:tc>
          <w:tcPr>
            <w:tcW w:w="0" w:type="auto"/>
            <w:gridSpan w:val="3"/>
            <w:shd w:val="clear" w:color="auto" w:fill="auto"/>
            <w:vAlign w:val="bottom"/>
          </w:tcPr>
          <w:p w14:paraId="74DD8897" w14:textId="77777777" w:rsidR="00584EC1" w:rsidRDefault="00584EC1">
            <w:pPr>
              <w:rPr>
                <w:rFonts w:ascii="宋体"/>
                <w:vanish/>
              </w:rPr>
            </w:pPr>
          </w:p>
        </w:tc>
        <w:tc>
          <w:tcPr>
            <w:tcW w:w="0" w:type="auto"/>
            <w:gridSpan w:val="3"/>
            <w:shd w:val="clear" w:color="auto" w:fill="auto"/>
            <w:vAlign w:val="bottom"/>
          </w:tcPr>
          <w:p w14:paraId="74DD8898" w14:textId="77777777" w:rsidR="00584EC1" w:rsidRDefault="00584EC1">
            <w:pPr>
              <w:rPr>
                <w:rFonts w:ascii="宋体"/>
                <w:vanish/>
              </w:rPr>
            </w:pPr>
          </w:p>
        </w:tc>
      </w:tr>
      <w:tr w:rsidR="00584EC1" w14:paraId="74DD88A4" w14:textId="77777777">
        <w:tc>
          <w:tcPr>
            <w:tcW w:w="0" w:type="auto"/>
            <w:gridSpan w:val="3"/>
            <w:shd w:val="clear" w:color="auto" w:fill="CCEEFF"/>
            <w:tcMar>
              <w:top w:w="40" w:type="dxa"/>
              <w:left w:w="245" w:type="dxa"/>
              <w:bottom w:w="40" w:type="dxa"/>
              <w:right w:w="20" w:type="dxa"/>
            </w:tcMar>
            <w:vAlign w:val="bottom"/>
          </w:tcPr>
          <w:p w14:paraId="74DD889A" w14:textId="77777777" w:rsidR="00584EC1" w:rsidRDefault="00871F8D">
            <w:pPr>
              <w:textAlignment w:val="bottom"/>
            </w:pPr>
            <w:r>
              <w:rPr>
                <w:rFonts w:ascii="Arial" w:eastAsia="宋体" w:hAnsi="Arial" w:cs="Arial"/>
                <w:color w:val="000000"/>
                <w:sz w:val="14"/>
                <w:szCs w:val="14"/>
              </w:rPr>
              <w:t>Average total interest-bearing liabilities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889B" w14:textId="77777777" w:rsidR="00584EC1" w:rsidRDefault="00871F8D">
            <w:pPr>
              <w:jc w:val="right"/>
              <w:textAlignment w:val="bottom"/>
            </w:pPr>
            <w:r>
              <w:rPr>
                <w:rFonts w:ascii="Arial" w:eastAsia="宋体" w:hAnsi="Arial" w:cs="Arial"/>
                <w:b/>
                <w:bCs/>
                <w:color w:val="000000"/>
                <w:sz w:val="14"/>
                <w:szCs w:val="14"/>
              </w:rPr>
              <w:t>207,226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89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89D"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889E" w14:textId="77777777" w:rsidR="00584EC1" w:rsidRDefault="00871F8D">
            <w:pPr>
              <w:jc w:val="right"/>
              <w:textAlignment w:val="bottom"/>
            </w:pPr>
            <w:r>
              <w:rPr>
                <w:rFonts w:ascii="Arial" w:eastAsia="宋体" w:hAnsi="Arial" w:cs="Arial"/>
                <w:color w:val="000000"/>
                <w:sz w:val="14"/>
                <w:szCs w:val="14"/>
              </w:rPr>
              <w:t>185,134 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89F" w14:textId="77777777" w:rsidR="00584EC1" w:rsidRDefault="00584EC1">
            <w:pPr>
              <w:jc w:val="right"/>
              <w:rPr>
                <w:rFonts w:ascii="宋体"/>
              </w:rPr>
            </w:pPr>
          </w:p>
        </w:tc>
        <w:tc>
          <w:tcPr>
            <w:tcW w:w="0" w:type="auto"/>
            <w:shd w:val="clear" w:color="auto" w:fill="auto"/>
            <w:vAlign w:val="bottom"/>
          </w:tcPr>
          <w:p w14:paraId="74DD88A0" w14:textId="77777777" w:rsidR="00584EC1" w:rsidRDefault="00584EC1">
            <w:pPr>
              <w:rPr>
                <w:rFonts w:ascii="宋体"/>
                <w:vanish/>
              </w:rPr>
            </w:pPr>
          </w:p>
        </w:tc>
        <w:tc>
          <w:tcPr>
            <w:tcW w:w="0" w:type="auto"/>
            <w:shd w:val="clear" w:color="auto" w:fill="auto"/>
            <w:vAlign w:val="bottom"/>
          </w:tcPr>
          <w:p w14:paraId="74DD88A1" w14:textId="77777777" w:rsidR="00584EC1" w:rsidRDefault="00584EC1">
            <w:pPr>
              <w:rPr>
                <w:rFonts w:ascii="宋体"/>
                <w:vanish/>
              </w:rPr>
            </w:pPr>
          </w:p>
        </w:tc>
        <w:tc>
          <w:tcPr>
            <w:tcW w:w="0" w:type="auto"/>
            <w:gridSpan w:val="3"/>
            <w:shd w:val="clear" w:color="auto" w:fill="auto"/>
            <w:vAlign w:val="bottom"/>
          </w:tcPr>
          <w:p w14:paraId="74DD88A2" w14:textId="77777777" w:rsidR="00584EC1" w:rsidRDefault="00584EC1">
            <w:pPr>
              <w:rPr>
                <w:rFonts w:ascii="宋体"/>
                <w:vanish/>
              </w:rPr>
            </w:pPr>
          </w:p>
        </w:tc>
        <w:tc>
          <w:tcPr>
            <w:tcW w:w="0" w:type="auto"/>
            <w:gridSpan w:val="3"/>
            <w:shd w:val="clear" w:color="auto" w:fill="auto"/>
            <w:vAlign w:val="bottom"/>
          </w:tcPr>
          <w:p w14:paraId="74DD88A3" w14:textId="77777777" w:rsidR="00584EC1" w:rsidRDefault="00584EC1">
            <w:pPr>
              <w:rPr>
                <w:rFonts w:ascii="宋体"/>
                <w:vanish/>
              </w:rPr>
            </w:pPr>
          </w:p>
        </w:tc>
      </w:tr>
      <w:tr w:rsidR="00584EC1" w14:paraId="74DD88AF" w14:textId="77777777">
        <w:tc>
          <w:tcPr>
            <w:tcW w:w="0" w:type="auto"/>
            <w:gridSpan w:val="3"/>
            <w:shd w:val="clear" w:color="auto" w:fill="FFFFFF"/>
            <w:tcMar>
              <w:top w:w="40" w:type="dxa"/>
              <w:left w:w="20" w:type="dxa"/>
              <w:bottom w:w="40" w:type="dxa"/>
              <w:right w:w="20" w:type="dxa"/>
            </w:tcMar>
            <w:vAlign w:val="bottom"/>
          </w:tcPr>
          <w:p w14:paraId="74DD88A5" w14:textId="77777777" w:rsidR="00584EC1" w:rsidRDefault="00871F8D">
            <w:pPr>
              <w:textAlignment w:val="bottom"/>
            </w:pPr>
            <w:r>
              <w:rPr>
                <w:rFonts w:ascii="Arial" w:eastAsia="宋体" w:hAnsi="Arial" w:cs="Arial"/>
                <w:color w:val="000000"/>
                <w:sz w:val="14"/>
                <w:szCs w:val="14"/>
              </w:rPr>
              <w:t>Non-interest-bearing deposits</w:t>
            </w:r>
            <w:r>
              <w:rPr>
                <w:rFonts w:ascii="Arial" w:eastAsia="宋体" w:hAnsi="Arial" w:cs="Arial"/>
                <w:color w:val="000000"/>
                <w:sz w:val="9"/>
                <w:szCs w:val="9"/>
              </w:rPr>
              <w:t>(2)</w:t>
            </w:r>
          </w:p>
        </w:tc>
        <w:tc>
          <w:tcPr>
            <w:tcW w:w="0" w:type="auto"/>
            <w:gridSpan w:val="2"/>
            <w:shd w:val="clear" w:color="auto" w:fill="FFFFFF"/>
            <w:tcMar>
              <w:top w:w="40" w:type="dxa"/>
              <w:left w:w="20" w:type="dxa"/>
              <w:bottom w:w="40" w:type="dxa"/>
              <w:right w:w="0" w:type="dxa"/>
            </w:tcMar>
            <w:vAlign w:val="bottom"/>
          </w:tcPr>
          <w:p w14:paraId="74DD88A6" w14:textId="77777777" w:rsidR="00584EC1" w:rsidRDefault="00871F8D">
            <w:pPr>
              <w:jc w:val="right"/>
              <w:textAlignment w:val="bottom"/>
            </w:pPr>
            <w:r>
              <w:rPr>
                <w:rFonts w:ascii="Arial" w:eastAsia="宋体" w:hAnsi="Arial" w:cs="Arial"/>
                <w:b/>
                <w:bCs/>
                <w:color w:val="000000"/>
                <w:sz w:val="14"/>
                <w:szCs w:val="14"/>
              </w:rPr>
              <w:t>47,358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88A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8A8"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8A9" w14:textId="77777777" w:rsidR="00584EC1" w:rsidRDefault="00871F8D">
            <w:pPr>
              <w:jc w:val="right"/>
              <w:textAlignment w:val="bottom"/>
            </w:pPr>
            <w:r>
              <w:rPr>
                <w:rFonts w:ascii="Arial" w:eastAsia="宋体" w:hAnsi="Arial" w:cs="Arial"/>
                <w:color w:val="000000"/>
                <w:sz w:val="14"/>
                <w:szCs w:val="14"/>
              </w:rPr>
              <w:t>36,276 </w:t>
            </w:r>
          </w:p>
        </w:tc>
        <w:tc>
          <w:tcPr>
            <w:tcW w:w="0" w:type="auto"/>
            <w:shd w:val="clear" w:color="auto" w:fill="FFFFFF"/>
            <w:tcMar>
              <w:top w:w="40" w:type="dxa"/>
              <w:left w:w="0" w:type="dxa"/>
              <w:bottom w:w="40" w:type="dxa"/>
              <w:right w:w="20" w:type="dxa"/>
            </w:tcMar>
            <w:vAlign w:val="bottom"/>
          </w:tcPr>
          <w:p w14:paraId="74DD88AA" w14:textId="77777777" w:rsidR="00584EC1" w:rsidRDefault="00584EC1">
            <w:pPr>
              <w:jc w:val="right"/>
              <w:rPr>
                <w:rFonts w:ascii="宋体"/>
              </w:rPr>
            </w:pPr>
          </w:p>
        </w:tc>
        <w:tc>
          <w:tcPr>
            <w:tcW w:w="0" w:type="auto"/>
            <w:shd w:val="clear" w:color="auto" w:fill="auto"/>
            <w:vAlign w:val="bottom"/>
          </w:tcPr>
          <w:p w14:paraId="74DD88AB" w14:textId="77777777" w:rsidR="00584EC1" w:rsidRDefault="00584EC1">
            <w:pPr>
              <w:rPr>
                <w:rFonts w:ascii="宋体"/>
                <w:vanish/>
              </w:rPr>
            </w:pPr>
          </w:p>
        </w:tc>
        <w:tc>
          <w:tcPr>
            <w:tcW w:w="0" w:type="auto"/>
            <w:shd w:val="clear" w:color="auto" w:fill="auto"/>
            <w:vAlign w:val="bottom"/>
          </w:tcPr>
          <w:p w14:paraId="74DD88AC" w14:textId="77777777" w:rsidR="00584EC1" w:rsidRDefault="00584EC1">
            <w:pPr>
              <w:rPr>
                <w:rFonts w:ascii="宋体"/>
                <w:vanish/>
              </w:rPr>
            </w:pPr>
          </w:p>
        </w:tc>
        <w:tc>
          <w:tcPr>
            <w:tcW w:w="0" w:type="auto"/>
            <w:gridSpan w:val="3"/>
            <w:shd w:val="clear" w:color="auto" w:fill="auto"/>
            <w:vAlign w:val="bottom"/>
          </w:tcPr>
          <w:p w14:paraId="74DD88AD" w14:textId="77777777" w:rsidR="00584EC1" w:rsidRDefault="00584EC1">
            <w:pPr>
              <w:rPr>
                <w:rFonts w:ascii="宋体"/>
                <w:vanish/>
              </w:rPr>
            </w:pPr>
          </w:p>
        </w:tc>
        <w:tc>
          <w:tcPr>
            <w:tcW w:w="0" w:type="auto"/>
            <w:gridSpan w:val="3"/>
            <w:shd w:val="clear" w:color="auto" w:fill="auto"/>
            <w:vAlign w:val="bottom"/>
          </w:tcPr>
          <w:p w14:paraId="74DD88AE" w14:textId="77777777" w:rsidR="00584EC1" w:rsidRDefault="00584EC1">
            <w:pPr>
              <w:rPr>
                <w:rFonts w:ascii="宋体"/>
                <w:vanish/>
              </w:rPr>
            </w:pPr>
          </w:p>
        </w:tc>
      </w:tr>
      <w:tr w:rsidR="00584EC1" w14:paraId="74DD88BA" w14:textId="77777777">
        <w:tc>
          <w:tcPr>
            <w:tcW w:w="0" w:type="auto"/>
            <w:gridSpan w:val="3"/>
            <w:shd w:val="clear" w:color="auto" w:fill="CCEEFF"/>
            <w:tcMar>
              <w:top w:w="40" w:type="dxa"/>
              <w:left w:w="20" w:type="dxa"/>
              <w:bottom w:w="40" w:type="dxa"/>
              <w:right w:w="20" w:type="dxa"/>
            </w:tcMar>
            <w:vAlign w:val="bottom"/>
          </w:tcPr>
          <w:p w14:paraId="74DD88B0" w14:textId="77777777" w:rsidR="00584EC1" w:rsidRDefault="00871F8D">
            <w:pPr>
              <w:textAlignment w:val="bottom"/>
            </w:pPr>
            <w:r>
              <w:rPr>
                <w:rFonts w:ascii="Arial" w:eastAsia="宋体" w:hAnsi="Arial" w:cs="Arial"/>
                <w:color w:val="000000"/>
                <w:sz w:val="14"/>
                <w:szCs w:val="14"/>
              </w:rPr>
              <w:t>Other non-interest-bearing liabilities</w:t>
            </w:r>
          </w:p>
        </w:tc>
        <w:tc>
          <w:tcPr>
            <w:tcW w:w="0" w:type="auto"/>
            <w:gridSpan w:val="2"/>
            <w:shd w:val="clear" w:color="auto" w:fill="CCEEFF"/>
            <w:tcMar>
              <w:top w:w="40" w:type="dxa"/>
              <w:left w:w="20" w:type="dxa"/>
              <w:bottom w:w="40" w:type="dxa"/>
              <w:right w:w="0" w:type="dxa"/>
            </w:tcMar>
            <w:vAlign w:val="bottom"/>
          </w:tcPr>
          <w:p w14:paraId="74DD88B1" w14:textId="77777777" w:rsidR="00584EC1" w:rsidRDefault="00871F8D">
            <w:pPr>
              <w:jc w:val="right"/>
              <w:textAlignment w:val="bottom"/>
            </w:pPr>
            <w:r>
              <w:rPr>
                <w:rFonts w:ascii="Arial" w:eastAsia="宋体" w:hAnsi="Arial" w:cs="Arial"/>
                <w:b/>
                <w:bCs/>
                <w:color w:val="000000"/>
                <w:sz w:val="14"/>
                <w:szCs w:val="14"/>
              </w:rPr>
              <w:t>18,407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88B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8B3"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8B4" w14:textId="77777777" w:rsidR="00584EC1" w:rsidRDefault="00871F8D">
            <w:pPr>
              <w:jc w:val="right"/>
              <w:textAlignment w:val="bottom"/>
            </w:pPr>
            <w:r>
              <w:rPr>
                <w:rFonts w:ascii="Arial" w:eastAsia="宋体" w:hAnsi="Arial" w:cs="Arial"/>
                <w:color w:val="000000"/>
                <w:sz w:val="14"/>
                <w:szCs w:val="14"/>
              </w:rPr>
              <w:t>20,591 </w:t>
            </w:r>
          </w:p>
        </w:tc>
        <w:tc>
          <w:tcPr>
            <w:tcW w:w="0" w:type="auto"/>
            <w:shd w:val="clear" w:color="auto" w:fill="CCEEFF"/>
            <w:tcMar>
              <w:top w:w="40" w:type="dxa"/>
              <w:left w:w="0" w:type="dxa"/>
              <w:bottom w:w="40" w:type="dxa"/>
              <w:right w:w="20" w:type="dxa"/>
            </w:tcMar>
            <w:vAlign w:val="bottom"/>
          </w:tcPr>
          <w:p w14:paraId="74DD88B5" w14:textId="77777777" w:rsidR="00584EC1" w:rsidRDefault="00584EC1">
            <w:pPr>
              <w:jc w:val="right"/>
              <w:rPr>
                <w:rFonts w:ascii="宋体"/>
              </w:rPr>
            </w:pPr>
          </w:p>
        </w:tc>
        <w:tc>
          <w:tcPr>
            <w:tcW w:w="0" w:type="auto"/>
            <w:shd w:val="clear" w:color="auto" w:fill="auto"/>
            <w:vAlign w:val="bottom"/>
          </w:tcPr>
          <w:p w14:paraId="74DD88B6" w14:textId="77777777" w:rsidR="00584EC1" w:rsidRDefault="00584EC1">
            <w:pPr>
              <w:rPr>
                <w:rFonts w:ascii="宋体"/>
                <w:vanish/>
              </w:rPr>
            </w:pPr>
          </w:p>
        </w:tc>
        <w:tc>
          <w:tcPr>
            <w:tcW w:w="0" w:type="auto"/>
            <w:shd w:val="clear" w:color="auto" w:fill="auto"/>
            <w:vAlign w:val="bottom"/>
          </w:tcPr>
          <w:p w14:paraId="74DD88B7" w14:textId="77777777" w:rsidR="00584EC1" w:rsidRDefault="00584EC1">
            <w:pPr>
              <w:rPr>
                <w:rFonts w:ascii="宋体"/>
                <w:vanish/>
              </w:rPr>
            </w:pPr>
          </w:p>
        </w:tc>
        <w:tc>
          <w:tcPr>
            <w:tcW w:w="0" w:type="auto"/>
            <w:gridSpan w:val="3"/>
            <w:shd w:val="clear" w:color="auto" w:fill="auto"/>
            <w:vAlign w:val="bottom"/>
          </w:tcPr>
          <w:p w14:paraId="74DD88B8" w14:textId="77777777" w:rsidR="00584EC1" w:rsidRDefault="00584EC1">
            <w:pPr>
              <w:rPr>
                <w:rFonts w:ascii="宋体"/>
                <w:vanish/>
              </w:rPr>
            </w:pPr>
          </w:p>
        </w:tc>
        <w:tc>
          <w:tcPr>
            <w:tcW w:w="0" w:type="auto"/>
            <w:gridSpan w:val="3"/>
            <w:shd w:val="clear" w:color="auto" w:fill="auto"/>
            <w:vAlign w:val="bottom"/>
          </w:tcPr>
          <w:p w14:paraId="74DD88B9" w14:textId="77777777" w:rsidR="00584EC1" w:rsidRDefault="00584EC1">
            <w:pPr>
              <w:rPr>
                <w:rFonts w:ascii="宋体"/>
                <w:vanish/>
              </w:rPr>
            </w:pPr>
          </w:p>
        </w:tc>
      </w:tr>
      <w:tr w:rsidR="00584EC1" w14:paraId="74DD88C5" w14:textId="77777777">
        <w:tc>
          <w:tcPr>
            <w:tcW w:w="0" w:type="auto"/>
            <w:gridSpan w:val="3"/>
            <w:shd w:val="clear" w:color="auto" w:fill="FFFFFF"/>
            <w:tcMar>
              <w:top w:w="40" w:type="dxa"/>
              <w:left w:w="20" w:type="dxa"/>
              <w:bottom w:w="40" w:type="dxa"/>
              <w:right w:w="20" w:type="dxa"/>
            </w:tcMar>
            <w:vAlign w:val="bottom"/>
          </w:tcPr>
          <w:p w14:paraId="74DD88BB" w14:textId="77777777" w:rsidR="00584EC1" w:rsidRDefault="00871F8D">
            <w:pPr>
              <w:textAlignment w:val="bottom"/>
            </w:pPr>
            <w:r>
              <w:rPr>
                <w:rFonts w:ascii="Arial" w:eastAsia="宋体" w:hAnsi="Arial" w:cs="Arial"/>
                <w:color w:val="000000"/>
                <w:sz w:val="14"/>
                <w:szCs w:val="14"/>
              </w:rPr>
              <w:t>Preferred shareholders’ equity</w:t>
            </w:r>
          </w:p>
        </w:tc>
        <w:tc>
          <w:tcPr>
            <w:tcW w:w="0" w:type="auto"/>
            <w:gridSpan w:val="2"/>
            <w:shd w:val="clear" w:color="auto" w:fill="FFFFFF"/>
            <w:tcMar>
              <w:top w:w="40" w:type="dxa"/>
              <w:left w:w="20" w:type="dxa"/>
              <w:bottom w:w="40" w:type="dxa"/>
              <w:right w:w="0" w:type="dxa"/>
            </w:tcMar>
            <w:vAlign w:val="bottom"/>
          </w:tcPr>
          <w:p w14:paraId="74DD88BC" w14:textId="77777777" w:rsidR="00584EC1" w:rsidRDefault="00871F8D">
            <w:pPr>
              <w:jc w:val="right"/>
              <w:textAlignment w:val="bottom"/>
            </w:pPr>
            <w:r>
              <w:rPr>
                <w:rFonts w:ascii="Arial" w:eastAsia="宋体" w:hAnsi="Arial" w:cs="Arial"/>
                <w:b/>
                <w:bCs/>
                <w:color w:val="000000"/>
                <w:sz w:val="14"/>
                <w:szCs w:val="14"/>
              </w:rPr>
              <w:t>2,110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88B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8B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8BF" w14:textId="77777777" w:rsidR="00584EC1" w:rsidRDefault="00871F8D">
            <w:pPr>
              <w:jc w:val="right"/>
              <w:textAlignment w:val="bottom"/>
            </w:pPr>
            <w:r>
              <w:rPr>
                <w:rFonts w:ascii="Arial" w:eastAsia="宋体" w:hAnsi="Arial" w:cs="Arial"/>
                <w:color w:val="000000"/>
                <w:sz w:val="14"/>
                <w:szCs w:val="14"/>
              </w:rPr>
              <w:t>2,601 </w:t>
            </w:r>
          </w:p>
        </w:tc>
        <w:tc>
          <w:tcPr>
            <w:tcW w:w="0" w:type="auto"/>
            <w:shd w:val="clear" w:color="auto" w:fill="FFFFFF"/>
            <w:tcMar>
              <w:top w:w="40" w:type="dxa"/>
              <w:left w:w="0" w:type="dxa"/>
              <w:bottom w:w="40" w:type="dxa"/>
              <w:right w:w="20" w:type="dxa"/>
            </w:tcMar>
            <w:vAlign w:val="bottom"/>
          </w:tcPr>
          <w:p w14:paraId="74DD88C0" w14:textId="77777777" w:rsidR="00584EC1" w:rsidRDefault="00584EC1">
            <w:pPr>
              <w:jc w:val="right"/>
              <w:rPr>
                <w:rFonts w:ascii="宋体"/>
              </w:rPr>
            </w:pPr>
          </w:p>
        </w:tc>
        <w:tc>
          <w:tcPr>
            <w:tcW w:w="0" w:type="auto"/>
            <w:shd w:val="clear" w:color="auto" w:fill="auto"/>
            <w:vAlign w:val="bottom"/>
          </w:tcPr>
          <w:p w14:paraId="74DD88C1" w14:textId="77777777" w:rsidR="00584EC1" w:rsidRDefault="00584EC1">
            <w:pPr>
              <w:rPr>
                <w:rFonts w:ascii="宋体"/>
                <w:vanish/>
              </w:rPr>
            </w:pPr>
          </w:p>
        </w:tc>
        <w:tc>
          <w:tcPr>
            <w:tcW w:w="0" w:type="auto"/>
            <w:shd w:val="clear" w:color="auto" w:fill="auto"/>
            <w:vAlign w:val="bottom"/>
          </w:tcPr>
          <w:p w14:paraId="74DD88C2" w14:textId="77777777" w:rsidR="00584EC1" w:rsidRDefault="00584EC1">
            <w:pPr>
              <w:rPr>
                <w:rFonts w:ascii="宋体"/>
                <w:vanish/>
              </w:rPr>
            </w:pPr>
          </w:p>
        </w:tc>
        <w:tc>
          <w:tcPr>
            <w:tcW w:w="0" w:type="auto"/>
            <w:gridSpan w:val="3"/>
            <w:shd w:val="clear" w:color="auto" w:fill="auto"/>
            <w:vAlign w:val="bottom"/>
          </w:tcPr>
          <w:p w14:paraId="74DD88C3" w14:textId="77777777" w:rsidR="00584EC1" w:rsidRDefault="00584EC1">
            <w:pPr>
              <w:rPr>
                <w:rFonts w:ascii="宋体"/>
                <w:vanish/>
              </w:rPr>
            </w:pPr>
          </w:p>
        </w:tc>
        <w:tc>
          <w:tcPr>
            <w:tcW w:w="0" w:type="auto"/>
            <w:gridSpan w:val="3"/>
            <w:shd w:val="clear" w:color="auto" w:fill="auto"/>
            <w:vAlign w:val="bottom"/>
          </w:tcPr>
          <w:p w14:paraId="74DD88C4" w14:textId="77777777" w:rsidR="00584EC1" w:rsidRDefault="00584EC1">
            <w:pPr>
              <w:rPr>
                <w:rFonts w:ascii="宋体"/>
                <w:vanish/>
              </w:rPr>
            </w:pPr>
          </w:p>
        </w:tc>
      </w:tr>
      <w:tr w:rsidR="00584EC1" w14:paraId="74DD88D0" w14:textId="77777777">
        <w:tc>
          <w:tcPr>
            <w:tcW w:w="0" w:type="auto"/>
            <w:gridSpan w:val="3"/>
            <w:shd w:val="clear" w:color="auto" w:fill="CCEEFF"/>
            <w:tcMar>
              <w:top w:w="40" w:type="dxa"/>
              <w:left w:w="20" w:type="dxa"/>
              <w:bottom w:w="40" w:type="dxa"/>
              <w:right w:w="20" w:type="dxa"/>
            </w:tcMar>
            <w:vAlign w:val="bottom"/>
          </w:tcPr>
          <w:p w14:paraId="74DD88C6" w14:textId="77777777" w:rsidR="00584EC1" w:rsidRDefault="00871F8D">
            <w:pPr>
              <w:textAlignment w:val="bottom"/>
            </w:pPr>
            <w:r>
              <w:rPr>
                <w:rFonts w:ascii="Arial" w:eastAsia="宋体" w:hAnsi="Arial" w:cs="Arial"/>
                <w:color w:val="000000"/>
                <w:sz w:val="14"/>
                <w:szCs w:val="14"/>
              </w:rPr>
              <w:t>Common shareholders’ equity</w:t>
            </w:r>
          </w:p>
        </w:tc>
        <w:tc>
          <w:tcPr>
            <w:tcW w:w="0" w:type="auto"/>
            <w:gridSpan w:val="2"/>
            <w:shd w:val="clear" w:color="auto" w:fill="CCEEFF"/>
            <w:tcMar>
              <w:top w:w="40" w:type="dxa"/>
              <w:left w:w="20" w:type="dxa"/>
              <w:bottom w:w="40" w:type="dxa"/>
              <w:right w:w="0" w:type="dxa"/>
            </w:tcMar>
            <w:vAlign w:val="bottom"/>
          </w:tcPr>
          <w:p w14:paraId="74DD88C7" w14:textId="77777777" w:rsidR="00584EC1" w:rsidRDefault="00871F8D">
            <w:pPr>
              <w:jc w:val="right"/>
              <w:textAlignment w:val="bottom"/>
            </w:pPr>
            <w:r>
              <w:rPr>
                <w:rFonts w:ascii="Arial" w:eastAsia="宋体" w:hAnsi="Arial" w:cs="Arial"/>
                <w:b/>
                <w:bCs/>
                <w:color w:val="000000"/>
                <w:sz w:val="14"/>
                <w:szCs w:val="14"/>
              </w:rPr>
              <w:t>23,542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88C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8C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8CA" w14:textId="77777777" w:rsidR="00584EC1" w:rsidRDefault="00871F8D">
            <w:pPr>
              <w:jc w:val="right"/>
              <w:textAlignment w:val="bottom"/>
            </w:pPr>
            <w:r>
              <w:rPr>
                <w:rFonts w:ascii="Arial" w:eastAsia="宋体" w:hAnsi="Arial" w:cs="Arial"/>
                <w:color w:val="000000"/>
                <w:sz w:val="14"/>
                <w:szCs w:val="14"/>
              </w:rPr>
              <w:t>22,140 </w:t>
            </w:r>
          </w:p>
        </w:tc>
        <w:tc>
          <w:tcPr>
            <w:tcW w:w="0" w:type="auto"/>
            <w:shd w:val="clear" w:color="auto" w:fill="CCEEFF"/>
            <w:tcMar>
              <w:top w:w="40" w:type="dxa"/>
              <w:left w:w="0" w:type="dxa"/>
              <w:bottom w:w="40" w:type="dxa"/>
              <w:right w:w="20" w:type="dxa"/>
            </w:tcMar>
            <w:vAlign w:val="bottom"/>
          </w:tcPr>
          <w:p w14:paraId="74DD88CB" w14:textId="77777777" w:rsidR="00584EC1" w:rsidRDefault="00584EC1">
            <w:pPr>
              <w:jc w:val="right"/>
              <w:rPr>
                <w:rFonts w:ascii="宋体"/>
              </w:rPr>
            </w:pPr>
          </w:p>
        </w:tc>
        <w:tc>
          <w:tcPr>
            <w:tcW w:w="0" w:type="auto"/>
            <w:shd w:val="clear" w:color="auto" w:fill="auto"/>
            <w:vAlign w:val="bottom"/>
          </w:tcPr>
          <w:p w14:paraId="74DD88CC" w14:textId="77777777" w:rsidR="00584EC1" w:rsidRDefault="00584EC1">
            <w:pPr>
              <w:rPr>
                <w:rFonts w:ascii="宋体"/>
                <w:vanish/>
              </w:rPr>
            </w:pPr>
          </w:p>
        </w:tc>
        <w:tc>
          <w:tcPr>
            <w:tcW w:w="0" w:type="auto"/>
            <w:shd w:val="clear" w:color="auto" w:fill="auto"/>
            <w:vAlign w:val="bottom"/>
          </w:tcPr>
          <w:p w14:paraId="74DD88CD" w14:textId="77777777" w:rsidR="00584EC1" w:rsidRDefault="00584EC1">
            <w:pPr>
              <w:rPr>
                <w:rFonts w:ascii="宋体"/>
                <w:vanish/>
              </w:rPr>
            </w:pPr>
          </w:p>
        </w:tc>
        <w:tc>
          <w:tcPr>
            <w:tcW w:w="0" w:type="auto"/>
            <w:gridSpan w:val="3"/>
            <w:shd w:val="clear" w:color="auto" w:fill="auto"/>
            <w:vAlign w:val="bottom"/>
          </w:tcPr>
          <w:p w14:paraId="74DD88CE" w14:textId="77777777" w:rsidR="00584EC1" w:rsidRDefault="00584EC1">
            <w:pPr>
              <w:rPr>
                <w:rFonts w:ascii="宋体"/>
                <w:vanish/>
              </w:rPr>
            </w:pPr>
          </w:p>
        </w:tc>
        <w:tc>
          <w:tcPr>
            <w:tcW w:w="0" w:type="auto"/>
            <w:gridSpan w:val="3"/>
            <w:shd w:val="clear" w:color="auto" w:fill="auto"/>
            <w:vAlign w:val="bottom"/>
          </w:tcPr>
          <w:p w14:paraId="74DD88CF" w14:textId="77777777" w:rsidR="00584EC1" w:rsidRDefault="00584EC1">
            <w:pPr>
              <w:rPr>
                <w:rFonts w:ascii="宋体"/>
                <w:vanish/>
              </w:rPr>
            </w:pPr>
          </w:p>
        </w:tc>
      </w:tr>
      <w:tr w:rsidR="00584EC1" w14:paraId="74DD88DD" w14:textId="77777777">
        <w:tc>
          <w:tcPr>
            <w:tcW w:w="0" w:type="auto"/>
            <w:gridSpan w:val="3"/>
            <w:shd w:val="clear" w:color="auto" w:fill="FFFFFF"/>
            <w:tcMar>
              <w:top w:w="40" w:type="dxa"/>
              <w:left w:w="245" w:type="dxa"/>
              <w:bottom w:w="40" w:type="dxa"/>
              <w:right w:w="20" w:type="dxa"/>
            </w:tcMar>
            <w:vAlign w:val="bottom"/>
          </w:tcPr>
          <w:p w14:paraId="74DD88D1" w14:textId="77777777" w:rsidR="00584EC1" w:rsidRDefault="00871F8D">
            <w:pPr>
              <w:textAlignment w:val="bottom"/>
            </w:pPr>
            <w:r>
              <w:rPr>
                <w:rFonts w:ascii="Arial" w:eastAsia="宋体" w:hAnsi="Arial" w:cs="Arial"/>
                <w:b/>
                <w:bCs/>
                <w:color w:val="000000"/>
                <w:sz w:val="14"/>
                <w:szCs w:val="14"/>
              </w:rPr>
              <w:t>Average total liabilities and shareholders’ equity</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88D2"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88D3" w14:textId="77777777" w:rsidR="00584EC1" w:rsidRDefault="00871F8D">
            <w:pPr>
              <w:jc w:val="right"/>
              <w:textAlignment w:val="bottom"/>
            </w:pPr>
            <w:r>
              <w:rPr>
                <w:rFonts w:ascii="Arial" w:eastAsia="宋体" w:hAnsi="Arial" w:cs="Arial"/>
                <w:b/>
                <w:bCs/>
                <w:color w:val="000000"/>
                <w:sz w:val="14"/>
                <w:szCs w:val="14"/>
              </w:rPr>
              <w:t>298,643</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88D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8D5"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88D6"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88D7" w14:textId="77777777" w:rsidR="00584EC1" w:rsidRDefault="00871F8D">
            <w:pPr>
              <w:jc w:val="right"/>
              <w:textAlignment w:val="bottom"/>
            </w:pPr>
            <w:r>
              <w:rPr>
                <w:rFonts w:ascii="Arial" w:eastAsia="宋体" w:hAnsi="Arial" w:cs="Arial"/>
                <w:color w:val="000000"/>
                <w:sz w:val="14"/>
                <w:szCs w:val="14"/>
              </w:rPr>
              <w:t>266,742 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88D8" w14:textId="77777777" w:rsidR="00584EC1" w:rsidRDefault="00584EC1">
            <w:pPr>
              <w:jc w:val="right"/>
              <w:rPr>
                <w:rFonts w:ascii="宋体"/>
              </w:rPr>
            </w:pPr>
          </w:p>
        </w:tc>
        <w:tc>
          <w:tcPr>
            <w:tcW w:w="0" w:type="auto"/>
            <w:shd w:val="clear" w:color="auto" w:fill="auto"/>
            <w:vAlign w:val="bottom"/>
          </w:tcPr>
          <w:p w14:paraId="74DD88D9" w14:textId="77777777" w:rsidR="00584EC1" w:rsidRDefault="00584EC1">
            <w:pPr>
              <w:rPr>
                <w:rFonts w:ascii="宋体"/>
                <w:vanish/>
              </w:rPr>
            </w:pPr>
          </w:p>
        </w:tc>
        <w:tc>
          <w:tcPr>
            <w:tcW w:w="0" w:type="auto"/>
            <w:shd w:val="clear" w:color="auto" w:fill="auto"/>
            <w:vAlign w:val="bottom"/>
          </w:tcPr>
          <w:p w14:paraId="74DD88DA" w14:textId="77777777" w:rsidR="00584EC1" w:rsidRDefault="00584EC1">
            <w:pPr>
              <w:rPr>
                <w:rFonts w:ascii="宋体"/>
                <w:vanish/>
              </w:rPr>
            </w:pPr>
          </w:p>
        </w:tc>
        <w:tc>
          <w:tcPr>
            <w:tcW w:w="0" w:type="auto"/>
            <w:gridSpan w:val="3"/>
            <w:shd w:val="clear" w:color="auto" w:fill="auto"/>
            <w:vAlign w:val="bottom"/>
          </w:tcPr>
          <w:p w14:paraId="74DD88DB" w14:textId="77777777" w:rsidR="00584EC1" w:rsidRDefault="00584EC1">
            <w:pPr>
              <w:rPr>
                <w:rFonts w:ascii="宋体"/>
                <w:vanish/>
              </w:rPr>
            </w:pPr>
          </w:p>
        </w:tc>
        <w:tc>
          <w:tcPr>
            <w:tcW w:w="0" w:type="auto"/>
            <w:gridSpan w:val="3"/>
            <w:shd w:val="clear" w:color="auto" w:fill="auto"/>
            <w:vAlign w:val="bottom"/>
          </w:tcPr>
          <w:p w14:paraId="74DD88DC" w14:textId="77777777" w:rsidR="00584EC1" w:rsidRDefault="00584EC1">
            <w:pPr>
              <w:rPr>
                <w:rFonts w:ascii="宋体"/>
                <w:vanish/>
              </w:rPr>
            </w:pPr>
          </w:p>
        </w:tc>
      </w:tr>
    </w:tbl>
    <w:p w14:paraId="74DD88DE" w14:textId="77777777" w:rsidR="00584EC1" w:rsidRDefault="00584EC1">
      <w:pPr>
        <w:rPr>
          <w:vanish/>
        </w:rPr>
      </w:pPr>
    </w:p>
    <w:tbl>
      <w:tblPr>
        <w:tblW w:w="4528" w:type="pct"/>
        <w:tblCellMar>
          <w:top w:w="15" w:type="dxa"/>
          <w:left w:w="15" w:type="dxa"/>
          <w:bottom w:w="15" w:type="dxa"/>
          <w:right w:w="15" w:type="dxa"/>
        </w:tblCellMar>
        <w:tblLook w:val="04A0" w:firstRow="1" w:lastRow="0" w:firstColumn="1" w:lastColumn="0" w:noHBand="0" w:noVBand="1"/>
      </w:tblPr>
      <w:tblGrid>
        <w:gridCol w:w="61"/>
        <w:gridCol w:w="3966"/>
        <w:gridCol w:w="36"/>
        <w:gridCol w:w="61"/>
        <w:gridCol w:w="3389"/>
        <w:gridCol w:w="36"/>
      </w:tblGrid>
      <w:tr w:rsidR="00584EC1" w14:paraId="74DD88E5" w14:textId="77777777">
        <w:tc>
          <w:tcPr>
            <w:tcW w:w="50" w:type="pct"/>
            <w:shd w:val="clear" w:color="auto" w:fill="auto"/>
            <w:vAlign w:val="bottom"/>
          </w:tcPr>
          <w:p w14:paraId="74DD88DF" w14:textId="77777777" w:rsidR="00584EC1" w:rsidRDefault="00584EC1">
            <w:pPr>
              <w:rPr>
                <w:rFonts w:ascii="宋体"/>
              </w:rPr>
            </w:pPr>
          </w:p>
        </w:tc>
        <w:tc>
          <w:tcPr>
            <w:tcW w:w="2635" w:type="pct"/>
            <w:shd w:val="clear" w:color="auto" w:fill="auto"/>
            <w:vAlign w:val="bottom"/>
          </w:tcPr>
          <w:p w14:paraId="74DD88E0" w14:textId="77777777" w:rsidR="00584EC1" w:rsidRDefault="00584EC1">
            <w:pPr>
              <w:rPr>
                <w:rFonts w:ascii="宋体"/>
              </w:rPr>
            </w:pPr>
          </w:p>
        </w:tc>
        <w:tc>
          <w:tcPr>
            <w:tcW w:w="5" w:type="pct"/>
            <w:shd w:val="clear" w:color="auto" w:fill="auto"/>
            <w:vAlign w:val="bottom"/>
          </w:tcPr>
          <w:p w14:paraId="74DD88E1" w14:textId="77777777" w:rsidR="00584EC1" w:rsidRDefault="00584EC1">
            <w:pPr>
              <w:rPr>
                <w:rFonts w:ascii="宋体"/>
              </w:rPr>
            </w:pPr>
          </w:p>
        </w:tc>
        <w:tc>
          <w:tcPr>
            <w:tcW w:w="50" w:type="pct"/>
            <w:shd w:val="clear" w:color="auto" w:fill="auto"/>
            <w:vAlign w:val="bottom"/>
          </w:tcPr>
          <w:p w14:paraId="74DD88E2" w14:textId="77777777" w:rsidR="00584EC1" w:rsidRDefault="00584EC1">
            <w:pPr>
              <w:rPr>
                <w:rFonts w:ascii="宋体"/>
              </w:rPr>
            </w:pPr>
          </w:p>
        </w:tc>
        <w:tc>
          <w:tcPr>
            <w:tcW w:w="2254" w:type="pct"/>
            <w:shd w:val="clear" w:color="auto" w:fill="auto"/>
            <w:vAlign w:val="bottom"/>
          </w:tcPr>
          <w:p w14:paraId="74DD88E3" w14:textId="77777777" w:rsidR="00584EC1" w:rsidRDefault="00584EC1">
            <w:pPr>
              <w:rPr>
                <w:rFonts w:ascii="宋体"/>
              </w:rPr>
            </w:pPr>
          </w:p>
        </w:tc>
        <w:tc>
          <w:tcPr>
            <w:tcW w:w="5" w:type="pct"/>
            <w:shd w:val="clear" w:color="auto" w:fill="auto"/>
            <w:vAlign w:val="bottom"/>
          </w:tcPr>
          <w:p w14:paraId="74DD88E4" w14:textId="77777777" w:rsidR="00584EC1" w:rsidRDefault="00584EC1">
            <w:pPr>
              <w:rPr>
                <w:rFonts w:ascii="宋体"/>
              </w:rPr>
            </w:pPr>
          </w:p>
        </w:tc>
      </w:tr>
      <w:tr w:rsidR="00584EC1" w14:paraId="74DD88E8"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4DD88E6"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88E7" w14:textId="77777777" w:rsidR="00584EC1" w:rsidRDefault="00584EC1">
            <w:pPr>
              <w:rPr>
                <w:rFonts w:ascii="宋体"/>
              </w:rPr>
            </w:pPr>
          </w:p>
        </w:tc>
      </w:tr>
    </w:tbl>
    <w:p w14:paraId="74DD88E9" w14:textId="77777777" w:rsidR="00584EC1" w:rsidRDefault="00871F8D">
      <w:pPr>
        <w:spacing w:before="60"/>
        <w:jc w:val="both"/>
        <w:textAlignment w:val="top"/>
      </w:pPr>
      <w:r>
        <w:rPr>
          <w:rFonts w:ascii="Arial" w:eastAsia="宋体" w:hAnsi="Arial" w:cs="Arial"/>
          <w:color w:val="000000"/>
          <w:sz w:val="9"/>
          <w:szCs w:val="9"/>
        </w:rPr>
        <w:t xml:space="preserve">(1) </w:t>
      </w:r>
      <w:r>
        <w:rPr>
          <w:rFonts w:ascii="Arial" w:eastAsia="宋体" w:hAnsi="Arial" w:cs="Arial"/>
          <w:color w:val="000000"/>
          <w:sz w:val="14"/>
          <w:szCs w:val="14"/>
        </w:rPr>
        <w:t>Additional information about our average statement of condition, primarily our interest-earning assets and interest-bearing liabilities, is provided in "Net Interest Income" included in this Management's Discussion and Analysis.</w:t>
      </w:r>
    </w:p>
    <w:p w14:paraId="74DD88EA" w14:textId="77777777" w:rsidR="00584EC1" w:rsidRDefault="00871F8D">
      <w:pPr>
        <w:spacing w:before="60"/>
        <w:jc w:val="both"/>
        <w:textAlignment w:val="top"/>
      </w:pPr>
      <w:r>
        <w:rPr>
          <w:rFonts w:ascii="Arial" w:eastAsia="宋体" w:hAnsi="Arial" w:cs="Arial"/>
          <w:color w:val="000000"/>
          <w:sz w:val="9"/>
          <w:szCs w:val="9"/>
        </w:rPr>
        <w:t xml:space="preserve">(2) </w:t>
      </w:r>
      <w:r>
        <w:rPr>
          <w:rFonts w:ascii="Arial" w:eastAsia="宋体" w:hAnsi="Arial" w:cs="Arial"/>
          <w:color w:val="000000"/>
          <w:sz w:val="14"/>
          <w:szCs w:val="14"/>
        </w:rPr>
        <w:t>Total deposits a</w:t>
      </w:r>
      <w:r>
        <w:rPr>
          <w:rFonts w:ascii="Arial" w:eastAsia="宋体" w:hAnsi="Arial" w:cs="Arial"/>
          <w:color w:val="000000"/>
          <w:sz w:val="14"/>
          <w:szCs w:val="14"/>
        </w:rPr>
        <w:t>veraged $233.96 billion in the nine months ended September 30, 2021 compared to $188.82 billion in the same period in 2020.</w:t>
      </w:r>
    </w:p>
    <w:p w14:paraId="74DD88EB" w14:textId="77777777" w:rsidR="00584EC1" w:rsidRDefault="00871F8D">
      <w:pPr>
        <w:ind w:firstLine="450"/>
        <w:jc w:val="right"/>
      </w:pPr>
      <w:r>
        <w:rPr>
          <w:rFonts w:ascii="Arial" w:eastAsia="宋体" w:hAnsi="Arial" w:cs="Arial"/>
          <w:color w:val="000000"/>
          <w:sz w:val="18"/>
          <w:szCs w:val="18"/>
        </w:rPr>
        <w:t>State Street Corporation | 27</w:t>
      </w:r>
    </w:p>
    <w:p w14:paraId="74DD88EC" w14:textId="77777777" w:rsidR="00584EC1" w:rsidRDefault="00584EC1">
      <w:pPr>
        <w:ind w:firstLine="450"/>
        <w:jc w:val="center"/>
      </w:pPr>
    </w:p>
    <w:p w14:paraId="74DD88ED" w14:textId="77777777" w:rsidR="00584EC1" w:rsidRDefault="00871F8D">
      <w:r>
        <w:pict w14:anchorId="74DE2A09">
          <v:rect id="_x0000_i1051" style="width:415.3pt;height:1.5pt" o:hralign="center" o:hrstd="t" o:hr="t" fillcolor="#a0a0a0" stroked="f"/>
        </w:pict>
      </w:r>
    </w:p>
    <w:p w14:paraId="74DD88EE" w14:textId="77777777" w:rsidR="00584EC1" w:rsidRDefault="00871F8D">
      <w:pPr>
        <w:ind w:firstLine="450"/>
        <w:jc w:val="center"/>
      </w:pPr>
      <w:r>
        <w:rPr>
          <w:rFonts w:ascii="Arial" w:eastAsia="宋体" w:hAnsi="Arial" w:cs="Arial"/>
          <w:b/>
          <w:bCs/>
          <w:color w:val="000000"/>
          <w:sz w:val="20"/>
          <w:szCs w:val="20"/>
        </w:rPr>
        <w:t>MANAGEMENT’S DISCUSSION AND ANALYSIS OF FINANCIAL CONDITION</w:t>
      </w:r>
    </w:p>
    <w:p w14:paraId="74DD88EF" w14:textId="77777777" w:rsidR="00584EC1" w:rsidRDefault="00871F8D">
      <w:pPr>
        <w:ind w:firstLine="450"/>
        <w:jc w:val="center"/>
      </w:pPr>
      <w:r>
        <w:rPr>
          <w:rFonts w:ascii="Arial" w:eastAsia="宋体" w:hAnsi="Arial" w:cs="Arial"/>
          <w:b/>
          <w:bCs/>
          <w:color w:val="000000"/>
          <w:sz w:val="20"/>
          <w:szCs w:val="20"/>
        </w:rPr>
        <w:t>AND RESULTS OF OPERATIONS</w:t>
      </w:r>
    </w:p>
    <w:p w14:paraId="74DD88F0" w14:textId="77777777" w:rsidR="00584EC1" w:rsidRDefault="00871F8D">
      <w:pPr>
        <w:spacing w:before="90"/>
        <w:textAlignment w:val="top"/>
      </w:pPr>
      <w:r>
        <w:rPr>
          <w:rFonts w:ascii="Arial" w:eastAsia="宋体" w:hAnsi="Arial" w:cs="Arial"/>
          <w:b/>
          <w:bCs/>
          <w:color w:val="000000"/>
          <w:sz w:val="20"/>
          <w:szCs w:val="20"/>
        </w:rPr>
        <w:t>Investment Securities</w:t>
      </w:r>
    </w:p>
    <w:tbl>
      <w:tblPr>
        <w:tblW w:w="5000" w:type="pct"/>
        <w:tblCellMar>
          <w:top w:w="15" w:type="dxa"/>
          <w:left w:w="15" w:type="dxa"/>
          <w:bottom w:w="15" w:type="dxa"/>
          <w:right w:w="15" w:type="dxa"/>
        </w:tblCellMar>
        <w:tblLook w:val="04A0" w:firstRow="1" w:lastRow="0" w:firstColumn="1" w:lastColumn="0" w:noHBand="0" w:noVBand="1"/>
      </w:tblPr>
      <w:tblGrid>
        <w:gridCol w:w="40"/>
        <w:gridCol w:w="3970"/>
        <w:gridCol w:w="36"/>
        <w:gridCol w:w="99"/>
        <w:gridCol w:w="1644"/>
        <w:gridCol w:w="37"/>
        <w:gridCol w:w="36"/>
        <w:gridCol w:w="45"/>
        <w:gridCol w:w="36"/>
        <w:gridCol w:w="99"/>
        <w:gridCol w:w="1717"/>
        <w:gridCol w:w="37"/>
        <w:gridCol w:w="36"/>
        <w:gridCol w:w="36"/>
        <w:gridCol w:w="36"/>
        <w:gridCol w:w="36"/>
        <w:gridCol w:w="36"/>
        <w:gridCol w:w="36"/>
        <w:gridCol w:w="36"/>
        <w:gridCol w:w="36"/>
        <w:gridCol w:w="36"/>
        <w:gridCol w:w="36"/>
        <w:gridCol w:w="36"/>
        <w:gridCol w:w="36"/>
        <w:gridCol w:w="36"/>
        <w:gridCol w:w="36"/>
        <w:gridCol w:w="36"/>
      </w:tblGrid>
      <w:tr w:rsidR="00584EC1" w14:paraId="74DD8902" w14:textId="77777777">
        <w:tc>
          <w:tcPr>
            <w:tcW w:w="50" w:type="pct"/>
            <w:shd w:val="clear" w:color="auto" w:fill="auto"/>
            <w:vAlign w:val="bottom"/>
          </w:tcPr>
          <w:p w14:paraId="74DD88F1" w14:textId="77777777" w:rsidR="00584EC1" w:rsidRDefault="00584EC1">
            <w:pPr>
              <w:rPr>
                <w:rFonts w:ascii="宋体"/>
              </w:rPr>
            </w:pPr>
          </w:p>
        </w:tc>
        <w:tc>
          <w:tcPr>
            <w:tcW w:w="2570" w:type="pct"/>
            <w:shd w:val="clear" w:color="auto" w:fill="auto"/>
            <w:vAlign w:val="bottom"/>
          </w:tcPr>
          <w:p w14:paraId="74DD88F2" w14:textId="77777777" w:rsidR="00584EC1" w:rsidRDefault="00584EC1">
            <w:pPr>
              <w:rPr>
                <w:rFonts w:ascii="宋体"/>
              </w:rPr>
            </w:pPr>
          </w:p>
        </w:tc>
        <w:tc>
          <w:tcPr>
            <w:tcW w:w="5" w:type="pct"/>
            <w:shd w:val="clear" w:color="auto" w:fill="auto"/>
            <w:vAlign w:val="bottom"/>
          </w:tcPr>
          <w:p w14:paraId="74DD88F3" w14:textId="77777777" w:rsidR="00584EC1" w:rsidRDefault="00584EC1">
            <w:pPr>
              <w:rPr>
                <w:rFonts w:ascii="宋体"/>
              </w:rPr>
            </w:pPr>
          </w:p>
        </w:tc>
        <w:tc>
          <w:tcPr>
            <w:tcW w:w="50" w:type="pct"/>
            <w:shd w:val="clear" w:color="auto" w:fill="auto"/>
            <w:vAlign w:val="bottom"/>
          </w:tcPr>
          <w:p w14:paraId="74DD88F4" w14:textId="77777777" w:rsidR="00584EC1" w:rsidRDefault="00584EC1">
            <w:pPr>
              <w:rPr>
                <w:rFonts w:ascii="宋体"/>
              </w:rPr>
            </w:pPr>
          </w:p>
        </w:tc>
        <w:tc>
          <w:tcPr>
            <w:tcW w:w="1077" w:type="pct"/>
            <w:shd w:val="clear" w:color="auto" w:fill="auto"/>
            <w:vAlign w:val="bottom"/>
          </w:tcPr>
          <w:p w14:paraId="74DD88F5" w14:textId="77777777" w:rsidR="00584EC1" w:rsidRDefault="00584EC1">
            <w:pPr>
              <w:rPr>
                <w:rFonts w:ascii="宋体"/>
              </w:rPr>
            </w:pPr>
          </w:p>
        </w:tc>
        <w:tc>
          <w:tcPr>
            <w:tcW w:w="5" w:type="pct"/>
            <w:shd w:val="clear" w:color="auto" w:fill="auto"/>
            <w:vAlign w:val="bottom"/>
          </w:tcPr>
          <w:p w14:paraId="74DD88F6" w14:textId="77777777" w:rsidR="00584EC1" w:rsidRDefault="00584EC1">
            <w:pPr>
              <w:rPr>
                <w:rFonts w:ascii="宋体"/>
              </w:rPr>
            </w:pPr>
          </w:p>
        </w:tc>
        <w:tc>
          <w:tcPr>
            <w:tcW w:w="5" w:type="pct"/>
            <w:shd w:val="clear" w:color="auto" w:fill="auto"/>
            <w:vAlign w:val="bottom"/>
          </w:tcPr>
          <w:p w14:paraId="74DD88F7" w14:textId="77777777" w:rsidR="00584EC1" w:rsidRDefault="00584EC1">
            <w:pPr>
              <w:rPr>
                <w:rFonts w:ascii="宋体"/>
              </w:rPr>
            </w:pPr>
          </w:p>
        </w:tc>
        <w:tc>
          <w:tcPr>
            <w:tcW w:w="52" w:type="pct"/>
            <w:shd w:val="clear" w:color="auto" w:fill="auto"/>
            <w:vAlign w:val="bottom"/>
          </w:tcPr>
          <w:p w14:paraId="74DD88F8" w14:textId="77777777" w:rsidR="00584EC1" w:rsidRDefault="00584EC1">
            <w:pPr>
              <w:rPr>
                <w:rFonts w:ascii="宋体"/>
              </w:rPr>
            </w:pPr>
          </w:p>
        </w:tc>
        <w:tc>
          <w:tcPr>
            <w:tcW w:w="5" w:type="pct"/>
            <w:shd w:val="clear" w:color="auto" w:fill="auto"/>
            <w:vAlign w:val="bottom"/>
          </w:tcPr>
          <w:p w14:paraId="74DD88F9" w14:textId="77777777" w:rsidR="00584EC1" w:rsidRDefault="00584EC1">
            <w:pPr>
              <w:rPr>
                <w:rFonts w:ascii="宋体"/>
              </w:rPr>
            </w:pPr>
          </w:p>
        </w:tc>
        <w:tc>
          <w:tcPr>
            <w:tcW w:w="50" w:type="pct"/>
            <w:shd w:val="clear" w:color="auto" w:fill="auto"/>
            <w:vAlign w:val="bottom"/>
          </w:tcPr>
          <w:p w14:paraId="74DD88FA" w14:textId="77777777" w:rsidR="00584EC1" w:rsidRDefault="00584EC1">
            <w:pPr>
              <w:rPr>
                <w:rFonts w:ascii="宋体"/>
              </w:rPr>
            </w:pPr>
          </w:p>
        </w:tc>
        <w:tc>
          <w:tcPr>
            <w:tcW w:w="1124" w:type="pct"/>
            <w:shd w:val="clear" w:color="auto" w:fill="auto"/>
            <w:vAlign w:val="bottom"/>
          </w:tcPr>
          <w:p w14:paraId="74DD88FB" w14:textId="77777777" w:rsidR="00584EC1" w:rsidRDefault="00584EC1">
            <w:pPr>
              <w:rPr>
                <w:rFonts w:ascii="宋体"/>
              </w:rPr>
            </w:pPr>
          </w:p>
        </w:tc>
        <w:tc>
          <w:tcPr>
            <w:tcW w:w="5" w:type="pct"/>
            <w:shd w:val="clear" w:color="auto" w:fill="auto"/>
            <w:vAlign w:val="bottom"/>
          </w:tcPr>
          <w:p w14:paraId="74DD88FC" w14:textId="77777777" w:rsidR="00584EC1" w:rsidRDefault="00584EC1">
            <w:pPr>
              <w:rPr>
                <w:rFonts w:ascii="宋体"/>
              </w:rPr>
            </w:pPr>
          </w:p>
        </w:tc>
        <w:tc>
          <w:tcPr>
            <w:tcW w:w="0" w:type="auto"/>
            <w:gridSpan w:val="3"/>
            <w:shd w:val="clear" w:color="auto" w:fill="auto"/>
            <w:vAlign w:val="bottom"/>
          </w:tcPr>
          <w:p w14:paraId="74DD88FD" w14:textId="77777777" w:rsidR="00584EC1" w:rsidRDefault="00584EC1">
            <w:pPr>
              <w:rPr>
                <w:rFonts w:ascii="宋体"/>
                <w:vanish/>
              </w:rPr>
            </w:pPr>
          </w:p>
        </w:tc>
        <w:tc>
          <w:tcPr>
            <w:tcW w:w="0" w:type="auto"/>
            <w:gridSpan w:val="3"/>
            <w:shd w:val="clear" w:color="auto" w:fill="auto"/>
            <w:vAlign w:val="bottom"/>
          </w:tcPr>
          <w:p w14:paraId="74DD88FE" w14:textId="77777777" w:rsidR="00584EC1" w:rsidRDefault="00584EC1">
            <w:pPr>
              <w:rPr>
                <w:rFonts w:ascii="宋体"/>
                <w:vanish/>
              </w:rPr>
            </w:pPr>
          </w:p>
        </w:tc>
        <w:tc>
          <w:tcPr>
            <w:tcW w:w="0" w:type="auto"/>
            <w:gridSpan w:val="3"/>
            <w:shd w:val="clear" w:color="auto" w:fill="auto"/>
            <w:vAlign w:val="bottom"/>
          </w:tcPr>
          <w:p w14:paraId="74DD88FF" w14:textId="77777777" w:rsidR="00584EC1" w:rsidRDefault="00584EC1">
            <w:pPr>
              <w:rPr>
                <w:rFonts w:ascii="宋体"/>
                <w:vanish/>
              </w:rPr>
            </w:pPr>
          </w:p>
        </w:tc>
        <w:tc>
          <w:tcPr>
            <w:tcW w:w="0" w:type="auto"/>
            <w:gridSpan w:val="3"/>
            <w:shd w:val="clear" w:color="auto" w:fill="auto"/>
            <w:vAlign w:val="bottom"/>
          </w:tcPr>
          <w:p w14:paraId="74DD8900" w14:textId="77777777" w:rsidR="00584EC1" w:rsidRDefault="00584EC1">
            <w:pPr>
              <w:rPr>
                <w:rFonts w:ascii="宋体"/>
                <w:vanish/>
              </w:rPr>
            </w:pPr>
          </w:p>
        </w:tc>
        <w:tc>
          <w:tcPr>
            <w:tcW w:w="0" w:type="auto"/>
            <w:gridSpan w:val="3"/>
            <w:shd w:val="clear" w:color="auto" w:fill="auto"/>
            <w:vAlign w:val="bottom"/>
          </w:tcPr>
          <w:p w14:paraId="74DD8901" w14:textId="77777777" w:rsidR="00584EC1" w:rsidRDefault="00584EC1">
            <w:pPr>
              <w:rPr>
                <w:rFonts w:ascii="宋体"/>
                <w:vanish/>
              </w:rPr>
            </w:pPr>
          </w:p>
        </w:tc>
      </w:tr>
      <w:tr w:rsidR="00584EC1" w14:paraId="74DD8911" w14:textId="77777777">
        <w:tc>
          <w:tcPr>
            <w:tcW w:w="0" w:type="auto"/>
            <w:gridSpan w:val="12"/>
            <w:shd w:val="clear" w:color="auto" w:fill="auto"/>
            <w:tcMar>
              <w:top w:w="40" w:type="dxa"/>
              <w:left w:w="20" w:type="dxa"/>
              <w:bottom w:w="40" w:type="dxa"/>
              <w:right w:w="20" w:type="dxa"/>
            </w:tcMar>
            <w:vAlign w:val="bottom"/>
          </w:tcPr>
          <w:p w14:paraId="74DD8903" w14:textId="77777777" w:rsidR="00584EC1" w:rsidRDefault="00871F8D">
            <w:pPr>
              <w:jc w:val="both"/>
              <w:textAlignment w:val="bottom"/>
            </w:pPr>
            <w:r>
              <w:rPr>
                <w:rFonts w:ascii="Arial" w:eastAsia="宋体" w:hAnsi="Arial" w:cs="Arial"/>
                <w:b/>
                <w:bCs/>
                <w:color w:val="000000"/>
                <w:sz w:val="16"/>
                <w:szCs w:val="16"/>
              </w:rPr>
              <w:t>TABLE 20: CARRYING VALUES OF INVESTMENT SECURITIES</w:t>
            </w:r>
          </w:p>
        </w:tc>
        <w:tc>
          <w:tcPr>
            <w:tcW w:w="0" w:type="auto"/>
            <w:gridSpan w:val="3"/>
            <w:shd w:val="clear" w:color="auto" w:fill="auto"/>
            <w:vAlign w:val="bottom"/>
          </w:tcPr>
          <w:p w14:paraId="74DD8904" w14:textId="77777777" w:rsidR="00584EC1" w:rsidRDefault="00584EC1">
            <w:pPr>
              <w:rPr>
                <w:rFonts w:ascii="宋体"/>
                <w:vanish/>
              </w:rPr>
            </w:pPr>
          </w:p>
        </w:tc>
        <w:tc>
          <w:tcPr>
            <w:tcW w:w="0" w:type="auto"/>
            <w:shd w:val="clear" w:color="auto" w:fill="auto"/>
            <w:vAlign w:val="bottom"/>
          </w:tcPr>
          <w:p w14:paraId="74DD8905" w14:textId="77777777" w:rsidR="00584EC1" w:rsidRDefault="00584EC1">
            <w:pPr>
              <w:rPr>
                <w:rFonts w:ascii="宋体"/>
              </w:rPr>
            </w:pPr>
          </w:p>
        </w:tc>
        <w:tc>
          <w:tcPr>
            <w:tcW w:w="0" w:type="auto"/>
            <w:shd w:val="clear" w:color="auto" w:fill="auto"/>
            <w:vAlign w:val="bottom"/>
          </w:tcPr>
          <w:p w14:paraId="74DD8906" w14:textId="77777777" w:rsidR="00584EC1" w:rsidRDefault="00584EC1">
            <w:pPr>
              <w:rPr>
                <w:rFonts w:ascii="宋体"/>
              </w:rPr>
            </w:pPr>
          </w:p>
        </w:tc>
        <w:tc>
          <w:tcPr>
            <w:tcW w:w="0" w:type="auto"/>
            <w:shd w:val="clear" w:color="auto" w:fill="auto"/>
            <w:vAlign w:val="bottom"/>
          </w:tcPr>
          <w:p w14:paraId="74DD8907" w14:textId="77777777" w:rsidR="00584EC1" w:rsidRDefault="00584EC1">
            <w:pPr>
              <w:rPr>
                <w:rFonts w:ascii="宋体"/>
              </w:rPr>
            </w:pPr>
          </w:p>
        </w:tc>
        <w:tc>
          <w:tcPr>
            <w:tcW w:w="0" w:type="auto"/>
            <w:shd w:val="clear" w:color="auto" w:fill="auto"/>
            <w:vAlign w:val="bottom"/>
          </w:tcPr>
          <w:p w14:paraId="74DD8908" w14:textId="77777777" w:rsidR="00584EC1" w:rsidRDefault="00584EC1">
            <w:pPr>
              <w:rPr>
                <w:rFonts w:ascii="宋体"/>
              </w:rPr>
            </w:pPr>
          </w:p>
        </w:tc>
        <w:tc>
          <w:tcPr>
            <w:tcW w:w="0" w:type="auto"/>
            <w:shd w:val="clear" w:color="auto" w:fill="auto"/>
            <w:vAlign w:val="bottom"/>
          </w:tcPr>
          <w:p w14:paraId="74DD8909" w14:textId="77777777" w:rsidR="00584EC1" w:rsidRDefault="00584EC1">
            <w:pPr>
              <w:rPr>
                <w:rFonts w:ascii="宋体"/>
              </w:rPr>
            </w:pPr>
          </w:p>
        </w:tc>
        <w:tc>
          <w:tcPr>
            <w:tcW w:w="0" w:type="auto"/>
            <w:shd w:val="clear" w:color="auto" w:fill="auto"/>
            <w:vAlign w:val="bottom"/>
          </w:tcPr>
          <w:p w14:paraId="74DD890A" w14:textId="77777777" w:rsidR="00584EC1" w:rsidRDefault="00584EC1">
            <w:pPr>
              <w:rPr>
                <w:rFonts w:ascii="宋体"/>
              </w:rPr>
            </w:pPr>
          </w:p>
        </w:tc>
        <w:tc>
          <w:tcPr>
            <w:tcW w:w="0" w:type="auto"/>
            <w:shd w:val="clear" w:color="auto" w:fill="auto"/>
            <w:vAlign w:val="bottom"/>
          </w:tcPr>
          <w:p w14:paraId="74DD890B" w14:textId="77777777" w:rsidR="00584EC1" w:rsidRDefault="00584EC1">
            <w:pPr>
              <w:rPr>
                <w:rFonts w:ascii="宋体"/>
              </w:rPr>
            </w:pPr>
          </w:p>
        </w:tc>
        <w:tc>
          <w:tcPr>
            <w:tcW w:w="0" w:type="auto"/>
            <w:shd w:val="clear" w:color="auto" w:fill="auto"/>
            <w:vAlign w:val="bottom"/>
          </w:tcPr>
          <w:p w14:paraId="74DD890C" w14:textId="77777777" w:rsidR="00584EC1" w:rsidRDefault="00584EC1">
            <w:pPr>
              <w:rPr>
                <w:rFonts w:ascii="宋体"/>
              </w:rPr>
            </w:pPr>
          </w:p>
        </w:tc>
        <w:tc>
          <w:tcPr>
            <w:tcW w:w="0" w:type="auto"/>
            <w:shd w:val="clear" w:color="auto" w:fill="auto"/>
            <w:vAlign w:val="bottom"/>
          </w:tcPr>
          <w:p w14:paraId="74DD890D" w14:textId="77777777" w:rsidR="00584EC1" w:rsidRDefault="00584EC1">
            <w:pPr>
              <w:rPr>
                <w:rFonts w:ascii="宋体"/>
              </w:rPr>
            </w:pPr>
          </w:p>
        </w:tc>
        <w:tc>
          <w:tcPr>
            <w:tcW w:w="0" w:type="auto"/>
            <w:shd w:val="clear" w:color="auto" w:fill="auto"/>
            <w:vAlign w:val="bottom"/>
          </w:tcPr>
          <w:p w14:paraId="74DD890E" w14:textId="77777777" w:rsidR="00584EC1" w:rsidRDefault="00584EC1">
            <w:pPr>
              <w:rPr>
                <w:rFonts w:ascii="宋体"/>
              </w:rPr>
            </w:pPr>
          </w:p>
        </w:tc>
        <w:tc>
          <w:tcPr>
            <w:tcW w:w="0" w:type="auto"/>
            <w:shd w:val="clear" w:color="auto" w:fill="auto"/>
            <w:vAlign w:val="bottom"/>
          </w:tcPr>
          <w:p w14:paraId="74DD890F" w14:textId="77777777" w:rsidR="00584EC1" w:rsidRDefault="00584EC1">
            <w:pPr>
              <w:rPr>
                <w:rFonts w:ascii="宋体"/>
              </w:rPr>
            </w:pPr>
          </w:p>
        </w:tc>
        <w:tc>
          <w:tcPr>
            <w:tcW w:w="0" w:type="auto"/>
            <w:shd w:val="clear" w:color="auto" w:fill="auto"/>
            <w:vAlign w:val="bottom"/>
          </w:tcPr>
          <w:p w14:paraId="74DD8910" w14:textId="77777777" w:rsidR="00584EC1" w:rsidRDefault="00584EC1">
            <w:pPr>
              <w:rPr>
                <w:rFonts w:ascii="宋体"/>
              </w:rPr>
            </w:pPr>
          </w:p>
        </w:tc>
      </w:tr>
      <w:tr w:rsidR="00584EC1" w14:paraId="74DD8927" w14:textId="77777777">
        <w:trPr>
          <w:hidden/>
        </w:trPr>
        <w:tc>
          <w:tcPr>
            <w:tcW w:w="0" w:type="auto"/>
            <w:gridSpan w:val="3"/>
            <w:shd w:val="clear" w:color="auto" w:fill="auto"/>
            <w:vAlign w:val="bottom"/>
          </w:tcPr>
          <w:p w14:paraId="74DD8912" w14:textId="77777777" w:rsidR="00584EC1" w:rsidRDefault="00584EC1">
            <w:pPr>
              <w:rPr>
                <w:rFonts w:ascii="宋体"/>
                <w:vanish/>
              </w:rPr>
            </w:pPr>
          </w:p>
        </w:tc>
        <w:tc>
          <w:tcPr>
            <w:tcW w:w="0" w:type="auto"/>
            <w:gridSpan w:val="3"/>
            <w:shd w:val="clear" w:color="auto" w:fill="auto"/>
            <w:vAlign w:val="bottom"/>
          </w:tcPr>
          <w:p w14:paraId="74DD8913" w14:textId="77777777" w:rsidR="00584EC1" w:rsidRDefault="00584EC1">
            <w:pPr>
              <w:rPr>
                <w:rFonts w:ascii="宋体"/>
                <w:vanish/>
              </w:rPr>
            </w:pPr>
          </w:p>
        </w:tc>
        <w:tc>
          <w:tcPr>
            <w:tcW w:w="0" w:type="auto"/>
            <w:gridSpan w:val="3"/>
            <w:shd w:val="clear" w:color="auto" w:fill="auto"/>
            <w:vAlign w:val="bottom"/>
          </w:tcPr>
          <w:p w14:paraId="74DD8914" w14:textId="77777777" w:rsidR="00584EC1" w:rsidRDefault="00584EC1">
            <w:pPr>
              <w:rPr>
                <w:rFonts w:ascii="宋体"/>
                <w:vanish/>
              </w:rPr>
            </w:pPr>
          </w:p>
        </w:tc>
        <w:tc>
          <w:tcPr>
            <w:tcW w:w="0" w:type="auto"/>
            <w:shd w:val="clear" w:color="auto" w:fill="auto"/>
            <w:vAlign w:val="bottom"/>
          </w:tcPr>
          <w:p w14:paraId="74DD8915" w14:textId="77777777" w:rsidR="00584EC1" w:rsidRDefault="00584EC1">
            <w:pPr>
              <w:rPr>
                <w:rFonts w:ascii="宋体"/>
              </w:rPr>
            </w:pPr>
          </w:p>
        </w:tc>
        <w:tc>
          <w:tcPr>
            <w:tcW w:w="0" w:type="auto"/>
            <w:shd w:val="clear" w:color="auto" w:fill="auto"/>
            <w:vAlign w:val="bottom"/>
          </w:tcPr>
          <w:p w14:paraId="74DD8916" w14:textId="77777777" w:rsidR="00584EC1" w:rsidRDefault="00584EC1">
            <w:pPr>
              <w:rPr>
                <w:rFonts w:ascii="宋体"/>
              </w:rPr>
            </w:pPr>
          </w:p>
        </w:tc>
        <w:tc>
          <w:tcPr>
            <w:tcW w:w="0" w:type="auto"/>
            <w:shd w:val="clear" w:color="auto" w:fill="auto"/>
            <w:vAlign w:val="bottom"/>
          </w:tcPr>
          <w:p w14:paraId="74DD8917" w14:textId="77777777" w:rsidR="00584EC1" w:rsidRDefault="00584EC1">
            <w:pPr>
              <w:rPr>
                <w:rFonts w:ascii="宋体"/>
              </w:rPr>
            </w:pPr>
          </w:p>
        </w:tc>
        <w:tc>
          <w:tcPr>
            <w:tcW w:w="0" w:type="auto"/>
            <w:shd w:val="clear" w:color="auto" w:fill="auto"/>
            <w:vAlign w:val="bottom"/>
          </w:tcPr>
          <w:p w14:paraId="74DD8918" w14:textId="77777777" w:rsidR="00584EC1" w:rsidRDefault="00584EC1">
            <w:pPr>
              <w:rPr>
                <w:rFonts w:ascii="宋体"/>
              </w:rPr>
            </w:pPr>
          </w:p>
        </w:tc>
        <w:tc>
          <w:tcPr>
            <w:tcW w:w="0" w:type="auto"/>
            <w:shd w:val="clear" w:color="auto" w:fill="auto"/>
            <w:vAlign w:val="bottom"/>
          </w:tcPr>
          <w:p w14:paraId="74DD8919" w14:textId="77777777" w:rsidR="00584EC1" w:rsidRDefault="00584EC1">
            <w:pPr>
              <w:rPr>
                <w:rFonts w:ascii="宋体"/>
              </w:rPr>
            </w:pPr>
          </w:p>
        </w:tc>
        <w:tc>
          <w:tcPr>
            <w:tcW w:w="0" w:type="auto"/>
            <w:shd w:val="clear" w:color="auto" w:fill="auto"/>
            <w:vAlign w:val="bottom"/>
          </w:tcPr>
          <w:p w14:paraId="74DD891A" w14:textId="77777777" w:rsidR="00584EC1" w:rsidRDefault="00584EC1">
            <w:pPr>
              <w:rPr>
                <w:rFonts w:ascii="宋体"/>
              </w:rPr>
            </w:pPr>
          </w:p>
        </w:tc>
        <w:tc>
          <w:tcPr>
            <w:tcW w:w="0" w:type="auto"/>
            <w:shd w:val="clear" w:color="auto" w:fill="auto"/>
            <w:vAlign w:val="bottom"/>
          </w:tcPr>
          <w:p w14:paraId="74DD891B" w14:textId="77777777" w:rsidR="00584EC1" w:rsidRDefault="00584EC1">
            <w:pPr>
              <w:rPr>
                <w:rFonts w:ascii="宋体"/>
              </w:rPr>
            </w:pPr>
          </w:p>
        </w:tc>
        <w:tc>
          <w:tcPr>
            <w:tcW w:w="0" w:type="auto"/>
            <w:shd w:val="clear" w:color="auto" w:fill="auto"/>
            <w:vAlign w:val="bottom"/>
          </w:tcPr>
          <w:p w14:paraId="74DD891C" w14:textId="77777777" w:rsidR="00584EC1" w:rsidRDefault="00584EC1">
            <w:pPr>
              <w:rPr>
                <w:rFonts w:ascii="宋体"/>
              </w:rPr>
            </w:pPr>
          </w:p>
        </w:tc>
        <w:tc>
          <w:tcPr>
            <w:tcW w:w="0" w:type="auto"/>
            <w:shd w:val="clear" w:color="auto" w:fill="auto"/>
            <w:vAlign w:val="bottom"/>
          </w:tcPr>
          <w:p w14:paraId="74DD891D" w14:textId="77777777" w:rsidR="00584EC1" w:rsidRDefault="00584EC1">
            <w:pPr>
              <w:rPr>
                <w:rFonts w:ascii="宋体"/>
              </w:rPr>
            </w:pPr>
          </w:p>
        </w:tc>
        <w:tc>
          <w:tcPr>
            <w:tcW w:w="0" w:type="auto"/>
            <w:shd w:val="clear" w:color="auto" w:fill="auto"/>
            <w:vAlign w:val="bottom"/>
          </w:tcPr>
          <w:p w14:paraId="74DD891E" w14:textId="77777777" w:rsidR="00584EC1" w:rsidRDefault="00584EC1">
            <w:pPr>
              <w:rPr>
                <w:rFonts w:ascii="宋体"/>
              </w:rPr>
            </w:pPr>
          </w:p>
        </w:tc>
        <w:tc>
          <w:tcPr>
            <w:tcW w:w="0" w:type="auto"/>
            <w:shd w:val="clear" w:color="auto" w:fill="auto"/>
            <w:vAlign w:val="bottom"/>
          </w:tcPr>
          <w:p w14:paraId="74DD891F" w14:textId="77777777" w:rsidR="00584EC1" w:rsidRDefault="00584EC1">
            <w:pPr>
              <w:rPr>
                <w:rFonts w:ascii="宋体"/>
              </w:rPr>
            </w:pPr>
          </w:p>
        </w:tc>
        <w:tc>
          <w:tcPr>
            <w:tcW w:w="0" w:type="auto"/>
            <w:shd w:val="clear" w:color="auto" w:fill="auto"/>
            <w:vAlign w:val="bottom"/>
          </w:tcPr>
          <w:p w14:paraId="74DD8920" w14:textId="77777777" w:rsidR="00584EC1" w:rsidRDefault="00584EC1">
            <w:pPr>
              <w:rPr>
                <w:rFonts w:ascii="宋体"/>
              </w:rPr>
            </w:pPr>
          </w:p>
        </w:tc>
        <w:tc>
          <w:tcPr>
            <w:tcW w:w="0" w:type="auto"/>
            <w:shd w:val="clear" w:color="auto" w:fill="auto"/>
            <w:vAlign w:val="bottom"/>
          </w:tcPr>
          <w:p w14:paraId="74DD8921" w14:textId="77777777" w:rsidR="00584EC1" w:rsidRDefault="00584EC1">
            <w:pPr>
              <w:rPr>
                <w:rFonts w:ascii="宋体"/>
              </w:rPr>
            </w:pPr>
          </w:p>
        </w:tc>
        <w:tc>
          <w:tcPr>
            <w:tcW w:w="0" w:type="auto"/>
            <w:shd w:val="clear" w:color="auto" w:fill="auto"/>
            <w:vAlign w:val="bottom"/>
          </w:tcPr>
          <w:p w14:paraId="74DD8922" w14:textId="77777777" w:rsidR="00584EC1" w:rsidRDefault="00584EC1">
            <w:pPr>
              <w:rPr>
                <w:rFonts w:ascii="宋体"/>
              </w:rPr>
            </w:pPr>
          </w:p>
        </w:tc>
        <w:tc>
          <w:tcPr>
            <w:tcW w:w="0" w:type="auto"/>
            <w:shd w:val="clear" w:color="auto" w:fill="auto"/>
            <w:vAlign w:val="bottom"/>
          </w:tcPr>
          <w:p w14:paraId="74DD8923" w14:textId="77777777" w:rsidR="00584EC1" w:rsidRDefault="00584EC1">
            <w:pPr>
              <w:rPr>
                <w:rFonts w:ascii="宋体"/>
              </w:rPr>
            </w:pPr>
          </w:p>
        </w:tc>
        <w:tc>
          <w:tcPr>
            <w:tcW w:w="0" w:type="auto"/>
            <w:shd w:val="clear" w:color="auto" w:fill="auto"/>
            <w:vAlign w:val="bottom"/>
          </w:tcPr>
          <w:p w14:paraId="74DD8924" w14:textId="77777777" w:rsidR="00584EC1" w:rsidRDefault="00584EC1">
            <w:pPr>
              <w:rPr>
                <w:rFonts w:ascii="宋体"/>
              </w:rPr>
            </w:pPr>
          </w:p>
        </w:tc>
        <w:tc>
          <w:tcPr>
            <w:tcW w:w="0" w:type="auto"/>
            <w:shd w:val="clear" w:color="auto" w:fill="auto"/>
            <w:vAlign w:val="bottom"/>
          </w:tcPr>
          <w:p w14:paraId="74DD8925" w14:textId="77777777" w:rsidR="00584EC1" w:rsidRDefault="00584EC1">
            <w:pPr>
              <w:rPr>
                <w:rFonts w:ascii="宋体"/>
              </w:rPr>
            </w:pPr>
          </w:p>
        </w:tc>
        <w:tc>
          <w:tcPr>
            <w:tcW w:w="0" w:type="auto"/>
            <w:shd w:val="clear" w:color="auto" w:fill="auto"/>
            <w:vAlign w:val="bottom"/>
          </w:tcPr>
          <w:p w14:paraId="74DD8926" w14:textId="77777777" w:rsidR="00584EC1" w:rsidRDefault="00584EC1">
            <w:pPr>
              <w:rPr>
                <w:rFonts w:ascii="宋体"/>
              </w:rPr>
            </w:pPr>
          </w:p>
        </w:tc>
      </w:tr>
      <w:tr w:rsidR="00584EC1" w14:paraId="74DD8939" w14:textId="77777777">
        <w:trPr>
          <w:hidden/>
        </w:trPr>
        <w:tc>
          <w:tcPr>
            <w:tcW w:w="0" w:type="auto"/>
            <w:gridSpan w:val="3"/>
            <w:shd w:val="clear" w:color="auto" w:fill="auto"/>
            <w:vAlign w:val="bottom"/>
          </w:tcPr>
          <w:p w14:paraId="74DD8928" w14:textId="77777777" w:rsidR="00584EC1" w:rsidRDefault="00584EC1">
            <w:pPr>
              <w:rPr>
                <w:rFonts w:ascii="宋体"/>
                <w:vanish/>
              </w:rPr>
            </w:pPr>
          </w:p>
        </w:tc>
        <w:tc>
          <w:tcPr>
            <w:tcW w:w="0" w:type="auto"/>
            <w:gridSpan w:val="3"/>
            <w:shd w:val="clear" w:color="auto" w:fill="auto"/>
            <w:vAlign w:val="bottom"/>
          </w:tcPr>
          <w:p w14:paraId="74DD8929" w14:textId="77777777" w:rsidR="00584EC1" w:rsidRDefault="00584EC1">
            <w:pPr>
              <w:rPr>
                <w:rFonts w:ascii="宋体"/>
                <w:vanish/>
              </w:rPr>
            </w:pPr>
          </w:p>
        </w:tc>
        <w:tc>
          <w:tcPr>
            <w:tcW w:w="0" w:type="auto"/>
            <w:gridSpan w:val="3"/>
            <w:shd w:val="clear" w:color="auto" w:fill="auto"/>
            <w:vAlign w:val="bottom"/>
          </w:tcPr>
          <w:p w14:paraId="74DD892A" w14:textId="77777777" w:rsidR="00584EC1" w:rsidRDefault="00584EC1">
            <w:pPr>
              <w:rPr>
                <w:rFonts w:ascii="宋体"/>
                <w:vanish/>
              </w:rPr>
            </w:pPr>
          </w:p>
        </w:tc>
        <w:tc>
          <w:tcPr>
            <w:tcW w:w="0" w:type="auto"/>
            <w:gridSpan w:val="3"/>
            <w:shd w:val="clear" w:color="auto" w:fill="auto"/>
            <w:vAlign w:val="bottom"/>
          </w:tcPr>
          <w:p w14:paraId="74DD892B" w14:textId="77777777" w:rsidR="00584EC1" w:rsidRDefault="00584EC1">
            <w:pPr>
              <w:rPr>
                <w:rFonts w:ascii="宋体"/>
                <w:vanish/>
              </w:rPr>
            </w:pPr>
          </w:p>
        </w:tc>
        <w:tc>
          <w:tcPr>
            <w:tcW w:w="0" w:type="auto"/>
            <w:gridSpan w:val="3"/>
            <w:shd w:val="clear" w:color="auto" w:fill="auto"/>
            <w:vAlign w:val="bottom"/>
          </w:tcPr>
          <w:p w14:paraId="74DD892C" w14:textId="77777777" w:rsidR="00584EC1" w:rsidRDefault="00584EC1">
            <w:pPr>
              <w:rPr>
                <w:rFonts w:ascii="宋体"/>
                <w:vanish/>
              </w:rPr>
            </w:pPr>
          </w:p>
        </w:tc>
        <w:tc>
          <w:tcPr>
            <w:tcW w:w="0" w:type="auto"/>
            <w:shd w:val="clear" w:color="auto" w:fill="auto"/>
            <w:vAlign w:val="bottom"/>
          </w:tcPr>
          <w:p w14:paraId="74DD892D" w14:textId="77777777" w:rsidR="00584EC1" w:rsidRDefault="00584EC1">
            <w:pPr>
              <w:rPr>
                <w:rFonts w:ascii="宋体"/>
              </w:rPr>
            </w:pPr>
          </w:p>
        </w:tc>
        <w:tc>
          <w:tcPr>
            <w:tcW w:w="0" w:type="auto"/>
            <w:shd w:val="clear" w:color="auto" w:fill="auto"/>
            <w:vAlign w:val="bottom"/>
          </w:tcPr>
          <w:p w14:paraId="74DD892E" w14:textId="77777777" w:rsidR="00584EC1" w:rsidRDefault="00584EC1">
            <w:pPr>
              <w:rPr>
                <w:rFonts w:ascii="宋体"/>
              </w:rPr>
            </w:pPr>
          </w:p>
        </w:tc>
        <w:tc>
          <w:tcPr>
            <w:tcW w:w="0" w:type="auto"/>
            <w:shd w:val="clear" w:color="auto" w:fill="auto"/>
            <w:vAlign w:val="bottom"/>
          </w:tcPr>
          <w:p w14:paraId="74DD892F" w14:textId="77777777" w:rsidR="00584EC1" w:rsidRDefault="00584EC1">
            <w:pPr>
              <w:rPr>
                <w:rFonts w:ascii="宋体"/>
              </w:rPr>
            </w:pPr>
          </w:p>
        </w:tc>
        <w:tc>
          <w:tcPr>
            <w:tcW w:w="0" w:type="auto"/>
            <w:shd w:val="clear" w:color="auto" w:fill="auto"/>
            <w:vAlign w:val="bottom"/>
          </w:tcPr>
          <w:p w14:paraId="74DD8930" w14:textId="77777777" w:rsidR="00584EC1" w:rsidRDefault="00584EC1">
            <w:pPr>
              <w:rPr>
                <w:rFonts w:ascii="宋体"/>
              </w:rPr>
            </w:pPr>
          </w:p>
        </w:tc>
        <w:tc>
          <w:tcPr>
            <w:tcW w:w="0" w:type="auto"/>
            <w:shd w:val="clear" w:color="auto" w:fill="auto"/>
            <w:vAlign w:val="bottom"/>
          </w:tcPr>
          <w:p w14:paraId="74DD8931" w14:textId="77777777" w:rsidR="00584EC1" w:rsidRDefault="00584EC1">
            <w:pPr>
              <w:rPr>
                <w:rFonts w:ascii="宋体"/>
              </w:rPr>
            </w:pPr>
          </w:p>
        </w:tc>
        <w:tc>
          <w:tcPr>
            <w:tcW w:w="0" w:type="auto"/>
            <w:shd w:val="clear" w:color="auto" w:fill="auto"/>
            <w:vAlign w:val="bottom"/>
          </w:tcPr>
          <w:p w14:paraId="74DD8932" w14:textId="77777777" w:rsidR="00584EC1" w:rsidRDefault="00584EC1">
            <w:pPr>
              <w:rPr>
                <w:rFonts w:ascii="宋体"/>
              </w:rPr>
            </w:pPr>
          </w:p>
        </w:tc>
        <w:tc>
          <w:tcPr>
            <w:tcW w:w="0" w:type="auto"/>
            <w:shd w:val="clear" w:color="auto" w:fill="auto"/>
            <w:vAlign w:val="bottom"/>
          </w:tcPr>
          <w:p w14:paraId="74DD8933" w14:textId="77777777" w:rsidR="00584EC1" w:rsidRDefault="00584EC1">
            <w:pPr>
              <w:rPr>
                <w:rFonts w:ascii="宋体"/>
              </w:rPr>
            </w:pPr>
          </w:p>
        </w:tc>
        <w:tc>
          <w:tcPr>
            <w:tcW w:w="0" w:type="auto"/>
            <w:shd w:val="clear" w:color="auto" w:fill="auto"/>
            <w:vAlign w:val="bottom"/>
          </w:tcPr>
          <w:p w14:paraId="74DD8934" w14:textId="77777777" w:rsidR="00584EC1" w:rsidRDefault="00584EC1">
            <w:pPr>
              <w:rPr>
                <w:rFonts w:ascii="宋体"/>
              </w:rPr>
            </w:pPr>
          </w:p>
        </w:tc>
        <w:tc>
          <w:tcPr>
            <w:tcW w:w="0" w:type="auto"/>
            <w:shd w:val="clear" w:color="auto" w:fill="auto"/>
            <w:vAlign w:val="bottom"/>
          </w:tcPr>
          <w:p w14:paraId="74DD8935" w14:textId="77777777" w:rsidR="00584EC1" w:rsidRDefault="00584EC1">
            <w:pPr>
              <w:rPr>
                <w:rFonts w:ascii="宋体"/>
              </w:rPr>
            </w:pPr>
          </w:p>
        </w:tc>
        <w:tc>
          <w:tcPr>
            <w:tcW w:w="0" w:type="auto"/>
            <w:shd w:val="clear" w:color="auto" w:fill="auto"/>
            <w:vAlign w:val="bottom"/>
          </w:tcPr>
          <w:p w14:paraId="74DD8936" w14:textId="77777777" w:rsidR="00584EC1" w:rsidRDefault="00584EC1">
            <w:pPr>
              <w:rPr>
                <w:rFonts w:ascii="宋体"/>
              </w:rPr>
            </w:pPr>
          </w:p>
        </w:tc>
        <w:tc>
          <w:tcPr>
            <w:tcW w:w="0" w:type="auto"/>
            <w:shd w:val="clear" w:color="auto" w:fill="auto"/>
            <w:vAlign w:val="bottom"/>
          </w:tcPr>
          <w:p w14:paraId="74DD8937" w14:textId="77777777" w:rsidR="00584EC1" w:rsidRDefault="00584EC1">
            <w:pPr>
              <w:rPr>
                <w:rFonts w:ascii="宋体"/>
              </w:rPr>
            </w:pPr>
          </w:p>
        </w:tc>
        <w:tc>
          <w:tcPr>
            <w:tcW w:w="0" w:type="auto"/>
            <w:shd w:val="clear" w:color="auto" w:fill="auto"/>
            <w:vAlign w:val="bottom"/>
          </w:tcPr>
          <w:p w14:paraId="74DD8938" w14:textId="77777777" w:rsidR="00584EC1" w:rsidRDefault="00584EC1">
            <w:pPr>
              <w:rPr>
                <w:rFonts w:ascii="宋体"/>
              </w:rPr>
            </w:pPr>
          </w:p>
        </w:tc>
      </w:tr>
      <w:tr w:rsidR="00584EC1" w14:paraId="74DD8943" w14:textId="77777777">
        <w:tc>
          <w:tcPr>
            <w:tcW w:w="0" w:type="auto"/>
            <w:gridSpan w:val="3"/>
            <w:shd w:val="clear" w:color="auto" w:fill="auto"/>
            <w:tcMar>
              <w:top w:w="40" w:type="dxa"/>
              <w:left w:w="20" w:type="dxa"/>
              <w:bottom w:w="40" w:type="dxa"/>
              <w:right w:w="20" w:type="dxa"/>
            </w:tcMar>
            <w:vAlign w:val="bottom"/>
          </w:tcPr>
          <w:p w14:paraId="74DD893A" w14:textId="77777777" w:rsidR="00584EC1" w:rsidRDefault="00871F8D">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74DD893B" w14:textId="77777777" w:rsidR="00584EC1" w:rsidRDefault="00871F8D">
            <w:pPr>
              <w:jc w:val="center"/>
              <w:textAlignment w:val="bottom"/>
            </w:pPr>
            <w:r>
              <w:rPr>
                <w:rFonts w:ascii="Arial" w:eastAsia="宋体" w:hAnsi="Arial" w:cs="Arial"/>
                <w:b/>
                <w:bCs/>
                <w:color w:val="000000"/>
                <w:sz w:val="14"/>
                <w:szCs w:val="14"/>
              </w:rPr>
              <w:t>September 30, 2021</w:t>
            </w:r>
          </w:p>
        </w:tc>
        <w:tc>
          <w:tcPr>
            <w:tcW w:w="0" w:type="auto"/>
            <w:gridSpan w:val="3"/>
            <w:shd w:val="clear" w:color="auto" w:fill="auto"/>
            <w:tcMar>
              <w:top w:w="0" w:type="dxa"/>
              <w:left w:w="20" w:type="dxa"/>
              <w:bottom w:w="0" w:type="dxa"/>
              <w:right w:w="20" w:type="dxa"/>
            </w:tcMar>
            <w:vAlign w:val="bottom"/>
          </w:tcPr>
          <w:p w14:paraId="74DD893C"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893D" w14:textId="77777777" w:rsidR="00584EC1" w:rsidRDefault="00871F8D">
            <w:pPr>
              <w:jc w:val="center"/>
              <w:textAlignment w:val="bottom"/>
            </w:pPr>
            <w:r>
              <w:rPr>
                <w:rFonts w:ascii="Arial" w:eastAsia="宋体" w:hAnsi="Arial" w:cs="Arial"/>
                <w:b/>
                <w:bCs/>
                <w:color w:val="000000"/>
                <w:sz w:val="14"/>
                <w:szCs w:val="14"/>
              </w:rPr>
              <w:t>December 31, 2020</w:t>
            </w:r>
          </w:p>
        </w:tc>
        <w:tc>
          <w:tcPr>
            <w:tcW w:w="0" w:type="auto"/>
            <w:gridSpan w:val="3"/>
            <w:shd w:val="clear" w:color="auto" w:fill="auto"/>
            <w:vAlign w:val="bottom"/>
          </w:tcPr>
          <w:p w14:paraId="74DD893E" w14:textId="77777777" w:rsidR="00584EC1" w:rsidRDefault="00584EC1">
            <w:pPr>
              <w:rPr>
                <w:rFonts w:ascii="宋体"/>
                <w:vanish/>
              </w:rPr>
            </w:pPr>
          </w:p>
        </w:tc>
        <w:tc>
          <w:tcPr>
            <w:tcW w:w="0" w:type="auto"/>
            <w:gridSpan w:val="3"/>
            <w:shd w:val="clear" w:color="auto" w:fill="auto"/>
            <w:vAlign w:val="bottom"/>
          </w:tcPr>
          <w:p w14:paraId="74DD893F" w14:textId="77777777" w:rsidR="00584EC1" w:rsidRDefault="00584EC1">
            <w:pPr>
              <w:rPr>
                <w:rFonts w:ascii="宋体"/>
                <w:vanish/>
              </w:rPr>
            </w:pPr>
          </w:p>
        </w:tc>
        <w:tc>
          <w:tcPr>
            <w:tcW w:w="0" w:type="auto"/>
            <w:gridSpan w:val="3"/>
            <w:shd w:val="clear" w:color="auto" w:fill="auto"/>
            <w:vAlign w:val="bottom"/>
          </w:tcPr>
          <w:p w14:paraId="74DD8940" w14:textId="77777777" w:rsidR="00584EC1" w:rsidRDefault="00584EC1">
            <w:pPr>
              <w:rPr>
                <w:rFonts w:ascii="宋体"/>
                <w:vanish/>
              </w:rPr>
            </w:pPr>
          </w:p>
        </w:tc>
        <w:tc>
          <w:tcPr>
            <w:tcW w:w="0" w:type="auto"/>
            <w:gridSpan w:val="3"/>
            <w:shd w:val="clear" w:color="auto" w:fill="auto"/>
            <w:vAlign w:val="bottom"/>
          </w:tcPr>
          <w:p w14:paraId="74DD8941" w14:textId="77777777" w:rsidR="00584EC1" w:rsidRDefault="00584EC1">
            <w:pPr>
              <w:rPr>
                <w:rFonts w:ascii="宋体"/>
                <w:vanish/>
              </w:rPr>
            </w:pPr>
          </w:p>
        </w:tc>
        <w:tc>
          <w:tcPr>
            <w:tcW w:w="0" w:type="auto"/>
            <w:gridSpan w:val="3"/>
            <w:shd w:val="clear" w:color="auto" w:fill="auto"/>
            <w:vAlign w:val="bottom"/>
          </w:tcPr>
          <w:p w14:paraId="74DD8942" w14:textId="77777777" w:rsidR="00584EC1" w:rsidRDefault="00584EC1">
            <w:pPr>
              <w:rPr>
                <w:rFonts w:ascii="宋体"/>
                <w:vanish/>
              </w:rPr>
            </w:pPr>
          </w:p>
        </w:tc>
      </w:tr>
      <w:tr w:rsidR="00584EC1" w14:paraId="74DD894D" w14:textId="77777777">
        <w:tc>
          <w:tcPr>
            <w:tcW w:w="0" w:type="auto"/>
            <w:gridSpan w:val="3"/>
            <w:shd w:val="clear" w:color="auto" w:fill="auto"/>
            <w:tcMar>
              <w:top w:w="40" w:type="dxa"/>
              <w:left w:w="20" w:type="dxa"/>
              <w:bottom w:w="40" w:type="dxa"/>
              <w:right w:w="20" w:type="dxa"/>
            </w:tcMar>
            <w:vAlign w:val="bottom"/>
          </w:tcPr>
          <w:p w14:paraId="74DD8944" w14:textId="77777777" w:rsidR="00584EC1" w:rsidRDefault="00871F8D">
            <w:pPr>
              <w:textAlignment w:val="bottom"/>
            </w:pPr>
            <w:r>
              <w:rPr>
                <w:rFonts w:ascii="Arial" w:eastAsia="宋体" w:hAnsi="Arial" w:cs="Arial"/>
                <w:b/>
                <w:bCs/>
                <w:color w:val="000000"/>
                <w:sz w:val="14"/>
                <w:szCs w:val="14"/>
              </w:rPr>
              <w:t>Available-for-sale: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894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8946"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8947" w14:textId="77777777" w:rsidR="00584EC1" w:rsidRDefault="00584EC1">
            <w:pPr>
              <w:rPr>
                <w:rFonts w:ascii="宋体"/>
              </w:rPr>
            </w:pPr>
          </w:p>
        </w:tc>
        <w:tc>
          <w:tcPr>
            <w:tcW w:w="0" w:type="auto"/>
            <w:gridSpan w:val="3"/>
            <w:shd w:val="clear" w:color="auto" w:fill="auto"/>
            <w:vAlign w:val="bottom"/>
          </w:tcPr>
          <w:p w14:paraId="74DD8948" w14:textId="77777777" w:rsidR="00584EC1" w:rsidRDefault="00584EC1">
            <w:pPr>
              <w:rPr>
                <w:rFonts w:ascii="宋体"/>
                <w:vanish/>
              </w:rPr>
            </w:pPr>
          </w:p>
        </w:tc>
        <w:tc>
          <w:tcPr>
            <w:tcW w:w="0" w:type="auto"/>
            <w:gridSpan w:val="3"/>
            <w:shd w:val="clear" w:color="auto" w:fill="auto"/>
            <w:vAlign w:val="bottom"/>
          </w:tcPr>
          <w:p w14:paraId="74DD8949" w14:textId="77777777" w:rsidR="00584EC1" w:rsidRDefault="00584EC1">
            <w:pPr>
              <w:rPr>
                <w:rFonts w:ascii="宋体"/>
                <w:vanish/>
              </w:rPr>
            </w:pPr>
          </w:p>
        </w:tc>
        <w:tc>
          <w:tcPr>
            <w:tcW w:w="0" w:type="auto"/>
            <w:gridSpan w:val="3"/>
            <w:shd w:val="clear" w:color="auto" w:fill="auto"/>
            <w:vAlign w:val="bottom"/>
          </w:tcPr>
          <w:p w14:paraId="74DD894A" w14:textId="77777777" w:rsidR="00584EC1" w:rsidRDefault="00584EC1">
            <w:pPr>
              <w:rPr>
                <w:rFonts w:ascii="宋体"/>
                <w:vanish/>
              </w:rPr>
            </w:pPr>
          </w:p>
        </w:tc>
        <w:tc>
          <w:tcPr>
            <w:tcW w:w="0" w:type="auto"/>
            <w:gridSpan w:val="3"/>
            <w:shd w:val="clear" w:color="auto" w:fill="auto"/>
            <w:vAlign w:val="bottom"/>
          </w:tcPr>
          <w:p w14:paraId="74DD894B" w14:textId="77777777" w:rsidR="00584EC1" w:rsidRDefault="00584EC1">
            <w:pPr>
              <w:rPr>
                <w:rFonts w:ascii="宋体"/>
                <w:vanish/>
              </w:rPr>
            </w:pPr>
          </w:p>
        </w:tc>
        <w:tc>
          <w:tcPr>
            <w:tcW w:w="0" w:type="auto"/>
            <w:gridSpan w:val="3"/>
            <w:shd w:val="clear" w:color="auto" w:fill="auto"/>
            <w:vAlign w:val="bottom"/>
          </w:tcPr>
          <w:p w14:paraId="74DD894C" w14:textId="77777777" w:rsidR="00584EC1" w:rsidRDefault="00584EC1">
            <w:pPr>
              <w:rPr>
                <w:rFonts w:ascii="宋体"/>
                <w:vanish/>
              </w:rPr>
            </w:pPr>
          </w:p>
        </w:tc>
      </w:tr>
      <w:tr w:rsidR="00584EC1" w14:paraId="74DD8957" w14:textId="77777777">
        <w:tc>
          <w:tcPr>
            <w:tcW w:w="0" w:type="auto"/>
            <w:gridSpan w:val="3"/>
            <w:shd w:val="clear" w:color="auto" w:fill="FFFFFF"/>
            <w:tcMar>
              <w:top w:w="40" w:type="dxa"/>
              <w:left w:w="20" w:type="dxa"/>
              <w:bottom w:w="40" w:type="dxa"/>
              <w:right w:w="20" w:type="dxa"/>
            </w:tcMar>
            <w:vAlign w:val="bottom"/>
          </w:tcPr>
          <w:p w14:paraId="74DD894E" w14:textId="77777777" w:rsidR="00584EC1" w:rsidRDefault="00871F8D">
            <w:pPr>
              <w:jc w:val="both"/>
              <w:textAlignment w:val="bottom"/>
            </w:pPr>
            <w:r>
              <w:rPr>
                <w:rFonts w:ascii="Arial" w:eastAsia="宋体" w:hAnsi="Arial" w:cs="Arial"/>
                <w:color w:val="000000"/>
                <w:sz w:val="14"/>
                <w:szCs w:val="14"/>
              </w:rPr>
              <w:t xml:space="preserve">U.S. Treasury and </w:t>
            </w:r>
            <w:r>
              <w:rPr>
                <w:rFonts w:ascii="Arial" w:eastAsia="宋体" w:hAnsi="Arial" w:cs="Arial"/>
                <w:color w:val="000000"/>
                <w:sz w:val="14"/>
                <w:szCs w:val="14"/>
              </w:rPr>
              <w:t>federal agencies:</w:t>
            </w:r>
          </w:p>
        </w:tc>
        <w:tc>
          <w:tcPr>
            <w:tcW w:w="0" w:type="auto"/>
            <w:gridSpan w:val="3"/>
            <w:shd w:val="clear" w:color="auto" w:fill="FFFFFF"/>
            <w:tcMar>
              <w:top w:w="0" w:type="dxa"/>
              <w:left w:w="20" w:type="dxa"/>
              <w:bottom w:w="0" w:type="dxa"/>
              <w:right w:w="20" w:type="dxa"/>
            </w:tcMar>
            <w:vAlign w:val="bottom"/>
          </w:tcPr>
          <w:p w14:paraId="74DD894F"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8950"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8951" w14:textId="77777777" w:rsidR="00584EC1" w:rsidRDefault="00584EC1">
            <w:pPr>
              <w:rPr>
                <w:rFonts w:ascii="宋体"/>
              </w:rPr>
            </w:pPr>
          </w:p>
        </w:tc>
        <w:tc>
          <w:tcPr>
            <w:tcW w:w="0" w:type="auto"/>
            <w:gridSpan w:val="3"/>
            <w:shd w:val="clear" w:color="auto" w:fill="auto"/>
            <w:vAlign w:val="bottom"/>
          </w:tcPr>
          <w:p w14:paraId="74DD8952" w14:textId="77777777" w:rsidR="00584EC1" w:rsidRDefault="00584EC1">
            <w:pPr>
              <w:rPr>
                <w:rFonts w:ascii="宋体"/>
                <w:vanish/>
              </w:rPr>
            </w:pPr>
          </w:p>
        </w:tc>
        <w:tc>
          <w:tcPr>
            <w:tcW w:w="0" w:type="auto"/>
            <w:gridSpan w:val="3"/>
            <w:shd w:val="clear" w:color="auto" w:fill="auto"/>
            <w:vAlign w:val="bottom"/>
          </w:tcPr>
          <w:p w14:paraId="74DD8953" w14:textId="77777777" w:rsidR="00584EC1" w:rsidRDefault="00584EC1">
            <w:pPr>
              <w:rPr>
                <w:rFonts w:ascii="宋体"/>
                <w:vanish/>
              </w:rPr>
            </w:pPr>
          </w:p>
        </w:tc>
        <w:tc>
          <w:tcPr>
            <w:tcW w:w="0" w:type="auto"/>
            <w:gridSpan w:val="3"/>
            <w:shd w:val="clear" w:color="auto" w:fill="auto"/>
            <w:vAlign w:val="bottom"/>
          </w:tcPr>
          <w:p w14:paraId="74DD8954" w14:textId="77777777" w:rsidR="00584EC1" w:rsidRDefault="00584EC1">
            <w:pPr>
              <w:rPr>
                <w:rFonts w:ascii="宋体"/>
                <w:vanish/>
              </w:rPr>
            </w:pPr>
          </w:p>
        </w:tc>
        <w:tc>
          <w:tcPr>
            <w:tcW w:w="0" w:type="auto"/>
            <w:gridSpan w:val="3"/>
            <w:shd w:val="clear" w:color="auto" w:fill="auto"/>
            <w:vAlign w:val="bottom"/>
          </w:tcPr>
          <w:p w14:paraId="74DD8955" w14:textId="77777777" w:rsidR="00584EC1" w:rsidRDefault="00584EC1">
            <w:pPr>
              <w:rPr>
                <w:rFonts w:ascii="宋体"/>
                <w:vanish/>
              </w:rPr>
            </w:pPr>
          </w:p>
        </w:tc>
        <w:tc>
          <w:tcPr>
            <w:tcW w:w="0" w:type="auto"/>
            <w:gridSpan w:val="3"/>
            <w:shd w:val="clear" w:color="auto" w:fill="auto"/>
            <w:vAlign w:val="bottom"/>
          </w:tcPr>
          <w:p w14:paraId="74DD8956" w14:textId="77777777" w:rsidR="00584EC1" w:rsidRDefault="00584EC1">
            <w:pPr>
              <w:rPr>
                <w:rFonts w:ascii="宋体"/>
                <w:vanish/>
              </w:rPr>
            </w:pPr>
          </w:p>
        </w:tc>
      </w:tr>
      <w:tr w:rsidR="00584EC1" w14:paraId="74DD8965" w14:textId="77777777">
        <w:tc>
          <w:tcPr>
            <w:tcW w:w="0" w:type="auto"/>
            <w:gridSpan w:val="3"/>
            <w:shd w:val="clear" w:color="auto" w:fill="CCEEFF"/>
            <w:tcMar>
              <w:top w:w="40" w:type="dxa"/>
              <w:left w:w="140" w:type="dxa"/>
              <w:bottom w:w="40" w:type="dxa"/>
              <w:right w:w="20" w:type="dxa"/>
            </w:tcMar>
            <w:vAlign w:val="bottom"/>
          </w:tcPr>
          <w:p w14:paraId="74DD8958" w14:textId="77777777" w:rsidR="00584EC1" w:rsidRDefault="00871F8D">
            <w:pPr>
              <w:textAlignment w:val="bottom"/>
            </w:pPr>
            <w:r>
              <w:rPr>
                <w:rFonts w:ascii="Arial" w:eastAsia="宋体" w:hAnsi="Arial" w:cs="Arial"/>
                <w:color w:val="000000"/>
                <w:sz w:val="14"/>
                <w:szCs w:val="14"/>
              </w:rPr>
              <w:t>Direct obligations</w:t>
            </w:r>
          </w:p>
        </w:tc>
        <w:tc>
          <w:tcPr>
            <w:tcW w:w="0" w:type="auto"/>
            <w:shd w:val="clear" w:color="auto" w:fill="CCEEFF"/>
            <w:tcMar>
              <w:top w:w="40" w:type="dxa"/>
              <w:left w:w="20" w:type="dxa"/>
              <w:bottom w:w="40" w:type="dxa"/>
              <w:right w:w="0" w:type="dxa"/>
            </w:tcMar>
            <w:vAlign w:val="bottom"/>
          </w:tcPr>
          <w:p w14:paraId="74DD8959" w14:textId="77777777" w:rsidR="00584EC1" w:rsidRDefault="00871F8D">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4DD895A" w14:textId="77777777" w:rsidR="00584EC1" w:rsidRDefault="00871F8D">
            <w:pPr>
              <w:jc w:val="right"/>
              <w:textAlignment w:val="bottom"/>
            </w:pPr>
            <w:r>
              <w:rPr>
                <w:rFonts w:ascii="Arial" w:eastAsia="宋体" w:hAnsi="Arial" w:cs="Arial"/>
                <w:b/>
                <w:bCs/>
                <w:color w:val="000000"/>
                <w:sz w:val="14"/>
                <w:szCs w:val="14"/>
              </w:rPr>
              <w:t>14,339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895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95C"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895D"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895E" w14:textId="77777777" w:rsidR="00584EC1" w:rsidRDefault="00871F8D">
            <w:pPr>
              <w:jc w:val="right"/>
              <w:textAlignment w:val="bottom"/>
            </w:pPr>
            <w:r>
              <w:rPr>
                <w:rFonts w:ascii="Arial" w:eastAsia="宋体" w:hAnsi="Arial" w:cs="Arial"/>
                <w:color w:val="000000"/>
                <w:sz w:val="14"/>
                <w:szCs w:val="14"/>
              </w:rPr>
              <w:t>6,575 </w:t>
            </w:r>
          </w:p>
        </w:tc>
        <w:tc>
          <w:tcPr>
            <w:tcW w:w="0" w:type="auto"/>
            <w:shd w:val="clear" w:color="auto" w:fill="CCEEFF"/>
            <w:tcMar>
              <w:top w:w="40" w:type="dxa"/>
              <w:left w:w="0" w:type="dxa"/>
              <w:bottom w:w="40" w:type="dxa"/>
              <w:right w:w="20" w:type="dxa"/>
            </w:tcMar>
            <w:vAlign w:val="bottom"/>
          </w:tcPr>
          <w:p w14:paraId="74DD895F" w14:textId="77777777" w:rsidR="00584EC1" w:rsidRDefault="00584EC1">
            <w:pPr>
              <w:jc w:val="right"/>
              <w:rPr>
                <w:rFonts w:ascii="宋体"/>
              </w:rPr>
            </w:pPr>
          </w:p>
        </w:tc>
        <w:tc>
          <w:tcPr>
            <w:tcW w:w="0" w:type="auto"/>
            <w:gridSpan w:val="3"/>
            <w:shd w:val="clear" w:color="auto" w:fill="auto"/>
            <w:vAlign w:val="bottom"/>
          </w:tcPr>
          <w:p w14:paraId="74DD8960" w14:textId="77777777" w:rsidR="00584EC1" w:rsidRDefault="00584EC1">
            <w:pPr>
              <w:rPr>
                <w:rFonts w:ascii="宋体"/>
                <w:vanish/>
              </w:rPr>
            </w:pPr>
          </w:p>
        </w:tc>
        <w:tc>
          <w:tcPr>
            <w:tcW w:w="0" w:type="auto"/>
            <w:gridSpan w:val="3"/>
            <w:shd w:val="clear" w:color="auto" w:fill="auto"/>
            <w:vAlign w:val="bottom"/>
          </w:tcPr>
          <w:p w14:paraId="74DD8961" w14:textId="77777777" w:rsidR="00584EC1" w:rsidRDefault="00584EC1">
            <w:pPr>
              <w:rPr>
                <w:rFonts w:ascii="宋体"/>
                <w:vanish/>
              </w:rPr>
            </w:pPr>
          </w:p>
        </w:tc>
        <w:tc>
          <w:tcPr>
            <w:tcW w:w="0" w:type="auto"/>
            <w:gridSpan w:val="3"/>
            <w:shd w:val="clear" w:color="auto" w:fill="auto"/>
            <w:vAlign w:val="bottom"/>
          </w:tcPr>
          <w:p w14:paraId="74DD8962" w14:textId="77777777" w:rsidR="00584EC1" w:rsidRDefault="00584EC1">
            <w:pPr>
              <w:rPr>
                <w:rFonts w:ascii="宋体"/>
                <w:vanish/>
              </w:rPr>
            </w:pPr>
          </w:p>
        </w:tc>
        <w:tc>
          <w:tcPr>
            <w:tcW w:w="0" w:type="auto"/>
            <w:gridSpan w:val="3"/>
            <w:shd w:val="clear" w:color="auto" w:fill="auto"/>
            <w:vAlign w:val="bottom"/>
          </w:tcPr>
          <w:p w14:paraId="74DD8963" w14:textId="77777777" w:rsidR="00584EC1" w:rsidRDefault="00584EC1">
            <w:pPr>
              <w:rPr>
                <w:rFonts w:ascii="宋体"/>
                <w:vanish/>
              </w:rPr>
            </w:pPr>
          </w:p>
        </w:tc>
        <w:tc>
          <w:tcPr>
            <w:tcW w:w="0" w:type="auto"/>
            <w:gridSpan w:val="3"/>
            <w:shd w:val="clear" w:color="auto" w:fill="auto"/>
            <w:vAlign w:val="bottom"/>
          </w:tcPr>
          <w:p w14:paraId="74DD8964" w14:textId="77777777" w:rsidR="00584EC1" w:rsidRDefault="00584EC1">
            <w:pPr>
              <w:rPr>
                <w:rFonts w:ascii="宋体"/>
                <w:vanish/>
              </w:rPr>
            </w:pPr>
          </w:p>
        </w:tc>
      </w:tr>
      <w:tr w:rsidR="00584EC1" w14:paraId="74DD8971" w14:textId="77777777">
        <w:tc>
          <w:tcPr>
            <w:tcW w:w="0" w:type="auto"/>
            <w:gridSpan w:val="3"/>
            <w:shd w:val="clear" w:color="auto" w:fill="FFFFFF"/>
            <w:tcMar>
              <w:top w:w="40" w:type="dxa"/>
              <w:left w:w="140" w:type="dxa"/>
              <w:bottom w:w="40" w:type="dxa"/>
              <w:right w:w="20" w:type="dxa"/>
            </w:tcMar>
            <w:vAlign w:val="bottom"/>
          </w:tcPr>
          <w:p w14:paraId="74DD8966" w14:textId="77777777" w:rsidR="00584EC1" w:rsidRDefault="00871F8D">
            <w:pPr>
              <w:textAlignment w:val="bottom"/>
            </w:pPr>
            <w:r>
              <w:rPr>
                <w:rFonts w:ascii="Arial" w:eastAsia="宋体" w:hAnsi="Arial" w:cs="Arial"/>
                <w:color w:val="000000"/>
                <w:sz w:val="14"/>
                <w:szCs w:val="14"/>
              </w:rPr>
              <w:t>Mortgage-backed securities</w:t>
            </w:r>
          </w:p>
        </w:tc>
        <w:tc>
          <w:tcPr>
            <w:tcW w:w="0" w:type="auto"/>
            <w:gridSpan w:val="2"/>
            <w:shd w:val="clear" w:color="auto" w:fill="FFFFFF"/>
            <w:tcMar>
              <w:top w:w="40" w:type="dxa"/>
              <w:left w:w="20" w:type="dxa"/>
              <w:bottom w:w="40" w:type="dxa"/>
              <w:right w:w="0" w:type="dxa"/>
            </w:tcMar>
            <w:vAlign w:val="bottom"/>
          </w:tcPr>
          <w:p w14:paraId="74DD8967" w14:textId="77777777" w:rsidR="00584EC1" w:rsidRDefault="00871F8D">
            <w:pPr>
              <w:jc w:val="right"/>
              <w:textAlignment w:val="bottom"/>
            </w:pPr>
            <w:r>
              <w:rPr>
                <w:rFonts w:ascii="Arial" w:eastAsia="宋体" w:hAnsi="Arial" w:cs="Arial"/>
                <w:b/>
                <w:bCs/>
                <w:color w:val="000000"/>
                <w:sz w:val="14"/>
                <w:szCs w:val="14"/>
              </w:rPr>
              <w:t>16,223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896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96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96A" w14:textId="77777777" w:rsidR="00584EC1" w:rsidRDefault="00871F8D">
            <w:pPr>
              <w:jc w:val="right"/>
              <w:textAlignment w:val="bottom"/>
            </w:pPr>
            <w:r>
              <w:rPr>
                <w:rFonts w:ascii="Arial" w:eastAsia="宋体" w:hAnsi="Arial" w:cs="Arial"/>
                <w:color w:val="000000"/>
                <w:sz w:val="14"/>
                <w:szCs w:val="14"/>
              </w:rPr>
              <w:t>14,305 </w:t>
            </w:r>
          </w:p>
        </w:tc>
        <w:tc>
          <w:tcPr>
            <w:tcW w:w="0" w:type="auto"/>
            <w:shd w:val="clear" w:color="auto" w:fill="FFFFFF"/>
            <w:tcMar>
              <w:top w:w="40" w:type="dxa"/>
              <w:left w:w="0" w:type="dxa"/>
              <w:bottom w:w="40" w:type="dxa"/>
              <w:right w:w="20" w:type="dxa"/>
            </w:tcMar>
            <w:vAlign w:val="bottom"/>
          </w:tcPr>
          <w:p w14:paraId="74DD896B" w14:textId="77777777" w:rsidR="00584EC1" w:rsidRDefault="00584EC1">
            <w:pPr>
              <w:jc w:val="right"/>
              <w:rPr>
                <w:rFonts w:ascii="宋体"/>
              </w:rPr>
            </w:pPr>
          </w:p>
        </w:tc>
        <w:tc>
          <w:tcPr>
            <w:tcW w:w="0" w:type="auto"/>
            <w:gridSpan w:val="3"/>
            <w:shd w:val="clear" w:color="auto" w:fill="auto"/>
            <w:vAlign w:val="bottom"/>
          </w:tcPr>
          <w:p w14:paraId="74DD896C" w14:textId="77777777" w:rsidR="00584EC1" w:rsidRDefault="00584EC1">
            <w:pPr>
              <w:rPr>
                <w:rFonts w:ascii="宋体"/>
                <w:vanish/>
              </w:rPr>
            </w:pPr>
          </w:p>
        </w:tc>
        <w:tc>
          <w:tcPr>
            <w:tcW w:w="0" w:type="auto"/>
            <w:gridSpan w:val="3"/>
            <w:shd w:val="clear" w:color="auto" w:fill="auto"/>
            <w:vAlign w:val="bottom"/>
          </w:tcPr>
          <w:p w14:paraId="74DD896D" w14:textId="77777777" w:rsidR="00584EC1" w:rsidRDefault="00584EC1">
            <w:pPr>
              <w:rPr>
                <w:rFonts w:ascii="宋体"/>
                <w:vanish/>
              </w:rPr>
            </w:pPr>
          </w:p>
        </w:tc>
        <w:tc>
          <w:tcPr>
            <w:tcW w:w="0" w:type="auto"/>
            <w:gridSpan w:val="3"/>
            <w:shd w:val="clear" w:color="auto" w:fill="auto"/>
            <w:vAlign w:val="bottom"/>
          </w:tcPr>
          <w:p w14:paraId="74DD896E" w14:textId="77777777" w:rsidR="00584EC1" w:rsidRDefault="00584EC1">
            <w:pPr>
              <w:rPr>
                <w:rFonts w:ascii="宋体"/>
                <w:vanish/>
              </w:rPr>
            </w:pPr>
          </w:p>
        </w:tc>
        <w:tc>
          <w:tcPr>
            <w:tcW w:w="0" w:type="auto"/>
            <w:gridSpan w:val="3"/>
            <w:shd w:val="clear" w:color="auto" w:fill="auto"/>
            <w:vAlign w:val="bottom"/>
          </w:tcPr>
          <w:p w14:paraId="74DD896F" w14:textId="77777777" w:rsidR="00584EC1" w:rsidRDefault="00584EC1">
            <w:pPr>
              <w:rPr>
                <w:rFonts w:ascii="宋体"/>
                <w:vanish/>
              </w:rPr>
            </w:pPr>
          </w:p>
        </w:tc>
        <w:tc>
          <w:tcPr>
            <w:tcW w:w="0" w:type="auto"/>
            <w:gridSpan w:val="3"/>
            <w:shd w:val="clear" w:color="auto" w:fill="auto"/>
            <w:vAlign w:val="bottom"/>
          </w:tcPr>
          <w:p w14:paraId="74DD8970" w14:textId="77777777" w:rsidR="00584EC1" w:rsidRDefault="00584EC1">
            <w:pPr>
              <w:rPr>
                <w:rFonts w:ascii="宋体"/>
                <w:vanish/>
              </w:rPr>
            </w:pPr>
          </w:p>
        </w:tc>
      </w:tr>
      <w:tr w:rsidR="00584EC1" w14:paraId="74DD897D" w14:textId="77777777">
        <w:tc>
          <w:tcPr>
            <w:tcW w:w="0" w:type="auto"/>
            <w:gridSpan w:val="3"/>
            <w:shd w:val="clear" w:color="auto" w:fill="CCEEFF"/>
            <w:tcMar>
              <w:top w:w="40" w:type="dxa"/>
              <w:left w:w="20" w:type="dxa"/>
              <w:bottom w:w="40" w:type="dxa"/>
              <w:right w:w="20" w:type="dxa"/>
            </w:tcMar>
            <w:vAlign w:val="bottom"/>
          </w:tcPr>
          <w:p w14:paraId="74DD8972" w14:textId="77777777" w:rsidR="00584EC1" w:rsidRDefault="00871F8D">
            <w:pPr>
              <w:jc w:val="both"/>
              <w:textAlignment w:val="bottom"/>
            </w:pPr>
            <w:r>
              <w:rPr>
                <w:rFonts w:ascii="Arial" w:eastAsia="宋体" w:hAnsi="Arial" w:cs="Arial"/>
                <w:color w:val="000000"/>
                <w:sz w:val="14"/>
                <w:szCs w:val="14"/>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8973" w14:textId="77777777" w:rsidR="00584EC1" w:rsidRDefault="00871F8D">
            <w:pPr>
              <w:jc w:val="right"/>
              <w:textAlignment w:val="bottom"/>
            </w:pPr>
            <w:r>
              <w:rPr>
                <w:rFonts w:ascii="Arial" w:eastAsia="宋体" w:hAnsi="Arial" w:cs="Arial"/>
                <w:b/>
                <w:bCs/>
                <w:color w:val="000000"/>
                <w:sz w:val="14"/>
                <w:szCs w:val="14"/>
              </w:rPr>
              <w:t>30,562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97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975"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8976" w14:textId="77777777" w:rsidR="00584EC1" w:rsidRDefault="00871F8D">
            <w:pPr>
              <w:jc w:val="right"/>
              <w:textAlignment w:val="bottom"/>
            </w:pPr>
            <w:r>
              <w:rPr>
                <w:rFonts w:ascii="Arial" w:eastAsia="宋体" w:hAnsi="Arial" w:cs="Arial"/>
                <w:color w:val="000000"/>
                <w:sz w:val="14"/>
                <w:szCs w:val="14"/>
              </w:rPr>
              <w:t>20,880 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977" w14:textId="77777777" w:rsidR="00584EC1" w:rsidRDefault="00584EC1">
            <w:pPr>
              <w:jc w:val="right"/>
              <w:rPr>
                <w:rFonts w:ascii="宋体"/>
              </w:rPr>
            </w:pPr>
          </w:p>
        </w:tc>
        <w:tc>
          <w:tcPr>
            <w:tcW w:w="0" w:type="auto"/>
            <w:gridSpan w:val="3"/>
            <w:shd w:val="clear" w:color="auto" w:fill="auto"/>
            <w:vAlign w:val="bottom"/>
          </w:tcPr>
          <w:p w14:paraId="74DD8978" w14:textId="77777777" w:rsidR="00584EC1" w:rsidRDefault="00584EC1">
            <w:pPr>
              <w:rPr>
                <w:rFonts w:ascii="宋体"/>
                <w:vanish/>
              </w:rPr>
            </w:pPr>
          </w:p>
        </w:tc>
        <w:tc>
          <w:tcPr>
            <w:tcW w:w="0" w:type="auto"/>
            <w:gridSpan w:val="3"/>
            <w:shd w:val="clear" w:color="auto" w:fill="auto"/>
            <w:vAlign w:val="bottom"/>
          </w:tcPr>
          <w:p w14:paraId="74DD8979" w14:textId="77777777" w:rsidR="00584EC1" w:rsidRDefault="00584EC1">
            <w:pPr>
              <w:rPr>
                <w:rFonts w:ascii="宋体"/>
                <w:vanish/>
              </w:rPr>
            </w:pPr>
          </w:p>
        </w:tc>
        <w:tc>
          <w:tcPr>
            <w:tcW w:w="0" w:type="auto"/>
            <w:gridSpan w:val="3"/>
            <w:shd w:val="clear" w:color="auto" w:fill="auto"/>
            <w:vAlign w:val="bottom"/>
          </w:tcPr>
          <w:p w14:paraId="74DD897A" w14:textId="77777777" w:rsidR="00584EC1" w:rsidRDefault="00584EC1">
            <w:pPr>
              <w:rPr>
                <w:rFonts w:ascii="宋体"/>
                <w:vanish/>
              </w:rPr>
            </w:pPr>
          </w:p>
        </w:tc>
        <w:tc>
          <w:tcPr>
            <w:tcW w:w="0" w:type="auto"/>
            <w:gridSpan w:val="3"/>
            <w:shd w:val="clear" w:color="auto" w:fill="auto"/>
            <w:vAlign w:val="bottom"/>
          </w:tcPr>
          <w:p w14:paraId="74DD897B" w14:textId="77777777" w:rsidR="00584EC1" w:rsidRDefault="00584EC1">
            <w:pPr>
              <w:rPr>
                <w:rFonts w:ascii="宋体"/>
                <w:vanish/>
              </w:rPr>
            </w:pPr>
          </w:p>
        </w:tc>
        <w:tc>
          <w:tcPr>
            <w:tcW w:w="0" w:type="auto"/>
            <w:gridSpan w:val="3"/>
            <w:shd w:val="clear" w:color="auto" w:fill="auto"/>
            <w:vAlign w:val="bottom"/>
          </w:tcPr>
          <w:p w14:paraId="74DD897C" w14:textId="77777777" w:rsidR="00584EC1" w:rsidRDefault="00584EC1">
            <w:pPr>
              <w:rPr>
                <w:rFonts w:ascii="宋体"/>
                <w:vanish/>
              </w:rPr>
            </w:pPr>
          </w:p>
        </w:tc>
      </w:tr>
      <w:tr w:rsidR="00584EC1" w14:paraId="74DD8987" w14:textId="77777777">
        <w:tc>
          <w:tcPr>
            <w:tcW w:w="0" w:type="auto"/>
            <w:gridSpan w:val="3"/>
            <w:shd w:val="clear" w:color="auto" w:fill="FFFFFF"/>
            <w:tcMar>
              <w:top w:w="40" w:type="dxa"/>
              <w:left w:w="20" w:type="dxa"/>
              <w:bottom w:w="40" w:type="dxa"/>
              <w:right w:w="20" w:type="dxa"/>
            </w:tcMar>
            <w:vAlign w:val="bottom"/>
          </w:tcPr>
          <w:p w14:paraId="74DD897E" w14:textId="77777777" w:rsidR="00584EC1" w:rsidRDefault="00871F8D">
            <w:pPr>
              <w:jc w:val="both"/>
              <w:textAlignment w:val="bottom"/>
            </w:pPr>
            <w:r>
              <w:rPr>
                <w:rFonts w:ascii="Arial" w:eastAsia="宋体" w:hAnsi="Arial" w:cs="Arial"/>
                <w:color w:val="000000"/>
                <w:sz w:val="14"/>
                <w:szCs w:val="14"/>
              </w:rPr>
              <w:t>Non-U.S. debt securities:</w:t>
            </w:r>
          </w:p>
        </w:tc>
        <w:tc>
          <w:tcPr>
            <w:tcW w:w="0" w:type="auto"/>
            <w:gridSpan w:val="3"/>
            <w:shd w:val="clear" w:color="auto" w:fill="FFFFFF"/>
            <w:tcMar>
              <w:top w:w="0" w:type="dxa"/>
              <w:left w:w="20" w:type="dxa"/>
              <w:bottom w:w="0" w:type="dxa"/>
              <w:right w:w="20" w:type="dxa"/>
            </w:tcMar>
            <w:vAlign w:val="bottom"/>
          </w:tcPr>
          <w:p w14:paraId="74DD897F"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8980"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8981" w14:textId="77777777" w:rsidR="00584EC1" w:rsidRDefault="00584EC1">
            <w:pPr>
              <w:rPr>
                <w:rFonts w:ascii="宋体"/>
              </w:rPr>
            </w:pPr>
          </w:p>
        </w:tc>
        <w:tc>
          <w:tcPr>
            <w:tcW w:w="0" w:type="auto"/>
            <w:gridSpan w:val="3"/>
            <w:shd w:val="clear" w:color="auto" w:fill="auto"/>
            <w:vAlign w:val="bottom"/>
          </w:tcPr>
          <w:p w14:paraId="74DD8982" w14:textId="77777777" w:rsidR="00584EC1" w:rsidRDefault="00584EC1">
            <w:pPr>
              <w:rPr>
                <w:rFonts w:ascii="宋体"/>
                <w:vanish/>
              </w:rPr>
            </w:pPr>
          </w:p>
        </w:tc>
        <w:tc>
          <w:tcPr>
            <w:tcW w:w="0" w:type="auto"/>
            <w:gridSpan w:val="3"/>
            <w:shd w:val="clear" w:color="auto" w:fill="auto"/>
            <w:vAlign w:val="bottom"/>
          </w:tcPr>
          <w:p w14:paraId="74DD8983" w14:textId="77777777" w:rsidR="00584EC1" w:rsidRDefault="00584EC1">
            <w:pPr>
              <w:rPr>
                <w:rFonts w:ascii="宋体"/>
                <w:vanish/>
              </w:rPr>
            </w:pPr>
          </w:p>
        </w:tc>
        <w:tc>
          <w:tcPr>
            <w:tcW w:w="0" w:type="auto"/>
            <w:gridSpan w:val="3"/>
            <w:shd w:val="clear" w:color="auto" w:fill="auto"/>
            <w:vAlign w:val="bottom"/>
          </w:tcPr>
          <w:p w14:paraId="74DD8984" w14:textId="77777777" w:rsidR="00584EC1" w:rsidRDefault="00584EC1">
            <w:pPr>
              <w:rPr>
                <w:rFonts w:ascii="宋体"/>
                <w:vanish/>
              </w:rPr>
            </w:pPr>
          </w:p>
        </w:tc>
        <w:tc>
          <w:tcPr>
            <w:tcW w:w="0" w:type="auto"/>
            <w:gridSpan w:val="3"/>
            <w:shd w:val="clear" w:color="auto" w:fill="auto"/>
            <w:vAlign w:val="bottom"/>
          </w:tcPr>
          <w:p w14:paraId="74DD8985" w14:textId="77777777" w:rsidR="00584EC1" w:rsidRDefault="00584EC1">
            <w:pPr>
              <w:rPr>
                <w:rFonts w:ascii="宋体"/>
                <w:vanish/>
              </w:rPr>
            </w:pPr>
          </w:p>
        </w:tc>
        <w:tc>
          <w:tcPr>
            <w:tcW w:w="0" w:type="auto"/>
            <w:gridSpan w:val="3"/>
            <w:shd w:val="clear" w:color="auto" w:fill="auto"/>
            <w:vAlign w:val="bottom"/>
          </w:tcPr>
          <w:p w14:paraId="74DD8986" w14:textId="77777777" w:rsidR="00584EC1" w:rsidRDefault="00584EC1">
            <w:pPr>
              <w:rPr>
                <w:rFonts w:ascii="宋体"/>
                <w:vanish/>
              </w:rPr>
            </w:pPr>
          </w:p>
        </w:tc>
      </w:tr>
      <w:tr w:rsidR="00584EC1" w14:paraId="74DD8993" w14:textId="77777777">
        <w:tc>
          <w:tcPr>
            <w:tcW w:w="0" w:type="auto"/>
            <w:gridSpan w:val="3"/>
            <w:shd w:val="clear" w:color="auto" w:fill="CCEEFF"/>
            <w:tcMar>
              <w:top w:w="40" w:type="dxa"/>
              <w:left w:w="140" w:type="dxa"/>
              <w:bottom w:w="40" w:type="dxa"/>
              <w:right w:w="20" w:type="dxa"/>
            </w:tcMar>
            <w:vAlign w:val="bottom"/>
          </w:tcPr>
          <w:p w14:paraId="74DD8988" w14:textId="77777777" w:rsidR="00584EC1" w:rsidRDefault="00871F8D">
            <w:pPr>
              <w:textAlignment w:val="bottom"/>
            </w:pPr>
            <w:r>
              <w:rPr>
                <w:rFonts w:ascii="Arial" w:eastAsia="宋体" w:hAnsi="Arial" w:cs="Arial"/>
                <w:color w:val="000000"/>
                <w:sz w:val="14"/>
                <w:szCs w:val="14"/>
              </w:rPr>
              <w:t>Mortgage-backed securities</w:t>
            </w:r>
          </w:p>
        </w:tc>
        <w:tc>
          <w:tcPr>
            <w:tcW w:w="0" w:type="auto"/>
            <w:gridSpan w:val="2"/>
            <w:shd w:val="clear" w:color="auto" w:fill="CCEEFF"/>
            <w:tcMar>
              <w:top w:w="40" w:type="dxa"/>
              <w:left w:w="20" w:type="dxa"/>
              <w:bottom w:w="40" w:type="dxa"/>
              <w:right w:w="0" w:type="dxa"/>
            </w:tcMar>
            <w:vAlign w:val="bottom"/>
          </w:tcPr>
          <w:p w14:paraId="74DD8989" w14:textId="77777777" w:rsidR="00584EC1" w:rsidRDefault="00871F8D">
            <w:pPr>
              <w:jc w:val="right"/>
              <w:textAlignment w:val="bottom"/>
            </w:pPr>
            <w:r>
              <w:rPr>
                <w:rFonts w:ascii="Arial" w:eastAsia="宋体" w:hAnsi="Arial" w:cs="Arial"/>
                <w:b/>
                <w:bCs/>
                <w:color w:val="000000"/>
                <w:sz w:val="14"/>
                <w:szCs w:val="14"/>
              </w:rPr>
              <w:t>2,141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898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98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98C" w14:textId="77777777" w:rsidR="00584EC1" w:rsidRDefault="00871F8D">
            <w:pPr>
              <w:jc w:val="right"/>
              <w:textAlignment w:val="bottom"/>
            </w:pPr>
            <w:r>
              <w:rPr>
                <w:rFonts w:ascii="Arial" w:eastAsia="宋体" w:hAnsi="Arial" w:cs="Arial"/>
                <w:color w:val="000000"/>
                <w:sz w:val="14"/>
                <w:szCs w:val="14"/>
              </w:rPr>
              <w:t>1,996 </w:t>
            </w:r>
          </w:p>
        </w:tc>
        <w:tc>
          <w:tcPr>
            <w:tcW w:w="0" w:type="auto"/>
            <w:shd w:val="clear" w:color="auto" w:fill="CCEEFF"/>
            <w:tcMar>
              <w:top w:w="40" w:type="dxa"/>
              <w:left w:w="0" w:type="dxa"/>
              <w:bottom w:w="40" w:type="dxa"/>
              <w:right w:w="20" w:type="dxa"/>
            </w:tcMar>
            <w:vAlign w:val="bottom"/>
          </w:tcPr>
          <w:p w14:paraId="74DD898D" w14:textId="77777777" w:rsidR="00584EC1" w:rsidRDefault="00584EC1">
            <w:pPr>
              <w:jc w:val="right"/>
              <w:rPr>
                <w:rFonts w:ascii="宋体"/>
              </w:rPr>
            </w:pPr>
          </w:p>
        </w:tc>
        <w:tc>
          <w:tcPr>
            <w:tcW w:w="0" w:type="auto"/>
            <w:gridSpan w:val="3"/>
            <w:shd w:val="clear" w:color="auto" w:fill="auto"/>
            <w:vAlign w:val="bottom"/>
          </w:tcPr>
          <w:p w14:paraId="74DD898E" w14:textId="77777777" w:rsidR="00584EC1" w:rsidRDefault="00584EC1">
            <w:pPr>
              <w:rPr>
                <w:rFonts w:ascii="宋体"/>
                <w:vanish/>
              </w:rPr>
            </w:pPr>
          </w:p>
        </w:tc>
        <w:tc>
          <w:tcPr>
            <w:tcW w:w="0" w:type="auto"/>
            <w:gridSpan w:val="3"/>
            <w:shd w:val="clear" w:color="auto" w:fill="auto"/>
            <w:vAlign w:val="bottom"/>
          </w:tcPr>
          <w:p w14:paraId="74DD898F" w14:textId="77777777" w:rsidR="00584EC1" w:rsidRDefault="00584EC1">
            <w:pPr>
              <w:rPr>
                <w:rFonts w:ascii="宋体"/>
                <w:vanish/>
              </w:rPr>
            </w:pPr>
          </w:p>
        </w:tc>
        <w:tc>
          <w:tcPr>
            <w:tcW w:w="0" w:type="auto"/>
            <w:gridSpan w:val="3"/>
            <w:shd w:val="clear" w:color="auto" w:fill="auto"/>
            <w:vAlign w:val="bottom"/>
          </w:tcPr>
          <w:p w14:paraId="74DD8990" w14:textId="77777777" w:rsidR="00584EC1" w:rsidRDefault="00584EC1">
            <w:pPr>
              <w:rPr>
                <w:rFonts w:ascii="宋体"/>
                <w:vanish/>
              </w:rPr>
            </w:pPr>
          </w:p>
        </w:tc>
        <w:tc>
          <w:tcPr>
            <w:tcW w:w="0" w:type="auto"/>
            <w:gridSpan w:val="3"/>
            <w:shd w:val="clear" w:color="auto" w:fill="auto"/>
            <w:vAlign w:val="bottom"/>
          </w:tcPr>
          <w:p w14:paraId="74DD8991" w14:textId="77777777" w:rsidR="00584EC1" w:rsidRDefault="00584EC1">
            <w:pPr>
              <w:rPr>
                <w:rFonts w:ascii="宋体"/>
                <w:vanish/>
              </w:rPr>
            </w:pPr>
          </w:p>
        </w:tc>
        <w:tc>
          <w:tcPr>
            <w:tcW w:w="0" w:type="auto"/>
            <w:gridSpan w:val="3"/>
            <w:shd w:val="clear" w:color="auto" w:fill="auto"/>
            <w:vAlign w:val="bottom"/>
          </w:tcPr>
          <w:p w14:paraId="74DD8992" w14:textId="77777777" w:rsidR="00584EC1" w:rsidRDefault="00584EC1">
            <w:pPr>
              <w:rPr>
                <w:rFonts w:ascii="宋体"/>
                <w:vanish/>
              </w:rPr>
            </w:pPr>
          </w:p>
        </w:tc>
      </w:tr>
      <w:tr w:rsidR="00584EC1" w14:paraId="74DD899F" w14:textId="77777777">
        <w:tc>
          <w:tcPr>
            <w:tcW w:w="0" w:type="auto"/>
            <w:gridSpan w:val="3"/>
            <w:shd w:val="clear" w:color="auto" w:fill="FFFFFF"/>
            <w:tcMar>
              <w:top w:w="40" w:type="dxa"/>
              <w:left w:w="140" w:type="dxa"/>
              <w:bottom w:w="40" w:type="dxa"/>
              <w:right w:w="20" w:type="dxa"/>
            </w:tcMar>
            <w:vAlign w:val="bottom"/>
          </w:tcPr>
          <w:p w14:paraId="74DD8994" w14:textId="77777777" w:rsidR="00584EC1" w:rsidRDefault="00871F8D">
            <w:pPr>
              <w:textAlignment w:val="bottom"/>
            </w:pPr>
            <w:r>
              <w:rPr>
                <w:rFonts w:ascii="Arial" w:eastAsia="宋体" w:hAnsi="Arial" w:cs="Arial"/>
                <w:color w:val="000000"/>
                <w:sz w:val="14"/>
                <w:szCs w:val="14"/>
              </w:rPr>
              <w:t>Asset-backed securities</w:t>
            </w:r>
          </w:p>
        </w:tc>
        <w:tc>
          <w:tcPr>
            <w:tcW w:w="0" w:type="auto"/>
            <w:gridSpan w:val="2"/>
            <w:shd w:val="clear" w:color="auto" w:fill="FFFFFF"/>
            <w:tcMar>
              <w:top w:w="40" w:type="dxa"/>
              <w:left w:w="20" w:type="dxa"/>
              <w:bottom w:w="40" w:type="dxa"/>
              <w:right w:w="0" w:type="dxa"/>
            </w:tcMar>
            <w:vAlign w:val="bottom"/>
          </w:tcPr>
          <w:p w14:paraId="74DD8995" w14:textId="77777777" w:rsidR="00584EC1" w:rsidRDefault="00871F8D">
            <w:pPr>
              <w:jc w:val="right"/>
              <w:textAlignment w:val="bottom"/>
            </w:pPr>
            <w:r>
              <w:rPr>
                <w:rFonts w:ascii="Arial" w:eastAsia="宋体" w:hAnsi="Arial" w:cs="Arial"/>
                <w:b/>
                <w:bCs/>
                <w:color w:val="000000"/>
                <w:sz w:val="14"/>
                <w:szCs w:val="14"/>
              </w:rPr>
              <w:t>2,365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899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99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998" w14:textId="77777777" w:rsidR="00584EC1" w:rsidRDefault="00871F8D">
            <w:pPr>
              <w:jc w:val="right"/>
              <w:textAlignment w:val="bottom"/>
            </w:pPr>
            <w:r>
              <w:rPr>
                <w:rFonts w:ascii="Arial" w:eastAsia="宋体" w:hAnsi="Arial" w:cs="Arial"/>
                <w:color w:val="000000"/>
                <w:sz w:val="14"/>
                <w:szCs w:val="14"/>
              </w:rPr>
              <w:t>2,291 </w:t>
            </w:r>
          </w:p>
        </w:tc>
        <w:tc>
          <w:tcPr>
            <w:tcW w:w="0" w:type="auto"/>
            <w:shd w:val="clear" w:color="auto" w:fill="FFFFFF"/>
            <w:tcMar>
              <w:top w:w="40" w:type="dxa"/>
              <w:left w:w="0" w:type="dxa"/>
              <w:bottom w:w="40" w:type="dxa"/>
              <w:right w:w="20" w:type="dxa"/>
            </w:tcMar>
            <w:vAlign w:val="bottom"/>
          </w:tcPr>
          <w:p w14:paraId="74DD8999" w14:textId="77777777" w:rsidR="00584EC1" w:rsidRDefault="00584EC1">
            <w:pPr>
              <w:jc w:val="right"/>
              <w:rPr>
                <w:rFonts w:ascii="宋体"/>
              </w:rPr>
            </w:pPr>
          </w:p>
        </w:tc>
        <w:tc>
          <w:tcPr>
            <w:tcW w:w="0" w:type="auto"/>
            <w:gridSpan w:val="3"/>
            <w:shd w:val="clear" w:color="auto" w:fill="auto"/>
            <w:vAlign w:val="bottom"/>
          </w:tcPr>
          <w:p w14:paraId="74DD899A" w14:textId="77777777" w:rsidR="00584EC1" w:rsidRDefault="00584EC1">
            <w:pPr>
              <w:rPr>
                <w:rFonts w:ascii="宋体"/>
                <w:vanish/>
              </w:rPr>
            </w:pPr>
          </w:p>
        </w:tc>
        <w:tc>
          <w:tcPr>
            <w:tcW w:w="0" w:type="auto"/>
            <w:gridSpan w:val="3"/>
            <w:shd w:val="clear" w:color="auto" w:fill="auto"/>
            <w:vAlign w:val="bottom"/>
          </w:tcPr>
          <w:p w14:paraId="74DD899B" w14:textId="77777777" w:rsidR="00584EC1" w:rsidRDefault="00584EC1">
            <w:pPr>
              <w:rPr>
                <w:rFonts w:ascii="宋体"/>
                <w:vanish/>
              </w:rPr>
            </w:pPr>
          </w:p>
        </w:tc>
        <w:tc>
          <w:tcPr>
            <w:tcW w:w="0" w:type="auto"/>
            <w:gridSpan w:val="3"/>
            <w:shd w:val="clear" w:color="auto" w:fill="auto"/>
            <w:vAlign w:val="bottom"/>
          </w:tcPr>
          <w:p w14:paraId="74DD899C" w14:textId="77777777" w:rsidR="00584EC1" w:rsidRDefault="00584EC1">
            <w:pPr>
              <w:rPr>
                <w:rFonts w:ascii="宋体"/>
                <w:vanish/>
              </w:rPr>
            </w:pPr>
          </w:p>
        </w:tc>
        <w:tc>
          <w:tcPr>
            <w:tcW w:w="0" w:type="auto"/>
            <w:gridSpan w:val="3"/>
            <w:shd w:val="clear" w:color="auto" w:fill="auto"/>
            <w:vAlign w:val="bottom"/>
          </w:tcPr>
          <w:p w14:paraId="74DD899D" w14:textId="77777777" w:rsidR="00584EC1" w:rsidRDefault="00584EC1">
            <w:pPr>
              <w:rPr>
                <w:rFonts w:ascii="宋体"/>
                <w:vanish/>
              </w:rPr>
            </w:pPr>
          </w:p>
        </w:tc>
        <w:tc>
          <w:tcPr>
            <w:tcW w:w="0" w:type="auto"/>
            <w:gridSpan w:val="3"/>
            <w:shd w:val="clear" w:color="auto" w:fill="auto"/>
            <w:vAlign w:val="bottom"/>
          </w:tcPr>
          <w:p w14:paraId="74DD899E" w14:textId="77777777" w:rsidR="00584EC1" w:rsidRDefault="00584EC1">
            <w:pPr>
              <w:rPr>
                <w:rFonts w:ascii="宋体"/>
                <w:vanish/>
              </w:rPr>
            </w:pPr>
          </w:p>
        </w:tc>
      </w:tr>
      <w:tr w:rsidR="00584EC1" w14:paraId="74DD89AB" w14:textId="77777777">
        <w:tc>
          <w:tcPr>
            <w:tcW w:w="0" w:type="auto"/>
            <w:gridSpan w:val="3"/>
            <w:shd w:val="clear" w:color="auto" w:fill="CCEEFF"/>
            <w:tcMar>
              <w:top w:w="40" w:type="dxa"/>
              <w:left w:w="140" w:type="dxa"/>
              <w:bottom w:w="40" w:type="dxa"/>
              <w:right w:w="20" w:type="dxa"/>
            </w:tcMar>
            <w:vAlign w:val="bottom"/>
          </w:tcPr>
          <w:p w14:paraId="74DD89A0" w14:textId="77777777" w:rsidR="00584EC1" w:rsidRDefault="00871F8D">
            <w:pPr>
              <w:textAlignment w:val="bottom"/>
            </w:pPr>
            <w:r>
              <w:rPr>
                <w:rFonts w:ascii="Arial" w:eastAsia="宋体" w:hAnsi="Arial" w:cs="Arial"/>
                <w:color w:val="000000"/>
                <w:sz w:val="14"/>
                <w:szCs w:val="14"/>
              </w:rPr>
              <w:t>Non-U.S. sovereign, supranational and non-U.S. agency</w:t>
            </w:r>
          </w:p>
        </w:tc>
        <w:tc>
          <w:tcPr>
            <w:tcW w:w="0" w:type="auto"/>
            <w:gridSpan w:val="2"/>
            <w:shd w:val="clear" w:color="auto" w:fill="CCEEFF"/>
            <w:tcMar>
              <w:top w:w="40" w:type="dxa"/>
              <w:left w:w="20" w:type="dxa"/>
              <w:bottom w:w="40" w:type="dxa"/>
              <w:right w:w="0" w:type="dxa"/>
            </w:tcMar>
            <w:vAlign w:val="bottom"/>
          </w:tcPr>
          <w:p w14:paraId="74DD89A1" w14:textId="77777777" w:rsidR="00584EC1" w:rsidRDefault="00871F8D">
            <w:pPr>
              <w:jc w:val="right"/>
              <w:textAlignment w:val="bottom"/>
            </w:pPr>
            <w:r>
              <w:rPr>
                <w:rFonts w:ascii="Arial" w:eastAsia="宋体" w:hAnsi="Arial" w:cs="Arial"/>
                <w:b/>
                <w:bCs/>
                <w:color w:val="000000"/>
                <w:sz w:val="14"/>
                <w:szCs w:val="14"/>
              </w:rPr>
              <w:t>22,854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89A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9A3"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9A4" w14:textId="77777777" w:rsidR="00584EC1" w:rsidRDefault="00871F8D">
            <w:pPr>
              <w:jc w:val="right"/>
              <w:textAlignment w:val="bottom"/>
            </w:pPr>
            <w:r>
              <w:rPr>
                <w:rFonts w:ascii="Arial" w:eastAsia="宋体" w:hAnsi="Arial" w:cs="Arial"/>
                <w:color w:val="000000"/>
                <w:sz w:val="14"/>
                <w:szCs w:val="14"/>
              </w:rPr>
              <w:t>22,087 </w:t>
            </w:r>
          </w:p>
        </w:tc>
        <w:tc>
          <w:tcPr>
            <w:tcW w:w="0" w:type="auto"/>
            <w:shd w:val="clear" w:color="auto" w:fill="CCEEFF"/>
            <w:tcMar>
              <w:top w:w="40" w:type="dxa"/>
              <w:left w:w="0" w:type="dxa"/>
              <w:bottom w:w="40" w:type="dxa"/>
              <w:right w:w="20" w:type="dxa"/>
            </w:tcMar>
            <w:vAlign w:val="bottom"/>
          </w:tcPr>
          <w:p w14:paraId="74DD89A5" w14:textId="77777777" w:rsidR="00584EC1" w:rsidRDefault="00584EC1">
            <w:pPr>
              <w:jc w:val="right"/>
              <w:rPr>
                <w:rFonts w:ascii="宋体"/>
              </w:rPr>
            </w:pPr>
          </w:p>
        </w:tc>
        <w:tc>
          <w:tcPr>
            <w:tcW w:w="0" w:type="auto"/>
            <w:gridSpan w:val="3"/>
            <w:shd w:val="clear" w:color="auto" w:fill="auto"/>
            <w:vAlign w:val="bottom"/>
          </w:tcPr>
          <w:p w14:paraId="74DD89A6" w14:textId="77777777" w:rsidR="00584EC1" w:rsidRDefault="00584EC1">
            <w:pPr>
              <w:rPr>
                <w:rFonts w:ascii="宋体"/>
                <w:vanish/>
              </w:rPr>
            </w:pPr>
          </w:p>
        </w:tc>
        <w:tc>
          <w:tcPr>
            <w:tcW w:w="0" w:type="auto"/>
            <w:gridSpan w:val="3"/>
            <w:shd w:val="clear" w:color="auto" w:fill="auto"/>
            <w:vAlign w:val="bottom"/>
          </w:tcPr>
          <w:p w14:paraId="74DD89A7" w14:textId="77777777" w:rsidR="00584EC1" w:rsidRDefault="00584EC1">
            <w:pPr>
              <w:rPr>
                <w:rFonts w:ascii="宋体"/>
                <w:vanish/>
              </w:rPr>
            </w:pPr>
          </w:p>
        </w:tc>
        <w:tc>
          <w:tcPr>
            <w:tcW w:w="0" w:type="auto"/>
            <w:gridSpan w:val="3"/>
            <w:shd w:val="clear" w:color="auto" w:fill="auto"/>
            <w:vAlign w:val="bottom"/>
          </w:tcPr>
          <w:p w14:paraId="74DD89A8" w14:textId="77777777" w:rsidR="00584EC1" w:rsidRDefault="00584EC1">
            <w:pPr>
              <w:rPr>
                <w:rFonts w:ascii="宋体"/>
                <w:vanish/>
              </w:rPr>
            </w:pPr>
          </w:p>
        </w:tc>
        <w:tc>
          <w:tcPr>
            <w:tcW w:w="0" w:type="auto"/>
            <w:gridSpan w:val="3"/>
            <w:shd w:val="clear" w:color="auto" w:fill="auto"/>
            <w:vAlign w:val="bottom"/>
          </w:tcPr>
          <w:p w14:paraId="74DD89A9" w14:textId="77777777" w:rsidR="00584EC1" w:rsidRDefault="00584EC1">
            <w:pPr>
              <w:rPr>
                <w:rFonts w:ascii="宋体"/>
                <w:vanish/>
              </w:rPr>
            </w:pPr>
          </w:p>
        </w:tc>
        <w:tc>
          <w:tcPr>
            <w:tcW w:w="0" w:type="auto"/>
            <w:gridSpan w:val="3"/>
            <w:shd w:val="clear" w:color="auto" w:fill="auto"/>
            <w:vAlign w:val="bottom"/>
          </w:tcPr>
          <w:p w14:paraId="74DD89AA" w14:textId="77777777" w:rsidR="00584EC1" w:rsidRDefault="00584EC1">
            <w:pPr>
              <w:rPr>
                <w:rFonts w:ascii="宋体"/>
                <w:vanish/>
              </w:rPr>
            </w:pPr>
          </w:p>
        </w:tc>
      </w:tr>
      <w:tr w:rsidR="00584EC1" w14:paraId="74DD89B7" w14:textId="77777777">
        <w:tc>
          <w:tcPr>
            <w:tcW w:w="0" w:type="auto"/>
            <w:gridSpan w:val="3"/>
            <w:shd w:val="clear" w:color="auto" w:fill="FFFFFF"/>
            <w:tcMar>
              <w:top w:w="40" w:type="dxa"/>
              <w:left w:w="20" w:type="dxa"/>
              <w:bottom w:w="40" w:type="dxa"/>
              <w:right w:w="20" w:type="dxa"/>
            </w:tcMar>
            <w:vAlign w:val="bottom"/>
          </w:tcPr>
          <w:p w14:paraId="74DD89AC" w14:textId="77777777" w:rsidR="00584EC1" w:rsidRDefault="00871F8D">
            <w:pPr>
              <w:jc w:val="both"/>
              <w:textAlignment w:val="bottom"/>
            </w:pPr>
            <w:r>
              <w:rPr>
                <w:rFonts w:ascii="Arial" w:eastAsia="宋体" w:hAnsi="Arial" w:cs="Arial"/>
                <w:color w:val="000000"/>
                <w:sz w:val="14"/>
                <w:szCs w:val="14"/>
              </w:rPr>
              <w:t>Other</w:t>
            </w:r>
            <w:r>
              <w:rPr>
                <w:rFonts w:ascii="Arial" w:eastAsia="宋体" w:hAnsi="Arial" w:cs="Arial"/>
                <w:color w:val="000000"/>
                <w:sz w:val="9"/>
                <w:szCs w:val="9"/>
              </w:rPr>
              <w:t>(1)</w:t>
            </w:r>
          </w:p>
        </w:tc>
        <w:tc>
          <w:tcPr>
            <w:tcW w:w="0" w:type="auto"/>
            <w:gridSpan w:val="2"/>
            <w:shd w:val="clear" w:color="auto" w:fill="FFFFFF"/>
            <w:tcMar>
              <w:top w:w="40" w:type="dxa"/>
              <w:left w:w="20" w:type="dxa"/>
              <w:bottom w:w="40" w:type="dxa"/>
              <w:right w:w="0" w:type="dxa"/>
            </w:tcMar>
            <w:vAlign w:val="bottom"/>
          </w:tcPr>
          <w:p w14:paraId="74DD89AD" w14:textId="77777777" w:rsidR="00584EC1" w:rsidRDefault="00871F8D">
            <w:pPr>
              <w:jc w:val="right"/>
              <w:textAlignment w:val="bottom"/>
            </w:pPr>
            <w:r>
              <w:rPr>
                <w:rFonts w:ascii="Arial" w:eastAsia="宋体" w:hAnsi="Arial" w:cs="Arial"/>
                <w:b/>
                <w:bCs/>
                <w:color w:val="000000"/>
                <w:sz w:val="14"/>
                <w:szCs w:val="14"/>
              </w:rPr>
              <w:t>3,306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89A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9A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9B0" w14:textId="77777777" w:rsidR="00584EC1" w:rsidRDefault="00871F8D">
            <w:pPr>
              <w:jc w:val="right"/>
              <w:textAlignment w:val="bottom"/>
            </w:pPr>
            <w:r>
              <w:rPr>
                <w:rFonts w:ascii="Arial" w:eastAsia="宋体" w:hAnsi="Arial" w:cs="Arial"/>
                <w:color w:val="000000"/>
                <w:sz w:val="14"/>
                <w:szCs w:val="14"/>
              </w:rPr>
              <w:t>3,355 </w:t>
            </w:r>
          </w:p>
        </w:tc>
        <w:tc>
          <w:tcPr>
            <w:tcW w:w="0" w:type="auto"/>
            <w:shd w:val="clear" w:color="auto" w:fill="FFFFFF"/>
            <w:tcMar>
              <w:top w:w="40" w:type="dxa"/>
              <w:left w:w="0" w:type="dxa"/>
              <w:bottom w:w="40" w:type="dxa"/>
              <w:right w:w="20" w:type="dxa"/>
            </w:tcMar>
            <w:vAlign w:val="bottom"/>
          </w:tcPr>
          <w:p w14:paraId="74DD89B1" w14:textId="77777777" w:rsidR="00584EC1" w:rsidRDefault="00584EC1">
            <w:pPr>
              <w:jc w:val="right"/>
              <w:rPr>
                <w:rFonts w:ascii="宋体"/>
              </w:rPr>
            </w:pPr>
          </w:p>
        </w:tc>
        <w:tc>
          <w:tcPr>
            <w:tcW w:w="0" w:type="auto"/>
            <w:gridSpan w:val="3"/>
            <w:shd w:val="clear" w:color="auto" w:fill="auto"/>
            <w:vAlign w:val="bottom"/>
          </w:tcPr>
          <w:p w14:paraId="74DD89B2" w14:textId="77777777" w:rsidR="00584EC1" w:rsidRDefault="00584EC1">
            <w:pPr>
              <w:rPr>
                <w:rFonts w:ascii="宋体"/>
                <w:vanish/>
              </w:rPr>
            </w:pPr>
          </w:p>
        </w:tc>
        <w:tc>
          <w:tcPr>
            <w:tcW w:w="0" w:type="auto"/>
            <w:gridSpan w:val="3"/>
            <w:shd w:val="clear" w:color="auto" w:fill="auto"/>
            <w:vAlign w:val="bottom"/>
          </w:tcPr>
          <w:p w14:paraId="74DD89B3" w14:textId="77777777" w:rsidR="00584EC1" w:rsidRDefault="00584EC1">
            <w:pPr>
              <w:rPr>
                <w:rFonts w:ascii="宋体"/>
                <w:vanish/>
              </w:rPr>
            </w:pPr>
          </w:p>
        </w:tc>
        <w:tc>
          <w:tcPr>
            <w:tcW w:w="0" w:type="auto"/>
            <w:gridSpan w:val="3"/>
            <w:shd w:val="clear" w:color="auto" w:fill="auto"/>
            <w:vAlign w:val="bottom"/>
          </w:tcPr>
          <w:p w14:paraId="74DD89B4" w14:textId="77777777" w:rsidR="00584EC1" w:rsidRDefault="00584EC1">
            <w:pPr>
              <w:rPr>
                <w:rFonts w:ascii="宋体"/>
                <w:vanish/>
              </w:rPr>
            </w:pPr>
          </w:p>
        </w:tc>
        <w:tc>
          <w:tcPr>
            <w:tcW w:w="0" w:type="auto"/>
            <w:gridSpan w:val="3"/>
            <w:shd w:val="clear" w:color="auto" w:fill="auto"/>
            <w:vAlign w:val="bottom"/>
          </w:tcPr>
          <w:p w14:paraId="74DD89B5" w14:textId="77777777" w:rsidR="00584EC1" w:rsidRDefault="00584EC1">
            <w:pPr>
              <w:rPr>
                <w:rFonts w:ascii="宋体"/>
                <w:vanish/>
              </w:rPr>
            </w:pPr>
          </w:p>
        </w:tc>
        <w:tc>
          <w:tcPr>
            <w:tcW w:w="0" w:type="auto"/>
            <w:gridSpan w:val="3"/>
            <w:shd w:val="clear" w:color="auto" w:fill="auto"/>
            <w:vAlign w:val="bottom"/>
          </w:tcPr>
          <w:p w14:paraId="74DD89B6" w14:textId="77777777" w:rsidR="00584EC1" w:rsidRDefault="00584EC1">
            <w:pPr>
              <w:rPr>
                <w:rFonts w:ascii="宋体"/>
                <w:vanish/>
              </w:rPr>
            </w:pPr>
          </w:p>
        </w:tc>
      </w:tr>
      <w:tr w:rsidR="00584EC1" w14:paraId="74DD89C3" w14:textId="77777777">
        <w:tc>
          <w:tcPr>
            <w:tcW w:w="0" w:type="auto"/>
            <w:gridSpan w:val="3"/>
            <w:shd w:val="clear" w:color="auto" w:fill="CCEEFF"/>
            <w:tcMar>
              <w:top w:w="40" w:type="dxa"/>
              <w:left w:w="20" w:type="dxa"/>
              <w:bottom w:w="40" w:type="dxa"/>
              <w:right w:w="20" w:type="dxa"/>
            </w:tcMar>
            <w:vAlign w:val="bottom"/>
          </w:tcPr>
          <w:p w14:paraId="74DD89B8" w14:textId="77777777" w:rsidR="00584EC1" w:rsidRDefault="00871F8D">
            <w:pPr>
              <w:jc w:val="both"/>
              <w:textAlignment w:val="bottom"/>
            </w:pPr>
            <w:r>
              <w:rPr>
                <w:rFonts w:ascii="Arial" w:eastAsia="宋体" w:hAnsi="Arial" w:cs="Arial"/>
                <w:color w:val="000000"/>
                <w:sz w:val="14"/>
                <w:szCs w:val="14"/>
              </w:rPr>
              <w:t>Total non-U.S. debt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89B9" w14:textId="77777777" w:rsidR="00584EC1" w:rsidRDefault="00871F8D">
            <w:pPr>
              <w:jc w:val="right"/>
              <w:textAlignment w:val="bottom"/>
            </w:pPr>
            <w:r>
              <w:rPr>
                <w:rFonts w:ascii="Arial" w:eastAsia="宋体" w:hAnsi="Arial" w:cs="Arial"/>
                <w:b/>
                <w:bCs/>
                <w:color w:val="000000"/>
                <w:sz w:val="14"/>
                <w:szCs w:val="14"/>
              </w:rPr>
              <w:t>30,666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9B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9BB"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89BC" w14:textId="77777777" w:rsidR="00584EC1" w:rsidRDefault="00871F8D">
            <w:pPr>
              <w:jc w:val="right"/>
              <w:textAlignment w:val="bottom"/>
            </w:pPr>
            <w:r>
              <w:rPr>
                <w:rFonts w:ascii="Arial" w:eastAsia="宋体" w:hAnsi="Arial" w:cs="Arial"/>
                <w:color w:val="000000"/>
                <w:sz w:val="14"/>
                <w:szCs w:val="14"/>
              </w:rPr>
              <w:t>29,729 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9BD" w14:textId="77777777" w:rsidR="00584EC1" w:rsidRDefault="00584EC1">
            <w:pPr>
              <w:jc w:val="right"/>
              <w:rPr>
                <w:rFonts w:ascii="宋体"/>
              </w:rPr>
            </w:pPr>
          </w:p>
        </w:tc>
        <w:tc>
          <w:tcPr>
            <w:tcW w:w="0" w:type="auto"/>
            <w:gridSpan w:val="3"/>
            <w:shd w:val="clear" w:color="auto" w:fill="auto"/>
            <w:vAlign w:val="bottom"/>
          </w:tcPr>
          <w:p w14:paraId="74DD89BE" w14:textId="77777777" w:rsidR="00584EC1" w:rsidRDefault="00584EC1">
            <w:pPr>
              <w:rPr>
                <w:rFonts w:ascii="宋体"/>
                <w:vanish/>
              </w:rPr>
            </w:pPr>
          </w:p>
        </w:tc>
        <w:tc>
          <w:tcPr>
            <w:tcW w:w="0" w:type="auto"/>
            <w:gridSpan w:val="3"/>
            <w:shd w:val="clear" w:color="auto" w:fill="auto"/>
            <w:vAlign w:val="bottom"/>
          </w:tcPr>
          <w:p w14:paraId="74DD89BF" w14:textId="77777777" w:rsidR="00584EC1" w:rsidRDefault="00584EC1">
            <w:pPr>
              <w:rPr>
                <w:rFonts w:ascii="宋体"/>
                <w:vanish/>
              </w:rPr>
            </w:pPr>
          </w:p>
        </w:tc>
        <w:tc>
          <w:tcPr>
            <w:tcW w:w="0" w:type="auto"/>
            <w:gridSpan w:val="3"/>
            <w:shd w:val="clear" w:color="auto" w:fill="auto"/>
            <w:vAlign w:val="bottom"/>
          </w:tcPr>
          <w:p w14:paraId="74DD89C0" w14:textId="77777777" w:rsidR="00584EC1" w:rsidRDefault="00584EC1">
            <w:pPr>
              <w:rPr>
                <w:rFonts w:ascii="宋体"/>
                <w:vanish/>
              </w:rPr>
            </w:pPr>
          </w:p>
        </w:tc>
        <w:tc>
          <w:tcPr>
            <w:tcW w:w="0" w:type="auto"/>
            <w:gridSpan w:val="3"/>
            <w:shd w:val="clear" w:color="auto" w:fill="auto"/>
            <w:vAlign w:val="bottom"/>
          </w:tcPr>
          <w:p w14:paraId="74DD89C1" w14:textId="77777777" w:rsidR="00584EC1" w:rsidRDefault="00584EC1">
            <w:pPr>
              <w:rPr>
                <w:rFonts w:ascii="宋体"/>
                <w:vanish/>
              </w:rPr>
            </w:pPr>
          </w:p>
        </w:tc>
        <w:tc>
          <w:tcPr>
            <w:tcW w:w="0" w:type="auto"/>
            <w:gridSpan w:val="3"/>
            <w:shd w:val="clear" w:color="auto" w:fill="auto"/>
            <w:vAlign w:val="bottom"/>
          </w:tcPr>
          <w:p w14:paraId="74DD89C2" w14:textId="77777777" w:rsidR="00584EC1" w:rsidRDefault="00584EC1">
            <w:pPr>
              <w:rPr>
                <w:rFonts w:ascii="宋体"/>
                <w:vanish/>
              </w:rPr>
            </w:pPr>
          </w:p>
        </w:tc>
      </w:tr>
      <w:tr w:rsidR="00584EC1" w14:paraId="74DD89CD" w14:textId="77777777">
        <w:tc>
          <w:tcPr>
            <w:tcW w:w="0" w:type="auto"/>
            <w:gridSpan w:val="3"/>
            <w:shd w:val="clear" w:color="auto" w:fill="FFFFFF"/>
            <w:tcMar>
              <w:top w:w="40" w:type="dxa"/>
              <w:left w:w="20" w:type="dxa"/>
              <w:bottom w:w="40" w:type="dxa"/>
              <w:right w:w="20" w:type="dxa"/>
            </w:tcMar>
            <w:vAlign w:val="bottom"/>
          </w:tcPr>
          <w:p w14:paraId="74DD89C4" w14:textId="77777777" w:rsidR="00584EC1" w:rsidRDefault="00871F8D">
            <w:pPr>
              <w:jc w:val="both"/>
              <w:textAlignment w:val="bottom"/>
            </w:pPr>
            <w:r>
              <w:rPr>
                <w:rFonts w:ascii="Arial" w:eastAsia="宋体" w:hAnsi="Arial" w:cs="Arial"/>
                <w:color w:val="000000"/>
                <w:sz w:val="14"/>
                <w:szCs w:val="14"/>
              </w:rPr>
              <w:t>Asset-backed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89C5"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89C6"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89C7" w14:textId="77777777" w:rsidR="00584EC1" w:rsidRDefault="00584EC1">
            <w:pPr>
              <w:rPr>
                <w:rFonts w:ascii="宋体"/>
              </w:rPr>
            </w:pPr>
          </w:p>
        </w:tc>
        <w:tc>
          <w:tcPr>
            <w:tcW w:w="0" w:type="auto"/>
            <w:gridSpan w:val="3"/>
            <w:shd w:val="clear" w:color="auto" w:fill="auto"/>
            <w:vAlign w:val="bottom"/>
          </w:tcPr>
          <w:p w14:paraId="74DD89C8" w14:textId="77777777" w:rsidR="00584EC1" w:rsidRDefault="00584EC1">
            <w:pPr>
              <w:rPr>
                <w:rFonts w:ascii="宋体"/>
                <w:vanish/>
              </w:rPr>
            </w:pPr>
          </w:p>
        </w:tc>
        <w:tc>
          <w:tcPr>
            <w:tcW w:w="0" w:type="auto"/>
            <w:gridSpan w:val="3"/>
            <w:shd w:val="clear" w:color="auto" w:fill="auto"/>
            <w:vAlign w:val="bottom"/>
          </w:tcPr>
          <w:p w14:paraId="74DD89C9" w14:textId="77777777" w:rsidR="00584EC1" w:rsidRDefault="00584EC1">
            <w:pPr>
              <w:rPr>
                <w:rFonts w:ascii="宋体"/>
                <w:vanish/>
              </w:rPr>
            </w:pPr>
          </w:p>
        </w:tc>
        <w:tc>
          <w:tcPr>
            <w:tcW w:w="0" w:type="auto"/>
            <w:gridSpan w:val="3"/>
            <w:shd w:val="clear" w:color="auto" w:fill="auto"/>
            <w:vAlign w:val="bottom"/>
          </w:tcPr>
          <w:p w14:paraId="74DD89CA" w14:textId="77777777" w:rsidR="00584EC1" w:rsidRDefault="00584EC1">
            <w:pPr>
              <w:rPr>
                <w:rFonts w:ascii="宋体"/>
                <w:vanish/>
              </w:rPr>
            </w:pPr>
          </w:p>
        </w:tc>
        <w:tc>
          <w:tcPr>
            <w:tcW w:w="0" w:type="auto"/>
            <w:gridSpan w:val="3"/>
            <w:shd w:val="clear" w:color="auto" w:fill="auto"/>
            <w:vAlign w:val="bottom"/>
          </w:tcPr>
          <w:p w14:paraId="74DD89CB" w14:textId="77777777" w:rsidR="00584EC1" w:rsidRDefault="00584EC1">
            <w:pPr>
              <w:rPr>
                <w:rFonts w:ascii="宋体"/>
                <w:vanish/>
              </w:rPr>
            </w:pPr>
          </w:p>
        </w:tc>
        <w:tc>
          <w:tcPr>
            <w:tcW w:w="0" w:type="auto"/>
            <w:gridSpan w:val="3"/>
            <w:shd w:val="clear" w:color="auto" w:fill="auto"/>
            <w:vAlign w:val="bottom"/>
          </w:tcPr>
          <w:p w14:paraId="74DD89CC" w14:textId="77777777" w:rsidR="00584EC1" w:rsidRDefault="00584EC1">
            <w:pPr>
              <w:rPr>
                <w:rFonts w:ascii="宋体"/>
                <w:vanish/>
              </w:rPr>
            </w:pPr>
          </w:p>
        </w:tc>
      </w:tr>
      <w:tr w:rsidR="00584EC1" w14:paraId="74DD89D9" w14:textId="77777777">
        <w:tc>
          <w:tcPr>
            <w:tcW w:w="0" w:type="auto"/>
            <w:gridSpan w:val="3"/>
            <w:shd w:val="clear" w:color="auto" w:fill="CCEEFF"/>
            <w:tcMar>
              <w:top w:w="40" w:type="dxa"/>
              <w:left w:w="20" w:type="dxa"/>
              <w:bottom w:w="40" w:type="dxa"/>
              <w:right w:w="20" w:type="dxa"/>
            </w:tcMar>
            <w:vAlign w:val="bottom"/>
          </w:tcPr>
          <w:p w14:paraId="74DD89CE" w14:textId="77777777" w:rsidR="00584EC1" w:rsidRDefault="00871F8D">
            <w:pPr>
              <w:jc w:val="both"/>
              <w:textAlignment w:val="bottom"/>
            </w:pPr>
            <w:r>
              <w:rPr>
                <w:rFonts w:ascii="Arial" w:eastAsia="宋体" w:hAnsi="Arial" w:cs="Arial"/>
                <w:color w:val="000000"/>
                <w:sz w:val="14"/>
                <w:szCs w:val="14"/>
              </w:rPr>
              <w:t>Student loans</w:t>
            </w:r>
            <w:r>
              <w:rPr>
                <w:rFonts w:ascii="Arial" w:eastAsia="宋体" w:hAnsi="Arial" w:cs="Arial"/>
                <w:color w:val="000000"/>
                <w:sz w:val="9"/>
                <w:szCs w:val="9"/>
              </w:rPr>
              <w:t>(2)</w:t>
            </w:r>
            <w:r>
              <w:rPr>
                <w:rFonts w:ascii="Arial" w:eastAsia="宋体" w:hAnsi="Arial" w:cs="Arial"/>
                <w:color w:val="000000"/>
                <w:sz w:val="14"/>
                <w:szCs w:val="14"/>
              </w:rPr>
              <w:t xml:space="preserve"> </w:t>
            </w:r>
          </w:p>
        </w:tc>
        <w:tc>
          <w:tcPr>
            <w:tcW w:w="0" w:type="auto"/>
            <w:gridSpan w:val="2"/>
            <w:shd w:val="clear" w:color="auto" w:fill="CCEEFF"/>
            <w:tcMar>
              <w:top w:w="40" w:type="dxa"/>
              <w:left w:w="20" w:type="dxa"/>
              <w:bottom w:w="40" w:type="dxa"/>
              <w:right w:w="0" w:type="dxa"/>
            </w:tcMar>
            <w:vAlign w:val="bottom"/>
          </w:tcPr>
          <w:p w14:paraId="74DD89CF" w14:textId="77777777" w:rsidR="00584EC1" w:rsidRDefault="00871F8D">
            <w:pPr>
              <w:jc w:val="right"/>
              <w:textAlignment w:val="bottom"/>
            </w:pPr>
            <w:r>
              <w:rPr>
                <w:rFonts w:ascii="Arial" w:eastAsia="宋体" w:hAnsi="Arial" w:cs="Arial"/>
                <w:b/>
                <w:bCs/>
                <w:color w:val="000000"/>
                <w:sz w:val="14"/>
                <w:szCs w:val="14"/>
              </w:rPr>
              <w:t>231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89D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9D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9D2" w14:textId="77777777" w:rsidR="00584EC1" w:rsidRDefault="00871F8D">
            <w:pPr>
              <w:jc w:val="right"/>
              <w:textAlignment w:val="bottom"/>
            </w:pPr>
            <w:r>
              <w:rPr>
                <w:rFonts w:ascii="Arial" w:eastAsia="宋体" w:hAnsi="Arial" w:cs="Arial"/>
                <w:color w:val="000000"/>
                <w:sz w:val="14"/>
                <w:szCs w:val="14"/>
              </w:rPr>
              <w:t>314 </w:t>
            </w:r>
          </w:p>
        </w:tc>
        <w:tc>
          <w:tcPr>
            <w:tcW w:w="0" w:type="auto"/>
            <w:shd w:val="clear" w:color="auto" w:fill="CCEEFF"/>
            <w:tcMar>
              <w:top w:w="40" w:type="dxa"/>
              <w:left w:w="0" w:type="dxa"/>
              <w:bottom w:w="40" w:type="dxa"/>
              <w:right w:w="20" w:type="dxa"/>
            </w:tcMar>
            <w:vAlign w:val="bottom"/>
          </w:tcPr>
          <w:p w14:paraId="74DD89D3" w14:textId="77777777" w:rsidR="00584EC1" w:rsidRDefault="00584EC1">
            <w:pPr>
              <w:jc w:val="right"/>
              <w:rPr>
                <w:rFonts w:ascii="宋体"/>
              </w:rPr>
            </w:pPr>
          </w:p>
        </w:tc>
        <w:tc>
          <w:tcPr>
            <w:tcW w:w="0" w:type="auto"/>
            <w:gridSpan w:val="3"/>
            <w:shd w:val="clear" w:color="auto" w:fill="auto"/>
            <w:vAlign w:val="bottom"/>
          </w:tcPr>
          <w:p w14:paraId="74DD89D4" w14:textId="77777777" w:rsidR="00584EC1" w:rsidRDefault="00584EC1">
            <w:pPr>
              <w:rPr>
                <w:rFonts w:ascii="宋体"/>
                <w:vanish/>
              </w:rPr>
            </w:pPr>
          </w:p>
        </w:tc>
        <w:tc>
          <w:tcPr>
            <w:tcW w:w="0" w:type="auto"/>
            <w:gridSpan w:val="3"/>
            <w:shd w:val="clear" w:color="auto" w:fill="auto"/>
            <w:vAlign w:val="bottom"/>
          </w:tcPr>
          <w:p w14:paraId="74DD89D5" w14:textId="77777777" w:rsidR="00584EC1" w:rsidRDefault="00584EC1">
            <w:pPr>
              <w:rPr>
                <w:rFonts w:ascii="宋体"/>
                <w:vanish/>
              </w:rPr>
            </w:pPr>
          </w:p>
        </w:tc>
        <w:tc>
          <w:tcPr>
            <w:tcW w:w="0" w:type="auto"/>
            <w:gridSpan w:val="3"/>
            <w:shd w:val="clear" w:color="auto" w:fill="auto"/>
            <w:vAlign w:val="bottom"/>
          </w:tcPr>
          <w:p w14:paraId="74DD89D6" w14:textId="77777777" w:rsidR="00584EC1" w:rsidRDefault="00584EC1">
            <w:pPr>
              <w:rPr>
                <w:rFonts w:ascii="宋体"/>
                <w:vanish/>
              </w:rPr>
            </w:pPr>
          </w:p>
        </w:tc>
        <w:tc>
          <w:tcPr>
            <w:tcW w:w="0" w:type="auto"/>
            <w:gridSpan w:val="3"/>
            <w:shd w:val="clear" w:color="auto" w:fill="auto"/>
            <w:vAlign w:val="bottom"/>
          </w:tcPr>
          <w:p w14:paraId="74DD89D7" w14:textId="77777777" w:rsidR="00584EC1" w:rsidRDefault="00584EC1">
            <w:pPr>
              <w:rPr>
                <w:rFonts w:ascii="宋体"/>
                <w:vanish/>
              </w:rPr>
            </w:pPr>
          </w:p>
        </w:tc>
        <w:tc>
          <w:tcPr>
            <w:tcW w:w="0" w:type="auto"/>
            <w:gridSpan w:val="3"/>
            <w:shd w:val="clear" w:color="auto" w:fill="auto"/>
            <w:vAlign w:val="bottom"/>
          </w:tcPr>
          <w:p w14:paraId="74DD89D8" w14:textId="77777777" w:rsidR="00584EC1" w:rsidRDefault="00584EC1">
            <w:pPr>
              <w:rPr>
                <w:rFonts w:ascii="宋体"/>
                <w:vanish/>
              </w:rPr>
            </w:pPr>
          </w:p>
        </w:tc>
      </w:tr>
      <w:tr w:rsidR="00584EC1" w14:paraId="74DD89E3" w14:textId="77777777">
        <w:trPr>
          <w:hidden/>
        </w:trPr>
        <w:tc>
          <w:tcPr>
            <w:tcW w:w="0" w:type="auto"/>
            <w:gridSpan w:val="3"/>
            <w:shd w:val="clear" w:color="auto" w:fill="auto"/>
            <w:vAlign w:val="bottom"/>
          </w:tcPr>
          <w:p w14:paraId="74DD89DA" w14:textId="77777777" w:rsidR="00584EC1" w:rsidRDefault="00584EC1">
            <w:pPr>
              <w:rPr>
                <w:rFonts w:ascii="宋体"/>
                <w:vanish/>
              </w:rPr>
            </w:pPr>
          </w:p>
        </w:tc>
        <w:tc>
          <w:tcPr>
            <w:tcW w:w="0" w:type="auto"/>
            <w:gridSpan w:val="3"/>
            <w:shd w:val="clear" w:color="auto" w:fill="auto"/>
            <w:vAlign w:val="bottom"/>
          </w:tcPr>
          <w:p w14:paraId="74DD89DB" w14:textId="77777777" w:rsidR="00584EC1" w:rsidRDefault="00584EC1">
            <w:pPr>
              <w:rPr>
                <w:rFonts w:ascii="宋体"/>
                <w:vanish/>
              </w:rPr>
            </w:pPr>
          </w:p>
        </w:tc>
        <w:tc>
          <w:tcPr>
            <w:tcW w:w="0" w:type="auto"/>
            <w:gridSpan w:val="3"/>
            <w:shd w:val="clear" w:color="auto" w:fill="auto"/>
            <w:vAlign w:val="bottom"/>
          </w:tcPr>
          <w:p w14:paraId="74DD89DC" w14:textId="77777777" w:rsidR="00584EC1" w:rsidRDefault="00584EC1">
            <w:pPr>
              <w:rPr>
                <w:rFonts w:ascii="宋体"/>
                <w:vanish/>
              </w:rPr>
            </w:pPr>
          </w:p>
        </w:tc>
        <w:tc>
          <w:tcPr>
            <w:tcW w:w="0" w:type="auto"/>
            <w:gridSpan w:val="3"/>
            <w:shd w:val="clear" w:color="auto" w:fill="auto"/>
            <w:vAlign w:val="bottom"/>
          </w:tcPr>
          <w:p w14:paraId="74DD89DD" w14:textId="77777777" w:rsidR="00584EC1" w:rsidRDefault="00584EC1">
            <w:pPr>
              <w:rPr>
                <w:rFonts w:ascii="宋体"/>
                <w:vanish/>
              </w:rPr>
            </w:pPr>
          </w:p>
        </w:tc>
        <w:tc>
          <w:tcPr>
            <w:tcW w:w="0" w:type="auto"/>
            <w:gridSpan w:val="3"/>
            <w:shd w:val="clear" w:color="auto" w:fill="auto"/>
            <w:vAlign w:val="bottom"/>
          </w:tcPr>
          <w:p w14:paraId="74DD89DE" w14:textId="77777777" w:rsidR="00584EC1" w:rsidRDefault="00584EC1">
            <w:pPr>
              <w:rPr>
                <w:rFonts w:ascii="宋体"/>
                <w:vanish/>
              </w:rPr>
            </w:pPr>
          </w:p>
        </w:tc>
        <w:tc>
          <w:tcPr>
            <w:tcW w:w="0" w:type="auto"/>
            <w:gridSpan w:val="3"/>
            <w:shd w:val="clear" w:color="auto" w:fill="auto"/>
            <w:vAlign w:val="bottom"/>
          </w:tcPr>
          <w:p w14:paraId="74DD89DF" w14:textId="77777777" w:rsidR="00584EC1" w:rsidRDefault="00584EC1">
            <w:pPr>
              <w:rPr>
                <w:rFonts w:ascii="宋体"/>
                <w:vanish/>
              </w:rPr>
            </w:pPr>
          </w:p>
        </w:tc>
        <w:tc>
          <w:tcPr>
            <w:tcW w:w="0" w:type="auto"/>
            <w:gridSpan w:val="3"/>
            <w:shd w:val="clear" w:color="auto" w:fill="auto"/>
            <w:vAlign w:val="bottom"/>
          </w:tcPr>
          <w:p w14:paraId="74DD89E0" w14:textId="77777777" w:rsidR="00584EC1" w:rsidRDefault="00584EC1">
            <w:pPr>
              <w:rPr>
                <w:rFonts w:ascii="宋体"/>
                <w:vanish/>
              </w:rPr>
            </w:pPr>
          </w:p>
        </w:tc>
        <w:tc>
          <w:tcPr>
            <w:tcW w:w="0" w:type="auto"/>
            <w:gridSpan w:val="3"/>
            <w:shd w:val="clear" w:color="auto" w:fill="auto"/>
            <w:vAlign w:val="bottom"/>
          </w:tcPr>
          <w:p w14:paraId="74DD89E1" w14:textId="77777777" w:rsidR="00584EC1" w:rsidRDefault="00584EC1">
            <w:pPr>
              <w:rPr>
                <w:rFonts w:ascii="宋体"/>
                <w:vanish/>
              </w:rPr>
            </w:pPr>
          </w:p>
        </w:tc>
        <w:tc>
          <w:tcPr>
            <w:tcW w:w="0" w:type="auto"/>
            <w:gridSpan w:val="3"/>
            <w:shd w:val="clear" w:color="auto" w:fill="auto"/>
            <w:vAlign w:val="bottom"/>
          </w:tcPr>
          <w:p w14:paraId="74DD89E2" w14:textId="77777777" w:rsidR="00584EC1" w:rsidRDefault="00584EC1">
            <w:pPr>
              <w:rPr>
                <w:rFonts w:ascii="宋体"/>
                <w:vanish/>
              </w:rPr>
            </w:pPr>
          </w:p>
        </w:tc>
      </w:tr>
      <w:tr w:rsidR="00584EC1" w14:paraId="74DD89ED" w14:textId="77777777">
        <w:trPr>
          <w:hidden/>
        </w:trPr>
        <w:tc>
          <w:tcPr>
            <w:tcW w:w="0" w:type="auto"/>
            <w:gridSpan w:val="3"/>
            <w:shd w:val="clear" w:color="auto" w:fill="auto"/>
            <w:vAlign w:val="bottom"/>
          </w:tcPr>
          <w:p w14:paraId="74DD89E4" w14:textId="77777777" w:rsidR="00584EC1" w:rsidRDefault="00584EC1">
            <w:pPr>
              <w:rPr>
                <w:rFonts w:ascii="宋体"/>
                <w:vanish/>
              </w:rPr>
            </w:pPr>
          </w:p>
        </w:tc>
        <w:tc>
          <w:tcPr>
            <w:tcW w:w="0" w:type="auto"/>
            <w:gridSpan w:val="3"/>
            <w:shd w:val="clear" w:color="auto" w:fill="auto"/>
            <w:vAlign w:val="bottom"/>
          </w:tcPr>
          <w:p w14:paraId="74DD89E5" w14:textId="77777777" w:rsidR="00584EC1" w:rsidRDefault="00584EC1">
            <w:pPr>
              <w:rPr>
                <w:rFonts w:ascii="宋体"/>
                <w:vanish/>
              </w:rPr>
            </w:pPr>
          </w:p>
        </w:tc>
        <w:tc>
          <w:tcPr>
            <w:tcW w:w="0" w:type="auto"/>
            <w:gridSpan w:val="3"/>
            <w:shd w:val="clear" w:color="auto" w:fill="auto"/>
            <w:vAlign w:val="bottom"/>
          </w:tcPr>
          <w:p w14:paraId="74DD89E6" w14:textId="77777777" w:rsidR="00584EC1" w:rsidRDefault="00584EC1">
            <w:pPr>
              <w:rPr>
                <w:rFonts w:ascii="宋体"/>
                <w:vanish/>
              </w:rPr>
            </w:pPr>
          </w:p>
        </w:tc>
        <w:tc>
          <w:tcPr>
            <w:tcW w:w="0" w:type="auto"/>
            <w:gridSpan w:val="3"/>
            <w:shd w:val="clear" w:color="auto" w:fill="auto"/>
            <w:vAlign w:val="bottom"/>
          </w:tcPr>
          <w:p w14:paraId="74DD89E7" w14:textId="77777777" w:rsidR="00584EC1" w:rsidRDefault="00584EC1">
            <w:pPr>
              <w:rPr>
                <w:rFonts w:ascii="宋体"/>
                <w:vanish/>
              </w:rPr>
            </w:pPr>
          </w:p>
        </w:tc>
        <w:tc>
          <w:tcPr>
            <w:tcW w:w="0" w:type="auto"/>
            <w:gridSpan w:val="3"/>
            <w:shd w:val="clear" w:color="auto" w:fill="auto"/>
            <w:vAlign w:val="bottom"/>
          </w:tcPr>
          <w:p w14:paraId="74DD89E8" w14:textId="77777777" w:rsidR="00584EC1" w:rsidRDefault="00584EC1">
            <w:pPr>
              <w:rPr>
                <w:rFonts w:ascii="宋体"/>
                <w:vanish/>
              </w:rPr>
            </w:pPr>
          </w:p>
        </w:tc>
        <w:tc>
          <w:tcPr>
            <w:tcW w:w="0" w:type="auto"/>
            <w:gridSpan w:val="3"/>
            <w:shd w:val="clear" w:color="auto" w:fill="auto"/>
            <w:vAlign w:val="bottom"/>
          </w:tcPr>
          <w:p w14:paraId="74DD89E9" w14:textId="77777777" w:rsidR="00584EC1" w:rsidRDefault="00584EC1">
            <w:pPr>
              <w:rPr>
                <w:rFonts w:ascii="宋体"/>
                <w:vanish/>
              </w:rPr>
            </w:pPr>
          </w:p>
        </w:tc>
        <w:tc>
          <w:tcPr>
            <w:tcW w:w="0" w:type="auto"/>
            <w:gridSpan w:val="3"/>
            <w:shd w:val="clear" w:color="auto" w:fill="auto"/>
            <w:vAlign w:val="bottom"/>
          </w:tcPr>
          <w:p w14:paraId="74DD89EA" w14:textId="77777777" w:rsidR="00584EC1" w:rsidRDefault="00584EC1">
            <w:pPr>
              <w:rPr>
                <w:rFonts w:ascii="宋体"/>
                <w:vanish/>
              </w:rPr>
            </w:pPr>
          </w:p>
        </w:tc>
        <w:tc>
          <w:tcPr>
            <w:tcW w:w="0" w:type="auto"/>
            <w:gridSpan w:val="3"/>
            <w:shd w:val="clear" w:color="auto" w:fill="auto"/>
            <w:vAlign w:val="bottom"/>
          </w:tcPr>
          <w:p w14:paraId="74DD89EB" w14:textId="77777777" w:rsidR="00584EC1" w:rsidRDefault="00584EC1">
            <w:pPr>
              <w:rPr>
                <w:rFonts w:ascii="宋体"/>
                <w:vanish/>
              </w:rPr>
            </w:pPr>
          </w:p>
        </w:tc>
        <w:tc>
          <w:tcPr>
            <w:tcW w:w="0" w:type="auto"/>
            <w:gridSpan w:val="3"/>
            <w:shd w:val="clear" w:color="auto" w:fill="auto"/>
            <w:vAlign w:val="bottom"/>
          </w:tcPr>
          <w:p w14:paraId="74DD89EC" w14:textId="77777777" w:rsidR="00584EC1" w:rsidRDefault="00584EC1">
            <w:pPr>
              <w:rPr>
                <w:rFonts w:ascii="宋体"/>
                <w:vanish/>
              </w:rPr>
            </w:pPr>
          </w:p>
        </w:tc>
      </w:tr>
      <w:tr w:rsidR="00584EC1" w14:paraId="74DD89F9" w14:textId="77777777">
        <w:tc>
          <w:tcPr>
            <w:tcW w:w="0" w:type="auto"/>
            <w:gridSpan w:val="3"/>
            <w:shd w:val="clear" w:color="auto" w:fill="FFFFFF"/>
            <w:tcMar>
              <w:top w:w="40" w:type="dxa"/>
              <w:left w:w="20" w:type="dxa"/>
              <w:bottom w:w="40" w:type="dxa"/>
              <w:right w:w="20" w:type="dxa"/>
            </w:tcMar>
            <w:vAlign w:val="bottom"/>
          </w:tcPr>
          <w:p w14:paraId="74DD89EE" w14:textId="77777777" w:rsidR="00584EC1" w:rsidRDefault="00871F8D">
            <w:pPr>
              <w:textAlignment w:val="bottom"/>
            </w:pPr>
            <w:r>
              <w:rPr>
                <w:rFonts w:ascii="Arial" w:eastAsia="宋体" w:hAnsi="Arial" w:cs="Arial"/>
                <w:color w:val="000000"/>
                <w:sz w:val="14"/>
                <w:szCs w:val="14"/>
              </w:rPr>
              <w:t>Collateralized loan obligations</w:t>
            </w:r>
            <w:r>
              <w:rPr>
                <w:rFonts w:ascii="Arial" w:eastAsia="宋体" w:hAnsi="Arial" w:cs="Arial"/>
                <w:color w:val="000000"/>
                <w:sz w:val="9"/>
                <w:szCs w:val="9"/>
              </w:rPr>
              <w:t>(3)</w:t>
            </w:r>
          </w:p>
        </w:tc>
        <w:tc>
          <w:tcPr>
            <w:tcW w:w="0" w:type="auto"/>
            <w:gridSpan w:val="2"/>
            <w:shd w:val="clear" w:color="auto" w:fill="FFFFFF"/>
            <w:tcMar>
              <w:top w:w="40" w:type="dxa"/>
              <w:left w:w="20" w:type="dxa"/>
              <w:bottom w:w="40" w:type="dxa"/>
              <w:right w:w="0" w:type="dxa"/>
            </w:tcMar>
            <w:vAlign w:val="bottom"/>
          </w:tcPr>
          <w:p w14:paraId="74DD89EF" w14:textId="77777777" w:rsidR="00584EC1" w:rsidRDefault="00871F8D">
            <w:pPr>
              <w:jc w:val="right"/>
              <w:textAlignment w:val="bottom"/>
            </w:pPr>
            <w:r>
              <w:rPr>
                <w:rFonts w:ascii="Arial" w:eastAsia="宋体" w:hAnsi="Arial" w:cs="Arial"/>
                <w:b/>
                <w:bCs/>
                <w:color w:val="000000"/>
                <w:sz w:val="14"/>
                <w:szCs w:val="14"/>
              </w:rPr>
              <w:t>4,296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89F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9F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9F2" w14:textId="77777777" w:rsidR="00584EC1" w:rsidRDefault="00871F8D">
            <w:pPr>
              <w:jc w:val="right"/>
              <w:textAlignment w:val="bottom"/>
            </w:pPr>
            <w:r>
              <w:rPr>
                <w:rFonts w:ascii="Arial" w:eastAsia="宋体" w:hAnsi="Arial" w:cs="Arial"/>
                <w:color w:val="000000"/>
                <w:sz w:val="14"/>
                <w:szCs w:val="14"/>
              </w:rPr>
              <w:t>2,966 </w:t>
            </w:r>
          </w:p>
        </w:tc>
        <w:tc>
          <w:tcPr>
            <w:tcW w:w="0" w:type="auto"/>
            <w:shd w:val="clear" w:color="auto" w:fill="FFFFFF"/>
            <w:tcMar>
              <w:top w:w="40" w:type="dxa"/>
              <w:left w:w="0" w:type="dxa"/>
              <w:bottom w:w="40" w:type="dxa"/>
              <w:right w:w="20" w:type="dxa"/>
            </w:tcMar>
            <w:vAlign w:val="bottom"/>
          </w:tcPr>
          <w:p w14:paraId="74DD89F3" w14:textId="77777777" w:rsidR="00584EC1" w:rsidRDefault="00584EC1">
            <w:pPr>
              <w:jc w:val="right"/>
              <w:rPr>
                <w:rFonts w:ascii="宋体"/>
              </w:rPr>
            </w:pPr>
          </w:p>
        </w:tc>
        <w:tc>
          <w:tcPr>
            <w:tcW w:w="0" w:type="auto"/>
            <w:gridSpan w:val="3"/>
            <w:shd w:val="clear" w:color="auto" w:fill="auto"/>
            <w:vAlign w:val="bottom"/>
          </w:tcPr>
          <w:p w14:paraId="74DD89F4" w14:textId="77777777" w:rsidR="00584EC1" w:rsidRDefault="00584EC1">
            <w:pPr>
              <w:rPr>
                <w:rFonts w:ascii="宋体"/>
                <w:vanish/>
              </w:rPr>
            </w:pPr>
          </w:p>
        </w:tc>
        <w:tc>
          <w:tcPr>
            <w:tcW w:w="0" w:type="auto"/>
            <w:gridSpan w:val="3"/>
            <w:shd w:val="clear" w:color="auto" w:fill="auto"/>
            <w:vAlign w:val="bottom"/>
          </w:tcPr>
          <w:p w14:paraId="74DD89F5" w14:textId="77777777" w:rsidR="00584EC1" w:rsidRDefault="00584EC1">
            <w:pPr>
              <w:rPr>
                <w:rFonts w:ascii="宋体"/>
                <w:vanish/>
              </w:rPr>
            </w:pPr>
          </w:p>
        </w:tc>
        <w:tc>
          <w:tcPr>
            <w:tcW w:w="0" w:type="auto"/>
            <w:gridSpan w:val="3"/>
            <w:shd w:val="clear" w:color="auto" w:fill="auto"/>
            <w:vAlign w:val="bottom"/>
          </w:tcPr>
          <w:p w14:paraId="74DD89F6" w14:textId="77777777" w:rsidR="00584EC1" w:rsidRDefault="00584EC1">
            <w:pPr>
              <w:rPr>
                <w:rFonts w:ascii="宋体"/>
                <w:vanish/>
              </w:rPr>
            </w:pPr>
          </w:p>
        </w:tc>
        <w:tc>
          <w:tcPr>
            <w:tcW w:w="0" w:type="auto"/>
            <w:gridSpan w:val="3"/>
            <w:shd w:val="clear" w:color="auto" w:fill="auto"/>
            <w:vAlign w:val="bottom"/>
          </w:tcPr>
          <w:p w14:paraId="74DD89F7" w14:textId="77777777" w:rsidR="00584EC1" w:rsidRDefault="00584EC1">
            <w:pPr>
              <w:rPr>
                <w:rFonts w:ascii="宋体"/>
                <w:vanish/>
              </w:rPr>
            </w:pPr>
          </w:p>
        </w:tc>
        <w:tc>
          <w:tcPr>
            <w:tcW w:w="0" w:type="auto"/>
            <w:gridSpan w:val="3"/>
            <w:shd w:val="clear" w:color="auto" w:fill="auto"/>
            <w:vAlign w:val="bottom"/>
          </w:tcPr>
          <w:p w14:paraId="74DD89F8" w14:textId="77777777" w:rsidR="00584EC1" w:rsidRDefault="00584EC1">
            <w:pPr>
              <w:rPr>
                <w:rFonts w:ascii="宋体"/>
                <w:vanish/>
              </w:rPr>
            </w:pPr>
          </w:p>
        </w:tc>
      </w:tr>
      <w:tr w:rsidR="00584EC1" w14:paraId="74DD8A05" w14:textId="77777777">
        <w:tc>
          <w:tcPr>
            <w:tcW w:w="0" w:type="auto"/>
            <w:gridSpan w:val="3"/>
            <w:shd w:val="clear" w:color="auto" w:fill="CCEEFF"/>
            <w:tcMar>
              <w:top w:w="40" w:type="dxa"/>
              <w:left w:w="20" w:type="dxa"/>
              <w:bottom w:w="40" w:type="dxa"/>
              <w:right w:w="20" w:type="dxa"/>
            </w:tcMar>
            <w:vAlign w:val="bottom"/>
          </w:tcPr>
          <w:p w14:paraId="74DD89FA" w14:textId="77777777" w:rsidR="00584EC1" w:rsidRDefault="00871F8D">
            <w:pPr>
              <w:jc w:val="both"/>
              <w:textAlignment w:val="bottom"/>
            </w:pPr>
            <w:r>
              <w:rPr>
                <w:rFonts w:ascii="Arial" w:eastAsia="宋体" w:hAnsi="Arial" w:cs="Arial"/>
                <w:color w:val="000000"/>
                <w:sz w:val="14"/>
                <w:szCs w:val="14"/>
              </w:rPr>
              <w:t>Non-agency CMBS and RMBS</w:t>
            </w:r>
            <w:r>
              <w:rPr>
                <w:rFonts w:ascii="Arial" w:eastAsia="宋体" w:hAnsi="Arial" w:cs="Arial"/>
                <w:color w:val="000000"/>
                <w:sz w:val="9"/>
                <w:szCs w:val="9"/>
              </w:rPr>
              <w:t>(4)</w:t>
            </w:r>
          </w:p>
        </w:tc>
        <w:tc>
          <w:tcPr>
            <w:tcW w:w="0" w:type="auto"/>
            <w:gridSpan w:val="2"/>
            <w:shd w:val="clear" w:color="auto" w:fill="CCEEFF"/>
            <w:tcMar>
              <w:top w:w="40" w:type="dxa"/>
              <w:left w:w="20" w:type="dxa"/>
              <w:bottom w:w="40" w:type="dxa"/>
              <w:right w:w="0" w:type="dxa"/>
            </w:tcMar>
            <w:vAlign w:val="bottom"/>
          </w:tcPr>
          <w:p w14:paraId="74DD89FB" w14:textId="77777777" w:rsidR="00584EC1" w:rsidRDefault="00871F8D">
            <w:pPr>
              <w:jc w:val="right"/>
              <w:textAlignment w:val="bottom"/>
            </w:pPr>
            <w:r>
              <w:rPr>
                <w:rFonts w:ascii="Arial" w:eastAsia="宋体" w:hAnsi="Arial" w:cs="Arial"/>
                <w:b/>
                <w:bCs/>
                <w:color w:val="000000"/>
                <w:sz w:val="14"/>
                <w:szCs w:val="14"/>
              </w:rPr>
              <w:t>59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89F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9F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9FE" w14:textId="77777777" w:rsidR="00584EC1" w:rsidRDefault="00871F8D">
            <w:pPr>
              <w:jc w:val="right"/>
              <w:textAlignment w:val="bottom"/>
            </w:pPr>
            <w:r>
              <w:rPr>
                <w:rFonts w:ascii="Arial" w:eastAsia="宋体" w:hAnsi="Arial" w:cs="Arial"/>
                <w:color w:val="000000"/>
                <w:sz w:val="14"/>
                <w:szCs w:val="14"/>
              </w:rPr>
              <w:t>78 </w:t>
            </w:r>
          </w:p>
        </w:tc>
        <w:tc>
          <w:tcPr>
            <w:tcW w:w="0" w:type="auto"/>
            <w:shd w:val="clear" w:color="auto" w:fill="CCEEFF"/>
            <w:tcMar>
              <w:top w:w="40" w:type="dxa"/>
              <w:left w:w="0" w:type="dxa"/>
              <w:bottom w:w="40" w:type="dxa"/>
              <w:right w:w="20" w:type="dxa"/>
            </w:tcMar>
            <w:vAlign w:val="bottom"/>
          </w:tcPr>
          <w:p w14:paraId="74DD89FF" w14:textId="77777777" w:rsidR="00584EC1" w:rsidRDefault="00584EC1">
            <w:pPr>
              <w:jc w:val="right"/>
              <w:rPr>
                <w:rFonts w:ascii="宋体"/>
              </w:rPr>
            </w:pPr>
          </w:p>
        </w:tc>
        <w:tc>
          <w:tcPr>
            <w:tcW w:w="0" w:type="auto"/>
            <w:gridSpan w:val="3"/>
            <w:shd w:val="clear" w:color="auto" w:fill="auto"/>
            <w:vAlign w:val="bottom"/>
          </w:tcPr>
          <w:p w14:paraId="74DD8A00" w14:textId="77777777" w:rsidR="00584EC1" w:rsidRDefault="00584EC1">
            <w:pPr>
              <w:rPr>
                <w:rFonts w:ascii="宋体"/>
                <w:vanish/>
              </w:rPr>
            </w:pPr>
          </w:p>
        </w:tc>
        <w:tc>
          <w:tcPr>
            <w:tcW w:w="0" w:type="auto"/>
            <w:gridSpan w:val="3"/>
            <w:shd w:val="clear" w:color="auto" w:fill="auto"/>
            <w:vAlign w:val="bottom"/>
          </w:tcPr>
          <w:p w14:paraId="74DD8A01" w14:textId="77777777" w:rsidR="00584EC1" w:rsidRDefault="00584EC1">
            <w:pPr>
              <w:rPr>
                <w:rFonts w:ascii="宋体"/>
                <w:vanish/>
              </w:rPr>
            </w:pPr>
          </w:p>
        </w:tc>
        <w:tc>
          <w:tcPr>
            <w:tcW w:w="0" w:type="auto"/>
            <w:gridSpan w:val="3"/>
            <w:shd w:val="clear" w:color="auto" w:fill="auto"/>
            <w:vAlign w:val="bottom"/>
          </w:tcPr>
          <w:p w14:paraId="74DD8A02" w14:textId="77777777" w:rsidR="00584EC1" w:rsidRDefault="00584EC1">
            <w:pPr>
              <w:rPr>
                <w:rFonts w:ascii="宋体"/>
                <w:vanish/>
              </w:rPr>
            </w:pPr>
          </w:p>
        </w:tc>
        <w:tc>
          <w:tcPr>
            <w:tcW w:w="0" w:type="auto"/>
            <w:gridSpan w:val="3"/>
            <w:shd w:val="clear" w:color="auto" w:fill="auto"/>
            <w:vAlign w:val="bottom"/>
          </w:tcPr>
          <w:p w14:paraId="74DD8A03" w14:textId="77777777" w:rsidR="00584EC1" w:rsidRDefault="00584EC1">
            <w:pPr>
              <w:rPr>
                <w:rFonts w:ascii="宋体"/>
                <w:vanish/>
              </w:rPr>
            </w:pPr>
          </w:p>
        </w:tc>
        <w:tc>
          <w:tcPr>
            <w:tcW w:w="0" w:type="auto"/>
            <w:gridSpan w:val="3"/>
            <w:shd w:val="clear" w:color="auto" w:fill="auto"/>
            <w:vAlign w:val="bottom"/>
          </w:tcPr>
          <w:p w14:paraId="74DD8A04" w14:textId="77777777" w:rsidR="00584EC1" w:rsidRDefault="00584EC1">
            <w:pPr>
              <w:rPr>
                <w:rFonts w:ascii="宋体"/>
                <w:vanish/>
              </w:rPr>
            </w:pPr>
          </w:p>
        </w:tc>
      </w:tr>
      <w:tr w:rsidR="00584EC1" w14:paraId="74DD8A11" w14:textId="77777777">
        <w:tc>
          <w:tcPr>
            <w:tcW w:w="0" w:type="auto"/>
            <w:gridSpan w:val="3"/>
            <w:shd w:val="clear" w:color="auto" w:fill="FFFFFF"/>
            <w:tcMar>
              <w:top w:w="40" w:type="dxa"/>
              <w:left w:w="140" w:type="dxa"/>
              <w:bottom w:w="40" w:type="dxa"/>
              <w:right w:w="20" w:type="dxa"/>
            </w:tcMar>
            <w:vAlign w:val="bottom"/>
          </w:tcPr>
          <w:p w14:paraId="74DD8A06" w14:textId="77777777" w:rsidR="00584EC1" w:rsidRDefault="00871F8D">
            <w:pPr>
              <w:textAlignment w:val="bottom"/>
            </w:pPr>
            <w:r>
              <w:rPr>
                <w:rFonts w:ascii="Arial" w:eastAsia="宋体" w:hAnsi="Arial" w:cs="Arial"/>
                <w:color w:val="000000"/>
                <w:sz w:val="14"/>
                <w:szCs w:val="14"/>
              </w:rPr>
              <w:t>Other</w:t>
            </w:r>
          </w:p>
        </w:tc>
        <w:tc>
          <w:tcPr>
            <w:tcW w:w="0" w:type="auto"/>
            <w:gridSpan w:val="2"/>
            <w:shd w:val="clear" w:color="auto" w:fill="FFFFFF"/>
            <w:tcMar>
              <w:top w:w="40" w:type="dxa"/>
              <w:left w:w="20" w:type="dxa"/>
              <w:bottom w:w="40" w:type="dxa"/>
              <w:right w:w="0" w:type="dxa"/>
            </w:tcMar>
            <w:vAlign w:val="bottom"/>
          </w:tcPr>
          <w:p w14:paraId="74DD8A07" w14:textId="77777777" w:rsidR="00584EC1" w:rsidRDefault="00871F8D">
            <w:pPr>
              <w:jc w:val="right"/>
              <w:textAlignment w:val="bottom"/>
            </w:pPr>
            <w:r>
              <w:rPr>
                <w:rFonts w:ascii="Arial" w:eastAsia="宋体" w:hAnsi="Arial" w:cs="Arial"/>
                <w:b/>
                <w:bCs/>
                <w:color w:val="000000"/>
                <w:sz w:val="14"/>
                <w:szCs w:val="14"/>
              </w:rPr>
              <w:t>92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8A0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A0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A0A" w14:textId="77777777" w:rsidR="00584EC1" w:rsidRDefault="00871F8D">
            <w:pPr>
              <w:jc w:val="right"/>
              <w:textAlignment w:val="bottom"/>
            </w:pPr>
            <w:r>
              <w:rPr>
                <w:rFonts w:ascii="Arial" w:eastAsia="宋体" w:hAnsi="Arial" w:cs="Arial"/>
                <w:color w:val="000000"/>
                <w:sz w:val="14"/>
                <w:szCs w:val="14"/>
              </w:rPr>
              <w:t>90 </w:t>
            </w:r>
          </w:p>
        </w:tc>
        <w:tc>
          <w:tcPr>
            <w:tcW w:w="0" w:type="auto"/>
            <w:shd w:val="clear" w:color="auto" w:fill="FFFFFF"/>
            <w:tcMar>
              <w:top w:w="40" w:type="dxa"/>
              <w:left w:w="0" w:type="dxa"/>
              <w:bottom w:w="40" w:type="dxa"/>
              <w:right w:w="20" w:type="dxa"/>
            </w:tcMar>
            <w:vAlign w:val="bottom"/>
          </w:tcPr>
          <w:p w14:paraId="74DD8A0B" w14:textId="77777777" w:rsidR="00584EC1" w:rsidRDefault="00584EC1">
            <w:pPr>
              <w:jc w:val="right"/>
              <w:rPr>
                <w:rFonts w:ascii="宋体"/>
              </w:rPr>
            </w:pPr>
          </w:p>
        </w:tc>
        <w:tc>
          <w:tcPr>
            <w:tcW w:w="0" w:type="auto"/>
            <w:gridSpan w:val="3"/>
            <w:shd w:val="clear" w:color="auto" w:fill="auto"/>
            <w:vAlign w:val="bottom"/>
          </w:tcPr>
          <w:p w14:paraId="74DD8A0C" w14:textId="77777777" w:rsidR="00584EC1" w:rsidRDefault="00584EC1">
            <w:pPr>
              <w:rPr>
                <w:rFonts w:ascii="宋体"/>
                <w:vanish/>
              </w:rPr>
            </w:pPr>
          </w:p>
        </w:tc>
        <w:tc>
          <w:tcPr>
            <w:tcW w:w="0" w:type="auto"/>
            <w:gridSpan w:val="3"/>
            <w:shd w:val="clear" w:color="auto" w:fill="auto"/>
            <w:vAlign w:val="bottom"/>
          </w:tcPr>
          <w:p w14:paraId="74DD8A0D" w14:textId="77777777" w:rsidR="00584EC1" w:rsidRDefault="00584EC1">
            <w:pPr>
              <w:rPr>
                <w:rFonts w:ascii="宋体"/>
                <w:vanish/>
              </w:rPr>
            </w:pPr>
          </w:p>
        </w:tc>
        <w:tc>
          <w:tcPr>
            <w:tcW w:w="0" w:type="auto"/>
            <w:gridSpan w:val="3"/>
            <w:shd w:val="clear" w:color="auto" w:fill="auto"/>
            <w:vAlign w:val="bottom"/>
          </w:tcPr>
          <w:p w14:paraId="74DD8A0E" w14:textId="77777777" w:rsidR="00584EC1" w:rsidRDefault="00584EC1">
            <w:pPr>
              <w:rPr>
                <w:rFonts w:ascii="宋体"/>
                <w:vanish/>
              </w:rPr>
            </w:pPr>
          </w:p>
        </w:tc>
        <w:tc>
          <w:tcPr>
            <w:tcW w:w="0" w:type="auto"/>
            <w:gridSpan w:val="3"/>
            <w:shd w:val="clear" w:color="auto" w:fill="auto"/>
            <w:vAlign w:val="bottom"/>
          </w:tcPr>
          <w:p w14:paraId="74DD8A0F" w14:textId="77777777" w:rsidR="00584EC1" w:rsidRDefault="00584EC1">
            <w:pPr>
              <w:rPr>
                <w:rFonts w:ascii="宋体"/>
                <w:vanish/>
              </w:rPr>
            </w:pPr>
          </w:p>
        </w:tc>
        <w:tc>
          <w:tcPr>
            <w:tcW w:w="0" w:type="auto"/>
            <w:gridSpan w:val="3"/>
            <w:shd w:val="clear" w:color="auto" w:fill="auto"/>
            <w:vAlign w:val="bottom"/>
          </w:tcPr>
          <w:p w14:paraId="74DD8A10" w14:textId="77777777" w:rsidR="00584EC1" w:rsidRDefault="00584EC1">
            <w:pPr>
              <w:rPr>
                <w:rFonts w:ascii="宋体"/>
                <w:vanish/>
              </w:rPr>
            </w:pPr>
          </w:p>
        </w:tc>
      </w:tr>
      <w:tr w:rsidR="00584EC1" w14:paraId="74DD8A1D" w14:textId="77777777">
        <w:tc>
          <w:tcPr>
            <w:tcW w:w="0" w:type="auto"/>
            <w:gridSpan w:val="3"/>
            <w:shd w:val="clear" w:color="auto" w:fill="CCEEFF"/>
            <w:tcMar>
              <w:top w:w="40" w:type="dxa"/>
              <w:left w:w="20" w:type="dxa"/>
              <w:bottom w:w="40" w:type="dxa"/>
              <w:right w:w="20" w:type="dxa"/>
            </w:tcMar>
            <w:vAlign w:val="bottom"/>
          </w:tcPr>
          <w:p w14:paraId="74DD8A12" w14:textId="77777777" w:rsidR="00584EC1" w:rsidRDefault="00871F8D">
            <w:pPr>
              <w:jc w:val="both"/>
              <w:textAlignment w:val="bottom"/>
            </w:pPr>
            <w:r>
              <w:rPr>
                <w:rFonts w:ascii="Arial" w:eastAsia="宋体" w:hAnsi="Arial" w:cs="Arial"/>
                <w:color w:val="000000"/>
                <w:sz w:val="14"/>
                <w:szCs w:val="14"/>
              </w:rPr>
              <w:t xml:space="preserve">Total </w:t>
            </w:r>
            <w:r>
              <w:rPr>
                <w:rFonts w:ascii="Arial" w:eastAsia="宋体" w:hAnsi="Arial" w:cs="Arial"/>
                <w:color w:val="000000"/>
                <w:sz w:val="14"/>
                <w:szCs w:val="14"/>
              </w:rPr>
              <w:t>asset-backed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8A13" w14:textId="77777777" w:rsidR="00584EC1" w:rsidRDefault="00871F8D">
            <w:pPr>
              <w:jc w:val="right"/>
              <w:textAlignment w:val="bottom"/>
            </w:pPr>
            <w:r>
              <w:rPr>
                <w:rFonts w:ascii="Arial" w:eastAsia="宋体" w:hAnsi="Arial" w:cs="Arial"/>
                <w:b/>
                <w:bCs/>
                <w:color w:val="000000"/>
                <w:sz w:val="14"/>
                <w:szCs w:val="14"/>
              </w:rPr>
              <w:t>4,678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A1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A15"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8A16" w14:textId="77777777" w:rsidR="00584EC1" w:rsidRDefault="00871F8D">
            <w:pPr>
              <w:jc w:val="right"/>
              <w:textAlignment w:val="bottom"/>
            </w:pPr>
            <w:r>
              <w:rPr>
                <w:rFonts w:ascii="Arial" w:eastAsia="宋体" w:hAnsi="Arial" w:cs="Arial"/>
                <w:color w:val="000000"/>
                <w:sz w:val="14"/>
                <w:szCs w:val="14"/>
              </w:rPr>
              <w:t>3,448 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A17" w14:textId="77777777" w:rsidR="00584EC1" w:rsidRDefault="00584EC1">
            <w:pPr>
              <w:jc w:val="right"/>
              <w:rPr>
                <w:rFonts w:ascii="宋体"/>
              </w:rPr>
            </w:pPr>
          </w:p>
        </w:tc>
        <w:tc>
          <w:tcPr>
            <w:tcW w:w="0" w:type="auto"/>
            <w:gridSpan w:val="3"/>
            <w:shd w:val="clear" w:color="auto" w:fill="auto"/>
            <w:vAlign w:val="bottom"/>
          </w:tcPr>
          <w:p w14:paraId="74DD8A18" w14:textId="77777777" w:rsidR="00584EC1" w:rsidRDefault="00584EC1">
            <w:pPr>
              <w:rPr>
                <w:rFonts w:ascii="宋体"/>
                <w:vanish/>
              </w:rPr>
            </w:pPr>
          </w:p>
        </w:tc>
        <w:tc>
          <w:tcPr>
            <w:tcW w:w="0" w:type="auto"/>
            <w:gridSpan w:val="3"/>
            <w:shd w:val="clear" w:color="auto" w:fill="auto"/>
            <w:vAlign w:val="bottom"/>
          </w:tcPr>
          <w:p w14:paraId="74DD8A19" w14:textId="77777777" w:rsidR="00584EC1" w:rsidRDefault="00584EC1">
            <w:pPr>
              <w:rPr>
                <w:rFonts w:ascii="宋体"/>
                <w:vanish/>
              </w:rPr>
            </w:pPr>
          </w:p>
        </w:tc>
        <w:tc>
          <w:tcPr>
            <w:tcW w:w="0" w:type="auto"/>
            <w:gridSpan w:val="3"/>
            <w:shd w:val="clear" w:color="auto" w:fill="auto"/>
            <w:vAlign w:val="bottom"/>
          </w:tcPr>
          <w:p w14:paraId="74DD8A1A" w14:textId="77777777" w:rsidR="00584EC1" w:rsidRDefault="00584EC1">
            <w:pPr>
              <w:rPr>
                <w:rFonts w:ascii="宋体"/>
                <w:vanish/>
              </w:rPr>
            </w:pPr>
          </w:p>
        </w:tc>
        <w:tc>
          <w:tcPr>
            <w:tcW w:w="0" w:type="auto"/>
            <w:gridSpan w:val="3"/>
            <w:shd w:val="clear" w:color="auto" w:fill="auto"/>
            <w:vAlign w:val="bottom"/>
          </w:tcPr>
          <w:p w14:paraId="74DD8A1B" w14:textId="77777777" w:rsidR="00584EC1" w:rsidRDefault="00584EC1">
            <w:pPr>
              <w:rPr>
                <w:rFonts w:ascii="宋体"/>
                <w:vanish/>
              </w:rPr>
            </w:pPr>
          </w:p>
        </w:tc>
        <w:tc>
          <w:tcPr>
            <w:tcW w:w="0" w:type="auto"/>
            <w:gridSpan w:val="3"/>
            <w:shd w:val="clear" w:color="auto" w:fill="auto"/>
            <w:vAlign w:val="bottom"/>
          </w:tcPr>
          <w:p w14:paraId="74DD8A1C" w14:textId="77777777" w:rsidR="00584EC1" w:rsidRDefault="00584EC1">
            <w:pPr>
              <w:rPr>
                <w:rFonts w:ascii="宋体"/>
                <w:vanish/>
              </w:rPr>
            </w:pPr>
          </w:p>
        </w:tc>
      </w:tr>
      <w:tr w:rsidR="00584EC1" w14:paraId="74DD8A29" w14:textId="77777777">
        <w:tc>
          <w:tcPr>
            <w:tcW w:w="0" w:type="auto"/>
            <w:gridSpan w:val="3"/>
            <w:shd w:val="clear" w:color="auto" w:fill="FFFFFF"/>
            <w:tcMar>
              <w:top w:w="40" w:type="dxa"/>
              <w:left w:w="20" w:type="dxa"/>
              <w:bottom w:w="40" w:type="dxa"/>
              <w:right w:w="20" w:type="dxa"/>
            </w:tcMar>
            <w:vAlign w:val="bottom"/>
          </w:tcPr>
          <w:p w14:paraId="74DD8A1E" w14:textId="77777777" w:rsidR="00584EC1" w:rsidRDefault="00871F8D">
            <w:pPr>
              <w:jc w:val="both"/>
              <w:textAlignment w:val="bottom"/>
            </w:pPr>
            <w:r>
              <w:rPr>
                <w:rFonts w:ascii="Arial" w:eastAsia="宋体" w:hAnsi="Arial" w:cs="Arial"/>
                <w:color w:val="000000"/>
                <w:sz w:val="14"/>
                <w:szCs w:val="14"/>
              </w:rPr>
              <w:t>State and political subdivisions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8A1F" w14:textId="77777777" w:rsidR="00584EC1" w:rsidRDefault="00871F8D">
            <w:pPr>
              <w:jc w:val="right"/>
              <w:textAlignment w:val="bottom"/>
            </w:pPr>
            <w:r>
              <w:rPr>
                <w:rFonts w:ascii="Arial" w:eastAsia="宋体" w:hAnsi="Arial" w:cs="Arial"/>
                <w:b/>
                <w:bCs/>
                <w:color w:val="000000"/>
                <w:sz w:val="14"/>
                <w:szCs w:val="14"/>
              </w:rPr>
              <w:t>1,396</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8A2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A21"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8A22" w14:textId="77777777" w:rsidR="00584EC1" w:rsidRDefault="00871F8D">
            <w:pPr>
              <w:jc w:val="right"/>
              <w:textAlignment w:val="bottom"/>
            </w:pPr>
            <w:r>
              <w:rPr>
                <w:rFonts w:ascii="Arial" w:eastAsia="宋体" w:hAnsi="Arial" w:cs="Arial"/>
                <w:color w:val="000000"/>
                <w:sz w:val="14"/>
                <w:szCs w:val="14"/>
              </w:rPr>
              <w:t>1,548 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8A23" w14:textId="77777777" w:rsidR="00584EC1" w:rsidRDefault="00584EC1">
            <w:pPr>
              <w:jc w:val="right"/>
              <w:rPr>
                <w:rFonts w:ascii="宋体"/>
              </w:rPr>
            </w:pPr>
          </w:p>
        </w:tc>
        <w:tc>
          <w:tcPr>
            <w:tcW w:w="0" w:type="auto"/>
            <w:gridSpan w:val="3"/>
            <w:shd w:val="clear" w:color="auto" w:fill="auto"/>
            <w:vAlign w:val="bottom"/>
          </w:tcPr>
          <w:p w14:paraId="74DD8A24" w14:textId="77777777" w:rsidR="00584EC1" w:rsidRDefault="00584EC1">
            <w:pPr>
              <w:rPr>
                <w:rFonts w:ascii="宋体"/>
                <w:vanish/>
              </w:rPr>
            </w:pPr>
          </w:p>
        </w:tc>
        <w:tc>
          <w:tcPr>
            <w:tcW w:w="0" w:type="auto"/>
            <w:gridSpan w:val="3"/>
            <w:shd w:val="clear" w:color="auto" w:fill="auto"/>
            <w:vAlign w:val="bottom"/>
          </w:tcPr>
          <w:p w14:paraId="74DD8A25" w14:textId="77777777" w:rsidR="00584EC1" w:rsidRDefault="00584EC1">
            <w:pPr>
              <w:rPr>
                <w:rFonts w:ascii="宋体"/>
                <w:vanish/>
              </w:rPr>
            </w:pPr>
          </w:p>
        </w:tc>
        <w:tc>
          <w:tcPr>
            <w:tcW w:w="0" w:type="auto"/>
            <w:gridSpan w:val="3"/>
            <w:shd w:val="clear" w:color="auto" w:fill="auto"/>
            <w:vAlign w:val="bottom"/>
          </w:tcPr>
          <w:p w14:paraId="74DD8A26" w14:textId="77777777" w:rsidR="00584EC1" w:rsidRDefault="00584EC1">
            <w:pPr>
              <w:rPr>
                <w:rFonts w:ascii="宋体"/>
                <w:vanish/>
              </w:rPr>
            </w:pPr>
          </w:p>
        </w:tc>
        <w:tc>
          <w:tcPr>
            <w:tcW w:w="0" w:type="auto"/>
            <w:gridSpan w:val="3"/>
            <w:shd w:val="clear" w:color="auto" w:fill="auto"/>
            <w:vAlign w:val="bottom"/>
          </w:tcPr>
          <w:p w14:paraId="74DD8A27" w14:textId="77777777" w:rsidR="00584EC1" w:rsidRDefault="00584EC1">
            <w:pPr>
              <w:rPr>
                <w:rFonts w:ascii="宋体"/>
                <w:vanish/>
              </w:rPr>
            </w:pPr>
          </w:p>
        </w:tc>
        <w:tc>
          <w:tcPr>
            <w:tcW w:w="0" w:type="auto"/>
            <w:gridSpan w:val="3"/>
            <w:shd w:val="clear" w:color="auto" w:fill="auto"/>
            <w:vAlign w:val="bottom"/>
          </w:tcPr>
          <w:p w14:paraId="74DD8A28" w14:textId="77777777" w:rsidR="00584EC1" w:rsidRDefault="00584EC1">
            <w:pPr>
              <w:rPr>
                <w:rFonts w:ascii="宋体"/>
                <w:vanish/>
              </w:rPr>
            </w:pPr>
          </w:p>
        </w:tc>
      </w:tr>
      <w:tr w:rsidR="00584EC1" w14:paraId="74DD8A33" w14:textId="77777777">
        <w:trPr>
          <w:hidden/>
        </w:trPr>
        <w:tc>
          <w:tcPr>
            <w:tcW w:w="0" w:type="auto"/>
            <w:gridSpan w:val="3"/>
            <w:shd w:val="clear" w:color="auto" w:fill="auto"/>
            <w:vAlign w:val="bottom"/>
          </w:tcPr>
          <w:p w14:paraId="74DD8A2A" w14:textId="77777777" w:rsidR="00584EC1" w:rsidRDefault="00584EC1">
            <w:pPr>
              <w:rPr>
                <w:rFonts w:ascii="宋体"/>
                <w:vanish/>
              </w:rPr>
            </w:pPr>
          </w:p>
        </w:tc>
        <w:tc>
          <w:tcPr>
            <w:tcW w:w="0" w:type="auto"/>
            <w:gridSpan w:val="3"/>
            <w:shd w:val="clear" w:color="auto" w:fill="auto"/>
            <w:vAlign w:val="bottom"/>
          </w:tcPr>
          <w:p w14:paraId="74DD8A2B" w14:textId="77777777" w:rsidR="00584EC1" w:rsidRDefault="00584EC1">
            <w:pPr>
              <w:rPr>
                <w:rFonts w:ascii="宋体"/>
                <w:vanish/>
              </w:rPr>
            </w:pPr>
          </w:p>
        </w:tc>
        <w:tc>
          <w:tcPr>
            <w:tcW w:w="0" w:type="auto"/>
            <w:gridSpan w:val="3"/>
            <w:shd w:val="clear" w:color="auto" w:fill="auto"/>
            <w:vAlign w:val="bottom"/>
          </w:tcPr>
          <w:p w14:paraId="74DD8A2C" w14:textId="77777777" w:rsidR="00584EC1" w:rsidRDefault="00584EC1">
            <w:pPr>
              <w:rPr>
                <w:rFonts w:ascii="宋体"/>
                <w:vanish/>
              </w:rPr>
            </w:pPr>
          </w:p>
        </w:tc>
        <w:tc>
          <w:tcPr>
            <w:tcW w:w="0" w:type="auto"/>
            <w:gridSpan w:val="3"/>
            <w:shd w:val="clear" w:color="auto" w:fill="auto"/>
            <w:vAlign w:val="bottom"/>
          </w:tcPr>
          <w:p w14:paraId="74DD8A2D" w14:textId="77777777" w:rsidR="00584EC1" w:rsidRDefault="00584EC1">
            <w:pPr>
              <w:rPr>
                <w:rFonts w:ascii="宋体"/>
                <w:vanish/>
              </w:rPr>
            </w:pPr>
          </w:p>
        </w:tc>
        <w:tc>
          <w:tcPr>
            <w:tcW w:w="0" w:type="auto"/>
            <w:gridSpan w:val="3"/>
            <w:shd w:val="clear" w:color="auto" w:fill="auto"/>
            <w:vAlign w:val="bottom"/>
          </w:tcPr>
          <w:p w14:paraId="74DD8A2E" w14:textId="77777777" w:rsidR="00584EC1" w:rsidRDefault="00584EC1">
            <w:pPr>
              <w:rPr>
                <w:rFonts w:ascii="宋体"/>
                <w:vanish/>
              </w:rPr>
            </w:pPr>
          </w:p>
        </w:tc>
        <w:tc>
          <w:tcPr>
            <w:tcW w:w="0" w:type="auto"/>
            <w:gridSpan w:val="3"/>
            <w:shd w:val="clear" w:color="auto" w:fill="auto"/>
            <w:vAlign w:val="bottom"/>
          </w:tcPr>
          <w:p w14:paraId="74DD8A2F" w14:textId="77777777" w:rsidR="00584EC1" w:rsidRDefault="00584EC1">
            <w:pPr>
              <w:rPr>
                <w:rFonts w:ascii="宋体"/>
                <w:vanish/>
              </w:rPr>
            </w:pPr>
          </w:p>
        </w:tc>
        <w:tc>
          <w:tcPr>
            <w:tcW w:w="0" w:type="auto"/>
            <w:gridSpan w:val="3"/>
            <w:shd w:val="clear" w:color="auto" w:fill="auto"/>
            <w:vAlign w:val="bottom"/>
          </w:tcPr>
          <w:p w14:paraId="74DD8A30" w14:textId="77777777" w:rsidR="00584EC1" w:rsidRDefault="00584EC1">
            <w:pPr>
              <w:rPr>
                <w:rFonts w:ascii="宋体"/>
                <w:vanish/>
              </w:rPr>
            </w:pPr>
          </w:p>
        </w:tc>
        <w:tc>
          <w:tcPr>
            <w:tcW w:w="0" w:type="auto"/>
            <w:gridSpan w:val="3"/>
            <w:shd w:val="clear" w:color="auto" w:fill="auto"/>
            <w:vAlign w:val="bottom"/>
          </w:tcPr>
          <w:p w14:paraId="74DD8A31" w14:textId="77777777" w:rsidR="00584EC1" w:rsidRDefault="00584EC1">
            <w:pPr>
              <w:rPr>
                <w:rFonts w:ascii="宋体"/>
                <w:vanish/>
              </w:rPr>
            </w:pPr>
          </w:p>
        </w:tc>
        <w:tc>
          <w:tcPr>
            <w:tcW w:w="0" w:type="auto"/>
            <w:gridSpan w:val="3"/>
            <w:shd w:val="clear" w:color="auto" w:fill="auto"/>
            <w:vAlign w:val="bottom"/>
          </w:tcPr>
          <w:p w14:paraId="74DD8A32" w14:textId="77777777" w:rsidR="00584EC1" w:rsidRDefault="00584EC1">
            <w:pPr>
              <w:rPr>
                <w:rFonts w:ascii="宋体"/>
                <w:vanish/>
              </w:rPr>
            </w:pPr>
          </w:p>
        </w:tc>
      </w:tr>
      <w:tr w:rsidR="00584EC1" w14:paraId="74DD8A3F" w14:textId="77777777">
        <w:tc>
          <w:tcPr>
            <w:tcW w:w="0" w:type="auto"/>
            <w:gridSpan w:val="3"/>
            <w:shd w:val="clear" w:color="auto" w:fill="CCEEFF"/>
            <w:tcMar>
              <w:top w:w="40" w:type="dxa"/>
              <w:left w:w="20" w:type="dxa"/>
              <w:bottom w:w="40" w:type="dxa"/>
              <w:right w:w="20" w:type="dxa"/>
            </w:tcMar>
            <w:vAlign w:val="bottom"/>
          </w:tcPr>
          <w:p w14:paraId="74DD8A34" w14:textId="77777777" w:rsidR="00584EC1" w:rsidRDefault="00871F8D">
            <w:pPr>
              <w:jc w:val="both"/>
              <w:textAlignment w:val="bottom"/>
            </w:pPr>
            <w:r>
              <w:rPr>
                <w:rFonts w:ascii="Arial" w:eastAsia="宋体" w:hAnsi="Arial" w:cs="Arial"/>
                <w:color w:val="000000"/>
                <w:sz w:val="14"/>
                <w:szCs w:val="14"/>
              </w:rPr>
              <w:t>Other U.S. debt securities</w:t>
            </w:r>
            <w:r>
              <w:rPr>
                <w:rFonts w:ascii="Arial" w:eastAsia="宋体" w:hAnsi="Arial" w:cs="Arial"/>
                <w:color w:val="000000"/>
                <w:sz w:val="9"/>
                <w:szCs w:val="9"/>
              </w:rPr>
              <w:t>(5)</w:t>
            </w:r>
          </w:p>
        </w:tc>
        <w:tc>
          <w:tcPr>
            <w:tcW w:w="0" w:type="auto"/>
            <w:gridSpan w:val="2"/>
            <w:shd w:val="clear" w:color="auto" w:fill="CCEEFF"/>
            <w:tcMar>
              <w:top w:w="40" w:type="dxa"/>
              <w:left w:w="20" w:type="dxa"/>
              <w:bottom w:w="40" w:type="dxa"/>
              <w:right w:w="0" w:type="dxa"/>
            </w:tcMar>
            <w:vAlign w:val="bottom"/>
          </w:tcPr>
          <w:p w14:paraId="74DD8A35" w14:textId="77777777" w:rsidR="00584EC1" w:rsidRDefault="00871F8D">
            <w:pPr>
              <w:jc w:val="right"/>
              <w:textAlignment w:val="bottom"/>
            </w:pPr>
            <w:r>
              <w:rPr>
                <w:rFonts w:ascii="Arial" w:eastAsia="宋体" w:hAnsi="Arial" w:cs="Arial"/>
                <w:b/>
                <w:bCs/>
                <w:color w:val="000000"/>
                <w:sz w:val="14"/>
                <w:szCs w:val="14"/>
              </w:rPr>
              <w:t>2,977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8A3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A3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A38" w14:textId="77777777" w:rsidR="00584EC1" w:rsidRDefault="00871F8D">
            <w:pPr>
              <w:jc w:val="right"/>
              <w:textAlignment w:val="bottom"/>
            </w:pPr>
            <w:r>
              <w:rPr>
                <w:rFonts w:ascii="Arial" w:eastAsia="宋体" w:hAnsi="Arial" w:cs="Arial"/>
                <w:color w:val="000000"/>
                <w:sz w:val="14"/>
                <w:szCs w:val="14"/>
              </w:rPr>
              <w:t>3,443 </w:t>
            </w:r>
          </w:p>
        </w:tc>
        <w:tc>
          <w:tcPr>
            <w:tcW w:w="0" w:type="auto"/>
            <w:shd w:val="clear" w:color="auto" w:fill="CCEEFF"/>
            <w:tcMar>
              <w:top w:w="40" w:type="dxa"/>
              <w:left w:w="0" w:type="dxa"/>
              <w:bottom w:w="40" w:type="dxa"/>
              <w:right w:w="20" w:type="dxa"/>
            </w:tcMar>
            <w:vAlign w:val="bottom"/>
          </w:tcPr>
          <w:p w14:paraId="74DD8A39" w14:textId="77777777" w:rsidR="00584EC1" w:rsidRDefault="00584EC1">
            <w:pPr>
              <w:jc w:val="right"/>
              <w:rPr>
                <w:rFonts w:ascii="宋体"/>
              </w:rPr>
            </w:pPr>
          </w:p>
        </w:tc>
        <w:tc>
          <w:tcPr>
            <w:tcW w:w="0" w:type="auto"/>
            <w:gridSpan w:val="3"/>
            <w:shd w:val="clear" w:color="auto" w:fill="auto"/>
            <w:vAlign w:val="bottom"/>
          </w:tcPr>
          <w:p w14:paraId="74DD8A3A" w14:textId="77777777" w:rsidR="00584EC1" w:rsidRDefault="00584EC1">
            <w:pPr>
              <w:rPr>
                <w:rFonts w:ascii="宋体"/>
                <w:vanish/>
              </w:rPr>
            </w:pPr>
          </w:p>
        </w:tc>
        <w:tc>
          <w:tcPr>
            <w:tcW w:w="0" w:type="auto"/>
            <w:gridSpan w:val="3"/>
            <w:shd w:val="clear" w:color="auto" w:fill="auto"/>
            <w:vAlign w:val="bottom"/>
          </w:tcPr>
          <w:p w14:paraId="74DD8A3B" w14:textId="77777777" w:rsidR="00584EC1" w:rsidRDefault="00584EC1">
            <w:pPr>
              <w:rPr>
                <w:rFonts w:ascii="宋体"/>
                <w:vanish/>
              </w:rPr>
            </w:pPr>
          </w:p>
        </w:tc>
        <w:tc>
          <w:tcPr>
            <w:tcW w:w="0" w:type="auto"/>
            <w:gridSpan w:val="3"/>
            <w:shd w:val="clear" w:color="auto" w:fill="auto"/>
            <w:vAlign w:val="bottom"/>
          </w:tcPr>
          <w:p w14:paraId="74DD8A3C" w14:textId="77777777" w:rsidR="00584EC1" w:rsidRDefault="00584EC1">
            <w:pPr>
              <w:rPr>
                <w:rFonts w:ascii="宋体"/>
                <w:vanish/>
              </w:rPr>
            </w:pPr>
          </w:p>
        </w:tc>
        <w:tc>
          <w:tcPr>
            <w:tcW w:w="0" w:type="auto"/>
            <w:gridSpan w:val="3"/>
            <w:shd w:val="clear" w:color="auto" w:fill="auto"/>
            <w:vAlign w:val="bottom"/>
          </w:tcPr>
          <w:p w14:paraId="74DD8A3D" w14:textId="77777777" w:rsidR="00584EC1" w:rsidRDefault="00584EC1">
            <w:pPr>
              <w:rPr>
                <w:rFonts w:ascii="宋体"/>
                <w:vanish/>
              </w:rPr>
            </w:pPr>
          </w:p>
        </w:tc>
        <w:tc>
          <w:tcPr>
            <w:tcW w:w="0" w:type="auto"/>
            <w:gridSpan w:val="3"/>
            <w:shd w:val="clear" w:color="auto" w:fill="auto"/>
            <w:vAlign w:val="bottom"/>
          </w:tcPr>
          <w:p w14:paraId="74DD8A3E" w14:textId="77777777" w:rsidR="00584EC1" w:rsidRDefault="00584EC1">
            <w:pPr>
              <w:rPr>
                <w:rFonts w:ascii="宋体"/>
                <w:vanish/>
              </w:rPr>
            </w:pPr>
          </w:p>
        </w:tc>
      </w:tr>
      <w:tr w:rsidR="00584EC1" w14:paraId="74DD8A49" w14:textId="77777777">
        <w:trPr>
          <w:hidden/>
        </w:trPr>
        <w:tc>
          <w:tcPr>
            <w:tcW w:w="0" w:type="auto"/>
            <w:gridSpan w:val="3"/>
            <w:shd w:val="clear" w:color="auto" w:fill="auto"/>
            <w:vAlign w:val="bottom"/>
          </w:tcPr>
          <w:p w14:paraId="74DD8A40" w14:textId="77777777" w:rsidR="00584EC1" w:rsidRDefault="00584EC1">
            <w:pPr>
              <w:rPr>
                <w:rFonts w:ascii="宋体"/>
                <w:vanish/>
              </w:rPr>
            </w:pPr>
          </w:p>
        </w:tc>
        <w:tc>
          <w:tcPr>
            <w:tcW w:w="0" w:type="auto"/>
            <w:gridSpan w:val="3"/>
            <w:shd w:val="clear" w:color="auto" w:fill="auto"/>
            <w:vAlign w:val="bottom"/>
          </w:tcPr>
          <w:p w14:paraId="74DD8A41" w14:textId="77777777" w:rsidR="00584EC1" w:rsidRDefault="00584EC1">
            <w:pPr>
              <w:rPr>
                <w:rFonts w:ascii="宋体"/>
                <w:vanish/>
              </w:rPr>
            </w:pPr>
          </w:p>
        </w:tc>
        <w:tc>
          <w:tcPr>
            <w:tcW w:w="0" w:type="auto"/>
            <w:gridSpan w:val="3"/>
            <w:shd w:val="clear" w:color="auto" w:fill="auto"/>
            <w:vAlign w:val="bottom"/>
          </w:tcPr>
          <w:p w14:paraId="74DD8A42" w14:textId="77777777" w:rsidR="00584EC1" w:rsidRDefault="00584EC1">
            <w:pPr>
              <w:rPr>
                <w:rFonts w:ascii="宋体"/>
                <w:vanish/>
              </w:rPr>
            </w:pPr>
          </w:p>
        </w:tc>
        <w:tc>
          <w:tcPr>
            <w:tcW w:w="0" w:type="auto"/>
            <w:gridSpan w:val="3"/>
            <w:shd w:val="clear" w:color="auto" w:fill="auto"/>
            <w:vAlign w:val="bottom"/>
          </w:tcPr>
          <w:p w14:paraId="74DD8A43" w14:textId="77777777" w:rsidR="00584EC1" w:rsidRDefault="00584EC1">
            <w:pPr>
              <w:rPr>
                <w:rFonts w:ascii="宋体"/>
                <w:vanish/>
              </w:rPr>
            </w:pPr>
          </w:p>
        </w:tc>
        <w:tc>
          <w:tcPr>
            <w:tcW w:w="0" w:type="auto"/>
            <w:gridSpan w:val="3"/>
            <w:shd w:val="clear" w:color="auto" w:fill="auto"/>
            <w:vAlign w:val="bottom"/>
          </w:tcPr>
          <w:p w14:paraId="74DD8A44" w14:textId="77777777" w:rsidR="00584EC1" w:rsidRDefault="00584EC1">
            <w:pPr>
              <w:rPr>
                <w:rFonts w:ascii="宋体"/>
                <w:vanish/>
              </w:rPr>
            </w:pPr>
          </w:p>
        </w:tc>
        <w:tc>
          <w:tcPr>
            <w:tcW w:w="0" w:type="auto"/>
            <w:gridSpan w:val="3"/>
            <w:shd w:val="clear" w:color="auto" w:fill="auto"/>
            <w:vAlign w:val="bottom"/>
          </w:tcPr>
          <w:p w14:paraId="74DD8A45" w14:textId="77777777" w:rsidR="00584EC1" w:rsidRDefault="00584EC1">
            <w:pPr>
              <w:rPr>
                <w:rFonts w:ascii="宋体"/>
                <w:vanish/>
              </w:rPr>
            </w:pPr>
          </w:p>
        </w:tc>
        <w:tc>
          <w:tcPr>
            <w:tcW w:w="0" w:type="auto"/>
            <w:gridSpan w:val="3"/>
            <w:shd w:val="clear" w:color="auto" w:fill="auto"/>
            <w:vAlign w:val="bottom"/>
          </w:tcPr>
          <w:p w14:paraId="74DD8A46" w14:textId="77777777" w:rsidR="00584EC1" w:rsidRDefault="00584EC1">
            <w:pPr>
              <w:rPr>
                <w:rFonts w:ascii="宋体"/>
                <w:vanish/>
              </w:rPr>
            </w:pPr>
          </w:p>
        </w:tc>
        <w:tc>
          <w:tcPr>
            <w:tcW w:w="0" w:type="auto"/>
            <w:gridSpan w:val="3"/>
            <w:shd w:val="clear" w:color="auto" w:fill="auto"/>
            <w:vAlign w:val="bottom"/>
          </w:tcPr>
          <w:p w14:paraId="74DD8A47" w14:textId="77777777" w:rsidR="00584EC1" w:rsidRDefault="00584EC1">
            <w:pPr>
              <w:rPr>
                <w:rFonts w:ascii="宋体"/>
                <w:vanish/>
              </w:rPr>
            </w:pPr>
          </w:p>
        </w:tc>
        <w:tc>
          <w:tcPr>
            <w:tcW w:w="0" w:type="auto"/>
            <w:gridSpan w:val="3"/>
            <w:shd w:val="clear" w:color="auto" w:fill="auto"/>
            <w:vAlign w:val="bottom"/>
          </w:tcPr>
          <w:p w14:paraId="74DD8A48" w14:textId="77777777" w:rsidR="00584EC1" w:rsidRDefault="00584EC1">
            <w:pPr>
              <w:rPr>
                <w:rFonts w:ascii="宋体"/>
                <w:vanish/>
              </w:rPr>
            </w:pPr>
          </w:p>
        </w:tc>
      </w:tr>
      <w:tr w:rsidR="00584EC1" w14:paraId="74DD8A53" w14:textId="77777777">
        <w:trPr>
          <w:hidden/>
        </w:trPr>
        <w:tc>
          <w:tcPr>
            <w:tcW w:w="0" w:type="auto"/>
            <w:gridSpan w:val="3"/>
            <w:shd w:val="clear" w:color="auto" w:fill="auto"/>
            <w:vAlign w:val="bottom"/>
          </w:tcPr>
          <w:p w14:paraId="74DD8A4A" w14:textId="77777777" w:rsidR="00584EC1" w:rsidRDefault="00584EC1">
            <w:pPr>
              <w:rPr>
                <w:rFonts w:ascii="宋体"/>
                <w:vanish/>
              </w:rPr>
            </w:pPr>
          </w:p>
        </w:tc>
        <w:tc>
          <w:tcPr>
            <w:tcW w:w="0" w:type="auto"/>
            <w:gridSpan w:val="3"/>
            <w:shd w:val="clear" w:color="auto" w:fill="auto"/>
            <w:vAlign w:val="bottom"/>
          </w:tcPr>
          <w:p w14:paraId="74DD8A4B" w14:textId="77777777" w:rsidR="00584EC1" w:rsidRDefault="00584EC1">
            <w:pPr>
              <w:rPr>
                <w:rFonts w:ascii="宋体"/>
                <w:vanish/>
              </w:rPr>
            </w:pPr>
          </w:p>
        </w:tc>
        <w:tc>
          <w:tcPr>
            <w:tcW w:w="0" w:type="auto"/>
            <w:gridSpan w:val="3"/>
            <w:shd w:val="clear" w:color="auto" w:fill="auto"/>
            <w:vAlign w:val="bottom"/>
          </w:tcPr>
          <w:p w14:paraId="74DD8A4C" w14:textId="77777777" w:rsidR="00584EC1" w:rsidRDefault="00584EC1">
            <w:pPr>
              <w:rPr>
                <w:rFonts w:ascii="宋体"/>
                <w:vanish/>
              </w:rPr>
            </w:pPr>
          </w:p>
        </w:tc>
        <w:tc>
          <w:tcPr>
            <w:tcW w:w="0" w:type="auto"/>
            <w:gridSpan w:val="3"/>
            <w:shd w:val="clear" w:color="auto" w:fill="auto"/>
            <w:vAlign w:val="bottom"/>
          </w:tcPr>
          <w:p w14:paraId="74DD8A4D" w14:textId="77777777" w:rsidR="00584EC1" w:rsidRDefault="00584EC1">
            <w:pPr>
              <w:rPr>
                <w:rFonts w:ascii="宋体"/>
                <w:vanish/>
              </w:rPr>
            </w:pPr>
          </w:p>
        </w:tc>
        <w:tc>
          <w:tcPr>
            <w:tcW w:w="0" w:type="auto"/>
            <w:gridSpan w:val="3"/>
            <w:shd w:val="clear" w:color="auto" w:fill="auto"/>
            <w:vAlign w:val="bottom"/>
          </w:tcPr>
          <w:p w14:paraId="74DD8A4E" w14:textId="77777777" w:rsidR="00584EC1" w:rsidRDefault="00584EC1">
            <w:pPr>
              <w:rPr>
                <w:rFonts w:ascii="宋体"/>
                <w:vanish/>
              </w:rPr>
            </w:pPr>
          </w:p>
        </w:tc>
        <w:tc>
          <w:tcPr>
            <w:tcW w:w="0" w:type="auto"/>
            <w:gridSpan w:val="3"/>
            <w:shd w:val="clear" w:color="auto" w:fill="auto"/>
            <w:vAlign w:val="bottom"/>
          </w:tcPr>
          <w:p w14:paraId="74DD8A4F" w14:textId="77777777" w:rsidR="00584EC1" w:rsidRDefault="00584EC1">
            <w:pPr>
              <w:rPr>
                <w:rFonts w:ascii="宋体"/>
                <w:vanish/>
              </w:rPr>
            </w:pPr>
          </w:p>
        </w:tc>
        <w:tc>
          <w:tcPr>
            <w:tcW w:w="0" w:type="auto"/>
            <w:gridSpan w:val="3"/>
            <w:shd w:val="clear" w:color="auto" w:fill="auto"/>
            <w:vAlign w:val="bottom"/>
          </w:tcPr>
          <w:p w14:paraId="74DD8A50" w14:textId="77777777" w:rsidR="00584EC1" w:rsidRDefault="00584EC1">
            <w:pPr>
              <w:rPr>
                <w:rFonts w:ascii="宋体"/>
                <w:vanish/>
              </w:rPr>
            </w:pPr>
          </w:p>
        </w:tc>
        <w:tc>
          <w:tcPr>
            <w:tcW w:w="0" w:type="auto"/>
            <w:gridSpan w:val="3"/>
            <w:shd w:val="clear" w:color="auto" w:fill="auto"/>
            <w:vAlign w:val="bottom"/>
          </w:tcPr>
          <w:p w14:paraId="74DD8A51" w14:textId="77777777" w:rsidR="00584EC1" w:rsidRDefault="00584EC1">
            <w:pPr>
              <w:rPr>
                <w:rFonts w:ascii="宋体"/>
                <w:vanish/>
              </w:rPr>
            </w:pPr>
          </w:p>
        </w:tc>
        <w:tc>
          <w:tcPr>
            <w:tcW w:w="0" w:type="auto"/>
            <w:gridSpan w:val="3"/>
            <w:shd w:val="clear" w:color="auto" w:fill="auto"/>
            <w:vAlign w:val="bottom"/>
          </w:tcPr>
          <w:p w14:paraId="74DD8A52" w14:textId="77777777" w:rsidR="00584EC1" w:rsidRDefault="00584EC1">
            <w:pPr>
              <w:rPr>
                <w:rFonts w:ascii="宋体"/>
                <w:vanish/>
              </w:rPr>
            </w:pPr>
          </w:p>
        </w:tc>
      </w:tr>
      <w:tr w:rsidR="00584EC1" w14:paraId="74DD8A5D" w14:textId="77777777">
        <w:trPr>
          <w:hidden/>
        </w:trPr>
        <w:tc>
          <w:tcPr>
            <w:tcW w:w="0" w:type="auto"/>
            <w:gridSpan w:val="3"/>
            <w:shd w:val="clear" w:color="auto" w:fill="auto"/>
            <w:vAlign w:val="bottom"/>
          </w:tcPr>
          <w:p w14:paraId="74DD8A54" w14:textId="77777777" w:rsidR="00584EC1" w:rsidRDefault="00584EC1">
            <w:pPr>
              <w:rPr>
                <w:rFonts w:ascii="宋体"/>
                <w:vanish/>
              </w:rPr>
            </w:pPr>
          </w:p>
        </w:tc>
        <w:tc>
          <w:tcPr>
            <w:tcW w:w="0" w:type="auto"/>
            <w:gridSpan w:val="3"/>
            <w:shd w:val="clear" w:color="auto" w:fill="auto"/>
            <w:vAlign w:val="bottom"/>
          </w:tcPr>
          <w:p w14:paraId="74DD8A55" w14:textId="77777777" w:rsidR="00584EC1" w:rsidRDefault="00584EC1">
            <w:pPr>
              <w:rPr>
                <w:rFonts w:ascii="宋体"/>
                <w:vanish/>
              </w:rPr>
            </w:pPr>
          </w:p>
        </w:tc>
        <w:tc>
          <w:tcPr>
            <w:tcW w:w="0" w:type="auto"/>
            <w:gridSpan w:val="3"/>
            <w:shd w:val="clear" w:color="auto" w:fill="auto"/>
            <w:vAlign w:val="bottom"/>
          </w:tcPr>
          <w:p w14:paraId="74DD8A56" w14:textId="77777777" w:rsidR="00584EC1" w:rsidRDefault="00584EC1">
            <w:pPr>
              <w:rPr>
                <w:rFonts w:ascii="宋体"/>
                <w:vanish/>
              </w:rPr>
            </w:pPr>
          </w:p>
        </w:tc>
        <w:tc>
          <w:tcPr>
            <w:tcW w:w="0" w:type="auto"/>
            <w:gridSpan w:val="3"/>
            <w:shd w:val="clear" w:color="auto" w:fill="auto"/>
            <w:vAlign w:val="bottom"/>
          </w:tcPr>
          <w:p w14:paraId="74DD8A57" w14:textId="77777777" w:rsidR="00584EC1" w:rsidRDefault="00584EC1">
            <w:pPr>
              <w:rPr>
                <w:rFonts w:ascii="宋体"/>
                <w:vanish/>
              </w:rPr>
            </w:pPr>
          </w:p>
        </w:tc>
        <w:tc>
          <w:tcPr>
            <w:tcW w:w="0" w:type="auto"/>
            <w:gridSpan w:val="3"/>
            <w:shd w:val="clear" w:color="auto" w:fill="auto"/>
            <w:vAlign w:val="bottom"/>
          </w:tcPr>
          <w:p w14:paraId="74DD8A58" w14:textId="77777777" w:rsidR="00584EC1" w:rsidRDefault="00584EC1">
            <w:pPr>
              <w:rPr>
                <w:rFonts w:ascii="宋体"/>
                <w:vanish/>
              </w:rPr>
            </w:pPr>
          </w:p>
        </w:tc>
        <w:tc>
          <w:tcPr>
            <w:tcW w:w="0" w:type="auto"/>
            <w:gridSpan w:val="3"/>
            <w:shd w:val="clear" w:color="auto" w:fill="auto"/>
            <w:vAlign w:val="bottom"/>
          </w:tcPr>
          <w:p w14:paraId="74DD8A59" w14:textId="77777777" w:rsidR="00584EC1" w:rsidRDefault="00584EC1">
            <w:pPr>
              <w:rPr>
                <w:rFonts w:ascii="宋体"/>
                <w:vanish/>
              </w:rPr>
            </w:pPr>
          </w:p>
        </w:tc>
        <w:tc>
          <w:tcPr>
            <w:tcW w:w="0" w:type="auto"/>
            <w:gridSpan w:val="3"/>
            <w:shd w:val="clear" w:color="auto" w:fill="auto"/>
            <w:vAlign w:val="bottom"/>
          </w:tcPr>
          <w:p w14:paraId="74DD8A5A" w14:textId="77777777" w:rsidR="00584EC1" w:rsidRDefault="00584EC1">
            <w:pPr>
              <w:rPr>
                <w:rFonts w:ascii="宋体"/>
                <w:vanish/>
              </w:rPr>
            </w:pPr>
          </w:p>
        </w:tc>
        <w:tc>
          <w:tcPr>
            <w:tcW w:w="0" w:type="auto"/>
            <w:gridSpan w:val="3"/>
            <w:shd w:val="clear" w:color="auto" w:fill="auto"/>
            <w:vAlign w:val="bottom"/>
          </w:tcPr>
          <w:p w14:paraId="74DD8A5B" w14:textId="77777777" w:rsidR="00584EC1" w:rsidRDefault="00584EC1">
            <w:pPr>
              <w:rPr>
                <w:rFonts w:ascii="宋体"/>
                <w:vanish/>
              </w:rPr>
            </w:pPr>
          </w:p>
        </w:tc>
        <w:tc>
          <w:tcPr>
            <w:tcW w:w="0" w:type="auto"/>
            <w:gridSpan w:val="3"/>
            <w:shd w:val="clear" w:color="auto" w:fill="auto"/>
            <w:vAlign w:val="bottom"/>
          </w:tcPr>
          <w:p w14:paraId="74DD8A5C" w14:textId="77777777" w:rsidR="00584EC1" w:rsidRDefault="00584EC1">
            <w:pPr>
              <w:rPr>
                <w:rFonts w:ascii="宋体"/>
                <w:vanish/>
              </w:rPr>
            </w:pPr>
          </w:p>
        </w:tc>
      </w:tr>
      <w:tr w:rsidR="00584EC1" w14:paraId="74DD8A67" w14:textId="77777777">
        <w:trPr>
          <w:hidden/>
        </w:trPr>
        <w:tc>
          <w:tcPr>
            <w:tcW w:w="0" w:type="auto"/>
            <w:gridSpan w:val="3"/>
            <w:shd w:val="clear" w:color="auto" w:fill="auto"/>
            <w:vAlign w:val="bottom"/>
          </w:tcPr>
          <w:p w14:paraId="74DD8A5E" w14:textId="77777777" w:rsidR="00584EC1" w:rsidRDefault="00584EC1">
            <w:pPr>
              <w:rPr>
                <w:rFonts w:ascii="宋体"/>
                <w:vanish/>
              </w:rPr>
            </w:pPr>
          </w:p>
        </w:tc>
        <w:tc>
          <w:tcPr>
            <w:tcW w:w="0" w:type="auto"/>
            <w:gridSpan w:val="3"/>
            <w:shd w:val="clear" w:color="auto" w:fill="auto"/>
            <w:vAlign w:val="bottom"/>
          </w:tcPr>
          <w:p w14:paraId="74DD8A5F" w14:textId="77777777" w:rsidR="00584EC1" w:rsidRDefault="00584EC1">
            <w:pPr>
              <w:rPr>
                <w:rFonts w:ascii="宋体"/>
                <w:vanish/>
              </w:rPr>
            </w:pPr>
          </w:p>
        </w:tc>
        <w:tc>
          <w:tcPr>
            <w:tcW w:w="0" w:type="auto"/>
            <w:gridSpan w:val="3"/>
            <w:shd w:val="clear" w:color="auto" w:fill="auto"/>
            <w:vAlign w:val="bottom"/>
          </w:tcPr>
          <w:p w14:paraId="74DD8A60" w14:textId="77777777" w:rsidR="00584EC1" w:rsidRDefault="00584EC1">
            <w:pPr>
              <w:rPr>
                <w:rFonts w:ascii="宋体"/>
                <w:vanish/>
              </w:rPr>
            </w:pPr>
          </w:p>
        </w:tc>
        <w:tc>
          <w:tcPr>
            <w:tcW w:w="0" w:type="auto"/>
            <w:gridSpan w:val="3"/>
            <w:shd w:val="clear" w:color="auto" w:fill="auto"/>
            <w:vAlign w:val="bottom"/>
          </w:tcPr>
          <w:p w14:paraId="74DD8A61" w14:textId="77777777" w:rsidR="00584EC1" w:rsidRDefault="00584EC1">
            <w:pPr>
              <w:rPr>
                <w:rFonts w:ascii="宋体"/>
                <w:vanish/>
              </w:rPr>
            </w:pPr>
          </w:p>
        </w:tc>
        <w:tc>
          <w:tcPr>
            <w:tcW w:w="0" w:type="auto"/>
            <w:gridSpan w:val="3"/>
            <w:shd w:val="clear" w:color="auto" w:fill="auto"/>
            <w:vAlign w:val="bottom"/>
          </w:tcPr>
          <w:p w14:paraId="74DD8A62" w14:textId="77777777" w:rsidR="00584EC1" w:rsidRDefault="00584EC1">
            <w:pPr>
              <w:rPr>
                <w:rFonts w:ascii="宋体"/>
                <w:vanish/>
              </w:rPr>
            </w:pPr>
          </w:p>
        </w:tc>
        <w:tc>
          <w:tcPr>
            <w:tcW w:w="0" w:type="auto"/>
            <w:gridSpan w:val="3"/>
            <w:shd w:val="clear" w:color="auto" w:fill="auto"/>
            <w:vAlign w:val="bottom"/>
          </w:tcPr>
          <w:p w14:paraId="74DD8A63" w14:textId="77777777" w:rsidR="00584EC1" w:rsidRDefault="00584EC1">
            <w:pPr>
              <w:rPr>
                <w:rFonts w:ascii="宋体"/>
                <w:vanish/>
              </w:rPr>
            </w:pPr>
          </w:p>
        </w:tc>
        <w:tc>
          <w:tcPr>
            <w:tcW w:w="0" w:type="auto"/>
            <w:gridSpan w:val="3"/>
            <w:shd w:val="clear" w:color="auto" w:fill="auto"/>
            <w:vAlign w:val="bottom"/>
          </w:tcPr>
          <w:p w14:paraId="74DD8A64" w14:textId="77777777" w:rsidR="00584EC1" w:rsidRDefault="00584EC1">
            <w:pPr>
              <w:rPr>
                <w:rFonts w:ascii="宋体"/>
                <w:vanish/>
              </w:rPr>
            </w:pPr>
          </w:p>
        </w:tc>
        <w:tc>
          <w:tcPr>
            <w:tcW w:w="0" w:type="auto"/>
            <w:gridSpan w:val="3"/>
            <w:shd w:val="clear" w:color="auto" w:fill="auto"/>
            <w:vAlign w:val="bottom"/>
          </w:tcPr>
          <w:p w14:paraId="74DD8A65" w14:textId="77777777" w:rsidR="00584EC1" w:rsidRDefault="00584EC1">
            <w:pPr>
              <w:rPr>
                <w:rFonts w:ascii="宋体"/>
                <w:vanish/>
              </w:rPr>
            </w:pPr>
          </w:p>
        </w:tc>
        <w:tc>
          <w:tcPr>
            <w:tcW w:w="0" w:type="auto"/>
            <w:gridSpan w:val="3"/>
            <w:shd w:val="clear" w:color="auto" w:fill="auto"/>
            <w:vAlign w:val="bottom"/>
          </w:tcPr>
          <w:p w14:paraId="74DD8A66" w14:textId="77777777" w:rsidR="00584EC1" w:rsidRDefault="00584EC1">
            <w:pPr>
              <w:rPr>
                <w:rFonts w:ascii="宋体"/>
                <w:vanish/>
              </w:rPr>
            </w:pPr>
          </w:p>
        </w:tc>
      </w:tr>
      <w:tr w:rsidR="00584EC1" w14:paraId="74DD8A75" w14:textId="77777777">
        <w:tc>
          <w:tcPr>
            <w:tcW w:w="0" w:type="auto"/>
            <w:gridSpan w:val="3"/>
            <w:shd w:val="clear" w:color="auto" w:fill="FFFFFF"/>
            <w:tcMar>
              <w:top w:w="40" w:type="dxa"/>
              <w:left w:w="20" w:type="dxa"/>
              <w:bottom w:w="40" w:type="dxa"/>
              <w:right w:w="20" w:type="dxa"/>
            </w:tcMar>
            <w:vAlign w:val="bottom"/>
          </w:tcPr>
          <w:p w14:paraId="74DD8A68" w14:textId="77777777" w:rsidR="00584EC1" w:rsidRDefault="00871F8D">
            <w:pPr>
              <w:jc w:val="both"/>
              <w:textAlignment w:val="bottom"/>
            </w:pPr>
            <w:r>
              <w:rPr>
                <w:rFonts w:ascii="Arial" w:eastAsia="宋体" w:hAnsi="Arial" w:cs="Arial"/>
                <w:color w:val="000000"/>
                <w:sz w:val="14"/>
                <w:szCs w:val="14"/>
              </w:rPr>
              <w:t>Total available-for-sale securities</w:t>
            </w:r>
            <w:r>
              <w:rPr>
                <w:rFonts w:ascii="Arial" w:eastAsia="宋体" w:hAnsi="Arial" w:cs="Arial"/>
                <w:color w:val="000000"/>
                <w:sz w:val="9"/>
                <w:szCs w:val="9"/>
              </w:rPr>
              <w:t>(6)</w:t>
            </w:r>
          </w:p>
        </w:tc>
        <w:tc>
          <w:tcPr>
            <w:tcW w:w="0" w:type="auto"/>
            <w:tcBorders>
              <w:top w:val="single" w:sz="8" w:space="0" w:color="000000"/>
            </w:tcBorders>
            <w:shd w:val="clear" w:color="auto" w:fill="FFFFFF"/>
            <w:tcMar>
              <w:top w:w="40" w:type="dxa"/>
              <w:left w:w="20" w:type="dxa"/>
              <w:bottom w:w="40" w:type="dxa"/>
              <w:right w:w="0" w:type="dxa"/>
            </w:tcMar>
            <w:vAlign w:val="bottom"/>
          </w:tcPr>
          <w:p w14:paraId="74DD8A69"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8A6A" w14:textId="77777777" w:rsidR="00584EC1" w:rsidRDefault="00871F8D">
            <w:pPr>
              <w:jc w:val="right"/>
              <w:textAlignment w:val="bottom"/>
            </w:pPr>
            <w:r>
              <w:rPr>
                <w:rFonts w:ascii="Arial" w:eastAsia="宋体" w:hAnsi="Arial" w:cs="Arial"/>
                <w:b/>
                <w:bCs/>
                <w:color w:val="000000"/>
                <w:sz w:val="14"/>
                <w:szCs w:val="14"/>
              </w:rPr>
              <w:t>70,279</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8A6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A6C"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8A6D"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8A6E" w14:textId="77777777" w:rsidR="00584EC1" w:rsidRDefault="00871F8D">
            <w:pPr>
              <w:jc w:val="right"/>
              <w:textAlignment w:val="bottom"/>
            </w:pPr>
            <w:r>
              <w:rPr>
                <w:rFonts w:ascii="Arial" w:eastAsia="宋体" w:hAnsi="Arial" w:cs="Arial"/>
                <w:color w:val="000000"/>
                <w:sz w:val="14"/>
                <w:szCs w:val="14"/>
              </w:rPr>
              <w:t>59,048 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8A6F" w14:textId="77777777" w:rsidR="00584EC1" w:rsidRDefault="00584EC1">
            <w:pPr>
              <w:jc w:val="right"/>
              <w:rPr>
                <w:rFonts w:ascii="宋体"/>
              </w:rPr>
            </w:pPr>
          </w:p>
        </w:tc>
        <w:tc>
          <w:tcPr>
            <w:tcW w:w="0" w:type="auto"/>
            <w:gridSpan w:val="3"/>
            <w:shd w:val="clear" w:color="auto" w:fill="auto"/>
            <w:vAlign w:val="bottom"/>
          </w:tcPr>
          <w:p w14:paraId="74DD8A70" w14:textId="77777777" w:rsidR="00584EC1" w:rsidRDefault="00584EC1">
            <w:pPr>
              <w:rPr>
                <w:rFonts w:ascii="宋体"/>
                <w:vanish/>
              </w:rPr>
            </w:pPr>
          </w:p>
        </w:tc>
        <w:tc>
          <w:tcPr>
            <w:tcW w:w="0" w:type="auto"/>
            <w:gridSpan w:val="3"/>
            <w:shd w:val="clear" w:color="auto" w:fill="auto"/>
            <w:vAlign w:val="bottom"/>
          </w:tcPr>
          <w:p w14:paraId="74DD8A71" w14:textId="77777777" w:rsidR="00584EC1" w:rsidRDefault="00584EC1">
            <w:pPr>
              <w:rPr>
                <w:rFonts w:ascii="宋体"/>
                <w:vanish/>
              </w:rPr>
            </w:pPr>
          </w:p>
        </w:tc>
        <w:tc>
          <w:tcPr>
            <w:tcW w:w="0" w:type="auto"/>
            <w:gridSpan w:val="3"/>
            <w:shd w:val="clear" w:color="auto" w:fill="auto"/>
            <w:vAlign w:val="bottom"/>
          </w:tcPr>
          <w:p w14:paraId="74DD8A72" w14:textId="77777777" w:rsidR="00584EC1" w:rsidRDefault="00584EC1">
            <w:pPr>
              <w:rPr>
                <w:rFonts w:ascii="宋体"/>
                <w:vanish/>
              </w:rPr>
            </w:pPr>
          </w:p>
        </w:tc>
        <w:tc>
          <w:tcPr>
            <w:tcW w:w="0" w:type="auto"/>
            <w:gridSpan w:val="3"/>
            <w:shd w:val="clear" w:color="auto" w:fill="auto"/>
            <w:vAlign w:val="bottom"/>
          </w:tcPr>
          <w:p w14:paraId="74DD8A73" w14:textId="77777777" w:rsidR="00584EC1" w:rsidRDefault="00584EC1">
            <w:pPr>
              <w:rPr>
                <w:rFonts w:ascii="宋体"/>
                <w:vanish/>
              </w:rPr>
            </w:pPr>
          </w:p>
        </w:tc>
        <w:tc>
          <w:tcPr>
            <w:tcW w:w="0" w:type="auto"/>
            <w:gridSpan w:val="3"/>
            <w:shd w:val="clear" w:color="auto" w:fill="auto"/>
            <w:vAlign w:val="bottom"/>
          </w:tcPr>
          <w:p w14:paraId="74DD8A74" w14:textId="77777777" w:rsidR="00584EC1" w:rsidRDefault="00584EC1">
            <w:pPr>
              <w:rPr>
                <w:rFonts w:ascii="宋体"/>
                <w:vanish/>
              </w:rPr>
            </w:pPr>
          </w:p>
        </w:tc>
      </w:tr>
      <w:tr w:rsidR="00584EC1" w14:paraId="74DD8A7F" w14:textId="77777777">
        <w:tc>
          <w:tcPr>
            <w:tcW w:w="0" w:type="auto"/>
            <w:gridSpan w:val="3"/>
            <w:shd w:val="clear" w:color="auto" w:fill="CCEEFF"/>
            <w:tcMar>
              <w:top w:w="40" w:type="dxa"/>
              <w:left w:w="20" w:type="dxa"/>
              <w:bottom w:w="40" w:type="dxa"/>
              <w:right w:w="20" w:type="dxa"/>
            </w:tcMar>
            <w:vAlign w:val="bottom"/>
          </w:tcPr>
          <w:p w14:paraId="74DD8A76" w14:textId="77777777" w:rsidR="00584EC1" w:rsidRDefault="00871F8D">
            <w:pPr>
              <w:jc w:val="both"/>
              <w:textAlignment w:val="bottom"/>
            </w:pPr>
            <w:r>
              <w:rPr>
                <w:rFonts w:ascii="Arial" w:eastAsia="宋体" w:hAnsi="Arial" w:cs="Arial"/>
                <w:b/>
                <w:bCs/>
                <w:color w:val="000000"/>
                <w:sz w:val="14"/>
                <w:szCs w:val="14"/>
              </w:rPr>
              <w:t>Held-to-maturity:</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4DD8A77"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8A78" w14:textId="77777777" w:rsidR="00584EC1" w:rsidRDefault="00584EC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4DD8A79" w14:textId="77777777" w:rsidR="00584EC1" w:rsidRDefault="00584EC1">
            <w:pPr>
              <w:rPr>
                <w:rFonts w:ascii="宋体"/>
              </w:rPr>
            </w:pPr>
          </w:p>
        </w:tc>
        <w:tc>
          <w:tcPr>
            <w:tcW w:w="0" w:type="auto"/>
            <w:gridSpan w:val="3"/>
            <w:shd w:val="clear" w:color="auto" w:fill="auto"/>
            <w:vAlign w:val="bottom"/>
          </w:tcPr>
          <w:p w14:paraId="74DD8A7A" w14:textId="77777777" w:rsidR="00584EC1" w:rsidRDefault="00584EC1">
            <w:pPr>
              <w:rPr>
                <w:rFonts w:ascii="宋体"/>
                <w:vanish/>
              </w:rPr>
            </w:pPr>
          </w:p>
        </w:tc>
        <w:tc>
          <w:tcPr>
            <w:tcW w:w="0" w:type="auto"/>
            <w:gridSpan w:val="3"/>
            <w:shd w:val="clear" w:color="auto" w:fill="auto"/>
            <w:vAlign w:val="bottom"/>
          </w:tcPr>
          <w:p w14:paraId="74DD8A7B" w14:textId="77777777" w:rsidR="00584EC1" w:rsidRDefault="00584EC1">
            <w:pPr>
              <w:rPr>
                <w:rFonts w:ascii="宋体"/>
                <w:vanish/>
              </w:rPr>
            </w:pPr>
          </w:p>
        </w:tc>
        <w:tc>
          <w:tcPr>
            <w:tcW w:w="0" w:type="auto"/>
            <w:gridSpan w:val="3"/>
            <w:shd w:val="clear" w:color="auto" w:fill="auto"/>
            <w:vAlign w:val="bottom"/>
          </w:tcPr>
          <w:p w14:paraId="74DD8A7C" w14:textId="77777777" w:rsidR="00584EC1" w:rsidRDefault="00584EC1">
            <w:pPr>
              <w:rPr>
                <w:rFonts w:ascii="宋体"/>
                <w:vanish/>
              </w:rPr>
            </w:pPr>
          </w:p>
        </w:tc>
        <w:tc>
          <w:tcPr>
            <w:tcW w:w="0" w:type="auto"/>
            <w:gridSpan w:val="3"/>
            <w:shd w:val="clear" w:color="auto" w:fill="auto"/>
            <w:vAlign w:val="bottom"/>
          </w:tcPr>
          <w:p w14:paraId="74DD8A7D" w14:textId="77777777" w:rsidR="00584EC1" w:rsidRDefault="00584EC1">
            <w:pPr>
              <w:rPr>
                <w:rFonts w:ascii="宋体"/>
                <w:vanish/>
              </w:rPr>
            </w:pPr>
          </w:p>
        </w:tc>
        <w:tc>
          <w:tcPr>
            <w:tcW w:w="0" w:type="auto"/>
            <w:gridSpan w:val="3"/>
            <w:shd w:val="clear" w:color="auto" w:fill="auto"/>
            <w:vAlign w:val="bottom"/>
          </w:tcPr>
          <w:p w14:paraId="74DD8A7E" w14:textId="77777777" w:rsidR="00584EC1" w:rsidRDefault="00584EC1">
            <w:pPr>
              <w:rPr>
                <w:rFonts w:ascii="宋体"/>
                <w:vanish/>
              </w:rPr>
            </w:pPr>
          </w:p>
        </w:tc>
      </w:tr>
      <w:tr w:rsidR="00584EC1" w14:paraId="74DD8A89" w14:textId="77777777">
        <w:tc>
          <w:tcPr>
            <w:tcW w:w="0" w:type="auto"/>
            <w:gridSpan w:val="3"/>
            <w:shd w:val="clear" w:color="auto" w:fill="FFFFFF"/>
            <w:tcMar>
              <w:top w:w="40" w:type="dxa"/>
              <w:left w:w="20" w:type="dxa"/>
              <w:bottom w:w="40" w:type="dxa"/>
              <w:right w:w="20" w:type="dxa"/>
            </w:tcMar>
            <w:vAlign w:val="bottom"/>
          </w:tcPr>
          <w:p w14:paraId="74DD8A80" w14:textId="77777777" w:rsidR="00584EC1" w:rsidRDefault="00871F8D">
            <w:pPr>
              <w:jc w:val="both"/>
              <w:textAlignment w:val="bottom"/>
            </w:pPr>
            <w:r>
              <w:rPr>
                <w:rFonts w:ascii="Arial" w:eastAsia="宋体" w:hAnsi="Arial" w:cs="Arial"/>
                <w:color w:val="000000"/>
                <w:sz w:val="14"/>
                <w:szCs w:val="14"/>
              </w:rPr>
              <w:t>U.S. Treasury and federal agencies:</w:t>
            </w:r>
          </w:p>
        </w:tc>
        <w:tc>
          <w:tcPr>
            <w:tcW w:w="0" w:type="auto"/>
            <w:gridSpan w:val="3"/>
            <w:shd w:val="clear" w:color="auto" w:fill="FFFFFF"/>
            <w:tcMar>
              <w:top w:w="0" w:type="dxa"/>
              <w:left w:w="20" w:type="dxa"/>
              <w:bottom w:w="0" w:type="dxa"/>
              <w:right w:w="20" w:type="dxa"/>
            </w:tcMar>
            <w:vAlign w:val="bottom"/>
          </w:tcPr>
          <w:p w14:paraId="74DD8A81"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8A8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8A83" w14:textId="77777777" w:rsidR="00584EC1" w:rsidRDefault="00584EC1">
            <w:pPr>
              <w:rPr>
                <w:rFonts w:ascii="宋体"/>
              </w:rPr>
            </w:pPr>
          </w:p>
        </w:tc>
        <w:tc>
          <w:tcPr>
            <w:tcW w:w="0" w:type="auto"/>
            <w:gridSpan w:val="3"/>
            <w:shd w:val="clear" w:color="auto" w:fill="auto"/>
            <w:vAlign w:val="bottom"/>
          </w:tcPr>
          <w:p w14:paraId="74DD8A84" w14:textId="77777777" w:rsidR="00584EC1" w:rsidRDefault="00584EC1">
            <w:pPr>
              <w:rPr>
                <w:rFonts w:ascii="宋体"/>
                <w:vanish/>
              </w:rPr>
            </w:pPr>
          </w:p>
        </w:tc>
        <w:tc>
          <w:tcPr>
            <w:tcW w:w="0" w:type="auto"/>
            <w:gridSpan w:val="3"/>
            <w:shd w:val="clear" w:color="auto" w:fill="auto"/>
            <w:vAlign w:val="bottom"/>
          </w:tcPr>
          <w:p w14:paraId="74DD8A85" w14:textId="77777777" w:rsidR="00584EC1" w:rsidRDefault="00584EC1">
            <w:pPr>
              <w:rPr>
                <w:rFonts w:ascii="宋体"/>
                <w:vanish/>
              </w:rPr>
            </w:pPr>
          </w:p>
        </w:tc>
        <w:tc>
          <w:tcPr>
            <w:tcW w:w="0" w:type="auto"/>
            <w:gridSpan w:val="3"/>
            <w:shd w:val="clear" w:color="auto" w:fill="auto"/>
            <w:vAlign w:val="bottom"/>
          </w:tcPr>
          <w:p w14:paraId="74DD8A86" w14:textId="77777777" w:rsidR="00584EC1" w:rsidRDefault="00584EC1">
            <w:pPr>
              <w:rPr>
                <w:rFonts w:ascii="宋体"/>
                <w:vanish/>
              </w:rPr>
            </w:pPr>
          </w:p>
        </w:tc>
        <w:tc>
          <w:tcPr>
            <w:tcW w:w="0" w:type="auto"/>
            <w:gridSpan w:val="3"/>
            <w:shd w:val="clear" w:color="auto" w:fill="auto"/>
            <w:vAlign w:val="bottom"/>
          </w:tcPr>
          <w:p w14:paraId="74DD8A87" w14:textId="77777777" w:rsidR="00584EC1" w:rsidRDefault="00584EC1">
            <w:pPr>
              <w:rPr>
                <w:rFonts w:ascii="宋体"/>
                <w:vanish/>
              </w:rPr>
            </w:pPr>
          </w:p>
        </w:tc>
        <w:tc>
          <w:tcPr>
            <w:tcW w:w="0" w:type="auto"/>
            <w:gridSpan w:val="3"/>
            <w:shd w:val="clear" w:color="auto" w:fill="auto"/>
            <w:vAlign w:val="bottom"/>
          </w:tcPr>
          <w:p w14:paraId="74DD8A88" w14:textId="77777777" w:rsidR="00584EC1" w:rsidRDefault="00584EC1">
            <w:pPr>
              <w:rPr>
                <w:rFonts w:ascii="宋体"/>
                <w:vanish/>
              </w:rPr>
            </w:pPr>
          </w:p>
        </w:tc>
      </w:tr>
      <w:tr w:rsidR="00584EC1" w14:paraId="74DD8A97" w14:textId="77777777">
        <w:tc>
          <w:tcPr>
            <w:tcW w:w="0" w:type="auto"/>
            <w:gridSpan w:val="3"/>
            <w:shd w:val="clear" w:color="auto" w:fill="CCEEFF"/>
            <w:tcMar>
              <w:top w:w="40" w:type="dxa"/>
              <w:left w:w="140" w:type="dxa"/>
              <w:bottom w:w="40" w:type="dxa"/>
              <w:right w:w="20" w:type="dxa"/>
            </w:tcMar>
            <w:vAlign w:val="bottom"/>
          </w:tcPr>
          <w:p w14:paraId="74DD8A8A" w14:textId="77777777" w:rsidR="00584EC1" w:rsidRDefault="00871F8D">
            <w:pPr>
              <w:textAlignment w:val="bottom"/>
            </w:pPr>
            <w:r>
              <w:rPr>
                <w:rFonts w:ascii="Arial" w:eastAsia="宋体" w:hAnsi="Arial" w:cs="Arial"/>
                <w:color w:val="000000"/>
                <w:sz w:val="14"/>
                <w:szCs w:val="14"/>
              </w:rPr>
              <w:t>Direct obligations</w:t>
            </w:r>
          </w:p>
        </w:tc>
        <w:tc>
          <w:tcPr>
            <w:tcW w:w="0" w:type="auto"/>
            <w:shd w:val="clear" w:color="auto" w:fill="CCEEFF"/>
            <w:tcMar>
              <w:top w:w="40" w:type="dxa"/>
              <w:left w:w="20" w:type="dxa"/>
              <w:bottom w:w="40" w:type="dxa"/>
              <w:right w:w="0" w:type="dxa"/>
            </w:tcMar>
            <w:vAlign w:val="bottom"/>
          </w:tcPr>
          <w:p w14:paraId="74DD8A8B" w14:textId="77777777" w:rsidR="00584EC1" w:rsidRDefault="00871F8D">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4DD8A8C" w14:textId="77777777" w:rsidR="00584EC1" w:rsidRDefault="00871F8D">
            <w:pPr>
              <w:jc w:val="right"/>
              <w:textAlignment w:val="bottom"/>
            </w:pPr>
            <w:r>
              <w:rPr>
                <w:rFonts w:ascii="Arial" w:eastAsia="宋体" w:hAnsi="Arial" w:cs="Arial"/>
                <w:b/>
                <w:bCs/>
                <w:color w:val="000000"/>
                <w:sz w:val="14"/>
                <w:szCs w:val="14"/>
              </w:rPr>
              <w:t>2,709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8A8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A8E"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8A8F"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8A90" w14:textId="77777777" w:rsidR="00584EC1" w:rsidRDefault="00871F8D">
            <w:pPr>
              <w:jc w:val="right"/>
              <w:textAlignment w:val="bottom"/>
            </w:pPr>
            <w:r>
              <w:rPr>
                <w:rFonts w:ascii="Arial" w:eastAsia="宋体" w:hAnsi="Arial" w:cs="Arial"/>
                <w:color w:val="000000"/>
                <w:sz w:val="14"/>
                <w:szCs w:val="14"/>
              </w:rPr>
              <w:t>6,057 </w:t>
            </w:r>
          </w:p>
        </w:tc>
        <w:tc>
          <w:tcPr>
            <w:tcW w:w="0" w:type="auto"/>
            <w:shd w:val="clear" w:color="auto" w:fill="CCEEFF"/>
            <w:tcMar>
              <w:top w:w="40" w:type="dxa"/>
              <w:left w:w="0" w:type="dxa"/>
              <w:bottom w:w="40" w:type="dxa"/>
              <w:right w:w="20" w:type="dxa"/>
            </w:tcMar>
            <w:vAlign w:val="bottom"/>
          </w:tcPr>
          <w:p w14:paraId="74DD8A91" w14:textId="77777777" w:rsidR="00584EC1" w:rsidRDefault="00584EC1">
            <w:pPr>
              <w:jc w:val="right"/>
              <w:rPr>
                <w:rFonts w:ascii="宋体"/>
              </w:rPr>
            </w:pPr>
          </w:p>
        </w:tc>
        <w:tc>
          <w:tcPr>
            <w:tcW w:w="0" w:type="auto"/>
            <w:gridSpan w:val="3"/>
            <w:shd w:val="clear" w:color="auto" w:fill="auto"/>
            <w:vAlign w:val="bottom"/>
          </w:tcPr>
          <w:p w14:paraId="74DD8A92" w14:textId="77777777" w:rsidR="00584EC1" w:rsidRDefault="00584EC1">
            <w:pPr>
              <w:rPr>
                <w:rFonts w:ascii="宋体"/>
                <w:vanish/>
              </w:rPr>
            </w:pPr>
          </w:p>
        </w:tc>
        <w:tc>
          <w:tcPr>
            <w:tcW w:w="0" w:type="auto"/>
            <w:gridSpan w:val="3"/>
            <w:shd w:val="clear" w:color="auto" w:fill="auto"/>
            <w:vAlign w:val="bottom"/>
          </w:tcPr>
          <w:p w14:paraId="74DD8A93" w14:textId="77777777" w:rsidR="00584EC1" w:rsidRDefault="00584EC1">
            <w:pPr>
              <w:rPr>
                <w:rFonts w:ascii="宋体"/>
                <w:vanish/>
              </w:rPr>
            </w:pPr>
          </w:p>
        </w:tc>
        <w:tc>
          <w:tcPr>
            <w:tcW w:w="0" w:type="auto"/>
            <w:gridSpan w:val="3"/>
            <w:shd w:val="clear" w:color="auto" w:fill="auto"/>
            <w:vAlign w:val="bottom"/>
          </w:tcPr>
          <w:p w14:paraId="74DD8A94" w14:textId="77777777" w:rsidR="00584EC1" w:rsidRDefault="00584EC1">
            <w:pPr>
              <w:rPr>
                <w:rFonts w:ascii="宋体"/>
                <w:vanish/>
              </w:rPr>
            </w:pPr>
          </w:p>
        </w:tc>
        <w:tc>
          <w:tcPr>
            <w:tcW w:w="0" w:type="auto"/>
            <w:gridSpan w:val="3"/>
            <w:shd w:val="clear" w:color="auto" w:fill="auto"/>
            <w:vAlign w:val="bottom"/>
          </w:tcPr>
          <w:p w14:paraId="74DD8A95" w14:textId="77777777" w:rsidR="00584EC1" w:rsidRDefault="00584EC1">
            <w:pPr>
              <w:rPr>
                <w:rFonts w:ascii="宋体"/>
                <w:vanish/>
              </w:rPr>
            </w:pPr>
          </w:p>
        </w:tc>
        <w:tc>
          <w:tcPr>
            <w:tcW w:w="0" w:type="auto"/>
            <w:gridSpan w:val="3"/>
            <w:shd w:val="clear" w:color="auto" w:fill="auto"/>
            <w:vAlign w:val="bottom"/>
          </w:tcPr>
          <w:p w14:paraId="74DD8A96" w14:textId="77777777" w:rsidR="00584EC1" w:rsidRDefault="00584EC1">
            <w:pPr>
              <w:rPr>
                <w:rFonts w:ascii="宋体"/>
                <w:vanish/>
              </w:rPr>
            </w:pPr>
          </w:p>
        </w:tc>
      </w:tr>
      <w:tr w:rsidR="00584EC1" w14:paraId="74DD8AA3" w14:textId="77777777">
        <w:tc>
          <w:tcPr>
            <w:tcW w:w="0" w:type="auto"/>
            <w:gridSpan w:val="3"/>
            <w:shd w:val="clear" w:color="auto" w:fill="FFFFFF"/>
            <w:tcMar>
              <w:top w:w="40" w:type="dxa"/>
              <w:left w:w="140" w:type="dxa"/>
              <w:bottom w:w="40" w:type="dxa"/>
              <w:right w:w="20" w:type="dxa"/>
            </w:tcMar>
            <w:vAlign w:val="bottom"/>
          </w:tcPr>
          <w:p w14:paraId="74DD8A98" w14:textId="77777777" w:rsidR="00584EC1" w:rsidRDefault="00871F8D">
            <w:pPr>
              <w:textAlignment w:val="bottom"/>
            </w:pPr>
            <w:r>
              <w:rPr>
                <w:rFonts w:ascii="Arial" w:eastAsia="宋体" w:hAnsi="Arial" w:cs="Arial"/>
                <w:color w:val="000000"/>
                <w:sz w:val="14"/>
                <w:szCs w:val="14"/>
              </w:rPr>
              <w:t>Mortgage-backed securities</w:t>
            </w:r>
          </w:p>
        </w:tc>
        <w:tc>
          <w:tcPr>
            <w:tcW w:w="0" w:type="auto"/>
            <w:gridSpan w:val="2"/>
            <w:shd w:val="clear" w:color="auto" w:fill="FFFFFF"/>
            <w:tcMar>
              <w:top w:w="40" w:type="dxa"/>
              <w:left w:w="20" w:type="dxa"/>
              <w:bottom w:w="40" w:type="dxa"/>
              <w:right w:w="0" w:type="dxa"/>
            </w:tcMar>
            <w:vAlign w:val="bottom"/>
          </w:tcPr>
          <w:p w14:paraId="74DD8A99" w14:textId="77777777" w:rsidR="00584EC1" w:rsidRDefault="00871F8D">
            <w:pPr>
              <w:jc w:val="right"/>
              <w:textAlignment w:val="bottom"/>
            </w:pPr>
            <w:r>
              <w:rPr>
                <w:rFonts w:ascii="Arial" w:eastAsia="宋体" w:hAnsi="Arial" w:cs="Arial"/>
                <w:b/>
                <w:bCs/>
                <w:color w:val="000000"/>
                <w:sz w:val="14"/>
                <w:szCs w:val="14"/>
              </w:rPr>
              <w:t>33,525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8A9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A9B"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A9C" w14:textId="77777777" w:rsidR="00584EC1" w:rsidRDefault="00871F8D">
            <w:pPr>
              <w:jc w:val="right"/>
              <w:textAlignment w:val="bottom"/>
            </w:pPr>
            <w:r>
              <w:rPr>
                <w:rFonts w:ascii="Arial" w:eastAsia="宋体" w:hAnsi="Arial" w:cs="Arial"/>
                <w:color w:val="000000"/>
                <w:sz w:val="14"/>
                <w:szCs w:val="14"/>
              </w:rPr>
              <w:t>36,901 </w:t>
            </w:r>
          </w:p>
        </w:tc>
        <w:tc>
          <w:tcPr>
            <w:tcW w:w="0" w:type="auto"/>
            <w:shd w:val="clear" w:color="auto" w:fill="FFFFFF"/>
            <w:tcMar>
              <w:top w:w="40" w:type="dxa"/>
              <w:left w:w="0" w:type="dxa"/>
              <w:bottom w:w="40" w:type="dxa"/>
              <w:right w:w="20" w:type="dxa"/>
            </w:tcMar>
            <w:vAlign w:val="bottom"/>
          </w:tcPr>
          <w:p w14:paraId="74DD8A9D" w14:textId="77777777" w:rsidR="00584EC1" w:rsidRDefault="00584EC1">
            <w:pPr>
              <w:jc w:val="right"/>
              <w:rPr>
                <w:rFonts w:ascii="宋体"/>
              </w:rPr>
            </w:pPr>
          </w:p>
        </w:tc>
        <w:tc>
          <w:tcPr>
            <w:tcW w:w="0" w:type="auto"/>
            <w:gridSpan w:val="3"/>
            <w:shd w:val="clear" w:color="auto" w:fill="auto"/>
            <w:vAlign w:val="bottom"/>
          </w:tcPr>
          <w:p w14:paraId="74DD8A9E" w14:textId="77777777" w:rsidR="00584EC1" w:rsidRDefault="00584EC1">
            <w:pPr>
              <w:rPr>
                <w:rFonts w:ascii="宋体"/>
                <w:vanish/>
              </w:rPr>
            </w:pPr>
          </w:p>
        </w:tc>
        <w:tc>
          <w:tcPr>
            <w:tcW w:w="0" w:type="auto"/>
            <w:gridSpan w:val="3"/>
            <w:shd w:val="clear" w:color="auto" w:fill="auto"/>
            <w:vAlign w:val="bottom"/>
          </w:tcPr>
          <w:p w14:paraId="74DD8A9F" w14:textId="77777777" w:rsidR="00584EC1" w:rsidRDefault="00584EC1">
            <w:pPr>
              <w:rPr>
                <w:rFonts w:ascii="宋体"/>
                <w:vanish/>
              </w:rPr>
            </w:pPr>
          </w:p>
        </w:tc>
        <w:tc>
          <w:tcPr>
            <w:tcW w:w="0" w:type="auto"/>
            <w:gridSpan w:val="3"/>
            <w:shd w:val="clear" w:color="auto" w:fill="auto"/>
            <w:vAlign w:val="bottom"/>
          </w:tcPr>
          <w:p w14:paraId="74DD8AA0" w14:textId="77777777" w:rsidR="00584EC1" w:rsidRDefault="00584EC1">
            <w:pPr>
              <w:rPr>
                <w:rFonts w:ascii="宋体"/>
                <w:vanish/>
              </w:rPr>
            </w:pPr>
          </w:p>
        </w:tc>
        <w:tc>
          <w:tcPr>
            <w:tcW w:w="0" w:type="auto"/>
            <w:gridSpan w:val="3"/>
            <w:shd w:val="clear" w:color="auto" w:fill="auto"/>
            <w:vAlign w:val="bottom"/>
          </w:tcPr>
          <w:p w14:paraId="74DD8AA1" w14:textId="77777777" w:rsidR="00584EC1" w:rsidRDefault="00584EC1">
            <w:pPr>
              <w:rPr>
                <w:rFonts w:ascii="宋体"/>
                <w:vanish/>
              </w:rPr>
            </w:pPr>
          </w:p>
        </w:tc>
        <w:tc>
          <w:tcPr>
            <w:tcW w:w="0" w:type="auto"/>
            <w:gridSpan w:val="3"/>
            <w:shd w:val="clear" w:color="auto" w:fill="auto"/>
            <w:vAlign w:val="bottom"/>
          </w:tcPr>
          <w:p w14:paraId="74DD8AA2" w14:textId="77777777" w:rsidR="00584EC1" w:rsidRDefault="00584EC1">
            <w:pPr>
              <w:rPr>
                <w:rFonts w:ascii="宋体"/>
                <w:vanish/>
              </w:rPr>
            </w:pPr>
          </w:p>
        </w:tc>
      </w:tr>
      <w:tr w:rsidR="00584EC1" w14:paraId="74DD8AAF" w14:textId="77777777">
        <w:tc>
          <w:tcPr>
            <w:tcW w:w="0" w:type="auto"/>
            <w:gridSpan w:val="3"/>
            <w:shd w:val="clear" w:color="auto" w:fill="CCEEFF"/>
            <w:tcMar>
              <w:top w:w="40" w:type="dxa"/>
              <w:left w:w="20" w:type="dxa"/>
              <w:bottom w:w="40" w:type="dxa"/>
              <w:right w:w="20" w:type="dxa"/>
            </w:tcMar>
            <w:vAlign w:val="bottom"/>
          </w:tcPr>
          <w:p w14:paraId="74DD8AA4" w14:textId="77777777" w:rsidR="00584EC1" w:rsidRDefault="00871F8D">
            <w:pPr>
              <w:jc w:val="both"/>
              <w:textAlignment w:val="bottom"/>
            </w:pPr>
            <w:r>
              <w:rPr>
                <w:rFonts w:ascii="Arial" w:eastAsia="宋体" w:hAnsi="Arial" w:cs="Arial"/>
                <w:color w:val="000000"/>
                <w:sz w:val="14"/>
                <w:szCs w:val="14"/>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8AA5" w14:textId="77777777" w:rsidR="00584EC1" w:rsidRDefault="00871F8D">
            <w:pPr>
              <w:jc w:val="right"/>
              <w:textAlignment w:val="bottom"/>
            </w:pPr>
            <w:r>
              <w:rPr>
                <w:rFonts w:ascii="Arial" w:eastAsia="宋体" w:hAnsi="Arial" w:cs="Arial"/>
                <w:b/>
                <w:bCs/>
                <w:color w:val="000000"/>
                <w:sz w:val="14"/>
                <w:szCs w:val="14"/>
              </w:rPr>
              <w:t>36,234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AA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AA7"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8AA8" w14:textId="77777777" w:rsidR="00584EC1" w:rsidRDefault="00871F8D">
            <w:pPr>
              <w:jc w:val="right"/>
              <w:textAlignment w:val="bottom"/>
            </w:pPr>
            <w:r>
              <w:rPr>
                <w:rFonts w:ascii="Arial" w:eastAsia="宋体" w:hAnsi="Arial" w:cs="Arial"/>
                <w:color w:val="000000"/>
                <w:sz w:val="14"/>
                <w:szCs w:val="14"/>
              </w:rPr>
              <w:t>42,958 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AA9" w14:textId="77777777" w:rsidR="00584EC1" w:rsidRDefault="00584EC1">
            <w:pPr>
              <w:jc w:val="right"/>
              <w:rPr>
                <w:rFonts w:ascii="宋体"/>
              </w:rPr>
            </w:pPr>
          </w:p>
        </w:tc>
        <w:tc>
          <w:tcPr>
            <w:tcW w:w="0" w:type="auto"/>
            <w:gridSpan w:val="3"/>
            <w:shd w:val="clear" w:color="auto" w:fill="auto"/>
            <w:vAlign w:val="bottom"/>
          </w:tcPr>
          <w:p w14:paraId="74DD8AAA" w14:textId="77777777" w:rsidR="00584EC1" w:rsidRDefault="00584EC1">
            <w:pPr>
              <w:rPr>
                <w:rFonts w:ascii="宋体"/>
                <w:vanish/>
              </w:rPr>
            </w:pPr>
          </w:p>
        </w:tc>
        <w:tc>
          <w:tcPr>
            <w:tcW w:w="0" w:type="auto"/>
            <w:gridSpan w:val="3"/>
            <w:shd w:val="clear" w:color="auto" w:fill="auto"/>
            <w:vAlign w:val="bottom"/>
          </w:tcPr>
          <w:p w14:paraId="74DD8AAB" w14:textId="77777777" w:rsidR="00584EC1" w:rsidRDefault="00584EC1">
            <w:pPr>
              <w:rPr>
                <w:rFonts w:ascii="宋体"/>
                <w:vanish/>
              </w:rPr>
            </w:pPr>
          </w:p>
        </w:tc>
        <w:tc>
          <w:tcPr>
            <w:tcW w:w="0" w:type="auto"/>
            <w:gridSpan w:val="3"/>
            <w:shd w:val="clear" w:color="auto" w:fill="auto"/>
            <w:vAlign w:val="bottom"/>
          </w:tcPr>
          <w:p w14:paraId="74DD8AAC" w14:textId="77777777" w:rsidR="00584EC1" w:rsidRDefault="00584EC1">
            <w:pPr>
              <w:rPr>
                <w:rFonts w:ascii="宋体"/>
                <w:vanish/>
              </w:rPr>
            </w:pPr>
          </w:p>
        </w:tc>
        <w:tc>
          <w:tcPr>
            <w:tcW w:w="0" w:type="auto"/>
            <w:gridSpan w:val="3"/>
            <w:shd w:val="clear" w:color="auto" w:fill="auto"/>
            <w:vAlign w:val="bottom"/>
          </w:tcPr>
          <w:p w14:paraId="74DD8AAD" w14:textId="77777777" w:rsidR="00584EC1" w:rsidRDefault="00584EC1">
            <w:pPr>
              <w:rPr>
                <w:rFonts w:ascii="宋体"/>
                <w:vanish/>
              </w:rPr>
            </w:pPr>
          </w:p>
        </w:tc>
        <w:tc>
          <w:tcPr>
            <w:tcW w:w="0" w:type="auto"/>
            <w:gridSpan w:val="3"/>
            <w:shd w:val="clear" w:color="auto" w:fill="auto"/>
            <w:vAlign w:val="bottom"/>
          </w:tcPr>
          <w:p w14:paraId="74DD8AAE" w14:textId="77777777" w:rsidR="00584EC1" w:rsidRDefault="00584EC1">
            <w:pPr>
              <w:rPr>
                <w:rFonts w:ascii="宋体"/>
                <w:vanish/>
              </w:rPr>
            </w:pPr>
          </w:p>
        </w:tc>
      </w:tr>
      <w:tr w:rsidR="00584EC1" w14:paraId="74DD8AB9" w14:textId="77777777">
        <w:tc>
          <w:tcPr>
            <w:tcW w:w="0" w:type="auto"/>
            <w:gridSpan w:val="3"/>
            <w:shd w:val="clear" w:color="auto" w:fill="FFFFFF"/>
            <w:tcMar>
              <w:top w:w="40" w:type="dxa"/>
              <w:left w:w="20" w:type="dxa"/>
              <w:bottom w:w="40" w:type="dxa"/>
              <w:right w:w="20" w:type="dxa"/>
            </w:tcMar>
            <w:vAlign w:val="bottom"/>
          </w:tcPr>
          <w:p w14:paraId="74DD8AB0" w14:textId="77777777" w:rsidR="00584EC1" w:rsidRDefault="00871F8D">
            <w:pPr>
              <w:jc w:val="both"/>
              <w:textAlignment w:val="bottom"/>
            </w:pPr>
            <w:r>
              <w:rPr>
                <w:rFonts w:ascii="Arial" w:eastAsia="宋体" w:hAnsi="Arial" w:cs="Arial"/>
                <w:color w:val="000000"/>
                <w:sz w:val="14"/>
                <w:szCs w:val="14"/>
              </w:rPr>
              <w:t>Non-U.S. debt securities:</w:t>
            </w:r>
          </w:p>
        </w:tc>
        <w:tc>
          <w:tcPr>
            <w:tcW w:w="0" w:type="auto"/>
            <w:gridSpan w:val="3"/>
            <w:shd w:val="clear" w:color="auto" w:fill="FFFFFF"/>
            <w:tcMar>
              <w:top w:w="0" w:type="dxa"/>
              <w:left w:w="20" w:type="dxa"/>
              <w:bottom w:w="0" w:type="dxa"/>
              <w:right w:w="20" w:type="dxa"/>
            </w:tcMar>
            <w:vAlign w:val="bottom"/>
          </w:tcPr>
          <w:p w14:paraId="74DD8AB1"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8AB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8AB3" w14:textId="77777777" w:rsidR="00584EC1" w:rsidRDefault="00584EC1">
            <w:pPr>
              <w:rPr>
                <w:rFonts w:ascii="宋体"/>
              </w:rPr>
            </w:pPr>
          </w:p>
        </w:tc>
        <w:tc>
          <w:tcPr>
            <w:tcW w:w="0" w:type="auto"/>
            <w:gridSpan w:val="3"/>
            <w:shd w:val="clear" w:color="auto" w:fill="auto"/>
            <w:vAlign w:val="bottom"/>
          </w:tcPr>
          <w:p w14:paraId="74DD8AB4" w14:textId="77777777" w:rsidR="00584EC1" w:rsidRDefault="00584EC1">
            <w:pPr>
              <w:rPr>
                <w:rFonts w:ascii="宋体"/>
                <w:vanish/>
              </w:rPr>
            </w:pPr>
          </w:p>
        </w:tc>
        <w:tc>
          <w:tcPr>
            <w:tcW w:w="0" w:type="auto"/>
            <w:gridSpan w:val="3"/>
            <w:shd w:val="clear" w:color="auto" w:fill="auto"/>
            <w:vAlign w:val="bottom"/>
          </w:tcPr>
          <w:p w14:paraId="74DD8AB5" w14:textId="77777777" w:rsidR="00584EC1" w:rsidRDefault="00584EC1">
            <w:pPr>
              <w:rPr>
                <w:rFonts w:ascii="宋体"/>
                <w:vanish/>
              </w:rPr>
            </w:pPr>
          </w:p>
        </w:tc>
        <w:tc>
          <w:tcPr>
            <w:tcW w:w="0" w:type="auto"/>
            <w:gridSpan w:val="3"/>
            <w:shd w:val="clear" w:color="auto" w:fill="auto"/>
            <w:vAlign w:val="bottom"/>
          </w:tcPr>
          <w:p w14:paraId="74DD8AB6" w14:textId="77777777" w:rsidR="00584EC1" w:rsidRDefault="00584EC1">
            <w:pPr>
              <w:rPr>
                <w:rFonts w:ascii="宋体"/>
                <w:vanish/>
              </w:rPr>
            </w:pPr>
          </w:p>
        </w:tc>
        <w:tc>
          <w:tcPr>
            <w:tcW w:w="0" w:type="auto"/>
            <w:gridSpan w:val="3"/>
            <w:shd w:val="clear" w:color="auto" w:fill="auto"/>
            <w:vAlign w:val="bottom"/>
          </w:tcPr>
          <w:p w14:paraId="74DD8AB7" w14:textId="77777777" w:rsidR="00584EC1" w:rsidRDefault="00584EC1">
            <w:pPr>
              <w:rPr>
                <w:rFonts w:ascii="宋体"/>
                <w:vanish/>
              </w:rPr>
            </w:pPr>
          </w:p>
        </w:tc>
        <w:tc>
          <w:tcPr>
            <w:tcW w:w="0" w:type="auto"/>
            <w:gridSpan w:val="3"/>
            <w:shd w:val="clear" w:color="auto" w:fill="auto"/>
            <w:vAlign w:val="bottom"/>
          </w:tcPr>
          <w:p w14:paraId="74DD8AB8" w14:textId="77777777" w:rsidR="00584EC1" w:rsidRDefault="00584EC1">
            <w:pPr>
              <w:rPr>
                <w:rFonts w:ascii="宋体"/>
                <w:vanish/>
              </w:rPr>
            </w:pPr>
          </w:p>
        </w:tc>
      </w:tr>
      <w:tr w:rsidR="00584EC1" w14:paraId="74DD8AC5" w14:textId="77777777">
        <w:tc>
          <w:tcPr>
            <w:tcW w:w="0" w:type="auto"/>
            <w:gridSpan w:val="3"/>
            <w:shd w:val="clear" w:color="auto" w:fill="CCEEFF"/>
            <w:tcMar>
              <w:top w:w="40" w:type="dxa"/>
              <w:left w:w="140" w:type="dxa"/>
              <w:bottom w:w="40" w:type="dxa"/>
              <w:right w:w="20" w:type="dxa"/>
            </w:tcMar>
            <w:vAlign w:val="bottom"/>
          </w:tcPr>
          <w:p w14:paraId="74DD8ABA" w14:textId="77777777" w:rsidR="00584EC1" w:rsidRDefault="00871F8D">
            <w:pPr>
              <w:textAlignment w:val="bottom"/>
            </w:pPr>
            <w:r>
              <w:rPr>
                <w:rFonts w:ascii="Arial" w:eastAsia="宋体" w:hAnsi="Arial" w:cs="Arial"/>
                <w:color w:val="000000"/>
                <w:sz w:val="14"/>
                <w:szCs w:val="14"/>
              </w:rPr>
              <w:t>Mortgage-backed securities</w:t>
            </w:r>
          </w:p>
        </w:tc>
        <w:tc>
          <w:tcPr>
            <w:tcW w:w="0" w:type="auto"/>
            <w:gridSpan w:val="2"/>
            <w:shd w:val="clear" w:color="auto" w:fill="CCEEFF"/>
            <w:tcMar>
              <w:top w:w="40" w:type="dxa"/>
              <w:left w:w="20" w:type="dxa"/>
              <w:bottom w:w="40" w:type="dxa"/>
              <w:right w:w="0" w:type="dxa"/>
            </w:tcMar>
            <w:vAlign w:val="bottom"/>
          </w:tcPr>
          <w:p w14:paraId="74DD8ABB" w14:textId="77777777" w:rsidR="00584EC1" w:rsidRDefault="00871F8D">
            <w:pPr>
              <w:jc w:val="right"/>
              <w:textAlignment w:val="bottom"/>
            </w:pPr>
            <w:r>
              <w:rPr>
                <w:rFonts w:ascii="Arial" w:eastAsia="宋体" w:hAnsi="Arial" w:cs="Arial"/>
                <w:b/>
                <w:bCs/>
                <w:color w:val="000000"/>
                <w:sz w:val="14"/>
                <w:szCs w:val="14"/>
              </w:rPr>
              <w:t>209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8AB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AB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ABE" w14:textId="77777777" w:rsidR="00584EC1" w:rsidRDefault="00871F8D">
            <w:pPr>
              <w:jc w:val="right"/>
              <w:textAlignment w:val="bottom"/>
            </w:pPr>
            <w:r>
              <w:rPr>
                <w:rFonts w:ascii="Arial" w:eastAsia="宋体" w:hAnsi="Arial" w:cs="Arial"/>
                <w:color w:val="000000"/>
                <w:sz w:val="14"/>
                <w:szCs w:val="14"/>
              </w:rPr>
              <w:t>303 </w:t>
            </w:r>
          </w:p>
        </w:tc>
        <w:tc>
          <w:tcPr>
            <w:tcW w:w="0" w:type="auto"/>
            <w:shd w:val="clear" w:color="auto" w:fill="CCEEFF"/>
            <w:tcMar>
              <w:top w:w="40" w:type="dxa"/>
              <w:left w:w="0" w:type="dxa"/>
              <w:bottom w:w="40" w:type="dxa"/>
              <w:right w:w="20" w:type="dxa"/>
            </w:tcMar>
            <w:vAlign w:val="bottom"/>
          </w:tcPr>
          <w:p w14:paraId="74DD8ABF" w14:textId="77777777" w:rsidR="00584EC1" w:rsidRDefault="00584EC1">
            <w:pPr>
              <w:jc w:val="right"/>
              <w:rPr>
                <w:rFonts w:ascii="宋体"/>
              </w:rPr>
            </w:pPr>
          </w:p>
        </w:tc>
        <w:tc>
          <w:tcPr>
            <w:tcW w:w="0" w:type="auto"/>
            <w:gridSpan w:val="3"/>
            <w:shd w:val="clear" w:color="auto" w:fill="auto"/>
            <w:vAlign w:val="bottom"/>
          </w:tcPr>
          <w:p w14:paraId="74DD8AC0" w14:textId="77777777" w:rsidR="00584EC1" w:rsidRDefault="00584EC1">
            <w:pPr>
              <w:rPr>
                <w:rFonts w:ascii="宋体"/>
                <w:vanish/>
              </w:rPr>
            </w:pPr>
          </w:p>
        </w:tc>
        <w:tc>
          <w:tcPr>
            <w:tcW w:w="0" w:type="auto"/>
            <w:gridSpan w:val="3"/>
            <w:shd w:val="clear" w:color="auto" w:fill="auto"/>
            <w:vAlign w:val="bottom"/>
          </w:tcPr>
          <w:p w14:paraId="74DD8AC1" w14:textId="77777777" w:rsidR="00584EC1" w:rsidRDefault="00584EC1">
            <w:pPr>
              <w:rPr>
                <w:rFonts w:ascii="宋体"/>
                <w:vanish/>
              </w:rPr>
            </w:pPr>
          </w:p>
        </w:tc>
        <w:tc>
          <w:tcPr>
            <w:tcW w:w="0" w:type="auto"/>
            <w:gridSpan w:val="3"/>
            <w:shd w:val="clear" w:color="auto" w:fill="auto"/>
            <w:vAlign w:val="bottom"/>
          </w:tcPr>
          <w:p w14:paraId="74DD8AC2" w14:textId="77777777" w:rsidR="00584EC1" w:rsidRDefault="00584EC1">
            <w:pPr>
              <w:rPr>
                <w:rFonts w:ascii="宋体"/>
                <w:vanish/>
              </w:rPr>
            </w:pPr>
          </w:p>
        </w:tc>
        <w:tc>
          <w:tcPr>
            <w:tcW w:w="0" w:type="auto"/>
            <w:gridSpan w:val="3"/>
            <w:shd w:val="clear" w:color="auto" w:fill="auto"/>
            <w:vAlign w:val="bottom"/>
          </w:tcPr>
          <w:p w14:paraId="74DD8AC3" w14:textId="77777777" w:rsidR="00584EC1" w:rsidRDefault="00584EC1">
            <w:pPr>
              <w:rPr>
                <w:rFonts w:ascii="宋体"/>
                <w:vanish/>
              </w:rPr>
            </w:pPr>
          </w:p>
        </w:tc>
        <w:tc>
          <w:tcPr>
            <w:tcW w:w="0" w:type="auto"/>
            <w:gridSpan w:val="3"/>
            <w:shd w:val="clear" w:color="auto" w:fill="auto"/>
            <w:vAlign w:val="bottom"/>
          </w:tcPr>
          <w:p w14:paraId="74DD8AC4" w14:textId="77777777" w:rsidR="00584EC1" w:rsidRDefault="00584EC1">
            <w:pPr>
              <w:rPr>
                <w:rFonts w:ascii="宋体"/>
                <w:vanish/>
              </w:rPr>
            </w:pPr>
          </w:p>
        </w:tc>
      </w:tr>
      <w:tr w:rsidR="00584EC1" w14:paraId="74DD8ACF" w14:textId="77777777">
        <w:trPr>
          <w:hidden/>
        </w:trPr>
        <w:tc>
          <w:tcPr>
            <w:tcW w:w="0" w:type="auto"/>
            <w:gridSpan w:val="3"/>
            <w:shd w:val="clear" w:color="auto" w:fill="auto"/>
            <w:vAlign w:val="bottom"/>
          </w:tcPr>
          <w:p w14:paraId="74DD8AC6" w14:textId="77777777" w:rsidR="00584EC1" w:rsidRDefault="00584EC1">
            <w:pPr>
              <w:rPr>
                <w:rFonts w:ascii="宋体"/>
                <w:vanish/>
              </w:rPr>
            </w:pPr>
          </w:p>
        </w:tc>
        <w:tc>
          <w:tcPr>
            <w:tcW w:w="0" w:type="auto"/>
            <w:gridSpan w:val="3"/>
            <w:shd w:val="clear" w:color="auto" w:fill="auto"/>
            <w:vAlign w:val="bottom"/>
          </w:tcPr>
          <w:p w14:paraId="74DD8AC7" w14:textId="77777777" w:rsidR="00584EC1" w:rsidRDefault="00584EC1">
            <w:pPr>
              <w:rPr>
                <w:rFonts w:ascii="宋体"/>
                <w:vanish/>
              </w:rPr>
            </w:pPr>
          </w:p>
        </w:tc>
        <w:tc>
          <w:tcPr>
            <w:tcW w:w="0" w:type="auto"/>
            <w:gridSpan w:val="3"/>
            <w:shd w:val="clear" w:color="auto" w:fill="auto"/>
            <w:vAlign w:val="bottom"/>
          </w:tcPr>
          <w:p w14:paraId="74DD8AC8" w14:textId="77777777" w:rsidR="00584EC1" w:rsidRDefault="00584EC1">
            <w:pPr>
              <w:rPr>
                <w:rFonts w:ascii="宋体"/>
                <w:vanish/>
              </w:rPr>
            </w:pPr>
          </w:p>
        </w:tc>
        <w:tc>
          <w:tcPr>
            <w:tcW w:w="0" w:type="auto"/>
            <w:gridSpan w:val="3"/>
            <w:shd w:val="clear" w:color="auto" w:fill="auto"/>
            <w:vAlign w:val="bottom"/>
          </w:tcPr>
          <w:p w14:paraId="74DD8AC9" w14:textId="77777777" w:rsidR="00584EC1" w:rsidRDefault="00584EC1">
            <w:pPr>
              <w:rPr>
                <w:rFonts w:ascii="宋体"/>
                <w:vanish/>
              </w:rPr>
            </w:pPr>
          </w:p>
        </w:tc>
        <w:tc>
          <w:tcPr>
            <w:tcW w:w="0" w:type="auto"/>
            <w:gridSpan w:val="3"/>
            <w:shd w:val="clear" w:color="auto" w:fill="auto"/>
            <w:vAlign w:val="bottom"/>
          </w:tcPr>
          <w:p w14:paraId="74DD8ACA" w14:textId="77777777" w:rsidR="00584EC1" w:rsidRDefault="00584EC1">
            <w:pPr>
              <w:rPr>
                <w:rFonts w:ascii="宋体"/>
                <w:vanish/>
              </w:rPr>
            </w:pPr>
          </w:p>
        </w:tc>
        <w:tc>
          <w:tcPr>
            <w:tcW w:w="0" w:type="auto"/>
            <w:gridSpan w:val="3"/>
            <w:shd w:val="clear" w:color="auto" w:fill="auto"/>
            <w:vAlign w:val="bottom"/>
          </w:tcPr>
          <w:p w14:paraId="74DD8ACB" w14:textId="77777777" w:rsidR="00584EC1" w:rsidRDefault="00584EC1">
            <w:pPr>
              <w:rPr>
                <w:rFonts w:ascii="宋体"/>
                <w:vanish/>
              </w:rPr>
            </w:pPr>
          </w:p>
        </w:tc>
        <w:tc>
          <w:tcPr>
            <w:tcW w:w="0" w:type="auto"/>
            <w:gridSpan w:val="3"/>
            <w:shd w:val="clear" w:color="auto" w:fill="auto"/>
            <w:vAlign w:val="bottom"/>
          </w:tcPr>
          <w:p w14:paraId="74DD8ACC" w14:textId="77777777" w:rsidR="00584EC1" w:rsidRDefault="00584EC1">
            <w:pPr>
              <w:rPr>
                <w:rFonts w:ascii="宋体"/>
                <w:vanish/>
              </w:rPr>
            </w:pPr>
          </w:p>
        </w:tc>
        <w:tc>
          <w:tcPr>
            <w:tcW w:w="0" w:type="auto"/>
            <w:gridSpan w:val="3"/>
            <w:shd w:val="clear" w:color="auto" w:fill="auto"/>
            <w:vAlign w:val="bottom"/>
          </w:tcPr>
          <w:p w14:paraId="74DD8ACD" w14:textId="77777777" w:rsidR="00584EC1" w:rsidRDefault="00584EC1">
            <w:pPr>
              <w:rPr>
                <w:rFonts w:ascii="宋体"/>
                <w:vanish/>
              </w:rPr>
            </w:pPr>
          </w:p>
        </w:tc>
        <w:tc>
          <w:tcPr>
            <w:tcW w:w="0" w:type="auto"/>
            <w:gridSpan w:val="3"/>
            <w:shd w:val="clear" w:color="auto" w:fill="auto"/>
            <w:vAlign w:val="bottom"/>
          </w:tcPr>
          <w:p w14:paraId="74DD8ACE" w14:textId="77777777" w:rsidR="00584EC1" w:rsidRDefault="00584EC1">
            <w:pPr>
              <w:rPr>
                <w:rFonts w:ascii="宋体"/>
                <w:vanish/>
              </w:rPr>
            </w:pPr>
          </w:p>
        </w:tc>
      </w:tr>
      <w:tr w:rsidR="00584EC1" w14:paraId="74DD8ADB" w14:textId="77777777">
        <w:tc>
          <w:tcPr>
            <w:tcW w:w="0" w:type="auto"/>
            <w:gridSpan w:val="3"/>
            <w:shd w:val="clear" w:color="auto" w:fill="FFFFFF"/>
            <w:tcMar>
              <w:top w:w="40" w:type="dxa"/>
              <w:left w:w="140" w:type="dxa"/>
              <w:bottom w:w="40" w:type="dxa"/>
              <w:right w:w="20" w:type="dxa"/>
            </w:tcMar>
            <w:vAlign w:val="bottom"/>
          </w:tcPr>
          <w:p w14:paraId="74DD8AD0" w14:textId="77777777" w:rsidR="00584EC1" w:rsidRDefault="00871F8D">
            <w:pPr>
              <w:textAlignment w:val="bottom"/>
            </w:pPr>
            <w:r>
              <w:rPr>
                <w:rFonts w:ascii="Arial" w:eastAsia="宋体" w:hAnsi="Arial" w:cs="Arial"/>
                <w:color w:val="000000"/>
                <w:sz w:val="14"/>
                <w:szCs w:val="14"/>
              </w:rPr>
              <w:t>Non-U.S. sovereign, supranational and non-U.S. agency</w:t>
            </w:r>
          </w:p>
        </w:tc>
        <w:tc>
          <w:tcPr>
            <w:tcW w:w="0" w:type="auto"/>
            <w:gridSpan w:val="2"/>
            <w:shd w:val="clear" w:color="auto" w:fill="FFFFFF"/>
            <w:tcMar>
              <w:top w:w="40" w:type="dxa"/>
              <w:left w:w="20" w:type="dxa"/>
              <w:bottom w:w="40" w:type="dxa"/>
              <w:right w:w="0" w:type="dxa"/>
            </w:tcMar>
            <w:vAlign w:val="bottom"/>
          </w:tcPr>
          <w:p w14:paraId="74DD8AD1" w14:textId="77777777" w:rsidR="00584EC1" w:rsidRDefault="00871F8D">
            <w:pPr>
              <w:jc w:val="right"/>
              <w:textAlignment w:val="bottom"/>
            </w:pPr>
            <w:r>
              <w:rPr>
                <w:rFonts w:ascii="Arial" w:eastAsia="宋体" w:hAnsi="Arial" w:cs="Arial"/>
                <w:b/>
                <w:bCs/>
                <w:color w:val="000000"/>
                <w:sz w:val="14"/>
                <w:szCs w:val="14"/>
              </w:rPr>
              <w:t>1,508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8AD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AD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AD4" w14:textId="77777777" w:rsidR="00584EC1" w:rsidRDefault="00871F8D">
            <w:pPr>
              <w:jc w:val="right"/>
              <w:textAlignment w:val="bottom"/>
            </w:pPr>
            <w:r>
              <w:rPr>
                <w:rFonts w:ascii="Arial" w:eastAsia="宋体" w:hAnsi="Arial" w:cs="Arial"/>
                <w:color w:val="000000"/>
                <w:sz w:val="14"/>
                <w:szCs w:val="14"/>
              </w:rPr>
              <w:t>342 </w:t>
            </w:r>
          </w:p>
        </w:tc>
        <w:tc>
          <w:tcPr>
            <w:tcW w:w="0" w:type="auto"/>
            <w:shd w:val="clear" w:color="auto" w:fill="FFFFFF"/>
            <w:tcMar>
              <w:top w:w="40" w:type="dxa"/>
              <w:left w:w="0" w:type="dxa"/>
              <w:bottom w:w="40" w:type="dxa"/>
              <w:right w:w="20" w:type="dxa"/>
            </w:tcMar>
            <w:vAlign w:val="bottom"/>
          </w:tcPr>
          <w:p w14:paraId="74DD8AD5" w14:textId="77777777" w:rsidR="00584EC1" w:rsidRDefault="00584EC1">
            <w:pPr>
              <w:jc w:val="right"/>
              <w:rPr>
                <w:rFonts w:ascii="宋体"/>
              </w:rPr>
            </w:pPr>
          </w:p>
        </w:tc>
        <w:tc>
          <w:tcPr>
            <w:tcW w:w="0" w:type="auto"/>
            <w:gridSpan w:val="3"/>
            <w:shd w:val="clear" w:color="auto" w:fill="auto"/>
            <w:vAlign w:val="bottom"/>
          </w:tcPr>
          <w:p w14:paraId="74DD8AD6" w14:textId="77777777" w:rsidR="00584EC1" w:rsidRDefault="00584EC1">
            <w:pPr>
              <w:rPr>
                <w:rFonts w:ascii="宋体"/>
                <w:vanish/>
              </w:rPr>
            </w:pPr>
          </w:p>
        </w:tc>
        <w:tc>
          <w:tcPr>
            <w:tcW w:w="0" w:type="auto"/>
            <w:gridSpan w:val="3"/>
            <w:shd w:val="clear" w:color="auto" w:fill="auto"/>
            <w:vAlign w:val="bottom"/>
          </w:tcPr>
          <w:p w14:paraId="74DD8AD7" w14:textId="77777777" w:rsidR="00584EC1" w:rsidRDefault="00584EC1">
            <w:pPr>
              <w:rPr>
                <w:rFonts w:ascii="宋体"/>
                <w:vanish/>
              </w:rPr>
            </w:pPr>
          </w:p>
        </w:tc>
        <w:tc>
          <w:tcPr>
            <w:tcW w:w="0" w:type="auto"/>
            <w:gridSpan w:val="3"/>
            <w:shd w:val="clear" w:color="auto" w:fill="auto"/>
            <w:vAlign w:val="bottom"/>
          </w:tcPr>
          <w:p w14:paraId="74DD8AD8" w14:textId="77777777" w:rsidR="00584EC1" w:rsidRDefault="00584EC1">
            <w:pPr>
              <w:rPr>
                <w:rFonts w:ascii="宋体"/>
                <w:vanish/>
              </w:rPr>
            </w:pPr>
          </w:p>
        </w:tc>
        <w:tc>
          <w:tcPr>
            <w:tcW w:w="0" w:type="auto"/>
            <w:gridSpan w:val="3"/>
            <w:shd w:val="clear" w:color="auto" w:fill="auto"/>
            <w:vAlign w:val="bottom"/>
          </w:tcPr>
          <w:p w14:paraId="74DD8AD9" w14:textId="77777777" w:rsidR="00584EC1" w:rsidRDefault="00584EC1">
            <w:pPr>
              <w:rPr>
                <w:rFonts w:ascii="宋体"/>
                <w:vanish/>
              </w:rPr>
            </w:pPr>
          </w:p>
        </w:tc>
        <w:tc>
          <w:tcPr>
            <w:tcW w:w="0" w:type="auto"/>
            <w:gridSpan w:val="3"/>
            <w:shd w:val="clear" w:color="auto" w:fill="auto"/>
            <w:vAlign w:val="bottom"/>
          </w:tcPr>
          <w:p w14:paraId="74DD8ADA" w14:textId="77777777" w:rsidR="00584EC1" w:rsidRDefault="00584EC1">
            <w:pPr>
              <w:rPr>
                <w:rFonts w:ascii="宋体"/>
                <w:vanish/>
              </w:rPr>
            </w:pPr>
          </w:p>
        </w:tc>
      </w:tr>
      <w:tr w:rsidR="00584EC1" w14:paraId="74DD8AE5" w14:textId="77777777">
        <w:trPr>
          <w:hidden/>
        </w:trPr>
        <w:tc>
          <w:tcPr>
            <w:tcW w:w="0" w:type="auto"/>
            <w:gridSpan w:val="3"/>
            <w:shd w:val="clear" w:color="auto" w:fill="auto"/>
            <w:vAlign w:val="bottom"/>
          </w:tcPr>
          <w:p w14:paraId="74DD8ADC" w14:textId="77777777" w:rsidR="00584EC1" w:rsidRDefault="00584EC1">
            <w:pPr>
              <w:rPr>
                <w:rFonts w:ascii="宋体"/>
                <w:vanish/>
              </w:rPr>
            </w:pPr>
          </w:p>
        </w:tc>
        <w:tc>
          <w:tcPr>
            <w:tcW w:w="0" w:type="auto"/>
            <w:gridSpan w:val="3"/>
            <w:shd w:val="clear" w:color="auto" w:fill="auto"/>
            <w:vAlign w:val="bottom"/>
          </w:tcPr>
          <w:p w14:paraId="74DD8ADD" w14:textId="77777777" w:rsidR="00584EC1" w:rsidRDefault="00584EC1">
            <w:pPr>
              <w:rPr>
                <w:rFonts w:ascii="宋体"/>
                <w:vanish/>
              </w:rPr>
            </w:pPr>
          </w:p>
        </w:tc>
        <w:tc>
          <w:tcPr>
            <w:tcW w:w="0" w:type="auto"/>
            <w:gridSpan w:val="3"/>
            <w:shd w:val="clear" w:color="auto" w:fill="auto"/>
            <w:vAlign w:val="bottom"/>
          </w:tcPr>
          <w:p w14:paraId="74DD8ADE" w14:textId="77777777" w:rsidR="00584EC1" w:rsidRDefault="00584EC1">
            <w:pPr>
              <w:rPr>
                <w:rFonts w:ascii="宋体"/>
                <w:vanish/>
              </w:rPr>
            </w:pPr>
          </w:p>
        </w:tc>
        <w:tc>
          <w:tcPr>
            <w:tcW w:w="0" w:type="auto"/>
            <w:gridSpan w:val="3"/>
            <w:shd w:val="clear" w:color="auto" w:fill="auto"/>
            <w:vAlign w:val="bottom"/>
          </w:tcPr>
          <w:p w14:paraId="74DD8ADF" w14:textId="77777777" w:rsidR="00584EC1" w:rsidRDefault="00584EC1">
            <w:pPr>
              <w:rPr>
                <w:rFonts w:ascii="宋体"/>
                <w:vanish/>
              </w:rPr>
            </w:pPr>
          </w:p>
        </w:tc>
        <w:tc>
          <w:tcPr>
            <w:tcW w:w="0" w:type="auto"/>
            <w:gridSpan w:val="3"/>
            <w:shd w:val="clear" w:color="auto" w:fill="auto"/>
            <w:vAlign w:val="bottom"/>
          </w:tcPr>
          <w:p w14:paraId="74DD8AE0" w14:textId="77777777" w:rsidR="00584EC1" w:rsidRDefault="00584EC1">
            <w:pPr>
              <w:rPr>
                <w:rFonts w:ascii="宋体"/>
                <w:vanish/>
              </w:rPr>
            </w:pPr>
          </w:p>
        </w:tc>
        <w:tc>
          <w:tcPr>
            <w:tcW w:w="0" w:type="auto"/>
            <w:gridSpan w:val="3"/>
            <w:shd w:val="clear" w:color="auto" w:fill="auto"/>
            <w:vAlign w:val="bottom"/>
          </w:tcPr>
          <w:p w14:paraId="74DD8AE1" w14:textId="77777777" w:rsidR="00584EC1" w:rsidRDefault="00584EC1">
            <w:pPr>
              <w:rPr>
                <w:rFonts w:ascii="宋体"/>
                <w:vanish/>
              </w:rPr>
            </w:pPr>
          </w:p>
        </w:tc>
        <w:tc>
          <w:tcPr>
            <w:tcW w:w="0" w:type="auto"/>
            <w:gridSpan w:val="3"/>
            <w:shd w:val="clear" w:color="auto" w:fill="auto"/>
            <w:vAlign w:val="bottom"/>
          </w:tcPr>
          <w:p w14:paraId="74DD8AE2" w14:textId="77777777" w:rsidR="00584EC1" w:rsidRDefault="00584EC1">
            <w:pPr>
              <w:rPr>
                <w:rFonts w:ascii="宋体"/>
                <w:vanish/>
              </w:rPr>
            </w:pPr>
          </w:p>
        </w:tc>
        <w:tc>
          <w:tcPr>
            <w:tcW w:w="0" w:type="auto"/>
            <w:gridSpan w:val="3"/>
            <w:shd w:val="clear" w:color="auto" w:fill="auto"/>
            <w:vAlign w:val="bottom"/>
          </w:tcPr>
          <w:p w14:paraId="74DD8AE3" w14:textId="77777777" w:rsidR="00584EC1" w:rsidRDefault="00584EC1">
            <w:pPr>
              <w:rPr>
                <w:rFonts w:ascii="宋体"/>
                <w:vanish/>
              </w:rPr>
            </w:pPr>
          </w:p>
        </w:tc>
        <w:tc>
          <w:tcPr>
            <w:tcW w:w="0" w:type="auto"/>
            <w:gridSpan w:val="3"/>
            <w:shd w:val="clear" w:color="auto" w:fill="auto"/>
            <w:vAlign w:val="bottom"/>
          </w:tcPr>
          <w:p w14:paraId="74DD8AE4" w14:textId="77777777" w:rsidR="00584EC1" w:rsidRDefault="00584EC1">
            <w:pPr>
              <w:rPr>
                <w:rFonts w:ascii="宋体"/>
                <w:vanish/>
              </w:rPr>
            </w:pPr>
          </w:p>
        </w:tc>
      </w:tr>
      <w:tr w:rsidR="00584EC1" w14:paraId="74DD8AF1" w14:textId="77777777">
        <w:tc>
          <w:tcPr>
            <w:tcW w:w="0" w:type="auto"/>
            <w:gridSpan w:val="3"/>
            <w:shd w:val="clear" w:color="auto" w:fill="CCEEFF"/>
            <w:tcMar>
              <w:top w:w="40" w:type="dxa"/>
              <w:left w:w="20" w:type="dxa"/>
              <w:bottom w:w="40" w:type="dxa"/>
              <w:right w:w="140" w:type="dxa"/>
            </w:tcMar>
            <w:vAlign w:val="bottom"/>
          </w:tcPr>
          <w:p w14:paraId="74DD8AE6" w14:textId="77777777" w:rsidR="00584EC1" w:rsidRDefault="00871F8D">
            <w:pPr>
              <w:jc w:val="both"/>
              <w:textAlignment w:val="bottom"/>
            </w:pPr>
            <w:r>
              <w:rPr>
                <w:rFonts w:ascii="Arial" w:eastAsia="宋体" w:hAnsi="Arial" w:cs="Arial"/>
                <w:color w:val="000000"/>
                <w:sz w:val="14"/>
                <w:szCs w:val="14"/>
              </w:rPr>
              <w:t>Total non-U.S. debt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8AE7" w14:textId="77777777" w:rsidR="00584EC1" w:rsidRDefault="00871F8D">
            <w:pPr>
              <w:jc w:val="right"/>
              <w:textAlignment w:val="bottom"/>
            </w:pPr>
            <w:r>
              <w:rPr>
                <w:rFonts w:ascii="Arial" w:eastAsia="宋体" w:hAnsi="Arial" w:cs="Arial"/>
                <w:b/>
                <w:bCs/>
                <w:color w:val="000000"/>
                <w:sz w:val="14"/>
                <w:szCs w:val="14"/>
              </w:rPr>
              <w:t>1,717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AE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AE9"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8AEA" w14:textId="77777777" w:rsidR="00584EC1" w:rsidRDefault="00871F8D">
            <w:pPr>
              <w:jc w:val="right"/>
              <w:textAlignment w:val="bottom"/>
            </w:pPr>
            <w:r>
              <w:rPr>
                <w:rFonts w:ascii="Arial" w:eastAsia="宋体" w:hAnsi="Arial" w:cs="Arial"/>
                <w:color w:val="000000"/>
                <w:sz w:val="14"/>
                <w:szCs w:val="14"/>
              </w:rPr>
              <w:t>645 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AEB" w14:textId="77777777" w:rsidR="00584EC1" w:rsidRDefault="00584EC1">
            <w:pPr>
              <w:jc w:val="right"/>
              <w:rPr>
                <w:rFonts w:ascii="宋体"/>
              </w:rPr>
            </w:pPr>
          </w:p>
        </w:tc>
        <w:tc>
          <w:tcPr>
            <w:tcW w:w="0" w:type="auto"/>
            <w:gridSpan w:val="3"/>
            <w:shd w:val="clear" w:color="auto" w:fill="auto"/>
            <w:vAlign w:val="bottom"/>
          </w:tcPr>
          <w:p w14:paraId="74DD8AEC" w14:textId="77777777" w:rsidR="00584EC1" w:rsidRDefault="00584EC1">
            <w:pPr>
              <w:rPr>
                <w:rFonts w:ascii="宋体"/>
                <w:vanish/>
              </w:rPr>
            </w:pPr>
          </w:p>
        </w:tc>
        <w:tc>
          <w:tcPr>
            <w:tcW w:w="0" w:type="auto"/>
            <w:gridSpan w:val="3"/>
            <w:shd w:val="clear" w:color="auto" w:fill="auto"/>
            <w:vAlign w:val="bottom"/>
          </w:tcPr>
          <w:p w14:paraId="74DD8AED" w14:textId="77777777" w:rsidR="00584EC1" w:rsidRDefault="00584EC1">
            <w:pPr>
              <w:rPr>
                <w:rFonts w:ascii="宋体"/>
                <w:vanish/>
              </w:rPr>
            </w:pPr>
          </w:p>
        </w:tc>
        <w:tc>
          <w:tcPr>
            <w:tcW w:w="0" w:type="auto"/>
            <w:gridSpan w:val="3"/>
            <w:shd w:val="clear" w:color="auto" w:fill="auto"/>
            <w:vAlign w:val="bottom"/>
          </w:tcPr>
          <w:p w14:paraId="74DD8AEE" w14:textId="77777777" w:rsidR="00584EC1" w:rsidRDefault="00584EC1">
            <w:pPr>
              <w:rPr>
                <w:rFonts w:ascii="宋体"/>
                <w:vanish/>
              </w:rPr>
            </w:pPr>
          </w:p>
        </w:tc>
        <w:tc>
          <w:tcPr>
            <w:tcW w:w="0" w:type="auto"/>
            <w:gridSpan w:val="3"/>
            <w:shd w:val="clear" w:color="auto" w:fill="auto"/>
            <w:vAlign w:val="bottom"/>
          </w:tcPr>
          <w:p w14:paraId="74DD8AEF" w14:textId="77777777" w:rsidR="00584EC1" w:rsidRDefault="00584EC1">
            <w:pPr>
              <w:rPr>
                <w:rFonts w:ascii="宋体"/>
                <w:vanish/>
              </w:rPr>
            </w:pPr>
          </w:p>
        </w:tc>
        <w:tc>
          <w:tcPr>
            <w:tcW w:w="0" w:type="auto"/>
            <w:gridSpan w:val="3"/>
            <w:shd w:val="clear" w:color="auto" w:fill="auto"/>
            <w:vAlign w:val="bottom"/>
          </w:tcPr>
          <w:p w14:paraId="74DD8AF0" w14:textId="77777777" w:rsidR="00584EC1" w:rsidRDefault="00584EC1">
            <w:pPr>
              <w:rPr>
                <w:rFonts w:ascii="宋体"/>
                <w:vanish/>
              </w:rPr>
            </w:pPr>
          </w:p>
        </w:tc>
      </w:tr>
      <w:tr w:rsidR="00584EC1" w14:paraId="74DD8AFB" w14:textId="77777777">
        <w:tc>
          <w:tcPr>
            <w:tcW w:w="0" w:type="auto"/>
            <w:gridSpan w:val="3"/>
            <w:shd w:val="clear" w:color="auto" w:fill="FFFFFF"/>
            <w:tcMar>
              <w:top w:w="40" w:type="dxa"/>
              <w:left w:w="20" w:type="dxa"/>
              <w:bottom w:w="40" w:type="dxa"/>
              <w:right w:w="20" w:type="dxa"/>
            </w:tcMar>
            <w:vAlign w:val="bottom"/>
          </w:tcPr>
          <w:p w14:paraId="74DD8AF2" w14:textId="77777777" w:rsidR="00584EC1" w:rsidRDefault="00871F8D">
            <w:pPr>
              <w:jc w:val="both"/>
              <w:textAlignment w:val="bottom"/>
            </w:pPr>
            <w:r>
              <w:rPr>
                <w:rFonts w:ascii="Arial" w:eastAsia="宋体" w:hAnsi="Arial" w:cs="Arial"/>
                <w:color w:val="000000"/>
                <w:sz w:val="14"/>
                <w:szCs w:val="14"/>
              </w:rPr>
              <w:t>Asset-backed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8AF3"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8AF4"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8AF5" w14:textId="77777777" w:rsidR="00584EC1" w:rsidRDefault="00584EC1">
            <w:pPr>
              <w:rPr>
                <w:rFonts w:ascii="宋体"/>
              </w:rPr>
            </w:pPr>
          </w:p>
        </w:tc>
        <w:tc>
          <w:tcPr>
            <w:tcW w:w="0" w:type="auto"/>
            <w:gridSpan w:val="3"/>
            <w:shd w:val="clear" w:color="auto" w:fill="auto"/>
            <w:vAlign w:val="bottom"/>
          </w:tcPr>
          <w:p w14:paraId="74DD8AF6" w14:textId="77777777" w:rsidR="00584EC1" w:rsidRDefault="00584EC1">
            <w:pPr>
              <w:rPr>
                <w:rFonts w:ascii="宋体"/>
                <w:vanish/>
              </w:rPr>
            </w:pPr>
          </w:p>
        </w:tc>
        <w:tc>
          <w:tcPr>
            <w:tcW w:w="0" w:type="auto"/>
            <w:gridSpan w:val="3"/>
            <w:shd w:val="clear" w:color="auto" w:fill="auto"/>
            <w:vAlign w:val="bottom"/>
          </w:tcPr>
          <w:p w14:paraId="74DD8AF7" w14:textId="77777777" w:rsidR="00584EC1" w:rsidRDefault="00584EC1">
            <w:pPr>
              <w:rPr>
                <w:rFonts w:ascii="宋体"/>
                <w:vanish/>
              </w:rPr>
            </w:pPr>
          </w:p>
        </w:tc>
        <w:tc>
          <w:tcPr>
            <w:tcW w:w="0" w:type="auto"/>
            <w:gridSpan w:val="3"/>
            <w:shd w:val="clear" w:color="auto" w:fill="auto"/>
            <w:vAlign w:val="bottom"/>
          </w:tcPr>
          <w:p w14:paraId="74DD8AF8" w14:textId="77777777" w:rsidR="00584EC1" w:rsidRDefault="00584EC1">
            <w:pPr>
              <w:rPr>
                <w:rFonts w:ascii="宋体"/>
                <w:vanish/>
              </w:rPr>
            </w:pPr>
          </w:p>
        </w:tc>
        <w:tc>
          <w:tcPr>
            <w:tcW w:w="0" w:type="auto"/>
            <w:gridSpan w:val="3"/>
            <w:shd w:val="clear" w:color="auto" w:fill="auto"/>
            <w:vAlign w:val="bottom"/>
          </w:tcPr>
          <w:p w14:paraId="74DD8AF9" w14:textId="77777777" w:rsidR="00584EC1" w:rsidRDefault="00584EC1">
            <w:pPr>
              <w:rPr>
                <w:rFonts w:ascii="宋体"/>
                <w:vanish/>
              </w:rPr>
            </w:pPr>
          </w:p>
        </w:tc>
        <w:tc>
          <w:tcPr>
            <w:tcW w:w="0" w:type="auto"/>
            <w:gridSpan w:val="3"/>
            <w:shd w:val="clear" w:color="auto" w:fill="auto"/>
            <w:vAlign w:val="bottom"/>
          </w:tcPr>
          <w:p w14:paraId="74DD8AFA" w14:textId="77777777" w:rsidR="00584EC1" w:rsidRDefault="00584EC1">
            <w:pPr>
              <w:rPr>
                <w:rFonts w:ascii="宋体"/>
                <w:vanish/>
              </w:rPr>
            </w:pPr>
          </w:p>
        </w:tc>
      </w:tr>
      <w:tr w:rsidR="00584EC1" w14:paraId="74DD8B07" w14:textId="77777777">
        <w:tc>
          <w:tcPr>
            <w:tcW w:w="0" w:type="auto"/>
            <w:gridSpan w:val="3"/>
            <w:shd w:val="clear" w:color="auto" w:fill="CCEEFF"/>
            <w:tcMar>
              <w:top w:w="40" w:type="dxa"/>
              <w:left w:w="20" w:type="dxa"/>
              <w:bottom w:w="40" w:type="dxa"/>
              <w:right w:w="20" w:type="dxa"/>
            </w:tcMar>
            <w:vAlign w:val="bottom"/>
          </w:tcPr>
          <w:p w14:paraId="74DD8AFC" w14:textId="77777777" w:rsidR="00584EC1" w:rsidRDefault="00871F8D">
            <w:pPr>
              <w:textAlignment w:val="bottom"/>
            </w:pPr>
            <w:r>
              <w:rPr>
                <w:rFonts w:ascii="Arial" w:eastAsia="宋体" w:hAnsi="Arial" w:cs="Arial"/>
                <w:color w:val="000000"/>
                <w:sz w:val="14"/>
                <w:szCs w:val="14"/>
              </w:rPr>
              <w:t>Student loans</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74DD8AFD" w14:textId="77777777" w:rsidR="00584EC1" w:rsidRDefault="00871F8D">
            <w:pPr>
              <w:jc w:val="right"/>
              <w:textAlignment w:val="bottom"/>
            </w:pPr>
            <w:r>
              <w:rPr>
                <w:rFonts w:ascii="Arial" w:eastAsia="宋体" w:hAnsi="Arial" w:cs="Arial"/>
                <w:b/>
                <w:bCs/>
                <w:color w:val="000000"/>
                <w:sz w:val="14"/>
                <w:szCs w:val="14"/>
              </w:rPr>
              <w:t>5,017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8AF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AFF"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B00" w14:textId="77777777" w:rsidR="00584EC1" w:rsidRDefault="00871F8D">
            <w:pPr>
              <w:jc w:val="right"/>
              <w:textAlignment w:val="bottom"/>
            </w:pPr>
            <w:r>
              <w:rPr>
                <w:rFonts w:ascii="Arial" w:eastAsia="宋体" w:hAnsi="Arial" w:cs="Arial"/>
                <w:color w:val="000000"/>
                <w:sz w:val="14"/>
                <w:szCs w:val="14"/>
              </w:rPr>
              <w:t>4,774 </w:t>
            </w:r>
          </w:p>
        </w:tc>
        <w:tc>
          <w:tcPr>
            <w:tcW w:w="0" w:type="auto"/>
            <w:shd w:val="clear" w:color="auto" w:fill="CCEEFF"/>
            <w:tcMar>
              <w:top w:w="40" w:type="dxa"/>
              <w:left w:w="0" w:type="dxa"/>
              <w:bottom w:w="40" w:type="dxa"/>
              <w:right w:w="20" w:type="dxa"/>
            </w:tcMar>
            <w:vAlign w:val="bottom"/>
          </w:tcPr>
          <w:p w14:paraId="74DD8B01" w14:textId="77777777" w:rsidR="00584EC1" w:rsidRDefault="00584EC1">
            <w:pPr>
              <w:jc w:val="right"/>
              <w:rPr>
                <w:rFonts w:ascii="宋体"/>
              </w:rPr>
            </w:pPr>
          </w:p>
        </w:tc>
        <w:tc>
          <w:tcPr>
            <w:tcW w:w="0" w:type="auto"/>
            <w:gridSpan w:val="3"/>
            <w:shd w:val="clear" w:color="auto" w:fill="auto"/>
            <w:vAlign w:val="bottom"/>
          </w:tcPr>
          <w:p w14:paraId="74DD8B02" w14:textId="77777777" w:rsidR="00584EC1" w:rsidRDefault="00584EC1">
            <w:pPr>
              <w:rPr>
                <w:rFonts w:ascii="宋体"/>
                <w:vanish/>
              </w:rPr>
            </w:pPr>
          </w:p>
        </w:tc>
        <w:tc>
          <w:tcPr>
            <w:tcW w:w="0" w:type="auto"/>
            <w:gridSpan w:val="3"/>
            <w:shd w:val="clear" w:color="auto" w:fill="auto"/>
            <w:vAlign w:val="bottom"/>
          </w:tcPr>
          <w:p w14:paraId="74DD8B03" w14:textId="77777777" w:rsidR="00584EC1" w:rsidRDefault="00584EC1">
            <w:pPr>
              <w:rPr>
                <w:rFonts w:ascii="宋体"/>
                <w:vanish/>
              </w:rPr>
            </w:pPr>
          </w:p>
        </w:tc>
        <w:tc>
          <w:tcPr>
            <w:tcW w:w="0" w:type="auto"/>
            <w:gridSpan w:val="3"/>
            <w:shd w:val="clear" w:color="auto" w:fill="auto"/>
            <w:vAlign w:val="bottom"/>
          </w:tcPr>
          <w:p w14:paraId="74DD8B04" w14:textId="77777777" w:rsidR="00584EC1" w:rsidRDefault="00584EC1">
            <w:pPr>
              <w:rPr>
                <w:rFonts w:ascii="宋体"/>
                <w:vanish/>
              </w:rPr>
            </w:pPr>
          </w:p>
        </w:tc>
        <w:tc>
          <w:tcPr>
            <w:tcW w:w="0" w:type="auto"/>
            <w:gridSpan w:val="3"/>
            <w:shd w:val="clear" w:color="auto" w:fill="auto"/>
            <w:vAlign w:val="bottom"/>
          </w:tcPr>
          <w:p w14:paraId="74DD8B05" w14:textId="77777777" w:rsidR="00584EC1" w:rsidRDefault="00584EC1">
            <w:pPr>
              <w:rPr>
                <w:rFonts w:ascii="宋体"/>
                <w:vanish/>
              </w:rPr>
            </w:pPr>
          </w:p>
        </w:tc>
        <w:tc>
          <w:tcPr>
            <w:tcW w:w="0" w:type="auto"/>
            <w:gridSpan w:val="3"/>
            <w:shd w:val="clear" w:color="auto" w:fill="auto"/>
            <w:vAlign w:val="bottom"/>
          </w:tcPr>
          <w:p w14:paraId="74DD8B06" w14:textId="77777777" w:rsidR="00584EC1" w:rsidRDefault="00584EC1">
            <w:pPr>
              <w:rPr>
                <w:rFonts w:ascii="宋体"/>
                <w:vanish/>
              </w:rPr>
            </w:pPr>
          </w:p>
        </w:tc>
      </w:tr>
      <w:tr w:rsidR="00584EC1" w14:paraId="74DD8B11" w14:textId="77777777">
        <w:trPr>
          <w:hidden/>
        </w:trPr>
        <w:tc>
          <w:tcPr>
            <w:tcW w:w="0" w:type="auto"/>
            <w:gridSpan w:val="3"/>
            <w:shd w:val="clear" w:color="auto" w:fill="auto"/>
            <w:vAlign w:val="bottom"/>
          </w:tcPr>
          <w:p w14:paraId="74DD8B08" w14:textId="77777777" w:rsidR="00584EC1" w:rsidRDefault="00584EC1">
            <w:pPr>
              <w:rPr>
                <w:rFonts w:ascii="宋体"/>
                <w:vanish/>
              </w:rPr>
            </w:pPr>
          </w:p>
        </w:tc>
        <w:tc>
          <w:tcPr>
            <w:tcW w:w="0" w:type="auto"/>
            <w:gridSpan w:val="3"/>
            <w:shd w:val="clear" w:color="auto" w:fill="auto"/>
            <w:vAlign w:val="bottom"/>
          </w:tcPr>
          <w:p w14:paraId="74DD8B09" w14:textId="77777777" w:rsidR="00584EC1" w:rsidRDefault="00584EC1">
            <w:pPr>
              <w:rPr>
                <w:rFonts w:ascii="宋体"/>
                <w:vanish/>
              </w:rPr>
            </w:pPr>
          </w:p>
        </w:tc>
        <w:tc>
          <w:tcPr>
            <w:tcW w:w="0" w:type="auto"/>
            <w:gridSpan w:val="3"/>
            <w:shd w:val="clear" w:color="auto" w:fill="auto"/>
            <w:vAlign w:val="bottom"/>
          </w:tcPr>
          <w:p w14:paraId="74DD8B0A" w14:textId="77777777" w:rsidR="00584EC1" w:rsidRDefault="00584EC1">
            <w:pPr>
              <w:rPr>
                <w:rFonts w:ascii="宋体"/>
                <w:vanish/>
              </w:rPr>
            </w:pPr>
          </w:p>
        </w:tc>
        <w:tc>
          <w:tcPr>
            <w:tcW w:w="0" w:type="auto"/>
            <w:gridSpan w:val="3"/>
            <w:shd w:val="clear" w:color="auto" w:fill="auto"/>
            <w:vAlign w:val="bottom"/>
          </w:tcPr>
          <w:p w14:paraId="74DD8B0B" w14:textId="77777777" w:rsidR="00584EC1" w:rsidRDefault="00584EC1">
            <w:pPr>
              <w:rPr>
                <w:rFonts w:ascii="宋体"/>
                <w:vanish/>
              </w:rPr>
            </w:pPr>
          </w:p>
        </w:tc>
        <w:tc>
          <w:tcPr>
            <w:tcW w:w="0" w:type="auto"/>
            <w:gridSpan w:val="3"/>
            <w:shd w:val="clear" w:color="auto" w:fill="auto"/>
            <w:vAlign w:val="bottom"/>
          </w:tcPr>
          <w:p w14:paraId="74DD8B0C" w14:textId="77777777" w:rsidR="00584EC1" w:rsidRDefault="00584EC1">
            <w:pPr>
              <w:rPr>
                <w:rFonts w:ascii="宋体"/>
                <w:vanish/>
              </w:rPr>
            </w:pPr>
          </w:p>
        </w:tc>
        <w:tc>
          <w:tcPr>
            <w:tcW w:w="0" w:type="auto"/>
            <w:gridSpan w:val="3"/>
            <w:shd w:val="clear" w:color="auto" w:fill="auto"/>
            <w:vAlign w:val="bottom"/>
          </w:tcPr>
          <w:p w14:paraId="74DD8B0D" w14:textId="77777777" w:rsidR="00584EC1" w:rsidRDefault="00584EC1">
            <w:pPr>
              <w:rPr>
                <w:rFonts w:ascii="宋体"/>
                <w:vanish/>
              </w:rPr>
            </w:pPr>
          </w:p>
        </w:tc>
        <w:tc>
          <w:tcPr>
            <w:tcW w:w="0" w:type="auto"/>
            <w:gridSpan w:val="3"/>
            <w:shd w:val="clear" w:color="auto" w:fill="auto"/>
            <w:vAlign w:val="bottom"/>
          </w:tcPr>
          <w:p w14:paraId="74DD8B0E" w14:textId="77777777" w:rsidR="00584EC1" w:rsidRDefault="00584EC1">
            <w:pPr>
              <w:rPr>
                <w:rFonts w:ascii="宋体"/>
                <w:vanish/>
              </w:rPr>
            </w:pPr>
          </w:p>
        </w:tc>
        <w:tc>
          <w:tcPr>
            <w:tcW w:w="0" w:type="auto"/>
            <w:gridSpan w:val="3"/>
            <w:shd w:val="clear" w:color="auto" w:fill="auto"/>
            <w:vAlign w:val="bottom"/>
          </w:tcPr>
          <w:p w14:paraId="74DD8B0F" w14:textId="77777777" w:rsidR="00584EC1" w:rsidRDefault="00584EC1">
            <w:pPr>
              <w:rPr>
                <w:rFonts w:ascii="宋体"/>
                <w:vanish/>
              </w:rPr>
            </w:pPr>
          </w:p>
        </w:tc>
        <w:tc>
          <w:tcPr>
            <w:tcW w:w="0" w:type="auto"/>
            <w:gridSpan w:val="3"/>
            <w:shd w:val="clear" w:color="auto" w:fill="auto"/>
            <w:vAlign w:val="bottom"/>
          </w:tcPr>
          <w:p w14:paraId="74DD8B10" w14:textId="77777777" w:rsidR="00584EC1" w:rsidRDefault="00584EC1">
            <w:pPr>
              <w:rPr>
                <w:rFonts w:ascii="宋体"/>
                <w:vanish/>
              </w:rPr>
            </w:pPr>
          </w:p>
        </w:tc>
      </w:tr>
      <w:tr w:rsidR="00584EC1" w14:paraId="74DD8B1B" w14:textId="77777777">
        <w:trPr>
          <w:hidden/>
        </w:trPr>
        <w:tc>
          <w:tcPr>
            <w:tcW w:w="0" w:type="auto"/>
            <w:gridSpan w:val="3"/>
            <w:shd w:val="clear" w:color="auto" w:fill="auto"/>
            <w:vAlign w:val="bottom"/>
          </w:tcPr>
          <w:p w14:paraId="74DD8B12" w14:textId="77777777" w:rsidR="00584EC1" w:rsidRDefault="00584EC1">
            <w:pPr>
              <w:rPr>
                <w:rFonts w:ascii="宋体"/>
                <w:vanish/>
              </w:rPr>
            </w:pPr>
          </w:p>
        </w:tc>
        <w:tc>
          <w:tcPr>
            <w:tcW w:w="0" w:type="auto"/>
            <w:gridSpan w:val="3"/>
            <w:shd w:val="clear" w:color="auto" w:fill="auto"/>
            <w:vAlign w:val="bottom"/>
          </w:tcPr>
          <w:p w14:paraId="74DD8B13" w14:textId="77777777" w:rsidR="00584EC1" w:rsidRDefault="00584EC1">
            <w:pPr>
              <w:rPr>
                <w:rFonts w:ascii="宋体"/>
                <w:vanish/>
              </w:rPr>
            </w:pPr>
          </w:p>
        </w:tc>
        <w:tc>
          <w:tcPr>
            <w:tcW w:w="0" w:type="auto"/>
            <w:gridSpan w:val="3"/>
            <w:shd w:val="clear" w:color="auto" w:fill="auto"/>
            <w:vAlign w:val="bottom"/>
          </w:tcPr>
          <w:p w14:paraId="74DD8B14" w14:textId="77777777" w:rsidR="00584EC1" w:rsidRDefault="00584EC1">
            <w:pPr>
              <w:rPr>
                <w:rFonts w:ascii="宋体"/>
                <w:vanish/>
              </w:rPr>
            </w:pPr>
          </w:p>
        </w:tc>
        <w:tc>
          <w:tcPr>
            <w:tcW w:w="0" w:type="auto"/>
            <w:gridSpan w:val="3"/>
            <w:shd w:val="clear" w:color="auto" w:fill="auto"/>
            <w:vAlign w:val="bottom"/>
          </w:tcPr>
          <w:p w14:paraId="74DD8B15" w14:textId="77777777" w:rsidR="00584EC1" w:rsidRDefault="00584EC1">
            <w:pPr>
              <w:rPr>
                <w:rFonts w:ascii="宋体"/>
                <w:vanish/>
              </w:rPr>
            </w:pPr>
          </w:p>
        </w:tc>
        <w:tc>
          <w:tcPr>
            <w:tcW w:w="0" w:type="auto"/>
            <w:gridSpan w:val="3"/>
            <w:shd w:val="clear" w:color="auto" w:fill="auto"/>
            <w:vAlign w:val="bottom"/>
          </w:tcPr>
          <w:p w14:paraId="74DD8B16" w14:textId="77777777" w:rsidR="00584EC1" w:rsidRDefault="00584EC1">
            <w:pPr>
              <w:rPr>
                <w:rFonts w:ascii="宋体"/>
                <w:vanish/>
              </w:rPr>
            </w:pPr>
          </w:p>
        </w:tc>
        <w:tc>
          <w:tcPr>
            <w:tcW w:w="0" w:type="auto"/>
            <w:gridSpan w:val="3"/>
            <w:shd w:val="clear" w:color="auto" w:fill="auto"/>
            <w:vAlign w:val="bottom"/>
          </w:tcPr>
          <w:p w14:paraId="74DD8B17" w14:textId="77777777" w:rsidR="00584EC1" w:rsidRDefault="00584EC1">
            <w:pPr>
              <w:rPr>
                <w:rFonts w:ascii="宋体"/>
                <w:vanish/>
              </w:rPr>
            </w:pPr>
          </w:p>
        </w:tc>
        <w:tc>
          <w:tcPr>
            <w:tcW w:w="0" w:type="auto"/>
            <w:gridSpan w:val="3"/>
            <w:shd w:val="clear" w:color="auto" w:fill="auto"/>
            <w:vAlign w:val="bottom"/>
          </w:tcPr>
          <w:p w14:paraId="74DD8B18" w14:textId="77777777" w:rsidR="00584EC1" w:rsidRDefault="00584EC1">
            <w:pPr>
              <w:rPr>
                <w:rFonts w:ascii="宋体"/>
                <w:vanish/>
              </w:rPr>
            </w:pPr>
          </w:p>
        </w:tc>
        <w:tc>
          <w:tcPr>
            <w:tcW w:w="0" w:type="auto"/>
            <w:gridSpan w:val="3"/>
            <w:shd w:val="clear" w:color="auto" w:fill="auto"/>
            <w:vAlign w:val="bottom"/>
          </w:tcPr>
          <w:p w14:paraId="74DD8B19" w14:textId="77777777" w:rsidR="00584EC1" w:rsidRDefault="00584EC1">
            <w:pPr>
              <w:rPr>
                <w:rFonts w:ascii="宋体"/>
                <w:vanish/>
              </w:rPr>
            </w:pPr>
          </w:p>
        </w:tc>
        <w:tc>
          <w:tcPr>
            <w:tcW w:w="0" w:type="auto"/>
            <w:gridSpan w:val="3"/>
            <w:shd w:val="clear" w:color="auto" w:fill="auto"/>
            <w:vAlign w:val="bottom"/>
          </w:tcPr>
          <w:p w14:paraId="74DD8B1A" w14:textId="77777777" w:rsidR="00584EC1" w:rsidRDefault="00584EC1">
            <w:pPr>
              <w:rPr>
                <w:rFonts w:ascii="宋体"/>
                <w:vanish/>
              </w:rPr>
            </w:pPr>
          </w:p>
        </w:tc>
      </w:tr>
      <w:tr w:rsidR="00584EC1" w14:paraId="74DD8B25" w14:textId="77777777">
        <w:trPr>
          <w:hidden/>
        </w:trPr>
        <w:tc>
          <w:tcPr>
            <w:tcW w:w="0" w:type="auto"/>
            <w:gridSpan w:val="3"/>
            <w:shd w:val="clear" w:color="auto" w:fill="auto"/>
            <w:vAlign w:val="bottom"/>
          </w:tcPr>
          <w:p w14:paraId="74DD8B1C" w14:textId="77777777" w:rsidR="00584EC1" w:rsidRDefault="00584EC1">
            <w:pPr>
              <w:rPr>
                <w:rFonts w:ascii="宋体"/>
                <w:vanish/>
              </w:rPr>
            </w:pPr>
          </w:p>
        </w:tc>
        <w:tc>
          <w:tcPr>
            <w:tcW w:w="0" w:type="auto"/>
            <w:gridSpan w:val="3"/>
            <w:shd w:val="clear" w:color="auto" w:fill="auto"/>
            <w:vAlign w:val="bottom"/>
          </w:tcPr>
          <w:p w14:paraId="74DD8B1D" w14:textId="77777777" w:rsidR="00584EC1" w:rsidRDefault="00584EC1">
            <w:pPr>
              <w:rPr>
                <w:rFonts w:ascii="宋体"/>
                <w:vanish/>
              </w:rPr>
            </w:pPr>
          </w:p>
        </w:tc>
        <w:tc>
          <w:tcPr>
            <w:tcW w:w="0" w:type="auto"/>
            <w:gridSpan w:val="3"/>
            <w:shd w:val="clear" w:color="auto" w:fill="auto"/>
            <w:vAlign w:val="bottom"/>
          </w:tcPr>
          <w:p w14:paraId="74DD8B1E" w14:textId="77777777" w:rsidR="00584EC1" w:rsidRDefault="00584EC1">
            <w:pPr>
              <w:rPr>
                <w:rFonts w:ascii="宋体"/>
                <w:vanish/>
              </w:rPr>
            </w:pPr>
          </w:p>
        </w:tc>
        <w:tc>
          <w:tcPr>
            <w:tcW w:w="0" w:type="auto"/>
            <w:gridSpan w:val="3"/>
            <w:shd w:val="clear" w:color="auto" w:fill="auto"/>
            <w:vAlign w:val="bottom"/>
          </w:tcPr>
          <w:p w14:paraId="74DD8B1F" w14:textId="77777777" w:rsidR="00584EC1" w:rsidRDefault="00584EC1">
            <w:pPr>
              <w:rPr>
                <w:rFonts w:ascii="宋体"/>
                <w:vanish/>
              </w:rPr>
            </w:pPr>
          </w:p>
        </w:tc>
        <w:tc>
          <w:tcPr>
            <w:tcW w:w="0" w:type="auto"/>
            <w:gridSpan w:val="3"/>
            <w:shd w:val="clear" w:color="auto" w:fill="auto"/>
            <w:vAlign w:val="bottom"/>
          </w:tcPr>
          <w:p w14:paraId="74DD8B20" w14:textId="77777777" w:rsidR="00584EC1" w:rsidRDefault="00584EC1">
            <w:pPr>
              <w:rPr>
                <w:rFonts w:ascii="宋体"/>
                <w:vanish/>
              </w:rPr>
            </w:pPr>
          </w:p>
        </w:tc>
        <w:tc>
          <w:tcPr>
            <w:tcW w:w="0" w:type="auto"/>
            <w:gridSpan w:val="3"/>
            <w:shd w:val="clear" w:color="auto" w:fill="auto"/>
            <w:vAlign w:val="bottom"/>
          </w:tcPr>
          <w:p w14:paraId="74DD8B21" w14:textId="77777777" w:rsidR="00584EC1" w:rsidRDefault="00584EC1">
            <w:pPr>
              <w:rPr>
                <w:rFonts w:ascii="宋体"/>
                <w:vanish/>
              </w:rPr>
            </w:pPr>
          </w:p>
        </w:tc>
        <w:tc>
          <w:tcPr>
            <w:tcW w:w="0" w:type="auto"/>
            <w:gridSpan w:val="3"/>
            <w:shd w:val="clear" w:color="auto" w:fill="auto"/>
            <w:vAlign w:val="bottom"/>
          </w:tcPr>
          <w:p w14:paraId="74DD8B22" w14:textId="77777777" w:rsidR="00584EC1" w:rsidRDefault="00584EC1">
            <w:pPr>
              <w:rPr>
                <w:rFonts w:ascii="宋体"/>
                <w:vanish/>
              </w:rPr>
            </w:pPr>
          </w:p>
        </w:tc>
        <w:tc>
          <w:tcPr>
            <w:tcW w:w="0" w:type="auto"/>
            <w:gridSpan w:val="3"/>
            <w:shd w:val="clear" w:color="auto" w:fill="auto"/>
            <w:vAlign w:val="bottom"/>
          </w:tcPr>
          <w:p w14:paraId="74DD8B23" w14:textId="77777777" w:rsidR="00584EC1" w:rsidRDefault="00584EC1">
            <w:pPr>
              <w:rPr>
                <w:rFonts w:ascii="宋体"/>
                <w:vanish/>
              </w:rPr>
            </w:pPr>
          </w:p>
        </w:tc>
        <w:tc>
          <w:tcPr>
            <w:tcW w:w="0" w:type="auto"/>
            <w:gridSpan w:val="3"/>
            <w:shd w:val="clear" w:color="auto" w:fill="auto"/>
            <w:vAlign w:val="bottom"/>
          </w:tcPr>
          <w:p w14:paraId="74DD8B24" w14:textId="77777777" w:rsidR="00584EC1" w:rsidRDefault="00584EC1">
            <w:pPr>
              <w:rPr>
                <w:rFonts w:ascii="宋体"/>
                <w:vanish/>
              </w:rPr>
            </w:pPr>
          </w:p>
        </w:tc>
      </w:tr>
      <w:tr w:rsidR="00584EC1" w14:paraId="74DD8B31" w14:textId="77777777">
        <w:tc>
          <w:tcPr>
            <w:tcW w:w="0" w:type="auto"/>
            <w:gridSpan w:val="3"/>
            <w:shd w:val="clear" w:color="auto" w:fill="FFFFFF"/>
            <w:tcMar>
              <w:top w:w="40" w:type="dxa"/>
              <w:left w:w="20" w:type="dxa"/>
              <w:bottom w:w="40" w:type="dxa"/>
              <w:right w:w="20" w:type="dxa"/>
            </w:tcMar>
            <w:vAlign w:val="bottom"/>
          </w:tcPr>
          <w:p w14:paraId="74DD8B26" w14:textId="77777777" w:rsidR="00584EC1" w:rsidRDefault="00871F8D">
            <w:pPr>
              <w:jc w:val="both"/>
              <w:textAlignment w:val="bottom"/>
            </w:pPr>
            <w:r>
              <w:rPr>
                <w:rFonts w:ascii="Arial" w:eastAsia="宋体" w:hAnsi="Arial" w:cs="Arial"/>
                <w:color w:val="000000"/>
                <w:sz w:val="14"/>
                <w:szCs w:val="14"/>
              </w:rPr>
              <w:t>Non-agency CMBS and RMBS</w:t>
            </w:r>
            <w:r>
              <w:rPr>
                <w:rFonts w:ascii="Arial" w:eastAsia="宋体" w:hAnsi="Arial" w:cs="Arial"/>
                <w:color w:val="000000"/>
                <w:sz w:val="9"/>
                <w:szCs w:val="9"/>
              </w:rPr>
              <w:t>(7)</w:t>
            </w:r>
          </w:p>
        </w:tc>
        <w:tc>
          <w:tcPr>
            <w:tcW w:w="0" w:type="auto"/>
            <w:gridSpan w:val="2"/>
            <w:shd w:val="clear" w:color="auto" w:fill="FFFFFF"/>
            <w:tcMar>
              <w:top w:w="40" w:type="dxa"/>
              <w:left w:w="20" w:type="dxa"/>
              <w:bottom w:w="40" w:type="dxa"/>
              <w:right w:w="0" w:type="dxa"/>
            </w:tcMar>
            <w:vAlign w:val="bottom"/>
          </w:tcPr>
          <w:p w14:paraId="74DD8B27" w14:textId="77777777" w:rsidR="00584EC1" w:rsidRDefault="00871F8D">
            <w:pPr>
              <w:jc w:val="right"/>
              <w:textAlignment w:val="bottom"/>
            </w:pPr>
            <w:r>
              <w:rPr>
                <w:rFonts w:ascii="Arial" w:eastAsia="宋体" w:hAnsi="Arial" w:cs="Arial"/>
                <w:b/>
                <w:bCs/>
                <w:color w:val="000000"/>
                <w:sz w:val="14"/>
                <w:szCs w:val="14"/>
              </w:rPr>
              <w:t>380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8B2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B2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B2A" w14:textId="77777777" w:rsidR="00584EC1" w:rsidRDefault="00871F8D">
            <w:pPr>
              <w:jc w:val="right"/>
              <w:textAlignment w:val="bottom"/>
            </w:pPr>
            <w:r>
              <w:rPr>
                <w:rFonts w:ascii="Arial" w:eastAsia="宋体" w:hAnsi="Arial" w:cs="Arial"/>
                <w:color w:val="000000"/>
                <w:sz w:val="14"/>
                <w:szCs w:val="14"/>
              </w:rPr>
              <w:t>554 </w:t>
            </w:r>
          </w:p>
        </w:tc>
        <w:tc>
          <w:tcPr>
            <w:tcW w:w="0" w:type="auto"/>
            <w:shd w:val="clear" w:color="auto" w:fill="FFFFFF"/>
            <w:tcMar>
              <w:top w:w="40" w:type="dxa"/>
              <w:left w:w="0" w:type="dxa"/>
              <w:bottom w:w="40" w:type="dxa"/>
              <w:right w:w="20" w:type="dxa"/>
            </w:tcMar>
            <w:vAlign w:val="bottom"/>
          </w:tcPr>
          <w:p w14:paraId="74DD8B2B" w14:textId="77777777" w:rsidR="00584EC1" w:rsidRDefault="00584EC1">
            <w:pPr>
              <w:jc w:val="right"/>
              <w:rPr>
                <w:rFonts w:ascii="宋体"/>
              </w:rPr>
            </w:pPr>
          </w:p>
        </w:tc>
        <w:tc>
          <w:tcPr>
            <w:tcW w:w="0" w:type="auto"/>
            <w:gridSpan w:val="3"/>
            <w:shd w:val="clear" w:color="auto" w:fill="auto"/>
            <w:vAlign w:val="bottom"/>
          </w:tcPr>
          <w:p w14:paraId="74DD8B2C" w14:textId="77777777" w:rsidR="00584EC1" w:rsidRDefault="00584EC1">
            <w:pPr>
              <w:rPr>
                <w:rFonts w:ascii="宋体"/>
                <w:vanish/>
              </w:rPr>
            </w:pPr>
          </w:p>
        </w:tc>
        <w:tc>
          <w:tcPr>
            <w:tcW w:w="0" w:type="auto"/>
            <w:gridSpan w:val="3"/>
            <w:shd w:val="clear" w:color="auto" w:fill="auto"/>
            <w:vAlign w:val="bottom"/>
          </w:tcPr>
          <w:p w14:paraId="74DD8B2D" w14:textId="77777777" w:rsidR="00584EC1" w:rsidRDefault="00584EC1">
            <w:pPr>
              <w:rPr>
                <w:rFonts w:ascii="宋体"/>
                <w:vanish/>
              </w:rPr>
            </w:pPr>
          </w:p>
        </w:tc>
        <w:tc>
          <w:tcPr>
            <w:tcW w:w="0" w:type="auto"/>
            <w:gridSpan w:val="3"/>
            <w:shd w:val="clear" w:color="auto" w:fill="auto"/>
            <w:vAlign w:val="bottom"/>
          </w:tcPr>
          <w:p w14:paraId="74DD8B2E" w14:textId="77777777" w:rsidR="00584EC1" w:rsidRDefault="00584EC1">
            <w:pPr>
              <w:rPr>
                <w:rFonts w:ascii="宋体"/>
                <w:vanish/>
              </w:rPr>
            </w:pPr>
          </w:p>
        </w:tc>
        <w:tc>
          <w:tcPr>
            <w:tcW w:w="0" w:type="auto"/>
            <w:gridSpan w:val="3"/>
            <w:shd w:val="clear" w:color="auto" w:fill="auto"/>
            <w:vAlign w:val="bottom"/>
          </w:tcPr>
          <w:p w14:paraId="74DD8B2F" w14:textId="77777777" w:rsidR="00584EC1" w:rsidRDefault="00584EC1">
            <w:pPr>
              <w:rPr>
                <w:rFonts w:ascii="宋体"/>
                <w:vanish/>
              </w:rPr>
            </w:pPr>
          </w:p>
        </w:tc>
        <w:tc>
          <w:tcPr>
            <w:tcW w:w="0" w:type="auto"/>
            <w:gridSpan w:val="3"/>
            <w:shd w:val="clear" w:color="auto" w:fill="auto"/>
            <w:vAlign w:val="bottom"/>
          </w:tcPr>
          <w:p w14:paraId="74DD8B30" w14:textId="77777777" w:rsidR="00584EC1" w:rsidRDefault="00584EC1">
            <w:pPr>
              <w:rPr>
                <w:rFonts w:ascii="宋体"/>
                <w:vanish/>
              </w:rPr>
            </w:pPr>
          </w:p>
        </w:tc>
      </w:tr>
      <w:tr w:rsidR="00584EC1" w14:paraId="74DD8B3D" w14:textId="77777777">
        <w:tc>
          <w:tcPr>
            <w:tcW w:w="0" w:type="auto"/>
            <w:gridSpan w:val="3"/>
            <w:shd w:val="clear" w:color="auto" w:fill="CCEEFF"/>
            <w:tcMar>
              <w:top w:w="40" w:type="dxa"/>
              <w:left w:w="20" w:type="dxa"/>
              <w:bottom w:w="40" w:type="dxa"/>
              <w:right w:w="20" w:type="dxa"/>
            </w:tcMar>
            <w:vAlign w:val="bottom"/>
          </w:tcPr>
          <w:p w14:paraId="74DD8B32" w14:textId="77777777" w:rsidR="00584EC1" w:rsidRDefault="00871F8D">
            <w:pPr>
              <w:jc w:val="both"/>
              <w:textAlignment w:val="bottom"/>
            </w:pPr>
            <w:r>
              <w:rPr>
                <w:rFonts w:ascii="Arial" w:eastAsia="宋体" w:hAnsi="Arial" w:cs="Arial"/>
                <w:color w:val="000000"/>
                <w:sz w:val="14"/>
                <w:szCs w:val="14"/>
              </w:rPr>
              <w:t>Total asset-backed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8B33" w14:textId="77777777" w:rsidR="00584EC1" w:rsidRDefault="00871F8D">
            <w:pPr>
              <w:jc w:val="right"/>
              <w:textAlignment w:val="bottom"/>
            </w:pPr>
            <w:r>
              <w:rPr>
                <w:rFonts w:ascii="Arial" w:eastAsia="宋体" w:hAnsi="Arial" w:cs="Arial"/>
                <w:b/>
                <w:bCs/>
                <w:color w:val="000000"/>
                <w:sz w:val="14"/>
                <w:szCs w:val="14"/>
              </w:rPr>
              <w:t>5,397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B3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B35"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8B36" w14:textId="77777777" w:rsidR="00584EC1" w:rsidRDefault="00871F8D">
            <w:pPr>
              <w:jc w:val="right"/>
              <w:textAlignment w:val="bottom"/>
            </w:pPr>
            <w:r>
              <w:rPr>
                <w:rFonts w:ascii="Arial" w:eastAsia="宋体" w:hAnsi="Arial" w:cs="Arial"/>
                <w:color w:val="000000"/>
                <w:sz w:val="14"/>
                <w:szCs w:val="14"/>
              </w:rPr>
              <w:t>5,328 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B37" w14:textId="77777777" w:rsidR="00584EC1" w:rsidRDefault="00584EC1">
            <w:pPr>
              <w:jc w:val="right"/>
              <w:rPr>
                <w:rFonts w:ascii="宋体"/>
              </w:rPr>
            </w:pPr>
          </w:p>
        </w:tc>
        <w:tc>
          <w:tcPr>
            <w:tcW w:w="0" w:type="auto"/>
            <w:gridSpan w:val="3"/>
            <w:shd w:val="clear" w:color="auto" w:fill="auto"/>
            <w:vAlign w:val="bottom"/>
          </w:tcPr>
          <w:p w14:paraId="74DD8B38" w14:textId="77777777" w:rsidR="00584EC1" w:rsidRDefault="00584EC1">
            <w:pPr>
              <w:rPr>
                <w:rFonts w:ascii="宋体"/>
                <w:vanish/>
              </w:rPr>
            </w:pPr>
          </w:p>
        </w:tc>
        <w:tc>
          <w:tcPr>
            <w:tcW w:w="0" w:type="auto"/>
            <w:gridSpan w:val="3"/>
            <w:shd w:val="clear" w:color="auto" w:fill="auto"/>
            <w:vAlign w:val="bottom"/>
          </w:tcPr>
          <w:p w14:paraId="74DD8B39" w14:textId="77777777" w:rsidR="00584EC1" w:rsidRDefault="00584EC1">
            <w:pPr>
              <w:rPr>
                <w:rFonts w:ascii="宋体"/>
                <w:vanish/>
              </w:rPr>
            </w:pPr>
          </w:p>
        </w:tc>
        <w:tc>
          <w:tcPr>
            <w:tcW w:w="0" w:type="auto"/>
            <w:gridSpan w:val="3"/>
            <w:shd w:val="clear" w:color="auto" w:fill="auto"/>
            <w:vAlign w:val="bottom"/>
          </w:tcPr>
          <w:p w14:paraId="74DD8B3A" w14:textId="77777777" w:rsidR="00584EC1" w:rsidRDefault="00584EC1">
            <w:pPr>
              <w:rPr>
                <w:rFonts w:ascii="宋体"/>
                <w:vanish/>
              </w:rPr>
            </w:pPr>
          </w:p>
        </w:tc>
        <w:tc>
          <w:tcPr>
            <w:tcW w:w="0" w:type="auto"/>
            <w:gridSpan w:val="3"/>
            <w:shd w:val="clear" w:color="auto" w:fill="auto"/>
            <w:vAlign w:val="bottom"/>
          </w:tcPr>
          <w:p w14:paraId="74DD8B3B" w14:textId="77777777" w:rsidR="00584EC1" w:rsidRDefault="00584EC1">
            <w:pPr>
              <w:rPr>
                <w:rFonts w:ascii="宋体"/>
                <w:vanish/>
              </w:rPr>
            </w:pPr>
          </w:p>
        </w:tc>
        <w:tc>
          <w:tcPr>
            <w:tcW w:w="0" w:type="auto"/>
            <w:gridSpan w:val="3"/>
            <w:shd w:val="clear" w:color="auto" w:fill="auto"/>
            <w:vAlign w:val="bottom"/>
          </w:tcPr>
          <w:p w14:paraId="74DD8B3C" w14:textId="77777777" w:rsidR="00584EC1" w:rsidRDefault="00584EC1">
            <w:pPr>
              <w:rPr>
                <w:rFonts w:ascii="宋体"/>
                <w:vanish/>
              </w:rPr>
            </w:pPr>
          </w:p>
        </w:tc>
      </w:tr>
      <w:tr w:rsidR="00584EC1" w14:paraId="74DD8B47" w14:textId="77777777">
        <w:trPr>
          <w:hidden/>
        </w:trPr>
        <w:tc>
          <w:tcPr>
            <w:tcW w:w="0" w:type="auto"/>
            <w:gridSpan w:val="3"/>
            <w:shd w:val="clear" w:color="auto" w:fill="auto"/>
            <w:vAlign w:val="bottom"/>
          </w:tcPr>
          <w:p w14:paraId="74DD8B3E" w14:textId="77777777" w:rsidR="00584EC1" w:rsidRDefault="00584EC1">
            <w:pPr>
              <w:rPr>
                <w:rFonts w:ascii="宋体"/>
                <w:vanish/>
              </w:rPr>
            </w:pPr>
          </w:p>
        </w:tc>
        <w:tc>
          <w:tcPr>
            <w:tcW w:w="0" w:type="auto"/>
            <w:gridSpan w:val="3"/>
            <w:shd w:val="clear" w:color="auto" w:fill="auto"/>
            <w:vAlign w:val="bottom"/>
          </w:tcPr>
          <w:p w14:paraId="74DD8B3F" w14:textId="77777777" w:rsidR="00584EC1" w:rsidRDefault="00584EC1">
            <w:pPr>
              <w:rPr>
                <w:rFonts w:ascii="宋体"/>
                <w:vanish/>
              </w:rPr>
            </w:pPr>
          </w:p>
        </w:tc>
        <w:tc>
          <w:tcPr>
            <w:tcW w:w="0" w:type="auto"/>
            <w:gridSpan w:val="3"/>
            <w:shd w:val="clear" w:color="auto" w:fill="auto"/>
            <w:vAlign w:val="bottom"/>
          </w:tcPr>
          <w:p w14:paraId="74DD8B40" w14:textId="77777777" w:rsidR="00584EC1" w:rsidRDefault="00584EC1">
            <w:pPr>
              <w:rPr>
                <w:rFonts w:ascii="宋体"/>
                <w:vanish/>
              </w:rPr>
            </w:pPr>
          </w:p>
        </w:tc>
        <w:tc>
          <w:tcPr>
            <w:tcW w:w="0" w:type="auto"/>
            <w:gridSpan w:val="3"/>
            <w:shd w:val="clear" w:color="auto" w:fill="auto"/>
            <w:vAlign w:val="bottom"/>
          </w:tcPr>
          <w:p w14:paraId="74DD8B41" w14:textId="77777777" w:rsidR="00584EC1" w:rsidRDefault="00584EC1">
            <w:pPr>
              <w:rPr>
                <w:rFonts w:ascii="宋体"/>
                <w:vanish/>
              </w:rPr>
            </w:pPr>
          </w:p>
        </w:tc>
        <w:tc>
          <w:tcPr>
            <w:tcW w:w="0" w:type="auto"/>
            <w:gridSpan w:val="3"/>
            <w:shd w:val="clear" w:color="auto" w:fill="auto"/>
            <w:vAlign w:val="bottom"/>
          </w:tcPr>
          <w:p w14:paraId="74DD8B42" w14:textId="77777777" w:rsidR="00584EC1" w:rsidRDefault="00584EC1">
            <w:pPr>
              <w:rPr>
                <w:rFonts w:ascii="宋体"/>
                <w:vanish/>
              </w:rPr>
            </w:pPr>
          </w:p>
        </w:tc>
        <w:tc>
          <w:tcPr>
            <w:tcW w:w="0" w:type="auto"/>
            <w:gridSpan w:val="3"/>
            <w:shd w:val="clear" w:color="auto" w:fill="auto"/>
            <w:vAlign w:val="bottom"/>
          </w:tcPr>
          <w:p w14:paraId="74DD8B43" w14:textId="77777777" w:rsidR="00584EC1" w:rsidRDefault="00584EC1">
            <w:pPr>
              <w:rPr>
                <w:rFonts w:ascii="宋体"/>
                <w:vanish/>
              </w:rPr>
            </w:pPr>
          </w:p>
        </w:tc>
        <w:tc>
          <w:tcPr>
            <w:tcW w:w="0" w:type="auto"/>
            <w:gridSpan w:val="3"/>
            <w:shd w:val="clear" w:color="auto" w:fill="auto"/>
            <w:vAlign w:val="bottom"/>
          </w:tcPr>
          <w:p w14:paraId="74DD8B44" w14:textId="77777777" w:rsidR="00584EC1" w:rsidRDefault="00584EC1">
            <w:pPr>
              <w:rPr>
                <w:rFonts w:ascii="宋体"/>
                <w:vanish/>
              </w:rPr>
            </w:pPr>
          </w:p>
        </w:tc>
        <w:tc>
          <w:tcPr>
            <w:tcW w:w="0" w:type="auto"/>
            <w:gridSpan w:val="3"/>
            <w:shd w:val="clear" w:color="auto" w:fill="auto"/>
            <w:vAlign w:val="bottom"/>
          </w:tcPr>
          <w:p w14:paraId="74DD8B45" w14:textId="77777777" w:rsidR="00584EC1" w:rsidRDefault="00584EC1">
            <w:pPr>
              <w:rPr>
                <w:rFonts w:ascii="宋体"/>
                <w:vanish/>
              </w:rPr>
            </w:pPr>
          </w:p>
        </w:tc>
        <w:tc>
          <w:tcPr>
            <w:tcW w:w="0" w:type="auto"/>
            <w:gridSpan w:val="3"/>
            <w:shd w:val="clear" w:color="auto" w:fill="auto"/>
            <w:vAlign w:val="bottom"/>
          </w:tcPr>
          <w:p w14:paraId="74DD8B46" w14:textId="77777777" w:rsidR="00584EC1" w:rsidRDefault="00584EC1">
            <w:pPr>
              <w:rPr>
                <w:rFonts w:ascii="宋体"/>
                <w:vanish/>
              </w:rPr>
            </w:pPr>
          </w:p>
        </w:tc>
      </w:tr>
      <w:tr w:rsidR="00584EC1" w14:paraId="74DD8B51" w14:textId="77777777">
        <w:trPr>
          <w:hidden/>
        </w:trPr>
        <w:tc>
          <w:tcPr>
            <w:tcW w:w="0" w:type="auto"/>
            <w:gridSpan w:val="3"/>
            <w:shd w:val="clear" w:color="auto" w:fill="auto"/>
            <w:vAlign w:val="bottom"/>
          </w:tcPr>
          <w:p w14:paraId="74DD8B48" w14:textId="77777777" w:rsidR="00584EC1" w:rsidRDefault="00584EC1">
            <w:pPr>
              <w:rPr>
                <w:rFonts w:ascii="宋体"/>
                <w:vanish/>
              </w:rPr>
            </w:pPr>
          </w:p>
        </w:tc>
        <w:tc>
          <w:tcPr>
            <w:tcW w:w="0" w:type="auto"/>
            <w:gridSpan w:val="3"/>
            <w:shd w:val="clear" w:color="auto" w:fill="auto"/>
            <w:vAlign w:val="bottom"/>
          </w:tcPr>
          <w:p w14:paraId="74DD8B49" w14:textId="77777777" w:rsidR="00584EC1" w:rsidRDefault="00584EC1">
            <w:pPr>
              <w:rPr>
                <w:rFonts w:ascii="宋体"/>
                <w:vanish/>
              </w:rPr>
            </w:pPr>
          </w:p>
        </w:tc>
        <w:tc>
          <w:tcPr>
            <w:tcW w:w="0" w:type="auto"/>
            <w:gridSpan w:val="3"/>
            <w:shd w:val="clear" w:color="auto" w:fill="auto"/>
            <w:vAlign w:val="bottom"/>
          </w:tcPr>
          <w:p w14:paraId="74DD8B4A" w14:textId="77777777" w:rsidR="00584EC1" w:rsidRDefault="00584EC1">
            <w:pPr>
              <w:rPr>
                <w:rFonts w:ascii="宋体"/>
                <w:vanish/>
              </w:rPr>
            </w:pPr>
          </w:p>
        </w:tc>
        <w:tc>
          <w:tcPr>
            <w:tcW w:w="0" w:type="auto"/>
            <w:gridSpan w:val="3"/>
            <w:shd w:val="clear" w:color="auto" w:fill="auto"/>
            <w:vAlign w:val="bottom"/>
          </w:tcPr>
          <w:p w14:paraId="74DD8B4B" w14:textId="77777777" w:rsidR="00584EC1" w:rsidRDefault="00584EC1">
            <w:pPr>
              <w:rPr>
                <w:rFonts w:ascii="宋体"/>
                <w:vanish/>
              </w:rPr>
            </w:pPr>
          </w:p>
        </w:tc>
        <w:tc>
          <w:tcPr>
            <w:tcW w:w="0" w:type="auto"/>
            <w:gridSpan w:val="3"/>
            <w:shd w:val="clear" w:color="auto" w:fill="auto"/>
            <w:vAlign w:val="bottom"/>
          </w:tcPr>
          <w:p w14:paraId="74DD8B4C" w14:textId="77777777" w:rsidR="00584EC1" w:rsidRDefault="00584EC1">
            <w:pPr>
              <w:rPr>
                <w:rFonts w:ascii="宋体"/>
                <w:vanish/>
              </w:rPr>
            </w:pPr>
          </w:p>
        </w:tc>
        <w:tc>
          <w:tcPr>
            <w:tcW w:w="0" w:type="auto"/>
            <w:gridSpan w:val="3"/>
            <w:shd w:val="clear" w:color="auto" w:fill="auto"/>
            <w:vAlign w:val="bottom"/>
          </w:tcPr>
          <w:p w14:paraId="74DD8B4D" w14:textId="77777777" w:rsidR="00584EC1" w:rsidRDefault="00584EC1">
            <w:pPr>
              <w:rPr>
                <w:rFonts w:ascii="宋体"/>
                <w:vanish/>
              </w:rPr>
            </w:pPr>
          </w:p>
        </w:tc>
        <w:tc>
          <w:tcPr>
            <w:tcW w:w="0" w:type="auto"/>
            <w:gridSpan w:val="3"/>
            <w:shd w:val="clear" w:color="auto" w:fill="auto"/>
            <w:vAlign w:val="bottom"/>
          </w:tcPr>
          <w:p w14:paraId="74DD8B4E" w14:textId="77777777" w:rsidR="00584EC1" w:rsidRDefault="00584EC1">
            <w:pPr>
              <w:rPr>
                <w:rFonts w:ascii="宋体"/>
                <w:vanish/>
              </w:rPr>
            </w:pPr>
          </w:p>
        </w:tc>
        <w:tc>
          <w:tcPr>
            <w:tcW w:w="0" w:type="auto"/>
            <w:gridSpan w:val="3"/>
            <w:shd w:val="clear" w:color="auto" w:fill="auto"/>
            <w:vAlign w:val="bottom"/>
          </w:tcPr>
          <w:p w14:paraId="74DD8B4F" w14:textId="77777777" w:rsidR="00584EC1" w:rsidRDefault="00584EC1">
            <w:pPr>
              <w:rPr>
                <w:rFonts w:ascii="宋体"/>
                <w:vanish/>
              </w:rPr>
            </w:pPr>
          </w:p>
        </w:tc>
        <w:tc>
          <w:tcPr>
            <w:tcW w:w="0" w:type="auto"/>
            <w:gridSpan w:val="3"/>
            <w:shd w:val="clear" w:color="auto" w:fill="auto"/>
            <w:vAlign w:val="bottom"/>
          </w:tcPr>
          <w:p w14:paraId="74DD8B50" w14:textId="77777777" w:rsidR="00584EC1" w:rsidRDefault="00584EC1">
            <w:pPr>
              <w:rPr>
                <w:rFonts w:ascii="宋体"/>
                <w:vanish/>
              </w:rPr>
            </w:pPr>
          </w:p>
        </w:tc>
      </w:tr>
      <w:tr w:rsidR="00584EC1" w14:paraId="74DD8B5B" w14:textId="77777777">
        <w:trPr>
          <w:hidden/>
        </w:trPr>
        <w:tc>
          <w:tcPr>
            <w:tcW w:w="0" w:type="auto"/>
            <w:gridSpan w:val="3"/>
            <w:shd w:val="clear" w:color="auto" w:fill="auto"/>
            <w:vAlign w:val="bottom"/>
          </w:tcPr>
          <w:p w14:paraId="74DD8B52" w14:textId="77777777" w:rsidR="00584EC1" w:rsidRDefault="00584EC1">
            <w:pPr>
              <w:rPr>
                <w:rFonts w:ascii="宋体"/>
                <w:vanish/>
              </w:rPr>
            </w:pPr>
          </w:p>
        </w:tc>
        <w:tc>
          <w:tcPr>
            <w:tcW w:w="0" w:type="auto"/>
            <w:gridSpan w:val="3"/>
            <w:shd w:val="clear" w:color="auto" w:fill="auto"/>
            <w:vAlign w:val="bottom"/>
          </w:tcPr>
          <w:p w14:paraId="74DD8B53" w14:textId="77777777" w:rsidR="00584EC1" w:rsidRDefault="00584EC1">
            <w:pPr>
              <w:rPr>
                <w:rFonts w:ascii="宋体"/>
                <w:vanish/>
              </w:rPr>
            </w:pPr>
          </w:p>
        </w:tc>
        <w:tc>
          <w:tcPr>
            <w:tcW w:w="0" w:type="auto"/>
            <w:gridSpan w:val="3"/>
            <w:shd w:val="clear" w:color="auto" w:fill="auto"/>
            <w:vAlign w:val="bottom"/>
          </w:tcPr>
          <w:p w14:paraId="74DD8B54" w14:textId="77777777" w:rsidR="00584EC1" w:rsidRDefault="00584EC1">
            <w:pPr>
              <w:rPr>
                <w:rFonts w:ascii="宋体"/>
                <w:vanish/>
              </w:rPr>
            </w:pPr>
          </w:p>
        </w:tc>
        <w:tc>
          <w:tcPr>
            <w:tcW w:w="0" w:type="auto"/>
            <w:gridSpan w:val="3"/>
            <w:shd w:val="clear" w:color="auto" w:fill="auto"/>
            <w:vAlign w:val="bottom"/>
          </w:tcPr>
          <w:p w14:paraId="74DD8B55" w14:textId="77777777" w:rsidR="00584EC1" w:rsidRDefault="00584EC1">
            <w:pPr>
              <w:rPr>
                <w:rFonts w:ascii="宋体"/>
                <w:vanish/>
              </w:rPr>
            </w:pPr>
          </w:p>
        </w:tc>
        <w:tc>
          <w:tcPr>
            <w:tcW w:w="0" w:type="auto"/>
            <w:gridSpan w:val="3"/>
            <w:shd w:val="clear" w:color="auto" w:fill="auto"/>
            <w:vAlign w:val="bottom"/>
          </w:tcPr>
          <w:p w14:paraId="74DD8B56" w14:textId="77777777" w:rsidR="00584EC1" w:rsidRDefault="00584EC1">
            <w:pPr>
              <w:rPr>
                <w:rFonts w:ascii="宋体"/>
                <w:vanish/>
              </w:rPr>
            </w:pPr>
          </w:p>
        </w:tc>
        <w:tc>
          <w:tcPr>
            <w:tcW w:w="0" w:type="auto"/>
            <w:gridSpan w:val="3"/>
            <w:shd w:val="clear" w:color="auto" w:fill="auto"/>
            <w:vAlign w:val="bottom"/>
          </w:tcPr>
          <w:p w14:paraId="74DD8B57" w14:textId="77777777" w:rsidR="00584EC1" w:rsidRDefault="00584EC1">
            <w:pPr>
              <w:rPr>
                <w:rFonts w:ascii="宋体"/>
                <w:vanish/>
              </w:rPr>
            </w:pPr>
          </w:p>
        </w:tc>
        <w:tc>
          <w:tcPr>
            <w:tcW w:w="0" w:type="auto"/>
            <w:gridSpan w:val="3"/>
            <w:shd w:val="clear" w:color="auto" w:fill="auto"/>
            <w:vAlign w:val="bottom"/>
          </w:tcPr>
          <w:p w14:paraId="74DD8B58" w14:textId="77777777" w:rsidR="00584EC1" w:rsidRDefault="00584EC1">
            <w:pPr>
              <w:rPr>
                <w:rFonts w:ascii="宋体"/>
                <w:vanish/>
              </w:rPr>
            </w:pPr>
          </w:p>
        </w:tc>
        <w:tc>
          <w:tcPr>
            <w:tcW w:w="0" w:type="auto"/>
            <w:gridSpan w:val="3"/>
            <w:shd w:val="clear" w:color="auto" w:fill="auto"/>
            <w:vAlign w:val="bottom"/>
          </w:tcPr>
          <w:p w14:paraId="74DD8B59" w14:textId="77777777" w:rsidR="00584EC1" w:rsidRDefault="00584EC1">
            <w:pPr>
              <w:rPr>
                <w:rFonts w:ascii="宋体"/>
                <w:vanish/>
              </w:rPr>
            </w:pPr>
          </w:p>
        </w:tc>
        <w:tc>
          <w:tcPr>
            <w:tcW w:w="0" w:type="auto"/>
            <w:gridSpan w:val="3"/>
            <w:shd w:val="clear" w:color="auto" w:fill="auto"/>
            <w:vAlign w:val="bottom"/>
          </w:tcPr>
          <w:p w14:paraId="74DD8B5A" w14:textId="77777777" w:rsidR="00584EC1" w:rsidRDefault="00584EC1">
            <w:pPr>
              <w:rPr>
                <w:rFonts w:ascii="宋体"/>
                <w:vanish/>
              </w:rPr>
            </w:pPr>
          </w:p>
        </w:tc>
      </w:tr>
      <w:tr w:rsidR="00584EC1" w14:paraId="74DD8B65" w14:textId="77777777">
        <w:trPr>
          <w:hidden/>
        </w:trPr>
        <w:tc>
          <w:tcPr>
            <w:tcW w:w="0" w:type="auto"/>
            <w:gridSpan w:val="3"/>
            <w:shd w:val="clear" w:color="auto" w:fill="auto"/>
            <w:vAlign w:val="bottom"/>
          </w:tcPr>
          <w:p w14:paraId="74DD8B5C" w14:textId="77777777" w:rsidR="00584EC1" w:rsidRDefault="00584EC1">
            <w:pPr>
              <w:rPr>
                <w:rFonts w:ascii="宋体"/>
                <w:vanish/>
              </w:rPr>
            </w:pPr>
          </w:p>
        </w:tc>
        <w:tc>
          <w:tcPr>
            <w:tcW w:w="0" w:type="auto"/>
            <w:gridSpan w:val="3"/>
            <w:shd w:val="clear" w:color="auto" w:fill="auto"/>
            <w:vAlign w:val="bottom"/>
          </w:tcPr>
          <w:p w14:paraId="74DD8B5D" w14:textId="77777777" w:rsidR="00584EC1" w:rsidRDefault="00584EC1">
            <w:pPr>
              <w:rPr>
                <w:rFonts w:ascii="宋体"/>
                <w:vanish/>
              </w:rPr>
            </w:pPr>
          </w:p>
        </w:tc>
        <w:tc>
          <w:tcPr>
            <w:tcW w:w="0" w:type="auto"/>
            <w:gridSpan w:val="3"/>
            <w:shd w:val="clear" w:color="auto" w:fill="auto"/>
            <w:vAlign w:val="bottom"/>
          </w:tcPr>
          <w:p w14:paraId="74DD8B5E" w14:textId="77777777" w:rsidR="00584EC1" w:rsidRDefault="00584EC1">
            <w:pPr>
              <w:rPr>
                <w:rFonts w:ascii="宋体"/>
                <w:vanish/>
              </w:rPr>
            </w:pPr>
          </w:p>
        </w:tc>
        <w:tc>
          <w:tcPr>
            <w:tcW w:w="0" w:type="auto"/>
            <w:gridSpan w:val="3"/>
            <w:shd w:val="clear" w:color="auto" w:fill="auto"/>
            <w:vAlign w:val="bottom"/>
          </w:tcPr>
          <w:p w14:paraId="74DD8B5F" w14:textId="77777777" w:rsidR="00584EC1" w:rsidRDefault="00584EC1">
            <w:pPr>
              <w:rPr>
                <w:rFonts w:ascii="宋体"/>
                <w:vanish/>
              </w:rPr>
            </w:pPr>
          </w:p>
        </w:tc>
        <w:tc>
          <w:tcPr>
            <w:tcW w:w="0" w:type="auto"/>
            <w:gridSpan w:val="3"/>
            <w:shd w:val="clear" w:color="auto" w:fill="auto"/>
            <w:vAlign w:val="bottom"/>
          </w:tcPr>
          <w:p w14:paraId="74DD8B60" w14:textId="77777777" w:rsidR="00584EC1" w:rsidRDefault="00584EC1">
            <w:pPr>
              <w:rPr>
                <w:rFonts w:ascii="宋体"/>
                <w:vanish/>
              </w:rPr>
            </w:pPr>
          </w:p>
        </w:tc>
        <w:tc>
          <w:tcPr>
            <w:tcW w:w="0" w:type="auto"/>
            <w:gridSpan w:val="3"/>
            <w:shd w:val="clear" w:color="auto" w:fill="auto"/>
            <w:vAlign w:val="bottom"/>
          </w:tcPr>
          <w:p w14:paraId="74DD8B61" w14:textId="77777777" w:rsidR="00584EC1" w:rsidRDefault="00584EC1">
            <w:pPr>
              <w:rPr>
                <w:rFonts w:ascii="宋体"/>
                <w:vanish/>
              </w:rPr>
            </w:pPr>
          </w:p>
        </w:tc>
        <w:tc>
          <w:tcPr>
            <w:tcW w:w="0" w:type="auto"/>
            <w:gridSpan w:val="3"/>
            <w:shd w:val="clear" w:color="auto" w:fill="auto"/>
            <w:vAlign w:val="bottom"/>
          </w:tcPr>
          <w:p w14:paraId="74DD8B62" w14:textId="77777777" w:rsidR="00584EC1" w:rsidRDefault="00584EC1">
            <w:pPr>
              <w:rPr>
                <w:rFonts w:ascii="宋体"/>
                <w:vanish/>
              </w:rPr>
            </w:pPr>
          </w:p>
        </w:tc>
        <w:tc>
          <w:tcPr>
            <w:tcW w:w="0" w:type="auto"/>
            <w:gridSpan w:val="3"/>
            <w:shd w:val="clear" w:color="auto" w:fill="auto"/>
            <w:vAlign w:val="bottom"/>
          </w:tcPr>
          <w:p w14:paraId="74DD8B63" w14:textId="77777777" w:rsidR="00584EC1" w:rsidRDefault="00584EC1">
            <w:pPr>
              <w:rPr>
                <w:rFonts w:ascii="宋体"/>
                <w:vanish/>
              </w:rPr>
            </w:pPr>
          </w:p>
        </w:tc>
        <w:tc>
          <w:tcPr>
            <w:tcW w:w="0" w:type="auto"/>
            <w:gridSpan w:val="3"/>
            <w:shd w:val="clear" w:color="auto" w:fill="auto"/>
            <w:vAlign w:val="bottom"/>
          </w:tcPr>
          <w:p w14:paraId="74DD8B64" w14:textId="77777777" w:rsidR="00584EC1" w:rsidRDefault="00584EC1">
            <w:pPr>
              <w:rPr>
                <w:rFonts w:ascii="宋体"/>
                <w:vanish/>
              </w:rPr>
            </w:pPr>
          </w:p>
        </w:tc>
      </w:tr>
      <w:tr w:rsidR="00584EC1" w14:paraId="74DD8B6F" w14:textId="77777777">
        <w:trPr>
          <w:hidden/>
        </w:trPr>
        <w:tc>
          <w:tcPr>
            <w:tcW w:w="0" w:type="auto"/>
            <w:gridSpan w:val="3"/>
            <w:shd w:val="clear" w:color="auto" w:fill="auto"/>
            <w:vAlign w:val="bottom"/>
          </w:tcPr>
          <w:p w14:paraId="74DD8B66" w14:textId="77777777" w:rsidR="00584EC1" w:rsidRDefault="00584EC1">
            <w:pPr>
              <w:rPr>
                <w:rFonts w:ascii="宋体"/>
                <w:vanish/>
              </w:rPr>
            </w:pPr>
          </w:p>
        </w:tc>
        <w:tc>
          <w:tcPr>
            <w:tcW w:w="0" w:type="auto"/>
            <w:gridSpan w:val="3"/>
            <w:shd w:val="clear" w:color="auto" w:fill="auto"/>
            <w:vAlign w:val="bottom"/>
          </w:tcPr>
          <w:p w14:paraId="74DD8B67" w14:textId="77777777" w:rsidR="00584EC1" w:rsidRDefault="00584EC1">
            <w:pPr>
              <w:rPr>
                <w:rFonts w:ascii="宋体"/>
                <w:vanish/>
              </w:rPr>
            </w:pPr>
          </w:p>
        </w:tc>
        <w:tc>
          <w:tcPr>
            <w:tcW w:w="0" w:type="auto"/>
            <w:gridSpan w:val="3"/>
            <w:shd w:val="clear" w:color="auto" w:fill="auto"/>
            <w:vAlign w:val="bottom"/>
          </w:tcPr>
          <w:p w14:paraId="74DD8B68" w14:textId="77777777" w:rsidR="00584EC1" w:rsidRDefault="00584EC1">
            <w:pPr>
              <w:rPr>
                <w:rFonts w:ascii="宋体"/>
                <w:vanish/>
              </w:rPr>
            </w:pPr>
          </w:p>
        </w:tc>
        <w:tc>
          <w:tcPr>
            <w:tcW w:w="0" w:type="auto"/>
            <w:gridSpan w:val="3"/>
            <w:shd w:val="clear" w:color="auto" w:fill="auto"/>
            <w:vAlign w:val="bottom"/>
          </w:tcPr>
          <w:p w14:paraId="74DD8B69" w14:textId="77777777" w:rsidR="00584EC1" w:rsidRDefault="00584EC1">
            <w:pPr>
              <w:rPr>
                <w:rFonts w:ascii="宋体"/>
                <w:vanish/>
              </w:rPr>
            </w:pPr>
          </w:p>
        </w:tc>
        <w:tc>
          <w:tcPr>
            <w:tcW w:w="0" w:type="auto"/>
            <w:gridSpan w:val="3"/>
            <w:shd w:val="clear" w:color="auto" w:fill="auto"/>
            <w:vAlign w:val="bottom"/>
          </w:tcPr>
          <w:p w14:paraId="74DD8B6A" w14:textId="77777777" w:rsidR="00584EC1" w:rsidRDefault="00584EC1">
            <w:pPr>
              <w:rPr>
                <w:rFonts w:ascii="宋体"/>
                <w:vanish/>
              </w:rPr>
            </w:pPr>
          </w:p>
        </w:tc>
        <w:tc>
          <w:tcPr>
            <w:tcW w:w="0" w:type="auto"/>
            <w:gridSpan w:val="3"/>
            <w:shd w:val="clear" w:color="auto" w:fill="auto"/>
            <w:vAlign w:val="bottom"/>
          </w:tcPr>
          <w:p w14:paraId="74DD8B6B" w14:textId="77777777" w:rsidR="00584EC1" w:rsidRDefault="00584EC1">
            <w:pPr>
              <w:rPr>
                <w:rFonts w:ascii="宋体"/>
                <w:vanish/>
              </w:rPr>
            </w:pPr>
          </w:p>
        </w:tc>
        <w:tc>
          <w:tcPr>
            <w:tcW w:w="0" w:type="auto"/>
            <w:gridSpan w:val="3"/>
            <w:shd w:val="clear" w:color="auto" w:fill="auto"/>
            <w:vAlign w:val="bottom"/>
          </w:tcPr>
          <w:p w14:paraId="74DD8B6C" w14:textId="77777777" w:rsidR="00584EC1" w:rsidRDefault="00584EC1">
            <w:pPr>
              <w:rPr>
                <w:rFonts w:ascii="宋体"/>
                <w:vanish/>
              </w:rPr>
            </w:pPr>
          </w:p>
        </w:tc>
        <w:tc>
          <w:tcPr>
            <w:tcW w:w="0" w:type="auto"/>
            <w:gridSpan w:val="3"/>
            <w:shd w:val="clear" w:color="auto" w:fill="auto"/>
            <w:vAlign w:val="bottom"/>
          </w:tcPr>
          <w:p w14:paraId="74DD8B6D" w14:textId="77777777" w:rsidR="00584EC1" w:rsidRDefault="00584EC1">
            <w:pPr>
              <w:rPr>
                <w:rFonts w:ascii="宋体"/>
                <w:vanish/>
              </w:rPr>
            </w:pPr>
          </w:p>
        </w:tc>
        <w:tc>
          <w:tcPr>
            <w:tcW w:w="0" w:type="auto"/>
            <w:gridSpan w:val="3"/>
            <w:shd w:val="clear" w:color="auto" w:fill="auto"/>
            <w:vAlign w:val="bottom"/>
          </w:tcPr>
          <w:p w14:paraId="74DD8B6E" w14:textId="77777777" w:rsidR="00584EC1" w:rsidRDefault="00584EC1">
            <w:pPr>
              <w:rPr>
                <w:rFonts w:ascii="宋体"/>
                <w:vanish/>
              </w:rPr>
            </w:pPr>
          </w:p>
        </w:tc>
      </w:tr>
      <w:tr w:rsidR="00584EC1" w14:paraId="74DD8B79" w14:textId="77777777">
        <w:trPr>
          <w:hidden/>
        </w:trPr>
        <w:tc>
          <w:tcPr>
            <w:tcW w:w="0" w:type="auto"/>
            <w:gridSpan w:val="3"/>
            <w:shd w:val="clear" w:color="auto" w:fill="auto"/>
            <w:vAlign w:val="bottom"/>
          </w:tcPr>
          <w:p w14:paraId="74DD8B70" w14:textId="77777777" w:rsidR="00584EC1" w:rsidRDefault="00584EC1">
            <w:pPr>
              <w:rPr>
                <w:rFonts w:ascii="宋体"/>
                <w:vanish/>
              </w:rPr>
            </w:pPr>
          </w:p>
        </w:tc>
        <w:tc>
          <w:tcPr>
            <w:tcW w:w="0" w:type="auto"/>
            <w:gridSpan w:val="3"/>
            <w:shd w:val="clear" w:color="auto" w:fill="auto"/>
            <w:vAlign w:val="bottom"/>
          </w:tcPr>
          <w:p w14:paraId="74DD8B71" w14:textId="77777777" w:rsidR="00584EC1" w:rsidRDefault="00584EC1">
            <w:pPr>
              <w:rPr>
                <w:rFonts w:ascii="宋体"/>
                <w:vanish/>
              </w:rPr>
            </w:pPr>
          </w:p>
        </w:tc>
        <w:tc>
          <w:tcPr>
            <w:tcW w:w="0" w:type="auto"/>
            <w:gridSpan w:val="3"/>
            <w:shd w:val="clear" w:color="auto" w:fill="auto"/>
            <w:vAlign w:val="bottom"/>
          </w:tcPr>
          <w:p w14:paraId="74DD8B72" w14:textId="77777777" w:rsidR="00584EC1" w:rsidRDefault="00584EC1">
            <w:pPr>
              <w:rPr>
                <w:rFonts w:ascii="宋体"/>
                <w:vanish/>
              </w:rPr>
            </w:pPr>
          </w:p>
        </w:tc>
        <w:tc>
          <w:tcPr>
            <w:tcW w:w="0" w:type="auto"/>
            <w:gridSpan w:val="3"/>
            <w:shd w:val="clear" w:color="auto" w:fill="auto"/>
            <w:vAlign w:val="bottom"/>
          </w:tcPr>
          <w:p w14:paraId="74DD8B73" w14:textId="77777777" w:rsidR="00584EC1" w:rsidRDefault="00584EC1">
            <w:pPr>
              <w:rPr>
                <w:rFonts w:ascii="宋体"/>
                <w:vanish/>
              </w:rPr>
            </w:pPr>
          </w:p>
        </w:tc>
        <w:tc>
          <w:tcPr>
            <w:tcW w:w="0" w:type="auto"/>
            <w:gridSpan w:val="3"/>
            <w:shd w:val="clear" w:color="auto" w:fill="auto"/>
            <w:vAlign w:val="bottom"/>
          </w:tcPr>
          <w:p w14:paraId="74DD8B74" w14:textId="77777777" w:rsidR="00584EC1" w:rsidRDefault="00584EC1">
            <w:pPr>
              <w:rPr>
                <w:rFonts w:ascii="宋体"/>
                <w:vanish/>
              </w:rPr>
            </w:pPr>
          </w:p>
        </w:tc>
        <w:tc>
          <w:tcPr>
            <w:tcW w:w="0" w:type="auto"/>
            <w:gridSpan w:val="3"/>
            <w:shd w:val="clear" w:color="auto" w:fill="auto"/>
            <w:vAlign w:val="bottom"/>
          </w:tcPr>
          <w:p w14:paraId="74DD8B75" w14:textId="77777777" w:rsidR="00584EC1" w:rsidRDefault="00584EC1">
            <w:pPr>
              <w:rPr>
                <w:rFonts w:ascii="宋体"/>
                <w:vanish/>
              </w:rPr>
            </w:pPr>
          </w:p>
        </w:tc>
        <w:tc>
          <w:tcPr>
            <w:tcW w:w="0" w:type="auto"/>
            <w:gridSpan w:val="3"/>
            <w:shd w:val="clear" w:color="auto" w:fill="auto"/>
            <w:vAlign w:val="bottom"/>
          </w:tcPr>
          <w:p w14:paraId="74DD8B76" w14:textId="77777777" w:rsidR="00584EC1" w:rsidRDefault="00584EC1">
            <w:pPr>
              <w:rPr>
                <w:rFonts w:ascii="宋体"/>
                <w:vanish/>
              </w:rPr>
            </w:pPr>
          </w:p>
        </w:tc>
        <w:tc>
          <w:tcPr>
            <w:tcW w:w="0" w:type="auto"/>
            <w:gridSpan w:val="3"/>
            <w:shd w:val="clear" w:color="auto" w:fill="auto"/>
            <w:vAlign w:val="bottom"/>
          </w:tcPr>
          <w:p w14:paraId="74DD8B77" w14:textId="77777777" w:rsidR="00584EC1" w:rsidRDefault="00584EC1">
            <w:pPr>
              <w:rPr>
                <w:rFonts w:ascii="宋体"/>
                <w:vanish/>
              </w:rPr>
            </w:pPr>
          </w:p>
        </w:tc>
        <w:tc>
          <w:tcPr>
            <w:tcW w:w="0" w:type="auto"/>
            <w:gridSpan w:val="3"/>
            <w:shd w:val="clear" w:color="auto" w:fill="auto"/>
            <w:vAlign w:val="bottom"/>
          </w:tcPr>
          <w:p w14:paraId="74DD8B78" w14:textId="77777777" w:rsidR="00584EC1" w:rsidRDefault="00584EC1">
            <w:pPr>
              <w:rPr>
                <w:rFonts w:ascii="宋体"/>
                <w:vanish/>
              </w:rPr>
            </w:pPr>
          </w:p>
        </w:tc>
      </w:tr>
      <w:tr w:rsidR="00584EC1" w14:paraId="74DD8B83" w14:textId="77777777">
        <w:trPr>
          <w:hidden/>
        </w:trPr>
        <w:tc>
          <w:tcPr>
            <w:tcW w:w="0" w:type="auto"/>
            <w:gridSpan w:val="3"/>
            <w:shd w:val="clear" w:color="auto" w:fill="auto"/>
            <w:vAlign w:val="bottom"/>
          </w:tcPr>
          <w:p w14:paraId="74DD8B7A" w14:textId="77777777" w:rsidR="00584EC1" w:rsidRDefault="00584EC1">
            <w:pPr>
              <w:rPr>
                <w:rFonts w:ascii="宋体"/>
                <w:vanish/>
              </w:rPr>
            </w:pPr>
          </w:p>
        </w:tc>
        <w:tc>
          <w:tcPr>
            <w:tcW w:w="0" w:type="auto"/>
            <w:gridSpan w:val="3"/>
            <w:shd w:val="clear" w:color="auto" w:fill="auto"/>
            <w:vAlign w:val="bottom"/>
          </w:tcPr>
          <w:p w14:paraId="74DD8B7B" w14:textId="77777777" w:rsidR="00584EC1" w:rsidRDefault="00584EC1">
            <w:pPr>
              <w:rPr>
                <w:rFonts w:ascii="宋体"/>
                <w:vanish/>
              </w:rPr>
            </w:pPr>
          </w:p>
        </w:tc>
        <w:tc>
          <w:tcPr>
            <w:tcW w:w="0" w:type="auto"/>
            <w:gridSpan w:val="3"/>
            <w:shd w:val="clear" w:color="auto" w:fill="auto"/>
            <w:vAlign w:val="bottom"/>
          </w:tcPr>
          <w:p w14:paraId="74DD8B7C" w14:textId="77777777" w:rsidR="00584EC1" w:rsidRDefault="00584EC1">
            <w:pPr>
              <w:rPr>
                <w:rFonts w:ascii="宋体"/>
                <w:vanish/>
              </w:rPr>
            </w:pPr>
          </w:p>
        </w:tc>
        <w:tc>
          <w:tcPr>
            <w:tcW w:w="0" w:type="auto"/>
            <w:gridSpan w:val="3"/>
            <w:shd w:val="clear" w:color="auto" w:fill="auto"/>
            <w:vAlign w:val="bottom"/>
          </w:tcPr>
          <w:p w14:paraId="74DD8B7D" w14:textId="77777777" w:rsidR="00584EC1" w:rsidRDefault="00584EC1">
            <w:pPr>
              <w:rPr>
                <w:rFonts w:ascii="宋体"/>
                <w:vanish/>
              </w:rPr>
            </w:pPr>
          </w:p>
        </w:tc>
        <w:tc>
          <w:tcPr>
            <w:tcW w:w="0" w:type="auto"/>
            <w:gridSpan w:val="3"/>
            <w:shd w:val="clear" w:color="auto" w:fill="auto"/>
            <w:vAlign w:val="bottom"/>
          </w:tcPr>
          <w:p w14:paraId="74DD8B7E" w14:textId="77777777" w:rsidR="00584EC1" w:rsidRDefault="00584EC1">
            <w:pPr>
              <w:rPr>
                <w:rFonts w:ascii="宋体"/>
                <w:vanish/>
              </w:rPr>
            </w:pPr>
          </w:p>
        </w:tc>
        <w:tc>
          <w:tcPr>
            <w:tcW w:w="0" w:type="auto"/>
            <w:gridSpan w:val="3"/>
            <w:shd w:val="clear" w:color="auto" w:fill="auto"/>
            <w:vAlign w:val="bottom"/>
          </w:tcPr>
          <w:p w14:paraId="74DD8B7F" w14:textId="77777777" w:rsidR="00584EC1" w:rsidRDefault="00584EC1">
            <w:pPr>
              <w:rPr>
                <w:rFonts w:ascii="宋体"/>
                <w:vanish/>
              </w:rPr>
            </w:pPr>
          </w:p>
        </w:tc>
        <w:tc>
          <w:tcPr>
            <w:tcW w:w="0" w:type="auto"/>
            <w:gridSpan w:val="3"/>
            <w:shd w:val="clear" w:color="auto" w:fill="auto"/>
            <w:vAlign w:val="bottom"/>
          </w:tcPr>
          <w:p w14:paraId="74DD8B80" w14:textId="77777777" w:rsidR="00584EC1" w:rsidRDefault="00584EC1">
            <w:pPr>
              <w:rPr>
                <w:rFonts w:ascii="宋体"/>
                <w:vanish/>
              </w:rPr>
            </w:pPr>
          </w:p>
        </w:tc>
        <w:tc>
          <w:tcPr>
            <w:tcW w:w="0" w:type="auto"/>
            <w:gridSpan w:val="3"/>
            <w:shd w:val="clear" w:color="auto" w:fill="auto"/>
            <w:vAlign w:val="bottom"/>
          </w:tcPr>
          <w:p w14:paraId="74DD8B81" w14:textId="77777777" w:rsidR="00584EC1" w:rsidRDefault="00584EC1">
            <w:pPr>
              <w:rPr>
                <w:rFonts w:ascii="宋体"/>
                <w:vanish/>
              </w:rPr>
            </w:pPr>
          </w:p>
        </w:tc>
        <w:tc>
          <w:tcPr>
            <w:tcW w:w="0" w:type="auto"/>
            <w:gridSpan w:val="3"/>
            <w:shd w:val="clear" w:color="auto" w:fill="auto"/>
            <w:vAlign w:val="bottom"/>
          </w:tcPr>
          <w:p w14:paraId="74DD8B82" w14:textId="77777777" w:rsidR="00584EC1" w:rsidRDefault="00584EC1">
            <w:pPr>
              <w:rPr>
                <w:rFonts w:ascii="宋体"/>
                <w:vanish/>
              </w:rPr>
            </w:pPr>
          </w:p>
        </w:tc>
      </w:tr>
      <w:tr w:rsidR="00584EC1" w14:paraId="74DD8B8D" w14:textId="77777777">
        <w:trPr>
          <w:hidden/>
        </w:trPr>
        <w:tc>
          <w:tcPr>
            <w:tcW w:w="0" w:type="auto"/>
            <w:gridSpan w:val="3"/>
            <w:shd w:val="clear" w:color="auto" w:fill="auto"/>
            <w:vAlign w:val="bottom"/>
          </w:tcPr>
          <w:p w14:paraId="74DD8B84" w14:textId="77777777" w:rsidR="00584EC1" w:rsidRDefault="00584EC1">
            <w:pPr>
              <w:rPr>
                <w:rFonts w:ascii="宋体"/>
                <w:vanish/>
              </w:rPr>
            </w:pPr>
          </w:p>
        </w:tc>
        <w:tc>
          <w:tcPr>
            <w:tcW w:w="0" w:type="auto"/>
            <w:gridSpan w:val="3"/>
            <w:shd w:val="clear" w:color="auto" w:fill="auto"/>
            <w:vAlign w:val="bottom"/>
          </w:tcPr>
          <w:p w14:paraId="74DD8B85" w14:textId="77777777" w:rsidR="00584EC1" w:rsidRDefault="00584EC1">
            <w:pPr>
              <w:rPr>
                <w:rFonts w:ascii="宋体"/>
                <w:vanish/>
              </w:rPr>
            </w:pPr>
          </w:p>
        </w:tc>
        <w:tc>
          <w:tcPr>
            <w:tcW w:w="0" w:type="auto"/>
            <w:gridSpan w:val="3"/>
            <w:shd w:val="clear" w:color="auto" w:fill="auto"/>
            <w:vAlign w:val="bottom"/>
          </w:tcPr>
          <w:p w14:paraId="74DD8B86" w14:textId="77777777" w:rsidR="00584EC1" w:rsidRDefault="00584EC1">
            <w:pPr>
              <w:rPr>
                <w:rFonts w:ascii="宋体"/>
                <w:vanish/>
              </w:rPr>
            </w:pPr>
          </w:p>
        </w:tc>
        <w:tc>
          <w:tcPr>
            <w:tcW w:w="0" w:type="auto"/>
            <w:gridSpan w:val="3"/>
            <w:shd w:val="clear" w:color="auto" w:fill="auto"/>
            <w:vAlign w:val="bottom"/>
          </w:tcPr>
          <w:p w14:paraId="74DD8B87" w14:textId="77777777" w:rsidR="00584EC1" w:rsidRDefault="00584EC1">
            <w:pPr>
              <w:rPr>
                <w:rFonts w:ascii="宋体"/>
                <w:vanish/>
              </w:rPr>
            </w:pPr>
          </w:p>
        </w:tc>
        <w:tc>
          <w:tcPr>
            <w:tcW w:w="0" w:type="auto"/>
            <w:gridSpan w:val="3"/>
            <w:shd w:val="clear" w:color="auto" w:fill="auto"/>
            <w:vAlign w:val="bottom"/>
          </w:tcPr>
          <w:p w14:paraId="74DD8B88" w14:textId="77777777" w:rsidR="00584EC1" w:rsidRDefault="00584EC1">
            <w:pPr>
              <w:rPr>
                <w:rFonts w:ascii="宋体"/>
                <w:vanish/>
              </w:rPr>
            </w:pPr>
          </w:p>
        </w:tc>
        <w:tc>
          <w:tcPr>
            <w:tcW w:w="0" w:type="auto"/>
            <w:gridSpan w:val="3"/>
            <w:shd w:val="clear" w:color="auto" w:fill="auto"/>
            <w:vAlign w:val="bottom"/>
          </w:tcPr>
          <w:p w14:paraId="74DD8B89" w14:textId="77777777" w:rsidR="00584EC1" w:rsidRDefault="00584EC1">
            <w:pPr>
              <w:rPr>
                <w:rFonts w:ascii="宋体"/>
                <w:vanish/>
              </w:rPr>
            </w:pPr>
          </w:p>
        </w:tc>
        <w:tc>
          <w:tcPr>
            <w:tcW w:w="0" w:type="auto"/>
            <w:gridSpan w:val="3"/>
            <w:shd w:val="clear" w:color="auto" w:fill="auto"/>
            <w:vAlign w:val="bottom"/>
          </w:tcPr>
          <w:p w14:paraId="74DD8B8A" w14:textId="77777777" w:rsidR="00584EC1" w:rsidRDefault="00584EC1">
            <w:pPr>
              <w:rPr>
                <w:rFonts w:ascii="宋体"/>
                <w:vanish/>
              </w:rPr>
            </w:pPr>
          </w:p>
        </w:tc>
        <w:tc>
          <w:tcPr>
            <w:tcW w:w="0" w:type="auto"/>
            <w:gridSpan w:val="3"/>
            <w:shd w:val="clear" w:color="auto" w:fill="auto"/>
            <w:vAlign w:val="bottom"/>
          </w:tcPr>
          <w:p w14:paraId="74DD8B8B" w14:textId="77777777" w:rsidR="00584EC1" w:rsidRDefault="00584EC1">
            <w:pPr>
              <w:rPr>
                <w:rFonts w:ascii="宋体"/>
                <w:vanish/>
              </w:rPr>
            </w:pPr>
          </w:p>
        </w:tc>
        <w:tc>
          <w:tcPr>
            <w:tcW w:w="0" w:type="auto"/>
            <w:gridSpan w:val="3"/>
            <w:shd w:val="clear" w:color="auto" w:fill="auto"/>
            <w:vAlign w:val="bottom"/>
          </w:tcPr>
          <w:p w14:paraId="74DD8B8C" w14:textId="77777777" w:rsidR="00584EC1" w:rsidRDefault="00584EC1">
            <w:pPr>
              <w:rPr>
                <w:rFonts w:ascii="宋体"/>
                <w:vanish/>
              </w:rPr>
            </w:pPr>
          </w:p>
        </w:tc>
      </w:tr>
      <w:tr w:rsidR="00584EC1" w14:paraId="74DD8B99" w14:textId="77777777">
        <w:tc>
          <w:tcPr>
            <w:tcW w:w="0" w:type="auto"/>
            <w:gridSpan w:val="3"/>
            <w:shd w:val="clear" w:color="auto" w:fill="FFFFFF"/>
            <w:tcMar>
              <w:top w:w="40" w:type="dxa"/>
              <w:left w:w="20" w:type="dxa"/>
              <w:bottom w:w="40" w:type="dxa"/>
              <w:right w:w="20" w:type="dxa"/>
            </w:tcMar>
            <w:vAlign w:val="bottom"/>
          </w:tcPr>
          <w:p w14:paraId="74DD8B8E" w14:textId="77777777" w:rsidR="00584EC1" w:rsidRDefault="00871F8D">
            <w:pPr>
              <w:jc w:val="both"/>
              <w:textAlignment w:val="bottom"/>
            </w:pPr>
            <w:r>
              <w:rPr>
                <w:rFonts w:ascii="Arial" w:eastAsia="宋体" w:hAnsi="Arial" w:cs="Arial"/>
                <w:color w:val="000000"/>
                <w:sz w:val="14"/>
                <w:szCs w:val="14"/>
              </w:rPr>
              <w:t>Total</w:t>
            </w:r>
            <w:r>
              <w:rPr>
                <w:rFonts w:ascii="Arial" w:eastAsia="宋体" w:hAnsi="Arial" w:cs="Arial"/>
                <w:color w:val="000000"/>
                <w:sz w:val="9"/>
                <w:szCs w:val="9"/>
              </w:rPr>
              <w:t>(6)(8)</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8B8F" w14:textId="77777777" w:rsidR="00584EC1" w:rsidRDefault="00871F8D">
            <w:pPr>
              <w:jc w:val="right"/>
              <w:textAlignment w:val="bottom"/>
            </w:pPr>
            <w:r>
              <w:rPr>
                <w:rFonts w:ascii="Arial" w:eastAsia="宋体" w:hAnsi="Arial" w:cs="Arial"/>
                <w:b/>
                <w:bCs/>
                <w:color w:val="000000"/>
                <w:sz w:val="14"/>
                <w:szCs w:val="14"/>
              </w:rPr>
              <w:t>43,348</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8B9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B91"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8B92" w14:textId="77777777" w:rsidR="00584EC1" w:rsidRDefault="00871F8D">
            <w:pPr>
              <w:jc w:val="right"/>
              <w:textAlignment w:val="bottom"/>
            </w:pPr>
            <w:r>
              <w:rPr>
                <w:rFonts w:ascii="Arial" w:eastAsia="宋体" w:hAnsi="Arial" w:cs="Arial"/>
                <w:color w:val="000000"/>
                <w:sz w:val="14"/>
                <w:szCs w:val="14"/>
              </w:rPr>
              <w:t>48,931 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8B93" w14:textId="77777777" w:rsidR="00584EC1" w:rsidRDefault="00584EC1">
            <w:pPr>
              <w:jc w:val="right"/>
              <w:rPr>
                <w:rFonts w:ascii="宋体"/>
              </w:rPr>
            </w:pPr>
          </w:p>
        </w:tc>
        <w:tc>
          <w:tcPr>
            <w:tcW w:w="0" w:type="auto"/>
            <w:gridSpan w:val="3"/>
            <w:shd w:val="clear" w:color="auto" w:fill="auto"/>
            <w:vAlign w:val="bottom"/>
          </w:tcPr>
          <w:p w14:paraId="74DD8B94" w14:textId="77777777" w:rsidR="00584EC1" w:rsidRDefault="00584EC1">
            <w:pPr>
              <w:rPr>
                <w:rFonts w:ascii="宋体"/>
                <w:vanish/>
              </w:rPr>
            </w:pPr>
          </w:p>
        </w:tc>
        <w:tc>
          <w:tcPr>
            <w:tcW w:w="0" w:type="auto"/>
            <w:gridSpan w:val="3"/>
            <w:shd w:val="clear" w:color="auto" w:fill="auto"/>
            <w:vAlign w:val="bottom"/>
          </w:tcPr>
          <w:p w14:paraId="74DD8B95" w14:textId="77777777" w:rsidR="00584EC1" w:rsidRDefault="00584EC1">
            <w:pPr>
              <w:rPr>
                <w:rFonts w:ascii="宋体"/>
                <w:vanish/>
              </w:rPr>
            </w:pPr>
          </w:p>
        </w:tc>
        <w:tc>
          <w:tcPr>
            <w:tcW w:w="0" w:type="auto"/>
            <w:gridSpan w:val="3"/>
            <w:shd w:val="clear" w:color="auto" w:fill="auto"/>
            <w:vAlign w:val="bottom"/>
          </w:tcPr>
          <w:p w14:paraId="74DD8B96" w14:textId="77777777" w:rsidR="00584EC1" w:rsidRDefault="00584EC1">
            <w:pPr>
              <w:rPr>
                <w:rFonts w:ascii="宋体"/>
                <w:vanish/>
              </w:rPr>
            </w:pPr>
          </w:p>
        </w:tc>
        <w:tc>
          <w:tcPr>
            <w:tcW w:w="0" w:type="auto"/>
            <w:gridSpan w:val="3"/>
            <w:shd w:val="clear" w:color="auto" w:fill="auto"/>
            <w:vAlign w:val="bottom"/>
          </w:tcPr>
          <w:p w14:paraId="74DD8B97" w14:textId="77777777" w:rsidR="00584EC1" w:rsidRDefault="00584EC1">
            <w:pPr>
              <w:rPr>
                <w:rFonts w:ascii="宋体"/>
                <w:vanish/>
              </w:rPr>
            </w:pPr>
          </w:p>
        </w:tc>
        <w:tc>
          <w:tcPr>
            <w:tcW w:w="0" w:type="auto"/>
            <w:gridSpan w:val="3"/>
            <w:shd w:val="clear" w:color="auto" w:fill="auto"/>
            <w:vAlign w:val="bottom"/>
          </w:tcPr>
          <w:p w14:paraId="74DD8B98" w14:textId="77777777" w:rsidR="00584EC1" w:rsidRDefault="00584EC1">
            <w:pPr>
              <w:rPr>
                <w:rFonts w:ascii="宋体"/>
                <w:vanish/>
              </w:rPr>
            </w:pPr>
          </w:p>
        </w:tc>
      </w:tr>
      <w:tr w:rsidR="00584EC1" w14:paraId="74DD8BA5" w14:textId="77777777">
        <w:tc>
          <w:tcPr>
            <w:tcW w:w="0" w:type="auto"/>
            <w:gridSpan w:val="3"/>
            <w:shd w:val="clear" w:color="auto" w:fill="CCEEFF"/>
            <w:tcMar>
              <w:top w:w="40" w:type="dxa"/>
              <w:left w:w="20" w:type="dxa"/>
              <w:bottom w:w="40" w:type="dxa"/>
              <w:right w:w="20" w:type="dxa"/>
            </w:tcMar>
            <w:vAlign w:val="bottom"/>
          </w:tcPr>
          <w:p w14:paraId="74DD8B9A" w14:textId="77777777" w:rsidR="00584EC1" w:rsidRDefault="00871F8D">
            <w:pPr>
              <w:jc w:val="both"/>
              <w:textAlignment w:val="bottom"/>
            </w:pPr>
            <w:r>
              <w:rPr>
                <w:rFonts w:ascii="Arial" w:eastAsia="宋体" w:hAnsi="Arial" w:cs="Arial"/>
                <w:color w:val="000000"/>
                <w:sz w:val="14"/>
                <w:szCs w:val="14"/>
              </w:rPr>
              <w:t>Held-to-maturity under money market mutual fund liquidity facility</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8B9B"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B9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B9D"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8B9E" w14:textId="77777777" w:rsidR="00584EC1" w:rsidRDefault="00871F8D">
            <w:pPr>
              <w:jc w:val="right"/>
              <w:textAlignment w:val="bottom"/>
            </w:pPr>
            <w:r>
              <w:rPr>
                <w:rFonts w:ascii="Arial" w:eastAsia="宋体" w:hAnsi="Arial" w:cs="Arial"/>
                <w:color w:val="000000"/>
                <w:sz w:val="14"/>
                <w:szCs w:val="14"/>
              </w:rPr>
              <w:t>3,300 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B9F" w14:textId="77777777" w:rsidR="00584EC1" w:rsidRDefault="00584EC1">
            <w:pPr>
              <w:jc w:val="right"/>
              <w:rPr>
                <w:rFonts w:ascii="宋体"/>
              </w:rPr>
            </w:pPr>
          </w:p>
        </w:tc>
        <w:tc>
          <w:tcPr>
            <w:tcW w:w="0" w:type="auto"/>
            <w:gridSpan w:val="3"/>
            <w:shd w:val="clear" w:color="auto" w:fill="auto"/>
            <w:vAlign w:val="bottom"/>
          </w:tcPr>
          <w:p w14:paraId="74DD8BA0" w14:textId="77777777" w:rsidR="00584EC1" w:rsidRDefault="00584EC1">
            <w:pPr>
              <w:rPr>
                <w:rFonts w:ascii="宋体"/>
                <w:vanish/>
              </w:rPr>
            </w:pPr>
          </w:p>
        </w:tc>
        <w:tc>
          <w:tcPr>
            <w:tcW w:w="0" w:type="auto"/>
            <w:gridSpan w:val="3"/>
            <w:shd w:val="clear" w:color="auto" w:fill="auto"/>
            <w:vAlign w:val="bottom"/>
          </w:tcPr>
          <w:p w14:paraId="74DD8BA1" w14:textId="77777777" w:rsidR="00584EC1" w:rsidRDefault="00584EC1">
            <w:pPr>
              <w:rPr>
                <w:rFonts w:ascii="宋体"/>
                <w:vanish/>
              </w:rPr>
            </w:pPr>
          </w:p>
        </w:tc>
        <w:tc>
          <w:tcPr>
            <w:tcW w:w="0" w:type="auto"/>
            <w:gridSpan w:val="3"/>
            <w:shd w:val="clear" w:color="auto" w:fill="auto"/>
            <w:vAlign w:val="bottom"/>
          </w:tcPr>
          <w:p w14:paraId="74DD8BA2" w14:textId="77777777" w:rsidR="00584EC1" w:rsidRDefault="00584EC1">
            <w:pPr>
              <w:rPr>
                <w:rFonts w:ascii="宋体"/>
                <w:vanish/>
              </w:rPr>
            </w:pPr>
          </w:p>
        </w:tc>
        <w:tc>
          <w:tcPr>
            <w:tcW w:w="0" w:type="auto"/>
            <w:gridSpan w:val="3"/>
            <w:shd w:val="clear" w:color="auto" w:fill="auto"/>
            <w:vAlign w:val="bottom"/>
          </w:tcPr>
          <w:p w14:paraId="74DD8BA3" w14:textId="77777777" w:rsidR="00584EC1" w:rsidRDefault="00584EC1">
            <w:pPr>
              <w:rPr>
                <w:rFonts w:ascii="宋体"/>
                <w:vanish/>
              </w:rPr>
            </w:pPr>
          </w:p>
        </w:tc>
        <w:tc>
          <w:tcPr>
            <w:tcW w:w="0" w:type="auto"/>
            <w:gridSpan w:val="3"/>
            <w:shd w:val="clear" w:color="auto" w:fill="auto"/>
            <w:vAlign w:val="bottom"/>
          </w:tcPr>
          <w:p w14:paraId="74DD8BA4" w14:textId="77777777" w:rsidR="00584EC1" w:rsidRDefault="00584EC1">
            <w:pPr>
              <w:rPr>
                <w:rFonts w:ascii="宋体"/>
                <w:vanish/>
              </w:rPr>
            </w:pPr>
          </w:p>
        </w:tc>
      </w:tr>
      <w:tr w:rsidR="00584EC1" w14:paraId="74DD8BB3" w14:textId="77777777">
        <w:tc>
          <w:tcPr>
            <w:tcW w:w="0" w:type="auto"/>
            <w:gridSpan w:val="3"/>
            <w:shd w:val="clear" w:color="auto" w:fill="FFFFFF"/>
            <w:tcMar>
              <w:top w:w="40" w:type="dxa"/>
              <w:left w:w="20" w:type="dxa"/>
              <w:bottom w:w="40" w:type="dxa"/>
              <w:right w:w="20" w:type="dxa"/>
            </w:tcMar>
            <w:vAlign w:val="bottom"/>
          </w:tcPr>
          <w:p w14:paraId="74DD8BA6" w14:textId="77777777" w:rsidR="00584EC1" w:rsidRDefault="00871F8D">
            <w:pPr>
              <w:jc w:val="both"/>
              <w:textAlignment w:val="bottom"/>
            </w:pPr>
            <w:r>
              <w:rPr>
                <w:rFonts w:ascii="Arial" w:eastAsia="宋体" w:hAnsi="Arial" w:cs="Arial"/>
                <w:color w:val="000000"/>
                <w:sz w:val="14"/>
                <w:szCs w:val="14"/>
              </w:rPr>
              <w:t>Total held-to-maturity securities</w:t>
            </w:r>
            <w:r>
              <w:rPr>
                <w:rFonts w:ascii="Arial" w:eastAsia="宋体" w:hAnsi="Arial" w:cs="Arial"/>
                <w:color w:val="000000"/>
                <w:sz w:val="9"/>
                <w:szCs w:val="9"/>
              </w:rPr>
              <w:t>(6)</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8BA7"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8BA8" w14:textId="77777777" w:rsidR="00584EC1" w:rsidRDefault="00871F8D">
            <w:pPr>
              <w:jc w:val="right"/>
              <w:textAlignment w:val="bottom"/>
            </w:pPr>
            <w:r>
              <w:rPr>
                <w:rFonts w:ascii="Arial" w:eastAsia="宋体" w:hAnsi="Arial" w:cs="Arial"/>
                <w:b/>
                <w:bCs/>
                <w:color w:val="000000"/>
                <w:sz w:val="14"/>
                <w:szCs w:val="14"/>
              </w:rPr>
              <w:t>43,348</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8BA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BAA"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8BAB"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8BAC" w14:textId="77777777" w:rsidR="00584EC1" w:rsidRDefault="00871F8D">
            <w:pPr>
              <w:jc w:val="right"/>
              <w:textAlignment w:val="bottom"/>
            </w:pPr>
            <w:r>
              <w:rPr>
                <w:rFonts w:ascii="Arial" w:eastAsia="宋体" w:hAnsi="Arial" w:cs="Arial"/>
                <w:color w:val="000000"/>
                <w:sz w:val="14"/>
                <w:szCs w:val="14"/>
              </w:rPr>
              <w:t>52,231 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8BAD" w14:textId="77777777" w:rsidR="00584EC1" w:rsidRDefault="00584EC1">
            <w:pPr>
              <w:jc w:val="right"/>
              <w:rPr>
                <w:rFonts w:ascii="宋体"/>
              </w:rPr>
            </w:pPr>
          </w:p>
        </w:tc>
        <w:tc>
          <w:tcPr>
            <w:tcW w:w="0" w:type="auto"/>
            <w:gridSpan w:val="3"/>
            <w:shd w:val="clear" w:color="auto" w:fill="auto"/>
            <w:vAlign w:val="bottom"/>
          </w:tcPr>
          <w:p w14:paraId="74DD8BAE" w14:textId="77777777" w:rsidR="00584EC1" w:rsidRDefault="00584EC1">
            <w:pPr>
              <w:rPr>
                <w:rFonts w:ascii="宋体"/>
                <w:vanish/>
              </w:rPr>
            </w:pPr>
          </w:p>
        </w:tc>
        <w:tc>
          <w:tcPr>
            <w:tcW w:w="0" w:type="auto"/>
            <w:gridSpan w:val="3"/>
            <w:shd w:val="clear" w:color="auto" w:fill="auto"/>
            <w:vAlign w:val="bottom"/>
          </w:tcPr>
          <w:p w14:paraId="74DD8BAF" w14:textId="77777777" w:rsidR="00584EC1" w:rsidRDefault="00584EC1">
            <w:pPr>
              <w:rPr>
                <w:rFonts w:ascii="宋体"/>
                <w:vanish/>
              </w:rPr>
            </w:pPr>
          </w:p>
        </w:tc>
        <w:tc>
          <w:tcPr>
            <w:tcW w:w="0" w:type="auto"/>
            <w:gridSpan w:val="3"/>
            <w:shd w:val="clear" w:color="auto" w:fill="auto"/>
            <w:vAlign w:val="bottom"/>
          </w:tcPr>
          <w:p w14:paraId="74DD8BB0" w14:textId="77777777" w:rsidR="00584EC1" w:rsidRDefault="00584EC1">
            <w:pPr>
              <w:rPr>
                <w:rFonts w:ascii="宋体"/>
                <w:vanish/>
              </w:rPr>
            </w:pPr>
          </w:p>
        </w:tc>
        <w:tc>
          <w:tcPr>
            <w:tcW w:w="0" w:type="auto"/>
            <w:gridSpan w:val="3"/>
            <w:shd w:val="clear" w:color="auto" w:fill="auto"/>
            <w:vAlign w:val="bottom"/>
          </w:tcPr>
          <w:p w14:paraId="74DD8BB1" w14:textId="77777777" w:rsidR="00584EC1" w:rsidRDefault="00584EC1">
            <w:pPr>
              <w:rPr>
                <w:rFonts w:ascii="宋体"/>
                <w:vanish/>
              </w:rPr>
            </w:pPr>
          </w:p>
        </w:tc>
        <w:tc>
          <w:tcPr>
            <w:tcW w:w="0" w:type="auto"/>
            <w:gridSpan w:val="3"/>
            <w:shd w:val="clear" w:color="auto" w:fill="auto"/>
            <w:vAlign w:val="bottom"/>
          </w:tcPr>
          <w:p w14:paraId="74DD8BB2" w14:textId="77777777" w:rsidR="00584EC1" w:rsidRDefault="00584EC1">
            <w:pPr>
              <w:rPr>
                <w:rFonts w:ascii="宋体"/>
                <w:vanish/>
              </w:rPr>
            </w:pPr>
          </w:p>
        </w:tc>
      </w:tr>
    </w:tbl>
    <w:p w14:paraId="74DD8BB4" w14:textId="77777777" w:rsidR="00584EC1" w:rsidRDefault="00584E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3912"/>
        <w:gridCol w:w="36"/>
        <w:gridCol w:w="69"/>
        <w:gridCol w:w="1733"/>
        <w:gridCol w:w="36"/>
        <w:gridCol w:w="69"/>
        <w:gridCol w:w="2304"/>
        <w:gridCol w:w="36"/>
        <w:gridCol w:w="36"/>
        <w:gridCol w:w="36"/>
      </w:tblGrid>
      <w:tr w:rsidR="00584EC1" w14:paraId="74DD8BC0" w14:textId="77777777">
        <w:tc>
          <w:tcPr>
            <w:tcW w:w="50" w:type="pct"/>
            <w:shd w:val="clear" w:color="auto" w:fill="auto"/>
            <w:vAlign w:val="bottom"/>
          </w:tcPr>
          <w:p w14:paraId="74DD8BB5" w14:textId="77777777" w:rsidR="00584EC1" w:rsidRDefault="00584EC1">
            <w:pPr>
              <w:rPr>
                <w:rFonts w:ascii="宋体"/>
              </w:rPr>
            </w:pPr>
          </w:p>
        </w:tc>
        <w:tc>
          <w:tcPr>
            <w:tcW w:w="2374" w:type="pct"/>
            <w:shd w:val="clear" w:color="auto" w:fill="auto"/>
            <w:vAlign w:val="bottom"/>
          </w:tcPr>
          <w:p w14:paraId="74DD8BB6" w14:textId="77777777" w:rsidR="00584EC1" w:rsidRDefault="00584EC1">
            <w:pPr>
              <w:rPr>
                <w:rFonts w:ascii="宋体"/>
              </w:rPr>
            </w:pPr>
          </w:p>
        </w:tc>
        <w:tc>
          <w:tcPr>
            <w:tcW w:w="5" w:type="pct"/>
            <w:shd w:val="clear" w:color="auto" w:fill="auto"/>
            <w:vAlign w:val="bottom"/>
          </w:tcPr>
          <w:p w14:paraId="74DD8BB7" w14:textId="77777777" w:rsidR="00584EC1" w:rsidRDefault="00584EC1">
            <w:pPr>
              <w:rPr>
                <w:rFonts w:ascii="宋体"/>
              </w:rPr>
            </w:pPr>
          </w:p>
        </w:tc>
        <w:tc>
          <w:tcPr>
            <w:tcW w:w="50" w:type="pct"/>
            <w:shd w:val="clear" w:color="auto" w:fill="auto"/>
            <w:vAlign w:val="bottom"/>
          </w:tcPr>
          <w:p w14:paraId="74DD8BB8" w14:textId="77777777" w:rsidR="00584EC1" w:rsidRDefault="00584EC1">
            <w:pPr>
              <w:rPr>
                <w:rFonts w:ascii="宋体"/>
              </w:rPr>
            </w:pPr>
          </w:p>
        </w:tc>
        <w:tc>
          <w:tcPr>
            <w:tcW w:w="1057" w:type="pct"/>
            <w:shd w:val="clear" w:color="auto" w:fill="auto"/>
            <w:vAlign w:val="bottom"/>
          </w:tcPr>
          <w:p w14:paraId="74DD8BB9" w14:textId="77777777" w:rsidR="00584EC1" w:rsidRDefault="00584EC1">
            <w:pPr>
              <w:rPr>
                <w:rFonts w:ascii="宋体"/>
              </w:rPr>
            </w:pPr>
          </w:p>
        </w:tc>
        <w:tc>
          <w:tcPr>
            <w:tcW w:w="5" w:type="pct"/>
            <w:shd w:val="clear" w:color="auto" w:fill="auto"/>
            <w:vAlign w:val="bottom"/>
          </w:tcPr>
          <w:p w14:paraId="74DD8BBA" w14:textId="77777777" w:rsidR="00584EC1" w:rsidRDefault="00584EC1">
            <w:pPr>
              <w:rPr>
                <w:rFonts w:ascii="宋体"/>
              </w:rPr>
            </w:pPr>
          </w:p>
        </w:tc>
        <w:tc>
          <w:tcPr>
            <w:tcW w:w="50" w:type="pct"/>
            <w:shd w:val="clear" w:color="auto" w:fill="auto"/>
            <w:vAlign w:val="bottom"/>
          </w:tcPr>
          <w:p w14:paraId="74DD8BBB" w14:textId="77777777" w:rsidR="00584EC1" w:rsidRDefault="00584EC1">
            <w:pPr>
              <w:rPr>
                <w:rFonts w:ascii="宋体"/>
              </w:rPr>
            </w:pPr>
          </w:p>
        </w:tc>
        <w:tc>
          <w:tcPr>
            <w:tcW w:w="1402" w:type="pct"/>
            <w:shd w:val="clear" w:color="auto" w:fill="auto"/>
            <w:vAlign w:val="bottom"/>
          </w:tcPr>
          <w:p w14:paraId="74DD8BBC" w14:textId="77777777" w:rsidR="00584EC1" w:rsidRDefault="00584EC1">
            <w:pPr>
              <w:rPr>
                <w:rFonts w:ascii="宋体"/>
              </w:rPr>
            </w:pPr>
          </w:p>
        </w:tc>
        <w:tc>
          <w:tcPr>
            <w:tcW w:w="5" w:type="pct"/>
            <w:shd w:val="clear" w:color="auto" w:fill="auto"/>
            <w:vAlign w:val="bottom"/>
          </w:tcPr>
          <w:p w14:paraId="74DD8BBD" w14:textId="77777777" w:rsidR="00584EC1" w:rsidRDefault="00584EC1">
            <w:pPr>
              <w:rPr>
                <w:rFonts w:ascii="宋体"/>
              </w:rPr>
            </w:pPr>
          </w:p>
        </w:tc>
        <w:tc>
          <w:tcPr>
            <w:tcW w:w="0" w:type="auto"/>
            <w:shd w:val="clear" w:color="auto" w:fill="auto"/>
            <w:vAlign w:val="bottom"/>
          </w:tcPr>
          <w:p w14:paraId="74DD8BBE" w14:textId="77777777" w:rsidR="00584EC1" w:rsidRDefault="00584EC1">
            <w:pPr>
              <w:rPr>
                <w:rFonts w:ascii="宋体"/>
                <w:vanish/>
              </w:rPr>
            </w:pPr>
          </w:p>
        </w:tc>
        <w:tc>
          <w:tcPr>
            <w:tcW w:w="0" w:type="auto"/>
            <w:shd w:val="clear" w:color="auto" w:fill="auto"/>
            <w:vAlign w:val="bottom"/>
          </w:tcPr>
          <w:p w14:paraId="74DD8BBF" w14:textId="77777777" w:rsidR="00584EC1" w:rsidRDefault="00584EC1">
            <w:pPr>
              <w:rPr>
                <w:rFonts w:ascii="宋体"/>
                <w:vanish/>
              </w:rPr>
            </w:pPr>
          </w:p>
        </w:tc>
      </w:tr>
      <w:tr w:rsidR="00584EC1" w14:paraId="74DD8BC6"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4DD8BC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8BC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8BC3" w14:textId="77777777" w:rsidR="00584EC1" w:rsidRDefault="00584EC1">
            <w:pPr>
              <w:rPr>
                <w:rFonts w:ascii="宋体"/>
              </w:rPr>
            </w:pPr>
          </w:p>
        </w:tc>
        <w:tc>
          <w:tcPr>
            <w:tcW w:w="0" w:type="auto"/>
            <w:shd w:val="clear" w:color="auto" w:fill="auto"/>
            <w:vAlign w:val="bottom"/>
          </w:tcPr>
          <w:p w14:paraId="74DD8BC4" w14:textId="77777777" w:rsidR="00584EC1" w:rsidRDefault="00584EC1">
            <w:pPr>
              <w:rPr>
                <w:rFonts w:ascii="宋体"/>
                <w:vanish/>
              </w:rPr>
            </w:pPr>
          </w:p>
        </w:tc>
        <w:tc>
          <w:tcPr>
            <w:tcW w:w="0" w:type="auto"/>
            <w:shd w:val="clear" w:color="auto" w:fill="auto"/>
            <w:vAlign w:val="bottom"/>
          </w:tcPr>
          <w:p w14:paraId="74DD8BC5" w14:textId="77777777" w:rsidR="00584EC1" w:rsidRDefault="00584EC1">
            <w:pPr>
              <w:rPr>
                <w:rFonts w:ascii="宋体"/>
                <w:vanish/>
              </w:rPr>
            </w:pPr>
          </w:p>
        </w:tc>
      </w:tr>
    </w:tbl>
    <w:p w14:paraId="74DD8BC7" w14:textId="77777777" w:rsidR="00584EC1" w:rsidRDefault="00871F8D">
      <w:pPr>
        <w:spacing w:before="20"/>
        <w:jc w:val="both"/>
        <w:textAlignment w:val="top"/>
      </w:pPr>
      <w:r>
        <w:rPr>
          <w:rFonts w:ascii="Arial" w:eastAsia="宋体" w:hAnsi="Arial" w:cs="Arial"/>
          <w:color w:val="000000"/>
          <w:sz w:val="8"/>
          <w:szCs w:val="8"/>
        </w:rPr>
        <w:t>(1)</w:t>
      </w:r>
      <w:r>
        <w:rPr>
          <w:rFonts w:ascii="Arial" w:eastAsia="宋体" w:hAnsi="Arial" w:cs="Arial"/>
          <w:color w:val="000000"/>
          <w:sz w:val="13"/>
          <w:szCs w:val="13"/>
        </w:rPr>
        <w:t xml:space="preserve"> As of September 30, 2021 and December 31, 2020, the fair value includes non-U.S. corporate bonds of $1.76 billion and $1.88 billion, respectively. </w:t>
      </w:r>
    </w:p>
    <w:p w14:paraId="74DD8BC8" w14:textId="77777777" w:rsidR="00584EC1" w:rsidRDefault="00871F8D">
      <w:pPr>
        <w:spacing w:before="60"/>
        <w:jc w:val="both"/>
        <w:textAlignment w:val="top"/>
      </w:pPr>
      <w:r>
        <w:rPr>
          <w:rFonts w:ascii="Arial" w:eastAsia="宋体" w:hAnsi="Arial" w:cs="Arial"/>
          <w:color w:val="000000"/>
          <w:sz w:val="8"/>
          <w:szCs w:val="8"/>
        </w:rPr>
        <w:t>(2)</w:t>
      </w:r>
      <w:r>
        <w:rPr>
          <w:rFonts w:ascii="Arial" w:eastAsia="宋体" w:hAnsi="Arial" w:cs="Arial"/>
          <w:color w:val="000000"/>
          <w:sz w:val="13"/>
          <w:szCs w:val="13"/>
        </w:rPr>
        <w:t xml:space="preserve"> Primarily comprised of securities guaranteed by the federal government with respect to at least 97% of </w:t>
      </w:r>
      <w:r>
        <w:rPr>
          <w:rFonts w:ascii="Arial" w:eastAsia="宋体" w:hAnsi="Arial" w:cs="Arial"/>
          <w:color w:val="000000"/>
          <w:sz w:val="13"/>
          <w:szCs w:val="13"/>
        </w:rPr>
        <w:t>defaulted principal and accrued interest on the underlying loans.</w:t>
      </w:r>
    </w:p>
    <w:p w14:paraId="74DD8BC9" w14:textId="77777777" w:rsidR="00584EC1" w:rsidRDefault="00871F8D">
      <w:pPr>
        <w:spacing w:before="60"/>
        <w:jc w:val="both"/>
        <w:textAlignment w:val="top"/>
      </w:pPr>
      <w:r>
        <w:rPr>
          <w:rFonts w:ascii="Arial" w:eastAsia="宋体" w:hAnsi="Arial" w:cs="Arial"/>
          <w:color w:val="000000"/>
          <w:sz w:val="8"/>
          <w:szCs w:val="8"/>
        </w:rPr>
        <w:t xml:space="preserve">(3) </w:t>
      </w:r>
      <w:r>
        <w:rPr>
          <w:rFonts w:ascii="Arial" w:eastAsia="宋体" w:hAnsi="Arial" w:cs="Arial"/>
          <w:color w:val="000000"/>
          <w:sz w:val="13"/>
          <w:szCs w:val="13"/>
        </w:rPr>
        <w:t>Excludes collateralized loan obligations in loan form. Refer to Note 4 for additional information.</w:t>
      </w:r>
    </w:p>
    <w:p w14:paraId="74DD8BCA" w14:textId="77777777" w:rsidR="00584EC1" w:rsidRDefault="00871F8D">
      <w:pPr>
        <w:spacing w:before="60"/>
        <w:jc w:val="both"/>
        <w:textAlignment w:val="top"/>
      </w:pPr>
      <w:r>
        <w:rPr>
          <w:rFonts w:ascii="Arial" w:eastAsia="宋体" w:hAnsi="Arial" w:cs="Arial"/>
          <w:color w:val="000000"/>
          <w:sz w:val="8"/>
          <w:szCs w:val="8"/>
        </w:rPr>
        <w:t xml:space="preserve">(4) </w:t>
      </w:r>
      <w:r>
        <w:rPr>
          <w:rFonts w:ascii="Arial" w:eastAsia="宋体" w:hAnsi="Arial" w:cs="Arial"/>
          <w:color w:val="000000"/>
          <w:sz w:val="13"/>
          <w:szCs w:val="13"/>
        </w:rPr>
        <w:t>Consists entirely of non-agency CMBS as of both September 30, 2021 and December 31,</w:t>
      </w:r>
      <w:r>
        <w:rPr>
          <w:rFonts w:ascii="Arial" w:eastAsia="宋体" w:hAnsi="Arial" w:cs="Arial"/>
          <w:color w:val="000000"/>
          <w:sz w:val="13"/>
          <w:szCs w:val="13"/>
        </w:rPr>
        <w:t xml:space="preserve"> 2020.</w:t>
      </w:r>
    </w:p>
    <w:p w14:paraId="74DD8BCB" w14:textId="77777777" w:rsidR="00584EC1" w:rsidRDefault="00871F8D">
      <w:pPr>
        <w:spacing w:before="20"/>
        <w:jc w:val="both"/>
        <w:textAlignment w:val="top"/>
      </w:pPr>
      <w:r>
        <w:rPr>
          <w:rFonts w:ascii="Arial" w:eastAsia="宋体" w:hAnsi="Arial" w:cs="Arial"/>
          <w:color w:val="000000"/>
          <w:sz w:val="8"/>
          <w:szCs w:val="8"/>
        </w:rPr>
        <w:t>(5)</w:t>
      </w:r>
      <w:r>
        <w:rPr>
          <w:rFonts w:ascii="Arial" w:eastAsia="宋体" w:hAnsi="Arial" w:cs="Arial"/>
          <w:color w:val="000000"/>
          <w:sz w:val="13"/>
          <w:szCs w:val="13"/>
        </w:rPr>
        <w:t xml:space="preserve"> As of September 30, 2021 and December 31, 2020, the fair value of U.S. corporate bonds was $2.98 billion and $3.44 billion, respectively. </w:t>
      </w:r>
    </w:p>
    <w:p w14:paraId="74DD8BCC" w14:textId="77777777" w:rsidR="00584EC1" w:rsidRDefault="00871F8D">
      <w:pPr>
        <w:spacing w:before="60"/>
        <w:jc w:val="both"/>
        <w:textAlignment w:val="top"/>
      </w:pPr>
      <w:r>
        <w:rPr>
          <w:rFonts w:ascii="Arial" w:eastAsia="宋体" w:hAnsi="Arial" w:cs="Arial"/>
          <w:color w:val="000000"/>
          <w:sz w:val="8"/>
          <w:szCs w:val="8"/>
        </w:rPr>
        <w:t>(6)</w:t>
      </w:r>
      <w:r>
        <w:rPr>
          <w:rFonts w:ascii="Arial" w:eastAsia="宋体" w:hAnsi="Arial" w:cs="Arial"/>
          <w:color w:val="000000"/>
          <w:sz w:val="13"/>
          <w:szCs w:val="13"/>
        </w:rPr>
        <w:t xml:space="preserve"> An immaterial amount of accrued interest related to HTM and AFS investment securities was excluded fro</w:t>
      </w:r>
      <w:r>
        <w:rPr>
          <w:rFonts w:ascii="Arial" w:eastAsia="宋体" w:hAnsi="Arial" w:cs="Arial"/>
          <w:color w:val="000000"/>
          <w:sz w:val="13"/>
          <w:szCs w:val="13"/>
        </w:rPr>
        <w:t>m the amortized cost basis for the period ended September 30, 2021.</w:t>
      </w:r>
    </w:p>
    <w:p w14:paraId="74DD8BCD" w14:textId="77777777" w:rsidR="00584EC1" w:rsidRDefault="00871F8D">
      <w:pPr>
        <w:spacing w:before="60"/>
        <w:jc w:val="both"/>
        <w:textAlignment w:val="top"/>
      </w:pPr>
      <w:r>
        <w:rPr>
          <w:rFonts w:ascii="Arial" w:eastAsia="宋体" w:hAnsi="Arial" w:cs="Arial"/>
          <w:color w:val="000000"/>
          <w:sz w:val="8"/>
          <w:szCs w:val="8"/>
        </w:rPr>
        <w:t>(7)</w:t>
      </w:r>
      <w:r>
        <w:rPr>
          <w:rFonts w:ascii="Arial" w:eastAsia="宋体" w:hAnsi="Arial" w:cs="Arial"/>
          <w:color w:val="000000"/>
          <w:sz w:val="13"/>
          <w:szCs w:val="13"/>
        </w:rPr>
        <w:t xml:space="preserve"> As of September 30, 2021 and December 31, 2020, the total amortized cost included $315 million and $464 million, respectively, of non-agency CMBS and $65 million and $90 million of non</w:t>
      </w:r>
      <w:r>
        <w:rPr>
          <w:rFonts w:ascii="Arial" w:eastAsia="宋体" w:hAnsi="Arial" w:cs="Arial"/>
          <w:color w:val="000000"/>
          <w:sz w:val="13"/>
          <w:szCs w:val="13"/>
        </w:rPr>
        <w:t xml:space="preserve">-agency RMBS, respectively. </w:t>
      </w:r>
    </w:p>
    <w:p w14:paraId="74DD8BCE" w14:textId="77777777" w:rsidR="00584EC1" w:rsidRDefault="00871F8D">
      <w:pPr>
        <w:spacing w:before="60"/>
        <w:jc w:val="both"/>
        <w:textAlignment w:val="top"/>
      </w:pPr>
      <w:r>
        <w:rPr>
          <w:rFonts w:ascii="Arial" w:eastAsia="宋体" w:hAnsi="Arial" w:cs="Arial"/>
          <w:color w:val="000000"/>
          <w:sz w:val="8"/>
          <w:szCs w:val="8"/>
        </w:rPr>
        <w:t>(8)</w:t>
      </w:r>
      <w:r>
        <w:rPr>
          <w:rFonts w:ascii="Arial" w:eastAsia="宋体" w:hAnsi="Arial" w:cs="Arial"/>
          <w:color w:val="000000"/>
          <w:sz w:val="13"/>
          <w:szCs w:val="13"/>
        </w:rPr>
        <w:t xml:space="preserve"> As of September 30, 2021, we recognized an allowance for credit losses of $2 million on HTM investment securities.</w:t>
      </w:r>
    </w:p>
    <w:p w14:paraId="74DD8BCF" w14:textId="77777777" w:rsidR="00584EC1" w:rsidRDefault="00871F8D">
      <w:pPr>
        <w:spacing w:before="60"/>
        <w:ind w:firstLine="450"/>
        <w:jc w:val="both"/>
        <w:textAlignment w:val="top"/>
      </w:pPr>
      <w:r>
        <w:rPr>
          <w:rFonts w:ascii="Arial" w:eastAsia="宋体" w:hAnsi="Arial" w:cs="Arial"/>
          <w:color w:val="000000"/>
          <w:sz w:val="20"/>
          <w:szCs w:val="20"/>
        </w:rPr>
        <w:t>Additional information about our investment securities portfolio is provided in Note 3 to the consolidated financial statements in this Form</w:t>
      </w:r>
      <w:r>
        <w:rPr>
          <w:rFonts w:ascii="Arial" w:eastAsia="宋体" w:hAnsi="Arial" w:cs="Arial"/>
          <w:color w:val="000000"/>
          <w:sz w:val="20"/>
          <w:szCs w:val="20"/>
        </w:rPr>
        <w:t xml:space="preserve"> 10-Q.</w:t>
      </w:r>
    </w:p>
    <w:p w14:paraId="74DD8BD0" w14:textId="77777777" w:rsidR="00584EC1" w:rsidRDefault="00871F8D">
      <w:pPr>
        <w:spacing w:before="60"/>
        <w:ind w:firstLine="450"/>
        <w:jc w:val="both"/>
        <w:textAlignment w:val="top"/>
      </w:pPr>
      <w:r>
        <w:rPr>
          <w:rFonts w:ascii="Arial" w:eastAsia="宋体" w:hAnsi="Arial" w:cs="Arial"/>
          <w:color w:val="000000"/>
          <w:sz w:val="20"/>
          <w:szCs w:val="20"/>
        </w:rPr>
        <w:t>We manage our investment securities portfolio to align with the interest rate and duration characteristics of our client liabilities and in the context of the overall structure of our consolidated statement of condition, in consideration of the glob</w:t>
      </w:r>
      <w:r>
        <w:rPr>
          <w:rFonts w:ascii="Arial" w:eastAsia="宋体" w:hAnsi="Arial" w:cs="Arial"/>
          <w:color w:val="000000"/>
          <w:sz w:val="20"/>
          <w:szCs w:val="20"/>
        </w:rPr>
        <w:t>al interest rate environment. We consider a well-diversified, high-credit quality investment securities portfolio to be an important element in the management of our consolidated statement of condition.</w:t>
      </w:r>
    </w:p>
    <w:p w14:paraId="74DD8BD1" w14:textId="77777777" w:rsidR="00584EC1" w:rsidRDefault="00871F8D">
      <w:pPr>
        <w:spacing w:before="60"/>
        <w:ind w:firstLine="450"/>
        <w:jc w:val="both"/>
        <w:textAlignment w:val="top"/>
      </w:pPr>
      <w:r>
        <w:rPr>
          <w:rFonts w:ascii="Arial" w:eastAsia="宋体" w:hAnsi="Arial" w:cs="Arial"/>
          <w:color w:val="000000"/>
          <w:sz w:val="20"/>
          <w:szCs w:val="20"/>
        </w:rPr>
        <w:t>Average duration of our investment securities portfol</w:t>
      </w:r>
      <w:r>
        <w:rPr>
          <w:rFonts w:ascii="Arial" w:eastAsia="宋体" w:hAnsi="Arial" w:cs="Arial"/>
          <w:color w:val="000000"/>
          <w:sz w:val="20"/>
          <w:szCs w:val="20"/>
        </w:rPr>
        <w:t>io was 3.1 years and 3.0 years as of September 30, 2021 and December 31, 2020, respectively. The increase in securities duration is driven by higher interest rates leading to slower MBS paydowns and the run-off of MMLF securities, partially offset by portf</w:t>
      </w:r>
      <w:r>
        <w:rPr>
          <w:rFonts w:ascii="Arial" w:eastAsia="宋体" w:hAnsi="Arial" w:cs="Arial"/>
          <w:color w:val="000000"/>
          <w:sz w:val="20"/>
          <w:szCs w:val="20"/>
        </w:rPr>
        <w:t>olio activity, including purchases, run-off and sales.</w:t>
      </w:r>
    </w:p>
    <w:p w14:paraId="74DD8BD2" w14:textId="77777777" w:rsidR="00584EC1" w:rsidRDefault="00871F8D">
      <w:pPr>
        <w:spacing w:before="60"/>
        <w:ind w:firstLine="450"/>
        <w:jc w:val="both"/>
        <w:textAlignment w:val="top"/>
      </w:pPr>
      <w:r>
        <w:rPr>
          <w:rFonts w:ascii="Arial" w:eastAsia="宋体" w:hAnsi="Arial" w:cs="Arial"/>
          <w:color w:val="000000"/>
          <w:sz w:val="20"/>
          <w:szCs w:val="20"/>
        </w:rPr>
        <w:t>Approximately 92% of the carrying value of the portfolio was rated “AAA” or “AA” as of both September 30, 2021 and December 31, 2020.</w:t>
      </w:r>
    </w:p>
    <w:tbl>
      <w:tblPr>
        <w:tblW w:w="5000" w:type="pct"/>
        <w:tblCellMar>
          <w:top w:w="15" w:type="dxa"/>
          <w:left w:w="15" w:type="dxa"/>
          <w:bottom w:w="15" w:type="dxa"/>
          <w:right w:w="15" w:type="dxa"/>
        </w:tblCellMar>
        <w:tblLook w:val="04A0" w:firstRow="1" w:lastRow="0" w:firstColumn="1" w:lastColumn="0" w:noHBand="0" w:noVBand="1"/>
      </w:tblPr>
      <w:tblGrid>
        <w:gridCol w:w="38"/>
        <w:gridCol w:w="2651"/>
        <w:gridCol w:w="38"/>
        <w:gridCol w:w="38"/>
        <w:gridCol w:w="2546"/>
        <w:gridCol w:w="155"/>
        <w:gridCol w:w="36"/>
        <w:gridCol w:w="59"/>
        <w:gridCol w:w="36"/>
        <w:gridCol w:w="37"/>
        <w:gridCol w:w="2547"/>
        <w:gridCol w:w="155"/>
      </w:tblGrid>
      <w:tr w:rsidR="00584EC1" w14:paraId="74DD8BDF" w14:textId="77777777">
        <w:tc>
          <w:tcPr>
            <w:tcW w:w="50" w:type="pct"/>
            <w:shd w:val="clear" w:color="auto" w:fill="auto"/>
            <w:vAlign w:val="bottom"/>
          </w:tcPr>
          <w:p w14:paraId="74DD8BD3" w14:textId="77777777" w:rsidR="00584EC1" w:rsidRDefault="00584EC1">
            <w:pPr>
              <w:rPr>
                <w:rFonts w:ascii="宋体"/>
              </w:rPr>
            </w:pPr>
          </w:p>
        </w:tc>
        <w:tc>
          <w:tcPr>
            <w:tcW w:w="1627" w:type="pct"/>
            <w:shd w:val="clear" w:color="auto" w:fill="auto"/>
            <w:vAlign w:val="bottom"/>
          </w:tcPr>
          <w:p w14:paraId="74DD8BD4" w14:textId="77777777" w:rsidR="00584EC1" w:rsidRDefault="00584EC1">
            <w:pPr>
              <w:rPr>
                <w:rFonts w:ascii="宋体"/>
              </w:rPr>
            </w:pPr>
          </w:p>
        </w:tc>
        <w:tc>
          <w:tcPr>
            <w:tcW w:w="5" w:type="pct"/>
            <w:shd w:val="clear" w:color="auto" w:fill="auto"/>
            <w:vAlign w:val="bottom"/>
          </w:tcPr>
          <w:p w14:paraId="74DD8BD5" w14:textId="77777777" w:rsidR="00584EC1" w:rsidRDefault="00584EC1">
            <w:pPr>
              <w:rPr>
                <w:rFonts w:ascii="宋体"/>
              </w:rPr>
            </w:pPr>
          </w:p>
        </w:tc>
        <w:tc>
          <w:tcPr>
            <w:tcW w:w="50" w:type="pct"/>
            <w:shd w:val="clear" w:color="auto" w:fill="auto"/>
            <w:vAlign w:val="bottom"/>
          </w:tcPr>
          <w:p w14:paraId="74DD8BD6" w14:textId="77777777" w:rsidR="00584EC1" w:rsidRDefault="00584EC1">
            <w:pPr>
              <w:rPr>
                <w:rFonts w:ascii="宋体"/>
              </w:rPr>
            </w:pPr>
          </w:p>
        </w:tc>
        <w:tc>
          <w:tcPr>
            <w:tcW w:w="1564" w:type="pct"/>
            <w:shd w:val="clear" w:color="auto" w:fill="auto"/>
            <w:vAlign w:val="bottom"/>
          </w:tcPr>
          <w:p w14:paraId="74DD8BD7" w14:textId="77777777" w:rsidR="00584EC1" w:rsidRDefault="00584EC1">
            <w:pPr>
              <w:rPr>
                <w:rFonts w:ascii="宋体"/>
              </w:rPr>
            </w:pPr>
          </w:p>
        </w:tc>
        <w:tc>
          <w:tcPr>
            <w:tcW w:w="5" w:type="pct"/>
            <w:shd w:val="clear" w:color="auto" w:fill="auto"/>
            <w:vAlign w:val="bottom"/>
          </w:tcPr>
          <w:p w14:paraId="74DD8BD8" w14:textId="77777777" w:rsidR="00584EC1" w:rsidRDefault="00584EC1">
            <w:pPr>
              <w:rPr>
                <w:rFonts w:ascii="宋体"/>
              </w:rPr>
            </w:pPr>
          </w:p>
        </w:tc>
        <w:tc>
          <w:tcPr>
            <w:tcW w:w="5" w:type="pct"/>
            <w:shd w:val="clear" w:color="auto" w:fill="auto"/>
            <w:vAlign w:val="bottom"/>
          </w:tcPr>
          <w:p w14:paraId="74DD8BD9" w14:textId="77777777" w:rsidR="00584EC1" w:rsidRDefault="00584EC1">
            <w:pPr>
              <w:rPr>
                <w:rFonts w:ascii="宋体"/>
              </w:rPr>
            </w:pPr>
          </w:p>
        </w:tc>
        <w:tc>
          <w:tcPr>
            <w:tcW w:w="68" w:type="pct"/>
            <w:shd w:val="clear" w:color="auto" w:fill="auto"/>
            <w:vAlign w:val="bottom"/>
          </w:tcPr>
          <w:p w14:paraId="74DD8BDA" w14:textId="77777777" w:rsidR="00584EC1" w:rsidRDefault="00584EC1">
            <w:pPr>
              <w:rPr>
                <w:rFonts w:ascii="宋体"/>
              </w:rPr>
            </w:pPr>
          </w:p>
        </w:tc>
        <w:tc>
          <w:tcPr>
            <w:tcW w:w="5" w:type="pct"/>
            <w:shd w:val="clear" w:color="auto" w:fill="auto"/>
            <w:vAlign w:val="bottom"/>
          </w:tcPr>
          <w:p w14:paraId="74DD8BDB" w14:textId="77777777" w:rsidR="00584EC1" w:rsidRDefault="00584EC1">
            <w:pPr>
              <w:rPr>
                <w:rFonts w:ascii="宋体"/>
              </w:rPr>
            </w:pPr>
          </w:p>
        </w:tc>
        <w:tc>
          <w:tcPr>
            <w:tcW w:w="50" w:type="pct"/>
            <w:shd w:val="clear" w:color="auto" w:fill="auto"/>
            <w:vAlign w:val="bottom"/>
          </w:tcPr>
          <w:p w14:paraId="74DD8BDC" w14:textId="77777777" w:rsidR="00584EC1" w:rsidRDefault="00584EC1">
            <w:pPr>
              <w:rPr>
                <w:rFonts w:ascii="宋体"/>
              </w:rPr>
            </w:pPr>
          </w:p>
        </w:tc>
        <w:tc>
          <w:tcPr>
            <w:tcW w:w="1564" w:type="pct"/>
            <w:shd w:val="clear" w:color="auto" w:fill="auto"/>
            <w:vAlign w:val="bottom"/>
          </w:tcPr>
          <w:p w14:paraId="74DD8BDD" w14:textId="77777777" w:rsidR="00584EC1" w:rsidRDefault="00584EC1">
            <w:pPr>
              <w:rPr>
                <w:rFonts w:ascii="宋体"/>
              </w:rPr>
            </w:pPr>
          </w:p>
        </w:tc>
        <w:tc>
          <w:tcPr>
            <w:tcW w:w="5" w:type="pct"/>
            <w:shd w:val="clear" w:color="auto" w:fill="auto"/>
            <w:vAlign w:val="bottom"/>
          </w:tcPr>
          <w:p w14:paraId="74DD8BDE" w14:textId="77777777" w:rsidR="00584EC1" w:rsidRDefault="00584EC1">
            <w:pPr>
              <w:rPr>
                <w:rFonts w:ascii="宋体"/>
              </w:rPr>
            </w:pPr>
          </w:p>
        </w:tc>
      </w:tr>
      <w:tr w:rsidR="00584EC1" w14:paraId="74DD8BE1" w14:textId="77777777">
        <w:tc>
          <w:tcPr>
            <w:tcW w:w="0" w:type="auto"/>
            <w:gridSpan w:val="12"/>
            <w:shd w:val="clear" w:color="auto" w:fill="auto"/>
            <w:tcMar>
              <w:top w:w="40" w:type="dxa"/>
              <w:left w:w="20" w:type="dxa"/>
              <w:bottom w:w="40" w:type="dxa"/>
              <w:right w:w="20" w:type="dxa"/>
            </w:tcMar>
            <w:vAlign w:val="bottom"/>
          </w:tcPr>
          <w:p w14:paraId="74DD8BE0" w14:textId="77777777" w:rsidR="00584EC1" w:rsidRDefault="00871F8D">
            <w:pPr>
              <w:textAlignment w:val="bottom"/>
            </w:pPr>
            <w:r>
              <w:rPr>
                <w:rFonts w:ascii="Arial" w:eastAsia="宋体" w:hAnsi="Arial" w:cs="Arial"/>
                <w:b/>
                <w:bCs/>
                <w:color w:val="000000"/>
                <w:sz w:val="16"/>
                <w:szCs w:val="16"/>
              </w:rPr>
              <w:t xml:space="preserve">TABLE 21: INVESTMENT PORTFOLIO BY EXTERNAL </w:t>
            </w:r>
            <w:r>
              <w:rPr>
                <w:rFonts w:ascii="Arial" w:eastAsia="宋体" w:hAnsi="Arial" w:cs="Arial"/>
                <w:b/>
                <w:bCs/>
                <w:color w:val="000000"/>
                <w:sz w:val="16"/>
                <w:szCs w:val="16"/>
              </w:rPr>
              <w:t>CREDIT RATING (EXCLUDING SECURITIES PURCHASED UNDER THE MMLF PROGRAM)</w:t>
            </w:r>
          </w:p>
        </w:tc>
      </w:tr>
      <w:tr w:rsidR="00584EC1" w14:paraId="74DD8BE6" w14:textId="77777777">
        <w:tc>
          <w:tcPr>
            <w:tcW w:w="0" w:type="auto"/>
            <w:gridSpan w:val="3"/>
            <w:shd w:val="clear" w:color="auto" w:fill="auto"/>
            <w:tcMar>
              <w:top w:w="0" w:type="dxa"/>
              <w:left w:w="20" w:type="dxa"/>
              <w:bottom w:w="0" w:type="dxa"/>
              <w:right w:w="20" w:type="dxa"/>
            </w:tcMar>
            <w:vAlign w:val="bottom"/>
          </w:tcPr>
          <w:p w14:paraId="74DD8BE2"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8BE3" w14:textId="77777777" w:rsidR="00584EC1" w:rsidRDefault="00871F8D">
            <w:pPr>
              <w:jc w:val="center"/>
              <w:textAlignment w:val="bottom"/>
            </w:pPr>
            <w:r>
              <w:rPr>
                <w:rFonts w:ascii="Arial" w:eastAsia="宋体" w:hAnsi="Arial" w:cs="Arial"/>
                <w:b/>
                <w:bCs/>
                <w:color w:val="000000"/>
                <w:sz w:val="15"/>
                <w:szCs w:val="15"/>
              </w:rPr>
              <w:t>September 30, 2021</w:t>
            </w:r>
          </w:p>
        </w:tc>
        <w:tc>
          <w:tcPr>
            <w:tcW w:w="0" w:type="auto"/>
            <w:gridSpan w:val="3"/>
            <w:shd w:val="clear" w:color="auto" w:fill="auto"/>
            <w:tcMar>
              <w:top w:w="0" w:type="dxa"/>
              <w:left w:w="20" w:type="dxa"/>
              <w:bottom w:w="0" w:type="dxa"/>
              <w:right w:w="20" w:type="dxa"/>
            </w:tcMar>
            <w:vAlign w:val="bottom"/>
          </w:tcPr>
          <w:p w14:paraId="74DD8BE4"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8BE5" w14:textId="77777777" w:rsidR="00584EC1" w:rsidRDefault="00871F8D">
            <w:pPr>
              <w:jc w:val="center"/>
              <w:textAlignment w:val="bottom"/>
            </w:pPr>
            <w:r>
              <w:rPr>
                <w:rFonts w:ascii="Arial" w:eastAsia="宋体" w:hAnsi="Arial" w:cs="Arial"/>
                <w:b/>
                <w:bCs/>
                <w:color w:val="000000"/>
                <w:sz w:val="15"/>
                <w:szCs w:val="15"/>
              </w:rPr>
              <w:t>December 31, 2020</w:t>
            </w:r>
          </w:p>
        </w:tc>
      </w:tr>
      <w:tr w:rsidR="00584EC1" w14:paraId="74DD8BED" w14:textId="77777777">
        <w:tc>
          <w:tcPr>
            <w:tcW w:w="0" w:type="auto"/>
            <w:gridSpan w:val="3"/>
            <w:shd w:val="clear" w:color="auto" w:fill="CCEEFF"/>
            <w:tcMar>
              <w:top w:w="40" w:type="dxa"/>
              <w:left w:w="20" w:type="dxa"/>
              <w:bottom w:w="40" w:type="dxa"/>
              <w:right w:w="20" w:type="dxa"/>
            </w:tcMar>
            <w:vAlign w:val="bottom"/>
          </w:tcPr>
          <w:p w14:paraId="74DD8BE7" w14:textId="77777777" w:rsidR="00584EC1" w:rsidRDefault="00871F8D">
            <w:pPr>
              <w:textAlignment w:val="bottom"/>
            </w:pPr>
            <w:r>
              <w:rPr>
                <w:rFonts w:ascii="Arial" w:eastAsia="宋体" w:hAnsi="Arial" w:cs="Arial"/>
                <w:color w:val="000000"/>
                <w:sz w:val="15"/>
                <w:szCs w:val="15"/>
              </w:rPr>
              <w:t>AAA</w:t>
            </w:r>
            <w:r>
              <w:rPr>
                <w:rFonts w:ascii="Arial" w:eastAsia="宋体" w:hAnsi="Arial" w:cs="Arial"/>
                <w:color w:val="000000"/>
                <w:sz w:val="9"/>
                <w:szCs w:val="9"/>
              </w:rPr>
              <w:t>(1)</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8BE8" w14:textId="77777777" w:rsidR="00584EC1" w:rsidRDefault="00871F8D">
            <w:pPr>
              <w:jc w:val="right"/>
              <w:textAlignment w:val="bottom"/>
            </w:pPr>
            <w:r>
              <w:rPr>
                <w:rFonts w:ascii="Arial" w:eastAsia="宋体" w:hAnsi="Arial" w:cs="Arial"/>
                <w:b/>
                <w:bCs/>
                <w:color w:val="000000"/>
                <w:sz w:val="15"/>
                <w:szCs w:val="15"/>
              </w:rPr>
              <w:t>79</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BE9" w14:textId="77777777" w:rsidR="00584EC1" w:rsidRDefault="00871F8D">
            <w:pPr>
              <w:jc w:val="right"/>
              <w:textAlignment w:val="bottom"/>
            </w:pPr>
            <w:r>
              <w:rPr>
                <w:rFonts w:ascii="Arial" w:eastAsia="宋体" w:hAnsi="Arial" w:cs="Arial"/>
                <w:b/>
                <w:bCs/>
                <w:color w:val="000000"/>
                <w:sz w:val="15"/>
                <w:szCs w:val="15"/>
              </w:rPr>
              <w:t>%</w:t>
            </w:r>
          </w:p>
        </w:tc>
        <w:tc>
          <w:tcPr>
            <w:tcW w:w="0" w:type="auto"/>
            <w:gridSpan w:val="3"/>
            <w:shd w:val="clear" w:color="auto" w:fill="CCEEFF"/>
            <w:tcMar>
              <w:top w:w="0" w:type="dxa"/>
              <w:left w:w="20" w:type="dxa"/>
              <w:bottom w:w="0" w:type="dxa"/>
              <w:right w:w="20" w:type="dxa"/>
            </w:tcMar>
            <w:vAlign w:val="bottom"/>
          </w:tcPr>
          <w:p w14:paraId="74DD8BEA"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8BEB" w14:textId="77777777" w:rsidR="00584EC1" w:rsidRDefault="00871F8D">
            <w:pPr>
              <w:jc w:val="right"/>
              <w:textAlignment w:val="bottom"/>
            </w:pPr>
            <w:r>
              <w:rPr>
                <w:rFonts w:ascii="Arial" w:eastAsia="宋体" w:hAnsi="Arial" w:cs="Arial"/>
                <w:color w:val="000000"/>
                <w:sz w:val="15"/>
                <w:szCs w:val="15"/>
              </w:rPr>
              <w:t>78 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BEC" w14:textId="77777777" w:rsidR="00584EC1" w:rsidRDefault="00871F8D">
            <w:pPr>
              <w:jc w:val="right"/>
              <w:textAlignment w:val="bottom"/>
            </w:pPr>
            <w:r>
              <w:rPr>
                <w:rFonts w:ascii="Arial" w:eastAsia="宋体" w:hAnsi="Arial" w:cs="Arial"/>
                <w:color w:val="000000"/>
                <w:sz w:val="15"/>
                <w:szCs w:val="15"/>
              </w:rPr>
              <w:t>%</w:t>
            </w:r>
          </w:p>
        </w:tc>
      </w:tr>
      <w:tr w:rsidR="00584EC1" w14:paraId="74DD8BF4" w14:textId="77777777">
        <w:tc>
          <w:tcPr>
            <w:tcW w:w="0" w:type="auto"/>
            <w:gridSpan w:val="3"/>
            <w:shd w:val="clear" w:color="auto" w:fill="FFFFFF"/>
            <w:tcMar>
              <w:top w:w="40" w:type="dxa"/>
              <w:left w:w="20" w:type="dxa"/>
              <w:bottom w:w="40" w:type="dxa"/>
              <w:right w:w="20" w:type="dxa"/>
            </w:tcMar>
            <w:vAlign w:val="bottom"/>
          </w:tcPr>
          <w:p w14:paraId="74DD8BEE" w14:textId="77777777" w:rsidR="00584EC1" w:rsidRDefault="00871F8D">
            <w:pPr>
              <w:textAlignment w:val="bottom"/>
            </w:pPr>
            <w:r>
              <w:rPr>
                <w:rFonts w:ascii="Arial" w:eastAsia="宋体" w:hAnsi="Arial" w:cs="Arial"/>
                <w:color w:val="000000"/>
                <w:sz w:val="15"/>
                <w:szCs w:val="15"/>
              </w:rPr>
              <w:t>AA</w:t>
            </w:r>
          </w:p>
        </w:tc>
        <w:tc>
          <w:tcPr>
            <w:tcW w:w="0" w:type="auto"/>
            <w:gridSpan w:val="2"/>
            <w:shd w:val="clear" w:color="auto" w:fill="FFFFFF"/>
            <w:tcMar>
              <w:top w:w="40" w:type="dxa"/>
              <w:left w:w="20" w:type="dxa"/>
              <w:bottom w:w="40" w:type="dxa"/>
              <w:right w:w="0" w:type="dxa"/>
            </w:tcMar>
            <w:vAlign w:val="bottom"/>
          </w:tcPr>
          <w:p w14:paraId="74DD8BEF" w14:textId="77777777" w:rsidR="00584EC1" w:rsidRDefault="00871F8D">
            <w:pPr>
              <w:jc w:val="right"/>
              <w:textAlignment w:val="bottom"/>
            </w:pPr>
            <w:r>
              <w:rPr>
                <w:rFonts w:ascii="Arial" w:eastAsia="宋体" w:hAnsi="Arial" w:cs="Arial"/>
                <w:b/>
                <w:bCs/>
                <w:color w:val="000000"/>
                <w:sz w:val="15"/>
                <w:szCs w:val="15"/>
              </w:rPr>
              <w:t>13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8BF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BF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BF2" w14:textId="77777777" w:rsidR="00584EC1" w:rsidRDefault="00871F8D">
            <w:pPr>
              <w:jc w:val="right"/>
              <w:textAlignment w:val="bottom"/>
            </w:pPr>
            <w:r>
              <w:rPr>
                <w:rFonts w:ascii="Arial" w:eastAsia="宋体" w:hAnsi="Arial" w:cs="Arial"/>
                <w:color w:val="000000"/>
                <w:sz w:val="15"/>
                <w:szCs w:val="15"/>
              </w:rPr>
              <w:t>14 </w:t>
            </w:r>
          </w:p>
        </w:tc>
        <w:tc>
          <w:tcPr>
            <w:tcW w:w="0" w:type="auto"/>
            <w:shd w:val="clear" w:color="auto" w:fill="FFFFFF"/>
            <w:tcMar>
              <w:top w:w="40" w:type="dxa"/>
              <w:left w:w="0" w:type="dxa"/>
              <w:bottom w:w="40" w:type="dxa"/>
              <w:right w:w="20" w:type="dxa"/>
            </w:tcMar>
            <w:vAlign w:val="bottom"/>
          </w:tcPr>
          <w:p w14:paraId="74DD8BF3" w14:textId="77777777" w:rsidR="00584EC1" w:rsidRDefault="00584EC1">
            <w:pPr>
              <w:jc w:val="right"/>
              <w:rPr>
                <w:rFonts w:ascii="宋体"/>
              </w:rPr>
            </w:pPr>
          </w:p>
        </w:tc>
      </w:tr>
      <w:tr w:rsidR="00584EC1" w14:paraId="74DD8BFB" w14:textId="77777777">
        <w:tc>
          <w:tcPr>
            <w:tcW w:w="0" w:type="auto"/>
            <w:gridSpan w:val="3"/>
            <w:shd w:val="clear" w:color="auto" w:fill="CCEEFF"/>
            <w:tcMar>
              <w:top w:w="40" w:type="dxa"/>
              <w:left w:w="20" w:type="dxa"/>
              <w:bottom w:w="40" w:type="dxa"/>
              <w:right w:w="20" w:type="dxa"/>
            </w:tcMar>
            <w:vAlign w:val="bottom"/>
          </w:tcPr>
          <w:p w14:paraId="74DD8BF5" w14:textId="77777777" w:rsidR="00584EC1" w:rsidRDefault="00871F8D">
            <w:pPr>
              <w:textAlignment w:val="bottom"/>
            </w:pPr>
            <w:r>
              <w:rPr>
                <w:rFonts w:ascii="Arial" w:eastAsia="宋体" w:hAnsi="Arial" w:cs="Arial"/>
                <w:color w:val="000000"/>
                <w:sz w:val="15"/>
                <w:szCs w:val="15"/>
              </w:rPr>
              <w:t>A</w:t>
            </w:r>
          </w:p>
        </w:tc>
        <w:tc>
          <w:tcPr>
            <w:tcW w:w="0" w:type="auto"/>
            <w:gridSpan w:val="2"/>
            <w:shd w:val="clear" w:color="auto" w:fill="CCEEFF"/>
            <w:tcMar>
              <w:top w:w="40" w:type="dxa"/>
              <w:left w:w="20" w:type="dxa"/>
              <w:bottom w:w="40" w:type="dxa"/>
              <w:right w:w="0" w:type="dxa"/>
            </w:tcMar>
            <w:vAlign w:val="bottom"/>
          </w:tcPr>
          <w:p w14:paraId="74DD8BF6" w14:textId="77777777" w:rsidR="00584EC1" w:rsidRDefault="00871F8D">
            <w:pPr>
              <w:jc w:val="right"/>
              <w:textAlignment w:val="bottom"/>
            </w:pPr>
            <w:r>
              <w:rPr>
                <w:rFonts w:ascii="Arial" w:eastAsia="宋体" w:hAnsi="Arial" w:cs="Arial"/>
                <w:b/>
                <w:bCs/>
                <w:color w:val="000000"/>
                <w:sz w:val="15"/>
                <w:szCs w:val="15"/>
              </w:rPr>
              <w:t>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8BF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BF8"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BF9" w14:textId="77777777" w:rsidR="00584EC1" w:rsidRDefault="00871F8D">
            <w:pPr>
              <w:jc w:val="right"/>
              <w:textAlignment w:val="bottom"/>
            </w:pPr>
            <w:r>
              <w:rPr>
                <w:rFonts w:ascii="Arial" w:eastAsia="宋体" w:hAnsi="Arial" w:cs="Arial"/>
                <w:color w:val="000000"/>
                <w:sz w:val="15"/>
                <w:szCs w:val="15"/>
              </w:rPr>
              <w:t>4 </w:t>
            </w:r>
          </w:p>
        </w:tc>
        <w:tc>
          <w:tcPr>
            <w:tcW w:w="0" w:type="auto"/>
            <w:shd w:val="clear" w:color="auto" w:fill="CCEEFF"/>
            <w:tcMar>
              <w:top w:w="40" w:type="dxa"/>
              <w:left w:w="0" w:type="dxa"/>
              <w:bottom w:w="40" w:type="dxa"/>
              <w:right w:w="20" w:type="dxa"/>
            </w:tcMar>
            <w:vAlign w:val="bottom"/>
          </w:tcPr>
          <w:p w14:paraId="74DD8BFA" w14:textId="77777777" w:rsidR="00584EC1" w:rsidRDefault="00584EC1">
            <w:pPr>
              <w:jc w:val="right"/>
              <w:rPr>
                <w:rFonts w:ascii="宋体"/>
              </w:rPr>
            </w:pPr>
          </w:p>
        </w:tc>
      </w:tr>
      <w:tr w:rsidR="00584EC1" w14:paraId="74DD8C02" w14:textId="77777777">
        <w:tc>
          <w:tcPr>
            <w:tcW w:w="0" w:type="auto"/>
            <w:gridSpan w:val="3"/>
            <w:shd w:val="clear" w:color="auto" w:fill="FFFFFF"/>
            <w:tcMar>
              <w:top w:w="40" w:type="dxa"/>
              <w:left w:w="20" w:type="dxa"/>
              <w:bottom w:w="40" w:type="dxa"/>
              <w:right w:w="20" w:type="dxa"/>
            </w:tcMar>
            <w:vAlign w:val="bottom"/>
          </w:tcPr>
          <w:p w14:paraId="74DD8BFC" w14:textId="77777777" w:rsidR="00584EC1" w:rsidRDefault="00871F8D">
            <w:pPr>
              <w:textAlignment w:val="bottom"/>
            </w:pPr>
            <w:r>
              <w:rPr>
                <w:rFonts w:ascii="Arial" w:eastAsia="宋体" w:hAnsi="Arial" w:cs="Arial"/>
                <w:color w:val="000000"/>
                <w:sz w:val="15"/>
                <w:szCs w:val="15"/>
              </w:rPr>
              <w:t>BBB</w:t>
            </w:r>
          </w:p>
        </w:tc>
        <w:tc>
          <w:tcPr>
            <w:tcW w:w="0" w:type="auto"/>
            <w:gridSpan w:val="2"/>
            <w:shd w:val="clear" w:color="auto" w:fill="FFFFFF"/>
            <w:tcMar>
              <w:top w:w="40" w:type="dxa"/>
              <w:left w:w="20" w:type="dxa"/>
              <w:bottom w:w="40" w:type="dxa"/>
              <w:right w:w="0" w:type="dxa"/>
            </w:tcMar>
            <w:vAlign w:val="bottom"/>
          </w:tcPr>
          <w:p w14:paraId="74DD8BFD" w14:textId="77777777" w:rsidR="00584EC1" w:rsidRDefault="00871F8D">
            <w:pPr>
              <w:jc w:val="right"/>
              <w:textAlignment w:val="bottom"/>
            </w:pPr>
            <w:r>
              <w:rPr>
                <w:rFonts w:ascii="Arial" w:eastAsia="宋体" w:hAnsi="Arial" w:cs="Arial"/>
                <w:b/>
                <w:bCs/>
                <w:color w:val="000000"/>
                <w:sz w:val="15"/>
                <w:szCs w:val="15"/>
              </w:rPr>
              <w:t>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8BF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BF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C00" w14:textId="77777777" w:rsidR="00584EC1" w:rsidRDefault="00871F8D">
            <w:pPr>
              <w:jc w:val="right"/>
              <w:textAlignment w:val="bottom"/>
            </w:pPr>
            <w:r>
              <w:rPr>
                <w:rFonts w:ascii="Arial" w:eastAsia="宋体" w:hAnsi="Arial" w:cs="Arial"/>
                <w:color w:val="000000"/>
                <w:sz w:val="15"/>
                <w:szCs w:val="15"/>
              </w:rPr>
              <w:t>4 </w:t>
            </w:r>
          </w:p>
        </w:tc>
        <w:tc>
          <w:tcPr>
            <w:tcW w:w="0" w:type="auto"/>
            <w:shd w:val="clear" w:color="auto" w:fill="FFFFFF"/>
            <w:tcMar>
              <w:top w:w="40" w:type="dxa"/>
              <w:left w:w="0" w:type="dxa"/>
              <w:bottom w:w="40" w:type="dxa"/>
              <w:right w:w="20" w:type="dxa"/>
            </w:tcMar>
            <w:vAlign w:val="bottom"/>
          </w:tcPr>
          <w:p w14:paraId="74DD8C01" w14:textId="77777777" w:rsidR="00584EC1" w:rsidRDefault="00584EC1">
            <w:pPr>
              <w:jc w:val="right"/>
              <w:rPr>
                <w:rFonts w:ascii="宋体"/>
              </w:rPr>
            </w:pPr>
          </w:p>
        </w:tc>
      </w:tr>
      <w:tr w:rsidR="00584EC1" w14:paraId="74DD8C07" w14:textId="77777777">
        <w:trPr>
          <w:hidden/>
        </w:trPr>
        <w:tc>
          <w:tcPr>
            <w:tcW w:w="0" w:type="auto"/>
            <w:gridSpan w:val="3"/>
            <w:shd w:val="clear" w:color="auto" w:fill="auto"/>
            <w:vAlign w:val="bottom"/>
          </w:tcPr>
          <w:p w14:paraId="74DD8C03" w14:textId="77777777" w:rsidR="00584EC1" w:rsidRDefault="00584EC1">
            <w:pPr>
              <w:rPr>
                <w:rFonts w:ascii="宋体"/>
                <w:vanish/>
              </w:rPr>
            </w:pPr>
          </w:p>
        </w:tc>
        <w:tc>
          <w:tcPr>
            <w:tcW w:w="0" w:type="auto"/>
            <w:gridSpan w:val="3"/>
            <w:shd w:val="clear" w:color="auto" w:fill="auto"/>
            <w:vAlign w:val="bottom"/>
          </w:tcPr>
          <w:p w14:paraId="74DD8C04" w14:textId="77777777" w:rsidR="00584EC1" w:rsidRDefault="00584EC1">
            <w:pPr>
              <w:rPr>
                <w:rFonts w:ascii="宋体"/>
                <w:vanish/>
              </w:rPr>
            </w:pPr>
          </w:p>
        </w:tc>
        <w:tc>
          <w:tcPr>
            <w:tcW w:w="0" w:type="auto"/>
            <w:gridSpan w:val="3"/>
            <w:shd w:val="clear" w:color="auto" w:fill="auto"/>
            <w:vAlign w:val="bottom"/>
          </w:tcPr>
          <w:p w14:paraId="74DD8C05" w14:textId="77777777" w:rsidR="00584EC1" w:rsidRDefault="00584EC1">
            <w:pPr>
              <w:rPr>
                <w:rFonts w:ascii="宋体"/>
                <w:vanish/>
              </w:rPr>
            </w:pPr>
          </w:p>
        </w:tc>
        <w:tc>
          <w:tcPr>
            <w:tcW w:w="0" w:type="auto"/>
            <w:gridSpan w:val="3"/>
            <w:shd w:val="clear" w:color="auto" w:fill="auto"/>
            <w:vAlign w:val="bottom"/>
          </w:tcPr>
          <w:p w14:paraId="74DD8C06" w14:textId="77777777" w:rsidR="00584EC1" w:rsidRDefault="00584EC1">
            <w:pPr>
              <w:rPr>
                <w:rFonts w:ascii="宋体"/>
                <w:vanish/>
              </w:rPr>
            </w:pPr>
          </w:p>
        </w:tc>
      </w:tr>
      <w:tr w:rsidR="00584EC1" w14:paraId="74DD8C0E" w14:textId="77777777">
        <w:tc>
          <w:tcPr>
            <w:tcW w:w="0" w:type="auto"/>
            <w:gridSpan w:val="3"/>
            <w:shd w:val="clear" w:color="auto" w:fill="CCEEFF"/>
            <w:tcMar>
              <w:top w:w="0" w:type="dxa"/>
              <w:left w:w="20" w:type="dxa"/>
              <w:bottom w:w="0" w:type="dxa"/>
              <w:right w:w="20" w:type="dxa"/>
            </w:tcMar>
            <w:vAlign w:val="bottom"/>
          </w:tcPr>
          <w:p w14:paraId="74DD8C08" w14:textId="77777777" w:rsidR="00584EC1" w:rsidRDefault="00584EC1">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8C09" w14:textId="77777777" w:rsidR="00584EC1" w:rsidRDefault="00871F8D">
            <w:pPr>
              <w:jc w:val="right"/>
              <w:textAlignment w:val="bottom"/>
            </w:pPr>
            <w:r>
              <w:rPr>
                <w:rFonts w:ascii="Arial" w:eastAsia="宋体" w:hAnsi="Arial" w:cs="Arial"/>
                <w:b/>
                <w:bCs/>
                <w:color w:val="000000"/>
                <w:sz w:val="15"/>
                <w:szCs w:val="15"/>
              </w:rPr>
              <w:t>100</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8C0A" w14:textId="77777777" w:rsidR="00584EC1" w:rsidRDefault="00871F8D">
            <w:pPr>
              <w:jc w:val="right"/>
              <w:textAlignment w:val="bottom"/>
            </w:pPr>
            <w:r>
              <w:rPr>
                <w:rFonts w:ascii="Arial" w:eastAsia="宋体" w:hAnsi="Arial" w:cs="Arial"/>
                <w:b/>
                <w:bCs/>
                <w:color w:val="000000"/>
                <w:sz w:val="15"/>
                <w:szCs w:val="15"/>
              </w:rPr>
              <w:t>%</w:t>
            </w:r>
          </w:p>
        </w:tc>
        <w:tc>
          <w:tcPr>
            <w:tcW w:w="0" w:type="auto"/>
            <w:gridSpan w:val="3"/>
            <w:shd w:val="clear" w:color="auto" w:fill="CCEEFF"/>
            <w:tcMar>
              <w:top w:w="0" w:type="dxa"/>
              <w:left w:w="20" w:type="dxa"/>
              <w:bottom w:w="0" w:type="dxa"/>
              <w:right w:w="20" w:type="dxa"/>
            </w:tcMar>
            <w:vAlign w:val="bottom"/>
          </w:tcPr>
          <w:p w14:paraId="74DD8C0B" w14:textId="77777777" w:rsidR="00584EC1" w:rsidRDefault="00584EC1">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8C0C" w14:textId="77777777" w:rsidR="00584EC1" w:rsidRDefault="00871F8D">
            <w:pPr>
              <w:jc w:val="right"/>
              <w:textAlignment w:val="bottom"/>
            </w:pPr>
            <w:r>
              <w:rPr>
                <w:rFonts w:ascii="Arial" w:eastAsia="宋体" w:hAnsi="Arial" w:cs="Arial"/>
                <w:color w:val="000000"/>
                <w:sz w:val="15"/>
                <w:szCs w:val="15"/>
              </w:rPr>
              <w:t>100 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8C0D" w14:textId="77777777" w:rsidR="00584EC1" w:rsidRDefault="00871F8D">
            <w:pPr>
              <w:jc w:val="right"/>
              <w:textAlignment w:val="bottom"/>
            </w:pPr>
            <w:r>
              <w:rPr>
                <w:rFonts w:ascii="Arial" w:eastAsia="宋体" w:hAnsi="Arial" w:cs="Arial"/>
                <w:color w:val="000000"/>
                <w:sz w:val="15"/>
                <w:szCs w:val="15"/>
              </w:rPr>
              <w:t>%</w:t>
            </w:r>
          </w:p>
        </w:tc>
      </w:tr>
    </w:tbl>
    <w:p w14:paraId="74DD8C0F" w14:textId="77777777" w:rsidR="00584EC1" w:rsidRDefault="00584EC1">
      <w:pPr>
        <w:rPr>
          <w:vanish/>
        </w:rPr>
      </w:pPr>
    </w:p>
    <w:tbl>
      <w:tblPr>
        <w:tblW w:w="4214" w:type="pct"/>
        <w:tblCellMar>
          <w:top w:w="15" w:type="dxa"/>
          <w:left w:w="15" w:type="dxa"/>
          <w:bottom w:w="15" w:type="dxa"/>
          <w:right w:w="15" w:type="dxa"/>
        </w:tblCellMar>
        <w:tblLook w:val="04A0" w:firstRow="1" w:lastRow="0" w:firstColumn="1" w:lastColumn="0" w:noHBand="0" w:noVBand="1"/>
      </w:tblPr>
      <w:tblGrid>
        <w:gridCol w:w="55"/>
        <w:gridCol w:w="3931"/>
        <w:gridCol w:w="36"/>
        <w:gridCol w:w="55"/>
        <w:gridCol w:w="218"/>
        <w:gridCol w:w="36"/>
        <w:gridCol w:w="56"/>
        <w:gridCol w:w="2531"/>
        <w:gridCol w:w="36"/>
        <w:gridCol w:w="36"/>
        <w:gridCol w:w="36"/>
      </w:tblGrid>
      <w:tr w:rsidR="00584EC1" w14:paraId="74DD8C1B" w14:textId="77777777">
        <w:tc>
          <w:tcPr>
            <w:tcW w:w="50" w:type="pct"/>
            <w:shd w:val="clear" w:color="auto" w:fill="auto"/>
            <w:vAlign w:val="bottom"/>
          </w:tcPr>
          <w:p w14:paraId="74DD8C10" w14:textId="77777777" w:rsidR="00584EC1" w:rsidRDefault="00584EC1">
            <w:pPr>
              <w:rPr>
                <w:rFonts w:ascii="宋体"/>
              </w:rPr>
            </w:pPr>
          </w:p>
        </w:tc>
        <w:tc>
          <w:tcPr>
            <w:tcW w:w="2836" w:type="pct"/>
            <w:shd w:val="clear" w:color="auto" w:fill="auto"/>
            <w:vAlign w:val="bottom"/>
          </w:tcPr>
          <w:p w14:paraId="74DD8C11" w14:textId="77777777" w:rsidR="00584EC1" w:rsidRDefault="00584EC1">
            <w:pPr>
              <w:rPr>
                <w:rFonts w:ascii="宋体"/>
              </w:rPr>
            </w:pPr>
          </w:p>
        </w:tc>
        <w:tc>
          <w:tcPr>
            <w:tcW w:w="5" w:type="pct"/>
            <w:shd w:val="clear" w:color="auto" w:fill="auto"/>
            <w:vAlign w:val="bottom"/>
          </w:tcPr>
          <w:p w14:paraId="74DD8C12" w14:textId="77777777" w:rsidR="00584EC1" w:rsidRDefault="00584EC1">
            <w:pPr>
              <w:rPr>
                <w:rFonts w:ascii="宋体"/>
              </w:rPr>
            </w:pPr>
          </w:p>
        </w:tc>
        <w:tc>
          <w:tcPr>
            <w:tcW w:w="50" w:type="pct"/>
            <w:shd w:val="clear" w:color="auto" w:fill="auto"/>
            <w:vAlign w:val="bottom"/>
          </w:tcPr>
          <w:p w14:paraId="74DD8C13" w14:textId="77777777" w:rsidR="00584EC1" w:rsidRDefault="00584EC1">
            <w:pPr>
              <w:rPr>
                <w:rFonts w:ascii="宋体"/>
              </w:rPr>
            </w:pPr>
          </w:p>
        </w:tc>
        <w:tc>
          <w:tcPr>
            <w:tcW w:w="168" w:type="pct"/>
            <w:shd w:val="clear" w:color="auto" w:fill="auto"/>
            <w:vAlign w:val="bottom"/>
          </w:tcPr>
          <w:p w14:paraId="74DD8C14" w14:textId="77777777" w:rsidR="00584EC1" w:rsidRDefault="00584EC1">
            <w:pPr>
              <w:rPr>
                <w:rFonts w:ascii="宋体"/>
              </w:rPr>
            </w:pPr>
          </w:p>
        </w:tc>
        <w:tc>
          <w:tcPr>
            <w:tcW w:w="5" w:type="pct"/>
            <w:shd w:val="clear" w:color="auto" w:fill="auto"/>
            <w:vAlign w:val="bottom"/>
          </w:tcPr>
          <w:p w14:paraId="74DD8C15" w14:textId="77777777" w:rsidR="00584EC1" w:rsidRDefault="00584EC1">
            <w:pPr>
              <w:rPr>
                <w:rFonts w:ascii="宋体"/>
              </w:rPr>
            </w:pPr>
          </w:p>
        </w:tc>
        <w:tc>
          <w:tcPr>
            <w:tcW w:w="50" w:type="pct"/>
            <w:shd w:val="clear" w:color="auto" w:fill="auto"/>
            <w:vAlign w:val="bottom"/>
          </w:tcPr>
          <w:p w14:paraId="74DD8C16" w14:textId="77777777" w:rsidR="00584EC1" w:rsidRDefault="00584EC1">
            <w:pPr>
              <w:rPr>
                <w:rFonts w:ascii="宋体"/>
              </w:rPr>
            </w:pPr>
          </w:p>
        </w:tc>
        <w:tc>
          <w:tcPr>
            <w:tcW w:w="1829" w:type="pct"/>
            <w:shd w:val="clear" w:color="auto" w:fill="auto"/>
            <w:vAlign w:val="bottom"/>
          </w:tcPr>
          <w:p w14:paraId="74DD8C17" w14:textId="77777777" w:rsidR="00584EC1" w:rsidRDefault="00584EC1">
            <w:pPr>
              <w:rPr>
                <w:rFonts w:ascii="宋体"/>
              </w:rPr>
            </w:pPr>
          </w:p>
        </w:tc>
        <w:tc>
          <w:tcPr>
            <w:tcW w:w="5" w:type="pct"/>
            <w:shd w:val="clear" w:color="auto" w:fill="auto"/>
            <w:vAlign w:val="bottom"/>
          </w:tcPr>
          <w:p w14:paraId="74DD8C18" w14:textId="77777777" w:rsidR="00584EC1" w:rsidRDefault="00584EC1">
            <w:pPr>
              <w:rPr>
                <w:rFonts w:ascii="宋体"/>
              </w:rPr>
            </w:pPr>
          </w:p>
        </w:tc>
        <w:tc>
          <w:tcPr>
            <w:tcW w:w="0" w:type="auto"/>
            <w:shd w:val="clear" w:color="auto" w:fill="auto"/>
            <w:vAlign w:val="bottom"/>
          </w:tcPr>
          <w:p w14:paraId="74DD8C19" w14:textId="77777777" w:rsidR="00584EC1" w:rsidRDefault="00584EC1">
            <w:pPr>
              <w:rPr>
                <w:rFonts w:ascii="宋体"/>
                <w:vanish/>
              </w:rPr>
            </w:pPr>
          </w:p>
        </w:tc>
        <w:tc>
          <w:tcPr>
            <w:tcW w:w="0" w:type="auto"/>
            <w:shd w:val="clear" w:color="auto" w:fill="auto"/>
            <w:vAlign w:val="bottom"/>
          </w:tcPr>
          <w:p w14:paraId="74DD8C1A" w14:textId="77777777" w:rsidR="00584EC1" w:rsidRDefault="00584EC1">
            <w:pPr>
              <w:rPr>
                <w:rFonts w:ascii="宋体"/>
                <w:vanish/>
              </w:rPr>
            </w:pPr>
          </w:p>
        </w:tc>
      </w:tr>
      <w:tr w:rsidR="00584EC1" w14:paraId="74DD8C21"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4DD8C1C"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8C1D"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8C1E" w14:textId="77777777" w:rsidR="00584EC1" w:rsidRDefault="00584EC1">
            <w:pPr>
              <w:rPr>
                <w:rFonts w:ascii="宋体"/>
              </w:rPr>
            </w:pPr>
          </w:p>
        </w:tc>
        <w:tc>
          <w:tcPr>
            <w:tcW w:w="0" w:type="auto"/>
            <w:shd w:val="clear" w:color="auto" w:fill="auto"/>
            <w:vAlign w:val="bottom"/>
          </w:tcPr>
          <w:p w14:paraId="74DD8C1F" w14:textId="77777777" w:rsidR="00584EC1" w:rsidRDefault="00584EC1">
            <w:pPr>
              <w:rPr>
                <w:rFonts w:ascii="宋体"/>
                <w:vanish/>
              </w:rPr>
            </w:pPr>
          </w:p>
        </w:tc>
        <w:tc>
          <w:tcPr>
            <w:tcW w:w="0" w:type="auto"/>
            <w:shd w:val="clear" w:color="auto" w:fill="auto"/>
            <w:vAlign w:val="bottom"/>
          </w:tcPr>
          <w:p w14:paraId="74DD8C20" w14:textId="77777777" w:rsidR="00584EC1" w:rsidRDefault="00584EC1">
            <w:pPr>
              <w:rPr>
                <w:rFonts w:ascii="宋体"/>
                <w:vanish/>
              </w:rPr>
            </w:pPr>
          </w:p>
        </w:tc>
      </w:tr>
    </w:tbl>
    <w:p w14:paraId="74DD8C22" w14:textId="77777777" w:rsidR="00584EC1" w:rsidRDefault="00871F8D">
      <w:pPr>
        <w:jc w:val="both"/>
        <w:textAlignment w:val="top"/>
      </w:pPr>
      <w:r>
        <w:rPr>
          <w:rFonts w:ascii="Arial" w:eastAsia="宋体" w:hAnsi="Arial" w:cs="Arial"/>
          <w:color w:val="000000"/>
          <w:sz w:val="9"/>
          <w:szCs w:val="9"/>
        </w:rPr>
        <w:t xml:space="preserve">(1) </w:t>
      </w:r>
      <w:r>
        <w:rPr>
          <w:rFonts w:ascii="Arial" w:eastAsia="宋体" w:hAnsi="Arial" w:cs="Arial"/>
          <w:color w:val="000000"/>
          <w:sz w:val="14"/>
          <w:szCs w:val="14"/>
        </w:rPr>
        <w:t xml:space="preserve">Includes U.S. Treasury and </w:t>
      </w:r>
      <w:r>
        <w:rPr>
          <w:rFonts w:ascii="Arial" w:eastAsia="宋体" w:hAnsi="Arial" w:cs="Arial"/>
          <w:color w:val="000000"/>
          <w:sz w:val="14"/>
          <w:szCs w:val="14"/>
        </w:rPr>
        <w:t>federal agency securities that are split-rated, “AAA” by Moody’s Investors Service and “AA+” by Standard &amp; Poor’s and also includes Agency MBS securities which are not explicitly rated but which have an explicit or assumed guarantee from the U.S. governmen</w:t>
      </w:r>
      <w:r>
        <w:rPr>
          <w:rFonts w:ascii="Arial" w:eastAsia="宋体" w:hAnsi="Arial" w:cs="Arial"/>
          <w:color w:val="000000"/>
          <w:sz w:val="14"/>
          <w:szCs w:val="14"/>
        </w:rPr>
        <w:t>t.</w:t>
      </w:r>
    </w:p>
    <w:p w14:paraId="74DD8C23" w14:textId="77777777" w:rsidR="00584EC1" w:rsidRDefault="00871F8D">
      <w:pPr>
        <w:spacing w:before="60"/>
        <w:ind w:firstLine="450"/>
        <w:jc w:val="both"/>
        <w:textAlignment w:val="top"/>
      </w:pPr>
      <w:r>
        <w:rPr>
          <w:rFonts w:ascii="Arial" w:eastAsia="宋体" w:hAnsi="Arial" w:cs="Arial"/>
          <w:color w:val="000000"/>
          <w:sz w:val="20"/>
          <w:szCs w:val="20"/>
        </w:rPr>
        <w:t>As of September 30, 2021 and December 31, 2020, the investment portfolio was diversified with respect to asset class composition. The following table presents the composition of these asset classes.</w:t>
      </w:r>
    </w:p>
    <w:tbl>
      <w:tblPr>
        <w:tblW w:w="5000" w:type="pct"/>
        <w:tblCellMar>
          <w:top w:w="15" w:type="dxa"/>
          <w:left w:w="15" w:type="dxa"/>
          <w:bottom w:w="15" w:type="dxa"/>
          <w:right w:w="15" w:type="dxa"/>
        </w:tblCellMar>
        <w:tblLook w:val="04A0" w:firstRow="1" w:lastRow="0" w:firstColumn="1" w:lastColumn="0" w:noHBand="0" w:noVBand="1"/>
      </w:tblPr>
      <w:tblGrid>
        <w:gridCol w:w="38"/>
        <w:gridCol w:w="2651"/>
        <w:gridCol w:w="37"/>
        <w:gridCol w:w="38"/>
        <w:gridCol w:w="2546"/>
        <w:gridCol w:w="155"/>
        <w:gridCol w:w="36"/>
        <w:gridCol w:w="59"/>
        <w:gridCol w:w="36"/>
        <w:gridCol w:w="37"/>
        <w:gridCol w:w="2548"/>
        <w:gridCol w:w="155"/>
      </w:tblGrid>
      <w:tr w:rsidR="00584EC1" w14:paraId="74DD8C30" w14:textId="77777777">
        <w:tc>
          <w:tcPr>
            <w:tcW w:w="50" w:type="pct"/>
            <w:shd w:val="clear" w:color="auto" w:fill="auto"/>
            <w:vAlign w:val="bottom"/>
          </w:tcPr>
          <w:p w14:paraId="74DD8C24" w14:textId="77777777" w:rsidR="00584EC1" w:rsidRDefault="00584EC1">
            <w:pPr>
              <w:rPr>
                <w:rFonts w:ascii="宋体"/>
              </w:rPr>
            </w:pPr>
          </w:p>
        </w:tc>
        <w:tc>
          <w:tcPr>
            <w:tcW w:w="1627" w:type="pct"/>
            <w:shd w:val="clear" w:color="auto" w:fill="auto"/>
            <w:vAlign w:val="bottom"/>
          </w:tcPr>
          <w:p w14:paraId="74DD8C25" w14:textId="77777777" w:rsidR="00584EC1" w:rsidRDefault="00584EC1">
            <w:pPr>
              <w:rPr>
                <w:rFonts w:ascii="宋体"/>
              </w:rPr>
            </w:pPr>
          </w:p>
        </w:tc>
        <w:tc>
          <w:tcPr>
            <w:tcW w:w="5" w:type="pct"/>
            <w:shd w:val="clear" w:color="auto" w:fill="auto"/>
            <w:vAlign w:val="bottom"/>
          </w:tcPr>
          <w:p w14:paraId="74DD8C26" w14:textId="77777777" w:rsidR="00584EC1" w:rsidRDefault="00584EC1">
            <w:pPr>
              <w:rPr>
                <w:rFonts w:ascii="宋体"/>
              </w:rPr>
            </w:pPr>
          </w:p>
        </w:tc>
        <w:tc>
          <w:tcPr>
            <w:tcW w:w="50" w:type="pct"/>
            <w:shd w:val="clear" w:color="auto" w:fill="auto"/>
            <w:vAlign w:val="bottom"/>
          </w:tcPr>
          <w:p w14:paraId="74DD8C27" w14:textId="77777777" w:rsidR="00584EC1" w:rsidRDefault="00584EC1">
            <w:pPr>
              <w:rPr>
                <w:rFonts w:ascii="宋体"/>
              </w:rPr>
            </w:pPr>
          </w:p>
        </w:tc>
        <w:tc>
          <w:tcPr>
            <w:tcW w:w="1564" w:type="pct"/>
            <w:shd w:val="clear" w:color="auto" w:fill="auto"/>
            <w:vAlign w:val="bottom"/>
          </w:tcPr>
          <w:p w14:paraId="74DD8C28" w14:textId="77777777" w:rsidR="00584EC1" w:rsidRDefault="00584EC1">
            <w:pPr>
              <w:rPr>
                <w:rFonts w:ascii="宋体"/>
              </w:rPr>
            </w:pPr>
          </w:p>
        </w:tc>
        <w:tc>
          <w:tcPr>
            <w:tcW w:w="5" w:type="pct"/>
            <w:shd w:val="clear" w:color="auto" w:fill="auto"/>
            <w:vAlign w:val="bottom"/>
          </w:tcPr>
          <w:p w14:paraId="74DD8C29" w14:textId="77777777" w:rsidR="00584EC1" w:rsidRDefault="00584EC1">
            <w:pPr>
              <w:rPr>
                <w:rFonts w:ascii="宋体"/>
              </w:rPr>
            </w:pPr>
          </w:p>
        </w:tc>
        <w:tc>
          <w:tcPr>
            <w:tcW w:w="5" w:type="pct"/>
            <w:shd w:val="clear" w:color="auto" w:fill="auto"/>
            <w:vAlign w:val="bottom"/>
          </w:tcPr>
          <w:p w14:paraId="74DD8C2A" w14:textId="77777777" w:rsidR="00584EC1" w:rsidRDefault="00584EC1">
            <w:pPr>
              <w:rPr>
                <w:rFonts w:ascii="宋体"/>
              </w:rPr>
            </w:pPr>
          </w:p>
        </w:tc>
        <w:tc>
          <w:tcPr>
            <w:tcW w:w="68" w:type="pct"/>
            <w:shd w:val="clear" w:color="auto" w:fill="auto"/>
            <w:vAlign w:val="bottom"/>
          </w:tcPr>
          <w:p w14:paraId="74DD8C2B" w14:textId="77777777" w:rsidR="00584EC1" w:rsidRDefault="00584EC1">
            <w:pPr>
              <w:rPr>
                <w:rFonts w:ascii="宋体"/>
              </w:rPr>
            </w:pPr>
          </w:p>
        </w:tc>
        <w:tc>
          <w:tcPr>
            <w:tcW w:w="5" w:type="pct"/>
            <w:shd w:val="clear" w:color="auto" w:fill="auto"/>
            <w:vAlign w:val="bottom"/>
          </w:tcPr>
          <w:p w14:paraId="74DD8C2C" w14:textId="77777777" w:rsidR="00584EC1" w:rsidRDefault="00584EC1">
            <w:pPr>
              <w:rPr>
                <w:rFonts w:ascii="宋体"/>
              </w:rPr>
            </w:pPr>
          </w:p>
        </w:tc>
        <w:tc>
          <w:tcPr>
            <w:tcW w:w="50" w:type="pct"/>
            <w:shd w:val="clear" w:color="auto" w:fill="auto"/>
            <w:vAlign w:val="bottom"/>
          </w:tcPr>
          <w:p w14:paraId="74DD8C2D" w14:textId="77777777" w:rsidR="00584EC1" w:rsidRDefault="00584EC1">
            <w:pPr>
              <w:rPr>
                <w:rFonts w:ascii="宋体"/>
              </w:rPr>
            </w:pPr>
          </w:p>
        </w:tc>
        <w:tc>
          <w:tcPr>
            <w:tcW w:w="1564" w:type="pct"/>
            <w:shd w:val="clear" w:color="auto" w:fill="auto"/>
            <w:vAlign w:val="bottom"/>
          </w:tcPr>
          <w:p w14:paraId="74DD8C2E" w14:textId="77777777" w:rsidR="00584EC1" w:rsidRDefault="00584EC1">
            <w:pPr>
              <w:rPr>
                <w:rFonts w:ascii="宋体"/>
              </w:rPr>
            </w:pPr>
          </w:p>
        </w:tc>
        <w:tc>
          <w:tcPr>
            <w:tcW w:w="5" w:type="pct"/>
            <w:shd w:val="clear" w:color="auto" w:fill="auto"/>
            <w:vAlign w:val="bottom"/>
          </w:tcPr>
          <w:p w14:paraId="74DD8C2F" w14:textId="77777777" w:rsidR="00584EC1" w:rsidRDefault="00584EC1">
            <w:pPr>
              <w:rPr>
                <w:rFonts w:ascii="宋体"/>
              </w:rPr>
            </w:pPr>
          </w:p>
        </w:tc>
      </w:tr>
      <w:tr w:rsidR="00584EC1" w14:paraId="74DD8C32" w14:textId="77777777">
        <w:tc>
          <w:tcPr>
            <w:tcW w:w="0" w:type="auto"/>
            <w:gridSpan w:val="12"/>
            <w:shd w:val="clear" w:color="auto" w:fill="auto"/>
            <w:tcMar>
              <w:top w:w="40" w:type="dxa"/>
              <w:left w:w="20" w:type="dxa"/>
              <w:bottom w:w="40" w:type="dxa"/>
              <w:right w:w="20" w:type="dxa"/>
            </w:tcMar>
            <w:vAlign w:val="bottom"/>
          </w:tcPr>
          <w:p w14:paraId="74DD8C31" w14:textId="77777777" w:rsidR="00584EC1" w:rsidRDefault="00871F8D">
            <w:pPr>
              <w:textAlignment w:val="bottom"/>
            </w:pPr>
            <w:r>
              <w:rPr>
                <w:rFonts w:ascii="Arial" w:eastAsia="宋体" w:hAnsi="Arial" w:cs="Arial"/>
                <w:b/>
                <w:bCs/>
                <w:color w:val="000000"/>
                <w:sz w:val="16"/>
                <w:szCs w:val="16"/>
              </w:rPr>
              <w:t xml:space="preserve">TABLE 22: INVESTMENT PORTFOLIO BY </w:t>
            </w:r>
            <w:r>
              <w:rPr>
                <w:rFonts w:ascii="Arial" w:eastAsia="宋体" w:hAnsi="Arial" w:cs="Arial"/>
                <w:b/>
                <w:bCs/>
                <w:color w:val="000000"/>
                <w:sz w:val="16"/>
                <w:szCs w:val="16"/>
              </w:rPr>
              <w:t>ASSET CLASS</w:t>
            </w:r>
          </w:p>
        </w:tc>
      </w:tr>
      <w:tr w:rsidR="00584EC1" w14:paraId="74DD8C37" w14:textId="77777777">
        <w:tc>
          <w:tcPr>
            <w:tcW w:w="0" w:type="auto"/>
            <w:gridSpan w:val="3"/>
            <w:shd w:val="clear" w:color="auto" w:fill="auto"/>
            <w:tcMar>
              <w:top w:w="0" w:type="dxa"/>
              <w:left w:w="20" w:type="dxa"/>
              <w:bottom w:w="0" w:type="dxa"/>
              <w:right w:w="20" w:type="dxa"/>
            </w:tcMar>
            <w:vAlign w:val="bottom"/>
          </w:tcPr>
          <w:p w14:paraId="74DD8C33"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8C34" w14:textId="77777777" w:rsidR="00584EC1" w:rsidRDefault="00871F8D">
            <w:pPr>
              <w:jc w:val="center"/>
              <w:textAlignment w:val="bottom"/>
            </w:pPr>
            <w:r>
              <w:rPr>
                <w:rFonts w:ascii="Arial" w:eastAsia="宋体" w:hAnsi="Arial" w:cs="Arial"/>
                <w:b/>
                <w:bCs/>
                <w:color w:val="000000"/>
                <w:sz w:val="15"/>
                <w:szCs w:val="15"/>
              </w:rPr>
              <w:t>September 30, 2021</w:t>
            </w:r>
          </w:p>
        </w:tc>
        <w:tc>
          <w:tcPr>
            <w:tcW w:w="0" w:type="auto"/>
            <w:gridSpan w:val="3"/>
            <w:shd w:val="clear" w:color="auto" w:fill="auto"/>
            <w:tcMar>
              <w:top w:w="0" w:type="dxa"/>
              <w:left w:w="20" w:type="dxa"/>
              <w:bottom w:w="0" w:type="dxa"/>
              <w:right w:w="20" w:type="dxa"/>
            </w:tcMar>
            <w:vAlign w:val="bottom"/>
          </w:tcPr>
          <w:p w14:paraId="74DD8C35"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8C36" w14:textId="77777777" w:rsidR="00584EC1" w:rsidRDefault="00871F8D">
            <w:pPr>
              <w:jc w:val="center"/>
              <w:textAlignment w:val="bottom"/>
            </w:pPr>
            <w:r>
              <w:rPr>
                <w:rFonts w:ascii="Arial" w:eastAsia="宋体" w:hAnsi="Arial" w:cs="Arial"/>
                <w:b/>
                <w:bCs/>
                <w:color w:val="000000"/>
                <w:sz w:val="15"/>
                <w:szCs w:val="15"/>
              </w:rPr>
              <w:t>December 31, 2020</w:t>
            </w:r>
          </w:p>
        </w:tc>
      </w:tr>
      <w:tr w:rsidR="00584EC1" w14:paraId="74DD8C3E" w14:textId="77777777">
        <w:tc>
          <w:tcPr>
            <w:tcW w:w="0" w:type="auto"/>
            <w:gridSpan w:val="3"/>
            <w:shd w:val="clear" w:color="auto" w:fill="CCEEFF"/>
            <w:tcMar>
              <w:top w:w="40" w:type="dxa"/>
              <w:left w:w="20" w:type="dxa"/>
              <w:bottom w:w="40" w:type="dxa"/>
              <w:right w:w="20" w:type="dxa"/>
            </w:tcMar>
            <w:vAlign w:val="center"/>
          </w:tcPr>
          <w:p w14:paraId="74DD8C38" w14:textId="77777777" w:rsidR="00584EC1" w:rsidRDefault="00871F8D">
            <w:pPr>
              <w:textAlignment w:val="center"/>
            </w:pPr>
            <w:r>
              <w:rPr>
                <w:rFonts w:ascii="Arial" w:eastAsia="宋体" w:hAnsi="Arial" w:cs="Arial"/>
                <w:color w:val="000000"/>
                <w:sz w:val="15"/>
                <w:szCs w:val="15"/>
              </w:rPr>
              <w:t xml:space="preserve">U.S. Agency </w:t>
            </w:r>
            <w:r>
              <w:rPr>
                <w:rFonts w:ascii="Arial" w:eastAsia="宋体" w:hAnsi="Arial" w:cs="Arial"/>
                <w:color w:val="000000"/>
                <w:sz w:val="15"/>
                <w:szCs w:val="15"/>
              </w:rPr>
              <w:br/>
              <w:t>Mortgage-backed securities</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4DD8C39" w14:textId="77777777" w:rsidR="00584EC1" w:rsidRDefault="00871F8D">
            <w:pPr>
              <w:jc w:val="right"/>
              <w:textAlignment w:val="center"/>
            </w:pPr>
            <w:r>
              <w:rPr>
                <w:rFonts w:ascii="Arial" w:eastAsia="宋体" w:hAnsi="Arial" w:cs="Arial"/>
                <w:b/>
                <w:bCs/>
                <w:color w:val="000000"/>
                <w:sz w:val="15"/>
                <w:szCs w:val="15"/>
              </w:rPr>
              <w:t>34</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74DD8C3A" w14:textId="77777777" w:rsidR="00584EC1" w:rsidRDefault="00871F8D">
            <w:pPr>
              <w:jc w:val="right"/>
              <w:textAlignment w:val="center"/>
            </w:pPr>
            <w:r>
              <w:rPr>
                <w:rFonts w:ascii="Arial" w:eastAsia="宋体" w:hAnsi="Arial" w:cs="Arial"/>
                <w:b/>
                <w:bCs/>
                <w:color w:val="000000"/>
                <w:sz w:val="15"/>
                <w:szCs w:val="15"/>
              </w:rPr>
              <w:t>%</w:t>
            </w:r>
          </w:p>
        </w:tc>
        <w:tc>
          <w:tcPr>
            <w:tcW w:w="0" w:type="auto"/>
            <w:gridSpan w:val="3"/>
            <w:shd w:val="clear" w:color="auto" w:fill="CCEEFF"/>
            <w:tcMar>
              <w:top w:w="0" w:type="dxa"/>
              <w:left w:w="20" w:type="dxa"/>
              <w:bottom w:w="0" w:type="dxa"/>
              <w:right w:w="20" w:type="dxa"/>
            </w:tcMar>
            <w:vAlign w:val="bottom"/>
          </w:tcPr>
          <w:p w14:paraId="74DD8C3B"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4DD8C3C" w14:textId="77777777" w:rsidR="00584EC1" w:rsidRDefault="00871F8D">
            <w:pPr>
              <w:jc w:val="right"/>
              <w:textAlignment w:val="center"/>
            </w:pPr>
            <w:r>
              <w:rPr>
                <w:rFonts w:ascii="Arial" w:eastAsia="宋体" w:hAnsi="Arial" w:cs="Arial"/>
                <w:color w:val="000000"/>
                <w:sz w:val="15"/>
                <w:szCs w:val="15"/>
              </w:rPr>
              <w:t>39 </w:t>
            </w:r>
          </w:p>
        </w:tc>
        <w:tc>
          <w:tcPr>
            <w:tcW w:w="0" w:type="auto"/>
            <w:tcBorders>
              <w:top w:val="single" w:sz="8" w:space="0" w:color="000000"/>
            </w:tcBorders>
            <w:shd w:val="clear" w:color="auto" w:fill="CCEEFF"/>
            <w:tcMar>
              <w:top w:w="40" w:type="dxa"/>
              <w:left w:w="0" w:type="dxa"/>
              <w:bottom w:w="40" w:type="dxa"/>
              <w:right w:w="20" w:type="dxa"/>
            </w:tcMar>
            <w:vAlign w:val="center"/>
          </w:tcPr>
          <w:p w14:paraId="74DD8C3D" w14:textId="77777777" w:rsidR="00584EC1" w:rsidRDefault="00871F8D">
            <w:pPr>
              <w:jc w:val="right"/>
              <w:textAlignment w:val="center"/>
            </w:pPr>
            <w:r>
              <w:rPr>
                <w:rFonts w:ascii="Arial" w:eastAsia="宋体" w:hAnsi="Arial" w:cs="Arial"/>
                <w:color w:val="000000"/>
                <w:sz w:val="15"/>
                <w:szCs w:val="15"/>
              </w:rPr>
              <w:t>%</w:t>
            </w:r>
          </w:p>
        </w:tc>
      </w:tr>
      <w:tr w:rsidR="00584EC1" w14:paraId="74DD8C45" w14:textId="77777777">
        <w:tc>
          <w:tcPr>
            <w:tcW w:w="0" w:type="auto"/>
            <w:gridSpan w:val="3"/>
            <w:shd w:val="clear" w:color="auto" w:fill="FFFFFF"/>
            <w:tcMar>
              <w:top w:w="40" w:type="dxa"/>
              <w:left w:w="20" w:type="dxa"/>
              <w:bottom w:w="40" w:type="dxa"/>
              <w:right w:w="20" w:type="dxa"/>
            </w:tcMar>
            <w:vAlign w:val="center"/>
          </w:tcPr>
          <w:p w14:paraId="74DD8C3F" w14:textId="77777777" w:rsidR="00584EC1" w:rsidRDefault="00871F8D">
            <w:pPr>
              <w:textAlignment w:val="center"/>
            </w:pPr>
            <w:r>
              <w:rPr>
                <w:rFonts w:ascii="Arial" w:eastAsia="宋体" w:hAnsi="Arial" w:cs="Arial"/>
                <w:color w:val="000000"/>
                <w:sz w:val="15"/>
                <w:szCs w:val="15"/>
              </w:rPr>
              <w:t>Foreign sovereign</w:t>
            </w:r>
          </w:p>
        </w:tc>
        <w:tc>
          <w:tcPr>
            <w:tcW w:w="0" w:type="auto"/>
            <w:gridSpan w:val="2"/>
            <w:shd w:val="clear" w:color="auto" w:fill="FFFFFF"/>
            <w:tcMar>
              <w:top w:w="40" w:type="dxa"/>
              <w:left w:w="20" w:type="dxa"/>
              <w:bottom w:w="40" w:type="dxa"/>
              <w:right w:w="0" w:type="dxa"/>
            </w:tcMar>
            <w:vAlign w:val="center"/>
          </w:tcPr>
          <w:p w14:paraId="74DD8C40" w14:textId="77777777" w:rsidR="00584EC1" w:rsidRDefault="00871F8D">
            <w:pPr>
              <w:jc w:val="right"/>
              <w:textAlignment w:val="center"/>
            </w:pPr>
            <w:r>
              <w:rPr>
                <w:rFonts w:ascii="Arial" w:eastAsia="宋体" w:hAnsi="Arial" w:cs="Arial"/>
                <w:b/>
                <w:bCs/>
                <w:color w:val="000000"/>
                <w:sz w:val="15"/>
                <w:szCs w:val="15"/>
              </w:rPr>
              <w:t>21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74DD8C4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C4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center"/>
          </w:tcPr>
          <w:p w14:paraId="74DD8C43" w14:textId="77777777" w:rsidR="00584EC1" w:rsidRDefault="00871F8D">
            <w:pPr>
              <w:jc w:val="right"/>
              <w:textAlignment w:val="center"/>
            </w:pPr>
            <w:r>
              <w:rPr>
                <w:rFonts w:ascii="Arial" w:eastAsia="宋体" w:hAnsi="Arial" w:cs="Arial"/>
                <w:color w:val="000000"/>
                <w:sz w:val="15"/>
                <w:szCs w:val="15"/>
              </w:rPr>
              <w:t>20 </w:t>
            </w:r>
          </w:p>
        </w:tc>
        <w:tc>
          <w:tcPr>
            <w:tcW w:w="0" w:type="auto"/>
            <w:shd w:val="clear" w:color="auto" w:fill="FFFFFF"/>
            <w:tcMar>
              <w:top w:w="40" w:type="dxa"/>
              <w:left w:w="0" w:type="dxa"/>
              <w:bottom w:w="40" w:type="dxa"/>
              <w:right w:w="20" w:type="dxa"/>
            </w:tcMar>
            <w:vAlign w:val="center"/>
          </w:tcPr>
          <w:p w14:paraId="74DD8C44" w14:textId="77777777" w:rsidR="00584EC1" w:rsidRDefault="00584EC1">
            <w:pPr>
              <w:jc w:val="right"/>
              <w:rPr>
                <w:rFonts w:ascii="宋体"/>
              </w:rPr>
            </w:pPr>
          </w:p>
        </w:tc>
      </w:tr>
      <w:tr w:rsidR="00584EC1" w14:paraId="74DD8C4C" w14:textId="77777777">
        <w:tc>
          <w:tcPr>
            <w:tcW w:w="0" w:type="auto"/>
            <w:gridSpan w:val="3"/>
            <w:shd w:val="clear" w:color="auto" w:fill="CCEEFF"/>
            <w:tcMar>
              <w:top w:w="40" w:type="dxa"/>
              <w:left w:w="20" w:type="dxa"/>
              <w:bottom w:w="40" w:type="dxa"/>
              <w:right w:w="20" w:type="dxa"/>
            </w:tcMar>
            <w:vAlign w:val="center"/>
          </w:tcPr>
          <w:p w14:paraId="74DD8C46" w14:textId="77777777" w:rsidR="00584EC1" w:rsidRDefault="00871F8D">
            <w:pPr>
              <w:textAlignment w:val="center"/>
            </w:pPr>
            <w:r>
              <w:rPr>
                <w:rFonts w:ascii="Arial" w:eastAsia="宋体" w:hAnsi="Arial" w:cs="Arial"/>
                <w:color w:val="000000"/>
                <w:sz w:val="15"/>
                <w:szCs w:val="15"/>
              </w:rPr>
              <w:t>U.S. Treasuries</w:t>
            </w:r>
          </w:p>
        </w:tc>
        <w:tc>
          <w:tcPr>
            <w:tcW w:w="0" w:type="auto"/>
            <w:gridSpan w:val="2"/>
            <w:shd w:val="clear" w:color="auto" w:fill="CCEEFF"/>
            <w:tcMar>
              <w:top w:w="40" w:type="dxa"/>
              <w:left w:w="20" w:type="dxa"/>
              <w:bottom w:w="40" w:type="dxa"/>
              <w:right w:w="0" w:type="dxa"/>
            </w:tcMar>
            <w:vAlign w:val="center"/>
          </w:tcPr>
          <w:p w14:paraId="74DD8C47" w14:textId="77777777" w:rsidR="00584EC1" w:rsidRDefault="00871F8D">
            <w:pPr>
              <w:jc w:val="right"/>
              <w:textAlignment w:val="center"/>
            </w:pPr>
            <w:r>
              <w:rPr>
                <w:rFonts w:ascii="Arial" w:eastAsia="宋体" w:hAnsi="Arial" w:cs="Arial"/>
                <w:b/>
                <w:bCs/>
                <w:color w:val="000000"/>
                <w:sz w:val="15"/>
                <w:szCs w:val="15"/>
              </w:rPr>
              <w:t>15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74DD8C4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C4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center"/>
          </w:tcPr>
          <w:p w14:paraId="74DD8C4A" w14:textId="77777777" w:rsidR="00584EC1" w:rsidRDefault="00871F8D">
            <w:pPr>
              <w:jc w:val="right"/>
              <w:textAlignment w:val="center"/>
            </w:pPr>
            <w:r>
              <w:rPr>
                <w:rFonts w:ascii="Arial" w:eastAsia="宋体" w:hAnsi="Arial" w:cs="Arial"/>
                <w:color w:val="000000"/>
                <w:sz w:val="15"/>
                <w:szCs w:val="15"/>
              </w:rPr>
              <w:t>11 </w:t>
            </w:r>
          </w:p>
        </w:tc>
        <w:tc>
          <w:tcPr>
            <w:tcW w:w="0" w:type="auto"/>
            <w:shd w:val="clear" w:color="auto" w:fill="CCEEFF"/>
            <w:tcMar>
              <w:top w:w="40" w:type="dxa"/>
              <w:left w:w="0" w:type="dxa"/>
              <w:bottom w:w="40" w:type="dxa"/>
              <w:right w:w="20" w:type="dxa"/>
            </w:tcMar>
            <w:vAlign w:val="center"/>
          </w:tcPr>
          <w:p w14:paraId="74DD8C4B" w14:textId="77777777" w:rsidR="00584EC1" w:rsidRDefault="00584EC1">
            <w:pPr>
              <w:jc w:val="right"/>
              <w:rPr>
                <w:rFonts w:ascii="宋体"/>
              </w:rPr>
            </w:pPr>
          </w:p>
        </w:tc>
      </w:tr>
      <w:tr w:rsidR="00584EC1" w14:paraId="74DD8C53" w14:textId="77777777">
        <w:tc>
          <w:tcPr>
            <w:tcW w:w="0" w:type="auto"/>
            <w:gridSpan w:val="3"/>
            <w:shd w:val="clear" w:color="auto" w:fill="FFFFFF"/>
            <w:tcMar>
              <w:top w:w="40" w:type="dxa"/>
              <w:left w:w="20" w:type="dxa"/>
              <w:bottom w:w="40" w:type="dxa"/>
              <w:right w:w="20" w:type="dxa"/>
            </w:tcMar>
            <w:vAlign w:val="center"/>
          </w:tcPr>
          <w:p w14:paraId="74DD8C4D" w14:textId="77777777" w:rsidR="00584EC1" w:rsidRDefault="00871F8D">
            <w:pPr>
              <w:textAlignment w:val="center"/>
            </w:pPr>
            <w:r>
              <w:rPr>
                <w:rFonts w:ascii="Arial" w:eastAsia="宋体" w:hAnsi="Arial" w:cs="Arial"/>
                <w:color w:val="000000"/>
                <w:sz w:val="15"/>
                <w:szCs w:val="15"/>
              </w:rPr>
              <w:t>Asset-backed securities</w:t>
            </w:r>
          </w:p>
        </w:tc>
        <w:tc>
          <w:tcPr>
            <w:tcW w:w="0" w:type="auto"/>
            <w:gridSpan w:val="2"/>
            <w:shd w:val="clear" w:color="auto" w:fill="FFFFFF"/>
            <w:tcMar>
              <w:top w:w="40" w:type="dxa"/>
              <w:left w:w="20" w:type="dxa"/>
              <w:bottom w:w="40" w:type="dxa"/>
              <w:right w:w="0" w:type="dxa"/>
            </w:tcMar>
            <w:vAlign w:val="center"/>
          </w:tcPr>
          <w:p w14:paraId="74DD8C4E" w14:textId="77777777" w:rsidR="00584EC1" w:rsidRDefault="00871F8D">
            <w:pPr>
              <w:jc w:val="right"/>
              <w:textAlignment w:val="center"/>
            </w:pPr>
            <w:r>
              <w:rPr>
                <w:rFonts w:ascii="Arial" w:eastAsia="宋体" w:hAnsi="Arial" w:cs="Arial"/>
                <w:b/>
                <w:bCs/>
                <w:color w:val="000000"/>
                <w:sz w:val="15"/>
                <w:szCs w:val="15"/>
              </w:rPr>
              <w:t>13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74DD8C4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C5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center"/>
          </w:tcPr>
          <w:p w14:paraId="74DD8C51" w14:textId="77777777" w:rsidR="00584EC1" w:rsidRDefault="00871F8D">
            <w:pPr>
              <w:jc w:val="right"/>
              <w:textAlignment w:val="center"/>
            </w:pPr>
            <w:r>
              <w:rPr>
                <w:rFonts w:ascii="Arial" w:eastAsia="宋体" w:hAnsi="Arial" w:cs="Arial"/>
                <w:color w:val="000000"/>
                <w:sz w:val="15"/>
                <w:szCs w:val="15"/>
              </w:rPr>
              <w:t>11 </w:t>
            </w:r>
          </w:p>
        </w:tc>
        <w:tc>
          <w:tcPr>
            <w:tcW w:w="0" w:type="auto"/>
            <w:shd w:val="clear" w:color="auto" w:fill="FFFFFF"/>
            <w:tcMar>
              <w:top w:w="40" w:type="dxa"/>
              <w:left w:w="0" w:type="dxa"/>
              <w:bottom w:w="40" w:type="dxa"/>
              <w:right w:w="20" w:type="dxa"/>
            </w:tcMar>
            <w:vAlign w:val="center"/>
          </w:tcPr>
          <w:p w14:paraId="74DD8C52" w14:textId="77777777" w:rsidR="00584EC1" w:rsidRDefault="00584EC1">
            <w:pPr>
              <w:jc w:val="right"/>
              <w:rPr>
                <w:rFonts w:ascii="宋体"/>
              </w:rPr>
            </w:pPr>
          </w:p>
        </w:tc>
      </w:tr>
      <w:tr w:rsidR="00584EC1" w14:paraId="74DD8C5A" w14:textId="77777777">
        <w:tc>
          <w:tcPr>
            <w:tcW w:w="0" w:type="auto"/>
            <w:gridSpan w:val="3"/>
            <w:shd w:val="clear" w:color="auto" w:fill="CCEEFF"/>
            <w:tcMar>
              <w:top w:w="40" w:type="dxa"/>
              <w:left w:w="20" w:type="dxa"/>
              <w:bottom w:w="40" w:type="dxa"/>
              <w:right w:w="20" w:type="dxa"/>
            </w:tcMar>
            <w:vAlign w:val="center"/>
          </w:tcPr>
          <w:p w14:paraId="74DD8C54" w14:textId="77777777" w:rsidR="00584EC1" w:rsidRDefault="00871F8D">
            <w:pPr>
              <w:textAlignment w:val="center"/>
            </w:pPr>
            <w:r>
              <w:rPr>
                <w:rFonts w:ascii="Arial" w:eastAsia="宋体" w:hAnsi="Arial" w:cs="Arial"/>
                <w:color w:val="000000"/>
                <w:sz w:val="15"/>
                <w:szCs w:val="15"/>
              </w:rPr>
              <w:t>Other credit</w:t>
            </w:r>
            <w:r>
              <w:rPr>
                <w:rFonts w:ascii="Arial" w:eastAsia="宋体" w:hAnsi="Arial" w:cs="Arial"/>
                <w:color w:val="000000"/>
                <w:sz w:val="9"/>
                <w:szCs w:val="9"/>
              </w:rPr>
              <w:t>(1)</w:t>
            </w:r>
          </w:p>
        </w:tc>
        <w:tc>
          <w:tcPr>
            <w:tcW w:w="0" w:type="auto"/>
            <w:gridSpan w:val="2"/>
            <w:shd w:val="clear" w:color="auto" w:fill="CCEEFF"/>
            <w:tcMar>
              <w:top w:w="40" w:type="dxa"/>
              <w:left w:w="20" w:type="dxa"/>
              <w:bottom w:w="40" w:type="dxa"/>
              <w:right w:w="0" w:type="dxa"/>
            </w:tcMar>
            <w:vAlign w:val="center"/>
          </w:tcPr>
          <w:p w14:paraId="74DD8C55" w14:textId="77777777" w:rsidR="00584EC1" w:rsidRDefault="00871F8D">
            <w:pPr>
              <w:jc w:val="right"/>
              <w:textAlignment w:val="center"/>
            </w:pPr>
            <w:r>
              <w:rPr>
                <w:rFonts w:ascii="Arial" w:eastAsia="宋体" w:hAnsi="Arial" w:cs="Arial"/>
                <w:b/>
                <w:bCs/>
                <w:color w:val="000000"/>
                <w:sz w:val="15"/>
                <w:szCs w:val="15"/>
              </w:rPr>
              <w:t>17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74DD8C5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C5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center"/>
          </w:tcPr>
          <w:p w14:paraId="74DD8C58" w14:textId="77777777" w:rsidR="00584EC1" w:rsidRDefault="00871F8D">
            <w:pPr>
              <w:jc w:val="right"/>
              <w:textAlignment w:val="center"/>
            </w:pPr>
            <w:r>
              <w:rPr>
                <w:rFonts w:ascii="Arial" w:eastAsia="宋体" w:hAnsi="Arial" w:cs="Arial"/>
                <w:color w:val="000000"/>
                <w:sz w:val="15"/>
                <w:szCs w:val="15"/>
              </w:rPr>
              <w:t>19 </w:t>
            </w:r>
          </w:p>
        </w:tc>
        <w:tc>
          <w:tcPr>
            <w:tcW w:w="0" w:type="auto"/>
            <w:shd w:val="clear" w:color="auto" w:fill="CCEEFF"/>
            <w:tcMar>
              <w:top w:w="40" w:type="dxa"/>
              <w:left w:w="0" w:type="dxa"/>
              <w:bottom w:w="40" w:type="dxa"/>
              <w:right w:w="20" w:type="dxa"/>
            </w:tcMar>
            <w:vAlign w:val="center"/>
          </w:tcPr>
          <w:p w14:paraId="74DD8C59" w14:textId="77777777" w:rsidR="00584EC1" w:rsidRDefault="00584EC1">
            <w:pPr>
              <w:jc w:val="right"/>
              <w:rPr>
                <w:rFonts w:ascii="宋体"/>
              </w:rPr>
            </w:pPr>
          </w:p>
        </w:tc>
      </w:tr>
      <w:tr w:rsidR="00584EC1" w14:paraId="74DD8C61" w14:textId="77777777">
        <w:tc>
          <w:tcPr>
            <w:tcW w:w="0" w:type="auto"/>
            <w:gridSpan w:val="3"/>
            <w:shd w:val="clear" w:color="auto" w:fill="FFFFFF"/>
            <w:tcMar>
              <w:top w:w="0" w:type="dxa"/>
              <w:left w:w="20" w:type="dxa"/>
              <w:bottom w:w="0" w:type="dxa"/>
              <w:right w:w="20" w:type="dxa"/>
            </w:tcMar>
            <w:vAlign w:val="bottom"/>
          </w:tcPr>
          <w:p w14:paraId="74DD8C5B" w14:textId="77777777" w:rsidR="00584EC1" w:rsidRDefault="00584EC1">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8C5C" w14:textId="77777777" w:rsidR="00584EC1" w:rsidRDefault="00871F8D">
            <w:pPr>
              <w:jc w:val="right"/>
              <w:textAlignment w:val="bottom"/>
            </w:pPr>
            <w:r>
              <w:rPr>
                <w:rFonts w:ascii="Arial" w:eastAsia="宋体" w:hAnsi="Arial" w:cs="Arial"/>
                <w:b/>
                <w:bCs/>
                <w:color w:val="000000"/>
                <w:sz w:val="15"/>
                <w:szCs w:val="15"/>
              </w:rPr>
              <w:t>100</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8C5D" w14:textId="77777777" w:rsidR="00584EC1" w:rsidRDefault="00871F8D">
            <w:pPr>
              <w:jc w:val="right"/>
              <w:textAlignment w:val="bottom"/>
            </w:pPr>
            <w:r>
              <w:rPr>
                <w:rFonts w:ascii="Arial" w:eastAsia="宋体" w:hAnsi="Arial" w:cs="Arial"/>
                <w:b/>
                <w:bCs/>
                <w:color w:val="000000"/>
                <w:sz w:val="15"/>
                <w:szCs w:val="15"/>
              </w:rPr>
              <w:t>%</w:t>
            </w:r>
          </w:p>
        </w:tc>
        <w:tc>
          <w:tcPr>
            <w:tcW w:w="0" w:type="auto"/>
            <w:gridSpan w:val="3"/>
            <w:shd w:val="clear" w:color="auto" w:fill="FFFFFF"/>
            <w:tcMar>
              <w:top w:w="0" w:type="dxa"/>
              <w:left w:w="20" w:type="dxa"/>
              <w:bottom w:w="0" w:type="dxa"/>
              <w:right w:w="20" w:type="dxa"/>
            </w:tcMar>
            <w:vAlign w:val="bottom"/>
          </w:tcPr>
          <w:p w14:paraId="74DD8C5E" w14:textId="77777777" w:rsidR="00584EC1" w:rsidRDefault="00584EC1">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8C5F" w14:textId="77777777" w:rsidR="00584EC1" w:rsidRDefault="00871F8D">
            <w:pPr>
              <w:jc w:val="right"/>
              <w:textAlignment w:val="bottom"/>
            </w:pPr>
            <w:r>
              <w:rPr>
                <w:rFonts w:ascii="Arial" w:eastAsia="宋体" w:hAnsi="Arial" w:cs="Arial"/>
                <w:color w:val="000000"/>
                <w:sz w:val="15"/>
                <w:szCs w:val="15"/>
              </w:rPr>
              <w:t>100 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8C60" w14:textId="77777777" w:rsidR="00584EC1" w:rsidRDefault="00871F8D">
            <w:pPr>
              <w:jc w:val="right"/>
              <w:textAlignment w:val="bottom"/>
            </w:pPr>
            <w:r>
              <w:rPr>
                <w:rFonts w:ascii="Arial" w:eastAsia="宋体" w:hAnsi="Arial" w:cs="Arial"/>
                <w:color w:val="000000"/>
                <w:sz w:val="15"/>
                <w:szCs w:val="15"/>
              </w:rPr>
              <w:t>%</w:t>
            </w:r>
          </w:p>
        </w:tc>
      </w:tr>
    </w:tbl>
    <w:p w14:paraId="74DD8C62" w14:textId="77777777" w:rsidR="00584EC1" w:rsidRDefault="00584E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8"/>
        <w:gridCol w:w="3924"/>
        <w:gridCol w:w="36"/>
        <w:gridCol w:w="69"/>
        <w:gridCol w:w="4131"/>
        <w:gridCol w:w="36"/>
        <w:gridCol w:w="36"/>
        <w:gridCol w:w="36"/>
      </w:tblGrid>
      <w:tr w:rsidR="00584EC1" w14:paraId="74DD8C6B" w14:textId="77777777">
        <w:tc>
          <w:tcPr>
            <w:tcW w:w="50" w:type="pct"/>
            <w:shd w:val="clear" w:color="auto" w:fill="auto"/>
            <w:vAlign w:val="bottom"/>
          </w:tcPr>
          <w:p w14:paraId="74DD8C63" w14:textId="77777777" w:rsidR="00584EC1" w:rsidRDefault="00584EC1">
            <w:pPr>
              <w:rPr>
                <w:rFonts w:ascii="宋体"/>
              </w:rPr>
            </w:pPr>
          </w:p>
        </w:tc>
        <w:tc>
          <w:tcPr>
            <w:tcW w:w="2382" w:type="pct"/>
            <w:shd w:val="clear" w:color="auto" w:fill="auto"/>
            <w:vAlign w:val="bottom"/>
          </w:tcPr>
          <w:p w14:paraId="74DD8C64" w14:textId="77777777" w:rsidR="00584EC1" w:rsidRDefault="00584EC1">
            <w:pPr>
              <w:rPr>
                <w:rFonts w:ascii="宋体"/>
              </w:rPr>
            </w:pPr>
          </w:p>
        </w:tc>
        <w:tc>
          <w:tcPr>
            <w:tcW w:w="5" w:type="pct"/>
            <w:shd w:val="clear" w:color="auto" w:fill="auto"/>
            <w:vAlign w:val="bottom"/>
          </w:tcPr>
          <w:p w14:paraId="74DD8C65" w14:textId="77777777" w:rsidR="00584EC1" w:rsidRDefault="00584EC1">
            <w:pPr>
              <w:rPr>
                <w:rFonts w:ascii="宋体"/>
              </w:rPr>
            </w:pPr>
          </w:p>
        </w:tc>
        <w:tc>
          <w:tcPr>
            <w:tcW w:w="50" w:type="pct"/>
            <w:shd w:val="clear" w:color="auto" w:fill="auto"/>
            <w:vAlign w:val="bottom"/>
          </w:tcPr>
          <w:p w14:paraId="74DD8C66" w14:textId="77777777" w:rsidR="00584EC1" w:rsidRDefault="00584EC1">
            <w:pPr>
              <w:rPr>
                <w:rFonts w:ascii="宋体"/>
              </w:rPr>
            </w:pPr>
          </w:p>
        </w:tc>
        <w:tc>
          <w:tcPr>
            <w:tcW w:w="2507" w:type="pct"/>
            <w:shd w:val="clear" w:color="auto" w:fill="auto"/>
            <w:vAlign w:val="bottom"/>
          </w:tcPr>
          <w:p w14:paraId="74DD8C67" w14:textId="77777777" w:rsidR="00584EC1" w:rsidRDefault="00584EC1">
            <w:pPr>
              <w:rPr>
                <w:rFonts w:ascii="宋体"/>
              </w:rPr>
            </w:pPr>
          </w:p>
        </w:tc>
        <w:tc>
          <w:tcPr>
            <w:tcW w:w="5" w:type="pct"/>
            <w:shd w:val="clear" w:color="auto" w:fill="auto"/>
            <w:vAlign w:val="bottom"/>
          </w:tcPr>
          <w:p w14:paraId="74DD8C68" w14:textId="77777777" w:rsidR="00584EC1" w:rsidRDefault="00584EC1">
            <w:pPr>
              <w:rPr>
                <w:rFonts w:ascii="宋体"/>
              </w:rPr>
            </w:pPr>
          </w:p>
        </w:tc>
        <w:tc>
          <w:tcPr>
            <w:tcW w:w="0" w:type="auto"/>
            <w:shd w:val="clear" w:color="auto" w:fill="auto"/>
            <w:vAlign w:val="bottom"/>
          </w:tcPr>
          <w:p w14:paraId="74DD8C69" w14:textId="77777777" w:rsidR="00584EC1" w:rsidRDefault="00584EC1">
            <w:pPr>
              <w:rPr>
                <w:rFonts w:ascii="宋体"/>
                <w:vanish/>
              </w:rPr>
            </w:pPr>
          </w:p>
        </w:tc>
        <w:tc>
          <w:tcPr>
            <w:tcW w:w="0" w:type="auto"/>
            <w:shd w:val="clear" w:color="auto" w:fill="auto"/>
            <w:vAlign w:val="bottom"/>
          </w:tcPr>
          <w:p w14:paraId="74DD8C6A" w14:textId="77777777" w:rsidR="00584EC1" w:rsidRDefault="00584EC1">
            <w:pPr>
              <w:rPr>
                <w:rFonts w:ascii="宋体"/>
                <w:vanish/>
              </w:rPr>
            </w:pPr>
          </w:p>
        </w:tc>
      </w:tr>
      <w:tr w:rsidR="00584EC1" w14:paraId="74DD8C70"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4DD8C6C"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8C6D" w14:textId="77777777" w:rsidR="00584EC1" w:rsidRDefault="00584EC1">
            <w:pPr>
              <w:rPr>
                <w:rFonts w:ascii="宋体"/>
              </w:rPr>
            </w:pPr>
          </w:p>
        </w:tc>
        <w:tc>
          <w:tcPr>
            <w:tcW w:w="0" w:type="auto"/>
            <w:shd w:val="clear" w:color="auto" w:fill="auto"/>
            <w:vAlign w:val="bottom"/>
          </w:tcPr>
          <w:p w14:paraId="74DD8C6E" w14:textId="77777777" w:rsidR="00584EC1" w:rsidRDefault="00584EC1">
            <w:pPr>
              <w:rPr>
                <w:rFonts w:ascii="宋体"/>
                <w:vanish/>
              </w:rPr>
            </w:pPr>
          </w:p>
        </w:tc>
        <w:tc>
          <w:tcPr>
            <w:tcW w:w="0" w:type="auto"/>
            <w:shd w:val="clear" w:color="auto" w:fill="auto"/>
            <w:vAlign w:val="bottom"/>
          </w:tcPr>
          <w:p w14:paraId="74DD8C6F" w14:textId="77777777" w:rsidR="00584EC1" w:rsidRDefault="00584EC1">
            <w:pPr>
              <w:rPr>
                <w:rFonts w:ascii="宋体"/>
                <w:vanish/>
              </w:rPr>
            </w:pPr>
          </w:p>
        </w:tc>
      </w:tr>
    </w:tbl>
    <w:p w14:paraId="74DD8C71" w14:textId="77777777" w:rsidR="00584EC1" w:rsidRDefault="00871F8D">
      <w:pPr>
        <w:jc w:val="both"/>
        <w:textAlignment w:val="top"/>
      </w:pPr>
      <w:r>
        <w:rPr>
          <w:rFonts w:ascii="Arial" w:eastAsia="宋体" w:hAnsi="Arial" w:cs="Arial"/>
          <w:color w:val="000000"/>
          <w:sz w:val="9"/>
          <w:szCs w:val="9"/>
        </w:rPr>
        <w:t xml:space="preserve">(1) </w:t>
      </w:r>
      <w:r>
        <w:rPr>
          <w:rFonts w:ascii="Arial" w:eastAsia="宋体" w:hAnsi="Arial" w:cs="Arial"/>
          <w:color w:val="000000"/>
          <w:sz w:val="14"/>
          <w:szCs w:val="14"/>
        </w:rPr>
        <w:t>Includes the securities purchased under the MMLF program.</w:t>
      </w:r>
    </w:p>
    <w:p w14:paraId="74DD8C72" w14:textId="77777777" w:rsidR="00584EC1" w:rsidRDefault="00871F8D">
      <w:pPr>
        <w:ind w:firstLine="450"/>
        <w:jc w:val="right"/>
      </w:pPr>
      <w:r>
        <w:rPr>
          <w:rFonts w:ascii="Arial" w:eastAsia="宋体" w:hAnsi="Arial" w:cs="Arial"/>
          <w:color w:val="000000"/>
          <w:sz w:val="18"/>
          <w:szCs w:val="18"/>
        </w:rPr>
        <w:t>State Street Corporation | 28</w:t>
      </w:r>
    </w:p>
    <w:p w14:paraId="74DD8C73" w14:textId="77777777" w:rsidR="00584EC1" w:rsidRDefault="00584EC1">
      <w:pPr>
        <w:ind w:firstLine="450"/>
        <w:jc w:val="center"/>
      </w:pPr>
    </w:p>
    <w:p w14:paraId="74DD8C74" w14:textId="77777777" w:rsidR="00584EC1" w:rsidRDefault="00871F8D">
      <w:r>
        <w:pict w14:anchorId="74DE2A0A">
          <v:rect id="_x0000_i1052" style="width:415.3pt;height:1.5pt" o:hralign="center" o:hrstd="t" o:hr="t" fillcolor="#a0a0a0" stroked="f"/>
        </w:pict>
      </w:r>
    </w:p>
    <w:p w14:paraId="74DD8C75" w14:textId="77777777" w:rsidR="00584EC1" w:rsidRDefault="00871F8D">
      <w:pPr>
        <w:ind w:firstLine="450"/>
        <w:jc w:val="center"/>
      </w:pPr>
      <w:r>
        <w:rPr>
          <w:rFonts w:ascii="Arial" w:eastAsia="宋体" w:hAnsi="Arial" w:cs="Arial"/>
          <w:b/>
          <w:bCs/>
          <w:color w:val="000000"/>
          <w:sz w:val="20"/>
          <w:szCs w:val="20"/>
        </w:rPr>
        <w:t>MANAGEMENT’S DISCUSSION AND ANALYSIS OF FINANCIAL CONDITION</w:t>
      </w:r>
    </w:p>
    <w:p w14:paraId="74DD8C76" w14:textId="77777777" w:rsidR="00584EC1" w:rsidRDefault="00871F8D">
      <w:pPr>
        <w:ind w:firstLine="450"/>
        <w:jc w:val="center"/>
      </w:pPr>
      <w:r>
        <w:rPr>
          <w:rFonts w:ascii="Arial" w:eastAsia="宋体" w:hAnsi="Arial" w:cs="Arial"/>
          <w:b/>
          <w:bCs/>
          <w:color w:val="000000"/>
          <w:sz w:val="20"/>
          <w:szCs w:val="20"/>
        </w:rPr>
        <w:t>AND RESULTS OF OPERATIONS</w:t>
      </w:r>
    </w:p>
    <w:p w14:paraId="74DD8C77" w14:textId="77777777" w:rsidR="00584EC1" w:rsidRDefault="00871F8D">
      <w:pPr>
        <w:spacing w:before="60"/>
        <w:jc w:val="both"/>
        <w:textAlignment w:val="top"/>
      </w:pPr>
      <w:r>
        <w:rPr>
          <w:rFonts w:ascii="Arial" w:eastAsia="宋体" w:hAnsi="Arial" w:cs="Arial"/>
          <w:b/>
          <w:bCs/>
          <w:i/>
          <w:iCs/>
          <w:color w:val="000000"/>
          <w:sz w:val="20"/>
          <w:szCs w:val="20"/>
        </w:rPr>
        <w:t xml:space="preserve">Non-U.S. Debt Securities </w:t>
      </w:r>
    </w:p>
    <w:p w14:paraId="74DD8C78" w14:textId="77777777" w:rsidR="00584EC1" w:rsidRDefault="00871F8D">
      <w:pPr>
        <w:spacing w:before="60"/>
        <w:ind w:firstLine="450"/>
        <w:jc w:val="both"/>
        <w:textAlignment w:val="top"/>
      </w:pPr>
      <w:r>
        <w:rPr>
          <w:rFonts w:ascii="Arial" w:eastAsia="宋体" w:hAnsi="Arial" w:cs="Arial"/>
          <w:color w:val="000000"/>
          <w:sz w:val="20"/>
          <w:szCs w:val="20"/>
        </w:rPr>
        <w:t xml:space="preserve">Approximately 28% and 27% of the </w:t>
      </w:r>
      <w:r>
        <w:rPr>
          <w:rFonts w:ascii="Arial" w:eastAsia="宋体" w:hAnsi="Arial" w:cs="Arial"/>
          <w:color w:val="000000"/>
          <w:sz w:val="20"/>
          <w:szCs w:val="20"/>
        </w:rPr>
        <w:t>aggregate carrying value of our investment securities portfolio was non-U.S. debt securities as of September 30, 2021 and December 31, 2020, respectively.</w:t>
      </w:r>
    </w:p>
    <w:tbl>
      <w:tblPr>
        <w:tblW w:w="4984" w:type="pct"/>
        <w:tblCellMar>
          <w:top w:w="15" w:type="dxa"/>
          <w:left w:w="15" w:type="dxa"/>
          <w:bottom w:w="15" w:type="dxa"/>
          <w:right w:w="15" w:type="dxa"/>
        </w:tblCellMar>
        <w:tblLook w:val="04A0" w:firstRow="1" w:lastRow="0" w:firstColumn="1" w:lastColumn="0" w:noHBand="0" w:noVBand="1"/>
      </w:tblPr>
      <w:tblGrid>
        <w:gridCol w:w="48"/>
        <w:gridCol w:w="3046"/>
        <w:gridCol w:w="36"/>
        <w:gridCol w:w="99"/>
        <w:gridCol w:w="2391"/>
        <w:gridCol w:w="37"/>
        <w:gridCol w:w="36"/>
        <w:gridCol w:w="78"/>
        <w:gridCol w:w="36"/>
        <w:gridCol w:w="99"/>
        <w:gridCol w:w="2366"/>
        <w:gridCol w:w="37"/>
      </w:tblGrid>
      <w:tr w:rsidR="00584EC1" w14:paraId="74DD8C85" w14:textId="77777777">
        <w:tc>
          <w:tcPr>
            <w:tcW w:w="50" w:type="pct"/>
            <w:shd w:val="clear" w:color="auto" w:fill="auto"/>
            <w:vAlign w:val="bottom"/>
          </w:tcPr>
          <w:p w14:paraId="74DD8C79" w14:textId="77777777" w:rsidR="00584EC1" w:rsidRDefault="00584EC1">
            <w:pPr>
              <w:rPr>
                <w:rFonts w:ascii="宋体"/>
              </w:rPr>
            </w:pPr>
          </w:p>
        </w:tc>
        <w:tc>
          <w:tcPr>
            <w:tcW w:w="1853" w:type="pct"/>
            <w:shd w:val="clear" w:color="auto" w:fill="auto"/>
            <w:vAlign w:val="bottom"/>
          </w:tcPr>
          <w:p w14:paraId="74DD8C7A" w14:textId="77777777" w:rsidR="00584EC1" w:rsidRDefault="00584EC1">
            <w:pPr>
              <w:rPr>
                <w:rFonts w:ascii="宋体"/>
              </w:rPr>
            </w:pPr>
          </w:p>
        </w:tc>
        <w:tc>
          <w:tcPr>
            <w:tcW w:w="5" w:type="pct"/>
            <w:shd w:val="clear" w:color="auto" w:fill="auto"/>
            <w:vAlign w:val="bottom"/>
          </w:tcPr>
          <w:p w14:paraId="74DD8C7B" w14:textId="77777777" w:rsidR="00584EC1" w:rsidRDefault="00584EC1">
            <w:pPr>
              <w:rPr>
                <w:rFonts w:ascii="宋体"/>
              </w:rPr>
            </w:pPr>
          </w:p>
        </w:tc>
        <w:tc>
          <w:tcPr>
            <w:tcW w:w="50" w:type="pct"/>
            <w:shd w:val="clear" w:color="auto" w:fill="auto"/>
            <w:vAlign w:val="bottom"/>
          </w:tcPr>
          <w:p w14:paraId="74DD8C7C" w14:textId="77777777" w:rsidR="00584EC1" w:rsidRDefault="00584EC1">
            <w:pPr>
              <w:rPr>
                <w:rFonts w:ascii="宋体"/>
              </w:rPr>
            </w:pPr>
          </w:p>
        </w:tc>
        <w:tc>
          <w:tcPr>
            <w:tcW w:w="1459" w:type="pct"/>
            <w:shd w:val="clear" w:color="auto" w:fill="auto"/>
            <w:vAlign w:val="bottom"/>
          </w:tcPr>
          <w:p w14:paraId="74DD8C7D" w14:textId="77777777" w:rsidR="00584EC1" w:rsidRDefault="00584EC1">
            <w:pPr>
              <w:rPr>
                <w:rFonts w:ascii="宋体"/>
              </w:rPr>
            </w:pPr>
          </w:p>
        </w:tc>
        <w:tc>
          <w:tcPr>
            <w:tcW w:w="5" w:type="pct"/>
            <w:shd w:val="clear" w:color="auto" w:fill="auto"/>
            <w:vAlign w:val="bottom"/>
          </w:tcPr>
          <w:p w14:paraId="74DD8C7E" w14:textId="77777777" w:rsidR="00584EC1" w:rsidRDefault="00584EC1">
            <w:pPr>
              <w:rPr>
                <w:rFonts w:ascii="宋体"/>
              </w:rPr>
            </w:pPr>
          </w:p>
        </w:tc>
        <w:tc>
          <w:tcPr>
            <w:tcW w:w="5" w:type="pct"/>
            <w:shd w:val="clear" w:color="auto" w:fill="auto"/>
            <w:vAlign w:val="bottom"/>
          </w:tcPr>
          <w:p w14:paraId="74DD8C7F" w14:textId="77777777" w:rsidR="00584EC1" w:rsidRDefault="00584EC1">
            <w:pPr>
              <w:rPr>
                <w:rFonts w:ascii="宋体"/>
              </w:rPr>
            </w:pPr>
          </w:p>
        </w:tc>
        <w:tc>
          <w:tcPr>
            <w:tcW w:w="68" w:type="pct"/>
            <w:shd w:val="clear" w:color="auto" w:fill="auto"/>
            <w:vAlign w:val="bottom"/>
          </w:tcPr>
          <w:p w14:paraId="74DD8C80" w14:textId="77777777" w:rsidR="00584EC1" w:rsidRDefault="00584EC1">
            <w:pPr>
              <w:rPr>
                <w:rFonts w:ascii="宋体"/>
              </w:rPr>
            </w:pPr>
          </w:p>
        </w:tc>
        <w:tc>
          <w:tcPr>
            <w:tcW w:w="5" w:type="pct"/>
            <w:shd w:val="clear" w:color="auto" w:fill="auto"/>
            <w:vAlign w:val="bottom"/>
          </w:tcPr>
          <w:p w14:paraId="74DD8C81" w14:textId="77777777" w:rsidR="00584EC1" w:rsidRDefault="00584EC1">
            <w:pPr>
              <w:rPr>
                <w:rFonts w:ascii="宋体"/>
              </w:rPr>
            </w:pPr>
          </w:p>
        </w:tc>
        <w:tc>
          <w:tcPr>
            <w:tcW w:w="50" w:type="pct"/>
            <w:shd w:val="clear" w:color="auto" w:fill="auto"/>
            <w:vAlign w:val="bottom"/>
          </w:tcPr>
          <w:p w14:paraId="74DD8C82" w14:textId="77777777" w:rsidR="00584EC1" w:rsidRDefault="00584EC1">
            <w:pPr>
              <w:rPr>
                <w:rFonts w:ascii="宋体"/>
              </w:rPr>
            </w:pPr>
          </w:p>
        </w:tc>
        <w:tc>
          <w:tcPr>
            <w:tcW w:w="1443" w:type="pct"/>
            <w:shd w:val="clear" w:color="auto" w:fill="auto"/>
            <w:vAlign w:val="bottom"/>
          </w:tcPr>
          <w:p w14:paraId="74DD8C83" w14:textId="77777777" w:rsidR="00584EC1" w:rsidRDefault="00584EC1">
            <w:pPr>
              <w:rPr>
                <w:rFonts w:ascii="宋体"/>
              </w:rPr>
            </w:pPr>
          </w:p>
        </w:tc>
        <w:tc>
          <w:tcPr>
            <w:tcW w:w="5" w:type="pct"/>
            <w:shd w:val="clear" w:color="auto" w:fill="auto"/>
            <w:vAlign w:val="bottom"/>
          </w:tcPr>
          <w:p w14:paraId="74DD8C84" w14:textId="77777777" w:rsidR="00584EC1" w:rsidRDefault="00584EC1">
            <w:pPr>
              <w:rPr>
                <w:rFonts w:ascii="宋体"/>
              </w:rPr>
            </w:pPr>
          </w:p>
        </w:tc>
      </w:tr>
      <w:tr w:rsidR="00584EC1" w14:paraId="74DD8C87" w14:textId="77777777">
        <w:tc>
          <w:tcPr>
            <w:tcW w:w="0" w:type="auto"/>
            <w:gridSpan w:val="12"/>
            <w:shd w:val="clear" w:color="auto" w:fill="auto"/>
            <w:tcMar>
              <w:top w:w="40" w:type="dxa"/>
              <w:left w:w="20" w:type="dxa"/>
              <w:bottom w:w="40" w:type="dxa"/>
              <w:right w:w="20" w:type="dxa"/>
            </w:tcMar>
            <w:vAlign w:val="bottom"/>
          </w:tcPr>
          <w:p w14:paraId="74DD8C86" w14:textId="77777777" w:rsidR="00584EC1" w:rsidRDefault="00871F8D">
            <w:pPr>
              <w:textAlignment w:val="bottom"/>
            </w:pPr>
            <w:r>
              <w:rPr>
                <w:rFonts w:ascii="Arial" w:eastAsia="宋体" w:hAnsi="Arial" w:cs="Arial"/>
                <w:b/>
                <w:bCs/>
                <w:color w:val="000000"/>
                <w:sz w:val="16"/>
                <w:szCs w:val="16"/>
              </w:rPr>
              <w:t>TABLE 23: NON-U.S. DEBT SECURITIES</w:t>
            </w:r>
            <w:r>
              <w:rPr>
                <w:rFonts w:ascii="Arial" w:eastAsia="宋体" w:hAnsi="Arial" w:cs="Arial"/>
                <w:b/>
                <w:bCs/>
                <w:color w:val="000000"/>
                <w:sz w:val="10"/>
                <w:szCs w:val="10"/>
              </w:rPr>
              <w:t>(1)</w:t>
            </w:r>
          </w:p>
        </w:tc>
      </w:tr>
      <w:tr w:rsidR="00584EC1" w14:paraId="74DD8C8C" w14:textId="77777777">
        <w:tc>
          <w:tcPr>
            <w:tcW w:w="0" w:type="auto"/>
            <w:gridSpan w:val="3"/>
            <w:shd w:val="clear" w:color="auto" w:fill="auto"/>
            <w:tcMar>
              <w:top w:w="40" w:type="dxa"/>
              <w:left w:w="20" w:type="dxa"/>
              <w:bottom w:w="40" w:type="dxa"/>
              <w:right w:w="20" w:type="dxa"/>
            </w:tcMar>
            <w:vAlign w:val="bottom"/>
          </w:tcPr>
          <w:p w14:paraId="74DD8C88" w14:textId="77777777" w:rsidR="00584EC1" w:rsidRDefault="00871F8D">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74DD8C89" w14:textId="77777777" w:rsidR="00584EC1" w:rsidRDefault="00871F8D">
            <w:pPr>
              <w:jc w:val="center"/>
              <w:textAlignment w:val="bottom"/>
            </w:pPr>
            <w:r>
              <w:rPr>
                <w:rFonts w:ascii="Arial" w:eastAsia="宋体" w:hAnsi="Arial" w:cs="Arial"/>
                <w:b/>
                <w:bCs/>
                <w:color w:val="000000"/>
                <w:sz w:val="14"/>
                <w:szCs w:val="14"/>
              </w:rPr>
              <w:t>September 30, 2021</w:t>
            </w:r>
          </w:p>
        </w:tc>
        <w:tc>
          <w:tcPr>
            <w:tcW w:w="0" w:type="auto"/>
            <w:gridSpan w:val="3"/>
            <w:shd w:val="clear" w:color="auto" w:fill="auto"/>
            <w:tcMar>
              <w:top w:w="0" w:type="dxa"/>
              <w:left w:w="20" w:type="dxa"/>
              <w:bottom w:w="0" w:type="dxa"/>
              <w:right w:w="20" w:type="dxa"/>
            </w:tcMar>
            <w:vAlign w:val="bottom"/>
          </w:tcPr>
          <w:p w14:paraId="74DD8C8A"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8C8B" w14:textId="77777777" w:rsidR="00584EC1" w:rsidRDefault="00871F8D">
            <w:pPr>
              <w:jc w:val="center"/>
              <w:textAlignment w:val="bottom"/>
            </w:pPr>
            <w:r>
              <w:rPr>
                <w:rFonts w:ascii="Arial" w:eastAsia="宋体" w:hAnsi="Arial" w:cs="Arial"/>
                <w:b/>
                <w:bCs/>
                <w:color w:val="000000"/>
                <w:sz w:val="14"/>
                <w:szCs w:val="14"/>
              </w:rPr>
              <w:t>December 31, 2020</w:t>
            </w:r>
          </w:p>
        </w:tc>
      </w:tr>
      <w:tr w:rsidR="00584EC1" w14:paraId="74DD8C91" w14:textId="77777777">
        <w:tc>
          <w:tcPr>
            <w:tcW w:w="0" w:type="auto"/>
            <w:gridSpan w:val="3"/>
            <w:shd w:val="clear" w:color="auto" w:fill="auto"/>
            <w:tcMar>
              <w:top w:w="40" w:type="dxa"/>
              <w:left w:w="20" w:type="dxa"/>
              <w:bottom w:w="40" w:type="dxa"/>
              <w:right w:w="20" w:type="dxa"/>
            </w:tcMar>
            <w:vAlign w:val="bottom"/>
          </w:tcPr>
          <w:p w14:paraId="74DD8C8D" w14:textId="77777777" w:rsidR="00584EC1" w:rsidRDefault="00871F8D">
            <w:pPr>
              <w:textAlignment w:val="bottom"/>
            </w:pPr>
            <w:r>
              <w:rPr>
                <w:rFonts w:ascii="Arial" w:eastAsia="宋体" w:hAnsi="Arial" w:cs="Arial"/>
                <w:b/>
                <w:bCs/>
                <w:color w:val="000000"/>
                <w:sz w:val="14"/>
                <w:szCs w:val="14"/>
              </w:rPr>
              <w:t>Available-for-sale: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8C8E"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8C8F"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8C90" w14:textId="77777777" w:rsidR="00584EC1" w:rsidRDefault="00584EC1">
            <w:pPr>
              <w:rPr>
                <w:rFonts w:ascii="宋体"/>
              </w:rPr>
            </w:pPr>
          </w:p>
        </w:tc>
      </w:tr>
      <w:tr w:rsidR="00584EC1" w14:paraId="74DD8C9A" w14:textId="77777777">
        <w:tc>
          <w:tcPr>
            <w:tcW w:w="0" w:type="auto"/>
            <w:gridSpan w:val="3"/>
            <w:shd w:val="clear" w:color="auto" w:fill="CCEEFF"/>
            <w:tcMar>
              <w:top w:w="40" w:type="dxa"/>
              <w:left w:w="20" w:type="dxa"/>
              <w:bottom w:w="40" w:type="dxa"/>
              <w:right w:w="20" w:type="dxa"/>
            </w:tcMar>
            <w:vAlign w:val="bottom"/>
          </w:tcPr>
          <w:p w14:paraId="74DD8C92" w14:textId="77777777" w:rsidR="00584EC1" w:rsidRDefault="00871F8D">
            <w:pPr>
              <w:textAlignment w:val="bottom"/>
            </w:pPr>
            <w:r>
              <w:rPr>
                <w:rFonts w:ascii="Arial" w:eastAsia="宋体" w:hAnsi="Arial" w:cs="Arial"/>
                <w:color w:val="000000"/>
                <w:sz w:val="14"/>
                <w:szCs w:val="14"/>
              </w:rPr>
              <w:t>Canada</w:t>
            </w:r>
          </w:p>
        </w:tc>
        <w:tc>
          <w:tcPr>
            <w:tcW w:w="0" w:type="auto"/>
            <w:shd w:val="clear" w:color="auto" w:fill="CCEEFF"/>
            <w:tcMar>
              <w:top w:w="40" w:type="dxa"/>
              <w:left w:w="20" w:type="dxa"/>
              <w:bottom w:w="40" w:type="dxa"/>
              <w:right w:w="0" w:type="dxa"/>
            </w:tcMar>
            <w:vAlign w:val="bottom"/>
          </w:tcPr>
          <w:p w14:paraId="74DD8C93" w14:textId="77777777" w:rsidR="00584EC1" w:rsidRDefault="00871F8D">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4DD8C94" w14:textId="77777777" w:rsidR="00584EC1" w:rsidRDefault="00871F8D">
            <w:pPr>
              <w:jc w:val="right"/>
              <w:textAlignment w:val="bottom"/>
            </w:pPr>
            <w:r>
              <w:rPr>
                <w:rFonts w:ascii="Arial" w:eastAsia="宋体" w:hAnsi="Arial" w:cs="Arial"/>
                <w:b/>
                <w:bCs/>
                <w:color w:val="000000"/>
                <w:sz w:val="14"/>
                <w:szCs w:val="14"/>
              </w:rPr>
              <w:t>6,444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8C9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C96"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8C97"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8C98" w14:textId="77777777" w:rsidR="00584EC1" w:rsidRDefault="00871F8D">
            <w:pPr>
              <w:jc w:val="right"/>
              <w:textAlignment w:val="bottom"/>
            </w:pPr>
            <w:r>
              <w:rPr>
                <w:rFonts w:ascii="Arial" w:eastAsia="宋体" w:hAnsi="Arial" w:cs="Arial"/>
                <w:color w:val="000000"/>
                <w:sz w:val="14"/>
                <w:szCs w:val="14"/>
              </w:rPr>
              <w:t>3,163 </w:t>
            </w:r>
          </w:p>
        </w:tc>
        <w:tc>
          <w:tcPr>
            <w:tcW w:w="0" w:type="auto"/>
            <w:shd w:val="clear" w:color="auto" w:fill="CCEEFF"/>
            <w:tcMar>
              <w:top w:w="40" w:type="dxa"/>
              <w:left w:w="0" w:type="dxa"/>
              <w:bottom w:w="40" w:type="dxa"/>
              <w:right w:w="20" w:type="dxa"/>
            </w:tcMar>
            <w:vAlign w:val="bottom"/>
          </w:tcPr>
          <w:p w14:paraId="74DD8C99" w14:textId="77777777" w:rsidR="00584EC1" w:rsidRDefault="00584EC1">
            <w:pPr>
              <w:jc w:val="right"/>
              <w:rPr>
                <w:rFonts w:ascii="宋体"/>
              </w:rPr>
            </w:pPr>
          </w:p>
        </w:tc>
      </w:tr>
      <w:tr w:rsidR="00584EC1" w14:paraId="74DD8CA1" w14:textId="77777777">
        <w:tc>
          <w:tcPr>
            <w:tcW w:w="0" w:type="auto"/>
            <w:gridSpan w:val="3"/>
            <w:shd w:val="clear" w:color="auto" w:fill="FFFFFF"/>
            <w:tcMar>
              <w:top w:w="40" w:type="dxa"/>
              <w:left w:w="20" w:type="dxa"/>
              <w:bottom w:w="40" w:type="dxa"/>
              <w:right w:w="20" w:type="dxa"/>
            </w:tcMar>
            <w:vAlign w:val="bottom"/>
          </w:tcPr>
          <w:p w14:paraId="74DD8C9B" w14:textId="77777777" w:rsidR="00584EC1" w:rsidRDefault="00871F8D">
            <w:pPr>
              <w:textAlignment w:val="bottom"/>
            </w:pPr>
            <w:r>
              <w:rPr>
                <w:rFonts w:ascii="Arial" w:eastAsia="宋体" w:hAnsi="Arial" w:cs="Arial"/>
                <w:color w:val="000000"/>
                <w:sz w:val="14"/>
                <w:szCs w:val="14"/>
              </w:rPr>
              <w:t>Germany</w:t>
            </w:r>
          </w:p>
        </w:tc>
        <w:tc>
          <w:tcPr>
            <w:tcW w:w="0" w:type="auto"/>
            <w:gridSpan w:val="2"/>
            <w:shd w:val="clear" w:color="auto" w:fill="FFFFFF"/>
            <w:tcMar>
              <w:top w:w="40" w:type="dxa"/>
              <w:left w:w="20" w:type="dxa"/>
              <w:bottom w:w="40" w:type="dxa"/>
              <w:right w:w="0" w:type="dxa"/>
            </w:tcMar>
            <w:vAlign w:val="bottom"/>
          </w:tcPr>
          <w:p w14:paraId="74DD8C9C" w14:textId="77777777" w:rsidR="00584EC1" w:rsidRDefault="00871F8D">
            <w:pPr>
              <w:jc w:val="right"/>
              <w:textAlignment w:val="bottom"/>
            </w:pPr>
            <w:r>
              <w:rPr>
                <w:rFonts w:ascii="Arial" w:eastAsia="宋体" w:hAnsi="Arial" w:cs="Arial"/>
                <w:b/>
                <w:bCs/>
                <w:color w:val="000000"/>
                <w:sz w:val="14"/>
                <w:szCs w:val="14"/>
              </w:rPr>
              <w:t>2,297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8C9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C9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C9F" w14:textId="77777777" w:rsidR="00584EC1" w:rsidRDefault="00871F8D">
            <w:pPr>
              <w:jc w:val="right"/>
              <w:textAlignment w:val="bottom"/>
            </w:pPr>
            <w:r>
              <w:rPr>
                <w:rFonts w:ascii="Arial" w:eastAsia="宋体" w:hAnsi="Arial" w:cs="Arial"/>
                <w:color w:val="000000"/>
                <w:sz w:val="14"/>
                <w:szCs w:val="14"/>
              </w:rPr>
              <w:t>2,155 </w:t>
            </w:r>
          </w:p>
        </w:tc>
        <w:tc>
          <w:tcPr>
            <w:tcW w:w="0" w:type="auto"/>
            <w:shd w:val="clear" w:color="auto" w:fill="FFFFFF"/>
            <w:tcMar>
              <w:top w:w="40" w:type="dxa"/>
              <w:left w:w="0" w:type="dxa"/>
              <w:bottom w:w="40" w:type="dxa"/>
              <w:right w:w="20" w:type="dxa"/>
            </w:tcMar>
            <w:vAlign w:val="bottom"/>
          </w:tcPr>
          <w:p w14:paraId="74DD8CA0" w14:textId="77777777" w:rsidR="00584EC1" w:rsidRDefault="00584EC1">
            <w:pPr>
              <w:jc w:val="right"/>
              <w:rPr>
                <w:rFonts w:ascii="宋体"/>
              </w:rPr>
            </w:pPr>
          </w:p>
        </w:tc>
      </w:tr>
      <w:tr w:rsidR="00584EC1" w14:paraId="74DD8CA8" w14:textId="77777777">
        <w:tc>
          <w:tcPr>
            <w:tcW w:w="0" w:type="auto"/>
            <w:gridSpan w:val="3"/>
            <w:shd w:val="clear" w:color="auto" w:fill="CCEEFF"/>
            <w:tcMar>
              <w:top w:w="40" w:type="dxa"/>
              <w:left w:w="20" w:type="dxa"/>
              <w:bottom w:w="40" w:type="dxa"/>
              <w:right w:w="20" w:type="dxa"/>
            </w:tcMar>
            <w:vAlign w:val="bottom"/>
          </w:tcPr>
          <w:p w14:paraId="74DD8CA2" w14:textId="77777777" w:rsidR="00584EC1" w:rsidRDefault="00871F8D">
            <w:pPr>
              <w:textAlignment w:val="bottom"/>
            </w:pPr>
            <w:r>
              <w:rPr>
                <w:rFonts w:ascii="Arial" w:eastAsia="宋体" w:hAnsi="Arial" w:cs="Arial"/>
                <w:color w:val="000000"/>
                <w:sz w:val="14"/>
                <w:szCs w:val="14"/>
              </w:rPr>
              <w:t>France</w:t>
            </w:r>
          </w:p>
        </w:tc>
        <w:tc>
          <w:tcPr>
            <w:tcW w:w="0" w:type="auto"/>
            <w:gridSpan w:val="2"/>
            <w:shd w:val="clear" w:color="auto" w:fill="CCEEFF"/>
            <w:tcMar>
              <w:top w:w="40" w:type="dxa"/>
              <w:left w:w="20" w:type="dxa"/>
              <w:bottom w:w="40" w:type="dxa"/>
              <w:right w:w="0" w:type="dxa"/>
            </w:tcMar>
            <w:vAlign w:val="bottom"/>
          </w:tcPr>
          <w:p w14:paraId="74DD8CA3" w14:textId="77777777" w:rsidR="00584EC1" w:rsidRDefault="00871F8D">
            <w:pPr>
              <w:jc w:val="right"/>
              <w:textAlignment w:val="bottom"/>
            </w:pPr>
            <w:r>
              <w:rPr>
                <w:rFonts w:ascii="Arial" w:eastAsia="宋体" w:hAnsi="Arial" w:cs="Arial"/>
                <w:b/>
                <w:bCs/>
                <w:color w:val="000000"/>
                <w:sz w:val="14"/>
                <w:szCs w:val="14"/>
              </w:rPr>
              <w:t>2,272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8CA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CA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CA6" w14:textId="77777777" w:rsidR="00584EC1" w:rsidRDefault="00871F8D">
            <w:pPr>
              <w:jc w:val="right"/>
              <w:textAlignment w:val="bottom"/>
            </w:pPr>
            <w:r>
              <w:rPr>
                <w:rFonts w:ascii="Arial" w:eastAsia="宋体" w:hAnsi="Arial" w:cs="Arial"/>
                <w:color w:val="000000"/>
                <w:sz w:val="14"/>
                <w:szCs w:val="14"/>
              </w:rPr>
              <w:t>2,829 </w:t>
            </w:r>
          </w:p>
        </w:tc>
        <w:tc>
          <w:tcPr>
            <w:tcW w:w="0" w:type="auto"/>
            <w:shd w:val="clear" w:color="auto" w:fill="CCEEFF"/>
            <w:tcMar>
              <w:top w:w="40" w:type="dxa"/>
              <w:left w:w="0" w:type="dxa"/>
              <w:bottom w:w="40" w:type="dxa"/>
              <w:right w:w="20" w:type="dxa"/>
            </w:tcMar>
            <w:vAlign w:val="bottom"/>
          </w:tcPr>
          <w:p w14:paraId="74DD8CA7" w14:textId="77777777" w:rsidR="00584EC1" w:rsidRDefault="00584EC1">
            <w:pPr>
              <w:jc w:val="right"/>
              <w:rPr>
                <w:rFonts w:ascii="宋体"/>
              </w:rPr>
            </w:pPr>
          </w:p>
        </w:tc>
      </w:tr>
      <w:tr w:rsidR="00584EC1" w14:paraId="74DD8CAF" w14:textId="77777777">
        <w:tc>
          <w:tcPr>
            <w:tcW w:w="0" w:type="auto"/>
            <w:gridSpan w:val="3"/>
            <w:shd w:val="clear" w:color="auto" w:fill="FFFFFF"/>
            <w:tcMar>
              <w:top w:w="40" w:type="dxa"/>
              <w:left w:w="20" w:type="dxa"/>
              <w:bottom w:w="40" w:type="dxa"/>
              <w:right w:w="20" w:type="dxa"/>
            </w:tcMar>
            <w:vAlign w:val="bottom"/>
          </w:tcPr>
          <w:p w14:paraId="74DD8CA9" w14:textId="77777777" w:rsidR="00584EC1" w:rsidRDefault="00871F8D">
            <w:pPr>
              <w:textAlignment w:val="bottom"/>
            </w:pPr>
            <w:r>
              <w:rPr>
                <w:rFonts w:ascii="Arial" w:eastAsia="宋体" w:hAnsi="Arial" w:cs="Arial"/>
                <w:color w:val="000000"/>
                <w:sz w:val="14"/>
                <w:szCs w:val="14"/>
              </w:rPr>
              <w:t>Australia</w:t>
            </w:r>
          </w:p>
        </w:tc>
        <w:tc>
          <w:tcPr>
            <w:tcW w:w="0" w:type="auto"/>
            <w:gridSpan w:val="2"/>
            <w:shd w:val="clear" w:color="auto" w:fill="FFFFFF"/>
            <w:tcMar>
              <w:top w:w="40" w:type="dxa"/>
              <w:left w:w="20" w:type="dxa"/>
              <w:bottom w:w="40" w:type="dxa"/>
              <w:right w:w="0" w:type="dxa"/>
            </w:tcMar>
            <w:vAlign w:val="bottom"/>
          </w:tcPr>
          <w:p w14:paraId="74DD8CAA" w14:textId="77777777" w:rsidR="00584EC1" w:rsidRDefault="00871F8D">
            <w:pPr>
              <w:jc w:val="right"/>
              <w:textAlignment w:val="bottom"/>
            </w:pPr>
            <w:r>
              <w:rPr>
                <w:rFonts w:ascii="Arial" w:eastAsia="宋体" w:hAnsi="Arial" w:cs="Arial"/>
                <w:b/>
                <w:bCs/>
                <w:color w:val="000000"/>
                <w:sz w:val="14"/>
                <w:szCs w:val="14"/>
              </w:rPr>
              <w:t>2,080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8CA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CA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CAD" w14:textId="77777777" w:rsidR="00584EC1" w:rsidRDefault="00871F8D">
            <w:pPr>
              <w:jc w:val="right"/>
              <w:textAlignment w:val="bottom"/>
            </w:pPr>
            <w:r>
              <w:rPr>
                <w:rFonts w:ascii="Arial" w:eastAsia="宋体" w:hAnsi="Arial" w:cs="Arial"/>
                <w:color w:val="000000"/>
                <w:sz w:val="14"/>
                <w:szCs w:val="14"/>
              </w:rPr>
              <w:t>2,809 </w:t>
            </w:r>
          </w:p>
        </w:tc>
        <w:tc>
          <w:tcPr>
            <w:tcW w:w="0" w:type="auto"/>
            <w:shd w:val="clear" w:color="auto" w:fill="FFFFFF"/>
            <w:tcMar>
              <w:top w:w="40" w:type="dxa"/>
              <w:left w:w="0" w:type="dxa"/>
              <w:bottom w:w="40" w:type="dxa"/>
              <w:right w:w="20" w:type="dxa"/>
            </w:tcMar>
            <w:vAlign w:val="bottom"/>
          </w:tcPr>
          <w:p w14:paraId="74DD8CAE" w14:textId="77777777" w:rsidR="00584EC1" w:rsidRDefault="00584EC1">
            <w:pPr>
              <w:jc w:val="right"/>
              <w:rPr>
                <w:rFonts w:ascii="宋体"/>
              </w:rPr>
            </w:pPr>
          </w:p>
        </w:tc>
      </w:tr>
      <w:tr w:rsidR="00584EC1" w14:paraId="74DD8CB6" w14:textId="77777777">
        <w:tc>
          <w:tcPr>
            <w:tcW w:w="0" w:type="auto"/>
            <w:gridSpan w:val="3"/>
            <w:shd w:val="clear" w:color="auto" w:fill="CCEEFF"/>
            <w:tcMar>
              <w:top w:w="40" w:type="dxa"/>
              <w:left w:w="20" w:type="dxa"/>
              <w:bottom w:w="40" w:type="dxa"/>
              <w:right w:w="20" w:type="dxa"/>
            </w:tcMar>
            <w:vAlign w:val="bottom"/>
          </w:tcPr>
          <w:p w14:paraId="74DD8CB0" w14:textId="77777777" w:rsidR="00584EC1" w:rsidRDefault="00871F8D">
            <w:pPr>
              <w:textAlignment w:val="bottom"/>
            </w:pPr>
            <w:r>
              <w:rPr>
                <w:rFonts w:ascii="Arial" w:eastAsia="宋体" w:hAnsi="Arial" w:cs="Arial"/>
                <w:color w:val="000000"/>
                <w:sz w:val="14"/>
                <w:szCs w:val="14"/>
              </w:rPr>
              <w:t>Austria</w:t>
            </w:r>
          </w:p>
        </w:tc>
        <w:tc>
          <w:tcPr>
            <w:tcW w:w="0" w:type="auto"/>
            <w:gridSpan w:val="2"/>
            <w:shd w:val="clear" w:color="auto" w:fill="CCEEFF"/>
            <w:tcMar>
              <w:top w:w="40" w:type="dxa"/>
              <w:left w:w="20" w:type="dxa"/>
              <w:bottom w:w="40" w:type="dxa"/>
              <w:right w:w="0" w:type="dxa"/>
            </w:tcMar>
            <w:vAlign w:val="bottom"/>
          </w:tcPr>
          <w:p w14:paraId="74DD8CB1" w14:textId="77777777" w:rsidR="00584EC1" w:rsidRDefault="00871F8D">
            <w:pPr>
              <w:jc w:val="right"/>
              <w:textAlignment w:val="bottom"/>
            </w:pPr>
            <w:r>
              <w:rPr>
                <w:rFonts w:ascii="Arial" w:eastAsia="宋体" w:hAnsi="Arial" w:cs="Arial"/>
                <w:b/>
                <w:bCs/>
                <w:color w:val="000000"/>
                <w:sz w:val="14"/>
                <w:szCs w:val="14"/>
              </w:rPr>
              <w:t>1,394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8CB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CB3"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CB4" w14:textId="77777777" w:rsidR="00584EC1" w:rsidRDefault="00871F8D">
            <w:pPr>
              <w:jc w:val="right"/>
              <w:textAlignment w:val="bottom"/>
            </w:pPr>
            <w:r>
              <w:rPr>
                <w:rFonts w:ascii="Arial" w:eastAsia="宋体" w:hAnsi="Arial" w:cs="Arial"/>
                <w:color w:val="000000"/>
                <w:sz w:val="14"/>
                <w:szCs w:val="14"/>
              </w:rPr>
              <w:t>1,544 </w:t>
            </w:r>
          </w:p>
        </w:tc>
        <w:tc>
          <w:tcPr>
            <w:tcW w:w="0" w:type="auto"/>
            <w:shd w:val="clear" w:color="auto" w:fill="CCEEFF"/>
            <w:tcMar>
              <w:top w:w="40" w:type="dxa"/>
              <w:left w:w="0" w:type="dxa"/>
              <w:bottom w:w="40" w:type="dxa"/>
              <w:right w:w="20" w:type="dxa"/>
            </w:tcMar>
            <w:vAlign w:val="bottom"/>
          </w:tcPr>
          <w:p w14:paraId="74DD8CB5" w14:textId="77777777" w:rsidR="00584EC1" w:rsidRDefault="00584EC1">
            <w:pPr>
              <w:jc w:val="right"/>
              <w:rPr>
                <w:rFonts w:ascii="宋体"/>
              </w:rPr>
            </w:pPr>
          </w:p>
        </w:tc>
      </w:tr>
      <w:tr w:rsidR="00584EC1" w14:paraId="74DD8CBD" w14:textId="77777777">
        <w:tc>
          <w:tcPr>
            <w:tcW w:w="0" w:type="auto"/>
            <w:gridSpan w:val="3"/>
            <w:shd w:val="clear" w:color="auto" w:fill="FFFFFF"/>
            <w:tcMar>
              <w:top w:w="40" w:type="dxa"/>
              <w:left w:w="20" w:type="dxa"/>
              <w:bottom w:w="40" w:type="dxa"/>
              <w:right w:w="20" w:type="dxa"/>
            </w:tcMar>
            <w:vAlign w:val="bottom"/>
          </w:tcPr>
          <w:p w14:paraId="74DD8CB7" w14:textId="77777777" w:rsidR="00584EC1" w:rsidRDefault="00871F8D">
            <w:pPr>
              <w:textAlignment w:val="bottom"/>
            </w:pPr>
            <w:r>
              <w:rPr>
                <w:rFonts w:ascii="Arial" w:eastAsia="宋体" w:hAnsi="Arial" w:cs="Arial"/>
                <w:color w:val="000000"/>
                <w:sz w:val="14"/>
                <w:szCs w:val="14"/>
              </w:rPr>
              <w:t>Japan</w:t>
            </w:r>
          </w:p>
        </w:tc>
        <w:tc>
          <w:tcPr>
            <w:tcW w:w="0" w:type="auto"/>
            <w:gridSpan w:val="2"/>
            <w:shd w:val="clear" w:color="auto" w:fill="FFFFFF"/>
            <w:tcMar>
              <w:top w:w="40" w:type="dxa"/>
              <w:left w:w="20" w:type="dxa"/>
              <w:bottom w:w="40" w:type="dxa"/>
              <w:right w:w="0" w:type="dxa"/>
            </w:tcMar>
            <w:vAlign w:val="bottom"/>
          </w:tcPr>
          <w:p w14:paraId="74DD8CB8" w14:textId="77777777" w:rsidR="00584EC1" w:rsidRDefault="00871F8D">
            <w:pPr>
              <w:jc w:val="right"/>
              <w:textAlignment w:val="bottom"/>
            </w:pPr>
            <w:r>
              <w:rPr>
                <w:rFonts w:ascii="Arial" w:eastAsia="宋体" w:hAnsi="Arial" w:cs="Arial"/>
                <w:b/>
                <w:bCs/>
                <w:color w:val="000000"/>
                <w:sz w:val="14"/>
                <w:szCs w:val="14"/>
              </w:rPr>
              <w:t>1,382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8CB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CB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CBB" w14:textId="77777777" w:rsidR="00584EC1" w:rsidRDefault="00871F8D">
            <w:pPr>
              <w:jc w:val="right"/>
              <w:textAlignment w:val="bottom"/>
            </w:pPr>
            <w:r>
              <w:rPr>
                <w:rFonts w:ascii="Arial" w:eastAsia="宋体" w:hAnsi="Arial" w:cs="Arial"/>
                <w:color w:val="000000"/>
                <w:sz w:val="14"/>
                <w:szCs w:val="14"/>
              </w:rPr>
              <w:t>560 </w:t>
            </w:r>
          </w:p>
        </w:tc>
        <w:tc>
          <w:tcPr>
            <w:tcW w:w="0" w:type="auto"/>
            <w:shd w:val="clear" w:color="auto" w:fill="FFFFFF"/>
            <w:tcMar>
              <w:top w:w="40" w:type="dxa"/>
              <w:left w:w="0" w:type="dxa"/>
              <w:bottom w:w="40" w:type="dxa"/>
              <w:right w:w="20" w:type="dxa"/>
            </w:tcMar>
            <w:vAlign w:val="bottom"/>
          </w:tcPr>
          <w:p w14:paraId="74DD8CBC" w14:textId="77777777" w:rsidR="00584EC1" w:rsidRDefault="00584EC1">
            <w:pPr>
              <w:jc w:val="right"/>
              <w:rPr>
                <w:rFonts w:ascii="宋体"/>
              </w:rPr>
            </w:pPr>
          </w:p>
        </w:tc>
      </w:tr>
      <w:tr w:rsidR="00584EC1" w14:paraId="74DD8CC4" w14:textId="77777777">
        <w:tc>
          <w:tcPr>
            <w:tcW w:w="0" w:type="auto"/>
            <w:gridSpan w:val="3"/>
            <w:shd w:val="clear" w:color="auto" w:fill="CCEEFF"/>
            <w:tcMar>
              <w:top w:w="40" w:type="dxa"/>
              <w:left w:w="20" w:type="dxa"/>
              <w:bottom w:w="40" w:type="dxa"/>
              <w:right w:w="20" w:type="dxa"/>
            </w:tcMar>
            <w:vAlign w:val="bottom"/>
          </w:tcPr>
          <w:p w14:paraId="74DD8CBE" w14:textId="77777777" w:rsidR="00584EC1" w:rsidRDefault="00871F8D">
            <w:pPr>
              <w:textAlignment w:val="bottom"/>
            </w:pPr>
            <w:r>
              <w:rPr>
                <w:rFonts w:ascii="Arial" w:eastAsia="宋体" w:hAnsi="Arial" w:cs="Arial"/>
                <w:color w:val="000000"/>
                <w:sz w:val="14"/>
                <w:szCs w:val="14"/>
              </w:rPr>
              <w:t>Spain</w:t>
            </w:r>
          </w:p>
        </w:tc>
        <w:tc>
          <w:tcPr>
            <w:tcW w:w="0" w:type="auto"/>
            <w:gridSpan w:val="2"/>
            <w:shd w:val="clear" w:color="auto" w:fill="CCEEFF"/>
            <w:tcMar>
              <w:top w:w="40" w:type="dxa"/>
              <w:left w:w="20" w:type="dxa"/>
              <w:bottom w:w="40" w:type="dxa"/>
              <w:right w:w="0" w:type="dxa"/>
            </w:tcMar>
            <w:vAlign w:val="bottom"/>
          </w:tcPr>
          <w:p w14:paraId="74DD8CBF" w14:textId="77777777" w:rsidR="00584EC1" w:rsidRDefault="00871F8D">
            <w:pPr>
              <w:jc w:val="right"/>
              <w:textAlignment w:val="bottom"/>
            </w:pPr>
            <w:r>
              <w:rPr>
                <w:rFonts w:ascii="Arial" w:eastAsia="宋体" w:hAnsi="Arial" w:cs="Arial"/>
                <w:b/>
                <w:bCs/>
                <w:color w:val="000000"/>
                <w:sz w:val="14"/>
                <w:szCs w:val="14"/>
              </w:rPr>
              <w:t>1,264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8CC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CC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CC2" w14:textId="77777777" w:rsidR="00584EC1" w:rsidRDefault="00871F8D">
            <w:pPr>
              <w:jc w:val="right"/>
              <w:textAlignment w:val="bottom"/>
            </w:pPr>
            <w:r>
              <w:rPr>
                <w:rFonts w:ascii="Arial" w:eastAsia="宋体" w:hAnsi="Arial" w:cs="Arial"/>
                <w:color w:val="000000"/>
                <w:sz w:val="14"/>
                <w:szCs w:val="14"/>
              </w:rPr>
              <w:t>1,642 </w:t>
            </w:r>
          </w:p>
        </w:tc>
        <w:tc>
          <w:tcPr>
            <w:tcW w:w="0" w:type="auto"/>
            <w:shd w:val="clear" w:color="auto" w:fill="CCEEFF"/>
            <w:tcMar>
              <w:top w:w="40" w:type="dxa"/>
              <w:left w:w="0" w:type="dxa"/>
              <w:bottom w:w="40" w:type="dxa"/>
              <w:right w:w="20" w:type="dxa"/>
            </w:tcMar>
            <w:vAlign w:val="bottom"/>
          </w:tcPr>
          <w:p w14:paraId="74DD8CC3" w14:textId="77777777" w:rsidR="00584EC1" w:rsidRDefault="00584EC1">
            <w:pPr>
              <w:jc w:val="right"/>
              <w:rPr>
                <w:rFonts w:ascii="宋体"/>
              </w:rPr>
            </w:pPr>
          </w:p>
        </w:tc>
      </w:tr>
      <w:tr w:rsidR="00584EC1" w14:paraId="74DD8CCB" w14:textId="77777777">
        <w:tc>
          <w:tcPr>
            <w:tcW w:w="0" w:type="auto"/>
            <w:gridSpan w:val="3"/>
            <w:shd w:val="clear" w:color="auto" w:fill="FFFFFF"/>
            <w:tcMar>
              <w:top w:w="40" w:type="dxa"/>
              <w:left w:w="20" w:type="dxa"/>
              <w:bottom w:w="40" w:type="dxa"/>
              <w:right w:w="20" w:type="dxa"/>
            </w:tcMar>
            <w:vAlign w:val="bottom"/>
          </w:tcPr>
          <w:p w14:paraId="74DD8CC5" w14:textId="77777777" w:rsidR="00584EC1" w:rsidRDefault="00871F8D">
            <w:pPr>
              <w:textAlignment w:val="bottom"/>
            </w:pPr>
            <w:r>
              <w:rPr>
                <w:rFonts w:ascii="Arial" w:eastAsia="宋体" w:hAnsi="Arial" w:cs="Arial"/>
                <w:color w:val="000000"/>
                <w:sz w:val="14"/>
                <w:szCs w:val="14"/>
              </w:rPr>
              <w:t>Netherlands</w:t>
            </w:r>
          </w:p>
        </w:tc>
        <w:tc>
          <w:tcPr>
            <w:tcW w:w="0" w:type="auto"/>
            <w:gridSpan w:val="2"/>
            <w:shd w:val="clear" w:color="auto" w:fill="FFFFFF"/>
            <w:tcMar>
              <w:top w:w="40" w:type="dxa"/>
              <w:left w:w="20" w:type="dxa"/>
              <w:bottom w:w="40" w:type="dxa"/>
              <w:right w:w="0" w:type="dxa"/>
            </w:tcMar>
            <w:vAlign w:val="bottom"/>
          </w:tcPr>
          <w:p w14:paraId="74DD8CC6" w14:textId="77777777" w:rsidR="00584EC1" w:rsidRDefault="00871F8D">
            <w:pPr>
              <w:jc w:val="right"/>
              <w:textAlignment w:val="bottom"/>
            </w:pPr>
            <w:r>
              <w:rPr>
                <w:rFonts w:ascii="Arial" w:eastAsia="宋体" w:hAnsi="Arial" w:cs="Arial"/>
                <w:b/>
                <w:bCs/>
                <w:color w:val="000000"/>
                <w:sz w:val="14"/>
                <w:szCs w:val="14"/>
              </w:rPr>
              <w:t>1,195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8CC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CC8"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CC9" w14:textId="77777777" w:rsidR="00584EC1" w:rsidRDefault="00871F8D">
            <w:pPr>
              <w:jc w:val="right"/>
              <w:textAlignment w:val="bottom"/>
            </w:pPr>
            <w:r>
              <w:rPr>
                <w:rFonts w:ascii="Arial" w:eastAsia="宋体" w:hAnsi="Arial" w:cs="Arial"/>
                <w:color w:val="000000"/>
                <w:sz w:val="14"/>
                <w:szCs w:val="14"/>
              </w:rPr>
              <w:t>1,528 </w:t>
            </w:r>
          </w:p>
        </w:tc>
        <w:tc>
          <w:tcPr>
            <w:tcW w:w="0" w:type="auto"/>
            <w:shd w:val="clear" w:color="auto" w:fill="FFFFFF"/>
            <w:tcMar>
              <w:top w:w="40" w:type="dxa"/>
              <w:left w:w="0" w:type="dxa"/>
              <w:bottom w:w="40" w:type="dxa"/>
              <w:right w:w="20" w:type="dxa"/>
            </w:tcMar>
            <w:vAlign w:val="bottom"/>
          </w:tcPr>
          <w:p w14:paraId="74DD8CCA" w14:textId="77777777" w:rsidR="00584EC1" w:rsidRDefault="00584EC1">
            <w:pPr>
              <w:jc w:val="right"/>
              <w:rPr>
                <w:rFonts w:ascii="宋体"/>
              </w:rPr>
            </w:pPr>
          </w:p>
        </w:tc>
      </w:tr>
      <w:tr w:rsidR="00584EC1" w14:paraId="74DD8CD2" w14:textId="77777777">
        <w:tc>
          <w:tcPr>
            <w:tcW w:w="0" w:type="auto"/>
            <w:gridSpan w:val="3"/>
            <w:shd w:val="clear" w:color="auto" w:fill="CCEEFF"/>
            <w:tcMar>
              <w:top w:w="40" w:type="dxa"/>
              <w:left w:w="20" w:type="dxa"/>
              <w:bottom w:w="40" w:type="dxa"/>
              <w:right w:w="20" w:type="dxa"/>
            </w:tcMar>
            <w:vAlign w:val="bottom"/>
          </w:tcPr>
          <w:p w14:paraId="74DD8CCC" w14:textId="77777777" w:rsidR="00584EC1" w:rsidRDefault="00871F8D">
            <w:pPr>
              <w:textAlignment w:val="bottom"/>
            </w:pPr>
            <w:r>
              <w:rPr>
                <w:rFonts w:ascii="Arial" w:eastAsia="宋体" w:hAnsi="Arial" w:cs="Arial"/>
                <w:color w:val="000000"/>
                <w:sz w:val="14"/>
                <w:szCs w:val="14"/>
              </w:rPr>
              <w:t>United Kingdom</w:t>
            </w:r>
          </w:p>
        </w:tc>
        <w:tc>
          <w:tcPr>
            <w:tcW w:w="0" w:type="auto"/>
            <w:gridSpan w:val="2"/>
            <w:shd w:val="clear" w:color="auto" w:fill="CCEEFF"/>
            <w:tcMar>
              <w:top w:w="40" w:type="dxa"/>
              <w:left w:w="20" w:type="dxa"/>
              <w:bottom w:w="40" w:type="dxa"/>
              <w:right w:w="0" w:type="dxa"/>
            </w:tcMar>
            <w:vAlign w:val="bottom"/>
          </w:tcPr>
          <w:p w14:paraId="74DD8CCD" w14:textId="77777777" w:rsidR="00584EC1" w:rsidRDefault="00871F8D">
            <w:pPr>
              <w:jc w:val="right"/>
              <w:textAlignment w:val="bottom"/>
            </w:pPr>
            <w:r>
              <w:rPr>
                <w:rFonts w:ascii="Arial" w:eastAsia="宋体" w:hAnsi="Arial" w:cs="Arial"/>
                <w:b/>
                <w:bCs/>
                <w:color w:val="000000"/>
                <w:sz w:val="14"/>
                <w:szCs w:val="14"/>
              </w:rPr>
              <w:t>1,177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8CC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CCF"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CD0" w14:textId="77777777" w:rsidR="00584EC1" w:rsidRDefault="00871F8D">
            <w:pPr>
              <w:jc w:val="right"/>
              <w:textAlignment w:val="bottom"/>
            </w:pPr>
            <w:r>
              <w:rPr>
                <w:rFonts w:ascii="Arial" w:eastAsia="宋体" w:hAnsi="Arial" w:cs="Arial"/>
                <w:color w:val="000000"/>
                <w:sz w:val="14"/>
                <w:szCs w:val="14"/>
              </w:rPr>
              <w:t>1,209 </w:t>
            </w:r>
          </w:p>
        </w:tc>
        <w:tc>
          <w:tcPr>
            <w:tcW w:w="0" w:type="auto"/>
            <w:shd w:val="clear" w:color="auto" w:fill="CCEEFF"/>
            <w:tcMar>
              <w:top w:w="40" w:type="dxa"/>
              <w:left w:w="0" w:type="dxa"/>
              <w:bottom w:w="40" w:type="dxa"/>
              <w:right w:w="20" w:type="dxa"/>
            </w:tcMar>
            <w:vAlign w:val="bottom"/>
          </w:tcPr>
          <w:p w14:paraId="74DD8CD1" w14:textId="77777777" w:rsidR="00584EC1" w:rsidRDefault="00584EC1">
            <w:pPr>
              <w:jc w:val="right"/>
              <w:rPr>
                <w:rFonts w:ascii="宋体"/>
              </w:rPr>
            </w:pPr>
          </w:p>
        </w:tc>
      </w:tr>
      <w:tr w:rsidR="00584EC1" w14:paraId="74DD8CD9" w14:textId="77777777">
        <w:tc>
          <w:tcPr>
            <w:tcW w:w="0" w:type="auto"/>
            <w:gridSpan w:val="3"/>
            <w:shd w:val="clear" w:color="auto" w:fill="FFFFFF"/>
            <w:tcMar>
              <w:top w:w="40" w:type="dxa"/>
              <w:left w:w="20" w:type="dxa"/>
              <w:bottom w:w="40" w:type="dxa"/>
              <w:right w:w="20" w:type="dxa"/>
            </w:tcMar>
            <w:vAlign w:val="bottom"/>
          </w:tcPr>
          <w:p w14:paraId="74DD8CD3" w14:textId="77777777" w:rsidR="00584EC1" w:rsidRDefault="00871F8D">
            <w:pPr>
              <w:textAlignment w:val="bottom"/>
            </w:pPr>
            <w:r>
              <w:rPr>
                <w:rFonts w:ascii="Arial" w:eastAsia="宋体" w:hAnsi="Arial" w:cs="Arial"/>
                <w:color w:val="000000"/>
                <w:sz w:val="14"/>
                <w:szCs w:val="14"/>
              </w:rPr>
              <w:t>Belgium</w:t>
            </w:r>
          </w:p>
        </w:tc>
        <w:tc>
          <w:tcPr>
            <w:tcW w:w="0" w:type="auto"/>
            <w:gridSpan w:val="2"/>
            <w:shd w:val="clear" w:color="auto" w:fill="FFFFFF"/>
            <w:tcMar>
              <w:top w:w="40" w:type="dxa"/>
              <w:left w:w="20" w:type="dxa"/>
              <w:bottom w:w="40" w:type="dxa"/>
              <w:right w:w="0" w:type="dxa"/>
            </w:tcMar>
            <w:vAlign w:val="bottom"/>
          </w:tcPr>
          <w:p w14:paraId="74DD8CD4" w14:textId="77777777" w:rsidR="00584EC1" w:rsidRDefault="00871F8D">
            <w:pPr>
              <w:jc w:val="right"/>
              <w:textAlignment w:val="bottom"/>
            </w:pPr>
            <w:r>
              <w:rPr>
                <w:rFonts w:ascii="Arial" w:eastAsia="宋体" w:hAnsi="Arial" w:cs="Arial"/>
                <w:b/>
                <w:bCs/>
                <w:color w:val="000000"/>
                <w:sz w:val="14"/>
                <w:szCs w:val="14"/>
              </w:rPr>
              <w:t>1,077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8CD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CD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CD7" w14:textId="77777777" w:rsidR="00584EC1" w:rsidRDefault="00871F8D">
            <w:pPr>
              <w:jc w:val="right"/>
              <w:textAlignment w:val="bottom"/>
            </w:pPr>
            <w:r>
              <w:rPr>
                <w:rFonts w:ascii="Arial" w:eastAsia="宋体" w:hAnsi="Arial" w:cs="Arial"/>
                <w:color w:val="000000"/>
                <w:sz w:val="14"/>
                <w:szCs w:val="14"/>
              </w:rPr>
              <w:t>1,618 </w:t>
            </w:r>
          </w:p>
        </w:tc>
        <w:tc>
          <w:tcPr>
            <w:tcW w:w="0" w:type="auto"/>
            <w:shd w:val="clear" w:color="auto" w:fill="FFFFFF"/>
            <w:tcMar>
              <w:top w:w="40" w:type="dxa"/>
              <w:left w:w="0" w:type="dxa"/>
              <w:bottom w:w="40" w:type="dxa"/>
              <w:right w:w="20" w:type="dxa"/>
            </w:tcMar>
            <w:vAlign w:val="bottom"/>
          </w:tcPr>
          <w:p w14:paraId="74DD8CD8" w14:textId="77777777" w:rsidR="00584EC1" w:rsidRDefault="00584EC1">
            <w:pPr>
              <w:jc w:val="right"/>
              <w:rPr>
                <w:rFonts w:ascii="宋体"/>
              </w:rPr>
            </w:pPr>
          </w:p>
        </w:tc>
      </w:tr>
      <w:tr w:rsidR="00584EC1" w14:paraId="74DD8CE0" w14:textId="77777777">
        <w:tc>
          <w:tcPr>
            <w:tcW w:w="0" w:type="auto"/>
            <w:gridSpan w:val="3"/>
            <w:shd w:val="clear" w:color="auto" w:fill="CCEEFF"/>
            <w:tcMar>
              <w:top w:w="40" w:type="dxa"/>
              <w:left w:w="20" w:type="dxa"/>
              <w:bottom w:w="40" w:type="dxa"/>
              <w:right w:w="20" w:type="dxa"/>
            </w:tcMar>
            <w:vAlign w:val="bottom"/>
          </w:tcPr>
          <w:p w14:paraId="74DD8CDA" w14:textId="77777777" w:rsidR="00584EC1" w:rsidRDefault="00871F8D">
            <w:pPr>
              <w:textAlignment w:val="bottom"/>
            </w:pPr>
            <w:r>
              <w:rPr>
                <w:rFonts w:ascii="Arial" w:eastAsia="宋体" w:hAnsi="Arial" w:cs="Arial"/>
                <w:color w:val="000000"/>
                <w:sz w:val="14"/>
                <w:szCs w:val="14"/>
              </w:rPr>
              <w:t>Italy</w:t>
            </w:r>
          </w:p>
        </w:tc>
        <w:tc>
          <w:tcPr>
            <w:tcW w:w="0" w:type="auto"/>
            <w:gridSpan w:val="2"/>
            <w:shd w:val="clear" w:color="auto" w:fill="CCEEFF"/>
            <w:tcMar>
              <w:top w:w="40" w:type="dxa"/>
              <w:left w:w="20" w:type="dxa"/>
              <w:bottom w:w="40" w:type="dxa"/>
              <w:right w:w="0" w:type="dxa"/>
            </w:tcMar>
            <w:vAlign w:val="bottom"/>
          </w:tcPr>
          <w:p w14:paraId="74DD8CDB" w14:textId="77777777" w:rsidR="00584EC1" w:rsidRDefault="00871F8D">
            <w:pPr>
              <w:jc w:val="right"/>
              <w:textAlignment w:val="bottom"/>
            </w:pPr>
            <w:r>
              <w:rPr>
                <w:rFonts w:ascii="Arial" w:eastAsia="宋体" w:hAnsi="Arial" w:cs="Arial"/>
                <w:b/>
                <w:bCs/>
                <w:color w:val="000000"/>
                <w:sz w:val="14"/>
                <w:szCs w:val="14"/>
              </w:rPr>
              <w:t>867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8CD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CD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CDE" w14:textId="77777777" w:rsidR="00584EC1" w:rsidRDefault="00871F8D">
            <w:pPr>
              <w:jc w:val="right"/>
              <w:textAlignment w:val="bottom"/>
            </w:pPr>
            <w:r>
              <w:rPr>
                <w:rFonts w:ascii="Arial" w:eastAsia="宋体" w:hAnsi="Arial" w:cs="Arial"/>
                <w:color w:val="000000"/>
                <w:sz w:val="14"/>
                <w:szCs w:val="14"/>
              </w:rPr>
              <w:t>1,014 </w:t>
            </w:r>
          </w:p>
        </w:tc>
        <w:tc>
          <w:tcPr>
            <w:tcW w:w="0" w:type="auto"/>
            <w:shd w:val="clear" w:color="auto" w:fill="CCEEFF"/>
            <w:tcMar>
              <w:top w:w="40" w:type="dxa"/>
              <w:left w:w="0" w:type="dxa"/>
              <w:bottom w:w="40" w:type="dxa"/>
              <w:right w:w="20" w:type="dxa"/>
            </w:tcMar>
            <w:vAlign w:val="bottom"/>
          </w:tcPr>
          <w:p w14:paraId="74DD8CDF" w14:textId="77777777" w:rsidR="00584EC1" w:rsidRDefault="00584EC1">
            <w:pPr>
              <w:jc w:val="right"/>
              <w:rPr>
                <w:rFonts w:ascii="宋体"/>
              </w:rPr>
            </w:pPr>
          </w:p>
        </w:tc>
      </w:tr>
      <w:tr w:rsidR="00584EC1" w14:paraId="74DD8CE7" w14:textId="77777777">
        <w:tc>
          <w:tcPr>
            <w:tcW w:w="0" w:type="auto"/>
            <w:gridSpan w:val="3"/>
            <w:shd w:val="clear" w:color="auto" w:fill="FFFFFF"/>
            <w:tcMar>
              <w:top w:w="40" w:type="dxa"/>
              <w:left w:w="20" w:type="dxa"/>
              <w:bottom w:w="40" w:type="dxa"/>
              <w:right w:w="20" w:type="dxa"/>
            </w:tcMar>
            <w:vAlign w:val="bottom"/>
          </w:tcPr>
          <w:p w14:paraId="74DD8CE1" w14:textId="77777777" w:rsidR="00584EC1" w:rsidRDefault="00871F8D">
            <w:pPr>
              <w:textAlignment w:val="bottom"/>
            </w:pPr>
            <w:r>
              <w:rPr>
                <w:rFonts w:ascii="Arial" w:eastAsia="宋体" w:hAnsi="Arial" w:cs="Arial"/>
                <w:color w:val="000000"/>
                <w:sz w:val="14"/>
                <w:szCs w:val="14"/>
              </w:rPr>
              <w:t>Finland</w:t>
            </w:r>
          </w:p>
        </w:tc>
        <w:tc>
          <w:tcPr>
            <w:tcW w:w="0" w:type="auto"/>
            <w:gridSpan w:val="2"/>
            <w:shd w:val="clear" w:color="auto" w:fill="FFFFFF"/>
            <w:tcMar>
              <w:top w:w="40" w:type="dxa"/>
              <w:left w:w="20" w:type="dxa"/>
              <w:bottom w:w="40" w:type="dxa"/>
              <w:right w:w="0" w:type="dxa"/>
            </w:tcMar>
            <w:vAlign w:val="bottom"/>
          </w:tcPr>
          <w:p w14:paraId="74DD8CE2" w14:textId="77777777" w:rsidR="00584EC1" w:rsidRDefault="00871F8D">
            <w:pPr>
              <w:jc w:val="right"/>
              <w:textAlignment w:val="bottom"/>
            </w:pPr>
            <w:r>
              <w:rPr>
                <w:rFonts w:ascii="Arial" w:eastAsia="宋体" w:hAnsi="Arial" w:cs="Arial"/>
                <w:b/>
                <w:bCs/>
                <w:color w:val="000000"/>
                <w:sz w:val="14"/>
                <w:szCs w:val="14"/>
              </w:rPr>
              <w:t>866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8CE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CE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CE5" w14:textId="77777777" w:rsidR="00584EC1" w:rsidRDefault="00871F8D">
            <w:pPr>
              <w:jc w:val="right"/>
              <w:textAlignment w:val="bottom"/>
            </w:pPr>
            <w:r>
              <w:rPr>
                <w:rFonts w:ascii="Arial" w:eastAsia="宋体" w:hAnsi="Arial" w:cs="Arial"/>
                <w:color w:val="000000"/>
                <w:sz w:val="14"/>
                <w:szCs w:val="14"/>
              </w:rPr>
              <w:t>1,222 </w:t>
            </w:r>
          </w:p>
        </w:tc>
        <w:tc>
          <w:tcPr>
            <w:tcW w:w="0" w:type="auto"/>
            <w:shd w:val="clear" w:color="auto" w:fill="FFFFFF"/>
            <w:tcMar>
              <w:top w:w="40" w:type="dxa"/>
              <w:left w:w="0" w:type="dxa"/>
              <w:bottom w:w="40" w:type="dxa"/>
              <w:right w:w="20" w:type="dxa"/>
            </w:tcMar>
            <w:vAlign w:val="bottom"/>
          </w:tcPr>
          <w:p w14:paraId="74DD8CE6" w14:textId="77777777" w:rsidR="00584EC1" w:rsidRDefault="00584EC1">
            <w:pPr>
              <w:jc w:val="right"/>
              <w:rPr>
                <w:rFonts w:ascii="宋体"/>
              </w:rPr>
            </w:pPr>
          </w:p>
        </w:tc>
      </w:tr>
      <w:tr w:rsidR="00584EC1" w14:paraId="74DD8CEE" w14:textId="77777777">
        <w:tc>
          <w:tcPr>
            <w:tcW w:w="0" w:type="auto"/>
            <w:gridSpan w:val="3"/>
            <w:shd w:val="clear" w:color="auto" w:fill="CCEEFF"/>
            <w:tcMar>
              <w:top w:w="40" w:type="dxa"/>
              <w:left w:w="20" w:type="dxa"/>
              <w:bottom w:w="40" w:type="dxa"/>
              <w:right w:w="20" w:type="dxa"/>
            </w:tcMar>
            <w:vAlign w:val="bottom"/>
          </w:tcPr>
          <w:p w14:paraId="74DD8CE8" w14:textId="77777777" w:rsidR="00584EC1" w:rsidRDefault="00871F8D">
            <w:pPr>
              <w:textAlignment w:val="bottom"/>
            </w:pPr>
            <w:r>
              <w:rPr>
                <w:rFonts w:ascii="Arial" w:eastAsia="宋体" w:hAnsi="Arial" w:cs="Arial"/>
                <w:color w:val="000000"/>
                <w:sz w:val="14"/>
                <w:szCs w:val="14"/>
              </w:rPr>
              <w:t>Ireland</w:t>
            </w:r>
          </w:p>
        </w:tc>
        <w:tc>
          <w:tcPr>
            <w:tcW w:w="0" w:type="auto"/>
            <w:gridSpan w:val="2"/>
            <w:shd w:val="clear" w:color="auto" w:fill="CCEEFF"/>
            <w:tcMar>
              <w:top w:w="40" w:type="dxa"/>
              <w:left w:w="20" w:type="dxa"/>
              <w:bottom w:w="40" w:type="dxa"/>
              <w:right w:w="0" w:type="dxa"/>
            </w:tcMar>
            <w:vAlign w:val="bottom"/>
          </w:tcPr>
          <w:p w14:paraId="74DD8CE9" w14:textId="77777777" w:rsidR="00584EC1" w:rsidRDefault="00871F8D">
            <w:pPr>
              <w:jc w:val="right"/>
              <w:textAlignment w:val="bottom"/>
            </w:pPr>
            <w:r>
              <w:rPr>
                <w:rFonts w:ascii="Arial" w:eastAsia="宋体" w:hAnsi="Arial" w:cs="Arial"/>
                <w:b/>
                <w:bCs/>
                <w:color w:val="000000"/>
                <w:sz w:val="14"/>
                <w:szCs w:val="14"/>
              </w:rPr>
              <w:t>768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8CE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CE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CEC" w14:textId="77777777" w:rsidR="00584EC1" w:rsidRDefault="00871F8D">
            <w:pPr>
              <w:jc w:val="right"/>
              <w:textAlignment w:val="bottom"/>
            </w:pPr>
            <w:r>
              <w:rPr>
                <w:rFonts w:ascii="Arial" w:eastAsia="宋体" w:hAnsi="Arial" w:cs="Arial"/>
                <w:color w:val="000000"/>
                <w:sz w:val="14"/>
                <w:szCs w:val="14"/>
              </w:rPr>
              <w:t>1,226 </w:t>
            </w:r>
          </w:p>
        </w:tc>
        <w:tc>
          <w:tcPr>
            <w:tcW w:w="0" w:type="auto"/>
            <w:shd w:val="clear" w:color="auto" w:fill="CCEEFF"/>
            <w:tcMar>
              <w:top w:w="40" w:type="dxa"/>
              <w:left w:w="0" w:type="dxa"/>
              <w:bottom w:w="40" w:type="dxa"/>
              <w:right w:w="20" w:type="dxa"/>
            </w:tcMar>
            <w:vAlign w:val="bottom"/>
          </w:tcPr>
          <w:p w14:paraId="74DD8CED" w14:textId="77777777" w:rsidR="00584EC1" w:rsidRDefault="00584EC1">
            <w:pPr>
              <w:jc w:val="right"/>
              <w:rPr>
                <w:rFonts w:ascii="宋体"/>
              </w:rPr>
            </w:pPr>
          </w:p>
        </w:tc>
      </w:tr>
      <w:tr w:rsidR="00584EC1" w14:paraId="74DD8CF5" w14:textId="77777777">
        <w:tc>
          <w:tcPr>
            <w:tcW w:w="0" w:type="auto"/>
            <w:gridSpan w:val="3"/>
            <w:shd w:val="clear" w:color="auto" w:fill="FFFFFF"/>
            <w:tcMar>
              <w:top w:w="40" w:type="dxa"/>
              <w:left w:w="20" w:type="dxa"/>
              <w:bottom w:w="40" w:type="dxa"/>
              <w:right w:w="20" w:type="dxa"/>
            </w:tcMar>
            <w:vAlign w:val="bottom"/>
          </w:tcPr>
          <w:p w14:paraId="74DD8CEF" w14:textId="77777777" w:rsidR="00584EC1" w:rsidRDefault="00871F8D">
            <w:pPr>
              <w:textAlignment w:val="bottom"/>
            </w:pPr>
            <w:r>
              <w:rPr>
                <w:rFonts w:ascii="Arial" w:eastAsia="宋体" w:hAnsi="Arial" w:cs="Arial"/>
                <w:color w:val="000000"/>
                <w:sz w:val="14"/>
                <w:szCs w:val="14"/>
              </w:rPr>
              <w:t>Other</w:t>
            </w:r>
            <w:r>
              <w:rPr>
                <w:rFonts w:ascii="Arial" w:eastAsia="宋体" w:hAnsi="Arial" w:cs="Arial"/>
                <w:color w:val="000000"/>
                <w:sz w:val="9"/>
                <w:szCs w:val="9"/>
              </w:rPr>
              <w:t>(2)</w:t>
            </w:r>
          </w:p>
        </w:tc>
        <w:tc>
          <w:tcPr>
            <w:tcW w:w="0" w:type="auto"/>
            <w:gridSpan w:val="2"/>
            <w:shd w:val="clear" w:color="auto" w:fill="FFFFFF"/>
            <w:tcMar>
              <w:top w:w="40" w:type="dxa"/>
              <w:left w:w="20" w:type="dxa"/>
              <w:bottom w:w="40" w:type="dxa"/>
              <w:right w:w="0" w:type="dxa"/>
            </w:tcMar>
            <w:vAlign w:val="bottom"/>
          </w:tcPr>
          <w:p w14:paraId="74DD8CF0" w14:textId="77777777" w:rsidR="00584EC1" w:rsidRDefault="00871F8D">
            <w:pPr>
              <w:jc w:val="right"/>
              <w:textAlignment w:val="bottom"/>
            </w:pPr>
            <w:r>
              <w:rPr>
                <w:rFonts w:ascii="Arial" w:eastAsia="宋体" w:hAnsi="Arial" w:cs="Arial"/>
                <w:b/>
                <w:bCs/>
                <w:color w:val="000000"/>
                <w:sz w:val="14"/>
                <w:szCs w:val="14"/>
              </w:rPr>
              <w:t>7,583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8CF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CF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CF3" w14:textId="77777777" w:rsidR="00584EC1" w:rsidRDefault="00871F8D">
            <w:pPr>
              <w:jc w:val="right"/>
              <w:textAlignment w:val="bottom"/>
            </w:pPr>
            <w:r>
              <w:rPr>
                <w:rFonts w:ascii="Arial" w:eastAsia="宋体" w:hAnsi="Arial" w:cs="Arial"/>
                <w:color w:val="000000"/>
                <w:sz w:val="14"/>
                <w:szCs w:val="14"/>
              </w:rPr>
              <w:t>7,210 </w:t>
            </w:r>
          </w:p>
        </w:tc>
        <w:tc>
          <w:tcPr>
            <w:tcW w:w="0" w:type="auto"/>
            <w:shd w:val="clear" w:color="auto" w:fill="FFFFFF"/>
            <w:tcMar>
              <w:top w:w="40" w:type="dxa"/>
              <w:left w:w="0" w:type="dxa"/>
              <w:bottom w:w="40" w:type="dxa"/>
              <w:right w:w="20" w:type="dxa"/>
            </w:tcMar>
            <w:vAlign w:val="bottom"/>
          </w:tcPr>
          <w:p w14:paraId="74DD8CF4" w14:textId="77777777" w:rsidR="00584EC1" w:rsidRDefault="00584EC1">
            <w:pPr>
              <w:jc w:val="right"/>
              <w:rPr>
                <w:rFonts w:ascii="宋体"/>
              </w:rPr>
            </w:pPr>
          </w:p>
        </w:tc>
      </w:tr>
      <w:tr w:rsidR="00584EC1" w14:paraId="74DD8CFE" w14:textId="77777777">
        <w:tc>
          <w:tcPr>
            <w:tcW w:w="0" w:type="auto"/>
            <w:gridSpan w:val="3"/>
            <w:shd w:val="clear" w:color="auto" w:fill="CCEEFF"/>
            <w:tcMar>
              <w:top w:w="40" w:type="dxa"/>
              <w:left w:w="20" w:type="dxa"/>
              <w:bottom w:w="40" w:type="dxa"/>
              <w:right w:w="20" w:type="dxa"/>
            </w:tcMar>
            <w:vAlign w:val="bottom"/>
          </w:tcPr>
          <w:p w14:paraId="74DD8CF6" w14:textId="77777777" w:rsidR="00584EC1" w:rsidRDefault="00871F8D">
            <w:pPr>
              <w:textAlignment w:val="bottom"/>
            </w:pPr>
            <w:r>
              <w:rPr>
                <w:rFonts w:ascii="Arial" w:eastAsia="宋体" w:hAnsi="Arial" w:cs="Arial"/>
                <w:color w:val="000000"/>
                <w:sz w:val="14"/>
                <w:szCs w:val="14"/>
              </w:rPr>
              <w:t>Total</w:t>
            </w:r>
          </w:p>
        </w:tc>
        <w:tc>
          <w:tcPr>
            <w:tcW w:w="0" w:type="auto"/>
            <w:tcBorders>
              <w:top w:val="single" w:sz="8" w:space="0" w:color="000000"/>
            </w:tcBorders>
            <w:shd w:val="clear" w:color="auto" w:fill="CCEEFF"/>
            <w:tcMar>
              <w:top w:w="40" w:type="dxa"/>
              <w:left w:w="20" w:type="dxa"/>
              <w:bottom w:w="40" w:type="dxa"/>
              <w:right w:w="0" w:type="dxa"/>
            </w:tcMar>
            <w:vAlign w:val="bottom"/>
          </w:tcPr>
          <w:p w14:paraId="74DD8CF7"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8CF8" w14:textId="77777777" w:rsidR="00584EC1" w:rsidRDefault="00871F8D">
            <w:pPr>
              <w:jc w:val="right"/>
              <w:textAlignment w:val="bottom"/>
            </w:pPr>
            <w:r>
              <w:rPr>
                <w:rFonts w:ascii="Arial" w:eastAsia="宋体" w:hAnsi="Arial" w:cs="Arial"/>
                <w:b/>
                <w:bCs/>
                <w:color w:val="000000"/>
                <w:sz w:val="14"/>
                <w:szCs w:val="14"/>
              </w:rPr>
              <w:t>30,666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CF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CFA"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8CFB"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8CFC" w14:textId="77777777" w:rsidR="00584EC1" w:rsidRDefault="00871F8D">
            <w:pPr>
              <w:jc w:val="right"/>
              <w:textAlignment w:val="bottom"/>
            </w:pPr>
            <w:r>
              <w:rPr>
                <w:rFonts w:ascii="Arial" w:eastAsia="宋体" w:hAnsi="Arial" w:cs="Arial"/>
                <w:color w:val="000000"/>
                <w:sz w:val="14"/>
                <w:szCs w:val="14"/>
              </w:rPr>
              <w:t>29,729 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CFD" w14:textId="77777777" w:rsidR="00584EC1" w:rsidRDefault="00584EC1">
            <w:pPr>
              <w:jc w:val="right"/>
              <w:rPr>
                <w:rFonts w:ascii="宋体"/>
              </w:rPr>
            </w:pPr>
          </w:p>
        </w:tc>
      </w:tr>
      <w:tr w:rsidR="00584EC1" w14:paraId="74DD8D03" w14:textId="77777777">
        <w:tc>
          <w:tcPr>
            <w:tcW w:w="0" w:type="auto"/>
            <w:gridSpan w:val="3"/>
            <w:shd w:val="clear" w:color="auto" w:fill="FFFFFF"/>
            <w:tcMar>
              <w:top w:w="40" w:type="dxa"/>
              <w:left w:w="20" w:type="dxa"/>
              <w:bottom w:w="40" w:type="dxa"/>
              <w:right w:w="20" w:type="dxa"/>
            </w:tcMar>
            <w:vAlign w:val="bottom"/>
          </w:tcPr>
          <w:p w14:paraId="74DD8CFF" w14:textId="77777777" w:rsidR="00584EC1" w:rsidRDefault="00871F8D">
            <w:pPr>
              <w:textAlignment w:val="bottom"/>
            </w:pPr>
            <w:r>
              <w:rPr>
                <w:rFonts w:ascii="Arial" w:eastAsia="宋体" w:hAnsi="Arial" w:cs="Arial"/>
                <w:b/>
                <w:bCs/>
                <w:color w:val="000000"/>
                <w:sz w:val="14"/>
                <w:szCs w:val="14"/>
              </w:rPr>
              <w:t>Held-to-maturity:</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8D00"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8D01"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8D02" w14:textId="77777777" w:rsidR="00584EC1" w:rsidRDefault="00584EC1">
            <w:pPr>
              <w:rPr>
                <w:rFonts w:ascii="宋体"/>
              </w:rPr>
            </w:pPr>
          </w:p>
        </w:tc>
      </w:tr>
      <w:tr w:rsidR="00584EC1" w14:paraId="74DD8D0C" w14:textId="77777777">
        <w:tc>
          <w:tcPr>
            <w:tcW w:w="0" w:type="auto"/>
            <w:gridSpan w:val="3"/>
            <w:shd w:val="clear" w:color="auto" w:fill="CCEEFF"/>
            <w:tcMar>
              <w:top w:w="40" w:type="dxa"/>
              <w:left w:w="20" w:type="dxa"/>
              <w:bottom w:w="40" w:type="dxa"/>
              <w:right w:w="20" w:type="dxa"/>
            </w:tcMar>
            <w:vAlign w:val="bottom"/>
          </w:tcPr>
          <w:p w14:paraId="74DD8D04" w14:textId="77777777" w:rsidR="00584EC1" w:rsidRDefault="00871F8D">
            <w:pPr>
              <w:textAlignment w:val="bottom"/>
            </w:pPr>
            <w:r>
              <w:rPr>
                <w:rFonts w:ascii="Arial" w:eastAsia="宋体" w:hAnsi="Arial" w:cs="Arial"/>
                <w:color w:val="000000"/>
                <w:sz w:val="14"/>
                <w:szCs w:val="14"/>
              </w:rPr>
              <w:t>Singapore</w:t>
            </w:r>
          </w:p>
        </w:tc>
        <w:tc>
          <w:tcPr>
            <w:tcW w:w="0" w:type="auto"/>
            <w:shd w:val="clear" w:color="auto" w:fill="CCEEFF"/>
            <w:tcMar>
              <w:top w:w="40" w:type="dxa"/>
              <w:left w:w="20" w:type="dxa"/>
              <w:bottom w:w="40" w:type="dxa"/>
              <w:right w:w="0" w:type="dxa"/>
            </w:tcMar>
            <w:vAlign w:val="bottom"/>
          </w:tcPr>
          <w:p w14:paraId="74DD8D05" w14:textId="77777777" w:rsidR="00584EC1" w:rsidRDefault="00871F8D">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4DD8D06" w14:textId="77777777" w:rsidR="00584EC1" w:rsidRDefault="00871F8D">
            <w:pPr>
              <w:jc w:val="right"/>
              <w:textAlignment w:val="bottom"/>
            </w:pPr>
            <w:r>
              <w:rPr>
                <w:rFonts w:ascii="Arial" w:eastAsia="宋体" w:hAnsi="Arial" w:cs="Arial"/>
                <w:b/>
                <w:bCs/>
                <w:color w:val="000000"/>
                <w:sz w:val="14"/>
                <w:szCs w:val="14"/>
              </w:rPr>
              <w:t>149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8D0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D08"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8D09"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8D0A" w14:textId="77777777" w:rsidR="00584EC1" w:rsidRDefault="00871F8D">
            <w:pPr>
              <w:jc w:val="right"/>
              <w:textAlignment w:val="bottom"/>
            </w:pPr>
            <w:r>
              <w:rPr>
                <w:rFonts w:ascii="Arial" w:eastAsia="宋体" w:hAnsi="Arial" w:cs="Arial"/>
                <w:color w:val="000000"/>
                <w:sz w:val="14"/>
                <w:szCs w:val="14"/>
              </w:rPr>
              <w:t>342 </w:t>
            </w:r>
          </w:p>
        </w:tc>
        <w:tc>
          <w:tcPr>
            <w:tcW w:w="0" w:type="auto"/>
            <w:shd w:val="clear" w:color="auto" w:fill="CCEEFF"/>
            <w:tcMar>
              <w:top w:w="40" w:type="dxa"/>
              <w:left w:w="0" w:type="dxa"/>
              <w:bottom w:w="40" w:type="dxa"/>
              <w:right w:w="20" w:type="dxa"/>
            </w:tcMar>
            <w:vAlign w:val="bottom"/>
          </w:tcPr>
          <w:p w14:paraId="74DD8D0B" w14:textId="77777777" w:rsidR="00584EC1" w:rsidRDefault="00584EC1">
            <w:pPr>
              <w:jc w:val="right"/>
              <w:rPr>
                <w:rFonts w:ascii="宋体"/>
              </w:rPr>
            </w:pPr>
          </w:p>
        </w:tc>
      </w:tr>
      <w:tr w:rsidR="00584EC1" w14:paraId="74DD8D13" w14:textId="77777777">
        <w:tc>
          <w:tcPr>
            <w:tcW w:w="0" w:type="auto"/>
            <w:gridSpan w:val="3"/>
            <w:shd w:val="clear" w:color="auto" w:fill="FFFFFF"/>
            <w:tcMar>
              <w:top w:w="40" w:type="dxa"/>
              <w:left w:w="20" w:type="dxa"/>
              <w:bottom w:w="40" w:type="dxa"/>
              <w:right w:w="20" w:type="dxa"/>
            </w:tcMar>
            <w:vAlign w:val="bottom"/>
          </w:tcPr>
          <w:p w14:paraId="74DD8D0D" w14:textId="77777777" w:rsidR="00584EC1" w:rsidRDefault="00871F8D">
            <w:pPr>
              <w:textAlignment w:val="bottom"/>
            </w:pPr>
            <w:r>
              <w:rPr>
                <w:rFonts w:ascii="Arial" w:eastAsia="宋体" w:hAnsi="Arial" w:cs="Arial"/>
                <w:color w:val="000000"/>
                <w:sz w:val="14"/>
                <w:szCs w:val="14"/>
              </w:rPr>
              <w:t>Australia</w:t>
            </w:r>
          </w:p>
        </w:tc>
        <w:tc>
          <w:tcPr>
            <w:tcW w:w="0" w:type="auto"/>
            <w:gridSpan w:val="2"/>
            <w:shd w:val="clear" w:color="auto" w:fill="FFFFFF"/>
            <w:tcMar>
              <w:top w:w="40" w:type="dxa"/>
              <w:left w:w="20" w:type="dxa"/>
              <w:bottom w:w="40" w:type="dxa"/>
              <w:right w:w="0" w:type="dxa"/>
            </w:tcMar>
            <w:vAlign w:val="bottom"/>
          </w:tcPr>
          <w:p w14:paraId="74DD8D0E" w14:textId="77777777" w:rsidR="00584EC1" w:rsidRDefault="00871F8D">
            <w:pPr>
              <w:jc w:val="right"/>
              <w:textAlignment w:val="bottom"/>
            </w:pPr>
            <w:r>
              <w:rPr>
                <w:rFonts w:ascii="Arial" w:eastAsia="宋体" w:hAnsi="Arial" w:cs="Arial"/>
                <w:b/>
                <w:bCs/>
                <w:color w:val="000000"/>
                <w:sz w:val="14"/>
                <w:szCs w:val="14"/>
              </w:rPr>
              <w:t>65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8D0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D1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D11" w14:textId="77777777" w:rsidR="00584EC1" w:rsidRDefault="00871F8D">
            <w:pPr>
              <w:jc w:val="right"/>
              <w:textAlignment w:val="bottom"/>
            </w:pPr>
            <w:r>
              <w:rPr>
                <w:rFonts w:ascii="Arial" w:eastAsia="宋体" w:hAnsi="Arial" w:cs="Arial"/>
                <w:color w:val="000000"/>
                <w:sz w:val="14"/>
                <w:szCs w:val="14"/>
              </w:rPr>
              <w:t>90 </w:t>
            </w:r>
          </w:p>
        </w:tc>
        <w:tc>
          <w:tcPr>
            <w:tcW w:w="0" w:type="auto"/>
            <w:shd w:val="clear" w:color="auto" w:fill="FFFFFF"/>
            <w:tcMar>
              <w:top w:w="40" w:type="dxa"/>
              <w:left w:w="0" w:type="dxa"/>
              <w:bottom w:w="40" w:type="dxa"/>
              <w:right w:w="20" w:type="dxa"/>
            </w:tcMar>
            <w:vAlign w:val="bottom"/>
          </w:tcPr>
          <w:p w14:paraId="74DD8D12" w14:textId="77777777" w:rsidR="00584EC1" w:rsidRDefault="00584EC1">
            <w:pPr>
              <w:jc w:val="right"/>
              <w:rPr>
                <w:rFonts w:ascii="宋体"/>
              </w:rPr>
            </w:pPr>
          </w:p>
        </w:tc>
      </w:tr>
      <w:tr w:rsidR="00584EC1" w14:paraId="74DD8D1A" w14:textId="77777777">
        <w:tc>
          <w:tcPr>
            <w:tcW w:w="0" w:type="auto"/>
            <w:gridSpan w:val="3"/>
            <w:shd w:val="clear" w:color="auto" w:fill="CCEEFF"/>
            <w:tcMar>
              <w:top w:w="40" w:type="dxa"/>
              <w:left w:w="20" w:type="dxa"/>
              <w:bottom w:w="40" w:type="dxa"/>
              <w:right w:w="20" w:type="dxa"/>
            </w:tcMar>
            <w:vAlign w:val="bottom"/>
          </w:tcPr>
          <w:p w14:paraId="74DD8D14" w14:textId="77777777" w:rsidR="00584EC1" w:rsidRDefault="00871F8D">
            <w:pPr>
              <w:textAlignment w:val="bottom"/>
            </w:pPr>
            <w:r>
              <w:rPr>
                <w:rFonts w:ascii="Arial" w:eastAsia="宋体" w:hAnsi="Arial" w:cs="Arial"/>
                <w:color w:val="000000"/>
                <w:sz w:val="14"/>
                <w:szCs w:val="14"/>
              </w:rPr>
              <w:t>Spain</w:t>
            </w:r>
          </w:p>
        </w:tc>
        <w:tc>
          <w:tcPr>
            <w:tcW w:w="0" w:type="auto"/>
            <w:gridSpan w:val="2"/>
            <w:shd w:val="clear" w:color="auto" w:fill="CCEEFF"/>
            <w:tcMar>
              <w:top w:w="40" w:type="dxa"/>
              <w:left w:w="20" w:type="dxa"/>
              <w:bottom w:w="40" w:type="dxa"/>
              <w:right w:w="0" w:type="dxa"/>
            </w:tcMar>
            <w:vAlign w:val="bottom"/>
          </w:tcPr>
          <w:p w14:paraId="74DD8D15" w14:textId="77777777" w:rsidR="00584EC1" w:rsidRDefault="00871F8D">
            <w:pPr>
              <w:jc w:val="right"/>
              <w:textAlignment w:val="bottom"/>
            </w:pPr>
            <w:r>
              <w:rPr>
                <w:rFonts w:ascii="Arial" w:eastAsia="宋体" w:hAnsi="Arial" w:cs="Arial"/>
                <w:b/>
                <w:bCs/>
                <w:color w:val="000000"/>
                <w:sz w:val="14"/>
                <w:szCs w:val="14"/>
              </w:rPr>
              <w:t>70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8D1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D1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D18" w14:textId="77777777" w:rsidR="00584EC1" w:rsidRDefault="00871F8D">
            <w:pPr>
              <w:jc w:val="right"/>
              <w:textAlignment w:val="bottom"/>
            </w:pPr>
            <w:r>
              <w:rPr>
                <w:rFonts w:ascii="Arial" w:eastAsia="宋体" w:hAnsi="Arial" w:cs="Arial"/>
                <w:color w:val="000000"/>
                <w:sz w:val="14"/>
                <w:szCs w:val="14"/>
              </w:rPr>
              <w:t>84 </w:t>
            </w:r>
          </w:p>
        </w:tc>
        <w:tc>
          <w:tcPr>
            <w:tcW w:w="0" w:type="auto"/>
            <w:shd w:val="clear" w:color="auto" w:fill="CCEEFF"/>
            <w:tcMar>
              <w:top w:w="40" w:type="dxa"/>
              <w:left w:w="0" w:type="dxa"/>
              <w:bottom w:w="40" w:type="dxa"/>
              <w:right w:w="20" w:type="dxa"/>
            </w:tcMar>
            <w:vAlign w:val="bottom"/>
          </w:tcPr>
          <w:p w14:paraId="74DD8D19" w14:textId="77777777" w:rsidR="00584EC1" w:rsidRDefault="00584EC1">
            <w:pPr>
              <w:jc w:val="right"/>
              <w:rPr>
                <w:rFonts w:ascii="宋体"/>
              </w:rPr>
            </w:pPr>
          </w:p>
        </w:tc>
      </w:tr>
      <w:tr w:rsidR="00584EC1" w14:paraId="74DD8D21" w14:textId="77777777">
        <w:tc>
          <w:tcPr>
            <w:tcW w:w="0" w:type="auto"/>
            <w:gridSpan w:val="3"/>
            <w:shd w:val="clear" w:color="auto" w:fill="FFFFFF"/>
            <w:tcMar>
              <w:top w:w="40" w:type="dxa"/>
              <w:left w:w="20" w:type="dxa"/>
              <w:bottom w:w="40" w:type="dxa"/>
              <w:right w:w="20" w:type="dxa"/>
            </w:tcMar>
            <w:vAlign w:val="bottom"/>
          </w:tcPr>
          <w:p w14:paraId="74DD8D1B" w14:textId="77777777" w:rsidR="00584EC1" w:rsidRDefault="00871F8D">
            <w:pPr>
              <w:textAlignment w:val="bottom"/>
            </w:pPr>
            <w:r>
              <w:rPr>
                <w:rFonts w:ascii="Arial" w:eastAsia="宋体" w:hAnsi="Arial" w:cs="Arial"/>
                <w:color w:val="000000"/>
                <w:sz w:val="14"/>
                <w:szCs w:val="14"/>
              </w:rPr>
              <w:t>Other</w:t>
            </w:r>
            <w:r>
              <w:rPr>
                <w:rFonts w:ascii="Arial" w:eastAsia="宋体" w:hAnsi="Arial" w:cs="Arial"/>
                <w:color w:val="000000"/>
                <w:sz w:val="9"/>
                <w:szCs w:val="9"/>
              </w:rPr>
              <w:t>(2)</w:t>
            </w:r>
          </w:p>
        </w:tc>
        <w:tc>
          <w:tcPr>
            <w:tcW w:w="0" w:type="auto"/>
            <w:gridSpan w:val="2"/>
            <w:shd w:val="clear" w:color="auto" w:fill="FFFFFF"/>
            <w:tcMar>
              <w:top w:w="40" w:type="dxa"/>
              <w:left w:w="20" w:type="dxa"/>
              <w:bottom w:w="40" w:type="dxa"/>
              <w:right w:w="0" w:type="dxa"/>
            </w:tcMar>
            <w:vAlign w:val="bottom"/>
          </w:tcPr>
          <w:p w14:paraId="74DD8D1C" w14:textId="77777777" w:rsidR="00584EC1" w:rsidRDefault="00871F8D">
            <w:pPr>
              <w:jc w:val="right"/>
              <w:textAlignment w:val="bottom"/>
            </w:pPr>
            <w:r>
              <w:rPr>
                <w:rFonts w:ascii="Arial" w:eastAsia="宋体" w:hAnsi="Arial" w:cs="Arial"/>
                <w:b/>
                <w:bCs/>
                <w:color w:val="000000"/>
                <w:sz w:val="14"/>
                <w:szCs w:val="14"/>
              </w:rPr>
              <w:t>1,433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8D1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D1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D1F" w14:textId="77777777" w:rsidR="00584EC1" w:rsidRDefault="00871F8D">
            <w:pPr>
              <w:jc w:val="right"/>
              <w:textAlignment w:val="bottom"/>
            </w:pPr>
            <w:r>
              <w:rPr>
                <w:rFonts w:ascii="Arial" w:eastAsia="宋体" w:hAnsi="Arial" w:cs="Arial"/>
                <w:color w:val="000000"/>
                <w:sz w:val="14"/>
                <w:szCs w:val="14"/>
              </w:rPr>
              <w:t>129 </w:t>
            </w:r>
          </w:p>
        </w:tc>
        <w:tc>
          <w:tcPr>
            <w:tcW w:w="0" w:type="auto"/>
            <w:shd w:val="clear" w:color="auto" w:fill="FFFFFF"/>
            <w:tcMar>
              <w:top w:w="40" w:type="dxa"/>
              <w:left w:w="0" w:type="dxa"/>
              <w:bottom w:w="40" w:type="dxa"/>
              <w:right w:w="20" w:type="dxa"/>
            </w:tcMar>
            <w:vAlign w:val="bottom"/>
          </w:tcPr>
          <w:p w14:paraId="74DD8D20" w14:textId="77777777" w:rsidR="00584EC1" w:rsidRDefault="00584EC1">
            <w:pPr>
              <w:jc w:val="right"/>
              <w:rPr>
                <w:rFonts w:ascii="宋体"/>
              </w:rPr>
            </w:pPr>
          </w:p>
        </w:tc>
      </w:tr>
      <w:tr w:rsidR="00584EC1" w14:paraId="74DD8D2A" w14:textId="77777777">
        <w:tc>
          <w:tcPr>
            <w:tcW w:w="0" w:type="auto"/>
            <w:gridSpan w:val="3"/>
            <w:shd w:val="clear" w:color="auto" w:fill="CCEEFF"/>
            <w:tcMar>
              <w:top w:w="40" w:type="dxa"/>
              <w:left w:w="20" w:type="dxa"/>
              <w:bottom w:w="40" w:type="dxa"/>
              <w:right w:w="20" w:type="dxa"/>
            </w:tcMar>
            <w:vAlign w:val="bottom"/>
          </w:tcPr>
          <w:p w14:paraId="74DD8D22" w14:textId="77777777" w:rsidR="00584EC1" w:rsidRDefault="00871F8D">
            <w:pPr>
              <w:textAlignment w:val="bottom"/>
            </w:pPr>
            <w:r>
              <w:rPr>
                <w:rFonts w:ascii="Arial" w:eastAsia="宋体" w:hAnsi="Arial" w:cs="Arial"/>
                <w:color w:val="000000"/>
                <w:sz w:val="14"/>
                <w:szCs w:val="14"/>
              </w:rPr>
              <w:t>Total</w:t>
            </w:r>
          </w:p>
        </w:tc>
        <w:tc>
          <w:tcPr>
            <w:tcW w:w="0" w:type="auto"/>
            <w:tcBorders>
              <w:top w:val="single" w:sz="8" w:space="0" w:color="000000"/>
            </w:tcBorders>
            <w:shd w:val="clear" w:color="auto" w:fill="CCEEFF"/>
            <w:tcMar>
              <w:top w:w="40" w:type="dxa"/>
              <w:left w:w="20" w:type="dxa"/>
              <w:bottom w:w="40" w:type="dxa"/>
              <w:right w:w="0" w:type="dxa"/>
            </w:tcMar>
            <w:vAlign w:val="bottom"/>
          </w:tcPr>
          <w:p w14:paraId="74DD8D23"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8D24" w14:textId="77777777" w:rsidR="00584EC1" w:rsidRDefault="00871F8D">
            <w:pPr>
              <w:jc w:val="right"/>
              <w:textAlignment w:val="bottom"/>
            </w:pPr>
            <w:r>
              <w:rPr>
                <w:rFonts w:ascii="Arial" w:eastAsia="宋体" w:hAnsi="Arial" w:cs="Arial"/>
                <w:b/>
                <w:bCs/>
                <w:color w:val="000000"/>
                <w:sz w:val="14"/>
                <w:szCs w:val="14"/>
              </w:rPr>
              <w:t>1,717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D2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D26"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8D27"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8D28" w14:textId="77777777" w:rsidR="00584EC1" w:rsidRDefault="00871F8D">
            <w:pPr>
              <w:jc w:val="right"/>
              <w:textAlignment w:val="bottom"/>
            </w:pPr>
            <w:r>
              <w:rPr>
                <w:rFonts w:ascii="Arial" w:eastAsia="宋体" w:hAnsi="Arial" w:cs="Arial"/>
                <w:color w:val="000000"/>
                <w:sz w:val="14"/>
                <w:szCs w:val="14"/>
              </w:rPr>
              <w:t>645 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D29" w14:textId="77777777" w:rsidR="00584EC1" w:rsidRDefault="00584EC1">
            <w:pPr>
              <w:jc w:val="right"/>
              <w:rPr>
                <w:rFonts w:ascii="宋体"/>
              </w:rPr>
            </w:pPr>
          </w:p>
        </w:tc>
      </w:tr>
      <w:tr w:rsidR="00584EC1" w14:paraId="74DD8D2F" w14:textId="77777777">
        <w:trPr>
          <w:trHeight w:val="1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4DD8D2B"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D8D2C"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8D2D"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D8D2E" w14:textId="77777777" w:rsidR="00584EC1" w:rsidRDefault="00584EC1">
            <w:pPr>
              <w:rPr>
                <w:rFonts w:ascii="宋体"/>
              </w:rPr>
            </w:pPr>
          </w:p>
        </w:tc>
      </w:tr>
    </w:tbl>
    <w:p w14:paraId="74DD8D30" w14:textId="77777777" w:rsidR="00584EC1" w:rsidRDefault="00871F8D">
      <w:pPr>
        <w:jc w:val="both"/>
        <w:textAlignment w:val="top"/>
      </w:pPr>
      <w:r>
        <w:rPr>
          <w:rFonts w:ascii="Arial" w:eastAsia="宋体" w:hAnsi="Arial" w:cs="Arial"/>
          <w:color w:val="000000"/>
          <w:sz w:val="8"/>
          <w:szCs w:val="8"/>
        </w:rPr>
        <w:t xml:space="preserve">(1) </w:t>
      </w:r>
      <w:r>
        <w:rPr>
          <w:rFonts w:ascii="Arial" w:eastAsia="宋体" w:hAnsi="Arial" w:cs="Arial"/>
          <w:color w:val="000000"/>
          <w:sz w:val="13"/>
          <w:szCs w:val="13"/>
        </w:rPr>
        <w:t>Geography is determined primarily based on the domicile of collateral or issuer.</w:t>
      </w:r>
    </w:p>
    <w:p w14:paraId="74DD8D31" w14:textId="77777777" w:rsidR="00584EC1" w:rsidRDefault="00871F8D">
      <w:pPr>
        <w:spacing w:before="90"/>
        <w:jc w:val="both"/>
        <w:textAlignment w:val="top"/>
      </w:pPr>
      <w:r>
        <w:rPr>
          <w:rFonts w:ascii="Arial" w:eastAsia="宋体" w:hAnsi="Arial" w:cs="Arial"/>
          <w:color w:val="000000"/>
          <w:sz w:val="8"/>
          <w:szCs w:val="8"/>
        </w:rPr>
        <w:t>(2)</w:t>
      </w:r>
      <w:r>
        <w:rPr>
          <w:rFonts w:ascii="Arial" w:eastAsia="宋体" w:hAnsi="Arial" w:cs="Arial"/>
          <w:color w:val="000000"/>
          <w:sz w:val="13"/>
          <w:szCs w:val="13"/>
        </w:rPr>
        <w:t xml:space="preserve"> As of September 30, 2021, other non-U.S. investments include $6.8 billion supranational bonds in AFS securities and $1.4 billion supranational bonds in HTM securities.</w:t>
      </w:r>
    </w:p>
    <w:p w14:paraId="74DD8D32" w14:textId="77777777" w:rsidR="00584EC1" w:rsidRDefault="00871F8D">
      <w:pPr>
        <w:spacing w:before="60"/>
        <w:ind w:firstLine="450"/>
        <w:jc w:val="both"/>
        <w:textAlignment w:val="top"/>
      </w:pPr>
      <w:r>
        <w:rPr>
          <w:rFonts w:ascii="Arial" w:eastAsia="宋体" w:hAnsi="Arial" w:cs="Arial"/>
          <w:color w:val="000000"/>
          <w:sz w:val="20"/>
          <w:szCs w:val="20"/>
        </w:rPr>
        <w:t>Approximately 80% of the aggregate carrying value of these non-U.S. debt securities was</w:t>
      </w:r>
      <w:r>
        <w:rPr>
          <w:rFonts w:ascii="Arial" w:eastAsia="宋体" w:hAnsi="Arial" w:cs="Arial"/>
          <w:color w:val="000000"/>
          <w:sz w:val="20"/>
          <w:szCs w:val="20"/>
        </w:rPr>
        <w:t xml:space="preserve"> rated “AAA” or “AA” as of both September 30, 2021 and December 31, 2020. The majority of these securities comprised senior positions within the security structures; these positions have a level of protection provided through subordination and other forms </w:t>
      </w:r>
      <w:r>
        <w:rPr>
          <w:rFonts w:ascii="Arial" w:eastAsia="宋体" w:hAnsi="Arial" w:cs="Arial"/>
          <w:color w:val="000000"/>
          <w:sz w:val="20"/>
          <w:szCs w:val="20"/>
        </w:rPr>
        <w:t>of credit protection. As of both September 30, 2021 and December 31, 2020, approximately 26% of the aggregate carrying value of these non-U.S. debt securities was floating-rate.</w:t>
      </w:r>
    </w:p>
    <w:p w14:paraId="74DD8D33" w14:textId="77777777" w:rsidR="00584EC1" w:rsidRDefault="00871F8D">
      <w:pPr>
        <w:spacing w:before="60"/>
        <w:ind w:firstLine="450"/>
        <w:jc w:val="both"/>
        <w:textAlignment w:val="top"/>
      </w:pPr>
      <w:r>
        <w:rPr>
          <w:rFonts w:ascii="Arial" w:eastAsia="宋体" w:hAnsi="Arial" w:cs="Arial"/>
          <w:color w:val="000000"/>
          <w:sz w:val="20"/>
          <w:szCs w:val="20"/>
        </w:rPr>
        <w:t>As of September 30, 2021, our non-U.S. debt securities had an average market-t</w:t>
      </w:r>
      <w:r>
        <w:rPr>
          <w:rFonts w:ascii="Arial" w:eastAsia="宋体" w:hAnsi="Arial" w:cs="Arial"/>
          <w:color w:val="000000"/>
          <w:sz w:val="20"/>
          <w:szCs w:val="20"/>
        </w:rPr>
        <w:t>o-book ratio of 100.6%, and an aggregate pre-tax net unrealized gain of $190 million, composed of gross unrealized gains of $258 million and gross unrealized losses of $68 million. These unrealized amounts included:</w:t>
      </w:r>
    </w:p>
    <w:p w14:paraId="74DD8D34" w14:textId="77777777" w:rsidR="00584EC1" w:rsidRDefault="00871F8D">
      <w:pPr>
        <w:spacing w:before="60"/>
        <w:ind w:hanging="360"/>
        <w:jc w:val="both"/>
        <w:textAlignment w:val="top"/>
      </w:pPr>
      <w:r>
        <w:rPr>
          <w:rFonts w:ascii="Arial" w:eastAsia="宋体" w:hAnsi="Arial" w:cs="Arial"/>
          <w:color w:val="000000"/>
          <w:sz w:val="20"/>
          <w:szCs w:val="20"/>
        </w:rPr>
        <w:t>•a pre-tax net unrealized gain of $130 m</w:t>
      </w:r>
      <w:r>
        <w:rPr>
          <w:rFonts w:ascii="Arial" w:eastAsia="宋体" w:hAnsi="Arial" w:cs="Arial"/>
          <w:color w:val="000000"/>
          <w:sz w:val="20"/>
          <w:szCs w:val="20"/>
        </w:rPr>
        <w:t>illion, composed of gross unrealized gains of $193 million and gross unrealized losses of $63 million, associated with non-U.S. AFS debt securities; and</w:t>
      </w:r>
    </w:p>
    <w:p w14:paraId="74DD8D35" w14:textId="77777777" w:rsidR="00584EC1" w:rsidRDefault="00871F8D">
      <w:pPr>
        <w:spacing w:before="60"/>
        <w:ind w:hanging="360"/>
        <w:jc w:val="both"/>
        <w:textAlignment w:val="top"/>
      </w:pPr>
      <w:r>
        <w:rPr>
          <w:rFonts w:ascii="Arial" w:eastAsia="宋体" w:hAnsi="Arial" w:cs="Arial"/>
          <w:color w:val="000000"/>
          <w:sz w:val="20"/>
          <w:szCs w:val="20"/>
        </w:rPr>
        <w:t xml:space="preserve">•a pre-tax net unrealized gain of $60 million, composed of gross unrealized gains of $65 </w:t>
      </w:r>
    </w:p>
    <w:p w14:paraId="74DD8D36" w14:textId="77777777" w:rsidR="00584EC1" w:rsidRDefault="00871F8D">
      <w:pPr>
        <w:spacing w:before="60"/>
        <w:jc w:val="both"/>
        <w:textAlignment w:val="top"/>
      </w:pPr>
      <w:r>
        <w:rPr>
          <w:rFonts w:ascii="Arial" w:eastAsia="宋体" w:hAnsi="Arial" w:cs="Arial"/>
          <w:color w:val="000000"/>
          <w:sz w:val="20"/>
          <w:szCs w:val="20"/>
        </w:rPr>
        <w:t>million and g</w:t>
      </w:r>
      <w:r>
        <w:rPr>
          <w:rFonts w:ascii="Arial" w:eastAsia="宋体" w:hAnsi="Arial" w:cs="Arial"/>
          <w:color w:val="000000"/>
          <w:sz w:val="20"/>
          <w:szCs w:val="20"/>
        </w:rPr>
        <w:t>ross unrealized losses of $5 million, associated with non-U.S. HTM debt securities.</w:t>
      </w:r>
    </w:p>
    <w:p w14:paraId="74DD8D37" w14:textId="77777777" w:rsidR="00584EC1" w:rsidRDefault="00871F8D">
      <w:pPr>
        <w:spacing w:before="60"/>
        <w:ind w:firstLine="450"/>
        <w:jc w:val="both"/>
        <w:textAlignment w:val="top"/>
      </w:pPr>
      <w:r>
        <w:rPr>
          <w:rFonts w:ascii="Arial" w:eastAsia="宋体" w:hAnsi="Arial" w:cs="Arial"/>
          <w:color w:val="000000"/>
          <w:sz w:val="20"/>
          <w:szCs w:val="20"/>
        </w:rPr>
        <w:t>As of September 30, 2021, the underlying collateral for non-U.S. MBS and ABS primarily included Australian, U.K., Netherlands, Spanish and Italian mortgages. The securities</w:t>
      </w:r>
      <w:r>
        <w:rPr>
          <w:rFonts w:ascii="Arial" w:eastAsia="宋体" w:hAnsi="Arial" w:cs="Arial"/>
          <w:color w:val="000000"/>
          <w:sz w:val="20"/>
          <w:szCs w:val="20"/>
        </w:rPr>
        <w:t xml:space="preserve"> listed under “Canada” were composed of Canadian government securities and provincial bonds, corporate debt and non-U.S. agency securities. The securities listed under “France” were composed of sovereign bonds, corporate debt, covered bonds, ABS and Non-U.</w:t>
      </w:r>
      <w:r>
        <w:rPr>
          <w:rFonts w:ascii="Arial" w:eastAsia="宋体" w:hAnsi="Arial" w:cs="Arial"/>
          <w:color w:val="000000"/>
          <w:sz w:val="20"/>
          <w:szCs w:val="20"/>
        </w:rPr>
        <w:t>S. agency securities. The securities listed under “Japan” were substantially composed of Japanese government securities.</w:t>
      </w:r>
    </w:p>
    <w:p w14:paraId="74DD8D38" w14:textId="77777777" w:rsidR="00584EC1" w:rsidRDefault="00871F8D">
      <w:pPr>
        <w:spacing w:before="60"/>
        <w:jc w:val="both"/>
        <w:textAlignment w:val="top"/>
      </w:pPr>
      <w:r>
        <w:rPr>
          <w:rFonts w:ascii="Arial" w:eastAsia="宋体" w:hAnsi="Arial" w:cs="Arial"/>
          <w:b/>
          <w:bCs/>
          <w:i/>
          <w:iCs/>
          <w:color w:val="000000"/>
          <w:sz w:val="20"/>
          <w:szCs w:val="20"/>
        </w:rPr>
        <w:t>Municipal Obligations</w:t>
      </w:r>
    </w:p>
    <w:p w14:paraId="74DD8D39" w14:textId="77777777" w:rsidR="00584EC1" w:rsidRDefault="00871F8D">
      <w:pPr>
        <w:ind w:firstLine="450"/>
        <w:jc w:val="both"/>
        <w:textAlignment w:val="top"/>
      </w:pPr>
      <w:r>
        <w:rPr>
          <w:rFonts w:ascii="Arial" w:eastAsia="宋体" w:hAnsi="Arial" w:cs="Arial"/>
          <w:color w:val="000000"/>
          <w:sz w:val="20"/>
          <w:szCs w:val="20"/>
        </w:rPr>
        <w:t xml:space="preserve">We carried approximately $1.4 billion of municipal securities classified as state and political </w:t>
      </w:r>
      <w:r>
        <w:rPr>
          <w:rFonts w:ascii="Arial" w:eastAsia="宋体" w:hAnsi="Arial" w:cs="Arial"/>
          <w:color w:val="000000"/>
          <w:sz w:val="20"/>
          <w:szCs w:val="20"/>
        </w:rPr>
        <w:t>subdivisions in our investment securities portfolio as of September 30, 2021, as shown in Table 20: Carrying Values of Investment Securities, all of which were classified as AFS. As of September 30, 2021, we also provided approximately $9.3 billion of cred</w:t>
      </w:r>
      <w:r>
        <w:rPr>
          <w:rFonts w:ascii="Arial" w:eastAsia="宋体" w:hAnsi="Arial" w:cs="Arial"/>
          <w:color w:val="000000"/>
          <w:sz w:val="20"/>
          <w:szCs w:val="20"/>
        </w:rPr>
        <w:t>it and liquidity facilities to municipal issuers.</w:t>
      </w:r>
    </w:p>
    <w:tbl>
      <w:tblPr>
        <w:tblW w:w="5000" w:type="pct"/>
        <w:tblCellMar>
          <w:top w:w="15" w:type="dxa"/>
          <w:left w:w="15" w:type="dxa"/>
          <w:bottom w:w="15" w:type="dxa"/>
          <w:right w:w="15" w:type="dxa"/>
        </w:tblCellMar>
        <w:tblLook w:val="04A0" w:firstRow="1" w:lastRow="0" w:firstColumn="1" w:lastColumn="0" w:noHBand="0" w:noVBand="1"/>
      </w:tblPr>
      <w:tblGrid>
        <w:gridCol w:w="39"/>
        <w:gridCol w:w="2250"/>
        <w:gridCol w:w="37"/>
        <w:gridCol w:w="94"/>
        <w:gridCol w:w="1360"/>
        <w:gridCol w:w="37"/>
        <w:gridCol w:w="36"/>
        <w:gridCol w:w="43"/>
        <w:gridCol w:w="36"/>
        <w:gridCol w:w="94"/>
        <w:gridCol w:w="1360"/>
        <w:gridCol w:w="37"/>
        <w:gridCol w:w="36"/>
        <w:gridCol w:w="43"/>
        <w:gridCol w:w="36"/>
        <w:gridCol w:w="93"/>
        <w:gridCol w:w="1018"/>
        <w:gridCol w:w="36"/>
        <w:gridCol w:w="36"/>
        <w:gridCol w:w="43"/>
        <w:gridCol w:w="36"/>
        <w:gridCol w:w="73"/>
        <w:gridCol w:w="1327"/>
        <w:gridCol w:w="136"/>
      </w:tblGrid>
      <w:tr w:rsidR="00584EC1" w14:paraId="74DD8D52" w14:textId="77777777">
        <w:tc>
          <w:tcPr>
            <w:tcW w:w="50" w:type="pct"/>
            <w:shd w:val="clear" w:color="auto" w:fill="auto"/>
            <w:vAlign w:val="bottom"/>
          </w:tcPr>
          <w:p w14:paraId="74DD8D3A" w14:textId="77777777" w:rsidR="00584EC1" w:rsidRDefault="00584EC1">
            <w:pPr>
              <w:rPr>
                <w:rFonts w:ascii="宋体"/>
              </w:rPr>
            </w:pPr>
          </w:p>
        </w:tc>
        <w:tc>
          <w:tcPr>
            <w:tcW w:w="1375" w:type="pct"/>
            <w:shd w:val="clear" w:color="auto" w:fill="auto"/>
            <w:vAlign w:val="bottom"/>
          </w:tcPr>
          <w:p w14:paraId="74DD8D3B" w14:textId="77777777" w:rsidR="00584EC1" w:rsidRDefault="00584EC1">
            <w:pPr>
              <w:rPr>
                <w:rFonts w:ascii="宋体"/>
              </w:rPr>
            </w:pPr>
          </w:p>
        </w:tc>
        <w:tc>
          <w:tcPr>
            <w:tcW w:w="5" w:type="pct"/>
            <w:shd w:val="clear" w:color="auto" w:fill="auto"/>
            <w:vAlign w:val="bottom"/>
          </w:tcPr>
          <w:p w14:paraId="74DD8D3C" w14:textId="77777777" w:rsidR="00584EC1" w:rsidRDefault="00584EC1">
            <w:pPr>
              <w:rPr>
                <w:rFonts w:ascii="宋体"/>
              </w:rPr>
            </w:pPr>
          </w:p>
        </w:tc>
        <w:tc>
          <w:tcPr>
            <w:tcW w:w="50" w:type="pct"/>
            <w:shd w:val="clear" w:color="auto" w:fill="auto"/>
            <w:vAlign w:val="bottom"/>
          </w:tcPr>
          <w:p w14:paraId="74DD8D3D" w14:textId="77777777" w:rsidR="00584EC1" w:rsidRDefault="00584EC1">
            <w:pPr>
              <w:rPr>
                <w:rFonts w:ascii="宋体"/>
              </w:rPr>
            </w:pPr>
          </w:p>
        </w:tc>
        <w:tc>
          <w:tcPr>
            <w:tcW w:w="841" w:type="pct"/>
            <w:shd w:val="clear" w:color="auto" w:fill="auto"/>
            <w:vAlign w:val="bottom"/>
          </w:tcPr>
          <w:p w14:paraId="74DD8D3E" w14:textId="77777777" w:rsidR="00584EC1" w:rsidRDefault="00584EC1">
            <w:pPr>
              <w:rPr>
                <w:rFonts w:ascii="宋体"/>
              </w:rPr>
            </w:pPr>
          </w:p>
        </w:tc>
        <w:tc>
          <w:tcPr>
            <w:tcW w:w="5" w:type="pct"/>
            <w:shd w:val="clear" w:color="auto" w:fill="auto"/>
            <w:vAlign w:val="bottom"/>
          </w:tcPr>
          <w:p w14:paraId="74DD8D3F" w14:textId="77777777" w:rsidR="00584EC1" w:rsidRDefault="00584EC1">
            <w:pPr>
              <w:rPr>
                <w:rFonts w:ascii="宋体"/>
              </w:rPr>
            </w:pPr>
          </w:p>
        </w:tc>
        <w:tc>
          <w:tcPr>
            <w:tcW w:w="5" w:type="pct"/>
            <w:shd w:val="clear" w:color="auto" w:fill="auto"/>
            <w:vAlign w:val="bottom"/>
          </w:tcPr>
          <w:p w14:paraId="74DD8D40" w14:textId="77777777" w:rsidR="00584EC1" w:rsidRDefault="00584EC1">
            <w:pPr>
              <w:rPr>
                <w:rFonts w:ascii="宋体"/>
              </w:rPr>
            </w:pPr>
          </w:p>
        </w:tc>
        <w:tc>
          <w:tcPr>
            <w:tcW w:w="52" w:type="pct"/>
            <w:shd w:val="clear" w:color="auto" w:fill="auto"/>
            <w:vAlign w:val="bottom"/>
          </w:tcPr>
          <w:p w14:paraId="74DD8D41" w14:textId="77777777" w:rsidR="00584EC1" w:rsidRDefault="00584EC1">
            <w:pPr>
              <w:rPr>
                <w:rFonts w:ascii="宋体"/>
              </w:rPr>
            </w:pPr>
          </w:p>
        </w:tc>
        <w:tc>
          <w:tcPr>
            <w:tcW w:w="5" w:type="pct"/>
            <w:shd w:val="clear" w:color="auto" w:fill="auto"/>
            <w:vAlign w:val="bottom"/>
          </w:tcPr>
          <w:p w14:paraId="74DD8D42" w14:textId="77777777" w:rsidR="00584EC1" w:rsidRDefault="00584EC1">
            <w:pPr>
              <w:rPr>
                <w:rFonts w:ascii="宋体"/>
              </w:rPr>
            </w:pPr>
          </w:p>
        </w:tc>
        <w:tc>
          <w:tcPr>
            <w:tcW w:w="50" w:type="pct"/>
            <w:shd w:val="clear" w:color="auto" w:fill="auto"/>
            <w:vAlign w:val="bottom"/>
          </w:tcPr>
          <w:p w14:paraId="74DD8D43" w14:textId="77777777" w:rsidR="00584EC1" w:rsidRDefault="00584EC1">
            <w:pPr>
              <w:rPr>
                <w:rFonts w:ascii="宋体"/>
              </w:rPr>
            </w:pPr>
          </w:p>
        </w:tc>
        <w:tc>
          <w:tcPr>
            <w:tcW w:w="841" w:type="pct"/>
            <w:shd w:val="clear" w:color="auto" w:fill="auto"/>
            <w:vAlign w:val="bottom"/>
          </w:tcPr>
          <w:p w14:paraId="74DD8D44" w14:textId="77777777" w:rsidR="00584EC1" w:rsidRDefault="00584EC1">
            <w:pPr>
              <w:rPr>
                <w:rFonts w:ascii="宋体"/>
              </w:rPr>
            </w:pPr>
          </w:p>
        </w:tc>
        <w:tc>
          <w:tcPr>
            <w:tcW w:w="5" w:type="pct"/>
            <w:shd w:val="clear" w:color="auto" w:fill="auto"/>
            <w:vAlign w:val="bottom"/>
          </w:tcPr>
          <w:p w14:paraId="74DD8D45" w14:textId="77777777" w:rsidR="00584EC1" w:rsidRDefault="00584EC1">
            <w:pPr>
              <w:rPr>
                <w:rFonts w:ascii="宋体"/>
              </w:rPr>
            </w:pPr>
          </w:p>
        </w:tc>
        <w:tc>
          <w:tcPr>
            <w:tcW w:w="5" w:type="pct"/>
            <w:shd w:val="clear" w:color="auto" w:fill="auto"/>
            <w:vAlign w:val="bottom"/>
          </w:tcPr>
          <w:p w14:paraId="74DD8D46" w14:textId="77777777" w:rsidR="00584EC1" w:rsidRDefault="00584EC1">
            <w:pPr>
              <w:rPr>
                <w:rFonts w:ascii="宋体"/>
              </w:rPr>
            </w:pPr>
          </w:p>
        </w:tc>
        <w:tc>
          <w:tcPr>
            <w:tcW w:w="52" w:type="pct"/>
            <w:shd w:val="clear" w:color="auto" w:fill="auto"/>
            <w:vAlign w:val="bottom"/>
          </w:tcPr>
          <w:p w14:paraId="74DD8D47" w14:textId="77777777" w:rsidR="00584EC1" w:rsidRDefault="00584EC1">
            <w:pPr>
              <w:rPr>
                <w:rFonts w:ascii="宋体"/>
              </w:rPr>
            </w:pPr>
          </w:p>
        </w:tc>
        <w:tc>
          <w:tcPr>
            <w:tcW w:w="5" w:type="pct"/>
            <w:shd w:val="clear" w:color="auto" w:fill="auto"/>
            <w:vAlign w:val="bottom"/>
          </w:tcPr>
          <w:p w14:paraId="74DD8D48" w14:textId="77777777" w:rsidR="00584EC1" w:rsidRDefault="00584EC1">
            <w:pPr>
              <w:rPr>
                <w:rFonts w:ascii="宋体"/>
              </w:rPr>
            </w:pPr>
          </w:p>
        </w:tc>
        <w:tc>
          <w:tcPr>
            <w:tcW w:w="50" w:type="pct"/>
            <w:shd w:val="clear" w:color="auto" w:fill="auto"/>
            <w:vAlign w:val="bottom"/>
          </w:tcPr>
          <w:p w14:paraId="74DD8D49" w14:textId="77777777" w:rsidR="00584EC1" w:rsidRDefault="00584EC1">
            <w:pPr>
              <w:rPr>
                <w:rFonts w:ascii="宋体"/>
              </w:rPr>
            </w:pPr>
          </w:p>
        </w:tc>
        <w:tc>
          <w:tcPr>
            <w:tcW w:w="636" w:type="pct"/>
            <w:shd w:val="clear" w:color="auto" w:fill="auto"/>
            <w:vAlign w:val="bottom"/>
          </w:tcPr>
          <w:p w14:paraId="74DD8D4A" w14:textId="77777777" w:rsidR="00584EC1" w:rsidRDefault="00584EC1">
            <w:pPr>
              <w:rPr>
                <w:rFonts w:ascii="宋体"/>
              </w:rPr>
            </w:pPr>
          </w:p>
        </w:tc>
        <w:tc>
          <w:tcPr>
            <w:tcW w:w="5" w:type="pct"/>
            <w:shd w:val="clear" w:color="auto" w:fill="auto"/>
            <w:vAlign w:val="bottom"/>
          </w:tcPr>
          <w:p w14:paraId="74DD8D4B" w14:textId="77777777" w:rsidR="00584EC1" w:rsidRDefault="00584EC1">
            <w:pPr>
              <w:rPr>
                <w:rFonts w:ascii="宋体"/>
              </w:rPr>
            </w:pPr>
          </w:p>
        </w:tc>
        <w:tc>
          <w:tcPr>
            <w:tcW w:w="5" w:type="pct"/>
            <w:shd w:val="clear" w:color="auto" w:fill="auto"/>
            <w:vAlign w:val="bottom"/>
          </w:tcPr>
          <w:p w14:paraId="74DD8D4C" w14:textId="77777777" w:rsidR="00584EC1" w:rsidRDefault="00584EC1">
            <w:pPr>
              <w:rPr>
                <w:rFonts w:ascii="宋体"/>
              </w:rPr>
            </w:pPr>
          </w:p>
        </w:tc>
        <w:tc>
          <w:tcPr>
            <w:tcW w:w="52" w:type="pct"/>
            <w:shd w:val="clear" w:color="auto" w:fill="auto"/>
            <w:vAlign w:val="bottom"/>
          </w:tcPr>
          <w:p w14:paraId="74DD8D4D" w14:textId="77777777" w:rsidR="00584EC1" w:rsidRDefault="00584EC1">
            <w:pPr>
              <w:rPr>
                <w:rFonts w:ascii="宋体"/>
              </w:rPr>
            </w:pPr>
          </w:p>
        </w:tc>
        <w:tc>
          <w:tcPr>
            <w:tcW w:w="5" w:type="pct"/>
            <w:shd w:val="clear" w:color="auto" w:fill="auto"/>
            <w:vAlign w:val="bottom"/>
          </w:tcPr>
          <w:p w14:paraId="74DD8D4E" w14:textId="77777777" w:rsidR="00584EC1" w:rsidRDefault="00584EC1">
            <w:pPr>
              <w:rPr>
                <w:rFonts w:ascii="宋体"/>
              </w:rPr>
            </w:pPr>
          </w:p>
        </w:tc>
        <w:tc>
          <w:tcPr>
            <w:tcW w:w="50" w:type="pct"/>
            <w:shd w:val="clear" w:color="auto" w:fill="auto"/>
            <w:vAlign w:val="bottom"/>
          </w:tcPr>
          <w:p w14:paraId="74DD8D4F" w14:textId="77777777" w:rsidR="00584EC1" w:rsidRDefault="00584EC1">
            <w:pPr>
              <w:rPr>
                <w:rFonts w:ascii="宋体"/>
              </w:rPr>
            </w:pPr>
          </w:p>
        </w:tc>
        <w:tc>
          <w:tcPr>
            <w:tcW w:w="841" w:type="pct"/>
            <w:shd w:val="clear" w:color="auto" w:fill="auto"/>
            <w:vAlign w:val="bottom"/>
          </w:tcPr>
          <w:p w14:paraId="74DD8D50" w14:textId="77777777" w:rsidR="00584EC1" w:rsidRDefault="00584EC1">
            <w:pPr>
              <w:rPr>
                <w:rFonts w:ascii="宋体"/>
              </w:rPr>
            </w:pPr>
          </w:p>
        </w:tc>
        <w:tc>
          <w:tcPr>
            <w:tcW w:w="5" w:type="pct"/>
            <w:shd w:val="clear" w:color="auto" w:fill="auto"/>
            <w:vAlign w:val="bottom"/>
          </w:tcPr>
          <w:p w14:paraId="74DD8D51" w14:textId="77777777" w:rsidR="00584EC1" w:rsidRDefault="00584EC1">
            <w:pPr>
              <w:rPr>
                <w:rFonts w:ascii="宋体"/>
              </w:rPr>
            </w:pPr>
          </w:p>
        </w:tc>
      </w:tr>
      <w:tr w:rsidR="00584EC1" w14:paraId="74DD8D54" w14:textId="77777777">
        <w:tc>
          <w:tcPr>
            <w:tcW w:w="0" w:type="auto"/>
            <w:gridSpan w:val="24"/>
            <w:shd w:val="clear" w:color="auto" w:fill="auto"/>
            <w:tcMar>
              <w:top w:w="40" w:type="dxa"/>
              <w:left w:w="20" w:type="dxa"/>
              <w:bottom w:w="40" w:type="dxa"/>
              <w:right w:w="20" w:type="dxa"/>
            </w:tcMar>
            <w:vAlign w:val="bottom"/>
          </w:tcPr>
          <w:p w14:paraId="74DD8D53" w14:textId="77777777" w:rsidR="00584EC1" w:rsidRDefault="00871F8D">
            <w:pPr>
              <w:textAlignment w:val="bottom"/>
            </w:pPr>
            <w:r>
              <w:rPr>
                <w:rFonts w:ascii="Arial" w:eastAsia="宋体" w:hAnsi="Arial" w:cs="Arial"/>
                <w:b/>
                <w:bCs/>
                <w:color w:val="000000"/>
                <w:sz w:val="16"/>
                <w:szCs w:val="16"/>
              </w:rPr>
              <w:t>TABLE 24: STATE AND MUNICIPAL OBLIGORS</w:t>
            </w:r>
            <w:r>
              <w:rPr>
                <w:rFonts w:ascii="Arial" w:eastAsia="宋体" w:hAnsi="Arial" w:cs="Arial"/>
                <w:b/>
                <w:bCs/>
                <w:color w:val="000000"/>
                <w:sz w:val="10"/>
                <w:szCs w:val="10"/>
              </w:rPr>
              <w:t>(1)</w:t>
            </w:r>
          </w:p>
        </w:tc>
      </w:tr>
      <w:tr w:rsidR="00584EC1" w14:paraId="74DD8D5F" w14:textId="77777777">
        <w:tc>
          <w:tcPr>
            <w:tcW w:w="0" w:type="auto"/>
            <w:gridSpan w:val="3"/>
            <w:shd w:val="clear" w:color="auto" w:fill="auto"/>
            <w:tcMar>
              <w:top w:w="40" w:type="dxa"/>
              <w:left w:w="20" w:type="dxa"/>
              <w:bottom w:w="40" w:type="dxa"/>
              <w:right w:w="20" w:type="dxa"/>
            </w:tcMar>
            <w:vAlign w:val="bottom"/>
          </w:tcPr>
          <w:p w14:paraId="74DD8D55" w14:textId="77777777" w:rsidR="00584EC1" w:rsidRDefault="00871F8D">
            <w:pPr>
              <w:textAlignment w:val="bottom"/>
            </w:pPr>
            <w:r>
              <w:rPr>
                <w:rFonts w:ascii="Arial" w:eastAsia="宋体" w:hAnsi="Arial" w:cs="Arial"/>
                <w:b/>
                <w:bCs/>
                <w:color w:val="000000"/>
                <w:sz w:val="13"/>
                <w:szCs w:val="13"/>
              </w:rPr>
              <w:t>(Dollars in millions)</w:t>
            </w: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4DD8D56" w14:textId="77777777" w:rsidR="00584EC1" w:rsidRDefault="00871F8D">
            <w:pPr>
              <w:jc w:val="center"/>
              <w:textAlignment w:val="bottom"/>
            </w:pPr>
            <w:r>
              <w:rPr>
                <w:rFonts w:ascii="Arial" w:eastAsia="宋体" w:hAnsi="Arial" w:cs="Arial"/>
                <w:b/>
                <w:bCs/>
                <w:color w:val="000000"/>
                <w:sz w:val="13"/>
                <w:szCs w:val="13"/>
              </w:rPr>
              <w:t>Total Municipal</w:t>
            </w:r>
            <w:r>
              <w:rPr>
                <w:rFonts w:ascii="Arial" w:eastAsia="宋体" w:hAnsi="Arial" w:cs="Arial"/>
                <w:b/>
                <w:bCs/>
                <w:color w:val="000000"/>
                <w:sz w:val="13"/>
                <w:szCs w:val="13"/>
              </w:rPr>
              <w:br/>
              <w:t>Securities</w:t>
            </w:r>
          </w:p>
        </w:tc>
        <w:tc>
          <w:tcPr>
            <w:tcW w:w="0" w:type="auto"/>
            <w:gridSpan w:val="3"/>
            <w:shd w:val="clear" w:color="auto" w:fill="auto"/>
            <w:tcMar>
              <w:top w:w="0" w:type="dxa"/>
              <w:left w:w="20" w:type="dxa"/>
              <w:bottom w:w="0" w:type="dxa"/>
              <w:right w:w="20" w:type="dxa"/>
            </w:tcMar>
            <w:vAlign w:val="bottom"/>
          </w:tcPr>
          <w:p w14:paraId="74DD8D57"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8D58" w14:textId="77777777" w:rsidR="00584EC1" w:rsidRDefault="00871F8D">
            <w:pPr>
              <w:jc w:val="center"/>
              <w:textAlignment w:val="bottom"/>
            </w:pPr>
            <w:r>
              <w:rPr>
                <w:rFonts w:ascii="Arial" w:eastAsia="宋体" w:hAnsi="Arial" w:cs="Arial"/>
                <w:b/>
                <w:bCs/>
                <w:color w:val="000000"/>
                <w:sz w:val="13"/>
                <w:szCs w:val="13"/>
              </w:rPr>
              <w:t xml:space="preserve">Credit and </w:t>
            </w:r>
          </w:p>
          <w:p w14:paraId="74DD8D59" w14:textId="77777777" w:rsidR="00584EC1" w:rsidRDefault="00871F8D">
            <w:pPr>
              <w:jc w:val="center"/>
              <w:textAlignment w:val="bottom"/>
            </w:pPr>
            <w:r>
              <w:rPr>
                <w:rFonts w:ascii="Arial" w:eastAsia="宋体" w:hAnsi="Arial" w:cs="Arial"/>
                <w:b/>
                <w:bCs/>
                <w:color w:val="000000"/>
                <w:sz w:val="13"/>
                <w:szCs w:val="13"/>
              </w:rPr>
              <w:t>Liquidity </w:t>
            </w:r>
          </w:p>
          <w:p w14:paraId="74DD8D5A" w14:textId="77777777" w:rsidR="00584EC1" w:rsidRDefault="00871F8D">
            <w:pPr>
              <w:jc w:val="center"/>
              <w:textAlignment w:val="bottom"/>
            </w:pPr>
            <w:r>
              <w:rPr>
                <w:rFonts w:ascii="Arial" w:eastAsia="宋体" w:hAnsi="Arial" w:cs="Arial"/>
                <w:b/>
                <w:bCs/>
                <w:color w:val="000000"/>
                <w:sz w:val="13"/>
                <w:szCs w:val="13"/>
              </w:rPr>
              <w:t>Facilities</w:t>
            </w:r>
            <w:r>
              <w:rPr>
                <w:rFonts w:ascii="Arial" w:eastAsia="宋体" w:hAnsi="Arial" w:cs="Arial"/>
                <w:b/>
                <w:bCs/>
                <w:color w:val="000000"/>
                <w:sz w:val="8"/>
                <w:szCs w:val="8"/>
              </w:rPr>
              <w:t>(2)</w:t>
            </w:r>
          </w:p>
        </w:tc>
        <w:tc>
          <w:tcPr>
            <w:tcW w:w="0" w:type="auto"/>
            <w:gridSpan w:val="3"/>
            <w:shd w:val="clear" w:color="auto" w:fill="auto"/>
            <w:tcMar>
              <w:top w:w="0" w:type="dxa"/>
              <w:left w:w="20" w:type="dxa"/>
              <w:bottom w:w="0" w:type="dxa"/>
              <w:right w:w="20" w:type="dxa"/>
            </w:tcMar>
            <w:vAlign w:val="bottom"/>
          </w:tcPr>
          <w:p w14:paraId="74DD8D5B"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8D5C" w14:textId="77777777" w:rsidR="00584EC1" w:rsidRDefault="00871F8D">
            <w:pPr>
              <w:jc w:val="center"/>
              <w:textAlignment w:val="bottom"/>
            </w:pPr>
            <w:r>
              <w:rPr>
                <w:rFonts w:ascii="Arial" w:eastAsia="宋体" w:hAnsi="Arial" w:cs="Arial"/>
                <w:b/>
                <w:bCs/>
                <w:color w:val="000000"/>
                <w:sz w:val="13"/>
                <w:szCs w:val="13"/>
              </w:rPr>
              <w:t>Total</w:t>
            </w:r>
          </w:p>
        </w:tc>
        <w:tc>
          <w:tcPr>
            <w:tcW w:w="0" w:type="auto"/>
            <w:gridSpan w:val="3"/>
            <w:shd w:val="clear" w:color="auto" w:fill="auto"/>
            <w:tcMar>
              <w:top w:w="0" w:type="dxa"/>
              <w:left w:w="20" w:type="dxa"/>
              <w:bottom w:w="0" w:type="dxa"/>
              <w:right w:w="20" w:type="dxa"/>
            </w:tcMar>
            <w:vAlign w:val="bottom"/>
          </w:tcPr>
          <w:p w14:paraId="74DD8D5D"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8D5E" w14:textId="77777777" w:rsidR="00584EC1" w:rsidRDefault="00871F8D">
            <w:pPr>
              <w:jc w:val="center"/>
              <w:textAlignment w:val="bottom"/>
            </w:pPr>
            <w:r>
              <w:rPr>
                <w:rFonts w:ascii="Arial" w:eastAsia="宋体" w:hAnsi="Arial" w:cs="Arial"/>
                <w:b/>
                <w:bCs/>
                <w:color w:val="000000"/>
                <w:sz w:val="13"/>
                <w:szCs w:val="13"/>
              </w:rPr>
              <w:t>% of Total Municipal</w:t>
            </w:r>
            <w:r>
              <w:rPr>
                <w:rFonts w:ascii="Arial" w:eastAsia="宋体" w:hAnsi="Arial" w:cs="Arial"/>
                <w:b/>
                <w:bCs/>
                <w:color w:val="000000"/>
                <w:sz w:val="13"/>
                <w:szCs w:val="13"/>
              </w:rPr>
              <w:br/>
              <w:t>Exposure</w:t>
            </w:r>
          </w:p>
        </w:tc>
      </w:tr>
      <w:tr w:rsidR="00584EC1" w14:paraId="74DD8D67" w14:textId="77777777">
        <w:tc>
          <w:tcPr>
            <w:tcW w:w="0" w:type="auto"/>
            <w:gridSpan w:val="6"/>
            <w:shd w:val="clear" w:color="auto" w:fill="auto"/>
            <w:tcMar>
              <w:top w:w="40" w:type="dxa"/>
              <w:left w:w="20" w:type="dxa"/>
              <w:bottom w:w="40" w:type="dxa"/>
              <w:right w:w="20" w:type="dxa"/>
            </w:tcMar>
            <w:vAlign w:val="bottom"/>
          </w:tcPr>
          <w:p w14:paraId="74DD8D60" w14:textId="77777777" w:rsidR="00584EC1" w:rsidRDefault="00871F8D">
            <w:pPr>
              <w:textAlignment w:val="bottom"/>
            </w:pPr>
            <w:r>
              <w:rPr>
                <w:rFonts w:ascii="Arial" w:eastAsia="宋体" w:hAnsi="Arial" w:cs="Arial"/>
                <w:b/>
                <w:bCs/>
                <w:color w:val="000000"/>
                <w:sz w:val="13"/>
                <w:szCs w:val="13"/>
              </w:rPr>
              <w:t>September 30, 2021</w:t>
            </w:r>
          </w:p>
        </w:tc>
        <w:tc>
          <w:tcPr>
            <w:tcW w:w="0" w:type="auto"/>
            <w:gridSpan w:val="3"/>
            <w:shd w:val="clear" w:color="auto" w:fill="auto"/>
            <w:tcMar>
              <w:top w:w="0" w:type="dxa"/>
              <w:left w:w="20" w:type="dxa"/>
              <w:bottom w:w="0" w:type="dxa"/>
              <w:right w:w="20" w:type="dxa"/>
            </w:tcMar>
            <w:vAlign w:val="bottom"/>
          </w:tcPr>
          <w:p w14:paraId="74DD8D61"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8D6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8D63"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8D64"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8D65"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8D66" w14:textId="77777777" w:rsidR="00584EC1" w:rsidRDefault="00584EC1">
            <w:pPr>
              <w:rPr>
                <w:rFonts w:ascii="宋体"/>
              </w:rPr>
            </w:pPr>
          </w:p>
        </w:tc>
      </w:tr>
      <w:tr w:rsidR="00584EC1" w14:paraId="74DD8D6F" w14:textId="77777777">
        <w:tc>
          <w:tcPr>
            <w:tcW w:w="0" w:type="auto"/>
            <w:gridSpan w:val="6"/>
            <w:shd w:val="clear" w:color="auto" w:fill="auto"/>
            <w:tcMar>
              <w:top w:w="40" w:type="dxa"/>
              <w:left w:w="20" w:type="dxa"/>
              <w:bottom w:w="40" w:type="dxa"/>
              <w:right w:w="20" w:type="dxa"/>
            </w:tcMar>
            <w:vAlign w:val="bottom"/>
          </w:tcPr>
          <w:p w14:paraId="74DD8D68" w14:textId="77777777" w:rsidR="00584EC1" w:rsidRDefault="00871F8D">
            <w:pPr>
              <w:textAlignment w:val="bottom"/>
            </w:pPr>
            <w:r>
              <w:rPr>
                <w:rFonts w:ascii="Arial" w:eastAsia="宋体" w:hAnsi="Arial" w:cs="Arial"/>
                <w:b/>
                <w:bCs/>
                <w:color w:val="000000"/>
                <w:sz w:val="13"/>
                <w:szCs w:val="13"/>
              </w:rPr>
              <w:t>State of Issuer:</w:t>
            </w:r>
          </w:p>
        </w:tc>
        <w:tc>
          <w:tcPr>
            <w:tcW w:w="0" w:type="auto"/>
            <w:gridSpan w:val="3"/>
            <w:shd w:val="clear" w:color="auto" w:fill="auto"/>
            <w:tcMar>
              <w:top w:w="0" w:type="dxa"/>
              <w:left w:w="20" w:type="dxa"/>
              <w:bottom w:w="0" w:type="dxa"/>
              <w:right w:w="20" w:type="dxa"/>
            </w:tcMar>
            <w:vAlign w:val="bottom"/>
          </w:tcPr>
          <w:p w14:paraId="74DD8D69"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8D6A"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8D6B"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8D6C"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8D6D"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8D6E" w14:textId="77777777" w:rsidR="00584EC1" w:rsidRDefault="00584EC1">
            <w:pPr>
              <w:rPr>
                <w:rFonts w:ascii="宋体"/>
              </w:rPr>
            </w:pPr>
          </w:p>
        </w:tc>
      </w:tr>
      <w:tr w:rsidR="00584EC1" w14:paraId="74DD8D7F" w14:textId="77777777">
        <w:tc>
          <w:tcPr>
            <w:tcW w:w="0" w:type="auto"/>
            <w:gridSpan w:val="3"/>
            <w:shd w:val="clear" w:color="auto" w:fill="CCEEFF"/>
            <w:tcMar>
              <w:top w:w="40" w:type="dxa"/>
              <w:left w:w="20" w:type="dxa"/>
              <w:bottom w:w="40" w:type="dxa"/>
              <w:right w:w="20" w:type="dxa"/>
            </w:tcMar>
            <w:vAlign w:val="bottom"/>
          </w:tcPr>
          <w:p w14:paraId="74DD8D70" w14:textId="77777777" w:rsidR="00584EC1" w:rsidRDefault="00871F8D">
            <w:pPr>
              <w:textAlignment w:val="bottom"/>
            </w:pPr>
            <w:r>
              <w:rPr>
                <w:rFonts w:ascii="Arial" w:eastAsia="宋体" w:hAnsi="Arial" w:cs="Arial"/>
                <w:color w:val="000000"/>
                <w:sz w:val="13"/>
                <w:szCs w:val="13"/>
              </w:rPr>
              <w:t>Texas</w:t>
            </w:r>
          </w:p>
        </w:tc>
        <w:tc>
          <w:tcPr>
            <w:tcW w:w="0" w:type="auto"/>
            <w:shd w:val="clear" w:color="auto" w:fill="CCEEFF"/>
            <w:tcMar>
              <w:top w:w="40" w:type="dxa"/>
              <w:left w:w="20" w:type="dxa"/>
              <w:bottom w:w="40" w:type="dxa"/>
              <w:right w:w="0" w:type="dxa"/>
            </w:tcMar>
            <w:vAlign w:val="bottom"/>
          </w:tcPr>
          <w:p w14:paraId="74DD8D71" w14:textId="77777777" w:rsidR="00584EC1" w:rsidRDefault="00871F8D">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4DD8D72" w14:textId="77777777" w:rsidR="00584EC1" w:rsidRDefault="00871F8D">
            <w:pPr>
              <w:jc w:val="right"/>
              <w:textAlignment w:val="bottom"/>
            </w:pPr>
            <w:r>
              <w:rPr>
                <w:rFonts w:ascii="Arial" w:eastAsia="宋体" w:hAnsi="Arial" w:cs="Arial"/>
                <w:b/>
                <w:bCs/>
                <w:color w:val="000000"/>
                <w:sz w:val="13"/>
                <w:szCs w:val="13"/>
              </w:rPr>
              <w:t>239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8D7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D74"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8D75" w14:textId="77777777" w:rsidR="00584EC1" w:rsidRDefault="00871F8D">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4DD8D76" w14:textId="77777777" w:rsidR="00584EC1" w:rsidRDefault="00871F8D">
            <w:pPr>
              <w:jc w:val="right"/>
              <w:textAlignment w:val="bottom"/>
            </w:pPr>
            <w:r>
              <w:rPr>
                <w:rFonts w:ascii="Arial" w:eastAsia="宋体" w:hAnsi="Arial" w:cs="Arial"/>
                <w:b/>
                <w:bCs/>
                <w:color w:val="000000"/>
                <w:sz w:val="13"/>
                <w:szCs w:val="13"/>
              </w:rPr>
              <w:t>2,388</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8D7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D78"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8D79" w14:textId="77777777" w:rsidR="00584EC1" w:rsidRDefault="00871F8D">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4DD8D7A" w14:textId="77777777" w:rsidR="00584EC1" w:rsidRDefault="00871F8D">
            <w:pPr>
              <w:jc w:val="right"/>
              <w:textAlignment w:val="bottom"/>
            </w:pPr>
            <w:r>
              <w:rPr>
                <w:rFonts w:ascii="Arial" w:eastAsia="宋体" w:hAnsi="Arial" w:cs="Arial"/>
                <w:b/>
                <w:bCs/>
                <w:color w:val="000000"/>
                <w:sz w:val="13"/>
                <w:szCs w:val="13"/>
              </w:rPr>
              <w:t>2,627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8D7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D7C"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D7D" w14:textId="77777777" w:rsidR="00584EC1" w:rsidRDefault="00871F8D">
            <w:pPr>
              <w:jc w:val="right"/>
              <w:textAlignment w:val="bottom"/>
            </w:pPr>
            <w:r>
              <w:rPr>
                <w:rFonts w:ascii="Arial" w:eastAsia="宋体" w:hAnsi="Arial" w:cs="Arial"/>
                <w:b/>
                <w:bCs/>
                <w:color w:val="000000"/>
                <w:sz w:val="13"/>
                <w:szCs w:val="13"/>
              </w:rPr>
              <w:t>24</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8D7E" w14:textId="77777777" w:rsidR="00584EC1" w:rsidRDefault="00871F8D">
            <w:pPr>
              <w:jc w:val="right"/>
              <w:textAlignment w:val="bottom"/>
            </w:pPr>
            <w:r>
              <w:rPr>
                <w:rFonts w:ascii="Arial" w:eastAsia="宋体" w:hAnsi="Arial" w:cs="Arial"/>
                <w:b/>
                <w:bCs/>
                <w:color w:val="000000"/>
                <w:sz w:val="13"/>
                <w:szCs w:val="13"/>
              </w:rPr>
              <w:t>%</w:t>
            </w:r>
          </w:p>
        </w:tc>
      </w:tr>
      <w:tr w:rsidR="00584EC1" w14:paraId="74DD8D8C" w14:textId="77777777">
        <w:tc>
          <w:tcPr>
            <w:tcW w:w="0" w:type="auto"/>
            <w:gridSpan w:val="3"/>
            <w:shd w:val="clear" w:color="auto" w:fill="FFFFFF"/>
            <w:tcMar>
              <w:top w:w="40" w:type="dxa"/>
              <w:left w:w="20" w:type="dxa"/>
              <w:bottom w:w="40" w:type="dxa"/>
              <w:right w:w="20" w:type="dxa"/>
            </w:tcMar>
            <w:vAlign w:val="bottom"/>
          </w:tcPr>
          <w:p w14:paraId="74DD8D80" w14:textId="77777777" w:rsidR="00584EC1" w:rsidRDefault="00871F8D">
            <w:pPr>
              <w:textAlignment w:val="bottom"/>
            </w:pPr>
            <w:r>
              <w:rPr>
                <w:rFonts w:ascii="Arial" w:eastAsia="宋体" w:hAnsi="Arial" w:cs="Arial"/>
                <w:color w:val="000000"/>
                <w:sz w:val="13"/>
                <w:szCs w:val="13"/>
              </w:rPr>
              <w:t>California</w:t>
            </w:r>
          </w:p>
        </w:tc>
        <w:tc>
          <w:tcPr>
            <w:tcW w:w="0" w:type="auto"/>
            <w:gridSpan w:val="2"/>
            <w:shd w:val="clear" w:color="auto" w:fill="FFFFFF"/>
            <w:tcMar>
              <w:top w:w="40" w:type="dxa"/>
              <w:left w:w="20" w:type="dxa"/>
              <w:bottom w:w="40" w:type="dxa"/>
              <w:right w:w="0" w:type="dxa"/>
            </w:tcMar>
            <w:vAlign w:val="bottom"/>
          </w:tcPr>
          <w:p w14:paraId="74DD8D81" w14:textId="77777777" w:rsidR="00584EC1" w:rsidRDefault="00871F8D">
            <w:pPr>
              <w:jc w:val="right"/>
              <w:textAlignment w:val="bottom"/>
            </w:pPr>
            <w:r>
              <w:rPr>
                <w:rFonts w:ascii="Arial" w:eastAsia="宋体" w:hAnsi="Arial" w:cs="Arial"/>
                <w:b/>
                <w:bCs/>
                <w:color w:val="000000"/>
                <w:sz w:val="13"/>
                <w:szCs w:val="13"/>
              </w:rPr>
              <w:t>109</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8D8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D8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D84" w14:textId="77777777" w:rsidR="00584EC1" w:rsidRDefault="00871F8D">
            <w:pPr>
              <w:jc w:val="right"/>
              <w:textAlignment w:val="bottom"/>
            </w:pPr>
            <w:r>
              <w:rPr>
                <w:rFonts w:ascii="Arial" w:eastAsia="宋体" w:hAnsi="Arial" w:cs="Arial"/>
                <w:b/>
                <w:bCs/>
                <w:color w:val="000000"/>
                <w:sz w:val="13"/>
                <w:szCs w:val="13"/>
              </w:rPr>
              <w:t>2,072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8D8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D8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D87" w14:textId="77777777" w:rsidR="00584EC1" w:rsidRDefault="00871F8D">
            <w:pPr>
              <w:jc w:val="right"/>
              <w:textAlignment w:val="bottom"/>
            </w:pPr>
            <w:r>
              <w:rPr>
                <w:rFonts w:ascii="Arial" w:eastAsia="宋体" w:hAnsi="Arial" w:cs="Arial"/>
                <w:b/>
                <w:bCs/>
                <w:color w:val="000000"/>
                <w:sz w:val="13"/>
                <w:szCs w:val="13"/>
              </w:rPr>
              <w:t>2,181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8D8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D8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D8A" w14:textId="77777777" w:rsidR="00584EC1" w:rsidRDefault="00871F8D">
            <w:pPr>
              <w:jc w:val="right"/>
              <w:textAlignment w:val="bottom"/>
            </w:pPr>
            <w:r>
              <w:rPr>
                <w:rFonts w:ascii="Arial" w:eastAsia="宋体" w:hAnsi="Arial" w:cs="Arial"/>
                <w:b/>
                <w:bCs/>
                <w:color w:val="000000"/>
                <w:sz w:val="13"/>
                <w:szCs w:val="13"/>
              </w:rPr>
              <w:t>20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8D8B" w14:textId="77777777" w:rsidR="00584EC1" w:rsidRDefault="00584EC1">
            <w:pPr>
              <w:jc w:val="right"/>
              <w:rPr>
                <w:rFonts w:ascii="宋体"/>
              </w:rPr>
            </w:pPr>
          </w:p>
        </w:tc>
      </w:tr>
      <w:tr w:rsidR="00584EC1" w14:paraId="74DD8D99" w14:textId="77777777">
        <w:tc>
          <w:tcPr>
            <w:tcW w:w="0" w:type="auto"/>
            <w:gridSpan w:val="3"/>
            <w:shd w:val="clear" w:color="auto" w:fill="CCEEFF"/>
            <w:tcMar>
              <w:top w:w="40" w:type="dxa"/>
              <w:left w:w="20" w:type="dxa"/>
              <w:bottom w:w="40" w:type="dxa"/>
              <w:right w:w="20" w:type="dxa"/>
            </w:tcMar>
            <w:vAlign w:val="bottom"/>
          </w:tcPr>
          <w:p w14:paraId="74DD8D8D" w14:textId="77777777" w:rsidR="00584EC1" w:rsidRDefault="00871F8D">
            <w:pPr>
              <w:textAlignment w:val="bottom"/>
            </w:pPr>
            <w:r>
              <w:rPr>
                <w:rFonts w:ascii="Arial" w:eastAsia="宋体" w:hAnsi="Arial" w:cs="Arial"/>
                <w:color w:val="000000"/>
                <w:sz w:val="13"/>
                <w:szCs w:val="13"/>
              </w:rPr>
              <w:t>New York</w:t>
            </w:r>
          </w:p>
        </w:tc>
        <w:tc>
          <w:tcPr>
            <w:tcW w:w="0" w:type="auto"/>
            <w:gridSpan w:val="2"/>
            <w:shd w:val="clear" w:color="auto" w:fill="CCEEFF"/>
            <w:tcMar>
              <w:top w:w="40" w:type="dxa"/>
              <w:left w:w="20" w:type="dxa"/>
              <w:bottom w:w="40" w:type="dxa"/>
              <w:right w:w="0" w:type="dxa"/>
            </w:tcMar>
            <w:vAlign w:val="bottom"/>
          </w:tcPr>
          <w:p w14:paraId="74DD8D8E" w14:textId="77777777" w:rsidR="00584EC1" w:rsidRDefault="00871F8D">
            <w:pPr>
              <w:jc w:val="right"/>
              <w:textAlignment w:val="bottom"/>
            </w:pPr>
            <w:r>
              <w:rPr>
                <w:rFonts w:ascii="Arial" w:eastAsia="宋体" w:hAnsi="Arial" w:cs="Arial"/>
                <w:b/>
                <w:bCs/>
                <w:color w:val="000000"/>
                <w:sz w:val="13"/>
                <w:szCs w:val="13"/>
              </w:rPr>
              <w:t>274</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8D8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D9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D91" w14:textId="77777777" w:rsidR="00584EC1" w:rsidRDefault="00871F8D">
            <w:pPr>
              <w:jc w:val="right"/>
              <w:textAlignment w:val="bottom"/>
            </w:pPr>
            <w:r>
              <w:rPr>
                <w:rFonts w:ascii="Arial" w:eastAsia="宋体" w:hAnsi="Arial" w:cs="Arial"/>
                <w:b/>
                <w:bCs/>
                <w:color w:val="000000"/>
                <w:sz w:val="13"/>
                <w:szCs w:val="13"/>
              </w:rPr>
              <w:t>1,257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8D9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D93"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D94" w14:textId="77777777" w:rsidR="00584EC1" w:rsidRDefault="00871F8D">
            <w:pPr>
              <w:jc w:val="right"/>
              <w:textAlignment w:val="bottom"/>
            </w:pPr>
            <w:r>
              <w:rPr>
                <w:rFonts w:ascii="Arial" w:eastAsia="宋体" w:hAnsi="Arial" w:cs="Arial"/>
                <w:b/>
                <w:bCs/>
                <w:color w:val="000000"/>
                <w:sz w:val="13"/>
                <w:szCs w:val="13"/>
              </w:rPr>
              <w:t>1,531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8D9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D9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D97" w14:textId="77777777" w:rsidR="00584EC1" w:rsidRDefault="00871F8D">
            <w:pPr>
              <w:jc w:val="right"/>
              <w:textAlignment w:val="bottom"/>
            </w:pPr>
            <w:r>
              <w:rPr>
                <w:rFonts w:ascii="Arial" w:eastAsia="宋体" w:hAnsi="Arial" w:cs="Arial"/>
                <w:b/>
                <w:bCs/>
                <w:color w:val="000000"/>
                <w:sz w:val="13"/>
                <w:szCs w:val="13"/>
              </w:rPr>
              <w:t>14</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8D98" w14:textId="77777777" w:rsidR="00584EC1" w:rsidRDefault="00584EC1">
            <w:pPr>
              <w:jc w:val="right"/>
              <w:rPr>
                <w:rFonts w:ascii="宋体"/>
              </w:rPr>
            </w:pPr>
          </w:p>
        </w:tc>
      </w:tr>
      <w:tr w:rsidR="00584EC1" w14:paraId="74DD8DA6" w14:textId="77777777">
        <w:tc>
          <w:tcPr>
            <w:tcW w:w="0" w:type="auto"/>
            <w:gridSpan w:val="3"/>
            <w:shd w:val="clear" w:color="auto" w:fill="FFFFFF"/>
            <w:tcMar>
              <w:top w:w="40" w:type="dxa"/>
              <w:left w:w="20" w:type="dxa"/>
              <w:bottom w:w="40" w:type="dxa"/>
              <w:right w:w="20" w:type="dxa"/>
            </w:tcMar>
            <w:vAlign w:val="bottom"/>
          </w:tcPr>
          <w:p w14:paraId="74DD8D9A" w14:textId="77777777" w:rsidR="00584EC1" w:rsidRDefault="00871F8D">
            <w:pPr>
              <w:textAlignment w:val="bottom"/>
            </w:pPr>
            <w:r>
              <w:rPr>
                <w:rFonts w:ascii="Arial" w:eastAsia="宋体" w:hAnsi="Arial" w:cs="Arial"/>
                <w:color w:val="000000"/>
                <w:sz w:val="13"/>
                <w:szCs w:val="13"/>
              </w:rPr>
              <w:t>Massachusetts</w:t>
            </w:r>
          </w:p>
        </w:tc>
        <w:tc>
          <w:tcPr>
            <w:tcW w:w="0" w:type="auto"/>
            <w:gridSpan w:val="2"/>
            <w:shd w:val="clear" w:color="auto" w:fill="FFFFFF"/>
            <w:tcMar>
              <w:top w:w="40" w:type="dxa"/>
              <w:left w:w="20" w:type="dxa"/>
              <w:bottom w:w="40" w:type="dxa"/>
              <w:right w:w="0" w:type="dxa"/>
            </w:tcMar>
            <w:vAlign w:val="bottom"/>
          </w:tcPr>
          <w:p w14:paraId="74DD8D9B" w14:textId="77777777" w:rsidR="00584EC1" w:rsidRDefault="00871F8D">
            <w:pPr>
              <w:jc w:val="right"/>
              <w:textAlignment w:val="bottom"/>
            </w:pPr>
            <w:r>
              <w:rPr>
                <w:rFonts w:ascii="Arial" w:eastAsia="宋体" w:hAnsi="Arial" w:cs="Arial"/>
                <w:b/>
                <w:bCs/>
                <w:color w:val="000000"/>
                <w:sz w:val="13"/>
                <w:szCs w:val="13"/>
              </w:rPr>
              <w:t>322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8D9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D9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D9E" w14:textId="77777777" w:rsidR="00584EC1" w:rsidRDefault="00871F8D">
            <w:pPr>
              <w:jc w:val="right"/>
              <w:textAlignment w:val="bottom"/>
            </w:pPr>
            <w:r>
              <w:rPr>
                <w:rFonts w:ascii="Arial" w:eastAsia="宋体" w:hAnsi="Arial" w:cs="Arial"/>
                <w:b/>
                <w:bCs/>
                <w:color w:val="000000"/>
                <w:sz w:val="13"/>
                <w:szCs w:val="13"/>
              </w:rPr>
              <w:t>698</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8D9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DA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DA1" w14:textId="77777777" w:rsidR="00584EC1" w:rsidRDefault="00871F8D">
            <w:pPr>
              <w:jc w:val="right"/>
              <w:textAlignment w:val="bottom"/>
            </w:pPr>
            <w:r>
              <w:rPr>
                <w:rFonts w:ascii="Arial" w:eastAsia="宋体" w:hAnsi="Arial" w:cs="Arial"/>
                <w:b/>
                <w:bCs/>
                <w:color w:val="000000"/>
                <w:sz w:val="13"/>
                <w:szCs w:val="13"/>
              </w:rPr>
              <w:t>1,020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8DA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DA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DA4" w14:textId="77777777" w:rsidR="00584EC1" w:rsidRDefault="00871F8D">
            <w:pPr>
              <w:jc w:val="right"/>
              <w:textAlignment w:val="bottom"/>
            </w:pPr>
            <w:r>
              <w:rPr>
                <w:rFonts w:ascii="Arial" w:eastAsia="宋体" w:hAnsi="Arial" w:cs="Arial"/>
                <w:b/>
                <w:bCs/>
                <w:color w:val="000000"/>
                <w:sz w:val="13"/>
                <w:szCs w:val="13"/>
              </w:rPr>
              <w:t>10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8DA5" w14:textId="77777777" w:rsidR="00584EC1" w:rsidRDefault="00584EC1">
            <w:pPr>
              <w:jc w:val="right"/>
              <w:rPr>
                <w:rFonts w:ascii="宋体"/>
              </w:rPr>
            </w:pPr>
          </w:p>
        </w:tc>
      </w:tr>
      <w:tr w:rsidR="00584EC1" w14:paraId="74DD8DB3" w14:textId="77777777">
        <w:tc>
          <w:tcPr>
            <w:tcW w:w="0" w:type="auto"/>
            <w:gridSpan w:val="3"/>
            <w:shd w:val="clear" w:color="auto" w:fill="CCEEFF"/>
            <w:tcMar>
              <w:top w:w="40" w:type="dxa"/>
              <w:left w:w="20" w:type="dxa"/>
              <w:bottom w:w="40" w:type="dxa"/>
              <w:right w:w="20" w:type="dxa"/>
            </w:tcMar>
            <w:vAlign w:val="bottom"/>
          </w:tcPr>
          <w:p w14:paraId="74DD8DA7" w14:textId="77777777" w:rsidR="00584EC1" w:rsidRDefault="00871F8D">
            <w:pPr>
              <w:textAlignment w:val="bottom"/>
            </w:pPr>
            <w:r>
              <w:rPr>
                <w:rFonts w:ascii="Arial" w:eastAsia="宋体" w:hAnsi="Arial" w:cs="Arial"/>
                <w:color w:val="000000"/>
                <w:sz w:val="13"/>
                <w:szCs w:val="13"/>
              </w:rPr>
              <w:t>Tennessee</w:t>
            </w:r>
          </w:p>
        </w:tc>
        <w:tc>
          <w:tcPr>
            <w:tcW w:w="0" w:type="auto"/>
            <w:gridSpan w:val="2"/>
            <w:shd w:val="clear" w:color="auto" w:fill="CCEEFF"/>
            <w:tcMar>
              <w:top w:w="40" w:type="dxa"/>
              <w:left w:w="20" w:type="dxa"/>
              <w:bottom w:w="40" w:type="dxa"/>
              <w:right w:w="0" w:type="dxa"/>
            </w:tcMar>
            <w:vAlign w:val="bottom"/>
          </w:tcPr>
          <w:p w14:paraId="74DD8DA8" w14:textId="77777777" w:rsidR="00584EC1" w:rsidRDefault="00871F8D">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8DA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DAA"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DAB" w14:textId="77777777" w:rsidR="00584EC1" w:rsidRDefault="00871F8D">
            <w:pPr>
              <w:jc w:val="right"/>
              <w:textAlignment w:val="bottom"/>
            </w:pPr>
            <w:r>
              <w:rPr>
                <w:rFonts w:ascii="Arial" w:eastAsia="宋体" w:hAnsi="Arial" w:cs="Arial"/>
                <w:b/>
                <w:bCs/>
                <w:color w:val="000000"/>
                <w:sz w:val="13"/>
                <w:szCs w:val="13"/>
              </w:rPr>
              <w:t>491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8DA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DA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DAE" w14:textId="77777777" w:rsidR="00584EC1" w:rsidRDefault="00871F8D">
            <w:pPr>
              <w:jc w:val="right"/>
              <w:textAlignment w:val="bottom"/>
            </w:pPr>
            <w:r>
              <w:rPr>
                <w:rFonts w:ascii="Arial" w:eastAsia="宋体" w:hAnsi="Arial" w:cs="Arial"/>
                <w:b/>
                <w:bCs/>
                <w:color w:val="000000"/>
                <w:sz w:val="13"/>
                <w:szCs w:val="13"/>
              </w:rPr>
              <w:t>491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8DA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DB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DB1" w14:textId="77777777" w:rsidR="00584EC1" w:rsidRDefault="00871F8D">
            <w:pPr>
              <w:jc w:val="right"/>
              <w:textAlignment w:val="bottom"/>
            </w:pPr>
            <w:r>
              <w:rPr>
                <w:rFonts w:ascii="Arial" w:eastAsia="宋体" w:hAnsi="Arial" w:cs="Arial"/>
                <w:b/>
                <w:bCs/>
                <w:color w:val="000000"/>
                <w:sz w:val="13"/>
                <w:szCs w:val="13"/>
              </w:rPr>
              <w:t>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8DB2" w14:textId="77777777" w:rsidR="00584EC1" w:rsidRDefault="00584EC1">
            <w:pPr>
              <w:jc w:val="right"/>
              <w:rPr>
                <w:rFonts w:ascii="宋体"/>
              </w:rPr>
            </w:pPr>
          </w:p>
        </w:tc>
      </w:tr>
      <w:tr w:rsidR="00584EC1" w14:paraId="74DD8DC2" w14:textId="77777777">
        <w:tc>
          <w:tcPr>
            <w:tcW w:w="0" w:type="auto"/>
            <w:gridSpan w:val="3"/>
            <w:shd w:val="clear" w:color="auto" w:fill="FFFFFF"/>
            <w:tcMar>
              <w:top w:w="40" w:type="dxa"/>
              <w:left w:w="20" w:type="dxa"/>
              <w:bottom w:w="40" w:type="dxa"/>
              <w:right w:w="20" w:type="dxa"/>
            </w:tcMar>
            <w:vAlign w:val="bottom"/>
          </w:tcPr>
          <w:p w14:paraId="74DD8DB4" w14:textId="77777777" w:rsidR="00584EC1" w:rsidRDefault="00871F8D">
            <w:pPr>
              <w:textAlignment w:val="bottom"/>
            </w:pPr>
            <w:r>
              <w:rPr>
                <w:rFonts w:ascii="Arial" w:eastAsia="宋体" w:hAnsi="Arial" w:cs="Arial"/>
                <w:color w:val="000000"/>
                <w:sz w:val="13"/>
                <w:szCs w:val="13"/>
              </w:rPr>
              <w:t>Total</w:t>
            </w:r>
          </w:p>
        </w:tc>
        <w:tc>
          <w:tcPr>
            <w:tcW w:w="0" w:type="auto"/>
            <w:tcBorders>
              <w:top w:val="single" w:sz="8" w:space="0" w:color="000000"/>
            </w:tcBorders>
            <w:shd w:val="clear" w:color="auto" w:fill="FFFFFF"/>
            <w:tcMar>
              <w:top w:w="40" w:type="dxa"/>
              <w:left w:w="20" w:type="dxa"/>
              <w:bottom w:w="40" w:type="dxa"/>
              <w:right w:w="0" w:type="dxa"/>
            </w:tcMar>
            <w:vAlign w:val="bottom"/>
          </w:tcPr>
          <w:p w14:paraId="74DD8DB5" w14:textId="77777777" w:rsidR="00584EC1" w:rsidRDefault="00871F8D">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8DB6" w14:textId="77777777" w:rsidR="00584EC1" w:rsidRDefault="00871F8D">
            <w:pPr>
              <w:jc w:val="right"/>
              <w:textAlignment w:val="bottom"/>
            </w:pPr>
            <w:r>
              <w:rPr>
                <w:rFonts w:ascii="Arial" w:eastAsia="宋体" w:hAnsi="Arial" w:cs="Arial"/>
                <w:b/>
                <w:bCs/>
                <w:color w:val="000000"/>
                <w:sz w:val="13"/>
                <w:szCs w:val="13"/>
              </w:rPr>
              <w:t>944</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8DB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DB8"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8DB9" w14:textId="77777777" w:rsidR="00584EC1" w:rsidRDefault="00871F8D">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8DBA" w14:textId="77777777" w:rsidR="00584EC1" w:rsidRDefault="00871F8D">
            <w:pPr>
              <w:jc w:val="right"/>
              <w:textAlignment w:val="bottom"/>
            </w:pPr>
            <w:r>
              <w:rPr>
                <w:rFonts w:ascii="Arial" w:eastAsia="宋体" w:hAnsi="Arial" w:cs="Arial"/>
                <w:b/>
                <w:bCs/>
                <w:color w:val="000000"/>
                <w:sz w:val="13"/>
                <w:szCs w:val="13"/>
              </w:rPr>
              <w:t>6,906</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8DB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DBC"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8DBD" w14:textId="77777777" w:rsidR="00584EC1" w:rsidRDefault="00871F8D">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8DBE" w14:textId="77777777" w:rsidR="00584EC1" w:rsidRDefault="00871F8D">
            <w:pPr>
              <w:jc w:val="right"/>
              <w:textAlignment w:val="bottom"/>
            </w:pPr>
            <w:r>
              <w:rPr>
                <w:rFonts w:ascii="Arial" w:eastAsia="宋体" w:hAnsi="Arial" w:cs="Arial"/>
                <w:b/>
                <w:bCs/>
                <w:color w:val="000000"/>
                <w:sz w:val="13"/>
                <w:szCs w:val="13"/>
              </w:rPr>
              <w:t>7,850</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8DB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DC0"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8DC1" w14:textId="77777777" w:rsidR="00584EC1" w:rsidRDefault="00584EC1">
            <w:pPr>
              <w:rPr>
                <w:rFonts w:ascii="宋体"/>
              </w:rPr>
            </w:pPr>
          </w:p>
        </w:tc>
      </w:tr>
      <w:tr w:rsidR="00584EC1" w14:paraId="74DD8DCB" w14:textId="77777777">
        <w:trPr>
          <w:trHeight w:val="60"/>
        </w:trPr>
        <w:tc>
          <w:tcPr>
            <w:tcW w:w="0" w:type="auto"/>
            <w:gridSpan w:val="3"/>
            <w:shd w:val="clear" w:color="auto" w:fill="auto"/>
            <w:tcMar>
              <w:top w:w="0" w:type="dxa"/>
              <w:left w:w="20" w:type="dxa"/>
              <w:bottom w:w="0" w:type="dxa"/>
              <w:right w:w="20" w:type="dxa"/>
            </w:tcMar>
            <w:vAlign w:val="bottom"/>
          </w:tcPr>
          <w:p w14:paraId="74DD8DC3"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D8DC4"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8DC5"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D8DC6"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8DC7"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D8DC8"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8DC9"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8DCA" w14:textId="77777777" w:rsidR="00584EC1" w:rsidRDefault="00584EC1">
            <w:pPr>
              <w:rPr>
                <w:rFonts w:ascii="宋体"/>
              </w:rPr>
            </w:pPr>
          </w:p>
        </w:tc>
      </w:tr>
      <w:tr w:rsidR="00584EC1" w14:paraId="74DD8DD3" w14:textId="77777777">
        <w:tc>
          <w:tcPr>
            <w:tcW w:w="0" w:type="auto"/>
            <w:gridSpan w:val="6"/>
            <w:shd w:val="clear" w:color="auto" w:fill="auto"/>
            <w:tcMar>
              <w:top w:w="40" w:type="dxa"/>
              <w:left w:w="20" w:type="dxa"/>
              <w:bottom w:w="40" w:type="dxa"/>
              <w:right w:w="20" w:type="dxa"/>
            </w:tcMar>
            <w:vAlign w:val="bottom"/>
          </w:tcPr>
          <w:p w14:paraId="74DD8DCC" w14:textId="77777777" w:rsidR="00584EC1" w:rsidRDefault="00871F8D">
            <w:pPr>
              <w:textAlignment w:val="bottom"/>
            </w:pPr>
            <w:r>
              <w:rPr>
                <w:rFonts w:ascii="Arial" w:eastAsia="宋体" w:hAnsi="Arial" w:cs="Arial"/>
                <w:b/>
                <w:bCs/>
                <w:color w:val="000000"/>
                <w:sz w:val="13"/>
                <w:szCs w:val="13"/>
              </w:rPr>
              <w:t>December 31, 2020</w:t>
            </w:r>
          </w:p>
        </w:tc>
        <w:tc>
          <w:tcPr>
            <w:tcW w:w="0" w:type="auto"/>
            <w:gridSpan w:val="3"/>
            <w:shd w:val="clear" w:color="auto" w:fill="auto"/>
            <w:tcMar>
              <w:top w:w="0" w:type="dxa"/>
              <w:left w:w="20" w:type="dxa"/>
              <w:bottom w:w="0" w:type="dxa"/>
              <w:right w:w="20" w:type="dxa"/>
            </w:tcMar>
            <w:vAlign w:val="bottom"/>
          </w:tcPr>
          <w:p w14:paraId="74DD8DCD"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8DCE"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8DCF"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8DD0"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8DD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8DD2" w14:textId="77777777" w:rsidR="00584EC1" w:rsidRDefault="00584EC1">
            <w:pPr>
              <w:rPr>
                <w:rFonts w:ascii="宋体"/>
              </w:rPr>
            </w:pPr>
          </w:p>
        </w:tc>
      </w:tr>
      <w:tr w:rsidR="00584EC1" w14:paraId="74DD8DDC" w14:textId="77777777">
        <w:tc>
          <w:tcPr>
            <w:tcW w:w="0" w:type="auto"/>
            <w:gridSpan w:val="3"/>
            <w:shd w:val="clear" w:color="auto" w:fill="FFFFFF"/>
            <w:tcMar>
              <w:top w:w="40" w:type="dxa"/>
              <w:left w:w="20" w:type="dxa"/>
              <w:bottom w:w="40" w:type="dxa"/>
              <w:right w:w="20" w:type="dxa"/>
            </w:tcMar>
            <w:vAlign w:val="bottom"/>
          </w:tcPr>
          <w:p w14:paraId="74DD8DD4" w14:textId="77777777" w:rsidR="00584EC1" w:rsidRDefault="00871F8D">
            <w:pPr>
              <w:jc w:val="both"/>
              <w:textAlignment w:val="bottom"/>
            </w:pPr>
            <w:r>
              <w:rPr>
                <w:rFonts w:ascii="Arial" w:eastAsia="宋体" w:hAnsi="Arial" w:cs="Arial"/>
                <w:b/>
                <w:bCs/>
                <w:color w:val="000000"/>
                <w:sz w:val="13"/>
                <w:szCs w:val="13"/>
              </w:rPr>
              <w:t>State of Issuer:</w:t>
            </w:r>
          </w:p>
        </w:tc>
        <w:tc>
          <w:tcPr>
            <w:tcW w:w="0" w:type="auto"/>
            <w:gridSpan w:val="3"/>
            <w:shd w:val="clear" w:color="auto" w:fill="FFFFFF"/>
            <w:tcMar>
              <w:top w:w="0" w:type="dxa"/>
              <w:left w:w="20" w:type="dxa"/>
              <w:bottom w:w="0" w:type="dxa"/>
              <w:right w:w="20" w:type="dxa"/>
            </w:tcMar>
            <w:vAlign w:val="bottom"/>
          </w:tcPr>
          <w:p w14:paraId="74DD8DD5"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8DD6"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8DD7"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8DD8"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8DD9"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8DDA"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8DDB" w14:textId="77777777" w:rsidR="00584EC1" w:rsidRDefault="00584EC1">
            <w:pPr>
              <w:rPr>
                <w:rFonts w:ascii="宋体"/>
              </w:rPr>
            </w:pPr>
          </w:p>
        </w:tc>
      </w:tr>
      <w:tr w:rsidR="00584EC1" w14:paraId="74DD8DEC" w14:textId="77777777">
        <w:tc>
          <w:tcPr>
            <w:tcW w:w="0" w:type="auto"/>
            <w:gridSpan w:val="3"/>
            <w:shd w:val="clear" w:color="auto" w:fill="CCEEFF"/>
            <w:tcMar>
              <w:top w:w="40" w:type="dxa"/>
              <w:left w:w="20" w:type="dxa"/>
              <w:bottom w:w="40" w:type="dxa"/>
              <w:right w:w="20" w:type="dxa"/>
            </w:tcMar>
            <w:vAlign w:val="bottom"/>
          </w:tcPr>
          <w:p w14:paraId="74DD8DDD" w14:textId="77777777" w:rsidR="00584EC1" w:rsidRDefault="00871F8D">
            <w:pPr>
              <w:textAlignment w:val="bottom"/>
            </w:pPr>
            <w:r>
              <w:rPr>
                <w:rFonts w:ascii="Arial" w:eastAsia="宋体" w:hAnsi="Arial" w:cs="Arial"/>
                <w:color w:val="000000"/>
                <w:sz w:val="13"/>
                <w:szCs w:val="13"/>
              </w:rPr>
              <w:t>Texas</w:t>
            </w:r>
          </w:p>
        </w:tc>
        <w:tc>
          <w:tcPr>
            <w:tcW w:w="0" w:type="auto"/>
            <w:shd w:val="clear" w:color="auto" w:fill="CCEEFF"/>
            <w:tcMar>
              <w:top w:w="40" w:type="dxa"/>
              <w:left w:w="20" w:type="dxa"/>
              <w:bottom w:w="40" w:type="dxa"/>
              <w:right w:w="0" w:type="dxa"/>
            </w:tcMar>
            <w:vAlign w:val="bottom"/>
          </w:tcPr>
          <w:p w14:paraId="74DD8DDE" w14:textId="77777777" w:rsidR="00584EC1" w:rsidRDefault="00871F8D">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74DD8DDF" w14:textId="77777777" w:rsidR="00584EC1" w:rsidRDefault="00871F8D">
            <w:pPr>
              <w:jc w:val="right"/>
              <w:textAlignment w:val="bottom"/>
            </w:pPr>
            <w:r>
              <w:rPr>
                <w:rFonts w:ascii="Arial" w:eastAsia="宋体" w:hAnsi="Arial" w:cs="Arial"/>
                <w:color w:val="000000"/>
                <w:sz w:val="13"/>
                <w:szCs w:val="13"/>
              </w:rPr>
              <w:t>268 </w:t>
            </w:r>
          </w:p>
        </w:tc>
        <w:tc>
          <w:tcPr>
            <w:tcW w:w="0" w:type="auto"/>
            <w:shd w:val="clear" w:color="auto" w:fill="CCEEFF"/>
            <w:tcMar>
              <w:top w:w="40" w:type="dxa"/>
              <w:left w:w="0" w:type="dxa"/>
              <w:bottom w:w="40" w:type="dxa"/>
              <w:right w:w="20" w:type="dxa"/>
            </w:tcMar>
            <w:vAlign w:val="bottom"/>
          </w:tcPr>
          <w:p w14:paraId="74DD8DE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DE1"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8DE2" w14:textId="77777777" w:rsidR="00584EC1" w:rsidRDefault="00871F8D">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74DD8DE3" w14:textId="77777777" w:rsidR="00584EC1" w:rsidRDefault="00871F8D">
            <w:pPr>
              <w:jc w:val="right"/>
              <w:textAlignment w:val="bottom"/>
            </w:pPr>
            <w:r>
              <w:rPr>
                <w:rFonts w:ascii="Arial" w:eastAsia="宋体" w:hAnsi="Arial" w:cs="Arial"/>
                <w:color w:val="000000"/>
                <w:sz w:val="13"/>
                <w:szCs w:val="13"/>
              </w:rPr>
              <w:t>2,282 </w:t>
            </w:r>
          </w:p>
        </w:tc>
        <w:tc>
          <w:tcPr>
            <w:tcW w:w="0" w:type="auto"/>
            <w:shd w:val="clear" w:color="auto" w:fill="CCEEFF"/>
            <w:tcMar>
              <w:top w:w="40" w:type="dxa"/>
              <w:left w:w="0" w:type="dxa"/>
              <w:bottom w:w="40" w:type="dxa"/>
              <w:right w:w="20" w:type="dxa"/>
            </w:tcMar>
            <w:vAlign w:val="bottom"/>
          </w:tcPr>
          <w:p w14:paraId="74DD8DE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DE5"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8DE6" w14:textId="77777777" w:rsidR="00584EC1" w:rsidRDefault="00871F8D">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74DD8DE7" w14:textId="77777777" w:rsidR="00584EC1" w:rsidRDefault="00871F8D">
            <w:pPr>
              <w:jc w:val="right"/>
              <w:textAlignment w:val="bottom"/>
            </w:pPr>
            <w:r>
              <w:rPr>
                <w:rFonts w:ascii="Arial" w:eastAsia="宋体" w:hAnsi="Arial" w:cs="Arial"/>
                <w:color w:val="000000"/>
                <w:sz w:val="13"/>
                <w:szCs w:val="13"/>
              </w:rPr>
              <w:t>2,550 </w:t>
            </w:r>
          </w:p>
        </w:tc>
        <w:tc>
          <w:tcPr>
            <w:tcW w:w="0" w:type="auto"/>
            <w:shd w:val="clear" w:color="auto" w:fill="CCEEFF"/>
            <w:tcMar>
              <w:top w:w="40" w:type="dxa"/>
              <w:left w:w="0" w:type="dxa"/>
              <w:bottom w:w="40" w:type="dxa"/>
              <w:right w:w="20" w:type="dxa"/>
            </w:tcMar>
            <w:vAlign w:val="bottom"/>
          </w:tcPr>
          <w:p w14:paraId="74DD8DE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DE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DEA" w14:textId="77777777" w:rsidR="00584EC1" w:rsidRDefault="00871F8D">
            <w:pPr>
              <w:jc w:val="right"/>
              <w:textAlignment w:val="bottom"/>
            </w:pPr>
            <w:r>
              <w:rPr>
                <w:rFonts w:ascii="Arial" w:eastAsia="宋体" w:hAnsi="Arial" w:cs="Arial"/>
                <w:color w:val="000000"/>
                <w:sz w:val="13"/>
                <w:szCs w:val="13"/>
              </w:rPr>
              <w:t>23 </w:t>
            </w:r>
          </w:p>
        </w:tc>
        <w:tc>
          <w:tcPr>
            <w:tcW w:w="0" w:type="auto"/>
            <w:shd w:val="clear" w:color="auto" w:fill="CCEEFF"/>
            <w:tcMar>
              <w:top w:w="40" w:type="dxa"/>
              <w:left w:w="0" w:type="dxa"/>
              <w:bottom w:w="40" w:type="dxa"/>
              <w:right w:w="20" w:type="dxa"/>
            </w:tcMar>
            <w:vAlign w:val="bottom"/>
          </w:tcPr>
          <w:p w14:paraId="74DD8DEB" w14:textId="77777777" w:rsidR="00584EC1" w:rsidRDefault="00871F8D">
            <w:pPr>
              <w:jc w:val="right"/>
              <w:textAlignment w:val="bottom"/>
            </w:pPr>
            <w:r>
              <w:rPr>
                <w:rFonts w:ascii="Arial" w:eastAsia="宋体" w:hAnsi="Arial" w:cs="Arial"/>
                <w:color w:val="000000"/>
                <w:sz w:val="13"/>
                <w:szCs w:val="13"/>
              </w:rPr>
              <w:t>%</w:t>
            </w:r>
          </w:p>
        </w:tc>
      </w:tr>
      <w:tr w:rsidR="00584EC1" w14:paraId="74DD8DF9" w14:textId="77777777">
        <w:tc>
          <w:tcPr>
            <w:tcW w:w="0" w:type="auto"/>
            <w:gridSpan w:val="3"/>
            <w:shd w:val="clear" w:color="auto" w:fill="FFFFFF"/>
            <w:tcMar>
              <w:top w:w="40" w:type="dxa"/>
              <w:left w:w="20" w:type="dxa"/>
              <w:bottom w:w="40" w:type="dxa"/>
              <w:right w:w="20" w:type="dxa"/>
            </w:tcMar>
            <w:vAlign w:val="bottom"/>
          </w:tcPr>
          <w:p w14:paraId="74DD8DED" w14:textId="77777777" w:rsidR="00584EC1" w:rsidRDefault="00871F8D">
            <w:pPr>
              <w:textAlignment w:val="bottom"/>
            </w:pPr>
            <w:r>
              <w:rPr>
                <w:rFonts w:ascii="Arial" w:eastAsia="宋体" w:hAnsi="Arial" w:cs="Arial"/>
                <w:color w:val="000000"/>
                <w:sz w:val="13"/>
                <w:szCs w:val="13"/>
              </w:rPr>
              <w:t>California</w:t>
            </w:r>
          </w:p>
        </w:tc>
        <w:tc>
          <w:tcPr>
            <w:tcW w:w="0" w:type="auto"/>
            <w:gridSpan w:val="2"/>
            <w:shd w:val="clear" w:color="auto" w:fill="FFFFFF"/>
            <w:tcMar>
              <w:top w:w="40" w:type="dxa"/>
              <w:left w:w="20" w:type="dxa"/>
              <w:bottom w:w="40" w:type="dxa"/>
              <w:right w:w="0" w:type="dxa"/>
            </w:tcMar>
            <w:vAlign w:val="bottom"/>
          </w:tcPr>
          <w:p w14:paraId="74DD8DEE" w14:textId="77777777" w:rsidR="00584EC1" w:rsidRDefault="00871F8D">
            <w:pPr>
              <w:jc w:val="right"/>
              <w:textAlignment w:val="bottom"/>
            </w:pPr>
            <w:r>
              <w:rPr>
                <w:rFonts w:ascii="Arial" w:eastAsia="宋体" w:hAnsi="Arial" w:cs="Arial"/>
                <w:color w:val="000000"/>
                <w:sz w:val="13"/>
                <w:szCs w:val="13"/>
              </w:rPr>
              <w:t>113 </w:t>
            </w:r>
          </w:p>
        </w:tc>
        <w:tc>
          <w:tcPr>
            <w:tcW w:w="0" w:type="auto"/>
            <w:shd w:val="clear" w:color="auto" w:fill="FFFFFF"/>
            <w:tcMar>
              <w:top w:w="40" w:type="dxa"/>
              <w:left w:w="0" w:type="dxa"/>
              <w:bottom w:w="40" w:type="dxa"/>
              <w:right w:w="20" w:type="dxa"/>
            </w:tcMar>
            <w:vAlign w:val="bottom"/>
          </w:tcPr>
          <w:p w14:paraId="74DD8DE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DF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DF1" w14:textId="77777777" w:rsidR="00584EC1" w:rsidRDefault="00871F8D">
            <w:pPr>
              <w:jc w:val="right"/>
              <w:textAlignment w:val="bottom"/>
            </w:pPr>
            <w:r>
              <w:rPr>
                <w:rFonts w:ascii="Arial" w:eastAsia="宋体" w:hAnsi="Arial" w:cs="Arial"/>
                <w:color w:val="000000"/>
                <w:sz w:val="13"/>
                <w:szCs w:val="13"/>
              </w:rPr>
              <w:t>2,174 </w:t>
            </w:r>
          </w:p>
        </w:tc>
        <w:tc>
          <w:tcPr>
            <w:tcW w:w="0" w:type="auto"/>
            <w:shd w:val="clear" w:color="auto" w:fill="FFFFFF"/>
            <w:tcMar>
              <w:top w:w="40" w:type="dxa"/>
              <w:left w:w="0" w:type="dxa"/>
              <w:bottom w:w="40" w:type="dxa"/>
              <w:right w:w="20" w:type="dxa"/>
            </w:tcMar>
            <w:vAlign w:val="bottom"/>
          </w:tcPr>
          <w:p w14:paraId="74DD8DF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DF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DF4" w14:textId="77777777" w:rsidR="00584EC1" w:rsidRDefault="00871F8D">
            <w:pPr>
              <w:jc w:val="right"/>
              <w:textAlignment w:val="bottom"/>
            </w:pPr>
            <w:r>
              <w:rPr>
                <w:rFonts w:ascii="Arial" w:eastAsia="宋体" w:hAnsi="Arial" w:cs="Arial"/>
                <w:color w:val="000000"/>
                <w:sz w:val="13"/>
                <w:szCs w:val="13"/>
              </w:rPr>
              <w:t>2,287 </w:t>
            </w:r>
          </w:p>
        </w:tc>
        <w:tc>
          <w:tcPr>
            <w:tcW w:w="0" w:type="auto"/>
            <w:shd w:val="clear" w:color="auto" w:fill="FFFFFF"/>
            <w:tcMar>
              <w:top w:w="40" w:type="dxa"/>
              <w:left w:w="0" w:type="dxa"/>
              <w:bottom w:w="40" w:type="dxa"/>
              <w:right w:w="20" w:type="dxa"/>
            </w:tcMar>
            <w:vAlign w:val="bottom"/>
          </w:tcPr>
          <w:p w14:paraId="74DD8DF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DF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DF7" w14:textId="77777777" w:rsidR="00584EC1" w:rsidRDefault="00871F8D">
            <w:pPr>
              <w:jc w:val="right"/>
              <w:textAlignment w:val="bottom"/>
            </w:pPr>
            <w:r>
              <w:rPr>
                <w:rFonts w:ascii="Arial" w:eastAsia="宋体" w:hAnsi="Arial" w:cs="Arial"/>
                <w:color w:val="000000"/>
                <w:sz w:val="13"/>
                <w:szCs w:val="13"/>
              </w:rPr>
              <w:t>21 </w:t>
            </w:r>
          </w:p>
        </w:tc>
        <w:tc>
          <w:tcPr>
            <w:tcW w:w="0" w:type="auto"/>
            <w:shd w:val="clear" w:color="auto" w:fill="FFFFFF"/>
            <w:tcMar>
              <w:top w:w="40" w:type="dxa"/>
              <w:left w:w="0" w:type="dxa"/>
              <w:bottom w:w="40" w:type="dxa"/>
              <w:right w:w="20" w:type="dxa"/>
            </w:tcMar>
            <w:vAlign w:val="bottom"/>
          </w:tcPr>
          <w:p w14:paraId="74DD8DF8" w14:textId="77777777" w:rsidR="00584EC1" w:rsidRDefault="00584EC1">
            <w:pPr>
              <w:jc w:val="right"/>
              <w:rPr>
                <w:rFonts w:ascii="宋体"/>
              </w:rPr>
            </w:pPr>
          </w:p>
        </w:tc>
      </w:tr>
      <w:tr w:rsidR="00584EC1" w14:paraId="74DD8E06" w14:textId="77777777">
        <w:tc>
          <w:tcPr>
            <w:tcW w:w="0" w:type="auto"/>
            <w:gridSpan w:val="3"/>
            <w:shd w:val="clear" w:color="auto" w:fill="CCEEFF"/>
            <w:tcMar>
              <w:top w:w="40" w:type="dxa"/>
              <w:left w:w="20" w:type="dxa"/>
              <w:bottom w:w="40" w:type="dxa"/>
              <w:right w:w="20" w:type="dxa"/>
            </w:tcMar>
            <w:vAlign w:val="bottom"/>
          </w:tcPr>
          <w:p w14:paraId="74DD8DFA" w14:textId="77777777" w:rsidR="00584EC1" w:rsidRDefault="00871F8D">
            <w:pPr>
              <w:textAlignment w:val="bottom"/>
            </w:pPr>
            <w:r>
              <w:rPr>
                <w:rFonts w:ascii="Arial" w:eastAsia="宋体" w:hAnsi="Arial" w:cs="Arial"/>
                <w:color w:val="000000"/>
                <w:sz w:val="13"/>
                <w:szCs w:val="13"/>
              </w:rPr>
              <w:t>New York</w:t>
            </w:r>
          </w:p>
        </w:tc>
        <w:tc>
          <w:tcPr>
            <w:tcW w:w="0" w:type="auto"/>
            <w:gridSpan w:val="2"/>
            <w:shd w:val="clear" w:color="auto" w:fill="CCEEFF"/>
            <w:tcMar>
              <w:top w:w="40" w:type="dxa"/>
              <w:left w:w="20" w:type="dxa"/>
              <w:bottom w:w="40" w:type="dxa"/>
              <w:right w:w="0" w:type="dxa"/>
            </w:tcMar>
            <w:vAlign w:val="bottom"/>
          </w:tcPr>
          <w:p w14:paraId="74DD8DFB" w14:textId="77777777" w:rsidR="00584EC1" w:rsidRDefault="00871F8D">
            <w:pPr>
              <w:jc w:val="right"/>
              <w:textAlignment w:val="bottom"/>
            </w:pPr>
            <w:r>
              <w:rPr>
                <w:rFonts w:ascii="Arial" w:eastAsia="宋体" w:hAnsi="Arial" w:cs="Arial"/>
                <w:color w:val="000000"/>
                <w:sz w:val="13"/>
                <w:szCs w:val="13"/>
              </w:rPr>
              <w:t>297 </w:t>
            </w:r>
          </w:p>
        </w:tc>
        <w:tc>
          <w:tcPr>
            <w:tcW w:w="0" w:type="auto"/>
            <w:shd w:val="clear" w:color="auto" w:fill="CCEEFF"/>
            <w:tcMar>
              <w:top w:w="40" w:type="dxa"/>
              <w:left w:w="0" w:type="dxa"/>
              <w:bottom w:w="40" w:type="dxa"/>
              <w:right w:w="20" w:type="dxa"/>
            </w:tcMar>
            <w:vAlign w:val="bottom"/>
          </w:tcPr>
          <w:p w14:paraId="74DD8DF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DF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DFE" w14:textId="77777777" w:rsidR="00584EC1" w:rsidRDefault="00871F8D">
            <w:pPr>
              <w:jc w:val="right"/>
              <w:textAlignment w:val="bottom"/>
            </w:pPr>
            <w:r>
              <w:rPr>
                <w:rFonts w:ascii="Arial" w:eastAsia="宋体" w:hAnsi="Arial" w:cs="Arial"/>
                <w:color w:val="000000"/>
                <w:sz w:val="13"/>
                <w:szCs w:val="13"/>
              </w:rPr>
              <w:t>1,363 </w:t>
            </w:r>
          </w:p>
        </w:tc>
        <w:tc>
          <w:tcPr>
            <w:tcW w:w="0" w:type="auto"/>
            <w:shd w:val="clear" w:color="auto" w:fill="CCEEFF"/>
            <w:tcMar>
              <w:top w:w="40" w:type="dxa"/>
              <w:left w:w="0" w:type="dxa"/>
              <w:bottom w:w="40" w:type="dxa"/>
              <w:right w:w="20" w:type="dxa"/>
            </w:tcMar>
            <w:vAlign w:val="bottom"/>
          </w:tcPr>
          <w:p w14:paraId="74DD8DF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E0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E01" w14:textId="77777777" w:rsidR="00584EC1" w:rsidRDefault="00871F8D">
            <w:pPr>
              <w:jc w:val="right"/>
              <w:textAlignment w:val="bottom"/>
            </w:pPr>
            <w:r>
              <w:rPr>
                <w:rFonts w:ascii="Arial" w:eastAsia="宋体" w:hAnsi="Arial" w:cs="Arial"/>
                <w:color w:val="000000"/>
                <w:sz w:val="13"/>
                <w:szCs w:val="13"/>
              </w:rPr>
              <w:t>1,660 </w:t>
            </w:r>
          </w:p>
        </w:tc>
        <w:tc>
          <w:tcPr>
            <w:tcW w:w="0" w:type="auto"/>
            <w:shd w:val="clear" w:color="auto" w:fill="CCEEFF"/>
            <w:tcMar>
              <w:top w:w="40" w:type="dxa"/>
              <w:left w:w="0" w:type="dxa"/>
              <w:bottom w:w="40" w:type="dxa"/>
              <w:right w:w="20" w:type="dxa"/>
            </w:tcMar>
            <w:vAlign w:val="bottom"/>
          </w:tcPr>
          <w:p w14:paraId="74DD8E0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E03"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E04" w14:textId="77777777" w:rsidR="00584EC1" w:rsidRDefault="00871F8D">
            <w:pPr>
              <w:jc w:val="right"/>
              <w:textAlignment w:val="bottom"/>
            </w:pPr>
            <w:r>
              <w:rPr>
                <w:rFonts w:ascii="Arial" w:eastAsia="宋体" w:hAnsi="Arial" w:cs="Arial"/>
                <w:color w:val="000000"/>
                <w:sz w:val="13"/>
                <w:szCs w:val="13"/>
              </w:rPr>
              <w:t>15 </w:t>
            </w:r>
          </w:p>
        </w:tc>
        <w:tc>
          <w:tcPr>
            <w:tcW w:w="0" w:type="auto"/>
            <w:shd w:val="clear" w:color="auto" w:fill="CCEEFF"/>
            <w:tcMar>
              <w:top w:w="40" w:type="dxa"/>
              <w:left w:w="0" w:type="dxa"/>
              <w:bottom w:w="40" w:type="dxa"/>
              <w:right w:w="20" w:type="dxa"/>
            </w:tcMar>
            <w:vAlign w:val="bottom"/>
          </w:tcPr>
          <w:p w14:paraId="74DD8E05" w14:textId="77777777" w:rsidR="00584EC1" w:rsidRDefault="00584EC1">
            <w:pPr>
              <w:jc w:val="right"/>
              <w:rPr>
                <w:rFonts w:ascii="宋体"/>
              </w:rPr>
            </w:pPr>
          </w:p>
        </w:tc>
      </w:tr>
      <w:tr w:rsidR="00584EC1" w14:paraId="74DD8E13" w14:textId="77777777">
        <w:tc>
          <w:tcPr>
            <w:tcW w:w="0" w:type="auto"/>
            <w:gridSpan w:val="3"/>
            <w:shd w:val="clear" w:color="auto" w:fill="FFFFFF"/>
            <w:tcMar>
              <w:top w:w="40" w:type="dxa"/>
              <w:left w:w="20" w:type="dxa"/>
              <w:bottom w:w="40" w:type="dxa"/>
              <w:right w:w="20" w:type="dxa"/>
            </w:tcMar>
            <w:vAlign w:val="bottom"/>
          </w:tcPr>
          <w:p w14:paraId="74DD8E07" w14:textId="77777777" w:rsidR="00584EC1" w:rsidRDefault="00871F8D">
            <w:pPr>
              <w:textAlignment w:val="bottom"/>
            </w:pPr>
            <w:r>
              <w:rPr>
                <w:rFonts w:ascii="Arial" w:eastAsia="宋体" w:hAnsi="Arial" w:cs="Arial"/>
                <w:color w:val="000000"/>
                <w:sz w:val="13"/>
                <w:szCs w:val="13"/>
              </w:rPr>
              <w:t>Massachusetts</w:t>
            </w:r>
          </w:p>
        </w:tc>
        <w:tc>
          <w:tcPr>
            <w:tcW w:w="0" w:type="auto"/>
            <w:gridSpan w:val="2"/>
            <w:shd w:val="clear" w:color="auto" w:fill="FFFFFF"/>
            <w:tcMar>
              <w:top w:w="40" w:type="dxa"/>
              <w:left w:w="20" w:type="dxa"/>
              <w:bottom w:w="40" w:type="dxa"/>
              <w:right w:w="0" w:type="dxa"/>
            </w:tcMar>
            <w:vAlign w:val="bottom"/>
          </w:tcPr>
          <w:p w14:paraId="74DD8E08" w14:textId="77777777" w:rsidR="00584EC1" w:rsidRDefault="00871F8D">
            <w:pPr>
              <w:jc w:val="right"/>
              <w:textAlignment w:val="bottom"/>
            </w:pPr>
            <w:r>
              <w:rPr>
                <w:rFonts w:ascii="Arial" w:eastAsia="宋体" w:hAnsi="Arial" w:cs="Arial"/>
                <w:color w:val="000000"/>
                <w:sz w:val="13"/>
                <w:szCs w:val="13"/>
              </w:rPr>
              <w:t>382 </w:t>
            </w:r>
          </w:p>
        </w:tc>
        <w:tc>
          <w:tcPr>
            <w:tcW w:w="0" w:type="auto"/>
            <w:shd w:val="clear" w:color="auto" w:fill="FFFFFF"/>
            <w:tcMar>
              <w:top w:w="40" w:type="dxa"/>
              <w:left w:w="0" w:type="dxa"/>
              <w:bottom w:w="40" w:type="dxa"/>
              <w:right w:w="20" w:type="dxa"/>
            </w:tcMar>
            <w:vAlign w:val="bottom"/>
          </w:tcPr>
          <w:p w14:paraId="74DD8E0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E0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E0B" w14:textId="77777777" w:rsidR="00584EC1" w:rsidRDefault="00871F8D">
            <w:pPr>
              <w:jc w:val="right"/>
              <w:textAlignment w:val="bottom"/>
            </w:pPr>
            <w:r>
              <w:rPr>
                <w:rFonts w:ascii="Arial" w:eastAsia="宋体" w:hAnsi="Arial" w:cs="Arial"/>
                <w:color w:val="000000"/>
                <w:sz w:val="13"/>
                <w:szCs w:val="13"/>
              </w:rPr>
              <w:t>927 </w:t>
            </w:r>
          </w:p>
        </w:tc>
        <w:tc>
          <w:tcPr>
            <w:tcW w:w="0" w:type="auto"/>
            <w:shd w:val="clear" w:color="auto" w:fill="FFFFFF"/>
            <w:tcMar>
              <w:top w:w="40" w:type="dxa"/>
              <w:left w:w="0" w:type="dxa"/>
              <w:bottom w:w="40" w:type="dxa"/>
              <w:right w:w="20" w:type="dxa"/>
            </w:tcMar>
            <w:vAlign w:val="bottom"/>
          </w:tcPr>
          <w:p w14:paraId="74DD8E0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E0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E0E" w14:textId="77777777" w:rsidR="00584EC1" w:rsidRDefault="00871F8D">
            <w:pPr>
              <w:jc w:val="right"/>
              <w:textAlignment w:val="bottom"/>
            </w:pPr>
            <w:r>
              <w:rPr>
                <w:rFonts w:ascii="Arial" w:eastAsia="宋体" w:hAnsi="Arial" w:cs="Arial"/>
                <w:color w:val="000000"/>
                <w:sz w:val="13"/>
                <w:szCs w:val="13"/>
              </w:rPr>
              <w:t>1,309 </w:t>
            </w:r>
          </w:p>
        </w:tc>
        <w:tc>
          <w:tcPr>
            <w:tcW w:w="0" w:type="auto"/>
            <w:shd w:val="clear" w:color="auto" w:fill="FFFFFF"/>
            <w:tcMar>
              <w:top w:w="40" w:type="dxa"/>
              <w:left w:w="0" w:type="dxa"/>
              <w:bottom w:w="40" w:type="dxa"/>
              <w:right w:w="20" w:type="dxa"/>
            </w:tcMar>
            <w:vAlign w:val="bottom"/>
          </w:tcPr>
          <w:p w14:paraId="74DD8E0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E1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E11" w14:textId="77777777" w:rsidR="00584EC1" w:rsidRDefault="00871F8D">
            <w:pPr>
              <w:jc w:val="right"/>
              <w:textAlignment w:val="bottom"/>
            </w:pPr>
            <w:r>
              <w:rPr>
                <w:rFonts w:ascii="Arial" w:eastAsia="宋体" w:hAnsi="Arial" w:cs="Arial"/>
                <w:color w:val="000000"/>
                <w:sz w:val="13"/>
                <w:szCs w:val="13"/>
              </w:rPr>
              <w:t>12 </w:t>
            </w:r>
          </w:p>
        </w:tc>
        <w:tc>
          <w:tcPr>
            <w:tcW w:w="0" w:type="auto"/>
            <w:shd w:val="clear" w:color="auto" w:fill="FFFFFF"/>
            <w:tcMar>
              <w:top w:w="40" w:type="dxa"/>
              <w:left w:w="0" w:type="dxa"/>
              <w:bottom w:w="40" w:type="dxa"/>
              <w:right w:w="20" w:type="dxa"/>
            </w:tcMar>
            <w:vAlign w:val="bottom"/>
          </w:tcPr>
          <w:p w14:paraId="74DD8E12" w14:textId="77777777" w:rsidR="00584EC1" w:rsidRDefault="00584EC1">
            <w:pPr>
              <w:jc w:val="right"/>
              <w:rPr>
                <w:rFonts w:ascii="宋体"/>
              </w:rPr>
            </w:pPr>
          </w:p>
        </w:tc>
      </w:tr>
      <w:tr w:rsidR="00584EC1" w14:paraId="74DD8E1C" w14:textId="77777777">
        <w:trPr>
          <w:hidden/>
        </w:trPr>
        <w:tc>
          <w:tcPr>
            <w:tcW w:w="0" w:type="auto"/>
            <w:gridSpan w:val="3"/>
            <w:shd w:val="clear" w:color="auto" w:fill="auto"/>
            <w:vAlign w:val="bottom"/>
          </w:tcPr>
          <w:p w14:paraId="74DD8E14" w14:textId="77777777" w:rsidR="00584EC1" w:rsidRDefault="00584EC1">
            <w:pPr>
              <w:rPr>
                <w:rFonts w:ascii="宋体"/>
                <w:vanish/>
              </w:rPr>
            </w:pPr>
          </w:p>
        </w:tc>
        <w:tc>
          <w:tcPr>
            <w:tcW w:w="0" w:type="auto"/>
            <w:gridSpan w:val="3"/>
            <w:shd w:val="clear" w:color="auto" w:fill="auto"/>
            <w:vAlign w:val="bottom"/>
          </w:tcPr>
          <w:p w14:paraId="74DD8E15" w14:textId="77777777" w:rsidR="00584EC1" w:rsidRDefault="00584EC1">
            <w:pPr>
              <w:rPr>
                <w:rFonts w:ascii="宋体"/>
                <w:vanish/>
              </w:rPr>
            </w:pPr>
          </w:p>
        </w:tc>
        <w:tc>
          <w:tcPr>
            <w:tcW w:w="0" w:type="auto"/>
            <w:gridSpan w:val="3"/>
            <w:shd w:val="clear" w:color="auto" w:fill="auto"/>
            <w:vAlign w:val="bottom"/>
          </w:tcPr>
          <w:p w14:paraId="74DD8E16" w14:textId="77777777" w:rsidR="00584EC1" w:rsidRDefault="00584EC1">
            <w:pPr>
              <w:rPr>
                <w:rFonts w:ascii="宋体"/>
                <w:vanish/>
              </w:rPr>
            </w:pPr>
          </w:p>
        </w:tc>
        <w:tc>
          <w:tcPr>
            <w:tcW w:w="0" w:type="auto"/>
            <w:gridSpan w:val="3"/>
            <w:shd w:val="clear" w:color="auto" w:fill="auto"/>
            <w:vAlign w:val="bottom"/>
          </w:tcPr>
          <w:p w14:paraId="74DD8E17" w14:textId="77777777" w:rsidR="00584EC1" w:rsidRDefault="00584EC1">
            <w:pPr>
              <w:rPr>
                <w:rFonts w:ascii="宋体"/>
                <w:vanish/>
              </w:rPr>
            </w:pPr>
          </w:p>
        </w:tc>
        <w:tc>
          <w:tcPr>
            <w:tcW w:w="0" w:type="auto"/>
            <w:gridSpan w:val="3"/>
            <w:shd w:val="clear" w:color="auto" w:fill="auto"/>
            <w:vAlign w:val="bottom"/>
          </w:tcPr>
          <w:p w14:paraId="74DD8E18" w14:textId="77777777" w:rsidR="00584EC1" w:rsidRDefault="00584EC1">
            <w:pPr>
              <w:rPr>
                <w:rFonts w:ascii="宋体"/>
                <w:vanish/>
              </w:rPr>
            </w:pPr>
          </w:p>
        </w:tc>
        <w:tc>
          <w:tcPr>
            <w:tcW w:w="0" w:type="auto"/>
            <w:gridSpan w:val="3"/>
            <w:shd w:val="clear" w:color="auto" w:fill="auto"/>
            <w:vAlign w:val="bottom"/>
          </w:tcPr>
          <w:p w14:paraId="74DD8E19" w14:textId="77777777" w:rsidR="00584EC1" w:rsidRDefault="00584EC1">
            <w:pPr>
              <w:rPr>
                <w:rFonts w:ascii="宋体"/>
                <w:vanish/>
              </w:rPr>
            </w:pPr>
          </w:p>
        </w:tc>
        <w:tc>
          <w:tcPr>
            <w:tcW w:w="0" w:type="auto"/>
            <w:gridSpan w:val="3"/>
            <w:shd w:val="clear" w:color="auto" w:fill="auto"/>
            <w:vAlign w:val="bottom"/>
          </w:tcPr>
          <w:p w14:paraId="74DD8E1A" w14:textId="77777777" w:rsidR="00584EC1" w:rsidRDefault="00584EC1">
            <w:pPr>
              <w:rPr>
                <w:rFonts w:ascii="宋体"/>
                <w:vanish/>
              </w:rPr>
            </w:pPr>
          </w:p>
        </w:tc>
        <w:tc>
          <w:tcPr>
            <w:tcW w:w="0" w:type="auto"/>
            <w:gridSpan w:val="3"/>
            <w:shd w:val="clear" w:color="auto" w:fill="auto"/>
            <w:vAlign w:val="bottom"/>
          </w:tcPr>
          <w:p w14:paraId="74DD8E1B" w14:textId="77777777" w:rsidR="00584EC1" w:rsidRDefault="00584EC1">
            <w:pPr>
              <w:rPr>
                <w:rFonts w:ascii="宋体"/>
                <w:vanish/>
              </w:rPr>
            </w:pPr>
          </w:p>
        </w:tc>
      </w:tr>
      <w:tr w:rsidR="00584EC1" w14:paraId="74DD8E25" w14:textId="77777777">
        <w:trPr>
          <w:hidden/>
        </w:trPr>
        <w:tc>
          <w:tcPr>
            <w:tcW w:w="0" w:type="auto"/>
            <w:gridSpan w:val="3"/>
            <w:shd w:val="clear" w:color="auto" w:fill="auto"/>
            <w:vAlign w:val="bottom"/>
          </w:tcPr>
          <w:p w14:paraId="74DD8E1D" w14:textId="77777777" w:rsidR="00584EC1" w:rsidRDefault="00584EC1">
            <w:pPr>
              <w:rPr>
                <w:rFonts w:ascii="宋体"/>
                <w:vanish/>
              </w:rPr>
            </w:pPr>
          </w:p>
        </w:tc>
        <w:tc>
          <w:tcPr>
            <w:tcW w:w="0" w:type="auto"/>
            <w:gridSpan w:val="3"/>
            <w:shd w:val="clear" w:color="auto" w:fill="auto"/>
            <w:vAlign w:val="bottom"/>
          </w:tcPr>
          <w:p w14:paraId="74DD8E1E" w14:textId="77777777" w:rsidR="00584EC1" w:rsidRDefault="00584EC1">
            <w:pPr>
              <w:rPr>
                <w:rFonts w:ascii="宋体"/>
                <w:vanish/>
              </w:rPr>
            </w:pPr>
          </w:p>
        </w:tc>
        <w:tc>
          <w:tcPr>
            <w:tcW w:w="0" w:type="auto"/>
            <w:gridSpan w:val="3"/>
            <w:shd w:val="clear" w:color="auto" w:fill="auto"/>
            <w:vAlign w:val="bottom"/>
          </w:tcPr>
          <w:p w14:paraId="74DD8E1F" w14:textId="77777777" w:rsidR="00584EC1" w:rsidRDefault="00584EC1">
            <w:pPr>
              <w:rPr>
                <w:rFonts w:ascii="宋体"/>
                <w:vanish/>
              </w:rPr>
            </w:pPr>
          </w:p>
        </w:tc>
        <w:tc>
          <w:tcPr>
            <w:tcW w:w="0" w:type="auto"/>
            <w:gridSpan w:val="3"/>
            <w:shd w:val="clear" w:color="auto" w:fill="auto"/>
            <w:vAlign w:val="bottom"/>
          </w:tcPr>
          <w:p w14:paraId="74DD8E20" w14:textId="77777777" w:rsidR="00584EC1" w:rsidRDefault="00584EC1">
            <w:pPr>
              <w:rPr>
                <w:rFonts w:ascii="宋体"/>
                <w:vanish/>
              </w:rPr>
            </w:pPr>
          </w:p>
        </w:tc>
        <w:tc>
          <w:tcPr>
            <w:tcW w:w="0" w:type="auto"/>
            <w:gridSpan w:val="3"/>
            <w:shd w:val="clear" w:color="auto" w:fill="auto"/>
            <w:vAlign w:val="bottom"/>
          </w:tcPr>
          <w:p w14:paraId="74DD8E21" w14:textId="77777777" w:rsidR="00584EC1" w:rsidRDefault="00584EC1">
            <w:pPr>
              <w:rPr>
                <w:rFonts w:ascii="宋体"/>
                <w:vanish/>
              </w:rPr>
            </w:pPr>
          </w:p>
        </w:tc>
        <w:tc>
          <w:tcPr>
            <w:tcW w:w="0" w:type="auto"/>
            <w:gridSpan w:val="3"/>
            <w:shd w:val="clear" w:color="auto" w:fill="auto"/>
            <w:vAlign w:val="bottom"/>
          </w:tcPr>
          <w:p w14:paraId="74DD8E22" w14:textId="77777777" w:rsidR="00584EC1" w:rsidRDefault="00584EC1">
            <w:pPr>
              <w:rPr>
                <w:rFonts w:ascii="宋体"/>
                <w:vanish/>
              </w:rPr>
            </w:pPr>
          </w:p>
        </w:tc>
        <w:tc>
          <w:tcPr>
            <w:tcW w:w="0" w:type="auto"/>
            <w:gridSpan w:val="3"/>
            <w:shd w:val="clear" w:color="auto" w:fill="auto"/>
            <w:vAlign w:val="bottom"/>
          </w:tcPr>
          <w:p w14:paraId="74DD8E23" w14:textId="77777777" w:rsidR="00584EC1" w:rsidRDefault="00584EC1">
            <w:pPr>
              <w:rPr>
                <w:rFonts w:ascii="宋体"/>
                <w:vanish/>
              </w:rPr>
            </w:pPr>
          </w:p>
        </w:tc>
        <w:tc>
          <w:tcPr>
            <w:tcW w:w="0" w:type="auto"/>
            <w:gridSpan w:val="3"/>
            <w:shd w:val="clear" w:color="auto" w:fill="auto"/>
            <w:vAlign w:val="bottom"/>
          </w:tcPr>
          <w:p w14:paraId="74DD8E24" w14:textId="77777777" w:rsidR="00584EC1" w:rsidRDefault="00584EC1">
            <w:pPr>
              <w:rPr>
                <w:rFonts w:ascii="宋体"/>
                <w:vanish/>
              </w:rPr>
            </w:pPr>
          </w:p>
        </w:tc>
      </w:tr>
      <w:tr w:rsidR="00584EC1" w14:paraId="74DD8E34" w14:textId="77777777">
        <w:tc>
          <w:tcPr>
            <w:tcW w:w="0" w:type="auto"/>
            <w:gridSpan w:val="3"/>
            <w:shd w:val="clear" w:color="auto" w:fill="CCEEFF"/>
            <w:tcMar>
              <w:top w:w="40" w:type="dxa"/>
              <w:left w:w="20" w:type="dxa"/>
              <w:bottom w:w="40" w:type="dxa"/>
              <w:right w:w="20" w:type="dxa"/>
            </w:tcMar>
            <w:vAlign w:val="bottom"/>
          </w:tcPr>
          <w:p w14:paraId="74DD8E26" w14:textId="77777777" w:rsidR="00584EC1" w:rsidRDefault="00871F8D">
            <w:pPr>
              <w:textAlignment w:val="bottom"/>
            </w:pPr>
            <w:r>
              <w:rPr>
                <w:rFonts w:ascii="Arial" w:eastAsia="宋体" w:hAnsi="Arial" w:cs="Arial"/>
                <w:color w:val="000000"/>
                <w:sz w:val="13"/>
                <w:szCs w:val="13"/>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8E27" w14:textId="77777777" w:rsidR="00584EC1" w:rsidRDefault="00871F8D">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8E28" w14:textId="77777777" w:rsidR="00584EC1" w:rsidRDefault="00871F8D">
            <w:pPr>
              <w:jc w:val="right"/>
              <w:textAlignment w:val="bottom"/>
            </w:pPr>
            <w:r>
              <w:rPr>
                <w:rFonts w:ascii="Arial" w:eastAsia="宋体" w:hAnsi="Arial" w:cs="Arial"/>
                <w:color w:val="000000"/>
                <w:sz w:val="13"/>
                <w:szCs w:val="13"/>
              </w:rPr>
              <w:t>1,060 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8E2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E2A"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8E2B" w14:textId="77777777" w:rsidR="00584EC1" w:rsidRDefault="00871F8D">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8E2C" w14:textId="77777777" w:rsidR="00584EC1" w:rsidRDefault="00871F8D">
            <w:pPr>
              <w:jc w:val="right"/>
              <w:textAlignment w:val="bottom"/>
            </w:pPr>
            <w:r>
              <w:rPr>
                <w:rFonts w:ascii="Arial" w:eastAsia="宋体" w:hAnsi="Arial" w:cs="Arial"/>
                <w:color w:val="000000"/>
                <w:sz w:val="13"/>
                <w:szCs w:val="13"/>
              </w:rPr>
              <w:t>6,746 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8E2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E2E"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8E2F" w14:textId="77777777" w:rsidR="00584EC1" w:rsidRDefault="00871F8D">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8E30" w14:textId="77777777" w:rsidR="00584EC1" w:rsidRDefault="00871F8D">
            <w:pPr>
              <w:jc w:val="right"/>
              <w:textAlignment w:val="bottom"/>
            </w:pPr>
            <w:r>
              <w:rPr>
                <w:rFonts w:ascii="Arial" w:eastAsia="宋体" w:hAnsi="Arial" w:cs="Arial"/>
                <w:color w:val="000000"/>
                <w:sz w:val="13"/>
                <w:szCs w:val="13"/>
              </w:rPr>
              <w:t>7,806 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8E3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E32"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8E33" w14:textId="77777777" w:rsidR="00584EC1" w:rsidRDefault="00584EC1">
            <w:pPr>
              <w:rPr>
                <w:rFonts w:ascii="宋体"/>
              </w:rPr>
            </w:pPr>
          </w:p>
        </w:tc>
      </w:tr>
    </w:tbl>
    <w:p w14:paraId="74DD8E35" w14:textId="77777777" w:rsidR="00584EC1" w:rsidRDefault="00584EC1">
      <w:pPr>
        <w:rPr>
          <w:vanish/>
        </w:rPr>
      </w:pPr>
    </w:p>
    <w:tbl>
      <w:tblPr>
        <w:tblW w:w="4770" w:type="dxa"/>
        <w:tblCellMar>
          <w:top w:w="15" w:type="dxa"/>
          <w:left w:w="15" w:type="dxa"/>
          <w:bottom w:w="15" w:type="dxa"/>
          <w:right w:w="15" w:type="dxa"/>
        </w:tblCellMar>
        <w:tblLook w:val="04A0" w:firstRow="1" w:lastRow="0" w:firstColumn="1" w:lastColumn="0" w:noHBand="0" w:noVBand="1"/>
      </w:tblPr>
      <w:tblGrid>
        <w:gridCol w:w="36"/>
        <w:gridCol w:w="2220"/>
        <w:gridCol w:w="36"/>
        <w:gridCol w:w="36"/>
        <w:gridCol w:w="36"/>
        <w:gridCol w:w="36"/>
        <w:gridCol w:w="36"/>
        <w:gridCol w:w="443"/>
        <w:gridCol w:w="36"/>
        <w:gridCol w:w="36"/>
        <w:gridCol w:w="1783"/>
        <w:gridCol w:w="36"/>
      </w:tblGrid>
      <w:tr w:rsidR="00584EC1" w14:paraId="74DD8E42" w14:textId="77777777">
        <w:tc>
          <w:tcPr>
            <w:tcW w:w="20" w:type="dxa"/>
            <w:shd w:val="clear" w:color="auto" w:fill="auto"/>
            <w:vAlign w:val="bottom"/>
          </w:tcPr>
          <w:p w14:paraId="74DD8E36" w14:textId="77777777" w:rsidR="00584EC1" w:rsidRDefault="00584EC1">
            <w:pPr>
              <w:rPr>
                <w:rFonts w:ascii="宋体"/>
              </w:rPr>
            </w:pPr>
          </w:p>
        </w:tc>
        <w:tc>
          <w:tcPr>
            <w:tcW w:w="2285" w:type="dxa"/>
            <w:shd w:val="clear" w:color="auto" w:fill="auto"/>
            <w:vAlign w:val="bottom"/>
          </w:tcPr>
          <w:p w14:paraId="74DD8E37" w14:textId="77777777" w:rsidR="00584EC1" w:rsidRDefault="00584EC1">
            <w:pPr>
              <w:rPr>
                <w:rFonts w:ascii="宋体"/>
              </w:rPr>
            </w:pPr>
          </w:p>
        </w:tc>
        <w:tc>
          <w:tcPr>
            <w:tcW w:w="20" w:type="dxa"/>
            <w:shd w:val="clear" w:color="auto" w:fill="auto"/>
            <w:vAlign w:val="bottom"/>
          </w:tcPr>
          <w:p w14:paraId="74DD8E38" w14:textId="77777777" w:rsidR="00584EC1" w:rsidRDefault="00584EC1">
            <w:pPr>
              <w:rPr>
                <w:rFonts w:ascii="宋体"/>
              </w:rPr>
            </w:pPr>
          </w:p>
        </w:tc>
        <w:tc>
          <w:tcPr>
            <w:tcW w:w="20" w:type="dxa"/>
            <w:shd w:val="clear" w:color="auto" w:fill="auto"/>
            <w:vAlign w:val="bottom"/>
          </w:tcPr>
          <w:p w14:paraId="74DD8E39" w14:textId="77777777" w:rsidR="00584EC1" w:rsidRDefault="00584EC1">
            <w:pPr>
              <w:rPr>
                <w:rFonts w:ascii="宋体"/>
              </w:rPr>
            </w:pPr>
          </w:p>
        </w:tc>
        <w:tc>
          <w:tcPr>
            <w:tcW w:w="35" w:type="dxa"/>
            <w:shd w:val="clear" w:color="auto" w:fill="auto"/>
            <w:vAlign w:val="bottom"/>
          </w:tcPr>
          <w:p w14:paraId="74DD8E3A" w14:textId="77777777" w:rsidR="00584EC1" w:rsidRDefault="00584EC1">
            <w:pPr>
              <w:rPr>
                <w:rFonts w:ascii="宋体"/>
              </w:rPr>
            </w:pPr>
          </w:p>
        </w:tc>
        <w:tc>
          <w:tcPr>
            <w:tcW w:w="20" w:type="dxa"/>
            <w:shd w:val="clear" w:color="auto" w:fill="auto"/>
            <w:vAlign w:val="bottom"/>
          </w:tcPr>
          <w:p w14:paraId="74DD8E3B" w14:textId="77777777" w:rsidR="00584EC1" w:rsidRDefault="00584EC1">
            <w:pPr>
              <w:rPr>
                <w:rFonts w:ascii="宋体"/>
              </w:rPr>
            </w:pPr>
          </w:p>
        </w:tc>
        <w:tc>
          <w:tcPr>
            <w:tcW w:w="20" w:type="dxa"/>
            <w:shd w:val="clear" w:color="auto" w:fill="auto"/>
            <w:vAlign w:val="bottom"/>
          </w:tcPr>
          <w:p w14:paraId="74DD8E3C" w14:textId="77777777" w:rsidR="00584EC1" w:rsidRDefault="00584EC1">
            <w:pPr>
              <w:rPr>
                <w:rFonts w:ascii="宋体"/>
              </w:rPr>
            </w:pPr>
          </w:p>
        </w:tc>
        <w:tc>
          <w:tcPr>
            <w:tcW w:w="455" w:type="dxa"/>
            <w:shd w:val="clear" w:color="auto" w:fill="auto"/>
            <w:vAlign w:val="bottom"/>
          </w:tcPr>
          <w:p w14:paraId="74DD8E3D" w14:textId="77777777" w:rsidR="00584EC1" w:rsidRDefault="00584EC1">
            <w:pPr>
              <w:rPr>
                <w:rFonts w:ascii="宋体"/>
              </w:rPr>
            </w:pPr>
          </w:p>
        </w:tc>
        <w:tc>
          <w:tcPr>
            <w:tcW w:w="20" w:type="dxa"/>
            <w:shd w:val="clear" w:color="auto" w:fill="auto"/>
            <w:vAlign w:val="bottom"/>
          </w:tcPr>
          <w:p w14:paraId="74DD8E3E" w14:textId="77777777" w:rsidR="00584EC1" w:rsidRDefault="00584EC1">
            <w:pPr>
              <w:rPr>
                <w:rFonts w:ascii="宋体"/>
              </w:rPr>
            </w:pPr>
          </w:p>
        </w:tc>
        <w:tc>
          <w:tcPr>
            <w:tcW w:w="20" w:type="dxa"/>
            <w:shd w:val="clear" w:color="auto" w:fill="auto"/>
            <w:vAlign w:val="bottom"/>
          </w:tcPr>
          <w:p w14:paraId="74DD8E3F" w14:textId="77777777" w:rsidR="00584EC1" w:rsidRDefault="00584EC1">
            <w:pPr>
              <w:rPr>
                <w:rFonts w:ascii="宋体"/>
              </w:rPr>
            </w:pPr>
          </w:p>
        </w:tc>
        <w:tc>
          <w:tcPr>
            <w:tcW w:w="1835" w:type="dxa"/>
            <w:shd w:val="clear" w:color="auto" w:fill="auto"/>
            <w:vAlign w:val="bottom"/>
          </w:tcPr>
          <w:p w14:paraId="74DD8E40" w14:textId="77777777" w:rsidR="00584EC1" w:rsidRDefault="00584EC1">
            <w:pPr>
              <w:rPr>
                <w:rFonts w:ascii="宋体"/>
              </w:rPr>
            </w:pPr>
          </w:p>
        </w:tc>
        <w:tc>
          <w:tcPr>
            <w:tcW w:w="20" w:type="dxa"/>
            <w:shd w:val="clear" w:color="auto" w:fill="auto"/>
            <w:vAlign w:val="bottom"/>
          </w:tcPr>
          <w:p w14:paraId="74DD8E41" w14:textId="77777777" w:rsidR="00584EC1" w:rsidRDefault="00584EC1">
            <w:pPr>
              <w:rPr>
                <w:rFonts w:ascii="宋体"/>
              </w:rPr>
            </w:pPr>
          </w:p>
        </w:tc>
      </w:tr>
      <w:tr w:rsidR="00584EC1" w14:paraId="74DD8E47"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4DD8E43"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8E44"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8E4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8E46" w14:textId="77777777" w:rsidR="00584EC1" w:rsidRDefault="00584EC1">
            <w:pPr>
              <w:rPr>
                <w:rFonts w:ascii="宋体"/>
              </w:rPr>
            </w:pPr>
          </w:p>
        </w:tc>
      </w:tr>
    </w:tbl>
    <w:p w14:paraId="74DD8E48" w14:textId="77777777" w:rsidR="00584EC1" w:rsidRDefault="00871F8D">
      <w:pPr>
        <w:jc w:val="both"/>
        <w:textAlignment w:val="top"/>
      </w:pPr>
      <w:r>
        <w:rPr>
          <w:rFonts w:ascii="Arial" w:eastAsia="宋体" w:hAnsi="Arial" w:cs="Arial"/>
          <w:color w:val="000000"/>
          <w:sz w:val="7"/>
          <w:szCs w:val="7"/>
        </w:rPr>
        <w:t xml:space="preserve">(1) </w:t>
      </w:r>
      <w:r>
        <w:rPr>
          <w:rFonts w:ascii="Arial" w:eastAsia="宋体" w:hAnsi="Arial" w:cs="Arial"/>
          <w:color w:val="000000"/>
          <w:sz w:val="12"/>
          <w:szCs w:val="12"/>
        </w:rPr>
        <w:t xml:space="preserve">Represented 5% or more of our aggregate municipal credit exposure of approximately $10.73 billion and $11.06 billion across our businesses as of </w:t>
      </w:r>
      <w:r>
        <w:rPr>
          <w:rFonts w:ascii="Arial" w:eastAsia="宋体" w:hAnsi="Arial" w:cs="Arial"/>
          <w:color w:val="000000"/>
          <w:sz w:val="12"/>
          <w:szCs w:val="12"/>
        </w:rPr>
        <w:t>September 30, 2021 and December 31, 2020, respectively.</w:t>
      </w:r>
    </w:p>
    <w:p w14:paraId="74DD8E49" w14:textId="77777777" w:rsidR="00584EC1" w:rsidRDefault="00871F8D">
      <w:pPr>
        <w:spacing w:before="60"/>
        <w:jc w:val="both"/>
        <w:textAlignment w:val="top"/>
      </w:pPr>
      <w:r>
        <w:rPr>
          <w:rFonts w:ascii="Arial" w:eastAsia="宋体" w:hAnsi="Arial" w:cs="Arial"/>
          <w:color w:val="000000"/>
          <w:sz w:val="7"/>
          <w:szCs w:val="7"/>
        </w:rPr>
        <w:t xml:space="preserve">(2) </w:t>
      </w:r>
      <w:r>
        <w:rPr>
          <w:rFonts w:ascii="Arial" w:eastAsia="宋体" w:hAnsi="Arial" w:cs="Arial"/>
          <w:color w:val="000000"/>
          <w:sz w:val="12"/>
          <w:szCs w:val="12"/>
        </w:rPr>
        <w:t>Includes municipal loans which are also presented within Table 25: U.S. and Non-U.S. Loans.</w:t>
      </w:r>
    </w:p>
    <w:p w14:paraId="74DD8E4A" w14:textId="77777777" w:rsidR="00584EC1" w:rsidRDefault="00871F8D">
      <w:pPr>
        <w:spacing w:before="60"/>
        <w:ind w:firstLine="450"/>
        <w:jc w:val="both"/>
        <w:textAlignment w:val="top"/>
      </w:pPr>
      <w:r>
        <w:rPr>
          <w:rFonts w:ascii="Arial" w:eastAsia="宋体" w:hAnsi="Arial" w:cs="Arial"/>
          <w:color w:val="000000"/>
          <w:sz w:val="20"/>
          <w:szCs w:val="20"/>
        </w:rPr>
        <w:t>Our aggregate municipal securities exposure presented in Table 24: State and Municipal Obligors, was con</w:t>
      </w:r>
      <w:r>
        <w:rPr>
          <w:rFonts w:ascii="Arial" w:eastAsia="宋体" w:hAnsi="Arial" w:cs="Arial"/>
          <w:color w:val="000000"/>
          <w:sz w:val="20"/>
          <w:szCs w:val="20"/>
        </w:rPr>
        <w:t>centrated primarily with highly-rated counterparties, with approximately 88% of the obligors rated “AAA” or “AA” as of September 30, 2021. As of that date, approximately 24% and 75% of our aggregate municipal securities exposure was associated with general</w:t>
      </w:r>
      <w:r>
        <w:rPr>
          <w:rFonts w:ascii="Arial" w:eastAsia="宋体" w:hAnsi="Arial" w:cs="Arial"/>
          <w:color w:val="000000"/>
          <w:sz w:val="20"/>
          <w:szCs w:val="20"/>
        </w:rPr>
        <w:t xml:space="preserve"> obligation and revenue bonds, respectively. The portfolios are also diversified geographically, with the states that represent our largest exposures widely dispersed across the U.S.</w:t>
      </w:r>
    </w:p>
    <w:p w14:paraId="74DD8E4B" w14:textId="77777777" w:rsidR="00584EC1" w:rsidRDefault="00871F8D">
      <w:pPr>
        <w:ind w:firstLine="450"/>
        <w:jc w:val="right"/>
      </w:pPr>
      <w:r>
        <w:rPr>
          <w:rFonts w:ascii="Arial" w:eastAsia="宋体" w:hAnsi="Arial" w:cs="Arial"/>
          <w:color w:val="000000"/>
          <w:sz w:val="18"/>
          <w:szCs w:val="18"/>
        </w:rPr>
        <w:t>State Street Corporation | 29</w:t>
      </w:r>
    </w:p>
    <w:p w14:paraId="74DD8E4C" w14:textId="77777777" w:rsidR="00584EC1" w:rsidRDefault="00584EC1">
      <w:pPr>
        <w:ind w:firstLine="450"/>
        <w:jc w:val="center"/>
      </w:pPr>
    </w:p>
    <w:p w14:paraId="74DD8E4D" w14:textId="77777777" w:rsidR="00584EC1" w:rsidRDefault="00871F8D">
      <w:r>
        <w:pict w14:anchorId="74DE2A0B">
          <v:rect id="_x0000_i1053" style="width:415.3pt;height:1.5pt" o:hralign="center" o:hrstd="t" o:hr="t" fillcolor="#a0a0a0" stroked="f"/>
        </w:pict>
      </w:r>
    </w:p>
    <w:p w14:paraId="74DD8E4E" w14:textId="77777777" w:rsidR="00584EC1" w:rsidRDefault="00871F8D">
      <w:pPr>
        <w:ind w:firstLine="450"/>
        <w:jc w:val="center"/>
      </w:pPr>
      <w:r>
        <w:rPr>
          <w:rFonts w:ascii="Arial" w:eastAsia="宋体" w:hAnsi="Arial" w:cs="Arial"/>
          <w:b/>
          <w:bCs/>
          <w:color w:val="000000"/>
          <w:sz w:val="20"/>
          <w:szCs w:val="20"/>
        </w:rPr>
        <w:t xml:space="preserve">MANAGEMENT’S DISCUSSION AND ANALYSIS OF </w:t>
      </w:r>
      <w:r>
        <w:rPr>
          <w:rFonts w:ascii="Arial" w:eastAsia="宋体" w:hAnsi="Arial" w:cs="Arial"/>
          <w:b/>
          <w:bCs/>
          <w:color w:val="000000"/>
          <w:sz w:val="20"/>
          <w:szCs w:val="20"/>
        </w:rPr>
        <w:t>FINANCIAL CONDITION</w:t>
      </w:r>
    </w:p>
    <w:p w14:paraId="74DD8E4F" w14:textId="77777777" w:rsidR="00584EC1" w:rsidRDefault="00871F8D">
      <w:pPr>
        <w:ind w:firstLine="450"/>
        <w:jc w:val="center"/>
      </w:pPr>
      <w:r>
        <w:rPr>
          <w:rFonts w:ascii="Arial" w:eastAsia="宋体" w:hAnsi="Arial" w:cs="Arial"/>
          <w:b/>
          <w:bCs/>
          <w:color w:val="000000"/>
          <w:sz w:val="20"/>
          <w:szCs w:val="20"/>
        </w:rPr>
        <w:t>AND RESULTS OF OPERATIONS</w:t>
      </w:r>
    </w:p>
    <w:p w14:paraId="74DD8E50" w14:textId="77777777" w:rsidR="00584EC1" w:rsidRDefault="00871F8D">
      <w:pPr>
        <w:spacing w:before="60"/>
        <w:ind w:firstLine="450"/>
        <w:jc w:val="both"/>
        <w:textAlignment w:val="top"/>
      </w:pPr>
      <w:r>
        <w:rPr>
          <w:rFonts w:ascii="Arial" w:eastAsia="宋体" w:hAnsi="Arial" w:cs="Arial"/>
          <w:color w:val="000000"/>
          <w:sz w:val="20"/>
          <w:szCs w:val="20"/>
        </w:rPr>
        <w:t>Additional information with respect to our assessment of impairment of our municipal securities is provided in Note 3</w:t>
      </w:r>
      <w:r>
        <w:rPr>
          <w:rFonts w:ascii="Arial" w:eastAsia="宋体" w:hAnsi="Arial" w:cs="Arial"/>
          <w:b/>
          <w:bCs/>
          <w:color w:val="000000"/>
          <w:sz w:val="20"/>
          <w:szCs w:val="20"/>
        </w:rPr>
        <w:t xml:space="preserve"> </w:t>
      </w:r>
      <w:r>
        <w:rPr>
          <w:rFonts w:ascii="Arial" w:eastAsia="宋体" w:hAnsi="Arial" w:cs="Arial"/>
          <w:color w:val="000000"/>
          <w:sz w:val="20"/>
          <w:szCs w:val="20"/>
        </w:rPr>
        <w:t>to the consolidated financial statements in this Form 10-Q.</w:t>
      </w:r>
    </w:p>
    <w:p w14:paraId="74DD8E51" w14:textId="77777777" w:rsidR="00584EC1" w:rsidRDefault="00871F8D">
      <w:pPr>
        <w:spacing w:before="90"/>
        <w:textAlignment w:val="top"/>
      </w:pPr>
      <w:r>
        <w:rPr>
          <w:rFonts w:ascii="Arial" w:eastAsia="宋体" w:hAnsi="Arial" w:cs="Arial"/>
          <w:b/>
          <w:bCs/>
          <w:color w:val="000000"/>
          <w:sz w:val="20"/>
          <w:szCs w:val="20"/>
        </w:rPr>
        <w:t xml:space="preserve">Loans </w:t>
      </w:r>
    </w:p>
    <w:tbl>
      <w:tblPr>
        <w:tblW w:w="5000" w:type="pct"/>
        <w:tblCellMar>
          <w:top w:w="15" w:type="dxa"/>
          <w:left w:w="15" w:type="dxa"/>
          <w:bottom w:w="15" w:type="dxa"/>
          <w:right w:w="15" w:type="dxa"/>
        </w:tblCellMar>
        <w:tblLook w:val="04A0" w:firstRow="1" w:lastRow="0" w:firstColumn="1" w:lastColumn="0" w:noHBand="0" w:noVBand="1"/>
      </w:tblPr>
      <w:tblGrid>
        <w:gridCol w:w="39"/>
        <w:gridCol w:w="2610"/>
        <w:gridCol w:w="38"/>
        <w:gridCol w:w="99"/>
        <w:gridCol w:w="2319"/>
        <w:gridCol w:w="37"/>
        <w:gridCol w:w="36"/>
        <w:gridCol w:w="67"/>
        <w:gridCol w:w="36"/>
        <w:gridCol w:w="99"/>
        <w:gridCol w:w="2271"/>
        <w:gridCol w:w="37"/>
        <w:gridCol w:w="36"/>
        <w:gridCol w:w="36"/>
        <w:gridCol w:w="36"/>
        <w:gridCol w:w="36"/>
        <w:gridCol w:w="36"/>
        <w:gridCol w:w="36"/>
        <w:gridCol w:w="36"/>
        <w:gridCol w:w="36"/>
        <w:gridCol w:w="36"/>
        <w:gridCol w:w="36"/>
        <w:gridCol w:w="36"/>
        <w:gridCol w:w="36"/>
        <w:gridCol w:w="36"/>
        <w:gridCol w:w="36"/>
        <w:gridCol w:w="36"/>
        <w:gridCol w:w="36"/>
        <w:gridCol w:w="36"/>
        <w:gridCol w:w="36"/>
      </w:tblGrid>
      <w:tr w:rsidR="00584EC1" w14:paraId="74DD8E64" w14:textId="77777777">
        <w:tc>
          <w:tcPr>
            <w:tcW w:w="50" w:type="pct"/>
            <w:shd w:val="clear" w:color="auto" w:fill="auto"/>
            <w:vAlign w:val="bottom"/>
          </w:tcPr>
          <w:p w14:paraId="74DD8E52" w14:textId="77777777" w:rsidR="00584EC1" w:rsidRDefault="00584EC1">
            <w:pPr>
              <w:rPr>
                <w:rFonts w:ascii="宋体"/>
              </w:rPr>
            </w:pPr>
          </w:p>
        </w:tc>
        <w:tc>
          <w:tcPr>
            <w:tcW w:w="1721" w:type="pct"/>
            <w:shd w:val="clear" w:color="auto" w:fill="auto"/>
            <w:vAlign w:val="bottom"/>
          </w:tcPr>
          <w:p w14:paraId="74DD8E53" w14:textId="77777777" w:rsidR="00584EC1" w:rsidRDefault="00584EC1">
            <w:pPr>
              <w:rPr>
                <w:rFonts w:ascii="宋体"/>
              </w:rPr>
            </w:pPr>
          </w:p>
        </w:tc>
        <w:tc>
          <w:tcPr>
            <w:tcW w:w="5" w:type="pct"/>
            <w:shd w:val="clear" w:color="auto" w:fill="auto"/>
            <w:vAlign w:val="bottom"/>
          </w:tcPr>
          <w:p w14:paraId="74DD8E54" w14:textId="77777777" w:rsidR="00584EC1" w:rsidRDefault="00584EC1">
            <w:pPr>
              <w:rPr>
                <w:rFonts w:ascii="宋体"/>
              </w:rPr>
            </w:pPr>
          </w:p>
        </w:tc>
        <w:tc>
          <w:tcPr>
            <w:tcW w:w="50" w:type="pct"/>
            <w:shd w:val="clear" w:color="auto" w:fill="auto"/>
            <w:vAlign w:val="bottom"/>
          </w:tcPr>
          <w:p w14:paraId="74DD8E55" w14:textId="77777777" w:rsidR="00584EC1" w:rsidRDefault="00584EC1">
            <w:pPr>
              <w:rPr>
                <w:rFonts w:ascii="宋体"/>
              </w:rPr>
            </w:pPr>
          </w:p>
        </w:tc>
        <w:tc>
          <w:tcPr>
            <w:tcW w:w="1533" w:type="pct"/>
            <w:shd w:val="clear" w:color="auto" w:fill="auto"/>
            <w:vAlign w:val="bottom"/>
          </w:tcPr>
          <w:p w14:paraId="74DD8E56" w14:textId="77777777" w:rsidR="00584EC1" w:rsidRDefault="00584EC1">
            <w:pPr>
              <w:rPr>
                <w:rFonts w:ascii="宋体"/>
              </w:rPr>
            </w:pPr>
          </w:p>
        </w:tc>
        <w:tc>
          <w:tcPr>
            <w:tcW w:w="5" w:type="pct"/>
            <w:shd w:val="clear" w:color="auto" w:fill="auto"/>
            <w:vAlign w:val="bottom"/>
          </w:tcPr>
          <w:p w14:paraId="74DD8E57" w14:textId="77777777" w:rsidR="00584EC1" w:rsidRDefault="00584EC1">
            <w:pPr>
              <w:rPr>
                <w:rFonts w:ascii="宋体"/>
              </w:rPr>
            </w:pPr>
          </w:p>
        </w:tc>
        <w:tc>
          <w:tcPr>
            <w:tcW w:w="5" w:type="pct"/>
            <w:shd w:val="clear" w:color="auto" w:fill="auto"/>
            <w:vAlign w:val="bottom"/>
          </w:tcPr>
          <w:p w14:paraId="74DD8E58" w14:textId="77777777" w:rsidR="00584EC1" w:rsidRDefault="00584EC1">
            <w:pPr>
              <w:rPr>
                <w:rFonts w:ascii="宋体"/>
              </w:rPr>
            </w:pPr>
          </w:p>
        </w:tc>
        <w:tc>
          <w:tcPr>
            <w:tcW w:w="68" w:type="pct"/>
            <w:shd w:val="clear" w:color="auto" w:fill="auto"/>
            <w:vAlign w:val="bottom"/>
          </w:tcPr>
          <w:p w14:paraId="74DD8E59" w14:textId="77777777" w:rsidR="00584EC1" w:rsidRDefault="00584EC1">
            <w:pPr>
              <w:rPr>
                <w:rFonts w:ascii="宋体"/>
              </w:rPr>
            </w:pPr>
          </w:p>
        </w:tc>
        <w:tc>
          <w:tcPr>
            <w:tcW w:w="5" w:type="pct"/>
            <w:shd w:val="clear" w:color="auto" w:fill="auto"/>
            <w:vAlign w:val="bottom"/>
          </w:tcPr>
          <w:p w14:paraId="74DD8E5A" w14:textId="77777777" w:rsidR="00584EC1" w:rsidRDefault="00584EC1">
            <w:pPr>
              <w:rPr>
                <w:rFonts w:ascii="宋体"/>
              </w:rPr>
            </w:pPr>
          </w:p>
        </w:tc>
        <w:tc>
          <w:tcPr>
            <w:tcW w:w="50" w:type="pct"/>
            <w:shd w:val="clear" w:color="auto" w:fill="auto"/>
            <w:vAlign w:val="bottom"/>
          </w:tcPr>
          <w:p w14:paraId="74DD8E5B" w14:textId="77777777" w:rsidR="00584EC1" w:rsidRDefault="00584EC1">
            <w:pPr>
              <w:rPr>
                <w:rFonts w:ascii="宋体"/>
              </w:rPr>
            </w:pPr>
          </w:p>
        </w:tc>
        <w:tc>
          <w:tcPr>
            <w:tcW w:w="1501" w:type="pct"/>
            <w:shd w:val="clear" w:color="auto" w:fill="auto"/>
            <w:vAlign w:val="bottom"/>
          </w:tcPr>
          <w:p w14:paraId="74DD8E5C" w14:textId="77777777" w:rsidR="00584EC1" w:rsidRDefault="00584EC1">
            <w:pPr>
              <w:rPr>
                <w:rFonts w:ascii="宋体"/>
              </w:rPr>
            </w:pPr>
          </w:p>
        </w:tc>
        <w:tc>
          <w:tcPr>
            <w:tcW w:w="5" w:type="pct"/>
            <w:shd w:val="clear" w:color="auto" w:fill="auto"/>
            <w:vAlign w:val="bottom"/>
          </w:tcPr>
          <w:p w14:paraId="74DD8E5D" w14:textId="77777777" w:rsidR="00584EC1" w:rsidRDefault="00584EC1">
            <w:pPr>
              <w:rPr>
                <w:rFonts w:ascii="宋体"/>
              </w:rPr>
            </w:pPr>
          </w:p>
        </w:tc>
        <w:tc>
          <w:tcPr>
            <w:tcW w:w="0" w:type="auto"/>
            <w:gridSpan w:val="3"/>
            <w:shd w:val="clear" w:color="auto" w:fill="auto"/>
            <w:vAlign w:val="bottom"/>
          </w:tcPr>
          <w:p w14:paraId="74DD8E5E" w14:textId="77777777" w:rsidR="00584EC1" w:rsidRDefault="00584EC1">
            <w:pPr>
              <w:rPr>
                <w:rFonts w:ascii="宋体"/>
                <w:vanish/>
              </w:rPr>
            </w:pPr>
          </w:p>
        </w:tc>
        <w:tc>
          <w:tcPr>
            <w:tcW w:w="0" w:type="auto"/>
            <w:gridSpan w:val="3"/>
            <w:shd w:val="clear" w:color="auto" w:fill="auto"/>
            <w:vAlign w:val="bottom"/>
          </w:tcPr>
          <w:p w14:paraId="74DD8E5F" w14:textId="77777777" w:rsidR="00584EC1" w:rsidRDefault="00584EC1">
            <w:pPr>
              <w:rPr>
                <w:rFonts w:ascii="宋体"/>
                <w:vanish/>
              </w:rPr>
            </w:pPr>
          </w:p>
        </w:tc>
        <w:tc>
          <w:tcPr>
            <w:tcW w:w="0" w:type="auto"/>
            <w:gridSpan w:val="3"/>
            <w:shd w:val="clear" w:color="auto" w:fill="auto"/>
            <w:vAlign w:val="bottom"/>
          </w:tcPr>
          <w:p w14:paraId="74DD8E60" w14:textId="77777777" w:rsidR="00584EC1" w:rsidRDefault="00584EC1">
            <w:pPr>
              <w:rPr>
                <w:rFonts w:ascii="宋体"/>
                <w:vanish/>
              </w:rPr>
            </w:pPr>
          </w:p>
        </w:tc>
        <w:tc>
          <w:tcPr>
            <w:tcW w:w="0" w:type="auto"/>
            <w:gridSpan w:val="3"/>
            <w:shd w:val="clear" w:color="auto" w:fill="auto"/>
            <w:vAlign w:val="bottom"/>
          </w:tcPr>
          <w:p w14:paraId="74DD8E61" w14:textId="77777777" w:rsidR="00584EC1" w:rsidRDefault="00584EC1">
            <w:pPr>
              <w:rPr>
                <w:rFonts w:ascii="宋体"/>
                <w:vanish/>
              </w:rPr>
            </w:pPr>
          </w:p>
        </w:tc>
        <w:tc>
          <w:tcPr>
            <w:tcW w:w="0" w:type="auto"/>
            <w:gridSpan w:val="3"/>
            <w:shd w:val="clear" w:color="auto" w:fill="auto"/>
            <w:vAlign w:val="bottom"/>
          </w:tcPr>
          <w:p w14:paraId="74DD8E62" w14:textId="77777777" w:rsidR="00584EC1" w:rsidRDefault="00584EC1">
            <w:pPr>
              <w:rPr>
                <w:rFonts w:ascii="宋体"/>
                <w:vanish/>
              </w:rPr>
            </w:pPr>
          </w:p>
        </w:tc>
        <w:tc>
          <w:tcPr>
            <w:tcW w:w="0" w:type="auto"/>
            <w:gridSpan w:val="3"/>
            <w:shd w:val="clear" w:color="auto" w:fill="auto"/>
            <w:vAlign w:val="bottom"/>
          </w:tcPr>
          <w:p w14:paraId="74DD8E63" w14:textId="77777777" w:rsidR="00584EC1" w:rsidRDefault="00584EC1">
            <w:pPr>
              <w:rPr>
                <w:rFonts w:ascii="宋体"/>
                <w:vanish/>
              </w:rPr>
            </w:pPr>
          </w:p>
        </w:tc>
      </w:tr>
      <w:tr w:rsidR="00584EC1" w14:paraId="74DD8E78" w14:textId="77777777">
        <w:tc>
          <w:tcPr>
            <w:tcW w:w="0" w:type="auto"/>
            <w:gridSpan w:val="12"/>
            <w:shd w:val="clear" w:color="auto" w:fill="auto"/>
            <w:tcMar>
              <w:top w:w="40" w:type="dxa"/>
              <w:left w:w="20" w:type="dxa"/>
              <w:bottom w:w="40" w:type="dxa"/>
              <w:right w:w="20" w:type="dxa"/>
            </w:tcMar>
            <w:vAlign w:val="bottom"/>
          </w:tcPr>
          <w:p w14:paraId="74DD8E65" w14:textId="77777777" w:rsidR="00584EC1" w:rsidRDefault="00871F8D">
            <w:pPr>
              <w:textAlignment w:val="bottom"/>
            </w:pPr>
            <w:r>
              <w:rPr>
                <w:rFonts w:ascii="Arial" w:eastAsia="宋体" w:hAnsi="Arial" w:cs="Arial"/>
                <w:b/>
                <w:bCs/>
                <w:color w:val="000000"/>
                <w:sz w:val="16"/>
                <w:szCs w:val="16"/>
              </w:rPr>
              <w:t>TABLE 25: U.S. AND NON- U.S. LOANS</w:t>
            </w:r>
          </w:p>
        </w:tc>
        <w:tc>
          <w:tcPr>
            <w:tcW w:w="0" w:type="auto"/>
            <w:shd w:val="clear" w:color="auto" w:fill="auto"/>
            <w:vAlign w:val="bottom"/>
          </w:tcPr>
          <w:p w14:paraId="74DD8E66" w14:textId="77777777" w:rsidR="00584EC1" w:rsidRDefault="00584EC1">
            <w:pPr>
              <w:rPr>
                <w:rFonts w:ascii="宋体"/>
              </w:rPr>
            </w:pPr>
          </w:p>
        </w:tc>
        <w:tc>
          <w:tcPr>
            <w:tcW w:w="0" w:type="auto"/>
            <w:shd w:val="clear" w:color="auto" w:fill="auto"/>
            <w:vAlign w:val="bottom"/>
          </w:tcPr>
          <w:p w14:paraId="74DD8E67" w14:textId="77777777" w:rsidR="00584EC1" w:rsidRDefault="00584EC1">
            <w:pPr>
              <w:rPr>
                <w:rFonts w:ascii="宋体"/>
              </w:rPr>
            </w:pPr>
          </w:p>
        </w:tc>
        <w:tc>
          <w:tcPr>
            <w:tcW w:w="0" w:type="auto"/>
            <w:shd w:val="clear" w:color="auto" w:fill="auto"/>
            <w:vAlign w:val="bottom"/>
          </w:tcPr>
          <w:p w14:paraId="74DD8E68" w14:textId="77777777" w:rsidR="00584EC1" w:rsidRDefault="00584EC1">
            <w:pPr>
              <w:rPr>
                <w:rFonts w:ascii="宋体"/>
              </w:rPr>
            </w:pPr>
          </w:p>
        </w:tc>
        <w:tc>
          <w:tcPr>
            <w:tcW w:w="0" w:type="auto"/>
            <w:shd w:val="clear" w:color="auto" w:fill="auto"/>
            <w:vAlign w:val="bottom"/>
          </w:tcPr>
          <w:p w14:paraId="74DD8E69" w14:textId="77777777" w:rsidR="00584EC1" w:rsidRDefault="00584EC1">
            <w:pPr>
              <w:rPr>
                <w:rFonts w:ascii="宋体"/>
              </w:rPr>
            </w:pPr>
          </w:p>
        </w:tc>
        <w:tc>
          <w:tcPr>
            <w:tcW w:w="0" w:type="auto"/>
            <w:shd w:val="clear" w:color="auto" w:fill="auto"/>
            <w:vAlign w:val="bottom"/>
          </w:tcPr>
          <w:p w14:paraId="74DD8E6A" w14:textId="77777777" w:rsidR="00584EC1" w:rsidRDefault="00584EC1">
            <w:pPr>
              <w:rPr>
                <w:rFonts w:ascii="宋体"/>
              </w:rPr>
            </w:pPr>
          </w:p>
        </w:tc>
        <w:tc>
          <w:tcPr>
            <w:tcW w:w="0" w:type="auto"/>
            <w:shd w:val="clear" w:color="auto" w:fill="auto"/>
            <w:vAlign w:val="bottom"/>
          </w:tcPr>
          <w:p w14:paraId="74DD8E6B" w14:textId="77777777" w:rsidR="00584EC1" w:rsidRDefault="00584EC1">
            <w:pPr>
              <w:rPr>
                <w:rFonts w:ascii="宋体"/>
              </w:rPr>
            </w:pPr>
          </w:p>
        </w:tc>
        <w:tc>
          <w:tcPr>
            <w:tcW w:w="0" w:type="auto"/>
            <w:shd w:val="clear" w:color="auto" w:fill="auto"/>
            <w:vAlign w:val="bottom"/>
          </w:tcPr>
          <w:p w14:paraId="74DD8E6C" w14:textId="77777777" w:rsidR="00584EC1" w:rsidRDefault="00584EC1">
            <w:pPr>
              <w:rPr>
                <w:rFonts w:ascii="宋体"/>
              </w:rPr>
            </w:pPr>
          </w:p>
        </w:tc>
        <w:tc>
          <w:tcPr>
            <w:tcW w:w="0" w:type="auto"/>
            <w:shd w:val="clear" w:color="auto" w:fill="auto"/>
            <w:vAlign w:val="bottom"/>
          </w:tcPr>
          <w:p w14:paraId="74DD8E6D" w14:textId="77777777" w:rsidR="00584EC1" w:rsidRDefault="00584EC1">
            <w:pPr>
              <w:rPr>
                <w:rFonts w:ascii="宋体"/>
              </w:rPr>
            </w:pPr>
          </w:p>
        </w:tc>
        <w:tc>
          <w:tcPr>
            <w:tcW w:w="0" w:type="auto"/>
            <w:shd w:val="clear" w:color="auto" w:fill="auto"/>
            <w:vAlign w:val="bottom"/>
          </w:tcPr>
          <w:p w14:paraId="74DD8E6E" w14:textId="77777777" w:rsidR="00584EC1" w:rsidRDefault="00584EC1">
            <w:pPr>
              <w:rPr>
                <w:rFonts w:ascii="宋体"/>
              </w:rPr>
            </w:pPr>
          </w:p>
        </w:tc>
        <w:tc>
          <w:tcPr>
            <w:tcW w:w="0" w:type="auto"/>
            <w:shd w:val="clear" w:color="auto" w:fill="auto"/>
            <w:vAlign w:val="bottom"/>
          </w:tcPr>
          <w:p w14:paraId="74DD8E6F" w14:textId="77777777" w:rsidR="00584EC1" w:rsidRDefault="00584EC1">
            <w:pPr>
              <w:rPr>
                <w:rFonts w:ascii="宋体"/>
              </w:rPr>
            </w:pPr>
          </w:p>
        </w:tc>
        <w:tc>
          <w:tcPr>
            <w:tcW w:w="0" w:type="auto"/>
            <w:shd w:val="clear" w:color="auto" w:fill="auto"/>
            <w:vAlign w:val="bottom"/>
          </w:tcPr>
          <w:p w14:paraId="74DD8E70" w14:textId="77777777" w:rsidR="00584EC1" w:rsidRDefault="00584EC1">
            <w:pPr>
              <w:rPr>
                <w:rFonts w:ascii="宋体"/>
              </w:rPr>
            </w:pPr>
          </w:p>
        </w:tc>
        <w:tc>
          <w:tcPr>
            <w:tcW w:w="0" w:type="auto"/>
            <w:shd w:val="clear" w:color="auto" w:fill="auto"/>
            <w:vAlign w:val="bottom"/>
          </w:tcPr>
          <w:p w14:paraId="74DD8E71" w14:textId="77777777" w:rsidR="00584EC1" w:rsidRDefault="00584EC1">
            <w:pPr>
              <w:rPr>
                <w:rFonts w:ascii="宋体"/>
              </w:rPr>
            </w:pPr>
          </w:p>
        </w:tc>
        <w:tc>
          <w:tcPr>
            <w:tcW w:w="0" w:type="auto"/>
            <w:shd w:val="clear" w:color="auto" w:fill="auto"/>
            <w:vAlign w:val="bottom"/>
          </w:tcPr>
          <w:p w14:paraId="74DD8E72" w14:textId="77777777" w:rsidR="00584EC1" w:rsidRDefault="00584EC1">
            <w:pPr>
              <w:rPr>
                <w:rFonts w:ascii="宋体"/>
              </w:rPr>
            </w:pPr>
          </w:p>
        </w:tc>
        <w:tc>
          <w:tcPr>
            <w:tcW w:w="0" w:type="auto"/>
            <w:shd w:val="clear" w:color="auto" w:fill="auto"/>
            <w:vAlign w:val="bottom"/>
          </w:tcPr>
          <w:p w14:paraId="74DD8E73" w14:textId="77777777" w:rsidR="00584EC1" w:rsidRDefault="00584EC1">
            <w:pPr>
              <w:rPr>
                <w:rFonts w:ascii="宋体"/>
              </w:rPr>
            </w:pPr>
          </w:p>
        </w:tc>
        <w:tc>
          <w:tcPr>
            <w:tcW w:w="0" w:type="auto"/>
            <w:shd w:val="clear" w:color="auto" w:fill="auto"/>
            <w:vAlign w:val="bottom"/>
          </w:tcPr>
          <w:p w14:paraId="74DD8E74" w14:textId="77777777" w:rsidR="00584EC1" w:rsidRDefault="00584EC1">
            <w:pPr>
              <w:rPr>
                <w:rFonts w:ascii="宋体"/>
              </w:rPr>
            </w:pPr>
          </w:p>
        </w:tc>
        <w:tc>
          <w:tcPr>
            <w:tcW w:w="0" w:type="auto"/>
            <w:shd w:val="clear" w:color="auto" w:fill="auto"/>
            <w:vAlign w:val="bottom"/>
          </w:tcPr>
          <w:p w14:paraId="74DD8E75" w14:textId="77777777" w:rsidR="00584EC1" w:rsidRDefault="00584EC1">
            <w:pPr>
              <w:rPr>
                <w:rFonts w:ascii="宋体"/>
              </w:rPr>
            </w:pPr>
          </w:p>
        </w:tc>
        <w:tc>
          <w:tcPr>
            <w:tcW w:w="0" w:type="auto"/>
            <w:shd w:val="clear" w:color="auto" w:fill="auto"/>
            <w:vAlign w:val="bottom"/>
          </w:tcPr>
          <w:p w14:paraId="74DD8E76" w14:textId="77777777" w:rsidR="00584EC1" w:rsidRDefault="00584EC1">
            <w:pPr>
              <w:rPr>
                <w:rFonts w:ascii="宋体"/>
              </w:rPr>
            </w:pPr>
          </w:p>
        </w:tc>
        <w:tc>
          <w:tcPr>
            <w:tcW w:w="0" w:type="auto"/>
            <w:shd w:val="clear" w:color="auto" w:fill="auto"/>
            <w:vAlign w:val="bottom"/>
          </w:tcPr>
          <w:p w14:paraId="74DD8E77" w14:textId="77777777" w:rsidR="00584EC1" w:rsidRDefault="00584EC1">
            <w:pPr>
              <w:rPr>
                <w:rFonts w:ascii="宋体"/>
              </w:rPr>
            </w:pPr>
          </w:p>
        </w:tc>
      </w:tr>
      <w:tr w:rsidR="00584EC1" w14:paraId="74DD8E83" w14:textId="77777777">
        <w:tc>
          <w:tcPr>
            <w:tcW w:w="0" w:type="auto"/>
            <w:gridSpan w:val="3"/>
            <w:shd w:val="clear" w:color="auto" w:fill="auto"/>
            <w:tcMar>
              <w:top w:w="40" w:type="dxa"/>
              <w:left w:w="20" w:type="dxa"/>
              <w:bottom w:w="40" w:type="dxa"/>
              <w:right w:w="20" w:type="dxa"/>
            </w:tcMar>
            <w:vAlign w:val="bottom"/>
          </w:tcPr>
          <w:p w14:paraId="74DD8E79" w14:textId="77777777" w:rsidR="00584EC1" w:rsidRDefault="00871F8D">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74DD8E7A" w14:textId="77777777" w:rsidR="00584EC1" w:rsidRDefault="00871F8D">
            <w:pPr>
              <w:jc w:val="center"/>
              <w:textAlignment w:val="bottom"/>
            </w:pPr>
            <w:r>
              <w:rPr>
                <w:rFonts w:ascii="Arial" w:eastAsia="宋体" w:hAnsi="Arial" w:cs="Arial"/>
                <w:b/>
                <w:bCs/>
                <w:color w:val="000000"/>
                <w:sz w:val="15"/>
                <w:szCs w:val="15"/>
              </w:rPr>
              <w:t>September 30, 2021</w:t>
            </w:r>
          </w:p>
        </w:tc>
        <w:tc>
          <w:tcPr>
            <w:tcW w:w="0" w:type="auto"/>
            <w:gridSpan w:val="3"/>
            <w:shd w:val="clear" w:color="auto" w:fill="auto"/>
            <w:tcMar>
              <w:top w:w="0" w:type="dxa"/>
              <w:left w:w="20" w:type="dxa"/>
              <w:bottom w:w="0" w:type="dxa"/>
              <w:right w:w="20" w:type="dxa"/>
            </w:tcMar>
            <w:vAlign w:val="bottom"/>
          </w:tcPr>
          <w:p w14:paraId="74DD8E7B"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8E7C" w14:textId="77777777" w:rsidR="00584EC1" w:rsidRDefault="00871F8D">
            <w:pPr>
              <w:jc w:val="center"/>
              <w:textAlignment w:val="bottom"/>
            </w:pPr>
            <w:r>
              <w:rPr>
                <w:rFonts w:ascii="Arial" w:eastAsia="宋体" w:hAnsi="Arial" w:cs="Arial"/>
                <w:b/>
                <w:bCs/>
                <w:color w:val="000000"/>
                <w:sz w:val="15"/>
                <w:szCs w:val="15"/>
              </w:rPr>
              <w:t>December 31, 2020</w:t>
            </w:r>
          </w:p>
        </w:tc>
        <w:tc>
          <w:tcPr>
            <w:tcW w:w="0" w:type="auto"/>
            <w:gridSpan w:val="3"/>
            <w:shd w:val="clear" w:color="auto" w:fill="auto"/>
            <w:vAlign w:val="bottom"/>
          </w:tcPr>
          <w:p w14:paraId="74DD8E7D" w14:textId="77777777" w:rsidR="00584EC1" w:rsidRDefault="00584EC1">
            <w:pPr>
              <w:rPr>
                <w:rFonts w:ascii="宋体"/>
                <w:vanish/>
              </w:rPr>
            </w:pPr>
          </w:p>
        </w:tc>
        <w:tc>
          <w:tcPr>
            <w:tcW w:w="0" w:type="auto"/>
            <w:gridSpan w:val="3"/>
            <w:shd w:val="clear" w:color="auto" w:fill="auto"/>
            <w:vAlign w:val="bottom"/>
          </w:tcPr>
          <w:p w14:paraId="74DD8E7E" w14:textId="77777777" w:rsidR="00584EC1" w:rsidRDefault="00584EC1">
            <w:pPr>
              <w:rPr>
                <w:rFonts w:ascii="宋体"/>
                <w:vanish/>
              </w:rPr>
            </w:pPr>
          </w:p>
        </w:tc>
        <w:tc>
          <w:tcPr>
            <w:tcW w:w="0" w:type="auto"/>
            <w:gridSpan w:val="3"/>
            <w:shd w:val="clear" w:color="auto" w:fill="auto"/>
            <w:vAlign w:val="bottom"/>
          </w:tcPr>
          <w:p w14:paraId="74DD8E7F" w14:textId="77777777" w:rsidR="00584EC1" w:rsidRDefault="00584EC1">
            <w:pPr>
              <w:rPr>
                <w:rFonts w:ascii="宋体"/>
                <w:vanish/>
              </w:rPr>
            </w:pPr>
          </w:p>
        </w:tc>
        <w:tc>
          <w:tcPr>
            <w:tcW w:w="0" w:type="auto"/>
            <w:gridSpan w:val="3"/>
            <w:shd w:val="clear" w:color="auto" w:fill="auto"/>
            <w:vAlign w:val="bottom"/>
          </w:tcPr>
          <w:p w14:paraId="74DD8E80" w14:textId="77777777" w:rsidR="00584EC1" w:rsidRDefault="00584EC1">
            <w:pPr>
              <w:rPr>
                <w:rFonts w:ascii="宋体"/>
                <w:vanish/>
              </w:rPr>
            </w:pPr>
          </w:p>
        </w:tc>
        <w:tc>
          <w:tcPr>
            <w:tcW w:w="0" w:type="auto"/>
            <w:gridSpan w:val="3"/>
            <w:shd w:val="clear" w:color="auto" w:fill="auto"/>
            <w:vAlign w:val="bottom"/>
          </w:tcPr>
          <w:p w14:paraId="74DD8E81" w14:textId="77777777" w:rsidR="00584EC1" w:rsidRDefault="00584EC1">
            <w:pPr>
              <w:rPr>
                <w:rFonts w:ascii="宋体"/>
                <w:vanish/>
              </w:rPr>
            </w:pPr>
          </w:p>
        </w:tc>
        <w:tc>
          <w:tcPr>
            <w:tcW w:w="0" w:type="auto"/>
            <w:gridSpan w:val="3"/>
            <w:shd w:val="clear" w:color="auto" w:fill="auto"/>
            <w:vAlign w:val="bottom"/>
          </w:tcPr>
          <w:p w14:paraId="74DD8E82" w14:textId="77777777" w:rsidR="00584EC1" w:rsidRDefault="00584EC1">
            <w:pPr>
              <w:rPr>
                <w:rFonts w:ascii="宋体"/>
                <w:vanish/>
              </w:rPr>
            </w:pPr>
          </w:p>
        </w:tc>
      </w:tr>
      <w:tr w:rsidR="00584EC1" w14:paraId="74DD8E8E" w14:textId="77777777">
        <w:tc>
          <w:tcPr>
            <w:tcW w:w="0" w:type="auto"/>
            <w:gridSpan w:val="3"/>
            <w:shd w:val="clear" w:color="auto" w:fill="auto"/>
            <w:tcMar>
              <w:top w:w="40" w:type="dxa"/>
              <w:left w:w="20" w:type="dxa"/>
              <w:bottom w:w="40" w:type="dxa"/>
              <w:right w:w="20" w:type="dxa"/>
            </w:tcMar>
            <w:vAlign w:val="bottom"/>
          </w:tcPr>
          <w:p w14:paraId="74DD8E84" w14:textId="77777777" w:rsidR="00584EC1" w:rsidRDefault="00871F8D">
            <w:pPr>
              <w:textAlignment w:val="bottom"/>
            </w:pPr>
            <w:r>
              <w:rPr>
                <w:rFonts w:ascii="Arial" w:eastAsia="宋体" w:hAnsi="Arial" w:cs="Arial"/>
                <w:b/>
                <w:bCs/>
                <w:color w:val="000000"/>
                <w:sz w:val="14"/>
                <w:szCs w:val="14"/>
              </w:rPr>
              <w:t>Domestic</w:t>
            </w:r>
            <w:r>
              <w:rPr>
                <w:rFonts w:ascii="Arial" w:eastAsia="宋体" w:hAnsi="Arial" w:cs="Arial"/>
                <w:b/>
                <w:bCs/>
                <w:color w:val="000000"/>
                <w:sz w:val="9"/>
                <w:szCs w:val="9"/>
              </w:rPr>
              <w:t>(1)</w:t>
            </w:r>
            <w:r>
              <w:rPr>
                <w:rFonts w:ascii="Arial" w:eastAsia="宋体" w:hAnsi="Arial" w:cs="Arial"/>
                <w:b/>
                <w:bCs/>
                <w:color w:val="000000"/>
                <w:sz w:val="14"/>
                <w:szCs w:val="14"/>
              </w:rPr>
              <w: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8E8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8E86"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8E87" w14:textId="77777777" w:rsidR="00584EC1" w:rsidRDefault="00584EC1">
            <w:pPr>
              <w:rPr>
                <w:rFonts w:ascii="宋体"/>
              </w:rPr>
            </w:pPr>
          </w:p>
        </w:tc>
        <w:tc>
          <w:tcPr>
            <w:tcW w:w="0" w:type="auto"/>
            <w:gridSpan w:val="3"/>
            <w:shd w:val="clear" w:color="auto" w:fill="auto"/>
            <w:vAlign w:val="bottom"/>
          </w:tcPr>
          <w:p w14:paraId="74DD8E88" w14:textId="77777777" w:rsidR="00584EC1" w:rsidRDefault="00584EC1">
            <w:pPr>
              <w:rPr>
                <w:rFonts w:ascii="宋体"/>
                <w:vanish/>
              </w:rPr>
            </w:pPr>
          </w:p>
        </w:tc>
        <w:tc>
          <w:tcPr>
            <w:tcW w:w="0" w:type="auto"/>
            <w:gridSpan w:val="3"/>
            <w:shd w:val="clear" w:color="auto" w:fill="auto"/>
            <w:vAlign w:val="bottom"/>
          </w:tcPr>
          <w:p w14:paraId="74DD8E89" w14:textId="77777777" w:rsidR="00584EC1" w:rsidRDefault="00584EC1">
            <w:pPr>
              <w:rPr>
                <w:rFonts w:ascii="宋体"/>
                <w:vanish/>
              </w:rPr>
            </w:pPr>
          </w:p>
        </w:tc>
        <w:tc>
          <w:tcPr>
            <w:tcW w:w="0" w:type="auto"/>
            <w:gridSpan w:val="3"/>
            <w:shd w:val="clear" w:color="auto" w:fill="auto"/>
            <w:vAlign w:val="bottom"/>
          </w:tcPr>
          <w:p w14:paraId="74DD8E8A" w14:textId="77777777" w:rsidR="00584EC1" w:rsidRDefault="00584EC1">
            <w:pPr>
              <w:rPr>
                <w:rFonts w:ascii="宋体"/>
                <w:vanish/>
              </w:rPr>
            </w:pPr>
          </w:p>
        </w:tc>
        <w:tc>
          <w:tcPr>
            <w:tcW w:w="0" w:type="auto"/>
            <w:gridSpan w:val="3"/>
            <w:shd w:val="clear" w:color="auto" w:fill="auto"/>
            <w:vAlign w:val="bottom"/>
          </w:tcPr>
          <w:p w14:paraId="74DD8E8B" w14:textId="77777777" w:rsidR="00584EC1" w:rsidRDefault="00584EC1">
            <w:pPr>
              <w:rPr>
                <w:rFonts w:ascii="宋体"/>
                <w:vanish/>
              </w:rPr>
            </w:pPr>
          </w:p>
        </w:tc>
        <w:tc>
          <w:tcPr>
            <w:tcW w:w="0" w:type="auto"/>
            <w:gridSpan w:val="3"/>
            <w:shd w:val="clear" w:color="auto" w:fill="auto"/>
            <w:vAlign w:val="bottom"/>
          </w:tcPr>
          <w:p w14:paraId="74DD8E8C" w14:textId="77777777" w:rsidR="00584EC1" w:rsidRDefault="00584EC1">
            <w:pPr>
              <w:rPr>
                <w:rFonts w:ascii="宋体"/>
                <w:vanish/>
              </w:rPr>
            </w:pPr>
          </w:p>
        </w:tc>
        <w:tc>
          <w:tcPr>
            <w:tcW w:w="0" w:type="auto"/>
            <w:gridSpan w:val="3"/>
            <w:shd w:val="clear" w:color="auto" w:fill="auto"/>
            <w:vAlign w:val="bottom"/>
          </w:tcPr>
          <w:p w14:paraId="74DD8E8D" w14:textId="77777777" w:rsidR="00584EC1" w:rsidRDefault="00584EC1">
            <w:pPr>
              <w:rPr>
                <w:rFonts w:ascii="宋体"/>
                <w:vanish/>
              </w:rPr>
            </w:pPr>
          </w:p>
        </w:tc>
      </w:tr>
      <w:tr w:rsidR="00584EC1" w14:paraId="74DD8E99" w14:textId="77777777">
        <w:tc>
          <w:tcPr>
            <w:tcW w:w="0" w:type="auto"/>
            <w:gridSpan w:val="3"/>
            <w:shd w:val="clear" w:color="auto" w:fill="auto"/>
            <w:tcMar>
              <w:top w:w="40" w:type="dxa"/>
              <w:left w:w="20" w:type="dxa"/>
              <w:bottom w:w="40" w:type="dxa"/>
              <w:right w:w="20" w:type="dxa"/>
            </w:tcMar>
            <w:vAlign w:val="bottom"/>
          </w:tcPr>
          <w:p w14:paraId="74DD8E8F" w14:textId="77777777" w:rsidR="00584EC1" w:rsidRDefault="00871F8D">
            <w:pPr>
              <w:textAlignment w:val="bottom"/>
            </w:pPr>
            <w:r>
              <w:rPr>
                <w:rFonts w:ascii="Arial" w:eastAsia="宋体" w:hAnsi="Arial" w:cs="Arial"/>
                <w:color w:val="000000"/>
                <w:sz w:val="14"/>
                <w:szCs w:val="14"/>
              </w:rPr>
              <w:t>Commercial and financial:</w:t>
            </w:r>
          </w:p>
        </w:tc>
        <w:tc>
          <w:tcPr>
            <w:tcW w:w="0" w:type="auto"/>
            <w:gridSpan w:val="3"/>
            <w:shd w:val="clear" w:color="auto" w:fill="auto"/>
            <w:tcMar>
              <w:top w:w="0" w:type="dxa"/>
              <w:left w:w="20" w:type="dxa"/>
              <w:bottom w:w="0" w:type="dxa"/>
              <w:right w:w="20" w:type="dxa"/>
            </w:tcMar>
            <w:vAlign w:val="bottom"/>
          </w:tcPr>
          <w:p w14:paraId="74DD8E90"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8E9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8E92" w14:textId="77777777" w:rsidR="00584EC1" w:rsidRDefault="00584EC1">
            <w:pPr>
              <w:rPr>
                <w:rFonts w:ascii="宋体"/>
              </w:rPr>
            </w:pPr>
          </w:p>
        </w:tc>
        <w:tc>
          <w:tcPr>
            <w:tcW w:w="0" w:type="auto"/>
            <w:gridSpan w:val="3"/>
            <w:shd w:val="clear" w:color="auto" w:fill="auto"/>
            <w:vAlign w:val="bottom"/>
          </w:tcPr>
          <w:p w14:paraId="74DD8E93" w14:textId="77777777" w:rsidR="00584EC1" w:rsidRDefault="00584EC1">
            <w:pPr>
              <w:rPr>
                <w:rFonts w:ascii="宋体"/>
                <w:vanish/>
              </w:rPr>
            </w:pPr>
          </w:p>
        </w:tc>
        <w:tc>
          <w:tcPr>
            <w:tcW w:w="0" w:type="auto"/>
            <w:gridSpan w:val="3"/>
            <w:shd w:val="clear" w:color="auto" w:fill="auto"/>
            <w:vAlign w:val="bottom"/>
          </w:tcPr>
          <w:p w14:paraId="74DD8E94" w14:textId="77777777" w:rsidR="00584EC1" w:rsidRDefault="00584EC1">
            <w:pPr>
              <w:rPr>
                <w:rFonts w:ascii="宋体"/>
                <w:vanish/>
              </w:rPr>
            </w:pPr>
          </w:p>
        </w:tc>
        <w:tc>
          <w:tcPr>
            <w:tcW w:w="0" w:type="auto"/>
            <w:gridSpan w:val="3"/>
            <w:shd w:val="clear" w:color="auto" w:fill="auto"/>
            <w:vAlign w:val="bottom"/>
          </w:tcPr>
          <w:p w14:paraId="74DD8E95" w14:textId="77777777" w:rsidR="00584EC1" w:rsidRDefault="00584EC1">
            <w:pPr>
              <w:rPr>
                <w:rFonts w:ascii="宋体"/>
                <w:vanish/>
              </w:rPr>
            </w:pPr>
          </w:p>
        </w:tc>
        <w:tc>
          <w:tcPr>
            <w:tcW w:w="0" w:type="auto"/>
            <w:gridSpan w:val="3"/>
            <w:shd w:val="clear" w:color="auto" w:fill="auto"/>
            <w:vAlign w:val="bottom"/>
          </w:tcPr>
          <w:p w14:paraId="74DD8E96" w14:textId="77777777" w:rsidR="00584EC1" w:rsidRDefault="00584EC1">
            <w:pPr>
              <w:rPr>
                <w:rFonts w:ascii="宋体"/>
                <w:vanish/>
              </w:rPr>
            </w:pPr>
          </w:p>
        </w:tc>
        <w:tc>
          <w:tcPr>
            <w:tcW w:w="0" w:type="auto"/>
            <w:gridSpan w:val="3"/>
            <w:shd w:val="clear" w:color="auto" w:fill="auto"/>
            <w:vAlign w:val="bottom"/>
          </w:tcPr>
          <w:p w14:paraId="74DD8E97" w14:textId="77777777" w:rsidR="00584EC1" w:rsidRDefault="00584EC1">
            <w:pPr>
              <w:rPr>
                <w:rFonts w:ascii="宋体"/>
                <w:vanish/>
              </w:rPr>
            </w:pPr>
          </w:p>
        </w:tc>
        <w:tc>
          <w:tcPr>
            <w:tcW w:w="0" w:type="auto"/>
            <w:gridSpan w:val="3"/>
            <w:shd w:val="clear" w:color="auto" w:fill="auto"/>
            <w:vAlign w:val="bottom"/>
          </w:tcPr>
          <w:p w14:paraId="74DD8E98" w14:textId="77777777" w:rsidR="00584EC1" w:rsidRDefault="00584EC1">
            <w:pPr>
              <w:rPr>
                <w:rFonts w:ascii="宋体"/>
                <w:vanish/>
              </w:rPr>
            </w:pPr>
          </w:p>
        </w:tc>
      </w:tr>
      <w:tr w:rsidR="00584EC1" w14:paraId="74DD8EA8" w14:textId="77777777">
        <w:tc>
          <w:tcPr>
            <w:tcW w:w="0" w:type="auto"/>
            <w:gridSpan w:val="3"/>
            <w:shd w:val="clear" w:color="auto" w:fill="CCEEFF"/>
            <w:tcMar>
              <w:top w:w="40" w:type="dxa"/>
              <w:left w:w="20" w:type="dxa"/>
              <w:bottom w:w="40" w:type="dxa"/>
              <w:right w:w="20" w:type="dxa"/>
            </w:tcMar>
            <w:vAlign w:val="bottom"/>
          </w:tcPr>
          <w:p w14:paraId="74DD8E9A" w14:textId="77777777" w:rsidR="00584EC1" w:rsidRDefault="00871F8D">
            <w:pPr>
              <w:textAlignment w:val="bottom"/>
            </w:pPr>
            <w:r>
              <w:rPr>
                <w:rFonts w:ascii="Arial" w:eastAsia="宋体" w:hAnsi="Arial" w:cs="Arial"/>
                <w:color w:val="000000"/>
                <w:sz w:val="14"/>
                <w:szCs w:val="14"/>
              </w:rPr>
              <w:t>Fund Finance</w:t>
            </w:r>
            <w:r>
              <w:rPr>
                <w:rFonts w:ascii="Arial" w:eastAsia="宋体" w:hAnsi="Arial" w:cs="Arial"/>
                <w:color w:val="000000"/>
                <w:sz w:val="9"/>
                <w:szCs w:val="9"/>
              </w:rPr>
              <w:t>(2)</w:t>
            </w:r>
          </w:p>
        </w:tc>
        <w:tc>
          <w:tcPr>
            <w:tcW w:w="0" w:type="auto"/>
            <w:shd w:val="clear" w:color="auto" w:fill="CCEEFF"/>
            <w:tcMar>
              <w:top w:w="40" w:type="dxa"/>
              <w:left w:w="20" w:type="dxa"/>
              <w:bottom w:w="40" w:type="dxa"/>
              <w:right w:w="0" w:type="dxa"/>
            </w:tcMar>
            <w:vAlign w:val="bottom"/>
          </w:tcPr>
          <w:p w14:paraId="74DD8E9B" w14:textId="77777777" w:rsidR="00584EC1" w:rsidRDefault="00871F8D">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4DD8E9C" w14:textId="77777777" w:rsidR="00584EC1" w:rsidRDefault="00871F8D">
            <w:pPr>
              <w:jc w:val="right"/>
              <w:textAlignment w:val="bottom"/>
            </w:pPr>
            <w:r>
              <w:rPr>
                <w:rFonts w:ascii="Arial" w:eastAsia="宋体" w:hAnsi="Arial" w:cs="Arial"/>
                <w:b/>
                <w:bCs/>
                <w:color w:val="000000"/>
                <w:sz w:val="14"/>
                <w:szCs w:val="14"/>
              </w:rPr>
              <w:t>12,367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8E9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E9E"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8E9F"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8EA0" w14:textId="77777777" w:rsidR="00584EC1" w:rsidRDefault="00871F8D">
            <w:pPr>
              <w:jc w:val="right"/>
              <w:textAlignment w:val="bottom"/>
            </w:pPr>
            <w:r>
              <w:rPr>
                <w:rFonts w:ascii="Arial" w:eastAsia="宋体" w:hAnsi="Arial" w:cs="Arial"/>
                <w:color w:val="000000"/>
                <w:sz w:val="14"/>
                <w:szCs w:val="14"/>
              </w:rPr>
              <w:t>11,531 </w:t>
            </w:r>
          </w:p>
        </w:tc>
        <w:tc>
          <w:tcPr>
            <w:tcW w:w="0" w:type="auto"/>
            <w:shd w:val="clear" w:color="auto" w:fill="CCEEFF"/>
            <w:tcMar>
              <w:top w:w="40" w:type="dxa"/>
              <w:left w:w="0" w:type="dxa"/>
              <w:bottom w:w="40" w:type="dxa"/>
              <w:right w:w="20" w:type="dxa"/>
            </w:tcMar>
            <w:vAlign w:val="bottom"/>
          </w:tcPr>
          <w:p w14:paraId="74DD8EA1" w14:textId="77777777" w:rsidR="00584EC1" w:rsidRDefault="00584EC1">
            <w:pPr>
              <w:jc w:val="right"/>
              <w:rPr>
                <w:rFonts w:ascii="宋体"/>
              </w:rPr>
            </w:pPr>
          </w:p>
        </w:tc>
        <w:tc>
          <w:tcPr>
            <w:tcW w:w="0" w:type="auto"/>
            <w:gridSpan w:val="3"/>
            <w:shd w:val="clear" w:color="auto" w:fill="auto"/>
            <w:vAlign w:val="bottom"/>
          </w:tcPr>
          <w:p w14:paraId="74DD8EA2" w14:textId="77777777" w:rsidR="00584EC1" w:rsidRDefault="00584EC1">
            <w:pPr>
              <w:rPr>
                <w:rFonts w:ascii="宋体"/>
                <w:vanish/>
              </w:rPr>
            </w:pPr>
          </w:p>
        </w:tc>
        <w:tc>
          <w:tcPr>
            <w:tcW w:w="0" w:type="auto"/>
            <w:gridSpan w:val="3"/>
            <w:shd w:val="clear" w:color="auto" w:fill="auto"/>
            <w:vAlign w:val="bottom"/>
          </w:tcPr>
          <w:p w14:paraId="74DD8EA3" w14:textId="77777777" w:rsidR="00584EC1" w:rsidRDefault="00584EC1">
            <w:pPr>
              <w:rPr>
                <w:rFonts w:ascii="宋体"/>
                <w:vanish/>
              </w:rPr>
            </w:pPr>
          </w:p>
        </w:tc>
        <w:tc>
          <w:tcPr>
            <w:tcW w:w="0" w:type="auto"/>
            <w:gridSpan w:val="3"/>
            <w:shd w:val="clear" w:color="auto" w:fill="auto"/>
            <w:vAlign w:val="bottom"/>
          </w:tcPr>
          <w:p w14:paraId="74DD8EA4" w14:textId="77777777" w:rsidR="00584EC1" w:rsidRDefault="00584EC1">
            <w:pPr>
              <w:rPr>
                <w:rFonts w:ascii="宋体"/>
                <w:vanish/>
              </w:rPr>
            </w:pPr>
          </w:p>
        </w:tc>
        <w:tc>
          <w:tcPr>
            <w:tcW w:w="0" w:type="auto"/>
            <w:gridSpan w:val="3"/>
            <w:shd w:val="clear" w:color="auto" w:fill="auto"/>
            <w:vAlign w:val="bottom"/>
          </w:tcPr>
          <w:p w14:paraId="74DD8EA5" w14:textId="77777777" w:rsidR="00584EC1" w:rsidRDefault="00584EC1">
            <w:pPr>
              <w:rPr>
                <w:rFonts w:ascii="宋体"/>
                <w:vanish/>
              </w:rPr>
            </w:pPr>
          </w:p>
        </w:tc>
        <w:tc>
          <w:tcPr>
            <w:tcW w:w="0" w:type="auto"/>
            <w:gridSpan w:val="3"/>
            <w:shd w:val="clear" w:color="auto" w:fill="auto"/>
            <w:vAlign w:val="bottom"/>
          </w:tcPr>
          <w:p w14:paraId="74DD8EA6" w14:textId="77777777" w:rsidR="00584EC1" w:rsidRDefault="00584EC1">
            <w:pPr>
              <w:rPr>
                <w:rFonts w:ascii="宋体"/>
                <w:vanish/>
              </w:rPr>
            </w:pPr>
          </w:p>
        </w:tc>
        <w:tc>
          <w:tcPr>
            <w:tcW w:w="0" w:type="auto"/>
            <w:gridSpan w:val="3"/>
            <w:shd w:val="clear" w:color="auto" w:fill="auto"/>
            <w:vAlign w:val="bottom"/>
          </w:tcPr>
          <w:p w14:paraId="74DD8EA7" w14:textId="77777777" w:rsidR="00584EC1" w:rsidRDefault="00584EC1">
            <w:pPr>
              <w:rPr>
                <w:rFonts w:ascii="宋体"/>
                <w:vanish/>
              </w:rPr>
            </w:pPr>
          </w:p>
        </w:tc>
      </w:tr>
      <w:tr w:rsidR="00584EC1" w14:paraId="74DD8EB5" w14:textId="77777777">
        <w:tc>
          <w:tcPr>
            <w:tcW w:w="0" w:type="auto"/>
            <w:gridSpan w:val="3"/>
            <w:shd w:val="clear" w:color="auto" w:fill="FFFFFF"/>
            <w:tcMar>
              <w:top w:w="40" w:type="dxa"/>
              <w:left w:w="20" w:type="dxa"/>
              <w:bottom w:w="40" w:type="dxa"/>
              <w:right w:w="20" w:type="dxa"/>
            </w:tcMar>
            <w:vAlign w:val="bottom"/>
          </w:tcPr>
          <w:p w14:paraId="74DD8EA9" w14:textId="77777777" w:rsidR="00584EC1" w:rsidRDefault="00871F8D">
            <w:pPr>
              <w:textAlignment w:val="bottom"/>
            </w:pPr>
            <w:r>
              <w:rPr>
                <w:rFonts w:ascii="Arial" w:eastAsia="宋体" w:hAnsi="Arial" w:cs="Arial"/>
                <w:color w:val="000000"/>
                <w:sz w:val="14"/>
                <w:szCs w:val="14"/>
              </w:rPr>
              <w:t>Leveraged loans</w:t>
            </w:r>
          </w:p>
        </w:tc>
        <w:tc>
          <w:tcPr>
            <w:tcW w:w="0" w:type="auto"/>
            <w:gridSpan w:val="2"/>
            <w:shd w:val="clear" w:color="auto" w:fill="FFFFFF"/>
            <w:tcMar>
              <w:top w:w="40" w:type="dxa"/>
              <w:left w:w="20" w:type="dxa"/>
              <w:bottom w:w="40" w:type="dxa"/>
              <w:right w:w="0" w:type="dxa"/>
            </w:tcMar>
            <w:vAlign w:val="bottom"/>
          </w:tcPr>
          <w:p w14:paraId="74DD8EAA" w14:textId="77777777" w:rsidR="00584EC1" w:rsidRDefault="00871F8D">
            <w:pPr>
              <w:jc w:val="right"/>
              <w:textAlignment w:val="bottom"/>
            </w:pPr>
            <w:r>
              <w:rPr>
                <w:rFonts w:ascii="Arial" w:eastAsia="宋体" w:hAnsi="Arial" w:cs="Arial"/>
                <w:b/>
                <w:bCs/>
                <w:color w:val="000000"/>
                <w:sz w:val="14"/>
                <w:szCs w:val="14"/>
              </w:rPr>
              <w:t>3,407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8EA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EA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EAD" w14:textId="77777777" w:rsidR="00584EC1" w:rsidRDefault="00871F8D">
            <w:pPr>
              <w:jc w:val="right"/>
              <w:textAlignment w:val="bottom"/>
            </w:pPr>
            <w:r>
              <w:rPr>
                <w:rFonts w:ascii="Arial" w:eastAsia="宋体" w:hAnsi="Arial" w:cs="Arial"/>
                <w:color w:val="000000"/>
                <w:sz w:val="14"/>
                <w:szCs w:val="14"/>
              </w:rPr>
              <w:t>2,923 </w:t>
            </w:r>
          </w:p>
        </w:tc>
        <w:tc>
          <w:tcPr>
            <w:tcW w:w="0" w:type="auto"/>
            <w:shd w:val="clear" w:color="auto" w:fill="FFFFFF"/>
            <w:tcMar>
              <w:top w:w="40" w:type="dxa"/>
              <w:left w:w="0" w:type="dxa"/>
              <w:bottom w:w="40" w:type="dxa"/>
              <w:right w:w="20" w:type="dxa"/>
            </w:tcMar>
            <w:vAlign w:val="bottom"/>
          </w:tcPr>
          <w:p w14:paraId="74DD8EAE" w14:textId="77777777" w:rsidR="00584EC1" w:rsidRDefault="00584EC1">
            <w:pPr>
              <w:jc w:val="right"/>
              <w:rPr>
                <w:rFonts w:ascii="宋体"/>
              </w:rPr>
            </w:pPr>
          </w:p>
        </w:tc>
        <w:tc>
          <w:tcPr>
            <w:tcW w:w="0" w:type="auto"/>
            <w:gridSpan w:val="3"/>
            <w:shd w:val="clear" w:color="auto" w:fill="auto"/>
            <w:vAlign w:val="bottom"/>
          </w:tcPr>
          <w:p w14:paraId="74DD8EAF" w14:textId="77777777" w:rsidR="00584EC1" w:rsidRDefault="00584EC1">
            <w:pPr>
              <w:rPr>
                <w:rFonts w:ascii="宋体"/>
                <w:vanish/>
              </w:rPr>
            </w:pPr>
          </w:p>
        </w:tc>
        <w:tc>
          <w:tcPr>
            <w:tcW w:w="0" w:type="auto"/>
            <w:gridSpan w:val="3"/>
            <w:shd w:val="clear" w:color="auto" w:fill="auto"/>
            <w:vAlign w:val="bottom"/>
          </w:tcPr>
          <w:p w14:paraId="74DD8EB0" w14:textId="77777777" w:rsidR="00584EC1" w:rsidRDefault="00584EC1">
            <w:pPr>
              <w:rPr>
                <w:rFonts w:ascii="宋体"/>
                <w:vanish/>
              </w:rPr>
            </w:pPr>
          </w:p>
        </w:tc>
        <w:tc>
          <w:tcPr>
            <w:tcW w:w="0" w:type="auto"/>
            <w:gridSpan w:val="3"/>
            <w:shd w:val="clear" w:color="auto" w:fill="auto"/>
            <w:vAlign w:val="bottom"/>
          </w:tcPr>
          <w:p w14:paraId="74DD8EB1" w14:textId="77777777" w:rsidR="00584EC1" w:rsidRDefault="00584EC1">
            <w:pPr>
              <w:rPr>
                <w:rFonts w:ascii="宋体"/>
                <w:vanish/>
              </w:rPr>
            </w:pPr>
          </w:p>
        </w:tc>
        <w:tc>
          <w:tcPr>
            <w:tcW w:w="0" w:type="auto"/>
            <w:gridSpan w:val="3"/>
            <w:shd w:val="clear" w:color="auto" w:fill="auto"/>
            <w:vAlign w:val="bottom"/>
          </w:tcPr>
          <w:p w14:paraId="74DD8EB2" w14:textId="77777777" w:rsidR="00584EC1" w:rsidRDefault="00584EC1">
            <w:pPr>
              <w:rPr>
                <w:rFonts w:ascii="宋体"/>
                <w:vanish/>
              </w:rPr>
            </w:pPr>
          </w:p>
        </w:tc>
        <w:tc>
          <w:tcPr>
            <w:tcW w:w="0" w:type="auto"/>
            <w:gridSpan w:val="3"/>
            <w:shd w:val="clear" w:color="auto" w:fill="auto"/>
            <w:vAlign w:val="bottom"/>
          </w:tcPr>
          <w:p w14:paraId="74DD8EB3" w14:textId="77777777" w:rsidR="00584EC1" w:rsidRDefault="00584EC1">
            <w:pPr>
              <w:rPr>
                <w:rFonts w:ascii="宋体"/>
                <w:vanish/>
              </w:rPr>
            </w:pPr>
          </w:p>
        </w:tc>
        <w:tc>
          <w:tcPr>
            <w:tcW w:w="0" w:type="auto"/>
            <w:gridSpan w:val="3"/>
            <w:shd w:val="clear" w:color="auto" w:fill="auto"/>
            <w:vAlign w:val="bottom"/>
          </w:tcPr>
          <w:p w14:paraId="74DD8EB4" w14:textId="77777777" w:rsidR="00584EC1" w:rsidRDefault="00584EC1">
            <w:pPr>
              <w:rPr>
                <w:rFonts w:ascii="宋体"/>
                <w:vanish/>
              </w:rPr>
            </w:pPr>
          </w:p>
        </w:tc>
      </w:tr>
      <w:tr w:rsidR="00584EC1" w14:paraId="74DD8EC0" w14:textId="77777777">
        <w:trPr>
          <w:hidden/>
        </w:trPr>
        <w:tc>
          <w:tcPr>
            <w:tcW w:w="0" w:type="auto"/>
            <w:gridSpan w:val="3"/>
            <w:shd w:val="clear" w:color="auto" w:fill="auto"/>
            <w:vAlign w:val="bottom"/>
          </w:tcPr>
          <w:p w14:paraId="74DD8EB6" w14:textId="77777777" w:rsidR="00584EC1" w:rsidRDefault="00584EC1">
            <w:pPr>
              <w:rPr>
                <w:rFonts w:ascii="宋体"/>
                <w:vanish/>
              </w:rPr>
            </w:pPr>
          </w:p>
        </w:tc>
        <w:tc>
          <w:tcPr>
            <w:tcW w:w="0" w:type="auto"/>
            <w:gridSpan w:val="3"/>
            <w:shd w:val="clear" w:color="auto" w:fill="auto"/>
            <w:vAlign w:val="bottom"/>
          </w:tcPr>
          <w:p w14:paraId="74DD8EB7" w14:textId="77777777" w:rsidR="00584EC1" w:rsidRDefault="00584EC1">
            <w:pPr>
              <w:rPr>
                <w:rFonts w:ascii="宋体"/>
                <w:vanish/>
              </w:rPr>
            </w:pPr>
          </w:p>
        </w:tc>
        <w:tc>
          <w:tcPr>
            <w:tcW w:w="0" w:type="auto"/>
            <w:gridSpan w:val="3"/>
            <w:shd w:val="clear" w:color="auto" w:fill="auto"/>
            <w:vAlign w:val="bottom"/>
          </w:tcPr>
          <w:p w14:paraId="74DD8EB8" w14:textId="77777777" w:rsidR="00584EC1" w:rsidRDefault="00584EC1">
            <w:pPr>
              <w:rPr>
                <w:rFonts w:ascii="宋体"/>
                <w:vanish/>
              </w:rPr>
            </w:pPr>
          </w:p>
        </w:tc>
        <w:tc>
          <w:tcPr>
            <w:tcW w:w="0" w:type="auto"/>
            <w:gridSpan w:val="3"/>
            <w:shd w:val="clear" w:color="auto" w:fill="auto"/>
            <w:vAlign w:val="bottom"/>
          </w:tcPr>
          <w:p w14:paraId="74DD8EB9" w14:textId="77777777" w:rsidR="00584EC1" w:rsidRDefault="00584EC1">
            <w:pPr>
              <w:rPr>
                <w:rFonts w:ascii="宋体"/>
                <w:vanish/>
              </w:rPr>
            </w:pPr>
          </w:p>
        </w:tc>
        <w:tc>
          <w:tcPr>
            <w:tcW w:w="0" w:type="auto"/>
            <w:gridSpan w:val="3"/>
            <w:shd w:val="clear" w:color="auto" w:fill="auto"/>
            <w:vAlign w:val="bottom"/>
          </w:tcPr>
          <w:p w14:paraId="74DD8EBA" w14:textId="77777777" w:rsidR="00584EC1" w:rsidRDefault="00584EC1">
            <w:pPr>
              <w:rPr>
                <w:rFonts w:ascii="宋体"/>
                <w:vanish/>
              </w:rPr>
            </w:pPr>
          </w:p>
        </w:tc>
        <w:tc>
          <w:tcPr>
            <w:tcW w:w="0" w:type="auto"/>
            <w:gridSpan w:val="3"/>
            <w:shd w:val="clear" w:color="auto" w:fill="auto"/>
            <w:vAlign w:val="bottom"/>
          </w:tcPr>
          <w:p w14:paraId="74DD8EBB" w14:textId="77777777" w:rsidR="00584EC1" w:rsidRDefault="00584EC1">
            <w:pPr>
              <w:rPr>
                <w:rFonts w:ascii="宋体"/>
                <w:vanish/>
              </w:rPr>
            </w:pPr>
          </w:p>
        </w:tc>
        <w:tc>
          <w:tcPr>
            <w:tcW w:w="0" w:type="auto"/>
            <w:gridSpan w:val="3"/>
            <w:shd w:val="clear" w:color="auto" w:fill="auto"/>
            <w:vAlign w:val="bottom"/>
          </w:tcPr>
          <w:p w14:paraId="74DD8EBC" w14:textId="77777777" w:rsidR="00584EC1" w:rsidRDefault="00584EC1">
            <w:pPr>
              <w:rPr>
                <w:rFonts w:ascii="宋体"/>
                <w:vanish/>
              </w:rPr>
            </w:pPr>
          </w:p>
        </w:tc>
        <w:tc>
          <w:tcPr>
            <w:tcW w:w="0" w:type="auto"/>
            <w:gridSpan w:val="3"/>
            <w:shd w:val="clear" w:color="auto" w:fill="auto"/>
            <w:vAlign w:val="bottom"/>
          </w:tcPr>
          <w:p w14:paraId="74DD8EBD" w14:textId="77777777" w:rsidR="00584EC1" w:rsidRDefault="00584EC1">
            <w:pPr>
              <w:rPr>
                <w:rFonts w:ascii="宋体"/>
                <w:vanish/>
              </w:rPr>
            </w:pPr>
          </w:p>
        </w:tc>
        <w:tc>
          <w:tcPr>
            <w:tcW w:w="0" w:type="auto"/>
            <w:gridSpan w:val="3"/>
            <w:shd w:val="clear" w:color="auto" w:fill="auto"/>
            <w:vAlign w:val="bottom"/>
          </w:tcPr>
          <w:p w14:paraId="74DD8EBE" w14:textId="77777777" w:rsidR="00584EC1" w:rsidRDefault="00584EC1">
            <w:pPr>
              <w:rPr>
                <w:rFonts w:ascii="宋体"/>
                <w:vanish/>
              </w:rPr>
            </w:pPr>
          </w:p>
        </w:tc>
        <w:tc>
          <w:tcPr>
            <w:tcW w:w="0" w:type="auto"/>
            <w:gridSpan w:val="3"/>
            <w:shd w:val="clear" w:color="auto" w:fill="auto"/>
            <w:vAlign w:val="bottom"/>
          </w:tcPr>
          <w:p w14:paraId="74DD8EBF" w14:textId="77777777" w:rsidR="00584EC1" w:rsidRDefault="00584EC1">
            <w:pPr>
              <w:rPr>
                <w:rFonts w:ascii="宋体"/>
                <w:vanish/>
              </w:rPr>
            </w:pPr>
          </w:p>
        </w:tc>
      </w:tr>
      <w:tr w:rsidR="00584EC1" w14:paraId="74DD8ECD" w14:textId="77777777">
        <w:tc>
          <w:tcPr>
            <w:tcW w:w="0" w:type="auto"/>
            <w:gridSpan w:val="3"/>
            <w:shd w:val="clear" w:color="auto" w:fill="CCEEFF"/>
            <w:tcMar>
              <w:top w:w="40" w:type="dxa"/>
              <w:left w:w="20" w:type="dxa"/>
              <w:bottom w:w="40" w:type="dxa"/>
              <w:right w:w="20" w:type="dxa"/>
            </w:tcMar>
            <w:vAlign w:val="bottom"/>
          </w:tcPr>
          <w:p w14:paraId="74DD8EC1" w14:textId="77777777" w:rsidR="00584EC1" w:rsidRDefault="00871F8D">
            <w:pPr>
              <w:textAlignment w:val="bottom"/>
            </w:pPr>
            <w:r>
              <w:rPr>
                <w:rFonts w:ascii="Arial" w:eastAsia="宋体" w:hAnsi="Arial" w:cs="Arial"/>
                <w:color w:val="000000"/>
                <w:sz w:val="14"/>
                <w:szCs w:val="14"/>
              </w:rPr>
              <w:t>Overdrafts</w:t>
            </w:r>
          </w:p>
        </w:tc>
        <w:tc>
          <w:tcPr>
            <w:tcW w:w="0" w:type="auto"/>
            <w:gridSpan w:val="2"/>
            <w:shd w:val="clear" w:color="auto" w:fill="CCEEFF"/>
            <w:tcMar>
              <w:top w:w="40" w:type="dxa"/>
              <w:left w:w="20" w:type="dxa"/>
              <w:bottom w:w="40" w:type="dxa"/>
              <w:right w:w="0" w:type="dxa"/>
            </w:tcMar>
            <w:vAlign w:val="bottom"/>
          </w:tcPr>
          <w:p w14:paraId="74DD8EC2" w14:textId="77777777" w:rsidR="00584EC1" w:rsidRDefault="00871F8D">
            <w:pPr>
              <w:jc w:val="right"/>
              <w:textAlignment w:val="bottom"/>
            </w:pPr>
            <w:r>
              <w:rPr>
                <w:rFonts w:ascii="Arial" w:eastAsia="宋体" w:hAnsi="Arial" w:cs="Arial"/>
                <w:b/>
                <w:bCs/>
                <w:color w:val="000000"/>
                <w:sz w:val="14"/>
                <w:szCs w:val="14"/>
              </w:rPr>
              <w:t>2,352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8EC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EC4"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EC5" w14:textId="77777777" w:rsidR="00584EC1" w:rsidRDefault="00871F8D">
            <w:pPr>
              <w:jc w:val="right"/>
              <w:textAlignment w:val="bottom"/>
            </w:pPr>
            <w:r>
              <w:rPr>
                <w:rFonts w:ascii="Arial" w:eastAsia="宋体" w:hAnsi="Arial" w:cs="Arial"/>
                <w:color w:val="000000"/>
                <w:sz w:val="14"/>
                <w:szCs w:val="14"/>
              </w:rPr>
              <w:t>1,894 </w:t>
            </w:r>
          </w:p>
        </w:tc>
        <w:tc>
          <w:tcPr>
            <w:tcW w:w="0" w:type="auto"/>
            <w:shd w:val="clear" w:color="auto" w:fill="CCEEFF"/>
            <w:tcMar>
              <w:top w:w="40" w:type="dxa"/>
              <w:left w:w="0" w:type="dxa"/>
              <w:bottom w:w="40" w:type="dxa"/>
              <w:right w:w="20" w:type="dxa"/>
            </w:tcMar>
            <w:vAlign w:val="bottom"/>
          </w:tcPr>
          <w:p w14:paraId="74DD8EC6" w14:textId="77777777" w:rsidR="00584EC1" w:rsidRDefault="00584EC1">
            <w:pPr>
              <w:jc w:val="right"/>
              <w:rPr>
                <w:rFonts w:ascii="宋体"/>
              </w:rPr>
            </w:pPr>
          </w:p>
        </w:tc>
        <w:tc>
          <w:tcPr>
            <w:tcW w:w="0" w:type="auto"/>
            <w:gridSpan w:val="3"/>
            <w:shd w:val="clear" w:color="auto" w:fill="auto"/>
            <w:vAlign w:val="bottom"/>
          </w:tcPr>
          <w:p w14:paraId="74DD8EC7" w14:textId="77777777" w:rsidR="00584EC1" w:rsidRDefault="00584EC1">
            <w:pPr>
              <w:rPr>
                <w:rFonts w:ascii="宋体"/>
                <w:vanish/>
              </w:rPr>
            </w:pPr>
          </w:p>
        </w:tc>
        <w:tc>
          <w:tcPr>
            <w:tcW w:w="0" w:type="auto"/>
            <w:gridSpan w:val="3"/>
            <w:shd w:val="clear" w:color="auto" w:fill="auto"/>
            <w:vAlign w:val="bottom"/>
          </w:tcPr>
          <w:p w14:paraId="74DD8EC8" w14:textId="77777777" w:rsidR="00584EC1" w:rsidRDefault="00584EC1">
            <w:pPr>
              <w:rPr>
                <w:rFonts w:ascii="宋体"/>
                <w:vanish/>
              </w:rPr>
            </w:pPr>
          </w:p>
        </w:tc>
        <w:tc>
          <w:tcPr>
            <w:tcW w:w="0" w:type="auto"/>
            <w:gridSpan w:val="3"/>
            <w:shd w:val="clear" w:color="auto" w:fill="auto"/>
            <w:vAlign w:val="bottom"/>
          </w:tcPr>
          <w:p w14:paraId="74DD8EC9" w14:textId="77777777" w:rsidR="00584EC1" w:rsidRDefault="00584EC1">
            <w:pPr>
              <w:rPr>
                <w:rFonts w:ascii="宋体"/>
                <w:vanish/>
              </w:rPr>
            </w:pPr>
          </w:p>
        </w:tc>
        <w:tc>
          <w:tcPr>
            <w:tcW w:w="0" w:type="auto"/>
            <w:gridSpan w:val="3"/>
            <w:shd w:val="clear" w:color="auto" w:fill="auto"/>
            <w:vAlign w:val="bottom"/>
          </w:tcPr>
          <w:p w14:paraId="74DD8ECA" w14:textId="77777777" w:rsidR="00584EC1" w:rsidRDefault="00584EC1">
            <w:pPr>
              <w:rPr>
                <w:rFonts w:ascii="宋体"/>
                <w:vanish/>
              </w:rPr>
            </w:pPr>
          </w:p>
        </w:tc>
        <w:tc>
          <w:tcPr>
            <w:tcW w:w="0" w:type="auto"/>
            <w:gridSpan w:val="3"/>
            <w:shd w:val="clear" w:color="auto" w:fill="auto"/>
            <w:vAlign w:val="bottom"/>
          </w:tcPr>
          <w:p w14:paraId="74DD8ECB" w14:textId="77777777" w:rsidR="00584EC1" w:rsidRDefault="00584EC1">
            <w:pPr>
              <w:rPr>
                <w:rFonts w:ascii="宋体"/>
                <w:vanish/>
              </w:rPr>
            </w:pPr>
          </w:p>
        </w:tc>
        <w:tc>
          <w:tcPr>
            <w:tcW w:w="0" w:type="auto"/>
            <w:gridSpan w:val="3"/>
            <w:shd w:val="clear" w:color="auto" w:fill="auto"/>
            <w:vAlign w:val="bottom"/>
          </w:tcPr>
          <w:p w14:paraId="74DD8ECC" w14:textId="77777777" w:rsidR="00584EC1" w:rsidRDefault="00584EC1">
            <w:pPr>
              <w:rPr>
                <w:rFonts w:ascii="宋体"/>
                <w:vanish/>
              </w:rPr>
            </w:pPr>
          </w:p>
        </w:tc>
      </w:tr>
      <w:tr w:rsidR="00584EC1" w14:paraId="74DD8EDA" w14:textId="77777777">
        <w:tc>
          <w:tcPr>
            <w:tcW w:w="0" w:type="auto"/>
            <w:gridSpan w:val="3"/>
            <w:shd w:val="clear" w:color="auto" w:fill="FFFFFF"/>
            <w:tcMar>
              <w:top w:w="40" w:type="dxa"/>
              <w:left w:w="20" w:type="dxa"/>
              <w:bottom w:w="40" w:type="dxa"/>
              <w:right w:w="20" w:type="dxa"/>
            </w:tcMar>
            <w:vAlign w:val="bottom"/>
          </w:tcPr>
          <w:p w14:paraId="74DD8ECE" w14:textId="77777777" w:rsidR="00584EC1" w:rsidRDefault="00871F8D">
            <w:pPr>
              <w:textAlignment w:val="bottom"/>
            </w:pPr>
            <w:r>
              <w:rPr>
                <w:rFonts w:ascii="Arial" w:eastAsia="宋体" w:hAnsi="Arial" w:cs="Arial"/>
                <w:color w:val="000000"/>
                <w:sz w:val="14"/>
                <w:szCs w:val="14"/>
              </w:rPr>
              <w:t>Other</w:t>
            </w:r>
            <w:r>
              <w:rPr>
                <w:rFonts w:ascii="Arial" w:eastAsia="宋体" w:hAnsi="Arial" w:cs="Arial"/>
                <w:color w:val="000000"/>
                <w:sz w:val="9"/>
                <w:szCs w:val="9"/>
              </w:rPr>
              <w:t>(3)</w:t>
            </w:r>
          </w:p>
        </w:tc>
        <w:tc>
          <w:tcPr>
            <w:tcW w:w="0" w:type="auto"/>
            <w:gridSpan w:val="2"/>
            <w:shd w:val="clear" w:color="auto" w:fill="FFFFFF"/>
            <w:tcMar>
              <w:top w:w="40" w:type="dxa"/>
              <w:left w:w="20" w:type="dxa"/>
              <w:bottom w:w="40" w:type="dxa"/>
              <w:right w:w="0" w:type="dxa"/>
            </w:tcMar>
            <w:vAlign w:val="bottom"/>
          </w:tcPr>
          <w:p w14:paraId="74DD8ECF" w14:textId="77777777" w:rsidR="00584EC1" w:rsidRDefault="00871F8D">
            <w:pPr>
              <w:jc w:val="right"/>
              <w:textAlignment w:val="bottom"/>
            </w:pPr>
            <w:r>
              <w:rPr>
                <w:rFonts w:ascii="Arial" w:eastAsia="宋体" w:hAnsi="Arial" w:cs="Arial"/>
                <w:b/>
                <w:bCs/>
                <w:color w:val="000000"/>
                <w:sz w:val="14"/>
                <w:szCs w:val="14"/>
              </w:rPr>
              <w:t>2,140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8ED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ED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ED2" w14:textId="77777777" w:rsidR="00584EC1" w:rsidRDefault="00871F8D">
            <w:pPr>
              <w:jc w:val="right"/>
              <w:textAlignment w:val="bottom"/>
            </w:pPr>
            <w:r>
              <w:rPr>
                <w:rFonts w:ascii="Arial" w:eastAsia="宋体" w:hAnsi="Arial" w:cs="Arial"/>
                <w:color w:val="000000"/>
                <w:sz w:val="14"/>
                <w:szCs w:val="14"/>
              </w:rPr>
              <w:t>2,688 </w:t>
            </w:r>
          </w:p>
        </w:tc>
        <w:tc>
          <w:tcPr>
            <w:tcW w:w="0" w:type="auto"/>
            <w:shd w:val="clear" w:color="auto" w:fill="FFFFFF"/>
            <w:tcMar>
              <w:top w:w="40" w:type="dxa"/>
              <w:left w:w="0" w:type="dxa"/>
              <w:bottom w:w="40" w:type="dxa"/>
              <w:right w:w="20" w:type="dxa"/>
            </w:tcMar>
            <w:vAlign w:val="bottom"/>
          </w:tcPr>
          <w:p w14:paraId="74DD8ED3" w14:textId="77777777" w:rsidR="00584EC1" w:rsidRDefault="00584EC1">
            <w:pPr>
              <w:jc w:val="right"/>
              <w:rPr>
                <w:rFonts w:ascii="宋体"/>
              </w:rPr>
            </w:pPr>
          </w:p>
        </w:tc>
        <w:tc>
          <w:tcPr>
            <w:tcW w:w="0" w:type="auto"/>
            <w:gridSpan w:val="3"/>
            <w:shd w:val="clear" w:color="auto" w:fill="auto"/>
            <w:vAlign w:val="bottom"/>
          </w:tcPr>
          <w:p w14:paraId="74DD8ED4" w14:textId="77777777" w:rsidR="00584EC1" w:rsidRDefault="00584EC1">
            <w:pPr>
              <w:rPr>
                <w:rFonts w:ascii="宋体"/>
                <w:vanish/>
              </w:rPr>
            </w:pPr>
          </w:p>
        </w:tc>
        <w:tc>
          <w:tcPr>
            <w:tcW w:w="0" w:type="auto"/>
            <w:gridSpan w:val="3"/>
            <w:shd w:val="clear" w:color="auto" w:fill="auto"/>
            <w:vAlign w:val="bottom"/>
          </w:tcPr>
          <w:p w14:paraId="74DD8ED5" w14:textId="77777777" w:rsidR="00584EC1" w:rsidRDefault="00584EC1">
            <w:pPr>
              <w:rPr>
                <w:rFonts w:ascii="宋体"/>
                <w:vanish/>
              </w:rPr>
            </w:pPr>
          </w:p>
        </w:tc>
        <w:tc>
          <w:tcPr>
            <w:tcW w:w="0" w:type="auto"/>
            <w:gridSpan w:val="3"/>
            <w:shd w:val="clear" w:color="auto" w:fill="auto"/>
            <w:vAlign w:val="bottom"/>
          </w:tcPr>
          <w:p w14:paraId="74DD8ED6" w14:textId="77777777" w:rsidR="00584EC1" w:rsidRDefault="00584EC1">
            <w:pPr>
              <w:rPr>
                <w:rFonts w:ascii="宋体"/>
                <w:vanish/>
              </w:rPr>
            </w:pPr>
          </w:p>
        </w:tc>
        <w:tc>
          <w:tcPr>
            <w:tcW w:w="0" w:type="auto"/>
            <w:gridSpan w:val="3"/>
            <w:shd w:val="clear" w:color="auto" w:fill="auto"/>
            <w:vAlign w:val="bottom"/>
          </w:tcPr>
          <w:p w14:paraId="74DD8ED7" w14:textId="77777777" w:rsidR="00584EC1" w:rsidRDefault="00584EC1">
            <w:pPr>
              <w:rPr>
                <w:rFonts w:ascii="宋体"/>
                <w:vanish/>
              </w:rPr>
            </w:pPr>
          </w:p>
        </w:tc>
        <w:tc>
          <w:tcPr>
            <w:tcW w:w="0" w:type="auto"/>
            <w:gridSpan w:val="3"/>
            <w:shd w:val="clear" w:color="auto" w:fill="auto"/>
            <w:vAlign w:val="bottom"/>
          </w:tcPr>
          <w:p w14:paraId="74DD8ED8" w14:textId="77777777" w:rsidR="00584EC1" w:rsidRDefault="00584EC1">
            <w:pPr>
              <w:rPr>
                <w:rFonts w:ascii="宋体"/>
                <w:vanish/>
              </w:rPr>
            </w:pPr>
          </w:p>
        </w:tc>
        <w:tc>
          <w:tcPr>
            <w:tcW w:w="0" w:type="auto"/>
            <w:gridSpan w:val="3"/>
            <w:shd w:val="clear" w:color="auto" w:fill="auto"/>
            <w:vAlign w:val="bottom"/>
          </w:tcPr>
          <w:p w14:paraId="74DD8ED9" w14:textId="77777777" w:rsidR="00584EC1" w:rsidRDefault="00584EC1">
            <w:pPr>
              <w:rPr>
                <w:rFonts w:ascii="宋体"/>
                <w:vanish/>
              </w:rPr>
            </w:pPr>
          </w:p>
        </w:tc>
      </w:tr>
      <w:tr w:rsidR="00584EC1" w14:paraId="74DD8EE7" w14:textId="77777777">
        <w:tc>
          <w:tcPr>
            <w:tcW w:w="0" w:type="auto"/>
            <w:gridSpan w:val="3"/>
            <w:shd w:val="clear" w:color="auto" w:fill="CCEEFF"/>
            <w:tcMar>
              <w:top w:w="40" w:type="dxa"/>
              <w:left w:w="20" w:type="dxa"/>
              <w:bottom w:w="40" w:type="dxa"/>
              <w:right w:w="20" w:type="dxa"/>
            </w:tcMar>
            <w:vAlign w:val="bottom"/>
          </w:tcPr>
          <w:p w14:paraId="74DD8EDB" w14:textId="77777777" w:rsidR="00584EC1" w:rsidRDefault="00871F8D">
            <w:pPr>
              <w:textAlignment w:val="bottom"/>
            </w:pPr>
            <w:r>
              <w:rPr>
                <w:rFonts w:ascii="Arial" w:eastAsia="宋体" w:hAnsi="Arial" w:cs="Arial"/>
                <w:color w:val="000000"/>
                <w:sz w:val="14"/>
                <w:szCs w:val="14"/>
              </w:rPr>
              <w:t>Commercial real estate</w:t>
            </w:r>
          </w:p>
        </w:tc>
        <w:tc>
          <w:tcPr>
            <w:tcW w:w="0" w:type="auto"/>
            <w:gridSpan w:val="2"/>
            <w:shd w:val="clear" w:color="auto" w:fill="CCEEFF"/>
            <w:tcMar>
              <w:top w:w="40" w:type="dxa"/>
              <w:left w:w="20" w:type="dxa"/>
              <w:bottom w:w="40" w:type="dxa"/>
              <w:right w:w="0" w:type="dxa"/>
            </w:tcMar>
            <w:vAlign w:val="bottom"/>
          </w:tcPr>
          <w:p w14:paraId="74DD8EDC" w14:textId="77777777" w:rsidR="00584EC1" w:rsidRDefault="00871F8D">
            <w:pPr>
              <w:jc w:val="right"/>
              <w:textAlignment w:val="bottom"/>
            </w:pPr>
            <w:r>
              <w:rPr>
                <w:rFonts w:ascii="Arial" w:eastAsia="宋体" w:hAnsi="Arial" w:cs="Arial"/>
                <w:b/>
                <w:bCs/>
                <w:color w:val="000000"/>
                <w:sz w:val="14"/>
                <w:szCs w:val="14"/>
              </w:rPr>
              <w:t>2,384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8ED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EDE"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EDF" w14:textId="77777777" w:rsidR="00584EC1" w:rsidRDefault="00871F8D">
            <w:pPr>
              <w:jc w:val="right"/>
              <w:textAlignment w:val="bottom"/>
            </w:pPr>
            <w:r>
              <w:rPr>
                <w:rFonts w:ascii="Arial" w:eastAsia="宋体" w:hAnsi="Arial" w:cs="Arial"/>
                <w:color w:val="000000"/>
                <w:sz w:val="14"/>
                <w:szCs w:val="14"/>
              </w:rPr>
              <w:t>2,096 </w:t>
            </w:r>
          </w:p>
        </w:tc>
        <w:tc>
          <w:tcPr>
            <w:tcW w:w="0" w:type="auto"/>
            <w:shd w:val="clear" w:color="auto" w:fill="CCEEFF"/>
            <w:tcMar>
              <w:top w:w="40" w:type="dxa"/>
              <w:left w:w="0" w:type="dxa"/>
              <w:bottom w:w="40" w:type="dxa"/>
              <w:right w:w="20" w:type="dxa"/>
            </w:tcMar>
            <w:vAlign w:val="bottom"/>
          </w:tcPr>
          <w:p w14:paraId="74DD8EE0" w14:textId="77777777" w:rsidR="00584EC1" w:rsidRDefault="00584EC1">
            <w:pPr>
              <w:jc w:val="right"/>
              <w:rPr>
                <w:rFonts w:ascii="宋体"/>
              </w:rPr>
            </w:pPr>
          </w:p>
        </w:tc>
        <w:tc>
          <w:tcPr>
            <w:tcW w:w="0" w:type="auto"/>
            <w:gridSpan w:val="3"/>
            <w:shd w:val="clear" w:color="auto" w:fill="auto"/>
            <w:vAlign w:val="bottom"/>
          </w:tcPr>
          <w:p w14:paraId="74DD8EE1" w14:textId="77777777" w:rsidR="00584EC1" w:rsidRDefault="00584EC1">
            <w:pPr>
              <w:rPr>
                <w:rFonts w:ascii="宋体"/>
                <w:vanish/>
              </w:rPr>
            </w:pPr>
          </w:p>
        </w:tc>
        <w:tc>
          <w:tcPr>
            <w:tcW w:w="0" w:type="auto"/>
            <w:gridSpan w:val="3"/>
            <w:shd w:val="clear" w:color="auto" w:fill="auto"/>
            <w:vAlign w:val="bottom"/>
          </w:tcPr>
          <w:p w14:paraId="74DD8EE2" w14:textId="77777777" w:rsidR="00584EC1" w:rsidRDefault="00584EC1">
            <w:pPr>
              <w:rPr>
                <w:rFonts w:ascii="宋体"/>
                <w:vanish/>
              </w:rPr>
            </w:pPr>
          </w:p>
        </w:tc>
        <w:tc>
          <w:tcPr>
            <w:tcW w:w="0" w:type="auto"/>
            <w:gridSpan w:val="3"/>
            <w:shd w:val="clear" w:color="auto" w:fill="auto"/>
            <w:vAlign w:val="bottom"/>
          </w:tcPr>
          <w:p w14:paraId="74DD8EE3" w14:textId="77777777" w:rsidR="00584EC1" w:rsidRDefault="00584EC1">
            <w:pPr>
              <w:rPr>
                <w:rFonts w:ascii="宋体"/>
                <w:vanish/>
              </w:rPr>
            </w:pPr>
          </w:p>
        </w:tc>
        <w:tc>
          <w:tcPr>
            <w:tcW w:w="0" w:type="auto"/>
            <w:gridSpan w:val="3"/>
            <w:shd w:val="clear" w:color="auto" w:fill="auto"/>
            <w:vAlign w:val="bottom"/>
          </w:tcPr>
          <w:p w14:paraId="74DD8EE4" w14:textId="77777777" w:rsidR="00584EC1" w:rsidRDefault="00584EC1">
            <w:pPr>
              <w:rPr>
                <w:rFonts w:ascii="宋体"/>
                <w:vanish/>
              </w:rPr>
            </w:pPr>
          </w:p>
        </w:tc>
        <w:tc>
          <w:tcPr>
            <w:tcW w:w="0" w:type="auto"/>
            <w:gridSpan w:val="3"/>
            <w:shd w:val="clear" w:color="auto" w:fill="auto"/>
            <w:vAlign w:val="bottom"/>
          </w:tcPr>
          <w:p w14:paraId="74DD8EE5" w14:textId="77777777" w:rsidR="00584EC1" w:rsidRDefault="00584EC1">
            <w:pPr>
              <w:rPr>
                <w:rFonts w:ascii="宋体"/>
                <w:vanish/>
              </w:rPr>
            </w:pPr>
          </w:p>
        </w:tc>
        <w:tc>
          <w:tcPr>
            <w:tcW w:w="0" w:type="auto"/>
            <w:gridSpan w:val="3"/>
            <w:shd w:val="clear" w:color="auto" w:fill="auto"/>
            <w:vAlign w:val="bottom"/>
          </w:tcPr>
          <w:p w14:paraId="74DD8EE6" w14:textId="77777777" w:rsidR="00584EC1" w:rsidRDefault="00584EC1">
            <w:pPr>
              <w:rPr>
                <w:rFonts w:ascii="宋体"/>
                <w:vanish/>
              </w:rPr>
            </w:pPr>
          </w:p>
        </w:tc>
      </w:tr>
      <w:tr w:rsidR="00584EC1" w14:paraId="74DD8EF2" w14:textId="77777777">
        <w:trPr>
          <w:hidden/>
        </w:trPr>
        <w:tc>
          <w:tcPr>
            <w:tcW w:w="0" w:type="auto"/>
            <w:gridSpan w:val="3"/>
            <w:shd w:val="clear" w:color="auto" w:fill="auto"/>
            <w:vAlign w:val="bottom"/>
          </w:tcPr>
          <w:p w14:paraId="74DD8EE8" w14:textId="77777777" w:rsidR="00584EC1" w:rsidRDefault="00584EC1">
            <w:pPr>
              <w:rPr>
                <w:rFonts w:ascii="宋体"/>
                <w:vanish/>
              </w:rPr>
            </w:pPr>
          </w:p>
        </w:tc>
        <w:tc>
          <w:tcPr>
            <w:tcW w:w="0" w:type="auto"/>
            <w:gridSpan w:val="3"/>
            <w:shd w:val="clear" w:color="auto" w:fill="auto"/>
            <w:vAlign w:val="bottom"/>
          </w:tcPr>
          <w:p w14:paraId="74DD8EE9" w14:textId="77777777" w:rsidR="00584EC1" w:rsidRDefault="00584EC1">
            <w:pPr>
              <w:rPr>
                <w:rFonts w:ascii="宋体"/>
                <w:vanish/>
              </w:rPr>
            </w:pPr>
          </w:p>
        </w:tc>
        <w:tc>
          <w:tcPr>
            <w:tcW w:w="0" w:type="auto"/>
            <w:gridSpan w:val="3"/>
            <w:shd w:val="clear" w:color="auto" w:fill="auto"/>
            <w:vAlign w:val="bottom"/>
          </w:tcPr>
          <w:p w14:paraId="74DD8EEA" w14:textId="77777777" w:rsidR="00584EC1" w:rsidRDefault="00584EC1">
            <w:pPr>
              <w:rPr>
                <w:rFonts w:ascii="宋体"/>
                <w:vanish/>
              </w:rPr>
            </w:pPr>
          </w:p>
        </w:tc>
        <w:tc>
          <w:tcPr>
            <w:tcW w:w="0" w:type="auto"/>
            <w:gridSpan w:val="3"/>
            <w:shd w:val="clear" w:color="auto" w:fill="auto"/>
            <w:vAlign w:val="bottom"/>
          </w:tcPr>
          <w:p w14:paraId="74DD8EEB" w14:textId="77777777" w:rsidR="00584EC1" w:rsidRDefault="00584EC1">
            <w:pPr>
              <w:rPr>
                <w:rFonts w:ascii="宋体"/>
                <w:vanish/>
              </w:rPr>
            </w:pPr>
          </w:p>
        </w:tc>
        <w:tc>
          <w:tcPr>
            <w:tcW w:w="0" w:type="auto"/>
            <w:gridSpan w:val="3"/>
            <w:shd w:val="clear" w:color="auto" w:fill="auto"/>
            <w:vAlign w:val="bottom"/>
          </w:tcPr>
          <w:p w14:paraId="74DD8EEC" w14:textId="77777777" w:rsidR="00584EC1" w:rsidRDefault="00584EC1">
            <w:pPr>
              <w:rPr>
                <w:rFonts w:ascii="宋体"/>
                <w:vanish/>
              </w:rPr>
            </w:pPr>
          </w:p>
        </w:tc>
        <w:tc>
          <w:tcPr>
            <w:tcW w:w="0" w:type="auto"/>
            <w:gridSpan w:val="3"/>
            <w:shd w:val="clear" w:color="auto" w:fill="auto"/>
            <w:vAlign w:val="bottom"/>
          </w:tcPr>
          <w:p w14:paraId="74DD8EED" w14:textId="77777777" w:rsidR="00584EC1" w:rsidRDefault="00584EC1">
            <w:pPr>
              <w:rPr>
                <w:rFonts w:ascii="宋体"/>
                <w:vanish/>
              </w:rPr>
            </w:pPr>
          </w:p>
        </w:tc>
        <w:tc>
          <w:tcPr>
            <w:tcW w:w="0" w:type="auto"/>
            <w:gridSpan w:val="3"/>
            <w:shd w:val="clear" w:color="auto" w:fill="auto"/>
            <w:vAlign w:val="bottom"/>
          </w:tcPr>
          <w:p w14:paraId="74DD8EEE" w14:textId="77777777" w:rsidR="00584EC1" w:rsidRDefault="00584EC1">
            <w:pPr>
              <w:rPr>
                <w:rFonts w:ascii="宋体"/>
                <w:vanish/>
              </w:rPr>
            </w:pPr>
          </w:p>
        </w:tc>
        <w:tc>
          <w:tcPr>
            <w:tcW w:w="0" w:type="auto"/>
            <w:gridSpan w:val="3"/>
            <w:shd w:val="clear" w:color="auto" w:fill="auto"/>
            <w:vAlign w:val="bottom"/>
          </w:tcPr>
          <w:p w14:paraId="74DD8EEF" w14:textId="77777777" w:rsidR="00584EC1" w:rsidRDefault="00584EC1">
            <w:pPr>
              <w:rPr>
                <w:rFonts w:ascii="宋体"/>
                <w:vanish/>
              </w:rPr>
            </w:pPr>
          </w:p>
        </w:tc>
        <w:tc>
          <w:tcPr>
            <w:tcW w:w="0" w:type="auto"/>
            <w:gridSpan w:val="3"/>
            <w:shd w:val="clear" w:color="auto" w:fill="auto"/>
            <w:vAlign w:val="bottom"/>
          </w:tcPr>
          <w:p w14:paraId="74DD8EF0" w14:textId="77777777" w:rsidR="00584EC1" w:rsidRDefault="00584EC1">
            <w:pPr>
              <w:rPr>
                <w:rFonts w:ascii="宋体"/>
                <w:vanish/>
              </w:rPr>
            </w:pPr>
          </w:p>
        </w:tc>
        <w:tc>
          <w:tcPr>
            <w:tcW w:w="0" w:type="auto"/>
            <w:gridSpan w:val="3"/>
            <w:shd w:val="clear" w:color="auto" w:fill="auto"/>
            <w:vAlign w:val="bottom"/>
          </w:tcPr>
          <w:p w14:paraId="74DD8EF1" w14:textId="77777777" w:rsidR="00584EC1" w:rsidRDefault="00584EC1">
            <w:pPr>
              <w:rPr>
                <w:rFonts w:ascii="宋体"/>
                <w:vanish/>
              </w:rPr>
            </w:pPr>
          </w:p>
        </w:tc>
      </w:tr>
      <w:tr w:rsidR="00584EC1" w14:paraId="74DD8EFF" w14:textId="77777777">
        <w:tc>
          <w:tcPr>
            <w:tcW w:w="0" w:type="auto"/>
            <w:gridSpan w:val="3"/>
            <w:shd w:val="clear" w:color="auto" w:fill="FFFFFF"/>
            <w:tcMar>
              <w:top w:w="40" w:type="dxa"/>
              <w:left w:w="20" w:type="dxa"/>
              <w:bottom w:w="40" w:type="dxa"/>
              <w:right w:w="20" w:type="dxa"/>
            </w:tcMar>
            <w:vAlign w:val="bottom"/>
          </w:tcPr>
          <w:p w14:paraId="74DD8EF3" w14:textId="77777777" w:rsidR="00584EC1" w:rsidRDefault="00871F8D">
            <w:pPr>
              <w:textAlignment w:val="bottom"/>
            </w:pPr>
            <w:r>
              <w:rPr>
                <w:rFonts w:ascii="Arial" w:eastAsia="宋体" w:hAnsi="Arial" w:cs="Arial"/>
                <w:color w:val="000000"/>
                <w:sz w:val="14"/>
                <w:szCs w:val="14"/>
              </w:rPr>
              <w:t>Total domestic</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8EF4" w14:textId="77777777" w:rsidR="00584EC1" w:rsidRDefault="00871F8D">
            <w:pPr>
              <w:jc w:val="right"/>
              <w:textAlignment w:val="bottom"/>
            </w:pPr>
            <w:r>
              <w:rPr>
                <w:rFonts w:ascii="Arial" w:eastAsia="宋体" w:hAnsi="Arial" w:cs="Arial"/>
                <w:b/>
                <w:bCs/>
                <w:color w:val="000000"/>
                <w:sz w:val="14"/>
                <w:szCs w:val="14"/>
              </w:rPr>
              <w:t>22,650</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8EF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EF6"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8EF7" w14:textId="77777777" w:rsidR="00584EC1" w:rsidRDefault="00871F8D">
            <w:pPr>
              <w:jc w:val="right"/>
              <w:textAlignment w:val="bottom"/>
            </w:pPr>
            <w:r>
              <w:rPr>
                <w:rFonts w:ascii="Arial" w:eastAsia="宋体" w:hAnsi="Arial" w:cs="Arial"/>
                <w:color w:val="000000"/>
                <w:sz w:val="14"/>
                <w:szCs w:val="14"/>
              </w:rPr>
              <w:t>21,132 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8EF8" w14:textId="77777777" w:rsidR="00584EC1" w:rsidRDefault="00584EC1">
            <w:pPr>
              <w:jc w:val="right"/>
              <w:rPr>
                <w:rFonts w:ascii="宋体"/>
              </w:rPr>
            </w:pPr>
          </w:p>
        </w:tc>
        <w:tc>
          <w:tcPr>
            <w:tcW w:w="0" w:type="auto"/>
            <w:gridSpan w:val="3"/>
            <w:shd w:val="clear" w:color="auto" w:fill="auto"/>
            <w:vAlign w:val="bottom"/>
          </w:tcPr>
          <w:p w14:paraId="74DD8EF9" w14:textId="77777777" w:rsidR="00584EC1" w:rsidRDefault="00584EC1">
            <w:pPr>
              <w:rPr>
                <w:rFonts w:ascii="宋体"/>
                <w:vanish/>
              </w:rPr>
            </w:pPr>
          </w:p>
        </w:tc>
        <w:tc>
          <w:tcPr>
            <w:tcW w:w="0" w:type="auto"/>
            <w:gridSpan w:val="3"/>
            <w:shd w:val="clear" w:color="auto" w:fill="auto"/>
            <w:vAlign w:val="bottom"/>
          </w:tcPr>
          <w:p w14:paraId="74DD8EFA" w14:textId="77777777" w:rsidR="00584EC1" w:rsidRDefault="00584EC1">
            <w:pPr>
              <w:rPr>
                <w:rFonts w:ascii="宋体"/>
                <w:vanish/>
              </w:rPr>
            </w:pPr>
          </w:p>
        </w:tc>
        <w:tc>
          <w:tcPr>
            <w:tcW w:w="0" w:type="auto"/>
            <w:gridSpan w:val="3"/>
            <w:shd w:val="clear" w:color="auto" w:fill="auto"/>
            <w:vAlign w:val="bottom"/>
          </w:tcPr>
          <w:p w14:paraId="74DD8EFB" w14:textId="77777777" w:rsidR="00584EC1" w:rsidRDefault="00584EC1">
            <w:pPr>
              <w:rPr>
                <w:rFonts w:ascii="宋体"/>
                <w:vanish/>
              </w:rPr>
            </w:pPr>
          </w:p>
        </w:tc>
        <w:tc>
          <w:tcPr>
            <w:tcW w:w="0" w:type="auto"/>
            <w:gridSpan w:val="3"/>
            <w:shd w:val="clear" w:color="auto" w:fill="auto"/>
            <w:vAlign w:val="bottom"/>
          </w:tcPr>
          <w:p w14:paraId="74DD8EFC" w14:textId="77777777" w:rsidR="00584EC1" w:rsidRDefault="00584EC1">
            <w:pPr>
              <w:rPr>
                <w:rFonts w:ascii="宋体"/>
                <w:vanish/>
              </w:rPr>
            </w:pPr>
          </w:p>
        </w:tc>
        <w:tc>
          <w:tcPr>
            <w:tcW w:w="0" w:type="auto"/>
            <w:gridSpan w:val="3"/>
            <w:shd w:val="clear" w:color="auto" w:fill="auto"/>
            <w:vAlign w:val="bottom"/>
          </w:tcPr>
          <w:p w14:paraId="74DD8EFD" w14:textId="77777777" w:rsidR="00584EC1" w:rsidRDefault="00584EC1">
            <w:pPr>
              <w:rPr>
                <w:rFonts w:ascii="宋体"/>
                <w:vanish/>
              </w:rPr>
            </w:pPr>
          </w:p>
        </w:tc>
        <w:tc>
          <w:tcPr>
            <w:tcW w:w="0" w:type="auto"/>
            <w:gridSpan w:val="3"/>
            <w:shd w:val="clear" w:color="auto" w:fill="auto"/>
            <w:vAlign w:val="bottom"/>
          </w:tcPr>
          <w:p w14:paraId="74DD8EFE" w14:textId="77777777" w:rsidR="00584EC1" w:rsidRDefault="00584EC1">
            <w:pPr>
              <w:rPr>
                <w:rFonts w:ascii="宋体"/>
                <w:vanish/>
              </w:rPr>
            </w:pPr>
          </w:p>
        </w:tc>
      </w:tr>
      <w:tr w:rsidR="00584EC1" w14:paraId="74DD8F0A" w14:textId="77777777">
        <w:tc>
          <w:tcPr>
            <w:tcW w:w="0" w:type="auto"/>
            <w:gridSpan w:val="3"/>
            <w:shd w:val="clear" w:color="auto" w:fill="CCEEFF"/>
            <w:tcMar>
              <w:top w:w="40" w:type="dxa"/>
              <w:left w:w="20" w:type="dxa"/>
              <w:bottom w:w="40" w:type="dxa"/>
              <w:right w:w="20" w:type="dxa"/>
            </w:tcMar>
            <w:vAlign w:val="bottom"/>
          </w:tcPr>
          <w:p w14:paraId="74DD8F00" w14:textId="77777777" w:rsidR="00584EC1" w:rsidRDefault="00871F8D">
            <w:pPr>
              <w:textAlignment w:val="bottom"/>
            </w:pPr>
            <w:r>
              <w:rPr>
                <w:rFonts w:ascii="Arial" w:eastAsia="宋体" w:hAnsi="Arial" w:cs="Arial"/>
                <w:b/>
                <w:bCs/>
                <w:color w:val="000000"/>
                <w:sz w:val="14"/>
                <w:szCs w:val="14"/>
              </w:rPr>
              <w:t>Foreign</w:t>
            </w:r>
            <w:r>
              <w:rPr>
                <w:rFonts w:ascii="Arial" w:eastAsia="宋体" w:hAnsi="Arial" w:cs="Arial"/>
                <w:b/>
                <w:bCs/>
                <w:color w:val="000000"/>
                <w:sz w:val="9"/>
                <w:szCs w:val="9"/>
              </w:rPr>
              <w:t>(1)</w:t>
            </w:r>
            <w:r>
              <w:rPr>
                <w:rFonts w:ascii="Arial" w:eastAsia="宋体" w:hAnsi="Arial" w:cs="Arial"/>
                <w:b/>
                <w:bCs/>
                <w:color w:val="000000"/>
                <w:sz w:val="14"/>
                <w:szCs w:val="14"/>
              </w:rPr>
              <w:t>:</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4DD8F01"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8F02" w14:textId="77777777" w:rsidR="00584EC1" w:rsidRDefault="00584EC1">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4DD8F03" w14:textId="77777777" w:rsidR="00584EC1" w:rsidRDefault="00584EC1">
            <w:pPr>
              <w:rPr>
                <w:rFonts w:ascii="宋体"/>
              </w:rPr>
            </w:pPr>
          </w:p>
        </w:tc>
        <w:tc>
          <w:tcPr>
            <w:tcW w:w="0" w:type="auto"/>
            <w:gridSpan w:val="3"/>
            <w:shd w:val="clear" w:color="auto" w:fill="auto"/>
            <w:vAlign w:val="bottom"/>
          </w:tcPr>
          <w:p w14:paraId="74DD8F04" w14:textId="77777777" w:rsidR="00584EC1" w:rsidRDefault="00584EC1">
            <w:pPr>
              <w:rPr>
                <w:rFonts w:ascii="宋体"/>
                <w:vanish/>
              </w:rPr>
            </w:pPr>
          </w:p>
        </w:tc>
        <w:tc>
          <w:tcPr>
            <w:tcW w:w="0" w:type="auto"/>
            <w:gridSpan w:val="3"/>
            <w:shd w:val="clear" w:color="auto" w:fill="auto"/>
            <w:vAlign w:val="bottom"/>
          </w:tcPr>
          <w:p w14:paraId="74DD8F05" w14:textId="77777777" w:rsidR="00584EC1" w:rsidRDefault="00584EC1">
            <w:pPr>
              <w:rPr>
                <w:rFonts w:ascii="宋体"/>
                <w:vanish/>
              </w:rPr>
            </w:pPr>
          </w:p>
        </w:tc>
        <w:tc>
          <w:tcPr>
            <w:tcW w:w="0" w:type="auto"/>
            <w:gridSpan w:val="3"/>
            <w:shd w:val="clear" w:color="auto" w:fill="auto"/>
            <w:vAlign w:val="bottom"/>
          </w:tcPr>
          <w:p w14:paraId="74DD8F06" w14:textId="77777777" w:rsidR="00584EC1" w:rsidRDefault="00584EC1">
            <w:pPr>
              <w:rPr>
                <w:rFonts w:ascii="宋体"/>
                <w:vanish/>
              </w:rPr>
            </w:pPr>
          </w:p>
        </w:tc>
        <w:tc>
          <w:tcPr>
            <w:tcW w:w="0" w:type="auto"/>
            <w:gridSpan w:val="3"/>
            <w:shd w:val="clear" w:color="auto" w:fill="auto"/>
            <w:vAlign w:val="bottom"/>
          </w:tcPr>
          <w:p w14:paraId="74DD8F07" w14:textId="77777777" w:rsidR="00584EC1" w:rsidRDefault="00584EC1">
            <w:pPr>
              <w:rPr>
                <w:rFonts w:ascii="宋体"/>
                <w:vanish/>
              </w:rPr>
            </w:pPr>
          </w:p>
        </w:tc>
        <w:tc>
          <w:tcPr>
            <w:tcW w:w="0" w:type="auto"/>
            <w:gridSpan w:val="3"/>
            <w:shd w:val="clear" w:color="auto" w:fill="auto"/>
            <w:vAlign w:val="bottom"/>
          </w:tcPr>
          <w:p w14:paraId="74DD8F08" w14:textId="77777777" w:rsidR="00584EC1" w:rsidRDefault="00584EC1">
            <w:pPr>
              <w:rPr>
                <w:rFonts w:ascii="宋体"/>
                <w:vanish/>
              </w:rPr>
            </w:pPr>
          </w:p>
        </w:tc>
        <w:tc>
          <w:tcPr>
            <w:tcW w:w="0" w:type="auto"/>
            <w:gridSpan w:val="3"/>
            <w:shd w:val="clear" w:color="auto" w:fill="auto"/>
            <w:vAlign w:val="bottom"/>
          </w:tcPr>
          <w:p w14:paraId="74DD8F09" w14:textId="77777777" w:rsidR="00584EC1" w:rsidRDefault="00584EC1">
            <w:pPr>
              <w:rPr>
                <w:rFonts w:ascii="宋体"/>
                <w:vanish/>
              </w:rPr>
            </w:pPr>
          </w:p>
        </w:tc>
      </w:tr>
      <w:tr w:rsidR="00584EC1" w14:paraId="74DD8F15" w14:textId="77777777">
        <w:tc>
          <w:tcPr>
            <w:tcW w:w="0" w:type="auto"/>
            <w:gridSpan w:val="3"/>
            <w:shd w:val="clear" w:color="auto" w:fill="FFFFFF"/>
            <w:tcMar>
              <w:top w:w="40" w:type="dxa"/>
              <w:left w:w="20" w:type="dxa"/>
              <w:bottom w:w="40" w:type="dxa"/>
              <w:right w:w="20" w:type="dxa"/>
            </w:tcMar>
            <w:vAlign w:val="bottom"/>
          </w:tcPr>
          <w:p w14:paraId="74DD8F0B" w14:textId="77777777" w:rsidR="00584EC1" w:rsidRDefault="00871F8D">
            <w:pPr>
              <w:textAlignment w:val="bottom"/>
            </w:pPr>
            <w:r>
              <w:rPr>
                <w:rFonts w:ascii="Arial" w:eastAsia="宋体" w:hAnsi="Arial" w:cs="Arial"/>
                <w:color w:val="000000"/>
                <w:sz w:val="14"/>
                <w:szCs w:val="14"/>
              </w:rPr>
              <w:t>Commercial and financial:</w:t>
            </w:r>
          </w:p>
        </w:tc>
        <w:tc>
          <w:tcPr>
            <w:tcW w:w="0" w:type="auto"/>
            <w:gridSpan w:val="3"/>
            <w:shd w:val="clear" w:color="auto" w:fill="FFFFFF"/>
            <w:tcMar>
              <w:top w:w="0" w:type="dxa"/>
              <w:left w:w="20" w:type="dxa"/>
              <w:bottom w:w="0" w:type="dxa"/>
              <w:right w:w="20" w:type="dxa"/>
            </w:tcMar>
            <w:vAlign w:val="bottom"/>
          </w:tcPr>
          <w:p w14:paraId="74DD8F0C"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8F0D"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8F0E" w14:textId="77777777" w:rsidR="00584EC1" w:rsidRDefault="00584EC1">
            <w:pPr>
              <w:rPr>
                <w:rFonts w:ascii="宋体"/>
              </w:rPr>
            </w:pPr>
          </w:p>
        </w:tc>
        <w:tc>
          <w:tcPr>
            <w:tcW w:w="0" w:type="auto"/>
            <w:gridSpan w:val="3"/>
            <w:shd w:val="clear" w:color="auto" w:fill="auto"/>
            <w:vAlign w:val="bottom"/>
          </w:tcPr>
          <w:p w14:paraId="74DD8F0F" w14:textId="77777777" w:rsidR="00584EC1" w:rsidRDefault="00584EC1">
            <w:pPr>
              <w:rPr>
                <w:rFonts w:ascii="宋体"/>
                <w:vanish/>
              </w:rPr>
            </w:pPr>
          </w:p>
        </w:tc>
        <w:tc>
          <w:tcPr>
            <w:tcW w:w="0" w:type="auto"/>
            <w:gridSpan w:val="3"/>
            <w:shd w:val="clear" w:color="auto" w:fill="auto"/>
            <w:vAlign w:val="bottom"/>
          </w:tcPr>
          <w:p w14:paraId="74DD8F10" w14:textId="77777777" w:rsidR="00584EC1" w:rsidRDefault="00584EC1">
            <w:pPr>
              <w:rPr>
                <w:rFonts w:ascii="宋体"/>
                <w:vanish/>
              </w:rPr>
            </w:pPr>
          </w:p>
        </w:tc>
        <w:tc>
          <w:tcPr>
            <w:tcW w:w="0" w:type="auto"/>
            <w:gridSpan w:val="3"/>
            <w:shd w:val="clear" w:color="auto" w:fill="auto"/>
            <w:vAlign w:val="bottom"/>
          </w:tcPr>
          <w:p w14:paraId="74DD8F11" w14:textId="77777777" w:rsidR="00584EC1" w:rsidRDefault="00584EC1">
            <w:pPr>
              <w:rPr>
                <w:rFonts w:ascii="宋体"/>
                <w:vanish/>
              </w:rPr>
            </w:pPr>
          </w:p>
        </w:tc>
        <w:tc>
          <w:tcPr>
            <w:tcW w:w="0" w:type="auto"/>
            <w:gridSpan w:val="3"/>
            <w:shd w:val="clear" w:color="auto" w:fill="auto"/>
            <w:vAlign w:val="bottom"/>
          </w:tcPr>
          <w:p w14:paraId="74DD8F12" w14:textId="77777777" w:rsidR="00584EC1" w:rsidRDefault="00584EC1">
            <w:pPr>
              <w:rPr>
                <w:rFonts w:ascii="宋体"/>
                <w:vanish/>
              </w:rPr>
            </w:pPr>
          </w:p>
        </w:tc>
        <w:tc>
          <w:tcPr>
            <w:tcW w:w="0" w:type="auto"/>
            <w:gridSpan w:val="3"/>
            <w:shd w:val="clear" w:color="auto" w:fill="auto"/>
            <w:vAlign w:val="bottom"/>
          </w:tcPr>
          <w:p w14:paraId="74DD8F13" w14:textId="77777777" w:rsidR="00584EC1" w:rsidRDefault="00584EC1">
            <w:pPr>
              <w:rPr>
                <w:rFonts w:ascii="宋体"/>
                <w:vanish/>
              </w:rPr>
            </w:pPr>
          </w:p>
        </w:tc>
        <w:tc>
          <w:tcPr>
            <w:tcW w:w="0" w:type="auto"/>
            <w:gridSpan w:val="3"/>
            <w:shd w:val="clear" w:color="auto" w:fill="auto"/>
            <w:vAlign w:val="bottom"/>
          </w:tcPr>
          <w:p w14:paraId="74DD8F14" w14:textId="77777777" w:rsidR="00584EC1" w:rsidRDefault="00584EC1">
            <w:pPr>
              <w:rPr>
                <w:rFonts w:ascii="宋体"/>
                <w:vanish/>
              </w:rPr>
            </w:pPr>
          </w:p>
        </w:tc>
      </w:tr>
      <w:tr w:rsidR="00584EC1" w14:paraId="74DD8F22" w14:textId="77777777">
        <w:tc>
          <w:tcPr>
            <w:tcW w:w="0" w:type="auto"/>
            <w:gridSpan w:val="3"/>
            <w:shd w:val="clear" w:color="auto" w:fill="CCEEFF"/>
            <w:tcMar>
              <w:top w:w="40" w:type="dxa"/>
              <w:left w:w="20" w:type="dxa"/>
              <w:bottom w:w="40" w:type="dxa"/>
              <w:right w:w="20" w:type="dxa"/>
            </w:tcMar>
            <w:vAlign w:val="bottom"/>
          </w:tcPr>
          <w:p w14:paraId="74DD8F16" w14:textId="77777777" w:rsidR="00584EC1" w:rsidRDefault="00871F8D">
            <w:pPr>
              <w:textAlignment w:val="bottom"/>
            </w:pPr>
            <w:r>
              <w:rPr>
                <w:rFonts w:ascii="Arial" w:eastAsia="宋体" w:hAnsi="Arial" w:cs="Arial"/>
                <w:color w:val="000000"/>
                <w:sz w:val="14"/>
                <w:szCs w:val="14"/>
              </w:rPr>
              <w:t xml:space="preserve">Fund </w:t>
            </w:r>
            <w:r>
              <w:rPr>
                <w:rFonts w:ascii="Arial" w:eastAsia="宋体" w:hAnsi="Arial" w:cs="Arial"/>
                <w:color w:val="000000"/>
                <w:sz w:val="14"/>
                <w:szCs w:val="14"/>
              </w:rPr>
              <w:t>Finance</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74DD8F17" w14:textId="77777777" w:rsidR="00584EC1" w:rsidRDefault="00871F8D">
            <w:pPr>
              <w:jc w:val="right"/>
              <w:textAlignment w:val="bottom"/>
            </w:pPr>
            <w:r>
              <w:rPr>
                <w:rFonts w:ascii="Arial" w:eastAsia="宋体" w:hAnsi="Arial" w:cs="Arial"/>
                <w:b/>
                <w:bCs/>
                <w:color w:val="000000"/>
                <w:sz w:val="14"/>
                <w:szCs w:val="14"/>
              </w:rPr>
              <w:t>7,368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8F1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F1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F1A" w14:textId="77777777" w:rsidR="00584EC1" w:rsidRDefault="00871F8D">
            <w:pPr>
              <w:jc w:val="right"/>
              <w:textAlignment w:val="bottom"/>
            </w:pPr>
            <w:r>
              <w:rPr>
                <w:rFonts w:ascii="Arial" w:eastAsia="宋体" w:hAnsi="Arial" w:cs="Arial"/>
                <w:color w:val="000000"/>
                <w:sz w:val="14"/>
                <w:szCs w:val="14"/>
              </w:rPr>
              <w:t>4,432 </w:t>
            </w:r>
          </w:p>
        </w:tc>
        <w:tc>
          <w:tcPr>
            <w:tcW w:w="0" w:type="auto"/>
            <w:shd w:val="clear" w:color="auto" w:fill="CCEEFF"/>
            <w:tcMar>
              <w:top w:w="40" w:type="dxa"/>
              <w:left w:w="0" w:type="dxa"/>
              <w:bottom w:w="40" w:type="dxa"/>
              <w:right w:w="20" w:type="dxa"/>
            </w:tcMar>
            <w:vAlign w:val="bottom"/>
          </w:tcPr>
          <w:p w14:paraId="74DD8F1B" w14:textId="77777777" w:rsidR="00584EC1" w:rsidRDefault="00584EC1">
            <w:pPr>
              <w:jc w:val="right"/>
              <w:rPr>
                <w:rFonts w:ascii="宋体"/>
              </w:rPr>
            </w:pPr>
          </w:p>
        </w:tc>
        <w:tc>
          <w:tcPr>
            <w:tcW w:w="0" w:type="auto"/>
            <w:gridSpan w:val="3"/>
            <w:shd w:val="clear" w:color="auto" w:fill="auto"/>
            <w:vAlign w:val="bottom"/>
          </w:tcPr>
          <w:p w14:paraId="74DD8F1C" w14:textId="77777777" w:rsidR="00584EC1" w:rsidRDefault="00584EC1">
            <w:pPr>
              <w:rPr>
                <w:rFonts w:ascii="宋体"/>
                <w:vanish/>
              </w:rPr>
            </w:pPr>
          </w:p>
        </w:tc>
        <w:tc>
          <w:tcPr>
            <w:tcW w:w="0" w:type="auto"/>
            <w:gridSpan w:val="3"/>
            <w:shd w:val="clear" w:color="auto" w:fill="auto"/>
            <w:vAlign w:val="bottom"/>
          </w:tcPr>
          <w:p w14:paraId="74DD8F1D" w14:textId="77777777" w:rsidR="00584EC1" w:rsidRDefault="00584EC1">
            <w:pPr>
              <w:rPr>
                <w:rFonts w:ascii="宋体"/>
                <w:vanish/>
              </w:rPr>
            </w:pPr>
          </w:p>
        </w:tc>
        <w:tc>
          <w:tcPr>
            <w:tcW w:w="0" w:type="auto"/>
            <w:gridSpan w:val="3"/>
            <w:shd w:val="clear" w:color="auto" w:fill="auto"/>
            <w:vAlign w:val="bottom"/>
          </w:tcPr>
          <w:p w14:paraId="74DD8F1E" w14:textId="77777777" w:rsidR="00584EC1" w:rsidRDefault="00584EC1">
            <w:pPr>
              <w:rPr>
                <w:rFonts w:ascii="宋体"/>
                <w:vanish/>
              </w:rPr>
            </w:pPr>
          </w:p>
        </w:tc>
        <w:tc>
          <w:tcPr>
            <w:tcW w:w="0" w:type="auto"/>
            <w:gridSpan w:val="3"/>
            <w:shd w:val="clear" w:color="auto" w:fill="auto"/>
            <w:vAlign w:val="bottom"/>
          </w:tcPr>
          <w:p w14:paraId="74DD8F1F" w14:textId="77777777" w:rsidR="00584EC1" w:rsidRDefault="00584EC1">
            <w:pPr>
              <w:rPr>
                <w:rFonts w:ascii="宋体"/>
                <w:vanish/>
              </w:rPr>
            </w:pPr>
          </w:p>
        </w:tc>
        <w:tc>
          <w:tcPr>
            <w:tcW w:w="0" w:type="auto"/>
            <w:gridSpan w:val="3"/>
            <w:shd w:val="clear" w:color="auto" w:fill="auto"/>
            <w:vAlign w:val="bottom"/>
          </w:tcPr>
          <w:p w14:paraId="74DD8F20" w14:textId="77777777" w:rsidR="00584EC1" w:rsidRDefault="00584EC1">
            <w:pPr>
              <w:rPr>
                <w:rFonts w:ascii="宋体"/>
                <w:vanish/>
              </w:rPr>
            </w:pPr>
          </w:p>
        </w:tc>
        <w:tc>
          <w:tcPr>
            <w:tcW w:w="0" w:type="auto"/>
            <w:gridSpan w:val="3"/>
            <w:shd w:val="clear" w:color="auto" w:fill="auto"/>
            <w:vAlign w:val="bottom"/>
          </w:tcPr>
          <w:p w14:paraId="74DD8F21" w14:textId="77777777" w:rsidR="00584EC1" w:rsidRDefault="00584EC1">
            <w:pPr>
              <w:rPr>
                <w:rFonts w:ascii="宋体"/>
                <w:vanish/>
              </w:rPr>
            </w:pPr>
          </w:p>
        </w:tc>
      </w:tr>
      <w:tr w:rsidR="00584EC1" w14:paraId="74DD8F2F" w14:textId="77777777">
        <w:tc>
          <w:tcPr>
            <w:tcW w:w="0" w:type="auto"/>
            <w:gridSpan w:val="3"/>
            <w:shd w:val="clear" w:color="auto" w:fill="FFFFFF"/>
            <w:tcMar>
              <w:top w:w="40" w:type="dxa"/>
              <w:left w:w="20" w:type="dxa"/>
              <w:bottom w:w="40" w:type="dxa"/>
              <w:right w:w="20" w:type="dxa"/>
            </w:tcMar>
            <w:vAlign w:val="bottom"/>
          </w:tcPr>
          <w:p w14:paraId="74DD8F23" w14:textId="77777777" w:rsidR="00584EC1" w:rsidRDefault="00871F8D">
            <w:pPr>
              <w:textAlignment w:val="bottom"/>
            </w:pPr>
            <w:r>
              <w:rPr>
                <w:rFonts w:ascii="Arial" w:eastAsia="宋体" w:hAnsi="Arial" w:cs="Arial"/>
                <w:color w:val="000000"/>
                <w:sz w:val="14"/>
                <w:szCs w:val="14"/>
              </w:rPr>
              <w:t>Leveraged loans</w:t>
            </w:r>
          </w:p>
        </w:tc>
        <w:tc>
          <w:tcPr>
            <w:tcW w:w="0" w:type="auto"/>
            <w:gridSpan w:val="2"/>
            <w:shd w:val="clear" w:color="auto" w:fill="FFFFFF"/>
            <w:tcMar>
              <w:top w:w="40" w:type="dxa"/>
              <w:left w:w="20" w:type="dxa"/>
              <w:bottom w:w="40" w:type="dxa"/>
              <w:right w:w="0" w:type="dxa"/>
            </w:tcMar>
            <w:vAlign w:val="bottom"/>
          </w:tcPr>
          <w:p w14:paraId="74DD8F24" w14:textId="77777777" w:rsidR="00584EC1" w:rsidRDefault="00871F8D">
            <w:pPr>
              <w:jc w:val="right"/>
              <w:textAlignment w:val="bottom"/>
            </w:pPr>
            <w:r>
              <w:rPr>
                <w:rFonts w:ascii="Arial" w:eastAsia="宋体" w:hAnsi="Arial" w:cs="Arial"/>
                <w:b/>
                <w:bCs/>
                <w:color w:val="000000"/>
                <w:sz w:val="14"/>
                <w:szCs w:val="14"/>
              </w:rPr>
              <w:t>1,317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8F2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F2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F27" w14:textId="77777777" w:rsidR="00584EC1" w:rsidRDefault="00871F8D">
            <w:pPr>
              <w:jc w:val="right"/>
              <w:textAlignment w:val="bottom"/>
            </w:pPr>
            <w:r>
              <w:rPr>
                <w:rFonts w:ascii="Arial" w:eastAsia="宋体" w:hAnsi="Arial" w:cs="Arial"/>
                <w:color w:val="000000"/>
                <w:sz w:val="14"/>
                <w:szCs w:val="14"/>
              </w:rPr>
              <w:t>1,242 </w:t>
            </w:r>
          </w:p>
        </w:tc>
        <w:tc>
          <w:tcPr>
            <w:tcW w:w="0" w:type="auto"/>
            <w:shd w:val="clear" w:color="auto" w:fill="FFFFFF"/>
            <w:tcMar>
              <w:top w:w="40" w:type="dxa"/>
              <w:left w:w="0" w:type="dxa"/>
              <w:bottom w:w="40" w:type="dxa"/>
              <w:right w:w="20" w:type="dxa"/>
            </w:tcMar>
            <w:vAlign w:val="bottom"/>
          </w:tcPr>
          <w:p w14:paraId="74DD8F28" w14:textId="77777777" w:rsidR="00584EC1" w:rsidRDefault="00584EC1">
            <w:pPr>
              <w:jc w:val="right"/>
              <w:rPr>
                <w:rFonts w:ascii="宋体"/>
              </w:rPr>
            </w:pPr>
          </w:p>
        </w:tc>
        <w:tc>
          <w:tcPr>
            <w:tcW w:w="0" w:type="auto"/>
            <w:gridSpan w:val="3"/>
            <w:shd w:val="clear" w:color="auto" w:fill="auto"/>
            <w:vAlign w:val="bottom"/>
          </w:tcPr>
          <w:p w14:paraId="74DD8F29" w14:textId="77777777" w:rsidR="00584EC1" w:rsidRDefault="00584EC1">
            <w:pPr>
              <w:rPr>
                <w:rFonts w:ascii="宋体"/>
                <w:vanish/>
              </w:rPr>
            </w:pPr>
          </w:p>
        </w:tc>
        <w:tc>
          <w:tcPr>
            <w:tcW w:w="0" w:type="auto"/>
            <w:gridSpan w:val="3"/>
            <w:shd w:val="clear" w:color="auto" w:fill="auto"/>
            <w:vAlign w:val="bottom"/>
          </w:tcPr>
          <w:p w14:paraId="74DD8F2A" w14:textId="77777777" w:rsidR="00584EC1" w:rsidRDefault="00584EC1">
            <w:pPr>
              <w:rPr>
                <w:rFonts w:ascii="宋体"/>
                <w:vanish/>
              </w:rPr>
            </w:pPr>
          </w:p>
        </w:tc>
        <w:tc>
          <w:tcPr>
            <w:tcW w:w="0" w:type="auto"/>
            <w:gridSpan w:val="3"/>
            <w:shd w:val="clear" w:color="auto" w:fill="auto"/>
            <w:vAlign w:val="bottom"/>
          </w:tcPr>
          <w:p w14:paraId="74DD8F2B" w14:textId="77777777" w:rsidR="00584EC1" w:rsidRDefault="00584EC1">
            <w:pPr>
              <w:rPr>
                <w:rFonts w:ascii="宋体"/>
                <w:vanish/>
              </w:rPr>
            </w:pPr>
          </w:p>
        </w:tc>
        <w:tc>
          <w:tcPr>
            <w:tcW w:w="0" w:type="auto"/>
            <w:gridSpan w:val="3"/>
            <w:shd w:val="clear" w:color="auto" w:fill="auto"/>
            <w:vAlign w:val="bottom"/>
          </w:tcPr>
          <w:p w14:paraId="74DD8F2C" w14:textId="77777777" w:rsidR="00584EC1" w:rsidRDefault="00584EC1">
            <w:pPr>
              <w:rPr>
                <w:rFonts w:ascii="宋体"/>
                <w:vanish/>
              </w:rPr>
            </w:pPr>
          </w:p>
        </w:tc>
        <w:tc>
          <w:tcPr>
            <w:tcW w:w="0" w:type="auto"/>
            <w:gridSpan w:val="3"/>
            <w:shd w:val="clear" w:color="auto" w:fill="auto"/>
            <w:vAlign w:val="bottom"/>
          </w:tcPr>
          <w:p w14:paraId="74DD8F2D" w14:textId="77777777" w:rsidR="00584EC1" w:rsidRDefault="00584EC1">
            <w:pPr>
              <w:rPr>
                <w:rFonts w:ascii="宋体"/>
                <w:vanish/>
              </w:rPr>
            </w:pPr>
          </w:p>
        </w:tc>
        <w:tc>
          <w:tcPr>
            <w:tcW w:w="0" w:type="auto"/>
            <w:gridSpan w:val="3"/>
            <w:shd w:val="clear" w:color="auto" w:fill="auto"/>
            <w:vAlign w:val="bottom"/>
          </w:tcPr>
          <w:p w14:paraId="74DD8F2E" w14:textId="77777777" w:rsidR="00584EC1" w:rsidRDefault="00584EC1">
            <w:pPr>
              <w:rPr>
                <w:rFonts w:ascii="宋体"/>
                <w:vanish/>
              </w:rPr>
            </w:pPr>
          </w:p>
        </w:tc>
      </w:tr>
      <w:tr w:rsidR="00584EC1" w14:paraId="74DD8F3A" w14:textId="77777777">
        <w:trPr>
          <w:hidden/>
        </w:trPr>
        <w:tc>
          <w:tcPr>
            <w:tcW w:w="0" w:type="auto"/>
            <w:gridSpan w:val="3"/>
            <w:shd w:val="clear" w:color="auto" w:fill="auto"/>
            <w:vAlign w:val="bottom"/>
          </w:tcPr>
          <w:p w14:paraId="74DD8F30" w14:textId="77777777" w:rsidR="00584EC1" w:rsidRDefault="00584EC1">
            <w:pPr>
              <w:rPr>
                <w:rFonts w:ascii="宋体"/>
                <w:vanish/>
              </w:rPr>
            </w:pPr>
          </w:p>
        </w:tc>
        <w:tc>
          <w:tcPr>
            <w:tcW w:w="0" w:type="auto"/>
            <w:gridSpan w:val="3"/>
            <w:shd w:val="clear" w:color="auto" w:fill="auto"/>
            <w:vAlign w:val="bottom"/>
          </w:tcPr>
          <w:p w14:paraId="74DD8F31" w14:textId="77777777" w:rsidR="00584EC1" w:rsidRDefault="00584EC1">
            <w:pPr>
              <w:rPr>
                <w:rFonts w:ascii="宋体"/>
                <w:vanish/>
              </w:rPr>
            </w:pPr>
          </w:p>
        </w:tc>
        <w:tc>
          <w:tcPr>
            <w:tcW w:w="0" w:type="auto"/>
            <w:gridSpan w:val="3"/>
            <w:shd w:val="clear" w:color="auto" w:fill="auto"/>
            <w:vAlign w:val="bottom"/>
          </w:tcPr>
          <w:p w14:paraId="74DD8F32" w14:textId="77777777" w:rsidR="00584EC1" w:rsidRDefault="00584EC1">
            <w:pPr>
              <w:rPr>
                <w:rFonts w:ascii="宋体"/>
                <w:vanish/>
              </w:rPr>
            </w:pPr>
          </w:p>
        </w:tc>
        <w:tc>
          <w:tcPr>
            <w:tcW w:w="0" w:type="auto"/>
            <w:gridSpan w:val="3"/>
            <w:shd w:val="clear" w:color="auto" w:fill="auto"/>
            <w:vAlign w:val="bottom"/>
          </w:tcPr>
          <w:p w14:paraId="74DD8F33" w14:textId="77777777" w:rsidR="00584EC1" w:rsidRDefault="00584EC1">
            <w:pPr>
              <w:rPr>
                <w:rFonts w:ascii="宋体"/>
                <w:vanish/>
              </w:rPr>
            </w:pPr>
          </w:p>
        </w:tc>
        <w:tc>
          <w:tcPr>
            <w:tcW w:w="0" w:type="auto"/>
            <w:gridSpan w:val="3"/>
            <w:shd w:val="clear" w:color="auto" w:fill="auto"/>
            <w:vAlign w:val="bottom"/>
          </w:tcPr>
          <w:p w14:paraId="74DD8F34" w14:textId="77777777" w:rsidR="00584EC1" w:rsidRDefault="00584EC1">
            <w:pPr>
              <w:rPr>
                <w:rFonts w:ascii="宋体"/>
                <w:vanish/>
              </w:rPr>
            </w:pPr>
          </w:p>
        </w:tc>
        <w:tc>
          <w:tcPr>
            <w:tcW w:w="0" w:type="auto"/>
            <w:gridSpan w:val="3"/>
            <w:shd w:val="clear" w:color="auto" w:fill="auto"/>
            <w:vAlign w:val="bottom"/>
          </w:tcPr>
          <w:p w14:paraId="74DD8F35" w14:textId="77777777" w:rsidR="00584EC1" w:rsidRDefault="00584EC1">
            <w:pPr>
              <w:rPr>
                <w:rFonts w:ascii="宋体"/>
                <w:vanish/>
              </w:rPr>
            </w:pPr>
          </w:p>
        </w:tc>
        <w:tc>
          <w:tcPr>
            <w:tcW w:w="0" w:type="auto"/>
            <w:gridSpan w:val="3"/>
            <w:shd w:val="clear" w:color="auto" w:fill="auto"/>
            <w:vAlign w:val="bottom"/>
          </w:tcPr>
          <w:p w14:paraId="74DD8F36" w14:textId="77777777" w:rsidR="00584EC1" w:rsidRDefault="00584EC1">
            <w:pPr>
              <w:rPr>
                <w:rFonts w:ascii="宋体"/>
                <w:vanish/>
              </w:rPr>
            </w:pPr>
          </w:p>
        </w:tc>
        <w:tc>
          <w:tcPr>
            <w:tcW w:w="0" w:type="auto"/>
            <w:gridSpan w:val="3"/>
            <w:shd w:val="clear" w:color="auto" w:fill="auto"/>
            <w:vAlign w:val="bottom"/>
          </w:tcPr>
          <w:p w14:paraId="74DD8F37" w14:textId="77777777" w:rsidR="00584EC1" w:rsidRDefault="00584EC1">
            <w:pPr>
              <w:rPr>
                <w:rFonts w:ascii="宋体"/>
                <w:vanish/>
              </w:rPr>
            </w:pPr>
          </w:p>
        </w:tc>
        <w:tc>
          <w:tcPr>
            <w:tcW w:w="0" w:type="auto"/>
            <w:gridSpan w:val="3"/>
            <w:shd w:val="clear" w:color="auto" w:fill="auto"/>
            <w:vAlign w:val="bottom"/>
          </w:tcPr>
          <w:p w14:paraId="74DD8F38" w14:textId="77777777" w:rsidR="00584EC1" w:rsidRDefault="00584EC1">
            <w:pPr>
              <w:rPr>
                <w:rFonts w:ascii="宋体"/>
                <w:vanish/>
              </w:rPr>
            </w:pPr>
          </w:p>
        </w:tc>
        <w:tc>
          <w:tcPr>
            <w:tcW w:w="0" w:type="auto"/>
            <w:gridSpan w:val="3"/>
            <w:shd w:val="clear" w:color="auto" w:fill="auto"/>
            <w:vAlign w:val="bottom"/>
          </w:tcPr>
          <w:p w14:paraId="74DD8F39" w14:textId="77777777" w:rsidR="00584EC1" w:rsidRDefault="00584EC1">
            <w:pPr>
              <w:rPr>
                <w:rFonts w:ascii="宋体"/>
                <w:vanish/>
              </w:rPr>
            </w:pPr>
          </w:p>
        </w:tc>
      </w:tr>
      <w:tr w:rsidR="00584EC1" w14:paraId="74DD8F47" w14:textId="77777777">
        <w:tc>
          <w:tcPr>
            <w:tcW w:w="0" w:type="auto"/>
            <w:gridSpan w:val="3"/>
            <w:shd w:val="clear" w:color="auto" w:fill="CCEEFF"/>
            <w:tcMar>
              <w:top w:w="40" w:type="dxa"/>
              <w:left w:w="245" w:type="dxa"/>
              <w:bottom w:w="40" w:type="dxa"/>
              <w:right w:w="20" w:type="dxa"/>
            </w:tcMar>
            <w:vAlign w:val="bottom"/>
          </w:tcPr>
          <w:p w14:paraId="74DD8F3B" w14:textId="77777777" w:rsidR="00584EC1" w:rsidRDefault="00871F8D">
            <w:pPr>
              <w:textAlignment w:val="bottom"/>
            </w:pPr>
            <w:r>
              <w:rPr>
                <w:rFonts w:ascii="Arial" w:eastAsia="宋体" w:hAnsi="Arial" w:cs="Arial"/>
                <w:color w:val="000000"/>
                <w:sz w:val="14"/>
                <w:szCs w:val="14"/>
              </w:rPr>
              <w:t>Overdrafts</w:t>
            </w:r>
          </w:p>
        </w:tc>
        <w:tc>
          <w:tcPr>
            <w:tcW w:w="0" w:type="auto"/>
            <w:gridSpan w:val="2"/>
            <w:shd w:val="clear" w:color="auto" w:fill="CCEEFF"/>
            <w:tcMar>
              <w:top w:w="40" w:type="dxa"/>
              <w:left w:w="20" w:type="dxa"/>
              <w:bottom w:w="40" w:type="dxa"/>
              <w:right w:w="0" w:type="dxa"/>
            </w:tcMar>
            <w:vAlign w:val="bottom"/>
          </w:tcPr>
          <w:p w14:paraId="74DD8F3C" w14:textId="77777777" w:rsidR="00584EC1" w:rsidRDefault="00871F8D">
            <w:pPr>
              <w:jc w:val="right"/>
              <w:textAlignment w:val="bottom"/>
            </w:pPr>
            <w:r>
              <w:rPr>
                <w:rFonts w:ascii="Arial" w:eastAsia="宋体" w:hAnsi="Arial" w:cs="Arial"/>
                <w:b/>
                <w:bCs/>
                <w:color w:val="000000"/>
                <w:sz w:val="14"/>
                <w:szCs w:val="14"/>
              </w:rPr>
              <w:t>1,462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8F3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F3E"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8F3F" w14:textId="77777777" w:rsidR="00584EC1" w:rsidRDefault="00871F8D">
            <w:pPr>
              <w:jc w:val="right"/>
              <w:textAlignment w:val="bottom"/>
            </w:pPr>
            <w:r>
              <w:rPr>
                <w:rFonts w:ascii="Arial" w:eastAsia="宋体" w:hAnsi="Arial" w:cs="Arial"/>
                <w:color w:val="000000"/>
                <w:sz w:val="14"/>
                <w:szCs w:val="14"/>
              </w:rPr>
              <w:t>1,088 </w:t>
            </w:r>
          </w:p>
        </w:tc>
        <w:tc>
          <w:tcPr>
            <w:tcW w:w="0" w:type="auto"/>
            <w:shd w:val="clear" w:color="auto" w:fill="CCEEFF"/>
            <w:tcMar>
              <w:top w:w="40" w:type="dxa"/>
              <w:left w:w="0" w:type="dxa"/>
              <w:bottom w:w="40" w:type="dxa"/>
              <w:right w:w="20" w:type="dxa"/>
            </w:tcMar>
            <w:vAlign w:val="bottom"/>
          </w:tcPr>
          <w:p w14:paraId="74DD8F40" w14:textId="77777777" w:rsidR="00584EC1" w:rsidRDefault="00584EC1">
            <w:pPr>
              <w:jc w:val="right"/>
              <w:rPr>
                <w:rFonts w:ascii="宋体"/>
              </w:rPr>
            </w:pPr>
          </w:p>
        </w:tc>
        <w:tc>
          <w:tcPr>
            <w:tcW w:w="0" w:type="auto"/>
            <w:gridSpan w:val="3"/>
            <w:shd w:val="clear" w:color="auto" w:fill="auto"/>
            <w:vAlign w:val="bottom"/>
          </w:tcPr>
          <w:p w14:paraId="74DD8F41" w14:textId="77777777" w:rsidR="00584EC1" w:rsidRDefault="00584EC1">
            <w:pPr>
              <w:rPr>
                <w:rFonts w:ascii="宋体"/>
                <w:vanish/>
              </w:rPr>
            </w:pPr>
          </w:p>
        </w:tc>
        <w:tc>
          <w:tcPr>
            <w:tcW w:w="0" w:type="auto"/>
            <w:gridSpan w:val="3"/>
            <w:shd w:val="clear" w:color="auto" w:fill="auto"/>
            <w:vAlign w:val="bottom"/>
          </w:tcPr>
          <w:p w14:paraId="74DD8F42" w14:textId="77777777" w:rsidR="00584EC1" w:rsidRDefault="00584EC1">
            <w:pPr>
              <w:rPr>
                <w:rFonts w:ascii="宋体"/>
                <w:vanish/>
              </w:rPr>
            </w:pPr>
          </w:p>
        </w:tc>
        <w:tc>
          <w:tcPr>
            <w:tcW w:w="0" w:type="auto"/>
            <w:gridSpan w:val="3"/>
            <w:shd w:val="clear" w:color="auto" w:fill="auto"/>
            <w:vAlign w:val="bottom"/>
          </w:tcPr>
          <w:p w14:paraId="74DD8F43" w14:textId="77777777" w:rsidR="00584EC1" w:rsidRDefault="00584EC1">
            <w:pPr>
              <w:rPr>
                <w:rFonts w:ascii="宋体"/>
                <w:vanish/>
              </w:rPr>
            </w:pPr>
          </w:p>
        </w:tc>
        <w:tc>
          <w:tcPr>
            <w:tcW w:w="0" w:type="auto"/>
            <w:gridSpan w:val="3"/>
            <w:shd w:val="clear" w:color="auto" w:fill="auto"/>
            <w:vAlign w:val="bottom"/>
          </w:tcPr>
          <w:p w14:paraId="74DD8F44" w14:textId="77777777" w:rsidR="00584EC1" w:rsidRDefault="00584EC1">
            <w:pPr>
              <w:rPr>
                <w:rFonts w:ascii="宋体"/>
                <w:vanish/>
              </w:rPr>
            </w:pPr>
          </w:p>
        </w:tc>
        <w:tc>
          <w:tcPr>
            <w:tcW w:w="0" w:type="auto"/>
            <w:gridSpan w:val="3"/>
            <w:shd w:val="clear" w:color="auto" w:fill="auto"/>
            <w:vAlign w:val="bottom"/>
          </w:tcPr>
          <w:p w14:paraId="74DD8F45" w14:textId="77777777" w:rsidR="00584EC1" w:rsidRDefault="00584EC1">
            <w:pPr>
              <w:rPr>
                <w:rFonts w:ascii="宋体"/>
                <w:vanish/>
              </w:rPr>
            </w:pPr>
          </w:p>
        </w:tc>
        <w:tc>
          <w:tcPr>
            <w:tcW w:w="0" w:type="auto"/>
            <w:gridSpan w:val="3"/>
            <w:shd w:val="clear" w:color="auto" w:fill="auto"/>
            <w:vAlign w:val="bottom"/>
          </w:tcPr>
          <w:p w14:paraId="74DD8F46" w14:textId="77777777" w:rsidR="00584EC1" w:rsidRDefault="00584EC1">
            <w:pPr>
              <w:rPr>
                <w:rFonts w:ascii="宋体"/>
                <w:vanish/>
              </w:rPr>
            </w:pPr>
          </w:p>
        </w:tc>
      </w:tr>
      <w:tr w:rsidR="00584EC1" w14:paraId="74DD8F54" w14:textId="77777777">
        <w:tc>
          <w:tcPr>
            <w:tcW w:w="0" w:type="auto"/>
            <w:gridSpan w:val="3"/>
            <w:shd w:val="clear" w:color="auto" w:fill="FFFFFF"/>
            <w:tcMar>
              <w:top w:w="40" w:type="dxa"/>
              <w:left w:w="20" w:type="dxa"/>
              <w:bottom w:w="40" w:type="dxa"/>
              <w:right w:w="20" w:type="dxa"/>
            </w:tcMar>
            <w:vAlign w:val="bottom"/>
          </w:tcPr>
          <w:p w14:paraId="74DD8F48" w14:textId="77777777" w:rsidR="00584EC1" w:rsidRDefault="00871F8D">
            <w:pPr>
              <w:textAlignment w:val="bottom"/>
            </w:pPr>
            <w:r>
              <w:rPr>
                <w:rFonts w:ascii="Arial" w:eastAsia="宋体" w:hAnsi="Arial" w:cs="Arial"/>
                <w:color w:val="000000"/>
                <w:sz w:val="14"/>
                <w:szCs w:val="14"/>
              </w:rPr>
              <w:t>Other</w:t>
            </w:r>
            <w:r>
              <w:rPr>
                <w:rFonts w:ascii="Arial" w:eastAsia="宋体" w:hAnsi="Arial" w:cs="Arial"/>
                <w:color w:val="000000"/>
                <w:sz w:val="9"/>
                <w:szCs w:val="9"/>
              </w:rPr>
              <w:t>(3)</w:t>
            </w:r>
          </w:p>
        </w:tc>
        <w:tc>
          <w:tcPr>
            <w:tcW w:w="0" w:type="auto"/>
            <w:gridSpan w:val="2"/>
            <w:shd w:val="clear" w:color="auto" w:fill="FFFFFF"/>
            <w:tcMar>
              <w:top w:w="40" w:type="dxa"/>
              <w:left w:w="20" w:type="dxa"/>
              <w:bottom w:w="40" w:type="dxa"/>
              <w:right w:w="0" w:type="dxa"/>
            </w:tcMar>
            <w:vAlign w:val="bottom"/>
          </w:tcPr>
          <w:p w14:paraId="74DD8F49"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8F4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F4B"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8F4C" w14:textId="77777777" w:rsidR="00584EC1" w:rsidRDefault="00871F8D">
            <w:pPr>
              <w:jc w:val="right"/>
              <w:textAlignment w:val="bottom"/>
            </w:pPr>
            <w:r>
              <w:rPr>
                <w:rFonts w:ascii="Arial" w:eastAsia="宋体" w:hAnsi="Arial" w:cs="Arial"/>
                <w:color w:val="000000"/>
                <w:sz w:val="14"/>
                <w:szCs w:val="14"/>
              </w:rPr>
              <w:t>31 </w:t>
            </w:r>
          </w:p>
        </w:tc>
        <w:tc>
          <w:tcPr>
            <w:tcW w:w="0" w:type="auto"/>
            <w:shd w:val="clear" w:color="auto" w:fill="FFFFFF"/>
            <w:tcMar>
              <w:top w:w="40" w:type="dxa"/>
              <w:left w:w="0" w:type="dxa"/>
              <w:bottom w:w="40" w:type="dxa"/>
              <w:right w:w="20" w:type="dxa"/>
            </w:tcMar>
            <w:vAlign w:val="bottom"/>
          </w:tcPr>
          <w:p w14:paraId="74DD8F4D" w14:textId="77777777" w:rsidR="00584EC1" w:rsidRDefault="00584EC1">
            <w:pPr>
              <w:jc w:val="right"/>
              <w:rPr>
                <w:rFonts w:ascii="宋体"/>
              </w:rPr>
            </w:pPr>
          </w:p>
        </w:tc>
        <w:tc>
          <w:tcPr>
            <w:tcW w:w="0" w:type="auto"/>
            <w:gridSpan w:val="3"/>
            <w:shd w:val="clear" w:color="auto" w:fill="auto"/>
            <w:vAlign w:val="bottom"/>
          </w:tcPr>
          <w:p w14:paraId="74DD8F4E" w14:textId="77777777" w:rsidR="00584EC1" w:rsidRDefault="00584EC1">
            <w:pPr>
              <w:rPr>
                <w:rFonts w:ascii="宋体"/>
                <w:vanish/>
              </w:rPr>
            </w:pPr>
          </w:p>
        </w:tc>
        <w:tc>
          <w:tcPr>
            <w:tcW w:w="0" w:type="auto"/>
            <w:gridSpan w:val="3"/>
            <w:shd w:val="clear" w:color="auto" w:fill="auto"/>
            <w:vAlign w:val="bottom"/>
          </w:tcPr>
          <w:p w14:paraId="74DD8F4F" w14:textId="77777777" w:rsidR="00584EC1" w:rsidRDefault="00584EC1">
            <w:pPr>
              <w:rPr>
                <w:rFonts w:ascii="宋体"/>
                <w:vanish/>
              </w:rPr>
            </w:pPr>
          </w:p>
        </w:tc>
        <w:tc>
          <w:tcPr>
            <w:tcW w:w="0" w:type="auto"/>
            <w:gridSpan w:val="3"/>
            <w:shd w:val="clear" w:color="auto" w:fill="auto"/>
            <w:vAlign w:val="bottom"/>
          </w:tcPr>
          <w:p w14:paraId="74DD8F50" w14:textId="77777777" w:rsidR="00584EC1" w:rsidRDefault="00584EC1">
            <w:pPr>
              <w:rPr>
                <w:rFonts w:ascii="宋体"/>
                <w:vanish/>
              </w:rPr>
            </w:pPr>
          </w:p>
        </w:tc>
        <w:tc>
          <w:tcPr>
            <w:tcW w:w="0" w:type="auto"/>
            <w:gridSpan w:val="3"/>
            <w:shd w:val="clear" w:color="auto" w:fill="auto"/>
            <w:vAlign w:val="bottom"/>
          </w:tcPr>
          <w:p w14:paraId="74DD8F51" w14:textId="77777777" w:rsidR="00584EC1" w:rsidRDefault="00584EC1">
            <w:pPr>
              <w:rPr>
                <w:rFonts w:ascii="宋体"/>
                <w:vanish/>
              </w:rPr>
            </w:pPr>
          </w:p>
        </w:tc>
        <w:tc>
          <w:tcPr>
            <w:tcW w:w="0" w:type="auto"/>
            <w:gridSpan w:val="3"/>
            <w:shd w:val="clear" w:color="auto" w:fill="auto"/>
            <w:vAlign w:val="bottom"/>
          </w:tcPr>
          <w:p w14:paraId="74DD8F52" w14:textId="77777777" w:rsidR="00584EC1" w:rsidRDefault="00584EC1">
            <w:pPr>
              <w:rPr>
                <w:rFonts w:ascii="宋体"/>
                <w:vanish/>
              </w:rPr>
            </w:pPr>
          </w:p>
        </w:tc>
        <w:tc>
          <w:tcPr>
            <w:tcW w:w="0" w:type="auto"/>
            <w:gridSpan w:val="3"/>
            <w:shd w:val="clear" w:color="auto" w:fill="auto"/>
            <w:vAlign w:val="bottom"/>
          </w:tcPr>
          <w:p w14:paraId="74DD8F53" w14:textId="77777777" w:rsidR="00584EC1" w:rsidRDefault="00584EC1">
            <w:pPr>
              <w:rPr>
                <w:rFonts w:ascii="宋体"/>
                <w:vanish/>
              </w:rPr>
            </w:pPr>
          </w:p>
        </w:tc>
      </w:tr>
      <w:tr w:rsidR="00584EC1" w14:paraId="74DD8F61" w14:textId="77777777">
        <w:tc>
          <w:tcPr>
            <w:tcW w:w="0" w:type="auto"/>
            <w:gridSpan w:val="3"/>
            <w:shd w:val="clear" w:color="auto" w:fill="CCEEFF"/>
            <w:tcMar>
              <w:top w:w="40" w:type="dxa"/>
              <w:left w:w="20" w:type="dxa"/>
              <w:bottom w:w="40" w:type="dxa"/>
              <w:right w:w="20" w:type="dxa"/>
            </w:tcMar>
            <w:vAlign w:val="bottom"/>
          </w:tcPr>
          <w:p w14:paraId="74DD8F55" w14:textId="77777777" w:rsidR="00584EC1" w:rsidRDefault="00871F8D">
            <w:pPr>
              <w:textAlignment w:val="bottom"/>
            </w:pPr>
            <w:r>
              <w:rPr>
                <w:rFonts w:ascii="Arial" w:eastAsia="宋体" w:hAnsi="Arial" w:cs="Arial"/>
                <w:color w:val="000000"/>
                <w:sz w:val="14"/>
                <w:szCs w:val="14"/>
              </w:rPr>
              <w:t>Total foreign</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8F56" w14:textId="77777777" w:rsidR="00584EC1" w:rsidRDefault="00871F8D">
            <w:pPr>
              <w:jc w:val="right"/>
              <w:textAlignment w:val="bottom"/>
            </w:pPr>
            <w:r>
              <w:rPr>
                <w:rFonts w:ascii="Arial" w:eastAsia="宋体" w:hAnsi="Arial" w:cs="Arial"/>
                <w:b/>
                <w:bCs/>
                <w:color w:val="000000"/>
                <w:sz w:val="14"/>
                <w:szCs w:val="14"/>
              </w:rPr>
              <w:t>10,147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F5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F58"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8F59" w14:textId="77777777" w:rsidR="00584EC1" w:rsidRDefault="00871F8D">
            <w:pPr>
              <w:jc w:val="right"/>
              <w:textAlignment w:val="bottom"/>
            </w:pPr>
            <w:r>
              <w:rPr>
                <w:rFonts w:ascii="Arial" w:eastAsia="宋体" w:hAnsi="Arial" w:cs="Arial"/>
                <w:color w:val="000000"/>
                <w:sz w:val="14"/>
                <w:szCs w:val="14"/>
              </w:rPr>
              <w:t>6,793 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F5A" w14:textId="77777777" w:rsidR="00584EC1" w:rsidRDefault="00584EC1">
            <w:pPr>
              <w:jc w:val="right"/>
              <w:rPr>
                <w:rFonts w:ascii="宋体"/>
              </w:rPr>
            </w:pPr>
          </w:p>
        </w:tc>
        <w:tc>
          <w:tcPr>
            <w:tcW w:w="0" w:type="auto"/>
            <w:gridSpan w:val="3"/>
            <w:shd w:val="clear" w:color="auto" w:fill="auto"/>
            <w:vAlign w:val="bottom"/>
          </w:tcPr>
          <w:p w14:paraId="74DD8F5B" w14:textId="77777777" w:rsidR="00584EC1" w:rsidRDefault="00584EC1">
            <w:pPr>
              <w:rPr>
                <w:rFonts w:ascii="宋体"/>
                <w:vanish/>
              </w:rPr>
            </w:pPr>
          </w:p>
        </w:tc>
        <w:tc>
          <w:tcPr>
            <w:tcW w:w="0" w:type="auto"/>
            <w:gridSpan w:val="3"/>
            <w:shd w:val="clear" w:color="auto" w:fill="auto"/>
            <w:vAlign w:val="bottom"/>
          </w:tcPr>
          <w:p w14:paraId="74DD8F5C" w14:textId="77777777" w:rsidR="00584EC1" w:rsidRDefault="00584EC1">
            <w:pPr>
              <w:rPr>
                <w:rFonts w:ascii="宋体"/>
                <w:vanish/>
              </w:rPr>
            </w:pPr>
          </w:p>
        </w:tc>
        <w:tc>
          <w:tcPr>
            <w:tcW w:w="0" w:type="auto"/>
            <w:gridSpan w:val="3"/>
            <w:shd w:val="clear" w:color="auto" w:fill="auto"/>
            <w:vAlign w:val="bottom"/>
          </w:tcPr>
          <w:p w14:paraId="74DD8F5D" w14:textId="77777777" w:rsidR="00584EC1" w:rsidRDefault="00584EC1">
            <w:pPr>
              <w:rPr>
                <w:rFonts w:ascii="宋体"/>
                <w:vanish/>
              </w:rPr>
            </w:pPr>
          </w:p>
        </w:tc>
        <w:tc>
          <w:tcPr>
            <w:tcW w:w="0" w:type="auto"/>
            <w:gridSpan w:val="3"/>
            <w:shd w:val="clear" w:color="auto" w:fill="auto"/>
            <w:vAlign w:val="bottom"/>
          </w:tcPr>
          <w:p w14:paraId="74DD8F5E" w14:textId="77777777" w:rsidR="00584EC1" w:rsidRDefault="00584EC1">
            <w:pPr>
              <w:rPr>
                <w:rFonts w:ascii="宋体"/>
                <w:vanish/>
              </w:rPr>
            </w:pPr>
          </w:p>
        </w:tc>
        <w:tc>
          <w:tcPr>
            <w:tcW w:w="0" w:type="auto"/>
            <w:gridSpan w:val="3"/>
            <w:shd w:val="clear" w:color="auto" w:fill="auto"/>
            <w:vAlign w:val="bottom"/>
          </w:tcPr>
          <w:p w14:paraId="74DD8F5F" w14:textId="77777777" w:rsidR="00584EC1" w:rsidRDefault="00584EC1">
            <w:pPr>
              <w:rPr>
                <w:rFonts w:ascii="宋体"/>
                <w:vanish/>
              </w:rPr>
            </w:pPr>
          </w:p>
        </w:tc>
        <w:tc>
          <w:tcPr>
            <w:tcW w:w="0" w:type="auto"/>
            <w:gridSpan w:val="3"/>
            <w:shd w:val="clear" w:color="auto" w:fill="auto"/>
            <w:vAlign w:val="bottom"/>
          </w:tcPr>
          <w:p w14:paraId="74DD8F60" w14:textId="77777777" w:rsidR="00584EC1" w:rsidRDefault="00584EC1">
            <w:pPr>
              <w:rPr>
                <w:rFonts w:ascii="宋体"/>
                <w:vanish/>
              </w:rPr>
            </w:pPr>
          </w:p>
        </w:tc>
      </w:tr>
      <w:tr w:rsidR="00584EC1" w14:paraId="74DD8F6E" w14:textId="77777777">
        <w:tc>
          <w:tcPr>
            <w:tcW w:w="0" w:type="auto"/>
            <w:gridSpan w:val="3"/>
            <w:shd w:val="clear" w:color="auto" w:fill="FFFFFF"/>
            <w:tcMar>
              <w:top w:w="40" w:type="dxa"/>
              <w:left w:w="20" w:type="dxa"/>
              <w:bottom w:w="40" w:type="dxa"/>
              <w:right w:w="20" w:type="dxa"/>
            </w:tcMar>
            <w:vAlign w:val="bottom"/>
          </w:tcPr>
          <w:p w14:paraId="74DD8F62" w14:textId="77777777" w:rsidR="00584EC1" w:rsidRDefault="00871F8D">
            <w:pPr>
              <w:textAlignment w:val="bottom"/>
            </w:pPr>
            <w:r>
              <w:rPr>
                <w:rFonts w:ascii="Arial" w:eastAsia="宋体" w:hAnsi="Arial" w:cs="Arial"/>
                <w:color w:val="000000"/>
                <w:sz w:val="14"/>
                <w:szCs w:val="14"/>
              </w:rPr>
              <w:t>Total loans</w:t>
            </w:r>
            <w:r>
              <w:rPr>
                <w:rFonts w:ascii="Arial" w:eastAsia="宋体" w:hAnsi="Arial" w:cs="Arial"/>
                <w:color w:val="000000"/>
                <w:sz w:val="9"/>
                <w:szCs w:val="9"/>
              </w:rPr>
              <w:t>(2)(4)</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8F63" w14:textId="77777777" w:rsidR="00584EC1" w:rsidRDefault="00871F8D">
            <w:pPr>
              <w:jc w:val="right"/>
              <w:textAlignment w:val="bottom"/>
            </w:pPr>
            <w:r>
              <w:rPr>
                <w:rFonts w:ascii="Arial" w:eastAsia="宋体" w:hAnsi="Arial" w:cs="Arial"/>
                <w:b/>
                <w:bCs/>
                <w:color w:val="000000"/>
                <w:sz w:val="14"/>
                <w:szCs w:val="14"/>
              </w:rPr>
              <w:t>32,797</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8F6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8F65"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8F66" w14:textId="77777777" w:rsidR="00584EC1" w:rsidRDefault="00871F8D">
            <w:pPr>
              <w:jc w:val="right"/>
              <w:textAlignment w:val="bottom"/>
            </w:pPr>
            <w:r>
              <w:rPr>
                <w:rFonts w:ascii="Arial" w:eastAsia="宋体" w:hAnsi="Arial" w:cs="Arial"/>
                <w:color w:val="000000"/>
                <w:sz w:val="14"/>
                <w:szCs w:val="14"/>
              </w:rPr>
              <w:t>27,925 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8F67" w14:textId="77777777" w:rsidR="00584EC1" w:rsidRDefault="00584EC1">
            <w:pPr>
              <w:jc w:val="right"/>
              <w:rPr>
                <w:rFonts w:ascii="宋体"/>
              </w:rPr>
            </w:pPr>
          </w:p>
        </w:tc>
        <w:tc>
          <w:tcPr>
            <w:tcW w:w="0" w:type="auto"/>
            <w:gridSpan w:val="3"/>
            <w:shd w:val="clear" w:color="auto" w:fill="auto"/>
            <w:vAlign w:val="bottom"/>
          </w:tcPr>
          <w:p w14:paraId="74DD8F68" w14:textId="77777777" w:rsidR="00584EC1" w:rsidRDefault="00584EC1">
            <w:pPr>
              <w:rPr>
                <w:rFonts w:ascii="宋体"/>
                <w:vanish/>
              </w:rPr>
            </w:pPr>
          </w:p>
        </w:tc>
        <w:tc>
          <w:tcPr>
            <w:tcW w:w="0" w:type="auto"/>
            <w:gridSpan w:val="3"/>
            <w:shd w:val="clear" w:color="auto" w:fill="auto"/>
            <w:vAlign w:val="bottom"/>
          </w:tcPr>
          <w:p w14:paraId="74DD8F69" w14:textId="77777777" w:rsidR="00584EC1" w:rsidRDefault="00584EC1">
            <w:pPr>
              <w:rPr>
                <w:rFonts w:ascii="宋体"/>
                <w:vanish/>
              </w:rPr>
            </w:pPr>
          </w:p>
        </w:tc>
        <w:tc>
          <w:tcPr>
            <w:tcW w:w="0" w:type="auto"/>
            <w:gridSpan w:val="3"/>
            <w:shd w:val="clear" w:color="auto" w:fill="auto"/>
            <w:vAlign w:val="bottom"/>
          </w:tcPr>
          <w:p w14:paraId="74DD8F6A" w14:textId="77777777" w:rsidR="00584EC1" w:rsidRDefault="00584EC1">
            <w:pPr>
              <w:rPr>
                <w:rFonts w:ascii="宋体"/>
                <w:vanish/>
              </w:rPr>
            </w:pPr>
          </w:p>
        </w:tc>
        <w:tc>
          <w:tcPr>
            <w:tcW w:w="0" w:type="auto"/>
            <w:gridSpan w:val="3"/>
            <w:shd w:val="clear" w:color="auto" w:fill="auto"/>
            <w:vAlign w:val="bottom"/>
          </w:tcPr>
          <w:p w14:paraId="74DD8F6B" w14:textId="77777777" w:rsidR="00584EC1" w:rsidRDefault="00584EC1">
            <w:pPr>
              <w:rPr>
                <w:rFonts w:ascii="宋体"/>
                <w:vanish/>
              </w:rPr>
            </w:pPr>
          </w:p>
        </w:tc>
        <w:tc>
          <w:tcPr>
            <w:tcW w:w="0" w:type="auto"/>
            <w:gridSpan w:val="3"/>
            <w:shd w:val="clear" w:color="auto" w:fill="auto"/>
            <w:vAlign w:val="bottom"/>
          </w:tcPr>
          <w:p w14:paraId="74DD8F6C" w14:textId="77777777" w:rsidR="00584EC1" w:rsidRDefault="00584EC1">
            <w:pPr>
              <w:rPr>
                <w:rFonts w:ascii="宋体"/>
                <w:vanish/>
              </w:rPr>
            </w:pPr>
          </w:p>
        </w:tc>
        <w:tc>
          <w:tcPr>
            <w:tcW w:w="0" w:type="auto"/>
            <w:gridSpan w:val="3"/>
            <w:shd w:val="clear" w:color="auto" w:fill="auto"/>
            <w:vAlign w:val="bottom"/>
          </w:tcPr>
          <w:p w14:paraId="74DD8F6D" w14:textId="77777777" w:rsidR="00584EC1" w:rsidRDefault="00584EC1">
            <w:pPr>
              <w:rPr>
                <w:rFonts w:ascii="宋体"/>
                <w:vanish/>
              </w:rPr>
            </w:pPr>
          </w:p>
        </w:tc>
      </w:tr>
      <w:tr w:rsidR="00584EC1" w14:paraId="74DD8F7B" w14:textId="77777777">
        <w:tc>
          <w:tcPr>
            <w:tcW w:w="0" w:type="auto"/>
            <w:gridSpan w:val="3"/>
            <w:shd w:val="clear" w:color="auto" w:fill="CCEEFF"/>
            <w:tcMar>
              <w:top w:w="40" w:type="dxa"/>
              <w:left w:w="20" w:type="dxa"/>
              <w:bottom w:w="40" w:type="dxa"/>
              <w:right w:w="20" w:type="dxa"/>
            </w:tcMar>
            <w:vAlign w:val="bottom"/>
          </w:tcPr>
          <w:p w14:paraId="74DD8F6F" w14:textId="77777777" w:rsidR="00584EC1" w:rsidRDefault="00871F8D">
            <w:pPr>
              <w:textAlignment w:val="bottom"/>
            </w:pPr>
            <w:r>
              <w:rPr>
                <w:rFonts w:ascii="Arial" w:eastAsia="宋体" w:hAnsi="Arial" w:cs="Arial"/>
                <w:color w:val="000000"/>
                <w:sz w:val="14"/>
                <w:szCs w:val="14"/>
              </w:rPr>
              <w:t xml:space="preserve">Allowance for loan </w:t>
            </w:r>
            <w:r>
              <w:rPr>
                <w:rFonts w:ascii="Arial" w:eastAsia="宋体" w:hAnsi="Arial" w:cs="Arial"/>
                <w:color w:val="000000"/>
                <w:sz w:val="14"/>
                <w:szCs w:val="14"/>
              </w:rPr>
              <w:t>losses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8F70" w14:textId="77777777" w:rsidR="00584EC1" w:rsidRDefault="00871F8D">
            <w:pPr>
              <w:jc w:val="right"/>
              <w:textAlignment w:val="bottom"/>
            </w:pPr>
            <w:r>
              <w:rPr>
                <w:rFonts w:ascii="Arial" w:eastAsia="宋体" w:hAnsi="Arial" w:cs="Arial"/>
                <w:b/>
                <w:bCs/>
                <w:color w:val="000000"/>
                <w:sz w:val="14"/>
                <w:szCs w:val="14"/>
              </w:rPr>
              <w:t>(95)</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F7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8F72"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8F73" w14:textId="77777777" w:rsidR="00584EC1" w:rsidRDefault="00871F8D">
            <w:pPr>
              <w:jc w:val="right"/>
              <w:textAlignment w:val="bottom"/>
            </w:pPr>
            <w:r>
              <w:rPr>
                <w:rFonts w:ascii="Arial" w:eastAsia="宋体" w:hAnsi="Arial" w:cs="Arial"/>
                <w:color w:val="000000"/>
                <w:sz w:val="14"/>
                <w:szCs w:val="14"/>
              </w:rPr>
              <w:t>(122)</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8F74" w14:textId="77777777" w:rsidR="00584EC1" w:rsidRDefault="00584EC1">
            <w:pPr>
              <w:jc w:val="right"/>
              <w:rPr>
                <w:rFonts w:ascii="宋体"/>
              </w:rPr>
            </w:pPr>
          </w:p>
        </w:tc>
        <w:tc>
          <w:tcPr>
            <w:tcW w:w="0" w:type="auto"/>
            <w:gridSpan w:val="3"/>
            <w:shd w:val="clear" w:color="auto" w:fill="auto"/>
            <w:vAlign w:val="bottom"/>
          </w:tcPr>
          <w:p w14:paraId="74DD8F75" w14:textId="77777777" w:rsidR="00584EC1" w:rsidRDefault="00584EC1">
            <w:pPr>
              <w:rPr>
                <w:rFonts w:ascii="宋体"/>
                <w:vanish/>
              </w:rPr>
            </w:pPr>
          </w:p>
        </w:tc>
        <w:tc>
          <w:tcPr>
            <w:tcW w:w="0" w:type="auto"/>
            <w:gridSpan w:val="3"/>
            <w:shd w:val="clear" w:color="auto" w:fill="auto"/>
            <w:vAlign w:val="bottom"/>
          </w:tcPr>
          <w:p w14:paraId="74DD8F76" w14:textId="77777777" w:rsidR="00584EC1" w:rsidRDefault="00584EC1">
            <w:pPr>
              <w:rPr>
                <w:rFonts w:ascii="宋体"/>
                <w:vanish/>
              </w:rPr>
            </w:pPr>
          </w:p>
        </w:tc>
        <w:tc>
          <w:tcPr>
            <w:tcW w:w="0" w:type="auto"/>
            <w:gridSpan w:val="3"/>
            <w:shd w:val="clear" w:color="auto" w:fill="auto"/>
            <w:vAlign w:val="bottom"/>
          </w:tcPr>
          <w:p w14:paraId="74DD8F77" w14:textId="77777777" w:rsidR="00584EC1" w:rsidRDefault="00584EC1">
            <w:pPr>
              <w:rPr>
                <w:rFonts w:ascii="宋体"/>
                <w:vanish/>
              </w:rPr>
            </w:pPr>
          </w:p>
        </w:tc>
        <w:tc>
          <w:tcPr>
            <w:tcW w:w="0" w:type="auto"/>
            <w:gridSpan w:val="3"/>
            <w:shd w:val="clear" w:color="auto" w:fill="auto"/>
            <w:vAlign w:val="bottom"/>
          </w:tcPr>
          <w:p w14:paraId="74DD8F78" w14:textId="77777777" w:rsidR="00584EC1" w:rsidRDefault="00584EC1">
            <w:pPr>
              <w:rPr>
                <w:rFonts w:ascii="宋体"/>
                <w:vanish/>
              </w:rPr>
            </w:pPr>
          </w:p>
        </w:tc>
        <w:tc>
          <w:tcPr>
            <w:tcW w:w="0" w:type="auto"/>
            <w:gridSpan w:val="3"/>
            <w:shd w:val="clear" w:color="auto" w:fill="auto"/>
            <w:vAlign w:val="bottom"/>
          </w:tcPr>
          <w:p w14:paraId="74DD8F79" w14:textId="77777777" w:rsidR="00584EC1" w:rsidRDefault="00584EC1">
            <w:pPr>
              <w:rPr>
                <w:rFonts w:ascii="宋体"/>
                <w:vanish/>
              </w:rPr>
            </w:pPr>
          </w:p>
        </w:tc>
        <w:tc>
          <w:tcPr>
            <w:tcW w:w="0" w:type="auto"/>
            <w:gridSpan w:val="3"/>
            <w:shd w:val="clear" w:color="auto" w:fill="auto"/>
            <w:vAlign w:val="bottom"/>
          </w:tcPr>
          <w:p w14:paraId="74DD8F7A" w14:textId="77777777" w:rsidR="00584EC1" w:rsidRDefault="00584EC1">
            <w:pPr>
              <w:rPr>
                <w:rFonts w:ascii="宋体"/>
                <w:vanish/>
              </w:rPr>
            </w:pPr>
          </w:p>
        </w:tc>
      </w:tr>
      <w:tr w:rsidR="00584EC1" w14:paraId="74DD8F8A" w14:textId="77777777">
        <w:tc>
          <w:tcPr>
            <w:tcW w:w="0" w:type="auto"/>
            <w:gridSpan w:val="3"/>
            <w:shd w:val="clear" w:color="auto" w:fill="auto"/>
            <w:tcMar>
              <w:top w:w="40" w:type="dxa"/>
              <w:left w:w="20" w:type="dxa"/>
              <w:bottom w:w="40" w:type="dxa"/>
              <w:right w:w="20" w:type="dxa"/>
            </w:tcMar>
            <w:vAlign w:val="bottom"/>
          </w:tcPr>
          <w:p w14:paraId="74DD8F7C" w14:textId="77777777" w:rsidR="00584EC1" w:rsidRDefault="00871F8D">
            <w:pPr>
              <w:textAlignment w:val="bottom"/>
            </w:pPr>
            <w:r>
              <w:rPr>
                <w:rFonts w:ascii="Arial" w:eastAsia="宋体" w:hAnsi="Arial" w:cs="Arial"/>
                <w:color w:val="000000"/>
                <w:sz w:val="14"/>
                <w:szCs w:val="14"/>
              </w:rPr>
              <w:t>Loans, net of allowance</w:t>
            </w: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74DD8F7D"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74DD8F7E" w14:textId="77777777" w:rsidR="00584EC1" w:rsidRDefault="00871F8D">
            <w:pPr>
              <w:jc w:val="right"/>
              <w:textAlignment w:val="bottom"/>
            </w:pPr>
            <w:r>
              <w:rPr>
                <w:rFonts w:ascii="Arial" w:eastAsia="宋体" w:hAnsi="Arial" w:cs="Arial"/>
                <w:b/>
                <w:bCs/>
                <w:color w:val="000000"/>
                <w:sz w:val="14"/>
                <w:szCs w:val="14"/>
              </w:rPr>
              <w:t>32,702</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74DD8F7F" w14:textId="77777777" w:rsidR="00584EC1" w:rsidRDefault="00584EC1">
            <w:pPr>
              <w:jc w:val="right"/>
              <w:rPr>
                <w:rFonts w:ascii="宋体"/>
              </w:rPr>
            </w:pPr>
          </w:p>
        </w:tc>
        <w:tc>
          <w:tcPr>
            <w:tcW w:w="0" w:type="auto"/>
            <w:gridSpan w:val="3"/>
            <w:shd w:val="clear" w:color="auto" w:fill="auto"/>
            <w:tcMar>
              <w:top w:w="0" w:type="dxa"/>
              <w:left w:w="20" w:type="dxa"/>
              <w:bottom w:w="0" w:type="dxa"/>
              <w:right w:w="20" w:type="dxa"/>
            </w:tcMar>
            <w:vAlign w:val="bottom"/>
          </w:tcPr>
          <w:p w14:paraId="74DD8F80" w14:textId="77777777" w:rsidR="00584EC1" w:rsidRDefault="00584EC1">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74DD8F81"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74DD8F82" w14:textId="77777777" w:rsidR="00584EC1" w:rsidRDefault="00871F8D">
            <w:pPr>
              <w:jc w:val="right"/>
              <w:textAlignment w:val="bottom"/>
            </w:pPr>
            <w:r>
              <w:rPr>
                <w:rFonts w:ascii="Arial" w:eastAsia="宋体" w:hAnsi="Arial" w:cs="Arial"/>
                <w:color w:val="000000"/>
                <w:sz w:val="14"/>
                <w:szCs w:val="14"/>
              </w:rPr>
              <w:t>27,803 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74DD8F83" w14:textId="77777777" w:rsidR="00584EC1" w:rsidRDefault="00584EC1">
            <w:pPr>
              <w:jc w:val="right"/>
              <w:rPr>
                <w:rFonts w:ascii="宋体"/>
              </w:rPr>
            </w:pPr>
          </w:p>
        </w:tc>
        <w:tc>
          <w:tcPr>
            <w:tcW w:w="0" w:type="auto"/>
            <w:gridSpan w:val="3"/>
            <w:shd w:val="clear" w:color="auto" w:fill="auto"/>
            <w:vAlign w:val="bottom"/>
          </w:tcPr>
          <w:p w14:paraId="74DD8F84" w14:textId="77777777" w:rsidR="00584EC1" w:rsidRDefault="00584EC1">
            <w:pPr>
              <w:rPr>
                <w:rFonts w:ascii="宋体"/>
                <w:vanish/>
              </w:rPr>
            </w:pPr>
          </w:p>
        </w:tc>
        <w:tc>
          <w:tcPr>
            <w:tcW w:w="0" w:type="auto"/>
            <w:gridSpan w:val="3"/>
            <w:shd w:val="clear" w:color="auto" w:fill="auto"/>
            <w:vAlign w:val="bottom"/>
          </w:tcPr>
          <w:p w14:paraId="74DD8F85" w14:textId="77777777" w:rsidR="00584EC1" w:rsidRDefault="00584EC1">
            <w:pPr>
              <w:rPr>
                <w:rFonts w:ascii="宋体"/>
                <w:vanish/>
              </w:rPr>
            </w:pPr>
          </w:p>
        </w:tc>
        <w:tc>
          <w:tcPr>
            <w:tcW w:w="0" w:type="auto"/>
            <w:gridSpan w:val="3"/>
            <w:shd w:val="clear" w:color="auto" w:fill="auto"/>
            <w:vAlign w:val="bottom"/>
          </w:tcPr>
          <w:p w14:paraId="74DD8F86" w14:textId="77777777" w:rsidR="00584EC1" w:rsidRDefault="00584EC1">
            <w:pPr>
              <w:rPr>
                <w:rFonts w:ascii="宋体"/>
                <w:vanish/>
              </w:rPr>
            </w:pPr>
          </w:p>
        </w:tc>
        <w:tc>
          <w:tcPr>
            <w:tcW w:w="0" w:type="auto"/>
            <w:gridSpan w:val="3"/>
            <w:shd w:val="clear" w:color="auto" w:fill="auto"/>
            <w:vAlign w:val="bottom"/>
          </w:tcPr>
          <w:p w14:paraId="74DD8F87" w14:textId="77777777" w:rsidR="00584EC1" w:rsidRDefault="00584EC1">
            <w:pPr>
              <w:rPr>
                <w:rFonts w:ascii="宋体"/>
                <w:vanish/>
              </w:rPr>
            </w:pPr>
          </w:p>
        </w:tc>
        <w:tc>
          <w:tcPr>
            <w:tcW w:w="0" w:type="auto"/>
            <w:gridSpan w:val="3"/>
            <w:shd w:val="clear" w:color="auto" w:fill="auto"/>
            <w:vAlign w:val="bottom"/>
          </w:tcPr>
          <w:p w14:paraId="74DD8F88" w14:textId="77777777" w:rsidR="00584EC1" w:rsidRDefault="00584EC1">
            <w:pPr>
              <w:rPr>
                <w:rFonts w:ascii="宋体"/>
                <w:vanish/>
              </w:rPr>
            </w:pPr>
          </w:p>
        </w:tc>
        <w:tc>
          <w:tcPr>
            <w:tcW w:w="0" w:type="auto"/>
            <w:gridSpan w:val="3"/>
            <w:shd w:val="clear" w:color="auto" w:fill="auto"/>
            <w:vAlign w:val="bottom"/>
          </w:tcPr>
          <w:p w14:paraId="74DD8F89" w14:textId="77777777" w:rsidR="00584EC1" w:rsidRDefault="00584EC1">
            <w:pPr>
              <w:rPr>
                <w:rFonts w:ascii="宋体"/>
                <w:vanish/>
              </w:rPr>
            </w:pPr>
          </w:p>
        </w:tc>
      </w:tr>
    </w:tbl>
    <w:p w14:paraId="74DD8F8B" w14:textId="77777777" w:rsidR="00584EC1" w:rsidRDefault="00584E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3946"/>
        <w:gridCol w:w="36"/>
        <w:gridCol w:w="69"/>
        <w:gridCol w:w="233"/>
        <w:gridCol w:w="36"/>
        <w:gridCol w:w="69"/>
        <w:gridCol w:w="1121"/>
        <w:gridCol w:w="36"/>
        <w:gridCol w:w="70"/>
        <w:gridCol w:w="2615"/>
        <w:gridCol w:w="36"/>
      </w:tblGrid>
      <w:tr w:rsidR="00584EC1" w14:paraId="74DD8F98" w14:textId="77777777">
        <w:tc>
          <w:tcPr>
            <w:tcW w:w="50" w:type="pct"/>
            <w:shd w:val="clear" w:color="auto" w:fill="auto"/>
            <w:vAlign w:val="bottom"/>
          </w:tcPr>
          <w:p w14:paraId="74DD8F8C" w14:textId="77777777" w:rsidR="00584EC1" w:rsidRDefault="00584EC1">
            <w:pPr>
              <w:rPr>
                <w:rFonts w:ascii="宋体"/>
              </w:rPr>
            </w:pPr>
          </w:p>
        </w:tc>
        <w:tc>
          <w:tcPr>
            <w:tcW w:w="2374" w:type="pct"/>
            <w:shd w:val="clear" w:color="auto" w:fill="auto"/>
            <w:vAlign w:val="bottom"/>
          </w:tcPr>
          <w:p w14:paraId="74DD8F8D" w14:textId="77777777" w:rsidR="00584EC1" w:rsidRDefault="00584EC1">
            <w:pPr>
              <w:rPr>
                <w:rFonts w:ascii="宋体"/>
              </w:rPr>
            </w:pPr>
          </w:p>
        </w:tc>
        <w:tc>
          <w:tcPr>
            <w:tcW w:w="5" w:type="pct"/>
            <w:shd w:val="clear" w:color="auto" w:fill="auto"/>
            <w:vAlign w:val="bottom"/>
          </w:tcPr>
          <w:p w14:paraId="74DD8F8E" w14:textId="77777777" w:rsidR="00584EC1" w:rsidRDefault="00584EC1">
            <w:pPr>
              <w:rPr>
                <w:rFonts w:ascii="宋体"/>
              </w:rPr>
            </w:pPr>
          </w:p>
        </w:tc>
        <w:tc>
          <w:tcPr>
            <w:tcW w:w="50" w:type="pct"/>
            <w:shd w:val="clear" w:color="auto" w:fill="auto"/>
            <w:vAlign w:val="bottom"/>
          </w:tcPr>
          <w:p w14:paraId="74DD8F8F" w14:textId="77777777" w:rsidR="00584EC1" w:rsidRDefault="00584EC1">
            <w:pPr>
              <w:rPr>
                <w:rFonts w:ascii="宋体"/>
              </w:rPr>
            </w:pPr>
          </w:p>
        </w:tc>
        <w:tc>
          <w:tcPr>
            <w:tcW w:w="148" w:type="pct"/>
            <w:shd w:val="clear" w:color="auto" w:fill="auto"/>
            <w:vAlign w:val="bottom"/>
          </w:tcPr>
          <w:p w14:paraId="74DD8F90" w14:textId="77777777" w:rsidR="00584EC1" w:rsidRDefault="00584EC1">
            <w:pPr>
              <w:rPr>
                <w:rFonts w:ascii="宋体"/>
              </w:rPr>
            </w:pPr>
          </w:p>
        </w:tc>
        <w:tc>
          <w:tcPr>
            <w:tcW w:w="5" w:type="pct"/>
            <w:shd w:val="clear" w:color="auto" w:fill="auto"/>
            <w:vAlign w:val="bottom"/>
          </w:tcPr>
          <w:p w14:paraId="74DD8F91" w14:textId="77777777" w:rsidR="00584EC1" w:rsidRDefault="00584EC1">
            <w:pPr>
              <w:rPr>
                <w:rFonts w:ascii="宋体"/>
              </w:rPr>
            </w:pPr>
          </w:p>
        </w:tc>
        <w:tc>
          <w:tcPr>
            <w:tcW w:w="50" w:type="pct"/>
            <w:shd w:val="clear" w:color="auto" w:fill="auto"/>
            <w:vAlign w:val="bottom"/>
          </w:tcPr>
          <w:p w14:paraId="74DD8F92" w14:textId="77777777" w:rsidR="00584EC1" w:rsidRDefault="00584EC1">
            <w:pPr>
              <w:rPr>
                <w:rFonts w:ascii="宋体"/>
              </w:rPr>
            </w:pPr>
          </w:p>
        </w:tc>
        <w:tc>
          <w:tcPr>
            <w:tcW w:w="681" w:type="pct"/>
            <w:shd w:val="clear" w:color="auto" w:fill="auto"/>
            <w:vAlign w:val="bottom"/>
          </w:tcPr>
          <w:p w14:paraId="74DD8F93" w14:textId="77777777" w:rsidR="00584EC1" w:rsidRDefault="00584EC1">
            <w:pPr>
              <w:rPr>
                <w:rFonts w:ascii="宋体"/>
              </w:rPr>
            </w:pPr>
          </w:p>
        </w:tc>
        <w:tc>
          <w:tcPr>
            <w:tcW w:w="5" w:type="pct"/>
            <w:shd w:val="clear" w:color="auto" w:fill="auto"/>
            <w:vAlign w:val="bottom"/>
          </w:tcPr>
          <w:p w14:paraId="74DD8F94" w14:textId="77777777" w:rsidR="00584EC1" w:rsidRDefault="00584EC1">
            <w:pPr>
              <w:rPr>
                <w:rFonts w:ascii="宋体"/>
              </w:rPr>
            </w:pPr>
          </w:p>
        </w:tc>
        <w:tc>
          <w:tcPr>
            <w:tcW w:w="50" w:type="pct"/>
            <w:shd w:val="clear" w:color="auto" w:fill="auto"/>
            <w:vAlign w:val="bottom"/>
          </w:tcPr>
          <w:p w14:paraId="74DD8F95" w14:textId="77777777" w:rsidR="00584EC1" w:rsidRDefault="00584EC1">
            <w:pPr>
              <w:rPr>
                <w:rFonts w:ascii="宋体"/>
              </w:rPr>
            </w:pPr>
          </w:p>
        </w:tc>
        <w:tc>
          <w:tcPr>
            <w:tcW w:w="1575" w:type="pct"/>
            <w:shd w:val="clear" w:color="auto" w:fill="auto"/>
            <w:vAlign w:val="bottom"/>
          </w:tcPr>
          <w:p w14:paraId="74DD8F96" w14:textId="77777777" w:rsidR="00584EC1" w:rsidRDefault="00584EC1">
            <w:pPr>
              <w:rPr>
                <w:rFonts w:ascii="宋体"/>
              </w:rPr>
            </w:pPr>
          </w:p>
        </w:tc>
        <w:tc>
          <w:tcPr>
            <w:tcW w:w="5" w:type="pct"/>
            <w:shd w:val="clear" w:color="auto" w:fill="auto"/>
            <w:vAlign w:val="bottom"/>
          </w:tcPr>
          <w:p w14:paraId="74DD8F97" w14:textId="77777777" w:rsidR="00584EC1" w:rsidRDefault="00584EC1">
            <w:pPr>
              <w:rPr>
                <w:rFonts w:ascii="宋体"/>
              </w:rPr>
            </w:pPr>
          </w:p>
        </w:tc>
      </w:tr>
      <w:tr w:rsidR="00584EC1" w14:paraId="74DD8F9D"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4DD8F99"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8F9A"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8F9B"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8F9C" w14:textId="77777777" w:rsidR="00584EC1" w:rsidRDefault="00584EC1">
            <w:pPr>
              <w:rPr>
                <w:rFonts w:ascii="宋体"/>
              </w:rPr>
            </w:pPr>
          </w:p>
        </w:tc>
      </w:tr>
    </w:tbl>
    <w:p w14:paraId="74DD8F9E" w14:textId="77777777" w:rsidR="00584EC1" w:rsidRDefault="00871F8D">
      <w:pPr>
        <w:spacing w:before="60"/>
        <w:jc w:val="both"/>
        <w:textAlignment w:val="top"/>
      </w:pPr>
      <w:r>
        <w:rPr>
          <w:rFonts w:ascii="Arial" w:eastAsia="宋体" w:hAnsi="Arial" w:cs="Arial"/>
          <w:color w:val="000000"/>
          <w:sz w:val="8"/>
          <w:szCs w:val="8"/>
        </w:rPr>
        <w:t>(1)</w:t>
      </w:r>
      <w:r>
        <w:rPr>
          <w:rFonts w:ascii="Arial" w:eastAsia="宋体" w:hAnsi="Arial" w:cs="Arial"/>
          <w:color w:val="000000"/>
          <w:sz w:val="13"/>
          <w:szCs w:val="13"/>
        </w:rPr>
        <w:t xml:space="preserve"> Domestic and foreign categorization is based on the borrower’s country of domicile.</w:t>
      </w:r>
    </w:p>
    <w:p w14:paraId="74DD8F9F" w14:textId="77777777" w:rsidR="00584EC1" w:rsidRDefault="00871F8D">
      <w:pPr>
        <w:spacing w:before="60"/>
        <w:jc w:val="both"/>
        <w:textAlignment w:val="top"/>
      </w:pPr>
      <w:r>
        <w:rPr>
          <w:rFonts w:ascii="Arial" w:eastAsia="宋体" w:hAnsi="Arial" w:cs="Arial"/>
          <w:color w:val="000000"/>
          <w:sz w:val="8"/>
          <w:szCs w:val="8"/>
        </w:rPr>
        <w:t xml:space="preserve">(2) </w:t>
      </w:r>
      <w:r>
        <w:rPr>
          <w:rFonts w:ascii="Arial" w:eastAsia="宋体" w:hAnsi="Arial" w:cs="Arial"/>
          <w:color w:val="000000"/>
          <w:sz w:val="13"/>
          <w:szCs w:val="13"/>
        </w:rPr>
        <w:t xml:space="preserve">Fund finance loans include primarily $6,282 million loans to real money funds, $9,752 million private equity capital call finance loans, </w:t>
      </w:r>
      <w:r>
        <w:rPr>
          <w:rFonts w:ascii="Arial" w:eastAsia="宋体" w:hAnsi="Arial" w:cs="Arial"/>
          <w:color w:val="000000"/>
          <w:sz w:val="13"/>
          <w:szCs w:val="13"/>
        </w:rPr>
        <w:t>$993 million loans to business development companies and $2,412 million collateralized loan obligations in loan form, as of September 30, 2021, compared to $6,391 million loans to real money funds, $8,380 million private equity capital call finance loans a</w:t>
      </w:r>
      <w:r>
        <w:rPr>
          <w:rFonts w:ascii="Arial" w:eastAsia="宋体" w:hAnsi="Arial" w:cs="Arial"/>
          <w:color w:val="000000"/>
          <w:sz w:val="13"/>
          <w:szCs w:val="13"/>
        </w:rPr>
        <w:t>nd $821 million loans to business development companies as of December 31, 2020.</w:t>
      </w:r>
    </w:p>
    <w:p w14:paraId="74DD8FA0" w14:textId="77777777" w:rsidR="00584EC1" w:rsidRDefault="00871F8D">
      <w:pPr>
        <w:spacing w:before="60"/>
        <w:jc w:val="both"/>
        <w:textAlignment w:val="top"/>
      </w:pPr>
      <w:r>
        <w:rPr>
          <w:rFonts w:ascii="Arial" w:eastAsia="宋体" w:hAnsi="Arial" w:cs="Arial"/>
          <w:color w:val="000000"/>
          <w:sz w:val="8"/>
          <w:szCs w:val="8"/>
        </w:rPr>
        <w:t xml:space="preserve">(3) </w:t>
      </w:r>
      <w:r>
        <w:rPr>
          <w:rFonts w:ascii="Arial" w:eastAsia="宋体" w:hAnsi="Arial" w:cs="Arial"/>
          <w:color w:val="000000"/>
          <w:sz w:val="13"/>
          <w:szCs w:val="13"/>
        </w:rPr>
        <w:t>Includes $1,532 million securities finance loans, $589 million loans to municipalities and $19 million other loans as of September 30, 2021 and $1,911 million securities f</w:t>
      </w:r>
      <w:r>
        <w:rPr>
          <w:rFonts w:ascii="Arial" w:eastAsia="宋体" w:hAnsi="Arial" w:cs="Arial"/>
          <w:color w:val="000000"/>
          <w:sz w:val="13"/>
          <w:szCs w:val="13"/>
        </w:rPr>
        <w:t>inance loans, $754 million loans to municipalities and $54 million other loans as of December 31, 2020.</w:t>
      </w:r>
    </w:p>
    <w:p w14:paraId="74DD8FA1" w14:textId="77777777" w:rsidR="00584EC1" w:rsidRDefault="00871F8D">
      <w:pPr>
        <w:spacing w:before="60"/>
        <w:jc w:val="both"/>
        <w:textAlignment w:val="top"/>
      </w:pPr>
      <w:r>
        <w:rPr>
          <w:rFonts w:ascii="Arial" w:eastAsia="宋体" w:hAnsi="Arial" w:cs="Arial"/>
          <w:color w:val="000000"/>
          <w:sz w:val="8"/>
          <w:szCs w:val="8"/>
        </w:rPr>
        <w:t>(4)</w:t>
      </w:r>
      <w:r>
        <w:rPr>
          <w:rFonts w:ascii="Arial" w:eastAsia="宋体" w:hAnsi="Arial" w:cs="Arial"/>
          <w:color w:val="000000"/>
          <w:sz w:val="13"/>
          <w:szCs w:val="13"/>
        </w:rPr>
        <w:t xml:space="preserve"> As of September 30, 2021, excluding overdrafts, floating rate loans totaled $26,529 million and fixed rate loans totaled $2,453 million.</w:t>
      </w:r>
    </w:p>
    <w:p w14:paraId="74DD8FA2" w14:textId="77777777" w:rsidR="00584EC1" w:rsidRDefault="00871F8D">
      <w:pPr>
        <w:spacing w:before="60"/>
        <w:ind w:firstLine="450"/>
        <w:jc w:val="both"/>
        <w:textAlignment w:val="top"/>
      </w:pPr>
      <w:r>
        <w:rPr>
          <w:rFonts w:ascii="Arial" w:eastAsia="宋体" w:hAnsi="Arial" w:cs="Arial"/>
          <w:color w:val="000000"/>
          <w:sz w:val="20"/>
          <w:szCs w:val="20"/>
        </w:rPr>
        <w:t>In the seco</w:t>
      </w:r>
      <w:r>
        <w:rPr>
          <w:rFonts w:ascii="Arial" w:eastAsia="宋体" w:hAnsi="Arial" w:cs="Arial"/>
          <w:color w:val="000000"/>
          <w:sz w:val="20"/>
          <w:szCs w:val="20"/>
        </w:rPr>
        <w:t>nd quarter of 2021, in addition to our CLOs in the investment portfolio, we began purchasing CLOs in loan form. The increase in foreign loans as of September 30, 2021 compared to December 31, 2020 was primarily driven by the purchase of $2,412 million coll</w:t>
      </w:r>
      <w:r>
        <w:rPr>
          <w:rFonts w:ascii="Arial" w:eastAsia="宋体" w:hAnsi="Arial" w:cs="Arial"/>
          <w:color w:val="000000"/>
          <w:sz w:val="20"/>
          <w:szCs w:val="20"/>
        </w:rPr>
        <w:t xml:space="preserve">ateralized loan obligations in loan form in 2021. </w:t>
      </w:r>
    </w:p>
    <w:p w14:paraId="74DD8FA3" w14:textId="77777777" w:rsidR="00584EC1" w:rsidRDefault="00871F8D">
      <w:pPr>
        <w:ind w:firstLine="720"/>
        <w:jc w:val="both"/>
        <w:textAlignment w:val="top"/>
      </w:pPr>
      <w:r>
        <w:rPr>
          <w:rFonts w:ascii="Arial" w:eastAsia="宋体" w:hAnsi="Arial" w:cs="Arial"/>
          <w:color w:val="000000"/>
          <w:sz w:val="20"/>
          <w:szCs w:val="20"/>
        </w:rPr>
        <w:t>As of September 30, 2021 and December 31, 2020, our leveraged loans totaled approximately $4.72 billion and $4.17 billion, respectively. We sold $84 million of leveraged loans in the third quarter of 2021,</w:t>
      </w:r>
      <w:r>
        <w:rPr>
          <w:rFonts w:ascii="Arial" w:eastAsia="宋体" w:hAnsi="Arial" w:cs="Arial"/>
          <w:color w:val="000000"/>
          <w:sz w:val="20"/>
          <w:szCs w:val="20"/>
        </w:rPr>
        <w:t xml:space="preserve"> of which $46 million remained unsettled and was held for sale as of September 30, 2021.</w:t>
      </w:r>
    </w:p>
    <w:p w14:paraId="74DD8FA4" w14:textId="77777777" w:rsidR="00584EC1" w:rsidRDefault="00871F8D">
      <w:pPr>
        <w:spacing w:before="60"/>
        <w:ind w:firstLine="450"/>
        <w:jc w:val="both"/>
        <w:textAlignment w:val="top"/>
      </w:pPr>
      <w:r>
        <w:rPr>
          <w:rFonts w:ascii="Arial" w:eastAsia="宋体" w:hAnsi="Arial" w:cs="Arial"/>
          <w:color w:val="000000"/>
          <w:sz w:val="20"/>
          <w:szCs w:val="20"/>
        </w:rPr>
        <w:t>In addition, we had binding unfunded commitments as of September 30, 2021 and December 31, 2020 of $279 million and $149 million, respectively, to participate in syndi</w:t>
      </w:r>
      <w:r>
        <w:rPr>
          <w:rFonts w:ascii="Arial" w:eastAsia="宋体" w:hAnsi="Arial" w:cs="Arial"/>
          <w:color w:val="000000"/>
          <w:sz w:val="20"/>
          <w:szCs w:val="20"/>
        </w:rPr>
        <w:t xml:space="preserve">cations of leveraged loans. Additional information about these </w:t>
      </w:r>
    </w:p>
    <w:p w14:paraId="74DD8FA5" w14:textId="77777777" w:rsidR="00584EC1" w:rsidRDefault="00871F8D">
      <w:pPr>
        <w:spacing w:before="60"/>
        <w:jc w:val="both"/>
        <w:textAlignment w:val="top"/>
      </w:pPr>
      <w:r>
        <w:rPr>
          <w:rFonts w:ascii="Arial" w:eastAsia="宋体" w:hAnsi="Arial" w:cs="Arial"/>
          <w:color w:val="000000"/>
          <w:sz w:val="20"/>
          <w:szCs w:val="20"/>
        </w:rPr>
        <w:t>unfunded commitments is provided in Note 9 to the consolidated financial statements in this Form 10-Q.</w:t>
      </w:r>
    </w:p>
    <w:p w14:paraId="74DD8FA6" w14:textId="77777777" w:rsidR="00584EC1" w:rsidRDefault="00871F8D">
      <w:pPr>
        <w:spacing w:before="60"/>
        <w:ind w:firstLine="450"/>
        <w:jc w:val="both"/>
        <w:textAlignment w:val="top"/>
      </w:pPr>
      <w:r>
        <w:rPr>
          <w:rFonts w:ascii="Arial" w:eastAsia="宋体" w:hAnsi="Arial" w:cs="Arial"/>
          <w:color w:val="000000"/>
          <w:sz w:val="20"/>
          <w:szCs w:val="20"/>
        </w:rPr>
        <w:t>These leveraged loans, which are primarily rated “speculative” under our internal risk-ra</w:t>
      </w:r>
      <w:r>
        <w:rPr>
          <w:rFonts w:ascii="Arial" w:eastAsia="宋体" w:hAnsi="Arial" w:cs="Arial"/>
          <w:color w:val="000000"/>
          <w:sz w:val="20"/>
          <w:szCs w:val="20"/>
        </w:rPr>
        <w:t>ting framework (refer to Note 4 to the consolidated financial statements in this Form 10-Q), are externally rated “BBB,” “BB” or “B,” with approximately 88% and 85% of the loans rated “BB” or “B” as of September 30, 2021 and December 31, 2020, respectively</w:t>
      </w:r>
      <w:r>
        <w:rPr>
          <w:rFonts w:ascii="Arial" w:eastAsia="宋体" w:hAnsi="Arial" w:cs="Arial"/>
          <w:color w:val="000000"/>
          <w:sz w:val="20"/>
          <w:szCs w:val="20"/>
        </w:rPr>
        <w:t>. Our investment strategy involves generally limiting our investment to larger, more liquid credits underwritten by major global financial institutions, applying our internal credit analysis process to each potential investment and diversifying our exposur</w:t>
      </w:r>
      <w:r>
        <w:rPr>
          <w:rFonts w:ascii="Arial" w:eastAsia="宋体" w:hAnsi="Arial" w:cs="Arial"/>
          <w:color w:val="000000"/>
          <w:sz w:val="20"/>
          <w:szCs w:val="20"/>
        </w:rPr>
        <w:t xml:space="preserve">e by counterparty and industry segment. However, these loans have significant exposure to credit losses relative to higher-rated loans in our portfolio. </w:t>
      </w:r>
    </w:p>
    <w:p w14:paraId="74DD8FA7" w14:textId="77777777" w:rsidR="00584EC1" w:rsidRDefault="00871F8D">
      <w:pPr>
        <w:spacing w:before="60"/>
        <w:ind w:firstLine="450"/>
        <w:jc w:val="both"/>
        <w:textAlignment w:val="top"/>
      </w:pPr>
      <w:r>
        <w:rPr>
          <w:rFonts w:ascii="Arial" w:eastAsia="宋体" w:hAnsi="Arial" w:cs="Arial"/>
          <w:color w:val="000000"/>
          <w:sz w:val="20"/>
          <w:szCs w:val="20"/>
        </w:rPr>
        <w:t>Additional information about all of our loan segments, as well as underlying classes, is provided in N</w:t>
      </w:r>
      <w:r>
        <w:rPr>
          <w:rFonts w:ascii="Arial" w:eastAsia="宋体" w:hAnsi="Arial" w:cs="Arial"/>
          <w:color w:val="000000"/>
          <w:sz w:val="20"/>
          <w:szCs w:val="20"/>
        </w:rPr>
        <w:t>ote 4 to the consolidated financial statements in this Form 10-Q.</w:t>
      </w:r>
    </w:p>
    <w:p w14:paraId="74DD8FA8" w14:textId="77777777" w:rsidR="00584EC1" w:rsidRDefault="00871F8D">
      <w:pPr>
        <w:spacing w:before="60"/>
        <w:ind w:firstLine="450"/>
        <w:jc w:val="both"/>
        <w:textAlignment w:val="top"/>
      </w:pPr>
      <w:r>
        <w:rPr>
          <w:rFonts w:ascii="Arial" w:eastAsia="宋体" w:hAnsi="Arial" w:cs="Arial"/>
          <w:color w:val="000000"/>
          <w:sz w:val="20"/>
          <w:szCs w:val="20"/>
        </w:rPr>
        <w:t>No loans were modified in troubled debt restructurings as of both September 30, 2021 and December 31, 2020.</w:t>
      </w:r>
    </w:p>
    <w:p w14:paraId="74DD8FA9" w14:textId="77777777" w:rsidR="00584EC1" w:rsidRDefault="00871F8D">
      <w:pPr>
        <w:spacing w:before="60"/>
        <w:textAlignment w:val="top"/>
      </w:pPr>
      <w:r>
        <w:rPr>
          <w:rFonts w:ascii="Arial" w:eastAsia="宋体" w:hAnsi="Arial" w:cs="Arial"/>
          <w:b/>
          <w:bCs/>
          <w:i/>
          <w:iCs/>
          <w:color w:val="000000"/>
          <w:sz w:val="20"/>
          <w:szCs w:val="20"/>
        </w:rPr>
        <w:t>Allowance for credit losses</w:t>
      </w:r>
    </w:p>
    <w:tbl>
      <w:tblPr>
        <w:tblW w:w="5000" w:type="pct"/>
        <w:tblCellMar>
          <w:top w:w="15" w:type="dxa"/>
          <w:left w:w="15" w:type="dxa"/>
          <w:bottom w:w="15" w:type="dxa"/>
          <w:right w:w="15" w:type="dxa"/>
        </w:tblCellMar>
        <w:tblLook w:val="04A0" w:firstRow="1" w:lastRow="0" w:firstColumn="1" w:lastColumn="0" w:noHBand="0" w:noVBand="1"/>
      </w:tblPr>
      <w:tblGrid>
        <w:gridCol w:w="40"/>
        <w:gridCol w:w="3559"/>
        <w:gridCol w:w="40"/>
        <w:gridCol w:w="99"/>
        <w:gridCol w:w="1803"/>
        <w:gridCol w:w="37"/>
        <w:gridCol w:w="36"/>
        <w:gridCol w:w="65"/>
        <w:gridCol w:w="36"/>
        <w:gridCol w:w="98"/>
        <w:gridCol w:w="1803"/>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584EC1" w14:paraId="74DD8FBD" w14:textId="77777777">
        <w:tc>
          <w:tcPr>
            <w:tcW w:w="50" w:type="pct"/>
            <w:shd w:val="clear" w:color="auto" w:fill="auto"/>
            <w:vAlign w:val="bottom"/>
          </w:tcPr>
          <w:p w14:paraId="74DD8FAA" w14:textId="77777777" w:rsidR="00584EC1" w:rsidRDefault="00584EC1">
            <w:pPr>
              <w:rPr>
                <w:rFonts w:ascii="宋体"/>
              </w:rPr>
            </w:pPr>
          </w:p>
        </w:tc>
        <w:tc>
          <w:tcPr>
            <w:tcW w:w="2350" w:type="pct"/>
            <w:shd w:val="clear" w:color="auto" w:fill="auto"/>
            <w:vAlign w:val="bottom"/>
          </w:tcPr>
          <w:p w14:paraId="74DD8FAB" w14:textId="77777777" w:rsidR="00584EC1" w:rsidRDefault="00584EC1">
            <w:pPr>
              <w:rPr>
                <w:rFonts w:ascii="宋体"/>
              </w:rPr>
            </w:pPr>
          </w:p>
        </w:tc>
        <w:tc>
          <w:tcPr>
            <w:tcW w:w="5" w:type="pct"/>
            <w:shd w:val="clear" w:color="auto" w:fill="auto"/>
            <w:vAlign w:val="bottom"/>
          </w:tcPr>
          <w:p w14:paraId="74DD8FAC" w14:textId="77777777" w:rsidR="00584EC1" w:rsidRDefault="00584EC1">
            <w:pPr>
              <w:rPr>
                <w:rFonts w:ascii="宋体"/>
              </w:rPr>
            </w:pPr>
          </w:p>
        </w:tc>
        <w:tc>
          <w:tcPr>
            <w:tcW w:w="50" w:type="pct"/>
            <w:shd w:val="clear" w:color="auto" w:fill="auto"/>
            <w:vAlign w:val="bottom"/>
          </w:tcPr>
          <w:p w14:paraId="74DD8FAD" w14:textId="77777777" w:rsidR="00584EC1" w:rsidRDefault="00584EC1">
            <w:pPr>
              <w:rPr>
                <w:rFonts w:ascii="宋体"/>
              </w:rPr>
            </w:pPr>
          </w:p>
        </w:tc>
        <w:tc>
          <w:tcPr>
            <w:tcW w:w="1202" w:type="pct"/>
            <w:shd w:val="clear" w:color="auto" w:fill="auto"/>
            <w:vAlign w:val="bottom"/>
          </w:tcPr>
          <w:p w14:paraId="74DD8FAE" w14:textId="77777777" w:rsidR="00584EC1" w:rsidRDefault="00584EC1">
            <w:pPr>
              <w:rPr>
                <w:rFonts w:ascii="宋体"/>
              </w:rPr>
            </w:pPr>
          </w:p>
        </w:tc>
        <w:tc>
          <w:tcPr>
            <w:tcW w:w="5" w:type="pct"/>
            <w:shd w:val="clear" w:color="auto" w:fill="auto"/>
            <w:vAlign w:val="bottom"/>
          </w:tcPr>
          <w:p w14:paraId="74DD8FAF" w14:textId="77777777" w:rsidR="00584EC1" w:rsidRDefault="00584EC1">
            <w:pPr>
              <w:rPr>
                <w:rFonts w:ascii="宋体"/>
              </w:rPr>
            </w:pPr>
          </w:p>
        </w:tc>
        <w:tc>
          <w:tcPr>
            <w:tcW w:w="5" w:type="pct"/>
            <w:shd w:val="clear" w:color="auto" w:fill="auto"/>
            <w:vAlign w:val="bottom"/>
          </w:tcPr>
          <w:p w14:paraId="74DD8FB0" w14:textId="77777777" w:rsidR="00584EC1" w:rsidRDefault="00584EC1">
            <w:pPr>
              <w:rPr>
                <w:rFonts w:ascii="宋体"/>
              </w:rPr>
            </w:pPr>
          </w:p>
        </w:tc>
        <w:tc>
          <w:tcPr>
            <w:tcW w:w="68" w:type="pct"/>
            <w:shd w:val="clear" w:color="auto" w:fill="auto"/>
            <w:vAlign w:val="bottom"/>
          </w:tcPr>
          <w:p w14:paraId="74DD8FB1" w14:textId="77777777" w:rsidR="00584EC1" w:rsidRDefault="00584EC1">
            <w:pPr>
              <w:rPr>
                <w:rFonts w:ascii="宋体"/>
              </w:rPr>
            </w:pPr>
          </w:p>
        </w:tc>
        <w:tc>
          <w:tcPr>
            <w:tcW w:w="5" w:type="pct"/>
            <w:shd w:val="clear" w:color="auto" w:fill="auto"/>
            <w:vAlign w:val="bottom"/>
          </w:tcPr>
          <w:p w14:paraId="74DD8FB2" w14:textId="77777777" w:rsidR="00584EC1" w:rsidRDefault="00584EC1">
            <w:pPr>
              <w:rPr>
                <w:rFonts w:ascii="宋体"/>
              </w:rPr>
            </w:pPr>
          </w:p>
        </w:tc>
        <w:tc>
          <w:tcPr>
            <w:tcW w:w="50" w:type="pct"/>
            <w:shd w:val="clear" w:color="auto" w:fill="auto"/>
            <w:vAlign w:val="bottom"/>
          </w:tcPr>
          <w:p w14:paraId="74DD8FB3" w14:textId="77777777" w:rsidR="00584EC1" w:rsidRDefault="00584EC1">
            <w:pPr>
              <w:rPr>
                <w:rFonts w:ascii="宋体"/>
              </w:rPr>
            </w:pPr>
          </w:p>
        </w:tc>
        <w:tc>
          <w:tcPr>
            <w:tcW w:w="1202" w:type="pct"/>
            <w:shd w:val="clear" w:color="auto" w:fill="auto"/>
            <w:vAlign w:val="bottom"/>
          </w:tcPr>
          <w:p w14:paraId="74DD8FB4" w14:textId="77777777" w:rsidR="00584EC1" w:rsidRDefault="00584EC1">
            <w:pPr>
              <w:rPr>
                <w:rFonts w:ascii="宋体"/>
              </w:rPr>
            </w:pPr>
          </w:p>
        </w:tc>
        <w:tc>
          <w:tcPr>
            <w:tcW w:w="5" w:type="pct"/>
            <w:shd w:val="clear" w:color="auto" w:fill="auto"/>
            <w:vAlign w:val="bottom"/>
          </w:tcPr>
          <w:p w14:paraId="74DD8FB5" w14:textId="77777777" w:rsidR="00584EC1" w:rsidRDefault="00584EC1">
            <w:pPr>
              <w:rPr>
                <w:rFonts w:ascii="宋体"/>
              </w:rPr>
            </w:pPr>
          </w:p>
        </w:tc>
        <w:tc>
          <w:tcPr>
            <w:tcW w:w="0" w:type="auto"/>
            <w:shd w:val="clear" w:color="auto" w:fill="auto"/>
            <w:vAlign w:val="bottom"/>
          </w:tcPr>
          <w:p w14:paraId="74DD8FB6" w14:textId="77777777" w:rsidR="00584EC1" w:rsidRDefault="00584EC1">
            <w:pPr>
              <w:rPr>
                <w:rFonts w:ascii="宋体"/>
                <w:vanish/>
              </w:rPr>
            </w:pPr>
          </w:p>
        </w:tc>
        <w:tc>
          <w:tcPr>
            <w:tcW w:w="0" w:type="auto"/>
            <w:gridSpan w:val="3"/>
            <w:shd w:val="clear" w:color="auto" w:fill="auto"/>
            <w:vAlign w:val="bottom"/>
          </w:tcPr>
          <w:p w14:paraId="74DD8FB7" w14:textId="77777777" w:rsidR="00584EC1" w:rsidRDefault="00584EC1">
            <w:pPr>
              <w:rPr>
                <w:rFonts w:ascii="宋体"/>
                <w:vanish/>
              </w:rPr>
            </w:pPr>
          </w:p>
        </w:tc>
        <w:tc>
          <w:tcPr>
            <w:tcW w:w="0" w:type="auto"/>
            <w:gridSpan w:val="3"/>
            <w:shd w:val="clear" w:color="auto" w:fill="auto"/>
            <w:vAlign w:val="bottom"/>
          </w:tcPr>
          <w:p w14:paraId="74DD8FB8" w14:textId="77777777" w:rsidR="00584EC1" w:rsidRDefault="00584EC1">
            <w:pPr>
              <w:rPr>
                <w:rFonts w:ascii="宋体"/>
                <w:vanish/>
              </w:rPr>
            </w:pPr>
          </w:p>
        </w:tc>
        <w:tc>
          <w:tcPr>
            <w:tcW w:w="0" w:type="auto"/>
            <w:gridSpan w:val="3"/>
            <w:shd w:val="clear" w:color="auto" w:fill="auto"/>
            <w:vAlign w:val="bottom"/>
          </w:tcPr>
          <w:p w14:paraId="74DD8FB9" w14:textId="77777777" w:rsidR="00584EC1" w:rsidRDefault="00584EC1">
            <w:pPr>
              <w:rPr>
                <w:rFonts w:ascii="宋体"/>
                <w:vanish/>
              </w:rPr>
            </w:pPr>
          </w:p>
        </w:tc>
        <w:tc>
          <w:tcPr>
            <w:tcW w:w="0" w:type="auto"/>
            <w:gridSpan w:val="3"/>
            <w:shd w:val="clear" w:color="auto" w:fill="auto"/>
            <w:vAlign w:val="bottom"/>
          </w:tcPr>
          <w:p w14:paraId="74DD8FBA" w14:textId="77777777" w:rsidR="00584EC1" w:rsidRDefault="00584EC1">
            <w:pPr>
              <w:rPr>
                <w:rFonts w:ascii="宋体"/>
                <w:vanish/>
              </w:rPr>
            </w:pPr>
          </w:p>
        </w:tc>
        <w:tc>
          <w:tcPr>
            <w:tcW w:w="0" w:type="auto"/>
            <w:gridSpan w:val="3"/>
            <w:shd w:val="clear" w:color="auto" w:fill="auto"/>
            <w:vAlign w:val="bottom"/>
          </w:tcPr>
          <w:p w14:paraId="74DD8FBB" w14:textId="77777777" w:rsidR="00584EC1" w:rsidRDefault="00584EC1">
            <w:pPr>
              <w:rPr>
                <w:rFonts w:ascii="宋体"/>
                <w:vanish/>
              </w:rPr>
            </w:pPr>
          </w:p>
        </w:tc>
        <w:tc>
          <w:tcPr>
            <w:tcW w:w="0" w:type="auto"/>
            <w:gridSpan w:val="3"/>
            <w:shd w:val="clear" w:color="auto" w:fill="auto"/>
            <w:vAlign w:val="bottom"/>
          </w:tcPr>
          <w:p w14:paraId="74DD8FBC" w14:textId="77777777" w:rsidR="00584EC1" w:rsidRDefault="00584EC1">
            <w:pPr>
              <w:rPr>
                <w:rFonts w:ascii="宋体"/>
                <w:vanish/>
              </w:rPr>
            </w:pPr>
          </w:p>
        </w:tc>
      </w:tr>
      <w:tr w:rsidR="00584EC1" w14:paraId="74DD8FD2" w14:textId="77777777">
        <w:tc>
          <w:tcPr>
            <w:tcW w:w="0" w:type="auto"/>
            <w:gridSpan w:val="12"/>
            <w:shd w:val="clear" w:color="auto" w:fill="auto"/>
            <w:tcMar>
              <w:top w:w="40" w:type="dxa"/>
              <w:left w:w="20" w:type="dxa"/>
              <w:bottom w:w="40" w:type="dxa"/>
              <w:right w:w="20" w:type="dxa"/>
            </w:tcMar>
            <w:vAlign w:val="bottom"/>
          </w:tcPr>
          <w:p w14:paraId="74DD8FBE" w14:textId="77777777" w:rsidR="00584EC1" w:rsidRDefault="00871F8D">
            <w:pPr>
              <w:textAlignment w:val="bottom"/>
            </w:pPr>
            <w:r>
              <w:rPr>
                <w:rFonts w:ascii="Arial" w:eastAsia="宋体" w:hAnsi="Arial" w:cs="Arial"/>
                <w:b/>
                <w:bCs/>
                <w:color w:val="000000"/>
                <w:sz w:val="16"/>
                <w:szCs w:val="16"/>
              </w:rPr>
              <w:t xml:space="preserve">TABLE 26: ALLOWANCE FOR </w:t>
            </w:r>
            <w:r>
              <w:rPr>
                <w:rFonts w:ascii="Arial" w:eastAsia="宋体" w:hAnsi="Arial" w:cs="Arial"/>
                <w:b/>
                <w:bCs/>
                <w:color w:val="000000"/>
                <w:sz w:val="16"/>
                <w:szCs w:val="16"/>
              </w:rPr>
              <w:t>CREDIT LOSSES</w:t>
            </w:r>
          </w:p>
        </w:tc>
        <w:tc>
          <w:tcPr>
            <w:tcW w:w="0" w:type="auto"/>
            <w:shd w:val="clear" w:color="auto" w:fill="auto"/>
            <w:vAlign w:val="bottom"/>
          </w:tcPr>
          <w:p w14:paraId="74DD8FBF" w14:textId="77777777" w:rsidR="00584EC1" w:rsidRDefault="00584EC1">
            <w:pPr>
              <w:rPr>
                <w:rFonts w:ascii="宋体"/>
                <w:vanish/>
              </w:rPr>
            </w:pPr>
          </w:p>
        </w:tc>
        <w:tc>
          <w:tcPr>
            <w:tcW w:w="0" w:type="auto"/>
            <w:shd w:val="clear" w:color="auto" w:fill="auto"/>
            <w:vAlign w:val="bottom"/>
          </w:tcPr>
          <w:p w14:paraId="74DD8FC0" w14:textId="77777777" w:rsidR="00584EC1" w:rsidRDefault="00584EC1">
            <w:pPr>
              <w:rPr>
                <w:rFonts w:ascii="宋体"/>
              </w:rPr>
            </w:pPr>
          </w:p>
        </w:tc>
        <w:tc>
          <w:tcPr>
            <w:tcW w:w="0" w:type="auto"/>
            <w:shd w:val="clear" w:color="auto" w:fill="auto"/>
            <w:vAlign w:val="bottom"/>
          </w:tcPr>
          <w:p w14:paraId="74DD8FC1" w14:textId="77777777" w:rsidR="00584EC1" w:rsidRDefault="00584EC1">
            <w:pPr>
              <w:rPr>
                <w:rFonts w:ascii="宋体"/>
              </w:rPr>
            </w:pPr>
          </w:p>
        </w:tc>
        <w:tc>
          <w:tcPr>
            <w:tcW w:w="0" w:type="auto"/>
            <w:shd w:val="clear" w:color="auto" w:fill="auto"/>
            <w:vAlign w:val="bottom"/>
          </w:tcPr>
          <w:p w14:paraId="74DD8FC2" w14:textId="77777777" w:rsidR="00584EC1" w:rsidRDefault="00584EC1">
            <w:pPr>
              <w:rPr>
                <w:rFonts w:ascii="宋体"/>
              </w:rPr>
            </w:pPr>
          </w:p>
        </w:tc>
        <w:tc>
          <w:tcPr>
            <w:tcW w:w="0" w:type="auto"/>
            <w:shd w:val="clear" w:color="auto" w:fill="auto"/>
            <w:vAlign w:val="bottom"/>
          </w:tcPr>
          <w:p w14:paraId="74DD8FC3" w14:textId="77777777" w:rsidR="00584EC1" w:rsidRDefault="00584EC1">
            <w:pPr>
              <w:rPr>
                <w:rFonts w:ascii="宋体"/>
              </w:rPr>
            </w:pPr>
          </w:p>
        </w:tc>
        <w:tc>
          <w:tcPr>
            <w:tcW w:w="0" w:type="auto"/>
            <w:shd w:val="clear" w:color="auto" w:fill="auto"/>
            <w:vAlign w:val="bottom"/>
          </w:tcPr>
          <w:p w14:paraId="74DD8FC4" w14:textId="77777777" w:rsidR="00584EC1" w:rsidRDefault="00584EC1">
            <w:pPr>
              <w:rPr>
                <w:rFonts w:ascii="宋体"/>
              </w:rPr>
            </w:pPr>
          </w:p>
        </w:tc>
        <w:tc>
          <w:tcPr>
            <w:tcW w:w="0" w:type="auto"/>
            <w:shd w:val="clear" w:color="auto" w:fill="auto"/>
            <w:vAlign w:val="bottom"/>
          </w:tcPr>
          <w:p w14:paraId="74DD8FC5" w14:textId="77777777" w:rsidR="00584EC1" w:rsidRDefault="00584EC1">
            <w:pPr>
              <w:rPr>
                <w:rFonts w:ascii="宋体"/>
              </w:rPr>
            </w:pPr>
          </w:p>
        </w:tc>
        <w:tc>
          <w:tcPr>
            <w:tcW w:w="0" w:type="auto"/>
            <w:shd w:val="clear" w:color="auto" w:fill="auto"/>
            <w:vAlign w:val="bottom"/>
          </w:tcPr>
          <w:p w14:paraId="74DD8FC6" w14:textId="77777777" w:rsidR="00584EC1" w:rsidRDefault="00584EC1">
            <w:pPr>
              <w:rPr>
                <w:rFonts w:ascii="宋体"/>
              </w:rPr>
            </w:pPr>
          </w:p>
        </w:tc>
        <w:tc>
          <w:tcPr>
            <w:tcW w:w="0" w:type="auto"/>
            <w:shd w:val="clear" w:color="auto" w:fill="auto"/>
            <w:vAlign w:val="bottom"/>
          </w:tcPr>
          <w:p w14:paraId="74DD8FC7" w14:textId="77777777" w:rsidR="00584EC1" w:rsidRDefault="00584EC1">
            <w:pPr>
              <w:rPr>
                <w:rFonts w:ascii="宋体"/>
              </w:rPr>
            </w:pPr>
          </w:p>
        </w:tc>
        <w:tc>
          <w:tcPr>
            <w:tcW w:w="0" w:type="auto"/>
            <w:shd w:val="clear" w:color="auto" w:fill="auto"/>
            <w:vAlign w:val="bottom"/>
          </w:tcPr>
          <w:p w14:paraId="74DD8FC8" w14:textId="77777777" w:rsidR="00584EC1" w:rsidRDefault="00584EC1">
            <w:pPr>
              <w:rPr>
                <w:rFonts w:ascii="宋体"/>
              </w:rPr>
            </w:pPr>
          </w:p>
        </w:tc>
        <w:tc>
          <w:tcPr>
            <w:tcW w:w="0" w:type="auto"/>
            <w:shd w:val="clear" w:color="auto" w:fill="auto"/>
            <w:vAlign w:val="bottom"/>
          </w:tcPr>
          <w:p w14:paraId="74DD8FC9" w14:textId="77777777" w:rsidR="00584EC1" w:rsidRDefault="00584EC1">
            <w:pPr>
              <w:rPr>
                <w:rFonts w:ascii="宋体"/>
              </w:rPr>
            </w:pPr>
          </w:p>
        </w:tc>
        <w:tc>
          <w:tcPr>
            <w:tcW w:w="0" w:type="auto"/>
            <w:shd w:val="clear" w:color="auto" w:fill="auto"/>
            <w:vAlign w:val="bottom"/>
          </w:tcPr>
          <w:p w14:paraId="74DD8FCA" w14:textId="77777777" w:rsidR="00584EC1" w:rsidRDefault="00584EC1">
            <w:pPr>
              <w:rPr>
                <w:rFonts w:ascii="宋体"/>
              </w:rPr>
            </w:pPr>
          </w:p>
        </w:tc>
        <w:tc>
          <w:tcPr>
            <w:tcW w:w="0" w:type="auto"/>
            <w:shd w:val="clear" w:color="auto" w:fill="auto"/>
            <w:vAlign w:val="bottom"/>
          </w:tcPr>
          <w:p w14:paraId="74DD8FCB" w14:textId="77777777" w:rsidR="00584EC1" w:rsidRDefault="00584EC1">
            <w:pPr>
              <w:rPr>
                <w:rFonts w:ascii="宋体"/>
              </w:rPr>
            </w:pPr>
          </w:p>
        </w:tc>
        <w:tc>
          <w:tcPr>
            <w:tcW w:w="0" w:type="auto"/>
            <w:shd w:val="clear" w:color="auto" w:fill="auto"/>
            <w:vAlign w:val="bottom"/>
          </w:tcPr>
          <w:p w14:paraId="74DD8FCC" w14:textId="77777777" w:rsidR="00584EC1" w:rsidRDefault="00584EC1">
            <w:pPr>
              <w:rPr>
                <w:rFonts w:ascii="宋体"/>
              </w:rPr>
            </w:pPr>
          </w:p>
        </w:tc>
        <w:tc>
          <w:tcPr>
            <w:tcW w:w="0" w:type="auto"/>
            <w:shd w:val="clear" w:color="auto" w:fill="auto"/>
            <w:vAlign w:val="bottom"/>
          </w:tcPr>
          <w:p w14:paraId="74DD8FCD" w14:textId="77777777" w:rsidR="00584EC1" w:rsidRDefault="00584EC1">
            <w:pPr>
              <w:rPr>
                <w:rFonts w:ascii="宋体"/>
              </w:rPr>
            </w:pPr>
          </w:p>
        </w:tc>
        <w:tc>
          <w:tcPr>
            <w:tcW w:w="0" w:type="auto"/>
            <w:shd w:val="clear" w:color="auto" w:fill="auto"/>
            <w:vAlign w:val="bottom"/>
          </w:tcPr>
          <w:p w14:paraId="74DD8FCE" w14:textId="77777777" w:rsidR="00584EC1" w:rsidRDefault="00584EC1">
            <w:pPr>
              <w:rPr>
                <w:rFonts w:ascii="宋体"/>
              </w:rPr>
            </w:pPr>
          </w:p>
        </w:tc>
        <w:tc>
          <w:tcPr>
            <w:tcW w:w="0" w:type="auto"/>
            <w:shd w:val="clear" w:color="auto" w:fill="auto"/>
            <w:vAlign w:val="bottom"/>
          </w:tcPr>
          <w:p w14:paraId="74DD8FCF" w14:textId="77777777" w:rsidR="00584EC1" w:rsidRDefault="00584EC1">
            <w:pPr>
              <w:rPr>
                <w:rFonts w:ascii="宋体"/>
              </w:rPr>
            </w:pPr>
          </w:p>
        </w:tc>
        <w:tc>
          <w:tcPr>
            <w:tcW w:w="0" w:type="auto"/>
            <w:shd w:val="clear" w:color="auto" w:fill="auto"/>
            <w:vAlign w:val="bottom"/>
          </w:tcPr>
          <w:p w14:paraId="74DD8FD0" w14:textId="77777777" w:rsidR="00584EC1" w:rsidRDefault="00584EC1">
            <w:pPr>
              <w:rPr>
                <w:rFonts w:ascii="宋体"/>
              </w:rPr>
            </w:pPr>
          </w:p>
        </w:tc>
        <w:tc>
          <w:tcPr>
            <w:tcW w:w="0" w:type="auto"/>
            <w:shd w:val="clear" w:color="auto" w:fill="auto"/>
            <w:vAlign w:val="bottom"/>
          </w:tcPr>
          <w:p w14:paraId="74DD8FD1" w14:textId="77777777" w:rsidR="00584EC1" w:rsidRDefault="00584EC1">
            <w:pPr>
              <w:rPr>
                <w:rFonts w:ascii="宋体"/>
              </w:rPr>
            </w:pPr>
          </w:p>
        </w:tc>
      </w:tr>
      <w:tr w:rsidR="00584EC1" w14:paraId="74DD8FE8" w14:textId="77777777">
        <w:tc>
          <w:tcPr>
            <w:tcW w:w="0" w:type="auto"/>
            <w:gridSpan w:val="3"/>
            <w:shd w:val="clear" w:color="auto" w:fill="auto"/>
            <w:tcMar>
              <w:top w:w="0" w:type="dxa"/>
              <w:left w:w="20" w:type="dxa"/>
              <w:bottom w:w="0" w:type="dxa"/>
              <w:right w:w="20" w:type="dxa"/>
            </w:tcMar>
            <w:vAlign w:val="bottom"/>
          </w:tcPr>
          <w:p w14:paraId="74DD8FD3" w14:textId="77777777" w:rsidR="00584EC1" w:rsidRDefault="00584EC1">
            <w:pPr>
              <w:rPr>
                <w:rFonts w:ascii="宋体"/>
              </w:rPr>
            </w:pPr>
          </w:p>
        </w:tc>
        <w:tc>
          <w:tcPr>
            <w:tcW w:w="0" w:type="auto"/>
            <w:gridSpan w:val="9"/>
            <w:shd w:val="clear" w:color="auto" w:fill="auto"/>
            <w:tcMar>
              <w:top w:w="40" w:type="dxa"/>
              <w:left w:w="20" w:type="dxa"/>
              <w:bottom w:w="40" w:type="dxa"/>
              <w:right w:w="20" w:type="dxa"/>
            </w:tcMar>
            <w:vAlign w:val="bottom"/>
          </w:tcPr>
          <w:p w14:paraId="74DD8FD4" w14:textId="77777777" w:rsidR="00584EC1" w:rsidRDefault="00871F8D">
            <w:pPr>
              <w:jc w:val="center"/>
              <w:textAlignment w:val="bottom"/>
            </w:pPr>
            <w:r>
              <w:rPr>
                <w:rFonts w:ascii="Arial" w:eastAsia="宋体" w:hAnsi="Arial" w:cs="Arial"/>
                <w:b/>
                <w:bCs/>
                <w:color w:val="000000"/>
                <w:sz w:val="14"/>
                <w:szCs w:val="14"/>
              </w:rPr>
              <w:t>Nine Months Ended September 30,</w:t>
            </w:r>
          </w:p>
        </w:tc>
        <w:tc>
          <w:tcPr>
            <w:tcW w:w="0" w:type="auto"/>
            <w:shd w:val="clear" w:color="auto" w:fill="auto"/>
            <w:vAlign w:val="bottom"/>
          </w:tcPr>
          <w:p w14:paraId="74DD8FD5" w14:textId="77777777" w:rsidR="00584EC1" w:rsidRDefault="00584EC1">
            <w:pPr>
              <w:rPr>
                <w:rFonts w:ascii="宋体"/>
                <w:vanish/>
              </w:rPr>
            </w:pPr>
          </w:p>
        </w:tc>
        <w:tc>
          <w:tcPr>
            <w:tcW w:w="0" w:type="auto"/>
            <w:shd w:val="clear" w:color="auto" w:fill="auto"/>
            <w:vAlign w:val="bottom"/>
          </w:tcPr>
          <w:p w14:paraId="74DD8FD6" w14:textId="77777777" w:rsidR="00584EC1" w:rsidRDefault="00584EC1">
            <w:pPr>
              <w:rPr>
                <w:rFonts w:ascii="宋体"/>
              </w:rPr>
            </w:pPr>
          </w:p>
        </w:tc>
        <w:tc>
          <w:tcPr>
            <w:tcW w:w="0" w:type="auto"/>
            <w:shd w:val="clear" w:color="auto" w:fill="auto"/>
            <w:vAlign w:val="bottom"/>
          </w:tcPr>
          <w:p w14:paraId="74DD8FD7" w14:textId="77777777" w:rsidR="00584EC1" w:rsidRDefault="00584EC1">
            <w:pPr>
              <w:rPr>
                <w:rFonts w:ascii="宋体"/>
              </w:rPr>
            </w:pPr>
          </w:p>
        </w:tc>
        <w:tc>
          <w:tcPr>
            <w:tcW w:w="0" w:type="auto"/>
            <w:shd w:val="clear" w:color="auto" w:fill="auto"/>
            <w:vAlign w:val="bottom"/>
          </w:tcPr>
          <w:p w14:paraId="74DD8FD8" w14:textId="77777777" w:rsidR="00584EC1" w:rsidRDefault="00584EC1">
            <w:pPr>
              <w:rPr>
                <w:rFonts w:ascii="宋体"/>
              </w:rPr>
            </w:pPr>
          </w:p>
        </w:tc>
        <w:tc>
          <w:tcPr>
            <w:tcW w:w="0" w:type="auto"/>
            <w:shd w:val="clear" w:color="auto" w:fill="auto"/>
            <w:vAlign w:val="bottom"/>
          </w:tcPr>
          <w:p w14:paraId="74DD8FD9" w14:textId="77777777" w:rsidR="00584EC1" w:rsidRDefault="00584EC1">
            <w:pPr>
              <w:rPr>
                <w:rFonts w:ascii="宋体"/>
              </w:rPr>
            </w:pPr>
          </w:p>
        </w:tc>
        <w:tc>
          <w:tcPr>
            <w:tcW w:w="0" w:type="auto"/>
            <w:shd w:val="clear" w:color="auto" w:fill="auto"/>
            <w:vAlign w:val="bottom"/>
          </w:tcPr>
          <w:p w14:paraId="74DD8FDA" w14:textId="77777777" w:rsidR="00584EC1" w:rsidRDefault="00584EC1">
            <w:pPr>
              <w:rPr>
                <w:rFonts w:ascii="宋体"/>
              </w:rPr>
            </w:pPr>
          </w:p>
        </w:tc>
        <w:tc>
          <w:tcPr>
            <w:tcW w:w="0" w:type="auto"/>
            <w:shd w:val="clear" w:color="auto" w:fill="auto"/>
            <w:vAlign w:val="bottom"/>
          </w:tcPr>
          <w:p w14:paraId="74DD8FDB" w14:textId="77777777" w:rsidR="00584EC1" w:rsidRDefault="00584EC1">
            <w:pPr>
              <w:rPr>
                <w:rFonts w:ascii="宋体"/>
              </w:rPr>
            </w:pPr>
          </w:p>
        </w:tc>
        <w:tc>
          <w:tcPr>
            <w:tcW w:w="0" w:type="auto"/>
            <w:shd w:val="clear" w:color="auto" w:fill="auto"/>
            <w:vAlign w:val="bottom"/>
          </w:tcPr>
          <w:p w14:paraId="74DD8FDC" w14:textId="77777777" w:rsidR="00584EC1" w:rsidRDefault="00584EC1">
            <w:pPr>
              <w:rPr>
                <w:rFonts w:ascii="宋体"/>
              </w:rPr>
            </w:pPr>
          </w:p>
        </w:tc>
        <w:tc>
          <w:tcPr>
            <w:tcW w:w="0" w:type="auto"/>
            <w:shd w:val="clear" w:color="auto" w:fill="auto"/>
            <w:vAlign w:val="bottom"/>
          </w:tcPr>
          <w:p w14:paraId="74DD8FDD" w14:textId="77777777" w:rsidR="00584EC1" w:rsidRDefault="00584EC1">
            <w:pPr>
              <w:rPr>
                <w:rFonts w:ascii="宋体"/>
              </w:rPr>
            </w:pPr>
          </w:p>
        </w:tc>
        <w:tc>
          <w:tcPr>
            <w:tcW w:w="0" w:type="auto"/>
            <w:shd w:val="clear" w:color="auto" w:fill="auto"/>
            <w:vAlign w:val="bottom"/>
          </w:tcPr>
          <w:p w14:paraId="74DD8FDE" w14:textId="77777777" w:rsidR="00584EC1" w:rsidRDefault="00584EC1">
            <w:pPr>
              <w:rPr>
                <w:rFonts w:ascii="宋体"/>
              </w:rPr>
            </w:pPr>
          </w:p>
        </w:tc>
        <w:tc>
          <w:tcPr>
            <w:tcW w:w="0" w:type="auto"/>
            <w:shd w:val="clear" w:color="auto" w:fill="auto"/>
            <w:vAlign w:val="bottom"/>
          </w:tcPr>
          <w:p w14:paraId="74DD8FDF" w14:textId="77777777" w:rsidR="00584EC1" w:rsidRDefault="00584EC1">
            <w:pPr>
              <w:rPr>
                <w:rFonts w:ascii="宋体"/>
              </w:rPr>
            </w:pPr>
          </w:p>
        </w:tc>
        <w:tc>
          <w:tcPr>
            <w:tcW w:w="0" w:type="auto"/>
            <w:shd w:val="clear" w:color="auto" w:fill="auto"/>
            <w:vAlign w:val="bottom"/>
          </w:tcPr>
          <w:p w14:paraId="74DD8FE0" w14:textId="77777777" w:rsidR="00584EC1" w:rsidRDefault="00584EC1">
            <w:pPr>
              <w:rPr>
                <w:rFonts w:ascii="宋体"/>
              </w:rPr>
            </w:pPr>
          </w:p>
        </w:tc>
        <w:tc>
          <w:tcPr>
            <w:tcW w:w="0" w:type="auto"/>
            <w:shd w:val="clear" w:color="auto" w:fill="auto"/>
            <w:vAlign w:val="bottom"/>
          </w:tcPr>
          <w:p w14:paraId="74DD8FE1" w14:textId="77777777" w:rsidR="00584EC1" w:rsidRDefault="00584EC1">
            <w:pPr>
              <w:rPr>
                <w:rFonts w:ascii="宋体"/>
              </w:rPr>
            </w:pPr>
          </w:p>
        </w:tc>
        <w:tc>
          <w:tcPr>
            <w:tcW w:w="0" w:type="auto"/>
            <w:shd w:val="clear" w:color="auto" w:fill="auto"/>
            <w:vAlign w:val="bottom"/>
          </w:tcPr>
          <w:p w14:paraId="74DD8FE2" w14:textId="77777777" w:rsidR="00584EC1" w:rsidRDefault="00584EC1">
            <w:pPr>
              <w:rPr>
                <w:rFonts w:ascii="宋体"/>
              </w:rPr>
            </w:pPr>
          </w:p>
        </w:tc>
        <w:tc>
          <w:tcPr>
            <w:tcW w:w="0" w:type="auto"/>
            <w:shd w:val="clear" w:color="auto" w:fill="auto"/>
            <w:vAlign w:val="bottom"/>
          </w:tcPr>
          <w:p w14:paraId="74DD8FE3" w14:textId="77777777" w:rsidR="00584EC1" w:rsidRDefault="00584EC1">
            <w:pPr>
              <w:rPr>
                <w:rFonts w:ascii="宋体"/>
              </w:rPr>
            </w:pPr>
          </w:p>
        </w:tc>
        <w:tc>
          <w:tcPr>
            <w:tcW w:w="0" w:type="auto"/>
            <w:shd w:val="clear" w:color="auto" w:fill="auto"/>
            <w:vAlign w:val="bottom"/>
          </w:tcPr>
          <w:p w14:paraId="74DD8FE4" w14:textId="77777777" w:rsidR="00584EC1" w:rsidRDefault="00584EC1">
            <w:pPr>
              <w:rPr>
                <w:rFonts w:ascii="宋体"/>
              </w:rPr>
            </w:pPr>
          </w:p>
        </w:tc>
        <w:tc>
          <w:tcPr>
            <w:tcW w:w="0" w:type="auto"/>
            <w:shd w:val="clear" w:color="auto" w:fill="auto"/>
            <w:vAlign w:val="bottom"/>
          </w:tcPr>
          <w:p w14:paraId="74DD8FE5" w14:textId="77777777" w:rsidR="00584EC1" w:rsidRDefault="00584EC1">
            <w:pPr>
              <w:rPr>
                <w:rFonts w:ascii="宋体"/>
              </w:rPr>
            </w:pPr>
          </w:p>
        </w:tc>
        <w:tc>
          <w:tcPr>
            <w:tcW w:w="0" w:type="auto"/>
            <w:shd w:val="clear" w:color="auto" w:fill="auto"/>
            <w:vAlign w:val="bottom"/>
          </w:tcPr>
          <w:p w14:paraId="74DD8FE6" w14:textId="77777777" w:rsidR="00584EC1" w:rsidRDefault="00584EC1">
            <w:pPr>
              <w:rPr>
                <w:rFonts w:ascii="宋体"/>
              </w:rPr>
            </w:pPr>
          </w:p>
        </w:tc>
        <w:tc>
          <w:tcPr>
            <w:tcW w:w="0" w:type="auto"/>
            <w:shd w:val="clear" w:color="auto" w:fill="auto"/>
            <w:vAlign w:val="bottom"/>
          </w:tcPr>
          <w:p w14:paraId="74DD8FE7" w14:textId="77777777" w:rsidR="00584EC1" w:rsidRDefault="00584EC1">
            <w:pPr>
              <w:rPr>
                <w:rFonts w:ascii="宋体"/>
              </w:rPr>
            </w:pPr>
          </w:p>
        </w:tc>
      </w:tr>
      <w:tr w:rsidR="00584EC1" w14:paraId="74DD8FF4" w14:textId="77777777">
        <w:tc>
          <w:tcPr>
            <w:tcW w:w="0" w:type="auto"/>
            <w:gridSpan w:val="3"/>
            <w:shd w:val="clear" w:color="auto" w:fill="auto"/>
            <w:tcMar>
              <w:top w:w="40" w:type="dxa"/>
              <w:left w:w="20" w:type="dxa"/>
              <w:bottom w:w="40" w:type="dxa"/>
              <w:right w:w="20" w:type="dxa"/>
            </w:tcMar>
            <w:vAlign w:val="bottom"/>
          </w:tcPr>
          <w:p w14:paraId="74DD8FE9" w14:textId="77777777" w:rsidR="00584EC1" w:rsidRDefault="00871F8D">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8FEA" w14:textId="77777777" w:rsidR="00584EC1" w:rsidRDefault="00871F8D">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8FEB"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8FEC" w14:textId="77777777" w:rsidR="00584EC1" w:rsidRDefault="00871F8D">
            <w:pPr>
              <w:jc w:val="center"/>
              <w:textAlignment w:val="bottom"/>
            </w:pPr>
            <w:r>
              <w:rPr>
                <w:rFonts w:ascii="Arial" w:eastAsia="宋体" w:hAnsi="Arial" w:cs="Arial"/>
                <w:b/>
                <w:bCs/>
                <w:color w:val="000000"/>
                <w:sz w:val="14"/>
                <w:szCs w:val="14"/>
              </w:rPr>
              <w:t>2020</w:t>
            </w:r>
          </w:p>
        </w:tc>
        <w:tc>
          <w:tcPr>
            <w:tcW w:w="0" w:type="auto"/>
            <w:shd w:val="clear" w:color="auto" w:fill="auto"/>
            <w:vAlign w:val="bottom"/>
          </w:tcPr>
          <w:p w14:paraId="74DD8FED" w14:textId="77777777" w:rsidR="00584EC1" w:rsidRDefault="00584EC1">
            <w:pPr>
              <w:rPr>
                <w:rFonts w:ascii="宋体"/>
                <w:vanish/>
              </w:rPr>
            </w:pPr>
          </w:p>
        </w:tc>
        <w:tc>
          <w:tcPr>
            <w:tcW w:w="0" w:type="auto"/>
            <w:gridSpan w:val="3"/>
            <w:shd w:val="clear" w:color="auto" w:fill="auto"/>
            <w:vAlign w:val="bottom"/>
          </w:tcPr>
          <w:p w14:paraId="74DD8FEE" w14:textId="77777777" w:rsidR="00584EC1" w:rsidRDefault="00584EC1">
            <w:pPr>
              <w:rPr>
                <w:rFonts w:ascii="宋体"/>
                <w:vanish/>
              </w:rPr>
            </w:pPr>
          </w:p>
        </w:tc>
        <w:tc>
          <w:tcPr>
            <w:tcW w:w="0" w:type="auto"/>
            <w:gridSpan w:val="3"/>
            <w:shd w:val="clear" w:color="auto" w:fill="auto"/>
            <w:vAlign w:val="bottom"/>
          </w:tcPr>
          <w:p w14:paraId="74DD8FEF" w14:textId="77777777" w:rsidR="00584EC1" w:rsidRDefault="00584EC1">
            <w:pPr>
              <w:rPr>
                <w:rFonts w:ascii="宋体"/>
                <w:vanish/>
              </w:rPr>
            </w:pPr>
          </w:p>
        </w:tc>
        <w:tc>
          <w:tcPr>
            <w:tcW w:w="0" w:type="auto"/>
            <w:gridSpan w:val="3"/>
            <w:shd w:val="clear" w:color="auto" w:fill="auto"/>
            <w:vAlign w:val="bottom"/>
          </w:tcPr>
          <w:p w14:paraId="74DD8FF0" w14:textId="77777777" w:rsidR="00584EC1" w:rsidRDefault="00584EC1">
            <w:pPr>
              <w:rPr>
                <w:rFonts w:ascii="宋体"/>
                <w:vanish/>
              </w:rPr>
            </w:pPr>
          </w:p>
        </w:tc>
        <w:tc>
          <w:tcPr>
            <w:tcW w:w="0" w:type="auto"/>
            <w:gridSpan w:val="3"/>
            <w:shd w:val="clear" w:color="auto" w:fill="auto"/>
            <w:vAlign w:val="bottom"/>
          </w:tcPr>
          <w:p w14:paraId="74DD8FF1" w14:textId="77777777" w:rsidR="00584EC1" w:rsidRDefault="00584EC1">
            <w:pPr>
              <w:rPr>
                <w:rFonts w:ascii="宋体"/>
                <w:vanish/>
              </w:rPr>
            </w:pPr>
          </w:p>
        </w:tc>
        <w:tc>
          <w:tcPr>
            <w:tcW w:w="0" w:type="auto"/>
            <w:gridSpan w:val="3"/>
            <w:shd w:val="clear" w:color="auto" w:fill="auto"/>
            <w:vAlign w:val="bottom"/>
          </w:tcPr>
          <w:p w14:paraId="74DD8FF2" w14:textId="77777777" w:rsidR="00584EC1" w:rsidRDefault="00584EC1">
            <w:pPr>
              <w:rPr>
                <w:rFonts w:ascii="宋体"/>
                <w:vanish/>
              </w:rPr>
            </w:pPr>
          </w:p>
        </w:tc>
        <w:tc>
          <w:tcPr>
            <w:tcW w:w="0" w:type="auto"/>
            <w:gridSpan w:val="3"/>
            <w:shd w:val="clear" w:color="auto" w:fill="auto"/>
            <w:vAlign w:val="bottom"/>
          </w:tcPr>
          <w:p w14:paraId="74DD8FF3" w14:textId="77777777" w:rsidR="00584EC1" w:rsidRDefault="00584EC1">
            <w:pPr>
              <w:rPr>
                <w:rFonts w:ascii="宋体"/>
                <w:vanish/>
              </w:rPr>
            </w:pPr>
          </w:p>
        </w:tc>
      </w:tr>
      <w:tr w:rsidR="00584EC1" w14:paraId="74DD9000" w14:textId="77777777">
        <w:tc>
          <w:tcPr>
            <w:tcW w:w="0" w:type="auto"/>
            <w:gridSpan w:val="3"/>
            <w:shd w:val="clear" w:color="auto" w:fill="FFFFFF"/>
            <w:tcMar>
              <w:top w:w="40" w:type="dxa"/>
              <w:left w:w="20" w:type="dxa"/>
              <w:bottom w:w="40" w:type="dxa"/>
              <w:right w:w="20" w:type="dxa"/>
            </w:tcMar>
            <w:vAlign w:val="bottom"/>
          </w:tcPr>
          <w:p w14:paraId="74DD8FF5" w14:textId="77777777" w:rsidR="00584EC1" w:rsidRDefault="00871F8D">
            <w:pPr>
              <w:textAlignment w:val="bottom"/>
            </w:pPr>
            <w:r>
              <w:rPr>
                <w:rFonts w:ascii="Arial" w:eastAsia="宋体" w:hAnsi="Arial" w:cs="Arial"/>
                <w:b/>
                <w:bCs/>
                <w:color w:val="000000"/>
                <w:sz w:val="14"/>
                <w:szCs w:val="14"/>
              </w:rPr>
              <w:t>Allowance for credit losses: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8FF6"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8FF7"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8FF8" w14:textId="77777777" w:rsidR="00584EC1" w:rsidRDefault="00584EC1">
            <w:pPr>
              <w:rPr>
                <w:rFonts w:ascii="宋体"/>
              </w:rPr>
            </w:pPr>
          </w:p>
        </w:tc>
        <w:tc>
          <w:tcPr>
            <w:tcW w:w="0" w:type="auto"/>
            <w:shd w:val="clear" w:color="auto" w:fill="auto"/>
            <w:vAlign w:val="bottom"/>
          </w:tcPr>
          <w:p w14:paraId="74DD8FF9" w14:textId="77777777" w:rsidR="00584EC1" w:rsidRDefault="00584EC1">
            <w:pPr>
              <w:rPr>
                <w:rFonts w:ascii="宋体"/>
                <w:vanish/>
              </w:rPr>
            </w:pPr>
          </w:p>
        </w:tc>
        <w:tc>
          <w:tcPr>
            <w:tcW w:w="0" w:type="auto"/>
            <w:gridSpan w:val="3"/>
            <w:shd w:val="clear" w:color="auto" w:fill="auto"/>
            <w:vAlign w:val="bottom"/>
          </w:tcPr>
          <w:p w14:paraId="74DD8FFA" w14:textId="77777777" w:rsidR="00584EC1" w:rsidRDefault="00584EC1">
            <w:pPr>
              <w:rPr>
                <w:rFonts w:ascii="宋体"/>
                <w:vanish/>
              </w:rPr>
            </w:pPr>
          </w:p>
        </w:tc>
        <w:tc>
          <w:tcPr>
            <w:tcW w:w="0" w:type="auto"/>
            <w:gridSpan w:val="3"/>
            <w:shd w:val="clear" w:color="auto" w:fill="auto"/>
            <w:vAlign w:val="bottom"/>
          </w:tcPr>
          <w:p w14:paraId="74DD8FFB" w14:textId="77777777" w:rsidR="00584EC1" w:rsidRDefault="00584EC1">
            <w:pPr>
              <w:rPr>
                <w:rFonts w:ascii="宋体"/>
                <w:vanish/>
              </w:rPr>
            </w:pPr>
          </w:p>
        </w:tc>
        <w:tc>
          <w:tcPr>
            <w:tcW w:w="0" w:type="auto"/>
            <w:gridSpan w:val="3"/>
            <w:shd w:val="clear" w:color="auto" w:fill="auto"/>
            <w:vAlign w:val="bottom"/>
          </w:tcPr>
          <w:p w14:paraId="74DD8FFC" w14:textId="77777777" w:rsidR="00584EC1" w:rsidRDefault="00584EC1">
            <w:pPr>
              <w:rPr>
                <w:rFonts w:ascii="宋体"/>
                <w:vanish/>
              </w:rPr>
            </w:pPr>
          </w:p>
        </w:tc>
        <w:tc>
          <w:tcPr>
            <w:tcW w:w="0" w:type="auto"/>
            <w:gridSpan w:val="3"/>
            <w:shd w:val="clear" w:color="auto" w:fill="auto"/>
            <w:vAlign w:val="bottom"/>
          </w:tcPr>
          <w:p w14:paraId="74DD8FFD" w14:textId="77777777" w:rsidR="00584EC1" w:rsidRDefault="00584EC1">
            <w:pPr>
              <w:rPr>
                <w:rFonts w:ascii="宋体"/>
                <w:vanish/>
              </w:rPr>
            </w:pPr>
          </w:p>
        </w:tc>
        <w:tc>
          <w:tcPr>
            <w:tcW w:w="0" w:type="auto"/>
            <w:gridSpan w:val="3"/>
            <w:shd w:val="clear" w:color="auto" w:fill="auto"/>
            <w:vAlign w:val="bottom"/>
          </w:tcPr>
          <w:p w14:paraId="74DD8FFE" w14:textId="77777777" w:rsidR="00584EC1" w:rsidRDefault="00584EC1">
            <w:pPr>
              <w:rPr>
                <w:rFonts w:ascii="宋体"/>
                <w:vanish/>
              </w:rPr>
            </w:pPr>
          </w:p>
        </w:tc>
        <w:tc>
          <w:tcPr>
            <w:tcW w:w="0" w:type="auto"/>
            <w:gridSpan w:val="3"/>
            <w:shd w:val="clear" w:color="auto" w:fill="auto"/>
            <w:vAlign w:val="bottom"/>
          </w:tcPr>
          <w:p w14:paraId="74DD8FFF" w14:textId="77777777" w:rsidR="00584EC1" w:rsidRDefault="00584EC1">
            <w:pPr>
              <w:rPr>
                <w:rFonts w:ascii="宋体"/>
                <w:vanish/>
              </w:rPr>
            </w:pPr>
          </w:p>
        </w:tc>
      </w:tr>
      <w:tr w:rsidR="00584EC1" w14:paraId="74DD9010" w14:textId="77777777">
        <w:tc>
          <w:tcPr>
            <w:tcW w:w="0" w:type="auto"/>
            <w:gridSpan w:val="3"/>
            <w:shd w:val="clear" w:color="auto" w:fill="CCEEFF"/>
            <w:tcMar>
              <w:top w:w="40" w:type="dxa"/>
              <w:left w:w="20" w:type="dxa"/>
              <w:bottom w:w="40" w:type="dxa"/>
              <w:right w:w="20" w:type="dxa"/>
            </w:tcMar>
            <w:vAlign w:val="bottom"/>
          </w:tcPr>
          <w:p w14:paraId="74DD9001" w14:textId="77777777" w:rsidR="00584EC1" w:rsidRDefault="00871F8D">
            <w:pPr>
              <w:textAlignment w:val="bottom"/>
            </w:pPr>
            <w:r>
              <w:rPr>
                <w:rFonts w:ascii="Arial" w:eastAsia="宋体" w:hAnsi="Arial" w:cs="Arial"/>
                <w:color w:val="000000"/>
                <w:sz w:val="14"/>
                <w:szCs w:val="14"/>
              </w:rPr>
              <w:t>Beginning balance</w:t>
            </w:r>
          </w:p>
        </w:tc>
        <w:tc>
          <w:tcPr>
            <w:tcW w:w="0" w:type="auto"/>
            <w:shd w:val="clear" w:color="auto" w:fill="CCEEFF"/>
            <w:tcMar>
              <w:top w:w="40" w:type="dxa"/>
              <w:left w:w="20" w:type="dxa"/>
              <w:bottom w:w="40" w:type="dxa"/>
              <w:right w:w="0" w:type="dxa"/>
            </w:tcMar>
            <w:vAlign w:val="bottom"/>
          </w:tcPr>
          <w:p w14:paraId="74DD9002" w14:textId="77777777" w:rsidR="00584EC1" w:rsidRDefault="00871F8D">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4DD9003" w14:textId="77777777" w:rsidR="00584EC1" w:rsidRDefault="00871F8D">
            <w:pPr>
              <w:jc w:val="right"/>
              <w:textAlignment w:val="bottom"/>
            </w:pPr>
            <w:r>
              <w:rPr>
                <w:rFonts w:ascii="Arial" w:eastAsia="宋体" w:hAnsi="Arial" w:cs="Arial"/>
                <w:b/>
                <w:bCs/>
                <w:color w:val="000000"/>
                <w:sz w:val="14"/>
                <w:szCs w:val="14"/>
              </w:rPr>
              <w:t>148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900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005"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9006"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9007" w14:textId="77777777" w:rsidR="00584EC1" w:rsidRDefault="00871F8D">
            <w:pPr>
              <w:jc w:val="right"/>
              <w:textAlignment w:val="bottom"/>
            </w:pPr>
            <w:r>
              <w:rPr>
                <w:rFonts w:ascii="Arial" w:eastAsia="宋体" w:hAnsi="Arial" w:cs="Arial"/>
                <w:color w:val="000000"/>
                <w:sz w:val="14"/>
                <w:szCs w:val="14"/>
              </w:rPr>
              <w:t>93 </w:t>
            </w:r>
          </w:p>
        </w:tc>
        <w:tc>
          <w:tcPr>
            <w:tcW w:w="0" w:type="auto"/>
            <w:shd w:val="clear" w:color="auto" w:fill="CCEEFF"/>
            <w:tcMar>
              <w:top w:w="40" w:type="dxa"/>
              <w:left w:w="0" w:type="dxa"/>
              <w:bottom w:w="40" w:type="dxa"/>
              <w:right w:w="20" w:type="dxa"/>
            </w:tcMar>
            <w:vAlign w:val="bottom"/>
          </w:tcPr>
          <w:p w14:paraId="74DD9008" w14:textId="77777777" w:rsidR="00584EC1" w:rsidRDefault="00584EC1">
            <w:pPr>
              <w:jc w:val="right"/>
              <w:rPr>
                <w:rFonts w:ascii="宋体"/>
              </w:rPr>
            </w:pPr>
          </w:p>
        </w:tc>
        <w:tc>
          <w:tcPr>
            <w:tcW w:w="0" w:type="auto"/>
            <w:shd w:val="clear" w:color="auto" w:fill="auto"/>
            <w:vAlign w:val="bottom"/>
          </w:tcPr>
          <w:p w14:paraId="74DD9009" w14:textId="77777777" w:rsidR="00584EC1" w:rsidRDefault="00584EC1">
            <w:pPr>
              <w:rPr>
                <w:rFonts w:ascii="宋体"/>
                <w:vanish/>
              </w:rPr>
            </w:pPr>
          </w:p>
        </w:tc>
        <w:tc>
          <w:tcPr>
            <w:tcW w:w="0" w:type="auto"/>
            <w:gridSpan w:val="3"/>
            <w:shd w:val="clear" w:color="auto" w:fill="auto"/>
            <w:vAlign w:val="bottom"/>
          </w:tcPr>
          <w:p w14:paraId="74DD900A" w14:textId="77777777" w:rsidR="00584EC1" w:rsidRDefault="00584EC1">
            <w:pPr>
              <w:rPr>
                <w:rFonts w:ascii="宋体"/>
                <w:vanish/>
              </w:rPr>
            </w:pPr>
          </w:p>
        </w:tc>
        <w:tc>
          <w:tcPr>
            <w:tcW w:w="0" w:type="auto"/>
            <w:gridSpan w:val="3"/>
            <w:shd w:val="clear" w:color="auto" w:fill="auto"/>
            <w:vAlign w:val="bottom"/>
          </w:tcPr>
          <w:p w14:paraId="74DD900B" w14:textId="77777777" w:rsidR="00584EC1" w:rsidRDefault="00584EC1">
            <w:pPr>
              <w:rPr>
                <w:rFonts w:ascii="宋体"/>
                <w:vanish/>
              </w:rPr>
            </w:pPr>
          </w:p>
        </w:tc>
        <w:tc>
          <w:tcPr>
            <w:tcW w:w="0" w:type="auto"/>
            <w:gridSpan w:val="3"/>
            <w:shd w:val="clear" w:color="auto" w:fill="auto"/>
            <w:vAlign w:val="bottom"/>
          </w:tcPr>
          <w:p w14:paraId="74DD900C" w14:textId="77777777" w:rsidR="00584EC1" w:rsidRDefault="00584EC1">
            <w:pPr>
              <w:rPr>
                <w:rFonts w:ascii="宋体"/>
                <w:vanish/>
              </w:rPr>
            </w:pPr>
          </w:p>
        </w:tc>
        <w:tc>
          <w:tcPr>
            <w:tcW w:w="0" w:type="auto"/>
            <w:gridSpan w:val="3"/>
            <w:shd w:val="clear" w:color="auto" w:fill="auto"/>
            <w:vAlign w:val="bottom"/>
          </w:tcPr>
          <w:p w14:paraId="74DD900D" w14:textId="77777777" w:rsidR="00584EC1" w:rsidRDefault="00584EC1">
            <w:pPr>
              <w:rPr>
                <w:rFonts w:ascii="宋体"/>
                <w:vanish/>
              </w:rPr>
            </w:pPr>
          </w:p>
        </w:tc>
        <w:tc>
          <w:tcPr>
            <w:tcW w:w="0" w:type="auto"/>
            <w:gridSpan w:val="3"/>
            <w:shd w:val="clear" w:color="auto" w:fill="auto"/>
            <w:vAlign w:val="bottom"/>
          </w:tcPr>
          <w:p w14:paraId="74DD900E" w14:textId="77777777" w:rsidR="00584EC1" w:rsidRDefault="00584EC1">
            <w:pPr>
              <w:rPr>
                <w:rFonts w:ascii="宋体"/>
                <w:vanish/>
              </w:rPr>
            </w:pPr>
          </w:p>
        </w:tc>
        <w:tc>
          <w:tcPr>
            <w:tcW w:w="0" w:type="auto"/>
            <w:gridSpan w:val="3"/>
            <w:shd w:val="clear" w:color="auto" w:fill="auto"/>
            <w:vAlign w:val="bottom"/>
          </w:tcPr>
          <w:p w14:paraId="74DD900F" w14:textId="77777777" w:rsidR="00584EC1" w:rsidRDefault="00584EC1">
            <w:pPr>
              <w:rPr>
                <w:rFonts w:ascii="宋体"/>
                <w:vanish/>
              </w:rPr>
            </w:pPr>
          </w:p>
        </w:tc>
      </w:tr>
      <w:tr w:rsidR="00584EC1" w14:paraId="74DD901E" w14:textId="77777777">
        <w:tc>
          <w:tcPr>
            <w:tcW w:w="0" w:type="auto"/>
            <w:gridSpan w:val="3"/>
            <w:shd w:val="clear" w:color="auto" w:fill="FFFFFF"/>
            <w:tcMar>
              <w:top w:w="40" w:type="dxa"/>
              <w:left w:w="20" w:type="dxa"/>
              <w:bottom w:w="40" w:type="dxa"/>
              <w:right w:w="20" w:type="dxa"/>
            </w:tcMar>
            <w:vAlign w:val="bottom"/>
          </w:tcPr>
          <w:p w14:paraId="74DD9011" w14:textId="77777777" w:rsidR="00584EC1" w:rsidRDefault="00871F8D">
            <w:pPr>
              <w:textAlignment w:val="bottom"/>
            </w:pPr>
            <w:r>
              <w:rPr>
                <w:rFonts w:ascii="Arial" w:eastAsia="宋体" w:hAnsi="Arial" w:cs="Arial"/>
                <w:color w:val="000000"/>
                <w:sz w:val="14"/>
                <w:szCs w:val="14"/>
              </w:rPr>
              <w:t xml:space="preserve">Provision for credit losses (funded </w:t>
            </w:r>
            <w:r>
              <w:rPr>
                <w:rFonts w:ascii="Arial" w:eastAsia="宋体" w:hAnsi="Arial" w:cs="Arial"/>
                <w:color w:val="000000"/>
                <w:sz w:val="14"/>
                <w:szCs w:val="14"/>
              </w:rPr>
              <w:t>commitments)</w:t>
            </w:r>
            <w:r>
              <w:rPr>
                <w:rFonts w:ascii="Arial" w:eastAsia="宋体" w:hAnsi="Arial" w:cs="Arial"/>
                <w:color w:val="000000"/>
                <w:sz w:val="9"/>
                <w:szCs w:val="9"/>
              </w:rPr>
              <w:t>(1)</w:t>
            </w:r>
          </w:p>
        </w:tc>
        <w:tc>
          <w:tcPr>
            <w:tcW w:w="0" w:type="auto"/>
            <w:gridSpan w:val="2"/>
            <w:shd w:val="clear" w:color="auto" w:fill="FFFFFF"/>
            <w:tcMar>
              <w:top w:w="40" w:type="dxa"/>
              <w:left w:w="20" w:type="dxa"/>
              <w:bottom w:w="40" w:type="dxa"/>
              <w:right w:w="0" w:type="dxa"/>
            </w:tcMar>
            <w:vAlign w:val="bottom"/>
          </w:tcPr>
          <w:p w14:paraId="74DD9012" w14:textId="77777777" w:rsidR="00584EC1" w:rsidRDefault="00871F8D">
            <w:pPr>
              <w:jc w:val="right"/>
              <w:textAlignment w:val="bottom"/>
            </w:pPr>
            <w:r>
              <w:rPr>
                <w:rFonts w:ascii="Arial" w:eastAsia="宋体" w:hAnsi="Arial" w:cs="Arial"/>
                <w:b/>
                <w:bCs/>
                <w:color w:val="000000"/>
                <w:sz w:val="14"/>
                <w:szCs w:val="14"/>
              </w:rPr>
              <w:t>(22)</w:t>
            </w:r>
          </w:p>
        </w:tc>
        <w:tc>
          <w:tcPr>
            <w:tcW w:w="0" w:type="auto"/>
            <w:shd w:val="clear" w:color="auto" w:fill="FFFFFF"/>
            <w:tcMar>
              <w:top w:w="40" w:type="dxa"/>
              <w:left w:w="0" w:type="dxa"/>
              <w:bottom w:w="40" w:type="dxa"/>
              <w:right w:w="20" w:type="dxa"/>
            </w:tcMar>
            <w:vAlign w:val="bottom"/>
          </w:tcPr>
          <w:p w14:paraId="74DD901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01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015" w14:textId="77777777" w:rsidR="00584EC1" w:rsidRDefault="00871F8D">
            <w:pPr>
              <w:jc w:val="right"/>
              <w:textAlignment w:val="bottom"/>
            </w:pPr>
            <w:r>
              <w:rPr>
                <w:rFonts w:ascii="Arial" w:eastAsia="宋体" w:hAnsi="Arial" w:cs="Arial"/>
                <w:color w:val="000000"/>
                <w:sz w:val="14"/>
                <w:szCs w:val="14"/>
              </w:rPr>
              <w:t>89 </w:t>
            </w:r>
          </w:p>
        </w:tc>
        <w:tc>
          <w:tcPr>
            <w:tcW w:w="0" w:type="auto"/>
            <w:shd w:val="clear" w:color="auto" w:fill="FFFFFF"/>
            <w:tcMar>
              <w:top w:w="40" w:type="dxa"/>
              <w:left w:w="0" w:type="dxa"/>
              <w:bottom w:w="40" w:type="dxa"/>
              <w:right w:w="20" w:type="dxa"/>
            </w:tcMar>
            <w:vAlign w:val="bottom"/>
          </w:tcPr>
          <w:p w14:paraId="74DD9016" w14:textId="77777777" w:rsidR="00584EC1" w:rsidRDefault="00584EC1">
            <w:pPr>
              <w:jc w:val="right"/>
              <w:rPr>
                <w:rFonts w:ascii="宋体"/>
              </w:rPr>
            </w:pPr>
          </w:p>
        </w:tc>
        <w:tc>
          <w:tcPr>
            <w:tcW w:w="0" w:type="auto"/>
            <w:shd w:val="clear" w:color="auto" w:fill="auto"/>
            <w:vAlign w:val="bottom"/>
          </w:tcPr>
          <w:p w14:paraId="74DD9017" w14:textId="77777777" w:rsidR="00584EC1" w:rsidRDefault="00584EC1">
            <w:pPr>
              <w:rPr>
                <w:rFonts w:ascii="宋体"/>
                <w:vanish/>
              </w:rPr>
            </w:pPr>
          </w:p>
        </w:tc>
        <w:tc>
          <w:tcPr>
            <w:tcW w:w="0" w:type="auto"/>
            <w:gridSpan w:val="3"/>
            <w:shd w:val="clear" w:color="auto" w:fill="auto"/>
            <w:vAlign w:val="bottom"/>
          </w:tcPr>
          <w:p w14:paraId="74DD9018" w14:textId="77777777" w:rsidR="00584EC1" w:rsidRDefault="00584EC1">
            <w:pPr>
              <w:rPr>
                <w:rFonts w:ascii="宋体"/>
                <w:vanish/>
              </w:rPr>
            </w:pPr>
          </w:p>
        </w:tc>
        <w:tc>
          <w:tcPr>
            <w:tcW w:w="0" w:type="auto"/>
            <w:gridSpan w:val="3"/>
            <w:shd w:val="clear" w:color="auto" w:fill="auto"/>
            <w:vAlign w:val="bottom"/>
          </w:tcPr>
          <w:p w14:paraId="74DD9019" w14:textId="77777777" w:rsidR="00584EC1" w:rsidRDefault="00584EC1">
            <w:pPr>
              <w:rPr>
                <w:rFonts w:ascii="宋体"/>
                <w:vanish/>
              </w:rPr>
            </w:pPr>
          </w:p>
        </w:tc>
        <w:tc>
          <w:tcPr>
            <w:tcW w:w="0" w:type="auto"/>
            <w:gridSpan w:val="3"/>
            <w:shd w:val="clear" w:color="auto" w:fill="auto"/>
            <w:vAlign w:val="bottom"/>
          </w:tcPr>
          <w:p w14:paraId="74DD901A" w14:textId="77777777" w:rsidR="00584EC1" w:rsidRDefault="00584EC1">
            <w:pPr>
              <w:rPr>
                <w:rFonts w:ascii="宋体"/>
                <w:vanish/>
              </w:rPr>
            </w:pPr>
          </w:p>
        </w:tc>
        <w:tc>
          <w:tcPr>
            <w:tcW w:w="0" w:type="auto"/>
            <w:gridSpan w:val="3"/>
            <w:shd w:val="clear" w:color="auto" w:fill="auto"/>
            <w:vAlign w:val="bottom"/>
          </w:tcPr>
          <w:p w14:paraId="74DD901B" w14:textId="77777777" w:rsidR="00584EC1" w:rsidRDefault="00584EC1">
            <w:pPr>
              <w:rPr>
                <w:rFonts w:ascii="宋体"/>
                <w:vanish/>
              </w:rPr>
            </w:pPr>
          </w:p>
        </w:tc>
        <w:tc>
          <w:tcPr>
            <w:tcW w:w="0" w:type="auto"/>
            <w:gridSpan w:val="3"/>
            <w:shd w:val="clear" w:color="auto" w:fill="auto"/>
            <w:vAlign w:val="bottom"/>
          </w:tcPr>
          <w:p w14:paraId="74DD901C" w14:textId="77777777" w:rsidR="00584EC1" w:rsidRDefault="00584EC1">
            <w:pPr>
              <w:rPr>
                <w:rFonts w:ascii="宋体"/>
                <w:vanish/>
              </w:rPr>
            </w:pPr>
          </w:p>
        </w:tc>
        <w:tc>
          <w:tcPr>
            <w:tcW w:w="0" w:type="auto"/>
            <w:gridSpan w:val="3"/>
            <w:shd w:val="clear" w:color="auto" w:fill="auto"/>
            <w:vAlign w:val="bottom"/>
          </w:tcPr>
          <w:p w14:paraId="74DD901D" w14:textId="77777777" w:rsidR="00584EC1" w:rsidRDefault="00584EC1">
            <w:pPr>
              <w:rPr>
                <w:rFonts w:ascii="宋体"/>
                <w:vanish/>
              </w:rPr>
            </w:pPr>
          </w:p>
        </w:tc>
      </w:tr>
      <w:tr w:rsidR="00584EC1" w14:paraId="74DD902C" w14:textId="77777777">
        <w:tc>
          <w:tcPr>
            <w:tcW w:w="0" w:type="auto"/>
            <w:gridSpan w:val="3"/>
            <w:shd w:val="clear" w:color="auto" w:fill="CCEEFF"/>
            <w:tcMar>
              <w:top w:w="40" w:type="dxa"/>
              <w:left w:w="20" w:type="dxa"/>
              <w:bottom w:w="40" w:type="dxa"/>
              <w:right w:w="20" w:type="dxa"/>
            </w:tcMar>
            <w:vAlign w:val="bottom"/>
          </w:tcPr>
          <w:p w14:paraId="74DD901F" w14:textId="77777777" w:rsidR="00584EC1" w:rsidRDefault="00871F8D">
            <w:pPr>
              <w:textAlignment w:val="bottom"/>
            </w:pPr>
            <w:r>
              <w:rPr>
                <w:rFonts w:ascii="Arial" w:eastAsia="宋体" w:hAnsi="Arial" w:cs="Arial"/>
                <w:color w:val="000000"/>
                <w:sz w:val="14"/>
                <w:szCs w:val="14"/>
              </w:rPr>
              <w:t>Provisions for credit losses (unfunded commitments)</w:t>
            </w:r>
          </w:p>
        </w:tc>
        <w:tc>
          <w:tcPr>
            <w:tcW w:w="0" w:type="auto"/>
            <w:gridSpan w:val="2"/>
            <w:shd w:val="clear" w:color="auto" w:fill="CCEEFF"/>
            <w:tcMar>
              <w:top w:w="40" w:type="dxa"/>
              <w:left w:w="20" w:type="dxa"/>
              <w:bottom w:w="40" w:type="dxa"/>
              <w:right w:w="0" w:type="dxa"/>
            </w:tcMar>
            <w:vAlign w:val="bottom"/>
          </w:tcPr>
          <w:p w14:paraId="74DD9020" w14:textId="77777777" w:rsidR="00584EC1" w:rsidRDefault="00871F8D">
            <w:pPr>
              <w:jc w:val="right"/>
              <w:textAlignment w:val="bottom"/>
            </w:pPr>
            <w:r>
              <w:rPr>
                <w:rFonts w:ascii="Arial" w:eastAsia="宋体" w:hAnsi="Arial" w:cs="Arial"/>
                <w:b/>
                <w:bCs/>
                <w:color w:val="000000"/>
                <w:sz w:val="14"/>
                <w:szCs w:val="14"/>
              </w:rPr>
              <w:t>(2)</w:t>
            </w:r>
          </w:p>
        </w:tc>
        <w:tc>
          <w:tcPr>
            <w:tcW w:w="0" w:type="auto"/>
            <w:shd w:val="clear" w:color="auto" w:fill="CCEEFF"/>
            <w:tcMar>
              <w:top w:w="40" w:type="dxa"/>
              <w:left w:w="0" w:type="dxa"/>
              <w:bottom w:w="40" w:type="dxa"/>
              <w:right w:w="20" w:type="dxa"/>
            </w:tcMar>
            <w:vAlign w:val="bottom"/>
          </w:tcPr>
          <w:p w14:paraId="74DD902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022"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023" w14:textId="77777777" w:rsidR="00584EC1" w:rsidRDefault="00871F8D">
            <w:pPr>
              <w:jc w:val="right"/>
              <w:textAlignment w:val="bottom"/>
            </w:pPr>
            <w:r>
              <w:rPr>
                <w:rFonts w:ascii="Arial" w:eastAsia="宋体" w:hAnsi="Arial" w:cs="Arial"/>
                <w:color w:val="000000"/>
                <w:sz w:val="14"/>
                <w:szCs w:val="14"/>
              </w:rPr>
              <w:t>(4)</w:t>
            </w:r>
          </w:p>
        </w:tc>
        <w:tc>
          <w:tcPr>
            <w:tcW w:w="0" w:type="auto"/>
            <w:shd w:val="clear" w:color="auto" w:fill="CCEEFF"/>
            <w:tcMar>
              <w:top w:w="40" w:type="dxa"/>
              <w:left w:w="0" w:type="dxa"/>
              <w:bottom w:w="40" w:type="dxa"/>
              <w:right w:w="20" w:type="dxa"/>
            </w:tcMar>
            <w:vAlign w:val="bottom"/>
          </w:tcPr>
          <w:p w14:paraId="74DD9024" w14:textId="77777777" w:rsidR="00584EC1" w:rsidRDefault="00584EC1">
            <w:pPr>
              <w:jc w:val="right"/>
              <w:rPr>
                <w:rFonts w:ascii="宋体"/>
              </w:rPr>
            </w:pPr>
          </w:p>
        </w:tc>
        <w:tc>
          <w:tcPr>
            <w:tcW w:w="0" w:type="auto"/>
            <w:shd w:val="clear" w:color="auto" w:fill="auto"/>
            <w:vAlign w:val="bottom"/>
          </w:tcPr>
          <w:p w14:paraId="74DD9025" w14:textId="77777777" w:rsidR="00584EC1" w:rsidRDefault="00584EC1">
            <w:pPr>
              <w:rPr>
                <w:rFonts w:ascii="宋体"/>
                <w:vanish/>
              </w:rPr>
            </w:pPr>
          </w:p>
        </w:tc>
        <w:tc>
          <w:tcPr>
            <w:tcW w:w="0" w:type="auto"/>
            <w:gridSpan w:val="3"/>
            <w:shd w:val="clear" w:color="auto" w:fill="auto"/>
            <w:vAlign w:val="bottom"/>
          </w:tcPr>
          <w:p w14:paraId="74DD9026" w14:textId="77777777" w:rsidR="00584EC1" w:rsidRDefault="00584EC1">
            <w:pPr>
              <w:rPr>
                <w:rFonts w:ascii="宋体"/>
                <w:vanish/>
              </w:rPr>
            </w:pPr>
          </w:p>
        </w:tc>
        <w:tc>
          <w:tcPr>
            <w:tcW w:w="0" w:type="auto"/>
            <w:gridSpan w:val="3"/>
            <w:shd w:val="clear" w:color="auto" w:fill="auto"/>
            <w:vAlign w:val="bottom"/>
          </w:tcPr>
          <w:p w14:paraId="74DD9027" w14:textId="77777777" w:rsidR="00584EC1" w:rsidRDefault="00584EC1">
            <w:pPr>
              <w:rPr>
                <w:rFonts w:ascii="宋体"/>
                <w:vanish/>
              </w:rPr>
            </w:pPr>
          </w:p>
        </w:tc>
        <w:tc>
          <w:tcPr>
            <w:tcW w:w="0" w:type="auto"/>
            <w:gridSpan w:val="3"/>
            <w:shd w:val="clear" w:color="auto" w:fill="auto"/>
            <w:vAlign w:val="bottom"/>
          </w:tcPr>
          <w:p w14:paraId="74DD9028" w14:textId="77777777" w:rsidR="00584EC1" w:rsidRDefault="00584EC1">
            <w:pPr>
              <w:rPr>
                <w:rFonts w:ascii="宋体"/>
                <w:vanish/>
              </w:rPr>
            </w:pPr>
          </w:p>
        </w:tc>
        <w:tc>
          <w:tcPr>
            <w:tcW w:w="0" w:type="auto"/>
            <w:gridSpan w:val="3"/>
            <w:shd w:val="clear" w:color="auto" w:fill="auto"/>
            <w:vAlign w:val="bottom"/>
          </w:tcPr>
          <w:p w14:paraId="74DD9029" w14:textId="77777777" w:rsidR="00584EC1" w:rsidRDefault="00584EC1">
            <w:pPr>
              <w:rPr>
                <w:rFonts w:ascii="宋体"/>
                <w:vanish/>
              </w:rPr>
            </w:pPr>
          </w:p>
        </w:tc>
        <w:tc>
          <w:tcPr>
            <w:tcW w:w="0" w:type="auto"/>
            <w:gridSpan w:val="3"/>
            <w:shd w:val="clear" w:color="auto" w:fill="auto"/>
            <w:vAlign w:val="bottom"/>
          </w:tcPr>
          <w:p w14:paraId="74DD902A" w14:textId="77777777" w:rsidR="00584EC1" w:rsidRDefault="00584EC1">
            <w:pPr>
              <w:rPr>
                <w:rFonts w:ascii="宋体"/>
                <w:vanish/>
              </w:rPr>
            </w:pPr>
          </w:p>
        </w:tc>
        <w:tc>
          <w:tcPr>
            <w:tcW w:w="0" w:type="auto"/>
            <w:gridSpan w:val="3"/>
            <w:shd w:val="clear" w:color="auto" w:fill="auto"/>
            <w:vAlign w:val="bottom"/>
          </w:tcPr>
          <w:p w14:paraId="74DD902B" w14:textId="77777777" w:rsidR="00584EC1" w:rsidRDefault="00584EC1">
            <w:pPr>
              <w:rPr>
                <w:rFonts w:ascii="宋体"/>
                <w:vanish/>
              </w:rPr>
            </w:pPr>
          </w:p>
        </w:tc>
      </w:tr>
      <w:tr w:rsidR="00584EC1" w14:paraId="74DD903A" w14:textId="77777777">
        <w:tc>
          <w:tcPr>
            <w:tcW w:w="0" w:type="auto"/>
            <w:gridSpan w:val="3"/>
            <w:shd w:val="clear" w:color="auto" w:fill="FFFFFF"/>
            <w:tcMar>
              <w:top w:w="40" w:type="dxa"/>
              <w:left w:w="20" w:type="dxa"/>
              <w:bottom w:w="40" w:type="dxa"/>
              <w:right w:w="20" w:type="dxa"/>
            </w:tcMar>
            <w:vAlign w:val="bottom"/>
          </w:tcPr>
          <w:p w14:paraId="74DD902D" w14:textId="77777777" w:rsidR="00584EC1" w:rsidRDefault="00871F8D">
            <w:pPr>
              <w:textAlignment w:val="bottom"/>
            </w:pPr>
            <w:r>
              <w:rPr>
                <w:rFonts w:ascii="Arial" w:eastAsia="宋体" w:hAnsi="Arial" w:cs="Arial"/>
                <w:color w:val="000000"/>
                <w:sz w:val="14"/>
                <w:szCs w:val="14"/>
              </w:rPr>
              <w:t>Provisions for credit losses (held-to-maturity securities and all other)</w:t>
            </w:r>
          </w:p>
        </w:tc>
        <w:tc>
          <w:tcPr>
            <w:tcW w:w="0" w:type="auto"/>
            <w:gridSpan w:val="2"/>
            <w:shd w:val="clear" w:color="auto" w:fill="FFFFFF"/>
            <w:tcMar>
              <w:top w:w="40" w:type="dxa"/>
              <w:left w:w="20" w:type="dxa"/>
              <w:bottom w:w="40" w:type="dxa"/>
              <w:right w:w="0" w:type="dxa"/>
            </w:tcMar>
            <w:vAlign w:val="bottom"/>
          </w:tcPr>
          <w:p w14:paraId="74DD902E" w14:textId="77777777" w:rsidR="00584EC1" w:rsidRDefault="00871F8D">
            <w:pPr>
              <w:jc w:val="right"/>
              <w:textAlignment w:val="bottom"/>
            </w:pPr>
            <w:r>
              <w:rPr>
                <w:rFonts w:ascii="Arial" w:eastAsia="宋体" w:hAnsi="Arial" w:cs="Arial"/>
                <w:b/>
                <w:bCs/>
                <w:color w:val="000000"/>
                <w:sz w:val="14"/>
                <w:szCs w:val="14"/>
              </w:rPr>
              <w:t>(2)</w:t>
            </w:r>
          </w:p>
        </w:tc>
        <w:tc>
          <w:tcPr>
            <w:tcW w:w="0" w:type="auto"/>
            <w:shd w:val="clear" w:color="auto" w:fill="FFFFFF"/>
            <w:tcMar>
              <w:top w:w="40" w:type="dxa"/>
              <w:left w:w="0" w:type="dxa"/>
              <w:bottom w:w="40" w:type="dxa"/>
              <w:right w:w="20" w:type="dxa"/>
            </w:tcMar>
            <w:vAlign w:val="bottom"/>
          </w:tcPr>
          <w:p w14:paraId="74DD902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03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031" w14:textId="77777777" w:rsidR="00584EC1" w:rsidRDefault="00871F8D">
            <w:pPr>
              <w:jc w:val="right"/>
              <w:textAlignment w:val="bottom"/>
            </w:pPr>
            <w:r>
              <w:rPr>
                <w:rFonts w:ascii="Arial" w:eastAsia="宋体" w:hAnsi="Arial" w:cs="Arial"/>
                <w:color w:val="000000"/>
                <w:sz w:val="14"/>
                <w:szCs w:val="14"/>
              </w:rPr>
              <w:t>3 </w:t>
            </w:r>
          </w:p>
        </w:tc>
        <w:tc>
          <w:tcPr>
            <w:tcW w:w="0" w:type="auto"/>
            <w:shd w:val="clear" w:color="auto" w:fill="FFFFFF"/>
            <w:tcMar>
              <w:top w:w="40" w:type="dxa"/>
              <w:left w:w="0" w:type="dxa"/>
              <w:bottom w:w="40" w:type="dxa"/>
              <w:right w:w="20" w:type="dxa"/>
            </w:tcMar>
            <w:vAlign w:val="bottom"/>
          </w:tcPr>
          <w:p w14:paraId="74DD9032" w14:textId="77777777" w:rsidR="00584EC1" w:rsidRDefault="00584EC1">
            <w:pPr>
              <w:jc w:val="right"/>
              <w:rPr>
                <w:rFonts w:ascii="宋体"/>
              </w:rPr>
            </w:pPr>
          </w:p>
        </w:tc>
        <w:tc>
          <w:tcPr>
            <w:tcW w:w="0" w:type="auto"/>
            <w:shd w:val="clear" w:color="auto" w:fill="auto"/>
            <w:vAlign w:val="bottom"/>
          </w:tcPr>
          <w:p w14:paraId="74DD9033" w14:textId="77777777" w:rsidR="00584EC1" w:rsidRDefault="00584EC1">
            <w:pPr>
              <w:rPr>
                <w:rFonts w:ascii="宋体"/>
                <w:vanish/>
              </w:rPr>
            </w:pPr>
          </w:p>
        </w:tc>
        <w:tc>
          <w:tcPr>
            <w:tcW w:w="0" w:type="auto"/>
            <w:gridSpan w:val="3"/>
            <w:shd w:val="clear" w:color="auto" w:fill="auto"/>
            <w:vAlign w:val="bottom"/>
          </w:tcPr>
          <w:p w14:paraId="74DD9034" w14:textId="77777777" w:rsidR="00584EC1" w:rsidRDefault="00584EC1">
            <w:pPr>
              <w:rPr>
                <w:rFonts w:ascii="宋体"/>
                <w:vanish/>
              </w:rPr>
            </w:pPr>
          </w:p>
        </w:tc>
        <w:tc>
          <w:tcPr>
            <w:tcW w:w="0" w:type="auto"/>
            <w:gridSpan w:val="3"/>
            <w:shd w:val="clear" w:color="auto" w:fill="auto"/>
            <w:vAlign w:val="bottom"/>
          </w:tcPr>
          <w:p w14:paraId="74DD9035" w14:textId="77777777" w:rsidR="00584EC1" w:rsidRDefault="00584EC1">
            <w:pPr>
              <w:rPr>
                <w:rFonts w:ascii="宋体"/>
                <w:vanish/>
              </w:rPr>
            </w:pPr>
          </w:p>
        </w:tc>
        <w:tc>
          <w:tcPr>
            <w:tcW w:w="0" w:type="auto"/>
            <w:gridSpan w:val="3"/>
            <w:shd w:val="clear" w:color="auto" w:fill="auto"/>
            <w:vAlign w:val="bottom"/>
          </w:tcPr>
          <w:p w14:paraId="74DD9036" w14:textId="77777777" w:rsidR="00584EC1" w:rsidRDefault="00584EC1">
            <w:pPr>
              <w:rPr>
                <w:rFonts w:ascii="宋体"/>
                <w:vanish/>
              </w:rPr>
            </w:pPr>
          </w:p>
        </w:tc>
        <w:tc>
          <w:tcPr>
            <w:tcW w:w="0" w:type="auto"/>
            <w:gridSpan w:val="3"/>
            <w:shd w:val="clear" w:color="auto" w:fill="auto"/>
            <w:vAlign w:val="bottom"/>
          </w:tcPr>
          <w:p w14:paraId="74DD9037" w14:textId="77777777" w:rsidR="00584EC1" w:rsidRDefault="00584EC1">
            <w:pPr>
              <w:rPr>
                <w:rFonts w:ascii="宋体"/>
                <w:vanish/>
              </w:rPr>
            </w:pPr>
          </w:p>
        </w:tc>
        <w:tc>
          <w:tcPr>
            <w:tcW w:w="0" w:type="auto"/>
            <w:gridSpan w:val="3"/>
            <w:shd w:val="clear" w:color="auto" w:fill="auto"/>
            <w:vAlign w:val="bottom"/>
          </w:tcPr>
          <w:p w14:paraId="74DD9038" w14:textId="77777777" w:rsidR="00584EC1" w:rsidRDefault="00584EC1">
            <w:pPr>
              <w:rPr>
                <w:rFonts w:ascii="宋体"/>
                <w:vanish/>
              </w:rPr>
            </w:pPr>
          </w:p>
        </w:tc>
        <w:tc>
          <w:tcPr>
            <w:tcW w:w="0" w:type="auto"/>
            <w:gridSpan w:val="3"/>
            <w:shd w:val="clear" w:color="auto" w:fill="auto"/>
            <w:vAlign w:val="bottom"/>
          </w:tcPr>
          <w:p w14:paraId="74DD9039" w14:textId="77777777" w:rsidR="00584EC1" w:rsidRDefault="00584EC1">
            <w:pPr>
              <w:rPr>
                <w:rFonts w:ascii="宋体"/>
                <w:vanish/>
              </w:rPr>
            </w:pPr>
          </w:p>
        </w:tc>
      </w:tr>
      <w:tr w:rsidR="00584EC1" w14:paraId="74DD9048" w14:textId="77777777">
        <w:tc>
          <w:tcPr>
            <w:tcW w:w="0" w:type="auto"/>
            <w:gridSpan w:val="3"/>
            <w:shd w:val="clear" w:color="auto" w:fill="CCEEFF"/>
            <w:tcMar>
              <w:top w:w="40" w:type="dxa"/>
              <w:left w:w="20" w:type="dxa"/>
              <w:bottom w:w="40" w:type="dxa"/>
              <w:right w:w="20" w:type="dxa"/>
            </w:tcMar>
            <w:vAlign w:val="bottom"/>
          </w:tcPr>
          <w:p w14:paraId="74DD903B" w14:textId="77777777" w:rsidR="00584EC1" w:rsidRDefault="00871F8D">
            <w:pPr>
              <w:textAlignment w:val="bottom"/>
            </w:pPr>
            <w:r>
              <w:rPr>
                <w:rFonts w:ascii="Arial" w:eastAsia="宋体" w:hAnsi="Arial" w:cs="Arial"/>
                <w:color w:val="000000"/>
                <w:sz w:val="14"/>
                <w:szCs w:val="14"/>
              </w:rPr>
              <w:t>Charge-offs</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74DD903C" w14:textId="77777777" w:rsidR="00584EC1" w:rsidRDefault="00871F8D">
            <w:pPr>
              <w:jc w:val="right"/>
              <w:textAlignment w:val="bottom"/>
            </w:pPr>
            <w:r>
              <w:rPr>
                <w:rFonts w:ascii="Arial" w:eastAsia="宋体" w:hAnsi="Arial" w:cs="Arial"/>
                <w:b/>
                <w:bCs/>
                <w:color w:val="000000"/>
                <w:sz w:val="14"/>
                <w:szCs w:val="14"/>
              </w:rPr>
              <w:t>(2)</w:t>
            </w:r>
          </w:p>
        </w:tc>
        <w:tc>
          <w:tcPr>
            <w:tcW w:w="0" w:type="auto"/>
            <w:shd w:val="clear" w:color="auto" w:fill="CCEEFF"/>
            <w:tcMar>
              <w:top w:w="40" w:type="dxa"/>
              <w:left w:w="0" w:type="dxa"/>
              <w:bottom w:w="40" w:type="dxa"/>
              <w:right w:w="20" w:type="dxa"/>
            </w:tcMar>
            <w:vAlign w:val="bottom"/>
          </w:tcPr>
          <w:p w14:paraId="74DD903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03E"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03F" w14:textId="77777777" w:rsidR="00584EC1" w:rsidRDefault="00871F8D">
            <w:pPr>
              <w:jc w:val="right"/>
              <w:textAlignment w:val="bottom"/>
            </w:pPr>
            <w:r>
              <w:rPr>
                <w:rFonts w:ascii="Arial" w:eastAsia="宋体" w:hAnsi="Arial" w:cs="Arial"/>
                <w:color w:val="000000"/>
                <w:sz w:val="14"/>
                <w:szCs w:val="14"/>
              </w:rPr>
              <w:t>(33)</w:t>
            </w:r>
          </w:p>
        </w:tc>
        <w:tc>
          <w:tcPr>
            <w:tcW w:w="0" w:type="auto"/>
            <w:shd w:val="clear" w:color="auto" w:fill="CCEEFF"/>
            <w:tcMar>
              <w:top w:w="40" w:type="dxa"/>
              <w:left w:w="0" w:type="dxa"/>
              <w:bottom w:w="40" w:type="dxa"/>
              <w:right w:w="20" w:type="dxa"/>
            </w:tcMar>
            <w:vAlign w:val="bottom"/>
          </w:tcPr>
          <w:p w14:paraId="74DD9040" w14:textId="77777777" w:rsidR="00584EC1" w:rsidRDefault="00584EC1">
            <w:pPr>
              <w:jc w:val="right"/>
              <w:rPr>
                <w:rFonts w:ascii="宋体"/>
              </w:rPr>
            </w:pPr>
          </w:p>
        </w:tc>
        <w:tc>
          <w:tcPr>
            <w:tcW w:w="0" w:type="auto"/>
            <w:shd w:val="clear" w:color="auto" w:fill="auto"/>
            <w:vAlign w:val="bottom"/>
          </w:tcPr>
          <w:p w14:paraId="74DD9041" w14:textId="77777777" w:rsidR="00584EC1" w:rsidRDefault="00584EC1">
            <w:pPr>
              <w:rPr>
                <w:rFonts w:ascii="宋体"/>
                <w:vanish/>
              </w:rPr>
            </w:pPr>
          </w:p>
        </w:tc>
        <w:tc>
          <w:tcPr>
            <w:tcW w:w="0" w:type="auto"/>
            <w:gridSpan w:val="3"/>
            <w:shd w:val="clear" w:color="auto" w:fill="auto"/>
            <w:vAlign w:val="bottom"/>
          </w:tcPr>
          <w:p w14:paraId="74DD9042" w14:textId="77777777" w:rsidR="00584EC1" w:rsidRDefault="00584EC1">
            <w:pPr>
              <w:rPr>
                <w:rFonts w:ascii="宋体"/>
                <w:vanish/>
              </w:rPr>
            </w:pPr>
          </w:p>
        </w:tc>
        <w:tc>
          <w:tcPr>
            <w:tcW w:w="0" w:type="auto"/>
            <w:gridSpan w:val="3"/>
            <w:shd w:val="clear" w:color="auto" w:fill="auto"/>
            <w:vAlign w:val="bottom"/>
          </w:tcPr>
          <w:p w14:paraId="74DD9043" w14:textId="77777777" w:rsidR="00584EC1" w:rsidRDefault="00584EC1">
            <w:pPr>
              <w:rPr>
                <w:rFonts w:ascii="宋体"/>
                <w:vanish/>
              </w:rPr>
            </w:pPr>
          </w:p>
        </w:tc>
        <w:tc>
          <w:tcPr>
            <w:tcW w:w="0" w:type="auto"/>
            <w:gridSpan w:val="3"/>
            <w:shd w:val="clear" w:color="auto" w:fill="auto"/>
            <w:vAlign w:val="bottom"/>
          </w:tcPr>
          <w:p w14:paraId="74DD9044" w14:textId="77777777" w:rsidR="00584EC1" w:rsidRDefault="00584EC1">
            <w:pPr>
              <w:rPr>
                <w:rFonts w:ascii="宋体"/>
                <w:vanish/>
              </w:rPr>
            </w:pPr>
          </w:p>
        </w:tc>
        <w:tc>
          <w:tcPr>
            <w:tcW w:w="0" w:type="auto"/>
            <w:gridSpan w:val="3"/>
            <w:shd w:val="clear" w:color="auto" w:fill="auto"/>
            <w:vAlign w:val="bottom"/>
          </w:tcPr>
          <w:p w14:paraId="74DD9045" w14:textId="77777777" w:rsidR="00584EC1" w:rsidRDefault="00584EC1">
            <w:pPr>
              <w:rPr>
                <w:rFonts w:ascii="宋体"/>
                <w:vanish/>
              </w:rPr>
            </w:pPr>
          </w:p>
        </w:tc>
        <w:tc>
          <w:tcPr>
            <w:tcW w:w="0" w:type="auto"/>
            <w:gridSpan w:val="3"/>
            <w:shd w:val="clear" w:color="auto" w:fill="auto"/>
            <w:vAlign w:val="bottom"/>
          </w:tcPr>
          <w:p w14:paraId="74DD9046" w14:textId="77777777" w:rsidR="00584EC1" w:rsidRDefault="00584EC1">
            <w:pPr>
              <w:rPr>
                <w:rFonts w:ascii="宋体"/>
                <w:vanish/>
              </w:rPr>
            </w:pPr>
          </w:p>
        </w:tc>
        <w:tc>
          <w:tcPr>
            <w:tcW w:w="0" w:type="auto"/>
            <w:gridSpan w:val="3"/>
            <w:shd w:val="clear" w:color="auto" w:fill="auto"/>
            <w:vAlign w:val="bottom"/>
          </w:tcPr>
          <w:p w14:paraId="74DD9047" w14:textId="77777777" w:rsidR="00584EC1" w:rsidRDefault="00584EC1">
            <w:pPr>
              <w:rPr>
                <w:rFonts w:ascii="宋体"/>
                <w:vanish/>
              </w:rPr>
            </w:pPr>
          </w:p>
        </w:tc>
      </w:tr>
      <w:tr w:rsidR="00584EC1" w14:paraId="74DD9054" w14:textId="77777777">
        <w:trPr>
          <w:hidden/>
        </w:trPr>
        <w:tc>
          <w:tcPr>
            <w:tcW w:w="0" w:type="auto"/>
            <w:gridSpan w:val="3"/>
            <w:shd w:val="clear" w:color="auto" w:fill="auto"/>
            <w:vAlign w:val="bottom"/>
          </w:tcPr>
          <w:p w14:paraId="74DD9049" w14:textId="77777777" w:rsidR="00584EC1" w:rsidRDefault="00584EC1">
            <w:pPr>
              <w:rPr>
                <w:rFonts w:ascii="宋体"/>
                <w:vanish/>
              </w:rPr>
            </w:pPr>
          </w:p>
        </w:tc>
        <w:tc>
          <w:tcPr>
            <w:tcW w:w="0" w:type="auto"/>
            <w:gridSpan w:val="3"/>
            <w:shd w:val="clear" w:color="auto" w:fill="auto"/>
            <w:vAlign w:val="bottom"/>
          </w:tcPr>
          <w:p w14:paraId="74DD904A" w14:textId="77777777" w:rsidR="00584EC1" w:rsidRDefault="00584EC1">
            <w:pPr>
              <w:rPr>
                <w:rFonts w:ascii="宋体"/>
                <w:vanish/>
              </w:rPr>
            </w:pPr>
          </w:p>
        </w:tc>
        <w:tc>
          <w:tcPr>
            <w:tcW w:w="0" w:type="auto"/>
            <w:gridSpan w:val="3"/>
            <w:shd w:val="clear" w:color="auto" w:fill="auto"/>
            <w:vAlign w:val="bottom"/>
          </w:tcPr>
          <w:p w14:paraId="74DD904B" w14:textId="77777777" w:rsidR="00584EC1" w:rsidRDefault="00584EC1">
            <w:pPr>
              <w:rPr>
                <w:rFonts w:ascii="宋体"/>
                <w:vanish/>
              </w:rPr>
            </w:pPr>
          </w:p>
        </w:tc>
        <w:tc>
          <w:tcPr>
            <w:tcW w:w="0" w:type="auto"/>
            <w:gridSpan w:val="3"/>
            <w:shd w:val="clear" w:color="auto" w:fill="auto"/>
            <w:vAlign w:val="bottom"/>
          </w:tcPr>
          <w:p w14:paraId="74DD904C" w14:textId="77777777" w:rsidR="00584EC1" w:rsidRDefault="00584EC1">
            <w:pPr>
              <w:rPr>
                <w:rFonts w:ascii="宋体"/>
                <w:vanish/>
              </w:rPr>
            </w:pPr>
          </w:p>
        </w:tc>
        <w:tc>
          <w:tcPr>
            <w:tcW w:w="0" w:type="auto"/>
            <w:shd w:val="clear" w:color="auto" w:fill="auto"/>
            <w:vAlign w:val="bottom"/>
          </w:tcPr>
          <w:p w14:paraId="74DD904D" w14:textId="77777777" w:rsidR="00584EC1" w:rsidRDefault="00584EC1">
            <w:pPr>
              <w:rPr>
                <w:rFonts w:ascii="宋体"/>
                <w:vanish/>
              </w:rPr>
            </w:pPr>
          </w:p>
        </w:tc>
        <w:tc>
          <w:tcPr>
            <w:tcW w:w="0" w:type="auto"/>
            <w:gridSpan w:val="3"/>
            <w:shd w:val="clear" w:color="auto" w:fill="auto"/>
            <w:vAlign w:val="bottom"/>
          </w:tcPr>
          <w:p w14:paraId="74DD904E" w14:textId="77777777" w:rsidR="00584EC1" w:rsidRDefault="00584EC1">
            <w:pPr>
              <w:rPr>
                <w:rFonts w:ascii="宋体"/>
                <w:vanish/>
              </w:rPr>
            </w:pPr>
          </w:p>
        </w:tc>
        <w:tc>
          <w:tcPr>
            <w:tcW w:w="0" w:type="auto"/>
            <w:gridSpan w:val="3"/>
            <w:shd w:val="clear" w:color="auto" w:fill="auto"/>
            <w:vAlign w:val="bottom"/>
          </w:tcPr>
          <w:p w14:paraId="74DD904F" w14:textId="77777777" w:rsidR="00584EC1" w:rsidRDefault="00584EC1">
            <w:pPr>
              <w:rPr>
                <w:rFonts w:ascii="宋体"/>
                <w:vanish/>
              </w:rPr>
            </w:pPr>
          </w:p>
        </w:tc>
        <w:tc>
          <w:tcPr>
            <w:tcW w:w="0" w:type="auto"/>
            <w:gridSpan w:val="3"/>
            <w:shd w:val="clear" w:color="auto" w:fill="auto"/>
            <w:vAlign w:val="bottom"/>
          </w:tcPr>
          <w:p w14:paraId="74DD9050" w14:textId="77777777" w:rsidR="00584EC1" w:rsidRDefault="00584EC1">
            <w:pPr>
              <w:rPr>
                <w:rFonts w:ascii="宋体"/>
                <w:vanish/>
              </w:rPr>
            </w:pPr>
          </w:p>
        </w:tc>
        <w:tc>
          <w:tcPr>
            <w:tcW w:w="0" w:type="auto"/>
            <w:gridSpan w:val="3"/>
            <w:shd w:val="clear" w:color="auto" w:fill="auto"/>
            <w:vAlign w:val="bottom"/>
          </w:tcPr>
          <w:p w14:paraId="74DD9051" w14:textId="77777777" w:rsidR="00584EC1" w:rsidRDefault="00584EC1">
            <w:pPr>
              <w:rPr>
                <w:rFonts w:ascii="宋体"/>
                <w:vanish/>
              </w:rPr>
            </w:pPr>
          </w:p>
        </w:tc>
        <w:tc>
          <w:tcPr>
            <w:tcW w:w="0" w:type="auto"/>
            <w:gridSpan w:val="3"/>
            <w:shd w:val="clear" w:color="auto" w:fill="auto"/>
            <w:vAlign w:val="bottom"/>
          </w:tcPr>
          <w:p w14:paraId="74DD9052" w14:textId="77777777" w:rsidR="00584EC1" w:rsidRDefault="00584EC1">
            <w:pPr>
              <w:rPr>
                <w:rFonts w:ascii="宋体"/>
                <w:vanish/>
              </w:rPr>
            </w:pPr>
          </w:p>
        </w:tc>
        <w:tc>
          <w:tcPr>
            <w:tcW w:w="0" w:type="auto"/>
            <w:gridSpan w:val="3"/>
            <w:shd w:val="clear" w:color="auto" w:fill="auto"/>
            <w:vAlign w:val="bottom"/>
          </w:tcPr>
          <w:p w14:paraId="74DD9053" w14:textId="77777777" w:rsidR="00584EC1" w:rsidRDefault="00584EC1">
            <w:pPr>
              <w:rPr>
                <w:rFonts w:ascii="宋体"/>
                <w:vanish/>
              </w:rPr>
            </w:pPr>
          </w:p>
        </w:tc>
      </w:tr>
      <w:tr w:rsidR="00584EC1" w14:paraId="74DD9062" w14:textId="77777777">
        <w:tc>
          <w:tcPr>
            <w:tcW w:w="0" w:type="auto"/>
            <w:gridSpan w:val="3"/>
            <w:shd w:val="clear" w:color="auto" w:fill="FFFFFF"/>
            <w:tcMar>
              <w:top w:w="40" w:type="dxa"/>
              <w:left w:w="20" w:type="dxa"/>
              <w:bottom w:w="40" w:type="dxa"/>
              <w:right w:w="20" w:type="dxa"/>
            </w:tcMar>
            <w:vAlign w:val="bottom"/>
          </w:tcPr>
          <w:p w14:paraId="74DD9055" w14:textId="77777777" w:rsidR="00584EC1" w:rsidRDefault="00871F8D">
            <w:pPr>
              <w:textAlignment w:val="bottom"/>
            </w:pPr>
            <w:r>
              <w:rPr>
                <w:rFonts w:ascii="Arial" w:eastAsia="宋体" w:hAnsi="Arial" w:cs="Arial"/>
                <w:color w:val="000000"/>
                <w:sz w:val="14"/>
                <w:szCs w:val="14"/>
              </w:rPr>
              <w:t>Other</w:t>
            </w:r>
            <w:r>
              <w:rPr>
                <w:rFonts w:ascii="Arial" w:eastAsia="宋体" w:hAnsi="Arial" w:cs="Arial"/>
                <w:color w:val="000000"/>
                <w:sz w:val="9"/>
                <w:szCs w:val="9"/>
              </w:rPr>
              <w:t>(3)</w:t>
            </w:r>
          </w:p>
        </w:tc>
        <w:tc>
          <w:tcPr>
            <w:tcW w:w="0" w:type="auto"/>
            <w:gridSpan w:val="2"/>
            <w:shd w:val="clear" w:color="auto" w:fill="FFFFFF"/>
            <w:tcMar>
              <w:top w:w="40" w:type="dxa"/>
              <w:left w:w="20" w:type="dxa"/>
              <w:bottom w:w="40" w:type="dxa"/>
              <w:right w:w="0" w:type="dxa"/>
            </w:tcMar>
            <w:vAlign w:val="bottom"/>
          </w:tcPr>
          <w:p w14:paraId="74DD9056" w14:textId="77777777" w:rsidR="00584EC1" w:rsidRDefault="00871F8D">
            <w:pPr>
              <w:jc w:val="right"/>
              <w:textAlignment w:val="bottom"/>
            </w:pPr>
            <w:r>
              <w:rPr>
                <w:rFonts w:ascii="Arial" w:eastAsia="宋体" w:hAnsi="Arial" w:cs="Arial"/>
                <w:b/>
                <w:bCs/>
                <w:color w:val="000000"/>
                <w:sz w:val="14"/>
                <w:szCs w:val="14"/>
              </w:rPr>
              <w:t>(3)</w:t>
            </w:r>
          </w:p>
        </w:tc>
        <w:tc>
          <w:tcPr>
            <w:tcW w:w="0" w:type="auto"/>
            <w:shd w:val="clear" w:color="auto" w:fill="FFFFFF"/>
            <w:tcMar>
              <w:top w:w="40" w:type="dxa"/>
              <w:left w:w="0" w:type="dxa"/>
              <w:bottom w:w="40" w:type="dxa"/>
              <w:right w:w="20" w:type="dxa"/>
            </w:tcMar>
            <w:vAlign w:val="bottom"/>
          </w:tcPr>
          <w:p w14:paraId="74DD905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058"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059" w14:textId="77777777" w:rsidR="00584EC1" w:rsidRDefault="00871F8D">
            <w:pPr>
              <w:jc w:val="right"/>
              <w:textAlignment w:val="bottom"/>
            </w:pPr>
            <w:r>
              <w:rPr>
                <w:rFonts w:ascii="Arial" w:eastAsia="宋体" w:hAnsi="Arial" w:cs="Arial"/>
                <w:color w:val="000000"/>
                <w:sz w:val="14"/>
                <w:szCs w:val="14"/>
              </w:rPr>
              <w:t>5 </w:t>
            </w:r>
          </w:p>
        </w:tc>
        <w:tc>
          <w:tcPr>
            <w:tcW w:w="0" w:type="auto"/>
            <w:shd w:val="clear" w:color="auto" w:fill="FFFFFF"/>
            <w:tcMar>
              <w:top w:w="40" w:type="dxa"/>
              <w:left w:w="0" w:type="dxa"/>
              <w:bottom w:w="40" w:type="dxa"/>
              <w:right w:w="20" w:type="dxa"/>
            </w:tcMar>
            <w:vAlign w:val="bottom"/>
          </w:tcPr>
          <w:p w14:paraId="74DD905A" w14:textId="77777777" w:rsidR="00584EC1" w:rsidRDefault="00584EC1">
            <w:pPr>
              <w:jc w:val="right"/>
              <w:rPr>
                <w:rFonts w:ascii="宋体"/>
              </w:rPr>
            </w:pPr>
          </w:p>
        </w:tc>
        <w:tc>
          <w:tcPr>
            <w:tcW w:w="0" w:type="auto"/>
            <w:shd w:val="clear" w:color="auto" w:fill="auto"/>
            <w:vAlign w:val="bottom"/>
          </w:tcPr>
          <w:p w14:paraId="74DD905B" w14:textId="77777777" w:rsidR="00584EC1" w:rsidRDefault="00584EC1">
            <w:pPr>
              <w:rPr>
                <w:rFonts w:ascii="宋体"/>
                <w:vanish/>
              </w:rPr>
            </w:pPr>
          </w:p>
        </w:tc>
        <w:tc>
          <w:tcPr>
            <w:tcW w:w="0" w:type="auto"/>
            <w:gridSpan w:val="3"/>
            <w:shd w:val="clear" w:color="auto" w:fill="auto"/>
            <w:vAlign w:val="bottom"/>
          </w:tcPr>
          <w:p w14:paraId="74DD905C" w14:textId="77777777" w:rsidR="00584EC1" w:rsidRDefault="00584EC1">
            <w:pPr>
              <w:rPr>
                <w:rFonts w:ascii="宋体"/>
                <w:vanish/>
              </w:rPr>
            </w:pPr>
          </w:p>
        </w:tc>
        <w:tc>
          <w:tcPr>
            <w:tcW w:w="0" w:type="auto"/>
            <w:gridSpan w:val="3"/>
            <w:shd w:val="clear" w:color="auto" w:fill="auto"/>
            <w:vAlign w:val="bottom"/>
          </w:tcPr>
          <w:p w14:paraId="74DD905D" w14:textId="77777777" w:rsidR="00584EC1" w:rsidRDefault="00584EC1">
            <w:pPr>
              <w:rPr>
                <w:rFonts w:ascii="宋体"/>
                <w:vanish/>
              </w:rPr>
            </w:pPr>
          </w:p>
        </w:tc>
        <w:tc>
          <w:tcPr>
            <w:tcW w:w="0" w:type="auto"/>
            <w:gridSpan w:val="3"/>
            <w:shd w:val="clear" w:color="auto" w:fill="auto"/>
            <w:vAlign w:val="bottom"/>
          </w:tcPr>
          <w:p w14:paraId="74DD905E" w14:textId="77777777" w:rsidR="00584EC1" w:rsidRDefault="00584EC1">
            <w:pPr>
              <w:rPr>
                <w:rFonts w:ascii="宋体"/>
                <w:vanish/>
              </w:rPr>
            </w:pPr>
          </w:p>
        </w:tc>
        <w:tc>
          <w:tcPr>
            <w:tcW w:w="0" w:type="auto"/>
            <w:gridSpan w:val="3"/>
            <w:shd w:val="clear" w:color="auto" w:fill="auto"/>
            <w:vAlign w:val="bottom"/>
          </w:tcPr>
          <w:p w14:paraId="74DD905F" w14:textId="77777777" w:rsidR="00584EC1" w:rsidRDefault="00584EC1">
            <w:pPr>
              <w:rPr>
                <w:rFonts w:ascii="宋体"/>
                <w:vanish/>
              </w:rPr>
            </w:pPr>
          </w:p>
        </w:tc>
        <w:tc>
          <w:tcPr>
            <w:tcW w:w="0" w:type="auto"/>
            <w:gridSpan w:val="3"/>
            <w:shd w:val="clear" w:color="auto" w:fill="auto"/>
            <w:vAlign w:val="bottom"/>
          </w:tcPr>
          <w:p w14:paraId="74DD9060" w14:textId="77777777" w:rsidR="00584EC1" w:rsidRDefault="00584EC1">
            <w:pPr>
              <w:rPr>
                <w:rFonts w:ascii="宋体"/>
                <w:vanish/>
              </w:rPr>
            </w:pPr>
          </w:p>
        </w:tc>
        <w:tc>
          <w:tcPr>
            <w:tcW w:w="0" w:type="auto"/>
            <w:gridSpan w:val="3"/>
            <w:shd w:val="clear" w:color="auto" w:fill="auto"/>
            <w:vAlign w:val="bottom"/>
          </w:tcPr>
          <w:p w14:paraId="74DD9061" w14:textId="77777777" w:rsidR="00584EC1" w:rsidRDefault="00584EC1">
            <w:pPr>
              <w:rPr>
                <w:rFonts w:ascii="宋体"/>
                <w:vanish/>
              </w:rPr>
            </w:pPr>
          </w:p>
        </w:tc>
      </w:tr>
      <w:tr w:rsidR="00584EC1" w14:paraId="74DD9072" w14:textId="77777777">
        <w:tc>
          <w:tcPr>
            <w:tcW w:w="0" w:type="auto"/>
            <w:gridSpan w:val="3"/>
            <w:shd w:val="clear" w:color="auto" w:fill="CCEEFF"/>
            <w:tcMar>
              <w:top w:w="40" w:type="dxa"/>
              <w:left w:w="20" w:type="dxa"/>
              <w:bottom w:w="40" w:type="dxa"/>
              <w:right w:w="20" w:type="dxa"/>
            </w:tcMar>
            <w:vAlign w:val="bottom"/>
          </w:tcPr>
          <w:p w14:paraId="74DD9063" w14:textId="77777777" w:rsidR="00584EC1" w:rsidRDefault="00871F8D">
            <w:pPr>
              <w:textAlignment w:val="bottom"/>
            </w:pPr>
            <w:r>
              <w:rPr>
                <w:rFonts w:ascii="Arial" w:eastAsia="宋体" w:hAnsi="Arial" w:cs="Arial"/>
                <w:color w:val="000000"/>
                <w:sz w:val="14"/>
                <w:szCs w:val="14"/>
              </w:rPr>
              <w:t>Ending balance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9064"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9065" w14:textId="77777777" w:rsidR="00584EC1" w:rsidRDefault="00871F8D">
            <w:pPr>
              <w:jc w:val="right"/>
              <w:textAlignment w:val="bottom"/>
            </w:pPr>
            <w:r>
              <w:rPr>
                <w:rFonts w:ascii="Arial" w:eastAsia="宋体" w:hAnsi="Arial" w:cs="Arial"/>
                <w:b/>
                <w:bCs/>
                <w:color w:val="000000"/>
                <w:sz w:val="14"/>
                <w:szCs w:val="14"/>
              </w:rPr>
              <w:t>117</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906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067"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9068"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9069" w14:textId="77777777" w:rsidR="00584EC1" w:rsidRDefault="00871F8D">
            <w:pPr>
              <w:jc w:val="right"/>
              <w:textAlignment w:val="bottom"/>
            </w:pPr>
            <w:r>
              <w:rPr>
                <w:rFonts w:ascii="Arial" w:eastAsia="宋体" w:hAnsi="Arial" w:cs="Arial"/>
                <w:color w:val="000000"/>
                <w:sz w:val="14"/>
                <w:szCs w:val="14"/>
              </w:rPr>
              <w:t>153 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906A" w14:textId="77777777" w:rsidR="00584EC1" w:rsidRDefault="00584EC1">
            <w:pPr>
              <w:jc w:val="right"/>
              <w:rPr>
                <w:rFonts w:ascii="宋体"/>
              </w:rPr>
            </w:pPr>
          </w:p>
        </w:tc>
        <w:tc>
          <w:tcPr>
            <w:tcW w:w="0" w:type="auto"/>
            <w:shd w:val="clear" w:color="auto" w:fill="auto"/>
            <w:vAlign w:val="bottom"/>
          </w:tcPr>
          <w:p w14:paraId="74DD906B" w14:textId="77777777" w:rsidR="00584EC1" w:rsidRDefault="00584EC1">
            <w:pPr>
              <w:rPr>
                <w:rFonts w:ascii="宋体"/>
                <w:vanish/>
              </w:rPr>
            </w:pPr>
          </w:p>
        </w:tc>
        <w:tc>
          <w:tcPr>
            <w:tcW w:w="0" w:type="auto"/>
            <w:gridSpan w:val="3"/>
            <w:shd w:val="clear" w:color="auto" w:fill="auto"/>
            <w:vAlign w:val="bottom"/>
          </w:tcPr>
          <w:p w14:paraId="74DD906C" w14:textId="77777777" w:rsidR="00584EC1" w:rsidRDefault="00584EC1">
            <w:pPr>
              <w:rPr>
                <w:rFonts w:ascii="宋体"/>
                <w:vanish/>
              </w:rPr>
            </w:pPr>
          </w:p>
        </w:tc>
        <w:tc>
          <w:tcPr>
            <w:tcW w:w="0" w:type="auto"/>
            <w:gridSpan w:val="3"/>
            <w:shd w:val="clear" w:color="auto" w:fill="auto"/>
            <w:vAlign w:val="bottom"/>
          </w:tcPr>
          <w:p w14:paraId="74DD906D" w14:textId="77777777" w:rsidR="00584EC1" w:rsidRDefault="00584EC1">
            <w:pPr>
              <w:rPr>
                <w:rFonts w:ascii="宋体"/>
                <w:vanish/>
              </w:rPr>
            </w:pPr>
          </w:p>
        </w:tc>
        <w:tc>
          <w:tcPr>
            <w:tcW w:w="0" w:type="auto"/>
            <w:gridSpan w:val="3"/>
            <w:shd w:val="clear" w:color="auto" w:fill="auto"/>
            <w:vAlign w:val="bottom"/>
          </w:tcPr>
          <w:p w14:paraId="74DD906E" w14:textId="77777777" w:rsidR="00584EC1" w:rsidRDefault="00584EC1">
            <w:pPr>
              <w:rPr>
                <w:rFonts w:ascii="宋体"/>
                <w:vanish/>
              </w:rPr>
            </w:pPr>
          </w:p>
        </w:tc>
        <w:tc>
          <w:tcPr>
            <w:tcW w:w="0" w:type="auto"/>
            <w:gridSpan w:val="3"/>
            <w:shd w:val="clear" w:color="auto" w:fill="auto"/>
            <w:vAlign w:val="bottom"/>
          </w:tcPr>
          <w:p w14:paraId="74DD906F" w14:textId="77777777" w:rsidR="00584EC1" w:rsidRDefault="00584EC1">
            <w:pPr>
              <w:rPr>
                <w:rFonts w:ascii="宋体"/>
                <w:vanish/>
              </w:rPr>
            </w:pPr>
          </w:p>
        </w:tc>
        <w:tc>
          <w:tcPr>
            <w:tcW w:w="0" w:type="auto"/>
            <w:gridSpan w:val="3"/>
            <w:shd w:val="clear" w:color="auto" w:fill="auto"/>
            <w:vAlign w:val="bottom"/>
          </w:tcPr>
          <w:p w14:paraId="74DD9070" w14:textId="77777777" w:rsidR="00584EC1" w:rsidRDefault="00584EC1">
            <w:pPr>
              <w:rPr>
                <w:rFonts w:ascii="宋体"/>
                <w:vanish/>
              </w:rPr>
            </w:pPr>
          </w:p>
        </w:tc>
        <w:tc>
          <w:tcPr>
            <w:tcW w:w="0" w:type="auto"/>
            <w:gridSpan w:val="3"/>
            <w:shd w:val="clear" w:color="auto" w:fill="auto"/>
            <w:vAlign w:val="bottom"/>
          </w:tcPr>
          <w:p w14:paraId="74DD9071" w14:textId="77777777" w:rsidR="00584EC1" w:rsidRDefault="00584EC1">
            <w:pPr>
              <w:rPr>
                <w:rFonts w:ascii="宋体"/>
                <w:vanish/>
              </w:rPr>
            </w:pPr>
          </w:p>
        </w:tc>
      </w:tr>
    </w:tbl>
    <w:p w14:paraId="74DD9073" w14:textId="77777777" w:rsidR="00584EC1" w:rsidRDefault="00584EC1">
      <w:pPr>
        <w:rPr>
          <w:vanish/>
        </w:rPr>
      </w:pPr>
    </w:p>
    <w:tbl>
      <w:tblPr>
        <w:tblW w:w="4135" w:type="pct"/>
        <w:tblCellMar>
          <w:top w:w="15" w:type="dxa"/>
          <w:left w:w="15" w:type="dxa"/>
          <w:bottom w:w="15" w:type="dxa"/>
          <w:right w:w="15" w:type="dxa"/>
        </w:tblCellMar>
        <w:tblLook w:val="04A0" w:firstRow="1" w:lastRow="0" w:firstColumn="1" w:lastColumn="0" w:noHBand="0" w:noVBand="1"/>
      </w:tblPr>
      <w:tblGrid>
        <w:gridCol w:w="53"/>
        <w:gridCol w:w="3931"/>
        <w:gridCol w:w="36"/>
        <w:gridCol w:w="53"/>
        <w:gridCol w:w="1648"/>
        <w:gridCol w:w="36"/>
        <w:gridCol w:w="54"/>
        <w:gridCol w:w="975"/>
        <w:gridCol w:w="36"/>
        <w:gridCol w:w="36"/>
        <w:gridCol w:w="36"/>
      </w:tblGrid>
      <w:tr w:rsidR="00584EC1" w14:paraId="74DD907F" w14:textId="77777777">
        <w:tc>
          <w:tcPr>
            <w:tcW w:w="50" w:type="pct"/>
            <w:shd w:val="clear" w:color="auto" w:fill="auto"/>
            <w:vAlign w:val="bottom"/>
          </w:tcPr>
          <w:p w14:paraId="74DD9074" w14:textId="77777777" w:rsidR="00584EC1" w:rsidRDefault="00584EC1">
            <w:pPr>
              <w:rPr>
                <w:rFonts w:ascii="宋体"/>
              </w:rPr>
            </w:pPr>
          </w:p>
        </w:tc>
        <w:tc>
          <w:tcPr>
            <w:tcW w:w="2891" w:type="pct"/>
            <w:shd w:val="clear" w:color="auto" w:fill="auto"/>
            <w:vAlign w:val="bottom"/>
          </w:tcPr>
          <w:p w14:paraId="74DD9075" w14:textId="77777777" w:rsidR="00584EC1" w:rsidRDefault="00584EC1">
            <w:pPr>
              <w:rPr>
                <w:rFonts w:ascii="宋体"/>
              </w:rPr>
            </w:pPr>
          </w:p>
        </w:tc>
        <w:tc>
          <w:tcPr>
            <w:tcW w:w="5" w:type="pct"/>
            <w:shd w:val="clear" w:color="auto" w:fill="auto"/>
            <w:vAlign w:val="bottom"/>
          </w:tcPr>
          <w:p w14:paraId="74DD9076" w14:textId="77777777" w:rsidR="00584EC1" w:rsidRDefault="00584EC1">
            <w:pPr>
              <w:rPr>
                <w:rFonts w:ascii="宋体"/>
              </w:rPr>
            </w:pPr>
          </w:p>
        </w:tc>
        <w:tc>
          <w:tcPr>
            <w:tcW w:w="50" w:type="pct"/>
            <w:shd w:val="clear" w:color="auto" w:fill="auto"/>
            <w:vAlign w:val="bottom"/>
          </w:tcPr>
          <w:p w14:paraId="74DD9077" w14:textId="77777777" w:rsidR="00584EC1" w:rsidRDefault="00584EC1">
            <w:pPr>
              <w:rPr>
                <w:rFonts w:ascii="宋体"/>
              </w:rPr>
            </w:pPr>
          </w:p>
        </w:tc>
        <w:tc>
          <w:tcPr>
            <w:tcW w:w="1218" w:type="pct"/>
            <w:shd w:val="clear" w:color="auto" w:fill="auto"/>
            <w:vAlign w:val="bottom"/>
          </w:tcPr>
          <w:p w14:paraId="74DD9078" w14:textId="77777777" w:rsidR="00584EC1" w:rsidRDefault="00584EC1">
            <w:pPr>
              <w:rPr>
                <w:rFonts w:ascii="宋体"/>
              </w:rPr>
            </w:pPr>
          </w:p>
        </w:tc>
        <w:tc>
          <w:tcPr>
            <w:tcW w:w="5" w:type="pct"/>
            <w:shd w:val="clear" w:color="auto" w:fill="auto"/>
            <w:vAlign w:val="bottom"/>
          </w:tcPr>
          <w:p w14:paraId="74DD9079" w14:textId="77777777" w:rsidR="00584EC1" w:rsidRDefault="00584EC1">
            <w:pPr>
              <w:rPr>
                <w:rFonts w:ascii="宋体"/>
              </w:rPr>
            </w:pPr>
          </w:p>
        </w:tc>
        <w:tc>
          <w:tcPr>
            <w:tcW w:w="50" w:type="pct"/>
            <w:shd w:val="clear" w:color="auto" w:fill="auto"/>
            <w:vAlign w:val="bottom"/>
          </w:tcPr>
          <w:p w14:paraId="74DD907A" w14:textId="77777777" w:rsidR="00584EC1" w:rsidRDefault="00584EC1">
            <w:pPr>
              <w:rPr>
                <w:rFonts w:ascii="宋体"/>
              </w:rPr>
            </w:pPr>
          </w:p>
        </w:tc>
        <w:tc>
          <w:tcPr>
            <w:tcW w:w="724" w:type="pct"/>
            <w:shd w:val="clear" w:color="auto" w:fill="auto"/>
            <w:vAlign w:val="bottom"/>
          </w:tcPr>
          <w:p w14:paraId="74DD907B" w14:textId="77777777" w:rsidR="00584EC1" w:rsidRDefault="00584EC1">
            <w:pPr>
              <w:rPr>
                <w:rFonts w:ascii="宋体"/>
              </w:rPr>
            </w:pPr>
          </w:p>
        </w:tc>
        <w:tc>
          <w:tcPr>
            <w:tcW w:w="5" w:type="pct"/>
            <w:shd w:val="clear" w:color="auto" w:fill="auto"/>
            <w:vAlign w:val="bottom"/>
          </w:tcPr>
          <w:p w14:paraId="74DD907C" w14:textId="77777777" w:rsidR="00584EC1" w:rsidRDefault="00584EC1">
            <w:pPr>
              <w:rPr>
                <w:rFonts w:ascii="宋体"/>
              </w:rPr>
            </w:pPr>
          </w:p>
        </w:tc>
        <w:tc>
          <w:tcPr>
            <w:tcW w:w="0" w:type="auto"/>
            <w:shd w:val="clear" w:color="auto" w:fill="auto"/>
            <w:vAlign w:val="bottom"/>
          </w:tcPr>
          <w:p w14:paraId="74DD907D" w14:textId="77777777" w:rsidR="00584EC1" w:rsidRDefault="00584EC1">
            <w:pPr>
              <w:rPr>
                <w:rFonts w:ascii="宋体"/>
                <w:vanish/>
              </w:rPr>
            </w:pPr>
          </w:p>
        </w:tc>
        <w:tc>
          <w:tcPr>
            <w:tcW w:w="0" w:type="auto"/>
            <w:shd w:val="clear" w:color="auto" w:fill="auto"/>
            <w:vAlign w:val="bottom"/>
          </w:tcPr>
          <w:p w14:paraId="74DD907E" w14:textId="77777777" w:rsidR="00584EC1" w:rsidRDefault="00584EC1">
            <w:pPr>
              <w:rPr>
                <w:rFonts w:ascii="宋体"/>
                <w:vanish/>
              </w:rPr>
            </w:pPr>
          </w:p>
        </w:tc>
      </w:tr>
      <w:tr w:rsidR="00584EC1" w14:paraId="74DD9085"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4DD9080"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908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9082" w14:textId="77777777" w:rsidR="00584EC1" w:rsidRDefault="00584EC1">
            <w:pPr>
              <w:rPr>
                <w:rFonts w:ascii="宋体"/>
              </w:rPr>
            </w:pPr>
          </w:p>
        </w:tc>
        <w:tc>
          <w:tcPr>
            <w:tcW w:w="0" w:type="auto"/>
            <w:shd w:val="clear" w:color="auto" w:fill="auto"/>
            <w:vAlign w:val="bottom"/>
          </w:tcPr>
          <w:p w14:paraId="74DD9083" w14:textId="77777777" w:rsidR="00584EC1" w:rsidRDefault="00584EC1">
            <w:pPr>
              <w:rPr>
                <w:rFonts w:ascii="宋体"/>
                <w:vanish/>
              </w:rPr>
            </w:pPr>
          </w:p>
        </w:tc>
        <w:tc>
          <w:tcPr>
            <w:tcW w:w="0" w:type="auto"/>
            <w:shd w:val="clear" w:color="auto" w:fill="auto"/>
            <w:vAlign w:val="bottom"/>
          </w:tcPr>
          <w:p w14:paraId="74DD9084" w14:textId="77777777" w:rsidR="00584EC1" w:rsidRDefault="00584EC1">
            <w:pPr>
              <w:rPr>
                <w:rFonts w:ascii="宋体"/>
                <w:vanish/>
              </w:rPr>
            </w:pPr>
          </w:p>
        </w:tc>
      </w:tr>
    </w:tbl>
    <w:p w14:paraId="74DD9086" w14:textId="77777777" w:rsidR="00584EC1" w:rsidRDefault="00871F8D">
      <w:pPr>
        <w:spacing w:before="60"/>
        <w:jc w:val="both"/>
        <w:textAlignment w:val="top"/>
      </w:pPr>
      <w:r>
        <w:rPr>
          <w:rFonts w:ascii="Arial" w:eastAsia="宋体" w:hAnsi="Arial" w:cs="Arial"/>
          <w:color w:val="000000"/>
          <w:sz w:val="8"/>
          <w:szCs w:val="8"/>
        </w:rPr>
        <w:t>(1)</w:t>
      </w:r>
      <w:r>
        <w:rPr>
          <w:rFonts w:ascii="Arial" w:eastAsia="宋体" w:hAnsi="Arial" w:cs="Arial"/>
          <w:color w:val="000000"/>
          <w:sz w:val="13"/>
          <w:szCs w:val="13"/>
        </w:rPr>
        <w:t xml:space="preserve"> The provision for credit losses is primarily related to commercial and financial loans.</w:t>
      </w:r>
    </w:p>
    <w:p w14:paraId="74DD9087" w14:textId="77777777" w:rsidR="00584EC1" w:rsidRDefault="00871F8D">
      <w:pPr>
        <w:spacing w:before="60"/>
        <w:jc w:val="both"/>
        <w:textAlignment w:val="top"/>
      </w:pPr>
      <w:r>
        <w:rPr>
          <w:rFonts w:ascii="Arial" w:eastAsia="宋体" w:hAnsi="Arial" w:cs="Arial"/>
          <w:color w:val="000000"/>
          <w:sz w:val="8"/>
          <w:szCs w:val="8"/>
        </w:rPr>
        <w:t>(2)</w:t>
      </w:r>
      <w:r>
        <w:rPr>
          <w:rFonts w:ascii="Arial" w:eastAsia="宋体" w:hAnsi="Arial" w:cs="Arial"/>
          <w:color w:val="000000"/>
          <w:sz w:val="13"/>
          <w:szCs w:val="13"/>
        </w:rPr>
        <w:t xml:space="preserve"> The charge-offs are related to commercial and financial loans. </w:t>
      </w:r>
    </w:p>
    <w:p w14:paraId="74DD9088" w14:textId="77777777" w:rsidR="00584EC1" w:rsidRDefault="00871F8D">
      <w:pPr>
        <w:spacing w:before="60"/>
        <w:jc w:val="both"/>
        <w:textAlignment w:val="top"/>
      </w:pPr>
      <w:r>
        <w:rPr>
          <w:rFonts w:ascii="Arial" w:eastAsia="宋体" w:hAnsi="Arial" w:cs="Arial"/>
          <w:color w:val="000000"/>
          <w:sz w:val="8"/>
          <w:szCs w:val="8"/>
        </w:rPr>
        <w:t>(3)</w:t>
      </w:r>
      <w:r>
        <w:rPr>
          <w:rFonts w:ascii="Arial" w:eastAsia="宋体" w:hAnsi="Arial" w:cs="Arial"/>
          <w:color w:val="000000"/>
          <w:sz w:val="13"/>
          <w:szCs w:val="13"/>
        </w:rPr>
        <w:t xml:space="preserve"> Consists primarily of foreign currency translation.</w:t>
      </w:r>
    </w:p>
    <w:p w14:paraId="74DD9089" w14:textId="77777777" w:rsidR="00584EC1" w:rsidRDefault="00871F8D">
      <w:pPr>
        <w:spacing w:before="60"/>
        <w:ind w:firstLine="450"/>
        <w:jc w:val="both"/>
        <w:textAlignment w:val="top"/>
      </w:pPr>
      <w:r>
        <w:rPr>
          <w:rFonts w:ascii="Arial" w:eastAsia="宋体" w:hAnsi="Arial" w:cs="Arial"/>
          <w:color w:val="000000"/>
          <w:sz w:val="20"/>
          <w:szCs w:val="20"/>
        </w:rPr>
        <w:t>The provision for credit losses related to loans and other financial assets held at amortized cost, including investment securities classified as HTM and off-balance sheet commitments, was a $2 million a</w:t>
      </w:r>
      <w:r>
        <w:rPr>
          <w:rFonts w:ascii="Arial" w:eastAsia="宋体" w:hAnsi="Arial" w:cs="Arial"/>
          <w:color w:val="000000"/>
          <w:sz w:val="20"/>
          <w:szCs w:val="20"/>
        </w:rPr>
        <w:t>nd $26 million reserve release in the three and nine months ended September 30, 2021, compared to nil and $88 million reserve build in the same periods in 2020, respectively.</w:t>
      </w:r>
    </w:p>
    <w:p w14:paraId="74DD908A" w14:textId="77777777" w:rsidR="00584EC1" w:rsidRDefault="00871F8D">
      <w:pPr>
        <w:spacing w:before="60"/>
        <w:ind w:firstLine="450"/>
        <w:jc w:val="both"/>
        <w:textAlignment w:val="top"/>
      </w:pPr>
      <w:r>
        <w:rPr>
          <w:rFonts w:ascii="Arial" w:eastAsia="宋体" w:hAnsi="Arial" w:cs="Arial"/>
          <w:color w:val="000000"/>
          <w:sz w:val="20"/>
          <w:szCs w:val="20"/>
        </w:rPr>
        <w:t>As of September 30, 2021, approximately $68 million of our allowance for credit l</w:t>
      </w:r>
      <w:r>
        <w:rPr>
          <w:rFonts w:ascii="Arial" w:eastAsia="宋体" w:hAnsi="Arial" w:cs="Arial"/>
          <w:color w:val="000000"/>
          <w:sz w:val="20"/>
          <w:szCs w:val="20"/>
        </w:rPr>
        <w:t xml:space="preserve">osses was related to leveraged loans included in the commercial and financial segment compared to $106 million as of September 30, 2020. The reduction in the allowance in the third quarter of 2021 was primarily driven by improvements in credit quality and </w:t>
      </w:r>
      <w:r>
        <w:rPr>
          <w:rFonts w:ascii="Arial" w:eastAsia="宋体" w:hAnsi="Arial" w:cs="Arial"/>
          <w:color w:val="000000"/>
          <w:sz w:val="20"/>
          <w:szCs w:val="20"/>
        </w:rPr>
        <w:t xml:space="preserve">stable economic </w:t>
      </w:r>
    </w:p>
    <w:p w14:paraId="74DD908B" w14:textId="77777777" w:rsidR="00584EC1" w:rsidRDefault="00871F8D">
      <w:pPr>
        <w:ind w:firstLine="450"/>
        <w:jc w:val="right"/>
      </w:pPr>
      <w:r>
        <w:rPr>
          <w:rFonts w:ascii="Arial" w:eastAsia="宋体" w:hAnsi="Arial" w:cs="Arial"/>
          <w:color w:val="000000"/>
          <w:sz w:val="18"/>
          <w:szCs w:val="18"/>
        </w:rPr>
        <w:t>State Street Corporation | 30</w:t>
      </w:r>
    </w:p>
    <w:p w14:paraId="74DD908C" w14:textId="77777777" w:rsidR="00584EC1" w:rsidRDefault="00584EC1">
      <w:pPr>
        <w:ind w:firstLine="450"/>
        <w:jc w:val="center"/>
      </w:pPr>
    </w:p>
    <w:p w14:paraId="74DD908D" w14:textId="77777777" w:rsidR="00584EC1" w:rsidRDefault="00871F8D">
      <w:r>
        <w:pict w14:anchorId="74DE2A0C">
          <v:rect id="_x0000_i1054" style="width:415.3pt;height:1.5pt" o:hralign="center" o:hrstd="t" o:hr="t" fillcolor="#a0a0a0" stroked="f"/>
        </w:pict>
      </w:r>
    </w:p>
    <w:p w14:paraId="74DD908E" w14:textId="77777777" w:rsidR="00584EC1" w:rsidRDefault="00871F8D">
      <w:pPr>
        <w:ind w:firstLine="450"/>
        <w:jc w:val="center"/>
      </w:pPr>
      <w:r>
        <w:rPr>
          <w:rFonts w:ascii="Arial" w:eastAsia="宋体" w:hAnsi="Arial" w:cs="Arial"/>
          <w:b/>
          <w:bCs/>
          <w:color w:val="000000"/>
          <w:sz w:val="20"/>
          <w:szCs w:val="20"/>
        </w:rPr>
        <w:t>MANAGEMENT’S DISCUSSION AND ANALYSIS OF FINANCIAL CONDITION</w:t>
      </w:r>
    </w:p>
    <w:p w14:paraId="74DD908F" w14:textId="77777777" w:rsidR="00584EC1" w:rsidRDefault="00871F8D">
      <w:pPr>
        <w:ind w:firstLine="450"/>
        <w:jc w:val="center"/>
      </w:pPr>
      <w:r>
        <w:rPr>
          <w:rFonts w:ascii="Arial" w:eastAsia="宋体" w:hAnsi="Arial" w:cs="Arial"/>
          <w:b/>
          <w:bCs/>
          <w:color w:val="000000"/>
          <w:sz w:val="20"/>
          <w:szCs w:val="20"/>
        </w:rPr>
        <w:t>AND RESULTS OF OPERATIONS</w:t>
      </w:r>
    </w:p>
    <w:p w14:paraId="74DD9090" w14:textId="77777777" w:rsidR="00584EC1" w:rsidRDefault="00871F8D">
      <w:pPr>
        <w:spacing w:before="60"/>
        <w:jc w:val="both"/>
        <w:textAlignment w:val="top"/>
      </w:pPr>
      <w:r>
        <w:rPr>
          <w:rFonts w:ascii="Arial" w:eastAsia="宋体" w:hAnsi="Arial" w:cs="Arial"/>
          <w:color w:val="000000"/>
          <w:sz w:val="20"/>
          <w:szCs w:val="20"/>
        </w:rPr>
        <w:t>conditions. As our view on current and future economic scenarios change, our allowance for credit losses related to thes</w:t>
      </w:r>
      <w:r>
        <w:rPr>
          <w:rFonts w:ascii="Arial" w:eastAsia="宋体" w:hAnsi="Arial" w:cs="Arial"/>
          <w:color w:val="000000"/>
          <w:sz w:val="20"/>
          <w:szCs w:val="20"/>
        </w:rPr>
        <w:t>e loans may be impacted through a change to the provisions for credit losses, reflecting credit migration within our loan portfolio, as well as changes in management's economic outlook as of year-end. The remaining $49 million and $47 million as of Septemb</w:t>
      </w:r>
      <w:r>
        <w:rPr>
          <w:rFonts w:ascii="Arial" w:eastAsia="宋体" w:hAnsi="Arial" w:cs="Arial"/>
          <w:color w:val="000000"/>
          <w:sz w:val="20"/>
          <w:szCs w:val="20"/>
        </w:rPr>
        <w:t xml:space="preserve">er 30, 2021 and 2020, respectively, was related to other loans, commercial real estate loans, off-balance sheet commitments and other financial assets held at amortized cost, including investment securities held-to-maturity. </w:t>
      </w:r>
    </w:p>
    <w:p w14:paraId="74DD9091" w14:textId="77777777" w:rsidR="00584EC1" w:rsidRDefault="00871F8D">
      <w:pPr>
        <w:spacing w:before="60"/>
        <w:ind w:firstLine="450"/>
        <w:jc w:val="both"/>
        <w:textAlignment w:val="top"/>
      </w:pPr>
      <w:r>
        <w:rPr>
          <w:rFonts w:ascii="Arial" w:eastAsia="宋体" w:hAnsi="Arial" w:cs="Arial"/>
          <w:color w:val="000000"/>
          <w:sz w:val="20"/>
          <w:szCs w:val="20"/>
        </w:rPr>
        <w:t>An allowance for credit losses</w:t>
      </w:r>
      <w:r>
        <w:rPr>
          <w:rFonts w:ascii="Arial" w:eastAsia="宋体" w:hAnsi="Arial" w:cs="Arial"/>
          <w:color w:val="000000"/>
          <w:sz w:val="20"/>
          <w:szCs w:val="20"/>
        </w:rPr>
        <w:t xml:space="preserve"> is recognized on HTM securities upon acquisition of the security, and on AFS securities when the fair value and expected future cash flows of the investment securities are less than their amortized cost basis. Our assessment of impairment involves an eval</w:t>
      </w:r>
      <w:r>
        <w:rPr>
          <w:rFonts w:ascii="Arial" w:eastAsia="宋体" w:hAnsi="Arial" w:cs="Arial"/>
          <w:color w:val="000000"/>
          <w:sz w:val="20"/>
          <w:szCs w:val="20"/>
        </w:rPr>
        <w:t>uation of economic and security-specific factors. Such factors are based on estimates, derived by management, which contemplate current market conditions and security-specific performance. To the extent that market conditions are worse than management's ex</w:t>
      </w:r>
      <w:r>
        <w:rPr>
          <w:rFonts w:ascii="Arial" w:eastAsia="宋体" w:hAnsi="Arial" w:cs="Arial"/>
          <w:color w:val="000000"/>
          <w:sz w:val="20"/>
          <w:szCs w:val="20"/>
        </w:rPr>
        <w:t>pectations or due to idiosyncratic bond performance, the credit-related component of impairment, in particular, could increase and would be recorded in the provision for credit losses. Additional information with respect to the allowance for credit losses,</w:t>
      </w:r>
      <w:r>
        <w:rPr>
          <w:rFonts w:ascii="Arial" w:eastAsia="宋体" w:hAnsi="Arial" w:cs="Arial"/>
          <w:color w:val="000000"/>
          <w:sz w:val="20"/>
          <w:szCs w:val="20"/>
        </w:rPr>
        <w:t xml:space="preserve"> net impairment losses and gross unrealized losses related to investment securities, is provided in Note 3 to the consolidated financial statements in this Form 10-Q.</w:t>
      </w:r>
    </w:p>
    <w:p w14:paraId="74DD9092" w14:textId="77777777" w:rsidR="00584EC1" w:rsidRDefault="00871F8D">
      <w:pPr>
        <w:spacing w:before="90"/>
        <w:textAlignment w:val="top"/>
      </w:pPr>
      <w:r>
        <w:rPr>
          <w:rFonts w:ascii="Arial" w:eastAsia="宋体" w:hAnsi="Arial" w:cs="Arial"/>
          <w:b/>
          <w:bCs/>
          <w:color w:val="000000"/>
          <w:sz w:val="20"/>
          <w:szCs w:val="20"/>
        </w:rPr>
        <w:t>Cross-Border Outstandings</w:t>
      </w:r>
    </w:p>
    <w:p w14:paraId="74DD9093" w14:textId="77777777" w:rsidR="00584EC1" w:rsidRDefault="00871F8D">
      <w:pPr>
        <w:spacing w:before="60"/>
        <w:ind w:firstLine="450"/>
        <w:jc w:val="both"/>
        <w:textAlignment w:val="top"/>
      </w:pPr>
      <w:r>
        <w:rPr>
          <w:rFonts w:ascii="Arial" w:eastAsia="宋体" w:hAnsi="Arial" w:cs="Arial"/>
          <w:color w:val="000000"/>
          <w:sz w:val="20"/>
          <w:szCs w:val="20"/>
        </w:rPr>
        <w:t>Cross-border outstandings are amounts payable to us by non-U.S. counterparties which are denominated in U.S. dollars or other non-local currency, as well as non-U.S. local currency claims not funded by local currency liabilities. Our cross-border outstandi</w:t>
      </w:r>
      <w:r>
        <w:rPr>
          <w:rFonts w:ascii="Arial" w:eastAsia="宋体" w:hAnsi="Arial" w:cs="Arial"/>
          <w:color w:val="000000"/>
          <w:sz w:val="20"/>
          <w:szCs w:val="20"/>
        </w:rPr>
        <w:t xml:space="preserve">ngs consist primarily of deposits with banks; loans and lease financing, including short-duration advances; investment securities; amounts related to FX and interest rate contracts; and securities finance. </w:t>
      </w:r>
      <w:r>
        <w:rPr>
          <w:rFonts w:ascii="Arial" w:eastAsia="宋体" w:hAnsi="Arial" w:cs="Arial"/>
          <w:color w:val="000000"/>
          <w:sz w:val="2"/>
          <w:szCs w:val="2"/>
        </w:rPr>
        <w:t> </w:t>
      </w:r>
      <w:r>
        <w:rPr>
          <w:rFonts w:ascii="Arial" w:eastAsia="宋体" w:hAnsi="Arial" w:cs="Arial"/>
          <w:color w:val="000000"/>
          <w:sz w:val="20"/>
          <w:szCs w:val="20"/>
        </w:rPr>
        <w:t>In addition to credit risk, cross-border outstand</w:t>
      </w:r>
      <w:r>
        <w:rPr>
          <w:rFonts w:ascii="Arial" w:eastAsia="宋体" w:hAnsi="Arial" w:cs="Arial"/>
          <w:color w:val="000000"/>
          <w:sz w:val="20"/>
          <w:szCs w:val="20"/>
        </w:rPr>
        <w:t>ings have the risk that, as a result of political or economic conditions in a country, borrowers may be unable to meet their contractual repayment obligations of principal and/or interest when due because of the unavailability of, or restrictions on, FX ne</w:t>
      </w:r>
      <w:r>
        <w:rPr>
          <w:rFonts w:ascii="Arial" w:eastAsia="宋体" w:hAnsi="Arial" w:cs="Arial"/>
          <w:color w:val="000000"/>
          <w:sz w:val="20"/>
          <w:szCs w:val="20"/>
        </w:rPr>
        <w:t>eded by borrowers to repay their obligations.</w:t>
      </w:r>
    </w:p>
    <w:p w14:paraId="74DD9094" w14:textId="77777777" w:rsidR="00584EC1" w:rsidRDefault="00871F8D">
      <w:pPr>
        <w:spacing w:before="60"/>
        <w:ind w:firstLine="450"/>
        <w:jc w:val="both"/>
        <w:textAlignment w:val="top"/>
      </w:pPr>
      <w:r>
        <w:rPr>
          <w:rFonts w:ascii="Arial" w:eastAsia="宋体" w:hAnsi="Arial" w:cs="Arial"/>
          <w:color w:val="000000"/>
          <w:sz w:val="20"/>
          <w:szCs w:val="20"/>
        </w:rPr>
        <w:t>As market and economic conditions change, the major independent credit rating agencies may downgrade U.S. and non-U.S. financial institutions and sovereign issuers which have been, and may in the future be, sig</w:t>
      </w:r>
      <w:r>
        <w:rPr>
          <w:rFonts w:ascii="Arial" w:eastAsia="宋体" w:hAnsi="Arial" w:cs="Arial"/>
          <w:color w:val="000000"/>
          <w:sz w:val="20"/>
          <w:szCs w:val="20"/>
        </w:rPr>
        <w:t xml:space="preserve">nificant counterparties to us, or whose financial instruments serve as collateral on which we rely for credit risk mitigation purposes, and </w:t>
      </w:r>
    </w:p>
    <w:p w14:paraId="74DD9095" w14:textId="77777777" w:rsidR="00584EC1" w:rsidRDefault="00871F8D">
      <w:pPr>
        <w:spacing w:before="60"/>
        <w:jc w:val="both"/>
        <w:textAlignment w:val="top"/>
      </w:pPr>
      <w:r>
        <w:rPr>
          <w:rFonts w:ascii="Arial" w:eastAsia="宋体" w:hAnsi="Arial" w:cs="Arial"/>
          <w:color w:val="000000"/>
          <w:sz w:val="20"/>
          <w:szCs w:val="20"/>
        </w:rPr>
        <w:t>may do so again in the future. As a result, we may be exposed to increased counterparty risk, leading to negative r</w:t>
      </w:r>
      <w:r>
        <w:rPr>
          <w:rFonts w:ascii="Arial" w:eastAsia="宋体" w:hAnsi="Arial" w:cs="Arial"/>
          <w:color w:val="000000"/>
          <w:sz w:val="20"/>
          <w:szCs w:val="20"/>
        </w:rPr>
        <w:t>atings volatility.</w:t>
      </w:r>
    </w:p>
    <w:p w14:paraId="74DD9096" w14:textId="77777777" w:rsidR="00584EC1" w:rsidRDefault="00871F8D">
      <w:pPr>
        <w:spacing w:before="60"/>
        <w:ind w:firstLine="450"/>
        <w:jc w:val="both"/>
        <w:textAlignment w:val="top"/>
      </w:pPr>
      <w:r>
        <w:rPr>
          <w:rFonts w:ascii="Arial" w:eastAsia="宋体" w:hAnsi="Arial" w:cs="Arial"/>
          <w:color w:val="000000"/>
          <w:sz w:val="20"/>
          <w:szCs w:val="20"/>
        </w:rPr>
        <w:t>The cross-border outstandings presented in Table 27: Cross-border outstandings, represented approximately 24% and 30% of our consolidated total assets as of September 30, 2021 and December 31, 2020, respectively.</w:t>
      </w:r>
    </w:p>
    <w:tbl>
      <w:tblPr>
        <w:tblW w:w="5000" w:type="pct"/>
        <w:tblCellMar>
          <w:top w:w="15" w:type="dxa"/>
          <w:left w:w="15" w:type="dxa"/>
          <w:bottom w:w="15" w:type="dxa"/>
          <w:right w:w="15" w:type="dxa"/>
        </w:tblCellMar>
        <w:tblLook w:val="04A0" w:firstRow="1" w:lastRow="0" w:firstColumn="1" w:lastColumn="0" w:noHBand="0" w:noVBand="1"/>
      </w:tblPr>
      <w:tblGrid>
        <w:gridCol w:w="43"/>
        <w:gridCol w:w="2360"/>
        <w:gridCol w:w="38"/>
        <w:gridCol w:w="99"/>
        <w:gridCol w:w="1758"/>
        <w:gridCol w:w="37"/>
        <w:gridCol w:w="36"/>
        <w:gridCol w:w="48"/>
        <w:gridCol w:w="36"/>
        <w:gridCol w:w="99"/>
        <w:gridCol w:w="1837"/>
        <w:gridCol w:w="37"/>
        <w:gridCol w:w="36"/>
        <w:gridCol w:w="48"/>
        <w:gridCol w:w="36"/>
        <w:gridCol w:w="99"/>
        <w:gridCol w:w="1653"/>
        <w:gridCol w:w="36"/>
      </w:tblGrid>
      <w:tr w:rsidR="00584EC1" w14:paraId="74DD90A9" w14:textId="77777777">
        <w:tc>
          <w:tcPr>
            <w:tcW w:w="50" w:type="pct"/>
            <w:shd w:val="clear" w:color="auto" w:fill="auto"/>
            <w:vAlign w:val="bottom"/>
          </w:tcPr>
          <w:p w14:paraId="74DD9097" w14:textId="77777777" w:rsidR="00584EC1" w:rsidRDefault="00584EC1">
            <w:pPr>
              <w:rPr>
                <w:rFonts w:ascii="宋体"/>
              </w:rPr>
            </w:pPr>
          </w:p>
        </w:tc>
        <w:tc>
          <w:tcPr>
            <w:tcW w:w="1438" w:type="pct"/>
            <w:shd w:val="clear" w:color="auto" w:fill="auto"/>
            <w:vAlign w:val="bottom"/>
          </w:tcPr>
          <w:p w14:paraId="74DD9098" w14:textId="77777777" w:rsidR="00584EC1" w:rsidRDefault="00584EC1">
            <w:pPr>
              <w:rPr>
                <w:rFonts w:ascii="宋体"/>
              </w:rPr>
            </w:pPr>
          </w:p>
        </w:tc>
        <w:tc>
          <w:tcPr>
            <w:tcW w:w="5" w:type="pct"/>
            <w:shd w:val="clear" w:color="auto" w:fill="auto"/>
            <w:vAlign w:val="bottom"/>
          </w:tcPr>
          <w:p w14:paraId="74DD9099" w14:textId="77777777" w:rsidR="00584EC1" w:rsidRDefault="00584EC1">
            <w:pPr>
              <w:rPr>
                <w:rFonts w:ascii="宋体"/>
              </w:rPr>
            </w:pPr>
          </w:p>
        </w:tc>
        <w:tc>
          <w:tcPr>
            <w:tcW w:w="50" w:type="pct"/>
            <w:shd w:val="clear" w:color="auto" w:fill="auto"/>
            <w:vAlign w:val="bottom"/>
          </w:tcPr>
          <w:p w14:paraId="74DD909A" w14:textId="77777777" w:rsidR="00584EC1" w:rsidRDefault="00584EC1">
            <w:pPr>
              <w:rPr>
                <w:rFonts w:ascii="宋体"/>
              </w:rPr>
            </w:pPr>
          </w:p>
        </w:tc>
        <w:tc>
          <w:tcPr>
            <w:tcW w:w="1077" w:type="pct"/>
            <w:shd w:val="clear" w:color="auto" w:fill="auto"/>
            <w:vAlign w:val="bottom"/>
          </w:tcPr>
          <w:p w14:paraId="74DD909B" w14:textId="77777777" w:rsidR="00584EC1" w:rsidRDefault="00584EC1">
            <w:pPr>
              <w:rPr>
                <w:rFonts w:ascii="宋体"/>
              </w:rPr>
            </w:pPr>
          </w:p>
        </w:tc>
        <w:tc>
          <w:tcPr>
            <w:tcW w:w="5" w:type="pct"/>
            <w:shd w:val="clear" w:color="auto" w:fill="auto"/>
            <w:vAlign w:val="bottom"/>
          </w:tcPr>
          <w:p w14:paraId="74DD909C" w14:textId="77777777" w:rsidR="00584EC1" w:rsidRDefault="00584EC1">
            <w:pPr>
              <w:rPr>
                <w:rFonts w:ascii="宋体"/>
              </w:rPr>
            </w:pPr>
          </w:p>
        </w:tc>
        <w:tc>
          <w:tcPr>
            <w:tcW w:w="5" w:type="pct"/>
            <w:shd w:val="clear" w:color="auto" w:fill="auto"/>
            <w:vAlign w:val="bottom"/>
          </w:tcPr>
          <w:p w14:paraId="74DD909D" w14:textId="77777777" w:rsidR="00584EC1" w:rsidRDefault="00584EC1">
            <w:pPr>
              <w:rPr>
                <w:rFonts w:ascii="宋体"/>
              </w:rPr>
            </w:pPr>
          </w:p>
        </w:tc>
        <w:tc>
          <w:tcPr>
            <w:tcW w:w="52" w:type="pct"/>
            <w:shd w:val="clear" w:color="auto" w:fill="auto"/>
            <w:vAlign w:val="bottom"/>
          </w:tcPr>
          <w:p w14:paraId="74DD909E" w14:textId="77777777" w:rsidR="00584EC1" w:rsidRDefault="00584EC1">
            <w:pPr>
              <w:rPr>
                <w:rFonts w:ascii="宋体"/>
              </w:rPr>
            </w:pPr>
          </w:p>
        </w:tc>
        <w:tc>
          <w:tcPr>
            <w:tcW w:w="5" w:type="pct"/>
            <w:shd w:val="clear" w:color="auto" w:fill="auto"/>
            <w:vAlign w:val="bottom"/>
          </w:tcPr>
          <w:p w14:paraId="74DD909F" w14:textId="77777777" w:rsidR="00584EC1" w:rsidRDefault="00584EC1">
            <w:pPr>
              <w:rPr>
                <w:rFonts w:ascii="宋体"/>
              </w:rPr>
            </w:pPr>
          </w:p>
        </w:tc>
        <w:tc>
          <w:tcPr>
            <w:tcW w:w="50" w:type="pct"/>
            <w:shd w:val="clear" w:color="auto" w:fill="auto"/>
            <w:vAlign w:val="bottom"/>
          </w:tcPr>
          <w:p w14:paraId="74DD90A0" w14:textId="77777777" w:rsidR="00584EC1" w:rsidRDefault="00584EC1">
            <w:pPr>
              <w:rPr>
                <w:rFonts w:ascii="宋体"/>
              </w:rPr>
            </w:pPr>
          </w:p>
        </w:tc>
        <w:tc>
          <w:tcPr>
            <w:tcW w:w="1124" w:type="pct"/>
            <w:shd w:val="clear" w:color="auto" w:fill="auto"/>
            <w:vAlign w:val="bottom"/>
          </w:tcPr>
          <w:p w14:paraId="74DD90A1" w14:textId="77777777" w:rsidR="00584EC1" w:rsidRDefault="00584EC1">
            <w:pPr>
              <w:rPr>
                <w:rFonts w:ascii="宋体"/>
              </w:rPr>
            </w:pPr>
          </w:p>
        </w:tc>
        <w:tc>
          <w:tcPr>
            <w:tcW w:w="5" w:type="pct"/>
            <w:shd w:val="clear" w:color="auto" w:fill="auto"/>
            <w:vAlign w:val="bottom"/>
          </w:tcPr>
          <w:p w14:paraId="74DD90A2" w14:textId="77777777" w:rsidR="00584EC1" w:rsidRDefault="00584EC1">
            <w:pPr>
              <w:rPr>
                <w:rFonts w:ascii="宋体"/>
              </w:rPr>
            </w:pPr>
          </w:p>
        </w:tc>
        <w:tc>
          <w:tcPr>
            <w:tcW w:w="5" w:type="pct"/>
            <w:shd w:val="clear" w:color="auto" w:fill="auto"/>
            <w:vAlign w:val="bottom"/>
          </w:tcPr>
          <w:p w14:paraId="74DD90A3" w14:textId="77777777" w:rsidR="00584EC1" w:rsidRDefault="00584EC1">
            <w:pPr>
              <w:rPr>
                <w:rFonts w:ascii="宋体"/>
              </w:rPr>
            </w:pPr>
          </w:p>
        </w:tc>
        <w:tc>
          <w:tcPr>
            <w:tcW w:w="52" w:type="pct"/>
            <w:shd w:val="clear" w:color="auto" w:fill="auto"/>
            <w:vAlign w:val="bottom"/>
          </w:tcPr>
          <w:p w14:paraId="74DD90A4" w14:textId="77777777" w:rsidR="00584EC1" w:rsidRDefault="00584EC1">
            <w:pPr>
              <w:rPr>
                <w:rFonts w:ascii="宋体"/>
              </w:rPr>
            </w:pPr>
          </w:p>
        </w:tc>
        <w:tc>
          <w:tcPr>
            <w:tcW w:w="5" w:type="pct"/>
            <w:shd w:val="clear" w:color="auto" w:fill="auto"/>
            <w:vAlign w:val="bottom"/>
          </w:tcPr>
          <w:p w14:paraId="74DD90A5" w14:textId="77777777" w:rsidR="00584EC1" w:rsidRDefault="00584EC1">
            <w:pPr>
              <w:rPr>
                <w:rFonts w:ascii="宋体"/>
              </w:rPr>
            </w:pPr>
          </w:p>
        </w:tc>
        <w:tc>
          <w:tcPr>
            <w:tcW w:w="50" w:type="pct"/>
            <w:shd w:val="clear" w:color="auto" w:fill="auto"/>
            <w:vAlign w:val="bottom"/>
          </w:tcPr>
          <w:p w14:paraId="74DD90A6" w14:textId="77777777" w:rsidR="00584EC1" w:rsidRDefault="00584EC1">
            <w:pPr>
              <w:rPr>
                <w:rFonts w:ascii="宋体"/>
              </w:rPr>
            </w:pPr>
          </w:p>
        </w:tc>
        <w:tc>
          <w:tcPr>
            <w:tcW w:w="1014" w:type="pct"/>
            <w:shd w:val="clear" w:color="auto" w:fill="auto"/>
            <w:vAlign w:val="bottom"/>
          </w:tcPr>
          <w:p w14:paraId="74DD90A7" w14:textId="77777777" w:rsidR="00584EC1" w:rsidRDefault="00584EC1">
            <w:pPr>
              <w:rPr>
                <w:rFonts w:ascii="宋体"/>
              </w:rPr>
            </w:pPr>
          </w:p>
        </w:tc>
        <w:tc>
          <w:tcPr>
            <w:tcW w:w="5" w:type="pct"/>
            <w:shd w:val="clear" w:color="auto" w:fill="auto"/>
            <w:vAlign w:val="bottom"/>
          </w:tcPr>
          <w:p w14:paraId="74DD90A8" w14:textId="77777777" w:rsidR="00584EC1" w:rsidRDefault="00584EC1">
            <w:pPr>
              <w:rPr>
                <w:rFonts w:ascii="宋体"/>
              </w:rPr>
            </w:pPr>
          </w:p>
        </w:tc>
      </w:tr>
      <w:tr w:rsidR="00584EC1" w14:paraId="74DD90AB" w14:textId="77777777">
        <w:tc>
          <w:tcPr>
            <w:tcW w:w="0" w:type="auto"/>
            <w:gridSpan w:val="18"/>
            <w:shd w:val="clear" w:color="auto" w:fill="auto"/>
            <w:tcMar>
              <w:top w:w="40" w:type="dxa"/>
              <w:left w:w="20" w:type="dxa"/>
              <w:bottom w:w="40" w:type="dxa"/>
              <w:right w:w="20" w:type="dxa"/>
            </w:tcMar>
            <w:vAlign w:val="bottom"/>
          </w:tcPr>
          <w:p w14:paraId="74DD90AA" w14:textId="77777777" w:rsidR="00584EC1" w:rsidRDefault="00871F8D">
            <w:pPr>
              <w:textAlignment w:val="bottom"/>
            </w:pPr>
            <w:r>
              <w:rPr>
                <w:rFonts w:ascii="Arial" w:eastAsia="宋体" w:hAnsi="Arial" w:cs="Arial"/>
                <w:b/>
                <w:bCs/>
                <w:color w:val="000000"/>
                <w:sz w:val="16"/>
                <w:szCs w:val="16"/>
              </w:rPr>
              <w:t>TABLE 27: CROSS-BORDER OUTSTANDINGS</w:t>
            </w:r>
            <w:r>
              <w:rPr>
                <w:rFonts w:ascii="Arial" w:eastAsia="宋体" w:hAnsi="Arial" w:cs="Arial"/>
                <w:b/>
                <w:bCs/>
                <w:color w:val="000000"/>
                <w:sz w:val="10"/>
                <w:szCs w:val="10"/>
              </w:rPr>
              <w:t>(1)</w:t>
            </w:r>
          </w:p>
        </w:tc>
      </w:tr>
      <w:tr w:rsidR="00584EC1" w14:paraId="74DD90B2" w14:textId="77777777">
        <w:tc>
          <w:tcPr>
            <w:tcW w:w="0" w:type="auto"/>
            <w:gridSpan w:val="3"/>
            <w:shd w:val="clear" w:color="auto" w:fill="auto"/>
            <w:tcMar>
              <w:top w:w="40" w:type="dxa"/>
              <w:left w:w="20" w:type="dxa"/>
              <w:bottom w:w="40" w:type="dxa"/>
              <w:right w:w="20" w:type="dxa"/>
            </w:tcMar>
            <w:vAlign w:val="bottom"/>
          </w:tcPr>
          <w:p w14:paraId="74DD90AC" w14:textId="77777777" w:rsidR="00584EC1" w:rsidRDefault="00871F8D">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74DD90AD" w14:textId="77777777" w:rsidR="00584EC1" w:rsidRDefault="00871F8D">
            <w:pPr>
              <w:jc w:val="center"/>
              <w:textAlignment w:val="bottom"/>
            </w:pPr>
            <w:r>
              <w:rPr>
                <w:rFonts w:ascii="Arial" w:eastAsia="宋体" w:hAnsi="Arial" w:cs="Arial"/>
                <w:b/>
                <w:bCs/>
                <w:color w:val="000000"/>
                <w:sz w:val="14"/>
                <w:szCs w:val="14"/>
              </w:rPr>
              <w:t>Investment Securities and Other Assets</w:t>
            </w:r>
            <w:r>
              <w:rPr>
                <w:rFonts w:ascii="Arial" w:eastAsia="宋体" w:hAnsi="Arial" w:cs="Arial"/>
                <w:color w:val="000000"/>
                <w:sz w:val="14"/>
                <w:szCs w:val="14"/>
              </w:rPr>
              <w:t> </w:t>
            </w:r>
          </w:p>
        </w:tc>
        <w:tc>
          <w:tcPr>
            <w:tcW w:w="0" w:type="auto"/>
            <w:gridSpan w:val="3"/>
            <w:shd w:val="clear" w:color="auto" w:fill="auto"/>
            <w:tcMar>
              <w:top w:w="0" w:type="dxa"/>
              <w:left w:w="20" w:type="dxa"/>
              <w:bottom w:w="0" w:type="dxa"/>
              <w:right w:w="20" w:type="dxa"/>
            </w:tcMar>
            <w:vAlign w:val="bottom"/>
          </w:tcPr>
          <w:p w14:paraId="74DD90AE"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90AF" w14:textId="77777777" w:rsidR="00584EC1" w:rsidRDefault="00871F8D">
            <w:pPr>
              <w:jc w:val="center"/>
              <w:textAlignment w:val="bottom"/>
            </w:pPr>
            <w:r>
              <w:rPr>
                <w:rFonts w:ascii="Arial" w:eastAsia="宋体" w:hAnsi="Arial" w:cs="Arial"/>
                <w:b/>
                <w:bCs/>
                <w:color w:val="000000"/>
                <w:sz w:val="14"/>
                <w:szCs w:val="14"/>
              </w:rPr>
              <w:t>Derivatives and Securities on Loan</w:t>
            </w:r>
          </w:p>
        </w:tc>
        <w:tc>
          <w:tcPr>
            <w:tcW w:w="0" w:type="auto"/>
            <w:gridSpan w:val="3"/>
            <w:shd w:val="clear" w:color="auto" w:fill="auto"/>
            <w:tcMar>
              <w:top w:w="0" w:type="dxa"/>
              <w:left w:w="20" w:type="dxa"/>
              <w:bottom w:w="0" w:type="dxa"/>
              <w:right w:w="20" w:type="dxa"/>
            </w:tcMar>
            <w:vAlign w:val="bottom"/>
          </w:tcPr>
          <w:p w14:paraId="74DD90B0"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90B1" w14:textId="77777777" w:rsidR="00584EC1" w:rsidRDefault="00871F8D">
            <w:pPr>
              <w:jc w:val="center"/>
              <w:textAlignment w:val="bottom"/>
            </w:pPr>
            <w:r>
              <w:rPr>
                <w:rFonts w:ascii="Arial" w:eastAsia="宋体" w:hAnsi="Arial" w:cs="Arial"/>
                <w:b/>
                <w:bCs/>
                <w:color w:val="000000"/>
                <w:sz w:val="14"/>
                <w:szCs w:val="14"/>
              </w:rPr>
              <w:t>Total Cross-Border Outstandings</w:t>
            </w:r>
          </w:p>
        </w:tc>
      </w:tr>
      <w:tr w:rsidR="00584EC1" w14:paraId="74DD90B9" w14:textId="77777777">
        <w:tc>
          <w:tcPr>
            <w:tcW w:w="0" w:type="auto"/>
            <w:gridSpan w:val="3"/>
            <w:shd w:val="clear" w:color="auto" w:fill="auto"/>
            <w:tcMar>
              <w:top w:w="40" w:type="dxa"/>
              <w:left w:w="20" w:type="dxa"/>
              <w:bottom w:w="40" w:type="dxa"/>
              <w:right w:w="20" w:type="dxa"/>
            </w:tcMar>
            <w:vAlign w:val="bottom"/>
          </w:tcPr>
          <w:p w14:paraId="74DD90B3" w14:textId="77777777" w:rsidR="00584EC1" w:rsidRDefault="00871F8D">
            <w:pPr>
              <w:textAlignment w:val="bottom"/>
            </w:pPr>
            <w:r>
              <w:rPr>
                <w:rFonts w:ascii="Arial" w:eastAsia="宋体" w:hAnsi="Arial" w:cs="Arial"/>
                <w:b/>
                <w:bCs/>
                <w:color w:val="000000"/>
                <w:sz w:val="14"/>
                <w:szCs w:val="14"/>
              </w:rPr>
              <w:t>September 30, 2021</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90B4" w14:textId="77777777" w:rsidR="00584EC1" w:rsidRDefault="00871F8D">
            <w:pPr>
              <w:jc w:val="right"/>
              <w:textAlignment w:val="bottom"/>
            </w:pPr>
            <w:r>
              <w:rPr>
                <w:rFonts w:ascii="Arial" w:eastAsia="宋体" w:hAnsi="Arial" w:cs="Arial"/>
                <w:b/>
                <w:bCs/>
                <w:color w:val="000000"/>
                <w:sz w:val="14"/>
                <w:szCs w:val="14"/>
              </w:rPr>
              <w:t> </w:t>
            </w:r>
          </w:p>
        </w:tc>
        <w:tc>
          <w:tcPr>
            <w:tcW w:w="0" w:type="auto"/>
            <w:gridSpan w:val="3"/>
            <w:shd w:val="clear" w:color="auto" w:fill="auto"/>
            <w:tcMar>
              <w:top w:w="0" w:type="dxa"/>
              <w:left w:w="20" w:type="dxa"/>
              <w:bottom w:w="0" w:type="dxa"/>
              <w:right w:w="20" w:type="dxa"/>
            </w:tcMar>
            <w:vAlign w:val="bottom"/>
          </w:tcPr>
          <w:p w14:paraId="74DD90B5"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0B6"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90B7"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90B8" w14:textId="77777777" w:rsidR="00584EC1" w:rsidRDefault="00871F8D">
            <w:pPr>
              <w:textAlignment w:val="bottom"/>
            </w:pPr>
            <w:r>
              <w:rPr>
                <w:rFonts w:ascii="Arial" w:eastAsia="宋体" w:hAnsi="Arial" w:cs="Arial"/>
                <w:color w:val="000000"/>
                <w:sz w:val="14"/>
                <w:szCs w:val="14"/>
              </w:rPr>
              <w:t> </w:t>
            </w:r>
          </w:p>
        </w:tc>
      </w:tr>
      <w:tr w:rsidR="00584EC1" w14:paraId="74DD90C6" w14:textId="77777777">
        <w:tc>
          <w:tcPr>
            <w:tcW w:w="0" w:type="auto"/>
            <w:gridSpan w:val="3"/>
            <w:shd w:val="clear" w:color="auto" w:fill="CCEEFF"/>
            <w:tcMar>
              <w:top w:w="40" w:type="dxa"/>
              <w:left w:w="20" w:type="dxa"/>
              <w:bottom w:w="40" w:type="dxa"/>
              <w:right w:w="20" w:type="dxa"/>
            </w:tcMar>
            <w:vAlign w:val="bottom"/>
          </w:tcPr>
          <w:p w14:paraId="74DD90BA" w14:textId="77777777" w:rsidR="00584EC1" w:rsidRDefault="00871F8D">
            <w:pPr>
              <w:textAlignment w:val="bottom"/>
            </w:pPr>
            <w:r>
              <w:rPr>
                <w:rFonts w:ascii="Arial" w:eastAsia="宋体" w:hAnsi="Arial" w:cs="Arial"/>
                <w:color w:val="000000"/>
                <w:sz w:val="14"/>
                <w:szCs w:val="14"/>
              </w:rPr>
              <w:t>Germany</w:t>
            </w:r>
          </w:p>
        </w:tc>
        <w:tc>
          <w:tcPr>
            <w:tcW w:w="0" w:type="auto"/>
            <w:shd w:val="clear" w:color="auto" w:fill="CCEEFF"/>
            <w:tcMar>
              <w:top w:w="40" w:type="dxa"/>
              <w:left w:w="20" w:type="dxa"/>
              <w:bottom w:w="40" w:type="dxa"/>
              <w:right w:w="0" w:type="dxa"/>
            </w:tcMar>
            <w:vAlign w:val="bottom"/>
          </w:tcPr>
          <w:p w14:paraId="74DD90BB" w14:textId="77777777" w:rsidR="00584EC1" w:rsidRDefault="00871F8D">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4DD90BC" w14:textId="77777777" w:rsidR="00584EC1" w:rsidRDefault="00871F8D">
            <w:pPr>
              <w:jc w:val="right"/>
              <w:textAlignment w:val="bottom"/>
            </w:pPr>
            <w:r>
              <w:rPr>
                <w:rFonts w:ascii="Arial" w:eastAsia="宋体" w:hAnsi="Arial" w:cs="Arial"/>
                <w:b/>
                <w:bCs/>
                <w:color w:val="000000"/>
                <w:sz w:val="14"/>
                <w:szCs w:val="14"/>
              </w:rPr>
              <w:t>25,773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90B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0BE"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90BF" w14:textId="77777777" w:rsidR="00584EC1" w:rsidRDefault="00871F8D">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4DD90C0" w14:textId="77777777" w:rsidR="00584EC1" w:rsidRDefault="00871F8D">
            <w:pPr>
              <w:jc w:val="right"/>
              <w:textAlignment w:val="bottom"/>
            </w:pPr>
            <w:r>
              <w:rPr>
                <w:rFonts w:ascii="Arial" w:eastAsia="宋体" w:hAnsi="Arial" w:cs="Arial"/>
                <w:b/>
                <w:bCs/>
                <w:color w:val="000000"/>
                <w:sz w:val="14"/>
                <w:szCs w:val="14"/>
              </w:rPr>
              <w:t>344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90C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0C2"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90C3" w14:textId="77777777" w:rsidR="00584EC1" w:rsidRDefault="00871F8D">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4DD90C4" w14:textId="77777777" w:rsidR="00584EC1" w:rsidRDefault="00871F8D">
            <w:pPr>
              <w:jc w:val="right"/>
              <w:textAlignment w:val="bottom"/>
            </w:pPr>
            <w:r>
              <w:rPr>
                <w:rFonts w:ascii="Arial" w:eastAsia="宋体" w:hAnsi="Arial" w:cs="Arial"/>
                <w:b/>
                <w:bCs/>
                <w:color w:val="000000"/>
                <w:sz w:val="14"/>
                <w:szCs w:val="14"/>
              </w:rPr>
              <w:t>26,117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90C5" w14:textId="77777777" w:rsidR="00584EC1" w:rsidRDefault="00584EC1">
            <w:pPr>
              <w:jc w:val="right"/>
              <w:rPr>
                <w:rFonts w:ascii="宋体"/>
              </w:rPr>
            </w:pPr>
          </w:p>
        </w:tc>
      </w:tr>
      <w:tr w:rsidR="00584EC1" w14:paraId="74DD90D0" w14:textId="77777777">
        <w:tc>
          <w:tcPr>
            <w:tcW w:w="0" w:type="auto"/>
            <w:gridSpan w:val="3"/>
            <w:shd w:val="clear" w:color="auto" w:fill="FFFFFF"/>
            <w:tcMar>
              <w:top w:w="40" w:type="dxa"/>
              <w:left w:w="20" w:type="dxa"/>
              <w:bottom w:w="40" w:type="dxa"/>
              <w:right w:w="20" w:type="dxa"/>
            </w:tcMar>
            <w:vAlign w:val="bottom"/>
          </w:tcPr>
          <w:p w14:paraId="74DD90C7" w14:textId="77777777" w:rsidR="00584EC1" w:rsidRDefault="00871F8D">
            <w:pPr>
              <w:textAlignment w:val="bottom"/>
            </w:pPr>
            <w:r>
              <w:rPr>
                <w:rFonts w:ascii="Arial" w:eastAsia="宋体" w:hAnsi="Arial" w:cs="Arial"/>
                <w:color w:val="000000"/>
                <w:sz w:val="14"/>
                <w:szCs w:val="14"/>
              </w:rPr>
              <w:t>United Kingdom</w:t>
            </w:r>
          </w:p>
        </w:tc>
        <w:tc>
          <w:tcPr>
            <w:tcW w:w="0" w:type="auto"/>
            <w:gridSpan w:val="2"/>
            <w:shd w:val="clear" w:color="auto" w:fill="FFFFFF"/>
            <w:tcMar>
              <w:top w:w="40" w:type="dxa"/>
              <w:left w:w="20" w:type="dxa"/>
              <w:bottom w:w="40" w:type="dxa"/>
              <w:right w:w="0" w:type="dxa"/>
            </w:tcMar>
            <w:vAlign w:val="bottom"/>
          </w:tcPr>
          <w:p w14:paraId="74DD90C8" w14:textId="77777777" w:rsidR="00584EC1" w:rsidRDefault="00871F8D">
            <w:pPr>
              <w:jc w:val="right"/>
              <w:textAlignment w:val="bottom"/>
            </w:pPr>
            <w:r>
              <w:rPr>
                <w:rFonts w:ascii="Arial" w:eastAsia="宋体" w:hAnsi="Arial" w:cs="Arial"/>
                <w:b/>
                <w:bCs/>
                <w:color w:val="000000"/>
                <w:sz w:val="14"/>
                <w:szCs w:val="14"/>
              </w:rPr>
              <w:t>12,227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90C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0C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0CB" w14:textId="77777777" w:rsidR="00584EC1" w:rsidRDefault="00871F8D">
            <w:pPr>
              <w:jc w:val="right"/>
              <w:textAlignment w:val="bottom"/>
            </w:pPr>
            <w:r>
              <w:rPr>
                <w:rFonts w:ascii="Arial" w:eastAsia="宋体" w:hAnsi="Arial" w:cs="Arial"/>
                <w:b/>
                <w:bCs/>
                <w:color w:val="000000"/>
                <w:sz w:val="14"/>
                <w:szCs w:val="14"/>
              </w:rPr>
              <w:t>1,330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90C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0C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0CE" w14:textId="77777777" w:rsidR="00584EC1" w:rsidRDefault="00871F8D">
            <w:pPr>
              <w:jc w:val="right"/>
              <w:textAlignment w:val="bottom"/>
            </w:pPr>
            <w:r>
              <w:rPr>
                <w:rFonts w:ascii="Arial" w:eastAsia="宋体" w:hAnsi="Arial" w:cs="Arial"/>
                <w:b/>
                <w:bCs/>
                <w:color w:val="000000"/>
                <w:sz w:val="14"/>
                <w:szCs w:val="14"/>
              </w:rPr>
              <w:t>13,557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90CF" w14:textId="77777777" w:rsidR="00584EC1" w:rsidRDefault="00584EC1">
            <w:pPr>
              <w:jc w:val="right"/>
              <w:rPr>
                <w:rFonts w:ascii="宋体"/>
              </w:rPr>
            </w:pPr>
          </w:p>
        </w:tc>
      </w:tr>
      <w:tr w:rsidR="00584EC1" w14:paraId="74DD90DA" w14:textId="77777777">
        <w:tc>
          <w:tcPr>
            <w:tcW w:w="0" w:type="auto"/>
            <w:gridSpan w:val="3"/>
            <w:shd w:val="clear" w:color="auto" w:fill="CCEEFF"/>
            <w:tcMar>
              <w:top w:w="40" w:type="dxa"/>
              <w:left w:w="20" w:type="dxa"/>
              <w:bottom w:w="40" w:type="dxa"/>
              <w:right w:w="20" w:type="dxa"/>
            </w:tcMar>
            <w:vAlign w:val="bottom"/>
          </w:tcPr>
          <w:p w14:paraId="74DD90D1" w14:textId="77777777" w:rsidR="00584EC1" w:rsidRDefault="00871F8D">
            <w:pPr>
              <w:textAlignment w:val="bottom"/>
            </w:pPr>
            <w:r>
              <w:rPr>
                <w:rFonts w:ascii="Arial" w:eastAsia="宋体" w:hAnsi="Arial" w:cs="Arial"/>
                <w:color w:val="000000"/>
                <w:sz w:val="14"/>
                <w:szCs w:val="14"/>
              </w:rPr>
              <w:t>Canada</w:t>
            </w:r>
          </w:p>
        </w:tc>
        <w:tc>
          <w:tcPr>
            <w:tcW w:w="0" w:type="auto"/>
            <w:gridSpan w:val="2"/>
            <w:shd w:val="clear" w:color="auto" w:fill="CCEEFF"/>
            <w:tcMar>
              <w:top w:w="40" w:type="dxa"/>
              <w:left w:w="20" w:type="dxa"/>
              <w:bottom w:w="40" w:type="dxa"/>
              <w:right w:w="0" w:type="dxa"/>
            </w:tcMar>
            <w:vAlign w:val="bottom"/>
          </w:tcPr>
          <w:p w14:paraId="74DD90D2" w14:textId="77777777" w:rsidR="00584EC1" w:rsidRDefault="00871F8D">
            <w:pPr>
              <w:jc w:val="right"/>
              <w:textAlignment w:val="bottom"/>
            </w:pPr>
            <w:r>
              <w:rPr>
                <w:rFonts w:ascii="Arial" w:eastAsia="宋体" w:hAnsi="Arial" w:cs="Arial"/>
                <w:b/>
                <w:bCs/>
                <w:color w:val="000000"/>
                <w:sz w:val="14"/>
                <w:szCs w:val="14"/>
              </w:rPr>
              <w:t>11,564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90D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0D4"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0D5" w14:textId="77777777" w:rsidR="00584EC1" w:rsidRDefault="00871F8D">
            <w:pPr>
              <w:jc w:val="right"/>
              <w:textAlignment w:val="bottom"/>
            </w:pPr>
            <w:r>
              <w:rPr>
                <w:rFonts w:ascii="Arial" w:eastAsia="宋体" w:hAnsi="Arial" w:cs="Arial"/>
                <w:b/>
                <w:bCs/>
                <w:color w:val="000000"/>
                <w:sz w:val="14"/>
                <w:szCs w:val="14"/>
              </w:rPr>
              <w:t>528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90D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0D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0D8" w14:textId="77777777" w:rsidR="00584EC1" w:rsidRDefault="00871F8D">
            <w:pPr>
              <w:jc w:val="right"/>
              <w:textAlignment w:val="bottom"/>
            </w:pPr>
            <w:r>
              <w:rPr>
                <w:rFonts w:ascii="Arial" w:eastAsia="宋体" w:hAnsi="Arial" w:cs="Arial"/>
                <w:b/>
                <w:bCs/>
                <w:color w:val="000000"/>
                <w:sz w:val="14"/>
                <w:szCs w:val="14"/>
              </w:rPr>
              <w:t>12,092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90D9" w14:textId="77777777" w:rsidR="00584EC1" w:rsidRDefault="00584EC1">
            <w:pPr>
              <w:jc w:val="right"/>
              <w:rPr>
                <w:rFonts w:ascii="宋体"/>
              </w:rPr>
            </w:pPr>
          </w:p>
        </w:tc>
      </w:tr>
      <w:tr w:rsidR="00584EC1" w14:paraId="74DD90E4" w14:textId="77777777">
        <w:tc>
          <w:tcPr>
            <w:tcW w:w="0" w:type="auto"/>
            <w:gridSpan w:val="3"/>
            <w:shd w:val="clear" w:color="auto" w:fill="FFFFFF"/>
            <w:tcMar>
              <w:top w:w="40" w:type="dxa"/>
              <w:left w:w="20" w:type="dxa"/>
              <w:bottom w:w="40" w:type="dxa"/>
              <w:right w:w="20" w:type="dxa"/>
            </w:tcMar>
            <w:vAlign w:val="bottom"/>
          </w:tcPr>
          <w:p w14:paraId="74DD90DB" w14:textId="77777777" w:rsidR="00584EC1" w:rsidRDefault="00871F8D">
            <w:pPr>
              <w:textAlignment w:val="bottom"/>
            </w:pPr>
            <w:r>
              <w:rPr>
                <w:rFonts w:ascii="Arial" w:eastAsia="宋体" w:hAnsi="Arial" w:cs="Arial"/>
                <w:color w:val="000000"/>
                <w:sz w:val="14"/>
                <w:szCs w:val="14"/>
              </w:rPr>
              <w:t>Australia</w:t>
            </w:r>
          </w:p>
        </w:tc>
        <w:tc>
          <w:tcPr>
            <w:tcW w:w="0" w:type="auto"/>
            <w:gridSpan w:val="2"/>
            <w:shd w:val="clear" w:color="auto" w:fill="FFFFFF"/>
            <w:tcMar>
              <w:top w:w="40" w:type="dxa"/>
              <w:left w:w="20" w:type="dxa"/>
              <w:bottom w:w="40" w:type="dxa"/>
              <w:right w:w="0" w:type="dxa"/>
            </w:tcMar>
            <w:vAlign w:val="bottom"/>
          </w:tcPr>
          <w:p w14:paraId="74DD90DC" w14:textId="77777777" w:rsidR="00584EC1" w:rsidRDefault="00871F8D">
            <w:pPr>
              <w:jc w:val="right"/>
              <w:textAlignment w:val="bottom"/>
            </w:pPr>
            <w:r>
              <w:rPr>
                <w:rFonts w:ascii="Arial" w:eastAsia="宋体" w:hAnsi="Arial" w:cs="Arial"/>
                <w:b/>
                <w:bCs/>
                <w:color w:val="000000"/>
                <w:sz w:val="14"/>
                <w:szCs w:val="14"/>
              </w:rPr>
              <w:t>7,238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90D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0D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0DF" w14:textId="77777777" w:rsidR="00584EC1" w:rsidRDefault="00871F8D">
            <w:pPr>
              <w:jc w:val="right"/>
              <w:textAlignment w:val="bottom"/>
            </w:pPr>
            <w:r>
              <w:rPr>
                <w:rFonts w:ascii="Arial" w:eastAsia="宋体" w:hAnsi="Arial" w:cs="Arial"/>
                <w:b/>
                <w:bCs/>
                <w:color w:val="000000"/>
                <w:sz w:val="14"/>
                <w:szCs w:val="14"/>
              </w:rPr>
              <w:t>903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90E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0E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0E2" w14:textId="77777777" w:rsidR="00584EC1" w:rsidRDefault="00871F8D">
            <w:pPr>
              <w:jc w:val="right"/>
              <w:textAlignment w:val="bottom"/>
            </w:pPr>
            <w:r>
              <w:rPr>
                <w:rFonts w:ascii="Arial" w:eastAsia="宋体" w:hAnsi="Arial" w:cs="Arial"/>
                <w:b/>
                <w:bCs/>
                <w:color w:val="000000"/>
                <w:sz w:val="14"/>
                <w:szCs w:val="14"/>
              </w:rPr>
              <w:t>8,141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90E3" w14:textId="77777777" w:rsidR="00584EC1" w:rsidRDefault="00584EC1">
            <w:pPr>
              <w:jc w:val="right"/>
              <w:rPr>
                <w:rFonts w:ascii="宋体"/>
              </w:rPr>
            </w:pPr>
          </w:p>
        </w:tc>
      </w:tr>
      <w:tr w:rsidR="00584EC1" w14:paraId="74DD90EE" w14:textId="77777777">
        <w:tc>
          <w:tcPr>
            <w:tcW w:w="0" w:type="auto"/>
            <w:gridSpan w:val="3"/>
            <w:shd w:val="clear" w:color="auto" w:fill="CCEEFF"/>
            <w:tcMar>
              <w:top w:w="40" w:type="dxa"/>
              <w:left w:w="20" w:type="dxa"/>
              <w:bottom w:w="40" w:type="dxa"/>
              <w:right w:w="20" w:type="dxa"/>
            </w:tcMar>
            <w:vAlign w:val="bottom"/>
          </w:tcPr>
          <w:p w14:paraId="74DD90E5" w14:textId="77777777" w:rsidR="00584EC1" w:rsidRDefault="00871F8D">
            <w:pPr>
              <w:textAlignment w:val="bottom"/>
            </w:pPr>
            <w:r>
              <w:rPr>
                <w:rFonts w:ascii="Arial" w:eastAsia="宋体" w:hAnsi="Arial" w:cs="Arial"/>
                <w:color w:val="000000"/>
                <w:sz w:val="14"/>
                <w:szCs w:val="14"/>
              </w:rPr>
              <w:t>Luxembourg</w:t>
            </w:r>
          </w:p>
        </w:tc>
        <w:tc>
          <w:tcPr>
            <w:tcW w:w="0" w:type="auto"/>
            <w:gridSpan w:val="2"/>
            <w:shd w:val="clear" w:color="auto" w:fill="CCEEFF"/>
            <w:tcMar>
              <w:top w:w="40" w:type="dxa"/>
              <w:left w:w="20" w:type="dxa"/>
              <w:bottom w:w="40" w:type="dxa"/>
              <w:right w:w="0" w:type="dxa"/>
            </w:tcMar>
            <w:vAlign w:val="bottom"/>
          </w:tcPr>
          <w:p w14:paraId="74DD90E6" w14:textId="77777777" w:rsidR="00584EC1" w:rsidRDefault="00871F8D">
            <w:pPr>
              <w:jc w:val="right"/>
              <w:textAlignment w:val="bottom"/>
            </w:pPr>
            <w:r>
              <w:rPr>
                <w:rFonts w:ascii="Arial" w:eastAsia="宋体" w:hAnsi="Arial" w:cs="Arial"/>
                <w:b/>
                <w:bCs/>
                <w:color w:val="000000"/>
                <w:sz w:val="14"/>
                <w:szCs w:val="14"/>
              </w:rPr>
              <w:t>5,734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90E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0E8"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0E9" w14:textId="77777777" w:rsidR="00584EC1" w:rsidRDefault="00871F8D">
            <w:pPr>
              <w:jc w:val="right"/>
              <w:textAlignment w:val="bottom"/>
            </w:pPr>
            <w:r>
              <w:rPr>
                <w:rFonts w:ascii="Arial" w:eastAsia="宋体" w:hAnsi="Arial" w:cs="Arial"/>
                <w:b/>
                <w:bCs/>
                <w:color w:val="000000"/>
                <w:sz w:val="14"/>
                <w:szCs w:val="14"/>
              </w:rPr>
              <w:t>1,833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90E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0E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0EC" w14:textId="77777777" w:rsidR="00584EC1" w:rsidRDefault="00871F8D">
            <w:pPr>
              <w:jc w:val="right"/>
              <w:textAlignment w:val="bottom"/>
            </w:pPr>
            <w:r>
              <w:rPr>
                <w:rFonts w:ascii="Arial" w:eastAsia="宋体" w:hAnsi="Arial" w:cs="Arial"/>
                <w:b/>
                <w:bCs/>
                <w:color w:val="000000"/>
                <w:sz w:val="14"/>
                <w:szCs w:val="14"/>
              </w:rPr>
              <w:t>7,567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90ED" w14:textId="77777777" w:rsidR="00584EC1" w:rsidRDefault="00584EC1">
            <w:pPr>
              <w:jc w:val="right"/>
              <w:rPr>
                <w:rFonts w:ascii="宋体"/>
              </w:rPr>
            </w:pPr>
          </w:p>
        </w:tc>
      </w:tr>
      <w:tr w:rsidR="00584EC1" w14:paraId="74DD90F8" w14:textId="77777777">
        <w:tc>
          <w:tcPr>
            <w:tcW w:w="0" w:type="auto"/>
            <w:gridSpan w:val="3"/>
            <w:shd w:val="clear" w:color="auto" w:fill="FFFFFF"/>
            <w:tcMar>
              <w:top w:w="40" w:type="dxa"/>
              <w:left w:w="20" w:type="dxa"/>
              <w:bottom w:w="40" w:type="dxa"/>
              <w:right w:w="20" w:type="dxa"/>
            </w:tcMar>
            <w:vAlign w:val="bottom"/>
          </w:tcPr>
          <w:p w14:paraId="74DD90EF" w14:textId="77777777" w:rsidR="00584EC1" w:rsidRDefault="00871F8D">
            <w:pPr>
              <w:textAlignment w:val="bottom"/>
            </w:pPr>
            <w:r>
              <w:rPr>
                <w:rFonts w:ascii="Arial" w:eastAsia="宋体" w:hAnsi="Arial" w:cs="Arial"/>
                <w:color w:val="000000"/>
                <w:sz w:val="14"/>
                <w:szCs w:val="14"/>
              </w:rPr>
              <w:t>Ireland</w:t>
            </w:r>
          </w:p>
        </w:tc>
        <w:tc>
          <w:tcPr>
            <w:tcW w:w="0" w:type="auto"/>
            <w:gridSpan w:val="2"/>
            <w:shd w:val="clear" w:color="auto" w:fill="FFFFFF"/>
            <w:tcMar>
              <w:top w:w="40" w:type="dxa"/>
              <w:left w:w="20" w:type="dxa"/>
              <w:bottom w:w="40" w:type="dxa"/>
              <w:right w:w="0" w:type="dxa"/>
            </w:tcMar>
            <w:vAlign w:val="bottom"/>
          </w:tcPr>
          <w:p w14:paraId="74DD90F0" w14:textId="77777777" w:rsidR="00584EC1" w:rsidRDefault="00871F8D">
            <w:pPr>
              <w:jc w:val="right"/>
              <w:textAlignment w:val="bottom"/>
            </w:pPr>
            <w:r>
              <w:rPr>
                <w:rFonts w:ascii="Arial" w:eastAsia="宋体" w:hAnsi="Arial" w:cs="Arial"/>
                <w:b/>
                <w:bCs/>
                <w:color w:val="000000"/>
                <w:sz w:val="14"/>
                <w:szCs w:val="14"/>
              </w:rPr>
              <w:t>3,095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90F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0F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0F3" w14:textId="77777777" w:rsidR="00584EC1" w:rsidRDefault="00871F8D">
            <w:pPr>
              <w:jc w:val="right"/>
              <w:textAlignment w:val="bottom"/>
            </w:pPr>
            <w:r>
              <w:rPr>
                <w:rFonts w:ascii="Arial" w:eastAsia="宋体" w:hAnsi="Arial" w:cs="Arial"/>
                <w:b/>
                <w:bCs/>
                <w:color w:val="000000"/>
                <w:sz w:val="14"/>
                <w:szCs w:val="14"/>
              </w:rPr>
              <w:t>2,345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90F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0F5"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0F6" w14:textId="77777777" w:rsidR="00584EC1" w:rsidRDefault="00871F8D">
            <w:pPr>
              <w:jc w:val="right"/>
              <w:textAlignment w:val="bottom"/>
            </w:pPr>
            <w:r>
              <w:rPr>
                <w:rFonts w:ascii="Arial" w:eastAsia="宋体" w:hAnsi="Arial" w:cs="Arial"/>
                <w:b/>
                <w:bCs/>
                <w:color w:val="000000"/>
                <w:sz w:val="14"/>
                <w:szCs w:val="14"/>
              </w:rPr>
              <w:t>5,440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90F7" w14:textId="77777777" w:rsidR="00584EC1" w:rsidRDefault="00584EC1">
            <w:pPr>
              <w:jc w:val="right"/>
              <w:rPr>
                <w:rFonts w:ascii="宋体"/>
              </w:rPr>
            </w:pPr>
          </w:p>
        </w:tc>
      </w:tr>
      <w:tr w:rsidR="00584EC1" w14:paraId="74DD9102" w14:textId="77777777">
        <w:tc>
          <w:tcPr>
            <w:tcW w:w="0" w:type="auto"/>
            <w:gridSpan w:val="3"/>
            <w:shd w:val="clear" w:color="auto" w:fill="CCEEFF"/>
            <w:tcMar>
              <w:top w:w="40" w:type="dxa"/>
              <w:left w:w="20" w:type="dxa"/>
              <w:bottom w:w="40" w:type="dxa"/>
              <w:right w:w="20" w:type="dxa"/>
            </w:tcMar>
            <w:vAlign w:val="bottom"/>
          </w:tcPr>
          <w:p w14:paraId="74DD90F9" w14:textId="77777777" w:rsidR="00584EC1" w:rsidRDefault="00871F8D">
            <w:pPr>
              <w:textAlignment w:val="bottom"/>
            </w:pPr>
            <w:r>
              <w:rPr>
                <w:rFonts w:ascii="Arial" w:eastAsia="宋体" w:hAnsi="Arial" w:cs="Arial"/>
                <w:color w:val="000000"/>
                <w:sz w:val="14"/>
                <w:szCs w:val="14"/>
              </w:rPr>
              <w:t>Japan</w:t>
            </w:r>
          </w:p>
        </w:tc>
        <w:tc>
          <w:tcPr>
            <w:tcW w:w="0" w:type="auto"/>
            <w:gridSpan w:val="2"/>
            <w:shd w:val="clear" w:color="auto" w:fill="CCEEFF"/>
            <w:tcMar>
              <w:top w:w="40" w:type="dxa"/>
              <w:left w:w="20" w:type="dxa"/>
              <w:bottom w:w="40" w:type="dxa"/>
              <w:right w:w="0" w:type="dxa"/>
            </w:tcMar>
            <w:vAlign w:val="bottom"/>
          </w:tcPr>
          <w:p w14:paraId="74DD90FA" w14:textId="77777777" w:rsidR="00584EC1" w:rsidRDefault="00871F8D">
            <w:pPr>
              <w:jc w:val="right"/>
              <w:textAlignment w:val="bottom"/>
            </w:pPr>
            <w:r>
              <w:rPr>
                <w:rFonts w:ascii="Arial" w:eastAsia="宋体" w:hAnsi="Arial" w:cs="Arial"/>
                <w:b/>
                <w:bCs/>
                <w:color w:val="000000"/>
                <w:sz w:val="14"/>
                <w:szCs w:val="14"/>
              </w:rPr>
              <w:t>4,413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90F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0FC"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0FD" w14:textId="77777777" w:rsidR="00584EC1" w:rsidRDefault="00871F8D">
            <w:pPr>
              <w:jc w:val="right"/>
              <w:textAlignment w:val="bottom"/>
            </w:pPr>
            <w:r>
              <w:rPr>
                <w:rFonts w:ascii="Arial" w:eastAsia="宋体" w:hAnsi="Arial" w:cs="Arial"/>
                <w:b/>
                <w:bCs/>
                <w:color w:val="000000"/>
                <w:sz w:val="14"/>
                <w:szCs w:val="14"/>
              </w:rPr>
              <w:t>535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90F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0FF"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100" w14:textId="77777777" w:rsidR="00584EC1" w:rsidRDefault="00871F8D">
            <w:pPr>
              <w:jc w:val="right"/>
              <w:textAlignment w:val="bottom"/>
            </w:pPr>
            <w:r>
              <w:rPr>
                <w:rFonts w:ascii="Arial" w:eastAsia="宋体" w:hAnsi="Arial" w:cs="Arial"/>
                <w:b/>
                <w:bCs/>
                <w:color w:val="000000"/>
                <w:sz w:val="14"/>
                <w:szCs w:val="14"/>
              </w:rPr>
              <w:t>4,948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9101" w14:textId="77777777" w:rsidR="00584EC1" w:rsidRDefault="00584EC1">
            <w:pPr>
              <w:jc w:val="right"/>
              <w:rPr>
                <w:rFonts w:ascii="宋体"/>
              </w:rPr>
            </w:pPr>
          </w:p>
        </w:tc>
      </w:tr>
      <w:tr w:rsidR="00584EC1" w14:paraId="74DD9109" w14:textId="77777777">
        <w:trPr>
          <w:hidden/>
        </w:trPr>
        <w:tc>
          <w:tcPr>
            <w:tcW w:w="0" w:type="auto"/>
            <w:gridSpan w:val="3"/>
            <w:shd w:val="clear" w:color="auto" w:fill="auto"/>
            <w:vAlign w:val="bottom"/>
          </w:tcPr>
          <w:p w14:paraId="74DD9103" w14:textId="77777777" w:rsidR="00584EC1" w:rsidRDefault="00584EC1">
            <w:pPr>
              <w:rPr>
                <w:rFonts w:ascii="宋体"/>
                <w:vanish/>
              </w:rPr>
            </w:pPr>
          </w:p>
        </w:tc>
        <w:tc>
          <w:tcPr>
            <w:tcW w:w="0" w:type="auto"/>
            <w:gridSpan w:val="3"/>
            <w:shd w:val="clear" w:color="auto" w:fill="auto"/>
            <w:vAlign w:val="bottom"/>
          </w:tcPr>
          <w:p w14:paraId="74DD9104" w14:textId="77777777" w:rsidR="00584EC1" w:rsidRDefault="00584EC1">
            <w:pPr>
              <w:rPr>
                <w:rFonts w:ascii="宋体"/>
                <w:vanish/>
              </w:rPr>
            </w:pPr>
          </w:p>
        </w:tc>
        <w:tc>
          <w:tcPr>
            <w:tcW w:w="0" w:type="auto"/>
            <w:gridSpan w:val="3"/>
            <w:shd w:val="clear" w:color="auto" w:fill="auto"/>
            <w:vAlign w:val="bottom"/>
          </w:tcPr>
          <w:p w14:paraId="74DD9105" w14:textId="77777777" w:rsidR="00584EC1" w:rsidRDefault="00584EC1">
            <w:pPr>
              <w:rPr>
                <w:rFonts w:ascii="宋体"/>
                <w:vanish/>
              </w:rPr>
            </w:pPr>
          </w:p>
        </w:tc>
        <w:tc>
          <w:tcPr>
            <w:tcW w:w="0" w:type="auto"/>
            <w:gridSpan w:val="3"/>
            <w:shd w:val="clear" w:color="auto" w:fill="auto"/>
            <w:vAlign w:val="bottom"/>
          </w:tcPr>
          <w:p w14:paraId="74DD9106" w14:textId="77777777" w:rsidR="00584EC1" w:rsidRDefault="00584EC1">
            <w:pPr>
              <w:rPr>
                <w:rFonts w:ascii="宋体"/>
                <w:vanish/>
              </w:rPr>
            </w:pPr>
          </w:p>
        </w:tc>
        <w:tc>
          <w:tcPr>
            <w:tcW w:w="0" w:type="auto"/>
            <w:gridSpan w:val="3"/>
            <w:shd w:val="clear" w:color="auto" w:fill="auto"/>
            <w:vAlign w:val="bottom"/>
          </w:tcPr>
          <w:p w14:paraId="74DD9107" w14:textId="77777777" w:rsidR="00584EC1" w:rsidRDefault="00584EC1">
            <w:pPr>
              <w:rPr>
                <w:rFonts w:ascii="宋体"/>
                <w:vanish/>
              </w:rPr>
            </w:pPr>
          </w:p>
        </w:tc>
        <w:tc>
          <w:tcPr>
            <w:tcW w:w="0" w:type="auto"/>
            <w:gridSpan w:val="3"/>
            <w:shd w:val="clear" w:color="auto" w:fill="auto"/>
            <w:vAlign w:val="bottom"/>
          </w:tcPr>
          <w:p w14:paraId="74DD9108" w14:textId="77777777" w:rsidR="00584EC1" w:rsidRDefault="00584EC1">
            <w:pPr>
              <w:rPr>
                <w:rFonts w:ascii="宋体"/>
                <w:vanish/>
              </w:rPr>
            </w:pPr>
          </w:p>
        </w:tc>
      </w:tr>
      <w:tr w:rsidR="00584EC1" w14:paraId="74DD9110" w14:textId="77777777">
        <w:trPr>
          <w:hidden/>
        </w:trPr>
        <w:tc>
          <w:tcPr>
            <w:tcW w:w="0" w:type="auto"/>
            <w:gridSpan w:val="3"/>
            <w:shd w:val="clear" w:color="auto" w:fill="auto"/>
            <w:vAlign w:val="bottom"/>
          </w:tcPr>
          <w:p w14:paraId="74DD910A" w14:textId="77777777" w:rsidR="00584EC1" w:rsidRDefault="00584EC1">
            <w:pPr>
              <w:rPr>
                <w:rFonts w:ascii="宋体"/>
                <w:vanish/>
              </w:rPr>
            </w:pPr>
          </w:p>
        </w:tc>
        <w:tc>
          <w:tcPr>
            <w:tcW w:w="0" w:type="auto"/>
            <w:gridSpan w:val="3"/>
            <w:shd w:val="clear" w:color="auto" w:fill="auto"/>
            <w:vAlign w:val="bottom"/>
          </w:tcPr>
          <w:p w14:paraId="74DD910B" w14:textId="77777777" w:rsidR="00584EC1" w:rsidRDefault="00584EC1">
            <w:pPr>
              <w:rPr>
                <w:rFonts w:ascii="宋体"/>
                <w:vanish/>
              </w:rPr>
            </w:pPr>
          </w:p>
        </w:tc>
        <w:tc>
          <w:tcPr>
            <w:tcW w:w="0" w:type="auto"/>
            <w:gridSpan w:val="3"/>
            <w:shd w:val="clear" w:color="auto" w:fill="auto"/>
            <w:vAlign w:val="bottom"/>
          </w:tcPr>
          <w:p w14:paraId="74DD910C" w14:textId="77777777" w:rsidR="00584EC1" w:rsidRDefault="00584EC1">
            <w:pPr>
              <w:rPr>
                <w:rFonts w:ascii="宋体"/>
                <w:vanish/>
              </w:rPr>
            </w:pPr>
          </w:p>
        </w:tc>
        <w:tc>
          <w:tcPr>
            <w:tcW w:w="0" w:type="auto"/>
            <w:gridSpan w:val="3"/>
            <w:shd w:val="clear" w:color="auto" w:fill="auto"/>
            <w:vAlign w:val="bottom"/>
          </w:tcPr>
          <w:p w14:paraId="74DD910D" w14:textId="77777777" w:rsidR="00584EC1" w:rsidRDefault="00584EC1">
            <w:pPr>
              <w:rPr>
                <w:rFonts w:ascii="宋体"/>
                <w:vanish/>
              </w:rPr>
            </w:pPr>
          </w:p>
        </w:tc>
        <w:tc>
          <w:tcPr>
            <w:tcW w:w="0" w:type="auto"/>
            <w:gridSpan w:val="3"/>
            <w:shd w:val="clear" w:color="auto" w:fill="auto"/>
            <w:vAlign w:val="bottom"/>
          </w:tcPr>
          <w:p w14:paraId="74DD910E" w14:textId="77777777" w:rsidR="00584EC1" w:rsidRDefault="00584EC1">
            <w:pPr>
              <w:rPr>
                <w:rFonts w:ascii="宋体"/>
                <w:vanish/>
              </w:rPr>
            </w:pPr>
          </w:p>
        </w:tc>
        <w:tc>
          <w:tcPr>
            <w:tcW w:w="0" w:type="auto"/>
            <w:gridSpan w:val="3"/>
            <w:shd w:val="clear" w:color="auto" w:fill="auto"/>
            <w:vAlign w:val="bottom"/>
          </w:tcPr>
          <w:p w14:paraId="74DD910F" w14:textId="77777777" w:rsidR="00584EC1" w:rsidRDefault="00584EC1">
            <w:pPr>
              <w:rPr>
                <w:rFonts w:ascii="宋体"/>
                <w:vanish/>
              </w:rPr>
            </w:pPr>
          </w:p>
        </w:tc>
      </w:tr>
      <w:tr w:rsidR="00584EC1" w14:paraId="74DD9117" w14:textId="77777777">
        <w:tc>
          <w:tcPr>
            <w:tcW w:w="0" w:type="auto"/>
            <w:gridSpan w:val="3"/>
            <w:shd w:val="clear" w:color="auto" w:fill="FFFFFF"/>
            <w:tcMar>
              <w:top w:w="40" w:type="dxa"/>
              <w:left w:w="20" w:type="dxa"/>
              <w:bottom w:w="40" w:type="dxa"/>
              <w:right w:w="20" w:type="dxa"/>
            </w:tcMar>
            <w:vAlign w:val="bottom"/>
          </w:tcPr>
          <w:p w14:paraId="74DD9111" w14:textId="77777777" w:rsidR="00584EC1" w:rsidRDefault="00871F8D">
            <w:pPr>
              <w:textAlignment w:val="bottom"/>
            </w:pPr>
            <w:r>
              <w:rPr>
                <w:rFonts w:ascii="Arial" w:eastAsia="宋体" w:hAnsi="Arial" w:cs="Arial"/>
                <w:b/>
                <w:bCs/>
                <w:color w:val="000000"/>
                <w:sz w:val="14"/>
                <w:szCs w:val="14"/>
              </w:rPr>
              <w:t>December 31, 2020</w:t>
            </w:r>
          </w:p>
        </w:tc>
        <w:tc>
          <w:tcPr>
            <w:tcW w:w="0" w:type="auto"/>
            <w:gridSpan w:val="3"/>
            <w:shd w:val="clear" w:color="auto" w:fill="FFFFFF"/>
            <w:tcMar>
              <w:top w:w="0" w:type="dxa"/>
              <w:left w:w="20" w:type="dxa"/>
              <w:bottom w:w="0" w:type="dxa"/>
              <w:right w:w="20" w:type="dxa"/>
            </w:tcMar>
            <w:vAlign w:val="bottom"/>
          </w:tcPr>
          <w:p w14:paraId="74DD911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9113"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9114"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9115" w14:textId="77777777" w:rsidR="00584EC1" w:rsidRDefault="00584EC1">
            <w:pPr>
              <w:rPr>
                <w:rFonts w:ascii="宋体"/>
              </w:rPr>
            </w:pPr>
          </w:p>
        </w:tc>
        <w:tc>
          <w:tcPr>
            <w:tcW w:w="0" w:type="auto"/>
            <w:gridSpan w:val="3"/>
            <w:shd w:val="clear" w:color="auto" w:fill="FFFFFF"/>
            <w:tcMar>
              <w:top w:w="40" w:type="dxa"/>
              <w:left w:w="20" w:type="dxa"/>
              <w:bottom w:w="40" w:type="dxa"/>
              <w:right w:w="20" w:type="dxa"/>
            </w:tcMar>
            <w:vAlign w:val="bottom"/>
          </w:tcPr>
          <w:p w14:paraId="74DD9116" w14:textId="77777777" w:rsidR="00584EC1" w:rsidRDefault="00871F8D">
            <w:pPr>
              <w:jc w:val="right"/>
              <w:textAlignment w:val="bottom"/>
            </w:pPr>
            <w:r>
              <w:rPr>
                <w:rFonts w:ascii="Arial" w:eastAsia="宋体" w:hAnsi="Arial" w:cs="Arial"/>
                <w:color w:val="000000"/>
                <w:sz w:val="14"/>
                <w:szCs w:val="14"/>
              </w:rPr>
              <w:t> </w:t>
            </w:r>
          </w:p>
        </w:tc>
      </w:tr>
      <w:tr w:rsidR="00584EC1" w14:paraId="74DD9124" w14:textId="77777777">
        <w:tc>
          <w:tcPr>
            <w:tcW w:w="0" w:type="auto"/>
            <w:gridSpan w:val="3"/>
            <w:shd w:val="clear" w:color="auto" w:fill="CCEEFF"/>
            <w:tcMar>
              <w:top w:w="40" w:type="dxa"/>
              <w:left w:w="20" w:type="dxa"/>
              <w:bottom w:w="40" w:type="dxa"/>
              <w:right w:w="20" w:type="dxa"/>
            </w:tcMar>
            <w:vAlign w:val="bottom"/>
          </w:tcPr>
          <w:p w14:paraId="74DD9118" w14:textId="77777777" w:rsidR="00584EC1" w:rsidRDefault="00871F8D">
            <w:pPr>
              <w:textAlignment w:val="bottom"/>
            </w:pPr>
            <w:r>
              <w:rPr>
                <w:rFonts w:ascii="Arial" w:eastAsia="宋体" w:hAnsi="Arial" w:cs="Arial"/>
                <w:color w:val="000000"/>
                <w:sz w:val="14"/>
                <w:szCs w:val="14"/>
              </w:rPr>
              <w:t>United Kingdom</w:t>
            </w:r>
          </w:p>
        </w:tc>
        <w:tc>
          <w:tcPr>
            <w:tcW w:w="0" w:type="auto"/>
            <w:shd w:val="clear" w:color="auto" w:fill="CCEEFF"/>
            <w:tcMar>
              <w:top w:w="40" w:type="dxa"/>
              <w:left w:w="20" w:type="dxa"/>
              <w:bottom w:w="40" w:type="dxa"/>
              <w:right w:w="0" w:type="dxa"/>
            </w:tcMar>
            <w:vAlign w:val="bottom"/>
          </w:tcPr>
          <w:p w14:paraId="74DD9119"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911A" w14:textId="77777777" w:rsidR="00584EC1" w:rsidRDefault="00871F8D">
            <w:pPr>
              <w:jc w:val="right"/>
              <w:textAlignment w:val="bottom"/>
            </w:pPr>
            <w:r>
              <w:rPr>
                <w:rFonts w:ascii="Arial" w:eastAsia="宋体" w:hAnsi="Arial" w:cs="Arial"/>
                <w:color w:val="000000"/>
                <w:sz w:val="14"/>
                <w:szCs w:val="14"/>
              </w:rPr>
              <w:t>18,880 </w:t>
            </w:r>
          </w:p>
        </w:tc>
        <w:tc>
          <w:tcPr>
            <w:tcW w:w="0" w:type="auto"/>
            <w:shd w:val="clear" w:color="auto" w:fill="CCEEFF"/>
            <w:tcMar>
              <w:top w:w="40" w:type="dxa"/>
              <w:left w:w="0" w:type="dxa"/>
              <w:bottom w:w="40" w:type="dxa"/>
              <w:right w:w="20" w:type="dxa"/>
            </w:tcMar>
            <w:vAlign w:val="bottom"/>
          </w:tcPr>
          <w:p w14:paraId="74DD911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11C"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911D"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911E" w14:textId="77777777" w:rsidR="00584EC1" w:rsidRDefault="00871F8D">
            <w:pPr>
              <w:jc w:val="right"/>
              <w:textAlignment w:val="bottom"/>
            </w:pPr>
            <w:r>
              <w:rPr>
                <w:rFonts w:ascii="Arial" w:eastAsia="宋体" w:hAnsi="Arial" w:cs="Arial"/>
                <w:color w:val="000000"/>
                <w:sz w:val="14"/>
                <w:szCs w:val="14"/>
              </w:rPr>
              <w:t>1,797 </w:t>
            </w:r>
          </w:p>
        </w:tc>
        <w:tc>
          <w:tcPr>
            <w:tcW w:w="0" w:type="auto"/>
            <w:shd w:val="clear" w:color="auto" w:fill="CCEEFF"/>
            <w:tcMar>
              <w:top w:w="40" w:type="dxa"/>
              <w:left w:w="0" w:type="dxa"/>
              <w:bottom w:w="40" w:type="dxa"/>
              <w:right w:w="20" w:type="dxa"/>
            </w:tcMar>
            <w:vAlign w:val="bottom"/>
          </w:tcPr>
          <w:p w14:paraId="74DD911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120"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9121"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9122" w14:textId="77777777" w:rsidR="00584EC1" w:rsidRDefault="00871F8D">
            <w:pPr>
              <w:jc w:val="right"/>
              <w:textAlignment w:val="bottom"/>
            </w:pPr>
            <w:r>
              <w:rPr>
                <w:rFonts w:ascii="Arial" w:eastAsia="宋体" w:hAnsi="Arial" w:cs="Arial"/>
                <w:color w:val="000000"/>
                <w:sz w:val="14"/>
                <w:szCs w:val="14"/>
              </w:rPr>
              <w:t>20,677 </w:t>
            </w:r>
          </w:p>
        </w:tc>
        <w:tc>
          <w:tcPr>
            <w:tcW w:w="0" w:type="auto"/>
            <w:shd w:val="clear" w:color="auto" w:fill="CCEEFF"/>
            <w:tcMar>
              <w:top w:w="40" w:type="dxa"/>
              <w:left w:w="0" w:type="dxa"/>
              <w:bottom w:w="40" w:type="dxa"/>
              <w:right w:w="20" w:type="dxa"/>
            </w:tcMar>
            <w:vAlign w:val="bottom"/>
          </w:tcPr>
          <w:p w14:paraId="74DD9123" w14:textId="77777777" w:rsidR="00584EC1" w:rsidRDefault="00584EC1">
            <w:pPr>
              <w:jc w:val="right"/>
              <w:rPr>
                <w:rFonts w:ascii="宋体"/>
              </w:rPr>
            </w:pPr>
          </w:p>
        </w:tc>
      </w:tr>
      <w:tr w:rsidR="00584EC1" w14:paraId="74DD912E" w14:textId="77777777">
        <w:tc>
          <w:tcPr>
            <w:tcW w:w="0" w:type="auto"/>
            <w:gridSpan w:val="3"/>
            <w:shd w:val="clear" w:color="auto" w:fill="FFFFFF"/>
            <w:tcMar>
              <w:top w:w="40" w:type="dxa"/>
              <w:left w:w="20" w:type="dxa"/>
              <w:bottom w:w="40" w:type="dxa"/>
              <w:right w:w="20" w:type="dxa"/>
            </w:tcMar>
            <w:vAlign w:val="bottom"/>
          </w:tcPr>
          <w:p w14:paraId="74DD9125" w14:textId="77777777" w:rsidR="00584EC1" w:rsidRDefault="00871F8D">
            <w:pPr>
              <w:textAlignment w:val="bottom"/>
            </w:pPr>
            <w:r>
              <w:rPr>
                <w:rFonts w:ascii="Arial" w:eastAsia="宋体" w:hAnsi="Arial" w:cs="Arial"/>
                <w:color w:val="000000"/>
                <w:sz w:val="14"/>
                <w:szCs w:val="14"/>
              </w:rPr>
              <w:t>Japan</w:t>
            </w:r>
          </w:p>
        </w:tc>
        <w:tc>
          <w:tcPr>
            <w:tcW w:w="0" w:type="auto"/>
            <w:gridSpan w:val="2"/>
            <w:shd w:val="clear" w:color="auto" w:fill="FFFFFF"/>
            <w:tcMar>
              <w:top w:w="40" w:type="dxa"/>
              <w:left w:w="20" w:type="dxa"/>
              <w:bottom w:w="40" w:type="dxa"/>
              <w:right w:w="0" w:type="dxa"/>
            </w:tcMar>
            <w:vAlign w:val="bottom"/>
          </w:tcPr>
          <w:p w14:paraId="74DD9126" w14:textId="77777777" w:rsidR="00584EC1" w:rsidRDefault="00871F8D">
            <w:pPr>
              <w:jc w:val="right"/>
              <w:textAlignment w:val="bottom"/>
            </w:pPr>
            <w:r>
              <w:rPr>
                <w:rFonts w:ascii="Arial" w:eastAsia="宋体" w:hAnsi="Arial" w:cs="Arial"/>
                <w:color w:val="000000"/>
                <w:sz w:val="14"/>
                <w:szCs w:val="14"/>
              </w:rPr>
              <w:t>19,537 </w:t>
            </w:r>
          </w:p>
        </w:tc>
        <w:tc>
          <w:tcPr>
            <w:tcW w:w="0" w:type="auto"/>
            <w:shd w:val="clear" w:color="auto" w:fill="FFFFFF"/>
            <w:tcMar>
              <w:top w:w="40" w:type="dxa"/>
              <w:left w:w="0" w:type="dxa"/>
              <w:bottom w:w="40" w:type="dxa"/>
              <w:right w:w="20" w:type="dxa"/>
            </w:tcMar>
            <w:vAlign w:val="bottom"/>
          </w:tcPr>
          <w:p w14:paraId="74DD912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128"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129" w14:textId="77777777" w:rsidR="00584EC1" w:rsidRDefault="00871F8D">
            <w:pPr>
              <w:jc w:val="right"/>
              <w:textAlignment w:val="bottom"/>
            </w:pPr>
            <w:r>
              <w:rPr>
                <w:rFonts w:ascii="Arial" w:eastAsia="宋体" w:hAnsi="Arial" w:cs="Arial"/>
                <w:color w:val="000000"/>
                <w:sz w:val="14"/>
                <w:szCs w:val="14"/>
              </w:rPr>
              <w:t>560 </w:t>
            </w:r>
          </w:p>
        </w:tc>
        <w:tc>
          <w:tcPr>
            <w:tcW w:w="0" w:type="auto"/>
            <w:shd w:val="clear" w:color="auto" w:fill="FFFFFF"/>
            <w:tcMar>
              <w:top w:w="40" w:type="dxa"/>
              <w:left w:w="0" w:type="dxa"/>
              <w:bottom w:w="40" w:type="dxa"/>
              <w:right w:w="20" w:type="dxa"/>
            </w:tcMar>
            <w:vAlign w:val="bottom"/>
          </w:tcPr>
          <w:p w14:paraId="74DD912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12B"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12C" w14:textId="77777777" w:rsidR="00584EC1" w:rsidRDefault="00871F8D">
            <w:pPr>
              <w:jc w:val="right"/>
              <w:textAlignment w:val="bottom"/>
            </w:pPr>
            <w:r>
              <w:rPr>
                <w:rFonts w:ascii="Arial" w:eastAsia="宋体" w:hAnsi="Arial" w:cs="Arial"/>
                <w:color w:val="000000"/>
                <w:sz w:val="14"/>
                <w:szCs w:val="14"/>
              </w:rPr>
              <w:t>20,097 </w:t>
            </w:r>
          </w:p>
        </w:tc>
        <w:tc>
          <w:tcPr>
            <w:tcW w:w="0" w:type="auto"/>
            <w:shd w:val="clear" w:color="auto" w:fill="FFFFFF"/>
            <w:tcMar>
              <w:top w:w="40" w:type="dxa"/>
              <w:left w:w="0" w:type="dxa"/>
              <w:bottom w:w="40" w:type="dxa"/>
              <w:right w:w="20" w:type="dxa"/>
            </w:tcMar>
            <w:vAlign w:val="bottom"/>
          </w:tcPr>
          <w:p w14:paraId="74DD912D" w14:textId="77777777" w:rsidR="00584EC1" w:rsidRDefault="00584EC1">
            <w:pPr>
              <w:jc w:val="right"/>
              <w:rPr>
                <w:rFonts w:ascii="宋体"/>
              </w:rPr>
            </w:pPr>
          </w:p>
        </w:tc>
      </w:tr>
      <w:tr w:rsidR="00584EC1" w14:paraId="74DD9138" w14:textId="77777777">
        <w:tc>
          <w:tcPr>
            <w:tcW w:w="0" w:type="auto"/>
            <w:gridSpan w:val="3"/>
            <w:shd w:val="clear" w:color="auto" w:fill="CCEEFF"/>
            <w:tcMar>
              <w:top w:w="40" w:type="dxa"/>
              <w:left w:w="20" w:type="dxa"/>
              <w:bottom w:w="40" w:type="dxa"/>
              <w:right w:w="20" w:type="dxa"/>
            </w:tcMar>
            <w:vAlign w:val="bottom"/>
          </w:tcPr>
          <w:p w14:paraId="74DD912F" w14:textId="77777777" w:rsidR="00584EC1" w:rsidRDefault="00871F8D">
            <w:pPr>
              <w:textAlignment w:val="bottom"/>
            </w:pPr>
            <w:r>
              <w:rPr>
                <w:rFonts w:ascii="Arial" w:eastAsia="宋体" w:hAnsi="Arial" w:cs="Arial"/>
                <w:color w:val="000000"/>
                <w:sz w:val="14"/>
                <w:szCs w:val="14"/>
              </w:rPr>
              <w:t>Germany</w:t>
            </w:r>
          </w:p>
        </w:tc>
        <w:tc>
          <w:tcPr>
            <w:tcW w:w="0" w:type="auto"/>
            <w:gridSpan w:val="2"/>
            <w:shd w:val="clear" w:color="auto" w:fill="CCEEFF"/>
            <w:tcMar>
              <w:top w:w="40" w:type="dxa"/>
              <w:left w:w="20" w:type="dxa"/>
              <w:bottom w:w="40" w:type="dxa"/>
              <w:right w:w="0" w:type="dxa"/>
            </w:tcMar>
            <w:vAlign w:val="bottom"/>
          </w:tcPr>
          <w:p w14:paraId="74DD9130" w14:textId="77777777" w:rsidR="00584EC1" w:rsidRDefault="00871F8D">
            <w:pPr>
              <w:jc w:val="right"/>
              <w:textAlignment w:val="bottom"/>
            </w:pPr>
            <w:r>
              <w:rPr>
                <w:rFonts w:ascii="Arial" w:eastAsia="宋体" w:hAnsi="Arial" w:cs="Arial"/>
                <w:color w:val="000000"/>
                <w:sz w:val="14"/>
                <w:szCs w:val="14"/>
              </w:rPr>
              <w:t>18,734 </w:t>
            </w:r>
          </w:p>
        </w:tc>
        <w:tc>
          <w:tcPr>
            <w:tcW w:w="0" w:type="auto"/>
            <w:shd w:val="clear" w:color="auto" w:fill="CCEEFF"/>
            <w:tcMar>
              <w:top w:w="40" w:type="dxa"/>
              <w:left w:w="0" w:type="dxa"/>
              <w:bottom w:w="40" w:type="dxa"/>
              <w:right w:w="20" w:type="dxa"/>
            </w:tcMar>
            <w:vAlign w:val="bottom"/>
          </w:tcPr>
          <w:p w14:paraId="74DD913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132"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133" w14:textId="77777777" w:rsidR="00584EC1" w:rsidRDefault="00871F8D">
            <w:pPr>
              <w:jc w:val="right"/>
              <w:textAlignment w:val="bottom"/>
            </w:pPr>
            <w:r>
              <w:rPr>
                <w:rFonts w:ascii="Arial" w:eastAsia="宋体" w:hAnsi="Arial" w:cs="Arial"/>
                <w:color w:val="000000"/>
                <w:sz w:val="14"/>
                <w:szCs w:val="14"/>
              </w:rPr>
              <w:t>2,163 </w:t>
            </w:r>
          </w:p>
        </w:tc>
        <w:tc>
          <w:tcPr>
            <w:tcW w:w="0" w:type="auto"/>
            <w:shd w:val="clear" w:color="auto" w:fill="CCEEFF"/>
            <w:tcMar>
              <w:top w:w="40" w:type="dxa"/>
              <w:left w:w="0" w:type="dxa"/>
              <w:bottom w:w="40" w:type="dxa"/>
              <w:right w:w="20" w:type="dxa"/>
            </w:tcMar>
            <w:vAlign w:val="bottom"/>
          </w:tcPr>
          <w:p w14:paraId="74DD913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13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136" w14:textId="77777777" w:rsidR="00584EC1" w:rsidRDefault="00871F8D">
            <w:pPr>
              <w:jc w:val="right"/>
              <w:textAlignment w:val="bottom"/>
            </w:pPr>
            <w:r>
              <w:rPr>
                <w:rFonts w:ascii="Arial" w:eastAsia="宋体" w:hAnsi="Arial" w:cs="Arial"/>
                <w:color w:val="000000"/>
                <w:sz w:val="14"/>
                <w:szCs w:val="14"/>
              </w:rPr>
              <w:t>20,897 </w:t>
            </w:r>
          </w:p>
        </w:tc>
        <w:tc>
          <w:tcPr>
            <w:tcW w:w="0" w:type="auto"/>
            <w:shd w:val="clear" w:color="auto" w:fill="CCEEFF"/>
            <w:tcMar>
              <w:top w:w="40" w:type="dxa"/>
              <w:left w:w="0" w:type="dxa"/>
              <w:bottom w:w="40" w:type="dxa"/>
              <w:right w:w="20" w:type="dxa"/>
            </w:tcMar>
            <w:vAlign w:val="bottom"/>
          </w:tcPr>
          <w:p w14:paraId="74DD9137" w14:textId="77777777" w:rsidR="00584EC1" w:rsidRDefault="00584EC1">
            <w:pPr>
              <w:jc w:val="right"/>
              <w:rPr>
                <w:rFonts w:ascii="宋体"/>
              </w:rPr>
            </w:pPr>
          </w:p>
        </w:tc>
      </w:tr>
      <w:tr w:rsidR="00584EC1" w14:paraId="74DD9142" w14:textId="77777777">
        <w:tc>
          <w:tcPr>
            <w:tcW w:w="0" w:type="auto"/>
            <w:gridSpan w:val="3"/>
            <w:shd w:val="clear" w:color="auto" w:fill="FFFFFF"/>
            <w:tcMar>
              <w:top w:w="40" w:type="dxa"/>
              <w:left w:w="20" w:type="dxa"/>
              <w:bottom w:w="40" w:type="dxa"/>
              <w:right w:w="20" w:type="dxa"/>
            </w:tcMar>
            <w:vAlign w:val="bottom"/>
          </w:tcPr>
          <w:p w14:paraId="74DD9139" w14:textId="77777777" w:rsidR="00584EC1" w:rsidRDefault="00871F8D">
            <w:pPr>
              <w:textAlignment w:val="bottom"/>
            </w:pPr>
            <w:r>
              <w:rPr>
                <w:rFonts w:ascii="Arial" w:eastAsia="宋体" w:hAnsi="Arial" w:cs="Arial"/>
                <w:color w:val="000000"/>
                <w:sz w:val="14"/>
                <w:szCs w:val="14"/>
              </w:rPr>
              <w:t>Canada</w:t>
            </w:r>
          </w:p>
        </w:tc>
        <w:tc>
          <w:tcPr>
            <w:tcW w:w="0" w:type="auto"/>
            <w:gridSpan w:val="2"/>
            <w:shd w:val="clear" w:color="auto" w:fill="FFFFFF"/>
            <w:tcMar>
              <w:top w:w="40" w:type="dxa"/>
              <w:left w:w="20" w:type="dxa"/>
              <w:bottom w:w="40" w:type="dxa"/>
              <w:right w:w="0" w:type="dxa"/>
            </w:tcMar>
            <w:vAlign w:val="bottom"/>
          </w:tcPr>
          <w:p w14:paraId="74DD913A" w14:textId="77777777" w:rsidR="00584EC1" w:rsidRDefault="00871F8D">
            <w:pPr>
              <w:jc w:val="right"/>
              <w:textAlignment w:val="bottom"/>
            </w:pPr>
            <w:r>
              <w:rPr>
                <w:rFonts w:ascii="Arial" w:eastAsia="宋体" w:hAnsi="Arial" w:cs="Arial"/>
                <w:color w:val="000000"/>
                <w:sz w:val="14"/>
                <w:szCs w:val="14"/>
              </w:rPr>
              <w:t>5,997 </w:t>
            </w:r>
          </w:p>
        </w:tc>
        <w:tc>
          <w:tcPr>
            <w:tcW w:w="0" w:type="auto"/>
            <w:shd w:val="clear" w:color="auto" w:fill="FFFFFF"/>
            <w:tcMar>
              <w:top w:w="40" w:type="dxa"/>
              <w:left w:w="0" w:type="dxa"/>
              <w:bottom w:w="40" w:type="dxa"/>
              <w:right w:w="20" w:type="dxa"/>
            </w:tcMar>
            <w:vAlign w:val="bottom"/>
          </w:tcPr>
          <w:p w14:paraId="74DD913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13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13D" w14:textId="77777777" w:rsidR="00584EC1" w:rsidRDefault="00871F8D">
            <w:pPr>
              <w:jc w:val="right"/>
              <w:textAlignment w:val="bottom"/>
            </w:pPr>
            <w:r>
              <w:rPr>
                <w:rFonts w:ascii="Arial" w:eastAsia="宋体" w:hAnsi="Arial" w:cs="Arial"/>
                <w:color w:val="000000"/>
                <w:sz w:val="14"/>
                <w:szCs w:val="14"/>
              </w:rPr>
              <w:t>3,113 </w:t>
            </w:r>
          </w:p>
        </w:tc>
        <w:tc>
          <w:tcPr>
            <w:tcW w:w="0" w:type="auto"/>
            <w:shd w:val="clear" w:color="auto" w:fill="FFFFFF"/>
            <w:tcMar>
              <w:top w:w="40" w:type="dxa"/>
              <w:left w:w="0" w:type="dxa"/>
              <w:bottom w:w="40" w:type="dxa"/>
              <w:right w:w="20" w:type="dxa"/>
            </w:tcMar>
            <w:vAlign w:val="bottom"/>
          </w:tcPr>
          <w:p w14:paraId="74DD913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13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140" w14:textId="77777777" w:rsidR="00584EC1" w:rsidRDefault="00871F8D">
            <w:pPr>
              <w:jc w:val="right"/>
              <w:textAlignment w:val="bottom"/>
            </w:pPr>
            <w:r>
              <w:rPr>
                <w:rFonts w:ascii="Arial" w:eastAsia="宋体" w:hAnsi="Arial" w:cs="Arial"/>
                <w:color w:val="000000"/>
                <w:sz w:val="14"/>
                <w:szCs w:val="14"/>
              </w:rPr>
              <w:t>9,110 </w:t>
            </w:r>
          </w:p>
        </w:tc>
        <w:tc>
          <w:tcPr>
            <w:tcW w:w="0" w:type="auto"/>
            <w:shd w:val="clear" w:color="auto" w:fill="FFFFFF"/>
            <w:tcMar>
              <w:top w:w="40" w:type="dxa"/>
              <w:left w:w="0" w:type="dxa"/>
              <w:bottom w:w="40" w:type="dxa"/>
              <w:right w:w="20" w:type="dxa"/>
            </w:tcMar>
            <w:vAlign w:val="bottom"/>
          </w:tcPr>
          <w:p w14:paraId="74DD9141" w14:textId="77777777" w:rsidR="00584EC1" w:rsidRDefault="00584EC1">
            <w:pPr>
              <w:jc w:val="right"/>
              <w:rPr>
                <w:rFonts w:ascii="宋体"/>
              </w:rPr>
            </w:pPr>
          </w:p>
        </w:tc>
      </w:tr>
      <w:tr w:rsidR="00584EC1" w14:paraId="74DD914C" w14:textId="77777777">
        <w:tc>
          <w:tcPr>
            <w:tcW w:w="0" w:type="auto"/>
            <w:gridSpan w:val="3"/>
            <w:shd w:val="clear" w:color="auto" w:fill="CCEEFF"/>
            <w:tcMar>
              <w:top w:w="40" w:type="dxa"/>
              <w:left w:w="20" w:type="dxa"/>
              <w:bottom w:w="40" w:type="dxa"/>
              <w:right w:w="20" w:type="dxa"/>
            </w:tcMar>
            <w:vAlign w:val="bottom"/>
          </w:tcPr>
          <w:p w14:paraId="74DD9143" w14:textId="77777777" w:rsidR="00584EC1" w:rsidRDefault="00871F8D">
            <w:pPr>
              <w:textAlignment w:val="bottom"/>
            </w:pPr>
            <w:r>
              <w:rPr>
                <w:rFonts w:ascii="Arial" w:eastAsia="宋体" w:hAnsi="Arial" w:cs="Arial"/>
                <w:color w:val="000000"/>
                <w:sz w:val="14"/>
                <w:szCs w:val="14"/>
              </w:rPr>
              <w:t>Australia</w:t>
            </w:r>
          </w:p>
        </w:tc>
        <w:tc>
          <w:tcPr>
            <w:tcW w:w="0" w:type="auto"/>
            <w:gridSpan w:val="2"/>
            <w:shd w:val="clear" w:color="auto" w:fill="CCEEFF"/>
            <w:tcMar>
              <w:top w:w="40" w:type="dxa"/>
              <w:left w:w="20" w:type="dxa"/>
              <w:bottom w:w="40" w:type="dxa"/>
              <w:right w:w="0" w:type="dxa"/>
            </w:tcMar>
            <w:vAlign w:val="bottom"/>
          </w:tcPr>
          <w:p w14:paraId="74DD9144" w14:textId="77777777" w:rsidR="00584EC1" w:rsidRDefault="00871F8D">
            <w:pPr>
              <w:jc w:val="right"/>
              <w:textAlignment w:val="bottom"/>
            </w:pPr>
            <w:r>
              <w:rPr>
                <w:rFonts w:ascii="Arial" w:eastAsia="宋体" w:hAnsi="Arial" w:cs="Arial"/>
                <w:color w:val="000000"/>
                <w:sz w:val="14"/>
                <w:szCs w:val="14"/>
              </w:rPr>
              <w:t>5,790 </w:t>
            </w:r>
          </w:p>
        </w:tc>
        <w:tc>
          <w:tcPr>
            <w:tcW w:w="0" w:type="auto"/>
            <w:shd w:val="clear" w:color="auto" w:fill="CCEEFF"/>
            <w:tcMar>
              <w:top w:w="40" w:type="dxa"/>
              <w:left w:w="0" w:type="dxa"/>
              <w:bottom w:w="40" w:type="dxa"/>
              <w:right w:w="20" w:type="dxa"/>
            </w:tcMar>
            <w:vAlign w:val="bottom"/>
          </w:tcPr>
          <w:p w14:paraId="74DD914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14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147" w14:textId="77777777" w:rsidR="00584EC1" w:rsidRDefault="00871F8D">
            <w:pPr>
              <w:jc w:val="right"/>
              <w:textAlignment w:val="bottom"/>
            </w:pPr>
            <w:r>
              <w:rPr>
                <w:rFonts w:ascii="Arial" w:eastAsia="宋体" w:hAnsi="Arial" w:cs="Arial"/>
                <w:color w:val="000000"/>
                <w:sz w:val="14"/>
                <w:szCs w:val="14"/>
              </w:rPr>
              <w:t>2,908 </w:t>
            </w:r>
          </w:p>
        </w:tc>
        <w:tc>
          <w:tcPr>
            <w:tcW w:w="0" w:type="auto"/>
            <w:shd w:val="clear" w:color="auto" w:fill="CCEEFF"/>
            <w:tcMar>
              <w:top w:w="40" w:type="dxa"/>
              <w:left w:w="0" w:type="dxa"/>
              <w:bottom w:w="40" w:type="dxa"/>
              <w:right w:w="20" w:type="dxa"/>
            </w:tcMar>
            <w:vAlign w:val="bottom"/>
          </w:tcPr>
          <w:p w14:paraId="74DD914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14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14A" w14:textId="77777777" w:rsidR="00584EC1" w:rsidRDefault="00871F8D">
            <w:pPr>
              <w:jc w:val="right"/>
              <w:textAlignment w:val="bottom"/>
            </w:pPr>
            <w:r>
              <w:rPr>
                <w:rFonts w:ascii="Arial" w:eastAsia="宋体" w:hAnsi="Arial" w:cs="Arial"/>
                <w:color w:val="000000"/>
                <w:sz w:val="14"/>
                <w:szCs w:val="14"/>
              </w:rPr>
              <w:t>8,698 </w:t>
            </w:r>
          </w:p>
        </w:tc>
        <w:tc>
          <w:tcPr>
            <w:tcW w:w="0" w:type="auto"/>
            <w:shd w:val="clear" w:color="auto" w:fill="CCEEFF"/>
            <w:tcMar>
              <w:top w:w="40" w:type="dxa"/>
              <w:left w:w="0" w:type="dxa"/>
              <w:bottom w:w="40" w:type="dxa"/>
              <w:right w:w="20" w:type="dxa"/>
            </w:tcMar>
            <w:vAlign w:val="bottom"/>
          </w:tcPr>
          <w:p w14:paraId="74DD914B" w14:textId="77777777" w:rsidR="00584EC1" w:rsidRDefault="00584EC1">
            <w:pPr>
              <w:jc w:val="right"/>
              <w:rPr>
                <w:rFonts w:ascii="宋体"/>
              </w:rPr>
            </w:pPr>
          </w:p>
        </w:tc>
      </w:tr>
      <w:tr w:rsidR="00584EC1" w14:paraId="74DD9156" w14:textId="77777777">
        <w:tc>
          <w:tcPr>
            <w:tcW w:w="0" w:type="auto"/>
            <w:gridSpan w:val="3"/>
            <w:shd w:val="clear" w:color="auto" w:fill="FFFFFF"/>
            <w:tcMar>
              <w:top w:w="40" w:type="dxa"/>
              <w:left w:w="20" w:type="dxa"/>
              <w:bottom w:w="40" w:type="dxa"/>
              <w:right w:w="20" w:type="dxa"/>
            </w:tcMar>
            <w:vAlign w:val="bottom"/>
          </w:tcPr>
          <w:p w14:paraId="74DD914D" w14:textId="77777777" w:rsidR="00584EC1" w:rsidRDefault="00871F8D">
            <w:pPr>
              <w:textAlignment w:val="bottom"/>
            </w:pPr>
            <w:r>
              <w:rPr>
                <w:rFonts w:ascii="Arial" w:eastAsia="宋体" w:hAnsi="Arial" w:cs="Arial"/>
                <w:color w:val="000000"/>
                <w:sz w:val="14"/>
                <w:szCs w:val="14"/>
              </w:rPr>
              <w:t>Luxembourg</w:t>
            </w:r>
          </w:p>
        </w:tc>
        <w:tc>
          <w:tcPr>
            <w:tcW w:w="0" w:type="auto"/>
            <w:gridSpan w:val="2"/>
            <w:shd w:val="clear" w:color="auto" w:fill="FFFFFF"/>
            <w:tcMar>
              <w:top w:w="40" w:type="dxa"/>
              <w:left w:w="20" w:type="dxa"/>
              <w:bottom w:w="40" w:type="dxa"/>
              <w:right w:w="0" w:type="dxa"/>
            </w:tcMar>
            <w:vAlign w:val="bottom"/>
          </w:tcPr>
          <w:p w14:paraId="74DD914E" w14:textId="77777777" w:rsidR="00584EC1" w:rsidRDefault="00871F8D">
            <w:pPr>
              <w:jc w:val="right"/>
              <w:textAlignment w:val="bottom"/>
            </w:pPr>
            <w:r>
              <w:rPr>
                <w:rFonts w:ascii="Arial" w:eastAsia="宋体" w:hAnsi="Arial" w:cs="Arial"/>
                <w:color w:val="000000"/>
                <w:sz w:val="14"/>
                <w:szCs w:val="14"/>
              </w:rPr>
              <w:t>5,036 </w:t>
            </w:r>
          </w:p>
        </w:tc>
        <w:tc>
          <w:tcPr>
            <w:tcW w:w="0" w:type="auto"/>
            <w:shd w:val="clear" w:color="auto" w:fill="FFFFFF"/>
            <w:tcMar>
              <w:top w:w="40" w:type="dxa"/>
              <w:left w:w="0" w:type="dxa"/>
              <w:bottom w:w="40" w:type="dxa"/>
              <w:right w:w="20" w:type="dxa"/>
            </w:tcMar>
            <w:vAlign w:val="bottom"/>
          </w:tcPr>
          <w:p w14:paraId="74DD914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15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151" w14:textId="77777777" w:rsidR="00584EC1" w:rsidRDefault="00871F8D">
            <w:pPr>
              <w:jc w:val="right"/>
              <w:textAlignment w:val="bottom"/>
            </w:pPr>
            <w:r>
              <w:rPr>
                <w:rFonts w:ascii="Arial" w:eastAsia="宋体" w:hAnsi="Arial" w:cs="Arial"/>
                <w:color w:val="000000"/>
                <w:sz w:val="14"/>
                <w:szCs w:val="14"/>
              </w:rPr>
              <w:t>2,148 </w:t>
            </w:r>
          </w:p>
        </w:tc>
        <w:tc>
          <w:tcPr>
            <w:tcW w:w="0" w:type="auto"/>
            <w:shd w:val="clear" w:color="auto" w:fill="FFFFFF"/>
            <w:tcMar>
              <w:top w:w="40" w:type="dxa"/>
              <w:left w:w="0" w:type="dxa"/>
              <w:bottom w:w="40" w:type="dxa"/>
              <w:right w:w="20" w:type="dxa"/>
            </w:tcMar>
            <w:vAlign w:val="bottom"/>
          </w:tcPr>
          <w:p w14:paraId="74DD915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15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154" w14:textId="77777777" w:rsidR="00584EC1" w:rsidRDefault="00871F8D">
            <w:pPr>
              <w:jc w:val="right"/>
              <w:textAlignment w:val="bottom"/>
            </w:pPr>
            <w:r>
              <w:rPr>
                <w:rFonts w:ascii="Arial" w:eastAsia="宋体" w:hAnsi="Arial" w:cs="Arial"/>
                <w:color w:val="000000"/>
                <w:sz w:val="14"/>
                <w:szCs w:val="14"/>
              </w:rPr>
              <w:t>7,184 </w:t>
            </w:r>
          </w:p>
        </w:tc>
        <w:tc>
          <w:tcPr>
            <w:tcW w:w="0" w:type="auto"/>
            <w:shd w:val="clear" w:color="auto" w:fill="FFFFFF"/>
            <w:tcMar>
              <w:top w:w="40" w:type="dxa"/>
              <w:left w:w="0" w:type="dxa"/>
              <w:bottom w:w="40" w:type="dxa"/>
              <w:right w:w="20" w:type="dxa"/>
            </w:tcMar>
            <w:vAlign w:val="bottom"/>
          </w:tcPr>
          <w:p w14:paraId="74DD9155" w14:textId="77777777" w:rsidR="00584EC1" w:rsidRDefault="00584EC1">
            <w:pPr>
              <w:jc w:val="right"/>
              <w:rPr>
                <w:rFonts w:ascii="宋体"/>
              </w:rPr>
            </w:pPr>
          </w:p>
        </w:tc>
      </w:tr>
      <w:tr w:rsidR="00584EC1" w14:paraId="74DD9160" w14:textId="77777777">
        <w:tc>
          <w:tcPr>
            <w:tcW w:w="0" w:type="auto"/>
            <w:gridSpan w:val="3"/>
            <w:shd w:val="clear" w:color="auto" w:fill="CCEEFF"/>
            <w:tcMar>
              <w:top w:w="40" w:type="dxa"/>
              <w:left w:w="20" w:type="dxa"/>
              <w:bottom w:w="40" w:type="dxa"/>
              <w:right w:w="20" w:type="dxa"/>
            </w:tcMar>
            <w:vAlign w:val="bottom"/>
          </w:tcPr>
          <w:p w14:paraId="74DD9157" w14:textId="77777777" w:rsidR="00584EC1" w:rsidRDefault="00871F8D">
            <w:pPr>
              <w:textAlignment w:val="bottom"/>
            </w:pPr>
            <w:r>
              <w:rPr>
                <w:rFonts w:ascii="Arial" w:eastAsia="宋体" w:hAnsi="Arial" w:cs="Arial"/>
                <w:color w:val="000000"/>
                <w:sz w:val="14"/>
                <w:szCs w:val="14"/>
              </w:rPr>
              <w:t>France</w:t>
            </w:r>
          </w:p>
        </w:tc>
        <w:tc>
          <w:tcPr>
            <w:tcW w:w="0" w:type="auto"/>
            <w:gridSpan w:val="2"/>
            <w:shd w:val="clear" w:color="auto" w:fill="CCEEFF"/>
            <w:tcMar>
              <w:top w:w="40" w:type="dxa"/>
              <w:left w:w="20" w:type="dxa"/>
              <w:bottom w:w="40" w:type="dxa"/>
              <w:right w:w="0" w:type="dxa"/>
            </w:tcMar>
            <w:vAlign w:val="bottom"/>
          </w:tcPr>
          <w:p w14:paraId="74DD9158" w14:textId="77777777" w:rsidR="00584EC1" w:rsidRDefault="00871F8D">
            <w:pPr>
              <w:jc w:val="right"/>
              <w:textAlignment w:val="bottom"/>
            </w:pPr>
            <w:r>
              <w:rPr>
                <w:rFonts w:ascii="Arial" w:eastAsia="宋体" w:hAnsi="Arial" w:cs="Arial"/>
                <w:color w:val="000000"/>
                <w:sz w:val="14"/>
                <w:szCs w:val="14"/>
              </w:rPr>
              <w:t>3,586 </w:t>
            </w:r>
          </w:p>
        </w:tc>
        <w:tc>
          <w:tcPr>
            <w:tcW w:w="0" w:type="auto"/>
            <w:shd w:val="clear" w:color="auto" w:fill="CCEEFF"/>
            <w:tcMar>
              <w:top w:w="40" w:type="dxa"/>
              <w:left w:w="0" w:type="dxa"/>
              <w:bottom w:w="40" w:type="dxa"/>
              <w:right w:w="20" w:type="dxa"/>
            </w:tcMar>
            <w:vAlign w:val="bottom"/>
          </w:tcPr>
          <w:p w14:paraId="74DD915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15A"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15B" w14:textId="77777777" w:rsidR="00584EC1" w:rsidRDefault="00871F8D">
            <w:pPr>
              <w:jc w:val="right"/>
              <w:textAlignment w:val="bottom"/>
            </w:pPr>
            <w:r>
              <w:rPr>
                <w:rFonts w:ascii="Arial" w:eastAsia="宋体" w:hAnsi="Arial" w:cs="Arial"/>
                <w:color w:val="000000"/>
                <w:sz w:val="14"/>
                <w:szCs w:val="14"/>
              </w:rPr>
              <w:t>3,010 </w:t>
            </w:r>
          </w:p>
        </w:tc>
        <w:tc>
          <w:tcPr>
            <w:tcW w:w="0" w:type="auto"/>
            <w:shd w:val="clear" w:color="auto" w:fill="CCEEFF"/>
            <w:tcMar>
              <w:top w:w="40" w:type="dxa"/>
              <w:left w:w="0" w:type="dxa"/>
              <w:bottom w:w="40" w:type="dxa"/>
              <w:right w:w="20" w:type="dxa"/>
            </w:tcMar>
            <w:vAlign w:val="bottom"/>
          </w:tcPr>
          <w:p w14:paraId="74DD915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15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15E" w14:textId="77777777" w:rsidR="00584EC1" w:rsidRDefault="00871F8D">
            <w:pPr>
              <w:jc w:val="right"/>
              <w:textAlignment w:val="bottom"/>
            </w:pPr>
            <w:r>
              <w:rPr>
                <w:rFonts w:ascii="Arial" w:eastAsia="宋体" w:hAnsi="Arial" w:cs="Arial"/>
                <w:color w:val="000000"/>
                <w:sz w:val="14"/>
                <w:szCs w:val="14"/>
              </w:rPr>
              <w:t>6,596 </w:t>
            </w:r>
          </w:p>
        </w:tc>
        <w:tc>
          <w:tcPr>
            <w:tcW w:w="0" w:type="auto"/>
            <w:shd w:val="clear" w:color="auto" w:fill="CCEEFF"/>
            <w:tcMar>
              <w:top w:w="40" w:type="dxa"/>
              <w:left w:w="0" w:type="dxa"/>
              <w:bottom w:w="40" w:type="dxa"/>
              <w:right w:w="20" w:type="dxa"/>
            </w:tcMar>
            <w:vAlign w:val="bottom"/>
          </w:tcPr>
          <w:p w14:paraId="74DD915F" w14:textId="77777777" w:rsidR="00584EC1" w:rsidRDefault="00584EC1">
            <w:pPr>
              <w:jc w:val="right"/>
              <w:rPr>
                <w:rFonts w:ascii="宋体"/>
              </w:rPr>
            </w:pPr>
          </w:p>
        </w:tc>
      </w:tr>
      <w:tr w:rsidR="00584EC1" w14:paraId="74DD9167" w14:textId="77777777">
        <w:trPr>
          <w:hidden/>
        </w:trPr>
        <w:tc>
          <w:tcPr>
            <w:tcW w:w="0" w:type="auto"/>
            <w:gridSpan w:val="3"/>
            <w:shd w:val="clear" w:color="auto" w:fill="auto"/>
            <w:vAlign w:val="bottom"/>
          </w:tcPr>
          <w:p w14:paraId="74DD9161" w14:textId="77777777" w:rsidR="00584EC1" w:rsidRDefault="00584EC1">
            <w:pPr>
              <w:rPr>
                <w:rFonts w:ascii="宋体"/>
                <w:vanish/>
              </w:rPr>
            </w:pPr>
          </w:p>
        </w:tc>
        <w:tc>
          <w:tcPr>
            <w:tcW w:w="0" w:type="auto"/>
            <w:gridSpan w:val="3"/>
            <w:shd w:val="clear" w:color="auto" w:fill="auto"/>
            <w:vAlign w:val="bottom"/>
          </w:tcPr>
          <w:p w14:paraId="74DD9162" w14:textId="77777777" w:rsidR="00584EC1" w:rsidRDefault="00584EC1">
            <w:pPr>
              <w:rPr>
                <w:rFonts w:ascii="宋体"/>
                <w:vanish/>
              </w:rPr>
            </w:pPr>
          </w:p>
        </w:tc>
        <w:tc>
          <w:tcPr>
            <w:tcW w:w="0" w:type="auto"/>
            <w:gridSpan w:val="3"/>
            <w:shd w:val="clear" w:color="auto" w:fill="auto"/>
            <w:vAlign w:val="bottom"/>
          </w:tcPr>
          <w:p w14:paraId="74DD9163" w14:textId="77777777" w:rsidR="00584EC1" w:rsidRDefault="00584EC1">
            <w:pPr>
              <w:rPr>
                <w:rFonts w:ascii="宋体"/>
                <w:vanish/>
              </w:rPr>
            </w:pPr>
          </w:p>
        </w:tc>
        <w:tc>
          <w:tcPr>
            <w:tcW w:w="0" w:type="auto"/>
            <w:gridSpan w:val="3"/>
            <w:shd w:val="clear" w:color="auto" w:fill="auto"/>
            <w:vAlign w:val="bottom"/>
          </w:tcPr>
          <w:p w14:paraId="74DD9164" w14:textId="77777777" w:rsidR="00584EC1" w:rsidRDefault="00584EC1">
            <w:pPr>
              <w:rPr>
                <w:rFonts w:ascii="宋体"/>
                <w:vanish/>
              </w:rPr>
            </w:pPr>
          </w:p>
        </w:tc>
        <w:tc>
          <w:tcPr>
            <w:tcW w:w="0" w:type="auto"/>
            <w:gridSpan w:val="3"/>
            <w:shd w:val="clear" w:color="auto" w:fill="auto"/>
            <w:vAlign w:val="bottom"/>
          </w:tcPr>
          <w:p w14:paraId="74DD9165" w14:textId="77777777" w:rsidR="00584EC1" w:rsidRDefault="00584EC1">
            <w:pPr>
              <w:rPr>
                <w:rFonts w:ascii="宋体"/>
                <w:vanish/>
              </w:rPr>
            </w:pPr>
          </w:p>
        </w:tc>
        <w:tc>
          <w:tcPr>
            <w:tcW w:w="0" w:type="auto"/>
            <w:gridSpan w:val="3"/>
            <w:shd w:val="clear" w:color="auto" w:fill="auto"/>
            <w:vAlign w:val="bottom"/>
          </w:tcPr>
          <w:p w14:paraId="74DD9166" w14:textId="77777777" w:rsidR="00584EC1" w:rsidRDefault="00584EC1">
            <w:pPr>
              <w:rPr>
                <w:rFonts w:ascii="宋体"/>
                <w:vanish/>
              </w:rPr>
            </w:pPr>
          </w:p>
        </w:tc>
      </w:tr>
      <w:tr w:rsidR="00584EC1" w14:paraId="74DD916E" w14:textId="77777777">
        <w:trPr>
          <w:hidden/>
        </w:trPr>
        <w:tc>
          <w:tcPr>
            <w:tcW w:w="0" w:type="auto"/>
            <w:gridSpan w:val="3"/>
            <w:shd w:val="clear" w:color="auto" w:fill="auto"/>
            <w:vAlign w:val="bottom"/>
          </w:tcPr>
          <w:p w14:paraId="74DD9168" w14:textId="77777777" w:rsidR="00584EC1" w:rsidRDefault="00584EC1">
            <w:pPr>
              <w:rPr>
                <w:rFonts w:ascii="宋体"/>
                <w:vanish/>
              </w:rPr>
            </w:pPr>
          </w:p>
        </w:tc>
        <w:tc>
          <w:tcPr>
            <w:tcW w:w="0" w:type="auto"/>
            <w:gridSpan w:val="3"/>
            <w:shd w:val="clear" w:color="auto" w:fill="auto"/>
            <w:vAlign w:val="bottom"/>
          </w:tcPr>
          <w:p w14:paraId="74DD9169" w14:textId="77777777" w:rsidR="00584EC1" w:rsidRDefault="00584EC1">
            <w:pPr>
              <w:rPr>
                <w:rFonts w:ascii="宋体"/>
                <w:vanish/>
              </w:rPr>
            </w:pPr>
          </w:p>
        </w:tc>
        <w:tc>
          <w:tcPr>
            <w:tcW w:w="0" w:type="auto"/>
            <w:gridSpan w:val="3"/>
            <w:shd w:val="clear" w:color="auto" w:fill="auto"/>
            <w:vAlign w:val="bottom"/>
          </w:tcPr>
          <w:p w14:paraId="74DD916A" w14:textId="77777777" w:rsidR="00584EC1" w:rsidRDefault="00584EC1">
            <w:pPr>
              <w:rPr>
                <w:rFonts w:ascii="宋体"/>
                <w:vanish/>
              </w:rPr>
            </w:pPr>
          </w:p>
        </w:tc>
        <w:tc>
          <w:tcPr>
            <w:tcW w:w="0" w:type="auto"/>
            <w:gridSpan w:val="3"/>
            <w:shd w:val="clear" w:color="auto" w:fill="auto"/>
            <w:vAlign w:val="bottom"/>
          </w:tcPr>
          <w:p w14:paraId="74DD916B" w14:textId="77777777" w:rsidR="00584EC1" w:rsidRDefault="00584EC1">
            <w:pPr>
              <w:rPr>
                <w:rFonts w:ascii="宋体"/>
                <w:vanish/>
              </w:rPr>
            </w:pPr>
          </w:p>
        </w:tc>
        <w:tc>
          <w:tcPr>
            <w:tcW w:w="0" w:type="auto"/>
            <w:gridSpan w:val="3"/>
            <w:shd w:val="clear" w:color="auto" w:fill="auto"/>
            <w:vAlign w:val="bottom"/>
          </w:tcPr>
          <w:p w14:paraId="74DD916C" w14:textId="77777777" w:rsidR="00584EC1" w:rsidRDefault="00584EC1">
            <w:pPr>
              <w:rPr>
                <w:rFonts w:ascii="宋体"/>
                <w:vanish/>
              </w:rPr>
            </w:pPr>
          </w:p>
        </w:tc>
        <w:tc>
          <w:tcPr>
            <w:tcW w:w="0" w:type="auto"/>
            <w:gridSpan w:val="3"/>
            <w:shd w:val="clear" w:color="auto" w:fill="auto"/>
            <w:vAlign w:val="bottom"/>
          </w:tcPr>
          <w:p w14:paraId="74DD916D" w14:textId="77777777" w:rsidR="00584EC1" w:rsidRDefault="00584EC1">
            <w:pPr>
              <w:rPr>
                <w:rFonts w:ascii="宋体"/>
                <w:vanish/>
              </w:rPr>
            </w:pPr>
          </w:p>
        </w:tc>
      </w:tr>
      <w:tr w:rsidR="00584EC1" w14:paraId="74DD9175" w14:textId="77777777">
        <w:trPr>
          <w:hidden/>
        </w:trPr>
        <w:tc>
          <w:tcPr>
            <w:tcW w:w="0" w:type="auto"/>
            <w:gridSpan w:val="3"/>
            <w:shd w:val="clear" w:color="auto" w:fill="auto"/>
            <w:vAlign w:val="bottom"/>
          </w:tcPr>
          <w:p w14:paraId="74DD916F" w14:textId="77777777" w:rsidR="00584EC1" w:rsidRDefault="00584EC1">
            <w:pPr>
              <w:rPr>
                <w:rFonts w:ascii="宋体"/>
                <w:vanish/>
              </w:rPr>
            </w:pPr>
          </w:p>
        </w:tc>
        <w:tc>
          <w:tcPr>
            <w:tcW w:w="0" w:type="auto"/>
            <w:gridSpan w:val="3"/>
            <w:shd w:val="clear" w:color="auto" w:fill="auto"/>
            <w:vAlign w:val="bottom"/>
          </w:tcPr>
          <w:p w14:paraId="74DD9170" w14:textId="77777777" w:rsidR="00584EC1" w:rsidRDefault="00584EC1">
            <w:pPr>
              <w:rPr>
                <w:rFonts w:ascii="宋体"/>
                <w:vanish/>
              </w:rPr>
            </w:pPr>
          </w:p>
        </w:tc>
        <w:tc>
          <w:tcPr>
            <w:tcW w:w="0" w:type="auto"/>
            <w:gridSpan w:val="3"/>
            <w:shd w:val="clear" w:color="auto" w:fill="auto"/>
            <w:vAlign w:val="bottom"/>
          </w:tcPr>
          <w:p w14:paraId="74DD9171" w14:textId="77777777" w:rsidR="00584EC1" w:rsidRDefault="00584EC1">
            <w:pPr>
              <w:rPr>
                <w:rFonts w:ascii="宋体"/>
                <w:vanish/>
              </w:rPr>
            </w:pPr>
          </w:p>
        </w:tc>
        <w:tc>
          <w:tcPr>
            <w:tcW w:w="0" w:type="auto"/>
            <w:gridSpan w:val="3"/>
            <w:shd w:val="clear" w:color="auto" w:fill="auto"/>
            <w:vAlign w:val="bottom"/>
          </w:tcPr>
          <w:p w14:paraId="74DD9172" w14:textId="77777777" w:rsidR="00584EC1" w:rsidRDefault="00584EC1">
            <w:pPr>
              <w:rPr>
                <w:rFonts w:ascii="宋体"/>
                <w:vanish/>
              </w:rPr>
            </w:pPr>
          </w:p>
        </w:tc>
        <w:tc>
          <w:tcPr>
            <w:tcW w:w="0" w:type="auto"/>
            <w:gridSpan w:val="3"/>
            <w:shd w:val="clear" w:color="auto" w:fill="auto"/>
            <w:vAlign w:val="bottom"/>
          </w:tcPr>
          <w:p w14:paraId="74DD9173" w14:textId="77777777" w:rsidR="00584EC1" w:rsidRDefault="00584EC1">
            <w:pPr>
              <w:rPr>
                <w:rFonts w:ascii="宋体"/>
                <w:vanish/>
              </w:rPr>
            </w:pPr>
          </w:p>
        </w:tc>
        <w:tc>
          <w:tcPr>
            <w:tcW w:w="0" w:type="auto"/>
            <w:gridSpan w:val="3"/>
            <w:shd w:val="clear" w:color="auto" w:fill="auto"/>
            <w:vAlign w:val="bottom"/>
          </w:tcPr>
          <w:p w14:paraId="74DD9174" w14:textId="77777777" w:rsidR="00584EC1" w:rsidRDefault="00584EC1">
            <w:pPr>
              <w:rPr>
                <w:rFonts w:ascii="宋体"/>
                <w:vanish/>
              </w:rPr>
            </w:pPr>
          </w:p>
        </w:tc>
      </w:tr>
      <w:tr w:rsidR="00584EC1" w14:paraId="74DD917C" w14:textId="77777777">
        <w:trPr>
          <w:hidden/>
        </w:trPr>
        <w:tc>
          <w:tcPr>
            <w:tcW w:w="0" w:type="auto"/>
            <w:gridSpan w:val="3"/>
            <w:shd w:val="clear" w:color="auto" w:fill="auto"/>
            <w:vAlign w:val="bottom"/>
          </w:tcPr>
          <w:p w14:paraId="74DD9176" w14:textId="77777777" w:rsidR="00584EC1" w:rsidRDefault="00584EC1">
            <w:pPr>
              <w:rPr>
                <w:rFonts w:ascii="宋体"/>
                <w:vanish/>
              </w:rPr>
            </w:pPr>
          </w:p>
        </w:tc>
        <w:tc>
          <w:tcPr>
            <w:tcW w:w="0" w:type="auto"/>
            <w:gridSpan w:val="3"/>
            <w:shd w:val="clear" w:color="auto" w:fill="auto"/>
            <w:vAlign w:val="bottom"/>
          </w:tcPr>
          <w:p w14:paraId="74DD9177" w14:textId="77777777" w:rsidR="00584EC1" w:rsidRDefault="00584EC1">
            <w:pPr>
              <w:rPr>
                <w:rFonts w:ascii="宋体"/>
                <w:vanish/>
              </w:rPr>
            </w:pPr>
          </w:p>
        </w:tc>
        <w:tc>
          <w:tcPr>
            <w:tcW w:w="0" w:type="auto"/>
            <w:gridSpan w:val="3"/>
            <w:shd w:val="clear" w:color="auto" w:fill="auto"/>
            <w:vAlign w:val="bottom"/>
          </w:tcPr>
          <w:p w14:paraId="74DD9178" w14:textId="77777777" w:rsidR="00584EC1" w:rsidRDefault="00584EC1">
            <w:pPr>
              <w:rPr>
                <w:rFonts w:ascii="宋体"/>
                <w:vanish/>
              </w:rPr>
            </w:pPr>
          </w:p>
        </w:tc>
        <w:tc>
          <w:tcPr>
            <w:tcW w:w="0" w:type="auto"/>
            <w:gridSpan w:val="3"/>
            <w:shd w:val="clear" w:color="auto" w:fill="auto"/>
            <w:vAlign w:val="bottom"/>
          </w:tcPr>
          <w:p w14:paraId="74DD9179" w14:textId="77777777" w:rsidR="00584EC1" w:rsidRDefault="00584EC1">
            <w:pPr>
              <w:rPr>
                <w:rFonts w:ascii="宋体"/>
                <w:vanish/>
              </w:rPr>
            </w:pPr>
          </w:p>
        </w:tc>
        <w:tc>
          <w:tcPr>
            <w:tcW w:w="0" w:type="auto"/>
            <w:gridSpan w:val="3"/>
            <w:shd w:val="clear" w:color="auto" w:fill="auto"/>
            <w:vAlign w:val="bottom"/>
          </w:tcPr>
          <w:p w14:paraId="74DD917A" w14:textId="77777777" w:rsidR="00584EC1" w:rsidRDefault="00584EC1">
            <w:pPr>
              <w:rPr>
                <w:rFonts w:ascii="宋体"/>
                <w:vanish/>
              </w:rPr>
            </w:pPr>
          </w:p>
        </w:tc>
        <w:tc>
          <w:tcPr>
            <w:tcW w:w="0" w:type="auto"/>
            <w:gridSpan w:val="3"/>
            <w:shd w:val="clear" w:color="auto" w:fill="auto"/>
            <w:vAlign w:val="bottom"/>
          </w:tcPr>
          <w:p w14:paraId="74DD917B" w14:textId="77777777" w:rsidR="00584EC1" w:rsidRDefault="00584EC1">
            <w:pPr>
              <w:rPr>
                <w:rFonts w:ascii="宋体"/>
                <w:vanish/>
              </w:rPr>
            </w:pPr>
          </w:p>
        </w:tc>
      </w:tr>
      <w:tr w:rsidR="00584EC1" w14:paraId="74DD9183" w14:textId="77777777">
        <w:trPr>
          <w:hidden/>
        </w:trPr>
        <w:tc>
          <w:tcPr>
            <w:tcW w:w="0" w:type="auto"/>
            <w:gridSpan w:val="3"/>
            <w:shd w:val="clear" w:color="auto" w:fill="auto"/>
            <w:vAlign w:val="bottom"/>
          </w:tcPr>
          <w:p w14:paraId="74DD917D" w14:textId="77777777" w:rsidR="00584EC1" w:rsidRDefault="00584EC1">
            <w:pPr>
              <w:rPr>
                <w:rFonts w:ascii="宋体"/>
                <w:vanish/>
              </w:rPr>
            </w:pPr>
          </w:p>
        </w:tc>
        <w:tc>
          <w:tcPr>
            <w:tcW w:w="0" w:type="auto"/>
            <w:gridSpan w:val="3"/>
            <w:shd w:val="clear" w:color="auto" w:fill="auto"/>
            <w:vAlign w:val="bottom"/>
          </w:tcPr>
          <w:p w14:paraId="74DD917E" w14:textId="77777777" w:rsidR="00584EC1" w:rsidRDefault="00584EC1">
            <w:pPr>
              <w:rPr>
                <w:rFonts w:ascii="宋体"/>
                <w:vanish/>
              </w:rPr>
            </w:pPr>
          </w:p>
        </w:tc>
        <w:tc>
          <w:tcPr>
            <w:tcW w:w="0" w:type="auto"/>
            <w:gridSpan w:val="3"/>
            <w:shd w:val="clear" w:color="auto" w:fill="auto"/>
            <w:vAlign w:val="bottom"/>
          </w:tcPr>
          <w:p w14:paraId="74DD917F" w14:textId="77777777" w:rsidR="00584EC1" w:rsidRDefault="00584EC1">
            <w:pPr>
              <w:rPr>
                <w:rFonts w:ascii="宋体"/>
                <w:vanish/>
              </w:rPr>
            </w:pPr>
          </w:p>
        </w:tc>
        <w:tc>
          <w:tcPr>
            <w:tcW w:w="0" w:type="auto"/>
            <w:gridSpan w:val="3"/>
            <w:shd w:val="clear" w:color="auto" w:fill="auto"/>
            <w:vAlign w:val="bottom"/>
          </w:tcPr>
          <w:p w14:paraId="74DD9180" w14:textId="77777777" w:rsidR="00584EC1" w:rsidRDefault="00584EC1">
            <w:pPr>
              <w:rPr>
                <w:rFonts w:ascii="宋体"/>
                <w:vanish/>
              </w:rPr>
            </w:pPr>
          </w:p>
        </w:tc>
        <w:tc>
          <w:tcPr>
            <w:tcW w:w="0" w:type="auto"/>
            <w:gridSpan w:val="3"/>
            <w:shd w:val="clear" w:color="auto" w:fill="auto"/>
            <w:vAlign w:val="bottom"/>
          </w:tcPr>
          <w:p w14:paraId="74DD9181" w14:textId="77777777" w:rsidR="00584EC1" w:rsidRDefault="00584EC1">
            <w:pPr>
              <w:rPr>
                <w:rFonts w:ascii="宋体"/>
                <w:vanish/>
              </w:rPr>
            </w:pPr>
          </w:p>
        </w:tc>
        <w:tc>
          <w:tcPr>
            <w:tcW w:w="0" w:type="auto"/>
            <w:gridSpan w:val="3"/>
            <w:shd w:val="clear" w:color="auto" w:fill="auto"/>
            <w:vAlign w:val="bottom"/>
          </w:tcPr>
          <w:p w14:paraId="74DD9182" w14:textId="77777777" w:rsidR="00584EC1" w:rsidRDefault="00584EC1">
            <w:pPr>
              <w:rPr>
                <w:rFonts w:ascii="宋体"/>
                <w:vanish/>
              </w:rPr>
            </w:pPr>
          </w:p>
        </w:tc>
      </w:tr>
      <w:tr w:rsidR="00584EC1" w14:paraId="74DD918A" w14:textId="77777777">
        <w:trPr>
          <w:hidden/>
        </w:trPr>
        <w:tc>
          <w:tcPr>
            <w:tcW w:w="0" w:type="auto"/>
            <w:gridSpan w:val="3"/>
            <w:shd w:val="clear" w:color="auto" w:fill="auto"/>
            <w:vAlign w:val="bottom"/>
          </w:tcPr>
          <w:p w14:paraId="74DD9184" w14:textId="77777777" w:rsidR="00584EC1" w:rsidRDefault="00584EC1">
            <w:pPr>
              <w:rPr>
                <w:rFonts w:ascii="宋体"/>
                <w:vanish/>
              </w:rPr>
            </w:pPr>
          </w:p>
        </w:tc>
        <w:tc>
          <w:tcPr>
            <w:tcW w:w="0" w:type="auto"/>
            <w:gridSpan w:val="3"/>
            <w:shd w:val="clear" w:color="auto" w:fill="auto"/>
            <w:vAlign w:val="bottom"/>
          </w:tcPr>
          <w:p w14:paraId="74DD9185" w14:textId="77777777" w:rsidR="00584EC1" w:rsidRDefault="00584EC1">
            <w:pPr>
              <w:rPr>
                <w:rFonts w:ascii="宋体"/>
                <w:vanish/>
              </w:rPr>
            </w:pPr>
          </w:p>
        </w:tc>
        <w:tc>
          <w:tcPr>
            <w:tcW w:w="0" w:type="auto"/>
            <w:gridSpan w:val="3"/>
            <w:shd w:val="clear" w:color="auto" w:fill="auto"/>
            <w:vAlign w:val="bottom"/>
          </w:tcPr>
          <w:p w14:paraId="74DD9186" w14:textId="77777777" w:rsidR="00584EC1" w:rsidRDefault="00584EC1">
            <w:pPr>
              <w:rPr>
                <w:rFonts w:ascii="宋体"/>
                <w:vanish/>
              </w:rPr>
            </w:pPr>
          </w:p>
        </w:tc>
        <w:tc>
          <w:tcPr>
            <w:tcW w:w="0" w:type="auto"/>
            <w:gridSpan w:val="3"/>
            <w:shd w:val="clear" w:color="auto" w:fill="auto"/>
            <w:vAlign w:val="bottom"/>
          </w:tcPr>
          <w:p w14:paraId="74DD9187" w14:textId="77777777" w:rsidR="00584EC1" w:rsidRDefault="00584EC1">
            <w:pPr>
              <w:rPr>
                <w:rFonts w:ascii="宋体"/>
                <w:vanish/>
              </w:rPr>
            </w:pPr>
          </w:p>
        </w:tc>
        <w:tc>
          <w:tcPr>
            <w:tcW w:w="0" w:type="auto"/>
            <w:gridSpan w:val="3"/>
            <w:shd w:val="clear" w:color="auto" w:fill="auto"/>
            <w:vAlign w:val="bottom"/>
          </w:tcPr>
          <w:p w14:paraId="74DD9188" w14:textId="77777777" w:rsidR="00584EC1" w:rsidRDefault="00584EC1">
            <w:pPr>
              <w:rPr>
                <w:rFonts w:ascii="宋体"/>
                <w:vanish/>
              </w:rPr>
            </w:pPr>
          </w:p>
        </w:tc>
        <w:tc>
          <w:tcPr>
            <w:tcW w:w="0" w:type="auto"/>
            <w:gridSpan w:val="3"/>
            <w:shd w:val="clear" w:color="auto" w:fill="auto"/>
            <w:vAlign w:val="bottom"/>
          </w:tcPr>
          <w:p w14:paraId="74DD9189" w14:textId="77777777" w:rsidR="00584EC1" w:rsidRDefault="00584EC1">
            <w:pPr>
              <w:rPr>
                <w:rFonts w:ascii="宋体"/>
                <w:vanish/>
              </w:rPr>
            </w:pPr>
          </w:p>
        </w:tc>
      </w:tr>
      <w:tr w:rsidR="00584EC1" w14:paraId="74DD9191" w14:textId="77777777">
        <w:trPr>
          <w:hidden/>
        </w:trPr>
        <w:tc>
          <w:tcPr>
            <w:tcW w:w="0" w:type="auto"/>
            <w:gridSpan w:val="3"/>
            <w:shd w:val="clear" w:color="auto" w:fill="auto"/>
            <w:vAlign w:val="bottom"/>
          </w:tcPr>
          <w:p w14:paraId="74DD918B" w14:textId="77777777" w:rsidR="00584EC1" w:rsidRDefault="00584EC1">
            <w:pPr>
              <w:rPr>
                <w:rFonts w:ascii="宋体"/>
                <w:vanish/>
              </w:rPr>
            </w:pPr>
          </w:p>
        </w:tc>
        <w:tc>
          <w:tcPr>
            <w:tcW w:w="0" w:type="auto"/>
            <w:gridSpan w:val="3"/>
            <w:shd w:val="clear" w:color="auto" w:fill="auto"/>
            <w:vAlign w:val="bottom"/>
          </w:tcPr>
          <w:p w14:paraId="74DD918C" w14:textId="77777777" w:rsidR="00584EC1" w:rsidRDefault="00584EC1">
            <w:pPr>
              <w:rPr>
                <w:rFonts w:ascii="宋体"/>
                <w:vanish/>
              </w:rPr>
            </w:pPr>
          </w:p>
        </w:tc>
        <w:tc>
          <w:tcPr>
            <w:tcW w:w="0" w:type="auto"/>
            <w:gridSpan w:val="3"/>
            <w:shd w:val="clear" w:color="auto" w:fill="auto"/>
            <w:vAlign w:val="bottom"/>
          </w:tcPr>
          <w:p w14:paraId="74DD918D" w14:textId="77777777" w:rsidR="00584EC1" w:rsidRDefault="00584EC1">
            <w:pPr>
              <w:rPr>
                <w:rFonts w:ascii="宋体"/>
                <w:vanish/>
              </w:rPr>
            </w:pPr>
          </w:p>
        </w:tc>
        <w:tc>
          <w:tcPr>
            <w:tcW w:w="0" w:type="auto"/>
            <w:gridSpan w:val="3"/>
            <w:shd w:val="clear" w:color="auto" w:fill="auto"/>
            <w:vAlign w:val="bottom"/>
          </w:tcPr>
          <w:p w14:paraId="74DD918E" w14:textId="77777777" w:rsidR="00584EC1" w:rsidRDefault="00584EC1">
            <w:pPr>
              <w:rPr>
                <w:rFonts w:ascii="宋体"/>
                <w:vanish/>
              </w:rPr>
            </w:pPr>
          </w:p>
        </w:tc>
        <w:tc>
          <w:tcPr>
            <w:tcW w:w="0" w:type="auto"/>
            <w:gridSpan w:val="3"/>
            <w:shd w:val="clear" w:color="auto" w:fill="auto"/>
            <w:vAlign w:val="bottom"/>
          </w:tcPr>
          <w:p w14:paraId="74DD918F" w14:textId="77777777" w:rsidR="00584EC1" w:rsidRDefault="00584EC1">
            <w:pPr>
              <w:rPr>
                <w:rFonts w:ascii="宋体"/>
                <w:vanish/>
              </w:rPr>
            </w:pPr>
          </w:p>
        </w:tc>
        <w:tc>
          <w:tcPr>
            <w:tcW w:w="0" w:type="auto"/>
            <w:gridSpan w:val="3"/>
            <w:shd w:val="clear" w:color="auto" w:fill="auto"/>
            <w:vAlign w:val="bottom"/>
          </w:tcPr>
          <w:p w14:paraId="74DD9190" w14:textId="77777777" w:rsidR="00584EC1" w:rsidRDefault="00584EC1">
            <w:pPr>
              <w:rPr>
                <w:rFonts w:ascii="宋体"/>
                <w:vanish/>
              </w:rPr>
            </w:pPr>
          </w:p>
        </w:tc>
      </w:tr>
      <w:tr w:rsidR="00584EC1" w14:paraId="74DD9198" w14:textId="77777777">
        <w:trPr>
          <w:hidden/>
        </w:trPr>
        <w:tc>
          <w:tcPr>
            <w:tcW w:w="0" w:type="auto"/>
            <w:gridSpan w:val="3"/>
            <w:shd w:val="clear" w:color="auto" w:fill="auto"/>
            <w:vAlign w:val="bottom"/>
          </w:tcPr>
          <w:p w14:paraId="74DD9192" w14:textId="77777777" w:rsidR="00584EC1" w:rsidRDefault="00584EC1">
            <w:pPr>
              <w:rPr>
                <w:rFonts w:ascii="宋体"/>
                <w:vanish/>
              </w:rPr>
            </w:pPr>
          </w:p>
        </w:tc>
        <w:tc>
          <w:tcPr>
            <w:tcW w:w="0" w:type="auto"/>
            <w:gridSpan w:val="3"/>
            <w:shd w:val="clear" w:color="auto" w:fill="auto"/>
            <w:vAlign w:val="bottom"/>
          </w:tcPr>
          <w:p w14:paraId="74DD9193" w14:textId="77777777" w:rsidR="00584EC1" w:rsidRDefault="00584EC1">
            <w:pPr>
              <w:rPr>
                <w:rFonts w:ascii="宋体"/>
                <w:vanish/>
              </w:rPr>
            </w:pPr>
          </w:p>
        </w:tc>
        <w:tc>
          <w:tcPr>
            <w:tcW w:w="0" w:type="auto"/>
            <w:gridSpan w:val="3"/>
            <w:shd w:val="clear" w:color="auto" w:fill="auto"/>
            <w:vAlign w:val="bottom"/>
          </w:tcPr>
          <w:p w14:paraId="74DD9194" w14:textId="77777777" w:rsidR="00584EC1" w:rsidRDefault="00584EC1">
            <w:pPr>
              <w:rPr>
                <w:rFonts w:ascii="宋体"/>
                <w:vanish/>
              </w:rPr>
            </w:pPr>
          </w:p>
        </w:tc>
        <w:tc>
          <w:tcPr>
            <w:tcW w:w="0" w:type="auto"/>
            <w:gridSpan w:val="3"/>
            <w:shd w:val="clear" w:color="auto" w:fill="auto"/>
            <w:vAlign w:val="bottom"/>
          </w:tcPr>
          <w:p w14:paraId="74DD9195" w14:textId="77777777" w:rsidR="00584EC1" w:rsidRDefault="00584EC1">
            <w:pPr>
              <w:rPr>
                <w:rFonts w:ascii="宋体"/>
                <w:vanish/>
              </w:rPr>
            </w:pPr>
          </w:p>
        </w:tc>
        <w:tc>
          <w:tcPr>
            <w:tcW w:w="0" w:type="auto"/>
            <w:gridSpan w:val="3"/>
            <w:shd w:val="clear" w:color="auto" w:fill="auto"/>
            <w:vAlign w:val="bottom"/>
          </w:tcPr>
          <w:p w14:paraId="74DD9196" w14:textId="77777777" w:rsidR="00584EC1" w:rsidRDefault="00584EC1">
            <w:pPr>
              <w:rPr>
                <w:rFonts w:ascii="宋体"/>
                <w:vanish/>
              </w:rPr>
            </w:pPr>
          </w:p>
        </w:tc>
        <w:tc>
          <w:tcPr>
            <w:tcW w:w="0" w:type="auto"/>
            <w:gridSpan w:val="3"/>
            <w:shd w:val="clear" w:color="auto" w:fill="auto"/>
            <w:vAlign w:val="bottom"/>
          </w:tcPr>
          <w:p w14:paraId="74DD9197" w14:textId="77777777" w:rsidR="00584EC1" w:rsidRDefault="00584EC1">
            <w:pPr>
              <w:rPr>
                <w:rFonts w:ascii="宋体"/>
                <w:vanish/>
              </w:rPr>
            </w:pPr>
          </w:p>
        </w:tc>
      </w:tr>
      <w:tr w:rsidR="00584EC1" w14:paraId="74DD919F" w14:textId="77777777">
        <w:trPr>
          <w:hidden/>
        </w:trPr>
        <w:tc>
          <w:tcPr>
            <w:tcW w:w="0" w:type="auto"/>
            <w:gridSpan w:val="3"/>
            <w:shd w:val="clear" w:color="auto" w:fill="auto"/>
            <w:vAlign w:val="bottom"/>
          </w:tcPr>
          <w:p w14:paraId="74DD9199" w14:textId="77777777" w:rsidR="00584EC1" w:rsidRDefault="00584EC1">
            <w:pPr>
              <w:rPr>
                <w:rFonts w:ascii="宋体"/>
                <w:vanish/>
              </w:rPr>
            </w:pPr>
          </w:p>
        </w:tc>
        <w:tc>
          <w:tcPr>
            <w:tcW w:w="0" w:type="auto"/>
            <w:gridSpan w:val="3"/>
            <w:shd w:val="clear" w:color="auto" w:fill="auto"/>
            <w:vAlign w:val="bottom"/>
          </w:tcPr>
          <w:p w14:paraId="74DD919A" w14:textId="77777777" w:rsidR="00584EC1" w:rsidRDefault="00584EC1">
            <w:pPr>
              <w:rPr>
                <w:rFonts w:ascii="宋体"/>
                <w:vanish/>
              </w:rPr>
            </w:pPr>
          </w:p>
        </w:tc>
        <w:tc>
          <w:tcPr>
            <w:tcW w:w="0" w:type="auto"/>
            <w:gridSpan w:val="3"/>
            <w:shd w:val="clear" w:color="auto" w:fill="auto"/>
            <w:vAlign w:val="bottom"/>
          </w:tcPr>
          <w:p w14:paraId="74DD919B" w14:textId="77777777" w:rsidR="00584EC1" w:rsidRDefault="00584EC1">
            <w:pPr>
              <w:rPr>
                <w:rFonts w:ascii="宋体"/>
                <w:vanish/>
              </w:rPr>
            </w:pPr>
          </w:p>
        </w:tc>
        <w:tc>
          <w:tcPr>
            <w:tcW w:w="0" w:type="auto"/>
            <w:gridSpan w:val="3"/>
            <w:shd w:val="clear" w:color="auto" w:fill="auto"/>
            <w:vAlign w:val="bottom"/>
          </w:tcPr>
          <w:p w14:paraId="74DD919C" w14:textId="77777777" w:rsidR="00584EC1" w:rsidRDefault="00584EC1">
            <w:pPr>
              <w:rPr>
                <w:rFonts w:ascii="宋体"/>
                <w:vanish/>
              </w:rPr>
            </w:pPr>
          </w:p>
        </w:tc>
        <w:tc>
          <w:tcPr>
            <w:tcW w:w="0" w:type="auto"/>
            <w:gridSpan w:val="3"/>
            <w:shd w:val="clear" w:color="auto" w:fill="auto"/>
            <w:vAlign w:val="bottom"/>
          </w:tcPr>
          <w:p w14:paraId="74DD919D" w14:textId="77777777" w:rsidR="00584EC1" w:rsidRDefault="00584EC1">
            <w:pPr>
              <w:rPr>
                <w:rFonts w:ascii="宋体"/>
                <w:vanish/>
              </w:rPr>
            </w:pPr>
          </w:p>
        </w:tc>
        <w:tc>
          <w:tcPr>
            <w:tcW w:w="0" w:type="auto"/>
            <w:gridSpan w:val="3"/>
            <w:shd w:val="clear" w:color="auto" w:fill="auto"/>
            <w:vAlign w:val="bottom"/>
          </w:tcPr>
          <w:p w14:paraId="74DD919E" w14:textId="77777777" w:rsidR="00584EC1" w:rsidRDefault="00584EC1">
            <w:pPr>
              <w:rPr>
                <w:rFonts w:ascii="宋体"/>
                <w:vanish/>
              </w:rPr>
            </w:pPr>
          </w:p>
        </w:tc>
      </w:tr>
      <w:tr w:rsidR="00584EC1" w14:paraId="74DD91A6" w14:textId="77777777">
        <w:trPr>
          <w:hidden/>
        </w:trPr>
        <w:tc>
          <w:tcPr>
            <w:tcW w:w="0" w:type="auto"/>
            <w:gridSpan w:val="3"/>
            <w:shd w:val="clear" w:color="auto" w:fill="auto"/>
            <w:vAlign w:val="bottom"/>
          </w:tcPr>
          <w:p w14:paraId="74DD91A0" w14:textId="77777777" w:rsidR="00584EC1" w:rsidRDefault="00584EC1">
            <w:pPr>
              <w:rPr>
                <w:rFonts w:ascii="宋体"/>
                <w:vanish/>
              </w:rPr>
            </w:pPr>
          </w:p>
        </w:tc>
        <w:tc>
          <w:tcPr>
            <w:tcW w:w="0" w:type="auto"/>
            <w:gridSpan w:val="3"/>
            <w:shd w:val="clear" w:color="auto" w:fill="auto"/>
            <w:vAlign w:val="bottom"/>
          </w:tcPr>
          <w:p w14:paraId="74DD91A1" w14:textId="77777777" w:rsidR="00584EC1" w:rsidRDefault="00584EC1">
            <w:pPr>
              <w:rPr>
                <w:rFonts w:ascii="宋体"/>
                <w:vanish/>
              </w:rPr>
            </w:pPr>
          </w:p>
        </w:tc>
        <w:tc>
          <w:tcPr>
            <w:tcW w:w="0" w:type="auto"/>
            <w:gridSpan w:val="3"/>
            <w:shd w:val="clear" w:color="auto" w:fill="auto"/>
            <w:vAlign w:val="bottom"/>
          </w:tcPr>
          <w:p w14:paraId="74DD91A2" w14:textId="77777777" w:rsidR="00584EC1" w:rsidRDefault="00584EC1">
            <w:pPr>
              <w:rPr>
                <w:rFonts w:ascii="宋体"/>
                <w:vanish/>
              </w:rPr>
            </w:pPr>
          </w:p>
        </w:tc>
        <w:tc>
          <w:tcPr>
            <w:tcW w:w="0" w:type="auto"/>
            <w:gridSpan w:val="3"/>
            <w:shd w:val="clear" w:color="auto" w:fill="auto"/>
            <w:vAlign w:val="bottom"/>
          </w:tcPr>
          <w:p w14:paraId="74DD91A3" w14:textId="77777777" w:rsidR="00584EC1" w:rsidRDefault="00584EC1">
            <w:pPr>
              <w:rPr>
                <w:rFonts w:ascii="宋体"/>
                <w:vanish/>
              </w:rPr>
            </w:pPr>
          </w:p>
        </w:tc>
        <w:tc>
          <w:tcPr>
            <w:tcW w:w="0" w:type="auto"/>
            <w:gridSpan w:val="3"/>
            <w:shd w:val="clear" w:color="auto" w:fill="auto"/>
            <w:vAlign w:val="bottom"/>
          </w:tcPr>
          <w:p w14:paraId="74DD91A4" w14:textId="77777777" w:rsidR="00584EC1" w:rsidRDefault="00584EC1">
            <w:pPr>
              <w:rPr>
                <w:rFonts w:ascii="宋体"/>
                <w:vanish/>
              </w:rPr>
            </w:pPr>
          </w:p>
        </w:tc>
        <w:tc>
          <w:tcPr>
            <w:tcW w:w="0" w:type="auto"/>
            <w:gridSpan w:val="3"/>
            <w:shd w:val="clear" w:color="auto" w:fill="auto"/>
            <w:vAlign w:val="bottom"/>
          </w:tcPr>
          <w:p w14:paraId="74DD91A5" w14:textId="77777777" w:rsidR="00584EC1" w:rsidRDefault="00584EC1">
            <w:pPr>
              <w:rPr>
                <w:rFonts w:ascii="宋体"/>
                <w:vanish/>
              </w:rPr>
            </w:pPr>
          </w:p>
        </w:tc>
      </w:tr>
      <w:tr w:rsidR="00584EC1" w14:paraId="74DD91AD" w14:textId="77777777">
        <w:trPr>
          <w:hidden/>
        </w:trPr>
        <w:tc>
          <w:tcPr>
            <w:tcW w:w="0" w:type="auto"/>
            <w:gridSpan w:val="3"/>
            <w:shd w:val="clear" w:color="auto" w:fill="auto"/>
            <w:vAlign w:val="bottom"/>
          </w:tcPr>
          <w:p w14:paraId="74DD91A7" w14:textId="77777777" w:rsidR="00584EC1" w:rsidRDefault="00584EC1">
            <w:pPr>
              <w:rPr>
                <w:rFonts w:ascii="宋体"/>
                <w:vanish/>
              </w:rPr>
            </w:pPr>
          </w:p>
        </w:tc>
        <w:tc>
          <w:tcPr>
            <w:tcW w:w="0" w:type="auto"/>
            <w:gridSpan w:val="3"/>
            <w:shd w:val="clear" w:color="auto" w:fill="auto"/>
            <w:vAlign w:val="bottom"/>
          </w:tcPr>
          <w:p w14:paraId="74DD91A8" w14:textId="77777777" w:rsidR="00584EC1" w:rsidRDefault="00584EC1">
            <w:pPr>
              <w:rPr>
                <w:rFonts w:ascii="宋体"/>
                <w:vanish/>
              </w:rPr>
            </w:pPr>
          </w:p>
        </w:tc>
        <w:tc>
          <w:tcPr>
            <w:tcW w:w="0" w:type="auto"/>
            <w:gridSpan w:val="3"/>
            <w:shd w:val="clear" w:color="auto" w:fill="auto"/>
            <w:vAlign w:val="bottom"/>
          </w:tcPr>
          <w:p w14:paraId="74DD91A9" w14:textId="77777777" w:rsidR="00584EC1" w:rsidRDefault="00584EC1">
            <w:pPr>
              <w:rPr>
                <w:rFonts w:ascii="宋体"/>
                <w:vanish/>
              </w:rPr>
            </w:pPr>
          </w:p>
        </w:tc>
        <w:tc>
          <w:tcPr>
            <w:tcW w:w="0" w:type="auto"/>
            <w:gridSpan w:val="3"/>
            <w:shd w:val="clear" w:color="auto" w:fill="auto"/>
            <w:vAlign w:val="bottom"/>
          </w:tcPr>
          <w:p w14:paraId="74DD91AA" w14:textId="77777777" w:rsidR="00584EC1" w:rsidRDefault="00584EC1">
            <w:pPr>
              <w:rPr>
                <w:rFonts w:ascii="宋体"/>
                <w:vanish/>
              </w:rPr>
            </w:pPr>
          </w:p>
        </w:tc>
        <w:tc>
          <w:tcPr>
            <w:tcW w:w="0" w:type="auto"/>
            <w:gridSpan w:val="3"/>
            <w:shd w:val="clear" w:color="auto" w:fill="auto"/>
            <w:vAlign w:val="bottom"/>
          </w:tcPr>
          <w:p w14:paraId="74DD91AB" w14:textId="77777777" w:rsidR="00584EC1" w:rsidRDefault="00584EC1">
            <w:pPr>
              <w:rPr>
                <w:rFonts w:ascii="宋体"/>
                <w:vanish/>
              </w:rPr>
            </w:pPr>
          </w:p>
        </w:tc>
        <w:tc>
          <w:tcPr>
            <w:tcW w:w="0" w:type="auto"/>
            <w:gridSpan w:val="3"/>
            <w:shd w:val="clear" w:color="auto" w:fill="auto"/>
            <w:vAlign w:val="bottom"/>
          </w:tcPr>
          <w:p w14:paraId="74DD91AC" w14:textId="77777777" w:rsidR="00584EC1" w:rsidRDefault="00584EC1">
            <w:pPr>
              <w:rPr>
                <w:rFonts w:ascii="宋体"/>
                <w:vanish/>
              </w:rPr>
            </w:pPr>
          </w:p>
        </w:tc>
      </w:tr>
    </w:tbl>
    <w:p w14:paraId="74DD91AE" w14:textId="77777777" w:rsidR="00584EC1" w:rsidRDefault="00584E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8"/>
        <w:gridCol w:w="3911"/>
        <w:gridCol w:w="36"/>
        <w:gridCol w:w="69"/>
        <w:gridCol w:w="1657"/>
        <w:gridCol w:w="36"/>
        <w:gridCol w:w="69"/>
        <w:gridCol w:w="2382"/>
        <w:gridCol w:w="36"/>
        <w:gridCol w:w="36"/>
        <w:gridCol w:w="36"/>
      </w:tblGrid>
      <w:tr w:rsidR="00584EC1" w14:paraId="74DD91BA" w14:textId="77777777">
        <w:tc>
          <w:tcPr>
            <w:tcW w:w="50" w:type="pct"/>
            <w:shd w:val="clear" w:color="auto" w:fill="auto"/>
            <w:vAlign w:val="bottom"/>
          </w:tcPr>
          <w:p w14:paraId="74DD91AF" w14:textId="77777777" w:rsidR="00584EC1" w:rsidRDefault="00584EC1">
            <w:pPr>
              <w:rPr>
                <w:rFonts w:ascii="宋体"/>
              </w:rPr>
            </w:pPr>
          </w:p>
        </w:tc>
        <w:tc>
          <w:tcPr>
            <w:tcW w:w="2374" w:type="pct"/>
            <w:shd w:val="clear" w:color="auto" w:fill="auto"/>
            <w:vAlign w:val="bottom"/>
          </w:tcPr>
          <w:p w14:paraId="74DD91B0" w14:textId="77777777" w:rsidR="00584EC1" w:rsidRDefault="00584EC1">
            <w:pPr>
              <w:rPr>
                <w:rFonts w:ascii="宋体"/>
              </w:rPr>
            </w:pPr>
          </w:p>
        </w:tc>
        <w:tc>
          <w:tcPr>
            <w:tcW w:w="5" w:type="pct"/>
            <w:shd w:val="clear" w:color="auto" w:fill="auto"/>
            <w:vAlign w:val="bottom"/>
          </w:tcPr>
          <w:p w14:paraId="74DD91B1" w14:textId="77777777" w:rsidR="00584EC1" w:rsidRDefault="00584EC1">
            <w:pPr>
              <w:rPr>
                <w:rFonts w:ascii="宋体"/>
              </w:rPr>
            </w:pPr>
          </w:p>
        </w:tc>
        <w:tc>
          <w:tcPr>
            <w:tcW w:w="50" w:type="pct"/>
            <w:shd w:val="clear" w:color="auto" w:fill="auto"/>
            <w:vAlign w:val="bottom"/>
          </w:tcPr>
          <w:p w14:paraId="74DD91B2" w14:textId="77777777" w:rsidR="00584EC1" w:rsidRDefault="00584EC1">
            <w:pPr>
              <w:rPr>
                <w:rFonts w:ascii="宋体"/>
              </w:rPr>
            </w:pPr>
          </w:p>
        </w:tc>
        <w:tc>
          <w:tcPr>
            <w:tcW w:w="1010" w:type="pct"/>
            <w:shd w:val="clear" w:color="auto" w:fill="auto"/>
            <w:vAlign w:val="bottom"/>
          </w:tcPr>
          <w:p w14:paraId="74DD91B3" w14:textId="77777777" w:rsidR="00584EC1" w:rsidRDefault="00584EC1">
            <w:pPr>
              <w:rPr>
                <w:rFonts w:ascii="宋体"/>
              </w:rPr>
            </w:pPr>
          </w:p>
        </w:tc>
        <w:tc>
          <w:tcPr>
            <w:tcW w:w="5" w:type="pct"/>
            <w:shd w:val="clear" w:color="auto" w:fill="auto"/>
            <w:vAlign w:val="bottom"/>
          </w:tcPr>
          <w:p w14:paraId="74DD91B4" w14:textId="77777777" w:rsidR="00584EC1" w:rsidRDefault="00584EC1">
            <w:pPr>
              <w:rPr>
                <w:rFonts w:ascii="宋体"/>
              </w:rPr>
            </w:pPr>
          </w:p>
        </w:tc>
        <w:tc>
          <w:tcPr>
            <w:tcW w:w="50" w:type="pct"/>
            <w:shd w:val="clear" w:color="auto" w:fill="auto"/>
            <w:vAlign w:val="bottom"/>
          </w:tcPr>
          <w:p w14:paraId="74DD91B5" w14:textId="77777777" w:rsidR="00584EC1" w:rsidRDefault="00584EC1">
            <w:pPr>
              <w:rPr>
                <w:rFonts w:ascii="宋体"/>
              </w:rPr>
            </w:pPr>
          </w:p>
        </w:tc>
        <w:tc>
          <w:tcPr>
            <w:tcW w:w="1449" w:type="pct"/>
            <w:shd w:val="clear" w:color="auto" w:fill="auto"/>
            <w:vAlign w:val="bottom"/>
          </w:tcPr>
          <w:p w14:paraId="74DD91B6" w14:textId="77777777" w:rsidR="00584EC1" w:rsidRDefault="00584EC1">
            <w:pPr>
              <w:rPr>
                <w:rFonts w:ascii="宋体"/>
              </w:rPr>
            </w:pPr>
          </w:p>
        </w:tc>
        <w:tc>
          <w:tcPr>
            <w:tcW w:w="5" w:type="pct"/>
            <w:shd w:val="clear" w:color="auto" w:fill="auto"/>
            <w:vAlign w:val="bottom"/>
          </w:tcPr>
          <w:p w14:paraId="74DD91B7" w14:textId="77777777" w:rsidR="00584EC1" w:rsidRDefault="00584EC1">
            <w:pPr>
              <w:rPr>
                <w:rFonts w:ascii="宋体"/>
              </w:rPr>
            </w:pPr>
          </w:p>
        </w:tc>
        <w:tc>
          <w:tcPr>
            <w:tcW w:w="0" w:type="auto"/>
            <w:shd w:val="clear" w:color="auto" w:fill="auto"/>
            <w:vAlign w:val="bottom"/>
          </w:tcPr>
          <w:p w14:paraId="74DD91B8" w14:textId="77777777" w:rsidR="00584EC1" w:rsidRDefault="00584EC1">
            <w:pPr>
              <w:rPr>
                <w:rFonts w:ascii="宋体"/>
                <w:vanish/>
              </w:rPr>
            </w:pPr>
          </w:p>
        </w:tc>
        <w:tc>
          <w:tcPr>
            <w:tcW w:w="0" w:type="auto"/>
            <w:shd w:val="clear" w:color="auto" w:fill="auto"/>
            <w:vAlign w:val="bottom"/>
          </w:tcPr>
          <w:p w14:paraId="74DD91B9" w14:textId="77777777" w:rsidR="00584EC1" w:rsidRDefault="00584EC1">
            <w:pPr>
              <w:rPr>
                <w:rFonts w:ascii="宋体"/>
                <w:vanish/>
              </w:rPr>
            </w:pPr>
          </w:p>
        </w:tc>
      </w:tr>
      <w:tr w:rsidR="00584EC1" w14:paraId="74DD91C0"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4DD91BB"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91BC"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91BD" w14:textId="77777777" w:rsidR="00584EC1" w:rsidRDefault="00584EC1">
            <w:pPr>
              <w:rPr>
                <w:rFonts w:ascii="宋体"/>
              </w:rPr>
            </w:pPr>
          </w:p>
        </w:tc>
        <w:tc>
          <w:tcPr>
            <w:tcW w:w="0" w:type="auto"/>
            <w:shd w:val="clear" w:color="auto" w:fill="auto"/>
            <w:vAlign w:val="bottom"/>
          </w:tcPr>
          <w:p w14:paraId="74DD91BE" w14:textId="77777777" w:rsidR="00584EC1" w:rsidRDefault="00584EC1">
            <w:pPr>
              <w:rPr>
                <w:rFonts w:ascii="宋体"/>
                <w:vanish/>
              </w:rPr>
            </w:pPr>
          </w:p>
        </w:tc>
        <w:tc>
          <w:tcPr>
            <w:tcW w:w="0" w:type="auto"/>
            <w:shd w:val="clear" w:color="auto" w:fill="auto"/>
            <w:vAlign w:val="bottom"/>
          </w:tcPr>
          <w:p w14:paraId="74DD91BF" w14:textId="77777777" w:rsidR="00584EC1" w:rsidRDefault="00584EC1">
            <w:pPr>
              <w:rPr>
                <w:rFonts w:ascii="宋体"/>
                <w:vanish/>
              </w:rPr>
            </w:pPr>
          </w:p>
        </w:tc>
      </w:tr>
    </w:tbl>
    <w:p w14:paraId="74DD91C1" w14:textId="77777777" w:rsidR="00584EC1" w:rsidRDefault="00871F8D">
      <w:pPr>
        <w:jc w:val="both"/>
        <w:textAlignment w:val="top"/>
      </w:pPr>
      <w:r>
        <w:rPr>
          <w:rFonts w:ascii="Arial" w:eastAsia="宋体" w:hAnsi="Arial" w:cs="Arial"/>
          <w:color w:val="000000"/>
          <w:sz w:val="8"/>
          <w:szCs w:val="8"/>
        </w:rPr>
        <w:t xml:space="preserve">(1) </w:t>
      </w:r>
      <w:r>
        <w:rPr>
          <w:rFonts w:ascii="Arial" w:eastAsia="宋体" w:hAnsi="Arial" w:cs="Arial"/>
          <w:color w:val="000000"/>
          <w:sz w:val="13"/>
          <w:szCs w:val="13"/>
        </w:rPr>
        <w:t>Cross-border outstandings included countries in which we do business, and which amounted to at least 1% of our consolidated total assets as of the dates indicated.</w:t>
      </w:r>
    </w:p>
    <w:p w14:paraId="74DD91C2" w14:textId="77777777" w:rsidR="00584EC1" w:rsidRDefault="00871F8D">
      <w:pPr>
        <w:spacing w:before="60"/>
        <w:ind w:firstLine="450"/>
        <w:jc w:val="both"/>
        <w:textAlignment w:val="top"/>
      </w:pPr>
      <w:r>
        <w:rPr>
          <w:rFonts w:ascii="Arial" w:eastAsia="宋体" w:hAnsi="Arial" w:cs="Arial"/>
          <w:color w:val="000000"/>
          <w:sz w:val="20"/>
          <w:szCs w:val="20"/>
        </w:rPr>
        <w:t xml:space="preserve">As of </w:t>
      </w:r>
      <w:r>
        <w:rPr>
          <w:rFonts w:ascii="Arial" w:eastAsia="宋体" w:hAnsi="Arial" w:cs="Arial"/>
          <w:color w:val="000000"/>
          <w:sz w:val="20"/>
          <w:szCs w:val="20"/>
        </w:rPr>
        <w:t>September 30, 2021, aggregate cross-border outstandings in France amounted to between 0.75% and 1% of our consolidated assets, at approximately $2.73 billion. As of December 31, 2020, aggregate cross-border outstandings in each of Switzerland and Ireland a</w:t>
      </w:r>
      <w:r>
        <w:rPr>
          <w:rFonts w:ascii="Arial" w:eastAsia="宋体" w:hAnsi="Arial" w:cs="Arial"/>
          <w:color w:val="000000"/>
          <w:sz w:val="20"/>
          <w:szCs w:val="20"/>
        </w:rPr>
        <w:t>mounted to between 0.75% and 1% of our consolidated assets, at approximately $3.13 billion and $2.93 billion, respectively.</w:t>
      </w:r>
    </w:p>
    <w:p w14:paraId="74DD91C3" w14:textId="77777777" w:rsidR="00584EC1" w:rsidRDefault="00871F8D">
      <w:pPr>
        <w:spacing w:before="90"/>
        <w:textAlignment w:val="top"/>
      </w:pPr>
      <w:r>
        <w:rPr>
          <w:rFonts w:ascii="Arial" w:eastAsia="宋体" w:hAnsi="Arial" w:cs="Arial"/>
          <w:b/>
          <w:bCs/>
          <w:color w:val="000000"/>
          <w:sz w:val="20"/>
          <w:szCs w:val="20"/>
        </w:rPr>
        <w:t>Risk Management</w:t>
      </w:r>
    </w:p>
    <w:p w14:paraId="74DD91C4" w14:textId="77777777" w:rsidR="00584EC1" w:rsidRDefault="00871F8D">
      <w:pPr>
        <w:spacing w:before="60"/>
        <w:ind w:firstLine="450"/>
        <w:jc w:val="both"/>
        <w:textAlignment w:val="top"/>
      </w:pPr>
      <w:r>
        <w:rPr>
          <w:rFonts w:ascii="Arial" w:eastAsia="宋体" w:hAnsi="Arial" w:cs="Arial"/>
          <w:color w:val="000000"/>
          <w:sz w:val="20"/>
          <w:szCs w:val="20"/>
        </w:rPr>
        <w:t>In the normal course of our global business activities, we are exposed to a variety of risks, some inherent in the f</w:t>
      </w:r>
      <w:r>
        <w:rPr>
          <w:rFonts w:ascii="Arial" w:eastAsia="宋体" w:hAnsi="Arial" w:cs="Arial"/>
          <w:color w:val="000000"/>
          <w:sz w:val="20"/>
          <w:szCs w:val="20"/>
        </w:rPr>
        <w:t>inancial services industry, others more specific to our business activities. Our risk management framework focuses on material risks, which include the following:</w:t>
      </w:r>
    </w:p>
    <w:p w14:paraId="74DD91C5" w14:textId="77777777" w:rsidR="00584EC1" w:rsidRDefault="00871F8D">
      <w:pPr>
        <w:spacing w:before="60"/>
        <w:ind w:hanging="360"/>
        <w:jc w:val="both"/>
        <w:textAlignment w:val="top"/>
      </w:pPr>
      <w:r>
        <w:rPr>
          <w:rFonts w:ascii="Arial" w:eastAsia="宋体" w:hAnsi="Arial" w:cs="Arial"/>
          <w:color w:val="000000"/>
          <w:sz w:val="20"/>
          <w:szCs w:val="20"/>
        </w:rPr>
        <w:t>•credit and counterparty risk;</w:t>
      </w:r>
    </w:p>
    <w:p w14:paraId="74DD91C6" w14:textId="77777777" w:rsidR="00584EC1" w:rsidRDefault="00871F8D">
      <w:pPr>
        <w:spacing w:before="60"/>
        <w:ind w:hanging="360"/>
        <w:jc w:val="both"/>
        <w:textAlignment w:val="top"/>
      </w:pPr>
      <w:r>
        <w:rPr>
          <w:rFonts w:ascii="Arial" w:eastAsia="宋体" w:hAnsi="Arial" w:cs="Arial"/>
          <w:color w:val="000000"/>
          <w:sz w:val="20"/>
          <w:szCs w:val="20"/>
        </w:rPr>
        <w:t xml:space="preserve">•liquidity risk, funding and management; </w:t>
      </w:r>
    </w:p>
    <w:p w14:paraId="74DD91C7" w14:textId="77777777" w:rsidR="00584EC1" w:rsidRDefault="00871F8D">
      <w:pPr>
        <w:spacing w:before="60"/>
        <w:ind w:hanging="360"/>
        <w:jc w:val="both"/>
        <w:textAlignment w:val="top"/>
      </w:pPr>
      <w:r>
        <w:rPr>
          <w:rFonts w:ascii="Arial" w:eastAsia="宋体" w:hAnsi="Arial" w:cs="Arial"/>
          <w:color w:val="000000"/>
          <w:sz w:val="20"/>
          <w:szCs w:val="20"/>
        </w:rPr>
        <w:t>•operational risk;</w:t>
      </w:r>
    </w:p>
    <w:p w14:paraId="74DD91C8" w14:textId="77777777" w:rsidR="00584EC1" w:rsidRDefault="00871F8D">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information technology risk;</w:t>
      </w:r>
    </w:p>
    <w:p w14:paraId="74DD91C9" w14:textId="77777777" w:rsidR="00584EC1" w:rsidRDefault="00871F8D">
      <w:pPr>
        <w:spacing w:before="60"/>
        <w:ind w:hanging="360"/>
        <w:jc w:val="both"/>
        <w:textAlignment w:val="top"/>
      </w:pPr>
      <w:r>
        <w:rPr>
          <w:rFonts w:ascii="Arial" w:eastAsia="宋体" w:hAnsi="Arial" w:cs="Arial"/>
          <w:color w:val="000000"/>
          <w:sz w:val="20"/>
          <w:szCs w:val="20"/>
        </w:rPr>
        <w:t>•market risk associated with our trading activities;</w:t>
      </w:r>
    </w:p>
    <w:p w14:paraId="74DD91CA" w14:textId="77777777" w:rsidR="00584EC1" w:rsidRDefault="00871F8D">
      <w:pPr>
        <w:spacing w:before="60"/>
        <w:ind w:hanging="360"/>
        <w:jc w:val="both"/>
        <w:textAlignment w:val="top"/>
      </w:pPr>
      <w:r>
        <w:rPr>
          <w:rFonts w:ascii="Arial" w:eastAsia="宋体" w:hAnsi="Arial" w:cs="Arial"/>
          <w:color w:val="000000"/>
          <w:sz w:val="20"/>
          <w:szCs w:val="20"/>
        </w:rPr>
        <w:t>•market risk associated with our non-trading activities, which we refer to as asset-and-</w:t>
      </w:r>
    </w:p>
    <w:p w14:paraId="74DD91CB" w14:textId="77777777" w:rsidR="00584EC1" w:rsidRDefault="00871F8D">
      <w:pPr>
        <w:ind w:firstLine="450"/>
        <w:jc w:val="right"/>
      </w:pPr>
      <w:r>
        <w:rPr>
          <w:rFonts w:ascii="Arial" w:eastAsia="宋体" w:hAnsi="Arial" w:cs="Arial"/>
          <w:color w:val="000000"/>
          <w:sz w:val="18"/>
          <w:szCs w:val="18"/>
        </w:rPr>
        <w:t>State Street Corporation | 31</w:t>
      </w:r>
    </w:p>
    <w:p w14:paraId="74DD91CC" w14:textId="77777777" w:rsidR="00584EC1" w:rsidRDefault="00584EC1">
      <w:pPr>
        <w:ind w:firstLine="450"/>
        <w:jc w:val="center"/>
      </w:pPr>
    </w:p>
    <w:p w14:paraId="74DD91CD" w14:textId="77777777" w:rsidR="00584EC1" w:rsidRDefault="00871F8D">
      <w:r>
        <w:pict w14:anchorId="74DE2A0D">
          <v:rect id="_x0000_i1055" style="width:415.3pt;height:1.5pt" o:hralign="center" o:hrstd="t" o:hr="t" fillcolor="#a0a0a0" stroked="f"/>
        </w:pict>
      </w:r>
    </w:p>
    <w:p w14:paraId="74DD91CE" w14:textId="77777777" w:rsidR="00584EC1" w:rsidRDefault="00871F8D">
      <w:pPr>
        <w:ind w:firstLine="450"/>
        <w:jc w:val="center"/>
      </w:pPr>
      <w:r>
        <w:rPr>
          <w:rFonts w:ascii="Arial" w:eastAsia="宋体" w:hAnsi="Arial" w:cs="Arial"/>
          <w:b/>
          <w:bCs/>
          <w:color w:val="000000"/>
          <w:sz w:val="20"/>
          <w:szCs w:val="20"/>
        </w:rPr>
        <w:t xml:space="preserve">MANAGEMENT’S DISCUSSION AND ANALYSIS OF </w:t>
      </w:r>
      <w:r>
        <w:rPr>
          <w:rFonts w:ascii="Arial" w:eastAsia="宋体" w:hAnsi="Arial" w:cs="Arial"/>
          <w:b/>
          <w:bCs/>
          <w:color w:val="000000"/>
          <w:sz w:val="20"/>
          <w:szCs w:val="20"/>
        </w:rPr>
        <w:t>FINANCIAL CONDITION</w:t>
      </w:r>
    </w:p>
    <w:p w14:paraId="74DD91CF" w14:textId="77777777" w:rsidR="00584EC1" w:rsidRDefault="00871F8D">
      <w:pPr>
        <w:ind w:firstLine="450"/>
        <w:jc w:val="center"/>
      </w:pPr>
      <w:r>
        <w:rPr>
          <w:rFonts w:ascii="Arial" w:eastAsia="宋体" w:hAnsi="Arial" w:cs="Arial"/>
          <w:b/>
          <w:bCs/>
          <w:color w:val="000000"/>
          <w:sz w:val="20"/>
          <w:szCs w:val="20"/>
        </w:rPr>
        <w:t>AND RESULTS OF OPERATIONS</w:t>
      </w:r>
    </w:p>
    <w:p w14:paraId="74DD91D0" w14:textId="77777777" w:rsidR="00584EC1" w:rsidRDefault="00871F8D">
      <w:pPr>
        <w:spacing w:before="60"/>
        <w:jc w:val="both"/>
        <w:textAlignment w:val="top"/>
      </w:pPr>
      <w:r>
        <w:rPr>
          <w:rFonts w:ascii="Arial" w:eastAsia="宋体" w:hAnsi="Arial" w:cs="Arial"/>
          <w:color w:val="000000"/>
          <w:sz w:val="20"/>
          <w:szCs w:val="20"/>
        </w:rPr>
        <w:t xml:space="preserve">liability management, and which consists primarily of interest rate risk; </w:t>
      </w:r>
    </w:p>
    <w:p w14:paraId="74DD91D1" w14:textId="77777777" w:rsidR="00584EC1" w:rsidRDefault="00871F8D">
      <w:pPr>
        <w:spacing w:before="60"/>
        <w:ind w:hanging="360"/>
        <w:jc w:val="both"/>
        <w:textAlignment w:val="top"/>
      </w:pPr>
      <w:r>
        <w:rPr>
          <w:rFonts w:ascii="Arial" w:eastAsia="宋体" w:hAnsi="Arial" w:cs="Arial"/>
          <w:color w:val="000000"/>
          <w:sz w:val="20"/>
          <w:szCs w:val="20"/>
        </w:rPr>
        <w:t xml:space="preserve">•model risk; </w:t>
      </w:r>
    </w:p>
    <w:p w14:paraId="74DD91D2" w14:textId="77777777" w:rsidR="00584EC1" w:rsidRDefault="00871F8D">
      <w:pPr>
        <w:spacing w:before="60"/>
        <w:ind w:hanging="360"/>
        <w:jc w:val="both"/>
        <w:textAlignment w:val="top"/>
      </w:pPr>
      <w:r>
        <w:rPr>
          <w:rFonts w:ascii="Arial" w:eastAsia="宋体" w:hAnsi="Arial" w:cs="Arial"/>
          <w:color w:val="000000"/>
          <w:sz w:val="20"/>
          <w:szCs w:val="20"/>
        </w:rPr>
        <w:t>•strategic risk; and</w:t>
      </w:r>
    </w:p>
    <w:p w14:paraId="74DD91D3" w14:textId="77777777" w:rsidR="00584EC1" w:rsidRDefault="00871F8D">
      <w:pPr>
        <w:spacing w:before="60"/>
        <w:ind w:hanging="360"/>
        <w:jc w:val="both"/>
        <w:textAlignment w:val="top"/>
      </w:pPr>
      <w:r>
        <w:rPr>
          <w:rFonts w:ascii="Arial" w:eastAsia="宋体" w:hAnsi="Arial" w:cs="Arial"/>
          <w:color w:val="000000"/>
          <w:sz w:val="20"/>
          <w:szCs w:val="20"/>
        </w:rPr>
        <w:t xml:space="preserve">•reputational, fiduciary and business conduct risk. </w:t>
      </w:r>
    </w:p>
    <w:p w14:paraId="74DD91D4" w14:textId="77777777" w:rsidR="00584EC1" w:rsidRDefault="00871F8D">
      <w:pPr>
        <w:spacing w:before="60"/>
        <w:ind w:firstLine="450"/>
        <w:jc w:val="both"/>
        <w:textAlignment w:val="top"/>
      </w:pPr>
      <w:r>
        <w:rPr>
          <w:rFonts w:ascii="Arial" w:eastAsia="宋体" w:hAnsi="Arial" w:cs="Arial"/>
          <w:color w:val="000000"/>
          <w:sz w:val="20"/>
          <w:szCs w:val="20"/>
        </w:rPr>
        <w:t xml:space="preserve">Many of these risks, as well as certain of the </w:t>
      </w:r>
      <w:r>
        <w:rPr>
          <w:rFonts w:ascii="Arial" w:eastAsia="宋体" w:hAnsi="Arial" w:cs="Arial"/>
          <w:color w:val="000000"/>
          <w:sz w:val="20"/>
          <w:szCs w:val="20"/>
        </w:rPr>
        <w:t>factors underlying each of these risks that could affect our businesses and our consolidated financial statements, are discussed in detail on pages 24 to 52 included under Item 1A, Risk Factors, in our 2020 Form 10-K.</w:t>
      </w:r>
    </w:p>
    <w:p w14:paraId="74DD91D5" w14:textId="77777777" w:rsidR="00584EC1" w:rsidRDefault="00871F8D">
      <w:pPr>
        <w:spacing w:before="60"/>
        <w:ind w:firstLine="450"/>
        <w:jc w:val="both"/>
        <w:textAlignment w:val="top"/>
      </w:pPr>
      <w:r>
        <w:rPr>
          <w:rFonts w:ascii="Arial" w:eastAsia="宋体" w:hAnsi="Arial" w:cs="Arial"/>
          <w:color w:val="000000"/>
          <w:sz w:val="20"/>
          <w:szCs w:val="20"/>
        </w:rPr>
        <w:t>For additional information about our r</w:t>
      </w:r>
      <w:r>
        <w:rPr>
          <w:rFonts w:ascii="Arial" w:eastAsia="宋体" w:hAnsi="Arial" w:cs="Arial"/>
          <w:color w:val="000000"/>
          <w:sz w:val="20"/>
          <w:szCs w:val="20"/>
        </w:rPr>
        <w:t>isk management, including our risk appetite framework and risk governance committee structure, refer to pages 85 to 89 included under Item 7, Management's Discussion and Analysis of Financial Condition and Results of Operations, Risk Management, in our 202</w:t>
      </w:r>
      <w:r>
        <w:rPr>
          <w:rFonts w:ascii="Arial" w:eastAsia="宋体" w:hAnsi="Arial" w:cs="Arial"/>
          <w:color w:val="000000"/>
          <w:sz w:val="20"/>
          <w:szCs w:val="20"/>
        </w:rPr>
        <w:t>0 Form 10-K.</w:t>
      </w:r>
    </w:p>
    <w:p w14:paraId="74DD91D6" w14:textId="77777777" w:rsidR="00584EC1" w:rsidRDefault="00871F8D">
      <w:pPr>
        <w:spacing w:before="90"/>
        <w:textAlignment w:val="top"/>
      </w:pPr>
      <w:r>
        <w:rPr>
          <w:rFonts w:ascii="Arial" w:eastAsia="宋体" w:hAnsi="Arial" w:cs="Arial"/>
          <w:b/>
          <w:bCs/>
          <w:color w:val="000000"/>
          <w:sz w:val="20"/>
          <w:szCs w:val="20"/>
        </w:rPr>
        <w:t>Credit Risk Management</w:t>
      </w:r>
    </w:p>
    <w:p w14:paraId="74DD91D7" w14:textId="77777777" w:rsidR="00584EC1" w:rsidRDefault="00871F8D">
      <w:pPr>
        <w:spacing w:before="60"/>
        <w:ind w:firstLine="450"/>
        <w:jc w:val="both"/>
        <w:textAlignment w:val="top"/>
      </w:pPr>
      <w:r>
        <w:rPr>
          <w:rFonts w:ascii="Arial" w:eastAsia="宋体" w:hAnsi="Arial" w:cs="Arial"/>
          <w:color w:val="000000"/>
          <w:sz w:val="20"/>
          <w:szCs w:val="20"/>
        </w:rPr>
        <w:t>We define credit risk as the risk of financial loss if a counterparty, borrower or obligor, collectively referred to as a counterparty, is either unable or unwilling to repay borrowings or settle a transaction in accorda</w:t>
      </w:r>
      <w:r>
        <w:rPr>
          <w:rFonts w:ascii="Arial" w:eastAsia="宋体" w:hAnsi="Arial" w:cs="Arial"/>
          <w:color w:val="000000"/>
          <w:sz w:val="20"/>
          <w:szCs w:val="20"/>
        </w:rPr>
        <w:t>nce with underlying contractual terms. We assume credit risk in our traditional non-trading lending activities, such as overdrafts, loans and contingent commitments, in our investment securities portfolio, where recourse to a counterparty exists, and in ou</w:t>
      </w:r>
      <w:r>
        <w:rPr>
          <w:rFonts w:ascii="Arial" w:eastAsia="宋体" w:hAnsi="Arial" w:cs="Arial"/>
          <w:color w:val="000000"/>
          <w:sz w:val="20"/>
          <w:szCs w:val="20"/>
        </w:rPr>
        <w:t>r direct and indirect trading activities, such as securities purchased under a resale agreement, principal securities lending and FX and indemnified agency securities lending. We also assume credit risk in our day-to-day treasury and securities and other s</w:t>
      </w:r>
      <w:r>
        <w:rPr>
          <w:rFonts w:ascii="Arial" w:eastAsia="宋体" w:hAnsi="Arial" w:cs="Arial"/>
          <w:color w:val="000000"/>
          <w:sz w:val="20"/>
          <w:szCs w:val="20"/>
        </w:rPr>
        <w:t>ettlement operations, in the form of deposit placements and other cash balances, with central banks or private sector institutions and fees receivables.</w:t>
      </w:r>
    </w:p>
    <w:p w14:paraId="74DD91D8" w14:textId="77777777" w:rsidR="00584EC1" w:rsidRDefault="00871F8D">
      <w:pPr>
        <w:spacing w:before="60"/>
        <w:textAlignment w:val="top"/>
      </w:pPr>
      <w:r>
        <w:rPr>
          <w:rFonts w:ascii="Arial" w:eastAsia="宋体" w:hAnsi="Arial" w:cs="Arial"/>
          <w:b/>
          <w:bCs/>
          <w:i/>
          <w:iCs/>
          <w:color w:val="000000"/>
          <w:sz w:val="20"/>
          <w:szCs w:val="20"/>
        </w:rPr>
        <w:t>Allowance for Credit Losses</w:t>
      </w:r>
    </w:p>
    <w:p w14:paraId="74DD91D9" w14:textId="77777777" w:rsidR="00584EC1" w:rsidRDefault="00871F8D">
      <w:pPr>
        <w:spacing w:before="60"/>
        <w:ind w:firstLine="450"/>
        <w:jc w:val="both"/>
        <w:textAlignment w:val="top"/>
      </w:pPr>
      <w:r>
        <w:rPr>
          <w:rFonts w:ascii="Arial" w:eastAsia="宋体" w:hAnsi="Arial" w:cs="Arial"/>
          <w:color w:val="000000"/>
          <w:sz w:val="20"/>
          <w:szCs w:val="20"/>
        </w:rPr>
        <w:t xml:space="preserve">We maintain an allowance for credit losses to support our financial assets </w:t>
      </w:r>
      <w:r>
        <w:rPr>
          <w:rFonts w:ascii="Arial" w:eastAsia="宋体" w:hAnsi="Arial" w:cs="Arial"/>
          <w:color w:val="000000"/>
          <w:sz w:val="20"/>
          <w:szCs w:val="20"/>
        </w:rPr>
        <w:t>held at amortized cost. We also maintain an allowance for unfunded commitments and letters of credit to support our off-balance sheet credit exposure. The two components together represent the allowance for credit losses. Review and evaluation of the adequ</w:t>
      </w:r>
      <w:r>
        <w:rPr>
          <w:rFonts w:ascii="Arial" w:eastAsia="宋体" w:hAnsi="Arial" w:cs="Arial"/>
          <w:color w:val="000000"/>
          <w:sz w:val="20"/>
          <w:szCs w:val="20"/>
        </w:rPr>
        <w:t>acy of the allowance for credit losses is ongoing throughout the year, but occurs at least quarterly, and is based, among other factors, on our evaluation of the level of risk in the portfolio and the estimated effects of our forecasts on our counterpartie</w:t>
      </w:r>
      <w:r>
        <w:rPr>
          <w:rFonts w:ascii="Arial" w:eastAsia="宋体" w:hAnsi="Arial" w:cs="Arial"/>
          <w:color w:val="000000"/>
          <w:sz w:val="20"/>
          <w:szCs w:val="20"/>
        </w:rPr>
        <w:t>s. We utilize multiple economic scenarios, consisting of a baseline, upside and downside scenarios, to develop management's forecast of future expected losses.</w:t>
      </w:r>
    </w:p>
    <w:p w14:paraId="74DD91DA" w14:textId="77777777" w:rsidR="00584EC1" w:rsidRDefault="00871F8D">
      <w:pPr>
        <w:spacing w:before="60"/>
        <w:ind w:firstLine="450"/>
        <w:jc w:val="both"/>
        <w:textAlignment w:val="top"/>
      </w:pPr>
      <w:r>
        <w:rPr>
          <w:rFonts w:ascii="Arial" w:eastAsia="宋体" w:hAnsi="Arial" w:cs="Arial"/>
          <w:color w:val="000000"/>
          <w:sz w:val="20"/>
          <w:szCs w:val="20"/>
        </w:rPr>
        <w:t>The economic forecast utilized in the third quarter of 2021 reflects improvements in credit qual</w:t>
      </w:r>
      <w:r>
        <w:rPr>
          <w:rFonts w:ascii="Arial" w:eastAsia="宋体" w:hAnsi="Arial" w:cs="Arial"/>
          <w:color w:val="000000"/>
          <w:sz w:val="20"/>
          <w:szCs w:val="20"/>
        </w:rPr>
        <w:t>ity and stable economic outlook. Allowance estimates remain subject to continued model and economic uncertainty and management may use qualitative adjustments. If future data and forecasts deviate relative to the forecasts utilized to determine our allowan</w:t>
      </w:r>
      <w:r>
        <w:rPr>
          <w:rFonts w:ascii="Arial" w:eastAsia="宋体" w:hAnsi="Arial" w:cs="Arial"/>
          <w:color w:val="000000"/>
          <w:sz w:val="20"/>
          <w:szCs w:val="20"/>
        </w:rPr>
        <w:t>ce for credit losses as of September 30, 2021, or if credit risk migration is higher or lower than forecasted for reasons independent of the economic forecast, our allowance for credit losses will also change.</w:t>
      </w:r>
    </w:p>
    <w:p w14:paraId="74DD91DB" w14:textId="77777777" w:rsidR="00584EC1" w:rsidRDefault="00871F8D">
      <w:pPr>
        <w:spacing w:before="60"/>
        <w:ind w:firstLine="450"/>
        <w:jc w:val="both"/>
        <w:textAlignment w:val="top"/>
      </w:pPr>
      <w:r>
        <w:rPr>
          <w:rFonts w:ascii="Arial" w:eastAsia="宋体" w:hAnsi="Arial" w:cs="Arial"/>
          <w:color w:val="000000"/>
          <w:sz w:val="20"/>
          <w:szCs w:val="20"/>
        </w:rPr>
        <w:t>Additional information about the allowance for</w:t>
      </w:r>
      <w:r>
        <w:rPr>
          <w:rFonts w:ascii="Arial" w:eastAsia="宋体" w:hAnsi="Arial" w:cs="Arial"/>
          <w:color w:val="000000"/>
          <w:sz w:val="20"/>
          <w:szCs w:val="20"/>
        </w:rPr>
        <w:t xml:space="preserve"> credit losses is provided in Notes 3 and 4 to the consolidated financial statements in this Form 10-Q.</w:t>
      </w:r>
    </w:p>
    <w:p w14:paraId="74DD91DC" w14:textId="77777777" w:rsidR="00584EC1" w:rsidRDefault="00871F8D">
      <w:pPr>
        <w:spacing w:before="60"/>
        <w:ind w:firstLine="450"/>
        <w:jc w:val="both"/>
        <w:textAlignment w:val="top"/>
      </w:pPr>
      <w:r>
        <w:rPr>
          <w:rFonts w:ascii="Arial" w:eastAsia="宋体" w:hAnsi="Arial" w:cs="Arial"/>
          <w:color w:val="000000"/>
          <w:sz w:val="20"/>
          <w:szCs w:val="20"/>
        </w:rPr>
        <w:t>For additional information about our credit risk management framework, including our core policies and principles, structure and organization, credit ra</w:t>
      </w:r>
      <w:r>
        <w:rPr>
          <w:rFonts w:ascii="Arial" w:eastAsia="宋体" w:hAnsi="Arial" w:cs="Arial"/>
          <w:color w:val="000000"/>
          <w:sz w:val="20"/>
          <w:szCs w:val="20"/>
        </w:rPr>
        <w:t>tings, risk parameter estimates, credit risk mitigation, credit limits, reporting, monitoring and controls, refer to pages 89 to 94 included under Item 7, Management's Discussion and Analysis of Financial Condition and Results of Operations, Credit Risk Ma</w:t>
      </w:r>
      <w:r>
        <w:rPr>
          <w:rFonts w:ascii="Arial" w:eastAsia="宋体" w:hAnsi="Arial" w:cs="Arial"/>
          <w:color w:val="000000"/>
          <w:sz w:val="20"/>
          <w:szCs w:val="20"/>
        </w:rPr>
        <w:t>nagement, in our 2020 Form 10-K.</w:t>
      </w:r>
    </w:p>
    <w:p w14:paraId="74DD91DD" w14:textId="77777777" w:rsidR="00584EC1" w:rsidRDefault="00871F8D">
      <w:pPr>
        <w:spacing w:before="90"/>
        <w:textAlignment w:val="top"/>
      </w:pPr>
      <w:r>
        <w:rPr>
          <w:rFonts w:ascii="Arial" w:eastAsia="宋体" w:hAnsi="Arial" w:cs="Arial"/>
          <w:b/>
          <w:bCs/>
          <w:color w:val="000000"/>
          <w:sz w:val="20"/>
          <w:szCs w:val="20"/>
        </w:rPr>
        <w:t>Liquidity Risk Management</w:t>
      </w:r>
    </w:p>
    <w:p w14:paraId="74DD91DE" w14:textId="77777777" w:rsidR="00584EC1" w:rsidRDefault="00871F8D">
      <w:pPr>
        <w:spacing w:before="60"/>
        <w:ind w:firstLine="450"/>
        <w:jc w:val="both"/>
        <w:textAlignment w:val="top"/>
      </w:pPr>
      <w:r>
        <w:rPr>
          <w:rFonts w:ascii="Arial" w:eastAsia="宋体" w:hAnsi="Arial" w:cs="Arial"/>
          <w:color w:val="000000"/>
          <w:sz w:val="20"/>
          <w:szCs w:val="20"/>
        </w:rPr>
        <w:t>Our liquidity framework contemplates areas of potential risk-based on our activities, size and other appropriate risk-related factors. In managing liquidity risk we employ limits, maintain establis</w:t>
      </w:r>
      <w:r>
        <w:rPr>
          <w:rFonts w:ascii="Arial" w:eastAsia="宋体" w:hAnsi="Arial" w:cs="Arial"/>
          <w:color w:val="000000"/>
          <w:sz w:val="20"/>
          <w:szCs w:val="20"/>
        </w:rPr>
        <w:t xml:space="preserve">hed metrics and early warning indicators and perform routine stress testing to identify potential liquidity needs. This process involves the evaluation of a combination of internal and external scenarios which assist us in measuring our liquidity position </w:t>
      </w:r>
      <w:r>
        <w:rPr>
          <w:rFonts w:ascii="Arial" w:eastAsia="宋体" w:hAnsi="Arial" w:cs="Arial"/>
          <w:color w:val="000000"/>
          <w:sz w:val="20"/>
          <w:szCs w:val="20"/>
        </w:rPr>
        <w:t>and in identifying potential increases in cash needs or decreases in available sources of cash, as well as the potential impairment of our ability to access the global capital markets.</w:t>
      </w:r>
    </w:p>
    <w:p w14:paraId="74DD91DF" w14:textId="77777777" w:rsidR="00584EC1" w:rsidRDefault="00871F8D">
      <w:pPr>
        <w:spacing w:before="60"/>
        <w:ind w:firstLine="450"/>
        <w:jc w:val="both"/>
        <w:textAlignment w:val="top"/>
      </w:pPr>
      <w:r>
        <w:rPr>
          <w:rFonts w:ascii="Arial" w:eastAsia="宋体" w:hAnsi="Arial" w:cs="Arial"/>
          <w:color w:val="000000"/>
          <w:sz w:val="20"/>
          <w:szCs w:val="20"/>
        </w:rPr>
        <w:t>We manage our liquidity on a global, consolidated basis. We also manage</w:t>
      </w:r>
      <w:r>
        <w:rPr>
          <w:rFonts w:ascii="Arial" w:eastAsia="宋体" w:hAnsi="Arial" w:cs="Arial"/>
          <w:color w:val="000000"/>
          <w:sz w:val="20"/>
          <w:szCs w:val="20"/>
        </w:rPr>
        <w:t xml:space="preserve"> liquidity on a stand-alone basis at our Parent Company, as well as at certain branches and subsidiaries of State Street Bank. State Street Bank generally has access to markets and funding sources limited to banks, such as the federal funds market and the </w:t>
      </w:r>
      <w:r>
        <w:rPr>
          <w:rFonts w:ascii="Arial" w:eastAsia="宋体" w:hAnsi="Arial" w:cs="Arial"/>
          <w:color w:val="000000"/>
          <w:sz w:val="20"/>
          <w:szCs w:val="20"/>
        </w:rPr>
        <w:t>Federal Reserve's discount window. The Parent Company is managed to a more conservative liquidity profile, reflecting narrower market access. Additionally, the Parent Company typically holds, or has direct access to, primarily through SSIF, a direct subsid</w:t>
      </w:r>
      <w:r>
        <w:rPr>
          <w:rFonts w:ascii="Arial" w:eastAsia="宋体" w:hAnsi="Arial" w:cs="Arial"/>
          <w:color w:val="000000"/>
          <w:sz w:val="20"/>
          <w:szCs w:val="20"/>
        </w:rPr>
        <w:t>iary of the Parent Company, and the support agreement, as discussed in the "Uses of Liquidity" section of this Management's Discussion and Analysis, enough cash to meet its current debt maturities and cash needs, as well as those projected over the next on</w:t>
      </w:r>
      <w:r>
        <w:rPr>
          <w:rFonts w:ascii="Arial" w:eastAsia="宋体" w:hAnsi="Arial" w:cs="Arial"/>
          <w:color w:val="000000"/>
          <w:sz w:val="20"/>
          <w:szCs w:val="20"/>
        </w:rPr>
        <w:t xml:space="preserve">e-year period. Reference our SPOE Strategy as discussed in the "Uses of Liquidity" section of this Management's </w:t>
      </w:r>
    </w:p>
    <w:p w14:paraId="74DD91E0" w14:textId="77777777" w:rsidR="00584EC1" w:rsidRDefault="00871F8D">
      <w:pPr>
        <w:ind w:firstLine="450"/>
        <w:jc w:val="right"/>
      </w:pPr>
      <w:r>
        <w:rPr>
          <w:rFonts w:ascii="Arial" w:eastAsia="宋体" w:hAnsi="Arial" w:cs="Arial"/>
          <w:color w:val="000000"/>
          <w:sz w:val="18"/>
          <w:szCs w:val="18"/>
        </w:rPr>
        <w:t>State Street Corporation | 32</w:t>
      </w:r>
    </w:p>
    <w:p w14:paraId="74DD91E1" w14:textId="77777777" w:rsidR="00584EC1" w:rsidRDefault="00584EC1">
      <w:pPr>
        <w:ind w:firstLine="450"/>
        <w:jc w:val="center"/>
      </w:pPr>
    </w:p>
    <w:p w14:paraId="74DD91E2" w14:textId="77777777" w:rsidR="00584EC1" w:rsidRDefault="00871F8D">
      <w:r>
        <w:pict w14:anchorId="74DE2A0E">
          <v:rect id="_x0000_i1056" style="width:415.3pt;height:1.5pt" o:hralign="center" o:hrstd="t" o:hr="t" fillcolor="#a0a0a0" stroked="f"/>
        </w:pict>
      </w:r>
    </w:p>
    <w:p w14:paraId="74DD91E3" w14:textId="77777777" w:rsidR="00584EC1" w:rsidRDefault="00871F8D">
      <w:pPr>
        <w:ind w:firstLine="450"/>
        <w:jc w:val="center"/>
      </w:pPr>
      <w:r>
        <w:rPr>
          <w:rFonts w:ascii="Arial" w:eastAsia="宋体" w:hAnsi="Arial" w:cs="Arial"/>
          <w:b/>
          <w:bCs/>
          <w:color w:val="000000"/>
          <w:sz w:val="20"/>
          <w:szCs w:val="20"/>
        </w:rPr>
        <w:t>MANAGEMENT’S DISCUSSION AND ANALYSIS OF FINANCIAL CONDITION</w:t>
      </w:r>
    </w:p>
    <w:p w14:paraId="74DD91E4" w14:textId="77777777" w:rsidR="00584EC1" w:rsidRDefault="00871F8D">
      <w:pPr>
        <w:ind w:firstLine="450"/>
        <w:jc w:val="center"/>
      </w:pPr>
      <w:r>
        <w:rPr>
          <w:rFonts w:ascii="Arial" w:eastAsia="宋体" w:hAnsi="Arial" w:cs="Arial"/>
          <w:b/>
          <w:bCs/>
          <w:color w:val="000000"/>
          <w:sz w:val="20"/>
          <w:szCs w:val="20"/>
        </w:rPr>
        <w:t>AND RESULTS OF OPERATIONS</w:t>
      </w:r>
    </w:p>
    <w:p w14:paraId="74DD91E5" w14:textId="77777777" w:rsidR="00584EC1" w:rsidRDefault="00871F8D">
      <w:pPr>
        <w:spacing w:before="60"/>
        <w:jc w:val="both"/>
        <w:textAlignment w:val="top"/>
      </w:pPr>
      <w:r>
        <w:rPr>
          <w:rFonts w:ascii="Arial" w:eastAsia="宋体" w:hAnsi="Arial" w:cs="Arial"/>
          <w:color w:val="000000"/>
          <w:sz w:val="20"/>
          <w:szCs w:val="20"/>
        </w:rPr>
        <w:t xml:space="preserve">Discussion and </w:t>
      </w:r>
      <w:r>
        <w:rPr>
          <w:rFonts w:ascii="Arial" w:eastAsia="宋体" w:hAnsi="Arial" w:cs="Arial"/>
          <w:color w:val="000000"/>
          <w:sz w:val="20"/>
          <w:szCs w:val="20"/>
        </w:rPr>
        <w:t>Analysis. Absent financial distress at the Parent Company, the liquid assets available at SSIF continue to be available to the Parent Company. As of September 30, 2021, our Parent Company and State Street Bank had no senior notes or subordinated debentures</w:t>
      </w:r>
      <w:r>
        <w:rPr>
          <w:rFonts w:ascii="Arial" w:eastAsia="宋体" w:hAnsi="Arial" w:cs="Arial"/>
          <w:color w:val="000000"/>
          <w:sz w:val="20"/>
          <w:szCs w:val="20"/>
        </w:rPr>
        <w:t xml:space="preserve"> outstanding that will mature in the next twelve months.</w:t>
      </w:r>
    </w:p>
    <w:p w14:paraId="74DD91E6" w14:textId="77777777" w:rsidR="00584EC1" w:rsidRDefault="00871F8D">
      <w:pPr>
        <w:spacing w:before="60"/>
        <w:ind w:firstLine="450"/>
        <w:jc w:val="both"/>
        <w:textAlignment w:val="top"/>
      </w:pPr>
      <w:r>
        <w:rPr>
          <w:rFonts w:ascii="Arial" w:eastAsia="宋体" w:hAnsi="Arial" w:cs="Arial"/>
          <w:color w:val="000000"/>
          <w:sz w:val="20"/>
          <w:szCs w:val="20"/>
        </w:rPr>
        <w:t>As a systemically important financial institution, our liquidity risk management activities are subject to heightened and evolving regulatory requirements, including interpretations of those requirem</w:t>
      </w:r>
      <w:r>
        <w:rPr>
          <w:rFonts w:ascii="Arial" w:eastAsia="宋体" w:hAnsi="Arial" w:cs="Arial"/>
          <w:color w:val="000000"/>
          <w:sz w:val="20"/>
          <w:szCs w:val="20"/>
        </w:rPr>
        <w:t>ents, under specific U.S. and international regulations and also resulting from published and unpublished guidance, supervisory activities, such as stress tests, resolution planning, examinations and other regulatory interactions. Satisfaction of these req</w:t>
      </w:r>
      <w:r>
        <w:rPr>
          <w:rFonts w:ascii="Arial" w:eastAsia="宋体" w:hAnsi="Arial" w:cs="Arial"/>
          <w:color w:val="000000"/>
          <w:sz w:val="20"/>
          <w:szCs w:val="20"/>
        </w:rPr>
        <w:t>uirements could, in some cases, result in changes in the composition of our investment portfolio, reduced NII or NIM, a reduction in the level of certain business activities or modifications to the way in which we deliver our products and services. If we f</w:t>
      </w:r>
      <w:r>
        <w:rPr>
          <w:rFonts w:ascii="Arial" w:eastAsia="宋体" w:hAnsi="Arial" w:cs="Arial"/>
          <w:color w:val="000000"/>
          <w:sz w:val="20"/>
          <w:szCs w:val="20"/>
        </w:rPr>
        <w:t>ail to meet regulatory requirements to the satisfaction of our regulators, we could receive negative regulatory stress test results, incur a resolution plan deficiency or determination of a non-credible resolution plan or otherwise receive an adverse regul</w:t>
      </w:r>
      <w:r>
        <w:rPr>
          <w:rFonts w:ascii="Arial" w:eastAsia="宋体" w:hAnsi="Arial" w:cs="Arial"/>
          <w:color w:val="000000"/>
          <w:sz w:val="20"/>
          <w:szCs w:val="20"/>
        </w:rPr>
        <w:t>atory finding. Our efforts to satisfy, or our failure to satisfy, these regulatory requirements could materially adversely affect our business, financial condition or results of operations.</w:t>
      </w:r>
    </w:p>
    <w:p w14:paraId="74DD91E7" w14:textId="77777777" w:rsidR="00584EC1" w:rsidRDefault="00871F8D">
      <w:pPr>
        <w:spacing w:before="60"/>
        <w:ind w:firstLine="450"/>
        <w:jc w:val="both"/>
        <w:textAlignment w:val="top"/>
      </w:pPr>
      <w:r>
        <w:rPr>
          <w:rFonts w:ascii="Arial" w:eastAsia="宋体" w:hAnsi="Arial" w:cs="Arial"/>
          <w:color w:val="000000"/>
          <w:sz w:val="20"/>
          <w:szCs w:val="20"/>
        </w:rPr>
        <w:t>For additional information on our liquidity risk management, as we</w:t>
      </w:r>
      <w:r>
        <w:rPr>
          <w:rFonts w:ascii="Arial" w:eastAsia="宋体" w:hAnsi="Arial" w:cs="Arial"/>
          <w:color w:val="000000"/>
          <w:sz w:val="20"/>
          <w:szCs w:val="20"/>
        </w:rPr>
        <w:t>ll as liquidity metrics, refer to pages 94 to 99 included under Item 7, Management's Discussion and Analysis of Financial Condition and Results of Operations, Liquidity Risk Management, in our 2020 Form 10-K. For additional information on our liquidity rat</w:t>
      </w:r>
      <w:r>
        <w:rPr>
          <w:rFonts w:ascii="Arial" w:eastAsia="宋体" w:hAnsi="Arial" w:cs="Arial"/>
          <w:color w:val="000000"/>
          <w:sz w:val="20"/>
          <w:szCs w:val="20"/>
        </w:rPr>
        <w:t>ios, including LCR and the net stable funding ratio, refer to page 14 included under Item 1, Business, in our 2020 Form 10-K.</w:t>
      </w:r>
    </w:p>
    <w:p w14:paraId="74DD91E8" w14:textId="77777777" w:rsidR="00584EC1" w:rsidRDefault="00871F8D">
      <w:pPr>
        <w:spacing w:before="60"/>
        <w:jc w:val="both"/>
        <w:textAlignment w:val="top"/>
      </w:pPr>
      <w:r>
        <w:rPr>
          <w:rFonts w:ascii="Arial" w:eastAsia="宋体" w:hAnsi="Arial" w:cs="Arial"/>
          <w:b/>
          <w:bCs/>
          <w:i/>
          <w:iCs/>
          <w:color w:val="000000"/>
          <w:sz w:val="20"/>
          <w:szCs w:val="20"/>
        </w:rPr>
        <w:t>Asset Liquidity</w:t>
      </w:r>
    </w:p>
    <w:p w14:paraId="74DD91E9" w14:textId="77777777" w:rsidR="00584EC1" w:rsidRDefault="00871F8D">
      <w:pPr>
        <w:spacing w:before="60"/>
        <w:ind w:firstLine="450"/>
        <w:jc w:val="both"/>
        <w:textAlignment w:val="top"/>
      </w:pPr>
      <w:r>
        <w:rPr>
          <w:rFonts w:ascii="Arial" w:eastAsia="宋体" w:hAnsi="Arial" w:cs="Arial"/>
          <w:color w:val="000000"/>
          <w:sz w:val="20"/>
          <w:szCs w:val="20"/>
        </w:rPr>
        <w:t>Central to the management of our liquidity is asset liquidity, which consists primarily of HQLA. HQLA is the amoun</w:t>
      </w:r>
      <w:r>
        <w:rPr>
          <w:rFonts w:ascii="Arial" w:eastAsia="宋体" w:hAnsi="Arial" w:cs="Arial"/>
          <w:color w:val="000000"/>
          <w:sz w:val="20"/>
          <w:szCs w:val="20"/>
        </w:rPr>
        <w:t xml:space="preserve">t of liquid assets that qualify for inclusion in the LCR. As a banking organization, we are subject to a minimum LCR under the LCR rule approved by U.S. banking regulators. The LCR is intended to promote the short-term resilience of internationally active </w:t>
      </w:r>
      <w:r>
        <w:rPr>
          <w:rFonts w:ascii="Arial" w:eastAsia="宋体" w:hAnsi="Arial" w:cs="Arial"/>
          <w:color w:val="000000"/>
          <w:sz w:val="20"/>
          <w:szCs w:val="20"/>
        </w:rPr>
        <w:t>banking organizations, like us, to improve the banking industry's ability to absorb shocks arising from market stress over a 30 calendar day period and improve the measurement and management of liquidity risk. The LCR measures an institution’s HQLA against</w:t>
      </w:r>
      <w:r>
        <w:rPr>
          <w:rFonts w:ascii="Arial" w:eastAsia="宋体" w:hAnsi="Arial" w:cs="Arial"/>
          <w:color w:val="000000"/>
          <w:sz w:val="20"/>
          <w:szCs w:val="20"/>
        </w:rPr>
        <w:t xml:space="preserve"> its net cash outflows. HQLA primarily consists of unencumbered cash and certain high quality liquid securities that qualify for inclusion under the LCR rule. The LCR was fully </w:t>
      </w:r>
    </w:p>
    <w:p w14:paraId="74DD91EA" w14:textId="77777777" w:rsidR="00584EC1" w:rsidRDefault="00871F8D">
      <w:pPr>
        <w:spacing w:before="60"/>
        <w:jc w:val="both"/>
        <w:textAlignment w:val="top"/>
      </w:pPr>
      <w:r>
        <w:rPr>
          <w:rFonts w:ascii="Arial" w:eastAsia="宋体" w:hAnsi="Arial" w:cs="Arial"/>
          <w:color w:val="000000"/>
          <w:sz w:val="20"/>
          <w:szCs w:val="20"/>
        </w:rPr>
        <w:t>implemented beginning on January 1, 2017. We report LCR to the Federal Reserve</w:t>
      </w:r>
      <w:r>
        <w:rPr>
          <w:rFonts w:ascii="Arial" w:eastAsia="宋体" w:hAnsi="Arial" w:cs="Arial"/>
          <w:color w:val="000000"/>
          <w:sz w:val="20"/>
          <w:szCs w:val="20"/>
        </w:rPr>
        <w:t xml:space="preserve"> daily. For the quarters ended September 30, 2021 and December 31, 2020, daily average LCR for the Parent Company was 105% and 108%, respectively, with the lower daily average LCR for the quarter ended September 30, 2021 driven primarily by higher deposits</w:t>
      </w:r>
      <w:r>
        <w:rPr>
          <w:rFonts w:ascii="Arial" w:eastAsia="宋体" w:hAnsi="Arial" w:cs="Arial"/>
          <w:color w:val="000000"/>
          <w:sz w:val="20"/>
          <w:szCs w:val="20"/>
        </w:rPr>
        <w:t>. The impact of higher deposits on the Parent Company's LCR is offset by a cap on the HQLA from State Street Bank and Trust that can be recognized at the Parent Company as defined in the U.S. LCR Final Rule as it prohibits the upstreaming of liquidity unde</w:t>
      </w:r>
      <w:r>
        <w:rPr>
          <w:rFonts w:ascii="Arial" w:eastAsia="宋体" w:hAnsi="Arial" w:cs="Arial"/>
          <w:color w:val="000000"/>
          <w:sz w:val="20"/>
          <w:szCs w:val="20"/>
        </w:rPr>
        <w:t xml:space="preserve">r stress. The average HQLA for the Parent Company under the LCR final rule definition was $151.48 billion and $143.61 billion, post-prescribed haircuts, for the quarters ended September 30, 2021 and December 31, 2020, respectively. The increase in average </w:t>
      </w:r>
      <w:r>
        <w:rPr>
          <w:rFonts w:ascii="Arial" w:eastAsia="宋体" w:hAnsi="Arial" w:cs="Arial"/>
          <w:color w:val="000000"/>
          <w:sz w:val="20"/>
          <w:szCs w:val="20"/>
        </w:rPr>
        <w:t>HQLA for the quarter ended September 30, 2021, compared to the quarter ended December 31, 2020, was primarily due to a higher level of client deposits. For the quarter ended September 30, 2021, LCR for State Street Bank and Trust was approximately 127%. St</w:t>
      </w:r>
      <w:r>
        <w:rPr>
          <w:rFonts w:ascii="Arial" w:eastAsia="宋体" w:hAnsi="Arial" w:cs="Arial"/>
          <w:color w:val="000000"/>
          <w:sz w:val="20"/>
          <w:szCs w:val="20"/>
        </w:rPr>
        <w:t>ate Street Bank and Trust's LCR is higher than the Parent Company's LCR, primarily due to application of the transferability restriction in the LCR Final Rule to the calculation of the Parent Company's LCR. This restriction limits the HQLA used in the calc</w:t>
      </w:r>
      <w:r>
        <w:rPr>
          <w:rFonts w:ascii="Arial" w:eastAsia="宋体" w:hAnsi="Arial" w:cs="Arial"/>
          <w:color w:val="000000"/>
          <w:sz w:val="20"/>
          <w:szCs w:val="20"/>
        </w:rPr>
        <w:t>ulation of the Parent Company's LCR to the amount of net cash outflows of its principal banking subsidiary (State Street Bank and Trust). This transferability restriction does not apply in the calculation of State Street Bank and Trust's LCR, and therefore</w:t>
      </w:r>
      <w:r>
        <w:rPr>
          <w:rFonts w:ascii="Arial" w:eastAsia="宋体" w:hAnsi="Arial" w:cs="Arial"/>
          <w:color w:val="000000"/>
          <w:sz w:val="20"/>
          <w:szCs w:val="20"/>
        </w:rPr>
        <w:t xml:space="preserve"> State Street Bank and Trust's LCR reflects the benefit of all of its HQLA holdings.</w:t>
      </w:r>
    </w:p>
    <w:p w14:paraId="74DD91EB" w14:textId="77777777" w:rsidR="00584EC1" w:rsidRDefault="00871F8D">
      <w:pPr>
        <w:spacing w:before="60"/>
        <w:ind w:firstLine="450"/>
        <w:jc w:val="both"/>
        <w:textAlignment w:val="top"/>
      </w:pPr>
      <w:r>
        <w:rPr>
          <w:rFonts w:ascii="Arial" w:eastAsia="宋体" w:hAnsi="Arial" w:cs="Arial"/>
          <w:color w:val="000000"/>
          <w:sz w:val="20"/>
          <w:szCs w:val="20"/>
        </w:rPr>
        <w:t>We maintained average cash balances in excess of regulatory requirements governing deposits with the Federal Reserve of approximately $76.83 billion at the Federal Reserve</w:t>
      </w:r>
      <w:r>
        <w:rPr>
          <w:rFonts w:ascii="Arial" w:eastAsia="宋体" w:hAnsi="Arial" w:cs="Arial"/>
          <w:color w:val="000000"/>
          <w:sz w:val="20"/>
          <w:szCs w:val="20"/>
        </w:rPr>
        <w:t xml:space="preserve">, the ECB and other non-U.S. central banks for the quarter ended September 30, 2021, and $75.68 billion for the quarter ended December 31, 2020. The higher levels of average cash balances with central banks reflect higher levels of client deposits. </w:t>
      </w:r>
    </w:p>
    <w:p w14:paraId="74DD91EC" w14:textId="77777777" w:rsidR="00584EC1" w:rsidRDefault="00871F8D">
      <w:pPr>
        <w:spacing w:before="60"/>
        <w:ind w:firstLine="450"/>
        <w:jc w:val="both"/>
        <w:textAlignment w:val="top"/>
      </w:pPr>
      <w:r>
        <w:rPr>
          <w:rFonts w:ascii="Arial" w:eastAsia="宋体" w:hAnsi="Arial" w:cs="Arial"/>
          <w:color w:val="000000"/>
          <w:sz w:val="20"/>
          <w:szCs w:val="20"/>
        </w:rPr>
        <w:t>Liquid</w:t>
      </w:r>
      <w:r>
        <w:rPr>
          <w:rFonts w:ascii="Arial" w:eastAsia="宋体" w:hAnsi="Arial" w:cs="Arial"/>
          <w:color w:val="000000"/>
          <w:sz w:val="20"/>
          <w:szCs w:val="20"/>
        </w:rPr>
        <w:t xml:space="preserve"> securities carried in our asset liquidity include securities pledged without corresponding advances from the Federal Reserve Bank of Boston (FRBB), the FHLB, and other non-U.S. central banks. State Street Bank is a member of the FHLB. This membership allo</w:t>
      </w:r>
      <w:r>
        <w:rPr>
          <w:rFonts w:ascii="Arial" w:eastAsia="宋体" w:hAnsi="Arial" w:cs="Arial"/>
          <w:color w:val="000000"/>
          <w:sz w:val="20"/>
          <w:szCs w:val="20"/>
        </w:rPr>
        <w:t>ws for advances of liquidity in varying terms against high-quality collateral, which helps facilitate asset-and-liability management. As of both September 30, 2021 and December 31, 2020, we had no outstanding borrowings from the FHLB.</w:t>
      </w:r>
    </w:p>
    <w:p w14:paraId="74DD91ED" w14:textId="77777777" w:rsidR="00584EC1" w:rsidRDefault="00871F8D">
      <w:pPr>
        <w:spacing w:before="60"/>
        <w:ind w:firstLine="450"/>
        <w:jc w:val="both"/>
        <w:textAlignment w:val="top"/>
      </w:pPr>
      <w:r>
        <w:rPr>
          <w:rFonts w:ascii="Arial" w:eastAsia="宋体" w:hAnsi="Arial" w:cs="Arial"/>
          <w:color w:val="000000"/>
          <w:sz w:val="20"/>
          <w:szCs w:val="20"/>
        </w:rPr>
        <w:t xml:space="preserve">Access to primary, intra-day and contingent liquidity provided by these utilities is an important source of contingent liquidity with utilization subject to </w:t>
      </w:r>
    </w:p>
    <w:p w14:paraId="74DD91EE" w14:textId="77777777" w:rsidR="00584EC1" w:rsidRDefault="00871F8D">
      <w:pPr>
        <w:ind w:firstLine="450"/>
        <w:jc w:val="right"/>
      </w:pPr>
      <w:r>
        <w:rPr>
          <w:rFonts w:ascii="Arial" w:eastAsia="宋体" w:hAnsi="Arial" w:cs="Arial"/>
          <w:color w:val="000000"/>
          <w:sz w:val="18"/>
          <w:szCs w:val="18"/>
        </w:rPr>
        <w:t>State Street Corporation | 33</w:t>
      </w:r>
    </w:p>
    <w:p w14:paraId="74DD91EF" w14:textId="77777777" w:rsidR="00584EC1" w:rsidRDefault="00584EC1">
      <w:pPr>
        <w:ind w:firstLine="450"/>
        <w:jc w:val="center"/>
      </w:pPr>
    </w:p>
    <w:p w14:paraId="74DD91F0" w14:textId="77777777" w:rsidR="00584EC1" w:rsidRDefault="00871F8D">
      <w:r>
        <w:pict w14:anchorId="74DE2A0F">
          <v:rect id="_x0000_i1057" style="width:415.3pt;height:1.5pt" o:hralign="center" o:hrstd="t" o:hr="t" fillcolor="#a0a0a0" stroked="f"/>
        </w:pict>
      </w:r>
    </w:p>
    <w:p w14:paraId="74DD91F1" w14:textId="77777777" w:rsidR="00584EC1" w:rsidRDefault="00871F8D">
      <w:pPr>
        <w:ind w:firstLine="450"/>
        <w:jc w:val="center"/>
      </w:pPr>
      <w:r>
        <w:rPr>
          <w:rFonts w:ascii="Arial" w:eastAsia="宋体" w:hAnsi="Arial" w:cs="Arial"/>
          <w:b/>
          <w:bCs/>
          <w:color w:val="000000"/>
          <w:sz w:val="20"/>
          <w:szCs w:val="20"/>
        </w:rPr>
        <w:t>MANAGEMENT’S DISCUSSION AND ANALYSIS OF FINANCIAL CONDITION</w:t>
      </w:r>
    </w:p>
    <w:p w14:paraId="74DD91F2" w14:textId="77777777" w:rsidR="00584EC1" w:rsidRDefault="00871F8D">
      <w:pPr>
        <w:ind w:firstLine="450"/>
        <w:jc w:val="center"/>
      </w:pPr>
      <w:r>
        <w:rPr>
          <w:rFonts w:ascii="Arial" w:eastAsia="宋体" w:hAnsi="Arial" w:cs="Arial"/>
          <w:b/>
          <w:bCs/>
          <w:color w:val="000000"/>
          <w:sz w:val="20"/>
          <w:szCs w:val="20"/>
        </w:rPr>
        <w:t>AND R</w:t>
      </w:r>
      <w:r>
        <w:rPr>
          <w:rFonts w:ascii="Arial" w:eastAsia="宋体" w:hAnsi="Arial" w:cs="Arial"/>
          <w:b/>
          <w:bCs/>
          <w:color w:val="000000"/>
          <w:sz w:val="20"/>
          <w:szCs w:val="20"/>
        </w:rPr>
        <w:t>ESULTS OF OPERATIONS</w:t>
      </w:r>
    </w:p>
    <w:p w14:paraId="74DD91F3" w14:textId="77777777" w:rsidR="00584EC1" w:rsidRDefault="00871F8D">
      <w:pPr>
        <w:spacing w:before="60"/>
        <w:jc w:val="both"/>
        <w:textAlignment w:val="top"/>
      </w:pPr>
      <w:r>
        <w:rPr>
          <w:rFonts w:ascii="Arial" w:eastAsia="宋体" w:hAnsi="Arial" w:cs="Arial"/>
          <w:color w:val="000000"/>
          <w:sz w:val="20"/>
          <w:szCs w:val="20"/>
        </w:rPr>
        <w:t>underlying conditions. As of both September 30, 2021 and December 31, 2020, we had no outstanding primary credit borrowings from the FRBB discount window or any other central bank facility.</w:t>
      </w:r>
    </w:p>
    <w:p w14:paraId="74DD91F4" w14:textId="77777777" w:rsidR="00584EC1" w:rsidRDefault="00871F8D">
      <w:pPr>
        <w:spacing w:before="60"/>
        <w:ind w:firstLine="450"/>
        <w:jc w:val="both"/>
        <w:textAlignment w:val="top"/>
      </w:pPr>
      <w:r>
        <w:rPr>
          <w:rFonts w:ascii="Arial" w:eastAsia="宋体" w:hAnsi="Arial" w:cs="Arial"/>
          <w:color w:val="000000"/>
          <w:sz w:val="20"/>
          <w:szCs w:val="20"/>
        </w:rPr>
        <w:t>In addition to the securities included in our</w:t>
      </w:r>
      <w:r>
        <w:rPr>
          <w:rFonts w:ascii="Arial" w:eastAsia="宋体" w:hAnsi="Arial" w:cs="Arial"/>
          <w:color w:val="000000"/>
          <w:sz w:val="20"/>
          <w:szCs w:val="20"/>
        </w:rPr>
        <w:t xml:space="preserve"> asset liquidity, we have significant amounts of other unencumbered investment securities. These securities are available sources of liquidity, although not as rapidly deployed as those included in our asset liquidity.</w:t>
      </w:r>
    </w:p>
    <w:p w14:paraId="74DD91F5" w14:textId="77777777" w:rsidR="00584EC1" w:rsidRDefault="00871F8D">
      <w:pPr>
        <w:spacing w:before="60"/>
        <w:ind w:firstLine="450"/>
        <w:jc w:val="both"/>
        <w:textAlignment w:val="top"/>
      </w:pPr>
      <w:r>
        <w:rPr>
          <w:rFonts w:ascii="Arial" w:eastAsia="宋体" w:hAnsi="Arial" w:cs="Arial"/>
          <w:color w:val="000000"/>
          <w:sz w:val="20"/>
          <w:szCs w:val="20"/>
        </w:rPr>
        <w:t>The average fair value of total unenc</w:t>
      </w:r>
      <w:r>
        <w:rPr>
          <w:rFonts w:ascii="Arial" w:eastAsia="宋体" w:hAnsi="Arial" w:cs="Arial"/>
          <w:color w:val="000000"/>
          <w:sz w:val="20"/>
          <w:szCs w:val="20"/>
        </w:rPr>
        <w:t>umbered securities was $100.03 billion for the quarter ended September 30, 2021, compared to $89.12 billion for the quarter ended December 31, 2020.</w:t>
      </w:r>
    </w:p>
    <w:p w14:paraId="74DD91F6" w14:textId="77777777" w:rsidR="00584EC1" w:rsidRDefault="00871F8D">
      <w:pPr>
        <w:spacing w:before="60"/>
        <w:jc w:val="both"/>
        <w:textAlignment w:val="top"/>
      </w:pPr>
      <w:r>
        <w:rPr>
          <w:rFonts w:ascii="Arial" w:eastAsia="宋体" w:hAnsi="Arial" w:cs="Arial"/>
          <w:b/>
          <w:bCs/>
          <w:i/>
          <w:iCs/>
          <w:color w:val="000000"/>
          <w:sz w:val="20"/>
          <w:szCs w:val="20"/>
        </w:rPr>
        <w:t>Uses of Liquidity</w:t>
      </w:r>
    </w:p>
    <w:p w14:paraId="74DD91F7" w14:textId="77777777" w:rsidR="00584EC1" w:rsidRDefault="00871F8D">
      <w:pPr>
        <w:spacing w:before="60"/>
        <w:ind w:firstLine="450"/>
        <w:jc w:val="both"/>
        <w:textAlignment w:val="top"/>
      </w:pPr>
      <w:r>
        <w:rPr>
          <w:rFonts w:ascii="Arial" w:eastAsia="宋体" w:hAnsi="Arial" w:cs="Arial"/>
          <w:color w:val="000000"/>
          <w:sz w:val="20"/>
          <w:szCs w:val="20"/>
        </w:rPr>
        <w:t xml:space="preserve">Significant uses of our liquidity could result from the following: withdrawals of client </w:t>
      </w:r>
      <w:r>
        <w:rPr>
          <w:rFonts w:ascii="Arial" w:eastAsia="宋体" w:hAnsi="Arial" w:cs="Arial"/>
          <w:color w:val="000000"/>
          <w:sz w:val="20"/>
          <w:szCs w:val="20"/>
        </w:rPr>
        <w:t>deposits; draw-downs by our custody clients of lines of credit; advances to clients to settle securities transactions; increases in our investment and loan portfolios; or other permitted purposes. Such circumstances would generally arise under stress condi</w:t>
      </w:r>
      <w:r>
        <w:rPr>
          <w:rFonts w:ascii="Arial" w:eastAsia="宋体" w:hAnsi="Arial" w:cs="Arial"/>
          <w:color w:val="000000"/>
          <w:sz w:val="20"/>
          <w:szCs w:val="20"/>
        </w:rPr>
        <w:t>tions including deterioration in credit ratings. A recurring use of our liquidity involves our deployment of HQLA from our investment portfolio to post collateral to financial institutions serving as sources of securities under our enhanced custody program</w:t>
      </w:r>
      <w:r>
        <w:rPr>
          <w:rFonts w:ascii="Arial" w:eastAsia="宋体" w:hAnsi="Arial" w:cs="Arial"/>
          <w:color w:val="000000"/>
          <w:sz w:val="20"/>
          <w:szCs w:val="20"/>
        </w:rPr>
        <w:t>.</w:t>
      </w:r>
    </w:p>
    <w:p w14:paraId="74DD91F8" w14:textId="77777777" w:rsidR="00584EC1" w:rsidRDefault="00871F8D">
      <w:pPr>
        <w:spacing w:before="60"/>
        <w:ind w:firstLine="450"/>
        <w:jc w:val="both"/>
        <w:textAlignment w:val="top"/>
      </w:pPr>
      <w:r>
        <w:rPr>
          <w:rFonts w:ascii="Arial" w:eastAsia="宋体" w:hAnsi="Arial" w:cs="Arial"/>
          <w:color w:val="000000"/>
          <w:sz w:val="20"/>
          <w:szCs w:val="20"/>
        </w:rPr>
        <w:t>We had unfunded commitments to extend credit with gross contractual amounts totaling $34.47 billion and $34.21 billion and standby letters of credit totaling $3.33 billion and $3.33 billion as of September 30, 2021 and December 31, 2020, respectively. Th</w:t>
      </w:r>
      <w:r>
        <w:rPr>
          <w:rFonts w:ascii="Arial" w:eastAsia="宋体" w:hAnsi="Arial" w:cs="Arial"/>
          <w:color w:val="000000"/>
          <w:sz w:val="20"/>
          <w:szCs w:val="20"/>
        </w:rPr>
        <w:t xml:space="preserve">ese amounts do not reflect the value of any collateral. As of September 30, 2021, approximately 73% of our unfunded commitments to extend credit and 28% of our standby letters of credit expire within one year. Since many of our commitments are expected to </w:t>
      </w:r>
      <w:r>
        <w:rPr>
          <w:rFonts w:ascii="Arial" w:eastAsia="宋体" w:hAnsi="Arial" w:cs="Arial"/>
          <w:color w:val="000000"/>
          <w:sz w:val="20"/>
          <w:szCs w:val="20"/>
        </w:rPr>
        <w:t>expire or renew without being drawn upon, the gross contractual amounts do not necessarily represent our future cash requirements.</w:t>
      </w:r>
    </w:p>
    <w:p w14:paraId="74DD91F9" w14:textId="77777777" w:rsidR="00584EC1" w:rsidRDefault="00871F8D">
      <w:pPr>
        <w:spacing w:before="60"/>
        <w:jc w:val="both"/>
        <w:textAlignment w:val="top"/>
      </w:pPr>
      <w:r>
        <w:rPr>
          <w:rFonts w:ascii="Arial" w:eastAsia="宋体" w:hAnsi="Arial" w:cs="Arial"/>
          <w:i/>
          <w:iCs/>
          <w:color w:val="000000"/>
          <w:sz w:val="20"/>
          <w:szCs w:val="20"/>
        </w:rPr>
        <w:t>Resolution Planning</w:t>
      </w:r>
    </w:p>
    <w:p w14:paraId="74DD91FA" w14:textId="77777777" w:rsidR="00584EC1" w:rsidRDefault="00871F8D">
      <w:pPr>
        <w:spacing w:before="60"/>
        <w:ind w:firstLine="450"/>
        <w:jc w:val="both"/>
        <w:textAlignment w:val="top"/>
      </w:pPr>
      <w:r>
        <w:rPr>
          <w:rFonts w:ascii="Arial" w:eastAsia="宋体" w:hAnsi="Arial" w:cs="Arial"/>
          <w:color w:val="000000"/>
          <w:sz w:val="20"/>
          <w:szCs w:val="20"/>
        </w:rPr>
        <w:t>State Street, like other bank holding companies considered systemically important, periodically submits a plan for rapid and orderly resolution in the event of material financial distress or failure, commonly referred to as a resolution plan or a living wi</w:t>
      </w:r>
      <w:r>
        <w:rPr>
          <w:rFonts w:ascii="Arial" w:eastAsia="宋体" w:hAnsi="Arial" w:cs="Arial"/>
          <w:color w:val="000000"/>
          <w:sz w:val="20"/>
          <w:szCs w:val="20"/>
        </w:rPr>
        <w:t>ll, to the Federal Reserve and the FDIC under Section 165(d) of the Dodd-Frank Act. Through resolution planning, we seek, in the event of our insolvency, to maintain State Street Bank’s role as a key infrastructure provider within the financial system, whi</w:t>
      </w:r>
      <w:r>
        <w:rPr>
          <w:rFonts w:ascii="Arial" w:eastAsia="宋体" w:hAnsi="Arial" w:cs="Arial"/>
          <w:color w:val="000000"/>
          <w:sz w:val="20"/>
          <w:szCs w:val="20"/>
        </w:rPr>
        <w:t xml:space="preserve">le minimizing risk to the financial system and maximizing value for the benefit of our stakeholders. We have and will continue to focus management </w:t>
      </w:r>
    </w:p>
    <w:p w14:paraId="74DD91FB" w14:textId="77777777" w:rsidR="00584EC1" w:rsidRDefault="00871F8D">
      <w:pPr>
        <w:spacing w:before="60"/>
        <w:jc w:val="both"/>
        <w:textAlignment w:val="top"/>
      </w:pPr>
      <w:r>
        <w:rPr>
          <w:rFonts w:ascii="Arial" w:eastAsia="宋体" w:hAnsi="Arial" w:cs="Arial"/>
          <w:color w:val="000000"/>
          <w:sz w:val="20"/>
          <w:szCs w:val="20"/>
        </w:rPr>
        <w:t xml:space="preserve">attention and resources to meet regulatory expectations with respect to resolution planning. </w:t>
      </w:r>
    </w:p>
    <w:p w14:paraId="74DD91FC" w14:textId="77777777" w:rsidR="00584EC1" w:rsidRDefault="00871F8D">
      <w:pPr>
        <w:spacing w:before="60"/>
        <w:ind w:firstLine="450"/>
        <w:jc w:val="both"/>
        <w:textAlignment w:val="top"/>
      </w:pPr>
      <w:r>
        <w:rPr>
          <w:rFonts w:ascii="Arial" w:eastAsia="宋体" w:hAnsi="Arial" w:cs="Arial"/>
          <w:color w:val="000000"/>
          <w:sz w:val="20"/>
          <w:szCs w:val="20"/>
        </w:rPr>
        <w:t>The Federal Re</w:t>
      </w:r>
      <w:r>
        <w:rPr>
          <w:rFonts w:ascii="Arial" w:eastAsia="宋体" w:hAnsi="Arial" w:cs="Arial"/>
          <w:color w:val="000000"/>
          <w:sz w:val="20"/>
          <w:szCs w:val="20"/>
        </w:rPr>
        <w:t>serve and FDIC jointly issued a final rule that was published in the Federal Register on November 1, 2019. This final rule revised the implementation requirements under the Dodd Frank Act's resolution planning provisions by means of establishing a biennial</w:t>
      </w:r>
      <w:r>
        <w:rPr>
          <w:rFonts w:ascii="Arial" w:eastAsia="宋体" w:hAnsi="Arial" w:cs="Arial"/>
          <w:color w:val="000000"/>
          <w:sz w:val="20"/>
          <w:szCs w:val="20"/>
        </w:rPr>
        <w:t xml:space="preserve"> filing cycle for the U.S. G-SIBs, including State Street. This cycle alternates between a targeted resolution plan, followed two years later by a full resolution plan. The Agencies published on June 29, 2020 the scope for the 2021 targeted resolution plan</w:t>
      </w:r>
      <w:r>
        <w:rPr>
          <w:rFonts w:ascii="Arial" w:eastAsia="宋体" w:hAnsi="Arial" w:cs="Arial"/>
          <w:color w:val="000000"/>
          <w:sz w:val="20"/>
          <w:szCs w:val="20"/>
        </w:rPr>
        <w:t>, to include the core elements of resolution planning and some specific firm level information, as well as the impact of the COVID-19 pandemic. We submitted our 2021 targeted resolution plan to the Agencies by July 1, 2021.</w:t>
      </w:r>
    </w:p>
    <w:p w14:paraId="74DD91FD" w14:textId="77777777" w:rsidR="00584EC1" w:rsidRDefault="00871F8D">
      <w:pPr>
        <w:spacing w:before="60"/>
        <w:ind w:firstLine="450"/>
        <w:jc w:val="both"/>
        <w:textAlignment w:val="top"/>
      </w:pPr>
      <w:r>
        <w:rPr>
          <w:rFonts w:ascii="Arial" w:eastAsia="宋体" w:hAnsi="Arial" w:cs="Arial"/>
          <w:color w:val="000000"/>
          <w:sz w:val="20"/>
          <w:szCs w:val="20"/>
        </w:rPr>
        <w:t>In the event of material financi</w:t>
      </w:r>
      <w:r>
        <w:rPr>
          <w:rFonts w:ascii="Arial" w:eastAsia="宋体" w:hAnsi="Arial" w:cs="Arial"/>
          <w:color w:val="000000"/>
          <w:sz w:val="20"/>
          <w:szCs w:val="20"/>
        </w:rPr>
        <w:t>al distress or failure, our preferred resolution strategy is the SPOE Strategy. For additional information about the SPOE Strategy, refer to pages 18 to 20 included under Item 1, Business, in our 2020 Form 10-K. The SPOE Strategy provides that prior to the</w:t>
      </w:r>
      <w:r>
        <w:rPr>
          <w:rFonts w:ascii="Arial" w:eastAsia="宋体" w:hAnsi="Arial" w:cs="Arial"/>
          <w:color w:val="000000"/>
          <w:sz w:val="20"/>
          <w:szCs w:val="20"/>
        </w:rPr>
        <w:t xml:space="preserve"> bankruptcy of the Parent Company and pursuant to a support agreement among the Parent Company, SSIF, our Beneficiary Entities (as defined below) and certain other of our entities, SSIF is obligated, up to its available resources, to recapitalize and/or pr</w:t>
      </w:r>
      <w:r>
        <w:rPr>
          <w:rFonts w:ascii="Arial" w:eastAsia="宋体" w:hAnsi="Arial" w:cs="Arial"/>
          <w:color w:val="000000"/>
          <w:sz w:val="20"/>
          <w:szCs w:val="20"/>
        </w:rPr>
        <w:t>ovide liquidity to State Street Bank and our other entities benefiting from such capital and/or liquidity (collectively with State Street Bank, “Beneficiary Entities”), in amounts designed to prevent the Beneficiary Entities from themselves entering into r</w:t>
      </w:r>
      <w:r>
        <w:rPr>
          <w:rFonts w:ascii="Arial" w:eastAsia="宋体" w:hAnsi="Arial" w:cs="Arial"/>
          <w:color w:val="000000"/>
          <w:sz w:val="20"/>
          <w:szCs w:val="20"/>
        </w:rPr>
        <w:t>esolution proceedings. Following the recapitalization of, or provision of liquidity to the Beneficiary Entities, the Parent Company would enter into a bankruptcy proceeding under the U.S. Bankruptcy Code. The Beneficiary Entities and our subsidiaries would</w:t>
      </w:r>
      <w:r>
        <w:rPr>
          <w:rFonts w:ascii="Arial" w:eastAsia="宋体" w:hAnsi="Arial" w:cs="Arial"/>
          <w:color w:val="000000"/>
          <w:sz w:val="20"/>
          <w:szCs w:val="20"/>
        </w:rPr>
        <w:t xml:space="preserve"> be transferred to a newly organized holding company held by a reorganization trust for the benefit of the Parent Company’s claimants. </w:t>
      </w:r>
    </w:p>
    <w:p w14:paraId="74DD91FE" w14:textId="77777777" w:rsidR="00584EC1" w:rsidRDefault="00871F8D">
      <w:pPr>
        <w:spacing w:before="60"/>
        <w:ind w:firstLine="450"/>
        <w:jc w:val="both"/>
        <w:textAlignment w:val="top"/>
      </w:pPr>
      <w:r>
        <w:rPr>
          <w:rFonts w:ascii="Arial" w:eastAsia="宋体" w:hAnsi="Arial" w:cs="Arial"/>
          <w:color w:val="000000"/>
          <w:sz w:val="20"/>
          <w:szCs w:val="20"/>
        </w:rPr>
        <w:t>Under the support agreement, the Parent Company has pre-funded SSIF by contributing certain of its assets (primarily its</w:t>
      </w:r>
      <w:r>
        <w:rPr>
          <w:rFonts w:ascii="Arial" w:eastAsia="宋体" w:hAnsi="Arial" w:cs="Arial"/>
          <w:color w:val="000000"/>
          <w:sz w:val="20"/>
          <w:szCs w:val="20"/>
        </w:rPr>
        <w:t xml:space="preserve"> liquid assets, cash deposits, debt investments, investments in marketable securities and other cash and non-cash equivalent investments) to SSIF contemporaneous with entering into the support agreement and will continue to contribute such assets, to the e</w:t>
      </w:r>
      <w:r>
        <w:rPr>
          <w:rFonts w:ascii="Arial" w:eastAsia="宋体" w:hAnsi="Arial" w:cs="Arial"/>
          <w:color w:val="000000"/>
          <w:sz w:val="20"/>
          <w:szCs w:val="20"/>
        </w:rPr>
        <w:t>xtent available, on an on-going basis. In consideration for these contributions, SSIF has agreed in the support agreement to provide capital and liquidity support to the Parent Company and all of the Beneficiary Entities in accordance with the Parent Compa</w:t>
      </w:r>
      <w:r>
        <w:rPr>
          <w:rFonts w:ascii="Arial" w:eastAsia="宋体" w:hAnsi="Arial" w:cs="Arial"/>
          <w:color w:val="000000"/>
          <w:sz w:val="20"/>
          <w:szCs w:val="20"/>
        </w:rPr>
        <w:t xml:space="preserve">ny’s capital and liquidity policies. Under the support agreement, the Parent Company is only permitted to retain certain amounts of cash needed to meet its </w:t>
      </w:r>
    </w:p>
    <w:p w14:paraId="74DD91FF" w14:textId="77777777" w:rsidR="00584EC1" w:rsidRDefault="00871F8D">
      <w:pPr>
        <w:ind w:firstLine="450"/>
        <w:jc w:val="right"/>
      </w:pPr>
      <w:r>
        <w:rPr>
          <w:rFonts w:ascii="Arial" w:eastAsia="宋体" w:hAnsi="Arial" w:cs="Arial"/>
          <w:color w:val="000000"/>
          <w:sz w:val="18"/>
          <w:szCs w:val="18"/>
        </w:rPr>
        <w:t>State Street Corporation | 34</w:t>
      </w:r>
    </w:p>
    <w:p w14:paraId="74DD9200" w14:textId="77777777" w:rsidR="00584EC1" w:rsidRDefault="00584EC1">
      <w:pPr>
        <w:ind w:firstLine="450"/>
        <w:jc w:val="center"/>
      </w:pPr>
    </w:p>
    <w:p w14:paraId="74DD9201" w14:textId="77777777" w:rsidR="00584EC1" w:rsidRDefault="00871F8D">
      <w:r>
        <w:pict w14:anchorId="74DE2A10">
          <v:rect id="_x0000_i1058" style="width:415.3pt;height:1.5pt" o:hralign="center" o:hrstd="t" o:hr="t" fillcolor="#a0a0a0" stroked="f"/>
        </w:pict>
      </w:r>
    </w:p>
    <w:p w14:paraId="74DD9202" w14:textId="77777777" w:rsidR="00584EC1" w:rsidRDefault="00871F8D">
      <w:pPr>
        <w:ind w:firstLine="450"/>
        <w:jc w:val="center"/>
      </w:pPr>
      <w:r>
        <w:rPr>
          <w:rFonts w:ascii="Arial" w:eastAsia="宋体" w:hAnsi="Arial" w:cs="Arial"/>
          <w:b/>
          <w:bCs/>
          <w:color w:val="000000"/>
          <w:sz w:val="20"/>
          <w:szCs w:val="20"/>
        </w:rPr>
        <w:t>MANAGEMENT’S DISCUSSION AND ANALYSIS OF FINANCIAL CONDITION</w:t>
      </w:r>
    </w:p>
    <w:p w14:paraId="74DD9203" w14:textId="77777777" w:rsidR="00584EC1" w:rsidRDefault="00871F8D">
      <w:pPr>
        <w:ind w:firstLine="450"/>
        <w:jc w:val="center"/>
      </w:pPr>
      <w:r>
        <w:rPr>
          <w:rFonts w:ascii="Arial" w:eastAsia="宋体" w:hAnsi="Arial" w:cs="Arial"/>
          <w:b/>
          <w:bCs/>
          <w:color w:val="000000"/>
          <w:sz w:val="20"/>
          <w:szCs w:val="20"/>
        </w:rPr>
        <w:t>AND RE</w:t>
      </w:r>
      <w:r>
        <w:rPr>
          <w:rFonts w:ascii="Arial" w:eastAsia="宋体" w:hAnsi="Arial" w:cs="Arial"/>
          <w:b/>
          <w:bCs/>
          <w:color w:val="000000"/>
          <w:sz w:val="20"/>
          <w:szCs w:val="20"/>
        </w:rPr>
        <w:t>SULTS OF OPERATIONS</w:t>
      </w:r>
    </w:p>
    <w:p w14:paraId="74DD9204" w14:textId="77777777" w:rsidR="00584EC1" w:rsidRDefault="00871F8D">
      <w:pPr>
        <w:spacing w:before="60"/>
        <w:jc w:val="both"/>
        <w:textAlignment w:val="top"/>
      </w:pPr>
      <w:r>
        <w:rPr>
          <w:rFonts w:ascii="Arial" w:eastAsia="宋体" w:hAnsi="Arial" w:cs="Arial"/>
          <w:color w:val="000000"/>
          <w:sz w:val="20"/>
          <w:szCs w:val="20"/>
        </w:rPr>
        <w:t>upcoming obligations and to fund expenses during a potential bankruptcy proceeding. SSIF has provided the Parent Company with a committed credit line and issued (and may issue) one or more promissory notes to the Parent Company (the Par</w:t>
      </w:r>
      <w:r>
        <w:rPr>
          <w:rFonts w:ascii="Arial" w:eastAsia="宋体" w:hAnsi="Arial" w:cs="Arial"/>
          <w:color w:val="000000"/>
          <w:sz w:val="20"/>
          <w:szCs w:val="20"/>
        </w:rPr>
        <w:t>ent Company Funding Notes) that together are intended to allow us to continue to meet our obligations throughout the period prior to the occurrence of a "Recapitalization Event" (as defined below). The support agreement does not contemplate that SSIF is ob</w:t>
      </w:r>
      <w:r>
        <w:rPr>
          <w:rFonts w:ascii="Arial" w:eastAsia="宋体" w:hAnsi="Arial" w:cs="Arial"/>
          <w:color w:val="000000"/>
          <w:sz w:val="20"/>
          <w:szCs w:val="20"/>
        </w:rPr>
        <w:t>ligated to maintain any specific level of resources and SSIF may not have sufficient resources to implement the SPOE Strategy.</w:t>
      </w:r>
    </w:p>
    <w:p w14:paraId="74DD9205" w14:textId="77777777" w:rsidR="00584EC1" w:rsidRDefault="00871F8D">
      <w:pPr>
        <w:spacing w:before="60"/>
        <w:ind w:firstLine="450"/>
        <w:jc w:val="both"/>
        <w:textAlignment w:val="top"/>
      </w:pPr>
      <w:r>
        <w:rPr>
          <w:rFonts w:ascii="Arial" w:eastAsia="宋体" w:hAnsi="Arial" w:cs="Arial"/>
          <w:color w:val="000000"/>
          <w:sz w:val="20"/>
          <w:szCs w:val="20"/>
        </w:rPr>
        <w:t>In the event a Recapitalization Event occurs, the obligations outstanding under the Parent Company Funding Notes would automatica</w:t>
      </w:r>
      <w:r>
        <w:rPr>
          <w:rFonts w:ascii="Arial" w:eastAsia="宋体" w:hAnsi="Arial" w:cs="Arial"/>
          <w:color w:val="000000"/>
          <w:sz w:val="20"/>
          <w:szCs w:val="20"/>
        </w:rPr>
        <w:t>lly convert into or be exchanged for capital contributed to SSIF. The obligations of the Parent Company and SSIF under the support agreement are secured through a security agreement that grants a lien on the assets that the Parent Company and SSIF would us</w:t>
      </w:r>
      <w:r>
        <w:rPr>
          <w:rFonts w:ascii="Arial" w:eastAsia="宋体" w:hAnsi="Arial" w:cs="Arial"/>
          <w:color w:val="000000"/>
          <w:sz w:val="20"/>
          <w:szCs w:val="20"/>
        </w:rPr>
        <w:t xml:space="preserve">e to fulfill their obligations under the support agreement to the Beneficiary Entities. SSIF is a distinct legal entity separate from the Parent Company and the Parent Company’s other affiliates. </w:t>
      </w:r>
    </w:p>
    <w:p w14:paraId="74DD9206" w14:textId="77777777" w:rsidR="00584EC1" w:rsidRDefault="00871F8D">
      <w:pPr>
        <w:spacing w:before="60"/>
        <w:ind w:firstLine="450"/>
        <w:jc w:val="both"/>
        <w:textAlignment w:val="top"/>
      </w:pPr>
      <w:r>
        <w:rPr>
          <w:rFonts w:ascii="Arial" w:eastAsia="宋体" w:hAnsi="Arial" w:cs="Arial"/>
          <w:color w:val="000000"/>
          <w:sz w:val="20"/>
          <w:szCs w:val="20"/>
        </w:rPr>
        <w:t>In accordance with its policies, we are required to monitor</w:t>
      </w:r>
      <w:r>
        <w:rPr>
          <w:rFonts w:ascii="Arial" w:eastAsia="宋体" w:hAnsi="Arial" w:cs="Arial"/>
          <w:color w:val="000000"/>
          <w:sz w:val="20"/>
          <w:szCs w:val="20"/>
        </w:rPr>
        <w:t>, on an ongoing basis, the capital and liquidity needs of State Street Bank and the other Beneficiary Entities. To support this process, we have established a trigger framework that identifies key actions that would need to be taken or decisions that would</w:t>
      </w:r>
      <w:r>
        <w:rPr>
          <w:rFonts w:ascii="Arial" w:eastAsia="宋体" w:hAnsi="Arial" w:cs="Arial"/>
          <w:color w:val="000000"/>
          <w:sz w:val="20"/>
          <w:szCs w:val="20"/>
        </w:rPr>
        <w:t xml:space="preserve"> need to be made if certain events tied to our financial condition occur. In the event that we experience material financial distress, the support agreement requires us to model and calculate certain capital and liquidity triggers on a regular basis to det</w:t>
      </w:r>
      <w:r>
        <w:rPr>
          <w:rFonts w:ascii="Arial" w:eastAsia="宋体" w:hAnsi="Arial" w:cs="Arial"/>
          <w:color w:val="000000"/>
          <w:sz w:val="20"/>
          <w:szCs w:val="20"/>
        </w:rPr>
        <w:t xml:space="preserve">ermine whether or not the Parent Company should commence preparations for a bankruptcy filing and whether or not a Recapitalization Event has occurred. </w:t>
      </w:r>
    </w:p>
    <w:p w14:paraId="74DD9207" w14:textId="77777777" w:rsidR="00584EC1" w:rsidRDefault="00871F8D">
      <w:pPr>
        <w:spacing w:before="60"/>
        <w:ind w:firstLine="450"/>
        <w:jc w:val="both"/>
        <w:textAlignment w:val="top"/>
      </w:pPr>
      <w:r>
        <w:rPr>
          <w:rFonts w:ascii="Arial" w:eastAsia="宋体" w:hAnsi="Arial" w:cs="Arial"/>
          <w:color w:val="000000"/>
          <w:sz w:val="20"/>
          <w:szCs w:val="20"/>
        </w:rPr>
        <w:t>Upon the occurrence of a Recapitalization Event: (1) SSIF would not be authorized to provide any furthe</w:t>
      </w:r>
      <w:r>
        <w:rPr>
          <w:rFonts w:ascii="Arial" w:eastAsia="宋体" w:hAnsi="Arial" w:cs="Arial"/>
          <w:color w:val="000000"/>
          <w:sz w:val="20"/>
          <w:szCs w:val="20"/>
        </w:rPr>
        <w:t xml:space="preserve">r liquidity to the Parent Company; (2) the Parent Company would be required to contribute to SSIF any remaining assets it is required to contribute to SSIF under the support agreement; (3) SSIF would be required to provide capital and liquidity support to </w:t>
      </w:r>
      <w:r>
        <w:rPr>
          <w:rFonts w:ascii="Arial" w:eastAsia="宋体" w:hAnsi="Arial" w:cs="Arial"/>
          <w:color w:val="000000"/>
          <w:sz w:val="20"/>
          <w:szCs w:val="20"/>
        </w:rPr>
        <w:t>the Beneficiary Entities to support such entities’ continued operation; and (4) the Parent Company would be expected to commence Chapter 11 proceedings under the U.S. Bankruptcy Code. No person or entity, other than a party to the support agreement, should</w:t>
      </w:r>
      <w:r>
        <w:rPr>
          <w:rFonts w:ascii="Arial" w:eastAsia="宋体" w:hAnsi="Arial" w:cs="Arial"/>
          <w:color w:val="000000"/>
          <w:sz w:val="20"/>
          <w:szCs w:val="20"/>
        </w:rPr>
        <w:t xml:space="preserve"> rely, including in evaluating any of our entities from a creditor's perspective or determining whether to enter into a contractual relationship with any of our entities, on any of our affiliates being or remaining a Beneficiary Entity or </w:t>
      </w:r>
    </w:p>
    <w:p w14:paraId="74DD9208" w14:textId="77777777" w:rsidR="00584EC1" w:rsidRDefault="00871F8D">
      <w:pPr>
        <w:spacing w:before="60"/>
        <w:jc w:val="both"/>
        <w:textAlignment w:val="top"/>
      </w:pPr>
      <w:r>
        <w:rPr>
          <w:rFonts w:ascii="Arial" w:eastAsia="宋体" w:hAnsi="Arial" w:cs="Arial"/>
          <w:color w:val="000000"/>
          <w:sz w:val="20"/>
          <w:szCs w:val="20"/>
        </w:rPr>
        <w:t>receiving capita</w:t>
      </w:r>
      <w:r>
        <w:rPr>
          <w:rFonts w:ascii="Arial" w:eastAsia="宋体" w:hAnsi="Arial" w:cs="Arial"/>
          <w:color w:val="000000"/>
          <w:sz w:val="20"/>
          <w:szCs w:val="20"/>
        </w:rPr>
        <w:t xml:space="preserve">l or liquidity support pursuant to the support agreement. </w:t>
      </w:r>
    </w:p>
    <w:p w14:paraId="74DD9209" w14:textId="77777777" w:rsidR="00584EC1" w:rsidRDefault="00871F8D">
      <w:pPr>
        <w:spacing w:before="60"/>
        <w:ind w:firstLine="450"/>
        <w:jc w:val="both"/>
        <w:textAlignment w:val="top"/>
      </w:pPr>
      <w:r>
        <w:rPr>
          <w:rFonts w:ascii="Arial" w:eastAsia="宋体" w:hAnsi="Arial" w:cs="Arial"/>
          <w:color w:val="000000"/>
          <w:sz w:val="20"/>
          <w:szCs w:val="20"/>
        </w:rPr>
        <w:t xml:space="preserve">A “Recapitalization Event” is defined under the support agreement as the earlier occurrence of one or more capital and liquidity thresholds being breached or the authorization by the Parent </w:t>
      </w:r>
      <w:r>
        <w:rPr>
          <w:rFonts w:ascii="Arial" w:eastAsia="宋体" w:hAnsi="Arial" w:cs="Arial"/>
          <w:color w:val="000000"/>
          <w:sz w:val="20"/>
          <w:szCs w:val="20"/>
        </w:rPr>
        <w:t>Company's Board of Directors for the Parent Company to commence bankruptcy proceedings. These thresholds are set at levels intended to provide for the availability of sufficient capital and liquidity to enable an orderly resolution without extraordinary go</w:t>
      </w:r>
      <w:r>
        <w:rPr>
          <w:rFonts w:ascii="Arial" w:eastAsia="宋体" w:hAnsi="Arial" w:cs="Arial"/>
          <w:color w:val="000000"/>
          <w:sz w:val="20"/>
          <w:szCs w:val="20"/>
        </w:rPr>
        <w:t>vernment support. The SPOE Strategy and the obligations under the support agreement may result in the recapitalization of State Street Bank and the commencement of bankruptcy proceedings by the Parent Company at an earlier stage of financial stress than mi</w:t>
      </w:r>
      <w:r>
        <w:rPr>
          <w:rFonts w:ascii="Arial" w:eastAsia="宋体" w:hAnsi="Arial" w:cs="Arial"/>
          <w:color w:val="000000"/>
          <w:sz w:val="20"/>
          <w:szCs w:val="20"/>
        </w:rPr>
        <w:t>ght otherwise occur without such mechanisms in place. An expected effect of the SPOE Strategy and applicable TLAC regulatory requirements is that losses will be imposed on the Parent Company shareholders and the holders of long-term debt and other forms of</w:t>
      </w:r>
      <w:r>
        <w:rPr>
          <w:rFonts w:ascii="Arial" w:eastAsia="宋体" w:hAnsi="Arial" w:cs="Arial"/>
          <w:color w:val="000000"/>
          <w:sz w:val="20"/>
          <w:szCs w:val="20"/>
        </w:rPr>
        <w:t xml:space="preserve"> TLAC securities currently outstanding or issued in the future by the Parent Company, as well as on any other Parent Company creditors, before any of its losses are imposed on the holders of the debt securities of the Parent Company's operating subsidiarie</w:t>
      </w:r>
      <w:r>
        <w:rPr>
          <w:rFonts w:ascii="Arial" w:eastAsia="宋体" w:hAnsi="Arial" w:cs="Arial"/>
          <w:color w:val="000000"/>
          <w:sz w:val="20"/>
          <w:szCs w:val="20"/>
        </w:rPr>
        <w:t>s or any of their depositors or creditors, or before U.S. taxpayers are put at risk.</w:t>
      </w:r>
    </w:p>
    <w:p w14:paraId="74DD920A" w14:textId="77777777" w:rsidR="00584EC1" w:rsidRDefault="00871F8D">
      <w:pPr>
        <w:spacing w:before="60"/>
        <w:ind w:firstLine="450"/>
        <w:jc w:val="both"/>
        <w:textAlignment w:val="top"/>
      </w:pPr>
      <w:r>
        <w:rPr>
          <w:rFonts w:ascii="Arial" w:eastAsia="宋体" w:hAnsi="Arial" w:cs="Arial"/>
          <w:color w:val="000000"/>
          <w:sz w:val="20"/>
          <w:szCs w:val="20"/>
        </w:rPr>
        <w:t>There can be no assurance that credit rating agencies, in response to our 2021 resolution plan or the support agreement, will not downgrade, place on negative watch or cha</w:t>
      </w:r>
      <w:r>
        <w:rPr>
          <w:rFonts w:ascii="Arial" w:eastAsia="宋体" w:hAnsi="Arial" w:cs="Arial"/>
          <w:color w:val="000000"/>
          <w:sz w:val="20"/>
          <w:szCs w:val="20"/>
        </w:rPr>
        <w:t xml:space="preserve">nge their outlook on our debt credit ratings, generally or on specific debt securities. Any such downgrade, placement on negative watch or change in outlook could adversely affect our cost of borrowing, limit our access to the capital markets or result in </w:t>
      </w:r>
      <w:r>
        <w:rPr>
          <w:rFonts w:ascii="Arial" w:eastAsia="宋体" w:hAnsi="Arial" w:cs="Arial"/>
          <w:color w:val="000000"/>
          <w:sz w:val="20"/>
          <w:szCs w:val="20"/>
        </w:rPr>
        <w:t>restrictive covenants in future debt agreements and could also adversely impact the trading prices, or the liquidity, of our outstanding debt securities.</w:t>
      </w:r>
    </w:p>
    <w:p w14:paraId="74DD920B" w14:textId="77777777" w:rsidR="00584EC1" w:rsidRDefault="00871F8D">
      <w:pPr>
        <w:spacing w:before="60"/>
        <w:ind w:firstLine="450"/>
        <w:jc w:val="both"/>
        <w:textAlignment w:val="top"/>
      </w:pPr>
      <w:r>
        <w:rPr>
          <w:rFonts w:ascii="Arial" w:eastAsia="宋体" w:hAnsi="Arial" w:cs="Arial"/>
          <w:color w:val="000000"/>
          <w:sz w:val="20"/>
          <w:szCs w:val="20"/>
        </w:rPr>
        <w:t>State Street Bank is also required to submit, periodically in accordance with applicable regulations a</w:t>
      </w:r>
      <w:r>
        <w:rPr>
          <w:rFonts w:ascii="Arial" w:eastAsia="宋体" w:hAnsi="Arial" w:cs="Arial"/>
          <w:color w:val="000000"/>
          <w:sz w:val="20"/>
          <w:szCs w:val="20"/>
        </w:rPr>
        <w:t>nd FDIC guidance, a plan for resolution in the event of its failure, referred to as an Insured Depository Institution (IDI) plan. On April 22, 2019, the Federal Register published the FDIC’s advance notice of proposed rulemaking in which it invited comment</w:t>
      </w:r>
      <w:r>
        <w:rPr>
          <w:rFonts w:ascii="Arial" w:eastAsia="宋体" w:hAnsi="Arial" w:cs="Arial"/>
          <w:color w:val="000000"/>
          <w:sz w:val="20"/>
          <w:szCs w:val="20"/>
        </w:rPr>
        <w:t xml:space="preserve"> on potential revisions to its IDI plan requirements. In addition to this advance notice of proposed rulemaking, on April 16, 2019, the FDIC Board voted to delay the next round of submissions under the IDI Rule until the rulemaking process has been complet</w:t>
      </w:r>
      <w:r>
        <w:rPr>
          <w:rFonts w:ascii="Arial" w:eastAsia="宋体" w:hAnsi="Arial" w:cs="Arial"/>
          <w:color w:val="000000"/>
          <w:sz w:val="20"/>
          <w:szCs w:val="20"/>
        </w:rPr>
        <w:t>ed. On June 25, 2021, the FDIC issued a policy statement adjusting the timing of IDI plan submissions to a triennial filing for State Street and the other U.S. G-SIBs.</w:t>
      </w:r>
    </w:p>
    <w:p w14:paraId="74DD920C" w14:textId="77777777" w:rsidR="00584EC1" w:rsidRDefault="00871F8D">
      <w:pPr>
        <w:ind w:firstLine="450"/>
        <w:jc w:val="right"/>
      </w:pPr>
      <w:r>
        <w:rPr>
          <w:rFonts w:ascii="Arial" w:eastAsia="宋体" w:hAnsi="Arial" w:cs="Arial"/>
          <w:color w:val="000000"/>
          <w:sz w:val="18"/>
          <w:szCs w:val="18"/>
        </w:rPr>
        <w:t>State Street Corporation | 35</w:t>
      </w:r>
    </w:p>
    <w:p w14:paraId="74DD920D" w14:textId="77777777" w:rsidR="00584EC1" w:rsidRDefault="00584EC1">
      <w:pPr>
        <w:ind w:firstLine="450"/>
        <w:jc w:val="center"/>
      </w:pPr>
    </w:p>
    <w:p w14:paraId="74DD920E" w14:textId="77777777" w:rsidR="00584EC1" w:rsidRDefault="00871F8D">
      <w:r>
        <w:pict w14:anchorId="74DE2A11">
          <v:rect id="_x0000_i1059" style="width:415.3pt;height:1.5pt" o:hralign="center" o:hrstd="t" o:hr="t" fillcolor="#a0a0a0" stroked="f"/>
        </w:pict>
      </w:r>
    </w:p>
    <w:p w14:paraId="74DD920F" w14:textId="77777777" w:rsidR="00584EC1" w:rsidRDefault="00871F8D">
      <w:pPr>
        <w:ind w:firstLine="450"/>
        <w:jc w:val="center"/>
      </w:pPr>
      <w:r>
        <w:rPr>
          <w:rFonts w:ascii="Arial" w:eastAsia="宋体" w:hAnsi="Arial" w:cs="Arial"/>
          <w:b/>
          <w:bCs/>
          <w:color w:val="000000"/>
          <w:sz w:val="20"/>
          <w:szCs w:val="20"/>
        </w:rPr>
        <w:t>MANAGEMENT’S DISCUSSION AND ANALYSIS OF FINANCIAL CONDI</w:t>
      </w:r>
      <w:r>
        <w:rPr>
          <w:rFonts w:ascii="Arial" w:eastAsia="宋体" w:hAnsi="Arial" w:cs="Arial"/>
          <w:b/>
          <w:bCs/>
          <w:color w:val="000000"/>
          <w:sz w:val="20"/>
          <w:szCs w:val="20"/>
        </w:rPr>
        <w:t>TION</w:t>
      </w:r>
    </w:p>
    <w:p w14:paraId="74DD9210" w14:textId="77777777" w:rsidR="00584EC1" w:rsidRDefault="00871F8D">
      <w:pPr>
        <w:ind w:firstLine="450"/>
        <w:jc w:val="center"/>
      </w:pPr>
      <w:r>
        <w:rPr>
          <w:rFonts w:ascii="Arial" w:eastAsia="宋体" w:hAnsi="Arial" w:cs="Arial"/>
          <w:b/>
          <w:bCs/>
          <w:color w:val="000000"/>
          <w:sz w:val="20"/>
          <w:szCs w:val="20"/>
        </w:rPr>
        <w:t>AND RESULTS OF OPERATIONS</w:t>
      </w:r>
    </w:p>
    <w:p w14:paraId="74DD9211" w14:textId="77777777" w:rsidR="00584EC1" w:rsidRDefault="00871F8D">
      <w:pPr>
        <w:spacing w:before="60"/>
        <w:textAlignment w:val="top"/>
      </w:pPr>
      <w:r>
        <w:rPr>
          <w:rFonts w:ascii="Arial" w:eastAsia="宋体" w:hAnsi="Arial" w:cs="Arial"/>
          <w:b/>
          <w:bCs/>
          <w:i/>
          <w:iCs/>
          <w:color w:val="000000"/>
          <w:sz w:val="20"/>
          <w:szCs w:val="20"/>
        </w:rPr>
        <w:t>Funding</w:t>
      </w:r>
    </w:p>
    <w:p w14:paraId="74DD9212" w14:textId="77777777" w:rsidR="00584EC1" w:rsidRDefault="00871F8D">
      <w:pPr>
        <w:spacing w:before="60"/>
        <w:textAlignment w:val="top"/>
      </w:pPr>
      <w:r>
        <w:rPr>
          <w:rFonts w:ascii="Arial" w:eastAsia="宋体" w:hAnsi="Arial" w:cs="Arial"/>
          <w:i/>
          <w:iCs/>
          <w:color w:val="000000"/>
          <w:sz w:val="20"/>
          <w:szCs w:val="20"/>
        </w:rPr>
        <w:t>Deposits</w:t>
      </w:r>
    </w:p>
    <w:p w14:paraId="74DD9213" w14:textId="77777777" w:rsidR="00584EC1" w:rsidRDefault="00871F8D">
      <w:pPr>
        <w:spacing w:before="60"/>
        <w:ind w:firstLine="450"/>
        <w:jc w:val="both"/>
        <w:textAlignment w:val="top"/>
      </w:pPr>
      <w:r>
        <w:rPr>
          <w:rFonts w:ascii="Arial" w:eastAsia="宋体" w:hAnsi="Arial" w:cs="Arial"/>
          <w:color w:val="000000"/>
          <w:sz w:val="20"/>
          <w:szCs w:val="20"/>
        </w:rPr>
        <w:t>We provide products and services including custody, accounting, administration, daily pricing, FX services, cash management, financial asset management, securities finance and investment advisory services. As a provider of these products and services, we g</w:t>
      </w:r>
      <w:r>
        <w:rPr>
          <w:rFonts w:ascii="Arial" w:eastAsia="宋体" w:hAnsi="Arial" w:cs="Arial"/>
          <w:color w:val="000000"/>
          <w:sz w:val="20"/>
          <w:szCs w:val="20"/>
        </w:rPr>
        <w:t>enerate client deposits, which have generally provided a stable, low-cost source of funds. As a global custodian, clients place deposits with our entities in various currencies. As of September 30, 2021, approximately 64% of our average total deposit balan</w:t>
      </w:r>
      <w:r>
        <w:rPr>
          <w:rFonts w:ascii="Arial" w:eastAsia="宋体" w:hAnsi="Arial" w:cs="Arial"/>
          <w:color w:val="000000"/>
          <w:sz w:val="20"/>
          <w:szCs w:val="20"/>
        </w:rPr>
        <w:t>ces were denominated in U.S. dollars, 16% in EUR, 10% in the British pound Sterling (GBP) and 10% in all other currencies, whereas as of December 31, 2020, approximately 65% of our average total deposit balances were denominated in U.S. dollars, approximat</w:t>
      </w:r>
      <w:r>
        <w:rPr>
          <w:rFonts w:ascii="Arial" w:eastAsia="宋体" w:hAnsi="Arial" w:cs="Arial"/>
          <w:color w:val="000000"/>
          <w:sz w:val="20"/>
          <w:szCs w:val="20"/>
        </w:rPr>
        <w:t xml:space="preserve">ely 15% in EUR, 10% in the British pound Sterling (GBP) and 10% in all other currencies. </w:t>
      </w:r>
    </w:p>
    <w:p w14:paraId="74DD9214" w14:textId="77777777" w:rsidR="00584EC1" w:rsidRDefault="00871F8D">
      <w:pPr>
        <w:spacing w:before="60"/>
        <w:textAlignment w:val="top"/>
      </w:pPr>
      <w:r>
        <w:rPr>
          <w:rFonts w:ascii="Arial" w:eastAsia="宋体" w:hAnsi="Arial" w:cs="Arial"/>
          <w:i/>
          <w:iCs/>
          <w:color w:val="000000"/>
          <w:sz w:val="20"/>
          <w:szCs w:val="20"/>
        </w:rPr>
        <w:t>Short-Term Funding</w:t>
      </w:r>
    </w:p>
    <w:p w14:paraId="74DD9215" w14:textId="77777777" w:rsidR="00584EC1" w:rsidRDefault="00871F8D">
      <w:pPr>
        <w:spacing w:before="60"/>
        <w:ind w:firstLine="450"/>
        <w:jc w:val="both"/>
        <w:textAlignment w:val="top"/>
      </w:pPr>
      <w:r>
        <w:rPr>
          <w:rFonts w:ascii="Arial" w:eastAsia="宋体" w:hAnsi="Arial" w:cs="Arial"/>
          <w:color w:val="000000"/>
          <w:sz w:val="20"/>
          <w:szCs w:val="20"/>
        </w:rPr>
        <w:t>Our on-balance sheet liquid assets are also an integral component of our liquidity management strategy. These assets provide liquidity through matu</w:t>
      </w:r>
      <w:r>
        <w:rPr>
          <w:rFonts w:ascii="Arial" w:eastAsia="宋体" w:hAnsi="Arial" w:cs="Arial"/>
          <w:color w:val="000000"/>
          <w:sz w:val="20"/>
          <w:szCs w:val="20"/>
        </w:rPr>
        <w:t>rities of the assets, but more importantly, they provide us with the ability to raise funds by pledging the securities as collateral for borrowings or through outright sales. In addition, our access to the global capital markets gives us the ability to sou</w:t>
      </w:r>
      <w:r>
        <w:rPr>
          <w:rFonts w:ascii="Arial" w:eastAsia="宋体" w:hAnsi="Arial" w:cs="Arial"/>
          <w:color w:val="000000"/>
          <w:sz w:val="20"/>
          <w:szCs w:val="20"/>
        </w:rPr>
        <w:t>rce incremental funding from wholesale investors. As discussed earlier under “Asset Liquidity,” State Street Bank's membership in the FHLB allows for advances of liquidity with varying terms against high-quality collateral.</w:t>
      </w:r>
    </w:p>
    <w:p w14:paraId="74DD9216" w14:textId="77777777" w:rsidR="00584EC1" w:rsidRDefault="00871F8D">
      <w:pPr>
        <w:spacing w:before="60"/>
        <w:ind w:firstLine="450"/>
        <w:jc w:val="both"/>
        <w:textAlignment w:val="top"/>
      </w:pPr>
      <w:r>
        <w:rPr>
          <w:rFonts w:ascii="Arial" w:eastAsia="宋体" w:hAnsi="Arial" w:cs="Arial"/>
          <w:color w:val="000000"/>
          <w:sz w:val="20"/>
          <w:szCs w:val="20"/>
        </w:rPr>
        <w:t xml:space="preserve">Short-term secured funding also </w:t>
      </w:r>
      <w:r>
        <w:rPr>
          <w:rFonts w:ascii="Arial" w:eastAsia="宋体" w:hAnsi="Arial" w:cs="Arial"/>
          <w:color w:val="000000"/>
          <w:sz w:val="20"/>
          <w:szCs w:val="20"/>
        </w:rPr>
        <w:t xml:space="preserve">comes in the form of securities lent or sold under agreements to repurchase. These transactions are short-term in nature, generally overnight and are collateralized by high-quality investment securities. These balances were $0.64 billion and $3.41 billion </w:t>
      </w:r>
      <w:r>
        <w:rPr>
          <w:rFonts w:ascii="Arial" w:eastAsia="宋体" w:hAnsi="Arial" w:cs="Arial"/>
          <w:color w:val="000000"/>
          <w:sz w:val="20"/>
          <w:szCs w:val="20"/>
        </w:rPr>
        <w:t>as of September 30, 2021 and December 31, 2020, respectively.</w:t>
      </w:r>
    </w:p>
    <w:p w14:paraId="74DD9217" w14:textId="77777777" w:rsidR="00584EC1" w:rsidRDefault="00871F8D">
      <w:pPr>
        <w:spacing w:before="60"/>
        <w:ind w:firstLine="450"/>
        <w:jc w:val="both"/>
        <w:textAlignment w:val="top"/>
      </w:pPr>
      <w:r>
        <w:rPr>
          <w:rFonts w:ascii="Arial" w:eastAsia="宋体" w:hAnsi="Arial" w:cs="Arial"/>
          <w:color w:val="000000"/>
          <w:sz w:val="20"/>
          <w:szCs w:val="20"/>
        </w:rPr>
        <w:t>State Street Bank currently maintains a line of credit with a financial institution of CAD $1.40 billion, or approximately $1.10 billion, as of September 30, 2021, to support its Canadian securi</w:t>
      </w:r>
      <w:r>
        <w:rPr>
          <w:rFonts w:ascii="Arial" w:eastAsia="宋体" w:hAnsi="Arial" w:cs="Arial"/>
          <w:color w:val="000000"/>
          <w:sz w:val="20"/>
          <w:szCs w:val="20"/>
        </w:rPr>
        <w:t>ties processing operations. The line of credit has no stated termination date and is cancelable by either party with prior notice. As of both September 30, 2021 and December 31, 2020, there was no balance outstanding on this line of credit.</w:t>
      </w:r>
    </w:p>
    <w:p w14:paraId="74DD9218" w14:textId="77777777" w:rsidR="00584EC1" w:rsidRDefault="00871F8D">
      <w:pPr>
        <w:spacing w:before="60"/>
        <w:textAlignment w:val="top"/>
      </w:pPr>
      <w:r>
        <w:rPr>
          <w:rFonts w:ascii="Arial" w:eastAsia="宋体" w:hAnsi="Arial" w:cs="Arial"/>
          <w:i/>
          <w:iCs/>
          <w:color w:val="000000"/>
          <w:sz w:val="20"/>
          <w:szCs w:val="20"/>
        </w:rPr>
        <w:t>Long-Term Fundi</w:t>
      </w:r>
      <w:r>
        <w:rPr>
          <w:rFonts w:ascii="Arial" w:eastAsia="宋体" w:hAnsi="Arial" w:cs="Arial"/>
          <w:i/>
          <w:iCs/>
          <w:color w:val="000000"/>
          <w:sz w:val="20"/>
          <w:szCs w:val="20"/>
        </w:rPr>
        <w:t>ng</w:t>
      </w:r>
    </w:p>
    <w:p w14:paraId="74DD9219" w14:textId="77777777" w:rsidR="00584EC1" w:rsidRDefault="00871F8D">
      <w:pPr>
        <w:spacing w:before="60"/>
        <w:ind w:firstLine="450"/>
        <w:jc w:val="both"/>
        <w:textAlignment w:val="top"/>
      </w:pPr>
      <w:r>
        <w:rPr>
          <w:rFonts w:ascii="Arial" w:eastAsia="宋体" w:hAnsi="Arial" w:cs="Arial"/>
          <w:color w:val="000000"/>
          <w:sz w:val="20"/>
          <w:szCs w:val="20"/>
        </w:rPr>
        <w:t xml:space="preserve">We have the ability to issue debt and equity securities under our current universal shelf registration statement to meet current commitments and business needs. The total amount remaining for </w:t>
      </w:r>
    </w:p>
    <w:p w14:paraId="74DD921A" w14:textId="77777777" w:rsidR="00584EC1" w:rsidRDefault="00871F8D">
      <w:pPr>
        <w:spacing w:before="60"/>
        <w:jc w:val="both"/>
        <w:textAlignment w:val="top"/>
      </w:pPr>
      <w:r>
        <w:rPr>
          <w:rFonts w:ascii="Arial" w:eastAsia="宋体" w:hAnsi="Arial" w:cs="Arial"/>
          <w:color w:val="000000"/>
          <w:sz w:val="20"/>
          <w:szCs w:val="20"/>
        </w:rPr>
        <w:t>issuance under the registration statement is $4.25 billion a</w:t>
      </w:r>
      <w:r>
        <w:rPr>
          <w:rFonts w:ascii="Arial" w:eastAsia="宋体" w:hAnsi="Arial" w:cs="Arial"/>
          <w:color w:val="000000"/>
          <w:sz w:val="20"/>
          <w:szCs w:val="20"/>
        </w:rPr>
        <w:t>s of September 30, 2021. In addition, State Street Bank also has current authorization from the Board to issue up to $5 billion in unsecured senior debt.</w:t>
      </w:r>
    </w:p>
    <w:p w14:paraId="74DD921B" w14:textId="77777777" w:rsidR="00584EC1" w:rsidRDefault="00871F8D">
      <w:pPr>
        <w:spacing w:before="60"/>
        <w:ind w:firstLine="450"/>
        <w:jc w:val="both"/>
        <w:textAlignment w:val="top"/>
      </w:pPr>
      <w:r>
        <w:rPr>
          <w:rFonts w:ascii="Arial" w:eastAsia="宋体" w:hAnsi="Arial" w:cs="Arial"/>
          <w:color w:val="000000"/>
          <w:sz w:val="20"/>
          <w:szCs w:val="20"/>
        </w:rPr>
        <w:t>On March 3, 2021, we issued $850 million aggregate principal amount of 2.200% Senior Subordinated Note</w:t>
      </w:r>
      <w:r>
        <w:rPr>
          <w:rFonts w:ascii="Arial" w:eastAsia="宋体" w:hAnsi="Arial" w:cs="Arial"/>
          <w:color w:val="000000"/>
          <w:sz w:val="20"/>
          <w:szCs w:val="20"/>
        </w:rPr>
        <w:t>s due 2031.</w:t>
      </w:r>
    </w:p>
    <w:p w14:paraId="74DD921C" w14:textId="77777777" w:rsidR="00584EC1" w:rsidRDefault="00871F8D">
      <w:pPr>
        <w:spacing w:before="60"/>
        <w:ind w:firstLine="450"/>
        <w:jc w:val="both"/>
        <w:textAlignment w:val="top"/>
      </w:pPr>
      <w:r>
        <w:rPr>
          <w:rFonts w:ascii="Arial" w:eastAsia="宋体" w:hAnsi="Arial" w:cs="Arial"/>
          <w:color w:val="000000"/>
          <w:sz w:val="20"/>
          <w:szCs w:val="20"/>
        </w:rPr>
        <w:t>In September 2021, we completed a public offering of approximately 21.7 million shares of our common stock to provide partial funding for our $3.5 billion proposed purchase of the BBH Investor Services business. The offering price was $87.60 pe</w:t>
      </w:r>
      <w:r>
        <w:rPr>
          <w:rFonts w:ascii="Arial" w:eastAsia="宋体" w:hAnsi="Arial" w:cs="Arial"/>
          <w:color w:val="000000"/>
          <w:sz w:val="20"/>
          <w:szCs w:val="20"/>
        </w:rPr>
        <w:t>r share and net proceeds totaled approximately $1.9 billion.</w:t>
      </w:r>
    </w:p>
    <w:p w14:paraId="74DD921D" w14:textId="77777777" w:rsidR="00584EC1" w:rsidRDefault="00871F8D">
      <w:pPr>
        <w:spacing w:before="60"/>
        <w:jc w:val="both"/>
        <w:textAlignment w:val="top"/>
      </w:pPr>
      <w:r>
        <w:rPr>
          <w:rFonts w:ascii="Arial" w:eastAsia="宋体" w:hAnsi="Arial" w:cs="Arial"/>
          <w:b/>
          <w:bCs/>
          <w:i/>
          <w:iCs/>
          <w:color w:val="000000"/>
          <w:sz w:val="20"/>
          <w:szCs w:val="20"/>
        </w:rPr>
        <w:t>Agency Credit Ratings</w:t>
      </w:r>
    </w:p>
    <w:p w14:paraId="74DD921E" w14:textId="77777777" w:rsidR="00584EC1" w:rsidRDefault="00871F8D">
      <w:pPr>
        <w:spacing w:before="60"/>
        <w:ind w:firstLine="450"/>
        <w:jc w:val="both"/>
        <w:textAlignment w:val="top"/>
      </w:pPr>
      <w:r>
        <w:rPr>
          <w:rFonts w:ascii="Arial" w:eastAsia="宋体" w:hAnsi="Arial" w:cs="Arial"/>
          <w:color w:val="000000"/>
          <w:sz w:val="20"/>
          <w:szCs w:val="20"/>
        </w:rPr>
        <w:t>Our ability to maintain consistent access to liquidity is fostered by the maintenance of high investment grade ratings as measured by the major independent credit rating age</w:t>
      </w:r>
      <w:r>
        <w:rPr>
          <w:rFonts w:ascii="Arial" w:eastAsia="宋体" w:hAnsi="Arial" w:cs="Arial"/>
          <w:color w:val="000000"/>
          <w:sz w:val="20"/>
          <w:szCs w:val="20"/>
        </w:rPr>
        <w:t>ncies. Factors essential to maintaining high credit ratings include:</w:t>
      </w:r>
    </w:p>
    <w:p w14:paraId="74DD921F" w14:textId="77777777" w:rsidR="00584EC1" w:rsidRDefault="00871F8D">
      <w:pPr>
        <w:spacing w:before="60"/>
        <w:ind w:hanging="360"/>
        <w:jc w:val="both"/>
        <w:textAlignment w:val="top"/>
      </w:pPr>
      <w:r>
        <w:rPr>
          <w:rFonts w:ascii="Arial" w:eastAsia="宋体" w:hAnsi="Arial" w:cs="Arial"/>
          <w:color w:val="000000"/>
          <w:sz w:val="20"/>
          <w:szCs w:val="20"/>
        </w:rPr>
        <w:t>•diverse and stable core earnings;</w:t>
      </w:r>
    </w:p>
    <w:p w14:paraId="74DD9220" w14:textId="77777777" w:rsidR="00584EC1" w:rsidRDefault="00871F8D">
      <w:pPr>
        <w:spacing w:before="60"/>
        <w:ind w:hanging="360"/>
        <w:jc w:val="both"/>
        <w:textAlignment w:val="top"/>
      </w:pPr>
      <w:r>
        <w:rPr>
          <w:rFonts w:ascii="Arial" w:eastAsia="宋体" w:hAnsi="Arial" w:cs="Arial"/>
          <w:color w:val="000000"/>
          <w:sz w:val="20"/>
          <w:szCs w:val="20"/>
        </w:rPr>
        <w:t>•relative market position;</w:t>
      </w:r>
    </w:p>
    <w:p w14:paraId="74DD9221" w14:textId="77777777" w:rsidR="00584EC1" w:rsidRDefault="00871F8D">
      <w:pPr>
        <w:spacing w:before="60"/>
        <w:ind w:hanging="360"/>
        <w:jc w:val="both"/>
        <w:textAlignment w:val="top"/>
      </w:pPr>
      <w:r>
        <w:rPr>
          <w:rFonts w:ascii="Arial" w:eastAsia="宋体" w:hAnsi="Arial" w:cs="Arial"/>
          <w:color w:val="000000"/>
          <w:sz w:val="20"/>
          <w:szCs w:val="20"/>
        </w:rPr>
        <w:t>•strong risk management;</w:t>
      </w:r>
    </w:p>
    <w:p w14:paraId="74DD9222" w14:textId="77777777" w:rsidR="00584EC1" w:rsidRDefault="00871F8D">
      <w:pPr>
        <w:spacing w:before="60"/>
        <w:ind w:hanging="360"/>
        <w:jc w:val="both"/>
        <w:textAlignment w:val="top"/>
      </w:pPr>
      <w:r>
        <w:rPr>
          <w:rFonts w:ascii="Arial" w:eastAsia="宋体" w:hAnsi="Arial" w:cs="Arial"/>
          <w:color w:val="000000"/>
          <w:sz w:val="20"/>
          <w:szCs w:val="20"/>
        </w:rPr>
        <w:t>•strong capital ratios;</w:t>
      </w:r>
    </w:p>
    <w:p w14:paraId="74DD9223" w14:textId="77777777" w:rsidR="00584EC1" w:rsidRDefault="00871F8D">
      <w:pPr>
        <w:spacing w:before="60"/>
        <w:ind w:hanging="360"/>
        <w:jc w:val="both"/>
        <w:textAlignment w:val="top"/>
      </w:pPr>
      <w:r>
        <w:rPr>
          <w:rFonts w:ascii="Arial" w:eastAsia="宋体" w:hAnsi="Arial" w:cs="Arial"/>
          <w:color w:val="000000"/>
          <w:sz w:val="20"/>
          <w:szCs w:val="20"/>
        </w:rPr>
        <w:t xml:space="preserve">•diverse liquidity sources, including the global capital markets and client </w:t>
      </w:r>
      <w:r>
        <w:rPr>
          <w:rFonts w:ascii="Arial" w:eastAsia="宋体" w:hAnsi="Arial" w:cs="Arial"/>
          <w:color w:val="000000"/>
          <w:sz w:val="20"/>
          <w:szCs w:val="20"/>
        </w:rPr>
        <w:t>deposits;</w:t>
      </w:r>
    </w:p>
    <w:p w14:paraId="74DD9224" w14:textId="77777777" w:rsidR="00584EC1" w:rsidRDefault="00871F8D">
      <w:pPr>
        <w:spacing w:before="60"/>
        <w:ind w:hanging="360"/>
        <w:jc w:val="both"/>
        <w:textAlignment w:val="top"/>
      </w:pPr>
      <w:r>
        <w:rPr>
          <w:rFonts w:ascii="Arial" w:eastAsia="宋体" w:hAnsi="Arial" w:cs="Arial"/>
          <w:color w:val="000000"/>
          <w:sz w:val="20"/>
          <w:szCs w:val="20"/>
        </w:rPr>
        <w:t>•strong liquidity monitoring procedures; and</w:t>
      </w:r>
    </w:p>
    <w:p w14:paraId="74DD9225" w14:textId="77777777" w:rsidR="00584EC1" w:rsidRDefault="00871F8D">
      <w:pPr>
        <w:spacing w:before="60"/>
        <w:ind w:hanging="360"/>
        <w:jc w:val="both"/>
        <w:textAlignment w:val="top"/>
      </w:pPr>
      <w:r>
        <w:rPr>
          <w:rFonts w:ascii="Arial" w:eastAsia="宋体" w:hAnsi="Arial" w:cs="Arial"/>
          <w:color w:val="000000"/>
          <w:sz w:val="20"/>
          <w:szCs w:val="20"/>
        </w:rPr>
        <w:t>•preparedness for current or future regulatory developments.</w:t>
      </w:r>
    </w:p>
    <w:p w14:paraId="74DD9226" w14:textId="77777777" w:rsidR="00584EC1" w:rsidRDefault="00871F8D">
      <w:pPr>
        <w:spacing w:before="60"/>
        <w:ind w:firstLine="450"/>
        <w:textAlignment w:val="top"/>
      </w:pPr>
      <w:r>
        <w:rPr>
          <w:rFonts w:ascii="Arial" w:eastAsia="宋体" w:hAnsi="Arial" w:cs="Arial"/>
          <w:color w:val="000000"/>
          <w:sz w:val="20"/>
          <w:szCs w:val="20"/>
        </w:rPr>
        <w:t>High ratings limit borrowing costs and enhance our liquidity by:</w:t>
      </w:r>
    </w:p>
    <w:p w14:paraId="74DD9227" w14:textId="77777777" w:rsidR="00584EC1" w:rsidRDefault="00871F8D">
      <w:pPr>
        <w:spacing w:before="60"/>
        <w:ind w:hanging="360"/>
        <w:jc w:val="both"/>
        <w:textAlignment w:val="top"/>
      </w:pPr>
      <w:r>
        <w:rPr>
          <w:rFonts w:ascii="Arial" w:eastAsia="宋体" w:hAnsi="Arial" w:cs="Arial"/>
          <w:color w:val="000000"/>
          <w:sz w:val="20"/>
          <w:szCs w:val="20"/>
        </w:rPr>
        <w:t>•providing assurance for unsecured funding and depositors;</w:t>
      </w:r>
    </w:p>
    <w:p w14:paraId="74DD9228" w14:textId="77777777" w:rsidR="00584EC1" w:rsidRDefault="00871F8D">
      <w:pPr>
        <w:spacing w:before="60"/>
        <w:ind w:hanging="360"/>
        <w:jc w:val="both"/>
        <w:textAlignment w:val="top"/>
      </w:pPr>
      <w:r>
        <w:rPr>
          <w:rFonts w:ascii="Arial" w:eastAsia="宋体" w:hAnsi="Arial" w:cs="Arial"/>
          <w:color w:val="000000"/>
          <w:sz w:val="20"/>
          <w:szCs w:val="20"/>
        </w:rPr>
        <w:t>•increasing the potential market for our debt and improving our ability to offer products;</w:t>
      </w:r>
    </w:p>
    <w:p w14:paraId="74DD9229" w14:textId="77777777" w:rsidR="00584EC1" w:rsidRDefault="00871F8D">
      <w:pPr>
        <w:spacing w:before="60"/>
        <w:ind w:hanging="360"/>
        <w:jc w:val="both"/>
        <w:textAlignment w:val="top"/>
      </w:pPr>
      <w:r>
        <w:rPr>
          <w:rFonts w:ascii="Arial" w:eastAsia="宋体" w:hAnsi="Arial" w:cs="Arial"/>
          <w:color w:val="000000"/>
          <w:sz w:val="20"/>
          <w:szCs w:val="20"/>
        </w:rPr>
        <w:t xml:space="preserve">•serving markets; and </w:t>
      </w:r>
    </w:p>
    <w:p w14:paraId="74DD922A" w14:textId="77777777" w:rsidR="00584EC1" w:rsidRDefault="00871F8D">
      <w:pPr>
        <w:spacing w:before="60"/>
        <w:ind w:hanging="360"/>
        <w:jc w:val="both"/>
        <w:textAlignment w:val="top"/>
      </w:pPr>
      <w:r>
        <w:rPr>
          <w:rFonts w:ascii="Arial" w:eastAsia="宋体" w:hAnsi="Arial" w:cs="Arial"/>
          <w:color w:val="000000"/>
          <w:sz w:val="20"/>
          <w:szCs w:val="20"/>
        </w:rPr>
        <w:t>•engaging in transactions in which clients value high credit ratings.</w:t>
      </w:r>
    </w:p>
    <w:p w14:paraId="74DD922B" w14:textId="77777777" w:rsidR="00584EC1" w:rsidRDefault="00871F8D">
      <w:pPr>
        <w:spacing w:before="60"/>
        <w:ind w:firstLine="450"/>
        <w:jc w:val="both"/>
        <w:textAlignment w:val="top"/>
      </w:pPr>
      <w:r>
        <w:rPr>
          <w:rFonts w:ascii="Arial" w:eastAsia="宋体" w:hAnsi="Arial" w:cs="Arial"/>
          <w:color w:val="000000"/>
          <w:sz w:val="20"/>
          <w:szCs w:val="20"/>
        </w:rPr>
        <w:t>A downgrade or reduction of our credit ratings could have a material adv</w:t>
      </w:r>
      <w:r>
        <w:rPr>
          <w:rFonts w:ascii="Arial" w:eastAsia="宋体" w:hAnsi="Arial" w:cs="Arial"/>
          <w:color w:val="000000"/>
          <w:sz w:val="20"/>
          <w:szCs w:val="20"/>
        </w:rPr>
        <w:t>erse effect on our liquidity by restricting our ability to access the capital markets, which could increase the related cost of funds. In turn, this could cause the sudden and large-scale withdrawal of unsecured deposits by our clients, which could lead to</w:t>
      </w:r>
      <w:r>
        <w:rPr>
          <w:rFonts w:ascii="Arial" w:eastAsia="宋体" w:hAnsi="Arial" w:cs="Arial"/>
          <w:color w:val="000000"/>
          <w:sz w:val="20"/>
          <w:szCs w:val="20"/>
        </w:rPr>
        <w:t xml:space="preserve"> draw-downs of unfunded commitments to extend credit or trigger requirements under securities purchase commitments; or require additional collateral or force terminations of certain trading derivative contracts.</w:t>
      </w:r>
    </w:p>
    <w:p w14:paraId="74DD922C" w14:textId="77777777" w:rsidR="00584EC1" w:rsidRDefault="00871F8D">
      <w:pPr>
        <w:spacing w:before="60"/>
        <w:ind w:firstLine="450"/>
        <w:jc w:val="both"/>
        <w:textAlignment w:val="top"/>
      </w:pPr>
      <w:r>
        <w:rPr>
          <w:rFonts w:ascii="Arial" w:eastAsia="宋体" w:hAnsi="Arial" w:cs="Arial"/>
          <w:color w:val="000000"/>
          <w:sz w:val="20"/>
          <w:szCs w:val="20"/>
        </w:rPr>
        <w:t xml:space="preserve">A majority of our derivative contracts have </w:t>
      </w:r>
      <w:r>
        <w:rPr>
          <w:rFonts w:ascii="Arial" w:eastAsia="宋体" w:hAnsi="Arial" w:cs="Arial"/>
          <w:color w:val="000000"/>
          <w:sz w:val="20"/>
          <w:szCs w:val="20"/>
        </w:rPr>
        <w:t xml:space="preserve">been entered into under bilateral agreements with counterparties who may require us to post collateral or terminate the transactions based on changes in </w:t>
      </w:r>
    </w:p>
    <w:p w14:paraId="74DD922D" w14:textId="77777777" w:rsidR="00584EC1" w:rsidRDefault="00871F8D">
      <w:pPr>
        <w:ind w:firstLine="450"/>
        <w:jc w:val="right"/>
      </w:pPr>
      <w:r>
        <w:rPr>
          <w:rFonts w:ascii="Arial" w:eastAsia="宋体" w:hAnsi="Arial" w:cs="Arial"/>
          <w:color w:val="000000"/>
          <w:sz w:val="18"/>
          <w:szCs w:val="18"/>
        </w:rPr>
        <w:t>State Street Corporation | 36</w:t>
      </w:r>
    </w:p>
    <w:p w14:paraId="74DD922E" w14:textId="77777777" w:rsidR="00584EC1" w:rsidRDefault="00584EC1">
      <w:pPr>
        <w:ind w:firstLine="450"/>
        <w:jc w:val="center"/>
      </w:pPr>
    </w:p>
    <w:p w14:paraId="74DD922F" w14:textId="77777777" w:rsidR="00584EC1" w:rsidRDefault="00871F8D">
      <w:r>
        <w:pict w14:anchorId="74DE2A12">
          <v:rect id="_x0000_i1060" style="width:415.3pt;height:1.5pt" o:hralign="center" o:hrstd="t" o:hr="t" fillcolor="#a0a0a0" stroked="f"/>
        </w:pict>
      </w:r>
    </w:p>
    <w:p w14:paraId="74DD9230" w14:textId="77777777" w:rsidR="00584EC1" w:rsidRDefault="00871F8D">
      <w:pPr>
        <w:ind w:firstLine="450"/>
        <w:jc w:val="center"/>
      </w:pPr>
      <w:r>
        <w:rPr>
          <w:rFonts w:ascii="Arial" w:eastAsia="宋体" w:hAnsi="Arial" w:cs="Arial"/>
          <w:b/>
          <w:bCs/>
          <w:color w:val="000000"/>
          <w:sz w:val="20"/>
          <w:szCs w:val="20"/>
        </w:rPr>
        <w:t>MANAGEMENT’S DISCUSSION AND ANALYSIS OF FINANCIAL CONDITION</w:t>
      </w:r>
    </w:p>
    <w:p w14:paraId="74DD9231" w14:textId="77777777" w:rsidR="00584EC1" w:rsidRDefault="00871F8D">
      <w:pPr>
        <w:ind w:firstLine="450"/>
        <w:jc w:val="center"/>
      </w:pPr>
      <w:r>
        <w:rPr>
          <w:rFonts w:ascii="Arial" w:eastAsia="宋体" w:hAnsi="Arial" w:cs="Arial"/>
          <w:b/>
          <w:bCs/>
          <w:color w:val="000000"/>
          <w:sz w:val="20"/>
          <w:szCs w:val="20"/>
        </w:rPr>
        <w:t>AND RESUL</w:t>
      </w:r>
      <w:r>
        <w:rPr>
          <w:rFonts w:ascii="Arial" w:eastAsia="宋体" w:hAnsi="Arial" w:cs="Arial"/>
          <w:b/>
          <w:bCs/>
          <w:color w:val="000000"/>
          <w:sz w:val="20"/>
          <w:szCs w:val="20"/>
        </w:rPr>
        <w:t>TS OF OPERATIONS</w:t>
      </w:r>
    </w:p>
    <w:p w14:paraId="74DD9232" w14:textId="77777777" w:rsidR="00584EC1" w:rsidRDefault="00871F8D">
      <w:pPr>
        <w:spacing w:before="60"/>
        <w:jc w:val="both"/>
        <w:textAlignment w:val="top"/>
      </w:pPr>
      <w:r>
        <w:rPr>
          <w:rFonts w:ascii="Arial" w:eastAsia="宋体" w:hAnsi="Arial" w:cs="Arial"/>
          <w:color w:val="000000"/>
          <w:sz w:val="20"/>
          <w:szCs w:val="20"/>
        </w:rPr>
        <w:t>our credit ratings. We assess the impact of these arrangements by determining the collateral that would be required assuming a downgrade by all rating agencies. The additional collateral or termination payments related to our net derivativ</w:t>
      </w:r>
      <w:r>
        <w:rPr>
          <w:rFonts w:ascii="Arial" w:eastAsia="宋体" w:hAnsi="Arial" w:cs="Arial"/>
          <w:color w:val="000000"/>
          <w:sz w:val="20"/>
          <w:szCs w:val="20"/>
        </w:rPr>
        <w:t>e liabilities under these arrangements that could have been called by counterparties in the event of a downgrade in our credit ratings below levels specified in the agreements is provided in Note 7 to the consolidated financial statements in this Form 10-Q</w:t>
      </w:r>
      <w:r>
        <w:rPr>
          <w:rFonts w:ascii="Arial" w:eastAsia="宋体" w:hAnsi="Arial" w:cs="Arial"/>
          <w:color w:val="000000"/>
          <w:sz w:val="20"/>
          <w:szCs w:val="20"/>
        </w:rPr>
        <w:t>. Other funding sources, such as secured financing transactions and other margin requirements, for which there are no explicit triggers, could also be adversely affected.</w:t>
      </w:r>
    </w:p>
    <w:p w14:paraId="74DD9233" w14:textId="77777777" w:rsidR="00584EC1" w:rsidRDefault="00871F8D">
      <w:pPr>
        <w:spacing w:before="90"/>
        <w:textAlignment w:val="top"/>
      </w:pPr>
      <w:r>
        <w:rPr>
          <w:rFonts w:ascii="Arial" w:eastAsia="宋体" w:hAnsi="Arial" w:cs="Arial"/>
          <w:b/>
          <w:bCs/>
          <w:color w:val="000000"/>
          <w:sz w:val="20"/>
          <w:szCs w:val="20"/>
        </w:rPr>
        <w:t>Operational Risk Management</w:t>
      </w:r>
    </w:p>
    <w:p w14:paraId="74DD9234" w14:textId="77777777" w:rsidR="00584EC1" w:rsidRDefault="00871F8D">
      <w:pPr>
        <w:spacing w:before="60"/>
        <w:ind w:firstLine="450"/>
        <w:jc w:val="both"/>
        <w:textAlignment w:val="top"/>
      </w:pPr>
      <w:r>
        <w:rPr>
          <w:rFonts w:ascii="Arial" w:eastAsia="宋体" w:hAnsi="Arial" w:cs="Arial"/>
          <w:color w:val="000000"/>
          <w:sz w:val="20"/>
          <w:szCs w:val="20"/>
        </w:rPr>
        <w:t>Operational risk is the risk of loss resulting from inade</w:t>
      </w:r>
      <w:r>
        <w:rPr>
          <w:rFonts w:ascii="Arial" w:eastAsia="宋体" w:hAnsi="Arial" w:cs="Arial"/>
          <w:color w:val="000000"/>
          <w:sz w:val="20"/>
          <w:szCs w:val="20"/>
        </w:rPr>
        <w:t xml:space="preserve">quate or failed internal processes, people and systems or from external events. </w:t>
      </w:r>
    </w:p>
    <w:p w14:paraId="74DD9235" w14:textId="77777777" w:rsidR="00584EC1" w:rsidRDefault="00871F8D">
      <w:pPr>
        <w:spacing w:before="60"/>
        <w:ind w:firstLine="450"/>
        <w:jc w:val="both"/>
        <w:textAlignment w:val="top"/>
      </w:pPr>
      <w:r>
        <w:rPr>
          <w:rFonts w:ascii="Arial" w:eastAsia="宋体" w:hAnsi="Arial" w:cs="Arial"/>
          <w:color w:val="000000"/>
          <w:sz w:val="20"/>
          <w:szCs w:val="20"/>
        </w:rPr>
        <w:t>In light of the COVID-19 pandemic, we continue to have business continuity arrangements in place across our operating locations, and we, and a significant percentage of our ke</w:t>
      </w:r>
      <w:r>
        <w:rPr>
          <w:rFonts w:ascii="Arial" w:eastAsia="宋体" w:hAnsi="Arial" w:cs="Arial"/>
          <w:color w:val="000000"/>
          <w:sz w:val="20"/>
          <w:szCs w:val="20"/>
        </w:rPr>
        <w:t>y service providers, are operating significantly or entirely in a work from home environment. The current operating environment increases operational risk and information technology risk, including cyber-threats. See also “Information Technology Risk Manag</w:t>
      </w:r>
      <w:r>
        <w:rPr>
          <w:rFonts w:ascii="Arial" w:eastAsia="宋体" w:hAnsi="Arial" w:cs="Arial"/>
          <w:color w:val="000000"/>
          <w:sz w:val="20"/>
          <w:szCs w:val="20"/>
        </w:rPr>
        <w:t xml:space="preserve">ement” below. </w:t>
      </w:r>
    </w:p>
    <w:p w14:paraId="74DD9236" w14:textId="77777777" w:rsidR="00584EC1" w:rsidRDefault="00871F8D">
      <w:pPr>
        <w:spacing w:before="60"/>
        <w:ind w:firstLine="450"/>
        <w:jc w:val="both"/>
        <w:textAlignment w:val="top"/>
      </w:pPr>
      <w:r>
        <w:rPr>
          <w:rFonts w:ascii="Arial" w:eastAsia="宋体" w:hAnsi="Arial" w:cs="Arial"/>
          <w:color w:val="000000"/>
          <w:sz w:val="20"/>
          <w:szCs w:val="20"/>
        </w:rPr>
        <w:t>For additional information about our operational risk framework, refer to pages 100 to 103 included under Item 7, Management's Discussion and Analysis of Financial Condition and Results of Operations, "Operational Risk Management", in our 20</w:t>
      </w:r>
      <w:r>
        <w:rPr>
          <w:rFonts w:ascii="Arial" w:eastAsia="宋体" w:hAnsi="Arial" w:cs="Arial"/>
          <w:color w:val="000000"/>
          <w:sz w:val="20"/>
          <w:szCs w:val="20"/>
        </w:rPr>
        <w:t>20 Form 10-K.</w:t>
      </w:r>
    </w:p>
    <w:p w14:paraId="74DD9237" w14:textId="77777777" w:rsidR="00584EC1" w:rsidRDefault="00871F8D">
      <w:pPr>
        <w:spacing w:before="90"/>
        <w:textAlignment w:val="top"/>
      </w:pPr>
      <w:r>
        <w:rPr>
          <w:rFonts w:ascii="Arial" w:eastAsia="宋体" w:hAnsi="Arial" w:cs="Arial"/>
          <w:b/>
          <w:bCs/>
          <w:color w:val="000000"/>
          <w:sz w:val="20"/>
          <w:szCs w:val="20"/>
        </w:rPr>
        <w:t>Information Technology Risk Management</w:t>
      </w:r>
    </w:p>
    <w:p w14:paraId="74DD9238" w14:textId="77777777" w:rsidR="00584EC1" w:rsidRDefault="00871F8D">
      <w:pPr>
        <w:spacing w:before="60"/>
        <w:ind w:firstLine="450"/>
        <w:jc w:val="both"/>
        <w:textAlignment w:val="top"/>
      </w:pPr>
      <w:r>
        <w:rPr>
          <w:rFonts w:ascii="Arial" w:eastAsia="宋体" w:hAnsi="Arial" w:cs="Arial"/>
          <w:color w:val="000000"/>
          <w:sz w:val="20"/>
          <w:szCs w:val="20"/>
        </w:rPr>
        <w:t xml:space="preserve">We define information technology risk as the risk associated with the use, ownership, operation, involvement, influence and adoption of information technology. Information technology risk includes risks </w:t>
      </w:r>
      <w:r>
        <w:rPr>
          <w:rFonts w:ascii="Arial" w:eastAsia="宋体" w:hAnsi="Arial" w:cs="Arial"/>
          <w:color w:val="000000"/>
          <w:sz w:val="20"/>
          <w:szCs w:val="20"/>
        </w:rPr>
        <w:t>triggered by technology non-compliance with regulatory obligations, information security and privacy incidents, business disruption, technology internal control and process gaps, technology operational events and adoption of new business technologies.</w:t>
      </w:r>
    </w:p>
    <w:p w14:paraId="74DD9239" w14:textId="77777777" w:rsidR="00584EC1" w:rsidRDefault="00871F8D">
      <w:pPr>
        <w:spacing w:before="60"/>
        <w:ind w:firstLine="450"/>
        <w:jc w:val="both"/>
        <w:textAlignment w:val="top"/>
      </w:pPr>
      <w:r>
        <w:rPr>
          <w:rFonts w:ascii="Arial" w:eastAsia="宋体" w:hAnsi="Arial" w:cs="Arial"/>
          <w:color w:val="000000"/>
          <w:sz w:val="20"/>
          <w:szCs w:val="20"/>
        </w:rPr>
        <w:t xml:space="preserve">For </w:t>
      </w:r>
      <w:r>
        <w:rPr>
          <w:rFonts w:ascii="Arial" w:eastAsia="宋体" w:hAnsi="Arial" w:cs="Arial"/>
          <w:color w:val="000000"/>
          <w:sz w:val="20"/>
          <w:szCs w:val="20"/>
        </w:rPr>
        <w:t>additional information about our information technology risk framework and associated risks, refer to pages 103 to 104 included under Item 7, Management's Discussion and Analysis of Financial Condition and Results of Operations, "Information Technology Ris</w:t>
      </w:r>
      <w:r>
        <w:rPr>
          <w:rFonts w:ascii="Arial" w:eastAsia="宋体" w:hAnsi="Arial" w:cs="Arial"/>
          <w:color w:val="000000"/>
          <w:sz w:val="20"/>
          <w:szCs w:val="20"/>
        </w:rPr>
        <w:t xml:space="preserve">k Management" in our 2020 Form 10-K, and pages 48 to 49 included under Item 1A, Risk Factors, in our 2020 Form 10-K - "Any failures of or damage to, attack on or unauthorized access to our information technology systems or facilities or disruptions to our </w:t>
      </w:r>
      <w:r>
        <w:rPr>
          <w:rFonts w:ascii="Arial" w:eastAsia="宋体" w:hAnsi="Arial" w:cs="Arial"/>
          <w:color w:val="000000"/>
          <w:sz w:val="20"/>
          <w:szCs w:val="20"/>
        </w:rPr>
        <w:t xml:space="preserve">continuous operations, including </w:t>
      </w:r>
    </w:p>
    <w:p w14:paraId="74DD923A" w14:textId="77777777" w:rsidR="00584EC1" w:rsidRDefault="00871F8D">
      <w:pPr>
        <w:spacing w:before="60"/>
        <w:jc w:val="both"/>
        <w:textAlignment w:val="top"/>
      </w:pPr>
      <w:r>
        <w:rPr>
          <w:rFonts w:ascii="Arial" w:eastAsia="宋体" w:hAnsi="Arial" w:cs="Arial"/>
          <w:color w:val="000000"/>
          <w:sz w:val="20"/>
          <w:szCs w:val="20"/>
        </w:rPr>
        <w:t>the systems, facilities or operations of third parties with which we do business, such as resulting from cyber-attacks, could result in significant costs, reputational damage and limits on our ability to conduct our busine</w:t>
      </w:r>
      <w:r>
        <w:rPr>
          <w:rFonts w:ascii="Arial" w:eastAsia="宋体" w:hAnsi="Arial" w:cs="Arial"/>
          <w:color w:val="000000"/>
          <w:sz w:val="20"/>
          <w:szCs w:val="20"/>
        </w:rPr>
        <w:t>ss activities".</w:t>
      </w:r>
    </w:p>
    <w:p w14:paraId="74DD923B" w14:textId="77777777" w:rsidR="00584EC1" w:rsidRDefault="00871F8D">
      <w:pPr>
        <w:spacing w:before="90"/>
        <w:jc w:val="both"/>
        <w:textAlignment w:val="top"/>
      </w:pPr>
      <w:r>
        <w:rPr>
          <w:rFonts w:ascii="Arial" w:eastAsia="宋体" w:hAnsi="Arial" w:cs="Arial"/>
          <w:b/>
          <w:bCs/>
          <w:color w:val="000000"/>
          <w:sz w:val="20"/>
          <w:szCs w:val="20"/>
        </w:rPr>
        <w:t>Market Risk Management</w:t>
      </w:r>
    </w:p>
    <w:p w14:paraId="74DD923C" w14:textId="77777777" w:rsidR="00584EC1" w:rsidRDefault="00871F8D">
      <w:pPr>
        <w:spacing w:before="60"/>
        <w:ind w:firstLine="450"/>
        <w:jc w:val="both"/>
        <w:textAlignment w:val="top"/>
      </w:pPr>
      <w:r>
        <w:rPr>
          <w:rFonts w:ascii="Arial" w:eastAsia="宋体" w:hAnsi="Arial" w:cs="Arial"/>
          <w:color w:val="000000"/>
          <w:sz w:val="20"/>
          <w:szCs w:val="20"/>
        </w:rPr>
        <w:t>Market risk is defined by U.S. banking regulators as the risk of loss that could result from broad market movements, such as changes in the general level of interest rates, credit spreads, foreign exchange rates or co</w:t>
      </w:r>
      <w:r>
        <w:rPr>
          <w:rFonts w:ascii="Arial" w:eastAsia="宋体" w:hAnsi="Arial" w:cs="Arial"/>
          <w:color w:val="000000"/>
          <w:sz w:val="20"/>
          <w:szCs w:val="20"/>
        </w:rPr>
        <w:t xml:space="preserve">mmodity prices. We are exposed to market risk in both our trading and certain of our non-trading, or asset-and-liability management, activities. </w:t>
      </w:r>
    </w:p>
    <w:p w14:paraId="74DD923D" w14:textId="77777777" w:rsidR="00584EC1" w:rsidRDefault="00871F8D">
      <w:pPr>
        <w:spacing w:before="60"/>
        <w:ind w:firstLine="450"/>
        <w:jc w:val="both"/>
        <w:textAlignment w:val="top"/>
      </w:pPr>
      <w:r>
        <w:rPr>
          <w:rFonts w:ascii="Arial" w:eastAsia="宋体" w:hAnsi="Arial" w:cs="Arial"/>
          <w:color w:val="000000"/>
          <w:sz w:val="20"/>
          <w:szCs w:val="20"/>
        </w:rPr>
        <w:t xml:space="preserve">Information about the market risk associated with our trading activities is provided below under </w:t>
      </w:r>
      <w:r>
        <w:rPr>
          <w:rFonts w:ascii="Arial" w:eastAsia="宋体" w:hAnsi="Arial" w:cs="Arial"/>
          <w:color w:val="000000"/>
          <w:sz w:val="20"/>
          <w:szCs w:val="20"/>
        </w:rPr>
        <w:t>“Trading Activities.” Information about the market risk associated with our non-trading activities, which consists primarily of interest rate risk, is provided below under “Asset-and-Liability Management Activities.”</w:t>
      </w:r>
    </w:p>
    <w:p w14:paraId="74DD923E" w14:textId="77777777" w:rsidR="00584EC1" w:rsidRDefault="00871F8D">
      <w:pPr>
        <w:spacing w:before="60"/>
        <w:jc w:val="both"/>
        <w:textAlignment w:val="top"/>
      </w:pPr>
      <w:r>
        <w:rPr>
          <w:rFonts w:ascii="Arial" w:eastAsia="宋体" w:hAnsi="Arial" w:cs="Arial"/>
          <w:b/>
          <w:bCs/>
          <w:i/>
          <w:iCs/>
          <w:color w:val="000000"/>
          <w:sz w:val="20"/>
          <w:szCs w:val="20"/>
        </w:rPr>
        <w:t>Trading Activities</w:t>
      </w:r>
    </w:p>
    <w:p w14:paraId="74DD923F" w14:textId="77777777" w:rsidR="00584EC1" w:rsidRDefault="00871F8D">
      <w:pPr>
        <w:spacing w:before="60"/>
        <w:ind w:firstLine="450"/>
        <w:jc w:val="both"/>
        <w:textAlignment w:val="top"/>
      </w:pPr>
      <w:r>
        <w:rPr>
          <w:rFonts w:ascii="Arial" w:eastAsia="宋体" w:hAnsi="Arial" w:cs="Arial"/>
          <w:color w:val="000000"/>
          <w:sz w:val="20"/>
          <w:szCs w:val="20"/>
        </w:rPr>
        <w:t>In the conduct of ou</w:t>
      </w:r>
      <w:r>
        <w:rPr>
          <w:rFonts w:ascii="Arial" w:eastAsia="宋体" w:hAnsi="Arial" w:cs="Arial"/>
          <w:color w:val="000000"/>
          <w:sz w:val="20"/>
          <w:szCs w:val="20"/>
        </w:rPr>
        <w:t xml:space="preserve">r trading activities, we assume market risk, the level of which is a function of our overall risk appetite, business objectives and liquidity needs, our clients' requirements and market volatility and our execution against those factors. </w:t>
      </w:r>
    </w:p>
    <w:p w14:paraId="74DD9240" w14:textId="77777777" w:rsidR="00584EC1" w:rsidRDefault="00871F8D">
      <w:pPr>
        <w:spacing w:before="60"/>
        <w:ind w:firstLine="450"/>
        <w:jc w:val="both"/>
        <w:textAlignment w:val="top"/>
      </w:pPr>
      <w:r>
        <w:rPr>
          <w:rFonts w:ascii="Arial" w:eastAsia="宋体" w:hAnsi="Arial" w:cs="Arial"/>
          <w:color w:val="000000"/>
          <w:sz w:val="20"/>
          <w:szCs w:val="20"/>
        </w:rPr>
        <w:t>For additional in</w:t>
      </w:r>
      <w:r>
        <w:rPr>
          <w:rFonts w:ascii="Arial" w:eastAsia="宋体" w:hAnsi="Arial" w:cs="Arial"/>
          <w:color w:val="000000"/>
          <w:sz w:val="20"/>
          <w:szCs w:val="20"/>
        </w:rPr>
        <w:t>formation about the market risk associated with our trading activities, refer to pages 104 to 106 included under Item 7, Management's Discussion and Analysis of Financial Condition and Results of Operations, "Market Risk Management" in our 2020 Form 10-K.</w:t>
      </w:r>
    </w:p>
    <w:p w14:paraId="74DD9241" w14:textId="77777777" w:rsidR="00584EC1" w:rsidRDefault="00871F8D">
      <w:pPr>
        <w:spacing w:before="60"/>
        <w:ind w:firstLine="450"/>
        <w:jc w:val="both"/>
        <w:textAlignment w:val="top"/>
      </w:pPr>
      <w:r>
        <w:rPr>
          <w:rFonts w:ascii="Arial" w:eastAsia="宋体" w:hAnsi="Arial" w:cs="Arial"/>
          <w:color w:val="000000"/>
          <w:sz w:val="20"/>
          <w:szCs w:val="20"/>
        </w:rPr>
        <w:t>As part of our trading activities, we assume positions in the foreign exchange and interest rate markets by buying and selling cash instruments and entering into derivative instruments, including foreign exchange forward contracts, foreign exchange and int</w:t>
      </w:r>
      <w:r>
        <w:rPr>
          <w:rFonts w:ascii="Arial" w:eastAsia="宋体" w:hAnsi="Arial" w:cs="Arial"/>
          <w:color w:val="000000"/>
          <w:sz w:val="20"/>
          <w:szCs w:val="20"/>
        </w:rPr>
        <w:t xml:space="preserve">erest rate options and interest rate swaps, interest rate forward contracts and interest rate futures. As of September 30, 2021, the notional amount of these derivative contracts was $2.40 trillion, of which $2.38 trillion was composed of foreign exchange </w:t>
      </w:r>
      <w:r>
        <w:rPr>
          <w:rFonts w:ascii="Arial" w:eastAsia="宋体" w:hAnsi="Arial" w:cs="Arial"/>
          <w:color w:val="000000"/>
          <w:sz w:val="20"/>
          <w:szCs w:val="20"/>
        </w:rPr>
        <w:t xml:space="preserve">forward, swap and spot contracts. We seek to match positions closely with the objective of mitigating related currency and interest rate risk. All foreign exchange contracts are valued daily at current market rates. </w:t>
      </w:r>
    </w:p>
    <w:p w14:paraId="74DD9242" w14:textId="77777777" w:rsidR="00584EC1" w:rsidRDefault="00871F8D">
      <w:pPr>
        <w:spacing w:before="60"/>
        <w:jc w:val="both"/>
        <w:textAlignment w:val="top"/>
      </w:pPr>
      <w:r>
        <w:rPr>
          <w:rFonts w:ascii="Arial" w:eastAsia="宋体" w:hAnsi="Arial" w:cs="Arial"/>
          <w:b/>
          <w:bCs/>
          <w:i/>
          <w:iCs/>
          <w:color w:val="000000"/>
          <w:sz w:val="20"/>
          <w:szCs w:val="20"/>
        </w:rPr>
        <w:t>Value-at-Risk and Stressed VaR</w:t>
      </w:r>
    </w:p>
    <w:p w14:paraId="74DD9243" w14:textId="77777777" w:rsidR="00584EC1" w:rsidRDefault="00871F8D">
      <w:pPr>
        <w:spacing w:before="60"/>
        <w:ind w:firstLine="450"/>
        <w:jc w:val="both"/>
        <w:textAlignment w:val="top"/>
      </w:pPr>
      <w:r>
        <w:rPr>
          <w:rFonts w:ascii="Arial" w:eastAsia="宋体" w:hAnsi="Arial" w:cs="Arial"/>
          <w:color w:val="000000"/>
          <w:sz w:val="20"/>
          <w:szCs w:val="20"/>
        </w:rPr>
        <w:t>We use a</w:t>
      </w:r>
      <w:r>
        <w:rPr>
          <w:rFonts w:ascii="Arial" w:eastAsia="宋体" w:hAnsi="Arial" w:cs="Arial"/>
          <w:color w:val="000000"/>
          <w:sz w:val="20"/>
          <w:szCs w:val="20"/>
        </w:rPr>
        <w:t xml:space="preserve"> variety of risk measurement tools and methodologies, including VaR, which is an estimate of potential loss for a given period within a stated statistical confidence interval. We use a risk measurement methodology to measure trading-related VaR daily. We h</w:t>
      </w:r>
      <w:r>
        <w:rPr>
          <w:rFonts w:ascii="Arial" w:eastAsia="宋体" w:hAnsi="Arial" w:cs="Arial"/>
          <w:color w:val="000000"/>
          <w:sz w:val="20"/>
          <w:szCs w:val="20"/>
        </w:rPr>
        <w:t xml:space="preserve">ave adopted standards for measuring trading-related VaR, and we maintain regulatory capital for market risk associated with our </w:t>
      </w:r>
    </w:p>
    <w:p w14:paraId="74DD9244" w14:textId="77777777" w:rsidR="00584EC1" w:rsidRDefault="00871F8D">
      <w:pPr>
        <w:ind w:firstLine="450"/>
        <w:jc w:val="right"/>
      </w:pPr>
      <w:r>
        <w:rPr>
          <w:rFonts w:ascii="Arial" w:eastAsia="宋体" w:hAnsi="Arial" w:cs="Arial"/>
          <w:color w:val="000000"/>
          <w:sz w:val="18"/>
          <w:szCs w:val="18"/>
        </w:rPr>
        <w:t>State Street Corporation | 37</w:t>
      </w:r>
    </w:p>
    <w:p w14:paraId="74DD9245" w14:textId="77777777" w:rsidR="00584EC1" w:rsidRDefault="00584EC1">
      <w:pPr>
        <w:ind w:firstLine="450"/>
        <w:jc w:val="center"/>
      </w:pPr>
    </w:p>
    <w:p w14:paraId="74DD9246" w14:textId="77777777" w:rsidR="00584EC1" w:rsidRDefault="00871F8D">
      <w:r>
        <w:pict w14:anchorId="74DE2A13">
          <v:rect id="_x0000_i1061" style="width:415.3pt;height:1.5pt" o:hralign="center" o:hrstd="t" o:hr="t" fillcolor="#a0a0a0" stroked="f"/>
        </w:pict>
      </w:r>
    </w:p>
    <w:p w14:paraId="74DD9247" w14:textId="77777777" w:rsidR="00584EC1" w:rsidRDefault="00871F8D">
      <w:pPr>
        <w:ind w:firstLine="450"/>
        <w:jc w:val="center"/>
      </w:pPr>
      <w:r>
        <w:rPr>
          <w:rFonts w:ascii="Arial" w:eastAsia="宋体" w:hAnsi="Arial" w:cs="Arial"/>
          <w:b/>
          <w:bCs/>
          <w:color w:val="000000"/>
          <w:sz w:val="20"/>
          <w:szCs w:val="20"/>
        </w:rPr>
        <w:t>MANAGEMENT’S DISCUSSION AND ANALYSIS OF FINANCIAL CONDITION</w:t>
      </w:r>
    </w:p>
    <w:p w14:paraId="74DD9248" w14:textId="77777777" w:rsidR="00584EC1" w:rsidRDefault="00871F8D">
      <w:pPr>
        <w:ind w:firstLine="450"/>
        <w:jc w:val="center"/>
      </w:pPr>
      <w:r>
        <w:rPr>
          <w:rFonts w:ascii="Arial" w:eastAsia="宋体" w:hAnsi="Arial" w:cs="Arial"/>
          <w:b/>
          <w:bCs/>
          <w:color w:val="000000"/>
          <w:sz w:val="20"/>
          <w:szCs w:val="20"/>
        </w:rPr>
        <w:t xml:space="preserve">AND RESULTS OF </w:t>
      </w:r>
      <w:r>
        <w:rPr>
          <w:rFonts w:ascii="Arial" w:eastAsia="宋体" w:hAnsi="Arial" w:cs="Arial"/>
          <w:b/>
          <w:bCs/>
          <w:color w:val="000000"/>
          <w:sz w:val="20"/>
          <w:szCs w:val="20"/>
        </w:rPr>
        <w:t>OPERATIONS</w:t>
      </w:r>
    </w:p>
    <w:p w14:paraId="74DD9249" w14:textId="77777777" w:rsidR="00584EC1" w:rsidRDefault="00871F8D">
      <w:pPr>
        <w:spacing w:before="60"/>
        <w:jc w:val="both"/>
        <w:textAlignment w:val="top"/>
      </w:pPr>
      <w:r>
        <w:rPr>
          <w:rFonts w:ascii="Arial" w:eastAsia="宋体" w:hAnsi="Arial" w:cs="Arial"/>
          <w:color w:val="000000"/>
          <w:sz w:val="20"/>
          <w:szCs w:val="20"/>
        </w:rPr>
        <w:t>trading activities in conformity with currently applicable bank regulatory market risk requirements. Our regulatory VaR-based measure is calculated based on historical volatilities of market risk factors during a two-year observation period cali</w:t>
      </w:r>
      <w:r>
        <w:rPr>
          <w:rFonts w:ascii="Arial" w:eastAsia="宋体" w:hAnsi="Arial" w:cs="Arial"/>
          <w:color w:val="000000"/>
          <w:sz w:val="20"/>
          <w:szCs w:val="20"/>
        </w:rPr>
        <w:t>brated to a one-tail, 99% confidence interval and a ten-business-day holding period.</w:t>
      </w:r>
    </w:p>
    <w:p w14:paraId="74DD924A" w14:textId="77777777" w:rsidR="00584EC1" w:rsidRDefault="00871F8D">
      <w:pPr>
        <w:spacing w:before="60"/>
        <w:ind w:firstLine="450"/>
        <w:jc w:val="both"/>
        <w:textAlignment w:val="top"/>
      </w:pPr>
      <w:r>
        <w:rPr>
          <w:rFonts w:ascii="Arial" w:eastAsia="宋体" w:hAnsi="Arial" w:cs="Arial"/>
          <w:color w:val="000000"/>
          <w:sz w:val="20"/>
          <w:szCs w:val="20"/>
        </w:rPr>
        <w:t>We calculate a stressed VaR-based measure using the same model we use to calculate VaR, but with model inputs calibrated to historical data from a range of continuous twel</w:t>
      </w:r>
      <w:r>
        <w:rPr>
          <w:rFonts w:ascii="Arial" w:eastAsia="宋体" w:hAnsi="Arial" w:cs="Arial"/>
          <w:color w:val="000000"/>
          <w:sz w:val="20"/>
          <w:szCs w:val="20"/>
        </w:rPr>
        <w:t>ve-month periods that reflect significant financial stress. The stressed VaR model is designed to identify the second-worst outcome occurring in the worst continuous one-year rolling period since July 2007. This stressed VaR meets the regulatory requiremen</w:t>
      </w:r>
      <w:r>
        <w:rPr>
          <w:rFonts w:ascii="Arial" w:eastAsia="宋体" w:hAnsi="Arial" w:cs="Arial"/>
          <w:color w:val="000000"/>
          <w:sz w:val="20"/>
          <w:szCs w:val="20"/>
        </w:rPr>
        <w:t>t as the rolling ten-day period with an outcome that is worse than 99% of other outcomes during that twelve-month period of financial stress. For each portfolio, the stress period is determined algorithmically by seeking the one-year time horizon that prod</w:t>
      </w:r>
      <w:r>
        <w:rPr>
          <w:rFonts w:ascii="Arial" w:eastAsia="宋体" w:hAnsi="Arial" w:cs="Arial"/>
          <w:color w:val="000000"/>
          <w:sz w:val="20"/>
          <w:szCs w:val="20"/>
        </w:rPr>
        <w:t>uces the largest ten-business-day VaR from within the available historical data. This historical data set includes the financial crisis of 2008, the highly volatile period surrounding the Eurozone sovereign debt crisis and the Standard &amp; Poor's downgrade o</w:t>
      </w:r>
      <w:r>
        <w:rPr>
          <w:rFonts w:ascii="Arial" w:eastAsia="宋体" w:hAnsi="Arial" w:cs="Arial"/>
          <w:color w:val="000000"/>
          <w:sz w:val="20"/>
          <w:szCs w:val="20"/>
        </w:rPr>
        <w:t xml:space="preserve">f U.S. Treasury debt in August 2011. As the historical data set used to determine the stress period expands over time, future market stress events will be incorporated. </w:t>
      </w:r>
    </w:p>
    <w:p w14:paraId="74DD924B" w14:textId="77777777" w:rsidR="00584EC1" w:rsidRDefault="00871F8D">
      <w:pPr>
        <w:spacing w:before="60"/>
        <w:ind w:firstLine="450"/>
        <w:jc w:val="both"/>
        <w:textAlignment w:val="top"/>
      </w:pPr>
      <w:r>
        <w:rPr>
          <w:rFonts w:ascii="Arial" w:eastAsia="宋体" w:hAnsi="Arial" w:cs="Arial"/>
          <w:color w:val="000000"/>
          <w:sz w:val="20"/>
          <w:szCs w:val="20"/>
        </w:rPr>
        <w:t>For additional information about our VaR measurement tools and methodologies, refer to</w:t>
      </w:r>
      <w:r>
        <w:rPr>
          <w:rFonts w:ascii="Arial" w:eastAsia="宋体" w:hAnsi="Arial" w:cs="Arial"/>
          <w:color w:val="000000"/>
          <w:sz w:val="20"/>
          <w:szCs w:val="20"/>
        </w:rPr>
        <w:t xml:space="preserve"> pages 107 to 110 included under Item 7, Management's Discussion and Analysis of Financial Condition and Results of Operations, "Value-at-Risk and Stressed VaR" in our 2020 Form 10-K.</w:t>
      </w:r>
    </w:p>
    <w:p w14:paraId="74DD924C" w14:textId="77777777" w:rsidR="00584EC1" w:rsidRDefault="00871F8D">
      <w:pPr>
        <w:spacing w:before="60"/>
        <w:jc w:val="both"/>
        <w:textAlignment w:val="top"/>
      </w:pPr>
      <w:r>
        <w:rPr>
          <w:rFonts w:ascii="Arial" w:eastAsia="宋体" w:hAnsi="Arial" w:cs="Arial"/>
          <w:i/>
          <w:iCs/>
          <w:color w:val="000000"/>
          <w:sz w:val="20"/>
          <w:szCs w:val="20"/>
        </w:rPr>
        <w:t>Stress Testing</w:t>
      </w:r>
    </w:p>
    <w:p w14:paraId="74DD924D" w14:textId="77777777" w:rsidR="00584EC1" w:rsidRDefault="00871F8D">
      <w:pPr>
        <w:spacing w:before="60"/>
        <w:ind w:firstLine="450"/>
        <w:jc w:val="both"/>
        <w:textAlignment w:val="top"/>
      </w:pPr>
      <w:r>
        <w:rPr>
          <w:rFonts w:ascii="Arial" w:eastAsia="宋体" w:hAnsi="Arial" w:cs="Arial"/>
          <w:color w:val="000000"/>
          <w:sz w:val="20"/>
          <w:szCs w:val="20"/>
        </w:rPr>
        <w:t xml:space="preserve">We have a corporate-wide stress testing program in place </w:t>
      </w:r>
      <w:r>
        <w:rPr>
          <w:rFonts w:ascii="Arial" w:eastAsia="宋体" w:hAnsi="Arial" w:cs="Arial"/>
          <w:color w:val="000000"/>
          <w:sz w:val="20"/>
          <w:szCs w:val="20"/>
        </w:rPr>
        <w:t>that incorporates an array of techniques to measure the potential loss we could suffer in a hypothetical scenario of adverse economic and financial conditions. We also monitor concentrations of risk such as concentration by branch, risk component, and curr</w:t>
      </w:r>
      <w:r>
        <w:rPr>
          <w:rFonts w:ascii="Arial" w:eastAsia="宋体" w:hAnsi="Arial" w:cs="Arial"/>
          <w:color w:val="000000"/>
          <w:sz w:val="20"/>
          <w:szCs w:val="20"/>
        </w:rPr>
        <w:t>ency pairs. We conduct stress testing on a daily basis based on selected historical stress events that are relevant to our positions in order to estimate the potential impact to our current portfolio should similar market conditions recur, and we also perf</w:t>
      </w:r>
      <w:r>
        <w:rPr>
          <w:rFonts w:ascii="Arial" w:eastAsia="宋体" w:hAnsi="Arial" w:cs="Arial"/>
          <w:color w:val="000000"/>
          <w:sz w:val="20"/>
          <w:szCs w:val="20"/>
        </w:rPr>
        <w:t xml:space="preserve">orm stress testing </w:t>
      </w:r>
    </w:p>
    <w:p w14:paraId="74DD924E" w14:textId="77777777" w:rsidR="00584EC1" w:rsidRDefault="00871F8D">
      <w:pPr>
        <w:spacing w:before="60"/>
        <w:jc w:val="both"/>
        <w:textAlignment w:val="top"/>
      </w:pPr>
      <w:r>
        <w:rPr>
          <w:rFonts w:ascii="Arial" w:eastAsia="宋体" w:hAnsi="Arial" w:cs="Arial"/>
          <w:color w:val="000000"/>
          <w:sz w:val="20"/>
          <w:szCs w:val="20"/>
        </w:rPr>
        <w:t xml:space="preserve">as part of the Federal Reserve's CCAR process. Stress testing is conducted, analyzed and reported at the corporate, trading desk, division and risk-factor level (for example, exchange risk, interest rate risk and volatility risk). </w:t>
      </w:r>
    </w:p>
    <w:p w14:paraId="74DD924F" w14:textId="77777777" w:rsidR="00584EC1" w:rsidRDefault="00871F8D">
      <w:pPr>
        <w:spacing w:before="60"/>
        <w:ind w:firstLine="450"/>
        <w:jc w:val="both"/>
        <w:textAlignment w:val="top"/>
      </w:pPr>
      <w:r>
        <w:rPr>
          <w:rFonts w:ascii="Arial" w:eastAsia="宋体" w:hAnsi="Arial" w:cs="Arial"/>
          <w:color w:val="000000"/>
          <w:sz w:val="20"/>
          <w:szCs w:val="20"/>
        </w:rPr>
        <w:t>Stre</w:t>
      </w:r>
      <w:r>
        <w:rPr>
          <w:rFonts w:ascii="Arial" w:eastAsia="宋体" w:hAnsi="Arial" w:cs="Arial"/>
          <w:color w:val="000000"/>
          <w:sz w:val="20"/>
          <w:szCs w:val="20"/>
        </w:rPr>
        <w:t>ss testing results and limits are actively monitored on a daily basis by ERM and reported to the Credit and Market Risk Committee (CMRC). Limit breaches are addressed by ERM risk managers in conjunction with the business units, escalated as appropriate, an</w:t>
      </w:r>
      <w:r>
        <w:rPr>
          <w:rFonts w:ascii="Arial" w:eastAsia="宋体" w:hAnsi="Arial" w:cs="Arial"/>
          <w:color w:val="000000"/>
          <w:sz w:val="20"/>
          <w:szCs w:val="20"/>
        </w:rPr>
        <w:t>d reviewed by the CMRC if material. In addition, we have established several action triggers that prompt review by management and the implementation of a remediation plan.</w:t>
      </w:r>
    </w:p>
    <w:p w14:paraId="74DD9250" w14:textId="77777777" w:rsidR="00584EC1" w:rsidRDefault="00871F8D">
      <w:pPr>
        <w:spacing w:before="60"/>
        <w:jc w:val="both"/>
        <w:textAlignment w:val="top"/>
      </w:pPr>
      <w:r>
        <w:rPr>
          <w:rFonts w:ascii="Arial" w:eastAsia="宋体" w:hAnsi="Arial" w:cs="Arial"/>
          <w:b/>
          <w:bCs/>
          <w:i/>
          <w:iCs/>
          <w:color w:val="000000"/>
          <w:sz w:val="20"/>
          <w:szCs w:val="20"/>
        </w:rPr>
        <w:t>Validation and Back-Testing</w:t>
      </w:r>
    </w:p>
    <w:p w14:paraId="74DD9251" w14:textId="77777777" w:rsidR="00584EC1" w:rsidRDefault="00871F8D">
      <w:pPr>
        <w:spacing w:before="60"/>
        <w:ind w:firstLine="450"/>
        <w:jc w:val="both"/>
        <w:textAlignment w:val="top"/>
      </w:pPr>
      <w:r>
        <w:rPr>
          <w:rFonts w:ascii="Arial" w:eastAsia="宋体" w:hAnsi="Arial" w:cs="Arial"/>
          <w:color w:val="000000"/>
          <w:sz w:val="20"/>
          <w:szCs w:val="20"/>
        </w:rPr>
        <w:t xml:space="preserve">We perform frequent back-testing to assess the accuracy </w:t>
      </w:r>
      <w:r>
        <w:rPr>
          <w:rFonts w:ascii="Arial" w:eastAsia="宋体" w:hAnsi="Arial" w:cs="Arial"/>
          <w:color w:val="000000"/>
          <w:sz w:val="20"/>
          <w:szCs w:val="20"/>
        </w:rPr>
        <w:t>of our VaR-based model in estimating loss at the stated confidence level. This back-testing involves the comparison of estimated VaR model outputs to daily, actual profit-and-loss (P&amp;L) outcomes observed from daily market movements. We back-test our VaR mo</w:t>
      </w:r>
      <w:r>
        <w:rPr>
          <w:rFonts w:ascii="Arial" w:eastAsia="宋体" w:hAnsi="Arial" w:cs="Arial"/>
          <w:color w:val="000000"/>
          <w:sz w:val="20"/>
          <w:szCs w:val="20"/>
        </w:rPr>
        <w:t xml:space="preserve">del using “clean” P&amp;L, which excludes non-trading revenue such as fees, commissions and NII, as well as estimated revenue from intra-day trading. </w:t>
      </w:r>
    </w:p>
    <w:p w14:paraId="74DD9252" w14:textId="77777777" w:rsidR="00584EC1" w:rsidRDefault="00871F8D">
      <w:pPr>
        <w:spacing w:before="60"/>
        <w:ind w:firstLine="450"/>
        <w:jc w:val="both"/>
        <w:textAlignment w:val="top"/>
      </w:pPr>
      <w:r>
        <w:rPr>
          <w:rFonts w:ascii="Arial" w:eastAsia="宋体" w:hAnsi="Arial" w:cs="Arial"/>
          <w:color w:val="000000"/>
          <w:sz w:val="20"/>
          <w:szCs w:val="20"/>
        </w:rPr>
        <w:t>Our VaR definition of trading losses excludes items that are not specific to the price movement of the tradin</w:t>
      </w:r>
      <w:r>
        <w:rPr>
          <w:rFonts w:ascii="Arial" w:eastAsia="宋体" w:hAnsi="Arial" w:cs="Arial"/>
          <w:color w:val="000000"/>
          <w:sz w:val="20"/>
          <w:szCs w:val="20"/>
        </w:rPr>
        <w:t>g assets and liabilities themselves, such as fees, commissions, changes to reserves and gains or losses from intra-day activity.</w:t>
      </w:r>
    </w:p>
    <w:p w14:paraId="74DD9253" w14:textId="77777777" w:rsidR="00584EC1" w:rsidRDefault="00871F8D">
      <w:pPr>
        <w:spacing w:before="60"/>
        <w:ind w:firstLine="450"/>
        <w:jc w:val="both"/>
        <w:textAlignment w:val="top"/>
      </w:pPr>
      <w:r>
        <w:rPr>
          <w:rFonts w:ascii="Arial" w:eastAsia="宋体" w:hAnsi="Arial" w:cs="Arial"/>
          <w:color w:val="000000"/>
          <w:sz w:val="20"/>
          <w:szCs w:val="20"/>
        </w:rPr>
        <w:t xml:space="preserve">We experienced no back-testing exceptions in the quarters ended September 30, 2021, June 30, 2021 and September 30, 2020. At a </w:t>
      </w:r>
      <w:r>
        <w:rPr>
          <w:rFonts w:ascii="Arial" w:eastAsia="宋体" w:hAnsi="Arial" w:cs="Arial"/>
          <w:color w:val="000000"/>
          <w:sz w:val="20"/>
          <w:szCs w:val="20"/>
        </w:rPr>
        <w:t xml:space="preserve">99% confidence interval, the statistical expectation for a VaR model is to witness one exception every hundred trading days (or two to three exceptions per year). </w:t>
      </w:r>
    </w:p>
    <w:p w14:paraId="74DD9254" w14:textId="77777777" w:rsidR="00584EC1" w:rsidRDefault="00871F8D">
      <w:pPr>
        <w:spacing w:before="60"/>
        <w:ind w:firstLine="450"/>
        <w:jc w:val="both"/>
        <w:textAlignment w:val="top"/>
      </w:pPr>
      <w:r>
        <w:rPr>
          <w:rFonts w:ascii="Arial" w:eastAsia="宋体" w:hAnsi="Arial" w:cs="Arial"/>
          <w:color w:val="000000"/>
          <w:sz w:val="20"/>
          <w:szCs w:val="20"/>
        </w:rPr>
        <w:t>The following tables present VaR and stressed VaR associated with our trading activities for</w:t>
      </w:r>
      <w:r>
        <w:rPr>
          <w:rFonts w:ascii="Arial" w:eastAsia="宋体" w:hAnsi="Arial" w:cs="Arial"/>
          <w:color w:val="000000"/>
          <w:sz w:val="20"/>
          <w:szCs w:val="20"/>
        </w:rPr>
        <w:t xml:space="preserve"> covered positions held during the quarters ended September 30, 2021, June 30, 2021 and September 30, 2020, respectively, as measured by our VaR methodology. Diversification effect in the tables below represents the difference between total VaR and the sum</w:t>
      </w:r>
      <w:r>
        <w:rPr>
          <w:rFonts w:ascii="Arial" w:eastAsia="宋体" w:hAnsi="Arial" w:cs="Arial"/>
          <w:color w:val="000000"/>
          <w:sz w:val="20"/>
          <w:szCs w:val="20"/>
        </w:rPr>
        <w:t xml:space="preserve"> of the VaRs for each trading activity. This effect arises because the risks present in our trading activities are not perfectly correlated.</w:t>
      </w:r>
    </w:p>
    <w:p w14:paraId="74DD9255" w14:textId="77777777" w:rsidR="00584EC1" w:rsidRDefault="00871F8D">
      <w:pPr>
        <w:ind w:firstLine="450"/>
        <w:jc w:val="right"/>
      </w:pPr>
      <w:r>
        <w:rPr>
          <w:rFonts w:ascii="Arial" w:eastAsia="宋体" w:hAnsi="Arial" w:cs="Arial"/>
          <w:color w:val="000000"/>
          <w:sz w:val="18"/>
          <w:szCs w:val="18"/>
        </w:rPr>
        <w:t>State Street Corporation | 38</w:t>
      </w:r>
    </w:p>
    <w:p w14:paraId="74DD9256" w14:textId="77777777" w:rsidR="00584EC1" w:rsidRDefault="00584EC1">
      <w:pPr>
        <w:ind w:firstLine="450"/>
        <w:jc w:val="center"/>
      </w:pPr>
    </w:p>
    <w:p w14:paraId="74DD9257" w14:textId="77777777" w:rsidR="00584EC1" w:rsidRDefault="00871F8D">
      <w:r>
        <w:pict w14:anchorId="74DE2A14">
          <v:rect id="_x0000_i1062" style="width:415.3pt;height:1.5pt" o:hralign="center" o:hrstd="t" o:hr="t" fillcolor="#a0a0a0" stroked="f"/>
        </w:pict>
      </w:r>
    </w:p>
    <w:p w14:paraId="74DD9258" w14:textId="77777777" w:rsidR="00584EC1" w:rsidRDefault="00871F8D">
      <w:pPr>
        <w:ind w:firstLine="450"/>
        <w:jc w:val="center"/>
      </w:pPr>
      <w:r>
        <w:rPr>
          <w:rFonts w:ascii="Arial" w:eastAsia="宋体" w:hAnsi="Arial" w:cs="Arial"/>
          <w:b/>
          <w:bCs/>
          <w:color w:val="000000"/>
          <w:sz w:val="20"/>
          <w:szCs w:val="20"/>
        </w:rPr>
        <w:t>MANAGEMENT’S DISCUSSION AND ANALYSIS OF FINANCIAL CONDITION</w:t>
      </w:r>
    </w:p>
    <w:p w14:paraId="74DD9259" w14:textId="77777777" w:rsidR="00584EC1" w:rsidRDefault="00871F8D">
      <w:pPr>
        <w:ind w:firstLine="450"/>
        <w:jc w:val="center"/>
      </w:pPr>
      <w:r>
        <w:rPr>
          <w:rFonts w:ascii="Arial" w:eastAsia="宋体" w:hAnsi="Arial" w:cs="Arial"/>
          <w:b/>
          <w:bCs/>
          <w:color w:val="000000"/>
          <w:sz w:val="20"/>
          <w:szCs w:val="20"/>
        </w:rPr>
        <w:t xml:space="preserve">AND RESULTS OF </w:t>
      </w:r>
      <w:r>
        <w:rPr>
          <w:rFonts w:ascii="Arial" w:eastAsia="宋体" w:hAnsi="Arial" w:cs="Arial"/>
          <w:b/>
          <w:bCs/>
          <w:color w:val="000000"/>
          <w:sz w:val="20"/>
          <w:szCs w:val="20"/>
        </w:rPr>
        <w:t>OPERATIONS</w:t>
      </w:r>
    </w:p>
    <w:tbl>
      <w:tblPr>
        <w:tblW w:w="5000" w:type="pct"/>
        <w:tblCellMar>
          <w:top w:w="15" w:type="dxa"/>
          <w:left w:w="15" w:type="dxa"/>
          <w:bottom w:w="15" w:type="dxa"/>
          <w:right w:w="15" w:type="dxa"/>
        </w:tblCellMar>
        <w:tblLook w:val="04A0" w:firstRow="1" w:lastRow="0" w:firstColumn="1" w:lastColumn="0" w:noHBand="0" w:noVBand="1"/>
      </w:tblPr>
      <w:tblGrid>
        <w:gridCol w:w="85"/>
        <w:gridCol w:w="1001"/>
        <w:gridCol w:w="37"/>
        <w:gridCol w:w="93"/>
        <w:gridCol w:w="436"/>
        <w:gridCol w:w="36"/>
        <w:gridCol w:w="36"/>
        <w:gridCol w:w="36"/>
        <w:gridCol w:w="36"/>
        <w:gridCol w:w="93"/>
        <w:gridCol w:w="507"/>
        <w:gridCol w:w="36"/>
        <w:gridCol w:w="36"/>
        <w:gridCol w:w="36"/>
        <w:gridCol w:w="36"/>
        <w:gridCol w:w="93"/>
        <w:gridCol w:w="434"/>
        <w:gridCol w:w="36"/>
        <w:gridCol w:w="36"/>
        <w:gridCol w:w="36"/>
        <w:gridCol w:w="36"/>
        <w:gridCol w:w="165"/>
        <w:gridCol w:w="238"/>
        <w:gridCol w:w="93"/>
        <w:gridCol w:w="471"/>
        <w:gridCol w:w="36"/>
        <w:gridCol w:w="36"/>
        <w:gridCol w:w="36"/>
        <w:gridCol w:w="36"/>
        <w:gridCol w:w="93"/>
        <w:gridCol w:w="434"/>
        <w:gridCol w:w="36"/>
        <w:gridCol w:w="36"/>
        <w:gridCol w:w="36"/>
        <w:gridCol w:w="36"/>
        <w:gridCol w:w="93"/>
        <w:gridCol w:w="434"/>
        <w:gridCol w:w="36"/>
        <w:gridCol w:w="36"/>
        <w:gridCol w:w="36"/>
        <w:gridCol w:w="36"/>
        <w:gridCol w:w="201"/>
        <w:gridCol w:w="240"/>
        <w:gridCol w:w="93"/>
        <w:gridCol w:w="474"/>
        <w:gridCol w:w="36"/>
        <w:gridCol w:w="36"/>
        <w:gridCol w:w="36"/>
        <w:gridCol w:w="36"/>
        <w:gridCol w:w="125"/>
        <w:gridCol w:w="575"/>
        <w:gridCol w:w="36"/>
        <w:gridCol w:w="36"/>
        <w:gridCol w:w="36"/>
        <w:gridCol w:w="712"/>
      </w:tblGrid>
      <w:tr w:rsidR="00584EC1" w14:paraId="74DD9291" w14:textId="77777777">
        <w:tc>
          <w:tcPr>
            <w:tcW w:w="50" w:type="pct"/>
            <w:shd w:val="clear" w:color="auto" w:fill="auto"/>
            <w:vAlign w:val="bottom"/>
          </w:tcPr>
          <w:p w14:paraId="74DD925A" w14:textId="77777777" w:rsidR="00584EC1" w:rsidRDefault="00584EC1">
            <w:pPr>
              <w:rPr>
                <w:rFonts w:ascii="宋体"/>
              </w:rPr>
            </w:pPr>
          </w:p>
        </w:tc>
        <w:tc>
          <w:tcPr>
            <w:tcW w:w="449" w:type="pct"/>
            <w:shd w:val="clear" w:color="auto" w:fill="auto"/>
            <w:vAlign w:val="bottom"/>
          </w:tcPr>
          <w:p w14:paraId="74DD925B" w14:textId="77777777" w:rsidR="00584EC1" w:rsidRDefault="00584EC1">
            <w:pPr>
              <w:rPr>
                <w:rFonts w:ascii="宋体"/>
              </w:rPr>
            </w:pPr>
          </w:p>
        </w:tc>
        <w:tc>
          <w:tcPr>
            <w:tcW w:w="5" w:type="pct"/>
            <w:shd w:val="clear" w:color="auto" w:fill="auto"/>
            <w:vAlign w:val="bottom"/>
          </w:tcPr>
          <w:p w14:paraId="74DD925C" w14:textId="77777777" w:rsidR="00584EC1" w:rsidRDefault="00584EC1">
            <w:pPr>
              <w:rPr>
                <w:rFonts w:ascii="宋体"/>
              </w:rPr>
            </w:pPr>
          </w:p>
        </w:tc>
        <w:tc>
          <w:tcPr>
            <w:tcW w:w="50" w:type="pct"/>
            <w:shd w:val="clear" w:color="auto" w:fill="auto"/>
            <w:vAlign w:val="bottom"/>
          </w:tcPr>
          <w:p w14:paraId="74DD925D" w14:textId="77777777" w:rsidR="00584EC1" w:rsidRDefault="00584EC1">
            <w:pPr>
              <w:rPr>
                <w:rFonts w:ascii="宋体"/>
              </w:rPr>
            </w:pPr>
          </w:p>
        </w:tc>
        <w:tc>
          <w:tcPr>
            <w:tcW w:w="215" w:type="pct"/>
            <w:shd w:val="clear" w:color="auto" w:fill="auto"/>
            <w:vAlign w:val="bottom"/>
          </w:tcPr>
          <w:p w14:paraId="74DD925E" w14:textId="77777777" w:rsidR="00584EC1" w:rsidRDefault="00584EC1">
            <w:pPr>
              <w:rPr>
                <w:rFonts w:ascii="宋体"/>
              </w:rPr>
            </w:pPr>
          </w:p>
        </w:tc>
        <w:tc>
          <w:tcPr>
            <w:tcW w:w="5" w:type="pct"/>
            <w:shd w:val="clear" w:color="auto" w:fill="auto"/>
            <w:vAlign w:val="bottom"/>
          </w:tcPr>
          <w:p w14:paraId="74DD925F" w14:textId="77777777" w:rsidR="00584EC1" w:rsidRDefault="00584EC1">
            <w:pPr>
              <w:rPr>
                <w:rFonts w:ascii="宋体"/>
              </w:rPr>
            </w:pPr>
          </w:p>
        </w:tc>
        <w:tc>
          <w:tcPr>
            <w:tcW w:w="5" w:type="pct"/>
            <w:shd w:val="clear" w:color="auto" w:fill="auto"/>
            <w:vAlign w:val="bottom"/>
          </w:tcPr>
          <w:p w14:paraId="74DD9260" w14:textId="77777777" w:rsidR="00584EC1" w:rsidRDefault="00584EC1">
            <w:pPr>
              <w:rPr>
                <w:rFonts w:ascii="宋体"/>
              </w:rPr>
            </w:pPr>
          </w:p>
        </w:tc>
        <w:tc>
          <w:tcPr>
            <w:tcW w:w="19" w:type="pct"/>
            <w:shd w:val="clear" w:color="auto" w:fill="auto"/>
            <w:vAlign w:val="bottom"/>
          </w:tcPr>
          <w:p w14:paraId="74DD9261" w14:textId="77777777" w:rsidR="00584EC1" w:rsidRDefault="00584EC1">
            <w:pPr>
              <w:rPr>
                <w:rFonts w:ascii="宋体"/>
              </w:rPr>
            </w:pPr>
          </w:p>
        </w:tc>
        <w:tc>
          <w:tcPr>
            <w:tcW w:w="5" w:type="pct"/>
            <w:shd w:val="clear" w:color="auto" w:fill="auto"/>
            <w:vAlign w:val="bottom"/>
          </w:tcPr>
          <w:p w14:paraId="74DD9262" w14:textId="77777777" w:rsidR="00584EC1" w:rsidRDefault="00584EC1">
            <w:pPr>
              <w:rPr>
                <w:rFonts w:ascii="宋体"/>
              </w:rPr>
            </w:pPr>
          </w:p>
        </w:tc>
        <w:tc>
          <w:tcPr>
            <w:tcW w:w="50" w:type="pct"/>
            <w:shd w:val="clear" w:color="auto" w:fill="auto"/>
            <w:vAlign w:val="bottom"/>
          </w:tcPr>
          <w:p w14:paraId="74DD9263" w14:textId="77777777" w:rsidR="00584EC1" w:rsidRDefault="00584EC1">
            <w:pPr>
              <w:rPr>
                <w:rFonts w:ascii="宋体"/>
              </w:rPr>
            </w:pPr>
          </w:p>
        </w:tc>
        <w:tc>
          <w:tcPr>
            <w:tcW w:w="259" w:type="pct"/>
            <w:shd w:val="clear" w:color="auto" w:fill="auto"/>
            <w:vAlign w:val="bottom"/>
          </w:tcPr>
          <w:p w14:paraId="74DD9264" w14:textId="77777777" w:rsidR="00584EC1" w:rsidRDefault="00584EC1">
            <w:pPr>
              <w:rPr>
                <w:rFonts w:ascii="宋体"/>
              </w:rPr>
            </w:pPr>
          </w:p>
        </w:tc>
        <w:tc>
          <w:tcPr>
            <w:tcW w:w="5" w:type="pct"/>
            <w:shd w:val="clear" w:color="auto" w:fill="auto"/>
            <w:vAlign w:val="bottom"/>
          </w:tcPr>
          <w:p w14:paraId="74DD9265" w14:textId="77777777" w:rsidR="00584EC1" w:rsidRDefault="00584EC1">
            <w:pPr>
              <w:rPr>
                <w:rFonts w:ascii="宋体"/>
              </w:rPr>
            </w:pPr>
          </w:p>
        </w:tc>
        <w:tc>
          <w:tcPr>
            <w:tcW w:w="5" w:type="pct"/>
            <w:shd w:val="clear" w:color="auto" w:fill="auto"/>
            <w:vAlign w:val="bottom"/>
          </w:tcPr>
          <w:p w14:paraId="74DD9266" w14:textId="77777777" w:rsidR="00584EC1" w:rsidRDefault="00584EC1">
            <w:pPr>
              <w:rPr>
                <w:rFonts w:ascii="宋体"/>
              </w:rPr>
            </w:pPr>
          </w:p>
        </w:tc>
        <w:tc>
          <w:tcPr>
            <w:tcW w:w="19" w:type="pct"/>
            <w:shd w:val="clear" w:color="auto" w:fill="auto"/>
            <w:vAlign w:val="bottom"/>
          </w:tcPr>
          <w:p w14:paraId="74DD9267" w14:textId="77777777" w:rsidR="00584EC1" w:rsidRDefault="00584EC1">
            <w:pPr>
              <w:rPr>
                <w:rFonts w:ascii="宋体"/>
              </w:rPr>
            </w:pPr>
          </w:p>
        </w:tc>
        <w:tc>
          <w:tcPr>
            <w:tcW w:w="5" w:type="pct"/>
            <w:shd w:val="clear" w:color="auto" w:fill="auto"/>
            <w:vAlign w:val="bottom"/>
          </w:tcPr>
          <w:p w14:paraId="74DD9268" w14:textId="77777777" w:rsidR="00584EC1" w:rsidRDefault="00584EC1">
            <w:pPr>
              <w:rPr>
                <w:rFonts w:ascii="宋体"/>
              </w:rPr>
            </w:pPr>
          </w:p>
        </w:tc>
        <w:tc>
          <w:tcPr>
            <w:tcW w:w="50" w:type="pct"/>
            <w:shd w:val="clear" w:color="auto" w:fill="auto"/>
            <w:vAlign w:val="bottom"/>
          </w:tcPr>
          <w:p w14:paraId="74DD9269" w14:textId="77777777" w:rsidR="00584EC1" w:rsidRDefault="00584EC1">
            <w:pPr>
              <w:rPr>
                <w:rFonts w:ascii="宋体"/>
              </w:rPr>
            </w:pPr>
          </w:p>
        </w:tc>
        <w:tc>
          <w:tcPr>
            <w:tcW w:w="215" w:type="pct"/>
            <w:shd w:val="clear" w:color="auto" w:fill="auto"/>
            <w:vAlign w:val="bottom"/>
          </w:tcPr>
          <w:p w14:paraId="74DD926A" w14:textId="77777777" w:rsidR="00584EC1" w:rsidRDefault="00584EC1">
            <w:pPr>
              <w:rPr>
                <w:rFonts w:ascii="宋体"/>
              </w:rPr>
            </w:pPr>
          </w:p>
        </w:tc>
        <w:tc>
          <w:tcPr>
            <w:tcW w:w="5" w:type="pct"/>
            <w:shd w:val="clear" w:color="auto" w:fill="auto"/>
            <w:vAlign w:val="bottom"/>
          </w:tcPr>
          <w:p w14:paraId="74DD926B" w14:textId="77777777" w:rsidR="00584EC1" w:rsidRDefault="00584EC1">
            <w:pPr>
              <w:rPr>
                <w:rFonts w:ascii="宋体"/>
              </w:rPr>
            </w:pPr>
          </w:p>
        </w:tc>
        <w:tc>
          <w:tcPr>
            <w:tcW w:w="5" w:type="pct"/>
            <w:shd w:val="clear" w:color="auto" w:fill="auto"/>
            <w:vAlign w:val="bottom"/>
          </w:tcPr>
          <w:p w14:paraId="74DD926C" w14:textId="77777777" w:rsidR="00584EC1" w:rsidRDefault="00584EC1">
            <w:pPr>
              <w:rPr>
                <w:rFonts w:ascii="宋体"/>
              </w:rPr>
            </w:pPr>
          </w:p>
        </w:tc>
        <w:tc>
          <w:tcPr>
            <w:tcW w:w="19" w:type="pct"/>
            <w:shd w:val="clear" w:color="auto" w:fill="auto"/>
            <w:vAlign w:val="bottom"/>
          </w:tcPr>
          <w:p w14:paraId="74DD926D" w14:textId="77777777" w:rsidR="00584EC1" w:rsidRDefault="00584EC1">
            <w:pPr>
              <w:rPr>
                <w:rFonts w:ascii="宋体"/>
              </w:rPr>
            </w:pPr>
          </w:p>
        </w:tc>
        <w:tc>
          <w:tcPr>
            <w:tcW w:w="5" w:type="pct"/>
            <w:shd w:val="clear" w:color="auto" w:fill="auto"/>
            <w:vAlign w:val="bottom"/>
          </w:tcPr>
          <w:p w14:paraId="74DD926E" w14:textId="77777777" w:rsidR="00584EC1" w:rsidRDefault="00584EC1">
            <w:pPr>
              <w:rPr>
                <w:rFonts w:ascii="宋体"/>
              </w:rPr>
            </w:pPr>
          </w:p>
        </w:tc>
        <w:tc>
          <w:tcPr>
            <w:tcW w:w="0" w:type="auto"/>
            <w:shd w:val="clear" w:color="auto" w:fill="auto"/>
            <w:vAlign w:val="bottom"/>
          </w:tcPr>
          <w:p w14:paraId="74DD926F" w14:textId="77777777" w:rsidR="00584EC1" w:rsidRDefault="00584EC1">
            <w:pPr>
              <w:rPr>
                <w:rFonts w:ascii="宋体"/>
                <w:vanish/>
              </w:rPr>
            </w:pPr>
          </w:p>
        </w:tc>
        <w:tc>
          <w:tcPr>
            <w:tcW w:w="0" w:type="auto"/>
            <w:shd w:val="clear" w:color="auto" w:fill="auto"/>
            <w:vAlign w:val="bottom"/>
          </w:tcPr>
          <w:p w14:paraId="74DD9270" w14:textId="77777777" w:rsidR="00584EC1" w:rsidRDefault="00584EC1">
            <w:pPr>
              <w:rPr>
                <w:rFonts w:ascii="宋体"/>
                <w:vanish/>
              </w:rPr>
            </w:pPr>
          </w:p>
        </w:tc>
        <w:tc>
          <w:tcPr>
            <w:tcW w:w="50" w:type="pct"/>
            <w:shd w:val="clear" w:color="auto" w:fill="auto"/>
            <w:vAlign w:val="bottom"/>
          </w:tcPr>
          <w:p w14:paraId="74DD9271" w14:textId="77777777" w:rsidR="00584EC1" w:rsidRDefault="00584EC1">
            <w:pPr>
              <w:rPr>
                <w:rFonts w:ascii="宋体"/>
              </w:rPr>
            </w:pPr>
          </w:p>
        </w:tc>
        <w:tc>
          <w:tcPr>
            <w:tcW w:w="230" w:type="pct"/>
            <w:shd w:val="clear" w:color="auto" w:fill="auto"/>
            <w:vAlign w:val="bottom"/>
          </w:tcPr>
          <w:p w14:paraId="74DD9272" w14:textId="77777777" w:rsidR="00584EC1" w:rsidRDefault="00584EC1">
            <w:pPr>
              <w:rPr>
                <w:rFonts w:ascii="宋体"/>
              </w:rPr>
            </w:pPr>
          </w:p>
        </w:tc>
        <w:tc>
          <w:tcPr>
            <w:tcW w:w="5" w:type="pct"/>
            <w:shd w:val="clear" w:color="auto" w:fill="auto"/>
            <w:vAlign w:val="bottom"/>
          </w:tcPr>
          <w:p w14:paraId="74DD9273" w14:textId="77777777" w:rsidR="00584EC1" w:rsidRDefault="00584EC1">
            <w:pPr>
              <w:rPr>
                <w:rFonts w:ascii="宋体"/>
              </w:rPr>
            </w:pPr>
          </w:p>
        </w:tc>
        <w:tc>
          <w:tcPr>
            <w:tcW w:w="5" w:type="pct"/>
            <w:shd w:val="clear" w:color="auto" w:fill="auto"/>
            <w:vAlign w:val="bottom"/>
          </w:tcPr>
          <w:p w14:paraId="74DD9274" w14:textId="77777777" w:rsidR="00584EC1" w:rsidRDefault="00584EC1">
            <w:pPr>
              <w:rPr>
                <w:rFonts w:ascii="宋体"/>
              </w:rPr>
            </w:pPr>
          </w:p>
        </w:tc>
        <w:tc>
          <w:tcPr>
            <w:tcW w:w="19" w:type="pct"/>
            <w:shd w:val="clear" w:color="auto" w:fill="auto"/>
            <w:vAlign w:val="bottom"/>
          </w:tcPr>
          <w:p w14:paraId="74DD9275" w14:textId="77777777" w:rsidR="00584EC1" w:rsidRDefault="00584EC1">
            <w:pPr>
              <w:rPr>
                <w:rFonts w:ascii="宋体"/>
              </w:rPr>
            </w:pPr>
          </w:p>
        </w:tc>
        <w:tc>
          <w:tcPr>
            <w:tcW w:w="5" w:type="pct"/>
            <w:shd w:val="clear" w:color="auto" w:fill="auto"/>
            <w:vAlign w:val="bottom"/>
          </w:tcPr>
          <w:p w14:paraId="74DD9276" w14:textId="77777777" w:rsidR="00584EC1" w:rsidRDefault="00584EC1">
            <w:pPr>
              <w:rPr>
                <w:rFonts w:ascii="宋体"/>
              </w:rPr>
            </w:pPr>
          </w:p>
        </w:tc>
        <w:tc>
          <w:tcPr>
            <w:tcW w:w="50" w:type="pct"/>
            <w:shd w:val="clear" w:color="auto" w:fill="auto"/>
            <w:vAlign w:val="bottom"/>
          </w:tcPr>
          <w:p w14:paraId="74DD9277" w14:textId="77777777" w:rsidR="00584EC1" w:rsidRDefault="00584EC1">
            <w:pPr>
              <w:rPr>
                <w:rFonts w:ascii="宋体"/>
              </w:rPr>
            </w:pPr>
          </w:p>
        </w:tc>
        <w:tc>
          <w:tcPr>
            <w:tcW w:w="230" w:type="pct"/>
            <w:shd w:val="clear" w:color="auto" w:fill="auto"/>
            <w:vAlign w:val="bottom"/>
          </w:tcPr>
          <w:p w14:paraId="74DD9278" w14:textId="77777777" w:rsidR="00584EC1" w:rsidRDefault="00584EC1">
            <w:pPr>
              <w:rPr>
                <w:rFonts w:ascii="宋体"/>
              </w:rPr>
            </w:pPr>
          </w:p>
        </w:tc>
        <w:tc>
          <w:tcPr>
            <w:tcW w:w="5" w:type="pct"/>
            <w:shd w:val="clear" w:color="auto" w:fill="auto"/>
            <w:vAlign w:val="bottom"/>
          </w:tcPr>
          <w:p w14:paraId="74DD9279" w14:textId="77777777" w:rsidR="00584EC1" w:rsidRDefault="00584EC1">
            <w:pPr>
              <w:rPr>
                <w:rFonts w:ascii="宋体"/>
              </w:rPr>
            </w:pPr>
          </w:p>
        </w:tc>
        <w:tc>
          <w:tcPr>
            <w:tcW w:w="5" w:type="pct"/>
            <w:shd w:val="clear" w:color="auto" w:fill="auto"/>
            <w:vAlign w:val="bottom"/>
          </w:tcPr>
          <w:p w14:paraId="74DD927A" w14:textId="77777777" w:rsidR="00584EC1" w:rsidRDefault="00584EC1">
            <w:pPr>
              <w:rPr>
                <w:rFonts w:ascii="宋体"/>
              </w:rPr>
            </w:pPr>
          </w:p>
        </w:tc>
        <w:tc>
          <w:tcPr>
            <w:tcW w:w="19" w:type="pct"/>
            <w:shd w:val="clear" w:color="auto" w:fill="auto"/>
            <w:vAlign w:val="bottom"/>
          </w:tcPr>
          <w:p w14:paraId="74DD927B" w14:textId="77777777" w:rsidR="00584EC1" w:rsidRDefault="00584EC1">
            <w:pPr>
              <w:rPr>
                <w:rFonts w:ascii="宋体"/>
              </w:rPr>
            </w:pPr>
          </w:p>
        </w:tc>
        <w:tc>
          <w:tcPr>
            <w:tcW w:w="5" w:type="pct"/>
            <w:shd w:val="clear" w:color="auto" w:fill="auto"/>
            <w:vAlign w:val="bottom"/>
          </w:tcPr>
          <w:p w14:paraId="74DD927C" w14:textId="77777777" w:rsidR="00584EC1" w:rsidRDefault="00584EC1">
            <w:pPr>
              <w:rPr>
                <w:rFonts w:ascii="宋体"/>
              </w:rPr>
            </w:pPr>
          </w:p>
        </w:tc>
        <w:tc>
          <w:tcPr>
            <w:tcW w:w="50" w:type="pct"/>
            <w:shd w:val="clear" w:color="auto" w:fill="auto"/>
            <w:vAlign w:val="bottom"/>
          </w:tcPr>
          <w:p w14:paraId="74DD927D" w14:textId="77777777" w:rsidR="00584EC1" w:rsidRDefault="00584EC1">
            <w:pPr>
              <w:rPr>
                <w:rFonts w:ascii="宋体"/>
              </w:rPr>
            </w:pPr>
          </w:p>
        </w:tc>
        <w:tc>
          <w:tcPr>
            <w:tcW w:w="230" w:type="pct"/>
            <w:shd w:val="clear" w:color="auto" w:fill="auto"/>
            <w:vAlign w:val="bottom"/>
          </w:tcPr>
          <w:p w14:paraId="74DD927E" w14:textId="77777777" w:rsidR="00584EC1" w:rsidRDefault="00584EC1">
            <w:pPr>
              <w:rPr>
                <w:rFonts w:ascii="宋体"/>
              </w:rPr>
            </w:pPr>
          </w:p>
        </w:tc>
        <w:tc>
          <w:tcPr>
            <w:tcW w:w="5" w:type="pct"/>
            <w:shd w:val="clear" w:color="auto" w:fill="auto"/>
            <w:vAlign w:val="bottom"/>
          </w:tcPr>
          <w:p w14:paraId="74DD927F" w14:textId="77777777" w:rsidR="00584EC1" w:rsidRDefault="00584EC1">
            <w:pPr>
              <w:rPr>
                <w:rFonts w:ascii="宋体"/>
              </w:rPr>
            </w:pPr>
          </w:p>
        </w:tc>
        <w:tc>
          <w:tcPr>
            <w:tcW w:w="5" w:type="pct"/>
            <w:shd w:val="clear" w:color="auto" w:fill="auto"/>
            <w:vAlign w:val="bottom"/>
          </w:tcPr>
          <w:p w14:paraId="74DD9280" w14:textId="77777777" w:rsidR="00584EC1" w:rsidRDefault="00584EC1">
            <w:pPr>
              <w:rPr>
                <w:rFonts w:ascii="宋体"/>
              </w:rPr>
            </w:pPr>
          </w:p>
        </w:tc>
        <w:tc>
          <w:tcPr>
            <w:tcW w:w="19" w:type="pct"/>
            <w:shd w:val="clear" w:color="auto" w:fill="auto"/>
            <w:vAlign w:val="bottom"/>
          </w:tcPr>
          <w:p w14:paraId="74DD9281" w14:textId="77777777" w:rsidR="00584EC1" w:rsidRDefault="00584EC1">
            <w:pPr>
              <w:rPr>
                <w:rFonts w:ascii="宋体"/>
              </w:rPr>
            </w:pPr>
          </w:p>
        </w:tc>
        <w:tc>
          <w:tcPr>
            <w:tcW w:w="5" w:type="pct"/>
            <w:shd w:val="clear" w:color="auto" w:fill="auto"/>
            <w:vAlign w:val="bottom"/>
          </w:tcPr>
          <w:p w14:paraId="74DD9282" w14:textId="77777777" w:rsidR="00584EC1" w:rsidRDefault="00584EC1">
            <w:pPr>
              <w:rPr>
                <w:rFonts w:ascii="宋体"/>
              </w:rPr>
            </w:pPr>
          </w:p>
        </w:tc>
        <w:tc>
          <w:tcPr>
            <w:tcW w:w="0" w:type="auto"/>
            <w:shd w:val="clear" w:color="auto" w:fill="auto"/>
            <w:vAlign w:val="bottom"/>
          </w:tcPr>
          <w:p w14:paraId="74DD9283" w14:textId="77777777" w:rsidR="00584EC1" w:rsidRDefault="00584EC1">
            <w:pPr>
              <w:rPr>
                <w:rFonts w:ascii="宋体"/>
                <w:vanish/>
              </w:rPr>
            </w:pPr>
          </w:p>
        </w:tc>
        <w:tc>
          <w:tcPr>
            <w:tcW w:w="0" w:type="auto"/>
            <w:shd w:val="clear" w:color="auto" w:fill="auto"/>
            <w:vAlign w:val="bottom"/>
          </w:tcPr>
          <w:p w14:paraId="74DD9284" w14:textId="77777777" w:rsidR="00584EC1" w:rsidRDefault="00584EC1">
            <w:pPr>
              <w:rPr>
                <w:rFonts w:ascii="宋体"/>
                <w:vanish/>
              </w:rPr>
            </w:pPr>
          </w:p>
        </w:tc>
        <w:tc>
          <w:tcPr>
            <w:tcW w:w="50" w:type="pct"/>
            <w:shd w:val="clear" w:color="auto" w:fill="auto"/>
            <w:vAlign w:val="bottom"/>
          </w:tcPr>
          <w:p w14:paraId="74DD9285" w14:textId="77777777" w:rsidR="00584EC1" w:rsidRDefault="00584EC1">
            <w:pPr>
              <w:rPr>
                <w:rFonts w:ascii="宋体"/>
              </w:rPr>
            </w:pPr>
          </w:p>
        </w:tc>
        <w:tc>
          <w:tcPr>
            <w:tcW w:w="230" w:type="pct"/>
            <w:shd w:val="clear" w:color="auto" w:fill="auto"/>
            <w:vAlign w:val="bottom"/>
          </w:tcPr>
          <w:p w14:paraId="74DD9286" w14:textId="77777777" w:rsidR="00584EC1" w:rsidRDefault="00584EC1">
            <w:pPr>
              <w:rPr>
                <w:rFonts w:ascii="宋体"/>
              </w:rPr>
            </w:pPr>
          </w:p>
        </w:tc>
        <w:tc>
          <w:tcPr>
            <w:tcW w:w="5" w:type="pct"/>
            <w:shd w:val="clear" w:color="auto" w:fill="auto"/>
            <w:vAlign w:val="bottom"/>
          </w:tcPr>
          <w:p w14:paraId="74DD9287" w14:textId="77777777" w:rsidR="00584EC1" w:rsidRDefault="00584EC1">
            <w:pPr>
              <w:rPr>
                <w:rFonts w:ascii="宋体"/>
              </w:rPr>
            </w:pPr>
          </w:p>
        </w:tc>
        <w:tc>
          <w:tcPr>
            <w:tcW w:w="5" w:type="pct"/>
            <w:shd w:val="clear" w:color="auto" w:fill="auto"/>
            <w:vAlign w:val="bottom"/>
          </w:tcPr>
          <w:p w14:paraId="74DD9288" w14:textId="77777777" w:rsidR="00584EC1" w:rsidRDefault="00584EC1">
            <w:pPr>
              <w:rPr>
                <w:rFonts w:ascii="宋体"/>
              </w:rPr>
            </w:pPr>
          </w:p>
        </w:tc>
        <w:tc>
          <w:tcPr>
            <w:tcW w:w="19" w:type="pct"/>
            <w:shd w:val="clear" w:color="auto" w:fill="auto"/>
            <w:vAlign w:val="bottom"/>
          </w:tcPr>
          <w:p w14:paraId="74DD9289" w14:textId="77777777" w:rsidR="00584EC1" w:rsidRDefault="00584EC1">
            <w:pPr>
              <w:rPr>
                <w:rFonts w:ascii="宋体"/>
              </w:rPr>
            </w:pPr>
          </w:p>
        </w:tc>
        <w:tc>
          <w:tcPr>
            <w:tcW w:w="5" w:type="pct"/>
            <w:shd w:val="clear" w:color="auto" w:fill="auto"/>
            <w:vAlign w:val="bottom"/>
          </w:tcPr>
          <w:p w14:paraId="74DD928A" w14:textId="77777777" w:rsidR="00584EC1" w:rsidRDefault="00584EC1">
            <w:pPr>
              <w:rPr>
                <w:rFonts w:ascii="宋体"/>
              </w:rPr>
            </w:pPr>
          </w:p>
        </w:tc>
        <w:tc>
          <w:tcPr>
            <w:tcW w:w="50" w:type="pct"/>
            <w:shd w:val="clear" w:color="auto" w:fill="auto"/>
            <w:vAlign w:val="bottom"/>
          </w:tcPr>
          <w:p w14:paraId="74DD928B" w14:textId="77777777" w:rsidR="00584EC1" w:rsidRDefault="00584EC1">
            <w:pPr>
              <w:rPr>
                <w:rFonts w:ascii="宋体"/>
              </w:rPr>
            </w:pPr>
          </w:p>
        </w:tc>
        <w:tc>
          <w:tcPr>
            <w:tcW w:w="230" w:type="pct"/>
            <w:shd w:val="clear" w:color="auto" w:fill="auto"/>
            <w:vAlign w:val="bottom"/>
          </w:tcPr>
          <w:p w14:paraId="74DD928C" w14:textId="77777777" w:rsidR="00584EC1" w:rsidRDefault="00584EC1">
            <w:pPr>
              <w:rPr>
                <w:rFonts w:ascii="宋体"/>
              </w:rPr>
            </w:pPr>
          </w:p>
        </w:tc>
        <w:tc>
          <w:tcPr>
            <w:tcW w:w="5" w:type="pct"/>
            <w:shd w:val="clear" w:color="auto" w:fill="auto"/>
            <w:vAlign w:val="bottom"/>
          </w:tcPr>
          <w:p w14:paraId="74DD928D" w14:textId="77777777" w:rsidR="00584EC1" w:rsidRDefault="00584EC1">
            <w:pPr>
              <w:rPr>
                <w:rFonts w:ascii="宋体"/>
              </w:rPr>
            </w:pPr>
          </w:p>
        </w:tc>
        <w:tc>
          <w:tcPr>
            <w:tcW w:w="5" w:type="pct"/>
            <w:shd w:val="clear" w:color="auto" w:fill="auto"/>
            <w:vAlign w:val="bottom"/>
          </w:tcPr>
          <w:p w14:paraId="74DD928E" w14:textId="77777777" w:rsidR="00584EC1" w:rsidRDefault="00584EC1">
            <w:pPr>
              <w:rPr>
                <w:rFonts w:ascii="宋体"/>
              </w:rPr>
            </w:pPr>
          </w:p>
        </w:tc>
        <w:tc>
          <w:tcPr>
            <w:tcW w:w="19" w:type="pct"/>
            <w:shd w:val="clear" w:color="auto" w:fill="auto"/>
            <w:vAlign w:val="bottom"/>
          </w:tcPr>
          <w:p w14:paraId="74DD928F" w14:textId="77777777" w:rsidR="00584EC1" w:rsidRDefault="00584EC1">
            <w:pPr>
              <w:rPr>
                <w:rFonts w:ascii="宋体"/>
              </w:rPr>
            </w:pPr>
          </w:p>
        </w:tc>
        <w:tc>
          <w:tcPr>
            <w:tcW w:w="5" w:type="pct"/>
            <w:shd w:val="clear" w:color="auto" w:fill="auto"/>
            <w:vAlign w:val="bottom"/>
          </w:tcPr>
          <w:p w14:paraId="74DD9290" w14:textId="77777777" w:rsidR="00584EC1" w:rsidRDefault="00584EC1">
            <w:pPr>
              <w:rPr>
                <w:rFonts w:ascii="宋体"/>
              </w:rPr>
            </w:pPr>
          </w:p>
        </w:tc>
      </w:tr>
      <w:tr w:rsidR="00584EC1" w14:paraId="74DD9293" w14:textId="77777777">
        <w:tc>
          <w:tcPr>
            <w:tcW w:w="0" w:type="auto"/>
            <w:gridSpan w:val="55"/>
            <w:shd w:val="clear" w:color="auto" w:fill="auto"/>
            <w:tcMar>
              <w:top w:w="40" w:type="dxa"/>
              <w:left w:w="20" w:type="dxa"/>
              <w:bottom w:w="40" w:type="dxa"/>
              <w:right w:w="20" w:type="dxa"/>
            </w:tcMar>
            <w:vAlign w:val="bottom"/>
          </w:tcPr>
          <w:p w14:paraId="74DD9292" w14:textId="77777777" w:rsidR="00584EC1" w:rsidRDefault="00871F8D">
            <w:pPr>
              <w:textAlignment w:val="bottom"/>
            </w:pPr>
            <w:r>
              <w:rPr>
                <w:rFonts w:ascii="Arial" w:eastAsia="宋体" w:hAnsi="Arial" w:cs="Arial"/>
                <w:b/>
                <w:bCs/>
                <w:color w:val="000000"/>
                <w:sz w:val="16"/>
                <w:szCs w:val="16"/>
              </w:rPr>
              <w:t>TABLE 28: TEN-DAY VALUE-AT-RISK ASSOCIATED WITH TRADING ACTIVITIES FOR COVERED POSITIONS</w:t>
            </w:r>
          </w:p>
        </w:tc>
      </w:tr>
      <w:tr w:rsidR="00584EC1" w14:paraId="74DD929B" w14:textId="77777777">
        <w:trPr>
          <w:trHeight w:val="220"/>
        </w:trPr>
        <w:tc>
          <w:tcPr>
            <w:tcW w:w="0" w:type="auto"/>
            <w:gridSpan w:val="3"/>
            <w:shd w:val="clear" w:color="auto" w:fill="auto"/>
            <w:tcMar>
              <w:top w:w="0" w:type="dxa"/>
              <w:left w:w="20" w:type="dxa"/>
              <w:bottom w:w="0" w:type="dxa"/>
              <w:right w:w="20" w:type="dxa"/>
            </w:tcMar>
            <w:vAlign w:val="bottom"/>
          </w:tcPr>
          <w:p w14:paraId="74DD9294" w14:textId="77777777" w:rsidR="00584EC1" w:rsidRDefault="00584EC1">
            <w:pPr>
              <w:rPr>
                <w:rFonts w:ascii="宋体"/>
              </w:rPr>
            </w:pPr>
          </w:p>
        </w:tc>
        <w:tc>
          <w:tcPr>
            <w:tcW w:w="0" w:type="auto"/>
            <w:gridSpan w:val="43"/>
            <w:tcBorders>
              <w:bottom w:val="single" w:sz="8" w:space="0" w:color="000000"/>
            </w:tcBorders>
            <w:shd w:val="clear" w:color="auto" w:fill="auto"/>
            <w:tcMar>
              <w:top w:w="40" w:type="dxa"/>
              <w:left w:w="20" w:type="dxa"/>
              <w:bottom w:w="40" w:type="dxa"/>
              <w:right w:w="20" w:type="dxa"/>
            </w:tcMar>
            <w:vAlign w:val="bottom"/>
          </w:tcPr>
          <w:p w14:paraId="74DD9295" w14:textId="77777777" w:rsidR="00584EC1" w:rsidRDefault="00871F8D">
            <w:pPr>
              <w:jc w:val="center"/>
              <w:textAlignment w:val="bottom"/>
            </w:pPr>
            <w:r>
              <w:rPr>
                <w:rFonts w:ascii="Arial" w:eastAsia="宋体" w:hAnsi="Arial" w:cs="Arial"/>
                <w:b/>
                <w:bCs/>
                <w:color w:val="000000"/>
                <w:sz w:val="13"/>
                <w:szCs w:val="13"/>
              </w:rPr>
              <w:t>Three Months Ended</w:t>
            </w:r>
          </w:p>
        </w:tc>
        <w:tc>
          <w:tcPr>
            <w:tcW w:w="0" w:type="auto"/>
            <w:gridSpan w:val="3"/>
            <w:shd w:val="clear" w:color="auto" w:fill="auto"/>
            <w:tcMar>
              <w:top w:w="0" w:type="dxa"/>
              <w:left w:w="20" w:type="dxa"/>
              <w:bottom w:w="0" w:type="dxa"/>
              <w:right w:w="20" w:type="dxa"/>
            </w:tcMar>
            <w:vAlign w:val="bottom"/>
          </w:tcPr>
          <w:p w14:paraId="74DD9296" w14:textId="77777777" w:rsidR="00584EC1" w:rsidRDefault="00584EC1">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74DD9297" w14:textId="77777777" w:rsidR="00584EC1" w:rsidRDefault="00871F8D">
            <w:pPr>
              <w:jc w:val="center"/>
              <w:textAlignment w:val="bottom"/>
            </w:pPr>
            <w:r>
              <w:rPr>
                <w:rFonts w:ascii="Arial" w:eastAsia="宋体" w:hAnsi="Arial" w:cs="Arial"/>
                <w:b/>
                <w:bCs/>
                <w:color w:val="000000"/>
                <w:sz w:val="13"/>
                <w:szCs w:val="13"/>
              </w:rPr>
              <w:t>As of September 30, 2021</w:t>
            </w:r>
          </w:p>
        </w:tc>
        <w:tc>
          <w:tcPr>
            <w:tcW w:w="0" w:type="auto"/>
            <w:gridSpan w:val="2"/>
            <w:vMerge w:val="restart"/>
            <w:shd w:val="clear" w:color="auto" w:fill="auto"/>
            <w:tcMar>
              <w:top w:w="0" w:type="dxa"/>
              <w:left w:w="20" w:type="dxa"/>
              <w:bottom w:w="0" w:type="dxa"/>
              <w:right w:w="20" w:type="dxa"/>
            </w:tcMar>
            <w:vAlign w:val="bottom"/>
          </w:tcPr>
          <w:p w14:paraId="74DD9298" w14:textId="77777777" w:rsidR="00584EC1" w:rsidRDefault="00584EC1">
            <w:pPr>
              <w:rPr>
                <w:rFonts w:ascii="宋体"/>
              </w:rPr>
            </w:pPr>
          </w:p>
        </w:tc>
        <w:tc>
          <w:tcPr>
            <w:tcW w:w="0" w:type="auto"/>
            <w:vMerge w:val="restart"/>
            <w:shd w:val="clear" w:color="auto" w:fill="auto"/>
            <w:tcMar>
              <w:top w:w="40" w:type="dxa"/>
              <w:left w:w="20" w:type="dxa"/>
              <w:bottom w:w="40" w:type="dxa"/>
              <w:right w:w="20" w:type="dxa"/>
            </w:tcMar>
            <w:vAlign w:val="bottom"/>
          </w:tcPr>
          <w:p w14:paraId="74DD9299" w14:textId="77777777" w:rsidR="00584EC1" w:rsidRDefault="00871F8D">
            <w:pPr>
              <w:jc w:val="center"/>
              <w:textAlignment w:val="bottom"/>
            </w:pPr>
            <w:r>
              <w:rPr>
                <w:rFonts w:ascii="Arial" w:eastAsia="宋体" w:hAnsi="Arial" w:cs="Arial"/>
                <w:b/>
                <w:bCs/>
                <w:color w:val="000000"/>
                <w:sz w:val="13"/>
                <w:szCs w:val="13"/>
              </w:rPr>
              <w:t>As of June 30, 2021</w:t>
            </w:r>
          </w:p>
          <w:p w14:paraId="74DD929A" w14:textId="77777777" w:rsidR="00584EC1" w:rsidRDefault="00871F8D">
            <w:pPr>
              <w:jc w:val="center"/>
              <w:textAlignment w:val="bottom"/>
            </w:pPr>
            <w:r>
              <w:rPr>
                <w:rFonts w:ascii="Arial" w:eastAsia="宋体" w:hAnsi="Arial" w:cs="Arial"/>
                <w:b/>
                <w:bCs/>
                <w:color w:val="000000"/>
                <w:sz w:val="13"/>
                <w:szCs w:val="13"/>
              </w:rPr>
              <w:t xml:space="preserve">As of September 30, </w:t>
            </w:r>
            <w:r>
              <w:rPr>
                <w:rFonts w:ascii="Arial" w:eastAsia="宋体" w:hAnsi="Arial" w:cs="Arial"/>
                <w:b/>
                <w:bCs/>
                <w:color w:val="000000"/>
                <w:sz w:val="13"/>
                <w:szCs w:val="13"/>
              </w:rPr>
              <w:t>2020</w:t>
            </w:r>
          </w:p>
        </w:tc>
      </w:tr>
      <w:tr w:rsidR="00584EC1" w14:paraId="74DD92A7" w14:textId="77777777">
        <w:trPr>
          <w:trHeight w:val="220"/>
        </w:trPr>
        <w:tc>
          <w:tcPr>
            <w:tcW w:w="0" w:type="auto"/>
            <w:gridSpan w:val="3"/>
            <w:shd w:val="clear" w:color="auto" w:fill="auto"/>
            <w:tcMar>
              <w:top w:w="0" w:type="dxa"/>
              <w:left w:w="20" w:type="dxa"/>
              <w:bottom w:w="0" w:type="dxa"/>
              <w:right w:w="20" w:type="dxa"/>
            </w:tcMar>
            <w:vAlign w:val="bottom"/>
          </w:tcPr>
          <w:p w14:paraId="74DD929C" w14:textId="77777777" w:rsidR="00584EC1" w:rsidRDefault="00584EC1">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4DD929D" w14:textId="77777777" w:rsidR="00584EC1" w:rsidRDefault="00871F8D">
            <w:pPr>
              <w:jc w:val="center"/>
              <w:textAlignment w:val="bottom"/>
            </w:pPr>
            <w:r>
              <w:rPr>
                <w:rFonts w:ascii="Arial" w:eastAsia="宋体" w:hAnsi="Arial" w:cs="Arial"/>
                <w:b/>
                <w:bCs/>
                <w:color w:val="000000"/>
                <w:sz w:val="13"/>
                <w:szCs w:val="13"/>
              </w:rPr>
              <w:t>September 30,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29E" w14:textId="77777777" w:rsidR="00584EC1" w:rsidRDefault="00584EC1">
            <w:pPr>
              <w:rPr>
                <w:rFonts w:ascii="宋体"/>
              </w:rPr>
            </w:pPr>
          </w:p>
        </w:tc>
        <w:tc>
          <w:tcPr>
            <w:tcW w:w="0" w:type="auto"/>
            <w:shd w:val="clear" w:color="auto" w:fill="auto"/>
            <w:vAlign w:val="bottom"/>
          </w:tcPr>
          <w:p w14:paraId="74DD929F" w14:textId="77777777" w:rsidR="00584EC1" w:rsidRDefault="00584EC1">
            <w:pPr>
              <w:rPr>
                <w:rFonts w:ascii="宋体"/>
                <w:vanish/>
              </w:rPr>
            </w:pPr>
          </w:p>
        </w:tc>
        <w:tc>
          <w:tcPr>
            <w:tcW w:w="0" w:type="auto"/>
            <w:shd w:val="clear" w:color="auto" w:fill="auto"/>
            <w:vAlign w:val="bottom"/>
          </w:tcPr>
          <w:p w14:paraId="74DD92A0" w14:textId="77777777" w:rsidR="00584EC1" w:rsidRDefault="00584EC1">
            <w:pPr>
              <w:rPr>
                <w:rFonts w:ascii="宋体"/>
                <w:vanish/>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4DD92A1" w14:textId="77777777" w:rsidR="00584EC1" w:rsidRDefault="00871F8D">
            <w:pPr>
              <w:jc w:val="center"/>
              <w:textAlignment w:val="bottom"/>
            </w:pPr>
            <w:r>
              <w:rPr>
                <w:rFonts w:ascii="Arial" w:eastAsia="宋体" w:hAnsi="Arial" w:cs="Arial"/>
                <w:b/>
                <w:bCs/>
                <w:color w:val="000000"/>
                <w:sz w:val="13"/>
                <w:szCs w:val="13"/>
              </w:rPr>
              <w:t>June 30,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2A2" w14:textId="77777777" w:rsidR="00584EC1" w:rsidRDefault="00584EC1">
            <w:pPr>
              <w:rPr>
                <w:rFonts w:ascii="宋体"/>
              </w:rPr>
            </w:pPr>
          </w:p>
        </w:tc>
        <w:tc>
          <w:tcPr>
            <w:tcW w:w="0" w:type="auto"/>
            <w:shd w:val="clear" w:color="auto" w:fill="auto"/>
            <w:vAlign w:val="bottom"/>
          </w:tcPr>
          <w:p w14:paraId="74DD92A3" w14:textId="77777777" w:rsidR="00584EC1" w:rsidRDefault="00584EC1">
            <w:pPr>
              <w:rPr>
                <w:rFonts w:ascii="宋体"/>
                <w:vanish/>
              </w:rPr>
            </w:pPr>
          </w:p>
        </w:tc>
        <w:tc>
          <w:tcPr>
            <w:tcW w:w="0" w:type="auto"/>
            <w:shd w:val="clear" w:color="auto" w:fill="auto"/>
            <w:vAlign w:val="bottom"/>
          </w:tcPr>
          <w:p w14:paraId="74DD92A4" w14:textId="77777777" w:rsidR="00584EC1" w:rsidRDefault="00584EC1">
            <w:pPr>
              <w:rPr>
                <w:rFonts w:ascii="宋体"/>
                <w:vanish/>
              </w:rPr>
            </w:pPr>
          </w:p>
        </w:tc>
        <w:tc>
          <w:tcPr>
            <w:tcW w:w="0" w:type="auto"/>
            <w:gridSpan w:val="11"/>
            <w:tcBorders>
              <w:top w:val="single" w:sz="8" w:space="0" w:color="000000"/>
            </w:tcBorders>
            <w:shd w:val="clear" w:color="auto" w:fill="auto"/>
            <w:tcMar>
              <w:top w:w="40" w:type="dxa"/>
              <w:left w:w="20" w:type="dxa"/>
              <w:bottom w:w="40" w:type="dxa"/>
              <w:right w:w="20" w:type="dxa"/>
            </w:tcMar>
            <w:vAlign w:val="bottom"/>
          </w:tcPr>
          <w:p w14:paraId="74DD92A5" w14:textId="77777777" w:rsidR="00584EC1" w:rsidRDefault="00871F8D">
            <w:pPr>
              <w:jc w:val="center"/>
              <w:textAlignment w:val="bottom"/>
            </w:pPr>
            <w:r>
              <w:rPr>
                <w:rFonts w:ascii="Arial" w:eastAsia="宋体" w:hAnsi="Arial" w:cs="Arial"/>
                <w:b/>
                <w:bCs/>
                <w:color w:val="000000"/>
                <w:sz w:val="13"/>
                <w:szCs w:val="13"/>
              </w:rPr>
              <w:t>September 30, 2020</w:t>
            </w:r>
          </w:p>
        </w:tc>
        <w:tc>
          <w:tcPr>
            <w:tcW w:w="0" w:type="auto"/>
            <w:shd w:val="clear" w:color="auto" w:fill="auto"/>
            <w:tcMar>
              <w:top w:w="0" w:type="dxa"/>
              <w:left w:w="20" w:type="dxa"/>
              <w:bottom w:w="0" w:type="dxa"/>
              <w:right w:w="20" w:type="dxa"/>
            </w:tcMar>
            <w:vAlign w:val="bottom"/>
          </w:tcPr>
          <w:p w14:paraId="74DD92A6" w14:textId="77777777" w:rsidR="00584EC1" w:rsidRDefault="00584EC1">
            <w:pPr>
              <w:rPr>
                <w:rFonts w:ascii="宋体"/>
              </w:rPr>
            </w:pPr>
          </w:p>
        </w:tc>
      </w:tr>
      <w:tr w:rsidR="00584EC1" w14:paraId="74DD92C1" w14:textId="77777777">
        <w:tc>
          <w:tcPr>
            <w:tcW w:w="0" w:type="auto"/>
            <w:gridSpan w:val="3"/>
            <w:shd w:val="clear" w:color="auto" w:fill="auto"/>
            <w:tcMar>
              <w:top w:w="40" w:type="dxa"/>
              <w:left w:w="20" w:type="dxa"/>
              <w:bottom w:w="40" w:type="dxa"/>
              <w:right w:w="20" w:type="dxa"/>
            </w:tcMar>
            <w:vAlign w:val="bottom"/>
          </w:tcPr>
          <w:p w14:paraId="74DD92A8" w14:textId="77777777" w:rsidR="00584EC1" w:rsidRDefault="00871F8D">
            <w:pPr>
              <w:textAlignment w:val="bottom"/>
            </w:pPr>
            <w:r>
              <w:rPr>
                <w:rFonts w:ascii="Arial" w:eastAsia="宋体" w:hAnsi="Arial" w:cs="Arial"/>
                <w:b/>
                <w:bCs/>
                <w:color w:val="000000"/>
                <w:sz w:val="13"/>
                <w:szCs w:val="13"/>
              </w:rPr>
              <w:t>(In thousands)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92A9" w14:textId="77777777" w:rsidR="00584EC1" w:rsidRDefault="00871F8D">
            <w:pPr>
              <w:spacing w:after="20"/>
              <w:jc w:val="center"/>
              <w:textAlignment w:val="bottom"/>
            </w:pPr>
            <w:r>
              <w:rPr>
                <w:rFonts w:ascii="Arial" w:eastAsia="宋体" w:hAnsi="Arial" w:cs="Arial"/>
                <w:b/>
                <w:bCs/>
                <w:color w:val="000000"/>
                <w:sz w:val="13"/>
                <w:szCs w:val="13"/>
              </w:rPr>
              <w:t>Avg.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2AA"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92AB" w14:textId="77777777" w:rsidR="00584EC1" w:rsidRDefault="00871F8D">
            <w:pPr>
              <w:spacing w:after="20"/>
              <w:jc w:val="center"/>
              <w:textAlignment w:val="bottom"/>
            </w:pPr>
            <w:r>
              <w:rPr>
                <w:rFonts w:ascii="Arial" w:eastAsia="宋体" w:hAnsi="Arial" w:cs="Arial"/>
                <w:b/>
                <w:bCs/>
                <w:color w:val="000000"/>
                <w:sz w:val="13"/>
                <w:szCs w:val="13"/>
              </w:rPr>
              <w:t>Max.</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2AC"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92AD" w14:textId="77777777" w:rsidR="00584EC1" w:rsidRDefault="00871F8D">
            <w:pPr>
              <w:spacing w:after="20"/>
              <w:jc w:val="center"/>
              <w:textAlignment w:val="bottom"/>
            </w:pPr>
            <w:r>
              <w:rPr>
                <w:rFonts w:ascii="Arial" w:eastAsia="宋体" w:hAnsi="Arial" w:cs="Arial"/>
                <w:b/>
                <w:bCs/>
                <w:color w:val="000000"/>
                <w:sz w:val="13"/>
                <w:szCs w:val="13"/>
              </w:rPr>
              <w:t>Min.</w:t>
            </w:r>
          </w:p>
        </w:tc>
        <w:tc>
          <w:tcPr>
            <w:tcW w:w="0" w:type="auto"/>
            <w:gridSpan w:val="3"/>
            <w:shd w:val="clear" w:color="auto" w:fill="auto"/>
            <w:tcMar>
              <w:top w:w="0" w:type="dxa"/>
              <w:left w:w="20" w:type="dxa"/>
              <w:bottom w:w="0" w:type="dxa"/>
              <w:right w:w="20" w:type="dxa"/>
            </w:tcMar>
            <w:vAlign w:val="bottom"/>
          </w:tcPr>
          <w:p w14:paraId="74DD92AE" w14:textId="77777777" w:rsidR="00584EC1" w:rsidRDefault="00584EC1">
            <w:pPr>
              <w:rPr>
                <w:rFonts w:ascii="宋体"/>
              </w:rPr>
            </w:pPr>
          </w:p>
        </w:tc>
        <w:tc>
          <w:tcPr>
            <w:tcW w:w="0" w:type="auto"/>
            <w:shd w:val="clear" w:color="auto" w:fill="auto"/>
            <w:vAlign w:val="bottom"/>
          </w:tcPr>
          <w:p w14:paraId="74DD92AF" w14:textId="77777777" w:rsidR="00584EC1" w:rsidRDefault="00584EC1">
            <w:pPr>
              <w:rPr>
                <w:rFonts w:ascii="宋体"/>
                <w:vanish/>
              </w:rPr>
            </w:pPr>
          </w:p>
        </w:tc>
        <w:tc>
          <w:tcPr>
            <w:tcW w:w="0" w:type="auto"/>
            <w:shd w:val="clear" w:color="auto" w:fill="auto"/>
            <w:vAlign w:val="bottom"/>
          </w:tcPr>
          <w:p w14:paraId="74DD92B0" w14:textId="77777777" w:rsidR="00584EC1" w:rsidRDefault="00584EC1">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92B1" w14:textId="77777777" w:rsidR="00584EC1" w:rsidRDefault="00871F8D">
            <w:pPr>
              <w:spacing w:after="20"/>
              <w:jc w:val="center"/>
              <w:textAlignment w:val="bottom"/>
            </w:pPr>
            <w:r>
              <w:rPr>
                <w:rFonts w:ascii="Arial" w:eastAsia="宋体" w:hAnsi="Arial" w:cs="Arial"/>
                <w:b/>
                <w:bCs/>
                <w:color w:val="000000"/>
                <w:sz w:val="13"/>
                <w:szCs w:val="13"/>
              </w:rPr>
              <w:t>Avg.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2B2"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92B3" w14:textId="77777777" w:rsidR="00584EC1" w:rsidRDefault="00871F8D">
            <w:pPr>
              <w:spacing w:after="20"/>
              <w:jc w:val="center"/>
              <w:textAlignment w:val="bottom"/>
            </w:pPr>
            <w:r>
              <w:rPr>
                <w:rFonts w:ascii="Arial" w:eastAsia="宋体" w:hAnsi="Arial" w:cs="Arial"/>
                <w:b/>
                <w:bCs/>
                <w:color w:val="000000"/>
                <w:sz w:val="13"/>
                <w:szCs w:val="13"/>
              </w:rPr>
              <w:t>Max.</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2B4"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92B5" w14:textId="77777777" w:rsidR="00584EC1" w:rsidRDefault="00871F8D">
            <w:pPr>
              <w:spacing w:after="20"/>
              <w:jc w:val="center"/>
              <w:textAlignment w:val="bottom"/>
            </w:pPr>
            <w:r>
              <w:rPr>
                <w:rFonts w:ascii="Arial" w:eastAsia="宋体" w:hAnsi="Arial" w:cs="Arial"/>
                <w:b/>
                <w:bCs/>
                <w:color w:val="000000"/>
                <w:sz w:val="13"/>
                <w:szCs w:val="13"/>
              </w:rPr>
              <w:t>Min.</w:t>
            </w:r>
          </w:p>
        </w:tc>
        <w:tc>
          <w:tcPr>
            <w:tcW w:w="0" w:type="auto"/>
            <w:gridSpan w:val="3"/>
            <w:shd w:val="clear" w:color="auto" w:fill="auto"/>
            <w:tcMar>
              <w:top w:w="0" w:type="dxa"/>
              <w:left w:w="20" w:type="dxa"/>
              <w:bottom w:w="0" w:type="dxa"/>
              <w:right w:w="20" w:type="dxa"/>
            </w:tcMar>
            <w:vAlign w:val="bottom"/>
          </w:tcPr>
          <w:p w14:paraId="74DD92B6" w14:textId="77777777" w:rsidR="00584EC1" w:rsidRDefault="00584EC1">
            <w:pPr>
              <w:rPr>
                <w:rFonts w:ascii="宋体"/>
              </w:rPr>
            </w:pPr>
          </w:p>
        </w:tc>
        <w:tc>
          <w:tcPr>
            <w:tcW w:w="0" w:type="auto"/>
            <w:shd w:val="clear" w:color="auto" w:fill="auto"/>
            <w:vAlign w:val="bottom"/>
          </w:tcPr>
          <w:p w14:paraId="74DD92B7" w14:textId="77777777" w:rsidR="00584EC1" w:rsidRDefault="00584EC1">
            <w:pPr>
              <w:rPr>
                <w:rFonts w:ascii="宋体"/>
                <w:vanish/>
              </w:rPr>
            </w:pPr>
          </w:p>
        </w:tc>
        <w:tc>
          <w:tcPr>
            <w:tcW w:w="0" w:type="auto"/>
            <w:shd w:val="clear" w:color="auto" w:fill="auto"/>
            <w:vAlign w:val="bottom"/>
          </w:tcPr>
          <w:p w14:paraId="74DD92B8" w14:textId="77777777" w:rsidR="00584EC1" w:rsidRDefault="00584EC1">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92B9" w14:textId="77777777" w:rsidR="00584EC1" w:rsidRDefault="00871F8D">
            <w:pPr>
              <w:spacing w:after="20"/>
              <w:jc w:val="center"/>
              <w:textAlignment w:val="bottom"/>
            </w:pPr>
            <w:r>
              <w:rPr>
                <w:rFonts w:ascii="Arial" w:eastAsia="宋体" w:hAnsi="Arial" w:cs="Arial"/>
                <w:b/>
                <w:bCs/>
                <w:color w:val="000000"/>
                <w:sz w:val="13"/>
                <w:szCs w:val="13"/>
              </w:rPr>
              <w:t>Avg.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2BA"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92BB" w14:textId="77777777" w:rsidR="00584EC1" w:rsidRDefault="00871F8D">
            <w:pPr>
              <w:spacing w:after="20"/>
              <w:jc w:val="center"/>
              <w:textAlignment w:val="bottom"/>
            </w:pPr>
            <w:r>
              <w:rPr>
                <w:rFonts w:ascii="Arial" w:eastAsia="宋体" w:hAnsi="Arial" w:cs="Arial"/>
                <w:b/>
                <w:bCs/>
                <w:color w:val="000000"/>
                <w:sz w:val="13"/>
                <w:szCs w:val="13"/>
              </w:rPr>
              <w:t>Max.</w:t>
            </w:r>
          </w:p>
        </w:tc>
        <w:tc>
          <w:tcPr>
            <w:tcW w:w="0" w:type="auto"/>
            <w:gridSpan w:val="2"/>
            <w:tcBorders>
              <w:top w:val="single" w:sz="8" w:space="0" w:color="000000"/>
            </w:tcBorders>
            <w:shd w:val="clear" w:color="auto" w:fill="auto"/>
            <w:tcMar>
              <w:top w:w="0" w:type="dxa"/>
              <w:left w:w="20" w:type="dxa"/>
              <w:bottom w:w="0" w:type="dxa"/>
              <w:right w:w="20" w:type="dxa"/>
            </w:tcMar>
            <w:vAlign w:val="bottom"/>
          </w:tcPr>
          <w:p w14:paraId="74DD92BC" w14:textId="77777777" w:rsidR="00584EC1" w:rsidRDefault="00584EC1">
            <w:pPr>
              <w:rPr>
                <w:rFonts w:ascii="宋体"/>
              </w:rPr>
            </w:pPr>
          </w:p>
        </w:tc>
        <w:tc>
          <w:tcPr>
            <w:tcW w:w="0" w:type="auto"/>
            <w:tcBorders>
              <w:top w:val="single" w:sz="8" w:space="0" w:color="000000"/>
            </w:tcBorders>
            <w:shd w:val="clear" w:color="auto" w:fill="auto"/>
            <w:tcMar>
              <w:top w:w="40" w:type="dxa"/>
              <w:left w:w="20" w:type="dxa"/>
              <w:bottom w:w="40" w:type="dxa"/>
              <w:right w:w="20" w:type="dxa"/>
            </w:tcMar>
            <w:vAlign w:val="bottom"/>
          </w:tcPr>
          <w:p w14:paraId="74DD92BD" w14:textId="77777777" w:rsidR="00584EC1" w:rsidRDefault="00871F8D">
            <w:pPr>
              <w:spacing w:after="20"/>
              <w:jc w:val="center"/>
              <w:textAlignment w:val="bottom"/>
            </w:pPr>
            <w:r>
              <w:rPr>
                <w:rFonts w:ascii="Arial" w:eastAsia="宋体" w:hAnsi="Arial" w:cs="Arial"/>
                <w:b/>
                <w:bCs/>
                <w:color w:val="000000"/>
                <w:sz w:val="13"/>
                <w:szCs w:val="13"/>
              </w:rPr>
              <w:t>Min.</w:t>
            </w:r>
          </w:p>
          <w:p w14:paraId="74DD92BE" w14:textId="77777777" w:rsidR="00584EC1" w:rsidRDefault="00871F8D">
            <w:pPr>
              <w:spacing w:after="20"/>
              <w:jc w:val="center"/>
              <w:textAlignment w:val="bottom"/>
            </w:pPr>
            <w:r>
              <w:rPr>
                <w:rFonts w:ascii="Arial" w:eastAsia="宋体" w:hAnsi="Arial" w:cs="Arial"/>
                <w:b/>
                <w:bCs/>
                <w:color w:val="000000"/>
                <w:sz w:val="13"/>
                <w:szCs w:val="13"/>
              </w:rPr>
              <w:t>VaR</w:t>
            </w:r>
          </w:p>
          <w:p w14:paraId="74DD92BF" w14:textId="77777777" w:rsidR="00584EC1" w:rsidRDefault="00871F8D">
            <w:pPr>
              <w:spacing w:after="20"/>
              <w:jc w:val="center"/>
              <w:textAlignment w:val="bottom"/>
            </w:pPr>
            <w:r>
              <w:rPr>
                <w:rFonts w:ascii="Arial" w:eastAsia="宋体" w:hAnsi="Arial" w:cs="Arial"/>
                <w:b/>
                <w:bCs/>
                <w:color w:val="000000"/>
                <w:sz w:val="13"/>
                <w:szCs w:val="13"/>
              </w:rPr>
              <w:t>VaR</w:t>
            </w:r>
          </w:p>
          <w:p w14:paraId="74DD92C0" w14:textId="77777777" w:rsidR="00584EC1" w:rsidRDefault="00871F8D">
            <w:pPr>
              <w:spacing w:after="20"/>
              <w:jc w:val="center"/>
              <w:textAlignment w:val="bottom"/>
            </w:pPr>
            <w:r>
              <w:rPr>
                <w:rFonts w:ascii="Arial" w:eastAsia="宋体" w:hAnsi="Arial" w:cs="Arial"/>
                <w:b/>
                <w:bCs/>
                <w:color w:val="000000"/>
                <w:sz w:val="13"/>
                <w:szCs w:val="13"/>
              </w:rPr>
              <w:t>VaR</w:t>
            </w:r>
          </w:p>
        </w:tc>
      </w:tr>
      <w:tr w:rsidR="00871F8D" w14:paraId="74DD92F3" w14:textId="77777777">
        <w:tc>
          <w:tcPr>
            <w:tcW w:w="0" w:type="auto"/>
            <w:gridSpan w:val="3"/>
            <w:shd w:val="clear" w:color="auto" w:fill="CCEEFF"/>
            <w:tcMar>
              <w:top w:w="40" w:type="dxa"/>
              <w:left w:w="20" w:type="dxa"/>
              <w:bottom w:w="40" w:type="dxa"/>
              <w:right w:w="20" w:type="dxa"/>
            </w:tcMar>
            <w:vAlign w:val="bottom"/>
          </w:tcPr>
          <w:p w14:paraId="74DD92C2" w14:textId="77777777" w:rsidR="00584EC1" w:rsidRDefault="00871F8D">
            <w:pPr>
              <w:textAlignment w:val="bottom"/>
            </w:pPr>
            <w:r>
              <w:rPr>
                <w:rFonts w:ascii="Arial" w:eastAsia="宋体" w:hAnsi="Arial" w:cs="Arial"/>
                <w:color w:val="000000"/>
                <w:sz w:val="13"/>
                <w:szCs w:val="13"/>
              </w:rPr>
              <w:t>Global Markets</w:t>
            </w:r>
          </w:p>
        </w:tc>
        <w:tc>
          <w:tcPr>
            <w:tcW w:w="0" w:type="auto"/>
            <w:tcBorders>
              <w:top w:val="single" w:sz="8" w:space="0" w:color="000000"/>
            </w:tcBorders>
            <w:shd w:val="clear" w:color="auto" w:fill="CCEEFF"/>
            <w:tcMar>
              <w:top w:w="40" w:type="dxa"/>
              <w:left w:w="20" w:type="dxa"/>
              <w:bottom w:w="40" w:type="dxa"/>
              <w:right w:w="0" w:type="dxa"/>
            </w:tcMar>
            <w:vAlign w:val="bottom"/>
          </w:tcPr>
          <w:p w14:paraId="74DD92C3" w14:textId="77777777" w:rsidR="00584EC1" w:rsidRDefault="00871F8D">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92C4" w14:textId="77777777" w:rsidR="00584EC1" w:rsidRDefault="00871F8D">
            <w:pPr>
              <w:jc w:val="right"/>
              <w:textAlignment w:val="bottom"/>
            </w:pPr>
            <w:r>
              <w:rPr>
                <w:rFonts w:ascii="Arial" w:eastAsia="宋体" w:hAnsi="Arial" w:cs="Arial"/>
                <w:b/>
                <w:bCs/>
                <w:color w:val="000000"/>
                <w:sz w:val="13"/>
                <w:szCs w:val="13"/>
              </w:rPr>
              <w:t>17,071</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2C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2C6" w14:textId="77777777" w:rsidR="00584EC1" w:rsidRDefault="00584EC1">
            <w:pPr>
              <w:spacing w:after="20"/>
              <w:jc w:val="right"/>
            </w:pPr>
          </w:p>
          <w:p w14:paraId="74DD92C7" w14:textId="77777777" w:rsidR="00584EC1" w:rsidRDefault="00584EC1">
            <w:pPr>
              <w:spacing w:after="20"/>
              <w:jc w:val="right"/>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92C8" w14:textId="77777777" w:rsidR="00584EC1" w:rsidRDefault="00871F8D">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92C9" w14:textId="77777777" w:rsidR="00584EC1" w:rsidRDefault="00871F8D">
            <w:pPr>
              <w:jc w:val="right"/>
              <w:textAlignment w:val="bottom"/>
            </w:pPr>
            <w:r>
              <w:rPr>
                <w:rFonts w:ascii="Arial" w:eastAsia="宋体" w:hAnsi="Arial" w:cs="Arial"/>
                <w:b/>
                <w:bCs/>
                <w:color w:val="000000"/>
                <w:sz w:val="13"/>
                <w:szCs w:val="13"/>
              </w:rPr>
              <w:t>30,485</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2C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2CB" w14:textId="77777777" w:rsidR="00584EC1" w:rsidRDefault="00584EC1">
            <w:pPr>
              <w:spacing w:after="20"/>
              <w:jc w:val="right"/>
            </w:pPr>
          </w:p>
          <w:p w14:paraId="74DD92CC" w14:textId="77777777" w:rsidR="00584EC1" w:rsidRDefault="00584EC1">
            <w:pPr>
              <w:spacing w:after="20"/>
              <w:jc w:val="right"/>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92CD" w14:textId="77777777" w:rsidR="00584EC1" w:rsidRDefault="00871F8D">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92CE" w14:textId="77777777" w:rsidR="00584EC1" w:rsidRDefault="00871F8D">
            <w:pPr>
              <w:jc w:val="right"/>
              <w:textAlignment w:val="bottom"/>
            </w:pPr>
            <w:r>
              <w:rPr>
                <w:rFonts w:ascii="Arial" w:eastAsia="宋体" w:hAnsi="Arial" w:cs="Arial"/>
                <w:b/>
                <w:bCs/>
                <w:color w:val="000000"/>
                <w:sz w:val="13"/>
                <w:szCs w:val="13"/>
              </w:rPr>
              <w:t>11,417</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2C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2D0" w14:textId="77777777" w:rsidR="00584EC1" w:rsidRDefault="00584EC1">
            <w:pPr>
              <w:rPr>
                <w:rFonts w:ascii="宋体"/>
              </w:rPr>
            </w:pPr>
          </w:p>
        </w:tc>
        <w:tc>
          <w:tcPr>
            <w:tcW w:w="0" w:type="auto"/>
            <w:shd w:val="clear" w:color="auto" w:fill="auto"/>
            <w:vAlign w:val="bottom"/>
          </w:tcPr>
          <w:p w14:paraId="74DD92D1" w14:textId="77777777" w:rsidR="00584EC1" w:rsidRDefault="00584EC1">
            <w:pPr>
              <w:rPr>
                <w:rFonts w:ascii="宋体"/>
                <w:vanish/>
              </w:rPr>
            </w:pPr>
          </w:p>
        </w:tc>
        <w:tc>
          <w:tcPr>
            <w:tcW w:w="0" w:type="auto"/>
            <w:shd w:val="clear" w:color="auto" w:fill="auto"/>
            <w:vAlign w:val="bottom"/>
          </w:tcPr>
          <w:p w14:paraId="74DD92D2" w14:textId="77777777" w:rsidR="00584EC1" w:rsidRDefault="00584EC1">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92D3" w14:textId="77777777" w:rsidR="00584EC1" w:rsidRDefault="00871F8D">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92D4" w14:textId="77777777" w:rsidR="00584EC1" w:rsidRDefault="00871F8D">
            <w:pPr>
              <w:jc w:val="right"/>
              <w:textAlignment w:val="bottom"/>
            </w:pPr>
            <w:r>
              <w:rPr>
                <w:rFonts w:ascii="Arial" w:eastAsia="宋体" w:hAnsi="Arial" w:cs="Arial"/>
                <w:color w:val="000000"/>
                <w:sz w:val="13"/>
                <w:szCs w:val="13"/>
              </w:rPr>
              <w:t>15,283 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2D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2D6" w14:textId="77777777" w:rsidR="00584EC1" w:rsidRDefault="00584EC1">
            <w:pPr>
              <w:spacing w:after="20"/>
              <w:jc w:val="right"/>
            </w:pPr>
          </w:p>
          <w:p w14:paraId="74DD92D7" w14:textId="77777777" w:rsidR="00584EC1" w:rsidRDefault="00584EC1">
            <w:pPr>
              <w:spacing w:after="20"/>
              <w:jc w:val="right"/>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92D8" w14:textId="77777777" w:rsidR="00584EC1" w:rsidRDefault="00871F8D">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92D9" w14:textId="77777777" w:rsidR="00584EC1" w:rsidRDefault="00871F8D">
            <w:pPr>
              <w:jc w:val="right"/>
              <w:textAlignment w:val="bottom"/>
            </w:pPr>
            <w:r>
              <w:rPr>
                <w:rFonts w:ascii="Arial" w:eastAsia="宋体" w:hAnsi="Arial" w:cs="Arial"/>
                <w:color w:val="000000"/>
                <w:sz w:val="13"/>
                <w:szCs w:val="13"/>
              </w:rPr>
              <w:t>25,020 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2D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2DB" w14:textId="77777777" w:rsidR="00584EC1" w:rsidRDefault="00584EC1">
            <w:pPr>
              <w:spacing w:after="20"/>
              <w:jc w:val="right"/>
            </w:pPr>
          </w:p>
          <w:p w14:paraId="74DD92DC" w14:textId="77777777" w:rsidR="00584EC1" w:rsidRDefault="00584EC1">
            <w:pPr>
              <w:spacing w:after="20"/>
              <w:jc w:val="right"/>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92DD" w14:textId="77777777" w:rsidR="00584EC1" w:rsidRDefault="00871F8D">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92DE" w14:textId="77777777" w:rsidR="00584EC1" w:rsidRDefault="00871F8D">
            <w:pPr>
              <w:jc w:val="right"/>
              <w:textAlignment w:val="bottom"/>
            </w:pPr>
            <w:r>
              <w:rPr>
                <w:rFonts w:ascii="Arial" w:eastAsia="宋体" w:hAnsi="Arial" w:cs="Arial"/>
                <w:color w:val="000000"/>
                <w:sz w:val="13"/>
                <w:szCs w:val="13"/>
              </w:rPr>
              <w:t>6,974 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2D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2E0" w14:textId="77777777" w:rsidR="00584EC1" w:rsidRDefault="00584EC1">
            <w:pPr>
              <w:rPr>
                <w:rFonts w:ascii="宋体"/>
              </w:rPr>
            </w:pPr>
          </w:p>
        </w:tc>
        <w:tc>
          <w:tcPr>
            <w:tcW w:w="0" w:type="auto"/>
            <w:shd w:val="clear" w:color="auto" w:fill="auto"/>
            <w:vAlign w:val="bottom"/>
          </w:tcPr>
          <w:p w14:paraId="74DD92E1" w14:textId="77777777" w:rsidR="00584EC1" w:rsidRDefault="00584EC1">
            <w:pPr>
              <w:rPr>
                <w:rFonts w:ascii="宋体"/>
                <w:vanish/>
              </w:rPr>
            </w:pPr>
          </w:p>
        </w:tc>
        <w:tc>
          <w:tcPr>
            <w:tcW w:w="0" w:type="auto"/>
            <w:shd w:val="clear" w:color="auto" w:fill="auto"/>
            <w:vAlign w:val="bottom"/>
          </w:tcPr>
          <w:p w14:paraId="74DD92E2" w14:textId="77777777" w:rsidR="00584EC1" w:rsidRDefault="00584EC1">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92E3" w14:textId="77777777" w:rsidR="00584EC1" w:rsidRDefault="00871F8D">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92E4" w14:textId="77777777" w:rsidR="00584EC1" w:rsidRDefault="00871F8D">
            <w:pPr>
              <w:jc w:val="right"/>
              <w:textAlignment w:val="bottom"/>
            </w:pPr>
            <w:r>
              <w:rPr>
                <w:rFonts w:ascii="Arial" w:eastAsia="宋体" w:hAnsi="Arial" w:cs="Arial"/>
                <w:color w:val="000000"/>
                <w:sz w:val="13"/>
                <w:szCs w:val="13"/>
              </w:rPr>
              <w:t>14,270 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2E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2E6"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92E7" w14:textId="77777777" w:rsidR="00584EC1" w:rsidRDefault="00871F8D">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92E8" w14:textId="77777777" w:rsidR="00584EC1" w:rsidRDefault="00871F8D">
            <w:pPr>
              <w:jc w:val="right"/>
              <w:textAlignment w:val="bottom"/>
            </w:pPr>
            <w:r>
              <w:rPr>
                <w:rFonts w:ascii="Arial" w:eastAsia="宋体" w:hAnsi="Arial" w:cs="Arial"/>
                <w:color w:val="000000"/>
                <w:sz w:val="13"/>
                <w:szCs w:val="13"/>
              </w:rPr>
              <w:t>31,389 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2E9" w14:textId="77777777" w:rsidR="00584EC1" w:rsidRDefault="00584EC1">
            <w:pPr>
              <w:jc w:val="right"/>
              <w:rPr>
                <w:rFonts w:ascii="宋体"/>
              </w:rPr>
            </w:pPr>
          </w:p>
        </w:tc>
        <w:tc>
          <w:tcPr>
            <w:tcW w:w="0" w:type="auto"/>
            <w:gridSpan w:val="2"/>
            <w:shd w:val="clear" w:color="auto" w:fill="CCEEFF"/>
            <w:tcMar>
              <w:top w:w="0" w:type="dxa"/>
              <w:left w:w="20" w:type="dxa"/>
              <w:bottom w:w="0" w:type="dxa"/>
              <w:right w:w="20" w:type="dxa"/>
            </w:tcMar>
            <w:vAlign w:val="bottom"/>
          </w:tcPr>
          <w:p w14:paraId="74DD92EA"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92EB" w14:textId="77777777" w:rsidR="00584EC1" w:rsidRDefault="00871F8D">
            <w:pPr>
              <w:textAlignment w:val="bottom"/>
            </w:pPr>
            <w:r>
              <w:rPr>
                <w:rFonts w:ascii="Arial" w:eastAsia="宋体" w:hAnsi="Arial" w:cs="Arial"/>
                <w:color w:val="000000"/>
                <w:sz w:val="13"/>
                <w:szCs w:val="13"/>
              </w:rPr>
              <w:t>$</w:t>
            </w:r>
          </w:p>
          <w:p w14:paraId="74DD92EC" w14:textId="77777777" w:rsidR="00584EC1" w:rsidRDefault="00871F8D">
            <w:pPr>
              <w:jc w:val="right"/>
              <w:textAlignment w:val="bottom"/>
            </w:pPr>
            <w:r>
              <w:rPr>
                <w:rFonts w:ascii="Arial" w:eastAsia="宋体" w:hAnsi="Arial" w:cs="Arial"/>
                <w:color w:val="000000"/>
                <w:sz w:val="13"/>
                <w:szCs w:val="13"/>
              </w:rPr>
              <w:t>6,589 </w:t>
            </w:r>
          </w:p>
          <w:p w14:paraId="74DD92ED" w14:textId="77777777" w:rsidR="00584EC1" w:rsidRDefault="00871F8D">
            <w:pPr>
              <w:textAlignment w:val="bottom"/>
            </w:pPr>
            <w:r>
              <w:rPr>
                <w:rFonts w:ascii="Arial" w:eastAsia="宋体" w:hAnsi="Arial" w:cs="Arial"/>
                <w:b/>
                <w:bCs/>
                <w:color w:val="000000"/>
                <w:sz w:val="13"/>
                <w:szCs w:val="13"/>
              </w:rPr>
              <w:t>$</w:t>
            </w:r>
          </w:p>
          <w:p w14:paraId="74DD92EE" w14:textId="77777777" w:rsidR="00584EC1" w:rsidRDefault="00871F8D">
            <w:pPr>
              <w:jc w:val="right"/>
              <w:textAlignment w:val="bottom"/>
            </w:pPr>
            <w:r>
              <w:rPr>
                <w:rFonts w:ascii="Arial" w:eastAsia="宋体" w:hAnsi="Arial" w:cs="Arial"/>
                <w:b/>
                <w:bCs/>
                <w:color w:val="000000"/>
                <w:sz w:val="13"/>
                <w:szCs w:val="13"/>
              </w:rPr>
              <w:t>15,314</w:t>
            </w:r>
            <w:r>
              <w:rPr>
                <w:rFonts w:ascii="Arial" w:eastAsia="宋体" w:hAnsi="Arial" w:cs="Arial"/>
                <w:color w:val="000000"/>
                <w:sz w:val="13"/>
                <w:szCs w:val="13"/>
              </w:rPr>
              <w:t> </w:t>
            </w:r>
          </w:p>
          <w:p w14:paraId="74DD92EF" w14:textId="77777777" w:rsidR="00584EC1" w:rsidRDefault="00871F8D">
            <w:pPr>
              <w:textAlignment w:val="bottom"/>
            </w:pPr>
            <w:r>
              <w:rPr>
                <w:rFonts w:ascii="Arial" w:eastAsia="宋体" w:hAnsi="Arial" w:cs="Arial"/>
                <w:color w:val="000000"/>
                <w:sz w:val="13"/>
                <w:szCs w:val="13"/>
              </w:rPr>
              <w:t>$</w:t>
            </w:r>
          </w:p>
          <w:p w14:paraId="74DD92F0" w14:textId="77777777" w:rsidR="00584EC1" w:rsidRDefault="00871F8D">
            <w:pPr>
              <w:jc w:val="right"/>
              <w:textAlignment w:val="bottom"/>
            </w:pPr>
            <w:r>
              <w:rPr>
                <w:rFonts w:ascii="Arial" w:eastAsia="宋体" w:hAnsi="Arial" w:cs="Arial"/>
                <w:color w:val="000000"/>
                <w:sz w:val="13"/>
                <w:szCs w:val="13"/>
              </w:rPr>
              <w:t>20,989 </w:t>
            </w:r>
          </w:p>
          <w:p w14:paraId="74DD92F1" w14:textId="77777777" w:rsidR="00584EC1" w:rsidRDefault="00871F8D">
            <w:pPr>
              <w:textAlignment w:val="bottom"/>
            </w:pPr>
            <w:r>
              <w:rPr>
                <w:rFonts w:ascii="Arial" w:eastAsia="宋体" w:hAnsi="Arial" w:cs="Arial"/>
                <w:color w:val="000000"/>
                <w:sz w:val="13"/>
                <w:szCs w:val="13"/>
              </w:rPr>
              <w:t>$</w:t>
            </w:r>
          </w:p>
          <w:p w14:paraId="74DD92F2" w14:textId="77777777" w:rsidR="00584EC1" w:rsidRDefault="00871F8D">
            <w:pPr>
              <w:jc w:val="right"/>
              <w:textAlignment w:val="bottom"/>
            </w:pPr>
            <w:r>
              <w:rPr>
                <w:rFonts w:ascii="Arial" w:eastAsia="宋体" w:hAnsi="Arial" w:cs="Arial"/>
                <w:color w:val="000000"/>
                <w:sz w:val="13"/>
                <w:szCs w:val="13"/>
              </w:rPr>
              <w:t>13,964 </w:t>
            </w:r>
          </w:p>
        </w:tc>
      </w:tr>
      <w:tr w:rsidR="00584EC1" w14:paraId="74DD9319" w14:textId="77777777">
        <w:tc>
          <w:tcPr>
            <w:tcW w:w="0" w:type="auto"/>
            <w:gridSpan w:val="3"/>
            <w:shd w:val="clear" w:color="auto" w:fill="FFFFFF"/>
            <w:tcMar>
              <w:top w:w="40" w:type="dxa"/>
              <w:left w:w="20" w:type="dxa"/>
              <w:bottom w:w="40" w:type="dxa"/>
              <w:right w:w="20" w:type="dxa"/>
            </w:tcMar>
            <w:vAlign w:val="bottom"/>
          </w:tcPr>
          <w:p w14:paraId="74DD92F4" w14:textId="77777777" w:rsidR="00584EC1" w:rsidRDefault="00871F8D">
            <w:pPr>
              <w:textAlignment w:val="bottom"/>
            </w:pPr>
            <w:r>
              <w:rPr>
                <w:rFonts w:ascii="Arial" w:eastAsia="宋体" w:hAnsi="Arial" w:cs="Arial"/>
                <w:color w:val="000000"/>
                <w:sz w:val="13"/>
                <w:szCs w:val="13"/>
              </w:rPr>
              <w:t>Global Treasury</w:t>
            </w:r>
          </w:p>
        </w:tc>
        <w:tc>
          <w:tcPr>
            <w:tcW w:w="0" w:type="auto"/>
            <w:gridSpan w:val="2"/>
            <w:shd w:val="clear" w:color="auto" w:fill="FFFFFF"/>
            <w:tcMar>
              <w:top w:w="40" w:type="dxa"/>
              <w:left w:w="20" w:type="dxa"/>
              <w:bottom w:w="40" w:type="dxa"/>
              <w:right w:w="0" w:type="dxa"/>
            </w:tcMar>
            <w:vAlign w:val="bottom"/>
          </w:tcPr>
          <w:p w14:paraId="74DD92F5" w14:textId="77777777" w:rsidR="00584EC1" w:rsidRDefault="00871F8D">
            <w:pPr>
              <w:jc w:val="right"/>
              <w:textAlignment w:val="bottom"/>
            </w:pPr>
            <w:r>
              <w:rPr>
                <w:rFonts w:ascii="Arial" w:eastAsia="宋体" w:hAnsi="Arial" w:cs="Arial"/>
                <w:b/>
                <w:bCs/>
                <w:color w:val="000000"/>
                <w:sz w:val="13"/>
                <w:szCs w:val="13"/>
              </w:rPr>
              <w:t>1,357</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92F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2F7" w14:textId="77777777" w:rsidR="00584EC1" w:rsidRDefault="00584EC1">
            <w:pPr>
              <w:spacing w:after="20"/>
              <w:jc w:val="right"/>
            </w:pPr>
          </w:p>
          <w:p w14:paraId="74DD92F8" w14:textId="77777777" w:rsidR="00584EC1" w:rsidRDefault="00584EC1">
            <w:pPr>
              <w:spacing w:after="20"/>
              <w:jc w:val="right"/>
            </w:pPr>
          </w:p>
        </w:tc>
        <w:tc>
          <w:tcPr>
            <w:tcW w:w="0" w:type="auto"/>
            <w:gridSpan w:val="2"/>
            <w:shd w:val="clear" w:color="auto" w:fill="FFFFFF"/>
            <w:tcMar>
              <w:top w:w="40" w:type="dxa"/>
              <w:left w:w="20" w:type="dxa"/>
              <w:bottom w:w="40" w:type="dxa"/>
              <w:right w:w="0" w:type="dxa"/>
            </w:tcMar>
            <w:vAlign w:val="bottom"/>
          </w:tcPr>
          <w:p w14:paraId="74DD92F9" w14:textId="77777777" w:rsidR="00584EC1" w:rsidRDefault="00871F8D">
            <w:pPr>
              <w:jc w:val="right"/>
              <w:textAlignment w:val="bottom"/>
            </w:pPr>
            <w:r>
              <w:rPr>
                <w:rFonts w:ascii="Arial" w:eastAsia="宋体" w:hAnsi="Arial" w:cs="Arial"/>
                <w:b/>
                <w:bCs/>
                <w:color w:val="000000"/>
                <w:sz w:val="13"/>
                <w:szCs w:val="13"/>
              </w:rPr>
              <w:t>5,468</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92F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2FB" w14:textId="77777777" w:rsidR="00584EC1" w:rsidRDefault="00584EC1">
            <w:pPr>
              <w:spacing w:after="20"/>
              <w:jc w:val="right"/>
            </w:pPr>
          </w:p>
          <w:p w14:paraId="74DD92FC" w14:textId="77777777" w:rsidR="00584EC1" w:rsidRDefault="00584EC1">
            <w:pPr>
              <w:spacing w:after="20"/>
              <w:jc w:val="right"/>
            </w:pPr>
          </w:p>
        </w:tc>
        <w:tc>
          <w:tcPr>
            <w:tcW w:w="0" w:type="auto"/>
            <w:gridSpan w:val="2"/>
            <w:shd w:val="clear" w:color="auto" w:fill="FFFFFF"/>
            <w:tcMar>
              <w:top w:w="40" w:type="dxa"/>
              <w:left w:w="20" w:type="dxa"/>
              <w:bottom w:w="40" w:type="dxa"/>
              <w:right w:w="0" w:type="dxa"/>
            </w:tcMar>
            <w:vAlign w:val="bottom"/>
          </w:tcPr>
          <w:p w14:paraId="74DD92FD" w14:textId="77777777" w:rsidR="00584EC1" w:rsidRDefault="00871F8D">
            <w:pPr>
              <w:jc w:val="right"/>
              <w:textAlignment w:val="bottom"/>
            </w:pPr>
            <w:r>
              <w:rPr>
                <w:rFonts w:ascii="Arial" w:eastAsia="宋体" w:hAnsi="Arial" w:cs="Arial"/>
                <w:b/>
                <w:bCs/>
                <w:color w:val="000000"/>
                <w:sz w:val="13"/>
                <w:szCs w:val="13"/>
              </w:rPr>
              <w:t>220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92F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2FF" w14:textId="77777777" w:rsidR="00584EC1" w:rsidRDefault="00584EC1">
            <w:pPr>
              <w:rPr>
                <w:rFonts w:ascii="宋体"/>
              </w:rPr>
            </w:pPr>
          </w:p>
        </w:tc>
        <w:tc>
          <w:tcPr>
            <w:tcW w:w="0" w:type="auto"/>
            <w:shd w:val="clear" w:color="auto" w:fill="auto"/>
            <w:vAlign w:val="bottom"/>
          </w:tcPr>
          <w:p w14:paraId="74DD9300" w14:textId="77777777" w:rsidR="00584EC1" w:rsidRDefault="00584EC1">
            <w:pPr>
              <w:rPr>
                <w:rFonts w:ascii="宋体"/>
                <w:vanish/>
              </w:rPr>
            </w:pPr>
          </w:p>
        </w:tc>
        <w:tc>
          <w:tcPr>
            <w:tcW w:w="0" w:type="auto"/>
            <w:shd w:val="clear" w:color="auto" w:fill="auto"/>
            <w:vAlign w:val="bottom"/>
          </w:tcPr>
          <w:p w14:paraId="74DD9301"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D9302" w14:textId="77777777" w:rsidR="00584EC1" w:rsidRDefault="00871F8D">
            <w:pPr>
              <w:jc w:val="right"/>
              <w:textAlignment w:val="bottom"/>
            </w:pPr>
            <w:r>
              <w:rPr>
                <w:rFonts w:ascii="Arial" w:eastAsia="宋体" w:hAnsi="Arial" w:cs="Arial"/>
                <w:color w:val="000000"/>
                <w:sz w:val="13"/>
                <w:szCs w:val="13"/>
              </w:rPr>
              <w:t>4,342 </w:t>
            </w:r>
          </w:p>
        </w:tc>
        <w:tc>
          <w:tcPr>
            <w:tcW w:w="0" w:type="auto"/>
            <w:shd w:val="clear" w:color="auto" w:fill="FFFFFF"/>
            <w:tcMar>
              <w:top w:w="40" w:type="dxa"/>
              <w:left w:w="0" w:type="dxa"/>
              <w:bottom w:w="40" w:type="dxa"/>
              <w:right w:w="20" w:type="dxa"/>
            </w:tcMar>
            <w:vAlign w:val="bottom"/>
          </w:tcPr>
          <w:p w14:paraId="74DD930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304" w14:textId="77777777" w:rsidR="00584EC1" w:rsidRDefault="00584EC1">
            <w:pPr>
              <w:spacing w:after="20"/>
              <w:jc w:val="right"/>
            </w:pPr>
          </w:p>
          <w:p w14:paraId="74DD9305" w14:textId="77777777" w:rsidR="00584EC1" w:rsidRDefault="00584EC1">
            <w:pPr>
              <w:spacing w:after="20"/>
              <w:jc w:val="right"/>
            </w:pPr>
          </w:p>
        </w:tc>
        <w:tc>
          <w:tcPr>
            <w:tcW w:w="0" w:type="auto"/>
            <w:gridSpan w:val="2"/>
            <w:shd w:val="clear" w:color="auto" w:fill="FFFFFF"/>
            <w:tcMar>
              <w:top w:w="40" w:type="dxa"/>
              <w:left w:w="20" w:type="dxa"/>
              <w:bottom w:w="40" w:type="dxa"/>
              <w:right w:w="0" w:type="dxa"/>
            </w:tcMar>
            <w:vAlign w:val="bottom"/>
          </w:tcPr>
          <w:p w14:paraId="74DD9306" w14:textId="77777777" w:rsidR="00584EC1" w:rsidRDefault="00871F8D">
            <w:pPr>
              <w:jc w:val="right"/>
              <w:textAlignment w:val="bottom"/>
            </w:pPr>
            <w:r>
              <w:rPr>
                <w:rFonts w:ascii="Arial" w:eastAsia="宋体" w:hAnsi="Arial" w:cs="Arial"/>
                <w:color w:val="000000"/>
                <w:sz w:val="13"/>
                <w:szCs w:val="13"/>
              </w:rPr>
              <w:t>9,451 </w:t>
            </w:r>
          </w:p>
        </w:tc>
        <w:tc>
          <w:tcPr>
            <w:tcW w:w="0" w:type="auto"/>
            <w:shd w:val="clear" w:color="auto" w:fill="FFFFFF"/>
            <w:tcMar>
              <w:top w:w="40" w:type="dxa"/>
              <w:left w:w="0" w:type="dxa"/>
              <w:bottom w:w="40" w:type="dxa"/>
              <w:right w:w="20" w:type="dxa"/>
            </w:tcMar>
            <w:vAlign w:val="bottom"/>
          </w:tcPr>
          <w:p w14:paraId="74DD930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308" w14:textId="77777777" w:rsidR="00584EC1" w:rsidRDefault="00584EC1">
            <w:pPr>
              <w:spacing w:after="20"/>
              <w:jc w:val="right"/>
            </w:pPr>
          </w:p>
          <w:p w14:paraId="74DD9309" w14:textId="77777777" w:rsidR="00584EC1" w:rsidRDefault="00584EC1">
            <w:pPr>
              <w:spacing w:after="20"/>
              <w:jc w:val="right"/>
            </w:pPr>
          </w:p>
        </w:tc>
        <w:tc>
          <w:tcPr>
            <w:tcW w:w="0" w:type="auto"/>
            <w:gridSpan w:val="2"/>
            <w:shd w:val="clear" w:color="auto" w:fill="FFFFFF"/>
            <w:tcMar>
              <w:top w:w="40" w:type="dxa"/>
              <w:left w:w="20" w:type="dxa"/>
              <w:bottom w:w="40" w:type="dxa"/>
              <w:right w:w="0" w:type="dxa"/>
            </w:tcMar>
            <w:vAlign w:val="bottom"/>
          </w:tcPr>
          <w:p w14:paraId="74DD930A" w14:textId="77777777" w:rsidR="00584EC1" w:rsidRDefault="00871F8D">
            <w:pPr>
              <w:jc w:val="right"/>
              <w:textAlignment w:val="bottom"/>
            </w:pPr>
            <w:r>
              <w:rPr>
                <w:rFonts w:ascii="Arial" w:eastAsia="宋体" w:hAnsi="Arial" w:cs="Arial"/>
                <w:color w:val="000000"/>
                <w:sz w:val="13"/>
                <w:szCs w:val="13"/>
              </w:rPr>
              <w:t>460 </w:t>
            </w:r>
          </w:p>
        </w:tc>
        <w:tc>
          <w:tcPr>
            <w:tcW w:w="0" w:type="auto"/>
            <w:shd w:val="clear" w:color="auto" w:fill="FFFFFF"/>
            <w:tcMar>
              <w:top w:w="40" w:type="dxa"/>
              <w:left w:w="0" w:type="dxa"/>
              <w:bottom w:w="40" w:type="dxa"/>
              <w:right w:w="20" w:type="dxa"/>
            </w:tcMar>
            <w:vAlign w:val="bottom"/>
          </w:tcPr>
          <w:p w14:paraId="74DD930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30C" w14:textId="77777777" w:rsidR="00584EC1" w:rsidRDefault="00584EC1">
            <w:pPr>
              <w:rPr>
                <w:rFonts w:ascii="宋体"/>
              </w:rPr>
            </w:pPr>
          </w:p>
        </w:tc>
        <w:tc>
          <w:tcPr>
            <w:tcW w:w="0" w:type="auto"/>
            <w:shd w:val="clear" w:color="auto" w:fill="auto"/>
            <w:vAlign w:val="bottom"/>
          </w:tcPr>
          <w:p w14:paraId="74DD930D" w14:textId="77777777" w:rsidR="00584EC1" w:rsidRDefault="00584EC1">
            <w:pPr>
              <w:rPr>
                <w:rFonts w:ascii="宋体"/>
                <w:vanish/>
              </w:rPr>
            </w:pPr>
          </w:p>
        </w:tc>
        <w:tc>
          <w:tcPr>
            <w:tcW w:w="0" w:type="auto"/>
            <w:shd w:val="clear" w:color="auto" w:fill="auto"/>
            <w:vAlign w:val="bottom"/>
          </w:tcPr>
          <w:p w14:paraId="74DD930E"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D930F" w14:textId="77777777" w:rsidR="00584EC1" w:rsidRDefault="00871F8D">
            <w:pPr>
              <w:jc w:val="right"/>
              <w:textAlignment w:val="bottom"/>
            </w:pPr>
            <w:r>
              <w:rPr>
                <w:rFonts w:ascii="Arial" w:eastAsia="宋体" w:hAnsi="Arial" w:cs="Arial"/>
                <w:color w:val="000000"/>
                <w:sz w:val="13"/>
                <w:szCs w:val="13"/>
              </w:rPr>
              <w:t>3,206 </w:t>
            </w:r>
          </w:p>
        </w:tc>
        <w:tc>
          <w:tcPr>
            <w:tcW w:w="0" w:type="auto"/>
            <w:shd w:val="clear" w:color="auto" w:fill="FFFFFF"/>
            <w:tcMar>
              <w:top w:w="40" w:type="dxa"/>
              <w:left w:w="0" w:type="dxa"/>
              <w:bottom w:w="40" w:type="dxa"/>
              <w:right w:w="20" w:type="dxa"/>
            </w:tcMar>
            <w:vAlign w:val="bottom"/>
          </w:tcPr>
          <w:p w14:paraId="74DD931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31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312" w14:textId="77777777" w:rsidR="00584EC1" w:rsidRDefault="00871F8D">
            <w:pPr>
              <w:jc w:val="right"/>
              <w:textAlignment w:val="bottom"/>
            </w:pPr>
            <w:r>
              <w:rPr>
                <w:rFonts w:ascii="Arial" w:eastAsia="宋体" w:hAnsi="Arial" w:cs="Arial"/>
                <w:color w:val="000000"/>
                <w:sz w:val="13"/>
                <w:szCs w:val="13"/>
              </w:rPr>
              <w:t>7,933 </w:t>
            </w:r>
          </w:p>
        </w:tc>
        <w:tc>
          <w:tcPr>
            <w:tcW w:w="0" w:type="auto"/>
            <w:shd w:val="clear" w:color="auto" w:fill="FFFFFF"/>
            <w:tcMar>
              <w:top w:w="40" w:type="dxa"/>
              <w:left w:w="0" w:type="dxa"/>
              <w:bottom w:w="40" w:type="dxa"/>
              <w:right w:w="20" w:type="dxa"/>
            </w:tcMar>
            <w:vAlign w:val="bottom"/>
          </w:tcPr>
          <w:p w14:paraId="74DD9313" w14:textId="77777777" w:rsidR="00584EC1" w:rsidRDefault="00584EC1">
            <w:pPr>
              <w:jc w:val="right"/>
              <w:rPr>
                <w:rFonts w:ascii="宋体"/>
              </w:rPr>
            </w:pPr>
          </w:p>
        </w:tc>
        <w:tc>
          <w:tcPr>
            <w:tcW w:w="0" w:type="auto"/>
            <w:gridSpan w:val="2"/>
            <w:shd w:val="clear" w:color="auto" w:fill="FFFFFF"/>
            <w:tcMar>
              <w:top w:w="0" w:type="dxa"/>
              <w:left w:w="20" w:type="dxa"/>
              <w:bottom w:w="0" w:type="dxa"/>
              <w:right w:w="20" w:type="dxa"/>
            </w:tcMar>
            <w:vAlign w:val="bottom"/>
          </w:tcPr>
          <w:p w14:paraId="74DD9314" w14:textId="77777777" w:rsidR="00584EC1" w:rsidRDefault="00584EC1">
            <w:pPr>
              <w:rPr>
                <w:rFonts w:ascii="宋体"/>
              </w:rPr>
            </w:pPr>
          </w:p>
        </w:tc>
        <w:tc>
          <w:tcPr>
            <w:tcW w:w="0" w:type="auto"/>
            <w:shd w:val="clear" w:color="auto" w:fill="FFFFFF"/>
            <w:tcMar>
              <w:top w:w="40" w:type="dxa"/>
              <w:left w:w="20" w:type="dxa"/>
              <w:bottom w:w="40" w:type="dxa"/>
              <w:right w:w="0" w:type="dxa"/>
            </w:tcMar>
            <w:vAlign w:val="bottom"/>
          </w:tcPr>
          <w:p w14:paraId="74DD9315" w14:textId="77777777" w:rsidR="00584EC1" w:rsidRDefault="00871F8D">
            <w:pPr>
              <w:jc w:val="right"/>
              <w:textAlignment w:val="bottom"/>
            </w:pPr>
            <w:r>
              <w:rPr>
                <w:rFonts w:ascii="Arial" w:eastAsia="宋体" w:hAnsi="Arial" w:cs="Arial"/>
                <w:color w:val="000000"/>
                <w:sz w:val="13"/>
                <w:szCs w:val="13"/>
              </w:rPr>
              <w:t>350 </w:t>
            </w:r>
          </w:p>
          <w:p w14:paraId="74DD9316" w14:textId="77777777" w:rsidR="00584EC1" w:rsidRDefault="00871F8D">
            <w:pPr>
              <w:jc w:val="right"/>
              <w:textAlignment w:val="bottom"/>
            </w:pPr>
            <w:r>
              <w:rPr>
                <w:rFonts w:ascii="Arial" w:eastAsia="宋体" w:hAnsi="Arial" w:cs="Arial"/>
                <w:b/>
                <w:bCs/>
                <w:color w:val="000000"/>
                <w:sz w:val="13"/>
                <w:szCs w:val="13"/>
              </w:rPr>
              <w:t>1,131</w:t>
            </w:r>
            <w:r>
              <w:rPr>
                <w:rFonts w:ascii="Arial" w:eastAsia="宋体" w:hAnsi="Arial" w:cs="Arial"/>
                <w:color w:val="000000"/>
                <w:sz w:val="13"/>
                <w:szCs w:val="13"/>
              </w:rPr>
              <w:t> </w:t>
            </w:r>
          </w:p>
          <w:p w14:paraId="74DD9317" w14:textId="77777777" w:rsidR="00584EC1" w:rsidRDefault="00871F8D">
            <w:pPr>
              <w:jc w:val="right"/>
              <w:textAlignment w:val="bottom"/>
            </w:pPr>
            <w:r>
              <w:rPr>
                <w:rFonts w:ascii="Arial" w:eastAsia="宋体" w:hAnsi="Arial" w:cs="Arial"/>
                <w:color w:val="000000"/>
                <w:sz w:val="13"/>
                <w:szCs w:val="13"/>
              </w:rPr>
              <w:t>3,667 </w:t>
            </w:r>
          </w:p>
          <w:p w14:paraId="74DD9318" w14:textId="77777777" w:rsidR="00584EC1" w:rsidRDefault="00871F8D">
            <w:pPr>
              <w:jc w:val="right"/>
              <w:textAlignment w:val="bottom"/>
            </w:pPr>
            <w:r>
              <w:rPr>
                <w:rFonts w:ascii="Arial" w:eastAsia="宋体" w:hAnsi="Arial" w:cs="Arial"/>
                <w:color w:val="000000"/>
                <w:sz w:val="13"/>
                <w:szCs w:val="13"/>
              </w:rPr>
              <w:t>1,969 </w:t>
            </w:r>
          </w:p>
        </w:tc>
      </w:tr>
      <w:tr w:rsidR="00584EC1" w14:paraId="74DD933F" w14:textId="77777777">
        <w:tc>
          <w:tcPr>
            <w:tcW w:w="0" w:type="auto"/>
            <w:gridSpan w:val="3"/>
            <w:shd w:val="clear" w:color="auto" w:fill="CCEEFF"/>
            <w:tcMar>
              <w:top w:w="40" w:type="dxa"/>
              <w:left w:w="20" w:type="dxa"/>
              <w:bottom w:w="40" w:type="dxa"/>
              <w:right w:w="20" w:type="dxa"/>
            </w:tcMar>
            <w:vAlign w:val="bottom"/>
          </w:tcPr>
          <w:p w14:paraId="74DD931A" w14:textId="77777777" w:rsidR="00584EC1" w:rsidRDefault="00871F8D">
            <w:pPr>
              <w:textAlignment w:val="bottom"/>
            </w:pPr>
            <w:r>
              <w:rPr>
                <w:rFonts w:ascii="Arial" w:eastAsia="宋体" w:hAnsi="Arial" w:cs="Arial"/>
                <w:color w:val="000000"/>
                <w:sz w:val="13"/>
                <w:szCs w:val="13"/>
              </w:rPr>
              <w:t>Diversification</w:t>
            </w:r>
          </w:p>
        </w:tc>
        <w:tc>
          <w:tcPr>
            <w:tcW w:w="0" w:type="auto"/>
            <w:gridSpan w:val="2"/>
            <w:shd w:val="clear" w:color="auto" w:fill="CCEEFF"/>
            <w:tcMar>
              <w:top w:w="40" w:type="dxa"/>
              <w:left w:w="20" w:type="dxa"/>
              <w:bottom w:w="40" w:type="dxa"/>
              <w:right w:w="0" w:type="dxa"/>
            </w:tcMar>
            <w:vAlign w:val="bottom"/>
          </w:tcPr>
          <w:p w14:paraId="74DD931B" w14:textId="77777777" w:rsidR="00584EC1" w:rsidRDefault="00871F8D">
            <w:pPr>
              <w:jc w:val="right"/>
              <w:textAlignment w:val="bottom"/>
            </w:pPr>
            <w:r>
              <w:rPr>
                <w:rFonts w:ascii="Arial" w:eastAsia="宋体" w:hAnsi="Arial" w:cs="Arial"/>
                <w:b/>
                <w:bCs/>
                <w:color w:val="000000"/>
                <w:sz w:val="13"/>
                <w:szCs w:val="13"/>
              </w:rPr>
              <w:t>(925)</w:t>
            </w:r>
          </w:p>
        </w:tc>
        <w:tc>
          <w:tcPr>
            <w:tcW w:w="0" w:type="auto"/>
            <w:shd w:val="clear" w:color="auto" w:fill="CCEEFF"/>
            <w:tcMar>
              <w:top w:w="40" w:type="dxa"/>
              <w:left w:w="0" w:type="dxa"/>
              <w:bottom w:w="40" w:type="dxa"/>
              <w:right w:w="20" w:type="dxa"/>
            </w:tcMar>
            <w:vAlign w:val="bottom"/>
          </w:tcPr>
          <w:p w14:paraId="74DD931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31D" w14:textId="77777777" w:rsidR="00584EC1" w:rsidRDefault="00584EC1">
            <w:pPr>
              <w:spacing w:after="20"/>
              <w:jc w:val="right"/>
            </w:pPr>
          </w:p>
          <w:p w14:paraId="74DD931E" w14:textId="77777777" w:rsidR="00584EC1" w:rsidRDefault="00584EC1">
            <w:pPr>
              <w:spacing w:after="20"/>
              <w:jc w:val="right"/>
            </w:pPr>
          </w:p>
        </w:tc>
        <w:tc>
          <w:tcPr>
            <w:tcW w:w="0" w:type="auto"/>
            <w:gridSpan w:val="2"/>
            <w:shd w:val="clear" w:color="auto" w:fill="CCEEFF"/>
            <w:tcMar>
              <w:top w:w="40" w:type="dxa"/>
              <w:left w:w="20" w:type="dxa"/>
              <w:bottom w:w="40" w:type="dxa"/>
              <w:right w:w="0" w:type="dxa"/>
            </w:tcMar>
            <w:vAlign w:val="bottom"/>
          </w:tcPr>
          <w:p w14:paraId="74DD931F" w14:textId="77777777" w:rsidR="00584EC1" w:rsidRDefault="00871F8D">
            <w:pPr>
              <w:jc w:val="right"/>
              <w:textAlignment w:val="bottom"/>
            </w:pPr>
            <w:r>
              <w:rPr>
                <w:rFonts w:ascii="Arial" w:eastAsia="宋体" w:hAnsi="Arial" w:cs="Arial"/>
                <w:b/>
                <w:bCs/>
                <w:color w:val="000000"/>
                <w:sz w:val="13"/>
                <w:szCs w:val="13"/>
              </w:rPr>
              <w:t>(5,444)</w:t>
            </w:r>
          </w:p>
        </w:tc>
        <w:tc>
          <w:tcPr>
            <w:tcW w:w="0" w:type="auto"/>
            <w:shd w:val="clear" w:color="auto" w:fill="CCEEFF"/>
            <w:tcMar>
              <w:top w:w="40" w:type="dxa"/>
              <w:left w:w="0" w:type="dxa"/>
              <w:bottom w:w="40" w:type="dxa"/>
              <w:right w:w="20" w:type="dxa"/>
            </w:tcMar>
            <w:vAlign w:val="bottom"/>
          </w:tcPr>
          <w:p w14:paraId="74DD932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321" w14:textId="77777777" w:rsidR="00584EC1" w:rsidRDefault="00584EC1">
            <w:pPr>
              <w:spacing w:after="20"/>
              <w:jc w:val="right"/>
            </w:pPr>
          </w:p>
          <w:p w14:paraId="74DD9322" w14:textId="77777777" w:rsidR="00584EC1" w:rsidRDefault="00584EC1">
            <w:pPr>
              <w:spacing w:after="20"/>
              <w:jc w:val="right"/>
            </w:pPr>
          </w:p>
        </w:tc>
        <w:tc>
          <w:tcPr>
            <w:tcW w:w="0" w:type="auto"/>
            <w:gridSpan w:val="2"/>
            <w:shd w:val="clear" w:color="auto" w:fill="CCEEFF"/>
            <w:tcMar>
              <w:top w:w="40" w:type="dxa"/>
              <w:left w:w="20" w:type="dxa"/>
              <w:bottom w:w="40" w:type="dxa"/>
              <w:right w:w="0" w:type="dxa"/>
            </w:tcMar>
            <w:vAlign w:val="bottom"/>
          </w:tcPr>
          <w:p w14:paraId="74DD9323" w14:textId="77777777" w:rsidR="00584EC1" w:rsidRDefault="00871F8D">
            <w:pPr>
              <w:jc w:val="right"/>
              <w:textAlignment w:val="bottom"/>
            </w:pPr>
            <w:r>
              <w:rPr>
                <w:rFonts w:ascii="Arial" w:eastAsia="宋体" w:hAnsi="Arial" w:cs="Arial"/>
                <w:b/>
                <w:bCs/>
                <w:color w:val="000000"/>
                <w:sz w:val="13"/>
                <w:szCs w:val="13"/>
              </w:rPr>
              <w:t>(185)</w:t>
            </w:r>
          </w:p>
        </w:tc>
        <w:tc>
          <w:tcPr>
            <w:tcW w:w="0" w:type="auto"/>
            <w:shd w:val="clear" w:color="auto" w:fill="CCEEFF"/>
            <w:tcMar>
              <w:top w:w="40" w:type="dxa"/>
              <w:left w:w="0" w:type="dxa"/>
              <w:bottom w:w="40" w:type="dxa"/>
              <w:right w:w="20" w:type="dxa"/>
            </w:tcMar>
            <w:vAlign w:val="bottom"/>
          </w:tcPr>
          <w:p w14:paraId="74DD932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325" w14:textId="77777777" w:rsidR="00584EC1" w:rsidRDefault="00584EC1">
            <w:pPr>
              <w:rPr>
                <w:rFonts w:ascii="宋体"/>
              </w:rPr>
            </w:pPr>
          </w:p>
        </w:tc>
        <w:tc>
          <w:tcPr>
            <w:tcW w:w="0" w:type="auto"/>
            <w:shd w:val="clear" w:color="auto" w:fill="auto"/>
            <w:vAlign w:val="bottom"/>
          </w:tcPr>
          <w:p w14:paraId="74DD9326" w14:textId="77777777" w:rsidR="00584EC1" w:rsidRDefault="00584EC1">
            <w:pPr>
              <w:rPr>
                <w:rFonts w:ascii="宋体"/>
                <w:vanish/>
              </w:rPr>
            </w:pPr>
          </w:p>
        </w:tc>
        <w:tc>
          <w:tcPr>
            <w:tcW w:w="0" w:type="auto"/>
            <w:shd w:val="clear" w:color="auto" w:fill="auto"/>
            <w:vAlign w:val="bottom"/>
          </w:tcPr>
          <w:p w14:paraId="74DD9327" w14:textId="77777777" w:rsidR="00584EC1" w:rsidRDefault="00584EC1">
            <w:pPr>
              <w:rPr>
                <w:rFonts w:ascii="宋体"/>
                <w:vanish/>
              </w:rPr>
            </w:pPr>
          </w:p>
        </w:tc>
        <w:tc>
          <w:tcPr>
            <w:tcW w:w="0" w:type="auto"/>
            <w:gridSpan w:val="2"/>
            <w:shd w:val="clear" w:color="auto" w:fill="CCEEFF"/>
            <w:tcMar>
              <w:top w:w="40" w:type="dxa"/>
              <w:left w:w="20" w:type="dxa"/>
              <w:bottom w:w="40" w:type="dxa"/>
              <w:right w:w="0" w:type="dxa"/>
            </w:tcMar>
            <w:vAlign w:val="bottom"/>
          </w:tcPr>
          <w:p w14:paraId="74DD9328" w14:textId="77777777" w:rsidR="00584EC1" w:rsidRDefault="00871F8D">
            <w:pPr>
              <w:jc w:val="right"/>
              <w:textAlignment w:val="bottom"/>
            </w:pPr>
            <w:r>
              <w:rPr>
                <w:rFonts w:ascii="Arial" w:eastAsia="宋体" w:hAnsi="Arial" w:cs="Arial"/>
                <w:color w:val="000000"/>
                <w:sz w:val="13"/>
                <w:szCs w:val="13"/>
              </w:rPr>
              <w:t>(2,671)</w:t>
            </w:r>
          </w:p>
        </w:tc>
        <w:tc>
          <w:tcPr>
            <w:tcW w:w="0" w:type="auto"/>
            <w:shd w:val="clear" w:color="auto" w:fill="CCEEFF"/>
            <w:tcMar>
              <w:top w:w="40" w:type="dxa"/>
              <w:left w:w="0" w:type="dxa"/>
              <w:bottom w:w="40" w:type="dxa"/>
              <w:right w:w="20" w:type="dxa"/>
            </w:tcMar>
            <w:vAlign w:val="bottom"/>
          </w:tcPr>
          <w:p w14:paraId="74DD932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32A" w14:textId="77777777" w:rsidR="00584EC1" w:rsidRDefault="00584EC1">
            <w:pPr>
              <w:spacing w:after="20"/>
              <w:jc w:val="right"/>
            </w:pPr>
          </w:p>
          <w:p w14:paraId="74DD932B" w14:textId="77777777" w:rsidR="00584EC1" w:rsidRDefault="00584EC1">
            <w:pPr>
              <w:spacing w:after="20"/>
              <w:jc w:val="right"/>
            </w:pPr>
          </w:p>
        </w:tc>
        <w:tc>
          <w:tcPr>
            <w:tcW w:w="0" w:type="auto"/>
            <w:gridSpan w:val="2"/>
            <w:shd w:val="clear" w:color="auto" w:fill="CCEEFF"/>
            <w:tcMar>
              <w:top w:w="40" w:type="dxa"/>
              <w:left w:w="20" w:type="dxa"/>
              <w:bottom w:w="40" w:type="dxa"/>
              <w:right w:w="0" w:type="dxa"/>
            </w:tcMar>
            <w:vAlign w:val="bottom"/>
          </w:tcPr>
          <w:p w14:paraId="74DD932C" w14:textId="77777777" w:rsidR="00584EC1" w:rsidRDefault="00871F8D">
            <w:pPr>
              <w:jc w:val="right"/>
              <w:textAlignment w:val="bottom"/>
            </w:pPr>
            <w:r>
              <w:rPr>
                <w:rFonts w:ascii="Arial" w:eastAsia="宋体" w:hAnsi="Arial" w:cs="Arial"/>
                <w:color w:val="000000"/>
                <w:sz w:val="13"/>
                <w:szCs w:val="13"/>
              </w:rPr>
              <w:t>(7,136)</w:t>
            </w:r>
          </w:p>
        </w:tc>
        <w:tc>
          <w:tcPr>
            <w:tcW w:w="0" w:type="auto"/>
            <w:shd w:val="clear" w:color="auto" w:fill="CCEEFF"/>
            <w:tcMar>
              <w:top w:w="40" w:type="dxa"/>
              <w:left w:w="0" w:type="dxa"/>
              <w:bottom w:w="40" w:type="dxa"/>
              <w:right w:w="20" w:type="dxa"/>
            </w:tcMar>
            <w:vAlign w:val="bottom"/>
          </w:tcPr>
          <w:p w14:paraId="74DD932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32E" w14:textId="77777777" w:rsidR="00584EC1" w:rsidRDefault="00584EC1">
            <w:pPr>
              <w:spacing w:after="20"/>
              <w:jc w:val="right"/>
            </w:pPr>
          </w:p>
          <w:p w14:paraId="74DD932F" w14:textId="77777777" w:rsidR="00584EC1" w:rsidRDefault="00584EC1">
            <w:pPr>
              <w:spacing w:after="20"/>
              <w:jc w:val="right"/>
            </w:pPr>
          </w:p>
        </w:tc>
        <w:tc>
          <w:tcPr>
            <w:tcW w:w="0" w:type="auto"/>
            <w:gridSpan w:val="2"/>
            <w:shd w:val="clear" w:color="auto" w:fill="CCEEFF"/>
            <w:tcMar>
              <w:top w:w="40" w:type="dxa"/>
              <w:left w:w="20" w:type="dxa"/>
              <w:bottom w:w="40" w:type="dxa"/>
              <w:right w:w="0" w:type="dxa"/>
            </w:tcMar>
            <w:vAlign w:val="bottom"/>
          </w:tcPr>
          <w:p w14:paraId="74DD9330" w14:textId="77777777" w:rsidR="00584EC1" w:rsidRDefault="00871F8D">
            <w:pPr>
              <w:jc w:val="right"/>
              <w:textAlignment w:val="bottom"/>
            </w:pPr>
            <w:r>
              <w:rPr>
                <w:rFonts w:ascii="Arial" w:eastAsia="宋体" w:hAnsi="Arial" w:cs="Arial"/>
                <w:color w:val="000000"/>
                <w:sz w:val="13"/>
                <w:szCs w:val="13"/>
              </w:rPr>
              <w:t>474 </w:t>
            </w:r>
          </w:p>
        </w:tc>
        <w:tc>
          <w:tcPr>
            <w:tcW w:w="0" w:type="auto"/>
            <w:shd w:val="clear" w:color="auto" w:fill="CCEEFF"/>
            <w:tcMar>
              <w:top w:w="40" w:type="dxa"/>
              <w:left w:w="0" w:type="dxa"/>
              <w:bottom w:w="40" w:type="dxa"/>
              <w:right w:w="20" w:type="dxa"/>
            </w:tcMar>
            <w:vAlign w:val="bottom"/>
          </w:tcPr>
          <w:p w14:paraId="74DD933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332" w14:textId="77777777" w:rsidR="00584EC1" w:rsidRDefault="00584EC1">
            <w:pPr>
              <w:rPr>
                <w:rFonts w:ascii="宋体"/>
              </w:rPr>
            </w:pPr>
          </w:p>
        </w:tc>
        <w:tc>
          <w:tcPr>
            <w:tcW w:w="0" w:type="auto"/>
            <w:shd w:val="clear" w:color="auto" w:fill="auto"/>
            <w:vAlign w:val="bottom"/>
          </w:tcPr>
          <w:p w14:paraId="74DD9333" w14:textId="77777777" w:rsidR="00584EC1" w:rsidRDefault="00584EC1">
            <w:pPr>
              <w:rPr>
                <w:rFonts w:ascii="宋体"/>
                <w:vanish/>
              </w:rPr>
            </w:pPr>
          </w:p>
        </w:tc>
        <w:tc>
          <w:tcPr>
            <w:tcW w:w="0" w:type="auto"/>
            <w:shd w:val="clear" w:color="auto" w:fill="auto"/>
            <w:vAlign w:val="bottom"/>
          </w:tcPr>
          <w:p w14:paraId="74DD9334" w14:textId="77777777" w:rsidR="00584EC1" w:rsidRDefault="00584EC1">
            <w:pPr>
              <w:rPr>
                <w:rFonts w:ascii="宋体"/>
                <w:vanish/>
              </w:rPr>
            </w:pPr>
          </w:p>
        </w:tc>
        <w:tc>
          <w:tcPr>
            <w:tcW w:w="0" w:type="auto"/>
            <w:gridSpan w:val="2"/>
            <w:shd w:val="clear" w:color="auto" w:fill="CCEEFF"/>
            <w:tcMar>
              <w:top w:w="40" w:type="dxa"/>
              <w:left w:w="20" w:type="dxa"/>
              <w:bottom w:w="40" w:type="dxa"/>
              <w:right w:w="0" w:type="dxa"/>
            </w:tcMar>
            <w:vAlign w:val="bottom"/>
          </w:tcPr>
          <w:p w14:paraId="74DD9335" w14:textId="77777777" w:rsidR="00584EC1" w:rsidRDefault="00871F8D">
            <w:pPr>
              <w:jc w:val="right"/>
              <w:textAlignment w:val="bottom"/>
            </w:pPr>
            <w:r>
              <w:rPr>
                <w:rFonts w:ascii="Arial" w:eastAsia="宋体" w:hAnsi="Arial" w:cs="Arial"/>
                <w:color w:val="000000"/>
                <w:sz w:val="13"/>
                <w:szCs w:val="13"/>
              </w:rPr>
              <w:t>(2,758)</w:t>
            </w:r>
          </w:p>
        </w:tc>
        <w:tc>
          <w:tcPr>
            <w:tcW w:w="0" w:type="auto"/>
            <w:shd w:val="clear" w:color="auto" w:fill="CCEEFF"/>
            <w:tcMar>
              <w:top w:w="40" w:type="dxa"/>
              <w:left w:w="0" w:type="dxa"/>
              <w:bottom w:w="40" w:type="dxa"/>
              <w:right w:w="20" w:type="dxa"/>
            </w:tcMar>
            <w:vAlign w:val="bottom"/>
          </w:tcPr>
          <w:p w14:paraId="74DD933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33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338" w14:textId="77777777" w:rsidR="00584EC1" w:rsidRDefault="00871F8D">
            <w:pPr>
              <w:jc w:val="right"/>
              <w:textAlignment w:val="bottom"/>
            </w:pPr>
            <w:r>
              <w:rPr>
                <w:rFonts w:ascii="Arial" w:eastAsia="宋体" w:hAnsi="Arial" w:cs="Arial"/>
                <w:color w:val="000000"/>
                <w:sz w:val="13"/>
                <w:szCs w:val="13"/>
              </w:rPr>
              <w:t>(7,914)</w:t>
            </w:r>
          </w:p>
        </w:tc>
        <w:tc>
          <w:tcPr>
            <w:tcW w:w="0" w:type="auto"/>
            <w:shd w:val="clear" w:color="auto" w:fill="CCEEFF"/>
            <w:tcMar>
              <w:top w:w="40" w:type="dxa"/>
              <w:left w:w="0" w:type="dxa"/>
              <w:bottom w:w="40" w:type="dxa"/>
              <w:right w:w="20" w:type="dxa"/>
            </w:tcMar>
            <w:vAlign w:val="bottom"/>
          </w:tcPr>
          <w:p w14:paraId="74DD9339" w14:textId="77777777" w:rsidR="00584EC1" w:rsidRDefault="00584EC1">
            <w:pPr>
              <w:jc w:val="right"/>
              <w:rPr>
                <w:rFonts w:ascii="宋体"/>
              </w:rPr>
            </w:pPr>
          </w:p>
        </w:tc>
        <w:tc>
          <w:tcPr>
            <w:tcW w:w="0" w:type="auto"/>
            <w:gridSpan w:val="2"/>
            <w:shd w:val="clear" w:color="auto" w:fill="CCEEFF"/>
            <w:tcMar>
              <w:top w:w="0" w:type="dxa"/>
              <w:left w:w="20" w:type="dxa"/>
              <w:bottom w:w="0" w:type="dxa"/>
              <w:right w:w="20" w:type="dxa"/>
            </w:tcMar>
            <w:vAlign w:val="bottom"/>
          </w:tcPr>
          <w:p w14:paraId="74DD933A"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933B" w14:textId="77777777" w:rsidR="00584EC1" w:rsidRDefault="00871F8D">
            <w:pPr>
              <w:jc w:val="right"/>
              <w:textAlignment w:val="bottom"/>
            </w:pPr>
            <w:r>
              <w:rPr>
                <w:rFonts w:ascii="Arial" w:eastAsia="宋体" w:hAnsi="Arial" w:cs="Arial"/>
                <w:color w:val="000000"/>
                <w:sz w:val="13"/>
                <w:szCs w:val="13"/>
              </w:rPr>
              <w:t>(342)</w:t>
            </w:r>
          </w:p>
          <w:p w14:paraId="74DD933C" w14:textId="77777777" w:rsidR="00584EC1" w:rsidRDefault="00871F8D">
            <w:pPr>
              <w:jc w:val="right"/>
              <w:textAlignment w:val="bottom"/>
            </w:pPr>
            <w:r>
              <w:rPr>
                <w:rFonts w:ascii="Arial" w:eastAsia="宋体" w:hAnsi="Arial" w:cs="Arial"/>
                <w:b/>
                <w:bCs/>
                <w:color w:val="000000"/>
                <w:sz w:val="13"/>
                <w:szCs w:val="13"/>
              </w:rPr>
              <w:t>(1,285)</w:t>
            </w:r>
          </w:p>
          <w:p w14:paraId="74DD933D" w14:textId="77777777" w:rsidR="00584EC1" w:rsidRDefault="00871F8D">
            <w:pPr>
              <w:jc w:val="right"/>
              <w:textAlignment w:val="bottom"/>
            </w:pPr>
            <w:r>
              <w:rPr>
                <w:rFonts w:ascii="Arial" w:eastAsia="宋体" w:hAnsi="Arial" w:cs="Arial"/>
                <w:color w:val="000000"/>
                <w:sz w:val="13"/>
                <w:szCs w:val="13"/>
              </w:rPr>
              <w:t>(812)</w:t>
            </w:r>
          </w:p>
          <w:p w14:paraId="74DD933E" w14:textId="77777777" w:rsidR="00584EC1" w:rsidRDefault="00871F8D">
            <w:pPr>
              <w:jc w:val="right"/>
              <w:textAlignment w:val="bottom"/>
            </w:pPr>
            <w:r>
              <w:rPr>
                <w:rFonts w:ascii="Arial" w:eastAsia="宋体" w:hAnsi="Arial" w:cs="Arial"/>
                <w:color w:val="000000"/>
                <w:sz w:val="13"/>
                <w:szCs w:val="13"/>
              </w:rPr>
              <w:t>(1,618)</w:t>
            </w:r>
          </w:p>
        </w:tc>
      </w:tr>
      <w:tr w:rsidR="00871F8D" w14:paraId="74DD9371" w14:textId="77777777">
        <w:tc>
          <w:tcPr>
            <w:tcW w:w="0" w:type="auto"/>
            <w:gridSpan w:val="3"/>
            <w:shd w:val="clear" w:color="auto" w:fill="FFFFFF"/>
            <w:tcMar>
              <w:top w:w="40" w:type="dxa"/>
              <w:left w:w="20" w:type="dxa"/>
              <w:bottom w:w="40" w:type="dxa"/>
              <w:right w:w="20" w:type="dxa"/>
            </w:tcMar>
            <w:vAlign w:val="bottom"/>
          </w:tcPr>
          <w:p w14:paraId="74DD9340" w14:textId="77777777" w:rsidR="00584EC1" w:rsidRDefault="00871F8D">
            <w:pPr>
              <w:textAlignment w:val="bottom"/>
            </w:pPr>
            <w:r>
              <w:rPr>
                <w:rFonts w:ascii="Arial" w:eastAsia="宋体" w:hAnsi="Arial" w:cs="Arial"/>
                <w:color w:val="000000"/>
                <w:sz w:val="13"/>
                <w:szCs w:val="13"/>
              </w:rPr>
              <w:t>Total VaR</w:t>
            </w:r>
          </w:p>
        </w:tc>
        <w:tc>
          <w:tcPr>
            <w:tcW w:w="0" w:type="auto"/>
            <w:tcBorders>
              <w:top w:val="single" w:sz="8" w:space="0" w:color="000000"/>
            </w:tcBorders>
            <w:shd w:val="clear" w:color="auto" w:fill="FFFFFF"/>
            <w:tcMar>
              <w:top w:w="40" w:type="dxa"/>
              <w:left w:w="20" w:type="dxa"/>
              <w:bottom w:w="40" w:type="dxa"/>
              <w:right w:w="0" w:type="dxa"/>
            </w:tcMar>
            <w:vAlign w:val="bottom"/>
          </w:tcPr>
          <w:p w14:paraId="74DD9341" w14:textId="77777777" w:rsidR="00584EC1" w:rsidRDefault="00871F8D">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9342" w14:textId="77777777" w:rsidR="00584EC1" w:rsidRDefault="00871F8D">
            <w:pPr>
              <w:jc w:val="right"/>
              <w:textAlignment w:val="bottom"/>
            </w:pPr>
            <w:r>
              <w:rPr>
                <w:rFonts w:ascii="Arial" w:eastAsia="宋体" w:hAnsi="Arial" w:cs="Arial"/>
                <w:b/>
                <w:bCs/>
                <w:color w:val="000000"/>
                <w:sz w:val="13"/>
                <w:szCs w:val="13"/>
              </w:rPr>
              <w:t>17,503</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934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344" w14:textId="77777777" w:rsidR="00584EC1" w:rsidRDefault="00584EC1">
            <w:pPr>
              <w:spacing w:after="20"/>
              <w:jc w:val="right"/>
            </w:pPr>
          </w:p>
          <w:p w14:paraId="74DD9345" w14:textId="77777777" w:rsidR="00584EC1" w:rsidRDefault="00584EC1">
            <w:pPr>
              <w:spacing w:after="20"/>
              <w:jc w:val="right"/>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9346" w14:textId="77777777" w:rsidR="00584EC1" w:rsidRDefault="00871F8D">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9347" w14:textId="77777777" w:rsidR="00584EC1" w:rsidRDefault="00871F8D">
            <w:pPr>
              <w:jc w:val="right"/>
              <w:textAlignment w:val="bottom"/>
            </w:pPr>
            <w:r>
              <w:rPr>
                <w:rFonts w:ascii="Arial" w:eastAsia="宋体" w:hAnsi="Arial" w:cs="Arial"/>
                <w:b/>
                <w:bCs/>
                <w:color w:val="000000"/>
                <w:sz w:val="13"/>
                <w:szCs w:val="13"/>
              </w:rPr>
              <w:t>30,509</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934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349" w14:textId="77777777" w:rsidR="00584EC1" w:rsidRDefault="00584EC1">
            <w:pPr>
              <w:spacing w:after="20"/>
              <w:jc w:val="right"/>
            </w:pPr>
          </w:p>
          <w:p w14:paraId="74DD934A" w14:textId="77777777" w:rsidR="00584EC1" w:rsidRDefault="00584EC1">
            <w:pPr>
              <w:spacing w:after="20"/>
              <w:jc w:val="right"/>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934B" w14:textId="77777777" w:rsidR="00584EC1" w:rsidRDefault="00871F8D">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934C" w14:textId="77777777" w:rsidR="00584EC1" w:rsidRDefault="00871F8D">
            <w:pPr>
              <w:jc w:val="right"/>
              <w:textAlignment w:val="bottom"/>
            </w:pPr>
            <w:r>
              <w:rPr>
                <w:rFonts w:ascii="Arial" w:eastAsia="宋体" w:hAnsi="Arial" w:cs="Arial"/>
                <w:b/>
                <w:bCs/>
                <w:color w:val="000000"/>
                <w:sz w:val="13"/>
                <w:szCs w:val="13"/>
              </w:rPr>
              <w:t>11,452</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934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34E" w14:textId="77777777" w:rsidR="00584EC1" w:rsidRDefault="00584EC1">
            <w:pPr>
              <w:rPr>
                <w:rFonts w:ascii="宋体"/>
              </w:rPr>
            </w:pPr>
          </w:p>
        </w:tc>
        <w:tc>
          <w:tcPr>
            <w:tcW w:w="0" w:type="auto"/>
            <w:shd w:val="clear" w:color="auto" w:fill="auto"/>
            <w:vAlign w:val="bottom"/>
          </w:tcPr>
          <w:p w14:paraId="74DD934F" w14:textId="77777777" w:rsidR="00584EC1" w:rsidRDefault="00584EC1">
            <w:pPr>
              <w:rPr>
                <w:rFonts w:ascii="宋体"/>
                <w:vanish/>
              </w:rPr>
            </w:pPr>
          </w:p>
        </w:tc>
        <w:tc>
          <w:tcPr>
            <w:tcW w:w="0" w:type="auto"/>
            <w:shd w:val="clear" w:color="auto" w:fill="auto"/>
            <w:vAlign w:val="bottom"/>
          </w:tcPr>
          <w:p w14:paraId="74DD9350" w14:textId="77777777" w:rsidR="00584EC1" w:rsidRDefault="00584EC1">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9351" w14:textId="77777777" w:rsidR="00584EC1" w:rsidRDefault="00871F8D">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9352" w14:textId="77777777" w:rsidR="00584EC1" w:rsidRDefault="00871F8D">
            <w:pPr>
              <w:jc w:val="right"/>
              <w:textAlignment w:val="bottom"/>
            </w:pPr>
            <w:r>
              <w:rPr>
                <w:rFonts w:ascii="Arial" w:eastAsia="宋体" w:hAnsi="Arial" w:cs="Arial"/>
                <w:color w:val="000000"/>
                <w:sz w:val="13"/>
                <w:szCs w:val="13"/>
              </w:rPr>
              <w:t>16,954 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935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354" w14:textId="77777777" w:rsidR="00584EC1" w:rsidRDefault="00584EC1">
            <w:pPr>
              <w:spacing w:after="20"/>
              <w:jc w:val="right"/>
            </w:pPr>
          </w:p>
          <w:p w14:paraId="74DD9355" w14:textId="77777777" w:rsidR="00584EC1" w:rsidRDefault="00584EC1">
            <w:pPr>
              <w:spacing w:after="20"/>
              <w:jc w:val="right"/>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9356" w14:textId="77777777" w:rsidR="00584EC1" w:rsidRDefault="00871F8D">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9357" w14:textId="77777777" w:rsidR="00584EC1" w:rsidRDefault="00871F8D">
            <w:pPr>
              <w:jc w:val="right"/>
              <w:textAlignment w:val="bottom"/>
            </w:pPr>
            <w:r>
              <w:rPr>
                <w:rFonts w:ascii="Arial" w:eastAsia="宋体" w:hAnsi="Arial" w:cs="Arial"/>
                <w:color w:val="000000"/>
                <w:sz w:val="13"/>
                <w:szCs w:val="13"/>
              </w:rPr>
              <w:t>27,335 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935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359" w14:textId="77777777" w:rsidR="00584EC1" w:rsidRDefault="00584EC1">
            <w:pPr>
              <w:spacing w:after="20"/>
              <w:jc w:val="right"/>
            </w:pPr>
          </w:p>
          <w:p w14:paraId="74DD935A" w14:textId="77777777" w:rsidR="00584EC1" w:rsidRDefault="00584EC1">
            <w:pPr>
              <w:spacing w:after="20"/>
              <w:jc w:val="right"/>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935B" w14:textId="77777777" w:rsidR="00584EC1" w:rsidRDefault="00871F8D">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935C" w14:textId="77777777" w:rsidR="00584EC1" w:rsidRDefault="00871F8D">
            <w:pPr>
              <w:jc w:val="right"/>
              <w:textAlignment w:val="bottom"/>
            </w:pPr>
            <w:r>
              <w:rPr>
                <w:rFonts w:ascii="Arial" w:eastAsia="宋体" w:hAnsi="Arial" w:cs="Arial"/>
                <w:color w:val="000000"/>
                <w:sz w:val="13"/>
                <w:szCs w:val="13"/>
              </w:rPr>
              <w:t>7,908 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935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35E" w14:textId="77777777" w:rsidR="00584EC1" w:rsidRDefault="00584EC1">
            <w:pPr>
              <w:rPr>
                <w:rFonts w:ascii="宋体"/>
              </w:rPr>
            </w:pPr>
          </w:p>
        </w:tc>
        <w:tc>
          <w:tcPr>
            <w:tcW w:w="0" w:type="auto"/>
            <w:shd w:val="clear" w:color="auto" w:fill="auto"/>
            <w:vAlign w:val="bottom"/>
          </w:tcPr>
          <w:p w14:paraId="74DD935F" w14:textId="77777777" w:rsidR="00584EC1" w:rsidRDefault="00584EC1">
            <w:pPr>
              <w:rPr>
                <w:rFonts w:ascii="宋体"/>
                <w:vanish/>
              </w:rPr>
            </w:pPr>
          </w:p>
        </w:tc>
        <w:tc>
          <w:tcPr>
            <w:tcW w:w="0" w:type="auto"/>
            <w:shd w:val="clear" w:color="auto" w:fill="auto"/>
            <w:vAlign w:val="bottom"/>
          </w:tcPr>
          <w:p w14:paraId="74DD9360" w14:textId="77777777" w:rsidR="00584EC1" w:rsidRDefault="00584EC1">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9361" w14:textId="77777777" w:rsidR="00584EC1" w:rsidRDefault="00871F8D">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9362" w14:textId="77777777" w:rsidR="00584EC1" w:rsidRDefault="00871F8D">
            <w:pPr>
              <w:jc w:val="right"/>
              <w:textAlignment w:val="bottom"/>
            </w:pPr>
            <w:r>
              <w:rPr>
                <w:rFonts w:ascii="Arial" w:eastAsia="宋体" w:hAnsi="Arial" w:cs="Arial"/>
                <w:color w:val="000000"/>
                <w:sz w:val="13"/>
                <w:szCs w:val="13"/>
              </w:rPr>
              <w:t>14,718 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936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364"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9365" w14:textId="77777777" w:rsidR="00584EC1" w:rsidRDefault="00871F8D">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9366" w14:textId="77777777" w:rsidR="00584EC1" w:rsidRDefault="00871F8D">
            <w:pPr>
              <w:jc w:val="right"/>
              <w:textAlignment w:val="bottom"/>
            </w:pPr>
            <w:r>
              <w:rPr>
                <w:rFonts w:ascii="Arial" w:eastAsia="宋体" w:hAnsi="Arial" w:cs="Arial"/>
                <w:color w:val="000000"/>
                <w:sz w:val="13"/>
                <w:szCs w:val="13"/>
              </w:rPr>
              <w:t>31,408 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9367" w14:textId="77777777" w:rsidR="00584EC1" w:rsidRDefault="00584EC1">
            <w:pPr>
              <w:jc w:val="right"/>
              <w:rPr>
                <w:rFonts w:ascii="宋体"/>
              </w:rPr>
            </w:pPr>
          </w:p>
        </w:tc>
        <w:tc>
          <w:tcPr>
            <w:tcW w:w="0" w:type="auto"/>
            <w:gridSpan w:val="2"/>
            <w:shd w:val="clear" w:color="auto" w:fill="FFFFFF"/>
            <w:tcMar>
              <w:top w:w="0" w:type="dxa"/>
              <w:left w:w="20" w:type="dxa"/>
              <w:bottom w:w="0" w:type="dxa"/>
              <w:right w:w="20" w:type="dxa"/>
            </w:tcMar>
            <w:vAlign w:val="bottom"/>
          </w:tcPr>
          <w:p w14:paraId="74DD9368"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9369" w14:textId="77777777" w:rsidR="00584EC1" w:rsidRDefault="00871F8D">
            <w:pPr>
              <w:textAlignment w:val="bottom"/>
            </w:pPr>
            <w:r>
              <w:rPr>
                <w:rFonts w:ascii="Arial" w:eastAsia="宋体" w:hAnsi="Arial" w:cs="Arial"/>
                <w:color w:val="000000"/>
                <w:sz w:val="13"/>
                <w:szCs w:val="13"/>
              </w:rPr>
              <w:t>$</w:t>
            </w:r>
          </w:p>
          <w:p w14:paraId="74DD936A" w14:textId="77777777" w:rsidR="00584EC1" w:rsidRDefault="00871F8D">
            <w:pPr>
              <w:jc w:val="right"/>
              <w:textAlignment w:val="bottom"/>
            </w:pPr>
            <w:r>
              <w:rPr>
                <w:rFonts w:ascii="Arial" w:eastAsia="宋体" w:hAnsi="Arial" w:cs="Arial"/>
                <w:color w:val="000000"/>
                <w:sz w:val="13"/>
                <w:szCs w:val="13"/>
              </w:rPr>
              <w:t>6,597 </w:t>
            </w:r>
          </w:p>
          <w:p w14:paraId="74DD936B" w14:textId="77777777" w:rsidR="00584EC1" w:rsidRDefault="00871F8D">
            <w:pPr>
              <w:textAlignment w:val="bottom"/>
            </w:pPr>
            <w:r>
              <w:rPr>
                <w:rFonts w:ascii="Arial" w:eastAsia="宋体" w:hAnsi="Arial" w:cs="Arial"/>
                <w:b/>
                <w:bCs/>
                <w:color w:val="000000"/>
                <w:sz w:val="13"/>
                <w:szCs w:val="13"/>
              </w:rPr>
              <w:t>$</w:t>
            </w:r>
          </w:p>
          <w:p w14:paraId="74DD936C" w14:textId="77777777" w:rsidR="00584EC1" w:rsidRDefault="00871F8D">
            <w:pPr>
              <w:jc w:val="right"/>
              <w:textAlignment w:val="bottom"/>
            </w:pPr>
            <w:r>
              <w:rPr>
                <w:rFonts w:ascii="Arial" w:eastAsia="宋体" w:hAnsi="Arial" w:cs="Arial"/>
                <w:b/>
                <w:bCs/>
                <w:color w:val="000000"/>
                <w:sz w:val="13"/>
                <w:szCs w:val="13"/>
              </w:rPr>
              <w:t>15,160</w:t>
            </w:r>
            <w:r>
              <w:rPr>
                <w:rFonts w:ascii="Arial" w:eastAsia="宋体" w:hAnsi="Arial" w:cs="Arial"/>
                <w:color w:val="000000"/>
                <w:sz w:val="13"/>
                <w:szCs w:val="13"/>
              </w:rPr>
              <w:t> </w:t>
            </w:r>
          </w:p>
          <w:p w14:paraId="74DD936D" w14:textId="77777777" w:rsidR="00584EC1" w:rsidRDefault="00871F8D">
            <w:pPr>
              <w:textAlignment w:val="bottom"/>
            </w:pPr>
            <w:r>
              <w:rPr>
                <w:rFonts w:ascii="Arial" w:eastAsia="宋体" w:hAnsi="Arial" w:cs="Arial"/>
                <w:color w:val="000000"/>
                <w:sz w:val="13"/>
                <w:szCs w:val="13"/>
              </w:rPr>
              <w:t>$</w:t>
            </w:r>
          </w:p>
          <w:p w14:paraId="74DD936E" w14:textId="77777777" w:rsidR="00584EC1" w:rsidRDefault="00871F8D">
            <w:pPr>
              <w:jc w:val="right"/>
              <w:textAlignment w:val="bottom"/>
            </w:pPr>
            <w:r>
              <w:rPr>
                <w:rFonts w:ascii="Arial" w:eastAsia="宋体" w:hAnsi="Arial" w:cs="Arial"/>
                <w:color w:val="000000"/>
                <w:sz w:val="13"/>
                <w:szCs w:val="13"/>
              </w:rPr>
              <w:t>23,844 </w:t>
            </w:r>
          </w:p>
          <w:p w14:paraId="74DD936F" w14:textId="77777777" w:rsidR="00584EC1" w:rsidRDefault="00871F8D">
            <w:pPr>
              <w:textAlignment w:val="bottom"/>
            </w:pPr>
            <w:r>
              <w:rPr>
                <w:rFonts w:ascii="Arial" w:eastAsia="宋体" w:hAnsi="Arial" w:cs="Arial"/>
                <w:color w:val="000000"/>
                <w:sz w:val="13"/>
                <w:szCs w:val="13"/>
              </w:rPr>
              <w:t>$</w:t>
            </w:r>
          </w:p>
          <w:p w14:paraId="74DD9370" w14:textId="77777777" w:rsidR="00584EC1" w:rsidRDefault="00871F8D">
            <w:pPr>
              <w:jc w:val="right"/>
              <w:textAlignment w:val="bottom"/>
            </w:pPr>
            <w:r>
              <w:rPr>
                <w:rFonts w:ascii="Arial" w:eastAsia="宋体" w:hAnsi="Arial" w:cs="Arial"/>
                <w:color w:val="000000"/>
                <w:sz w:val="13"/>
                <w:szCs w:val="13"/>
              </w:rPr>
              <w:t>14,315 </w:t>
            </w:r>
          </w:p>
        </w:tc>
      </w:tr>
      <w:tr w:rsidR="00584EC1" w14:paraId="74DD9388" w14:textId="77777777">
        <w:trPr>
          <w:trHeight w:val="100"/>
        </w:trPr>
        <w:tc>
          <w:tcPr>
            <w:tcW w:w="0" w:type="auto"/>
            <w:gridSpan w:val="3"/>
            <w:shd w:val="clear" w:color="auto" w:fill="auto"/>
            <w:tcMar>
              <w:top w:w="0" w:type="dxa"/>
              <w:left w:w="20" w:type="dxa"/>
              <w:bottom w:w="0" w:type="dxa"/>
              <w:right w:w="20" w:type="dxa"/>
            </w:tcMar>
            <w:vAlign w:val="bottom"/>
          </w:tcPr>
          <w:p w14:paraId="74DD9372"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D9373"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9374"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D937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9376"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D9377"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9378" w14:textId="77777777" w:rsidR="00584EC1" w:rsidRDefault="00584EC1">
            <w:pPr>
              <w:rPr>
                <w:rFonts w:ascii="宋体"/>
              </w:rPr>
            </w:pPr>
          </w:p>
        </w:tc>
        <w:tc>
          <w:tcPr>
            <w:tcW w:w="0" w:type="auto"/>
            <w:shd w:val="clear" w:color="auto" w:fill="auto"/>
            <w:vAlign w:val="bottom"/>
          </w:tcPr>
          <w:p w14:paraId="74DD9379" w14:textId="77777777" w:rsidR="00584EC1" w:rsidRDefault="00584EC1">
            <w:pPr>
              <w:rPr>
                <w:rFonts w:ascii="宋体"/>
                <w:vanish/>
              </w:rPr>
            </w:pPr>
          </w:p>
        </w:tc>
        <w:tc>
          <w:tcPr>
            <w:tcW w:w="0" w:type="auto"/>
            <w:shd w:val="clear" w:color="auto" w:fill="auto"/>
            <w:vAlign w:val="bottom"/>
          </w:tcPr>
          <w:p w14:paraId="74DD937A" w14:textId="77777777" w:rsidR="00584EC1" w:rsidRDefault="00584EC1">
            <w:pPr>
              <w:rPr>
                <w:rFonts w:ascii="宋体"/>
                <w:vanish/>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D937B"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937C"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D937D"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937E"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D937F"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9380" w14:textId="77777777" w:rsidR="00584EC1" w:rsidRDefault="00584EC1">
            <w:pPr>
              <w:rPr>
                <w:rFonts w:ascii="宋体"/>
              </w:rPr>
            </w:pPr>
          </w:p>
        </w:tc>
        <w:tc>
          <w:tcPr>
            <w:tcW w:w="0" w:type="auto"/>
            <w:shd w:val="clear" w:color="auto" w:fill="auto"/>
            <w:vAlign w:val="bottom"/>
          </w:tcPr>
          <w:p w14:paraId="74DD9381" w14:textId="77777777" w:rsidR="00584EC1" w:rsidRDefault="00584EC1">
            <w:pPr>
              <w:rPr>
                <w:rFonts w:ascii="宋体"/>
                <w:vanish/>
              </w:rPr>
            </w:pPr>
          </w:p>
        </w:tc>
        <w:tc>
          <w:tcPr>
            <w:tcW w:w="0" w:type="auto"/>
            <w:shd w:val="clear" w:color="auto" w:fill="auto"/>
            <w:vAlign w:val="bottom"/>
          </w:tcPr>
          <w:p w14:paraId="74DD9382" w14:textId="77777777" w:rsidR="00584EC1" w:rsidRDefault="00584EC1">
            <w:pPr>
              <w:rPr>
                <w:rFonts w:ascii="宋体"/>
                <w:vanish/>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D9383"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9384"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D9385" w14:textId="77777777" w:rsidR="00584EC1" w:rsidRDefault="00584EC1">
            <w:pPr>
              <w:rPr>
                <w:rFonts w:ascii="宋体"/>
              </w:rPr>
            </w:pPr>
          </w:p>
        </w:tc>
        <w:tc>
          <w:tcPr>
            <w:tcW w:w="0" w:type="auto"/>
            <w:gridSpan w:val="2"/>
            <w:shd w:val="clear" w:color="auto" w:fill="auto"/>
            <w:tcMar>
              <w:top w:w="0" w:type="dxa"/>
              <w:left w:w="20" w:type="dxa"/>
              <w:bottom w:w="0" w:type="dxa"/>
              <w:right w:w="20" w:type="dxa"/>
            </w:tcMar>
            <w:vAlign w:val="bottom"/>
          </w:tcPr>
          <w:p w14:paraId="74DD9386" w14:textId="77777777" w:rsidR="00584EC1" w:rsidRDefault="00584EC1">
            <w:pPr>
              <w:rPr>
                <w:rFonts w:ascii="宋体"/>
              </w:rPr>
            </w:pPr>
          </w:p>
        </w:tc>
        <w:tc>
          <w:tcPr>
            <w:tcW w:w="0" w:type="auto"/>
            <w:tcBorders>
              <w:top w:val="double" w:sz="6" w:space="0" w:color="000000"/>
            </w:tcBorders>
            <w:shd w:val="clear" w:color="auto" w:fill="auto"/>
            <w:tcMar>
              <w:top w:w="0" w:type="dxa"/>
              <w:left w:w="20" w:type="dxa"/>
              <w:bottom w:w="0" w:type="dxa"/>
              <w:right w:w="20" w:type="dxa"/>
            </w:tcMar>
            <w:vAlign w:val="bottom"/>
          </w:tcPr>
          <w:p w14:paraId="74DD9387" w14:textId="77777777" w:rsidR="00584EC1" w:rsidRDefault="00584EC1">
            <w:pPr>
              <w:rPr>
                <w:rFonts w:ascii="宋体"/>
              </w:rPr>
            </w:pPr>
          </w:p>
        </w:tc>
      </w:tr>
      <w:tr w:rsidR="00584EC1" w14:paraId="74DD938A" w14:textId="77777777">
        <w:tc>
          <w:tcPr>
            <w:tcW w:w="0" w:type="auto"/>
            <w:gridSpan w:val="55"/>
            <w:shd w:val="clear" w:color="auto" w:fill="auto"/>
            <w:tcMar>
              <w:top w:w="40" w:type="dxa"/>
              <w:left w:w="20" w:type="dxa"/>
              <w:bottom w:w="40" w:type="dxa"/>
              <w:right w:w="20" w:type="dxa"/>
            </w:tcMar>
            <w:vAlign w:val="bottom"/>
          </w:tcPr>
          <w:p w14:paraId="74DD9389" w14:textId="77777777" w:rsidR="00584EC1" w:rsidRDefault="00871F8D">
            <w:pPr>
              <w:textAlignment w:val="bottom"/>
            </w:pPr>
            <w:r>
              <w:rPr>
                <w:rFonts w:ascii="Arial" w:eastAsia="宋体" w:hAnsi="Arial" w:cs="Arial"/>
                <w:b/>
                <w:bCs/>
                <w:color w:val="000000"/>
                <w:sz w:val="16"/>
                <w:szCs w:val="16"/>
              </w:rPr>
              <w:t>TABLE 29: TEN-DAY STRESSED VALUE-AT-RISK ASSOCIATED WITH TRADING ACTIVITIES FOR COVERED POSITIONS</w:t>
            </w:r>
          </w:p>
        </w:tc>
      </w:tr>
      <w:tr w:rsidR="00584EC1" w14:paraId="74DD9392" w14:textId="77777777">
        <w:trPr>
          <w:trHeight w:val="220"/>
        </w:trPr>
        <w:tc>
          <w:tcPr>
            <w:tcW w:w="0" w:type="auto"/>
            <w:gridSpan w:val="3"/>
            <w:shd w:val="clear" w:color="auto" w:fill="auto"/>
            <w:tcMar>
              <w:top w:w="0" w:type="dxa"/>
              <w:left w:w="20" w:type="dxa"/>
              <w:bottom w:w="0" w:type="dxa"/>
              <w:right w:w="20" w:type="dxa"/>
            </w:tcMar>
            <w:vAlign w:val="bottom"/>
          </w:tcPr>
          <w:p w14:paraId="74DD938B" w14:textId="77777777" w:rsidR="00584EC1" w:rsidRDefault="00584EC1">
            <w:pPr>
              <w:rPr>
                <w:rFonts w:ascii="宋体"/>
              </w:rPr>
            </w:pPr>
          </w:p>
        </w:tc>
        <w:tc>
          <w:tcPr>
            <w:tcW w:w="0" w:type="auto"/>
            <w:gridSpan w:val="43"/>
            <w:tcBorders>
              <w:bottom w:val="single" w:sz="8" w:space="0" w:color="000000"/>
            </w:tcBorders>
            <w:shd w:val="clear" w:color="auto" w:fill="auto"/>
            <w:tcMar>
              <w:top w:w="40" w:type="dxa"/>
              <w:left w:w="20" w:type="dxa"/>
              <w:bottom w:w="40" w:type="dxa"/>
              <w:right w:w="20" w:type="dxa"/>
            </w:tcMar>
            <w:vAlign w:val="bottom"/>
          </w:tcPr>
          <w:p w14:paraId="74DD938C" w14:textId="77777777" w:rsidR="00584EC1" w:rsidRDefault="00871F8D">
            <w:pPr>
              <w:jc w:val="center"/>
              <w:textAlignment w:val="bottom"/>
            </w:pPr>
            <w:r>
              <w:rPr>
                <w:rFonts w:ascii="Arial" w:eastAsia="宋体" w:hAnsi="Arial" w:cs="Arial"/>
                <w:b/>
                <w:bCs/>
                <w:color w:val="000000"/>
                <w:sz w:val="13"/>
                <w:szCs w:val="13"/>
              </w:rPr>
              <w:t>Three Months Ended</w:t>
            </w:r>
          </w:p>
        </w:tc>
        <w:tc>
          <w:tcPr>
            <w:tcW w:w="0" w:type="auto"/>
            <w:gridSpan w:val="3"/>
            <w:shd w:val="clear" w:color="auto" w:fill="auto"/>
            <w:tcMar>
              <w:top w:w="0" w:type="dxa"/>
              <w:left w:w="20" w:type="dxa"/>
              <w:bottom w:w="0" w:type="dxa"/>
              <w:right w:w="20" w:type="dxa"/>
            </w:tcMar>
            <w:vAlign w:val="bottom"/>
          </w:tcPr>
          <w:p w14:paraId="74DD938D" w14:textId="77777777" w:rsidR="00584EC1" w:rsidRDefault="00584EC1">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74DD938E" w14:textId="77777777" w:rsidR="00584EC1" w:rsidRDefault="00871F8D">
            <w:pPr>
              <w:jc w:val="center"/>
              <w:textAlignment w:val="bottom"/>
            </w:pPr>
            <w:r>
              <w:rPr>
                <w:rFonts w:ascii="Arial" w:eastAsia="宋体" w:hAnsi="Arial" w:cs="Arial"/>
                <w:b/>
                <w:bCs/>
                <w:color w:val="000000"/>
                <w:sz w:val="13"/>
                <w:szCs w:val="13"/>
              </w:rPr>
              <w:t>As of September 30, 2021</w:t>
            </w:r>
          </w:p>
        </w:tc>
        <w:tc>
          <w:tcPr>
            <w:tcW w:w="0" w:type="auto"/>
            <w:gridSpan w:val="2"/>
            <w:vMerge w:val="restart"/>
            <w:shd w:val="clear" w:color="auto" w:fill="auto"/>
            <w:tcMar>
              <w:top w:w="0" w:type="dxa"/>
              <w:left w:w="20" w:type="dxa"/>
              <w:bottom w:w="0" w:type="dxa"/>
              <w:right w:w="20" w:type="dxa"/>
            </w:tcMar>
            <w:vAlign w:val="bottom"/>
          </w:tcPr>
          <w:p w14:paraId="74DD938F" w14:textId="77777777" w:rsidR="00584EC1" w:rsidRDefault="00584EC1">
            <w:pPr>
              <w:rPr>
                <w:rFonts w:ascii="宋体"/>
              </w:rPr>
            </w:pPr>
          </w:p>
        </w:tc>
        <w:tc>
          <w:tcPr>
            <w:tcW w:w="0" w:type="auto"/>
            <w:vMerge w:val="restart"/>
            <w:shd w:val="clear" w:color="auto" w:fill="auto"/>
            <w:tcMar>
              <w:top w:w="40" w:type="dxa"/>
              <w:left w:w="20" w:type="dxa"/>
              <w:bottom w:w="40" w:type="dxa"/>
              <w:right w:w="20" w:type="dxa"/>
            </w:tcMar>
            <w:vAlign w:val="bottom"/>
          </w:tcPr>
          <w:p w14:paraId="74DD9390" w14:textId="77777777" w:rsidR="00584EC1" w:rsidRDefault="00871F8D">
            <w:pPr>
              <w:jc w:val="center"/>
              <w:textAlignment w:val="bottom"/>
            </w:pPr>
            <w:r>
              <w:rPr>
                <w:rFonts w:ascii="Arial" w:eastAsia="宋体" w:hAnsi="Arial" w:cs="Arial"/>
                <w:b/>
                <w:bCs/>
                <w:color w:val="000000"/>
                <w:sz w:val="13"/>
                <w:szCs w:val="13"/>
              </w:rPr>
              <w:t>As of June 30, 2021</w:t>
            </w:r>
          </w:p>
          <w:p w14:paraId="74DD9391" w14:textId="77777777" w:rsidR="00584EC1" w:rsidRDefault="00871F8D">
            <w:pPr>
              <w:jc w:val="center"/>
              <w:textAlignment w:val="bottom"/>
            </w:pPr>
            <w:r>
              <w:rPr>
                <w:rFonts w:ascii="Arial" w:eastAsia="宋体" w:hAnsi="Arial" w:cs="Arial"/>
                <w:b/>
                <w:bCs/>
                <w:color w:val="000000"/>
                <w:sz w:val="13"/>
                <w:szCs w:val="13"/>
              </w:rPr>
              <w:t>As of September 30, 2020</w:t>
            </w:r>
          </w:p>
        </w:tc>
      </w:tr>
      <w:tr w:rsidR="00584EC1" w14:paraId="74DD939E" w14:textId="77777777">
        <w:trPr>
          <w:trHeight w:val="220"/>
        </w:trPr>
        <w:tc>
          <w:tcPr>
            <w:tcW w:w="0" w:type="auto"/>
            <w:gridSpan w:val="3"/>
            <w:shd w:val="clear" w:color="auto" w:fill="auto"/>
            <w:tcMar>
              <w:top w:w="0" w:type="dxa"/>
              <w:left w:w="20" w:type="dxa"/>
              <w:bottom w:w="0" w:type="dxa"/>
              <w:right w:w="20" w:type="dxa"/>
            </w:tcMar>
            <w:vAlign w:val="bottom"/>
          </w:tcPr>
          <w:p w14:paraId="74DD9393" w14:textId="77777777" w:rsidR="00584EC1" w:rsidRDefault="00584EC1">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4DD9394" w14:textId="77777777" w:rsidR="00584EC1" w:rsidRDefault="00871F8D">
            <w:pPr>
              <w:jc w:val="center"/>
              <w:textAlignment w:val="bottom"/>
            </w:pPr>
            <w:r>
              <w:rPr>
                <w:rFonts w:ascii="Arial" w:eastAsia="宋体" w:hAnsi="Arial" w:cs="Arial"/>
                <w:b/>
                <w:bCs/>
                <w:color w:val="000000"/>
                <w:sz w:val="13"/>
                <w:szCs w:val="13"/>
              </w:rPr>
              <w:t xml:space="preserve">September 30, </w:t>
            </w:r>
            <w:r>
              <w:rPr>
                <w:rFonts w:ascii="Arial" w:eastAsia="宋体" w:hAnsi="Arial" w:cs="Arial"/>
                <w:b/>
                <w:bCs/>
                <w:color w:val="000000"/>
                <w:sz w:val="13"/>
                <w:szCs w:val="13"/>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395" w14:textId="77777777" w:rsidR="00584EC1" w:rsidRDefault="00584EC1">
            <w:pPr>
              <w:rPr>
                <w:rFonts w:ascii="宋体"/>
              </w:rPr>
            </w:pPr>
          </w:p>
        </w:tc>
        <w:tc>
          <w:tcPr>
            <w:tcW w:w="0" w:type="auto"/>
            <w:shd w:val="clear" w:color="auto" w:fill="auto"/>
            <w:vAlign w:val="bottom"/>
          </w:tcPr>
          <w:p w14:paraId="74DD9396" w14:textId="77777777" w:rsidR="00584EC1" w:rsidRDefault="00584EC1">
            <w:pPr>
              <w:rPr>
                <w:rFonts w:ascii="宋体"/>
                <w:vanish/>
              </w:rPr>
            </w:pPr>
          </w:p>
        </w:tc>
        <w:tc>
          <w:tcPr>
            <w:tcW w:w="0" w:type="auto"/>
            <w:shd w:val="clear" w:color="auto" w:fill="auto"/>
            <w:vAlign w:val="bottom"/>
          </w:tcPr>
          <w:p w14:paraId="74DD9397" w14:textId="77777777" w:rsidR="00584EC1" w:rsidRDefault="00584EC1">
            <w:pPr>
              <w:rPr>
                <w:rFonts w:ascii="宋体"/>
                <w:vanish/>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4DD9398" w14:textId="77777777" w:rsidR="00584EC1" w:rsidRDefault="00871F8D">
            <w:pPr>
              <w:jc w:val="center"/>
              <w:textAlignment w:val="bottom"/>
            </w:pPr>
            <w:r>
              <w:rPr>
                <w:rFonts w:ascii="Arial" w:eastAsia="宋体" w:hAnsi="Arial" w:cs="Arial"/>
                <w:b/>
                <w:bCs/>
                <w:color w:val="000000"/>
                <w:sz w:val="13"/>
                <w:szCs w:val="13"/>
              </w:rPr>
              <w:t>June 30,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399" w14:textId="77777777" w:rsidR="00584EC1" w:rsidRDefault="00584EC1">
            <w:pPr>
              <w:rPr>
                <w:rFonts w:ascii="宋体"/>
              </w:rPr>
            </w:pPr>
          </w:p>
        </w:tc>
        <w:tc>
          <w:tcPr>
            <w:tcW w:w="0" w:type="auto"/>
            <w:shd w:val="clear" w:color="auto" w:fill="auto"/>
            <w:vAlign w:val="bottom"/>
          </w:tcPr>
          <w:p w14:paraId="74DD939A" w14:textId="77777777" w:rsidR="00584EC1" w:rsidRDefault="00584EC1">
            <w:pPr>
              <w:rPr>
                <w:rFonts w:ascii="宋体"/>
                <w:vanish/>
              </w:rPr>
            </w:pPr>
          </w:p>
        </w:tc>
        <w:tc>
          <w:tcPr>
            <w:tcW w:w="0" w:type="auto"/>
            <w:shd w:val="clear" w:color="auto" w:fill="auto"/>
            <w:vAlign w:val="bottom"/>
          </w:tcPr>
          <w:p w14:paraId="74DD939B" w14:textId="77777777" w:rsidR="00584EC1" w:rsidRDefault="00584EC1">
            <w:pPr>
              <w:rPr>
                <w:rFonts w:ascii="宋体"/>
                <w:vanish/>
              </w:rPr>
            </w:pPr>
          </w:p>
        </w:tc>
        <w:tc>
          <w:tcPr>
            <w:tcW w:w="0" w:type="auto"/>
            <w:gridSpan w:val="11"/>
            <w:tcBorders>
              <w:top w:val="single" w:sz="8" w:space="0" w:color="000000"/>
            </w:tcBorders>
            <w:shd w:val="clear" w:color="auto" w:fill="auto"/>
            <w:tcMar>
              <w:top w:w="40" w:type="dxa"/>
              <w:left w:w="20" w:type="dxa"/>
              <w:bottom w:w="40" w:type="dxa"/>
              <w:right w:w="20" w:type="dxa"/>
            </w:tcMar>
            <w:vAlign w:val="bottom"/>
          </w:tcPr>
          <w:p w14:paraId="74DD939C" w14:textId="77777777" w:rsidR="00584EC1" w:rsidRDefault="00871F8D">
            <w:pPr>
              <w:jc w:val="center"/>
              <w:textAlignment w:val="bottom"/>
            </w:pPr>
            <w:r>
              <w:rPr>
                <w:rFonts w:ascii="Arial" w:eastAsia="宋体" w:hAnsi="Arial" w:cs="Arial"/>
                <w:b/>
                <w:bCs/>
                <w:color w:val="000000"/>
                <w:sz w:val="13"/>
                <w:szCs w:val="13"/>
              </w:rPr>
              <w:t>September 30, 2020</w:t>
            </w:r>
          </w:p>
        </w:tc>
        <w:tc>
          <w:tcPr>
            <w:tcW w:w="0" w:type="auto"/>
            <w:shd w:val="clear" w:color="auto" w:fill="auto"/>
            <w:tcMar>
              <w:top w:w="0" w:type="dxa"/>
              <w:left w:w="20" w:type="dxa"/>
              <w:bottom w:w="0" w:type="dxa"/>
              <w:right w:w="20" w:type="dxa"/>
            </w:tcMar>
            <w:vAlign w:val="bottom"/>
          </w:tcPr>
          <w:p w14:paraId="74DD939D" w14:textId="77777777" w:rsidR="00584EC1" w:rsidRDefault="00584EC1">
            <w:pPr>
              <w:rPr>
                <w:rFonts w:ascii="宋体"/>
              </w:rPr>
            </w:pPr>
          </w:p>
        </w:tc>
      </w:tr>
      <w:tr w:rsidR="00584EC1" w14:paraId="74DD93B8" w14:textId="77777777">
        <w:tc>
          <w:tcPr>
            <w:tcW w:w="0" w:type="auto"/>
            <w:gridSpan w:val="3"/>
            <w:shd w:val="clear" w:color="auto" w:fill="auto"/>
            <w:tcMar>
              <w:top w:w="40" w:type="dxa"/>
              <w:left w:w="20" w:type="dxa"/>
              <w:bottom w:w="40" w:type="dxa"/>
              <w:right w:w="20" w:type="dxa"/>
            </w:tcMar>
            <w:vAlign w:val="bottom"/>
          </w:tcPr>
          <w:p w14:paraId="74DD939F" w14:textId="77777777" w:rsidR="00584EC1" w:rsidRDefault="00871F8D">
            <w:pPr>
              <w:textAlignment w:val="bottom"/>
            </w:pPr>
            <w:r>
              <w:rPr>
                <w:rFonts w:ascii="Arial" w:eastAsia="宋体" w:hAnsi="Arial" w:cs="Arial"/>
                <w:b/>
                <w:bCs/>
                <w:color w:val="000000"/>
                <w:sz w:val="13"/>
                <w:szCs w:val="13"/>
              </w:rPr>
              <w:t>(In thousands)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93A0" w14:textId="77777777" w:rsidR="00584EC1" w:rsidRDefault="00871F8D">
            <w:pPr>
              <w:spacing w:after="20"/>
              <w:jc w:val="center"/>
              <w:textAlignment w:val="bottom"/>
            </w:pPr>
            <w:r>
              <w:rPr>
                <w:rFonts w:ascii="Arial" w:eastAsia="宋体" w:hAnsi="Arial" w:cs="Arial"/>
                <w:b/>
                <w:bCs/>
                <w:color w:val="000000"/>
                <w:sz w:val="13"/>
                <w:szCs w:val="13"/>
              </w:rPr>
              <w:t>Avg.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3A1"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93A2" w14:textId="77777777" w:rsidR="00584EC1" w:rsidRDefault="00871F8D">
            <w:pPr>
              <w:spacing w:after="20"/>
              <w:jc w:val="center"/>
              <w:textAlignment w:val="bottom"/>
            </w:pPr>
            <w:r>
              <w:rPr>
                <w:rFonts w:ascii="Arial" w:eastAsia="宋体" w:hAnsi="Arial" w:cs="Arial"/>
                <w:b/>
                <w:bCs/>
                <w:color w:val="000000"/>
                <w:sz w:val="13"/>
                <w:szCs w:val="13"/>
              </w:rPr>
              <w:t>Max.</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3A3"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93A4" w14:textId="77777777" w:rsidR="00584EC1" w:rsidRDefault="00871F8D">
            <w:pPr>
              <w:spacing w:after="20"/>
              <w:jc w:val="center"/>
              <w:textAlignment w:val="bottom"/>
            </w:pPr>
            <w:r>
              <w:rPr>
                <w:rFonts w:ascii="Arial" w:eastAsia="宋体" w:hAnsi="Arial" w:cs="Arial"/>
                <w:b/>
                <w:bCs/>
                <w:color w:val="000000"/>
                <w:sz w:val="13"/>
                <w:szCs w:val="13"/>
              </w:rPr>
              <w:t>Min.</w:t>
            </w:r>
          </w:p>
        </w:tc>
        <w:tc>
          <w:tcPr>
            <w:tcW w:w="0" w:type="auto"/>
            <w:gridSpan w:val="3"/>
            <w:shd w:val="clear" w:color="auto" w:fill="auto"/>
            <w:tcMar>
              <w:top w:w="0" w:type="dxa"/>
              <w:left w:w="20" w:type="dxa"/>
              <w:bottom w:w="0" w:type="dxa"/>
              <w:right w:w="20" w:type="dxa"/>
            </w:tcMar>
            <w:vAlign w:val="bottom"/>
          </w:tcPr>
          <w:p w14:paraId="74DD93A5" w14:textId="77777777" w:rsidR="00584EC1" w:rsidRDefault="00584EC1">
            <w:pPr>
              <w:rPr>
                <w:rFonts w:ascii="宋体"/>
              </w:rPr>
            </w:pPr>
          </w:p>
        </w:tc>
        <w:tc>
          <w:tcPr>
            <w:tcW w:w="0" w:type="auto"/>
            <w:shd w:val="clear" w:color="auto" w:fill="auto"/>
            <w:vAlign w:val="bottom"/>
          </w:tcPr>
          <w:p w14:paraId="74DD93A6" w14:textId="77777777" w:rsidR="00584EC1" w:rsidRDefault="00584EC1">
            <w:pPr>
              <w:rPr>
                <w:rFonts w:ascii="宋体"/>
                <w:vanish/>
              </w:rPr>
            </w:pPr>
          </w:p>
        </w:tc>
        <w:tc>
          <w:tcPr>
            <w:tcW w:w="0" w:type="auto"/>
            <w:shd w:val="clear" w:color="auto" w:fill="auto"/>
            <w:vAlign w:val="bottom"/>
          </w:tcPr>
          <w:p w14:paraId="74DD93A7" w14:textId="77777777" w:rsidR="00584EC1" w:rsidRDefault="00584EC1">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93A8" w14:textId="77777777" w:rsidR="00584EC1" w:rsidRDefault="00871F8D">
            <w:pPr>
              <w:spacing w:after="20"/>
              <w:jc w:val="center"/>
              <w:textAlignment w:val="bottom"/>
            </w:pPr>
            <w:r>
              <w:rPr>
                <w:rFonts w:ascii="Arial" w:eastAsia="宋体" w:hAnsi="Arial" w:cs="Arial"/>
                <w:b/>
                <w:bCs/>
                <w:color w:val="000000"/>
                <w:sz w:val="13"/>
                <w:szCs w:val="13"/>
              </w:rPr>
              <w:t>Avg.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3A9"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93AA" w14:textId="77777777" w:rsidR="00584EC1" w:rsidRDefault="00871F8D">
            <w:pPr>
              <w:spacing w:after="20"/>
              <w:jc w:val="center"/>
              <w:textAlignment w:val="bottom"/>
            </w:pPr>
            <w:r>
              <w:rPr>
                <w:rFonts w:ascii="Arial" w:eastAsia="宋体" w:hAnsi="Arial" w:cs="Arial"/>
                <w:b/>
                <w:bCs/>
                <w:color w:val="000000"/>
                <w:sz w:val="13"/>
                <w:szCs w:val="13"/>
              </w:rPr>
              <w:t>Max.</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3AB"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93AC" w14:textId="77777777" w:rsidR="00584EC1" w:rsidRDefault="00871F8D">
            <w:pPr>
              <w:spacing w:after="20"/>
              <w:jc w:val="center"/>
              <w:textAlignment w:val="bottom"/>
            </w:pPr>
            <w:r>
              <w:rPr>
                <w:rFonts w:ascii="Arial" w:eastAsia="宋体" w:hAnsi="Arial" w:cs="Arial"/>
                <w:b/>
                <w:bCs/>
                <w:color w:val="000000"/>
                <w:sz w:val="13"/>
                <w:szCs w:val="13"/>
              </w:rPr>
              <w:t>Min.</w:t>
            </w:r>
          </w:p>
        </w:tc>
        <w:tc>
          <w:tcPr>
            <w:tcW w:w="0" w:type="auto"/>
            <w:gridSpan w:val="3"/>
            <w:shd w:val="clear" w:color="auto" w:fill="auto"/>
            <w:tcMar>
              <w:top w:w="0" w:type="dxa"/>
              <w:left w:w="20" w:type="dxa"/>
              <w:bottom w:w="0" w:type="dxa"/>
              <w:right w:w="20" w:type="dxa"/>
            </w:tcMar>
            <w:vAlign w:val="bottom"/>
          </w:tcPr>
          <w:p w14:paraId="74DD93AD" w14:textId="77777777" w:rsidR="00584EC1" w:rsidRDefault="00584EC1">
            <w:pPr>
              <w:rPr>
                <w:rFonts w:ascii="宋体"/>
              </w:rPr>
            </w:pPr>
          </w:p>
        </w:tc>
        <w:tc>
          <w:tcPr>
            <w:tcW w:w="0" w:type="auto"/>
            <w:shd w:val="clear" w:color="auto" w:fill="auto"/>
            <w:vAlign w:val="bottom"/>
          </w:tcPr>
          <w:p w14:paraId="74DD93AE" w14:textId="77777777" w:rsidR="00584EC1" w:rsidRDefault="00584EC1">
            <w:pPr>
              <w:rPr>
                <w:rFonts w:ascii="宋体"/>
                <w:vanish/>
              </w:rPr>
            </w:pPr>
          </w:p>
        </w:tc>
        <w:tc>
          <w:tcPr>
            <w:tcW w:w="0" w:type="auto"/>
            <w:shd w:val="clear" w:color="auto" w:fill="auto"/>
            <w:vAlign w:val="bottom"/>
          </w:tcPr>
          <w:p w14:paraId="74DD93AF" w14:textId="77777777" w:rsidR="00584EC1" w:rsidRDefault="00584EC1">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93B0" w14:textId="77777777" w:rsidR="00584EC1" w:rsidRDefault="00871F8D">
            <w:pPr>
              <w:spacing w:after="20"/>
              <w:jc w:val="center"/>
              <w:textAlignment w:val="bottom"/>
            </w:pPr>
            <w:r>
              <w:rPr>
                <w:rFonts w:ascii="Arial" w:eastAsia="宋体" w:hAnsi="Arial" w:cs="Arial"/>
                <w:b/>
                <w:bCs/>
                <w:color w:val="000000"/>
                <w:sz w:val="13"/>
                <w:szCs w:val="13"/>
              </w:rPr>
              <w:t>Avg.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3B1"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93B2" w14:textId="77777777" w:rsidR="00584EC1" w:rsidRDefault="00871F8D">
            <w:pPr>
              <w:spacing w:after="20"/>
              <w:jc w:val="center"/>
              <w:textAlignment w:val="bottom"/>
            </w:pPr>
            <w:r>
              <w:rPr>
                <w:rFonts w:ascii="Arial" w:eastAsia="宋体" w:hAnsi="Arial" w:cs="Arial"/>
                <w:b/>
                <w:bCs/>
                <w:color w:val="000000"/>
                <w:sz w:val="13"/>
                <w:szCs w:val="13"/>
              </w:rPr>
              <w:t>Max.</w:t>
            </w:r>
          </w:p>
        </w:tc>
        <w:tc>
          <w:tcPr>
            <w:tcW w:w="0" w:type="auto"/>
            <w:gridSpan w:val="2"/>
            <w:tcBorders>
              <w:top w:val="single" w:sz="8" w:space="0" w:color="000000"/>
            </w:tcBorders>
            <w:shd w:val="clear" w:color="auto" w:fill="auto"/>
            <w:tcMar>
              <w:top w:w="0" w:type="dxa"/>
              <w:left w:w="20" w:type="dxa"/>
              <w:bottom w:w="0" w:type="dxa"/>
              <w:right w:w="20" w:type="dxa"/>
            </w:tcMar>
            <w:vAlign w:val="bottom"/>
          </w:tcPr>
          <w:p w14:paraId="74DD93B3" w14:textId="77777777" w:rsidR="00584EC1" w:rsidRDefault="00584EC1">
            <w:pPr>
              <w:rPr>
                <w:rFonts w:ascii="宋体"/>
              </w:rPr>
            </w:pPr>
          </w:p>
        </w:tc>
        <w:tc>
          <w:tcPr>
            <w:tcW w:w="0" w:type="auto"/>
            <w:tcBorders>
              <w:top w:val="single" w:sz="8" w:space="0" w:color="000000"/>
            </w:tcBorders>
            <w:shd w:val="clear" w:color="auto" w:fill="auto"/>
            <w:tcMar>
              <w:top w:w="40" w:type="dxa"/>
              <w:left w:w="20" w:type="dxa"/>
              <w:bottom w:w="40" w:type="dxa"/>
              <w:right w:w="20" w:type="dxa"/>
            </w:tcMar>
            <w:vAlign w:val="bottom"/>
          </w:tcPr>
          <w:p w14:paraId="74DD93B4" w14:textId="77777777" w:rsidR="00584EC1" w:rsidRDefault="00871F8D">
            <w:pPr>
              <w:spacing w:after="20"/>
              <w:jc w:val="center"/>
              <w:textAlignment w:val="bottom"/>
            </w:pPr>
            <w:r>
              <w:rPr>
                <w:rFonts w:ascii="Arial" w:eastAsia="宋体" w:hAnsi="Arial" w:cs="Arial"/>
                <w:b/>
                <w:bCs/>
                <w:color w:val="000000"/>
                <w:sz w:val="13"/>
                <w:szCs w:val="13"/>
              </w:rPr>
              <w:t>Min.</w:t>
            </w:r>
          </w:p>
          <w:p w14:paraId="74DD93B5" w14:textId="77777777" w:rsidR="00584EC1" w:rsidRDefault="00871F8D">
            <w:pPr>
              <w:spacing w:after="20"/>
              <w:jc w:val="center"/>
              <w:textAlignment w:val="bottom"/>
            </w:pPr>
            <w:r>
              <w:rPr>
                <w:rFonts w:ascii="Arial" w:eastAsia="宋体" w:hAnsi="Arial" w:cs="Arial"/>
                <w:b/>
                <w:bCs/>
                <w:color w:val="000000"/>
                <w:sz w:val="13"/>
                <w:szCs w:val="13"/>
              </w:rPr>
              <w:t>VaR</w:t>
            </w:r>
          </w:p>
          <w:p w14:paraId="74DD93B6" w14:textId="77777777" w:rsidR="00584EC1" w:rsidRDefault="00871F8D">
            <w:pPr>
              <w:spacing w:after="20"/>
              <w:jc w:val="center"/>
              <w:textAlignment w:val="bottom"/>
            </w:pPr>
            <w:r>
              <w:rPr>
                <w:rFonts w:ascii="Arial" w:eastAsia="宋体" w:hAnsi="Arial" w:cs="Arial"/>
                <w:b/>
                <w:bCs/>
                <w:color w:val="000000"/>
                <w:sz w:val="13"/>
                <w:szCs w:val="13"/>
              </w:rPr>
              <w:t>VaR</w:t>
            </w:r>
          </w:p>
          <w:p w14:paraId="74DD93B7" w14:textId="77777777" w:rsidR="00584EC1" w:rsidRDefault="00871F8D">
            <w:pPr>
              <w:spacing w:after="20"/>
              <w:jc w:val="center"/>
              <w:textAlignment w:val="bottom"/>
            </w:pPr>
            <w:r>
              <w:rPr>
                <w:rFonts w:ascii="Arial" w:eastAsia="宋体" w:hAnsi="Arial" w:cs="Arial"/>
                <w:b/>
                <w:bCs/>
                <w:color w:val="000000"/>
                <w:sz w:val="13"/>
                <w:szCs w:val="13"/>
              </w:rPr>
              <w:t>VaR</w:t>
            </w:r>
          </w:p>
        </w:tc>
      </w:tr>
      <w:tr w:rsidR="00871F8D" w14:paraId="74DD93EA" w14:textId="77777777">
        <w:tc>
          <w:tcPr>
            <w:tcW w:w="0" w:type="auto"/>
            <w:gridSpan w:val="3"/>
            <w:shd w:val="clear" w:color="auto" w:fill="CCEEFF"/>
            <w:tcMar>
              <w:top w:w="40" w:type="dxa"/>
              <w:left w:w="20" w:type="dxa"/>
              <w:bottom w:w="40" w:type="dxa"/>
              <w:right w:w="20" w:type="dxa"/>
            </w:tcMar>
            <w:vAlign w:val="bottom"/>
          </w:tcPr>
          <w:p w14:paraId="74DD93B9" w14:textId="77777777" w:rsidR="00584EC1" w:rsidRDefault="00871F8D">
            <w:pPr>
              <w:textAlignment w:val="bottom"/>
            </w:pPr>
            <w:r>
              <w:rPr>
                <w:rFonts w:ascii="Arial" w:eastAsia="宋体" w:hAnsi="Arial" w:cs="Arial"/>
                <w:color w:val="000000"/>
                <w:sz w:val="13"/>
                <w:szCs w:val="13"/>
              </w:rPr>
              <w:t>Global Markets</w:t>
            </w:r>
          </w:p>
        </w:tc>
        <w:tc>
          <w:tcPr>
            <w:tcW w:w="0" w:type="auto"/>
            <w:tcBorders>
              <w:top w:val="single" w:sz="8" w:space="0" w:color="000000"/>
            </w:tcBorders>
            <w:shd w:val="clear" w:color="auto" w:fill="CCEEFF"/>
            <w:tcMar>
              <w:top w:w="40" w:type="dxa"/>
              <w:left w:w="20" w:type="dxa"/>
              <w:bottom w:w="40" w:type="dxa"/>
              <w:right w:w="0" w:type="dxa"/>
            </w:tcMar>
            <w:vAlign w:val="bottom"/>
          </w:tcPr>
          <w:p w14:paraId="74DD93BA" w14:textId="77777777" w:rsidR="00584EC1" w:rsidRDefault="00871F8D">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93BB" w14:textId="77777777" w:rsidR="00584EC1" w:rsidRDefault="00871F8D">
            <w:pPr>
              <w:jc w:val="right"/>
              <w:textAlignment w:val="bottom"/>
            </w:pPr>
            <w:r>
              <w:rPr>
                <w:rFonts w:ascii="Arial" w:eastAsia="宋体" w:hAnsi="Arial" w:cs="Arial"/>
                <w:b/>
                <w:bCs/>
                <w:color w:val="000000"/>
                <w:sz w:val="13"/>
                <w:szCs w:val="13"/>
              </w:rPr>
              <w:t>53,508</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3B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3BD" w14:textId="77777777" w:rsidR="00584EC1" w:rsidRDefault="00584EC1">
            <w:pPr>
              <w:spacing w:after="20"/>
              <w:jc w:val="right"/>
            </w:pPr>
          </w:p>
          <w:p w14:paraId="74DD93BE" w14:textId="77777777" w:rsidR="00584EC1" w:rsidRDefault="00584EC1">
            <w:pPr>
              <w:spacing w:after="20"/>
              <w:jc w:val="right"/>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93BF" w14:textId="77777777" w:rsidR="00584EC1" w:rsidRDefault="00871F8D">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93C0" w14:textId="77777777" w:rsidR="00584EC1" w:rsidRDefault="00871F8D">
            <w:pPr>
              <w:jc w:val="right"/>
              <w:textAlignment w:val="bottom"/>
            </w:pPr>
            <w:r>
              <w:rPr>
                <w:rFonts w:ascii="Arial" w:eastAsia="宋体" w:hAnsi="Arial" w:cs="Arial"/>
                <w:b/>
                <w:bCs/>
                <w:color w:val="000000"/>
                <w:sz w:val="13"/>
                <w:szCs w:val="13"/>
              </w:rPr>
              <w:t>101,535</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3C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3C2" w14:textId="77777777" w:rsidR="00584EC1" w:rsidRDefault="00584EC1">
            <w:pPr>
              <w:spacing w:after="20"/>
              <w:jc w:val="right"/>
            </w:pPr>
          </w:p>
          <w:p w14:paraId="74DD93C3" w14:textId="77777777" w:rsidR="00584EC1" w:rsidRDefault="00584EC1">
            <w:pPr>
              <w:spacing w:after="20"/>
              <w:jc w:val="right"/>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93C4" w14:textId="77777777" w:rsidR="00584EC1" w:rsidRDefault="00871F8D">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93C5" w14:textId="77777777" w:rsidR="00584EC1" w:rsidRDefault="00871F8D">
            <w:pPr>
              <w:jc w:val="right"/>
              <w:textAlignment w:val="bottom"/>
            </w:pPr>
            <w:r>
              <w:rPr>
                <w:rFonts w:ascii="Arial" w:eastAsia="宋体" w:hAnsi="Arial" w:cs="Arial"/>
                <w:b/>
                <w:bCs/>
                <w:color w:val="000000"/>
                <w:sz w:val="13"/>
                <w:szCs w:val="13"/>
              </w:rPr>
              <w:t>26,874</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3C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3C7" w14:textId="77777777" w:rsidR="00584EC1" w:rsidRDefault="00584EC1">
            <w:pPr>
              <w:rPr>
                <w:rFonts w:ascii="宋体"/>
              </w:rPr>
            </w:pPr>
          </w:p>
        </w:tc>
        <w:tc>
          <w:tcPr>
            <w:tcW w:w="0" w:type="auto"/>
            <w:shd w:val="clear" w:color="auto" w:fill="auto"/>
            <w:vAlign w:val="bottom"/>
          </w:tcPr>
          <w:p w14:paraId="74DD93C8" w14:textId="77777777" w:rsidR="00584EC1" w:rsidRDefault="00584EC1">
            <w:pPr>
              <w:rPr>
                <w:rFonts w:ascii="宋体"/>
                <w:vanish/>
              </w:rPr>
            </w:pPr>
          </w:p>
        </w:tc>
        <w:tc>
          <w:tcPr>
            <w:tcW w:w="0" w:type="auto"/>
            <w:shd w:val="clear" w:color="auto" w:fill="auto"/>
            <w:vAlign w:val="bottom"/>
          </w:tcPr>
          <w:p w14:paraId="74DD93C9" w14:textId="77777777" w:rsidR="00584EC1" w:rsidRDefault="00584EC1">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93CA" w14:textId="77777777" w:rsidR="00584EC1" w:rsidRDefault="00871F8D">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93CB" w14:textId="77777777" w:rsidR="00584EC1" w:rsidRDefault="00871F8D">
            <w:pPr>
              <w:jc w:val="right"/>
              <w:textAlignment w:val="bottom"/>
            </w:pPr>
            <w:r>
              <w:rPr>
                <w:rFonts w:ascii="Arial" w:eastAsia="宋体" w:hAnsi="Arial" w:cs="Arial"/>
                <w:color w:val="000000"/>
                <w:sz w:val="13"/>
                <w:szCs w:val="13"/>
              </w:rPr>
              <w:t>36,478 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3C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3CD" w14:textId="77777777" w:rsidR="00584EC1" w:rsidRDefault="00584EC1">
            <w:pPr>
              <w:spacing w:after="20"/>
              <w:jc w:val="right"/>
            </w:pPr>
          </w:p>
          <w:p w14:paraId="74DD93CE" w14:textId="77777777" w:rsidR="00584EC1" w:rsidRDefault="00584EC1">
            <w:pPr>
              <w:spacing w:after="20"/>
              <w:jc w:val="right"/>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93CF" w14:textId="77777777" w:rsidR="00584EC1" w:rsidRDefault="00871F8D">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93D0" w14:textId="77777777" w:rsidR="00584EC1" w:rsidRDefault="00871F8D">
            <w:pPr>
              <w:jc w:val="right"/>
              <w:textAlignment w:val="bottom"/>
            </w:pPr>
            <w:r>
              <w:rPr>
                <w:rFonts w:ascii="Arial" w:eastAsia="宋体" w:hAnsi="Arial" w:cs="Arial"/>
                <w:color w:val="000000"/>
                <w:sz w:val="13"/>
                <w:szCs w:val="13"/>
              </w:rPr>
              <w:t>74,475 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3D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3D2" w14:textId="77777777" w:rsidR="00584EC1" w:rsidRDefault="00584EC1">
            <w:pPr>
              <w:spacing w:after="20"/>
              <w:jc w:val="right"/>
            </w:pPr>
          </w:p>
          <w:p w14:paraId="74DD93D3" w14:textId="77777777" w:rsidR="00584EC1" w:rsidRDefault="00584EC1">
            <w:pPr>
              <w:spacing w:after="20"/>
              <w:jc w:val="right"/>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93D4" w14:textId="77777777" w:rsidR="00584EC1" w:rsidRDefault="00871F8D">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93D5" w14:textId="77777777" w:rsidR="00584EC1" w:rsidRDefault="00871F8D">
            <w:pPr>
              <w:jc w:val="right"/>
              <w:textAlignment w:val="bottom"/>
            </w:pPr>
            <w:r>
              <w:rPr>
                <w:rFonts w:ascii="Arial" w:eastAsia="宋体" w:hAnsi="Arial" w:cs="Arial"/>
                <w:color w:val="000000"/>
                <w:sz w:val="13"/>
                <w:szCs w:val="13"/>
              </w:rPr>
              <w:t>13,037 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3D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3D7" w14:textId="77777777" w:rsidR="00584EC1" w:rsidRDefault="00584EC1">
            <w:pPr>
              <w:rPr>
                <w:rFonts w:ascii="宋体"/>
              </w:rPr>
            </w:pPr>
          </w:p>
        </w:tc>
        <w:tc>
          <w:tcPr>
            <w:tcW w:w="0" w:type="auto"/>
            <w:shd w:val="clear" w:color="auto" w:fill="auto"/>
            <w:vAlign w:val="bottom"/>
          </w:tcPr>
          <w:p w14:paraId="74DD93D8" w14:textId="77777777" w:rsidR="00584EC1" w:rsidRDefault="00584EC1">
            <w:pPr>
              <w:rPr>
                <w:rFonts w:ascii="宋体"/>
                <w:vanish/>
              </w:rPr>
            </w:pPr>
          </w:p>
        </w:tc>
        <w:tc>
          <w:tcPr>
            <w:tcW w:w="0" w:type="auto"/>
            <w:shd w:val="clear" w:color="auto" w:fill="auto"/>
            <w:vAlign w:val="bottom"/>
          </w:tcPr>
          <w:p w14:paraId="74DD93D9" w14:textId="77777777" w:rsidR="00584EC1" w:rsidRDefault="00584EC1">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93DA" w14:textId="77777777" w:rsidR="00584EC1" w:rsidRDefault="00871F8D">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93DB" w14:textId="77777777" w:rsidR="00584EC1" w:rsidRDefault="00871F8D">
            <w:pPr>
              <w:jc w:val="right"/>
              <w:textAlignment w:val="bottom"/>
            </w:pPr>
            <w:r>
              <w:rPr>
                <w:rFonts w:ascii="Arial" w:eastAsia="宋体" w:hAnsi="Arial" w:cs="Arial"/>
                <w:color w:val="000000"/>
                <w:sz w:val="13"/>
                <w:szCs w:val="13"/>
              </w:rPr>
              <w:t>32,974 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3D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3DD"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93DE" w14:textId="77777777" w:rsidR="00584EC1" w:rsidRDefault="00871F8D">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93DF" w14:textId="77777777" w:rsidR="00584EC1" w:rsidRDefault="00871F8D">
            <w:pPr>
              <w:jc w:val="right"/>
              <w:textAlignment w:val="bottom"/>
            </w:pPr>
            <w:r>
              <w:rPr>
                <w:rFonts w:ascii="Arial" w:eastAsia="宋体" w:hAnsi="Arial" w:cs="Arial"/>
                <w:color w:val="000000"/>
                <w:sz w:val="13"/>
                <w:szCs w:val="13"/>
              </w:rPr>
              <w:t>84,755 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3E0" w14:textId="77777777" w:rsidR="00584EC1" w:rsidRDefault="00584EC1">
            <w:pPr>
              <w:jc w:val="right"/>
              <w:rPr>
                <w:rFonts w:ascii="宋体"/>
              </w:rPr>
            </w:pPr>
          </w:p>
        </w:tc>
        <w:tc>
          <w:tcPr>
            <w:tcW w:w="0" w:type="auto"/>
            <w:gridSpan w:val="2"/>
            <w:shd w:val="clear" w:color="auto" w:fill="CCEEFF"/>
            <w:tcMar>
              <w:top w:w="0" w:type="dxa"/>
              <w:left w:w="20" w:type="dxa"/>
              <w:bottom w:w="0" w:type="dxa"/>
              <w:right w:w="20" w:type="dxa"/>
            </w:tcMar>
            <w:vAlign w:val="bottom"/>
          </w:tcPr>
          <w:p w14:paraId="74DD93E1"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93E2" w14:textId="77777777" w:rsidR="00584EC1" w:rsidRDefault="00871F8D">
            <w:pPr>
              <w:textAlignment w:val="bottom"/>
            </w:pPr>
            <w:r>
              <w:rPr>
                <w:rFonts w:ascii="Arial" w:eastAsia="宋体" w:hAnsi="Arial" w:cs="Arial"/>
                <w:color w:val="000000"/>
                <w:sz w:val="13"/>
                <w:szCs w:val="13"/>
              </w:rPr>
              <w:t>$</w:t>
            </w:r>
          </w:p>
          <w:p w14:paraId="74DD93E3" w14:textId="77777777" w:rsidR="00584EC1" w:rsidRDefault="00871F8D">
            <w:pPr>
              <w:jc w:val="right"/>
              <w:textAlignment w:val="bottom"/>
            </w:pPr>
            <w:r>
              <w:rPr>
                <w:rFonts w:ascii="Arial" w:eastAsia="宋体" w:hAnsi="Arial" w:cs="Arial"/>
                <w:color w:val="000000"/>
                <w:sz w:val="13"/>
                <w:szCs w:val="13"/>
              </w:rPr>
              <w:t>17,472 </w:t>
            </w:r>
          </w:p>
          <w:p w14:paraId="74DD93E4" w14:textId="77777777" w:rsidR="00584EC1" w:rsidRDefault="00871F8D">
            <w:pPr>
              <w:textAlignment w:val="bottom"/>
            </w:pPr>
            <w:r>
              <w:rPr>
                <w:rFonts w:ascii="Arial" w:eastAsia="宋体" w:hAnsi="Arial" w:cs="Arial"/>
                <w:b/>
                <w:bCs/>
                <w:color w:val="000000"/>
                <w:sz w:val="13"/>
                <w:szCs w:val="13"/>
              </w:rPr>
              <w:t>$</w:t>
            </w:r>
          </w:p>
          <w:p w14:paraId="74DD93E5" w14:textId="77777777" w:rsidR="00584EC1" w:rsidRDefault="00871F8D">
            <w:pPr>
              <w:jc w:val="right"/>
              <w:textAlignment w:val="bottom"/>
            </w:pPr>
            <w:r>
              <w:rPr>
                <w:rFonts w:ascii="Arial" w:eastAsia="宋体" w:hAnsi="Arial" w:cs="Arial"/>
                <w:b/>
                <w:bCs/>
                <w:color w:val="000000"/>
                <w:sz w:val="13"/>
                <w:szCs w:val="13"/>
              </w:rPr>
              <w:t>45,720</w:t>
            </w:r>
            <w:r>
              <w:rPr>
                <w:rFonts w:ascii="Arial" w:eastAsia="宋体" w:hAnsi="Arial" w:cs="Arial"/>
                <w:color w:val="000000"/>
                <w:sz w:val="13"/>
                <w:szCs w:val="13"/>
              </w:rPr>
              <w:t> </w:t>
            </w:r>
          </w:p>
          <w:p w14:paraId="74DD93E6" w14:textId="77777777" w:rsidR="00584EC1" w:rsidRDefault="00871F8D">
            <w:pPr>
              <w:textAlignment w:val="bottom"/>
            </w:pPr>
            <w:r>
              <w:rPr>
                <w:rFonts w:ascii="Arial" w:eastAsia="宋体" w:hAnsi="Arial" w:cs="Arial"/>
                <w:color w:val="000000"/>
                <w:sz w:val="13"/>
                <w:szCs w:val="13"/>
              </w:rPr>
              <w:t>$</w:t>
            </w:r>
          </w:p>
          <w:p w14:paraId="74DD93E7" w14:textId="77777777" w:rsidR="00584EC1" w:rsidRDefault="00871F8D">
            <w:pPr>
              <w:jc w:val="right"/>
              <w:textAlignment w:val="bottom"/>
            </w:pPr>
            <w:r>
              <w:rPr>
                <w:rFonts w:ascii="Arial" w:eastAsia="宋体" w:hAnsi="Arial" w:cs="Arial"/>
                <w:color w:val="000000"/>
                <w:sz w:val="13"/>
                <w:szCs w:val="13"/>
              </w:rPr>
              <w:t>56,998 </w:t>
            </w:r>
          </w:p>
          <w:p w14:paraId="74DD93E8" w14:textId="77777777" w:rsidR="00584EC1" w:rsidRDefault="00871F8D">
            <w:pPr>
              <w:textAlignment w:val="bottom"/>
            </w:pPr>
            <w:r>
              <w:rPr>
                <w:rFonts w:ascii="Arial" w:eastAsia="宋体" w:hAnsi="Arial" w:cs="Arial"/>
                <w:color w:val="000000"/>
                <w:sz w:val="13"/>
                <w:szCs w:val="13"/>
              </w:rPr>
              <w:t>$</w:t>
            </w:r>
          </w:p>
          <w:p w14:paraId="74DD93E9" w14:textId="77777777" w:rsidR="00584EC1" w:rsidRDefault="00871F8D">
            <w:pPr>
              <w:jc w:val="right"/>
              <w:textAlignment w:val="bottom"/>
            </w:pPr>
            <w:r>
              <w:rPr>
                <w:rFonts w:ascii="Arial" w:eastAsia="宋体" w:hAnsi="Arial" w:cs="Arial"/>
                <w:color w:val="000000"/>
                <w:sz w:val="13"/>
                <w:szCs w:val="13"/>
              </w:rPr>
              <w:t>39,714 </w:t>
            </w:r>
          </w:p>
        </w:tc>
      </w:tr>
      <w:tr w:rsidR="00584EC1" w14:paraId="74DD9410" w14:textId="77777777">
        <w:tc>
          <w:tcPr>
            <w:tcW w:w="0" w:type="auto"/>
            <w:gridSpan w:val="3"/>
            <w:shd w:val="clear" w:color="auto" w:fill="FFFFFF"/>
            <w:tcMar>
              <w:top w:w="40" w:type="dxa"/>
              <w:left w:w="20" w:type="dxa"/>
              <w:bottom w:w="40" w:type="dxa"/>
              <w:right w:w="20" w:type="dxa"/>
            </w:tcMar>
            <w:vAlign w:val="bottom"/>
          </w:tcPr>
          <w:p w14:paraId="74DD93EB" w14:textId="77777777" w:rsidR="00584EC1" w:rsidRDefault="00871F8D">
            <w:pPr>
              <w:textAlignment w:val="bottom"/>
            </w:pPr>
            <w:r>
              <w:rPr>
                <w:rFonts w:ascii="Arial" w:eastAsia="宋体" w:hAnsi="Arial" w:cs="Arial"/>
                <w:color w:val="000000"/>
                <w:sz w:val="13"/>
                <w:szCs w:val="13"/>
              </w:rPr>
              <w:t>Global Treasury</w:t>
            </w:r>
          </w:p>
        </w:tc>
        <w:tc>
          <w:tcPr>
            <w:tcW w:w="0" w:type="auto"/>
            <w:gridSpan w:val="2"/>
            <w:shd w:val="clear" w:color="auto" w:fill="FFFFFF"/>
            <w:tcMar>
              <w:top w:w="40" w:type="dxa"/>
              <w:left w:w="20" w:type="dxa"/>
              <w:bottom w:w="40" w:type="dxa"/>
              <w:right w:w="0" w:type="dxa"/>
            </w:tcMar>
            <w:vAlign w:val="bottom"/>
          </w:tcPr>
          <w:p w14:paraId="74DD93EC" w14:textId="77777777" w:rsidR="00584EC1" w:rsidRDefault="00871F8D">
            <w:pPr>
              <w:jc w:val="right"/>
              <w:textAlignment w:val="bottom"/>
            </w:pPr>
            <w:r>
              <w:rPr>
                <w:rFonts w:ascii="Arial" w:eastAsia="宋体" w:hAnsi="Arial" w:cs="Arial"/>
                <w:b/>
                <w:bCs/>
                <w:color w:val="000000"/>
                <w:sz w:val="13"/>
                <w:szCs w:val="13"/>
              </w:rPr>
              <w:t>4,053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93E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3EE" w14:textId="77777777" w:rsidR="00584EC1" w:rsidRDefault="00584EC1">
            <w:pPr>
              <w:spacing w:after="20"/>
              <w:jc w:val="right"/>
            </w:pPr>
          </w:p>
          <w:p w14:paraId="74DD93EF" w14:textId="77777777" w:rsidR="00584EC1" w:rsidRDefault="00584EC1">
            <w:pPr>
              <w:spacing w:after="20"/>
              <w:jc w:val="right"/>
            </w:pPr>
          </w:p>
        </w:tc>
        <w:tc>
          <w:tcPr>
            <w:tcW w:w="0" w:type="auto"/>
            <w:gridSpan w:val="2"/>
            <w:shd w:val="clear" w:color="auto" w:fill="FFFFFF"/>
            <w:tcMar>
              <w:top w:w="40" w:type="dxa"/>
              <w:left w:w="20" w:type="dxa"/>
              <w:bottom w:w="40" w:type="dxa"/>
              <w:right w:w="0" w:type="dxa"/>
            </w:tcMar>
            <w:vAlign w:val="bottom"/>
          </w:tcPr>
          <w:p w14:paraId="74DD93F0" w14:textId="77777777" w:rsidR="00584EC1" w:rsidRDefault="00871F8D">
            <w:pPr>
              <w:jc w:val="right"/>
              <w:textAlignment w:val="bottom"/>
            </w:pPr>
            <w:r>
              <w:rPr>
                <w:rFonts w:ascii="Arial" w:eastAsia="宋体" w:hAnsi="Arial" w:cs="Arial"/>
                <w:b/>
                <w:bCs/>
                <w:color w:val="000000"/>
                <w:sz w:val="13"/>
                <w:szCs w:val="13"/>
              </w:rPr>
              <w:t>15,424</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93F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3F2" w14:textId="77777777" w:rsidR="00584EC1" w:rsidRDefault="00584EC1">
            <w:pPr>
              <w:spacing w:after="20"/>
              <w:jc w:val="right"/>
            </w:pPr>
          </w:p>
          <w:p w14:paraId="74DD93F3" w14:textId="77777777" w:rsidR="00584EC1" w:rsidRDefault="00584EC1">
            <w:pPr>
              <w:spacing w:after="20"/>
              <w:jc w:val="right"/>
            </w:pPr>
          </w:p>
        </w:tc>
        <w:tc>
          <w:tcPr>
            <w:tcW w:w="0" w:type="auto"/>
            <w:gridSpan w:val="2"/>
            <w:shd w:val="clear" w:color="auto" w:fill="FFFFFF"/>
            <w:tcMar>
              <w:top w:w="40" w:type="dxa"/>
              <w:left w:w="20" w:type="dxa"/>
              <w:bottom w:w="40" w:type="dxa"/>
              <w:right w:w="0" w:type="dxa"/>
            </w:tcMar>
            <w:vAlign w:val="bottom"/>
          </w:tcPr>
          <w:p w14:paraId="74DD93F4" w14:textId="77777777" w:rsidR="00584EC1" w:rsidRDefault="00871F8D">
            <w:pPr>
              <w:jc w:val="right"/>
              <w:textAlignment w:val="bottom"/>
            </w:pPr>
            <w:r>
              <w:rPr>
                <w:rFonts w:ascii="Arial" w:eastAsia="宋体" w:hAnsi="Arial" w:cs="Arial"/>
                <w:b/>
                <w:bCs/>
                <w:color w:val="000000"/>
                <w:sz w:val="13"/>
                <w:szCs w:val="13"/>
              </w:rPr>
              <w:t>1,229</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93F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3F6" w14:textId="77777777" w:rsidR="00584EC1" w:rsidRDefault="00584EC1">
            <w:pPr>
              <w:rPr>
                <w:rFonts w:ascii="宋体"/>
              </w:rPr>
            </w:pPr>
          </w:p>
        </w:tc>
        <w:tc>
          <w:tcPr>
            <w:tcW w:w="0" w:type="auto"/>
            <w:shd w:val="clear" w:color="auto" w:fill="auto"/>
            <w:vAlign w:val="bottom"/>
          </w:tcPr>
          <w:p w14:paraId="74DD93F7" w14:textId="77777777" w:rsidR="00584EC1" w:rsidRDefault="00584EC1">
            <w:pPr>
              <w:rPr>
                <w:rFonts w:ascii="宋体"/>
                <w:vanish/>
              </w:rPr>
            </w:pPr>
          </w:p>
        </w:tc>
        <w:tc>
          <w:tcPr>
            <w:tcW w:w="0" w:type="auto"/>
            <w:shd w:val="clear" w:color="auto" w:fill="auto"/>
            <w:vAlign w:val="bottom"/>
          </w:tcPr>
          <w:p w14:paraId="74DD93F8"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D93F9" w14:textId="77777777" w:rsidR="00584EC1" w:rsidRDefault="00871F8D">
            <w:pPr>
              <w:jc w:val="right"/>
              <w:textAlignment w:val="bottom"/>
            </w:pPr>
            <w:r>
              <w:rPr>
                <w:rFonts w:ascii="Arial" w:eastAsia="宋体" w:hAnsi="Arial" w:cs="Arial"/>
                <w:color w:val="000000"/>
                <w:sz w:val="13"/>
                <w:szCs w:val="13"/>
              </w:rPr>
              <w:t>12,644 </w:t>
            </w:r>
          </w:p>
        </w:tc>
        <w:tc>
          <w:tcPr>
            <w:tcW w:w="0" w:type="auto"/>
            <w:shd w:val="clear" w:color="auto" w:fill="FFFFFF"/>
            <w:tcMar>
              <w:top w:w="40" w:type="dxa"/>
              <w:left w:w="0" w:type="dxa"/>
              <w:bottom w:w="40" w:type="dxa"/>
              <w:right w:w="20" w:type="dxa"/>
            </w:tcMar>
            <w:vAlign w:val="bottom"/>
          </w:tcPr>
          <w:p w14:paraId="74DD93F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3FB" w14:textId="77777777" w:rsidR="00584EC1" w:rsidRDefault="00584EC1">
            <w:pPr>
              <w:spacing w:after="20"/>
              <w:jc w:val="right"/>
            </w:pPr>
          </w:p>
          <w:p w14:paraId="74DD93FC" w14:textId="77777777" w:rsidR="00584EC1" w:rsidRDefault="00584EC1">
            <w:pPr>
              <w:spacing w:after="20"/>
              <w:jc w:val="right"/>
            </w:pPr>
          </w:p>
        </w:tc>
        <w:tc>
          <w:tcPr>
            <w:tcW w:w="0" w:type="auto"/>
            <w:gridSpan w:val="2"/>
            <w:shd w:val="clear" w:color="auto" w:fill="FFFFFF"/>
            <w:tcMar>
              <w:top w:w="40" w:type="dxa"/>
              <w:left w:w="20" w:type="dxa"/>
              <w:bottom w:w="40" w:type="dxa"/>
              <w:right w:w="0" w:type="dxa"/>
            </w:tcMar>
            <w:vAlign w:val="bottom"/>
          </w:tcPr>
          <w:p w14:paraId="74DD93FD" w14:textId="77777777" w:rsidR="00584EC1" w:rsidRDefault="00871F8D">
            <w:pPr>
              <w:jc w:val="right"/>
              <w:textAlignment w:val="bottom"/>
            </w:pPr>
            <w:r>
              <w:rPr>
                <w:rFonts w:ascii="Arial" w:eastAsia="宋体" w:hAnsi="Arial" w:cs="Arial"/>
                <w:color w:val="000000"/>
                <w:sz w:val="13"/>
                <w:szCs w:val="13"/>
              </w:rPr>
              <w:t>29,651 </w:t>
            </w:r>
          </w:p>
        </w:tc>
        <w:tc>
          <w:tcPr>
            <w:tcW w:w="0" w:type="auto"/>
            <w:shd w:val="clear" w:color="auto" w:fill="FFFFFF"/>
            <w:tcMar>
              <w:top w:w="40" w:type="dxa"/>
              <w:left w:w="0" w:type="dxa"/>
              <w:bottom w:w="40" w:type="dxa"/>
              <w:right w:w="20" w:type="dxa"/>
            </w:tcMar>
            <w:vAlign w:val="bottom"/>
          </w:tcPr>
          <w:p w14:paraId="74DD93F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3FF" w14:textId="77777777" w:rsidR="00584EC1" w:rsidRDefault="00584EC1">
            <w:pPr>
              <w:spacing w:after="20"/>
              <w:jc w:val="right"/>
            </w:pPr>
          </w:p>
          <w:p w14:paraId="74DD9400" w14:textId="77777777" w:rsidR="00584EC1" w:rsidRDefault="00584EC1">
            <w:pPr>
              <w:spacing w:after="20"/>
              <w:jc w:val="right"/>
            </w:pPr>
          </w:p>
        </w:tc>
        <w:tc>
          <w:tcPr>
            <w:tcW w:w="0" w:type="auto"/>
            <w:gridSpan w:val="2"/>
            <w:shd w:val="clear" w:color="auto" w:fill="FFFFFF"/>
            <w:tcMar>
              <w:top w:w="40" w:type="dxa"/>
              <w:left w:w="20" w:type="dxa"/>
              <w:bottom w:w="40" w:type="dxa"/>
              <w:right w:w="0" w:type="dxa"/>
            </w:tcMar>
            <w:vAlign w:val="bottom"/>
          </w:tcPr>
          <w:p w14:paraId="74DD9401" w14:textId="77777777" w:rsidR="00584EC1" w:rsidRDefault="00871F8D">
            <w:pPr>
              <w:jc w:val="right"/>
              <w:textAlignment w:val="bottom"/>
            </w:pPr>
            <w:r>
              <w:rPr>
                <w:rFonts w:ascii="Arial" w:eastAsia="宋体" w:hAnsi="Arial" w:cs="Arial"/>
                <w:color w:val="000000"/>
                <w:sz w:val="13"/>
                <w:szCs w:val="13"/>
              </w:rPr>
              <w:t>2,042 </w:t>
            </w:r>
          </w:p>
        </w:tc>
        <w:tc>
          <w:tcPr>
            <w:tcW w:w="0" w:type="auto"/>
            <w:shd w:val="clear" w:color="auto" w:fill="FFFFFF"/>
            <w:tcMar>
              <w:top w:w="40" w:type="dxa"/>
              <w:left w:w="0" w:type="dxa"/>
              <w:bottom w:w="40" w:type="dxa"/>
              <w:right w:w="20" w:type="dxa"/>
            </w:tcMar>
            <w:vAlign w:val="bottom"/>
          </w:tcPr>
          <w:p w14:paraId="74DD940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403" w14:textId="77777777" w:rsidR="00584EC1" w:rsidRDefault="00584EC1">
            <w:pPr>
              <w:rPr>
                <w:rFonts w:ascii="宋体"/>
              </w:rPr>
            </w:pPr>
          </w:p>
        </w:tc>
        <w:tc>
          <w:tcPr>
            <w:tcW w:w="0" w:type="auto"/>
            <w:shd w:val="clear" w:color="auto" w:fill="auto"/>
            <w:vAlign w:val="bottom"/>
          </w:tcPr>
          <w:p w14:paraId="74DD9404" w14:textId="77777777" w:rsidR="00584EC1" w:rsidRDefault="00584EC1">
            <w:pPr>
              <w:rPr>
                <w:rFonts w:ascii="宋体"/>
                <w:vanish/>
              </w:rPr>
            </w:pPr>
          </w:p>
        </w:tc>
        <w:tc>
          <w:tcPr>
            <w:tcW w:w="0" w:type="auto"/>
            <w:shd w:val="clear" w:color="auto" w:fill="auto"/>
            <w:vAlign w:val="bottom"/>
          </w:tcPr>
          <w:p w14:paraId="74DD9405"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D9406" w14:textId="77777777" w:rsidR="00584EC1" w:rsidRDefault="00871F8D">
            <w:pPr>
              <w:jc w:val="right"/>
              <w:textAlignment w:val="bottom"/>
            </w:pPr>
            <w:r>
              <w:rPr>
                <w:rFonts w:ascii="Arial" w:eastAsia="宋体" w:hAnsi="Arial" w:cs="Arial"/>
                <w:color w:val="000000"/>
                <w:sz w:val="13"/>
                <w:szCs w:val="13"/>
              </w:rPr>
              <w:t>9,075 </w:t>
            </w:r>
          </w:p>
        </w:tc>
        <w:tc>
          <w:tcPr>
            <w:tcW w:w="0" w:type="auto"/>
            <w:shd w:val="clear" w:color="auto" w:fill="FFFFFF"/>
            <w:tcMar>
              <w:top w:w="40" w:type="dxa"/>
              <w:left w:w="0" w:type="dxa"/>
              <w:bottom w:w="40" w:type="dxa"/>
              <w:right w:w="20" w:type="dxa"/>
            </w:tcMar>
            <w:vAlign w:val="bottom"/>
          </w:tcPr>
          <w:p w14:paraId="74DD940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408"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409" w14:textId="77777777" w:rsidR="00584EC1" w:rsidRDefault="00871F8D">
            <w:pPr>
              <w:jc w:val="right"/>
              <w:textAlignment w:val="bottom"/>
            </w:pPr>
            <w:r>
              <w:rPr>
                <w:rFonts w:ascii="Arial" w:eastAsia="宋体" w:hAnsi="Arial" w:cs="Arial"/>
                <w:color w:val="000000"/>
                <w:sz w:val="13"/>
                <w:szCs w:val="13"/>
              </w:rPr>
              <w:t>23,153 </w:t>
            </w:r>
          </w:p>
        </w:tc>
        <w:tc>
          <w:tcPr>
            <w:tcW w:w="0" w:type="auto"/>
            <w:shd w:val="clear" w:color="auto" w:fill="FFFFFF"/>
            <w:tcMar>
              <w:top w:w="40" w:type="dxa"/>
              <w:left w:w="0" w:type="dxa"/>
              <w:bottom w:w="40" w:type="dxa"/>
              <w:right w:w="20" w:type="dxa"/>
            </w:tcMar>
            <w:vAlign w:val="bottom"/>
          </w:tcPr>
          <w:p w14:paraId="74DD940A" w14:textId="77777777" w:rsidR="00584EC1" w:rsidRDefault="00584EC1">
            <w:pPr>
              <w:jc w:val="right"/>
              <w:rPr>
                <w:rFonts w:ascii="宋体"/>
              </w:rPr>
            </w:pPr>
          </w:p>
        </w:tc>
        <w:tc>
          <w:tcPr>
            <w:tcW w:w="0" w:type="auto"/>
            <w:gridSpan w:val="2"/>
            <w:shd w:val="clear" w:color="auto" w:fill="FFFFFF"/>
            <w:tcMar>
              <w:top w:w="0" w:type="dxa"/>
              <w:left w:w="20" w:type="dxa"/>
              <w:bottom w:w="0" w:type="dxa"/>
              <w:right w:w="20" w:type="dxa"/>
            </w:tcMar>
            <w:vAlign w:val="bottom"/>
          </w:tcPr>
          <w:p w14:paraId="74DD940B" w14:textId="77777777" w:rsidR="00584EC1" w:rsidRDefault="00584EC1">
            <w:pPr>
              <w:rPr>
                <w:rFonts w:ascii="宋体"/>
              </w:rPr>
            </w:pPr>
          </w:p>
        </w:tc>
        <w:tc>
          <w:tcPr>
            <w:tcW w:w="0" w:type="auto"/>
            <w:shd w:val="clear" w:color="auto" w:fill="FFFFFF"/>
            <w:tcMar>
              <w:top w:w="40" w:type="dxa"/>
              <w:left w:w="20" w:type="dxa"/>
              <w:bottom w:w="40" w:type="dxa"/>
              <w:right w:w="0" w:type="dxa"/>
            </w:tcMar>
            <w:vAlign w:val="bottom"/>
          </w:tcPr>
          <w:p w14:paraId="74DD940C" w14:textId="77777777" w:rsidR="00584EC1" w:rsidRDefault="00871F8D">
            <w:pPr>
              <w:jc w:val="right"/>
              <w:textAlignment w:val="bottom"/>
            </w:pPr>
            <w:r>
              <w:rPr>
                <w:rFonts w:ascii="Arial" w:eastAsia="宋体" w:hAnsi="Arial" w:cs="Arial"/>
                <w:color w:val="000000"/>
                <w:sz w:val="13"/>
                <w:szCs w:val="13"/>
              </w:rPr>
              <w:t>1,725 </w:t>
            </w:r>
          </w:p>
          <w:p w14:paraId="74DD940D" w14:textId="77777777" w:rsidR="00584EC1" w:rsidRDefault="00871F8D">
            <w:pPr>
              <w:jc w:val="right"/>
              <w:textAlignment w:val="bottom"/>
            </w:pPr>
            <w:r>
              <w:rPr>
                <w:rFonts w:ascii="Arial" w:eastAsia="宋体" w:hAnsi="Arial" w:cs="Arial"/>
                <w:b/>
                <w:bCs/>
                <w:color w:val="000000"/>
                <w:sz w:val="13"/>
                <w:szCs w:val="13"/>
              </w:rPr>
              <w:t>6,230</w:t>
            </w:r>
            <w:r>
              <w:rPr>
                <w:rFonts w:ascii="Arial" w:eastAsia="宋体" w:hAnsi="Arial" w:cs="Arial"/>
                <w:color w:val="000000"/>
                <w:sz w:val="13"/>
                <w:szCs w:val="13"/>
              </w:rPr>
              <w:t> </w:t>
            </w:r>
          </w:p>
          <w:p w14:paraId="74DD940E" w14:textId="77777777" w:rsidR="00584EC1" w:rsidRDefault="00871F8D">
            <w:pPr>
              <w:jc w:val="right"/>
              <w:textAlignment w:val="bottom"/>
            </w:pPr>
            <w:r>
              <w:rPr>
                <w:rFonts w:ascii="Arial" w:eastAsia="宋体" w:hAnsi="Arial" w:cs="Arial"/>
                <w:color w:val="000000"/>
                <w:sz w:val="13"/>
                <w:szCs w:val="13"/>
              </w:rPr>
              <w:t>6,462 </w:t>
            </w:r>
          </w:p>
          <w:p w14:paraId="74DD940F" w14:textId="77777777" w:rsidR="00584EC1" w:rsidRDefault="00871F8D">
            <w:pPr>
              <w:jc w:val="right"/>
              <w:textAlignment w:val="bottom"/>
            </w:pPr>
            <w:r>
              <w:rPr>
                <w:rFonts w:ascii="Arial" w:eastAsia="宋体" w:hAnsi="Arial" w:cs="Arial"/>
                <w:color w:val="000000"/>
                <w:sz w:val="13"/>
                <w:szCs w:val="13"/>
              </w:rPr>
              <w:t>5,594 </w:t>
            </w:r>
          </w:p>
        </w:tc>
      </w:tr>
      <w:tr w:rsidR="00584EC1" w14:paraId="74DD9434" w14:textId="77777777">
        <w:tc>
          <w:tcPr>
            <w:tcW w:w="0" w:type="auto"/>
            <w:gridSpan w:val="3"/>
            <w:shd w:val="clear" w:color="auto" w:fill="CCEEFF"/>
            <w:tcMar>
              <w:top w:w="40" w:type="dxa"/>
              <w:left w:w="20" w:type="dxa"/>
              <w:bottom w:w="40" w:type="dxa"/>
              <w:right w:w="20" w:type="dxa"/>
            </w:tcMar>
            <w:vAlign w:val="bottom"/>
          </w:tcPr>
          <w:p w14:paraId="74DD9411" w14:textId="77777777" w:rsidR="00584EC1" w:rsidRDefault="00871F8D">
            <w:pPr>
              <w:textAlignment w:val="bottom"/>
            </w:pPr>
            <w:r>
              <w:rPr>
                <w:rFonts w:ascii="Arial" w:eastAsia="宋体" w:hAnsi="Arial" w:cs="Arial"/>
                <w:color w:val="000000"/>
                <w:sz w:val="13"/>
                <w:szCs w:val="13"/>
              </w:rPr>
              <w:t>Diversification</w:t>
            </w:r>
          </w:p>
        </w:tc>
        <w:tc>
          <w:tcPr>
            <w:tcW w:w="0" w:type="auto"/>
            <w:gridSpan w:val="2"/>
            <w:shd w:val="clear" w:color="auto" w:fill="CCEEFF"/>
            <w:tcMar>
              <w:top w:w="40" w:type="dxa"/>
              <w:left w:w="20" w:type="dxa"/>
              <w:bottom w:w="40" w:type="dxa"/>
              <w:right w:w="0" w:type="dxa"/>
            </w:tcMar>
            <w:vAlign w:val="bottom"/>
          </w:tcPr>
          <w:p w14:paraId="74DD9412" w14:textId="77777777" w:rsidR="00584EC1" w:rsidRDefault="00871F8D">
            <w:pPr>
              <w:jc w:val="right"/>
              <w:textAlignment w:val="bottom"/>
            </w:pPr>
            <w:r>
              <w:rPr>
                <w:rFonts w:ascii="Arial" w:eastAsia="宋体" w:hAnsi="Arial" w:cs="Arial"/>
                <w:b/>
                <w:bCs/>
                <w:color w:val="000000"/>
                <w:sz w:val="13"/>
                <w:szCs w:val="13"/>
              </w:rPr>
              <w:t>(2,798)</w:t>
            </w:r>
          </w:p>
        </w:tc>
        <w:tc>
          <w:tcPr>
            <w:tcW w:w="0" w:type="auto"/>
            <w:shd w:val="clear" w:color="auto" w:fill="CCEEFF"/>
            <w:tcMar>
              <w:top w:w="40" w:type="dxa"/>
              <w:left w:w="0" w:type="dxa"/>
              <w:bottom w:w="40" w:type="dxa"/>
              <w:right w:w="20" w:type="dxa"/>
            </w:tcMar>
            <w:vAlign w:val="bottom"/>
          </w:tcPr>
          <w:p w14:paraId="74DD941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414" w14:textId="77777777" w:rsidR="00584EC1" w:rsidRDefault="00584EC1">
            <w:pPr>
              <w:spacing w:after="20"/>
              <w:jc w:val="right"/>
            </w:pPr>
          </w:p>
          <w:p w14:paraId="74DD9415" w14:textId="77777777" w:rsidR="00584EC1" w:rsidRDefault="00584EC1">
            <w:pPr>
              <w:spacing w:after="20"/>
              <w:jc w:val="right"/>
            </w:pPr>
          </w:p>
        </w:tc>
        <w:tc>
          <w:tcPr>
            <w:tcW w:w="0" w:type="auto"/>
            <w:gridSpan w:val="2"/>
            <w:shd w:val="clear" w:color="auto" w:fill="CCEEFF"/>
            <w:tcMar>
              <w:top w:w="40" w:type="dxa"/>
              <w:left w:w="20" w:type="dxa"/>
              <w:bottom w:w="40" w:type="dxa"/>
              <w:right w:w="0" w:type="dxa"/>
            </w:tcMar>
            <w:vAlign w:val="bottom"/>
          </w:tcPr>
          <w:p w14:paraId="74DD9416" w14:textId="77777777" w:rsidR="00584EC1" w:rsidRDefault="00871F8D">
            <w:pPr>
              <w:jc w:val="right"/>
              <w:textAlignment w:val="bottom"/>
            </w:pPr>
            <w:r>
              <w:rPr>
                <w:rFonts w:ascii="Arial" w:eastAsia="宋体" w:hAnsi="Arial" w:cs="Arial"/>
                <w:b/>
                <w:bCs/>
                <w:color w:val="000000"/>
                <w:sz w:val="13"/>
                <w:szCs w:val="13"/>
              </w:rPr>
              <w:t>(5,791)</w:t>
            </w:r>
          </w:p>
        </w:tc>
        <w:tc>
          <w:tcPr>
            <w:tcW w:w="0" w:type="auto"/>
            <w:shd w:val="clear" w:color="auto" w:fill="CCEEFF"/>
            <w:tcMar>
              <w:top w:w="40" w:type="dxa"/>
              <w:left w:w="0" w:type="dxa"/>
              <w:bottom w:w="40" w:type="dxa"/>
              <w:right w:w="20" w:type="dxa"/>
            </w:tcMar>
            <w:vAlign w:val="bottom"/>
          </w:tcPr>
          <w:p w14:paraId="74DD941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418" w14:textId="77777777" w:rsidR="00584EC1" w:rsidRDefault="00584EC1">
            <w:pPr>
              <w:spacing w:after="20"/>
              <w:jc w:val="right"/>
            </w:pPr>
          </w:p>
          <w:p w14:paraId="74DD9419" w14:textId="77777777" w:rsidR="00584EC1" w:rsidRDefault="00584EC1">
            <w:pPr>
              <w:spacing w:after="20"/>
              <w:jc w:val="right"/>
            </w:pPr>
          </w:p>
        </w:tc>
        <w:tc>
          <w:tcPr>
            <w:tcW w:w="0" w:type="auto"/>
            <w:gridSpan w:val="2"/>
            <w:shd w:val="clear" w:color="auto" w:fill="CCEEFF"/>
            <w:tcMar>
              <w:top w:w="40" w:type="dxa"/>
              <w:left w:w="20" w:type="dxa"/>
              <w:bottom w:w="40" w:type="dxa"/>
              <w:right w:w="0" w:type="dxa"/>
            </w:tcMar>
            <w:vAlign w:val="bottom"/>
          </w:tcPr>
          <w:p w14:paraId="74DD941A" w14:textId="77777777" w:rsidR="00584EC1" w:rsidRDefault="00871F8D">
            <w:pPr>
              <w:jc w:val="right"/>
              <w:textAlignment w:val="bottom"/>
            </w:pPr>
            <w:r>
              <w:rPr>
                <w:rFonts w:ascii="Arial" w:eastAsia="宋体" w:hAnsi="Arial" w:cs="Arial"/>
                <w:b/>
                <w:bCs/>
                <w:color w:val="000000"/>
                <w:sz w:val="13"/>
                <w:szCs w:val="13"/>
              </w:rPr>
              <w:t>(1,662)</w:t>
            </w:r>
          </w:p>
        </w:tc>
        <w:tc>
          <w:tcPr>
            <w:tcW w:w="0" w:type="auto"/>
            <w:shd w:val="clear" w:color="auto" w:fill="CCEEFF"/>
            <w:tcMar>
              <w:top w:w="40" w:type="dxa"/>
              <w:left w:w="0" w:type="dxa"/>
              <w:bottom w:w="40" w:type="dxa"/>
              <w:right w:w="20" w:type="dxa"/>
            </w:tcMar>
            <w:vAlign w:val="bottom"/>
          </w:tcPr>
          <w:p w14:paraId="74DD941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41C" w14:textId="77777777" w:rsidR="00584EC1" w:rsidRDefault="00584EC1">
            <w:pPr>
              <w:rPr>
                <w:rFonts w:ascii="宋体"/>
              </w:rPr>
            </w:pPr>
          </w:p>
        </w:tc>
        <w:tc>
          <w:tcPr>
            <w:tcW w:w="0" w:type="auto"/>
            <w:shd w:val="clear" w:color="auto" w:fill="auto"/>
            <w:vAlign w:val="bottom"/>
          </w:tcPr>
          <w:p w14:paraId="74DD941D" w14:textId="77777777" w:rsidR="00584EC1" w:rsidRDefault="00584EC1">
            <w:pPr>
              <w:rPr>
                <w:rFonts w:ascii="宋体"/>
                <w:vanish/>
              </w:rPr>
            </w:pPr>
          </w:p>
        </w:tc>
        <w:tc>
          <w:tcPr>
            <w:tcW w:w="0" w:type="auto"/>
            <w:shd w:val="clear" w:color="auto" w:fill="auto"/>
            <w:vAlign w:val="bottom"/>
          </w:tcPr>
          <w:p w14:paraId="74DD941E" w14:textId="77777777" w:rsidR="00584EC1" w:rsidRDefault="00584EC1">
            <w:pPr>
              <w:rPr>
                <w:rFonts w:ascii="宋体"/>
                <w:vanish/>
              </w:rPr>
            </w:pPr>
          </w:p>
        </w:tc>
        <w:tc>
          <w:tcPr>
            <w:tcW w:w="0" w:type="auto"/>
            <w:gridSpan w:val="2"/>
            <w:shd w:val="clear" w:color="auto" w:fill="CCEEFF"/>
            <w:tcMar>
              <w:top w:w="40" w:type="dxa"/>
              <w:left w:w="20" w:type="dxa"/>
              <w:bottom w:w="40" w:type="dxa"/>
              <w:right w:w="0" w:type="dxa"/>
            </w:tcMar>
            <w:vAlign w:val="bottom"/>
          </w:tcPr>
          <w:p w14:paraId="74DD941F" w14:textId="77777777" w:rsidR="00584EC1" w:rsidRDefault="00871F8D">
            <w:pPr>
              <w:jc w:val="right"/>
              <w:textAlignment w:val="bottom"/>
            </w:pPr>
            <w:r>
              <w:rPr>
                <w:rFonts w:ascii="Arial" w:eastAsia="宋体" w:hAnsi="Arial" w:cs="Arial"/>
                <w:color w:val="000000"/>
                <w:sz w:val="13"/>
                <w:szCs w:val="13"/>
              </w:rPr>
              <w:t>(6,471)</w:t>
            </w:r>
          </w:p>
        </w:tc>
        <w:tc>
          <w:tcPr>
            <w:tcW w:w="0" w:type="auto"/>
            <w:shd w:val="clear" w:color="auto" w:fill="CCEEFF"/>
            <w:tcMar>
              <w:top w:w="40" w:type="dxa"/>
              <w:left w:w="0" w:type="dxa"/>
              <w:bottom w:w="40" w:type="dxa"/>
              <w:right w:w="20" w:type="dxa"/>
            </w:tcMar>
            <w:vAlign w:val="bottom"/>
          </w:tcPr>
          <w:p w14:paraId="74DD942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42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422" w14:textId="77777777" w:rsidR="00584EC1" w:rsidRDefault="00871F8D">
            <w:pPr>
              <w:jc w:val="right"/>
              <w:textAlignment w:val="bottom"/>
            </w:pPr>
            <w:r>
              <w:rPr>
                <w:rFonts w:ascii="Arial" w:eastAsia="宋体" w:hAnsi="Arial" w:cs="Arial"/>
                <w:color w:val="000000"/>
                <w:sz w:val="13"/>
                <w:szCs w:val="13"/>
              </w:rPr>
              <w:t>(8,193)</w:t>
            </w:r>
          </w:p>
        </w:tc>
        <w:tc>
          <w:tcPr>
            <w:tcW w:w="0" w:type="auto"/>
            <w:shd w:val="clear" w:color="auto" w:fill="CCEEFF"/>
            <w:tcMar>
              <w:top w:w="40" w:type="dxa"/>
              <w:left w:w="0" w:type="dxa"/>
              <w:bottom w:w="40" w:type="dxa"/>
              <w:right w:w="20" w:type="dxa"/>
            </w:tcMar>
            <w:vAlign w:val="bottom"/>
          </w:tcPr>
          <w:p w14:paraId="74DD942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424"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425" w14:textId="77777777" w:rsidR="00584EC1" w:rsidRDefault="00871F8D">
            <w:pPr>
              <w:jc w:val="right"/>
              <w:textAlignment w:val="bottom"/>
            </w:pPr>
            <w:r>
              <w:rPr>
                <w:rFonts w:ascii="Arial" w:eastAsia="宋体" w:hAnsi="Arial" w:cs="Arial"/>
                <w:color w:val="000000"/>
                <w:sz w:val="13"/>
                <w:szCs w:val="13"/>
              </w:rPr>
              <w:t>1,690 </w:t>
            </w:r>
          </w:p>
        </w:tc>
        <w:tc>
          <w:tcPr>
            <w:tcW w:w="0" w:type="auto"/>
            <w:shd w:val="clear" w:color="auto" w:fill="CCEEFF"/>
            <w:tcMar>
              <w:top w:w="40" w:type="dxa"/>
              <w:left w:w="0" w:type="dxa"/>
              <w:bottom w:w="40" w:type="dxa"/>
              <w:right w:w="20" w:type="dxa"/>
            </w:tcMar>
            <w:vAlign w:val="bottom"/>
          </w:tcPr>
          <w:p w14:paraId="74DD942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427" w14:textId="77777777" w:rsidR="00584EC1" w:rsidRDefault="00584EC1">
            <w:pPr>
              <w:rPr>
                <w:rFonts w:ascii="宋体"/>
              </w:rPr>
            </w:pPr>
          </w:p>
        </w:tc>
        <w:tc>
          <w:tcPr>
            <w:tcW w:w="0" w:type="auto"/>
            <w:shd w:val="clear" w:color="auto" w:fill="auto"/>
            <w:vAlign w:val="bottom"/>
          </w:tcPr>
          <w:p w14:paraId="74DD9428" w14:textId="77777777" w:rsidR="00584EC1" w:rsidRDefault="00584EC1">
            <w:pPr>
              <w:rPr>
                <w:rFonts w:ascii="宋体"/>
                <w:vanish/>
              </w:rPr>
            </w:pPr>
          </w:p>
        </w:tc>
        <w:tc>
          <w:tcPr>
            <w:tcW w:w="0" w:type="auto"/>
            <w:shd w:val="clear" w:color="auto" w:fill="auto"/>
            <w:vAlign w:val="bottom"/>
          </w:tcPr>
          <w:p w14:paraId="74DD9429" w14:textId="77777777" w:rsidR="00584EC1" w:rsidRDefault="00584EC1">
            <w:pPr>
              <w:rPr>
                <w:rFonts w:ascii="宋体"/>
                <w:vanish/>
              </w:rPr>
            </w:pPr>
          </w:p>
        </w:tc>
        <w:tc>
          <w:tcPr>
            <w:tcW w:w="0" w:type="auto"/>
            <w:gridSpan w:val="2"/>
            <w:shd w:val="clear" w:color="auto" w:fill="CCEEFF"/>
            <w:tcMar>
              <w:top w:w="40" w:type="dxa"/>
              <w:left w:w="20" w:type="dxa"/>
              <w:bottom w:w="40" w:type="dxa"/>
              <w:right w:w="0" w:type="dxa"/>
            </w:tcMar>
            <w:vAlign w:val="bottom"/>
          </w:tcPr>
          <w:p w14:paraId="74DD942A" w14:textId="77777777" w:rsidR="00584EC1" w:rsidRDefault="00871F8D">
            <w:pPr>
              <w:jc w:val="right"/>
              <w:textAlignment w:val="bottom"/>
            </w:pPr>
            <w:r>
              <w:rPr>
                <w:rFonts w:ascii="Arial" w:eastAsia="宋体" w:hAnsi="Arial" w:cs="Arial"/>
                <w:color w:val="000000"/>
                <w:sz w:val="13"/>
                <w:szCs w:val="13"/>
              </w:rPr>
              <w:t>(7,773)</w:t>
            </w:r>
          </w:p>
        </w:tc>
        <w:tc>
          <w:tcPr>
            <w:tcW w:w="0" w:type="auto"/>
            <w:shd w:val="clear" w:color="auto" w:fill="CCEEFF"/>
            <w:tcMar>
              <w:top w:w="40" w:type="dxa"/>
              <w:left w:w="0" w:type="dxa"/>
              <w:bottom w:w="40" w:type="dxa"/>
              <w:right w:w="20" w:type="dxa"/>
            </w:tcMar>
            <w:vAlign w:val="bottom"/>
          </w:tcPr>
          <w:p w14:paraId="74DD942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42C"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42D" w14:textId="77777777" w:rsidR="00584EC1" w:rsidRDefault="00871F8D">
            <w:pPr>
              <w:jc w:val="right"/>
              <w:textAlignment w:val="bottom"/>
            </w:pPr>
            <w:r>
              <w:rPr>
                <w:rFonts w:ascii="Arial" w:eastAsia="宋体" w:hAnsi="Arial" w:cs="Arial"/>
                <w:color w:val="000000"/>
                <w:sz w:val="13"/>
                <w:szCs w:val="13"/>
              </w:rPr>
              <w:t>(23,190)</w:t>
            </w:r>
          </w:p>
        </w:tc>
        <w:tc>
          <w:tcPr>
            <w:tcW w:w="0" w:type="auto"/>
            <w:shd w:val="clear" w:color="auto" w:fill="CCEEFF"/>
            <w:tcMar>
              <w:top w:w="40" w:type="dxa"/>
              <w:left w:w="0" w:type="dxa"/>
              <w:bottom w:w="40" w:type="dxa"/>
              <w:right w:w="20" w:type="dxa"/>
            </w:tcMar>
            <w:vAlign w:val="bottom"/>
          </w:tcPr>
          <w:p w14:paraId="74DD942E" w14:textId="77777777" w:rsidR="00584EC1" w:rsidRDefault="00584EC1">
            <w:pPr>
              <w:jc w:val="right"/>
              <w:rPr>
                <w:rFonts w:ascii="宋体"/>
              </w:rPr>
            </w:pPr>
          </w:p>
        </w:tc>
        <w:tc>
          <w:tcPr>
            <w:tcW w:w="0" w:type="auto"/>
            <w:gridSpan w:val="2"/>
            <w:shd w:val="clear" w:color="auto" w:fill="CCEEFF"/>
            <w:tcMar>
              <w:top w:w="0" w:type="dxa"/>
              <w:left w:w="20" w:type="dxa"/>
              <w:bottom w:w="0" w:type="dxa"/>
              <w:right w:w="20" w:type="dxa"/>
            </w:tcMar>
            <w:vAlign w:val="bottom"/>
          </w:tcPr>
          <w:p w14:paraId="74DD942F"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9430" w14:textId="77777777" w:rsidR="00584EC1" w:rsidRDefault="00871F8D">
            <w:pPr>
              <w:jc w:val="right"/>
              <w:textAlignment w:val="bottom"/>
            </w:pPr>
            <w:r>
              <w:rPr>
                <w:rFonts w:ascii="Arial" w:eastAsia="宋体" w:hAnsi="Arial" w:cs="Arial"/>
                <w:color w:val="000000"/>
                <w:sz w:val="13"/>
                <w:szCs w:val="13"/>
              </w:rPr>
              <w:t>(1,591)</w:t>
            </w:r>
          </w:p>
          <w:p w14:paraId="74DD9431" w14:textId="77777777" w:rsidR="00584EC1" w:rsidRDefault="00871F8D">
            <w:pPr>
              <w:jc w:val="right"/>
              <w:textAlignment w:val="bottom"/>
            </w:pPr>
            <w:r>
              <w:rPr>
                <w:rFonts w:ascii="Arial" w:eastAsia="宋体" w:hAnsi="Arial" w:cs="Arial"/>
                <w:b/>
                <w:bCs/>
                <w:color w:val="000000"/>
                <w:sz w:val="13"/>
                <w:szCs w:val="13"/>
              </w:rPr>
              <w:t>(7,930)</w:t>
            </w:r>
          </w:p>
          <w:p w14:paraId="74DD9432" w14:textId="77777777" w:rsidR="00584EC1" w:rsidRDefault="00871F8D">
            <w:pPr>
              <w:jc w:val="right"/>
              <w:textAlignment w:val="bottom"/>
            </w:pPr>
            <w:r>
              <w:rPr>
                <w:rFonts w:ascii="Arial" w:eastAsia="宋体" w:hAnsi="Arial" w:cs="Arial"/>
                <w:color w:val="000000"/>
                <w:sz w:val="13"/>
                <w:szCs w:val="13"/>
              </w:rPr>
              <w:t>8,473 </w:t>
            </w:r>
          </w:p>
          <w:p w14:paraId="74DD9433" w14:textId="77777777" w:rsidR="00584EC1" w:rsidRDefault="00871F8D">
            <w:pPr>
              <w:jc w:val="right"/>
              <w:textAlignment w:val="bottom"/>
            </w:pPr>
            <w:r>
              <w:rPr>
                <w:rFonts w:ascii="Arial" w:eastAsia="宋体" w:hAnsi="Arial" w:cs="Arial"/>
                <w:color w:val="000000"/>
                <w:sz w:val="13"/>
                <w:szCs w:val="13"/>
              </w:rPr>
              <w:t>(4,861)</w:t>
            </w:r>
          </w:p>
        </w:tc>
      </w:tr>
      <w:tr w:rsidR="00871F8D" w14:paraId="74DD9466" w14:textId="77777777">
        <w:tc>
          <w:tcPr>
            <w:tcW w:w="0" w:type="auto"/>
            <w:gridSpan w:val="3"/>
            <w:shd w:val="clear" w:color="auto" w:fill="FFFFFF"/>
            <w:tcMar>
              <w:top w:w="40" w:type="dxa"/>
              <w:left w:w="20" w:type="dxa"/>
              <w:bottom w:w="40" w:type="dxa"/>
              <w:right w:w="20" w:type="dxa"/>
            </w:tcMar>
            <w:vAlign w:val="bottom"/>
          </w:tcPr>
          <w:p w14:paraId="74DD9435" w14:textId="77777777" w:rsidR="00584EC1" w:rsidRDefault="00871F8D">
            <w:pPr>
              <w:textAlignment w:val="bottom"/>
            </w:pPr>
            <w:r>
              <w:rPr>
                <w:rFonts w:ascii="Arial" w:eastAsia="宋体" w:hAnsi="Arial" w:cs="Arial"/>
                <w:color w:val="000000"/>
                <w:sz w:val="13"/>
                <w:szCs w:val="13"/>
              </w:rPr>
              <w:t>Total Stressed VaR</w:t>
            </w:r>
          </w:p>
        </w:tc>
        <w:tc>
          <w:tcPr>
            <w:tcW w:w="0" w:type="auto"/>
            <w:tcBorders>
              <w:top w:val="single" w:sz="8" w:space="0" w:color="000000"/>
            </w:tcBorders>
            <w:shd w:val="clear" w:color="auto" w:fill="FFFFFF"/>
            <w:tcMar>
              <w:top w:w="40" w:type="dxa"/>
              <w:left w:w="20" w:type="dxa"/>
              <w:bottom w:w="40" w:type="dxa"/>
              <w:right w:w="0" w:type="dxa"/>
            </w:tcMar>
            <w:vAlign w:val="bottom"/>
          </w:tcPr>
          <w:p w14:paraId="74DD9436" w14:textId="77777777" w:rsidR="00584EC1" w:rsidRDefault="00871F8D">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9437" w14:textId="77777777" w:rsidR="00584EC1" w:rsidRDefault="00871F8D">
            <w:pPr>
              <w:jc w:val="right"/>
              <w:textAlignment w:val="bottom"/>
            </w:pPr>
            <w:r>
              <w:rPr>
                <w:rFonts w:ascii="Arial" w:eastAsia="宋体" w:hAnsi="Arial" w:cs="Arial"/>
                <w:b/>
                <w:bCs/>
                <w:color w:val="000000"/>
                <w:sz w:val="13"/>
                <w:szCs w:val="13"/>
              </w:rPr>
              <w:t>54,763</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943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439" w14:textId="77777777" w:rsidR="00584EC1" w:rsidRDefault="00584EC1">
            <w:pPr>
              <w:spacing w:after="20"/>
              <w:jc w:val="right"/>
            </w:pPr>
          </w:p>
          <w:p w14:paraId="74DD943A" w14:textId="77777777" w:rsidR="00584EC1" w:rsidRDefault="00584EC1">
            <w:pPr>
              <w:spacing w:after="20"/>
              <w:jc w:val="right"/>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943B" w14:textId="77777777" w:rsidR="00584EC1" w:rsidRDefault="00871F8D">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943C" w14:textId="77777777" w:rsidR="00584EC1" w:rsidRDefault="00871F8D">
            <w:pPr>
              <w:jc w:val="right"/>
              <w:textAlignment w:val="bottom"/>
            </w:pPr>
            <w:r>
              <w:rPr>
                <w:rFonts w:ascii="Arial" w:eastAsia="宋体" w:hAnsi="Arial" w:cs="Arial"/>
                <w:b/>
                <w:bCs/>
                <w:color w:val="000000"/>
                <w:sz w:val="13"/>
                <w:szCs w:val="13"/>
              </w:rPr>
              <w:t>111,168</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943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43E" w14:textId="77777777" w:rsidR="00584EC1" w:rsidRDefault="00584EC1">
            <w:pPr>
              <w:spacing w:after="20"/>
              <w:jc w:val="right"/>
            </w:pPr>
          </w:p>
          <w:p w14:paraId="74DD943F" w14:textId="77777777" w:rsidR="00584EC1" w:rsidRDefault="00584EC1">
            <w:pPr>
              <w:spacing w:after="20"/>
              <w:jc w:val="right"/>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9440" w14:textId="77777777" w:rsidR="00584EC1" w:rsidRDefault="00871F8D">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9441" w14:textId="77777777" w:rsidR="00584EC1" w:rsidRDefault="00871F8D">
            <w:pPr>
              <w:jc w:val="right"/>
              <w:textAlignment w:val="bottom"/>
            </w:pPr>
            <w:r>
              <w:rPr>
                <w:rFonts w:ascii="Arial" w:eastAsia="宋体" w:hAnsi="Arial" w:cs="Arial"/>
                <w:b/>
                <w:bCs/>
                <w:color w:val="000000"/>
                <w:sz w:val="13"/>
                <w:szCs w:val="13"/>
              </w:rPr>
              <w:t>26,441</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944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443" w14:textId="77777777" w:rsidR="00584EC1" w:rsidRDefault="00584EC1">
            <w:pPr>
              <w:rPr>
                <w:rFonts w:ascii="宋体"/>
              </w:rPr>
            </w:pPr>
          </w:p>
        </w:tc>
        <w:tc>
          <w:tcPr>
            <w:tcW w:w="0" w:type="auto"/>
            <w:shd w:val="clear" w:color="auto" w:fill="auto"/>
            <w:vAlign w:val="bottom"/>
          </w:tcPr>
          <w:p w14:paraId="74DD9444" w14:textId="77777777" w:rsidR="00584EC1" w:rsidRDefault="00584EC1">
            <w:pPr>
              <w:rPr>
                <w:rFonts w:ascii="宋体"/>
                <w:vanish/>
              </w:rPr>
            </w:pPr>
          </w:p>
        </w:tc>
        <w:tc>
          <w:tcPr>
            <w:tcW w:w="0" w:type="auto"/>
            <w:shd w:val="clear" w:color="auto" w:fill="auto"/>
            <w:vAlign w:val="bottom"/>
          </w:tcPr>
          <w:p w14:paraId="74DD9445" w14:textId="77777777" w:rsidR="00584EC1" w:rsidRDefault="00584EC1">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9446" w14:textId="77777777" w:rsidR="00584EC1" w:rsidRDefault="00871F8D">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9447" w14:textId="77777777" w:rsidR="00584EC1" w:rsidRDefault="00871F8D">
            <w:pPr>
              <w:jc w:val="right"/>
              <w:textAlignment w:val="bottom"/>
            </w:pPr>
            <w:r>
              <w:rPr>
                <w:rFonts w:ascii="Arial" w:eastAsia="宋体" w:hAnsi="Arial" w:cs="Arial"/>
                <w:color w:val="000000"/>
                <w:sz w:val="13"/>
                <w:szCs w:val="13"/>
              </w:rPr>
              <w:t>42,651 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944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449" w14:textId="77777777" w:rsidR="00584EC1" w:rsidRDefault="00584EC1">
            <w:pPr>
              <w:spacing w:after="20"/>
              <w:jc w:val="right"/>
            </w:pPr>
          </w:p>
          <w:p w14:paraId="74DD944A" w14:textId="77777777" w:rsidR="00584EC1" w:rsidRDefault="00584EC1">
            <w:pPr>
              <w:spacing w:after="20"/>
              <w:jc w:val="right"/>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944B" w14:textId="77777777" w:rsidR="00584EC1" w:rsidRDefault="00871F8D">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944C" w14:textId="77777777" w:rsidR="00584EC1" w:rsidRDefault="00871F8D">
            <w:pPr>
              <w:jc w:val="right"/>
              <w:textAlignment w:val="bottom"/>
            </w:pPr>
            <w:r>
              <w:rPr>
                <w:rFonts w:ascii="Arial" w:eastAsia="宋体" w:hAnsi="Arial" w:cs="Arial"/>
                <w:color w:val="000000"/>
                <w:sz w:val="13"/>
                <w:szCs w:val="13"/>
              </w:rPr>
              <w:t>95,933 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944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44E" w14:textId="77777777" w:rsidR="00584EC1" w:rsidRDefault="00584EC1">
            <w:pPr>
              <w:spacing w:after="20"/>
              <w:jc w:val="right"/>
            </w:pPr>
          </w:p>
          <w:p w14:paraId="74DD944F" w14:textId="77777777" w:rsidR="00584EC1" w:rsidRDefault="00584EC1">
            <w:pPr>
              <w:spacing w:after="20"/>
              <w:jc w:val="right"/>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9450" w14:textId="77777777" w:rsidR="00584EC1" w:rsidRDefault="00871F8D">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9451" w14:textId="77777777" w:rsidR="00584EC1" w:rsidRDefault="00871F8D">
            <w:pPr>
              <w:jc w:val="right"/>
              <w:textAlignment w:val="bottom"/>
            </w:pPr>
            <w:r>
              <w:rPr>
                <w:rFonts w:ascii="Arial" w:eastAsia="宋体" w:hAnsi="Arial" w:cs="Arial"/>
                <w:color w:val="000000"/>
                <w:sz w:val="13"/>
                <w:szCs w:val="13"/>
              </w:rPr>
              <w:t>16,769 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945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453" w14:textId="77777777" w:rsidR="00584EC1" w:rsidRDefault="00584EC1">
            <w:pPr>
              <w:rPr>
                <w:rFonts w:ascii="宋体"/>
              </w:rPr>
            </w:pPr>
          </w:p>
        </w:tc>
        <w:tc>
          <w:tcPr>
            <w:tcW w:w="0" w:type="auto"/>
            <w:shd w:val="clear" w:color="auto" w:fill="auto"/>
            <w:vAlign w:val="bottom"/>
          </w:tcPr>
          <w:p w14:paraId="74DD9454" w14:textId="77777777" w:rsidR="00584EC1" w:rsidRDefault="00584EC1">
            <w:pPr>
              <w:rPr>
                <w:rFonts w:ascii="宋体"/>
                <w:vanish/>
              </w:rPr>
            </w:pPr>
          </w:p>
        </w:tc>
        <w:tc>
          <w:tcPr>
            <w:tcW w:w="0" w:type="auto"/>
            <w:shd w:val="clear" w:color="auto" w:fill="auto"/>
            <w:vAlign w:val="bottom"/>
          </w:tcPr>
          <w:p w14:paraId="74DD9455" w14:textId="77777777" w:rsidR="00584EC1" w:rsidRDefault="00584EC1">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9456" w14:textId="77777777" w:rsidR="00584EC1" w:rsidRDefault="00871F8D">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9457" w14:textId="77777777" w:rsidR="00584EC1" w:rsidRDefault="00871F8D">
            <w:pPr>
              <w:jc w:val="right"/>
              <w:textAlignment w:val="bottom"/>
            </w:pPr>
            <w:r>
              <w:rPr>
                <w:rFonts w:ascii="Arial" w:eastAsia="宋体" w:hAnsi="Arial" w:cs="Arial"/>
                <w:color w:val="000000"/>
                <w:sz w:val="13"/>
                <w:szCs w:val="13"/>
              </w:rPr>
              <w:t>34,276 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945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459"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945A" w14:textId="77777777" w:rsidR="00584EC1" w:rsidRDefault="00871F8D">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945B" w14:textId="77777777" w:rsidR="00584EC1" w:rsidRDefault="00871F8D">
            <w:pPr>
              <w:jc w:val="right"/>
              <w:textAlignment w:val="bottom"/>
            </w:pPr>
            <w:r>
              <w:rPr>
                <w:rFonts w:ascii="Arial" w:eastAsia="宋体" w:hAnsi="Arial" w:cs="Arial"/>
                <w:color w:val="000000"/>
                <w:sz w:val="13"/>
                <w:szCs w:val="13"/>
              </w:rPr>
              <w:t>84,718 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945C" w14:textId="77777777" w:rsidR="00584EC1" w:rsidRDefault="00584EC1">
            <w:pPr>
              <w:jc w:val="right"/>
              <w:rPr>
                <w:rFonts w:ascii="宋体"/>
              </w:rPr>
            </w:pPr>
          </w:p>
        </w:tc>
        <w:tc>
          <w:tcPr>
            <w:tcW w:w="0" w:type="auto"/>
            <w:gridSpan w:val="2"/>
            <w:shd w:val="clear" w:color="auto" w:fill="FFFFFF"/>
            <w:tcMar>
              <w:top w:w="0" w:type="dxa"/>
              <w:left w:w="20" w:type="dxa"/>
              <w:bottom w:w="0" w:type="dxa"/>
              <w:right w:w="20" w:type="dxa"/>
            </w:tcMar>
            <w:vAlign w:val="bottom"/>
          </w:tcPr>
          <w:p w14:paraId="74DD945D"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945E" w14:textId="77777777" w:rsidR="00584EC1" w:rsidRDefault="00871F8D">
            <w:pPr>
              <w:textAlignment w:val="bottom"/>
            </w:pPr>
            <w:r>
              <w:rPr>
                <w:rFonts w:ascii="Arial" w:eastAsia="宋体" w:hAnsi="Arial" w:cs="Arial"/>
                <w:color w:val="000000"/>
                <w:sz w:val="13"/>
                <w:szCs w:val="13"/>
              </w:rPr>
              <w:t>$</w:t>
            </w:r>
          </w:p>
          <w:p w14:paraId="74DD945F" w14:textId="77777777" w:rsidR="00584EC1" w:rsidRDefault="00871F8D">
            <w:pPr>
              <w:jc w:val="right"/>
              <w:textAlignment w:val="bottom"/>
            </w:pPr>
            <w:r>
              <w:rPr>
                <w:rFonts w:ascii="Arial" w:eastAsia="宋体" w:hAnsi="Arial" w:cs="Arial"/>
                <w:color w:val="000000"/>
                <w:sz w:val="13"/>
                <w:szCs w:val="13"/>
              </w:rPr>
              <w:t>17,606 </w:t>
            </w:r>
          </w:p>
          <w:p w14:paraId="74DD9460" w14:textId="77777777" w:rsidR="00584EC1" w:rsidRDefault="00871F8D">
            <w:pPr>
              <w:textAlignment w:val="bottom"/>
            </w:pPr>
            <w:r>
              <w:rPr>
                <w:rFonts w:ascii="Arial" w:eastAsia="宋体" w:hAnsi="Arial" w:cs="Arial"/>
                <w:b/>
                <w:bCs/>
                <w:color w:val="000000"/>
                <w:sz w:val="13"/>
                <w:szCs w:val="13"/>
              </w:rPr>
              <w:t>$</w:t>
            </w:r>
          </w:p>
          <w:p w14:paraId="74DD9461" w14:textId="77777777" w:rsidR="00584EC1" w:rsidRDefault="00871F8D">
            <w:pPr>
              <w:jc w:val="right"/>
              <w:textAlignment w:val="bottom"/>
            </w:pPr>
            <w:r>
              <w:rPr>
                <w:rFonts w:ascii="Arial" w:eastAsia="宋体" w:hAnsi="Arial" w:cs="Arial"/>
                <w:b/>
                <w:bCs/>
                <w:color w:val="000000"/>
                <w:sz w:val="13"/>
                <w:szCs w:val="13"/>
              </w:rPr>
              <w:t>44,020</w:t>
            </w:r>
            <w:r>
              <w:rPr>
                <w:rFonts w:ascii="Arial" w:eastAsia="宋体" w:hAnsi="Arial" w:cs="Arial"/>
                <w:color w:val="000000"/>
                <w:sz w:val="13"/>
                <w:szCs w:val="13"/>
              </w:rPr>
              <w:t> </w:t>
            </w:r>
          </w:p>
          <w:p w14:paraId="74DD9462" w14:textId="77777777" w:rsidR="00584EC1" w:rsidRDefault="00871F8D">
            <w:pPr>
              <w:textAlignment w:val="bottom"/>
            </w:pPr>
            <w:r>
              <w:rPr>
                <w:rFonts w:ascii="Arial" w:eastAsia="宋体" w:hAnsi="Arial" w:cs="Arial"/>
                <w:color w:val="000000"/>
                <w:sz w:val="13"/>
                <w:szCs w:val="13"/>
              </w:rPr>
              <w:t>$</w:t>
            </w:r>
          </w:p>
          <w:p w14:paraId="74DD9463" w14:textId="77777777" w:rsidR="00584EC1" w:rsidRDefault="00871F8D">
            <w:pPr>
              <w:jc w:val="right"/>
              <w:textAlignment w:val="bottom"/>
            </w:pPr>
            <w:r>
              <w:rPr>
                <w:rFonts w:ascii="Arial" w:eastAsia="宋体" w:hAnsi="Arial" w:cs="Arial"/>
                <w:color w:val="000000"/>
                <w:sz w:val="13"/>
                <w:szCs w:val="13"/>
              </w:rPr>
              <w:t>71,933 </w:t>
            </w:r>
          </w:p>
          <w:p w14:paraId="74DD9464" w14:textId="77777777" w:rsidR="00584EC1" w:rsidRDefault="00871F8D">
            <w:pPr>
              <w:textAlignment w:val="bottom"/>
            </w:pPr>
            <w:r>
              <w:rPr>
                <w:rFonts w:ascii="Arial" w:eastAsia="宋体" w:hAnsi="Arial" w:cs="Arial"/>
                <w:color w:val="000000"/>
                <w:sz w:val="13"/>
                <w:szCs w:val="13"/>
              </w:rPr>
              <w:t>$</w:t>
            </w:r>
          </w:p>
          <w:p w14:paraId="74DD9465" w14:textId="77777777" w:rsidR="00584EC1" w:rsidRDefault="00871F8D">
            <w:pPr>
              <w:jc w:val="right"/>
              <w:textAlignment w:val="bottom"/>
            </w:pPr>
            <w:r>
              <w:rPr>
                <w:rFonts w:ascii="Arial" w:eastAsia="宋体" w:hAnsi="Arial" w:cs="Arial"/>
                <w:color w:val="000000"/>
                <w:sz w:val="13"/>
                <w:szCs w:val="13"/>
              </w:rPr>
              <w:t>40,447 </w:t>
            </w:r>
          </w:p>
        </w:tc>
      </w:tr>
      <w:tr w:rsidR="00584EC1" w14:paraId="74DD947D" w14:textId="77777777">
        <w:trPr>
          <w:trHeight w:val="120"/>
        </w:trPr>
        <w:tc>
          <w:tcPr>
            <w:tcW w:w="0" w:type="auto"/>
            <w:gridSpan w:val="3"/>
            <w:shd w:val="clear" w:color="auto" w:fill="auto"/>
            <w:tcMar>
              <w:top w:w="0" w:type="dxa"/>
              <w:left w:w="20" w:type="dxa"/>
              <w:bottom w:w="0" w:type="dxa"/>
              <w:right w:w="20" w:type="dxa"/>
            </w:tcMar>
            <w:vAlign w:val="bottom"/>
          </w:tcPr>
          <w:p w14:paraId="74DD9467"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D9468"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9469"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D946A"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946B"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D946C"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946D" w14:textId="77777777" w:rsidR="00584EC1" w:rsidRDefault="00584EC1">
            <w:pPr>
              <w:rPr>
                <w:rFonts w:ascii="宋体"/>
              </w:rPr>
            </w:pPr>
          </w:p>
        </w:tc>
        <w:tc>
          <w:tcPr>
            <w:tcW w:w="0" w:type="auto"/>
            <w:shd w:val="clear" w:color="auto" w:fill="auto"/>
            <w:vAlign w:val="bottom"/>
          </w:tcPr>
          <w:p w14:paraId="74DD946E" w14:textId="77777777" w:rsidR="00584EC1" w:rsidRDefault="00584EC1">
            <w:pPr>
              <w:rPr>
                <w:rFonts w:ascii="宋体"/>
                <w:vanish/>
              </w:rPr>
            </w:pPr>
          </w:p>
        </w:tc>
        <w:tc>
          <w:tcPr>
            <w:tcW w:w="0" w:type="auto"/>
            <w:shd w:val="clear" w:color="auto" w:fill="auto"/>
            <w:vAlign w:val="bottom"/>
          </w:tcPr>
          <w:p w14:paraId="74DD946F" w14:textId="77777777" w:rsidR="00584EC1" w:rsidRDefault="00584EC1">
            <w:pPr>
              <w:rPr>
                <w:rFonts w:ascii="宋体"/>
                <w:vanish/>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D9470"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9471"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D947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9473"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D9474"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9475" w14:textId="77777777" w:rsidR="00584EC1" w:rsidRDefault="00584EC1">
            <w:pPr>
              <w:rPr>
                <w:rFonts w:ascii="宋体"/>
              </w:rPr>
            </w:pPr>
          </w:p>
        </w:tc>
        <w:tc>
          <w:tcPr>
            <w:tcW w:w="0" w:type="auto"/>
            <w:shd w:val="clear" w:color="auto" w:fill="auto"/>
            <w:vAlign w:val="bottom"/>
          </w:tcPr>
          <w:p w14:paraId="74DD9476" w14:textId="77777777" w:rsidR="00584EC1" w:rsidRDefault="00584EC1">
            <w:pPr>
              <w:rPr>
                <w:rFonts w:ascii="宋体"/>
                <w:vanish/>
              </w:rPr>
            </w:pPr>
          </w:p>
        </w:tc>
        <w:tc>
          <w:tcPr>
            <w:tcW w:w="0" w:type="auto"/>
            <w:shd w:val="clear" w:color="auto" w:fill="auto"/>
            <w:vAlign w:val="bottom"/>
          </w:tcPr>
          <w:p w14:paraId="74DD9477" w14:textId="77777777" w:rsidR="00584EC1" w:rsidRDefault="00584EC1">
            <w:pPr>
              <w:rPr>
                <w:rFonts w:ascii="宋体"/>
                <w:vanish/>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D9478"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9479"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D947A" w14:textId="77777777" w:rsidR="00584EC1" w:rsidRDefault="00584EC1">
            <w:pPr>
              <w:rPr>
                <w:rFonts w:ascii="宋体"/>
              </w:rPr>
            </w:pPr>
          </w:p>
        </w:tc>
        <w:tc>
          <w:tcPr>
            <w:tcW w:w="0" w:type="auto"/>
            <w:gridSpan w:val="2"/>
            <w:shd w:val="clear" w:color="auto" w:fill="auto"/>
            <w:tcMar>
              <w:top w:w="0" w:type="dxa"/>
              <w:left w:w="20" w:type="dxa"/>
              <w:bottom w:w="0" w:type="dxa"/>
              <w:right w:w="20" w:type="dxa"/>
            </w:tcMar>
            <w:vAlign w:val="bottom"/>
          </w:tcPr>
          <w:p w14:paraId="74DD947B" w14:textId="77777777" w:rsidR="00584EC1" w:rsidRDefault="00584EC1">
            <w:pPr>
              <w:rPr>
                <w:rFonts w:ascii="宋体"/>
              </w:rPr>
            </w:pPr>
          </w:p>
        </w:tc>
        <w:tc>
          <w:tcPr>
            <w:tcW w:w="0" w:type="auto"/>
            <w:tcBorders>
              <w:top w:val="double" w:sz="6" w:space="0" w:color="000000"/>
            </w:tcBorders>
            <w:shd w:val="clear" w:color="auto" w:fill="auto"/>
            <w:tcMar>
              <w:top w:w="0" w:type="dxa"/>
              <w:left w:w="20" w:type="dxa"/>
              <w:bottom w:w="0" w:type="dxa"/>
              <w:right w:w="20" w:type="dxa"/>
            </w:tcMar>
            <w:vAlign w:val="bottom"/>
          </w:tcPr>
          <w:p w14:paraId="74DD947C" w14:textId="77777777" w:rsidR="00584EC1" w:rsidRDefault="00584EC1">
            <w:pPr>
              <w:rPr>
                <w:rFonts w:ascii="宋体"/>
              </w:rPr>
            </w:pPr>
          </w:p>
        </w:tc>
      </w:tr>
    </w:tbl>
    <w:p w14:paraId="74DD947E" w14:textId="77777777" w:rsidR="00584EC1" w:rsidRDefault="00871F8D">
      <w:pPr>
        <w:spacing w:before="40"/>
        <w:ind w:firstLine="450"/>
        <w:jc w:val="both"/>
      </w:pPr>
      <w:r>
        <w:rPr>
          <w:rFonts w:ascii="Arial" w:eastAsia="宋体" w:hAnsi="Arial" w:cs="Arial"/>
          <w:color w:val="000000"/>
          <w:sz w:val="20"/>
          <w:szCs w:val="20"/>
        </w:rPr>
        <w:t xml:space="preserve">The three month average of our stressed VaR-based measure was approximately $55 million for the quarter ended September 30, 2021, compared to an average of approximately $43 million for the quarter ended June 30, </w:t>
      </w:r>
      <w:r>
        <w:rPr>
          <w:rFonts w:ascii="Arial" w:eastAsia="宋体" w:hAnsi="Arial" w:cs="Arial"/>
          <w:color w:val="000000"/>
          <w:sz w:val="20"/>
          <w:szCs w:val="20"/>
        </w:rPr>
        <w:t xml:space="preserve">2021 and $34 million for the quarter ended September 30, 2020. The increase in the average stressed VaR for the quarter ended September 30, 2021, compared to the quarter ended June 30, 2021 and the quarter ended September 30, 2020, is primarily attributed </w:t>
      </w:r>
      <w:r>
        <w:rPr>
          <w:rFonts w:ascii="Arial" w:eastAsia="宋体" w:hAnsi="Arial" w:cs="Arial"/>
          <w:color w:val="000000"/>
          <w:sz w:val="20"/>
          <w:szCs w:val="20"/>
        </w:rPr>
        <w:t>to higher interest rate risk positions.</w:t>
      </w:r>
    </w:p>
    <w:p w14:paraId="74DD947F" w14:textId="77777777" w:rsidR="00584EC1" w:rsidRDefault="00871F8D">
      <w:pPr>
        <w:spacing w:before="40"/>
        <w:ind w:firstLine="450"/>
        <w:jc w:val="both"/>
      </w:pPr>
      <w:r>
        <w:rPr>
          <w:rFonts w:ascii="Arial" w:eastAsia="宋体" w:hAnsi="Arial" w:cs="Arial"/>
          <w:color w:val="000000"/>
          <w:sz w:val="20"/>
          <w:szCs w:val="20"/>
        </w:rPr>
        <w:t>The VaR-based measures presented in the preceding tables are primarily a reflection of the overall level of market volatility and our appetite for taking market risk in our trading activities. Overall levels of volat</w:t>
      </w:r>
      <w:r>
        <w:rPr>
          <w:rFonts w:ascii="Arial" w:eastAsia="宋体" w:hAnsi="Arial" w:cs="Arial"/>
          <w:color w:val="000000"/>
          <w:sz w:val="20"/>
          <w:szCs w:val="20"/>
        </w:rPr>
        <w:t>ility have been low both on an absolute basis and relative to the historical information observed at the beginning of the period used for the calculations. Both the ten-day VaR-based measures and the stressed VaR-based measures are based on historical chan</w:t>
      </w:r>
      <w:r>
        <w:rPr>
          <w:rFonts w:ascii="Arial" w:eastAsia="宋体" w:hAnsi="Arial" w:cs="Arial"/>
          <w:color w:val="000000"/>
          <w:sz w:val="20"/>
          <w:szCs w:val="20"/>
        </w:rPr>
        <w:t>ges observed during rolling ten-day periods for the portfolios as of the close of business each day over the past one-year period.</w:t>
      </w:r>
    </w:p>
    <w:p w14:paraId="74DD9480" w14:textId="77777777" w:rsidR="00584EC1" w:rsidRDefault="00871F8D">
      <w:pPr>
        <w:spacing w:before="40"/>
        <w:ind w:firstLine="450"/>
        <w:jc w:val="both"/>
      </w:pPr>
      <w:r>
        <w:rPr>
          <w:rFonts w:ascii="Arial" w:eastAsia="宋体" w:hAnsi="Arial" w:cs="Arial"/>
          <w:color w:val="000000"/>
          <w:sz w:val="20"/>
          <w:szCs w:val="20"/>
        </w:rPr>
        <w:t>We have in the past and may in the future modify and adjust our models and methodologies used to calculate VaR and stressed V</w:t>
      </w:r>
      <w:r>
        <w:rPr>
          <w:rFonts w:ascii="Arial" w:eastAsia="宋体" w:hAnsi="Arial" w:cs="Arial"/>
          <w:color w:val="000000"/>
          <w:sz w:val="20"/>
          <w:szCs w:val="20"/>
        </w:rPr>
        <w:t>aR, subject to regulatory review and approval, and any future modifications and adjustments may result in changes in our VaR-based and stressed VaR-based measures.</w:t>
      </w:r>
    </w:p>
    <w:p w14:paraId="74DD9481" w14:textId="77777777" w:rsidR="00584EC1" w:rsidRDefault="00871F8D">
      <w:pPr>
        <w:ind w:firstLine="450"/>
        <w:jc w:val="both"/>
      </w:pPr>
      <w:r>
        <w:rPr>
          <w:rFonts w:ascii="Arial" w:eastAsia="宋体" w:hAnsi="Arial" w:cs="Arial"/>
          <w:color w:val="000000"/>
          <w:sz w:val="20"/>
          <w:szCs w:val="20"/>
        </w:rPr>
        <w:t>The following tables present the VaR and stressed-VaR associated with our trading activities</w:t>
      </w:r>
      <w:r>
        <w:rPr>
          <w:rFonts w:ascii="Arial" w:eastAsia="宋体" w:hAnsi="Arial" w:cs="Arial"/>
          <w:color w:val="000000"/>
          <w:sz w:val="20"/>
          <w:szCs w:val="20"/>
        </w:rPr>
        <w:t xml:space="preserve"> attributable to foreign exchange risk, interest rate risk and volatility risk as of September 30, 2021, June 30, 2021 and September 30, 2020, respectively. Diversification effect in the tables below represents the difference between total VaR and the sum </w:t>
      </w:r>
      <w:r>
        <w:rPr>
          <w:rFonts w:ascii="Arial" w:eastAsia="宋体" w:hAnsi="Arial" w:cs="Arial"/>
          <w:color w:val="000000"/>
          <w:sz w:val="20"/>
          <w:szCs w:val="20"/>
        </w:rPr>
        <w:t>of the VaRs for each trading activity. This effect arises because the risks present in our trading activities are not perfectly correlated.</w:t>
      </w:r>
    </w:p>
    <w:tbl>
      <w:tblPr>
        <w:tblW w:w="5000" w:type="pct"/>
        <w:tblCellMar>
          <w:top w:w="15" w:type="dxa"/>
          <w:left w:w="15" w:type="dxa"/>
          <w:bottom w:w="15" w:type="dxa"/>
          <w:right w:w="15" w:type="dxa"/>
        </w:tblCellMar>
        <w:tblLook w:val="04A0" w:firstRow="1" w:lastRow="0" w:firstColumn="1" w:lastColumn="0" w:noHBand="0" w:noVBand="1"/>
      </w:tblPr>
      <w:tblGrid>
        <w:gridCol w:w="56"/>
        <w:gridCol w:w="1075"/>
        <w:gridCol w:w="37"/>
        <w:gridCol w:w="94"/>
        <w:gridCol w:w="573"/>
        <w:gridCol w:w="37"/>
        <w:gridCol w:w="36"/>
        <w:gridCol w:w="36"/>
        <w:gridCol w:w="36"/>
        <w:gridCol w:w="93"/>
        <w:gridCol w:w="519"/>
        <w:gridCol w:w="36"/>
        <w:gridCol w:w="36"/>
        <w:gridCol w:w="36"/>
        <w:gridCol w:w="36"/>
        <w:gridCol w:w="94"/>
        <w:gridCol w:w="521"/>
        <w:gridCol w:w="37"/>
        <w:gridCol w:w="156"/>
        <w:gridCol w:w="110"/>
        <w:gridCol w:w="36"/>
        <w:gridCol w:w="36"/>
        <w:gridCol w:w="36"/>
        <w:gridCol w:w="94"/>
        <w:gridCol w:w="572"/>
        <w:gridCol w:w="37"/>
        <w:gridCol w:w="36"/>
        <w:gridCol w:w="36"/>
        <w:gridCol w:w="36"/>
        <w:gridCol w:w="93"/>
        <w:gridCol w:w="475"/>
        <w:gridCol w:w="36"/>
        <w:gridCol w:w="36"/>
        <w:gridCol w:w="36"/>
        <w:gridCol w:w="36"/>
        <w:gridCol w:w="94"/>
        <w:gridCol w:w="521"/>
        <w:gridCol w:w="37"/>
        <w:gridCol w:w="110"/>
        <w:gridCol w:w="111"/>
        <w:gridCol w:w="36"/>
        <w:gridCol w:w="36"/>
        <w:gridCol w:w="36"/>
        <w:gridCol w:w="94"/>
        <w:gridCol w:w="572"/>
        <w:gridCol w:w="37"/>
        <w:gridCol w:w="36"/>
        <w:gridCol w:w="36"/>
        <w:gridCol w:w="36"/>
        <w:gridCol w:w="93"/>
        <w:gridCol w:w="476"/>
        <w:gridCol w:w="36"/>
        <w:gridCol w:w="36"/>
        <w:gridCol w:w="36"/>
        <w:gridCol w:w="582"/>
      </w:tblGrid>
      <w:tr w:rsidR="00584EC1" w14:paraId="74DD94B9" w14:textId="77777777">
        <w:tc>
          <w:tcPr>
            <w:tcW w:w="50" w:type="pct"/>
            <w:shd w:val="clear" w:color="auto" w:fill="auto"/>
            <w:vAlign w:val="bottom"/>
          </w:tcPr>
          <w:p w14:paraId="74DD9482" w14:textId="77777777" w:rsidR="00584EC1" w:rsidRDefault="00584EC1">
            <w:pPr>
              <w:rPr>
                <w:rFonts w:ascii="宋体"/>
              </w:rPr>
            </w:pPr>
          </w:p>
        </w:tc>
        <w:tc>
          <w:tcPr>
            <w:tcW w:w="705" w:type="pct"/>
            <w:shd w:val="clear" w:color="auto" w:fill="auto"/>
            <w:vAlign w:val="bottom"/>
          </w:tcPr>
          <w:p w14:paraId="74DD9483" w14:textId="77777777" w:rsidR="00584EC1" w:rsidRDefault="00584EC1">
            <w:pPr>
              <w:rPr>
                <w:rFonts w:ascii="宋体"/>
              </w:rPr>
            </w:pPr>
          </w:p>
        </w:tc>
        <w:tc>
          <w:tcPr>
            <w:tcW w:w="5" w:type="pct"/>
            <w:shd w:val="clear" w:color="auto" w:fill="auto"/>
            <w:vAlign w:val="bottom"/>
          </w:tcPr>
          <w:p w14:paraId="74DD9484" w14:textId="77777777" w:rsidR="00584EC1" w:rsidRDefault="00584EC1">
            <w:pPr>
              <w:rPr>
                <w:rFonts w:ascii="宋体"/>
              </w:rPr>
            </w:pPr>
          </w:p>
        </w:tc>
        <w:tc>
          <w:tcPr>
            <w:tcW w:w="50" w:type="pct"/>
            <w:shd w:val="clear" w:color="auto" w:fill="auto"/>
            <w:vAlign w:val="bottom"/>
          </w:tcPr>
          <w:p w14:paraId="74DD9485" w14:textId="77777777" w:rsidR="00584EC1" w:rsidRDefault="00584EC1">
            <w:pPr>
              <w:rPr>
                <w:rFonts w:ascii="宋体"/>
              </w:rPr>
            </w:pPr>
          </w:p>
        </w:tc>
        <w:tc>
          <w:tcPr>
            <w:tcW w:w="383" w:type="pct"/>
            <w:shd w:val="clear" w:color="auto" w:fill="auto"/>
            <w:vAlign w:val="bottom"/>
          </w:tcPr>
          <w:p w14:paraId="74DD9486" w14:textId="77777777" w:rsidR="00584EC1" w:rsidRDefault="00584EC1">
            <w:pPr>
              <w:rPr>
                <w:rFonts w:ascii="宋体"/>
              </w:rPr>
            </w:pPr>
          </w:p>
        </w:tc>
        <w:tc>
          <w:tcPr>
            <w:tcW w:w="5" w:type="pct"/>
            <w:shd w:val="clear" w:color="auto" w:fill="auto"/>
            <w:vAlign w:val="bottom"/>
          </w:tcPr>
          <w:p w14:paraId="74DD9487" w14:textId="77777777" w:rsidR="00584EC1" w:rsidRDefault="00584EC1">
            <w:pPr>
              <w:rPr>
                <w:rFonts w:ascii="宋体"/>
              </w:rPr>
            </w:pPr>
          </w:p>
        </w:tc>
        <w:tc>
          <w:tcPr>
            <w:tcW w:w="5" w:type="pct"/>
            <w:shd w:val="clear" w:color="auto" w:fill="auto"/>
            <w:vAlign w:val="bottom"/>
          </w:tcPr>
          <w:p w14:paraId="74DD9488" w14:textId="77777777" w:rsidR="00584EC1" w:rsidRDefault="00584EC1">
            <w:pPr>
              <w:rPr>
                <w:rFonts w:ascii="宋体"/>
              </w:rPr>
            </w:pPr>
          </w:p>
        </w:tc>
        <w:tc>
          <w:tcPr>
            <w:tcW w:w="26" w:type="pct"/>
            <w:shd w:val="clear" w:color="auto" w:fill="auto"/>
            <w:vAlign w:val="bottom"/>
          </w:tcPr>
          <w:p w14:paraId="74DD9489" w14:textId="77777777" w:rsidR="00584EC1" w:rsidRDefault="00584EC1">
            <w:pPr>
              <w:rPr>
                <w:rFonts w:ascii="宋体"/>
              </w:rPr>
            </w:pPr>
          </w:p>
        </w:tc>
        <w:tc>
          <w:tcPr>
            <w:tcW w:w="5" w:type="pct"/>
            <w:shd w:val="clear" w:color="auto" w:fill="auto"/>
            <w:vAlign w:val="bottom"/>
          </w:tcPr>
          <w:p w14:paraId="74DD948A" w14:textId="77777777" w:rsidR="00584EC1" w:rsidRDefault="00584EC1">
            <w:pPr>
              <w:rPr>
                <w:rFonts w:ascii="宋体"/>
              </w:rPr>
            </w:pPr>
          </w:p>
        </w:tc>
        <w:tc>
          <w:tcPr>
            <w:tcW w:w="50" w:type="pct"/>
            <w:shd w:val="clear" w:color="auto" w:fill="auto"/>
            <w:vAlign w:val="bottom"/>
          </w:tcPr>
          <w:p w14:paraId="74DD948B" w14:textId="77777777" w:rsidR="00584EC1" w:rsidRDefault="00584EC1">
            <w:pPr>
              <w:rPr>
                <w:rFonts w:ascii="宋体"/>
              </w:rPr>
            </w:pPr>
          </w:p>
        </w:tc>
        <w:tc>
          <w:tcPr>
            <w:tcW w:w="383" w:type="pct"/>
            <w:shd w:val="clear" w:color="auto" w:fill="auto"/>
            <w:vAlign w:val="bottom"/>
          </w:tcPr>
          <w:p w14:paraId="74DD948C" w14:textId="77777777" w:rsidR="00584EC1" w:rsidRDefault="00584EC1">
            <w:pPr>
              <w:rPr>
                <w:rFonts w:ascii="宋体"/>
              </w:rPr>
            </w:pPr>
          </w:p>
        </w:tc>
        <w:tc>
          <w:tcPr>
            <w:tcW w:w="5" w:type="pct"/>
            <w:shd w:val="clear" w:color="auto" w:fill="auto"/>
            <w:vAlign w:val="bottom"/>
          </w:tcPr>
          <w:p w14:paraId="74DD948D" w14:textId="77777777" w:rsidR="00584EC1" w:rsidRDefault="00584EC1">
            <w:pPr>
              <w:rPr>
                <w:rFonts w:ascii="宋体"/>
              </w:rPr>
            </w:pPr>
          </w:p>
        </w:tc>
        <w:tc>
          <w:tcPr>
            <w:tcW w:w="5" w:type="pct"/>
            <w:shd w:val="clear" w:color="auto" w:fill="auto"/>
            <w:vAlign w:val="bottom"/>
          </w:tcPr>
          <w:p w14:paraId="74DD948E" w14:textId="77777777" w:rsidR="00584EC1" w:rsidRDefault="00584EC1">
            <w:pPr>
              <w:rPr>
                <w:rFonts w:ascii="宋体"/>
              </w:rPr>
            </w:pPr>
          </w:p>
        </w:tc>
        <w:tc>
          <w:tcPr>
            <w:tcW w:w="26" w:type="pct"/>
            <w:shd w:val="clear" w:color="auto" w:fill="auto"/>
            <w:vAlign w:val="bottom"/>
          </w:tcPr>
          <w:p w14:paraId="74DD948F" w14:textId="77777777" w:rsidR="00584EC1" w:rsidRDefault="00584EC1">
            <w:pPr>
              <w:rPr>
                <w:rFonts w:ascii="宋体"/>
              </w:rPr>
            </w:pPr>
          </w:p>
        </w:tc>
        <w:tc>
          <w:tcPr>
            <w:tcW w:w="5" w:type="pct"/>
            <w:shd w:val="clear" w:color="auto" w:fill="auto"/>
            <w:vAlign w:val="bottom"/>
          </w:tcPr>
          <w:p w14:paraId="74DD9490" w14:textId="77777777" w:rsidR="00584EC1" w:rsidRDefault="00584EC1">
            <w:pPr>
              <w:rPr>
                <w:rFonts w:ascii="宋体"/>
              </w:rPr>
            </w:pPr>
          </w:p>
        </w:tc>
        <w:tc>
          <w:tcPr>
            <w:tcW w:w="50" w:type="pct"/>
            <w:shd w:val="clear" w:color="auto" w:fill="auto"/>
            <w:vAlign w:val="bottom"/>
          </w:tcPr>
          <w:p w14:paraId="74DD9491" w14:textId="77777777" w:rsidR="00584EC1" w:rsidRDefault="00584EC1">
            <w:pPr>
              <w:rPr>
                <w:rFonts w:ascii="宋体"/>
              </w:rPr>
            </w:pPr>
          </w:p>
        </w:tc>
        <w:tc>
          <w:tcPr>
            <w:tcW w:w="383" w:type="pct"/>
            <w:shd w:val="clear" w:color="auto" w:fill="auto"/>
            <w:vAlign w:val="bottom"/>
          </w:tcPr>
          <w:p w14:paraId="74DD9492" w14:textId="77777777" w:rsidR="00584EC1" w:rsidRDefault="00584EC1">
            <w:pPr>
              <w:rPr>
                <w:rFonts w:ascii="宋体"/>
              </w:rPr>
            </w:pPr>
          </w:p>
        </w:tc>
        <w:tc>
          <w:tcPr>
            <w:tcW w:w="5" w:type="pct"/>
            <w:shd w:val="clear" w:color="auto" w:fill="auto"/>
            <w:vAlign w:val="bottom"/>
          </w:tcPr>
          <w:p w14:paraId="74DD9493" w14:textId="77777777" w:rsidR="00584EC1" w:rsidRDefault="00584EC1">
            <w:pPr>
              <w:rPr>
                <w:rFonts w:ascii="宋体"/>
              </w:rPr>
            </w:pPr>
          </w:p>
        </w:tc>
        <w:tc>
          <w:tcPr>
            <w:tcW w:w="0" w:type="auto"/>
            <w:shd w:val="clear" w:color="auto" w:fill="auto"/>
            <w:vAlign w:val="bottom"/>
          </w:tcPr>
          <w:p w14:paraId="74DD9494" w14:textId="77777777" w:rsidR="00584EC1" w:rsidRDefault="00584EC1">
            <w:pPr>
              <w:rPr>
                <w:rFonts w:ascii="宋体"/>
                <w:vanish/>
              </w:rPr>
            </w:pPr>
          </w:p>
        </w:tc>
        <w:tc>
          <w:tcPr>
            <w:tcW w:w="0" w:type="auto"/>
            <w:shd w:val="clear" w:color="auto" w:fill="auto"/>
            <w:vAlign w:val="bottom"/>
          </w:tcPr>
          <w:p w14:paraId="74DD9495" w14:textId="77777777" w:rsidR="00584EC1" w:rsidRDefault="00584EC1">
            <w:pPr>
              <w:rPr>
                <w:rFonts w:ascii="宋体"/>
                <w:vanish/>
              </w:rPr>
            </w:pPr>
          </w:p>
        </w:tc>
        <w:tc>
          <w:tcPr>
            <w:tcW w:w="5" w:type="pct"/>
            <w:shd w:val="clear" w:color="auto" w:fill="auto"/>
            <w:vAlign w:val="bottom"/>
          </w:tcPr>
          <w:p w14:paraId="74DD9496" w14:textId="77777777" w:rsidR="00584EC1" w:rsidRDefault="00584EC1">
            <w:pPr>
              <w:rPr>
                <w:rFonts w:ascii="宋体"/>
              </w:rPr>
            </w:pPr>
          </w:p>
        </w:tc>
        <w:tc>
          <w:tcPr>
            <w:tcW w:w="26" w:type="pct"/>
            <w:shd w:val="clear" w:color="auto" w:fill="auto"/>
            <w:vAlign w:val="bottom"/>
          </w:tcPr>
          <w:p w14:paraId="74DD9497" w14:textId="77777777" w:rsidR="00584EC1" w:rsidRDefault="00584EC1">
            <w:pPr>
              <w:rPr>
                <w:rFonts w:ascii="宋体"/>
              </w:rPr>
            </w:pPr>
          </w:p>
        </w:tc>
        <w:tc>
          <w:tcPr>
            <w:tcW w:w="5" w:type="pct"/>
            <w:shd w:val="clear" w:color="auto" w:fill="auto"/>
            <w:vAlign w:val="bottom"/>
          </w:tcPr>
          <w:p w14:paraId="74DD9498" w14:textId="77777777" w:rsidR="00584EC1" w:rsidRDefault="00584EC1">
            <w:pPr>
              <w:rPr>
                <w:rFonts w:ascii="宋体"/>
              </w:rPr>
            </w:pPr>
          </w:p>
        </w:tc>
        <w:tc>
          <w:tcPr>
            <w:tcW w:w="50" w:type="pct"/>
            <w:shd w:val="clear" w:color="auto" w:fill="auto"/>
            <w:vAlign w:val="bottom"/>
          </w:tcPr>
          <w:p w14:paraId="74DD9499" w14:textId="77777777" w:rsidR="00584EC1" w:rsidRDefault="00584EC1">
            <w:pPr>
              <w:rPr>
                <w:rFonts w:ascii="宋体"/>
              </w:rPr>
            </w:pPr>
          </w:p>
        </w:tc>
        <w:tc>
          <w:tcPr>
            <w:tcW w:w="383" w:type="pct"/>
            <w:shd w:val="clear" w:color="auto" w:fill="auto"/>
            <w:vAlign w:val="bottom"/>
          </w:tcPr>
          <w:p w14:paraId="74DD949A" w14:textId="77777777" w:rsidR="00584EC1" w:rsidRDefault="00584EC1">
            <w:pPr>
              <w:rPr>
                <w:rFonts w:ascii="宋体"/>
              </w:rPr>
            </w:pPr>
          </w:p>
        </w:tc>
        <w:tc>
          <w:tcPr>
            <w:tcW w:w="5" w:type="pct"/>
            <w:shd w:val="clear" w:color="auto" w:fill="auto"/>
            <w:vAlign w:val="bottom"/>
          </w:tcPr>
          <w:p w14:paraId="74DD949B" w14:textId="77777777" w:rsidR="00584EC1" w:rsidRDefault="00584EC1">
            <w:pPr>
              <w:rPr>
                <w:rFonts w:ascii="宋体"/>
              </w:rPr>
            </w:pPr>
          </w:p>
        </w:tc>
        <w:tc>
          <w:tcPr>
            <w:tcW w:w="5" w:type="pct"/>
            <w:shd w:val="clear" w:color="auto" w:fill="auto"/>
            <w:vAlign w:val="bottom"/>
          </w:tcPr>
          <w:p w14:paraId="74DD949C" w14:textId="77777777" w:rsidR="00584EC1" w:rsidRDefault="00584EC1">
            <w:pPr>
              <w:rPr>
                <w:rFonts w:ascii="宋体"/>
              </w:rPr>
            </w:pPr>
          </w:p>
        </w:tc>
        <w:tc>
          <w:tcPr>
            <w:tcW w:w="26" w:type="pct"/>
            <w:shd w:val="clear" w:color="auto" w:fill="auto"/>
            <w:vAlign w:val="bottom"/>
          </w:tcPr>
          <w:p w14:paraId="74DD949D" w14:textId="77777777" w:rsidR="00584EC1" w:rsidRDefault="00584EC1">
            <w:pPr>
              <w:rPr>
                <w:rFonts w:ascii="宋体"/>
              </w:rPr>
            </w:pPr>
          </w:p>
        </w:tc>
        <w:tc>
          <w:tcPr>
            <w:tcW w:w="5" w:type="pct"/>
            <w:shd w:val="clear" w:color="auto" w:fill="auto"/>
            <w:vAlign w:val="bottom"/>
          </w:tcPr>
          <w:p w14:paraId="74DD949E" w14:textId="77777777" w:rsidR="00584EC1" w:rsidRDefault="00584EC1">
            <w:pPr>
              <w:rPr>
                <w:rFonts w:ascii="宋体"/>
              </w:rPr>
            </w:pPr>
          </w:p>
        </w:tc>
        <w:tc>
          <w:tcPr>
            <w:tcW w:w="50" w:type="pct"/>
            <w:shd w:val="clear" w:color="auto" w:fill="auto"/>
            <w:vAlign w:val="bottom"/>
          </w:tcPr>
          <w:p w14:paraId="74DD949F" w14:textId="77777777" w:rsidR="00584EC1" w:rsidRDefault="00584EC1">
            <w:pPr>
              <w:rPr>
                <w:rFonts w:ascii="宋体"/>
              </w:rPr>
            </w:pPr>
          </w:p>
        </w:tc>
        <w:tc>
          <w:tcPr>
            <w:tcW w:w="383" w:type="pct"/>
            <w:shd w:val="clear" w:color="auto" w:fill="auto"/>
            <w:vAlign w:val="bottom"/>
          </w:tcPr>
          <w:p w14:paraId="74DD94A0" w14:textId="77777777" w:rsidR="00584EC1" w:rsidRDefault="00584EC1">
            <w:pPr>
              <w:rPr>
                <w:rFonts w:ascii="宋体"/>
              </w:rPr>
            </w:pPr>
          </w:p>
        </w:tc>
        <w:tc>
          <w:tcPr>
            <w:tcW w:w="5" w:type="pct"/>
            <w:shd w:val="clear" w:color="auto" w:fill="auto"/>
            <w:vAlign w:val="bottom"/>
          </w:tcPr>
          <w:p w14:paraId="74DD94A1" w14:textId="77777777" w:rsidR="00584EC1" w:rsidRDefault="00584EC1">
            <w:pPr>
              <w:rPr>
                <w:rFonts w:ascii="宋体"/>
              </w:rPr>
            </w:pPr>
          </w:p>
        </w:tc>
        <w:tc>
          <w:tcPr>
            <w:tcW w:w="5" w:type="pct"/>
            <w:shd w:val="clear" w:color="auto" w:fill="auto"/>
            <w:vAlign w:val="bottom"/>
          </w:tcPr>
          <w:p w14:paraId="74DD94A2" w14:textId="77777777" w:rsidR="00584EC1" w:rsidRDefault="00584EC1">
            <w:pPr>
              <w:rPr>
                <w:rFonts w:ascii="宋体"/>
              </w:rPr>
            </w:pPr>
          </w:p>
        </w:tc>
        <w:tc>
          <w:tcPr>
            <w:tcW w:w="26" w:type="pct"/>
            <w:shd w:val="clear" w:color="auto" w:fill="auto"/>
            <w:vAlign w:val="bottom"/>
          </w:tcPr>
          <w:p w14:paraId="74DD94A3" w14:textId="77777777" w:rsidR="00584EC1" w:rsidRDefault="00584EC1">
            <w:pPr>
              <w:rPr>
                <w:rFonts w:ascii="宋体"/>
              </w:rPr>
            </w:pPr>
          </w:p>
        </w:tc>
        <w:tc>
          <w:tcPr>
            <w:tcW w:w="5" w:type="pct"/>
            <w:shd w:val="clear" w:color="auto" w:fill="auto"/>
            <w:vAlign w:val="bottom"/>
          </w:tcPr>
          <w:p w14:paraId="74DD94A4" w14:textId="77777777" w:rsidR="00584EC1" w:rsidRDefault="00584EC1">
            <w:pPr>
              <w:rPr>
                <w:rFonts w:ascii="宋体"/>
              </w:rPr>
            </w:pPr>
          </w:p>
        </w:tc>
        <w:tc>
          <w:tcPr>
            <w:tcW w:w="50" w:type="pct"/>
            <w:shd w:val="clear" w:color="auto" w:fill="auto"/>
            <w:vAlign w:val="bottom"/>
          </w:tcPr>
          <w:p w14:paraId="74DD94A5" w14:textId="77777777" w:rsidR="00584EC1" w:rsidRDefault="00584EC1">
            <w:pPr>
              <w:rPr>
                <w:rFonts w:ascii="宋体"/>
              </w:rPr>
            </w:pPr>
          </w:p>
        </w:tc>
        <w:tc>
          <w:tcPr>
            <w:tcW w:w="383" w:type="pct"/>
            <w:shd w:val="clear" w:color="auto" w:fill="auto"/>
            <w:vAlign w:val="bottom"/>
          </w:tcPr>
          <w:p w14:paraId="74DD94A6" w14:textId="77777777" w:rsidR="00584EC1" w:rsidRDefault="00584EC1">
            <w:pPr>
              <w:rPr>
                <w:rFonts w:ascii="宋体"/>
              </w:rPr>
            </w:pPr>
          </w:p>
        </w:tc>
        <w:tc>
          <w:tcPr>
            <w:tcW w:w="5" w:type="pct"/>
            <w:shd w:val="clear" w:color="auto" w:fill="auto"/>
            <w:vAlign w:val="bottom"/>
          </w:tcPr>
          <w:p w14:paraId="74DD94A7" w14:textId="77777777" w:rsidR="00584EC1" w:rsidRDefault="00584EC1">
            <w:pPr>
              <w:rPr>
                <w:rFonts w:ascii="宋体"/>
              </w:rPr>
            </w:pPr>
          </w:p>
        </w:tc>
        <w:tc>
          <w:tcPr>
            <w:tcW w:w="0" w:type="auto"/>
            <w:shd w:val="clear" w:color="auto" w:fill="auto"/>
            <w:vAlign w:val="bottom"/>
          </w:tcPr>
          <w:p w14:paraId="74DD94A8" w14:textId="77777777" w:rsidR="00584EC1" w:rsidRDefault="00584EC1">
            <w:pPr>
              <w:rPr>
                <w:rFonts w:ascii="宋体"/>
                <w:vanish/>
              </w:rPr>
            </w:pPr>
          </w:p>
        </w:tc>
        <w:tc>
          <w:tcPr>
            <w:tcW w:w="0" w:type="auto"/>
            <w:shd w:val="clear" w:color="auto" w:fill="auto"/>
            <w:vAlign w:val="bottom"/>
          </w:tcPr>
          <w:p w14:paraId="74DD94A9" w14:textId="77777777" w:rsidR="00584EC1" w:rsidRDefault="00584EC1">
            <w:pPr>
              <w:rPr>
                <w:rFonts w:ascii="宋体"/>
                <w:vanish/>
              </w:rPr>
            </w:pPr>
          </w:p>
        </w:tc>
        <w:tc>
          <w:tcPr>
            <w:tcW w:w="5" w:type="pct"/>
            <w:shd w:val="clear" w:color="auto" w:fill="auto"/>
            <w:vAlign w:val="bottom"/>
          </w:tcPr>
          <w:p w14:paraId="74DD94AA" w14:textId="77777777" w:rsidR="00584EC1" w:rsidRDefault="00584EC1">
            <w:pPr>
              <w:rPr>
                <w:rFonts w:ascii="宋体"/>
              </w:rPr>
            </w:pPr>
          </w:p>
        </w:tc>
        <w:tc>
          <w:tcPr>
            <w:tcW w:w="26" w:type="pct"/>
            <w:shd w:val="clear" w:color="auto" w:fill="auto"/>
            <w:vAlign w:val="bottom"/>
          </w:tcPr>
          <w:p w14:paraId="74DD94AB" w14:textId="77777777" w:rsidR="00584EC1" w:rsidRDefault="00584EC1">
            <w:pPr>
              <w:rPr>
                <w:rFonts w:ascii="宋体"/>
              </w:rPr>
            </w:pPr>
          </w:p>
        </w:tc>
        <w:tc>
          <w:tcPr>
            <w:tcW w:w="5" w:type="pct"/>
            <w:shd w:val="clear" w:color="auto" w:fill="auto"/>
            <w:vAlign w:val="bottom"/>
          </w:tcPr>
          <w:p w14:paraId="74DD94AC" w14:textId="77777777" w:rsidR="00584EC1" w:rsidRDefault="00584EC1">
            <w:pPr>
              <w:rPr>
                <w:rFonts w:ascii="宋体"/>
              </w:rPr>
            </w:pPr>
          </w:p>
        </w:tc>
        <w:tc>
          <w:tcPr>
            <w:tcW w:w="50" w:type="pct"/>
            <w:shd w:val="clear" w:color="auto" w:fill="auto"/>
            <w:vAlign w:val="bottom"/>
          </w:tcPr>
          <w:p w14:paraId="74DD94AD" w14:textId="77777777" w:rsidR="00584EC1" w:rsidRDefault="00584EC1">
            <w:pPr>
              <w:rPr>
                <w:rFonts w:ascii="宋体"/>
              </w:rPr>
            </w:pPr>
          </w:p>
        </w:tc>
        <w:tc>
          <w:tcPr>
            <w:tcW w:w="383" w:type="pct"/>
            <w:shd w:val="clear" w:color="auto" w:fill="auto"/>
            <w:vAlign w:val="bottom"/>
          </w:tcPr>
          <w:p w14:paraId="74DD94AE" w14:textId="77777777" w:rsidR="00584EC1" w:rsidRDefault="00584EC1">
            <w:pPr>
              <w:rPr>
                <w:rFonts w:ascii="宋体"/>
              </w:rPr>
            </w:pPr>
          </w:p>
        </w:tc>
        <w:tc>
          <w:tcPr>
            <w:tcW w:w="5" w:type="pct"/>
            <w:shd w:val="clear" w:color="auto" w:fill="auto"/>
            <w:vAlign w:val="bottom"/>
          </w:tcPr>
          <w:p w14:paraId="74DD94AF" w14:textId="77777777" w:rsidR="00584EC1" w:rsidRDefault="00584EC1">
            <w:pPr>
              <w:rPr>
                <w:rFonts w:ascii="宋体"/>
              </w:rPr>
            </w:pPr>
          </w:p>
        </w:tc>
        <w:tc>
          <w:tcPr>
            <w:tcW w:w="5" w:type="pct"/>
            <w:shd w:val="clear" w:color="auto" w:fill="auto"/>
            <w:vAlign w:val="bottom"/>
          </w:tcPr>
          <w:p w14:paraId="74DD94B0" w14:textId="77777777" w:rsidR="00584EC1" w:rsidRDefault="00584EC1">
            <w:pPr>
              <w:rPr>
                <w:rFonts w:ascii="宋体"/>
              </w:rPr>
            </w:pPr>
          </w:p>
        </w:tc>
        <w:tc>
          <w:tcPr>
            <w:tcW w:w="26" w:type="pct"/>
            <w:shd w:val="clear" w:color="auto" w:fill="auto"/>
            <w:vAlign w:val="bottom"/>
          </w:tcPr>
          <w:p w14:paraId="74DD94B1" w14:textId="77777777" w:rsidR="00584EC1" w:rsidRDefault="00584EC1">
            <w:pPr>
              <w:rPr>
                <w:rFonts w:ascii="宋体"/>
              </w:rPr>
            </w:pPr>
          </w:p>
        </w:tc>
        <w:tc>
          <w:tcPr>
            <w:tcW w:w="5" w:type="pct"/>
            <w:shd w:val="clear" w:color="auto" w:fill="auto"/>
            <w:vAlign w:val="bottom"/>
          </w:tcPr>
          <w:p w14:paraId="74DD94B2" w14:textId="77777777" w:rsidR="00584EC1" w:rsidRDefault="00584EC1">
            <w:pPr>
              <w:rPr>
                <w:rFonts w:ascii="宋体"/>
              </w:rPr>
            </w:pPr>
          </w:p>
        </w:tc>
        <w:tc>
          <w:tcPr>
            <w:tcW w:w="50" w:type="pct"/>
            <w:shd w:val="clear" w:color="auto" w:fill="auto"/>
            <w:vAlign w:val="bottom"/>
          </w:tcPr>
          <w:p w14:paraId="74DD94B3" w14:textId="77777777" w:rsidR="00584EC1" w:rsidRDefault="00584EC1">
            <w:pPr>
              <w:rPr>
                <w:rFonts w:ascii="宋体"/>
              </w:rPr>
            </w:pPr>
          </w:p>
        </w:tc>
        <w:tc>
          <w:tcPr>
            <w:tcW w:w="383" w:type="pct"/>
            <w:shd w:val="clear" w:color="auto" w:fill="auto"/>
            <w:vAlign w:val="bottom"/>
          </w:tcPr>
          <w:p w14:paraId="74DD94B4" w14:textId="77777777" w:rsidR="00584EC1" w:rsidRDefault="00584EC1">
            <w:pPr>
              <w:rPr>
                <w:rFonts w:ascii="宋体"/>
              </w:rPr>
            </w:pPr>
          </w:p>
        </w:tc>
        <w:tc>
          <w:tcPr>
            <w:tcW w:w="5" w:type="pct"/>
            <w:shd w:val="clear" w:color="auto" w:fill="auto"/>
            <w:vAlign w:val="bottom"/>
          </w:tcPr>
          <w:p w14:paraId="74DD94B5" w14:textId="77777777" w:rsidR="00584EC1" w:rsidRDefault="00584EC1">
            <w:pPr>
              <w:rPr>
                <w:rFonts w:ascii="宋体"/>
              </w:rPr>
            </w:pPr>
          </w:p>
        </w:tc>
        <w:tc>
          <w:tcPr>
            <w:tcW w:w="5" w:type="pct"/>
            <w:shd w:val="clear" w:color="auto" w:fill="auto"/>
            <w:vAlign w:val="bottom"/>
          </w:tcPr>
          <w:p w14:paraId="74DD94B6" w14:textId="77777777" w:rsidR="00584EC1" w:rsidRDefault="00584EC1">
            <w:pPr>
              <w:rPr>
                <w:rFonts w:ascii="宋体"/>
              </w:rPr>
            </w:pPr>
          </w:p>
        </w:tc>
        <w:tc>
          <w:tcPr>
            <w:tcW w:w="26" w:type="pct"/>
            <w:shd w:val="clear" w:color="auto" w:fill="auto"/>
            <w:vAlign w:val="bottom"/>
          </w:tcPr>
          <w:p w14:paraId="74DD94B7" w14:textId="77777777" w:rsidR="00584EC1" w:rsidRDefault="00584EC1">
            <w:pPr>
              <w:rPr>
                <w:rFonts w:ascii="宋体"/>
              </w:rPr>
            </w:pPr>
          </w:p>
        </w:tc>
        <w:tc>
          <w:tcPr>
            <w:tcW w:w="5" w:type="pct"/>
            <w:shd w:val="clear" w:color="auto" w:fill="auto"/>
            <w:vAlign w:val="bottom"/>
          </w:tcPr>
          <w:p w14:paraId="74DD94B8" w14:textId="77777777" w:rsidR="00584EC1" w:rsidRDefault="00584EC1">
            <w:pPr>
              <w:rPr>
                <w:rFonts w:ascii="宋体"/>
              </w:rPr>
            </w:pPr>
          </w:p>
        </w:tc>
      </w:tr>
      <w:tr w:rsidR="00584EC1" w14:paraId="74DD94BF" w14:textId="77777777">
        <w:tc>
          <w:tcPr>
            <w:tcW w:w="0" w:type="auto"/>
            <w:gridSpan w:val="46"/>
            <w:shd w:val="clear" w:color="auto" w:fill="auto"/>
            <w:tcMar>
              <w:top w:w="40" w:type="dxa"/>
              <w:left w:w="20" w:type="dxa"/>
              <w:bottom w:w="40" w:type="dxa"/>
              <w:right w:w="20" w:type="dxa"/>
            </w:tcMar>
            <w:vAlign w:val="bottom"/>
          </w:tcPr>
          <w:p w14:paraId="74DD94BA" w14:textId="77777777" w:rsidR="00584EC1" w:rsidRDefault="00871F8D">
            <w:pPr>
              <w:spacing w:after="20"/>
              <w:textAlignment w:val="bottom"/>
            </w:pPr>
            <w:r>
              <w:rPr>
                <w:rFonts w:ascii="Arial" w:eastAsia="宋体" w:hAnsi="Arial" w:cs="Arial"/>
                <w:b/>
                <w:bCs/>
                <w:color w:val="000000"/>
                <w:sz w:val="16"/>
                <w:szCs w:val="16"/>
              </w:rPr>
              <w:t>TABLE 30: TEN-DAY VaR ASSOCIATED WITH TRADING ACTIVITIES BY RISK FACTOR</w:t>
            </w:r>
            <w:r>
              <w:rPr>
                <w:rFonts w:ascii="Arial" w:eastAsia="宋体" w:hAnsi="Arial" w:cs="Arial"/>
                <w:b/>
                <w:bCs/>
                <w:color w:val="000000"/>
                <w:sz w:val="10"/>
                <w:szCs w:val="10"/>
              </w:rPr>
              <w:t>(1)</w:t>
            </w:r>
          </w:p>
        </w:tc>
        <w:tc>
          <w:tcPr>
            <w:tcW w:w="0" w:type="auto"/>
            <w:gridSpan w:val="3"/>
            <w:shd w:val="clear" w:color="auto" w:fill="auto"/>
            <w:vAlign w:val="bottom"/>
          </w:tcPr>
          <w:p w14:paraId="74DD94BB" w14:textId="77777777" w:rsidR="00584EC1" w:rsidRDefault="00584EC1">
            <w:pPr>
              <w:rPr>
                <w:rFonts w:ascii="宋体"/>
                <w:vanish/>
              </w:rPr>
            </w:pPr>
          </w:p>
        </w:tc>
        <w:tc>
          <w:tcPr>
            <w:tcW w:w="0" w:type="auto"/>
            <w:gridSpan w:val="3"/>
            <w:shd w:val="clear" w:color="auto" w:fill="auto"/>
            <w:vAlign w:val="bottom"/>
          </w:tcPr>
          <w:p w14:paraId="74DD94BC" w14:textId="77777777" w:rsidR="00584EC1" w:rsidRDefault="00584EC1">
            <w:pPr>
              <w:rPr>
                <w:rFonts w:ascii="宋体"/>
                <w:vanish/>
              </w:rPr>
            </w:pPr>
          </w:p>
        </w:tc>
        <w:tc>
          <w:tcPr>
            <w:tcW w:w="0" w:type="auto"/>
            <w:gridSpan w:val="2"/>
            <w:shd w:val="clear" w:color="auto" w:fill="auto"/>
            <w:vAlign w:val="bottom"/>
          </w:tcPr>
          <w:p w14:paraId="74DD94BD" w14:textId="77777777" w:rsidR="00584EC1" w:rsidRDefault="00584EC1">
            <w:pPr>
              <w:rPr>
                <w:rFonts w:ascii="宋体"/>
                <w:vanish/>
              </w:rPr>
            </w:pPr>
          </w:p>
        </w:tc>
        <w:tc>
          <w:tcPr>
            <w:tcW w:w="0" w:type="auto"/>
            <w:shd w:val="clear" w:color="auto" w:fill="auto"/>
            <w:vAlign w:val="bottom"/>
          </w:tcPr>
          <w:p w14:paraId="74DD94BE" w14:textId="77777777" w:rsidR="00584EC1" w:rsidRDefault="00584EC1">
            <w:pPr>
              <w:rPr>
                <w:rFonts w:ascii="宋体"/>
                <w:vanish/>
              </w:rPr>
            </w:pPr>
          </w:p>
        </w:tc>
      </w:tr>
      <w:tr w:rsidR="00584EC1" w14:paraId="74DD94C9" w14:textId="77777777">
        <w:tc>
          <w:tcPr>
            <w:tcW w:w="0" w:type="auto"/>
            <w:gridSpan w:val="3"/>
            <w:shd w:val="clear" w:color="auto" w:fill="auto"/>
            <w:tcMar>
              <w:top w:w="0" w:type="dxa"/>
              <w:left w:w="20" w:type="dxa"/>
              <w:bottom w:w="0" w:type="dxa"/>
              <w:right w:w="20" w:type="dxa"/>
            </w:tcMar>
            <w:vAlign w:val="bottom"/>
          </w:tcPr>
          <w:p w14:paraId="74DD94C0" w14:textId="77777777" w:rsidR="00584EC1" w:rsidRDefault="00584EC1">
            <w:pPr>
              <w:rPr>
                <w:rFonts w:ascii="宋体"/>
              </w:rPr>
            </w:pPr>
          </w:p>
        </w:tc>
        <w:tc>
          <w:tcPr>
            <w:tcW w:w="0" w:type="auto"/>
            <w:gridSpan w:val="15"/>
            <w:shd w:val="clear" w:color="auto" w:fill="auto"/>
            <w:tcMar>
              <w:top w:w="40" w:type="dxa"/>
              <w:left w:w="20" w:type="dxa"/>
              <w:bottom w:w="40" w:type="dxa"/>
              <w:right w:w="20" w:type="dxa"/>
            </w:tcMar>
            <w:vAlign w:val="bottom"/>
          </w:tcPr>
          <w:p w14:paraId="74DD94C1" w14:textId="77777777" w:rsidR="00584EC1" w:rsidRDefault="00871F8D">
            <w:pPr>
              <w:spacing w:after="20"/>
              <w:jc w:val="center"/>
              <w:textAlignment w:val="bottom"/>
            </w:pPr>
            <w:r>
              <w:rPr>
                <w:rFonts w:ascii="Arial" w:eastAsia="宋体" w:hAnsi="Arial" w:cs="Arial"/>
                <w:b/>
                <w:bCs/>
                <w:color w:val="000000"/>
                <w:sz w:val="13"/>
                <w:szCs w:val="13"/>
              </w:rPr>
              <w:t>As of September 30, 2021</w:t>
            </w:r>
          </w:p>
        </w:tc>
        <w:tc>
          <w:tcPr>
            <w:tcW w:w="0" w:type="auto"/>
            <w:shd w:val="clear" w:color="auto" w:fill="auto"/>
            <w:tcMar>
              <w:top w:w="0" w:type="dxa"/>
              <w:left w:w="20" w:type="dxa"/>
              <w:bottom w:w="0" w:type="dxa"/>
              <w:right w:w="20" w:type="dxa"/>
            </w:tcMar>
            <w:vAlign w:val="bottom"/>
          </w:tcPr>
          <w:p w14:paraId="74DD94C2" w14:textId="77777777" w:rsidR="00584EC1" w:rsidRDefault="00584EC1">
            <w:pPr>
              <w:rPr>
                <w:rFonts w:ascii="宋体"/>
              </w:rPr>
            </w:pPr>
          </w:p>
        </w:tc>
        <w:tc>
          <w:tcPr>
            <w:tcW w:w="0" w:type="auto"/>
            <w:gridSpan w:val="13"/>
            <w:shd w:val="clear" w:color="auto" w:fill="auto"/>
            <w:tcMar>
              <w:top w:w="40" w:type="dxa"/>
              <w:left w:w="20" w:type="dxa"/>
              <w:bottom w:w="40" w:type="dxa"/>
              <w:right w:w="20" w:type="dxa"/>
            </w:tcMar>
            <w:vAlign w:val="bottom"/>
          </w:tcPr>
          <w:p w14:paraId="74DD94C3" w14:textId="77777777" w:rsidR="00584EC1" w:rsidRDefault="00871F8D">
            <w:pPr>
              <w:spacing w:after="20"/>
              <w:jc w:val="center"/>
              <w:textAlignment w:val="bottom"/>
            </w:pPr>
            <w:r>
              <w:rPr>
                <w:rFonts w:ascii="Arial" w:eastAsia="宋体" w:hAnsi="Arial" w:cs="Arial"/>
                <w:b/>
                <w:bCs/>
                <w:color w:val="000000"/>
                <w:sz w:val="13"/>
                <w:szCs w:val="13"/>
              </w:rPr>
              <w:t>As of June 30, 2021</w:t>
            </w:r>
          </w:p>
        </w:tc>
        <w:tc>
          <w:tcPr>
            <w:tcW w:w="0" w:type="auto"/>
            <w:gridSpan w:val="3"/>
            <w:shd w:val="clear" w:color="auto" w:fill="auto"/>
            <w:tcMar>
              <w:top w:w="0" w:type="dxa"/>
              <w:left w:w="20" w:type="dxa"/>
              <w:bottom w:w="0" w:type="dxa"/>
              <w:right w:w="20" w:type="dxa"/>
            </w:tcMar>
            <w:vAlign w:val="bottom"/>
          </w:tcPr>
          <w:p w14:paraId="74DD94C4" w14:textId="77777777" w:rsidR="00584EC1" w:rsidRDefault="00584EC1">
            <w:pPr>
              <w:rPr>
                <w:rFonts w:ascii="宋体"/>
              </w:rPr>
            </w:pPr>
          </w:p>
        </w:tc>
        <w:tc>
          <w:tcPr>
            <w:tcW w:w="0" w:type="auto"/>
            <w:gridSpan w:val="11"/>
            <w:shd w:val="clear" w:color="auto" w:fill="auto"/>
            <w:tcMar>
              <w:top w:w="40" w:type="dxa"/>
              <w:left w:w="20" w:type="dxa"/>
              <w:bottom w:w="40" w:type="dxa"/>
              <w:right w:w="20" w:type="dxa"/>
            </w:tcMar>
            <w:vAlign w:val="bottom"/>
          </w:tcPr>
          <w:p w14:paraId="74DD94C5" w14:textId="77777777" w:rsidR="00584EC1" w:rsidRDefault="00871F8D">
            <w:pPr>
              <w:spacing w:after="20"/>
              <w:jc w:val="center"/>
              <w:textAlignment w:val="bottom"/>
            </w:pPr>
            <w:r>
              <w:rPr>
                <w:rFonts w:ascii="Arial" w:eastAsia="宋体" w:hAnsi="Arial" w:cs="Arial"/>
                <w:b/>
                <w:bCs/>
                <w:color w:val="000000"/>
                <w:sz w:val="13"/>
                <w:szCs w:val="13"/>
              </w:rPr>
              <w:t>As of September 30, 2020</w:t>
            </w:r>
          </w:p>
        </w:tc>
        <w:tc>
          <w:tcPr>
            <w:tcW w:w="0" w:type="auto"/>
            <w:gridSpan w:val="3"/>
            <w:shd w:val="clear" w:color="auto" w:fill="auto"/>
            <w:vAlign w:val="bottom"/>
          </w:tcPr>
          <w:p w14:paraId="74DD94C6" w14:textId="77777777" w:rsidR="00584EC1" w:rsidRDefault="00584EC1">
            <w:pPr>
              <w:rPr>
                <w:rFonts w:ascii="宋体"/>
                <w:vanish/>
              </w:rPr>
            </w:pPr>
          </w:p>
        </w:tc>
        <w:tc>
          <w:tcPr>
            <w:tcW w:w="0" w:type="auto"/>
            <w:gridSpan w:val="3"/>
            <w:shd w:val="clear" w:color="auto" w:fill="auto"/>
            <w:vAlign w:val="bottom"/>
          </w:tcPr>
          <w:p w14:paraId="74DD94C7" w14:textId="77777777" w:rsidR="00584EC1" w:rsidRDefault="00584EC1">
            <w:pPr>
              <w:rPr>
                <w:rFonts w:ascii="宋体"/>
                <w:vanish/>
              </w:rPr>
            </w:pPr>
          </w:p>
        </w:tc>
        <w:tc>
          <w:tcPr>
            <w:tcW w:w="0" w:type="auto"/>
            <w:gridSpan w:val="3"/>
            <w:shd w:val="clear" w:color="auto" w:fill="auto"/>
            <w:vAlign w:val="bottom"/>
          </w:tcPr>
          <w:p w14:paraId="74DD94C8" w14:textId="77777777" w:rsidR="00584EC1" w:rsidRDefault="00584EC1">
            <w:pPr>
              <w:rPr>
                <w:rFonts w:ascii="宋体"/>
                <w:vanish/>
              </w:rPr>
            </w:pPr>
          </w:p>
        </w:tc>
      </w:tr>
      <w:tr w:rsidR="00584EC1" w14:paraId="74DD94E0" w14:textId="77777777">
        <w:tc>
          <w:tcPr>
            <w:tcW w:w="0" w:type="auto"/>
            <w:gridSpan w:val="3"/>
            <w:shd w:val="clear" w:color="auto" w:fill="auto"/>
            <w:tcMar>
              <w:top w:w="40" w:type="dxa"/>
              <w:left w:w="20" w:type="dxa"/>
              <w:bottom w:w="40" w:type="dxa"/>
              <w:right w:w="20" w:type="dxa"/>
            </w:tcMar>
            <w:vAlign w:val="bottom"/>
          </w:tcPr>
          <w:p w14:paraId="74DD94CA" w14:textId="77777777" w:rsidR="00584EC1" w:rsidRDefault="00871F8D">
            <w:pPr>
              <w:spacing w:after="20"/>
              <w:textAlignment w:val="bottom"/>
            </w:pPr>
            <w:r>
              <w:rPr>
                <w:rFonts w:ascii="Arial" w:eastAsia="宋体" w:hAnsi="Arial" w:cs="Arial"/>
                <w:b/>
                <w:bCs/>
                <w:color w:val="000000"/>
                <w:sz w:val="13"/>
                <w:szCs w:val="13"/>
              </w:rPr>
              <w:t xml:space="preserve">(In </w:t>
            </w:r>
            <w:r>
              <w:rPr>
                <w:rFonts w:ascii="Arial" w:eastAsia="宋体" w:hAnsi="Arial" w:cs="Arial"/>
                <w:b/>
                <w:bCs/>
                <w:color w:val="000000"/>
                <w:sz w:val="13"/>
                <w:szCs w:val="13"/>
              </w:rPr>
              <w:t>thousands)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94CB" w14:textId="77777777" w:rsidR="00584EC1" w:rsidRDefault="00871F8D">
            <w:pPr>
              <w:spacing w:after="20"/>
              <w:jc w:val="center"/>
              <w:textAlignment w:val="bottom"/>
            </w:pPr>
            <w:r>
              <w:rPr>
                <w:rFonts w:ascii="Arial" w:eastAsia="宋体" w:hAnsi="Arial" w:cs="Arial"/>
                <w:b/>
                <w:bCs/>
                <w:color w:val="000000"/>
                <w:sz w:val="13"/>
                <w:szCs w:val="13"/>
              </w:rPr>
              <w:t>Foreign Exchange Risk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4CC"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94CD" w14:textId="77777777" w:rsidR="00584EC1" w:rsidRDefault="00871F8D">
            <w:pPr>
              <w:spacing w:after="20"/>
              <w:jc w:val="center"/>
              <w:textAlignment w:val="bottom"/>
            </w:pPr>
            <w:r>
              <w:rPr>
                <w:rFonts w:ascii="Arial" w:eastAsia="宋体" w:hAnsi="Arial" w:cs="Arial"/>
                <w:b/>
                <w:bCs/>
                <w:color w:val="000000"/>
                <w:sz w:val="13"/>
                <w:szCs w:val="13"/>
              </w:rPr>
              <w:t>Interest Rate Risk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4CE"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94CF" w14:textId="77777777" w:rsidR="00584EC1" w:rsidRDefault="00871F8D">
            <w:pPr>
              <w:jc w:val="center"/>
              <w:textAlignment w:val="bottom"/>
            </w:pPr>
            <w:r>
              <w:rPr>
                <w:rFonts w:ascii="Arial" w:eastAsia="宋体" w:hAnsi="Arial" w:cs="Arial"/>
                <w:b/>
                <w:bCs/>
                <w:color w:val="000000"/>
                <w:sz w:val="13"/>
                <w:szCs w:val="13"/>
              </w:rPr>
              <w:t>Volatility Risk</w:t>
            </w:r>
          </w:p>
        </w:tc>
        <w:tc>
          <w:tcPr>
            <w:tcW w:w="0" w:type="auto"/>
            <w:shd w:val="clear" w:color="auto" w:fill="auto"/>
            <w:vAlign w:val="bottom"/>
          </w:tcPr>
          <w:p w14:paraId="74DD94D0" w14:textId="77777777" w:rsidR="00584EC1" w:rsidRDefault="00584EC1">
            <w:pPr>
              <w:rPr>
                <w:rFonts w:ascii="宋体"/>
                <w:vanish/>
              </w:rPr>
            </w:pPr>
          </w:p>
        </w:tc>
        <w:tc>
          <w:tcPr>
            <w:tcW w:w="0" w:type="auto"/>
            <w:shd w:val="clear" w:color="auto" w:fill="auto"/>
            <w:vAlign w:val="bottom"/>
          </w:tcPr>
          <w:p w14:paraId="74DD94D1" w14:textId="77777777" w:rsidR="00584EC1" w:rsidRDefault="00584EC1">
            <w:pPr>
              <w:rPr>
                <w:rFonts w:ascii="宋体"/>
                <w:vanish/>
              </w:rPr>
            </w:pPr>
          </w:p>
        </w:tc>
        <w:tc>
          <w:tcPr>
            <w:tcW w:w="0" w:type="auto"/>
            <w:gridSpan w:val="3"/>
            <w:shd w:val="clear" w:color="auto" w:fill="auto"/>
            <w:tcMar>
              <w:top w:w="0" w:type="dxa"/>
              <w:left w:w="20" w:type="dxa"/>
              <w:bottom w:w="0" w:type="dxa"/>
              <w:right w:w="20" w:type="dxa"/>
            </w:tcMar>
            <w:vAlign w:val="bottom"/>
          </w:tcPr>
          <w:p w14:paraId="74DD94D2"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94D3" w14:textId="77777777" w:rsidR="00584EC1" w:rsidRDefault="00871F8D">
            <w:pPr>
              <w:spacing w:after="20"/>
              <w:jc w:val="center"/>
              <w:textAlignment w:val="bottom"/>
            </w:pPr>
            <w:r>
              <w:rPr>
                <w:rFonts w:ascii="Arial" w:eastAsia="宋体" w:hAnsi="Arial" w:cs="Arial"/>
                <w:b/>
                <w:bCs/>
                <w:color w:val="000000"/>
                <w:sz w:val="13"/>
                <w:szCs w:val="13"/>
              </w:rPr>
              <w:t>Foreign Exchange Risk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4D4"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94D5" w14:textId="77777777" w:rsidR="00584EC1" w:rsidRDefault="00871F8D">
            <w:pPr>
              <w:spacing w:after="20"/>
              <w:jc w:val="center"/>
              <w:textAlignment w:val="bottom"/>
            </w:pPr>
            <w:r>
              <w:rPr>
                <w:rFonts w:ascii="Arial" w:eastAsia="宋体" w:hAnsi="Arial" w:cs="Arial"/>
                <w:b/>
                <w:bCs/>
                <w:color w:val="000000"/>
                <w:sz w:val="13"/>
                <w:szCs w:val="13"/>
              </w:rPr>
              <w:t>Interest Rate Risk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4D6"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94D7" w14:textId="77777777" w:rsidR="00584EC1" w:rsidRDefault="00871F8D">
            <w:pPr>
              <w:jc w:val="center"/>
              <w:textAlignment w:val="bottom"/>
            </w:pPr>
            <w:r>
              <w:rPr>
                <w:rFonts w:ascii="Arial" w:eastAsia="宋体" w:hAnsi="Arial" w:cs="Arial"/>
                <w:b/>
                <w:bCs/>
                <w:color w:val="000000"/>
                <w:sz w:val="13"/>
                <w:szCs w:val="13"/>
              </w:rPr>
              <w:t>Volatility Risk</w:t>
            </w:r>
          </w:p>
        </w:tc>
        <w:tc>
          <w:tcPr>
            <w:tcW w:w="0" w:type="auto"/>
            <w:shd w:val="clear" w:color="auto" w:fill="auto"/>
            <w:vAlign w:val="bottom"/>
          </w:tcPr>
          <w:p w14:paraId="74DD94D8" w14:textId="77777777" w:rsidR="00584EC1" w:rsidRDefault="00584EC1">
            <w:pPr>
              <w:rPr>
                <w:rFonts w:ascii="宋体"/>
                <w:vanish/>
              </w:rPr>
            </w:pPr>
          </w:p>
        </w:tc>
        <w:tc>
          <w:tcPr>
            <w:tcW w:w="0" w:type="auto"/>
            <w:shd w:val="clear" w:color="auto" w:fill="auto"/>
            <w:vAlign w:val="bottom"/>
          </w:tcPr>
          <w:p w14:paraId="74DD94D9" w14:textId="77777777" w:rsidR="00584EC1" w:rsidRDefault="00584EC1">
            <w:pPr>
              <w:rPr>
                <w:rFonts w:ascii="宋体"/>
                <w:vanish/>
              </w:rPr>
            </w:pPr>
          </w:p>
        </w:tc>
        <w:tc>
          <w:tcPr>
            <w:tcW w:w="0" w:type="auto"/>
            <w:gridSpan w:val="3"/>
            <w:shd w:val="clear" w:color="auto" w:fill="auto"/>
            <w:tcMar>
              <w:top w:w="0" w:type="dxa"/>
              <w:left w:w="20" w:type="dxa"/>
              <w:bottom w:w="0" w:type="dxa"/>
              <w:right w:w="20" w:type="dxa"/>
            </w:tcMar>
            <w:vAlign w:val="bottom"/>
          </w:tcPr>
          <w:p w14:paraId="74DD94DA"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94DB" w14:textId="77777777" w:rsidR="00584EC1" w:rsidRDefault="00871F8D">
            <w:pPr>
              <w:jc w:val="center"/>
              <w:textAlignment w:val="bottom"/>
            </w:pPr>
            <w:r>
              <w:rPr>
                <w:rFonts w:ascii="Arial" w:eastAsia="宋体" w:hAnsi="Arial" w:cs="Arial"/>
                <w:b/>
                <w:bCs/>
                <w:color w:val="000000"/>
                <w:sz w:val="13"/>
                <w:szCs w:val="13"/>
              </w:rPr>
              <w:t>Foreign Exchange Risk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4DC"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94DD" w14:textId="77777777" w:rsidR="00584EC1" w:rsidRDefault="00871F8D">
            <w:pPr>
              <w:jc w:val="center"/>
              <w:textAlignment w:val="bottom"/>
            </w:pPr>
            <w:r>
              <w:rPr>
                <w:rFonts w:ascii="Arial" w:eastAsia="宋体" w:hAnsi="Arial" w:cs="Arial"/>
                <w:b/>
                <w:bCs/>
                <w:color w:val="000000"/>
                <w:sz w:val="13"/>
                <w:szCs w:val="13"/>
              </w:rPr>
              <w:t>Interest Rate Risk</w:t>
            </w:r>
          </w:p>
        </w:tc>
        <w:tc>
          <w:tcPr>
            <w:tcW w:w="0" w:type="auto"/>
            <w:gridSpan w:val="2"/>
            <w:tcBorders>
              <w:top w:val="single" w:sz="8" w:space="0" w:color="000000"/>
            </w:tcBorders>
            <w:shd w:val="clear" w:color="auto" w:fill="auto"/>
            <w:tcMar>
              <w:top w:w="0" w:type="dxa"/>
              <w:left w:w="20" w:type="dxa"/>
              <w:bottom w:w="0" w:type="dxa"/>
              <w:right w:w="20" w:type="dxa"/>
            </w:tcMar>
            <w:vAlign w:val="bottom"/>
          </w:tcPr>
          <w:p w14:paraId="74DD94DE" w14:textId="77777777" w:rsidR="00584EC1" w:rsidRDefault="00584EC1">
            <w:pPr>
              <w:rPr>
                <w:rFonts w:ascii="宋体"/>
              </w:rPr>
            </w:pPr>
          </w:p>
        </w:tc>
        <w:tc>
          <w:tcPr>
            <w:tcW w:w="0" w:type="auto"/>
            <w:tcBorders>
              <w:top w:val="single" w:sz="8" w:space="0" w:color="000000"/>
            </w:tcBorders>
            <w:shd w:val="clear" w:color="auto" w:fill="auto"/>
            <w:tcMar>
              <w:top w:w="40" w:type="dxa"/>
              <w:left w:w="20" w:type="dxa"/>
              <w:bottom w:w="40" w:type="dxa"/>
              <w:right w:w="20" w:type="dxa"/>
            </w:tcMar>
            <w:vAlign w:val="bottom"/>
          </w:tcPr>
          <w:p w14:paraId="74DD94DF" w14:textId="77777777" w:rsidR="00584EC1" w:rsidRDefault="00871F8D">
            <w:pPr>
              <w:jc w:val="center"/>
              <w:textAlignment w:val="bottom"/>
            </w:pPr>
            <w:r>
              <w:rPr>
                <w:rFonts w:ascii="Arial" w:eastAsia="宋体" w:hAnsi="Arial" w:cs="Arial"/>
                <w:b/>
                <w:bCs/>
                <w:color w:val="000000"/>
                <w:sz w:val="13"/>
                <w:szCs w:val="13"/>
              </w:rPr>
              <w:t>Volatility Risk</w:t>
            </w:r>
          </w:p>
        </w:tc>
      </w:tr>
      <w:tr w:rsidR="00584EC1" w14:paraId="74DD94F7" w14:textId="77777777">
        <w:tc>
          <w:tcPr>
            <w:tcW w:w="0" w:type="auto"/>
            <w:gridSpan w:val="3"/>
            <w:shd w:val="clear" w:color="auto" w:fill="auto"/>
            <w:tcMar>
              <w:top w:w="40" w:type="dxa"/>
              <w:left w:w="20" w:type="dxa"/>
              <w:bottom w:w="40" w:type="dxa"/>
              <w:right w:w="20" w:type="dxa"/>
            </w:tcMar>
            <w:vAlign w:val="bottom"/>
          </w:tcPr>
          <w:p w14:paraId="74DD94E1" w14:textId="77777777" w:rsidR="00584EC1" w:rsidRDefault="00871F8D">
            <w:pPr>
              <w:spacing w:after="20"/>
              <w:textAlignment w:val="bottom"/>
            </w:pPr>
            <w:r>
              <w:rPr>
                <w:rFonts w:ascii="Arial" w:eastAsia="宋体" w:hAnsi="Arial" w:cs="Arial"/>
                <w:color w:val="000000"/>
                <w:sz w:val="13"/>
                <w:szCs w:val="13"/>
              </w:rPr>
              <w:t>By component: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4E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94E3"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4E4"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94E5"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4E6" w14:textId="77777777" w:rsidR="00584EC1" w:rsidRDefault="00584EC1">
            <w:pPr>
              <w:rPr>
                <w:rFonts w:ascii="宋体"/>
              </w:rPr>
            </w:pPr>
          </w:p>
        </w:tc>
        <w:tc>
          <w:tcPr>
            <w:tcW w:w="0" w:type="auto"/>
            <w:shd w:val="clear" w:color="auto" w:fill="auto"/>
            <w:vAlign w:val="bottom"/>
          </w:tcPr>
          <w:p w14:paraId="74DD94E7" w14:textId="77777777" w:rsidR="00584EC1" w:rsidRDefault="00584EC1">
            <w:pPr>
              <w:rPr>
                <w:rFonts w:ascii="宋体"/>
                <w:vanish/>
              </w:rPr>
            </w:pPr>
          </w:p>
        </w:tc>
        <w:tc>
          <w:tcPr>
            <w:tcW w:w="0" w:type="auto"/>
            <w:shd w:val="clear" w:color="auto" w:fill="auto"/>
            <w:vAlign w:val="bottom"/>
          </w:tcPr>
          <w:p w14:paraId="74DD94E8" w14:textId="77777777" w:rsidR="00584EC1" w:rsidRDefault="00584EC1">
            <w:pPr>
              <w:rPr>
                <w:rFonts w:ascii="宋体"/>
                <w:vanish/>
              </w:rPr>
            </w:pPr>
          </w:p>
        </w:tc>
        <w:tc>
          <w:tcPr>
            <w:tcW w:w="0" w:type="auto"/>
            <w:gridSpan w:val="3"/>
            <w:shd w:val="clear" w:color="auto" w:fill="auto"/>
            <w:tcMar>
              <w:top w:w="0" w:type="dxa"/>
              <w:left w:w="20" w:type="dxa"/>
              <w:bottom w:w="0" w:type="dxa"/>
              <w:right w:w="20" w:type="dxa"/>
            </w:tcMar>
            <w:vAlign w:val="bottom"/>
          </w:tcPr>
          <w:p w14:paraId="74DD94E9"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4EA"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94EB"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4EC"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94ED"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4EE" w14:textId="77777777" w:rsidR="00584EC1" w:rsidRDefault="00584EC1">
            <w:pPr>
              <w:rPr>
                <w:rFonts w:ascii="宋体"/>
              </w:rPr>
            </w:pPr>
          </w:p>
        </w:tc>
        <w:tc>
          <w:tcPr>
            <w:tcW w:w="0" w:type="auto"/>
            <w:shd w:val="clear" w:color="auto" w:fill="auto"/>
            <w:vAlign w:val="bottom"/>
          </w:tcPr>
          <w:p w14:paraId="74DD94EF" w14:textId="77777777" w:rsidR="00584EC1" w:rsidRDefault="00584EC1">
            <w:pPr>
              <w:rPr>
                <w:rFonts w:ascii="宋体"/>
                <w:vanish/>
              </w:rPr>
            </w:pPr>
          </w:p>
        </w:tc>
        <w:tc>
          <w:tcPr>
            <w:tcW w:w="0" w:type="auto"/>
            <w:shd w:val="clear" w:color="auto" w:fill="auto"/>
            <w:vAlign w:val="bottom"/>
          </w:tcPr>
          <w:p w14:paraId="74DD94F0" w14:textId="77777777" w:rsidR="00584EC1" w:rsidRDefault="00584EC1">
            <w:pPr>
              <w:rPr>
                <w:rFonts w:ascii="宋体"/>
                <w:vanish/>
              </w:rPr>
            </w:pPr>
          </w:p>
        </w:tc>
        <w:tc>
          <w:tcPr>
            <w:tcW w:w="0" w:type="auto"/>
            <w:gridSpan w:val="3"/>
            <w:shd w:val="clear" w:color="auto" w:fill="auto"/>
            <w:tcMar>
              <w:top w:w="0" w:type="dxa"/>
              <w:left w:w="20" w:type="dxa"/>
              <w:bottom w:w="0" w:type="dxa"/>
              <w:right w:w="20" w:type="dxa"/>
            </w:tcMar>
            <w:vAlign w:val="bottom"/>
          </w:tcPr>
          <w:p w14:paraId="74DD94F1"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4F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94F3"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4F4" w14:textId="77777777" w:rsidR="00584EC1" w:rsidRDefault="00584EC1">
            <w:pPr>
              <w:rPr>
                <w:rFonts w:ascii="宋体"/>
              </w:rPr>
            </w:pPr>
          </w:p>
        </w:tc>
        <w:tc>
          <w:tcPr>
            <w:tcW w:w="0" w:type="auto"/>
            <w:gridSpan w:val="2"/>
            <w:shd w:val="clear" w:color="auto" w:fill="auto"/>
            <w:tcMar>
              <w:top w:w="0" w:type="dxa"/>
              <w:left w:w="20" w:type="dxa"/>
              <w:bottom w:w="0" w:type="dxa"/>
              <w:right w:w="20" w:type="dxa"/>
            </w:tcMar>
            <w:vAlign w:val="bottom"/>
          </w:tcPr>
          <w:p w14:paraId="74DD94F5" w14:textId="77777777" w:rsidR="00584EC1" w:rsidRDefault="00584EC1">
            <w:pPr>
              <w:rPr>
                <w:rFonts w:ascii="宋体"/>
              </w:rPr>
            </w:pPr>
          </w:p>
        </w:tc>
        <w:tc>
          <w:tcPr>
            <w:tcW w:w="0" w:type="auto"/>
            <w:tcBorders>
              <w:top w:val="single" w:sz="8" w:space="0" w:color="000000"/>
            </w:tcBorders>
            <w:shd w:val="clear" w:color="auto" w:fill="auto"/>
            <w:tcMar>
              <w:top w:w="0" w:type="dxa"/>
              <w:left w:w="20" w:type="dxa"/>
              <w:bottom w:w="0" w:type="dxa"/>
              <w:right w:w="20" w:type="dxa"/>
            </w:tcMar>
            <w:vAlign w:val="bottom"/>
          </w:tcPr>
          <w:p w14:paraId="74DD94F6" w14:textId="77777777" w:rsidR="00584EC1" w:rsidRDefault="00584EC1">
            <w:pPr>
              <w:rPr>
                <w:rFonts w:ascii="宋体"/>
              </w:rPr>
            </w:pPr>
          </w:p>
        </w:tc>
      </w:tr>
      <w:tr w:rsidR="00871F8D" w14:paraId="74DD951F" w14:textId="77777777">
        <w:tc>
          <w:tcPr>
            <w:tcW w:w="0" w:type="auto"/>
            <w:gridSpan w:val="3"/>
            <w:shd w:val="clear" w:color="auto" w:fill="CCEEFF"/>
            <w:tcMar>
              <w:top w:w="40" w:type="dxa"/>
              <w:left w:w="20" w:type="dxa"/>
              <w:bottom w:w="40" w:type="dxa"/>
              <w:right w:w="20" w:type="dxa"/>
            </w:tcMar>
            <w:vAlign w:val="bottom"/>
          </w:tcPr>
          <w:p w14:paraId="74DD94F8" w14:textId="77777777" w:rsidR="00584EC1" w:rsidRDefault="00871F8D">
            <w:pPr>
              <w:spacing w:after="20"/>
              <w:textAlignment w:val="bottom"/>
            </w:pPr>
            <w:r>
              <w:rPr>
                <w:rFonts w:ascii="Arial" w:eastAsia="宋体" w:hAnsi="Arial" w:cs="Arial"/>
                <w:color w:val="000000"/>
                <w:sz w:val="13"/>
                <w:szCs w:val="13"/>
              </w:rPr>
              <w:t>Global Markets</w:t>
            </w:r>
          </w:p>
        </w:tc>
        <w:tc>
          <w:tcPr>
            <w:tcW w:w="0" w:type="auto"/>
            <w:shd w:val="clear" w:color="auto" w:fill="CCEEFF"/>
            <w:tcMar>
              <w:top w:w="40" w:type="dxa"/>
              <w:left w:w="20" w:type="dxa"/>
              <w:bottom w:w="40" w:type="dxa"/>
              <w:right w:w="0" w:type="dxa"/>
            </w:tcMar>
            <w:vAlign w:val="bottom"/>
          </w:tcPr>
          <w:p w14:paraId="74DD94F9" w14:textId="77777777" w:rsidR="00584EC1" w:rsidRDefault="00871F8D">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4DD94FA" w14:textId="77777777" w:rsidR="00584EC1" w:rsidRDefault="00871F8D">
            <w:pPr>
              <w:jc w:val="right"/>
              <w:textAlignment w:val="bottom"/>
            </w:pPr>
            <w:r>
              <w:rPr>
                <w:rFonts w:ascii="Arial" w:eastAsia="宋体" w:hAnsi="Arial" w:cs="Arial"/>
                <w:b/>
                <w:bCs/>
                <w:color w:val="000000"/>
                <w:sz w:val="13"/>
                <w:szCs w:val="13"/>
              </w:rPr>
              <w:t>7,411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94F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4FC"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94FD" w14:textId="77777777" w:rsidR="00584EC1" w:rsidRDefault="00871F8D">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4DD94FE" w14:textId="77777777" w:rsidR="00584EC1" w:rsidRDefault="00871F8D">
            <w:pPr>
              <w:jc w:val="right"/>
              <w:textAlignment w:val="bottom"/>
            </w:pPr>
            <w:r>
              <w:rPr>
                <w:rFonts w:ascii="Arial" w:eastAsia="宋体" w:hAnsi="Arial" w:cs="Arial"/>
                <w:b/>
                <w:bCs/>
                <w:color w:val="000000"/>
                <w:sz w:val="13"/>
                <w:szCs w:val="13"/>
              </w:rPr>
              <w:t>16,637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94F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500"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9501" w14:textId="77777777" w:rsidR="00584EC1" w:rsidRDefault="00871F8D">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74DD9502" w14:textId="77777777" w:rsidR="00584EC1" w:rsidRDefault="00871F8D">
            <w:pPr>
              <w:jc w:val="right"/>
              <w:textAlignment w:val="bottom"/>
            </w:pPr>
            <w:r>
              <w:rPr>
                <w:rFonts w:ascii="Arial" w:eastAsia="宋体" w:hAnsi="Arial" w:cs="Arial"/>
                <w:color w:val="000000"/>
                <w:sz w:val="13"/>
                <w:szCs w:val="13"/>
              </w:rPr>
              <w:t>549 </w:t>
            </w:r>
          </w:p>
        </w:tc>
        <w:tc>
          <w:tcPr>
            <w:tcW w:w="0" w:type="auto"/>
            <w:shd w:val="clear" w:color="auto" w:fill="CCEEFF"/>
            <w:tcMar>
              <w:top w:w="40" w:type="dxa"/>
              <w:left w:w="0" w:type="dxa"/>
              <w:bottom w:w="40" w:type="dxa"/>
              <w:right w:w="20" w:type="dxa"/>
            </w:tcMar>
            <w:vAlign w:val="bottom"/>
          </w:tcPr>
          <w:p w14:paraId="74DD9503" w14:textId="77777777" w:rsidR="00584EC1" w:rsidRDefault="00584EC1">
            <w:pPr>
              <w:jc w:val="right"/>
              <w:rPr>
                <w:rFonts w:ascii="宋体"/>
              </w:rPr>
            </w:pPr>
          </w:p>
        </w:tc>
        <w:tc>
          <w:tcPr>
            <w:tcW w:w="0" w:type="auto"/>
            <w:shd w:val="clear" w:color="auto" w:fill="auto"/>
            <w:vAlign w:val="bottom"/>
          </w:tcPr>
          <w:p w14:paraId="74DD9504" w14:textId="77777777" w:rsidR="00584EC1" w:rsidRDefault="00584EC1">
            <w:pPr>
              <w:rPr>
                <w:rFonts w:ascii="宋体"/>
                <w:vanish/>
              </w:rPr>
            </w:pPr>
          </w:p>
        </w:tc>
        <w:tc>
          <w:tcPr>
            <w:tcW w:w="0" w:type="auto"/>
            <w:shd w:val="clear" w:color="auto" w:fill="auto"/>
            <w:vAlign w:val="bottom"/>
          </w:tcPr>
          <w:p w14:paraId="74DD9505" w14:textId="77777777" w:rsidR="00584EC1" w:rsidRDefault="00584EC1">
            <w:pPr>
              <w:rPr>
                <w:rFonts w:ascii="宋体"/>
                <w:vanish/>
              </w:rPr>
            </w:pPr>
          </w:p>
        </w:tc>
        <w:tc>
          <w:tcPr>
            <w:tcW w:w="0" w:type="auto"/>
            <w:gridSpan w:val="3"/>
            <w:shd w:val="clear" w:color="auto" w:fill="CCEEFF"/>
            <w:tcMar>
              <w:top w:w="0" w:type="dxa"/>
              <w:left w:w="20" w:type="dxa"/>
              <w:bottom w:w="0" w:type="dxa"/>
              <w:right w:w="20" w:type="dxa"/>
            </w:tcMar>
            <w:vAlign w:val="bottom"/>
          </w:tcPr>
          <w:p w14:paraId="74DD9506"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9507" w14:textId="77777777" w:rsidR="00584EC1" w:rsidRDefault="00871F8D">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74DD9508" w14:textId="77777777" w:rsidR="00584EC1" w:rsidRDefault="00871F8D">
            <w:pPr>
              <w:jc w:val="right"/>
              <w:textAlignment w:val="bottom"/>
            </w:pPr>
            <w:r>
              <w:rPr>
                <w:rFonts w:ascii="Arial" w:eastAsia="宋体" w:hAnsi="Arial" w:cs="Arial"/>
                <w:color w:val="000000"/>
                <w:sz w:val="13"/>
                <w:szCs w:val="13"/>
              </w:rPr>
              <w:t>6,859 </w:t>
            </w:r>
          </w:p>
        </w:tc>
        <w:tc>
          <w:tcPr>
            <w:tcW w:w="0" w:type="auto"/>
            <w:shd w:val="clear" w:color="auto" w:fill="CCEEFF"/>
            <w:tcMar>
              <w:top w:w="40" w:type="dxa"/>
              <w:left w:w="0" w:type="dxa"/>
              <w:bottom w:w="40" w:type="dxa"/>
              <w:right w:w="20" w:type="dxa"/>
            </w:tcMar>
            <w:vAlign w:val="bottom"/>
          </w:tcPr>
          <w:p w14:paraId="74DD950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50A"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950B" w14:textId="77777777" w:rsidR="00584EC1" w:rsidRDefault="00871F8D">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74DD950C" w14:textId="77777777" w:rsidR="00584EC1" w:rsidRDefault="00871F8D">
            <w:pPr>
              <w:jc w:val="right"/>
              <w:textAlignment w:val="bottom"/>
            </w:pPr>
            <w:r>
              <w:rPr>
                <w:rFonts w:ascii="Arial" w:eastAsia="宋体" w:hAnsi="Arial" w:cs="Arial"/>
                <w:color w:val="000000"/>
                <w:sz w:val="13"/>
                <w:szCs w:val="13"/>
              </w:rPr>
              <w:t>16,327 </w:t>
            </w:r>
          </w:p>
        </w:tc>
        <w:tc>
          <w:tcPr>
            <w:tcW w:w="0" w:type="auto"/>
            <w:shd w:val="clear" w:color="auto" w:fill="CCEEFF"/>
            <w:tcMar>
              <w:top w:w="40" w:type="dxa"/>
              <w:left w:w="0" w:type="dxa"/>
              <w:bottom w:w="40" w:type="dxa"/>
              <w:right w:w="20" w:type="dxa"/>
            </w:tcMar>
            <w:vAlign w:val="bottom"/>
          </w:tcPr>
          <w:p w14:paraId="74DD950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50E"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950F" w14:textId="77777777" w:rsidR="00584EC1" w:rsidRDefault="00871F8D">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74DD9510" w14:textId="77777777" w:rsidR="00584EC1" w:rsidRDefault="00871F8D">
            <w:pPr>
              <w:jc w:val="right"/>
              <w:textAlignment w:val="bottom"/>
            </w:pPr>
            <w:r>
              <w:rPr>
                <w:rFonts w:ascii="Arial" w:eastAsia="宋体" w:hAnsi="Arial" w:cs="Arial"/>
                <w:color w:val="000000"/>
                <w:sz w:val="13"/>
                <w:szCs w:val="13"/>
              </w:rPr>
              <w:t>701 </w:t>
            </w:r>
          </w:p>
        </w:tc>
        <w:tc>
          <w:tcPr>
            <w:tcW w:w="0" w:type="auto"/>
            <w:shd w:val="clear" w:color="auto" w:fill="CCEEFF"/>
            <w:tcMar>
              <w:top w:w="40" w:type="dxa"/>
              <w:left w:w="0" w:type="dxa"/>
              <w:bottom w:w="40" w:type="dxa"/>
              <w:right w:w="20" w:type="dxa"/>
            </w:tcMar>
            <w:vAlign w:val="bottom"/>
          </w:tcPr>
          <w:p w14:paraId="74DD9511" w14:textId="77777777" w:rsidR="00584EC1" w:rsidRDefault="00584EC1">
            <w:pPr>
              <w:jc w:val="right"/>
              <w:rPr>
                <w:rFonts w:ascii="宋体"/>
              </w:rPr>
            </w:pPr>
          </w:p>
        </w:tc>
        <w:tc>
          <w:tcPr>
            <w:tcW w:w="0" w:type="auto"/>
            <w:shd w:val="clear" w:color="auto" w:fill="auto"/>
            <w:vAlign w:val="bottom"/>
          </w:tcPr>
          <w:p w14:paraId="74DD9512" w14:textId="77777777" w:rsidR="00584EC1" w:rsidRDefault="00584EC1">
            <w:pPr>
              <w:rPr>
                <w:rFonts w:ascii="宋体"/>
                <w:vanish/>
              </w:rPr>
            </w:pPr>
          </w:p>
        </w:tc>
        <w:tc>
          <w:tcPr>
            <w:tcW w:w="0" w:type="auto"/>
            <w:shd w:val="clear" w:color="auto" w:fill="auto"/>
            <w:vAlign w:val="bottom"/>
          </w:tcPr>
          <w:p w14:paraId="74DD9513" w14:textId="77777777" w:rsidR="00584EC1" w:rsidRDefault="00584EC1">
            <w:pPr>
              <w:rPr>
                <w:rFonts w:ascii="宋体"/>
                <w:vanish/>
              </w:rPr>
            </w:pPr>
          </w:p>
        </w:tc>
        <w:tc>
          <w:tcPr>
            <w:tcW w:w="0" w:type="auto"/>
            <w:gridSpan w:val="3"/>
            <w:shd w:val="clear" w:color="auto" w:fill="CCEEFF"/>
            <w:tcMar>
              <w:top w:w="0" w:type="dxa"/>
              <w:left w:w="20" w:type="dxa"/>
              <w:bottom w:w="0" w:type="dxa"/>
              <w:right w:w="20" w:type="dxa"/>
            </w:tcMar>
            <w:vAlign w:val="bottom"/>
          </w:tcPr>
          <w:p w14:paraId="74DD9514"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9515" w14:textId="77777777" w:rsidR="00584EC1" w:rsidRDefault="00871F8D">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74DD9516" w14:textId="77777777" w:rsidR="00584EC1" w:rsidRDefault="00871F8D">
            <w:pPr>
              <w:jc w:val="right"/>
              <w:textAlignment w:val="bottom"/>
            </w:pPr>
            <w:r>
              <w:rPr>
                <w:rFonts w:ascii="Arial" w:eastAsia="宋体" w:hAnsi="Arial" w:cs="Arial"/>
                <w:color w:val="000000"/>
                <w:sz w:val="13"/>
                <w:szCs w:val="13"/>
              </w:rPr>
              <w:t>3,260 </w:t>
            </w:r>
          </w:p>
        </w:tc>
        <w:tc>
          <w:tcPr>
            <w:tcW w:w="0" w:type="auto"/>
            <w:shd w:val="clear" w:color="auto" w:fill="CCEEFF"/>
            <w:tcMar>
              <w:top w:w="40" w:type="dxa"/>
              <w:left w:w="0" w:type="dxa"/>
              <w:bottom w:w="40" w:type="dxa"/>
              <w:right w:w="20" w:type="dxa"/>
            </w:tcMar>
            <w:vAlign w:val="bottom"/>
          </w:tcPr>
          <w:p w14:paraId="74DD951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518"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9519" w14:textId="77777777" w:rsidR="00584EC1" w:rsidRDefault="00871F8D">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74DD951A" w14:textId="77777777" w:rsidR="00584EC1" w:rsidRDefault="00871F8D">
            <w:pPr>
              <w:jc w:val="right"/>
              <w:textAlignment w:val="bottom"/>
            </w:pPr>
            <w:r>
              <w:rPr>
                <w:rFonts w:ascii="Arial" w:eastAsia="宋体" w:hAnsi="Arial" w:cs="Arial"/>
                <w:color w:val="000000"/>
                <w:sz w:val="13"/>
                <w:szCs w:val="13"/>
              </w:rPr>
              <w:t>13,634 </w:t>
            </w:r>
          </w:p>
        </w:tc>
        <w:tc>
          <w:tcPr>
            <w:tcW w:w="0" w:type="auto"/>
            <w:shd w:val="clear" w:color="auto" w:fill="CCEEFF"/>
            <w:tcMar>
              <w:top w:w="40" w:type="dxa"/>
              <w:left w:w="0" w:type="dxa"/>
              <w:bottom w:w="40" w:type="dxa"/>
              <w:right w:w="20" w:type="dxa"/>
            </w:tcMar>
            <w:vAlign w:val="bottom"/>
          </w:tcPr>
          <w:p w14:paraId="74DD951B" w14:textId="77777777" w:rsidR="00584EC1" w:rsidRDefault="00584EC1">
            <w:pPr>
              <w:jc w:val="right"/>
              <w:rPr>
                <w:rFonts w:ascii="宋体"/>
              </w:rPr>
            </w:pPr>
          </w:p>
        </w:tc>
        <w:tc>
          <w:tcPr>
            <w:tcW w:w="0" w:type="auto"/>
            <w:gridSpan w:val="2"/>
            <w:shd w:val="clear" w:color="auto" w:fill="CCEEFF"/>
            <w:tcMar>
              <w:top w:w="0" w:type="dxa"/>
              <w:left w:w="20" w:type="dxa"/>
              <w:bottom w:w="0" w:type="dxa"/>
              <w:right w:w="20" w:type="dxa"/>
            </w:tcMar>
            <w:vAlign w:val="bottom"/>
          </w:tcPr>
          <w:p w14:paraId="74DD951C"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951D" w14:textId="77777777" w:rsidR="00584EC1" w:rsidRDefault="00871F8D">
            <w:pPr>
              <w:textAlignment w:val="bottom"/>
            </w:pPr>
            <w:r>
              <w:rPr>
                <w:rFonts w:ascii="Arial" w:eastAsia="宋体" w:hAnsi="Arial" w:cs="Arial"/>
                <w:color w:val="000000"/>
                <w:sz w:val="13"/>
                <w:szCs w:val="13"/>
              </w:rPr>
              <w:t>$</w:t>
            </w:r>
          </w:p>
          <w:p w14:paraId="74DD951E" w14:textId="77777777" w:rsidR="00584EC1" w:rsidRDefault="00871F8D">
            <w:pPr>
              <w:jc w:val="right"/>
              <w:textAlignment w:val="bottom"/>
            </w:pPr>
            <w:r>
              <w:rPr>
                <w:rFonts w:ascii="Arial" w:eastAsia="宋体" w:hAnsi="Arial" w:cs="Arial"/>
                <w:color w:val="000000"/>
                <w:sz w:val="13"/>
                <w:szCs w:val="13"/>
              </w:rPr>
              <w:t>771 </w:t>
            </w:r>
          </w:p>
        </w:tc>
      </w:tr>
      <w:tr w:rsidR="00584EC1" w14:paraId="74DD953E" w14:textId="77777777">
        <w:tc>
          <w:tcPr>
            <w:tcW w:w="0" w:type="auto"/>
            <w:gridSpan w:val="3"/>
            <w:shd w:val="clear" w:color="auto" w:fill="FFFFFF"/>
            <w:tcMar>
              <w:top w:w="40" w:type="dxa"/>
              <w:left w:w="20" w:type="dxa"/>
              <w:bottom w:w="40" w:type="dxa"/>
              <w:right w:w="20" w:type="dxa"/>
            </w:tcMar>
            <w:vAlign w:val="bottom"/>
          </w:tcPr>
          <w:p w14:paraId="74DD9520" w14:textId="77777777" w:rsidR="00584EC1" w:rsidRDefault="00871F8D">
            <w:pPr>
              <w:spacing w:after="20"/>
              <w:textAlignment w:val="bottom"/>
            </w:pPr>
            <w:r>
              <w:rPr>
                <w:rFonts w:ascii="Arial" w:eastAsia="宋体" w:hAnsi="Arial" w:cs="Arial"/>
                <w:color w:val="000000"/>
                <w:sz w:val="13"/>
                <w:szCs w:val="13"/>
              </w:rPr>
              <w:t>Global Treasury</w:t>
            </w:r>
          </w:p>
        </w:tc>
        <w:tc>
          <w:tcPr>
            <w:tcW w:w="0" w:type="auto"/>
            <w:gridSpan w:val="2"/>
            <w:shd w:val="clear" w:color="auto" w:fill="FFFFFF"/>
            <w:tcMar>
              <w:top w:w="40" w:type="dxa"/>
              <w:left w:w="20" w:type="dxa"/>
              <w:bottom w:w="40" w:type="dxa"/>
              <w:right w:w="0" w:type="dxa"/>
            </w:tcMar>
            <w:vAlign w:val="bottom"/>
          </w:tcPr>
          <w:p w14:paraId="74DD9521" w14:textId="77777777" w:rsidR="00584EC1" w:rsidRDefault="00871F8D">
            <w:pPr>
              <w:jc w:val="right"/>
              <w:textAlignment w:val="bottom"/>
            </w:pPr>
            <w:r>
              <w:rPr>
                <w:rFonts w:ascii="Arial" w:eastAsia="宋体" w:hAnsi="Arial" w:cs="Arial"/>
                <w:b/>
                <w:bCs/>
                <w:color w:val="000000"/>
                <w:sz w:val="13"/>
                <w:szCs w:val="13"/>
              </w:rPr>
              <w:t>246</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952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52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524" w14:textId="77777777" w:rsidR="00584EC1" w:rsidRDefault="00871F8D">
            <w:pPr>
              <w:jc w:val="right"/>
              <w:textAlignment w:val="bottom"/>
            </w:pPr>
            <w:r>
              <w:rPr>
                <w:rFonts w:ascii="Arial" w:eastAsia="宋体" w:hAnsi="Arial" w:cs="Arial"/>
                <w:b/>
                <w:bCs/>
                <w:color w:val="000000"/>
                <w:sz w:val="13"/>
                <w:szCs w:val="13"/>
              </w:rPr>
              <w:t>1,304</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952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52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527" w14:textId="77777777" w:rsidR="00584EC1" w:rsidRDefault="00871F8D">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9528" w14:textId="77777777" w:rsidR="00584EC1" w:rsidRDefault="00584EC1">
            <w:pPr>
              <w:jc w:val="right"/>
              <w:rPr>
                <w:rFonts w:ascii="宋体"/>
              </w:rPr>
            </w:pPr>
          </w:p>
        </w:tc>
        <w:tc>
          <w:tcPr>
            <w:tcW w:w="0" w:type="auto"/>
            <w:shd w:val="clear" w:color="auto" w:fill="auto"/>
            <w:vAlign w:val="bottom"/>
          </w:tcPr>
          <w:p w14:paraId="74DD9529" w14:textId="77777777" w:rsidR="00584EC1" w:rsidRDefault="00584EC1">
            <w:pPr>
              <w:rPr>
                <w:rFonts w:ascii="宋体"/>
                <w:vanish/>
              </w:rPr>
            </w:pPr>
          </w:p>
        </w:tc>
        <w:tc>
          <w:tcPr>
            <w:tcW w:w="0" w:type="auto"/>
            <w:shd w:val="clear" w:color="auto" w:fill="auto"/>
            <w:vAlign w:val="bottom"/>
          </w:tcPr>
          <w:p w14:paraId="74DD952A" w14:textId="77777777" w:rsidR="00584EC1" w:rsidRDefault="00584EC1">
            <w:pPr>
              <w:rPr>
                <w:rFonts w:ascii="宋体"/>
                <w:vanish/>
              </w:rPr>
            </w:pPr>
          </w:p>
        </w:tc>
        <w:tc>
          <w:tcPr>
            <w:tcW w:w="0" w:type="auto"/>
            <w:gridSpan w:val="3"/>
            <w:shd w:val="clear" w:color="auto" w:fill="FFFFFF"/>
            <w:tcMar>
              <w:top w:w="0" w:type="dxa"/>
              <w:left w:w="20" w:type="dxa"/>
              <w:bottom w:w="0" w:type="dxa"/>
              <w:right w:w="20" w:type="dxa"/>
            </w:tcMar>
            <w:vAlign w:val="bottom"/>
          </w:tcPr>
          <w:p w14:paraId="74DD952B"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52C" w14:textId="77777777" w:rsidR="00584EC1" w:rsidRDefault="00871F8D">
            <w:pPr>
              <w:jc w:val="right"/>
              <w:textAlignment w:val="bottom"/>
            </w:pPr>
            <w:r>
              <w:rPr>
                <w:rFonts w:ascii="Arial" w:eastAsia="宋体" w:hAnsi="Arial" w:cs="Arial"/>
                <w:color w:val="000000"/>
                <w:sz w:val="13"/>
                <w:szCs w:val="13"/>
              </w:rPr>
              <w:t>97 </w:t>
            </w:r>
          </w:p>
        </w:tc>
        <w:tc>
          <w:tcPr>
            <w:tcW w:w="0" w:type="auto"/>
            <w:shd w:val="clear" w:color="auto" w:fill="FFFFFF"/>
            <w:tcMar>
              <w:top w:w="40" w:type="dxa"/>
              <w:left w:w="0" w:type="dxa"/>
              <w:bottom w:w="40" w:type="dxa"/>
              <w:right w:w="20" w:type="dxa"/>
            </w:tcMar>
            <w:vAlign w:val="bottom"/>
          </w:tcPr>
          <w:p w14:paraId="74DD952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52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52F" w14:textId="77777777" w:rsidR="00584EC1" w:rsidRDefault="00871F8D">
            <w:pPr>
              <w:jc w:val="right"/>
              <w:textAlignment w:val="bottom"/>
            </w:pPr>
            <w:r>
              <w:rPr>
                <w:rFonts w:ascii="Arial" w:eastAsia="宋体" w:hAnsi="Arial" w:cs="Arial"/>
                <w:color w:val="000000"/>
                <w:sz w:val="13"/>
                <w:szCs w:val="13"/>
              </w:rPr>
              <w:t>3,950 </w:t>
            </w:r>
          </w:p>
        </w:tc>
        <w:tc>
          <w:tcPr>
            <w:tcW w:w="0" w:type="auto"/>
            <w:shd w:val="clear" w:color="auto" w:fill="FFFFFF"/>
            <w:tcMar>
              <w:top w:w="40" w:type="dxa"/>
              <w:left w:w="0" w:type="dxa"/>
              <w:bottom w:w="40" w:type="dxa"/>
              <w:right w:w="20" w:type="dxa"/>
            </w:tcMar>
            <w:vAlign w:val="bottom"/>
          </w:tcPr>
          <w:p w14:paraId="74DD953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53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532" w14:textId="77777777" w:rsidR="00584EC1" w:rsidRDefault="00871F8D">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9533" w14:textId="77777777" w:rsidR="00584EC1" w:rsidRDefault="00584EC1">
            <w:pPr>
              <w:jc w:val="right"/>
              <w:rPr>
                <w:rFonts w:ascii="宋体"/>
              </w:rPr>
            </w:pPr>
          </w:p>
        </w:tc>
        <w:tc>
          <w:tcPr>
            <w:tcW w:w="0" w:type="auto"/>
            <w:shd w:val="clear" w:color="auto" w:fill="auto"/>
            <w:vAlign w:val="bottom"/>
          </w:tcPr>
          <w:p w14:paraId="74DD9534" w14:textId="77777777" w:rsidR="00584EC1" w:rsidRDefault="00584EC1">
            <w:pPr>
              <w:rPr>
                <w:rFonts w:ascii="宋体"/>
                <w:vanish/>
              </w:rPr>
            </w:pPr>
          </w:p>
        </w:tc>
        <w:tc>
          <w:tcPr>
            <w:tcW w:w="0" w:type="auto"/>
            <w:shd w:val="clear" w:color="auto" w:fill="auto"/>
            <w:vAlign w:val="bottom"/>
          </w:tcPr>
          <w:p w14:paraId="74DD9535" w14:textId="77777777" w:rsidR="00584EC1" w:rsidRDefault="00584EC1">
            <w:pPr>
              <w:rPr>
                <w:rFonts w:ascii="宋体"/>
                <w:vanish/>
              </w:rPr>
            </w:pPr>
          </w:p>
        </w:tc>
        <w:tc>
          <w:tcPr>
            <w:tcW w:w="0" w:type="auto"/>
            <w:gridSpan w:val="3"/>
            <w:shd w:val="clear" w:color="auto" w:fill="FFFFFF"/>
            <w:tcMar>
              <w:top w:w="0" w:type="dxa"/>
              <w:left w:w="20" w:type="dxa"/>
              <w:bottom w:w="0" w:type="dxa"/>
              <w:right w:w="20" w:type="dxa"/>
            </w:tcMar>
            <w:vAlign w:val="bottom"/>
          </w:tcPr>
          <w:p w14:paraId="74DD953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537" w14:textId="77777777" w:rsidR="00584EC1" w:rsidRDefault="00871F8D">
            <w:pPr>
              <w:jc w:val="right"/>
              <w:textAlignment w:val="bottom"/>
            </w:pPr>
            <w:r>
              <w:rPr>
                <w:rFonts w:ascii="Arial" w:eastAsia="宋体" w:hAnsi="Arial" w:cs="Arial"/>
                <w:color w:val="000000"/>
                <w:sz w:val="13"/>
                <w:szCs w:val="13"/>
              </w:rPr>
              <w:t>16 </w:t>
            </w:r>
          </w:p>
        </w:tc>
        <w:tc>
          <w:tcPr>
            <w:tcW w:w="0" w:type="auto"/>
            <w:shd w:val="clear" w:color="auto" w:fill="FFFFFF"/>
            <w:tcMar>
              <w:top w:w="40" w:type="dxa"/>
              <w:left w:w="0" w:type="dxa"/>
              <w:bottom w:w="40" w:type="dxa"/>
              <w:right w:w="20" w:type="dxa"/>
            </w:tcMar>
            <w:vAlign w:val="bottom"/>
          </w:tcPr>
          <w:p w14:paraId="74DD953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53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53A" w14:textId="77777777" w:rsidR="00584EC1" w:rsidRDefault="00871F8D">
            <w:pPr>
              <w:jc w:val="right"/>
              <w:textAlignment w:val="bottom"/>
            </w:pPr>
            <w:r>
              <w:rPr>
                <w:rFonts w:ascii="Arial" w:eastAsia="宋体" w:hAnsi="Arial" w:cs="Arial"/>
                <w:color w:val="000000"/>
                <w:sz w:val="13"/>
                <w:szCs w:val="13"/>
              </w:rPr>
              <w:t>2,078 </w:t>
            </w:r>
          </w:p>
        </w:tc>
        <w:tc>
          <w:tcPr>
            <w:tcW w:w="0" w:type="auto"/>
            <w:shd w:val="clear" w:color="auto" w:fill="FFFFFF"/>
            <w:tcMar>
              <w:top w:w="40" w:type="dxa"/>
              <w:left w:w="0" w:type="dxa"/>
              <w:bottom w:w="40" w:type="dxa"/>
              <w:right w:w="20" w:type="dxa"/>
            </w:tcMar>
            <w:vAlign w:val="bottom"/>
          </w:tcPr>
          <w:p w14:paraId="74DD953B" w14:textId="77777777" w:rsidR="00584EC1" w:rsidRDefault="00584EC1">
            <w:pPr>
              <w:jc w:val="right"/>
              <w:rPr>
                <w:rFonts w:ascii="宋体"/>
              </w:rPr>
            </w:pPr>
          </w:p>
        </w:tc>
        <w:tc>
          <w:tcPr>
            <w:tcW w:w="0" w:type="auto"/>
            <w:gridSpan w:val="2"/>
            <w:shd w:val="clear" w:color="auto" w:fill="FFFFFF"/>
            <w:tcMar>
              <w:top w:w="0" w:type="dxa"/>
              <w:left w:w="20" w:type="dxa"/>
              <w:bottom w:w="0" w:type="dxa"/>
              <w:right w:w="20" w:type="dxa"/>
            </w:tcMar>
            <w:vAlign w:val="bottom"/>
          </w:tcPr>
          <w:p w14:paraId="74DD953C" w14:textId="77777777" w:rsidR="00584EC1" w:rsidRDefault="00584EC1">
            <w:pPr>
              <w:rPr>
                <w:rFonts w:ascii="宋体"/>
              </w:rPr>
            </w:pPr>
          </w:p>
        </w:tc>
        <w:tc>
          <w:tcPr>
            <w:tcW w:w="0" w:type="auto"/>
            <w:shd w:val="clear" w:color="auto" w:fill="FFFFFF"/>
            <w:tcMar>
              <w:top w:w="40" w:type="dxa"/>
              <w:left w:w="20" w:type="dxa"/>
              <w:bottom w:w="40" w:type="dxa"/>
              <w:right w:w="0" w:type="dxa"/>
            </w:tcMar>
            <w:vAlign w:val="bottom"/>
          </w:tcPr>
          <w:p w14:paraId="74DD953D" w14:textId="77777777" w:rsidR="00584EC1" w:rsidRDefault="00871F8D">
            <w:pPr>
              <w:jc w:val="right"/>
              <w:textAlignment w:val="bottom"/>
            </w:pPr>
            <w:r>
              <w:rPr>
                <w:rFonts w:ascii="Arial" w:eastAsia="宋体" w:hAnsi="Arial" w:cs="Arial"/>
                <w:color w:val="000000"/>
                <w:sz w:val="13"/>
                <w:szCs w:val="13"/>
              </w:rPr>
              <w:t>— </w:t>
            </w:r>
          </w:p>
        </w:tc>
      </w:tr>
      <w:tr w:rsidR="00584EC1" w14:paraId="74DD955D" w14:textId="77777777">
        <w:tc>
          <w:tcPr>
            <w:tcW w:w="0" w:type="auto"/>
            <w:gridSpan w:val="3"/>
            <w:shd w:val="clear" w:color="auto" w:fill="CCEEFF"/>
            <w:tcMar>
              <w:top w:w="40" w:type="dxa"/>
              <w:left w:w="20" w:type="dxa"/>
              <w:bottom w:w="40" w:type="dxa"/>
              <w:right w:w="20" w:type="dxa"/>
            </w:tcMar>
            <w:vAlign w:val="bottom"/>
          </w:tcPr>
          <w:p w14:paraId="74DD953F" w14:textId="77777777" w:rsidR="00584EC1" w:rsidRDefault="00871F8D">
            <w:pPr>
              <w:spacing w:after="20"/>
              <w:textAlignment w:val="bottom"/>
            </w:pPr>
            <w:r>
              <w:rPr>
                <w:rFonts w:ascii="Arial" w:eastAsia="宋体" w:hAnsi="Arial" w:cs="Arial"/>
                <w:color w:val="000000"/>
                <w:sz w:val="13"/>
                <w:szCs w:val="13"/>
              </w:rPr>
              <w:t>Diversification</w:t>
            </w:r>
          </w:p>
        </w:tc>
        <w:tc>
          <w:tcPr>
            <w:tcW w:w="0" w:type="auto"/>
            <w:gridSpan w:val="2"/>
            <w:shd w:val="clear" w:color="auto" w:fill="CCEEFF"/>
            <w:tcMar>
              <w:top w:w="40" w:type="dxa"/>
              <w:left w:w="20" w:type="dxa"/>
              <w:bottom w:w="40" w:type="dxa"/>
              <w:right w:w="0" w:type="dxa"/>
            </w:tcMar>
            <w:vAlign w:val="bottom"/>
          </w:tcPr>
          <w:p w14:paraId="74DD9540" w14:textId="77777777" w:rsidR="00584EC1" w:rsidRDefault="00871F8D">
            <w:pPr>
              <w:jc w:val="right"/>
              <w:textAlignment w:val="bottom"/>
            </w:pPr>
            <w:r>
              <w:rPr>
                <w:rFonts w:ascii="Arial" w:eastAsia="宋体" w:hAnsi="Arial" w:cs="Arial"/>
                <w:b/>
                <w:bCs/>
                <w:color w:val="000000"/>
                <w:sz w:val="13"/>
                <w:szCs w:val="13"/>
              </w:rPr>
              <w:t>(53)</w:t>
            </w:r>
          </w:p>
        </w:tc>
        <w:tc>
          <w:tcPr>
            <w:tcW w:w="0" w:type="auto"/>
            <w:shd w:val="clear" w:color="auto" w:fill="CCEEFF"/>
            <w:tcMar>
              <w:top w:w="40" w:type="dxa"/>
              <w:left w:w="0" w:type="dxa"/>
              <w:bottom w:w="40" w:type="dxa"/>
              <w:right w:w="20" w:type="dxa"/>
            </w:tcMar>
            <w:vAlign w:val="bottom"/>
          </w:tcPr>
          <w:p w14:paraId="74DD954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542"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543" w14:textId="77777777" w:rsidR="00584EC1" w:rsidRDefault="00871F8D">
            <w:pPr>
              <w:jc w:val="right"/>
              <w:textAlignment w:val="bottom"/>
            </w:pPr>
            <w:r>
              <w:rPr>
                <w:rFonts w:ascii="Arial" w:eastAsia="宋体" w:hAnsi="Arial" w:cs="Arial"/>
                <w:b/>
                <w:bCs/>
                <w:color w:val="000000"/>
                <w:sz w:val="13"/>
                <w:szCs w:val="13"/>
              </w:rPr>
              <w:t>(1,335)</w:t>
            </w:r>
          </w:p>
        </w:tc>
        <w:tc>
          <w:tcPr>
            <w:tcW w:w="0" w:type="auto"/>
            <w:shd w:val="clear" w:color="auto" w:fill="CCEEFF"/>
            <w:tcMar>
              <w:top w:w="40" w:type="dxa"/>
              <w:left w:w="0" w:type="dxa"/>
              <w:bottom w:w="40" w:type="dxa"/>
              <w:right w:w="20" w:type="dxa"/>
            </w:tcMar>
            <w:vAlign w:val="bottom"/>
          </w:tcPr>
          <w:p w14:paraId="74DD954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54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546" w14:textId="77777777" w:rsidR="00584EC1" w:rsidRDefault="00871F8D">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9547" w14:textId="77777777" w:rsidR="00584EC1" w:rsidRDefault="00584EC1">
            <w:pPr>
              <w:jc w:val="right"/>
              <w:rPr>
                <w:rFonts w:ascii="宋体"/>
              </w:rPr>
            </w:pPr>
          </w:p>
        </w:tc>
        <w:tc>
          <w:tcPr>
            <w:tcW w:w="0" w:type="auto"/>
            <w:shd w:val="clear" w:color="auto" w:fill="auto"/>
            <w:vAlign w:val="bottom"/>
          </w:tcPr>
          <w:p w14:paraId="74DD9548" w14:textId="77777777" w:rsidR="00584EC1" w:rsidRDefault="00584EC1">
            <w:pPr>
              <w:rPr>
                <w:rFonts w:ascii="宋体"/>
                <w:vanish/>
              </w:rPr>
            </w:pPr>
          </w:p>
        </w:tc>
        <w:tc>
          <w:tcPr>
            <w:tcW w:w="0" w:type="auto"/>
            <w:shd w:val="clear" w:color="auto" w:fill="auto"/>
            <w:vAlign w:val="bottom"/>
          </w:tcPr>
          <w:p w14:paraId="74DD9549" w14:textId="77777777" w:rsidR="00584EC1" w:rsidRDefault="00584EC1">
            <w:pPr>
              <w:rPr>
                <w:rFonts w:ascii="宋体"/>
                <w:vanish/>
              </w:rPr>
            </w:pPr>
          </w:p>
        </w:tc>
        <w:tc>
          <w:tcPr>
            <w:tcW w:w="0" w:type="auto"/>
            <w:gridSpan w:val="3"/>
            <w:shd w:val="clear" w:color="auto" w:fill="CCEEFF"/>
            <w:tcMar>
              <w:top w:w="0" w:type="dxa"/>
              <w:left w:w="20" w:type="dxa"/>
              <w:bottom w:w="0" w:type="dxa"/>
              <w:right w:w="20" w:type="dxa"/>
            </w:tcMar>
            <w:vAlign w:val="bottom"/>
          </w:tcPr>
          <w:p w14:paraId="74DD954A"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54B" w14:textId="77777777" w:rsidR="00584EC1" w:rsidRDefault="00871F8D">
            <w:pPr>
              <w:jc w:val="right"/>
              <w:textAlignment w:val="bottom"/>
            </w:pPr>
            <w:r>
              <w:rPr>
                <w:rFonts w:ascii="Arial" w:eastAsia="宋体" w:hAnsi="Arial" w:cs="Arial"/>
                <w:color w:val="000000"/>
                <w:sz w:val="13"/>
                <w:szCs w:val="13"/>
              </w:rPr>
              <w:t>(234)</w:t>
            </w:r>
          </w:p>
        </w:tc>
        <w:tc>
          <w:tcPr>
            <w:tcW w:w="0" w:type="auto"/>
            <w:shd w:val="clear" w:color="auto" w:fill="CCEEFF"/>
            <w:tcMar>
              <w:top w:w="40" w:type="dxa"/>
              <w:left w:w="0" w:type="dxa"/>
              <w:bottom w:w="40" w:type="dxa"/>
              <w:right w:w="20" w:type="dxa"/>
            </w:tcMar>
            <w:vAlign w:val="bottom"/>
          </w:tcPr>
          <w:p w14:paraId="74DD954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54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54E" w14:textId="77777777" w:rsidR="00584EC1" w:rsidRDefault="00871F8D">
            <w:pPr>
              <w:jc w:val="right"/>
              <w:textAlignment w:val="bottom"/>
            </w:pPr>
            <w:r>
              <w:rPr>
                <w:rFonts w:ascii="Arial" w:eastAsia="宋体" w:hAnsi="Arial" w:cs="Arial"/>
                <w:color w:val="000000"/>
                <w:sz w:val="13"/>
                <w:szCs w:val="13"/>
              </w:rPr>
              <w:t>687 </w:t>
            </w:r>
          </w:p>
        </w:tc>
        <w:tc>
          <w:tcPr>
            <w:tcW w:w="0" w:type="auto"/>
            <w:shd w:val="clear" w:color="auto" w:fill="CCEEFF"/>
            <w:tcMar>
              <w:top w:w="40" w:type="dxa"/>
              <w:left w:w="0" w:type="dxa"/>
              <w:bottom w:w="40" w:type="dxa"/>
              <w:right w:w="20" w:type="dxa"/>
            </w:tcMar>
            <w:vAlign w:val="bottom"/>
          </w:tcPr>
          <w:p w14:paraId="74DD954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55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551" w14:textId="77777777" w:rsidR="00584EC1" w:rsidRDefault="00871F8D">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9552" w14:textId="77777777" w:rsidR="00584EC1" w:rsidRDefault="00584EC1">
            <w:pPr>
              <w:jc w:val="right"/>
              <w:rPr>
                <w:rFonts w:ascii="宋体"/>
              </w:rPr>
            </w:pPr>
          </w:p>
        </w:tc>
        <w:tc>
          <w:tcPr>
            <w:tcW w:w="0" w:type="auto"/>
            <w:shd w:val="clear" w:color="auto" w:fill="auto"/>
            <w:vAlign w:val="bottom"/>
          </w:tcPr>
          <w:p w14:paraId="74DD9553" w14:textId="77777777" w:rsidR="00584EC1" w:rsidRDefault="00584EC1">
            <w:pPr>
              <w:rPr>
                <w:rFonts w:ascii="宋体"/>
                <w:vanish/>
              </w:rPr>
            </w:pPr>
          </w:p>
        </w:tc>
        <w:tc>
          <w:tcPr>
            <w:tcW w:w="0" w:type="auto"/>
            <w:shd w:val="clear" w:color="auto" w:fill="auto"/>
            <w:vAlign w:val="bottom"/>
          </w:tcPr>
          <w:p w14:paraId="74DD9554" w14:textId="77777777" w:rsidR="00584EC1" w:rsidRDefault="00584EC1">
            <w:pPr>
              <w:rPr>
                <w:rFonts w:ascii="宋体"/>
                <w:vanish/>
              </w:rPr>
            </w:pPr>
          </w:p>
        </w:tc>
        <w:tc>
          <w:tcPr>
            <w:tcW w:w="0" w:type="auto"/>
            <w:gridSpan w:val="3"/>
            <w:shd w:val="clear" w:color="auto" w:fill="CCEEFF"/>
            <w:tcMar>
              <w:top w:w="0" w:type="dxa"/>
              <w:left w:w="20" w:type="dxa"/>
              <w:bottom w:w="0" w:type="dxa"/>
              <w:right w:w="20" w:type="dxa"/>
            </w:tcMar>
            <w:vAlign w:val="bottom"/>
          </w:tcPr>
          <w:p w14:paraId="74DD955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556" w14:textId="77777777" w:rsidR="00584EC1" w:rsidRDefault="00871F8D">
            <w:pPr>
              <w:jc w:val="right"/>
              <w:textAlignment w:val="bottom"/>
            </w:pPr>
            <w:r>
              <w:rPr>
                <w:rFonts w:ascii="Arial" w:eastAsia="宋体" w:hAnsi="Arial" w:cs="Arial"/>
                <w:color w:val="000000"/>
                <w:sz w:val="13"/>
                <w:szCs w:val="13"/>
              </w:rPr>
              <w:t>(15)</w:t>
            </w:r>
          </w:p>
        </w:tc>
        <w:tc>
          <w:tcPr>
            <w:tcW w:w="0" w:type="auto"/>
            <w:shd w:val="clear" w:color="auto" w:fill="CCEEFF"/>
            <w:tcMar>
              <w:top w:w="40" w:type="dxa"/>
              <w:left w:w="0" w:type="dxa"/>
              <w:bottom w:w="40" w:type="dxa"/>
              <w:right w:w="20" w:type="dxa"/>
            </w:tcMar>
            <w:vAlign w:val="bottom"/>
          </w:tcPr>
          <w:p w14:paraId="74DD955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558"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559" w14:textId="77777777" w:rsidR="00584EC1" w:rsidRDefault="00871F8D">
            <w:pPr>
              <w:jc w:val="right"/>
              <w:textAlignment w:val="bottom"/>
            </w:pPr>
            <w:r>
              <w:rPr>
                <w:rFonts w:ascii="Arial" w:eastAsia="宋体" w:hAnsi="Arial" w:cs="Arial"/>
                <w:color w:val="000000"/>
                <w:sz w:val="13"/>
                <w:szCs w:val="13"/>
              </w:rPr>
              <w:t>(1,804)</w:t>
            </w:r>
          </w:p>
        </w:tc>
        <w:tc>
          <w:tcPr>
            <w:tcW w:w="0" w:type="auto"/>
            <w:shd w:val="clear" w:color="auto" w:fill="CCEEFF"/>
            <w:tcMar>
              <w:top w:w="40" w:type="dxa"/>
              <w:left w:w="0" w:type="dxa"/>
              <w:bottom w:w="40" w:type="dxa"/>
              <w:right w:w="20" w:type="dxa"/>
            </w:tcMar>
            <w:vAlign w:val="bottom"/>
          </w:tcPr>
          <w:p w14:paraId="74DD955A" w14:textId="77777777" w:rsidR="00584EC1" w:rsidRDefault="00584EC1">
            <w:pPr>
              <w:jc w:val="right"/>
              <w:rPr>
                <w:rFonts w:ascii="宋体"/>
              </w:rPr>
            </w:pPr>
          </w:p>
        </w:tc>
        <w:tc>
          <w:tcPr>
            <w:tcW w:w="0" w:type="auto"/>
            <w:gridSpan w:val="2"/>
            <w:shd w:val="clear" w:color="auto" w:fill="CCEEFF"/>
            <w:tcMar>
              <w:top w:w="0" w:type="dxa"/>
              <w:left w:w="20" w:type="dxa"/>
              <w:bottom w:w="0" w:type="dxa"/>
              <w:right w:w="20" w:type="dxa"/>
            </w:tcMar>
            <w:vAlign w:val="bottom"/>
          </w:tcPr>
          <w:p w14:paraId="74DD955B"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955C" w14:textId="77777777" w:rsidR="00584EC1" w:rsidRDefault="00871F8D">
            <w:pPr>
              <w:jc w:val="right"/>
              <w:textAlignment w:val="bottom"/>
            </w:pPr>
            <w:r>
              <w:rPr>
                <w:rFonts w:ascii="Arial" w:eastAsia="宋体" w:hAnsi="Arial" w:cs="Arial"/>
                <w:color w:val="000000"/>
                <w:sz w:val="13"/>
                <w:szCs w:val="13"/>
              </w:rPr>
              <w:t>— </w:t>
            </w:r>
          </w:p>
        </w:tc>
      </w:tr>
      <w:tr w:rsidR="00871F8D" w14:paraId="74DD9585" w14:textId="77777777">
        <w:tc>
          <w:tcPr>
            <w:tcW w:w="0" w:type="auto"/>
            <w:gridSpan w:val="3"/>
            <w:shd w:val="clear" w:color="auto" w:fill="FFFFFF"/>
            <w:tcMar>
              <w:top w:w="40" w:type="dxa"/>
              <w:left w:w="20" w:type="dxa"/>
              <w:bottom w:w="40" w:type="dxa"/>
              <w:right w:w="20" w:type="dxa"/>
            </w:tcMar>
            <w:vAlign w:val="bottom"/>
          </w:tcPr>
          <w:p w14:paraId="74DD955E" w14:textId="77777777" w:rsidR="00584EC1" w:rsidRDefault="00871F8D">
            <w:pPr>
              <w:spacing w:after="20"/>
              <w:textAlignment w:val="bottom"/>
            </w:pPr>
            <w:r>
              <w:rPr>
                <w:rFonts w:ascii="Arial" w:eastAsia="宋体" w:hAnsi="Arial" w:cs="Arial"/>
                <w:color w:val="000000"/>
                <w:sz w:val="13"/>
                <w:szCs w:val="13"/>
              </w:rPr>
              <w:t>Total VaR</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955F" w14:textId="77777777" w:rsidR="00584EC1" w:rsidRDefault="00871F8D">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9560" w14:textId="77777777" w:rsidR="00584EC1" w:rsidRDefault="00871F8D">
            <w:pPr>
              <w:jc w:val="right"/>
              <w:textAlignment w:val="bottom"/>
            </w:pPr>
            <w:r>
              <w:rPr>
                <w:rFonts w:ascii="Arial" w:eastAsia="宋体" w:hAnsi="Arial" w:cs="Arial"/>
                <w:b/>
                <w:bCs/>
                <w:color w:val="000000"/>
                <w:sz w:val="13"/>
                <w:szCs w:val="13"/>
              </w:rPr>
              <w:t>7,604</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956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562"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9563" w14:textId="77777777" w:rsidR="00584EC1" w:rsidRDefault="00871F8D">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9564" w14:textId="77777777" w:rsidR="00584EC1" w:rsidRDefault="00871F8D">
            <w:pPr>
              <w:jc w:val="right"/>
              <w:textAlignment w:val="bottom"/>
            </w:pPr>
            <w:r>
              <w:rPr>
                <w:rFonts w:ascii="Arial" w:eastAsia="宋体" w:hAnsi="Arial" w:cs="Arial"/>
                <w:b/>
                <w:bCs/>
                <w:color w:val="000000"/>
                <w:sz w:val="13"/>
                <w:szCs w:val="13"/>
              </w:rPr>
              <w:t>16,606</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956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566"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9567" w14:textId="77777777" w:rsidR="00584EC1" w:rsidRDefault="00871F8D">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9568" w14:textId="77777777" w:rsidR="00584EC1" w:rsidRDefault="00871F8D">
            <w:pPr>
              <w:jc w:val="right"/>
              <w:textAlignment w:val="bottom"/>
            </w:pPr>
            <w:r>
              <w:rPr>
                <w:rFonts w:ascii="Arial" w:eastAsia="宋体" w:hAnsi="Arial" w:cs="Arial"/>
                <w:color w:val="000000"/>
                <w:sz w:val="13"/>
                <w:szCs w:val="13"/>
              </w:rPr>
              <w:t>549 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9569" w14:textId="77777777" w:rsidR="00584EC1" w:rsidRDefault="00584EC1">
            <w:pPr>
              <w:jc w:val="right"/>
              <w:rPr>
                <w:rFonts w:ascii="宋体"/>
              </w:rPr>
            </w:pPr>
          </w:p>
        </w:tc>
        <w:tc>
          <w:tcPr>
            <w:tcW w:w="0" w:type="auto"/>
            <w:shd w:val="clear" w:color="auto" w:fill="auto"/>
            <w:vAlign w:val="bottom"/>
          </w:tcPr>
          <w:p w14:paraId="74DD956A" w14:textId="77777777" w:rsidR="00584EC1" w:rsidRDefault="00584EC1">
            <w:pPr>
              <w:rPr>
                <w:rFonts w:ascii="宋体"/>
                <w:vanish/>
              </w:rPr>
            </w:pPr>
          </w:p>
        </w:tc>
        <w:tc>
          <w:tcPr>
            <w:tcW w:w="0" w:type="auto"/>
            <w:shd w:val="clear" w:color="auto" w:fill="auto"/>
            <w:vAlign w:val="bottom"/>
          </w:tcPr>
          <w:p w14:paraId="74DD956B" w14:textId="77777777" w:rsidR="00584EC1" w:rsidRDefault="00584EC1">
            <w:pPr>
              <w:rPr>
                <w:rFonts w:ascii="宋体"/>
                <w:vanish/>
              </w:rPr>
            </w:pPr>
          </w:p>
        </w:tc>
        <w:tc>
          <w:tcPr>
            <w:tcW w:w="0" w:type="auto"/>
            <w:gridSpan w:val="3"/>
            <w:shd w:val="clear" w:color="auto" w:fill="FFFFFF"/>
            <w:tcMar>
              <w:top w:w="0" w:type="dxa"/>
              <w:left w:w="20" w:type="dxa"/>
              <w:bottom w:w="0" w:type="dxa"/>
              <w:right w:w="20" w:type="dxa"/>
            </w:tcMar>
            <w:vAlign w:val="bottom"/>
          </w:tcPr>
          <w:p w14:paraId="74DD956C"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956D" w14:textId="77777777" w:rsidR="00584EC1" w:rsidRDefault="00871F8D">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956E" w14:textId="77777777" w:rsidR="00584EC1" w:rsidRDefault="00871F8D">
            <w:pPr>
              <w:jc w:val="right"/>
              <w:textAlignment w:val="bottom"/>
            </w:pPr>
            <w:r>
              <w:rPr>
                <w:rFonts w:ascii="Arial" w:eastAsia="宋体" w:hAnsi="Arial" w:cs="Arial"/>
                <w:color w:val="000000"/>
                <w:sz w:val="13"/>
                <w:szCs w:val="13"/>
              </w:rPr>
              <w:t>6,722 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956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570"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9571" w14:textId="77777777" w:rsidR="00584EC1" w:rsidRDefault="00871F8D">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9572" w14:textId="77777777" w:rsidR="00584EC1" w:rsidRDefault="00871F8D">
            <w:pPr>
              <w:jc w:val="right"/>
              <w:textAlignment w:val="bottom"/>
            </w:pPr>
            <w:r>
              <w:rPr>
                <w:rFonts w:ascii="Arial" w:eastAsia="宋体" w:hAnsi="Arial" w:cs="Arial"/>
                <w:color w:val="000000"/>
                <w:sz w:val="13"/>
                <w:szCs w:val="13"/>
              </w:rPr>
              <w:t>20,964 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957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574"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9575" w14:textId="77777777" w:rsidR="00584EC1" w:rsidRDefault="00871F8D">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9576" w14:textId="77777777" w:rsidR="00584EC1" w:rsidRDefault="00871F8D">
            <w:pPr>
              <w:jc w:val="right"/>
              <w:textAlignment w:val="bottom"/>
            </w:pPr>
            <w:r>
              <w:rPr>
                <w:rFonts w:ascii="Arial" w:eastAsia="宋体" w:hAnsi="Arial" w:cs="Arial"/>
                <w:color w:val="000000"/>
                <w:sz w:val="13"/>
                <w:szCs w:val="13"/>
              </w:rPr>
              <w:t>701 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9577" w14:textId="77777777" w:rsidR="00584EC1" w:rsidRDefault="00584EC1">
            <w:pPr>
              <w:jc w:val="right"/>
              <w:rPr>
                <w:rFonts w:ascii="宋体"/>
              </w:rPr>
            </w:pPr>
          </w:p>
        </w:tc>
        <w:tc>
          <w:tcPr>
            <w:tcW w:w="0" w:type="auto"/>
            <w:shd w:val="clear" w:color="auto" w:fill="auto"/>
            <w:vAlign w:val="bottom"/>
          </w:tcPr>
          <w:p w14:paraId="74DD9578" w14:textId="77777777" w:rsidR="00584EC1" w:rsidRDefault="00584EC1">
            <w:pPr>
              <w:rPr>
                <w:rFonts w:ascii="宋体"/>
                <w:vanish/>
              </w:rPr>
            </w:pPr>
          </w:p>
        </w:tc>
        <w:tc>
          <w:tcPr>
            <w:tcW w:w="0" w:type="auto"/>
            <w:shd w:val="clear" w:color="auto" w:fill="auto"/>
            <w:vAlign w:val="bottom"/>
          </w:tcPr>
          <w:p w14:paraId="74DD9579" w14:textId="77777777" w:rsidR="00584EC1" w:rsidRDefault="00584EC1">
            <w:pPr>
              <w:rPr>
                <w:rFonts w:ascii="宋体"/>
                <w:vanish/>
              </w:rPr>
            </w:pPr>
          </w:p>
        </w:tc>
        <w:tc>
          <w:tcPr>
            <w:tcW w:w="0" w:type="auto"/>
            <w:gridSpan w:val="3"/>
            <w:shd w:val="clear" w:color="auto" w:fill="FFFFFF"/>
            <w:tcMar>
              <w:top w:w="0" w:type="dxa"/>
              <w:left w:w="20" w:type="dxa"/>
              <w:bottom w:w="0" w:type="dxa"/>
              <w:right w:w="20" w:type="dxa"/>
            </w:tcMar>
            <w:vAlign w:val="bottom"/>
          </w:tcPr>
          <w:p w14:paraId="74DD957A"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957B" w14:textId="77777777" w:rsidR="00584EC1" w:rsidRDefault="00871F8D">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957C" w14:textId="77777777" w:rsidR="00584EC1" w:rsidRDefault="00871F8D">
            <w:pPr>
              <w:jc w:val="right"/>
              <w:textAlignment w:val="bottom"/>
            </w:pPr>
            <w:r>
              <w:rPr>
                <w:rFonts w:ascii="Arial" w:eastAsia="宋体" w:hAnsi="Arial" w:cs="Arial"/>
                <w:color w:val="000000"/>
                <w:sz w:val="13"/>
                <w:szCs w:val="13"/>
              </w:rPr>
              <w:t>3,261 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957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57E"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957F" w14:textId="77777777" w:rsidR="00584EC1" w:rsidRDefault="00871F8D">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9580" w14:textId="77777777" w:rsidR="00584EC1" w:rsidRDefault="00871F8D">
            <w:pPr>
              <w:jc w:val="right"/>
              <w:textAlignment w:val="bottom"/>
            </w:pPr>
            <w:r>
              <w:rPr>
                <w:rFonts w:ascii="Arial" w:eastAsia="宋体" w:hAnsi="Arial" w:cs="Arial"/>
                <w:color w:val="000000"/>
                <w:sz w:val="13"/>
                <w:szCs w:val="13"/>
              </w:rPr>
              <w:t>13,908 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9581" w14:textId="77777777" w:rsidR="00584EC1" w:rsidRDefault="00584EC1">
            <w:pPr>
              <w:jc w:val="right"/>
              <w:rPr>
                <w:rFonts w:ascii="宋体"/>
              </w:rPr>
            </w:pPr>
          </w:p>
        </w:tc>
        <w:tc>
          <w:tcPr>
            <w:tcW w:w="0" w:type="auto"/>
            <w:gridSpan w:val="2"/>
            <w:shd w:val="clear" w:color="auto" w:fill="FFFFFF"/>
            <w:tcMar>
              <w:top w:w="0" w:type="dxa"/>
              <w:left w:w="20" w:type="dxa"/>
              <w:bottom w:w="0" w:type="dxa"/>
              <w:right w:w="20" w:type="dxa"/>
            </w:tcMar>
            <w:vAlign w:val="bottom"/>
          </w:tcPr>
          <w:p w14:paraId="74DD9582"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9583" w14:textId="77777777" w:rsidR="00584EC1" w:rsidRDefault="00871F8D">
            <w:pPr>
              <w:textAlignment w:val="bottom"/>
            </w:pPr>
            <w:r>
              <w:rPr>
                <w:rFonts w:ascii="Arial" w:eastAsia="宋体" w:hAnsi="Arial" w:cs="Arial"/>
                <w:color w:val="000000"/>
                <w:sz w:val="13"/>
                <w:szCs w:val="13"/>
              </w:rPr>
              <w:t>$</w:t>
            </w:r>
          </w:p>
          <w:p w14:paraId="74DD9584" w14:textId="77777777" w:rsidR="00584EC1" w:rsidRDefault="00871F8D">
            <w:pPr>
              <w:jc w:val="right"/>
              <w:textAlignment w:val="bottom"/>
            </w:pPr>
            <w:r>
              <w:rPr>
                <w:rFonts w:ascii="Arial" w:eastAsia="宋体" w:hAnsi="Arial" w:cs="Arial"/>
                <w:color w:val="000000"/>
                <w:sz w:val="13"/>
                <w:szCs w:val="13"/>
              </w:rPr>
              <w:t>771 </w:t>
            </w:r>
          </w:p>
        </w:tc>
      </w:tr>
    </w:tbl>
    <w:p w14:paraId="74DD9586" w14:textId="77777777" w:rsidR="00584EC1" w:rsidRDefault="00584E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56"/>
        <w:gridCol w:w="1075"/>
        <w:gridCol w:w="37"/>
        <w:gridCol w:w="94"/>
        <w:gridCol w:w="573"/>
        <w:gridCol w:w="37"/>
        <w:gridCol w:w="36"/>
        <w:gridCol w:w="36"/>
        <w:gridCol w:w="36"/>
        <w:gridCol w:w="93"/>
        <w:gridCol w:w="519"/>
        <w:gridCol w:w="36"/>
        <w:gridCol w:w="36"/>
        <w:gridCol w:w="36"/>
        <w:gridCol w:w="36"/>
        <w:gridCol w:w="94"/>
        <w:gridCol w:w="521"/>
        <w:gridCol w:w="37"/>
        <w:gridCol w:w="159"/>
        <w:gridCol w:w="109"/>
        <w:gridCol w:w="36"/>
        <w:gridCol w:w="36"/>
        <w:gridCol w:w="36"/>
        <w:gridCol w:w="94"/>
        <w:gridCol w:w="573"/>
        <w:gridCol w:w="37"/>
        <w:gridCol w:w="36"/>
        <w:gridCol w:w="36"/>
        <w:gridCol w:w="36"/>
        <w:gridCol w:w="93"/>
        <w:gridCol w:w="474"/>
        <w:gridCol w:w="36"/>
        <w:gridCol w:w="36"/>
        <w:gridCol w:w="36"/>
        <w:gridCol w:w="36"/>
        <w:gridCol w:w="94"/>
        <w:gridCol w:w="521"/>
        <w:gridCol w:w="37"/>
        <w:gridCol w:w="109"/>
        <w:gridCol w:w="110"/>
        <w:gridCol w:w="36"/>
        <w:gridCol w:w="36"/>
        <w:gridCol w:w="36"/>
        <w:gridCol w:w="94"/>
        <w:gridCol w:w="573"/>
        <w:gridCol w:w="37"/>
        <w:gridCol w:w="36"/>
        <w:gridCol w:w="36"/>
        <w:gridCol w:w="36"/>
        <w:gridCol w:w="93"/>
        <w:gridCol w:w="475"/>
        <w:gridCol w:w="36"/>
        <w:gridCol w:w="36"/>
        <w:gridCol w:w="36"/>
        <w:gridCol w:w="582"/>
      </w:tblGrid>
      <w:tr w:rsidR="00584EC1" w14:paraId="74DD95BE" w14:textId="77777777">
        <w:tc>
          <w:tcPr>
            <w:tcW w:w="50" w:type="pct"/>
            <w:shd w:val="clear" w:color="auto" w:fill="auto"/>
            <w:vAlign w:val="bottom"/>
          </w:tcPr>
          <w:p w14:paraId="74DD9587" w14:textId="77777777" w:rsidR="00584EC1" w:rsidRDefault="00584EC1">
            <w:pPr>
              <w:rPr>
                <w:rFonts w:ascii="宋体"/>
              </w:rPr>
            </w:pPr>
          </w:p>
        </w:tc>
        <w:tc>
          <w:tcPr>
            <w:tcW w:w="705" w:type="pct"/>
            <w:shd w:val="clear" w:color="auto" w:fill="auto"/>
            <w:vAlign w:val="bottom"/>
          </w:tcPr>
          <w:p w14:paraId="74DD9588" w14:textId="77777777" w:rsidR="00584EC1" w:rsidRDefault="00584EC1">
            <w:pPr>
              <w:rPr>
                <w:rFonts w:ascii="宋体"/>
              </w:rPr>
            </w:pPr>
          </w:p>
        </w:tc>
        <w:tc>
          <w:tcPr>
            <w:tcW w:w="5" w:type="pct"/>
            <w:shd w:val="clear" w:color="auto" w:fill="auto"/>
            <w:vAlign w:val="bottom"/>
          </w:tcPr>
          <w:p w14:paraId="74DD9589" w14:textId="77777777" w:rsidR="00584EC1" w:rsidRDefault="00584EC1">
            <w:pPr>
              <w:rPr>
                <w:rFonts w:ascii="宋体"/>
              </w:rPr>
            </w:pPr>
          </w:p>
        </w:tc>
        <w:tc>
          <w:tcPr>
            <w:tcW w:w="50" w:type="pct"/>
            <w:shd w:val="clear" w:color="auto" w:fill="auto"/>
            <w:vAlign w:val="bottom"/>
          </w:tcPr>
          <w:p w14:paraId="74DD958A" w14:textId="77777777" w:rsidR="00584EC1" w:rsidRDefault="00584EC1">
            <w:pPr>
              <w:rPr>
                <w:rFonts w:ascii="宋体"/>
              </w:rPr>
            </w:pPr>
          </w:p>
        </w:tc>
        <w:tc>
          <w:tcPr>
            <w:tcW w:w="383" w:type="pct"/>
            <w:shd w:val="clear" w:color="auto" w:fill="auto"/>
            <w:vAlign w:val="bottom"/>
          </w:tcPr>
          <w:p w14:paraId="74DD958B" w14:textId="77777777" w:rsidR="00584EC1" w:rsidRDefault="00584EC1">
            <w:pPr>
              <w:rPr>
                <w:rFonts w:ascii="宋体"/>
              </w:rPr>
            </w:pPr>
          </w:p>
        </w:tc>
        <w:tc>
          <w:tcPr>
            <w:tcW w:w="5" w:type="pct"/>
            <w:shd w:val="clear" w:color="auto" w:fill="auto"/>
            <w:vAlign w:val="bottom"/>
          </w:tcPr>
          <w:p w14:paraId="74DD958C" w14:textId="77777777" w:rsidR="00584EC1" w:rsidRDefault="00584EC1">
            <w:pPr>
              <w:rPr>
                <w:rFonts w:ascii="宋体"/>
              </w:rPr>
            </w:pPr>
          </w:p>
        </w:tc>
        <w:tc>
          <w:tcPr>
            <w:tcW w:w="5" w:type="pct"/>
            <w:shd w:val="clear" w:color="auto" w:fill="auto"/>
            <w:vAlign w:val="bottom"/>
          </w:tcPr>
          <w:p w14:paraId="74DD958D" w14:textId="77777777" w:rsidR="00584EC1" w:rsidRDefault="00584EC1">
            <w:pPr>
              <w:rPr>
                <w:rFonts w:ascii="宋体"/>
              </w:rPr>
            </w:pPr>
          </w:p>
        </w:tc>
        <w:tc>
          <w:tcPr>
            <w:tcW w:w="26" w:type="pct"/>
            <w:shd w:val="clear" w:color="auto" w:fill="auto"/>
            <w:vAlign w:val="bottom"/>
          </w:tcPr>
          <w:p w14:paraId="74DD958E" w14:textId="77777777" w:rsidR="00584EC1" w:rsidRDefault="00584EC1">
            <w:pPr>
              <w:rPr>
                <w:rFonts w:ascii="宋体"/>
              </w:rPr>
            </w:pPr>
          </w:p>
        </w:tc>
        <w:tc>
          <w:tcPr>
            <w:tcW w:w="5" w:type="pct"/>
            <w:shd w:val="clear" w:color="auto" w:fill="auto"/>
            <w:vAlign w:val="bottom"/>
          </w:tcPr>
          <w:p w14:paraId="74DD958F" w14:textId="77777777" w:rsidR="00584EC1" w:rsidRDefault="00584EC1">
            <w:pPr>
              <w:rPr>
                <w:rFonts w:ascii="宋体"/>
              </w:rPr>
            </w:pPr>
          </w:p>
        </w:tc>
        <w:tc>
          <w:tcPr>
            <w:tcW w:w="50" w:type="pct"/>
            <w:shd w:val="clear" w:color="auto" w:fill="auto"/>
            <w:vAlign w:val="bottom"/>
          </w:tcPr>
          <w:p w14:paraId="74DD9590" w14:textId="77777777" w:rsidR="00584EC1" w:rsidRDefault="00584EC1">
            <w:pPr>
              <w:rPr>
                <w:rFonts w:ascii="宋体"/>
              </w:rPr>
            </w:pPr>
          </w:p>
        </w:tc>
        <w:tc>
          <w:tcPr>
            <w:tcW w:w="383" w:type="pct"/>
            <w:shd w:val="clear" w:color="auto" w:fill="auto"/>
            <w:vAlign w:val="bottom"/>
          </w:tcPr>
          <w:p w14:paraId="74DD9591" w14:textId="77777777" w:rsidR="00584EC1" w:rsidRDefault="00584EC1">
            <w:pPr>
              <w:rPr>
                <w:rFonts w:ascii="宋体"/>
              </w:rPr>
            </w:pPr>
          </w:p>
        </w:tc>
        <w:tc>
          <w:tcPr>
            <w:tcW w:w="5" w:type="pct"/>
            <w:shd w:val="clear" w:color="auto" w:fill="auto"/>
            <w:vAlign w:val="bottom"/>
          </w:tcPr>
          <w:p w14:paraId="74DD9592" w14:textId="77777777" w:rsidR="00584EC1" w:rsidRDefault="00584EC1">
            <w:pPr>
              <w:rPr>
                <w:rFonts w:ascii="宋体"/>
              </w:rPr>
            </w:pPr>
          </w:p>
        </w:tc>
        <w:tc>
          <w:tcPr>
            <w:tcW w:w="5" w:type="pct"/>
            <w:shd w:val="clear" w:color="auto" w:fill="auto"/>
            <w:vAlign w:val="bottom"/>
          </w:tcPr>
          <w:p w14:paraId="74DD9593" w14:textId="77777777" w:rsidR="00584EC1" w:rsidRDefault="00584EC1">
            <w:pPr>
              <w:rPr>
                <w:rFonts w:ascii="宋体"/>
              </w:rPr>
            </w:pPr>
          </w:p>
        </w:tc>
        <w:tc>
          <w:tcPr>
            <w:tcW w:w="26" w:type="pct"/>
            <w:shd w:val="clear" w:color="auto" w:fill="auto"/>
            <w:vAlign w:val="bottom"/>
          </w:tcPr>
          <w:p w14:paraId="74DD9594" w14:textId="77777777" w:rsidR="00584EC1" w:rsidRDefault="00584EC1">
            <w:pPr>
              <w:rPr>
                <w:rFonts w:ascii="宋体"/>
              </w:rPr>
            </w:pPr>
          </w:p>
        </w:tc>
        <w:tc>
          <w:tcPr>
            <w:tcW w:w="5" w:type="pct"/>
            <w:shd w:val="clear" w:color="auto" w:fill="auto"/>
            <w:vAlign w:val="bottom"/>
          </w:tcPr>
          <w:p w14:paraId="74DD9595" w14:textId="77777777" w:rsidR="00584EC1" w:rsidRDefault="00584EC1">
            <w:pPr>
              <w:rPr>
                <w:rFonts w:ascii="宋体"/>
              </w:rPr>
            </w:pPr>
          </w:p>
        </w:tc>
        <w:tc>
          <w:tcPr>
            <w:tcW w:w="50" w:type="pct"/>
            <w:shd w:val="clear" w:color="auto" w:fill="auto"/>
            <w:vAlign w:val="bottom"/>
          </w:tcPr>
          <w:p w14:paraId="74DD9596" w14:textId="77777777" w:rsidR="00584EC1" w:rsidRDefault="00584EC1">
            <w:pPr>
              <w:rPr>
                <w:rFonts w:ascii="宋体"/>
              </w:rPr>
            </w:pPr>
          </w:p>
        </w:tc>
        <w:tc>
          <w:tcPr>
            <w:tcW w:w="383" w:type="pct"/>
            <w:shd w:val="clear" w:color="auto" w:fill="auto"/>
            <w:vAlign w:val="bottom"/>
          </w:tcPr>
          <w:p w14:paraId="74DD9597" w14:textId="77777777" w:rsidR="00584EC1" w:rsidRDefault="00584EC1">
            <w:pPr>
              <w:rPr>
                <w:rFonts w:ascii="宋体"/>
              </w:rPr>
            </w:pPr>
          </w:p>
        </w:tc>
        <w:tc>
          <w:tcPr>
            <w:tcW w:w="5" w:type="pct"/>
            <w:shd w:val="clear" w:color="auto" w:fill="auto"/>
            <w:vAlign w:val="bottom"/>
          </w:tcPr>
          <w:p w14:paraId="74DD9598" w14:textId="77777777" w:rsidR="00584EC1" w:rsidRDefault="00584EC1">
            <w:pPr>
              <w:rPr>
                <w:rFonts w:ascii="宋体"/>
              </w:rPr>
            </w:pPr>
          </w:p>
        </w:tc>
        <w:tc>
          <w:tcPr>
            <w:tcW w:w="0" w:type="auto"/>
            <w:shd w:val="clear" w:color="auto" w:fill="auto"/>
            <w:vAlign w:val="bottom"/>
          </w:tcPr>
          <w:p w14:paraId="74DD9599" w14:textId="77777777" w:rsidR="00584EC1" w:rsidRDefault="00584EC1">
            <w:pPr>
              <w:rPr>
                <w:rFonts w:ascii="宋体"/>
                <w:vanish/>
              </w:rPr>
            </w:pPr>
          </w:p>
        </w:tc>
        <w:tc>
          <w:tcPr>
            <w:tcW w:w="0" w:type="auto"/>
            <w:shd w:val="clear" w:color="auto" w:fill="auto"/>
            <w:vAlign w:val="bottom"/>
          </w:tcPr>
          <w:p w14:paraId="74DD959A" w14:textId="77777777" w:rsidR="00584EC1" w:rsidRDefault="00584EC1">
            <w:pPr>
              <w:rPr>
                <w:rFonts w:ascii="宋体"/>
                <w:vanish/>
              </w:rPr>
            </w:pPr>
          </w:p>
        </w:tc>
        <w:tc>
          <w:tcPr>
            <w:tcW w:w="5" w:type="pct"/>
            <w:shd w:val="clear" w:color="auto" w:fill="auto"/>
            <w:vAlign w:val="bottom"/>
          </w:tcPr>
          <w:p w14:paraId="74DD959B" w14:textId="77777777" w:rsidR="00584EC1" w:rsidRDefault="00584EC1">
            <w:pPr>
              <w:rPr>
                <w:rFonts w:ascii="宋体"/>
              </w:rPr>
            </w:pPr>
          </w:p>
        </w:tc>
        <w:tc>
          <w:tcPr>
            <w:tcW w:w="26" w:type="pct"/>
            <w:shd w:val="clear" w:color="auto" w:fill="auto"/>
            <w:vAlign w:val="bottom"/>
          </w:tcPr>
          <w:p w14:paraId="74DD959C" w14:textId="77777777" w:rsidR="00584EC1" w:rsidRDefault="00584EC1">
            <w:pPr>
              <w:rPr>
                <w:rFonts w:ascii="宋体"/>
              </w:rPr>
            </w:pPr>
          </w:p>
        </w:tc>
        <w:tc>
          <w:tcPr>
            <w:tcW w:w="5" w:type="pct"/>
            <w:shd w:val="clear" w:color="auto" w:fill="auto"/>
            <w:vAlign w:val="bottom"/>
          </w:tcPr>
          <w:p w14:paraId="74DD959D" w14:textId="77777777" w:rsidR="00584EC1" w:rsidRDefault="00584EC1">
            <w:pPr>
              <w:rPr>
                <w:rFonts w:ascii="宋体"/>
              </w:rPr>
            </w:pPr>
          </w:p>
        </w:tc>
        <w:tc>
          <w:tcPr>
            <w:tcW w:w="50" w:type="pct"/>
            <w:shd w:val="clear" w:color="auto" w:fill="auto"/>
            <w:vAlign w:val="bottom"/>
          </w:tcPr>
          <w:p w14:paraId="74DD959E" w14:textId="77777777" w:rsidR="00584EC1" w:rsidRDefault="00584EC1">
            <w:pPr>
              <w:rPr>
                <w:rFonts w:ascii="宋体"/>
              </w:rPr>
            </w:pPr>
          </w:p>
        </w:tc>
        <w:tc>
          <w:tcPr>
            <w:tcW w:w="383" w:type="pct"/>
            <w:shd w:val="clear" w:color="auto" w:fill="auto"/>
            <w:vAlign w:val="bottom"/>
          </w:tcPr>
          <w:p w14:paraId="74DD959F" w14:textId="77777777" w:rsidR="00584EC1" w:rsidRDefault="00584EC1">
            <w:pPr>
              <w:rPr>
                <w:rFonts w:ascii="宋体"/>
              </w:rPr>
            </w:pPr>
          </w:p>
        </w:tc>
        <w:tc>
          <w:tcPr>
            <w:tcW w:w="5" w:type="pct"/>
            <w:shd w:val="clear" w:color="auto" w:fill="auto"/>
            <w:vAlign w:val="bottom"/>
          </w:tcPr>
          <w:p w14:paraId="74DD95A0" w14:textId="77777777" w:rsidR="00584EC1" w:rsidRDefault="00584EC1">
            <w:pPr>
              <w:rPr>
                <w:rFonts w:ascii="宋体"/>
              </w:rPr>
            </w:pPr>
          </w:p>
        </w:tc>
        <w:tc>
          <w:tcPr>
            <w:tcW w:w="5" w:type="pct"/>
            <w:shd w:val="clear" w:color="auto" w:fill="auto"/>
            <w:vAlign w:val="bottom"/>
          </w:tcPr>
          <w:p w14:paraId="74DD95A1" w14:textId="77777777" w:rsidR="00584EC1" w:rsidRDefault="00584EC1">
            <w:pPr>
              <w:rPr>
                <w:rFonts w:ascii="宋体"/>
              </w:rPr>
            </w:pPr>
          </w:p>
        </w:tc>
        <w:tc>
          <w:tcPr>
            <w:tcW w:w="26" w:type="pct"/>
            <w:shd w:val="clear" w:color="auto" w:fill="auto"/>
            <w:vAlign w:val="bottom"/>
          </w:tcPr>
          <w:p w14:paraId="74DD95A2" w14:textId="77777777" w:rsidR="00584EC1" w:rsidRDefault="00584EC1">
            <w:pPr>
              <w:rPr>
                <w:rFonts w:ascii="宋体"/>
              </w:rPr>
            </w:pPr>
          </w:p>
        </w:tc>
        <w:tc>
          <w:tcPr>
            <w:tcW w:w="5" w:type="pct"/>
            <w:shd w:val="clear" w:color="auto" w:fill="auto"/>
            <w:vAlign w:val="bottom"/>
          </w:tcPr>
          <w:p w14:paraId="74DD95A3" w14:textId="77777777" w:rsidR="00584EC1" w:rsidRDefault="00584EC1">
            <w:pPr>
              <w:rPr>
                <w:rFonts w:ascii="宋体"/>
              </w:rPr>
            </w:pPr>
          </w:p>
        </w:tc>
        <w:tc>
          <w:tcPr>
            <w:tcW w:w="50" w:type="pct"/>
            <w:shd w:val="clear" w:color="auto" w:fill="auto"/>
            <w:vAlign w:val="bottom"/>
          </w:tcPr>
          <w:p w14:paraId="74DD95A4" w14:textId="77777777" w:rsidR="00584EC1" w:rsidRDefault="00584EC1">
            <w:pPr>
              <w:rPr>
                <w:rFonts w:ascii="宋体"/>
              </w:rPr>
            </w:pPr>
          </w:p>
        </w:tc>
        <w:tc>
          <w:tcPr>
            <w:tcW w:w="383" w:type="pct"/>
            <w:shd w:val="clear" w:color="auto" w:fill="auto"/>
            <w:vAlign w:val="bottom"/>
          </w:tcPr>
          <w:p w14:paraId="74DD95A5" w14:textId="77777777" w:rsidR="00584EC1" w:rsidRDefault="00584EC1">
            <w:pPr>
              <w:rPr>
                <w:rFonts w:ascii="宋体"/>
              </w:rPr>
            </w:pPr>
          </w:p>
        </w:tc>
        <w:tc>
          <w:tcPr>
            <w:tcW w:w="5" w:type="pct"/>
            <w:shd w:val="clear" w:color="auto" w:fill="auto"/>
            <w:vAlign w:val="bottom"/>
          </w:tcPr>
          <w:p w14:paraId="74DD95A6" w14:textId="77777777" w:rsidR="00584EC1" w:rsidRDefault="00584EC1">
            <w:pPr>
              <w:rPr>
                <w:rFonts w:ascii="宋体"/>
              </w:rPr>
            </w:pPr>
          </w:p>
        </w:tc>
        <w:tc>
          <w:tcPr>
            <w:tcW w:w="5" w:type="pct"/>
            <w:shd w:val="clear" w:color="auto" w:fill="auto"/>
            <w:vAlign w:val="bottom"/>
          </w:tcPr>
          <w:p w14:paraId="74DD95A7" w14:textId="77777777" w:rsidR="00584EC1" w:rsidRDefault="00584EC1">
            <w:pPr>
              <w:rPr>
                <w:rFonts w:ascii="宋体"/>
              </w:rPr>
            </w:pPr>
          </w:p>
        </w:tc>
        <w:tc>
          <w:tcPr>
            <w:tcW w:w="26" w:type="pct"/>
            <w:shd w:val="clear" w:color="auto" w:fill="auto"/>
            <w:vAlign w:val="bottom"/>
          </w:tcPr>
          <w:p w14:paraId="74DD95A8" w14:textId="77777777" w:rsidR="00584EC1" w:rsidRDefault="00584EC1">
            <w:pPr>
              <w:rPr>
                <w:rFonts w:ascii="宋体"/>
              </w:rPr>
            </w:pPr>
          </w:p>
        </w:tc>
        <w:tc>
          <w:tcPr>
            <w:tcW w:w="5" w:type="pct"/>
            <w:shd w:val="clear" w:color="auto" w:fill="auto"/>
            <w:vAlign w:val="bottom"/>
          </w:tcPr>
          <w:p w14:paraId="74DD95A9" w14:textId="77777777" w:rsidR="00584EC1" w:rsidRDefault="00584EC1">
            <w:pPr>
              <w:rPr>
                <w:rFonts w:ascii="宋体"/>
              </w:rPr>
            </w:pPr>
          </w:p>
        </w:tc>
        <w:tc>
          <w:tcPr>
            <w:tcW w:w="50" w:type="pct"/>
            <w:shd w:val="clear" w:color="auto" w:fill="auto"/>
            <w:vAlign w:val="bottom"/>
          </w:tcPr>
          <w:p w14:paraId="74DD95AA" w14:textId="77777777" w:rsidR="00584EC1" w:rsidRDefault="00584EC1">
            <w:pPr>
              <w:rPr>
                <w:rFonts w:ascii="宋体"/>
              </w:rPr>
            </w:pPr>
          </w:p>
        </w:tc>
        <w:tc>
          <w:tcPr>
            <w:tcW w:w="383" w:type="pct"/>
            <w:shd w:val="clear" w:color="auto" w:fill="auto"/>
            <w:vAlign w:val="bottom"/>
          </w:tcPr>
          <w:p w14:paraId="74DD95AB" w14:textId="77777777" w:rsidR="00584EC1" w:rsidRDefault="00584EC1">
            <w:pPr>
              <w:rPr>
                <w:rFonts w:ascii="宋体"/>
              </w:rPr>
            </w:pPr>
          </w:p>
        </w:tc>
        <w:tc>
          <w:tcPr>
            <w:tcW w:w="5" w:type="pct"/>
            <w:shd w:val="clear" w:color="auto" w:fill="auto"/>
            <w:vAlign w:val="bottom"/>
          </w:tcPr>
          <w:p w14:paraId="74DD95AC" w14:textId="77777777" w:rsidR="00584EC1" w:rsidRDefault="00584EC1">
            <w:pPr>
              <w:rPr>
                <w:rFonts w:ascii="宋体"/>
              </w:rPr>
            </w:pPr>
          </w:p>
        </w:tc>
        <w:tc>
          <w:tcPr>
            <w:tcW w:w="0" w:type="auto"/>
            <w:shd w:val="clear" w:color="auto" w:fill="auto"/>
            <w:vAlign w:val="bottom"/>
          </w:tcPr>
          <w:p w14:paraId="74DD95AD" w14:textId="77777777" w:rsidR="00584EC1" w:rsidRDefault="00584EC1">
            <w:pPr>
              <w:rPr>
                <w:rFonts w:ascii="宋体"/>
                <w:vanish/>
              </w:rPr>
            </w:pPr>
          </w:p>
        </w:tc>
        <w:tc>
          <w:tcPr>
            <w:tcW w:w="0" w:type="auto"/>
            <w:shd w:val="clear" w:color="auto" w:fill="auto"/>
            <w:vAlign w:val="bottom"/>
          </w:tcPr>
          <w:p w14:paraId="74DD95AE" w14:textId="77777777" w:rsidR="00584EC1" w:rsidRDefault="00584EC1">
            <w:pPr>
              <w:rPr>
                <w:rFonts w:ascii="宋体"/>
                <w:vanish/>
              </w:rPr>
            </w:pPr>
          </w:p>
        </w:tc>
        <w:tc>
          <w:tcPr>
            <w:tcW w:w="5" w:type="pct"/>
            <w:shd w:val="clear" w:color="auto" w:fill="auto"/>
            <w:vAlign w:val="bottom"/>
          </w:tcPr>
          <w:p w14:paraId="74DD95AF" w14:textId="77777777" w:rsidR="00584EC1" w:rsidRDefault="00584EC1">
            <w:pPr>
              <w:rPr>
                <w:rFonts w:ascii="宋体"/>
              </w:rPr>
            </w:pPr>
          </w:p>
        </w:tc>
        <w:tc>
          <w:tcPr>
            <w:tcW w:w="26" w:type="pct"/>
            <w:shd w:val="clear" w:color="auto" w:fill="auto"/>
            <w:vAlign w:val="bottom"/>
          </w:tcPr>
          <w:p w14:paraId="74DD95B0" w14:textId="77777777" w:rsidR="00584EC1" w:rsidRDefault="00584EC1">
            <w:pPr>
              <w:rPr>
                <w:rFonts w:ascii="宋体"/>
              </w:rPr>
            </w:pPr>
          </w:p>
        </w:tc>
        <w:tc>
          <w:tcPr>
            <w:tcW w:w="5" w:type="pct"/>
            <w:shd w:val="clear" w:color="auto" w:fill="auto"/>
            <w:vAlign w:val="bottom"/>
          </w:tcPr>
          <w:p w14:paraId="74DD95B1" w14:textId="77777777" w:rsidR="00584EC1" w:rsidRDefault="00584EC1">
            <w:pPr>
              <w:rPr>
                <w:rFonts w:ascii="宋体"/>
              </w:rPr>
            </w:pPr>
          </w:p>
        </w:tc>
        <w:tc>
          <w:tcPr>
            <w:tcW w:w="50" w:type="pct"/>
            <w:shd w:val="clear" w:color="auto" w:fill="auto"/>
            <w:vAlign w:val="bottom"/>
          </w:tcPr>
          <w:p w14:paraId="74DD95B2" w14:textId="77777777" w:rsidR="00584EC1" w:rsidRDefault="00584EC1">
            <w:pPr>
              <w:rPr>
                <w:rFonts w:ascii="宋体"/>
              </w:rPr>
            </w:pPr>
          </w:p>
        </w:tc>
        <w:tc>
          <w:tcPr>
            <w:tcW w:w="383" w:type="pct"/>
            <w:shd w:val="clear" w:color="auto" w:fill="auto"/>
            <w:vAlign w:val="bottom"/>
          </w:tcPr>
          <w:p w14:paraId="74DD95B3" w14:textId="77777777" w:rsidR="00584EC1" w:rsidRDefault="00584EC1">
            <w:pPr>
              <w:rPr>
                <w:rFonts w:ascii="宋体"/>
              </w:rPr>
            </w:pPr>
          </w:p>
        </w:tc>
        <w:tc>
          <w:tcPr>
            <w:tcW w:w="5" w:type="pct"/>
            <w:shd w:val="clear" w:color="auto" w:fill="auto"/>
            <w:vAlign w:val="bottom"/>
          </w:tcPr>
          <w:p w14:paraId="74DD95B4" w14:textId="77777777" w:rsidR="00584EC1" w:rsidRDefault="00584EC1">
            <w:pPr>
              <w:rPr>
                <w:rFonts w:ascii="宋体"/>
              </w:rPr>
            </w:pPr>
          </w:p>
        </w:tc>
        <w:tc>
          <w:tcPr>
            <w:tcW w:w="5" w:type="pct"/>
            <w:shd w:val="clear" w:color="auto" w:fill="auto"/>
            <w:vAlign w:val="bottom"/>
          </w:tcPr>
          <w:p w14:paraId="74DD95B5" w14:textId="77777777" w:rsidR="00584EC1" w:rsidRDefault="00584EC1">
            <w:pPr>
              <w:rPr>
                <w:rFonts w:ascii="宋体"/>
              </w:rPr>
            </w:pPr>
          </w:p>
        </w:tc>
        <w:tc>
          <w:tcPr>
            <w:tcW w:w="26" w:type="pct"/>
            <w:shd w:val="clear" w:color="auto" w:fill="auto"/>
            <w:vAlign w:val="bottom"/>
          </w:tcPr>
          <w:p w14:paraId="74DD95B6" w14:textId="77777777" w:rsidR="00584EC1" w:rsidRDefault="00584EC1">
            <w:pPr>
              <w:rPr>
                <w:rFonts w:ascii="宋体"/>
              </w:rPr>
            </w:pPr>
          </w:p>
        </w:tc>
        <w:tc>
          <w:tcPr>
            <w:tcW w:w="5" w:type="pct"/>
            <w:shd w:val="clear" w:color="auto" w:fill="auto"/>
            <w:vAlign w:val="bottom"/>
          </w:tcPr>
          <w:p w14:paraId="74DD95B7" w14:textId="77777777" w:rsidR="00584EC1" w:rsidRDefault="00584EC1">
            <w:pPr>
              <w:rPr>
                <w:rFonts w:ascii="宋体"/>
              </w:rPr>
            </w:pPr>
          </w:p>
        </w:tc>
        <w:tc>
          <w:tcPr>
            <w:tcW w:w="50" w:type="pct"/>
            <w:shd w:val="clear" w:color="auto" w:fill="auto"/>
            <w:vAlign w:val="bottom"/>
          </w:tcPr>
          <w:p w14:paraId="74DD95B8" w14:textId="77777777" w:rsidR="00584EC1" w:rsidRDefault="00584EC1">
            <w:pPr>
              <w:rPr>
                <w:rFonts w:ascii="宋体"/>
              </w:rPr>
            </w:pPr>
          </w:p>
        </w:tc>
        <w:tc>
          <w:tcPr>
            <w:tcW w:w="383" w:type="pct"/>
            <w:shd w:val="clear" w:color="auto" w:fill="auto"/>
            <w:vAlign w:val="bottom"/>
          </w:tcPr>
          <w:p w14:paraId="74DD95B9" w14:textId="77777777" w:rsidR="00584EC1" w:rsidRDefault="00584EC1">
            <w:pPr>
              <w:rPr>
                <w:rFonts w:ascii="宋体"/>
              </w:rPr>
            </w:pPr>
          </w:p>
        </w:tc>
        <w:tc>
          <w:tcPr>
            <w:tcW w:w="5" w:type="pct"/>
            <w:shd w:val="clear" w:color="auto" w:fill="auto"/>
            <w:vAlign w:val="bottom"/>
          </w:tcPr>
          <w:p w14:paraId="74DD95BA" w14:textId="77777777" w:rsidR="00584EC1" w:rsidRDefault="00584EC1">
            <w:pPr>
              <w:rPr>
                <w:rFonts w:ascii="宋体"/>
              </w:rPr>
            </w:pPr>
          </w:p>
        </w:tc>
        <w:tc>
          <w:tcPr>
            <w:tcW w:w="5" w:type="pct"/>
            <w:shd w:val="clear" w:color="auto" w:fill="auto"/>
            <w:vAlign w:val="bottom"/>
          </w:tcPr>
          <w:p w14:paraId="74DD95BB" w14:textId="77777777" w:rsidR="00584EC1" w:rsidRDefault="00584EC1">
            <w:pPr>
              <w:rPr>
                <w:rFonts w:ascii="宋体"/>
              </w:rPr>
            </w:pPr>
          </w:p>
        </w:tc>
        <w:tc>
          <w:tcPr>
            <w:tcW w:w="26" w:type="pct"/>
            <w:shd w:val="clear" w:color="auto" w:fill="auto"/>
            <w:vAlign w:val="bottom"/>
          </w:tcPr>
          <w:p w14:paraId="74DD95BC" w14:textId="77777777" w:rsidR="00584EC1" w:rsidRDefault="00584EC1">
            <w:pPr>
              <w:rPr>
                <w:rFonts w:ascii="宋体"/>
              </w:rPr>
            </w:pPr>
          </w:p>
        </w:tc>
        <w:tc>
          <w:tcPr>
            <w:tcW w:w="5" w:type="pct"/>
            <w:shd w:val="clear" w:color="auto" w:fill="auto"/>
            <w:vAlign w:val="bottom"/>
          </w:tcPr>
          <w:p w14:paraId="74DD95BD" w14:textId="77777777" w:rsidR="00584EC1" w:rsidRDefault="00584EC1">
            <w:pPr>
              <w:rPr>
                <w:rFonts w:ascii="宋体"/>
              </w:rPr>
            </w:pPr>
          </w:p>
        </w:tc>
      </w:tr>
      <w:tr w:rsidR="00584EC1" w14:paraId="74DD95C4" w14:textId="77777777">
        <w:tc>
          <w:tcPr>
            <w:tcW w:w="0" w:type="auto"/>
            <w:gridSpan w:val="46"/>
            <w:shd w:val="clear" w:color="auto" w:fill="auto"/>
            <w:tcMar>
              <w:top w:w="40" w:type="dxa"/>
              <w:left w:w="20" w:type="dxa"/>
              <w:bottom w:w="40" w:type="dxa"/>
              <w:right w:w="20" w:type="dxa"/>
            </w:tcMar>
            <w:vAlign w:val="bottom"/>
          </w:tcPr>
          <w:p w14:paraId="74DD95BF" w14:textId="77777777" w:rsidR="00584EC1" w:rsidRDefault="00871F8D">
            <w:pPr>
              <w:textAlignment w:val="bottom"/>
            </w:pPr>
            <w:r>
              <w:rPr>
                <w:rFonts w:ascii="Arial" w:eastAsia="宋体" w:hAnsi="Arial" w:cs="Arial"/>
                <w:b/>
                <w:bCs/>
                <w:color w:val="000000"/>
                <w:sz w:val="16"/>
                <w:szCs w:val="16"/>
              </w:rPr>
              <w:t>TABLE 31: TEN-DAY STRESSED VaR ASSOCIATED WITH TRADING ACTIVITIES BY RISK FACTOR</w:t>
            </w:r>
            <w:r>
              <w:rPr>
                <w:rFonts w:ascii="Arial" w:eastAsia="宋体" w:hAnsi="Arial" w:cs="Arial"/>
                <w:b/>
                <w:bCs/>
                <w:color w:val="000000"/>
                <w:sz w:val="10"/>
                <w:szCs w:val="10"/>
              </w:rPr>
              <w:t>(1)</w:t>
            </w:r>
          </w:p>
        </w:tc>
        <w:tc>
          <w:tcPr>
            <w:tcW w:w="0" w:type="auto"/>
            <w:gridSpan w:val="3"/>
            <w:shd w:val="clear" w:color="auto" w:fill="auto"/>
            <w:vAlign w:val="bottom"/>
          </w:tcPr>
          <w:p w14:paraId="74DD95C0" w14:textId="77777777" w:rsidR="00584EC1" w:rsidRDefault="00584EC1">
            <w:pPr>
              <w:rPr>
                <w:rFonts w:ascii="宋体"/>
                <w:vanish/>
              </w:rPr>
            </w:pPr>
          </w:p>
        </w:tc>
        <w:tc>
          <w:tcPr>
            <w:tcW w:w="0" w:type="auto"/>
            <w:gridSpan w:val="3"/>
            <w:shd w:val="clear" w:color="auto" w:fill="auto"/>
            <w:vAlign w:val="bottom"/>
          </w:tcPr>
          <w:p w14:paraId="74DD95C1" w14:textId="77777777" w:rsidR="00584EC1" w:rsidRDefault="00584EC1">
            <w:pPr>
              <w:rPr>
                <w:rFonts w:ascii="宋体"/>
                <w:vanish/>
              </w:rPr>
            </w:pPr>
          </w:p>
        </w:tc>
        <w:tc>
          <w:tcPr>
            <w:tcW w:w="0" w:type="auto"/>
            <w:gridSpan w:val="2"/>
            <w:shd w:val="clear" w:color="auto" w:fill="auto"/>
            <w:vAlign w:val="bottom"/>
          </w:tcPr>
          <w:p w14:paraId="74DD95C2" w14:textId="77777777" w:rsidR="00584EC1" w:rsidRDefault="00584EC1">
            <w:pPr>
              <w:rPr>
                <w:rFonts w:ascii="宋体"/>
                <w:vanish/>
              </w:rPr>
            </w:pPr>
          </w:p>
        </w:tc>
        <w:tc>
          <w:tcPr>
            <w:tcW w:w="0" w:type="auto"/>
            <w:shd w:val="clear" w:color="auto" w:fill="auto"/>
            <w:vAlign w:val="bottom"/>
          </w:tcPr>
          <w:p w14:paraId="74DD95C3" w14:textId="77777777" w:rsidR="00584EC1" w:rsidRDefault="00584EC1">
            <w:pPr>
              <w:rPr>
                <w:rFonts w:ascii="宋体"/>
                <w:vanish/>
              </w:rPr>
            </w:pPr>
          </w:p>
        </w:tc>
      </w:tr>
      <w:tr w:rsidR="00584EC1" w14:paraId="74DD95D2" w14:textId="77777777">
        <w:tc>
          <w:tcPr>
            <w:tcW w:w="0" w:type="auto"/>
            <w:gridSpan w:val="3"/>
            <w:shd w:val="clear" w:color="auto" w:fill="auto"/>
            <w:tcMar>
              <w:top w:w="0" w:type="dxa"/>
              <w:left w:w="20" w:type="dxa"/>
              <w:bottom w:w="0" w:type="dxa"/>
              <w:right w:w="20" w:type="dxa"/>
            </w:tcMar>
            <w:vAlign w:val="bottom"/>
          </w:tcPr>
          <w:p w14:paraId="74DD95C5" w14:textId="77777777" w:rsidR="00584EC1" w:rsidRDefault="00584EC1">
            <w:pPr>
              <w:rPr>
                <w:rFonts w:ascii="宋体"/>
              </w:rPr>
            </w:pPr>
          </w:p>
        </w:tc>
        <w:tc>
          <w:tcPr>
            <w:tcW w:w="0" w:type="auto"/>
            <w:gridSpan w:val="15"/>
            <w:shd w:val="clear" w:color="auto" w:fill="auto"/>
            <w:tcMar>
              <w:top w:w="40" w:type="dxa"/>
              <w:left w:w="20" w:type="dxa"/>
              <w:bottom w:w="40" w:type="dxa"/>
              <w:right w:w="20" w:type="dxa"/>
            </w:tcMar>
            <w:vAlign w:val="bottom"/>
          </w:tcPr>
          <w:p w14:paraId="74DD95C6" w14:textId="77777777" w:rsidR="00584EC1" w:rsidRDefault="00871F8D">
            <w:pPr>
              <w:spacing w:after="20"/>
              <w:jc w:val="center"/>
              <w:textAlignment w:val="bottom"/>
            </w:pPr>
            <w:r>
              <w:rPr>
                <w:rFonts w:ascii="Arial" w:eastAsia="宋体" w:hAnsi="Arial" w:cs="Arial"/>
                <w:b/>
                <w:bCs/>
                <w:color w:val="000000"/>
                <w:sz w:val="13"/>
                <w:szCs w:val="13"/>
              </w:rPr>
              <w:t>As of September 30, 2021</w:t>
            </w:r>
          </w:p>
        </w:tc>
        <w:tc>
          <w:tcPr>
            <w:tcW w:w="0" w:type="auto"/>
            <w:shd w:val="clear" w:color="auto" w:fill="auto"/>
            <w:tcMar>
              <w:top w:w="0" w:type="dxa"/>
              <w:left w:w="20" w:type="dxa"/>
              <w:bottom w:w="0" w:type="dxa"/>
              <w:right w:w="20" w:type="dxa"/>
            </w:tcMar>
            <w:vAlign w:val="bottom"/>
          </w:tcPr>
          <w:p w14:paraId="74DD95C7" w14:textId="77777777" w:rsidR="00584EC1" w:rsidRDefault="00584EC1">
            <w:pPr>
              <w:rPr>
                <w:rFonts w:ascii="宋体"/>
              </w:rPr>
            </w:pPr>
          </w:p>
        </w:tc>
        <w:tc>
          <w:tcPr>
            <w:tcW w:w="0" w:type="auto"/>
            <w:gridSpan w:val="13"/>
            <w:shd w:val="clear" w:color="auto" w:fill="auto"/>
            <w:tcMar>
              <w:top w:w="40" w:type="dxa"/>
              <w:left w:w="20" w:type="dxa"/>
              <w:bottom w:w="40" w:type="dxa"/>
              <w:right w:w="20" w:type="dxa"/>
            </w:tcMar>
            <w:vAlign w:val="bottom"/>
          </w:tcPr>
          <w:p w14:paraId="74DD95C8" w14:textId="77777777" w:rsidR="00584EC1" w:rsidRDefault="00871F8D">
            <w:pPr>
              <w:spacing w:after="20"/>
              <w:jc w:val="center"/>
              <w:textAlignment w:val="bottom"/>
            </w:pPr>
            <w:r>
              <w:rPr>
                <w:rFonts w:ascii="Arial" w:eastAsia="宋体" w:hAnsi="Arial" w:cs="Arial"/>
                <w:b/>
                <w:bCs/>
                <w:color w:val="000000"/>
                <w:sz w:val="13"/>
                <w:szCs w:val="13"/>
              </w:rPr>
              <w:t>As of June 30, 2021</w:t>
            </w:r>
          </w:p>
        </w:tc>
        <w:tc>
          <w:tcPr>
            <w:tcW w:w="0" w:type="auto"/>
            <w:gridSpan w:val="3"/>
            <w:shd w:val="clear" w:color="auto" w:fill="auto"/>
            <w:tcMar>
              <w:top w:w="0" w:type="dxa"/>
              <w:left w:w="20" w:type="dxa"/>
              <w:bottom w:w="0" w:type="dxa"/>
              <w:right w:w="20" w:type="dxa"/>
            </w:tcMar>
            <w:vAlign w:val="bottom"/>
          </w:tcPr>
          <w:p w14:paraId="74DD95C9" w14:textId="77777777" w:rsidR="00584EC1" w:rsidRDefault="00584EC1">
            <w:pPr>
              <w:rPr>
                <w:rFonts w:ascii="宋体"/>
              </w:rPr>
            </w:pPr>
          </w:p>
        </w:tc>
        <w:tc>
          <w:tcPr>
            <w:tcW w:w="0" w:type="auto"/>
            <w:gridSpan w:val="11"/>
            <w:shd w:val="clear" w:color="auto" w:fill="auto"/>
            <w:tcMar>
              <w:top w:w="40" w:type="dxa"/>
              <w:left w:w="20" w:type="dxa"/>
              <w:bottom w:w="40" w:type="dxa"/>
              <w:right w:w="20" w:type="dxa"/>
            </w:tcMar>
            <w:vAlign w:val="bottom"/>
          </w:tcPr>
          <w:p w14:paraId="74DD95CA" w14:textId="77777777" w:rsidR="00584EC1" w:rsidRDefault="00871F8D">
            <w:pPr>
              <w:spacing w:after="20"/>
              <w:jc w:val="center"/>
              <w:textAlignment w:val="bottom"/>
            </w:pPr>
            <w:r>
              <w:rPr>
                <w:rFonts w:ascii="Arial" w:eastAsia="宋体" w:hAnsi="Arial" w:cs="Arial"/>
                <w:b/>
                <w:bCs/>
                <w:color w:val="000000"/>
                <w:sz w:val="13"/>
                <w:szCs w:val="13"/>
              </w:rPr>
              <w:t>As of September 30, 2020</w:t>
            </w:r>
          </w:p>
        </w:tc>
        <w:tc>
          <w:tcPr>
            <w:tcW w:w="0" w:type="auto"/>
            <w:gridSpan w:val="3"/>
            <w:shd w:val="clear" w:color="auto" w:fill="auto"/>
            <w:vAlign w:val="bottom"/>
          </w:tcPr>
          <w:p w14:paraId="74DD95CB" w14:textId="77777777" w:rsidR="00584EC1" w:rsidRDefault="00584EC1">
            <w:pPr>
              <w:rPr>
                <w:rFonts w:ascii="宋体"/>
                <w:vanish/>
              </w:rPr>
            </w:pPr>
          </w:p>
        </w:tc>
        <w:tc>
          <w:tcPr>
            <w:tcW w:w="0" w:type="auto"/>
            <w:shd w:val="clear" w:color="auto" w:fill="auto"/>
            <w:vAlign w:val="bottom"/>
          </w:tcPr>
          <w:p w14:paraId="74DD95CC" w14:textId="77777777" w:rsidR="00584EC1" w:rsidRDefault="00584EC1">
            <w:pPr>
              <w:rPr>
                <w:rFonts w:ascii="宋体"/>
              </w:rPr>
            </w:pPr>
          </w:p>
        </w:tc>
        <w:tc>
          <w:tcPr>
            <w:tcW w:w="0" w:type="auto"/>
            <w:shd w:val="clear" w:color="auto" w:fill="auto"/>
            <w:vAlign w:val="bottom"/>
          </w:tcPr>
          <w:p w14:paraId="74DD95CD" w14:textId="77777777" w:rsidR="00584EC1" w:rsidRDefault="00584EC1">
            <w:pPr>
              <w:rPr>
                <w:rFonts w:ascii="宋体"/>
              </w:rPr>
            </w:pPr>
          </w:p>
        </w:tc>
        <w:tc>
          <w:tcPr>
            <w:tcW w:w="0" w:type="auto"/>
            <w:shd w:val="clear" w:color="auto" w:fill="auto"/>
            <w:vAlign w:val="bottom"/>
          </w:tcPr>
          <w:p w14:paraId="74DD95CE" w14:textId="77777777" w:rsidR="00584EC1" w:rsidRDefault="00584EC1">
            <w:pPr>
              <w:rPr>
                <w:rFonts w:ascii="宋体"/>
              </w:rPr>
            </w:pPr>
          </w:p>
        </w:tc>
        <w:tc>
          <w:tcPr>
            <w:tcW w:w="0" w:type="auto"/>
            <w:shd w:val="clear" w:color="auto" w:fill="auto"/>
            <w:vAlign w:val="bottom"/>
          </w:tcPr>
          <w:p w14:paraId="74DD95CF" w14:textId="77777777" w:rsidR="00584EC1" w:rsidRDefault="00584EC1">
            <w:pPr>
              <w:rPr>
                <w:rFonts w:ascii="宋体"/>
              </w:rPr>
            </w:pPr>
          </w:p>
        </w:tc>
        <w:tc>
          <w:tcPr>
            <w:tcW w:w="0" w:type="auto"/>
            <w:shd w:val="clear" w:color="auto" w:fill="auto"/>
            <w:vAlign w:val="bottom"/>
          </w:tcPr>
          <w:p w14:paraId="74DD95D0" w14:textId="77777777" w:rsidR="00584EC1" w:rsidRDefault="00584EC1">
            <w:pPr>
              <w:rPr>
                <w:rFonts w:ascii="宋体"/>
              </w:rPr>
            </w:pPr>
          </w:p>
        </w:tc>
        <w:tc>
          <w:tcPr>
            <w:tcW w:w="0" w:type="auto"/>
            <w:shd w:val="clear" w:color="auto" w:fill="auto"/>
            <w:vAlign w:val="bottom"/>
          </w:tcPr>
          <w:p w14:paraId="74DD95D1" w14:textId="77777777" w:rsidR="00584EC1" w:rsidRDefault="00584EC1">
            <w:pPr>
              <w:rPr>
                <w:rFonts w:ascii="宋体"/>
              </w:rPr>
            </w:pPr>
          </w:p>
        </w:tc>
      </w:tr>
      <w:tr w:rsidR="00584EC1" w14:paraId="74DD95E9" w14:textId="77777777">
        <w:tc>
          <w:tcPr>
            <w:tcW w:w="0" w:type="auto"/>
            <w:gridSpan w:val="3"/>
            <w:shd w:val="clear" w:color="auto" w:fill="auto"/>
            <w:tcMar>
              <w:top w:w="40" w:type="dxa"/>
              <w:left w:w="20" w:type="dxa"/>
              <w:bottom w:w="40" w:type="dxa"/>
              <w:right w:w="20" w:type="dxa"/>
            </w:tcMar>
            <w:vAlign w:val="bottom"/>
          </w:tcPr>
          <w:p w14:paraId="74DD95D3" w14:textId="77777777" w:rsidR="00584EC1" w:rsidRDefault="00871F8D">
            <w:pPr>
              <w:spacing w:after="20"/>
              <w:textAlignment w:val="bottom"/>
            </w:pPr>
            <w:r>
              <w:rPr>
                <w:rFonts w:ascii="Arial" w:eastAsia="宋体" w:hAnsi="Arial" w:cs="Arial"/>
                <w:b/>
                <w:bCs/>
                <w:color w:val="000000"/>
                <w:sz w:val="13"/>
                <w:szCs w:val="13"/>
              </w:rPr>
              <w:t>(In thousands)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95D4" w14:textId="77777777" w:rsidR="00584EC1" w:rsidRDefault="00871F8D">
            <w:pPr>
              <w:spacing w:after="20"/>
              <w:jc w:val="center"/>
              <w:textAlignment w:val="bottom"/>
            </w:pPr>
            <w:r>
              <w:rPr>
                <w:rFonts w:ascii="Arial" w:eastAsia="宋体" w:hAnsi="Arial" w:cs="Arial"/>
                <w:b/>
                <w:bCs/>
                <w:color w:val="000000"/>
                <w:sz w:val="13"/>
                <w:szCs w:val="13"/>
              </w:rPr>
              <w:t>Foreign Exchange Risk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5D5"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95D6" w14:textId="77777777" w:rsidR="00584EC1" w:rsidRDefault="00871F8D">
            <w:pPr>
              <w:spacing w:after="20"/>
              <w:jc w:val="center"/>
              <w:textAlignment w:val="bottom"/>
            </w:pPr>
            <w:r>
              <w:rPr>
                <w:rFonts w:ascii="Arial" w:eastAsia="宋体" w:hAnsi="Arial" w:cs="Arial"/>
                <w:b/>
                <w:bCs/>
                <w:color w:val="000000"/>
                <w:sz w:val="13"/>
                <w:szCs w:val="13"/>
              </w:rPr>
              <w:t>Interest Rate Risk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5D7"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95D8" w14:textId="77777777" w:rsidR="00584EC1" w:rsidRDefault="00871F8D">
            <w:pPr>
              <w:jc w:val="center"/>
              <w:textAlignment w:val="bottom"/>
            </w:pPr>
            <w:r>
              <w:rPr>
                <w:rFonts w:ascii="Arial" w:eastAsia="宋体" w:hAnsi="Arial" w:cs="Arial"/>
                <w:b/>
                <w:bCs/>
                <w:color w:val="000000"/>
                <w:sz w:val="13"/>
                <w:szCs w:val="13"/>
              </w:rPr>
              <w:t>Volatility Risk</w:t>
            </w:r>
          </w:p>
        </w:tc>
        <w:tc>
          <w:tcPr>
            <w:tcW w:w="0" w:type="auto"/>
            <w:shd w:val="clear" w:color="auto" w:fill="auto"/>
            <w:vAlign w:val="bottom"/>
          </w:tcPr>
          <w:p w14:paraId="74DD95D9" w14:textId="77777777" w:rsidR="00584EC1" w:rsidRDefault="00584EC1">
            <w:pPr>
              <w:rPr>
                <w:rFonts w:ascii="宋体"/>
                <w:vanish/>
              </w:rPr>
            </w:pPr>
          </w:p>
        </w:tc>
        <w:tc>
          <w:tcPr>
            <w:tcW w:w="0" w:type="auto"/>
            <w:shd w:val="clear" w:color="auto" w:fill="auto"/>
            <w:vAlign w:val="bottom"/>
          </w:tcPr>
          <w:p w14:paraId="74DD95DA" w14:textId="77777777" w:rsidR="00584EC1" w:rsidRDefault="00584EC1">
            <w:pPr>
              <w:rPr>
                <w:rFonts w:ascii="宋体"/>
                <w:vanish/>
              </w:rPr>
            </w:pPr>
          </w:p>
        </w:tc>
        <w:tc>
          <w:tcPr>
            <w:tcW w:w="0" w:type="auto"/>
            <w:gridSpan w:val="3"/>
            <w:shd w:val="clear" w:color="auto" w:fill="auto"/>
            <w:tcMar>
              <w:top w:w="0" w:type="dxa"/>
              <w:left w:w="20" w:type="dxa"/>
              <w:bottom w:w="0" w:type="dxa"/>
              <w:right w:w="20" w:type="dxa"/>
            </w:tcMar>
            <w:vAlign w:val="bottom"/>
          </w:tcPr>
          <w:p w14:paraId="74DD95DB"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95DC" w14:textId="77777777" w:rsidR="00584EC1" w:rsidRDefault="00871F8D">
            <w:pPr>
              <w:spacing w:after="20"/>
              <w:jc w:val="center"/>
              <w:textAlignment w:val="bottom"/>
            </w:pPr>
            <w:r>
              <w:rPr>
                <w:rFonts w:ascii="Arial" w:eastAsia="宋体" w:hAnsi="Arial" w:cs="Arial"/>
                <w:b/>
                <w:bCs/>
                <w:color w:val="000000"/>
                <w:sz w:val="13"/>
                <w:szCs w:val="13"/>
              </w:rPr>
              <w:t>Foreign Exchange Risk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5DD"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95DE" w14:textId="77777777" w:rsidR="00584EC1" w:rsidRDefault="00871F8D">
            <w:pPr>
              <w:spacing w:after="20"/>
              <w:jc w:val="center"/>
              <w:textAlignment w:val="bottom"/>
            </w:pPr>
            <w:r>
              <w:rPr>
                <w:rFonts w:ascii="Arial" w:eastAsia="宋体" w:hAnsi="Arial" w:cs="Arial"/>
                <w:b/>
                <w:bCs/>
                <w:color w:val="000000"/>
                <w:sz w:val="13"/>
                <w:szCs w:val="13"/>
              </w:rPr>
              <w:t>Interest Rate Risk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5DF"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95E0" w14:textId="77777777" w:rsidR="00584EC1" w:rsidRDefault="00871F8D">
            <w:pPr>
              <w:jc w:val="center"/>
              <w:textAlignment w:val="bottom"/>
            </w:pPr>
            <w:r>
              <w:rPr>
                <w:rFonts w:ascii="Arial" w:eastAsia="宋体" w:hAnsi="Arial" w:cs="Arial"/>
                <w:b/>
                <w:bCs/>
                <w:color w:val="000000"/>
                <w:sz w:val="13"/>
                <w:szCs w:val="13"/>
              </w:rPr>
              <w:t>Volatility Risk</w:t>
            </w:r>
          </w:p>
        </w:tc>
        <w:tc>
          <w:tcPr>
            <w:tcW w:w="0" w:type="auto"/>
            <w:shd w:val="clear" w:color="auto" w:fill="auto"/>
            <w:vAlign w:val="bottom"/>
          </w:tcPr>
          <w:p w14:paraId="74DD95E1" w14:textId="77777777" w:rsidR="00584EC1" w:rsidRDefault="00584EC1">
            <w:pPr>
              <w:rPr>
                <w:rFonts w:ascii="宋体"/>
                <w:vanish/>
              </w:rPr>
            </w:pPr>
          </w:p>
        </w:tc>
        <w:tc>
          <w:tcPr>
            <w:tcW w:w="0" w:type="auto"/>
            <w:shd w:val="clear" w:color="auto" w:fill="auto"/>
            <w:vAlign w:val="bottom"/>
          </w:tcPr>
          <w:p w14:paraId="74DD95E2" w14:textId="77777777" w:rsidR="00584EC1" w:rsidRDefault="00584EC1">
            <w:pPr>
              <w:rPr>
                <w:rFonts w:ascii="宋体"/>
                <w:vanish/>
              </w:rPr>
            </w:pPr>
          </w:p>
        </w:tc>
        <w:tc>
          <w:tcPr>
            <w:tcW w:w="0" w:type="auto"/>
            <w:gridSpan w:val="3"/>
            <w:shd w:val="clear" w:color="auto" w:fill="auto"/>
            <w:tcMar>
              <w:top w:w="0" w:type="dxa"/>
              <w:left w:w="20" w:type="dxa"/>
              <w:bottom w:w="0" w:type="dxa"/>
              <w:right w:w="20" w:type="dxa"/>
            </w:tcMar>
            <w:vAlign w:val="bottom"/>
          </w:tcPr>
          <w:p w14:paraId="74DD95E3"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95E4" w14:textId="77777777" w:rsidR="00584EC1" w:rsidRDefault="00871F8D">
            <w:pPr>
              <w:spacing w:after="20"/>
              <w:jc w:val="center"/>
              <w:textAlignment w:val="bottom"/>
            </w:pPr>
            <w:r>
              <w:rPr>
                <w:rFonts w:ascii="Arial" w:eastAsia="宋体" w:hAnsi="Arial" w:cs="Arial"/>
                <w:b/>
                <w:bCs/>
                <w:color w:val="000000"/>
                <w:sz w:val="13"/>
                <w:szCs w:val="13"/>
              </w:rPr>
              <w:t>Foreign Exchange Risk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5E5"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95E6" w14:textId="77777777" w:rsidR="00584EC1" w:rsidRDefault="00871F8D">
            <w:pPr>
              <w:spacing w:after="20"/>
              <w:jc w:val="center"/>
              <w:textAlignment w:val="bottom"/>
            </w:pPr>
            <w:r>
              <w:rPr>
                <w:rFonts w:ascii="Arial" w:eastAsia="宋体" w:hAnsi="Arial" w:cs="Arial"/>
                <w:b/>
                <w:bCs/>
                <w:color w:val="000000"/>
                <w:sz w:val="13"/>
                <w:szCs w:val="13"/>
              </w:rPr>
              <w:t>Interest Rate Risk</w:t>
            </w:r>
          </w:p>
        </w:tc>
        <w:tc>
          <w:tcPr>
            <w:tcW w:w="0" w:type="auto"/>
            <w:gridSpan w:val="2"/>
            <w:tcBorders>
              <w:top w:val="single" w:sz="8" w:space="0" w:color="000000"/>
            </w:tcBorders>
            <w:shd w:val="clear" w:color="auto" w:fill="auto"/>
            <w:tcMar>
              <w:top w:w="0" w:type="dxa"/>
              <w:left w:w="20" w:type="dxa"/>
              <w:bottom w:w="0" w:type="dxa"/>
              <w:right w:w="20" w:type="dxa"/>
            </w:tcMar>
            <w:vAlign w:val="bottom"/>
          </w:tcPr>
          <w:p w14:paraId="74DD95E7" w14:textId="77777777" w:rsidR="00584EC1" w:rsidRDefault="00584EC1">
            <w:pPr>
              <w:rPr>
                <w:rFonts w:ascii="宋体"/>
              </w:rPr>
            </w:pPr>
          </w:p>
        </w:tc>
        <w:tc>
          <w:tcPr>
            <w:tcW w:w="0" w:type="auto"/>
            <w:tcBorders>
              <w:top w:val="single" w:sz="8" w:space="0" w:color="000000"/>
            </w:tcBorders>
            <w:shd w:val="clear" w:color="auto" w:fill="auto"/>
            <w:tcMar>
              <w:top w:w="40" w:type="dxa"/>
              <w:left w:w="20" w:type="dxa"/>
              <w:bottom w:w="40" w:type="dxa"/>
              <w:right w:w="20" w:type="dxa"/>
            </w:tcMar>
            <w:vAlign w:val="bottom"/>
          </w:tcPr>
          <w:p w14:paraId="74DD95E8" w14:textId="77777777" w:rsidR="00584EC1" w:rsidRDefault="00871F8D">
            <w:pPr>
              <w:jc w:val="center"/>
              <w:textAlignment w:val="bottom"/>
            </w:pPr>
            <w:r>
              <w:rPr>
                <w:rFonts w:ascii="Arial" w:eastAsia="宋体" w:hAnsi="Arial" w:cs="Arial"/>
                <w:b/>
                <w:bCs/>
                <w:color w:val="000000"/>
                <w:sz w:val="13"/>
                <w:szCs w:val="13"/>
              </w:rPr>
              <w:t>Volatility Risk</w:t>
            </w:r>
          </w:p>
        </w:tc>
      </w:tr>
      <w:tr w:rsidR="00584EC1" w14:paraId="74DD9600" w14:textId="77777777">
        <w:tc>
          <w:tcPr>
            <w:tcW w:w="0" w:type="auto"/>
            <w:gridSpan w:val="3"/>
            <w:shd w:val="clear" w:color="auto" w:fill="auto"/>
            <w:tcMar>
              <w:top w:w="40" w:type="dxa"/>
              <w:left w:w="20" w:type="dxa"/>
              <w:bottom w:w="40" w:type="dxa"/>
              <w:right w:w="20" w:type="dxa"/>
            </w:tcMar>
            <w:vAlign w:val="bottom"/>
          </w:tcPr>
          <w:p w14:paraId="74DD95EA" w14:textId="77777777" w:rsidR="00584EC1" w:rsidRDefault="00871F8D">
            <w:pPr>
              <w:spacing w:after="20"/>
              <w:textAlignment w:val="bottom"/>
            </w:pPr>
            <w:r>
              <w:rPr>
                <w:rFonts w:ascii="Arial" w:eastAsia="宋体" w:hAnsi="Arial" w:cs="Arial"/>
                <w:color w:val="000000"/>
                <w:sz w:val="13"/>
                <w:szCs w:val="13"/>
              </w:rPr>
              <w:t>By component: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5EB"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95EC"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5ED"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95EE"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5EF" w14:textId="77777777" w:rsidR="00584EC1" w:rsidRDefault="00584EC1">
            <w:pPr>
              <w:rPr>
                <w:rFonts w:ascii="宋体"/>
              </w:rPr>
            </w:pPr>
          </w:p>
        </w:tc>
        <w:tc>
          <w:tcPr>
            <w:tcW w:w="0" w:type="auto"/>
            <w:shd w:val="clear" w:color="auto" w:fill="auto"/>
            <w:vAlign w:val="bottom"/>
          </w:tcPr>
          <w:p w14:paraId="74DD95F0" w14:textId="77777777" w:rsidR="00584EC1" w:rsidRDefault="00584EC1">
            <w:pPr>
              <w:rPr>
                <w:rFonts w:ascii="宋体"/>
                <w:vanish/>
              </w:rPr>
            </w:pPr>
          </w:p>
        </w:tc>
        <w:tc>
          <w:tcPr>
            <w:tcW w:w="0" w:type="auto"/>
            <w:shd w:val="clear" w:color="auto" w:fill="auto"/>
            <w:vAlign w:val="bottom"/>
          </w:tcPr>
          <w:p w14:paraId="74DD95F1" w14:textId="77777777" w:rsidR="00584EC1" w:rsidRDefault="00584EC1">
            <w:pPr>
              <w:rPr>
                <w:rFonts w:ascii="宋体"/>
                <w:vanish/>
              </w:rPr>
            </w:pPr>
          </w:p>
        </w:tc>
        <w:tc>
          <w:tcPr>
            <w:tcW w:w="0" w:type="auto"/>
            <w:gridSpan w:val="3"/>
            <w:shd w:val="clear" w:color="auto" w:fill="auto"/>
            <w:tcMar>
              <w:top w:w="0" w:type="dxa"/>
              <w:left w:w="20" w:type="dxa"/>
              <w:bottom w:w="0" w:type="dxa"/>
              <w:right w:w="20" w:type="dxa"/>
            </w:tcMar>
            <w:vAlign w:val="bottom"/>
          </w:tcPr>
          <w:p w14:paraId="74DD95F2"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5F3"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95F4"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5F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95F6"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5F7" w14:textId="77777777" w:rsidR="00584EC1" w:rsidRDefault="00584EC1">
            <w:pPr>
              <w:rPr>
                <w:rFonts w:ascii="宋体"/>
              </w:rPr>
            </w:pPr>
          </w:p>
        </w:tc>
        <w:tc>
          <w:tcPr>
            <w:tcW w:w="0" w:type="auto"/>
            <w:shd w:val="clear" w:color="auto" w:fill="auto"/>
            <w:vAlign w:val="bottom"/>
          </w:tcPr>
          <w:p w14:paraId="74DD95F8" w14:textId="77777777" w:rsidR="00584EC1" w:rsidRDefault="00584EC1">
            <w:pPr>
              <w:rPr>
                <w:rFonts w:ascii="宋体"/>
                <w:vanish/>
              </w:rPr>
            </w:pPr>
          </w:p>
        </w:tc>
        <w:tc>
          <w:tcPr>
            <w:tcW w:w="0" w:type="auto"/>
            <w:shd w:val="clear" w:color="auto" w:fill="auto"/>
            <w:vAlign w:val="bottom"/>
          </w:tcPr>
          <w:p w14:paraId="74DD95F9" w14:textId="77777777" w:rsidR="00584EC1" w:rsidRDefault="00584EC1">
            <w:pPr>
              <w:rPr>
                <w:rFonts w:ascii="宋体"/>
                <w:vanish/>
              </w:rPr>
            </w:pPr>
          </w:p>
        </w:tc>
        <w:tc>
          <w:tcPr>
            <w:tcW w:w="0" w:type="auto"/>
            <w:gridSpan w:val="3"/>
            <w:shd w:val="clear" w:color="auto" w:fill="auto"/>
            <w:tcMar>
              <w:top w:w="0" w:type="dxa"/>
              <w:left w:w="20" w:type="dxa"/>
              <w:bottom w:w="0" w:type="dxa"/>
              <w:right w:w="20" w:type="dxa"/>
            </w:tcMar>
            <w:vAlign w:val="bottom"/>
          </w:tcPr>
          <w:p w14:paraId="74DD95FA"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5FB"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95FC"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5FD" w14:textId="77777777" w:rsidR="00584EC1" w:rsidRDefault="00584EC1">
            <w:pPr>
              <w:rPr>
                <w:rFonts w:ascii="宋体"/>
              </w:rPr>
            </w:pPr>
          </w:p>
        </w:tc>
        <w:tc>
          <w:tcPr>
            <w:tcW w:w="0" w:type="auto"/>
            <w:gridSpan w:val="2"/>
            <w:shd w:val="clear" w:color="auto" w:fill="auto"/>
            <w:tcMar>
              <w:top w:w="0" w:type="dxa"/>
              <w:left w:w="20" w:type="dxa"/>
              <w:bottom w:w="0" w:type="dxa"/>
              <w:right w:w="20" w:type="dxa"/>
            </w:tcMar>
            <w:vAlign w:val="bottom"/>
          </w:tcPr>
          <w:p w14:paraId="74DD95FE" w14:textId="77777777" w:rsidR="00584EC1" w:rsidRDefault="00584EC1">
            <w:pPr>
              <w:rPr>
                <w:rFonts w:ascii="宋体"/>
              </w:rPr>
            </w:pPr>
          </w:p>
        </w:tc>
        <w:tc>
          <w:tcPr>
            <w:tcW w:w="0" w:type="auto"/>
            <w:tcBorders>
              <w:top w:val="single" w:sz="8" w:space="0" w:color="000000"/>
            </w:tcBorders>
            <w:shd w:val="clear" w:color="auto" w:fill="auto"/>
            <w:tcMar>
              <w:top w:w="0" w:type="dxa"/>
              <w:left w:w="20" w:type="dxa"/>
              <w:bottom w:w="0" w:type="dxa"/>
              <w:right w:w="20" w:type="dxa"/>
            </w:tcMar>
            <w:vAlign w:val="bottom"/>
          </w:tcPr>
          <w:p w14:paraId="74DD95FF" w14:textId="77777777" w:rsidR="00584EC1" w:rsidRDefault="00584EC1">
            <w:pPr>
              <w:rPr>
                <w:rFonts w:ascii="宋体"/>
              </w:rPr>
            </w:pPr>
          </w:p>
        </w:tc>
      </w:tr>
      <w:tr w:rsidR="00871F8D" w14:paraId="74DD9628" w14:textId="77777777">
        <w:tc>
          <w:tcPr>
            <w:tcW w:w="0" w:type="auto"/>
            <w:gridSpan w:val="3"/>
            <w:shd w:val="clear" w:color="auto" w:fill="CCEEFF"/>
            <w:tcMar>
              <w:top w:w="40" w:type="dxa"/>
              <w:left w:w="20" w:type="dxa"/>
              <w:bottom w:w="40" w:type="dxa"/>
              <w:right w:w="20" w:type="dxa"/>
            </w:tcMar>
            <w:vAlign w:val="bottom"/>
          </w:tcPr>
          <w:p w14:paraId="74DD9601" w14:textId="77777777" w:rsidR="00584EC1" w:rsidRDefault="00871F8D">
            <w:pPr>
              <w:spacing w:after="20"/>
              <w:textAlignment w:val="bottom"/>
            </w:pPr>
            <w:r>
              <w:rPr>
                <w:rFonts w:ascii="Arial" w:eastAsia="宋体" w:hAnsi="Arial" w:cs="Arial"/>
                <w:color w:val="000000"/>
                <w:sz w:val="13"/>
                <w:szCs w:val="13"/>
              </w:rPr>
              <w:t>Global Markets</w:t>
            </w:r>
          </w:p>
        </w:tc>
        <w:tc>
          <w:tcPr>
            <w:tcW w:w="0" w:type="auto"/>
            <w:shd w:val="clear" w:color="auto" w:fill="CCEEFF"/>
            <w:tcMar>
              <w:top w:w="40" w:type="dxa"/>
              <w:left w:w="20" w:type="dxa"/>
              <w:bottom w:w="40" w:type="dxa"/>
              <w:right w:w="0" w:type="dxa"/>
            </w:tcMar>
            <w:vAlign w:val="bottom"/>
          </w:tcPr>
          <w:p w14:paraId="74DD9602" w14:textId="77777777" w:rsidR="00584EC1" w:rsidRDefault="00871F8D">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4DD9603" w14:textId="77777777" w:rsidR="00584EC1" w:rsidRDefault="00871F8D">
            <w:pPr>
              <w:jc w:val="right"/>
              <w:textAlignment w:val="bottom"/>
            </w:pPr>
            <w:r>
              <w:rPr>
                <w:rFonts w:ascii="Arial" w:eastAsia="宋体" w:hAnsi="Arial" w:cs="Arial"/>
                <w:b/>
                <w:bCs/>
                <w:color w:val="000000"/>
                <w:sz w:val="13"/>
                <w:szCs w:val="13"/>
              </w:rPr>
              <w:t>7,925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960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605"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9606" w14:textId="77777777" w:rsidR="00584EC1" w:rsidRDefault="00871F8D">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4DD9607" w14:textId="77777777" w:rsidR="00584EC1" w:rsidRDefault="00871F8D">
            <w:pPr>
              <w:jc w:val="right"/>
              <w:textAlignment w:val="bottom"/>
            </w:pPr>
            <w:r>
              <w:rPr>
                <w:rFonts w:ascii="Arial" w:eastAsia="宋体" w:hAnsi="Arial" w:cs="Arial"/>
                <w:b/>
                <w:bCs/>
                <w:color w:val="000000"/>
                <w:sz w:val="13"/>
                <w:szCs w:val="13"/>
              </w:rPr>
              <w:t>73,540</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960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609"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960A" w14:textId="77777777" w:rsidR="00584EC1" w:rsidRDefault="00871F8D">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4DD960B" w14:textId="77777777" w:rsidR="00584EC1" w:rsidRDefault="00871F8D">
            <w:pPr>
              <w:jc w:val="right"/>
              <w:textAlignment w:val="bottom"/>
            </w:pPr>
            <w:r>
              <w:rPr>
                <w:rFonts w:ascii="Arial" w:eastAsia="宋体" w:hAnsi="Arial" w:cs="Arial"/>
                <w:b/>
                <w:bCs/>
                <w:color w:val="000000"/>
                <w:sz w:val="13"/>
                <w:szCs w:val="13"/>
              </w:rPr>
              <w:t>575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960C" w14:textId="77777777" w:rsidR="00584EC1" w:rsidRDefault="00584EC1">
            <w:pPr>
              <w:jc w:val="right"/>
              <w:rPr>
                <w:rFonts w:ascii="宋体"/>
              </w:rPr>
            </w:pPr>
          </w:p>
        </w:tc>
        <w:tc>
          <w:tcPr>
            <w:tcW w:w="0" w:type="auto"/>
            <w:shd w:val="clear" w:color="auto" w:fill="auto"/>
            <w:vAlign w:val="bottom"/>
          </w:tcPr>
          <w:p w14:paraId="74DD960D" w14:textId="77777777" w:rsidR="00584EC1" w:rsidRDefault="00584EC1">
            <w:pPr>
              <w:rPr>
                <w:rFonts w:ascii="宋体"/>
                <w:vanish/>
              </w:rPr>
            </w:pPr>
          </w:p>
        </w:tc>
        <w:tc>
          <w:tcPr>
            <w:tcW w:w="0" w:type="auto"/>
            <w:shd w:val="clear" w:color="auto" w:fill="auto"/>
            <w:vAlign w:val="bottom"/>
          </w:tcPr>
          <w:p w14:paraId="74DD960E" w14:textId="77777777" w:rsidR="00584EC1" w:rsidRDefault="00584EC1">
            <w:pPr>
              <w:rPr>
                <w:rFonts w:ascii="宋体"/>
                <w:vanish/>
              </w:rPr>
            </w:pPr>
          </w:p>
        </w:tc>
        <w:tc>
          <w:tcPr>
            <w:tcW w:w="0" w:type="auto"/>
            <w:gridSpan w:val="3"/>
            <w:shd w:val="clear" w:color="auto" w:fill="CCEEFF"/>
            <w:tcMar>
              <w:top w:w="0" w:type="dxa"/>
              <w:left w:w="20" w:type="dxa"/>
              <w:bottom w:w="0" w:type="dxa"/>
              <w:right w:w="20" w:type="dxa"/>
            </w:tcMar>
            <w:vAlign w:val="bottom"/>
          </w:tcPr>
          <w:p w14:paraId="74DD960F"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9610" w14:textId="77777777" w:rsidR="00584EC1" w:rsidRDefault="00871F8D">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74DD9611" w14:textId="77777777" w:rsidR="00584EC1" w:rsidRDefault="00871F8D">
            <w:pPr>
              <w:jc w:val="right"/>
              <w:textAlignment w:val="bottom"/>
            </w:pPr>
            <w:r>
              <w:rPr>
                <w:rFonts w:ascii="Arial" w:eastAsia="宋体" w:hAnsi="Arial" w:cs="Arial"/>
                <w:color w:val="000000"/>
                <w:sz w:val="13"/>
                <w:szCs w:val="13"/>
              </w:rPr>
              <w:t>10,456 </w:t>
            </w:r>
          </w:p>
        </w:tc>
        <w:tc>
          <w:tcPr>
            <w:tcW w:w="0" w:type="auto"/>
            <w:shd w:val="clear" w:color="auto" w:fill="CCEEFF"/>
            <w:tcMar>
              <w:top w:w="40" w:type="dxa"/>
              <w:left w:w="0" w:type="dxa"/>
              <w:bottom w:w="40" w:type="dxa"/>
              <w:right w:w="20" w:type="dxa"/>
            </w:tcMar>
            <w:vAlign w:val="bottom"/>
          </w:tcPr>
          <w:p w14:paraId="74DD961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613"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9614" w14:textId="77777777" w:rsidR="00584EC1" w:rsidRDefault="00871F8D">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74DD9615" w14:textId="77777777" w:rsidR="00584EC1" w:rsidRDefault="00871F8D">
            <w:pPr>
              <w:jc w:val="right"/>
              <w:textAlignment w:val="bottom"/>
            </w:pPr>
            <w:r>
              <w:rPr>
                <w:rFonts w:ascii="Arial" w:eastAsia="宋体" w:hAnsi="Arial" w:cs="Arial"/>
                <w:color w:val="000000"/>
                <w:sz w:val="13"/>
                <w:szCs w:val="13"/>
              </w:rPr>
              <w:t>59,710 </w:t>
            </w:r>
          </w:p>
        </w:tc>
        <w:tc>
          <w:tcPr>
            <w:tcW w:w="0" w:type="auto"/>
            <w:shd w:val="clear" w:color="auto" w:fill="CCEEFF"/>
            <w:tcMar>
              <w:top w:w="40" w:type="dxa"/>
              <w:left w:w="0" w:type="dxa"/>
              <w:bottom w:w="40" w:type="dxa"/>
              <w:right w:w="20" w:type="dxa"/>
            </w:tcMar>
            <w:vAlign w:val="bottom"/>
          </w:tcPr>
          <w:p w14:paraId="74DD961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617"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9618" w14:textId="77777777" w:rsidR="00584EC1" w:rsidRDefault="00871F8D">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74DD9619" w14:textId="77777777" w:rsidR="00584EC1" w:rsidRDefault="00871F8D">
            <w:pPr>
              <w:jc w:val="right"/>
              <w:textAlignment w:val="bottom"/>
            </w:pPr>
            <w:r>
              <w:rPr>
                <w:rFonts w:ascii="Arial" w:eastAsia="宋体" w:hAnsi="Arial" w:cs="Arial"/>
                <w:color w:val="000000"/>
                <w:sz w:val="13"/>
                <w:szCs w:val="13"/>
              </w:rPr>
              <w:t>747 </w:t>
            </w:r>
          </w:p>
        </w:tc>
        <w:tc>
          <w:tcPr>
            <w:tcW w:w="0" w:type="auto"/>
            <w:shd w:val="clear" w:color="auto" w:fill="CCEEFF"/>
            <w:tcMar>
              <w:top w:w="40" w:type="dxa"/>
              <w:left w:w="0" w:type="dxa"/>
              <w:bottom w:w="40" w:type="dxa"/>
              <w:right w:w="20" w:type="dxa"/>
            </w:tcMar>
            <w:vAlign w:val="bottom"/>
          </w:tcPr>
          <w:p w14:paraId="74DD961A" w14:textId="77777777" w:rsidR="00584EC1" w:rsidRDefault="00584EC1">
            <w:pPr>
              <w:jc w:val="right"/>
              <w:rPr>
                <w:rFonts w:ascii="宋体"/>
              </w:rPr>
            </w:pPr>
          </w:p>
        </w:tc>
        <w:tc>
          <w:tcPr>
            <w:tcW w:w="0" w:type="auto"/>
            <w:shd w:val="clear" w:color="auto" w:fill="auto"/>
            <w:vAlign w:val="bottom"/>
          </w:tcPr>
          <w:p w14:paraId="74DD961B" w14:textId="77777777" w:rsidR="00584EC1" w:rsidRDefault="00584EC1">
            <w:pPr>
              <w:rPr>
                <w:rFonts w:ascii="宋体"/>
                <w:vanish/>
              </w:rPr>
            </w:pPr>
          </w:p>
        </w:tc>
        <w:tc>
          <w:tcPr>
            <w:tcW w:w="0" w:type="auto"/>
            <w:shd w:val="clear" w:color="auto" w:fill="auto"/>
            <w:vAlign w:val="bottom"/>
          </w:tcPr>
          <w:p w14:paraId="74DD961C" w14:textId="77777777" w:rsidR="00584EC1" w:rsidRDefault="00584EC1">
            <w:pPr>
              <w:rPr>
                <w:rFonts w:ascii="宋体"/>
                <w:vanish/>
              </w:rPr>
            </w:pPr>
          </w:p>
        </w:tc>
        <w:tc>
          <w:tcPr>
            <w:tcW w:w="0" w:type="auto"/>
            <w:gridSpan w:val="3"/>
            <w:shd w:val="clear" w:color="auto" w:fill="CCEEFF"/>
            <w:tcMar>
              <w:top w:w="0" w:type="dxa"/>
              <w:left w:w="20" w:type="dxa"/>
              <w:bottom w:w="0" w:type="dxa"/>
              <w:right w:w="20" w:type="dxa"/>
            </w:tcMar>
            <w:vAlign w:val="bottom"/>
          </w:tcPr>
          <w:p w14:paraId="74DD961D"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961E" w14:textId="77777777" w:rsidR="00584EC1" w:rsidRDefault="00871F8D">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74DD961F" w14:textId="77777777" w:rsidR="00584EC1" w:rsidRDefault="00871F8D">
            <w:pPr>
              <w:jc w:val="right"/>
              <w:textAlignment w:val="bottom"/>
            </w:pPr>
            <w:r>
              <w:rPr>
                <w:rFonts w:ascii="Arial" w:eastAsia="宋体" w:hAnsi="Arial" w:cs="Arial"/>
                <w:color w:val="000000"/>
                <w:sz w:val="13"/>
                <w:szCs w:val="13"/>
              </w:rPr>
              <w:t>8,098 </w:t>
            </w:r>
          </w:p>
        </w:tc>
        <w:tc>
          <w:tcPr>
            <w:tcW w:w="0" w:type="auto"/>
            <w:shd w:val="clear" w:color="auto" w:fill="CCEEFF"/>
            <w:tcMar>
              <w:top w:w="40" w:type="dxa"/>
              <w:left w:w="0" w:type="dxa"/>
              <w:bottom w:w="40" w:type="dxa"/>
              <w:right w:w="20" w:type="dxa"/>
            </w:tcMar>
            <w:vAlign w:val="bottom"/>
          </w:tcPr>
          <w:p w14:paraId="74DD962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621"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9622" w14:textId="77777777" w:rsidR="00584EC1" w:rsidRDefault="00871F8D">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74DD9623" w14:textId="77777777" w:rsidR="00584EC1" w:rsidRDefault="00871F8D">
            <w:pPr>
              <w:jc w:val="right"/>
              <w:textAlignment w:val="bottom"/>
            </w:pPr>
            <w:r>
              <w:rPr>
                <w:rFonts w:ascii="Arial" w:eastAsia="宋体" w:hAnsi="Arial" w:cs="Arial"/>
                <w:color w:val="000000"/>
                <w:sz w:val="13"/>
                <w:szCs w:val="13"/>
              </w:rPr>
              <w:t>44,418 </w:t>
            </w:r>
          </w:p>
        </w:tc>
        <w:tc>
          <w:tcPr>
            <w:tcW w:w="0" w:type="auto"/>
            <w:shd w:val="clear" w:color="auto" w:fill="CCEEFF"/>
            <w:tcMar>
              <w:top w:w="40" w:type="dxa"/>
              <w:left w:w="0" w:type="dxa"/>
              <w:bottom w:w="40" w:type="dxa"/>
              <w:right w:w="20" w:type="dxa"/>
            </w:tcMar>
            <w:vAlign w:val="bottom"/>
          </w:tcPr>
          <w:p w14:paraId="74DD9624" w14:textId="77777777" w:rsidR="00584EC1" w:rsidRDefault="00584EC1">
            <w:pPr>
              <w:jc w:val="right"/>
              <w:rPr>
                <w:rFonts w:ascii="宋体"/>
              </w:rPr>
            </w:pPr>
          </w:p>
        </w:tc>
        <w:tc>
          <w:tcPr>
            <w:tcW w:w="0" w:type="auto"/>
            <w:gridSpan w:val="2"/>
            <w:shd w:val="clear" w:color="auto" w:fill="CCEEFF"/>
            <w:tcMar>
              <w:top w:w="0" w:type="dxa"/>
              <w:left w:w="20" w:type="dxa"/>
              <w:bottom w:w="0" w:type="dxa"/>
              <w:right w:w="20" w:type="dxa"/>
            </w:tcMar>
            <w:vAlign w:val="bottom"/>
          </w:tcPr>
          <w:p w14:paraId="74DD9625"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9626" w14:textId="77777777" w:rsidR="00584EC1" w:rsidRDefault="00871F8D">
            <w:pPr>
              <w:textAlignment w:val="bottom"/>
            </w:pPr>
            <w:r>
              <w:rPr>
                <w:rFonts w:ascii="Arial" w:eastAsia="宋体" w:hAnsi="Arial" w:cs="Arial"/>
                <w:color w:val="000000"/>
                <w:sz w:val="13"/>
                <w:szCs w:val="13"/>
              </w:rPr>
              <w:t>$</w:t>
            </w:r>
          </w:p>
          <w:p w14:paraId="74DD9627" w14:textId="77777777" w:rsidR="00584EC1" w:rsidRDefault="00871F8D">
            <w:pPr>
              <w:jc w:val="right"/>
              <w:textAlignment w:val="bottom"/>
            </w:pPr>
            <w:r>
              <w:rPr>
                <w:rFonts w:ascii="Arial" w:eastAsia="宋体" w:hAnsi="Arial" w:cs="Arial"/>
                <w:color w:val="000000"/>
                <w:sz w:val="13"/>
                <w:szCs w:val="13"/>
              </w:rPr>
              <w:t>868 </w:t>
            </w:r>
          </w:p>
        </w:tc>
      </w:tr>
      <w:tr w:rsidR="00584EC1" w14:paraId="74DD9647" w14:textId="77777777">
        <w:tc>
          <w:tcPr>
            <w:tcW w:w="0" w:type="auto"/>
            <w:gridSpan w:val="3"/>
            <w:shd w:val="clear" w:color="auto" w:fill="FFFFFF"/>
            <w:tcMar>
              <w:top w:w="40" w:type="dxa"/>
              <w:left w:w="20" w:type="dxa"/>
              <w:bottom w:w="40" w:type="dxa"/>
              <w:right w:w="20" w:type="dxa"/>
            </w:tcMar>
            <w:vAlign w:val="bottom"/>
          </w:tcPr>
          <w:p w14:paraId="74DD9629" w14:textId="77777777" w:rsidR="00584EC1" w:rsidRDefault="00871F8D">
            <w:pPr>
              <w:spacing w:after="20"/>
              <w:textAlignment w:val="bottom"/>
            </w:pPr>
            <w:r>
              <w:rPr>
                <w:rFonts w:ascii="Arial" w:eastAsia="宋体" w:hAnsi="Arial" w:cs="Arial"/>
                <w:color w:val="000000"/>
                <w:sz w:val="13"/>
                <w:szCs w:val="13"/>
              </w:rPr>
              <w:t>Global Treasury</w:t>
            </w:r>
          </w:p>
        </w:tc>
        <w:tc>
          <w:tcPr>
            <w:tcW w:w="0" w:type="auto"/>
            <w:gridSpan w:val="2"/>
            <w:shd w:val="clear" w:color="auto" w:fill="FFFFFF"/>
            <w:tcMar>
              <w:top w:w="40" w:type="dxa"/>
              <w:left w:w="20" w:type="dxa"/>
              <w:bottom w:w="40" w:type="dxa"/>
              <w:right w:w="0" w:type="dxa"/>
            </w:tcMar>
            <w:vAlign w:val="bottom"/>
          </w:tcPr>
          <w:p w14:paraId="74DD962A" w14:textId="77777777" w:rsidR="00584EC1" w:rsidRDefault="00871F8D">
            <w:pPr>
              <w:jc w:val="right"/>
              <w:textAlignment w:val="bottom"/>
            </w:pPr>
            <w:r>
              <w:rPr>
                <w:rFonts w:ascii="Arial" w:eastAsia="宋体" w:hAnsi="Arial" w:cs="Arial"/>
                <w:b/>
                <w:bCs/>
                <w:color w:val="000000"/>
                <w:sz w:val="13"/>
                <w:szCs w:val="13"/>
              </w:rPr>
              <w:t>299</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962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62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62D" w14:textId="77777777" w:rsidR="00584EC1" w:rsidRDefault="00871F8D">
            <w:pPr>
              <w:jc w:val="right"/>
              <w:textAlignment w:val="bottom"/>
            </w:pPr>
            <w:r>
              <w:rPr>
                <w:rFonts w:ascii="Arial" w:eastAsia="宋体" w:hAnsi="Arial" w:cs="Arial"/>
                <w:b/>
                <w:bCs/>
                <w:color w:val="000000"/>
                <w:sz w:val="13"/>
                <w:szCs w:val="13"/>
              </w:rPr>
              <w:t>6,509</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962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62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630" w14:textId="77777777" w:rsidR="00584EC1" w:rsidRDefault="00871F8D">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9631" w14:textId="77777777" w:rsidR="00584EC1" w:rsidRDefault="00584EC1">
            <w:pPr>
              <w:jc w:val="right"/>
              <w:rPr>
                <w:rFonts w:ascii="宋体"/>
              </w:rPr>
            </w:pPr>
          </w:p>
        </w:tc>
        <w:tc>
          <w:tcPr>
            <w:tcW w:w="0" w:type="auto"/>
            <w:shd w:val="clear" w:color="auto" w:fill="auto"/>
            <w:vAlign w:val="bottom"/>
          </w:tcPr>
          <w:p w14:paraId="74DD9632" w14:textId="77777777" w:rsidR="00584EC1" w:rsidRDefault="00584EC1">
            <w:pPr>
              <w:rPr>
                <w:rFonts w:ascii="宋体"/>
                <w:vanish/>
              </w:rPr>
            </w:pPr>
          </w:p>
        </w:tc>
        <w:tc>
          <w:tcPr>
            <w:tcW w:w="0" w:type="auto"/>
            <w:shd w:val="clear" w:color="auto" w:fill="auto"/>
            <w:vAlign w:val="bottom"/>
          </w:tcPr>
          <w:p w14:paraId="74DD9633" w14:textId="77777777" w:rsidR="00584EC1" w:rsidRDefault="00584EC1">
            <w:pPr>
              <w:rPr>
                <w:rFonts w:ascii="宋体"/>
                <w:vanish/>
              </w:rPr>
            </w:pPr>
          </w:p>
        </w:tc>
        <w:tc>
          <w:tcPr>
            <w:tcW w:w="0" w:type="auto"/>
            <w:gridSpan w:val="3"/>
            <w:shd w:val="clear" w:color="auto" w:fill="FFFFFF"/>
            <w:tcMar>
              <w:top w:w="0" w:type="dxa"/>
              <w:left w:w="20" w:type="dxa"/>
              <w:bottom w:w="0" w:type="dxa"/>
              <w:right w:w="20" w:type="dxa"/>
            </w:tcMar>
            <w:vAlign w:val="bottom"/>
          </w:tcPr>
          <w:p w14:paraId="74DD963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635" w14:textId="77777777" w:rsidR="00584EC1" w:rsidRDefault="00871F8D">
            <w:pPr>
              <w:jc w:val="right"/>
              <w:textAlignment w:val="bottom"/>
            </w:pPr>
            <w:r>
              <w:rPr>
                <w:rFonts w:ascii="Arial" w:eastAsia="宋体" w:hAnsi="Arial" w:cs="Arial"/>
                <w:color w:val="000000"/>
                <w:sz w:val="13"/>
                <w:szCs w:val="13"/>
              </w:rPr>
              <w:t>117 </w:t>
            </w:r>
          </w:p>
        </w:tc>
        <w:tc>
          <w:tcPr>
            <w:tcW w:w="0" w:type="auto"/>
            <w:shd w:val="clear" w:color="auto" w:fill="FFFFFF"/>
            <w:tcMar>
              <w:top w:w="40" w:type="dxa"/>
              <w:left w:w="0" w:type="dxa"/>
              <w:bottom w:w="40" w:type="dxa"/>
              <w:right w:w="20" w:type="dxa"/>
            </w:tcMar>
            <w:vAlign w:val="bottom"/>
          </w:tcPr>
          <w:p w14:paraId="74DD963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63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638" w14:textId="77777777" w:rsidR="00584EC1" w:rsidRDefault="00871F8D">
            <w:pPr>
              <w:jc w:val="right"/>
              <w:textAlignment w:val="bottom"/>
            </w:pPr>
            <w:r>
              <w:rPr>
                <w:rFonts w:ascii="Arial" w:eastAsia="宋体" w:hAnsi="Arial" w:cs="Arial"/>
                <w:color w:val="000000"/>
                <w:sz w:val="13"/>
                <w:szCs w:val="13"/>
              </w:rPr>
              <w:t>6,350 </w:t>
            </w:r>
          </w:p>
        </w:tc>
        <w:tc>
          <w:tcPr>
            <w:tcW w:w="0" w:type="auto"/>
            <w:shd w:val="clear" w:color="auto" w:fill="FFFFFF"/>
            <w:tcMar>
              <w:top w:w="40" w:type="dxa"/>
              <w:left w:w="0" w:type="dxa"/>
              <w:bottom w:w="40" w:type="dxa"/>
              <w:right w:w="20" w:type="dxa"/>
            </w:tcMar>
            <w:vAlign w:val="bottom"/>
          </w:tcPr>
          <w:p w14:paraId="74DD963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63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63B" w14:textId="77777777" w:rsidR="00584EC1" w:rsidRDefault="00871F8D">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963C" w14:textId="77777777" w:rsidR="00584EC1" w:rsidRDefault="00584EC1">
            <w:pPr>
              <w:jc w:val="right"/>
              <w:rPr>
                <w:rFonts w:ascii="宋体"/>
              </w:rPr>
            </w:pPr>
          </w:p>
        </w:tc>
        <w:tc>
          <w:tcPr>
            <w:tcW w:w="0" w:type="auto"/>
            <w:shd w:val="clear" w:color="auto" w:fill="auto"/>
            <w:vAlign w:val="bottom"/>
          </w:tcPr>
          <w:p w14:paraId="74DD963D" w14:textId="77777777" w:rsidR="00584EC1" w:rsidRDefault="00584EC1">
            <w:pPr>
              <w:rPr>
                <w:rFonts w:ascii="宋体"/>
                <w:vanish/>
              </w:rPr>
            </w:pPr>
          </w:p>
        </w:tc>
        <w:tc>
          <w:tcPr>
            <w:tcW w:w="0" w:type="auto"/>
            <w:shd w:val="clear" w:color="auto" w:fill="auto"/>
            <w:vAlign w:val="bottom"/>
          </w:tcPr>
          <w:p w14:paraId="74DD963E" w14:textId="77777777" w:rsidR="00584EC1" w:rsidRDefault="00584EC1">
            <w:pPr>
              <w:rPr>
                <w:rFonts w:ascii="宋体"/>
                <w:vanish/>
              </w:rPr>
            </w:pPr>
          </w:p>
        </w:tc>
        <w:tc>
          <w:tcPr>
            <w:tcW w:w="0" w:type="auto"/>
            <w:gridSpan w:val="3"/>
            <w:shd w:val="clear" w:color="auto" w:fill="FFFFFF"/>
            <w:tcMar>
              <w:top w:w="0" w:type="dxa"/>
              <w:left w:w="20" w:type="dxa"/>
              <w:bottom w:w="0" w:type="dxa"/>
              <w:right w:w="20" w:type="dxa"/>
            </w:tcMar>
            <w:vAlign w:val="bottom"/>
          </w:tcPr>
          <w:p w14:paraId="74DD963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640" w14:textId="77777777" w:rsidR="00584EC1" w:rsidRDefault="00871F8D">
            <w:pPr>
              <w:jc w:val="right"/>
              <w:textAlignment w:val="bottom"/>
            </w:pPr>
            <w:r>
              <w:rPr>
                <w:rFonts w:ascii="Arial" w:eastAsia="宋体" w:hAnsi="Arial" w:cs="Arial"/>
                <w:color w:val="000000"/>
                <w:sz w:val="13"/>
                <w:szCs w:val="13"/>
              </w:rPr>
              <w:t>34 </w:t>
            </w:r>
          </w:p>
        </w:tc>
        <w:tc>
          <w:tcPr>
            <w:tcW w:w="0" w:type="auto"/>
            <w:shd w:val="clear" w:color="auto" w:fill="FFFFFF"/>
            <w:tcMar>
              <w:top w:w="40" w:type="dxa"/>
              <w:left w:w="0" w:type="dxa"/>
              <w:bottom w:w="40" w:type="dxa"/>
              <w:right w:w="20" w:type="dxa"/>
            </w:tcMar>
            <w:vAlign w:val="bottom"/>
          </w:tcPr>
          <w:p w14:paraId="74DD964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64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643" w14:textId="77777777" w:rsidR="00584EC1" w:rsidRDefault="00871F8D">
            <w:pPr>
              <w:jc w:val="right"/>
              <w:textAlignment w:val="bottom"/>
            </w:pPr>
            <w:r>
              <w:rPr>
                <w:rFonts w:ascii="Arial" w:eastAsia="宋体" w:hAnsi="Arial" w:cs="Arial"/>
                <w:color w:val="000000"/>
                <w:sz w:val="13"/>
                <w:szCs w:val="13"/>
              </w:rPr>
              <w:t>5,679 </w:t>
            </w:r>
          </w:p>
        </w:tc>
        <w:tc>
          <w:tcPr>
            <w:tcW w:w="0" w:type="auto"/>
            <w:shd w:val="clear" w:color="auto" w:fill="FFFFFF"/>
            <w:tcMar>
              <w:top w:w="40" w:type="dxa"/>
              <w:left w:w="0" w:type="dxa"/>
              <w:bottom w:w="40" w:type="dxa"/>
              <w:right w:w="20" w:type="dxa"/>
            </w:tcMar>
            <w:vAlign w:val="bottom"/>
          </w:tcPr>
          <w:p w14:paraId="74DD9644" w14:textId="77777777" w:rsidR="00584EC1" w:rsidRDefault="00584EC1">
            <w:pPr>
              <w:jc w:val="right"/>
              <w:rPr>
                <w:rFonts w:ascii="宋体"/>
              </w:rPr>
            </w:pPr>
          </w:p>
        </w:tc>
        <w:tc>
          <w:tcPr>
            <w:tcW w:w="0" w:type="auto"/>
            <w:gridSpan w:val="2"/>
            <w:shd w:val="clear" w:color="auto" w:fill="FFFFFF"/>
            <w:tcMar>
              <w:top w:w="0" w:type="dxa"/>
              <w:left w:w="20" w:type="dxa"/>
              <w:bottom w:w="0" w:type="dxa"/>
              <w:right w:w="20" w:type="dxa"/>
            </w:tcMar>
            <w:vAlign w:val="bottom"/>
          </w:tcPr>
          <w:p w14:paraId="74DD9645" w14:textId="77777777" w:rsidR="00584EC1" w:rsidRDefault="00584EC1">
            <w:pPr>
              <w:rPr>
                <w:rFonts w:ascii="宋体"/>
              </w:rPr>
            </w:pPr>
          </w:p>
        </w:tc>
        <w:tc>
          <w:tcPr>
            <w:tcW w:w="0" w:type="auto"/>
            <w:shd w:val="clear" w:color="auto" w:fill="FFFFFF"/>
            <w:tcMar>
              <w:top w:w="40" w:type="dxa"/>
              <w:left w:w="20" w:type="dxa"/>
              <w:bottom w:w="40" w:type="dxa"/>
              <w:right w:w="0" w:type="dxa"/>
            </w:tcMar>
            <w:vAlign w:val="bottom"/>
          </w:tcPr>
          <w:p w14:paraId="74DD9646" w14:textId="77777777" w:rsidR="00584EC1" w:rsidRDefault="00871F8D">
            <w:pPr>
              <w:jc w:val="right"/>
              <w:textAlignment w:val="bottom"/>
            </w:pPr>
            <w:r>
              <w:rPr>
                <w:rFonts w:ascii="Arial" w:eastAsia="宋体" w:hAnsi="Arial" w:cs="Arial"/>
                <w:color w:val="000000"/>
                <w:sz w:val="13"/>
                <w:szCs w:val="13"/>
              </w:rPr>
              <w:t>— </w:t>
            </w:r>
          </w:p>
        </w:tc>
      </w:tr>
      <w:tr w:rsidR="00584EC1" w14:paraId="74DD9666" w14:textId="77777777">
        <w:tc>
          <w:tcPr>
            <w:tcW w:w="0" w:type="auto"/>
            <w:gridSpan w:val="3"/>
            <w:shd w:val="clear" w:color="auto" w:fill="CCEEFF"/>
            <w:tcMar>
              <w:top w:w="40" w:type="dxa"/>
              <w:left w:w="20" w:type="dxa"/>
              <w:bottom w:w="40" w:type="dxa"/>
              <w:right w:w="20" w:type="dxa"/>
            </w:tcMar>
            <w:vAlign w:val="bottom"/>
          </w:tcPr>
          <w:p w14:paraId="74DD9648" w14:textId="77777777" w:rsidR="00584EC1" w:rsidRDefault="00871F8D">
            <w:pPr>
              <w:spacing w:after="20"/>
              <w:textAlignment w:val="bottom"/>
            </w:pPr>
            <w:r>
              <w:rPr>
                <w:rFonts w:ascii="Arial" w:eastAsia="宋体" w:hAnsi="Arial" w:cs="Arial"/>
                <w:color w:val="000000"/>
                <w:sz w:val="13"/>
                <w:szCs w:val="13"/>
              </w:rPr>
              <w:t>Diversification</w:t>
            </w:r>
          </w:p>
        </w:tc>
        <w:tc>
          <w:tcPr>
            <w:tcW w:w="0" w:type="auto"/>
            <w:gridSpan w:val="2"/>
            <w:shd w:val="clear" w:color="auto" w:fill="CCEEFF"/>
            <w:tcMar>
              <w:top w:w="40" w:type="dxa"/>
              <w:left w:w="20" w:type="dxa"/>
              <w:bottom w:w="40" w:type="dxa"/>
              <w:right w:w="0" w:type="dxa"/>
            </w:tcMar>
            <w:vAlign w:val="bottom"/>
          </w:tcPr>
          <w:p w14:paraId="74DD9649" w14:textId="77777777" w:rsidR="00584EC1" w:rsidRDefault="00871F8D">
            <w:pPr>
              <w:jc w:val="right"/>
              <w:textAlignment w:val="bottom"/>
            </w:pPr>
            <w:r>
              <w:rPr>
                <w:rFonts w:ascii="Arial" w:eastAsia="宋体" w:hAnsi="Arial" w:cs="Arial"/>
                <w:b/>
                <w:bCs/>
                <w:color w:val="000000"/>
                <w:sz w:val="13"/>
                <w:szCs w:val="13"/>
              </w:rPr>
              <w:t>(177)</w:t>
            </w:r>
          </w:p>
        </w:tc>
        <w:tc>
          <w:tcPr>
            <w:tcW w:w="0" w:type="auto"/>
            <w:shd w:val="clear" w:color="auto" w:fill="CCEEFF"/>
            <w:tcMar>
              <w:top w:w="40" w:type="dxa"/>
              <w:left w:w="0" w:type="dxa"/>
              <w:bottom w:w="40" w:type="dxa"/>
              <w:right w:w="20" w:type="dxa"/>
            </w:tcMar>
            <w:vAlign w:val="bottom"/>
          </w:tcPr>
          <w:p w14:paraId="74DD964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64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64C" w14:textId="77777777" w:rsidR="00584EC1" w:rsidRDefault="00871F8D">
            <w:pPr>
              <w:jc w:val="right"/>
              <w:textAlignment w:val="bottom"/>
            </w:pPr>
            <w:r>
              <w:rPr>
                <w:rFonts w:ascii="Arial" w:eastAsia="宋体" w:hAnsi="Arial" w:cs="Arial"/>
                <w:b/>
                <w:bCs/>
                <w:color w:val="000000"/>
                <w:sz w:val="13"/>
                <w:szCs w:val="13"/>
              </w:rPr>
              <w:t>(7,058)</w:t>
            </w:r>
          </w:p>
        </w:tc>
        <w:tc>
          <w:tcPr>
            <w:tcW w:w="0" w:type="auto"/>
            <w:shd w:val="clear" w:color="auto" w:fill="CCEEFF"/>
            <w:tcMar>
              <w:top w:w="40" w:type="dxa"/>
              <w:left w:w="0" w:type="dxa"/>
              <w:bottom w:w="40" w:type="dxa"/>
              <w:right w:w="20" w:type="dxa"/>
            </w:tcMar>
            <w:vAlign w:val="bottom"/>
          </w:tcPr>
          <w:p w14:paraId="74DD964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64E"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64F" w14:textId="77777777" w:rsidR="00584EC1" w:rsidRDefault="00871F8D">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9650" w14:textId="77777777" w:rsidR="00584EC1" w:rsidRDefault="00584EC1">
            <w:pPr>
              <w:jc w:val="right"/>
              <w:rPr>
                <w:rFonts w:ascii="宋体"/>
              </w:rPr>
            </w:pPr>
          </w:p>
        </w:tc>
        <w:tc>
          <w:tcPr>
            <w:tcW w:w="0" w:type="auto"/>
            <w:shd w:val="clear" w:color="auto" w:fill="auto"/>
            <w:vAlign w:val="bottom"/>
          </w:tcPr>
          <w:p w14:paraId="74DD9651" w14:textId="77777777" w:rsidR="00584EC1" w:rsidRDefault="00584EC1">
            <w:pPr>
              <w:rPr>
                <w:rFonts w:ascii="宋体"/>
                <w:vanish/>
              </w:rPr>
            </w:pPr>
          </w:p>
        </w:tc>
        <w:tc>
          <w:tcPr>
            <w:tcW w:w="0" w:type="auto"/>
            <w:shd w:val="clear" w:color="auto" w:fill="auto"/>
            <w:vAlign w:val="bottom"/>
          </w:tcPr>
          <w:p w14:paraId="74DD9652" w14:textId="77777777" w:rsidR="00584EC1" w:rsidRDefault="00584EC1">
            <w:pPr>
              <w:rPr>
                <w:rFonts w:ascii="宋体"/>
                <w:vanish/>
              </w:rPr>
            </w:pPr>
          </w:p>
        </w:tc>
        <w:tc>
          <w:tcPr>
            <w:tcW w:w="0" w:type="auto"/>
            <w:gridSpan w:val="3"/>
            <w:shd w:val="clear" w:color="auto" w:fill="CCEEFF"/>
            <w:tcMar>
              <w:top w:w="0" w:type="dxa"/>
              <w:left w:w="20" w:type="dxa"/>
              <w:bottom w:w="0" w:type="dxa"/>
              <w:right w:w="20" w:type="dxa"/>
            </w:tcMar>
            <w:vAlign w:val="bottom"/>
          </w:tcPr>
          <w:p w14:paraId="74DD9653"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654" w14:textId="77777777" w:rsidR="00584EC1" w:rsidRDefault="00871F8D">
            <w:pPr>
              <w:jc w:val="right"/>
              <w:textAlignment w:val="bottom"/>
            </w:pPr>
            <w:r>
              <w:rPr>
                <w:rFonts w:ascii="Arial" w:eastAsia="宋体" w:hAnsi="Arial" w:cs="Arial"/>
                <w:color w:val="000000"/>
                <w:sz w:val="13"/>
                <w:szCs w:val="13"/>
              </w:rPr>
              <w:t>(191)</w:t>
            </w:r>
          </w:p>
        </w:tc>
        <w:tc>
          <w:tcPr>
            <w:tcW w:w="0" w:type="auto"/>
            <w:shd w:val="clear" w:color="auto" w:fill="CCEEFF"/>
            <w:tcMar>
              <w:top w:w="40" w:type="dxa"/>
              <w:left w:w="0" w:type="dxa"/>
              <w:bottom w:w="40" w:type="dxa"/>
              <w:right w:w="20" w:type="dxa"/>
            </w:tcMar>
            <w:vAlign w:val="bottom"/>
          </w:tcPr>
          <w:p w14:paraId="74DD965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65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657" w14:textId="77777777" w:rsidR="00584EC1" w:rsidRDefault="00871F8D">
            <w:pPr>
              <w:jc w:val="right"/>
              <w:textAlignment w:val="bottom"/>
            </w:pPr>
            <w:r>
              <w:rPr>
                <w:rFonts w:ascii="Arial" w:eastAsia="宋体" w:hAnsi="Arial" w:cs="Arial"/>
                <w:color w:val="000000"/>
                <w:sz w:val="13"/>
                <w:szCs w:val="13"/>
              </w:rPr>
              <w:t>8,450 </w:t>
            </w:r>
          </w:p>
        </w:tc>
        <w:tc>
          <w:tcPr>
            <w:tcW w:w="0" w:type="auto"/>
            <w:shd w:val="clear" w:color="auto" w:fill="CCEEFF"/>
            <w:tcMar>
              <w:top w:w="40" w:type="dxa"/>
              <w:left w:w="0" w:type="dxa"/>
              <w:bottom w:w="40" w:type="dxa"/>
              <w:right w:w="20" w:type="dxa"/>
            </w:tcMar>
            <w:vAlign w:val="bottom"/>
          </w:tcPr>
          <w:p w14:paraId="74DD965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65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65A" w14:textId="77777777" w:rsidR="00584EC1" w:rsidRDefault="00871F8D">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965B" w14:textId="77777777" w:rsidR="00584EC1" w:rsidRDefault="00584EC1">
            <w:pPr>
              <w:jc w:val="right"/>
              <w:rPr>
                <w:rFonts w:ascii="宋体"/>
              </w:rPr>
            </w:pPr>
          </w:p>
        </w:tc>
        <w:tc>
          <w:tcPr>
            <w:tcW w:w="0" w:type="auto"/>
            <w:shd w:val="clear" w:color="auto" w:fill="auto"/>
            <w:vAlign w:val="bottom"/>
          </w:tcPr>
          <w:p w14:paraId="74DD965C" w14:textId="77777777" w:rsidR="00584EC1" w:rsidRDefault="00584EC1">
            <w:pPr>
              <w:rPr>
                <w:rFonts w:ascii="宋体"/>
                <w:vanish/>
              </w:rPr>
            </w:pPr>
          </w:p>
        </w:tc>
        <w:tc>
          <w:tcPr>
            <w:tcW w:w="0" w:type="auto"/>
            <w:shd w:val="clear" w:color="auto" w:fill="auto"/>
            <w:vAlign w:val="bottom"/>
          </w:tcPr>
          <w:p w14:paraId="74DD965D" w14:textId="77777777" w:rsidR="00584EC1" w:rsidRDefault="00584EC1">
            <w:pPr>
              <w:rPr>
                <w:rFonts w:ascii="宋体"/>
                <w:vanish/>
              </w:rPr>
            </w:pPr>
          </w:p>
        </w:tc>
        <w:tc>
          <w:tcPr>
            <w:tcW w:w="0" w:type="auto"/>
            <w:gridSpan w:val="3"/>
            <w:shd w:val="clear" w:color="auto" w:fill="CCEEFF"/>
            <w:tcMar>
              <w:top w:w="0" w:type="dxa"/>
              <w:left w:w="20" w:type="dxa"/>
              <w:bottom w:w="0" w:type="dxa"/>
              <w:right w:w="20" w:type="dxa"/>
            </w:tcMar>
            <w:vAlign w:val="bottom"/>
          </w:tcPr>
          <w:p w14:paraId="74DD965E"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65F" w14:textId="77777777" w:rsidR="00584EC1" w:rsidRDefault="00871F8D">
            <w:pPr>
              <w:jc w:val="right"/>
              <w:textAlignment w:val="bottom"/>
            </w:pPr>
            <w:r>
              <w:rPr>
                <w:rFonts w:ascii="Arial" w:eastAsia="宋体" w:hAnsi="Arial" w:cs="Arial"/>
                <w:color w:val="000000"/>
                <w:sz w:val="13"/>
                <w:szCs w:val="13"/>
              </w:rPr>
              <w:t>(34)</w:t>
            </w:r>
          </w:p>
        </w:tc>
        <w:tc>
          <w:tcPr>
            <w:tcW w:w="0" w:type="auto"/>
            <w:shd w:val="clear" w:color="auto" w:fill="CCEEFF"/>
            <w:tcMar>
              <w:top w:w="40" w:type="dxa"/>
              <w:left w:w="0" w:type="dxa"/>
              <w:bottom w:w="40" w:type="dxa"/>
              <w:right w:w="20" w:type="dxa"/>
            </w:tcMar>
            <w:vAlign w:val="bottom"/>
          </w:tcPr>
          <w:p w14:paraId="74DD966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66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662" w14:textId="77777777" w:rsidR="00584EC1" w:rsidRDefault="00871F8D">
            <w:pPr>
              <w:jc w:val="right"/>
              <w:textAlignment w:val="bottom"/>
            </w:pPr>
            <w:r>
              <w:rPr>
                <w:rFonts w:ascii="Arial" w:eastAsia="宋体" w:hAnsi="Arial" w:cs="Arial"/>
                <w:color w:val="000000"/>
                <w:sz w:val="13"/>
                <w:szCs w:val="13"/>
              </w:rPr>
              <w:t>(6,468)</w:t>
            </w:r>
          </w:p>
        </w:tc>
        <w:tc>
          <w:tcPr>
            <w:tcW w:w="0" w:type="auto"/>
            <w:shd w:val="clear" w:color="auto" w:fill="CCEEFF"/>
            <w:tcMar>
              <w:top w:w="40" w:type="dxa"/>
              <w:left w:w="0" w:type="dxa"/>
              <w:bottom w:w="40" w:type="dxa"/>
              <w:right w:w="20" w:type="dxa"/>
            </w:tcMar>
            <w:vAlign w:val="bottom"/>
          </w:tcPr>
          <w:p w14:paraId="74DD9663" w14:textId="77777777" w:rsidR="00584EC1" w:rsidRDefault="00584EC1">
            <w:pPr>
              <w:jc w:val="right"/>
              <w:rPr>
                <w:rFonts w:ascii="宋体"/>
              </w:rPr>
            </w:pPr>
          </w:p>
        </w:tc>
        <w:tc>
          <w:tcPr>
            <w:tcW w:w="0" w:type="auto"/>
            <w:gridSpan w:val="2"/>
            <w:shd w:val="clear" w:color="auto" w:fill="CCEEFF"/>
            <w:tcMar>
              <w:top w:w="0" w:type="dxa"/>
              <w:left w:w="20" w:type="dxa"/>
              <w:bottom w:w="0" w:type="dxa"/>
              <w:right w:w="20" w:type="dxa"/>
            </w:tcMar>
            <w:vAlign w:val="bottom"/>
          </w:tcPr>
          <w:p w14:paraId="74DD9664"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9665" w14:textId="77777777" w:rsidR="00584EC1" w:rsidRDefault="00871F8D">
            <w:pPr>
              <w:jc w:val="right"/>
              <w:textAlignment w:val="bottom"/>
            </w:pPr>
            <w:r>
              <w:rPr>
                <w:rFonts w:ascii="Arial" w:eastAsia="宋体" w:hAnsi="Arial" w:cs="Arial"/>
                <w:color w:val="000000"/>
                <w:sz w:val="13"/>
                <w:szCs w:val="13"/>
              </w:rPr>
              <w:t>— </w:t>
            </w:r>
          </w:p>
        </w:tc>
      </w:tr>
      <w:tr w:rsidR="00871F8D" w14:paraId="74DD968E" w14:textId="77777777">
        <w:tc>
          <w:tcPr>
            <w:tcW w:w="0" w:type="auto"/>
            <w:gridSpan w:val="3"/>
            <w:shd w:val="clear" w:color="auto" w:fill="FFFFFF"/>
            <w:tcMar>
              <w:top w:w="40" w:type="dxa"/>
              <w:left w:w="20" w:type="dxa"/>
              <w:bottom w:w="40" w:type="dxa"/>
              <w:right w:w="20" w:type="dxa"/>
            </w:tcMar>
            <w:vAlign w:val="bottom"/>
          </w:tcPr>
          <w:p w14:paraId="74DD9667" w14:textId="77777777" w:rsidR="00584EC1" w:rsidRDefault="00871F8D">
            <w:pPr>
              <w:spacing w:after="20"/>
              <w:textAlignment w:val="bottom"/>
            </w:pPr>
            <w:r>
              <w:rPr>
                <w:rFonts w:ascii="Arial" w:eastAsia="宋体" w:hAnsi="Arial" w:cs="Arial"/>
                <w:color w:val="000000"/>
                <w:sz w:val="13"/>
                <w:szCs w:val="13"/>
              </w:rPr>
              <w:t>Total Stressed VaR</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9668" w14:textId="77777777" w:rsidR="00584EC1" w:rsidRDefault="00871F8D">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9669" w14:textId="77777777" w:rsidR="00584EC1" w:rsidRDefault="00871F8D">
            <w:pPr>
              <w:jc w:val="right"/>
              <w:textAlignment w:val="bottom"/>
            </w:pPr>
            <w:r>
              <w:rPr>
                <w:rFonts w:ascii="Arial" w:eastAsia="宋体" w:hAnsi="Arial" w:cs="Arial"/>
                <w:b/>
                <w:bCs/>
                <w:color w:val="000000"/>
                <w:sz w:val="13"/>
                <w:szCs w:val="13"/>
              </w:rPr>
              <w:t>8,047</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966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66B"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966C" w14:textId="77777777" w:rsidR="00584EC1" w:rsidRDefault="00871F8D">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966D" w14:textId="77777777" w:rsidR="00584EC1" w:rsidRDefault="00871F8D">
            <w:pPr>
              <w:jc w:val="right"/>
              <w:textAlignment w:val="bottom"/>
            </w:pPr>
            <w:r>
              <w:rPr>
                <w:rFonts w:ascii="Arial" w:eastAsia="宋体" w:hAnsi="Arial" w:cs="Arial"/>
                <w:b/>
                <w:bCs/>
                <w:color w:val="000000"/>
                <w:sz w:val="13"/>
                <w:szCs w:val="13"/>
              </w:rPr>
              <w:t>72,991</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966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66F"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9670" w14:textId="77777777" w:rsidR="00584EC1" w:rsidRDefault="00871F8D">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9671" w14:textId="77777777" w:rsidR="00584EC1" w:rsidRDefault="00871F8D">
            <w:pPr>
              <w:jc w:val="right"/>
              <w:textAlignment w:val="bottom"/>
            </w:pPr>
            <w:r>
              <w:rPr>
                <w:rFonts w:ascii="Arial" w:eastAsia="宋体" w:hAnsi="Arial" w:cs="Arial"/>
                <w:b/>
                <w:bCs/>
                <w:color w:val="000000"/>
                <w:sz w:val="13"/>
                <w:szCs w:val="13"/>
              </w:rPr>
              <w:t>575</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9672" w14:textId="77777777" w:rsidR="00584EC1" w:rsidRDefault="00584EC1">
            <w:pPr>
              <w:jc w:val="right"/>
              <w:rPr>
                <w:rFonts w:ascii="宋体"/>
              </w:rPr>
            </w:pPr>
          </w:p>
        </w:tc>
        <w:tc>
          <w:tcPr>
            <w:tcW w:w="0" w:type="auto"/>
            <w:shd w:val="clear" w:color="auto" w:fill="auto"/>
            <w:vAlign w:val="bottom"/>
          </w:tcPr>
          <w:p w14:paraId="74DD9673" w14:textId="77777777" w:rsidR="00584EC1" w:rsidRDefault="00584EC1">
            <w:pPr>
              <w:rPr>
                <w:rFonts w:ascii="宋体"/>
                <w:vanish/>
              </w:rPr>
            </w:pPr>
          </w:p>
        </w:tc>
        <w:tc>
          <w:tcPr>
            <w:tcW w:w="0" w:type="auto"/>
            <w:shd w:val="clear" w:color="auto" w:fill="auto"/>
            <w:vAlign w:val="bottom"/>
          </w:tcPr>
          <w:p w14:paraId="74DD9674" w14:textId="77777777" w:rsidR="00584EC1" w:rsidRDefault="00584EC1">
            <w:pPr>
              <w:rPr>
                <w:rFonts w:ascii="宋体"/>
                <w:vanish/>
              </w:rPr>
            </w:pPr>
          </w:p>
        </w:tc>
        <w:tc>
          <w:tcPr>
            <w:tcW w:w="0" w:type="auto"/>
            <w:gridSpan w:val="3"/>
            <w:shd w:val="clear" w:color="auto" w:fill="FFFFFF"/>
            <w:tcMar>
              <w:top w:w="0" w:type="dxa"/>
              <w:left w:w="20" w:type="dxa"/>
              <w:bottom w:w="0" w:type="dxa"/>
              <w:right w:w="20" w:type="dxa"/>
            </w:tcMar>
            <w:vAlign w:val="bottom"/>
          </w:tcPr>
          <w:p w14:paraId="74DD9675"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9676" w14:textId="77777777" w:rsidR="00584EC1" w:rsidRDefault="00871F8D">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9677" w14:textId="77777777" w:rsidR="00584EC1" w:rsidRDefault="00871F8D">
            <w:pPr>
              <w:jc w:val="right"/>
              <w:textAlignment w:val="bottom"/>
            </w:pPr>
            <w:r>
              <w:rPr>
                <w:rFonts w:ascii="Arial" w:eastAsia="宋体" w:hAnsi="Arial" w:cs="Arial"/>
                <w:color w:val="000000"/>
                <w:sz w:val="13"/>
                <w:szCs w:val="13"/>
              </w:rPr>
              <w:t>10,382 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967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679"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967A" w14:textId="77777777" w:rsidR="00584EC1" w:rsidRDefault="00871F8D">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967B" w14:textId="77777777" w:rsidR="00584EC1" w:rsidRDefault="00871F8D">
            <w:pPr>
              <w:jc w:val="right"/>
              <w:textAlignment w:val="bottom"/>
            </w:pPr>
            <w:r>
              <w:rPr>
                <w:rFonts w:ascii="Arial" w:eastAsia="宋体" w:hAnsi="Arial" w:cs="Arial"/>
                <w:color w:val="000000"/>
                <w:sz w:val="13"/>
                <w:szCs w:val="13"/>
              </w:rPr>
              <w:t>74,510 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967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67D"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967E" w14:textId="77777777" w:rsidR="00584EC1" w:rsidRDefault="00871F8D">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967F" w14:textId="77777777" w:rsidR="00584EC1" w:rsidRDefault="00871F8D">
            <w:pPr>
              <w:jc w:val="right"/>
              <w:textAlignment w:val="bottom"/>
            </w:pPr>
            <w:r>
              <w:rPr>
                <w:rFonts w:ascii="Arial" w:eastAsia="宋体" w:hAnsi="Arial" w:cs="Arial"/>
                <w:color w:val="000000"/>
                <w:sz w:val="13"/>
                <w:szCs w:val="13"/>
              </w:rPr>
              <w:t>747 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9680" w14:textId="77777777" w:rsidR="00584EC1" w:rsidRDefault="00584EC1">
            <w:pPr>
              <w:jc w:val="right"/>
              <w:rPr>
                <w:rFonts w:ascii="宋体"/>
              </w:rPr>
            </w:pPr>
          </w:p>
        </w:tc>
        <w:tc>
          <w:tcPr>
            <w:tcW w:w="0" w:type="auto"/>
            <w:shd w:val="clear" w:color="auto" w:fill="auto"/>
            <w:vAlign w:val="bottom"/>
          </w:tcPr>
          <w:p w14:paraId="74DD9681" w14:textId="77777777" w:rsidR="00584EC1" w:rsidRDefault="00584EC1">
            <w:pPr>
              <w:rPr>
                <w:rFonts w:ascii="宋体"/>
                <w:vanish/>
              </w:rPr>
            </w:pPr>
          </w:p>
        </w:tc>
        <w:tc>
          <w:tcPr>
            <w:tcW w:w="0" w:type="auto"/>
            <w:shd w:val="clear" w:color="auto" w:fill="auto"/>
            <w:vAlign w:val="bottom"/>
          </w:tcPr>
          <w:p w14:paraId="74DD9682" w14:textId="77777777" w:rsidR="00584EC1" w:rsidRDefault="00584EC1">
            <w:pPr>
              <w:rPr>
                <w:rFonts w:ascii="宋体"/>
                <w:vanish/>
              </w:rPr>
            </w:pPr>
          </w:p>
        </w:tc>
        <w:tc>
          <w:tcPr>
            <w:tcW w:w="0" w:type="auto"/>
            <w:gridSpan w:val="3"/>
            <w:shd w:val="clear" w:color="auto" w:fill="FFFFFF"/>
            <w:tcMar>
              <w:top w:w="0" w:type="dxa"/>
              <w:left w:w="20" w:type="dxa"/>
              <w:bottom w:w="0" w:type="dxa"/>
              <w:right w:w="20" w:type="dxa"/>
            </w:tcMar>
            <w:vAlign w:val="bottom"/>
          </w:tcPr>
          <w:p w14:paraId="74DD9683"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9684" w14:textId="77777777" w:rsidR="00584EC1" w:rsidRDefault="00871F8D">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9685" w14:textId="77777777" w:rsidR="00584EC1" w:rsidRDefault="00871F8D">
            <w:pPr>
              <w:jc w:val="right"/>
              <w:textAlignment w:val="bottom"/>
            </w:pPr>
            <w:r>
              <w:rPr>
                <w:rFonts w:ascii="Arial" w:eastAsia="宋体" w:hAnsi="Arial" w:cs="Arial"/>
                <w:color w:val="000000"/>
                <w:sz w:val="13"/>
                <w:szCs w:val="13"/>
              </w:rPr>
              <w:t>8,098 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968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687"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9688" w14:textId="77777777" w:rsidR="00584EC1" w:rsidRDefault="00871F8D">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9689" w14:textId="77777777" w:rsidR="00584EC1" w:rsidRDefault="00871F8D">
            <w:pPr>
              <w:jc w:val="right"/>
              <w:textAlignment w:val="bottom"/>
            </w:pPr>
            <w:r>
              <w:rPr>
                <w:rFonts w:ascii="Arial" w:eastAsia="宋体" w:hAnsi="Arial" w:cs="Arial"/>
                <w:color w:val="000000"/>
                <w:sz w:val="13"/>
                <w:szCs w:val="13"/>
              </w:rPr>
              <w:t>43,629 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968A" w14:textId="77777777" w:rsidR="00584EC1" w:rsidRDefault="00584EC1">
            <w:pPr>
              <w:jc w:val="right"/>
              <w:rPr>
                <w:rFonts w:ascii="宋体"/>
              </w:rPr>
            </w:pPr>
          </w:p>
        </w:tc>
        <w:tc>
          <w:tcPr>
            <w:tcW w:w="0" w:type="auto"/>
            <w:gridSpan w:val="2"/>
            <w:shd w:val="clear" w:color="auto" w:fill="FFFFFF"/>
            <w:tcMar>
              <w:top w:w="0" w:type="dxa"/>
              <w:left w:w="20" w:type="dxa"/>
              <w:bottom w:w="0" w:type="dxa"/>
              <w:right w:w="20" w:type="dxa"/>
            </w:tcMar>
            <w:vAlign w:val="bottom"/>
          </w:tcPr>
          <w:p w14:paraId="74DD968B"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968C" w14:textId="77777777" w:rsidR="00584EC1" w:rsidRDefault="00871F8D">
            <w:pPr>
              <w:textAlignment w:val="bottom"/>
            </w:pPr>
            <w:r>
              <w:rPr>
                <w:rFonts w:ascii="Arial" w:eastAsia="宋体" w:hAnsi="Arial" w:cs="Arial"/>
                <w:color w:val="000000"/>
                <w:sz w:val="13"/>
                <w:szCs w:val="13"/>
              </w:rPr>
              <w:t>$</w:t>
            </w:r>
          </w:p>
          <w:p w14:paraId="74DD968D" w14:textId="77777777" w:rsidR="00584EC1" w:rsidRDefault="00871F8D">
            <w:pPr>
              <w:jc w:val="right"/>
              <w:textAlignment w:val="bottom"/>
            </w:pPr>
            <w:r>
              <w:rPr>
                <w:rFonts w:ascii="Arial" w:eastAsia="宋体" w:hAnsi="Arial" w:cs="Arial"/>
                <w:color w:val="000000"/>
                <w:sz w:val="13"/>
                <w:szCs w:val="13"/>
              </w:rPr>
              <w:t>868 </w:t>
            </w:r>
          </w:p>
        </w:tc>
      </w:tr>
    </w:tbl>
    <w:p w14:paraId="74DD968F" w14:textId="77777777" w:rsidR="00584EC1" w:rsidRDefault="00584E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2138"/>
        <w:gridCol w:w="36"/>
        <w:gridCol w:w="70"/>
        <w:gridCol w:w="3648"/>
        <w:gridCol w:w="36"/>
      </w:tblGrid>
      <w:tr w:rsidR="00584EC1" w14:paraId="74DD9699" w14:textId="77777777">
        <w:tc>
          <w:tcPr>
            <w:tcW w:w="50" w:type="pct"/>
            <w:shd w:val="clear" w:color="auto" w:fill="auto"/>
            <w:vAlign w:val="bottom"/>
          </w:tcPr>
          <w:p w14:paraId="74DD9690" w14:textId="77777777" w:rsidR="00584EC1" w:rsidRDefault="00584EC1">
            <w:pPr>
              <w:rPr>
                <w:rFonts w:ascii="宋体"/>
              </w:rPr>
            </w:pPr>
          </w:p>
        </w:tc>
        <w:tc>
          <w:tcPr>
            <w:tcW w:w="1348" w:type="pct"/>
            <w:shd w:val="clear" w:color="auto" w:fill="auto"/>
            <w:vAlign w:val="bottom"/>
          </w:tcPr>
          <w:p w14:paraId="74DD9691" w14:textId="77777777" w:rsidR="00584EC1" w:rsidRDefault="00584EC1">
            <w:pPr>
              <w:rPr>
                <w:rFonts w:ascii="宋体"/>
              </w:rPr>
            </w:pPr>
          </w:p>
        </w:tc>
        <w:tc>
          <w:tcPr>
            <w:tcW w:w="5" w:type="pct"/>
            <w:shd w:val="clear" w:color="auto" w:fill="auto"/>
            <w:vAlign w:val="bottom"/>
          </w:tcPr>
          <w:p w14:paraId="74DD9692" w14:textId="77777777" w:rsidR="00584EC1" w:rsidRDefault="00584EC1">
            <w:pPr>
              <w:rPr>
                <w:rFonts w:ascii="宋体"/>
              </w:rPr>
            </w:pPr>
          </w:p>
        </w:tc>
        <w:tc>
          <w:tcPr>
            <w:tcW w:w="50" w:type="pct"/>
            <w:shd w:val="clear" w:color="auto" w:fill="auto"/>
            <w:vAlign w:val="bottom"/>
          </w:tcPr>
          <w:p w14:paraId="74DD9693" w14:textId="77777777" w:rsidR="00584EC1" w:rsidRDefault="00584EC1">
            <w:pPr>
              <w:rPr>
                <w:rFonts w:ascii="宋体"/>
              </w:rPr>
            </w:pPr>
          </w:p>
        </w:tc>
        <w:tc>
          <w:tcPr>
            <w:tcW w:w="1290" w:type="pct"/>
            <w:shd w:val="clear" w:color="auto" w:fill="auto"/>
            <w:vAlign w:val="bottom"/>
          </w:tcPr>
          <w:p w14:paraId="74DD9694" w14:textId="77777777" w:rsidR="00584EC1" w:rsidRDefault="00584EC1">
            <w:pPr>
              <w:rPr>
                <w:rFonts w:ascii="宋体"/>
              </w:rPr>
            </w:pPr>
          </w:p>
        </w:tc>
        <w:tc>
          <w:tcPr>
            <w:tcW w:w="5" w:type="pct"/>
            <w:shd w:val="clear" w:color="auto" w:fill="auto"/>
            <w:vAlign w:val="bottom"/>
          </w:tcPr>
          <w:p w14:paraId="74DD9695" w14:textId="77777777" w:rsidR="00584EC1" w:rsidRDefault="00584EC1">
            <w:pPr>
              <w:rPr>
                <w:rFonts w:ascii="宋体"/>
              </w:rPr>
            </w:pPr>
          </w:p>
        </w:tc>
        <w:tc>
          <w:tcPr>
            <w:tcW w:w="50" w:type="pct"/>
            <w:shd w:val="clear" w:color="auto" w:fill="auto"/>
            <w:vAlign w:val="bottom"/>
          </w:tcPr>
          <w:p w14:paraId="74DD9696" w14:textId="77777777" w:rsidR="00584EC1" w:rsidRDefault="00584EC1">
            <w:pPr>
              <w:rPr>
                <w:rFonts w:ascii="宋体"/>
              </w:rPr>
            </w:pPr>
          </w:p>
        </w:tc>
        <w:tc>
          <w:tcPr>
            <w:tcW w:w="2196" w:type="pct"/>
            <w:shd w:val="clear" w:color="auto" w:fill="auto"/>
            <w:vAlign w:val="bottom"/>
          </w:tcPr>
          <w:p w14:paraId="74DD9697" w14:textId="77777777" w:rsidR="00584EC1" w:rsidRDefault="00584EC1">
            <w:pPr>
              <w:rPr>
                <w:rFonts w:ascii="宋体"/>
              </w:rPr>
            </w:pPr>
          </w:p>
        </w:tc>
        <w:tc>
          <w:tcPr>
            <w:tcW w:w="5" w:type="pct"/>
            <w:shd w:val="clear" w:color="auto" w:fill="auto"/>
            <w:vAlign w:val="bottom"/>
          </w:tcPr>
          <w:p w14:paraId="74DD9698" w14:textId="77777777" w:rsidR="00584EC1" w:rsidRDefault="00584EC1">
            <w:pPr>
              <w:rPr>
                <w:rFonts w:ascii="宋体"/>
              </w:rPr>
            </w:pPr>
          </w:p>
        </w:tc>
      </w:tr>
      <w:tr w:rsidR="00584EC1" w14:paraId="74DD969D"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4DD969A"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969B"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969C" w14:textId="77777777" w:rsidR="00584EC1" w:rsidRDefault="00584EC1">
            <w:pPr>
              <w:rPr>
                <w:rFonts w:ascii="宋体"/>
              </w:rPr>
            </w:pPr>
          </w:p>
        </w:tc>
      </w:tr>
    </w:tbl>
    <w:p w14:paraId="74DD969E" w14:textId="77777777" w:rsidR="00584EC1" w:rsidRDefault="00871F8D">
      <w:pPr>
        <w:jc w:val="both"/>
      </w:pPr>
      <w:r>
        <w:rPr>
          <w:rFonts w:ascii="Arial" w:eastAsia="宋体" w:hAnsi="Arial" w:cs="Arial"/>
          <w:color w:val="000000"/>
          <w:sz w:val="7"/>
          <w:szCs w:val="7"/>
        </w:rPr>
        <w:t xml:space="preserve">(1) </w:t>
      </w:r>
      <w:r>
        <w:rPr>
          <w:rFonts w:ascii="Arial" w:eastAsia="宋体" w:hAnsi="Arial" w:cs="Arial"/>
          <w:color w:val="000000"/>
          <w:sz w:val="12"/>
          <w:szCs w:val="12"/>
        </w:rPr>
        <w:t>For purposes of risk attribution by component, foreign exchange refers only to the risk from market movements in period-end rates.  Forwards, futures, options and swaps with maturities greater than period-end have embedded interest rate risk that is captur</w:t>
      </w:r>
      <w:r>
        <w:rPr>
          <w:rFonts w:ascii="Arial" w:eastAsia="宋体" w:hAnsi="Arial" w:cs="Arial"/>
          <w:color w:val="000000"/>
          <w:sz w:val="12"/>
          <w:szCs w:val="12"/>
        </w:rPr>
        <w:t xml:space="preserve">ed by the measures used for interest rate risk.  Accordingly, the interest rate risk embedded in these foreign exchange instruments is included in the interest rate risk component. </w:t>
      </w:r>
    </w:p>
    <w:p w14:paraId="74DD969F" w14:textId="77777777" w:rsidR="00584EC1" w:rsidRDefault="00871F8D">
      <w:pPr>
        <w:ind w:firstLine="450"/>
        <w:jc w:val="right"/>
      </w:pPr>
      <w:r>
        <w:rPr>
          <w:rFonts w:ascii="Arial" w:eastAsia="宋体" w:hAnsi="Arial" w:cs="Arial"/>
          <w:color w:val="000000"/>
          <w:sz w:val="18"/>
          <w:szCs w:val="18"/>
        </w:rPr>
        <w:t>State Street Corporation | 39</w:t>
      </w:r>
    </w:p>
    <w:p w14:paraId="74DD96A0" w14:textId="77777777" w:rsidR="00584EC1" w:rsidRDefault="00584EC1">
      <w:pPr>
        <w:ind w:firstLine="450"/>
        <w:jc w:val="center"/>
      </w:pPr>
    </w:p>
    <w:p w14:paraId="74DD96A1" w14:textId="77777777" w:rsidR="00584EC1" w:rsidRDefault="00871F8D">
      <w:r>
        <w:pict w14:anchorId="74DE2A15">
          <v:rect id="_x0000_i1063" style="width:415.3pt;height:1.5pt" o:hralign="center" o:hrstd="t" o:hr="t" fillcolor="#a0a0a0" stroked="f"/>
        </w:pict>
      </w:r>
    </w:p>
    <w:p w14:paraId="74DD96A2" w14:textId="77777777" w:rsidR="00584EC1" w:rsidRDefault="00871F8D">
      <w:pPr>
        <w:ind w:firstLine="450"/>
        <w:jc w:val="center"/>
      </w:pPr>
      <w:r>
        <w:rPr>
          <w:rFonts w:ascii="Arial" w:eastAsia="宋体" w:hAnsi="Arial" w:cs="Arial"/>
          <w:b/>
          <w:bCs/>
          <w:color w:val="000000"/>
          <w:sz w:val="20"/>
          <w:szCs w:val="20"/>
        </w:rPr>
        <w:t>MANAGEMENT’S DISCUSSION AND ANALYSIS OF F</w:t>
      </w:r>
      <w:r>
        <w:rPr>
          <w:rFonts w:ascii="Arial" w:eastAsia="宋体" w:hAnsi="Arial" w:cs="Arial"/>
          <w:b/>
          <w:bCs/>
          <w:color w:val="000000"/>
          <w:sz w:val="20"/>
          <w:szCs w:val="20"/>
        </w:rPr>
        <w:t>INANCIAL CONDITION</w:t>
      </w:r>
    </w:p>
    <w:p w14:paraId="74DD96A3" w14:textId="77777777" w:rsidR="00584EC1" w:rsidRDefault="00871F8D">
      <w:pPr>
        <w:ind w:firstLine="450"/>
        <w:jc w:val="center"/>
      </w:pPr>
      <w:r>
        <w:rPr>
          <w:rFonts w:ascii="Arial" w:eastAsia="宋体" w:hAnsi="Arial" w:cs="Arial"/>
          <w:b/>
          <w:bCs/>
          <w:color w:val="000000"/>
          <w:sz w:val="20"/>
          <w:szCs w:val="20"/>
        </w:rPr>
        <w:t>AND RESULTS OF OPERATIONS</w:t>
      </w:r>
    </w:p>
    <w:p w14:paraId="74DD96A4" w14:textId="77777777" w:rsidR="00584EC1" w:rsidRDefault="00871F8D">
      <w:pPr>
        <w:spacing w:before="60"/>
      </w:pPr>
      <w:r>
        <w:rPr>
          <w:rFonts w:ascii="Arial" w:eastAsia="宋体" w:hAnsi="Arial" w:cs="Arial"/>
          <w:b/>
          <w:bCs/>
          <w:i/>
          <w:iCs/>
          <w:color w:val="000000"/>
          <w:sz w:val="20"/>
          <w:szCs w:val="20"/>
        </w:rPr>
        <w:t>Asset and Liability Management Activities</w:t>
      </w:r>
    </w:p>
    <w:p w14:paraId="74DD96A5" w14:textId="77777777" w:rsidR="00584EC1" w:rsidRDefault="00871F8D">
      <w:pPr>
        <w:spacing w:before="60"/>
        <w:ind w:firstLine="450"/>
        <w:jc w:val="both"/>
      </w:pPr>
      <w:r>
        <w:rPr>
          <w:rFonts w:ascii="Arial" w:eastAsia="宋体" w:hAnsi="Arial" w:cs="Arial"/>
          <w:color w:val="000000"/>
          <w:sz w:val="20"/>
          <w:szCs w:val="20"/>
        </w:rPr>
        <w:t>The primary objective of asset and liability management is to provide sustainable NII under varying economic conditions, while protecting the economic value of the asset</w:t>
      </w:r>
      <w:r>
        <w:rPr>
          <w:rFonts w:ascii="Arial" w:eastAsia="宋体" w:hAnsi="Arial" w:cs="Arial"/>
          <w:color w:val="000000"/>
          <w:sz w:val="20"/>
          <w:szCs w:val="20"/>
        </w:rPr>
        <w:t xml:space="preserve">s and liabilities carried on our consolidated statement of condition from the adverse effects of changes in interest rates. While many market factors affect the level of NII and the economic value of our assets and liabilities, one of the most significant </w:t>
      </w:r>
      <w:r>
        <w:rPr>
          <w:rFonts w:ascii="Arial" w:eastAsia="宋体" w:hAnsi="Arial" w:cs="Arial"/>
          <w:color w:val="000000"/>
          <w:sz w:val="20"/>
          <w:szCs w:val="20"/>
        </w:rPr>
        <w:t>factors is our exposure to movements in interest rates. Most of our NII is earned from the investment of client deposits generated by our businesses. We invest these client deposits in assets that conform generally to the characteristics of our balance she</w:t>
      </w:r>
      <w:r>
        <w:rPr>
          <w:rFonts w:ascii="Arial" w:eastAsia="宋体" w:hAnsi="Arial" w:cs="Arial"/>
          <w:color w:val="000000"/>
          <w:sz w:val="20"/>
          <w:szCs w:val="20"/>
        </w:rPr>
        <w:t>et liabilities, including the currency composition of our significant non-U.S. dollar denominated client liabilities.</w:t>
      </w:r>
    </w:p>
    <w:p w14:paraId="74DD96A6" w14:textId="77777777" w:rsidR="00584EC1" w:rsidRDefault="00871F8D">
      <w:pPr>
        <w:spacing w:before="60"/>
        <w:ind w:firstLine="450"/>
        <w:jc w:val="both"/>
      </w:pPr>
      <w:r>
        <w:rPr>
          <w:rFonts w:ascii="Arial" w:eastAsia="宋体" w:hAnsi="Arial" w:cs="Arial"/>
          <w:color w:val="000000"/>
          <w:sz w:val="20"/>
          <w:szCs w:val="20"/>
        </w:rPr>
        <w:t xml:space="preserve">We quantify NII sensitivity using an earnings simulation model that includes our expectations for new business growth, changes in balance </w:t>
      </w:r>
      <w:r>
        <w:rPr>
          <w:rFonts w:ascii="Arial" w:eastAsia="宋体" w:hAnsi="Arial" w:cs="Arial"/>
          <w:color w:val="000000"/>
          <w:sz w:val="20"/>
          <w:szCs w:val="20"/>
        </w:rPr>
        <w:t>sheet mix and investment portfolio positioning. This measure compares our baseline view of NII over a twelve-month horizon, based on our internal forecast of interest rates, to a wide range of rate shocks. The baseline view of NII is updated on a regular b</w:t>
      </w:r>
      <w:r>
        <w:rPr>
          <w:rFonts w:ascii="Arial" w:eastAsia="宋体" w:hAnsi="Arial" w:cs="Arial"/>
          <w:color w:val="000000"/>
          <w:sz w:val="20"/>
          <w:szCs w:val="20"/>
        </w:rPr>
        <w:t xml:space="preserve">asis. Relative to the year ago period, the September 30, 2021 baseline forecast is based on an increased balance sheet size. Compared to June 30, 2021, the baseline forecast assumes a modest reduction in balance sheet size over the subsequent twelve-month </w:t>
      </w:r>
      <w:r>
        <w:rPr>
          <w:rFonts w:ascii="Arial" w:eastAsia="宋体" w:hAnsi="Arial" w:cs="Arial"/>
          <w:color w:val="000000"/>
          <w:sz w:val="20"/>
          <w:szCs w:val="20"/>
        </w:rPr>
        <w:t>horizon. Table 32, Key Interest Rates for Baseline Forecasts, presents the spot and 12-month forward rates used in our baseline forecasts at September 30, 2021 and September 30, 2020. Our September 30, 2021 baseline forecast assumes no changes by the Feder</w:t>
      </w:r>
      <w:r>
        <w:rPr>
          <w:rFonts w:ascii="Arial" w:eastAsia="宋体" w:hAnsi="Arial" w:cs="Arial"/>
          <w:color w:val="000000"/>
          <w:sz w:val="20"/>
          <w:szCs w:val="20"/>
        </w:rPr>
        <w:t>al Reserve over the next 12 months.</w:t>
      </w:r>
    </w:p>
    <w:tbl>
      <w:tblPr>
        <w:tblW w:w="4993" w:type="pct"/>
        <w:tblCellMar>
          <w:top w:w="15" w:type="dxa"/>
          <w:left w:w="15" w:type="dxa"/>
          <w:bottom w:w="15" w:type="dxa"/>
          <w:right w:w="15" w:type="dxa"/>
        </w:tblCellMar>
        <w:tblLook w:val="04A0" w:firstRow="1" w:lastRow="0" w:firstColumn="1" w:lastColumn="0" w:noHBand="0" w:noVBand="1"/>
      </w:tblPr>
      <w:tblGrid>
        <w:gridCol w:w="38"/>
        <w:gridCol w:w="2173"/>
        <w:gridCol w:w="38"/>
        <w:gridCol w:w="37"/>
        <w:gridCol w:w="1284"/>
        <w:gridCol w:w="155"/>
        <w:gridCol w:w="37"/>
        <w:gridCol w:w="37"/>
        <w:gridCol w:w="37"/>
        <w:gridCol w:w="39"/>
        <w:gridCol w:w="1228"/>
        <w:gridCol w:w="156"/>
        <w:gridCol w:w="36"/>
        <w:gridCol w:w="36"/>
        <w:gridCol w:w="36"/>
        <w:gridCol w:w="37"/>
        <w:gridCol w:w="1231"/>
        <w:gridCol w:w="155"/>
        <w:gridCol w:w="37"/>
        <w:gridCol w:w="37"/>
        <w:gridCol w:w="37"/>
        <w:gridCol w:w="39"/>
        <w:gridCol w:w="1228"/>
        <w:gridCol w:w="156"/>
      </w:tblGrid>
      <w:tr w:rsidR="00584EC1" w14:paraId="74DD96BF" w14:textId="77777777">
        <w:tc>
          <w:tcPr>
            <w:tcW w:w="50" w:type="pct"/>
            <w:shd w:val="clear" w:color="auto" w:fill="auto"/>
            <w:vAlign w:val="bottom"/>
          </w:tcPr>
          <w:p w14:paraId="74DD96A7" w14:textId="77777777" w:rsidR="00584EC1" w:rsidRDefault="00584EC1">
            <w:pPr>
              <w:rPr>
                <w:rFonts w:ascii="宋体"/>
              </w:rPr>
            </w:pPr>
          </w:p>
        </w:tc>
        <w:tc>
          <w:tcPr>
            <w:tcW w:w="1350" w:type="pct"/>
            <w:shd w:val="clear" w:color="auto" w:fill="auto"/>
            <w:vAlign w:val="bottom"/>
          </w:tcPr>
          <w:p w14:paraId="74DD96A8" w14:textId="77777777" w:rsidR="00584EC1" w:rsidRDefault="00584EC1">
            <w:pPr>
              <w:rPr>
                <w:rFonts w:ascii="宋体"/>
              </w:rPr>
            </w:pPr>
          </w:p>
        </w:tc>
        <w:tc>
          <w:tcPr>
            <w:tcW w:w="5" w:type="pct"/>
            <w:shd w:val="clear" w:color="auto" w:fill="auto"/>
            <w:vAlign w:val="bottom"/>
          </w:tcPr>
          <w:p w14:paraId="74DD96A9" w14:textId="77777777" w:rsidR="00584EC1" w:rsidRDefault="00584EC1">
            <w:pPr>
              <w:rPr>
                <w:rFonts w:ascii="宋体"/>
              </w:rPr>
            </w:pPr>
          </w:p>
        </w:tc>
        <w:tc>
          <w:tcPr>
            <w:tcW w:w="50" w:type="pct"/>
            <w:shd w:val="clear" w:color="auto" w:fill="auto"/>
            <w:vAlign w:val="bottom"/>
          </w:tcPr>
          <w:p w14:paraId="74DD96AA" w14:textId="77777777" w:rsidR="00584EC1" w:rsidRDefault="00584EC1">
            <w:pPr>
              <w:rPr>
                <w:rFonts w:ascii="宋体"/>
              </w:rPr>
            </w:pPr>
          </w:p>
        </w:tc>
        <w:tc>
          <w:tcPr>
            <w:tcW w:w="816" w:type="pct"/>
            <w:shd w:val="clear" w:color="auto" w:fill="auto"/>
            <w:vAlign w:val="bottom"/>
          </w:tcPr>
          <w:p w14:paraId="74DD96AB" w14:textId="77777777" w:rsidR="00584EC1" w:rsidRDefault="00584EC1">
            <w:pPr>
              <w:rPr>
                <w:rFonts w:ascii="宋体"/>
              </w:rPr>
            </w:pPr>
          </w:p>
        </w:tc>
        <w:tc>
          <w:tcPr>
            <w:tcW w:w="5" w:type="pct"/>
            <w:shd w:val="clear" w:color="auto" w:fill="auto"/>
            <w:vAlign w:val="bottom"/>
          </w:tcPr>
          <w:p w14:paraId="74DD96AC" w14:textId="77777777" w:rsidR="00584EC1" w:rsidRDefault="00584EC1">
            <w:pPr>
              <w:rPr>
                <w:rFonts w:ascii="宋体"/>
              </w:rPr>
            </w:pPr>
          </w:p>
        </w:tc>
        <w:tc>
          <w:tcPr>
            <w:tcW w:w="5" w:type="pct"/>
            <w:shd w:val="clear" w:color="auto" w:fill="auto"/>
            <w:vAlign w:val="bottom"/>
          </w:tcPr>
          <w:p w14:paraId="74DD96AD" w14:textId="77777777" w:rsidR="00584EC1" w:rsidRDefault="00584EC1">
            <w:pPr>
              <w:rPr>
                <w:rFonts w:ascii="宋体"/>
              </w:rPr>
            </w:pPr>
          </w:p>
        </w:tc>
        <w:tc>
          <w:tcPr>
            <w:tcW w:w="26" w:type="pct"/>
            <w:shd w:val="clear" w:color="auto" w:fill="auto"/>
            <w:vAlign w:val="bottom"/>
          </w:tcPr>
          <w:p w14:paraId="74DD96AE" w14:textId="77777777" w:rsidR="00584EC1" w:rsidRDefault="00584EC1">
            <w:pPr>
              <w:rPr>
                <w:rFonts w:ascii="宋体"/>
              </w:rPr>
            </w:pPr>
          </w:p>
        </w:tc>
        <w:tc>
          <w:tcPr>
            <w:tcW w:w="5" w:type="pct"/>
            <w:shd w:val="clear" w:color="auto" w:fill="auto"/>
            <w:vAlign w:val="bottom"/>
          </w:tcPr>
          <w:p w14:paraId="74DD96AF" w14:textId="77777777" w:rsidR="00584EC1" w:rsidRDefault="00584EC1">
            <w:pPr>
              <w:rPr>
                <w:rFonts w:ascii="宋体"/>
              </w:rPr>
            </w:pPr>
          </w:p>
        </w:tc>
        <w:tc>
          <w:tcPr>
            <w:tcW w:w="50" w:type="pct"/>
            <w:shd w:val="clear" w:color="auto" w:fill="auto"/>
            <w:vAlign w:val="bottom"/>
          </w:tcPr>
          <w:p w14:paraId="74DD96B0" w14:textId="77777777" w:rsidR="00584EC1" w:rsidRDefault="00584EC1">
            <w:pPr>
              <w:rPr>
                <w:rFonts w:ascii="宋体"/>
              </w:rPr>
            </w:pPr>
          </w:p>
        </w:tc>
        <w:tc>
          <w:tcPr>
            <w:tcW w:w="816" w:type="pct"/>
            <w:shd w:val="clear" w:color="auto" w:fill="auto"/>
            <w:vAlign w:val="bottom"/>
          </w:tcPr>
          <w:p w14:paraId="74DD96B1" w14:textId="77777777" w:rsidR="00584EC1" w:rsidRDefault="00584EC1">
            <w:pPr>
              <w:rPr>
                <w:rFonts w:ascii="宋体"/>
              </w:rPr>
            </w:pPr>
          </w:p>
        </w:tc>
        <w:tc>
          <w:tcPr>
            <w:tcW w:w="5" w:type="pct"/>
            <w:shd w:val="clear" w:color="auto" w:fill="auto"/>
            <w:vAlign w:val="bottom"/>
          </w:tcPr>
          <w:p w14:paraId="74DD96B2" w14:textId="77777777" w:rsidR="00584EC1" w:rsidRDefault="00584EC1">
            <w:pPr>
              <w:rPr>
                <w:rFonts w:ascii="宋体"/>
              </w:rPr>
            </w:pPr>
          </w:p>
        </w:tc>
        <w:tc>
          <w:tcPr>
            <w:tcW w:w="5" w:type="pct"/>
            <w:shd w:val="clear" w:color="auto" w:fill="auto"/>
            <w:vAlign w:val="bottom"/>
          </w:tcPr>
          <w:p w14:paraId="74DD96B3" w14:textId="77777777" w:rsidR="00584EC1" w:rsidRDefault="00584EC1">
            <w:pPr>
              <w:rPr>
                <w:rFonts w:ascii="宋体"/>
              </w:rPr>
            </w:pPr>
          </w:p>
        </w:tc>
        <w:tc>
          <w:tcPr>
            <w:tcW w:w="26" w:type="pct"/>
            <w:shd w:val="clear" w:color="auto" w:fill="auto"/>
            <w:vAlign w:val="bottom"/>
          </w:tcPr>
          <w:p w14:paraId="74DD96B4" w14:textId="77777777" w:rsidR="00584EC1" w:rsidRDefault="00584EC1">
            <w:pPr>
              <w:rPr>
                <w:rFonts w:ascii="宋体"/>
              </w:rPr>
            </w:pPr>
          </w:p>
        </w:tc>
        <w:tc>
          <w:tcPr>
            <w:tcW w:w="5" w:type="pct"/>
            <w:shd w:val="clear" w:color="auto" w:fill="auto"/>
            <w:vAlign w:val="bottom"/>
          </w:tcPr>
          <w:p w14:paraId="74DD96B5" w14:textId="77777777" w:rsidR="00584EC1" w:rsidRDefault="00584EC1">
            <w:pPr>
              <w:rPr>
                <w:rFonts w:ascii="宋体"/>
              </w:rPr>
            </w:pPr>
          </w:p>
        </w:tc>
        <w:tc>
          <w:tcPr>
            <w:tcW w:w="50" w:type="pct"/>
            <w:shd w:val="clear" w:color="auto" w:fill="auto"/>
            <w:vAlign w:val="bottom"/>
          </w:tcPr>
          <w:p w14:paraId="74DD96B6" w14:textId="77777777" w:rsidR="00584EC1" w:rsidRDefault="00584EC1">
            <w:pPr>
              <w:rPr>
                <w:rFonts w:ascii="宋体"/>
              </w:rPr>
            </w:pPr>
          </w:p>
        </w:tc>
        <w:tc>
          <w:tcPr>
            <w:tcW w:w="816" w:type="pct"/>
            <w:shd w:val="clear" w:color="auto" w:fill="auto"/>
            <w:vAlign w:val="bottom"/>
          </w:tcPr>
          <w:p w14:paraId="74DD96B7" w14:textId="77777777" w:rsidR="00584EC1" w:rsidRDefault="00584EC1">
            <w:pPr>
              <w:rPr>
                <w:rFonts w:ascii="宋体"/>
              </w:rPr>
            </w:pPr>
          </w:p>
        </w:tc>
        <w:tc>
          <w:tcPr>
            <w:tcW w:w="5" w:type="pct"/>
            <w:shd w:val="clear" w:color="auto" w:fill="auto"/>
            <w:vAlign w:val="bottom"/>
          </w:tcPr>
          <w:p w14:paraId="74DD96B8" w14:textId="77777777" w:rsidR="00584EC1" w:rsidRDefault="00584EC1">
            <w:pPr>
              <w:rPr>
                <w:rFonts w:ascii="宋体"/>
              </w:rPr>
            </w:pPr>
          </w:p>
        </w:tc>
        <w:tc>
          <w:tcPr>
            <w:tcW w:w="5" w:type="pct"/>
            <w:shd w:val="clear" w:color="auto" w:fill="auto"/>
            <w:vAlign w:val="bottom"/>
          </w:tcPr>
          <w:p w14:paraId="74DD96B9" w14:textId="77777777" w:rsidR="00584EC1" w:rsidRDefault="00584EC1">
            <w:pPr>
              <w:rPr>
                <w:rFonts w:ascii="宋体"/>
              </w:rPr>
            </w:pPr>
          </w:p>
        </w:tc>
        <w:tc>
          <w:tcPr>
            <w:tcW w:w="26" w:type="pct"/>
            <w:shd w:val="clear" w:color="auto" w:fill="auto"/>
            <w:vAlign w:val="bottom"/>
          </w:tcPr>
          <w:p w14:paraId="74DD96BA" w14:textId="77777777" w:rsidR="00584EC1" w:rsidRDefault="00584EC1">
            <w:pPr>
              <w:rPr>
                <w:rFonts w:ascii="宋体"/>
              </w:rPr>
            </w:pPr>
          </w:p>
        </w:tc>
        <w:tc>
          <w:tcPr>
            <w:tcW w:w="5" w:type="pct"/>
            <w:shd w:val="clear" w:color="auto" w:fill="auto"/>
            <w:vAlign w:val="bottom"/>
          </w:tcPr>
          <w:p w14:paraId="74DD96BB" w14:textId="77777777" w:rsidR="00584EC1" w:rsidRDefault="00584EC1">
            <w:pPr>
              <w:rPr>
                <w:rFonts w:ascii="宋体"/>
              </w:rPr>
            </w:pPr>
          </w:p>
        </w:tc>
        <w:tc>
          <w:tcPr>
            <w:tcW w:w="50" w:type="pct"/>
            <w:shd w:val="clear" w:color="auto" w:fill="auto"/>
            <w:vAlign w:val="bottom"/>
          </w:tcPr>
          <w:p w14:paraId="74DD96BC" w14:textId="77777777" w:rsidR="00584EC1" w:rsidRDefault="00584EC1">
            <w:pPr>
              <w:rPr>
                <w:rFonts w:ascii="宋体"/>
              </w:rPr>
            </w:pPr>
          </w:p>
        </w:tc>
        <w:tc>
          <w:tcPr>
            <w:tcW w:w="816" w:type="pct"/>
            <w:shd w:val="clear" w:color="auto" w:fill="auto"/>
            <w:vAlign w:val="bottom"/>
          </w:tcPr>
          <w:p w14:paraId="74DD96BD" w14:textId="77777777" w:rsidR="00584EC1" w:rsidRDefault="00584EC1">
            <w:pPr>
              <w:rPr>
                <w:rFonts w:ascii="宋体"/>
              </w:rPr>
            </w:pPr>
          </w:p>
        </w:tc>
        <w:tc>
          <w:tcPr>
            <w:tcW w:w="5" w:type="pct"/>
            <w:shd w:val="clear" w:color="auto" w:fill="auto"/>
            <w:vAlign w:val="bottom"/>
          </w:tcPr>
          <w:p w14:paraId="74DD96BE" w14:textId="77777777" w:rsidR="00584EC1" w:rsidRDefault="00584EC1">
            <w:pPr>
              <w:rPr>
                <w:rFonts w:ascii="宋体"/>
              </w:rPr>
            </w:pPr>
          </w:p>
        </w:tc>
      </w:tr>
      <w:tr w:rsidR="00584EC1" w14:paraId="74DD96C1" w14:textId="77777777">
        <w:tc>
          <w:tcPr>
            <w:tcW w:w="0" w:type="auto"/>
            <w:gridSpan w:val="24"/>
            <w:shd w:val="clear" w:color="auto" w:fill="auto"/>
            <w:tcMar>
              <w:top w:w="40" w:type="dxa"/>
              <w:left w:w="20" w:type="dxa"/>
              <w:bottom w:w="40" w:type="dxa"/>
              <w:right w:w="20" w:type="dxa"/>
            </w:tcMar>
            <w:vAlign w:val="bottom"/>
          </w:tcPr>
          <w:p w14:paraId="74DD96C0" w14:textId="77777777" w:rsidR="00584EC1" w:rsidRDefault="00871F8D">
            <w:pPr>
              <w:textAlignment w:val="bottom"/>
            </w:pPr>
            <w:r>
              <w:rPr>
                <w:rFonts w:ascii="Arial" w:eastAsia="宋体" w:hAnsi="Arial" w:cs="Arial"/>
                <w:b/>
                <w:bCs/>
                <w:color w:val="000000"/>
                <w:sz w:val="16"/>
                <w:szCs w:val="16"/>
              </w:rPr>
              <w:t>TABLE 32: KEY INTEREST RATES FOR BASELINE FORECASTS</w:t>
            </w:r>
          </w:p>
        </w:tc>
      </w:tr>
      <w:tr w:rsidR="00584EC1" w14:paraId="74DD96C6" w14:textId="77777777">
        <w:tc>
          <w:tcPr>
            <w:tcW w:w="0" w:type="auto"/>
            <w:gridSpan w:val="3"/>
            <w:shd w:val="clear" w:color="auto" w:fill="auto"/>
            <w:tcMar>
              <w:top w:w="0" w:type="dxa"/>
              <w:left w:w="20" w:type="dxa"/>
              <w:bottom w:w="0" w:type="dxa"/>
              <w:right w:w="20" w:type="dxa"/>
            </w:tcMar>
            <w:vAlign w:val="bottom"/>
          </w:tcPr>
          <w:p w14:paraId="74DD96C2" w14:textId="77777777" w:rsidR="00584EC1" w:rsidRDefault="00584EC1">
            <w:pPr>
              <w:rPr>
                <w:rFonts w:ascii="宋体"/>
              </w:rPr>
            </w:pPr>
          </w:p>
        </w:tc>
        <w:tc>
          <w:tcPr>
            <w:tcW w:w="0" w:type="auto"/>
            <w:gridSpan w:val="9"/>
            <w:shd w:val="clear" w:color="auto" w:fill="auto"/>
            <w:tcMar>
              <w:top w:w="40" w:type="dxa"/>
              <w:left w:w="20" w:type="dxa"/>
              <w:bottom w:w="40" w:type="dxa"/>
              <w:right w:w="20" w:type="dxa"/>
            </w:tcMar>
            <w:vAlign w:val="bottom"/>
          </w:tcPr>
          <w:p w14:paraId="74DD96C3" w14:textId="77777777" w:rsidR="00584EC1" w:rsidRDefault="00871F8D">
            <w:pPr>
              <w:jc w:val="center"/>
              <w:textAlignment w:val="bottom"/>
            </w:pPr>
            <w:r>
              <w:rPr>
                <w:rFonts w:ascii="Arial" w:eastAsia="宋体" w:hAnsi="Arial" w:cs="Arial"/>
                <w:b/>
                <w:bCs/>
                <w:color w:val="000000"/>
                <w:sz w:val="15"/>
                <w:szCs w:val="15"/>
              </w:rPr>
              <w:t>September 30, 2021</w:t>
            </w:r>
          </w:p>
        </w:tc>
        <w:tc>
          <w:tcPr>
            <w:tcW w:w="0" w:type="auto"/>
            <w:gridSpan w:val="3"/>
            <w:shd w:val="clear" w:color="auto" w:fill="auto"/>
            <w:tcMar>
              <w:top w:w="0" w:type="dxa"/>
              <w:left w:w="20" w:type="dxa"/>
              <w:bottom w:w="0" w:type="dxa"/>
              <w:right w:w="20" w:type="dxa"/>
            </w:tcMar>
            <w:vAlign w:val="bottom"/>
          </w:tcPr>
          <w:p w14:paraId="74DD96C4" w14:textId="77777777" w:rsidR="00584EC1" w:rsidRDefault="00584EC1">
            <w:pPr>
              <w:rPr>
                <w:rFonts w:ascii="宋体"/>
              </w:rPr>
            </w:pPr>
          </w:p>
        </w:tc>
        <w:tc>
          <w:tcPr>
            <w:tcW w:w="0" w:type="auto"/>
            <w:gridSpan w:val="9"/>
            <w:shd w:val="clear" w:color="auto" w:fill="auto"/>
            <w:tcMar>
              <w:top w:w="40" w:type="dxa"/>
              <w:left w:w="20" w:type="dxa"/>
              <w:bottom w:w="40" w:type="dxa"/>
              <w:right w:w="20" w:type="dxa"/>
            </w:tcMar>
            <w:vAlign w:val="bottom"/>
          </w:tcPr>
          <w:p w14:paraId="74DD96C5" w14:textId="77777777" w:rsidR="00584EC1" w:rsidRDefault="00871F8D">
            <w:pPr>
              <w:jc w:val="center"/>
              <w:textAlignment w:val="bottom"/>
            </w:pPr>
            <w:r>
              <w:rPr>
                <w:rFonts w:ascii="Arial" w:eastAsia="宋体" w:hAnsi="Arial" w:cs="Arial"/>
                <w:b/>
                <w:bCs/>
                <w:color w:val="000000"/>
                <w:sz w:val="15"/>
                <w:szCs w:val="15"/>
              </w:rPr>
              <w:t> September 30, 2020</w:t>
            </w:r>
          </w:p>
        </w:tc>
      </w:tr>
      <w:tr w:rsidR="00584EC1" w14:paraId="74DD96CF" w14:textId="77777777">
        <w:tc>
          <w:tcPr>
            <w:tcW w:w="0" w:type="auto"/>
            <w:gridSpan w:val="3"/>
            <w:shd w:val="clear" w:color="auto" w:fill="auto"/>
            <w:tcMar>
              <w:top w:w="0" w:type="dxa"/>
              <w:left w:w="20" w:type="dxa"/>
              <w:bottom w:w="0" w:type="dxa"/>
              <w:right w:w="20" w:type="dxa"/>
            </w:tcMar>
            <w:vAlign w:val="bottom"/>
          </w:tcPr>
          <w:p w14:paraId="74DD96C7"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96C8" w14:textId="77777777" w:rsidR="00584EC1" w:rsidRDefault="00871F8D">
            <w:pPr>
              <w:jc w:val="center"/>
              <w:textAlignment w:val="bottom"/>
            </w:pPr>
            <w:r>
              <w:rPr>
                <w:rFonts w:ascii="Arial" w:eastAsia="宋体" w:hAnsi="Arial" w:cs="Arial"/>
                <w:b/>
                <w:bCs/>
                <w:color w:val="000000"/>
                <w:sz w:val="15"/>
                <w:szCs w:val="15"/>
              </w:rPr>
              <w:t>Fed Funds Target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6C9"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96CA" w14:textId="77777777" w:rsidR="00584EC1" w:rsidRDefault="00871F8D">
            <w:pPr>
              <w:jc w:val="center"/>
              <w:textAlignment w:val="bottom"/>
            </w:pPr>
            <w:r>
              <w:rPr>
                <w:rFonts w:ascii="Arial" w:eastAsia="宋体" w:hAnsi="Arial" w:cs="Arial"/>
                <w:b/>
                <w:bCs/>
                <w:color w:val="000000"/>
                <w:sz w:val="15"/>
                <w:szCs w:val="15"/>
              </w:rPr>
              <w:t>10-Year Treasury</w:t>
            </w:r>
          </w:p>
        </w:tc>
        <w:tc>
          <w:tcPr>
            <w:tcW w:w="0" w:type="auto"/>
            <w:gridSpan w:val="3"/>
            <w:shd w:val="clear" w:color="auto" w:fill="auto"/>
            <w:tcMar>
              <w:top w:w="0" w:type="dxa"/>
              <w:left w:w="20" w:type="dxa"/>
              <w:bottom w:w="0" w:type="dxa"/>
              <w:right w:w="20" w:type="dxa"/>
            </w:tcMar>
            <w:vAlign w:val="bottom"/>
          </w:tcPr>
          <w:p w14:paraId="74DD96CB"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96CC" w14:textId="77777777" w:rsidR="00584EC1" w:rsidRDefault="00871F8D">
            <w:pPr>
              <w:jc w:val="center"/>
              <w:textAlignment w:val="bottom"/>
            </w:pPr>
            <w:r>
              <w:rPr>
                <w:rFonts w:ascii="Arial" w:eastAsia="宋体" w:hAnsi="Arial" w:cs="Arial"/>
                <w:b/>
                <w:bCs/>
                <w:color w:val="000000"/>
                <w:sz w:val="15"/>
                <w:szCs w:val="15"/>
              </w:rPr>
              <w:t>Fed Funds Target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6CD"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96CE" w14:textId="77777777" w:rsidR="00584EC1" w:rsidRDefault="00871F8D">
            <w:pPr>
              <w:jc w:val="center"/>
              <w:textAlignment w:val="bottom"/>
            </w:pPr>
            <w:r>
              <w:rPr>
                <w:rFonts w:ascii="Arial" w:eastAsia="宋体" w:hAnsi="Arial" w:cs="Arial"/>
                <w:b/>
                <w:bCs/>
                <w:color w:val="000000"/>
                <w:sz w:val="15"/>
                <w:szCs w:val="15"/>
              </w:rPr>
              <w:t>10-Year Treasury</w:t>
            </w:r>
          </w:p>
        </w:tc>
      </w:tr>
      <w:tr w:rsidR="00584EC1" w14:paraId="74DD96DC" w14:textId="77777777">
        <w:tc>
          <w:tcPr>
            <w:tcW w:w="0" w:type="auto"/>
            <w:gridSpan w:val="3"/>
            <w:shd w:val="clear" w:color="auto" w:fill="CCEEFF"/>
            <w:tcMar>
              <w:top w:w="40" w:type="dxa"/>
              <w:left w:w="20" w:type="dxa"/>
              <w:bottom w:w="40" w:type="dxa"/>
              <w:right w:w="20" w:type="dxa"/>
            </w:tcMar>
            <w:vAlign w:val="bottom"/>
          </w:tcPr>
          <w:p w14:paraId="74DD96D0" w14:textId="77777777" w:rsidR="00584EC1" w:rsidRDefault="00871F8D">
            <w:pPr>
              <w:textAlignment w:val="bottom"/>
            </w:pPr>
            <w:r>
              <w:rPr>
                <w:rFonts w:ascii="Arial" w:eastAsia="宋体" w:hAnsi="Arial" w:cs="Arial"/>
                <w:color w:val="000000"/>
                <w:sz w:val="15"/>
                <w:szCs w:val="15"/>
              </w:rPr>
              <w:t>Spot rates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96D1" w14:textId="77777777" w:rsidR="00584EC1" w:rsidRDefault="00871F8D">
            <w:pPr>
              <w:jc w:val="right"/>
              <w:textAlignment w:val="bottom"/>
            </w:pPr>
            <w:r>
              <w:rPr>
                <w:rFonts w:ascii="Arial" w:eastAsia="宋体" w:hAnsi="Arial" w:cs="Arial"/>
                <w:b/>
                <w:bCs/>
                <w:color w:val="000000"/>
                <w:sz w:val="15"/>
                <w:szCs w:val="15"/>
              </w:rPr>
              <w:t>0.25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6D2" w14:textId="77777777" w:rsidR="00584EC1" w:rsidRDefault="00871F8D">
            <w:pPr>
              <w:jc w:val="right"/>
              <w:textAlignment w:val="bottom"/>
            </w:pPr>
            <w:r>
              <w:rPr>
                <w:rFonts w:ascii="Arial" w:eastAsia="宋体" w:hAnsi="Arial" w:cs="Arial"/>
                <w:b/>
                <w:bCs/>
                <w:color w:val="000000"/>
                <w:sz w:val="15"/>
                <w:szCs w:val="15"/>
              </w:rPr>
              <w:t>%</w:t>
            </w:r>
          </w:p>
        </w:tc>
        <w:tc>
          <w:tcPr>
            <w:tcW w:w="0" w:type="auto"/>
            <w:gridSpan w:val="3"/>
            <w:shd w:val="clear" w:color="auto" w:fill="CCEEFF"/>
            <w:tcMar>
              <w:top w:w="0" w:type="dxa"/>
              <w:left w:w="20" w:type="dxa"/>
              <w:bottom w:w="0" w:type="dxa"/>
              <w:right w:w="20" w:type="dxa"/>
            </w:tcMar>
            <w:vAlign w:val="bottom"/>
          </w:tcPr>
          <w:p w14:paraId="74DD96D3"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96D4" w14:textId="77777777" w:rsidR="00584EC1" w:rsidRDefault="00871F8D">
            <w:pPr>
              <w:jc w:val="right"/>
              <w:textAlignment w:val="bottom"/>
            </w:pPr>
            <w:r>
              <w:rPr>
                <w:rFonts w:ascii="Arial" w:eastAsia="宋体" w:hAnsi="Arial" w:cs="Arial"/>
                <w:b/>
                <w:bCs/>
                <w:color w:val="000000"/>
                <w:sz w:val="15"/>
                <w:szCs w:val="15"/>
              </w:rPr>
              <w:t>1.49</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6D5" w14:textId="77777777" w:rsidR="00584EC1" w:rsidRDefault="00871F8D">
            <w:pPr>
              <w:jc w:val="right"/>
              <w:textAlignment w:val="bottom"/>
            </w:pPr>
            <w:r>
              <w:rPr>
                <w:rFonts w:ascii="Arial" w:eastAsia="宋体" w:hAnsi="Arial" w:cs="Arial"/>
                <w:b/>
                <w:bCs/>
                <w:color w:val="000000"/>
                <w:sz w:val="15"/>
                <w:szCs w:val="15"/>
              </w:rPr>
              <w:t>%</w:t>
            </w:r>
          </w:p>
        </w:tc>
        <w:tc>
          <w:tcPr>
            <w:tcW w:w="0" w:type="auto"/>
            <w:gridSpan w:val="3"/>
            <w:shd w:val="clear" w:color="auto" w:fill="CCEEFF"/>
            <w:tcMar>
              <w:top w:w="0" w:type="dxa"/>
              <w:left w:w="20" w:type="dxa"/>
              <w:bottom w:w="0" w:type="dxa"/>
              <w:right w:w="20" w:type="dxa"/>
            </w:tcMar>
            <w:vAlign w:val="bottom"/>
          </w:tcPr>
          <w:p w14:paraId="74DD96D6"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96D7" w14:textId="77777777" w:rsidR="00584EC1" w:rsidRDefault="00871F8D">
            <w:pPr>
              <w:jc w:val="right"/>
              <w:textAlignment w:val="bottom"/>
            </w:pPr>
            <w:r>
              <w:rPr>
                <w:rFonts w:ascii="Arial" w:eastAsia="宋体" w:hAnsi="Arial" w:cs="Arial"/>
                <w:color w:val="000000"/>
                <w:sz w:val="15"/>
                <w:szCs w:val="15"/>
              </w:rPr>
              <w:t>0.25 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6D8" w14:textId="77777777" w:rsidR="00584EC1" w:rsidRDefault="00871F8D">
            <w:pPr>
              <w:jc w:val="right"/>
              <w:textAlignment w:val="bottom"/>
            </w:pPr>
            <w:r>
              <w:rPr>
                <w:rFonts w:ascii="Arial" w:eastAsia="宋体" w:hAnsi="Arial" w:cs="Arial"/>
                <w:color w:val="000000"/>
                <w:sz w:val="15"/>
                <w:szCs w:val="15"/>
              </w:rPr>
              <w:t>%</w:t>
            </w:r>
          </w:p>
        </w:tc>
        <w:tc>
          <w:tcPr>
            <w:tcW w:w="0" w:type="auto"/>
            <w:gridSpan w:val="3"/>
            <w:shd w:val="clear" w:color="auto" w:fill="CCEEFF"/>
            <w:tcMar>
              <w:top w:w="0" w:type="dxa"/>
              <w:left w:w="20" w:type="dxa"/>
              <w:bottom w:w="0" w:type="dxa"/>
              <w:right w:w="20" w:type="dxa"/>
            </w:tcMar>
            <w:vAlign w:val="bottom"/>
          </w:tcPr>
          <w:p w14:paraId="74DD96D9"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96DA" w14:textId="77777777" w:rsidR="00584EC1" w:rsidRDefault="00871F8D">
            <w:pPr>
              <w:jc w:val="right"/>
              <w:textAlignment w:val="bottom"/>
            </w:pPr>
            <w:r>
              <w:rPr>
                <w:rFonts w:ascii="Arial" w:eastAsia="宋体" w:hAnsi="Arial" w:cs="Arial"/>
                <w:color w:val="000000"/>
                <w:sz w:val="15"/>
                <w:szCs w:val="15"/>
              </w:rPr>
              <w:t>0.69 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6DB" w14:textId="77777777" w:rsidR="00584EC1" w:rsidRDefault="00871F8D">
            <w:pPr>
              <w:jc w:val="right"/>
              <w:textAlignment w:val="bottom"/>
            </w:pPr>
            <w:r>
              <w:rPr>
                <w:rFonts w:ascii="Arial" w:eastAsia="宋体" w:hAnsi="Arial" w:cs="Arial"/>
                <w:color w:val="000000"/>
                <w:sz w:val="15"/>
                <w:szCs w:val="15"/>
              </w:rPr>
              <w:t>%</w:t>
            </w:r>
          </w:p>
        </w:tc>
      </w:tr>
      <w:tr w:rsidR="00584EC1" w14:paraId="74DD96E9" w14:textId="77777777">
        <w:tc>
          <w:tcPr>
            <w:tcW w:w="0" w:type="auto"/>
            <w:gridSpan w:val="3"/>
            <w:shd w:val="clear" w:color="auto" w:fill="FFFFFF"/>
            <w:tcMar>
              <w:top w:w="40" w:type="dxa"/>
              <w:left w:w="20" w:type="dxa"/>
              <w:bottom w:w="40" w:type="dxa"/>
              <w:right w:w="20" w:type="dxa"/>
            </w:tcMar>
            <w:vAlign w:val="bottom"/>
          </w:tcPr>
          <w:p w14:paraId="74DD96DD" w14:textId="77777777" w:rsidR="00584EC1" w:rsidRDefault="00871F8D">
            <w:pPr>
              <w:textAlignment w:val="bottom"/>
            </w:pPr>
            <w:r>
              <w:rPr>
                <w:rFonts w:ascii="Arial" w:eastAsia="宋体" w:hAnsi="Arial" w:cs="Arial"/>
                <w:color w:val="000000"/>
                <w:sz w:val="15"/>
                <w:szCs w:val="15"/>
              </w:rPr>
              <w:t>12-month forward rates</w:t>
            </w:r>
          </w:p>
        </w:tc>
        <w:tc>
          <w:tcPr>
            <w:tcW w:w="0" w:type="auto"/>
            <w:gridSpan w:val="2"/>
            <w:shd w:val="clear" w:color="auto" w:fill="FFFFFF"/>
            <w:tcMar>
              <w:top w:w="40" w:type="dxa"/>
              <w:left w:w="20" w:type="dxa"/>
              <w:bottom w:w="40" w:type="dxa"/>
              <w:right w:w="0" w:type="dxa"/>
            </w:tcMar>
            <w:vAlign w:val="bottom"/>
          </w:tcPr>
          <w:p w14:paraId="74DD96DE" w14:textId="77777777" w:rsidR="00584EC1" w:rsidRDefault="00871F8D">
            <w:pPr>
              <w:jc w:val="right"/>
              <w:textAlignment w:val="bottom"/>
            </w:pPr>
            <w:r>
              <w:rPr>
                <w:rFonts w:ascii="Arial" w:eastAsia="宋体" w:hAnsi="Arial" w:cs="Arial"/>
                <w:b/>
                <w:bCs/>
                <w:color w:val="000000"/>
                <w:sz w:val="15"/>
                <w:szCs w:val="15"/>
              </w:rPr>
              <w:t>0.25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96D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6E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6E1" w14:textId="77777777" w:rsidR="00584EC1" w:rsidRDefault="00871F8D">
            <w:pPr>
              <w:jc w:val="right"/>
              <w:textAlignment w:val="bottom"/>
            </w:pPr>
            <w:r>
              <w:rPr>
                <w:rFonts w:ascii="Arial" w:eastAsia="宋体" w:hAnsi="Arial" w:cs="Arial"/>
                <w:b/>
                <w:bCs/>
                <w:color w:val="000000"/>
                <w:sz w:val="15"/>
                <w:szCs w:val="15"/>
              </w:rPr>
              <w:t>1.70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96E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6E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6E4" w14:textId="77777777" w:rsidR="00584EC1" w:rsidRDefault="00871F8D">
            <w:pPr>
              <w:jc w:val="right"/>
              <w:textAlignment w:val="bottom"/>
            </w:pPr>
            <w:r>
              <w:rPr>
                <w:rFonts w:ascii="Arial" w:eastAsia="宋体" w:hAnsi="Arial" w:cs="Arial"/>
                <w:color w:val="000000"/>
                <w:sz w:val="15"/>
                <w:szCs w:val="15"/>
              </w:rPr>
              <w:t>0.25 </w:t>
            </w:r>
          </w:p>
        </w:tc>
        <w:tc>
          <w:tcPr>
            <w:tcW w:w="0" w:type="auto"/>
            <w:shd w:val="clear" w:color="auto" w:fill="FFFFFF"/>
            <w:tcMar>
              <w:top w:w="40" w:type="dxa"/>
              <w:left w:w="0" w:type="dxa"/>
              <w:bottom w:w="40" w:type="dxa"/>
              <w:right w:w="20" w:type="dxa"/>
            </w:tcMar>
            <w:vAlign w:val="bottom"/>
          </w:tcPr>
          <w:p w14:paraId="74DD96E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6E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6E7" w14:textId="77777777" w:rsidR="00584EC1" w:rsidRDefault="00871F8D">
            <w:pPr>
              <w:jc w:val="right"/>
              <w:textAlignment w:val="bottom"/>
            </w:pPr>
            <w:r>
              <w:rPr>
                <w:rFonts w:ascii="Arial" w:eastAsia="宋体" w:hAnsi="Arial" w:cs="Arial"/>
                <w:color w:val="000000"/>
                <w:sz w:val="15"/>
                <w:szCs w:val="15"/>
              </w:rPr>
              <w:t>0.77 </w:t>
            </w:r>
          </w:p>
        </w:tc>
        <w:tc>
          <w:tcPr>
            <w:tcW w:w="0" w:type="auto"/>
            <w:shd w:val="clear" w:color="auto" w:fill="FFFFFF"/>
            <w:tcMar>
              <w:top w:w="40" w:type="dxa"/>
              <w:left w:w="0" w:type="dxa"/>
              <w:bottom w:w="40" w:type="dxa"/>
              <w:right w:w="20" w:type="dxa"/>
            </w:tcMar>
            <w:vAlign w:val="bottom"/>
          </w:tcPr>
          <w:p w14:paraId="74DD96E8" w14:textId="77777777" w:rsidR="00584EC1" w:rsidRDefault="00584EC1">
            <w:pPr>
              <w:jc w:val="right"/>
              <w:rPr>
                <w:rFonts w:ascii="宋体"/>
              </w:rPr>
            </w:pPr>
          </w:p>
        </w:tc>
      </w:tr>
    </w:tbl>
    <w:p w14:paraId="74DD96EA" w14:textId="77777777" w:rsidR="00584EC1" w:rsidRDefault="00871F8D">
      <w:pPr>
        <w:spacing w:before="60"/>
        <w:ind w:firstLine="450"/>
        <w:jc w:val="both"/>
      </w:pPr>
      <w:r>
        <w:rPr>
          <w:rFonts w:ascii="Arial" w:eastAsia="宋体" w:hAnsi="Arial" w:cs="Arial"/>
          <w:color w:val="000000"/>
          <w:sz w:val="20"/>
          <w:szCs w:val="20"/>
        </w:rPr>
        <w:t xml:space="preserve">In Table 33: Net Interest Income Sensitivity, we report the expected change in NII over the next twelve months from </w:t>
      </w:r>
      <w:r>
        <w:rPr>
          <w:rFonts w:ascii="Arial" w:eastAsia="宋体" w:hAnsi="Arial" w:cs="Arial"/>
          <w:color w:val="000000"/>
          <w:sz w:val="20"/>
          <w:szCs w:val="20"/>
        </w:rPr>
        <w:t xml:space="preserve">instantaneous shocks to various tenors on the yield curve, including the impacts from U.S. and non-U.S. rates. Each scenario assumes no management action is taken to mitigate the adverse effects of interest rate changes on our financial performance. While </w:t>
      </w:r>
      <w:r>
        <w:rPr>
          <w:rFonts w:ascii="Arial" w:eastAsia="宋体" w:hAnsi="Arial" w:cs="Arial"/>
          <w:color w:val="000000"/>
          <w:sz w:val="20"/>
          <w:szCs w:val="20"/>
        </w:rPr>
        <w:t>investment securities balances and composition can fluctuate with the level of rates as prepayment assumptions change, our deposit balances are assumed to remain consistent with the baseline.</w:t>
      </w:r>
    </w:p>
    <w:p w14:paraId="74DD96EB" w14:textId="77777777" w:rsidR="00584EC1" w:rsidRDefault="00871F8D">
      <w:pPr>
        <w:spacing w:before="60"/>
        <w:ind w:firstLine="450"/>
        <w:jc w:val="both"/>
      </w:pPr>
      <w:r>
        <w:rPr>
          <w:rFonts w:ascii="Arial" w:eastAsia="宋体" w:hAnsi="Arial" w:cs="Arial"/>
          <w:color w:val="000000"/>
          <w:sz w:val="20"/>
          <w:szCs w:val="20"/>
        </w:rPr>
        <w:t>Beginning with the December 31, 2020 reporting period, we enhanc</w:t>
      </w:r>
      <w:r>
        <w:rPr>
          <w:rFonts w:ascii="Arial" w:eastAsia="宋体" w:hAnsi="Arial" w:cs="Arial"/>
          <w:color w:val="000000"/>
          <w:sz w:val="20"/>
          <w:szCs w:val="20"/>
        </w:rPr>
        <w:t>ed our NII sensitivity methodology so that the full impact of rate shocks are realized for all currencies even if the result is negative interest rates. Prior to the December 31, 2020 reporting period, our results in lower rate scenarios were impacted by a</w:t>
      </w:r>
      <w:r>
        <w:rPr>
          <w:rFonts w:ascii="Arial" w:eastAsia="宋体" w:hAnsi="Arial" w:cs="Arial"/>
          <w:color w:val="000000"/>
          <w:sz w:val="20"/>
          <w:szCs w:val="20"/>
        </w:rPr>
        <w:t xml:space="preserve">n assumed floor at zero for certain currencies including U.S. dollar. For consistency in this disclosure, the September 30, 2020 reporting period is restated in the table below using enhanced modeling for negative rates. </w:t>
      </w:r>
    </w:p>
    <w:tbl>
      <w:tblPr>
        <w:tblW w:w="5000" w:type="pct"/>
        <w:tblCellMar>
          <w:top w:w="15" w:type="dxa"/>
          <w:left w:w="15" w:type="dxa"/>
          <w:bottom w:w="15" w:type="dxa"/>
          <w:right w:w="15" w:type="dxa"/>
        </w:tblCellMar>
        <w:tblLook w:val="04A0" w:firstRow="1" w:lastRow="0" w:firstColumn="1" w:lastColumn="0" w:noHBand="0" w:noVBand="1"/>
      </w:tblPr>
      <w:tblGrid>
        <w:gridCol w:w="37"/>
        <w:gridCol w:w="2264"/>
        <w:gridCol w:w="36"/>
        <w:gridCol w:w="105"/>
        <w:gridCol w:w="800"/>
        <w:gridCol w:w="37"/>
        <w:gridCol w:w="36"/>
        <w:gridCol w:w="36"/>
        <w:gridCol w:w="36"/>
        <w:gridCol w:w="105"/>
        <w:gridCol w:w="762"/>
        <w:gridCol w:w="36"/>
        <w:gridCol w:w="36"/>
        <w:gridCol w:w="36"/>
        <w:gridCol w:w="36"/>
        <w:gridCol w:w="105"/>
        <w:gridCol w:w="762"/>
        <w:gridCol w:w="36"/>
        <w:gridCol w:w="36"/>
        <w:gridCol w:w="36"/>
        <w:gridCol w:w="36"/>
        <w:gridCol w:w="105"/>
        <w:gridCol w:w="762"/>
        <w:gridCol w:w="37"/>
        <w:gridCol w:w="36"/>
        <w:gridCol w:w="36"/>
        <w:gridCol w:w="36"/>
        <w:gridCol w:w="105"/>
        <w:gridCol w:w="762"/>
        <w:gridCol w:w="36"/>
        <w:gridCol w:w="36"/>
        <w:gridCol w:w="36"/>
        <w:gridCol w:w="36"/>
        <w:gridCol w:w="104"/>
        <w:gridCol w:w="764"/>
        <w:gridCol w:w="36"/>
      </w:tblGrid>
      <w:tr w:rsidR="00584EC1" w14:paraId="74DD9710" w14:textId="77777777">
        <w:tc>
          <w:tcPr>
            <w:tcW w:w="50" w:type="pct"/>
            <w:shd w:val="clear" w:color="auto" w:fill="auto"/>
            <w:vAlign w:val="bottom"/>
          </w:tcPr>
          <w:p w14:paraId="74DD96EC" w14:textId="77777777" w:rsidR="00584EC1" w:rsidRDefault="00584EC1">
            <w:pPr>
              <w:rPr>
                <w:rFonts w:ascii="宋体"/>
              </w:rPr>
            </w:pPr>
          </w:p>
        </w:tc>
        <w:tc>
          <w:tcPr>
            <w:tcW w:w="1385" w:type="pct"/>
            <w:shd w:val="clear" w:color="auto" w:fill="auto"/>
            <w:vAlign w:val="bottom"/>
          </w:tcPr>
          <w:p w14:paraId="74DD96ED" w14:textId="77777777" w:rsidR="00584EC1" w:rsidRDefault="00584EC1">
            <w:pPr>
              <w:rPr>
                <w:rFonts w:ascii="宋体"/>
              </w:rPr>
            </w:pPr>
          </w:p>
        </w:tc>
        <w:tc>
          <w:tcPr>
            <w:tcW w:w="5" w:type="pct"/>
            <w:shd w:val="clear" w:color="auto" w:fill="auto"/>
            <w:vAlign w:val="bottom"/>
          </w:tcPr>
          <w:p w14:paraId="74DD96EE" w14:textId="77777777" w:rsidR="00584EC1" w:rsidRDefault="00584EC1">
            <w:pPr>
              <w:rPr>
                <w:rFonts w:ascii="宋体"/>
              </w:rPr>
            </w:pPr>
          </w:p>
        </w:tc>
        <w:tc>
          <w:tcPr>
            <w:tcW w:w="50" w:type="pct"/>
            <w:shd w:val="clear" w:color="auto" w:fill="auto"/>
            <w:vAlign w:val="bottom"/>
          </w:tcPr>
          <w:p w14:paraId="74DD96EF" w14:textId="77777777" w:rsidR="00584EC1" w:rsidRDefault="00584EC1">
            <w:pPr>
              <w:rPr>
                <w:rFonts w:ascii="宋体"/>
              </w:rPr>
            </w:pPr>
          </w:p>
        </w:tc>
        <w:tc>
          <w:tcPr>
            <w:tcW w:w="507" w:type="pct"/>
            <w:shd w:val="clear" w:color="auto" w:fill="auto"/>
            <w:vAlign w:val="bottom"/>
          </w:tcPr>
          <w:p w14:paraId="74DD96F0" w14:textId="77777777" w:rsidR="00584EC1" w:rsidRDefault="00584EC1">
            <w:pPr>
              <w:rPr>
                <w:rFonts w:ascii="宋体"/>
              </w:rPr>
            </w:pPr>
          </w:p>
        </w:tc>
        <w:tc>
          <w:tcPr>
            <w:tcW w:w="5" w:type="pct"/>
            <w:shd w:val="clear" w:color="auto" w:fill="auto"/>
            <w:vAlign w:val="bottom"/>
          </w:tcPr>
          <w:p w14:paraId="74DD96F1" w14:textId="77777777" w:rsidR="00584EC1" w:rsidRDefault="00584EC1">
            <w:pPr>
              <w:rPr>
                <w:rFonts w:ascii="宋体"/>
              </w:rPr>
            </w:pPr>
          </w:p>
        </w:tc>
        <w:tc>
          <w:tcPr>
            <w:tcW w:w="5" w:type="pct"/>
            <w:shd w:val="clear" w:color="auto" w:fill="auto"/>
            <w:vAlign w:val="bottom"/>
          </w:tcPr>
          <w:p w14:paraId="74DD96F2" w14:textId="77777777" w:rsidR="00584EC1" w:rsidRDefault="00584EC1">
            <w:pPr>
              <w:rPr>
                <w:rFonts w:ascii="宋体"/>
              </w:rPr>
            </w:pPr>
          </w:p>
        </w:tc>
        <w:tc>
          <w:tcPr>
            <w:tcW w:w="26" w:type="pct"/>
            <w:shd w:val="clear" w:color="auto" w:fill="auto"/>
            <w:vAlign w:val="bottom"/>
          </w:tcPr>
          <w:p w14:paraId="74DD96F3" w14:textId="77777777" w:rsidR="00584EC1" w:rsidRDefault="00584EC1">
            <w:pPr>
              <w:rPr>
                <w:rFonts w:ascii="宋体"/>
              </w:rPr>
            </w:pPr>
          </w:p>
        </w:tc>
        <w:tc>
          <w:tcPr>
            <w:tcW w:w="5" w:type="pct"/>
            <w:shd w:val="clear" w:color="auto" w:fill="auto"/>
            <w:vAlign w:val="bottom"/>
          </w:tcPr>
          <w:p w14:paraId="74DD96F4" w14:textId="77777777" w:rsidR="00584EC1" w:rsidRDefault="00584EC1">
            <w:pPr>
              <w:rPr>
                <w:rFonts w:ascii="宋体"/>
              </w:rPr>
            </w:pPr>
          </w:p>
        </w:tc>
        <w:tc>
          <w:tcPr>
            <w:tcW w:w="50" w:type="pct"/>
            <w:shd w:val="clear" w:color="auto" w:fill="auto"/>
            <w:vAlign w:val="bottom"/>
          </w:tcPr>
          <w:p w14:paraId="74DD96F5" w14:textId="77777777" w:rsidR="00584EC1" w:rsidRDefault="00584EC1">
            <w:pPr>
              <w:rPr>
                <w:rFonts w:ascii="宋体"/>
              </w:rPr>
            </w:pPr>
          </w:p>
        </w:tc>
        <w:tc>
          <w:tcPr>
            <w:tcW w:w="507" w:type="pct"/>
            <w:shd w:val="clear" w:color="auto" w:fill="auto"/>
            <w:vAlign w:val="bottom"/>
          </w:tcPr>
          <w:p w14:paraId="74DD96F6" w14:textId="77777777" w:rsidR="00584EC1" w:rsidRDefault="00584EC1">
            <w:pPr>
              <w:rPr>
                <w:rFonts w:ascii="宋体"/>
              </w:rPr>
            </w:pPr>
          </w:p>
        </w:tc>
        <w:tc>
          <w:tcPr>
            <w:tcW w:w="5" w:type="pct"/>
            <w:shd w:val="clear" w:color="auto" w:fill="auto"/>
            <w:vAlign w:val="bottom"/>
          </w:tcPr>
          <w:p w14:paraId="74DD96F7" w14:textId="77777777" w:rsidR="00584EC1" w:rsidRDefault="00584EC1">
            <w:pPr>
              <w:rPr>
                <w:rFonts w:ascii="宋体"/>
              </w:rPr>
            </w:pPr>
          </w:p>
        </w:tc>
        <w:tc>
          <w:tcPr>
            <w:tcW w:w="5" w:type="pct"/>
            <w:shd w:val="clear" w:color="auto" w:fill="auto"/>
            <w:vAlign w:val="bottom"/>
          </w:tcPr>
          <w:p w14:paraId="74DD96F8" w14:textId="77777777" w:rsidR="00584EC1" w:rsidRDefault="00584EC1">
            <w:pPr>
              <w:rPr>
                <w:rFonts w:ascii="宋体"/>
              </w:rPr>
            </w:pPr>
          </w:p>
        </w:tc>
        <w:tc>
          <w:tcPr>
            <w:tcW w:w="26" w:type="pct"/>
            <w:shd w:val="clear" w:color="auto" w:fill="auto"/>
            <w:vAlign w:val="bottom"/>
          </w:tcPr>
          <w:p w14:paraId="74DD96F9" w14:textId="77777777" w:rsidR="00584EC1" w:rsidRDefault="00584EC1">
            <w:pPr>
              <w:rPr>
                <w:rFonts w:ascii="宋体"/>
              </w:rPr>
            </w:pPr>
          </w:p>
        </w:tc>
        <w:tc>
          <w:tcPr>
            <w:tcW w:w="5" w:type="pct"/>
            <w:shd w:val="clear" w:color="auto" w:fill="auto"/>
            <w:vAlign w:val="bottom"/>
          </w:tcPr>
          <w:p w14:paraId="74DD96FA" w14:textId="77777777" w:rsidR="00584EC1" w:rsidRDefault="00584EC1">
            <w:pPr>
              <w:rPr>
                <w:rFonts w:ascii="宋体"/>
              </w:rPr>
            </w:pPr>
          </w:p>
        </w:tc>
        <w:tc>
          <w:tcPr>
            <w:tcW w:w="50" w:type="pct"/>
            <w:shd w:val="clear" w:color="auto" w:fill="auto"/>
            <w:vAlign w:val="bottom"/>
          </w:tcPr>
          <w:p w14:paraId="74DD96FB" w14:textId="77777777" w:rsidR="00584EC1" w:rsidRDefault="00584EC1">
            <w:pPr>
              <w:rPr>
                <w:rFonts w:ascii="宋体"/>
              </w:rPr>
            </w:pPr>
          </w:p>
        </w:tc>
        <w:tc>
          <w:tcPr>
            <w:tcW w:w="507" w:type="pct"/>
            <w:shd w:val="clear" w:color="auto" w:fill="auto"/>
            <w:vAlign w:val="bottom"/>
          </w:tcPr>
          <w:p w14:paraId="74DD96FC" w14:textId="77777777" w:rsidR="00584EC1" w:rsidRDefault="00584EC1">
            <w:pPr>
              <w:rPr>
                <w:rFonts w:ascii="宋体"/>
              </w:rPr>
            </w:pPr>
          </w:p>
        </w:tc>
        <w:tc>
          <w:tcPr>
            <w:tcW w:w="5" w:type="pct"/>
            <w:shd w:val="clear" w:color="auto" w:fill="auto"/>
            <w:vAlign w:val="bottom"/>
          </w:tcPr>
          <w:p w14:paraId="74DD96FD" w14:textId="77777777" w:rsidR="00584EC1" w:rsidRDefault="00584EC1">
            <w:pPr>
              <w:rPr>
                <w:rFonts w:ascii="宋体"/>
              </w:rPr>
            </w:pPr>
          </w:p>
        </w:tc>
        <w:tc>
          <w:tcPr>
            <w:tcW w:w="5" w:type="pct"/>
            <w:shd w:val="clear" w:color="auto" w:fill="auto"/>
            <w:vAlign w:val="bottom"/>
          </w:tcPr>
          <w:p w14:paraId="74DD96FE" w14:textId="77777777" w:rsidR="00584EC1" w:rsidRDefault="00584EC1">
            <w:pPr>
              <w:rPr>
                <w:rFonts w:ascii="宋体"/>
              </w:rPr>
            </w:pPr>
          </w:p>
        </w:tc>
        <w:tc>
          <w:tcPr>
            <w:tcW w:w="26" w:type="pct"/>
            <w:shd w:val="clear" w:color="auto" w:fill="auto"/>
            <w:vAlign w:val="bottom"/>
          </w:tcPr>
          <w:p w14:paraId="74DD96FF" w14:textId="77777777" w:rsidR="00584EC1" w:rsidRDefault="00584EC1">
            <w:pPr>
              <w:rPr>
                <w:rFonts w:ascii="宋体"/>
              </w:rPr>
            </w:pPr>
          </w:p>
        </w:tc>
        <w:tc>
          <w:tcPr>
            <w:tcW w:w="5" w:type="pct"/>
            <w:shd w:val="clear" w:color="auto" w:fill="auto"/>
            <w:vAlign w:val="bottom"/>
          </w:tcPr>
          <w:p w14:paraId="74DD9700" w14:textId="77777777" w:rsidR="00584EC1" w:rsidRDefault="00584EC1">
            <w:pPr>
              <w:rPr>
                <w:rFonts w:ascii="宋体"/>
              </w:rPr>
            </w:pPr>
          </w:p>
        </w:tc>
        <w:tc>
          <w:tcPr>
            <w:tcW w:w="50" w:type="pct"/>
            <w:shd w:val="clear" w:color="auto" w:fill="auto"/>
            <w:vAlign w:val="bottom"/>
          </w:tcPr>
          <w:p w14:paraId="74DD9701" w14:textId="77777777" w:rsidR="00584EC1" w:rsidRDefault="00584EC1">
            <w:pPr>
              <w:rPr>
                <w:rFonts w:ascii="宋体"/>
              </w:rPr>
            </w:pPr>
          </w:p>
        </w:tc>
        <w:tc>
          <w:tcPr>
            <w:tcW w:w="507" w:type="pct"/>
            <w:shd w:val="clear" w:color="auto" w:fill="auto"/>
            <w:vAlign w:val="bottom"/>
          </w:tcPr>
          <w:p w14:paraId="74DD9702" w14:textId="77777777" w:rsidR="00584EC1" w:rsidRDefault="00584EC1">
            <w:pPr>
              <w:rPr>
                <w:rFonts w:ascii="宋体"/>
              </w:rPr>
            </w:pPr>
          </w:p>
        </w:tc>
        <w:tc>
          <w:tcPr>
            <w:tcW w:w="5" w:type="pct"/>
            <w:shd w:val="clear" w:color="auto" w:fill="auto"/>
            <w:vAlign w:val="bottom"/>
          </w:tcPr>
          <w:p w14:paraId="74DD9703" w14:textId="77777777" w:rsidR="00584EC1" w:rsidRDefault="00584EC1">
            <w:pPr>
              <w:rPr>
                <w:rFonts w:ascii="宋体"/>
              </w:rPr>
            </w:pPr>
          </w:p>
        </w:tc>
        <w:tc>
          <w:tcPr>
            <w:tcW w:w="5" w:type="pct"/>
            <w:shd w:val="clear" w:color="auto" w:fill="auto"/>
            <w:vAlign w:val="bottom"/>
          </w:tcPr>
          <w:p w14:paraId="74DD9704" w14:textId="77777777" w:rsidR="00584EC1" w:rsidRDefault="00584EC1">
            <w:pPr>
              <w:rPr>
                <w:rFonts w:ascii="宋体"/>
              </w:rPr>
            </w:pPr>
          </w:p>
        </w:tc>
        <w:tc>
          <w:tcPr>
            <w:tcW w:w="26" w:type="pct"/>
            <w:shd w:val="clear" w:color="auto" w:fill="auto"/>
            <w:vAlign w:val="bottom"/>
          </w:tcPr>
          <w:p w14:paraId="74DD9705" w14:textId="77777777" w:rsidR="00584EC1" w:rsidRDefault="00584EC1">
            <w:pPr>
              <w:rPr>
                <w:rFonts w:ascii="宋体"/>
              </w:rPr>
            </w:pPr>
          </w:p>
        </w:tc>
        <w:tc>
          <w:tcPr>
            <w:tcW w:w="5" w:type="pct"/>
            <w:shd w:val="clear" w:color="auto" w:fill="auto"/>
            <w:vAlign w:val="bottom"/>
          </w:tcPr>
          <w:p w14:paraId="74DD9706" w14:textId="77777777" w:rsidR="00584EC1" w:rsidRDefault="00584EC1">
            <w:pPr>
              <w:rPr>
                <w:rFonts w:ascii="宋体"/>
              </w:rPr>
            </w:pPr>
          </w:p>
        </w:tc>
        <w:tc>
          <w:tcPr>
            <w:tcW w:w="50" w:type="pct"/>
            <w:shd w:val="clear" w:color="auto" w:fill="auto"/>
            <w:vAlign w:val="bottom"/>
          </w:tcPr>
          <w:p w14:paraId="74DD9707" w14:textId="77777777" w:rsidR="00584EC1" w:rsidRDefault="00584EC1">
            <w:pPr>
              <w:rPr>
                <w:rFonts w:ascii="宋体"/>
              </w:rPr>
            </w:pPr>
          </w:p>
        </w:tc>
        <w:tc>
          <w:tcPr>
            <w:tcW w:w="507" w:type="pct"/>
            <w:shd w:val="clear" w:color="auto" w:fill="auto"/>
            <w:vAlign w:val="bottom"/>
          </w:tcPr>
          <w:p w14:paraId="74DD9708" w14:textId="77777777" w:rsidR="00584EC1" w:rsidRDefault="00584EC1">
            <w:pPr>
              <w:rPr>
                <w:rFonts w:ascii="宋体"/>
              </w:rPr>
            </w:pPr>
          </w:p>
        </w:tc>
        <w:tc>
          <w:tcPr>
            <w:tcW w:w="5" w:type="pct"/>
            <w:shd w:val="clear" w:color="auto" w:fill="auto"/>
            <w:vAlign w:val="bottom"/>
          </w:tcPr>
          <w:p w14:paraId="74DD9709" w14:textId="77777777" w:rsidR="00584EC1" w:rsidRDefault="00584EC1">
            <w:pPr>
              <w:rPr>
                <w:rFonts w:ascii="宋体"/>
              </w:rPr>
            </w:pPr>
          </w:p>
        </w:tc>
        <w:tc>
          <w:tcPr>
            <w:tcW w:w="5" w:type="pct"/>
            <w:shd w:val="clear" w:color="auto" w:fill="auto"/>
            <w:vAlign w:val="bottom"/>
          </w:tcPr>
          <w:p w14:paraId="74DD970A" w14:textId="77777777" w:rsidR="00584EC1" w:rsidRDefault="00584EC1">
            <w:pPr>
              <w:rPr>
                <w:rFonts w:ascii="宋体"/>
              </w:rPr>
            </w:pPr>
          </w:p>
        </w:tc>
        <w:tc>
          <w:tcPr>
            <w:tcW w:w="26" w:type="pct"/>
            <w:shd w:val="clear" w:color="auto" w:fill="auto"/>
            <w:vAlign w:val="bottom"/>
          </w:tcPr>
          <w:p w14:paraId="74DD970B" w14:textId="77777777" w:rsidR="00584EC1" w:rsidRDefault="00584EC1">
            <w:pPr>
              <w:rPr>
                <w:rFonts w:ascii="宋体"/>
              </w:rPr>
            </w:pPr>
          </w:p>
        </w:tc>
        <w:tc>
          <w:tcPr>
            <w:tcW w:w="5" w:type="pct"/>
            <w:shd w:val="clear" w:color="auto" w:fill="auto"/>
            <w:vAlign w:val="bottom"/>
          </w:tcPr>
          <w:p w14:paraId="74DD970C" w14:textId="77777777" w:rsidR="00584EC1" w:rsidRDefault="00584EC1">
            <w:pPr>
              <w:rPr>
                <w:rFonts w:ascii="宋体"/>
              </w:rPr>
            </w:pPr>
          </w:p>
        </w:tc>
        <w:tc>
          <w:tcPr>
            <w:tcW w:w="50" w:type="pct"/>
            <w:shd w:val="clear" w:color="auto" w:fill="auto"/>
            <w:vAlign w:val="bottom"/>
          </w:tcPr>
          <w:p w14:paraId="74DD970D" w14:textId="77777777" w:rsidR="00584EC1" w:rsidRDefault="00584EC1">
            <w:pPr>
              <w:rPr>
                <w:rFonts w:ascii="宋体"/>
              </w:rPr>
            </w:pPr>
          </w:p>
        </w:tc>
        <w:tc>
          <w:tcPr>
            <w:tcW w:w="508" w:type="pct"/>
            <w:shd w:val="clear" w:color="auto" w:fill="auto"/>
            <w:vAlign w:val="bottom"/>
          </w:tcPr>
          <w:p w14:paraId="74DD970E" w14:textId="77777777" w:rsidR="00584EC1" w:rsidRDefault="00584EC1">
            <w:pPr>
              <w:rPr>
                <w:rFonts w:ascii="宋体"/>
              </w:rPr>
            </w:pPr>
          </w:p>
        </w:tc>
        <w:tc>
          <w:tcPr>
            <w:tcW w:w="5" w:type="pct"/>
            <w:shd w:val="clear" w:color="auto" w:fill="auto"/>
            <w:vAlign w:val="bottom"/>
          </w:tcPr>
          <w:p w14:paraId="74DD970F" w14:textId="77777777" w:rsidR="00584EC1" w:rsidRDefault="00584EC1">
            <w:pPr>
              <w:rPr>
                <w:rFonts w:ascii="宋体"/>
              </w:rPr>
            </w:pPr>
          </w:p>
        </w:tc>
      </w:tr>
      <w:tr w:rsidR="00584EC1" w14:paraId="74DD9712" w14:textId="77777777">
        <w:tc>
          <w:tcPr>
            <w:tcW w:w="0" w:type="auto"/>
            <w:gridSpan w:val="36"/>
            <w:shd w:val="clear" w:color="auto" w:fill="auto"/>
            <w:tcMar>
              <w:top w:w="40" w:type="dxa"/>
              <w:left w:w="20" w:type="dxa"/>
              <w:bottom w:w="40" w:type="dxa"/>
              <w:right w:w="20" w:type="dxa"/>
            </w:tcMar>
            <w:vAlign w:val="bottom"/>
          </w:tcPr>
          <w:p w14:paraId="74DD9711" w14:textId="77777777" w:rsidR="00584EC1" w:rsidRDefault="00871F8D">
            <w:pPr>
              <w:textAlignment w:val="bottom"/>
            </w:pPr>
            <w:r>
              <w:rPr>
                <w:rFonts w:ascii="Arial" w:eastAsia="宋体" w:hAnsi="Arial" w:cs="Arial"/>
                <w:b/>
                <w:bCs/>
                <w:color w:val="000000"/>
                <w:sz w:val="16"/>
                <w:szCs w:val="16"/>
              </w:rPr>
              <w:t>TABLE 33: NET INTEREST INCOME SENSITIVITY</w:t>
            </w:r>
          </w:p>
        </w:tc>
      </w:tr>
      <w:tr w:rsidR="00584EC1" w14:paraId="74DD9717" w14:textId="77777777">
        <w:tc>
          <w:tcPr>
            <w:tcW w:w="0" w:type="auto"/>
            <w:gridSpan w:val="3"/>
            <w:shd w:val="clear" w:color="auto" w:fill="auto"/>
            <w:tcMar>
              <w:top w:w="0" w:type="dxa"/>
              <w:left w:w="20" w:type="dxa"/>
              <w:bottom w:w="0" w:type="dxa"/>
              <w:right w:w="20" w:type="dxa"/>
            </w:tcMar>
            <w:vAlign w:val="bottom"/>
          </w:tcPr>
          <w:p w14:paraId="74DD9713" w14:textId="77777777" w:rsidR="00584EC1" w:rsidRDefault="00584EC1">
            <w:pPr>
              <w:rPr>
                <w:rFonts w:ascii="宋体"/>
              </w:rPr>
            </w:pPr>
          </w:p>
        </w:tc>
        <w:tc>
          <w:tcPr>
            <w:tcW w:w="0" w:type="auto"/>
            <w:gridSpan w:val="15"/>
            <w:shd w:val="clear" w:color="auto" w:fill="auto"/>
            <w:tcMar>
              <w:top w:w="40" w:type="dxa"/>
              <w:left w:w="20" w:type="dxa"/>
              <w:bottom w:w="40" w:type="dxa"/>
              <w:right w:w="20" w:type="dxa"/>
            </w:tcMar>
            <w:vAlign w:val="bottom"/>
          </w:tcPr>
          <w:p w14:paraId="74DD9714" w14:textId="77777777" w:rsidR="00584EC1" w:rsidRDefault="00871F8D">
            <w:pPr>
              <w:jc w:val="center"/>
              <w:textAlignment w:val="bottom"/>
            </w:pPr>
            <w:r>
              <w:rPr>
                <w:rFonts w:ascii="Arial" w:eastAsia="宋体" w:hAnsi="Arial" w:cs="Arial"/>
                <w:b/>
                <w:bCs/>
                <w:color w:val="000000"/>
                <w:sz w:val="15"/>
                <w:szCs w:val="15"/>
              </w:rPr>
              <w:t>September 30, 2021</w:t>
            </w:r>
          </w:p>
        </w:tc>
        <w:tc>
          <w:tcPr>
            <w:tcW w:w="0" w:type="auto"/>
            <w:gridSpan w:val="3"/>
            <w:shd w:val="clear" w:color="auto" w:fill="auto"/>
            <w:tcMar>
              <w:top w:w="0" w:type="dxa"/>
              <w:left w:w="20" w:type="dxa"/>
              <w:bottom w:w="0" w:type="dxa"/>
              <w:right w:w="20" w:type="dxa"/>
            </w:tcMar>
            <w:vAlign w:val="bottom"/>
          </w:tcPr>
          <w:p w14:paraId="74DD9715" w14:textId="77777777" w:rsidR="00584EC1" w:rsidRDefault="00584EC1">
            <w:pPr>
              <w:rPr>
                <w:rFonts w:ascii="宋体"/>
              </w:rPr>
            </w:pPr>
          </w:p>
        </w:tc>
        <w:tc>
          <w:tcPr>
            <w:tcW w:w="0" w:type="auto"/>
            <w:gridSpan w:val="15"/>
            <w:shd w:val="clear" w:color="auto" w:fill="auto"/>
            <w:tcMar>
              <w:top w:w="40" w:type="dxa"/>
              <w:left w:w="20" w:type="dxa"/>
              <w:bottom w:w="40" w:type="dxa"/>
              <w:right w:w="20" w:type="dxa"/>
            </w:tcMar>
            <w:vAlign w:val="bottom"/>
          </w:tcPr>
          <w:p w14:paraId="74DD9716" w14:textId="77777777" w:rsidR="00584EC1" w:rsidRDefault="00871F8D">
            <w:pPr>
              <w:jc w:val="center"/>
              <w:textAlignment w:val="bottom"/>
            </w:pPr>
            <w:r>
              <w:rPr>
                <w:rFonts w:ascii="Arial" w:eastAsia="宋体" w:hAnsi="Arial" w:cs="Arial"/>
                <w:b/>
                <w:bCs/>
                <w:color w:val="000000"/>
                <w:sz w:val="15"/>
                <w:szCs w:val="15"/>
              </w:rPr>
              <w:t>September 30, 2020</w:t>
            </w:r>
            <w:r>
              <w:rPr>
                <w:rFonts w:ascii="Arial" w:eastAsia="宋体" w:hAnsi="Arial" w:cs="Arial"/>
                <w:b/>
                <w:bCs/>
                <w:color w:val="000000"/>
                <w:sz w:val="9"/>
                <w:szCs w:val="9"/>
              </w:rPr>
              <w:t>(1)</w:t>
            </w:r>
          </w:p>
        </w:tc>
      </w:tr>
      <w:tr w:rsidR="00584EC1" w14:paraId="74DD9724" w14:textId="77777777">
        <w:tc>
          <w:tcPr>
            <w:tcW w:w="0" w:type="auto"/>
            <w:gridSpan w:val="3"/>
            <w:shd w:val="clear" w:color="auto" w:fill="auto"/>
            <w:tcMar>
              <w:top w:w="40" w:type="dxa"/>
              <w:left w:w="20" w:type="dxa"/>
              <w:bottom w:w="40" w:type="dxa"/>
              <w:right w:w="20" w:type="dxa"/>
            </w:tcMar>
            <w:vAlign w:val="bottom"/>
          </w:tcPr>
          <w:p w14:paraId="74DD9718" w14:textId="77777777" w:rsidR="00584EC1" w:rsidRDefault="00871F8D">
            <w:pPr>
              <w:textAlignment w:val="bottom"/>
            </w:pPr>
            <w:r>
              <w:rPr>
                <w:rFonts w:ascii="Arial" w:eastAsia="宋体" w:hAnsi="Arial" w:cs="Arial"/>
                <w:b/>
                <w:bCs/>
                <w:color w:val="000000"/>
                <w:sz w:val="15"/>
                <w:szCs w:val="15"/>
              </w:rPr>
              <w:t xml:space="preserve">(In </w:t>
            </w:r>
            <w:r>
              <w:rPr>
                <w:rFonts w:ascii="Arial" w:eastAsia="宋体" w:hAnsi="Arial" w:cs="Arial"/>
                <w:b/>
                <w:bCs/>
                <w:color w:val="000000"/>
                <w:sz w:val="15"/>
                <w:szCs w:val="15"/>
              </w:rPr>
              <w:t>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9719" w14:textId="77777777" w:rsidR="00584EC1" w:rsidRDefault="00871F8D">
            <w:pPr>
              <w:jc w:val="center"/>
              <w:textAlignment w:val="bottom"/>
            </w:pPr>
            <w:r>
              <w:rPr>
                <w:rFonts w:ascii="Arial" w:eastAsia="宋体" w:hAnsi="Arial" w:cs="Arial"/>
                <w:b/>
                <w:bCs/>
                <w:color w:val="000000"/>
                <w:sz w:val="15"/>
                <w:szCs w:val="15"/>
              </w:rPr>
              <w:t>U.S. Dollar</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74DD971A" w14:textId="77777777" w:rsidR="00584EC1" w:rsidRDefault="00584EC1">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4DD971B" w14:textId="77777777" w:rsidR="00584EC1" w:rsidRDefault="00871F8D">
            <w:pPr>
              <w:jc w:val="center"/>
              <w:textAlignment w:val="bottom"/>
            </w:pPr>
            <w:r>
              <w:rPr>
                <w:rFonts w:ascii="Arial" w:eastAsia="宋体" w:hAnsi="Arial" w:cs="Arial"/>
                <w:b/>
                <w:bCs/>
                <w:color w:val="000000"/>
                <w:sz w:val="15"/>
                <w:szCs w:val="15"/>
              </w:rPr>
              <w:t>All Other Currencies</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74DD971C" w14:textId="77777777" w:rsidR="00584EC1" w:rsidRDefault="00584EC1">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4DD971D" w14:textId="77777777" w:rsidR="00584EC1" w:rsidRDefault="00871F8D">
            <w:pPr>
              <w:jc w:val="center"/>
              <w:textAlignment w:val="bottom"/>
            </w:pPr>
            <w:r>
              <w:rPr>
                <w:rFonts w:ascii="Arial" w:eastAsia="宋体" w:hAnsi="Arial" w:cs="Arial"/>
                <w:b/>
                <w:bCs/>
                <w:color w:val="000000"/>
                <w:sz w:val="15"/>
                <w:szCs w:val="15"/>
              </w:rPr>
              <w:t>Total</w:t>
            </w:r>
          </w:p>
        </w:tc>
        <w:tc>
          <w:tcPr>
            <w:tcW w:w="0" w:type="auto"/>
            <w:gridSpan w:val="3"/>
            <w:shd w:val="clear" w:color="auto" w:fill="auto"/>
            <w:tcMar>
              <w:top w:w="0" w:type="dxa"/>
              <w:left w:w="20" w:type="dxa"/>
              <w:bottom w:w="0" w:type="dxa"/>
              <w:right w:w="20" w:type="dxa"/>
            </w:tcMar>
            <w:vAlign w:val="bottom"/>
          </w:tcPr>
          <w:p w14:paraId="74DD971E"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971F" w14:textId="77777777" w:rsidR="00584EC1" w:rsidRDefault="00871F8D">
            <w:pPr>
              <w:jc w:val="center"/>
              <w:textAlignment w:val="bottom"/>
            </w:pPr>
            <w:r>
              <w:rPr>
                <w:rFonts w:ascii="Arial" w:eastAsia="宋体" w:hAnsi="Arial" w:cs="Arial"/>
                <w:b/>
                <w:bCs/>
                <w:color w:val="000000"/>
                <w:sz w:val="15"/>
                <w:szCs w:val="15"/>
              </w:rPr>
              <w:t>U.S. Dollar</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74DD9720" w14:textId="77777777" w:rsidR="00584EC1" w:rsidRDefault="00584EC1">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4DD9721" w14:textId="77777777" w:rsidR="00584EC1" w:rsidRDefault="00871F8D">
            <w:pPr>
              <w:jc w:val="center"/>
              <w:textAlignment w:val="bottom"/>
            </w:pPr>
            <w:r>
              <w:rPr>
                <w:rFonts w:ascii="Arial" w:eastAsia="宋体" w:hAnsi="Arial" w:cs="Arial"/>
                <w:b/>
                <w:bCs/>
                <w:color w:val="000000"/>
                <w:sz w:val="15"/>
                <w:szCs w:val="15"/>
              </w:rPr>
              <w:t>All Other Currencies</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74DD9722" w14:textId="77777777" w:rsidR="00584EC1" w:rsidRDefault="00584EC1">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4DD9723" w14:textId="77777777" w:rsidR="00584EC1" w:rsidRDefault="00871F8D">
            <w:pPr>
              <w:jc w:val="center"/>
              <w:textAlignment w:val="bottom"/>
            </w:pPr>
            <w:r>
              <w:rPr>
                <w:rFonts w:ascii="Arial" w:eastAsia="宋体" w:hAnsi="Arial" w:cs="Arial"/>
                <w:b/>
                <w:bCs/>
                <w:color w:val="000000"/>
                <w:sz w:val="15"/>
                <w:szCs w:val="15"/>
              </w:rPr>
              <w:t>Total</w:t>
            </w:r>
          </w:p>
        </w:tc>
      </w:tr>
      <w:tr w:rsidR="00584EC1" w14:paraId="74DD9729" w14:textId="77777777">
        <w:tc>
          <w:tcPr>
            <w:tcW w:w="0" w:type="auto"/>
            <w:gridSpan w:val="3"/>
            <w:shd w:val="clear" w:color="auto" w:fill="auto"/>
            <w:tcMar>
              <w:top w:w="40" w:type="dxa"/>
              <w:left w:w="20" w:type="dxa"/>
              <w:bottom w:w="40" w:type="dxa"/>
              <w:right w:w="20" w:type="dxa"/>
            </w:tcMar>
            <w:vAlign w:val="bottom"/>
          </w:tcPr>
          <w:p w14:paraId="74DD9725" w14:textId="77777777" w:rsidR="00584EC1" w:rsidRDefault="00871F8D">
            <w:pPr>
              <w:textAlignment w:val="bottom"/>
            </w:pPr>
            <w:r>
              <w:rPr>
                <w:rFonts w:ascii="Arial" w:eastAsia="宋体" w:hAnsi="Arial" w:cs="Arial"/>
                <w:color w:val="000000"/>
                <w:sz w:val="15"/>
                <w:szCs w:val="15"/>
              </w:rPr>
              <w:t>Rate change:</w:t>
            </w: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4DD9726" w14:textId="77777777" w:rsidR="00584EC1" w:rsidRDefault="00871F8D">
            <w:pPr>
              <w:jc w:val="center"/>
              <w:textAlignment w:val="bottom"/>
            </w:pPr>
            <w:r>
              <w:rPr>
                <w:rFonts w:ascii="Arial" w:eastAsia="宋体" w:hAnsi="Arial" w:cs="Arial"/>
                <w:b/>
                <w:bCs/>
                <w:color w:val="000000"/>
                <w:sz w:val="15"/>
                <w:szCs w:val="15"/>
              </w:rPr>
              <w:t>Benefit (Exposure)</w:t>
            </w:r>
          </w:p>
        </w:tc>
        <w:tc>
          <w:tcPr>
            <w:tcW w:w="0" w:type="auto"/>
            <w:gridSpan w:val="3"/>
            <w:shd w:val="clear" w:color="auto" w:fill="auto"/>
            <w:tcMar>
              <w:top w:w="0" w:type="dxa"/>
              <w:left w:w="20" w:type="dxa"/>
              <w:bottom w:w="0" w:type="dxa"/>
              <w:right w:w="20" w:type="dxa"/>
            </w:tcMar>
            <w:vAlign w:val="bottom"/>
          </w:tcPr>
          <w:p w14:paraId="74DD9727" w14:textId="77777777" w:rsidR="00584EC1" w:rsidRDefault="00584EC1">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4DD9728" w14:textId="77777777" w:rsidR="00584EC1" w:rsidRDefault="00871F8D">
            <w:pPr>
              <w:jc w:val="center"/>
              <w:textAlignment w:val="bottom"/>
            </w:pPr>
            <w:r>
              <w:rPr>
                <w:rFonts w:ascii="Arial" w:eastAsia="宋体" w:hAnsi="Arial" w:cs="Arial"/>
                <w:b/>
                <w:bCs/>
                <w:color w:val="000000"/>
                <w:sz w:val="15"/>
                <w:szCs w:val="15"/>
              </w:rPr>
              <w:t>Benefit (Exposure)</w:t>
            </w:r>
          </w:p>
        </w:tc>
      </w:tr>
      <w:tr w:rsidR="00584EC1" w14:paraId="74DD9736" w14:textId="77777777">
        <w:tc>
          <w:tcPr>
            <w:tcW w:w="0" w:type="auto"/>
            <w:gridSpan w:val="3"/>
            <w:shd w:val="clear" w:color="auto" w:fill="auto"/>
            <w:tcMar>
              <w:top w:w="40" w:type="dxa"/>
              <w:left w:w="20" w:type="dxa"/>
              <w:bottom w:w="40" w:type="dxa"/>
              <w:right w:w="20" w:type="dxa"/>
            </w:tcMar>
            <w:vAlign w:val="bottom"/>
          </w:tcPr>
          <w:p w14:paraId="74DD972A" w14:textId="77777777" w:rsidR="00584EC1" w:rsidRDefault="00871F8D">
            <w:pPr>
              <w:textAlignment w:val="bottom"/>
            </w:pPr>
            <w:r>
              <w:rPr>
                <w:rFonts w:ascii="Arial" w:eastAsia="宋体" w:hAnsi="Arial" w:cs="Arial"/>
                <w:b/>
                <w:bCs/>
                <w:color w:val="000000"/>
                <w:sz w:val="15"/>
                <w:szCs w:val="15"/>
              </w:rPr>
              <w:t>Parallel shifts: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72B"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72C"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72D"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72E"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72F"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9730"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731"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732"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733"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734"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735" w14:textId="77777777" w:rsidR="00584EC1" w:rsidRDefault="00584EC1">
            <w:pPr>
              <w:rPr>
                <w:rFonts w:ascii="宋体"/>
              </w:rPr>
            </w:pPr>
          </w:p>
        </w:tc>
      </w:tr>
      <w:tr w:rsidR="00584EC1" w14:paraId="74DD974F" w14:textId="77777777">
        <w:tc>
          <w:tcPr>
            <w:tcW w:w="0" w:type="auto"/>
            <w:gridSpan w:val="3"/>
            <w:shd w:val="clear" w:color="auto" w:fill="CCEEFF"/>
            <w:tcMar>
              <w:top w:w="40" w:type="dxa"/>
              <w:left w:w="20" w:type="dxa"/>
              <w:bottom w:w="40" w:type="dxa"/>
              <w:right w:w="20" w:type="dxa"/>
            </w:tcMar>
            <w:vAlign w:val="bottom"/>
          </w:tcPr>
          <w:p w14:paraId="74DD9737" w14:textId="77777777" w:rsidR="00584EC1" w:rsidRDefault="00871F8D">
            <w:pPr>
              <w:textAlignment w:val="bottom"/>
            </w:pPr>
            <w:r>
              <w:rPr>
                <w:rFonts w:ascii="Arial" w:eastAsia="宋体" w:hAnsi="Arial" w:cs="Arial"/>
                <w:color w:val="000000"/>
                <w:sz w:val="15"/>
                <w:szCs w:val="15"/>
              </w:rPr>
              <w:t>+100 bps shock</w:t>
            </w:r>
          </w:p>
        </w:tc>
        <w:tc>
          <w:tcPr>
            <w:tcW w:w="0" w:type="auto"/>
            <w:shd w:val="clear" w:color="auto" w:fill="CCEEFF"/>
            <w:tcMar>
              <w:top w:w="40" w:type="dxa"/>
              <w:left w:w="20" w:type="dxa"/>
              <w:bottom w:w="40" w:type="dxa"/>
              <w:right w:w="0" w:type="dxa"/>
            </w:tcMar>
            <w:vAlign w:val="bottom"/>
          </w:tcPr>
          <w:p w14:paraId="74DD9738" w14:textId="77777777" w:rsidR="00584EC1" w:rsidRDefault="00871F8D">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4DD9739" w14:textId="77777777" w:rsidR="00584EC1" w:rsidRDefault="00871F8D">
            <w:pPr>
              <w:jc w:val="right"/>
              <w:textAlignment w:val="bottom"/>
            </w:pPr>
            <w:r>
              <w:rPr>
                <w:rFonts w:ascii="Arial" w:eastAsia="宋体" w:hAnsi="Arial" w:cs="Arial"/>
                <w:b/>
                <w:bCs/>
                <w:color w:val="000000"/>
                <w:sz w:val="15"/>
                <w:szCs w:val="15"/>
              </w:rPr>
              <w:t>507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973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73B"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973C" w14:textId="77777777" w:rsidR="00584EC1" w:rsidRDefault="00871F8D">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4DD973D" w14:textId="77777777" w:rsidR="00584EC1" w:rsidRDefault="00871F8D">
            <w:pPr>
              <w:jc w:val="right"/>
              <w:textAlignment w:val="bottom"/>
            </w:pPr>
            <w:r>
              <w:rPr>
                <w:rFonts w:ascii="Arial" w:eastAsia="宋体" w:hAnsi="Arial" w:cs="Arial"/>
                <w:b/>
                <w:bCs/>
                <w:color w:val="000000"/>
                <w:sz w:val="15"/>
                <w:szCs w:val="15"/>
              </w:rPr>
              <w:t>323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973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73F"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9740" w14:textId="77777777" w:rsidR="00584EC1" w:rsidRDefault="00871F8D">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4DD9741" w14:textId="77777777" w:rsidR="00584EC1" w:rsidRDefault="00871F8D">
            <w:pPr>
              <w:jc w:val="right"/>
              <w:textAlignment w:val="bottom"/>
            </w:pPr>
            <w:r>
              <w:rPr>
                <w:rFonts w:ascii="Arial" w:eastAsia="宋体" w:hAnsi="Arial" w:cs="Arial"/>
                <w:b/>
                <w:bCs/>
                <w:color w:val="000000"/>
                <w:sz w:val="15"/>
                <w:szCs w:val="15"/>
              </w:rPr>
              <w:t>830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974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743"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9744" w14:textId="77777777" w:rsidR="00584EC1" w:rsidRDefault="00871F8D">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4DD9745" w14:textId="77777777" w:rsidR="00584EC1" w:rsidRDefault="00871F8D">
            <w:pPr>
              <w:jc w:val="right"/>
              <w:textAlignment w:val="bottom"/>
            </w:pPr>
            <w:r>
              <w:rPr>
                <w:rFonts w:ascii="Arial" w:eastAsia="宋体" w:hAnsi="Arial" w:cs="Arial"/>
                <w:color w:val="000000"/>
                <w:sz w:val="15"/>
                <w:szCs w:val="15"/>
              </w:rPr>
              <w:t>426 </w:t>
            </w:r>
          </w:p>
        </w:tc>
        <w:tc>
          <w:tcPr>
            <w:tcW w:w="0" w:type="auto"/>
            <w:shd w:val="clear" w:color="auto" w:fill="CCEEFF"/>
            <w:tcMar>
              <w:top w:w="40" w:type="dxa"/>
              <w:left w:w="0" w:type="dxa"/>
              <w:bottom w:w="40" w:type="dxa"/>
              <w:right w:w="20" w:type="dxa"/>
            </w:tcMar>
            <w:vAlign w:val="bottom"/>
          </w:tcPr>
          <w:p w14:paraId="74DD974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747"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9748" w14:textId="77777777" w:rsidR="00584EC1" w:rsidRDefault="00871F8D">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4DD9749" w14:textId="77777777" w:rsidR="00584EC1" w:rsidRDefault="00871F8D">
            <w:pPr>
              <w:jc w:val="right"/>
              <w:textAlignment w:val="bottom"/>
            </w:pPr>
            <w:r>
              <w:rPr>
                <w:rFonts w:ascii="Arial" w:eastAsia="宋体" w:hAnsi="Arial" w:cs="Arial"/>
                <w:color w:val="000000"/>
                <w:sz w:val="15"/>
                <w:szCs w:val="15"/>
              </w:rPr>
              <w:t>134 </w:t>
            </w:r>
          </w:p>
        </w:tc>
        <w:tc>
          <w:tcPr>
            <w:tcW w:w="0" w:type="auto"/>
            <w:shd w:val="clear" w:color="auto" w:fill="CCEEFF"/>
            <w:tcMar>
              <w:top w:w="40" w:type="dxa"/>
              <w:left w:w="0" w:type="dxa"/>
              <w:bottom w:w="40" w:type="dxa"/>
              <w:right w:w="20" w:type="dxa"/>
            </w:tcMar>
            <w:vAlign w:val="bottom"/>
          </w:tcPr>
          <w:p w14:paraId="74DD974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74B"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974C" w14:textId="77777777" w:rsidR="00584EC1" w:rsidRDefault="00871F8D">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4DD974D" w14:textId="77777777" w:rsidR="00584EC1" w:rsidRDefault="00871F8D">
            <w:pPr>
              <w:jc w:val="right"/>
              <w:textAlignment w:val="bottom"/>
            </w:pPr>
            <w:r>
              <w:rPr>
                <w:rFonts w:ascii="Arial" w:eastAsia="宋体" w:hAnsi="Arial" w:cs="Arial"/>
                <w:color w:val="000000"/>
                <w:sz w:val="15"/>
                <w:szCs w:val="15"/>
              </w:rPr>
              <w:t>560 </w:t>
            </w:r>
          </w:p>
        </w:tc>
        <w:tc>
          <w:tcPr>
            <w:tcW w:w="0" w:type="auto"/>
            <w:shd w:val="clear" w:color="auto" w:fill="CCEEFF"/>
            <w:tcMar>
              <w:top w:w="40" w:type="dxa"/>
              <w:left w:w="0" w:type="dxa"/>
              <w:bottom w:w="40" w:type="dxa"/>
              <w:right w:w="20" w:type="dxa"/>
            </w:tcMar>
            <w:vAlign w:val="bottom"/>
          </w:tcPr>
          <w:p w14:paraId="74DD974E" w14:textId="77777777" w:rsidR="00584EC1" w:rsidRDefault="00584EC1">
            <w:pPr>
              <w:jc w:val="right"/>
              <w:rPr>
                <w:rFonts w:ascii="宋体"/>
              </w:rPr>
            </w:pPr>
          </w:p>
        </w:tc>
      </w:tr>
      <w:tr w:rsidR="00584EC1" w14:paraId="74DD9762" w14:textId="77777777">
        <w:tc>
          <w:tcPr>
            <w:tcW w:w="0" w:type="auto"/>
            <w:gridSpan w:val="3"/>
            <w:shd w:val="clear" w:color="auto" w:fill="FFFFFF"/>
            <w:tcMar>
              <w:top w:w="40" w:type="dxa"/>
              <w:left w:w="20" w:type="dxa"/>
              <w:bottom w:w="40" w:type="dxa"/>
              <w:right w:w="20" w:type="dxa"/>
            </w:tcMar>
            <w:vAlign w:val="bottom"/>
          </w:tcPr>
          <w:p w14:paraId="74DD9750" w14:textId="77777777" w:rsidR="00584EC1" w:rsidRDefault="00871F8D">
            <w:pPr>
              <w:textAlignment w:val="bottom"/>
            </w:pPr>
            <w:r>
              <w:rPr>
                <w:rFonts w:ascii="Arial" w:eastAsia="宋体" w:hAnsi="Arial" w:cs="Arial"/>
                <w:color w:val="000000"/>
                <w:sz w:val="15"/>
                <w:szCs w:val="15"/>
              </w:rPr>
              <w:t>–100 bps sh</w:t>
            </w:r>
            <w:r>
              <w:rPr>
                <w:rFonts w:ascii="Arial" w:eastAsia="宋体" w:hAnsi="Arial" w:cs="Arial"/>
                <w:color w:val="000000"/>
                <w:sz w:val="15"/>
                <w:szCs w:val="15"/>
              </w:rPr>
              <w:t>ock</w:t>
            </w:r>
          </w:p>
        </w:tc>
        <w:tc>
          <w:tcPr>
            <w:tcW w:w="0" w:type="auto"/>
            <w:gridSpan w:val="2"/>
            <w:shd w:val="clear" w:color="auto" w:fill="FFFFFF"/>
            <w:tcMar>
              <w:top w:w="40" w:type="dxa"/>
              <w:left w:w="20" w:type="dxa"/>
              <w:bottom w:w="40" w:type="dxa"/>
              <w:right w:w="0" w:type="dxa"/>
            </w:tcMar>
            <w:vAlign w:val="bottom"/>
          </w:tcPr>
          <w:p w14:paraId="74DD9751" w14:textId="77777777" w:rsidR="00584EC1" w:rsidRDefault="00871F8D">
            <w:pPr>
              <w:jc w:val="right"/>
              <w:textAlignment w:val="bottom"/>
            </w:pPr>
            <w:r>
              <w:rPr>
                <w:rFonts w:ascii="Arial" w:eastAsia="宋体" w:hAnsi="Arial" w:cs="Arial"/>
                <w:b/>
                <w:bCs/>
                <w:color w:val="000000"/>
                <w:sz w:val="15"/>
                <w:szCs w:val="15"/>
              </w:rPr>
              <w:t>921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975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75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754" w14:textId="77777777" w:rsidR="00584EC1" w:rsidRDefault="00871F8D">
            <w:pPr>
              <w:jc w:val="right"/>
              <w:textAlignment w:val="bottom"/>
            </w:pPr>
            <w:r>
              <w:rPr>
                <w:rFonts w:ascii="Arial" w:eastAsia="宋体" w:hAnsi="Arial" w:cs="Arial"/>
                <w:b/>
                <w:bCs/>
                <w:color w:val="000000"/>
                <w:sz w:val="15"/>
                <w:szCs w:val="15"/>
              </w:rPr>
              <w:t>96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975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75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757" w14:textId="77777777" w:rsidR="00584EC1" w:rsidRDefault="00871F8D">
            <w:pPr>
              <w:jc w:val="right"/>
              <w:textAlignment w:val="bottom"/>
            </w:pPr>
            <w:r>
              <w:rPr>
                <w:rFonts w:ascii="Arial" w:eastAsia="宋体" w:hAnsi="Arial" w:cs="Arial"/>
                <w:b/>
                <w:bCs/>
                <w:color w:val="000000"/>
                <w:sz w:val="15"/>
                <w:szCs w:val="15"/>
              </w:rPr>
              <w:t>1,017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975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75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75A" w14:textId="77777777" w:rsidR="00584EC1" w:rsidRDefault="00871F8D">
            <w:pPr>
              <w:jc w:val="right"/>
              <w:textAlignment w:val="bottom"/>
            </w:pPr>
            <w:r>
              <w:rPr>
                <w:rFonts w:ascii="Arial" w:eastAsia="宋体" w:hAnsi="Arial" w:cs="Arial"/>
                <w:color w:val="000000"/>
                <w:sz w:val="15"/>
                <w:szCs w:val="15"/>
              </w:rPr>
              <w:t>534 </w:t>
            </w:r>
          </w:p>
        </w:tc>
        <w:tc>
          <w:tcPr>
            <w:tcW w:w="0" w:type="auto"/>
            <w:shd w:val="clear" w:color="auto" w:fill="FFFFFF"/>
            <w:tcMar>
              <w:top w:w="40" w:type="dxa"/>
              <w:left w:w="0" w:type="dxa"/>
              <w:bottom w:w="40" w:type="dxa"/>
              <w:right w:w="20" w:type="dxa"/>
            </w:tcMar>
            <w:vAlign w:val="bottom"/>
          </w:tcPr>
          <w:p w14:paraId="74DD975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75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75D" w14:textId="77777777" w:rsidR="00584EC1" w:rsidRDefault="00871F8D">
            <w:pPr>
              <w:jc w:val="right"/>
              <w:textAlignment w:val="bottom"/>
            </w:pPr>
            <w:r>
              <w:rPr>
                <w:rFonts w:ascii="Arial" w:eastAsia="宋体" w:hAnsi="Arial" w:cs="Arial"/>
                <w:color w:val="000000"/>
                <w:sz w:val="15"/>
                <w:szCs w:val="15"/>
              </w:rPr>
              <w:t>193 </w:t>
            </w:r>
          </w:p>
        </w:tc>
        <w:tc>
          <w:tcPr>
            <w:tcW w:w="0" w:type="auto"/>
            <w:shd w:val="clear" w:color="auto" w:fill="FFFFFF"/>
            <w:tcMar>
              <w:top w:w="40" w:type="dxa"/>
              <w:left w:w="0" w:type="dxa"/>
              <w:bottom w:w="40" w:type="dxa"/>
              <w:right w:w="20" w:type="dxa"/>
            </w:tcMar>
            <w:vAlign w:val="bottom"/>
          </w:tcPr>
          <w:p w14:paraId="74DD975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75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760" w14:textId="77777777" w:rsidR="00584EC1" w:rsidRDefault="00871F8D">
            <w:pPr>
              <w:jc w:val="right"/>
              <w:textAlignment w:val="bottom"/>
            </w:pPr>
            <w:r>
              <w:rPr>
                <w:rFonts w:ascii="Arial" w:eastAsia="宋体" w:hAnsi="Arial" w:cs="Arial"/>
                <w:color w:val="000000"/>
                <w:sz w:val="15"/>
                <w:szCs w:val="15"/>
              </w:rPr>
              <w:t>727 </w:t>
            </w:r>
          </w:p>
        </w:tc>
        <w:tc>
          <w:tcPr>
            <w:tcW w:w="0" w:type="auto"/>
            <w:shd w:val="clear" w:color="auto" w:fill="FFFFFF"/>
            <w:tcMar>
              <w:top w:w="40" w:type="dxa"/>
              <w:left w:w="0" w:type="dxa"/>
              <w:bottom w:w="40" w:type="dxa"/>
              <w:right w:w="20" w:type="dxa"/>
            </w:tcMar>
            <w:vAlign w:val="bottom"/>
          </w:tcPr>
          <w:p w14:paraId="74DD9761" w14:textId="77777777" w:rsidR="00584EC1" w:rsidRDefault="00584EC1">
            <w:pPr>
              <w:jc w:val="right"/>
              <w:rPr>
                <w:rFonts w:ascii="宋体"/>
              </w:rPr>
            </w:pPr>
          </w:p>
        </w:tc>
      </w:tr>
      <w:tr w:rsidR="00584EC1" w14:paraId="74DD976F" w14:textId="77777777">
        <w:tc>
          <w:tcPr>
            <w:tcW w:w="0" w:type="auto"/>
            <w:gridSpan w:val="3"/>
            <w:shd w:val="clear" w:color="auto" w:fill="CCEEFF"/>
            <w:tcMar>
              <w:top w:w="40" w:type="dxa"/>
              <w:left w:w="20" w:type="dxa"/>
              <w:bottom w:w="40" w:type="dxa"/>
              <w:right w:w="20" w:type="dxa"/>
            </w:tcMar>
            <w:vAlign w:val="bottom"/>
          </w:tcPr>
          <w:p w14:paraId="74DD9763" w14:textId="77777777" w:rsidR="00584EC1" w:rsidRDefault="00871F8D">
            <w:pPr>
              <w:textAlignment w:val="bottom"/>
            </w:pPr>
            <w:r>
              <w:rPr>
                <w:rFonts w:ascii="Arial" w:eastAsia="宋体" w:hAnsi="Arial" w:cs="Arial"/>
                <w:b/>
                <w:bCs/>
                <w:color w:val="000000"/>
                <w:sz w:val="15"/>
                <w:szCs w:val="15"/>
              </w:rPr>
              <w:t>Steeper yield curve:</w:t>
            </w:r>
          </w:p>
        </w:tc>
        <w:tc>
          <w:tcPr>
            <w:tcW w:w="0" w:type="auto"/>
            <w:gridSpan w:val="3"/>
            <w:shd w:val="clear" w:color="auto" w:fill="CCEEFF"/>
            <w:tcMar>
              <w:top w:w="0" w:type="dxa"/>
              <w:left w:w="20" w:type="dxa"/>
              <w:bottom w:w="0" w:type="dxa"/>
              <w:right w:w="20" w:type="dxa"/>
            </w:tcMar>
            <w:vAlign w:val="bottom"/>
          </w:tcPr>
          <w:p w14:paraId="74DD9764"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9765"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9766"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9767"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9768"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9769"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976A"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976B"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976C"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976D"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976E" w14:textId="77777777" w:rsidR="00584EC1" w:rsidRDefault="00584EC1">
            <w:pPr>
              <w:rPr>
                <w:rFonts w:ascii="宋体"/>
              </w:rPr>
            </w:pPr>
          </w:p>
        </w:tc>
      </w:tr>
      <w:tr w:rsidR="00584EC1" w14:paraId="74DD9782" w14:textId="77777777">
        <w:tc>
          <w:tcPr>
            <w:tcW w:w="0" w:type="auto"/>
            <w:gridSpan w:val="3"/>
            <w:shd w:val="clear" w:color="auto" w:fill="auto"/>
            <w:tcMar>
              <w:top w:w="40" w:type="dxa"/>
              <w:left w:w="20" w:type="dxa"/>
              <w:bottom w:w="40" w:type="dxa"/>
              <w:right w:w="20" w:type="dxa"/>
            </w:tcMar>
            <w:vAlign w:val="bottom"/>
          </w:tcPr>
          <w:p w14:paraId="74DD9770" w14:textId="77777777" w:rsidR="00584EC1" w:rsidRDefault="00871F8D">
            <w:pPr>
              <w:textAlignment w:val="bottom"/>
            </w:pPr>
            <w:r>
              <w:rPr>
                <w:rFonts w:ascii="Arial" w:eastAsia="宋体" w:hAnsi="Arial" w:cs="Arial"/>
                <w:color w:val="000000"/>
                <w:sz w:val="15"/>
                <w:szCs w:val="15"/>
              </w:rPr>
              <w:t>'+100 bps shift in long-end rates</w:t>
            </w:r>
            <w:r>
              <w:rPr>
                <w:rFonts w:ascii="Arial" w:eastAsia="宋体" w:hAnsi="Arial" w:cs="Arial"/>
                <w:color w:val="000000"/>
                <w:sz w:val="9"/>
                <w:szCs w:val="9"/>
              </w:rPr>
              <w:t>(2)</w:t>
            </w:r>
          </w:p>
        </w:tc>
        <w:tc>
          <w:tcPr>
            <w:tcW w:w="0" w:type="auto"/>
            <w:gridSpan w:val="2"/>
            <w:shd w:val="clear" w:color="auto" w:fill="FFFFFF"/>
            <w:tcMar>
              <w:top w:w="40" w:type="dxa"/>
              <w:left w:w="20" w:type="dxa"/>
              <w:bottom w:w="40" w:type="dxa"/>
              <w:right w:w="0" w:type="dxa"/>
            </w:tcMar>
            <w:vAlign w:val="bottom"/>
          </w:tcPr>
          <w:p w14:paraId="74DD9771" w14:textId="77777777" w:rsidR="00584EC1" w:rsidRDefault="00871F8D">
            <w:pPr>
              <w:jc w:val="right"/>
              <w:textAlignment w:val="bottom"/>
            </w:pPr>
            <w:r>
              <w:rPr>
                <w:rFonts w:ascii="Arial" w:eastAsia="宋体" w:hAnsi="Arial" w:cs="Arial"/>
                <w:b/>
                <w:bCs/>
                <w:color w:val="000000"/>
                <w:sz w:val="15"/>
                <w:szCs w:val="15"/>
              </w:rPr>
              <w:t>136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977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77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774" w14:textId="77777777" w:rsidR="00584EC1" w:rsidRDefault="00871F8D">
            <w:pPr>
              <w:jc w:val="right"/>
              <w:textAlignment w:val="bottom"/>
            </w:pPr>
            <w:r>
              <w:rPr>
                <w:rFonts w:ascii="Arial" w:eastAsia="宋体" w:hAnsi="Arial" w:cs="Arial"/>
                <w:b/>
                <w:bCs/>
                <w:color w:val="000000"/>
                <w:sz w:val="15"/>
                <w:szCs w:val="15"/>
              </w:rPr>
              <w:t>16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977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77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777" w14:textId="77777777" w:rsidR="00584EC1" w:rsidRDefault="00871F8D">
            <w:pPr>
              <w:jc w:val="right"/>
              <w:textAlignment w:val="bottom"/>
            </w:pPr>
            <w:r>
              <w:rPr>
                <w:rFonts w:ascii="Arial" w:eastAsia="宋体" w:hAnsi="Arial" w:cs="Arial"/>
                <w:b/>
                <w:bCs/>
                <w:color w:val="000000"/>
                <w:sz w:val="15"/>
                <w:szCs w:val="15"/>
              </w:rPr>
              <w:t>152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977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77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77A" w14:textId="77777777" w:rsidR="00584EC1" w:rsidRDefault="00871F8D">
            <w:pPr>
              <w:jc w:val="right"/>
              <w:textAlignment w:val="bottom"/>
            </w:pPr>
            <w:r>
              <w:rPr>
                <w:rFonts w:ascii="Arial" w:eastAsia="宋体" w:hAnsi="Arial" w:cs="Arial"/>
                <w:color w:val="000000"/>
                <w:sz w:val="15"/>
                <w:szCs w:val="15"/>
              </w:rPr>
              <w:t>170 </w:t>
            </w:r>
          </w:p>
        </w:tc>
        <w:tc>
          <w:tcPr>
            <w:tcW w:w="0" w:type="auto"/>
            <w:shd w:val="clear" w:color="auto" w:fill="FFFFFF"/>
            <w:tcMar>
              <w:top w:w="40" w:type="dxa"/>
              <w:left w:w="0" w:type="dxa"/>
              <w:bottom w:w="40" w:type="dxa"/>
              <w:right w:w="20" w:type="dxa"/>
            </w:tcMar>
            <w:vAlign w:val="bottom"/>
          </w:tcPr>
          <w:p w14:paraId="74DD977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77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77D" w14:textId="77777777" w:rsidR="00584EC1" w:rsidRDefault="00871F8D">
            <w:pPr>
              <w:jc w:val="right"/>
              <w:textAlignment w:val="bottom"/>
            </w:pPr>
            <w:r>
              <w:rPr>
                <w:rFonts w:ascii="Arial" w:eastAsia="宋体" w:hAnsi="Arial" w:cs="Arial"/>
                <w:color w:val="000000"/>
                <w:sz w:val="15"/>
                <w:szCs w:val="15"/>
              </w:rPr>
              <w:t>5 </w:t>
            </w:r>
          </w:p>
        </w:tc>
        <w:tc>
          <w:tcPr>
            <w:tcW w:w="0" w:type="auto"/>
            <w:shd w:val="clear" w:color="auto" w:fill="FFFFFF"/>
            <w:tcMar>
              <w:top w:w="40" w:type="dxa"/>
              <w:left w:w="0" w:type="dxa"/>
              <w:bottom w:w="40" w:type="dxa"/>
              <w:right w:w="20" w:type="dxa"/>
            </w:tcMar>
            <w:vAlign w:val="bottom"/>
          </w:tcPr>
          <w:p w14:paraId="74DD977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77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780" w14:textId="77777777" w:rsidR="00584EC1" w:rsidRDefault="00871F8D">
            <w:pPr>
              <w:jc w:val="right"/>
              <w:textAlignment w:val="bottom"/>
            </w:pPr>
            <w:r>
              <w:rPr>
                <w:rFonts w:ascii="Arial" w:eastAsia="宋体" w:hAnsi="Arial" w:cs="Arial"/>
                <w:color w:val="000000"/>
                <w:sz w:val="15"/>
                <w:szCs w:val="15"/>
              </w:rPr>
              <w:t>175 </w:t>
            </w:r>
          </w:p>
        </w:tc>
        <w:tc>
          <w:tcPr>
            <w:tcW w:w="0" w:type="auto"/>
            <w:shd w:val="clear" w:color="auto" w:fill="FFFFFF"/>
            <w:tcMar>
              <w:top w:w="40" w:type="dxa"/>
              <w:left w:w="0" w:type="dxa"/>
              <w:bottom w:w="40" w:type="dxa"/>
              <w:right w:w="20" w:type="dxa"/>
            </w:tcMar>
            <w:vAlign w:val="bottom"/>
          </w:tcPr>
          <w:p w14:paraId="74DD9781" w14:textId="77777777" w:rsidR="00584EC1" w:rsidRDefault="00584EC1">
            <w:pPr>
              <w:jc w:val="right"/>
              <w:rPr>
                <w:rFonts w:ascii="宋体"/>
              </w:rPr>
            </w:pPr>
          </w:p>
        </w:tc>
      </w:tr>
      <w:tr w:rsidR="00584EC1" w14:paraId="74DD9795" w14:textId="77777777">
        <w:tc>
          <w:tcPr>
            <w:tcW w:w="0" w:type="auto"/>
            <w:gridSpan w:val="3"/>
            <w:shd w:val="clear" w:color="auto" w:fill="CCEEFF"/>
            <w:tcMar>
              <w:top w:w="40" w:type="dxa"/>
              <w:left w:w="20" w:type="dxa"/>
              <w:bottom w:w="40" w:type="dxa"/>
              <w:right w:w="20" w:type="dxa"/>
            </w:tcMar>
            <w:vAlign w:val="bottom"/>
          </w:tcPr>
          <w:p w14:paraId="74DD9783" w14:textId="77777777" w:rsidR="00584EC1" w:rsidRDefault="00871F8D">
            <w:pPr>
              <w:textAlignment w:val="bottom"/>
            </w:pPr>
            <w:r>
              <w:rPr>
                <w:rFonts w:ascii="Arial" w:eastAsia="宋体" w:hAnsi="Arial" w:cs="Arial"/>
                <w:color w:val="000000"/>
                <w:sz w:val="15"/>
                <w:szCs w:val="15"/>
              </w:rPr>
              <w:t>'-100 bps shift in short-end rates</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74DD9784" w14:textId="77777777" w:rsidR="00584EC1" w:rsidRDefault="00871F8D">
            <w:pPr>
              <w:jc w:val="right"/>
              <w:textAlignment w:val="bottom"/>
            </w:pPr>
            <w:r>
              <w:rPr>
                <w:rFonts w:ascii="Arial" w:eastAsia="宋体" w:hAnsi="Arial" w:cs="Arial"/>
                <w:b/>
                <w:bCs/>
                <w:color w:val="000000"/>
                <w:sz w:val="15"/>
                <w:szCs w:val="15"/>
              </w:rPr>
              <w:t>1,070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978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78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787" w14:textId="77777777" w:rsidR="00584EC1" w:rsidRDefault="00871F8D">
            <w:pPr>
              <w:jc w:val="right"/>
              <w:textAlignment w:val="bottom"/>
            </w:pPr>
            <w:r>
              <w:rPr>
                <w:rFonts w:ascii="Arial" w:eastAsia="宋体" w:hAnsi="Arial" w:cs="Arial"/>
                <w:b/>
                <w:bCs/>
                <w:color w:val="000000"/>
                <w:sz w:val="15"/>
                <w:szCs w:val="15"/>
              </w:rPr>
              <w:t>111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978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78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78A" w14:textId="77777777" w:rsidR="00584EC1" w:rsidRDefault="00871F8D">
            <w:pPr>
              <w:jc w:val="right"/>
              <w:textAlignment w:val="bottom"/>
            </w:pPr>
            <w:r>
              <w:rPr>
                <w:rFonts w:ascii="Arial" w:eastAsia="宋体" w:hAnsi="Arial" w:cs="Arial"/>
                <w:b/>
                <w:bCs/>
                <w:color w:val="000000"/>
                <w:sz w:val="15"/>
                <w:szCs w:val="15"/>
              </w:rPr>
              <w:t>1,181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978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78C"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78D" w14:textId="77777777" w:rsidR="00584EC1" w:rsidRDefault="00871F8D">
            <w:pPr>
              <w:jc w:val="right"/>
              <w:textAlignment w:val="bottom"/>
            </w:pPr>
            <w:r>
              <w:rPr>
                <w:rFonts w:ascii="Arial" w:eastAsia="宋体" w:hAnsi="Arial" w:cs="Arial"/>
                <w:color w:val="000000"/>
                <w:sz w:val="15"/>
                <w:szCs w:val="15"/>
              </w:rPr>
              <w:t>728 </w:t>
            </w:r>
          </w:p>
        </w:tc>
        <w:tc>
          <w:tcPr>
            <w:tcW w:w="0" w:type="auto"/>
            <w:shd w:val="clear" w:color="auto" w:fill="CCEEFF"/>
            <w:tcMar>
              <w:top w:w="40" w:type="dxa"/>
              <w:left w:w="0" w:type="dxa"/>
              <w:bottom w:w="40" w:type="dxa"/>
              <w:right w:w="20" w:type="dxa"/>
            </w:tcMar>
            <w:vAlign w:val="bottom"/>
          </w:tcPr>
          <w:p w14:paraId="74DD978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78F"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790" w14:textId="77777777" w:rsidR="00584EC1" w:rsidRDefault="00871F8D">
            <w:pPr>
              <w:jc w:val="right"/>
              <w:textAlignment w:val="bottom"/>
            </w:pPr>
            <w:r>
              <w:rPr>
                <w:rFonts w:ascii="Arial" w:eastAsia="宋体" w:hAnsi="Arial" w:cs="Arial"/>
                <w:color w:val="000000"/>
                <w:sz w:val="15"/>
                <w:szCs w:val="15"/>
              </w:rPr>
              <w:t>198 </w:t>
            </w:r>
          </w:p>
        </w:tc>
        <w:tc>
          <w:tcPr>
            <w:tcW w:w="0" w:type="auto"/>
            <w:shd w:val="clear" w:color="auto" w:fill="CCEEFF"/>
            <w:tcMar>
              <w:top w:w="40" w:type="dxa"/>
              <w:left w:w="0" w:type="dxa"/>
              <w:bottom w:w="40" w:type="dxa"/>
              <w:right w:w="20" w:type="dxa"/>
            </w:tcMar>
            <w:vAlign w:val="bottom"/>
          </w:tcPr>
          <w:p w14:paraId="74DD979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792"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793" w14:textId="77777777" w:rsidR="00584EC1" w:rsidRDefault="00871F8D">
            <w:pPr>
              <w:jc w:val="right"/>
              <w:textAlignment w:val="bottom"/>
            </w:pPr>
            <w:r>
              <w:rPr>
                <w:rFonts w:ascii="Arial" w:eastAsia="宋体" w:hAnsi="Arial" w:cs="Arial"/>
                <w:color w:val="000000"/>
                <w:sz w:val="15"/>
                <w:szCs w:val="15"/>
              </w:rPr>
              <w:t>926 </w:t>
            </w:r>
          </w:p>
        </w:tc>
        <w:tc>
          <w:tcPr>
            <w:tcW w:w="0" w:type="auto"/>
            <w:shd w:val="clear" w:color="auto" w:fill="CCEEFF"/>
            <w:tcMar>
              <w:top w:w="40" w:type="dxa"/>
              <w:left w:w="0" w:type="dxa"/>
              <w:bottom w:w="40" w:type="dxa"/>
              <w:right w:w="20" w:type="dxa"/>
            </w:tcMar>
            <w:vAlign w:val="bottom"/>
          </w:tcPr>
          <w:p w14:paraId="74DD9794" w14:textId="77777777" w:rsidR="00584EC1" w:rsidRDefault="00584EC1">
            <w:pPr>
              <w:jc w:val="right"/>
              <w:rPr>
                <w:rFonts w:ascii="宋体"/>
              </w:rPr>
            </w:pPr>
          </w:p>
        </w:tc>
      </w:tr>
      <w:tr w:rsidR="00584EC1" w14:paraId="74DD97A2" w14:textId="77777777">
        <w:tc>
          <w:tcPr>
            <w:tcW w:w="0" w:type="auto"/>
            <w:gridSpan w:val="3"/>
            <w:shd w:val="clear" w:color="auto" w:fill="FFFFFF"/>
            <w:tcMar>
              <w:top w:w="40" w:type="dxa"/>
              <w:left w:w="20" w:type="dxa"/>
              <w:bottom w:w="40" w:type="dxa"/>
              <w:right w:w="20" w:type="dxa"/>
            </w:tcMar>
            <w:vAlign w:val="bottom"/>
          </w:tcPr>
          <w:p w14:paraId="74DD9796" w14:textId="77777777" w:rsidR="00584EC1" w:rsidRDefault="00871F8D">
            <w:pPr>
              <w:textAlignment w:val="bottom"/>
            </w:pPr>
            <w:r>
              <w:rPr>
                <w:rFonts w:ascii="Arial" w:eastAsia="宋体" w:hAnsi="Arial" w:cs="Arial"/>
                <w:b/>
                <w:bCs/>
                <w:color w:val="000000"/>
                <w:sz w:val="15"/>
                <w:szCs w:val="15"/>
              </w:rPr>
              <w:t>Flatter yield curve:</w:t>
            </w:r>
          </w:p>
        </w:tc>
        <w:tc>
          <w:tcPr>
            <w:tcW w:w="0" w:type="auto"/>
            <w:gridSpan w:val="3"/>
            <w:shd w:val="clear" w:color="auto" w:fill="FFFFFF"/>
            <w:tcMar>
              <w:top w:w="0" w:type="dxa"/>
              <w:left w:w="20" w:type="dxa"/>
              <w:bottom w:w="0" w:type="dxa"/>
              <w:right w:w="20" w:type="dxa"/>
            </w:tcMar>
            <w:vAlign w:val="bottom"/>
          </w:tcPr>
          <w:p w14:paraId="74DD9797"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9798"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9799"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979A"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979B"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979C"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979D"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979E"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979F"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97A0"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97A1" w14:textId="77777777" w:rsidR="00584EC1" w:rsidRDefault="00584EC1">
            <w:pPr>
              <w:rPr>
                <w:rFonts w:ascii="宋体"/>
              </w:rPr>
            </w:pPr>
          </w:p>
        </w:tc>
      </w:tr>
      <w:tr w:rsidR="00584EC1" w14:paraId="74DD97B5" w14:textId="77777777">
        <w:tc>
          <w:tcPr>
            <w:tcW w:w="0" w:type="auto"/>
            <w:gridSpan w:val="3"/>
            <w:shd w:val="clear" w:color="auto" w:fill="CCEEFF"/>
            <w:tcMar>
              <w:top w:w="40" w:type="dxa"/>
              <w:left w:w="20" w:type="dxa"/>
              <w:bottom w:w="40" w:type="dxa"/>
              <w:right w:w="20" w:type="dxa"/>
            </w:tcMar>
            <w:vAlign w:val="bottom"/>
          </w:tcPr>
          <w:p w14:paraId="74DD97A3" w14:textId="77777777" w:rsidR="00584EC1" w:rsidRDefault="00871F8D">
            <w:pPr>
              <w:textAlignment w:val="bottom"/>
            </w:pPr>
            <w:r>
              <w:rPr>
                <w:rFonts w:ascii="Arial" w:eastAsia="宋体" w:hAnsi="Arial" w:cs="Arial"/>
                <w:color w:val="000000"/>
                <w:sz w:val="15"/>
                <w:szCs w:val="15"/>
              </w:rPr>
              <w:t>'+100 bps shift in short-end rates</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74DD97A4" w14:textId="77777777" w:rsidR="00584EC1" w:rsidRDefault="00871F8D">
            <w:pPr>
              <w:jc w:val="right"/>
              <w:textAlignment w:val="bottom"/>
            </w:pPr>
            <w:r>
              <w:rPr>
                <w:rFonts w:ascii="Arial" w:eastAsia="宋体" w:hAnsi="Arial" w:cs="Arial"/>
                <w:b/>
                <w:bCs/>
                <w:color w:val="000000"/>
                <w:sz w:val="15"/>
                <w:szCs w:val="15"/>
              </w:rPr>
              <w:t>371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97A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7A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7A7" w14:textId="77777777" w:rsidR="00584EC1" w:rsidRDefault="00871F8D">
            <w:pPr>
              <w:jc w:val="right"/>
              <w:textAlignment w:val="bottom"/>
            </w:pPr>
            <w:r>
              <w:rPr>
                <w:rFonts w:ascii="Arial" w:eastAsia="宋体" w:hAnsi="Arial" w:cs="Arial"/>
                <w:b/>
                <w:bCs/>
                <w:color w:val="000000"/>
                <w:sz w:val="15"/>
                <w:szCs w:val="15"/>
              </w:rPr>
              <w:t>307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97A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7A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7AA" w14:textId="77777777" w:rsidR="00584EC1" w:rsidRDefault="00871F8D">
            <w:pPr>
              <w:jc w:val="right"/>
              <w:textAlignment w:val="bottom"/>
            </w:pPr>
            <w:r>
              <w:rPr>
                <w:rFonts w:ascii="Arial" w:eastAsia="宋体" w:hAnsi="Arial" w:cs="Arial"/>
                <w:b/>
                <w:bCs/>
                <w:color w:val="000000"/>
                <w:sz w:val="15"/>
                <w:szCs w:val="15"/>
              </w:rPr>
              <w:t>678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97A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7AC"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7AD" w14:textId="77777777" w:rsidR="00584EC1" w:rsidRDefault="00871F8D">
            <w:pPr>
              <w:jc w:val="right"/>
              <w:textAlignment w:val="bottom"/>
            </w:pPr>
            <w:r>
              <w:rPr>
                <w:rFonts w:ascii="Arial" w:eastAsia="宋体" w:hAnsi="Arial" w:cs="Arial"/>
                <w:color w:val="000000"/>
                <w:sz w:val="15"/>
                <w:szCs w:val="15"/>
              </w:rPr>
              <w:t>248 </w:t>
            </w:r>
          </w:p>
        </w:tc>
        <w:tc>
          <w:tcPr>
            <w:tcW w:w="0" w:type="auto"/>
            <w:shd w:val="clear" w:color="auto" w:fill="CCEEFF"/>
            <w:tcMar>
              <w:top w:w="40" w:type="dxa"/>
              <w:left w:w="0" w:type="dxa"/>
              <w:bottom w:w="40" w:type="dxa"/>
              <w:right w:w="20" w:type="dxa"/>
            </w:tcMar>
            <w:vAlign w:val="bottom"/>
          </w:tcPr>
          <w:p w14:paraId="74DD97A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7AF"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7B0" w14:textId="77777777" w:rsidR="00584EC1" w:rsidRDefault="00871F8D">
            <w:pPr>
              <w:jc w:val="right"/>
              <w:textAlignment w:val="bottom"/>
            </w:pPr>
            <w:r>
              <w:rPr>
                <w:rFonts w:ascii="Arial" w:eastAsia="宋体" w:hAnsi="Arial" w:cs="Arial"/>
                <w:color w:val="000000"/>
                <w:sz w:val="15"/>
                <w:szCs w:val="15"/>
              </w:rPr>
              <w:t>145 </w:t>
            </w:r>
          </w:p>
        </w:tc>
        <w:tc>
          <w:tcPr>
            <w:tcW w:w="0" w:type="auto"/>
            <w:shd w:val="clear" w:color="auto" w:fill="CCEEFF"/>
            <w:tcMar>
              <w:top w:w="40" w:type="dxa"/>
              <w:left w:w="0" w:type="dxa"/>
              <w:bottom w:w="40" w:type="dxa"/>
              <w:right w:w="20" w:type="dxa"/>
            </w:tcMar>
            <w:vAlign w:val="bottom"/>
          </w:tcPr>
          <w:p w14:paraId="74DD97B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7B2"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7B3" w14:textId="77777777" w:rsidR="00584EC1" w:rsidRDefault="00871F8D">
            <w:pPr>
              <w:jc w:val="right"/>
              <w:textAlignment w:val="bottom"/>
            </w:pPr>
            <w:r>
              <w:rPr>
                <w:rFonts w:ascii="Arial" w:eastAsia="宋体" w:hAnsi="Arial" w:cs="Arial"/>
                <w:color w:val="000000"/>
                <w:sz w:val="15"/>
                <w:szCs w:val="15"/>
              </w:rPr>
              <w:t>393 </w:t>
            </w:r>
          </w:p>
        </w:tc>
        <w:tc>
          <w:tcPr>
            <w:tcW w:w="0" w:type="auto"/>
            <w:shd w:val="clear" w:color="auto" w:fill="CCEEFF"/>
            <w:tcMar>
              <w:top w:w="40" w:type="dxa"/>
              <w:left w:w="0" w:type="dxa"/>
              <w:bottom w:w="40" w:type="dxa"/>
              <w:right w:w="20" w:type="dxa"/>
            </w:tcMar>
            <w:vAlign w:val="bottom"/>
          </w:tcPr>
          <w:p w14:paraId="74DD97B4" w14:textId="77777777" w:rsidR="00584EC1" w:rsidRDefault="00584EC1">
            <w:pPr>
              <w:jc w:val="right"/>
              <w:rPr>
                <w:rFonts w:ascii="宋体"/>
              </w:rPr>
            </w:pPr>
          </w:p>
        </w:tc>
      </w:tr>
      <w:tr w:rsidR="00584EC1" w14:paraId="74DD97C8" w14:textId="77777777">
        <w:tc>
          <w:tcPr>
            <w:tcW w:w="0" w:type="auto"/>
            <w:gridSpan w:val="3"/>
            <w:shd w:val="clear" w:color="auto" w:fill="FFFFFF"/>
            <w:tcMar>
              <w:top w:w="40" w:type="dxa"/>
              <w:left w:w="20" w:type="dxa"/>
              <w:bottom w:w="40" w:type="dxa"/>
              <w:right w:w="20" w:type="dxa"/>
            </w:tcMar>
            <w:vAlign w:val="bottom"/>
          </w:tcPr>
          <w:p w14:paraId="74DD97B6" w14:textId="77777777" w:rsidR="00584EC1" w:rsidRDefault="00871F8D">
            <w:pPr>
              <w:textAlignment w:val="bottom"/>
            </w:pPr>
            <w:r>
              <w:rPr>
                <w:rFonts w:ascii="Arial" w:eastAsia="宋体" w:hAnsi="Arial" w:cs="Arial"/>
                <w:color w:val="000000"/>
                <w:sz w:val="15"/>
                <w:szCs w:val="15"/>
              </w:rPr>
              <w:t>'-100 bps shift in long-end rates</w:t>
            </w:r>
            <w:r>
              <w:rPr>
                <w:rFonts w:ascii="Arial" w:eastAsia="宋体" w:hAnsi="Arial" w:cs="Arial"/>
                <w:color w:val="000000"/>
                <w:sz w:val="9"/>
                <w:szCs w:val="9"/>
              </w:rPr>
              <w:t>(2)</w:t>
            </w:r>
          </w:p>
        </w:tc>
        <w:tc>
          <w:tcPr>
            <w:tcW w:w="0" w:type="auto"/>
            <w:gridSpan w:val="2"/>
            <w:shd w:val="clear" w:color="auto" w:fill="FFFFFF"/>
            <w:tcMar>
              <w:top w:w="40" w:type="dxa"/>
              <w:left w:w="20" w:type="dxa"/>
              <w:bottom w:w="40" w:type="dxa"/>
              <w:right w:w="0" w:type="dxa"/>
            </w:tcMar>
            <w:vAlign w:val="bottom"/>
          </w:tcPr>
          <w:p w14:paraId="74DD97B7" w14:textId="77777777" w:rsidR="00584EC1" w:rsidRDefault="00871F8D">
            <w:pPr>
              <w:jc w:val="right"/>
              <w:textAlignment w:val="bottom"/>
            </w:pPr>
            <w:r>
              <w:rPr>
                <w:rFonts w:ascii="Arial" w:eastAsia="宋体" w:hAnsi="Arial" w:cs="Arial"/>
                <w:b/>
                <w:bCs/>
                <w:color w:val="000000"/>
                <w:sz w:val="15"/>
                <w:szCs w:val="15"/>
              </w:rPr>
              <w:t>(143)</w:t>
            </w:r>
          </w:p>
        </w:tc>
        <w:tc>
          <w:tcPr>
            <w:tcW w:w="0" w:type="auto"/>
            <w:shd w:val="clear" w:color="auto" w:fill="FFFFFF"/>
            <w:tcMar>
              <w:top w:w="40" w:type="dxa"/>
              <w:left w:w="0" w:type="dxa"/>
              <w:bottom w:w="40" w:type="dxa"/>
              <w:right w:w="20" w:type="dxa"/>
            </w:tcMar>
            <w:vAlign w:val="bottom"/>
          </w:tcPr>
          <w:p w14:paraId="74DD97B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7B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7BA" w14:textId="77777777" w:rsidR="00584EC1" w:rsidRDefault="00871F8D">
            <w:pPr>
              <w:jc w:val="right"/>
              <w:textAlignment w:val="bottom"/>
            </w:pPr>
            <w:r>
              <w:rPr>
                <w:rFonts w:ascii="Arial" w:eastAsia="宋体" w:hAnsi="Arial" w:cs="Arial"/>
                <w:b/>
                <w:bCs/>
                <w:color w:val="000000"/>
                <w:sz w:val="15"/>
                <w:szCs w:val="15"/>
              </w:rPr>
              <w:t>(16)</w:t>
            </w:r>
          </w:p>
        </w:tc>
        <w:tc>
          <w:tcPr>
            <w:tcW w:w="0" w:type="auto"/>
            <w:shd w:val="clear" w:color="auto" w:fill="FFFFFF"/>
            <w:tcMar>
              <w:top w:w="40" w:type="dxa"/>
              <w:left w:w="0" w:type="dxa"/>
              <w:bottom w:w="40" w:type="dxa"/>
              <w:right w:w="20" w:type="dxa"/>
            </w:tcMar>
            <w:vAlign w:val="bottom"/>
          </w:tcPr>
          <w:p w14:paraId="74DD97B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7B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7BD" w14:textId="77777777" w:rsidR="00584EC1" w:rsidRDefault="00871F8D">
            <w:pPr>
              <w:jc w:val="right"/>
              <w:textAlignment w:val="bottom"/>
            </w:pPr>
            <w:r>
              <w:rPr>
                <w:rFonts w:ascii="Arial" w:eastAsia="宋体" w:hAnsi="Arial" w:cs="Arial"/>
                <w:b/>
                <w:bCs/>
                <w:color w:val="000000"/>
                <w:sz w:val="15"/>
                <w:szCs w:val="15"/>
              </w:rPr>
              <w:t>(159)</w:t>
            </w:r>
          </w:p>
        </w:tc>
        <w:tc>
          <w:tcPr>
            <w:tcW w:w="0" w:type="auto"/>
            <w:shd w:val="clear" w:color="auto" w:fill="FFFFFF"/>
            <w:tcMar>
              <w:top w:w="40" w:type="dxa"/>
              <w:left w:w="0" w:type="dxa"/>
              <w:bottom w:w="40" w:type="dxa"/>
              <w:right w:w="20" w:type="dxa"/>
            </w:tcMar>
            <w:vAlign w:val="bottom"/>
          </w:tcPr>
          <w:p w14:paraId="74DD97B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7B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7C0" w14:textId="77777777" w:rsidR="00584EC1" w:rsidRDefault="00871F8D">
            <w:pPr>
              <w:jc w:val="right"/>
              <w:textAlignment w:val="bottom"/>
            </w:pPr>
            <w:r>
              <w:rPr>
                <w:rFonts w:ascii="Arial" w:eastAsia="宋体" w:hAnsi="Arial" w:cs="Arial"/>
                <w:color w:val="000000"/>
                <w:sz w:val="15"/>
                <w:szCs w:val="15"/>
              </w:rPr>
              <w:t>(183)</w:t>
            </w:r>
          </w:p>
        </w:tc>
        <w:tc>
          <w:tcPr>
            <w:tcW w:w="0" w:type="auto"/>
            <w:shd w:val="clear" w:color="auto" w:fill="FFFFFF"/>
            <w:tcMar>
              <w:top w:w="40" w:type="dxa"/>
              <w:left w:w="0" w:type="dxa"/>
              <w:bottom w:w="40" w:type="dxa"/>
              <w:right w:w="20" w:type="dxa"/>
            </w:tcMar>
            <w:vAlign w:val="bottom"/>
          </w:tcPr>
          <w:p w14:paraId="74DD97C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7C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7C3" w14:textId="77777777" w:rsidR="00584EC1" w:rsidRDefault="00871F8D">
            <w:pPr>
              <w:jc w:val="right"/>
              <w:textAlignment w:val="bottom"/>
            </w:pPr>
            <w:r>
              <w:rPr>
                <w:rFonts w:ascii="Arial" w:eastAsia="宋体" w:hAnsi="Arial" w:cs="Arial"/>
                <w:color w:val="000000"/>
                <w:sz w:val="15"/>
                <w:szCs w:val="15"/>
              </w:rPr>
              <w:t>(5)</w:t>
            </w:r>
          </w:p>
        </w:tc>
        <w:tc>
          <w:tcPr>
            <w:tcW w:w="0" w:type="auto"/>
            <w:shd w:val="clear" w:color="auto" w:fill="FFFFFF"/>
            <w:tcMar>
              <w:top w:w="40" w:type="dxa"/>
              <w:left w:w="0" w:type="dxa"/>
              <w:bottom w:w="40" w:type="dxa"/>
              <w:right w:w="20" w:type="dxa"/>
            </w:tcMar>
            <w:vAlign w:val="bottom"/>
          </w:tcPr>
          <w:p w14:paraId="74DD97C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7C5"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7C6" w14:textId="77777777" w:rsidR="00584EC1" w:rsidRDefault="00871F8D">
            <w:pPr>
              <w:jc w:val="right"/>
              <w:textAlignment w:val="bottom"/>
            </w:pPr>
            <w:r>
              <w:rPr>
                <w:rFonts w:ascii="Arial" w:eastAsia="宋体" w:hAnsi="Arial" w:cs="Arial"/>
                <w:color w:val="000000"/>
                <w:sz w:val="15"/>
                <w:szCs w:val="15"/>
              </w:rPr>
              <w:t>(188)</w:t>
            </w:r>
          </w:p>
        </w:tc>
        <w:tc>
          <w:tcPr>
            <w:tcW w:w="0" w:type="auto"/>
            <w:shd w:val="clear" w:color="auto" w:fill="FFFFFF"/>
            <w:tcMar>
              <w:top w:w="40" w:type="dxa"/>
              <w:left w:w="0" w:type="dxa"/>
              <w:bottom w:w="40" w:type="dxa"/>
              <w:right w:w="20" w:type="dxa"/>
            </w:tcMar>
            <w:vAlign w:val="bottom"/>
          </w:tcPr>
          <w:p w14:paraId="74DD97C7" w14:textId="77777777" w:rsidR="00584EC1" w:rsidRDefault="00584EC1">
            <w:pPr>
              <w:jc w:val="right"/>
              <w:rPr>
                <w:rFonts w:ascii="宋体"/>
              </w:rPr>
            </w:pPr>
          </w:p>
        </w:tc>
      </w:tr>
    </w:tbl>
    <w:p w14:paraId="74DD97C9" w14:textId="77777777" w:rsidR="00584EC1" w:rsidRDefault="00584E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2138"/>
        <w:gridCol w:w="36"/>
        <w:gridCol w:w="70"/>
        <w:gridCol w:w="3648"/>
        <w:gridCol w:w="36"/>
      </w:tblGrid>
      <w:tr w:rsidR="00584EC1" w14:paraId="74DD97D3" w14:textId="77777777">
        <w:tc>
          <w:tcPr>
            <w:tcW w:w="50" w:type="pct"/>
            <w:shd w:val="clear" w:color="auto" w:fill="auto"/>
            <w:vAlign w:val="bottom"/>
          </w:tcPr>
          <w:p w14:paraId="74DD97CA" w14:textId="77777777" w:rsidR="00584EC1" w:rsidRDefault="00584EC1">
            <w:pPr>
              <w:rPr>
                <w:rFonts w:ascii="宋体"/>
              </w:rPr>
            </w:pPr>
          </w:p>
        </w:tc>
        <w:tc>
          <w:tcPr>
            <w:tcW w:w="1348" w:type="pct"/>
            <w:shd w:val="clear" w:color="auto" w:fill="auto"/>
            <w:vAlign w:val="bottom"/>
          </w:tcPr>
          <w:p w14:paraId="74DD97CB" w14:textId="77777777" w:rsidR="00584EC1" w:rsidRDefault="00584EC1">
            <w:pPr>
              <w:rPr>
                <w:rFonts w:ascii="宋体"/>
              </w:rPr>
            </w:pPr>
          </w:p>
        </w:tc>
        <w:tc>
          <w:tcPr>
            <w:tcW w:w="5" w:type="pct"/>
            <w:shd w:val="clear" w:color="auto" w:fill="auto"/>
            <w:vAlign w:val="bottom"/>
          </w:tcPr>
          <w:p w14:paraId="74DD97CC" w14:textId="77777777" w:rsidR="00584EC1" w:rsidRDefault="00584EC1">
            <w:pPr>
              <w:rPr>
                <w:rFonts w:ascii="宋体"/>
              </w:rPr>
            </w:pPr>
          </w:p>
        </w:tc>
        <w:tc>
          <w:tcPr>
            <w:tcW w:w="50" w:type="pct"/>
            <w:shd w:val="clear" w:color="auto" w:fill="auto"/>
            <w:vAlign w:val="bottom"/>
          </w:tcPr>
          <w:p w14:paraId="74DD97CD" w14:textId="77777777" w:rsidR="00584EC1" w:rsidRDefault="00584EC1">
            <w:pPr>
              <w:rPr>
                <w:rFonts w:ascii="宋体"/>
              </w:rPr>
            </w:pPr>
          </w:p>
        </w:tc>
        <w:tc>
          <w:tcPr>
            <w:tcW w:w="1290" w:type="pct"/>
            <w:shd w:val="clear" w:color="auto" w:fill="auto"/>
            <w:vAlign w:val="bottom"/>
          </w:tcPr>
          <w:p w14:paraId="74DD97CE" w14:textId="77777777" w:rsidR="00584EC1" w:rsidRDefault="00584EC1">
            <w:pPr>
              <w:rPr>
                <w:rFonts w:ascii="宋体"/>
              </w:rPr>
            </w:pPr>
          </w:p>
        </w:tc>
        <w:tc>
          <w:tcPr>
            <w:tcW w:w="5" w:type="pct"/>
            <w:shd w:val="clear" w:color="auto" w:fill="auto"/>
            <w:vAlign w:val="bottom"/>
          </w:tcPr>
          <w:p w14:paraId="74DD97CF" w14:textId="77777777" w:rsidR="00584EC1" w:rsidRDefault="00584EC1">
            <w:pPr>
              <w:rPr>
                <w:rFonts w:ascii="宋体"/>
              </w:rPr>
            </w:pPr>
          </w:p>
        </w:tc>
        <w:tc>
          <w:tcPr>
            <w:tcW w:w="50" w:type="pct"/>
            <w:shd w:val="clear" w:color="auto" w:fill="auto"/>
            <w:vAlign w:val="bottom"/>
          </w:tcPr>
          <w:p w14:paraId="74DD97D0" w14:textId="77777777" w:rsidR="00584EC1" w:rsidRDefault="00584EC1">
            <w:pPr>
              <w:rPr>
                <w:rFonts w:ascii="宋体"/>
              </w:rPr>
            </w:pPr>
          </w:p>
        </w:tc>
        <w:tc>
          <w:tcPr>
            <w:tcW w:w="2196" w:type="pct"/>
            <w:shd w:val="clear" w:color="auto" w:fill="auto"/>
            <w:vAlign w:val="bottom"/>
          </w:tcPr>
          <w:p w14:paraId="74DD97D1" w14:textId="77777777" w:rsidR="00584EC1" w:rsidRDefault="00584EC1">
            <w:pPr>
              <w:rPr>
                <w:rFonts w:ascii="宋体"/>
              </w:rPr>
            </w:pPr>
          </w:p>
        </w:tc>
        <w:tc>
          <w:tcPr>
            <w:tcW w:w="5" w:type="pct"/>
            <w:shd w:val="clear" w:color="auto" w:fill="auto"/>
            <w:vAlign w:val="bottom"/>
          </w:tcPr>
          <w:p w14:paraId="74DD97D2" w14:textId="77777777" w:rsidR="00584EC1" w:rsidRDefault="00584EC1">
            <w:pPr>
              <w:rPr>
                <w:rFonts w:ascii="宋体"/>
              </w:rPr>
            </w:pPr>
          </w:p>
        </w:tc>
      </w:tr>
      <w:tr w:rsidR="00584EC1" w14:paraId="74DD97D7"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4DD97D4"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97D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97D6" w14:textId="77777777" w:rsidR="00584EC1" w:rsidRDefault="00584EC1">
            <w:pPr>
              <w:rPr>
                <w:rFonts w:ascii="宋体"/>
              </w:rPr>
            </w:pPr>
          </w:p>
        </w:tc>
      </w:tr>
    </w:tbl>
    <w:p w14:paraId="74DD97D8" w14:textId="77777777" w:rsidR="00584EC1" w:rsidRDefault="00871F8D">
      <w:pPr>
        <w:spacing w:before="60"/>
        <w:jc w:val="both"/>
      </w:pPr>
      <w:r>
        <w:rPr>
          <w:rFonts w:ascii="Arial" w:eastAsia="宋体" w:hAnsi="Arial" w:cs="Arial"/>
          <w:color w:val="000000"/>
          <w:sz w:val="8"/>
          <w:szCs w:val="8"/>
        </w:rPr>
        <w:t xml:space="preserve">(1) </w:t>
      </w:r>
      <w:r>
        <w:rPr>
          <w:rFonts w:ascii="Arial" w:eastAsia="宋体" w:hAnsi="Arial" w:cs="Arial"/>
          <w:color w:val="000000"/>
          <w:sz w:val="13"/>
          <w:szCs w:val="13"/>
        </w:rPr>
        <w:t xml:space="preserve">Represents September 30, 2020 results using the enhanced modeling approach including </w:t>
      </w:r>
      <w:r>
        <w:rPr>
          <w:rFonts w:ascii="Arial" w:eastAsia="宋体" w:hAnsi="Arial" w:cs="Arial"/>
          <w:color w:val="000000"/>
          <w:sz w:val="13"/>
          <w:szCs w:val="13"/>
        </w:rPr>
        <w:t>negative interest rates for all currencies that was implemented starting with the December 31, 2020 reporting period.</w:t>
      </w:r>
    </w:p>
    <w:p w14:paraId="74DD97D9" w14:textId="77777777" w:rsidR="00584EC1" w:rsidRDefault="00871F8D">
      <w:pPr>
        <w:spacing w:before="60"/>
        <w:jc w:val="both"/>
      </w:pPr>
      <w:r>
        <w:rPr>
          <w:rFonts w:ascii="Arial" w:eastAsia="宋体" w:hAnsi="Arial" w:cs="Arial"/>
          <w:color w:val="000000"/>
          <w:sz w:val="8"/>
          <w:szCs w:val="8"/>
        </w:rPr>
        <w:t xml:space="preserve">(2) </w:t>
      </w:r>
      <w:r>
        <w:rPr>
          <w:rFonts w:ascii="Arial" w:eastAsia="宋体" w:hAnsi="Arial" w:cs="Arial"/>
          <w:color w:val="000000"/>
          <w:sz w:val="13"/>
          <w:szCs w:val="13"/>
        </w:rPr>
        <w:t xml:space="preserve">The short-end is 0-3 months. The long-end is 5 years and above. Interim term points are interpolated. </w:t>
      </w:r>
    </w:p>
    <w:p w14:paraId="74DD97DA" w14:textId="77777777" w:rsidR="00584EC1" w:rsidRDefault="00871F8D">
      <w:pPr>
        <w:ind w:firstLine="450"/>
        <w:jc w:val="right"/>
      </w:pPr>
      <w:r>
        <w:rPr>
          <w:rFonts w:ascii="Arial" w:eastAsia="宋体" w:hAnsi="Arial" w:cs="Arial"/>
          <w:color w:val="000000"/>
          <w:sz w:val="18"/>
          <w:szCs w:val="18"/>
        </w:rPr>
        <w:t xml:space="preserve">State Street </w:t>
      </w:r>
      <w:r>
        <w:rPr>
          <w:rFonts w:ascii="Arial" w:eastAsia="宋体" w:hAnsi="Arial" w:cs="Arial"/>
          <w:color w:val="000000"/>
          <w:sz w:val="18"/>
          <w:szCs w:val="18"/>
        </w:rPr>
        <w:t>Corporation | 40</w:t>
      </w:r>
    </w:p>
    <w:p w14:paraId="74DD97DB" w14:textId="77777777" w:rsidR="00584EC1" w:rsidRDefault="00584EC1">
      <w:pPr>
        <w:ind w:firstLine="450"/>
        <w:jc w:val="center"/>
      </w:pPr>
    </w:p>
    <w:p w14:paraId="74DD97DC" w14:textId="77777777" w:rsidR="00584EC1" w:rsidRDefault="00871F8D">
      <w:r>
        <w:pict w14:anchorId="74DE2A16">
          <v:rect id="_x0000_i1064" style="width:415.3pt;height:1.5pt" o:hralign="center" o:hrstd="t" o:hr="t" fillcolor="#a0a0a0" stroked="f"/>
        </w:pict>
      </w:r>
    </w:p>
    <w:p w14:paraId="74DD97DD" w14:textId="77777777" w:rsidR="00584EC1" w:rsidRDefault="00871F8D">
      <w:pPr>
        <w:ind w:firstLine="450"/>
        <w:jc w:val="center"/>
      </w:pPr>
      <w:r>
        <w:rPr>
          <w:rFonts w:ascii="Arial" w:eastAsia="宋体" w:hAnsi="Arial" w:cs="Arial"/>
          <w:b/>
          <w:bCs/>
          <w:color w:val="000000"/>
          <w:sz w:val="20"/>
          <w:szCs w:val="20"/>
        </w:rPr>
        <w:t>MANAGEMENT’S DISCUSSION AND ANALYSIS OF FINANCIAL CONDITION</w:t>
      </w:r>
    </w:p>
    <w:p w14:paraId="74DD97DE" w14:textId="77777777" w:rsidR="00584EC1" w:rsidRDefault="00871F8D">
      <w:pPr>
        <w:ind w:firstLine="450"/>
        <w:jc w:val="center"/>
      </w:pPr>
      <w:r>
        <w:rPr>
          <w:rFonts w:ascii="Arial" w:eastAsia="宋体" w:hAnsi="Arial" w:cs="Arial"/>
          <w:b/>
          <w:bCs/>
          <w:color w:val="000000"/>
          <w:sz w:val="20"/>
          <w:szCs w:val="20"/>
        </w:rPr>
        <w:t>AND RESULTS OF OPERATIONS</w:t>
      </w:r>
    </w:p>
    <w:p w14:paraId="74DD97DF" w14:textId="77777777" w:rsidR="00584EC1" w:rsidRDefault="00871F8D">
      <w:pPr>
        <w:ind w:firstLine="450"/>
        <w:jc w:val="both"/>
        <w:textAlignment w:val="top"/>
      </w:pPr>
      <w:r>
        <w:rPr>
          <w:rFonts w:ascii="Arial" w:eastAsia="宋体" w:hAnsi="Arial" w:cs="Arial"/>
          <w:color w:val="000000"/>
          <w:sz w:val="20"/>
          <w:szCs w:val="20"/>
        </w:rPr>
        <w:t>As of September 30, 2021, NII and U.S. dollar NII is expected to benefit from both parallel increases and decreases in interest rates. Compared to Sep</w:t>
      </w:r>
      <w:r>
        <w:rPr>
          <w:rFonts w:ascii="Arial" w:eastAsia="宋体" w:hAnsi="Arial" w:cs="Arial"/>
          <w:color w:val="000000"/>
          <w:sz w:val="20"/>
          <w:szCs w:val="20"/>
        </w:rPr>
        <w:t>tember 30, 2020, our NII and U.S. dollar NII is more sensitive to parallel rate increases, primarily due to higher levels of client deposits. Our projection of an NII benefit to an upward rate shock of +100bps assumes deposit betas remain low, consistent w</w:t>
      </w:r>
      <w:r>
        <w:rPr>
          <w:rFonts w:ascii="Arial" w:eastAsia="宋体" w:hAnsi="Arial" w:cs="Arial"/>
          <w:color w:val="000000"/>
          <w:sz w:val="20"/>
          <w:szCs w:val="20"/>
        </w:rPr>
        <w:t>ith the last rising rate cycle. Our projection also assumes that deposit levels remain relatively consistent with third quarter 2021 averages. We expect that our NII benefit in the +100bps scenarios would be lower if deposits levels decline in a rising rat</w:t>
      </w:r>
      <w:r>
        <w:rPr>
          <w:rFonts w:ascii="Arial" w:eastAsia="宋体" w:hAnsi="Arial" w:cs="Arial"/>
          <w:color w:val="000000"/>
          <w:sz w:val="20"/>
          <w:szCs w:val="20"/>
        </w:rPr>
        <w:t>e environment.</w:t>
      </w:r>
    </w:p>
    <w:p w14:paraId="74DD97E0" w14:textId="77777777" w:rsidR="00584EC1" w:rsidRDefault="00871F8D">
      <w:pPr>
        <w:ind w:firstLine="450"/>
        <w:jc w:val="both"/>
        <w:textAlignment w:val="top"/>
      </w:pPr>
      <w:r>
        <w:rPr>
          <w:rFonts w:ascii="Arial" w:eastAsia="宋体" w:hAnsi="Arial" w:cs="Arial"/>
          <w:color w:val="000000"/>
          <w:sz w:val="20"/>
          <w:szCs w:val="20"/>
        </w:rPr>
        <w:t xml:space="preserve">Compared to September 30, 2020, our NII and U.S. dollar NII benefit to lower rates has increased primarily due to growth in fixed and contractually floored securities and loans. Our projection of an NII benefit from a downward rate shock of </w:t>
      </w:r>
      <w:r>
        <w:rPr>
          <w:rFonts w:ascii="Arial" w:eastAsia="宋体" w:hAnsi="Arial" w:cs="Arial"/>
          <w:color w:val="000000"/>
          <w:sz w:val="20"/>
          <w:szCs w:val="20"/>
        </w:rPr>
        <w:t>-100 bps assumes negative interest rates are charged on client deposits and contractual floors are reached on our securities and loans. NII is also exposed to smaller shocks to short-end U.S. interest rates. If short-end U.S. market interest rates increase</w:t>
      </w:r>
      <w:r>
        <w:rPr>
          <w:rFonts w:ascii="Arial" w:eastAsia="宋体" w:hAnsi="Arial" w:cs="Arial"/>
          <w:color w:val="000000"/>
          <w:sz w:val="20"/>
          <w:szCs w:val="20"/>
        </w:rPr>
        <w:t xml:space="preserve"> or (decrease) by 5 bps, we estimate the annualized impact to be approximately $20 million in higher (or lower) NII primarily due to the impact on our sponsored repo activity. </w:t>
      </w:r>
    </w:p>
    <w:p w14:paraId="74DD97E1" w14:textId="77777777" w:rsidR="00584EC1" w:rsidRDefault="00871F8D">
      <w:pPr>
        <w:spacing w:before="60"/>
        <w:ind w:firstLine="450"/>
        <w:jc w:val="both"/>
        <w:textAlignment w:val="top"/>
      </w:pPr>
      <w:r>
        <w:rPr>
          <w:rFonts w:ascii="Arial" w:eastAsia="宋体" w:hAnsi="Arial" w:cs="Arial"/>
          <w:color w:val="000000"/>
          <w:sz w:val="20"/>
          <w:szCs w:val="20"/>
        </w:rPr>
        <w:t>NII is still positioned to benefit from changes in non-U.S. interest rates with</w:t>
      </w:r>
      <w:r>
        <w:rPr>
          <w:rFonts w:ascii="Arial" w:eastAsia="宋体" w:hAnsi="Arial" w:cs="Arial"/>
          <w:color w:val="000000"/>
          <w:sz w:val="20"/>
          <w:szCs w:val="20"/>
        </w:rPr>
        <w:t xml:space="preserve"> the majority of our sensitivity derived from the short-end of the curve given deposit pricing expectations. Compared to September 30, 2020, our non-U.S. benefit from higher rates increased due to higher non-U.S. deposit balances. Our benefit from lower ra</w:t>
      </w:r>
      <w:r>
        <w:rPr>
          <w:rFonts w:ascii="Arial" w:eastAsia="宋体" w:hAnsi="Arial" w:cs="Arial"/>
          <w:color w:val="000000"/>
          <w:sz w:val="20"/>
          <w:szCs w:val="20"/>
        </w:rPr>
        <w:t>tes decreased due to lower levels of non-U.S. securities.</w:t>
      </w:r>
    </w:p>
    <w:p w14:paraId="74DD97E2" w14:textId="77777777" w:rsidR="00584EC1" w:rsidRDefault="00871F8D">
      <w:pPr>
        <w:spacing w:before="60"/>
        <w:ind w:firstLine="450"/>
        <w:jc w:val="both"/>
        <w:textAlignment w:val="top"/>
      </w:pPr>
      <w:r>
        <w:rPr>
          <w:rFonts w:ascii="Arial" w:eastAsia="宋体" w:hAnsi="Arial" w:cs="Arial"/>
          <w:color w:val="000000"/>
          <w:sz w:val="20"/>
          <w:szCs w:val="20"/>
        </w:rPr>
        <w:t>EVE sensitivity is a discounted cash flow model designed to estimate the fair value of assets and liabilities under a series of interest rate shocks over a long-term horizon. In the following table,</w:t>
      </w:r>
      <w:r>
        <w:rPr>
          <w:rFonts w:ascii="Arial" w:eastAsia="宋体" w:hAnsi="Arial" w:cs="Arial"/>
          <w:color w:val="000000"/>
          <w:sz w:val="20"/>
          <w:szCs w:val="20"/>
        </w:rPr>
        <w:t xml:space="preserve"> we report our EVE sensitivity to 200 bps instantaneous rate shocks, relative to spot interest rates. Management compares the change in EVE sensitivity against our aggregate Tier 1 and Tier 2 risk-based capital, calculated in conformity with current applic</w:t>
      </w:r>
      <w:r>
        <w:rPr>
          <w:rFonts w:ascii="Arial" w:eastAsia="宋体" w:hAnsi="Arial" w:cs="Arial"/>
          <w:color w:val="000000"/>
          <w:sz w:val="20"/>
          <w:szCs w:val="20"/>
        </w:rPr>
        <w:t>able regulatory requirements. EVE sensitivity is dependent on the timing of interest and principal cash flows. Also, the measure only evaluates the spot balance sheet and does not include the impact of new business assumptions.</w:t>
      </w:r>
    </w:p>
    <w:tbl>
      <w:tblPr>
        <w:tblW w:w="5000" w:type="pct"/>
        <w:tblCellMar>
          <w:top w:w="15" w:type="dxa"/>
          <w:left w:w="15" w:type="dxa"/>
          <w:bottom w:w="15" w:type="dxa"/>
          <w:right w:w="15" w:type="dxa"/>
        </w:tblCellMar>
        <w:tblLook w:val="04A0" w:firstRow="1" w:lastRow="0" w:firstColumn="1" w:lastColumn="0" w:noHBand="0" w:noVBand="1"/>
      </w:tblPr>
      <w:tblGrid>
        <w:gridCol w:w="47"/>
        <w:gridCol w:w="2913"/>
        <w:gridCol w:w="36"/>
        <w:gridCol w:w="104"/>
        <w:gridCol w:w="2468"/>
        <w:gridCol w:w="36"/>
        <w:gridCol w:w="36"/>
        <w:gridCol w:w="51"/>
        <w:gridCol w:w="36"/>
        <w:gridCol w:w="104"/>
        <w:gridCol w:w="2469"/>
        <w:gridCol w:w="36"/>
      </w:tblGrid>
      <w:tr w:rsidR="00584EC1" w14:paraId="74DD97EF" w14:textId="77777777">
        <w:tc>
          <w:tcPr>
            <w:tcW w:w="50" w:type="pct"/>
            <w:shd w:val="clear" w:color="auto" w:fill="auto"/>
            <w:vAlign w:val="bottom"/>
          </w:tcPr>
          <w:p w14:paraId="74DD97E3" w14:textId="77777777" w:rsidR="00584EC1" w:rsidRDefault="00584EC1">
            <w:pPr>
              <w:rPr>
                <w:rFonts w:ascii="宋体"/>
              </w:rPr>
            </w:pPr>
          </w:p>
        </w:tc>
        <w:tc>
          <w:tcPr>
            <w:tcW w:w="1768" w:type="pct"/>
            <w:shd w:val="clear" w:color="auto" w:fill="auto"/>
            <w:vAlign w:val="bottom"/>
          </w:tcPr>
          <w:p w14:paraId="74DD97E4" w14:textId="77777777" w:rsidR="00584EC1" w:rsidRDefault="00584EC1">
            <w:pPr>
              <w:rPr>
                <w:rFonts w:ascii="宋体"/>
              </w:rPr>
            </w:pPr>
          </w:p>
        </w:tc>
        <w:tc>
          <w:tcPr>
            <w:tcW w:w="5" w:type="pct"/>
            <w:shd w:val="clear" w:color="auto" w:fill="auto"/>
            <w:vAlign w:val="bottom"/>
          </w:tcPr>
          <w:p w14:paraId="74DD97E5" w14:textId="77777777" w:rsidR="00584EC1" w:rsidRDefault="00584EC1">
            <w:pPr>
              <w:rPr>
                <w:rFonts w:ascii="宋体"/>
              </w:rPr>
            </w:pPr>
          </w:p>
        </w:tc>
        <w:tc>
          <w:tcPr>
            <w:tcW w:w="50" w:type="pct"/>
            <w:shd w:val="clear" w:color="auto" w:fill="auto"/>
            <w:vAlign w:val="bottom"/>
          </w:tcPr>
          <w:p w14:paraId="74DD97E6" w14:textId="77777777" w:rsidR="00584EC1" w:rsidRDefault="00584EC1">
            <w:pPr>
              <w:rPr>
                <w:rFonts w:ascii="宋体"/>
              </w:rPr>
            </w:pPr>
          </w:p>
        </w:tc>
        <w:tc>
          <w:tcPr>
            <w:tcW w:w="1501" w:type="pct"/>
            <w:shd w:val="clear" w:color="auto" w:fill="auto"/>
            <w:vAlign w:val="bottom"/>
          </w:tcPr>
          <w:p w14:paraId="74DD97E7" w14:textId="77777777" w:rsidR="00584EC1" w:rsidRDefault="00584EC1">
            <w:pPr>
              <w:rPr>
                <w:rFonts w:ascii="宋体"/>
              </w:rPr>
            </w:pPr>
          </w:p>
        </w:tc>
        <w:tc>
          <w:tcPr>
            <w:tcW w:w="5" w:type="pct"/>
            <w:shd w:val="clear" w:color="auto" w:fill="auto"/>
            <w:vAlign w:val="bottom"/>
          </w:tcPr>
          <w:p w14:paraId="74DD97E8" w14:textId="77777777" w:rsidR="00584EC1" w:rsidRDefault="00584EC1">
            <w:pPr>
              <w:rPr>
                <w:rFonts w:ascii="宋体"/>
              </w:rPr>
            </w:pPr>
          </w:p>
        </w:tc>
        <w:tc>
          <w:tcPr>
            <w:tcW w:w="5" w:type="pct"/>
            <w:shd w:val="clear" w:color="auto" w:fill="auto"/>
            <w:vAlign w:val="bottom"/>
          </w:tcPr>
          <w:p w14:paraId="74DD97E9" w14:textId="77777777" w:rsidR="00584EC1" w:rsidRDefault="00584EC1">
            <w:pPr>
              <w:rPr>
                <w:rFonts w:ascii="宋体"/>
              </w:rPr>
            </w:pPr>
          </w:p>
        </w:tc>
        <w:tc>
          <w:tcPr>
            <w:tcW w:w="52" w:type="pct"/>
            <w:shd w:val="clear" w:color="auto" w:fill="auto"/>
            <w:vAlign w:val="bottom"/>
          </w:tcPr>
          <w:p w14:paraId="74DD97EA" w14:textId="77777777" w:rsidR="00584EC1" w:rsidRDefault="00584EC1">
            <w:pPr>
              <w:rPr>
                <w:rFonts w:ascii="宋体"/>
              </w:rPr>
            </w:pPr>
          </w:p>
        </w:tc>
        <w:tc>
          <w:tcPr>
            <w:tcW w:w="5" w:type="pct"/>
            <w:shd w:val="clear" w:color="auto" w:fill="auto"/>
            <w:vAlign w:val="bottom"/>
          </w:tcPr>
          <w:p w14:paraId="74DD97EB" w14:textId="77777777" w:rsidR="00584EC1" w:rsidRDefault="00584EC1">
            <w:pPr>
              <w:rPr>
                <w:rFonts w:ascii="宋体"/>
              </w:rPr>
            </w:pPr>
          </w:p>
        </w:tc>
        <w:tc>
          <w:tcPr>
            <w:tcW w:w="50" w:type="pct"/>
            <w:shd w:val="clear" w:color="auto" w:fill="auto"/>
            <w:vAlign w:val="bottom"/>
          </w:tcPr>
          <w:p w14:paraId="74DD97EC" w14:textId="77777777" w:rsidR="00584EC1" w:rsidRDefault="00584EC1">
            <w:pPr>
              <w:rPr>
                <w:rFonts w:ascii="宋体"/>
              </w:rPr>
            </w:pPr>
          </w:p>
        </w:tc>
        <w:tc>
          <w:tcPr>
            <w:tcW w:w="1501" w:type="pct"/>
            <w:shd w:val="clear" w:color="auto" w:fill="auto"/>
            <w:vAlign w:val="bottom"/>
          </w:tcPr>
          <w:p w14:paraId="74DD97ED" w14:textId="77777777" w:rsidR="00584EC1" w:rsidRDefault="00584EC1">
            <w:pPr>
              <w:rPr>
                <w:rFonts w:ascii="宋体"/>
              </w:rPr>
            </w:pPr>
          </w:p>
        </w:tc>
        <w:tc>
          <w:tcPr>
            <w:tcW w:w="5" w:type="pct"/>
            <w:shd w:val="clear" w:color="auto" w:fill="auto"/>
            <w:vAlign w:val="bottom"/>
          </w:tcPr>
          <w:p w14:paraId="74DD97EE" w14:textId="77777777" w:rsidR="00584EC1" w:rsidRDefault="00584EC1">
            <w:pPr>
              <w:rPr>
                <w:rFonts w:ascii="宋体"/>
              </w:rPr>
            </w:pPr>
          </w:p>
        </w:tc>
      </w:tr>
      <w:tr w:rsidR="00584EC1" w14:paraId="74DD97F1" w14:textId="77777777">
        <w:tc>
          <w:tcPr>
            <w:tcW w:w="0" w:type="auto"/>
            <w:gridSpan w:val="12"/>
            <w:shd w:val="clear" w:color="auto" w:fill="auto"/>
            <w:tcMar>
              <w:top w:w="40" w:type="dxa"/>
              <w:left w:w="20" w:type="dxa"/>
              <w:bottom w:w="40" w:type="dxa"/>
              <w:right w:w="20" w:type="dxa"/>
            </w:tcMar>
            <w:vAlign w:val="bottom"/>
          </w:tcPr>
          <w:p w14:paraId="74DD97F0" w14:textId="77777777" w:rsidR="00584EC1" w:rsidRDefault="00871F8D">
            <w:pPr>
              <w:textAlignment w:val="bottom"/>
            </w:pPr>
            <w:r>
              <w:rPr>
                <w:rFonts w:ascii="Arial" w:eastAsia="宋体" w:hAnsi="Arial" w:cs="Arial"/>
                <w:b/>
                <w:bCs/>
                <w:color w:val="000000"/>
                <w:sz w:val="16"/>
                <w:szCs w:val="16"/>
              </w:rPr>
              <w:t xml:space="preserve">TABLE 34: </w:t>
            </w:r>
            <w:r>
              <w:rPr>
                <w:rFonts w:ascii="Arial" w:eastAsia="宋体" w:hAnsi="Arial" w:cs="Arial"/>
                <w:b/>
                <w:bCs/>
                <w:color w:val="000000"/>
                <w:sz w:val="16"/>
                <w:szCs w:val="16"/>
              </w:rPr>
              <w:t>ECONOMIC VALUE OF EQUITY SENSITIVITY</w:t>
            </w:r>
          </w:p>
        </w:tc>
      </w:tr>
      <w:tr w:rsidR="00584EC1" w14:paraId="74DD97F4" w14:textId="77777777">
        <w:tc>
          <w:tcPr>
            <w:tcW w:w="0" w:type="auto"/>
            <w:gridSpan w:val="3"/>
            <w:shd w:val="clear" w:color="auto" w:fill="auto"/>
            <w:tcMar>
              <w:top w:w="0" w:type="dxa"/>
              <w:left w:w="20" w:type="dxa"/>
              <w:bottom w:w="0" w:type="dxa"/>
              <w:right w:w="20" w:type="dxa"/>
            </w:tcMar>
            <w:vAlign w:val="bottom"/>
          </w:tcPr>
          <w:p w14:paraId="74DD97F2" w14:textId="77777777" w:rsidR="00584EC1" w:rsidRDefault="00584EC1">
            <w:pPr>
              <w:rPr>
                <w:rFonts w:ascii="宋体"/>
              </w:rPr>
            </w:pPr>
          </w:p>
        </w:tc>
        <w:tc>
          <w:tcPr>
            <w:tcW w:w="0" w:type="auto"/>
            <w:gridSpan w:val="9"/>
            <w:shd w:val="clear" w:color="auto" w:fill="auto"/>
            <w:tcMar>
              <w:top w:w="40" w:type="dxa"/>
              <w:left w:w="20" w:type="dxa"/>
              <w:bottom w:w="40" w:type="dxa"/>
              <w:right w:w="20" w:type="dxa"/>
            </w:tcMar>
            <w:vAlign w:val="bottom"/>
          </w:tcPr>
          <w:p w14:paraId="74DD97F3" w14:textId="77777777" w:rsidR="00584EC1" w:rsidRDefault="00871F8D">
            <w:pPr>
              <w:jc w:val="center"/>
              <w:textAlignment w:val="bottom"/>
            </w:pPr>
            <w:r>
              <w:rPr>
                <w:rFonts w:ascii="Arial" w:eastAsia="宋体" w:hAnsi="Arial" w:cs="Arial"/>
                <w:b/>
                <w:bCs/>
                <w:color w:val="000000"/>
                <w:sz w:val="15"/>
                <w:szCs w:val="15"/>
              </w:rPr>
              <w:t>As of September 30,</w:t>
            </w:r>
          </w:p>
        </w:tc>
      </w:tr>
      <w:tr w:rsidR="00584EC1" w14:paraId="74DD97F9" w14:textId="77777777">
        <w:tc>
          <w:tcPr>
            <w:tcW w:w="0" w:type="auto"/>
            <w:gridSpan w:val="3"/>
            <w:shd w:val="clear" w:color="auto" w:fill="auto"/>
            <w:tcMar>
              <w:top w:w="40" w:type="dxa"/>
              <w:left w:w="20" w:type="dxa"/>
              <w:bottom w:w="40" w:type="dxa"/>
              <w:right w:w="20" w:type="dxa"/>
            </w:tcMar>
            <w:vAlign w:val="bottom"/>
          </w:tcPr>
          <w:p w14:paraId="74DD97F5" w14:textId="77777777" w:rsidR="00584EC1" w:rsidRDefault="00871F8D">
            <w:pPr>
              <w:textAlignment w:val="bottom"/>
            </w:pPr>
            <w:r>
              <w:rPr>
                <w:rFonts w:ascii="Arial" w:eastAsia="宋体" w:hAnsi="Arial" w:cs="Arial"/>
                <w:b/>
                <w:bCs/>
                <w:color w:val="000000"/>
                <w:sz w:val="15"/>
                <w:szCs w:val="15"/>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97F6" w14:textId="77777777" w:rsidR="00584EC1" w:rsidRDefault="00871F8D">
            <w:pPr>
              <w:jc w:val="center"/>
              <w:textAlignment w:val="bottom"/>
            </w:pPr>
            <w:r>
              <w:rPr>
                <w:rFonts w:ascii="Arial" w:eastAsia="宋体" w:hAnsi="Arial" w:cs="Arial"/>
                <w:b/>
                <w:bCs/>
                <w:color w:val="000000"/>
                <w:sz w:val="15"/>
                <w:szCs w:val="15"/>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7F7" w14:textId="77777777" w:rsidR="00584EC1" w:rsidRDefault="00584EC1">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4DD97F8" w14:textId="77777777" w:rsidR="00584EC1" w:rsidRDefault="00871F8D">
            <w:pPr>
              <w:jc w:val="center"/>
              <w:textAlignment w:val="bottom"/>
            </w:pPr>
            <w:r>
              <w:rPr>
                <w:rFonts w:ascii="Arial" w:eastAsia="宋体" w:hAnsi="Arial" w:cs="Arial"/>
                <w:b/>
                <w:bCs/>
                <w:color w:val="000000"/>
                <w:sz w:val="15"/>
                <w:szCs w:val="15"/>
              </w:rPr>
              <w:t>2020</w:t>
            </w:r>
          </w:p>
        </w:tc>
      </w:tr>
      <w:tr w:rsidR="00584EC1" w14:paraId="74DD97FC" w14:textId="77777777">
        <w:tc>
          <w:tcPr>
            <w:tcW w:w="0" w:type="auto"/>
            <w:gridSpan w:val="3"/>
            <w:shd w:val="clear" w:color="auto" w:fill="auto"/>
            <w:tcMar>
              <w:top w:w="40" w:type="dxa"/>
              <w:left w:w="20" w:type="dxa"/>
              <w:bottom w:w="40" w:type="dxa"/>
              <w:right w:w="20" w:type="dxa"/>
            </w:tcMar>
            <w:vAlign w:val="bottom"/>
          </w:tcPr>
          <w:p w14:paraId="74DD97FA" w14:textId="77777777" w:rsidR="00584EC1" w:rsidRDefault="00871F8D">
            <w:pPr>
              <w:textAlignment w:val="bottom"/>
            </w:pPr>
            <w:r>
              <w:rPr>
                <w:rFonts w:ascii="Arial" w:eastAsia="宋体" w:hAnsi="Arial" w:cs="Arial"/>
                <w:color w:val="000000"/>
                <w:sz w:val="15"/>
                <w:szCs w:val="15"/>
              </w:rPr>
              <w:t>Rate change:</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4DD97FB" w14:textId="77777777" w:rsidR="00584EC1" w:rsidRDefault="00871F8D">
            <w:pPr>
              <w:jc w:val="center"/>
              <w:textAlignment w:val="bottom"/>
            </w:pPr>
            <w:r>
              <w:rPr>
                <w:rFonts w:ascii="Arial" w:eastAsia="宋体" w:hAnsi="Arial" w:cs="Arial"/>
                <w:b/>
                <w:bCs/>
                <w:color w:val="000000"/>
                <w:sz w:val="15"/>
                <w:szCs w:val="15"/>
              </w:rPr>
              <w:t>Benefit (Exposure)</w:t>
            </w:r>
          </w:p>
        </w:tc>
      </w:tr>
      <w:tr w:rsidR="00584EC1" w14:paraId="74DD9805" w14:textId="77777777">
        <w:tc>
          <w:tcPr>
            <w:tcW w:w="0" w:type="auto"/>
            <w:gridSpan w:val="3"/>
            <w:shd w:val="clear" w:color="auto" w:fill="CCEEFF"/>
            <w:tcMar>
              <w:top w:w="40" w:type="dxa"/>
              <w:left w:w="20" w:type="dxa"/>
              <w:bottom w:w="40" w:type="dxa"/>
              <w:right w:w="20" w:type="dxa"/>
            </w:tcMar>
            <w:vAlign w:val="bottom"/>
          </w:tcPr>
          <w:p w14:paraId="74DD97FD" w14:textId="77777777" w:rsidR="00584EC1" w:rsidRDefault="00871F8D">
            <w:pPr>
              <w:textAlignment w:val="bottom"/>
            </w:pPr>
            <w:r>
              <w:rPr>
                <w:rFonts w:ascii="Arial" w:eastAsia="宋体" w:hAnsi="Arial" w:cs="Arial"/>
                <w:color w:val="000000"/>
                <w:sz w:val="15"/>
                <w:szCs w:val="15"/>
              </w:rPr>
              <w:t>+200 bps shock</w:t>
            </w:r>
          </w:p>
        </w:tc>
        <w:tc>
          <w:tcPr>
            <w:tcW w:w="0" w:type="auto"/>
            <w:tcBorders>
              <w:top w:val="single" w:sz="8" w:space="0" w:color="000000"/>
            </w:tcBorders>
            <w:shd w:val="clear" w:color="auto" w:fill="CCEEFF"/>
            <w:tcMar>
              <w:top w:w="40" w:type="dxa"/>
              <w:left w:w="20" w:type="dxa"/>
              <w:bottom w:w="40" w:type="dxa"/>
              <w:right w:w="0" w:type="dxa"/>
            </w:tcMar>
            <w:vAlign w:val="bottom"/>
          </w:tcPr>
          <w:p w14:paraId="74DD97FE" w14:textId="77777777" w:rsidR="00584EC1" w:rsidRDefault="00871F8D">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97FF" w14:textId="77777777" w:rsidR="00584EC1" w:rsidRDefault="00871F8D">
            <w:pPr>
              <w:jc w:val="right"/>
              <w:textAlignment w:val="bottom"/>
            </w:pPr>
            <w:r>
              <w:rPr>
                <w:rFonts w:ascii="Arial" w:eastAsia="宋体" w:hAnsi="Arial" w:cs="Arial"/>
                <w:b/>
                <w:bCs/>
                <w:color w:val="000000"/>
                <w:sz w:val="15"/>
                <w:szCs w:val="15"/>
              </w:rPr>
              <w:t>(1,587)</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800" w14:textId="77777777" w:rsidR="00584EC1" w:rsidRDefault="00584EC1">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4DD9801"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9802"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9803" w14:textId="77777777" w:rsidR="00584EC1" w:rsidRDefault="00871F8D">
            <w:pPr>
              <w:jc w:val="right"/>
              <w:textAlignment w:val="bottom"/>
            </w:pPr>
            <w:r>
              <w:rPr>
                <w:rFonts w:ascii="Arial" w:eastAsia="宋体" w:hAnsi="Arial" w:cs="Arial"/>
                <w:color w:val="000000"/>
                <w:sz w:val="15"/>
                <w:szCs w:val="15"/>
              </w:rPr>
              <w:t>(1,725)</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804" w14:textId="77777777" w:rsidR="00584EC1" w:rsidRDefault="00584EC1">
            <w:pPr>
              <w:jc w:val="right"/>
              <w:rPr>
                <w:rFonts w:ascii="宋体"/>
              </w:rPr>
            </w:pPr>
          </w:p>
        </w:tc>
      </w:tr>
      <w:tr w:rsidR="00584EC1" w14:paraId="74DD980C" w14:textId="77777777">
        <w:tc>
          <w:tcPr>
            <w:tcW w:w="0" w:type="auto"/>
            <w:gridSpan w:val="3"/>
            <w:shd w:val="clear" w:color="auto" w:fill="FFFFFF"/>
            <w:tcMar>
              <w:top w:w="40" w:type="dxa"/>
              <w:left w:w="20" w:type="dxa"/>
              <w:bottom w:w="40" w:type="dxa"/>
              <w:right w:w="20" w:type="dxa"/>
            </w:tcMar>
            <w:vAlign w:val="bottom"/>
          </w:tcPr>
          <w:p w14:paraId="74DD9806" w14:textId="77777777" w:rsidR="00584EC1" w:rsidRDefault="00871F8D">
            <w:pPr>
              <w:textAlignment w:val="bottom"/>
            </w:pPr>
            <w:r>
              <w:rPr>
                <w:rFonts w:ascii="Arial" w:eastAsia="宋体" w:hAnsi="Arial" w:cs="Arial"/>
                <w:color w:val="000000"/>
                <w:sz w:val="15"/>
                <w:szCs w:val="15"/>
              </w:rPr>
              <w:t>–200 bps shock</w:t>
            </w:r>
          </w:p>
        </w:tc>
        <w:tc>
          <w:tcPr>
            <w:tcW w:w="0" w:type="auto"/>
            <w:gridSpan w:val="2"/>
            <w:shd w:val="clear" w:color="auto" w:fill="FFFFFF"/>
            <w:tcMar>
              <w:top w:w="40" w:type="dxa"/>
              <w:left w:w="20" w:type="dxa"/>
              <w:bottom w:w="40" w:type="dxa"/>
              <w:right w:w="0" w:type="dxa"/>
            </w:tcMar>
            <w:vAlign w:val="bottom"/>
          </w:tcPr>
          <w:p w14:paraId="74DD9807" w14:textId="77777777" w:rsidR="00584EC1" w:rsidRDefault="00871F8D">
            <w:pPr>
              <w:jc w:val="right"/>
              <w:textAlignment w:val="bottom"/>
            </w:pPr>
            <w:r>
              <w:rPr>
                <w:rFonts w:ascii="Arial" w:eastAsia="宋体" w:hAnsi="Arial" w:cs="Arial"/>
                <w:b/>
                <w:bCs/>
                <w:color w:val="000000"/>
                <w:sz w:val="15"/>
                <w:szCs w:val="15"/>
              </w:rPr>
              <w:t>4,816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980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80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80A" w14:textId="77777777" w:rsidR="00584EC1" w:rsidRDefault="00871F8D">
            <w:pPr>
              <w:jc w:val="right"/>
              <w:textAlignment w:val="bottom"/>
            </w:pPr>
            <w:r>
              <w:rPr>
                <w:rFonts w:ascii="Arial" w:eastAsia="宋体" w:hAnsi="Arial" w:cs="Arial"/>
                <w:color w:val="000000"/>
                <w:sz w:val="15"/>
                <w:szCs w:val="15"/>
              </w:rPr>
              <w:t>5,145 </w:t>
            </w:r>
          </w:p>
        </w:tc>
        <w:tc>
          <w:tcPr>
            <w:tcW w:w="0" w:type="auto"/>
            <w:shd w:val="clear" w:color="auto" w:fill="FFFFFF"/>
            <w:tcMar>
              <w:top w:w="40" w:type="dxa"/>
              <w:left w:w="0" w:type="dxa"/>
              <w:bottom w:w="40" w:type="dxa"/>
              <w:right w:w="20" w:type="dxa"/>
            </w:tcMar>
            <w:vAlign w:val="bottom"/>
          </w:tcPr>
          <w:p w14:paraId="74DD980B" w14:textId="77777777" w:rsidR="00584EC1" w:rsidRDefault="00584EC1">
            <w:pPr>
              <w:jc w:val="right"/>
              <w:rPr>
                <w:rFonts w:ascii="宋体"/>
              </w:rPr>
            </w:pPr>
          </w:p>
        </w:tc>
      </w:tr>
      <w:tr w:rsidR="00584EC1" w14:paraId="74DD9811" w14:textId="77777777">
        <w:trPr>
          <w:hidden/>
        </w:trPr>
        <w:tc>
          <w:tcPr>
            <w:tcW w:w="0" w:type="auto"/>
            <w:gridSpan w:val="3"/>
            <w:shd w:val="clear" w:color="auto" w:fill="auto"/>
            <w:vAlign w:val="bottom"/>
          </w:tcPr>
          <w:p w14:paraId="74DD980D" w14:textId="77777777" w:rsidR="00584EC1" w:rsidRDefault="00584EC1">
            <w:pPr>
              <w:rPr>
                <w:rFonts w:ascii="宋体"/>
                <w:vanish/>
              </w:rPr>
            </w:pPr>
          </w:p>
        </w:tc>
        <w:tc>
          <w:tcPr>
            <w:tcW w:w="0" w:type="auto"/>
            <w:gridSpan w:val="3"/>
            <w:shd w:val="clear" w:color="auto" w:fill="auto"/>
            <w:vAlign w:val="bottom"/>
          </w:tcPr>
          <w:p w14:paraId="74DD980E" w14:textId="77777777" w:rsidR="00584EC1" w:rsidRDefault="00584EC1">
            <w:pPr>
              <w:rPr>
                <w:rFonts w:ascii="宋体"/>
                <w:vanish/>
              </w:rPr>
            </w:pPr>
          </w:p>
        </w:tc>
        <w:tc>
          <w:tcPr>
            <w:tcW w:w="0" w:type="auto"/>
            <w:gridSpan w:val="3"/>
            <w:shd w:val="clear" w:color="auto" w:fill="auto"/>
            <w:vAlign w:val="bottom"/>
          </w:tcPr>
          <w:p w14:paraId="74DD980F" w14:textId="77777777" w:rsidR="00584EC1" w:rsidRDefault="00584EC1">
            <w:pPr>
              <w:rPr>
                <w:rFonts w:ascii="宋体"/>
                <w:vanish/>
              </w:rPr>
            </w:pPr>
          </w:p>
        </w:tc>
        <w:tc>
          <w:tcPr>
            <w:tcW w:w="0" w:type="auto"/>
            <w:gridSpan w:val="3"/>
            <w:shd w:val="clear" w:color="auto" w:fill="auto"/>
            <w:vAlign w:val="bottom"/>
          </w:tcPr>
          <w:p w14:paraId="74DD9810" w14:textId="77777777" w:rsidR="00584EC1" w:rsidRDefault="00584EC1">
            <w:pPr>
              <w:rPr>
                <w:rFonts w:ascii="宋体"/>
                <w:vanish/>
              </w:rPr>
            </w:pPr>
          </w:p>
        </w:tc>
      </w:tr>
    </w:tbl>
    <w:p w14:paraId="74DD9812" w14:textId="77777777" w:rsidR="00584EC1" w:rsidRDefault="00871F8D">
      <w:pPr>
        <w:spacing w:before="60"/>
        <w:ind w:firstLine="450"/>
        <w:jc w:val="both"/>
        <w:textAlignment w:val="top"/>
      </w:pPr>
      <w:r>
        <w:rPr>
          <w:rFonts w:ascii="Arial" w:eastAsia="宋体" w:hAnsi="Arial" w:cs="Arial"/>
          <w:color w:val="000000"/>
          <w:sz w:val="20"/>
          <w:szCs w:val="20"/>
        </w:rPr>
        <w:t xml:space="preserve">As of September 30, 2021, EVE sensitivity remains exposed to upward shifts in interest rates. Compared to September 30, 2020, our sensitivity in both the up and down 200 shock scenarios </w:t>
      </w:r>
    </w:p>
    <w:p w14:paraId="74DD9813" w14:textId="77777777" w:rsidR="00584EC1" w:rsidRDefault="00871F8D">
      <w:pPr>
        <w:spacing w:before="60"/>
        <w:jc w:val="both"/>
        <w:textAlignment w:val="top"/>
      </w:pPr>
      <w:r>
        <w:rPr>
          <w:rFonts w:ascii="Arial" w:eastAsia="宋体" w:hAnsi="Arial" w:cs="Arial"/>
          <w:color w:val="000000"/>
          <w:sz w:val="20"/>
          <w:szCs w:val="20"/>
        </w:rPr>
        <w:t>decreased due to higher client deposits, partially offset by growth i</w:t>
      </w:r>
      <w:r>
        <w:rPr>
          <w:rFonts w:ascii="Arial" w:eastAsia="宋体" w:hAnsi="Arial" w:cs="Arial"/>
          <w:color w:val="000000"/>
          <w:sz w:val="20"/>
          <w:szCs w:val="20"/>
        </w:rPr>
        <w:t>n our securities portfolio and interest rate hedging activity.</w:t>
      </w:r>
    </w:p>
    <w:p w14:paraId="74DD9814" w14:textId="77777777" w:rsidR="00584EC1" w:rsidRDefault="00871F8D">
      <w:pPr>
        <w:spacing w:before="60"/>
        <w:ind w:firstLine="450"/>
        <w:jc w:val="both"/>
        <w:textAlignment w:val="top"/>
      </w:pPr>
      <w:r>
        <w:rPr>
          <w:rFonts w:ascii="Arial" w:eastAsia="宋体" w:hAnsi="Arial" w:cs="Arial"/>
          <w:color w:val="000000"/>
          <w:sz w:val="20"/>
          <w:szCs w:val="20"/>
        </w:rPr>
        <w:t>Both NII sensitivity and EVE sensitivity are routinely monitored as market conditions change. For additional information about our Asset and Liability Management Activities, refer to "Risk Mana</w:t>
      </w:r>
      <w:r>
        <w:rPr>
          <w:rFonts w:ascii="Arial" w:eastAsia="宋体" w:hAnsi="Arial" w:cs="Arial"/>
          <w:color w:val="000000"/>
          <w:sz w:val="20"/>
          <w:szCs w:val="20"/>
        </w:rPr>
        <w:t>gement" in this Management's Discussion and Analysis of Financial Condition and Results of Operations.</w:t>
      </w:r>
    </w:p>
    <w:p w14:paraId="74DD9815" w14:textId="77777777" w:rsidR="00584EC1" w:rsidRDefault="00871F8D">
      <w:pPr>
        <w:spacing w:before="90"/>
        <w:jc w:val="both"/>
        <w:textAlignment w:val="top"/>
      </w:pPr>
      <w:r>
        <w:rPr>
          <w:rFonts w:ascii="Arial" w:eastAsia="宋体" w:hAnsi="Arial" w:cs="Arial"/>
          <w:b/>
          <w:bCs/>
          <w:color w:val="000000"/>
          <w:sz w:val="20"/>
          <w:szCs w:val="20"/>
        </w:rPr>
        <w:t xml:space="preserve">Model Risk Management </w:t>
      </w:r>
    </w:p>
    <w:p w14:paraId="74DD9816" w14:textId="77777777" w:rsidR="00584EC1" w:rsidRDefault="00871F8D">
      <w:pPr>
        <w:spacing w:before="60"/>
        <w:ind w:firstLine="450"/>
        <w:jc w:val="both"/>
        <w:textAlignment w:val="top"/>
      </w:pPr>
      <w:r>
        <w:rPr>
          <w:rFonts w:ascii="Arial" w:eastAsia="宋体" w:hAnsi="Arial" w:cs="Arial"/>
          <w:color w:val="000000"/>
          <w:sz w:val="20"/>
          <w:szCs w:val="20"/>
        </w:rPr>
        <w:t>The use of models is widespread throughout the financial services industry, with large and complex organizations relying on sophis</w:t>
      </w:r>
      <w:r>
        <w:rPr>
          <w:rFonts w:ascii="Arial" w:eastAsia="宋体" w:hAnsi="Arial" w:cs="Arial"/>
          <w:color w:val="000000"/>
          <w:sz w:val="20"/>
          <w:szCs w:val="20"/>
        </w:rPr>
        <w:t>ticated models to support numerous aspects of their financial decision making. The models contemporaneously represent both a significant advancement in financial management and a source of risk. In large banking organizations like us, model results influen</w:t>
      </w:r>
      <w:r>
        <w:rPr>
          <w:rFonts w:ascii="Arial" w:eastAsia="宋体" w:hAnsi="Arial" w:cs="Arial"/>
          <w:color w:val="000000"/>
          <w:sz w:val="20"/>
          <w:szCs w:val="20"/>
        </w:rPr>
        <w:t>ce business decisions, and model failure could have a harmful effect on our financial performance. As a result, the Model Risk Management Framework seeks to mitigate our model risk.</w:t>
      </w:r>
    </w:p>
    <w:p w14:paraId="74DD9817" w14:textId="77777777" w:rsidR="00584EC1" w:rsidRDefault="00871F8D">
      <w:pPr>
        <w:spacing w:before="60"/>
        <w:ind w:firstLine="450"/>
        <w:jc w:val="both"/>
        <w:textAlignment w:val="top"/>
      </w:pPr>
      <w:r>
        <w:rPr>
          <w:rFonts w:ascii="Arial" w:eastAsia="宋体" w:hAnsi="Arial" w:cs="Arial"/>
          <w:color w:val="000000"/>
          <w:sz w:val="20"/>
          <w:szCs w:val="20"/>
        </w:rPr>
        <w:t>For additional information about our model risk management framework, incl</w:t>
      </w:r>
      <w:r>
        <w:rPr>
          <w:rFonts w:ascii="Arial" w:eastAsia="宋体" w:hAnsi="Arial" w:cs="Arial"/>
          <w:color w:val="000000"/>
          <w:sz w:val="20"/>
          <w:szCs w:val="20"/>
        </w:rPr>
        <w:t>uding our governance and model validation, refer to pages 112 to 113 included under Item 7, Management's Discussion and Analysis of Financial Condition and Results of Operations, "Model Risk Management", in our 2020 Form 10-K.</w:t>
      </w:r>
    </w:p>
    <w:p w14:paraId="74DD9818" w14:textId="77777777" w:rsidR="00584EC1" w:rsidRDefault="00871F8D">
      <w:pPr>
        <w:spacing w:before="90"/>
        <w:textAlignment w:val="top"/>
      </w:pPr>
      <w:r>
        <w:rPr>
          <w:rFonts w:ascii="Arial" w:eastAsia="宋体" w:hAnsi="Arial" w:cs="Arial"/>
          <w:b/>
          <w:bCs/>
          <w:color w:val="000000"/>
          <w:sz w:val="20"/>
          <w:szCs w:val="20"/>
        </w:rPr>
        <w:t xml:space="preserve">Strategic Risk Management </w:t>
      </w:r>
    </w:p>
    <w:p w14:paraId="74DD9819" w14:textId="77777777" w:rsidR="00584EC1" w:rsidRDefault="00871F8D">
      <w:pPr>
        <w:spacing w:before="60"/>
        <w:ind w:firstLine="450"/>
        <w:jc w:val="both"/>
        <w:textAlignment w:val="top"/>
      </w:pPr>
      <w:r>
        <w:rPr>
          <w:rFonts w:ascii="Arial" w:eastAsia="宋体" w:hAnsi="Arial" w:cs="Arial"/>
          <w:color w:val="000000"/>
          <w:sz w:val="20"/>
          <w:szCs w:val="20"/>
        </w:rPr>
        <w:t>We</w:t>
      </w:r>
      <w:r>
        <w:rPr>
          <w:rFonts w:ascii="Arial" w:eastAsia="宋体" w:hAnsi="Arial" w:cs="Arial"/>
          <w:color w:val="000000"/>
          <w:sz w:val="20"/>
          <w:szCs w:val="20"/>
        </w:rPr>
        <w:t xml:space="preserve"> define strategic risk as the current or prospective impact on earnings or capital arising from adverse business decisions, improper implementation of strategic initiatives, or lack of responsiveness to industry-wide changes. Strategic risks are influenced</w:t>
      </w:r>
      <w:r>
        <w:rPr>
          <w:rFonts w:ascii="Arial" w:eastAsia="宋体" w:hAnsi="Arial" w:cs="Arial"/>
          <w:color w:val="000000"/>
          <w:sz w:val="20"/>
          <w:szCs w:val="20"/>
        </w:rPr>
        <w:t xml:space="preserve"> by changes in the competitive environment; decline in market performance or changes in our business activities; and the potential secondary impacts of reputational risks, not already captured as market, interest rate, credit, operational, model or liquidi</w:t>
      </w:r>
      <w:r>
        <w:rPr>
          <w:rFonts w:ascii="Arial" w:eastAsia="宋体" w:hAnsi="Arial" w:cs="Arial"/>
          <w:color w:val="000000"/>
          <w:sz w:val="20"/>
          <w:szCs w:val="20"/>
        </w:rPr>
        <w:t>ty risks. We incorporate strategic risk into our assessment of our business plans and risk and capital management processes.</w:t>
      </w:r>
    </w:p>
    <w:p w14:paraId="74DD981A" w14:textId="77777777" w:rsidR="00584EC1" w:rsidRDefault="00871F8D">
      <w:pPr>
        <w:spacing w:before="60"/>
        <w:ind w:firstLine="450"/>
        <w:jc w:val="both"/>
        <w:textAlignment w:val="top"/>
      </w:pPr>
      <w:r>
        <w:rPr>
          <w:rFonts w:ascii="Arial" w:eastAsia="宋体" w:hAnsi="Arial" w:cs="Arial"/>
          <w:color w:val="000000"/>
          <w:sz w:val="20"/>
          <w:szCs w:val="20"/>
        </w:rPr>
        <w:t>On March 5, 2021, the Intercontinental Exchange Benchmark Administration announced, in conjunction with the United Kingdom Financia</w:t>
      </w:r>
      <w:r>
        <w:rPr>
          <w:rFonts w:ascii="Arial" w:eastAsia="宋体" w:hAnsi="Arial" w:cs="Arial"/>
          <w:color w:val="000000"/>
          <w:sz w:val="20"/>
          <w:szCs w:val="20"/>
        </w:rPr>
        <w:t>l Conduct Authority (FCA), that it would cease the publication of GBP, EUR, Swiss Franc and the Japanese Yen LIBOR settings for all tenors, as well as one week and two months U.S. dollar LIBOR settings on December 31, 2021 and would cease the publication o</w:t>
      </w:r>
      <w:r>
        <w:rPr>
          <w:rFonts w:ascii="Arial" w:eastAsia="宋体" w:hAnsi="Arial" w:cs="Arial"/>
          <w:color w:val="000000"/>
          <w:sz w:val="20"/>
          <w:szCs w:val="20"/>
        </w:rPr>
        <w:t>f overnight and twelve months U.S. dollar LIBOR settings on June 30, 2023.</w:t>
      </w:r>
    </w:p>
    <w:p w14:paraId="74DD981B" w14:textId="77777777" w:rsidR="00584EC1" w:rsidRDefault="00871F8D">
      <w:pPr>
        <w:spacing w:before="60"/>
        <w:ind w:firstLine="450"/>
        <w:jc w:val="both"/>
        <w:textAlignment w:val="top"/>
      </w:pPr>
      <w:r>
        <w:rPr>
          <w:rFonts w:ascii="Arial" w:eastAsia="宋体" w:hAnsi="Arial" w:cs="Arial"/>
          <w:color w:val="000000"/>
          <w:sz w:val="20"/>
          <w:szCs w:val="20"/>
        </w:rPr>
        <w:t xml:space="preserve">On April 6, 2021, the state of New York adopted Alternative Reference Rate Committee sponsored </w:t>
      </w:r>
    </w:p>
    <w:p w14:paraId="74DD981C" w14:textId="77777777" w:rsidR="00584EC1" w:rsidRDefault="00871F8D">
      <w:pPr>
        <w:ind w:firstLine="450"/>
        <w:jc w:val="right"/>
      </w:pPr>
      <w:r>
        <w:rPr>
          <w:rFonts w:ascii="Arial" w:eastAsia="宋体" w:hAnsi="Arial" w:cs="Arial"/>
          <w:color w:val="000000"/>
          <w:sz w:val="18"/>
          <w:szCs w:val="18"/>
        </w:rPr>
        <w:t>State Street Corporation | 41</w:t>
      </w:r>
    </w:p>
    <w:p w14:paraId="74DD981D" w14:textId="77777777" w:rsidR="00584EC1" w:rsidRDefault="00584EC1">
      <w:pPr>
        <w:ind w:firstLine="450"/>
        <w:jc w:val="center"/>
      </w:pPr>
    </w:p>
    <w:p w14:paraId="74DD981E" w14:textId="77777777" w:rsidR="00584EC1" w:rsidRDefault="00871F8D">
      <w:r>
        <w:pict w14:anchorId="74DE2A17">
          <v:rect id="_x0000_i1065" style="width:415.3pt;height:1.5pt" o:hralign="center" o:hrstd="t" o:hr="t" fillcolor="#a0a0a0" stroked="f"/>
        </w:pict>
      </w:r>
    </w:p>
    <w:p w14:paraId="74DD981F" w14:textId="77777777" w:rsidR="00584EC1" w:rsidRDefault="00871F8D">
      <w:pPr>
        <w:ind w:firstLine="450"/>
        <w:jc w:val="center"/>
      </w:pPr>
      <w:r>
        <w:rPr>
          <w:rFonts w:ascii="Arial" w:eastAsia="宋体" w:hAnsi="Arial" w:cs="Arial"/>
          <w:b/>
          <w:bCs/>
          <w:color w:val="000000"/>
          <w:sz w:val="20"/>
          <w:szCs w:val="20"/>
        </w:rPr>
        <w:t xml:space="preserve">MANAGEMENT’S DISCUSSION AND ANALYSIS OF </w:t>
      </w:r>
      <w:r>
        <w:rPr>
          <w:rFonts w:ascii="Arial" w:eastAsia="宋体" w:hAnsi="Arial" w:cs="Arial"/>
          <w:b/>
          <w:bCs/>
          <w:color w:val="000000"/>
          <w:sz w:val="20"/>
          <w:szCs w:val="20"/>
        </w:rPr>
        <w:t>FINANCIAL CONDITION</w:t>
      </w:r>
    </w:p>
    <w:p w14:paraId="74DD9820" w14:textId="77777777" w:rsidR="00584EC1" w:rsidRDefault="00871F8D">
      <w:pPr>
        <w:ind w:firstLine="450"/>
        <w:jc w:val="center"/>
      </w:pPr>
      <w:r>
        <w:rPr>
          <w:rFonts w:ascii="Arial" w:eastAsia="宋体" w:hAnsi="Arial" w:cs="Arial"/>
          <w:b/>
          <w:bCs/>
          <w:color w:val="000000"/>
          <w:sz w:val="20"/>
          <w:szCs w:val="20"/>
        </w:rPr>
        <w:t>AND RESULTS OF OPERATIONS</w:t>
      </w:r>
    </w:p>
    <w:p w14:paraId="74DD9821" w14:textId="77777777" w:rsidR="00584EC1" w:rsidRDefault="00871F8D">
      <w:pPr>
        <w:spacing w:before="60"/>
        <w:jc w:val="both"/>
        <w:textAlignment w:val="top"/>
      </w:pPr>
      <w:r>
        <w:rPr>
          <w:rFonts w:ascii="Arial" w:eastAsia="宋体" w:hAnsi="Arial" w:cs="Arial"/>
          <w:color w:val="000000"/>
          <w:sz w:val="20"/>
          <w:szCs w:val="20"/>
        </w:rPr>
        <w:t xml:space="preserve">legislation that would, among other things, provide for the replacement of LIBOR references in hard to modify legacy financial contracts governed by New York law with a benchmark rate based on SOFR. Other </w:t>
      </w:r>
      <w:r>
        <w:rPr>
          <w:rFonts w:ascii="Arial" w:eastAsia="宋体" w:hAnsi="Arial" w:cs="Arial"/>
          <w:color w:val="000000"/>
          <w:sz w:val="20"/>
          <w:szCs w:val="20"/>
        </w:rPr>
        <w:t>states may adopt similar legislation.</w:t>
      </w:r>
    </w:p>
    <w:p w14:paraId="74DD9822" w14:textId="77777777" w:rsidR="00584EC1" w:rsidRDefault="00871F8D">
      <w:pPr>
        <w:spacing w:before="60"/>
        <w:ind w:firstLine="450"/>
        <w:jc w:val="both"/>
        <w:textAlignment w:val="top"/>
      </w:pPr>
      <w:r>
        <w:rPr>
          <w:rFonts w:ascii="Arial" w:eastAsia="宋体" w:hAnsi="Arial" w:cs="Arial"/>
          <w:color w:val="000000"/>
          <w:sz w:val="20"/>
          <w:szCs w:val="20"/>
        </w:rPr>
        <w:t>U.S. bank regulators have issued guidance strongly encouraging banking organizations to cease using U.S. dollar LIBOR as a reference rate in new contracts as soon as practicable and in any event by December 31, 2021. W</w:t>
      </w:r>
      <w:r>
        <w:rPr>
          <w:rFonts w:ascii="Arial" w:eastAsia="宋体" w:hAnsi="Arial" w:cs="Arial"/>
          <w:color w:val="000000"/>
          <w:sz w:val="20"/>
          <w:szCs w:val="20"/>
        </w:rPr>
        <w:t>e are continuing our efforts to work to facilitate an orderly transition from LIBOR, and other interbank offered rates, to alternative reference rates for us and our clients in a manner consistent with supervisory expectations.</w:t>
      </w:r>
    </w:p>
    <w:p w14:paraId="74DD9823" w14:textId="77777777" w:rsidR="00584EC1" w:rsidRDefault="00871F8D">
      <w:pPr>
        <w:spacing w:before="60"/>
        <w:ind w:firstLine="450"/>
        <w:jc w:val="both"/>
        <w:textAlignment w:val="top"/>
      </w:pPr>
      <w:r>
        <w:rPr>
          <w:rFonts w:ascii="Arial" w:eastAsia="宋体" w:hAnsi="Arial" w:cs="Arial"/>
          <w:color w:val="000000"/>
          <w:sz w:val="20"/>
          <w:szCs w:val="20"/>
        </w:rPr>
        <w:t>For additional information a</w:t>
      </w:r>
      <w:r>
        <w:rPr>
          <w:rFonts w:ascii="Arial" w:eastAsia="宋体" w:hAnsi="Arial" w:cs="Arial"/>
          <w:color w:val="000000"/>
          <w:sz w:val="20"/>
          <w:szCs w:val="20"/>
        </w:rPr>
        <w:t xml:space="preserve">bout our strategic risk management framework and associated risks, refer to page 113 included under Item 7, Management's Discussion and Analysis of Financial Condition and Results of Operations, "Strategic Risk Management", in our 2020 Form 10-K, and page </w:t>
      </w:r>
      <w:r>
        <w:rPr>
          <w:rFonts w:ascii="Arial" w:eastAsia="宋体" w:hAnsi="Arial" w:cs="Arial"/>
          <w:color w:val="000000"/>
          <w:sz w:val="20"/>
          <w:szCs w:val="20"/>
        </w:rPr>
        <w:t>46 included under Item 1A, Risk Factors, in our 2020 Form 10-K - "The market transition away from broad use of the London Interbank Offered Rate (LIBOR) as an interest rate benchmark may impose additional costs on us and may expose us to increased operatio</w:t>
      </w:r>
      <w:r>
        <w:rPr>
          <w:rFonts w:ascii="Arial" w:eastAsia="宋体" w:hAnsi="Arial" w:cs="Arial"/>
          <w:color w:val="000000"/>
          <w:sz w:val="20"/>
          <w:szCs w:val="20"/>
        </w:rPr>
        <w:t>nal, model and financial risk."</w:t>
      </w:r>
    </w:p>
    <w:p w14:paraId="74DD9824" w14:textId="77777777" w:rsidR="00584EC1" w:rsidRDefault="00871F8D">
      <w:pPr>
        <w:spacing w:before="90"/>
        <w:textAlignment w:val="top"/>
      </w:pPr>
      <w:r>
        <w:rPr>
          <w:rFonts w:ascii="Arial" w:eastAsia="宋体" w:hAnsi="Arial" w:cs="Arial"/>
          <w:b/>
          <w:bCs/>
          <w:color w:val="000000"/>
          <w:sz w:val="20"/>
          <w:szCs w:val="20"/>
        </w:rPr>
        <w:t>Capital</w:t>
      </w:r>
    </w:p>
    <w:p w14:paraId="74DD9825" w14:textId="77777777" w:rsidR="00584EC1" w:rsidRDefault="00871F8D">
      <w:pPr>
        <w:ind w:firstLine="450"/>
        <w:jc w:val="both"/>
        <w:textAlignment w:val="top"/>
      </w:pPr>
      <w:r>
        <w:rPr>
          <w:rFonts w:ascii="Arial" w:eastAsia="宋体" w:hAnsi="Arial" w:cs="Arial"/>
          <w:color w:val="000000"/>
          <w:sz w:val="20"/>
          <w:szCs w:val="20"/>
        </w:rPr>
        <w:t xml:space="preserve">Managing our capital involves evaluating whether our actual and projected levels of capital are commensurate with our risk profile, are in compliance with all applicable regulatory requirements and are sufficient to </w:t>
      </w:r>
      <w:r>
        <w:rPr>
          <w:rFonts w:ascii="Arial" w:eastAsia="宋体" w:hAnsi="Arial" w:cs="Arial"/>
          <w:color w:val="000000"/>
          <w:sz w:val="20"/>
          <w:szCs w:val="20"/>
        </w:rPr>
        <w:t>provide us with the financial flexibility to undertake future strategic business initiatives. We assess capital adequacy based on relevant regulatory capital requirements, as well as our own internal capital goals, targets and other relevant metrics.</w:t>
      </w:r>
    </w:p>
    <w:p w14:paraId="74DD9826" w14:textId="77777777" w:rsidR="00584EC1" w:rsidRDefault="00871F8D">
      <w:pPr>
        <w:ind w:firstLine="450"/>
        <w:jc w:val="both"/>
        <w:textAlignment w:val="top"/>
      </w:pPr>
      <w:r>
        <w:rPr>
          <w:rFonts w:ascii="Arial" w:eastAsia="宋体" w:hAnsi="Arial" w:cs="Arial"/>
          <w:color w:val="000000"/>
          <w:sz w:val="20"/>
          <w:szCs w:val="20"/>
        </w:rPr>
        <w:t>Our d</w:t>
      </w:r>
      <w:r>
        <w:rPr>
          <w:rFonts w:ascii="Arial" w:eastAsia="宋体" w:hAnsi="Arial" w:cs="Arial"/>
          <w:color w:val="000000"/>
          <w:sz w:val="20"/>
          <w:szCs w:val="20"/>
        </w:rPr>
        <w:t>esignation as a G-SIB is based on a number of factors, as evaluated by banking regulators, and requires us to maintain an additional capital surcharge above the minimum capital ratios set forth in the Basel III final rule. Further, like all other U.S. G-SI</w:t>
      </w:r>
      <w:r>
        <w:rPr>
          <w:rFonts w:ascii="Arial" w:eastAsia="宋体" w:hAnsi="Arial" w:cs="Arial"/>
          <w:color w:val="000000"/>
          <w:sz w:val="20"/>
          <w:szCs w:val="20"/>
        </w:rPr>
        <w:t>Bs, we are also currently subject to a 2.0% SLR buffer in addition to the required minimum of 3% under the Basel III final rule. If we fail to exceed any regulatory buffer or surcharge, we will be subject to increased restrictions (depending upon the exten</w:t>
      </w:r>
      <w:r>
        <w:rPr>
          <w:rFonts w:ascii="Arial" w:eastAsia="宋体" w:hAnsi="Arial" w:cs="Arial"/>
          <w:color w:val="000000"/>
          <w:sz w:val="20"/>
          <w:szCs w:val="20"/>
        </w:rPr>
        <w:t xml:space="preserve">t of the shortfall) regarding capital distributions and discretionary executive bonus payments. </w:t>
      </w:r>
    </w:p>
    <w:p w14:paraId="74DD9827" w14:textId="77777777" w:rsidR="00584EC1" w:rsidRDefault="00871F8D">
      <w:pPr>
        <w:ind w:firstLine="450"/>
        <w:jc w:val="both"/>
        <w:textAlignment w:val="top"/>
      </w:pPr>
      <w:r>
        <w:rPr>
          <w:rFonts w:ascii="Arial" w:eastAsia="宋体" w:hAnsi="Arial" w:cs="Arial"/>
          <w:color w:val="000000"/>
          <w:sz w:val="20"/>
          <w:szCs w:val="20"/>
        </w:rPr>
        <w:t>Not all of our competitors have similarly been designated as systemically important nor are all of them subject to the same degree of regulation as a bank or f</w:t>
      </w:r>
      <w:r>
        <w:rPr>
          <w:rFonts w:ascii="Arial" w:eastAsia="宋体" w:hAnsi="Arial" w:cs="Arial"/>
          <w:color w:val="000000"/>
          <w:sz w:val="20"/>
          <w:szCs w:val="20"/>
        </w:rPr>
        <w:t>inancial holding company, and therefore some of our competitors may not be subject to the same capital, liquidity and other regulatory requirements.</w:t>
      </w:r>
    </w:p>
    <w:p w14:paraId="74DD9828" w14:textId="77777777" w:rsidR="00584EC1" w:rsidRDefault="00871F8D">
      <w:pPr>
        <w:ind w:firstLine="450"/>
        <w:jc w:val="both"/>
        <w:textAlignment w:val="top"/>
      </w:pPr>
      <w:r>
        <w:rPr>
          <w:rFonts w:ascii="Arial" w:eastAsia="宋体" w:hAnsi="Arial" w:cs="Arial"/>
          <w:color w:val="000000"/>
          <w:sz w:val="20"/>
          <w:szCs w:val="20"/>
        </w:rPr>
        <w:t xml:space="preserve">For additional information about our capital, refer to pages 113 to 121 included under Item 7, </w:t>
      </w:r>
    </w:p>
    <w:p w14:paraId="74DD9829" w14:textId="77777777" w:rsidR="00584EC1" w:rsidRDefault="00871F8D">
      <w:pPr>
        <w:jc w:val="both"/>
        <w:textAlignment w:val="top"/>
      </w:pPr>
      <w:r>
        <w:rPr>
          <w:rFonts w:ascii="Arial" w:eastAsia="宋体" w:hAnsi="Arial" w:cs="Arial"/>
          <w:color w:val="000000"/>
          <w:sz w:val="20"/>
          <w:szCs w:val="20"/>
        </w:rPr>
        <w:t>Management'</w:t>
      </w:r>
      <w:r>
        <w:rPr>
          <w:rFonts w:ascii="Arial" w:eastAsia="宋体" w:hAnsi="Arial" w:cs="Arial"/>
          <w:color w:val="000000"/>
          <w:sz w:val="20"/>
          <w:szCs w:val="20"/>
        </w:rPr>
        <w:t>s Discussion and Analysis of Financial Condition and Results of Operations, in our 2020 Form 10-K.</w:t>
      </w:r>
    </w:p>
    <w:p w14:paraId="74DD982A" w14:textId="77777777" w:rsidR="00584EC1" w:rsidRDefault="00871F8D">
      <w:pPr>
        <w:spacing w:before="60"/>
        <w:jc w:val="both"/>
        <w:textAlignment w:val="top"/>
      </w:pPr>
      <w:r>
        <w:rPr>
          <w:rFonts w:ascii="Arial" w:eastAsia="宋体" w:hAnsi="Arial" w:cs="Arial"/>
          <w:b/>
          <w:bCs/>
          <w:i/>
          <w:iCs/>
          <w:color w:val="000000"/>
          <w:sz w:val="20"/>
          <w:szCs w:val="20"/>
        </w:rPr>
        <w:t>Regulatory Capital</w:t>
      </w:r>
    </w:p>
    <w:p w14:paraId="74DD982B" w14:textId="77777777" w:rsidR="00584EC1" w:rsidRDefault="00871F8D">
      <w:pPr>
        <w:spacing w:before="60"/>
        <w:ind w:firstLine="450"/>
        <w:jc w:val="both"/>
        <w:textAlignment w:val="top"/>
      </w:pPr>
      <w:r>
        <w:rPr>
          <w:rFonts w:ascii="Arial" w:eastAsia="宋体" w:hAnsi="Arial" w:cs="Arial"/>
          <w:color w:val="000000"/>
          <w:sz w:val="20"/>
          <w:szCs w:val="20"/>
        </w:rPr>
        <w:t>We and State Street Bank, as advanced approaches banking organizations, are subject to the U.S. Basel III framework. Provisions of the Bas</w:t>
      </w:r>
      <w:r>
        <w:rPr>
          <w:rFonts w:ascii="Arial" w:eastAsia="宋体" w:hAnsi="Arial" w:cs="Arial"/>
          <w:color w:val="000000"/>
          <w:sz w:val="20"/>
          <w:szCs w:val="20"/>
        </w:rPr>
        <w:t>el III final rule became effective on January 1, 2014 with full implementation required on January 1, 2019. We are also subject to the final market risk capital rule issued by U.S. banking regulators effective as of January 2013.</w:t>
      </w:r>
    </w:p>
    <w:p w14:paraId="74DD982C" w14:textId="77777777" w:rsidR="00584EC1" w:rsidRDefault="00871F8D">
      <w:pPr>
        <w:spacing w:before="60"/>
        <w:ind w:firstLine="450"/>
        <w:jc w:val="both"/>
        <w:textAlignment w:val="top"/>
      </w:pPr>
      <w:r>
        <w:rPr>
          <w:rFonts w:ascii="Arial" w:eastAsia="宋体" w:hAnsi="Arial" w:cs="Arial"/>
          <w:color w:val="000000"/>
          <w:sz w:val="20"/>
          <w:szCs w:val="20"/>
        </w:rPr>
        <w:t>The Basel III final rule p</w:t>
      </w:r>
      <w:r>
        <w:rPr>
          <w:rFonts w:ascii="Arial" w:eastAsia="宋体" w:hAnsi="Arial" w:cs="Arial"/>
          <w:color w:val="000000"/>
          <w:sz w:val="20"/>
          <w:szCs w:val="20"/>
        </w:rPr>
        <w:t>rovides for two frameworks for monitoring capital adequacy: the “standardized approach" and the “advanced approaches", applicable to advanced approaches banking organizations, like us. The standardized approach prescribes standardized calculations for cred</w:t>
      </w:r>
      <w:r>
        <w:rPr>
          <w:rFonts w:ascii="Arial" w:eastAsia="宋体" w:hAnsi="Arial" w:cs="Arial"/>
          <w:color w:val="000000"/>
          <w:sz w:val="20"/>
          <w:szCs w:val="20"/>
        </w:rPr>
        <w:t>it risk RWA, including specified risk weights for certain on and off-balance sheet exposures. The advanced approaches consist of the Advanced Internal Ratings-Based Approach used for the calculation of RWA related to credit risk, and the Advanced Measureme</w:t>
      </w:r>
      <w:r>
        <w:rPr>
          <w:rFonts w:ascii="Arial" w:eastAsia="宋体" w:hAnsi="Arial" w:cs="Arial"/>
          <w:color w:val="000000"/>
          <w:sz w:val="20"/>
          <w:szCs w:val="20"/>
        </w:rPr>
        <w:t>nt Approach used for the calculation of RWA related to operational risk.</w:t>
      </w:r>
    </w:p>
    <w:p w14:paraId="74DD982D" w14:textId="77777777" w:rsidR="00584EC1" w:rsidRDefault="00871F8D">
      <w:pPr>
        <w:spacing w:before="60"/>
        <w:ind w:firstLine="450"/>
        <w:jc w:val="both"/>
        <w:textAlignment w:val="top"/>
      </w:pPr>
      <w:r>
        <w:rPr>
          <w:rFonts w:ascii="Arial" w:eastAsia="宋体" w:hAnsi="Arial" w:cs="Arial"/>
          <w:color w:val="000000"/>
          <w:sz w:val="20"/>
          <w:szCs w:val="20"/>
        </w:rPr>
        <w:t>As required by the Dodd-Frank Act enacted in 2010 and the Stress Capital Buffer (SCB) rule enacted in 2020, we and State Street Bank, as advanced approaches banking organizations, are</w:t>
      </w:r>
      <w:r>
        <w:rPr>
          <w:rFonts w:ascii="Arial" w:eastAsia="宋体" w:hAnsi="Arial" w:cs="Arial"/>
          <w:color w:val="000000"/>
          <w:sz w:val="20"/>
          <w:szCs w:val="20"/>
        </w:rPr>
        <w:t xml:space="preserve"> subject to a "capital floor," also referred to as the Collins Amendment, in the assessment of our regulatory capital adequacy, including the capital conservation buffer (CCB) and the SCB, for the advanced approaches and standardized approach, respectively</w:t>
      </w:r>
      <w:r>
        <w:rPr>
          <w:rFonts w:ascii="Arial" w:eastAsia="宋体" w:hAnsi="Arial" w:cs="Arial"/>
          <w:color w:val="000000"/>
          <w:sz w:val="20"/>
          <w:szCs w:val="20"/>
        </w:rPr>
        <w:t>, and a countercyclical capital buffer. In addition, we are subject to a G-SIB surcharge. Our risk-based capital ratios for regulatory assessment purposes are the lower of each ratio calculated under the advanced approaches and standardized approach.</w:t>
      </w:r>
    </w:p>
    <w:p w14:paraId="74DD982E" w14:textId="77777777" w:rsidR="00584EC1" w:rsidRDefault="00871F8D">
      <w:pPr>
        <w:ind w:firstLine="450"/>
        <w:jc w:val="both"/>
        <w:textAlignment w:val="top"/>
      </w:pPr>
      <w:r>
        <w:rPr>
          <w:rFonts w:ascii="Arial" w:eastAsia="宋体" w:hAnsi="Arial" w:cs="Arial"/>
          <w:color w:val="000000"/>
          <w:sz w:val="20"/>
          <w:szCs w:val="20"/>
        </w:rPr>
        <w:t>The S</w:t>
      </w:r>
      <w:r>
        <w:rPr>
          <w:rFonts w:ascii="Arial" w:eastAsia="宋体" w:hAnsi="Arial" w:cs="Arial"/>
          <w:color w:val="000000"/>
          <w:sz w:val="20"/>
          <w:szCs w:val="20"/>
        </w:rPr>
        <w:t>CB replaced, under the standardized approach, the capital conservation buffer with a buffer calculated as the difference between the institution’s starting and lowest projected CET1 ratio under the CCAR severely adverse scenario plus planned common stock d</w:t>
      </w:r>
      <w:r>
        <w:rPr>
          <w:rFonts w:ascii="Arial" w:eastAsia="宋体" w:hAnsi="Arial" w:cs="Arial"/>
          <w:color w:val="000000"/>
          <w:sz w:val="20"/>
          <w:szCs w:val="20"/>
        </w:rPr>
        <w:t>ividend payments (as a percentage of RWA) from the fourth through seventh quarter of the CCAR planning horizon. The SCB requirement, which became effective October 1, 2020, can be no less than 2.5% of RWA. Breaching the SCB or other regulatory buffer or su</w:t>
      </w:r>
      <w:r>
        <w:rPr>
          <w:rFonts w:ascii="Arial" w:eastAsia="宋体" w:hAnsi="Arial" w:cs="Arial"/>
          <w:color w:val="000000"/>
          <w:sz w:val="20"/>
          <w:szCs w:val="20"/>
        </w:rPr>
        <w:t>rcharge will limit a banking organization’s ability to make capital distributions and discretionary bonus payments to executive officers. The countercyclical capital buffer is currently set at zero by U.S. banking regulators.</w:t>
      </w:r>
    </w:p>
    <w:p w14:paraId="74DD982F" w14:textId="77777777" w:rsidR="00584EC1" w:rsidRDefault="00871F8D">
      <w:pPr>
        <w:ind w:firstLine="450"/>
        <w:jc w:val="right"/>
      </w:pPr>
      <w:r>
        <w:rPr>
          <w:rFonts w:ascii="Arial" w:eastAsia="宋体" w:hAnsi="Arial" w:cs="Arial"/>
          <w:color w:val="000000"/>
          <w:sz w:val="18"/>
          <w:szCs w:val="18"/>
        </w:rPr>
        <w:t>State Street Corporation | 42</w:t>
      </w:r>
    </w:p>
    <w:p w14:paraId="74DD9830" w14:textId="77777777" w:rsidR="00584EC1" w:rsidRDefault="00584EC1">
      <w:pPr>
        <w:ind w:firstLine="450"/>
        <w:jc w:val="center"/>
      </w:pPr>
    </w:p>
    <w:p w14:paraId="74DD9831" w14:textId="77777777" w:rsidR="00584EC1" w:rsidRDefault="00871F8D">
      <w:r>
        <w:pict w14:anchorId="74DE2A18">
          <v:rect id="_x0000_i1066" style="width:415.3pt;height:1.5pt" o:hralign="center" o:hrstd="t" o:hr="t" fillcolor="#a0a0a0" stroked="f"/>
        </w:pict>
      </w:r>
    </w:p>
    <w:p w14:paraId="74DD9832" w14:textId="77777777" w:rsidR="00584EC1" w:rsidRDefault="00871F8D">
      <w:pPr>
        <w:ind w:firstLine="450"/>
        <w:jc w:val="center"/>
      </w:pPr>
      <w:r>
        <w:rPr>
          <w:rFonts w:ascii="Arial" w:eastAsia="宋体" w:hAnsi="Arial" w:cs="Arial"/>
          <w:b/>
          <w:bCs/>
          <w:color w:val="000000"/>
          <w:sz w:val="20"/>
          <w:szCs w:val="20"/>
        </w:rPr>
        <w:t>MANAGEMENT’S DISCUSSION AND ANALYSIS OF FINANCIAL CONDITION</w:t>
      </w:r>
    </w:p>
    <w:p w14:paraId="74DD9833" w14:textId="77777777" w:rsidR="00584EC1" w:rsidRDefault="00871F8D">
      <w:pPr>
        <w:ind w:firstLine="450"/>
        <w:jc w:val="center"/>
      </w:pPr>
      <w:r>
        <w:rPr>
          <w:rFonts w:ascii="Arial" w:eastAsia="宋体" w:hAnsi="Arial" w:cs="Arial"/>
          <w:b/>
          <w:bCs/>
          <w:color w:val="000000"/>
          <w:sz w:val="20"/>
          <w:szCs w:val="20"/>
        </w:rPr>
        <w:t>AND RESULTS OF OPERATIONS</w:t>
      </w:r>
    </w:p>
    <w:p w14:paraId="74DD9834" w14:textId="77777777" w:rsidR="00584EC1" w:rsidRDefault="00871F8D">
      <w:pPr>
        <w:spacing w:before="60"/>
        <w:ind w:firstLine="450"/>
        <w:jc w:val="both"/>
      </w:pPr>
      <w:r>
        <w:rPr>
          <w:rFonts w:ascii="Arial" w:eastAsia="宋体" w:hAnsi="Arial" w:cs="Arial"/>
          <w:color w:val="000000"/>
          <w:sz w:val="20"/>
          <w:szCs w:val="20"/>
        </w:rPr>
        <w:t xml:space="preserve">Our minimum risk-based capital ratios as of January 1, 2021, include a CCB of 2.5% and a SCB of 2.5% for the advanced approaches and standardized approach, </w:t>
      </w:r>
      <w:r>
        <w:rPr>
          <w:rFonts w:ascii="Arial" w:eastAsia="宋体" w:hAnsi="Arial" w:cs="Arial"/>
          <w:color w:val="000000"/>
          <w:sz w:val="20"/>
          <w:szCs w:val="20"/>
        </w:rPr>
        <w:t>respectively, a G-SIB surcharge of 1.0%, and a countercyclical buffer of 0.0%. This results in minimum risk-based ratios of 8.0% for the Common Equity Tier 1 (CET1) capital ratio, 9.5% for the tier 1 capital ratio, and 11.5% for the total capital ratio.</w:t>
      </w:r>
    </w:p>
    <w:p w14:paraId="74DD9835" w14:textId="77777777" w:rsidR="00584EC1" w:rsidRDefault="00871F8D">
      <w:pPr>
        <w:spacing w:before="60"/>
        <w:ind w:firstLine="450"/>
        <w:jc w:val="both"/>
      </w:pPr>
      <w:r>
        <w:rPr>
          <w:rFonts w:ascii="Arial" w:eastAsia="宋体" w:hAnsi="Arial" w:cs="Arial"/>
          <w:color w:val="000000"/>
          <w:sz w:val="20"/>
          <w:szCs w:val="20"/>
        </w:rPr>
        <w:t>Ba</w:t>
      </w:r>
      <w:r>
        <w:rPr>
          <w:rFonts w:ascii="Arial" w:eastAsia="宋体" w:hAnsi="Arial" w:cs="Arial"/>
          <w:color w:val="000000"/>
          <w:sz w:val="20"/>
          <w:szCs w:val="20"/>
        </w:rPr>
        <w:t>sed on a calculation date of December 31, 2019, our current G-SIB surcharge, through December 31, 2022, is 1.0%. Based on a calculation date of December 31, 2020, our G-SIB surcharge beginning January 1, 2023 could have been 1.5%. However, in May 2021, the</w:t>
      </w:r>
      <w:r>
        <w:rPr>
          <w:rFonts w:ascii="Arial" w:eastAsia="宋体" w:hAnsi="Arial" w:cs="Arial"/>
          <w:color w:val="000000"/>
          <w:sz w:val="20"/>
          <w:szCs w:val="20"/>
        </w:rPr>
        <w:t xml:space="preserve"> Federal Reserve granted our request for relief relating to the effects of the MMLF program on the calculation of our G-SIB surcharge. As a result of this relief, our G-SIB surcharge for 2023 will be 1.0%.</w:t>
      </w:r>
    </w:p>
    <w:p w14:paraId="74DD9836" w14:textId="77777777" w:rsidR="00584EC1" w:rsidRDefault="00871F8D">
      <w:pPr>
        <w:spacing w:before="60"/>
        <w:ind w:firstLine="450"/>
        <w:jc w:val="both"/>
      </w:pPr>
      <w:r>
        <w:rPr>
          <w:rFonts w:ascii="Arial" w:eastAsia="宋体" w:hAnsi="Arial" w:cs="Arial"/>
          <w:color w:val="000000"/>
          <w:sz w:val="20"/>
          <w:szCs w:val="20"/>
        </w:rPr>
        <w:t xml:space="preserve">To maintain the status of the Parent Company as a </w:t>
      </w:r>
      <w:r>
        <w:rPr>
          <w:rFonts w:ascii="Arial" w:eastAsia="宋体" w:hAnsi="Arial" w:cs="Arial"/>
          <w:color w:val="000000"/>
          <w:sz w:val="20"/>
          <w:szCs w:val="20"/>
        </w:rPr>
        <w:t>financial holding company, we and our insured depository institution subsidiaries are required, among other requirements, to be "well capitalized" as defined by Regulation Y and Regulation H.</w:t>
      </w:r>
    </w:p>
    <w:p w14:paraId="74DD9837" w14:textId="77777777" w:rsidR="00584EC1" w:rsidRDefault="00871F8D">
      <w:pPr>
        <w:spacing w:before="60"/>
        <w:ind w:firstLine="450"/>
        <w:jc w:val="both"/>
      </w:pPr>
      <w:r>
        <w:rPr>
          <w:rFonts w:ascii="Arial" w:eastAsia="宋体" w:hAnsi="Arial" w:cs="Arial"/>
          <w:color w:val="000000"/>
          <w:sz w:val="20"/>
          <w:szCs w:val="20"/>
        </w:rPr>
        <w:t xml:space="preserve">The market risk capital rule requires us to use internal models </w:t>
      </w:r>
      <w:r>
        <w:rPr>
          <w:rFonts w:ascii="Arial" w:eastAsia="宋体" w:hAnsi="Arial" w:cs="Arial"/>
          <w:color w:val="000000"/>
          <w:sz w:val="20"/>
          <w:szCs w:val="20"/>
        </w:rPr>
        <w:t>to calculate daily measures of VaR, which reflect general market risk for certain of our trading positions defined by the rule as “covered positions,” as well as stressed-VaR measures to supplement the VaR measures. The rule also requires a public disclosu</w:t>
      </w:r>
      <w:r>
        <w:rPr>
          <w:rFonts w:ascii="Arial" w:eastAsia="宋体" w:hAnsi="Arial" w:cs="Arial"/>
          <w:color w:val="000000"/>
          <w:sz w:val="20"/>
          <w:szCs w:val="20"/>
        </w:rPr>
        <w:t xml:space="preserve">re composed of qualitative and quantitative information about the market risk associated with our trading activities and our related VaR and stressed-VaR measures. The qualitative and quantitative information required by the rule is provided under "Market </w:t>
      </w:r>
      <w:r>
        <w:rPr>
          <w:rFonts w:ascii="Arial" w:eastAsia="宋体" w:hAnsi="Arial" w:cs="Arial"/>
          <w:color w:val="000000"/>
          <w:sz w:val="20"/>
          <w:szCs w:val="20"/>
        </w:rPr>
        <w:t>Risk Management" included in this Management's Discussion and Analysis.</w:t>
      </w:r>
    </w:p>
    <w:p w14:paraId="74DD9838" w14:textId="77777777" w:rsidR="00584EC1" w:rsidRDefault="00871F8D">
      <w:pPr>
        <w:spacing w:before="60"/>
        <w:ind w:firstLine="450"/>
        <w:jc w:val="both"/>
      </w:pPr>
      <w:r>
        <w:rPr>
          <w:rFonts w:ascii="Arial" w:eastAsia="宋体" w:hAnsi="Arial" w:cs="Arial"/>
          <w:color w:val="000000"/>
          <w:sz w:val="20"/>
          <w:szCs w:val="20"/>
        </w:rPr>
        <w:t>The following table presents the regulatory capital structure and related regulatory capital ratios for us and State Street Bank as of the dates indicated. We are subject to the more s</w:t>
      </w:r>
      <w:r>
        <w:rPr>
          <w:rFonts w:ascii="Arial" w:eastAsia="宋体" w:hAnsi="Arial" w:cs="Arial"/>
          <w:color w:val="000000"/>
          <w:sz w:val="20"/>
          <w:szCs w:val="20"/>
        </w:rPr>
        <w:t>tringent of the risk-based capital ratios calculated under the standardized approach and those calculated under the advanced approaches in the assessment of our capital adequacy under applicable bank regulatory standards.</w:t>
      </w:r>
    </w:p>
    <w:p w14:paraId="74DD9839" w14:textId="77777777" w:rsidR="00584EC1" w:rsidRDefault="00871F8D">
      <w:pPr>
        <w:ind w:firstLine="450"/>
        <w:jc w:val="right"/>
      </w:pPr>
      <w:r>
        <w:rPr>
          <w:rFonts w:ascii="Arial" w:eastAsia="宋体" w:hAnsi="Arial" w:cs="Arial"/>
          <w:color w:val="000000"/>
          <w:sz w:val="18"/>
          <w:szCs w:val="18"/>
        </w:rPr>
        <w:t>State Street Corporation | 43</w:t>
      </w:r>
    </w:p>
    <w:p w14:paraId="74DD983A" w14:textId="77777777" w:rsidR="00584EC1" w:rsidRDefault="00584EC1">
      <w:pPr>
        <w:ind w:firstLine="450"/>
        <w:jc w:val="center"/>
      </w:pPr>
    </w:p>
    <w:p w14:paraId="74DD983B" w14:textId="77777777" w:rsidR="00584EC1" w:rsidRDefault="00871F8D">
      <w:r>
        <w:pict w14:anchorId="74DE2A19">
          <v:rect id="_x0000_i1067" style="width:415.3pt;height:1.5pt" o:hralign="center" o:hrstd="t" o:hr="t" fillcolor="#a0a0a0" stroked="f"/>
        </w:pict>
      </w:r>
    </w:p>
    <w:p w14:paraId="74DD983C" w14:textId="77777777" w:rsidR="00584EC1" w:rsidRDefault="00871F8D">
      <w:pPr>
        <w:ind w:firstLine="450"/>
        <w:jc w:val="center"/>
      </w:pPr>
      <w:r>
        <w:rPr>
          <w:rFonts w:ascii="Arial" w:eastAsia="宋体" w:hAnsi="Arial" w:cs="Arial"/>
          <w:b/>
          <w:bCs/>
          <w:color w:val="000000"/>
          <w:sz w:val="20"/>
          <w:szCs w:val="20"/>
        </w:rPr>
        <w:t>M</w:t>
      </w:r>
      <w:r>
        <w:rPr>
          <w:rFonts w:ascii="Arial" w:eastAsia="宋体" w:hAnsi="Arial" w:cs="Arial"/>
          <w:b/>
          <w:bCs/>
          <w:color w:val="000000"/>
          <w:sz w:val="20"/>
          <w:szCs w:val="20"/>
        </w:rPr>
        <w:t>ANAGEMENT’S DISCUSSION AND ANALYSIS OF FINANCIAL CONDITION</w:t>
      </w:r>
    </w:p>
    <w:p w14:paraId="74DD983D" w14:textId="77777777" w:rsidR="00584EC1" w:rsidRDefault="00871F8D">
      <w:pPr>
        <w:ind w:firstLine="450"/>
        <w:jc w:val="center"/>
      </w:pPr>
      <w:r>
        <w:rPr>
          <w:rFonts w:ascii="Arial" w:eastAsia="宋体" w:hAnsi="Arial" w:cs="Arial"/>
          <w:b/>
          <w:bCs/>
          <w:color w:val="000000"/>
          <w:sz w:val="20"/>
          <w:szCs w:val="20"/>
        </w:rPr>
        <w:t>AND RESULTS OF OPERATIONS</w:t>
      </w:r>
    </w:p>
    <w:p w14:paraId="74DD983E" w14:textId="77777777" w:rsidR="00584EC1" w:rsidRDefault="00584EC1">
      <w:pPr>
        <w:spacing w:before="60"/>
        <w:ind w:firstLine="450"/>
        <w:jc w:val="both"/>
      </w:pPr>
    </w:p>
    <w:tbl>
      <w:tblPr>
        <w:tblW w:w="4956" w:type="pct"/>
        <w:tblCellMar>
          <w:top w:w="15" w:type="dxa"/>
          <w:left w:w="15" w:type="dxa"/>
          <w:bottom w:w="15" w:type="dxa"/>
          <w:right w:w="15" w:type="dxa"/>
        </w:tblCellMar>
        <w:tblLook w:val="04A0" w:firstRow="1" w:lastRow="0" w:firstColumn="1" w:lastColumn="0" w:noHBand="0" w:noVBand="1"/>
      </w:tblPr>
      <w:tblGrid>
        <w:gridCol w:w="265"/>
        <w:gridCol w:w="226"/>
        <w:gridCol w:w="39"/>
        <w:gridCol w:w="78"/>
        <w:gridCol w:w="604"/>
        <w:gridCol w:w="116"/>
        <w:gridCol w:w="78"/>
        <w:gridCol w:w="604"/>
        <w:gridCol w:w="116"/>
        <w:gridCol w:w="80"/>
        <w:gridCol w:w="407"/>
        <w:gridCol w:w="114"/>
        <w:gridCol w:w="40"/>
        <w:gridCol w:w="32"/>
        <w:gridCol w:w="35"/>
        <w:gridCol w:w="160"/>
        <w:gridCol w:w="490"/>
        <w:gridCol w:w="114"/>
        <w:gridCol w:w="40"/>
        <w:gridCol w:w="32"/>
        <w:gridCol w:w="35"/>
        <w:gridCol w:w="80"/>
        <w:gridCol w:w="407"/>
        <w:gridCol w:w="114"/>
        <w:gridCol w:w="40"/>
        <w:gridCol w:w="32"/>
        <w:gridCol w:w="35"/>
        <w:gridCol w:w="160"/>
        <w:gridCol w:w="490"/>
        <w:gridCol w:w="114"/>
        <w:gridCol w:w="40"/>
        <w:gridCol w:w="32"/>
        <w:gridCol w:w="35"/>
        <w:gridCol w:w="80"/>
        <w:gridCol w:w="407"/>
        <w:gridCol w:w="114"/>
        <w:gridCol w:w="40"/>
        <w:gridCol w:w="32"/>
        <w:gridCol w:w="35"/>
        <w:gridCol w:w="160"/>
        <w:gridCol w:w="490"/>
        <w:gridCol w:w="114"/>
        <w:gridCol w:w="40"/>
        <w:gridCol w:w="32"/>
        <w:gridCol w:w="35"/>
        <w:gridCol w:w="80"/>
        <w:gridCol w:w="407"/>
        <w:gridCol w:w="114"/>
        <w:gridCol w:w="40"/>
        <w:gridCol w:w="32"/>
        <w:gridCol w:w="35"/>
        <w:gridCol w:w="160"/>
        <w:gridCol w:w="491"/>
        <w:gridCol w:w="114"/>
      </w:tblGrid>
      <w:tr w:rsidR="00584EC1" w14:paraId="74DD9875" w14:textId="77777777">
        <w:tc>
          <w:tcPr>
            <w:tcW w:w="50" w:type="pct"/>
            <w:shd w:val="clear" w:color="auto" w:fill="auto"/>
            <w:vAlign w:val="bottom"/>
          </w:tcPr>
          <w:p w14:paraId="74DD983F" w14:textId="77777777" w:rsidR="00584EC1" w:rsidRDefault="00584EC1">
            <w:pPr>
              <w:rPr>
                <w:rFonts w:ascii="宋体"/>
              </w:rPr>
            </w:pPr>
          </w:p>
        </w:tc>
        <w:tc>
          <w:tcPr>
            <w:tcW w:w="321" w:type="pct"/>
            <w:shd w:val="clear" w:color="auto" w:fill="auto"/>
            <w:vAlign w:val="bottom"/>
          </w:tcPr>
          <w:p w14:paraId="74DD9840" w14:textId="77777777" w:rsidR="00584EC1" w:rsidRDefault="00584EC1">
            <w:pPr>
              <w:rPr>
                <w:rFonts w:ascii="宋体"/>
              </w:rPr>
            </w:pPr>
          </w:p>
        </w:tc>
        <w:tc>
          <w:tcPr>
            <w:tcW w:w="5" w:type="pct"/>
            <w:shd w:val="clear" w:color="auto" w:fill="auto"/>
            <w:vAlign w:val="bottom"/>
          </w:tcPr>
          <w:p w14:paraId="74DD9841" w14:textId="77777777" w:rsidR="00584EC1" w:rsidRDefault="00584EC1">
            <w:pPr>
              <w:rPr>
                <w:rFonts w:ascii="宋体"/>
              </w:rPr>
            </w:pPr>
          </w:p>
        </w:tc>
        <w:tc>
          <w:tcPr>
            <w:tcW w:w="50" w:type="pct"/>
            <w:shd w:val="clear" w:color="auto" w:fill="auto"/>
            <w:vAlign w:val="bottom"/>
          </w:tcPr>
          <w:p w14:paraId="74DD9842" w14:textId="77777777" w:rsidR="00584EC1" w:rsidRDefault="00584EC1">
            <w:pPr>
              <w:rPr>
                <w:rFonts w:ascii="宋体"/>
              </w:rPr>
            </w:pPr>
          </w:p>
        </w:tc>
        <w:tc>
          <w:tcPr>
            <w:tcW w:w="416" w:type="pct"/>
            <w:shd w:val="clear" w:color="auto" w:fill="auto"/>
            <w:vAlign w:val="bottom"/>
          </w:tcPr>
          <w:p w14:paraId="74DD9843" w14:textId="77777777" w:rsidR="00584EC1" w:rsidRDefault="00584EC1">
            <w:pPr>
              <w:rPr>
                <w:rFonts w:ascii="宋体"/>
              </w:rPr>
            </w:pPr>
          </w:p>
        </w:tc>
        <w:tc>
          <w:tcPr>
            <w:tcW w:w="5" w:type="pct"/>
            <w:shd w:val="clear" w:color="auto" w:fill="auto"/>
            <w:vAlign w:val="bottom"/>
          </w:tcPr>
          <w:p w14:paraId="74DD9844" w14:textId="77777777" w:rsidR="00584EC1" w:rsidRDefault="00584EC1">
            <w:pPr>
              <w:rPr>
                <w:rFonts w:ascii="宋体"/>
              </w:rPr>
            </w:pPr>
          </w:p>
        </w:tc>
        <w:tc>
          <w:tcPr>
            <w:tcW w:w="50" w:type="pct"/>
            <w:shd w:val="clear" w:color="auto" w:fill="auto"/>
            <w:vAlign w:val="bottom"/>
          </w:tcPr>
          <w:p w14:paraId="74DD9845" w14:textId="77777777" w:rsidR="00584EC1" w:rsidRDefault="00584EC1">
            <w:pPr>
              <w:rPr>
                <w:rFonts w:ascii="宋体"/>
              </w:rPr>
            </w:pPr>
          </w:p>
        </w:tc>
        <w:tc>
          <w:tcPr>
            <w:tcW w:w="416" w:type="pct"/>
            <w:shd w:val="clear" w:color="auto" w:fill="auto"/>
            <w:vAlign w:val="bottom"/>
          </w:tcPr>
          <w:p w14:paraId="74DD9846" w14:textId="77777777" w:rsidR="00584EC1" w:rsidRDefault="00584EC1">
            <w:pPr>
              <w:rPr>
                <w:rFonts w:ascii="宋体"/>
              </w:rPr>
            </w:pPr>
          </w:p>
        </w:tc>
        <w:tc>
          <w:tcPr>
            <w:tcW w:w="5" w:type="pct"/>
            <w:shd w:val="clear" w:color="auto" w:fill="auto"/>
            <w:vAlign w:val="bottom"/>
          </w:tcPr>
          <w:p w14:paraId="74DD9847" w14:textId="77777777" w:rsidR="00584EC1" w:rsidRDefault="00584EC1">
            <w:pPr>
              <w:rPr>
                <w:rFonts w:ascii="宋体"/>
              </w:rPr>
            </w:pPr>
          </w:p>
        </w:tc>
        <w:tc>
          <w:tcPr>
            <w:tcW w:w="50" w:type="pct"/>
            <w:shd w:val="clear" w:color="auto" w:fill="auto"/>
            <w:vAlign w:val="bottom"/>
          </w:tcPr>
          <w:p w14:paraId="74DD9848" w14:textId="77777777" w:rsidR="00584EC1" w:rsidRDefault="00584EC1">
            <w:pPr>
              <w:rPr>
                <w:rFonts w:ascii="宋体"/>
              </w:rPr>
            </w:pPr>
          </w:p>
        </w:tc>
        <w:tc>
          <w:tcPr>
            <w:tcW w:w="372" w:type="pct"/>
            <w:shd w:val="clear" w:color="auto" w:fill="auto"/>
            <w:vAlign w:val="bottom"/>
          </w:tcPr>
          <w:p w14:paraId="74DD9849" w14:textId="77777777" w:rsidR="00584EC1" w:rsidRDefault="00584EC1">
            <w:pPr>
              <w:rPr>
                <w:rFonts w:ascii="宋体"/>
              </w:rPr>
            </w:pPr>
          </w:p>
        </w:tc>
        <w:tc>
          <w:tcPr>
            <w:tcW w:w="5" w:type="pct"/>
            <w:shd w:val="clear" w:color="auto" w:fill="auto"/>
            <w:vAlign w:val="bottom"/>
          </w:tcPr>
          <w:p w14:paraId="74DD984A" w14:textId="77777777" w:rsidR="00584EC1" w:rsidRDefault="00584EC1">
            <w:pPr>
              <w:rPr>
                <w:rFonts w:ascii="宋体"/>
              </w:rPr>
            </w:pPr>
          </w:p>
        </w:tc>
        <w:tc>
          <w:tcPr>
            <w:tcW w:w="5" w:type="pct"/>
            <w:shd w:val="clear" w:color="auto" w:fill="auto"/>
            <w:vAlign w:val="bottom"/>
          </w:tcPr>
          <w:p w14:paraId="74DD984B" w14:textId="77777777" w:rsidR="00584EC1" w:rsidRDefault="00584EC1">
            <w:pPr>
              <w:rPr>
                <w:rFonts w:ascii="宋体"/>
              </w:rPr>
            </w:pPr>
          </w:p>
        </w:tc>
        <w:tc>
          <w:tcPr>
            <w:tcW w:w="26" w:type="pct"/>
            <w:shd w:val="clear" w:color="auto" w:fill="auto"/>
            <w:vAlign w:val="bottom"/>
          </w:tcPr>
          <w:p w14:paraId="74DD984C" w14:textId="77777777" w:rsidR="00584EC1" w:rsidRDefault="00584EC1">
            <w:pPr>
              <w:rPr>
                <w:rFonts w:ascii="宋体"/>
              </w:rPr>
            </w:pPr>
          </w:p>
        </w:tc>
        <w:tc>
          <w:tcPr>
            <w:tcW w:w="5" w:type="pct"/>
            <w:shd w:val="clear" w:color="auto" w:fill="auto"/>
            <w:vAlign w:val="bottom"/>
          </w:tcPr>
          <w:p w14:paraId="74DD984D" w14:textId="77777777" w:rsidR="00584EC1" w:rsidRDefault="00584EC1">
            <w:pPr>
              <w:rPr>
                <w:rFonts w:ascii="宋体"/>
              </w:rPr>
            </w:pPr>
          </w:p>
        </w:tc>
        <w:tc>
          <w:tcPr>
            <w:tcW w:w="50" w:type="pct"/>
            <w:shd w:val="clear" w:color="auto" w:fill="auto"/>
            <w:vAlign w:val="bottom"/>
          </w:tcPr>
          <w:p w14:paraId="74DD984E" w14:textId="77777777" w:rsidR="00584EC1" w:rsidRDefault="00584EC1">
            <w:pPr>
              <w:rPr>
                <w:rFonts w:ascii="宋体"/>
              </w:rPr>
            </w:pPr>
          </w:p>
        </w:tc>
        <w:tc>
          <w:tcPr>
            <w:tcW w:w="372" w:type="pct"/>
            <w:shd w:val="clear" w:color="auto" w:fill="auto"/>
            <w:vAlign w:val="bottom"/>
          </w:tcPr>
          <w:p w14:paraId="74DD984F" w14:textId="77777777" w:rsidR="00584EC1" w:rsidRDefault="00584EC1">
            <w:pPr>
              <w:rPr>
                <w:rFonts w:ascii="宋体"/>
              </w:rPr>
            </w:pPr>
          </w:p>
        </w:tc>
        <w:tc>
          <w:tcPr>
            <w:tcW w:w="5" w:type="pct"/>
            <w:shd w:val="clear" w:color="auto" w:fill="auto"/>
            <w:vAlign w:val="bottom"/>
          </w:tcPr>
          <w:p w14:paraId="74DD9850" w14:textId="77777777" w:rsidR="00584EC1" w:rsidRDefault="00584EC1">
            <w:pPr>
              <w:rPr>
                <w:rFonts w:ascii="宋体"/>
              </w:rPr>
            </w:pPr>
          </w:p>
        </w:tc>
        <w:tc>
          <w:tcPr>
            <w:tcW w:w="5" w:type="pct"/>
            <w:shd w:val="clear" w:color="auto" w:fill="auto"/>
            <w:vAlign w:val="bottom"/>
          </w:tcPr>
          <w:p w14:paraId="74DD9851" w14:textId="77777777" w:rsidR="00584EC1" w:rsidRDefault="00584EC1">
            <w:pPr>
              <w:rPr>
                <w:rFonts w:ascii="宋体"/>
              </w:rPr>
            </w:pPr>
          </w:p>
        </w:tc>
        <w:tc>
          <w:tcPr>
            <w:tcW w:w="26" w:type="pct"/>
            <w:shd w:val="clear" w:color="auto" w:fill="auto"/>
            <w:vAlign w:val="bottom"/>
          </w:tcPr>
          <w:p w14:paraId="74DD9852" w14:textId="77777777" w:rsidR="00584EC1" w:rsidRDefault="00584EC1">
            <w:pPr>
              <w:rPr>
                <w:rFonts w:ascii="宋体"/>
              </w:rPr>
            </w:pPr>
          </w:p>
        </w:tc>
        <w:tc>
          <w:tcPr>
            <w:tcW w:w="5" w:type="pct"/>
            <w:shd w:val="clear" w:color="auto" w:fill="auto"/>
            <w:vAlign w:val="bottom"/>
          </w:tcPr>
          <w:p w14:paraId="74DD9853" w14:textId="77777777" w:rsidR="00584EC1" w:rsidRDefault="00584EC1">
            <w:pPr>
              <w:rPr>
                <w:rFonts w:ascii="宋体"/>
              </w:rPr>
            </w:pPr>
          </w:p>
        </w:tc>
        <w:tc>
          <w:tcPr>
            <w:tcW w:w="50" w:type="pct"/>
            <w:shd w:val="clear" w:color="auto" w:fill="auto"/>
            <w:vAlign w:val="bottom"/>
          </w:tcPr>
          <w:p w14:paraId="74DD9854" w14:textId="77777777" w:rsidR="00584EC1" w:rsidRDefault="00584EC1">
            <w:pPr>
              <w:rPr>
                <w:rFonts w:ascii="宋体"/>
              </w:rPr>
            </w:pPr>
          </w:p>
        </w:tc>
        <w:tc>
          <w:tcPr>
            <w:tcW w:w="372" w:type="pct"/>
            <w:shd w:val="clear" w:color="auto" w:fill="auto"/>
            <w:vAlign w:val="bottom"/>
          </w:tcPr>
          <w:p w14:paraId="74DD9855" w14:textId="77777777" w:rsidR="00584EC1" w:rsidRDefault="00584EC1">
            <w:pPr>
              <w:rPr>
                <w:rFonts w:ascii="宋体"/>
              </w:rPr>
            </w:pPr>
          </w:p>
        </w:tc>
        <w:tc>
          <w:tcPr>
            <w:tcW w:w="5" w:type="pct"/>
            <w:shd w:val="clear" w:color="auto" w:fill="auto"/>
            <w:vAlign w:val="bottom"/>
          </w:tcPr>
          <w:p w14:paraId="74DD9856" w14:textId="77777777" w:rsidR="00584EC1" w:rsidRDefault="00584EC1">
            <w:pPr>
              <w:rPr>
                <w:rFonts w:ascii="宋体"/>
              </w:rPr>
            </w:pPr>
          </w:p>
        </w:tc>
        <w:tc>
          <w:tcPr>
            <w:tcW w:w="5" w:type="pct"/>
            <w:shd w:val="clear" w:color="auto" w:fill="auto"/>
            <w:vAlign w:val="bottom"/>
          </w:tcPr>
          <w:p w14:paraId="74DD9857" w14:textId="77777777" w:rsidR="00584EC1" w:rsidRDefault="00584EC1">
            <w:pPr>
              <w:rPr>
                <w:rFonts w:ascii="宋体"/>
              </w:rPr>
            </w:pPr>
          </w:p>
        </w:tc>
        <w:tc>
          <w:tcPr>
            <w:tcW w:w="26" w:type="pct"/>
            <w:shd w:val="clear" w:color="auto" w:fill="auto"/>
            <w:vAlign w:val="bottom"/>
          </w:tcPr>
          <w:p w14:paraId="74DD9858" w14:textId="77777777" w:rsidR="00584EC1" w:rsidRDefault="00584EC1">
            <w:pPr>
              <w:rPr>
                <w:rFonts w:ascii="宋体"/>
              </w:rPr>
            </w:pPr>
          </w:p>
        </w:tc>
        <w:tc>
          <w:tcPr>
            <w:tcW w:w="5" w:type="pct"/>
            <w:shd w:val="clear" w:color="auto" w:fill="auto"/>
            <w:vAlign w:val="bottom"/>
          </w:tcPr>
          <w:p w14:paraId="74DD9859" w14:textId="77777777" w:rsidR="00584EC1" w:rsidRDefault="00584EC1">
            <w:pPr>
              <w:rPr>
                <w:rFonts w:ascii="宋体"/>
              </w:rPr>
            </w:pPr>
          </w:p>
        </w:tc>
        <w:tc>
          <w:tcPr>
            <w:tcW w:w="50" w:type="pct"/>
            <w:shd w:val="clear" w:color="auto" w:fill="auto"/>
            <w:vAlign w:val="bottom"/>
          </w:tcPr>
          <w:p w14:paraId="74DD985A" w14:textId="77777777" w:rsidR="00584EC1" w:rsidRDefault="00584EC1">
            <w:pPr>
              <w:rPr>
                <w:rFonts w:ascii="宋体"/>
              </w:rPr>
            </w:pPr>
          </w:p>
        </w:tc>
        <w:tc>
          <w:tcPr>
            <w:tcW w:w="372" w:type="pct"/>
            <w:shd w:val="clear" w:color="auto" w:fill="auto"/>
            <w:vAlign w:val="bottom"/>
          </w:tcPr>
          <w:p w14:paraId="74DD985B" w14:textId="77777777" w:rsidR="00584EC1" w:rsidRDefault="00584EC1">
            <w:pPr>
              <w:rPr>
                <w:rFonts w:ascii="宋体"/>
              </w:rPr>
            </w:pPr>
          </w:p>
        </w:tc>
        <w:tc>
          <w:tcPr>
            <w:tcW w:w="5" w:type="pct"/>
            <w:shd w:val="clear" w:color="auto" w:fill="auto"/>
            <w:vAlign w:val="bottom"/>
          </w:tcPr>
          <w:p w14:paraId="74DD985C" w14:textId="77777777" w:rsidR="00584EC1" w:rsidRDefault="00584EC1">
            <w:pPr>
              <w:rPr>
                <w:rFonts w:ascii="宋体"/>
              </w:rPr>
            </w:pPr>
          </w:p>
        </w:tc>
        <w:tc>
          <w:tcPr>
            <w:tcW w:w="5" w:type="pct"/>
            <w:shd w:val="clear" w:color="auto" w:fill="auto"/>
            <w:vAlign w:val="bottom"/>
          </w:tcPr>
          <w:p w14:paraId="74DD985D" w14:textId="77777777" w:rsidR="00584EC1" w:rsidRDefault="00584EC1">
            <w:pPr>
              <w:rPr>
                <w:rFonts w:ascii="宋体"/>
              </w:rPr>
            </w:pPr>
          </w:p>
        </w:tc>
        <w:tc>
          <w:tcPr>
            <w:tcW w:w="26" w:type="pct"/>
            <w:shd w:val="clear" w:color="auto" w:fill="auto"/>
            <w:vAlign w:val="bottom"/>
          </w:tcPr>
          <w:p w14:paraId="74DD985E" w14:textId="77777777" w:rsidR="00584EC1" w:rsidRDefault="00584EC1">
            <w:pPr>
              <w:rPr>
                <w:rFonts w:ascii="宋体"/>
              </w:rPr>
            </w:pPr>
          </w:p>
        </w:tc>
        <w:tc>
          <w:tcPr>
            <w:tcW w:w="5" w:type="pct"/>
            <w:shd w:val="clear" w:color="auto" w:fill="auto"/>
            <w:vAlign w:val="bottom"/>
          </w:tcPr>
          <w:p w14:paraId="74DD985F" w14:textId="77777777" w:rsidR="00584EC1" w:rsidRDefault="00584EC1">
            <w:pPr>
              <w:rPr>
                <w:rFonts w:ascii="宋体"/>
              </w:rPr>
            </w:pPr>
          </w:p>
        </w:tc>
        <w:tc>
          <w:tcPr>
            <w:tcW w:w="50" w:type="pct"/>
            <w:shd w:val="clear" w:color="auto" w:fill="auto"/>
            <w:vAlign w:val="bottom"/>
          </w:tcPr>
          <w:p w14:paraId="74DD9860" w14:textId="77777777" w:rsidR="00584EC1" w:rsidRDefault="00584EC1">
            <w:pPr>
              <w:rPr>
                <w:rFonts w:ascii="宋体"/>
              </w:rPr>
            </w:pPr>
          </w:p>
        </w:tc>
        <w:tc>
          <w:tcPr>
            <w:tcW w:w="372" w:type="pct"/>
            <w:shd w:val="clear" w:color="auto" w:fill="auto"/>
            <w:vAlign w:val="bottom"/>
          </w:tcPr>
          <w:p w14:paraId="74DD9861" w14:textId="77777777" w:rsidR="00584EC1" w:rsidRDefault="00584EC1">
            <w:pPr>
              <w:rPr>
                <w:rFonts w:ascii="宋体"/>
              </w:rPr>
            </w:pPr>
          </w:p>
        </w:tc>
        <w:tc>
          <w:tcPr>
            <w:tcW w:w="5" w:type="pct"/>
            <w:shd w:val="clear" w:color="auto" w:fill="auto"/>
            <w:vAlign w:val="bottom"/>
          </w:tcPr>
          <w:p w14:paraId="74DD9862" w14:textId="77777777" w:rsidR="00584EC1" w:rsidRDefault="00584EC1">
            <w:pPr>
              <w:rPr>
                <w:rFonts w:ascii="宋体"/>
              </w:rPr>
            </w:pPr>
          </w:p>
        </w:tc>
        <w:tc>
          <w:tcPr>
            <w:tcW w:w="5" w:type="pct"/>
            <w:shd w:val="clear" w:color="auto" w:fill="auto"/>
            <w:vAlign w:val="bottom"/>
          </w:tcPr>
          <w:p w14:paraId="74DD9863" w14:textId="77777777" w:rsidR="00584EC1" w:rsidRDefault="00584EC1">
            <w:pPr>
              <w:rPr>
                <w:rFonts w:ascii="宋体"/>
              </w:rPr>
            </w:pPr>
          </w:p>
        </w:tc>
        <w:tc>
          <w:tcPr>
            <w:tcW w:w="26" w:type="pct"/>
            <w:shd w:val="clear" w:color="auto" w:fill="auto"/>
            <w:vAlign w:val="bottom"/>
          </w:tcPr>
          <w:p w14:paraId="74DD9864" w14:textId="77777777" w:rsidR="00584EC1" w:rsidRDefault="00584EC1">
            <w:pPr>
              <w:rPr>
                <w:rFonts w:ascii="宋体"/>
              </w:rPr>
            </w:pPr>
          </w:p>
        </w:tc>
        <w:tc>
          <w:tcPr>
            <w:tcW w:w="5" w:type="pct"/>
            <w:shd w:val="clear" w:color="auto" w:fill="auto"/>
            <w:vAlign w:val="bottom"/>
          </w:tcPr>
          <w:p w14:paraId="74DD9865" w14:textId="77777777" w:rsidR="00584EC1" w:rsidRDefault="00584EC1">
            <w:pPr>
              <w:rPr>
                <w:rFonts w:ascii="宋体"/>
              </w:rPr>
            </w:pPr>
          </w:p>
        </w:tc>
        <w:tc>
          <w:tcPr>
            <w:tcW w:w="50" w:type="pct"/>
            <w:shd w:val="clear" w:color="auto" w:fill="auto"/>
            <w:vAlign w:val="bottom"/>
          </w:tcPr>
          <w:p w14:paraId="74DD9866" w14:textId="77777777" w:rsidR="00584EC1" w:rsidRDefault="00584EC1">
            <w:pPr>
              <w:rPr>
                <w:rFonts w:ascii="宋体"/>
              </w:rPr>
            </w:pPr>
          </w:p>
        </w:tc>
        <w:tc>
          <w:tcPr>
            <w:tcW w:w="372" w:type="pct"/>
            <w:shd w:val="clear" w:color="auto" w:fill="auto"/>
            <w:vAlign w:val="bottom"/>
          </w:tcPr>
          <w:p w14:paraId="74DD9867" w14:textId="77777777" w:rsidR="00584EC1" w:rsidRDefault="00584EC1">
            <w:pPr>
              <w:rPr>
                <w:rFonts w:ascii="宋体"/>
              </w:rPr>
            </w:pPr>
          </w:p>
        </w:tc>
        <w:tc>
          <w:tcPr>
            <w:tcW w:w="5" w:type="pct"/>
            <w:shd w:val="clear" w:color="auto" w:fill="auto"/>
            <w:vAlign w:val="bottom"/>
          </w:tcPr>
          <w:p w14:paraId="74DD9868" w14:textId="77777777" w:rsidR="00584EC1" w:rsidRDefault="00584EC1">
            <w:pPr>
              <w:rPr>
                <w:rFonts w:ascii="宋体"/>
              </w:rPr>
            </w:pPr>
          </w:p>
        </w:tc>
        <w:tc>
          <w:tcPr>
            <w:tcW w:w="5" w:type="pct"/>
            <w:shd w:val="clear" w:color="auto" w:fill="auto"/>
            <w:vAlign w:val="bottom"/>
          </w:tcPr>
          <w:p w14:paraId="74DD9869" w14:textId="77777777" w:rsidR="00584EC1" w:rsidRDefault="00584EC1">
            <w:pPr>
              <w:rPr>
                <w:rFonts w:ascii="宋体"/>
              </w:rPr>
            </w:pPr>
          </w:p>
        </w:tc>
        <w:tc>
          <w:tcPr>
            <w:tcW w:w="26" w:type="pct"/>
            <w:shd w:val="clear" w:color="auto" w:fill="auto"/>
            <w:vAlign w:val="bottom"/>
          </w:tcPr>
          <w:p w14:paraId="74DD986A" w14:textId="77777777" w:rsidR="00584EC1" w:rsidRDefault="00584EC1">
            <w:pPr>
              <w:rPr>
                <w:rFonts w:ascii="宋体"/>
              </w:rPr>
            </w:pPr>
          </w:p>
        </w:tc>
        <w:tc>
          <w:tcPr>
            <w:tcW w:w="5" w:type="pct"/>
            <w:shd w:val="clear" w:color="auto" w:fill="auto"/>
            <w:vAlign w:val="bottom"/>
          </w:tcPr>
          <w:p w14:paraId="74DD986B" w14:textId="77777777" w:rsidR="00584EC1" w:rsidRDefault="00584EC1">
            <w:pPr>
              <w:rPr>
                <w:rFonts w:ascii="宋体"/>
              </w:rPr>
            </w:pPr>
          </w:p>
        </w:tc>
        <w:tc>
          <w:tcPr>
            <w:tcW w:w="50" w:type="pct"/>
            <w:shd w:val="clear" w:color="auto" w:fill="auto"/>
            <w:vAlign w:val="bottom"/>
          </w:tcPr>
          <w:p w14:paraId="74DD986C" w14:textId="77777777" w:rsidR="00584EC1" w:rsidRDefault="00584EC1">
            <w:pPr>
              <w:rPr>
                <w:rFonts w:ascii="宋体"/>
              </w:rPr>
            </w:pPr>
          </w:p>
        </w:tc>
        <w:tc>
          <w:tcPr>
            <w:tcW w:w="372" w:type="pct"/>
            <w:shd w:val="clear" w:color="auto" w:fill="auto"/>
            <w:vAlign w:val="bottom"/>
          </w:tcPr>
          <w:p w14:paraId="74DD986D" w14:textId="77777777" w:rsidR="00584EC1" w:rsidRDefault="00584EC1">
            <w:pPr>
              <w:rPr>
                <w:rFonts w:ascii="宋体"/>
              </w:rPr>
            </w:pPr>
          </w:p>
        </w:tc>
        <w:tc>
          <w:tcPr>
            <w:tcW w:w="5" w:type="pct"/>
            <w:shd w:val="clear" w:color="auto" w:fill="auto"/>
            <w:vAlign w:val="bottom"/>
          </w:tcPr>
          <w:p w14:paraId="74DD986E" w14:textId="77777777" w:rsidR="00584EC1" w:rsidRDefault="00584EC1">
            <w:pPr>
              <w:rPr>
                <w:rFonts w:ascii="宋体"/>
              </w:rPr>
            </w:pPr>
          </w:p>
        </w:tc>
        <w:tc>
          <w:tcPr>
            <w:tcW w:w="5" w:type="pct"/>
            <w:shd w:val="clear" w:color="auto" w:fill="auto"/>
            <w:vAlign w:val="bottom"/>
          </w:tcPr>
          <w:p w14:paraId="74DD986F" w14:textId="77777777" w:rsidR="00584EC1" w:rsidRDefault="00584EC1">
            <w:pPr>
              <w:rPr>
                <w:rFonts w:ascii="宋体"/>
              </w:rPr>
            </w:pPr>
          </w:p>
        </w:tc>
        <w:tc>
          <w:tcPr>
            <w:tcW w:w="26" w:type="pct"/>
            <w:shd w:val="clear" w:color="auto" w:fill="auto"/>
            <w:vAlign w:val="bottom"/>
          </w:tcPr>
          <w:p w14:paraId="74DD9870" w14:textId="77777777" w:rsidR="00584EC1" w:rsidRDefault="00584EC1">
            <w:pPr>
              <w:rPr>
                <w:rFonts w:ascii="宋体"/>
              </w:rPr>
            </w:pPr>
          </w:p>
        </w:tc>
        <w:tc>
          <w:tcPr>
            <w:tcW w:w="5" w:type="pct"/>
            <w:shd w:val="clear" w:color="auto" w:fill="auto"/>
            <w:vAlign w:val="bottom"/>
          </w:tcPr>
          <w:p w14:paraId="74DD9871" w14:textId="77777777" w:rsidR="00584EC1" w:rsidRDefault="00584EC1">
            <w:pPr>
              <w:rPr>
                <w:rFonts w:ascii="宋体"/>
              </w:rPr>
            </w:pPr>
          </w:p>
        </w:tc>
        <w:tc>
          <w:tcPr>
            <w:tcW w:w="50" w:type="pct"/>
            <w:shd w:val="clear" w:color="auto" w:fill="auto"/>
            <w:vAlign w:val="bottom"/>
          </w:tcPr>
          <w:p w14:paraId="74DD9872" w14:textId="77777777" w:rsidR="00584EC1" w:rsidRDefault="00584EC1">
            <w:pPr>
              <w:rPr>
                <w:rFonts w:ascii="宋体"/>
              </w:rPr>
            </w:pPr>
          </w:p>
        </w:tc>
        <w:tc>
          <w:tcPr>
            <w:tcW w:w="373" w:type="pct"/>
            <w:shd w:val="clear" w:color="auto" w:fill="auto"/>
            <w:vAlign w:val="bottom"/>
          </w:tcPr>
          <w:p w14:paraId="74DD9873" w14:textId="77777777" w:rsidR="00584EC1" w:rsidRDefault="00584EC1">
            <w:pPr>
              <w:rPr>
                <w:rFonts w:ascii="宋体"/>
              </w:rPr>
            </w:pPr>
          </w:p>
        </w:tc>
        <w:tc>
          <w:tcPr>
            <w:tcW w:w="5" w:type="pct"/>
            <w:shd w:val="clear" w:color="auto" w:fill="auto"/>
            <w:vAlign w:val="bottom"/>
          </w:tcPr>
          <w:p w14:paraId="74DD9874" w14:textId="77777777" w:rsidR="00584EC1" w:rsidRDefault="00584EC1">
            <w:pPr>
              <w:rPr>
                <w:rFonts w:ascii="宋体"/>
              </w:rPr>
            </w:pPr>
          </w:p>
        </w:tc>
      </w:tr>
      <w:tr w:rsidR="00584EC1" w14:paraId="74DD9877" w14:textId="77777777">
        <w:tc>
          <w:tcPr>
            <w:tcW w:w="0" w:type="auto"/>
            <w:gridSpan w:val="54"/>
            <w:shd w:val="clear" w:color="auto" w:fill="auto"/>
            <w:tcMar>
              <w:top w:w="40" w:type="dxa"/>
              <w:left w:w="20" w:type="dxa"/>
              <w:bottom w:w="40" w:type="dxa"/>
              <w:right w:w="20" w:type="dxa"/>
            </w:tcMar>
            <w:vAlign w:val="center"/>
          </w:tcPr>
          <w:p w14:paraId="74DD9876" w14:textId="77777777" w:rsidR="00584EC1" w:rsidRDefault="00871F8D">
            <w:pPr>
              <w:textAlignment w:val="center"/>
            </w:pPr>
            <w:r>
              <w:rPr>
                <w:rFonts w:ascii="Arial" w:eastAsia="宋体" w:hAnsi="Arial" w:cs="Arial"/>
                <w:b/>
                <w:bCs/>
                <w:color w:val="000000"/>
                <w:sz w:val="16"/>
                <w:szCs w:val="16"/>
              </w:rPr>
              <w:t>TABLE 35: REGULATORY CAPITAL STRUCTURE AND RELATED REGULATORY CAPITAL RATIOS</w:t>
            </w:r>
          </w:p>
        </w:tc>
      </w:tr>
      <w:tr w:rsidR="00584EC1" w14:paraId="74DD987C" w14:textId="77777777">
        <w:tc>
          <w:tcPr>
            <w:tcW w:w="0" w:type="auto"/>
            <w:gridSpan w:val="9"/>
            <w:shd w:val="clear" w:color="auto" w:fill="auto"/>
            <w:tcMar>
              <w:top w:w="0" w:type="dxa"/>
              <w:left w:w="20" w:type="dxa"/>
              <w:bottom w:w="0" w:type="dxa"/>
              <w:right w:w="20" w:type="dxa"/>
            </w:tcMar>
            <w:vAlign w:val="bottom"/>
          </w:tcPr>
          <w:p w14:paraId="74DD9878" w14:textId="77777777" w:rsidR="00584EC1" w:rsidRDefault="00584EC1">
            <w:pPr>
              <w:rPr>
                <w:rFonts w:ascii="宋体"/>
              </w:rPr>
            </w:pPr>
          </w:p>
        </w:tc>
        <w:tc>
          <w:tcPr>
            <w:tcW w:w="0" w:type="auto"/>
            <w:gridSpan w:val="21"/>
            <w:shd w:val="clear" w:color="auto" w:fill="auto"/>
            <w:tcMar>
              <w:top w:w="40" w:type="dxa"/>
              <w:left w:w="20" w:type="dxa"/>
              <w:bottom w:w="40" w:type="dxa"/>
              <w:right w:w="20" w:type="dxa"/>
            </w:tcMar>
            <w:vAlign w:val="bottom"/>
          </w:tcPr>
          <w:p w14:paraId="74DD9879" w14:textId="77777777" w:rsidR="00584EC1" w:rsidRDefault="00871F8D">
            <w:pPr>
              <w:jc w:val="center"/>
              <w:textAlignment w:val="bottom"/>
            </w:pPr>
            <w:r>
              <w:rPr>
                <w:rFonts w:ascii="Arial" w:eastAsia="宋体" w:hAnsi="Arial" w:cs="Arial"/>
                <w:b/>
                <w:bCs/>
                <w:color w:val="000000"/>
                <w:sz w:val="14"/>
                <w:szCs w:val="14"/>
              </w:rPr>
              <w:t>State Street Corporation</w:t>
            </w:r>
          </w:p>
        </w:tc>
        <w:tc>
          <w:tcPr>
            <w:tcW w:w="0" w:type="auto"/>
            <w:gridSpan w:val="3"/>
            <w:shd w:val="clear" w:color="auto" w:fill="auto"/>
            <w:tcMar>
              <w:top w:w="0" w:type="dxa"/>
              <w:left w:w="20" w:type="dxa"/>
              <w:bottom w:w="0" w:type="dxa"/>
              <w:right w:w="20" w:type="dxa"/>
            </w:tcMar>
            <w:vAlign w:val="bottom"/>
          </w:tcPr>
          <w:p w14:paraId="74DD987A" w14:textId="77777777" w:rsidR="00584EC1" w:rsidRDefault="00584EC1">
            <w:pPr>
              <w:rPr>
                <w:rFonts w:ascii="宋体"/>
              </w:rPr>
            </w:pPr>
          </w:p>
        </w:tc>
        <w:tc>
          <w:tcPr>
            <w:tcW w:w="0" w:type="auto"/>
            <w:gridSpan w:val="21"/>
            <w:shd w:val="clear" w:color="auto" w:fill="auto"/>
            <w:tcMar>
              <w:top w:w="40" w:type="dxa"/>
              <w:left w:w="20" w:type="dxa"/>
              <w:bottom w:w="40" w:type="dxa"/>
              <w:right w:w="20" w:type="dxa"/>
            </w:tcMar>
            <w:vAlign w:val="bottom"/>
          </w:tcPr>
          <w:p w14:paraId="74DD987B" w14:textId="77777777" w:rsidR="00584EC1" w:rsidRDefault="00871F8D">
            <w:pPr>
              <w:jc w:val="center"/>
              <w:textAlignment w:val="bottom"/>
            </w:pPr>
            <w:r>
              <w:rPr>
                <w:rFonts w:ascii="Arial" w:eastAsia="宋体" w:hAnsi="Arial" w:cs="Arial"/>
                <w:b/>
                <w:bCs/>
                <w:color w:val="000000"/>
                <w:sz w:val="14"/>
                <w:szCs w:val="14"/>
              </w:rPr>
              <w:t>State Street Bank</w:t>
            </w:r>
          </w:p>
        </w:tc>
      </w:tr>
      <w:tr w:rsidR="00584EC1" w14:paraId="74DD988D" w14:textId="77777777">
        <w:tc>
          <w:tcPr>
            <w:tcW w:w="0" w:type="auto"/>
            <w:gridSpan w:val="9"/>
            <w:shd w:val="clear" w:color="auto" w:fill="auto"/>
            <w:tcMar>
              <w:top w:w="40" w:type="dxa"/>
              <w:left w:w="20" w:type="dxa"/>
              <w:bottom w:w="40" w:type="dxa"/>
              <w:right w:w="20" w:type="dxa"/>
            </w:tcMar>
            <w:vAlign w:val="bottom"/>
          </w:tcPr>
          <w:p w14:paraId="74DD987D" w14:textId="77777777" w:rsidR="00584EC1" w:rsidRDefault="00871F8D">
            <w:pPr>
              <w:textAlignment w:val="bottom"/>
            </w:pPr>
            <w:r>
              <w:rPr>
                <w:rFonts w:ascii="Arial" w:eastAsia="宋体" w:hAnsi="Arial" w:cs="Arial"/>
                <w:b/>
                <w:bCs/>
                <w:color w:val="000000"/>
                <w:sz w:val="12"/>
                <w:szCs w:val="12"/>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987E" w14:textId="77777777" w:rsidR="00584EC1" w:rsidRDefault="00871F8D">
            <w:pPr>
              <w:jc w:val="center"/>
              <w:textAlignment w:val="bottom"/>
            </w:pPr>
            <w:r>
              <w:rPr>
                <w:rFonts w:ascii="Arial" w:eastAsia="宋体" w:hAnsi="Arial" w:cs="Arial"/>
                <w:b/>
                <w:bCs/>
                <w:color w:val="000000"/>
                <w:sz w:val="11"/>
                <w:szCs w:val="11"/>
              </w:rPr>
              <w:t>Basel III Advanced Approaches September 30,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87F"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9880" w14:textId="77777777" w:rsidR="00584EC1" w:rsidRDefault="00871F8D">
            <w:pPr>
              <w:jc w:val="center"/>
              <w:textAlignment w:val="bottom"/>
            </w:pPr>
            <w:r>
              <w:rPr>
                <w:rFonts w:ascii="Arial" w:eastAsia="宋体" w:hAnsi="Arial" w:cs="Arial"/>
                <w:b/>
                <w:bCs/>
                <w:color w:val="000000"/>
                <w:sz w:val="11"/>
                <w:szCs w:val="11"/>
              </w:rPr>
              <w:t>Basel III Standardized Approach September 30,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881"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9882" w14:textId="77777777" w:rsidR="00584EC1" w:rsidRDefault="00871F8D">
            <w:pPr>
              <w:jc w:val="center"/>
              <w:textAlignment w:val="bottom"/>
            </w:pPr>
            <w:r>
              <w:rPr>
                <w:rFonts w:ascii="Arial" w:eastAsia="宋体" w:hAnsi="Arial" w:cs="Arial"/>
                <w:b/>
                <w:bCs/>
                <w:color w:val="000000"/>
                <w:sz w:val="11"/>
                <w:szCs w:val="11"/>
              </w:rPr>
              <w:t>Basel III Advanced Approaches December 31, 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883"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9884" w14:textId="77777777" w:rsidR="00584EC1" w:rsidRDefault="00871F8D">
            <w:pPr>
              <w:jc w:val="center"/>
              <w:textAlignment w:val="bottom"/>
            </w:pPr>
            <w:r>
              <w:rPr>
                <w:rFonts w:ascii="Arial" w:eastAsia="宋体" w:hAnsi="Arial" w:cs="Arial"/>
                <w:b/>
                <w:bCs/>
                <w:color w:val="000000"/>
                <w:sz w:val="11"/>
                <w:szCs w:val="11"/>
              </w:rPr>
              <w:t>Basel III Standardized Approach December 31, 2020</w:t>
            </w:r>
          </w:p>
        </w:tc>
        <w:tc>
          <w:tcPr>
            <w:tcW w:w="0" w:type="auto"/>
            <w:gridSpan w:val="3"/>
            <w:shd w:val="clear" w:color="auto" w:fill="auto"/>
            <w:tcMar>
              <w:top w:w="0" w:type="dxa"/>
              <w:left w:w="20" w:type="dxa"/>
              <w:bottom w:w="0" w:type="dxa"/>
              <w:right w:w="20" w:type="dxa"/>
            </w:tcMar>
            <w:vAlign w:val="bottom"/>
          </w:tcPr>
          <w:p w14:paraId="74DD9885"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9886" w14:textId="77777777" w:rsidR="00584EC1" w:rsidRDefault="00871F8D">
            <w:pPr>
              <w:jc w:val="center"/>
              <w:textAlignment w:val="bottom"/>
            </w:pPr>
            <w:r>
              <w:rPr>
                <w:rFonts w:ascii="Arial" w:eastAsia="宋体" w:hAnsi="Arial" w:cs="Arial"/>
                <w:b/>
                <w:bCs/>
                <w:color w:val="000000"/>
                <w:sz w:val="11"/>
                <w:szCs w:val="11"/>
              </w:rPr>
              <w:t>Basel III Advanced Approaches September 30,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887"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9888" w14:textId="77777777" w:rsidR="00584EC1" w:rsidRDefault="00871F8D">
            <w:pPr>
              <w:jc w:val="center"/>
              <w:textAlignment w:val="bottom"/>
            </w:pPr>
            <w:r>
              <w:rPr>
                <w:rFonts w:ascii="Arial" w:eastAsia="宋体" w:hAnsi="Arial" w:cs="Arial"/>
                <w:b/>
                <w:bCs/>
                <w:color w:val="000000"/>
                <w:sz w:val="11"/>
                <w:szCs w:val="11"/>
              </w:rPr>
              <w:t>Basel III Standardized Approach September 30,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889"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988A" w14:textId="77777777" w:rsidR="00584EC1" w:rsidRDefault="00871F8D">
            <w:pPr>
              <w:jc w:val="center"/>
              <w:textAlignment w:val="bottom"/>
            </w:pPr>
            <w:r>
              <w:rPr>
                <w:rFonts w:ascii="Arial" w:eastAsia="宋体" w:hAnsi="Arial" w:cs="Arial"/>
                <w:b/>
                <w:bCs/>
                <w:color w:val="000000"/>
                <w:sz w:val="11"/>
                <w:szCs w:val="11"/>
              </w:rPr>
              <w:t>Basel III Advanced Approaches December 31, 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88B"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988C" w14:textId="77777777" w:rsidR="00584EC1" w:rsidRDefault="00871F8D">
            <w:pPr>
              <w:jc w:val="center"/>
              <w:textAlignment w:val="bottom"/>
            </w:pPr>
            <w:r>
              <w:rPr>
                <w:rFonts w:ascii="Arial" w:eastAsia="宋体" w:hAnsi="Arial" w:cs="Arial"/>
                <w:b/>
                <w:bCs/>
                <w:color w:val="000000"/>
                <w:sz w:val="11"/>
                <w:szCs w:val="11"/>
              </w:rPr>
              <w:t>Basel III Standardized Approach December 31, 2020</w:t>
            </w:r>
          </w:p>
        </w:tc>
      </w:tr>
      <w:tr w:rsidR="00584EC1" w14:paraId="74DD989E" w14:textId="77777777">
        <w:tc>
          <w:tcPr>
            <w:tcW w:w="0" w:type="auto"/>
            <w:gridSpan w:val="9"/>
            <w:shd w:val="clear" w:color="auto" w:fill="auto"/>
            <w:tcMar>
              <w:top w:w="40" w:type="dxa"/>
              <w:left w:w="20" w:type="dxa"/>
              <w:bottom w:w="40" w:type="dxa"/>
              <w:right w:w="20" w:type="dxa"/>
            </w:tcMar>
            <w:vAlign w:val="bottom"/>
          </w:tcPr>
          <w:p w14:paraId="74DD988E" w14:textId="77777777" w:rsidR="00584EC1" w:rsidRDefault="00871F8D">
            <w:pPr>
              <w:textAlignment w:val="bottom"/>
            </w:pPr>
            <w:r>
              <w:rPr>
                <w:rFonts w:ascii="Arial" w:eastAsia="宋体" w:hAnsi="Arial" w:cs="Arial"/>
                <w:b/>
                <w:bCs/>
                <w:color w:val="000000"/>
                <w:sz w:val="12"/>
                <w:szCs w:val="12"/>
              </w:rPr>
              <w:t> Common shareholders' equity:</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88F"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9890"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89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9892"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893"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9894"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89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9896"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897"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9898"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899"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989A"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89B"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989C"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89D" w14:textId="77777777" w:rsidR="00584EC1" w:rsidRDefault="00584EC1">
            <w:pPr>
              <w:rPr>
                <w:rFonts w:ascii="宋体"/>
              </w:rPr>
            </w:pPr>
          </w:p>
        </w:tc>
      </w:tr>
      <w:tr w:rsidR="00871F8D" w14:paraId="74DD98BF" w14:textId="77777777">
        <w:tc>
          <w:tcPr>
            <w:tcW w:w="0" w:type="auto"/>
            <w:gridSpan w:val="9"/>
            <w:shd w:val="clear" w:color="auto" w:fill="CCEEFF"/>
            <w:tcMar>
              <w:top w:w="40" w:type="dxa"/>
              <w:left w:w="245" w:type="dxa"/>
              <w:bottom w:w="40" w:type="dxa"/>
              <w:right w:w="20" w:type="dxa"/>
            </w:tcMar>
            <w:vAlign w:val="bottom"/>
          </w:tcPr>
          <w:p w14:paraId="74DD989F" w14:textId="77777777" w:rsidR="00584EC1" w:rsidRDefault="00871F8D">
            <w:pPr>
              <w:textAlignment w:val="bottom"/>
            </w:pPr>
            <w:r>
              <w:rPr>
                <w:rFonts w:ascii="Arial" w:eastAsia="宋体" w:hAnsi="Arial" w:cs="Arial"/>
                <w:color w:val="000000"/>
                <w:sz w:val="12"/>
                <w:szCs w:val="12"/>
              </w:rPr>
              <w:t>Common stock and related surplus</w:t>
            </w:r>
          </w:p>
        </w:tc>
        <w:tc>
          <w:tcPr>
            <w:tcW w:w="0" w:type="auto"/>
            <w:shd w:val="clear" w:color="auto" w:fill="CCEEFF"/>
            <w:tcMar>
              <w:top w:w="40" w:type="dxa"/>
              <w:left w:w="20" w:type="dxa"/>
              <w:bottom w:w="40" w:type="dxa"/>
              <w:right w:w="0" w:type="dxa"/>
            </w:tcMar>
            <w:vAlign w:val="bottom"/>
          </w:tcPr>
          <w:p w14:paraId="74DD98A0" w14:textId="77777777" w:rsidR="00584EC1" w:rsidRDefault="00871F8D">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74DD98A1" w14:textId="77777777" w:rsidR="00584EC1" w:rsidRDefault="00871F8D">
            <w:pPr>
              <w:jc w:val="right"/>
              <w:textAlignment w:val="bottom"/>
            </w:pPr>
            <w:r>
              <w:rPr>
                <w:rFonts w:ascii="Arial" w:eastAsia="宋体" w:hAnsi="Arial" w:cs="Arial"/>
                <w:b/>
                <w:bCs/>
                <w:color w:val="000000"/>
                <w:sz w:val="12"/>
                <w:szCs w:val="12"/>
              </w:rPr>
              <w:t>11,267</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98A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8A3"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98A4" w14:textId="77777777" w:rsidR="00584EC1" w:rsidRDefault="00871F8D">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74DD98A5" w14:textId="77777777" w:rsidR="00584EC1" w:rsidRDefault="00871F8D">
            <w:pPr>
              <w:jc w:val="right"/>
              <w:textAlignment w:val="bottom"/>
            </w:pPr>
            <w:r>
              <w:rPr>
                <w:rFonts w:ascii="Arial" w:eastAsia="宋体" w:hAnsi="Arial" w:cs="Arial"/>
                <w:b/>
                <w:bCs/>
                <w:color w:val="000000"/>
                <w:sz w:val="12"/>
                <w:szCs w:val="12"/>
              </w:rPr>
              <w:t>11,267</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98A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8A7"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98A8" w14:textId="77777777" w:rsidR="00584EC1" w:rsidRDefault="00871F8D">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74DD98A9" w14:textId="77777777" w:rsidR="00584EC1" w:rsidRDefault="00871F8D">
            <w:pPr>
              <w:jc w:val="right"/>
              <w:textAlignment w:val="bottom"/>
            </w:pPr>
            <w:r>
              <w:rPr>
                <w:rFonts w:ascii="Arial" w:eastAsia="宋体" w:hAnsi="Arial" w:cs="Arial"/>
                <w:color w:val="000000"/>
                <w:sz w:val="12"/>
                <w:szCs w:val="12"/>
              </w:rPr>
              <w:t>10,709 </w:t>
            </w:r>
          </w:p>
        </w:tc>
        <w:tc>
          <w:tcPr>
            <w:tcW w:w="0" w:type="auto"/>
            <w:shd w:val="clear" w:color="auto" w:fill="CCEEFF"/>
            <w:tcMar>
              <w:top w:w="40" w:type="dxa"/>
              <w:left w:w="0" w:type="dxa"/>
              <w:bottom w:w="40" w:type="dxa"/>
              <w:right w:w="20" w:type="dxa"/>
            </w:tcMar>
            <w:vAlign w:val="bottom"/>
          </w:tcPr>
          <w:p w14:paraId="74DD98A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8AB"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98AC" w14:textId="77777777" w:rsidR="00584EC1" w:rsidRDefault="00871F8D">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74DD98AD" w14:textId="77777777" w:rsidR="00584EC1" w:rsidRDefault="00871F8D">
            <w:pPr>
              <w:jc w:val="right"/>
              <w:textAlignment w:val="bottom"/>
            </w:pPr>
            <w:r>
              <w:rPr>
                <w:rFonts w:ascii="Arial" w:eastAsia="宋体" w:hAnsi="Arial" w:cs="Arial"/>
                <w:color w:val="000000"/>
                <w:sz w:val="12"/>
                <w:szCs w:val="12"/>
              </w:rPr>
              <w:t>10,709 </w:t>
            </w:r>
          </w:p>
        </w:tc>
        <w:tc>
          <w:tcPr>
            <w:tcW w:w="0" w:type="auto"/>
            <w:shd w:val="clear" w:color="auto" w:fill="CCEEFF"/>
            <w:tcMar>
              <w:top w:w="40" w:type="dxa"/>
              <w:left w:w="0" w:type="dxa"/>
              <w:bottom w:w="40" w:type="dxa"/>
              <w:right w:w="20" w:type="dxa"/>
            </w:tcMar>
            <w:vAlign w:val="bottom"/>
          </w:tcPr>
          <w:p w14:paraId="74DD98A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8AF"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98B0" w14:textId="77777777" w:rsidR="00584EC1" w:rsidRDefault="00871F8D">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74DD98B1" w14:textId="77777777" w:rsidR="00584EC1" w:rsidRDefault="00871F8D">
            <w:pPr>
              <w:jc w:val="right"/>
              <w:textAlignment w:val="bottom"/>
            </w:pPr>
            <w:r>
              <w:rPr>
                <w:rFonts w:ascii="Arial" w:eastAsia="宋体" w:hAnsi="Arial" w:cs="Arial"/>
                <w:b/>
                <w:bCs/>
                <w:color w:val="000000"/>
                <w:sz w:val="12"/>
                <w:szCs w:val="12"/>
              </w:rPr>
              <w:t>12,887</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98B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8B3"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98B4" w14:textId="77777777" w:rsidR="00584EC1" w:rsidRDefault="00871F8D">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74DD98B5" w14:textId="77777777" w:rsidR="00584EC1" w:rsidRDefault="00871F8D">
            <w:pPr>
              <w:jc w:val="right"/>
              <w:textAlignment w:val="bottom"/>
            </w:pPr>
            <w:r>
              <w:rPr>
                <w:rFonts w:ascii="Arial" w:eastAsia="宋体" w:hAnsi="Arial" w:cs="Arial"/>
                <w:b/>
                <w:bCs/>
                <w:color w:val="000000"/>
                <w:sz w:val="12"/>
                <w:szCs w:val="12"/>
              </w:rPr>
              <w:t>12,887</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98B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8B7"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98B8" w14:textId="77777777" w:rsidR="00584EC1" w:rsidRDefault="00871F8D">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74DD98B9" w14:textId="77777777" w:rsidR="00584EC1" w:rsidRDefault="00871F8D">
            <w:pPr>
              <w:jc w:val="right"/>
              <w:textAlignment w:val="bottom"/>
            </w:pPr>
            <w:r>
              <w:rPr>
                <w:rFonts w:ascii="Arial" w:eastAsia="宋体" w:hAnsi="Arial" w:cs="Arial"/>
                <w:color w:val="000000"/>
                <w:sz w:val="12"/>
                <w:szCs w:val="12"/>
              </w:rPr>
              <w:t>12,893 </w:t>
            </w:r>
          </w:p>
        </w:tc>
        <w:tc>
          <w:tcPr>
            <w:tcW w:w="0" w:type="auto"/>
            <w:shd w:val="clear" w:color="auto" w:fill="CCEEFF"/>
            <w:tcMar>
              <w:top w:w="40" w:type="dxa"/>
              <w:left w:w="0" w:type="dxa"/>
              <w:bottom w:w="40" w:type="dxa"/>
              <w:right w:w="20" w:type="dxa"/>
            </w:tcMar>
            <w:vAlign w:val="bottom"/>
          </w:tcPr>
          <w:p w14:paraId="74DD98B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8BB"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98BC" w14:textId="77777777" w:rsidR="00584EC1" w:rsidRDefault="00871F8D">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74DD98BD" w14:textId="77777777" w:rsidR="00584EC1" w:rsidRDefault="00871F8D">
            <w:pPr>
              <w:jc w:val="right"/>
              <w:textAlignment w:val="bottom"/>
            </w:pPr>
            <w:r>
              <w:rPr>
                <w:rFonts w:ascii="Arial" w:eastAsia="宋体" w:hAnsi="Arial" w:cs="Arial"/>
                <w:color w:val="000000"/>
                <w:sz w:val="12"/>
                <w:szCs w:val="12"/>
              </w:rPr>
              <w:t>12,893 </w:t>
            </w:r>
          </w:p>
        </w:tc>
        <w:tc>
          <w:tcPr>
            <w:tcW w:w="0" w:type="auto"/>
            <w:shd w:val="clear" w:color="auto" w:fill="CCEEFF"/>
            <w:tcMar>
              <w:top w:w="40" w:type="dxa"/>
              <w:left w:w="0" w:type="dxa"/>
              <w:bottom w:w="40" w:type="dxa"/>
              <w:right w:w="20" w:type="dxa"/>
            </w:tcMar>
            <w:vAlign w:val="bottom"/>
          </w:tcPr>
          <w:p w14:paraId="74DD98BE" w14:textId="77777777" w:rsidR="00584EC1" w:rsidRDefault="00584EC1">
            <w:pPr>
              <w:jc w:val="right"/>
              <w:rPr>
                <w:rFonts w:ascii="宋体"/>
              </w:rPr>
            </w:pPr>
          </w:p>
        </w:tc>
      </w:tr>
      <w:tr w:rsidR="00584EC1" w14:paraId="74DD98D8" w14:textId="77777777">
        <w:tc>
          <w:tcPr>
            <w:tcW w:w="0" w:type="auto"/>
            <w:gridSpan w:val="9"/>
            <w:shd w:val="clear" w:color="auto" w:fill="FFFFFF"/>
            <w:tcMar>
              <w:top w:w="40" w:type="dxa"/>
              <w:left w:w="245" w:type="dxa"/>
              <w:bottom w:w="40" w:type="dxa"/>
              <w:right w:w="20" w:type="dxa"/>
            </w:tcMar>
            <w:vAlign w:val="bottom"/>
          </w:tcPr>
          <w:p w14:paraId="74DD98C0" w14:textId="77777777" w:rsidR="00584EC1" w:rsidRDefault="00871F8D">
            <w:pPr>
              <w:textAlignment w:val="bottom"/>
            </w:pPr>
            <w:r>
              <w:rPr>
                <w:rFonts w:ascii="Arial" w:eastAsia="宋体" w:hAnsi="Arial" w:cs="Arial"/>
                <w:color w:val="000000"/>
                <w:sz w:val="12"/>
                <w:szCs w:val="12"/>
              </w:rPr>
              <w:t>Retained earnings</w:t>
            </w:r>
          </w:p>
        </w:tc>
        <w:tc>
          <w:tcPr>
            <w:tcW w:w="0" w:type="auto"/>
            <w:gridSpan w:val="2"/>
            <w:shd w:val="clear" w:color="auto" w:fill="FFFFFF"/>
            <w:tcMar>
              <w:top w:w="40" w:type="dxa"/>
              <w:left w:w="20" w:type="dxa"/>
              <w:bottom w:w="40" w:type="dxa"/>
              <w:right w:w="0" w:type="dxa"/>
            </w:tcMar>
            <w:vAlign w:val="bottom"/>
          </w:tcPr>
          <w:p w14:paraId="74DD98C1" w14:textId="77777777" w:rsidR="00584EC1" w:rsidRDefault="00871F8D">
            <w:pPr>
              <w:jc w:val="right"/>
              <w:textAlignment w:val="bottom"/>
            </w:pPr>
            <w:r>
              <w:rPr>
                <w:rFonts w:ascii="Arial" w:eastAsia="宋体" w:hAnsi="Arial" w:cs="Arial"/>
                <w:b/>
                <w:bCs/>
                <w:color w:val="000000"/>
                <w:sz w:val="12"/>
                <w:szCs w:val="12"/>
              </w:rPr>
              <w:t>24,785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98C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8C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8C4" w14:textId="77777777" w:rsidR="00584EC1" w:rsidRDefault="00871F8D">
            <w:pPr>
              <w:jc w:val="right"/>
              <w:textAlignment w:val="bottom"/>
            </w:pPr>
            <w:r>
              <w:rPr>
                <w:rFonts w:ascii="Arial" w:eastAsia="宋体" w:hAnsi="Arial" w:cs="Arial"/>
                <w:b/>
                <w:bCs/>
                <w:color w:val="000000"/>
                <w:sz w:val="12"/>
                <w:szCs w:val="12"/>
              </w:rPr>
              <w:t>24,785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98C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8C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8C7" w14:textId="77777777" w:rsidR="00584EC1" w:rsidRDefault="00871F8D">
            <w:pPr>
              <w:jc w:val="right"/>
              <w:textAlignment w:val="bottom"/>
            </w:pPr>
            <w:r>
              <w:rPr>
                <w:rFonts w:ascii="Arial" w:eastAsia="宋体" w:hAnsi="Arial" w:cs="Arial"/>
                <w:color w:val="000000"/>
                <w:sz w:val="12"/>
                <w:szCs w:val="12"/>
              </w:rPr>
              <w:t>23,442 </w:t>
            </w:r>
          </w:p>
        </w:tc>
        <w:tc>
          <w:tcPr>
            <w:tcW w:w="0" w:type="auto"/>
            <w:shd w:val="clear" w:color="auto" w:fill="FFFFFF"/>
            <w:tcMar>
              <w:top w:w="40" w:type="dxa"/>
              <w:left w:w="0" w:type="dxa"/>
              <w:bottom w:w="40" w:type="dxa"/>
              <w:right w:w="20" w:type="dxa"/>
            </w:tcMar>
            <w:vAlign w:val="bottom"/>
          </w:tcPr>
          <w:p w14:paraId="74DD98C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8C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8CA" w14:textId="77777777" w:rsidR="00584EC1" w:rsidRDefault="00871F8D">
            <w:pPr>
              <w:jc w:val="right"/>
              <w:textAlignment w:val="bottom"/>
            </w:pPr>
            <w:r>
              <w:rPr>
                <w:rFonts w:ascii="Arial" w:eastAsia="宋体" w:hAnsi="Arial" w:cs="Arial"/>
                <w:color w:val="000000"/>
                <w:sz w:val="12"/>
                <w:szCs w:val="12"/>
              </w:rPr>
              <w:t>23,442 </w:t>
            </w:r>
          </w:p>
        </w:tc>
        <w:tc>
          <w:tcPr>
            <w:tcW w:w="0" w:type="auto"/>
            <w:shd w:val="clear" w:color="auto" w:fill="FFFFFF"/>
            <w:tcMar>
              <w:top w:w="40" w:type="dxa"/>
              <w:left w:w="0" w:type="dxa"/>
              <w:bottom w:w="40" w:type="dxa"/>
              <w:right w:w="20" w:type="dxa"/>
            </w:tcMar>
            <w:vAlign w:val="bottom"/>
          </w:tcPr>
          <w:p w14:paraId="74DD98C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8C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8CD" w14:textId="77777777" w:rsidR="00584EC1" w:rsidRDefault="00871F8D">
            <w:pPr>
              <w:jc w:val="right"/>
              <w:textAlignment w:val="bottom"/>
            </w:pPr>
            <w:r>
              <w:rPr>
                <w:rFonts w:ascii="Arial" w:eastAsia="宋体" w:hAnsi="Arial" w:cs="Arial"/>
                <w:b/>
                <w:bCs/>
                <w:color w:val="000000"/>
                <w:sz w:val="12"/>
                <w:szCs w:val="12"/>
              </w:rPr>
              <w:t>14,919</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98C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8C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8D0" w14:textId="77777777" w:rsidR="00584EC1" w:rsidRDefault="00871F8D">
            <w:pPr>
              <w:jc w:val="right"/>
              <w:textAlignment w:val="bottom"/>
            </w:pPr>
            <w:r>
              <w:rPr>
                <w:rFonts w:ascii="Arial" w:eastAsia="宋体" w:hAnsi="Arial" w:cs="Arial"/>
                <w:b/>
                <w:bCs/>
                <w:color w:val="000000"/>
                <w:sz w:val="12"/>
                <w:szCs w:val="12"/>
              </w:rPr>
              <w:t>14,919</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98D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8D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8D3" w14:textId="77777777" w:rsidR="00584EC1" w:rsidRDefault="00871F8D">
            <w:pPr>
              <w:jc w:val="right"/>
              <w:textAlignment w:val="bottom"/>
            </w:pPr>
            <w:r>
              <w:rPr>
                <w:rFonts w:ascii="Arial" w:eastAsia="宋体" w:hAnsi="Arial" w:cs="Arial"/>
                <w:color w:val="000000"/>
                <w:sz w:val="12"/>
                <w:szCs w:val="12"/>
              </w:rPr>
              <w:t>12,939 </w:t>
            </w:r>
          </w:p>
        </w:tc>
        <w:tc>
          <w:tcPr>
            <w:tcW w:w="0" w:type="auto"/>
            <w:shd w:val="clear" w:color="auto" w:fill="FFFFFF"/>
            <w:tcMar>
              <w:top w:w="40" w:type="dxa"/>
              <w:left w:w="0" w:type="dxa"/>
              <w:bottom w:w="40" w:type="dxa"/>
              <w:right w:w="20" w:type="dxa"/>
            </w:tcMar>
            <w:vAlign w:val="bottom"/>
          </w:tcPr>
          <w:p w14:paraId="74DD98D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8D5"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8D6" w14:textId="77777777" w:rsidR="00584EC1" w:rsidRDefault="00871F8D">
            <w:pPr>
              <w:jc w:val="right"/>
              <w:textAlignment w:val="bottom"/>
            </w:pPr>
            <w:r>
              <w:rPr>
                <w:rFonts w:ascii="Arial" w:eastAsia="宋体" w:hAnsi="Arial" w:cs="Arial"/>
                <w:color w:val="000000"/>
                <w:sz w:val="12"/>
                <w:szCs w:val="12"/>
              </w:rPr>
              <w:t>12,939 </w:t>
            </w:r>
          </w:p>
        </w:tc>
        <w:tc>
          <w:tcPr>
            <w:tcW w:w="0" w:type="auto"/>
            <w:shd w:val="clear" w:color="auto" w:fill="FFFFFF"/>
            <w:tcMar>
              <w:top w:w="40" w:type="dxa"/>
              <w:left w:w="0" w:type="dxa"/>
              <w:bottom w:w="40" w:type="dxa"/>
              <w:right w:w="20" w:type="dxa"/>
            </w:tcMar>
            <w:vAlign w:val="bottom"/>
          </w:tcPr>
          <w:p w14:paraId="74DD98D7" w14:textId="77777777" w:rsidR="00584EC1" w:rsidRDefault="00584EC1">
            <w:pPr>
              <w:jc w:val="right"/>
              <w:rPr>
                <w:rFonts w:ascii="宋体"/>
              </w:rPr>
            </w:pPr>
          </w:p>
        </w:tc>
      </w:tr>
      <w:tr w:rsidR="00584EC1" w14:paraId="74DD98F1" w14:textId="77777777">
        <w:tc>
          <w:tcPr>
            <w:tcW w:w="0" w:type="auto"/>
            <w:gridSpan w:val="9"/>
            <w:shd w:val="clear" w:color="auto" w:fill="CCEEFF"/>
            <w:tcMar>
              <w:top w:w="40" w:type="dxa"/>
              <w:left w:w="245" w:type="dxa"/>
              <w:bottom w:w="40" w:type="dxa"/>
              <w:right w:w="20" w:type="dxa"/>
            </w:tcMar>
            <w:vAlign w:val="bottom"/>
          </w:tcPr>
          <w:p w14:paraId="74DD98D9" w14:textId="77777777" w:rsidR="00584EC1" w:rsidRDefault="00871F8D">
            <w:pPr>
              <w:textAlignment w:val="bottom"/>
            </w:pPr>
            <w:r>
              <w:rPr>
                <w:rFonts w:ascii="Arial" w:eastAsia="宋体" w:hAnsi="Arial" w:cs="Arial"/>
                <w:color w:val="000000"/>
                <w:sz w:val="12"/>
                <w:szCs w:val="12"/>
              </w:rPr>
              <w:t>Accumulated other comprehensive income (loss)</w:t>
            </w:r>
          </w:p>
        </w:tc>
        <w:tc>
          <w:tcPr>
            <w:tcW w:w="0" w:type="auto"/>
            <w:gridSpan w:val="2"/>
            <w:shd w:val="clear" w:color="auto" w:fill="CCEEFF"/>
            <w:tcMar>
              <w:top w:w="40" w:type="dxa"/>
              <w:left w:w="20" w:type="dxa"/>
              <w:bottom w:w="40" w:type="dxa"/>
              <w:right w:w="0" w:type="dxa"/>
            </w:tcMar>
            <w:vAlign w:val="bottom"/>
          </w:tcPr>
          <w:p w14:paraId="74DD98DA" w14:textId="77777777" w:rsidR="00584EC1" w:rsidRDefault="00871F8D">
            <w:pPr>
              <w:jc w:val="right"/>
              <w:textAlignment w:val="bottom"/>
            </w:pPr>
            <w:r>
              <w:rPr>
                <w:rFonts w:ascii="Arial" w:eastAsia="宋体" w:hAnsi="Arial" w:cs="Arial"/>
                <w:b/>
                <w:bCs/>
                <w:color w:val="000000"/>
                <w:sz w:val="12"/>
                <w:szCs w:val="12"/>
              </w:rPr>
              <w:t>(682)</w:t>
            </w:r>
          </w:p>
        </w:tc>
        <w:tc>
          <w:tcPr>
            <w:tcW w:w="0" w:type="auto"/>
            <w:shd w:val="clear" w:color="auto" w:fill="CCEEFF"/>
            <w:tcMar>
              <w:top w:w="40" w:type="dxa"/>
              <w:left w:w="0" w:type="dxa"/>
              <w:bottom w:w="40" w:type="dxa"/>
              <w:right w:w="20" w:type="dxa"/>
            </w:tcMar>
            <w:vAlign w:val="bottom"/>
          </w:tcPr>
          <w:p w14:paraId="74DD98D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8DC"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8DD" w14:textId="77777777" w:rsidR="00584EC1" w:rsidRDefault="00871F8D">
            <w:pPr>
              <w:jc w:val="right"/>
              <w:textAlignment w:val="bottom"/>
            </w:pPr>
            <w:r>
              <w:rPr>
                <w:rFonts w:ascii="Arial" w:eastAsia="宋体" w:hAnsi="Arial" w:cs="Arial"/>
                <w:b/>
                <w:bCs/>
                <w:color w:val="000000"/>
                <w:sz w:val="12"/>
                <w:szCs w:val="12"/>
              </w:rPr>
              <w:t>(682)</w:t>
            </w:r>
          </w:p>
        </w:tc>
        <w:tc>
          <w:tcPr>
            <w:tcW w:w="0" w:type="auto"/>
            <w:shd w:val="clear" w:color="auto" w:fill="CCEEFF"/>
            <w:tcMar>
              <w:top w:w="40" w:type="dxa"/>
              <w:left w:w="0" w:type="dxa"/>
              <w:bottom w:w="40" w:type="dxa"/>
              <w:right w:w="20" w:type="dxa"/>
            </w:tcMar>
            <w:vAlign w:val="bottom"/>
          </w:tcPr>
          <w:p w14:paraId="74DD98D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8DF"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8E0" w14:textId="77777777" w:rsidR="00584EC1" w:rsidRDefault="00871F8D">
            <w:pPr>
              <w:jc w:val="right"/>
              <w:textAlignment w:val="bottom"/>
            </w:pPr>
            <w:r>
              <w:rPr>
                <w:rFonts w:ascii="Arial" w:eastAsia="宋体" w:hAnsi="Arial" w:cs="Arial"/>
                <w:color w:val="000000"/>
                <w:sz w:val="12"/>
                <w:szCs w:val="12"/>
              </w:rPr>
              <w:t>187 </w:t>
            </w:r>
          </w:p>
        </w:tc>
        <w:tc>
          <w:tcPr>
            <w:tcW w:w="0" w:type="auto"/>
            <w:shd w:val="clear" w:color="auto" w:fill="CCEEFF"/>
            <w:tcMar>
              <w:top w:w="40" w:type="dxa"/>
              <w:left w:w="0" w:type="dxa"/>
              <w:bottom w:w="40" w:type="dxa"/>
              <w:right w:w="20" w:type="dxa"/>
            </w:tcMar>
            <w:vAlign w:val="bottom"/>
          </w:tcPr>
          <w:p w14:paraId="74DD98E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8E2"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8E3" w14:textId="77777777" w:rsidR="00584EC1" w:rsidRDefault="00871F8D">
            <w:pPr>
              <w:jc w:val="right"/>
              <w:textAlignment w:val="bottom"/>
            </w:pPr>
            <w:r>
              <w:rPr>
                <w:rFonts w:ascii="Arial" w:eastAsia="宋体" w:hAnsi="Arial" w:cs="Arial"/>
                <w:color w:val="000000"/>
                <w:sz w:val="12"/>
                <w:szCs w:val="12"/>
              </w:rPr>
              <w:t>187 </w:t>
            </w:r>
          </w:p>
        </w:tc>
        <w:tc>
          <w:tcPr>
            <w:tcW w:w="0" w:type="auto"/>
            <w:shd w:val="clear" w:color="auto" w:fill="CCEEFF"/>
            <w:tcMar>
              <w:top w:w="40" w:type="dxa"/>
              <w:left w:w="0" w:type="dxa"/>
              <w:bottom w:w="40" w:type="dxa"/>
              <w:right w:w="20" w:type="dxa"/>
            </w:tcMar>
            <w:vAlign w:val="bottom"/>
          </w:tcPr>
          <w:p w14:paraId="74DD98E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8E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8E6" w14:textId="77777777" w:rsidR="00584EC1" w:rsidRDefault="00871F8D">
            <w:pPr>
              <w:jc w:val="right"/>
              <w:textAlignment w:val="bottom"/>
            </w:pPr>
            <w:r>
              <w:rPr>
                <w:rFonts w:ascii="Arial" w:eastAsia="宋体" w:hAnsi="Arial" w:cs="Arial"/>
                <w:b/>
                <w:bCs/>
                <w:color w:val="000000"/>
                <w:sz w:val="12"/>
                <w:szCs w:val="12"/>
              </w:rPr>
              <w:t>(465)</w:t>
            </w:r>
          </w:p>
        </w:tc>
        <w:tc>
          <w:tcPr>
            <w:tcW w:w="0" w:type="auto"/>
            <w:shd w:val="clear" w:color="auto" w:fill="CCEEFF"/>
            <w:tcMar>
              <w:top w:w="40" w:type="dxa"/>
              <w:left w:w="0" w:type="dxa"/>
              <w:bottom w:w="40" w:type="dxa"/>
              <w:right w:w="20" w:type="dxa"/>
            </w:tcMar>
            <w:vAlign w:val="bottom"/>
          </w:tcPr>
          <w:p w14:paraId="74DD98E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8E8"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8E9" w14:textId="77777777" w:rsidR="00584EC1" w:rsidRDefault="00871F8D">
            <w:pPr>
              <w:jc w:val="right"/>
              <w:textAlignment w:val="bottom"/>
            </w:pPr>
            <w:r>
              <w:rPr>
                <w:rFonts w:ascii="Arial" w:eastAsia="宋体" w:hAnsi="Arial" w:cs="Arial"/>
                <w:b/>
                <w:bCs/>
                <w:color w:val="000000"/>
                <w:sz w:val="12"/>
                <w:szCs w:val="12"/>
              </w:rPr>
              <w:t>(465)</w:t>
            </w:r>
          </w:p>
        </w:tc>
        <w:tc>
          <w:tcPr>
            <w:tcW w:w="0" w:type="auto"/>
            <w:shd w:val="clear" w:color="auto" w:fill="CCEEFF"/>
            <w:tcMar>
              <w:top w:w="40" w:type="dxa"/>
              <w:left w:w="0" w:type="dxa"/>
              <w:bottom w:w="40" w:type="dxa"/>
              <w:right w:w="20" w:type="dxa"/>
            </w:tcMar>
            <w:vAlign w:val="bottom"/>
          </w:tcPr>
          <w:p w14:paraId="74DD98E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8E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8EC" w14:textId="77777777" w:rsidR="00584EC1" w:rsidRDefault="00871F8D">
            <w:pPr>
              <w:jc w:val="right"/>
              <w:textAlignment w:val="bottom"/>
            </w:pPr>
            <w:r>
              <w:rPr>
                <w:rFonts w:ascii="Arial" w:eastAsia="宋体" w:hAnsi="Arial" w:cs="Arial"/>
                <w:color w:val="000000"/>
                <w:sz w:val="12"/>
                <w:szCs w:val="12"/>
              </w:rPr>
              <w:t>371 </w:t>
            </w:r>
          </w:p>
        </w:tc>
        <w:tc>
          <w:tcPr>
            <w:tcW w:w="0" w:type="auto"/>
            <w:shd w:val="clear" w:color="auto" w:fill="CCEEFF"/>
            <w:tcMar>
              <w:top w:w="40" w:type="dxa"/>
              <w:left w:w="0" w:type="dxa"/>
              <w:bottom w:w="40" w:type="dxa"/>
              <w:right w:w="20" w:type="dxa"/>
            </w:tcMar>
            <w:vAlign w:val="bottom"/>
          </w:tcPr>
          <w:p w14:paraId="74DD98E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8EE"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8EF" w14:textId="77777777" w:rsidR="00584EC1" w:rsidRDefault="00871F8D">
            <w:pPr>
              <w:jc w:val="right"/>
              <w:textAlignment w:val="bottom"/>
            </w:pPr>
            <w:r>
              <w:rPr>
                <w:rFonts w:ascii="Arial" w:eastAsia="宋体" w:hAnsi="Arial" w:cs="Arial"/>
                <w:color w:val="000000"/>
                <w:sz w:val="12"/>
                <w:szCs w:val="12"/>
              </w:rPr>
              <w:t>371 </w:t>
            </w:r>
          </w:p>
        </w:tc>
        <w:tc>
          <w:tcPr>
            <w:tcW w:w="0" w:type="auto"/>
            <w:shd w:val="clear" w:color="auto" w:fill="CCEEFF"/>
            <w:tcMar>
              <w:top w:w="40" w:type="dxa"/>
              <w:left w:w="0" w:type="dxa"/>
              <w:bottom w:w="40" w:type="dxa"/>
              <w:right w:w="20" w:type="dxa"/>
            </w:tcMar>
            <w:vAlign w:val="bottom"/>
          </w:tcPr>
          <w:p w14:paraId="74DD98F0" w14:textId="77777777" w:rsidR="00584EC1" w:rsidRDefault="00584EC1">
            <w:pPr>
              <w:jc w:val="right"/>
              <w:rPr>
                <w:rFonts w:ascii="宋体"/>
              </w:rPr>
            </w:pPr>
          </w:p>
        </w:tc>
      </w:tr>
      <w:tr w:rsidR="00584EC1" w14:paraId="74DD990A" w14:textId="77777777">
        <w:tc>
          <w:tcPr>
            <w:tcW w:w="0" w:type="auto"/>
            <w:gridSpan w:val="9"/>
            <w:shd w:val="clear" w:color="auto" w:fill="FFFFFF"/>
            <w:tcMar>
              <w:top w:w="40" w:type="dxa"/>
              <w:left w:w="245" w:type="dxa"/>
              <w:bottom w:w="40" w:type="dxa"/>
              <w:right w:w="20" w:type="dxa"/>
            </w:tcMar>
            <w:vAlign w:val="bottom"/>
          </w:tcPr>
          <w:p w14:paraId="74DD98F2" w14:textId="77777777" w:rsidR="00584EC1" w:rsidRDefault="00871F8D">
            <w:pPr>
              <w:textAlignment w:val="bottom"/>
            </w:pPr>
            <w:r>
              <w:rPr>
                <w:rFonts w:ascii="Arial" w:eastAsia="宋体" w:hAnsi="Arial" w:cs="Arial"/>
                <w:color w:val="000000"/>
                <w:sz w:val="12"/>
                <w:szCs w:val="12"/>
              </w:rPr>
              <w:t>Treasury stock, at cost</w:t>
            </w:r>
          </w:p>
        </w:tc>
        <w:tc>
          <w:tcPr>
            <w:tcW w:w="0" w:type="auto"/>
            <w:gridSpan w:val="2"/>
            <w:shd w:val="clear" w:color="auto" w:fill="FFFFFF"/>
            <w:tcMar>
              <w:top w:w="40" w:type="dxa"/>
              <w:left w:w="20" w:type="dxa"/>
              <w:bottom w:w="40" w:type="dxa"/>
              <w:right w:w="0" w:type="dxa"/>
            </w:tcMar>
            <w:vAlign w:val="bottom"/>
          </w:tcPr>
          <w:p w14:paraId="74DD98F3" w14:textId="77777777" w:rsidR="00584EC1" w:rsidRDefault="00871F8D">
            <w:pPr>
              <w:jc w:val="right"/>
              <w:textAlignment w:val="bottom"/>
            </w:pPr>
            <w:r>
              <w:rPr>
                <w:rFonts w:ascii="Arial" w:eastAsia="宋体" w:hAnsi="Arial" w:cs="Arial"/>
                <w:b/>
                <w:bCs/>
                <w:color w:val="000000"/>
                <w:sz w:val="12"/>
                <w:szCs w:val="12"/>
              </w:rPr>
              <w:t>(10,032)</w:t>
            </w:r>
          </w:p>
        </w:tc>
        <w:tc>
          <w:tcPr>
            <w:tcW w:w="0" w:type="auto"/>
            <w:shd w:val="clear" w:color="auto" w:fill="FFFFFF"/>
            <w:tcMar>
              <w:top w:w="40" w:type="dxa"/>
              <w:left w:w="0" w:type="dxa"/>
              <w:bottom w:w="40" w:type="dxa"/>
              <w:right w:w="20" w:type="dxa"/>
            </w:tcMar>
            <w:vAlign w:val="bottom"/>
          </w:tcPr>
          <w:p w14:paraId="74DD98F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8F5"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8F6" w14:textId="77777777" w:rsidR="00584EC1" w:rsidRDefault="00871F8D">
            <w:pPr>
              <w:jc w:val="right"/>
              <w:textAlignment w:val="bottom"/>
            </w:pPr>
            <w:r>
              <w:rPr>
                <w:rFonts w:ascii="Arial" w:eastAsia="宋体" w:hAnsi="Arial" w:cs="Arial"/>
                <w:b/>
                <w:bCs/>
                <w:color w:val="000000"/>
                <w:sz w:val="12"/>
                <w:szCs w:val="12"/>
              </w:rPr>
              <w:t>(10,032)</w:t>
            </w:r>
          </w:p>
        </w:tc>
        <w:tc>
          <w:tcPr>
            <w:tcW w:w="0" w:type="auto"/>
            <w:shd w:val="clear" w:color="auto" w:fill="FFFFFF"/>
            <w:tcMar>
              <w:top w:w="40" w:type="dxa"/>
              <w:left w:w="0" w:type="dxa"/>
              <w:bottom w:w="40" w:type="dxa"/>
              <w:right w:w="20" w:type="dxa"/>
            </w:tcMar>
            <w:vAlign w:val="bottom"/>
          </w:tcPr>
          <w:p w14:paraId="74DD98F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8F8"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8F9" w14:textId="77777777" w:rsidR="00584EC1" w:rsidRDefault="00871F8D">
            <w:pPr>
              <w:jc w:val="right"/>
              <w:textAlignment w:val="bottom"/>
            </w:pPr>
            <w:r>
              <w:rPr>
                <w:rFonts w:ascii="Arial" w:eastAsia="宋体" w:hAnsi="Arial" w:cs="Arial"/>
                <w:color w:val="000000"/>
                <w:sz w:val="12"/>
                <w:szCs w:val="12"/>
              </w:rPr>
              <w:t>(10,609)</w:t>
            </w:r>
          </w:p>
        </w:tc>
        <w:tc>
          <w:tcPr>
            <w:tcW w:w="0" w:type="auto"/>
            <w:shd w:val="clear" w:color="auto" w:fill="FFFFFF"/>
            <w:tcMar>
              <w:top w:w="40" w:type="dxa"/>
              <w:left w:w="0" w:type="dxa"/>
              <w:bottom w:w="40" w:type="dxa"/>
              <w:right w:w="20" w:type="dxa"/>
            </w:tcMar>
            <w:vAlign w:val="bottom"/>
          </w:tcPr>
          <w:p w14:paraId="74DD98F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8FB"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8FC" w14:textId="77777777" w:rsidR="00584EC1" w:rsidRDefault="00871F8D">
            <w:pPr>
              <w:jc w:val="right"/>
              <w:textAlignment w:val="bottom"/>
            </w:pPr>
            <w:r>
              <w:rPr>
                <w:rFonts w:ascii="Arial" w:eastAsia="宋体" w:hAnsi="Arial" w:cs="Arial"/>
                <w:color w:val="000000"/>
                <w:sz w:val="12"/>
                <w:szCs w:val="12"/>
              </w:rPr>
              <w:t>(10,609)</w:t>
            </w:r>
          </w:p>
        </w:tc>
        <w:tc>
          <w:tcPr>
            <w:tcW w:w="0" w:type="auto"/>
            <w:shd w:val="clear" w:color="auto" w:fill="FFFFFF"/>
            <w:tcMar>
              <w:top w:w="40" w:type="dxa"/>
              <w:left w:w="0" w:type="dxa"/>
              <w:bottom w:w="40" w:type="dxa"/>
              <w:right w:w="20" w:type="dxa"/>
            </w:tcMar>
            <w:vAlign w:val="bottom"/>
          </w:tcPr>
          <w:p w14:paraId="74DD98F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8F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8FF"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990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90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902"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990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90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905" w14:textId="77777777" w:rsidR="00584EC1" w:rsidRDefault="00871F8D">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990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90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908" w14:textId="77777777" w:rsidR="00584EC1" w:rsidRDefault="00871F8D">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9909" w14:textId="77777777" w:rsidR="00584EC1" w:rsidRDefault="00584EC1">
            <w:pPr>
              <w:jc w:val="right"/>
              <w:rPr>
                <w:rFonts w:ascii="宋体"/>
              </w:rPr>
            </w:pPr>
          </w:p>
        </w:tc>
      </w:tr>
      <w:tr w:rsidR="00584EC1" w14:paraId="74DD9923" w14:textId="77777777">
        <w:tc>
          <w:tcPr>
            <w:tcW w:w="0" w:type="auto"/>
            <w:gridSpan w:val="9"/>
            <w:shd w:val="clear" w:color="auto" w:fill="CCEEFF"/>
            <w:tcMar>
              <w:top w:w="40" w:type="dxa"/>
              <w:left w:w="155" w:type="dxa"/>
              <w:bottom w:w="40" w:type="dxa"/>
              <w:right w:w="20" w:type="dxa"/>
            </w:tcMar>
            <w:vAlign w:val="bottom"/>
          </w:tcPr>
          <w:p w14:paraId="74DD990B" w14:textId="77777777" w:rsidR="00584EC1" w:rsidRDefault="00871F8D">
            <w:pPr>
              <w:textAlignment w:val="bottom"/>
            </w:pPr>
            <w:r>
              <w:rPr>
                <w:rFonts w:ascii="Arial" w:eastAsia="宋体" w:hAnsi="Arial" w:cs="Arial"/>
                <w:b/>
                <w:bCs/>
                <w:color w:val="000000"/>
                <w:sz w:val="12"/>
                <w:szCs w:val="12"/>
              </w:rPr>
              <w:t>Total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990C" w14:textId="77777777" w:rsidR="00584EC1" w:rsidRDefault="00871F8D">
            <w:pPr>
              <w:jc w:val="right"/>
              <w:textAlignment w:val="bottom"/>
            </w:pPr>
            <w:r>
              <w:rPr>
                <w:rFonts w:ascii="Arial" w:eastAsia="宋体" w:hAnsi="Arial" w:cs="Arial"/>
                <w:b/>
                <w:bCs/>
                <w:color w:val="000000"/>
                <w:sz w:val="12"/>
                <w:szCs w:val="12"/>
              </w:rPr>
              <w:t>25,338</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90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90E"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990F" w14:textId="77777777" w:rsidR="00584EC1" w:rsidRDefault="00871F8D">
            <w:pPr>
              <w:jc w:val="right"/>
              <w:textAlignment w:val="bottom"/>
            </w:pPr>
            <w:r>
              <w:rPr>
                <w:rFonts w:ascii="Arial" w:eastAsia="宋体" w:hAnsi="Arial" w:cs="Arial"/>
                <w:b/>
                <w:bCs/>
                <w:color w:val="000000"/>
                <w:sz w:val="12"/>
                <w:szCs w:val="12"/>
              </w:rPr>
              <w:t>25,338</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91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911"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9912" w14:textId="77777777" w:rsidR="00584EC1" w:rsidRDefault="00871F8D">
            <w:pPr>
              <w:jc w:val="right"/>
              <w:textAlignment w:val="bottom"/>
            </w:pPr>
            <w:r>
              <w:rPr>
                <w:rFonts w:ascii="Arial" w:eastAsia="宋体" w:hAnsi="Arial" w:cs="Arial"/>
                <w:color w:val="000000"/>
                <w:sz w:val="12"/>
                <w:szCs w:val="12"/>
              </w:rPr>
              <w:t>23,729 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91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914"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9915" w14:textId="77777777" w:rsidR="00584EC1" w:rsidRDefault="00871F8D">
            <w:pPr>
              <w:jc w:val="right"/>
              <w:textAlignment w:val="bottom"/>
            </w:pPr>
            <w:r>
              <w:rPr>
                <w:rFonts w:ascii="Arial" w:eastAsia="宋体" w:hAnsi="Arial" w:cs="Arial"/>
                <w:color w:val="000000"/>
                <w:sz w:val="12"/>
                <w:szCs w:val="12"/>
              </w:rPr>
              <w:t>23,729 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91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917"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9918" w14:textId="77777777" w:rsidR="00584EC1" w:rsidRDefault="00871F8D">
            <w:pPr>
              <w:jc w:val="right"/>
              <w:textAlignment w:val="bottom"/>
            </w:pPr>
            <w:r>
              <w:rPr>
                <w:rFonts w:ascii="Arial" w:eastAsia="宋体" w:hAnsi="Arial" w:cs="Arial"/>
                <w:b/>
                <w:bCs/>
                <w:color w:val="000000"/>
                <w:sz w:val="12"/>
                <w:szCs w:val="12"/>
              </w:rPr>
              <w:t>27,341</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91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91A"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991B" w14:textId="77777777" w:rsidR="00584EC1" w:rsidRDefault="00871F8D">
            <w:pPr>
              <w:jc w:val="right"/>
              <w:textAlignment w:val="bottom"/>
            </w:pPr>
            <w:r>
              <w:rPr>
                <w:rFonts w:ascii="Arial" w:eastAsia="宋体" w:hAnsi="Arial" w:cs="Arial"/>
                <w:b/>
                <w:bCs/>
                <w:color w:val="000000"/>
                <w:sz w:val="12"/>
                <w:szCs w:val="12"/>
              </w:rPr>
              <w:t>27,341</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91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91D"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991E" w14:textId="77777777" w:rsidR="00584EC1" w:rsidRDefault="00871F8D">
            <w:pPr>
              <w:jc w:val="right"/>
              <w:textAlignment w:val="bottom"/>
            </w:pPr>
            <w:r>
              <w:rPr>
                <w:rFonts w:ascii="Arial" w:eastAsia="宋体" w:hAnsi="Arial" w:cs="Arial"/>
                <w:color w:val="000000"/>
                <w:sz w:val="12"/>
                <w:szCs w:val="12"/>
              </w:rPr>
              <w:t>26,203 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91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920"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9921" w14:textId="77777777" w:rsidR="00584EC1" w:rsidRDefault="00871F8D">
            <w:pPr>
              <w:jc w:val="right"/>
              <w:textAlignment w:val="bottom"/>
            </w:pPr>
            <w:r>
              <w:rPr>
                <w:rFonts w:ascii="Arial" w:eastAsia="宋体" w:hAnsi="Arial" w:cs="Arial"/>
                <w:color w:val="000000"/>
                <w:sz w:val="12"/>
                <w:szCs w:val="12"/>
              </w:rPr>
              <w:t>26,203 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922" w14:textId="77777777" w:rsidR="00584EC1" w:rsidRDefault="00584EC1">
            <w:pPr>
              <w:jc w:val="right"/>
              <w:rPr>
                <w:rFonts w:ascii="宋体"/>
              </w:rPr>
            </w:pPr>
          </w:p>
        </w:tc>
      </w:tr>
      <w:tr w:rsidR="00584EC1" w14:paraId="74DD9934" w14:textId="77777777">
        <w:tc>
          <w:tcPr>
            <w:tcW w:w="0" w:type="auto"/>
            <w:gridSpan w:val="9"/>
            <w:shd w:val="clear" w:color="auto" w:fill="FFFFFF"/>
            <w:tcMar>
              <w:top w:w="40" w:type="dxa"/>
              <w:left w:w="155" w:type="dxa"/>
              <w:bottom w:w="40" w:type="dxa"/>
              <w:right w:w="20" w:type="dxa"/>
            </w:tcMar>
            <w:vAlign w:val="bottom"/>
          </w:tcPr>
          <w:p w14:paraId="74DD9924" w14:textId="77777777" w:rsidR="00584EC1" w:rsidRDefault="00871F8D">
            <w:pPr>
              <w:textAlignment w:val="bottom"/>
            </w:pPr>
            <w:r>
              <w:rPr>
                <w:rFonts w:ascii="Arial" w:eastAsia="宋体" w:hAnsi="Arial" w:cs="Arial"/>
                <w:color w:val="000000"/>
                <w:sz w:val="12"/>
                <w:szCs w:val="12"/>
              </w:rPr>
              <w:t>Regulatory capital adjustments:</w:t>
            </w:r>
          </w:p>
        </w:tc>
        <w:tc>
          <w:tcPr>
            <w:tcW w:w="0" w:type="auto"/>
            <w:gridSpan w:val="3"/>
            <w:shd w:val="clear" w:color="auto" w:fill="FFFFFF"/>
            <w:tcMar>
              <w:top w:w="0" w:type="dxa"/>
              <w:left w:w="20" w:type="dxa"/>
              <w:bottom w:w="0" w:type="dxa"/>
              <w:right w:w="20" w:type="dxa"/>
            </w:tcMar>
            <w:vAlign w:val="bottom"/>
          </w:tcPr>
          <w:p w14:paraId="74DD9925"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9926"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9927"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9928"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9929"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992A"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992B"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992C"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992D"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992E"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992F"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9930"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9931"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993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9933" w14:textId="77777777" w:rsidR="00584EC1" w:rsidRDefault="00584EC1">
            <w:pPr>
              <w:rPr>
                <w:rFonts w:ascii="宋体"/>
              </w:rPr>
            </w:pPr>
          </w:p>
        </w:tc>
      </w:tr>
      <w:tr w:rsidR="00584EC1" w14:paraId="74DD994D" w14:textId="77777777">
        <w:tc>
          <w:tcPr>
            <w:tcW w:w="0" w:type="auto"/>
            <w:gridSpan w:val="9"/>
            <w:shd w:val="clear" w:color="auto" w:fill="CCEEFF"/>
            <w:tcMar>
              <w:top w:w="40" w:type="dxa"/>
              <w:left w:w="245" w:type="dxa"/>
              <w:bottom w:w="40" w:type="dxa"/>
              <w:right w:w="20" w:type="dxa"/>
            </w:tcMar>
            <w:vAlign w:val="bottom"/>
          </w:tcPr>
          <w:p w14:paraId="74DD9935" w14:textId="77777777" w:rsidR="00584EC1" w:rsidRDefault="00871F8D">
            <w:pPr>
              <w:textAlignment w:val="bottom"/>
            </w:pPr>
            <w:r>
              <w:rPr>
                <w:rFonts w:ascii="Arial" w:eastAsia="宋体" w:hAnsi="Arial" w:cs="Arial"/>
                <w:color w:val="000000"/>
                <w:sz w:val="12"/>
                <w:szCs w:val="12"/>
              </w:rPr>
              <w:t xml:space="preserve">Goodwill and other intangible assets, net of associated deferred tax liabilities </w:t>
            </w:r>
          </w:p>
        </w:tc>
        <w:tc>
          <w:tcPr>
            <w:tcW w:w="0" w:type="auto"/>
            <w:gridSpan w:val="2"/>
            <w:shd w:val="clear" w:color="auto" w:fill="CCEEFF"/>
            <w:tcMar>
              <w:top w:w="40" w:type="dxa"/>
              <w:left w:w="20" w:type="dxa"/>
              <w:bottom w:w="40" w:type="dxa"/>
              <w:right w:w="0" w:type="dxa"/>
            </w:tcMar>
            <w:vAlign w:val="bottom"/>
          </w:tcPr>
          <w:p w14:paraId="74DD9936" w14:textId="77777777" w:rsidR="00584EC1" w:rsidRDefault="00871F8D">
            <w:pPr>
              <w:jc w:val="right"/>
              <w:textAlignment w:val="bottom"/>
            </w:pPr>
            <w:r>
              <w:rPr>
                <w:rFonts w:ascii="Arial" w:eastAsia="宋体" w:hAnsi="Arial" w:cs="Arial"/>
                <w:b/>
                <w:bCs/>
                <w:color w:val="000000"/>
                <w:sz w:val="12"/>
                <w:szCs w:val="12"/>
              </w:rPr>
              <w:t>(9,040)</w:t>
            </w:r>
          </w:p>
        </w:tc>
        <w:tc>
          <w:tcPr>
            <w:tcW w:w="0" w:type="auto"/>
            <w:shd w:val="clear" w:color="auto" w:fill="CCEEFF"/>
            <w:tcMar>
              <w:top w:w="40" w:type="dxa"/>
              <w:left w:w="0" w:type="dxa"/>
              <w:bottom w:w="40" w:type="dxa"/>
              <w:right w:w="20" w:type="dxa"/>
            </w:tcMar>
            <w:vAlign w:val="bottom"/>
          </w:tcPr>
          <w:p w14:paraId="74DD993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938"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939" w14:textId="77777777" w:rsidR="00584EC1" w:rsidRDefault="00871F8D">
            <w:pPr>
              <w:jc w:val="right"/>
              <w:textAlignment w:val="bottom"/>
            </w:pPr>
            <w:r>
              <w:rPr>
                <w:rFonts w:ascii="Arial" w:eastAsia="宋体" w:hAnsi="Arial" w:cs="Arial"/>
                <w:b/>
                <w:bCs/>
                <w:color w:val="000000"/>
                <w:sz w:val="12"/>
                <w:szCs w:val="12"/>
              </w:rPr>
              <w:t>(9,040)</w:t>
            </w:r>
          </w:p>
        </w:tc>
        <w:tc>
          <w:tcPr>
            <w:tcW w:w="0" w:type="auto"/>
            <w:shd w:val="clear" w:color="auto" w:fill="CCEEFF"/>
            <w:tcMar>
              <w:top w:w="40" w:type="dxa"/>
              <w:left w:w="0" w:type="dxa"/>
              <w:bottom w:w="40" w:type="dxa"/>
              <w:right w:w="20" w:type="dxa"/>
            </w:tcMar>
            <w:vAlign w:val="bottom"/>
          </w:tcPr>
          <w:p w14:paraId="74DD993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93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93C" w14:textId="77777777" w:rsidR="00584EC1" w:rsidRDefault="00871F8D">
            <w:pPr>
              <w:jc w:val="right"/>
              <w:textAlignment w:val="bottom"/>
            </w:pPr>
            <w:r>
              <w:rPr>
                <w:rFonts w:ascii="Arial" w:eastAsia="宋体" w:hAnsi="Arial" w:cs="Arial"/>
                <w:color w:val="000000"/>
                <w:sz w:val="12"/>
                <w:szCs w:val="12"/>
              </w:rPr>
              <w:t>(9,019)</w:t>
            </w:r>
          </w:p>
        </w:tc>
        <w:tc>
          <w:tcPr>
            <w:tcW w:w="0" w:type="auto"/>
            <w:shd w:val="clear" w:color="auto" w:fill="CCEEFF"/>
            <w:tcMar>
              <w:top w:w="40" w:type="dxa"/>
              <w:left w:w="0" w:type="dxa"/>
              <w:bottom w:w="40" w:type="dxa"/>
              <w:right w:w="20" w:type="dxa"/>
            </w:tcMar>
            <w:vAlign w:val="bottom"/>
          </w:tcPr>
          <w:p w14:paraId="74DD993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93E"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93F" w14:textId="77777777" w:rsidR="00584EC1" w:rsidRDefault="00871F8D">
            <w:pPr>
              <w:jc w:val="right"/>
              <w:textAlignment w:val="bottom"/>
            </w:pPr>
            <w:r>
              <w:rPr>
                <w:rFonts w:ascii="Arial" w:eastAsia="宋体" w:hAnsi="Arial" w:cs="Arial"/>
                <w:color w:val="000000"/>
                <w:sz w:val="12"/>
                <w:szCs w:val="12"/>
              </w:rPr>
              <w:t>(9,019)</w:t>
            </w:r>
          </w:p>
        </w:tc>
        <w:tc>
          <w:tcPr>
            <w:tcW w:w="0" w:type="auto"/>
            <w:shd w:val="clear" w:color="auto" w:fill="CCEEFF"/>
            <w:tcMar>
              <w:top w:w="40" w:type="dxa"/>
              <w:left w:w="0" w:type="dxa"/>
              <w:bottom w:w="40" w:type="dxa"/>
              <w:right w:w="20" w:type="dxa"/>
            </w:tcMar>
            <w:vAlign w:val="bottom"/>
          </w:tcPr>
          <w:p w14:paraId="74DD994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94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942" w14:textId="77777777" w:rsidR="00584EC1" w:rsidRDefault="00871F8D">
            <w:pPr>
              <w:jc w:val="right"/>
              <w:textAlignment w:val="bottom"/>
            </w:pPr>
            <w:r>
              <w:rPr>
                <w:rFonts w:ascii="Arial" w:eastAsia="宋体" w:hAnsi="Arial" w:cs="Arial"/>
                <w:b/>
                <w:bCs/>
                <w:color w:val="000000"/>
                <w:sz w:val="12"/>
                <w:szCs w:val="12"/>
              </w:rPr>
              <w:t>(8,770)</w:t>
            </w:r>
          </w:p>
        </w:tc>
        <w:tc>
          <w:tcPr>
            <w:tcW w:w="0" w:type="auto"/>
            <w:shd w:val="clear" w:color="auto" w:fill="CCEEFF"/>
            <w:tcMar>
              <w:top w:w="40" w:type="dxa"/>
              <w:left w:w="0" w:type="dxa"/>
              <w:bottom w:w="40" w:type="dxa"/>
              <w:right w:w="20" w:type="dxa"/>
            </w:tcMar>
            <w:vAlign w:val="bottom"/>
          </w:tcPr>
          <w:p w14:paraId="74DD994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944"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945" w14:textId="77777777" w:rsidR="00584EC1" w:rsidRDefault="00871F8D">
            <w:pPr>
              <w:jc w:val="right"/>
              <w:textAlignment w:val="bottom"/>
            </w:pPr>
            <w:r>
              <w:rPr>
                <w:rFonts w:ascii="Arial" w:eastAsia="宋体" w:hAnsi="Arial" w:cs="Arial"/>
                <w:b/>
                <w:bCs/>
                <w:color w:val="000000"/>
                <w:sz w:val="12"/>
                <w:szCs w:val="12"/>
              </w:rPr>
              <w:t>(8,770)</w:t>
            </w:r>
          </w:p>
        </w:tc>
        <w:tc>
          <w:tcPr>
            <w:tcW w:w="0" w:type="auto"/>
            <w:shd w:val="clear" w:color="auto" w:fill="CCEEFF"/>
            <w:tcMar>
              <w:top w:w="40" w:type="dxa"/>
              <w:left w:w="0" w:type="dxa"/>
              <w:bottom w:w="40" w:type="dxa"/>
              <w:right w:w="20" w:type="dxa"/>
            </w:tcMar>
            <w:vAlign w:val="bottom"/>
          </w:tcPr>
          <w:p w14:paraId="74DD994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94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948" w14:textId="77777777" w:rsidR="00584EC1" w:rsidRDefault="00871F8D">
            <w:pPr>
              <w:jc w:val="right"/>
              <w:textAlignment w:val="bottom"/>
            </w:pPr>
            <w:r>
              <w:rPr>
                <w:rFonts w:ascii="Arial" w:eastAsia="宋体" w:hAnsi="Arial" w:cs="Arial"/>
                <w:color w:val="000000"/>
                <w:sz w:val="12"/>
                <w:szCs w:val="12"/>
              </w:rPr>
              <w:t>(8,745)</w:t>
            </w:r>
          </w:p>
        </w:tc>
        <w:tc>
          <w:tcPr>
            <w:tcW w:w="0" w:type="auto"/>
            <w:shd w:val="clear" w:color="auto" w:fill="CCEEFF"/>
            <w:tcMar>
              <w:top w:w="40" w:type="dxa"/>
              <w:left w:w="0" w:type="dxa"/>
              <w:bottom w:w="40" w:type="dxa"/>
              <w:right w:w="20" w:type="dxa"/>
            </w:tcMar>
            <w:vAlign w:val="bottom"/>
          </w:tcPr>
          <w:p w14:paraId="74DD994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94A"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94B" w14:textId="77777777" w:rsidR="00584EC1" w:rsidRDefault="00871F8D">
            <w:pPr>
              <w:jc w:val="right"/>
              <w:textAlignment w:val="bottom"/>
            </w:pPr>
            <w:r>
              <w:rPr>
                <w:rFonts w:ascii="Arial" w:eastAsia="宋体" w:hAnsi="Arial" w:cs="Arial"/>
                <w:color w:val="000000"/>
                <w:sz w:val="12"/>
                <w:szCs w:val="12"/>
              </w:rPr>
              <w:t>(8,745)</w:t>
            </w:r>
          </w:p>
        </w:tc>
        <w:tc>
          <w:tcPr>
            <w:tcW w:w="0" w:type="auto"/>
            <w:shd w:val="clear" w:color="auto" w:fill="CCEEFF"/>
            <w:tcMar>
              <w:top w:w="40" w:type="dxa"/>
              <w:left w:w="0" w:type="dxa"/>
              <w:bottom w:w="40" w:type="dxa"/>
              <w:right w:w="20" w:type="dxa"/>
            </w:tcMar>
            <w:vAlign w:val="bottom"/>
          </w:tcPr>
          <w:p w14:paraId="74DD994C" w14:textId="77777777" w:rsidR="00584EC1" w:rsidRDefault="00584EC1">
            <w:pPr>
              <w:jc w:val="right"/>
              <w:rPr>
                <w:rFonts w:ascii="宋体"/>
              </w:rPr>
            </w:pPr>
          </w:p>
        </w:tc>
      </w:tr>
      <w:tr w:rsidR="00584EC1" w14:paraId="74DD9966" w14:textId="77777777">
        <w:tc>
          <w:tcPr>
            <w:tcW w:w="0" w:type="auto"/>
            <w:gridSpan w:val="9"/>
            <w:shd w:val="clear" w:color="auto" w:fill="FFFFFF"/>
            <w:tcMar>
              <w:top w:w="40" w:type="dxa"/>
              <w:left w:w="20" w:type="dxa"/>
              <w:bottom w:w="40" w:type="dxa"/>
              <w:right w:w="20" w:type="dxa"/>
            </w:tcMar>
            <w:vAlign w:val="bottom"/>
          </w:tcPr>
          <w:p w14:paraId="74DD994E" w14:textId="77777777" w:rsidR="00584EC1" w:rsidRDefault="00871F8D">
            <w:pPr>
              <w:textAlignment w:val="bottom"/>
            </w:pPr>
            <w:r>
              <w:rPr>
                <w:rFonts w:ascii="Arial" w:eastAsia="宋体" w:hAnsi="Arial" w:cs="Arial"/>
                <w:color w:val="000000"/>
                <w:sz w:val="12"/>
                <w:szCs w:val="12"/>
              </w:rPr>
              <w:t>Other adjustments</w:t>
            </w:r>
            <w:r>
              <w:rPr>
                <w:rFonts w:ascii="Arial" w:eastAsia="宋体" w:hAnsi="Arial" w:cs="Arial"/>
                <w:color w:val="000000"/>
                <w:sz w:val="7"/>
                <w:szCs w:val="7"/>
              </w:rPr>
              <w:t>(1)</w:t>
            </w:r>
          </w:p>
        </w:tc>
        <w:tc>
          <w:tcPr>
            <w:tcW w:w="0" w:type="auto"/>
            <w:gridSpan w:val="2"/>
            <w:shd w:val="clear" w:color="auto" w:fill="FFFFFF"/>
            <w:tcMar>
              <w:top w:w="40" w:type="dxa"/>
              <w:left w:w="20" w:type="dxa"/>
              <w:bottom w:w="40" w:type="dxa"/>
              <w:right w:w="0" w:type="dxa"/>
            </w:tcMar>
            <w:vAlign w:val="bottom"/>
          </w:tcPr>
          <w:p w14:paraId="74DD994F" w14:textId="77777777" w:rsidR="00584EC1" w:rsidRDefault="00871F8D">
            <w:pPr>
              <w:jc w:val="right"/>
              <w:textAlignment w:val="bottom"/>
            </w:pPr>
            <w:r>
              <w:rPr>
                <w:rFonts w:ascii="Arial" w:eastAsia="宋体" w:hAnsi="Arial" w:cs="Arial"/>
                <w:b/>
                <w:bCs/>
                <w:color w:val="000000"/>
                <w:sz w:val="12"/>
                <w:szCs w:val="12"/>
              </w:rPr>
              <w:t>(467)</w:t>
            </w:r>
          </w:p>
        </w:tc>
        <w:tc>
          <w:tcPr>
            <w:tcW w:w="0" w:type="auto"/>
            <w:shd w:val="clear" w:color="auto" w:fill="FFFFFF"/>
            <w:tcMar>
              <w:top w:w="40" w:type="dxa"/>
              <w:left w:w="0" w:type="dxa"/>
              <w:bottom w:w="40" w:type="dxa"/>
              <w:right w:w="20" w:type="dxa"/>
            </w:tcMar>
            <w:vAlign w:val="bottom"/>
          </w:tcPr>
          <w:p w14:paraId="74DD995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95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952" w14:textId="77777777" w:rsidR="00584EC1" w:rsidRDefault="00871F8D">
            <w:pPr>
              <w:jc w:val="right"/>
              <w:textAlignment w:val="bottom"/>
            </w:pPr>
            <w:r>
              <w:rPr>
                <w:rFonts w:ascii="Arial" w:eastAsia="宋体" w:hAnsi="Arial" w:cs="Arial"/>
                <w:b/>
                <w:bCs/>
                <w:color w:val="000000"/>
                <w:sz w:val="12"/>
                <w:szCs w:val="12"/>
              </w:rPr>
              <w:t>(467)</w:t>
            </w:r>
          </w:p>
        </w:tc>
        <w:tc>
          <w:tcPr>
            <w:tcW w:w="0" w:type="auto"/>
            <w:shd w:val="clear" w:color="auto" w:fill="FFFFFF"/>
            <w:tcMar>
              <w:top w:w="40" w:type="dxa"/>
              <w:left w:w="0" w:type="dxa"/>
              <w:bottom w:w="40" w:type="dxa"/>
              <w:right w:w="20" w:type="dxa"/>
            </w:tcMar>
            <w:vAlign w:val="bottom"/>
          </w:tcPr>
          <w:p w14:paraId="74DD995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95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955" w14:textId="77777777" w:rsidR="00584EC1" w:rsidRDefault="00871F8D">
            <w:pPr>
              <w:jc w:val="right"/>
              <w:textAlignment w:val="bottom"/>
            </w:pPr>
            <w:r>
              <w:rPr>
                <w:rFonts w:ascii="Arial" w:eastAsia="宋体" w:hAnsi="Arial" w:cs="Arial"/>
                <w:color w:val="000000"/>
                <w:sz w:val="12"/>
                <w:szCs w:val="12"/>
              </w:rPr>
              <w:t>(333)</w:t>
            </w:r>
          </w:p>
        </w:tc>
        <w:tc>
          <w:tcPr>
            <w:tcW w:w="0" w:type="auto"/>
            <w:shd w:val="clear" w:color="auto" w:fill="FFFFFF"/>
            <w:tcMar>
              <w:top w:w="40" w:type="dxa"/>
              <w:left w:w="0" w:type="dxa"/>
              <w:bottom w:w="40" w:type="dxa"/>
              <w:right w:w="20" w:type="dxa"/>
            </w:tcMar>
            <w:vAlign w:val="bottom"/>
          </w:tcPr>
          <w:p w14:paraId="74DD995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95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958" w14:textId="77777777" w:rsidR="00584EC1" w:rsidRDefault="00871F8D">
            <w:pPr>
              <w:jc w:val="right"/>
              <w:textAlignment w:val="bottom"/>
            </w:pPr>
            <w:r>
              <w:rPr>
                <w:rFonts w:ascii="Arial" w:eastAsia="宋体" w:hAnsi="Arial" w:cs="Arial"/>
                <w:color w:val="000000"/>
                <w:sz w:val="12"/>
                <w:szCs w:val="12"/>
              </w:rPr>
              <w:t>(333)</w:t>
            </w:r>
          </w:p>
        </w:tc>
        <w:tc>
          <w:tcPr>
            <w:tcW w:w="0" w:type="auto"/>
            <w:shd w:val="clear" w:color="auto" w:fill="FFFFFF"/>
            <w:tcMar>
              <w:top w:w="40" w:type="dxa"/>
              <w:left w:w="0" w:type="dxa"/>
              <w:bottom w:w="40" w:type="dxa"/>
              <w:right w:w="20" w:type="dxa"/>
            </w:tcMar>
            <w:vAlign w:val="bottom"/>
          </w:tcPr>
          <w:p w14:paraId="74DD995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95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95B" w14:textId="77777777" w:rsidR="00584EC1" w:rsidRDefault="00871F8D">
            <w:pPr>
              <w:jc w:val="right"/>
              <w:textAlignment w:val="bottom"/>
            </w:pPr>
            <w:r>
              <w:rPr>
                <w:rFonts w:ascii="Arial" w:eastAsia="宋体" w:hAnsi="Arial" w:cs="Arial"/>
                <w:b/>
                <w:bCs/>
                <w:color w:val="000000"/>
                <w:sz w:val="12"/>
                <w:szCs w:val="12"/>
              </w:rPr>
              <w:t>(281)</w:t>
            </w:r>
          </w:p>
        </w:tc>
        <w:tc>
          <w:tcPr>
            <w:tcW w:w="0" w:type="auto"/>
            <w:shd w:val="clear" w:color="auto" w:fill="FFFFFF"/>
            <w:tcMar>
              <w:top w:w="40" w:type="dxa"/>
              <w:left w:w="0" w:type="dxa"/>
              <w:bottom w:w="40" w:type="dxa"/>
              <w:right w:w="20" w:type="dxa"/>
            </w:tcMar>
            <w:vAlign w:val="bottom"/>
          </w:tcPr>
          <w:p w14:paraId="74DD995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95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95E" w14:textId="77777777" w:rsidR="00584EC1" w:rsidRDefault="00871F8D">
            <w:pPr>
              <w:jc w:val="right"/>
              <w:textAlignment w:val="bottom"/>
            </w:pPr>
            <w:r>
              <w:rPr>
                <w:rFonts w:ascii="Arial" w:eastAsia="宋体" w:hAnsi="Arial" w:cs="Arial"/>
                <w:b/>
                <w:bCs/>
                <w:color w:val="000000"/>
                <w:sz w:val="12"/>
                <w:szCs w:val="12"/>
              </w:rPr>
              <w:t>(281)</w:t>
            </w:r>
          </w:p>
        </w:tc>
        <w:tc>
          <w:tcPr>
            <w:tcW w:w="0" w:type="auto"/>
            <w:shd w:val="clear" w:color="auto" w:fill="FFFFFF"/>
            <w:tcMar>
              <w:top w:w="40" w:type="dxa"/>
              <w:left w:w="0" w:type="dxa"/>
              <w:bottom w:w="40" w:type="dxa"/>
              <w:right w:w="20" w:type="dxa"/>
            </w:tcMar>
            <w:vAlign w:val="bottom"/>
          </w:tcPr>
          <w:p w14:paraId="74DD995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96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961" w14:textId="77777777" w:rsidR="00584EC1" w:rsidRDefault="00871F8D">
            <w:pPr>
              <w:jc w:val="right"/>
              <w:textAlignment w:val="bottom"/>
            </w:pPr>
            <w:r>
              <w:rPr>
                <w:rFonts w:ascii="Arial" w:eastAsia="宋体" w:hAnsi="Arial" w:cs="Arial"/>
                <w:color w:val="000000"/>
                <w:sz w:val="12"/>
                <w:szCs w:val="12"/>
              </w:rPr>
              <w:t>(152)</w:t>
            </w:r>
          </w:p>
        </w:tc>
        <w:tc>
          <w:tcPr>
            <w:tcW w:w="0" w:type="auto"/>
            <w:shd w:val="clear" w:color="auto" w:fill="FFFFFF"/>
            <w:tcMar>
              <w:top w:w="40" w:type="dxa"/>
              <w:left w:w="0" w:type="dxa"/>
              <w:bottom w:w="40" w:type="dxa"/>
              <w:right w:w="20" w:type="dxa"/>
            </w:tcMar>
            <w:vAlign w:val="bottom"/>
          </w:tcPr>
          <w:p w14:paraId="74DD996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96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964" w14:textId="77777777" w:rsidR="00584EC1" w:rsidRDefault="00871F8D">
            <w:pPr>
              <w:jc w:val="right"/>
              <w:textAlignment w:val="bottom"/>
            </w:pPr>
            <w:r>
              <w:rPr>
                <w:rFonts w:ascii="Arial" w:eastAsia="宋体" w:hAnsi="Arial" w:cs="Arial"/>
                <w:color w:val="000000"/>
                <w:sz w:val="12"/>
                <w:szCs w:val="12"/>
              </w:rPr>
              <w:t>(152)</w:t>
            </w:r>
          </w:p>
        </w:tc>
        <w:tc>
          <w:tcPr>
            <w:tcW w:w="0" w:type="auto"/>
            <w:shd w:val="clear" w:color="auto" w:fill="FFFFFF"/>
            <w:tcMar>
              <w:top w:w="40" w:type="dxa"/>
              <w:left w:w="0" w:type="dxa"/>
              <w:bottom w:w="40" w:type="dxa"/>
              <w:right w:w="20" w:type="dxa"/>
            </w:tcMar>
            <w:vAlign w:val="bottom"/>
          </w:tcPr>
          <w:p w14:paraId="74DD9965" w14:textId="77777777" w:rsidR="00584EC1" w:rsidRDefault="00584EC1">
            <w:pPr>
              <w:jc w:val="right"/>
              <w:rPr>
                <w:rFonts w:ascii="宋体"/>
              </w:rPr>
            </w:pPr>
          </w:p>
        </w:tc>
      </w:tr>
      <w:tr w:rsidR="00584EC1" w14:paraId="74DD997F" w14:textId="77777777">
        <w:tc>
          <w:tcPr>
            <w:tcW w:w="0" w:type="auto"/>
            <w:gridSpan w:val="9"/>
            <w:shd w:val="clear" w:color="auto" w:fill="CCEEFF"/>
            <w:tcMar>
              <w:top w:w="40" w:type="dxa"/>
              <w:left w:w="20" w:type="dxa"/>
              <w:bottom w:w="40" w:type="dxa"/>
              <w:right w:w="20" w:type="dxa"/>
            </w:tcMar>
            <w:vAlign w:val="bottom"/>
          </w:tcPr>
          <w:p w14:paraId="74DD9967" w14:textId="77777777" w:rsidR="00584EC1" w:rsidRDefault="00871F8D">
            <w:pPr>
              <w:textAlignment w:val="bottom"/>
            </w:pPr>
            <w:r>
              <w:rPr>
                <w:rFonts w:ascii="Arial" w:eastAsia="宋体" w:hAnsi="Arial" w:cs="Arial"/>
                <w:b/>
                <w:bCs/>
                <w:color w:val="000000"/>
                <w:sz w:val="12"/>
                <w:szCs w:val="12"/>
              </w:rPr>
              <w:t> Common equity tier 1 capital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9968" w14:textId="77777777" w:rsidR="00584EC1" w:rsidRDefault="00871F8D">
            <w:pPr>
              <w:jc w:val="right"/>
              <w:textAlignment w:val="bottom"/>
            </w:pPr>
            <w:r>
              <w:rPr>
                <w:rFonts w:ascii="Arial" w:eastAsia="宋体" w:hAnsi="Arial" w:cs="Arial"/>
                <w:b/>
                <w:bCs/>
                <w:color w:val="000000"/>
                <w:sz w:val="12"/>
                <w:szCs w:val="12"/>
              </w:rPr>
              <w:t>15,831</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96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96A"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996B" w14:textId="77777777" w:rsidR="00584EC1" w:rsidRDefault="00871F8D">
            <w:pPr>
              <w:jc w:val="right"/>
              <w:textAlignment w:val="bottom"/>
            </w:pPr>
            <w:r>
              <w:rPr>
                <w:rFonts w:ascii="Arial" w:eastAsia="宋体" w:hAnsi="Arial" w:cs="Arial"/>
                <w:b/>
                <w:bCs/>
                <w:color w:val="000000"/>
                <w:sz w:val="12"/>
                <w:szCs w:val="12"/>
              </w:rPr>
              <w:t>15,831</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96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96D"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996E" w14:textId="77777777" w:rsidR="00584EC1" w:rsidRDefault="00871F8D">
            <w:pPr>
              <w:jc w:val="right"/>
              <w:textAlignment w:val="bottom"/>
            </w:pPr>
            <w:r>
              <w:rPr>
                <w:rFonts w:ascii="Arial" w:eastAsia="宋体" w:hAnsi="Arial" w:cs="Arial"/>
                <w:color w:val="000000"/>
                <w:sz w:val="12"/>
                <w:szCs w:val="12"/>
              </w:rPr>
              <w:t>14,377 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96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970"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9971" w14:textId="77777777" w:rsidR="00584EC1" w:rsidRDefault="00871F8D">
            <w:pPr>
              <w:jc w:val="right"/>
              <w:textAlignment w:val="bottom"/>
            </w:pPr>
            <w:r>
              <w:rPr>
                <w:rFonts w:ascii="Arial" w:eastAsia="宋体" w:hAnsi="Arial" w:cs="Arial"/>
                <w:color w:val="000000"/>
                <w:sz w:val="12"/>
                <w:szCs w:val="12"/>
              </w:rPr>
              <w:t>14,377 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97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973"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9974" w14:textId="77777777" w:rsidR="00584EC1" w:rsidRDefault="00871F8D">
            <w:pPr>
              <w:jc w:val="right"/>
              <w:textAlignment w:val="bottom"/>
            </w:pPr>
            <w:r>
              <w:rPr>
                <w:rFonts w:ascii="Arial" w:eastAsia="宋体" w:hAnsi="Arial" w:cs="Arial"/>
                <w:b/>
                <w:bCs/>
                <w:color w:val="000000"/>
                <w:sz w:val="12"/>
                <w:szCs w:val="12"/>
              </w:rPr>
              <w:t>18,290</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97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976"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9977" w14:textId="77777777" w:rsidR="00584EC1" w:rsidRDefault="00871F8D">
            <w:pPr>
              <w:jc w:val="right"/>
              <w:textAlignment w:val="bottom"/>
            </w:pPr>
            <w:r>
              <w:rPr>
                <w:rFonts w:ascii="Arial" w:eastAsia="宋体" w:hAnsi="Arial" w:cs="Arial"/>
                <w:b/>
                <w:bCs/>
                <w:color w:val="000000"/>
                <w:sz w:val="12"/>
                <w:szCs w:val="12"/>
              </w:rPr>
              <w:t>18,290</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97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979"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997A" w14:textId="77777777" w:rsidR="00584EC1" w:rsidRDefault="00871F8D">
            <w:pPr>
              <w:jc w:val="right"/>
              <w:textAlignment w:val="bottom"/>
            </w:pPr>
            <w:r>
              <w:rPr>
                <w:rFonts w:ascii="Arial" w:eastAsia="宋体" w:hAnsi="Arial" w:cs="Arial"/>
                <w:color w:val="000000"/>
                <w:sz w:val="12"/>
                <w:szCs w:val="12"/>
              </w:rPr>
              <w:t>17,306 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97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97C"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997D" w14:textId="77777777" w:rsidR="00584EC1" w:rsidRDefault="00871F8D">
            <w:pPr>
              <w:jc w:val="right"/>
              <w:textAlignment w:val="bottom"/>
            </w:pPr>
            <w:r>
              <w:rPr>
                <w:rFonts w:ascii="Arial" w:eastAsia="宋体" w:hAnsi="Arial" w:cs="Arial"/>
                <w:color w:val="000000"/>
                <w:sz w:val="12"/>
                <w:szCs w:val="12"/>
              </w:rPr>
              <w:t>17,306 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97E" w14:textId="77777777" w:rsidR="00584EC1" w:rsidRDefault="00584EC1">
            <w:pPr>
              <w:jc w:val="right"/>
              <w:rPr>
                <w:rFonts w:ascii="宋体"/>
              </w:rPr>
            </w:pPr>
          </w:p>
        </w:tc>
      </w:tr>
      <w:tr w:rsidR="00584EC1" w14:paraId="74DD9998" w14:textId="77777777">
        <w:tc>
          <w:tcPr>
            <w:tcW w:w="0" w:type="auto"/>
            <w:gridSpan w:val="9"/>
            <w:shd w:val="clear" w:color="auto" w:fill="FFFFFF"/>
            <w:tcMar>
              <w:top w:w="40" w:type="dxa"/>
              <w:left w:w="245" w:type="dxa"/>
              <w:bottom w:w="40" w:type="dxa"/>
              <w:right w:w="20" w:type="dxa"/>
            </w:tcMar>
            <w:vAlign w:val="bottom"/>
          </w:tcPr>
          <w:p w14:paraId="74DD9980" w14:textId="77777777" w:rsidR="00584EC1" w:rsidRDefault="00871F8D">
            <w:pPr>
              <w:textAlignment w:val="bottom"/>
            </w:pPr>
            <w:r>
              <w:rPr>
                <w:rFonts w:ascii="Arial" w:eastAsia="宋体" w:hAnsi="Arial" w:cs="Arial"/>
                <w:color w:val="000000"/>
                <w:sz w:val="12"/>
                <w:szCs w:val="12"/>
              </w:rPr>
              <w:t>Preferred stock</w:t>
            </w:r>
          </w:p>
        </w:tc>
        <w:tc>
          <w:tcPr>
            <w:tcW w:w="0" w:type="auto"/>
            <w:gridSpan w:val="2"/>
            <w:shd w:val="clear" w:color="auto" w:fill="FFFFFF"/>
            <w:tcMar>
              <w:top w:w="40" w:type="dxa"/>
              <w:left w:w="20" w:type="dxa"/>
              <w:bottom w:w="40" w:type="dxa"/>
              <w:right w:w="0" w:type="dxa"/>
            </w:tcMar>
            <w:vAlign w:val="bottom"/>
          </w:tcPr>
          <w:p w14:paraId="74DD9981" w14:textId="77777777" w:rsidR="00584EC1" w:rsidRDefault="00871F8D">
            <w:pPr>
              <w:jc w:val="right"/>
              <w:textAlignment w:val="bottom"/>
            </w:pPr>
            <w:r>
              <w:rPr>
                <w:rFonts w:ascii="Arial" w:eastAsia="宋体" w:hAnsi="Arial" w:cs="Arial"/>
                <w:b/>
                <w:bCs/>
                <w:color w:val="000000"/>
                <w:sz w:val="12"/>
                <w:szCs w:val="12"/>
              </w:rPr>
              <w:t>1,976</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998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98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984" w14:textId="77777777" w:rsidR="00584EC1" w:rsidRDefault="00871F8D">
            <w:pPr>
              <w:jc w:val="right"/>
              <w:textAlignment w:val="bottom"/>
            </w:pPr>
            <w:r>
              <w:rPr>
                <w:rFonts w:ascii="Arial" w:eastAsia="宋体" w:hAnsi="Arial" w:cs="Arial"/>
                <w:b/>
                <w:bCs/>
                <w:color w:val="000000"/>
                <w:sz w:val="12"/>
                <w:szCs w:val="12"/>
              </w:rPr>
              <w:t>1,976</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998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98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987" w14:textId="77777777" w:rsidR="00584EC1" w:rsidRDefault="00871F8D">
            <w:pPr>
              <w:jc w:val="right"/>
              <w:textAlignment w:val="bottom"/>
            </w:pPr>
            <w:r>
              <w:rPr>
                <w:rFonts w:ascii="Arial" w:eastAsia="宋体" w:hAnsi="Arial" w:cs="Arial"/>
                <w:color w:val="000000"/>
                <w:sz w:val="12"/>
                <w:szCs w:val="12"/>
              </w:rPr>
              <w:t>2,471 </w:t>
            </w:r>
          </w:p>
        </w:tc>
        <w:tc>
          <w:tcPr>
            <w:tcW w:w="0" w:type="auto"/>
            <w:shd w:val="clear" w:color="auto" w:fill="FFFFFF"/>
            <w:tcMar>
              <w:top w:w="40" w:type="dxa"/>
              <w:left w:w="0" w:type="dxa"/>
              <w:bottom w:w="40" w:type="dxa"/>
              <w:right w:w="20" w:type="dxa"/>
            </w:tcMar>
            <w:vAlign w:val="bottom"/>
          </w:tcPr>
          <w:p w14:paraId="74DD998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98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98A" w14:textId="77777777" w:rsidR="00584EC1" w:rsidRDefault="00871F8D">
            <w:pPr>
              <w:jc w:val="right"/>
              <w:textAlignment w:val="bottom"/>
            </w:pPr>
            <w:r>
              <w:rPr>
                <w:rFonts w:ascii="Arial" w:eastAsia="宋体" w:hAnsi="Arial" w:cs="Arial"/>
                <w:color w:val="000000"/>
                <w:sz w:val="12"/>
                <w:szCs w:val="12"/>
              </w:rPr>
              <w:t>2,471 </w:t>
            </w:r>
          </w:p>
        </w:tc>
        <w:tc>
          <w:tcPr>
            <w:tcW w:w="0" w:type="auto"/>
            <w:shd w:val="clear" w:color="auto" w:fill="FFFFFF"/>
            <w:tcMar>
              <w:top w:w="40" w:type="dxa"/>
              <w:left w:w="0" w:type="dxa"/>
              <w:bottom w:w="40" w:type="dxa"/>
              <w:right w:w="20" w:type="dxa"/>
            </w:tcMar>
            <w:vAlign w:val="bottom"/>
          </w:tcPr>
          <w:p w14:paraId="74DD998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98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98D"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998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98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990"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999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99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993" w14:textId="77777777" w:rsidR="00584EC1" w:rsidRDefault="00871F8D">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999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995"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996" w14:textId="77777777" w:rsidR="00584EC1" w:rsidRDefault="00871F8D">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9997" w14:textId="77777777" w:rsidR="00584EC1" w:rsidRDefault="00584EC1">
            <w:pPr>
              <w:jc w:val="right"/>
              <w:rPr>
                <w:rFonts w:ascii="宋体"/>
              </w:rPr>
            </w:pPr>
          </w:p>
        </w:tc>
      </w:tr>
      <w:tr w:rsidR="00584EC1" w14:paraId="74DD99AF" w14:textId="77777777">
        <w:trPr>
          <w:hidden/>
        </w:trPr>
        <w:tc>
          <w:tcPr>
            <w:tcW w:w="0" w:type="auto"/>
            <w:gridSpan w:val="3"/>
            <w:shd w:val="clear" w:color="auto" w:fill="auto"/>
            <w:vAlign w:val="bottom"/>
          </w:tcPr>
          <w:p w14:paraId="74DD9999" w14:textId="77777777" w:rsidR="00584EC1" w:rsidRDefault="00584EC1">
            <w:pPr>
              <w:rPr>
                <w:rFonts w:ascii="宋体"/>
                <w:vanish/>
              </w:rPr>
            </w:pPr>
          </w:p>
        </w:tc>
        <w:tc>
          <w:tcPr>
            <w:tcW w:w="0" w:type="auto"/>
            <w:gridSpan w:val="3"/>
            <w:shd w:val="clear" w:color="auto" w:fill="auto"/>
            <w:vAlign w:val="bottom"/>
          </w:tcPr>
          <w:p w14:paraId="74DD999A" w14:textId="77777777" w:rsidR="00584EC1" w:rsidRDefault="00584EC1">
            <w:pPr>
              <w:rPr>
                <w:rFonts w:ascii="宋体"/>
                <w:vanish/>
              </w:rPr>
            </w:pPr>
          </w:p>
        </w:tc>
        <w:tc>
          <w:tcPr>
            <w:tcW w:w="0" w:type="auto"/>
            <w:gridSpan w:val="3"/>
            <w:shd w:val="clear" w:color="auto" w:fill="auto"/>
            <w:vAlign w:val="bottom"/>
          </w:tcPr>
          <w:p w14:paraId="74DD999B" w14:textId="77777777" w:rsidR="00584EC1" w:rsidRDefault="00584EC1">
            <w:pPr>
              <w:rPr>
                <w:rFonts w:ascii="宋体"/>
                <w:vanish/>
              </w:rPr>
            </w:pPr>
          </w:p>
        </w:tc>
        <w:tc>
          <w:tcPr>
            <w:tcW w:w="0" w:type="auto"/>
            <w:gridSpan w:val="3"/>
            <w:shd w:val="clear" w:color="auto" w:fill="auto"/>
            <w:vAlign w:val="bottom"/>
          </w:tcPr>
          <w:p w14:paraId="74DD999C" w14:textId="77777777" w:rsidR="00584EC1" w:rsidRDefault="00584EC1">
            <w:pPr>
              <w:rPr>
                <w:rFonts w:ascii="宋体"/>
                <w:vanish/>
              </w:rPr>
            </w:pPr>
          </w:p>
        </w:tc>
        <w:tc>
          <w:tcPr>
            <w:tcW w:w="0" w:type="auto"/>
            <w:gridSpan w:val="3"/>
            <w:shd w:val="clear" w:color="auto" w:fill="auto"/>
            <w:vAlign w:val="bottom"/>
          </w:tcPr>
          <w:p w14:paraId="74DD999D" w14:textId="77777777" w:rsidR="00584EC1" w:rsidRDefault="00584EC1">
            <w:pPr>
              <w:rPr>
                <w:rFonts w:ascii="宋体"/>
                <w:vanish/>
              </w:rPr>
            </w:pPr>
          </w:p>
        </w:tc>
        <w:tc>
          <w:tcPr>
            <w:tcW w:w="0" w:type="auto"/>
            <w:gridSpan w:val="3"/>
            <w:shd w:val="clear" w:color="auto" w:fill="auto"/>
            <w:vAlign w:val="bottom"/>
          </w:tcPr>
          <w:p w14:paraId="74DD999E" w14:textId="77777777" w:rsidR="00584EC1" w:rsidRDefault="00584EC1">
            <w:pPr>
              <w:rPr>
                <w:rFonts w:ascii="宋体"/>
                <w:vanish/>
              </w:rPr>
            </w:pPr>
          </w:p>
        </w:tc>
        <w:tc>
          <w:tcPr>
            <w:tcW w:w="0" w:type="auto"/>
            <w:gridSpan w:val="3"/>
            <w:shd w:val="clear" w:color="auto" w:fill="auto"/>
            <w:vAlign w:val="bottom"/>
          </w:tcPr>
          <w:p w14:paraId="74DD999F" w14:textId="77777777" w:rsidR="00584EC1" w:rsidRDefault="00584EC1">
            <w:pPr>
              <w:rPr>
                <w:rFonts w:ascii="宋体"/>
                <w:vanish/>
              </w:rPr>
            </w:pPr>
          </w:p>
        </w:tc>
        <w:tc>
          <w:tcPr>
            <w:tcW w:w="0" w:type="auto"/>
            <w:gridSpan w:val="3"/>
            <w:shd w:val="clear" w:color="auto" w:fill="auto"/>
            <w:vAlign w:val="bottom"/>
          </w:tcPr>
          <w:p w14:paraId="74DD99A0" w14:textId="77777777" w:rsidR="00584EC1" w:rsidRDefault="00584EC1">
            <w:pPr>
              <w:rPr>
                <w:rFonts w:ascii="宋体"/>
                <w:vanish/>
              </w:rPr>
            </w:pPr>
          </w:p>
        </w:tc>
        <w:tc>
          <w:tcPr>
            <w:tcW w:w="0" w:type="auto"/>
            <w:gridSpan w:val="3"/>
            <w:shd w:val="clear" w:color="auto" w:fill="auto"/>
            <w:vAlign w:val="bottom"/>
          </w:tcPr>
          <w:p w14:paraId="74DD99A1" w14:textId="77777777" w:rsidR="00584EC1" w:rsidRDefault="00584EC1">
            <w:pPr>
              <w:rPr>
                <w:rFonts w:ascii="宋体"/>
                <w:vanish/>
              </w:rPr>
            </w:pPr>
          </w:p>
        </w:tc>
        <w:tc>
          <w:tcPr>
            <w:tcW w:w="0" w:type="auto"/>
            <w:gridSpan w:val="3"/>
            <w:shd w:val="clear" w:color="auto" w:fill="auto"/>
            <w:vAlign w:val="bottom"/>
          </w:tcPr>
          <w:p w14:paraId="74DD99A2" w14:textId="77777777" w:rsidR="00584EC1" w:rsidRDefault="00584EC1">
            <w:pPr>
              <w:rPr>
                <w:rFonts w:ascii="宋体"/>
                <w:vanish/>
              </w:rPr>
            </w:pPr>
          </w:p>
        </w:tc>
        <w:tc>
          <w:tcPr>
            <w:tcW w:w="0" w:type="auto"/>
            <w:gridSpan w:val="3"/>
            <w:shd w:val="clear" w:color="auto" w:fill="auto"/>
            <w:vAlign w:val="bottom"/>
          </w:tcPr>
          <w:p w14:paraId="74DD99A3" w14:textId="77777777" w:rsidR="00584EC1" w:rsidRDefault="00584EC1">
            <w:pPr>
              <w:rPr>
                <w:rFonts w:ascii="宋体"/>
                <w:vanish/>
              </w:rPr>
            </w:pPr>
          </w:p>
        </w:tc>
        <w:tc>
          <w:tcPr>
            <w:tcW w:w="0" w:type="auto"/>
            <w:gridSpan w:val="3"/>
            <w:shd w:val="clear" w:color="auto" w:fill="auto"/>
            <w:vAlign w:val="bottom"/>
          </w:tcPr>
          <w:p w14:paraId="74DD99A4" w14:textId="77777777" w:rsidR="00584EC1" w:rsidRDefault="00584EC1">
            <w:pPr>
              <w:rPr>
                <w:rFonts w:ascii="宋体"/>
                <w:vanish/>
              </w:rPr>
            </w:pPr>
          </w:p>
        </w:tc>
        <w:tc>
          <w:tcPr>
            <w:tcW w:w="0" w:type="auto"/>
            <w:gridSpan w:val="3"/>
            <w:shd w:val="clear" w:color="auto" w:fill="auto"/>
            <w:vAlign w:val="bottom"/>
          </w:tcPr>
          <w:p w14:paraId="74DD99A5" w14:textId="77777777" w:rsidR="00584EC1" w:rsidRDefault="00584EC1">
            <w:pPr>
              <w:rPr>
                <w:rFonts w:ascii="宋体"/>
                <w:vanish/>
              </w:rPr>
            </w:pPr>
          </w:p>
        </w:tc>
        <w:tc>
          <w:tcPr>
            <w:tcW w:w="0" w:type="auto"/>
            <w:gridSpan w:val="3"/>
            <w:shd w:val="clear" w:color="auto" w:fill="auto"/>
            <w:vAlign w:val="bottom"/>
          </w:tcPr>
          <w:p w14:paraId="74DD99A6" w14:textId="77777777" w:rsidR="00584EC1" w:rsidRDefault="00584EC1">
            <w:pPr>
              <w:rPr>
                <w:rFonts w:ascii="宋体"/>
                <w:vanish/>
              </w:rPr>
            </w:pPr>
          </w:p>
        </w:tc>
        <w:tc>
          <w:tcPr>
            <w:tcW w:w="0" w:type="auto"/>
            <w:gridSpan w:val="3"/>
            <w:shd w:val="clear" w:color="auto" w:fill="auto"/>
            <w:vAlign w:val="bottom"/>
          </w:tcPr>
          <w:p w14:paraId="74DD99A7" w14:textId="77777777" w:rsidR="00584EC1" w:rsidRDefault="00584EC1">
            <w:pPr>
              <w:rPr>
                <w:rFonts w:ascii="宋体"/>
                <w:vanish/>
              </w:rPr>
            </w:pPr>
          </w:p>
        </w:tc>
        <w:tc>
          <w:tcPr>
            <w:tcW w:w="0" w:type="auto"/>
            <w:gridSpan w:val="3"/>
            <w:shd w:val="clear" w:color="auto" w:fill="auto"/>
            <w:vAlign w:val="bottom"/>
          </w:tcPr>
          <w:p w14:paraId="74DD99A8" w14:textId="77777777" w:rsidR="00584EC1" w:rsidRDefault="00584EC1">
            <w:pPr>
              <w:rPr>
                <w:rFonts w:ascii="宋体"/>
                <w:vanish/>
              </w:rPr>
            </w:pPr>
          </w:p>
        </w:tc>
        <w:tc>
          <w:tcPr>
            <w:tcW w:w="0" w:type="auto"/>
            <w:shd w:val="clear" w:color="auto" w:fill="auto"/>
            <w:vAlign w:val="bottom"/>
          </w:tcPr>
          <w:p w14:paraId="74DD99A9" w14:textId="77777777" w:rsidR="00584EC1" w:rsidRDefault="00584EC1">
            <w:pPr>
              <w:rPr>
                <w:rFonts w:ascii="宋体"/>
              </w:rPr>
            </w:pPr>
          </w:p>
        </w:tc>
        <w:tc>
          <w:tcPr>
            <w:tcW w:w="0" w:type="auto"/>
            <w:shd w:val="clear" w:color="auto" w:fill="auto"/>
            <w:vAlign w:val="bottom"/>
          </w:tcPr>
          <w:p w14:paraId="74DD99AA" w14:textId="77777777" w:rsidR="00584EC1" w:rsidRDefault="00584EC1">
            <w:pPr>
              <w:rPr>
                <w:rFonts w:ascii="宋体"/>
              </w:rPr>
            </w:pPr>
          </w:p>
        </w:tc>
        <w:tc>
          <w:tcPr>
            <w:tcW w:w="0" w:type="auto"/>
            <w:shd w:val="clear" w:color="auto" w:fill="auto"/>
            <w:vAlign w:val="bottom"/>
          </w:tcPr>
          <w:p w14:paraId="74DD99AB" w14:textId="77777777" w:rsidR="00584EC1" w:rsidRDefault="00584EC1">
            <w:pPr>
              <w:rPr>
                <w:rFonts w:ascii="宋体"/>
              </w:rPr>
            </w:pPr>
          </w:p>
        </w:tc>
        <w:tc>
          <w:tcPr>
            <w:tcW w:w="0" w:type="auto"/>
            <w:shd w:val="clear" w:color="auto" w:fill="auto"/>
            <w:vAlign w:val="bottom"/>
          </w:tcPr>
          <w:p w14:paraId="74DD99AC" w14:textId="77777777" w:rsidR="00584EC1" w:rsidRDefault="00584EC1">
            <w:pPr>
              <w:rPr>
                <w:rFonts w:ascii="宋体"/>
              </w:rPr>
            </w:pPr>
          </w:p>
        </w:tc>
        <w:tc>
          <w:tcPr>
            <w:tcW w:w="0" w:type="auto"/>
            <w:shd w:val="clear" w:color="auto" w:fill="auto"/>
            <w:vAlign w:val="bottom"/>
          </w:tcPr>
          <w:p w14:paraId="74DD99AD" w14:textId="77777777" w:rsidR="00584EC1" w:rsidRDefault="00584EC1">
            <w:pPr>
              <w:rPr>
                <w:rFonts w:ascii="宋体"/>
              </w:rPr>
            </w:pPr>
          </w:p>
        </w:tc>
        <w:tc>
          <w:tcPr>
            <w:tcW w:w="0" w:type="auto"/>
            <w:shd w:val="clear" w:color="auto" w:fill="auto"/>
            <w:vAlign w:val="bottom"/>
          </w:tcPr>
          <w:p w14:paraId="74DD99AE" w14:textId="77777777" w:rsidR="00584EC1" w:rsidRDefault="00584EC1">
            <w:pPr>
              <w:rPr>
                <w:rFonts w:ascii="宋体"/>
              </w:rPr>
            </w:pPr>
          </w:p>
        </w:tc>
      </w:tr>
      <w:tr w:rsidR="00584EC1" w14:paraId="74DD99C6" w14:textId="77777777">
        <w:trPr>
          <w:hidden/>
        </w:trPr>
        <w:tc>
          <w:tcPr>
            <w:tcW w:w="0" w:type="auto"/>
            <w:gridSpan w:val="3"/>
            <w:shd w:val="clear" w:color="auto" w:fill="auto"/>
            <w:vAlign w:val="bottom"/>
          </w:tcPr>
          <w:p w14:paraId="74DD99B0" w14:textId="77777777" w:rsidR="00584EC1" w:rsidRDefault="00584EC1">
            <w:pPr>
              <w:rPr>
                <w:rFonts w:ascii="宋体"/>
                <w:vanish/>
              </w:rPr>
            </w:pPr>
          </w:p>
        </w:tc>
        <w:tc>
          <w:tcPr>
            <w:tcW w:w="0" w:type="auto"/>
            <w:gridSpan w:val="3"/>
            <w:shd w:val="clear" w:color="auto" w:fill="auto"/>
            <w:vAlign w:val="bottom"/>
          </w:tcPr>
          <w:p w14:paraId="74DD99B1" w14:textId="77777777" w:rsidR="00584EC1" w:rsidRDefault="00584EC1">
            <w:pPr>
              <w:rPr>
                <w:rFonts w:ascii="宋体"/>
                <w:vanish/>
              </w:rPr>
            </w:pPr>
          </w:p>
        </w:tc>
        <w:tc>
          <w:tcPr>
            <w:tcW w:w="0" w:type="auto"/>
            <w:gridSpan w:val="3"/>
            <w:shd w:val="clear" w:color="auto" w:fill="auto"/>
            <w:vAlign w:val="bottom"/>
          </w:tcPr>
          <w:p w14:paraId="74DD99B2" w14:textId="77777777" w:rsidR="00584EC1" w:rsidRDefault="00584EC1">
            <w:pPr>
              <w:rPr>
                <w:rFonts w:ascii="宋体"/>
                <w:vanish/>
              </w:rPr>
            </w:pPr>
          </w:p>
        </w:tc>
        <w:tc>
          <w:tcPr>
            <w:tcW w:w="0" w:type="auto"/>
            <w:gridSpan w:val="3"/>
            <w:shd w:val="clear" w:color="auto" w:fill="auto"/>
            <w:vAlign w:val="bottom"/>
          </w:tcPr>
          <w:p w14:paraId="74DD99B3" w14:textId="77777777" w:rsidR="00584EC1" w:rsidRDefault="00584EC1">
            <w:pPr>
              <w:rPr>
                <w:rFonts w:ascii="宋体"/>
                <w:vanish/>
              </w:rPr>
            </w:pPr>
          </w:p>
        </w:tc>
        <w:tc>
          <w:tcPr>
            <w:tcW w:w="0" w:type="auto"/>
            <w:gridSpan w:val="3"/>
            <w:shd w:val="clear" w:color="auto" w:fill="auto"/>
            <w:vAlign w:val="bottom"/>
          </w:tcPr>
          <w:p w14:paraId="74DD99B4" w14:textId="77777777" w:rsidR="00584EC1" w:rsidRDefault="00584EC1">
            <w:pPr>
              <w:rPr>
                <w:rFonts w:ascii="宋体"/>
                <w:vanish/>
              </w:rPr>
            </w:pPr>
          </w:p>
        </w:tc>
        <w:tc>
          <w:tcPr>
            <w:tcW w:w="0" w:type="auto"/>
            <w:gridSpan w:val="3"/>
            <w:shd w:val="clear" w:color="auto" w:fill="auto"/>
            <w:vAlign w:val="bottom"/>
          </w:tcPr>
          <w:p w14:paraId="74DD99B5" w14:textId="77777777" w:rsidR="00584EC1" w:rsidRDefault="00584EC1">
            <w:pPr>
              <w:rPr>
                <w:rFonts w:ascii="宋体"/>
                <w:vanish/>
              </w:rPr>
            </w:pPr>
          </w:p>
        </w:tc>
        <w:tc>
          <w:tcPr>
            <w:tcW w:w="0" w:type="auto"/>
            <w:gridSpan w:val="3"/>
            <w:shd w:val="clear" w:color="auto" w:fill="auto"/>
            <w:vAlign w:val="bottom"/>
          </w:tcPr>
          <w:p w14:paraId="74DD99B6" w14:textId="77777777" w:rsidR="00584EC1" w:rsidRDefault="00584EC1">
            <w:pPr>
              <w:rPr>
                <w:rFonts w:ascii="宋体"/>
                <w:vanish/>
              </w:rPr>
            </w:pPr>
          </w:p>
        </w:tc>
        <w:tc>
          <w:tcPr>
            <w:tcW w:w="0" w:type="auto"/>
            <w:gridSpan w:val="3"/>
            <w:shd w:val="clear" w:color="auto" w:fill="auto"/>
            <w:vAlign w:val="bottom"/>
          </w:tcPr>
          <w:p w14:paraId="74DD99B7" w14:textId="77777777" w:rsidR="00584EC1" w:rsidRDefault="00584EC1">
            <w:pPr>
              <w:rPr>
                <w:rFonts w:ascii="宋体"/>
                <w:vanish/>
              </w:rPr>
            </w:pPr>
          </w:p>
        </w:tc>
        <w:tc>
          <w:tcPr>
            <w:tcW w:w="0" w:type="auto"/>
            <w:gridSpan w:val="3"/>
            <w:shd w:val="clear" w:color="auto" w:fill="auto"/>
            <w:vAlign w:val="bottom"/>
          </w:tcPr>
          <w:p w14:paraId="74DD99B8" w14:textId="77777777" w:rsidR="00584EC1" w:rsidRDefault="00584EC1">
            <w:pPr>
              <w:rPr>
                <w:rFonts w:ascii="宋体"/>
                <w:vanish/>
              </w:rPr>
            </w:pPr>
          </w:p>
        </w:tc>
        <w:tc>
          <w:tcPr>
            <w:tcW w:w="0" w:type="auto"/>
            <w:gridSpan w:val="3"/>
            <w:shd w:val="clear" w:color="auto" w:fill="auto"/>
            <w:vAlign w:val="bottom"/>
          </w:tcPr>
          <w:p w14:paraId="74DD99B9" w14:textId="77777777" w:rsidR="00584EC1" w:rsidRDefault="00584EC1">
            <w:pPr>
              <w:rPr>
                <w:rFonts w:ascii="宋体"/>
                <w:vanish/>
              </w:rPr>
            </w:pPr>
          </w:p>
        </w:tc>
        <w:tc>
          <w:tcPr>
            <w:tcW w:w="0" w:type="auto"/>
            <w:gridSpan w:val="3"/>
            <w:shd w:val="clear" w:color="auto" w:fill="auto"/>
            <w:vAlign w:val="bottom"/>
          </w:tcPr>
          <w:p w14:paraId="74DD99BA" w14:textId="77777777" w:rsidR="00584EC1" w:rsidRDefault="00584EC1">
            <w:pPr>
              <w:rPr>
                <w:rFonts w:ascii="宋体"/>
                <w:vanish/>
              </w:rPr>
            </w:pPr>
          </w:p>
        </w:tc>
        <w:tc>
          <w:tcPr>
            <w:tcW w:w="0" w:type="auto"/>
            <w:gridSpan w:val="3"/>
            <w:shd w:val="clear" w:color="auto" w:fill="auto"/>
            <w:vAlign w:val="bottom"/>
          </w:tcPr>
          <w:p w14:paraId="74DD99BB" w14:textId="77777777" w:rsidR="00584EC1" w:rsidRDefault="00584EC1">
            <w:pPr>
              <w:rPr>
                <w:rFonts w:ascii="宋体"/>
                <w:vanish/>
              </w:rPr>
            </w:pPr>
          </w:p>
        </w:tc>
        <w:tc>
          <w:tcPr>
            <w:tcW w:w="0" w:type="auto"/>
            <w:gridSpan w:val="3"/>
            <w:shd w:val="clear" w:color="auto" w:fill="auto"/>
            <w:vAlign w:val="bottom"/>
          </w:tcPr>
          <w:p w14:paraId="74DD99BC" w14:textId="77777777" w:rsidR="00584EC1" w:rsidRDefault="00584EC1">
            <w:pPr>
              <w:rPr>
                <w:rFonts w:ascii="宋体"/>
                <w:vanish/>
              </w:rPr>
            </w:pPr>
          </w:p>
        </w:tc>
        <w:tc>
          <w:tcPr>
            <w:tcW w:w="0" w:type="auto"/>
            <w:gridSpan w:val="3"/>
            <w:shd w:val="clear" w:color="auto" w:fill="auto"/>
            <w:vAlign w:val="bottom"/>
          </w:tcPr>
          <w:p w14:paraId="74DD99BD" w14:textId="77777777" w:rsidR="00584EC1" w:rsidRDefault="00584EC1">
            <w:pPr>
              <w:rPr>
                <w:rFonts w:ascii="宋体"/>
                <w:vanish/>
              </w:rPr>
            </w:pPr>
          </w:p>
        </w:tc>
        <w:tc>
          <w:tcPr>
            <w:tcW w:w="0" w:type="auto"/>
            <w:gridSpan w:val="3"/>
            <w:shd w:val="clear" w:color="auto" w:fill="auto"/>
            <w:vAlign w:val="bottom"/>
          </w:tcPr>
          <w:p w14:paraId="74DD99BE" w14:textId="77777777" w:rsidR="00584EC1" w:rsidRDefault="00584EC1">
            <w:pPr>
              <w:rPr>
                <w:rFonts w:ascii="宋体"/>
                <w:vanish/>
              </w:rPr>
            </w:pPr>
          </w:p>
        </w:tc>
        <w:tc>
          <w:tcPr>
            <w:tcW w:w="0" w:type="auto"/>
            <w:gridSpan w:val="3"/>
            <w:shd w:val="clear" w:color="auto" w:fill="auto"/>
            <w:vAlign w:val="bottom"/>
          </w:tcPr>
          <w:p w14:paraId="74DD99BF" w14:textId="77777777" w:rsidR="00584EC1" w:rsidRDefault="00584EC1">
            <w:pPr>
              <w:rPr>
                <w:rFonts w:ascii="宋体"/>
                <w:vanish/>
              </w:rPr>
            </w:pPr>
          </w:p>
        </w:tc>
        <w:tc>
          <w:tcPr>
            <w:tcW w:w="0" w:type="auto"/>
            <w:shd w:val="clear" w:color="auto" w:fill="auto"/>
            <w:vAlign w:val="bottom"/>
          </w:tcPr>
          <w:p w14:paraId="74DD99C0" w14:textId="77777777" w:rsidR="00584EC1" w:rsidRDefault="00584EC1">
            <w:pPr>
              <w:rPr>
                <w:rFonts w:ascii="宋体"/>
              </w:rPr>
            </w:pPr>
          </w:p>
        </w:tc>
        <w:tc>
          <w:tcPr>
            <w:tcW w:w="0" w:type="auto"/>
            <w:shd w:val="clear" w:color="auto" w:fill="auto"/>
            <w:vAlign w:val="bottom"/>
          </w:tcPr>
          <w:p w14:paraId="74DD99C1" w14:textId="77777777" w:rsidR="00584EC1" w:rsidRDefault="00584EC1">
            <w:pPr>
              <w:rPr>
                <w:rFonts w:ascii="宋体"/>
              </w:rPr>
            </w:pPr>
          </w:p>
        </w:tc>
        <w:tc>
          <w:tcPr>
            <w:tcW w:w="0" w:type="auto"/>
            <w:shd w:val="clear" w:color="auto" w:fill="auto"/>
            <w:vAlign w:val="bottom"/>
          </w:tcPr>
          <w:p w14:paraId="74DD99C2" w14:textId="77777777" w:rsidR="00584EC1" w:rsidRDefault="00584EC1">
            <w:pPr>
              <w:rPr>
                <w:rFonts w:ascii="宋体"/>
              </w:rPr>
            </w:pPr>
          </w:p>
        </w:tc>
        <w:tc>
          <w:tcPr>
            <w:tcW w:w="0" w:type="auto"/>
            <w:shd w:val="clear" w:color="auto" w:fill="auto"/>
            <w:vAlign w:val="bottom"/>
          </w:tcPr>
          <w:p w14:paraId="74DD99C3" w14:textId="77777777" w:rsidR="00584EC1" w:rsidRDefault="00584EC1">
            <w:pPr>
              <w:rPr>
                <w:rFonts w:ascii="宋体"/>
              </w:rPr>
            </w:pPr>
          </w:p>
        </w:tc>
        <w:tc>
          <w:tcPr>
            <w:tcW w:w="0" w:type="auto"/>
            <w:shd w:val="clear" w:color="auto" w:fill="auto"/>
            <w:vAlign w:val="bottom"/>
          </w:tcPr>
          <w:p w14:paraId="74DD99C4" w14:textId="77777777" w:rsidR="00584EC1" w:rsidRDefault="00584EC1">
            <w:pPr>
              <w:rPr>
                <w:rFonts w:ascii="宋体"/>
              </w:rPr>
            </w:pPr>
          </w:p>
        </w:tc>
        <w:tc>
          <w:tcPr>
            <w:tcW w:w="0" w:type="auto"/>
            <w:shd w:val="clear" w:color="auto" w:fill="auto"/>
            <w:vAlign w:val="bottom"/>
          </w:tcPr>
          <w:p w14:paraId="74DD99C5" w14:textId="77777777" w:rsidR="00584EC1" w:rsidRDefault="00584EC1">
            <w:pPr>
              <w:rPr>
                <w:rFonts w:ascii="宋体"/>
              </w:rPr>
            </w:pPr>
          </w:p>
        </w:tc>
      </w:tr>
      <w:tr w:rsidR="00584EC1" w14:paraId="74DD99DF" w14:textId="77777777">
        <w:tc>
          <w:tcPr>
            <w:tcW w:w="0" w:type="auto"/>
            <w:gridSpan w:val="9"/>
            <w:shd w:val="clear" w:color="auto" w:fill="CCEEFF"/>
            <w:tcMar>
              <w:top w:w="40" w:type="dxa"/>
              <w:left w:w="20" w:type="dxa"/>
              <w:bottom w:w="40" w:type="dxa"/>
              <w:right w:w="20" w:type="dxa"/>
            </w:tcMar>
            <w:vAlign w:val="bottom"/>
          </w:tcPr>
          <w:p w14:paraId="74DD99C7" w14:textId="77777777" w:rsidR="00584EC1" w:rsidRDefault="00871F8D">
            <w:pPr>
              <w:textAlignment w:val="bottom"/>
            </w:pPr>
            <w:r>
              <w:rPr>
                <w:rFonts w:ascii="Arial" w:eastAsia="宋体" w:hAnsi="Arial" w:cs="Arial"/>
                <w:b/>
                <w:bCs/>
                <w:color w:val="000000"/>
                <w:sz w:val="12"/>
                <w:szCs w:val="12"/>
              </w:rPr>
              <w:t> Tier 1 capital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99C8" w14:textId="77777777" w:rsidR="00584EC1" w:rsidRDefault="00871F8D">
            <w:pPr>
              <w:jc w:val="right"/>
              <w:textAlignment w:val="bottom"/>
            </w:pPr>
            <w:r>
              <w:rPr>
                <w:rFonts w:ascii="Arial" w:eastAsia="宋体" w:hAnsi="Arial" w:cs="Arial"/>
                <w:b/>
                <w:bCs/>
                <w:color w:val="000000"/>
                <w:sz w:val="12"/>
                <w:szCs w:val="12"/>
              </w:rPr>
              <w:t>17,807</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9C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9CA"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99CB" w14:textId="77777777" w:rsidR="00584EC1" w:rsidRDefault="00871F8D">
            <w:pPr>
              <w:jc w:val="right"/>
              <w:textAlignment w:val="bottom"/>
            </w:pPr>
            <w:r>
              <w:rPr>
                <w:rFonts w:ascii="Arial" w:eastAsia="宋体" w:hAnsi="Arial" w:cs="Arial"/>
                <w:b/>
                <w:bCs/>
                <w:color w:val="000000"/>
                <w:sz w:val="12"/>
                <w:szCs w:val="12"/>
              </w:rPr>
              <w:t>17,807</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9C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9CD"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99CE" w14:textId="77777777" w:rsidR="00584EC1" w:rsidRDefault="00871F8D">
            <w:pPr>
              <w:jc w:val="right"/>
              <w:textAlignment w:val="bottom"/>
            </w:pPr>
            <w:r>
              <w:rPr>
                <w:rFonts w:ascii="Arial" w:eastAsia="宋体" w:hAnsi="Arial" w:cs="Arial"/>
                <w:color w:val="000000"/>
                <w:sz w:val="12"/>
                <w:szCs w:val="12"/>
              </w:rPr>
              <w:t>16,848 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9C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9D0"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99D1" w14:textId="77777777" w:rsidR="00584EC1" w:rsidRDefault="00871F8D">
            <w:pPr>
              <w:jc w:val="right"/>
              <w:textAlignment w:val="bottom"/>
            </w:pPr>
            <w:r>
              <w:rPr>
                <w:rFonts w:ascii="Arial" w:eastAsia="宋体" w:hAnsi="Arial" w:cs="Arial"/>
                <w:color w:val="000000"/>
                <w:sz w:val="12"/>
                <w:szCs w:val="12"/>
              </w:rPr>
              <w:t>16,848 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9D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9D3"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99D4" w14:textId="77777777" w:rsidR="00584EC1" w:rsidRDefault="00871F8D">
            <w:pPr>
              <w:jc w:val="right"/>
              <w:textAlignment w:val="bottom"/>
            </w:pPr>
            <w:r>
              <w:rPr>
                <w:rFonts w:ascii="Arial" w:eastAsia="宋体" w:hAnsi="Arial" w:cs="Arial"/>
                <w:b/>
                <w:bCs/>
                <w:color w:val="000000"/>
                <w:sz w:val="12"/>
                <w:szCs w:val="12"/>
              </w:rPr>
              <w:t>18,290</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9D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9D6"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99D7" w14:textId="77777777" w:rsidR="00584EC1" w:rsidRDefault="00871F8D">
            <w:pPr>
              <w:jc w:val="right"/>
              <w:textAlignment w:val="bottom"/>
            </w:pPr>
            <w:r>
              <w:rPr>
                <w:rFonts w:ascii="Arial" w:eastAsia="宋体" w:hAnsi="Arial" w:cs="Arial"/>
                <w:b/>
                <w:bCs/>
                <w:color w:val="000000"/>
                <w:sz w:val="12"/>
                <w:szCs w:val="12"/>
              </w:rPr>
              <w:t>18,290</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9D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9D9"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99DA" w14:textId="77777777" w:rsidR="00584EC1" w:rsidRDefault="00871F8D">
            <w:pPr>
              <w:jc w:val="right"/>
              <w:textAlignment w:val="bottom"/>
            </w:pPr>
            <w:r>
              <w:rPr>
                <w:rFonts w:ascii="Arial" w:eastAsia="宋体" w:hAnsi="Arial" w:cs="Arial"/>
                <w:color w:val="000000"/>
                <w:sz w:val="12"/>
                <w:szCs w:val="12"/>
              </w:rPr>
              <w:t>17,306 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9D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9DC"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99DD" w14:textId="77777777" w:rsidR="00584EC1" w:rsidRDefault="00871F8D">
            <w:pPr>
              <w:jc w:val="right"/>
              <w:textAlignment w:val="bottom"/>
            </w:pPr>
            <w:r>
              <w:rPr>
                <w:rFonts w:ascii="Arial" w:eastAsia="宋体" w:hAnsi="Arial" w:cs="Arial"/>
                <w:color w:val="000000"/>
                <w:sz w:val="12"/>
                <w:szCs w:val="12"/>
              </w:rPr>
              <w:t>17,306 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9DE" w14:textId="77777777" w:rsidR="00584EC1" w:rsidRDefault="00584EC1">
            <w:pPr>
              <w:jc w:val="right"/>
              <w:rPr>
                <w:rFonts w:ascii="宋体"/>
              </w:rPr>
            </w:pPr>
          </w:p>
        </w:tc>
      </w:tr>
      <w:tr w:rsidR="00584EC1" w14:paraId="74DD99F8" w14:textId="77777777">
        <w:tc>
          <w:tcPr>
            <w:tcW w:w="0" w:type="auto"/>
            <w:gridSpan w:val="9"/>
            <w:shd w:val="clear" w:color="auto" w:fill="FFFFFF"/>
            <w:tcMar>
              <w:top w:w="40" w:type="dxa"/>
              <w:left w:w="245" w:type="dxa"/>
              <w:bottom w:w="40" w:type="dxa"/>
              <w:right w:w="20" w:type="dxa"/>
            </w:tcMar>
            <w:vAlign w:val="bottom"/>
          </w:tcPr>
          <w:p w14:paraId="74DD99E0" w14:textId="77777777" w:rsidR="00584EC1" w:rsidRDefault="00871F8D">
            <w:pPr>
              <w:textAlignment w:val="bottom"/>
            </w:pPr>
            <w:r>
              <w:rPr>
                <w:rFonts w:ascii="Arial" w:eastAsia="宋体" w:hAnsi="Arial" w:cs="Arial"/>
                <w:color w:val="000000"/>
                <w:sz w:val="12"/>
                <w:szCs w:val="12"/>
              </w:rPr>
              <w:t>Qualifying subordinated long-term debt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99E1" w14:textId="77777777" w:rsidR="00584EC1" w:rsidRDefault="00871F8D">
            <w:pPr>
              <w:jc w:val="right"/>
              <w:textAlignment w:val="bottom"/>
            </w:pPr>
            <w:r>
              <w:rPr>
                <w:rFonts w:ascii="Arial" w:eastAsia="宋体" w:hAnsi="Arial" w:cs="Arial"/>
                <w:b/>
                <w:bCs/>
                <w:color w:val="000000"/>
                <w:sz w:val="12"/>
                <w:szCs w:val="12"/>
              </w:rPr>
              <w:t>1,590</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99E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9E3"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99E4" w14:textId="77777777" w:rsidR="00584EC1" w:rsidRDefault="00871F8D">
            <w:pPr>
              <w:jc w:val="right"/>
              <w:textAlignment w:val="bottom"/>
            </w:pPr>
            <w:r>
              <w:rPr>
                <w:rFonts w:ascii="Arial" w:eastAsia="宋体" w:hAnsi="Arial" w:cs="Arial"/>
                <w:b/>
                <w:bCs/>
                <w:color w:val="000000"/>
                <w:sz w:val="12"/>
                <w:szCs w:val="12"/>
              </w:rPr>
              <w:t>1,590</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99E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9E6"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99E7" w14:textId="77777777" w:rsidR="00584EC1" w:rsidRDefault="00871F8D">
            <w:pPr>
              <w:jc w:val="right"/>
              <w:textAlignment w:val="bottom"/>
            </w:pPr>
            <w:r>
              <w:rPr>
                <w:rFonts w:ascii="Arial" w:eastAsia="宋体" w:hAnsi="Arial" w:cs="Arial"/>
                <w:color w:val="000000"/>
                <w:sz w:val="12"/>
                <w:szCs w:val="12"/>
              </w:rPr>
              <w:t>961 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99E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9E9"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99EA" w14:textId="77777777" w:rsidR="00584EC1" w:rsidRDefault="00871F8D">
            <w:pPr>
              <w:jc w:val="right"/>
              <w:textAlignment w:val="bottom"/>
            </w:pPr>
            <w:r>
              <w:rPr>
                <w:rFonts w:ascii="Arial" w:eastAsia="宋体" w:hAnsi="Arial" w:cs="Arial"/>
                <w:color w:val="000000"/>
                <w:sz w:val="12"/>
                <w:szCs w:val="12"/>
              </w:rPr>
              <w:t>961 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99E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9EC"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99ED" w14:textId="77777777" w:rsidR="00584EC1" w:rsidRDefault="00871F8D">
            <w:pPr>
              <w:jc w:val="right"/>
              <w:textAlignment w:val="bottom"/>
            </w:pPr>
            <w:r>
              <w:rPr>
                <w:rFonts w:ascii="Arial" w:eastAsia="宋体" w:hAnsi="Arial" w:cs="Arial"/>
                <w:b/>
                <w:bCs/>
                <w:color w:val="000000"/>
                <w:sz w:val="12"/>
                <w:szCs w:val="12"/>
              </w:rPr>
              <w:t>754</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99E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9EF"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99F0" w14:textId="77777777" w:rsidR="00584EC1" w:rsidRDefault="00871F8D">
            <w:pPr>
              <w:jc w:val="right"/>
              <w:textAlignment w:val="bottom"/>
            </w:pPr>
            <w:r>
              <w:rPr>
                <w:rFonts w:ascii="Arial" w:eastAsia="宋体" w:hAnsi="Arial" w:cs="Arial"/>
                <w:b/>
                <w:bCs/>
                <w:color w:val="000000"/>
                <w:sz w:val="12"/>
                <w:szCs w:val="12"/>
              </w:rPr>
              <w:t>754</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99F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9F2"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99F3" w14:textId="77777777" w:rsidR="00584EC1" w:rsidRDefault="00871F8D">
            <w:pPr>
              <w:jc w:val="right"/>
              <w:textAlignment w:val="bottom"/>
            </w:pPr>
            <w:r>
              <w:rPr>
                <w:rFonts w:ascii="Arial" w:eastAsia="宋体" w:hAnsi="Arial" w:cs="Arial"/>
                <w:color w:val="000000"/>
                <w:sz w:val="12"/>
                <w:szCs w:val="12"/>
              </w:rPr>
              <w:t>966 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99F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9F5"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99F6" w14:textId="77777777" w:rsidR="00584EC1" w:rsidRDefault="00871F8D">
            <w:pPr>
              <w:jc w:val="right"/>
              <w:textAlignment w:val="bottom"/>
            </w:pPr>
            <w:r>
              <w:rPr>
                <w:rFonts w:ascii="Arial" w:eastAsia="宋体" w:hAnsi="Arial" w:cs="Arial"/>
                <w:color w:val="000000"/>
                <w:sz w:val="12"/>
                <w:szCs w:val="12"/>
              </w:rPr>
              <w:t>966 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99F7" w14:textId="77777777" w:rsidR="00584EC1" w:rsidRDefault="00584EC1">
            <w:pPr>
              <w:jc w:val="right"/>
              <w:rPr>
                <w:rFonts w:ascii="宋体"/>
              </w:rPr>
            </w:pPr>
          </w:p>
        </w:tc>
      </w:tr>
      <w:tr w:rsidR="00584EC1" w14:paraId="74DD9A0F" w14:textId="77777777">
        <w:trPr>
          <w:hidden/>
        </w:trPr>
        <w:tc>
          <w:tcPr>
            <w:tcW w:w="0" w:type="auto"/>
            <w:gridSpan w:val="3"/>
            <w:shd w:val="clear" w:color="auto" w:fill="auto"/>
            <w:vAlign w:val="bottom"/>
          </w:tcPr>
          <w:p w14:paraId="74DD99F9" w14:textId="77777777" w:rsidR="00584EC1" w:rsidRDefault="00584EC1">
            <w:pPr>
              <w:rPr>
                <w:rFonts w:ascii="宋体"/>
                <w:vanish/>
              </w:rPr>
            </w:pPr>
          </w:p>
        </w:tc>
        <w:tc>
          <w:tcPr>
            <w:tcW w:w="0" w:type="auto"/>
            <w:gridSpan w:val="3"/>
            <w:shd w:val="clear" w:color="auto" w:fill="auto"/>
            <w:vAlign w:val="bottom"/>
          </w:tcPr>
          <w:p w14:paraId="74DD99FA" w14:textId="77777777" w:rsidR="00584EC1" w:rsidRDefault="00584EC1">
            <w:pPr>
              <w:rPr>
                <w:rFonts w:ascii="宋体"/>
                <w:vanish/>
              </w:rPr>
            </w:pPr>
          </w:p>
        </w:tc>
        <w:tc>
          <w:tcPr>
            <w:tcW w:w="0" w:type="auto"/>
            <w:gridSpan w:val="3"/>
            <w:shd w:val="clear" w:color="auto" w:fill="auto"/>
            <w:vAlign w:val="bottom"/>
          </w:tcPr>
          <w:p w14:paraId="74DD99FB" w14:textId="77777777" w:rsidR="00584EC1" w:rsidRDefault="00584EC1">
            <w:pPr>
              <w:rPr>
                <w:rFonts w:ascii="宋体"/>
                <w:vanish/>
              </w:rPr>
            </w:pPr>
          </w:p>
        </w:tc>
        <w:tc>
          <w:tcPr>
            <w:tcW w:w="0" w:type="auto"/>
            <w:gridSpan w:val="3"/>
            <w:shd w:val="clear" w:color="auto" w:fill="auto"/>
            <w:vAlign w:val="bottom"/>
          </w:tcPr>
          <w:p w14:paraId="74DD99FC" w14:textId="77777777" w:rsidR="00584EC1" w:rsidRDefault="00584EC1">
            <w:pPr>
              <w:rPr>
                <w:rFonts w:ascii="宋体"/>
                <w:vanish/>
              </w:rPr>
            </w:pPr>
          </w:p>
        </w:tc>
        <w:tc>
          <w:tcPr>
            <w:tcW w:w="0" w:type="auto"/>
            <w:gridSpan w:val="3"/>
            <w:shd w:val="clear" w:color="auto" w:fill="auto"/>
            <w:vAlign w:val="bottom"/>
          </w:tcPr>
          <w:p w14:paraId="74DD99FD" w14:textId="77777777" w:rsidR="00584EC1" w:rsidRDefault="00584EC1">
            <w:pPr>
              <w:rPr>
                <w:rFonts w:ascii="宋体"/>
                <w:vanish/>
              </w:rPr>
            </w:pPr>
          </w:p>
        </w:tc>
        <w:tc>
          <w:tcPr>
            <w:tcW w:w="0" w:type="auto"/>
            <w:gridSpan w:val="3"/>
            <w:shd w:val="clear" w:color="auto" w:fill="auto"/>
            <w:vAlign w:val="bottom"/>
          </w:tcPr>
          <w:p w14:paraId="74DD99FE" w14:textId="77777777" w:rsidR="00584EC1" w:rsidRDefault="00584EC1">
            <w:pPr>
              <w:rPr>
                <w:rFonts w:ascii="宋体"/>
                <w:vanish/>
              </w:rPr>
            </w:pPr>
          </w:p>
        </w:tc>
        <w:tc>
          <w:tcPr>
            <w:tcW w:w="0" w:type="auto"/>
            <w:gridSpan w:val="3"/>
            <w:shd w:val="clear" w:color="auto" w:fill="auto"/>
            <w:vAlign w:val="bottom"/>
          </w:tcPr>
          <w:p w14:paraId="74DD99FF" w14:textId="77777777" w:rsidR="00584EC1" w:rsidRDefault="00584EC1">
            <w:pPr>
              <w:rPr>
                <w:rFonts w:ascii="宋体"/>
                <w:vanish/>
              </w:rPr>
            </w:pPr>
          </w:p>
        </w:tc>
        <w:tc>
          <w:tcPr>
            <w:tcW w:w="0" w:type="auto"/>
            <w:gridSpan w:val="3"/>
            <w:shd w:val="clear" w:color="auto" w:fill="auto"/>
            <w:vAlign w:val="bottom"/>
          </w:tcPr>
          <w:p w14:paraId="74DD9A00" w14:textId="77777777" w:rsidR="00584EC1" w:rsidRDefault="00584EC1">
            <w:pPr>
              <w:rPr>
                <w:rFonts w:ascii="宋体"/>
                <w:vanish/>
              </w:rPr>
            </w:pPr>
          </w:p>
        </w:tc>
        <w:tc>
          <w:tcPr>
            <w:tcW w:w="0" w:type="auto"/>
            <w:gridSpan w:val="3"/>
            <w:shd w:val="clear" w:color="auto" w:fill="auto"/>
            <w:vAlign w:val="bottom"/>
          </w:tcPr>
          <w:p w14:paraId="74DD9A01" w14:textId="77777777" w:rsidR="00584EC1" w:rsidRDefault="00584EC1">
            <w:pPr>
              <w:rPr>
                <w:rFonts w:ascii="宋体"/>
                <w:vanish/>
              </w:rPr>
            </w:pPr>
          </w:p>
        </w:tc>
        <w:tc>
          <w:tcPr>
            <w:tcW w:w="0" w:type="auto"/>
            <w:gridSpan w:val="3"/>
            <w:shd w:val="clear" w:color="auto" w:fill="auto"/>
            <w:vAlign w:val="bottom"/>
          </w:tcPr>
          <w:p w14:paraId="74DD9A02" w14:textId="77777777" w:rsidR="00584EC1" w:rsidRDefault="00584EC1">
            <w:pPr>
              <w:rPr>
                <w:rFonts w:ascii="宋体"/>
                <w:vanish/>
              </w:rPr>
            </w:pPr>
          </w:p>
        </w:tc>
        <w:tc>
          <w:tcPr>
            <w:tcW w:w="0" w:type="auto"/>
            <w:gridSpan w:val="3"/>
            <w:shd w:val="clear" w:color="auto" w:fill="auto"/>
            <w:vAlign w:val="bottom"/>
          </w:tcPr>
          <w:p w14:paraId="74DD9A03" w14:textId="77777777" w:rsidR="00584EC1" w:rsidRDefault="00584EC1">
            <w:pPr>
              <w:rPr>
                <w:rFonts w:ascii="宋体"/>
                <w:vanish/>
              </w:rPr>
            </w:pPr>
          </w:p>
        </w:tc>
        <w:tc>
          <w:tcPr>
            <w:tcW w:w="0" w:type="auto"/>
            <w:gridSpan w:val="3"/>
            <w:shd w:val="clear" w:color="auto" w:fill="auto"/>
            <w:vAlign w:val="bottom"/>
          </w:tcPr>
          <w:p w14:paraId="74DD9A04" w14:textId="77777777" w:rsidR="00584EC1" w:rsidRDefault="00584EC1">
            <w:pPr>
              <w:rPr>
                <w:rFonts w:ascii="宋体"/>
                <w:vanish/>
              </w:rPr>
            </w:pPr>
          </w:p>
        </w:tc>
        <w:tc>
          <w:tcPr>
            <w:tcW w:w="0" w:type="auto"/>
            <w:gridSpan w:val="3"/>
            <w:shd w:val="clear" w:color="auto" w:fill="auto"/>
            <w:vAlign w:val="bottom"/>
          </w:tcPr>
          <w:p w14:paraId="74DD9A05" w14:textId="77777777" w:rsidR="00584EC1" w:rsidRDefault="00584EC1">
            <w:pPr>
              <w:rPr>
                <w:rFonts w:ascii="宋体"/>
                <w:vanish/>
              </w:rPr>
            </w:pPr>
          </w:p>
        </w:tc>
        <w:tc>
          <w:tcPr>
            <w:tcW w:w="0" w:type="auto"/>
            <w:gridSpan w:val="3"/>
            <w:shd w:val="clear" w:color="auto" w:fill="auto"/>
            <w:vAlign w:val="bottom"/>
          </w:tcPr>
          <w:p w14:paraId="74DD9A06" w14:textId="77777777" w:rsidR="00584EC1" w:rsidRDefault="00584EC1">
            <w:pPr>
              <w:rPr>
                <w:rFonts w:ascii="宋体"/>
                <w:vanish/>
              </w:rPr>
            </w:pPr>
          </w:p>
        </w:tc>
        <w:tc>
          <w:tcPr>
            <w:tcW w:w="0" w:type="auto"/>
            <w:gridSpan w:val="3"/>
            <w:shd w:val="clear" w:color="auto" w:fill="auto"/>
            <w:vAlign w:val="bottom"/>
          </w:tcPr>
          <w:p w14:paraId="74DD9A07" w14:textId="77777777" w:rsidR="00584EC1" w:rsidRDefault="00584EC1">
            <w:pPr>
              <w:rPr>
                <w:rFonts w:ascii="宋体"/>
                <w:vanish/>
              </w:rPr>
            </w:pPr>
          </w:p>
        </w:tc>
        <w:tc>
          <w:tcPr>
            <w:tcW w:w="0" w:type="auto"/>
            <w:gridSpan w:val="3"/>
            <w:shd w:val="clear" w:color="auto" w:fill="auto"/>
            <w:vAlign w:val="bottom"/>
          </w:tcPr>
          <w:p w14:paraId="74DD9A08" w14:textId="77777777" w:rsidR="00584EC1" w:rsidRDefault="00584EC1">
            <w:pPr>
              <w:rPr>
                <w:rFonts w:ascii="宋体"/>
                <w:vanish/>
              </w:rPr>
            </w:pPr>
          </w:p>
        </w:tc>
        <w:tc>
          <w:tcPr>
            <w:tcW w:w="0" w:type="auto"/>
            <w:shd w:val="clear" w:color="auto" w:fill="auto"/>
            <w:vAlign w:val="bottom"/>
          </w:tcPr>
          <w:p w14:paraId="74DD9A09" w14:textId="77777777" w:rsidR="00584EC1" w:rsidRDefault="00584EC1">
            <w:pPr>
              <w:rPr>
                <w:rFonts w:ascii="宋体"/>
              </w:rPr>
            </w:pPr>
          </w:p>
        </w:tc>
        <w:tc>
          <w:tcPr>
            <w:tcW w:w="0" w:type="auto"/>
            <w:shd w:val="clear" w:color="auto" w:fill="auto"/>
            <w:vAlign w:val="bottom"/>
          </w:tcPr>
          <w:p w14:paraId="74DD9A0A" w14:textId="77777777" w:rsidR="00584EC1" w:rsidRDefault="00584EC1">
            <w:pPr>
              <w:rPr>
                <w:rFonts w:ascii="宋体"/>
              </w:rPr>
            </w:pPr>
          </w:p>
        </w:tc>
        <w:tc>
          <w:tcPr>
            <w:tcW w:w="0" w:type="auto"/>
            <w:shd w:val="clear" w:color="auto" w:fill="auto"/>
            <w:vAlign w:val="bottom"/>
          </w:tcPr>
          <w:p w14:paraId="74DD9A0B" w14:textId="77777777" w:rsidR="00584EC1" w:rsidRDefault="00584EC1">
            <w:pPr>
              <w:rPr>
                <w:rFonts w:ascii="宋体"/>
              </w:rPr>
            </w:pPr>
          </w:p>
        </w:tc>
        <w:tc>
          <w:tcPr>
            <w:tcW w:w="0" w:type="auto"/>
            <w:shd w:val="clear" w:color="auto" w:fill="auto"/>
            <w:vAlign w:val="bottom"/>
          </w:tcPr>
          <w:p w14:paraId="74DD9A0C" w14:textId="77777777" w:rsidR="00584EC1" w:rsidRDefault="00584EC1">
            <w:pPr>
              <w:rPr>
                <w:rFonts w:ascii="宋体"/>
              </w:rPr>
            </w:pPr>
          </w:p>
        </w:tc>
        <w:tc>
          <w:tcPr>
            <w:tcW w:w="0" w:type="auto"/>
            <w:shd w:val="clear" w:color="auto" w:fill="auto"/>
            <w:vAlign w:val="bottom"/>
          </w:tcPr>
          <w:p w14:paraId="74DD9A0D" w14:textId="77777777" w:rsidR="00584EC1" w:rsidRDefault="00584EC1">
            <w:pPr>
              <w:rPr>
                <w:rFonts w:ascii="宋体"/>
              </w:rPr>
            </w:pPr>
          </w:p>
        </w:tc>
        <w:tc>
          <w:tcPr>
            <w:tcW w:w="0" w:type="auto"/>
            <w:shd w:val="clear" w:color="auto" w:fill="auto"/>
            <w:vAlign w:val="bottom"/>
          </w:tcPr>
          <w:p w14:paraId="74DD9A0E" w14:textId="77777777" w:rsidR="00584EC1" w:rsidRDefault="00584EC1">
            <w:pPr>
              <w:rPr>
                <w:rFonts w:ascii="宋体"/>
              </w:rPr>
            </w:pPr>
          </w:p>
        </w:tc>
      </w:tr>
      <w:tr w:rsidR="00584EC1" w14:paraId="74DD9A28" w14:textId="77777777">
        <w:tc>
          <w:tcPr>
            <w:tcW w:w="0" w:type="auto"/>
            <w:gridSpan w:val="9"/>
            <w:shd w:val="clear" w:color="auto" w:fill="CCEEFF"/>
            <w:tcMar>
              <w:top w:w="40" w:type="dxa"/>
              <w:left w:w="245" w:type="dxa"/>
              <w:bottom w:w="40" w:type="dxa"/>
              <w:right w:w="20" w:type="dxa"/>
            </w:tcMar>
            <w:vAlign w:val="bottom"/>
          </w:tcPr>
          <w:p w14:paraId="74DD9A10" w14:textId="77777777" w:rsidR="00584EC1" w:rsidRDefault="00871F8D">
            <w:pPr>
              <w:textAlignment w:val="bottom"/>
            </w:pPr>
            <w:r>
              <w:rPr>
                <w:rFonts w:ascii="Arial" w:eastAsia="宋体" w:hAnsi="Arial" w:cs="Arial"/>
                <w:color w:val="000000"/>
                <w:sz w:val="12"/>
                <w:szCs w:val="12"/>
              </w:rPr>
              <w:t>Allowance for credit losses</w:t>
            </w:r>
          </w:p>
        </w:tc>
        <w:tc>
          <w:tcPr>
            <w:tcW w:w="0" w:type="auto"/>
            <w:gridSpan w:val="2"/>
            <w:shd w:val="clear" w:color="auto" w:fill="CCEEFF"/>
            <w:tcMar>
              <w:top w:w="40" w:type="dxa"/>
              <w:left w:w="20" w:type="dxa"/>
              <w:bottom w:w="40" w:type="dxa"/>
              <w:right w:w="0" w:type="dxa"/>
            </w:tcMar>
            <w:vAlign w:val="bottom"/>
          </w:tcPr>
          <w:p w14:paraId="74DD9A11"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9A1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A13"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A14" w14:textId="77777777" w:rsidR="00584EC1" w:rsidRDefault="00871F8D">
            <w:pPr>
              <w:jc w:val="right"/>
              <w:textAlignment w:val="bottom"/>
            </w:pPr>
            <w:r>
              <w:rPr>
                <w:rFonts w:ascii="Arial" w:eastAsia="宋体" w:hAnsi="Arial" w:cs="Arial"/>
                <w:b/>
                <w:bCs/>
                <w:color w:val="000000"/>
                <w:sz w:val="12"/>
                <w:szCs w:val="12"/>
              </w:rPr>
              <w:t>117</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9A1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A1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A17" w14:textId="77777777" w:rsidR="00584EC1" w:rsidRDefault="00871F8D">
            <w:pPr>
              <w:jc w:val="right"/>
              <w:textAlignment w:val="bottom"/>
            </w:pPr>
            <w:r>
              <w:rPr>
                <w:rFonts w:ascii="Arial" w:eastAsia="宋体" w:hAnsi="Arial" w:cs="Arial"/>
                <w:color w:val="000000"/>
                <w:sz w:val="12"/>
                <w:szCs w:val="12"/>
              </w:rPr>
              <w:t>1 </w:t>
            </w:r>
          </w:p>
        </w:tc>
        <w:tc>
          <w:tcPr>
            <w:tcW w:w="0" w:type="auto"/>
            <w:shd w:val="clear" w:color="auto" w:fill="CCEEFF"/>
            <w:tcMar>
              <w:top w:w="40" w:type="dxa"/>
              <w:left w:w="0" w:type="dxa"/>
              <w:bottom w:w="40" w:type="dxa"/>
              <w:right w:w="20" w:type="dxa"/>
            </w:tcMar>
            <w:vAlign w:val="bottom"/>
          </w:tcPr>
          <w:p w14:paraId="74DD9A1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A1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A1A" w14:textId="77777777" w:rsidR="00584EC1" w:rsidRDefault="00871F8D">
            <w:pPr>
              <w:jc w:val="right"/>
              <w:textAlignment w:val="bottom"/>
            </w:pPr>
            <w:r>
              <w:rPr>
                <w:rFonts w:ascii="Arial" w:eastAsia="宋体" w:hAnsi="Arial" w:cs="Arial"/>
                <w:color w:val="000000"/>
                <w:sz w:val="12"/>
                <w:szCs w:val="12"/>
              </w:rPr>
              <w:t>148 </w:t>
            </w:r>
          </w:p>
        </w:tc>
        <w:tc>
          <w:tcPr>
            <w:tcW w:w="0" w:type="auto"/>
            <w:shd w:val="clear" w:color="auto" w:fill="CCEEFF"/>
            <w:tcMar>
              <w:top w:w="40" w:type="dxa"/>
              <w:left w:w="0" w:type="dxa"/>
              <w:bottom w:w="40" w:type="dxa"/>
              <w:right w:w="20" w:type="dxa"/>
            </w:tcMar>
            <w:vAlign w:val="bottom"/>
          </w:tcPr>
          <w:p w14:paraId="74DD9A1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A1C"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A1D"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9A1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A1F"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A20" w14:textId="77777777" w:rsidR="00584EC1" w:rsidRDefault="00871F8D">
            <w:pPr>
              <w:jc w:val="right"/>
              <w:textAlignment w:val="bottom"/>
            </w:pPr>
            <w:r>
              <w:rPr>
                <w:rFonts w:ascii="Arial" w:eastAsia="宋体" w:hAnsi="Arial" w:cs="Arial"/>
                <w:b/>
                <w:bCs/>
                <w:color w:val="000000"/>
                <w:sz w:val="12"/>
                <w:szCs w:val="12"/>
              </w:rPr>
              <w:t>117</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9A2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A22"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A23" w14:textId="77777777" w:rsidR="00584EC1" w:rsidRDefault="00871F8D">
            <w:pPr>
              <w:jc w:val="right"/>
              <w:textAlignment w:val="bottom"/>
            </w:pPr>
            <w:r>
              <w:rPr>
                <w:rFonts w:ascii="Arial" w:eastAsia="宋体" w:hAnsi="Arial" w:cs="Arial"/>
                <w:color w:val="000000"/>
                <w:sz w:val="12"/>
                <w:szCs w:val="12"/>
              </w:rPr>
              <w:t>10 </w:t>
            </w:r>
          </w:p>
        </w:tc>
        <w:tc>
          <w:tcPr>
            <w:tcW w:w="0" w:type="auto"/>
            <w:shd w:val="clear" w:color="auto" w:fill="CCEEFF"/>
            <w:tcMar>
              <w:top w:w="40" w:type="dxa"/>
              <w:left w:w="0" w:type="dxa"/>
              <w:bottom w:w="40" w:type="dxa"/>
              <w:right w:w="20" w:type="dxa"/>
            </w:tcMar>
            <w:vAlign w:val="bottom"/>
          </w:tcPr>
          <w:p w14:paraId="74DD9A2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A2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A26" w14:textId="77777777" w:rsidR="00584EC1" w:rsidRDefault="00871F8D">
            <w:pPr>
              <w:jc w:val="right"/>
              <w:textAlignment w:val="bottom"/>
            </w:pPr>
            <w:r>
              <w:rPr>
                <w:rFonts w:ascii="Arial" w:eastAsia="宋体" w:hAnsi="Arial" w:cs="Arial"/>
                <w:color w:val="000000"/>
                <w:sz w:val="12"/>
                <w:szCs w:val="12"/>
              </w:rPr>
              <w:t>148 </w:t>
            </w:r>
          </w:p>
        </w:tc>
        <w:tc>
          <w:tcPr>
            <w:tcW w:w="0" w:type="auto"/>
            <w:shd w:val="clear" w:color="auto" w:fill="CCEEFF"/>
            <w:tcMar>
              <w:top w:w="40" w:type="dxa"/>
              <w:left w:w="0" w:type="dxa"/>
              <w:bottom w:w="40" w:type="dxa"/>
              <w:right w:w="20" w:type="dxa"/>
            </w:tcMar>
            <w:vAlign w:val="bottom"/>
          </w:tcPr>
          <w:p w14:paraId="74DD9A27" w14:textId="77777777" w:rsidR="00584EC1" w:rsidRDefault="00584EC1">
            <w:pPr>
              <w:jc w:val="right"/>
              <w:rPr>
                <w:rFonts w:ascii="宋体"/>
              </w:rPr>
            </w:pPr>
          </w:p>
        </w:tc>
      </w:tr>
      <w:tr w:rsidR="00584EC1" w14:paraId="74DD9A3F" w14:textId="77777777">
        <w:trPr>
          <w:hidden/>
        </w:trPr>
        <w:tc>
          <w:tcPr>
            <w:tcW w:w="0" w:type="auto"/>
            <w:gridSpan w:val="3"/>
            <w:shd w:val="clear" w:color="auto" w:fill="auto"/>
            <w:vAlign w:val="bottom"/>
          </w:tcPr>
          <w:p w14:paraId="74DD9A29" w14:textId="77777777" w:rsidR="00584EC1" w:rsidRDefault="00584EC1">
            <w:pPr>
              <w:rPr>
                <w:rFonts w:ascii="宋体"/>
                <w:vanish/>
              </w:rPr>
            </w:pPr>
          </w:p>
        </w:tc>
        <w:tc>
          <w:tcPr>
            <w:tcW w:w="0" w:type="auto"/>
            <w:gridSpan w:val="3"/>
            <w:shd w:val="clear" w:color="auto" w:fill="auto"/>
            <w:vAlign w:val="bottom"/>
          </w:tcPr>
          <w:p w14:paraId="74DD9A2A" w14:textId="77777777" w:rsidR="00584EC1" w:rsidRDefault="00584EC1">
            <w:pPr>
              <w:rPr>
                <w:rFonts w:ascii="宋体"/>
                <w:vanish/>
              </w:rPr>
            </w:pPr>
          </w:p>
        </w:tc>
        <w:tc>
          <w:tcPr>
            <w:tcW w:w="0" w:type="auto"/>
            <w:gridSpan w:val="3"/>
            <w:shd w:val="clear" w:color="auto" w:fill="auto"/>
            <w:vAlign w:val="bottom"/>
          </w:tcPr>
          <w:p w14:paraId="74DD9A2B" w14:textId="77777777" w:rsidR="00584EC1" w:rsidRDefault="00584EC1">
            <w:pPr>
              <w:rPr>
                <w:rFonts w:ascii="宋体"/>
                <w:vanish/>
              </w:rPr>
            </w:pPr>
          </w:p>
        </w:tc>
        <w:tc>
          <w:tcPr>
            <w:tcW w:w="0" w:type="auto"/>
            <w:gridSpan w:val="3"/>
            <w:shd w:val="clear" w:color="auto" w:fill="auto"/>
            <w:vAlign w:val="bottom"/>
          </w:tcPr>
          <w:p w14:paraId="74DD9A2C" w14:textId="77777777" w:rsidR="00584EC1" w:rsidRDefault="00584EC1">
            <w:pPr>
              <w:rPr>
                <w:rFonts w:ascii="宋体"/>
                <w:vanish/>
              </w:rPr>
            </w:pPr>
          </w:p>
        </w:tc>
        <w:tc>
          <w:tcPr>
            <w:tcW w:w="0" w:type="auto"/>
            <w:gridSpan w:val="3"/>
            <w:shd w:val="clear" w:color="auto" w:fill="auto"/>
            <w:vAlign w:val="bottom"/>
          </w:tcPr>
          <w:p w14:paraId="74DD9A2D" w14:textId="77777777" w:rsidR="00584EC1" w:rsidRDefault="00584EC1">
            <w:pPr>
              <w:rPr>
                <w:rFonts w:ascii="宋体"/>
                <w:vanish/>
              </w:rPr>
            </w:pPr>
          </w:p>
        </w:tc>
        <w:tc>
          <w:tcPr>
            <w:tcW w:w="0" w:type="auto"/>
            <w:gridSpan w:val="3"/>
            <w:shd w:val="clear" w:color="auto" w:fill="auto"/>
            <w:vAlign w:val="bottom"/>
          </w:tcPr>
          <w:p w14:paraId="74DD9A2E" w14:textId="77777777" w:rsidR="00584EC1" w:rsidRDefault="00584EC1">
            <w:pPr>
              <w:rPr>
                <w:rFonts w:ascii="宋体"/>
                <w:vanish/>
              </w:rPr>
            </w:pPr>
          </w:p>
        </w:tc>
        <w:tc>
          <w:tcPr>
            <w:tcW w:w="0" w:type="auto"/>
            <w:gridSpan w:val="3"/>
            <w:shd w:val="clear" w:color="auto" w:fill="auto"/>
            <w:vAlign w:val="bottom"/>
          </w:tcPr>
          <w:p w14:paraId="74DD9A2F" w14:textId="77777777" w:rsidR="00584EC1" w:rsidRDefault="00584EC1">
            <w:pPr>
              <w:rPr>
                <w:rFonts w:ascii="宋体"/>
                <w:vanish/>
              </w:rPr>
            </w:pPr>
          </w:p>
        </w:tc>
        <w:tc>
          <w:tcPr>
            <w:tcW w:w="0" w:type="auto"/>
            <w:gridSpan w:val="3"/>
            <w:shd w:val="clear" w:color="auto" w:fill="auto"/>
            <w:vAlign w:val="bottom"/>
          </w:tcPr>
          <w:p w14:paraId="74DD9A30" w14:textId="77777777" w:rsidR="00584EC1" w:rsidRDefault="00584EC1">
            <w:pPr>
              <w:rPr>
                <w:rFonts w:ascii="宋体"/>
                <w:vanish/>
              </w:rPr>
            </w:pPr>
          </w:p>
        </w:tc>
        <w:tc>
          <w:tcPr>
            <w:tcW w:w="0" w:type="auto"/>
            <w:gridSpan w:val="3"/>
            <w:shd w:val="clear" w:color="auto" w:fill="auto"/>
            <w:vAlign w:val="bottom"/>
          </w:tcPr>
          <w:p w14:paraId="74DD9A31" w14:textId="77777777" w:rsidR="00584EC1" w:rsidRDefault="00584EC1">
            <w:pPr>
              <w:rPr>
                <w:rFonts w:ascii="宋体"/>
                <w:vanish/>
              </w:rPr>
            </w:pPr>
          </w:p>
        </w:tc>
        <w:tc>
          <w:tcPr>
            <w:tcW w:w="0" w:type="auto"/>
            <w:gridSpan w:val="3"/>
            <w:shd w:val="clear" w:color="auto" w:fill="auto"/>
            <w:vAlign w:val="bottom"/>
          </w:tcPr>
          <w:p w14:paraId="74DD9A32" w14:textId="77777777" w:rsidR="00584EC1" w:rsidRDefault="00584EC1">
            <w:pPr>
              <w:rPr>
                <w:rFonts w:ascii="宋体"/>
                <w:vanish/>
              </w:rPr>
            </w:pPr>
          </w:p>
        </w:tc>
        <w:tc>
          <w:tcPr>
            <w:tcW w:w="0" w:type="auto"/>
            <w:gridSpan w:val="3"/>
            <w:shd w:val="clear" w:color="auto" w:fill="auto"/>
            <w:vAlign w:val="bottom"/>
          </w:tcPr>
          <w:p w14:paraId="74DD9A33" w14:textId="77777777" w:rsidR="00584EC1" w:rsidRDefault="00584EC1">
            <w:pPr>
              <w:rPr>
                <w:rFonts w:ascii="宋体"/>
                <w:vanish/>
              </w:rPr>
            </w:pPr>
          </w:p>
        </w:tc>
        <w:tc>
          <w:tcPr>
            <w:tcW w:w="0" w:type="auto"/>
            <w:gridSpan w:val="3"/>
            <w:shd w:val="clear" w:color="auto" w:fill="auto"/>
            <w:vAlign w:val="bottom"/>
          </w:tcPr>
          <w:p w14:paraId="74DD9A34" w14:textId="77777777" w:rsidR="00584EC1" w:rsidRDefault="00584EC1">
            <w:pPr>
              <w:rPr>
                <w:rFonts w:ascii="宋体"/>
                <w:vanish/>
              </w:rPr>
            </w:pPr>
          </w:p>
        </w:tc>
        <w:tc>
          <w:tcPr>
            <w:tcW w:w="0" w:type="auto"/>
            <w:gridSpan w:val="3"/>
            <w:shd w:val="clear" w:color="auto" w:fill="auto"/>
            <w:vAlign w:val="bottom"/>
          </w:tcPr>
          <w:p w14:paraId="74DD9A35" w14:textId="77777777" w:rsidR="00584EC1" w:rsidRDefault="00584EC1">
            <w:pPr>
              <w:rPr>
                <w:rFonts w:ascii="宋体"/>
                <w:vanish/>
              </w:rPr>
            </w:pPr>
          </w:p>
        </w:tc>
        <w:tc>
          <w:tcPr>
            <w:tcW w:w="0" w:type="auto"/>
            <w:gridSpan w:val="3"/>
            <w:shd w:val="clear" w:color="auto" w:fill="auto"/>
            <w:vAlign w:val="bottom"/>
          </w:tcPr>
          <w:p w14:paraId="74DD9A36" w14:textId="77777777" w:rsidR="00584EC1" w:rsidRDefault="00584EC1">
            <w:pPr>
              <w:rPr>
                <w:rFonts w:ascii="宋体"/>
                <w:vanish/>
              </w:rPr>
            </w:pPr>
          </w:p>
        </w:tc>
        <w:tc>
          <w:tcPr>
            <w:tcW w:w="0" w:type="auto"/>
            <w:gridSpan w:val="3"/>
            <w:shd w:val="clear" w:color="auto" w:fill="auto"/>
            <w:vAlign w:val="bottom"/>
          </w:tcPr>
          <w:p w14:paraId="74DD9A37" w14:textId="77777777" w:rsidR="00584EC1" w:rsidRDefault="00584EC1">
            <w:pPr>
              <w:rPr>
                <w:rFonts w:ascii="宋体"/>
                <w:vanish/>
              </w:rPr>
            </w:pPr>
          </w:p>
        </w:tc>
        <w:tc>
          <w:tcPr>
            <w:tcW w:w="0" w:type="auto"/>
            <w:gridSpan w:val="3"/>
            <w:shd w:val="clear" w:color="auto" w:fill="auto"/>
            <w:vAlign w:val="bottom"/>
          </w:tcPr>
          <w:p w14:paraId="74DD9A38" w14:textId="77777777" w:rsidR="00584EC1" w:rsidRDefault="00584EC1">
            <w:pPr>
              <w:rPr>
                <w:rFonts w:ascii="宋体"/>
                <w:vanish/>
              </w:rPr>
            </w:pPr>
          </w:p>
        </w:tc>
        <w:tc>
          <w:tcPr>
            <w:tcW w:w="0" w:type="auto"/>
            <w:shd w:val="clear" w:color="auto" w:fill="auto"/>
            <w:vAlign w:val="bottom"/>
          </w:tcPr>
          <w:p w14:paraId="74DD9A39" w14:textId="77777777" w:rsidR="00584EC1" w:rsidRDefault="00584EC1">
            <w:pPr>
              <w:rPr>
                <w:rFonts w:ascii="宋体"/>
              </w:rPr>
            </w:pPr>
          </w:p>
        </w:tc>
        <w:tc>
          <w:tcPr>
            <w:tcW w:w="0" w:type="auto"/>
            <w:shd w:val="clear" w:color="auto" w:fill="auto"/>
            <w:vAlign w:val="bottom"/>
          </w:tcPr>
          <w:p w14:paraId="74DD9A3A" w14:textId="77777777" w:rsidR="00584EC1" w:rsidRDefault="00584EC1">
            <w:pPr>
              <w:rPr>
                <w:rFonts w:ascii="宋体"/>
              </w:rPr>
            </w:pPr>
          </w:p>
        </w:tc>
        <w:tc>
          <w:tcPr>
            <w:tcW w:w="0" w:type="auto"/>
            <w:shd w:val="clear" w:color="auto" w:fill="auto"/>
            <w:vAlign w:val="bottom"/>
          </w:tcPr>
          <w:p w14:paraId="74DD9A3B" w14:textId="77777777" w:rsidR="00584EC1" w:rsidRDefault="00584EC1">
            <w:pPr>
              <w:rPr>
                <w:rFonts w:ascii="宋体"/>
              </w:rPr>
            </w:pPr>
          </w:p>
        </w:tc>
        <w:tc>
          <w:tcPr>
            <w:tcW w:w="0" w:type="auto"/>
            <w:shd w:val="clear" w:color="auto" w:fill="auto"/>
            <w:vAlign w:val="bottom"/>
          </w:tcPr>
          <w:p w14:paraId="74DD9A3C" w14:textId="77777777" w:rsidR="00584EC1" w:rsidRDefault="00584EC1">
            <w:pPr>
              <w:rPr>
                <w:rFonts w:ascii="宋体"/>
              </w:rPr>
            </w:pPr>
          </w:p>
        </w:tc>
        <w:tc>
          <w:tcPr>
            <w:tcW w:w="0" w:type="auto"/>
            <w:shd w:val="clear" w:color="auto" w:fill="auto"/>
            <w:vAlign w:val="bottom"/>
          </w:tcPr>
          <w:p w14:paraId="74DD9A3D" w14:textId="77777777" w:rsidR="00584EC1" w:rsidRDefault="00584EC1">
            <w:pPr>
              <w:rPr>
                <w:rFonts w:ascii="宋体"/>
              </w:rPr>
            </w:pPr>
          </w:p>
        </w:tc>
        <w:tc>
          <w:tcPr>
            <w:tcW w:w="0" w:type="auto"/>
            <w:shd w:val="clear" w:color="auto" w:fill="auto"/>
            <w:vAlign w:val="bottom"/>
          </w:tcPr>
          <w:p w14:paraId="74DD9A3E" w14:textId="77777777" w:rsidR="00584EC1" w:rsidRDefault="00584EC1">
            <w:pPr>
              <w:rPr>
                <w:rFonts w:ascii="宋体"/>
              </w:rPr>
            </w:pPr>
          </w:p>
        </w:tc>
      </w:tr>
      <w:tr w:rsidR="00871F8D" w14:paraId="74DD9A60" w14:textId="77777777">
        <w:tc>
          <w:tcPr>
            <w:tcW w:w="0" w:type="auto"/>
            <w:gridSpan w:val="9"/>
            <w:shd w:val="clear" w:color="auto" w:fill="FFFFFF"/>
            <w:tcMar>
              <w:top w:w="40" w:type="dxa"/>
              <w:left w:w="20" w:type="dxa"/>
              <w:bottom w:w="40" w:type="dxa"/>
              <w:right w:w="20" w:type="dxa"/>
            </w:tcMar>
            <w:vAlign w:val="bottom"/>
          </w:tcPr>
          <w:p w14:paraId="74DD9A40" w14:textId="77777777" w:rsidR="00584EC1" w:rsidRDefault="00871F8D">
            <w:pPr>
              <w:textAlignment w:val="bottom"/>
            </w:pPr>
            <w:r>
              <w:rPr>
                <w:rFonts w:ascii="Arial" w:eastAsia="宋体" w:hAnsi="Arial" w:cs="Arial"/>
                <w:b/>
                <w:bCs/>
                <w:color w:val="000000"/>
                <w:sz w:val="12"/>
                <w:szCs w:val="12"/>
              </w:rPr>
              <w:t> Total capital</w:t>
            </w:r>
          </w:p>
        </w:tc>
        <w:tc>
          <w:tcPr>
            <w:tcW w:w="0" w:type="auto"/>
            <w:tcBorders>
              <w:top w:val="single" w:sz="8" w:space="0" w:color="000000"/>
            </w:tcBorders>
            <w:shd w:val="clear" w:color="auto" w:fill="FFFFFF"/>
            <w:tcMar>
              <w:top w:w="40" w:type="dxa"/>
              <w:left w:w="20" w:type="dxa"/>
              <w:bottom w:w="40" w:type="dxa"/>
              <w:right w:w="0" w:type="dxa"/>
            </w:tcMar>
            <w:vAlign w:val="bottom"/>
          </w:tcPr>
          <w:p w14:paraId="74DD9A41"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9A42" w14:textId="77777777" w:rsidR="00584EC1" w:rsidRDefault="00871F8D">
            <w:pPr>
              <w:jc w:val="right"/>
              <w:textAlignment w:val="bottom"/>
            </w:pPr>
            <w:r>
              <w:rPr>
                <w:rFonts w:ascii="Arial" w:eastAsia="宋体" w:hAnsi="Arial" w:cs="Arial"/>
                <w:b/>
                <w:bCs/>
                <w:color w:val="000000"/>
                <w:sz w:val="12"/>
                <w:szCs w:val="12"/>
              </w:rPr>
              <w:t>19,397</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9A4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A44"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9A45"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9A46" w14:textId="77777777" w:rsidR="00584EC1" w:rsidRDefault="00871F8D">
            <w:pPr>
              <w:jc w:val="right"/>
              <w:textAlignment w:val="bottom"/>
            </w:pPr>
            <w:r>
              <w:rPr>
                <w:rFonts w:ascii="Arial" w:eastAsia="宋体" w:hAnsi="Arial" w:cs="Arial"/>
                <w:b/>
                <w:bCs/>
                <w:color w:val="000000"/>
                <w:sz w:val="12"/>
                <w:szCs w:val="12"/>
              </w:rPr>
              <w:t>19,514</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9A4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A48"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9A49"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9A4A" w14:textId="77777777" w:rsidR="00584EC1" w:rsidRDefault="00871F8D">
            <w:pPr>
              <w:jc w:val="right"/>
              <w:textAlignment w:val="bottom"/>
            </w:pPr>
            <w:r>
              <w:rPr>
                <w:rFonts w:ascii="Arial" w:eastAsia="宋体" w:hAnsi="Arial" w:cs="Arial"/>
                <w:color w:val="000000"/>
                <w:sz w:val="12"/>
                <w:szCs w:val="12"/>
              </w:rPr>
              <w:t>17,810 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9A4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A4C"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9A4D"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9A4E" w14:textId="77777777" w:rsidR="00584EC1" w:rsidRDefault="00871F8D">
            <w:pPr>
              <w:jc w:val="right"/>
              <w:textAlignment w:val="bottom"/>
            </w:pPr>
            <w:r>
              <w:rPr>
                <w:rFonts w:ascii="Arial" w:eastAsia="宋体" w:hAnsi="Arial" w:cs="Arial"/>
                <w:color w:val="000000"/>
                <w:sz w:val="12"/>
                <w:szCs w:val="12"/>
              </w:rPr>
              <w:t>17,957 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9A4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A50"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9A51"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9A52" w14:textId="77777777" w:rsidR="00584EC1" w:rsidRDefault="00871F8D">
            <w:pPr>
              <w:jc w:val="right"/>
              <w:textAlignment w:val="bottom"/>
            </w:pPr>
            <w:r>
              <w:rPr>
                <w:rFonts w:ascii="Arial" w:eastAsia="宋体" w:hAnsi="Arial" w:cs="Arial"/>
                <w:b/>
                <w:bCs/>
                <w:color w:val="000000"/>
                <w:sz w:val="12"/>
                <w:szCs w:val="12"/>
              </w:rPr>
              <w:t>19,044</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9A5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A54"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9A55"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9A56" w14:textId="77777777" w:rsidR="00584EC1" w:rsidRDefault="00871F8D">
            <w:pPr>
              <w:jc w:val="right"/>
              <w:textAlignment w:val="bottom"/>
            </w:pPr>
            <w:r>
              <w:rPr>
                <w:rFonts w:ascii="Arial" w:eastAsia="宋体" w:hAnsi="Arial" w:cs="Arial"/>
                <w:b/>
                <w:bCs/>
                <w:color w:val="000000"/>
                <w:sz w:val="12"/>
                <w:szCs w:val="12"/>
              </w:rPr>
              <w:t>19,161</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9A5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A58"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9A59"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9A5A" w14:textId="77777777" w:rsidR="00584EC1" w:rsidRDefault="00871F8D">
            <w:pPr>
              <w:jc w:val="right"/>
              <w:textAlignment w:val="bottom"/>
            </w:pPr>
            <w:r>
              <w:rPr>
                <w:rFonts w:ascii="Arial" w:eastAsia="宋体" w:hAnsi="Arial" w:cs="Arial"/>
                <w:color w:val="000000"/>
                <w:sz w:val="12"/>
                <w:szCs w:val="12"/>
              </w:rPr>
              <w:t>18,282 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9A5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A5C"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9A5D"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9A5E" w14:textId="77777777" w:rsidR="00584EC1" w:rsidRDefault="00871F8D">
            <w:pPr>
              <w:jc w:val="right"/>
              <w:textAlignment w:val="bottom"/>
            </w:pPr>
            <w:r>
              <w:rPr>
                <w:rFonts w:ascii="Arial" w:eastAsia="宋体" w:hAnsi="Arial" w:cs="Arial"/>
                <w:color w:val="000000"/>
                <w:sz w:val="12"/>
                <w:szCs w:val="12"/>
              </w:rPr>
              <w:t>18,420 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9A5F" w14:textId="77777777" w:rsidR="00584EC1" w:rsidRDefault="00584EC1">
            <w:pPr>
              <w:jc w:val="right"/>
              <w:rPr>
                <w:rFonts w:ascii="宋体"/>
              </w:rPr>
            </w:pPr>
          </w:p>
        </w:tc>
      </w:tr>
      <w:tr w:rsidR="00584EC1" w14:paraId="74DD9A71" w14:textId="77777777">
        <w:tc>
          <w:tcPr>
            <w:tcW w:w="0" w:type="auto"/>
            <w:gridSpan w:val="9"/>
            <w:shd w:val="clear" w:color="auto" w:fill="CCEEFF"/>
            <w:tcMar>
              <w:top w:w="40" w:type="dxa"/>
              <w:left w:w="20" w:type="dxa"/>
              <w:bottom w:w="40" w:type="dxa"/>
              <w:right w:w="20" w:type="dxa"/>
            </w:tcMar>
            <w:vAlign w:val="bottom"/>
          </w:tcPr>
          <w:p w14:paraId="74DD9A61" w14:textId="77777777" w:rsidR="00584EC1" w:rsidRDefault="00871F8D">
            <w:pPr>
              <w:textAlignment w:val="bottom"/>
            </w:pPr>
            <w:r>
              <w:rPr>
                <w:rFonts w:ascii="Arial" w:eastAsia="宋体" w:hAnsi="Arial" w:cs="Arial"/>
                <w:b/>
                <w:bCs/>
                <w:color w:val="000000"/>
                <w:sz w:val="12"/>
                <w:szCs w:val="12"/>
              </w:rPr>
              <w:t> Risk-weighted assets:</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4DD9A62"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9A63" w14:textId="77777777" w:rsidR="00584EC1" w:rsidRDefault="00584EC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4DD9A64"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9A65" w14:textId="77777777" w:rsidR="00584EC1" w:rsidRDefault="00584EC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4DD9A66"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9A67" w14:textId="77777777" w:rsidR="00584EC1" w:rsidRDefault="00584EC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4DD9A68"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9A69" w14:textId="77777777" w:rsidR="00584EC1" w:rsidRDefault="00584EC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4DD9A6A"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9A6B" w14:textId="77777777" w:rsidR="00584EC1" w:rsidRDefault="00584EC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4DD9A6C"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9A6D" w14:textId="77777777" w:rsidR="00584EC1" w:rsidRDefault="00584EC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4DD9A6E"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9A6F" w14:textId="77777777" w:rsidR="00584EC1" w:rsidRDefault="00584EC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4DD9A70" w14:textId="77777777" w:rsidR="00584EC1" w:rsidRDefault="00584EC1">
            <w:pPr>
              <w:rPr>
                <w:rFonts w:ascii="宋体"/>
              </w:rPr>
            </w:pPr>
          </w:p>
        </w:tc>
      </w:tr>
      <w:tr w:rsidR="00584EC1" w14:paraId="74DD9A84" w14:textId="77777777">
        <w:trPr>
          <w:hidden/>
        </w:trPr>
        <w:tc>
          <w:tcPr>
            <w:tcW w:w="0" w:type="auto"/>
            <w:gridSpan w:val="3"/>
            <w:shd w:val="clear" w:color="auto" w:fill="auto"/>
            <w:vAlign w:val="bottom"/>
          </w:tcPr>
          <w:p w14:paraId="74DD9A72" w14:textId="77777777" w:rsidR="00584EC1" w:rsidRDefault="00584EC1">
            <w:pPr>
              <w:rPr>
                <w:rFonts w:ascii="宋体"/>
                <w:vanish/>
              </w:rPr>
            </w:pPr>
          </w:p>
        </w:tc>
        <w:tc>
          <w:tcPr>
            <w:tcW w:w="0" w:type="auto"/>
            <w:gridSpan w:val="3"/>
            <w:shd w:val="clear" w:color="auto" w:fill="auto"/>
            <w:vAlign w:val="bottom"/>
          </w:tcPr>
          <w:p w14:paraId="74DD9A73" w14:textId="77777777" w:rsidR="00584EC1" w:rsidRDefault="00584EC1">
            <w:pPr>
              <w:rPr>
                <w:rFonts w:ascii="宋体"/>
                <w:vanish/>
              </w:rPr>
            </w:pPr>
          </w:p>
        </w:tc>
        <w:tc>
          <w:tcPr>
            <w:tcW w:w="0" w:type="auto"/>
            <w:gridSpan w:val="3"/>
            <w:shd w:val="clear" w:color="auto" w:fill="auto"/>
            <w:vAlign w:val="bottom"/>
          </w:tcPr>
          <w:p w14:paraId="74DD9A74" w14:textId="77777777" w:rsidR="00584EC1" w:rsidRDefault="00584EC1">
            <w:pPr>
              <w:rPr>
                <w:rFonts w:ascii="宋体"/>
                <w:vanish/>
              </w:rPr>
            </w:pPr>
          </w:p>
        </w:tc>
        <w:tc>
          <w:tcPr>
            <w:tcW w:w="0" w:type="auto"/>
            <w:gridSpan w:val="3"/>
            <w:shd w:val="clear" w:color="auto" w:fill="auto"/>
            <w:vAlign w:val="bottom"/>
          </w:tcPr>
          <w:p w14:paraId="74DD9A75" w14:textId="77777777" w:rsidR="00584EC1" w:rsidRDefault="00584EC1">
            <w:pPr>
              <w:rPr>
                <w:rFonts w:ascii="宋体"/>
                <w:vanish/>
              </w:rPr>
            </w:pPr>
          </w:p>
        </w:tc>
        <w:tc>
          <w:tcPr>
            <w:tcW w:w="0" w:type="auto"/>
            <w:gridSpan w:val="3"/>
            <w:shd w:val="clear" w:color="auto" w:fill="auto"/>
            <w:vAlign w:val="bottom"/>
          </w:tcPr>
          <w:p w14:paraId="74DD9A76" w14:textId="77777777" w:rsidR="00584EC1" w:rsidRDefault="00584EC1">
            <w:pPr>
              <w:rPr>
                <w:rFonts w:ascii="宋体"/>
                <w:vanish/>
              </w:rPr>
            </w:pPr>
          </w:p>
        </w:tc>
        <w:tc>
          <w:tcPr>
            <w:tcW w:w="0" w:type="auto"/>
            <w:gridSpan w:val="3"/>
            <w:shd w:val="clear" w:color="auto" w:fill="auto"/>
            <w:vAlign w:val="bottom"/>
          </w:tcPr>
          <w:p w14:paraId="74DD9A77" w14:textId="77777777" w:rsidR="00584EC1" w:rsidRDefault="00584EC1">
            <w:pPr>
              <w:rPr>
                <w:rFonts w:ascii="宋体"/>
                <w:vanish/>
              </w:rPr>
            </w:pPr>
          </w:p>
        </w:tc>
        <w:tc>
          <w:tcPr>
            <w:tcW w:w="0" w:type="auto"/>
            <w:gridSpan w:val="3"/>
            <w:shd w:val="clear" w:color="auto" w:fill="auto"/>
            <w:vAlign w:val="bottom"/>
          </w:tcPr>
          <w:p w14:paraId="74DD9A78" w14:textId="77777777" w:rsidR="00584EC1" w:rsidRDefault="00584EC1">
            <w:pPr>
              <w:rPr>
                <w:rFonts w:ascii="宋体"/>
                <w:vanish/>
              </w:rPr>
            </w:pPr>
          </w:p>
        </w:tc>
        <w:tc>
          <w:tcPr>
            <w:tcW w:w="0" w:type="auto"/>
            <w:gridSpan w:val="3"/>
            <w:shd w:val="clear" w:color="auto" w:fill="auto"/>
            <w:vAlign w:val="bottom"/>
          </w:tcPr>
          <w:p w14:paraId="74DD9A79" w14:textId="77777777" w:rsidR="00584EC1" w:rsidRDefault="00584EC1">
            <w:pPr>
              <w:rPr>
                <w:rFonts w:ascii="宋体"/>
                <w:vanish/>
              </w:rPr>
            </w:pPr>
          </w:p>
        </w:tc>
        <w:tc>
          <w:tcPr>
            <w:tcW w:w="0" w:type="auto"/>
            <w:gridSpan w:val="3"/>
            <w:shd w:val="clear" w:color="auto" w:fill="auto"/>
            <w:vAlign w:val="bottom"/>
          </w:tcPr>
          <w:p w14:paraId="74DD9A7A" w14:textId="77777777" w:rsidR="00584EC1" w:rsidRDefault="00584EC1">
            <w:pPr>
              <w:rPr>
                <w:rFonts w:ascii="宋体"/>
                <w:vanish/>
              </w:rPr>
            </w:pPr>
          </w:p>
        </w:tc>
        <w:tc>
          <w:tcPr>
            <w:tcW w:w="0" w:type="auto"/>
            <w:gridSpan w:val="3"/>
            <w:shd w:val="clear" w:color="auto" w:fill="auto"/>
            <w:vAlign w:val="bottom"/>
          </w:tcPr>
          <w:p w14:paraId="74DD9A7B" w14:textId="77777777" w:rsidR="00584EC1" w:rsidRDefault="00584EC1">
            <w:pPr>
              <w:rPr>
                <w:rFonts w:ascii="宋体"/>
                <w:vanish/>
              </w:rPr>
            </w:pPr>
          </w:p>
        </w:tc>
        <w:tc>
          <w:tcPr>
            <w:tcW w:w="0" w:type="auto"/>
            <w:gridSpan w:val="3"/>
            <w:shd w:val="clear" w:color="auto" w:fill="auto"/>
            <w:vAlign w:val="bottom"/>
          </w:tcPr>
          <w:p w14:paraId="74DD9A7C" w14:textId="77777777" w:rsidR="00584EC1" w:rsidRDefault="00584EC1">
            <w:pPr>
              <w:rPr>
                <w:rFonts w:ascii="宋体"/>
                <w:vanish/>
              </w:rPr>
            </w:pPr>
          </w:p>
        </w:tc>
        <w:tc>
          <w:tcPr>
            <w:tcW w:w="0" w:type="auto"/>
            <w:gridSpan w:val="3"/>
            <w:shd w:val="clear" w:color="auto" w:fill="auto"/>
            <w:vAlign w:val="bottom"/>
          </w:tcPr>
          <w:p w14:paraId="74DD9A7D" w14:textId="77777777" w:rsidR="00584EC1" w:rsidRDefault="00584EC1">
            <w:pPr>
              <w:rPr>
                <w:rFonts w:ascii="宋体"/>
                <w:vanish/>
              </w:rPr>
            </w:pPr>
          </w:p>
        </w:tc>
        <w:tc>
          <w:tcPr>
            <w:tcW w:w="0" w:type="auto"/>
            <w:gridSpan w:val="3"/>
            <w:shd w:val="clear" w:color="auto" w:fill="auto"/>
            <w:vAlign w:val="bottom"/>
          </w:tcPr>
          <w:p w14:paraId="74DD9A7E" w14:textId="77777777" w:rsidR="00584EC1" w:rsidRDefault="00584EC1">
            <w:pPr>
              <w:rPr>
                <w:rFonts w:ascii="宋体"/>
                <w:vanish/>
              </w:rPr>
            </w:pPr>
          </w:p>
        </w:tc>
        <w:tc>
          <w:tcPr>
            <w:tcW w:w="0" w:type="auto"/>
            <w:gridSpan w:val="3"/>
            <w:shd w:val="clear" w:color="auto" w:fill="auto"/>
            <w:vAlign w:val="bottom"/>
          </w:tcPr>
          <w:p w14:paraId="74DD9A7F" w14:textId="77777777" w:rsidR="00584EC1" w:rsidRDefault="00584EC1">
            <w:pPr>
              <w:rPr>
                <w:rFonts w:ascii="宋体"/>
                <w:vanish/>
              </w:rPr>
            </w:pPr>
          </w:p>
        </w:tc>
        <w:tc>
          <w:tcPr>
            <w:tcW w:w="0" w:type="auto"/>
            <w:gridSpan w:val="3"/>
            <w:shd w:val="clear" w:color="auto" w:fill="auto"/>
            <w:vAlign w:val="bottom"/>
          </w:tcPr>
          <w:p w14:paraId="74DD9A80" w14:textId="77777777" w:rsidR="00584EC1" w:rsidRDefault="00584EC1">
            <w:pPr>
              <w:rPr>
                <w:rFonts w:ascii="宋体"/>
                <w:vanish/>
              </w:rPr>
            </w:pPr>
          </w:p>
        </w:tc>
        <w:tc>
          <w:tcPr>
            <w:tcW w:w="0" w:type="auto"/>
            <w:gridSpan w:val="3"/>
            <w:shd w:val="clear" w:color="auto" w:fill="auto"/>
            <w:vAlign w:val="bottom"/>
          </w:tcPr>
          <w:p w14:paraId="74DD9A81" w14:textId="77777777" w:rsidR="00584EC1" w:rsidRDefault="00584EC1">
            <w:pPr>
              <w:rPr>
                <w:rFonts w:ascii="宋体"/>
                <w:vanish/>
              </w:rPr>
            </w:pPr>
          </w:p>
        </w:tc>
        <w:tc>
          <w:tcPr>
            <w:tcW w:w="0" w:type="auto"/>
            <w:gridSpan w:val="3"/>
            <w:shd w:val="clear" w:color="auto" w:fill="auto"/>
            <w:vAlign w:val="bottom"/>
          </w:tcPr>
          <w:p w14:paraId="74DD9A82" w14:textId="77777777" w:rsidR="00584EC1" w:rsidRDefault="00584EC1">
            <w:pPr>
              <w:rPr>
                <w:rFonts w:ascii="宋体"/>
                <w:vanish/>
              </w:rPr>
            </w:pPr>
          </w:p>
        </w:tc>
        <w:tc>
          <w:tcPr>
            <w:tcW w:w="0" w:type="auto"/>
            <w:gridSpan w:val="3"/>
            <w:shd w:val="clear" w:color="auto" w:fill="auto"/>
            <w:vAlign w:val="bottom"/>
          </w:tcPr>
          <w:p w14:paraId="74DD9A83" w14:textId="77777777" w:rsidR="00584EC1" w:rsidRDefault="00584EC1">
            <w:pPr>
              <w:rPr>
                <w:rFonts w:ascii="宋体"/>
                <w:vanish/>
              </w:rPr>
            </w:pPr>
          </w:p>
        </w:tc>
      </w:tr>
      <w:tr w:rsidR="00584EC1" w14:paraId="74DD9A97" w14:textId="77777777">
        <w:trPr>
          <w:hidden/>
        </w:trPr>
        <w:tc>
          <w:tcPr>
            <w:tcW w:w="0" w:type="auto"/>
            <w:gridSpan w:val="3"/>
            <w:shd w:val="clear" w:color="auto" w:fill="auto"/>
            <w:vAlign w:val="bottom"/>
          </w:tcPr>
          <w:p w14:paraId="74DD9A85" w14:textId="77777777" w:rsidR="00584EC1" w:rsidRDefault="00584EC1">
            <w:pPr>
              <w:rPr>
                <w:rFonts w:ascii="宋体"/>
                <w:vanish/>
              </w:rPr>
            </w:pPr>
          </w:p>
        </w:tc>
        <w:tc>
          <w:tcPr>
            <w:tcW w:w="0" w:type="auto"/>
            <w:gridSpan w:val="3"/>
            <w:shd w:val="clear" w:color="auto" w:fill="auto"/>
            <w:vAlign w:val="bottom"/>
          </w:tcPr>
          <w:p w14:paraId="74DD9A86" w14:textId="77777777" w:rsidR="00584EC1" w:rsidRDefault="00584EC1">
            <w:pPr>
              <w:rPr>
                <w:rFonts w:ascii="宋体"/>
                <w:vanish/>
              </w:rPr>
            </w:pPr>
          </w:p>
        </w:tc>
        <w:tc>
          <w:tcPr>
            <w:tcW w:w="0" w:type="auto"/>
            <w:gridSpan w:val="3"/>
            <w:shd w:val="clear" w:color="auto" w:fill="auto"/>
            <w:vAlign w:val="bottom"/>
          </w:tcPr>
          <w:p w14:paraId="74DD9A87" w14:textId="77777777" w:rsidR="00584EC1" w:rsidRDefault="00584EC1">
            <w:pPr>
              <w:rPr>
                <w:rFonts w:ascii="宋体"/>
                <w:vanish/>
              </w:rPr>
            </w:pPr>
          </w:p>
        </w:tc>
        <w:tc>
          <w:tcPr>
            <w:tcW w:w="0" w:type="auto"/>
            <w:gridSpan w:val="3"/>
            <w:shd w:val="clear" w:color="auto" w:fill="auto"/>
            <w:vAlign w:val="bottom"/>
          </w:tcPr>
          <w:p w14:paraId="74DD9A88" w14:textId="77777777" w:rsidR="00584EC1" w:rsidRDefault="00584EC1">
            <w:pPr>
              <w:rPr>
                <w:rFonts w:ascii="宋体"/>
                <w:vanish/>
              </w:rPr>
            </w:pPr>
          </w:p>
        </w:tc>
        <w:tc>
          <w:tcPr>
            <w:tcW w:w="0" w:type="auto"/>
            <w:gridSpan w:val="3"/>
            <w:shd w:val="clear" w:color="auto" w:fill="auto"/>
            <w:vAlign w:val="bottom"/>
          </w:tcPr>
          <w:p w14:paraId="74DD9A89" w14:textId="77777777" w:rsidR="00584EC1" w:rsidRDefault="00584EC1">
            <w:pPr>
              <w:rPr>
                <w:rFonts w:ascii="宋体"/>
                <w:vanish/>
              </w:rPr>
            </w:pPr>
          </w:p>
        </w:tc>
        <w:tc>
          <w:tcPr>
            <w:tcW w:w="0" w:type="auto"/>
            <w:gridSpan w:val="3"/>
            <w:shd w:val="clear" w:color="auto" w:fill="auto"/>
            <w:vAlign w:val="bottom"/>
          </w:tcPr>
          <w:p w14:paraId="74DD9A8A" w14:textId="77777777" w:rsidR="00584EC1" w:rsidRDefault="00584EC1">
            <w:pPr>
              <w:rPr>
                <w:rFonts w:ascii="宋体"/>
                <w:vanish/>
              </w:rPr>
            </w:pPr>
          </w:p>
        </w:tc>
        <w:tc>
          <w:tcPr>
            <w:tcW w:w="0" w:type="auto"/>
            <w:gridSpan w:val="3"/>
            <w:shd w:val="clear" w:color="auto" w:fill="auto"/>
            <w:vAlign w:val="bottom"/>
          </w:tcPr>
          <w:p w14:paraId="74DD9A8B" w14:textId="77777777" w:rsidR="00584EC1" w:rsidRDefault="00584EC1">
            <w:pPr>
              <w:rPr>
                <w:rFonts w:ascii="宋体"/>
                <w:vanish/>
              </w:rPr>
            </w:pPr>
          </w:p>
        </w:tc>
        <w:tc>
          <w:tcPr>
            <w:tcW w:w="0" w:type="auto"/>
            <w:gridSpan w:val="3"/>
            <w:shd w:val="clear" w:color="auto" w:fill="auto"/>
            <w:vAlign w:val="bottom"/>
          </w:tcPr>
          <w:p w14:paraId="74DD9A8C" w14:textId="77777777" w:rsidR="00584EC1" w:rsidRDefault="00584EC1">
            <w:pPr>
              <w:rPr>
                <w:rFonts w:ascii="宋体"/>
                <w:vanish/>
              </w:rPr>
            </w:pPr>
          </w:p>
        </w:tc>
        <w:tc>
          <w:tcPr>
            <w:tcW w:w="0" w:type="auto"/>
            <w:gridSpan w:val="3"/>
            <w:shd w:val="clear" w:color="auto" w:fill="auto"/>
            <w:vAlign w:val="bottom"/>
          </w:tcPr>
          <w:p w14:paraId="74DD9A8D" w14:textId="77777777" w:rsidR="00584EC1" w:rsidRDefault="00584EC1">
            <w:pPr>
              <w:rPr>
                <w:rFonts w:ascii="宋体"/>
                <w:vanish/>
              </w:rPr>
            </w:pPr>
          </w:p>
        </w:tc>
        <w:tc>
          <w:tcPr>
            <w:tcW w:w="0" w:type="auto"/>
            <w:gridSpan w:val="3"/>
            <w:shd w:val="clear" w:color="auto" w:fill="auto"/>
            <w:vAlign w:val="bottom"/>
          </w:tcPr>
          <w:p w14:paraId="74DD9A8E" w14:textId="77777777" w:rsidR="00584EC1" w:rsidRDefault="00584EC1">
            <w:pPr>
              <w:rPr>
                <w:rFonts w:ascii="宋体"/>
                <w:vanish/>
              </w:rPr>
            </w:pPr>
          </w:p>
        </w:tc>
        <w:tc>
          <w:tcPr>
            <w:tcW w:w="0" w:type="auto"/>
            <w:gridSpan w:val="3"/>
            <w:shd w:val="clear" w:color="auto" w:fill="auto"/>
            <w:vAlign w:val="bottom"/>
          </w:tcPr>
          <w:p w14:paraId="74DD9A8F" w14:textId="77777777" w:rsidR="00584EC1" w:rsidRDefault="00584EC1">
            <w:pPr>
              <w:rPr>
                <w:rFonts w:ascii="宋体"/>
                <w:vanish/>
              </w:rPr>
            </w:pPr>
          </w:p>
        </w:tc>
        <w:tc>
          <w:tcPr>
            <w:tcW w:w="0" w:type="auto"/>
            <w:gridSpan w:val="3"/>
            <w:shd w:val="clear" w:color="auto" w:fill="auto"/>
            <w:vAlign w:val="bottom"/>
          </w:tcPr>
          <w:p w14:paraId="74DD9A90" w14:textId="77777777" w:rsidR="00584EC1" w:rsidRDefault="00584EC1">
            <w:pPr>
              <w:rPr>
                <w:rFonts w:ascii="宋体"/>
                <w:vanish/>
              </w:rPr>
            </w:pPr>
          </w:p>
        </w:tc>
        <w:tc>
          <w:tcPr>
            <w:tcW w:w="0" w:type="auto"/>
            <w:gridSpan w:val="3"/>
            <w:shd w:val="clear" w:color="auto" w:fill="auto"/>
            <w:vAlign w:val="bottom"/>
          </w:tcPr>
          <w:p w14:paraId="74DD9A91" w14:textId="77777777" w:rsidR="00584EC1" w:rsidRDefault="00584EC1">
            <w:pPr>
              <w:rPr>
                <w:rFonts w:ascii="宋体"/>
                <w:vanish/>
              </w:rPr>
            </w:pPr>
          </w:p>
        </w:tc>
        <w:tc>
          <w:tcPr>
            <w:tcW w:w="0" w:type="auto"/>
            <w:gridSpan w:val="3"/>
            <w:shd w:val="clear" w:color="auto" w:fill="auto"/>
            <w:vAlign w:val="bottom"/>
          </w:tcPr>
          <w:p w14:paraId="74DD9A92" w14:textId="77777777" w:rsidR="00584EC1" w:rsidRDefault="00584EC1">
            <w:pPr>
              <w:rPr>
                <w:rFonts w:ascii="宋体"/>
                <w:vanish/>
              </w:rPr>
            </w:pPr>
          </w:p>
        </w:tc>
        <w:tc>
          <w:tcPr>
            <w:tcW w:w="0" w:type="auto"/>
            <w:gridSpan w:val="3"/>
            <w:shd w:val="clear" w:color="auto" w:fill="auto"/>
            <w:vAlign w:val="bottom"/>
          </w:tcPr>
          <w:p w14:paraId="74DD9A93" w14:textId="77777777" w:rsidR="00584EC1" w:rsidRDefault="00584EC1">
            <w:pPr>
              <w:rPr>
                <w:rFonts w:ascii="宋体"/>
                <w:vanish/>
              </w:rPr>
            </w:pPr>
          </w:p>
        </w:tc>
        <w:tc>
          <w:tcPr>
            <w:tcW w:w="0" w:type="auto"/>
            <w:gridSpan w:val="3"/>
            <w:shd w:val="clear" w:color="auto" w:fill="auto"/>
            <w:vAlign w:val="bottom"/>
          </w:tcPr>
          <w:p w14:paraId="74DD9A94" w14:textId="77777777" w:rsidR="00584EC1" w:rsidRDefault="00584EC1">
            <w:pPr>
              <w:rPr>
                <w:rFonts w:ascii="宋体"/>
                <w:vanish/>
              </w:rPr>
            </w:pPr>
          </w:p>
        </w:tc>
        <w:tc>
          <w:tcPr>
            <w:tcW w:w="0" w:type="auto"/>
            <w:gridSpan w:val="3"/>
            <w:shd w:val="clear" w:color="auto" w:fill="auto"/>
            <w:vAlign w:val="bottom"/>
          </w:tcPr>
          <w:p w14:paraId="74DD9A95" w14:textId="77777777" w:rsidR="00584EC1" w:rsidRDefault="00584EC1">
            <w:pPr>
              <w:rPr>
                <w:rFonts w:ascii="宋体"/>
                <w:vanish/>
              </w:rPr>
            </w:pPr>
          </w:p>
        </w:tc>
        <w:tc>
          <w:tcPr>
            <w:tcW w:w="0" w:type="auto"/>
            <w:gridSpan w:val="3"/>
            <w:shd w:val="clear" w:color="auto" w:fill="auto"/>
            <w:vAlign w:val="bottom"/>
          </w:tcPr>
          <w:p w14:paraId="74DD9A96" w14:textId="77777777" w:rsidR="00584EC1" w:rsidRDefault="00584EC1">
            <w:pPr>
              <w:rPr>
                <w:rFonts w:ascii="宋体"/>
                <w:vanish/>
              </w:rPr>
            </w:pPr>
          </w:p>
        </w:tc>
      </w:tr>
      <w:tr w:rsidR="00584EC1" w14:paraId="74DD9AAA" w14:textId="77777777">
        <w:trPr>
          <w:hidden/>
        </w:trPr>
        <w:tc>
          <w:tcPr>
            <w:tcW w:w="0" w:type="auto"/>
            <w:gridSpan w:val="3"/>
            <w:shd w:val="clear" w:color="auto" w:fill="auto"/>
            <w:vAlign w:val="bottom"/>
          </w:tcPr>
          <w:p w14:paraId="74DD9A98" w14:textId="77777777" w:rsidR="00584EC1" w:rsidRDefault="00584EC1">
            <w:pPr>
              <w:rPr>
                <w:rFonts w:ascii="宋体"/>
                <w:vanish/>
              </w:rPr>
            </w:pPr>
          </w:p>
        </w:tc>
        <w:tc>
          <w:tcPr>
            <w:tcW w:w="0" w:type="auto"/>
            <w:gridSpan w:val="3"/>
            <w:shd w:val="clear" w:color="auto" w:fill="auto"/>
            <w:vAlign w:val="bottom"/>
          </w:tcPr>
          <w:p w14:paraId="74DD9A99" w14:textId="77777777" w:rsidR="00584EC1" w:rsidRDefault="00584EC1">
            <w:pPr>
              <w:rPr>
                <w:rFonts w:ascii="宋体"/>
                <w:vanish/>
              </w:rPr>
            </w:pPr>
          </w:p>
        </w:tc>
        <w:tc>
          <w:tcPr>
            <w:tcW w:w="0" w:type="auto"/>
            <w:gridSpan w:val="3"/>
            <w:shd w:val="clear" w:color="auto" w:fill="auto"/>
            <w:vAlign w:val="bottom"/>
          </w:tcPr>
          <w:p w14:paraId="74DD9A9A" w14:textId="77777777" w:rsidR="00584EC1" w:rsidRDefault="00584EC1">
            <w:pPr>
              <w:rPr>
                <w:rFonts w:ascii="宋体"/>
                <w:vanish/>
              </w:rPr>
            </w:pPr>
          </w:p>
        </w:tc>
        <w:tc>
          <w:tcPr>
            <w:tcW w:w="0" w:type="auto"/>
            <w:gridSpan w:val="3"/>
            <w:shd w:val="clear" w:color="auto" w:fill="auto"/>
            <w:vAlign w:val="bottom"/>
          </w:tcPr>
          <w:p w14:paraId="74DD9A9B" w14:textId="77777777" w:rsidR="00584EC1" w:rsidRDefault="00584EC1">
            <w:pPr>
              <w:rPr>
                <w:rFonts w:ascii="宋体"/>
                <w:vanish/>
              </w:rPr>
            </w:pPr>
          </w:p>
        </w:tc>
        <w:tc>
          <w:tcPr>
            <w:tcW w:w="0" w:type="auto"/>
            <w:gridSpan w:val="3"/>
            <w:shd w:val="clear" w:color="auto" w:fill="auto"/>
            <w:vAlign w:val="bottom"/>
          </w:tcPr>
          <w:p w14:paraId="74DD9A9C" w14:textId="77777777" w:rsidR="00584EC1" w:rsidRDefault="00584EC1">
            <w:pPr>
              <w:rPr>
                <w:rFonts w:ascii="宋体"/>
                <w:vanish/>
              </w:rPr>
            </w:pPr>
          </w:p>
        </w:tc>
        <w:tc>
          <w:tcPr>
            <w:tcW w:w="0" w:type="auto"/>
            <w:gridSpan w:val="3"/>
            <w:shd w:val="clear" w:color="auto" w:fill="auto"/>
            <w:vAlign w:val="bottom"/>
          </w:tcPr>
          <w:p w14:paraId="74DD9A9D" w14:textId="77777777" w:rsidR="00584EC1" w:rsidRDefault="00584EC1">
            <w:pPr>
              <w:rPr>
                <w:rFonts w:ascii="宋体"/>
                <w:vanish/>
              </w:rPr>
            </w:pPr>
          </w:p>
        </w:tc>
        <w:tc>
          <w:tcPr>
            <w:tcW w:w="0" w:type="auto"/>
            <w:gridSpan w:val="3"/>
            <w:shd w:val="clear" w:color="auto" w:fill="auto"/>
            <w:vAlign w:val="bottom"/>
          </w:tcPr>
          <w:p w14:paraId="74DD9A9E" w14:textId="77777777" w:rsidR="00584EC1" w:rsidRDefault="00584EC1">
            <w:pPr>
              <w:rPr>
                <w:rFonts w:ascii="宋体"/>
                <w:vanish/>
              </w:rPr>
            </w:pPr>
          </w:p>
        </w:tc>
        <w:tc>
          <w:tcPr>
            <w:tcW w:w="0" w:type="auto"/>
            <w:gridSpan w:val="3"/>
            <w:shd w:val="clear" w:color="auto" w:fill="auto"/>
            <w:vAlign w:val="bottom"/>
          </w:tcPr>
          <w:p w14:paraId="74DD9A9F" w14:textId="77777777" w:rsidR="00584EC1" w:rsidRDefault="00584EC1">
            <w:pPr>
              <w:rPr>
                <w:rFonts w:ascii="宋体"/>
                <w:vanish/>
              </w:rPr>
            </w:pPr>
          </w:p>
        </w:tc>
        <w:tc>
          <w:tcPr>
            <w:tcW w:w="0" w:type="auto"/>
            <w:gridSpan w:val="3"/>
            <w:shd w:val="clear" w:color="auto" w:fill="auto"/>
            <w:vAlign w:val="bottom"/>
          </w:tcPr>
          <w:p w14:paraId="74DD9AA0" w14:textId="77777777" w:rsidR="00584EC1" w:rsidRDefault="00584EC1">
            <w:pPr>
              <w:rPr>
                <w:rFonts w:ascii="宋体"/>
                <w:vanish/>
              </w:rPr>
            </w:pPr>
          </w:p>
        </w:tc>
        <w:tc>
          <w:tcPr>
            <w:tcW w:w="0" w:type="auto"/>
            <w:gridSpan w:val="3"/>
            <w:shd w:val="clear" w:color="auto" w:fill="auto"/>
            <w:vAlign w:val="bottom"/>
          </w:tcPr>
          <w:p w14:paraId="74DD9AA1" w14:textId="77777777" w:rsidR="00584EC1" w:rsidRDefault="00584EC1">
            <w:pPr>
              <w:rPr>
                <w:rFonts w:ascii="宋体"/>
                <w:vanish/>
              </w:rPr>
            </w:pPr>
          </w:p>
        </w:tc>
        <w:tc>
          <w:tcPr>
            <w:tcW w:w="0" w:type="auto"/>
            <w:gridSpan w:val="3"/>
            <w:shd w:val="clear" w:color="auto" w:fill="auto"/>
            <w:vAlign w:val="bottom"/>
          </w:tcPr>
          <w:p w14:paraId="74DD9AA2" w14:textId="77777777" w:rsidR="00584EC1" w:rsidRDefault="00584EC1">
            <w:pPr>
              <w:rPr>
                <w:rFonts w:ascii="宋体"/>
                <w:vanish/>
              </w:rPr>
            </w:pPr>
          </w:p>
        </w:tc>
        <w:tc>
          <w:tcPr>
            <w:tcW w:w="0" w:type="auto"/>
            <w:gridSpan w:val="3"/>
            <w:shd w:val="clear" w:color="auto" w:fill="auto"/>
            <w:vAlign w:val="bottom"/>
          </w:tcPr>
          <w:p w14:paraId="74DD9AA3" w14:textId="77777777" w:rsidR="00584EC1" w:rsidRDefault="00584EC1">
            <w:pPr>
              <w:rPr>
                <w:rFonts w:ascii="宋体"/>
                <w:vanish/>
              </w:rPr>
            </w:pPr>
          </w:p>
        </w:tc>
        <w:tc>
          <w:tcPr>
            <w:tcW w:w="0" w:type="auto"/>
            <w:gridSpan w:val="3"/>
            <w:shd w:val="clear" w:color="auto" w:fill="auto"/>
            <w:vAlign w:val="bottom"/>
          </w:tcPr>
          <w:p w14:paraId="74DD9AA4" w14:textId="77777777" w:rsidR="00584EC1" w:rsidRDefault="00584EC1">
            <w:pPr>
              <w:rPr>
                <w:rFonts w:ascii="宋体"/>
                <w:vanish/>
              </w:rPr>
            </w:pPr>
          </w:p>
        </w:tc>
        <w:tc>
          <w:tcPr>
            <w:tcW w:w="0" w:type="auto"/>
            <w:gridSpan w:val="3"/>
            <w:shd w:val="clear" w:color="auto" w:fill="auto"/>
            <w:vAlign w:val="bottom"/>
          </w:tcPr>
          <w:p w14:paraId="74DD9AA5" w14:textId="77777777" w:rsidR="00584EC1" w:rsidRDefault="00584EC1">
            <w:pPr>
              <w:rPr>
                <w:rFonts w:ascii="宋体"/>
                <w:vanish/>
              </w:rPr>
            </w:pPr>
          </w:p>
        </w:tc>
        <w:tc>
          <w:tcPr>
            <w:tcW w:w="0" w:type="auto"/>
            <w:gridSpan w:val="3"/>
            <w:shd w:val="clear" w:color="auto" w:fill="auto"/>
            <w:vAlign w:val="bottom"/>
          </w:tcPr>
          <w:p w14:paraId="74DD9AA6" w14:textId="77777777" w:rsidR="00584EC1" w:rsidRDefault="00584EC1">
            <w:pPr>
              <w:rPr>
                <w:rFonts w:ascii="宋体"/>
                <w:vanish/>
              </w:rPr>
            </w:pPr>
          </w:p>
        </w:tc>
        <w:tc>
          <w:tcPr>
            <w:tcW w:w="0" w:type="auto"/>
            <w:gridSpan w:val="3"/>
            <w:shd w:val="clear" w:color="auto" w:fill="auto"/>
            <w:vAlign w:val="bottom"/>
          </w:tcPr>
          <w:p w14:paraId="74DD9AA7" w14:textId="77777777" w:rsidR="00584EC1" w:rsidRDefault="00584EC1">
            <w:pPr>
              <w:rPr>
                <w:rFonts w:ascii="宋体"/>
                <w:vanish/>
              </w:rPr>
            </w:pPr>
          </w:p>
        </w:tc>
        <w:tc>
          <w:tcPr>
            <w:tcW w:w="0" w:type="auto"/>
            <w:gridSpan w:val="3"/>
            <w:shd w:val="clear" w:color="auto" w:fill="auto"/>
            <w:vAlign w:val="bottom"/>
          </w:tcPr>
          <w:p w14:paraId="74DD9AA8" w14:textId="77777777" w:rsidR="00584EC1" w:rsidRDefault="00584EC1">
            <w:pPr>
              <w:rPr>
                <w:rFonts w:ascii="宋体"/>
                <w:vanish/>
              </w:rPr>
            </w:pPr>
          </w:p>
        </w:tc>
        <w:tc>
          <w:tcPr>
            <w:tcW w:w="0" w:type="auto"/>
            <w:gridSpan w:val="3"/>
            <w:shd w:val="clear" w:color="auto" w:fill="auto"/>
            <w:vAlign w:val="bottom"/>
          </w:tcPr>
          <w:p w14:paraId="74DD9AA9" w14:textId="77777777" w:rsidR="00584EC1" w:rsidRDefault="00584EC1">
            <w:pPr>
              <w:rPr>
                <w:rFonts w:ascii="宋体"/>
                <w:vanish/>
              </w:rPr>
            </w:pPr>
          </w:p>
        </w:tc>
      </w:tr>
      <w:tr w:rsidR="00584EC1" w14:paraId="74DD9ABD" w14:textId="77777777">
        <w:trPr>
          <w:hidden/>
        </w:trPr>
        <w:tc>
          <w:tcPr>
            <w:tcW w:w="0" w:type="auto"/>
            <w:gridSpan w:val="3"/>
            <w:shd w:val="clear" w:color="auto" w:fill="auto"/>
            <w:vAlign w:val="bottom"/>
          </w:tcPr>
          <w:p w14:paraId="74DD9AAB" w14:textId="77777777" w:rsidR="00584EC1" w:rsidRDefault="00584EC1">
            <w:pPr>
              <w:rPr>
                <w:rFonts w:ascii="宋体"/>
                <w:vanish/>
              </w:rPr>
            </w:pPr>
          </w:p>
        </w:tc>
        <w:tc>
          <w:tcPr>
            <w:tcW w:w="0" w:type="auto"/>
            <w:gridSpan w:val="3"/>
            <w:shd w:val="clear" w:color="auto" w:fill="auto"/>
            <w:vAlign w:val="bottom"/>
          </w:tcPr>
          <w:p w14:paraId="74DD9AAC" w14:textId="77777777" w:rsidR="00584EC1" w:rsidRDefault="00584EC1">
            <w:pPr>
              <w:rPr>
                <w:rFonts w:ascii="宋体"/>
                <w:vanish/>
              </w:rPr>
            </w:pPr>
          </w:p>
        </w:tc>
        <w:tc>
          <w:tcPr>
            <w:tcW w:w="0" w:type="auto"/>
            <w:gridSpan w:val="3"/>
            <w:shd w:val="clear" w:color="auto" w:fill="auto"/>
            <w:vAlign w:val="bottom"/>
          </w:tcPr>
          <w:p w14:paraId="74DD9AAD" w14:textId="77777777" w:rsidR="00584EC1" w:rsidRDefault="00584EC1">
            <w:pPr>
              <w:rPr>
                <w:rFonts w:ascii="宋体"/>
                <w:vanish/>
              </w:rPr>
            </w:pPr>
          </w:p>
        </w:tc>
        <w:tc>
          <w:tcPr>
            <w:tcW w:w="0" w:type="auto"/>
            <w:gridSpan w:val="3"/>
            <w:shd w:val="clear" w:color="auto" w:fill="auto"/>
            <w:vAlign w:val="bottom"/>
          </w:tcPr>
          <w:p w14:paraId="74DD9AAE" w14:textId="77777777" w:rsidR="00584EC1" w:rsidRDefault="00584EC1">
            <w:pPr>
              <w:rPr>
                <w:rFonts w:ascii="宋体"/>
                <w:vanish/>
              </w:rPr>
            </w:pPr>
          </w:p>
        </w:tc>
        <w:tc>
          <w:tcPr>
            <w:tcW w:w="0" w:type="auto"/>
            <w:gridSpan w:val="3"/>
            <w:shd w:val="clear" w:color="auto" w:fill="auto"/>
            <w:vAlign w:val="bottom"/>
          </w:tcPr>
          <w:p w14:paraId="74DD9AAF" w14:textId="77777777" w:rsidR="00584EC1" w:rsidRDefault="00584EC1">
            <w:pPr>
              <w:rPr>
                <w:rFonts w:ascii="宋体"/>
                <w:vanish/>
              </w:rPr>
            </w:pPr>
          </w:p>
        </w:tc>
        <w:tc>
          <w:tcPr>
            <w:tcW w:w="0" w:type="auto"/>
            <w:gridSpan w:val="3"/>
            <w:shd w:val="clear" w:color="auto" w:fill="auto"/>
            <w:vAlign w:val="bottom"/>
          </w:tcPr>
          <w:p w14:paraId="74DD9AB0" w14:textId="77777777" w:rsidR="00584EC1" w:rsidRDefault="00584EC1">
            <w:pPr>
              <w:rPr>
                <w:rFonts w:ascii="宋体"/>
                <w:vanish/>
              </w:rPr>
            </w:pPr>
          </w:p>
        </w:tc>
        <w:tc>
          <w:tcPr>
            <w:tcW w:w="0" w:type="auto"/>
            <w:gridSpan w:val="3"/>
            <w:shd w:val="clear" w:color="auto" w:fill="auto"/>
            <w:vAlign w:val="bottom"/>
          </w:tcPr>
          <w:p w14:paraId="74DD9AB1" w14:textId="77777777" w:rsidR="00584EC1" w:rsidRDefault="00584EC1">
            <w:pPr>
              <w:rPr>
                <w:rFonts w:ascii="宋体"/>
                <w:vanish/>
              </w:rPr>
            </w:pPr>
          </w:p>
        </w:tc>
        <w:tc>
          <w:tcPr>
            <w:tcW w:w="0" w:type="auto"/>
            <w:gridSpan w:val="3"/>
            <w:shd w:val="clear" w:color="auto" w:fill="auto"/>
            <w:vAlign w:val="bottom"/>
          </w:tcPr>
          <w:p w14:paraId="74DD9AB2" w14:textId="77777777" w:rsidR="00584EC1" w:rsidRDefault="00584EC1">
            <w:pPr>
              <w:rPr>
                <w:rFonts w:ascii="宋体"/>
                <w:vanish/>
              </w:rPr>
            </w:pPr>
          </w:p>
        </w:tc>
        <w:tc>
          <w:tcPr>
            <w:tcW w:w="0" w:type="auto"/>
            <w:gridSpan w:val="3"/>
            <w:shd w:val="clear" w:color="auto" w:fill="auto"/>
            <w:vAlign w:val="bottom"/>
          </w:tcPr>
          <w:p w14:paraId="74DD9AB3" w14:textId="77777777" w:rsidR="00584EC1" w:rsidRDefault="00584EC1">
            <w:pPr>
              <w:rPr>
                <w:rFonts w:ascii="宋体"/>
                <w:vanish/>
              </w:rPr>
            </w:pPr>
          </w:p>
        </w:tc>
        <w:tc>
          <w:tcPr>
            <w:tcW w:w="0" w:type="auto"/>
            <w:gridSpan w:val="3"/>
            <w:shd w:val="clear" w:color="auto" w:fill="auto"/>
            <w:vAlign w:val="bottom"/>
          </w:tcPr>
          <w:p w14:paraId="74DD9AB4" w14:textId="77777777" w:rsidR="00584EC1" w:rsidRDefault="00584EC1">
            <w:pPr>
              <w:rPr>
                <w:rFonts w:ascii="宋体"/>
                <w:vanish/>
              </w:rPr>
            </w:pPr>
          </w:p>
        </w:tc>
        <w:tc>
          <w:tcPr>
            <w:tcW w:w="0" w:type="auto"/>
            <w:gridSpan w:val="3"/>
            <w:shd w:val="clear" w:color="auto" w:fill="auto"/>
            <w:vAlign w:val="bottom"/>
          </w:tcPr>
          <w:p w14:paraId="74DD9AB5" w14:textId="77777777" w:rsidR="00584EC1" w:rsidRDefault="00584EC1">
            <w:pPr>
              <w:rPr>
                <w:rFonts w:ascii="宋体"/>
                <w:vanish/>
              </w:rPr>
            </w:pPr>
          </w:p>
        </w:tc>
        <w:tc>
          <w:tcPr>
            <w:tcW w:w="0" w:type="auto"/>
            <w:gridSpan w:val="3"/>
            <w:shd w:val="clear" w:color="auto" w:fill="auto"/>
            <w:vAlign w:val="bottom"/>
          </w:tcPr>
          <w:p w14:paraId="74DD9AB6" w14:textId="77777777" w:rsidR="00584EC1" w:rsidRDefault="00584EC1">
            <w:pPr>
              <w:rPr>
                <w:rFonts w:ascii="宋体"/>
                <w:vanish/>
              </w:rPr>
            </w:pPr>
          </w:p>
        </w:tc>
        <w:tc>
          <w:tcPr>
            <w:tcW w:w="0" w:type="auto"/>
            <w:gridSpan w:val="3"/>
            <w:shd w:val="clear" w:color="auto" w:fill="auto"/>
            <w:vAlign w:val="bottom"/>
          </w:tcPr>
          <w:p w14:paraId="74DD9AB7" w14:textId="77777777" w:rsidR="00584EC1" w:rsidRDefault="00584EC1">
            <w:pPr>
              <w:rPr>
                <w:rFonts w:ascii="宋体"/>
                <w:vanish/>
              </w:rPr>
            </w:pPr>
          </w:p>
        </w:tc>
        <w:tc>
          <w:tcPr>
            <w:tcW w:w="0" w:type="auto"/>
            <w:gridSpan w:val="3"/>
            <w:shd w:val="clear" w:color="auto" w:fill="auto"/>
            <w:vAlign w:val="bottom"/>
          </w:tcPr>
          <w:p w14:paraId="74DD9AB8" w14:textId="77777777" w:rsidR="00584EC1" w:rsidRDefault="00584EC1">
            <w:pPr>
              <w:rPr>
                <w:rFonts w:ascii="宋体"/>
                <w:vanish/>
              </w:rPr>
            </w:pPr>
          </w:p>
        </w:tc>
        <w:tc>
          <w:tcPr>
            <w:tcW w:w="0" w:type="auto"/>
            <w:gridSpan w:val="3"/>
            <w:shd w:val="clear" w:color="auto" w:fill="auto"/>
            <w:vAlign w:val="bottom"/>
          </w:tcPr>
          <w:p w14:paraId="74DD9AB9" w14:textId="77777777" w:rsidR="00584EC1" w:rsidRDefault="00584EC1">
            <w:pPr>
              <w:rPr>
                <w:rFonts w:ascii="宋体"/>
                <w:vanish/>
              </w:rPr>
            </w:pPr>
          </w:p>
        </w:tc>
        <w:tc>
          <w:tcPr>
            <w:tcW w:w="0" w:type="auto"/>
            <w:gridSpan w:val="3"/>
            <w:shd w:val="clear" w:color="auto" w:fill="auto"/>
            <w:vAlign w:val="bottom"/>
          </w:tcPr>
          <w:p w14:paraId="74DD9ABA" w14:textId="77777777" w:rsidR="00584EC1" w:rsidRDefault="00584EC1">
            <w:pPr>
              <w:rPr>
                <w:rFonts w:ascii="宋体"/>
                <w:vanish/>
              </w:rPr>
            </w:pPr>
          </w:p>
        </w:tc>
        <w:tc>
          <w:tcPr>
            <w:tcW w:w="0" w:type="auto"/>
            <w:gridSpan w:val="3"/>
            <w:shd w:val="clear" w:color="auto" w:fill="auto"/>
            <w:vAlign w:val="bottom"/>
          </w:tcPr>
          <w:p w14:paraId="74DD9ABB" w14:textId="77777777" w:rsidR="00584EC1" w:rsidRDefault="00584EC1">
            <w:pPr>
              <w:rPr>
                <w:rFonts w:ascii="宋体"/>
                <w:vanish/>
              </w:rPr>
            </w:pPr>
          </w:p>
        </w:tc>
        <w:tc>
          <w:tcPr>
            <w:tcW w:w="0" w:type="auto"/>
            <w:gridSpan w:val="3"/>
            <w:shd w:val="clear" w:color="auto" w:fill="auto"/>
            <w:vAlign w:val="bottom"/>
          </w:tcPr>
          <w:p w14:paraId="74DD9ABC" w14:textId="77777777" w:rsidR="00584EC1" w:rsidRDefault="00584EC1">
            <w:pPr>
              <w:rPr>
                <w:rFonts w:ascii="宋体"/>
                <w:vanish/>
              </w:rPr>
            </w:pPr>
          </w:p>
        </w:tc>
      </w:tr>
      <w:tr w:rsidR="00584EC1" w14:paraId="74DD9AD0" w14:textId="77777777">
        <w:trPr>
          <w:hidden/>
        </w:trPr>
        <w:tc>
          <w:tcPr>
            <w:tcW w:w="0" w:type="auto"/>
            <w:gridSpan w:val="3"/>
            <w:shd w:val="clear" w:color="auto" w:fill="auto"/>
            <w:vAlign w:val="bottom"/>
          </w:tcPr>
          <w:p w14:paraId="74DD9ABE" w14:textId="77777777" w:rsidR="00584EC1" w:rsidRDefault="00584EC1">
            <w:pPr>
              <w:rPr>
                <w:rFonts w:ascii="宋体"/>
                <w:vanish/>
              </w:rPr>
            </w:pPr>
          </w:p>
        </w:tc>
        <w:tc>
          <w:tcPr>
            <w:tcW w:w="0" w:type="auto"/>
            <w:gridSpan w:val="3"/>
            <w:shd w:val="clear" w:color="auto" w:fill="auto"/>
            <w:vAlign w:val="bottom"/>
          </w:tcPr>
          <w:p w14:paraId="74DD9ABF" w14:textId="77777777" w:rsidR="00584EC1" w:rsidRDefault="00584EC1">
            <w:pPr>
              <w:rPr>
                <w:rFonts w:ascii="宋体"/>
                <w:vanish/>
              </w:rPr>
            </w:pPr>
          </w:p>
        </w:tc>
        <w:tc>
          <w:tcPr>
            <w:tcW w:w="0" w:type="auto"/>
            <w:gridSpan w:val="3"/>
            <w:shd w:val="clear" w:color="auto" w:fill="auto"/>
            <w:vAlign w:val="bottom"/>
          </w:tcPr>
          <w:p w14:paraId="74DD9AC0" w14:textId="77777777" w:rsidR="00584EC1" w:rsidRDefault="00584EC1">
            <w:pPr>
              <w:rPr>
                <w:rFonts w:ascii="宋体"/>
                <w:vanish/>
              </w:rPr>
            </w:pPr>
          </w:p>
        </w:tc>
        <w:tc>
          <w:tcPr>
            <w:tcW w:w="0" w:type="auto"/>
            <w:gridSpan w:val="3"/>
            <w:shd w:val="clear" w:color="auto" w:fill="auto"/>
            <w:vAlign w:val="bottom"/>
          </w:tcPr>
          <w:p w14:paraId="74DD9AC1" w14:textId="77777777" w:rsidR="00584EC1" w:rsidRDefault="00584EC1">
            <w:pPr>
              <w:rPr>
                <w:rFonts w:ascii="宋体"/>
                <w:vanish/>
              </w:rPr>
            </w:pPr>
          </w:p>
        </w:tc>
        <w:tc>
          <w:tcPr>
            <w:tcW w:w="0" w:type="auto"/>
            <w:gridSpan w:val="3"/>
            <w:shd w:val="clear" w:color="auto" w:fill="auto"/>
            <w:vAlign w:val="bottom"/>
          </w:tcPr>
          <w:p w14:paraId="74DD9AC2" w14:textId="77777777" w:rsidR="00584EC1" w:rsidRDefault="00584EC1">
            <w:pPr>
              <w:rPr>
                <w:rFonts w:ascii="宋体"/>
                <w:vanish/>
              </w:rPr>
            </w:pPr>
          </w:p>
        </w:tc>
        <w:tc>
          <w:tcPr>
            <w:tcW w:w="0" w:type="auto"/>
            <w:gridSpan w:val="3"/>
            <w:shd w:val="clear" w:color="auto" w:fill="auto"/>
            <w:vAlign w:val="bottom"/>
          </w:tcPr>
          <w:p w14:paraId="74DD9AC3" w14:textId="77777777" w:rsidR="00584EC1" w:rsidRDefault="00584EC1">
            <w:pPr>
              <w:rPr>
                <w:rFonts w:ascii="宋体"/>
                <w:vanish/>
              </w:rPr>
            </w:pPr>
          </w:p>
        </w:tc>
        <w:tc>
          <w:tcPr>
            <w:tcW w:w="0" w:type="auto"/>
            <w:gridSpan w:val="3"/>
            <w:shd w:val="clear" w:color="auto" w:fill="auto"/>
            <w:vAlign w:val="bottom"/>
          </w:tcPr>
          <w:p w14:paraId="74DD9AC4" w14:textId="77777777" w:rsidR="00584EC1" w:rsidRDefault="00584EC1">
            <w:pPr>
              <w:rPr>
                <w:rFonts w:ascii="宋体"/>
                <w:vanish/>
              </w:rPr>
            </w:pPr>
          </w:p>
        </w:tc>
        <w:tc>
          <w:tcPr>
            <w:tcW w:w="0" w:type="auto"/>
            <w:gridSpan w:val="3"/>
            <w:shd w:val="clear" w:color="auto" w:fill="auto"/>
            <w:vAlign w:val="bottom"/>
          </w:tcPr>
          <w:p w14:paraId="74DD9AC5" w14:textId="77777777" w:rsidR="00584EC1" w:rsidRDefault="00584EC1">
            <w:pPr>
              <w:rPr>
                <w:rFonts w:ascii="宋体"/>
                <w:vanish/>
              </w:rPr>
            </w:pPr>
          </w:p>
        </w:tc>
        <w:tc>
          <w:tcPr>
            <w:tcW w:w="0" w:type="auto"/>
            <w:gridSpan w:val="3"/>
            <w:shd w:val="clear" w:color="auto" w:fill="auto"/>
            <w:vAlign w:val="bottom"/>
          </w:tcPr>
          <w:p w14:paraId="74DD9AC6" w14:textId="77777777" w:rsidR="00584EC1" w:rsidRDefault="00584EC1">
            <w:pPr>
              <w:rPr>
                <w:rFonts w:ascii="宋体"/>
                <w:vanish/>
              </w:rPr>
            </w:pPr>
          </w:p>
        </w:tc>
        <w:tc>
          <w:tcPr>
            <w:tcW w:w="0" w:type="auto"/>
            <w:gridSpan w:val="3"/>
            <w:shd w:val="clear" w:color="auto" w:fill="auto"/>
            <w:vAlign w:val="bottom"/>
          </w:tcPr>
          <w:p w14:paraId="74DD9AC7" w14:textId="77777777" w:rsidR="00584EC1" w:rsidRDefault="00584EC1">
            <w:pPr>
              <w:rPr>
                <w:rFonts w:ascii="宋体"/>
                <w:vanish/>
              </w:rPr>
            </w:pPr>
          </w:p>
        </w:tc>
        <w:tc>
          <w:tcPr>
            <w:tcW w:w="0" w:type="auto"/>
            <w:gridSpan w:val="3"/>
            <w:shd w:val="clear" w:color="auto" w:fill="auto"/>
            <w:vAlign w:val="bottom"/>
          </w:tcPr>
          <w:p w14:paraId="74DD9AC8" w14:textId="77777777" w:rsidR="00584EC1" w:rsidRDefault="00584EC1">
            <w:pPr>
              <w:rPr>
                <w:rFonts w:ascii="宋体"/>
                <w:vanish/>
              </w:rPr>
            </w:pPr>
          </w:p>
        </w:tc>
        <w:tc>
          <w:tcPr>
            <w:tcW w:w="0" w:type="auto"/>
            <w:gridSpan w:val="3"/>
            <w:shd w:val="clear" w:color="auto" w:fill="auto"/>
            <w:vAlign w:val="bottom"/>
          </w:tcPr>
          <w:p w14:paraId="74DD9AC9" w14:textId="77777777" w:rsidR="00584EC1" w:rsidRDefault="00584EC1">
            <w:pPr>
              <w:rPr>
                <w:rFonts w:ascii="宋体"/>
                <w:vanish/>
              </w:rPr>
            </w:pPr>
          </w:p>
        </w:tc>
        <w:tc>
          <w:tcPr>
            <w:tcW w:w="0" w:type="auto"/>
            <w:gridSpan w:val="3"/>
            <w:shd w:val="clear" w:color="auto" w:fill="auto"/>
            <w:vAlign w:val="bottom"/>
          </w:tcPr>
          <w:p w14:paraId="74DD9ACA" w14:textId="77777777" w:rsidR="00584EC1" w:rsidRDefault="00584EC1">
            <w:pPr>
              <w:rPr>
                <w:rFonts w:ascii="宋体"/>
                <w:vanish/>
              </w:rPr>
            </w:pPr>
          </w:p>
        </w:tc>
        <w:tc>
          <w:tcPr>
            <w:tcW w:w="0" w:type="auto"/>
            <w:gridSpan w:val="3"/>
            <w:shd w:val="clear" w:color="auto" w:fill="auto"/>
            <w:vAlign w:val="bottom"/>
          </w:tcPr>
          <w:p w14:paraId="74DD9ACB" w14:textId="77777777" w:rsidR="00584EC1" w:rsidRDefault="00584EC1">
            <w:pPr>
              <w:rPr>
                <w:rFonts w:ascii="宋体"/>
                <w:vanish/>
              </w:rPr>
            </w:pPr>
          </w:p>
        </w:tc>
        <w:tc>
          <w:tcPr>
            <w:tcW w:w="0" w:type="auto"/>
            <w:gridSpan w:val="3"/>
            <w:shd w:val="clear" w:color="auto" w:fill="auto"/>
            <w:vAlign w:val="bottom"/>
          </w:tcPr>
          <w:p w14:paraId="74DD9ACC" w14:textId="77777777" w:rsidR="00584EC1" w:rsidRDefault="00584EC1">
            <w:pPr>
              <w:rPr>
                <w:rFonts w:ascii="宋体"/>
                <w:vanish/>
              </w:rPr>
            </w:pPr>
          </w:p>
        </w:tc>
        <w:tc>
          <w:tcPr>
            <w:tcW w:w="0" w:type="auto"/>
            <w:gridSpan w:val="3"/>
            <w:shd w:val="clear" w:color="auto" w:fill="auto"/>
            <w:vAlign w:val="bottom"/>
          </w:tcPr>
          <w:p w14:paraId="74DD9ACD" w14:textId="77777777" w:rsidR="00584EC1" w:rsidRDefault="00584EC1">
            <w:pPr>
              <w:rPr>
                <w:rFonts w:ascii="宋体"/>
                <w:vanish/>
              </w:rPr>
            </w:pPr>
          </w:p>
        </w:tc>
        <w:tc>
          <w:tcPr>
            <w:tcW w:w="0" w:type="auto"/>
            <w:gridSpan w:val="3"/>
            <w:shd w:val="clear" w:color="auto" w:fill="auto"/>
            <w:vAlign w:val="bottom"/>
          </w:tcPr>
          <w:p w14:paraId="74DD9ACE" w14:textId="77777777" w:rsidR="00584EC1" w:rsidRDefault="00584EC1">
            <w:pPr>
              <w:rPr>
                <w:rFonts w:ascii="宋体"/>
                <w:vanish/>
              </w:rPr>
            </w:pPr>
          </w:p>
        </w:tc>
        <w:tc>
          <w:tcPr>
            <w:tcW w:w="0" w:type="auto"/>
            <w:gridSpan w:val="3"/>
            <w:shd w:val="clear" w:color="auto" w:fill="auto"/>
            <w:vAlign w:val="bottom"/>
          </w:tcPr>
          <w:p w14:paraId="74DD9ACF" w14:textId="77777777" w:rsidR="00584EC1" w:rsidRDefault="00584EC1">
            <w:pPr>
              <w:rPr>
                <w:rFonts w:ascii="宋体"/>
                <w:vanish/>
              </w:rPr>
            </w:pPr>
          </w:p>
        </w:tc>
      </w:tr>
      <w:tr w:rsidR="00871F8D" w14:paraId="74DD9AF1" w14:textId="77777777">
        <w:tc>
          <w:tcPr>
            <w:tcW w:w="0" w:type="auto"/>
            <w:gridSpan w:val="9"/>
            <w:shd w:val="clear" w:color="auto" w:fill="FFFFFF"/>
            <w:tcMar>
              <w:top w:w="40" w:type="dxa"/>
              <w:left w:w="20" w:type="dxa"/>
              <w:bottom w:w="40" w:type="dxa"/>
              <w:right w:w="20" w:type="dxa"/>
            </w:tcMar>
            <w:vAlign w:val="bottom"/>
          </w:tcPr>
          <w:p w14:paraId="74DD9AD1" w14:textId="77777777" w:rsidR="00584EC1" w:rsidRDefault="00871F8D">
            <w:pPr>
              <w:textAlignment w:val="bottom"/>
            </w:pPr>
            <w:r>
              <w:rPr>
                <w:rFonts w:ascii="Arial" w:eastAsia="宋体" w:hAnsi="Arial" w:cs="Arial"/>
                <w:color w:val="000000"/>
                <w:sz w:val="12"/>
                <w:szCs w:val="12"/>
              </w:rPr>
              <w:t>Credit risk</w:t>
            </w:r>
            <w:r>
              <w:rPr>
                <w:rFonts w:ascii="Arial" w:eastAsia="宋体" w:hAnsi="Arial" w:cs="Arial"/>
                <w:color w:val="000000"/>
                <w:sz w:val="7"/>
                <w:szCs w:val="7"/>
              </w:rPr>
              <w:t>(2)</w:t>
            </w:r>
          </w:p>
        </w:tc>
        <w:tc>
          <w:tcPr>
            <w:tcW w:w="0" w:type="auto"/>
            <w:shd w:val="clear" w:color="auto" w:fill="FFFFFF"/>
            <w:tcMar>
              <w:top w:w="40" w:type="dxa"/>
              <w:left w:w="20" w:type="dxa"/>
              <w:bottom w:w="40" w:type="dxa"/>
              <w:right w:w="0" w:type="dxa"/>
            </w:tcMar>
            <w:vAlign w:val="bottom"/>
          </w:tcPr>
          <w:p w14:paraId="74DD9AD2" w14:textId="77777777" w:rsidR="00584EC1" w:rsidRDefault="00871F8D">
            <w:pPr>
              <w:textAlignment w:val="bottom"/>
            </w:pPr>
            <w:r>
              <w:rPr>
                <w:rFonts w:ascii="Arial" w:eastAsia="宋体" w:hAnsi="Arial" w:cs="Arial"/>
                <w:b/>
                <w:bCs/>
                <w:color w:val="000000"/>
                <w:sz w:val="12"/>
                <w:szCs w:val="12"/>
              </w:rPr>
              <w:t>$</w:t>
            </w:r>
          </w:p>
        </w:tc>
        <w:tc>
          <w:tcPr>
            <w:tcW w:w="0" w:type="auto"/>
            <w:shd w:val="clear" w:color="auto" w:fill="FFFFFF"/>
            <w:tcMar>
              <w:top w:w="40" w:type="dxa"/>
              <w:left w:w="0" w:type="dxa"/>
              <w:bottom w:w="40" w:type="dxa"/>
              <w:right w:w="0" w:type="dxa"/>
            </w:tcMar>
            <w:vAlign w:val="bottom"/>
          </w:tcPr>
          <w:p w14:paraId="74DD9AD3" w14:textId="77777777" w:rsidR="00584EC1" w:rsidRDefault="00871F8D">
            <w:pPr>
              <w:jc w:val="right"/>
              <w:textAlignment w:val="bottom"/>
            </w:pPr>
            <w:r>
              <w:rPr>
                <w:rFonts w:ascii="Arial" w:eastAsia="宋体" w:hAnsi="Arial" w:cs="Arial"/>
                <w:b/>
                <w:bCs/>
                <w:color w:val="000000"/>
                <w:sz w:val="12"/>
                <w:szCs w:val="12"/>
              </w:rPr>
              <w:t>66,503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9AD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AD5" w14:textId="77777777" w:rsidR="00584EC1" w:rsidRDefault="00584EC1">
            <w:pPr>
              <w:rPr>
                <w:rFonts w:ascii="宋体"/>
              </w:rPr>
            </w:pPr>
          </w:p>
        </w:tc>
        <w:tc>
          <w:tcPr>
            <w:tcW w:w="0" w:type="auto"/>
            <w:shd w:val="clear" w:color="auto" w:fill="FFFFFF"/>
            <w:tcMar>
              <w:top w:w="40" w:type="dxa"/>
              <w:left w:w="20" w:type="dxa"/>
              <w:bottom w:w="40" w:type="dxa"/>
              <w:right w:w="0" w:type="dxa"/>
            </w:tcMar>
            <w:vAlign w:val="bottom"/>
          </w:tcPr>
          <w:p w14:paraId="74DD9AD6" w14:textId="77777777" w:rsidR="00584EC1" w:rsidRDefault="00871F8D">
            <w:pPr>
              <w:textAlignment w:val="bottom"/>
            </w:pPr>
            <w:r>
              <w:rPr>
                <w:rFonts w:ascii="Arial" w:eastAsia="宋体" w:hAnsi="Arial" w:cs="Arial"/>
                <w:b/>
                <w:bCs/>
                <w:color w:val="000000"/>
                <w:sz w:val="12"/>
                <w:szCs w:val="12"/>
              </w:rPr>
              <w:t>$</w:t>
            </w:r>
          </w:p>
        </w:tc>
        <w:tc>
          <w:tcPr>
            <w:tcW w:w="0" w:type="auto"/>
            <w:shd w:val="clear" w:color="auto" w:fill="FFFFFF"/>
            <w:tcMar>
              <w:top w:w="40" w:type="dxa"/>
              <w:left w:w="0" w:type="dxa"/>
              <w:bottom w:w="40" w:type="dxa"/>
              <w:right w:w="0" w:type="dxa"/>
            </w:tcMar>
            <w:vAlign w:val="bottom"/>
          </w:tcPr>
          <w:p w14:paraId="74DD9AD7" w14:textId="77777777" w:rsidR="00584EC1" w:rsidRDefault="00871F8D">
            <w:pPr>
              <w:jc w:val="right"/>
              <w:textAlignment w:val="bottom"/>
            </w:pPr>
            <w:r>
              <w:rPr>
                <w:rFonts w:ascii="Arial" w:eastAsia="宋体" w:hAnsi="Arial" w:cs="Arial"/>
                <w:b/>
                <w:bCs/>
                <w:color w:val="000000"/>
                <w:sz w:val="12"/>
                <w:szCs w:val="12"/>
              </w:rPr>
              <w:t>114,604</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9AD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AD9" w14:textId="77777777" w:rsidR="00584EC1" w:rsidRDefault="00584EC1">
            <w:pPr>
              <w:rPr>
                <w:rFonts w:ascii="宋体"/>
              </w:rPr>
            </w:pPr>
          </w:p>
        </w:tc>
        <w:tc>
          <w:tcPr>
            <w:tcW w:w="0" w:type="auto"/>
            <w:shd w:val="clear" w:color="auto" w:fill="FFFFFF"/>
            <w:tcMar>
              <w:top w:w="40" w:type="dxa"/>
              <w:left w:w="20" w:type="dxa"/>
              <w:bottom w:w="40" w:type="dxa"/>
              <w:right w:w="0" w:type="dxa"/>
            </w:tcMar>
            <w:vAlign w:val="bottom"/>
          </w:tcPr>
          <w:p w14:paraId="74DD9ADA" w14:textId="77777777" w:rsidR="00584EC1" w:rsidRDefault="00871F8D">
            <w:pPr>
              <w:textAlignment w:val="bottom"/>
            </w:pPr>
            <w:r>
              <w:rPr>
                <w:rFonts w:ascii="Arial" w:eastAsia="宋体" w:hAnsi="Arial" w:cs="Arial"/>
                <w:color w:val="000000"/>
                <w:sz w:val="12"/>
                <w:szCs w:val="12"/>
              </w:rPr>
              <w:t>$</w:t>
            </w:r>
          </w:p>
        </w:tc>
        <w:tc>
          <w:tcPr>
            <w:tcW w:w="0" w:type="auto"/>
            <w:shd w:val="clear" w:color="auto" w:fill="FFFFFF"/>
            <w:tcMar>
              <w:top w:w="40" w:type="dxa"/>
              <w:left w:w="0" w:type="dxa"/>
              <w:bottom w:w="40" w:type="dxa"/>
              <w:right w:w="0" w:type="dxa"/>
            </w:tcMar>
            <w:vAlign w:val="bottom"/>
          </w:tcPr>
          <w:p w14:paraId="74DD9ADB" w14:textId="77777777" w:rsidR="00584EC1" w:rsidRDefault="00871F8D">
            <w:pPr>
              <w:jc w:val="right"/>
              <w:textAlignment w:val="bottom"/>
            </w:pPr>
            <w:r>
              <w:rPr>
                <w:rFonts w:ascii="Arial" w:eastAsia="宋体" w:hAnsi="Arial" w:cs="Arial"/>
                <w:color w:val="000000"/>
                <w:sz w:val="12"/>
                <w:szCs w:val="12"/>
              </w:rPr>
              <w:t>63,367 </w:t>
            </w:r>
          </w:p>
        </w:tc>
        <w:tc>
          <w:tcPr>
            <w:tcW w:w="0" w:type="auto"/>
            <w:shd w:val="clear" w:color="auto" w:fill="FFFFFF"/>
            <w:tcMar>
              <w:top w:w="40" w:type="dxa"/>
              <w:left w:w="0" w:type="dxa"/>
              <w:bottom w:w="40" w:type="dxa"/>
              <w:right w:w="20" w:type="dxa"/>
            </w:tcMar>
            <w:vAlign w:val="bottom"/>
          </w:tcPr>
          <w:p w14:paraId="74DD9AD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ADD" w14:textId="77777777" w:rsidR="00584EC1" w:rsidRDefault="00584EC1">
            <w:pPr>
              <w:rPr>
                <w:rFonts w:ascii="宋体"/>
              </w:rPr>
            </w:pPr>
          </w:p>
        </w:tc>
        <w:tc>
          <w:tcPr>
            <w:tcW w:w="0" w:type="auto"/>
            <w:shd w:val="clear" w:color="auto" w:fill="FFFFFF"/>
            <w:tcMar>
              <w:top w:w="40" w:type="dxa"/>
              <w:left w:w="20" w:type="dxa"/>
              <w:bottom w:w="40" w:type="dxa"/>
              <w:right w:w="0" w:type="dxa"/>
            </w:tcMar>
            <w:vAlign w:val="bottom"/>
          </w:tcPr>
          <w:p w14:paraId="74DD9ADE" w14:textId="77777777" w:rsidR="00584EC1" w:rsidRDefault="00871F8D">
            <w:pPr>
              <w:textAlignment w:val="bottom"/>
            </w:pPr>
            <w:r>
              <w:rPr>
                <w:rFonts w:ascii="Arial" w:eastAsia="宋体" w:hAnsi="Arial" w:cs="Arial"/>
                <w:color w:val="000000"/>
                <w:sz w:val="12"/>
                <w:szCs w:val="12"/>
              </w:rPr>
              <w:t>$</w:t>
            </w:r>
          </w:p>
        </w:tc>
        <w:tc>
          <w:tcPr>
            <w:tcW w:w="0" w:type="auto"/>
            <w:shd w:val="clear" w:color="auto" w:fill="FFFFFF"/>
            <w:tcMar>
              <w:top w:w="40" w:type="dxa"/>
              <w:left w:w="0" w:type="dxa"/>
              <w:bottom w:w="40" w:type="dxa"/>
              <w:right w:w="0" w:type="dxa"/>
            </w:tcMar>
            <w:vAlign w:val="bottom"/>
          </w:tcPr>
          <w:p w14:paraId="74DD9ADF" w14:textId="77777777" w:rsidR="00584EC1" w:rsidRDefault="00871F8D">
            <w:pPr>
              <w:jc w:val="right"/>
              <w:textAlignment w:val="bottom"/>
            </w:pPr>
            <w:r>
              <w:rPr>
                <w:rFonts w:ascii="Arial" w:eastAsia="宋体" w:hAnsi="Arial" w:cs="Arial"/>
                <w:color w:val="000000"/>
                <w:sz w:val="12"/>
                <w:szCs w:val="12"/>
              </w:rPr>
              <w:t>114,892 </w:t>
            </w:r>
          </w:p>
        </w:tc>
        <w:tc>
          <w:tcPr>
            <w:tcW w:w="0" w:type="auto"/>
            <w:shd w:val="clear" w:color="auto" w:fill="FFFFFF"/>
            <w:tcMar>
              <w:top w:w="40" w:type="dxa"/>
              <w:left w:w="0" w:type="dxa"/>
              <w:bottom w:w="40" w:type="dxa"/>
              <w:right w:w="20" w:type="dxa"/>
            </w:tcMar>
            <w:vAlign w:val="bottom"/>
          </w:tcPr>
          <w:p w14:paraId="74DD9AE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AE1" w14:textId="77777777" w:rsidR="00584EC1" w:rsidRDefault="00584EC1">
            <w:pPr>
              <w:rPr>
                <w:rFonts w:ascii="宋体"/>
              </w:rPr>
            </w:pPr>
          </w:p>
        </w:tc>
        <w:tc>
          <w:tcPr>
            <w:tcW w:w="0" w:type="auto"/>
            <w:shd w:val="clear" w:color="auto" w:fill="FFFFFF"/>
            <w:tcMar>
              <w:top w:w="40" w:type="dxa"/>
              <w:left w:w="20" w:type="dxa"/>
              <w:bottom w:w="40" w:type="dxa"/>
              <w:right w:w="0" w:type="dxa"/>
            </w:tcMar>
            <w:vAlign w:val="bottom"/>
          </w:tcPr>
          <w:p w14:paraId="74DD9AE2" w14:textId="77777777" w:rsidR="00584EC1" w:rsidRDefault="00871F8D">
            <w:pPr>
              <w:textAlignment w:val="bottom"/>
            </w:pPr>
            <w:r>
              <w:rPr>
                <w:rFonts w:ascii="Arial" w:eastAsia="宋体" w:hAnsi="Arial" w:cs="Arial"/>
                <w:b/>
                <w:bCs/>
                <w:color w:val="000000"/>
                <w:sz w:val="12"/>
                <w:szCs w:val="12"/>
              </w:rPr>
              <w:t>$</w:t>
            </w:r>
          </w:p>
        </w:tc>
        <w:tc>
          <w:tcPr>
            <w:tcW w:w="0" w:type="auto"/>
            <w:shd w:val="clear" w:color="auto" w:fill="FFFFFF"/>
            <w:tcMar>
              <w:top w:w="40" w:type="dxa"/>
              <w:left w:w="0" w:type="dxa"/>
              <w:bottom w:w="40" w:type="dxa"/>
              <w:right w:w="0" w:type="dxa"/>
            </w:tcMar>
            <w:vAlign w:val="bottom"/>
          </w:tcPr>
          <w:p w14:paraId="74DD9AE3" w14:textId="77777777" w:rsidR="00584EC1" w:rsidRDefault="00871F8D">
            <w:pPr>
              <w:jc w:val="right"/>
              <w:textAlignment w:val="bottom"/>
            </w:pPr>
            <w:r>
              <w:rPr>
                <w:rFonts w:ascii="Arial" w:eastAsia="宋体" w:hAnsi="Arial" w:cs="Arial"/>
                <w:b/>
                <w:bCs/>
                <w:color w:val="000000"/>
                <w:sz w:val="12"/>
                <w:szCs w:val="12"/>
              </w:rPr>
              <w:t>59,635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9AE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AE5" w14:textId="77777777" w:rsidR="00584EC1" w:rsidRDefault="00584EC1">
            <w:pPr>
              <w:rPr>
                <w:rFonts w:ascii="宋体"/>
              </w:rPr>
            </w:pPr>
          </w:p>
        </w:tc>
        <w:tc>
          <w:tcPr>
            <w:tcW w:w="0" w:type="auto"/>
            <w:shd w:val="clear" w:color="auto" w:fill="FFFFFF"/>
            <w:tcMar>
              <w:top w:w="40" w:type="dxa"/>
              <w:left w:w="20" w:type="dxa"/>
              <w:bottom w:w="40" w:type="dxa"/>
              <w:right w:w="0" w:type="dxa"/>
            </w:tcMar>
            <w:vAlign w:val="bottom"/>
          </w:tcPr>
          <w:p w14:paraId="74DD9AE6" w14:textId="77777777" w:rsidR="00584EC1" w:rsidRDefault="00871F8D">
            <w:pPr>
              <w:textAlignment w:val="bottom"/>
            </w:pPr>
            <w:r>
              <w:rPr>
                <w:rFonts w:ascii="Arial" w:eastAsia="宋体" w:hAnsi="Arial" w:cs="Arial"/>
                <w:b/>
                <w:bCs/>
                <w:color w:val="000000"/>
                <w:sz w:val="12"/>
                <w:szCs w:val="12"/>
              </w:rPr>
              <w:t>$</w:t>
            </w:r>
          </w:p>
        </w:tc>
        <w:tc>
          <w:tcPr>
            <w:tcW w:w="0" w:type="auto"/>
            <w:shd w:val="clear" w:color="auto" w:fill="FFFFFF"/>
            <w:tcMar>
              <w:top w:w="40" w:type="dxa"/>
              <w:left w:w="0" w:type="dxa"/>
              <w:bottom w:w="40" w:type="dxa"/>
              <w:right w:w="0" w:type="dxa"/>
            </w:tcMar>
            <w:vAlign w:val="bottom"/>
          </w:tcPr>
          <w:p w14:paraId="74DD9AE7" w14:textId="77777777" w:rsidR="00584EC1" w:rsidRDefault="00871F8D">
            <w:pPr>
              <w:jc w:val="right"/>
              <w:textAlignment w:val="bottom"/>
            </w:pPr>
            <w:r>
              <w:rPr>
                <w:rFonts w:ascii="Arial" w:eastAsia="宋体" w:hAnsi="Arial" w:cs="Arial"/>
                <w:b/>
                <w:bCs/>
                <w:color w:val="000000"/>
                <w:sz w:val="12"/>
                <w:szCs w:val="12"/>
              </w:rPr>
              <w:t>111,464</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9AE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AE9" w14:textId="77777777" w:rsidR="00584EC1" w:rsidRDefault="00584EC1">
            <w:pPr>
              <w:rPr>
                <w:rFonts w:ascii="宋体"/>
              </w:rPr>
            </w:pPr>
          </w:p>
        </w:tc>
        <w:tc>
          <w:tcPr>
            <w:tcW w:w="0" w:type="auto"/>
            <w:shd w:val="clear" w:color="auto" w:fill="FFFFFF"/>
            <w:tcMar>
              <w:top w:w="40" w:type="dxa"/>
              <w:left w:w="20" w:type="dxa"/>
              <w:bottom w:w="40" w:type="dxa"/>
              <w:right w:w="0" w:type="dxa"/>
            </w:tcMar>
            <w:vAlign w:val="bottom"/>
          </w:tcPr>
          <w:p w14:paraId="74DD9AEA" w14:textId="77777777" w:rsidR="00584EC1" w:rsidRDefault="00871F8D">
            <w:pPr>
              <w:textAlignment w:val="bottom"/>
            </w:pPr>
            <w:r>
              <w:rPr>
                <w:rFonts w:ascii="Arial" w:eastAsia="宋体" w:hAnsi="Arial" w:cs="Arial"/>
                <w:color w:val="000000"/>
                <w:sz w:val="12"/>
                <w:szCs w:val="12"/>
              </w:rPr>
              <w:t>$</w:t>
            </w:r>
          </w:p>
        </w:tc>
        <w:tc>
          <w:tcPr>
            <w:tcW w:w="0" w:type="auto"/>
            <w:shd w:val="clear" w:color="auto" w:fill="FFFFFF"/>
            <w:tcMar>
              <w:top w:w="40" w:type="dxa"/>
              <w:left w:w="0" w:type="dxa"/>
              <w:bottom w:w="40" w:type="dxa"/>
              <w:right w:w="0" w:type="dxa"/>
            </w:tcMar>
            <w:vAlign w:val="bottom"/>
          </w:tcPr>
          <w:p w14:paraId="74DD9AEB" w14:textId="77777777" w:rsidR="00584EC1" w:rsidRDefault="00871F8D">
            <w:pPr>
              <w:jc w:val="right"/>
              <w:textAlignment w:val="bottom"/>
            </w:pPr>
            <w:r>
              <w:rPr>
                <w:rFonts w:ascii="Arial" w:eastAsia="宋体" w:hAnsi="Arial" w:cs="Arial"/>
                <w:color w:val="000000"/>
                <w:sz w:val="12"/>
                <w:szCs w:val="12"/>
              </w:rPr>
              <w:t>58,960 </w:t>
            </w:r>
          </w:p>
        </w:tc>
        <w:tc>
          <w:tcPr>
            <w:tcW w:w="0" w:type="auto"/>
            <w:shd w:val="clear" w:color="auto" w:fill="FFFFFF"/>
            <w:tcMar>
              <w:top w:w="40" w:type="dxa"/>
              <w:left w:w="0" w:type="dxa"/>
              <w:bottom w:w="40" w:type="dxa"/>
              <w:right w:w="20" w:type="dxa"/>
            </w:tcMar>
            <w:vAlign w:val="bottom"/>
          </w:tcPr>
          <w:p w14:paraId="74DD9AE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AED" w14:textId="77777777" w:rsidR="00584EC1" w:rsidRDefault="00584EC1">
            <w:pPr>
              <w:rPr>
                <w:rFonts w:ascii="宋体"/>
              </w:rPr>
            </w:pPr>
          </w:p>
        </w:tc>
        <w:tc>
          <w:tcPr>
            <w:tcW w:w="0" w:type="auto"/>
            <w:shd w:val="clear" w:color="auto" w:fill="FFFFFF"/>
            <w:tcMar>
              <w:top w:w="40" w:type="dxa"/>
              <w:left w:w="20" w:type="dxa"/>
              <w:bottom w:w="40" w:type="dxa"/>
              <w:right w:w="0" w:type="dxa"/>
            </w:tcMar>
            <w:vAlign w:val="bottom"/>
          </w:tcPr>
          <w:p w14:paraId="74DD9AEE" w14:textId="77777777" w:rsidR="00584EC1" w:rsidRDefault="00871F8D">
            <w:pPr>
              <w:textAlignment w:val="bottom"/>
            </w:pPr>
            <w:r>
              <w:rPr>
                <w:rFonts w:ascii="Arial" w:eastAsia="宋体" w:hAnsi="Arial" w:cs="Arial"/>
                <w:color w:val="000000"/>
                <w:sz w:val="12"/>
                <w:szCs w:val="12"/>
              </w:rPr>
              <w:t>$</w:t>
            </w:r>
          </w:p>
        </w:tc>
        <w:tc>
          <w:tcPr>
            <w:tcW w:w="0" w:type="auto"/>
            <w:shd w:val="clear" w:color="auto" w:fill="FFFFFF"/>
            <w:tcMar>
              <w:top w:w="40" w:type="dxa"/>
              <w:left w:w="0" w:type="dxa"/>
              <w:bottom w:w="40" w:type="dxa"/>
              <w:right w:w="0" w:type="dxa"/>
            </w:tcMar>
            <w:vAlign w:val="bottom"/>
          </w:tcPr>
          <w:p w14:paraId="74DD9AEF" w14:textId="77777777" w:rsidR="00584EC1" w:rsidRDefault="00871F8D">
            <w:pPr>
              <w:jc w:val="right"/>
              <w:textAlignment w:val="bottom"/>
            </w:pPr>
            <w:r>
              <w:rPr>
                <w:rFonts w:ascii="Arial" w:eastAsia="宋体" w:hAnsi="Arial" w:cs="Arial"/>
                <w:color w:val="000000"/>
                <w:sz w:val="12"/>
                <w:szCs w:val="12"/>
              </w:rPr>
              <w:t>110,797 </w:t>
            </w:r>
          </w:p>
        </w:tc>
        <w:tc>
          <w:tcPr>
            <w:tcW w:w="0" w:type="auto"/>
            <w:shd w:val="clear" w:color="auto" w:fill="FFFFFF"/>
            <w:tcMar>
              <w:top w:w="40" w:type="dxa"/>
              <w:left w:w="0" w:type="dxa"/>
              <w:bottom w:w="40" w:type="dxa"/>
              <w:right w:w="20" w:type="dxa"/>
            </w:tcMar>
            <w:vAlign w:val="bottom"/>
          </w:tcPr>
          <w:p w14:paraId="74DD9AF0" w14:textId="77777777" w:rsidR="00584EC1" w:rsidRDefault="00584EC1">
            <w:pPr>
              <w:jc w:val="right"/>
              <w:rPr>
                <w:rFonts w:ascii="宋体"/>
              </w:rPr>
            </w:pPr>
          </w:p>
        </w:tc>
      </w:tr>
      <w:tr w:rsidR="00584EC1" w14:paraId="74DD9B06" w14:textId="77777777">
        <w:tc>
          <w:tcPr>
            <w:tcW w:w="0" w:type="auto"/>
            <w:gridSpan w:val="9"/>
            <w:shd w:val="clear" w:color="auto" w:fill="CCEEFF"/>
            <w:tcMar>
              <w:top w:w="40" w:type="dxa"/>
              <w:left w:w="20" w:type="dxa"/>
              <w:bottom w:w="40" w:type="dxa"/>
              <w:right w:w="20" w:type="dxa"/>
            </w:tcMar>
            <w:vAlign w:val="bottom"/>
          </w:tcPr>
          <w:p w14:paraId="74DD9AF2" w14:textId="77777777" w:rsidR="00584EC1" w:rsidRDefault="00871F8D">
            <w:pPr>
              <w:textAlignment w:val="bottom"/>
            </w:pPr>
            <w:r>
              <w:rPr>
                <w:rFonts w:ascii="Arial" w:eastAsia="宋体" w:hAnsi="Arial" w:cs="Arial"/>
                <w:color w:val="000000"/>
                <w:sz w:val="12"/>
                <w:szCs w:val="12"/>
              </w:rPr>
              <w:t>Operational risk</w:t>
            </w:r>
            <w:r>
              <w:rPr>
                <w:rFonts w:ascii="Arial" w:eastAsia="宋体" w:hAnsi="Arial" w:cs="Arial"/>
                <w:color w:val="000000"/>
                <w:sz w:val="7"/>
                <w:szCs w:val="7"/>
              </w:rPr>
              <w:t>(3)</w:t>
            </w:r>
          </w:p>
        </w:tc>
        <w:tc>
          <w:tcPr>
            <w:tcW w:w="0" w:type="auto"/>
            <w:gridSpan w:val="2"/>
            <w:shd w:val="clear" w:color="auto" w:fill="CCEEFF"/>
            <w:tcMar>
              <w:top w:w="40" w:type="dxa"/>
              <w:left w:w="20" w:type="dxa"/>
              <w:bottom w:w="40" w:type="dxa"/>
              <w:right w:w="0" w:type="dxa"/>
            </w:tcMar>
            <w:vAlign w:val="bottom"/>
          </w:tcPr>
          <w:p w14:paraId="74DD9AF3" w14:textId="77777777" w:rsidR="00584EC1" w:rsidRDefault="00871F8D">
            <w:pPr>
              <w:jc w:val="right"/>
              <w:textAlignment w:val="bottom"/>
            </w:pPr>
            <w:r>
              <w:rPr>
                <w:rFonts w:ascii="Arial" w:eastAsia="宋体" w:hAnsi="Arial" w:cs="Arial"/>
                <w:b/>
                <w:bCs/>
                <w:color w:val="000000"/>
                <w:sz w:val="12"/>
                <w:szCs w:val="12"/>
              </w:rPr>
              <w:t>45,750</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9AF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AF5" w14:textId="77777777" w:rsidR="00584EC1" w:rsidRDefault="00584EC1">
            <w:pPr>
              <w:rPr>
                <w:rFonts w:ascii="宋体"/>
              </w:rPr>
            </w:pPr>
          </w:p>
        </w:tc>
        <w:tc>
          <w:tcPr>
            <w:tcW w:w="0" w:type="auto"/>
            <w:gridSpan w:val="3"/>
            <w:shd w:val="clear" w:color="auto" w:fill="CCEEFF"/>
            <w:tcMar>
              <w:top w:w="40" w:type="dxa"/>
              <w:left w:w="20" w:type="dxa"/>
              <w:bottom w:w="40" w:type="dxa"/>
              <w:right w:w="140" w:type="dxa"/>
            </w:tcMar>
            <w:vAlign w:val="bottom"/>
          </w:tcPr>
          <w:p w14:paraId="74DD9AF6" w14:textId="77777777" w:rsidR="00584EC1" w:rsidRDefault="00871F8D">
            <w:pPr>
              <w:jc w:val="right"/>
              <w:textAlignment w:val="bottom"/>
            </w:pPr>
            <w:r>
              <w:rPr>
                <w:rFonts w:ascii="Arial" w:eastAsia="宋体" w:hAnsi="Arial" w:cs="Arial"/>
                <w:b/>
                <w:bCs/>
                <w:color w:val="000000"/>
                <w:sz w:val="12"/>
                <w:szCs w:val="12"/>
              </w:rPr>
              <w:t>NA</w:t>
            </w:r>
          </w:p>
        </w:tc>
        <w:tc>
          <w:tcPr>
            <w:tcW w:w="0" w:type="auto"/>
            <w:gridSpan w:val="3"/>
            <w:shd w:val="clear" w:color="auto" w:fill="CCEEFF"/>
            <w:tcMar>
              <w:top w:w="0" w:type="dxa"/>
              <w:left w:w="20" w:type="dxa"/>
              <w:bottom w:w="0" w:type="dxa"/>
              <w:right w:w="20" w:type="dxa"/>
            </w:tcMar>
            <w:vAlign w:val="bottom"/>
          </w:tcPr>
          <w:p w14:paraId="74DD9AF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AF8" w14:textId="77777777" w:rsidR="00584EC1" w:rsidRDefault="00871F8D">
            <w:pPr>
              <w:jc w:val="right"/>
              <w:textAlignment w:val="bottom"/>
            </w:pPr>
            <w:r>
              <w:rPr>
                <w:rFonts w:ascii="Arial" w:eastAsia="宋体" w:hAnsi="Arial" w:cs="Arial"/>
                <w:color w:val="000000"/>
                <w:sz w:val="12"/>
                <w:szCs w:val="12"/>
              </w:rPr>
              <w:t>44,150 </w:t>
            </w:r>
          </w:p>
        </w:tc>
        <w:tc>
          <w:tcPr>
            <w:tcW w:w="0" w:type="auto"/>
            <w:shd w:val="clear" w:color="auto" w:fill="CCEEFF"/>
            <w:tcMar>
              <w:top w:w="40" w:type="dxa"/>
              <w:left w:w="0" w:type="dxa"/>
              <w:bottom w:w="40" w:type="dxa"/>
              <w:right w:w="20" w:type="dxa"/>
            </w:tcMar>
            <w:vAlign w:val="bottom"/>
          </w:tcPr>
          <w:p w14:paraId="74DD9AF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AFA" w14:textId="77777777" w:rsidR="00584EC1" w:rsidRDefault="00584EC1">
            <w:pPr>
              <w:rPr>
                <w:rFonts w:ascii="宋体"/>
              </w:rPr>
            </w:pPr>
          </w:p>
        </w:tc>
        <w:tc>
          <w:tcPr>
            <w:tcW w:w="0" w:type="auto"/>
            <w:gridSpan w:val="3"/>
            <w:shd w:val="clear" w:color="auto" w:fill="CCEEFF"/>
            <w:tcMar>
              <w:top w:w="40" w:type="dxa"/>
              <w:left w:w="20" w:type="dxa"/>
              <w:bottom w:w="40" w:type="dxa"/>
              <w:right w:w="140" w:type="dxa"/>
            </w:tcMar>
            <w:vAlign w:val="bottom"/>
          </w:tcPr>
          <w:p w14:paraId="74DD9AFB" w14:textId="77777777" w:rsidR="00584EC1" w:rsidRDefault="00871F8D">
            <w:pPr>
              <w:jc w:val="right"/>
              <w:textAlignment w:val="bottom"/>
            </w:pPr>
            <w:r>
              <w:rPr>
                <w:rFonts w:ascii="Arial" w:eastAsia="宋体" w:hAnsi="Arial" w:cs="Arial"/>
                <w:color w:val="000000"/>
                <w:sz w:val="12"/>
                <w:szCs w:val="12"/>
              </w:rPr>
              <w:t>NA</w:t>
            </w:r>
          </w:p>
        </w:tc>
        <w:tc>
          <w:tcPr>
            <w:tcW w:w="0" w:type="auto"/>
            <w:gridSpan w:val="3"/>
            <w:shd w:val="clear" w:color="auto" w:fill="CCEEFF"/>
            <w:tcMar>
              <w:top w:w="0" w:type="dxa"/>
              <w:left w:w="20" w:type="dxa"/>
              <w:bottom w:w="0" w:type="dxa"/>
              <w:right w:w="20" w:type="dxa"/>
            </w:tcMar>
            <w:vAlign w:val="bottom"/>
          </w:tcPr>
          <w:p w14:paraId="74DD9AFC"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AFD" w14:textId="77777777" w:rsidR="00584EC1" w:rsidRDefault="00871F8D">
            <w:pPr>
              <w:jc w:val="right"/>
              <w:textAlignment w:val="bottom"/>
            </w:pPr>
            <w:r>
              <w:rPr>
                <w:rFonts w:ascii="Arial" w:eastAsia="宋体" w:hAnsi="Arial" w:cs="Arial"/>
                <w:b/>
                <w:bCs/>
                <w:color w:val="000000"/>
                <w:sz w:val="12"/>
                <w:szCs w:val="12"/>
              </w:rPr>
              <w:t>43,113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9AF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AFF" w14:textId="77777777" w:rsidR="00584EC1" w:rsidRDefault="00584EC1">
            <w:pPr>
              <w:rPr>
                <w:rFonts w:ascii="宋体"/>
              </w:rPr>
            </w:pPr>
          </w:p>
        </w:tc>
        <w:tc>
          <w:tcPr>
            <w:tcW w:w="0" w:type="auto"/>
            <w:gridSpan w:val="3"/>
            <w:shd w:val="clear" w:color="auto" w:fill="CCEEFF"/>
            <w:tcMar>
              <w:top w:w="40" w:type="dxa"/>
              <w:left w:w="20" w:type="dxa"/>
              <w:bottom w:w="40" w:type="dxa"/>
              <w:right w:w="140" w:type="dxa"/>
            </w:tcMar>
            <w:vAlign w:val="bottom"/>
          </w:tcPr>
          <w:p w14:paraId="74DD9B00" w14:textId="77777777" w:rsidR="00584EC1" w:rsidRDefault="00871F8D">
            <w:pPr>
              <w:jc w:val="right"/>
              <w:textAlignment w:val="bottom"/>
            </w:pPr>
            <w:r>
              <w:rPr>
                <w:rFonts w:ascii="Arial" w:eastAsia="宋体" w:hAnsi="Arial" w:cs="Arial"/>
                <w:b/>
                <w:bCs/>
                <w:color w:val="000000"/>
                <w:sz w:val="12"/>
                <w:szCs w:val="12"/>
              </w:rPr>
              <w:t>NA</w:t>
            </w:r>
          </w:p>
        </w:tc>
        <w:tc>
          <w:tcPr>
            <w:tcW w:w="0" w:type="auto"/>
            <w:gridSpan w:val="3"/>
            <w:shd w:val="clear" w:color="auto" w:fill="CCEEFF"/>
            <w:tcMar>
              <w:top w:w="0" w:type="dxa"/>
              <w:left w:w="20" w:type="dxa"/>
              <w:bottom w:w="0" w:type="dxa"/>
              <w:right w:w="20" w:type="dxa"/>
            </w:tcMar>
            <w:vAlign w:val="bottom"/>
          </w:tcPr>
          <w:p w14:paraId="74DD9B0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B02" w14:textId="77777777" w:rsidR="00584EC1" w:rsidRDefault="00871F8D">
            <w:pPr>
              <w:jc w:val="right"/>
              <w:textAlignment w:val="bottom"/>
            </w:pPr>
            <w:r>
              <w:rPr>
                <w:rFonts w:ascii="Arial" w:eastAsia="宋体" w:hAnsi="Arial" w:cs="Arial"/>
                <w:color w:val="000000"/>
                <w:sz w:val="12"/>
                <w:szCs w:val="12"/>
              </w:rPr>
              <w:t>43,663 </w:t>
            </w:r>
          </w:p>
        </w:tc>
        <w:tc>
          <w:tcPr>
            <w:tcW w:w="0" w:type="auto"/>
            <w:shd w:val="clear" w:color="auto" w:fill="CCEEFF"/>
            <w:tcMar>
              <w:top w:w="40" w:type="dxa"/>
              <w:left w:w="0" w:type="dxa"/>
              <w:bottom w:w="40" w:type="dxa"/>
              <w:right w:w="20" w:type="dxa"/>
            </w:tcMar>
            <w:vAlign w:val="bottom"/>
          </w:tcPr>
          <w:p w14:paraId="74DD9B0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B04" w14:textId="77777777" w:rsidR="00584EC1" w:rsidRDefault="00584EC1">
            <w:pPr>
              <w:rPr>
                <w:rFonts w:ascii="宋体"/>
              </w:rPr>
            </w:pPr>
          </w:p>
        </w:tc>
        <w:tc>
          <w:tcPr>
            <w:tcW w:w="0" w:type="auto"/>
            <w:gridSpan w:val="3"/>
            <w:shd w:val="clear" w:color="auto" w:fill="CCEEFF"/>
            <w:tcMar>
              <w:top w:w="40" w:type="dxa"/>
              <w:left w:w="20" w:type="dxa"/>
              <w:bottom w:w="40" w:type="dxa"/>
              <w:right w:w="140" w:type="dxa"/>
            </w:tcMar>
            <w:vAlign w:val="bottom"/>
          </w:tcPr>
          <w:p w14:paraId="74DD9B05" w14:textId="77777777" w:rsidR="00584EC1" w:rsidRDefault="00871F8D">
            <w:pPr>
              <w:jc w:val="right"/>
              <w:textAlignment w:val="bottom"/>
            </w:pPr>
            <w:r>
              <w:rPr>
                <w:rFonts w:ascii="Arial" w:eastAsia="宋体" w:hAnsi="Arial" w:cs="Arial"/>
                <w:color w:val="000000"/>
                <w:sz w:val="12"/>
                <w:szCs w:val="12"/>
              </w:rPr>
              <w:t>NA</w:t>
            </w:r>
          </w:p>
        </w:tc>
      </w:tr>
      <w:tr w:rsidR="00584EC1" w14:paraId="74DD9B19" w14:textId="77777777">
        <w:trPr>
          <w:hidden/>
        </w:trPr>
        <w:tc>
          <w:tcPr>
            <w:tcW w:w="0" w:type="auto"/>
            <w:gridSpan w:val="3"/>
            <w:shd w:val="clear" w:color="auto" w:fill="auto"/>
            <w:vAlign w:val="bottom"/>
          </w:tcPr>
          <w:p w14:paraId="74DD9B07" w14:textId="77777777" w:rsidR="00584EC1" w:rsidRDefault="00584EC1">
            <w:pPr>
              <w:rPr>
                <w:rFonts w:ascii="宋体"/>
                <w:vanish/>
              </w:rPr>
            </w:pPr>
          </w:p>
        </w:tc>
        <w:tc>
          <w:tcPr>
            <w:tcW w:w="0" w:type="auto"/>
            <w:gridSpan w:val="3"/>
            <w:shd w:val="clear" w:color="auto" w:fill="auto"/>
            <w:vAlign w:val="bottom"/>
          </w:tcPr>
          <w:p w14:paraId="74DD9B08" w14:textId="77777777" w:rsidR="00584EC1" w:rsidRDefault="00584EC1">
            <w:pPr>
              <w:rPr>
                <w:rFonts w:ascii="宋体"/>
                <w:vanish/>
              </w:rPr>
            </w:pPr>
          </w:p>
        </w:tc>
        <w:tc>
          <w:tcPr>
            <w:tcW w:w="0" w:type="auto"/>
            <w:gridSpan w:val="3"/>
            <w:shd w:val="clear" w:color="auto" w:fill="auto"/>
            <w:vAlign w:val="bottom"/>
          </w:tcPr>
          <w:p w14:paraId="74DD9B09" w14:textId="77777777" w:rsidR="00584EC1" w:rsidRDefault="00584EC1">
            <w:pPr>
              <w:rPr>
                <w:rFonts w:ascii="宋体"/>
                <w:vanish/>
              </w:rPr>
            </w:pPr>
          </w:p>
        </w:tc>
        <w:tc>
          <w:tcPr>
            <w:tcW w:w="0" w:type="auto"/>
            <w:gridSpan w:val="3"/>
            <w:shd w:val="clear" w:color="auto" w:fill="auto"/>
            <w:vAlign w:val="bottom"/>
          </w:tcPr>
          <w:p w14:paraId="74DD9B0A" w14:textId="77777777" w:rsidR="00584EC1" w:rsidRDefault="00584EC1">
            <w:pPr>
              <w:rPr>
                <w:rFonts w:ascii="宋体"/>
                <w:vanish/>
              </w:rPr>
            </w:pPr>
          </w:p>
        </w:tc>
        <w:tc>
          <w:tcPr>
            <w:tcW w:w="0" w:type="auto"/>
            <w:gridSpan w:val="3"/>
            <w:shd w:val="clear" w:color="auto" w:fill="auto"/>
            <w:vAlign w:val="bottom"/>
          </w:tcPr>
          <w:p w14:paraId="74DD9B0B" w14:textId="77777777" w:rsidR="00584EC1" w:rsidRDefault="00584EC1">
            <w:pPr>
              <w:rPr>
                <w:rFonts w:ascii="宋体"/>
                <w:vanish/>
              </w:rPr>
            </w:pPr>
          </w:p>
        </w:tc>
        <w:tc>
          <w:tcPr>
            <w:tcW w:w="0" w:type="auto"/>
            <w:gridSpan w:val="3"/>
            <w:shd w:val="clear" w:color="auto" w:fill="auto"/>
            <w:vAlign w:val="bottom"/>
          </w:tcPr>
          <w:p w14:paraId="74DD9B0C" w14:textId="77777777" w:rsidR="00584EC1" w:rsidRDefault="00584EC1">
            <w:pPr>
              <w:rPr>
                <w:rFonts w:ascii="宋体"/>
                <w:vanish/>
              </w:rPr>
            </w:pPr>
          </w:p>
        </w:tc>
        <w:tc>
          <w:tcPr>
            <w:tcW w:w="0" w:type="auto"/>
            <w:gridSpan w:val="3"/>
            <w:shd w:val="clear" w:color="auto" w:fill="auto"/>
            <w:vAlign w:val="bottom"/>
          </w:tcPr>
          <w:p w14:paraId="74DD9B0D" w14:textId="77777777" w:rsidR="00584EC1" w:rsidRDefault="00584EC1">
            <w:pPr>
              <w:rPr>
                <w:rFonts w:ascii="宋体"/>
                <w:vanish/>
              </w:rPr>
            </w:pPr>
          </w:p>
        </w:tc>
        <w:tc>
          <w:tcPr>
            <w:tcW w:w="0" w:type="auto"/>
            <w:gridSpan w:val="3"/>
            <w:shd w:val="clear" w:color="auto" w:fill="auto"/>
            <w:vAlign w:val="bottom"/>
          </w:tcPr>
          <w:p w14:paraId="74DD9B0E" w14:textId="77777777" w:rsidR="00584EC1" w:rsidRDefault="00584EC1">
            <w:pPr>
              <w:rPr>
                <w:rFonts w:ascii="宋体"/>
                <w:vanish/>
              </w:rPr>
            </w:pPr>
          </w:p>
        </w:tc>
        <w:tc>
          <w:tcPr>
            <w:tcW w:w="0" w:type="auto"/>
            <w:gridSpan w:val="3"/>
            <w:shd w:val="clear" w:color="auto" w:fill="auto"/>
            <w:vAlign w:val="bottom"/>
          </w:tcPr>
          <w:p w14:paraId="74DD9B0F" w14:textId="77777777" w:rsidR="00584EC1" w:rsidRDefault="00584EC1">
            <w:pPr>
              <w:rPr>
                <w:rFonts w:ascii="宋体"/>
                <w:vanish/>
              </w:rPr>
            </w:pPr>
          </w:p>
        </w:tc>
        <w:tc>
          <w:tcPr>
            <w:tcW w:w="0" w:type="auto"/>
            <w:gridSpan w:val="3"/>
            <w:shd w:val="clear" w:color="auto" w:fill="auto"/>
            <w:vAlign w:val="bottom"/>
          </w:tcPr>
          <w:p w14:paraId="74DD9B10" w14:textId="77777777" w:rsidR="00584EC1" w:rsidRDefault="00584EC1">
            <w:pPr>
              <w:rPr>
                <w:rFonts w:ascii="宋体"/>
                <w:vanish/>
              </w:rPr>
            </w:pPr>
          </w:p>
        </w:tc>
        <w:tc>
          <w:tcPr>
            <w:tcW w:w="0" w:type="auto"/>
            <w:gridSpan w:val="3"/>
            <w:shd w:val="clear" w:color="auto" w:fill="auto"/>
            <w:vAlign w:val="bottom"/>
          </w:tcPr>
          <w:p w14:paraId="74DD9B11" w14:textId="77777777" w:rsidR="00584EC1" w:rsidRDefault="00584EC1">
            <w:pPr>
              <w:rPr>
                <w:rFonts w:ascii="宋体"/>
                <w:vanish/>
              </w:rPr>
            </w:pPr>
          </w:p>
        </w:tc>
        <w:tc>
          <w:tcPr>
            <w:tcW w:w="0" w:type="auto"/>
            <w:gridSpan w:val="3"/>
            <w:shd w:val="clear" w:color="auto" w:fill="auto"/>
            <w:vAlign w:val="bottom"/>
          </w:tcPr>
          <w:p w14:paraId="74DD9B12" w14:textId="77777777" w:rsidR="00584EC1" w:rsidRDefault="00584EC1">
            <w:pPr>
              <w:rPr>
                <w:rFonts w:ascii="宋体"/>
                <w:vanish/>
              </w:rPr>
            </w:pPr>
          </w:p>
        </w:tc>
        <w:tc>
          <w:tcPr>
            <w:tcW w:w="0" w:type="auto"/>
            <w:gridSpan w:val="3"/>
            <w:shd w:val="clear" w:color="auto" w:fill="auto"/>
            <w:vAlign w:val="bottom"/>
          </w:tcPr>
          <w:p w14:paraId="74DD9B13" w14:textId="77777777" w:rsidR="00584EC1" w:rsidRDefault="00584EC1">
            <w:pPr>
              <w:rPr>
                <w:rFonts w:ascii="宋体"/>
                <w:vanish/>
              </w:rPr>
            </w:pPr>
          </w:p>
        </w:tc>
        <w:tc>
          <w:tcPr>
            <w:tcW w:w="0" w:type="auto"/>
            <w:gridSpan w:val="3"/>
            <w:shd w:val="clear" w:color="auto" w:fill="auto"/>
            <w:vAlign w:val="bottom"/>
          </w:tcPr>
          <w:p w14:paraId="74DD9B14" w14:textId="77777777" w:rsidR="00584EC1" w:rsidRDefault="00584EC1">
            <w:pPr>
              <w:rPr>
                <w:rFonts w:ascii="宋体"/>
                <w:vanish/>
              </w:rPr>
            </w:pPr>
          </w:p>
        </w:tc>
        <w:tc>
          <w:tcPr>
            <w:tcW w:w="0" w:type="auto"/>
            <w:gridSpan w:val="3"/>
            <w:shd w:val="clear" w:color="auto" w:fill="auto"/>
            <w:vAlign w:val="bottom"/>
          </w:tcPr>
          <w:p w14:paraId="74DD9B15" w14:textId="77777777" w:rsidR="00584EC1" w:rsidRDefault="00584EC1">
            <w:pPr>
              <w:rPr>
                <w:rFonts w:ascii="宋体"/>
                <w:vanish/>
              </w:rPr>
            </w:pPr>
          </w:p>
        </w:tc>
        <w:tc>
          <w:tcPr>
            <w:tcW w:w="0" w:type="auto"/>
            <w:gridSpan w:val="3"/>
            <w:shd w:val="clear" w:color="auto" w:fill="auto"/>
            <w:vAlign w:val="bottom"/>
          </w:tcPr>
          <w:p w14:paraId="74DD9B16" w14:textId="77777777" w:rsidR="00584EC1" w:rsidRDefault="00584EC1">
            <w:pPr>
              <w:rPr>
                <w:rFonts w:ascii="宋体"/>
                <w:vanish/>
              </w:rPr>
            </w:pPr>
          </w:p>
        </w:tc>
        <w:tc>
          <w:tcPr>
            <w:tcW w:w="0" w:type="auto"/>
            <w:gridSpan w:val="3"/>
            <w:shd w:val="clear" w:color="auto" w:fill="auto"/>
            <w:vAlign w:val="bottom"/>
          </w:tcPr>
          <w:p w14:paraId="74DD9B17" w14:textId="77777777" w:rsidR="00584EC1" w:rsidRDefault="00584EC1">
            <w:pPr>
              <w:rPr>
                <w:rFonts w:ascii="宋体"/>
                <w:vanish/>
              </w:rPr>
            </w:pPr>
          </w:p>
        </w:tc>
        <w:tc>
          <w:tcPr>
            <w:tcW w:w="0" w:type="auto"/>
            <w:gridSpan w:val="3"/>
            <w:shd w:val="clear" w:color="auto" w:fill="auto"/>
            <w:vAlign w:val="bottom"/>
          </w:tcPr>
          <w:p w14:paraId="74DD9B18" w14:textId="77777777" w:rsidR="00584EC1" w:rsidRDefault="00584EC1">
            <w:pPr>
              <w:rPr>
                <w:rFonts w:ascii="宋体"/>
                <w:vanish/>
              </w:rPr>
            </w:pPr>
          </w:p>
        </w:tc>
      </w:tr>
      <w:tr w:rsidR="00584EC1" w14:paraId="74DD9B2C" w14:textId="77777777">
        <w:trPr>
          <w:hidden/>
        </w:trPr>
        <w:tc>
          <w:tcPr>
            <w:tcW w:w="0" w:type="auto"/>
            <w:gridSpan w:val="3"/>
            <w:shd w:val="clear" w:color="auto" w:fill="auto"/>
            <w:vAlign w:val="bottom"/>
          </w:tcPr>
          <w:p w14:paraId="74DD9B1A" w14:textId="77777777" w:rsidR="00584EC1" w:rsidRDefault="00584EC1">
            <w:pPr>
              <w:rPr>
                <w:rFonts w:ascii="宋体"/>
                <w:vanish/>
              </w:rPr>
            </w:pPr>
          </w:p>
        </w:tc>
        <w:tc>
          <w:tcPr>
            <w:tcW w:w="0" w:type="auto"/>
            <w:gridSpan w:val="3"/>
            <w:shd w:val="clear" w:color="auto" w:fill="auto"/>
            <w:vAlign w:val="bottom"/>
          </w:tcPr>
          <w:p w14:paraId="74DD9B1B" w14:textId="77777777" w:rsidR="00584EC1" w:rsidRDefault="00584EC1">
            <w:pPr>
              <w:rPr>
                <w:rFonts w:ascii="宋体"/>
                <w:vanish/>
              </w:rPr>
            </w:pPr>
          </w:p>
        </w:tc>
        <w:tc>
          <w:tcPr>
            <w:tcW w:w="0" w:type="auto"/>
            <w:gridSpan w:val="3"/>
            <w:shd w:val="clear" w:color="auto" w:fill="auto"/>
            <w:vAlign w:val="bottom"/>
          </w:tcPr>
          <w:p w14:paraId="74DD9B1C" w14:textId="77777777" w:rsidR="00584EC1" w:rsidRDefault="00584EC1">
            <w:pPr>
              <w:rPr>
                <w:rFonts w:ascii="宋体"/>
                <w:vanish/>
              </w:rPr>
            </w:pPr>
          </w:p>
        </w:tc>
        <w:tc>
          <w:tcPr>
            <w:tcW w:w="0" w:type="auto"/>
            <w:gridSpan w:val="3"/>
            <w:shd w:val="clear" w:color="auto" w:fill="auto"/>
            <w:vAlign w:val="bottom"/>
          </w:tcPr>
          <w:p w14:paraId="74DD9B1D" w14:textId="77777777" w:rsidR="00584EC1" w:rsidRDefault="00584EC1">
            <w:pPr>
              <w:rPr>
                <w:rFonts w:ascii="宋体"/>
                <w:vanish/>
              </w:rPr>
            </w:pPr>
          </w:p>
        </w:tc>
        <w:tc>
          <w:tcPr>
            <w:tcW w:w="0" w:type="auto"/>
            <w:gridSpan w:val="3"/>
            <w:shd w:val="clear" w:color="auto" w:fill="auto"/>
            <w:vAlign w:val="bottom"/>
          </w:tcPr>
          <w:p w14:paraId="74DD9B1E" w14:textId="77777777" w:rsidR="00584EC1" w:rsidRDefault="00584EC1">
            <w:pPr>
              <w:rPr>
                <w:rFonts w:ascii="宋体"/>
                <w:vanish/>
              </w:rPr>
            </w:pPr>
          </w:p>
        </w:tc>
        <w:tc>
          <w:tcPr>
            <w:tcW w:w="0" w:type="auto"/>
            <w:gridSpan w:val="3"/>
            <w:shd w:val="clear" w:color="auto" w:fill="auto"/>
            <w:vAlign w:val="bottom"/>
          </w:tcPr>
          <w:p w14:paraId="74DD9B1F" w14:textId="77777777" w:rsidR="00584EC1" w:rsidRDefault="00584EC1">
            <w:pPr>
              <w:rPr>
                <w:rFonts w:ascii="宋体"/>
                <w:vanish/>
              </w:rPr>
            </w:pPr>
          </w:p>
        </w:tc>
        <w:tc>
          <w:tcPr>
            <w:tcW w:w="0" w:type="auto"/>
            <w:gridSpan w:val="3"/>
            <w:shd w:val="clear" w:color="auto" w:fill="auto"/>
            <w:vAlign w:val="bottom"/>
          </w:tcPr>
          <w:p w14:paraId="74DD9B20" w14:textId="77777777" w:rsidR="00584EC1" w:rsidRDefault="00584EC1">
            <w:pPr>
              <w:rPr>
                <w:rFonts w:ascii="宋体"/>
                <w:vanish/>
              </w:rPr>
            </w:pPr>
          </w:p>
        </w:tc>
        <w:tc>
          <w:tcPr>
            <w:tcW w:w="0" w:type="auto"/>
            <w:gridSpan w:val="3"/>
            <w:shd w:val="clear" w:color="auto" w:fill="auto"/>
            <w:vAlign w:val="bottom"/>
          </w:tcPr>
          <w:p w14:paraId="74DD9B21" w14:textId="77777777" w:rsidR="00584EC1" w:rsidRDefault="00584EC1">
            <w:pPr>
              <w:rPr>
                <w:rFonts w:ascii="宋体"/>
                <w:vanish/>
              </w:rPr>
            </w:pPr>
          </w:p>
        </w:tc>
        <w:tc>
          <w:tcPr>
            <w:tcW w:w="0" w:type="auto"/>
            <w:gridSpan w:val="3"/>
            <w:shd w:val="clear" w:color="auto" w:fill="auto"/>
            <w:vAlign w:val="bottom"/>
          </w:tcPr>
          <w:p w14:paraId="74DD9B22" w14:textId="77777777" w:rsidR="00584EC1" w:rsidRDefault="00584EC1">
            <w:pPr>
              <w:rPr>
                <w:rFonts w:ascii="宋体"/>
                <w:vanish/>
              </w:rPr>
            </w:pPr>
          </w:p>
        </w:tc>
        <w:tc>
          <w:tcPr>
            <w:tcW w:w="0" w:type="auto"/>
            <w:gridSpan w:val="3"/>
            <w:shd w:val="clear" w:color="auto" w:fill="auto"/>
            <w:vAlign w:val="bottom"/>
          </w:tcPr>
          <w:p w14:paraId="74DD9B23" w14:textId="77777777" w:rsidR="00584EC1" w:rsidRDefault="00584EC1">
            <w:pPr>
              <w:rPr>
                <w:rFonts w:ascii="宋体"/>
                <w:vanish/>
              </w:rPr>
            </w:pPr>
          </w:p>
        </w:tc>
        <w:tc>
          <w:tcPr>
            <w:tcW w:w="0" w:type="auto"/>
            <w:gridSpan w:val="3"/>
            <w:shd w:val="clear" w:color="auto" w:fill="auto"/>
            <w:vAlign w:val="bottom"/>
          </w:tcPr>
          <w:p w14:paraId="74DD9B24" w14:textId="77777777" w:rsidR="00584EC1" w:rsidRDefault="00584EC1">
            <w:pPr>
              <w:rPr>
                <w:rFonts w:ascii="宋体"/>
                <w:vanish/>
              </w:rPr>
            </w:pPr>
          </w:p>
        </w:tc>
        <w:tc>
          <w:tcPr>
            <w:tcW w:w="0" w:type="auto"/>
            <w:gridSpan w:val="3"/>
            <w:shd w:val="clear" w:color="auto" w:fill="auto"/>
            <w:vAlign w:val="bottom"/>
          </w:tcPr>
          <w:p w14:paraId="74DD9B25" w14:textId="77777777" w:rsidR="00584EC1" w:rsidRDefault="00584EC1">
            <w:pPr>
              <w:rPr>
                <w:rFonts w:ascii="宋体"/>
                <w:vanish/>
              </w:rPr>
            </w:pPr>
          </w:p>
        </w:tc>
        <w:tc>
          <w:tcPr>
            <w:tcW w:w="0" w:type="auto"/>
            <w:gridSpan w:val="3"/>
            <w:shd w:val="clear" w:color="auto" w:fill="auto"/>
            <w:vAlign w:val="bottom"/>
          </w:tcPr>
          <w:p w14:paraId="74DD9B26" w14:textId="77777777" w:rsidR="00584EC1" w:rsidRDefault="00584EC1">
            <w:pPr>
              <w:rPr>
                <w:rFonts w:ascii="宋体"/>
                <w:vanish/>
              </w:rPr>
            </w:pPr>
          </w:p>
        </w:tc>
        <w:tc>
          <w:tcPr>
            <w:tcW w:w="0" w:type="auto"/>
            <w:gridSpan w:val="3"/>
            <w:shd w:val="clear" w:color="auto" w:fill="auto"/>
            <w:vAlign w:val="bottom"/>
          </w:tcPr>
          <w:p w14:paraId="74DD9B27" w14:textId="77777777" w:rsidR="00584EC1" w:rsidRDefault="00584EC1">
            <w:pPr>
              <w:rPr>
                <w:rFonts w:ascii="宋体"/>
                <w:vanish/>
              </w:rPr>
            </w:pPr>
          </w:p>
        </w:tc>
        <w:tc>
          <w:tcPr>
            <w:tcW w:w="0" w:type="auto"/>
            <w:gridSpan w:val="3"/>
            <w:shd w:val="clear" w:color="auto" w:fill="auto"/>
            <w:vAlign w:val="bottom"/>
          </w:tcPr>
          <w:p w14:paraId="74DD9B28" w14:textId="77777777" w:rsidR="00584EC1" w:rsidRDefault="00584EC1">
            <w:pPr>
              <w:rPr>
                <w:rFonts w:ascii="宋体"/>
                <w:vanish/>
              </w:rPr>
            </w:pPr>
          </w:p>
        </w:tc>
        <w:tc>
          <w:tcPr>
            <w:tcW w:w="0" w:type="auto"/>
            <w:gridSpan w:val="3"/>
            <w:shd w:val="clear" w:color="auto" w:fill="auto"/>
            <w:vAlign w:val="bottom"/>
          </w:tcPr>
          <w:p w14:paraId="74DD9B29" w14:textId="77777777" w:rsidR="00584EC1" w:rsidRDefault="00584EC1">
            <w:pPr>
              <w:rPr>
                <w:rFonts w:ascii="宋体"/>
                <w:vanish/>
              </w:rPr>
            </w:pPr>
          </w:p>
        </w:tc>
        <w:tc>
          <w:tcPr>
            <w:tcW w:w="0" w:type="auto"/>
            <w:gridSpan w:val="3"/>
            <w:shd w:val="clear" w:color="auto" w:fill="auto"/>
            <w:vAlign w:val="bottom"/>
          </w:tcPr>
          <w:p w14:paraId="74DD9B2A" w14:textId="77777777" w:rsidR="00584EC1" w:rsidRDefault="00584EC1">
            <w:pPr>
              <w:rPr>
                <w:rFonts w:ascii="宋体"/>
                <w:vanish/>
              </w:rPr>
            </w:pPr>
          </w:p>
        </w:tc>
        <w:tc>
          <w:tcPr>
            <w:tcW w:w="0" w:type="auto"/>
            <w:gridSpan w:val="3"/>
            <w:shd w:val="clear" w:color="auto" w:fill="auto"/>
            <w:vAlign w:val="bottom"/>
          </w:tcPr>
          <w:p w14:paraId="74DD9B2B" w14:textId="77777777" w:rsidR="00584EC1" w:rsidRDefault="00584EC1">
            <w:pPr>
              <w:rPr>
                <w:rFonts w:ascii="宋体"/>
                <w:vanish/>
              </w:rPr>
            </w:pPr>
          </w:p>
        </w:tc>
      </w:tr>
      <w:tr w:rsidR="00584EC1" w14:paraId="74DD9B3F" w14:textId="77777777">
        <w:trPr>
          <w:hidden/>
        </w:trPr>
        <w:tc>
          <w:tcPr>
            <w:tcW w:w="0" w:type="auto"/>
            <w:gridSpan w:val="3"/>
            <w:shd w:val="clear" w:color="auto" w:fill="auto"/>
            <w:vAlign w:val="bottom"/>
          </w:tcPr>
          <w:p w14:paraId="74DD9B2D" w14:textId="77777777" w:rsidR="00584EC1" w:rsidRDefault="00584EC1">
            <w:pPr>
              <w:rPr>
                <w:rFonts w:ascii="宋体"/>
                <w:vanish/>
              </w:rPr>
            </w:pPr>
          </w:p>
        </w:tc>
        <w:tc>
          <w:tcPr>
            <w:tcW w:w="0" w:type="auto"/>
            <w:gridSpan w:val="3"/>
            <w:shd w:val="clear" w:color="auto" w:fill="auto"/>
            <w:vAlign w:val="bottom"/>
          </w:tcPr>
          <w:p w14:paraId="74DD9B2E" w14:textId="77777777" w:rsidR="00584EC1" w:rsidRDefault="00584EC1">
            <w:pPr>
              <w:rPr>
                <w:rFonts w:ascii="宋体"/>
                <w:vanish/>
              </w:rPr>
            </w:pPr>
          </w:p>
        </w:tc>
        <w:tc>
          <w:tcPr>
            <w:tcW w:w="0" w:type="auto"/>
            <w:gridSpan w:val="3"/>
            <w:shd w:val="clear" w:color="auto" w:fill="auto"/>
            <w:vAlign w:val="bottom"/>
          </w:tcPr>
          <w:p w14:paraId="74DD9B2F" w14:textId="77777777" w:rsidR="00584EC1" w:rsidRDefault="00584EC1">
            <w:pPr>
              <w:rPr>
                <w:rFonts w:ascii="宋体"/>
                <w:vanish/>
              </w:rPr>
            </w:pPr>
          </w:p>
        </w:tc>
        <w:tc>
          <w:tcPr>
            <w:tcW w:w="0" w:type="auto"/>
            <w:gridSpan w:val="3"/>
            <w:shd w:val="clear" w:color="auto" w:fill="auto"/>
            <w:vAlign w:val="bottom"/>
          </w:tcPr>
          <w:p w14:paraId="74DD9B30" w14:textId="77777777" w:rsidR="00584EC1" w:rsidRDefault="00584EC1">
            <w:pPr>
              <w:rPr>
                <w:rFonts w:ascii="宋体"/>
                <w:vanish/>
              </w:rPr>
            </w:pPr>
          </w:p>
        </w:tc>
        <w:tc>
          <w:tcPr>
            <w:tcW w:w="0" w:type="auto"/>
            <w:gridSpan w:val="3"/>
            <w:shd w:val="clear" w:color="auto" w:fill="auto"/>
            <w:vAlign w:val="bottom"/>
          </w:tcPr>
          <w:p w14:paraId="74DD9B31" w14:textId="77777777" w:rsidR="00584EC1" w:rsidRDefault="00584EC1">
            <w:pPr>
              <w:rPr>
                <w:rFonts w:ascii="宋体"/>
                <w:vanish/>
              </w:rPr>
            </w:pPr>
          </w:p>
        </w:tc>
        <w:tc>
          <w:tcPr>
            <w:tcW w:w="0" w:type="auto"/>
            <w:gridSpan w:val="3"/>
            <w:shd w:val="clear" w:color="auto" w:fill="auto"/>
            <w:vAlign w:val="bottom"/>
          </w:tcPr>
          <w:p w14:paraId="74DD9B32" w14:textId="77777777" w:rsidR="00584EC1" w:rsidRDefault="00584EC1">
            <w:pPr>
              <w:rPr>
                <w:rFonts w:ascii="宋体"/>
                <w:vanish/>
              </w:rPr>
            </w:pPr>
          </w:p>
        </w:tc>
        <w:tc>
          <w:tcPr>
            <w:tcW w:w="0" w:type="auto"/>
            <w:gridSpan w:val="3"/>
            <w:shd w:val="clear" w:color="auto" w:fill="auto"/>
            <w:vAlign w:val="bottom"/>
          </w:tcPr>
          <w:p w14:paraId="74DD9B33" w14:textId="77777777" w:rsidR="00584EC1" w:rsidRDefault="00584EC1">
            <w:pPr>
              <w:rPr>
                <w:rFonts w:ascii="宋体"/>
                <w:vanish/>
              </w:rPr>
            </w:pPr>
          </w:p>
        </w:tc>
        <w:tc>
          <w:tcPr>
            <w:tcW w:w="0" w:type="auto"/>
            <w:gridSpan w:val="3"/>
            <w:shd w:val="clear" w:color="auto" w:fill="auto"/>
            <w:vAlign w:val="bottom"/>
          </w:tcPr>
          <w:p w14:paraId="74DD9B34" w14:textId="77777777" w:rsidR="00584EC1" w:rsidRDefault="00584EC1">
            <w:pPr>
              <w:rPr>
                <w:rFonts w:ascii="宋体"/>
                <w:vanish/>
              </w:rPr>
            </w:pPr>
          </w:p>
        </w:tc>
        <w:tc>
          <w:tcPr>
            <w:tcW w:w="0" w:type="auto"/>
            <w:gridSpan w:val="3"/>
            <w:shd w:val="clear" w:color="auto" w:fill="auto"/>
            <w:vAlign w:val="bottom"/>
          </w:tcPr>
          <w:p w14:paraId="74DD9B35" w14:textId="77777777" w:rsidR="00584EC1" w:rsidRDefault="00584EC1">
            <w:pPr>
              <w:rPr>
                <w:rFonts w:ascii="宋体"/>
                <w:vanish/>
              </w:rPr>
            </w:pPr>
          </w:p>
        </w:tc>
        <w:tc>
          <w:tcPr>
            <w:tcW w:w="0" w:type="auto"/>
            <w:gridSpan w:val="3"/>
            <w:shd w:val="clear" w:color="auto" w:fill="auto"/>
            <w:vAlign w:val="bottom"/>
          </w:tcPr>
          <w:p w14:paraId="74DD9B36" w14:textId="77777777" w:rsidR="00584EC1" w:rsidRDefault="00584EC1">
            <w:pPr>
              <w:rPr>
                <w:rFonts w:ascii="宋体"/>
                <w:vanish/>
              </w:rPr>
            </w:pPr>
          </w:p>
        </w:tc>
        <w:tc>
          <w:tcPr>
            <w:tcW w:w="0" w:type="auto"/>
            <w:gridSpan w:val="3"/>
            <w:shd w:val="clear" w:color="auto" w:fill="auto"/>
            <w:vAlign w:val="bottom"/>
          </w:tcPr>
          <w:p w14:paraId="74DD9B37" w14:textId="77777777" w:rsidR="00584EC1" w:rsidRDefault="00584EC1">
            <w:pPr>
              <w:rPr>
                <w:rFonts w:ascii="宋体"/>
                <w:vanish/>
              </w:rPr>
            </w:pPr>
          </w:p>
        </w:tc>
        <w:tc>
          <w:tcPr>
            <w:tcW w:w="0" w:type="auto"/>
            <w:gridSpan w:val="3"/>
            <w:shd w:val="clear" w:color="auto" w:fill="auto"/>
            <w:vAlign w:val="bottom"/>
          </w:tcPr>
          <w:p w14:paraId="74DD9B38" w14:textId="77777777" w:rsidR="00584EC1" w:rsidRDefault="00584EC1">
            <w:pPr>
              <w:rPr>
                <w:rFonts w:ascii="宋体"/>
                <w:vanish/>
              </w:rPr>
            </w:pPr>
          </w:p>
        </w:tc>
        <w:tc>
          <w:tcPr>
            <w:tcW w:w="0" w:type="auto"/>
            <w:gridSpan w:val="3"/>
            <w:shd w:val="clear" w:color="auto" w:fill="auto"/>
            <w:vAlign w:val="bottom"/>
          </w:tcPr>
          <w:p w14:paraId="74DD9B39" w14:textId="77777777" w:rsidR="00584EC1" w:rsidRDefault="00584EC1">
            <w:pPr>
              <w:rPr>
                <w:rFonts w:ascii="宋体"/>
                <w:vanish/>
              </w:rPr>
            </w:pPr>
          </w:p>
        </w:tc>
        <w:tc>
          <w:tcPr>
            <w:tcW w:w="0" w:type="auto"/>
            <w:gridSpan w:val="3"/>
            <w:shd w:val="clear" w:color="auto" w:fill="auto"/>
            <w:vAlign w:val="bottom"/>
          </w:tcPr>
          <w:p w14:paraId="74DD9B3A" w14:textId="77777777" w:rsidR="00584EC1" w:rsidRDefault="00584EC1">
            <w:pPr>
              <w:rPr>
                <w:rFonts w:ascii="宋体"/>
                <w:vanish/>
              </w:rPr>
            </w:pPr>
          </w:p>
        </w:tc>
        <w:tc>
          <w:tcPr>
            <w:tcW w:w="0" w:type="auto"/>
            <w:gridSpan w:val="3"/>
            <w:shd w:val="clear" w:color="auto" w:fill="auto"/>
            <w:vAlign w:val="bottom"/>
          </w:tcPr>
          <w:p w14:paraId="74DD9B3B" w14:textId="77777777" w:rsidR="00584EC1" w:rsidRDefault="00584EC1">
            <w:pPr>
              <w:rPr>
                <w:rFonts w:ascii="宋体"/>
                <w:vanish/>
              </w:rPr>
            </w:pPr>
          </w:p>
        </w:tc>
        <w:tc>
          <w:tcPr>
            <w:tcW w:w="0" w:type="auto"/>
            <w:gridSpan w:val="3"/>
            <w:shd w:val="clear" w:color="auto" w:fill="auto"/>
            <w:vAlign w:val="bottom"/>
          </w:tcPr>
          <w:p w14:paraId="74DD9B3C" w14:textId="77777777" w:rsidR="00584EC1" w:rsidRDefault="00584EC1">
            <w:pPr>
              <w:rPr>
                <w:rFonts w:ascii="宋体"/>
                <w:vanish/>
              </w:rPr>
            </w:pPr>
          </w:p>
        </w:tc>
        <w:tc>
          <w:tcPr>
            <w:tcW w:w="0" w:type="auto"/>
            <w:gridSpan w:val="3"/>
            <w:shd w:val="clear" w:color="auto" w:fill="auto"/>
            <w:vAlign w:val="bottom"/>
          </w:tcPr>
          <w:p w14:paraId="74DD9B3D" w14:textId="77777777" w:rsidR="00584EC1" w:rsidRDefault="00584EC1">
            <w:pPr>
              <w:rPr>
                <w:rFonts w:ascii="宋体"/>
                <w:vanish/>
              </w:rPr>
            </w:pPr>
          </w:p>
        </w:tc>
        <w:tc>
          <w:tcPr>
            <w:tcW w:w="0" w:type="auto"/>
            <w:gridSpan w:val="3"/>
            <w:shd w:val="clear" w:color="auto" w:fill="auto"/>
            <w:vAlign w:val="bottom"/>
          </w:tcPr>
          <w:p w14:paraId="74DD9B3E" w14:textId="77777777" w:rsidR="00584EC1" w:rsidRDefault="00584EC1">
            <w:pPr>
              <w:rPr>
                <w:rFonts w:ascii="宋体"/>
                <w:vanish/>
              </w:rPr>
            </w:pPr>
          </w:p>
        </w:tc>
      </w:tr>
      <w:tr w:rsidR="00584EC1" w14:paraId="74DD9B52" w14:textId="77777777">
        <w:trPr>
          <w:hidden/>
        </w:trPr>
        <w:tc>
          <w:tcPr>
            <w:tcW w:w="0" w:type="auto"/>
            <w:gridSpan w:val="3"/>
            <w:shd w:val="clear" w:color="auto" w:fill="auto"/>
            <w:vAlign w:val="bottom"/>
          </w:tcPr>
          <w:p w14:paraId="74DD9B40" w14:textId="77777777" w:rsidR="00584EC1" w:rsidRDefault="00584EC1">
            <w:pPr>
              <w:rPr>
                <w:rFonts w:ascii="宋体"/>
                <w:vanish/>
              </w:rPr>
            </w:pPr>
          </w:p>
        </w:tc>
        <w:tc>
          <w:tcPr>
            <w:tcW w:w="0" w:type="auto"/>
            <w:gridSpan w:val="3"/>
            <w:shd w:val="clear" w:color="auto" w:fill="auto"/>
            <w:vAlign w:val="bottom"/>
          </w:tcPr>
          <w:p w14:paraId="74DD9B41" w14:textId="77777777" w:rsidR="00584EC1" w:rsidRDefault="00584EC1">
            <w:pPr>
              <w:rPr>
                <w:rFonts w:ascii="宋体"/>
                <w:vanish/>
              </w:rPr>
            </w:pPr>
          </w:p>
        </w:tc>
        <w:tc>
          <w:tcPr>
            <w:tcW w:w="0" w:type="auto"/>
            <w:gridSpan w:val="3"/>
            <w:shd w:val="clear" w:color="auto" w:fill="auto"/>
            <w:vAlign w:val="bottom"/>
          </w:tcPr>
          <w:p w14:paraId="74DD9B42" w14:textId="77777777" w:rsidR="00584EC1" w:rsidRDefault="00584EC1">
            <w:pPr>
              <w:rPr>
                <w:rFonts w:ascii="宋体"/>
                <w:vanish/>
              </w:rPr>
            </w:pPr>
          </w:p>
        </w:tc>
        <w:tc>
          <w:tcPr>
            <w:tcW w:w="0" w:type="auto"/>
            <w:gridSpan w:val="3"/>
            <w:shd w:val="clear" w:color="auto" w:fill="auto"/>
            <w:vAlign w:val="bottom"/>
          </w:tcPr>
          <w:p w14:paraId="74DD9B43" w14:textId="77777777" w:rsidR="00584EC1" w:rsidRDefault="00584EC1">
            <w:pPr>
              <w:rPr>
                <w:rFonts w:ascii="宋体"/>
                <w:vanish/>
              </w:rPr>
            </w:pPr>
          </w:p>
        </w:tc>
        <w:tc>
          <w:tcPr>
            <w:tcW w:w="0" w:type="auto"/>
            <w:gridSpan w:val="3"/>
            <w:shd w:val="clear" w:color="auto" w:fill="auto"/>
            <w:vAlign w:val="bottom"/>
          </w:tcPr>
          <w:p w14:paraId="74DD9B44" w14:textId="77777777" w:rsidR="00584EC1" w:rsidRDefault="00584EC1">
            <w:pPr>
              <w:rPr>
                <w:rFonts w:ascii="宋体"/>
                <w:vanish/>
              </w:rPr>
            </w:pPr>
          </w:p>
        </w:tc>
        <w:tc>
          <w:tcPr>
            <w:tcW w:w="0" w:type="auto"/>
            <w:gridSpan w:val="3"/>
            <w:shd w:val="clear" w:color="auto" w:fill="auto"/>
            <w:vAlign w:val="bottom"/>
          </w:tcPr>
          <w:p w14:paraId="74DD9B45" w14:textId="77777777" w:rsidR="00584EC1" w:rsidRDefault="00584EC1">
            <w:pPr>
              <w:rPr>
                <w:rFonts w:ascii="宋体"/>
                <w:vanish/>
              </w:rPr>
            </w:pPr>
          </w:p>
        </w:tc>
        <w:tc>
          <w:tcPr>
            <w:tcW w:w="0" w:type="auto"/>
            <w:gridSpan w:val="3"/>
            <w:shd w:val="clear" w:color="auto" w:fill="auto"/>
            <w:vAlign w:val="bottom"/>
          </w:tcPr>
          <w:p w14:paraId="74DD9B46" w14:textId="77777777" w:rsidR="00584EC1" w:rsidRDefault="00584EC1">
            <w:pPr>
              <w:rPr>
                <w:rFonts w:ascii="宋体"/>
                <w:vanish/>
              </w:rPr>
            </w:pPr>
          </w:p>
        </w:tc>
        <w:tc>
          <w:tcPr>
            <w:tcW w:w="0" w:type="auto"/>
            <w:gridSpan w:val="3"/>
            <w:shd w:val="clear" w:color="auto" w:fill="auto"/>
            <w:vAlign w:val="bottom"/>
          </w:tcPr>
          <w:p w14:paraId="74DD9B47" w14:textId="77777777" w:rsidR="00584EC1" w:rsidRDefault="00584EC1">
            <w:pPr>
              <w:rPr>
                <w:rFonts w:ascii="宋体"/>
                <w:vanish/>
              </w:rPr>
            </w:pPr>
          </w:p>
        </w:tc>
        <w:tc>
          <w:tcPr>
            <w:tcW w:w="0" w:type="auto"/>
            <w:gridSpan w:val="3"/>
            <w:shd w:val="clear" w:color="auto" w:fill="auto"/>
            <w:vAlign w:val="bottom"/>
          </w:tcPr>
          <w:p w14:paraId="74DD9B48" w14:textId="77777777" w:rsidR="00584EC1" w:rsidRDefault="00584EC1">
            <w:pPr>
              <w:rPr>
                <w:rFonts w:ascii="宋体"/>
                <w:vanish/>
              </w:rPr>
            </w:pPr>
          </w:p>
        </w:tc>
        <w:tc>
          <w:tcPr>
            <w:tcW w:w="0" w:type="auto"/>
            <w:gridSpan w:val="3"/>
            <w:shd w:val="clear" w:color="auto" w:fill="auto"/>
            <w:vAlign w:val="bottom"/>
          </w:tcPr>
          <w:p w14:paraId="74DD9B49" w14:textId="77777777" w:rsidR="00584EC1" w:rsidRDefault="00584EC1">
            <w:pPr>
              <w:rPr>
                <w:rFonts w:ascii="宋体"/>
                <w:vanish/>
              </w:rPr>
            </w:pPr>
          </w:p>
        </w:tc>
        <w:tc>
          <w:tcPr>
            <w:tcW w:w="0" w:type="auto"/>
            <w:gridSpan w:val="3"/>
            <w:shd w:val="clear" w:color="auto" w:fill="auto"/>
            <w:vAlign w:val="bottom"/>
          </w:tcPr>
          <w:p w14:paraId="74DD9B4A" w14:textId="77777777" w:rsidR="00584EC1" w:rsidRDefault="00584EC1">
            <w:pPr>
              <w:rPr>
                <w:rFonts w:ascii="宋体"/>
                <w:vanish/>
              </w:rPr>
            </w:pPr>
          </w:p>
        </w:tc>
        <w:tc>
          <w:tcPr>
            <w:tcW w:w="0" w:type="auto"/>
            <w:gridSpan w:val="3"/>
            <w:shd w:val="clear" w:color="auto" w:fill="auto"/>
            <w:vAlign w:val="bottom"/>
          </w:tcPr>
          <w:p w14:paraId="74DD9B4B" w14:textId="77777777" w:rsidR="00584EC1" w:rsidRDefault="00584EC1">
            <w:pPr>
              <w:rPr>
                <w:rFonts w:ascii="宋体"/>
                <w:vanish/>
              </w:rPr>
            </w:pPr>
          </w:p>
        </w:tc>
        <w:tc>
          <w:tcPr>
            <w:tcW w:w="0" w:type="auto"/>
            <w:gridSpan w:val="3"/>
            <w:shd w:val="clear" w:color="auto" w:fill="auto"/>
            <w:vAlign w:val="bottom"/>
          </w:tcPr>
          <w:p w14:paraId="74DD9B4C" w14:textId="77777777" w:rsidR="00584EC1" w:rsidRDefault="00584EC1">
            <w:pPr>
              <w:rPr>
                <w:rFonts w:ascii="宋体"/>
                <w:vanish/>
              </w:rPr>
            </w:pPr>
          </w:p>
        </w:tc>
        <w:tc>
          <w:tcPr>
            <w:tcW w:w="0" w:type="auto"/>
            <w:gridSpan w:val="3"/>
            <w:shd w:val="clear" w:color="auto" w:fill="auto"/>
            <w:vAlign w:val="bottom"/>
          </w:tcPr>
          <w:p w14:paraId="74DD9B4D" w14:textId="77777777" w:rsidR="00584EC1" w:rsidRDefault="00584EC1">
            <w:pPr>
              <w:rPr>
                <w:rFonts w:ascii="宋体"/>
                <w:vanish/>
              </w:rPr>
            </w:pPr>
          </w:p>
        </w:tc>
        <w:tc>
          <w:tcPr>
            <w:tcW w:w="0" w:type="auto"/>
            <w:gridSpan w:val="3"/>
            <w:shd w:val="clear" w:color="auto" w:fill="auto"/>
            <w:vAlign w:val="bottom"/>
          </w:tcPr>
          <w:p w14:paraId="74DD9B4E" w14:textId="77777777" w:rsidR="00584EC1" w:rsidRDefault="00584EC1">
            <w:pPr>
              <w:rPr>
                <w:rFonts w:ascii="宋体"/>
                <w:vanish/>
              </w:rPr>
            </w:pPr>
          </w:p>
        </w:tc>
        <w:tc>
          <w:tcPr>
            <w:tcW w:w="0" w:type="auto"/>
            <w:gridSpan w:val="3"/>
            <w:shd w:val="clear" w:color="auto" w:fill="auto"/>
            <w:vAlign w:val="bottom"/>
          </w:tcPr>
          <w:p w14:paraId="74DD9B4F" w14:textId="77777777" w:rsidR="00584EC1" w:rsidRDefault="00584EC1">
            <w:pPr>
              <w:rPr>
                <w:rFonts w:ascii="宋体"/>
                <w:vanish/>
              </w:rPr>
            </w:pPr>
          </w:p>
        </w:tc>
        <w:tc>
          <w:tcPr>
            <w:tcW w:w="0" w:type="auto"/>
            <w:gridSpan w:val="3"/>
            <w:shd w:val="clear" w:color="auto" w:fill="auto"/>
            <w:vAlign w:val="bottom"/>
          </w:tcPr>
          <w:p w14:paraId="74DD9B50" w14:textId="77777777" w:rsidR="00584EC1" w:rsidRDefault="00584EC1">
            <w:pPr>
              <w:rPr>
                <w:rFonts w:ascii="宋体"/>
                <w:vanish/>
              </w:rPr>
            </w:pPr>
          </w:p>
        </w:tc>
        <w:tc>
          <w:tcPr>
            <w:tcW w:w="0" w:type="auto"/>
            <w:gridSpan w:val="3"/>
            <w:shd w:val="clear" w:color="auto" w:fill="auto"/>
            <w:vAlign w:val="bottom"/>
          </w:tcPr>
          <w:p w14:paraId="74DD9B51" w14:textId="77777777" w:rsidR="00584EC1" w:rsidRDefault="00584EC1">
            <w:pPr>
              <w:rPr>
                <w:rFonts w:ascii="宋体"/>
                <w:vanish/>
              </w:rPr>
            </w:pPr>
          </w:p>
        </w:tc>
      </w:tr>
      <w:tr w:rsidR="00584EC1" w14:paraId="74DD9B6B" w14:textId="77777777">
        <w:tc>
          <w:tcPr>
            <w:tcW w:w="0" w:type="auto"/>
            <w:gridSpan w:val="9"/>
            <w:shd w:val="clear" w:color="auto" w:fill="FFFFFF"/>
            <w:tcMar>
              <w:top w:w="40" w:type="dxa"/>
              <w:left w:w="155" w:type="dxa"/>
              <w:bottom w:w="40" w:type="dxa"/>
              <w:right w:w="20" w:type="dxa"/>
            </w:tcMar>
            <w:vAlign w:val="bottom"/>
          </w:tcPr>
          <w:p w14:paraId="74DD9B53" w14:textId="77777777" w:rsidR="00584EC1" w:rsidRDefault="00871F8D">
            <w:pPr>
              <w:textAlignment w:val="bottom"/>
            </w:pPr>
            <w:r>
              <w:rPr>
                <w:rFonts w:ascii="Arial" w:eastAsia="宋体" w:hAnsi="Arial" w:cs="Arial"/>
                <w:color w:val="000000"/>
                <w:sz w:val="12"/>
                <w:szCs w:val="12"/>
              </w:rPr>
              <w:t>Market risk</w:t>
            </w:r>
          </w:p>
        </w:tc>
        <w:tc>
          <w:tcPr>
            <w:tcW w:w="0" w:type="auto"/>
            <w:gridSpan w:val="2"/>
            <w:shd w:val="clear" w:color="auto" w:fill="FFFFFF"/>
            <w:tcMar>
              <w:top w:w="40" w:type="dxa"/>
              <w:left w:w="20" w:type="dxa"/>
              <w:bottom w:w="40" w:type="dxa"/>
              <w:right w:w="0" w:type="dxa"/>
            </w:tcMar>
            <w:vAlign w:val="bottom"/>
          </w:tcPr>
          <w:p w14:paraId="74DD9B54" w14:textId="77777777" w:rsidR="00584EC1" w:rsidRDefault="00871F8D">
            <w:pPr>
              <w:jc w:val="right"/>
              <w:textAlignment w:val="bottom"/>
            </w:pPr>
            <w:r>
              <w:rPr>
                <w:rFonts w:ascii="Arial" w:eastAsia="宋体" w:hAnsi="Arial" w:cs="Arial"/>
                <w:b/>
                <w:bCs/>
                <w:color w:val="000000"/>
                <w:sz w:val="12"/>
                <w:szCs w:val="12"/>
              </w:rPr>
              <w:t>2,625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9B5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B5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B57" w14:textId="77777777" w:rsidR="00584EC1" w:rsidRDefault="00871F8D">
            <w:pPr>
              <w:jc w:val="right"/>
              <w:textAlignment w:val="bottom"/>
            </w:pPr>
            <w:r>
              <w:rPr>
                <w:rFonts w:ascii="Arial" w:eastAsia="宋体" w:hAnsi="Arial" w:cs="Arial"/>
                <w:b/>
                <w:bCs/>
                <w:color w:val="000000"/>
                <w:sz w:val="12"/>
                <w:szCs w:val="12"/>
              </w:rPr>
              <w:t>2,625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9B5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B5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B5A" w14:textId="77777777" w:rsidR="00584EC1" w:rsidRDefault="00871F8D">
            <w:pPr>
              <w:jc w:val="right"/>
              <w:textAlignment w:val="bottom"/>
            </w:pPr>
            <w:r>
              <w:rPr>
                <w:rFonts w:ascii="Arial" w:eastAsia="宋体" w:hAnsi="Arial" w:cs="Arial"/>
                <w:color w:val="000000"/>
                <w:sz w:val="12"/>
                <w:szCs w:val="12"/>
              </w:rPr>
              <w:t>2,188 </w:t>
            </w:r>
          </w:p>
        </w:tc>
        <w:tc>
          <w:tcPr>
            <w:tcW w:w="0" w:type="auto"/>
            <w:shd w:val="clear" w:color="auto" w:fill="FFFFFF"/>
            <w:tcMar>
              <w:top w:w="40" w:type="dxa"/>
              <w:left w:w="0" w:type="dxa"/>
              <w:bottom w:w="40" w:type="dxa"/>
              <w:right w:w="20" w:type="dxa"/>
            </w:tcMar>
            <w:vAlign w:val="bottom"/>
          </w:tcPr>
          <w:p w14:paraId="74DD9B5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B5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B5D" w14:textId="77777777" w:rsidR="00584EC1" w:rsidRDefault="00871F8D">
            <w:pPr>
              <w:jc w:val="right"/>
              <w:textAlignment w:val="bottom"/>
            </w:pPr>
            <w:r>
              <w:rPr>
                <w:rFonts w:ascii="Arial" w:eastAsia="宋体" w:hAnsi="Arial" w:cs="Arial"/>
                <w:color w:val="000000"/>
                <w:sz w:val="12"/>
                <w:szCs w:val="12"/>
              </w:rPr>
              <w:t>2,188 </w:t>
            </w:r>
          </w:p>
        </w:tc>
        <w:tc>
          <w:tcPr>
            <w:tcW w:w="0" w:type="auto"/>
            <w:shd w:val="clear" w:color="auto" w:fill="FFFFFF"/>
            <w:tcMar>
              <w:top w:w="40" w:type="dxa"/>
              <w:left w:w="0" w:type="dxa"/>
              <w:bottom w:w="40" w:type="dxa"/>
              <w:right w:w="20" w:type="dxa"/>
            </w:tcMar>
            <w:vAlign w:val="bottom"/>
          </w:tcPr>
          <w:p w14:paraId="74DD9B5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B5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B60" w14:textId="77777777" w:rsidR="00584EC1" w:rsidRDefault="00871F8D">
            <w:pPr>
              <w:jc w:val="right"/>
              <w:textAlignment w:val="bottom"/>
            </w:pPr>
            <w:r>
              <w:rPr>
                <w:rFonts w:ascii="Arial" w:eastAsia="宋体" w:hAnsi="Arial" w:cs="Arial"/>
                <w:b/>
                <w:bCs/>
                <w:color w:val="000000"/>
                <w:sz w:val="12"/>
                <w:szCs w:val="12"/>
              </w:rPr>
              <w:t>2,625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9B6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B6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B63" w14:textId="77777777" w:rsidR="00584EC1" w:rsidRDefault="00871F8D">
            <w:pPr>
              <w:jc w:val="right"/>
              <w:textAlignment w:val="bottom"/>
            </w:pPr>
            <w:r>
              <w:rPr>
                <w:rFonts w:ascii="Arial" w:eastAsia="宋体" w:hAnsi="Arial" w:cs="Arial"/>
                <w:b/>
                <w:bCs/>
                <w:color w:val="000000"/>
                <w:sz w:val="12"/>
                <w:szCs w:val="12"/>
              </w:rPr>
              <w:t>2,625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9B6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B65"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B66" w14:textId="77777777" w:rsidR="00584EC1" w:rsidRDefault="00871F8D">
            <w:pPr>
              <w:jc w:val="right"/>
              <w:textAlignment w:val="bottom"/>
            </w:pPr>
            <w:r>
              <w:rPr>
                <w:rFonts w:ascii="Arial" w:eastAsia="宋体" w:hAnsi="Arial" w:cs="Arial"/>
                <w:color w:val="000000"/>
                <w:sz w:val="12"/>
                <w:szCs w:val="12"/>
              </w:rPr>
              <w:t>2,188 </w:t>
            </w:r>
          </w:p>
        </w:tc>
        <w:tc>
          <w:tcPr>
            <w:tcW w:w="0" w:type="auto"/>
            <w:shd w:val="clear" w:color="auto" w:fill="FFFFFF"/>
            <w:tcMar>
              <w:top w:w="40" w:type="dxa"/>
              <w:left w:w="0" w:type="dxa"/>
              <w:bottom w:w="40" w:type="dxa"/>
              <w:right w:w="20" w:type="dxa"/>
            </w:tcMar>
            <w:vAlign w:val="bottom"/>
          </w:tcPr>
          <w:p w14:paraId="74DD9B6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B68"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B69" w14:textId="77777777" w:rsidR="00584EC1" w:rsidRDefault="00871F8D">
            <w:pPr>
              <w:jc w:val="right"/>
              <w:textAlignment w:val="bottom"/>
            </w:pPr>
            <w:r>
              <w:rPr>
                <w:rFonts w:ascii="Arial" w:eastAsia="宋体" w:hAnsi="Arial" w:cs="Arial"/>
                <w:color w:val="000000"/>
                <w:sz w:val="12"/>
                <w:szCs w:val="12"/>
              </w:rPr>
              <w:t>2,188 </w:t>
            </w:r>
          </w:p>
        </w:tc>
        <w:tc>
          <w:tcPr>
            <w:tcW w:w="0" w:type="auto"/>
            <w:shd w:val="clear" w:color="auto" w:fill="FFFFFF"/>
            <w:tcMar>
              <w:top w:w="40" w:type="dxa"/>
              <w:left w:w="0" w:type="dxa"/>
              <w:bottom w:w="40" w:type="dxa"/>
              <w:right w:w="20" w:type="dxa"/>
            </w:tcMar>
            <w:vAlign w:val="bottom"/>
          </w:tcPr>
          <w:p w14:paraId="74DD9B6A" w14:textId="77777777" w:rsidR="00584EC1" w:rsidRDefault="00584EC1">
            <w:pPr>
              <w:jc w:val="right"/>
              <w:rPr>
                <w:rFonts w:ascii="宋体"/>
              </w:rPr>
            </w:pPr>
          </w:p>
        </w:tc>
      </w:tr>
      <w:tr w:rsidR="00871F8D" w14:paraId="74DD9B8C" w14:textId="77777777">
        <w:tc>
          <w:tcPr>
            <w:tcW w:w="0" w:type="auto"/>
            <w:gridSpan w:val="9"/>
            <w:shd w:val="clear" w:color="auto" w:fill="CCEEFF"/>
            <w:tcMar>
              <w:top w:w="40" w:type="dxa"/>
              <w:left w:w="20" w:type="dxa"/>
              <w:bottom w:w="40" w:type="dxa"/>
              <w:right w:w="20" w:type="dxa"/>
            </w:tcMar>
            <w:vAlign w:val="bottom"/>
          </w:tcPr>
          <w:p w14:paraId="74DD9B6C" w14:textId="77777777" w:rsidR="00584EC1" w:rsidRDefault="00871F8D">
            <w:pPr>
              <w:textAlignment w:val="bottom"/>
            </w:pPr>
            <w:r>
              <w:rPr>
                <w:rFonts w:ascii="Arial" w:eastAsia="宋体" w:hAnsi="Arial" w:cs="Arial"/>
                <w:b/>
                <w:bCs/>
                <w:color w:val="000000"/>
                <w:sz w:val="12"/>
                <w:szCs w:val="12"/>
              </w:rPr>
              <w:t>Total risk-weighted assets</w:t>
            </w:r>
          </w:p>
        </w:tc>
        <w:tc>
          <w:tcPr>
            <w:tcW w:w="0" w:type="auto"/>
            <w:tcBorders>
              <w:top w:val="single" w:sz="8" w:space="0" w:color="000000"/>
            </w:tcBorders>
            <w:shd w:val="clear" w:color="auto" w:fill="CCEEFF"/>
            <w:tcMar>
              <w:top w:w="40" w:type="dxa"/>
              <w:left w:w="20" w:type="dxa"/>
              <w:bottom w:w="40" w:type="dxa"/>
              <w:right w:w="0" w:type="dxa"/>
            </w:tcMar>
            <w:vAlign w:val="bottom"/>
          </w:tcPr>
          <w:p w14:paraId="74DD9B6D"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9B6E" w14:textId="77777777" w:rsidR="00584EC1" w:rsidRDefault="00871F8D">
            <w:pPr>
              <w:jc w:val="right"/>
              <w:textAlignment w:val="bottom"/>
            </w:pPr>
            <w:r>
              <w:rPr>
                <w:rFonts w:ascii="Arial" w:eastAsia="宋体" w:hAnsi="Arial" w:cs="Arial"/>
                <w:b/>
                <w:bCs/>
                <w:color w:val="000000"/>
                <w:sz w:val="12"/>
                <w:szCs w:val="12"/>
              </w:rPr>
              <w:t>114,878</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B6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B70"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9B71"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9B72" w14:textId="77777777" w:rsidR="00584EC1" w:rsidRDefault="00871F8D">
            <w:pPr>
              <w:jc w:val="right"/>
              <w:textAlignment w:val="bottom"/>
            </w:pPr>
            <w:r>
              <w:rPr>
                <w:rFonts w:ascii="Arial" w:eastAsia="宋体" w:hAnsi="Arial" w:cs="Arial"/>
                <w:b/>
                <w:bCs/>
                <w:color w:val="000000"/>
                <w:sz w:val="12"/>
                <w:szCs w:val="12"/>
              </w:rPr>
              <w:t>117,229</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B7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B74"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9B75"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9B76" w14:textId="77777777" w:rsidR="00584EC1" w:rsidRDefault="00871F8D">
            <w:pPr>
              <w:jc w:val="right"/>
              <w:textAlignment w:val="bottom"/>
            </w:pPr>
            <w:r>
              <w:rPr>
                <w:rFonts w:ascii="Arial" w:eastAsia="宋体" w:hAnsi="Arial" w:cs="Arial"/>
                <w:color w:val="000000"/>
                <w:sz w:val="12"/>
                <w:szCs w:val="12"/>
              </w:rPr>
              <w:t>109,705 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B7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B78"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9B79"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9B7A" w14:textId="77777777" w:rsidR="00584EC1" w:rsidRDefault="00871F8D">
            <w:pPr>
              <w:jc w:val="right"/>
              <w:textAlignment w:val="bottom"/>
            </w:pPr>
            <w:r>
              <w:rPr>
                <w:rFonts w:ascii="Arial" w:eastAsia="宋体" w:hAnsi="Arial" w:cs="Arial"/>
                <w:color w:val="000000"/>
                <w:sz w:val="12"/>
                <w:szCs w:val="12"/>
              </w:rPr>
              <w:t>117,080 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B7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B7C"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9B7D"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9B7E" w14:textId="77777777" w:rsidR="00584EC1" w:rsidRDefault="00871F8D">
            <w:pPr>
              <w:jc w:val="right"/>
              <w:textAlignment w:val="bottom"/>
            </w:pPr>
            <w:r>
              <w:rPr>
                <w:rFonts w:ascii="Arial" w:eastAsia="宋体" w:hAnsi="Arial" w:cs="Arial"/>
                <w:b/>
                <w:bCs/>
                <w:color w:val="000000"/>
                <w:sz w:val="12"/>
                <w:szCs w:val="12"/>
              </w:rPr>
              <w:t>105,373</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B7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B80"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9B81"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9B82" w14:textId="77777777" w:rsidR="00584EC1" w:rsidRDefault="00871F8D">
            <w:pPr>
              <w:jc w:val="right"/>
              <w:textAlignment w:val="bottom"/>
            </w:pPr>
            <w:r>
              <w:rPr>
                <w:rFonts w:ascii="Arial" w:eastAsia="宋体" w:hAnsi="Arial" w:cs="Arial"/>
                <w:b/>
                <w:bCs/>
                <w:color w:val="000000"/>
                <w:sz w:val="12"/>
                <w:szCs w:val="12"/>
              </w:rPr>
              <w:t>114,089</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B8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B84"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9B85"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9B86" w14:textId="77777777" w:rsidR="00584EC1" w:rsidRDefault="00871F8D">
            <w:pPr>
              <w:jc w:val="right"/>
              <w:textAlignment w:val="bottom"/>
            </w:pPr>
            <w:r>
              <w:rPr>
                <w:rFonts w:ascii="Arial" w:eastAsia="宋体" w:hAnsi="Arial" w:cs="Arial"/>
                <w:color w:val="000000"/>
                <w:sz w:val="12"/>
                <w:szCs w:val="12"/>
              </w:rPr>
              <w:t>104,811 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B8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B88"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9B89"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9B8A" w14:textId="77777777" w:rsidR="00584EC1" w:rsidRDefault="00871F8D">
            <w:pPr>
              <w:jc w:val="right"/>
              <w:textAlignment w:val="bottom"/>
            </w:pPr>
            <w:r>
              <w:rPr>
                <w:rFonts w:ascii="Arial" w:eastAsia="宋体" w:hAnsi="Arial" w:cs="Arial"/>
                <w:color w:val="000000"/>
                <w:sz w:val="12"/>
                <w:szCs w:val="12"/>
              </w:rPr>
              <w:t>112,985 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B8B" w14:textId="77777777" w:rsidR="00584EC1" w:rsidRDefault="00584EC1">
            <w:pPr>
              <w:jc w:val="right"/>
              <w:rPr>
                <w:rFonts w:ascii="宋体"/>
              </w:rPr>
            </w:pPr>
          </w:p>
        </w:tc>
      </w:tr>
      <w:tr w:rsidR="00584EC1" w14:paraId="74DD9B9F" w14:textId="77777777">
        <w:trPr>
          <w:trHeight w:val="220"/>
        </w:trPr>
        <w:tc>
          <w:tcPr>
            <w:tcW w:w="0" w:type="auto"/>
            <w:gridSpan w:val="3"/>
            <w:shd w:val="clear" w:color="auto" w:fill="FFFFFF"/>
            <w:tcMar>
              <w:top w:w="0" w:type="dxa"/>
              <w:left w:w="20" w:type="dxa"/>
              <w:bottom w:w="0" w:type="dxa"/>
              <w:right w:w="20" w:type="dxa"/>
            </w:tcMar>
            <w:vAlign w:val="bottom"/>
          </w:tcPr>
          <w:p w14:paraId="74DD9B8D"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9B8E"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9B8F"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9B90"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9B91"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9B9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9B93"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9B94"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9B95"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9B96"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9B97"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9B98"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9B99"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9B9A"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9B9B"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9B9C"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9B9D"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9B9E" w14:textId="77777777" w:rsidR="00584EC1" w:rsidRDefault="00584EC1">
            <w:pPr>
              <w:rPr>
                <w:rFonts w:ascii="宋体"/>
              </w:rPr>
            </w:pPr>
          </w:p>
        </w:tc>
      </w:tr>
      <w:tr w:rsidR="00871F8D" w14:paraId="74DD9BC0" w14:textId="77777777">
        <w:tc>
          <w:tcPr>
            <w:tcW w:w="0" w:type="auto"/>
            <w:gridSpan w:val="9"/>
            <w:shd w:val="clear" w:color="auto" w:fill="CCEEFF"/>
            <w:tcMar>
              <w:top w:w="40" w:type="dxa"/>
              <w:left w:w="20" w:type="dxa"/>
              <w:bottom w:w="40" w:type="dxa"/>
              <w:right w:w="20" w:type="dxa"/>
            </w:tcMar>
            <w:vAlign w:val="bottom"/>
          </w:tcPr>
          <w:p w14:paraId="74DD9BA0" w14:textId="77777777" w:rsidR="00584EC1" w:rsidRDefault="00871F8D">
            <w:pPr>
              <w:textAlignment w:val="bottom"/>
            </w:pPr>
            <w:r>
              <w:rPr>
                <w:rFonts w:ascii="Arial" w:eastAsia="宋体" w:hAnsi="Arial" w:cs="Arial"/>
                <w:b/>
                <w:bCs/>
                <w:color w:val="000000"/>
                <w:sz w:val="12"/>
                <w:szCs w:val="12"/>
              </w:rPr>
              <w:t>Adjusted qu</w:t>
            </w:r>
            <w:r>
              <w:rPr>
                <w:rFonts w:ascii="Arial" w:eastAsia="宋体" w:hAnsi="Arial" w:cs="Arial"/>
                <w:b/>
                <w:bCs/>
                <w:color w:val="000000"/>
                <w:sz w:val="12"/>
                <w:szCs w:val="12"/>
              </w:rPr>
              <w:t>arterly average assets</w:t>
            </w:r>
          </w:p>
        </w:tc>
        <w:tc>
          <w:tcPr>
            <w:tcW w:w="0" w:type="auto"/>
            <w:shd w:val="clear" w:color="auto" w:fill="CCEEFF"/>
            <w:tcMar>
              <w:top w:w="40" w:type="dxa"/>
              <w:left w:w="20" w:type="dxa"/>
              <w:bottom w:w="40" w:type="dxa"/>
              <w:right w:w="0" w:type="dxa"/>
            </w:tcMar>
            <w:vAlign w:val="bottom"/>
          </w:tcPr>
          <w:p w14:paraId="74DD9BA1" w14:textId="77777777" w:rsidR="00584EC1" w:rsidRDefault="00871F8D">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74DD9BA2" w14:textId="77777777" w:rsidR="00584EC1" w:rsidRDefault="00871F8D">
            <w:pPr>
              <w:jc w:val="right"/>
              <w:textAlignment w:val="bottom"/>
            </w:pPr>
            <w:r>
              <w:rPr>
                <w:rFonts w:ascii="Arial" w:eastAsia="宋体" w:hAnsi="Arial" w:cs="Arial"/>
                <w:b/>
                <w:bCs/>
                <w:color w:val="000000"/>
                <w:sz w:val="12"/>
                <w:szCs w:val="12"/>
              </w:rPr>
              <w:t>281,952</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9BA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BA4"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9BA5" w14:textId="77777777" w:rsidR="00584EC1" w:rsidRDefault="00871F8D">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74DD9BA6" w14:textId="77777777" w:rsidR="00584EC1" w:rsidRDefault="00871F8D">
            <w:pPr>
              <w:jc w:val="right"/>
              <w:textAlignment w:val="bottom"/>
            </w:pPr>
            <w:r>
              <w:rPr>
                <w:rFonts w:ascii="Arial" w:eastAsia="宋体" w:hAnsi="Arial" w:cs="Arial"/>
                <w:b/>
                <w:bCs/>
                <w:color w:val="000000"/>
                <w:sz w:val="12"/>
                <w:szCs w:val="12"/>
              </w:rPr>
              <w:t>281,952</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9BA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BA8"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9BA9" w14:textId="77777777" w:rsidR="00584EC1" w:rsidRDefault="00871F8D">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74DD9BAA" w14:textId="77777777" w:rsidR="00584EC1" w:rsidRDefault="00871F8D">
            <w:pPr>
              <w:jc w:val="right"/>
              <w:textAlignment w:val="bottom"/>
            </w:pPr>
            <w:r>
              <w:rPr>
                <w:rFonts w:ascii="Arial" w:eastAsia="宋体" w:hAnsi="Arial" w:cs="Arial"/>
                <w:color w:val="000000"/>
                <w:sz w:val="12"/>
                <w:szCs w:val="12"/>
              </w:rPr>
              <w:t>263,490 </w:t>
            </w:r>
          </w:p>
        </w:tc>
        <w:tc>
          <w:tcPr>
            <w:tcW w:w="0" w:type="auto"/>
            <w:shd w:val="clear" w:color="auto" w:fill="CCEEFF"/>
            <w:tcMar>
              <w:top w:w="40" w:type="dxa"/>
              <w:left w:w="0" w:type="dxa"/>
              <w:bottom w:w="40" w:type="dxa"/>
              <w:right w:w="20" w:type="dxa"/>
            </w:tcMar>
            <w:vAlign w:val="bottom"/>
          </w:tcPr>
          <w:p w14:paraId="74DD9BA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BAC"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9BAD" w14:textId="77777777" w:rsidR="00584EC1" w:rsidRDefault="00871F8D">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74DD9BAE" w14:textId="77777777" w:rsidR="00584EC1" w:rsidRDefault="00871F8D">
            <w:pPr>
              <w:jc w:val="right"/>
              <w:textAlignment w:val="bottom"/>
            </w:pPr>
            <w:r>
              <w:rPr>
                <w:rFonts w:ascii="Arial" w:eastAsia="宋体" w:hAnsi="Arial" w:cs="Arial"/>
                <w:color w:val="000000"/>
                <w:sz w:val="12"/>
                <w:szCs w:val="12"/>
              </w:rPr>
              <w:t>263,490 </w:t>
            </w:r>
          </w:p>
        </w:tc>
        <w:tc>
          <w:tcPr>
            <w:tcW w:w="0" w:type="auto"/>
            <w:shd w:val="clear" w:color="auto" w:fill="CCEEFF"/>
            <w:tcMar>
              <w:top w:w="40" w:type="dxa"/>
              <w:left w:w="0" w:type="dxa"/>
              <w:bottom w:w="40" w:type="dxa"/>
              <w:right w:w="20" w:type="dxa"/>
            </w:tcMar>
            <w:vAlign w:val="bottom"/>
          </w:tcPr>
          <w:p w14:paraId="74DD9BA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BB0"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9BB1" w14:textId="77777777" w:rsidR="00584EC1" w:rsidRDefault="00871F8D">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74DD9BB2" w14:textId="77777777" w:rsidR="00584EC1" w:rsidRDefault="00871F8D">
            <w:pPr>
              <w:jc w:val="right"/>
              <w:textAlignment w:val="bottom"/>
            </w:pPr>
            <w:r>
              <w:rPr>
                <w:rFonts w:ascii="Arial" w:eastAsia="宋体" w:hAnsi="Arial" w:cs="Arial"/>
                <w:b/>
                <w:bCs/>
                <w:color w:val="000000"/>
                <w:sz w:val="12"/>
                <w:szCs w:val="12"/>
              </w:rPr>
              <w:t>278,705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9BB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BB4"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9BB5" w14:textId="77777777" w:rsidR="00584EC1" w:rsidRDefault="00871F8D">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74DD9BB6" w14:textId="77777777" w:rsidR="00584EC1" w:rsidRDefault="00871F8D">
            <w:pPr>
              <w:jc w:val="right"/>
              <w:textAlignment w:val="bottom"/>
            </w:pPr>
            <w:r>
              <w:rPr>
                <w:rFonts w:ascii="Arial" w:eastAsia="宋体" w:hAnsi="Arial" w:cs="Arial"/>
                <w:b/>
                <w:bCs/>
                <w:color w:val="000000"/>
                <w:sz w:val="12"/>
                <w:szCs w:val="12"/>
              </w:rPr>
              <w:t>278,705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9BB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BB8"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9BB9" w14:textId="77777777" w:rsidR="00584EC1" w:rsidRDefault="00871F8D">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74DD9BBA" w14:textId="77777777" w:rsidR="00584EC1" w:rsidRDefault="00871F8D">
            <w:pPr>
              <w:jc w:val="right"/>
              <w:textAlignment w:val="bottom"/>
            </w:pPr>
            <w:r>
              <w:rPr>
                <w:rFonts w:ascii="Arial" w:eastAsia="宋体" w:hAnsi="Arial" w:cs="Arial"/>
                <w:color w:val="000000"/>
                <w:sz w:val="12"/>
                <w:szCs w:val="12"/>
              </w:rPr>
              <w:t>260,489 </w:t>
            </w:r>
          </w:p>
        </w:tc>
        <w:tc>
          <w:tcPr>
            <w:tcW w:w="0" w:type="auto"/>
            <w:shd w:val="clear" w:color="auto" w:fill="CCEEFF"/>
            <w:tcMar>
              <w:top w:w="40" w:type="dxa"/>
              <w:left w:w="0" w:type="dxa"/>
              <w:bottom w:w="40" w:type="dxa"/>
              <w:right w:w="20" w:type="dxa"/>
            </w:tcMar>
            <w:vAlign w:val="bottom"/>
          </w:tcPr>
          <w:p w14:paraId="74DD9BB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BBC"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9BBD" w14:textId="77777777" w:rsidR="00584EC1" w:rsidRDefault="00871F8D">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74DD9BBE" w14:textId="77777777" w:rsidR="00584EC1" w:rsidRDefault="00871F8D">
            <w:pPr>
              <w:jc w:val="right"/>
              <w:textAlignment w:val="bottom"/>
            </w:pPr>
            <w:r>
              <w:rPr>
                <w:rFonts w:ascii="Arial" w:eastAsia="宋体" w:hAnsi="Arial" w:cs="Arial"/>
                <w:color w:val="000000"/>
                <w:sz w:val="12"/>
                <w:szCs w:val="12"/>
              </w:rPr>
              <w:t>260,489 </w:t>
            </w:r>
          </w:p>
        </w:tc>
        <w:tc>
          <w:tcPr>
            <w:tcW w:w="0" w:type="auto"/>
            <w:shd w:val="clear" w:color="auto" w:fill="CCEEFF"/>
            <w:tcMar>
              <w:top w:w="40" w:type="dxa"/>
              <w:left w:w="0" w:type="dxa"/>
              <w:bottom w:w="40" w:type="dxa"/>
              <w:right w:w="20" w:type="dxa"/>
            </w:tcMar>
            <w:vAlign w:val="bottom"/>
          </w:tcPr>
          <w:p w14:paraId="74DD9BBF" w14:textId="77777777" w:rsidR="00584EC1" w:rsidRDefault="00584EC1">
            <w:pPr>
              <w:jc w:val="right"/>
              <w:rPr>
                <w:rFonts w:ascii="宋体"/>
              </w:rPr>
            </w:pPr>
          </w:p>
        </w:tc>
      </w:tr>
      <w:tr w:rsidR="00584EC1" w14:paraId="74DD9BD3" w14:textId="77777777">
        <w:trPr>
          <w:trHeight w:val="60"/>
        </w:trPr>
        <w:tc>
          <w:tcPr>
            <w:tcW w:w="0" w:type="auto"/>
            <w:gridSpan w:val="3"/>
            <w:shd w:val="clear" w:color="auto" w:fill="auto"/>
            <w:tcMar>
              <w:top w:w="0" w:type="dxa"/>
              <w:left w:w="20" w:type="dxa"/>
              <w:bottom w:w="0" w:type="dxa"/>
              <w:right w:w="20" w:type="dxa"/>
            </w:tcMar>
            <w:vAlign w:val="bottom"/>
          </w:tcPr>
          <w:p w14:paraId="74DD9BC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9BC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9BC3"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9BC4"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9BC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9BC6"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9BC7"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9BC8"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9BC9"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9BCA"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9BCB"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9BCC"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9BCD"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9BCE"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9BCF"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9BD0"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9BD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9BD2" w14:textId="77777777" w:rsidR="00584EC1" w:rsidRDefault="00584EC1">
            <w:pPr>
              <w:rPr>
                <w:rFonts w:ascii="宋体"/>
              </w:rPr>
            </w:pPr>
          </w:p>
        </w:tc>
      </w:tr>
      <w:tr w:rsidR="00584EC1" w14:paraId="74DD9BE6" w14:textId="77777777">
        <w:tc>
          <w:tcPr>
            <w:tcW w:w="0" w:type="auto"/>
            <w:gridSpan w:val="3"/>
            <w:shd w:val="clear" w:color="auto" w:fill="FFFFFF"/>
            <w:tcMar>
              <w:top w:w="40" w:type="dxa"/>
              <w:left w:w="20" w:type="dxa"/>
              <w:bottom w:w="40" w:type="dxa"/>
              <w:right w:w="20" w:type="dxa"/>
            </w:tcMar>
            <w:vAlign w:val="bottom"/>
          </w:tcPr>
          <w:p w14:paraId="74DD9BD4" w14:textId="77777777" w:rsidR="00584EC1" w:rsidRDefault="00871F8D">
            <w:pPr>
              <w:textAlignment w:val="bottom"/>
            </w:pPr>
            <w:r>
              <w:rPr>
                <w:rFonts w:ascii="Arial" w:eastAsia="宋体" w:hAnsi="Arial" w:cs="Arial"/>
                <w:b/>
                <w:bCs/>
                <w:color w:val="000000"/>
                <w:sz w:val="12"/>
                <w:szCs w:val="12"/>
              </w:rPr>
              <w:t>Capital Ratios:</w:t>
            </w:r>
          </w:p>
        </w:tc>
        <w:tc>
          <w:tcPr>
            <w:tcW w:w="0" w:type="auto"/>
            <w:gridSpan w:val="3"/>
            <w:shd w:val="clear" w:color="auto" w:fill="FFFFFF"/>
            <w:tcMar>
              <w:top w:w="40" w:type="dxa"/>
              <w:left w:w="20" w:type="dxa"/>
              <w:bottom w:w="40" w:type="dxa"/>
              <w:right w:w="20" w:type="dxa"/>
            </w:tcMar>
            <w:vAlign w:val="bottom"/>
          </w:tcPr>
          <w:p w14:paraId="74DD9BD5" w14:textId="77777777" w:rsidR="00584EC1" w:rsidRDefault="00871F8D">
            <w:pPr>
              <w:jc w:val="center"/>
              <w:textAlignment w:val="bottom"/>
            </w:pPr>
            <w:r>
              <w:rPr>
                <w:rFonts w:ascii="Arial" w:eastAsia="宋体" w:hAnsi="Arial" w:cs="Arial"/>
                <w:color w:val="000000"/>
                <w:sz w:val="12"/>
                <w:szCs w:val="12"/>
              </w:rPr>
              <w:t xml:space="preserve">2021 Minimum Requirements Including Capital Conservation Buffer and G-SIB </w:t>
            </w:r>
            <w:r>
              <w:rPr>
                <w:rFonts w:ascii="Arial" w:eastAsia="宋体" w:hAnsi="Arial" w:cs="Arial"/>
                <w:color w:val="000000"/>
                <w:sz w:val="12"/>
                <w:szCs w:val="12"/>
              </w:rPr>
              <w:t>Surcharge</w:t>
            </w:r>
            <w:r>
              <w:rPr>
                <w:rFonts w:ascii="Arial" w:eastAsia="宋体" w:hAnsi="Arial" w:cs="Arial"/>
                <w:color w:val="000000"/>
                <w:sz w:val="7"/>
                <w:szCs w:val="7"/>
              </w:rPr>
              <w:t>(4)</w:t>
            </w:r>
          </w:p>
        </w:tc>
        <w:tc>
          <w:tcPr>
            <w:tcW w:w="0" w:type="auto"/>
            <w:gridSpan w:val="3"/>
            <w:shd w:val="clear" w:color="auto" w:fill="FFFFFF"/>
            <w:tcMar>
              <w:top w:w="40" w:type="dxa"/>
              <w:left w:w="20" w:type="dxa"/>
              <w:bottom w:w="40" w:type="dxa"/>
              <w:right w:w="20" w:type="dxa"/>
            </w:tcMar>
            <w:vAlign w:val="bottom"/>
          </w:tcPr>
          <w:p w14:paraId="74DD9BD6" w14:textId="77777777" w:rsidR="00584EC1" w:rsidRDefault="00871F8D">
            <w:pPr>
              <w:jc w:val="center"/>
              <w:textAlignment w:val="bottom"/>
            </w:pPr>
            <w:r>
              <w:rPr>
                <w:rFonts w:ascii="Arial" w:eastAsia="宋体" w:hAnsi="Arial" w:cs="Arial"/>
                <w:color w:val="000000"/>
                <w:sz w:val="12"/>
                <w:szCs w:val="12"/>
              </w:rPr>
              <w:t>2020 Minimum Requirements Including Capital Conservation Buffer and G-SIB Surcharge</w:t>
            </w:r>
            <w:r>
              <w:rPr>
                <w:rFonts w:ascii="Arial" w:eastAsia="宋体" w:hAnsi="Arial" w:cs="Arial"/>
                <w:color w:val="000000"/>
                <w:sz w:val="7"/>
                <w:szCs w:val="7"/>
              </w:rPr>
              <w:t>(4)</w:t>
            </w:r>
          </w:p>
        </w:tc>
        <w:tc>
          <w:tcPr>
            <w:tcW w:w="0" w:type="auto"/>
            <w:gridSpan w:val="3"/>
            <w:shd w:val="clear" w:color="auto" w:fill="FFFFFF"/>
            <w:tcMar>
              <w:top w:w="0" w:type="dxa"/>
              <w:left w:w="20" w:type="dxa"/>
              <w:bottom w:w="0" w:type="dxa"/>
              <w:right w:w="20" w:type="dxa"/>
            </w:tcMar>
            <w:vAlign w:val="bottom"/>
          </w:tcPr>
          <w:p w14:paraId="74DD9BD7"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9BD8"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9BD9"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9BDA"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9BDB"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9BDC"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9BDD"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9BDE"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9BDF"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9BE0"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9BE1"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9BE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9BE3"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9BE4"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9BE5" w14:textId="77777777" w:rsidR="00584EC1" w:rsidRDefault="00584EC1">
            <w:pPr>
              <w:rPr>
                <w:rFonts w:ascii="宋体"/>
              </w:rPr>
            </w:pPr>
          </w:p>
        </w:tc>
      </w:tr>
      <w:tr w:rsidR="00871F8D" w14:paraId="74DD9C03" w14:textId="77777777">
        <w:tc>
          <w:tcPr>
            <w:tcW w:w="0" w:type="auto"/>
            <w:gridSpan w:val="3"/>
            <w:shd w:val="clear" w:color="auto" w:fill="CCEEFF"/>
            <w:tcMar>
              <w:top w:w="40" w:type="dxa"/>
              <w:left w:w="20" w:type="dxa"/>
              <w:bottom w:w="40" w:type="dxa"/>
              <w:right w:w="20" w:type="dxa"/>
            </w:tcMar>
            <w:vAlign w:val="bottom"/>
          </w:tcPr>
          <w:p w14:paraId="74DD9BE7" w14:textId="77777777" w:rsidR="00584EC1" w:rsidRDefault="00871F8D">
            <w:pPr>
              <w:textAlignment w:val="bottom"/>
            </w:pPr>
            <w:r>
              <w:rPr>
                <w:rFonts w:ascii="Arial" w:eastAsia="宋体" w:hAnsi="Arial" w:cs="Arial"/>
                <w:color w:val="000000"/>
                <w:sz w:val="12"/>
                <w:szCs w:val="12"/>
              </w:rPr>
              <w:t>Common equity tier 1 capital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9BE8" w14:textId="77777777" w:rsidR="00584EC1" w:rsidRDefault="00871F8D">
            <w:pPr>
              <w:jc w:val="right"/>
              <w:textAlignment w:val="bottom"/>
            </w:pPr>
            <w:r>
              <w:rPr>
                <w:rFonts w:ascii="Arial" w:eastAsia="宋体" w:hAnsi="Arial" w:cs="Arial"/>
                <w:b/>
                <w:bCs/>
                <w:color w:val="000000"/>
                <w:sz w:val="12"/>
                <w:szCs w:val="12"/>
              </w:rPr>
              <w:t>8.0</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BE9" w14:textId="77777777" w:rsidR="00584EC1" w:rsidRDefault="00871F8D">
            <w:pPr>
              <w:jc w:val="right"/>
              <w:textAlignment w:val="bottom"/>
            </w:pPr>
            <w:r>
              <w:rPr>
                <w:rFonts w:ascii="Arial" w:eastAsia="宋体" w:hAnsi="Arial" w:cs="Arial"/>
                <w:b/>
                <w:bCs/>
                <w:color w:val="000000"/>
                <w:sz w:val="12"/>
                <w:szCs w:val="12"/>
              </w:rPr>
              <w: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9BEA" w14:textId="77777777" w:rsidR="00584EC1" w:rsidRDefault="00871F8D">
            <w:pPr>
              <w:jc w:val="right"/>
              <w:textAlignment w:val="bottom"/>
            </w:pPr>
            <w:r>
              <w:rPr>
                <w:rFonts w:ascii="Arial" w:eastAsia="宋体" w:hAnsi="Arial" w:cs="Arial"/>
                <w:color w:val="000000"/>
                <w:sz w:val="12"/>
                <w:szCs w:val="12"/>
              </w:rPr>
              <w:t>8.0 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BEB" w14:textId="77777777" w:rsidR="00584EC1" w:rsidRDefault="00871F8D">
            <w:pPr>
              <w:jc w:val="right"/>
              <w:textAlignment w:val="bottom"/>
            </w:pPr>
            <w:r>
              <w:rPr>
                <w:rFonts w:ascii="Arial" w:eastAsia="宋体" w:hAnsi="Arial" w:cs="Arial"/>
                <w:color w:val="000000"/>
                <w:sz w:val="12"/>
                <w:szCs w:val="12"/>
              </w:rPr>
              <w:t>%</w:t>
            </w:r>
          </w:p>
        </w:tc>
        <w:tc>
          <w:tcPr>
            <w:tcW w:w="0" w:type="auto"/>
            <w:gridSpan w:val="2"/>
            <w:shd w:val="clear" w:color="auto" w:fill="CCEEFF"/>
            <w:tcMar>
              <w:top w:w="40" w:type="dxa"/>
              <w:left w:w="20" w:type="dxa"/>
              <w:bottom w:w="40" w:type="dxa"/>
              <w:right w:w="0" w:type="dxa"/>
            </w:tcMar>
            <w:vAlign w:val="bottom"/>
          </w:tcPr>
          <w:p w14:paraId="74DD9BEC" w14:textId="77777777" w:rsidR="00584EC1" w:rsidRDefault="00871F8D">
            <w:pPr>
              <w:jc w:val="right"/>
              <w:textAlignment w:val="bottom"/>
            </w:pPr>
            <w:r>
              <w:rPr>
                <w:rFonts w:ascii="Arial" w:eastAsia="宋体" w:hAnsi="Arial" w:cs="Arial"/>
                <w:b/>
                <w:bCs/>
                <w:color w:val="000000"/>
                <w:sz w:val="12"/>
                <w:szCs w:val="12"/>
              </w:rPr>
              <w:t>13.8</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9BED" w14:textId="77777777" w:rsidR="00584EC1" w:rsidRDefault="00871F8D">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vAlign w:val="bottom"/>
          </w:tcPr>
          <w:p w14:paraId="74DD9BEE"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BEF" w14:textId="77777777" w:rsidR="00584EC1" w:rsidRDefault="00871F8D">
            <w:pPr>
              <w:jc w:val="right"/>
              <w:textAlignment w:val="bottom"/>
            </w:pPr>
            <w:r>
              <w:rPr>
                <w:rFonts w:ascii="Arial" w:eastAsia="宋体" w:hAnsi="Arial" w:cs="Arial"/>
                <w:b/>
                <w:bCs/>
                <w:color w:val="000000"/>
                <w:sz w:val="12"/>
                <w:szCs w:val="12"/>
              </w:rPr>
              <w:t>13.5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9BF0" w14:textId="77777777" w:rsidR="00584EC1" w:rsidRDefault="00871F8D">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vAlign w:val="bottom"/>
          </w:tcPr>
          <w:p w14:paraId="74DD9BF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BF2" w14:textId="77777777" w:rsidR="00584EC1" w:rsidRDefault="00871F8D">
            <w:pPr>
              <w:jc w:val="right"/>
              <w:textAlignment w:val="bottom"/>
            </w:pPr>
            <w:r>
              <w:rPr>
                <w:rFonts w:ascii="Arial" w:eastAsia="宋体" w:hAnsi="Arial" w:cs="Arial"/>
                <w:color w:val="000000"/>
                <w:sz w:val="12"/>
                <w:szCs w:val="12"/>
              </w:rPr>
              <w:t>13.1 </w:t>
            </w:r>
          </w:p>
        </w:tc>
        <w:tc>
          <w:tcPr>
            <w:tcW w:w="0" w:type="auto"/>
            <w:shd w:val="clear" w:color="auto" w:fill="CCEEFF"/>
            <w:tcMar>
              <w:top w:w="40" w:type="dxa"/>
              <w:left w:w="0" w:type="dxa"/>
              <w:bottom w:w="40" w:type="dxa"/>
              <w:right w:w="20" w:type="dxa"/>
            </w:tcMar>
            <w:vAlign w:val="bottom"/>
          </w:tcPr>
          <w:p w14:paraId="74DD9BF3" w14:textId="77777777" w:rsidR="00584EC1" w:rsidRDefault="00871F8D">
            <w:pPr>
              <w:jc w:val="right"/>
              <w:textAlignment w:val="bottom"/>
            </w:pPr>
            <w:r>
              <w:rPr>
                <w:rFonts w:ascii="Arial" w:eastAsia="宋体" w:hAnsi="Arial" w:cs="Arial"/>
                <w:color w:val="000000"/>
                <w:sz w:val="12"/>
                <w:szCs w:val="12"/>
              </w:rPr>
              <w:t>%</w:t>
            </w:r>
          </w:p>
        </w:tc>
        <w:tc>
          <w:tcPr>
            <w:tcW w:w="0" w:type="auto"/>
            <w:gridSpan w:val="3"/>
            <w:shd w:val="clear" w:color="auto" w:fill="CCEEFF"/>
            <w:tcMar>
              <w:top w:w="0" w:type="dxa"/>
              <w:left w:w="20" w:type="dxa"/>
              <w:bottom w:w="0" w:type="dxa"/>
              <w:right w:w="20" w:type="dxa"/>
            </w:tcMar>
            <w:vAlign w:val="bottom"/>
          </w:tcPr>
          <w:p w14:paraId="74DD9BF4"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BF5" w14:textId="77777777" w:rsidR="00584EC1" w:rsidRDefault="00871F8D">
            <w:pPr>
              <w:jc w:val="right"/>
              <w:textAlignment w:val="bottom"/>
            </w:pPr>
            <w:r>
              <w:rPr>
                <w:rFonts w:ascii="Arial" w:eastAsia="宋体" w:hAnsi="Arial" w:cs="Arial"/>
                <w:color w:val="000000"/>
                <w:sz w:val="12"/>
                <w:szCs w:val="12"/>
              </w:rPr>
              <w:t>12.3 </w:t>
            </w:r>
          </w:p>
        </w:tc>
        <w:tc>
          <w:tcPr>
            <w:tcW w:w="0" w:type="auto"/>
            <w:shd w:val="clear" w:color="auto" w:fill="CCEEFF"/>
            <w:tcMar>
              <w:top w:w="40" w:type="dxa"/>
              <w:left w:w="0" w:type="dxa"/>
              <w:bottom w:w="40" w:type="dxa"/>
              <w:right w:w="20" w:type="dxa"/>
            </w:tcMar>
            <w:vAlign w:val="bottom"/>
          </w:tcPr>
          <w:p w14:paraId="74DD9BF6" w14:textId="77777777" w:rsidR="00584EC1" w:rsidRDefault="00871F8D">
            <w:pPr>
              <w:jc w:val="right"/>
              <w:textAlignment w:val="bottom"/>
            </w:pPr>
            <w:r>
              <w:rPr>
                <w:rFonts w:ascii="Arial" w:eastAsia="宋体" w:hAnsi="Arial" w:cs="Arial"/>
                <w:color w:val="000000"/>
                <w:sz w:val="12"/>
                <w:szCs w:val="12"/>
              </w:rPr>
              <w:t>%</w:t>
            </w:r>
          </w:p>
        </w:tc>
        <w:tc>
          <w:tcPr>
            <w:tcW w:w="0" w:type="auto"/>
            <w:gridSpan w:val="3"/>
            <w:shd w:val="clear" w:color="auto" w:fill="CCEEFF"/>
            <w:tcMar>
              <w:top w:w="0" w:type="dxa"/>
              <w:left w:w="20" w:type="dxa"/>
              <w:bottom w:w="0" w:type="dxa"/>
              <w:right w:w="20" w:type="dxa"/>
            </w:tcMar>
            <w:vAlign w:val="bottom"/>
          </w:tcPr>
          <w:p w14:paraId="74DD9BF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BF8" w14:textId="77777777" w:rsidR="00584EC1" w:rsidRDefault="00871F8D">
            <w:pPr>
              <w:jc w:val="right"/>
              <w:textAlignment w:val="bottom"/>
            </w:pPr>
            <w:r>
              <w:rPr>
                <w:rFonts w:ascii="Arial" w:eastAsia="宋体" w:hAnsi="Arial" w:cs="Arial"/>
                <w:b/>
                <w:bCs/>
                <w:color w:val="000000"/>
                <w:sz w:val="12"/>
                <w:szCs w:val="12"/>
              </w:rPr>
              <w:t>17.4</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9BF9" w14:textId="77777777" w:rsidR="00584EC1" w:rsidRDefault="00871F8D">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vAlign w:val="bottom"/>
          </w:tcPr>
          <w:p w14:paraId="74DD9BFA"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BFB" w14:textId="77777777" w:rsidR="00584EC1" w:rsidRDefault="00871F8D">
            <w:pPr>
              <w:jc w:val="right"/>
              <w:textAlignment w:val="bottom"/>
            </w:pPr>
            <w:r>
              <w:rPr>
                <w:rFonts w:ascii="Arial" w:eastAsia="宋体" w:hAnsi="Arial" w:cs="Arial"/>
                <w:b/>
                <w:bCs/>
                <w:color w:val="000000"/>
                <w:sz w:val="12"/>
                <w:szCs w:val="12"/>
              </w:rPr>
              <w:t>16.0</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9BFC" w14:textId="77777777" w:rsidR="00584EC1" w:rsidRDefault="00871F8D">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vAlign w:val="bottom"/>
          </w:tcPr>
          <w:p w14:paraId="74DD9BF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BFE" w14:textId="77777777" w:rsidR="00584EC1" w:rsidRDefault="00871F8D">
            <w:pPr>
              <w:jc w:val="right"/>
              <w:textAlignment w:val="bottom"/>
            </w:pPr>
            <w:r>
              <w:rPr>
                <w:rFonts w:ascii="Arial" w:eastAsia="宋体" w:hAnsi="Arial" w:cs="Arial"/>
                <w:color w:val="000000"/>
                <w:sz w:val="12"/>
                <w:szCs w:val="12"/>
              </w:rPr>
              <w:t>16.5 </w:t>
            </w:r>
          </w:p>
        </w:tc>
        <w:tc>
          <w:tcPr>
            <w:tcW w:w="0" w:type="auto"/>
            <w:shd w:val="clear" w:color="auto" w:fill="CCEEFF"/>
            <w:tcMar>
              <w:top w:w="40" w:type="dxa"/>
              <w:left w:w="0" w:type="dxa"/>
              <w:bottom w:w="40" w:type="dxa"/>
              <w:right w:w="20" w:type="dxa"/>
            </w:tcMar>
            <w:vAlign w:val="bottom"/>
          </w:tcPr>
          <w:p w14:paraId="74DD9BFF" w14:textId="77777777" w:rsidR="00584EC1" w:rsidRDefault="00871F8D">
            <w:pPr>
              <w:jc w:val="right"/>
              <w:textAlignment w:val="bottom"/>
            </w:pPr>
            <w:r>
              <w:rPr>
                <w:rFonts w:ascii="Arial" w:eastAsia="宋体" w:hAnsi="Arial" w:cs="Arial"/>
                <w:color w:val="000000"/>
                <w:sz w:val="12"/>
                <w:szCs w:val="12"/>
              </w:rPr>
              <w:t>%</w:t>
            </w:r>
          </w:p>
        </w:tc>
        <w:tc>
          <w:tcPr>
            <w:tcW w:w="0" w:type="auto"/>
            <w:gridSpan w:val="3"/>
            <w:shd w:val="clear" w:color="auto" w:fill="CCEEFF"/>
            <w:tcMar>
              <w:top w:w="0" w:type="dxa"/>
              <w:left w:w="20" w:type="dxa"/>
              <w:bottom w:w="0" w:type="dxa"/>
              <w:right w:w="20" w:type="dxa"/>
            </w:tcMar>
            <w:vAlign w:val="bottom"/>
          </w:tcPr>
          <w:p w14:paraId="74DD9C0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C01" w14:textId="77777777" w:rsidR="00584EC1" w:rsidRDefault="00871F8D">
            <w:pPr>
              <w:jc w:val="right"/>
              <w:textAlignment w:val="bottom"/>
            </w:pPr>
            <w:r>
              <w:rPr>
                <w:rFonts w:ascii="Arial" w:eastAsia="宋体" w:hAnsi="Arial" w:cs="Arial"/>
                <w:color w:val="000000"/>
                <w:sz w:val="12"/>
                <w:szCs w:val="12"/>
              </w:rPr>
              <w:t>15.3 </w:t>
            </w:r>
          </w:p>
        </w:tc>
        <w:tc>
          <w:tcPr>
            <w:tcW w:w="0" w:type="auto"/>
            <w:shd w:val="clear" w:color="auto" w:fill="CCEEFF"/>
            <w:tcMar>
              <w:top w:w="40" w:type="dxa"/>
              <w:left w:w="0" w:type="dxa"/>
              <w:bottom w:w="40" w:type="dxa"/>
              <w:right w:w="20" w:type="dxa"/>
            </w:tcMar>
            <w:vAlign w:val="bottom"/>
          </w:tcPr>
          <w:p w14:paraId="74DD9C02" w14:textId="77777777" w:rsidR="00584EC1" w:rsidRDefault="00871F8D">
            <w:pPr>
              <w:jc w:val="right"/>
              <w:textAlignment w:val="bottom"/>
            </w:pPr>
            <w:r>
              <w:rPr>
                <w:rFonts w:ascii="Arial" w:eastAsia="宋体" w:hAnsi="Arial" w:cs="Arial"/>
                <w:color w:val="000000"/>
                <w:sz w:val="12"/>
                <w:szCs w:val="12"/>
              </w:rPr>
              <w:t>%</w:t>
            </w:r>
          </w:p>
        </w:tc>
      </w:tr>
      <w:tr w:rsidR="00871F8D" w14:paraId="74DD9C20" w14:textId="77777777">
        <w:tc>
          <w:tcPr>
            <w:tcW w:w="0" w:type="auto"/>
            <w:gridSpan w:val="3"/>
            <w:shd w:val="clear" w:color="auto" w:fill="FFFFFF"/>
            <w:tcMar>
              <w:top w:w="40" w:type="dxa"/>
              <w:left w:w="20" w:type="dxa"/>
              <w:bottom w:w="40" w:type="dxa"/>
              <w:right w:w="20" w:type="dxa"/>
            </w:tcMar>
            <w:vAlign w:val="bottom"/>
          </w:tcPr>
          <w:p w14:paraId="74DD9C04" w14:textId="77777777" w:rsidR="00584EC1" w:rsidRDefault="00871F8D">
            <w:pPr>
              <w:textAlignment w:val="bottom"/>
            </w:pPr>
            <w:r>
              <w:rPr>
                <w:rFonts w:ascii="Arial" w:eastAsia="宋体" w:hAnsi="Arial" w:cs="Arial"/>
                <w:color w:val="000000"/>
                <w:sz w:val="12"/>
                <w:szCs w:val="12"/>
              </w:rPr>
              <w:t>Tier 1 capital</w:t>
            </w:r>
          </w:p>
        </w:tc>
        <w:tc>
          <w:tcPr>
            <w:tcW w:w="0" w:type="auto"/>
            <w:gridSpan w:val="2"/>
            <w:shd w:val="clear" w:color="auto" w:fill="FFFFFF"/>
            <w:tcMar>
              <w:top w:w="40" w:type="dxa"/>
              <w:left w:w="20" w:type="dxa"/>
              <w:bottom w:w="40" w:type="dxa"/>
              <w:right w:w="0" w:type="dxa"/>
            </w:tcMar>
            <w:vAlign w:val="bottom"/>
          </w:tcPr>
          <w:p w14:paraId="74DD9C05" w14:textId="77777777" w:rsidR="00584EC1" w:rsidRDefault="00871F8D">
            <w:pPr>
              <w:jc w:val="right"/>
              <w:textAlignment w:val="bottom"/>
            </w:pPr>
            <w:r>
              <w:rPr>
                <w:rFonts w:ascii="Arial" w:eastAsia="宋体" w:hAnsi="Arial" w:cs="Arial"/>
                <w:b/>
                <w:bCs/>
                <w:color w:val="000000"/>
                <w:sz w:val="12"/>
                <w:szCs w:val="12"/>
              </w:rPr>
              <w:t>9.5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9C06" w14:textId="77777777" w:rsidR="00584EC1" w:rsidRDefault="00584EC1">
            <w:pPr>
              <w:jc w:val="right"/>
              <w:rPr>
                <w:rFonts w:ascii="宋体"/>
              </w:rPr>
            </w:pPr>
          </w:p>
        </w:tc>
        <w:tc>
          <w:tcPr>
            <w:tcW w:w="0" w:type="auto"/>
            <w:gridSpan w:val="2"/>
            <w:shd w:val="clear" w:color="auto" w:fill="FFFFFF"/>
            <w:tcMar>
              <w:top w:w="40" w:type="dxa"/>
              <w:left w:w="20" w:type="dxa"/>
              <w:bottom w:w="40" w:type="dxa"/>
              <w:right w:w="0" w:type="dxa"/>
            </w:tcMar>
            <w:vAlign w:val="bottom"/>
          </w:tcPr>
          <w:p w14:paraId="74DD9C07" w14:textId="77777777" w:rsidR="00584EC1" w:rsidRDefault="00871F8D">
            <w:pPr>
              <w:jc w:val="right"/>
              <w:textAlignment w:val="bottom"/>
            </w:pPr>
            <w:r>
              <w:rPr>
                <w:rFonts w:ascii="Arial" w:eastAsia="宋体" w:hAnsi="Arial" w:cs="Arial"/>
                <w:color w:val="000000"/>
                <w:sz w:val="12"/>
                <w:szCs w:val="12"/>
              </w:rPr>
              <w:t>9.5 </w:t>
            </w:r>
          </w:p>
        </w:tc>
        <w:tc>
          <w:tcPr>
            <w:tcW w:w="0" w:type="auto"/>
            <w:shd w:val="clear" w:color="auto" w:fill="FFFFFF"/>
            <w:tcMar>
              <w:top w:w="40" w:type="dxa"/>
              <w:left w:w="0" w:type="dxa"/>
              <w:bottom w:w="40" w:type="dxa"/>
              <w:right w:w="20" w:type="dxa"/>
            </w:tcMar>
            <w:vAlign w:val="bottom"/>
          </w:tcPr>
          <w:p w14:paraId="74DD9C08" w14:textId="77777777" w:rsidR="00584EC1" w:rsidRDefault="00584EC1">
            <w:pPr>
              <w:jc w:val="right"/>
              <w:rPr>
                <w:rFonts w:ascii="宋体"/>
              </w:rPr>
            </w:pPr>
          </w:p>
        </w:tc>
        <w:tc>
          <w:tcPr>
            <w:tcW w:w="0" w:type="auto"/>
            <w:gridSpan w:val="2"/>
            <w:shd w:val="clear" w:color="auto" w:fill="FFFFFF"/>
            <w:tcMar>
              <w:top w:w="40" w:type="dxa"/>
              <w:left w:w="20" w:type="dxa"/>
              <w:bottom w:w="40" w:type="dxa"/>
              <w:right w:w="0" w:type="dxa"/>
            </w:tcMar>
            <w:vAlign w:val="bottom"/>
          </w:tcPr>
          <w:p w14:paraId="74DD9C09" w14:textId="77777777" w:rsidR="00584EC1" w:rsidRDefault="00871F8D">
            <w:pPr>
              <w:jc w:val="right"/>
              <w:textAlignment w:val="bottom"/>
            </w:pPr>
            <w:r>
              <w:rPr>
                <w:rFonts w:ascii="Arial" w:eastAsia="宋体" w:hAnsi="Arial" w:cs="Arial"/>
                <w:b/>
                <w:bCs/>
                <w:color w:val="000000"/>
                <w:sz w:val="12"/>
                <w:szCs w:val="12"/>
              </w:rPr>
              <w:t>15.5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9C0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C0B"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C0C" w14:textId="77777777" w:rsidR="00584EC1" w:rsidRDefault="00871F8D">
            <w:pPr>
              <w:jc w:val="right"/>
              <w:textAlignment w:val="bottom"/>
            </w:pPr>
            <w:r>
              <w:rPr>
                <w:rFonts w:ascii="Arial" w:eastAsia="宋体" w:hAnsi="Arial" w:cs="Arial"/>
                <w:b/>
                <w:bCs/>
                <w:color w:val="000000"/>
                <w:sz w:val="12"/>
                <w:szCs w:val="12"/>
              </w:rPr>
              <w:t>15.2</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9C0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C0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C0F" w14:textId="77777777" w:rsidR="00584EC1" w:rsidRDefault="00871F8D">
            <w:pPr>
              <w:jc w:val="right"/>
              <w:textAlignment w:val="bottom"/>
            </w:pPr>
            <w:r>
              <w:rPr>
                <w:rFonts w:ascii="Arial" w:eastAsia="宋体" w:hAnsi="Arial" w:cs="Arial"/>
                <w:color w:val="000000"/>
                <w:sz w:val="12"/>
                <w:szCs w:val="12"/>
              </w:rPr>
              <w:t>15.4 </w:t>
            </w:r>
          </w:p>
        </w:tc>
        <w:tc>
          <w:tcPr>
            <w:tcW w:w="0" w:type="auto"/>
            <w:shd w:val="clear" w:color="auto" w:fill="FFFFFF"/>
            <w:tcMar>
              <w:top w:w="40" w:type="dxa"/>
              <w:left w:w="0" w:type="dxa"/>
              <w:bottom w:w="40" w:type="dxa"/>
              <w:right w:w="20" w:type="dxa"/>
            </w:tcMar>
            <w:vAlign w:val="bottom"/>
          </w:tcPr>
          <w:p w14:paraId="74DD9C1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C1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C12" w14:textId="77777777" w:rsidR="00584EC1" w:rsidRDefault="00871F8D">
            <w:pPr>
              <w:jc w:val="right"/>
              <w:textAlignment w:val="bottom"/>
            </w:pPr>
            <w:r>
              <w:rPr>
                <w:rFonts w:ascii="Arial" w:eastAsia="宋体" w:hAnsi="Arial" w:cs="Arial"/>
                <w:color w:val="000000"/>
                <w:sz w:val="12"/>
                <w:szCs w:val="12"/>
              </w:rPr>
              <w:t>14.4 </w:t>
            </w:r>
          </w:p>
        </w:tc>
        <w:tc>
          <w:tcPr>
            <w:tcW w:w="0" w:type="auto"/>
            <w:shd w:val="clear" w:color="auto" w:fill="FFFFFF"/>
            <w:tcMar>
              <w:top w:w="40" w:type="dxa"/>
              <w:left w:w="0" w:type="dxa"/>
              <w:bottom w:w="40" w:type="dxa"/>
              <w:right w:w="20" w:type="dxa"/>
            </w:tcMar>
            <w:vAlign w:val="bottom"/>
          </w:tcPr>
          <w:p w14:paraId="74DD9C1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C1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C15" w14:textId="77777777" w:rsidR="00584EC1" w:rsidRDefault="00871F8D">
            <w:pPr>
              <w:jc w:val="right"/>
              <w:textAlignment w:val="bottom"/>
            </w:pPr>
            <w:r>
              <w:rPr>
                <w:rFonts w:ascii="Arial" w:eastAsia="宋体" w:hAnsi="Arial" w:cs="Arial"/>
                <w:b/>
                <w:bCs/>
                <w:color w:val="000000"/>
                <w:sz w:val="12"/>
                <w:szCs w:val="12"/>
              </w:rPr>
              <w:t>17.4</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9C1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C1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C18" w14:textId="77777777" w:rsidR="00584EC1" w:rsidRDefault="00871F8D">
            <w:pPr>
              <w:jc w:val="right"/>
              <w:textAlignment w:val="bottom"/>
            </w:pPr>
            <w:r>
              <w:rPr>
                <w:rFonts w:ascii="Arial" w:eastAsia="宋体" w:hAnsi="Arial" w:cs="Arial"/>
                <w:b/>
                <w:bCs/>
                <w:color w:val="000000"/>
                <w:sz w:val="12"/>
                <w:szCs w:val="12"/>
              </w:rPr>
              <w:t>16.0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D9C1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C1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C1B" w14:textId="77777777" w:rsidR="00584EC1" w:rsidRDefault="00871F8D">
            <w:pPr>
              <w:jc w:val="right"/>
              <w:textAlignment w:val="bottom"/>
            </w:pPr>
            <w:r>
              <w:rPr>
                <w:rFonts w:ascii="Arial" w:eastAsia="宋体" w:hAnsi="Arial" w:cs="Arial"/>
                <w:color w:val="000000"/>
                <w:sz w:val="12"/>
                <w:szCs w:val="12"/>
              </w:rPr>
              <w:t>16.5 </w:t>
            </w:r>
          </w:p>
        </w:tc>
        <w:tc>
          <w:tcPr>
            <w:tcW w:w="0" w:type="auto"/>
            <w:shd w:val="clear" w:color="auto" w:fill="FFFFFF"/>
            <w:tcMar>
              <w:top w:w="40" w:type="dxa"/>
              <w:left w:w="0" w:type="dxa"/>
              <w:bottom w:w="40" w:type="dxa"/>
              <w:right w:w="20" w:type="dxa"/>
            </w:tcMar>
            <w:vAlign w:val="bottom"/>
          </w:tcPr>
          <w:p w14:paraId="74DD9C1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C1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C1E" w14:textId="77777777" w:rsidR="00584EC1" w:rsidRDefault="00871F8D">
            <w:pPr>
              <w:jc w:val="right"/>
              <w:textAlignment w:val="bottom"/>
            </w:pPr>
            <w:r>
              <w:rPr>
                <w:rFonts w:ascii="Arial" w:eastAsia="宋体" w:hAnsi="Arial" w:cs="Arial"/>
                <w:color w:val="000000"/>
                <w:sz w:val="12"/>
                <w:szCs w:val="12"/>
              </w:rPr>
              <w:t>15.3 </w:t>
            </w:r>
          </w:p>
        </w:tc>
        <w:tc>
          <w:tcPr>
            <w:tcW w:w="0" w:type="auto"/>
            <w:shd w:val="clear" w:color="auto" w:fill="FFFFFF"/>
            <w:tcMar>
              <w:top w:w="40" w:type="dxa"/>
              <w:left w:w="0" w:type="dxa"/>
              <w:bottom w:w="40" w:type="dxa"/>
              <w:right w:w="20" w:type="dxa"/>
            </w:tcMar>
            <w:vAlign w:val="bottom"/>
          </w:tcPr>
          <w:p w14:paraId="74DD9C1F" w14:textId="77777777" w:rsidR="00584EC1" w:rsidRDefault="00584EC1">
            <w:pPr>
              <w:jc w:val="right"/>
              <w:rPr>
                <w:rFonts w:ascii="宋体"/>
              </w:rPr>
            </w:pPr>
          </w:p>
        </w:tc>
      </w:tr>
      <w:tr w:rsidR="00871F8D" w14:paraId="74DD9C3D" w14:textId="77777777">
        <w:tc>
          <w:tcPr>
            <w:tcW w:w="0" w:type="auto"/>
            <w:gridSpan w:val="3"/>
            <w:shd w:val="clear" w:color="auto" w:fill="CCEEFF"/>
            <w:tcMar>
              <w:top w:w="40" w:type="dxa"/>
              <w:left w:w="20" w:type="dxa"/>
              <w:bottom w:w="40" w:type="dxa"/>
              <w:right w:w="20" w:type="dxa"/>
            </w:tcMar>
            <w:vAlign w:val="bottom"/>
          </w:tcPr>
          <w:p w14:paraId="74DD9C21" w14:textId="77777777" w:rsidR="00584EC1" w:rsidRDefault="00871F8D">
            <w:pPr>
              <w:textAlignment w:val="bottom"/>
            </w:pPr>
            <w:r>
              <w:rPr>
                <w:rFonts w:ascii="Arial" w:eastAsia="宋体" w:hAnsi="Arial" w:cs="Arial"/>
                <w:color w:val="000000"/>
                <w:sz w:val="12"/>
                <w:szCs w:val="12"/>
              </w:rPr>
              <w:t>Total capital</w:t>
            </w:r>
          </w:p>
        </w:tc>
        <w:tc>
          <w:tcPr>
            <w:tcW w:w="0" w:type="auto"/>
            <w:gridSpan w:val="2"/>
            <w:shd w:val="clear" w:color="auto" w:fill="CCEEFF"/>
            <w:tcMar>
              <w:top w:w="40" w:type="dxa"/>
              <w:left w:w="20" w:type="dxa"/>
              <w:bottom w:w="40" w:type="dxa"/>
              <w:right w:w="0" w:type="dxa"/>
            </w:tcMar>
            <w:vAlign w:val="bottom"/>
          </w:tcPr>
          <w:p w14:paraId="74DD9C22" w14:textId="77777777" w:rsidR="00584EC1" w:rsidRDefault="00871F8D">
            <w:pPr>
              <w:jc w:val="right"/>
              <w:textAlignment w:val="bottom"/>
            </w:pPr>
            <w:r>
              <w:rPr>
                <w:rFonts w:ascii="Arial" w:eastAsia="宋体" w:hAnsi="Arial" w:cs="Arial"/>
                <w:b/>
                <w:bCs/>
                <w:color w:val="000000"/>
                <w:sz w:val="12"/>
                <w:szCs w:val="12"/>
              </w:rPr>
              <w:t>11.5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9C23" w14:textId="77777777" w:rsidR="00584EC1" w:rsidRDefault="00584EC1">
            <w:pPr>
              <w:jc w:val="right"/>
              <w:rPr>
                <w:rFonts w:ascii="宋体"/>
              </w:rPr>
            </w:pPr>
          </w:p>
        </w:tc>
        <w:tc>
          <w:tcPr>
            <w:tcW w:w="0" w:type="auto"/>
            <w:gridSpan w:val="2"/>
            <w:shd w:val="clear" w:color="auto" w:fill="CCEEFF"/>
            <w:tcMar>
              <w:top w:w="40" w:type="dxa"/>
              <w:left w:w="20" w:type="dxa"/>
              <w:bottom w:w="40" w:type="dxa"/>
              <w:right w:w="0" w:type="dxa"/>
            </w:tcMar>
            <w:vAlign w:val="bottom"/>
          </w:tcPr>
          <w:p w14:paraId="74DD9C24" w14:textId="77777777" w:rsidR="00584EC1" w:rsidRDefault="00871F8D">
            <w:pPr>
              <w:jc w:val="right"/>
              <w:textAlignment w:val="bottom"/>
            </w:pPr>
            <w:r>
              <w:rPr>
                <w:rFonts w:ascii="Arial" w:eastAsia="宋体" w:hAnsi="Arial" w:cs="Arial"/>
                <w:color w:val="000000"/>
                <w:sz w:val="12"/>
                <w:szCs w:val="12"/>
              </w:rPr>
              <w:t>11.5 </w:t>
            </w:r>
          </w:p>
        </w:tc>
        <w:tc>
          <w:tcPr>
            <w:tcW w:w="0" w:type="auto"/>
            <w:shd w:val="clear" w:color="auto" w:fill="CCEEFF"/>
            <w:tcMar>
              <w:top w:w="40" w:type="dxa"/>
              <w:left w:w="0" w:type="dxa"/>
              <w:bottom w:w="40" w:type="dxa"/>
              <w:right w:w="20" w:type="dxa"/>
            </w:tcMar>
            <w:vAlign w:val="bottom"/>
          </w:tcPr>
          <w:p w14:paraId="74DD9C25" w14:textId="77777777" w:rsidR="00584EC1" w:rsidRDefault="00584EC1">
            <w:pPr>
              <w:jc w:val="right"/>
              <w:rPr>
                <w:rFonts w:ascii="宋体"/>
              </w:rPr>
            </w:pPr>
          </w:p>
        </w:tc>
        <w:tc>
          <w:tcPr>
            <w:tcW w:w="0" w:type="auto"/>
            <w:gridSpan w:val="2"/>
            <w:shd w:val="clear" w:color="auto" w:fill="CCEEFF"/>
            <w:tcMar>
              <w:top w:w="40" w:type="dxa"/>
              <w:left w:w="20" w:type="dxa"/>
              <w:bottom w:w="40" w:type="dxa"/>
              <w:right w:w="0" w:type="dxa"/>
            </w:tcMar>
            <w:vAlign w:val="bottom"/>
          </w:tcPr>
          <w:p w14:paraId="74DD9C26" w14:textId="77777777" w:rsidR="00584EC1" w:rsidRDefault="00871F8D">
            <w:pPr>
              <w:jc w:val="right"/>
              <w:textAlignment w:val="bottom"/>
            </w:pPr>
            <w:r>
              <w:rPr>
                <w:rFonts w:ascii="Arial" w:eastAsia="宋体" w:hAnsi="Arial" w:cs="Arial"/>
                <w:b/>
                <w:bCs/>
                <w:color w:val="000000"/>
                <w:sz w:val="12"/>
                <w:szCs w:val="12"/>
              </w:rPr>
              <w:t>16.9</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9C2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C28"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C29" w14:textId="77777777" w:rsidR="00584EC1" w:rsidRDefault="00871F8D">
            <w:pPr>
              <w:jc w:val="right"/>
              <w:textAlignment w:val="bottom"/>
            </w:pPr>
            <w:r>
              <w:rPr>
                <w:rFonts w:ascii="Arial" w:eastAsia="宋体" w:hAnsi="Arial" w:cs="Arial"/>
                <w:b/>
                <w:bCs/>
                <w:color w:val="000000"/>
                <w:sz w:val="12"/>
                <w:szCs w:val="12"/>
              </w:rPr>
              <w:t>16.6</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9C2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C2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C2C" w14:textId="77777777" w:rsidR="00584EC1" w:rsidRDefault="00871F8D">
            <w:pPr>
              <w:jc w:val="right"/>
              <w:textAlignment w:val="bottom"/>
            </w:pPr>
            <w:r>
              <w:rPr>
                <w:rFonts w:ascii="Arial" w:eastAsia="宋体" w:hAnsi="Arial" w:cs="Arial"/>
                <w:color w:val="000000"/>
                <w:sz w:val="12"/>
                <w:szCs w:val="12"/>
              </w:rPr>
              <w:t>16.2 </w:t>
            </w:r>
          </w:p>
        </w:tc>
        <w:tc>
          <w:tcPr>
            <w:tcW w:w="0" w:type="auto"/>
            <w:shd w:val="clear" w:color="auto" w:fill="CCEEFF"/>
            <w:tcMar>
              <w:top w:w="40" w:type="dxa"/>
              <w:left w:w="0" w:type="dxa"/>
              <w:bottom w:w="40" w:type="dxa"/>
              <w:right w:w="20" w:type="dxa"/>
            </w:tcMar>
            <w:vAlign w:val="bottom"/>
          </w:tcPr>
          <w:p w14:paraId="74DD9C2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C2E"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C2F" w14:textId="77777777" w:rsidR="00584EC1" w:rsidRDefault="00871F8D">
            <w:pPr>
              <w:jc w:val="right"/>
              <w:textAlignment w:val="bottom"/>
            </w:pPr>
            <w:r>
              <w:rPr>
                <w:rFonts w:ascii="Arial" w:eastAsia="宋体" w:hAnsi="Arial" w:cs="Arial"/>
                <w:color w:val="000000"/>
                <w:sz w:val="12"/>
                <w:szCs w:val="12"/>
              </w:rPr>
              <w:t>15.3 </w:t>
            </w:r>
          </w:p>
        </w:tc>
        <w:tc>
          <w:tcPr>
            <w:tcW w:w="0" w:type="auto"/>
            <w:shd w:val="clear" w:color="auto" w:fill="CCEEFF"/>
            <w:tcMar>
              <w:top w:w="40" w:type="dxa"/>
              <w:left w:w="0" w:type="dxa"/>
              <w:bottom w:w="40" w:type="dxa"/>
              <w:right w:w="20" w:type="dxa"/>
            </w:tcMar>
            <w:vAlign w:val="bottom"/>
          </w:tcPr>
          <w:p w14:paraId="74DD9C3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C3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C32" w14:textId="77777777" w:rsidR="00584EC1" w:rsidRDefault="00871F8D">
            <w:pPr>
              <w:jc w:val="right"/>
              <w:textAlignment w:val="bottom"/>
            </w:pPr>
            <w:r>
              <w:rPr>
                <w:rFonts w:ascii="Arial" w:eastAsia="宋体" w:hAnsi="Arial" w:cs="Arial"/>
                <w:b/>
                <w:bCs/>
                <w:color w:val="000000"/>
                <w:sz w:val="12"/>
                <w:szCs w:val="12"/>
              </w:rPr>
              <w:t>18.1</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9C3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C34"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C35" w14:textId="77777777" w:rsidR="00584EC1" w:rsidRDefault="00871F8D">
            <w:pPr>
              <w:jc w:val="right"/>
              <w:textAlignment w:val="bottom"/>
            </w:pPr>
            <w:r>
              <w:rPr>
                <w:rFonts w:ascii="Arial" w:eastAsia="宋体" w:hAnsi="Arial" w:cs="Arial"/>
                <w:b/>
                <w:bCs/>
                <w:color w:val="000000"/>
                <w:sz w:val="12"/>
                <w:szCs w:val="12"/>
              </w:rPr>
              <w:t>16.8</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D9C3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C3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C38" w14:textId="77777777" w:rsidR="00584EC1" w:rsidRDefault="00871F8D">
            <w:pPr>
              <w:jc w:val="right"/>
              <w:textAlignment w:val="bottom"/>
            </w:pPr>
            <w:r>
              <w:rPr>
                <w:rFonts w:ascii="Arial" w:eastAsia="宋体" w:hAnsi="Arial" w:cs="Arial"/>
                <w:color w:val="000000"/>
                <w:sz w:val="12"/>
                <w:szCs w:val="12"/>
              </w:rPr>
              <w:t>17.4 </w:t>
            </w:r>
          </w:p>
        </w:tc>
        <w:tc>
          <w:tcPr>
            <w:tcW w:w="0" w:type="auto"/>
            <w:shd w:val="clear" w:color="auto" w:fill="CCEEFF"/>
            <w:tcMar>
              <w:top w:w="40" w:type="dxa"/>
              <w:left w:w="0" w:type="dxa"/>
              <w:bottom w:w="40" w:type="dxa"/>
              <w:right w:w="20" w:type="dxa"/>
            </w:tcMar>
            <w:vAlign w:val="bottom"/>
          </w:tcPr>
          <w:p w14:paraId="74DD9C3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C3A"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C3B" w14:textId="77777777" w:rsidR="00584EC1" w:rsidRDefault="00871F8D">
            <w:pPr>
              <w:jc w:val="right"/>
              <w:textAlignment w:val="bottom"/>
            </w:pPr>
            <w:r>
              <w:rPr>
                <w:rFonts w:ascii="Arial" w:eastAsia="宋体" w:hAnsi="Arial" w:cs="Arial"/>
                <w:color w:val="000000"/>
                <w:sz w:val="12"/>
                <w:szCs w:val="12"/>
              </w:rPr>
              <w:t>16.3 </w:t>
            </w:r>
          </w:p>
        </w:tc>
        <w:tc>
          <w:tcPr>
            <w:tcW w:w="0" w:type="auto"/>
            <w:shd w:val="clear" w:color="auto" w:fill="CCEEFF"/>
            <w:tcMar>
              <w:top w:w="40" w:type="dxa"/>
              <w:left w:w="0" w:type="dxa"/>
              <w:bottom w:w="40" w:type="dxa"/>
              <w:right w:w="20" w:type="dxa"/>
            </w:tcMar>
            <w:vAlign w:val="bottom"/>
          </w:tcPr>
          <w:p w14:paraId="74DD9C3C" w14:textId="77777777" w:rsidR="00584EC1" w:rsidRDefault="00584EC1">
            <w:pPr>
              <w:jc w:val="right"/>
              <w:rPr>
                <w:rFonts w:ascii="宋体"/>
              </w:rPr>
            </w:pPr>
          </w:p>
        </w:tc>
      </w:tr>
      <w:tr w:rsidR="00584EC1" w14:paraId="74DD9C50" w14:textId="77777777">
        <w:trPr>
          <w:hidden/>
        </w:trPr>
        <w:tc>
          <w:tcPr>
            <w:tcW w:w="0" w:type="auto"/>
            <w:gridSpan w:val="3"/>
            <w:shd w:val="clear" w:color="auto" w:fill="auto"/>
            <w:vAlign w:val="bottom"/>
          </w:tcPr>
          <w:p w14:paraId="74DD9C3E" w14:textId="77777777" w:rsidR="00584EC1" w:rsidRDefault="00584EC1">
            <w:pPr>
              <w:rPr>
                <w:rFonts w:ascii="宋体"/>
                <w:vanish/>
              </w:rPr>
            </w:pPr>
          </w:p>
        </w:tc>
        <w:tc>
          <w:tcPr>
            <w:tcW w:w="0" w:type="auto"/>
            <w:gridSpan w:val="3"/>
            <w:shd w:val="clear" w:color="auto" w:fill="auto"/>
            <w:vAlign w:val="bottom"/>
          </w:tcPr>
          <w:p w14:paraId="74DD9C3F" w14:textId="77777777" w:rsidR="00584EC1" w:rsidRDefault="00584EC1">
            <w:pPr>
              <w:rPr>
                <w:rFonts w:ascii="宋体"/>
                <w:vanish/>
              </w:rPr>
            </w:pPr>
          </w:p>
        </w:tc>
        <w:tc>
          <w:tcPr>
            <w:tcW w:w="0" w:type="auto"/>
            <w:gridSpan w:val="3"/>
            <w:shd w:val="clear" w:color="auto" w:fill="auto"/>
            <w:vAlign w:val="bottom"/>
          </w:tcPr>
          <w:p w14:paraId="74DD9C40" w14:textId="77777777" w:rsidR="00584EC1" w:rsidRDefault="00584EC1">
            <w:pPr>
              <w:rPr>
                <w:rFonts w:ascii="宋体"/>
                <w:vanish/>
              </w:rPr>
            </w:pPr>
          </w:p>
        </w:tc>
        <w:tc>
          <w:tcPr>
            <w:tcW w:w="0" w:type="auto"/>
            <w:gridSpan w:val="3"/>
            <w:shd w:val="clear" w:color="auto" w:fill="auto"/>
            <w:vAlign w:val="bottom"/>
          </w:tcPr>
          <w:p w14:paraId="74DD9C41" w14:textId="77777777" w:rsidR="00584EC1" w:rsidRDefault="00584EC1">
            <w:pPr>
              <w:rPr>
                <w:rFonts w:ascii="宋体"/>
                <w:vanish/>
              </w:rPr>
            </w:pPr>
          </w:p>
        </w:tc>
        <w:tc>
          <w:tcPr>
            <w:tcW w:w="0" w:type="auto"/>
            <w:gridSpan w:val="3"/>
            <w:shd w:val="clear" w:color="auto" w:fill="auto"/>
            <w:vAlign w:val="bottom"/>
          </w:tcPr>
          <w:p w14:paraId="74DD9C42" w14:textId="77777777" w:rsidR="00584EC1" w:rsidRDefault="00584EC1">
            <w:pPr>
              <w:rPr>
                <w:rFonts w:ascii="宋体"/>
                <w:vanish/>
              </w:rPr>
            </w:pPr>
          </w:p>
        </w:tc>
        <w:tc>
          <w:tcPr>
            <w:tcW w:w="0" w:type="auto"/>
            <w:gridSpan w:val="3"/>
            <w:shd w:val="clear" w:color="auto" w:fill="auto"/>
            <w:vAlign w:val="bottom"/>
          </w:tcPr>
          <w:p w14:paraId="74DD9C43" w14:textId="77777777" w:rsidR="00584EC1" w:rsidRDefault="00584EC1">
            <w:pPr>
              <w:rPr>
                <w:rFonts w:ascii="宋体"/>
                <w:vanish/>
              </w:rPr>
            </w:pPr>
          </w:p>
        </w:tc>
        <w:tc>
          <w:tcPr>
            <w:tcW w:w="0" w:type="auto"/>
            <w:gridSpan w:val="3"/>
            <w:shd w:val="clear" w:color="auto" w:fill="auto"/>
            <w:vAlign w:val="bottom"/>
          </w:tcPr>
          <w:p w14:paraId="74DD9C44" w14:textId="77777777" w:rsidR="00584EC1" w:rsidRDefault="00584EC1">
            <w:pPr>
              <w:rPr>
                <w:rFonts w:ascii="宋体"/>
                <w:vanish/>
              </w:rPr>
            </w:pPr>
          </w:p>
        </w:tc>
        <w:tc>
          <w:tcPr>
            <w:tcW w:w="0" w:type="auto"/>
            <w:gridSpan w:val="3"/>
            <w:shd w:val="clear" w:color="auto" w:fill="auto"/>
            <w:vAlign w:val="bottom"/>
          </w:tcPr>
          <w:p w14:paraId="74DD9C45" w14:textId="77777777" w:rsidR="00584EC1" w:rsidRDefault="00584EC1">
            <w:pPr>
              <w:rPr>
                <w:rFonts w:ascii="宋体"/>
                <w:vanish/>
              </w:rPr>
            </w:pPr>
          </w:p>
        </w:tc>
        <w:tc>
          <w:tcPr>
            <w:tcW w:w="0" w:type="auto"/>
            <w:gridSpan w:val="3"/>
            <w:shd w:val="clear" w:color="auto" w:fill="auto"/>
            <w:vAlign w:val="bottom"/>
          </w:tcPr>
          <w:p w14:paraId="74DD9C46" w14:textId="77777777" w:rsidR="00584EC1" w:rsidRDefault="00584EC1">
            <w:pPr>
              <w:rPr>
                <w:rFonts w:ascii="宋体"/>
                <w:vanish/>
              </w:rPr>
            </w:pPr>
          </w:p>
        </w:tc>
        <w:tc>
          <w:tcPr>
            <w:tcW w:w="0" w:type="auto"/>
            <w:gridSpan w:val="3"/>
            <w:shd w:val="clear" w:color="auto" w:fill="auto"/>
            <w:vAlign w:val="bottom"/>
          </w:tcPr>
          <w:p w14:paraId="74DD9C47" w14:textId="77777777" w:rsidR="00584EC1" w:rsidRDefault="00584EC1">
            <w:pPr>
              <w:rPr>
                <w:rFonts w:ascii="宋体"/>
                <w:vanish/>
              </w:rPr>
            </w:pPr>
          </w:p>
        </w:tc>
        <w:tc>
          <w:tcPr>
            <w:tcW w:w="0" w:type="auto"/>
            <w:gridSpan w:val="3"/>
            <w:shd w:val="clear" w:color="auto" w:fill="auto"/>
            <w:vAlign w:val="bottom"/>
          </w:tcPr>
          <w:p w14:paraId="74DD9C48" w14:textId="77777777" w:rsidR="00584EC1" w:rsidRDefault="00584EC1">
            <w:pPr>
              <w:rPr>
                <w:rFonts w:ascii="宋体"/>
                <w:vanish/>
              </w:rPr>
            </w:pPr>
          </w:p>
        </w:tc>
        <w:tc>
          <w:tcPr>
            <w:tcW w:w="0" w:type="auto"/>
            <w:gridSpan w:val="3"/>
            <w:shd w:val="clear" w:color="auto" w:fill="auto"/>
            <w:vAlign w:val="bottom"/>
          </w:tcPr>
          <w:p w14:paraId="74DD9C49" w14:textId="77777777" w:rsidR="00584EC1" w:rsidRDefault="00584EC1">
            <w:pPr>
              <w:rPr>
                <w:rFonts w:ascii="宋体"/>
                <w:vanish/>
              </w:rPr>
            </w:pPr>
          </w:p>
        </w:tc>
        <w:tc>
          <w:tcPr>
            <w:tcW w:w="0" w:type="auto"/>
            <w:gridSpan w:val="3"/>
            <w:shd w:val="clear" w:color="auto" w:fill="auto"/>
            <w:vAlign w:val="bottom"/>
          </w:tcPr>
          <w:p w14:paraId="74DD9C4A" w14:textId="77777777" w:rsidR="00584EC1" w:rsidRDefault="00584EC1">
            <w:pPr>
              <w:rPr>
                <w:rFonts w:ascii="宋体"/>
                <w:vanish/>
              </w:rPr>
            </w:pPr>
          </w:p>
        </w:tc>
        <w:tc>
          <w:tcPr>
            <w:tcW w:w="0" w:type="auto"/>
            <w:gridSpan w:val="3"/>
            <w:shd w:val="clear" w:color="auto" w:fill="auto"/>
            <w:vAlign w:val="bottom"/>
          </w:tcPr>
          <w:p w14:paraId="74DD9C4B" w14:textId="77777777" w:rsidR="00584EC1" w:rsidRDefault="00584EC1">
            <w:pPr>
              <w:rPr>
                <w:rFonts w:ascii="宋体"/>
                <w:vanish/>
              </w:rPr>
            </w:pPr>
          </w:p>
        </w:tc>
        <w:tc>
          <w:tcPr>
            <w:tcW w:w="0" w:type="auto"/>
            <w:gridSpan w:val="3"/>
            <w:shd w:val="clear" w:color="auto" w:fill="auto"/>
            <w:vAlign w:val="bottom"/>
          </w:tcPr>
          <w:p w14:paraId="74DD9C4C" w14:textId="77777777" w:rsidR="00584EC1" w:rsidRDefault="00584EC1">
            <w:pPr>
              <w:rPr>
                <w:rFonts w:ascii="宋体"/>
                <w:vanish/>
              </w:rPr>
            </w:pPr>
          </w:p>
        </w:tc>
        <w:tc>
          <w:tcPr>
            <w:tcW w:w="0" w:type="auto"/>
            <w:gridSpan w:val="3"/>
            <w:shd w:val="clear" w:color="auto" w:fill="auto"/>
            <w:vAlign w:val="bottom"/>
          </w:tcPr>
          <w:p w14:paraId="74DD9C4D" w14:textId="77777777" w:rsidR="00584EC1" w:rsidRDefault="00584EC1">
            <w:pPr>
              <w:rPr>
                <w:rFonts w:ascii="宋体"/>
                <w:vanish/>
              </w:rPr>
            </w:pPr>
          </w:p>
        </w:tc>
        <w:tc>
          <w:tcPr>
            <w:tcW w:w="0" w:type="auto"/>
            <w:gridSpan w:val="3"/>
            <w:shd w:val="clear" w:color="auto" w:fill="auto"/>
            <w:vAlign w:val="bottom"/>
          </w:tcPr>
          <w:p w14:paraId="74DD9C4E" w14:textId="77777777" w:rsidR="00584EC1" w:rsidRDefault="00584EC1">
            <w:pPr>
              <w:rPr>
                <w:rFonts w:ascii="宋体"/>
                <w:vanish/>
              </w:rPr>
            </w:pPr>
          </w:p>
        </w:tc>
        <w:tc>
          <w:tcPr>
            <w:tcW w:w="0" w:type="auto"/>
            <w:gridSpan w:val="3"/>
            <w:shd w:val="clear" w:color="auto" w:fill="auto"/>
            <w:vAlign w:val="bottom"/>
          </w:tcPr>
          <w:p w14:paraId="74DD9C4F" w14:textId="77777777" w:rsidR="00584EC1" w:rsidRDefault="00584EC1">
            <w:pPr>
              <w:rPr>
                <w:rFonts w:ascii="宋体"/>
                <w:vanish/>
              </w:rPr>
            </w:pPr>
          </w:p>
        </w:tc>
      </w:tr>
    </w:tbl>
    <w:p w14:paraId="74DD9C51" w14:textId="77777777" w:rsidR="00584EC1" w:rsidRDefault="00584EC1">
      <w:pPr>
        <w:rPr>
          <w:vanish/>
        </w:rPr>
      </w:pPr>
    </w:p>
    <w:tbl>
      <w:tblPr>
        <w:tblW w:w="1615" w:type="pct"/>
        <w:tblCellMar>
          <w:top w:w="15" w:type="dxa"/>
          <w:left w:w="15" w:type="dxa"/>
          <w:bottom w:w="15" w:type="dxa"/>
          <w:right w:w="15" w:type="dxa"/>
        </w:tblCellMar>
        <w:tblLook w:val="04A0" w:firstRow="1" w:lastRow="0" w:firstColumn="1" w:lastColumn="0" w:noHBand="0" w:noVBand="1"/>
      </w:tblPr>
      <w:tblGrid>
        <w:gridCol w:w="36"/>
        <w:gridCol w:w="999"/>
        <w:gridCol w:w="36"/>
        <w:gridCol w:w="36"/>
        <w:gridCol w:w="1550"/>
        <w:gridCol w:w="36"/>
      </w:tblGrid>
      <w:tr w:rsidR="00584EC1" w14:paraId="74DD9C58" w14:textId="77777777">
        <w:tc>
          <w:tcPr>
            <w:tcW w:w="50" w:type="pct"/>
            <w:shd w:val="clear" w:color="auto" w:fill="auto"/>
            <w:vAlign w:val="bottom"/>
          </w:tcPr>
          <w:p w14:paraId="74DD9C52" w14:textId="77777777" w:rsidR="00584EC1" w:rsidRDefault="00584EC1">
            <w:pPr>
              <w:rPr>
                <w:rFonts w:ascii="宋体"/>
              </w:rPr>
            </w:pPr>
          </w:p>
        </w:tc>
        <w:tc>
          <w:tcPr>
            <w:tcW w:w="1935" w:type="pct"/>
            <w:shd w:val="clear" w:color="auto" w:fill="auto"/>
            <w:vAlign w:val="bottom"/>
          </w:tcPr>
          <w:p w14:paraId="74DD9C53" w14:textId="77777777" w:rsidR="00584EC1" w:rsidRDefault="00584EC1">
            <w:pPr>
              <w:rPr>
                <w:rFonts w:ascii="宋体"/>
              </w:rPr>
            </w:pPr>
          </w:p>
        </w:tc>
        <w:tc>
          <w:tcPr>
            <w:tcW w:w="5" w:type="pct"/>
            <w:shd w:val="clear" w:color="auto" w:fill="auto"/>
            <w:vAlign w:val="bottom"/>
          </w:tcPr>
          <w:p w14:paraId="74DD9C54" w14:textId="77777777" w:rsidR="00584EC1" w:rsidRDefault="00584EC1">
            <w:pPr>
              <w:rPr>
                <w:rFonts w:ascii="宋体"/>
              </w:rPr>
            </w:pPr>
          </w:p>
        </w:tc>
        <w:tc>
          <w:tcPr>
            <w:tcW w:w="50" w:type="pct"/>
            <w:shd w:val="clear" w:color="auto" w:fill="auto"/>
            <w:vAlign w:val="bottom"/>
          </w:tcPr>
          <w:p w14:paraId="74DD9C55" w14:textId="77777777" w:rsidR="00584EC1" w:rsidRDefault="00584EC1">
            <w:pPr>
              <w:rPr>
                <w:rFonts w:ascii="宋体"/>
              </w:rPr>
            </w:pPr>
          </w:p>
        </w:tc>
        <w:tc>
          <w:tcPr>
            <w:tcW w:w="2954" w:type="pct"/>
            <w:shd w:val="clear" w:color="auto" w:fill="auto"/>
            <w:vAlign w:val="bottom"/>
          </w:tcPr>
          <w:p w14:paraId="74DD9C56" w14:textId="77777777" w:rsidR="00584EC1" w:rsidRDefault="00584EC1">
            <w:pPr>
              <w:rPr>
                <w:rFonts w:ascii="宋体"/>
              </w:rPr>
            </w:pPr>
          </w:p>
        </w:tc>
        <w:tc>
          <w:tcPr>
            <w:tcW w:w="5" w:type="pct"/>
            <w:shd w:val="clear" w:color="auto" w:fill="auto"/>
            <w:vAlign w:val="bottom"/>
          </w:tcPr>
          <w:p w14:paraId="74DD9C57" w14:textId="77777777" w:rsidR="00584EC1" w:rsidRDefault="00584EC1">
            <w:pPr>
              <w:rPr>
                <w:rFonts w:ascii="宋体"/>
              </w:rPr>
            </w:pPr>
          </w:p>
        </w:tc>
      </w:tr>
      <w:tr w:rsidR="00584EC1" w14:paraId="74DD9C5B"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4DD9C59" w14:textId="77777777" w:rsidR="00584EC1" w:rsidRDefault="00584EC1">
            <w:pPr>
              <w:rPr>
                <w:rFonts w:ascii="宋体"/>
              </w:rPr>
            </w:pPr>
          </w:p>
        </w:tc>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4DD9C5A" w14:textId="77777777" w:rsidR="00584EC1" w:rsidRDefault="00584EC1">
            <w:pPr>
              <w:rPr>
                <w:rFonts w:ascii="宋体"/>
              </w:rPr>
            </w:pPr>
          </w:p>
        </w:tc>
      </w:tr>
    </w:tbl>
    <w:p w14:paraId="74DD9C5C" w14:textId="77777777" w:rsidR="00584EC1" w:rsidRDefault="00871F8D">
      <w:pPr>
        <w:jc w:val="both"/>
      </w:pPr>
      <w:r>
        <w:rPr>
          <w:rFonts w:ascii="Arial" w:eastAsia="宋体" w:hAnsi="Arial" w:cs="Arial"/>
          <w:color w:val="000000"/>
          <w:sz w:val="7"/>
          <w:szCs w:val="7"/>
        </w:rPr>
        <w:t>(1)</w:t>
      </w:r>
      <w:r>
        <w:rPr>
          <w:rFonts w:ascii="Arial" w:eastAsia="宋体" w:hAnsi="Arial" w:cs="Arial"/>
          <w:color w:val="000000"/>
          <w:sz w:val="12"/>
          <w:szCs w:val="12"/>
        </w:rPr>
        <w:t xml:space="preserve"> Other adjustments within CET1 capital primarily include the overfunded portion of our defined benefit pension plan obligation net of associated deferred tax liabilities, disallowed deferred tax assets, and other required credit risk-based deductions.</w:t>
      </w:r>
    </w:p>
    <w:p w14:paraId="74DD9C5D" w14:textId="77777777" w:rsidR="00584EC1" w:rsidRDefault="00871F8D">
      <w:pPr>
        <w:spacing w:before="60"/>
        <w:jc w:val="both"/>
      </w:pPr>
      <w:r>
        <w:rPr>
          <w:rFonts w:ascii="Arial" w:eastAsia="宋体" w:hAnsi="Arial" w:cs="Arial"/>
          <w:color w:val="000000"/>
          <w:sz w:val="7"/>
          <w:szCs w:val="7"/>
        </w:rPr>
        <w:t xml:space="preserve">(2) </w:t>
      </w:r>
      <w:r>
        <w:rPr>
          <w:rFonts w:ascii="Arial" w:eastAsia="宋体" w:hAnsi="Arial" w:cs="Arial"/>
          <w:color w:val="000000"/>
          <w:sz w:val="12"/>
          <w:szCs w:val="12"/>
        </w:rPr>
        <w:t>Includes a CVA which reflects the risk of potential fair value adjustments for credit risk reflected in our valuation of OTC derivative contracts. We used a simple CVA approach in conformity with the Basel III advanced approaches.</w:t>
      </w:r>
    </w:p>
    <w:p w14:paraId="74DD9C5E" w14:textId="77777777" w:rsidR="00584EC1" w:rsidRDefault="00871F8D">
      <w:pPr>
        <w:spacing w:before="60"/>
        <w:jc w:val="both"/>
      </w:pPr>
      <w:r>
        <w:rPr>
          <w:rFonts w:ascii="Arial" w:eastAsia="宋体" w:hAnsi="Arial" w:cs="Arial"/>
          <w:color w:val="000000"/>
          <w:sz w:val="7"/>
          <w:szCs w:val="7"/>
        </w:rPr>
        <w:t>(3)</w:t>
      </w:r>
      <w:r>
        <w:rPr>
          <w:rFonts w:ascii="Arial" w:eastAsia="宋体" w:hAnsi="Arial" w:cs="Arial"/>
          <w:color w:val="000000"/>
          <w:sz w:val="12"/>
          <w:szCs w:val="12"/>
        </w:rPr>
        <w:t xml:space="preserve"> Under the current</w:t>
      </w:r>
      <w:r>
        <w:rPr>
          <w:rFonts w:ascii="Arial" w:eastAsia="宋体" w:hAnsi="Arial" w:cs="Arial"/>
          <w:color w:val="000000"/>
          <w:sz w:val="12"/>
          <w:szCs w:val="12"/>
        </w:rPr>
        <w:t xml:space="preserve"> advanced approaches rules and regulatory guidance concerning operational risk models, RWA attributable to operational risk can vary substantially from period-to-period, without direct correlation to the effects of a particular loss event on our results of</w:t>
      </w:r>
      <w:r>
        <w:rPr>
          <w:rFonts w:ascii="Arial" w:eastAsia="宋体" w:hAnsi="Arial" w:cs="Arial"/>
          <w:color w:val="000000"/>
          <w:sz w:val="12"/>
          <w:szCs w:val="12"/>
        </w:rPr>
        <w:t xml:space="preserve"> operations and financial condition and impacting dates and periods that may differ from the dates and periods as of and during which the loss event is reflected in our financial statements, with the timing and categorization dependent on the processes for</w:t>
      </w:r>
      <w:r>
        <w:rPr>
          <w:rFonts w:ascii="Arial" w:eastAsia="宋体" w:hAnsi="Arial" w:cs="Arial"/>
          <w:color w:val="000000"/>
          <w:sz w:val="12"/>
          <w:szCs w:val="12"/>
        </w:rPr>
        <w:t xml:space="preserve"> model updates and, if applicable, model revalidation and regulatory review and related supervisory processes. An individual loss event can have a significant effect on the output of our operational RWA under the advanced approaches depending on the severi</w:t>
      </w:r>
      <w:r>
        <w:rPr>
          <w:rFonts w:ascii="Arial" w:eastAsia="宋体" w:hAnsi="Arial" w:cs="Arial"/>
          <w:color w:val="000000"/>
          <w:sz w:val="12"/>
          <w:szCs w:val="12"/>
        </w:rPr>
        <w:t>ty of the loss event and its categorization among the seven Basel-defined UOMs.</w:t>
      </w:r>
    </w:p>
    <w:p w14:paraId="74DD9C5F" w14:textId="77777777" w:rsidR="00584EC1" w:rsidRDefault="00871F8D">
      <w:pPr>
        <w:spacing w:before="60"/>
        <w:jc w:val="both"/>
      </w:pPr>
      <w:r>
        <w:rPr>
          <w:rFonts w:ascii="Arial" w:eastAsia="宋体" w:hAnsi="Arial" w:cs="Arial"/>
          <w:color w:val="000000"/>
          <w:sz w:val="7"/>
          <w:szCs w:val="7"/>
        </w:rPr>
        <w:t>(4)</w:t>
      </w:r>
      <w:r>
        <w:rPr>
          <w:rFonts w:ascii="Arial" w:eastAsia="宋体" w:hAnsi="Arial" w:cs="Arial"/>
          <w:color w:val="000000"/>
          <w:sz w:val="12"/>
          <w:szCs w:val="12"/>
        </w:rPr>
        <w:t xml:space="preserve"> Minimum requirements include a CCB of 2.5% and a SCB of 2.5% for the advanced approaches and the standardized approach, respectively, a G-SIB surcharge of 1.0% and a counte</w:t>
      </w:r>
      <w:r>
        <w:rPr>
          <w:rFonts w:ascii="Arial" w:eastAsia="宋体" w:hAnsi="Arial" w:cs="Arial"/>
          <w:color w:val="000000"/>
          <w:sz w:val="12"/>
          <w:szCs w:val="12"/>
        </w:rPr>
        <w:t>rcyclical buffer of 0%.</w:t>
      </w:r>
    </w:p>
    <w:p w14:paraId="74DD9C60" w14:textId="77777777" w:rsidR="00584EC1" w:rsidRDefault="00871F8D">
      <w:pPr>
        <w:spacing w:before="60"/>
        <w:jc w:val="both"/>
      </w:pPr>
      <w:r>
        <w:rPr>
          <w:rFonts w:ascii="Arial" w:eastAsia="宋体" w:hAnsi="Arial" w:cs="Arial"/>
          <w:color w:val="000000"/>
          <w:sz w:val="7"/>
          <w:szCs w:val="7"/>
        </w:rPr>
        <w:t>NA</w:t>
      </w:r>
      <w:r>
        <w:rPr>
          <w:rFonts w:ascii="Arial" w:eastAsia="宋体" w:hAnsi="Arial" w:cs="Arial"/>
          <w:color w:val="000000"/>
          <w:sz w:val="12"/>
          <w:szCs w:val="12"/>
        </w:rPr>
        <w:t xml:space="preserve"> Not applicable </w:t>
      </w:r>
    </w:p>
    <w:p w14:paraId="74DD9C61" w14:textId="77777777" w:rsidR="00584EC1" w:rsidRDefault="00871F8D">
      <w:pPr>
        <w:ind w:firstLine="450"/>
        <w:jc w:val="right"/>
      </w:pPr>
      <w:r>
        <w:rPr>
          <w:rFonts w:ascii="Arial" w:eastAsia="宋体" w:hAnsi="Arial" w:cs="Arial"/>
          <w:color w:val="000000"/>
          <w:sz w:val="18"/>
          <w:szCs w:val="18"/>
        </w:rPr>
        <w:t>State Street Corporation | 44</w:t>
      </w:r>
    </w:p>
    <w:p w14:paraId="74DD9C62" w14:textId="77777777" w:rsidR="00584EC1" w:rsidRDefault="00584EC1">
      <w:pPr>
        <w:ind w:firstLine="450"/>
        <w:jc w:val="center"/>
      </w:pPr>
    </w:p>
    <w:p w14:paraId="74DD9C63" w14:textId="77777777" w:rsidR="00584EC1" w:rsidRDefault="00871F8D">
      <w:r>
        <w:pict w14:anchorId="74DE2A1A">
          <v:rect id="_x0000_i1068" style="width:415.3pt;height:1.5pt" o:hralign="center" o:hrstd="t" o:hr="t" fillcolor="#a0a0a0" stroked="f"/>
        </w:pict>
      </w:r>
    </w:p>
    <w:p w14:paraId="74DD9C64" w14:textId="77777777" w:rsidR="00584EC1" w:rsidRDefault="00871F8D">
      <w:pPr>
        <w:ind w:firstLine="450"/>
        <w:jc w:val="center"/>
      </w:pPr>
      <w:r>
        <w:rPr>
          <w:rFonts w:ascii="Arial" w:eastAsia="宋体" w:hAnsi="Arial" w:cs="Arial"/>
          <w:b/>
          <w:bCs/>
          <w:color w:val="000000"/>
          <w:sz w:val="20"/>
          <w:szCs w:val="20"/>
        </w:rPr>
        <w:t>MANAGEMENT’S DISCUSSION AND ANALYSIS OF FINANCIAL CONDITION</w:t>
      </w:r>
    </w:p>
    <w:p w14:paraId="74DD9C65" w14:textId="77777777" w:rsidR="00584EC1" w:rsidRDefault="00871F8D">
      <w:pPr>
        <w:ind w:firstLine="450"/>
        <w:jc w:val="center"/>
      </w:pPr>
      <w:r>
        <w:rPr>
          <w:rFonts w:ascii="Arial" w:eastAsia="宋体" w:hAnsi="Arial" w:cs="Arial"/>
          <w:b/>
          <w:bCs/>
          <w:color w:val="000000"/>
          <w:sz w:val="20"/>
          <w:szCs w:val="20"/>
        </w:rPr>
        <w:t>AND RESULTS OF OPERATIONS</w:t>
      </w:r>
    </w:p>
    <w:p w14:paraId="74DD9C66" w14:textId="77777777" w:rsidR="00584EC1" w:rsidRDefault="00871F8D">
      <w:pPr>
        <w:spacing w:before="60"/>
        <w:ind w:firstLine="450"/>
        <w:jc w:val="both"/>
      </w:pPr>
      <w:r>
        <w:rPr>
          <w:rFonts w:ascii="Arial" w:eastAsia="宋体" w:hAnsi="Arial" w:cs="Arial"/>
          <w:color w:val="000000"/>
          <w:sz w:val="20"/>
          <w:szCs w:val="20"/>
        </w:rPr>
        <w:t xml:space="preserve">Our CET1 capital increased $1.45 billion as of September 30, 2021, compared to </w:t>
      </w:r>
      <w:r>
        <w:rPr>
          <w:rFonts w:ascii="Arial" w:eastAsia="宋体" w:hAnsi="Arial" w:cs="Arial"/>
          <w:color w:val="000000"/>
          <w:sz w:val="20"/>
          <w:szCs w:val="20"/>
        </w:rPr>
        <w:t>December 31, 2020, primarily driven by higher retained earnings and the issuance of common stock.</w:t>
      </w:r>
    </w:p>
    <w:p w14:paraId="74DD9C67" w14:textId="77777777" w:rsidR="00584EC1" w:rsidRDefault="00871F8D">
      <w:pPr>
        <w:spacing w:before="60"/>
        <w:ind w:firstLine="450"/>
        <w:jc w:val="both"/>
      </w:pPr>
      <w:r>
        <w:rPr>
          <w:rFonts w:ascii="Arial" w:eastAsia="宋体" w:hAnsi="Arial" w:cs="Arial"/>
          <w:color w:val="000000"/>
          <w:sz w:val="20"/>
          <w:szCs w:val="20"/>
        </w:rPr>
        <w:t xml:space="preserve">Our Tier 1 capital increased $0.96 billion as of September 30, 2021, compared to December 31, 2020, primarily due to higher CET1 capital, partially offset by </w:t>
      </w:r>
      <w:r>
        <w:rPr>
          <w:rFonts w:ascii="Arial" w:eastAsia="宋体" w:hAnsi="Arial" w:cs="Arial"/>
          <w:color w:val="000000"/>
          <w:sz w:val="20"/>
          <w:szCs w:val="20"/>
        </w:rPr>
        <w:t>the partial redemption of the Series F preferred stock. Total capital increased under both the advanced approaches and standardized approach by $1.59 billion and $1.56 billion, respectively, due to the changes in our CET1 capital, Tier 1 capital, and the i</w:t>
      </w:r>
      <w:r>
        <w:rPr>
          <w:rFonts w:ascii="Arial" w:eastAsia="宋体" w:hAnsi="Arial" w:cs="Arial"/>
          <w:color w:val="000000"/>
          <w:sz w:val="20"/>
          <w:szCs w:val="20"/>
        </w:rPr>
        <w:t>ssuance of Tier 2 qualifying debt.</w:t>
      </w:r>
    </w:p>
    <w:p w14:paraId="74DD9C68" w14:textId="77777777" w:rsidR="00584EC1" w:rsidRDefault="00871F8D">
      <w:pPr>
        <w:spacing w:before="60"/>
        <w:ind w:firstLine="450"/>
        <w:jc w:val="both"/>
      </w:pPr>
      <w:r>
        <w:rPr>
          <w:rFonts w:ascii="Arial" w:eastAsia="宋体" w:hAnsi="Arial" w:cs="Arial"/>
          <w:color w:val="000000"/>
          <w:sz w:val="20"/>
          <w:szCs w:val="20"/>
        </w:rPr>
        <w:t>The table below presents a roll-forward of CET1 capital, Tier 1 capital and total capital for the nine months ended September 30, 2021 and for the year ended December 31, 2020.</w:t>
      </w:r>
    </w:p>
    <w:tbl>
      <w:tblPr>
        <w:tblW w:w="4978" w:type="pct"/>
        <w:tblCellMar>
          <w:top w:w="15" w:type="dxa"/>
          <w:left w:w="15" w:type="dxa"/>
          <w:bottom w:w="15" w:type="dxa"/>
          <w:right w:w="15" w:type="dxa"/>
        </w:tblCellMar>
        <w:tblLook w:val="04A0" w:firstRow="1" w:lastRow="0" w:firstColumn="1" w:lastColumn="0" w:noHBand="0" w:noVBand="1"/>
      </w:tblPr>
      <w:tblGrid>
        <w:gridCol w:w="39"/>
        <w:gridCol w:w="3333"/>
        <w:gridCol w:w="38"/>
        <w:gridCol w:w="99"/>
        <w:gridCol w:w="1080"/>
        <w:gridCol w:w="36"/>
        <w:gridCol w:w="36"/>
        <w:gridCol w:w="36"/>
        <w:gridCol w:w="36"/>
        <w:gridCol w:w="99"/>
        <w:gridCol w:w="1042"/>
        <w:gridCol w:w="36"/>
        <w:gridCol w:w="36"/>
        <w:gridCol w:w="36"/>
        <w:gridCol w:w="36"/>
        <w:gridCol w:w="99"/>
        <w:gridCol w:w="932"/>
        <w:gridCol w:w="36"/>
        <w:gridCol w:w="36"/>
        <w:gridCol w:w="36"/>
        <w:gridCol w:w="36"/>
        <w:gridCol w:w="99"/>
        <w:gridCol w:w="971"/>
        <w:gridCol w:w="36"/>
      </w:tblGrid>
      <w:tr w:rsidR="00584EC1" w14:paraId="74DD9C81" w14:textId="77777777">
        <w:tc>
          <w:tcPr>
            <w:tcW w:w="50" w:type="pct"/>
            <w:shd w:val="clear" w:color="auto" w:fill="auto"/>
            <w:vAlign w:val="bottom"/>
          </w:tcPr>
          <w:p w14:paraId="74DD9C69" w14:textId="77777777" w:rsidR="00584EC1" w:rsidRDefault="00584EC1">
            <w:pPr>
              <w:rPr>
                <w:rFonts w:ascii="宋体"/>
              </w:rPr>
            </w:pPr>
          </w:p>
        </w:tc>
        <w:tc>
          <w:tcPr>
            <w:tcW w:w="2037" w:type="pct"/>
            <w:shd w:val="clear" w:color="auto" w:fill="auto"/>
            <w:vAlign w:val="bottom"/>
          </w:tcPr>
          <w:p w14:paraId="74DD9C6A" w14:textId="77777777" w:rsidR="00584EC1" w:rsidRDefault="00584EC1">
            <w:pPr>
              <w:rPr>
                <w:rFonts w:ascii="宋体"/>
              </w:rPr>
            </w:pPr>
          </w:p>
        </w:tc>
        <w:tc>
          <w:tcPr>
            <w:tcW w:w="5" w:type="pct"/>
            <w:shd w:val="clear" w:color="auto" w:fill="auto"/>
            <w:vAlign w:val="bottom"/>
          </w:tcPr>
          <w:p w14:paraId="74DD9C6B" w14:textId="77777777" w:rsidR="00584EC1" w:rsidRDefault="00584EC1">
            <w:pPr>
              <w:rPr>
                <w:rFonts w:ascii="宋体"/>
              </w:rPr>
            </w:pPr>
          </w:p>
        </w:tc>
        <w:tc>
          <w:tcPr>
            <w:tcW w:w="50" w:type="pct"/>
            <w:shd w:val="clear" w:color="auto" w:fill="auto"/>
            <w:vAlign w:val="bottom"/>
          </w:tcPr>
          <w:p w14:paraId="74DD9C6C" w14:textId="77777777" w:rsidR="00584EC1" w:rsidRDefault="00584EC1">
            <w:pPr>
              <w:rPr>
                <w:rFonts w:ascii="宋体"/>
              </w:rPr>
            </w:pPr>
          </w:p>
        </w:tc>
        <w:tc>
          <w:tcPr>
            <w:tcW w:w="679" w:type="pct"/>
            <w:shd w:val="clear" w:color="auto" w:fill="auto"/>
            <w:vAlign w:val="bottom"/>
          </w:tcPr>
          <w:p w14:paraId="74DD9C6D" w14:textId="77777777" w:rsidR="00584EC1" w:rsidRDefault="00584EC1">
            <w:pPr>
              <w:rPr>
                <w:rFonts w:ascii="宋体"/>
              </w:rPr>
            </w:pPr>
          </w:p>
        </w:tc>
        <w:tc>
          <w:tcPr>
            <w:tcW w:w="5" w:type="pct"/>
            <w:shd w:val="clear" w:color="auto" w:fill="auto"/>
            <w:vAlign w:val="bottom"/>
          </w:tcPr>
          <w:p w14:paraId="74DD9C6E" w14:textId="77777777" w:rsidR="00584EC1" w:rsidRDefault="00584EC1">
            <w:pPr>
              <w:rPr>
                <w:rFonts w:ascii="宋体"/>
              </w:rPr>
            </w:pPr>
          </w:p>
        </w:tc>
        <w:tc>
          <w:tcPr>
            <w:tcW w:w="5" w:type="pct"/>
            <w:shd w:val="clear" w:color="auto" w:fill="auto"/>
            <w:vAlign w:val="bottom"/>
          </w:tcPr>
          <w:p w14:paraId="74DD9C6F" w14:textId="77777777" w:rsidR="00584EC1" w:rsidRDefault="00584EC1">
            <w:pPr>
              <w:rPr>
                <w:rFonts w:ascii="宋体"/>
              </w:rPr>
            </w:pPr>
          </w:p>
        </w:tc>
        <w:tc>
          <w:tcPr>
            <w:tcW w:w="26" w:type="pct"/>
            <w:shd w:val="clear" w:color="auto" w:fill="auto"/>
            <w:vAlign w:val="bottom"/>
          </w:tcPr>
          <w:p w14:paraId="74DD9C70" w14:textId="77777777" w:rsidR="00584EC1" w:rsidRDefault="00584EC1">
            <w:pPr>
              <w:rPr>
                <w:rFonts w:ascii="宋体"/>
              </w:rPr>
            </w:pPr>
          </w:p>
        </w:tc>
        <w:tc>
          <w:tcPr>
            <w:tcW w:w="5" w:type="pct"/>
            <w:shd w:val="clear" w:color="auto" w:fill="auto"/>
            <w:vAlign w:val="bottom"/>
          </w:tcPr>
          <w:p w14:paraId="74DD9C71" w14:textId="77777777" w:rsidR="00584EC1" w:rsidRDefault="00584EC1">
            <w:pPr>
              <w:rPr>
                <w:rFonts w:ascii="宋体"/>
              </w:rPr>
            </w:pPr>
          </w:p>
        </w:tc>
        <w:tc>
          <w:tcPr>
            <w:tcW w:w="50" w:type="pct"/>
            <w:shd w:val="clear" w:color="auto" w:fill="auto"/>
            <w:vAlign w:val="bottom"/>
          </w:tcPr>
          <w:p w14:paraId="74DD9C72" w14:textId="77777777" w:rsidR="00584EC1" w:rsidRDefault="00584EC1">
            <w:pPr>
              <w:rPr>
                <w:rFonts w:ascii="宋体"/>
              </w:rPr>
            </w:pPr>
          </w:p>
        </w:tc>
        <w:tc>
          <w:tcPr>
            <w:tcW w:w="679" w:type="pct"/>
            <w:shd w:val="clear" w:color="auto" w:fill="auto"/>
            <w:vAlign w:val="bottom"/>
          </w:tcPr>
          <w:p w14:paraId="74DD9C73" w14:textId="77777777" w:rsidR="00584EC1" w:rsidRDefault="00584EC1">
            <w:pPr>
              <w:rPr>
                <w:rFonts w:ascii="宋体"/>
              </w:rPr>
            </w:pPr>
          </w:p>
        </w:tc>
        <w:tc>
          <w:tcPr>
            <w:tcW w:w="5" w:type="pct"/>
            <w:shd w:val="clear" w:color="auto" w:fill="auto"/>
            <w:vAlign w:val="bottom"/>
          </w:tcPr>
          <w:p w14:paraId="74DD9C74" w14:textId="77777777" w:rsidR="00584EC1" w:rsidRDefault="00584EC1">
            <w:pPr>
              <w:rPr>
                <w:rFonts w:ascii="宋体"/>
              </w:rPr>
            </w:pPr>
          </w:p>
        </w:tc>
        <w:tc>
          <w:tcPr>
            <w:tcW w:w="5" w:type="pct"/>
            <w:shd w:val="clear" w:color="auto" w:fill="auto"/>
            <w:vAlign w:val="bottom"/>
          </w:tcPr>
          <w:p w14:paraId="74DD9C75" w14:textId="77777777" w:rsidR="00584EC1" w:rsidRDefault="00584EC1">
            <w:pPr>
              <w:rPr>
                <w:rFonts w:ascii="宋体"/>
              </w:rPr>
            </w:pPr>
          </w:p>
        </w:tc>
        <w:tc>
          <w:tcPr>
            <w:tcW w:w="26" w:type="pct"/>
            <w:shd w:val="clear" w:color="auto" w:fill="auto"/>
            <w:vAlign w:val="bottom"/>
          </w:tcPr>
          <w:p w14:paraId="74DD9C76" w14:textId="77777777" w:rsidR="00584EC1" w:rsidRDefault="00584EC1">
            <w:pPr>
              <w:rPr>
                <w:rFonts w:ascii="宋体"/>
              </w:rPr>
            </w:pPr>
          </w:p>
        </w:tc>
        <w:tc>
          <w:tcPr>
            <w:tcW w:w="5" w:type="pct"/>
            <w:shd w:val="clear" w:color="auto" w:fill="auto"/>
            <w:vAlign w:val="bottom"/>
          </w:tcPr>
          <w:p w14:paraId="74DD9C77" w14:textId="77777777" w:rsidR="00584EC1" w:rsidRDefault="00584EC1">
            <w:pPr>
              <w:rPr>
                <w:rFonts w:ascii="宋体"/>
              </w:rPr>
            </w:pPr>
          </w:p>
        </w:tc>
        <w:tc>
          <w:tcPr>
            <w:tcW w:w="50" w:type="pct"/>
            <w:shd w:val="clear" w:color="auto" w:fill="auto"/>
            <w:vAlign w:val="bottom"/>
          </w:tcPr>
          <w:p w14:paraId="74DD9C78" w14:textId="77777777" w:rsidR="00584EC1" w:rsidRDefault="00584EC1">
            <w:pPr>
              <w:rPr>
                <w:rFonts w:ascii="宋体"/>
              </w:rPr>
            </w:pPr>
          </w:p>
        </w:tc>
        <w:tc>
          <w:tcPr>
            <w:tcW w:w="613" w:type="pct"/>
            <w:shd w:val="clear" w:color="auto" w:fill="auto"/>
            <w:vAlign w:val="bottom"/>
          </w:tcPr>
          <w:p w14:paraId="74DD9C79" w14:textId="77777777" w:rsidR="00584EC1" w:rsidRDefault="00584EC1">
            <w:pPr>
              <w:rPr>
                <w:rFonts w:ascii="宋体"/>
              </w:rPr>
            </w:pPr>
          </w:p>
        </w:tc>
        <w:tc>
          <w:tcPr>
            <w:tcW w:w="5" w:type="pct"/>
            <w:shd w:val="clear" w:color="auto" w:fill="auto"/>
            <w:vAlign w:val="bottom"/>
          </w:tcPr>
          <w:p w14:paraId="74DD9C7A" w14:textId="77777777" w:rsidR="00584EC1" w:rsidRDefault="00584EC1">
            <w:pPr>
              <w:rPr>
                <w:rFonts w:ascii="宋体"/>
              </w:rPr>
            </w:pPr>
          </w:p>
        </w:tc>
        <w:tc>
          <w:tcPr>
            <w:tcW w:w="5" w:type="pct"/>
            <w:shd w:val="clear" w:color="auto" w:fill="auto"/>
            <w:vAlign w:val="bottom"/>
          </w:tcPr>
          <w:p w14:paraId="74DD9C7B" w14:textId="77777777" w:rsidR="00584EC1" w:rsidRDefault="00584EC1">
            <w:pPr>
              <w:rPr>
                <w:rFonts w:ascii="宋体"/>
              </w:rPr>
            </w:pPr>
          </w:p>
        </w:tc>
        <w:tc>
          <w:tcPr>
            <w:tcW w:w="19" w:type="pct"/>
            <w:shd w:val="clear" w:color="auto" w:fill="auto"/>
            <w:vAlign w:val="bottom"/>
          </w:tcPr>
          <w:p w14:paraId="74DD9C7C" w14:textId="77777777" w:rsidR="00584EC1" w:rsidRDefault="00584EC1">
            <w:pPr>
              <w:rPr>
                <w:rFonts w:ascii="宋体"/>
              </w:rPr>
            </w:pPr>
          </w:p>
        </w:tc>
        <w:tc>
          <w:tcPr>
            <w:tcW w:w="5" w:type="pct"/>
            <w:shd w:val="clear" w:color="auto" w:fill="auto"/>
            <w:vAlign w:val="bottom"/>
          </w:tcPr>
          <w:p w14:paraId="74DD9C7D" w14:textId="77777777" w:rsidR="00584EC1" w:rsidRDefault="00584EC1">
            <w:pPr>
              <w:rPr>
                <w:rFonts w:ascii="宋体"/>
              </w:rPr>
            </w:pPr>
          </w:p>
        </w:tc>
        <w:tc>
          <w:tcPr>
            <w:tcW w:w="50" w:type="pct"/>
            <w:shd w:val="clear" w:color="auto" w:fill="auto"/>
            <w:vAlign w:val="bottom"/>
          </w:tcPr>
          <w:p w14:paraId="74DD9C7E" w14:textId="77777777" w:rsidR="00584EC1" w:rsidRDefault="00584EC1">
            <w:pPr>
              <w:rPr>
                <w:rFonts w:ascii="宋体"/>
              </w:rPr>
            </w:pPr>
          </w:p>
        </w:tc>
        <w:tc>
          <w:tcPr>
            <w:tcW w:w="613" w:type="pct"/>
            <w:shd w:val="clear" w:color="auto" w:fill="auto"/>
            <w:vAlign w:val="bottom"/>
          </w:tcPr>
          <w:p w14:paraId="74DD9C7F" w14:textId="77777777" w:rsidR="00584EC1" w:rsidRDefault="00584EC1">
            <w:pPr>
              <w:rPr>
                <w:rFonts w:ascii="宋体"/>
              </w:rPr>
            </w:pPr>
          </w:p>
        </w:tc>
        <w:tc>
          <w:tcPr>
            <w:tcW w:w="5" w:type="pct"/>
            <w:shd w:val="clear" w:color="auto" w:fill="auto"/>
            <w:vAlign w:val="bottom"/>
          </w:tcPr>
          <w:p w14:paraId="74DD9C80" w14:textId="77777777" w:rsidR="00584EC1" w:rsidRDefault="00584EC1">
            <w:pPr>
              <w:rPr>
                <w:rFonts w:ascii="宋体"/>
              </w:rPr>
            </w:pPr>
          </w:p>
        </w:tc>
      </w:tr>
      <w:tr w:rsidR="00584EC1" w14:paraId="74DD9C83" w14:textId="77777777">
        <w:tc>
          <w:tcPr>
            <w:tcW w:w="0" w:type="auto"/>
            <w:gridSpan w:val="24"/>
            <w:shd w:val="clear" w:color="auto" w:fill="auto"/>
            <w:tcMar>
              <w:top w:w="40" w:type="dxa"/>
              <w:left w:w="20" w:type="dxa"/>
              <w:bottom w:w="40" w:type="dxa"/>
              <w:right w:w="20" w:type="dxa"/>
            </w:tcMar>
            <w:vAlign w:val="bottom"/>
          </w:tcPr>
          <w:p w14:paraId="74DD9C82" w14:textId="77777777" w:rsidR="00584EC1" w:rsidRDefault="00871F8D">
            <w:pPr>
              <w:textAlignment w:val="bottom"/>
            </w:pPr>
            <w:r>
              <w:rPr>
                <w:rFonts w:ascii="Arial" w:eastAsia="宋体" w:hAnsi="Arial" w:cs="Arial"/>
                <w:b/>
                <w:bCs/>
                <w:color w:val="000000"/>
                <w:sz w:val="16"/>
                <w:szCs w:val="16"/>
              </w:rPr>
              <w:t>TABLE 36: CAPITAL ROLL-FORWARD</w:t>
            </w:r>
          </w:p>
        </w:tc>
      </w:tr>
      <w:tr w:rsidR="00584EC1" w14:paraId="74DD9C8C" w14:textId="77777777">
        <w:tc>
          <w:tcPr>
            <w:tcW w:w="0" w:type="auto"/>
            <w:gridSpan w:val="3"/>
            <w:shd w:val="clear" w:color="auto" w:fill="auto"/>
            <w:tcMar>
              <w:top w:w="40" w:type="dxa"/>
              <w:left w:w="20" w:type="dxa"/>
              <w:bottom w:w="40" w:type="dxa"/>
              <w:right w:w="20" w:type="dxa"/>
            </w:tcMar>
            <w:vAlign w:val="bottom"/>
          </w:tcPr>
          <w:p w14:paraId="74DD9C84" w14:textId="77777777" w:rsidR="00584EC1" w:rsidRDefault="00871F8D">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74DD9C85" w14:textId="77777777" w:rsidR="00584EC1" w:rsidRDefault="00871F8D">
            <w:pPr>
              <w:jc w:val="center"/>
              <w:textAlignment w:val="bottom"/>
            </w:pPr>
            <w:r>
              <w:rPr>
                <w:rFonts w:ascii="Arial" w:eastAsia="宋体" w:hAnsi="Arial" w:cs="Arial"/>
                <w:b/>
                <w:bCs/>
                <w:color w:val="000000"/>
                <w:sz w:val="14"/>
                <w:szCs w:val="14"/>
              </w:rPr>
              <w:t>Basel III Advanced Approaches September 30, 2021</w:t>
            </w:r>
          </w:p>
        </w:tc>
        <w:tc>
          <w:tcPr>
            <w:tcW w:w="0" w:type="auto"/>
            <w:gridSpan w:val="3"/>
            <w:shd w:val="clear" w:color="auto" w:fill="auto"/>
            <w:tcMar>
              <w:top w:w="0" w:type="dxa"/>
              <w:left w:w="20" w:type="dxa"/>
              <w:bottom w:w="0" w:type="dxa"/>
              <w:right w:w="20" w:type="dxa"/>
            </w:tcMar>
            <w:vAlign w:val="bottom"/>
          </w:tcPr>
          <w:p w14:paraId="74DD9C86"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9C87" w14:textId="77777777" w:rsidR="00584EC1" w:rsidRDefault="00871F8D">
            <w:pPr>
              <w:jc w:val="center"/>
              <w:textAlignment w:val="bottom"/>
            </w:pPr>
            <w:r>
              <w:rPr>
                <w:rFonts w:ascii="Arial" w:eastAsia="宋体" w:hAnsi="Arial" w:cs="Arial"/>
                <w:b/>
                <w:bCs/>
                <w:color w:val="000000"/>
                <w:sz w:val="14"/>
                <w:szCs w:val="14"/>
              </w:rPr>
              <w:t>Basel III Standardized Approach September 30, 2021</w:t>
            </w:r>
          </w:p>
        </w:tc>
        <w:tc>
          <w:tcPr>
            <w:tcW w:w="0" w:type="auto"/>
            <w:gridSpan w:val="3"/>
            <w:shd w:val="clear" w:color="auto" w:fill="auto"/>
            <w:tcMar>
              <w:top w:w="0" w:type="dxa"/>
              <w:left w:w="20" w:type="dxa"/>
              <w:bottom w:w="0" w:type="dxa"/>
              <w:right w:w="20" w:type="dxa"/>
            </w:tcMar>
            <w:vAlign w:val="bottom"/>
          </w:tcPr>
          <w:p w14:paraId="74DD9C88"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9C89" w14:textId="77777777" w:rsidR="00584EC1" w:rsidRDefault="00871F8D">
            <w:pPr>
              <w:jc w:val="center"/>
              <w:textAlignment w:val="bottom"/>
            </w:pPr>
            <w:r>
              <w:rPr>
                <w:rFonts w:ascii="Arial" w:eastAsia="宋体" w:hAnsi="Arial" w:cs="Arial"/>
                <w:b/>
                <w:bCs/>
                <w:color w:val="000000"/>
                <w:sz w:val="14"/>
                <w:szCs w:val="14"/>
              </w:rPr>
              <w:t>Basel III Advanced Approaches December 31, 2020</w:t>
            </w:r>
          </w:p>
        </w:tc>
        <w:tc>
          <w:tcPr>
            <w:tcW w:w="0" w:type="auto"/>
            <w:gridSpan w:val="3"/>
            <w:shd w:val="clear" w:color="auto" w:fill="auto"/>
            <w:tcMar>
              <w:top w:w="0" w:type="dxa"/>
              <w:left w:w="20" w:type="dxa"/>
              <w:bottom w:w="0" w:type="dxa"/>
              <w:right w:w="20" w:type="dxa"/>
            </w:tcMar>
            <w:vAlign w:val="bottom"/>
          </w:tcPr>
          <w:p w14:paraId="74DD9C8A"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9C8B" w14:textId="77777777" w:rsidR="00584EC1" w:rsidRDefault="00871F8D">
            <w:pPr>
              <w:jc w:val="center"/>
              <w:textAlignment w:val="bottom"/>
            </w:pPr>
            <w:r>
              <w:rPr>
                <w:rFonts w:ascii="Arial" w:eastAsia="宋体" w:hAnsi="Arial" w:cs="Arial"/>
                <w:b/>
                <w:bCs/>
                <w:color w:val="000000"/>
                <w:sz w:val="14"/>
                <w:szCs w:val="14"/>
              </w:rPr>
              <w:t xml:space="preserve">Basel III </w:t>
            </w:r>
            <w:r>
              <w:rPr>
                <w:rFonts w:ascii="Arial" w:eastAsia="宋体" w:hAnsi="Arial" w:cs="Arial"/>
                <w:b/>
                <w:bCs/>
                <w:color w:val="000000"/>
                <w:sz w:val="14"/>
                <w:szCs w:val="14"/>
              </w:rPr>
              <w:t>Standardized Approach December 31, 2020</w:t>
            </w:r>
          </w:p>
        </w:tc>
      </w:tr>
      <w:tr w:rsidR="00584EC1" w14:paraId="74DD9C95" w14:textId="77777777">
        <w:tc>
          <w:tcPr>
            <w:tcW w:w="0" w:type="auto"/>
            <w:gridSpan w:val="3"/>
            <w:shd w:val="clear" w:color="auto" w:fill="auto"/>
            <w:tcMar>
              <w:top w:w="40" w:type="dxa"/>
              <w:left w:w="20" w:type="dxa"/>
              <w:bottom w:w="40" w:type="dxa"/>
              <w:right w:w="20" w:type="dxa"/>
            </w:tcMar>
            <w:vAlign w:val="bottom"/>
          </w:tcPr>
          <w:p w14:paraId="74DD9C8D" w14:textId="77777777" w:rsidR="00584EC1" w:rsidRDefault="00871F8D">
            <w:pPr>
              <w:textAlignment w:val="bottom"/>
            </w:pPr>
            <w:r>
              <w:rPr>
                <w:rFonts w:ascii="Arial" w:eastAsia="宋体" w:hAnsi="Arial" w:cs="Arial"/>
                <w:b/>
                <w:bCs/>
                <w:color w:val="000000"/>
                <w:sz w:val="14"/>
                <w:szCs w:val="14"/>
              </w:rPr>
              <w:t>Common equity tier 1 capital:</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C8E"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9C8F"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C90"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9C91"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C9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9C93"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C94" w14:textId="77777777" w:rsidR="00584EC1" w:rsidRDefault="00584EC1">
            <w:pPr>
              <w:rPr>
                <w:rFonts w:ascii="宋体"/>
              </w:rPr>
            </w:pPr>
          </w:p>
        </w:tc>
      </w:tr>
      <w:tr w:rsidR="00584EC1" w14:paraId="74DD9CA6" w14:textId="77777777">
        <w:tc>
          <w:tcPr>
            <w:tcW w:w="0" w:type="auto"/>
            <w:gridSpan w:val="3"/>
            <w:shd w:val="clear" w:color="auto" w:fill="CCEEFF"/>
            <w:tcMar>
              <w:top w:w="40" w:type="dxa"/>
              <w:left w:w="20" w:type="dxa"/>
              <w:bottom w:w="40" w:type="dxa"/>
              <w:right w:w="20" w:type="dxa"/>
            </w:tcMar>
            <w:vAlign w:val="bottom"/>
          </w:tcPr>
          <w:p w14:paraId="74DD9C96" w14:textId="77777777" w:rsidR="00584EC1" w:rsidRDefault="00871F8D">
            <w:pPr>
              <w:textAlignment w:val="bottom"/>
            </w:pPr>
            <w:r>
              <w:rPr>
                <w:rFonts w:ascii="Arial" w:eastAsia="宋体" w:hAnsi="Arial" w:cs="Arial"/>
                <w:color w:val="000000"/>
                <w:sz w:val="14"/>
                <w:szCs w:val="14"/>
              </w:rPr>
              <w:t>Common equity tier 1 capital balance, beginning of period</w:t>
            </w:r>
          </w:p>
        </w:tc>
        <w:tc>
          <w:tcPr>
            <w:tcW w:w="0" w:type="auto"/>
            <w:shd w:val="clear" w:color="auto" w:fill="CCEEFF"/>
            <w:tcMar>
              <w:top w:w="40" w:type="dxa"/>
              <w:left w:w="20" w:type="dxa"/>
              <w:bottom w:w="40" w:type="dxa"/>
              <w:right w:w="0" w:type="dxa"/>
            </w:tcMar>
            <w:vAlign w:val="bottom"/>
          </w:tcPr>
          <w:p w14:paraId="74DD9C97" w14:textId="77777777" w:rsidR="00584EC1" w:rsidRDefault="00871F8D">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4DD9C98" w14:textId="77777777" w:rsidR="00584EC1" w:rsidRDefault="00871F8D">
            <w:pPr>
              <w:jc w:val="right"/>
              <w:textAlignment w:val="bottom"/>
            </w:pPr>
            <w:r>
              <w:rPr>
                <w:rFonts w:ascii="Arial" w:eastAsia="宋体" w:hAnsi="Arial" w:cs="Arial"/>
                <w:b/>
                <w:bCs/>
                <w:color w:val="000000"/>
                <w:sz w:val="14"/>
                <w:szCs w:val="14"/>
              </w:rPr>
              <w:t>14,377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9C9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C9A"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9C9B" w14:textId="77777777" w:rsidR="00584EC1" w:rsidRDefault="00871F8D">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4DD9C9C" w14:textId="77777777" w:rsidR="00584EC1" w:rsidRDefault="00871F8D">
            <w:pPr>
              <w:jc w:val="right"/>
              <w:textAlignment w:val="bottom"/>
            </w:pPr>
            <w:r>
              <w:rPr>
                <w:rFonts w:ascii="Arial" w:eastAsia="宋体" w:hAnsi="Arial" w:cs="Arial"/>
                <w:b/>
                <w:bCs/>
                <w:color w:val="000000"/>
                <w:sz w:val="14"/>
                <w:szCs w:val="14"/>
              </w:rPr>
              <w:t>14,377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9C9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C9E"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9C9F"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9CA0" w14:textId="77777777" w:rsidR="00584EC1" w:rsidRDefault="00871F8D">
            <w:pPr>
              <w:jc w:val="right"/>
              <w:textAlignment w:val="bottom"/>
            </w:pPr>
            <w:r>
              <w:rPr>
                <w:rFonts w:ascii="Arial" w:eastAsia="宋体" w:hAnsi="Arial" w:cs="Arial"/>
                <w:color w:val="000000"/>
                <w:sz w:val="14"/>
                <w:szCs w:val="14"/>
              </w:rPr>
              <w:t>12,213 </w:t>
            </w:r>
          </w:p>
        </w:tc>
        <w:tc>
          <w:tcPr>
            <w:tcW w:w="0" w:type="auto"/>
            <w:shd w:val="clear" w:color="auto" w:fill="CCEEFF"/>
            <w:tcMar>
              <w:top w:w="40" w:type="dxa"/>
              <w:left w:w="0" w:type="dxa"/>
              <w:bottom w:w="40" w:type="dxa"/>
              <w:right w:w="20" w:type="dxa"/>
            </w:tcMar>
            <w:vAlign w:val="bottom"/>
          </w:tcPr>
          <w:p w14:paraId="74DD9CA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CA2"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9CA3"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9CA4" w14:textId="77777777" w:rsidR="00584EC1" w:rsidRDefault="00871F8D">
            <w:pPr>
              <w:jc w:val="right"/>
              <w:textAlignment w:val="bottom"/>
            </w:pPr>
            <w:r>
              <w:rPr>
                <w:rFonts w:ascii="Arial" w:eastAsia="宋体" w:hAnsi="Arial" w:cs="Arial"/>
                <w:color w:val="000000"/>
                <w:sz w:val="14"/>
                <w:szCs w:val="14"/>
              </w:rPr>
              <w:t>12,213 </w:t>
            </w:r>
          </w:p>
        </w:tc>
        <w:tc>
          <w:tcPr>
            <w:tcW w:w="0" w:type="auto"/>
            <w:shd w:val="clear" w:color="auto" w:fill="CCEEFF"/>
            <w:tcMar>
              <w:top w:w="40" w:type="dxa"/>
              <w:left w:w="0" w:type="dxa"/>
              <w:bottom w:w="40" w:type="dxa"/>
              <w:right w:w="20" w:type="dxa"/>
            </w:tcMar>
            <w:vAlign w:val="bottom"/>
          </w:tcPr>
          <w:p w14:paraId="74DD9CA5" w14:textId="77777777" w:rsidR="00584EC1" w:rsidRDefault="00584EC1">
            <w:pPr>
              <w:jc w:val="right"/>
              <w:rPr>
                <w:rFonts w:ascii="宋体"/>
              </w:rPr>
            </w:pPr>
          </w:p>
        </w:tc>
      </w:tr>
      <w:tr w:rsidR="00584EC1" w14:paraId="74DD9CB3" w14:textId="77777777">
        <w:tc>
          <w:tcPr>
            <w:tcW w:w="0" w:type="auto"/>
            <w:gridSpan w:val="3"/>
            <w:shd w:val="clear" w:color="auto" w:fill="FFFFFF"/>
            <w:tcMar>
              <w:top w:w="40" w:type="dxa"/>
              <w:left w:w="20" w:type="dxa"/>
              <w:bottom w:w="40" w:type="dxa"/>
              <w:right w:w="20" w:type="dxa"/>
            </w:tcMar>
            <w:vAlign w:val="bottom"/>
          </w:tcPr>
          <w:p w14:paraId="74DD9CA7" w14:textId="77777777" w:rsidR="00584EC1" w:rsidRDefault="00871F8D">
            <w:pPr>
              <w:textAlignment w:val="bottom"/>
            </w:pPr>
            <w:r>
              <w:rPr>
                <w:rFonts w:ascii="Arial" w:eastAsia="宋体" w:hAnsi="Arial" w:cs="Arial"/>
                <w:color w:val="000000"/>
                <w:sz w:val="14"/>
                <w:szCs w:val="14"/>
              </w:rPr>
              <w:t>Net income</w:t>
            </w:r>
          </w:p>
        </w:tc>
        <w:tc>
          <w:tcPr>
            <w:tcW w:w="0" w:type="auto"/>
            <w:gridSpan w:val="2"/>
            <w:shd w:val="clear" w:color="auto" w:fill="FFFFFF"/>
            <w:tcMar>
              <w:top w:w="40" w:type="dxa"/>
              <w:left w:w="20" w:type="dxa"/>
              <w:bottom w:w="40" w:type="dxa"/>
              <w:right w:w="0" w:type="dxa"/>
            </w:tcMar>
            <w:vAlign w:val="bottom"/>
          </w:tcPr>
          <w:p w14:paraId="74DD9CA8" w14:textId="77777777" w:rsidR="00584EC1" w:rsidRDefault="00871F8D">
            <w:pPr>
              <w:jc w:val="right"/>
              <w:textAlignment w:val="bottom"/>
            </w:pPr>
            <w:r>
              <w:rPr>
                <w:rFonts w:ascii="Arial" w:eastAsia="宋体" w:hAnsi="Arial" w:cs="Arial"/>
                <w:b/>
                <w:bCs/>
                <w:color w:val="000000"/>
                <w:sz w:val="14"/>
                <w:szCs w:val="14"/>
              </w:rPr>
              <w:t>1,996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9CA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CA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CAB" w14:textId="77777777" w:rsidR="00584EC1" w:rsidRDefault="00871F8D">
            <w:pPr>
              <w:jc w:val="right"/>
              <w:textAlignment w:val="bottom"/>
            </w:pPr>
            <w:r>
              <w:rPr>
                <w:rFonts w:ascii="Arial" w:eastAsia="宋体" w:hAnsi="Arial" w:cs="Arial"/>
                <w:b/>
                <w:bCs/>
                <w:color w:val="000000"/>
                <w:sz w:val="14"/>
                <w:szCs w:val="14"/>
              </w:rPr>
              <w:t>1,996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9CA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CA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CAE" w14:textId="77777777" w:rsidR="00584EC1" w:rsidRDefault="00871F8D">
            <w:pPr>
              <w:jc w:val="right"/>
              <w:textAlignment w:val="bottom"/>
            </w:pPr>
            <w:r>
              <w:rPr>
                <w:rFonts w:ascii="Arial" w:eastAsia="宋体" w:hAnsi="Arial" w:cs="Arial"/>
                <w:color w:val="000000"/>
                <w:sz w:val="14"/>
                <w:szCs w:val="14"/>
              </w:rPr>
              <w:t>2,420 </w:t>
            </w:r>
          </w:p>
        </w:tc>
        <w:tc>
          <w:tcPr>
            <w:tcW w:w="0" w:type="auto"/>
            <w:shd w:val="clear" w:color="auto" w:fill="FFFFFF"/>
            <w:tcMar>
              <w:top w:w="40" w:type="dxa"/>
              <w:left w:w="0" w:type="dxa"/>
              <w:bottom w:w="40" w:type="dxa"/>
              <w:right w:w="20" w:type="dxa"/>
            </w:tcMar>
            <w:vAlign w:val="bottom"/>
          </w:tcPr>
          <w:p w14:paraId="74DD9CA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CB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CB1" w14:textId="77777777" w:rsidR="00584EC1" w:rsidRDefault="00871F8D">
            <w:pPr>
              <w:jc w:val="right"/>
              <w:textAlignment w:val="bottom"/>
            </w:pPr>
            <w:r>
              <w:rPr>
                <w:rFonts w:ascii="Arial" w:eastAsia="宋体" w:hAnsi="Arial" w:cs="Arial"/>
                <w:color w:val="000000"/>
                <w:sz w:val="14"/>
                <w:szCs w:val="14"/>
              </w:rPr>
              <w:t>2,420 </w:t>
            </w:r>
          </w:p>
        </w:tc>
        <w:tc>
          <w:tcPr>
            <w:tcW w:w="0" w:type="auto"/>
            <w:shd w:val="clear" w:color="auto" w:fill="FFFFFF"/>
            <w:tcMar>
              <w:top w:w="40" w:type="dxa"/>
              <w:left w:w="0" w:type="dxa"/>
              <w:bottom w:w="40" w:type="dxa"/>
              <w:right w:w="20" w:type="dxa"/>
            </w:tcMar>
            <w:vAlign w:val="bottom"/>
          </w:tcPr>
          <w:p w14:paraId="74DD9CB2" w14:textId="77777777" w:rsidR="00584EC1" w:rsidRDefault="00584EC1">
            <w:pPr>
              <w:jc w:val="right"/>
              <w:rPr>
                <w:rFonts w:ascii="宋体"/>
              </w:rPr>
            </w:pPr>
          </w:p>
        </w:tc>
      </w:tr>
      <w:tr w:rsidR="00584EC1" w14:paraId="74DD9CC0" w14:textId="77777777">
        <w:tc>
          <w:tcPr>
            <w:tcW w:w="0" w:type="auto"/>
            <w:gridSpan w:val="3"/>
            <w:shd w:val="clear" w:color="auto" w:fill="CCEEFF"/>
            <w:tcMar>
              <w:top w:w="40" w:type="dxa"/>
              <w:left w:w="20" w:type="dxa"/>
              <w:bottom w:w="40" w:type="dxa"/>
              <w:right w:w="20" w:type="dxa"/>
            </w:tcMar>
            <w:vAlign w:val="bottom"/>
          </w:tcPr>
          <w:p w14:paraId="74DD9CB4" w14:textId="77777777" w:rsidR="00584EC1" w:rsidRDefault="00871F8D">
            <w:pPr>
              <w:textAlignment w:val="bottom"/>
            </w:pPr>
            <w:r>
              <w:rPr>
                <w:rFonts w:ascii="Arial" w:eastAsia="宋体" w:hAnsi="Arial" w:cs="Arial"/>
                <w:color w:val="000000"/>
                <w:sz w:val="14"/>
                <w:szCs w:val="14"/>
              </w:rPr>
              <w:t>Changes in treasury stock, at cost</w:t>
            </w:r>
          </w:p>
        </w:tc>
        <w:tc>
          <w:tcPr>
            <w:tcW w:w="0" w:type="auto"/>
            <w:gridSpan w:val="2"/>
            <w:shd w:val="clear" w:color="auto" w:fill="CCEEFF"/>
            <w:tcMar>
              <w:top w:w="40" w:type="dxa"/>
              <w:left w:w="20" w:type="dxa"/>
              <w:bottom w:w="40" w:type="dxa"/>
              <w:right w:w="0" w:type="dxa"/>
            </w:tcMar>
            <w:vAlign w:val="bottom"/>
          </w:tcPr>
          <w:p w14:paraId="74DD9CB5" w14:textId="77777777" w:rsidR="00584EC1" w:rsidRDefault="00871F8D">
            <w:pPr>
              <w:jc w:val="right"/>
              <w:textAlignment w:val="bottom"/>
            </w:pPr>
            <w:r>
              <w:rPr>
                <w:rFonts w:ascii="Arial" w:eastAsia="宋体" w:hAnsi="Arial" w:cs="Arial"/>
                <w:b/>
                <w:bCs/>
                <w:color w:val="000000"/>
                <w:sz w:val="14"/>
                <w:szCs w:val="14"/>
              </w:rPr>
              <w:t>577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9CB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CB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CB8" w14:textId="77777777" w:rsidR="00584EC1" w:rsidRDefault="00871F8D">
            <w:pPr>
              <w:jc w:val="right"/>
              <w:textAlignment w:val="bottom"/>
            </w:pPr>
            <w:r>
              <w:rPr>
                <w:rFonts w:ascii="Arial" w:eastAsia="宋体" w:hAnsi="Arial" w:cs="Arial"/>
                <w:b/>
                <w:bCs/>
                <w:color w:val="000000"/>
                <w:sz w:val="14"/>
                <w:szCs w:val="14"/>
              </w:rPr>
              <w:t>577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9CB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CBA"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CBB" w14:textId="77777777" w:rsidR="00584EC1" w:rsidRDefault="00871F8D">
            <w:pPr>
              <w:jc w:val="right"/>
              <w:textAlignment w:val="bottom"/>
            </w:pPr>
            <w:r>
              <w:rPr>
                <w:rFonts w:ascii="Arial" w:eastAsia="宋体" w:hAnsi="Arial" w:cs="Arial"/>
                <w:color w:val="000000"/>
                <w:sz w:val="14"/>
                <w:szCs w:val="14"/>
              </w:rPr>
              <w:t>(400)</w:t>
            </w:r>
          </w:p>
        </w:tc>
        <w:tc>
          <w:tcPr>
            <w:tcW w:w="0" w:type="auto"/>
            <w:shd w:val="clear" w:color="auto" w:fill="CCEEFF"/>
            <w:tcMar>
              <w:top w:w="40" w:type="dxa"/>
              <w:left w:w="0" w:type="dxa"/>
              <w:bottom w:w="40" w:type="dxa"/>
              <w:right w:w="20" w:type="dxa"/>
            </w:tcMar>
            <w:vAlign w:val="bottom"/>
          </w:tcPr>
          <w:p w14:paraId="74DD9CB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CB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CBE" w14:textId="77777777" w:rsidR="00584EC1" w:rsidRDefault="00871F8D">
            <w:pPr>
              <w:jc w:val="right"/>
              <w:textAlignment w:val="bottom"/>
            </w:pPr>
            <w:r>
              <w:rPr>
                <w:rFonts w:ascii="Arial" w:eastAsia="宋体" w:hAnsi="Arial" w:cs="Arial"/>
                <w:color w:val="000000"/>
                <w:sz w:val="14"/>
                <w:szCs w:val="14"/>
              </w:rPr>
              <w:t>(400)</w:t>
            </w:r>
          </w:p>
        </w:tc>
        <w:tc>
          <w:tcPr>
            <w:tcW w:w="0" w:type="auto"/>
            <w:shd w:val="clear" w:color="auto" w:fill="CCEEFF"/>
            <w:tcMar>
              <w:top w:w="40" w:type="dxa"/>
              <w:left w:w="0" w:type="dxa"/>
              <w:bottom w:w="40" w:type="dxa"/>
              <w:right w:w="20" w:type="dxa"/>
            </w:tcMar>
            <w:vAlign w:val="bottom"/>
          </w:tcPr>
          <w:p w14:paraId="74DD9CBF" w14:textId="77777777" w:rsidR="00584EC1" w:rsidRDefault="00584EC1">
            <w:pPr>
              <w:jc w:val="right"/>
              <w:rPr>
                <w:rFonts w:ascii="宋体"/>
              </w:rPr>
            </w:pPr>
          </w:p>
        </w:tc>
      </w:tr>
      <w:tr w:rsidR="00584EC1" w14:paraId="74DD9CCD" w14:textId="77777777">
        <w:tc>
          <w:tcPr>
            <w:tcW w:w="0" w:type="auto"/>
            <w:gridSpan w:val="3"/>
            <w:shd w:val="clear" w:color="auto" w:fill="FFFFFF"/>
            <w:tcMar>
              <w:top w:w="40" w:type="dxa"/>
              <w:left w:w="20" w:type="dxa"/>
              <w:bottom w:w="40" w:type="dxa"/>
              <w:right w:w="20" w:type="dxa"/>
            </w:tcMar>
            <w:vAlign w:val="bottom"/>
          </w:tcPr>
          <w:p w14:paraId="74DD9CC1" w14:textId="77777777" w:rsidR="00584EC1" w:rsidRDefault="00871F8D">
            <w:pPr>
              <w:textAlignment w:val="bottom"/>
            </w:pPr>
            <w:r>
              <w:rPr>
                <w:rFonts w:ascii="Arial" w:eastAsia="宋体" w:hAnsi="Arial" w:cs="Arial"/>
                <w:color w:val="000000"/>
                <w:sz w:val="14"/>
                <w:szCs w:val="14"/>
              </w:rPr>
              <w:t>Dividends declared</w:t>
            </w:r>
          </w:p>
        </w:tc>
        <w:tc>
          <w:tcPr>
            <w:tcW w:w="0" w:type="auto"/>
            <w:gridSpan w:val="2"/>
            <w:shd w:val="clear" w:color="auto" w:fill="FFFFFF"/>
            <w:tcMar>
              <w:top w:w="40" w:type="dxa"/>
              <w:left w:w="20" w:type="dxa"/>
              <w:bottom w:w="40" w:type="dxa"/>
              <w:right w:w="0" w:type="dxa"/>
            </w:tcMar>
            <w:vAlign w:val="bottom"/>
          </w:tcPr>
          <w:p w14:paraId="74DD9CC2" w14:textId="77777777" w:rsidR="00584EC1" w:rsidRDefault="00871F8D">
            <w:pPr>
              <w:jc w:val="right"/>
              <w:textAlignment w:val="bottom"/>
            </w:pPr>
            <w:r>
              <w:rPr>
                <w:rFonts w:ascii="Arial" w:eastAsia="宋体" w:hAnsi="Arial" w:cs="Arial"/>
                <w:b/>
                <w:bCs/>
                <w:color w:val="000000"/>
                <w:sz w:val="14"/>
                <w:szCs w:val="14"/>
              </w:rPr>
              <w:t>(472)</w:t>
            </w:r>
          </w:p>
        </w:tc>
        <w:tc>
          <w:tcPr>
            <w:tcW w:w="0" w:type="auto"/>
            <w:shd w:val="clear" w:color="auto" w:fill="FFFFFF"/>
            <w:tcMar>
              <w:top w:w="40" w:type="dxa"/>
              <w:left w:w="0" w:type="dxa"/>
              <w:bottom w:w="40" w:type="dxa"/>
              <w:right w:w="20" w:type="dxa"/>
            </w:tcMar>
            <w:vAlign w:val="bottom"/>
          </w:tcPr>
          <w:p w14:paraId="74DD9CC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CC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CC5" w14:textId="77777777" w:rsidR="00584EC1" w:rsidRDefault="00871F8D">
            <w:pPr>
              <w:jc w:val="right"/>
              <w:textAlignment w:val="bottom"/>
            </w:pPr>
            <w:r>
              <w:rPr>
                <w:rFonts w:ascii="Arial" w:eastAsia="宋体" w:hAnsi="Arial" w:cs="Arial"/>
                <w:b/>
                <w:bCs/>
                <w:color w:val="000000"/>
                <w:sz w:val="14"/>
                <w:szCs w:val="14"/>
              </w:rPr>
              <w:t>(472)</w:t>
            </w:r>
          </w:p>
        </w:tc>
        <w:tc>
          <w:tcPr>
            <w:tcW w:w="0" w:type="auto"/>
            <w:shd w:val="clear" w:color="auto" w:fill="FFFFFF"/>
            <w:tcMar>
              <w:top w:w="40" w:type="dxa"/>
              <w:left w:w="0" w:type="dxa"/>
              <w:bottom w:w="40" w:type="dxa"/>
              <w:right w:w="20" w:type="dxa"/>
            </w:tcMar>
            <w:vAlign w:val="bottom"/>
          </w:tcPr>
          <w:p w14:paraId="74DD9CC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CC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CC8" w14:textId="77777777" w:rsidR="00584EC1" w:rsidRDefault="00871F8D">
            <w:pPr>
              <w:jc w:val="right"/>
              <w:textAlignment w:val="bottom"/>
            </w:pPr>
            <w:r>
              <w:rPr>
                <w:rFonts w:ascii="Arial" w:eastAsia="宋体" w:hAnsi="Arial" w:cs="Arial"/>
                <w:color w:val="000000"/>
                <w:sz w:val="14"/>
                <w:szCs w:val="14"/>
              </w:rPr>
              <w:t>(886)</w:t>
            </w:r>
          </w:p>
        </w:tc>
        <w:tc>
          <w:tcPr>
            <w:tcW w:w="0" w:type="auto"/>
            <w:shd w:val="clear" w:color="auto" w:fill="FFFFFF"/>
            <w:tcMar>
              <w:top w:w="40" w:type="dxa"/>
              <w:left w:w="0" w:type="dxa"/>
              <w:bottom w:w="40" w:type="dxa"/>
              <w:right w:w="20" w:type="dxa"/>
            </w:tcMar>
            <w:vAlign w:val="bottom"/>
          </w:tcPr>
          <w:p w14:paraId="74DD9CC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CC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CCB" w14:textId="77777777" w:rsidR="00584EC1" w:rsidRDefault="00871F8D">
            <w:pPr>
              <w:jc w:val="right"/>
              <w:textAlignment w:val="bottom"/>
            </w:pPr>
            <w:r>
              <w:rPr>
                <w:rFonts w:ascii="Arial" w:eastAsia="宋体" w:hAnsi="Arial" w:cs="Arial"/>
                <w:color w:val="000000"/>
                <w:sz w:val="14"/>
                <w:szCs w:val="14"/>
              </w:rPr>
              <w:t>(886)</w:t>
            </w:r>
          </w:p>
        </w:tc>
        <w:tc>
          <w:tcPr>
            <w:tcW w:w="0" w:type="auto"/>
            <w:shd w:val="clear" w:color="auto" w:fill="FFFFFF"/>
            <w:tcMar>
              <w:top w:w="40" w:type="dxa"/>
              <w:left w:w="0" w:type="dxa"/>
              <w:bottom w:w="40" w:type="dxa"/>
              <w:right w:w="20" w:type="dxa"/>
            </w:tcMar>
            <w:vAlign w:val="bottom"/>
          </w:tcPr>
          <w:p w14:paraId="74DD9CCC" w14:textId="77777777" w:rsidR="00584EC1" w:rsidRDefault="00584EC1">
            <w:pPr>
              <w:jc w:val="right"/>
              <w:rPr>
                <w:rFonts w:ascii="宋体"/>
              </w:rPr>
            </w:pPr>
          </w:p>
        </w:tc>
      </w:tr>
      <w:tr w:rsidR="00584EC1" w14:paraId="74DD9CDA" w14:textId="77777777">
        <w:tc>
          <w:tcPr>
            <w:tcW w:w="0" w:type="auto"/>
            <w:gridSpan w:val="3"/>
            <w:shd w:val="clear" w:color="auto" w:fill="CCEEFF"/>
            <w:tcMar>
              <w:top w:w="40" w:type="dxa"/>
              <w:left w:w="20" w:type="dxa"/>
              <w:bottom w:w="40" w:type="dxa"/>
              <w:right w:w="20" w:type="dxa"/>
            </w:tcMar>
            <w:vAlign w:val="bottom"/>
          </w:tcPr>
          <w:p w14:paraId="74DD9CCE" w14:textId="77777777" w:rsidR="00584EC1" w:rsidRDefault="00871F8D">
            <w:pPr>
              <w:textAlignment w:val="bottom"/>
            </w:pPr>
            <w:r>
              <w:rPr>
                <w:rFonts w:ascii="Arial" w:eastAsia="宋体" w:hAnsi="Arial" w:cs="Arial"/>
                <w:color w:val="000000"/>
                <w:sz w:val="14"/>
                <w:szCs w:val="14"/>
              </w:rPr>
              <w:t>Goodwill and other intangible assets, net of associated deferred tax liabilities</w:t>
            </w:r>
          </w:p>
        </w:tc>
        <w:tc>
          <w:tcPr>
            <w:tcW w:w="0" w:type="auto"/>
            <w:gridSpan w:val="2"/>
            <w:shd w:val="clear" w:color="auto" w:fill="CCEEFF"/>
            <w:tcMar>
              <w:top w:w="40" w:type="dxa"/>
              <w:left w:w="20" w:type="dxa"/>
              <w:bottom w:w="40" w:type="dxa"/>
              <w:right w:w="0" w:type="dxa"/>
            </w:tcMar>
            <w:vAlign w:val="bottom"/>
          </w:tcPr>
          <w:p w14:paraId="74DD9CCF" w14:textId="77777777" w:rsidR="00584EC1" w:rsidRDefault="00871F8D">
            <w:pPr>
              <w:jc w:val="right"/>
              <w:textAlignment w:val="bottom"/>
            </w:pPr>
            <w:r>
              <w:rPr>
                <w:rFonts w:ascii="Arial" w:eastAsia="宋体" w:hAnsi="Arial" w:cs="Arial"/>
                <w:b/>
                <w:bCs/>
                <w:color w:val="000000"/>
                <w:sz w:val="14"/>
                <w:szCs w:val="14"/>
              </w:rPr>
              <w:t>(21)</w:t>
            </w:r>
          </w:p>
        </w:tc>
        <w:tc>
          <w:tcPr>
            <w:tcW w:w="0" w:type="auto"/>
            <w:shd w:val="clear" w:color="auto" w:fill="CCEEFF"/>
            <w:tcMar>
              <w:top w:w="40" w:type="dxa"/>
              <w:left w:w="0" w:type="dxa"/>
              <w:bottom w:w="40" w:type="dxa"/>
              <w:right w:w="20" w:type="dxa"/>
            </w:tcMar>
            <w:vAlign w:val="bottom"/>
          </w:tcPr>
          <w:p w14:paraId="74DD9CD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CD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CD2" w14:textId="77777777" w:rsidR="00584EC1" w:rsidRDefault="00871F8D">
            <w:pPr>
              <w:jc w:val="right"/>
              <w:textAlignment w:val="bottom"/>
            </w:pPr>
            <w:r>
              <w:rPr>
                <w:rFonts w:ascii="Arial" w:eastAsia="宋体" w:hAnsi="Arial" w:cs="Arial"/>
                <w:b/>
                <w:bCs/>
                <w:color w:val="000000"/>
                <w:sz w:val="14"/>
                <w:szCs w:val="14"/>
              </w:rPr>
              <w:t>(21)</w:t>
            </w:r>
          </w:p>
        </w:tc>
        <w:tc>
          <w:tcPr>
            <w:tcW w:w="0" w:type="auto"/>
            <w:shd w:val="clear" w:color="auto" w:fill="CCEEFF"/>
            <w:tcMar>
              <w:top w:w="40" w:type="dxa"/>
              <w:left w:w="0" w:type="dxa"/>
              <w:bottom w:w="40" w:type="dxa"/>
              <w:right w:w="20" w:type="dxa"/>
            </w:tcMar>
            <w:vAlign w:val="bottom"/>
          </w:tcPr>
          <w:p w14:paraId="74DD9CD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CD4"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CD5" w14:textId="77777777" w:rsidR="00584EC1" w:rsidRDefault="00871F8D">
            <w:pPr>
              <w:jc w:val="right"/>
              <w:textAlignment w:val="bottom"/>
            </w:pPr>
            <w:r>
              <w:rPr>
                <w:rFonts w:ascii="Arial" w:eastAsia="宋体" w:hAnsi="Arial" w:cs="Arial"/>
                <w:color w:val="000000"/>
                <w:sz w:val="14"/>
                <w:szCs w:val="14"/>
              </w:rPr>
              <w:t>93 </w:t>
            </w:r>
          </w:p>
        </w:tc>
        <w:tc>
          <w:tcPr>
            <w:tcW w:w="0" w:type="auto"/>
            <w:shd w:val="clear" w:color="auto" w:fill="CCEEFF"/>
            <w:tcMar>
              <w:top w:w="40" w:type="dxa"/>
              <w:left w:w="0" w:type="dxa"/>
              <w:bottom w:w="40" w:type="dxa"/>
              <w:right w:w="20" w:type="dxa"/>
            </w:tcMar>
            <w:vAlign w:val="bottom"/>
          </w:tcPr>
          <w:p w14:paraId="74DD9CD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CD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CD8" w14:textId="77777777" w:rsidR="00584EC1" w:rsidRDefault="00871F8D">
            <w:pPr>
              <w:jc w:val="right"/>
              <w:textAlignment w:val="bottom"/>
            </w:pPr>
            <w:r>
              <w:rPr>
                <w:rFonts w:ascii="Arial" w:eastAsia="宋体" w:hAnsi="Arial" w:cs="Arial"/>
                <w:color w:val="000000"/>
                <w:sz w:val="14"/>
                <w:szCs w:val="14"/>
              </w:rPr>
              <w:t>93 </w:t>
            </w:r>
          </w:p>
        </w:tc>
        <w:tc>
          <w:tcPr>
            <w:tcW w:w="0" w:type="auto"/>
            <w:shd w:val="clear" w:color="auto" w:fill="CCEEFF"/>
            <w:tcMar>
              <w:top w:w="40" w:type="dxa"/>
              <w:left w:w="0" w:type="dxa"/>
              <w:bottom w:w="40" w:type="dxa"/>
              <w:right w:w="20" w:type="dxa"/>
            </w:tcMar>
            <w:vAlign w:val="bottom"/>
          </w:tcPr>
          <w:p w14:paraId="74DD9CD9" w14:textId="77777777" w:rsidR="00584EC1" w:rsidRDefault="00584EC1">
            <w:pPr>
              <w:jc w:val="right"/>
              <w:rPr>
                <w:rFonts w:ascii="宋体"/>
              </w:rPr>
            </w:pPr>
          </w:p>
        </w:tc>
      </w:tr>
      <w:tr w:rsidR="00584EC1" w14:paraId="74DD9CE7" w14:textId="77777777">
        <w:tc>
          <w:tcPr>
            <w:tcW w:w="0" w:type="auto"/>
            <w:gridSpan w:val="3"/>
            <w:shd w:val="clear" w:color="auto" w:fill="FFFFFF"/>
            <w:tcMar>
              <w:top w:w="40" w:type="dxa"/>
              <w:left w:w="20" w:type="dxa"/>
              <w:bottom w:w="40" w:type="dxa"/>
              <w:right w:w="20" w:type="dxa"/>
            </w:tcMar>
            <w:vAlign w:val="bottom"/>
          </w:tcPr>
          <w:p w14:paraId="74DD9CDB" w14:textId="77777777" w:rsidR="00584EC1" w:rsidRDefault="00871F8D">
            <w:pPr>
              <w:textAlignment w:val="bottom"/>
            </w:pPr>
            <w:r>
              <w:rPr>
                <w:rFonts w:ascii="Arial" w:eastAsia="宋体" w:hAnsi="Arial" w:cs="Arial"/>
                <w:color w:val="000000"/>
                <w:sz w:val="14"/>
                <w:szCs w:val="14"/>
              </w:rPr>
              <w:t>Effect of certain items in accumulated other comprehensive income (loss)</w:t>
            </w:r>
          </w:p>
        </w:tc>
        <w:tc>
          <w:tcPr>
            <w:tcW w:w="0" w:type="auto"/>
            <w:gridSpan w:val="2"/>
            <w:shd w:val="clear" w:color="auto" w:fill="FFFFFF"/>
            <w:tcMar>
              <w:top w:w="40" w:type="dxa"/>
              <w:left w:w="20" w:type="dxa"/>
              <w:bottom w:w="40" w:type="dxa"/>
              <w:right w:w="0" w:type="dxa"/>
            </w:tcMar>
            <w:vAlign w:val="bottom"/>
          </w:tcPr>
          <w:p w14:paraId="74DD9CDC" w14:textId="77777777" w:rsidR="00584EC1" w:rsidRDefault="00871F8D">
            <w:pPr>
              <w:jc w:val="right"/>
              <w:textAlignment w:val="bottom"/>
            </w:pPr>
            <w:r>
              <w:rPr>
                <w:rFonts w:ascii="Arial" w:eastAsia="宋体" w:hAnsi="Arial" w:cs="Arial"/>
                <w:b/>
                <w:bCs/>
                <w:color w:val="000000"/>
                <w:sz w:val="14"/>
                <w:szCs w:val="14"/>
              </w:rPr>
              <w:t>(869)</w:t>
            </w:r>
          </w:p>
        </w:tc>
        <w:tc>
          <w:tcPr>
            <w:tcW w:w="0" w:type="auto"/>
            <w:shd w:val="clear" w:color="auto" w:fill="FFFFFF"/>
            <w:tcMar>
              <w:top w:w="40" w:type="dxa"/>
              <w:left w:w="0" w:type="dxa"/>
              <w:bottom w:w="40" w:type="dxa"/>
              <w:right w:w="20" w:type="dxa"/>
            </w:tcMar>
            <w:vAlign w:val="bottom"/>
          </w:tcPr>
          <w:p w14:paraId="74DD9CD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CD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CDF" w14:textId="77777777" w:rsidR="00584EC1" w:rsidRDefault="00871F8D">
            <w:pPr>
              <w:jc w:val="right"/>
              <w:textAlignment w:val="bottom"/>
            </w:pPr>
            <w:r>
              <w:rPr>
                <w:rFonts w:ascii="Arial" w:eastAsia="宋体" w:hAnsi="Arial" w:cs="Arial"/>
                <w:b/>
                <w:bCs/>
                <w:color w:val="000000"/>
                <w:sz w:val="14"/>
                <w:szCs w:val="14"/>
              </w:rPr>
              <w:t>(869)</w:t>
            </w:r>
          </w:p>
        </w:tc>
        <w:tc>
          <w:tcPr>
            <w:tcW w:w="0" w:type="auto"/>
            <w:shd w:val="clear" w:color="auto" w:fill="FFFFFF"/>
            <w:tcMar>
              <w:top w:w="40" w:type="dxa"/>
              <w:left w:w="0" w:type="dxa"/>
              <w:bottom w:w="40" w:type="dxa"/>
              <w:right w:w="20" w:type="dxa"/>
            </w:tcMar>
            <w:vAlign w:val="bottom"/>
          </w:tcPr>
          <w:p w14:paraId="74DD9CE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CE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CE2" w14:textId="77777777" w:rsidR="00584EC1" w:rsidRDefault="00871F8D">
            <w:pPr>
              <w:jc w:val="right"/>
              <w:textAlignment w:val="bottom"/>
            </w:pPr>
            <w:r>
              <w:rPr>
                <w:rFonts w:ascii="Arial" w:eastAsia="宋体" w:hAnsi="Arial" w:cs="Arial"/>
                <w:color w:val="000000"/>
                <w:sz w:val="14"/>
                <w:szCs w:val="14"/>
              </w:rPr>
              <w:t>1,057 </w:t>
            </w:r>
          </w:p>
        </w:tc>
        <w:tc>
          <w:tcPr>
            <w:tcW w:w="0" w:type="auto"/>
            <w:shd w:val="clear" w:color="auto" w:fill="FFFFFF"/>
            <w:tcMar>
              <w:top w:w="40" w:type="dxa"/>
              <w:left w:w="0" w:type="dxa"/>
              <w:bottom w:w="40" w:type="dxa"/>
              <w:right w:w="20" w:type="dxa"/>
            </w:tcMar>
            <w:vAlign w:val="bottom"/>
          </w:tcPr>
          <w:p w14:paraId="74DD9CE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CE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CE5" w14:textId="77777777" w:rsidR="00584EC1" w:rsidRDefault="00871F8D">
            <w:pPr>
              <w:jc w:val="right"/>
              <w:textAlignment w:val="bottom"/>
            </w:pPr>
            <w:r>
              <w:rPr>
                <w:rFonts w:ascii="Arial" w:eastAsia="宋体" w:hAnsi="Arial" w:cs="Arial"/>
                <w:color w:val="000000"/>
                <w:sz w:val="14"/>
                <w:szCs w:val="14"/>
              </w:rPr>
              <w:t>1,057 </w:t>
            </w:r>
          </w:p>
        </w:tc>
        <w:tc>
          <w:tcPr>
            <w:tcW w:w="0" w:type="auto"/>
            <w:shd w:val="clear" w:color="auto" w:fill="FFFFFF"/>
            <w:tcMar>
              <w:top w:w="40" w:type="dxa"/>
              <w:left w:w="0" w:type="dxa"/>
              <w:bottom w:w="40" w:type="dxa"/>
              <w:right w:w="20" w:type="dxa"/>
            </w:tcMar>
            <w:vAlign w:val="bottom"/>
          </w:tcPr>
          <w:p w14:paraId="74DD9CE6" w14:textId="77777777" w:rsidR="00584EC1" w:rsidRDefault="00584EC1">
            <w:pPr>
              <w:jc w:val="right"/>
              <w:rPr>
                <w:rFonts w:ascii="宋体"/>
              </w:rPr>
            </w:pPr>
          </w:p>
        </w:tc>
      </w:tr>
      <w:tr w:rsidR="00584EC1" w14:paraId="74DD9CF4" w14:textId="77777777">
        <w:tc>
          <w:tcPr>
            <w:tcW w:w="0" w:type="auto"/>
            <w:gridSpan w:val="3"/>
            <w:shd w:val="clear" w:color="auto" w:fill="CCEEFF"/>
            <w:tcMar>
              <w:top w:w="40" w:type="dxa"/>
              <w:left w:w="20" w:type="dxa"/>
              <w:bottom w:w="40" w:type="dxa"/>
              <w:right w:w="20" w:type="dxa"/>
            </w:tcMar>
            <w:vAlign w:val="bottom"/>
          </w:tcPr>
          <w:p w14:paraId="74DD9CE8" w14:textId="77777777" w:rsidR="00584EC1" w:rsidRDefault="00871F8D">
            <w:pPr>
              <w:textAlignment w:val="bottom"/>
            </w:pPr>
            <w:r>
              <w:rPr>
                <w:rFonts w:ascii="Arial" w:eastAsia="宋体" w:hAnsi="Arial" w:cs="Arial"/>
                <w:color w:val="000000"/>
                <w:sz w:val="14"/>
                <w:szCs w:val="14"/>
              </w:rPr>
              <w:t>Other adjustments</w:t>
            </w:r>
          </w:p>
        </w:tc>
        <w:tc>
          <w:tcPr>
            <w:tcW w:w="0" w:type="auto"/>
            <w:gridSpan w:val="2"/>
            <w:shd w:val="clear" w:color="auto" w:fill="CCEEFF"/>
            <w:tcMar>
              <w:top w:w="40" w:type="dxa"/>
              <w:left w:w="20" w:type="dxa"/>
              <w:bottom w:w="40" w:type="dxa"/>
              <w:right w:w="0" w:type="dxa"/>
            </w:tcMar>
            <w:vAlign w:val="bottom"/>
          </w:tcPr>
          <w:p w14:paraId="74DD9CE9" w14:textId="77777777" w:rsidR="00584EC1" w:rsidRDefault="00871F8D">
            <w:pPr>
              <w:jc w:val="right"/>
              <w:textAlignment w:val="bottom"/>
            </w:pPr>
            <w:r>
              <w:rPr>
                <w:rFonts w:ascii="Arial" w:eastAsia="宋体" w:hAnsi="Arial" w:cs="Arial"/>
                <w:b/>
                <w:bCs/>
                <w:color w:val="000000"/>
                <w:sz w:val="14"/>
                <w:szCs w:val="14"/>
              </w:rPr>
              <w:t>243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9CE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CE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CEC" w14:textId="77777777" w:rsidR="00584EC1" w:rsidRDefault="00871F8D">
            <w:pPr>
              <w:jc w:val="right"/>
              <w:textAlignment w:val="bottom"/>
            </w:pPr>
            <w:r>
              <w:rPr>
                <w:rFonts w:ascii="Arial" w:eastAsia="宋体" w:hAnsi="Arial" w:cs="Arial"/>
                <w:b/>
                <w:bCs/>
                <w:color w:val="000000"/>
                <w:sz w:val="14"/>
                <w:szCs w:val="14"/>
              </w:rPr>
              <w:t>243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9CE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CEE"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CEF" w14:textId="77777777" w:rsidR="00584EC1" w:rsidRDefault="00871F8D">
            <w:pPr>
              <w:jc w:val="right"/>
              <w:textAlignment w:val="bottom"/>
            </w:pPr>
            <w:r>
              <w:rPr>
                <w:rFonts w:ascii="Arial" w:eastAsia="宋体" w:hAnsi="Arial" w:cs="Arial"/>
                <w:color w:val="000000"/>
                <w:sz w:val="14"/>
                <w:szCs w:val="14"/>
              </w:rPr>
              <w:t>(120)</w:t>
            </w:r>
          </w:p>
        </w:tc>
        <w:tc>
          <w:tcPr>
            <w:tcW w:w="0" w:type="auto"/>
            <w:shd w:val="clear" w:color="auto" w:fill="CCEEFF"/>
            <w:tcMar>
              <w:top w:w="40" w:type="dxa"/>
              <w:left w:w="0" w:type="dxa"/>
              <w:bottom w:w="40" w:type="dxa"/>
              <w:right w:w="20" w:type="dxa"/>
            </w:tcMar>
            <w:vAlign w:val="bottom"/>
          </w:tcPr>
          <w:p w14:paraId="74DD9CF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CF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CF2" w14:textId="77777777" w:rsidR="00584EC1" w:rsidRDefault="00871F8D">
            <w:pPr>
              <w:jc w:val="right"/>
              <w:textAlignment w:val="bottom"/>
            </w:pPr>
            <w:r>
              <w:rPr>
                <w:rFonts w:ascii="Arial" w:eastAsia="宋体" w:hAnsi="Arial" w:cs="Arial"/>
                <w:color w:val="000000"/>
                <w:sz w:val="14"/>
                <w:szCs w:val="14"/>
              </w:rPr>
              <w:t>(120)</w:t>
            </w:r>
          </w:p>
        </w:tc>
        <w:tc>
          <w:tcPr>
            <w:tcW w:w="0" w:type="auto"/>
            <w:shd w:val="clear" w:color="auto" w:fill="CCEEFF"/>
            <w:tcMar>
              <w:top w:w="40" w:type="dxa"/>
              <w:left w:w="0" w:type="dxa"/>
              <w:bottom w:w="40" w:type="dxa"/>
              <w:right w:w="20" w:type="dxa"/>
            </w:tcMar>
            <w:vAlign w:val="bottom"/>
          </w:tcPr>
          <w:p w14:paraId="74DD9CF3" w14:textId="77777777" w:rsidR="00584EC1" w:rsidRDefault="00584EC1">
            <w:pPr>
              <w:jc w:val="right"/>
              <w:rPr>
                <w:rFonts w:ascii="宋体"/>
              </w:rPr>
            </w:pPr>
          </w:p>
        </w:tc>
      </w:tr>
      <w:tr w:rsidR="00584EC1" w14:paraId="74DD9D01" w14:textId="77777777">
        <w:tc>
          <w:tcPr>
            <w:tcW w:w="0" w:type="auto"/>
            <w:gridSpan w:val="3"/>
            <w:shd w:val="clear" w:color="auto" w:fill="FFFFFF"/>
            <w:tcMar>
              <w:top w:w="40" w:type="dxa"/>
              <w:left w:w="20" w:type="dxa"/>
              <w:bottom w:w="40" w:type="dxa"/>
              <w:right w:w="20" w:type="dxa"/>
            </w:tcMar>
            <w:vAlign w:val="bottom"/>
          </w:tcPr>
          <w:p w14:paraId="74DD9CF5" w14:textId="77777777" w:rsidR="00584EC1" w:rsidRDefault="00871F8D">
            <w:pPr>
              <w:textAlignment w:val="bottom"/>
            </w:pPr>
            <w:r>
              <w:rPr>
                <w:rFonts w:ascii="Arial" w:eastAsia="宋体" w:hAnsi="Arial" w:cs="Arial"/>
                <w:color w:val="000000"/>
                <w:sz w:val="14"/>
                <w:szCs w:val="14"/>
              </w:rPr>
              <w:t>Changes in common equity tier 1 capital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9CF6" w14:textId="77777777" w:rsidR="00584EC1" w:rsidRDefault="00871F8D">
            <w:pPr>
              <w:jc w:val="right"/>
              <w:textAlignment w:val="bottom"/>
            </w:pPr>
            <w:r>
              <w:rPr>
                <w:rFonts w:ascii="Arial" w:eastAsia="宋体" w:hAnsi="Arial" w:cs="Arial"/>
                <w:b/>
                <w:bCs/>
                <w:color w:val="000000"/>
                <w:sz w:val="14"/>
                <w:szCs w:val="14"/>
              </w:rPr>
              <w:t>1,454</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9CF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CF8"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9CF9" w14:textId="77777777" w:rsidR="00584EC1" w:rsidRDefault="00871F8D">
            <w:pPr>
              <w:jc w:val="right"/>
              <w:textAlignment w:val="bottom"/>
            </w:pPr>
            <w:r>
              <w:rPr>
                <w:rFonts w:ascii="Arial" w:eastAsia="宋体" w:hAnsi="Arial" w:cs="Arial"/>
                <w:b/>
                <w:bCs/>
                <w:color w:val="000000"/>
                <w:sz w:val="14"/>
                <w:szCs w:val="14"/>
              </w:rPr>
              <w:t>1,454</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9CF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CFB"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9CFC" w14:textId="77777777" w:rsidR="00584EC1" w:rsidRDefault="00871F8D">
            <w:pPr>
              <w:jc w:val="right"/>
              <w:textAlignment w:val="bottom"/>
            </w:pPr>
            <w:r>
              <w:rPr>
                <w:rFonts w:ascii="Arial" w:eastAsia="宋体" w:hAnsi="Arial" w:cs="Arial"/>
                <w:color w:val="000000"/>
                <w:sz w:val="14"/>
                <w:szCs w:val="14"/>
              </w:rPr>
              <w:t>2,164 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9CF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CFE"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9CFF" w14:textId="77777777" w:rsidR="00584EC1" w:rsidRDefault="00871F8D">
            <w:pPr>
              <w:jc w:val="right"/>
              <w:textAlignment w:val="bottom"/>
            </w:pPr>
            <w:r>
              <w:rPr>
                <w:rFonts w:ascii="Arial" w:eastAsia="宋体" w:hAnsi="Arial" w:cs="Arial"/>
                <w:color w:val="000000"/>
                <w:sz w:val="14"/>
                <w:szCs w:val="14"/>
              </w:rPr>
              <w:t>2,164 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9D00" w14:textId="77777777" w:rsidR="00584EC1" w:rsidRDefault="00584EC1">
            <w:pPr>
              <w:jc w:val="right"/>
              <w:rPr>
                <w:rFonts w:ascii="宋体"/>
              </w:rPr>
            </w:pPr>
          </w:p>
        </w:tc>
      </w:tr>
      <w:tr w:rsidR="00584EC1" w14:paraId="74DD9D0E" w14:textId="77777777">
        <w:tc>
          <w:tcPr>
            <w:tcW w:w="0" w:type="auto"/>
            <w:gridSpan w:val="3"/>
            <w:shd w:val="clear" w:color="auto" w:fill="CCEEFF"/>
            <w:tcMar>
              <w:top w:w="40" w:type="dxa"/>
              <w:left w:w="20" w:type="dxa"/>
              <w:bottom w:w="40" w:type="dxa"/>
              <w:right w:w="20" w:type="dxa"/>
            </w:tcMar>
            <w:vAlign w:val="bottom"/>
          </w:tcPr>
          <w:p w14:paraId="74DD9D02" w14:textId="77777777" w:rsidR="00584EC1" w:rsidRDefault="00871F8D">
            <w:pPr>
              <w:textAlignment w:val="bottom"/>
            </w:pPr>
            <w:r>
              <w:rPr>
                <w:rFonts w:ascii="Arial" w:eastAsia="宋体" w:hAnsi="Arial" w:cs="Arial"/>
                <w:color w:val="000000"/>
                <w:sz w:val="14"/>
                <w:szCs w:val="14"/>
              </w:rPr>
              <w:t>Common equity tier 1 capital balance, end of period</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9D03" w14:textId="77777777" w:rsidR="00584EC1" w:rsidRDefault="00871F8D">
            <w:pPr>
              <w:jc w:val="right"/>
              <w:textAlignment w:val="bottom"/>
            </w:pPr>
            <w:r>
              <w:rPr>
                <w:rFonts w:ascii="Arial" w:eastAsia="宋体" w:hAnsi="Arial" w:cs="Arial"/>
                <w:b/>
                <w:bCs/>
                <w:color w:val="000000"/>
                <w:sz w:val="14"/>
                <w:szCs w:val="14"/>
              </w:rPr>
              <w:t>15,831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D0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D05"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9D06" w14:textId="77777777" w:rsidR="00584EC1" w:rsidRDefault="00871F8D">
            <w:pPr>
              <w:jc w:val="right"/>
              <w:textAlignment w:val="bottom"/>
            </w:pPr>
            <w:r>
              <w:rPr>
                <w:rFonts w:ascii="Arial" w:eastAsia="宋体" w:hAnsi="Arial" w:cs="Arial"/>
                <w:b/>
                <w:bCs/>
                <w:color w:val="000000"/>
                <w:sz w:val="14"/>
                <w:szCs w:val="14"/>
              </w:rPr>
              <w:t>15,831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D0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D08"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9D09" w14:textId="77777777" w:rsidR="00584EC1" w:rsidRDefault="00871F8D">
            <w:pPr>
              <w:jc w:val="right"/>
              <w:textAlignment w:val="bottom"/>
            </w:pPr>
            <w:r>
              <w:rPr>
                <w:rFonts w:ascii="Arial" w:eastAsia="宋体" w:hAnsi="Arial" w:cs="Arial"/>
                <w:color w:val="000000"/>
                <w:sz w:val="14"/>
                <w:szCs w:val="14"/>
              </w:rPr>
              <w:t>14,377 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D0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D0B"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9D0C" w14:textId="77777777" w:rsidR="00584EC1" w:rsidRDefault="00871F8D">
            <w:pPr>
              <w:jc w:val="right"/>
              <w:textAlignment w:val="bottom"/>
            </w:pPr>
            <w:r>
              <w:rPr>
                <w:rFonts w:ascii="Arial" w:eastAsia="宋体" w:hAnsi="Arial" w:cs="Arial"/>
                <w:color w:val="000000"/>
                <w:sz w:val="14"/>
                <w:szCs w:val="14"/>
              </w:rPr>
              <w:t>14,377 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D0D" w14:textId="77777777" w:rsidR="00584EC1" w:rsidRDefault="00584EC1">
            <w:pPr>
              <w:jc w:val="right"/>
              <w:rPr>
                <w:rFonts w:ascii="宋体"/>
              </w:rPr>
            </w:pPr>
          </w:p>
        </w:tc>
      </w:tr>
      <w:tr w:rsidR="00584EC1" w14:paraId="74DD9D17" w14:textId="77777777">
        <w:tc>
          <w:tcPr>
            <w:tcW w:w="0" w:type="auto"/>
            <w:gridSpan w:val="3"/>
            <w:shd w:val="clear" w:color="auto" w:fill="FFFFFF"/>
            <w:tcMar>
              <w:top w:w="40" w:type="dxa"/>
              <w:left w:w="20" w:type="dxa"/>
              <w:bottom w:w="40" w:type="dxa"/>
              <w:right w:w="20" w:type="dxa"/>
            </w:tcMar>
            <w:vAlign w:val="bottom"/>
          </w:tcPr>
          <w:p w14:paraId="74DD9D0F" w14:textId="77777777" w:rsidR="00584EC1" w:rsidRDefault="00871F8D">
            <w:pPr>
              <w:textAlignment w:val="bottom"/>
            </w:pPr>
            <w:r>
              <w:rPr>
                <w:rFonts w:ascii="Arial" w:eastAsia="宋体" w:hAnsi="Arial" w:cs="Arial"/>
                <w:b/>
                <w:bCs/>
                <w:color w:val="000000"/>
                <w:sz w:val="14"/>
                <w:szCs w:val="14"/>
              </w:rPr>
              <w:t>Additional tier 1 capital:</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9D10"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9D11"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9D1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9D13"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9D14"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9D15"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9D16" w14:textId="77777777" w:rsidR="00584EC1" w:rsidRDefault="00584EC1">
            <w:pPr>
              <w:rPr>
                <w:rFonts w:ascii="宋体"/>
              </w:rPr>
            </w:pPr>
          </w:p>
        </w:tc>
      </w:tr>
      <w:tr w:rsidR="00584EC1" w14:paraId="74DD9D24" w14:textId="77777777">
        <w:tc>
          <w:tcPr>
            <w:tcW w:w="0" w:type="auto"/>
            <w:gridSpan w:val="3"/>
            <w:shd w:val="clear" w:color="auto" w:fill="CCEEFF"/>
            <w:tcMar>
              <w:top w:w="40" w:type="dxa"/>
              <w:left w:w="20" w:type="dxa"/>
              <w:bottom w:w="40" w:type="dxa"/>
              <w:right w:w="20" w:type="dxa"/>
            </w:tcMar>
            <w:vAlign w:val="bottom"/>
          </w:tcPr>
          <w:p w14:paraId="74DD9D18" w14:textId="77777777" w:rsidR="00584EC1" w:rsidRDefault="00871F8D">
            <w:pPr>
              <w:textAlignment w:val="bottom"/>
            </w:pPr>
            <w:r>
              <w:rPr>
                <w:rFonts w:ascii="Arial" w:eastAsia="宋体" w:hAnsi="Arial" w:cs="Arial"/>
                <w:color w:val="000000"/>
                <w:sz w:val="14"/>
                <w:szCs w:val="14"/>
              </w:rPr>
              <w:t>Tier 1 capital balance, beginning of period</w:t>
            </w:r>
          </w:p>
        </w:tc>
        <w:tc>
          <w:tcPr>
            <w:tcW w:w="0" w:type="auto"/>
            <w:gridSpan w:val="2"/>
            <w:shd w:val="clear" w:color="auto" w:fill="CCEEFF"/>
            <w:tcMar>
              <w:top w:w="40" w:type="dxa"/>
              <w:left w:w="20" w:type="dxa"/>
              <w:bottom w:w="40" w:type="dxa"/>
              <w:right w:w="0" w:type="dxa"/>
            </w:tcMar>
            <w:vAlign w:val="bottom"/>
          </w:tcPr>
          <w:p w14:paraId="74DD9D19" w14:textId="77777777" w:rsidR="00584EC1" w:rsidRDefault="00871F8D">
            <w:pPr>
              <w:jc w:val="right"/>
              <w:textAlignment w:val="bottom"/>
            </w:pPr>
            <w:r>
              <w:rPr>
                <w:rFonts w:ascii="Arial" w:eastAsia="宋体" w:hAnsi="Arial" w:cs="Arial"/>
                <w:b/>
                <w:bCs/>
                <w:color w:val="000000"/>
                <w:sz w:val="14"/>
                <w:szCs w:val="14"/>
              </w:rPr>
              <w:t>16,848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9D1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D1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D1C" w14:textId="77777777" w:rsidR="00584EC1" w:rsidRDefault="00871F8D">
            <w:pPr>
              <w:jc w:val="right"/>
              <w:textAlignment w:val="bottom"/>
            </w:pPr>
            <w:r>
              <w:rPr>
                <w:rFonts w:ascii="Arial" w:eastAsia="宋体" w:hAnsi="Arial" w:cs="Arial"/>
                <w:b/>
                <w:bCs/>
                <w:color w:val="000000"/>
                <w:sz w:val="14"/>
                <w:szCs w:val="14"/>
              </w:rPr>
              <w:t>16,848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9D1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D1E"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D1F" w14:textId="77777777" w:rsidR="00584EC1" w:rsidRDefault="00871F8D">
            <w:pPr>
              <w:jc w:val="right"/>
              <w:textAlignment w:val="bottom"/>
            </w:pPr>
            <w:r>
              <w:rPr>
                <w:rFonts w:ascii="Arial" w:eastAsia="宋体" w:hAnsi="Arial" w:cs="Arial"/>
                <w:color w:val="000000"/>
                <w:sz w:val="14"/>
                <w:szCs w:val="14"/>
              </w:rPr>
              <w:t>15,175 </w:t>
            </w:r>
          </w:p>
        </w:tc>
        <w:tc>
          <w:tcPr>
            <w:tcW w:w="0" w:type="auto"/>
            <w:shd w:val="clear" w:color="auto" w:fill="CCEEFF"/>
            <w:tcMar>
              <w:top w:w="40" w:type="dxa"/>
              <w:left w:w="0" w:type="dxa"/>
              <w:bottom w:w="40" w:type="dxa"/>
              <w:right w:w="20" w:type="dxa"/>
            </w:tcMar>
            <w:vAlign w:val="bottom"/>
          </w:tcPr>
          <w:p w14:paraId="74DD9D2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D2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D22" w14:textId="77777777" w:rsidR="00584EC1" w:rsidRDefault="00871F8D">
            <w:pPr>
              <w:jc w:val="right"/>
              <w:textAlignment w:val="bottom"/>
            </w:pPr>
            <w:r>
              <w:rPr>
                <w:rFonts w:ascii="Arial" w:eastAsia="宋体" w:hAnsi="Arial" w:cs="Arial"/>
                <w:color w:val="000000"/>
                <w:sz w:val="14"/>
                <w:szCs w:val="14"/>
              </w:rPr>
              <w:t>15,175 </w:t>
            </w:r>
          </w:p>
        </w:tc>
        <w:tc>
          <w:tcPr>
            <w:tcW w:w="0" w:type="auto"/>
            <w:shd w:val="clear" w:color="auto" w:fill="CCEEFF"/>
            <w:tcMar>
              <w:top w:w="40" w:type="dxa"/>
              <w:left w:w="0" w:type="dxa"/>
              <w:bottom w:w="40" w:type="dxa"/>
              <w:right w:w="20" w:type="dxa"/>
            </w:tcMar>
            <w:vAlign w:val="bottom"/>
          </w:tcPr>
          <w:p w14:paraId="74DD9D23" w14:textId="77777777" w:rsidR="00584EC1" w:rsidRDefault="00584EC1">
            <w:pPr>
              <w:jc w:val="right"/>
              <w:rPr>
                <w:rFonts w:ascii="宋体"/>
              </w:rPr>
            </w:pPr>
          </w:p>
        </w:tc>
      </w:tr>
      <w:tr w:rsidR="00584EC1" w14:paraId="74DD9D31" w14:textId="77777777">
        <w:tc>
          <w:tcPr>
            <w:tcW w:w="0" w:type="auto"/>
            <w:gridSpan w:val="3"/>
            <w:shd w:val="clear" w:color="auto" w:fill="FFFFFF"/>
            <w:tcMar>
              <w:top w:w="40" w:type="dxa"/>
              <w:left w:w="20" w:type="dxa"/>
              <w:bottom w:w="40" w:type="dxa"/>
              <w:right w:w="20" w:type="dxa"/>
            </w:tcMar>
            <w:vAlign w:val="bottom"/>
          </w:tcPr>
          <w:p w14:paraId="74DD9D25" w14:textId="77777777" w:rsidR="00584EC1" w:rsidRDefault="00871F8D">
            <w:pPr>
              <w:textAlignment w:val="bottom"/>
            </w:pPr>
            <w:r>
              <w:rPr>
                <w:rFonts w:ascii="Arial" w:eastAsia="宋体" w:hAnsi="Arial" w:cs="Arial"/>
                <w:color w:val="000000"/>
                <w:sz w:val="14"/>
                <w:szCs w:val="14"/>
              </w:rPr>
              <w:t>Changes in common equity tier 1 capital</w:t>
            </w:r>
          </w:p>
        </w:tc>
        <w:tc>
          <w:tcPr>
            <w:tcW w:w="0" w:type="auto"/>
            <w:gridSpan w:val="2"/>
            <w:shd w:val="clear" w:color="auto" w:fill="FFFFFF"/>
            <w:tcMar>
              <w:top w:w="40" w:type="dxa"/>
              <w:left w:w="20" w:type="dxa"/>
              <w:bottom w:w="40" w:type="dxa"/>
              <w:right w:w="0" w:type="dxa"/>
            </w:tcMar>
            <w:vAlign w:val="bottom"/>
          </w:tcPr>
          <w:p w14:paraId="74DD9D26" w14:textId="77777777" w:rsidR="00584EC1" w:rsidRDefault="00871F8D">
            <w:pPr>
              <w:jc w:val="right"/>
              <w:textAlignment w:val="bottom"/>
            </w:pPr>
            <w:r>
              <w:rPr>
                <w:rFonts w:ascii="Arial" w:eastAsia="宋体" w:hAnsi="Arial" w:cs="Arial"/>
                <w:b/>
                <w:bCs/>
                <w:color w:val="000000"/>
                <w:sz w:val="14"/>
                <w:szCs w:val="14"/>
              </w:rPr>
              <w:t>1,454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9D2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D28"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D29" w14:textId="77777777" w:rsidR="00584EC1" w:rsidRDefault="00871F8D">
            <w:pPr>
              <w:jc w:val="right"/>
              <w:textAlignment w:val="bottom"/>
            </w:pPr>
            <w:r>
              <w:rPr>
                <w:rFonts w:ascii="Arial" w:eastAsia="宋体" w:hAnsi="Arial" w:cs="Arial"/>
                <w:b/>
                <w:bCs/>
                <w:color w:val="000000"/>
                <w:sz w:val="14"/>
                <w:szCs w:val="14"/>
              </w:rPr>
              <w:t>1,454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9D2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D2B"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D2C" w14:textId="77777777" w:rsidR="00584EC1" w:rsidRDefault="00871F8D">
            <w:pPr>
              <w:jc w:val="right"/>
              <w:textAlignment w:val="bottom"/>
            </w:pPr>
            <w:r>
              <w:rPr>
                <w:rFonts w:ascii="Arial" w:eastAsia="宋体" w:hAnsi="Arial" w:cs="Arial"/>
                <w:color w:val="000000"/>
                <w:sz w:val="14"/>
                <w:szCs w:val="14"/>
              </w:rPr>
              <w:t>2,164 </w:t>
            </w:r>
          </w:p>
        </w:tc>
        <w:tc>
          <w:tcPr>
            <w:tcW w:w="0" w:type="auto"/>
            <w:shd w:val="clear" w:color="auto" w:fill="FFFFFF"/>
            <w:tcMar>
              <w:top w:w="40" w:type="dxa"/>
              <w:left w:w="0" w:type="dxa"/>
              <w:bottom w:w="40" w:type="dxa"/>
              <w:right w:w="20" w:type="dxa"/>
            </w:tcMar>
            <w:vAlign w:val="bottom"/>
          </w:tcPr>
          <w:p w14:paraId="74DD9D2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D2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D2F" w14:textId="77777777" w:rsidR="00584EC1" w:rsidRDefault="00871F8D">
            <w:pPr>
              <w:jc w:val="right"/>
              <w:textAlignment w:val="bottom"/>
            </w:pPr>
            <w:r>
              <w:rPr>
                <w:rFonts w:ascii="Arial" w:eastAsia="宋体" w:hAnsi="Arial" w:cs="Arial"/>
                <w:color w:val="000000"/>
                <w:sz w:val="14"/>
                <w:szCs w:val="14"/>
              </w:rPr>
              <w:t>2,164 </w:t>
            </w:r>
          </w:p>
        </w:tc>
        <w:tc>
          <w:tcPr>
            <w:tcW w:w="0" w:type="auto"/>
            <w:shd w:val="clear" w:color="auto" w:fill="FFFFFF"/>
            <w:tcMar>
              <w:top w:w="40" w:type="dxa"/>
              <w:left w:w="0" w:type="dxa"/>
              <w:bottom w:w="40" w:type="dxa"/>
              <w:right w:w="20" w:type="dxa"/>
            </w:tcMar>
            <w:vAlign w:val="bottom"/>
          </w:tcPr>
          <w:p w14:paraId="74DD9D30" w14:textId="77777777" w:rsidR="00584EC1" w:rsidRDefault="00584EC1">
            <w:pPr>
              <w:jc w:val="right"/>
              <w:rPr>
                <w:rFonts w:ascii="宋体"/>
              </w:rPr>
            </w:pPr>
          </w:p>
        </w:tc>
      </w:tr>
      <w:tr w:rsidR="00584EC1" w14:paraId="74DD9D3E" w14:textId="77777777">
        <w:tc>
          <w:tcPr>
            <w:tcW w:w="0" w:type="auto"/>
            <w:gridSpan w:val="3"/>
            <w:shd w:val="clear" w:color="auto" w:fill="CCEEFF"/>
            <w:tcMar>
              <w:top w:w="40" w:type="dxa"/>
              <w:left w:w="20" w:type="dxa"/>
              <w:bottom w:w="40" w:type="dxa"/>
              <w:right w:w="20" w:type="dxa"/>
            </w:tcMar>
            <w:vAlign w:val="bottom"/>
          </w:tcPr>
          <w:p w14:paraId="74DD9D32" w14:textId="77777777" w:rsidR="00584EC1" w:rsidRDefault="00871F8D">
            <w:pPr>
              <w:textAlignment w:val="bottom"/>
            </w:pPr>
            <w:r>
              <w:rPr>
                <w:rFonts w:ascii="Arial" w:eastAsia="宋体" w:hAnsi="Arial" w:cs="Arial"/>
                <w:color w:val="000000"/>
                <w:sz w:val="14"/>
                <w:szCs w:val="14"/>
              </w:rPr>
              <w:t>Net issuance (redemption) of preferred stock</w:t>
            </w:r>
          </w:p>
        </w:tc>
        <w:tc>
          <w:tcPr>
            <w:tcW w:w="0" w:type="auto"/>
            <w:gridSpan w:val="2"/>
            <w:shd w:val="clear" w:color="auto" w:fill="CCEEFF"/>
            <w:tcMar>
              <w:top w:w="40" w:type="dxa"/>
              <w:left w:w="20" w:type="dxa"/>
              <w:bottom w:w="40" w:type="dxa"/>
              <w:right w:w="0" w:type="dxa"/>
            </w:tcMar>
            <w:vAlign w:val="bottom"/>
          </w:tcPr>
          <w:p w14:paraId="74DD9D33" w14:textId="77777777" w:rsidR="00584EC1" w:rsidRDefault="00871F8D">
            <w:pPr>
              <w:jc w:val="right"/>
              <w:textAlignment w:val="bottom"/>
            </w:pPr>
            <w:r>
              <w:rPr>
                <w:rFonts w:ascii="Arial" w:eastAsia="宋体" w:hAnsi="Arial" w:cs="Arial"/>
                <w:b/>
                <w:bCs/>
                <w:color w:val="000000"/>
                <w:sz w:val="14"/>
                <w:szCs w:val="14"/>
              </w:rPr>
              <w:t>(495)</w:t>
            </w:r>
          </w:p>
        </w:tc>
        <w:tc>
          <w:tcPr>
            <w:tcW w:w="0" w:type="auto"/>
            <w:shd w:val="clear" w:color="auto" w:fill="CCEEFF"/>
            <w:tcMar>
              <w:top w:w="40" w:type="dxa"/>
              <w:left w:w="0" w:type="dxa"/>
              <w:bottom w:w="40" w:type="dxa"/>
              <w:right w:w="20" w:type="dxa"/>
            </w:tcMar>
            <w:vAlign w:val="bottom"/>
          </w:tcPr>
          <w:p w14:paraId="74DD9D3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D3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D36" w14:textId="77777777" w:rsidR="00584EC1" w:rsidRDefault="00871F8D">
            <w:pPr>
              <w:jc w:val="right"/>
              <w:textAlignment w:val="bottom"/>
            </w:pPr>
            <w:r>
              <w:rPr>
                <w:rFonts w:ascii="Arial" w:eastAsia="宋体" w:hAnsi="Arial" w:cs="Arial"/>
                <w:b/>
                <w:bCs/>
                <w:color w:val="000000"/>
                <w:sz w:val="14"/>
                <w:szCs w:val="14"/>
              </w:rPr>
              <w:t>(495)</w:t>
            </w:r>
          </w:p>
        </w:tc>
        <w:tc>
          <w:tcPr>
            <w:tcW w:w="0" w:type="auto"/>
            <w:shd w:val="clear" w:color="auto" w:fill="CCEEFF"/>
            <w:tcMar>
              <w:top w:w="40" w:type="dxa"/>
              <w:left w:w="0" w:type="dxa"/>
              <w:bottom w:w="40" w:type="dxa"/>
              <w:right w:w="20" w:type="dxa"/>
            </w:tcMar>
            <w:vAlign w:val="bottom"/>
          </w:tcPr>
          <w:p w14:paraId="74DD9D3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D38"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D39" w14:textId="77777777" w:rsidR="00584EC1" w:rsidRDefault="00871F8D">
            <w:pPr>
              <w:jc w:val="right"/>
              <w:textAlignment w:val="bottom"/>
            </w:pPr>
            <w:r>
              <w:rPr>
                <w:rFonts w:ascii="Arial" w:eastAsia="宋体" w:hAnsi="Arial" w:cs="Arial"/>
                <w:color w:val="000000"/>
                <w:sz w:val="14"/>
                <w:szCs w:val="14"/>
              </w:rPr>
              <w:t>(491)</w:t>
            </w:r>
          </w:p>
        </w:tc>
        <w:tc>
          <w:tcPr>
            <w:tcW w:w="0" w:type="auto"/>
            <w:shd w:val="clear" w:color="auto" w:fill="CCEEFF"/>
            <w:tcMar>
              <w:top w:w="40" w:type="dxa"/>
              <w:left w:w="0" w:type="dxa"/>
              <w:bottom w:w="40" w:type="dxa"/>
              <w:right w:w="20" w:type="dxa"/>
            </w:tcMar>
            <w:vAlign w:val="bottom"/>
          </w:tcPr>
          <w:p w14:paraId="74DD9D3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D3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D3C" w14:textId="77777777" w:rsidR="00584EC1" w:rsidRDefault="00871F8D">
            <w:pPr>
              <w:jc w:val="right"/>
              <w:textAlignment w:val="bottom"/>
            </w:pPr>
            <w:r>
              <w:rPr>
                <w:rFonts w:ascii="Arial" w:eastAsia="宋体" w:hAnsi="Arial" w:cs="Arial"/>
                <w:color w:val="000000"/>
                <w:sz w:val="14"/>
                <w:szCs w:val="14"/>
              </w:rPr>
              <w:t>(491)</w:t>
            </w:r>
          </w:p>
        </w:tc>
        <w:tc>
          <w:tcPr>
            <w:tcW w:w="0" w:type="auto"/>
            <w:shd w:val="clear" w:color="auto" w:fill="CCEEFF"/>
            <w:tcMar>
              <w:top w:w="40" w:type="dxa"/>
              <w:left w:w="0" w:type="dxa"/>
              <w:bottom w:w="40" w:type="dxa"/>
              <w:right w:w="20" w:type="dxa"/>
            </w:tcMar>
            <w:vAlign w:val="bottom"/>
          </w:tcPr>
          <w:p w14:paraId="74DD9D3D" w14:textId="77777777" w:rsidR="00584EC1" w:rsidRDefault="00584EC1">
            <w:pPr>
              <w:jc w:val="right"/>
              <w:rPr>
                <w:rFonts w:ascii="宋体"/>
              </w:rPr>
            </w:pPr>
          </w:p>
        </w:tc>
      </w:tr>
      <w:tr w:rsidR="00584EC1" w14:paraId="74DD9D47" w14:textId="77777777">
        <w:trPr>
          <w:hidden/>
        </w:trPr>
        <w:tc>
          <w:tcPr>
            <w:tcW w:w="0" w:type="auto"/>
            <w:gridSpan w:val="3"/>
            <w:shd w:val="clear" w:color="auto" w:fill="auto"/>
            <w:vAlign w:val="bottom"/>
          </w:tcPr>
          <w:p w14:paraId="74DD9D3F" w14:textId="77777777" w:rsidR="00584EC1" w:rsidRDefault="00584EC1">
            <w:pPr>
              <w:rPr>
                <w:rFonts w:ascii="宋体"/>
                <w:vanish/>
              </w:rPr>
            </w:pPr>
          </w:p>
        </w:tc>
        <w:tc>
          <w:tcPr>
            <w:tcW w:w="0" w:type="auto"/>
            <w:gridSpan w:val="3"/>
            <w:shd w:val="clear" w:color="auto" w:fill="auto"/>
            <w:vAlign w:val="bottom"/>
          </w:tcPr>
          <w:p w14:paraId="74DD9D40" w14:textId="77777777" w:rsidR="00584EC1" w:rsidRDefault="00584EC1">
            <w:pPr>
              <w:rPr>
                <w:rFonts w:ascii="宋体"/>
                <w:vanish/>
              </w:rPr>
            </w:pPr>
          </w:p>
        </w:tc>
        <w:tc>
          <w:tcPr>
            <w:tcW w:w="0" w:type="auto"/>
            <w:gridSpan w:val="3"/>
            <w:shd w:val="clear" w:color="auto" w:fill="auto"/>
            <w:vAlign w:val="bottom"/>
          </w:tcPr>
          <w:p w14:paraId="74DD9D41" w14:textId="77777777" w:rsidR="00584EC1" w:rsidRDefault="00584EC1">
            <w:pPr>
              <w:rPr>
                <w:rFonts w:ascii="宋体"/>
                <w:vanish/>
              </w:rPr>
            </w:pPr>
          </w:p>
        </w:tc>
        <w:tc>
          <w:tcPr>
            <w:tcW w:w="0" w:type="auto"/>
            <w:gridSpan w:val="3"/>
            <w:shd w:val="clear" w:color="auto" w:fill="auto"/>
            <w:vAlign w:val="bottom"/>
          </w:tcPr>
          <w:p w14:paraId="74DD9D42" w14:textId="77777777" w:rsidR="00584EC1" w:rsidRDefault="00584EC1">
            <w:pPr>
              <w:rPr>
                <w:rFonts w:ascii="宋体"/>
                <w:vanish/>
              </w:rPr>
            </w:pPr>
          </w:p>
        </w:tc>
        <w:tc>
          <w:tcPr>
            <w:tcW w:w="0" w:type="auto"/>
            <w:gridSpan w:val="3"/>
            <w:shd w:val="clear" w:color="auto" w:fill="auto"/>
            <w:vAlign w:val="bottom"/>
          </w:tcPr>
          <w:p w14:paraId="74DD9D43" w14:textId="77777777" w:rsidR="00584EC1" w:rsidRDefault="00584EC1">
            <w:pPr>
              <w:rPr>
                <w:rFonts w:ascii="宋体"/>
                <w:vanish/>
              </w:rPr>
            </w:pPr>
          </w:p>
        </w:tc>
        <w:tc>
          <w:tcPr>
            <w:tcW w:w="0" w:type="auto"/>
            <w:gridSpan w:val="3"/>
            <w:shd w:val="clear" w:color="auto" w:fill="auto"/>
            <w:vAlign w:val="bottom"/>
          </w:tcPr>
          <w:p w14:paraId="74DD9D44" w14:textId="77777777" w:rsidR="00584EC1" w:rsidRDefault="00584EC1">
            <w:pPr>
              <w:rPr>
                <w:rFonts w:ascii="宋体"/>
                <w:vanish/>
              </w:rPr>
            </w:pPr>
          </w:p>
        </w:tc>
        <w:tc>
          <w:tcPr>
            <w:tcW w:w="0" w:type="auto"/>
            <w:gridSpan w:val="3"/>
            <w:shd w:val="clear" w:color="auto" w:fill="auto"/>
            <w:vAlign w:val="bottom"/>
          </w:tcPr>
          <w:p w14:paraId="74DD9D45" w14:textId="77777777" w:rsidR="00584EC1" w:rsidRDefault="00584EC1">
            <w:pPr>
              <w:rPr>
                <w:rFonts w:ascii="宋体"/>
                <w:vanish/>
              </w:rPr>
            </w:pPr>
          </w:p>
        </w:tc>
        <w:tc>
          <w:tcPr>
            <w:tcW w:w="0" w:type="auto"/>
            <w:gridSpan w:val="3"/>
            <w:shd w:val="clear" w:color="auto" w:fill="auto"/>
            <w:vAlign w:val="bottom"/>
          </w:tcPr>
          <w:p w14:paraId="74DD9D46" w14:textId="77777777" w:rsidR="00584EC1" w:rsidRDefault="00584EC1">
            <w:pPr>
              <w:rPr>
                <w:rFonts w:ascii="宋体"/>
                <w:vanish/>
              </w:rPr>
            </w:pPr>
          </w:p>
        </w:tc>
      </w:tr>
      <w:tr w:rsidR="00584EC1" w14:paraId="74DD9D50" w14:textId="77777777">
        <w:trPr>
          <w:hidden/>
        </w:trPr>
        <w:tc>
          <w:tcPr>
            <w:tcW w:w="0" w:type="auto"/>
            <w:gridSpan w:val="3"/>
            <w:shd w:val="clear" w:color="auto" w:fill="auto"/>
            <w:vAlign w:val="bottom"/>
          </w:tcPr>
          <w:p w14:paraId="74DD9D48" w14:textId="77777777" w:rsidR="00584EC1" w:rsidRDefault="00584EC1">
            <w:pPr>
              <w:rPr>
                <w:rFonts w:ascii="宋体"/>
                <w:vanish/>
              </w:rPr>
            </w:pPr>
          </w:p>
        </w:tc>
        <w:tc>
          <w:tcPr>
            <w:tcW w:w="0" w:type="auto"/>
            <w:gridSpan w:val="3"/>
            <w:shd w:val="clear" w:color="auto" w:fill="auto"/>
            <w:vAlign w:val="bottom"/>
          </w:tcPr>
          <w:p w14:paraId="74DD9D49" w14:textId="77777777" w:rsidR="00584EC1" w:rsidRDefault="00584EC1">
            <w:pPr>
              <w:rPr>
                <w:rFonts w:ascii="宋体"/>
                <w:vanish/>
              </w:rPr>
            </w:pPr>
          </w:p>
        </w:tc>
        <w:tc>
          <w:tcPr>
            <w:tcW w:w="0" w:type="auto"/>
            <w:gridSpan w:val="3"/>
            <w:shd w:val="clear" w:color="auto" w:fill="auto"/>
            <w:vAlign w:val="bottom"/>
          </w:tcPr>
          <w:p w14:paraId="74DD9D4A" w14:textId="77777777" w:rsidR="00584EC1" w:rsidRDefault="00584EC1">
            <w:pPr>
              <w:rPr>
                <w:rFonts w:ascii="宋体"/>
                <w:vanish/>
              </w:rPr>
            </w:pPr>
          </w:p>
        </w:tc>
        <w:tc>
          <w:tcPr>
            <w:tcW w:w="0" w:type="auto"/>
            <w:gridSpan w:val="3"/>
            <w:shd w:val="clear" w:color="auto" w:fill="auto"/>
            <w:vAlign w:val="bottom"/>
          </w:tcPr>
          <w:p w14:paraId="74DD9D4B" w14:textId="77777777" w:rsidR="00584EC1" w:rsidRDefault="00584EC1">
            <w:pPr>
              <w:rPr>
                <w:rFonts w:ascii="宋体"/>
                <w:vanish/>
              </w:rPr>
            </w:pPr>
          </w:p>
        </w:tc>
        <w:tc>
          <w:tcPr>
            <w:tcW w:w="0" w:type="auto"/>
            <w:gridSpan w:val="3"/>
            <w:shd w:val="clear" w:color="auto" w:fill="auto"/>
            <w:vAlign w:val="bottom"/>
          </w:tcPr>
          <w:p w14:paraId="74DD9D4C" w14:textId="77777777" w:rsidR="00584EC1" w:rsidRDefault="00584EC1">
            <w:pPr>
              <w:rPr>
                <w:rFonts w:ascii="宋体"/>
                <w:vanish/>
              </w:rPr>
            </w:pPr>
          </w:p>
        </w:tc>
        <w:tc>
          <w:tcPr>
            <w:tcW w:w="0" w:type="auto"/>
            <w:gridSpan w:val="3"/>
            <w:shd w:val="clear" w:color="auto" w:fill="auto"/>
            <w:vAlign w:val="bottom"/>
          </w:tcPr>
          <w:p w14:paraId="74DD9D4D" w14:textId="77777777" w:rsidR="00584EC1" w:rsidRDefault="00584EC1">
            <w:pPr>
              <w:rPr>
                <w:rFonts w:ascii="宋体"/>
                <w:vanish/>
              </w:rPr>
            </w:pPr>
          </w:p>
        </w:tc>
        <w:tc>
          <w:tcPr>
            <w:tcW w:w="0" w:type="auto"/>
            <w:gridSpan w:val="3"/>
            <w:shd w:val="clear" w:color="auto" w:fill="auto"/>
            <w:vAlign w:val="bottom"/>
          </w:tcPr>
          <w:p w14:paraId="74DD9D4E" w14:textId="77777777" w:rsidR="00584EC1" w:rsidRDefault="00584EC1">
            <w:pPr>
              <w:rPr>
                <w:rFonts w:ascii="宋体"/>
                <w:vanish/>
              </w:rPr>
            </w:pPr>
          </w:p>
        </w:tc>
        <w:tc>
          <w:tcPr>
            <w:tcW w:w="0" w:type="auto"/>
            <w:gridSpan w:val="3"/>
            <w:shd w:val="clear" w:color="auto" w:fill="auto"/>
            <w:vAlign w:val="bottom"/>
          </w:tcPr>
          <w:p w14:paraId="74DD9D4F" w14:textId="77777777" w:rsidR="00584EC1" w:rsidRDefault="00584EC1">
            <w:pPr>
              <w:rPr>
                <w:rFonts w:ascii="宋体"/>
                <w:vanish/>
              </w:rPr>
            </w:pPr>
          </w:p>
        </w:tc>
      </w:tr>
      <w:tr w:rsidR="00584EC1" w14:paraId="74DD9D5D" w14:textId="77777777">
        <w:tc>
          <w:tcPr>
            <w:tcW w:w="0" w:type="auto"/>
            <w:gridSpan w:val="3"/>
            <w:shd w:val="clear" w:color="auto" w:fill="FFFFFF"/>
            <w:tcMar>
              <w:top w:w="40" w:type="dxa"/>
              <w:left w:w="20" w:type="dxa"/>
              <w:bottom w:w="40" w:type="dxa"/>
              <w:right w:w="20" w:type="dxa"/>
            </w:tcMar>
            <w:vAlign w:val="bottom"/>
          </w:tcPr>
          <w:p w14:paraId="74DD9D51" w14:textId="77777777" w:rsidR="00584EC1" w:rsidRDefault="00871F8D">
            <w:pPr>
              <w:textAlignment w:val="bottom"/>
            </w:pPr>
            <w:r>
              <w:rPr>
                <w:rFonts w:ascii="Arial" w:eastAsia="宋体" w:hAnsi="Arial" w:cs="Arial"/>
                <w:color w:val="000000"/>
                <w:sz w:val="14"/>
                <w:szCs w:val="14"/>
              </w:rPr>
              <w:t>Changes in tier 1 capital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9D52" w14:textId="77777777" w:rsidR="00584EC1" w:rsidRDefault="00871F8D">
            <w:pPr>
              <w:jc w:val="right"/>
              <w:textAlignment w:val="bottom"/>
            </w:pPr>
            <w:r>
              <w:rPr>
                <w:rFonts w:ascii="Arial" w:eastAsia="宋体" w:hAnsi="Arial" w:cs="Arial"/>
                <w:b/>
                <w:bCs/>
                <w:color w:val="000000"/>
                <w:sz w:val="14"/>
                <w:szCs w:val="14"/>
              </w:rPr>
              <w:t>959</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9D5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D54"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9D55" w14:textId="77777777" w:rsidR="00584EC1" w:rsidRDefault="00871F8D">
            <w:pPr>
              <w:jc w:val="right"/>
              <w:textAlignment w:val="bottom"/>
            </w:pPr>
            <w:r>
              <w:rPr>
                <w:rFonts w:ascii="Arial" w:eastAsia="宋体" w:hAnsi="Arial" w:cs="Arial"/>
                <w:b/>
                <w:bCs/>
                <w:color w:val="000000"/>
                <w:sz w:val="14"/>
                <w:szCs w:val="14"/>
              </w:rPr>
              <w:t>959</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9D5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D57"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9D58" w14:textId="77777777" w:rsidR="00584EC1" w:rsidRDefault="00871F8D">
            <w:pPr>
              <w:jc w:val="right"/>
              <w:textAlignment w:val="bottom"/>
            </w:pPr>
            <w:r>
              <w:rPr>
                <w:rFonts w:ascii="Arial" w:eastAsia="宋体" w:hAnsi="Arial" w:cs="Arial"/>
                <w:color w:val="000000"/>
                <w:sz w:val="14"/>
                <w:szCs w:val="14"/>
              </w:rPr>
              <w:t>1,673 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9D5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D5A"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9D5B" w14:textId="77777777" w:rsidR="00584EC1" w:rsidRDefault="00871F8D">
            <w:pPr>
              <w:jc w:val="right"/>
              <w:textAlignment w:val="bottom"/>
            </w:pPr>
            <w:r>
              <w:rPr>
                <w:rFonts w:ascii="Arial" w:eastAsia="宋体" w:hAnsi="Arial" w:cs="Arial"/>
                <w:color w:val="000000"/>
                <w:sz w:val="14"/>
                <w:szCs w:val="14"/>
              </w:rPr>
              <w:t>1,673 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9D5C" w14:textId="77777777" w:rsidR="00584EC1" w:rsidRDefault="00584EC1">
            <w:pPr>
              <w:jc w:val="right"/>
              <w:rPr>
                <w:rFonts w:ascii="宋体"/>
              </w:rPr>
            </w:pPr>
          </w:p>
        </w:tc>
      </w:tr>
      <w:tr w:rsidR="00584EC1" w14:paraId="74DD9D6A" w14:textId="77777777">
        <w:tc>
          <w:tcPr>
            <w:tcW w:w="0" w:type="auto"/>
            <w:gridSpan w:val="3"/>
            <w:shd w:val="clear" w:color="auto" w:fill="CCEEFF"/>
            <w:tcMar>
              <w:top w:w="40" w:type="dxa"/>
              <w:left w:w="20" w:type="dxa"/>
              <w:bottom w:w="40" w:type="dxa"/>
              <w:right w:w="20" w:type="dxa"/>
            </w:tcMar>
            <w:vAlign w:val="bottom"/>
          </w:tcPr>
          <w:p w14:paraId="74DD9D5E" w14:textId="77777777" w:rsidR="00584EC1" w:rsidRDefault="00871F8D">
            <w:pPr>
              <w:textAlignment w:val="bottom"/>
            </w:pPr>
            <w:r>
              <w:rPr>
                <w:rFonts w:ascii="Arial" w:eastAsia="宋体" w:hAnsi="Arial" w:cs="Arial"/>
                <w:color w:val="000000"/>
                <w:sz w:val="14"/>
                <w:szCs w:val="14"/>
              </w:rPr>
              <w:t>Tier 1 capital balance, end of period</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9D5F" w14:textId="77777777" w:rsidR="00584EC1" w:rsidRDefault="00871F8D">
            <w:pPr>
              <w:jc w:val="right"/>
              <w:textAlignment w:val="bottom"/>
            </w:pPr>
            <w:r>
              <w:rPr>
                <w:rFonts w:ascii="Arial" w:eastAsia="宋体" w:hAnsi="Arial" w:cs="Arial"/>
                <w:b/>
                <w:bCs/>
                <w:color w:val="000000"/>
                <w:sz w:val="14"/>
                <w:szCs w:val="14"/>
              </w:rPr>
              <w:t>17,807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D6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D61"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9D62" w14:textId="77777777" w:rsidR="00584EC1" w:rsidRDefault="00871F8D">
            <w:pPr>
              <w:jc w:val="right"/>
              <w:textAlignment w:val="bottom"/>
            </w:pPr>
            <w:r>
              <w:rPr>
                <w:rFonts w:ascii="Arial" w:eastAsia="宋体" w:hAnsi="Arial" w:cs="Arial"/>
                <w:b/>
                <w:bCs/>
                <w:color w:val="000000"/>
                <w:sz w:val="14"/>
                <w:szCs w:val="14"/>
              </w:rPr>
              <w:t>17,807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D6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D64"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9D65" w14:textId="77777777" w:rsidR="00584EC1" w:rsidRDefault="00871F8D">
            <w:pPr>
              <w:jc w:val="right"/>
              <w:textAlignment w:val="bottom"/>
            </w:pPr>
            <w:r>
              <w:rPr>
                <w:rFonts w:ascii="Arial" w:eastAsia="宋体" w:hAnsi="Arial" w:cs="Arial"/>
                <w:color w:val="000000"/>
                <w:sz w:val="14"/>
                <w:szCs w:val="14"/>
              </w:rPr>
              <w:t>16,848 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D6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D67"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9D68" w14:textId="77777777" w:rsidR="00584EC1" w:rsidRDefault="00871F8D">
            <w:pPr>
              <w:jc w:val="right"/>
              <w:textAlignment w:val="bottom"/>
            </w:pPr>
            <w:r>
              <w:rPr>
                <w:rFonts w:ascii="Arial" w:eastAsia="宋体" w:hAnsi="Arial" w:cs="Arial"/>
                <w:color w:val="000000"/>
                <w:sz w:val="14"/>
                <w:szCs w:val="14"/>
              </w:rPr>
              <w:t>16,848 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D69" w14:textId="77777777" w:rsidR="00584EC1" w:rsidRDefault="00584EC1">
            <w:pPr>
              <w:jc w:val="right"/>
              <w:rPr>
                <w:rFonts w:ascii="宋体"/>
              </w:rPr>
            </w:pPr>
          </w:p>
        </w:tc>
      </w:tr>
      <w:tr w:rsidR="00584EC1" w14:paraId="74DD9D73" w14:textId="77777777">
        <w:tc>
          <w:tcPr>
            <w:tcW w:w="0" w:type="auto"/>
            <w:gridSpan w:val="3"/>
            <w:shd w:val="clear" w:color="auto" w:fill="FFFFFF"/>
            <w:tcMar>
              <w:top w:w="40" w:type="dxa"/>
              <w:left w:w="20" w:type="dxa"/>
              <w:bottom w:w="40" w:type="dxa"/>
              <w:right w:w="20" w:type="dxa"/>
            </w:tcMar>
            <w:vAlign w:val="bottom"/>
          </w:tcPr>
          <w:p w14:paraId="74DD9D6B" w14:textId="77777777" w:rsidR="00584EC1" w:rsidRDefault="00871F8D">
            <w:pPr>
              <w:textAlignment w:val="bottom"/>
            </w:pPr>
            <w:r>
              <w:rPr>
                <w:rFonts w:ascii="Arial" w:eastAsia="宋体" w:hAnsi="Arial" w:cs="Arial"/>
                <w:b/>
                <w:bCs/>
                <w:color w:val="000000"/>
                <w:sz w:val="14"/>
                <w:szCs w:val="14"/>
              </w:rPr>
              <w:t>Tier 2 capital:</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9D6C"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9D6D"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9D6E"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9D6F"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9D70"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9D71"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9D72" w14:textId="77777777" w:rsidR="00584EC1" w:rsidRDefault="00584EC1">
            <w:pPr>
              <w:rPr>
                <w:rFonts w:ascii="宋体"/>
              </w:rPr>
            </w:pPr>
          </w:p>
        </w:tc>
      </w:tr>
      <w:tr w:rsidR="00584EC1" w14:paraId="74DD9D80" w14:textId="77777777">
        <w:tc>
          <w:tcPr>
            <w:tcW w:w="0" w:type="auto"/>
            <w:gridSpan w:val="3"/>
            <w:shd w:val="clear" w:color="auto" w:fill="CCEEFF"/>
            <w:tcMar>
              <w:top w:w="40" w:type="dxa"/>
              <w:left w:w="20" w:type="dxa"/>
              <w:bottom w:w="40" w:type="dxa"/>
              <w:right w:w="20" w:type="dxa"/>
            </w:tcMar>
            <w:vAlign w:val="bottom"/>
          </w:tcPr>
          <w:p w14:paraId="74DD9D74" w14:textId="77777777" w:rsidR="00584EC1" w:rsidRDefault="00871F8D">
            <w:pPr>
              <w:textAlignment w:val="bottom"/>
            </w:pPr>
            <w:r>
              <w:rPr>
                <w:rFonts w:ascii="Arial" w:eastAsia="宋体" w:hAnsi="Arial" w:cs="Arial"/>
                <w:color w:val="000000"/>
                <w:sz w:val="14"/>
                <w:szCs w:val="14"/>
              </w:rPr>
              <w:t>Tier 2 capital balance, beginning of period</w:t>
            </w:r>
          </w:p>
        </w:tc>
        <w:tc>
          <w:tcPr>
            <w:tcW w:w="0" w:type="auto"/>
            <w:gridSpan w:val="2"/>
            <w:shd w:val="clear" w:color="auto" w:fill="CCEEFF"/>
            <w:tcMar>
              <w:top w:w="40" w:type="dxa"/>
              <w:left w:w="20" w:type="dxa"/>
              <w:bottom w:w="40" w:type="dxa"/>
              <w:right w:w="0" w:type="dxa"/>
            </w:tcMar>
            <w:vAlign w:val="bottom"/>
          </w:tcPr>
          <w:p w14:paraId="74DD9D75" w14:textId="77777777" w:rsidR="00584EC1" w:rsidRDefault="00871F8D">
            <w:pPr>
              <w:jc w:val="right"/>
              <w:textAlignment w:val="bottom"/>
            </w:pPr>
            <w:r>
              <w:rPr>
                <w:rFonts w:ascii="Arial" w:eastAsia="宋体" w:hAnsi="Arial" w:cs="Arial"/>
                <w:b/>
                <w:bCs/>
                <w:color w:val="000000"/>
                <w:sz w:val="14"/>
                <w:szCs w:val="14"/>
              </w:rPr>
              <w:t>962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9D7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D7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D78" w14:textId="77777777" w:rsidR="00584EC1" w:rsidRDefault="00871F8D">
            <w:pPr>
              <w:jc w:val="right"/>
              <w:textAlignment w:val="bottom"/>
            </w:pPr>
            <w:r>
              <w:rPr>
                <w:rFonts w:ascii="Arial" w:eastAsia="宋体" w:hAnsi="Arial" w:cs="Arial"/>
                <w:b/>
                <w:bCs/>
                <w:color w:val="000000"/>
                <w:sz w:val="14"/>
                <w:szCs w:val="14"/>
              </w:rPr>
              <w:t>1,109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9D7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D7A"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D7B" w14:textId="77777777" w:rsidR="00584EC1" w:rsidRDefault="00871F8D">
            <w:pPr>
              <w:jc w:val="right"/>
              <w:textAlignment w:val="bottom"/>
            </w:pPr>
            <w:r>
              <w:rPr>
                <w:rFonts w:ascii="Arial" w:eastAsia="宋体" w:hAnsi="Arial" w:cs="Arial"/>
                <w:color w:val="000000"/>
                <w:sz w:val="14"/>
                <w:szCs w:val="14"/>
              </w:rPr>
              <w:t>1,100 </w:t>
            </w:r>
          </w:p>
        </w:tc>
        <w:tc>
          <w:tcPr>
            <w:tcW w:w="0" w:type="auto"/>
            <w:shd w:val="clear" w:color="auto" w:fill="CCEEFF"/>
            <w:tcMar>
              <w:top w:w="40" w:type="dxa"/>
              <w:left w:w="0" w:type="dxa"/>
              <w:bottom w:w="40" w:type="dxa"/>
              <w:right w:w="20" w:type="dxa"/>
            </w:tcMar>
            <w:vAlign w:val="bottom"/>
          </w:tcPr>
          <w:p w14:paraId="74DD9D7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D7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D7E" w14:textId="77777777" w:rsidR="00584EC1" w:rsidRDefault="00871F8D">
            <w:pPr>
              <w:jc w:val="right"/>
              <w:textAlignment w:val="bottom"/>
            </w:pPr>
            <w:r>
              <w:rPr>
                <w:rFonts w:ascii="Arial" w:eastAsia="宋体" w:hAnsi="Arial" w:cs="Arial"/>
                <w:color w:val="000000"/>
                <w:sz w:val="14"/>
                <w:szCs w:val="14"/>
              </w:rPr>
              <w:t>1,185 </w:t>
            </w:r>
          </w:p>
        </w:tc>
        <w:tc>
          <w:tcPr>
            <w:tcW w:w="0" w:type="auto"/>
            <w:shd w:val="clear" w:color="auto" w:fill="CCEEFF"/>
            <w:tcMar>
              <w:top w:w="40" w:type="dxa"/>
              <w:left w:w="0" w:type="dxa"/>
              <w:bottom w:w="40" w:type="dxa"/>
              <w:right w:w="20" w:type="dxa"/>
            </w:tcMar>
            <w:vAlign w:val="bottom"/>
          </w:tcPr>
          <w:p w14:paraId="74DD9D7F" w14:textId="77777777" w:rsidR="00584EC1" w:rsidRDefault="00584EC1">
            <w:pPr>
              <w:jc w:val="right"/>
              <w:rPr>
                <w:rFonts w:ascii="宋体"/>
              </w:rPr>
            </w:pPr>
          </w:p>
        </w:tc>
      </w:tr>
      <w:tr w:rsidR="00584EC1" w14:paraId="74DD9D8D" w14:textId="77777777">
        <w:tc>
          <w:tcPr>
            <w:tcW w:w="0" w:type="auto"/>
            <w:gridSpan w:val="3"/>
            <w:shd w:val="clear" w:color="auto" w:fill="FFFFFF"/>
            <w:tcMar>
              <w:top w:w="40" w:type="dxa"/>
              <w:left w:w="20" w:type="dxa"/>
              <w:bottom w:w="40" w:type="dxa"/>
              <w:right w:w="20" w:type="dxa"/>
            </w:tcMar>
            <w:vAlign w:val="bottom"/>
          </w:tcPr>
          <w:p w14:paraId="74DD9D81" w14:textId="77777777" w:rsidR="00584EC1" w:rsidRDefault="00871F8D">
            <w:pPr>
              <w:textAlignment w:val="bottom"/>
            </w:pPr>
            <w:r>
              <w:rPr>
                <w:rFonts w:ascii="Arial" w:eastAsia="宋体" w:hAnsi="Arial" w:cs="Arial"/>
                <w:color w:val="000000"/>
                <w:sz w:val="14"/>
                <w:szCs w:val="14"/>
              </w:rPr>
              <w:t>Net issuance and changes in long-term debt qualifying as tier 2</w:t>
            </w:r>
          </w:p>
        </w:tc>
        <w:tc>
          <w:tcPr>
            <w:tcW w:w="0" w:type="auto"/>
            <w:gridSpan w:val="2"/>
            <w:shd w:val="clear" w:color="auto" w:fill="FFFFFF"/>
            <w:tcMar>
              <w:top w:w="40" w:type="dxa"/>
              <w:left w:w="20" w:type="dxa"/>
              <w:bottom w:w="40" w:type="dxa"/>
              <w:right w:w="0" w:type="dxa"/>
            </w:tcMar>
            <w:vAlign w:val="bottom"/>
          </w:tcPr>
          <w:p w14:paraId="74DD9D82" w14:textId="77777777" w:rsidR="00584EC1" w:rsidRDefault="00871F8D">
            <w:pPr>
              <w:jc w:val="right"/>
              <w:textAlignment w:val="bottom"/>
            </w:pPr>
            <w:r>
              <w:rPr>
                <w:rFonts w:ascii="Arial" w:eastAsia="宋体" w:hAnsi="Arial" w:cs="Arial"/>
                <w:b/>
                <w:bCs/>
                <w:color w:val="000000"/>
                <w:sz w:val="14"/>
                <w:szCs w:val="14"/>
              </w:rPr>
              <w:t>629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9D8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D8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D85" w14:textId="77777777" w:rsidR="00584EC1" w:rsidRDefault="00871F8D">
            <w:pPr>
              <w:jc w:val="right"/>
              <w:textAlignment w:val="bottom"/>
            </w:pPr>
            <w:r>
              <w:rPr>
                <w:rFonts w:ascii="Arial" w:eastAsia="宋体" w:hAnsi="Arial" w:cs="Arial"/>
                <w:b/>
                <w:bCs/>
                <w:color w:val="000000"/>
                <w:sz w:val="14"/>
                <w:szCs w:val="14"/>
              </w:rPr>
              <w:t>629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9D8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D8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D88" w14:textId="77777777" w:rsidR="00584EC1" w:rsidRDefault="00871F8D">
            <w:pPr>
              <w:jc w:val="right"/>
              <w:textAlignment w:val="bottom"/>
            </w:pPr>
            <w:r>
              <w:rPr>
                <w:rFonts w:ascii="Arial" w:eastAsia="宋体" w:hAnsi="Arial" w:cs="Arial"/>
                <w:color w:val="000000"/>
                <w:sz w:val="14"/>
                <w:szCs w:val="14"/>
              </w:rPr>
              <w:t>(134)</w:t>
            </w:r>
          </w:p>
        </w:tc>
        <w:tc>
          <w:tcPr>
            <w:tcW w:w="0" w:type="auto"/>
            <w:shd w:val="clear" w:color="auto" w:fill="FFFFFF"/>
            <w:tcMar>
              <w:top w:w="40" w:type="dxa"/>
              <w:left w:w="0" w:type="dxa"/>
              <w:bottom w:w="40" w:type="dxa"/>
              <w:right w:w="20" w:type="dxa"/>
            </w:tcMar>
            <w:vAlign w:val="bottom"/>
          </w:tcPr>
          <w:p w14:paraId="74DD9D8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D8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D8B" w14:textId="77777777" w:rsidR="00584EC1" w:rsidRDefault="00871F8D">
            <w:pPr>
              <w:jc w:val="right"/>
              <w:textAlignment w:val="bottom"/>
            </w:pPr>
            <w:r>
              <w:rPr>
                <w:rFonts w:ascii="Arial" w:eastAsia="宋体" w:hAnsi="Arial" w:cs="Arial"/>
                <w:color w:val="000000"/>
                <w:sz w:val="14"/>
                <w:szCs w:val="14"/>
              </w:rPr>
              <w:t>(134)</w:t>
            </w:r>
          </w:p>
        </w:tc>
        <w:tc>
          <w:tcPr>
            <w:tcW w:w="0" w:type="auto"/>
            <w:shd w:val="clear" w:color="auto" w:fill="FFFFFF"/>
            <w:tcMar>
              <w:top w:w="40" w:type="dxa"/>
              <w:left w:w="0" w:type="dxa"/>
              <w:bottom w:w="40" w:type="dxa"/>
              <w:right w:w="20" w:type="dxa"/>
            </w:tcMar>
            <w:vAlign w:val="bottom"/>
          </w:tcPr>
          <w:p w14:paraId="74DD9D8C" w14:textId="77777777" w:rsidR="00584EC1" w:rsidRDefault="00584EC1">
            <w:pPr>
              <w:jc w:val="right"/>
              <w:rPr>
                <w:rFonts w:ascii="宋体"/>
              </w:rPr>
            </w:pPr>
          </w:p>
        </w:tc>
      </w:tr>
      <w:tr w:rsidR="00584EC1" w14:paraId="74DD9D96" w14:textId="77777777">
        <w:trPr>
          <w:hidden/>
        </w:trPr>
        <w:tc>
          <w:tcPr>
            <w:tcW w:w="0" w:type="auto"/>
            <w:gridSpan w:val="3"/>
            <w:shd w:val="clear" w:color="auto" w:fill="auto"/>
            <w:vAlign w:val="bottom"/>
          </w:tcPr>
          <w:p w14:paraId="74DD9D8E" w14:textId="77777777" w:rsidR="00584EC1" w:rsidRDefault="00584EC1">
            <w:pPr>
              <w:rPr>
                <w:rFonts w:ascii="宋体"/>
                <w:vanish/>
              </w:rPr>
            </w:pPr>
          </w:p>
        </w:tc>
        <w:tc>
          <w:tcPr>
            <w:tcW w:w="0" w:type="auto"/>
            <w:gridSpan w:val="3"/>
            <w:shd w:val="clear" w:color="auto" w:fill="auto"/>
            <w:vAlign w:val="bottom"/>
          </w:tcPr>
          <w:p w14:paraId="74DD9D8F" w14:textId="77777777" w:rsidR="00584EC1" w:rsidRDefault="00584EC1">
            <w:pPr>
              <w:rPr>
                <w:rFonts w:ascii="宋体"/>
                <w:vanish/>
              </w:rPr>
            </w:pPr>
          </w:p>
        </w:tc>
        <w:tc>
          <w:tcPr>
            <w:tcW w:w="0" w:type="auto"/>
            <w:gridSpan w:val="3"/>
            <w:shd w:val="clear" w:color="auto" w:fill="auto"/>
            <w:vAlign w:val="bottom"/>
          </w:tcPr>
          <w:p w14:paraId="74DD9D90" w14:textId="77777777" w:rsidR="00584EC1" w:rsidRDefault="00584EC1">
            <w:pPr>
              <w:rPr>
                <w:rFonts w:ascii="宋体"/>
                <w:vanish/>
              </w:rPr>
            </w:pPr>
          </w:p>
        </w:tc>
        <w:tc>
          <w:tcPr>
            <w:tcW w:w="0" w:type="auto"/>
            <w:gridSpan w:val="3"/>
            <w:shd w:val="clear" w:color="auto" w:fill="auto"/>
            <w:vAlign w:val="bottom"/>
          </w:tcPr>
          <w:p w14:paraId="74DD9D91" w14:textId="77777777" w:rsidR="00584EC1" w:rsidRDefault="00584EC1">
            <w:pPr>
              <w:rPr>
                <w:rFonts w:ascii="宋体"/>
                <w:vanish/>
              </w:rPr>
            </w:pPr>
          </w:p>
        </w:tc>
        <w:tc>
          <w:tcPr>
            <w:tcW w:w="0" w:type="auto"/>
            <w:gridSpan w:val="3"/>
            <w:shd w:val="clear" w:color="auto" w:fill="auto"/>
            <w:vAlign w:val="bottom"/>
          </w:tcPr>
          <w:p w14:paraId="74DD9D92" w14:textId="77777777" w:rsidR="00584EC1" w:rsidRDefault="00584EC1">
            <w:pPr>
              <w:rPr>
                <w:rFonts w:ascii="宋体"/>
                <w:vanish/>
              </w:rPr>
            </w:pPr>
          </w:p>
        </w:tc>
        <w:tc>
          <w:tcPr>
            <w:tcW w:w="0" w:type="auto"/>
            <w:gridSpan w:val="3"/>
            <w:shd w:val="clear" w:color="auto" w:fill="auto"/>
            <w:vAlign w:val="bottom"/>
          </w:tcPr>
          <w:p w14:paraId="74DD9D93" w14:textId="77777777" w:rsidR="00584EC1" w:rsidRDefault="00584EC1">
            <w:pPr>
              <w:rPr>
                <w:rFonts w:ascii="宋体"/>
                <w:vanish/>
              </w:rPr>
            </w:pPr>
          </w:p>
        </w:tc>
        <w:tc>
          <w:tcPr>
            <w:tcW w:w="0" w:type="auto"/>
            <w:gridSpan w:val="3"/>
            <w:shd w:val="clear" w:color="auto" w:fill="auto"/>
            <w:vAlign w:val="bottom"/>
          </w:tcPr>
          <w:p w14:paraId="74DD9D94" w14:textId="77777777" w:rsidR="00584EC1" w:rsidRDefault="00584EC1">
            <w:pPr>
              <w:rPr>
                <w:rFonts w:ascii="宋体"/>
                <w:vanish/>
              </w:rPr>
            </w:pPr>
          </w:p>
        </w:tc>
        <w:tc>
          <w:tcPr>
            <w:tcW w:w="0" w:type="auto"/>
            <w:gridSpan w:val="3"/>
            <w:shd w:val="clear" w:color="auto" w:fill="auto"/>
            <w:vAlign w:val="bottom"/>
          </w:tcPr>
          <w:p w14:paraId="74DD9D95" w14:textId="77777777" w:rsidR="00584EC1" w:rsidRDefault="00584EC1">
            <w:pPr>
              <w:rPr>
                <w:rFonts w:ascii="宋体"/>
                <w:vanish/>
              </w:rPr>
            </w:pPr>
          </w:p>
        </w:tc>
      </w:tr>
      <w:tr w:rsidR="00584EC1" w14:paraId="74DD9DA3" w14:textId="77777777">
        <w:tc>
          <w:tcPr>
            <w:tcW w:w="0" w:type="auto"/>
            <w:gridSpan w:val="3"/>
            <w:shd w:val="clear" w:color="auto" w:fill="CCEEFF"/>
            <w:tcMar>
              <w:top w:w="40" w:type="dxa"/>
              <w:left w:w="20" w:type="dxa"/>
              <w:bottom w:w="40" w:type="dxa"/>
              <w:right w:w="20" w:type="dxa"/>
            </w:tcMar>
            <w:vAlign w:val="bottom"/>
          </w:tcPr>
          <w:p w14:paraId="74DD9D97" w14:textId="77777777" w:rsidR="00584EC1" w:rsidRDefault="00871F8D">
            <w:pPr>
              <w:textAlignment w:val="bottom"/>
            </w:pPr>
            <w:r>
              <w:rPr>
                <w:rFonts w:ascii="Arial" w:eastAsia="宋体" w:hAnsi="Arial" w:cs="Arial"/>
                <w:color w:val="000000"/>
                <w:sz w:val="14"/>
                <w:szCs w:val="14"/>
              </w:rPr>
              <w:t>Changes in allowance for credit losses</w:t>
            </w:r>
          </w:p>
        </w:tc>
        <w:tc>
          <w:tcPr>
            <w:tcW w:w="0" w:type="auto"/>
            <w:gridSpan w:val="2"/>
            <w:shd w:val="clear" w:color="auto" w:fill="CCEEFF"/>
            <w:tcMar>
              <w:top w:w="40" w:type="dxa"/>
              <w:left w:w="20" w:type="dxa"/>
              <w:bottom w:w="40" w:type="dxa"/>
              <w:right w:w="0" w:type="dxa"/>
            </w:tcMar>
            <w:vAlign w:val="bottom"/>
          </w:tcPr>
          <w:p w14:paraId="74DD9D98" w14:textId="77777777" w:rsidR="00584EC1" w:rsidRDefault="00871F8D">
            <w:pPr>
              <w:jc w:val="right"/>
              <w:textAlignment w:val="bottom"/>
            </w:pPr>
            <w:r>
              <w:rPr>
                <w:rFonts w:ascii="Arial" w:eastAsia="宋体" w:hAnsi="Arial" w:cs="Arial"/>
                <w:b/>
                <w:bCs/>
                <w:color w:val="000000"/>
                <w:sz w:val="14"/>
                <w:szCs w:val="14"/>
              </w:rPr>
              <w:t>(1)</w:t>
            </w:r>
          </w:p>
        </w:tc>
        <w:tc>
          <w:tcPr>
            <w:tcW w:w="0" w:type="auto"/>
            <w:shd w:val="clear" w:color="auto" w:fill="CCEEFF"/>
            <w:tcMar>
              <w:top w:w="40" w:type="dxa"/>
              <w:left w:w="0" w:type="dxa"/>
              <w:bottom w:w="40" w:type="dxa"/>
              <w:right w:w="20" w:type="dxa"/>
            </w:tcMar>
            <w:vAlign w:val="bottom"/>
          </w:tcPr>
          <w:p w14:paraId="74DD9D9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D9A"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D9B" w14:textId="77777777" w:rsidR="00584EC1" w:rsidRDefault="00871F8D">
            <w:pPr>
              <w:jc w:val="right"/>
              <w:textAlignment w:val="bottom"/>
            </w:pPr>
            <w:r>
              <w:rPr>
                <w:rFonts w:ascii="Arial" w:eastAsia="宋体" w:hAnsi="Arial" w:cs="Arial"/>
                <w:b/>
                <w:bCs/>
                <w:color w:val="000000"/>
                <w:sz w:val="14"/>
                <w:szCs w:val="14"/>
              </w:rPr>
              <w:t>(31)</w:t>
            </w:r>
          </w:p>
        </w:tc>
        <w:tc>
          <w:tcPr>
            <w:tcW w:w="0" w:type="auto"/>
            <w:shd w:val="clear" w:color="auto" w:fill="CCEEFF"/>
            <w:tcMar>
              <w:top w:w="40" w:type="dxa"/>
              <w:left w:w="0" w:type="dxa"/>
              <w:bottom w:w="40" w:type="dxa"/>
              <w:right w:w="20" w:type="dxa"/>
            </w:tcMar>
            <w:vAlign w:val="bottom"/>
          </w:tcPr>
          <w:p w14:paraId="74DD9D9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D9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D9E" w14:textId="77777777" w:rsidR="00584EC1" w:rsidRDefault="00871F8D">
            <w:pPr>
              <w:jc w:val="right"/>
              <w:textAlignment w:val="bottom"/>
            </w:pPr>
            <w:r>
              <w:rPr>
                <w:rFonts w:ascii="Arial" w:eastAsia="宋体" w:hAnsi="Arial" w:cs="Arial"/>
                <w:color w:val="000000"/>
                <w:sz w:val="14"/>
                <w:szCs w:val="14"/>
              </w:rPr>
              <w:t>(4)</w:t>
            </w:r>
          </w:p>
        </w:tc>
        <w:tc>
          <w:tcPr>
            <w:tcW w:w="0" w:type="auto"/>
            <w:shd w:val="clear" w:color="auto" w:fill="CCEEFF"/>
            <w:tcMar>
              <w:top w:w="40" w:type="dxa"/>
              <w:left w:w="0" w:type="dxa"/>
              <w:bottom w:w="40" w:type="dxa"/>
              <w:right w:w="20" w:type="dxa"/>
            </w:tcMar>
            <w:vAlign w:val="bottom"/>
          </w:tcPr>
          <w:p w14:paraId="74DD9D9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DA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DA1" w14:textId="77777777" w:rsidR="00584EC1" w:rsidRDefault="00871F8D">
            <w:pPr>
              <w:jc w:val="right"/>
              <w:textAlignment w:val="bottom"/>
            </w:pPr>
            <w:r>
              <w:rPr>
                <w:rFonts w:ascii="Arial" w:eastAsia="宋体" w:hAnsi="Arial" w:cs="Arial"/>
                <w:color w:val="000000"/>
                <w:sz w:val="14"/>
                <w:szCs w:val="14"/>
              </w:rPr>
              <w:t>58 </w:t>
            </w:r>
          </w:p>
        </w:tc>
        <w:tc>
          <w:tcPr>
            <w:tcW w:w="0" w:type="auto"/>
            <w:shd w:val="clear" w:color="auto" w:fill="CCEEFF"/>
            <w:tcMar>
              <w:top w:w="40" w:type="dxa"/>
              <w:left w:w="0" w:type="dxa"/>
              <w:bottom w:w="40" w:type="dxa"/>
              <w:right w:w="20" w:type="dxa"/>
            </w:tcMar>
            <w:vAlign w:val="bottom"/>
          </w:tcPr>
          <w:p w14:paraId="74DD9DA2" w14:textId="77777777" w:rsidR="00584EC1" w:rsidRDefault="00584EC1">
            <w:pPr>
              <w:jc w:val="right"/>
              <w:rPr>
                <w:rFonts w:ascii="宋体"/>
              </w:rPr>
            </w:pPr>
          </w:p>
        </w:tc>
      </w:tr>
      <w:tr w:rsidR="00584EC1" w14:paraId="74DD9DAC" w14:textId="77777777">
        <w:trPr>
          <w:hidden/>
        </w:trPr>
        <w:tc>
          <w:tcPr>
            <w:tcW w:w="0" w:type="auto"/>
            <w:gridSpan w:val="3"/>
            <w:shd w:val="clear" w:color="auto" w:fill="auto"/>
            <w:vAlign w:val="bottom"/>
          </w:tcPr>
          <w:p w14:paraId="74DD9DA4" w14:textId="77777777" w:rsidR="00584EC1" w:rsidRDefault="00584EC1">
            <w:pPr>
              <w:rPr>
                <w:rFonts w:ascii="宋体"/>
                <w:vanish/>
              </w:rPr>
            </w:pPr>
          </w:p>
        </w:tc>
        <w:tc>
          <w:tcPr>
            <w:tcW w:w="0" w:type="auto"/>
            <w:gridSpan w:val="3"/>
            <w:shd w:val="clear" w:color="auto" w:fill="auto"/>
            <w:vAlign w:val="bottom"/>
          </w:tcPr>
          <w:p w14:paraId="74DD9DA5" w14:textId="77777777" w:rsidR="00584EC1" w:rsidRDefault="00584EC1">
            <w:pPr>
              <w:rPr>
                <w:rFonts w:ascii="宋体"/>
                <w:vanish/>
              </w:rPr>
            </w:pPr>
          </w:p>
        </w:tc>
        <w:tc>
          <w:tcPr>
            <w:tcW w:w="0" w:type="auto"/>
            <w:gridSpan w:val="3"/>
            <w:shd w:val="clear" w:color="auto" w:fill="auto"/>
            <w:vAlign w:val="bottom"/>
          </w:tcPr>
          <w:p w14:paraId="74DD9DA6" w14:textId="77777777" w:rsidR="00584EC1" w:rsidRDefault="00584EC1">
            <w:pPr>
              <w:rPr>
                <w:rFonts w:ascii="宋体"/>
                <w:vanish/>
              </w:rPr>
            </w:pPr>
          </w:p>
        </w:tc>
        <w:tc>
          <w:tcPr>
            <w:tcW w:w="0" w:type="auto"/>
            <w:gridSpan w:val="3"/>
            <w:shd w:val="clear" w:color="auto" w:fill="auto"/>
            <w:vAlign w:val="bottom"/>
          </w:tcPr>
          <w:p w14:paraId="74DD9DA7" w14:textId="77777777" w:rsidR="00584EC1" w:rsidRDefault="00584EC1">
            <w:pPr>
              <w:rPr>
                <w:rFonts w:ascii="宋体"/>
                <w:vanish/>
              </w:rPr>
            </w:pPr>
          </w:p>
        </w:tc>
        <w:tc>
          <w:tcPr>
            <w:tcW w:w="0" w:type="auto"/>
            <w:gridSpan w:val="3"/>
            <w:shd w:val="clear" w:color="auto" w:fill="auto"/>
            <w:vAlign w:val="bottom"/>
          </w:tcPr>
          <w:p w14:paraId="74DD9DA8" w14:textId="77777777" w:rsidR="00584EC1" w:rsidRDefault="00584EC1">
            <w:pPr>
              <w:rPr>
                <w:rFonts w:ascii="宋体"/>
                <w:vanish/>
              </w:rPr>
            </w:pPr>
          </w:p>
        </w:tc>
        <w:tc>
          <w:tcPr>
            <w:tcW w:w="0" w:type="auto"/>
            <w:gridSpan w:val="3"/>
            <w:shd w:val="clear" w:color="auto" w:fill="auto"/>
            <w:vAlign w:val="bottom"/>
          </w:tcPr>
          <w:p w14:paraId="74DD9DA9" w14:textId="77777777" w:rsidR="00584EC1" w:rsidRDefault="00584EC1">
            <w:pPr>
              <w:rPr>
                <w:rFonts w:ascii="宋体"/>
                <w:vanish/>
              </w:rPr>
            </w:pPr>
          </w:p>
        </w:tc>
        <w:tc>
          <w:tcPr>
            <w:tcW w:w="0" w:type="auto"/>
            <w:gridSpan w:val="3"/>
            <w:shd w:val="clear" w:color="auto" w:fill="auto"/>
            <w:vAlign w:val="bottom"/>
          </w:tcPr>
          <w:p w14:paraId="74DD9DAA" w14:textId="77777777" w:rsidR="00584EC1" w:rsidRDefault="00584EC1">
            <w:pPr>
              <w:rPr>
                <w:rFonts w:ascii="宋体"/>
                <w:vanish/>
              </w:rPr>
            </w:pPr>
          </w:p>
        </w:tc>
        <w:tc>
          <w:tcPr>
            <w:tcW w:w="0" w:type="auto"/>
            <w:gridSpan w:val="3"/>
            <w:shd w:val="clear" w:color="auto" w:fill="auto"/>
            <w:vAlign w:val="bottom"/>
          </w:tcPr>
          <w:p w14:paraId="74DD9DAB" w14:textId="77777777" w:rsidR="00584EC1" w:rsidRDefault="00584EC1">
            <w:pPr>
              <w:rPr>
                <w:rFonts w:ascii="宋体"/>
                <w:vanish/>
              </w:rPr>
            </w:pPr>
          </w:p>
        </w:tc>
      </w:tr>
      <w:tr w:rsidR="00584EC1" w14:paraId="74DD9DB9" w14:textId="77777777">
        <w:tc>
          <w:tcPr>
            <w:tcW w:w="0" w:type="auto"/>
            <w:gridSpan w:val="3"/>
            <w:shd w:val="clear" w:color="auto" w:fill="FFFFFF"/>
            <w:tcMar>
              <w:top w:w="40" w:type="dxa"/>
              <w:left w:w="20" w:type="dxa"/>
              <w:bottom w:w="40" w:type="dxa"/>
              <w:right w:w="20" w:type="dxa"/>
            </w:tcMar>
            <w:vAlign w:val="bottom"/>
          </w:tcPr>
          <w:p w14:paraId="74DD9DAD" w14:textId="77777777" w:rsidR="00584EC1" w:rsidRDefault="00871F8D">
            <w:pPr>
              <w:textAlignment w:val="bottom"/>
            </w:pPr>
            <w:r>
              <w:rPr>
                <w:rFonts w:ascii="Arial" w:eastAsia="宋体" w:hAnsi="Arial" w:cs="Arial"/>
                <w:color w:val="000000"/>
                <w:sz w:val="14"/>
                <w:szCs w:val="14"/>
              </w:rPr>
              <w:t>Changes in tier 2 capital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9DAE" w14:textId="77777777" w:rsidR="00584EC1" w:rsidRDefault="00871F8D">
            <w:pPr>
              <w:jc w:val="right"/>
              <w:textAlignment w:val="bottom"/>
            </w:pPr>
            <w:r>
              <w:rPr>
                <w:rFonts w:ascii="Arial" w:eastAsia="宋体" w:hAnsi="Arial" w:cs="Arial"/>
                <w:b/>
                <w:bCs/>
                <w:color w:val="000000"/>
                <w:sz w:val="14"/>
                <w:szCs w:val="14"/>
              </w:rPr>
              <w:t>628</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9DA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DB0"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9DB1" w14:textId="77777777" w:rsidR="00584EC1" w:rsidRDefault="00871F8D">
            <w:pPr>
              <w:jc w:val="right"/>
              <w:textAlignment w:val="bottom"/>
            </w:pPr>
            <w:r>
              <w:rPr>
                <w:rFonts w:ascii="Arial" w:eastAsia="宋体" w:hAnsi="Arial" w:cs="Arial"/>
                <w:b/>
                <w:bCs/>
                <w:color w:val="000000"/>
                <w:sz w:val="14"/>
                <w:szCs w:val="14"/>
              </w:rPr>
              <w:t>598</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9DB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DB3"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9DB4" w14:textId="77777777" w:rsidR="00584EC1" w:rsidRDefault="00871F8D">
            <w:pPr>
              <w:jc w:val="right"/>
              <w:textAlignment w:val="bottom"/>
            </w:pPr>
            <w:r>
              <w:rPr>
                <w:rFonts w:ascii="Arial" w:eastAsia="宋体" w:hAnsi="Arial" w:cs="Arial"/>
                <w:color w:val="000000"/>
                <w:sz w:val="14"/>
                <w:szCs w:val="14"/>
              </w:rPr>
              <w:t>(138)</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9DB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DB6"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9DB7" w14:textId="77777777" w:rsidR="00584EC1" w:rsidRDefault="00871F8D">
            <w:pPr>
              <w:jc w:val="right"/>
              <w:textAlignment w:val="bottom"/>
            </w:pPr>
            <w:r>
              <w:rPr>
                <w:rFonts w:ascii="Arial" w:eastAsia="宋体" w:hAnsi="Arial" w:cs="Arial"/>
                <w:color w:val="000000"/>
                <w:sz w:val="14"/>
                <w:szCs w:val="14"/>
              </w:rPr>
              <w:t>(76)</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9DB8" w14:textId="77777777" w:rsidR="00584EC1" w:rsidRDefault="00584EC1">
            <w:pPr>
              <w:jc w:val="right"/>
              <w:rPr>
                <w:rFonts w:ascii="宋体"/>
              </w:rPr>
            </w:pPr>
          </w:p>
        </w:tc>
      </w:tr>
      <w:tr w:rsidR="00584EC1" w14:paraId="74DD9DC6" w14:textId="77777777">
        <w:tc>
          <w:tcPr>
            <w:tcW w:w="0" w:type="auto"/>
            <w:gridSpan w:val="3"/>
            <w:shd w:val="clear" w:color="auto" w:fill="CCEEFF"/>
            <w:tcMar>
              <w:top w:w="40" w:type="dxa"/>
              <w:left w:w="20" w:type="dxa"/>
              <w:bottom w:w="40" w:type="dxa"/>
              <w:right w:w="20" w:type="dxa"/>
            </w:tcMar>
            <w:vAlign w:val="bottom"/>
          </w:tcPr>
          <w:p w14:paraId="74DD9DBA" w14:textId="77777777" w:rsidR="00584EC1" w:rsidRDefault="00871F8D">
            <w:pPr>
              <w:textAlignment w:val="bottom"/>
            </w:pPr>
            <w:r>
              <w:rPr>
                <w:rFonts w:ascii="Arial" w:eastAsia="宋体" w:hAnsi="Arial" w:cs="Arial"/>
                <w:color w:val="000000"/>
                <w:sz w:val="14"/>
                <w:szCs w:val="14"/>
              </w:rPr>
              <w:t>Tier 2 capital balance, end of period</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9DBB" w14:textId="77777777" w:rsidR="00584EC1" w:rsidRDefault="00871F8D">
            <w:pPr>
              <w:jc w:val="right"/>
              <w:textAlignment w:val="bottom"/>
            </w:pPr>
            <w:r>
              <w:rPr>
                <w:rFonts w:ascii="Arial" w:eastAsia="宋体" w:hAnsi="Arial" w:cs="Arial"/>
                <w:b/>
                <w:bCs/>
                <w:color w:val="000000"/>
                <w:sz w:val="14"/>
                <w:szCs w:val="14"/>
              </w:rPr>
              <w:t>1,590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DB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DBD"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9DBE" w14:textId="77777777" w:rsidR="00584EC1" w:rsidRDefault="00871F8D">
            <w:pPr>
              <w:jc w:val="right"/>
              <w:textAlignment w:val="bottom"/>
            </w:pPr>
            <w:r>
              <w:rPr>
                <w:rFonts w:ascii="Arial" w:eastAsia="宋体" w:hAnsi="Arial" w:cs="Arial"/>
                <w:b/>
                <w:bCs/>
                <w:color w:val="000000"/>
                <w:sz w:val="14"/>
                <w:szCs w:val="14"/>
              </w:rPr>
              <w:t>1,707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DB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DC0"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9DC1" w14:textId="77777777" w:rsidR="00584EC1" w:rsidRDefault="00871F8D">
            <w:pPr>
              <w:jc w:val="right"/>
              <w:textAlignment w:val="bottom"/>
            </w:pPr>
            <w:r>
              <w:rPr>
                <w:rFonts w:ascii="Arial" w:eastAsia="宋体" w:hAnsi="Arial" w:cs="Arial"/>
                <w:color w:val="000000"/>
                <w:sz w:val="14"/>
                <w:szCs w:val="14"/>
              </w:rPr>
              <w:t>962 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DC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DC3"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9DC4" w14:textId="77777777" w:rsidR="00584EC1" w:rsidRDefault="00871F8D">
            <w:pPr>
              <w:jc w:val="right"/>
              <w:textAlignment w:val="bottom"/>
            </w:pPr>
            <w:r>
              <w:rPr>
                <w:rFonts w:ascii="Arial" w:eastAsia="宋体" w:hAnsi="Arial" w:cs="Arial"/>
                <w:color w:val="000000"/>
                <w:sz w:val="14"/>
                <w:szCs w:val="14"/>
              </w:rPr>
              <w:t>1,109 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DC5" w14:textId="77777777" w:rsidR="00584EC1" w:rsidRDefault="00584EC1">
            <w:pPr>
              <w:jc w:val="right"/>
              <w:rPr>
                <w:rFonts w:ascii="宋体"/>
              </w:rPr>
            </w:pPr>
          </w:p>
        </w:tc>
      </w:tr>
      <w:tr w:rsidR="00584EC1" w14:paraId="74DD9DCF" w14:textId="77777777">
        <w:tc>
          <w:tcPr>
            <w:tcW w:w="0" w:type="auto"/>
            <w:gridSpan w:val="3"/>
            <w:shd w:val="clear" w:color="auto" w:fill="FFFFFF"/>
            <w:tcMar>
              <w:top w:w="40" w:type="dxa"/>
              <w:left w:w="20" w:type="dxa"/>
              <w:bottom w:w="40" w:type="dxa"/>
              <w:right w:w="20" w:type="dxa"/>
            </w:tcMar>
            <w:vAlign w:val="bottom"/>
          </w:tcPr>
          <w:p w14:paraId="74DD9DC7" w14:textId="77777777" w:rsidR="00584EC1" w:rsidRDefault="00871F8D">
            <w:pPr>
              <w:textAlignment w:val="bottom"/>
            </w:pPr>
            <w:r>
              <w:rPr>
                <w:rFonts w:ascii="Arial" w:eastAsia="宋体" w:hAnsi="Arial" w:cs="Arial"/>
                <w:b/>
                <w:bCs/>
                <w:color w:val="000000"/>
                <w:sz w:val="14"/>
                <w:szCs w:val="14"/>
              </w:rPr>
              <w:t>Total capital:</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9DC8"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9DC9"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9DCA"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9DCB"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9DCC"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9DCD"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9DCE" w14:textId="77777777" w:rsidR="00584EC1" w:rsidRDefault="00584EC1">
            <w:pPr>
              <w:rPr>
                <w:rFonts w:ascii="宋体"/>
              </w:rPr>
            </w:pPr>
          </w:p>
        </w:tc>
      </w:tr>
      <w:tr w:rsidR="00584EC1" w14:paraId="74DD9DDC" w14:textId="77777777">
        <w:tc>
          <w:tcPr>
            <w:tcW w:w="0" w:type="auto"/>
            <w:gridSpan w:val="3"/>
            <w:shd w:val="clear" w:color="auto" w:fill="CCEEFF"/>
            <w:tcMar>
              <w:top w:w="40" w:type="dxa"/>
              <w:left w:w="20" w:type="dxa"/>
              <w:bottom w:w="40" w:type="dxa"/>
              <w:right w:w="20" w:type="dxa"/>
            </w:tcMar>
            <w:vAlign w:val="bottom"/>
          </w:tcPr>
          <w:p w14:paraId="74DD9DD0" w14:textId="77777777" w:rsidR="00584EC1" w:rsidRDefault="00871F8D">
            <w:pPr>
              <w:textAlignment w:val="bottom"/>
            </w:pPr>
            <w:r>
              <w:rPr>
                <w:rFonts w:ascii="Arial" w:eastAsia="宋体" w:hAnsi="Arial" w:cs="Arial"/>
                <w:color w:val="000000"/>
                <w:sz w:val="14"/>
                <w:szCs w:val="14"/>
              </w:rPr>
              <w:t>Total capital balance, beginning of period</w:t>
            </w:r>
          </w:p>
        </w:tc>
        <w:tc>
          <w:tcPr>
            <w:tcW w:w="0" w:type="auto"/>
            <w:gridSpan w:val="2"/>
            <w:shd w:val="clear" w:color="auto" w:fill="CCEEFF"/>
            <w:tcMar>
              <w:top w:w="40" w:type="dxa"/>
              <w:left w:w="20" w:type="dxa"/>
              <w:bottom w:w="40" w:type="dxa"/>
              <w:right w:w="0" w:type="dxa"/>
            </w:tcMar>
            <w:vAlign w:val="bottom"/>
          </w:tcPr>
          <w:p w14:paraId="74DD9DD1" w14:textId="77777777" w:rsidR="00584EC1" w:rsidRDefault="00871F8D">
            <w:pPr>
              <w:jc w:val="right"/>
              <w:textAlignment w:val="bottom"/>
            </w:pPr>
            <w:r>
              <w:rPr>
                <w:rFonts w:ascii="Arial" w:eastAsia="宋体" w:hAnsi="Arial" w:cs="Arial"/>
                <w:b/>
                <w:bCs/>
                <w:color w:val="000000"/>
                <w:sz w:val="14"/>
                <w:szCs w:val="14"/>
              </w:rPr>
              <w:t>17,810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9DD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DD3"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DD4" w14:textId="77777777" w:rsidR="00584EC1" w:rsidRDefault="00871F8D">
            <w:pPr>
              <w:jc w:val="right"/>
              <w:textAlignment w:val="bottom"/>
            </w:pPr>
            <w:r>
              <w:rPr>
                <w:rFonts w:ascii="Arial" w:eastAsia="宋体" w:hAnsi="Arial" w:cs="Arial"/>
                <w:b/>
                <w:bCs/>
                <w:color w:val="000000"/>
                <w:sz w:val="14"/>
                <w:szCs w:val="14"/>
              </w:rPr>
              <w:t>17,957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9DD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DD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DD7" w14:textId="77777777" w:rsidR="00584EC1" w:rsidRDefault="00871F8D">
            <w:pPr>
              <w:jc w:val="right"/>
              <w:textAlignment w:val="bottom"/>
            </w:pPr>
            <w:r>
              <w:rPr>
                <w:rFonts w:ascii="Arial" w:eastAsia="宋体" w:hAnsi="Arial" w:cs="Arial"/>
                <w:color w:val="000000"/>
                <w:sz w:val="14"/>
                <w:szCs w:val="14"/>
              </w:rPr>
              <w:t>16,275 </w:t>
            </w:r>
          </w:p>
        </w:tc>
        <w:tc>
          <w:tcPr>
            <w:tcW w:w="0" w:type="auto"/>
            <w:shd w:val="clear" w:color="auto" w:fill="CCEEFF"/>
            <w:tcMar>
              <w:top w:w="40" w:type="dxa"/>
              <w:left w:w="0" w:type="dxa"/>
              <w:bottom w:w="40" w:type="dxa"/>
              <w:right w:w="20" w:type="dxa"/>
            </w:tcMar>
            <w:vAlign w:val="bottom"/>
          </w:tcPr>
          <w:p w14:paraId="74DD9DD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DD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DDA" w14:textId="77777777" w:rsidR="00584EC1" w:rsidRDefault="00871F8D">
            <w:pPr>
              <w:jc w:val="right"/>
              <w:textAlignment w:val="bottom"/>
            </w:pPr>
            <w:r>
              <w:rPr>
                <w:rFonts w:ascii="Arial" w:eastAsia="宋体" w:hAnsi="Arial" w:cs="Arial"/>
                <w:color w:val="000000"/>
                <w:sz w:val="14"/>
                <w:szCs w:val="14"/>
              </w:rPr>
              <w:t>16,360 </w:t>
            </w:r>
          </w:p>
        </w:tc>
        <w:tc>
          <w:tcPr>
            <w:tcW w:w="0" w:type="auto"/>
            <w:shd w:val="clear" w:color="auto" w:fill="CCEEFF"/>
            <w:tcMar>
              <w:top w:w="40" w:type="dxa"/>
              <w:left w:w="0" w:type="dxa"/>
              <w:bottom w:w="40" w:type="dxa"/>
              <w:right w:w="20" w:type="dxa"/>
            </w:tcMar>
            <w:vAlign w:val="bottom"/>
          </w:tcPr>
          <w:p w14:paraId="74DD9DDB" w14:textId="77777777" w:rsidR="00584EC1" w:rsidRDefault="00584EC1">
            <w:pPr>
              <w:jc w:val="right"/>
              <w:rPr>
                <w:rFonts w:ascii="宋体"/>
              </w:rPr>
            </w:pPr>
          </w:p>
        </w:tc>
      </w:tr>
      <w:tr w:rsidR="00584EC1" w14:paraId="74DD9DE9" w14:textId="77777777">
        <w:tc>
          <w:tcPr>
            <w:tcW w:w="0" w:type="auto"/>
            <w:gridSpan w:val="3"/>
            <w:shd w:val="clear" w:color="auto" w:fill="FFFFFF"/>
            <w:tcMar>
              <w:top w:w="40" w:type="dxa"/>
              <w:left w:w="20" w:type="dxa"/>
              <w:bottom w:w="40" w:type="dxa"/>
              <w:right w:w="20" w:type="dxa"/>
            </w:tcMar>
            <w:vAlign w:val="bottom"/>
          </w:tcPr>
          <w:p w14:paraId="74DD9DDD" w14:textId="77777777" w:rsidR="00584EC1" w:rsidRDefault="00871F8D">
            <w:pPr>
              <w:textAlignment w:val="bottom"/>
            </w:pPr>
            <w:r>
              <w:rPr>
                <w:rFonts w:ascii="Arial" w:eastAsia="宋体" w:hAnsi="Arial" w:cs="Arial"/>
                <w:color w:val="000000"/>
                <w:sz w:val="14"/>
                <w:szCs w:val="14"/>
              </w:rPr>
              <w:t>Changes in tier 1 capital</w:t>
            </w:r>
          </w:p>
        </w:tc>
        <w:tc>
          <w:tcPr>
            <w:tcW w:w="0" w:type="auto"/>
            <w:gridSpan w:val="2"/>
            <w:shd w:val="clear" w:color="auto" w:fill="FFFFFF"/>
            <w:tcMar>
              <w:top w:w="40" w:type="dxa"/>
              <w:left w:w="20" w:type="dxa"/>
              <w:bottom w:w="40" w:type="dxa"/>
              <w:right w:w="0" w:type="dxa"/>
            </w:tcMar>
            <w:vAlign w:val="bottom"/>
          </w:tcPr>
          <w:p w14:paraId="74DD9DDE" w14:textId="77777777" w:rsidR="00584EC1" w:rsidRDefault="00871F8D">
            <w:pPr>
              <w:jc w:val="right"/>
              <w:textAlignment w:val="bottom"/>
            </w:pPr>
            <w:r>
              <w:rPr>
                <w:rFonts w:ascii="Arial" w:eastAsia="宋体" w:hAnsi="Arial" w:cs="Arial"/>
                <w:b/>
                <w:bCs/>
                <w:color w:val="000000"/>
                <w:sz w:val="14"/>
                <w:szCs w:val="14"/>
              </w:rPr>
              <w:t>959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9DD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DE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DE1" w14:textId="77777777" w:rsidR="00584EC1" w:rsidRDefault="00871F8D">
            <w:pPr>
              <w:jc w:val="right"/>
              <w:textAlignment w:val="bottom"/>
            </w:pPr>
            <w:r>
              <w:rPr>
                <w:rFonts w:ascii="Arial" w:eastAsia="宋体" w:hAnsi="Arial" w:cs="Arial"/>
                <w:b/>
                <w:bCs/>
                <w:color w:val="000000"/>
                <w:sz w:val="14"/>
                <w:szCs w:val="14"/>
              </w:rPr>
              <w:t>959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9DE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DE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DE4" w14:textId="77777777" w:rsidR="00584EC1" w:rsidRDefault="00871F8D">
            <w:pPr>
              <w:jc w:val="right"/>
              <w:textAlignment w:val="bottom"/>
            </w:pPr>
            <w:r>
              <w:rPr>
                <w:rFonts w:ascii="Arial" w:eastAsia="宋体" w:hAnsi="Arial" w:cs="Arial"/>
                <w:color w:val="000000"/>
                <w:sz w:val="14"/>
                <w:szCs w:val="14"/>
              </w:rPr>
              <w:t>1,673 </w:t>
            </w:r>
          </w:p>
        </w:tc>
        <w:tc>
          <w:tcPr>
            <w:tcW w:w="0" w:type="auto"/>
            <w:shd w:val="clear" w:color="auto" w:fill="FFFFFF"/>
            <w:tcMar>
              <w:top w:w="40" w:type="dxa"/>
              <w:left w:w="0" w:type="dxa"/>
              <w:bottom w:w="40" w:type="dxa"/>
              <w:right w:w="20" w:type="dxa"/>
            </w:tcMar>
            <w:vAlign w:val="bottom"/>
          </w:tcPr>
          <w:p w14:paraId="74DD9DE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DE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DE7" w14:textId="77777777" w:rsidR="00584EC1" w:rsidRDefault="00871F8D">
            <w:pPr>
              <w:jc w:val="right"/>
              <w:textAlignment w:val="bottom"/>
            </w:pPr>
            <w:r>
              <w:rPr>
                <w:rFonts w:ascii="Arial" w:eastAsia="宋体" w:hAnsi="Arial" w:cs="Arial"/>
                <w:color w:val="000000"/>
                <w:sz w:val="14"/>
                <w:szCs w:val="14"/>
              </w:rPr>
              <w:t>1,673 </w:t>
            </w:r>
          </w:p>
        </w:tc>
        <w:tc>
          <w:tcPr>
            <w:tcW w:w="0" w:type="auto"/>
            <w:shd w:val="clear" w:color="auto" w:fill="FFFFFF"/>
            <w:tcMar>
              <w:top w:w="40" w:type="dxa"/>
              <w:left w:w="0" w:type="dxa"/>
              <w:bottom w:w="40" w:type="dxa"/>
              <w:right w:w="20" w:type="dxa"/>
            </w:tcMar>
            <w:vAlign w:val="bottom"/>
          </w:tcPr>
          <w:p w14:paraId="74DD9DE8" w14:textId="77777777" w:rsidR="00584EC1" w:rsidRDefault="00584EC1">
            <w:pPr>
              <w:jc w:val="right"/>
              <w:rPr>
                <w:rFonts w:ascii="宋体"/>
              </w:rPr>
            </w:pPr>
          </w:p>
        </w:tc>
      </w:tr>
      <w:tr w:rsidR="00584EC1" w14:paraId="74DD9DF6" w14:textId="77777777">
        <w:tc>
          <w:tcPr>
            <w:tcW w:w="0" w:type="auto"/>
            <w:gridSpan w:val="3"/>
            <w:shd w:val="clear" w:color="auto" w:fill="CCEEFF"/>
            <w:tcMar>
              <w:top w:w="40" w:type="dxa"/>
              <w:left w:w="20" w:type="dxa"/>
              <w:bottom w:w="40" w:type="dxa"/>
              <w:right w:w="20" w:type="dxa"/>
            </w:tcMar>
            <w:vAlign w:val="bottom"/>
          </w:tcPr>
          <w:p w14:paraId="74DD9DEA" w14:textId="77777777" w:rsidR="00584EC1" w:rsidRDefault="00871F8D">
            <w:pPr>
              <w:textAlignment w:val="bottom"/>
            </w:pPr>
            <w:r>
              <w:rPr>
                <w:rFonts w:ascii="Arial" w:eastAsia="宋体" w:hAnsi="Arial" w:cs="Arial"/>
                <w:color w:val="000000"/>
                <w:sz w:val="14"/>
                <w:szCs w:val="14"/>
              </w:rPr>
              <w:t>Changes in tier 2 capital</w:t>
            </w:r>
          </w:p>
        </w:tc>
        <w:tc>
          <w:tcPr>
            <w:tcW w:w="0" w:type="auto"/>
            <w:gridSpan w:val="2"/>
            <w:shd w:val="clear" w:color="auto" w:fill="CCEEFF"/>
            <w:tcMar>
              <w:top w:w="40" w:type="dxa"/>
              <w:left w:w="20" w:type="dxa"/>
              <w:bottom w:w="40" w:type="dxa"/>
              <w:right w:w="0" w:type="dxa"/>
            </w:tcMar>
            <w:vAlign w:val="bottom"/>
          </w:tcPr>
          <w:p w14:paraId="74DD9DEB" w14:textId="77777777" w:rsidR="00584EC1" w:rsidRDefault="00871F8D">
            <w:pPr>
              <w:jc w:val="right"/>
              <w:textAlignment w:val="bottom"/>
            </w:pPr>
            <w:r>
              <w:rPr>
                <w:rFonts w:ascii="Arial" w:eastAsia="宋体" w:hAnsi="Arial" w:cs="Arial"/>
                <w:b/>
                <w:bCs/>
                <w:color w:val="000000"/>
                <w:sz w:val="14"/>
                <w:szCs w:val="14"/>
              </w:rPr>
              <w:t>628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9DE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DE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DEE" w14:textId="77777777" w:rsidR="00584EC1" w:rsidRDefault="00871F8D">
            <w:pPr>
              <w:jc w:val="right"/>
              <w:textAlignment w:val="bottom"/>
            </w:pPr>
            <w:r>
              <w:rPr>
                <w:rFonts w:ascii="Arial" w:eastAsia="宋体" w:hAnsi="Arial" w:cs="Arial"/>
                <w:b/>
                <w:bCs/>
                <w:color w:val="000000"/>
                <w:sz w:val="14"/>
                <w:szCs w:val="14"/>
              </w:rPr>
              <w:t>598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9DE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DF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DF1" w14:textId="77777777" w:rsidR="00584EC1" w:rsidRDefault="00871F8D">
            <w:pPr>
              <w:jc w:val="right"/>
              <w:textAlignment w:val="bottom"/>
            </w:pPr>
            <w:r>
              <w:rPr>
                <w:rFonts w:ascii="Arial" w:eastAsia="宋体" w:hAnsi="Arial" w:cs="Arial"/>
                <w:color w:val="000000"/>
                <w:sz w:val="14"/>
                <w:szCs w:val="14"/>
              </w:rPr>
              <w:t>(138)</w:t>
            </w:r>
          </w:p>
        </w:tc>
        <w:tc>
          <w:tcPr>
            <w:tcW w:w="0" w:type="auto"/>
            <w:shd w:val="clear" w:color="auto" w:fill="CCEEFF"/>
            <w:tcMar>
              <w:top w:w="40" w:type="dxa"/>
              <w:left w:w="0" w:type="dxa"/>
              <w:bottom w:w="40" w:type="dxa"/>
              <w:right w:w="20" w:type="dxa"/>
            </w:tcMar>
            <w:vAlign w:val="bottom"/>
          </w:tcPr>
          <w:p w14:paraId="74DD9DF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DF3"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DF4" w14:textId="77777777" w:rsidR="00584EC1" w:rsidRDefault="00871F8D">
            <w:pPr>
              <w:jc w:val="right"/>
              <w:textAlignment w:val="bottom"/>
            </w:pPr>
            <w:r>
              <w:rPr>
                <w:rFonts w:ascii="Arial" w:eastAsia="宋体" w:hAnsi="Arial" w:cs="Arial"/>
                <w:color w:val="000000"/>
                <w:sz w:val="14"/>
                <w:szCs w:val="14"/>
              </w:rPr>
              <w:t>(76)</w:t>
            </w:r>
          </w:p>
        </w:tc>
        <w:tc>
          <w:tcPr>
            <w:tcW w:w="0" w:type="auto"/>
            <w:shd w:val="clear" w:color="auto" w:fill="CCEEFF"/>
            <w:tcMar>
              <w:top w:w="40" w:type="dxa"/>
              <w:left w:w="0" w:type="dxa"/>
              <w:bottom w:w="40" w:type="dxa"/>
              <w:right w:w="20" w:type="dxa"/>
            </w:tcMar>
            <w:vAlign w:val="bottom"/>
          </w:tcPr>
          <w:p w14:paraId="74DD9DF5" w14:textId="77777777" w:rsidR="00584EC1" w:rsidRDefault="00584EC1">
            <w:pPr>
              <w:jc w:val="right"/>
              <w:rPr>
                <w:rFonts w:ascii="宋体"/>
              </w:rPr>
            </w:pPr>
          </w:p>
        </w:tc>
      </w:tr>
      <w:tr w:rsidR="00584EC1" w14:paraId="74DD9E07" w14:textId="77777777">
        <w:tc>
          <w:tcPr>
            <w:tcW w:w="0" w:type="auto"/>
            <w:gridSpan w:val="3"/>
            <w:shd w:val="clear" w:color="auto" w:fill="FFFFFF"/>
            <w:tcMar>
              <w:top w:w="40" w:type="dxa"/>
              <w:left w:w="20" w:type="dxa"/>
              <w:bottom w:w="40" w:type="dxa"/>
              <w:right w:w="20" w:type="dxa"/>
            </w:tcMar>
            <w:vAlign w:val="bottom"/>
          </w:tcPr>
          <w:p w14:paraId="74DD9DF7" w14:textId="77777777" w:rsidR="00584EC1" w:rsidRDefault="00871F8D">
            <w:pPr>
              <w:textAlignment w:val="bottom"/>
            </w:pPr>
            <w:r>
              <w:rPr>
                <w:rFonts w:ascii="Arial" w:eastAsia="宋体" w:hAnsi="Arial" w:cs="Arial"/>
                <w:color w:val="000000"/>
                <w:sz w:val="14"/>
                <w:szCs w:val="14"/>
              </w:rPr>
              <w:t>Total capital balance, end of period</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9DF8"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9DF9" w14:textId="77777777" w:rsidR="00584EC1" w:rsidRDefault="00871F8D">
            <w:pPr>
              <w:jc w:val="right"/>
              <w:textAlignment w:val="bottom"/>
            </w:pPr>
            <w:r>
              <w:rPr>
                <w:rFonts w:ascii="Arial" w:eastAsia="宋体" w:hAnsi="Arial" w:cs="Arial"/>
                <w:b/>
                <w:bCs/>
                <w:color w:val="000000"/>
                <w:sz w:val="14"/>
                <w:szCs w:val="14"/>
              </w:rPr>
              <w:t>19,397</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9DF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DFB"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9DFC"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9DFD" w14:textId="77777777" w:rsidR="00584EC1" w:rsidRDefault="00871F8D">
            <w:pPr>
              <w:jc w:val="right"/>
              <w:textAlignment w:val="bottom"/>
            </w:pPr>
            <w:r>
              <w:rPr>
                <w:rFonts w:ascii="Arial" w:eastAsia="宋体" w:hAnsi="Arial" w:cs="Arial"/>
                <w:b/>
                <w:bCs/>
                <w:color w:val="000000"/>
                <w:sz w:val="14"/>
                <w:szCs w:val="14"/>
              </w:rPr>
              <w:t>19,514</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9DF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DFF"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9E00"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9E01" w14:textId="77777777" w:rsidR="00584EC1" w:rsidRDefault="00871F8D">
            <w:pPr>
              <w:jc w:val="right"/>
              <w:textAlignment w:val="bottom"/>
            </w:pPr>
            <w:r>
              <w:rPr>
                <w:rFonts w:ascii="Arial" w:eastAsia="宋体" w:hAnsi="Arial" w:cs="Arial"/>
                <w:color w:val="000000"/>
                <w:sz w:val="14"/>
                <w:szCs w:val="14"/>
              </w:rPr>
              <w:t>17,810 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9E0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E03"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9E04"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9E05" w14:textId="77777777" w:rsidR="00584EC1" w:rsidRDefault="00871F8D">
            <w:pPr>
              <w:jc w:val="right"/>
              <w:textAlignment w:val="bottom"/>
            </w:pPr>
            <w:r>
              <w:rPr>
                <w:rFonts w:ascii="Arial" w:eastAsia="宋体" w:hAnsi="Arial" w:cs="Arial"/>
                <w:color w:val="000000"/>
                <w:sz w:val="14"/>
                <w:szCs w:val="14"/>
              </w:rPr>
              <w:t>17,957 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9E06" w14:textId="77777777" w:rsidR="00584EC1" w:rsidRDefault="00584EC1">
            <w:pPr>
              <w:jc w:val="right"/>
              <w:rPr>
                <w:rFonts w:ascii="宋体"/>
              </w:rPr>
            </w:pPr>
          </w:p>
        </w:tc>
      </w:tr>
    </w:tbl>
    <w:p w14:paraId="74DD9E08" w14:textId="77777777" w:rsidR="00584EC1" w:rsidRDefault="00871F8D">
      <w:pPr>
        <w:ind w:firstLine="450"/>
        <w:jc w:val="right"/>
      </w:pPr>
      <w:r>
        <w:rPr>
          <w:rFonts w:ascii="Arial" w:eastAsia="宋体" w:hAnsi="Arial" w:cs="Arial"/>
          <w:color w:val="000000"/>
          <w:sz w:val="18"/>
          <w:szCs w:val="18"/>
        </w:rPr>
        <w:t>State Street Corporation | 45</w:t>
      </w:r>
    </w:p>
    <w:p w14:paraId="74DD9E09" w14:textId="77777777" w:rsidR="00584EC1" w:rsidRDefault="00584EC1">
      <w:pPr>
        <w:ind w:firstLine="450"/>
        <w:jc w:val="center"/>
      </w:pPr>
    </w:p>
    <w:p w14:paraId="74DD9E0A" w14:textId="77777777" w:rsidR="00584EC1" w:rsidRDefault="00871F8D">
      <w:r>
        <w:pict w14:anchorId="74DE2A1B">
          <v:rect id="_x0000_i1069" style="width:415.3pt;height:1.5pt" o:hralign="center" o:hrstd="t" o:hr="t" fillcolor="#a0a0a0" stroked="f"/>
        </w:pict>
      </w:r>
    </w:p>
    <w:p w14:paraId="74DD9E0B" w14:textId="77777777" w:rsidR="00584EC1" w:rsidRDefault="00871F8D">
      <w:pPr>
        <w:ind w:firstLine="450"/>
        <w:jc w:val="center"/>
      </w:pPr>
      <w:r>
        <w:rPr>
          <w:rFonts w:ascii="Arial" w:eastAsia="宋体" w:hAnsi="Arial" w:cs="Arial"/>
          <w:b/>
          <w:bCs/>
          <w:color w:val="000000"/>
          <w:sz w:val="20"/>
          <w:szCs w:val="20"/>
        </w:rPr>
        <w:t>MANAGEMENT’S DISCUSSION AND ANALYSIS OF FINANCIAL CONDITION</w:t>
      </w:r>
    </w:p>
    <w:p w14:paraId="74DD9E0C" w14:textId="77777777" w:rsidR="00584EC1" w:rsidRDefault="00871F8D">
      <w:pPr>
        <w:ind w:firstLine="450"/>
        <w:jc w:val="center"/>
      </w:pPr>
      <w:r>
        <w:rPr>
          <w:rFonts w:ascii="Arial" w:eastAsia="宋体" w:hAnsi="Arial" w:cs="Arial"/>
          <w:b/>
          <w:bCs/>
          <w:color w:val="000000"/>
          <w:sz w:val="20"/>
          <w:szCs w:val="20"/>
        </w:rPr>
        <w:t xml:space="preserve">AND RESULTS OF </w:t>
      </w:r>
      <w:r>
        <w:rPr>
          <w:rFonts w:ascii="Arial" w:eastAsia="宋体" w:hAnsi="Arial" w:cs="Arial"/>
          <w:b/>
          <w:bCs/>
          <w:color w:val="000000"/>
          <w:sz w:val="20"/>
          <w:szCs w:val="20"/>
        </w:rPr>
        <w:t>OPERATIONS</w:t>
      </w:r>
    </w:p>
    <w:p w14:paraId="74DD9E0D" w14:textId="77777777" w:rsidR="00584EC1" w:rsidRDefault="00871F8D">
      <w:pPr>
        <w:ind w:firstLine="450"/>
        <w:jc w:val="both"/>
      </w:pPr>
      <w:r>
        <w:rPr>
          <w:rFonts w:ascii="Arial" w:eastAsia="宋体" w:hAnsi="Arial" w:cs="Arial"/>
          <w:color w:val="000000"/>
          <w:sz w:val="20"/>
          <w:szCs w:val="20"/>
        </w:rPr>
        <w:t>The following table presents a roll-forward of the Basel III advanced and standardized approaches RWA for the nine months ended September 30, 2021 and for the year ended December 31, 2020.</w:t>
      </w:r>
    </w:p>
    <w:tbl>
      <w:tblPr>
        <w:tblW w:w="4985" w:type="pct"/>
        <w:tblCellMar>
          <w:top w:w="15" w:type="dxa"/>
          <w:left w:w="15" w:type="dxa"/>
          <w:bottom w:w="15" w:type="dxa"/>
          <w:right w:w="15" w:type="dxa"/>
        </w:tblCellMar>
        <w:tblLook w:val="04A0" w:firstRow="1" w:lastRow="0" w:firstColumn="1" w:lastColumn="0" w:noHBand="0" w:noVBand="1"/>
      </w:tblPr>
      <w:tblGrid>
        <w:gridCol w:w="39"/>
        <w:gridCol w:w="3563"/>
        <w:gridCol w:w="37"/>
        <w:gridCol w:w="99"/>
        <w:gridCol w:w="995"/>
        <w:gridCol w:w="37"/>
        <w:gridCol w:w="36"/>
        <w:gridCol w:w="36"/>
        <w:gridCol w:w="36"/>
        <w:gridCol w:w="99"/>
        <w:gridCol w:w="907"/>
        <w:gridCol w:w="37"/>
        <w:gridCol w:w="36"/>
        <w:gridCol w:w="36"/>
        <w:gridCol w:w="36"/>
        <w:gridCol w:w="99"/>
        <w:gridCol w:w="995"/>
        <w:gridCol w:w="37"/>
        <w:gridCol w:w="36"/>
        <w:gridCol w:w="36"/>
        <w:gridCol w:w="36"/>
        <w:gridCol w:w="99"/>
        <w:gridCol w:w="907"/>
        <w:gridCol w:w="37"/>
      </w:tblGrid>
      <w:tr w:rsidR="00584EC1" w14:paraId="74DD9E26" w14:textId="77777777">
        <w:tc>
          <w:tcPr>
            <w:tcW w:w="50" w:type="pct"/>
            <w:shd w:val="clear" w:color="auto" w:fill="auto"/>
            <w:vAlign w:val="bottom"/>
          </w:tcPr>
          <w:p w14:paraId="74DD9E0E" w14:textId="77777777" w:rsidR="00584EC1" w:rsidRDefault="00584EC1">
            <w:pPr>
              <w:rPr>
                <w:rFonts w:ascii="宋体"/>
              </w:rPr>
            </w:pPr>
          </w:p>
        </w:tc>
        <w:tc>
          <w:tcPr>
            <w:tcW w:w="2173" w:type="pct"/>
            <w:shd w:val="clear" w:color="auto" w:fill="auto"/>
            <w:vAlign w:val="bottom"/>
          </w:tcPr>
          <w:p w14:paraId="74DD9E0F" w14:textId="77777777" w:rsidR="00584EC1" w:rsidRDefault="00584EC1">
            <w:pPr>
              <w:rPr>
                <w:rFonts w:ascii="宋体"/>
              </w:rPr>
            </w:pPr>
          </w:p>
        </w:tc>
        <w:tc>
          <w:tcPr>
            <w:tcW w:w="5" w:type="pct"/>
            <w:shd w:val="clear" w:color="auto" w:fill="auto"/>
            <w:vAlign w:val="bottom"/>
          </w:tcPr>
          <w:p w14:paraId="74DD9E10" w14:textId="77777777" w:rsidR="00584EC1" w:rsidRDefault="00584EC1">
            <w:pPr>
              <w:rPr>
                <w:rFonts w:ascii="宋体"/>
              </w:rPr>
            </w:pPr>
          </w:p>
        </w:tc>
        <w:tc>
          <w:tcPr>
            <w:tcW w:w="50" w:type="pct"/>
            <w:shd w:val="clear" w:color="auto" w:fill="auto"/>
            <w:vAlign w:val="bottom"/>
          </w:tcPr>
          <w:p w14:paraId="74DD9E11" w14:textId="77777777" w:rsidR="00584EC1" w:rsidRDefault="00584EC1">
            <w:pPr>
              <w:rPr>
                <w:rFonts w:ascii="宋体"/>
              </w:rPr>
            </w:pPr>
          </w:p>
        </w:tc>
        <w:tc>
          <w:tcPr>
            <w:tcW w:w="626" w:type="pct"/>
            <w:shd w:val="clear" w:color="auto" w:fill="auto"/>
            <w:vAlign w:val="bottom"/>
          </w:tcPr>
          <w:p w14:paraId="74DD9E12" w14:textId="77777777" w:rsidR="00584EC1" w:rsidRDefault="00584EC1">
            <w:pPr>
              <w:rPr>
                <w:rFonts w:ascii="宋体"/>
              </w:rPr>
            </w:pPr>
          </w:p>
        </w:tc>
        <w:tc>
          <w:tcPr>
            <w:tcW w:w="5" w:type="pct"/>
            <w:shd w:val="clear" w:color="auto" w:fill="auto"/>
            <w:vAlign w:val="bottom"/>
          </w:tcPr>
          <w:p w14:paraId="74DD9E13" w14:textId="77777777" w:rsidR="00584EC1" w:rsidRDefault="00584EC1">
            <w:pPr>
              <w:rPr>
                <w:rFonts w:ascii="宋体"/>
              </w:rPr>
            </w:pPr>
          </w:p>
        </w:tc>
        <w:tc>
          <w:tcPr>
            <w:tcW w:w="5" w:type="pct"/>
            <w:shd w:val="clear" w:color="auto" w:fill="auto"/>
            <w:vAlign w:val="bottom"/>
          </w:tcPr>
          <w:p w14:paraId="74DD9E14" w14:textId="77777777" w:rsidR="00584EC1" w:rsidRDefault="00584EC1">
            <w:pPr>
              <w:rPr>
                <w:rFonts w:ascii="宋体"/>
              </w:rPr>
            </w:pPr>
          </w:p>
        </w:tc>
        <w:tc>
          <w:tcPr>
            <w:tcW w:w="26" w:type="pct"/>
            <w:shd w:val="clear" w:color="auto" w:fill="auto"/>
            <w:vAlign w:val="bottom"/>
          </w:tcPr>
          <w:p w14:paraId="74DD9E15" w14:textId="77777777" w:rsidR="00584EC1" w:rsidRDefault="00584EC1">
            <w:pPr>
              <w:rPr>
                <w:rFonts w:ascii="宋体"/>
              </w:rPr>
            </w:pPr>
          </w:p>
        </w:tc>
        <w:tc>
          <w:tcPr>
            <w:tcW w:w="5" w:type="pct"/>
            <w:shd w:val="clear" w:color="auto" w:fill="auto"/>
            <w:vAlign w:val="bottom"/>
          </w:tcPr>
          <w:p w14:paraId="74DD9E16" w14:textId="77777777" w:rsidR="00584EC1" w:rsidRDefault="00584EC1">
            <w:pPr>
              <w:rPr>
                <w:rFonts w:ascii="宋体"/>
              </w:rPr>
            </w:pPr>
          </w:p>
        </w:tc>
        <w:tc>
          <w:tcPr>
            <w:tcW w:w="50" w:type="pct"/>
            <w:shd w:val="clear" w:color="auto" w:fill="auto"/>
            <w:vAlign w:val="bottom"/>
          </w:tcPr>
          <w:p w14:paraId="74DD9E17" w14:textId="77777777" w:rsidR="00584EC1" w:rsidRDefault="00584EC1">
            <w:pPr>
              <w:rPr>
                <w:rFonts w:ascii="宋体"/>
              </w:rPr>
            </w:pPr>
          </w:p>
        </w:tc>
        <w:tc>
          <w:tcPr>
            <w:tcW w:w="597" w:type="pct"/>
            <w:shd w:val="clear" w:color="auto" w:fill="auto"/>
            <w:vAlign w:val="bottom"/>
          </w:tcPr>
          <w:p w14:paraId="74DD9E18" w14:textId="77777777" w:rsidR="00584EC1" w:rsidRDefault="00584EC1">
            <w:pPr>
              <w:rPr>
                <w:rFonts w:ascii="宋体"/>
              </w:rPr>
            </w:pPr>
          </w:p>
        </w:tc>
        <w:tc>
          <w:tcPr>
            <w:tcW w:w="5" w:type="pct"/>
            <w:shd w:val="clear" w:color="auto" w:fill="auto"/>
            <w:vAlign w:val="bottom"/>
          </w:tcPr>
          <w:p w14:paraId="74DD9E19" w14:textId="77777777" w:rsidR="00584EC1" w:rsidRDefault="00584EC1">
            <w:pPr>
              <w:rPr>
                <w:rFonts w:ascii="宋体"/>
              </w:rPr>
            </w:pPr>
          </w:p>
        </w:tc>
        <w:tc>
          <w:tcPr>
            <w:tcW w:w="5" w:type="pct"/>
            <w:shd w:val="clear" w:color="auto" w:fill="auto"/>
            <w:vAlign w:val="bottom"/>
          </w:tcPr>
          <w:p w14:paraId="74DD9E1A" w14:textId="77777777" w:rsidR="00584EC1" w:rsidRDefault="00584EC1">
            <w:pPr>
              <w:rPr>
                <w:rFonts w:ascii="宋体"/>
              </w:rPr>
            </w:pPr>
          </w:p>
        </w:tc>
        <w:tc>
          <w:tcPr>
            <w:tcW w:w="19" w:type="pct"/>
            <w:shd w:val="clear" w:color="auto" w:fill="auto"/>
            <w:vAlign w:val="bottom"/>
          </w:tcPr>
          <w:p w14:paraId="74DD9E1B" w14:textId="77777777" w:rsidR="00584EC1" w:rsidRDefault="00584EC1">
            <w:pPr>
              <w:rPr>
                <w:rFonts w:ascii="宋体"/>
              </w:rPr>
            </w:pPr>
          </w:p>
        </w:tc>
        <w:tc>
          <w:tcPr>
            <w:tcW w:w="5" w:type="pct"/>
            <w:shd w:val="clear" w:color="auto" w:fill="auto"/>
            <w:vAlign w:val="bottom"/>
          </w:tcPr>
          <w:p w14:paraId="74DD9E1C" w14:textId="77777777" w:rsidR="00584EC1" w:rsidRDefault="00584EC1">
            <w:pPr>
              <w:rPr>
                <w:rFonts w:ascii="宋体"/>
              </w:rPr>
            </w:pPr>
          </w:p>
        </w:tc>
        <w:tc>
          <w:tcPr>
            <w:tcW w:w="50" w:type="pct"/>
            <w:shd w:val="clear" w:color="auto" w:fill="auto"/>
            <w:vAlign w:val="bottom"/>
          </w:tcPr>
          <w:p w14:paraId="74DD9E1D" w14:textId="77777777" w:rsidR="00584EC1" w:rsidRDefault="00584EC1">
            <w:pPr>
              <w:rPr>
                <w:rFonts w:ascii="宋体"/>
              </w:rPr>
            </w:pPr>
          </w:p>
        </w:tc>
        <w:tc>
          <w:tcPr>
            <w:tcW w:w="626" w:type="pct"/>
            <w:shd w:val="clear" w:color="auto" w:fill="auto"/>
            <w:vAlign w:val="bottom"/>
          </w:tcPr>
          <w:p w14:paraId="74DD9E1E" w14:textId="77777777" w:rsidR="00584EC1" w:rsidRDefault="00584EC1">
            <w:pPr>
              <w:rPr>
                <w:rFonts w:ascii="宋体"/>
              </w:rPr>
            </w:pPr>
          </w:p>
        </w:tc>
        <w:tc>
          <w:tcPr>
            <w:tcW w:w="5" w:type="pct"/>
            <w:shd w:val="clear" w:color="auto" w:fill="auto"/>
            <w:vAlign w:val="bottom"/>
          </w:tcPr>
          <w:p w14:paraId="74DD9E1F" w14:textId="77777777" w:rsidR="00584EC1" w:rsidRDefault="00584EC1">
            <w:pPr>
              <w:rPr>
                <w:rFonts w:ascii="宋体"/>
              </w:rPr>
            </w:pPr>
          </w:p>
        </w:tc>
        <w:tc>
          <w:tcPr>
            <w:tcW w:w="5" w:type="pct"/>
            <w:shd w:val="clear" w:color="auto" w:fill="auto"/>
            <w:vAlign w:val="bottom"/>
          </w:tcPr>
          <w:p w14:paraId="74DD9E20" w14:textId="77777777" w:rsidR="00584EC1" w:rsidRDefault="00584EC1">
            <w:pPr>
              <w:rPr>
                <w:rFonts w:ascii="宋体"/>
              </w:rPr>
            </w:pPr>
          </w:p>
        </w:tc>
        <w:tc>
          <w:tcPr>
            <w:tcW w:w="26" w:type="pct"/>
            <w:shd w:val="clear" w:color="auto" w:fill="auto"/>
            <w:vAlign w:val="bottom"/>
          </w:tcPr>
          <w:p w14:paraId="74DD9E21" w14:textId="77777777" w:rsidR="00584EC1" w:rsidRDefault="00584EC1">
            <w:pPr>
              <w:rPr>
                <w:rFonts w:ascii="宋体"/>
              </w:rPr>
            </w:pPr>
          </w:p>
        </w:tc>
        <w:tc>
          <w:tcPr>
            <w:tcW w:w="5" w:type="pct"/>
            <w:shd w:val="clear" w:color="auto" w:fill="auto"/>
            <w:vAlign w:val="bottom"/>
          </w:tcPr>
          <w:p w14:paraId="74DD9E22" w14:textId="77777777" w:rsidR="00584EC1" w:rsidRDefault="00584EC1">
            <w:pPr>
              <w:rPr>
                <w:rFonts w:ascii="宋体"/>
              </w:rPr>
            </w:pPr>
          </w:p>
        </w:tc>
        <w:tc>
          <w:tcPr>
            <w:tcW w:w="50" w:type="pct"/>
            <w:shd w:val="clear" w:color="auto" w:fill="auto"/>
            <w:vAlign w:val="bottom"/>
          </w:tcPr>
          <w:p w14:paraId="74DD9E23" w14:textId="77777777" w:rsidR="00584EC1" w:rsidRDefault="00584EC1">
            <w:pPr>
              <w:rPr>
                <w:rFonts w:ascii="宋体"/>
              </w:rPr>
            </w:pPr>
          </w:p>
        </w:tc>
        <w:tc>
          <w:tcPr>
            <w:tcW w:w="597" w:type="pct"/>
            <w:shd w:val="clear" w:color="auto" w:fill="auto"/>
            <w:vAlign w:val="bottom"/>
          </w:tcPr>
          <w:p w14:paraId="74DD9E24" w14:textId="77777777" w:rsidR="00584EC1" w:rsidRDefault="00584EC1">
            <w:pPr>
              <w:rPr>
                <w:rFonts w:ascii="宋体"/>
              </w:rPr>
            </w:pPr>
          </w:p>
        </w:tc>
        <w:tc>
          <w:tcPr>
            <w:tcW w:w="5" w:type="pct"/>
            <w:shd w:val="clear" w:color="auto" w:fill="auto"/>
            <w:vAlign w:val="bottom"/>
          </w:tcPr>
          <w:p w14:paraId="74DD9E25" w14:textId="77777777" w:rsidR="00584EC1" w:rsidRDefault="00584EC1">
            <w:pPr>
              <w:rPr>
                <w:rFonts w:ascii="宋体"/>
              </w:rPr>
            </w:pPr>
          </w:p>
        </w:tc>
      </w:tr>
      <w:tr w:rsidR="00584EC1" w14:paraId="74DD9E28" w14:textId="77777777">
        <w:tc>
          <w:tcPr>
            <w:tcW w:w="0" w:type="auto"/>
            <w:gridSpan w:val="24"/>
            <w:shd w:val="clear" w:color="auto" w:fill="auto"/>
            <w:tcMar>
              <w:top w:w="40" w:type="dxa"/>
              <w:left w:w="20" w:type="dxa"/>
              <w:bottom w:w="40" w:type="dxa"/>
              <w:right w:w="20" w:type="dxa"/>
            </w:tcMar>
            <w:vAlign w:val="bottom"/>
          </w:tcPr>
          <w:p w14:paraId="74DD9E27" w14:textId="77777777" w:rsidR="00584EC1" w:rsidRDefault="00871F8D">
            <w:pPr>
              <w:textAlignment w:val="bottom"/>
            </w:pPr>
            <w:r>
              <w:rPr>
                <w:rFonts w:ascii="Arial" w:eastAsia="宋体" w:hAnsi="Arial" w:cs="Arial"/>
                <w:b/>
                <w:bCs/>
                <w:color w:val="000000"/>
                <w:sz w:val="16"/>
                <w:szCs w:val="16"/>
              </w:rPr>
              <w:t>TABLE 37: ADVANCED &amp; STANDARDIZED APPROACHES RISK-WEIGHTED ASSETS ROLL-FORWARD</w:t>
            </w:r>
          </w:p>
        </w:tc>
      </w:tr>
      <w:tr w:rsidR="00584EC1" w14:paraId="74DD9E35" w14:textId="77777777">
        <w:trPr>
          <w:hidden/>
        </w:trPr>
        <w:tc>
          <w:tcPr>
            <w:tcW w:w="0" w:type="auto"/>
            <w:gridSpan w:val="3"/>
            <w:shd w:val="clear" w:color="auto" w:fill="auto"/>
            <w:vAlign w:val="bottom"/>
          </w:tcPr>
          <w:p w14:paraId="74DD9E29" w14:textId="77777777" w:rsidR="00584EC1" w:rsidRDefault="00584EC1">
            <w:pPr>
              <w:rPr>
                <w:rFonts w:ascii="宋体"/>
                <w:vanish/>
              </w:rPr>
            </w:pPr>
          </w:p>
        </w:tc>
        <w:tc>
          <w:tcPr>
            <w:tcW w:w="0" w:type="auto"/>
            <w:gridSpan w:val="3"/>
            <w:shd w:val="clear" w:color="auto" w:fill="auto"/>
            <w:vAlign w:val="bottom"/>
          </w:tcPr>
          <w:p w14:paraId="74DD9E2A" w14:textId="77777777" w:rsidR="00584EC1" w:rsidRDefault="00584EC1">
            <w:pPr>
              <w:rPr>
                <w:rFonts w:ascii="宋体"/>
                <w:vanish/>
              </w:rPr>
            </w:pPr>
          </w:p>
        </w:tc>
        <w:tc>
          <w:tcPr>
            <w:tcW w:w="0" w:type="auto"/>
            <w:gridSpan w:val="3"/>
            <w:shd w:val="clear" w:color="auto" w:fill="auto"/>
            <w:vAlign w:val="bottom"/>
          </w:tcPr>
          <w:p w14:paraId="74DD9E2B" w14:textId="77777777" w:rsidR="00584EC1" w:rsidRDefault="00584EC1">
            <w:pPr>
              <w:rPr>
                <w:rFonts w:ascii="宋体"/>
                <w:vanish/>
              </w:rPr>
            </w:pPr>
          </w:p>
        </w:tc>
        <w:tc>
          <w:tcPr>
            <w:tcW w:w="0" w:type="auto"/>
            <w:gridSpan w:val="3"/>
            <w:shd w:val="clear" w:color="auto" w:fill="auto"/>
            <w:vAlign w:val="bottom"/>
          </w:tcPr>
          <w:p w14:paraId="74DD9E2C" w14:textId="77777777" w:rsidR="00584EC1" w:rsidRDefault="00584EC1">
            <w:pPr>
              <w:rPr>
                <w:rFonts w:ascii="宋体"/>
                <w:vanish/>
              </w:rPr>
            </w:pPr>
          </w:p>
        </w:tc>
        <w:tc>
          <w:tcPr>
            <w:tcW w:w="0" w:type="auto"/>
            <w:gridSpan w:val="3"/>
            <w:shd w:val="clear" w:color="auto" w:fill="auto"/>
            <w:vAlign w:val="bottom"/>
          </w:tcPr>
          <w:p w14:paraId="74DD9E2D" w14:textId="77777777" w:rsidR="00584EC1" w:rsidRDefault="00584EC1">
            <w:pPr>
              <w:rPr>
                <w:rFonts w:ascii="宋体"/>
                <w:vanish/>
              </w:rPr>
            </w:pPr>
          </w:p>
        </w:tc>
        <w:tc>
          <w:tcPr>
            <w:tcW w:w="0" w:type="auto"/>
            <w:gridSpan w:val="3"/>
            <w:shd w:val="clear" w:color="auto" w:fill="auto"/>
            <w:vAlign w:val="bottom"/>
          </w:tcPr>
          <w:p w14:paraId="74DD9E2E" w14:textId="77777777" w:rsidR="00584EC1" w:rsidRDefault="00584EC1">
            <w:pPr>
              <w:rPr>
                <w:rFonts w:ascii="宋体"/>
                <w:vanish/>
              </w:rPr>
            </w:pPr>
          </w:p>
        </w:tc>
        <w:tc>
          <w:tcPr>
            <w:tcW w:w="0" w:type="auto"/>
            <w:shd w:val="clear" w:color="auto" w:fill="auto"/>
            <w:vAlign w:val="bottom"/>
          </w:tcPr>
          <w:p w14:paraId="74DD9E2F" w14:textId="77777777" w:rsidR="00584EC1" w:rsidRDefault="00584EC1">
            <w:pPr>
              <w:rPr>
                <w:rFonts w:ascii="宋体"/>
              </w:rPr>
            </w:pPr>
          </w:p>
        </w:tc>
        <w:tc>
          <w:tcPr>
            <w:tcW w:w="0" w:type="auto"/>
            <w:shd w:val="clear" w:color="auto" w:fill="auto"/>
            <w:vAlign w:val="bottom"/>
          </w:tcPr>
          <w:p w14:paraId="74DD9E30" w14:textId="77777777" w:rsidR="00584EC1" w:rsidRDefault="00584EC1">
            <w:pPr>
              <w:rPr>
                <w:rFonts w:ascii="宋体"/>
              </w:rPr>
            </w:pPr>
          </w:p>
        </w:tc>
        <w:tc>
          <w:tcPr>
            <w:tcW w:w="0" w:type="auto"/>
            <w:shd w:val="clear" w:color="auto" w:fill="auto"/>
            <w:vAlign w:val="bottom"/>
          </w:tcPr>
          <w:p w14:paraId="74DD9E31" w14:textId="77777777" w:rsidR="00584EC1" w:rsidRDefault="00584EC1">
            <w:pPr>
              <w:rPr>
                <w:rFonts w:ascii="宋体"/>
              </w:rPr>
            </w:pPr>
          </w:p>
        </w:tc>
        <w:tc>
          <w:tcPr>
            <w:tcW w:w="0" w:type="auto"/>
            <w:shd w:val="clear" w:color="auto" w:fill="auto"/>
            <w:vAlign w:val="bottom"/>
          </w:tcPr>
          <w:p w14:paraId="74DD9E32" w14:textId="77777777" w:rsidR="00584EC1" w:rsidRDefault="00584EC1">
            <w:pPr>
              <w:rPr>
                <w:rFonts w:ascii="宋体"/>
              </w:rPr>
            </w:pPr>
          </w:p>
        </w:tc>
        <w:tc>
          <w:tcPr>
            <w:tcW w:w="0" w:type="auto"/>
            <w:shd w:val="clear" w:color="auto" w:fill="auto"/>
            <w:vAlign w:val="bottom"/>
          </w:tcPr>
          <w:p w14:paraId="74DD9E33" w14:textId="77777777" w:rsidR="00584EC1" w:rsidRDefault="00584EC1">
            <w:pPr>
              <w:rPr>
                <w:rFonts w:ascii="宋体"/>
              </w:rPr>
            </w:pPr>
          </w:p>
        </w:tc>
        <w:tc>
          <w:tcPr>
            <w:tcW w:w="0" w:type="auto"/>
            <w:shd w:val="clear" w:color="auto" w:fill="auto"/>
            <w:vAlign w:val="bottom"/>
          </w:tcPr>
          <w:p w14:paraId="74DD9E34" w14:textId="77777777" w:rsidR="00584EC1" w:rsidRDefault="00584EC1">
            <w:pPr>
              <w:rPr>
                <w:rFonts w:ascii="宋体"/>
              </w:rPr>
            </w:pPr>
          </w:p>
        </w:tc>
      </w:tr>
      <w:tr w:rsidR="00584EC1" w14:paraId="74DD9E3E" w14:textId="77777777">
        <w:tc>
          <w:tcPr>
            <w:tcW w:w="0" w:type="auto"/>
            <w:gridSpan w:val="3"/>
            <w:shd w:val="clear" w:color="auto" w:fill="FFFFFF"/>
            <w:tcMar>
              <w:top w:w="40" w:type="dxa"/>
              <w:left w:w="20" w:type="dxa"/>
              <w:bottom w:w="40" w:type="dxa"/>
              <w:right w:w="20" w:type="dxa"/>
            </w:tcMar>
            <w:vAlign w:val="bottom"/>
          </w:tcPr>
          <w:p w14:paraId="74DD9E36" w14:textId="77777777" w:rsidR="00584EC1" w:rsidRDefault="00871F8D">
            <w:pPr>
              <w:textAlignment w:val="bottom"/>
            </w:pPr>
            <w:r>
              <w:rPr>
                <w:rFonts w:ascii="Arial" w:eastAsia="宋体" w:hAnsi="Arial" w:cs="Arial"/>
                <w:b/>
                <w:bCs/>
                <w:color w:val="000000"/>
                <w:sz w:val="14"/>
                <w:szCs w:val="14"/>
              </w:rPr>
              <w:t>(In millions)</w:t>
            </w:r>
          </w:p>
        </w:tc>
        <w:tc>
          <w:tcPr>
            <w:tcW w:w="0" w:type="auto"/>
            <w:gridSpan w:val="3"/>
            <w:shd w:val="clear" w:color="auto" w:fill="FFFFFF"/>
            <w:tcMar>
              <w:top w:w="40" w:type="dxa"/>
              <w:left w:w="20" w:type="dxa"/>
              <w:bottom w:w="40" w:type="dxa"/>
              <w:right w:w="20" w:type="dxa"/>
            </w:tcMar>
            <w:vAlign w:val="bottom"/>
          </w:tcPr>
          <w:p w14:paraId="74DD9E37" w14:textId="77777777" w:rsidR="00584EC1" w:rsidRDefault="00871F8D">
            <w:pPr>
              <w:jc w:val="center"/>
              <w:textAlignment w:val="bottom"/>
            </w:pPr>
            <w:r>
              <w:rPr>
                <w:rFonts w:ascii="Arial" w:eastAsia="宋体" w:hAnsi="Arial" w:cs="Arial"/>
                <w:b/>
                <w:bCs/>
                <w:color w:val="000000"/>
                <w:sz w:val="14"/>
                <w:szCs w:val="14"/>
              </w:rPr>
              <w:t>Basel III Advanced Approaches September 30, 2021</w:t>
            </w:r>
          </w:p>
        </w:tc>
        <w:tc>
          <w:tcPr>
            <w:tcW w:w="0" w:type="auto"/>
            <w:gridSpan w:val="3"/>
            <w:shd w:val="clear" w:color="auto" w:fill="FFFFFF"/>
            <w:tcMar>
              <w:top w:w="0" w:type="dxa"/>
              <w:left w:w="20" w:type="dxa"/>
              <w:bottom w:w="0" w:type="dxa"/>
              <w:right w:w="20" w:type="dxa"/>
            </w:tcMar>
            <w:vAlign w:val="bottom"/>
          </w:tcPr>
          <w:p w14:paraId="74DD9E38" w14:textId="77777777" w:rsidR="00584EC1" w:rsidRDefault="00584EC1">
            <w:pPr>
              <w:rPr>
                <w:rFonts w:ascii="宋体"/>
              </w:rPr>
            </w:pPr>
          </w:p>
        </w:tc>
        <w:tc>
          <w:tcPr>
            <w:tcW w:w="0" w:type="auto"/>
            <w:gridSpan w:val="3"/>
            <w:shd w:val="clear" w:color="auto" w:fill="FFFFFF"/>
            <w:tcMar>
              <w:top w:w="40" w:type="dxa"/>
              <w:left w:w="20" w:type="dxa"/>
              <w:bottom w:w="40" w:type="dxa"/>
              <w:right w:w="20" w:type="dxa"/>
            </w:tcMar>
            <w:vAlign w:val="bottom"/>
          </w:tcPr>
          <w:p w14:paraId="74DD9E39" w14:textId="77777777" w:rsidR="00584EC1" w:rsidRDefault="00871F8D">
            <w:pPr>
              <w:jc w:val="center"/>
              <w:textAlignment w:val="bottom"/>
            </w:pPr>
            <w:r>
              <w:rPr>
                <w:rFonts w:ascii="Arial" w:eastAsia="宋体" w:hAnsi="Arial" w:cs="Arial"/>
                <w:b/>
                <w:bCs/>
                <w:color w:val="000000"/>
                <w:sz w:val="14"/>
                <w:szCs w:val="14"/>
              </w:rPr>
              <w:t>Basel III Advanced Approaches December 31, 2020</w:t>
            </w:r>
          </w:p>
        </w:tc>
        <w:tc>
          <w:tcPr>
            <w:tcW w:w="0" w:type="auto"/>
            <w:gridSpan w:val="3"/>
            <w:shd w:val="clear" w:color="auto" w:fill="FFFFFF"/>
            <w:tcMar>
              <w:top w:w="0" w:type="dxa"/>
              <w:left w:w="20" w:type="dxa"/>
              <w:bottom w:w="0" w:type="dxa"/>
              <w:right w:w="20" w:type="dxa"/>
            </w:tcMar>
            <w:vAlign w:val="bottom"/>
          </w:tcPr>
          <w:p w14:paraId="74DD9E3A" w14:textId="77777777" w:rsidR="00584EC1" w:rsidRDefault="00584EC1">
            <w:pPr>
              <w:rPr>
                <w:rFonts w:ascii="宋体"/>
              </w:rPr>
            </w:pPr>
          </w:p>
        </w:tc>
        <w:tc>
          <w:tcPr>
            <w:tcW w:w="0" w:type="auto"/>
            <w:gridSpan w:val="3"/>
            <w:shd w:val="clear" w:color="auto" w:fill="FFFFFF"/>
            <w:tcMar>
              <w:top w:w="40" w:type="dxa"/>
              <w:left w:w="20" w:type="dxa"/>
              <w:bottom w:w="40" w:type="dxa"/>
              <w:right w:w="20" w:type="dxa"/>
            </w:tcMar>
            <w:vAlign w:val="bottom"/>
          </w:tcPr>
          <w:p w14:paraId="74DD9E3B" w14:textId="77777777" w:rsidR="00584EC1" w:rsidRDefault="00871F8D">
            <w:pPr>
              <w:jc w:val="center"/>
              <w:textAlignment w:val="bottom"/>
            </w:pPr>
            <w:r>
              <w:rPr>
                <w:rFonts w:ascii="Arial" w:eastAsia="宋体" w:hAnsi="Arial" w:cs="Arial"/>
                <w:b/>
                <w:bCs/>
                <w:color w:val="000000"/>
                <w:sz w:val="14"/>
                <w:szCs w:val="14"/>
              </w:rPr>
              <w:t xml:space="preserve">Basel III </w:t>
            </w:r>
            <w:r>
              <w:rPr>
                <w:rFonts w:ascii="Arial" w:eastAsia="宋体" w:hAnsi="Arial" w:cs="Arial"/>
                <w:b/>
                <w:bCs/>
                <w:color w:val="000000"/>
                <w:sz w:val="14"/>
                <w:szCs w:val="14"/>
              </w:rPr>
              <w:t>Standardized Approach September 30, 2021</w:t>
            </w:r>
          </w:p>
        </w:tc>
        <w:tc>
          <w:tcPr>
            <w:tcW w:w="0" w:type="auto"/>
            <w:gridSpan w:val="3"/>
            <w:shd w:val="clear" w:color="auto" w:fill="FFFFFF"/>
            <w:tcMar>
              <w:top w:w="0" w:type="dxa"/>
              <w:left w:w="20" w:type="dxa"/>
              <w:bottom w:w="0" w:type="dxa"/>
              <w:right w:w="20" w:type="dxa"/>
            </w:tcMar>
            <w:vAlign w:val="bottom"/>
          </w:tcPr>
          <w:p w14:paraId="74DD9E3C" w14:textId="77777777" w:rsidR="00584EC1" w:rsidRDefault="00584EC1">
            <w:pPr>
              <w:rPr>
                <w:rFonts w:ascii="宋体"/>
              </w:rPr>
            </w:pPr>
          </w:p>
        </w:tc>
        <w:tc>
          <w:tcPr>
            <w:tcW w:w="0" w:type="auto"/>
            <w:gridSpan w:val="3"/>
            <w:shd w:val="clear" w:color="auto" w:fill="FFFFFF"/>
            <w:tcMar>
              <w:top w:w="40" w:type="dxa"/>
              <w:left w:w="20" w:type="dxa"/>
              <w:bottom w:w="40" w:type="dxa"/>
              <w:right w:w="20" w:type="dxa"/>
            </w:tcMar>
            <w:vAlign w:val="bottom"/>
          </w:tcPr>
          <w:p w14:paraId="74DD9E3D" w14:textId="77777777" w:rsidR="00584EC1" w:rsidRDefault="00871F8D">
            <w:pPr>
              <w:jc w:val="center"/>
              <w:textAlignment w:val="bottom"/>
            </w:pPr>
            <w:r>
              <w:rPr>
                <w:rFonts w:ascii="Arial" w:eastAsia="宋体" w:hAnsi="Arial" w:cs="Arial"/>
                <w:b/>
                <w:bCs/>
                <w:color w:val="000000"/>
                <w:sz w:val="14"/>
                <w:szCs w:val="14"/>
              </w:rPr>
              <w:t>Basel III Standardized Approach December 31, 2020</w:t>
            </w:r>
          </w:p>
        </w:tc>
      </w:tr>
      <w:tr w:rsidR="00584EC1" w14:paraId="74DD9E4F" w14:textId="77777777">
        <w:tc>
          <w:tcPr>
            <w:tcW w:w="0" w:type="auto"/>
            <w:gridSpan w:val="3"/>
            <w:shd w:val="clear" w:color="auto" w:fill="CCEEFF"/>
            <w:tcMar>
              <w:top w:w="40" w:type="dxa"/>
              <w:left w:w="20" w:type="dxa"/>
              <w:bottom w:w="40" w:type="dxa"/>
              <w:right w:w="20" w:type="dxa"/>
            </w:tcMar>
            <w:vAlign w:val="bottom"/>
          </w:tcPr>
          <w:p w14:paraId="74DD9E3F" w14:textId="77777777" w:rsidR="00584EC1" w:rsidRDefault="00871F8D">
            <w:pPr>
              <w:textAlignment w:val="bottom"/>
            </w:pPr>
            <w:r>
              <w:rPr>
                <w:rFonts w:ascii="Arial" w:eastAsia="宋体" w:hAnsi="Arial" w:cs="Arial"/>
                <w:color w:val="000000"/>
                <w:sz w:val="14"/>
                <w:szCs w:val="14"/>
              </w:rPr>
              <w:t>Total risk-weighted assets, beginning of period</w:t>
            </w:r>
          </w:p>
        </w:tc>
        <w:tc>
          <w:tcPr>
            <w:tcW w:w="0" w:type="auto"/>
            <w:tcBorders>
              <w:top w:val="single" w:sz="8" w:space="0" w:color="000000"/>
            </w:tcBorders>
            <w:shd w:val="clear" w:color="auto" w:fill="CCEEFF"/>
            <w:tcMar>
              <w:top w:w="40" w:type="dxa"/>
              <w:left w:w="20" w:type="dxa"/>
              <w:bottom w:w="40" w:type="dxa"/>
              <w:right w:w="0" w:type="dxa"/>
            </w:tcMar>
            <w:vAlign w:val="bottom"/>
          </w:tcPr>
          <w:p w14:paraId="74DD9E40"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9E41" w14:textId="77777777" w:rsidR="00584EC1" w:rsidRDefault="00871F8D">
            <w:pPr>
              <w:jc w:val="right"/>
              <w:textAlignment w:val="bottom"/>
            </w:pPr>
            <w:r>
              <w:rPr>
                <w:rFonts w:ascii="Arial" w:eastAsia="宋体" w:hAnsi="Arial" w:cs="Arial"/>
                <w:b/>
                <w:bCs/>
                <w:color w:val="000000"/>
                <w:sz w:val="14"/>
                <w:szCs w:val="14"/>
              </w:rPr>
              <w:t>109,705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E4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E43"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9E44"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9E45" w14:textId="77777777" w:rsidR="00584EC1" w:rsidRDefault="00871F8D">
            <w:pPr>
              <w:jc w:val="right"/>
              <w:textAlignment w:val="bottom"/>
            </w:pPr>
            <w:r>
              <w:rPr>
                <w:rFonts w:ascii="Arial" w:eastAsia="宋体" w:hAnsi="Arial" w:cs="Arial"/>
                <w:color w:val="000000"/>
                <w:sz w:val="14"/>
                <w:szCs w:val="14"/>
              </w:rPr>
              <w:t>104,364 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E4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E47"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9E48"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9E49" w14:textId="77777777" w:rsidR="00584EC1" w:rsidRDefault="00871F8D">
            <w:pPr>
              <w:jc w:val="right"/>
              <w:textAlignment w:val="bottom"/>
            </w:pPr>
            <w:r>
              <w:rPr>
                <w:rFonts w:ascii="Arial" w:eastAsia="宋体" w:hAnsi="Arial" w:cs="Arial"/>
                <w:b/>
                <w:bCs/>
                <w:color w:val="000000"/>
                <w:sz w:val="14"/>
                <w:szCs w:val="14"/>
              </w:rPr>
              <w:t>117,080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E4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E4B"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9E4C"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9E4D" w14:textId="77777777" w:rsidR="00584EC1" w:rsidRDefault="00871F8D">
            <w:pPr>
              <w:jc w:val="right"/>
              <w:textAlignment w:val="bottom"/>
            </w:pPr>
            <w:r>
              <w:rPr>
                <w:rFonts w:ascii="Arial" w:eastAsia="宋体" w:hAnsi="Arial" w:cs="Arial"/>
                <w:color w:val="000000"/>
                <w:sz w:val="14"/>
                <w:szCs w:val="14"/>
              </w:rPr>
              <w:t>104,005 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E4E" w14:textId="77777777" w:rsidR="00584EC1" w:rsidRDefault="00584EC1">
            <w:pPr>
              <w:jc w:val="right"/>
              <w:rPr>
                <w:rFonts w:ascii="宋体"/>
              </w:rPr>
            </w:pPr>
          </w:p>
        </w:tc>
      </w:tr>
      <w:tr w:rsidR="00584EC1" w14:paraId="74DD9E58" w14:textId="77777777">
        <w:tc>
          <w:tcPr>
            <w:tcW w:w="0" w:type="auto"/>
            <w:gridSpan w:val="3"/>
            <w:shd w:val="clear" w:color="auto" w:fill="FFFFFF"/>
            <w:tcMar>
              <w:top w:w="40" w:type="dxa"/>
              <w:left w:w="20" w:type="dxa"/>
              <w:bottom w:w="40" w:type="dxa"/>
              <w:right w:w="20" w:type="dxa"/>
            </w:tcMar>
            <w:vAlign w:val="bottom"/>
          </w:tcPr>
          <w:p w14:paraId="74DD9E50" w14:textId="77777777" w:rsidR="00584EC1" w:rsidRDefault="00871F8D">
            <w:pPr>
              <w:textAlignment w:val="bottom"/>
            </w:pPr>
            <w:r>
              <w:rPr>
                <w:rFonts w:ascii="Arial" w:eastAsia="宋体" w:hAnsi="Arial" w:cs="Arial"/>
                <w:color w:val="000000"/>
                <w:sz w:val="14"/>
                <w:szCs w:val="14"/>
              </w:rPr>
              <w:t>Changes in credit risk-weighted assets:</w:t>
            </w:r>
          </w:p>
        </w:tc>
        <w:tc>
          <w:tcPr>
            <w:tcW w:w="0" w:type="auto"/>
            <w:gridSpan w:val="3"/>
            <w:shd w:val="clear" w:color="auto" w:fill="FFFFFF"/>
            <w:tcMar>
              <w:top w:w="0" w:type="dxa"/>
              <w:left w:w="20" w:type="dxa"/>
              <w:bottom w:w="0" w:type="dxa"/>
              <w:right w:w="20" w:type="dxa"/>
            </w:tcMar>
            <w:vAlign w:val="bottom"/>
          </w:tcPr>
          <w:p w14:paraId="74DD9E51"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9E5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9E53"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9E54"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9E55"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9E56"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9E57" w14:textId="77777777" w:rsidR="00584EC1" w:rsidRDefault="00584EC1">
            <w:pPr>
              <w:rPr>
                <w:rFonts w:ascii="宋体"/>
              </w:rPr>
            </w:pPr>
          </w:p>
        </w:tc>
      </w:tr>
      <w:tr w:rsidR="00584EC1" w14:paraId="74DD9E65" w14:textId="77777777">
        <w:tc>
          <w:tcPr>
            <w:tcW w:w="0" w:type="auto"/>
            <w:gridSpan w:val="3"/>
            <w:shd w:val="clear" w:color="auto" w:fill="CCEEFF"/>
            <w:tcMar>
              <w:top w:w="40" w:type="dxa"/>
              <w:left w:w="155" w:type="dxa"/>
              <w:bottom w:w="40" w:type="dxa"/>
              <w:right w:w="20" w:type="dxa"/>
            </w:tcMar>
            <w:vAlign w:val="bottom"/>
          </w:tcPr>
          <w:p w14:paraId="74DD9E59" w14:textId="77777777" w:rsidR="00584EC1" w:rsidRDefault="00871F8D">
            <w:pPr>
              <w:textAlignment w:val="bottom"/>
            </w:pPr>
            <w:r>
              <w:rPr>
                <w:rFonts w:ascii="Arial" w:eastAsia="宋体" w:hAnsi="Arial" w:cs="Arial"/>
                <w:color w:val="000000"/>
                <w:sz w:val="14"/>
                <w:szCs w:val="14"/>
              </w:rPr>
              <w:t>Net increase (decrease) in investment securities-wholesale</w:t>
            </w:r>
          </w:p>
        </w:tc>
        <w:tc>
          <w:tcPr>
            <w:tcW w:w="0" w:type="auto"/>
            <w:gridSpan w:val="2"/>
            <w:shd w:val="clear" w:color="auto" w:fill="CCEEFF"/>
            <w:tcMar>
              <w:top w:w="40" w:type="dxa"/>
              <w:left w:w="20" w:type="dxa"/>
              <w:bottom w:w="40" w:type="dxa"/>
              <w:right w:w="0" w:type="dxa"/>
            </w:tcMar>
            <w:vAlign w:val="bottom"/>
          </w:tcPr>
          <w:p w14:paraId="74DD9E5A" w14:textId="77777777" w:rsidR="00584EC1" w:rsidRDefault="00871F8D">
            <w:pPr>
              <w:jc w:val="right"/>
              <w:textAlignment w:val="bottom"/>
            </w:pPr>
            <w:r>
              <w:rPr>
                <w:rFonts w:ascii="Arial" w:eastAsia="宋体" w:hAnsi="Arial" w:cs="Arial"/>
                <w:b/>
                <w:bCs/>
                <w:color w:val="000000"/>
                <w:sz w:val="14"/>
                <w:szCs w:val="14"/>
              </w:rPr>
              <w:t>(1,072)</w:t>
            </w:r>
          </w:p>
        </w:tc>
        <w:tc>
          <w:tcPr>
            <w:tcW w:w="0" w:type="auto"/>
            <w:shd w:val="clear" w:color="auto" w:fill="CCEEFF"/>
            <w:tcMar>
              <w:top w:w="40" w:type="dxa"/>
              <w:left w:w="0" w:type="dxa"/>
              <w:bottom w:w="40" w:type="dxa"/>
              <w:right w:w="20" w:type="dxa"/>
            </w:tcMar>
            <w:vAlign w:val="bottom"/>
          </w:tcPr>
          <w:p w14:paraId="74DD9E5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E5C"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E5D" w14:textId="77777777" w:rsidR="00584EC1" w:rsidRDefault="00871F8D">
            <w:pPr>
              <w:jc w:val="right"/>
              <w:textAlignment w:val="bottom"/>
            </w:pPr>
            <w:r>
              <w:rPr>
                <w:rFonts w:ascii="Arial" w:eastAsia="宋体" w:hAnsi="Arial" w:cs="Arial"/>
                <w:color w:val="000000"/>
                <w:sz w:val="14"/>
                <w:szCs w:val="14"/>
              </w:rPr>
              <w:t>3,008 </w:t>
            </w:r>
          </w:p>
        </w:tc>
        <w:tc>
          <w:tcPr>
            <w:tcW w:w="0" w:type="auto"/>
            <w:shd w:val="clear" w:color="auto" w:fill="CCEEFF"/>
            <w:tcMar>
              <w:top w:w="40" w:type="dxa"/>
              <w:left w:w="0" w:type="dxa"/>
              <w:bottom w:w="40" w:type="dxa"/>
              <w:right w:w="20" w:type="dxa"/>
            </w:tcMar>
            <w:vAlign w:val="bottom"/>
          </w:tcPr>
          <w:p w14:paraId="74DD9E5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E5F"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E60" w14:textId="77777777" w:rsidR="00584EC1" w:rsidRDefault="00871F8D">
            <w:pPr>
              <w:jc w:val="right"/>
              <w:textAlignment w:val="bottom"/>
            </w:pPr>
            <w:r>
              <w:rPr>
                <w:rFonts w:ascii="Arial" w:eastAsia="宋体" w:hAnsi="Arial" w:cs="Arial"/>
                <w:b/>
                <w:bCs/>
                <w:color w:val="000000"/>
                <w:sz w:val="14"/>
                <w:szCs w:val="14"/>
              </w:rPr>
              <w:t>(776)</w:t>
            </w:r>
          </w:p>
        </w:tc>
        <w:tc>
          <w:tcPr>
            <w:tcW w:w="0" w:type="auto"/>
            <w:shd w:val="clear" w:color="auto" w:fill="CCEEFF"/>
            <w:tcMar>
              <w:top w:w="40" w:type="dxa"/>
              <w:left w:w="0" w:type="dxa"/>
              <w:bottom w:w="40" w:type="dxa"/>
              <w:right w:w="20" w:type="dxa"/>
            </w:tcMar>
            <w:vAlign w:val="bottom"/>
          </w:tcPr>
          <w:p w14:paraId="74DD9E6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E62"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E63" w14:textId="77777777" w:rsidR="00584EC1" w:rsidRDefault="00871F8D">
            <w:pPr>
              <w:jc w:val="right"/>
              <w:textAlignment w:val="bottom"/>
            </w:pPr>
            <w:r>
              <w:rPr>
                <w:rFonts w:ascii="Arial" w:eastAsia="宋体" w:hAnsi="Arial" w:cs="Arial"/>
                <w:color w:val="000000"/>
                <w:sz w:val="14"/>
                <w:szCs w:val="14"/>
              </w:rPr>
              <w:t>1,762 </w:t>
            </w:r>
          </w:p>
        </w:tc>
        <w:tc>
          <w:tcPr>
            <w:tcW w:w="0" w:type="auto"/>
            <w:shd w:val="clear" w:color="auto" w:fill="CCEEFF"/>
            <w:tcMar>
              <w:top w:w="40" w:type="dxa"/>
              <w:left w:w="0" w:type="dxa"/>
              <w:bottom w:w="40" w:type="dxa"/>
              <w:right w:w="20" w:type="dxa"/>
            </w:tcMar>
            <w:vAlign w:val="bottom"/>
          </w:tcPr>
          <w:p w14:paraId="74DD9E64" w14:textId="77777777" w:rsidR="00584EC1" w:rsidRDefault="00584EC1">
            <w:pPr>
              <w:jc w:val="right"/>
              <w:rPr>
                <w:rFonts w:ascii="宋体"/>
              </w:rPr>
            </w:pPr>
          </w:p>
        </w:tc>
      </w:tr>
      <w:tr w:rsidR="00584EC1" w14:paraId="74DD9E72" w14:textId="77777777">
        <w:tc>
          <w:tcPr>
            <w:tcW w:w="0" w:type="auto"/>
            <w:gridSpan w:val="3"/>
            <w:shd w:val="clear" w:color="auto" w:fill="FFFFFF"/>
            <w:tcMar>
              <w:top w:w="40" w:type="dxa"/>
              <w:left w:w="155" w:type="dxa"/>
              <w:bottom w:w="40" w:type="dxa"/>
              <w:right w:w="20" w:type="dxa"/>
            </w:tcMar>
            <w:vAlign w:val="bottom"/>
          </w:tcPr>
          <w:p w14:paraId="74DD9E66" w14:textId="77777777" w:rsidR="00584EC1" w:rsidRDefault="00871F8D">
            <w:pPr>
              <w:textAlignment w:val="bottom"/>
            </w:pPr>
            <w:r>
              <w:rPr>
                <w:rFonts w:ascii="Arial" w:eastAsia="宋体" w:hAnsi="Arial" w:cs="Arial"/>
                <w:color w:val="000000"/>
                <w:sz w:val="14"/>
                <w:szCs w:val="14"/>
              </w:rPr>
              <w:t>Net increase (decrease) in loans</w:t>
            </w:r>
          </w:p>
        </w:tc>
        <w:tc>
          <w:tcPr>
            <w:tcW w:w="0" w:type="auto"/>
            <w:gridSpan w:val="2"/>
            <w:shd w:val="clear" w:color="auto" w:fill="FFFFFF"/>
            <w:tcMar>
              <w:top w:w="40" w:type="dxa"/>
              <w:left w:w="20" w:type="dxa"/>
              <w:bottom w:w="40" w:type="dxa"/>
              <w:right w:w="0" w:type="dxa"/>
            </w:tcMar>
            <w:vAlign w:val="bottom"/>
          </w:tcPr>
          <w:p w14:paraId="74DD9E67" w14:textId="77777777" w:rsidR="00584EC1" w:rsidRDefault="00871F8D">
            <w:pPr>
              <w:jc w:val="right"/>
              <w:textAlignment w:val="bottom"/>
            </w:pPr>
            <w:r>
              <w:rPr>
                <w:rFonts w:ascii="Arial" w:eastAsia="宋体" w:hAnsi="Arial" w:cs="Arial"/>
                <w:b/>
                <w:bCs/>
                <w:color w:val="000000"/>
                <w:sz w:val="14"/>
                <w:szCs w:val="14"/>
              </w:rPr>
              <w:t>2,131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9E6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E6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E6A" w14:textId="77777777" w:rsidR="00584EC1" w:rsidRDefault="00871F8D">
            <w:pPr>
              <w:jc w:val="right"/>
              <w:textAlignment w:val="bottom"/>
            </w:pPr>
            <w:r>
              <w:rPr>
                <w:rFonts w:ascii="Arial" w:eastAsia="宋体" w:hAnsi="Arial" w:cs="Arial"/>
                <w:color w:val="000000"/>
                <w:sz w:val="14"/>
                <w:szCs w:val="14"/>
              </w:rPr>
              <w:t>2,973 </w:t>
            </w:r>
          </w:p>
        </w:tc>
        <w:tc>
          <w:tcPr>
            <w:tcW w:w="0" w:type="auto"/>
            <w:shd w:val="clear" w:color="auto" w:fill="FFFFFF"/>
            <w:tcMar>
              <w:top w:w="40" w:type="dxa"/>
              <w:left w:w="0" w:type="dxa"/>
              <w:bottom w:w="40" w:type="dxa"/>
              <w:right w:w="20" w:type="dxa"/>
            </w:tcMar>
            <w:vAlign w:val="bottom"/>
          </w:tcPr>
          <w:p w14:paraId="74DD9E6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E6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E6D" w14:textId="77777777" w:rsidR="00584EC1" w:rsidRDefault="00871F8D">
            <w:pPr>
              <w:jc w:val="right"/>
              <w:textAlignment w:val="bottom"/>
            </w:pPr>
            <w:r>
              <w:rPr>
                <w:rFonts w:ascii="Arial" w:eastAsia="宋体" w:hAnsi="Arial" w:cs="Arial"/>
                <w:b/>
                <w:bCs/>
                <w:color w:val="000000"/>
                <w:sz w:val="14"/>
                <w:szCs w:val="14"/>
              </w:rPr>
              <w:t>2,822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9E6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E6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E70" w14:textId="77777777" w:rsidR="00584EC1" w:rsidRDefault="00871F8D">
            <w:pPr>
              <w:jc w:val="right"/>
              <w:textAlignment w:val="bottom"/>
            </w:pPr>
            <w:r>
              <w:rPr>
                <w:rFonts w:ascii="Arial" w:eastAsia="宋体" w:hAnsi="Arial" w:cs="Arial"/>
                <w:color w:val="000000"/>
                <w:sz w:val="14"/>
                <w:szCs w:val="14"/>
              </w:rPr>
              <w:t>3,638 </w:t>
            </w:r>
          </w:p>
        </w:tc>
        <w:tc>
          <w:tcPr>
            <w:tcW w:w="0" w:type="auto"/>
            <w:shd w:val="clear" w:color="auto" w:fill="FFFFFF"/>
            <w:tcMar>
              <w:top w:w="40" w:type="dxa"/>
              <w:left w:w="0" w:type="dxa"/>
              <w:bottom w:w="40" w:type="dxa"/>
              <w:right w:w="20" w:type="dxa"/>
            </w:tcMar>
            <w:vAlign w:val="bottom"/>
          </w:tcPr>
          <w:p w14:paraId="74DD9E71" w14:textId="77777777" w:rsidR="00584EC1" w:rsidRDefault="00584EC1">
            <w:pPr>
              <w:jc w:val="right"/>
              <w:rPr>
                <w:rFonts w:ascii="宋体"/>
              </w:rPr>
            </w:pPr>
          </w:p>
        </w:tc>
      </w:tr>
      <w:tr w:rsidR="00584EC1" w14:paraId="74DD9E7F" w14:textId="77777777">
        <w:tc>
          <w:tcPr>
            <w:tcW w:w="0" w:type="auto"/>
            <w:gridSpan w:val="3"/>
            <w:shd w:val="clear" w:color="auto" w:fill="CCEEFF"/>
            <w:tcMar>
              <w:top w:w="40" w:type="dxa"/>
              <w:left w:w="155" w:type="dxa"/>
              <w:bottom w:w="40" w:type="dxa"/>
              <w:right w:w="20" w:type="dxa"/>
            </w:tcMar>
            <w:vAlign w:val="bottom"/>
          </w:tcPr>
          <w:p w14:paraId="74DD9E73" w14:textId="77777777" w:rsidR="00584EC1" w:rsidRDefault="00871F8D">
            <w:pPr>
              <w:textAlignment w:val="bottom"/>
            </w:pPr>
            <w:r>
              <w:rPr>
                <w:rFonts w:ascii="Arial" w:eastAsia="宋体" w:hAnsi="Arial" w:cs="Arial"/>
                <w:color w:val="000000"/>
                <w:sz w:val="14"/>
                <w:szCs w:val="14"/>
              </w:rPr>
              <w:t>Net increase (decrease) in securitization exposures</w:t>
            </w:r>
          </w:p>
        </w:tc>
        <w:tc>
          <w:tcPr>
            <w:tcW w:w="0" w:type="auto"/>
            <w:gridSpan w:val="2"/>
            <w:shd w:val="clear" w:color="auto" w:fill="CCEEFF"/>
            <w:tcMar>
              <w:top w:w="40" w:type="dxa"/>
              <w:left w:w="20" w:type="dxa"/>
              <w:bottom w:w="40" w:type="dxa"/>
              <w:right w:w="0" w:type="dxa"/>
            </w:tcMar>
            <w:vAlign w:val="bottom"/>
          </w:tcPr>
          <w:p w14:paraId="74DD9E74" w14:textId="77777777" w:rsidR="00584EC1" w:rsidRDefault="00871F8D">
            <w:pPr>
              <w:jc w:val="right"/>
              <w:textAlignment w:val="bottom"/>
            </w:pPr>
            <w:r>
              <w:rPr>
                <w:rFonts w:ascii="Arial" w:eastAsia="宋体" w:hAnsi="Arial" w:cs="Arial"/>
                <w:b/>
                <w:bCs/>
                <w:color w:val="000000"/>
                <w:sz w:val="14"/>
                <w:szCs w:val="14"/>
              </w:rPr>
              <w:t>682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9E7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E7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E77" w14:textId="77777777" w:rsidR="00584EC1" w:rsidRDefault="00871F8D">
            <w:pPr>
              <w:jc w:val="right"/>
              <w:textAlignment w:val="bottom"/>
            </w:pPr>
            <w:r>
              <w:rPr>
                <w:rFonts w:ascii="Arial" w:eastAsia="宋体" w:hAnsi="Arial" w:cs="Arial"/>
                <w:color w:val="000000"/>
                <w:sz w:val="14"/>
                <w:szCs w:val="14"/>
              </w:rPr>
              <w:t>578 </w:t>
            </w:r>
          </w:p>
        </w:tc>
        <w:tc>
          <w:tcPr>
            <w:tcW w:w="0" w:type="auto"/>
            <w:shd w:val="clear" w:color="auto" w:fill="CCEEFF"/>
            <w:tcMar>
              <w:top w:w="40" w:type="dxa"/>
              <w:left w:w="0" w:type="dxa"/>
              <w:bottom w:w="40" w:type="dxa"/>
              <w:right w:w="20" w:type="dxa"/>
            </w:tcMar>
            <w:vAlign w:val="bottom"/>
          </w:tcPr>
          <w:p w14:paraId="74DD9E7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E7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E7A" w14:textId="77777777" w:rsidR="00584EC1" w:rsidRDefault="00871F8D">
            <w:pPr>
              <w:jc w:val="right"/>
              <w:textAlignment w:val="bottom"/>
            </w:pPr>
            <w:r>
              <w:rPr>
                <w:rFonts w:ascii="Arial" w:eastAsia="宋体" w:hAnsi="Arial" w:cs="Arial"/>
                <w:b/>
                <w:bCs/>
                <w:color w:val="000000"/>
                <w:sz w:val="14"/>
                <w:szCs w:val="14"/>
              </w:rPr>
              <w:t>644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9E7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E7C"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E7D" w14:textId="77777777" w:rsidR="00584EC1" w:rsidRDefault="00871F8D">
            <w:pPr>
              <w:jc w:val="right"/>
              <w:textAlignment w:val="bottom"/>
            </w:pPr>
            <w:r>
              <w:rPr>
                <w:rFonts w:ascii="Arial" w:eastAsia="宋体" w:hAnsi="Arial" w:cs="Arial"/>
                <w:color w:val="000000"/>
                <w:sz w:val="14"/>
                <w:szCs w:val="14"/>
              </w:rPr>
              <w:t>351 </w:t>
            </w:r>
          </w:p>
        </w:tc>
        <w:tc>
          <w:tcPr>
            <w:tcW w:w="0" w:type="auto"/>
            <w:shd w:val="clear" w:color="auto" w:fill="CCEEFF"/>
            <w:tcMar>
              <w:top w:w="40" w:type="dxa"/>
              <w:left w:w="0" w:type="dxa"/>
              <w:bottom w:w="40" w:type="dxa"/>
              <w:right w:w="20" w:type="dxa"/>
            </w:tcMar>
            <w:vAlign w:val="bottom"/>
          </w:tcPr>
          <w:p w14:paraId="74DD9E7E" w14:textId="77777777" w:rsidR="00584EC1" w:rsidRDefault="00584EC1">
            <w:pPr>
              <w:jc w:val="right"/>
              <w:rPr>
                <w:rFonts w:ascii="宋体"/>
              </w:rPr>
            </w:pPr>
          </w:p>
        </w:tc>
      </w:tr>
      <w:tr w:rsidR="00584EC1" w14:paraId="74DD9E8C" w14:textId="77777777">
        <w:tc>
          <w:tcPr>
            <w:tcW w:w="0" w:type="auto"/>
            <w:gridSpan w:val="3"/>
            <w:shd w:val="clear" w:color="auto" w:fill="FFFFFF"/>
            <w:tcMar>
              <w:top w:w="40" w:type="dxa"/>
              <w:left w:w="155" w:type="dxa"/>
              <w:bottom w:w="40" w:type="dxa"/>
              <w:right w:w="20" w:type="dxa"/>
            </w:tcMar>
            <w:vAlign w:val="bottom"/>
          </w:tcPr>
          <w:p w14:paraId="74DD9E80" w14:textId="77777777" w:rsidR="00584EC1" w:rsidRDefault="00871F8D">
            <w:pPr>
              <w:textAlignment w:val="bottom"/>
            </w:pPr>
            <w:r>
              <w:rPr>
                <w:rFonts w:ascii="Arial" w:eastAsia="宋体" w:hAnsi="Arial" w:cs="Arial"/>
                <w:color w:val="000000"/>
                <w:sz w:val="14"/>
                <w:szCs w:val="14"/>
              </w:rPr>
              <w:t>Net increase (decrease) in repo-style transaction exposures</w:t>
            </w:r>
          </w:p>
        </w:tc>
        <w:tc>
          <w:tcPr>
            <w:tcW w:w="0" w:type="auto"/>
            <w:gridSpan w:val="2"/>
            <w:shd w:val="clear" w:color="auto" w:fill="FFFFFF"/>
            <w:tcMar>
              <w:top w:w="40" w:type="dxa"/>
              <w:left w:w="20" w:type="dxa"/>
              <w:bottom w:w="40" w:type="dxa"/>
              <w:right w:w="0" w:type="dxa"/>
            </w:tcMar>
            <w:vAlign w:val="bottom"/>
          </w:tcPr>
          <w:p w14:paraId="74DD9E81" w14:textId="77777777" w:rsidR="00584EC1" w:rsidRDefault="00871F8D">
            <w:pPr>
              <w:jc w:val="right"/>
              <w:textAlignment w:val="bottom"/>
            </w:pPr>
            <w:r>
              <w:rPr>
                <w:rFonts w:ascii="Arial" w:eastAsia="宋体" w:hAnsi="Arial" w:cs="Arial"/>
                <w:b/>
                <w:bCs/>
                <w:color w:val="000000"/>
                <w:sz w:val="14"/>
                <w:szCs w:val="14"/>
              </w:rPr>
              <w:t>(45)</w:t>
            </w:r>
          </w:p>
        </w:tc>
        <w:tc>
          <w:tcPr>
            <w:tcW w:w="0" w:type="auto"/>
            <w:shd w:val="clear" w:color="auto" w:fill="FFFFFF"/>
            <w:tcMar>
              <w:top w:w="40" w:type="dxa"/>
              <w:left w:w="0" w:type="dxa"/>
              <w:bottom w:w="40" w:type="dxa"/>
              <w:right w:w="20" w:type="dxa"/>
            </w:tcMar>
            <w:vAlign w:val="bottom"/>
          </w:tcPr>
          <w:p w14:paraId="74DD9E8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E8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E84" w14:textId="77777777" w:rsidR="00584EC1" w:rsidRDefault="00871F8D">
            <w:pPr>
              <w:jc w:val="right"/>
              <w:textAlignment w:val="bottom"/>
            </w:pPr>
            <w:r>
              <w:rPr>
                <w:rFonts w:ascii="Arial" w:eastAsia="宋体" w:hAnsi="Arial" w:cs="Arial"/>
                <w:color w:val="000000"/>
                <w:sz w:val="14"/>
                <w:szCs w:val="14"/>
              </w:rPr>
              <w:t>1,763 </w:t>
            </w:r>
          </w:p>
        </w:tc>
        <w:tc>
          <w:tcPr>
            <w:tcW w:w="0" w:type="auto"/>
            <w:shd w:val="clear" w:color="auto" w:fill="FFFFFF"/>
            <w:tcMar>
              <w:top w:w="40" w:type="dxa"/>
              <w:left w:w="0" w:type="dxa"/>
              <w:bottom w:w="40" w:type="dxa"/>
              <w:right w:w="20" w:type="dxa"/>
            </w:tcMar>
            <w:vAlign w:val="bottom"/>
          </w:tcPr>
          <w:p w14:paraId="74DD9E8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E8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E87" w14:textId="77777777" w:rsidR="00584EC1" w:rsidRDefault="00871F8D">
            <w:pPr>
              <w:jc w:val="right"/>
              <w:textAlignment w:val="bottom"/>
            </w:pPr>
            <w:r>
              <w:rPr>
                <w:rFonts w:ascii="Arial" w:eastAsia="宋体" w:hAnsi="Arial" w:cs="Arial"/>
                <w:b/>
                <w:bCs/>
                <w:color w:val="000000"/>
                <w:sz w:val="14"/>
                <w:szCs w:val="14"/>
              </w:rPr>
              <w:t>(4,826)</w:t>
            </w:r>
          </w:p>
        </w:tc>
        <w:tc>
          <w:tcPr>
            <w:tcW w:w="0" w:type="auto"/>
            <w:shd w:val="clear" w:color="auto" w:fill="FFFFFF"/>
            <w:tcMar>
              <w:top w:w="40" w:type="dxa"/>
              <w:left w:w="0" w:type="dxa"/>
              <w:bottom w:w="40" w:type="dxa"/>
              <w:right w:w="20" w:type="dxa"/>
            </w:tcMar>
            <w:vAlign w:val="bottom"/>
          </w:tcPr>
          <w:p w14:paraId="74DD9E8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E8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E8A" w14:textId="77777777" w:rsidR="00584EC1" w:rsidRDefault="00871F8D">
            <w:pPr>
              <w:jc w:val="right"/>
              <w:textAlignment w:val="bottom"/>
            </w:pPr>
            <w:r>
              <w:rPr>
                <w:rFonts w:ascii="Arial" w:eastAsia="宋体" w:hAnsi="Arial" w:cs="Arial"/>
                <w:color w:val="000000"/>
                <w:sz w:val="14"/>
                <w:szCs w:val="14"/>
              </w:rPr>
              <w:t>3,895 </w:t>
            </w:r>
          </w:p>
        </w:tc>
        <w:tc>
          <w:tcPr>
            <w:tcW w:w="0" w:type="auto"/>
            <w:shd w:val="clear" w:color="auto" w:fill="FFFFFF"/>
            <w:tcMar>
              <w:top w:w="40" w:type="dxa"/>
              <w:left w:w="0" w:type="dxa"/>
              <w:bottom w:w="40" w:type="dxa"/>
              <w:right w:w="20" w:type="dxa"/>
            </w:tcMar>
            <w:vAlign w:val="bottom"/>
          </w:tcPr>
          <w:p w14:paraId="74DD9E8B" w14:textId="77777777" w:rsidR="00584EC1" w:rsidRDefault="00584EC1">
            <w:pPr>
              <w:jc w:val="right"/>
              <w:rPr>
                <w:rFonts w:ascii="宋体"/>
              </w:rPr>
            </w:pPr>
          </w:p>
        </w:tc>
      </w:tr>
      <w:tr w:rsidR="00584EC1" w14:paraId="74DD9E99" w14:textId="77777777">
        <w:tc>
          <w:tcPr>
            <w:tcW w:w="0" w:type="auto"/>
            <w:gridSpan w:val="3"/>
            <w:shd w:val="clear" w:color="auto" w:fill="CCEEFF"/>
            <w:tcMar>
              <w:top w:w="40" w:type="dxa"/>
              <w:left w:w="20" w:type="dxa"/>
              <w:bottom w:w="40" w:type="dxa"/>
              <w:right w:w="20" w:type="dxa"/>
            </w:tcMar>
            <w:vAlign w:val="bottom"/>
          </w:tcPr>
          <w:p w14:paraId="74DD9E8D" w14:textId="77777777" w:rsidR="00584EC1" w:rsidRDefault="00871F8D">
            <w:pPr>
              <w:textAlignment w:val="bottom"/>
            </w:pPr>
            <w:r>
              <w:rPr>
                <w:rFonts w:ascii="Arial" w:eastAsia="宋体" w:hAnsi="Arial" w:cs="Arial"/>
                <w:color w:val="000000"/>
                <w:sz w:val="14"/>
                <w:szCs w:val="14"/>
              </w:rPr>
              <w:t>Net increase (decrease) in over-the-counter derivatives exposures</w:t>
            </w:r>
            <w:r>
              <w:rPr>
                <w:rFonts w:ascii="Arial" w:eastAsia="宋体" w:hAnsi="Arial" w:cs="Arial"/>
                <w:color w:val="000000"/>
                <w:sz w:val="9"/>
                <w:szCs w:val="9"/>
              </w:rPr>
              <w:t>(1)</w:t>
            </w:r>
          </w:p>
        </w:tc>
        <w:tc>
          <w:tcPr>
            <w:tcW w:w="0" w:type="auto"/>
            <w:gridSpan w:val="2"/>
            <w:shd w:val="clear" w:color="auto" w:fill="CCEEFF"/>
            <w:tcMar>
              <w:top w:w="40" w:type="dxa"/>
              <w:left w:w="20" w:type="dxa"/>
              <w:bottom w:w="40" w:type="dxa"/>
              <w:right w:w="0" w:type="dxa"/>
            </w:tcMar>
            <w:vAlign w:val="bottom"/>
          </w:tcPr>
          <w:p w14:paraId="74DD9E8E" w14:textId="77777777" w:rsidR="00584EC1" w:rsidRDefault="00871F8D">
            <w:pPr>
              <w:jc w:val="right"/>
              <w:textAlignment w:val="bottom"/>
            </w:pPr>
            <w:r>
              <w:rPr>
                <w:rFonts w:ascii="Arial" w:eastAsia="宋体" w:hAnsi="Arial" w:cs="Arial"/>
                <w:b/>
                <w:bCs/>
                <w:color w:val="000000"/>
                <w:sz w:val="14"/>
                <w:szCs w:val="14"/>
              </w:rPr>
              <w:t>(1,240)</w:t>
            </w:r>
          </w:p>
        </w:tc>
        <w:tc>
          <w:tcPr>
            <w:tcW w:w="0" w:type="auto"/>
            <w:shd w:val="clear" w:color="auto" w:fill="CCEEFF"/>
            <w:tcMar>
              <w:top w:w="40" w:type="dxa"/>
              <w:left w:w="0" w:type="dxa"/>
              <w:bottom w:w="40" w:type="dxa"/>
              <w:right w:w="20" w:type="dxa"/>
            </w:tcMar>
            <w:vAlign w:val="bottom"/>
          </w:tcPr>
          <w:p w14:paraId="74DD9E8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E9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E91" w14:textId="77777777" w:rsidR="00584EC1" w:rsidRDefault="00871F8D">
            <w:pPr>
              <w:jc w:val="right"/>
              <w:textAlignment w:val="bottom"/>
            </w:pPr>
            <w:r>
              <w:rPr>
                <w:rFonts w:ascii="Arial" w:eastAsia="宋体" w:hAnsi="Arial" w:cs="Arial"/>
                <w:color w:val="000000"/>
                <w:sz w:val="14"/>
                <w:szCs w:val="14"/>
              </w:rPr>
              <w:t>780 </w:t>
            </w:r>
          </w:p>
        </w:tc>
        <w:tc>
          <w:tcPr>
            <w:tcW w:w="0" w:type="auto"/>
            <w:shd w:val="clear" w:color="auto" w:fill="CCEEFF"/>
            <w:tcMar>
              <w:top w:w="40" w:type="dxa"/>
              <w:left w:w="0" w:type="dxa"/>
              <w:bottom w:w="40" w:type="dxa"/>
              <w:right w:w="20" w:type="dxa"/>
            </w:tcMar>
            <w:vAlign w:val="bottom"/>
          </w:tcPr>
          <w:p w14:paraId="74DD9E9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E93"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E94" w14:textId="77777777" w:rsidR="00584EC1" w:rsidRDefault="00871F8D">
            <w:pPr>
              <w:jc w:val="right"/>
              <w:textAlignment w:val="bottom"/>
            </w:pPr>
            <w:r>
              <w:rPr>
                <w:rFonts w:ascii="Arial" w:eastAsia="宋体" w:hAnsi="Arial" w:cs="Arial"/>
                <w:b/>
                <w:bCs/>
                <w:color w:val="000000"/>
                <w:sz w:val="14"/>
                <w:szCs w:val="14"/>
              </w:rPr>
              <w:t>3,016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9E9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E9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E97" w14:textId="77777777" w:rsidR="00584EC1" w:rsidRDefault="00871F8D">
            <w:pPr>
              <w:jc w:val="right"/>
              <w:textAlignment w:val="bottom"/>
            </w:pPr>
            <w:r>
              <w:rPr>
                <w:rFonts w:ascii="Arial" w:eastAsia="宋体" w:hAnsi="Arial" w:cs="Arial"/>
                <w:color w:val="000000"/>
                <w:sz w:val="14"/>
                <w:szCs w:val="14"/>
              </w:rPr>
              <w:t>457 </w:t>
            </w:r>
          </w:p>
        </w:tc>
        <w:tc>
          <w:tcPr>
            <w:tcW w:w="0" w:type="auto"/>
            <w:shd w:val="clear" w:color="auto" w:fill="CCEEFF"/>
            <w:tcMar>
              <w:top w:w="40" w:type="dxa"/>
              <w:left w:w="0" w:type="dxa"/>
              <w:bottom w:w="40" w:type="dxa"/>
              <w:right w:w="20" w:type="dxa"/>
            </w:tcMar>
            <w:vAlign w:val="bottom"/>
          </w:tcPr>
          <w:p w14:paraId="74DD9E98" w14:textId="77777777" w:rsidR="00584EC1" w:rsidRDefault="00584EC1">
            <w:pPr>
              <w:jc w:val="right"/>
              <w:rPr>
                <w:rFonts w:ascii="宋体"/>
              </w:rPr>
            </w:pPr>
          </w:p>
        </w:tc>
      </w:tr>
      <w:tr w:rsidR="00584EC1" w14:paraId="74DD9EA6" w14:textId="77777777">
        <w:tc>
          <w:tcPr>
            <w:tcW w:w="0" w:type="auto"/>
            <w:gridSpan w:val="3"/>
            <w:shd w:val="clear" w:color="auto" w:fill="FFFFFF"/>
            <w:tcMar>
              <w:top w:w="40" w:type="dxa"/>
              <w:left w:w="20" w:type="dxa"/>
              <w:bottom w:w="40" w:type="dxa"/>
              <w:right w:w="20" w:type="dxa"/>
            </w:tcMar>
            <w:vAlign w:val="bottom"/>
          </w:tcPr>
          <w:p w14:paraId="74DD9E9A" w14:textId="77777777" w:rsidR="00584EC1" w:rsidRDefault="00871F8D">
            <w:pPr>
              <w:textAlignment w:val="bottom"/>
            </w:pPr>
            <w:r>
              <w:rPr>
                <w:rFonts w:ascii="Arial" w:eastAsia="宋体" w:hAnsi="Arial" w:cs="Arial"/>
                <w:color w:val="000000"/>
                <w:sz w:val="14"/>
                <w:szCs w:val="14"/>
              </w:rPr>
              <w:t>Net increase (decrease) in all other</w:t>
            </w:r>
            <w:r>
              <w:rPr>
                <w:rFonts w:ascii="Arial" w:eastAsia="宋体" w:hAnsi="Arial" w:cs="Arial"/>
                <w:color w:val="000000"/>
                <w:sz w:val="9"/>
                <w:szCs w:val="9"/>
              </w:rPr>
              <w:t>(2)</w:t>
            </w:r>
          </w:p>
        </w:tc>
        <w:tc>
          <w:tcPr>
            <w:tcW w:w="0" w:type="auto"/>
            <w:gridSpan w:val="2"/>
            <w:shd w:val="clear" w:color="auto" w:fill="FFFFFF"/>
            <w:tcMar>
              <w:top w:w="40" w:type="dxa"/>
              <w:left w:w="20" w:type="dxa"/>
              <w:bottom w:w="40" w:type="dxa"/>
              <w:right w:w="0" w:type="dxa"/>
            </w:tcMar>
            <w:vAlign w:val="bottom"/>
          </w:tcPr>
          <w:p w14:paraId="74DD9E9B" w14:textId="77777777" w:rsidR="00584EC1" w:rsidRDefault="00871F8D">
            <w:pPr>
              <w:jc w:val="right"/>
              <w:textAlignment w:val="bottom"/>
            </w:pPr>
            <w:r>
              <w:rPr>
                <w:rFonts w:ascii="Arial" w:eastAsia="宋体" w:hAnsi="Arial" w:cs="Arial"/>
                <w:b/>
                <w:bCs/>
                <w:color w:val="000000"/>
                <w:sz w:val="14"/>
                <w:szCs w:val="14"/>
              </w:rPr>
              <w:t>2,680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9E9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E9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E9E" w14:textId="77777777" w:rsidR="00584EC1" w:rsidRDefault="00871F8D">
            <w:pPr>
              <w:jc w:val="right"/>
              <w:textAlignment w:val="bottom"/>
            </w:pPr>
            <w:r>
              <w:rPr>
                <w:rFonts w:ascii="Arial" w:eastAsia="宋体" w:hAnsi="Arial" w:cs="Arial"/>
                <w:color w:val="000000"/>
                <w:sz w:val="14"/>
                <w:szCs w:val="14"/>
              </w:rPr>
              <w:t>(498)</w:t>
            </w:r>
          </w:p>
        </w:tc>
        <w:tc>
          <w:tcPr>
            <w:tcW w:w="0" w:type="auto"/>
            <w:shd w:val="clear" w:color="auto" w:fill="FFFFFF"/>
            <w:tcMar>
              <w:top w:w="40" w:type="dxa"/>
              <w:left w:w="0" w:type="dxa"/>
              <w:bottom w:w="40" w:type="dxa"/>
              <w:right w:w="20" w:type="dxa"/>
            </w:tcMar>
            <w:vAlign w:val="bottom"/>
          </w:tcPr>
          <w:p w14:paraId="74DD9E9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EA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EA1" w14:textId="77777777" w:rsidR="00584EC1" w:rsidRDefault="00871F8D">
            <w:pPr>
              <w:jc w:val="right"/>
              <w:textAlignment w:val="bottom"/>
            </w:pPr>
            <w:r>
              <w:rPr>
                <w:rFonts w:ascii="Arial" w:eastAsia="宋体" w:hAnsi="Arial" w:cs="Arial"/>
                <w:b/>
                <w:bCs/>
                <w:color w:val="000000"/>
                <w:sz w:val="14"/>
                <w:szCs w:val="14"/>
              </w:rPr>
              <w:t>(1,168)</w:t>
            </w:r>
          </w:p>
        </w:tc>
        <w:tc>
          <w:tcPr>
            <w:tcW w:w="0" w:type="auto"/>
            <w:shd w:val="clear" w:color="auto" w:fill="FFFFFF"/>
            <w:tcMar>
              <w:top w:w="40" w:type="dxa"/>
              <w:left w:w="0" w:type="dxa"/>
              <w:bottom w:w="40" w:type="dxa"/>
              <w:right w:w="20" w:type="dxa"/>
            </w:tcMar>
            <w:vAlign w:val="bottom"/>
          </w:tcPr>
          <w:p w14:paraId="74DD9EA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EA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EA4" w14:textId="77777777" w:rsidR="00584EC1" w:rsidRDefault="00871F8D">
            <w:pPr>
              <w:jc w:val="right"/>
              <w:textAlignment w:val="bottom"/>
            </w:pPr>
            <w:r>
              <w:rPr>
                <w:rFonts w:ascii="Arial" w:eastAsia="宋体" w:hAnsi="Arial" w:cs="Arial"/>
                <w:color w:val="000000"/>
                <w:sz w:val="14"/>
                <w:szCs w:val="14"/>
              </w:rPr>
              <w:t>2,422 </w:t>
            </w:r>
          </w:p>
        </w:tc>
        <w:tc>
          <w:tcPr>
            <w:tcW w:w="0" w:type="auto"/>
            <w:shd w:val="clear" w:color="auto" w:fill="FFFFFF"/>
            <w:tcMar>
              <w:top w:w="40" w:type="dxa"/>
              <w:left w:w="0" w:type="dxa"/>
              <w:bottom w:w="40" w:type="dxa"/>
              <w:right w:w="20" w:type="dxa"/>
            </w:tcMar>
            <w:vAlign w:val="bottom"/>
          </w:tcPr>
          <w:p w14:paraId="74DD9EA5" w14:textId="77777777" w:rsidR="00584EC1" w:rsidRDefault="00584EC1">
            <w:pPr>
              <w:jc w:val="right"/>
              <w:rPr>
                <w:rFonts w:ascii="宋体"/>
              </w:rPr>
            </w:pPr>
          </w:p>
        </w:tc>
      </w:tr>
      <w:tr w:rsidR="00584EC1" w14:paraId="74DD9EB3" w14:textId="77777777">
        <w:tc>
          <w:tcPr>
            <w:tcW w:w="0" w:type="auto"/>
            <w:gridSpan w:val="3"/>
            <w:shd w:val="clear" w:color="auto" w:fill="CCEEFF"/>
            <w:tcMar>
              <w:top w:w="40" w:type="dxa"/>
              <w:left w:w="20" w:type="dxa"/>
              <w:bottom w:w="40" w:type="dxa"/>
              <w:right w:w="20" w:type="dxa"/>
            </w:tcMar>
            <w:vAlign w:val="bottom"/>
          </w:tcPr>
          <w:p w14:paraId="74DD9EA7" w14:textId="77777777" w:rsidR="00584EC1" w:rsidRDefault="00871F8D">
            <w:pPr>
              <w:textAlignment w:val="bottom"/>
            </w:pPr>
            <w:r>
              <w:rPr>
                <w:rFonts w:ascii="Arial" w:eastAsia="宋体" w:hAnsi="Arial" w:cs="Arial"/>
                <w:color w:val="000000"/>
                <w:sz w:val="14"/>
                <w:szCs w:val="14"/>
              </w:rPr>
              <w:t>Net increase (decrease) in credit risk-weighted assets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9EA8" w14:textId="77777777" w:rsidR="00584EC1" w:rsidRDefault="00871F8D">
            <w:pPr>
              <w:jc w:val="right"/>
              <w:textAlignment w:val="bottom"/>
            </w:pPr>
            <w:r>
              <w:rPr>
                <w:rFonts w:ascii="Arial" w:eastAsia="宋体" w:hAnsi="Arial" w:cs="Arial"/>
                <w:b/>
                <w:bCs/>
                <w:color w:val="000000"/>
                <w:sz w:val="14"/>
                <w:szCs w:val="14"/>
              </w:rPr>
              <w:t>3,136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EA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EAA"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9EAB" w14:textId="77777777" w:rsidR="00584EC1" w:rsidRDefault="00871F8D">
            <w:pPr>
              <w:jc w:val="right"/>
              <w:textAlignment w:val="bottom"/>
            </w:pPr>
            <w:r>
              <w:rPr>
                <w:rFonts w:ascii="Arial" w:eastAsia="宋体" w:hAnsi="Arial" w:cs="Arial"/>
                <w:color w:val="000000"/>
                <w:sz w:val="14"/>
                <w:szCs w:val="14"/>
              </w:rPr>
              <w:t>8,604 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EA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EAD"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9EAE" w14:textId="77777777" w:rsidR="00584EC1" w:rsidRDefault="00871F8D">
            <w:pPr>
              <w:jc w:val="right"/>
              <w:textAlignment w:val="bottom"/>
            </w:pPr>
            <w:r>
              <w:rPr>
                <w:rFonts w:ascii="Arial" w:eastAsia="宋体" w:hAnsi="Arial" w:cs="Arial"/>
                <w:b/>
                <w:bCs/>
                <w:color w:val="000000"/>
                <w:sz w:val="14"/>
                <w:szCs w:val="14"/>
              </w:rPr>
              <w:t>(288)</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EA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EB0"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9EB1" w14:textId="77777777" w:rsidR="00584EC1" w:rsidRDefault="00871F8D">
            <w:pPr>
              <w:jc w:val="right"/>
              <w:textAlignment w:val="bottom"/>
            </w:pPr>
            <w:r>
              <w:rPr>
                <w:rFonts w:ascii="Arial" w:eastAsia="宋体" w:hAnsi="Arial" w:cs="Arial"/>
                <w:color w:val="000000"/>
                <w:sz w:val="14"/>
                <w:szCs w:val="14"/>
              </w:rPr>
              <w:t>12,525 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EB2" w14:textId="77777777" w:rsidR="00584EC1" w:rsidRDefault="00584EC1">
            <w:pPr>
              <w:jc w:val="right"/>
              <w:rPr>
                <w:rFonts w:ascii="宋体"/>
              </w:rPr>
            </w:pPr>
          </w:p>
        </w:tc>
      </w:tr>
      <w:tr w:rsidR="00584EC1" w14:paraId="74DD9EC0" w14:textId="77777777">
        <w:tc>
          <w:tcPr>
            <w:tcW w:w="0" w:type="auto"/>
            <w:gridSpan w:val="3"/>
            <w:shd w:val="clear" w:color="auto" w:fill="FFFFFF"/>
            <w:tcMar>
              <w:top w:w="40" w:type="dxa"/>
              <w:left w:w="20" w:type="dxa"/>
              <w:bottom w:w="40" w:type="dxa"/>
              <w:right w:w="20" w:type="dxa"/>
            </w:tcMar>
            <w:vAlign w:val="bottom"/>
          </w:tcPr>
          <w:p w14:paraId="74DD9EB4" w14:textId="77777777" w:rsidR="00584EC1" w:rsidRDefault="00871F8D">
            <w:pPr>
              <w:textAlignment w:val="bottom"/>
            </w:pPr>
            <w:r>
              <w:rPr>
                <w:rFonts w:ascii="Arial" w:eastAsia="宋体" w:hAnsi="Arial" w:cs="Arial"/>
                <w:color w:val="000000"/>
                <w:sz w:val="14"/>
                <w:szCs w:val="14"/>
              </w:rPr>
              <w:t>Net increase (decrease) in market risk-weighted assets</w:t>
            </w:r>
          </w:p>
        </w:tc>
        <w:tc>
          <w:tcPr>
            <w:tcW w:w="0" w:type="auto"/>
            <w:gridSpan w:val="2"/>
            <w:shd w:val="clear" w:color="auto" w:fill="FFFFFF"/>
            <w:tcMar>
              <w:top w:w="40" w:type="dxa"/>
              <w:left w:w="20" w:type="dxa"/>
              <w:bottom w:w="40" w:type="dxa"/>
              <w:right w:w="0" w:type="dxa"/>
            </w:tcMar>
            <w:vAlign w:val="bottom"/>
          </w:tcPr>
          <w:p w14:paraId="74DD9EB5" w14:textId="77777777" w:rsidR="00584EC1" w:rsidRDefault="00871F8D">
            <w:pPr>
              <w:jc w:val="right"/>
              <w:textAlignment w:val="bottom"/>
            </w:pPr>
            <w:r>
              <w:rPr>
                <w:rFonts w:ascii="Arial" w:eastAsia="宋体" w:hAnsi="Arial" w:cs="Arial"/>
                <w:b/>
                <w:bCs/>
                <w:color w:val="000000"/>
                <w:sz w:val="14"/>
                <w:szCs w:val="14"/>
              </w:rPr>
              <w:t>437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9EB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EB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EB8" w14:textId="77777777" w:rsidR="00584EC1" w:rsidRDefault="00871F8D">
            <w:pPr>
              <w:jc w:val="right"/>
              <w:textAlignment w:val="bottom"/>
            </w:pPr>
            <w:r>
              <w:rPr>
                <w:rFonts w:ascii="Arial" w:eastAsia="宋体" w:hAnsi="Arial" w:cs="Arial"/>
                <w:color w:val="000000"/>
                <w:sz w:val="14"/>
                <w:szCs w:val="14"/>
              </w:rPr>
              <w:t>550 </w:t>
            </w:r>
          </w:p>
        </w:tc>
        <w:tc>
          <w:tcPr>
            <w:tcW w:w="0" w:type="auto"/>
            <w:shd w:val="clear" w:color="auto" w:fill="FFFFFF"/>
            <w:tcMar>
              <w:top w:w="40" w:type="dxa"/>
              <w:left w:w="0" w:type="dxa"/>
              <w:bottom w:w="40" w:type="dxa"/>
              <w:right w:w="20" w:type="dxa"/>
            </w:tcMar>
            <w:vAlign w:val="bottom"/>
          </w:tcPr>
          <w:p w14:paraId="74DD9EB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EB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EBB" w14:textId="77777777" w:rsidR="00584EC1" w:rsidRDefault="00871F8D">
            <w:pPr>
              <w:jc w:val="right"/>
              <w:textAlignment w:val="bottom"/>
            </w:pPr>
            <w:r>
              <w:rPr>
                <w:rFonts w:ascii="Arial" w:eastAsia="宋体" w:hAnsi="Arial" w:cs="Arial"/>
                <w:b/>
                <w:bCs/>
                <w:color w:val="000000"/>
                <w:sz w:val="14"/>
                <w:szCs w:val="14"/>
              </w:rPr>
              <w:t>437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9EB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EB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EBE" w14:textId="77777777" w:rsidR="00584EC1" w:rsidRDefault="00871F8D">
            <w:pPr>
              <w:jc w:val="right"/>
              <w:textAlignment w:val="bottom"/>
            </w:pPr>
            <w:r>
              <w:rPr>
                <w:rFonts w:ascii="Arial" w:eastAsia="宋体" w:hAnsi="Arial" w:cs="Arial"/>
                <w:color w:val="000000"/>
                <w:sz w:val="14"/>
                <w:szCs w:val="14"/>
              </w:rPr>
              <w:t>550 </w:t>
            </w:r>
          </w:p>
        </w:tc>
        <w:tc>
          <w:tcPr>
            <w:tcW w:w="0" w:type="auto"/>
            <w:shd w:val="clear" w:color="auto" w:fill="FFFFFF"/>
            <w:tcMar>
              <w:top w:w="40" w:type="dxa"/>
              <w:left w:w="0" w:type="dxa"/>
              <w:bottom w:w="40" w:type="dxa"/>
              <w:right w:w="20" w:type="dxa"/>
            </w:tcMar>
            <w:vAlign w:val="bottom"/>
          </w:tcPr>
          <w:p w14:paraId="74DD9EBF" w14:textId="77777777" w:rsidR="00584EC1" w:rsidRDefault="00584EC1">
            <w:pPr>
              <w:jc w:val="right"/>
              <w:rPr>
                <w:rFonts w:ascii="宋体"/>
              </w:rPr>
            </w:pPr>
          </w:p>
        </w:tc>
      </w:tr>
      <w:tr w:rsidR="00584EC1" w14:paraId="74DD9ECB" w14:textId="77777777">
        <w:tc>
          <w:tcPr>
            <w:tcW w:w="0" w:type="auto"/>
            <w:gridSpan w:val="3"/>
            <w:shd w:val="clear" w:color="auto" w:fill="CCEEFF"/>
            <w:tcMar>
              <w:top w:w="40" w:type="dxa"/>
              <w:left w:w="20" w:type="dxa"/>
              <w:bottom w:w="40" w:type="dxa"/>
              <w:right w:w="20" w:type="dxa"/>
            </w:tcMar>
            <w:vAlign w:val="bottom"/>
          </w:tcPr>
          <w:p w14:paraId="74DD9EC1" w14:textId="77777777" w:rsidR="00584EC1" w:rsidRDefault="00871F8D">
            <w:pPr>
              <w:textAlignment w:val="bottom"/>
            </w:pPr>
            <w:r>
              <w:rPr>
                <w:rFonts w:ascii="Arial" w:eastAsia="宋体" w:hAnsi="Arial" w:cs="Arial"/>
                <w:color w:val="000000"/>
                <w:sz w:val="14"/>
                <w:szCs w:val="14"/>
              </w:rPr>
              <w:t>Net increase (decrease) in operational risk-weighted assets</w:t>
            </w:r>
          </w:p>
        </w:tc>
        <w:tc>
          <w:tcPr>
            <w:tcW w:w="0" w:type="auto"/>
            <w:gridSpan w:val="2"/>
            <w:shd w:val="clear" w:color="auto" w:fill="CCEEFF"/>
            <w:tcMar>
              <w:top w:w="40" w:type="dxa"/>
              <w:left w:w="20" w:type="dxa"/>
              <w:bottom w:w="40" w:type="dxa"/>
              <w:right w:w="0" w:type="dxa"/>
            </w:tcMar>
            <w:vAlign w:val="bottom"/>
          </w:tcPr>
          <w:p w14:paraId="74DD9EC2" w14:textId="77777777" w:rsidR="00584EC1" w:rsidRDefault="00871F8D">
            <w:pPr>
              <w:jc w:val="right"/>
              <w:textAlignment w:val="bottom"/>
            </w:pPr>
            <w:r>
              <w:rPr>
                <w:rFonts w:ascii="Arial" w:eastAsia="宋体" w:hAnsi="Arial" w:cs="Arial"/>
                <w:b/>
                <w:bCs/>
                <w:color w:val="000000"/>
                <w:sz w:val="14"/>
                <w:szCs w:val="14"/>
              </w:rPr>
              <w:t>1,600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9EC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EC4"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EC5" w14:textId="77777777" w:rsidR="00584EC1" w:rsidRDefault="00871F8D">
            <w:pPr>
              <w:jc w:val="right"/>
              <w:textAlignment w:val="bottom"/>
            </w:pPr>
            <w:r>
              <w:rPr>
                <w:rFonts w:ascii="Arial" w:eastAsia="宋体" w:hAnsi="Arial" w:cs="Arial"/>
                <w:color w:val="000000"/>
                <w:sz w:val="14"/>
                <w:szCs w:val="14"/>
              </w:rPr>
              <w:t>(3,813)</w:t>
            </w:r>
          </w:p>
        </w:tc>
        <w:tc>
          <w:tcPr>
            <w:tcW w:w="0" w:type="auto"/>
            <w:shd w:val="clear" w:color="auto" w:fill="CCEEFF"/>
            <w:tcMar>
              <w:top w:w="40" w:type="dxa"/>
              <w:left w:w="0" w:type="dxa"/>
              <w:bottom w:w="40" w:type="dxa"/>
              <w:right w:w="20" w:type="dxa"/>
            </w:tcMar>
            <w:vAlign w:val="bottom"/>
          </w:tcPr>
          <w:p w14:paraId="74DD9EC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EC7" w14:textId="77777777" w:rsidR="00584EC1" w:rsidRDefault="00584EC1">
            <w:pPr>
              <w:rPr>
                <w:rFonts w:ascii="宋体"/>
              </w:rPr>
            </w:pPr>
          </w:p>
        </w:tc>
        <w:tc>
          <w:tcPr>
            <w:tcW w:w="0" w:type="auto"/>
            <w:gridSpan w:val="3"/>
            <w:shd w:val="clear" w:color="auto" w:fill="CCEEFF"/>
            <w:tcMar>
              <w:top w:w="40" w:type="dxa"/>
              <w:left w:w="20" w:type="dxa"/>
              <w:bottom w:w="40" w:type="dxa"/>
              <w:right w:w="20" w:type="dxa"/>
            </w:tcMar>
            <w:vAlign w:val="bottom"/>
          </w:tcPr>
          <w:p w14:paraId="74DD9EC8" w14:textId="77777777" w:rsidR="00584EC1" w:rsidRDefault="00871F8D">
            <w:pPr>
              <w:jc w:val="right"/>
              <w:textAlignment w:val="bottom"/>
            </w:pPr>
            <w:r>
              <w:rPr>
                <w:rFonts w:ascii="Arial" w:eastAsia="宋体" w:hAnsi="Arial" w:cs="Arial"/>
                <w:b/>
                <w:bCs/>
                <w:color w:val="000000"/>
                <w:sz w:val="14"/>
                <w:szCs w:val="14"/>
              </w:rPr>
              <w:t>N/A</w:t>
            </w:r>
          </w:p>
        </w:tc>
        <w:tc>
          <w:tcPr>
            <w:tcW w:w="0" w:type="auto"/>
            <w:gridSpan w:val="3"/>
            <w:shd w:val="clear" w:color="auto" w:fill="CCEEFF"/>
            <w:tcMar>
              <w:top w:w="0" w:type="dxa"/>
              <w:left w:w="20" w:type="dxa"/>
              <w:bottom w:w="0" w:type="dxa"/>
              <w:right w:w="20" w:type="dxa"/>
            </w:tcMar>
            <w:vAlign w:val="bottom"/>
          </w:tcPr>
          <w:p w14:paraId="74DD9EC9" w14:textId="77777777" w:rsidR="00584EC1" w:rsidRDefault="00584EC1">
            <w:pPr>
              <w:rPr>
                <w:rFonts w:ascii="宋体"/>
              </w:rPr>
            </w:pPr>
          </w:p>
        </w:tc>
        <w:tc>
          <w:tcPr>
            <w:tcW w:w="0" w:type="auto"/>
            <w:gridSpan w:val="3"/>
            <w:shd w:val="clear" w:color="auto" w:fill="CCEEFF"/>
            <w:tcMar>
              <w:top w:w="40" w:type="dxa"/>
              <w:left w:w="20" w:type="dxa"/>
              <w:bottom w:w="40" w:type="dxa"/>
              <w:right w:w="20" w:type="dxa"/>
            </w:tcMar>
            <w:vAlign w:val="bottom"/>
          </w:tcPr>
          <w:p w14:paraId="74DD9ECA" w14:textId="77777777" w:rsidR="00584EC1" w:rsidRDefault="00871F8D">
            <w:pPr>
              <w:jc w:val="right"/>
              <w:textAlignment w:val="bottom"/>
            </w:pPr>
            <w:r>
              <w:rPr>
                <w:rFonts w:ascii="Arial" w:eastAsia="宋体" w:hAnsi="Arial" w:cs="Arial"/>
                <w:color w:val="000000"/>
                <w:sz w:val="14"/>
                <w:szCs w:val="14"/>
              </w:rPr>
              <w:t>N/A</w:t>
            </w:r>
          </w:p>
        </w:tc>
      </w:tr>
      <w:tr w:rsidR="00584EC1" w14:paraId="74DD9EDC" w14:textId="77777777">
        <w:tc>
          <w:tcPr>
            <w:tcW w:w="0" w:type="auto"/>
            <w:gridSpan w:val="3"/>
            <w:shd w:val="clear" w:color="auto" w:fill="FFFFFF"/>
            <w:tcMar>
              <w:top w:w="40" w:type="dxa"/>
              <w:left w:w="20" w:type="dxa"/>
              <w:bottom w:w="40" w:type="dxa"/>
              <w:right w:w="20" w:type="dxa"/>
            </w:tcMar>
            <w:vAlign w:val="bottom"/>
          </w:tcPr>
          <w:p w14:paraId="74DD9ECC" w14:textId="77777777" w:rsidR="00584EC1" w:rsidRDefault="00871F8D">
            <w:pPr>
              <w:textAlignment w:val="bottom"/>
            </w:pPr>
            <w:r>
              <w:rPr>
                <w:rFonts w:ascii="Arial" w:eastAsia="宋体" w:hAnsi="Arial" w:cs="Arial"/>
                <w:color w:val="000000"/>
                <w:sz w:val="14"/>
                <w:szCs w:val="14"/>
              </w:rPr>
              <w:t>Total risk-weighted assets, end of period</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9ECD"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9ECE" w14:textId="77777777" w:rsidR="00584EC1" w:rsidRDefault="00871F8D">
            <w:pPr>
              <w:jc w:val="right"/>
              <w:textAlignment w:val="bottom"/>
            </w:pPr>
            <w:r>
              <w:rPr>
                <w:rFonts w:ascii="Arial" w:eastAsia="宋体" w:hAnsi="Arial" w:cs="Arial"/>
                <w:b/>
                <w:bCs/>
                <w:color w:val="000000"/>
                <w:sz w:val="14"/>
                <w:szCs w:val="14"/>
              </w:rPr>
              <w:t>114,878</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9EC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ED0"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9ED1"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9ED2" w14:textId="77777777" w:rsidR="00584EC1" w:rsidRDefault="00871F8D">
            <w:pPr>
              <w:jc w:val="right"/>
              <w:textAlignment w:val="bottom"/>
            </w:pPr>
            <w:r>
              <w:rPr>
                <w:rFonts w:ascii="Arial" w:eastAsia="宋体" w:hAnsi="Arial" w:cs="Arial"/>
                <w:color w:val="000000"/>
                <w:sz w:val="14"/>
                <w:szCs w:val="14"/>
              </w:rPr>
              <w:t>109,705 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9ED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ED4"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9ED5"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9ED6" w14:textId="77777777" w:rsidR="00584EC1" w:rsidRDefault="00871F8D">
            <w:pPr>
              <w:jc w:val="right"/>
              <w:textAlignment w:val="bottom"/>
            </w:pPr>
            <w:r>
              <w:rPr>
                <w:rFonts w:ascii="Arial" w:eastAsia="宋体" w:hAnsi="Arial" w:cs="Arial"/>
                <w:b/>
                <w:bCs/>
                <w:color w:val="000000"/>
                <w:sz w:val="14"/>
                <w:szCs w:val="14"/>
              </w:rPr>
              <w:t>117,229</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9ED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ED8"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9ED9"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9EDA" w14:textId="77777777" w:rsidR="00584EC1" w:rsidRDefault="00871F8D">
            <w:pPr>
              <w:jc w:val="right"/>
              <w:textAlignment w:val="bottom"/>
            </w:pPr>
            <w:r>
              <w:rPr>
                <w:rFonts w:ascii="Arial" w:eastAsia="宋体" w:hAnsi="Arial" w:cs="Arial"/>
                <w:color w:val="000000"/>
                <w:sz w:val="14"/>
                <w:szCs w:val="14"/>
              </w:rPr>
              <w:t>117,080 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9EDB" w14:textId="77777777" w:rsidR="00584EC1" w:rsidRDefault="00584EC1">
            <w:pPr>
              <w:jc w:val="right"/>
              <w:rPr>
                <w:rFonts w:ascii="宋体"/>
              </w:rPr>
            </w:pPr>
          </w:p>
        </w:tc>
      </w:tr>
    </w:tbl>
    <w:p w14:paraId="74DD9EDD" w14:textId="77777777" w:rsidR="00584EC1" w:rsidRDefault="00584E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69"/>
        <w:gridCol w:w="4625"/>
        <w:gridCol w:w="36"/>
        <w:gridCol w:w="70"/>
        <w:gridCol w:w="1162"/>
        <w:gridCol w:w="36"/>
      </w:tblGrid>
      <w:tr w:rsidR="00584EC1" w14:paraId="74DD9EE7" w14:textId="77777777">
        <w:tc>
          <w:tcPr>
            <w:tcW w:w="50" w:type="pct"/>
            <w:shd w:val="clear" w:color="auto" w:fill="auto"/>
            <w:vAlign w:val="bottom"/>
          </w:tcPr>
          <w:p w14:paraId="74DD9EDE" w14:textId="77777777" w:rsidR="00584EC1" w:rsidRDefault="00584EC1">
            <w:pPr>
              <w:rPr>
                <w:rFonts w:ascii="宋体"/>
              </w:rPr>
            </w:pPr>
          </w:p>
        </w:tc>
        <w:tc>
          <w:tcPr>
            <w:tcW w:w="1348" w:type="pct"/>
            <w:shd w:val="clear" w:color="auto" w:fill="auto"/>
            <w:vAlign w:val="bottom"/>
          </w:tcPr>
          <w:p w14:paraId="74DD9EDF" w14:textId="77777777" w:rsidR="00584EC1" w:rsidRDefault="00584EC1">
            <w:pPr>
              <w:rPr>
                <w:rFonts w:ascii="宋体"/>
              </w:rPr>
            </w:pPr>
          </w:p>
        </w:tc>
        <w:tc>
          <w:tcPr>
            <w:tcW w:w="5" w:type="pct"/>
            <w:shd w:val="clear" w:color="auto" w:fill="auto"/>
            <w:vAlign w:val="bottom"/>
          </w:tcPr>
          <w:p w14:paraId="74DD9EE0" w14:textId="77777777" w:rsidR="00584EC1" w:rsidRDefault="00584EC1">
            <w:pPr>
              <w:rPr>
                <w:rFonts w:ascii="宋体"/>
              </w:rPr>
            </w:pPr>
          </w:p>
        </w:tc>
        <w:tc>
          <w:tcPr>
            <w:tcW w:w="50" w:type="pct"/>
            <w:shd w:val="clear" w:color="auto" w:fill="auto"/>
            <w:vAlign w:val="bottom"/>
          </w:tcPr>
          <w:p w14:paraId="74DD9EE1" w14:textId="77777777" w:rsidR="00584EC1" w:rsidRDefault="00584EC1">
            <w:pPr>
              <w:rPr>
                <w:rFonts w:ascii="宋体"/>
              </w:rPr>
            </w:pPr>
          </w:p>
        </w:tc>
        <w:tc>
          <w:tcPr>
            <w:tcW w:w="2781" w:type="pct"/>
            <w:shd w:val="clear" w:color="auto" w:fill="auto"/>
            <w:vAlign w:val="bottom"/>
          </w:tcPr>
          <w:p w14:paraId="74DD9EE2" w14:textId="77777777" w:rsidR="00584EC1" w:rsidRDefault="00584EC1">
            <w:pPr>
              <w:rPr>
                <w:rFonts w:ascii="宋体"/>
              </w:rPr>
            </w:pPr>
          </w:p>
        </w:tc>
        <w:tc>
          <w:tcPr>
            <w:tcW w:w="5" w:type="pct"/>
            <w:shd w:val="clear" w:color="auto" w:fill="auto"/>
            <w:vAlign w:val="bottom"/>
          </w:tcPr>
          <w:p w14:paraId="74DD9EE3" w14:textId="77777777" w:rsidR="00584EC1" w:rsidRDefault="00584EC1">
            <w:pPr>
              <w:rPr>
                <w:rFonts w:ascii="宋体"/>
              </w:rPr>
            </w:pPr>
          </w:p>
        </w:tc>
        <w:tc>
          <w:tcPr>
            <w:tcW w:w="50" w:type="pct"/>
            <w:shd w:val="clear" w:color="auto" w:fill="auto"/>
            <w:vAlign w:val="bottom"/>
          </w:tcPr>
          <w:p w14:paraId="74DD9EE4" w14:textId="77777777" w:rsidR="00584EC1" w:rsidRDefault="00584EC1">
            <w:pPr>
              <w:rPr>
                <w:rFonts w:ascii="宋体"/>
              </w:rPr>
            </w:pPr>
          </w:p>
        </w:tc>
        <w:tc>
          <w:tcPr>
            <w:tcW w:w="705" w:type="pct"/>
            <w:shd w:val="clear" w:color="auto" w:fill="auto"/>
            <w:vAlign w:val="bottom"/>
          </w:tcPr>
          <w:p w14:paraId="74DD9EE5" w14:textId="77777777" w:rsidR="00584EC1" w:rsidRDefault="00584EC1">
            <w:pPr>
              <w:rPr>
                <w:rFonts w:ascii="宋体"/>
              </w:rPr>
            </w:pPr>
          </w:p>
        </w:tc>
        <w:tc>
          <w:tcPr>
            <w:tcW w:w="5" w:type="pct"/>
            <w:shd w:val="clear" w:color="auto" w:fill="auto"/>
            <w:vAlign w:val="bottom"/>
          </w:tcPr>
          <w:p w14:paraId="74DD9EE6" w14:textId="77777777" w:rsidR="00584EC1" w:rsidRDefault="00584EC1">
            <w:pPr>
              <w:rPr>
                <w:rFonts w:ascii="宋体"/>
              </w:rPr>
            </w:pPr>
          </w:p>
        </w:tc>
      </w:tr>
      <w:tr w:rsidR="00584EC1" w14:paraId="74DD9EEB"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4DD9EE8"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9EE9"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9EEA" w14:textId="77777777" w:rsidR="00584EC1" w:rsidRDefault="00584EC1">
            <w:pPr>
              <w:rPr>
                <w:rFonts w:ascii="宋体"/>
              </w:rPr>
            </w:pPr>
          </w:p>
        </w:tc>
      </w:tr>
    </w:tbl>
    <w:p w14:paraId="74DD9EEC" w14:textId="77777777" w:rsidR="00584EC1" w:rsidRDefault="00871F8D">
      <w:pPr>
        <w:jc w:val="both"/>
      </w:pPr>
      <w:r>
        <w:rPr>
          <w:rFonts w:ascii="Arial" w:eastAsia="宋体" w:hAnsi="Arial" w:cs="Arial"/>
          <w:color w:val="000000"/>
          <w:sz w:val="7"/>
          <w:szCs w:val="7"/>
        </w:rPr>
        <w:t xml:space="preserve">(1) </w:t>
      </w:r>
      <w:r>
        <w:rPr>
          <w:rFonts w:ascii="Arial" w:eastAsia="宋体" w:hAnsi="Arial" w:cs="Arial"/>
          <w:color w:val="000000"/>
          <w:sz w:val="12"/>
          <w:szCs w:val="12"/>
        </w:rPr>
        <w:t>Under the advanced approaches, includes CVA RWA.</w:t>
      </w:r>
    </w:p>
    <w:p w14:paraId="74DD9EED" w14:textId="77777777" w:rsidR="00584EC1" w:rsidRDefault="00871F8D">
      <w:pPr>
        <w:spacing w:before="20"/>
        <w:jc w:val="both"/>
      </w:pPr>
      <w:r>
        <w:rPr>
          <w:rFonts w:ascii="Arial" w:eastAsia="宋体" w:hAnsi="Arial" w:cs="Arial"/>
          <w:color w:val="000000"/>
          <w:sz w:val="7"/>
          <w:szCs w:val="7"/>
        </w:rPr>
        <w:t xml:space="preserve">(2) </w:t>
      </w:r>
      <w:r>
        <w:rPr>
          <w:rFonts w:ascii="Arial" w:eastAsia="宋体" w:hAnsi="Arial" w:cs="Arial"/>
          <w:color w:val="000000"/>
          <w:sz w:val="12"/>
          <w:szCs w:val="12"/>
        </w:rPr>
        <w:t xml:space="preserve">Includes assets not in a </w:t>
      </w:r>
      <w:r>
        <w:rPr>
          <w:rFonts w:ascii="Arial" w:eastAsia="宋体" w:hAnsi="Arial" w:cs="Arial"/>
          <w:color w:val="000000"/>
          <w:sz w:val="12"/>
          <w:szCs w:val="12"/>
        </w:rPr>
        <w:t>definable category, non-material portfolio, cleared transactions, other wholesale, cash and due from banks, interest-bearing deposits with banks, and equity exposures.</w:t>
      </w:r>
    </w:p>
    <w:p w14:paraId="74DD9EEE" w14:textId="77777777" w:rsidR="00584EC1" w:rsidRDefault="00871F8D">
      <w:pPr>
        <w:spacing w:before="20"/>
        <w:jc w:val="both"/>
      </w:pPr>
      <w:r>
        <w:rPr>
          <w:rFonts w:ascii="Arial" w:eastAsia="宋体" w:hAnsi="Arial" w:cs="Arial"/>
          <w:color w:val="000000"/>
          <w:sz w:val="7"/>
          <w:szCs w:val="7"/>
        </w:rPr>
        <w:t>NA</w:t>
      </w:r>
      <w:r>
        <w:rPr>
          <w:rFonts w:ascii="Arial" w:eastAsia="宋体" w:hAnsi="Arial" w:cs="Arial"/>
          <w:color w:val="000000"/>
          <w:sz w:val="12"/>
          <w:szCs w:val="12"/>
        </w:rPr>
        <w:t xml:space="preserve"> Not applicable </w:t>
      </w:r>
    </w:p>
    <w:p w14:paraId="74DD9EEF" w14:textId="77777777" w:rsidR="00584EC1" w:rsidRDefault="00871F8D">
      <w:pPr>
        <w:spacing w:before="60"/>
        <w:ind w:firstLine="450"/>
        <w:jc w:val="both"/>
      </w:pPr>
      <w:r>
        <w:rPr>
          <w:rFonts w:ascii="Arial" w:eastAsia="宋体" w:hAnsi="Arial" w:cs="Arial"/>
          <w:color w:val="000000"/>
          <w:sz w:val="20"/>
          <w:szCs w:val="20"/>
        </w:rPr>
        <w:t>As of September 30, 2021, total advanced approaches RWA increased $5.</w:t>
      </w:r>
      <w:r>
        <w:rPr>
          <w:rFonts w:ascii="Arial" w:eastAsia="宋体" w:hAnsi="Arial" w:cs="Arial"/>
          <w:color w:val="000000"/>
          <w:sz w:val="20"/>
          <w:szCs w:val="20"/>
        </w:rPr>
        <w:t>17 billion compared to December 31, 2020, mainly due to an increase in credit risk and operational risk RWA. The increase in credit risk RWA was primarily driven by a net increase in all other and loans RWA.</w:t>
      </w:r>
    </w:p>
    <w:p w14:paraId="74DD9EF0" w14:textId="77777777" w:rsidR="00584EC1" w:rsidRDefault="00871F8D">
      <w:pPr>
        <w:spacing w:before="60"/>
        <w:ind w:firstLine="450"/>
        <w:jc w:val="both"/>
      </w:pPr>
      <w:r>
        <w:rPr>
          <w:rFonts w:ascii="Arial" w:eastAsia="宋体" w:hAnsi="Arial" w:cs="Arial"/>
          <w:color w:val="000000"/>
          <w:sz w:val="20"/>
          <w:szCs w:val="20"/>
        </w:rPr>
        <w:t>As of September 30, 2021, total standardized app</w:t>
      </w:r>
      <w:r>
        <w:rPr>
          <w:rFonts w:ascii="Arial" w:eastAsia="宋体" w:hAnsi="Arial" w:cs="Arial"/>
          <w:color w:val="000000"/>
          <w:sz w:val="20"/>
          <w:szCs w:val="20"/>
        </w:rPr>
        <w:t>roach RWA increased $0.15 billion compared to December 31, 2020, mainly due to higher market risk RWA, partially offset by lower credit risk RWA. The decrease in credit risk RWA was primarily driven by a decrease in repo-style transactions RWA, partially o</w:t>
      </w:r>
      <w:r>
        <w:rPr>
          <w:rFonts w:ascii="Arial" w:eastAsia="宋体" w:hAnsi="Arial" w:cs="Arial"/>
          <w:color w:val="000000"/>
          <w:sz w:val="20"/>
          <w:szCs w:val="20"/>
        </w:rPr>
        <w:t>ffset by an increase in FX trading and loans RWA.</w:t>
      </w:r>
    </w:p>
    <w:p w14:paraId="74DD9EF1" w14:textId="77777777" w:rsidR="00584EC1" w:rsidRDefault="00871F8D">
      <w:pPr>
        <w:spacing w:before="60"/>
        <w:ind w:firstLine="450"/>
        <w:jc w:val="both"/>
      </w:pPr>
      <w:r>
        <w:rPr>
          <w:rFonts w:ascii="Arial" w:eastAsia="宋体" w:hAnsi="Arial" w:cs="Arial"/>
          <w:color w:val="000000"/>
          <w:sz w:val="20"/>
          <w:szCs w:val="20"/>
        </w:rPr>
        <w:t>The regulatory capital ratios as of September 30, 2021, presented in Table 35: Regulatory Capital Structure and Related Regulatory Capital Ratios, are calculated under the advanced approaches and standardiz</w:t>
      </w:r>
      <w:r>
        <w:rPr>
          <w:rFonts w:ascii="Arial" w:eastAsia="宋体" w:hAnsi="Arial" w:cs="Arial"/>
          <w:color w:val="000000"/>
          <w:sz w:val="20"/>
          <w:szCs w:val="20"/>
        </w:rPr>
        <w:t>ed approach in conformity with the Basel III final rule. The advanced approaches-based ratios reflect calculations and determinations with respect to our capital and related matters as of September 30, 2021, based on our and external data, quantitative for</w:t>
      </w:r>
      <w:r>
        <w:rPr>
          <w:rFonts w:ascii="Arial" w:eastAsia="宋体" w:hAnsi="Arial" w:cs="Arial"/>
          <w:color w:val="000000"/>
          <w:sz w:val="20"/>
          <w:szCs w:val="20"/>
        </w:rPr>
        <w:t>mulae, statistical models, historical correlations and assumptions, collectively referred to as “advanced systems,” in effect and used by us for those purposes as of the time we first reported such ratios in a quarterly report on Form 10-Q or an annual rep</w:t>
      </w:r>
      <w:r>
        <w:rPr>
          <w:rFonts w:ascii="Arial" w:eastAsia="宋体" w:hAnsi="Arial" w:cs="Arial"/>
          <w:color w:val="000000"/>
          <w:sz w:val="20"/>
          <w:szCs w:val="20"/>
        </w:rPr>
        <w:t>ort on Form 10-K. Significant components of these advanced systems involve the exercise of judgment by us and our regulators, and our advanced systems may not, individually or collectively, precisely represent or calculate the scenarios, circumstances, out</w:t>
      </w:r>
      <w:r>
        <w:rPr>
          <w:rFonts w:ascii="Arial" w:eastAsia="宋体" w:hAnsi="Arial" w:cs="Arial"/>
          <w:color w:val="000000"/>
          <w:sz w:val="20"/>
          <w:szCs w:val="20"/>
        </w:rPr>
        <w:t>puts or other results for which they are designed or intended.</w:t>
      </w:r>
    </w:p>
    <w:p w14:paraId="74DD9EF2" w14:textId="77777777" w:rsidR="00584EC1" w:rsidRDefault="00871F8D">
      <w:pPr>
        <w:spacing w:before="60"/>
        <w:ind w:firstLine="450"/>
        <w:jc w:val="both"/>
      </w:pPr>
      <w:r>
        <w:rPr>
          <w:rFonts w:ascii="Arial" w:eastAsia="宋体" w:hAnsi="Arial" w:cs="Arial"/>
          <w:color w:val="000000"/>
          <w:sz w:val="20"/>
          <w:szCs w:val="20"/>
        </w:rPr>
        <w:t>Our advanced systems are subject to update and periodic revalidation in response to changes in our business activities and our historical experiences, forces and events experienced by the marke</w:t>
      </w:r>
      <w:r>
        <w:rPr>
          <w:rFonts w:ascii="Arial" w:eastAsia="宋体" w:hAnsi="Arial" w:cs="Arial"/>
          <w:color w:val="000000"/>
          <w:sz w:val="20"/>
          <w:szCs w:val="20"/>
        </w:rPr>
        <w:t>t broadly or by individual financial institutions, changes in regulations and regulatory interpretations and other factors, and are also subject to continuing regulatory review and approval. For example, a significant operational loss experienced by anothe</w:t>
      </w:r>
      <w:r>
        <w:rPr>
          <w:rFonts w:ascii="Arial" w:eastAsia="宋体" w:hAnsi="Arial" w:cs="Arial"/>
          <w:color w:val="000000"/>
          <w:sz w:val="20"/>
          <w:szCs w:val="20"/>
        </w:rPr>
        <w:t xml:space="preserve">r financial institution, even if we do not experience a related loss, could result in a material change in the output of our advanced systems and a corresponding material change in our risk exposures, our total RWA and our capital ratios compared to prior </w:t>
      </w:r>
      <w:r>
        <w:rPr>
          <w:rFonts w:ascii="Arial" w:eastAsia="宋体" w:hAnsi="Arial" w:cs="Arial"/>
          <w:color w:val="000000"/>
          <w:sz w:val="20"/>
          <w:szCs w:val="20"/>
        </w:rPr>
        <w:t>periods. An operational loss that we experience could also result in a material change in our capital requirements for operational risk under the advanced approaches, depending on the severity of the loss event, its characterization among the seven Basel-d</w:t>
      </w:r>
      <w:r>
        <w:rPr>
          <w:rFonts w:ascii="Arial" w:eastAsia="宋体" w:hAnsi="Arial" w:cs="Arial"/>
          <w:color w:val="000000"/>
          <w:sz w:val="20"/>
          <w:szCs w:val="20"/>
        </w:rPr>
        <w:t>efined UOM, and the stability of the distributional approach for a particular UOM, and without direct correlation to the effects of the loss event, or the timing of such effects, on our results of operations.</w:t>
      </w:r>
    </w:p>
    <w:p w14:paraId="74DD9EF3" w14:textId="77777777" w:rsidR="00584EC1" w:rsidRDefault="00871F8D">
      <w:pPr>
        <w:spacing w:before="60"/>
        <w:ind w:firstLine="450"/>
        <w:jc w:val="both"/>
      </w:pPr>
      <w:r>
        <w:rPr>
          <w:rFonts w:ascii="Arial" w:eastAsia="宋体" w:hAnsi="Arial" w:cs="Arial"/>
          <w:color w:val="000000"/>
          <w:sz w:val="20"/>
          <w:szCs w:val="20"/>
        </w:rPr>
        <w:t>Due to the influence of changes in these advanc</w:t>
      </w:r>
      <w:r>
        <w:rPr>
          <w:rFonts w:ascii="Arial" w:eastAsia="宋体" w:hAnsi="Arial" w:cs="Arial"/>
          <w:color w:val="000000"/>
          <w:sz w:val="20"/>
          <w:szCs w:val="20"/>
        </w:rPr>
        <w:t>ed systems, whether resulting from changes in data inputs, regulation or regulatory supervision or interpretation, specific to us or market activities or experiences or other updates or factors, we expect that our advanced systems and our capital ratios ca</w:t>
      </w:r>
      <w:r>
        <w:rPr>
          <w:rFonts w:ascii="Arial" w:eastAsia="宋体" w:hAnsi="Arial" w:cs="Arial"/>
          <w:color w:val="000000"/>
          <w:sz w:val="20"/>
          <w:szCs w:val="20"/>
        </w:rPr>
        <w:t xml:space="preserve">lculated in conformity with the Basel III final rule will change and may be volatile over time, and that those latter changes or volatility could be material as calculated and measured from period to period. The full effects of the Basel III final rule on </w:t>
      </w:r>
      <w:r>
        <w:rPr>
          <w:rFonts w:ascii="Arial" w:eastAsia="宋体" w:hAnsi="Arial" w:cs="Arial"/>
          <w:color w:val="000000"/>
          <w:sz w:val="20"/>
          <w:szCs w:val="20"/>
        </w:rPr>
        <w:t>us and State Street Bank are therefore subject to further evaluation and also to further regulatory guidance, action or rule-making.</w:t>
      </w:r>
    </w:p>
    <w:p w14:paraId="74DD9EF4" w14:textId="77777777" w:rsidR="00584EC1" w:rsidRDefault="00871F8D">
      <w:pPr>
        <w:ind w:firstLine="450"/>
        <w:jc w:val="right"/>
      </w:pPr>
      <w:r>
        <w:rPr>
          <w:rFonts w:ascii="Arial" w:eastAsia="宋体" w:hAnsi="Arial" w:cs="Arial"/>
          <w:color w:val="000000"/>
          <w:sz w:val="18"/>
          <w:szCs w:val="18"/>
        </w:rPr>
        <w:t>State Street Corporation | 46</w:t>
      </w:r>
    </w:p>
    <w:p w14:paraId="74DD9EF5" w14:textId="77777777" w:rsidR="00584EC1" w:rsidRDefault="00584EC1">
      <w:pPr>
        <w:ind w:firstLine="450"/>
        <w:jc w:val="center"/>
      </w:pPr>
    </w:p>
    <w:p w14:paraId="74DD9EF6" w14:textId="77777777" w:rsidR="00584EC1" w:rsidRDefault="00871F8D">
      <w:r>
        <w:pict w14:anchorId="74DE2A1C">
          <v:rect id="_x0000_i1070" style="width:415.3pt;height:1.5pt" o:hralign="center" o:hrstd="t" o:hr="t" fillcolor="#a0a0a0" stroked="f"/>
        </w:pict>
      </w:r>
    </w:p>
    <w:p w14:paraId="74DD9EF7" w14:textId="77777777" w:rsidR="00584EC1" w:rsidRDefault="00871F8D">
      <w:pPr>
        <w:ind w:firstLine="450"/>
        <w:jc w:val="center"/>
      </w:pPr>
      <w:r>
        <w:rPr>
          <w:rFonts w:ascii="Arial" w:eastAsia="宋体" w:hAnsi="Arial" w:cs="Arial"/>
          <w:b/>
          <w:bCs/>
          <w:color w:val="000000"/>
          <w:sz w:val="20"/>
          <w:szCs w:val="20"/>
        </w:rPr>
        <w:t>MANAGEMENT’S DISCUSSION AND ANALYSIS OF FINANCIAL CONDITION</w:t>
      </w:r>
    </w:p>
    <w:p w14:paraId="74DD9EF8" w14:textId="77777777" w:rsidR="00584EC1" w:rsidRDefault="00871F8D">
      <w:pPr>
        <w:ind w:firstLine="450"/>
        <w:jc w:val="center"/>
      </w:pPr>
      <w:r>
        <w:rPr>
          <w:rFonts w:ascii="Arial" w:eastAsia="宋体" w:hAnsi="Arial" w:cs="Arial"/>
          <w:b/>
          <w:bCs/>
          <w:color w:val="000000"/>
          <w:sz w:val="20"/>
          <w:szCs w:val="20"/>
        </w:rPr>
        <w:t xml:space="preserve">AND RESULTS OF </w:t>
      </w:r>
      <w:r>
        <w:rPr>
          <w:rFonts w:ascii="Arial" w:eastAsia="宋体" w:hAnsi="Arial" w:cs="Arial"/>
          <w:b/>
          <w:bCs/>
          <w:color w:val="000000"/>
          <w:sz w:val="20"/>
          <w:szCs w:val="20"/>
        </w:rPr>
        <w:t>OPERATIONS</w:t>
      </w:r>
    </w:p>
    <w:p w14:paraId="74DD9EF9" w14:textId="77777777" w:rsidR="00584EC1" w:rsidRDefault="00871F8D">
      <w:pPr>
        <w:spacing w:before="60"/>
        <w:textAlignment w:val="top"/>
      </w:pPr>
      <w:r>
        <w:rPr>
          <w:rFonts w:ascii="Arial" w:eastAsia="宋体" w:hAnsi="Arial" w:cs="Arial"/>
          <w:b/>
          <w:bCs/>
          <w:i/>
          <w:iCs/>
          <w:color w:val="000000"/>
          <w:sz w:val="20"/>
          <w:szCs w:val="20"/>
        </w:rPr>
        <w:t>Tier 1 and Supplementary Leverage Ratios</w:t>
      </w:r>
    </w:p>
    <w:p w14:paraId="74DD9EFA" w14:textId="77777777" w:rsidR="00584EC1" w:rsidRDefault="00871F8D">
      <w:pPr>
        <w:spacing w:before="60"/>
        <w:ind w:firstLine="450"/>
        <w:jc w:val="both"/>
        <w:textAlignment w:val="top"/>
      </w:pPr>
      <w:r>
        <w:rPr>
          <w:rFonts w:ascii="Arial" w:eastAsia="宋体" w:hAnsi="Arial" w:cs="Arial"/>
          <w:color w:val="000000"/>
          <w:sz w:val="20"/>
          <w:szCs w:val="20"/>
        </w:rPr>
        <w:t xml:space="preserve">We are subject to a minimum Tier 1 leverage ratio and a supplementary leverage ratio. The Tier 1 leverage ratio is based on Tier 1 capital and adjusted quarterly average on-balance sheet assets. The </w:t>
      </w:r>
      <w:r>
        <w:rPr>
          <w:rFonts w:ascii="Arial" w:eastAsia="宋体" w:hAnsi="Arial" w:cs="Arial"/>
          <w:color w:val="000000"/>
          <w:sz w:val="20"/>
          <w:szCs w:val="20"/>
        </w:rPr>
        <w:t xml:space="preserve">Tier 1 leverage ratio differs from the SLR primarily in that the denominator of the Tier 1 leverage ratio is a quarterly average of on-balance sheet assets, while the SLR additionally includes off-balance sheet exposures. We must maintain a minimum Tier 1 </w:t>
      </w:r>
      <w:r>
        <w:rPr>
          <w:rFonts w:ascii="Arial" w:eastAsia="宋体" w:hAnsi="Arial" w:cs="Arial"/>
          <w:color w:val="000000"/>
          <w:sz w:val="20"/>
          <w:szCs w:val="20"/>
        </w:rPr>
        <w:t>leverage ratio of 4%.</w:t>
      </w:r>
    </w:p>
    <w:p w14:paraId="74DD9EFB" w14:textId="77777777" w:rsidR="00584EC1" w:rsidRDefault="00871F8D">
      <w:pPr>
        <w:spacing w:before="60"/>
        <w:ind w:firstLine="450"/>
        <w:jc w:val="both"/>
        <w:textAlignment w:val="top"/>
      </w:pPr>
      <w:r>
        <w:rPr>
          <w:rFonts w:ascii="Arial" w:eastAsia="宋体" w:hAnsi="Arial" w:cs="Arial"/>
          <w:color w:val="000000"/>
          <w:sz w:val="20"/>
          <w:szCs w:val="20"/>
        </w:rPr>
        <w:t xml:space="preserve">We are also subject to a minimum SLR of 3%, and as a U.S. G-SIB, we must maintain a 2% SLR buffer in order to avoid any limitations on distributions to shareholders and discretionary bonus payments to certain executives. If we do not </w:t>
      </w:r>
      <w:r>
        <w:rPr>
          <w:rFonts w:ascii="Arial" w:eastAsia="宋体" w:hAnsi="Arial" w:cs="Arial"/>
          <w:color w:val="000000"/>
          <w:sz w:val="20"/>
          <w:szCs w:val="20"/>
        </w:rPr>
        <w:t>maintain this buffer, limitations on these distributions and discretionary bonus payments would be increasingly stringent based upon the extent of the shortfall.</w:t>
      </w:r>
    </w:p>
    <w:tbl>
      <w:tblPr>
        <w:tblW w:w="5000" w:type="pct"/>
        <w:tblCellMar>
          <w:top w:w="15" w:type="dxa"/>
          <w:left w:w="15" w:type="dxa"/>
          <w:bottom w:w="15" w:type="dxa"/>
          <w:right w:w="15" w:type="dxa"/>
        </w:tblCellMar>
        <w:tblLook w:val="04A0" w:firstRow="1" w:lastRow="0" w:firstColumn="1" w:lastColumn="0" w:noHBand="0" w:noVBand="1"/>
      </w:tblPr>
      <w:tblGrid>
        <w:gridCol w:w="39"/>
        <w:gridCol w:w="3954"/>
        <w:gridCol w:w="38"/>
        <w:gridCol w:w="104"/>
        <w:gridCol w:w="1869"/>
        <w:gridCol w:w="154"/>
        <w:gridCol w:w="36"/>
        <w:gridCol w:w="36"/>
        <w:gridCol w:w="36"/>
        <w:gridCol w:w="104"/>
        <w:gridCol w:w="1812"/>
        <w:gridCol w:w="154"/>
      </w:tblGrid>
      <w:tr w:rsidR="00584EC1" w14:paraId="74DD9F08" w14:textId="77777777">
        <w:tc>
          <w:tcPr>
            <w:tcW w:w="50" w:type="pct"/>
            <w:shd w:val="clear" w:color="auto" w:fill="auto"/>
            <w:vAlign w:val="bottom"/>
          </w:tcPr>
          <w:p w14:paraId="74DD9EFC" w14:textId="77777777" w:rsidR="00584EC1" w:rsidRDefault="00584EC1">
            <w:pPr>
              <w:rPr>
                <w:rFonts w:ascii="宋体"/>
              </w:rPr>
            </w:pPr>
          </w:p>
        </w:tc>
        <w:tc>
          <w:tcPr>
            <w:tcW w:w="2445" w:type="pct"/>
            <w:shd w:val="clear" w:color="auto" w:fill="auto"/>
            <w:vAlign w:val="bottom"/>
          </w:tcPr>
          <w:p w14:paraId="74DD9EFD" w14:textId="77777777" w:rsidR="00584EC1" w:rsidRDefault="00584EC1">
            <w:pPr>
              <w:rPr>
                <w:rFonts w:ascii="宋体"/>
              </w:rPr>
            </w:pPr>
          </w:p>
        </w:tc>
        <w:tc>
          <w:tcPr>
            <w:tcW w:w="5" w:type="pct"/>
            <w:shd w:val="clear" w:color="auto" w:fill="auto"/>
            <w:vAlign w:val="bottom"/>
          </w:tcPr>
          <w:p w14:paraId="74DD9EFE" w14:textId="77777777" w:rsidR="00584EC1" w:rsidRDefault="00584EC1">
            <w:pPr>
              <w:rPr>
                <w:rFonts w:ascii="宋体"/>
              </w:rPr>
            </w:pPr>
          </w:p>
        </w:tc>
        <w:tc>
          <w:tcPr>
            <w:tcW w:w="50" w:type="pct"/>
            <w:shd w:val="clear" w:color="auto" w:fill="auto"/>
            <w:vAlign w:val="bottom"/>
          </w:tcPr>
          <w:p w14:paraId="74DD9EFF" w14:textId="77777777" w:rsidR="00584EC1" w:rsidRDefault="00584EC1">
            <w:pPr>
              <w:rPr>
                <w:rFonts w:ascii="宋体"/>
              </w:rPr>
            </w:pPr>
          </w:p>
        </w:tc>
        <w:tc>
          <w:tcPr>
            <w:tcW w:w="1171" w:type="pct"/>
            <w:shd w:val="clear" w:color="auto" w:fill="auto"/>
            <w:vAlign w:val="bottom"/>
          </w:tcPr>
          <w:p w14:paraId="74DD9F00" w14:textId="77777777" w:rsidR="00584EC1" w:rsidRDefault="00584EC1">
            <w:pPr>
              <w:rPr>
                <w:rFonts w:ascii="宋体"/>
              </w:rPr>
            </w:pPr>
          </w:p>
        </w:tc>
        <w:tc>
          <w:tcPr>
            <w:tcW w:w="5" w:type="pct"/>
            <w:shd w:val="clear" w:color="auto" w:fill="auto"/>
            <w:vAlign w:val="bottom"/>
          </w:tcPr>
          <w:p w14:paraId="74DD9F01" w14:textId="77777777" w:rsidR="00584EC1" w:rsidRDefault="00584EC1">
            <w:pPr>
              <w:rPr>
                <w:rFonts w:ascii="宋体"/>
              </w:rPr>
            </w:pPr>
          </w:p>
        </w:tc>
        <w:tc>
          <w:tcPr>
            <w:tcW w:w="5" w:type="pct"/>
            <w:shd w:val="clear" w:color="auto" w:fill="auto"/>
            <w:vAlign w:val="bottom"/>
          </w:tcPr>
          <w:p w14:paraId="74DD9F02" w14:textId="77777777" w:rsidR="00584EC1" w:rsidRDefault="00584EC1">
            <w:pPr>
              <w:rPr>
                <w:rFonts w:ascii="宋体"/>
              </w:rPr>
            </w:pPr>
          </w:p>
        </w:tc>
        <w:tc>
          <w:tcPr>
            <w:tcW w:w="68" w:type="pct"/>
            <w:shd w:val="clear" w:color="auto" w:fill="auto"/>
            <w:vAlign w:val="bottom"/>
          </w:tcPr>
          <w:p w14:paraId="74DD9F03" w14:textId="77777777" w:rsidR="00584EC1" w:rsidRDefault="00584EC1">
            <w:pPr>
              <w:rPr>
                <w:rFonts w:ascii="宋体"/>
              </w:rPr>
            </w:pPr>
          </w:p>
        </w:tc>
        <w:tc>
          <w:tcPr>
            <w:tcW w:w="5" w:type="pct"/>
            <w:shd w:val="clear" w:color="auto" w:fill="auto"/>
            <w:vAlign w:val="bottom"/>
          </w:tcPr>
          <w:p w14:paraId="74DD9F04" w14:textId="77777777" w:rsidR="00584EC1" w:rsidRDefault="00584EC1">
            <w:pPr>
              <w:rPr>
                <w:rFonts w:ascii="宋体"/>
              </w:rPr>
            </w:pPr>
          </w:p>
        </w:tc>
        <w:tc>
          <w:tcPr>
            <w:tcW w:w="50" w:type="pct"/>
            <w:shd w:val="clear" w:color="auto" w:fill="auto"/>
            <w:vAlign w:val="bottom"/>
          </w:tcPr>
          <w:p w14:paraId="74DD9F05" w14:textId="77777777" w:rsidR="00584EC1" w:rsidRDefault="00584EC1">
            <w:pPr>
              <w:rPr>
                <w:rFonts w:ascii="宋体"/>
              </w:rPr>
            </w:pPr>
          </w:p>
        </w:tc>
        <w:tc>
          <w:tcPr>
            <w:tcW w:w="1140" w:type="pct"/>
            <w:shd w:val="clear" w:color="auto" w:fill="auto"/>
            <w:vAlign w:val="bottom"/>
          </w:tcPr>
          <w:p w14:paraId="74DD9F06" w14:textId="77777777" w:rsidR="00584EC1" w:rsidRDefault="00584EC1">
            <w:pPr>
              <w:rPr>
                <w:rFonts w:ascii="宋体"/>
              </w:rPr>
            </w:pPr>
          </w:p>
        </w:tc>
        <w:tc>
          <w:tcPr>
            <w:tcW w:w="5" w:type="pct"/>
            <w:shd w:val="clear" w:color="auto" w:fill="auto"/>
            <w:vAlign w:val="bottom"/>
          </w:tcPr>
          <w:p w14:paraId="74DD9F07" w14:textId="77777777" w:rsidR="00584EC1" w:rsidRDefault="00584EC1">
            <w:pPr>
              <w:rPr>
                <w:rFonts w:ascii="宋体"/>
              </w:rPr>
            </w:pPr>
          </w:p>
        </w:tc>
      </w:tr>
      <w:tr w:rsidR="00584EC1" w14:paraId="74DD9F0A" w14:textId="77777777">
        <w:tc>
          <w:tcPr>
            <w:tcW w:w="0" w:type="auto"/>
            <w:gridSpan w:val="12"/>
            <w:shd w:val="clear" w:color="auto" w:fill="auto"/>
            <w:tcMar>
              <w:top w:w="40" w:type="dxa"/>
              <w:left w:w="20" w:type="dxa"/>
              <w:bottom w:w="40" w:type="dxa"/>
              <w:right w:w="20" w:type="dxa"/>
            </w:tcMar>
            <w:vAlign w:val="bottom"/>
          </w:tcPr>
          <w:p w14:paraId="74DD9F09" w14:textId="77777777" w:rsidR="00584EC1" w:rsidRDefault="00871F8D">
            <w:pPr>
              <w:textAlignment w:val="bottom"/>
            </w:pPr>
            <w:r>
              <w:rPr>
                <w:rFonts w:ascii="Arial" w:eastAsia="宋体" w:hAnsi="Arial" w:cs="Arial"/>
                <w:b/>
                <w:bCs/>
                <w:color w:val="000000"/>
                <w:sz w:val="16"/>
                <w:szCs w:val="16"/>
              </w:rPr>
              <w:t>TABLE 38: TIER 1 AND SUPPLEMENTARY LEVERAGE RATIOS</w:t>
            </w:r>
          </w:p>
        </w:tc>
      </w:tr>
      <w:tr w:rsidR="00584EC1" w14:paraId="74DD9F0F" w14:textId="77777777">
        <w:tc>
          <w:tcPr>
            <w:tcW w:w="0" w:type="auto"/>
            <w:gridSpan w:val="3"/>
            <w:shd w:val="clear" w:color="auto" w:fill="auto"/>
            <w:tcMar>
              <w:top w:w="40" w:type="dxa"/>
              <w:left w:w="20" w:type="dxa"/>
              <w:bottom w:w="40" w:type="dxa"/>
              <w:right w:w="20" w:type="dxa"/>
            </w:tcMar>
            <w:vAlign w:val="bottom"/>
          </w:tcPr>
          <w:p w14:paraId="74DD9F0B" w14:textId="77777777" w:rsidR="00584EC1" w:rsidRDefault="00871F8D">
            <w:pPr>
              <w:textAlignment w:val="bottom"/>
            </w:pPr>
            <w:r>
              <w:rPr>
                <w:rFonts w:ascii="Arial" w:eastAsia="宋体" w:hAnsi="Arial" w:cs="Arial"/>
                <w:b/>
                <w:bCs/>
                <w:color w:val="000000"/>
                <w:sz w:val="14"/>
                <w:szCs w:val="14"/>
              </w:rPr>
              <w:t xml:space="preserve">(Dollars in </w:t>
            </w:r>
            <w:r>
              <w:rPr>
                <w:rFonts w:ascii="Arial" w:eastAsia="宋体" w:hAnsi="Arial" w:cs="Arial"/>
                <w:b/>
                <w:bCs/>
                <w:color w:val="000000"/>
                <w:sz w:val="14"/>
                <w:szCs w:val="14"/>
              </w:rPr>
              <w:t>millions)</w:t>
            </w:r>
          </w:p>
        </w:tc>
        <w:tc>
          <w:tcPr>
            <w:tcW w:w="0" w:type="auto"/>
            <w:gridSpan w:val="3"/>
            <w:shd w:val="clear" w:color="auto" w:fill="auto"/>
            <w:tcMar>
              <w:top w:w="40" w:type="dxa"/>
              <w:left w:w="20" w:type="dxa"/>
              <w:bottom w:w="40" w:type="dxa"/>
              <w:right w:w="20" w:type="dxa"/>
            </w:tcMar>
            <w:vAlign w:val="bottom"/>
          </w:tcPr>
          <w:p w14:paraId="74DD9F0C" w14:textId="77777777" w:rsidR="00584EC1" w:rsidRDefault="00871F8D">
            <w:pPr>
              <w:jc w:val="center"/>
              <w:textAlignment w:val="bottom"/>
            </w:pPr>
            <w:r>
              <w:rPr>
                <w:rFonts w:ascii="Arial" w:eastAsia="宋体" w:hAnsi="Arial" w:cs="Arial"/>
                <w:b/>
                <w:bCs/>
                <w:color w:val="000000"/>
                <w:sz w:val="14"/>
                <w:szCs w:val="14"/>
              </w:rPr>
              <w:t>September 30, 2021</w:t>
            </w:r>
          </w:p>
        </w:tc>
        <w:tc>
          <w:tcPr>
            <w:tcW w:w="0" w:type="auto"/>
            <w:gridSpan w:val="3"/>
            <w:shd w:val="clear" w:color="auto" w:fill="auto"/>
            <w:tcMar>
              <w:top w:w="0" w:type="dxa"/>
              <w:left w:w="20" w:type="dxa"/>
              <w:bottom w:w="0" w:type="dxa"/>
              <w:right w:w="20" w:type="dxa"/>
            </w:tcMar>
            <w:vAlign w:val="bottom"/>
          </w:tcPr>
          <w:p w14:paraId="74DD9F0D"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9F0E" w14:textId="77777777" w:rsidR="00584EC1" w:rsidRDefault="00871F8D">
            <w:pPr>
              <w:jc w:val="center"/>
              <w:textAlignment w:val="bottom"/>
            </w:pPr>
            <w:r>
              <w:rPr>
                <w:rFonts w:ascii="Arial" w:eastAsia="宋体" w:hAnsi="Arial" w:cs="Arial"/>
                <w:b/>
                <w:bCs/>
                <w:color w:val="000000"/>
                <w:sz w:val="14"/>
                <w:szCs w:val="14"/>
              </w:rPr>
              <w:t>December 31, 2020</w:t>
            </w:r>
          </w:p>
        </w:tc>
      </w:tr>
      <w:tr w:rsidR="00584EC1" w14:paraId="74DD9F14" w14:textId="77777777">
        <w:tc>
          <w:tcPr>
            <w:tcW w:w="0" w:type="auto"/>
            <w:gridSpan w:val="3"/>
            <w:shd w:val="clear" w:color="auto" w:fill="auto"/>
            <w:tcMar>
              <w:top w:w="40" w:type="dxa"/>
              <w:left w:w="20" w:type="dxa"/>
              <w:bottom w:w="40" w:type="dxa"/>
              <w:right w:w="20" w:type="dxa"/>
            </w:tcMar>
            <w:vAlign w:val="bottom"/>
          </w:tcPr>
          <w:p w14:paraId="74DD9F10" w14:textId="77777777" w:rsidR="00584EC1" w:rsidRDefault="00871F8D">
            <w:pPr>
              <w:textAlignment w:val="bottom"/>
            </w:pPr>
            <w:r>
              <w:rPr>
                <w:rFonts w:ascii="Arial" w:eastAsia="宋体" w:hAnsi="Arial" w:cs="Arial"/>
                <w:b/>
                <w:bCs/>
                <w:color w:val="000000"/>
                <w:sz w:val="15"/>
                <w:szCs w:val="15"/>
              </w:rPr>
              <w:t>State Street: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F1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9F12"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F13" w14:textId="77777777" w:rsidR="00584EC1" w:rsidRDefault="00584EC1">
            <w:pPr>
              <w:rPr>
                <w:rFonts w:ascii="宋体"/>
              </w:rPr>
            </w:pPr>
          </w:p>
        </w:tc>
      </w:tr>
      <w:tr w:rsidR="00584EC1" w14:paraId="74DD9F1D" w14:textId="77777777">
        <w:tc>
          <w:tcPr>
            <w:tcW w:w="0" w:type="auto"/>
            <w:gridSpan w:val="3"/>
            <w:shd w:val="clear" w:color="auto" w:fill="CCEEFF"/>
            <w:tcMar>
              <w:top w:w="40" w:type="dxa"/>
              <w:left w:w="20" w:type="dxa"/>
              <w:bottom w:w="40" w:type="dxa"/>
              <w:right w:w="20" w:type="dxa"/>
            </w:tcMar>
            <w:vAlign w:val="bottom"/>
          </w:tcPr>
          <w:p w14:paraId="74DD9F15" w14:textId="77777777" w:rsidR="00584EC1" w:rsidRDefault="00871F8D">
            <w:pPr>
              <w:textAlignment w:val="bottom"/>
            </w:pPr>
            <w:r>
              <w:rPr>
                <w:rFonts w:ascii="Arial" w:eastAsia="宋体" w:hAnsi="Arial" w:cs="Arial"/>
                <w:color w:val="000000"/>
                <w:sz w:val="15"/>
                <w:szCs w:val="15"/>
              </w:rPr>
              <w:t>Tier 1 capital</w:t>
            </w:r>
          </w:p>
        </w:tc>
        <w:tc>
          <w:tcPr>
            <w:tcW w:w="0" w:type="auto"/>
            <w:shd w:val="clear" w:color="auto" w:fill="CCEEFF"/>
            <w:tcMar>
              <w:top w:w="40" w:type="dxa"/>
              <w:left w:w="20" w:type="dxa"/>
              <w:bottom w:w="40" w:type="dxa"/>
              <w:right w:w="0" w:type="dxa"/>
            </w:tcMar>
            <w:vAlign w:val="bottom"/>
          </w:tcPr>
          <w:p w14:paraId="74DD9F16" w14:textId="77777777" w:rsidR="00584EC1" w:rsidRDefault="00871F8D">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4DD9F17" w14:textId="77777777" w:rsidR="00584EC1" w:rsidRDefault="00871F8D">
            <w:pPr>
              <w:jc w:val="right"/>
              <w:textAlignment w:val="bottom"/>
            </w:pPr>
            <w:r>
              <w:rPr>
                <w:rFonts w:ascii="Arial" w:eastAsia="宋体" w:hAnsi="Arial" w:cs="Arial"/>
                <w:b/>
                <w:bCs/>
                <w:color w:val="000000"/>
                <w:sz w:val="15"/>
                <w:szCs w:val="15"/>
              </w:rPr>
              <w:t>17,807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9F1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F19"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9F1A" w14:textId="77777777" w:rsidR="00584EC1" w:rsidRDefault="00871F8D">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4DD9F1B" w14:textId="77777777" w:rsidR="00584EC1" w:rsidRDefault="00871F8D">
            <w:pPr>
              <w:jc w:val="right"/>
              <w:textAlignment w:val="bottom"/>
            </w:pPr>
            <w:r>
              <w:rPr>
                <w:rFonts w:ascii="Arial" w:eastAsia="宋体" w:hAnsi="Arial" w:cs="Arial"/>
                <w:color w:val="000000"/>
                <w:sz w:val="15"/>
                <w:szCs w:val="15"/>
              </w:rPr>
              <w:t>16,848 </w:t>
            </w:r>
          </w:p>
        </w:tc>
        <w:tc>
          <w:tcPr>
            <w:tcW w:w="0" w:type="auto"/>
            <w:shd w:val="clear" w:color="auto" w:fill="CCEEFF"/>
            <w:tcMar>
              <w:top w:w="40" w:type="dxa"/>
              <w:left w:w="0" w:type="dxa"/>
              <w:bottom w:w="40" w:type="dxa"/>
              <w:right w:w="20" w:type="dxa"/>
            </w:tcMar>
            <w:vAlign w:val="bottom"/>
          </w:tcPr>
          <w:p w14:paraId="74DD9F1C" w14:textId="77777777" w:rsidR="00584EC1" w:rsidRDefault="00584EC1">
            <w:pPr>
              <w:jc w:val="right"/>
              <w:rPr>
                <w:rFonts w:ascii="宋体"/>
              </w:rPr>
            </w:pPr>
          </w:p>
        </w:tc>
      </w:tr>
      <w:tr w:rsidR="00584EC1" w14:paraId="74DD9F24" w14:textId="77777777">
        <w:tc>
          <w:tcPr>
            <w:tcW w:w="0" w:type="auto"/>
            <w:gridSpan w:val="3"/>
            <w:shd w:val="clear" w:color="auto" w:fill="FFFFFF"/>
            <w:tcMar>
              <w:top w:w="40" w:type="dxa"/>
              <w:left w:w="20" w:type="dxa"/>
              <w:bottom w:w="40" w:type="dxa"/>
              <w:right w:w="20" w:type="dxa"/>
            </w:tcMar>
            <w:vAlign w:val="bottom"/>
          </w:tcPr>
          <w:p w14:paraId="74DD9F1E" w14:textId="77777777" w:rsidR="00584EC1" w:rsidRDefault="00871F8D">
            <w:pPr>
              <w:textAlignment w:val="bottom"/>
            </w:pPr>
            <w:r>
              <w:rPr>
                <w:rFonts w:ascii="Arial" w:eastAsia="宋体" w:hAnsi="Arial" w:cs="Arial"/>
                <w:color w:val="000000"/>
                <w:sz w:val="15"/>
                <w:szCs w:val="15"/>
              </w:rPr>
              <w:t>Average assets</w:t>
            </w:r>
          </w:p>
        </w:tc>
        <w:tc>
          <w:tcPr>
            <w:tcW w:w="0" w:type="auto"/>
            <w:gridSpan w:val="2"/>
            <w:shd w:val="clear" w:color="auto" w:fill="FFFFFF"/>
            <w:tcMar>
              <w:top w:w="40" w:type="dxa"/>
              <w:left w:w="20" w:type="dxa"/>
              <w:bottom w:w="40" w:type="dxa"/>
              <w:right w:w="0" w:type="dxa"/>
            </w:tcMar>
            <w:vAlign w:val="bottom"/>
          </w:tcPr>
          <w:p w14:paraId="74DD9F1F" w14:textId="77777777" w:rsidR="00584EC1" w:rsidRDefault="00871F8D">
            <w:pPr>
              <w:jc w:val="right"/>
              <w:textAlignment w:val="bottom"/>
            </w:pPr>
            <w:r>
              <w:rPr>
                <w:rFonts w:ascii="Arial" w:eastAsia="宋体" w:hAnsi="Arial" w:cs="Arial"/>
                <w:b/>
                <w:bCs/>
                <w:color w:val="000000"/>
                <w:sz w:val="15"/>
                <w:szCs w:val="15"/>
              </w:rPr>
              <w:t>291,459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9F2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F2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F22" w14:textId="77777777" w:rsidR="00584EC1" w:rsidRDefault="00871F8D">
            <w:pPr>
              <w:jc w:val="right"/>
              <w:textAlignment w:val="bottom"/>
            </w:pPr>
            <w:r>
              <w:rPr>
                <w:rFonts w:ascii="Arial" w:eastAsia="宋体" w:hAnsi="Arial" w:cs="Arial"/>
                <w:color w:val="000000"/>
                <w:sz w:val="15"/>
                <w:szCs w:val="15"/>
              </w:rPr>
              <w:t>277,055 </w:t>
            </w:r>
          </w:p>
        </w:tc>
        <w:tc>
          <w:tcPr>
            <w:tcW w:w="0" w:type="auto"/>
            <w:shd w:val="clear" w:color="auto" w:fill="FFFFFF"/>
            <w:tcMar>
              <w:top w:w="40" w:type="dxa"/>
              <w:left w:w="0" w:type="dxa"/>
              <w:bottom w:w="40" w:type="dxa"/>
              <w:right w:w="20" w:type="dxa"/>
            </w:tcMar>
            <w:vAlign w:val="bottom"/>
          </w:tcPr>
          <w:p w14:paraId="74DD9F23" w14:textId="77777777" w:rsidR="00584EC1" w:rsidRDefault="00584EC1">
            <w:pPr>
              <w:jc w:val="right"/>
              <w:rPr>
                <w:rFonts w:ascii="宋体"/>
              </w:rPr>
            </w:pPr>
          </w:p>
        </w:tc>
      </w:tr>
      <w:tr w:rsidR="00584EC1" w14:paraId="74DD9F2B" w14:textId="77777777">
        <w:tc>
          <w:tcPr>
            <w:tcW w:w="0" w:type="auto"/>
            <w:gridSpan w:val="3"/>
            <w:shd w:val="clear" w:color="auto" w:fill="CCEEFF"/>
            <w:tcMar>
              <w:top w:w="40" w:type="dxa"/>
              <w:left w:w="20" w:type="dxa"/>
              <w:bottom w:w="40" w:type="dxa"/>
              <w:right w:w="20" w:type="dxa"/>
            </w:tcMar>
            <w:vAlign w:val="bottom"/>
          </w:tcPr>
          <w:p w14:paraId="74DD9F25" w14:textId="77777777" w:rsidR="00584EC1" w:rsidRDefault="00871F8D">
            <w:pPr>
              <w:textAlignment w:val="bottom"/>
            </w:pPr>
            <w:r>
              <w:rPr>
                <w:rFonts w:ascii="Arial" w:eastAsia="宋体" w:hAnsi="Arial" w:cs="Arial"/>
                <w:color w:val="000000"/>
                <w:sz w:val="15"/>
                <w:szCs w:val="15"/>
              </w:rPr>
              <w:t>Less: adjustments for deductions from tier 1 capital and other</w:t>
            </w:r>
          </w:p>
        </w:tc>
        <w:tc>
          <w:tcPr>
            <w:tcW w:w="0" w:type="auto"/>
            <w:gridSpan w:val="2"/>
            <w:shd w:val="clear" w:color="auto" w:fill="CCEEFF"/>
            <w:tcMar>
              <w:top w:w="40" w:type="dxa"/>
              <w:left w:w="20" w:type="dxa"/>
              <w:bottom w:w="40" w:type="dxa"/>
              <w:right w:w="0" w:type="dxa"/>
            </w:tcMar>
            <w:vAlign w:val="bottom"/>
          </w:tcPr>
          <w:p w14:paraId="74DD9F26" w14:textId="77777777" w:rsidR="00584EC1" w:rsidRDefault="00871F8D">
            <w:pPr>
              <w:jc w:val="right"/>
              <w:textAlignment w:val="bottom"/>
            </w:pPr>
            <w:r>
              <w:rPr>
                <w:rFonts w:ascii="Arial" w:eastAsia="宋体" w:hAnsi="Arial" w:cs="Arial"/>
                <w:b/>
                <w:bCs/>
                <w:color w:val="000000"/>
                <w:sz w:val="15"/>
                <w:szCs w:val="15"/>
              </w:rPr>
              <w:t>(9,507)</w:t>
            </w:r>
          </w:p>
        </w:tc>
        <w:tc>
          <w:tcPr>
            <w:tcW w:w="0" w:type="auto"/>
            <w:shd w:val="clear" w:color="auto" w:fill="CCEEFF"/>
            <w:tcMar>
              <w:top w:w="40" w:type="dxa"/>
              <w:left w:w="0" w:type="dxa"/>
              <w:bottom w:w="40" w:type="dxa"/>
              <w:right w:w="20" w:type="dxa"/>
            </w:tcMar>
            <w:vAlign w:val="bottom"/>
          </w:tcPr>
          <w:p w14:paraId="74DD9F2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F28"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F29" w14:textId="77777777" w:rsidR="00584EC1" w:rsidRDefault="00871F8D">
            <w:pPr>
              <w:jc w:val="right"/>
              <w:textAlignment w:val="bottom"/>
            </w:pPr>
            <w:r>
              <w:rPr>
                <w:rFonts w:ascii="Arial" w:eastAsia="宋体" w:hAnsi="Arial" w:cs="Arial"/>
                <w:color w:val="000000"/>
                <w:sz w:val="15"/>
                <w:szCs w:val="15"/>
              </w:rPr>
              <w:t>(13,565)</w:t>
            </w:r>
          </w:p>
        </w:tc>
        <w:tc>
          <w:tcPr>
            <w:tcW w:w="0" w:type="auto"/>
            <w:shd w:val="clear" w:color="auto" w:fill="CCEEFF"/>
            <w:tcMar>
              <w:top w:w="40" w:type="dxa"/>
              <w:left w:w="0" w:type="dxa"/>
              <w:bottom w:w="40" w:type="dxa"/>
              <w:right w:w="20" w:type="dxa"/>
            </w:tcMar>
            <w:vAlign w:val="bottom"/>
          </w:tcPr>
          <w:p w14:paraId="74DD9F2A" w14:textId="77777777" w:rsidR="00584EC1" w:rsidRDefault="00584EC1">
            <w:pPr>
              <w:jc w:val="right"/>
              <w:rPr>
                <w:rFonts w:ascii="宋体"/>
              </w:rPr>
            </w:pPr>
          </w:p>
        </w:tc>
      </w:tr>
      <w:tr w:rsidR="00584EC1" w14:paraId="74DD9F32" w14:textId="77777777">
        <w:tc>
          <w:tcPr>
            <w:tcW w:w="0" w:type="auto"/>
            <w:gridSpan w:val="3"/>
            <w:shd w:val="clear" w:color="auto" w:fill="FFFFFF"/>
            <w:tcMar>
              <w:top w:w="40" w:type="dxa"/>
              <w:left w:w="20" w:type="dxa"/>
              <w:bottom w:w="40" w:type="dxa"/>
              <w:right w:w="20" w:type="dxa"/>
            </w:tcMar>
            <w:vAlign w:val="bottom"/>
          </w:tcPr>
          <w:p w14:paraId="74DD9F2C" w14:textId="77777777" w:rsidR="00584EC1" w:rsidRDefault="00871F8D">
            <w:pPr>
              <w:textAlignment w:val="bottom"/>
            </w:pPr>
            <w:r>
              <w:rPr>
                <w:rFonts w:ascii="Arial" w:eastAsia="宋体" w:hAnsi="Arial" w:cs="Arial"/>
                <w:color w:val="000000"/>
                <w:sz w:val="15"/>
                <w:szCs w:val="15"/>
              </w:rPr>
              <w:t xml:space="preserve">Adjusted average assets </w:t>
            </w:r>
            <w:r>
              <w:rPr>
                <w:rFonts w:ascii="Arial" w:eastAsia="宋体" w:hAnsi="Arial" w:cs="Arial"/>
                <w:color w:val="000000"/>
                <w:sz w:val="15"/>
                <w:szCs w:val="15"/>
              </w:rPr>
              <w:t>for tier 1 leverage ratio</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9F2D" w14:textId="77777777" w:rsidR="00584EC1" w:rsidRDefault="00871F8D">
            <w:pPr>
              <w:jc w:val="right"/>
              <w:textAlignment w:val="bottom"/>
            </w:pPr>
            <w:r>
              <w:rPr>
                <w:rFonts w:ascii="Arial" w:eastAsia="宋体" w:hAnsi="Arial" w:cs="Arial"/>
                <w:b/>
                <w:bCs/>
                <w:color w:val="000000"/>
                <w:sz w:val="15"/>
                <w:szCs w:val="15"/>
              </w:rPr>
              <w:t>281,952</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9F2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F2F"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9F30" w14:textId="77777777" w:rsidR="00584EC1" w:rsidRDefault="00871F8D">
            <w:pPr>
              <w:jc w:val="right"/>
              <w:textAlignment w:val="bottom"/>
            </w:pPr>
            <w:r>
              <w:rPr>
                <w:rFonts w:ascii="Arial" w:eastAsia="宋体" w:hAnsi="Arial" w:cs="Arial"/>
                <w:color w:val="000000"/>
                <w:sz w:val="15"/>
                <w:szCs w:val="15"/>
              </w:rPr>
              <w:t>263,490 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9F31" w14:textId="77777777" w:rsidR="00584EC1" w:rsidRDefault="00584EC1">
            <w:pPr>
              <w:jc w:val="right"/>
              <w:rPr>
                <w:rFonts w:ascii="宋体"/>
              </w:rPr>
            </w:pPr>
          </w:p>
        </w:tc>
      </w:tr>
      <w:tr w:rsidR="00584EC1" w14:paraId="74DD9F39" w14:textId="77777777">
        <w:tc>
          <w:tcPr>
            <w:tcW w:w="0" w:type="auto"/>
            <w:gridSpan w:val="3"/>
            <w:shd w:val="clear" w:color="auto" w:fill="CCEEFF"/>
            <w:tcMar>
              <w:top w:w="40" w:type="dxa"/>
              <w:left w:w="20" w:type="dxa"/>
              <w:bottom w:w="40" w:type="dxa"/>
              <w:right w:w="20" w:type="dxa"/>
            </w:tcMar>
            <w:vAlign w:val="bottom"/>
          </w:tcPr>
          <w:p w14:paraId="74DD9F33" w14:textId="77777777" w:rsidR="00584EC1" w:rsidRDefault="00871F8D">
            <w:pPr>
              <w:textAlignment w:val="bottom"/>
            </w:pPr>
            <w:r>
              <w:rPr>
                <w:rFonts w:ascii="Arial" w:eastAsia="宋体" w:hAnsi="Arial" w:cs="Arial"/>
                <w:color w:val="000000"/>
                <w:sz w:val="15"/>
                <w:szCs w:val="15"/>
              </w:rPr>
              <w:t>Off-balance sheet exposures</w:t>
            </w:r>
          </w:p>
        </w:tc>
        <w:tc>
          <w:tcPr>
            <w:tcW w:w="0" w:type="auto"/>
            <w:gridSpan w:val="2"/>
            <w:shd w:val="clear" w:color="auto" w:fill="CCEEFF"/>
            <w:tcMar>
              <w:top w:w="40" w:type="dxa"/>
              <w:left w:w="20" w:type="dxa"/>
              <w:bottom w:w="40" w:type="dxa"/>
              <w:right w:w="0" w:type="dxa"/>
            </w:tcMar>
            <w:vAlign w:val="bottom"/>
          </w:tcPr>
          <w:p w14:paraId="74DD9F34" w14:textId="77777777" w:rsidR="00584EC1" w:rsidRDefault="00871F8D">
            <w:pPr>
              <w:jc w:val="right"/>
              <w:textAlignment w:val="bottom"/>
            </w:pPr>
            <w:r>
              <w:rPr>
                <w:rFonts w:ascii="Arial" w:eastAsia="宋体" w:hAnsi="Arial" w:cs="Arial"/>
                <w:b/>
                <w:bCs/>
                <w:color w:val="000000"/>
                <w:sz w:val="15"/>
                <w:szCs w:val="15"/>
              </w:rPr>
              <w:t>32,375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9F3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F3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F37" w14:textId="77777777" w:rsidR="00584EC1" w:rsidRDefault="00871F8D">
            <w:pPr>
              <w:jc w:val="right"/>
              <w:textAlignment w:val="bottom"/>
            </w:pPr>
            <w:r>
              <w:rPr>
                <w:rFonts w:ascii="Arial" w:eastAsia="宋体" w:hAnsi="Arial" w:cs="Arial"/>
                <w:color w:val="000000"/>
                <w:sz w:val="15"/>
                <w:szCs w:val="15"/>
              </w:rPr>
              <w:t>34,379 </w:t>
            </w:r>
          </w:p>
        </w:tc>
        <w:tc>
          <w:tcPr>
            <w:tcW w:w="0" w:type="auto"/>
            <w:shd w:val="clear" w:color="auto" w:fill="CCEEFF"/>
            <w:tcMar>
              <w:top w:w="40" w:type="dxa"/>
              <w:left w:w="0" w:type="dxa"/>
              <w:bottom w:w="40" w:type="dxa"/>
              <w:right w:w="20" w:type="dxa"/>
            </w:tcMar>
            <w:vAlign w:val="bottom"/>
          </w:tcPr>
          <w:p w14:paraId="74DD9F38" w14:textId="77777777" w:rsidR="00584EC1" w:rsidRDefault="00584EC1">
            <w:pPr>
              <w:jc w:val="right"/>
              <w:rPr>
                <w:rFonts w:ascii="宋体"/>
              </w:rPr>
            </w:pPr>
          </w:p>
        </w:tc>
      </w:tr>
      <w:tr w:rsidR="00584EC1" w14:paraId="74DD9F40" w14:textId="77777777">
        <w:tc>
          <w:tcPr>
            <w:tcW w:w="0" w:type="auto"/>
            <w:gridSpan w:val="3"/>
            <w:shd w:val="clear" w:color="auto" w:fill="FFFFFF"/>
            <w:tcMar>
              <w:top w:w="40" w:type="dxa"/>
              <w:left w:w="20" w:type="dxa"/>
              <w:bottom w:w="40" w:type="dxa"/>
              <w:right w:w="20" w:type="dxa"/>
            </w:tcMar>
            <w:vAlign w:val="bottom"/>
          </w:tcPr>
          <w:p w14:paraId="74DD9F3A" w14:textId="77777777" w:rsidR="00584EC1" w:rsidRDefault="00871F8D">
            <w:pPr>
              <w:textAlignment w:val="bottom"/>
            </w:pPr>
            <w:r>
              <w:rPr>
                <w:rFonts w:ascii="Arial" w:eastAsia="宋体" w:hAnsi="Arial" w:cs="Arial"/>
                <w:color w:val="000000"/>
                <w:sz w:val="15"/>
                <w:szCs w:val="15"/>
              </w:rPr>
              <w:t>Adjustments for deductions of qualifying central bank deposits</w:t>
            </w:r>
          </w:p>
        </w:tc>
        <w:tc>
          <w:tcPr>
            <w:tcW w:w="0" w:type="auto"/>
            <w:gridSpan w:val="2"/>
            <w:shd w:val="clear" w:color="auto" w:fill="FFFFFF"/>
            <w:tcMar>
              <w:top w:w="40" w:type="dxa"/>
              <w:left w:w="20" w:type="dxa"/>
              <w:bottom w:w="40" w:type="dxa"/>
              <w:right w:w="0" w:type="dxa"/>
            </w:tcMar>
            <w:vAlign w:val="bottom"/>
          </w:tcPr>
          <w:p w14:paraId="74DD9F3B" w14:textId="77777777" w:rsidR="00584EC1" w:rsidRDefault="00871F8D">
            <w:pPr>
              <w:jc w:val="right"/>
              <w:textAlignment w:val="bottom"/>
            </w:pPr>
            <w:r>
              <w:rPr>
                <w:rFonts w:ascii="Arial" w:eastAsia="宋体" w:hAnsi="Arial" w:cs="Arial"/>
                <w:b/>
                <w:bCs/>
                <w:color w:val="000000"/>
                <w:sz w:val="15"/>
                <w:szCs w:val="15"/>
              </w:rPr>
              <w:t>(77,225)</w:t>
            </w:r>
          </w:p>
        </w:tc>
        <w:tc>
          <w:tcPr>
            <w:tcW w:w="0" w:type="auto"/>
            <w:shd w:val="clear" w:color="auto" w:fill="FFFFFF"/>
            <w:tcMar>
              <w:top w:w="40" w:type="dxa"/>
              <w:left w:w="0" w:type="dxa"/>
              <w:bottom w:w="40" w:type="dxa"/>
              <w:right w:w="20" w:type="dxa"/>
            </w:tcMar>
            <w:vAlign w:val="bottom"/>
          </w:tcPr>
          <w:p w14:paraId="74DD9F3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F3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F3E" w14:textId="77777777" w:rsidR="00584EC1" w:rsidRDefault="00871F8D">
            <w:pPr>
              <w:jc w:val="right"/>
              <w:textAlignment w:val="bottom"/>
            </w:pPr>
            <w:r>
              <w:rPr>
                <w:rFonts w:ascii="Arial" w:eastAsia="宋体" w:hAnsi="Arial" w:cs="Arial"/>
                <w:color w:val="000000"/>
                <w:sz w:val="15"/>
                <w:szCs w:val="15"/>
              </w:rPr>
              <w:t>(90,322)</w:t>
            </w:r>
          </w:p>
        </w:tc>
        <w:tc>
          <w:tcPr>
            <w:tcW w:w="0" w:type="auto"/>
            <w:shd w:val="clear" w:color="auto" w:fill="FFFFFF"/>
            <w:tcMar>
              <w:top w:w="40" w:type="dxa"/>
              <w:left w:w="0" w:type="dxa"/>
              <w:bottom w:w="40" w:type="dxa"/>
              <w:right w:w="20" w:type="dxa"/>
            </w:tcMar>
            <w:vAlign w:val="bottom"/>
          </w:tcPr>
          <w:p w14:paraId="74DD9F3F" w14:textId="77777777" w:rsidR="00584EC1" w:rsidRDefault="00584EC1">
            <w:pPr>
              <w:jc w:val="right"/>
              <w:rPr>
                <w:rFonts w:ascii="宋体"/>
              </w:rPr>
            </w:pPr>
          </w:p>
        </w:tc>
      </w:tr>
      <w:tr w:rsidR="00584EC1" w14:paraId="74DD9F49" w14:textId="77777777">
        <w:tc>
          <w:tcPr>
            <w:tcW w:w="0" w:type="auto"/>
            <w:gridSpan w:val="3"/>
            <w:shd w:val="clear" w:color="auto" w:fill="CCEEFF"/>
            <w:tcMar>
              <w:top w:w="40" w:type="dxa"/>
              <w:left w:w="20" w:type="dxa"/>
              <w:bottom w:w="40" w:type="dxa"/>
              <w:right w:w="20" w:type="dxa"/>
            </w:tcMar>
            <w:vAlign w:val="bottom"/>
          </w:tcPr>
          <w:p w14:paraId="74DD9F41" w14:textId="77777777" w:rsidR="00584EC1" w:rsidRDefault="00871F8D">
            <w:pPr>
              <w:textAlignment w:val="bottom"/>
            </w:pPr>
            <w:r>
              <w:rPr>
                <w:rFonts w:ascii="Arial" w:eastAsia="宋体" w:hAnsi="Arial" w:cs="Arial"/>
                <w:color w:val="000000"/>
                <w:sz w:val="15"/>
                <w:szCs w:val="15"/>
              </w:rPr>
              <w:t>Total assets for SLR</w:t>
            </w:r>
          </w:p>
        </w:tc>
        <w:tc>
          <w:tcPr>
            <w:tcW w:w="0" w:type="auto"/>
            <w:tcBorders>
              <w:top w:val="single" w:sz="8" w:space="0" w:color="000000"/>
            </w:tcBorders>
            <w:shd w:val="clear" w:color="auto" w:fill="CCEEFF"/>
            <w:tcMar>
              <w:top w:w="40" w:type="dxa"/>
              <w:left w:w="20" w:type="dxa"/>
              <w:bottom w:w="40" w:type="dxa"/>
              <w:right w:w="0" w:type="dxa"/>
            </w:tcMar>
            <w:vAlign w:val="bottom"/>
          </w:tcPr>
          <w:p w14:paraId="74DD9F42" w14:textId="77777777" w:rsidR="00584EC1" w:rsidRDefault="00871F8D">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9F43" w14:textId="77777777" w:rsidR="00584EC1" w:rsidRDefault="00871F8D">
            <w:pPr>
              <w:jc w:val="right"/>
              <w:textAlignment w:val="bottom"/>
            </w:pPr>
            <w:r>
              <w:rPr>
                <w:rFonts w:ascii="Arial" w:eastAsia="宋体" w:hAnsi="Arial" w:cs="Arial"/>
                <w:b/>
                <w:bCs/>
                <w:color w:val="000000"/>
                <w:sz w:val="15"/>
                <w:szCs w:val="15"/>
              </w:rPr>
              <w:t>237,102</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F4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F45"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9F46"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9F47" w14:textId="77777777" w:rsidR="00584EC1" w:rsidRDefault="00871F8D">
            <w:pPr>
              <w:jc w:val="right"/>
              <w:textAlignment w:val="bottom"/>
            </w:pPr>
            <w:r>
              <w:rPr>
                <w:rFonts w:ascii="Arial" w:eastAsia="宋体" w:hAnsi="Arial" w:cs="Arial"/>
                <w:color w:val="000000"/>
                <w:sz w:val="15"/>
                <w:szCs w:val="15"/>
              </w:rPr>
              <w:t>207,547 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F48" w14:textId="77777777" w:rsidR="00584EC1" w:rsidRDefault="00584EC1">
            <w:pPr>
              <w:jc w:val="right"/>
              <w:rPr>
                <w:rFonts w:ascii="宋体"/>
              </w:rPr>
            </w:pPr>
          </w:p>
        </w:tc>
      </w:tr>
      <w:tr w:rsidR="00584EC1" w14:paraId="74DD9F50" w14:textId="77777777">
        <w:tc>
          <w:tcPr>
            <w:tcW w:w="0" w:type="auto"/>
            <w:gridSpan w:val="3"/>
            <w:shd w:val="clear" w:color="auto" w:fill="FFFFFF"/>
            <w:tcMar>
              <w:top w:w="40" w:type="dxa"/>
              <w:left w:w="20" w:type="dxa"/>
              <w:bottom w:w="40" w:type="dxa"/>
              <w:right w:w="20" w:type="dxa"/>
            </w:tcMar>
            <w:vAlign w:val="bottom"/>
          </w:tcPr>
          <w:p w14:paraId="74DD9F4A" w14:textId="77777777" w:rsidR="00584EC1" w:rsidRDefault="00871F8D">
            <w:pPr>
              <w:textAlignment w:val="bottom"/>
            </w:pPr>
            <w:r>
              <w:rPr>
                <w:rFonts w:ascii="Arial" w:eastAsia="宋体" w:hAnsi="Arial" w:cs="Arial"/>
                <w:color w:val="000000"/>
                <w:sz w:val="15"/>
                <w:szCs w:val="15"/>
              </w:rPr>
              <w:t>Tier 1 leverage ratio</w:t>
            </w:r>
            <w:r>
              <w:rPr>
                <w:rFonts w:ascii="Arial" w:eastAsia="宋体" w:hAnsi="Arial" w:cs="Arial"/>
                <w:color w:val="000000"/>
                <w:sz w:val="9"/>
                <w:szCs w:val="9"/>
              </w:rPr>
              <w:t>(1)</w:t>
            </w: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74DD9F4B" w14:textId="77777777" w:rsidR="00584EC1" w:rsidRDefault="00871F8D">
            <w:pPr>
              <w:jc w:val="right"/>
              <w:textAlignment w:val="bottom"/>
            </w:pPr>
            <w:r>
              <w:rPr>
                <w:rFonts w:ascii="Arial" w:eastAsia="宋体" w:hAnsi="Arial" w:cs="Arial"/>
                <w:b/>
                <w:bCs/>
                <w:color w:val="000000"/>
                <w:sz w:val="15"/>
                <w:szCs w:val="15"/>
              </w:rPr>
              <w:t>6.3</w:t>
            </w:r>
            <w:r>
              <w:rPr>
                <w:rFonts w:ascii="Arial" w:eastAsia="宋体" w:hAnsi="Arial" w:cs="Arial"/>
                <w:color w:val="000000"/>
                <w:sz w:val="15"/>
                <w:szCs w:val="15"/>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74DD9F4C" w14:textId="77777777" w:rsidR="00584EC1" w:rsidRDefault="00871F8D">
            <w:pPr>
              <w:jc w:val="right"/>
              <w:textAlignment w:val="bottom"/>
            </w:pPr>
            <w:r>
              <w:rPr>
                <w:rFonts w:ascii="Arial" w:eastAsia="宋体" w:hAnsi="Arial" w:cs="Arial"/>
                <w:b/>
                <w:bCs/>
                <w:color w:val="000000"/>
                <w:sz w:val="15"/>
                <w:szCs w:val="15"/>
              </w:rPr>
              <w:t>%</w:t>
            </w:r>
          </w:p>
        </w:tc>
        <w:tc>
          <w:tcPr>
            <w:tcW w:w="0" w:type="auto"/>
            <w:gridSpan w:val="3"/>
            <w:shd w:val="clear" w:color="auto" w:fill="FFFFFF"/>
            <w:tcMar>
              <w:top w:w="0" w:type="dxa"/>
              <w:left w:w="20" w:type="dxa"/>
              <w:bottom w:w="0" w:type="dxa"/>
              <w:right w:w="20" w:type="dxa"/>
            </w:tcMar>
            <w:vAlign w:val="bottom"/>
          </w:tcPr>
          <w:p w14:paraId="74DD9F4D" w14:textId="77777777" w:rsidR="00584EC1" w:rsidRDefault="00584EC1">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74DD9F4E" w14:textId="77777777" w:rsidR="00584EC1" w:rsidRDefault="00871F8D">
            <w:pPr>
              <w:jc w:val="right"/>
              <w:textAlignment w:val="bottom"/>
            </w:pPr>
            <w:r>
              <w:rPr>
                <w:rFonts w:ascii="Arial" w:eastAsia="宋体" w:hAnsi="Arial" w:cs="Arial"/>
                <w:color w:val="000000"/>
                <w:sz w:val="15"/>
                <w:szCs w:val="15"/>
              </w:rPr>
              <w:t>6.4 </w:t>
            </w:r>
          </w:p>
        </w:tc>
        <w:tc>
          <w:tcPr>
            <w:tcW w:w="0" w:type="auto"/>
            <w:tcBorders>
              <w:top w:val="double" w:sz="6" w:space="0" w:color="000000"/>
            </w:tcBorders>
            <w:shd w:val="clear" w:color="auto" w:fill="FFFFFF"/>
            <w:tcMar>
              <w:top w:w="40" w:type="dxa"/>
              <w:left w:w="0" w:type="dxa"/>
              <w:bottom w:w="40" w:type="dxa"/>
              <w:right w:w="20" w:type="dxa"/>
            </w:tcMar>
            <w:vAlign w:val="bottom"/>
          </w:tcPr>
          <w:p w14:paraId="74DD9F4F" w14:textId="77777777" w:rsidR="00584EC1" w:rsidRDefault="00871F8D">
            <w:pPr>
              <w:jc w:val="right"/>
              <w:textAlignment w:val="bottom"/>
            </w:pPr>
            <w:r>
              <w:rPr>
                <w:rFonts w:ascii="Arial" w:eastAsia="宋体" w:hAnsi="Arial" w:cs="Arial"/>
                <w:color w:val="000000"/>
                <w:sz w:val="15"/>
                <w:szCs w:val="15"/>
              </w:rPr>
              <w:t>%</w:t>
            </w:r>
          </w:p>
        </w:tc>
      </w:tr>
      <w:tr w:rsidR="00584EC1" w14:paraId="74DD9F57" w14:textId="77777777">
        <w:tc>
          <w:tcPr>
            <w:tcW w:w="0" w:type="auto"/>
            <w:gridSpan w:val="3"/>
            <w:shd w:val="clear" w:color="auto" w:fill="CCEEFF"/>
            <w:tcMar>
              <w:top w:w="40" w:type="dxa"/>
              <w:left w:w="20" w:type="dxa"/>
              <w:bottom w:w="40" w:type="dxa"/>
              <w:right w:w="20" w:type="dxa"/>
            </w:tcMar>
            <w:vAlign w:val="bottom"/>
          </w:tcPr>
          <w:p w14:paraId="74DD9F51" w14:textId="77777777" w:rsidR="00584EC1" w:rsidRDefault="00871F8D">
            <w:pPr>
              <w:textAlignment w:val="bottom"/>
            </w:pPr>
            <w:r>
              <w:rPr>
                <w:rFonts w:ascii="Arial" w:eastAsia="宋体" w:hAnsi="Arial" w:cs="Arial"/>
                <w:color w:val="000000"/>
                <w:sz w:val="15"/>
                <w:szCs w:val="15"/>
              </w:rPr>
              <w:t>Supplementary leverage ratio</w:t>
            </w:r>
          </w:p>
        </w:tc>
        <w:tc>
          <w:tcPr>
            <w:tcW w:w="0" w:type="auto"/>
            <w:gridSpan w:val="2"/>
            <w:shd w:val="clear" w:color="auto" w:fill="CCEEFF"/>
            <w:tcMar>
              <w:top w:w="40" w:type="dxa"/>
              <w:left w:w="20" w:type="dxa"/>
              <w:bottom w:w="40" w:type="dxa"/>
              <w:right w:w="0" w:type="dxa"/>
            </w:tcMar>
            <w:vAlign w:val="bottom"/>
          </w:tcPr>
          <w:p w14:paraId="74DD9F52" w14:textId="77777777" w:rsidR="00584EC1" w:rsidRDefault="00871F8D">
            <w:pPr>
              <w:jc w:val="right"/>
              <w:textAlignment w:val="bottom"/>
            </w:pPr>
            <w:r>
              <w:rPr>
                <w:rFonts w:ascii="Arial" w:eastAsia="宋体" w:hAnsi="Arial" w:cs="Arial"/>
                <w:b/>
                <w:bCs/>
                <w:color w:val="000000"/>
                <w:sz w:val="15"/>
                <w:szCs w:val="15"/>
              </w:rPr>
              <w:t>7.5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9F5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F54"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F55" w14:textId="77777777" w:rsidR="00584EC1" w:rsidRDefault="00871F8D">
            <w:pPr>
              <w:jc w:val="right"/>
              <w:textAlignment w:val="bottom"/>
            </w:pPr>
            <w:r>
              <w:rPr>
                <w:rFonts w:ascii="Arial" w:eastAsia="宋体" w:hAnsi="Arial" w:cs="Arial"/>
                <w:color w:val="000000"/>
                <w:sz w:val="15"/>
                <w:szCs w:val="15"/>
              </w:rPr>
              <w:t>8.1 </w:t>
            </w:r>
          </w:p>
        </w:tc>
        <w:tc>
          <w:tcPr>
            <w:tcW w:w="0" w:type="auto"/>
            <w:shd w:val="clear" w:color="auto" w:fill="CCEEFF"/>
            <w:tcMar>
              <w:top w:w="40" w:type="dxa"/>
              <w:left w:w="0" w:type="dxa"/>
              <w:bottom w:w="40" w:type="dxa"/>
              <w:right w:w="20" w:type="dxa"/>
            </w:tcMar>
            <w:vAlign w:val="bottom"/>
          </w:tcPr>
          <w:p w14:paraId="74DD9F56" w14:textId="77777777" w:rsidR="00584EC1" w:rsidRDefault="00584EC1">
            <w:pPr>
              <w:jc w:val="right"/>
              <w:rPr>
                <w:rFonts w:ascii="宋体"/>
              </w:rPr>
            </w:pPr>
          </w:p>
        </w:tc>
      </w:tr>
      <w:tr w:rsidR="00584EC1" w14:paraId="74DD9F5C" w14:textId="77777777">
        <w:trPr>
          <w:trHeight w:val="60"/>
        </w:trPr>
        <w:tc>
          <w:tcPr>
            <w:tcW w:w="0" w:type="auto"/>
            <w:gridSpan w:val="3"/>
            <w:shd w:val="clear" w:color="auto" w:fill="auto"/>
            <w:tcMar>
              <w:top w:w="0" w:type="dxa"/>
              <w:left w:w="20" w:type="dxa"/>
              <w:bottom w:w="0" w:type="dxa"/>
              <w:right w:w="20" w:type="dxa"/>
            </w:tcMar>
            <w:vAlign w:val="bottom"/>
          </w:tcPr>
          <w:p w14:paraId="74DD9F58"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9F59"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9F5A"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9F5B" w14:textId="77777777" w:rsidR="00584EC1" w:rsidRDefault="00584EC1">
            <w:pPr>
              <w:rPr>
                <w:rFonts w:ascii="宋体"/>
              </w:rPr>
            </w:pPr>
          </w:p>
        </w:tc>
      </w:tr>
      <w:tr w:rsidR="00584EC1" w14:paraId="74DD9F61" w14:textId="77777777">
        <w:tc>
          <w:tcPr>
            <w:tcW w:w="0" w:type="auto"/>
            <w:gridSpan w:val="3"/>
            <w:shd w:val="clear" w:color="auto" w:fill="FFFFFF"/>
            <w:tcMar>
              <w:top w:w="40" w:type="dxa"/>
              <w:left w:w="20" w:type="dxa"/>
              <w:bottom w:w="40" w:type="dxa"/>
              <w:right w:w="20" w:type="dxa"/>
            </w:tcMar>
            <w:vAlign w:val="bottom"/>
          </w:tcPr>
          <w:p w14:paraId="74DD9F5D" w14:textId="77777777" w:rsidR="00584EC1" w:rsidRDefault="00871F8D">
            <w:pPr>
              <w:textAlignment w:val="bottom"/>
            </w:pPr>
            <w:r>
              <w:rPr>
                <w:rFonts w:ascii="Arial" w:eastAsia="宋体" w:hAnsi="Arial" w:cs="Arial"/>
                <w:b/>
                <w:bCs/>
                <w:color w:val="000000"/>
                <w:sz w:val="15"/>
                <w:szCs w:val="15"/>
              </w:rPr>
              <w:t>State Street Bank</w:t>
            </w:r>
            <w:r>
              <w:rPr>
                <w:rFonts w:ascii="Arial" w:eastAsia="宋体" w:hAnsi="Arial" w:cs="Arial"/>
                <w:b/>
                <w:bCs/>
                <w:color w:val="000000"/>
                <w:sz w:val="9"/>
                <w:szCs w:val="9"/>
              </w:rPr>
              <w:t>(2)</w:t>
            </w:r>
            <w:r>
              <w:rPr>
                <w:rFonts w:ascii="Arial" w:eastAsia="宋体" w:hAnsi="Arial" w:cs="Arial"/>
                <w:b/>
                <w:bCs/>
                <w:color w:val="000000"/>
                <w:sz w:val="15"/>
                <w:szCs w:val="15"/>
              </w:rPr>
              <w:t>:</w:t>
            </w:r>
          </w:p>
        </w:tc>
        <w:tc>
          <w:tcPr>
            <w:tcW w:w="0" w:type="auto"/>
            <w:gridSpan w:val="3"/>
            <w:shd w:val="clear" w:color="auto" w:fill="FFFFFF"/>
            <w:tcMar>
              <w:top w:w="0" w:type="dxa"/>
              <w:left w:w="20" w:type="dxa"/>
              <w:bottom w:w="0" w:type="dxa"/>
              <w:right w:w="20" w:type="dxa"/>
            </w:tcMar>
            <w:vAlign w:val="bottom"/>
          </w:tcPr>
          <w:p w14:paraId="74DD9F5E"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9F5F"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9F60" w14:textId="77777777" w:rsidR="00584EC1" w:rsidRDefault="00584EC1">
            <w:pPr>
              <w:rPr>
                <w:rFonts w:ascii="宋体"/>
              </w:rPr>
            </w:pPr>
          </w:p>
        </w:tc>
      </w:tr>
      <w:tr w:rsidR="00584EC1" w14:paraId="74DD9F6A" w14:textId="77777777">
        <w:tc>
          <w:tcPr>
            <w:tcW w:w="0" w:type="auto"/>
            <w:gridSpan w:val="3"/>
            <w:shd w:val="clear" w:color="auto" w:fill="CCEEFF"/>
            <w:tcMar>
              <w:top w:w="40" w:type="dxa"/>
              <w:left w:w="20" w:type="dxa"/>
              <w:bottom w:w="40" w:type="dxa"/>
              <w:right w:w="20" w:type="dxa"/>
            </w:tcMar>
            <w:vAlign w:val="bottom"/>
          </w:tcPr>
          <w:p w14:paraId="74DD9F62" w14:textId="77777777" w:rsidR="00584EC1" w:rsidRDefault="00871F8D">
            <w:pPr>
              <w:textAlignment w:val="bottom"/>
            </w:pPr>
            <w:r>
              <w:rPr>
                <w:rFonts w:ascii="Arial" w:eastAsia="宋体" w:hAnsi="Arial" w:cs="Arial"/>
                <w:color w:val="000000"/>
                <w:sz w:val="15"/>
                <w:szCs w:val="15"/>
              </w:rPr>
              <w:t>Tier 1 capital</w:t>
            </w:r>
          </w:p>
        </w:tc>
        <w:tc>
          <w:tcPr>
            <w:tcW w:w="0" w:type="auto"/>
            <w:shd w:val="clear" w:color="auto" w:fill="CCEEFF"/>
            <w:tcMar>
              <w:top w:w="40" w:type="dxa"/>
              <w:left w:w="20" w:type="dxa"/>
              <w:bottom w:w="40" w:type="dxa"/>
              <w:right w:w="0" w:type="dxa"/>
            </w:tcMar>
            <w:vAlign w:val="bottom"/>
          </w:tcPr>
          <w:p w14:paraId="74DD9F63" w14:textId="77777777" w:rsidR="00584EC1" w:rsidRDefault="00871F8D">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4DD9F64" w14:textId="77777777" w:rsidR="00584EC1" w:rsidRDefault="00871F8D">
            <w:pPr>
              <w:jc w:val="right"/>
              <w:textAlignment w:val="bottom"/>
            </w:pPr>
            <w:r>
              <w:rPr>
                <w:rFonts w:ascii="Arial" w:eastAsia="宋体" w:hAnsi="Arial" w:cs="Arial"/>
                <w:b/>
                <w:bCs/>
                <w:color w:val="000000"/>
                <w:sz w:val="15"/>
                <w:szCs w:val="15"/>
              </w:rPr>
              <w:t>18,290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9F6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F66"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9F67" w14:textId="77777777" w:rsidR="00584EC1" w:rsidRDefault="00871F8D">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4DD9F68" w14:textId="77777777" w:rsidR="00584EC1" w:rsidRDefault="00871F8D">
            <w:pPr>
              <w:jc w:val="right"/>
              <w:textAlignment w:val="bottom"/>
            </w:pPr>
            <w:r>
              <w:rPr>
                <w:rFonts w:ascii="Arial" w:eastAsia="宋体" w:hAnsi="Arial" w:cs="Arial"/>
                <w:color w:val="000000"/>
                <w:sz w:val="15"/>
                <w:szCs w:val="15"/>
              </w:rPr>
              <w:t>17,306 </w:t>
            </w:r>
          </w:p>
        </w:tc>
        <w:tc>
          <w:tcPr>
            <w:tcW w:w="0" w:type="auto"/>
            <w:shd w:val="clear" w:color="auto" w:fill="CCEEFF"/>
            <w:tcMar>
              <w:top w:w="40" w:type="dxa"/>
              <w:left w:w="0" w:type="dxa"/>
              <w:bottom w:w="40" w:type="dxa"/>
              <w:right w:w="20" w:type="dxa"/>
            </w:tcMar>
            <w:vAlign w:val="bottom"/>
          </w:tcPr>
          <w:p w14:paraId="74DD9F69" w14:textId="77777777" w:rsidR="00584EC1" w:rsidRDefault="00584EC1">
            <w:pPr>
              <w:jc w:val="right"/>
              <w:rPr>
                <w:rFonts w:ascii="宋体"/>
              </w:rPr>
            </w:pPr>
          </w:p>
        </w:tc>
      </w:tr>
      <w:tr w:rsidR="00584EC1" w14:paraId="74DD9F71" w14:textId="77777777">
        <w:tc>
          <w:tcPr>
            <w:tcW w:w="0" w:type="auto"/>
            <w:gridSpan w:val="3"/>
            <w:shd w:val="clear" w:color="auto" w:fill="FFFFFF"/>
            <w:tcMar>
              <w:top w:w="40" w:type="dxa"/>
              <w:left w:w="20" w:type="dxa"/>
              <w:bottom w:w="40" w:type="dxa"/>
              <w:right w:w="20" w:type="dxa"/>
            </w:tcMar>
            <w:vAlign w:val="bottom"/>
          </w:tcPr>
          <w:p w14:paraId="74DD9F6B" w14:textId="77777777" w:rsidR="00584EC1" w:rsidRDefault="00871F8D">
            <w:pPr>
              <w:textAlignment w:val="bottom"/>
            </w:pPr>
            <w:r>
              <w:rPr>
                <w:rFonts w:ascii="Arial" w:eastAsia="宋体" w:hAnsi="Arial" w:cs="Arial"/>
                <w:color w:val="000000"/>
                <w:sz w:val="15"/>
                <w:szCs w:val="15"/>
              </w:rPr>
              <w:t>Average assets</w:t>
            </w:r>
          </w:p>
        </w:tc>
        <w:tc>
          <w:tcPr>
            <w:tcW w:w="0" w:type="auto"/>
            <w:gridSpan w:val="2"/>
            <w:shd w:val="clear" w:color="auto" w:fill="FFFFFF"/>
            <w:tcMar>
              <w:top w:w="40" w:type="dxa"/>
              <w:left w:w="20" w:type="dxa"/>
              <w:bottom w:w="40" w:type="dxa"/>
              <w:right w:w="0" w:type="dxa"/>
            </w:tcMar>
            <w:vAlign w:val="bottom"/>
          </w:tcPr>
          <w:p w14:paraId="74DD9F6C" w14:textId="77777777" w:rsidR="00584EC1" w:rsidRDefault="00871F8D">
            <w:pPr>
              <w:jc w:val="right"/>
              <w:textAlignment w:val="bottom"/>
            </w:pPr>
            <w:r>
              <w:rPr>
                <w:rFonts w:ascii="Arial" w:eastAsia="宋体" w:hAnsi="Arial" w:cs="Arial"/>
                <w:b/>
                <w:bCs/>
                <w:color w:val="000000"/>
                <w:sz w:val="15"/>
                <w:szCs w:val="15"/>
              </w:rPr>
              <w:t>287,756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9F6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F6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F6F" w14:textId="77777777" w:rsidR="00584EC1" w:rsidRDefault="00871F8D">
            <w:pPr>
              <w:jc w:val="right"/>
              <w:textAlignment w:val="bottom"/>
            </w:pPr>
            <w:r>
              <w:rPr>
                <w:rFonts w:ascii="Arial" w:eastAsia="宋体" w:hAnsi="Arial" w:cs="Arial"/>
                <w:color w:val="000000"/>
                <w:sz w:val="15"/>
                <w:szCs w:val="15"/>
              </w:rPr>
              <w:t>273,599 </w:t>
            </w:r>
          </w:p>
        </w:tc>
        <w:tc>
          <w:tcPr>
            <w:tcW w:w="0" w:type="auto"/>
            <w:shd w:val="clear" w:color="auto" w:fill="FFFFFF"/>
            <w:tcMar>
              <w:top w:w="40" w:type="dxa"/>
              <w:left w:w="0" w:type="dxa"/>
              <w:bottom w:w="40" w:type="dxa"/>
              <w:right w:w="20" w:type="dxa"/>
            </w:tcMar>
            <w:vAlign w:val="bottom"/>
          </w:tcPr>
          <w:p w14:paraId="74DD9F70" w14:textId="77777777" w:rsidR="00584EC1" w:rsidRDefault="00584EC1">
            <w:pPr>
              <w:jc w:val="right"/>
              <w:rPr>
                <w:rFonts w:ascii="宋体"/>
              </w:rPr>
            </w:pPr>
          </w:p>
        </w:tc>
      </w:tr>
      <w:tr w:rsidR="00584EC1" w14:paraId="74DD9F78" w14:textId="77777777">
        <w:tc>
          <w:tcPr>
            <w:tcW w:w="0" w:type="auto"/>
            <w:gridSpan w:val="3"/>
            <w:shd w:val="clear" w:color="auto" w:fill="CCEEFF"/>
            <w:tcMar>
              <w:top w:w="40" w:type="dxa"/>
              <w:left w:w="20" w:type="dxa"/>
              <w:bottom w:w="40" w:type="dxa"/>
              <w:right w:w="20" w:type="dxa"/>
            </w:tcMar>
            <w:vAlign w:val="bottom"/>
          </w:tcPr>
          <w:p w14:paraId="74DD9F72" w14:textId="77777777" w:rsidR="00584EC1" w:rsidRDefault="00871F8D">
            <w:pPr>
              <w:textAlignment w:val="bottom"/>
            </w:pPr>
            <w:r>
              <w:rPr>
                <w:rFonts w:ascii="Arial" w:eastAsia="宋体" w:hAnsi="Arial" w:cs="Arial"/>
                <w:color w:val="000000"/>
                <w:sz w:val="15"/>
                <w:szCs w:val="15"/>
              </w:rPr>
              <w:t>Less: adjustments for deductions from tier 1 capital and other</w:t>
            </w:r>
          </w:p>
        </w:tc>
        <w:tc>
          <w:tcPr>
            <w:tcW w:w="0" w:type="auto"/>
            <w:gridSpan w:val="2"/>
            <w:shd w:val="clear" w:color="auto" w:fill="CCEEFF"/>
            <w:tcMar>
              <w:top w:w="40" w:type="dxa"/>
              <w:left w:w="20" w:type="dxa"/>
              <w:bottom w:w="40" w:type="dxa"/>
              <w:right w:w="0" w:type="dxa"/>
            </w:tcMar>
            <w:vAlign w:val="bottom"/>
          </w:tcPr>
          <w:p w14:paraId="74DD9F73" w14:textId="77777777" w:rsidR="00584EC1" w:rsidRDefault="00871F8D">
            <w:pPr>
              <w:jc w:val="right"/>
              <w:textAlignment w:val="bottom"/>
            </w:pPr>
            <w:r>
              <w:rPr>
                <w:rFonts w:ascii="Arial" w:eastAsia="宋体" w:hAnsi="Arial" w:cs="Arial"/>
                <w:b/>
                <w:bCs/>
                <w:color w:val="000000"/>
                <w:sz w:val="15"/>
                <w:szCs w:val="15"/>
              </w:rPr>
              <w:t>(9,051)</w:t>
            </w:r>
          </w:p>
        </w:tc>
        <w:tc>
          <w:tcPr>
            <w:tcW w:w="0" w:type="auto"/>
            <w:shd w:val="clear" w:color="auto" w:fill="CCEEFF"/>
            <w:tcMar>
              <w:top w:w="40" w:type="dxa"/>
              <w:left w:w="0" w:type="dxa"/>
              <w:bottom w:w="40" w:type="dxa"/>
              <w:right w:w="20" w:type="dxa"/>
            </w:tcMar>
            <w:vAlign w:val="bottom"/>
          </w:tcPr>
          <w:p w14:paraId="74DD9F7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F7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F76" w14:textId="77777777" w:rsidR="00584EC1" w:rsidRDefault="00871F8D">
            <w:pPr>
              <w:jc w:val="right"/>
              <w:textAlignment w:val="bottom"/>
            </w:pPr>
            <w:r>
              <w:rPr>
                <w:rFonts w:ascii="Arial" w:eastAsia="宋体" w:hAnsi="Arial" w:cs="Arial"/>
                <w:color w:val="000000"/>
                <w:sz w:val="15"/>
                <w:szCs w:val="15"/>
              </w:rPr>
              <w:t>(13,110)</w:t>
            </w:r>
          </w:p>
        </w:tc>
        <w:tc>
          <w:tcPr>
            <w:tcW w:w="0" w:type="auto"/>
            <w:shd w:val="clear" w:color="auto" w:fill="CCEEFF"/>
            <w:tcMar>
              <w:top w:w="40" w:type="dxa"/>
              <w:left w:w="0" w:type="dxa"/>
              <w:bottom w:w="40" w:type="dxa"/>
              <w:right w:w="20" w:type="dxa"/>
            </w:tcMar>
            <w:vAlign w:val="bottom"/>
          </w:tcPr>
          <w:p w14:paraId="74DD9F77" w14:textId="77777777" w:rsidR="00584EC1" w:rsidRDefault="00584EC1">
            <w:pPr>
              <w:jc w:val="right"/>
              <w:rPr>
                <w:rFonts w:ascii="宋体"/>
              </w:rPr>
            </w:pPr>
          </w:p>
        </w:tc>
      </w:tr>
      <w:tr w:rsidR="00584EC1" w14:paraId="74DD9F7F" w14:textId="77777777">
        <w:tc>
          <w:tcPr>
            <w:tcW w:w="0" w:type="auto"/>
            <w:gridSpan w:val="3"/>
            <w:shd w:val="clear" w:color="auto" w:fill="FFFFFF"/>
            <w:tcMar>
              <w:top w:w="40" w:type="dxa"/>
              <w:left w:w="20" w:type="dxa"/>
              <w:bottom w:w="40" w:type="dxa"/>
              <w:right w:w="20" w:type="dxa"/>
            </w:tcMar>
            <w:vAlign w:val="bottom"/>
          </w:tcPr>
          <w:p w14:paraId="74DD9F79" w14:textId="77777777" w:rsidR="00584EC1" w:rsidRDefault="00871F8D">
            <w:pPr>
              <w:textAlignment w:val="bottom"/>
            </w:pPr>
            <w:r>
              <w:rPr>
                <w:rFonts w:ascii="Arial" w:eastAsia="宋体" w:hAnsi="Arial" w:cs="Arial"/>
                <w:color w:val="000000"/>
                <w:sz w:val="15"/>
                <w:szCs w:val="15"/>
              </w:rPr>
              <w:t>Adjusted average assets for tier 1 leverage ratio</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9F7A" w14:textId="77777777" w:rsidR="00584EC1" w:rsidRDefault="00871F8D">
            <w:pPr>
              <w:jc w:val="right"/>
              <w:textAlignment w:val="bottom"/>
            </w:pPr>
            <w:r>
              <w:rPr>
                <w:rFonts w:ascii="Arial" w:eastAsia="宋体" w:hAnsi="Arial" w:cs="Arial"/>
                <w:b/>
                <w:bCs/>
                <w:color w:val="000000"/>
                <w:sz w:val="15"/>
                <w:szCs w:val="15"/>
              </w:rPr>
              <w:t>278,705</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9F7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F7C"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9F7D" w14:textId="77777777" w:rsidR="00584EC1" w:rsidRDefault="00871F8D">
            <w:pPr>
              <w:jc w:val="right"/>
              <w:textAlignment w:val="bottom"/>
            </w:pPr>
            <w:r>
              <w:rPr>
                <w:rFonts w:ascii="Arial" w:eastAsia="宋体" w:hAnsi="Arial" w:cs="Arial"/>
                <w:color w:val="000000"/>
                <w:sz w:val="15"/>
                <w:szCs w:val="15"/>
              </w:rPr>
              <w:t>260,489 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9F7E" w14:textId="77777777" w:rsidR="00584EC1" w:rsidRDefault="00584EC1">
            <w:pPr>
              <w:jc w:val="right"/>
              <w:rPr>
                <w:rFonts w:ascii="宋体"/>
              </w:rPr>
            </w:pPr>
          </w:p>
        </w:tc>
      </w:tr>
      <w:tr w:rsidR="00584EC1" w14:paraId="74DD9F86" w14:textId="77777777">
        <w:tc>
          <w:tcPr>
            <w:tcW w:w="0" w:type="auto"/>
            <w:gridSpan w:val="3"/>
            <w:shd w:val="clear" w:color="auto" w:fill="CCEEFF"/>
            <w:tcMar>
              <w:top w:w="40" w:type="dxa"/>
              <w:left w:w="20" w:type="dxa"/>
              <w:bottom w:w="40" w:type="dxa"/>
              <w:right w:w="20" w:type="dxa"/>
            </w:tcMar>
            <w:vAlign w:val="bottom"/>
          </w:tcPr>
          <w:p w14:paraId="74DD9F80" w14:textId="77777777" w:rsidR="00584EC1" w:rsidRDefault="00871F8D">
            <w:pPr>
              <w:textAlignment w:val="bottom"/>
            </w:pPr>
            <w:r>
              <w:rPr>
                <w:rFonts w:ascii="Arial" w:eastAsia="宋体" w:hAnsi="Arial" w:cs="Arial"/>
                <w:color w:val="000000"/>
                <w:sz w:val="15"/>
                <w:szCs w:val="15"/>
              </w:rPr>
              <w:t>Off-balance sheet exposures</w:t>
            </w:r>
          </w:p>
        </w:tc>
        <w:tc>
          <w:tcPr>
            <w:tcW w:w="0" w:type="auto"/>
            <w:gridSpan w:val="2"/>
            <w:shd w:val="clear" w:color="auto" w:fill="CCEEFF"/>
            <w:tcMar>
              <w:top w:w="40" w:type="dxa"/>
              <w:left w:w="20" w:type="dxa"/>
              <w:bottom w:w="40" w:type="dxa"/>
              <w:right w:w="0" w:type="dxa"/>
            </w:tcMar>
            <w:vAlign w:val="bottom"/>
          </w:tcPr>
          <w:p w14:paraId="74DD9F81" w14:textId="77777777" w:rsidR="00584EC1" w:rsidRDefault="00871F8D">
            <w:pPr>
              <w:jc w:val="right"/>
              <w:textAlignment w:val="bottom"/>
            </w:pPr>
            <w:r>
              <w:rPr>
                <w:rFonts w:ascii="Arial" w:eastAsia="宋体" w:hAnsi="Arial" w:cs="Arial"/>
                <w:b/>
                <w:bCs/>
                <w:color w:val="000000"/>
                <w:sz w:val="15"/>
                <w:szCs w:val="15"/>
              </w:rPr>
              <w:t>32,376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9F8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F83"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F84" w14:textId="77777777" w:rsidR="00584EC1" w:rsidRDefault="00871F8D">
            <w:pPr>
              <w:jc w:val="right"/>
              <w:textAlignment w:val="bottom"/>
            </w:pPr>
            <w:r>
              <w:rPr>
                <w:rFonts w:ascii="Arial" w:eastAsia="宋体" w:hAnsi="Arial" w:cs="Arial"/>
                <w:color w:val="000000"/>
                <w:sz w:val="15"/>
                <w:szCs w:val="15"/>
              </w:rPr>
              <w:t>38,591 </w:t>
            </w:r>
          </w:p>
        </w:tc>
        <w:tc>
          <w:tcPr>
            <w:tcW w:w="0" w:type="auto"/>
            <w:shd w:val="clear" w:color="auto" w:fill="CCEEFF"/>
            <w:tcMar>
              <w:top w:w="40" w:type="dxa"/>
              <w:left w:w="0" w:type="dxa"/>
              <w:bottom w:w="40" w:type="dxa"/>
              <w:right w:w="20" w:type="dxa"/>
            </w:tcMar>
            <w:vAlign w:val="bottom"/>
          </w:tcPr>
          <w:p w14:paraId="74DD9F85" w14:textId="77777777" w:rsidR="00584EC1" w:rsidRDefault="00584EC1">
            <w:pPr>
              <w:jc w:val="right"/>
              <w:rPr>
                <w:rFonts w:ascii="宋体"/>
              </w:rPr>
            </w:pPr>
          </w:p>
        </w:tc>
      </w:tr>
      <w:tr w:rsidR="00584EC1" w14:paraId="74DD9F8D" w14:textId="77777777">
        <w:tc>
          <w:tcPr>
            <w:tcW w:w="0" w:type="auto"/>
            <w:gridSpan w:val="3"/>
            <w:shd w:val="clear" w:color="auto" w:fill="FFFFFF"/>
            <w:tcMar>
              <w:top w:w="40" w:type="dxa"/>
              <w:left w:w="20" w:type="dxa"/>
              <w:bottom w:w="40" w:type="dxa"/>
              <w:right w:w="20" w:type="dxa"/>
            </w:tcMar>
            <w:vAlign w:val="bottom"/>
          </w:tcPr>
          <w:p w14:paraId="74DD9F87" w14:textId="77777777" w:rsidR="00584EC1" w:rsidRDefault="00871F8D">
            <w:pPr>
              <w:textAlignment w:val="bottom"/>
            </w:pPr>
            <w:r>
              <w:rPr>
                <w:rFonts w:ascii="Arial" w:eastAsia="宋体" w:hAnsi="Arial" w:cs="Arial"/>
                <w:color w:val="000000"/>
                <w:sz w:val="15"/>
                <w:szCs w:val="15"/>
              </w:rPr>
              <w:t>Adjustments for deductions of qualifying central bank deposits</w:t>
            </w:r>
          </w:p>
        </w:tc>
        <w:tc>
          <w:tcPr>
            <w:tcW w:w="0" w:type="auto"/>
            <w:gridSpan w:val="2"/>
            <w:shd w:val="clear" w:color="auto" w:fill="FFFFFF"/>
            <w:tcMar>
              <w:top w:w="40" w:type="dxa"/>
              <w:left w:w="20" w:type="dxa"/>
              <w:bottom w:w="40" w:type="dxa"/>
              <w:right w:w="0" w:type="dxa"/>
            </w:tcMar>
            <w:vAlign w:val="bottom"/>
          </w:tcPr>
          <w:p w14:paraId="74DD9F88" w14:textId="77777777" w:rsidR="00584EC1" w:rsidRDefault="00871F8D">
            <w:pPr>
              <w:jc w:val="right"/>
              <w:textAlignment w:val="bottom"/>
            </w:pPr>
            <w:r>
              <w:rPr>
                <w:rFonts w:ascii="Arial" w:eastAsia="宋体" w:hAnsi="Arial" w:cs="Arial"/>
                <w:b/>
                <w:bCs/>
                <w:color w:val="000000"/>
                <w:sz w:val="15"/>
                <w:szCs w:val="15"/>
              </w:rPr>
              <w:t>(77,225)</w:t>
            </w:r>
          </w:p>
        </w:tc>
        <w:tc>
          <w:tcPr>
            <w:tcW w:w="0" w:type="auto"/>
            <w:shd w:val="clear" w:color="auto" w:fill="FFFFFF"/>
            <w:tcMar>
              <w:top w:w="40" w:type="dxa"/>
              <w:left w:w="0" w:type="dxa"/>
              <w:bottom w:w="40" w:type="dxa"/>
              <w:right w:w="20" w:type="dxa"/>
            </w:tcMar>
            <w:vAlign w:val="bottom"/>
          </w:tcPr>
          <w:p w14:paraId="74DD9F8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9F8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9F8B" w14:textId="77777777" w:rsidR="00584EC1" w:rsidRDefault="00871F8D">
            <w:pPr>
              <w:jc w:val="right"/>
              <w:textAlignment w:val="bottom"/>
            </w:pPr>
            <w:r>
              <w:rPr>
                <w:rFonts w:ascii="Arial" w:eastAsia="宋体" w:hAnsi="Arial" w:cs="Arial"/>
                <w:color w:val="000000"/>
                <w:sz w:val="15"/>
                <w:szCs w:val="15"/>
              </w:rPr>
              <w:t>(80,935)</w:t>
            </w:r>
          </w:p>
        </w:tc>
        <w:tc>
          <w:tcPr>
            <w:tcW w:w="0" w:type="auto"/>
            <w:shd w:val="clear" w:color="auto" w:fill="FFFFFF"/>
            <w:tcMar>
              <w:top w:w="40" w:type="dxa"/>
              <w:left w:w="0" w:type="dxa"/>
              <w:bottom w:w="40" w:type="dxa"/>
              <w:right w:w="20" w:type="dxa"/>
            </w:tcMar>
            <w:vAlign w:val="bottom"/>
          </w:tcPr>
          <w:p w14:paraId="74DD9F8C" w14:textId="77777777" w:rsidR="00584EC1" w:rsidRDefault="00584EC1">
            <w:pPr>
              <w:jc w:val="right"/>
              <w:rPr>
                <w:rFonts w:ascii="宋体"/>
              </w:rPr>
            </w:pPr>
          </w:p>
        </w:tc>
      </w:tr>
      <w:tr w:rsidR="00584EC1" w14:paraId="74DD9F96" w14:textId="77777777">
        <w:tc>
          <w:tcPr>
            <w:tcW w:w="0" w:type="auto"/>
            <w:gridSpan w:val="3"/>
            <w:shd w:val="clear" w:color="auto" w:fill="CCEEFF"/>
            <w:tcMar>
              <w:top w:w="40" w:type="dxa"/>
              <w:left w:w="20" w:type="dxa"/>
              <w:bottom w:w="40" w:type="dxa"/>
              <w:right w:w="20" w:type="dxa"/>
            </w:tcMar>
            <w:vAlign w:val="bottom"/>
          </w:tcPr>
          <w:p w14:paraId="74DD9F8E" w14:textId="77777777" w:rsidR="00584EC1" w:rsidRDefault="00871F8D">
            <w:pPr>
              <w:textAlignment w:val="bottom"/>
            </w:pPr>
            <w:r>
              <w:rPr>
                <w:rFonts w:ascii="Arial" w:eastAsia="宋体" w:hAnsi="Arial" w:cs="Arial"/>
                <w:color w:val="000000"/>
                <w:sz w:val="15"/>
                <w:szCs w:val="15"/>
              </w:rPr>
              <w:t>Total assets for SLR</w:t>
            </w:r>
          </w:p>
        </w:tc>
        <w:tc>
          <w:tcPr>
            <w:tcW w:w="0" w:type="auto"/>
            <w:tcBorders>
              <w:top w:val="single" w:sz="8" w:space="0" w:color="000000"/>
            </w:tcBorders>
            <w:shd w:val="clear" w:color="auto" w:fill="CCEEFF"/>
            <w:tcMar>
              <w:top w:w="40" w:type="dxa"/>
              <w:left w:w="20" w:type="dxa"/>
              <w:bottom w:w="40" w:type="dxa"/>
              <w:right w:w="0" w:type="dxa"/>
            </w:tcMar>
            <w:vAlign w:val="bottom"/>
          </w:tcPr>
          <w:p w14:paraId="74DD9F8F" w14:textId="77777777" w:rsidR="00584EC1" w:rsidRDefault="00871F8D">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9F90" w14:textId="77777777" w:rsidR="00584EC1" w:rsidRDefault="00871F8D">
            <w:pPr>
              <w:jc w:val="right"/>
              <w:textAlignment w:val="bottom"/>
            </w:pPr>
            <w:r>
              <w:rPr>
                <w:rFonts w:ascii="Arial" w:eastAsia="宋体" w:hAnsi="Arial" w:cs="Arial"/>
                <w:b/>
                <w:bCs/>
                <w:color w:val="000000"/>
                <w:sz w:val="15"/>
                <w:szCs w:val="15"/>
              </w:rPr>
              <w:t>233,856</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F9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F92"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9F93"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9F94" w14:textId="77777777" w:rsidR="00584EC1" w:rsidRDefault="00871F8D">
            <w:pPr>
              <w:jc w:val="right"/>
              <w:textAlignment w:val="bottom"/>
            </w:pPr>
            <w:r>
              <w:rPr>
                <w:rFonts w:ascii="Arial" w:eastAsia="宋体" w:hAnsi="Arial" w:cs="Arial"/>
                <w:color w:val="000000"/>
                <w:sz w:val="15"/>
                <w:szCs w:val="15"/>
              </w:rPr>
              <w:t>218,145 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9F95" w14:textId="77777777" w:rsidR="00584EC1" w:rsidRDefault="00584EC1">
            <w:pPr>
              <w:jc w:val="right"/>
              <w:rPr>
                <w:rFonts w:ascii="宋体"/>
              </w:rPr>
            </w:pPr>
          </w:p>
        </w:tc>
      </w:tr>
      <w:tr w:rsidR="00584EC1" w14:paraId="74DD9F9D" w14:textId="77777777">
        <w:tc>
          <w:tcPr>
            <w:tcW w:w="0" w:type="auto"/>
            <w:gridSpan w:val="3"/>
            <w:shd w:val="clear" w:color="auto" w:fill="FFFFFF"/>
            <w:tcMar>
              <w:top w:w="40" w:type="dxa"/>
              <w:left w:w="20" w:type="dxa"/>
              <w:bottom w:w="40" w:type="dxa"/>
              <w:right w:w="20" w:type="dxa"/>
            </w:tcMar>
            <w:vAlign w:val="bottom"/>
          </w:tcPr>
          <w:p w14:paraId="74DD9F97" w14:textId="77777777" w:rsidR="00584EC1" w:rsidRDefault="00871F8D">
            <w:pPr>
              <w:textAlignment w:val="bottom"/>
            </w:pPr>
            <w:r>
              <w:rPr>
                <w:rFonts w:ascii="Arial" w:eastAsia="宋体" w:hAnsi="Arial" w:cs="Arial"/>
                <w:color w:val="000000"/>
                <w:sz w:val="15"/>
                <w:szCs w:val="15"/>
              </w:rPr>
              <w:t>Tier 1 leverage ratio</w:t>
            </w:r>
            <w:r>
              <w:rPr>
                <w:rFonts w:ascii="Arial" w:eastAsia="宋体" w:hAnsi="Arial" w:cs="Arial"/>
                <w:color w:val="000000"/>
                <w:sz w:val="9"/>
                <w:szCs w:val="9"/>
              </w:rPr>
              <w:t>(1)</w:t>
            </w: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74DD9F98" w14:textId="77777777" w:rsidR="00584EC1" w:rsidRDefault="00871F8D">
            <w:pPr>
              <w:jc w:val="right"/>
              <w:textAlignment w:val="bottom"/>
            </w:pPr>
            <w:r>
              <w:rPr>
                <w:rFonts w:ascii="Arial" w:eastAsia="宋体" w:hAnsi="Arial" w:cs="Arial"/>
                <w:b/>
                <w:bCs/>
                <w:color w:val="000000"/>
                <w:sz w:val="15"/>
                <w:szCs w:val="15"/>
              </w:rPr>
              <w:t>6.6</w:t>
            </w:r>
            <w:r>
              <w:rPr>
                <w:rFonts w:ascii="Arial" w:eastAsia="宋体" w:hAnsi="Arial" w:cs="Arial"/>
                <w:color w:val="000000"/>
                <w:sz w:val="15"/>
                <w:szCs w:val="15"/>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74DD9F99" w14:textId="77777777" w:rsidR="00584EC1" w:rsidRDefault="00871F8D">
            <w:pPr>
              <w:jc w:val="right"/>
              <w:textAlignment w:val="bottom"/>
            </w:pPr>
            <w:r>
              <w:rPr>
                <w:rFonts w:ascii="Arial" w:eastAsia="宋体" w:hAnsi="Arial" w:cs="Arial"/>
                <w:b/>
                <w:bCs/>
                <w:color w:val="000000"/>
                <w:sz w:val="15"/>
                <w:szCs w:val="15"/>
              </w:rPr>
              <w:t>%</w:t>
            </w:r>
          </w:p>
        </w:tc>
        <w:tc>
          <w:tcPr>
            <w:tcW w:w="0" w:type="auto"/>
            <w:gridSpan w:val="3"/>
            <w:shd w:val="clear" w:color="auto" w:fill="FFFFFF"/>
            <w:tcMar>
              <w:top w:w="0" w:type="dxa"/>
              <w:left w:w="20" w:type="dxa"/>
              <w:bottom w:w="0" w:type="dxa"/>
              <w:right w:w="20" w:type="dxa"/>
            </w:tcMar>
            <w:vAlign w:val="bottom"/>
          </w:tcPr>
          <w:p w14:paraId="74DD9F9A" w14:textId="77777777" w:rsidR="00584EC1" w:rsidRDefault="00584EC1">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74DD9F9B" w14:textId="77777777" w:rsidR="00584EC1" w:rsidRDefault="00871F8D">
            <w:pPr>
              <w:jc w:val="right"/>
              <w:textAlignment w:val="bottom"/>
            </w:pPr>
            <w:r>
              <w:rPr>
                <w:rFonts w:ascii="Arial" w:eastAsia="宋体" w:hAnsi="Arial" w:cs="Arial"/>
                <w:color w:val="000000"/>
                <w:sz w:val="15"/>
                <w:szCs w:val="15"/>
              </w:rPr>
              <w:t>6.6 </w:t>
            </w:r>
          </w:p>
        </w:tc>
        <w:tc>
          <w:tcPr>
            <w:tcW w:w="0" w:type="auto"/>
            <w:tcBorders>
              <w:top w:val="double" w:sz="6" w:space="0" w:color="000000"/>
            </w:tcBorders>
            <w:shd w:val="clear" w:color="auto" w:fill="FFFFFF"/>
            <w:tcMar>
              <w:top w:w="40" w:type="dxa"/>
              <w:left w:w="0" w:type="dxa"/>
              <w:bottom w:w="40" w:type="dxa"/>
              <w:right w:w="20" w:type="dxa"/>
            </w:tcMar>
            <w:vAlign w:val="bottom"/>
          </w:tcPr>
          <w:p w14:paraId="74DD9F9C" w14:textId="77777777" w:rsidR="00584EC1" w:rsidRDefault="00871F8D">
            <w:pPr>
              <w:jc w:val="right"/>
              <w:textAlignment w:val="bottom"/>
            </w:pPr>
            <w:r>
              <w:rPr>
                <w:rFonts w:ascii="Arial" w:eastAsia="宋体" w:hAnsi="Arial" w:cs="Arial"/>
                <w:color w:val="000000"/>
                <w:sz w:val="15"/>
                <w:szCs w:val="15"/>
              </w:rPr>
              <w:t>%</w:t>
            </w:r>
          </w:p>
        </w:tc>
      </w:tr>
      <w:tr w:rsidR="00584EC1" w14:paraId="74DD9FA4" w14:textId="77777777">
        <w:tc>
          <w:tcPr>
            <w:tcW w:w="0" w:type="auto"/>
            <w:gridSpan w:val="3"/>
            <w:shd w:val="clear" w:color="auto" w:fill="CCEEFF"/>
            <w:tcMar>
              <w:top w:w="40" w:type="dxa"/>
              <w:left w:w="20" w:type="dxa"/>
              <w:bottom w:w="40" w:type="dxa"/>
              <w:right w:w="20" w:type="dxa"/>
            </w:tcMar>
            <w:vAlign w:val="bottom"/>
          </w:tcPr>
          <w:p w14:paraId="74DD9F9E" w14:textId="77777777" w:rsidR="00584EC1" w:rsidRDefault="00871F8D">
            <w:pPr>
              <w:textAlignment w:val="bottom"/>
            </w:pPr>
            <w:r>
              <w:rPr>
                <w:rFonts w:ascii="Arial" w:eastAsia="宋体" w:hAnsi="Arial" w:cs="Arial"/>
                <w:color w:val="000000"/>
                <w:sz w:val="15"/>
                <w:szCs w:val="15"/>
              </w:rPr>
              <w:t>Supplementary leverage ratio</w:t>
            </w:r>
          </w:p>
        </w:tc>
        <w:tc>
          <w:tcPr>
            <w:tcW w:w="0" w:type="auto"/>
            <w:gridSpan w:val="2"/>
            <w:shd w:val="clear" w:color="auto" w:fill="CCEEFF"/>
            <w:tcMar>
              <w:top w:w="40" w:type="dxa"/>
              <w:left w:w="20" w:type="dxa"/>
              <w:bottom w:w="40" w:type="dxa"/>
              <w:right w:w="0" w:type="dxa"/>
            </w:tcMar>
            <w:vAlign w:val="bottom"/>
          </w:tcPr>
          <w:p w14:paraId="74DD9F9F" w14:textId="77777777" w:rsidR="00584EC1" w:rsidRDefault="00871F8D">
            <w:pPr>
              <w:jc w:val="right"/>
              <w:textAlignment w:val="bottom"/>
            </w:pPr>
            <w:r>
              <w:rPr>
                <w:rFonts w:ascii="Arial" w:eastAsia="宋体" w:hAnsi="Arial" w:cs="Arial"/>
                <w:b/>
                <w:bCs/>
                <w:color w:val="000000"/>
                <w:sz w:val="15"/>
                <w:szCs w:val="15"/>
              </w:rPr>
              <w:t>7.8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9FA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9FA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9FA2" w14:textId="77777777" w:rsidR="00584EC1" w:rsidRDefault="00871F8D">
            <w:pPr>
              <w:jc w:val="right"/>
              <w:textAlignment w:val="bottom"/>
            </w:pPr>
            <w:r>
              <w:rPr>
                <w:rFonts w:ascii="Arial" w:eastAsia="宋体" w:hAnsi="Arial" w:cs="Arial"/>
                <w:color w:val="000000"/>
                <w:sz w:val="15"/>
                <w:szCs w:val="15"/>
              </w:rPr>
              <w:t>7.9 </w:t>
            </w:r>
          </w:p>
        </w:tc>
        <w:tc>
          <w:tcPr>
            <w:tcW w:w="0" w:type="auto"/>
            <w:shd w:val="clear" w:color="auto" w:fill="CCEEFF"/>
            <w:tcMar>
              <w:top w:w="40" w:type="dxa"/>
              <w:left w:w="0" w:type="dxa"/>
              <w:bottom w:w="40" w:type="dxa"/>
              <w:right w:w="20" w:type="dxa"/>
            </w:tcMar>
            <w:vAlign w:val="bottom"/>
          </w:tcPr>
          <w:p w14:paraId="74DD9FA3" w14:textId="77777777" w:rsidR="00584EC1" w:rsidRDefault="00584EC1">
            <w:pPr>
              <w:jc w:val="right"/>
              <w:rPr>
                <w:rFonts w:ascii="宋体"/>
              </w:rPr>
            </w:pPr>
          </w:p>
        </w:tc>
      </w:tr>
    </w:tbl>
    <w:p w14:paraId="74DD9FA5" w14:textId="77777777" w:rsidR="00584EC1" w:rsidRDefault="00584E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3904"/>
        <w:gridCol w:w="36"/>
        <w:gridCol w:w="70"/>
        <w:gridCol w:w="1494"/>
        <w:gridCol w:w="36"/>
        <w:gridCol w:w="70"/>
        <w:gridCol w:w="2621"/>
        <w:gridCol w:w="36"/>
      </w:tblGrid>
      <w:tr w:rsidR="00584EC1" w14:paraId="74DD9FAF" w14:textId="77777777">
        <w:tc>
          <w:tcPr>
            <w:tcW w:w="50" w:type="pct"/>
            <w:shd w:val="clear" w:color="auto" w:fill="auto"/>
            <w:vAlign w:val="bottom"/>
          </w:tcPr>
          <w:p w14:paraId="74DD9FA6" w14:textId="77777777" w:rsidR="00584EC1" w:rsidRDefault="00584EC1">
            <w:pPr>
              <w:rPr>
                <w:rFonts w:ascii="宋体"/>
              </w:rPr>
            </w:pPr>
          </w:p>
        </w:tc>
        <w:tc>
          <w:tcPr>
            <w:tcW w:w="2350" w:type="pct"/>
            <w:shd w:val="clear" w:color="auto" w:fill="auto"/>
            <w:vAlign w:val="bottom"/>
          </w:tcPr>
          <w:p w14:paraId="74DD9FA7" w14:textId="77777777" w:rsidR="00584EC1" w:rsidRDefault="00584EC1">
            <w:pPr>
              <w:rPr>
                <w:rFonts w:ascii="宋体"/>
              </w:rPr>
            </w:pPr>
          </w:p>
        </w:tc>
        <w:tc>
          <w:tcPr>
            <w:tcW w:w="5" w:type="pct"/>
            <w:shd w:val="clear" w:color="auto" w:fill="auto"/>
            <w:vAlign w:val="bottom"/>
          </w:tcPr>
          <w:p w14:paraId="74DD9FA8" w14:textId="77777777" w:rsidR="00584EC1" w:rsidRDefault="00584EC1">
            <w:pPr>
              <w:rPr>
                <w:rFonts w:ascii="宋体"/>
              </w:rPr>
            </w:pPr>
          </w:p>
        </w:tc>
        <w:tc>
          <w:tcPr>
            <w:tcW w:w="50" w:type="pct"/>
            <w:shd w:val="clear" w:color="auto" w:fill="auto"/>
            <w:vAlign w:val="bottom"/>
          </w:tcPr>
          <w:p w14:paraId="74DD9FA9" w14:textId="77777777" w:rsidR="00584EC1" w:rsidRDefault="00584EC1">
            <w:pPr>
              <w:rPr>
                <w:rFonts w:ascii="宋体"/>
              </w:rPr>
            </w:pPr>
          </w:p>
        </w:tc>
        <w:tc>
          <w:tcPr>
            <w:tcW w:w="904" w:type="pct"/>
            <w:shd w:val="clear" w:color="auto" w:fill="auto"/>
            <w:vAlign w:val="bottom"/>
          </w:tcPr>
          <w:p w14:paraId="74DD9FAA" w14:textId="77777777" w:rsidR="00584EC1" w:rsidRDefault="00584EC1">
            <w:pPr>
              <w:rPr>
                <w:rFonts w:ascii="宋体"/>
              </w:rPr>
            </w:pPr>
          </w:p>
        </w:tc>
        <w:tc>
          <w:tcPr>
            <w:tcW w:w="5" w:type="pct"/>
            <w:shd w:val="clear" w:color="auto" w:fill="auto"/>
            <w:vAlign w:val="bottom"/>
          </w:tcPr>
          <w:p w14:paraId="74DD9FAB" w14:textId="77777777" w:rsidR="00584EC1" w:rsidRDefault="00584EC1">
            <w:pPr>
              <w:rPr>
                <w:rFonts w:ascii="宋体"/>
              </w:rPr>
            </w:pPr>
          </w:p>
        </w:tc>
        <w:tc>
          <w:tcPr>
            <w:tcW w:w="50" w:type="pct"/>
            <w:shd w:val="clear" w:color="auto" w:fill="auto"/>
            <w:vAlign w:val="bottom"/>
          </w:tcPr>
          <w:p w14:paraId="74DD9FAC" w14:textId="77777777" w:rsidR="00584EC1" w:rsidRDefault="00584EC1">
            <w:pPr>
              <w:rPr>
                <w:rFonts w:ascii="宋体"/>
              </w:rPr>
            </w:pPr>
          </w:p>
        </w:tc>
        <w:tc>
          <w:tcPr>
            <w:tcW w:w="1580" w:type="pct"/>
            <w:shd w:val="clear" w:color="auto" w:fill="auto"/>
            <w:vAlign w:val="bottom"/>
          </w:tcPr>
          <w:p w14:paraId="74DD9FAD" w14:textId="77777777" w:rsidR="00584EC1" w:rsidRDefault="00584EC1">
            <w:pPr>
              <w:rPr>
                <w:rFonts w:ascii="宋体"/>
              </w:rPr>
            </w:pPr>
          </w:p>
        </w:tc>
        <w:tc>
          <w:tcPr>
            <w:tcW w:w="5" w:type="pct"/>
            <w:shd w:val="clear" w:color="auto" w:fill="auto"/>
            <w:vAlign w:val="bottom"/>
          </w:tcPr>
          <w:p w14:paraId="74DD9FAE" w14:textId="77777777" w:rsidR="00584EC1" w:rsidRDefault="00584EC1">
            <w:pPr>
              <w:rPr>
                <w:rFonts w:ascii="宋体"/>
              </w:rPr>
            </w:pPr>
          </w:p>
        </w:tc>
      </w:tr>
      <w:tr w:rsidR="00584EC1" w14:paraId="74DD9FB3"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4DD9FB0"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9FB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9FB2" w14:textId="77777777" w:rsidR="00584EC1" w:rsidRDefault="00584EC1">
            <w:pPr>
              <w:rPr>
                <w:rFonts w:ascii="宋体"/>
              </w:rPr>
            </w:pPr>
          </w:p>
        </w:tc>
      </w:tr>
    </w:tbl>
    <w:p w14:paraId="74DD9FB4" w14:textId="77777777" w:rsidR="00584EC1" w:rsidRDefault="00871F8D">
      <w:pPr>
        <w:spacing w:before="90"/>
        <w:jc w:val="both"/>
        <w:textAlignment w:val="top"/>
      </w:pPr>
      <w:r>
        <w:rPr>
          <w:rFonts w:ascii="Arial" w:eastAsia="宋体" w:hAnsi="Arial" w:cs="Arial"/>
          <w:color w:val="000000"/>
          <w:sz w:val="8"/>
          <w:szCs w:val="8"/>
        </w:rPr>
        <w:t xml:space="preserve">(1) </w:t>
      </w:r>
      <w:r>
        <w:rPr>
          <w:rFonts w:ascii="Arial" w:eastAsia="宋体" w:hAnsi="Arial" w:cs="Arial"/>
          <w:color w:val="000000"/>
          <w:sz w:val="13"/>
          <w:szCs w:val="13"/>
        </w:rPr>
        <w:t>Tier 1 leverage ratios were calculated in conformity with the Basel III final rule.</w:t>
      </w:r>
    </w:p>
    <w:p w14:paraId="74DD9FB5" w14:textId="77777777" w:rsidR="00584EC1" w:rsidRDefault="00871F8D">
      <w:pPr>
        <w:spacing w:before="60"/>
        <w:jc w:val="both"/>
        <w:textAlignment w:val="top"/>
      </w:pPr>
      <w:r>
        <w:rPr>
          <w:rFonts w:ascii="Arial" w:eastAsia="宋体" w:hAnsi="Arial" w:cs="Arial"/>
          <w:color w:val="000000"/>
          <w:sz w:val="8"/>
          <w:szCs w:val="8"/>
        </w:rPr>
        <w:t xml:space="preserve">(2) </w:t>
      </w:r>
      <w:r>
        <w:rPr>
          <w:rFonts w:ascii="Arial" w:eastAsia="宋体" w:hAnsi="Arial" w:cs="Arial"/>
          <w:color w:val="000000"/>
          <w:sz w:val="13"/>
          <w:szCs w:val="13"/>
        </w:rPr>
        <w:t xml:space="preserve">The SLR rule requires that, as of January 1, </w:t>
      </w:r>
      <w:r>
        <w:rPr>
          <w:rFonts w:ascii="Arial" w:eastAsia="宋体" w:hAnsi="Arial" w:cs="Arial"/>
          <w:color w:val="000000"/>
          <w:sz w:val="13"/>
          <w:szCs w:val="13"/>
        </w:rPr>
        <w:t>2018, (i) State Street Bank maintains an SLR of at least 6.0% to be well capitalized under the U.S. banking regulators’ Prompt Corrective Action Framework and (ii) we maintain an SLR of at least 5.0% to avoid limitations on capital distributions and discre</w:t>
      </w:r>
      <w:r>
        <w:rPr>
          <w:rFonts w:ascii="Arial" w:eastAsia="宋体" w:hAnsi="Arial" w:cs="Arial"/>
          <w:color w:val="000000"/>
          <w:sz w:val="13"/>
          <w:szCs w:val="13"/>
        </w:rPr>
        <w:t>tionary bonus payments. In addition to the SLR, State Street Bank is subject to a well-capitalized Tier 1 leverage ratio requirement of 5.0%.</w:t>
      </w:r>
    </w:p>
    <w:p w14:paraId="74DD9FB6" w14:textId="77777777" w:rsidR="00584EC1" w:rsidRDefault="00871F8D">
      <w:pPr>
        <w:spacing w:before="60"/>
        <w:jc w:val="both"/>
        <w:textAlignment w:val="top"/>
      </w:pPr>
      <w:r>
        <w:rPr>
          <w:rFonts w:ascii="Arial" w:eastAsia="宋体" w:hAnsi="Arial" w:cs="Arial"/>
          <w:b/>
          <w:bCs/>
          <w:i/>
          <w:iCs/>
          <w:color w:val="000000"/>
          <w:sz w:val="20"/>
          <w:szCs w:val="20"/>
        </w:rPr>
        <w:t>Total Loss-Absorbing Capacity (TLAC)</w:t>
      </w:r>
    </w:p>
    <w:p w14:paraId="74DD9FB7" w14:textId="77777777" w:rsidR="00584EC1" w:rsidRDefault="00871F8D">
      <w:pPr>
        <w:ind w:firstLine="450"/>
        <w:jc w:val="both"/>
        <w:textAlignment w:val="top"/>
      </w:pPr>
      <w:r>
        <w:rPr>
          <w:rFonts w:ascii="Arial" w:eastAsia="宋体" w:hAnsi="Arial" w:cs="Arial"/>
          <w:color w:val="000000"/>
          <w:sz w:val="20"/>
          <w:szCs w:val="20"/>
        </w:rPr>
        <w:t xml:space="preserve">In 2016, the Federal Reserve released its final rule on TLAC, LTD and </w:t>
      </w:r>
      <w:r>
        <w:rPr>
          <w:rFonts w:ascii="Arial" w:eastAsia="宋体" w:hAnsi="Arial" w:cs="Arial"/>
          <w:color w:val="000000"/>
          <w:sz w:val="20"/>
          <w:szCs w:val="20"/>
        </w:rPr>
        <w:t>clean holding company requirements for U.S. domiciled G-SIBs, such as us, that is intended to improve the resiliency and resolvability of certain U.S. banking organizations through enhanced prudential standards. Among other things, the TLAC final rule requ</w:t>
      </w:r>
      <w:r>
        <w:rPr>
          <w:rFonts w:ascii="Arial" w:eastAsia="宋体" w:hAnsi="Arial" w:cs="Arial"/>
          <w:color w:val="000000"/>
          <w:sz w:val="20"/>
          <w:szCs w:val="20"/>
        </w:rPr>
        <w:t>ires us to comply with minimum requirements for external TLAC and external LTD effective January 1, 2019. Specifically, we must hold:</w:t>
      </w:r>
    </w:p>
    <w:tbl>
      <w:tblPr>
        <w:tblW w:w="5000" w:type="pct"/>
        <w:tblCellMar>
          <w:top w:w="15" w:type="dxa"/>
          <w:left w:w="15" w:type="dxa"/>
          <w:bottom w:w="15" w:type="dxa"/>
          <w:right w:w="15" w:type="dxa"/>
        </w:tblCellMar>
        <w:tblLook w:val="04A0" w:firstRow="1" w:lastRow="0" w:firstColumn="1" w:lastColumn="0" w:noHBand="0" w:noVBand="1"/>
      </w:tblPr>
      <w:tblGrid>
        <w:gridCol w:w="69"/>
        <w:gridCol w:w="2699"/>
        <w:gridCol w:w="36"/>
        <w:gridCol w:w="69"/>
        <w:gridCol w:w="5427"/>
        <w:gridCol w:w="36"/>
      </w:tblGrid>
      <w:tr w:rsidR="00584EC1" w14:paraId="74DD9FBE" w14:textId="77777777">
        <w:tc>
          <w:tcPr>
            <w:tcW w:w="50" w:type="pct"/>
            <w:shd w:val="clear" w:color="auto" w:fill="auto"/>
            <w:vAlign w:val="bottom"/>
          </w:tcPr>
          <w:p w14:paraId="74DD9FB8" w14:textId="77777777" w:rsidR="00584EC1" w:rsidRDefault="00584EC1">
            <w:pPr>
              <w:rPr>
                <w:rFonts w:ascii="宋体"/>
              </w:rPr>
            </w:pPr>
          </w:p>
        </w:tc>
        <w:tc>
          <w:tcPr>
            <w:tcW w:w="1627" w:type="pct"/>
            <w:shd w:val="clear" w:color="auto" w:fill="auto"/>
            <w:vAlign w:val="bottom"/>
          </w:tcPr>
          <w:p w14:paraId="74DD9FB9" w14:textId="77777777" w:rsidR="00584EC1" w:rsidRDefault="00584EC1">
            <w:pPr>
              <w:rPr>
                <w:rFonts w:ascii="宋体"/>
              </w:rPr>
            </w:pPr>
          </w:p>
        </w:tc>
        <w:tc>
          <w:tcPr>
            <w:tcW w:w="5" w:type="pct"/>
            <w:shd w:val="clear" w:color="auto" w:fill="auto"/>
            <w:vAlign w:val="bottom"/>
          </w:tcPr>
          <w:p w14:paraId="74DD9FBA" w14:textId="77777777" w:rsidR="00584EC1" w:rsidRDefault="00584EC1">
            <w:pPr>
              <w:rPr>
                <w:rFonts w:ascii="宋体"/>
              </w:rPr>
            </w:pPr>
          </w:p>
        </w:tc>
        <w:tc>
          <w:tcPr>
            <w:tcW w:w="50" w:type="pct"/>
            <w:shd w:val="clear" w:color="auto" w:fill="auto"/>
            <w:vAlign w:val="bottom"/>
          </w:tcPr>
          <w:p w14:paraId="74DD9FBB" w14:textId="77777777" w:rsidR="00584EC1" w:rsidRDefault="00584EC1">
            <w:pPr>
              <w:rPr>
                <w:rFonts w:ascii="宋体"/>
              </w:rPr>
            </w:pPr>
          </w:p>
        </w:tc>
        <w:tc>
          <w:tcPr>
            <w:tcW w:w="3262" w:type="pct"/>
            <w:shd w:val="clear" w:color="auto" w:fill="auto"/>
            <w:vAlign w:val="bottom"/>
          </w:tcPr>
          <w:p w14:paraId="74DD9FBC" w14:textId="77777777" w:rsidR="00584EC1" w:rsidRDefault="00584EC1">
            <w:pPr>
              <w:rPr>
                <w:rFonts w:ascii="宋体"/>
              </w:rPr>
            </w:pPr>
          </w:p>
        </w:tc>
        <w:tc>
          <w:tcPr>
            <w:tcW w:w="5" w:type="pct"/>
            <w:shd w:val="clear" w:color="auto" w:fill="auto"/>
            <w:vAlign w:val="bottom"/>
          </w:tcPr>
          <w:p w14:paraId="74DD9FBD" w14:textId="77777777" w:rsidR="00584EC1" w:rsidRDefault="00584EC1">
            <w:pPr>
              <w:rPr>
                <w:rFonts w:ascii="宋体"/>
              </w:rPr>
            </w:pPr>
          </w:p>
        </w:tc>
      </w:tr>
      <w:tr w:rsidR="00584EC1" w14:paraId="74DD9FC1" w14:textId="77777777">
        <w:tc>
          <w:tcPr>
            <w:tcW w:w="0" w:type="auto"/>
            <w:gridSpan w:val="3"/>
            <w:shd w:val="clear" w:color="auto" w:fill="auto"/>
            <w:tcMar>
              <w:top w:w="0" w:type="dxa"/>
              <w:left w:w="20" w:type="dxa"/>
              <w:bottom w:w="0" w:type="dxa"/>
              <w:right w:w="20" w:type="dxa"/>
            </w:tcMar>
            <w:vAlign w:val="bottom"/>
          </w:tcPr>
          <w:p w14:paraId="74DD9FBF"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9FC0" w14:textId="77777777" w:rsidR="00584EC1" w:rsidRDefault="00871F8D">
            <w:pPr>
              <w:textAlignment w:val="bottom"/>
            </w:pPr>
            <w:r>
              <w:rPr>
                <w:rFonts w:ascii="Arial" w:eastAsia="宋体" w:hAnsi="Arial" w:cs="Arial"/>
                <w:b/>
                <w:bCs/>
                <w:color w:val="000000"/>
                <w:sz w:val="16"/>
                <w:szCs w:val="16"/>
              </w:rPr>
              <w:t>Amount equal to:</w:t>
            </w:r>
          </w:p>
        </w:tc>
      </w:tr>
      <w:tr w:rsidR="00584EC1" w14:paraId="74DD9FC8" w14:textId="77777777">
        <w:tc>
          <w:tcPr>
            <w:tcW w:w="0" w:type="auto"/>
            <w:gridSpan w:val="3"/>
            <w:tcBorders>
              <w:top w:val="single" w:sz="8" w:space="0" w:color="000000"/>
              <w:left w:val="single" w:sz="8" w:space="0" w:color="000000"/>
            </w:tcBorders>
            <w:shd w:val="clear" w:color="auto" w:fill="auto"/>
            <w:tcMar>
              <w:top w:w="40" w:type="dxa"/>
              <w:left w:w="20" w:type="dxa"/>
              <w:bottom w:w="40" w:type="dxa"/>
              <w:right w:w="20" w:type="dxa"/>
            </w:tcMar>
            <w:vAlign w:val="center"/>
          </w:tcPr>
          <w:p w14:paraId="74DD9FC2" w14:textId="77777777" w:rsidR="00584EC1" w:rsidRDefault="00871F8D">
            <w:pPr>
              <w:textAlignment w:val="center"/>
            </w:pPr>
            <w:r>
              <w:rPr>
                <w:rFonts w:ascii="Arial" w:eastAsia="宋体" w:hAnsi="Arial" w:cs="Arial"/>
                <w:color w:val="000000"/>
                <w:sz w:val="16"/>
                <w:szCs w:val="16"/>
              </w:rPr>
              <w:t>Combined eligible tier 1 regulatory capital and LTD</w:t>
            </w:r>
          </w:p>
        </w:tc>
        <w:tc>
          <w:tcPr>
            <w:tcW w:w="0" w:type="auto"/>
            <w:gridSpan w:val="3"/>
            <w:tcBorders>
              <w:top w:val="single" w:sz="8" w:space="0" w:color="000000"/>
              <w:left w:val="single" w:sz="8" w:space="0" w:color="000000"/>
              <w:right w:val="single" w:sz="8" w:space="0" w:color="000000"/>
            </w:tcBorders>
            <w:shd w:val="clear" w:color="auto" w:fill="auto"/>
            <w:tcMar>
              <w:top w:w="40" w:type="dxa"/>
              <w:left w:w="20" w:type="dxa"/>
              <w:bottom w:w="40" w:type="dxa"/>
              <w:right w:w="20" w:type="dxa"/>
            </w:tcMar>
            <w:vAlign w:val="bottom"/>
          </w:tcPr>
          <w:p w14:paraId="74DD9FC3" w14:textId="77777777" w:rsidR="00584EC1" w:rsidRDefault="00871F8D">
            <w:pPr>
              <w:textAlignment w:val="bottom"/>
            </w:pPr>
            <w:r>
              <w:rPr>
                <w:rFonts w:ascii="Arial" w:eastAsia="宋体" w:hAnsi="Arial" w:cs="Arial"/>
                <w:color w:val="000000"/>
                <w:sz w:val="16"/>
                <w:szCs w:val="16"/>
              </w:rPr>
              <w:t>Greater of:</w:t>
            </w:r>
          </w:p>
          <w:p w14:paraId="74DD9FC4" w14:textId="77777777" w:rsidR="00584EC1" w:rsidRDefault="00871F8D">
            <w:pPr>
              <w:ind w:hanging="360"/>
              <w:jc w:val="both"/>
              <w:textAlignment w:val="bottom"/>
            </w:pPr>
            <w:r>
              <w:rPr>
                <w:rFonts w:ascii="Arial" w:eastAsia="宋体" w:hAnsi="Arial" w:cs="Arial"/>
                <w:color w:val="000000"/>
                <w:sz w:val="16"/>
                <w:szCs w:val="16"/>
              </w:rPr>
              <w:t xml:space="preserve">•21.5% of total RWA (18.0% </w:t>
            </w:r>
            <w:r>
              <w:rPr>
                <w:rFonts w:ascii="Arial" w:eastAsia="宋体" w:hAnsi="Arial" w:cs="Arial"/>
                <w:color w:val="000000"/>
                <w:sz w:val="16"/>
                <w:szCs w:val="16"/>
              </w:rPr>
              <w:t>minimum plus 2.5% plus a G-SIB surcharge calculated for these purposes under Method 1 of 1.0% plus any applicable counter- cyclical buffer, which is currently 0%); and</w:t>
            </w:r>
          </w:p>
          <w:p w14:paraId="74DD9FC5" w14:textId="77777777" w:rsidR="00584EC1" w:rsidRDefault="00871F8D">
            <w:pPr>
              <w:jc w:val="both"/>
              <w:textAlignment w:val="bottom"/>
            </w:pPr>
            <w:r>
              <w:rPr>
                <w:rFonts w:ascii="Arial" w:eastAsia="宋体" w:hAnsi="Arial" w:cs="Arial"/>
                <w:color w:val="000000"/>
                <w:sz w:val="16"/>
                <w:szCs w:val="16"/>
              </w:rPr>
              <w:t> </w:t>
            </w:r>
          </w:p>
          <w:p w14:paraId="74DD9FC6" w14:textId="77777777" w:rsidR="00584EC1" w:rsidRDefault="00871F8D">
            <w:pPr>
              <w:ind w:hanging="360"/>
              <w:jc w:val="both"/>
              <w:textAlignment w:val="bottom"/>
            </w:pPr>
            <w:r>
              <w:rPr>
                <w:rFonts w:ascii="Arial" w:eastAsia="宋体" w:hAnsi="Arial" w:cs="Arial"/>
                <w:color w:val="000000"/>
                <w:sz w:val="16"/>
                <w:szCs w:val="16"/>
              </w:rPr>
              <w:t>•9.5% of total leverage exposure (7.5% minimum plus the SLR buffer of 2.0%), as define</w:t>
            </w:r>
            <w:r>
              <w:rPr>
                <w:rFonts w:ascii="Arial" w:eastAsia="宋体" w:hAnsi="Arial" w:cs="Arial"/>
                <w:color w:val="000000"/>
                <w:sz w:val="16"/>
                <w:szCs w:val="16"/>
              </w:rPr>
              <w:t>d by the SLR final rule.</w:t>
            </w:r>
          </w:p>
          <w:p w14:paraId="74DD9FC7" w14:textId="77777777" w:rsidR="00584EC1" w:rsidRDefault="00584EC1">
            <w:pPr>
              <w:textAlignment w:val="bottom"/>
            </w:pPr>
          </w:p>
        </w:tc>
      </w:tr>
      <w:tr w:rsidR="00584EC1" w14:paraId="74DD9FCF" w14:textId="77777777">
        <w:tc>
          <w:tcPr>
            <w:tcW w:w="0" w:type="auto"/>
            <w:gridSpan w:val="3"/>
            <w:tcBorders>
              <w:top w:val="single" w:sz="8" w:space="0" w:color="000000"/>
              <w:left w:val="single" w:sz="8" w:space="0" w:color="000000"/>
              <w:bottom w:val="single" w:sz="8" w:space="0" w:color="000000"/>
            </w:tcBorders>
            <w:shd w:val="clear" w:color="auto" w:fill="auto"/>
            <w:tcMar>
              <w:top w:w="40" w:type="dxa"/>
              <w:left w:w="20" w:type="dxa"/>
              <w:bottom w:w="40" w:type="dxa"/>
              <w:right w:w="20" w:type="dxa"/>
            </w:tcMar>
            <w:vAlign w:val="center"/>
          </w:tcPr>
          <w:p w14:paraId="74DD9FC9" w14:textId="77777777" w:rsidR="00584EC1" w:rsidRDefault="00871F8D">
            <w:pPr>
              <w:textAlignment w:val="center"/>
            </w:pPr>
            <w:r>
              <w:rPr>
                <w:rFonts w:ascii="Arial" w:eastAsia="宋体" w:hAnsi="Arial" w:cs="Arial"/>
                <w:color w:val="000000"/>
                <w:sz w:val="16"/>
                <w:szCs w:val="16"/>
              </w:rPr>
              <w:t>Qualifying external LTD</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40" w:type="dxa"/>
              <w:left w:w="20" w:type="dxa"/>
              <w:bottom w:w="40" w:type="dxa"/>
              <w:right w:w="20" w:type="dxa"/>
            </w:tcMar>
            <w:vAlign w:val="bottom"/>
          </w:tcPr>
          <w:p w14:paraId="74DD9FCA" w14:textId="77777777" w:rsidR="00584EC1" w:rsidRDefault="00871F8D">
            <w:pPr>
              <w:textAlignment w:val="bottom"/>
            </w:pPr>
            <w:r>
              <w:rPr>
                <w:rFonts w:ascii="Arial" w:eastAsia="宋体" w:hAnsi="Arial" w:cs="Arial"/>
                <w:color w:val="000000"/>
                <w:sz w:val="16"/>
                <w:szCs w:val="16"/>
              </w:rPr>
              <w:t>Greater of:</w:t>
            </w:r>
          </w:p>
          <w:p w14:paraId="74DD9FCB" w14:textId="77777777" w:rsidR="00584EC1" w:rsidRDefault="00871F8D">
            <w:pPr>
              <w:ind w:hanging="360"/>
              <w:jc w:val="both"/>
              <w:textAlignment w:val="bottom"/>
            </w:pPr>
            <w:r>
              <w:rPr>
                <w:rFonts w:ascii="Arial" w:eastAsia="宋体" w:hAnsi="Arial" w:cs="Arial"/>
                <w:color w:val="000000"/>
                <w:sz w:val="16"/>
                <w:szCs w:val="16"/>
              </w:rPr>
              <w:t xml:space="preserve">•7.0% of RWA (6.0% minimum plus a G-SIB surcharge calculated for these purposes under method 2 of 1.0%); and </w:t>
            </w:r>
          </w:p>
          <w:p w14:paraId="74DD9FCC" w14:textId="77777777" w:rsidR="00584EC1" w:rsidRDefault="00584EC1">
            <w:pPr>
              <w:jc w:val="both"/>
              <w:textAlignment w:val="bottom"/>
            </w:pPr>
          </w:p>
          <w:p w14:paraId="74DD9FCD" w14:textId="77777777" w:rsidR="00584EC1" w:rsidRDefault="00871F8D">
            <w:pPr>
              <w:ind w:hanging="360"/>
              <w:jc w:val="both"/>
              <w:textAlignment w:val="bottom"/>
            </w:pPr>
            <w:r>
              <w:rPr>
                <w:rFonts w:ascii="Arial" w:eastAsia="宋体" w:hAnsi="Arial" w:cs="Arial"/>
                <w:color w:val="000000"/>
                <w:sz w:val="16"/>
                <w:szCs w:val="16"/>
              </w:rPr>
              <w:t>•4.5% of total leverage exposure, as defined by the SLR final rule.</w:t>
            </w:r>
          </w:p>
          <w:p w14:paraId="74DD9FCE" w14:textId="77777777" w:rsidR="00584EC1" w:rsidRDefault="00584EC1">
            <w:pPr>
              <w:textAlignment w:val="bottom"/>
            </w:pPr>
          </w:p>
        </w:tc>
      </w:tr>
    </w:tbl>
    <w:p w14:paraId="74DD9FD0" w14:textId="77777777" w:rsidR="00584EC1" w:rsidRDefault="00871F8D">
      <w:pPr>
        <w:ind w:firstLine="450"/>
        <w:jc w:val="both"/>
        <w:textAlignment w:val="top"/>
      </w:pPr>
      <w:r>
        <w:rPr>
          <w:rFonts w:ascii="Arial" w:eastAsia="宋体" w:hAnsi="Arial" w:cs="Arial"/>
          <w:color w:val="000000"/>
          <w:sz w:val="20"/>
          <w:szCs w:val="20"/>
        </w:rPr>
        <w:t xml:space="preserve">As of </w:t>
      </w:r>
      <w:r>
        <w:rPr>
          <w:rFonts w:ascii="Arial" w:eastAsia="宋体" w:hAnsi="Arial" w:cs="Arial"/>
          <w:color w:val="000000"/>
          <w:sz w:val="20"/>
          <w:szCs w:val="20"/>
        </w:rPr>
        <w:t>April 1, 2020, the TLAC and LTD requirements calibrated to the SLR denominator reflect the deduction of certain central bank balances as prescribed by the regulatory relief implemented under the EGRRCPA.</w:t>
      </w:r>
    </w:p>
    <w:p w14:paraId="74DD9FD1" w14:textId="77777777" w:rsidR="00584EC1" w:rsidRDefault="00871F8D">
      <w:pPr>
        <w:spacing w:before="60"/>
        <w:ind w:firstLine="450"/>
        <w:jc w:val="both"/>
        <w:textAlignment w:val="top"/>
      </w:pPr>
      <w:r>
        <w:rPr>
          <w:rFonts w:ascii="Arial" w:eastAsia="宋体" w:hAnsi="Arial" w:cs="Arial"/>
          <w:color w:val="000000"/>
          <w:sz w:val="20"/>
          <w:szCs w:val="20"/>
        </w:rPr>
        <w:t>The following table presents external LTD and extern</w:t>
      </w:r>
      <w:r>
        <w:rPr>
          <w:rFonts w:ascii="Arial" w:eastAsia="宋体" w:hAnsi="Arial" w:cs="Arial"/>
          <w:color w:val="000000"/>
          <w:sz w:val="20"/>
          <w:szCs w:val="20"/>
        </w:rPr>
        <w:t>al TLAC as of September 30, 2021.</w:t>
      </w:r>
    </w:p>
    <w:tbl>
      <w:tblPr>
        <w:tblW w:w="4969" w:type="pct"/>
        <w:tblCellMar>
          <w:top w:w="15" w:type="dxa"/>
          <w:left w:w="15" w:type="dxa"/>
          <w:bottom w:w="15" w:type="dxa"/>
          <w:right w:w="15" w:type="dxa"/>
        </w:tblCellMar>
        <w:tblLook w:val="04A0" w:firstRow="1" w:lastRow="0" w:firstColumn="1" w:lastColumn="0" w:noHBand="0" w:noVBand="1"/>
      </w:tblPr>
      <w:tblGrid>
        <w:gridCol w:w="39"/>
        <w:gridCol w:w="1327"/>
        <w:gridCol w:w="39"/>
        <w:gridCol w:w="39"/>
        <w:gridCol w:w="1617"/>
        <w:gridCol w:w="38"/>
        <w:gridCol w:w="104"/>
        <w:gridCol w:w="1119"/>
        <w:gridCol w:w="36"/>
        <w:gridCol w:w="36"/>
        <w:gridCol w:w="67"/>
        <w:gridCol w:w="36"/>
        <w:gridCol w:w="37"/>
        <w:gridCol w:w="934"/>
        <w:gridCol w:w="154"/>
        <w:gridCol w:w="36"/>
        <w:gridCol w:w="67"/>
        <w:gridCol w:w="36"/>
        <w:gridCol w:w="104"/>
        <w:gridCol w:w="1119"/>
        <w:gridCol w:w="36"/>
        <w:gridCol w:w="36"/>
        <w:gridCol w:w="67"/>
        <w:gridCol w:w="36"/>
        <w:gridCol w:w="37"/>
        <w:gridCol w:w="934"/>
        <w:gridCol w:w="154"/>
      </w:tblGrid>
      <w:tr w:rsidR="00584EC1" w14:paraId="74DD9FED" w14:textId="77777777">
        <w:tc>
          <w:tcPr>
            <w:tcW w:w="50" w:type="pct"/>
            <w:shd w:val="clear" w:color="auto" w:fill="auto"/>
            <w:vAlign w:val="bottom"/>
          </w:tcPr>
          <w:p w14:paraId="74DD9FD2" w14:textId="77777777" w:rsidR="00584EC1" w:rsidRDefault="00584EC1">
            <w:pPr>
              <w:rPr>
                <w:rFonts w:ascii="宋体"/>
              </w:rPr>
            </w:pPr>
          </w:p>
        </w:tc>
        <w:tc>
          <w:tcPr>
            <w:tcW w:w="831" w:type="pct"/>
            <w:shd w:val="clear" w:color="auto" w:fill="auto"/>
            <w:vAlign w:val="bottom"/>
          </w:tcPr>
          <w:p w14:paraId="74DD9FD3" w14:textId="77777777" w:rsidR="00584EC1" w:rsidRDefault="00584EC1">
            <w:pPr>
              <w:rPr>
                <w:rFonts w:ascii="宋体"/>
              </w:rPr>
            </w:pPr>
          </w:p>
        </w:tc>
        <w:tc>
          <w:tcPr>
            <w:tcW w:w="5" w:type="pct"/>
            <w:shd w:val="clear" w:color="auto" w:fill="auto"/>
            <w:vAlign w:val="bottom"/>
          </w:tcPr>
          <w:p w14:paraId="74DD9FD4" w14:textId="77777777" w:rsidR="00584EC1" w:rsidRDefault="00584EC1">
            <w:pPr>
              <w:rPr>
                <w:rFonts w:ascii="宋体"/>
              </w:rPr>
            </w:pPr>
          </w:p>
        </w:tc>
        <w:tc>
          <w:tcPr>
            <w:tcW w:w="50" w:type="pct"/>
            <w:shd w:val="clear" w:color="auto" w:fill="auto"/>
            <w:vAlign w:val="bottom"/>
          </w:tcPr>
          <w:p w14:paraId="74DD9FD5" w14:textId="77777777" w:rsidR="00584EC1" w:rsidRDefault="00584EC1">
            <w:pPr>
              <w:rPr>
                <w:rFonts w:ascii="宋体"/>
              </w:rPr>
            </w:pPr>
          </w:p>
        </w:tc>
        <w:tc>
          <w:tcPr>
            <w:tcW w:w="1005" w:type="pct"/>
            <w:shd w:val="clear" w:color="auto" w:fill="auto"/>
            <w:vAlign w:val="bottom"/>
          </w:tcPr>
          <w:p w14:paraId="74DD9FD6" w14:textId="77777777" w:rsidR="00584EC1" w:rsidRDefault="00584EC1">
            <w:pPr>
              <w:rPr>
                <w:rFonts w:ascii="宋体"/>
              </w:rPr>
            </w:pPr>
          </w:p>
        </w:tc>
        <w:tc>
          <w:tcPr>
            <w:tcW w:w="5" w:type="pct"/>
            <w:shd w:val="clear" w:color="auto" w:fill="auto"/>
            <w:vAlign w:val="bottom"/>
          </w:tcPr>
          <w:p w14:paraId="74DD9FD7" w14:textId="77777777" w:rsidR="00584EC1" w:rsidRDefault="00584EC1">
            <w:pPr>
              <w:rPr>
                <w:rFonts w:ascii="宋体"/>
              </w:rPr>
            </w:pPr>
          </w:p>
        </w:tc>
        <w:tc>
          <w:tcPr>
            <w:tcW w:w="50" w:type="pct"/>
            <w:shd w:val="clear" w:color="auto" w:fill="auto"/>
            <w:vAlign w:val="bottom"/>
          </w:tcPr>
          <w:p w14:paraId="74DD9FD8" w14:textId="77777777" w:rsidR="00584EC1" w:rsidRDefault="00584EC1">
            <w:pPr>
              <w:rPr>
                <w:rFonts w:ascii="宋体"/>
              </w:rPr>
            </w:pPr>
          </w:p>
        </w:tc>
        <w:tc>
          <w:tcPr>
            <w:tcW w:w="704" w:type="pct"/>
            <w:shd w:val="clear" w:color="auto" w:fill="auto"/>
            <w:vAlign w:val="bottom"/>
          </w:tcPr>
          <w:p w14:paraId="74DD9FD9" w14:textId="77777777" w:rsidR="00584EC1" w:rsidRDefault="00584EC1">
            <w:pPr>
              <w:rPr>
                <w:rFonts w:ascii="宋体"/>
              </w:rPr>
            </w:pPr>
          </w:p>
        </w:tc>
        <w:tc>
          <w:tcPr>
            <w:tcW w:w="5" w:type="pct"/>
            <w:shd w:val="clear" w:color="auto" w:fill="auto"/>
            <w:vAlign w:val="bottom"/>
          </w:tcPr>
          <w:p w14:paraId="74DD9FDA" w14:textId="77777777" w:rsidR="00584EC1" w:rsidRDefault="00584EC1">
            <w:pPr>
              <w:rPr>
                <w:rFonts w:ascii="宋体"/>
              </w:rPr>
            </w:pPr>
          </w:p>
        </w:tc>
        <w:tc>
          <w:tcPr>
            <w:tcW w:w="5" w:type="pct"/>
            <w:shd w:val="clear" w:color="auto" w:fill="auto"/>
            <w:vAlign w:val="bottom"/>
          </w:tcPr>
          <w:p w14:paraId="74DD9FDB" w14:textId="77777777" w:rsidR="00584EC1" w:rsidRDefault="00584EC1">
            <w:pPr>
              <w:rPr>
                <w:rFonts w:ascii="宋体"/>
              </w:rPr>
            </w:pPr>
          </w:p>
        </w:tc>
        <w:tc>
          <w:tcPr>
            <w:tcW w:w="69" w:type="pct"/>
            <w:shd w:val="clear" w:color="auto" w:fill="auto"/>
            <w:vAlign w:val="bottom"/>
          </w:tcPr>
          <w:p w14:paraId="74DD9FDC" w14:textId="77777777" w:rsidR="00584EC1" w:rsidRDefault="00584EC1">
            <w:pPr>
              <w:rPr>
                <w:rFonts w:ascii="宋体"/>
              </w:rPr>
            </w:pPr>
          </w:p>
        </w:tc>
        <w:tc>
          <w:tcPr>
            <w:tcW w:w="5" w:type="pct"/>
            <w:shd w:val="clear" w:color="auto" w:fill="auto"/>
            <w:vAlign w:val="bottom"/>
          </w:tcPr>
          <w:p w14:paraId="74DD9FDD" w14:textId="77777777" w:rsidR="00584EC1" w:rsidRDefault="00584EC1">
            <w:pPr>
              <w:rPr>
                <w:rFonts w:ascii="宋体"/>
              </w:rPr>
            </w:pPr>
          </w:p>
        </w:tc>
        <w:tc>
          <w:tcPr>
            <w:tcW w:w="50" w:type="pct"/>
            <w:shd w:val="clear" w:color="auto" w:fill="auto"/>
            <w:vAlign w:val="bottom"/>
          </w:tcPr>
          <w:p w14:paraId="74DD9FDE" w14:textId="77777777" w:rsidR="00584EC1" w:rsidRDefault="00584EC1">
            <w:pPr>
              <w:rPr>
                <w:rFonts w:ascii="宋体"/>
              </w:rPr>
            </w:pPr>
          </w:p>
        </w:tc>
        <w:tc>
          <w:tcPr>
            <w:tcW w:w="593" w:type="pct"/>
            <w:shd w:val="clear" w:color="auto" w:fill="auto"/>
            <w:vAlign w:val="bottom"/>
          </w:tcPr>
          <w:p w14:paraId="74DD9FDF" w14:textId="77777777" w:rsidR="00584EC1" w:rsidRDefault="00584EC1">
            <w:pPr>
              <w:rPr>
                <w:rFonts w:ascii="宋体"/>
              </w:rPr>
            </w:pPr>
          </w:p>
        </w:tc>
        <w:tc>
          <w:tcPr>
            <w:tcW w:w="5" w:type="pct"/>
            <w:shd w:val="clear" w:color="auto" w:fill="auto"/>
            <w:vAlign w:val="bottom"/>
          </w:tcPr>
          <w:p w14:paraId="74DD9FE0" w14:textId="77777777" w:rsidR="00584EC1" w:rsidRDefault="00584EC1">
            <w:pPr>
              <w:rPr>
                <w:rFonts w:ascii="宋体"/>
              </w:rPr>
            </w:pPr>
          </w:p>
        </w:tc>
        <w:tc>
          <w:tcPr>
            <w:tcW w:w="5" w:type="pct"/>
            <w:shd w:val="clear" w:color="auto" w:fill="auto"/>
            <w:vAlign w:val="bottom"/>
          </w:tcPr>
          <w:p w14:paraId="74DD9FE1" w14:textId="77777777" w:rsidR="00584EC1" w:rsidRDefault="00584EC1">
            <w:pPr>
              <w:rPr>
                <w:rFonts w:ascii="宋体"/>
              </w:rPr>
            </w:pPr>
          </w:p>
        </w:tc>
        <w:tc>
          <w:tcPr>
            <w:tcW w:w="69" w:type="pct"/>
            <w:shd w:val="clear" w:color="auto" w:fill="auto"/>
            <w:vAlign w:val="bottom"/>
          </w:tcPr>
          <w:p w14:paraId="74DD9FE2" w14:textId="77777777" w:rsidR="00584EC1" w:rsidRDefault="00584EC1">
            <w:pPr>
              <w:rPr>
                <w:rFonts w:ascii="宋体"/>
              </w:rPr>
            </w:pPr>
          </w:p>
        </w:tc>
        <w:tc>
          <w:tcPr>
            <w:tcW w:w="5" w:type="pct"/>
            <w:shd w:val="clear" w:color="auto" w:fill="auto"/>
            <w:vAlign w:val="bottom"/>
          </w:tcPr>
          <w:p w14:paraId="74DD9FE3" w14:textId="77777777" w:rsidR="00584EC1" w:rsidRDefault="00584EC1">
            <w:pPr>
              <w:rPr>
                <w:rFonts w:ascii="宋体"/>
              </w:rPr>
            </w:pPr>
          </w:p>
        </w:tc>
        <w:tc>
          <w:tcPr>
            <w:tcW w:w="50" w:type="pct"/>
            <w:shd w:val="clear" w:color="auto" w:fill="auto"/>
            <w:vAlign w:val="bottom"/>
          </w:tcPr>
          <w:p w14:paraId="74DD9FE4" w14:textId="77777777" w:rsidR="00584EC1" w:rsidRDefault="00584EC1">
            <w:pPr>
              <w:rPr>
                <w:rFonts w:ascii="宋体"/>
              </w:rPr>
            </w:pPr>
          </w:p>
        </w:tc>
        <w:tc>
          <w:tcPr>
            <w:tcW w:w="704" w:type="pct"/>
            <w:shd w:val="clear" w:color="auto" w:fill="auto"/>
            <w:vAlign w:val="bottom"/>
          </w:tcPr>
          <w:p w14:paraId="74DD9FE5" w14:textId="77777777" w:rsidR="00584EC1" w:rsidRDefault="00584EC1">
            <w:pPr>
              <w:rPr>
                <w:rFonts w:ascii="宋体"/>
              </w:rPr>
            </w:pPr>
          </w:p>
        </w:tc>
        <w:tc>
          <w:tcPr>
            <w:tcW w:w="5" w:type="pct"/>
            <w:shd w:val="clear" w:color="auto" w:fill="auto"/>
            <w:vAlign w:val="bottom"/>
          </w:tcPr>
          <w:p w14:paraId="74DD9FE6" w14:textId="77777777" w:rsidR="00584EC1" w:rsidRDefault="00584EC1">
            <w:pPr>
              <w:rPr>
                <w:rFonts w:ascii="宋体"/>
              </w:rPr>
            </w:pPr>
          </w:p>
        </w:tc>
        <w:tc>
          <w:tcPr>
            <w:tcW w:w="5" w:type="pct"/>
            <w:shd w:val="clear" w:color="auto" w:fill="auto"/>
            <w:vAlign w:val="bottom"/>
          </w:tcPr>
          <w:p w14:paraId="74DD9FE7" w14:textId="77777777" w:rsidR="00584EC1" w:rsidRDefault="00584EC1">
            <w:pPr>
              <w:rPr>
                <w:rFonts w:ascii="宋体"/>
              </w:rPr>
            </w:pPr>
          </w:p>
        </w:tc>
        <w:tc>
          <w:tcPr>
            <w:tcW w:w="69" w:type="pct"/>
            <w:shd w:val="clear" w:color="auto" w:fill="auto"/>
            <w:vAlign w:val="bottom"/>
          </w:tcPr>
          <w:p w14:paraId="74DD9FE8" w14:textId="77777777" w:rsidR="00584EC1" w:rsidRDefault="00584EC1">
            <w:pPr>
              <w:rPr>
                <w:rFonts w:ascii="宋体"/>
              </w:rPr>
            </w:pPr>
          </w:p>
        </w:tc>
        <w:tc>
          <w:tcPr>
            <w:tcW w:w="5" w:type="pct"/>
            <w:shd w:val="clear" w:color="auto" w:fill="auto"/>
            <w:vAlign w:val="bottom"/>
          </w:tcPr>
          <w:p w14:paraId="74DD9FE9" w14:textId="77777777" w:rsidR="00584EC1" w:rsidRDefault="00584EC1">
            <w:pPr>
              <w:rPr>
                <w:rFonts w:ascii="宋体"/>
              </w:rPr>
            </w:pPr>
          </w:p>
        </w:tc>
        <w:tc>
          <w:tcPr>
            <w:tcW w:w="50" w:type="pct"/>
            <w:shd w:val="clear" w:color="auto" w:fill="auto"/>
            <w:vAlign w:val="bottom"/>
          </w:tcPr>
          <w:p w14:paraId="74DD9FEA" w14:textId="77777777" w:rsidR="00584EC1" w:rsidRDefault="00584EC1">
            <w:pPr>
              <w:rPr>
                <w:rFonts w:ascii="宋体"/>
              </w:rPr>
            </w:pPr>
          </w:p>
        </w:tc>
        <w:tc>
          <w:tcPr>
            <w:tcW w:w="593" w:type="pct"/>
            <w:shd w:val="clear" w:color="auto" w:fill="auto"/>
            <w:vAlign w:val="bottom"/>
          </w:tcPr>
          <w:p w14:paraId="74DD9FEB" w14:textId="77777777" w:rsidR="00584EC1" w:rsidRDefault="00584EC1">
            <w:pPr>
              <w:rPr>
                <w:rFonts w:ascii="宋体"/>
              </w:rPr>
            </w:pPr>
          </w:p>
        </w:tc>
        <w:tc>
          <w:tcPr>
            <w:tcW w:w="5" w:type="pct"/>
            <w:shd w:val="clear" w:color="auto" w:fill="auto"/>
            <w:vAlign w:val="bottom"/>
          </w:tcPr>
          <w:p w14:paraId="74DD9FEC" w14:textId="77777777" w:rsidR="00584EC1" w:rsidRDefault="00584EC1">
            <w:pPr>
              <w:rPr>
                <w:rFonts w:ascii="宋体"/>
              </w:rPr>
            </w:pPr>
          </w:p>
        </w:tc>
      </w:tr>
      <w:tr w:rsidR="00584EC1" w14:paraId="74DD9FEF" w14:textId="77777777">
        <w:tc>
          <w:tcPr>
            <w:tcW w:w="0" w:type="auto"/>
            <w:gridSpan w:val="27"/>
            <w:shd w:val="clear" w:color="auto" w:fill="auto"/>
            <w:tcMar>
              <w:top w:w="40" w:type="dxa"/>
              <w:left w:w="20" w:type="dxa"/>
              <w:bottom w:w="40" w:type="dxa"/>
              <w:right w:w="20" w:type="dxa"/>
            </w:tcMar>
            <w:vAlign w:val="bottom"/>
          </w:tcPr>
          <w:p w14:paraId="74DD9FEE" w14:textId="77777777" w:rsidR="00584EC1" w:rsidRDefault="00871F8D">
            <w:pPr>
              <w:textAlignment w:val="bottom"/>
            </w:pPr>
            <w:r>
              <w:rPr>
                <w:rFonts w:ascii="Arial" w:eastAsia="宋体" w:hAnsi="Arial" w:cs="Arial"/>
                <w:b/>
                <w:bCs/>
                <w:color w:val="000000"/>
                <w:sz w:val="16"/>
                <w:szCs w:val="16"/>
              </w:rPr>
              <w:t>TABLE 39: TOTAL LOSS-ABSORBING CAPACITY</w:t>
            </w:r>
          </w:p>
        </w:tc>
      </w:tr>
      <w:tr w:rsidR="00584EC1" w14:paraId="74DD9FF2" w14:textId="77777777">
        <w:tc>
          <w:tcPr>
            <w:tcW w:w="0" w:type="auto"/>
            <w:gridSpan w:val="6"/>
            <w:shd w:val="clear" w:color="auto" w:fill="auto"/>
            <w:tcMar>
              <w:top w:w="0" w:type="dxa"/>
              <w:left w:w="20" w:type="dxa"/>
              <w:bottom w:w="0" w:type="dxa"/>
              <w:right w:w="20" w:type="dxa"/>
            </w:tcMar>
            <w:vAlign w:val="bottom"/>
          </w:tcPr>
          <w:p w14:paraId="74DD9FF0" w14:textId="77777777" w:rsidR="00584EC1" w:rsidRDefault="00584EC1">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74DD9FF1" w14:textId="77777777" w:rsidR="00584EC1" w:rsidRDefault="00871F8D">
            <w:pPr>
              <w:jc w:val="center"/>
              <w:textAlignment w:val="bottom"/>
            </w:pPr>
            <w:r>
              <w:rPr>
                <w:rFonts w:ascii="Arial" w:eastAsia="宋体" w:hAnsi="Arial" w:cs="Arial"/>
                <w:b/>
                <w:bCs/>
                <w:color w:val="000000"/>
                <w:sz w:val="15"/>
                <w:szCs w:val="15"/>
              </w:rPr>
              <w:t>As of September 30, 2021</w:t>
            </w:r>
          </w:p>
        </w:tc>
      </w:tr>
      <w:tr w:rsidR="00584EC1" w14:paraId="74DD9FF7" w14:textId="77777777">
        <w:tc>
          <w:tcPr>
            <w:tcW w:w="0" w:type="auto"/>
            <w:gridSpan w:val="6"/>
            <w:shd w:val="clear" w:color="auto" w:fill="auto"/>
            <w:tcMar>
              <w:top w:w="40" w:type="dxa"/>
              <w:left w:w="20" w:type="dxa"/>
              <w:bottom w:w="40" w:type="dxa"/>
              <w:right w:w="20" w:type="dxa"/>
            </w:tcMar>
            <w:vAlign w:val="bottom"/>
          </w:tcPr>
          <w:p w14:paraId="74DD9FF3" w14:textId="77777777" w:rsidR="00584EC1" w:rsidRDefault="00871F8D">
            <w:pPr>
              <w:textAlignment w:val="bottom"/>
            </w:pPr>
            <w:r>
              <w:rPr>
                <w:rFonts w:ascii="Arial" w:eastAsia="宋体" w:hAnsi="Arial" w:cs="Arial"/>
                <w:b/>
                <w:bCs/>
                <w:color w:val="000000"/>
                <w:sz w:val="15"/>
                <w:szCs w:val="15"/>
              </w:rPr>
              <w:t>(Dollars in millions)</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4DD9FF4" w14:textId="77777777" w:rsidR="00584EC1" w:rsidRDefault="00871F8D">
            <w:pPr>
              <w:jc w:val="center"/>
              <w:textAlignment w:val="bottom"/>
            </w:pPr>
            <w:r>
              <w:rPr>
                <w:rFonts w:ascii="Arial" w:eastAsia="宋体" w:hAnsi="Arial" w:cs="Arial"/>
                <w:b/>
                <w:bCs/>
                <w:color w:val="000000"/>
                <w:sz w:val="14"/>
                <w:szCs w:val="14"/>
              </w:rPr>
              <w:t>Actual</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FF5" w14:textId="77777777" w:rsidR="00584EC1" w:rsidRDefault="00584E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4DD9FF6" w14:textId="77777777" w:rsidR="00584EC1" w:rsidRDefault="00871F8D">
            <w:pPr>
              <w:jc w:val="center"/>
              <w:textAlignment w:val="bottom"/>
            </w:pPr>
            <w:r>
              <w:rPr>
                <w:rFonts w:ascii="Arial" w:eastAsia="宋体" w:hAnsi="Arial" w:cs="Arial"/>
                <w:b/>
                <w:bCs/>
                <w:color w:val="000000"/>
                <w:sz w:val="14"/>
                <w:szCs w:val="14"/>
              </w:rPr>
              <w:t>Requirement</w:t>
            </w:r>
          </w:p>
        </w:tc>
      </w:tr>
      <w:tr w:rsidR="00584EC1" w14:paraId="74DDA000" w14:textId="77777777">
        <w:tc>
          <w:tcPr>
            <w:tcW w:w="0" w:type="auto"/>
            <w:gridSpan w:val="6"/>
            <w:shd w:val="clear" w:color="auto" w:fill="auto"/>
            <w:tcMar>
              <w:top w:w="40" w:type="dxa"/>
              <w:left w:w="20" w:type="dxa"/>
              <w:bottom w:w="40" w:type="dxa"/>
              <w:right w:w="20" w:type="dxa"/>
            </w:tcMar>
            <w:vAlign w:val="center"/>
          </w:tcPr>
          <w:p w14:paraId="74DD9FF8" w14:textId="77777777" w:rsidR="00584EC1" w:rsidRDefault="00871F8D">
            <w:pPr>
              <w:textAlignment w:val="center"/>
            </w:pPr>
            <w:r>
              <w:rPr>
                <w:rFonts w:ascii="Arial" w:eastAsia="宋体" w:hAnsi="Arial" w:cs="Arial"/>
                <w:color w:val="000000"/>
                <w:sz w:val="15"/>
                <w:szCs w:val="15"/>
              </w:rPr>
              <w:t xml:space="preserve">Total loss-absorbing capacity (eligible Tier 1 regulatory </w:t>
            </w:r>
            <w:r>
              <w:rPr>
                <w:rFonts w:ascii="Arial" w:eastAsia="宋体" w:hAnsi="Arial" w:cs="Arial"/>
                <w:color w:val="000000"/>
                <w:sz w:val="15"/>
                <w:szCs w:val="15"/>
              </w:rPr>
              <w:t>capacity and long-term debt):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FF9"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FFA"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FFB"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9FFC"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FFD"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FFE"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9FFF" w14:textId="77777777" w:rsidR="00584EC1" w:rsidRDefault="00584EC1">
            <w:pPr>
              <w:rPr>
                <w:rFonts w:ascii="宋体"/>
              </w:rPr>
            </w:pPr>
          </w:p>
        </w:tc>
      </w:tr>
      <w:tr w:rsidR="00584EC1" w14:paraId="74DDA00F" w14:textId="77777777">
        <w:tc>
          <w:tcPr>
            <w:tcW w:w="0" w:type="auto"/>
            <w:gridSpan w:val="6"/>
            <w:shd w:val="clear" w:color="auto" w:fill="CCEEFF"/>
            <w:tcMar>
              <w:top w:w="40" w:type="dxa"/>
              <w:left w:w="155" w:type="dxa"/>
              <w:bottom w:w="40" w:type="dxa"/>
              <w:right w:w="20" w:type="dxa"/>
            </w:tcMar>
            <w:vAlign w:val="center"/>
          </w:tcPr>
          <w:p w14:paraId="74DDA001" w14:textId="77777777" w:rsidR="00584EC1" w:rsidRDefault="00871F8D">
            <w:pPr>
              <w:textAlignment w:val="center"/>
            </w:pPr>
            <w:r>
              <w:rPr>
                <w:rFonts w:ascii="Arial" w:eastAsia="宋体" w:hAnsi="Arial" w:cs="Arial"/>
                <w:color w:val="000000"/>
                <w:sz w:val="15"/>
                <w:szCs w:val="15"/>
              </w:rPr>
              <w:t>Risk-weighted assets</w:t>
            </w:r>
          </w:p>
        </w:tc>
        <w:tc>
          <w:tcPr>
            <w:tcW w:w="0" w:type="auto"/>
            <w:shd w:val="clear" w:color="auto" w:fill="CCEEFF"/>
            <w:tcMar>
              <w:top w:w="40" w:type="dxa"/>
              <w:left w:w="20" w:type="dxa"/>
              <w:bottom w:w="40" w:type="dxa"/>
              <w:right w:w="0" w:type="dxa"/>
            </w:tcMar>
            <w:vAlign w:val="center"/>
          </w:tcPr>
          <w:p w14:paraId="74DDA002" w14:textId="77777777" w:rsidR="00584EC1" w:rsidRDefault="00871F8D">
            <w:pPr>
              <w:textAlignment w:val="center"/>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center"/>
          </w:tcPr>
          <w:p w14:paraId="74DDA003" w14:textId="77777777" w:rsidR="00584EC1" w:rsidRDefault="00871F8D">
            <w:pPr>
              <w:jc w:val="right"/>
              <w:textAlignment w:val="center"/>
            </w:pPr>
            <w:r>
              <w:rPr>
                <w:rFonts w:ascii="Arial" w:eastAsia="宋体" w:hAnsi="Arial" w:cs="Arial"/>
                <w:b/>
                <w:bCs/>
                <w:color w:val="000000"/>
                <w:sz w:val="15"/>
                <w:szCs w:val="15"/>
              </w:rPr>
              <w:t>30,708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74DDA00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00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center"/>
          </w:tcPr>
          <w:p w14:paraId="74DDA006" w14:textId="77777777" w:rsidR="00584EC1" w:rsidRDefault="00871F8D">
            <w:pPr>
              <w:jc w:val="right"/>
              <w:textAlignment w:val="center"/>
            </w:pPr>
            <w:r>
              <w:rPr>
                <w:rFonts w:ascii="Arial" w:eastAsia="宋体" w:hAnsi="Arial" w:cs="Arial"/>
                <w:b/>
                <w:bCs/>
                <w:color w:val="000000"/>
                <w:sz w:val="15"/>
                <w:szCs w:val="15"/>
              </w:rPr>
              <w:t>26.2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74DDA007" w14:textId="77777777" w:rsidR="00584EC1" w:rsidRDefault="00871F8D">
            <w:pPr>
              <w:jc w:val="right"/>
              <w:textAlignment w:val="center"/>
            </w:pPr>
            <w:r>
              <w:rPr>
                <w:rFonts w:ascii="Arial" w:eastAsia="宋体" w:hAnsi="Arial" w:cs="Arial"/>
                <w:b/>
                <w:bCs/>
                <w:color w:val="000000"/>
                <w:sz w:val="15"/>
                <w:szCs w:val="15"/>
              </w:rPr>
              <w:t>%</w:t>
            </w:r>
          </w:p>
        </w:tc>
        <w:tc>
          <w:tcPr>
            <w:tcW w:w="0" w:type="auto"/>
            <w:gridSpan w:val="3"/>
            <w:shd w:val="clear" w:color="auto" w:fill="CCEEFF"/>
            <w:tcMar>
              <w:top w:w="0" w:type="dxa"/>
              <w:left w:w="20" w:type="dxa"/>
              <w:bottom w:w="0" w:type="dxa"/>
              <w:right w:w="20" w:type="dxa"/>
            </w:tcMar>
            <w:vAlign w:val="bottom"/>
          </w:tcPr>
          <w:p w14:paraId="74DDA008" w14:textId="77777777" w:rsidR="00584EC1" w:rsidRDefault="00584EC1">
            <w:pPr>
              <w:rPr>
                <w:rFonts w:ascii="宋体"/>
              </w:rPr>
            </w:pPr>
          </w:p>
        </w:tc>
        <w:tc>
          <w:tcPr>
            <w:tcW w:w="0" w:type="auto"/>
            <w:shd w:val="clear" w:color="auto" w:fill="CCEEFF"/>
            <w:tcMar>
              <w:top w:w="40" w:type="dxa"/>
              <w:left w:w="20" w:type="dxa"/>
              <w:bottom w:w="40" w:type="dxa"/>
              <w:right w:w="0" w:type="dxa"/>
            </w:tcMar>
            <w:vAlign w:val="center"/>
          </w:tcPr>
          <w:p w14:paraId="74DDA009" w14:textId="77777777" w:rsidR="00584EC1" w:rsidRDefault="00871F8D">
            <w:pPr>
              <w:textAlignment w:val="center"/>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center"/>
          </w:tcPr>
          <w:p w14:paraId="74DDA00A" w14:textId="77777777" w:rsidR="00584EC1" w:rsidRDefault="00871F8D">
            <w:pPr>
              <w:jc w:val="right"/>
              <w:textAlignment w:val="center"/>
            </w:pPr>
            <w:r>
              <w:rPr>
                <w:rFonts w:ascii="Arial" w:eastAsia="宋体" w:hAnsi="Arial" w:cs="Arial"/>
                <w:b/>
                <w:bCs/>
                <w:color w:val="000000"/>
                <w:sz w:val="15"/>
                <w:szCs w:val="15"/>
              </w:rPr>
              <w:t>25,204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74DDA00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00C"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center"/>
          </w:tcPr>
          <w:p w14:paraId="74DDA00D" w14:textId="77777777" w:rsidR="00584EC1" w:rsidRDefault="00871F8D">
            <w:pPr>
              <w:jc w:val="right"/>
              <w:textAlignment w:val="center"/>
            </w:pPr>
            <w:r>
              <w:rPr>
                <w:rFonts w:ascii="Arial" w:eastAsia="宋体" w:hAnsi="Arial" w:cs="Arial"/>
                <w:b/>
                <w:bCs/>
                <w:color w:val="000000"/>
                <w:sz w:val="15"/>
                <w:szCs w:val="15"/>
              </w:rPr>
              <w:t>21.5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74DDA00E" w14:textId="77777777" w:rsidR="00584EC1" w:rsidRDefault="00871F8D">
            <w:pPr>
              <w:jc w:val="right"/>
              <w:textAlignment w:val="center"/>
            </w:pPr>
            <w:r>
              <w:rPr>
                <w:rFonts w:ascii="Arial" w:eastAsia="宋体" w:hAnsi="Arial" w:cs="Arial"/>
                <w:b/>
                <w:bCs/>
                <w:color w:val="000000"/>
                <w:sz w:val="15"/>
                <w:szCs w:val="15"/>
              </w:rPr>
              <w:t>%</w:t>
            </w:r>
          </w:p>
        </w:tc>
      </w:tr>
      <w:tr w:rsidR="00584EC1" w14:paraId="74DDA01C" w14:textId="77777777">
        <w:tc>
          <w:tcPr>
            <w:tcW w:w="0" w:type="auto"/>
            <w:gridSpan w:val="6"/>
            <w:shd w:val="clear" w:color="auto" w:fill="FFFFFF"/>
            <w:tcMar>
              <w:top w:w="40" w:type="dxa"/>
              <w:left w:w="155" w:type="dxa"/>
              <w:bottom w:w="40" w:type="dxa"/>
              <w:right w:w="20" w:type="dxa"/>
            </w:tcMar>
            <w:vAlign w:val="center"/>
          </w:tcPr>
          <w:p w14:paraId="74DDA010" w14:textId="77777777" w:rsidR="00584EC1" w:rsidRDefault="00871F8D">
            <w:pPr>
              <w:textAlignment w:val="center"/>
            </w:pPr>
            <w:r>
              <w:rPr>
                <w:rFonts w:ascii="Arial" w:eastAsia="宋体" w:hAnsi="Arial" w:cs="Arial"/>
                <w:color w:val="000000"/>
                <w:sz w:val="15"/>
                <w:szCs w:val="15"/>
              </w:rPr>
              <w:t>Supplemental leverage ratio</w:t>
            </w:r>
          </w:p>
        </w:tc>
        <w:tc>
          <w:tcPr>
            <w:tcW w:w="0" w:type="auto"/>
            <w:gridSpan w:val="2"/>
            <w:shd w:val="clear" w:color="auto" w:fill="FFFFFF"/>
            <w:tcMar>
              <w:top w:w="40" w:type="dxa"/>
              <w:left w:w="20" w:type="dxa"/>
              <w:bottom w:w="40" w:type="dxa"/>
              <w:right w:w="0" w:type="dxa"/>
            </w:tcMar>
            <w:vAlign w:val="center"/>
          </w:tcPr>
          <w:p w14:paraId="74DDA011" w14:textId="77777777" w:rsidR="00584EC1" w:rsidRDefault="00871F8D">
            <w:pPr>
              <w:jc w:val="right"/>
              <w:textAlignment w:val="center"/>
            </w:pPr>
            <w:r>
              <w:rPr>
                <w:rFonts w:ascii="Arial" w:eastAsia="宋体" w:hAnsi="Arial" w:cs="Arial"/>
                <w:b/>
                <w:bCs/>
                <w:color w:val="000000"/>
                <w:sz w:val="15"/>
                <w:szCs w:val="15"/>
              </w:rPr>
              <w:t>30,708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74DDA01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01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center"/>
          </w:tcPr>
          <w:p w14:paraId="74DDA014" w14:textId="77777777" w:rsidR="00584EC1" w:rsidRDefault="00871F8D">
            <w:pPr>
              <w:jc w:val="right"/>
              <w:textAlignment w:val="center"/>
            </w:pPr>
            <w:r>
              <w:rPr>
                <w:rFonts w:ascii="Arial" w:eastAsia="宋体" w:hAnsi="Arial" w:cs="Arial"/>
                <w:b/>
                <w:bCs/>
                <w:color w:val="000000"/>
                <w:sz w:val="15"/>
                <w:szCs w:val="15"/>
              </w:rPr>
              <w:t>13.0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74DDA01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01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center"/>
          </w:tcPr>
          <w:p w14:paraId="74DDA017" w14:textId="77777777" w:rsidR="00584EC1" w:rsidRDefault="00871F8D">
            <w:pPr>
              <w:jc w:val="right"/>
              <w:textAlignment w:val="center"/>
            </w:pPr>
            <w:r>
              <w:rPr>
                <w:rFonts w:ascii="Arial" w:eastAsia="宋体" w:hAnsi="Arial" w:cs="Arial"/>
                <w:b/>
                <w:bCs/>
                <w:color w:val="000000"/>
                <w:sz w:val="15"/>
                <w:szCs w:val="15"/>
              </w:rPr>
              <w:t>22,525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74DDA01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01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center"/>
          </w:tcPr>
          <w:p w14:paraId="74DDA01A" w14:textId="77777777" w:rsidR="00584EC1" w:rsidRDefault="00871F8D">
            <w:pPr>
              <w:jc w:val="right"/>
              <w:textAlignment w:val="center"/>
            </w:pPr>
            <w:r>
              <w:rPr>
                <w:rFonts w:ascii="Arial" w:eastAsia="宋体" w:hAnsi="Arial" w:cs="Arial"/>
                <w:b/>
                <w:bCs/>
                <w:color w:val="000000"/>
                <w:sz w:val="15"/>
                <w:szCs w:val="15"/>
              </w:rPr>
              <w:t>9.5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74DDA01B" w14:textId="77777777" w:rsidR="00584EC1" w:rsidRDefault="00584EC1">
            <w:pPr>
              <w:jc w:val="right"/>
              <w:rPr>
                <w:rFonts w:ascii="宋体"/>
              </w:rPr>
            </w:pPr>
          </w:p>
        </w:tc>
      </w:tr>
      <w:tr w:rsidR="00584EC1" w14:paraId="74DDA025" w14:textId="77777777">
        <w:tc>
          <w:tcPr>
            <w:tcW w:w="0" w:type="auto"/>
            <w:gridSpan w:val="6"/>
            <w:shd w:val="clear" w:color="auto" w:fill="CCEEFF"/>
            <w:tcMar>
              <w:top w:w="40" w:type="dxa"/>
              <w:left w:w="20" w:type="dxa"/>
              <w:bottom w:w="40" w:type="dxa"/>
              <w:right w:w="20" w:type="dxa"/>
            </w:tcMar>
            <w:vAlign w:val="center"/>
          </w:tcPr>
          <w:p w14:paraId="74DDA01D" w14:textId="77777777" w:rsidR="00584EC1" w:rsidRDefault="00871F8D">
            <w:pPr>
              <w:textAlignment w:val="center"/>
            </w:pPr>
            <w:r>
              <w:rPr>
                <w:rFonts w:ascii="Arial" w:eastAsia="宋体" w:hAnsi="Arial" w:cs="Arial"/>
                <w:color w:val="000000"/>
                <w:sz w:val="15"/>
                <w:szCs w:val="15"/>
              </w:rPr>
              <w:t>Long-term debt:</w:t>
            </w:r>
          </w:p>
        </w:tc>
        <w:tc>
          <w:tcPr>
            <w:tcW w:w="0" w:type="auto"/>
            <w:gridSpan w:val="3"/>
            <w:shd w:val="clear" w:color="auto" w:fill="CCEEFF"/>
            <w:tcMar>
              <w:top w:w="0" w:type="dxa"/>
              <w:left w:w="20" w:type="dxa"/>
              <w:bottom w:w="0" w:type="dxa"/>
              <w:right w:w="20" w:type="dxa"/>
            </w:tcMar>
            <w:vAlign w:val="bottom"/>
          </w:tcPr>
          <w:p w14:paraId="74DDA01E"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A01F"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A020"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A021"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A022"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A023"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A024" w14:textId="77777777" w:rsidR="00584EC1" w:rsidRDefault="00584EC1">
            <w:pPr>
              <w:rPr>
                <w:rFonts w:ascii="宋体"/>
              </w:rPr>
            </w:pPr>
          </w:p>
        </w:tc>
      </w:tr>
      <w:tr w:rsidR="00584EC1" w14:paraId="74DDA032" w14:textId="77777777">
        <w:tc>
          <w:tcPr>
            <w:tcW w:w="0" w:type="auto"/>
            <w:gridSpan w:val="6"/>
            <w:shd w:val="clear" w:color="auto" w:fill="FFFFFF"/>
            <w:tcMar>
              <w:top w:w="40" w:type="dxa"/>
              <w:left w:w="155" w:type="dxa"/>
              <w:bottom w:w="40" w:type="dxa"/>
              <w:right w:w="20" w:type="dxa"/>
            </w:tcMar>
            <w:vAlign w:val="center"/>
          </w:tcPr>
          <w:p w14:paraId="74DDA026" w14:textId="77777777" w:rsidR="00584EC1" w:rsidRDefault="00871F8D">
            <w:pPr>
              <w:textAlignment w:val="center"/>
            </w:pPr>
            <w:r>
              <w:rPr>
                <w:rFonts w:ascii="Arial" w:eastAsia="宋体" w:hAnsi="Arial" w:cs="Arial"/>
                <w:color w:val="000000"/>
                <w:sz w:val="15"/>
                <w:szCs w:val="15"/>
              </w:rPr>
              <w:t>Risk-weighted assets</w:t>
            </w:r>
          </w:p>
        </w:tc>
        <w:tc>
          <w:tcPr>
            <w:tcW w:w="0" w:type="auto"/>
            <w:gridSpan w:val="2"/>
            <w:shd w:val="clear" w:color="auto" w:fill="FFFFFF"/>
            <w:tcMar>
              <w:top w:w="40" w:type="dxa"/>
              <w:left w:w="20" w:type="dxa"/>
              <w:bottom w:w="40" w:type="dxa"/>
              <w:right w:w="0" w:type="dxa"/>
            </w:tcMar>
            <w:vAlign w:val="center"/>
          </w:tcPr>
          <w:p w14:paraId="74DDA027" w14:textId="77777777" w:rsidR="00584EC1" w:rsidRDefault="00871F8D">
            <w:pPr>
              <w:jc w:val="right"/>
              <w:textAlignment w:val="center"/>
            </w:pPr>
            <w:r>
              <w:rPr>
                <w:rFonts w:ascii="Arial" w:eastAsia="宋体" w:hAnsi="Arial" w:cs="Arial"/>
                <w:b/>
                <w:bCs/>
                <w:color w:val="000000"/>
                <w:sz w:val="15"/>
                <w:szCs w:val="15"/>
              </w:rPr>
              <w:t>11,635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74DDA02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02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center"/>
          </w:tcPr>
          <w:p w14:paraId="74DDA02A" w14:textId="77777777" w:rsidR="00584EC1" w:rsidRDefault="00871F8D">
            <w:pPr>
              <w:jc w:val="right"/>
              <w:textAlignment w:val="center"/>
            </w:pPr>
            <w:r>
              <w:rPr>
                <w:rFonts w:ascii="Arial" w:eastAsia="宋体" w:hAnsi="Arial" w:cs="Arial"/>
                <w:b/>
                <w:bCs/>
                <w:color w:val="000000"/>
                <w:sz w:val="15"/>
                <w:szCs w:val="15"/>
              </w:rPr>
              <w:t>9.9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74DDA02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02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center"/>
          </w:tcPr>
          <w:p w14:paraId="74DDA02D" w14:textId="77777777" w:rsidR="00584EC1" w:rsidRDefault="00871F8D">
            <w:pPr>
              <w:jc w:val="right"/>
              <w:textAlignment w:val="center"/>
            </w:pPr>
            <w:r>
              <w:rPr>
                <w:rFonts w:ascii="Arial" w:eastAsia="宋体" w:hAnsi="Arial" w:cs="Arial"/>
                <w:b/>
                <w:bCs/>
                <w:color w:val="000000"/>
                <w:sz w:val="15"/>
                <w:szCs w:val="15"/>
              </w:rPr>
              <w:t>8,206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74DDA02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02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center"/>
          </w:tcPr>
          <w:p w14:paraId="74DDA030" w14:textId="77777777" w:rsidR="00584EC1" w:rsidRDefault="00871F8D">
            <w:pPr>
              <w:jc w:val="right"/>
              <w:textAlignment w:val="center"/>
            </w:pPr>
            <w:r>
              <w:rPr>
                <w:rFonts w:ascii="Arial" w:eastAsia="宋体" w:hAnsi="Arial" w:cs="Arial"/>
                <w:b/>
                <w:bCs/>
                <w:color w:val="000000"/>
                <w:sz w:val="15"/>
                <w:szCs w:val="15"/>
              </w:rPr>
              <w:t>7.0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74DDA031" w14:textId="77777777" w:rsidR="00584EC1" w:rsidRDefault="00584EC1">
            <w:pPr>
              <w:jc w:val="right"/>
              <w:rPr>
                <w:rFonts w:ascii="宋体"/>
              </w:rPr>
            </w:pPr>
          </w:p>
        </w:tc>
      </w:tr>
      <w:tr w:rsidR="00584EC1" w14:paraId="74DDA03F" w14:textId="77777777">
        <w:tc>
          <w:tcPr>
            <w:tcW w:w="0" w:type="auto"/>
            <w:gridSpan w:val="6"/>
            <w:shd w:val="clear" w:color="auto" w:fill="CCEEFF"/>
            <w:tcMar>
              <w:top w:w="40" w:type="dxa"/>
              <w:left w:w="155" w:type="dxa"/>
              <w:bottom w:w="40" w:type="dxa"/>
              <w:right w:w="20" w:type="dxa"/>
            </w:tcMar>
            <w:vAlign w:val="center"/>
          </w:tcPr>
          <w:p w14:paraId="74DDA033" w14:textId="77777777" w:rsidR="00584EC1" w:rsidRDefault="00871F8D">
            <w:pPr>
              <w:textAlignment w:val="center"/>
            </w:pPr>
            <w:r>
              <w:rPr>
                <w:rFonts w:ascii="Arial" w:eastAsia="宋体" w:hAnsi="Arial" w:cs="Arial"/>
                <w:color w:val="000000"/>
                <w:sz w:val="15"/>
                <w:szCs w:val="15"/>
              </w:rPr>
              <w:t>Supplemental leverage ratio</w:t>
            </w:r>
          </w:p>
        </w:tc>
        <w:tc>
          <w:tcPr>
            <w:tcW w:w="0" w:type="auto"/>
            <w:gridSpan w:val="2"/>
            <w:shd w:val="clear" w:color="auto" w:fill="CCEEFF"/>
            <w:tcMar>
              <w:top w:w="40" w:type="dxa"/>
              <w:left w:w="20" w:type="dxa"/>
              <w:bottom w:w="40" w:type="dxa"/>
              <w:right w:w="0" w:type="dxa"/>
            </w:tcMar>
            <w:vAlign w:val="center"/>
          </w:tcPr>
          <w:p w14:paraId="74DDA034" w14:textId="77777777" w:rsidR="00584EC1" w:rsidRDefault="00871F8D">
            <w:pPr>
              <w:jc w:val="right"/>
              <w:textAlignment w:val="center"/>
            </w:pPr>
            <w:r>
              <w:rPr>
                <w:rFonts w:ascii="Arial" w:eastAsia="宋体" w:hAnsi="Arial" w:cs="Arial"/>
                <w:b/>
                <w:bCs/>
                <w:color w:val="000000"/>
                <w:sz w:val="15"/>
                <w:szCs w:val="15"/>
              </w:rPr>
              <w:t>11,635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74DDA03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03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center"/>
          </w:tcPr>
          <w:p w14:paraId="74DDA037" w14:textId="77777777" w:rsidR="00584EC1" w:rsidRDefault="00871F8D">
            <w:pPr>
              <w:jc w:val="right"/>
              <w:textAlignment w:val="center"/>
            </w:pPr>
            <w:r>
              <w:rPr>
                <w:rFonts w:ascii="Arial" w:eastAsia="宋体" w:hAnsi="Arial" w:cs="Arial"/>
                <w:b/>
                <w:bCs/>
                <w:color w:val="000000"/>
                <w:sz w:val="15"/>
                <w:szCs w:val="15"/>
              </w:rPr>
              <w:t>4.9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74DDA03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03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center"/>
          </w:tcPr>
          <w:p w14:paraId="74DDA03A" w14:textId="77777777" w:rsidR="00584EC1" w:rsidRDefault="00871F8D">
            <w:pPr>
              <w:jc w:val="right"/>
              <w:textAlignment w:val="center"/>
            </w:pPr>
            <w:r>
              <w:rPr>
                <w:rFonts w:ascii="Arial" w:eastAsia="宋体" w:hAnsi="Arial" w:cs="Arial"/>
                <w:b/>
                <w:bCs/>
                <w:color w:val="000000"/>
                <w:sz w:val="15"/>
                <w:szCs w:val="15"/>
              </w:rPr>
              <w:t>10,670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74DDA03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03C"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center"/>
          </w:tcPr>
          <w:p w14:paraId="74DDA03D" w14:textId="77777777" w:rsidR="00584EC1" w:rsidRDefault="00871F8D">
            <w:pPr>
              <w:jc w:val="right"/>
              <w:textAlignment w:val="center"/>
            </w:pPr>
            <w:r>
              <w:rPr>
                <w:rFonts w:ascii="Arial" w:eastAsia="宋体" w:hAnsi="Arial" w:cs="Arial"/>
                <w:b/>
                <w:bCs/>
                <w:color w:val="000000"/>
                <w:sz w:val="15"/>
                <w:szCs w:val="15"/>
              </w:rPr>
              <w:t>4.5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74DDA03E" w14:textId="77777777" w:rsidR="00584EC1" w:rsidRDefault="00584EC1">
            <w:pPr>
              <w:jc w:val="right"/>
              <w:rPr>
                <w:rFonts w:ascii="宋体"/>
              </w:rPr>
            </w:pPr>
          </w:p>
        </w:tc>
      </w:tr>
    </w:tbl>
    <w:p w14:paraId="74DDA040" w14:textId="77777777" w:rsidR="00584EC1" w:rsidRDefault="00871F8D">
      <w:pPr>
        <w:spacing w:before="60"/>
        <w:jc w:val="both"/>
        <w:textAlignment w:val="top"/>
      </w:pPr>
      <w:r>
        <w:rPr>
          <w:rFonts w:ascii="Arial" w:eastAsia="宋体" w:hAnsi="Arial" w:cs="Arial"/>
          <w:b/>
          <w:bCs/>
          <w:i/>
          <w:iCs/>
          <w:color w:val="000000"/>
          <w:sz w:val="20"/>
          <w:szCs w:val="20"/>
        </w:rPr>
        <w:t>Regulatory Developments</w:t>
      </w:r>
    </w:p>
    <w:p w14:paraId="74DDA041" w14:textId="77777777" w:rsidR="00584EC1" w:rsidRDefault="00871F8D">
      <w:pPr>
        <w:spacing w:before="60"/>
        <w:ind w:firstLine="450"/>
        <w:jc w:val="both"/>
        <w:textAlignment w:val="top"/>
      </w:pPr>
      <w:r>
        <w:rPr>
          <w:rFonts w:ascii="Arial" w:eastAsia="宋体" w:hAnsi="Arial" w:cs="Arial"/>
          <w:color w:val="000000"/>
          <w:sz w:val="20"/>
          <w:szCs w:val="20"/>
        </w:rPr>
        <w:t>In April 2018, the Federal Reserve issued a proposed rule which would replace the current 2.0% SLR buffer for G-SIBs, with a buffer equal to 50% of their G-SIB surcharge. This proposal wou</w:t>
      </w:r>
      <w:r>
        <w:rPr>
          <w:rFonts w:ascii="Arial" w:eastAsia="宋体" w:hAnsi="Arial" w:cs="Arial"/>
          <w:color w:val="000000"/>
          <w:sz w:val="20"/>
          <w:szCs w:val="20"/>
        </w:rPr>
        <w:t xml:space="preserve">ld also make conforming modifications to our TLAC and eligible LTD requirements applicable to G-SIBs. At </w:t>
      </w:r>
    </w:p>
    <w:p w14:paraId="74DDA042" w14:textId="77777777" w:rsidR="00584EC1" w:rsidRDefault="00871F8D">
      <w:pPr>
        <w:ind w:firstLine="450"/>
        <w:jc w:val="right"/>
      </w:pPr>
      <w:r>
        <w:rPr>
          <w:rFonts w:ascii="Arial" w:eastAsia="宋体" w:hAnsi="Arial" w:cs="Arial"/>
          <w:color w:val="000000"/>
          <w:sz w:val="18"/>
          <w:szCs w:val="18"/>
        </w:rPr>
        <w:t>State Street Corporation | 47</w:t>
      </w:r>
    </w:p>
    <w:p w14:paraId="74DDA043" w14:textId="77777777" w:rsidR="00584EC1" w:rsidRDefault="00584EC1">
      <w:pPr>
        <w:ind w:firstLine="450"/>
        <w:jc w:val="center"/>
      </w:pPr>
    </w:p>
    <w:p w14:paraId="74DDA044" w14:textId="77777777" w:rsidR="00584EC1" w:rsidRDefault="00871F8D">
      <w:r>
        <w:pict w14:anchorId="74DE2A1D">
          <v:rect id="_x0000_i1071" style="width:415.3pt;height:1.5pt" o:hralign="center" o:hrstd="t" o:hr="t" fillcolor="#a0a0a0" stroked="f"/>
        </w:pict>
      </w:r>
    </w:p>
    <w:p w14:paraId="74DDA045" w14:textId="77777777" w:rsidR="00584EC1" w:rsidRDefault="00871F8D">
      <w:pPr>
        <w:ind w:firstLine="450"/>
        <w:jc w:val="center"/>
      </w:pPr>
      <w:r>
        <w:rPr>
          <w:rFonts w:ascii="Arial" w:eastAsia="宋体" w:hAnsi="Arial" w:cs="Arial"/>
          <w:b/>
          <w:bCs/>
          <w:color w:val="000000"/>
          <w:sz w:val="20"/>
          <w:szCs w:val="20"/>
        </w:rPr>
        <w:t>MANAGEMENT’S DISCUSSION AND ANALYSIS OF FINANCIAL CONDITION</w:t>
      </w:r>
    </w:p>
    <w:p w14:paraId="74DDA046" w14:textId="77777777" w:rsidR="00584EC1" w:rsidRDefault="00871F8D">
      <w:pPr>
        <w:ind w:firstLine="450"/>
        <w:jc w:val="center"/>
      </w:pPr>
      <w:r>
        <w:rPr>
          <w:rFonts w:ascii="Arial" w:eastAsia="宋体" w:hAnsi="Arial" w:cs="Arial"/>
          <w:b/>
          <w:bCs/>
          <w:color w:val="000000"/>
          <w:sz w:val="20"/>
          <w:szCs w:val="20"/>
        </w:rPr>
        <w:t>AND RESULTS OF OPERATIONS</w:t>
      </w:r>
    </w:p>
    <w:p w14:paraId="74DDA047" w14:textId="77777777" w:rsidR="00584EC1" w:rsidRDefault="00871F8D">
      <w:pPr>
        <w:spacing w:before="60"/>
        <w:jc w:val="both"/>
        <w:textAlignment w:val="top"/>
      </w:pPr>
      <w:r>
        <w:rPr>
          <w:rFonts w:ascii="Arial" w:eastAsia="宋体" w:hAnsi="Arial" w:cs="Arial"/>
          <w:color w:val="000000"/>
          <w:sz w:val="20"/>
          <w:szCs w:val="20"/>
        </w:rPr>
        <w:t>this point in time, it is uncle</w:t>
      </w:r>
      <w:r>
        <w:rPr>
          <w:rFonts w:ascii="Arial" w:eastAsia="宋体" w:hAnsi="Arial" w:cs="Arial"/>
          <w:color w:val="000000"/>
          <w:sz w:val="20"/>
          <w:szCs w:val="20"/>
        </w:rPr>
        <w:t>ar whether this proposal will be implemented as proposed.</w:t>
      </w:r>
    </w:p>
    <w:p w14:paraId="74DDA048" w14:textId="77777777" w:rsidR="00584EC1" w:rsidRDefault="00871F8D">
      <w:pPr>
        <w:spacing w:before="60"/>
        <w:ind w:firstLine="450"/>
        <w:jc w:val="both"/>
        <w:textAlignment w:val="top"/>
      </w:pPr>
      <w:r>
        <w:rPr>
          <w:rFonts w:ascii="Arial" w:eastAsia="宋体" w:hAnsi="Arial" w:cs="Arial"/>
          <w:color w:val="000000"/>
          <w:sz w:val="20"/>
          <w:szCs w:val="20"/>
        </w:rPr>
        <w:t>In November 2019, the Federal Reserve and other U.S. federal banking agencies issued a final rule to implement the Standardized Approach for Counterparty Credit Risk (SA-CCR) as a replacement of the</w:t>
      </w:r>
      <w:r>
        <w:rPr>
          <w:rFonts w:ascii="Arial" w:eastAsia="宋体" w:hAnsi="Arial" w:cs="Arial"/>
          <w:color w:val="000000"/>
          <w:sz w:val="20"/>
          <w:szCs w:val="20"/>
        </w:rPr>
        <w:t xml:space="preserve"> Current Exposure Method for calculating exposure-at-default of derivatives exposures. Mandatory compliance with the final rule is required by January 1, 2022. Due to the nature of our trading activities, the impact of the final rule may have a greater pro</w:t>
      </w:r>
      <w:r>
        <w:rPr>
          <w:rFonts w:ascii="Arial" w:eastAsia="宋体" w:hAnsi="Arial" w:cs="Arial"/>
          <w:color w:val="000000"/>
          <w:sz w:val="20"/>
          <w:szCs w:val="20"/>
        </w:rPr>
        <w:t>portional impact on our RWA than on some of our G-SIB peers.</w:t>
      </w:r>
    </w:p>
    <w:p w14:paraId="74DDA049" w14:textId="77777777" w:rsidR="00584EC1" w:rsidRDefault="00871F8D">
      <w:pPr>
        <w:spacing w:before="60"/>
        <w:ind w:firstLine="450"/>
        <w:jc w:val="both"/>
        <w:textAlignment w:val="top"/>
      </w:pPr>
      <w:r>
        <w:rPr>
          <w:rFonts w:ascii="Arial" w:eastAsia="宋体" w:hAnsi="Arial" w:cs="Arial"/>
          <w:color w:val="000000"/>
          <w:sz w:val="20"/>
          <w:szCs w:val="20"/>
        </w:rPr>
        <w:t>On March 4, 2020, the U.S. federal banking agencies issued the SCB final rule that replaces, under the standardized approach, the capital conservation buffer (2.5%) with a SCB calculated as the d</w:t>
      </w:r>
      <w:r>
        <w:rPr>
          <w:rFonts w:ascii="Arial" w:eastAsia="宋体" w:hAnsi="Arial" w:cs="Arial"/>
          <w:color w:val="000000"/>
          <w:sz w:val="20"/>
          <w:szCs w:val="20"/>
        </w:rPr>
        <w:t xml:space="preserve">ifference between an institution’s starting and lowest projected CET1 ratio under the CCAR severely adverse scenario plus planned common stock dividend payments (as a percentage of RWA) from the fourth through seventh quarter of the CCAR planning horizon. </w:t>
      </w:r>
      <w:r>
        <w:rPr>
          <w:rFonts w:ascii="Arial" w:eastAsia="宋体" w:hAnsi="Arial" w:cs="Arial"/>
          <w:color w:val="000000"/>
          <w:sz w:val="20"/>
          <w:szCs w:val="20"/>
        </w:rPr>
        <w:t>The SCB requirement, which became effective October 1, 2020, can be no less than 2.5% of RWA.</w:t>
      </w:r>
    </w:p>
    <w:p w14:paraId="74DDA04A" w14:textId="77777777" w:rsidR="00584EC1" w:rsidRDefault="00871F8D">
      <w:pPr>
        <w:spacing w:before="60"/>
        <w:ind w:firstLine="450"/>
        <w:jc w:val="both"/>
        <w:textAlignment w:val="top"/>
      </w:pPr>
      <w:r>
        <w:rPr>
          <w:rFonts w:ascii="Arial" w:eastAsia="宋体" w:hAnsi="Arial" w:cs="Arial"/>
          <w:color w:val="000000"/>
          <w:sz w:val="20"/>
          <w:szCs w:val="20"/>
        </w:rPr>
        <w:t>The Federal Reserve and other U.S. federal banking agencies issued an interim final rule effective in March 2020 and later finalized on a permanent basis on Augus</w:t>
      </w:r>
      <w:r>
        <w:rPr>
          <w:rFonts w:ascii="Arial" w:eastAsia="宋体" w:hAnsi="Arial" w:cs="Arial"/>
          <w:color w:val="000000"/>
          <w:sz w:val="20"/>
          <w:szCs w:val="20"/>
        </w:rPr>
        <w:t xml:space="preserve">t 26, 2020, which revised the definition of eligible retained income for all U.S. banking organizations. The revised definition of eligible retained income makes any automatic limitations on capital distributions, where a banking organization's regulatory </w:t>
      </w:r>
      <w:r>
        <w:rPr>
          <w:rFonts w:ascii="Arial" w:eastAsia="宋体" w:hAnsi="Arial" w:cs="Arial"/>
          <w:color w:val="000000"/>
          <w:sz w:val="20"/>
          <w:szCs w:val="20"/>
        </w:rPr>
        <w:t>ratios were to decline below the respective minimum requirements, take effect on a more gradual basis.</w:t>
      </w:r>
    </w:p>
    <w:p w14:paraId="74DDA04B" w14:textId="77777777" w:rsidR="00584EC1" w:rsidRDefault="00871F8D">
      <w:pPr>
        <w:spacing w:before="60"/>
        <w:ind w:firstLine="450"/>
        <w:jc w:val="both"/>
        <w:textAlignment w:val="top"/>
      </w:pPr>
      <w:r>
        <w:rPr>
          <w:rFonts w:ascii="Arial" w:eastAsia="宋体" w:hAnsi="Arial" w:cs="Arial"/>
          <w:color w:val="000000"/>
          <w:sz w:val="20"/>
          <w:szCs w:val="20"/>
        </w:rPr>
        <w:t>Following the launch of the MMLF program, which we participated in, the Federal Reserve issued an interim final rule on March 19, 2020 (followed by a fin</w:t>
      </w:r>
      <w:r>
        <w:rPr>
          <w:rFonts w:ascii="Arial" w:eastAsia="宋体" w:hAnsi="Arial" w:cs="Arial"/>
          <w:color w:val="000000"/>
          <w:sz w:val="20"/>
          <w:szCs w:val="20"/>
        </w:rPr>
        <w:t>al rule on September 29, 2020), allowing Bank Holding Companies (BHCs) to exclude assets purchased with the MMLF program from their RWA, total leverage exposure and average total consolidated assets. No new credit extensions were made after March 31, 2021,</w:t>
      </w:r>
      <w:r>
        <w:rPr>
          <w:rFonts w:ascii="Arial" w:eastAsia="宋体" w:hAnsi="Arial" w:cs="Arial"/>
          <w:color w:val="000000"/>
          <w:sz w:val="20"/>
          <w:szCs w:val="20"/>
        </w:rPr>
        <w:t xml:space="preserve"> as the program had expired.</w:t>
      </w:r>
    </w:p>
    <w:p w14:paraId="74DDA04C" w14:textId="77777777" w:rsidR="00584EC1" w:rsidRDefault="00871F8D">
      <w:pPr>
        <w:spacing w:before="60"/>
        <w:ind w:firstLine="450"/>
        <w:jc w:val="both"/>
        <w:textAlignment w:val="top"/>
      </w:pPr>
      <w:r>
        <w:rPr>
          <w:rFonts w:ascii="Arial" w:eastAsia="宋体" w:hAnsi="Arial" w:cs="Arial"/>
          <w:color w:val="000000"/>
          <w:sz w:val="20"/>
          <w:szCs w:val="20"/>
        </w:rPr>
        <w:t>On March 27, 2020, the BCBS announced the deferral of the implementation of the revisions to the Basel III framework to January 1, 2023. As of now, the U.S. federal banking agencies have not formally proposed the implementation</w:t>
      </w:r>
      <w:r>
        <w:rPr>
          <w:rFonts w:ascii="Arial" w:eastAsia="宋体" w:hAnsi="Arial" w:cs="Arial"/>
          <w:color w:val="000000"/>
          <w:sz w:val="20"/>
          <w:szCs w:val="20"/>
        </w:rPr>
        <w:t xml:space="preserve"> of the BCBS revisions.</w:t>
      </w:r>
    </w:p>
    <w:p w14:paraId="74DDA04D" w14:textId="77777777" w:rsidR="00584EC1" w:rsidRDefault="00871F8D">
      <w:pPr>
        <w:spacing w:before="60"/>
        <w:ind w:firstLine="450"/>
        <w:jc w:val="both"/>
        <w:textAlignment w:val="top"/>
      </w:pPr>
      <w:r>
        <w:rPr>
          <w:rFonts w:ascii="Arial" w:eastAsia="宋体" w:hAnsi="Arial" w:cs="Arial"/>
          <w:color w:val="000000"/>
          <w:sz w:val="20"/>
          <w:szCs w:val="20"/>
        </w:rPr>
        <w:t xml:space="preserve">Effective April 1, 2020, the Federal Reserve and other U.S. federal banking agencies adopted a final rule as part of EGRRCPA that establishes a </w:t>
      </w:r>
    </w:p>
    <w:p w14:paraId="74DDA04E" w14:textId="77777777" w:rsidR="00584EC1" w:rsidRDefault="00871F8D">
      <w:pPr>
        <w:spacing w:before="60"/>
        <w:jc w:val="both"/>
        <w:textAlignment w:val="top"/>
      </w:pPr>
      <w:r>
        <w:rPr>
          <w:rFonts w:ascii="Arial" w:eastAsia="宋体" w:hAnsi="Arial" w:cs="Arial"/>
          <w:color w:val="000000"/>
          <w:sz w:val="20"/>
          <w:szCs w:val="20"/>
        </w:rPr>
        <w:t xml:space="preserve">deduction for qualifying central bank deposits from a custodial banking organization’s </w:t>
      </w:r>
      <w:r>
        <w:rPr>
          <w:rFonts w:ascii="Arial" w:eastAsia="宋体" w:hAnsi="Arial" w:cs="Arial"/>
          <w:color w:val="000000"/>
          <w:sz w:val="20"/>
          <w:szCs w:val="20"/>
        </w:rPr>
        <w:t>total leverage exposure equal to the lesser of (i) the total amount of funds the custodial banking organization and its consolidated subsidiaries have on deposit at qualifying central banks and (ii) the total amount of client funds on deposit at the custod</w:t>
      </w:r>
      <w:r>
        <w:rPr>
          <w:rFonts w:ascii="Arial" w:eastAsia="宋体" w:hAnsi="Arial" w:cs="Arial"/>
          <w:color w:val="000000"/>
          <w:sz w:val="20"/>
          <w:szCs w:val="20"/>
        </w:rPr>
        <w:t>ial banking organization that are linked to fiduciary or custodial and safekeeping accounts. For the quarter ended September 30, 2021, we deducted $77.2 billion of average balances held on deposit at central banks from the denominator used in the calculati</w:t>
      </w:r>
      <w:r>
        <w:rPr>
          <w:rFonts w:ascii="Arial" w:eastAsia="宋体" w:hAnsi="Arial" w:cs="Arial"/>
          <w:color w:val="000000"/>
          <w:sz w:val="20"/>
          <w:szCs w:val="20"/>
        </w:rPr>
        <w:t>on of our SLR, based on this custodial banking deduction.</w:t>
      </w:r>
    </w:p>
    <w:p w14:paraId="74DDA04F" w14:textId="77777777" w:rsidR="00584EC1" w:rsidRDefault="00871F8D">
      <w:pPr>
        <w:spacing w:before="60"/>
        <w:ind w:firstLine="450"/>
        <w:jc w:val="both"/>
        <w:textAlignment w:val="top"/>
      </w:pPr>
      <w:r>
        <w:rPr>
          <w:rFonts w:ascii="Arial" w:eastAsia="宋体" w:hAnsi="Arial" w:cs="Arial"/>
          <w:color w:val="000000"/>
          <w:sz w:val="20"/>
          <w:szCs w:val="20"/>
        </w:rPr>
        <w:t>On October 20, 2020, the Federal Reserve and other U.S. federal banking agencies issued a final rule that will require us and State Street Bank to make certain deductions from regulatory capital for</w:t>
      </w:r>
      <w:r>
        <w:rPr>
          <w:rFonts w:ascii="Arial" w:eastAsia="宋体" w:hAnsi="Arial" w:cs="Arial"/>
          <w:color w:val="000000"/>
          <w:sz w:val="20"/>
          <w:szCs w:val="20"/>
        </w:rPr>
        <w:t xml:space="preserve"> investments in certain unsecured debt instruments, including eligible LTD under the TLAC rule, issued by the Parent Company and other U.S. and foreign G-SIBs. The final rule became effective on April 1, 2021. </w:t>
      </w:r>
    </w:p>
    <w:p w14:paraId="74DDA050" w14:textId="77777777" w:rsidR="00584EC1" w:rsidRDefault="00871F8D">
      <w:pPr>
        <w:spacing w:before="60"/>
        <w:ind w:firstLine="450"/>
        <w:jc w:val="both"/>
        <w:textAlignment w:val="top"/>
      </w:pPr>
      <w:r>
        <w:rPr>
          <w:rFonts w:ascii="Arial" w:eastAsia="宋体" w:hAnsi="Arial" w:cs="Arial"/>
          <w:color w:val="000000"/>
          <w:sz w:val="20"/>
          <w:szCs w:val="20"/>
        </w:rPr>
        <w:t>In light of considerable economic uncertainty</w:t>
      </w:r>
      <w:r>
        <w:rPr>
          <w:rFonts w:ascii="Arial" w:eastAsia="宋体" w:hAnsi="Arial" w:cs="Arial"/>
          <w:color w:val="000000"/>
          <w:sz w:val="20"/>
          <w:szCs w:val="20"/>
        </w:rPr>
        <w:t xml:space="preserve"> created by the COVID-19 pandemic, all participating CCAR banking organizations were required to resubmit their capital plans by November 2, 2020, based on updated scenarios provided by the Federal Reserve on September 17, 2020.</w:t>
      </w:r>
    </w:p>
    <w:p w14:paraId="74DDA051" w14:textId="77777777" w:rsidR="00584EC1" w:rsidRDefault="00871F8D">
      <w:pPr>
        <w:spacing w:before="60"/>
        <w:ind w:firstLine="450"/>
        <w:jc w:val="both"/>
        <w:textAlignment w:val="top"/>
      </w:pPr>
      <w:r>
        <w:rPr>
          <w:rFonts w:ascii="Arial" w:eastAsia="宋体" w:hAnsi="Arial" w:cs="Arial"/>
          <w:color w:val="000000"/>
          <w:sz w:val="20"/>
          <w:szCs w:val="20"/>
        </w:rPr>
        <w:t xml:space="preserve">In light of the </w:t>
      </w:r>
      <w:r>
        <w:rPr>
          <w:rFonts w:ascii="Arial" w:eastAsia="宋体" w:hAnsi="Arial" w:cs="Arial"/>
          <w:color w:val="000000"/>
          <w:sz w:val="20"/>
          <w:szCs w:val="20"/>
        </w:rPr>
        <w:t>decision to administer a new stress test, the Federal Reserve limited the ability of all CCAR banking organizations to make capital distributions in the third and fourth quarters of 2020, although banking organizations were permitted to pay common stock di</w:t>
      </w:r>
      <w:r>
        <w:rPr>
          <w:rFonts w:ascii="Arial" w:eastAsia="宋体" w:hAnsi="Arial" w:cs="Arial"/>
          <w:color w:val="000000"/>
          <w:sz w:val="20"/>
          <w:szCs w:val="20"/>
        </w:rPr>
        <w:t>vidends at previous levels provided such distributions did not exceed an amount determined by a formula based on the banking organization's recent income. As a result, CCAR banking organizations, including us, were not permitted to return capital to shareh</w:t>
      </w:r>
      <w:r>
        <w:rPr>
          <w:rFonts w:ascii="Arial" w:eastAsia="宋体" w:hAnsi="Arial" w:cs="Arial"/>
          <w:color w:val="000000"/>
          <w:sz w:val="20"/>
          <w:szCs w:val="20"/>
        </w:rPr>
        <w:t>olders in the form of common share repurchases during the third quarter and fourth quarter of 2020.</w:t>
      </w:r>
    </w:p>
    <w:p w14:paraId="74DDA052" w14:textId="77777777" w:rsidR="00584EC1" w:rsidRDefault="00871F8D">
      <w:pPr>
        <w:spacing w:before="60"/>
        <w:ind w:firstLine="450"/>
        <w:jc w:val="both"/>
        <w:textAlignment w:val="top"/>
      </w:pPr>
      <w:r>
        <w:rPr>
          <w:rFonts w:ascii="Arial" w:eastAsia="宋体" w:hAnsi="Arial" w:cs="Arial"/>
          <w:color w:val="000000"/>
          <w:sz w:val="20"/>
          <w:szCs w:val="20"/>
        </w:rPr>
        <w:t>On December 18, 2020, following the release of a second round of stress test results for 2020, the Federal Reserve modified the restrictions on capital dist</w:t>
      </w:r>
      <w:r>
        <w:rPr>
          <w:rFonts w:ascii="Arial" w:eastAsia="宋体" w:hAnsi="Arial" w:cs="Arial"/>
          <w:color w:val="000000"/>
          <w:sz w:val="20"/>
          <w:szCs w:val="20"/>
        </w:rPr>
        <w:t>ributions for the first quarter of 2021. Common stock dividends and share repurchases in the first quarter of 2021 were limited to the average of our net income for the four preceding quarters plus a number of shares equal to the share issuances in the qua</w:t>
      </w:r>
      <w:r>
        <w:rPr>
          <w:rFonts w:ascii="Arial" w:eastAsia="宋体" w:hAnsi="Arial" w:cs="Arial"/>
          <w:color w:val="000000"/>
          <w:sz w:val="20"/>
          <w:szCs w:val="20"/>
        </w:rPr>
        <w:t>rter related to expensed employee compensation, provided that we did not increase the amount of our common stock dividends to be larger than the level paid in the second quarter of 2020. On March 25, 2021, the Federal Reserve extended these restrictions th</w:t>
      </w:r>
      <w:r>
        <w:rPr>
          <w:rFonts w:ascii="Arial" w:eastAsia="宋体" w:hAnsi="Arial" w:cs="Arial"/>
          <w:color w:val="000000"/>
          <w:sz w:val="20"/>
          <w:szCs w:val="20"/>
        </w:rPr>
        <w:t>rough the second quarter of 2021.</w:t>
      </w:r>
    </w:p>
    <w:p w14:paraId="74DDA053" w14:textId="77777777" w:rsidR="00584EC1" w:rsidRDefault="00871F8D">
      <w:pPr>
        <w:ind w:firstLine="450"/>
        <w:jc w:val="right"/>
      </w:pPr>
      <w:r>
        <w:rPr>
          <w:rFonts w:ascii="Arial" w:eastAsia="宋体" w:hAnsi="Arial" w:cs="Arial"/>
          <w:color w:val="000000"/>
          <w:sz w:val="18"/>
          <w:szCs w:val="18"/>
        </w:rPr>
        <w:t>State Street Corporation | 48</w:t>
      </w:r>
    </w:p>
    <w:p w14:paraId="74DDA054" w14:textId="77777777" w:rsidR="00584EC1" w:rsidRDefault="00584EC1">
      <w:pPr>
        <w:ind w:firstLine="450"/>
        <w:jc w:val="center"/>
      </w:pPr>
    </w:p>
    <w:p w14:paraId="74DDA055" w14:textId="77777777" w:rsidR="00584EC1" w:rsidRDefault="00871F8D">
      <w:r>
        <w:pict w14:anchorId="74DE2A1E">
          <v:rect id="_x0000_i1072" style="width:415.3pt;height:1.5pt" o:hralign="center" o:hrstd="t" o:hr="t" fillcolor="#a0a0a0" stroked="f"/>
        </w:pict>
      </w:r>
    </w:p>
    <w:p w14:paraId="74DDA056" w14:textId="77777777" w:rsidR="00584EC1" w:rsidRDefault="00871F8D">
      <w:pPr>
        <w:ind w:firstLine="450"/>
        <w:jc w:val="center"/>
      </w:pPr>
      <w:r>
        <w:rPr>
          <w:rFonts w:ascii="Arial" w:eastAsia="宋体" w:hAnsi="Arial" w:cs="Arial"/>
          <w:b/>
          <w:bCs/>
          <w:color w:val="000000"/>
          <w:sz w:val="20"/>
          <w:szCs w:val="20"/>
        </w:rPr>
        <w:t>MANAGEMENT’S DISCUSSION AND ANALYSIS OF FINANCIAL CONDITION</w:t>
      </w:r>
    </w:p>
    <w:p w14:paraId="74DDA057" w14:textId="77777777" w:rsidR="00584EC1" w:rsidRDefault="00871F8D">
      <w:pPr>
        <w:ind w:firstLine="450"/>
        <w:jc w:val="center"/>
      </w:pPr>
      <w:r>
        <w:rPr>
          <w:rFonts w:ascii="Arial" w:eastAsia="宋体" w:hAnsi="Arial" w:cs="Arial"/>
          <w:b/>
          <w:bCs/>
          <w:color w:val="000000"/>
          <w:sz w:val="20"/>
          <w:szCs w:val="20"/>
        </w:rPr>
        <w:t>AND RESULTS OF OPERATIONS</w:t>
      </w:r>
    </w:p>
    <w:p w14:paraId="74DDA058" w14:textId="77777777" w:rsidR="00584EC1" w:rsidRDefault="00871F8D">
      <w:pPr>
        <w:spacing w:before="60"/>
        <w:ind w:firstLine="450"/>
        <w:jc w:val="both"/>
      </w:pPr>
      <w:r>
        <w:rPr>
          <w:rFonts w:ascii="Arial" w:eastAsia="宋体" w:hAnsi="Arial" w:cs="Arial"/>
          <w:color w:val="000000"/>
          <w:sz w:val="20"/>
          <w:szCs w:val="20"/>
        </w:rPr>
        <w:t xml:space="preserve">On June 24, 2021, we were notified by the Federal Reserve of the results from the 2021 </w:t>
      </w:r>
      <w:r>
        <w:rPr>
          <w:rFonts w:ascii="Arial" w:eastAsia="宋体" w:hAnsi="Arial" w:cs="Arial"/>
          <w:color w:val="000000"/>
          <w:sz w:val="20"/>
          <w:szCs w:val="20"/>
        </w:rPr>
        <w:t>supervisory stress test. Our SCB calculated under this year's supervisory stress test was well below the 2.5% minimum, resulting in an SCB at that floor, which will go into effect starting October 1, 2021 and run through September 30, 2022. The Federal Res</w:t>
      </w:r>
      <w:r>
        <w:rPr>
          <w:rFonts w:ascii="Arial" w:eastAsia="宋体" w:hAnsi="Arial" w:cs="Arial"/>
          <w:color w:val="000000"/>
          <w:sz w:val="20"/>
          <w:szCs w:val="20"/>
        </w:rPr>
        <w:t>erve also lifted the restrictions on capital distributions implemented in response to the COVID-19 pandemic and we are currently governed in our capital distributions by minimum capital requirements inclusive of SCB.</w:t>
      </w:r>
    </w:p>
    <w:p w14:paraId="74DDA059" w14:textId="77777777" w:rsidR="00584EC1" w:rsidRDefault="00871F8D">
      <w:pPr>
        <w:spacing w:before="60"/>
        <w:ind w:firstLine="450"/>
        <w:jc w:val="both"/>
      </w:pPr>
      <w:r>
        <w:rPr>
          <w:rFonts w:ascii="Arial" w:eastAsia="宋体" w:hAnsi="Arial" w:cs="Arial"/>
          <w:color w:val="000000"/>
          <w:sz w:val="20"/>
          <w:szCs w:val="20"/>
        </w:rPr>
        <w:t>For additional information about our ca</w:t>
      </w:r>
      <w:r>
        <w:rPr>
          <w:rFonts w:ascii="Arial" w:eastAsia="宋体" w:hAnsi="Arial" w:cs="Arial"/>
          <w:color w:val="000000"/>
          <w:sz w:val="20"/>
          <w:szCs w:val="20"/>
        </w:rPr>
        <w:t xml:space="preserve">pital, refer to pages 113 to 121 included under Item 7, Management's Discussion and Analysis of Financial Condition and Results of Operations, in our 2020 Form 10-K. </w:t>
      </w:r>
    </w:p>
    <w:p w14:paraId="74DDA05A" w14:textId="77777777" w:rsidR="00584EC1" w:rsidRDefault="00871F8D">
      <w:pPr>
        <w:spacing w:before="60"/>
      </w:pPr>
      <w:r>
        <w:rPr>
          <w:rFonts w:ascii="Arial" w:eastAsia="宋体" w:hAnsi="Arial" w:cs="Arial"/>
          <w:b/>
          <w:bCs/>
          <w:i/>
          <w:iCs/>
          <w:color w:val="000000"/>
          <w:sz w:val="20"/>
          <w:szCs w:val="20"/>
        </w:rPr>
        <w:t>Capital Actions</w:t>
      </w:r>
    </w:p>
    <w:p w14:paraId="74DDA05B" w14:textId="77777777" w:rsidR="00584EC1" w:rsidRDefault="00871F8D">
      <w:pPr>
        <w:spacing w:before="60"/>
      </w:pPr>
      <w:r>
        <w:rPr>
          <w:rFonts w:ascii="Arial" w:eastAsia="宋体" w:hAnsi="Arial" w:cs="Arial"/>
          <w:i/>
          <w:iCs/>
          <w:color w:val="000000"/>
          <w:sz w:val="20"/>
          <w:szCs w:val="20"/>
        </w:rPr>
        <w:t>Preferred Stock</w:t>
      </w:r>
    </w:p>
    <w:p w14:paraId="74DDA05C" w14:textId="77777777" w:rsidR="00584EC1" w:rsidRDefault="00871F8D">
      <w:pPr>
        <w:spacing w:before="60"/>
        <w:ind w:firstLine="450"/>
        <w:jc w:val="both"/>
      </w:pPr>
      <w:r>
        <w:rPr>
          <w:rFonts w:ascii="Arial" w:eastAsia="宋体" w:hAnsi="Arial" w:cs="Arial"/>
          <w:color w:val="000000"/>
          <w:sz w:val="20"/>
          <w:szCs w:val="20"/>
        </w:rPr>
        <w:t xml:space="preserve">The following table summarizes selected terms of each of </w:t>
      </w:r>
      <w:r>
        <w:rPr>
          <w:rFonts w:ascii="Arial" w:eastAsia="宋体" w:hAnsi="Arial" w:cs="Arial"/>
          <w:color w:val="000000"/>
          <w:sz w:val="20"/>
          <w:szCs w:val="20"/>
        </w:rPr>
        <w:t>the series of the preferred stock issued and outstanding as of September 30, 2021:</w:t>
      </w:r>
    </w:p>
    <w:tbl>
      <w:tblPr>
        <w:tblW w:w="5000" w:type="pct"/>
        <w:tblCellMar>
          <w:top w:w="15" w:type="dxa"/>
          <w:left w:w="15" w:type="dxa"/>
          <w:bottom w:w="15" w:type="dxa"/>
          <w:right w:w="15" w:type="dxa"/>
        </w:tblCellMar>
        <w:tblLook w:val="04A0" w:firstRow="1" w:lastRow="0" w:firstColumn="1" w:lastColumn="0" w:noHBand="0" w:noVBand="1"/>
      </w:tblPr>
      <w:tblGrid>
        <w:gridCol w:w="76"/>
        <w:gridCol w:w="448"/>
        <w:gridCol w:w="36"/>
        <w:gridCol w:w="40"/>
        <w:gridCol w:w="33"/>
        <w:gridCol w:w="36"/>
        <w:gridCol w:w="64"/>
        <w:gridCol w:w="511"/>
        <w:gridCol w:w="37"/>
        <w:gridCol w:w="40"/>
        <w:gridCol w:w="33"/>
        <w:gridCol w:w="36"/>
        <w:gridCol w:w="81"/>
        <w:gridCol w:w="524"/>
        <w:gridCol w:w="36"/>
        <w:gridCol w:w="40"/>
        <w:gridCol w:w="32"/>
        <w:gridCol w:w="35"/>
        <w:gridCol w:w="84"/>
        <w:gridCol w:w="579"/>
        <w:gridCol w:w="35"/>
        <w:gridCol w:w="40"/>
        <w:gridCol w:w="31"/>
        <w:gridCol w:w="35"/>
        <w:gridCol w:w="79"/>
        <w:gridCol w:w="521"/>
        <w:gridCol w:w="35"/>
        <w:gridCol w:w="40"/>
        <w:gridCol w:w="31"/>
        <w:gridCol w:w="35"/>
        <w:gridCol w:w="84"/>
        <w:gridCol w:w="544"/>
        <w:gridCol w:w="36"/>
        <w:gridCol w:w="40"/>
        <w:gridCol w:w="31"/>
        <w:gridCol w:w="35"/>
        <w:gridCol w:w="84"/>
        <w:gridCol w:w="545"/>
        <w:gridCol w:w="35"/>
        <w:gridCol w:w="40"/>
        <w:gridCol w:w="31"/>
        <w:gridCol w:w="35"/>
        <w:gridCol w:w="61"/>
        <w:gridCol w:w="566"/>
        <w:gridCol w:w="36"/>
        <w:gridCol w:w="40"/>
        <w:gridCol w:w="31"/>
        <w:gridCol w:w="35"/>
        <w:gridCol w:w="92"/>
        <w:gridCol w:w="665"/>
        <w:gridCol w:w="36"/>
        <w:gridCol w:w="40"/>
        <w:gridCol w:w="31"/>
        <w:gridCol w:w="35"/>
        <w:gridCol w:w="84"/>
        <w:gridCol w:w="518"/>
        <w:gridCol w:w="35"/>
        <w:gridCol w:w="40"/>
        <w:gridCol w:w="31"/>
        <w:gridCol w:w="35"/>
        <w:gridCol w:w="80"/>
        <w:gridCol w:w="587"/>
        <w:gridCol w:w="35"/>
      </w:tblGrid>
      <w:tr w:rsidR="00584EC1" w14:paraId="74DDA09C" w14:textId="77777777">
        <w:tc>
          <w:tcPr>
            <w:tcW w:w="50" w:type="pct"/>
            <w:shd w:val="clear" w:color="auto" w:fill="auto"/>
            <w:vAlign w:val="bottom"/>
          </w:tcPr>
          <w:p w14:paraId="74DDA05D" w14:textId="77777777" w:rsidR="00584EC1" w:rsidRDefault="00584EC1">
            <w:pPr>
              <w:rPr>
                <w:rFonts w:ascii="宋体"/>
              </w:rPr>
            </w:pPr>
          </w:p>
        </w:tc>
        <w:tc>
          <w:tcPr>
            <w:tcW w:w="310" w:type="pct"/>
            <w:shd w:val="clear" w:color="auto" w:fill="auto"/>
            <w:vAlign w:val="bottom"/>
          </w:tcPr>
          <w:p w14:paraId="74DDA05E" w14:textId="77777777" w:rsidR="00584EC1" w:rsidRDefault="00584EC1">
            <w:pPr>
              <w:rPr>
                <w:rFonts w:ascii="宋体"/>
              </w:rPr>
            </w:pPr>
          </w:p>
        </w:tc>
        <w:tc>
          <w:tcPr>
            <w:tcW w:w="5" w:type="pct"/>
            <w:shd w:val="clear" w:color="auto" w:fill="auto"/>
            <w:vAlign w:val="bottom"/>
          </w:tcPr>
          <w:p w14:paraId="74DDA05F" w14:textId="77777777" w:rsidR="00584EC1" w:rsidRDefault="00584EC1">
            <w:pPr>
              <w:rPr>
                <w:rFonts w:ascii="宋体"/>
              </w:rPr>
            </w:pPr>
          </w:p>
        </w:tc>
        <w:tc>
          <w:tcPr>
            <w:tcW w:w="5" w:type="pct"/>
            <w:shd w:val="clear" w:color="auto" w:fill="auto"/>
            <w:vAlign w:val="bottom"/>
          </w:tcPr>
          <w:p w14:paraId="74DDA060" w14:textId="77777777" w:rsidR="00584EC1" w:rsidRDefault="00584EC1">
            <w:pPr>
              <w:rPr>
                <w:rFonts w:ascii="宋体"/>
              </w:rPr>
            </w:pPr>
          </w:p>
        </w:tc>
        <w:tc>
          <w:tcPr>
            <w:tcW w:w="19" w:type="pct"/>
            <w:shd w:val="clear" w:color="auto" w:fill="auto"/>
            <w:vAlign w:val="bottom"/>
          </w:tcPr>
          <w:p w14:paraId="74DDA061" w14:textId="77777777" w:rsidR="00584EC1" w:rsidRDefault="00584EC1">
            <w:pPr>
              <w:rPr>
                <w:rFonts w:ascii="宋体"/>
              </w:rPr>
            </w:pPr>
          </w:p>
        </w:tc>
        <w:tc>
          <w:tcPr>
            <w:tcW w:w="5" w:type="pct"/>
            <w:shd w:val="clear" w:color="auto" w:fill="auto"/>
            <w:vAlign w:val="bottom"/>
          </w:tcPr>
          <w:p w14:paraId="74DDA062" w14:textId="77777777" w:rsidR="00584EC1" w:rsidRDefault="00584EC1">
            <w:pPr>
              <w:rPr>
                <w:rFonts w:ascii="宋体"/>
              </w:rPr>
            </w:pPr>
          </w:p>
        </w:tc>
        <w:tc>
          <w:tcPr>
            <w:tcW w:w="50" w:type="pct"/>
            <w:shd w:val="clear" w:color="auto" w:fill="auto"/>
            <w:vAlign w:val="bottom"/>
          </w:tcPr>
          <w:p w14:paraId="74DDA063" w14:textId="77777777" w:rsidR="00584EC1" w:rsidRDefault="00584EC1">
            <w:pPr>
              <w:rPr>
                <w:rFonts w:ascii="宋体"/>
              </w:rPr>
            </w:pPr>
          </w:p>
        </w:tc>
        <w:tc>
          <w:tcPr>
            <w:tcW w:w="434" w:type="pct"/>
            <w:shd w:val="clear" w:color="auto" w:fill="auto"/>
            <w:vAlign w:val="bottom"/>
          </w:tcPr>
          <w:p w14:paraId="74DDA064" w14:textId="77777777" w:rsidR="00584EC1" w:rsidRDefault="00584EC1">
            <w:pPr>
              <w:rPr>
                <w:rFonts w:ascii="宋体"/>
              </w:rPr>
            </w:pPr>
          </w:p>
        </w:tc>
        <w:tc>
          <w:tcPr>
            <w:tcW w:w="5" w:type="pct"/>
            <w:shd w:val="clear" w:color="auto" w:fill="auto"/>
            <w:vAlign w:val="bottom"/>
          </w:tcPr>
          <w:p w14:paraId="74DDA065" w14:textId="77777777" w:rsidR="00584EC1" w:rsidRDefault="00584EC1">
            <w:pPr>
              <w:rPr>
                <w:rFonts w:ascii="宋体"/>
              </w:rPr>
            </w:pPr>
          </w:p>
        </w:tc>
        <w:tc>
          <w:tcPr>
            <w:tcW w:w="5" w:type="pct"/>
            <w:shd w:val="clear" w:color="auto" w:fill="auto"/>
            <w:vAlign w:val="bottom"/>
          </w:tcPr>
          <w:p w14:paraId="74DDA066" w14:textId="77777777" w:rsidR="00584EC1" w:rsidRDefault="00584EC1">
            <w:pPr>
              <w:rPr>
                <w:rFonts w:ascii="宋体"/>
              </w:rPr>
            </w:pPr>
          </w:p>
        </w:tc>
        <w:tc>
          <w:tcPr>
            <w:tcW w:w="19" w:type="pct"/>
            <w:shd w:val="clear" w:color="auto" w:fill="auto"/>
            <w:vAlign w:val="bottom"/>
          </w:tcPr>
          <w:p w14:paraId="74DDA067" w14:textId="77777777" w:rsidR="00584EC1" w:rsidRDefault="00584EC1">
            <w:pPr>
              <w:rPr>
                <w:rFonts w:ascii="宋体"/>
              </w:rPr>
            </w:pPr>
          </w:p>
        </w:tc>
        <w:tc>
          <w:tcPr>
            <w:tcW w:w="5" w:type="pct"/>
            <w:shd w:val="clear" w:color="auto" w:fill="auto"/>
            <w:vAlign w:val="bottom"/>
          </w:tcPr>
          <w:p w14:paraId="74DDA068" w14:textId="77777777" w:rsidR="00584EC1" w:rsidRDefault="00584EC1">
            <w:pPr>
              <w:rPr>
                <w:rFonts w:ascii="宋体"/>
              </w:rPr>
            </w:pPr>
          </w:p>
        </w:tc>
        <w:tc>
          <w:tcPr>
            <w:tcW w:w="50" w:type="pct"/>
            <w:shd w:val="clear" w:color="auto" w:fill="auto"/>
            <w:vAlign w:val="bottom"/>
          </w:tcPr>
          <w:p w14:paraId="74DDA069" w14:textId="77777777" w:rsidR="00584EC1" w:rsidRDefault="00584EC1">
            <w:pPr>
              <w:rPr>
                <w:rFonts w:ascii="宋体"/>
              </w:rPr>
            </w:pPr>
          </w:p>
        </w:tc>
        <w:tc>
          <w:tcPr>
            <w:tcW w:w="347" w:type="pct"/>
            <w:shd w:val="clear" w:color="auto" w:fill="auto"/>
            <w:vAlign w:val="bottom"/>
          </w:tcPr>
          <w:p w14:paraId="74DDA06A" w14:textId="77777777" w:rsidR="00584EC1" w:rsidRDefault="00584EC1">
            <w:pPr>
              <w:rPr>
                <w:rFonts w:ascii="宋体"/>
              </w:rPr>
            </w:pPr>
          </w:p>
        </w:tc>
        <w:tc>
          <w:tcPr>
            <w:tcW w:w="5" w:type="pct"/>
            <w:shd w:val="clear" w:color="auto" w:fill="auto"/>
            <w:vAlign w:val="bottom"/>
          </w:tcPr>
          <w:p w14:paraId="74DDA06B" w14:textId="77777777" w:rsidR="00584EC1" w:rsidRDefault="00584EC1">
            <w:pPr>
              <w:rPr>
                <w:rFonts w:ascii="宋体"/>
              </w:rPr>
            </w:pPr>
          </w:p>
        </w:tc>
        <w:tc>
          <w:tcPr>
            <w:tcW w:w="5" w:type="pct"/>
            <w:shd w:val="clear" w:color="auto" w:fill="auto"/>
            <w:vAlign w:val="bottom"/>
          </w:tcPr>
          <w:p w14:paraId="74DDA06C" w14:textId="77777777" w:rsidR="00584EC1" w:rsidRDefault="00584EC1">
            <w:pPr>
              <w:rPr>
                <w:rFonts w:ascii="宋体"/>
              </w:rPr>
            </w:pPr>
          </w:p>
        </w:tc>
        <w:tc>
          <w:tcPr>
            <w:tcW w:w="19" w:type="pct"/>
            <w:shd w:val="clear" w:color="auto" w:fill="auto"/>
            <w:vAlign w:val="bottom"/>
          </w:tcPr>
          <w:p w14:paraId="74DDA06D" w14:textId="77777777" w:rsidR="00584EC1" w:rsidRDefault="00584EC1">
            <w:pPr>
              <w:rPr>
                <w:rFonts w:ascii="宋体"/>
              </w:rPr>
            </w:pPr>
          </w:p>
        </w:tc>
        <w:tc>
          <w:tcPr>
            <w:tcW w:w="5" w:type="pct"/>
            <w:shd w:val="clear" w:color="auto" w:fill="auto"/>
            <w:vAlign w:val="bottom"/>
          </w:tcPr>
          <w:p w14:paraId="74DDA06E" w14:textId="77777777" w:rsidR="00584EC1" w:rsidRDefault="00584EC1">
            <w:pPr>
              <w:rPr>
                <w:rFonts w:ascii="宋体"/>
              </w:rPr>
            </w:pPr>
          </w:p>
        </w:tc>
        <w:tc>
          <w:tcPr>
            <w:tcW w:w="50" w:type="pct"/>
            <w:shd w:val="clear" w:color="auto" w:fill="auto"/>
            <w:vAlign w:val="bottom"/>
          </w:tcPr>
          <w:p w14:paraId="74DDA06F" w14:textId="77777777" w:rsidR="00584EC1" w:rsidRDefault="00584EC1">
            <w:pPr>
              <w:rPr>
                <w:rFonts w:ascii="宋体"/>
              </w:rPr>
            </w:pPr>
          </w:p>
        </w:tc>
        <w:tc>
          <w:tcPr>
            <w:tcW w:w="368" w:type="pct"/>
            <w:shd w:val="clear" w:color="auto" w:fill="auto"/>
            <w:vAlign w:val="bottom"/>
          </w:tcPr>
          <w:p w14:paraId="74DDA070" w14:textId="77777777" w:rsidR="00584EC1" w:rsidRDefault="00584EC1">
            <w:pPr>
              <w:rPr>
                <w:rFonts w:ascii="宋体"/>
              </w:rPr>
            </w:pPr>
          </w:p>
        </w:tc>
        <w:tc>
          <w:tcPr>
            <w:tcW w:w="5" w:type="pct"/>
            <w:shd w:val="clear" w:color="auto" w:fill="auto"/>
            <w:vAlign w:val="bottom"/>
          </w:tcPr>
          <w:p w14:paraId="74DDA071" w14:textId="77777777" w:rsidR="00584EC1" w:rsidRDefault="00584EC1">
            <w:pPr>
              <w:rPr>
                <w:rFonts w:ascii="宋体"/>
              </w:rPr>
            </w:pPr>
          </w:p>
        </w:tc>
        <w:tc>
          <w:tcPr>
            <w:tcW w:w="5" w:type="pct"/>
            <w:shd w:val="clear" w:color="auto" w:fill="auto"/>
            <w:vAlign w:val="bottom"/>
          </w:tcPr>
          <w:p w14:paraId="74DDA072" w14:textId="77777777" w:rsidR="00584EC1" w:rsidRDefault="00584EC1">
            <w:pPr>
              <w:rPr>
                <w:rFonts w:ascii="宋体"/>
              </w:rPr>
            </w:pPr>
          </w:p>
        </w:tc>
        <w:tc>
          <w:tcPr>
            <w:tcW w:w="19" w:type="pct"/>
            <w:shd w:val="clear" w:color="auto" w:fill="auto"/>
            <w:vAlign w:val="bottom"/>
          </w:tcPr>
          <w:p w14:paraId="74DDA073" w14:textId="77777777" w:rsidR="00584EC1" w:rsidRDefault="00584EC1">
            <w:pPr>
              <w:rPr>
                <w:rFonts w:ascii="宋体"/>
              </w:rPr>
            </w:pPr>
          </w:p>
        </w:tc>
        <w:tc>
          <w:tcPr>
            <w:tcW w:w="5" w:type="pct"/>
            <w:shd w:val="clear" w:color="auto" w:fill="auto"/>
            <w:vAlign w:val="bottom"/>
          </w:tcPr>
          <w:p w14:paraId="74DDA074" w14:textId="77777777" w:rsidR="00584EC1" w:rsidRDefault="00584EC1">
            <w:pPr>
              <w:rPr>
                <w:rFonts w:ascii="宋体"/>
              </w:rPr>
            </w:pPr>
          </w:p>
        </w:tc>
        <w:tc>
          <w:tcPr>
            <w:tcW w:w="50" w:type="pct"/>
            <w:shd w:val="clear" w:color="auto" w:fill="auto"/>
            <w:vAlign w:val="bottom"/>
          </w:tcPr>
          <w:p w14:paraId="74DDA075" w14:textId="77777777" w:rsidR="00584EC1" w:rsidRDefault="00584EC1">
            <w:pPr>
              <w:rPr>
                <w:rFonts w:ascii="宋体"/>
              </w:rPr>
            </w:pPr>
          </w:p>
        </w:tc>
        <w:tc>
          <w:tcPr>
            <w:tcW w:w="347" w:type="pct"/>
            <w:shd w:val="clear" w:color="auto" w:fill="auto"/>
            <w:vAlign w:val="bottom"/>
          </w:tcPr>
          <w:p w14:paraId="74DDA076" w14:textId="77777777" w:rsidR="00584EC1" w:rsidRDefault="00584EC1">
            <w:pPr>
              <w:rPr>
                <w:rFonts w:ascii="宋体"/>
              </w:rPr>
            </w:pPr>
          </w:p>
        </w:tc>
        <w:tc>
          <w:tcPr>
            <w:tcW w:w="5" w:type="pct"/>
            <w:shd w:val="clear" w:color="auto" w:fill="auto"/>
            <w:vAlign w:val="bottom"/>
          </w:tcPr>
          <w:p w14:paraId="74DDA077" w14:textId="77777777" w:rsidR="00584EC1" w:rsidRDefault="00584EC1">
            <w:pPr>
              <w:rPr>
                <w:rFonts w:ascii="宋体"/>
              </w:rPr>
            </w:pPr>
          </w:p>
        </w:tc>
        <w:tc>
          <w:tcPr>
            <w:tcW w:w="5" w:type="pct"/>
            <w:shd w:val="clear" w:color="auto" w:fill="auto"/>
            <w:vAlign w:val="bottom"/>
          </w:tcPr>
          <w:p w14:paraId="74DDA078" w14:textId="77777777" w:rsidR="00584EC1" w:rsidRDefault="00584EC1">
            <w:pPr>
              <w:rPr>
                <w:rFonts w:ascii="宋体"/>
              </w:rPr>
            </w:pPr>
          </w:p>
        </w:tc>
        <w:tc>
          <w:tcPr>
            <w:tcW w:w="19" w:type="pct"/>
            <w:shd w:val="clear" w:color="auto" w:fill="auto"/>
            <w:vAlign w:val="bottom"/>
          </w:tcPr>
          <w:p w14:paraId="74DDA079" w14:textId="77777777" w:rsidR="00584EC1" w:rsidRDefault="00584EC1">
            <w:pPr>
              <w:rPr>
                <w:rFonts w:ascii="宋体"/>
              </w:rPr>
            </w:pPr>
          </w:p>
        </w:tc>
        <w:tc>
          <w:tcPr>
            <w:tcW w:w="5" w:type="pct"/>
            <w:shd w:val="clear" w:color="auto" w:fill="auto"/>
            <w:vAlign w:val="bottom"/>
          </w:tcPr>
          <w:p w14:paraId="74DDA07A" w14:textId="77777777" w:rsidR="00584EC1" w:rsidRDefault="00584EC1">
            <w:pPr>
              <w:rPr>
                <w:rFonts w:ascii="宋体"/>
              </w:rPr>
            </w:pPr>
          </w:p>
        </w:tc>
        <w:tc>
          <w:tcPr>
            <w:tcW w:w="50" w:type="pct"/>
            <w:shd w:val="clear" w:color="auto" w:fill="auto"/>
            <w:vAlign w:val="bottom"/>
          </w:tcPr>
          <w:p w14:paraId="74DDA07B" w14:textId="77777777" w:rsidR="00584EC1" w:rsidRDefault="00584EC1">
            <w:pPr>
              <w:rPr>
                <w:rFonts w:ascii="宋体"/>
              </w:rPr>
            </w:pPr>
          </w:p>
        </w:tc>
        <w:tc>
          <w:tcPr>
            <w:tcW w:w="354" w:type="pct"/>
            <w:shd w:val="clear" w:color="auto" w:fill="auto"/>
            <w:vAlign w:val="bottom"/>
          </w:tcPr>
          <w:p w14:paraId="74DDA07C" w14:textId="77777777" w:rsidR="00584EC1" w:rsidRDefault="00584EC1">
            <w:pPr>
              <w:rPr>
                <w:rFonts w:ascii="宋体"/>
              </w:rPr>
            </w:pPr>
          </w:p>
        </w:tc>
        <w:tc>
          <w:tcPr>
            <w:tcW w:w="5" w:type="pct"/>
            <w:shd w:val="clear" w:color="auto" w:fill="auto"/>
            <w:vAlign w:val="bottom"/>
          </w:tcPr>
          <w:p w14:paraId="74DDA07D" w14:textId="77777777" w:rsidR="00584EC1" w:rsidRDefault="00584EC1">
            <w:pPr>
              <w:rPr>
                <w:rFonts w:ascii="宋体"/>
              </w:rPr>
            </w:pPr>
          </w:p>
        </w:tc>
        <w:tc>
          <w:tcPr>
            <w:tcW w:w="5" w:type="pct"/>
            <w:shd w:val="clear" w:color="auto" w:fill="auto"/>
            <w:vAlign w:val="bottom"/>
          </w:tcPr>
          <w:p w14:paraId="74DDA07E" w14:textId="77777777" w:rsidR="00584EC1" w:rsidRDefault="00584EC1">
            <w:pPr>
              <w:rPr>
                <w:rFonts w:ascii="宋体"/>
              </w:rPr>
            </w:pPr>
          </w:p>
        </w:tc>
        <w:tc>
          <w:tcPr>
            <w:tcW w:w="19" w:type="pct"/>
            <w:shd w:val="clear" w:color="auto" w:fill="auto"/>
            <w:vAlign w:val="bottom"/>
          </w:tcPr>
          <w:p w14:paraId="74DDA07F" w14:textId="77777777" w:rsidR="00584EC1" w:rsidRDefault="00584EC1">
            <w:pPr>
              <w:rPr>
                <w:rFonts w:ascii="宋体"/>
              </w:rPr>
            </w:pPr>
          </w:p>
        </w:tc>
        <w:tc>
          <w:tcPr>
            <w:tcW w:w="5" w:type="pct"/>
            <w:shd w:val="clear" w:color="auto" w:fill="auto"/>
            <w:vAlign w:val="bottom"/>
          </w:tcPr>
          <w:p w14:paraId="74DDA080" w14:textId="77777777" w:rsidR="00584EC1" w:rsidRDefault="00584EC1">
            <w:pPr>
              <w:rPr>
                <w:rFonts w:ascii="宋体"/>
              </w:rPr>
            </w:pPr>
          </w:p>
        </w:tc>
        <w:tc>
          <w:tcPr>
            <w:tcW w:w="50" w:type="pct"/>
            <w:shd w:val="clear" w:color="auto" w:fill="auto"/>
            <w:vAlign w:val="bottom"/>
          </w:tcPr>
          <w:p w14:paraId="74DDA081" w14:textId="77777777" w:rsidR="00584EC1" w:rsidRDefault="00584EC1">
            <w:pPr>
              <w:rPr>
                <w:rFonts w:ascii="宋体"/>
              </w:rPr>
            </w:pPr>
          </w:p>
        </w:tc>
        <w:tc>
          <w:tcPr>
            <w:tcW w:w="361" w:type="pct"/>
            <w:shd w:val="clear" w:color="auto" w:fill="auto"/>
            <w:vAlign w:val="bottom"/>
          </w:tcPr>
          <w:p w14:paraId="74DDA082" w14:textId="77777777" w:rsidR="00584EC1" w:rsidRDefault="00584EC1">
            <w:pPr>
              <w:rPr>
                <w:rFonts w:ascii="宋体"/>
              </w:rPr>
            </w:pPr>
          </w:p>
        </w:tc>
        <w:tc>
          <w:tcPr>
            <w:tcW w:w="5" w:type="pct"/>
            <w:shd w:val="clear" w:color="auto" w:fill="auto"/>
            <w:vAlign w:val="bottom"/>
          </w:tcPr>
          <w:p w14:paraId="74DDA083" w14:textId="77777777" w:rsidR="00584EC1" w:rsidRDefault="00584EC1">
            <w:pPr>
              <w:rPr>
                <w:rFonts w:ascii="宋体"/>
              </w:rPr>
            </w:pPr>
          </w:p>
        </w:tc>
        <w:tc>
          <w:tcPr>
            <w:tcW w:w="5" w:type="pct"/>
            <w:shd w:val="clear" w:color="auto" w:fill="auto"/>
            <w:vAlign w:val="bottom"/>
          </w:tcPr>
          <w:p w14:paraId="74DDA084" w14:textId="77777777" w:rsidR="00584EC1" w:rsidRDefault="00584EC1">
            <w:pPr>
              <w:rPr>
                <w:rFonts w:ascii="宋体"/>
              </w:rPr>
            </w:pPr>
          </w:p>
        </w:tc>
        <w:tc>
          <w:tcPr>
            <w:tcW w:w="19" w:type="pct"/>
            <w:shd w:val="clear" w:color="auto" w:fill="auto"/>
            <w:vAlign w:val="bottom"/>
          </w:tcPr>
          <w:p w14:paraId="74DDA085" w14:textId="77777777" w:rsidR="00584EC1" w:rsidRDefault="00584EC1">
            <w:pPr>
              <w:rPr>
                <w:rFonts w:ascii="宋体"/>
              </w:rPr>
            </w:pPr>
          </w:p>
        </w:tc>
        <w:tc>
          <w:tcPr>
            <w:tcW w:w="5" w:type="pct"/>
            <w:shd w:val="clear" w:color="auto" w:fill="auto"/>
            <w:vAlign w:val="bottom"/>
          </w:tcPr>
          <w:p w14:paraId="74DDA086" w14:textId="77777777" w:rsidR="00584EC1" w:rsidRDefault="00584EC1">
            <w:pPr>
              <w:rPr>
                <w:rFonts w:ascii="宋体"/>
              </w:rPr>
            </w:pPr>
          </w:p>
        </w:tc>
        <w:tc>
          <w:tcPr>
            <w:tcW w:w="50" w:type="pct"/>
            <w:shd w:val="clear" w:color="auto" w:fill="auto"/>
            <w:vAlign w:val="bottom"/>
          </w:tcPr>
          <w:p w14:paraId="74DDA087" w14:textId="77777777" w:rsidR="00584EC1" w:rsidRDefault="00584EC1">
            <w:pPr>
              <w:rPr>
                <w:rFonts w:ascii="宋体"/>
              </w:rPr>
            </w:pPr>
          </w:p>
        </w:tc>
        <w:tc>
          <w:tcPr>
            <w:tcW w:w="493" w:type="pct"/>
            <w:shd w:val="clear" w:color="auto" w:fill="auto"/>
            <w:vAlign w:val="bottom"/>
          </w:tcPr>
          <w:p w14:paraId="74DDA088" w14:textId="77777777" w:rsidR="00584EC1" w:rsidRDefault="00584EC1">
            <w:pPr>
              <w:rPr>
                <w:rFonts w:ascii="宋体"/>
              </w:rPr>
            </w:pPr>
          </w:p>
        </w:tc>
        <w:tc>
          <w:tcPr>
            <w:tcW w:w="5" w:type="pct"/>
            <w:shd w:val="clear" w:color="auto" w:fill="auto"/>
            <w:vAlign w:val="bottom"/>
          </w:tcPr>
          <w:p w14:paraId="74DDA089" w14:textId="77777777" w:rsidR="00584EC1" w:rsidRDefault="00584EC1">
            <w:pPr>
              <w:rPr>
                <w:rFonts w:ascii="宋体"/>
              </w:rPr>
            </w:pPr>
          </w:p>
        </w:tc>
        <w:tc>
          <w:tcPr>
            <w:tcW w:w="5" w:type="pct"/>
            <w:shd w:val="clear" w:color="auto" w:fill="auto"/>
            <w:vAlign w:val="bottom"/>
          </w:tcPr>
          <w:p w14:paraId="74DDA08A" w14:textId="77777777" w:rsidR="00584EC1" w:rsidRDefault="00584EC1">
            <w:pPr>
              <w:rPr>
                <w:rFonts w:ascii="宋体"/>
              </w:rPr>
            </w:pPr>
          </w:p>
        </w:tc>
        <w:tc>
          <w:tcPr>
            <w:tcW w:w="19" w:type="pct"/>
            <w:shd w:val="clear" w:color="auto" w:fill="auto"/>
            <w:vAlign w:val="bottom"/>
          </w:tcPr>
          <w:p w14:paraId="74DDA08B" w14:textId="77777777" w:rsidR="00584EC1" w:rsidRDefault="00584EC1">
            <w:pPr>
              <w:rPr>
                <w:rFonts w:ascii="宋体"/>
              </w:rPr>
            </w:pPr>
          </w:p>
        </w:tc>
        <w:tc>
          <w:tcPr>
            <w:tcW w:w="5" w:type="pct"/>
            <w:shd w:val="clear" w:color="auto" w:fill="auto"/>
            <w:vAlign w:val="bottom"/>
          </w:tcPr>
          <w:p w14:paraId="74DDA08C" w14:textId="77777777" w:rsidR="00584EC1" w:rsidRDefault="00584EC1">
            <w:pPr>
              <w:rPr>
                <w:rFonts w:ascii="宋体"/>
              </w:rPr>
            </w:pPr>
          </w:p>
        </w:tc>
        <w:tc>
          <w:tcPr>
            <w:tcW w:w="50" w:type="pct"/>
            <w:shd w:val="clear" w:color="auto" w:fill="auto"/>
            <w:vAlign w:val="bottom"/>
          </w:tcPr>
          <w:p w14:paraId="74DDA08D" w14:textId="77777777" w:rsidR="00584EC1" w:rsidRDefault="00584EC1">
            <w:pPr>
              <w:rPr>
                <w:rFonts w:ascii="宋体"/>
              </w:rPr>
            </w:pPr>
          </w:p>
        </w:tc>
        <w:tc>
          <w:tcPr>
            <w:tcW w:w="376" w:type="pct"/>
            <w:shd w:val="clear" w:color="auto" w:fill="auto"/>
            <w:vAlign w:val="bottom"/>
          </w:tcPr>
          <w:p w14:paraId="74DDA08E" w14:textId="77777777" w:rsidR="00584EC1" w:rsidRDefault="00584EC1">
            <w:pPr>
              <w:rPr>
                <w:rFonts w:ascii="宋体"/>
              </w:rPr>
            </w:pPr>
          </w:p>
        </w:tc>
        <w:tc>
          <w:tcPr>
            <w:tcW w:w="5" w:type="pct"/>
            <w:shd w:val="clear" w:color="auto" w:fill="auto"/>
            <w:vAlign w:val="bottom"/>
          </w:tcPr>
          <w:p w14:paraId="74DDA08F" w14:textId="77777777" w:rsidR="00584EC1" w:rsidRDefault="00584EC1">
            <w:pPr>
              <w:rPr>
                <w:rFonts w:ascii="宋体"/>
              </w:rPr>
            </w:pPr>
          </w:p>
        </w:tc>
        <w:tc>
          <w:tcPr>
            <w:tcW w:w="5" w:type="pct"/>
            <w:shd w:val="clear" w:color="auto" w:fill="auto"/>
            <w:vAlign w:val="bottom"/>
          </w:tcPr>
          <w:p w14:paraId="74DDA090" w14:textId="77777777" w:rsidR="00584EC1" w:rsidRDefault="00584EC1">
            <w:pPr>
              <w:rPr>
                <w:rFonts w:ascii="宋体"/>
              </w:rPr>
            </w:pPr>
          </w:p>
        </w:tc>
        <w:tc>
          <w:tcPr>
            <w:tcW w:w="19" w:type="pct"/>
            <w:shd w:val="clear" w:color="auto" w:fill="auto"/>
            <w:vAlign w:val="bottom"/>
          </w:tcPr>
          <w:p w14:paraId="74DDA091" w14:textId="77777777" w:rsidR="00584EC1" w:rsidRDefault="00584EC1">
            <w:pPr>
              <w:rPr>
                <w:rFonts w:ascii="宋体"/>
              </w:rPr>
            </w:pPr>
          </w:p>
        </w:tc>
        <w:tc>
          <w:tcPr>
            <w:tcW w:w="5" w:type="pct"/>
            <w:shd w:val="clear" w:color="auto" w:fill="auto"/>
            <w:vAlign w:val="bottom"/>
          </w:tcPr>
          <w:p w14:paraId="74DDA092" w14:textId="77777777" w:rsidR="00584EC1" w:rsidRDefault="00584EC1">
            <w:pPr>
              <w:rPr>
                <w:rFonts w:ascii="宋体"/>
              </w:rPr>
            </w:pPr>
          </w:p>
        </w:tc>
        <w:tc>
          <w:tcPr>
            <w:tcW w:w="50" w:type="pct"/>
            <w:shd w:val="clear" w:color="auto" w:fill="auto"/>
            <w:vAlign w:val="bottom"/>
          </w:tcPr>
          <w:p w14:paraId="74DDA093" w14:textId="77777777" w:rsidR="00584EC1" w:rsidRDefault="00584EC1">
            <w:pPr>
              <w:rPr>
                <w:rFonts w:ascii="宋体"/>
              </w:rPr>
            </w:pPr>
          </w:p>
        </w:tc>
        <w:tc>
          <w:tcPr>
            <w:tcW w:w="325" w:type="pct"/>
            <w:shd w:val="clear" w:color="auto" w:fill="auto"/>
            <w:vAlign w:val="bottom"/>
          </w:tcPr>
          <w:p w14:paraId="74DDA094" w14:textId="77777777" w:rsidR="00584EC1" w:rsidRDefault="00584EC1">
            <w:pPr>
              <w:rPr>
                <w:rFonts w:ascii="宋体"/>
              </w:rPr>
            </w:pPr>
          </w:p>
        </w:tc>
        <w:tc>
          <w:tcPr>
            <w:tcW w:w="5" w:type="pct"/>
            <w:shd w:val="clear" w:color="auto" w:fill="auto"/>
            <w:vAlign w:val="bottom"/>
          </w:tcPr>
          <w:p w14:paraId="74DDA095" w14:textId="77777777" w:rsidR="00584EC1" w:rsidRDefault="00584EC1">
            <w:pPr>
              <w:rPr>
                <w:rFonts w:ascii="宋体"/>
              </w:rPr>
            </w:pPr>
          </w:p>
        </w:tc>
        <w:tc>
          <w:tcPr>
            <w:tcW w:w="5" w:type="pct"/>
            <w:shd w:val="clear" w:color="auto" w:fill="auto"/>
            <w:vAlign w:val="bottom"/>
          </w:tcPr>
          <w:p w14:paraId="74DDA096" w14:textId="77777777" w:rsidR="00584EC1" w:rsidRDefault="00584EC1">
            <w:pPr>
              <w:rPr>
                <w:rFonts w:ascii="宋体"/>
              </w:rPr>
            </w:pPr>
          </w:p>
        </w:tc>
        <w:tc>
          <w:tcPr>
            <w:tcW w:w="19" w:type="pct"/>
            <w:shd w:val="clear" w:color="auto" w:fill="auto"/>
            <w:vAlign w:val="bottom"/>
          </w:tcPr>
          <w:p w14:paraId="74DDA097" w14:textId="77777777" w:rsidR="00584EC1" w:rsidRDefault="00584EC1">
            <w:pPr>
              <w:rPr>
                <w:rFonts w:ascii="宋体"/>
              </w:rPr>
            </w:pPr>
          </w:p>
        </w:tc>
        <w:tc>
          <w:tcPr>
            <w:tcW w:w="5" w:type="pct"/>
            <w:shd w:val="clear" w:color="auto" w:fill="auto"/>
            <w:vAlign w:val="bottom"/>
          </w:tcPr>
          <w:p w14:paraId="74DDA098" w14:textId="77777777" w:rsidR="00584EC1" w:rsidRDefault="00584EC1">
            <w:pPr>
              <w:rPr>
                <w:rFonts w:ascii="宋体"/>
              </w:rPr>
            </w:pPr>
          </w:p>
        </w:tc>
        <w:tc>
          <w:tcPr>
            <w:tcW w:w="50" w:type="pct"/>
            <w:shd w:val="clear" w:color="auto" w:fill="auto"/>
            <w:vAlign w:val="bottom"/>
          </w:tcPr>
          <w:p w14:paraId="74DDA099" w14:textId="77777777" w:rsidR="00584EC1" w:rsidRDefault="00584EC1">
            <w:pPr>
              <w:rPr>
                <w:rFonts w:ascii="宋体"/>
              </w:rPr>
            </w:pPr>
          </w:p>
        </w:tc>
        <w:tc>
          <w:tcPr>
            <w:tcW w:w="384" w:type="pct"/>
            <w:shd w:val="clear" w:color="auto" w:fill="auto"/>
            <w:vAlign w:val="bottom"/>
          </w:tcPr>
          <w:p w14:paraId="74DDA09A" w14:textId="77777777" w:rsidR="00584EC1" w:rsidRDefault="00584EC1">
            <w:pPr>
              <w:rPr>
                <w:rFonts w:ascii="宋体"/>
              </w:rPr>
            </w:pPr>
          </w:p>
        </w:tc>
        <w:tc>
          <w:tcPr>
            <w:tcW w:w="5" w:type="pct"/>
            <w:shd w:val="clear" w:color="auto" w:fill="auto"/>
            <w:vAlign w:val="bottom"/>
          </w:tcPr>
          <w:p w14:paraId="74DDA09B" w14:textId="77777777" w:rsidR="00584EC1" w:rsidRDefault="00584EC1">
            <w:pPr>
              <w:rPr>
                <w:rFonts w:ascii="宋体"/>
              </w:rPr>
            </w:pPr>
          </w:p>
        </w:tc>
      </w:tr>
      <w:tr w:rsidR="00584EC1" w14:paraId="74DDA09E" w14:textId="77777777">
        <w:tc>
          <w:tcPr>
            <w:tcW w:w="0" w:type="auto"/>
            <w:gridSpan w:val="63"/>
            <w:shd w:val="clear" w:color="auto" w:fill="auto"/>
            <w:tcMar>
              <w:top w:w="40" w:type="dxa"/>
              <w:left w:w="20" w:type="dxa"/>
              <w:bottom w:w="40" w:type="dxa"/>
              <w:right w:w="20" w:type="dxa"/>
            </w:tcMar>
            <w:vAlign w:val="bottom"/>
          </w:tcPr>
          <w:p w14:paraId="74DDA09D" w14:textId="77777777" w:rsidR="00584EC1" w:rsidRDefault="00871F8D">
            <w:pPr>
              <w:textAlignment w:val="bottom"/>
            </w:pPr>
            <w:r>
              <w:rPr>
                <w:rFonts w:ascii="Arial" w:eastAsia="宋体" w:hAnsi="Arial" w:cs="Arial"/>
                <w:b/>
                <w:bCs/>
                <w:color w:val="000000"/>
                <w:sz w:val="16"/>
                <w:szCs w:val="16"/>
              </w:rPr>
              <w:t>TABLE 40: PREFERRED STOCK ISSUED AND OUTSTANDING</w:t>
            </w:r>
          </w:p>
        </w:tc>
      </w:tr>
      <w:tr w:rsidR="00584EC1" w14:paraId="74DDA0B4" w14:textId="77777777">
        <w:tc>
          <w:tcPr>
            <w:tcW w:w="0" w:type="auto"/>
            <w:gridSpan w:val="3"/>
            <w:shd w:val="clear" w:color="auto" w:fill="auto"/>
            <w:tcMar>
              <w:top w:w="40" w:type="dxa"/>
              <w:left w:w="20" w:type="dxa"/>
              <w:bottom w:w="40" w:type="dxa"/>
              <w:right w:w="20" w:type="dxa"/>
            </w:tcMar>
            <w:vAlign w:val="bottom"/>
          </w:tcPr>
          <w:p w14:paraId="74DDA09F" w14:textId="77777777" w:rsidR="00584EC1" w:rsidRDefault="00871F8D">
            <w:pPr>
              <w:textAlignment w:val="bottom"/>
            </w:pPr>
            <w:r>
              <w:rPr>
                <w:rFonts w:ascii="Arial" w:eastAsia="宋体" w:hAnsi="Arial" w:cs="Arial"/>
                <w:b/>
                <w:bCs/>
                <w:color w:val="000000"/>
                <w:sz w:val="12"/>
                <w:szCs w:val="12"/>
              </w:rPr>
              <w:t>Preferred Stock</w:t>
            </w:r>
            <w:r>
              <w:rPr>
                <w:rFonts w:ascii="Arial" w:eastAsia="宋体" w:hAnsi="Arial" w:cs="Arial"/>
                <w:b/>
                <w:bCs/>
                <w:color w:val="000000"/>
                <w:sz w:val="7"/>
                <w:szCs w:val="7"/>
              </w:rPr>
              <w:t>(1)</w:t>
            </w:r>
            <w:r>
              <w:rPr>
                <w:rFonts w:ascii="Arial" w:eastAsia="宋体" w:hAnsi="Arial" w:cs="Arial"/>
                <w:b/>
                <w:bCs/>
                <w:color w:val="000000"/>
                <w:sz w:val="12"/>
                <w:szCs w:val="12"/>
              </w:rPr>
              <w:t>:</w:t>
            </w:r>
          </w:p>
        </w:tc>
        <w:tc>
          <w:tcPr>
            <w:tcW w:w="0" w:type="auto"/>
            <w:gridSpan w:val="3"/>
            <w:shd w:val="clear" w:color="auto" w:fill="auto"/>
            <w:tcMar>
              <w:top w:w="0" w:type="dxa"/>
              <w:left w:w="20" w:type="dxa"/>
              <w:bottom w:w="0" w:type="dxa"/>
              <w:right w:w="20" w:type="dxa"/>
            </w:tcMar>
            <w:vAlign w:val="bottom"/>
          </w:tcPr>
          <w:p w14:paraId="74DDA0A0"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A0A1" w14:textId="77777777" w:rsidR="00584EC1" w:rsidRDefault="00871F8D">
            <w:pPr>
              <w:jc w:val="center"/>
              <w:textAlignment w:val="bottom"/>
            </w:pPr>
            <w:r>
              <w:rPr>
                <w:rFonts w:ascii="Arial" w:eastAsia="宋体" w:hAnsi="Arial" w:cs="Arial"/>
                <w:b/>
                <w:bCs/>
                <w:color w:val="000000"/>
                <w:sz w:val="12"/>
                <w:szCs w:val="12"/>
              </w:rPr>
              <w:t>Issuance Date</w:t>
            </w:r>
          </w:p>
        </w:tc>
        <w:tc>
          <w:tcPr>
            <w:tcW w:w="0" w:type="auto"/>
            <w:gridSpan w:val="3"/>
            <w:shd w:val="clear" w:color="auto" w:fill="auto"/>
            <w:tcMar>
              <w:top w:w="0" w:type="dxa"/>
              <w:left w:w="20" w:type="dxa"/>
              <w:bottom w:w="0" w:type="dxa"/>
              <w:right w:w="20" w:type="dxa"/>
            </w:tcMar>
            <w:vAlign w:val="bottom"/>
          </w:tcPr>
          <w:p w14:paraId="74DDA0A2"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A0A3" w14:textId="77777777" w:rsidR="00584EC1" w:rsidRDefault="00871F8D">
            <w:pPr>
              <w:jc w:val="center"/>
              <w:textAlignment w:val="bottom"/>
            </w:pPr>
            <w:r>
              <w:rPr>
                <w:rFonts w:ascii="Arial" w:eastAsia="宋体" w:hAnsi="Arial" w:cs="Arial"/>
                <w:b/>
                <w:bCs/>
                <w:color w:val="000000"/>
                <w:sz w:val="12"/>
                <w:szCs w:val="12"/>
              </w:rPr>
              <w:t xml:space="preserve">Depositary </w:t>
            </w:r>
            <w:r>
              <w:rPr>
                <w:rFonts w:ascii="Arial" w:eastAsia="宋体" w:hAnsi="Arial" w:cs="Arial"/>
                <w:b/>
                <w:bCs/>
                <w:color w:val="000000"/>
                <w:sz w:val="12"/>
                <w:szCs w:val="12"/>
              </w:rPr>
              <w:t>Shares Issued</w:t>
            </w:r>
          </w:p>
        </w:tc>
        <w:tc>
          <w:tcPr>
            <w:tcW w:w="0" w:type="auto"/>
            <w:gridSpan w:val="3"/>
            <w:shd w:val="clear" w:color="auto" w:fill="auto"/>
            <w:tcMar>
              <w:top w:w="0" w:type="dxa"/>
              <w:left w:w="20" w:type="dxa"/>
              <w:bottom w:w="0" w:type="dxa"/>
              <w:right w:w="20" w:type="dxa"/>
            </w:tcMar>
            <w:vAlign w:val="bottom"/>
          </w:tcPr>
          <w:p w14:paraId="74DDA0A4"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A0A5" w14:textId="77777777" w:rsidR="00584EC1" w:rsidRDefault="00871F8D">
            <w:pPr>
              <w:jc w:val="center"/>
              <w:textAlignment w:val="bottom"/>
            </w:pPr>
            <w:r>
              <w:rPr>
                <w:rFonts w:ascii="Arial" w:eastAsia="宋体" w:hAnsi="Arial" w:cs="Arial"/>
                <w:b/>
                <w:bCs/>
                <w:color w:val="000000"/>
                <w:sz w:val="12"/>
                <w:szCs w:val="12"/>
              </w:rPr>
              <w:t xml:space="preserve">Amount outstanding </w:t>
            </w:r>
            <w:r>
              <w:rPr>
                <w:rFonts w:ascii="Arial" w:eastAsia="宋体" w:hAnsi="Arial" w:cs="Arial"/>
                <w:b/>
                <w:bCs/>
                <w:color w:val="000000"/>
                <w:sz w:val="12"/>
                <w:szCs w:val="12"/>
              </w:rPr>
              <w:br/>
              <w:t>(in millions)</w:t>
            </w:r>
          </w:p>
        </w:tc>
        <w:tc>
          <w:tcPr>
            <w:tcW w:w="0" w:type="auto"/>
            <w:gridSpan w:val="3"/>
            <w:shd w:val="clear" w:color="auto" w:fill="auto"/>
            <w:tcMar>
              <w:top w:w="0" w:type="dxa"/>
              <w:left w:w="20" w:type="dxa"/>
              <w:bottom w:w="0" w:type="dxa"/>
              <w:right w:w="20" w:type="dxa"/>
            </w:tcMar>
            <w:vAlign w:val="bottom"/>
          </w:tcPr>
          <w:p w14:paraId="74DDA0A6"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A0A7" w14:textId="77777777" w:rsidR="00584EC1" w:rsidRDefault="00871F8D">
            <w:pPr>
              <w:jc w:val="center"/>
              <w:textAlignment w:val="bottom"/>
            </w:pPr>
            <w:r>
              <w:rPr>
                <w:rFonts w:ascii="Arial" w:eastAsia="宋体" w:hAnsi="Arial" w:cs="Arial"/>
                <w:b/>
                <w:bCs/>
                <w:color w:val="000000"/>
                <w:sz w:val="12"/>
                <w:szCs w:val="12"/>
              </w:rPr>
              <w:t>Ownership Interest Per Depositary Share</w:t>
            </w:r>
          </w:p>
        </w:tc>
        <w:tc>
          <w:tcPr>
            <w:tcW w:w="0" w:type="auto"/>
            <w:gridSpan w:val="3"/>
            <w:shd w:val="clear" w:color="auto" w:fill="auto"/>
            <w:tcMar>
              <w:top w:w="0" w:type="dxa"/>
              <w:left w:w="20" w:type="dxa"/>
              <w:bottom w:w="0" w:type="dxa"/>
              <w:right w:w="20" w:type="dxa"/>
            </w:tcMar>
            <w:vAlign w:val="bottom"/>
          </w:tcPr>
          <w:p w14:paraId="74DDA0A8"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A0A9" w14:textId="77777777" w:rsidR="00584EC1" w:rsidRDefault="00871F8D">
            <w:pPr>
              <w:jc w:val="center"/>
              <w:textAlignment w:val="bottom"/>
            </w:pPr>
            <w:r>
              <w:rPr>
                <w:rFonts w:ascii="Arial" w:eastAsia="宋体" w:hAnsi="Arial" w:cs="Arial"/>
                <w:b/>
                <w:bCs/>
                <w:color w:val="000000"/>
                <w:sz w:val="12"/>
                <w:szCs w:val="12"/>
              </w:rPr>
              <w:t>Liquidation Preference Per Share</w:t>
            </w:r>
          </w:p>
        </w:tc>
        <w:tc>
          <w:tcPr>
            <w:tcW w:w="0" w:type="auto"/>
            <w:gridSpan w:val="3"/>
            <w:shd w:val="clear" w:color="auto" w:fill="auto"/>
            <w:tcMar>
              <w:top w:w="0" w:type="dxa"/>
              <w:left w:w="20" w:type="dxa"/>
              <w:bottom w:w="0" w:type="dxa"/>
              <w:right w:w="20" w:type="dxa"/>
            </w:tcMar>
            <w:vAlign w:val="bottom"/>
          </w:tcPr>
          <w:p w14:paraId="74DDA0AA"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A0AB" w14:textId="77777777" w:rsidR="00584EC1" w:rsidRDefault="00871F8D">
            <w:pPr>
              <w:jc w:val="center"/>
              <w:textAlignment w:val="bottom"/>
            </w:pPr>
            <w:r>
              <w:rPr>
                <w:rFonts w:ascii="Arial" w:eastAsia="宋体" w:hAnsi="Arial" w:cs="Arial"/>
                <w:b/>
                <w:bCs/>
                <w:color w:val="000000"/>
                <w:sz w:val="12"/>
                <w:szCs w:val="12"/>
              </w:rPr>
              <w:t>Liquidation Preference Per Depositary Share</w:t>
            </w:r>
          </w:p>
        </w:tc>
        <w:tc>
          <w:tcPr>
            <w:tcW w:w="0" w:type="auto"/>
            <w:gridSpan w:val="3"/>
            <w:shd w:val="clear" w:color="auto" w:fill="auto"/>
            <w:tcMar>
              <w:top w:w="0" w:type="dxa"/>
              <w:left w:w="20" w:type="dxa"/>
              <w:bottom w:w="0" w:type="dxa"/>
              <w:right w:w="20" w:type="dxa"/>
            </w:tcMar>
            <w:vAlign w:val="bottom"/>
          </w:tcPr>
          <w:p w14:paraId="74DDA0AC"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A0AD" w14:textId="77777777" w:rsidR="00584EC1" w:rsidRDefault="00871F8D">
            <w:pPr>
              <w:jc w:val="center"/>
              <w:textAlignment w:val="bottom"/>
            </w:pPr>
            <w:r>
              <w:rPr>
                <w:rFonts w:ascii="Arial" w:eastAsia="宋体" w:hAnsi="Arial" w:cs="Arial"/>
                <w:b/>
                <w:bCs/>
                <w:color w:val="000000"/>
                <w:sz w:val="12"/>
                <w:szCs w:val="12"/>
              </w:rPr>
              <w:t>Per Annum Dividend Rate</w:t>
            </w:r>
          </w:p>
        </w:tc>
        <w:tc>
          <w:tcPr>
            <w:tcW w:w="0" w:type="auto"/>
            <w:gridSpan w:val="3"/>
            <w:shd w:val="clear" w:color="auto" w:fill="auto"/>
            <w:tcMar>
              <w:top w:w="0" w:type="dxa"/>
              <w:left w:w="20" w:type="dxa"/>
              <w:bottom w:w="0" w:type="dxa"/>
              <w:right w:w="20" w:type="dxa"/>
            </w:tcMar>
            <w:vAlign w:val="bottom"/>
          </w:tcPr>
          <w:p w14:paraId="74DDA0AE"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A0AF" w14:textId="77777777" w:rsidR="00584EC1" w:rsidRDefault="00871F8D">
            <w:pPr>
              <w:jc w:val="center"/>
              <w:textAlignment w:val="bottom"/>
            </w:pPr>
            <w:r>
              <w:rPr>
                <w:rFonts w:ascii="Arial" w:eastAsia="宋体" w:hAnsi="Arial" w:cs="Arial"/>
                <w:b/>
                <w:bCs/>
                <w:color w:val="000000"/>
                <w:sz w:val="12"/>
                <w:szCs w:val="12"/>
              </w:rPr>
              <w:t>Dividend Payment Frequency</w:t>
            </w:r>
          </w:p>
        </w:tc>
        <w:tc>
          <w:tcPr>
            <w:tcW w:w="0" w:type="auto"/>
            <w:gridSpan w:val="3"/>
            <w:shd w:val="clear" w:color="auto" w:fill="auto"/>
            <w:tcMar>
              <w:top w:w="0" w:type="dxa"/>
              <w:left w:w="20" w:type="dxa"/>
              <w:bottom w:w="0" w:type="dxa"/>
              <w:right w:w="20" w:type="dxa"/>
            </w:tcMar>
            <w:vAlign w:val="bottom"/>
          </w:tcPr>
          <w:p w14:paraId="74DDA0B0"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A0B1" w14:textId="77777777" w:rsidR="00584EC1" w:rsidRDefault="00871F8D">
            <w:pPr>
              <w:jc w:val="center"/>
              <w:textAlignment w:val="bottom"/>
            </w:pPr>
            <w:r>
              <w:rPr>
                <w:rFonts w:ascii="Arial" w:eastAsia="宋体" w:hAnsi="Arial" w:cs="Arial"/>
                <w:b/>
                <w:bCs/>
                <w:color w:val="000000"/>
                <w:sz w:val="12"/>
                <w:szCs w:val="12"/>
              </w:rPr>
              <w:t xml:space="preserve">Carrying Value as of September 30, 2021 </w:t>
            </w:r>
            <w:r>
              <w:rPr>
                <w:rFonts w:ascii="Arial" w:eastAsia="宋体" w:hAnsi="Arial" w:cs="Arial"/>
                <w:b/>
                <w:bCs/>
                <w:color w:val="000000"/>
                <w:sz w:val="12"/>
                <w:szCs w:val="12"/>
              </w:rPr>
              <w:br/>
              <w:t>(In millions)</w:t>
            </w:r>
          </w:p>
        </w:tc>
        <w:tc>
          <w:tcPr>
            <w:tcW w:w="0" w:type="auto"/>
            <w:gridSpan w:val="3"/>
            <w:shd w:val="clear" w:color="auto" w:fill="auto"/>
            <w:tcMar>
              <w:top w:w="0" w:type="dxa"/>
              <w:left w:w="20" w:type="dxa"/>
              <w:bottom w:w="0" w:type="dxa"/>
              <w:right w:w="20" w:type="dxa"/>
            </w:tcMar>
            <w:vAlign w:val="bottom"/>
          </w:tcPr>
          <w:p w14:paraId="74DDA0B2"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A0B3" w14:textId="77777777" w:rsidR="00584EC1" w:rsidRDefault="00871F8D">
            <w:pPr>
              <w:jc w:val="center"/>
              <w:textAlignment w:val="bottom"/>
            </w:pPr>
            <w:r>
              <w:rPr>
                <w:rFonts w:ascii="Arial" w:eastAsia="宋体" w:hAnsi="Arial" w:cs="Arial"/>
                <w:b/>
                <w:bCs/>
                <w:color w:val="000000"/>
                <w:sz w:val="12"/>
                <w:szCs w:val="12"/>
              </w:rPr>
              <w:t>Redemption Date</w:t>
            </w:r>
            <w:r>
              <w:rPr>
                <w:rFonts w:ascii="Arial" w:eastAsia="宋体" w:hAnsi="Arial" w:cs="Arial"/>
                <w:b/>
                <w:bCs/>
                <w:color w:val="000000"/>
                <w:sz w:val="7"/>
                <w:szCs w:val="7"/>
              </w:rPr>
              <w:t>(2)</w:t>
            </w:r>
          </w:p>
        </w:tc>
      </w:tr>
      <w:tr w:rsidR="00584EC1" w14:paraId="74DDA0CA" w14:textId="77777777">
        <w:trPr>
          <w:hidden/>
        </w:trPr>
        <w:tc>
          <w:tcPr>
            <w:tcW w:w="0" w:type="auto"/>
            <w:gridSpan w:val="3"/>
            <w:shd w:val="clear" w:color="auto" w:fill="auto"/>
            <w:vAlign w:val="bottom"/>
          </w:tcPr>
          <w:p w14:paraId="74DDA0B5" w14:textId="77777777" w:rsidR="00584EC1" w:rsidRDefault="00584EC1">
            <w:pPr>
              <w:rPr>
                <w:rFonts w:ascii="宋体"/>
                <w:vanish/>
              </w:rPr>
            </w:pPr>
          </w:p>
        </w:tc>
        <w:tc>
          <w:tcPr>
            <w:tcW w:w="0" w:type="auto"/>
            <w:gridSpan w:val="3"/>
            <w:shd w:val="clear" w:color="auto" w:fill="auto"/>
            <w:vAlign w:val="bottom"/>
          </w:tcPr>
          <w:p w14:paraId="74DDA0B6" w14:textId="77777777" w:rsidR="00584EC1" w:rsidRDefault="00584EC1">
            <w:pPr>
              <w:rPr>
                <w:rFonts w:ascii="宋体"/>
                <w:vanish/>
              </w:rPr>
            </w:pPr>
          </w:p>
        </w:tc>
        <w:tc>
          <w:tcPr>
            <w:tcW w:w="0" w:type="auto"/>
            <w:gridSpan w:val="3"/>
            <w:shd w:val="clear" w:color="auto" w:fill="auto"/>
            <w:vAlign w:val="bottom"/>
          </w:tcPr>
          <w:p w14:paraId="74DDA0B7" w14:textId="77777777" w:rsidR="00584EC1" w:rsidRDefault="00584EC1">
            <w:pPr>
              <w:rPr>
                <w:rFonts w:ascii="宋体"/>
                <w:vanish/>
              </w:rPr>
            </w:pPr>
          </w:p>
        </w:tc>
        <w:tc>
          <w:tcPr>
            <w:tcW w:w="0" w:type="auto"/>
            <w:gridSpan w:val="3"/>
            <w:shd w:val="clear" w:color="auto" w:fill="auto"/>
            <w:vAlign w:val="bottom"/>
          </w:tcPr>
          <w:p w14:paraId="74DDA0B8" w14:textId="77777777" w:rsidR="00584EC1" w:rsidRDefault="00584EC1">
            <w:pPr>
              <w:rPr>
                <w:rFonts w:ascii="宋体"/>
                <w:vanish/>
              </w:rPr>
            </w:pPr>
          </w:p>
        </w:tc>
        <w:tc>
          <w:tcPr>
            <w:tcW w:w="0" w:type="auto"/>
            <w:gridSpan w:val="3"/>
            <w:shd w:val="clear" w:color="auto" w:fill="auto"/>
            <w:vAlign w:val="bottom"/>
          </w:tcPr>
          <w:p w14:paraId="74DDA0B9" w14:textId="77777777" w:rsidR="00584EC1" w:rsidRDefault="00584EC1">
            <w:pPr>
              <w:rPr>
                <w:rFonts w:ascii="宋体"/>
                <w:vanish/>
              </w:rPr>
            </w:pPr>
          </w:p>
        </w:tc>
        <w:tc>
          <w:tcPr>
            <w:tcW w:w="0" w:type="auto"/>
            <w:gridSpan w:val="3"/>
            <w:shd w:val="clear" w:color="auto" w:fill="auto"/>
            <w:vAlign w:val="bottom"/>
          </w:tcPr>
          <w:p w14:paraId="74DDA0BA" w14:textId="77777777" w:rsidR="00584EC1" w:rsidRDefault="00584EC1">
            <w:pPr>
              <w:rPr>
                <w:rFonts w:ascii="宋体"/>
                <w:vanish/>
              </w:rPr>
            </w:pPr>
          </w:p>
        </w:tc>
        <w:tc>
          <w:tcPr>
            <w:tcW w:w="0" w:type="auto"/>
            <w:gridSpan w:val="3"/>
            <w:shd w:val="clear" w:color="auto" w:fill="auto"/>
            <w:vAlign w:val="bottom"/>
          </w:tcPr>
          <w:p w14:paraId="74DDA0BB" w14:textId="77777777" w:rsidR="00584EC1" w:rsidRDefault="00584EC1">
            <w:pPr>
              <w:rPr>
                <w:rFonts w:ascii="宋体"/>
                <w:vanish/>
              </w:rPr>
            </w:pPr>
          </w:p>
        </w:tc>
        <w:tc>
          <w:tcPr>
            <w:tcW w:w="0" w:type="auto"/>
            <w:gridSpan w:val="3"/>
            <w:shd w:val="clear" w:color="auto" w:fill="auto"/>
            <w:vAlign w:val="bottom"/>
          </w:tcPr>
          <w:p w14:paraId="74DDA0BC" w14:textId="77777777" w:rsidR="00584EC1" w:rsidRDefault="00584EC1">
            <w:pPr>
              <w:rPr>
                <w:rFonts w:ascii="宋体"/>
                <w:vanish/>
              </w:rPr>
            </w:pPr>
          </w:p>
        </w:tc>
        <w:tc>
          <w:tcPr>
            <w:tcW w:w="0" w:type="auto"/>
            <w:gridSpan w:val="3"/>
            <w:shd w:val="clear" w:color="auto" w:fill="auto"/>
            <w:vAlign w:val="bottom"/>
          </w:tcPr>
          <w:p w14:paraId="74DDA0BD" w14:textId="77777777" w:rsidR="00584EC1" w:rsidRDefault="00584EC1">
            <w:pPr>
              <w:rPr>
                <w:rFonts w:ascii="宋体"/>
                <w:vanish/>
              </w:rPr>
            </w:pPr>
          </w:p>
        </w:tc>
        <w:tc>
          <w:tcPr>
            <w:tcW w:w="0" w:type="auto"/>
            <w:gridSpan w:val="3"/>
            <w:shd w:val="clear" w:color="auto" w:fill="auto"/>
            <w:vAlign w:val="bottom"/>
          </w:tcPr>
          <w:p w14:paraId="74DDA0BE" w14:textId="77777777" w:rsidR="00584EC1" w:rsidRDefault="00584EC1">
            <w:pPr>
              <w:rPr>
                <w:rFonts w:ascii="宋体"/>
                <w:vanish/>
              </w:rPr>
            </w:pPr>
          </w:p>
        </w:tc>
        <w:tc>
          <w:tcPr>
            <w:tcW w:w="0" w:type="auto"/>
            <w:gridSpan w:val="3"/>
            <w:shd w:val="clear" w:color="auto" w:fill="auto"/>
            <w:vAlign w:val="bottom"/>
          </w:tcPr>
          <w:p w14:paraId="74DDA0BF" w14:textId="77777777" w:rsidR="00584EC1" w:rsidRDefault="00584EC1">
            <w:pPr>
              <w:rPr>
                <w:rFonts w:ascii="宋体"/>
                <w:vanish/>
              </w:rPr>
            </w:pPr>
          </w:p>
        </w:tc>
        <w:tc>
          <w:tcPr>
            <w:tcW w:w="0" w:type="auto"/>
            <w:gridSpan w:val="3"/>
            <w:shd w:val="clear" w:color="auto" w:fill="auto"/>
            <w:vAlign w:val="bottom"/>
          </w:tcPr>
          <w:p w14:paraId="74DDA0C0" w14:textId="77777777" w:rsidR="00584EC1" w:rsidRDefault="00584EC1">
            <w:pPr>
              <w:rPr>
                <w:rFonts w:ascii="宋体"/>
                <w:vanish/>
              </w:rPr>
            </w:pPr>
          </w:p>
        </w:tc>
        <w:tc>
          <w:tcPr>
            <w:tcW w:w="0" w:type="auto"/>
            <w:gridSpan w:val="3"/>
            <w:shd w:val="clear" w:color="auto" w:fill="auto"/>
            <w:vAlign w:val="bottom"/>
          </w:tcPr>
          <w:p w14:paraId="74DDA0C1" w14:textId="77777777" w:rsidR="00584EC1" w:rsidRDefault="00584EC1">
            <w:pPr>
              <w:rPr>
                <w:rFonts w:ascii="宋体"/>
                <w:vanish/>
              </w:rPr>
            </w:pPr>
          </w:p>
        </w:tc>
        <w:tc>
          <w:tcPr>
            <w:tcW w:w="0" w:type="auto"/>
            <w:gridSpan w:val="3"/>
            <w:shd w:val="clear" w:color="auto" w:fill="auto"/>
            <w:vAlign w:val="bottom"/>
          </w:tcPr>
          <w:p w14:paraId="74DDA0C2" w14:textId="77777777" w:rsidR="00584EC1" w:rsidRDefault="00584EC1">
            <w:pPr>
              <w:rPr>
                <w:rFonts w:ascii="宋体"/>
                <w:vanish/>
              </w:rPr>
            </w:pPr>
          </w:p>
        </w:tc>
        <w:tc>
          <w:tcPr>
            <w:tcW w:w="0" w:type="auto"/>
            <w:gridSpan w:val="3"/>
            <w:shd w:val="clear" w:color="auto" w:fill="auto"/>
            <w:vAlign w:val="bottom"/>
          </w:tcPr>
          <w:p w14:paraId="74DDA0C3" w14:textId="77777777" w:rsidR="00584EC1" w:rsidRDefault="00584EC1">
            <w:pPr>
              <w:rPr>
                <w:rFonts w:ascii="宋体"/>
                <w:vanish/>
              </w:rPr>
            </w:pPr>
          </w:p>
        </w:tc>
        <w:tc>
          <w:tcPr>
            <w:tcW w:w="0" w:type="auto"/>
            <w:gridSpan w:val="3"/>
            <w:shd w:val="clear" w:color="auto" w:fill="auto"/>
            <w:vAlign w:val="bottom"/>
          </w:tcPr>
          <w:p w14:paraId="74DDA0C4" w14:textId="77777777" w:rsidR="00584EC1" w:rsidRDefault="00584EC1">
            <w:pPr>
              <w:rPr>
                <w:rFonts w:ascii="宋体"/>
                <w:vanish/>
              </w:rPr>
            </w:pPr>
          </w:p>
        </w:tc>
        <w:tc>
          <w:tcPr>
            <w:tcW w:w="0" w:type="auto"/>
            <w:gridSpan w:val="3"/>
            <w:shd w:val="clear" w:color="auto" w:fill="auto"/>
            <w:vAlign w:val="bottom"/>
          </w:tcPr>
          <w:p w14:paraId="74DDA0C5" w14:textId="77777777" w:rsidR="00584EC1" w:rsidRDefault="00584EC1">
            <w:pPr>
              <w:rPr>
                <w:rFonts w:ascii="宋体"/>
                <w:vanish/>
              </w:rPr>
            </w:pPr>
          </w:p>
        </w:tc>
        <w:tc>
          <w:tcPr>
            <w:tcW w:w="0" w:type="auto"/>
            <w:gridSpan w:val="3"/>
            <w:shd w:val="clear" w:color="auto" w:fill="auto"/>
            <w:vAlign w:val="bottom"/>
          </w:tcPr>
          <w:p w14:paraId="74DDA0C6" w14:textId="77777777" w:rsidR="00584EC1" w:rsidRDefault="00584EC1">
            <w:pPr>
              <w:rPr>
                <w:rFonts w:ascii="宋体"/>
                <w:vanish/>
              </w:rPr>
            </w:pPr>
          </w:p>
        </w:tc>
        <w:tc>
          <w:tcPr>
            <w:tcW w:w="0" w:type="auto"/>
            <w:gridSpan w:val="3"/>
            <w:shd w:val="clear" w:color="auto" w:fill="auto"/>
            <w:vAlign w:val="bottom"/>
          </w:tcPr>
          <w:p w14:paraId="74DDA0C7" w14:textId="77777777" w:rsidR="00584EC1" w:rsidRDefault="00584EC1">
            <w:pPr>
              <w:rPr>
                <w:rFonts w:ascii="宋体"/>
                <w:vanish/>
              </w:rPr>
            </w:pPr>
          </w:p>
        </w:tc>
        <w:tc>
          <w:tcPr>
            <w:tcW w:w="0" w:type="auto"/>
            <w:gridSpan w:val="3"/>
            <w:shd w:val="clear" w:color="auto" w:fill="auto"/>
            <w:vAlign w:val="bottom"/>
          </w:tcPr>
          <w:p w14:paraId="74DDA0C8" w14:textId="77777777" w:rsidR="00584EC1" w:rsidRDefault="00584EC1">
            <w:pPr>
              <w:rPr>
                <w:rFonts w:ascii="宋体"/>
                <w:vanish/>
              </w:rPr>
            </w:pPr>
          </w:p>
        </w:tc>
        <w:tc>
          <w:tcPr>
            <w:tcW w:w="0" w:type="auto"/>
            <w:gridSpan w:val="3"/>
            <w:shd w:val="clear" w:color="auto" w:fill="auto"/>
            <w:vAlign w:val="bottom"/>
          </w:tcPr>
          <w:p w14:paraId="74DDA0C9" w14:textId="77777777" w:rsidR="00584EC1" w:rsidRDefault="00584EC1">
            <w:pPr>
              <w:rPr>
                <w:rFonts w:ascii="宋体"/>
                <w:vanish/>
              </w:rPr>
            </w:pPr>
          </w:p>
        </w:tc>
      </w:tr>
      <w:tr w:rsidR="00871F8D" w14:paraId="74DDA0E9" w14:textId="77777777">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74DDA0CB" w14:textId="77777777" w:rsidR="00584EC1" w:rsidRDefault="00871F8D">
            <w:pPr>
              <w:textAlignment w:val="center"/>
            </w:pPr>
            <w:r>
              <w:rPr>
                <w:rFonts w:ascii="Arial" w:eastAsia="宋体" w:hAnsi="Arial" w:cs="Arial"/>
                <w:color w:val="000000"/>
                <w:sz w:val="12"/>
                <w:szCs w:val="12"/>
              </w:rPr>
              <w:t>Series D</w:t>
            </w:r>
          </w:p>
        </w:tc>
        <w:tc>
          <w:tcPr>
            <w:tcW w:w="0" w:type="auto"/>
            <w:gridSpan w:val="3"/>
            <w:shd w:val="clear" w:color="auto" w:fill="CCEEFF"/>
            <w:tcMar>
              <w:top w:w="0" w:type="dxa"/>
              <w:left w:w="20" w:type="dxa"/>
              <w:bottom w:w="0" w:type="dxa"/>
              <w:right w:w="20" w:type="dxa"/>
            </w:tcMar>
            <w:vAlign w:val="bottom"/>
          </w:tcPr>
          <w:p w14:paraId="74DDA0CC" w14:textId="77777777" w:rsidR="00584EC1" w:rsidRDefault="00584EC1">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74DDA0CD" w14:textId="77777777" w:rsidR="00584EC1" w:rsidRDefault="00871F8D">
            <w:pPr>
              <w:textAlignment w:val="center"/>
            </w:pPr>
            <w:r>
              <w:rPr>
                <w:rFonts w:ascii="Arial" w:eastAsia="宋体" w:hAnsi="Arial" w:cs="Arial"/>
                <w:color w:val="000000"/>
                <w:sz w:val="12"/>
                <w:szCs w:val="12"/>
              </w:rPr>
              <w:t>February 2014</w:t>
            </w:r>
          </w:p>
        </w:tc>
        <w:tc>
          <w:tcPr>
            <w:tcW w:w="0" w:type="auto"/>
            <w:gridSpan w:val="3"/>
            <w:shd w:val="clear" w:color="auto" w:fill="CCEEFF"/>
            <w:tcMar>
              <w:top w:w="0" w:type="dxa"/>
              <w:left w:w="20" w:type="dxa"/>
              <w:bottom w:w="0" w:type="dxa"/>
              <w:right w:w="20" w:type="dxa"/>
            </w:tcMar>
            <w:vAlign w:val="bottom"/>
          </w:tcPr>
          <w:p w14:paraId="74DDA0CE"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4DDA0CF" w14:textId="77777777" w:rsidR="00584EC1" w:rsidRDefault="00871F8D">
            <w:pPr>
              <w:jc w:val="right"/>
              <w:textAlignment w:val="center"/>
            </w:pPr>
            <w:r>
              <w:rPr>
                <w:rFonts w:ascii="Arial" w:eastAsia="宋体" w:hAnsi="Arial" w:cs="Arial"/>
                <w:color w:val="000000"/>
                <w:sz w:val="12"/>
                <w:szCs w:val="12"/>
              </w:rPr>
              <w:t>30,000,000 </w:t>
            </w:r>
          </w:p>
        </w:tc>
        <w:tc>
          <w:tcPr>
            <w:tcW w:w="0" w:type="auto"/>
            <w:tcBorders>
              <w:top w:val="single" w:sz="8" w:space="0" w:color="000000"/>
            </w:tcBorders>
            <w:shd w:val="clear" w:color="auto" w:fill="CCEEFF"/>
            <w:tcMar>
              <w:top w:w="40" w:type="dxa"/>
              <w:left w:w="0" w:type="dxa"/>
              <w:bottom w:w="40" w:type="dxa"/>
              <w:right w:w="20" w:type="dxa"/>
            </w:tcMar>
            <w:vAlign w:val="center"/>
          </w:tcPr>
          <w:p w14:paraId="74DDA0D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0D1"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4DDA0D2" w14:textId="77777777" w:rsidR="00584EC1" w:rsidRDefault="00871F8D">
            <w:pPr>
              <w:textAlignment w:val="center"/>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4DDA0D3" w14:textId="77777777" w:rsidR="00584EC1" w:rsidRDefault="00871F8D">
            <w:pPr>
              <w:jc w:val="right"/>
              <w:textAlignment w:val="center"/>
            </w:pPr>
            <w:r>
              <w:rPr>
                <w:rFonts w:ascii="Arial" w:eastAsia="宋体" w:hAnsi="Arial" w:cs="Arial"/>
                <w:color w:val="000000"/>
                <w:sz w:val="12"/>
                <w:szCs w:val="12"/>
              </w:rPr>
              <w:t>750 </w:t>
            </w:r>
          </w:p>
        </w:tc>
        <w:tc>
          <w:tcPr>
            <w:tcW w:w="0" w:type="auto"/>
            <w:tcBorders>
              <w:top w:val="single" w:sz="8" w:space="0" w:color="000000"/>
            </w:tcBorders>
            <w:shd w:val="clear" w:color="auto" w:fill="CCEEFF"/>
            <w:tcMar>
              <w:top w:w="40" w:type="dxa"/>
              <w:left w:w="0" w:type="dxa"/>
              <w:bottom w:w="40" w:type="dxa"/>
              <w:right w:w="20" w:type="dxa"/>
            </w:tcMar>
            <w:vAlign w:val="center"/>
          </w:tcPr>
          <w:p w14:paraId="74DDA0D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0D5" w14:textId="77777777" w:rsidR="00584EC1" w:rsidRDefault="00584EC1">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74DDA0D6" w14:textId="77777777" w:rsidR="00584EC1" w:rsidRDefault="00871F8D">
            <w:pPr>
              <w:jc w:val="right"/>
              <w:textAlignment w:val="center"/>
            </w:pPr>
            <w:r>
              <w:rPr>
                <w:rFonts w:ascii="Arial" w:eastAsia="宋体" w:hAnsi="Arial" w:cs="Arial"/>
                <w:color w:val="000000"/>
                <w:sz w:val="12"/>
                <w:szCs w:val="12"/>
              </w:rPr>
              <w:t>1/4,000th</w:t>
            </w:r>
          </w:p>
        </w:tc>
        <w:tc>
          <w:tcPr>
            <w:tcW w:w="0" w:type="auto"/>
            <w:gridSpan w:val="3"/>
            <w:shd w:val="clear" w:color="auto" w:fill="CCEEFF"/>
            <w:tcMar>
              <w:top w:w="0" w:type="dxa"/>
              <w:left w:w="20" w:type="dxa"/>
              <w:bottom w:w="0" w:type="dxa"/>
              <w:right w:w="20" w:type="dxa"/>
            </w:tcMar>
            <w:vAlign w:val="bottom"/>
          </w:tcPr>
          <w:p w14:paraId="74DDA0D7"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4DDA0D8" w14:textId="77777777" w:rsidR="00584EC1" w:rsidRDefault="00871F8D">
            <w:pPr>
              <w:textAlignment w:val="center"/>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4DDA0D9" w14:textId="77777777" w:rsidR="00584EC1" w:rsidRDefault="00871F8D">
            <w:pPr>
              <w:jc w:val="right"/>
              <w:textAlignment w:val="center"/>
            </w:pPr>
            <w:r>
              <w:rPr>
                <w:rFonts w:ascii="Arial" w:eastAsia="宋体" w:hAnsi="Arial" w:cs="Arial"/>
                <w:color w:val="000000"/>
                <w:sz w:val="12"/>
                <w:szCs w:val="12"/>
              </w:rPr>
              <w:t>100,000 </w:t>
            </w:r>
          </w:p>
        </w:tc>
        <w:tc>
          <w:tcPr>
            <w:tcW w:w="0" w:type="auto"/>
            <w:tcBorders>
              <w:top w:val="single" w:sz="8" w:space="0" w:color="000000"/>
            </w:tcBorders>
            <w:shd w:val="clear" w:color="auto" w:fill="CCEEFF"/>
            <w:tcMar>
              <w:top w:w="40" w:type="dxa"/>
              <w:left w:w="0" w:type="dxa"/>
              <w:bottom w:w="40" w:type="dxa"/>
              <w:right w:w="20" w:type="dxa"/>
            </w:tcMar>
            <w:vAlign w:val="center"/>
          </w:tcPr>
          <w:p w14:paraId="74DDA0D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0DB"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4DDA0DC" w14:textId="77777777" w:rsidR="00584EC1" w:rsidRDefault="00871F8D">
            <w:pPr>
              <w:textAlignment w:val="center"/>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4DDA0DD" w14:textId="77777777" w:rsidR="00584EC1" w:rsidRDefault="00871F8D">
            <w:pPr>
              <w:jc w:val="right"/>
              <w:textAlignment w:val="center"/>
            </w:pPr>
            <w:r>
              <w:rPr>
                <w:rFonts w:ascii="Arial" w:eastAsia="宋体" w:hAnsi="Arial" w:cs="Arial"/>
                <w:color w:val="000000"/>
                <w:sz w:val="12"/>
                <w:szCs w:val="12"/>
              </w:rPr>
              <w:t>25 </w:t>
            </w:r>
          </w:p>
        </w:tc>
        <w:tc>
          <w:tcPr>
            <w:tcW w:w="0" w:type="auto"/>
            <w:tcBorders>
              <w:top w:val="single" w:sz="8" w:space="0" w:color="000000"/>
            </w:tcBorders>
            <w:shd w:val="clear" w:color="auto" w:fill="CCEEFF"/>
            <w:tcMar>
              <w:top w:w="40" w:type="dxa"/>
              <w:left w:w="0" w:type="dxa"/>
              <w:bottom w:w="40" w:type="dxa"/>
              <w:right w:w="20" w:type="dxa"/>
            </w:tcMar>
            <w:vAlign w:val="center"/>
          </w:tcPr>
          <w:p w14:paraId="74DDA0D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0DF" w14:textId="77777777" w:rsidR="00584EC1" w:rsidRDefault="00584EC1">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74DDA0E0" w14:textId="77777777" w:rsidR="00584EC1" w:rsidRDefault="00871F8D">
            <w:pPr>
              <w:textAlignment w:val="center"/>
            </w:pPr>
            <w:r>
              <w:rPr>
                <w:rFonts w:ascii="Arial" w:eastAsia="宋体" w:hAnsi="Arial" w:cs="Arial"/>
                <w:color w:val="000000"/>
                <w:sz w:val="12"/>
                <w:szCs w:val="12"/>
              </w:rPr>
              <w:t>5.90% to but excluding March 15, 2024, then a floating rate equal to the three-month LIBOR plus 3.108%</w:t>
            </w:r>
          </w:p>
        </w:tc>
        <w:tc>
          <w:tcPr>
            <w:tcW w:w="0" w:type="auto"/>
            <w:gridSpan w:val="3"/>
            <w:shd w:val="clear" w:color="auto" w:fill="CCEEFF"/>
            <w:tcMar>
              <w:top w:w="0" w:type="dxa"/>
              <w:left w:w="20" w:type="dxa"/>
              <w:bottom w:w="0" w:type="dxa"/>
              <w:right w:w="20" w:type="dxa"/>
            </w:tcMar>
            <w:vAlign w:val="bottom"/>
          </w:tcPr>
          <w:p w14:paraId="74DDA0E1" w14:textId="77777777" w:rsidR="00584EC1" w:rsidRDefault="00584EC1">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74DDA0E2" w14:textId="77777777" w:rsidR="00584EC1" w:rsidRDefault="00871F8D">
            <w:pPr>
              <w:textAlignment w:val="center"/>
            </w:pPr>
            <w:r>
              <w:rPr>
                <w:rFonts w:ascii="Arial" w:eastAsia="宋体" w:hAnsi="Arial" w:cs="Arial"/>
                <w:color w:val="000000"/>
                <w:sz w:val="12"/>
                <w:szCs w:val="12"/>
              </w:rPr>
              <w:t>Quarterly: March, June, September and December</w:t>
            </w:r>
          </w:p>
        </w:tc>
        <w:tc>
          <w:tcPr>
            <w:tcW w:w="0" w:type="auto"/>
            <w:gridSpan w:val="3"/>
            <w:shd w:val="clear" w:color="auto" w:fill="CCEEFF"/>
            <w:tcMar>
              <w:top w:w="0" w:type="dxa"/>
              <w:left w:w="20" w:type="dxa"/>
              <w:bottom w:w="0" w:type="dxa"/>
              <w:right w:w="20" w:type="dxa"/>
            </w:tcMar>
            <w:vAlign w:val="bottom"/>
          </w:tcPr>
          <w:p w14:paraId="74DDA0E3"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4DDA0E4" w14:textId="77777777" w:rsidR="00584EC1" w:rsidRDefault="00871F8D">
            <w:pPr>
              <w:textAlignment w:val="center"/>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4DDA0E5" w14:textId="77777777" w:rsidR="00584EC1" w:rsidRDefault="00871F8D">
            <w:pPr>
              <w:jc w:val="right"/>
              <w:textAlignment w:val="center"/>
            </w:pPr>
            <w:r>
              <w:rPr>
                <w:rFonts w:ascii="Arial" w:eastAsia="宋体" w:hAnsi="Arial" w:cs="Arial"/>
                <w:color w:val="000000"/>
                <w:sz w:val="12"/>
                <w:szCs w:val="12"/>
              </w:rPr>
              <w:t>742 </w:t>
            </w:r>
          </w:p>
        </w:tc>
        <w:tc>
          <w:tcPr>
            <w:tcW w:w="0" w:type="auto"/>
            <w:tcBorders>
              <w:top w:val="single" w:sz="8" w:space="0" w:color="000000"/>
            </w:tcBorders>
            <w:shd w:val="clear" w:color="auto" w:fill="CCEEFF"/>
            <w:tcMar>
              <w:top w:w="40" w:type="dxa"/>
              <w:left w:w="0" w:type="dxa"/>
              <w:bottom w:w="40" w:type="dxa"/>
              <w:right w:w="20" w:type="dxa"/>
            </w:tcMar>
            <w:vAlign w:val="center"/>
          </w:tcPr>
          <w:p w14:paraId="74DDA0E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0E7" w14:textId="77777777" w:rsidR="00584EC1" w:rsidRDefault="00584EC1">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74DDA0E8" w14:textId="77777777" w:rsidR="00584EC1" w:rsidRDefault="00871F8D">
            <w:pPr>
              <w:textAlignment w:val="center"/>
            </w:pPr>
            <w:r>
              <w:rPr>
                <w:rFonts w:ascii="Arial" w:eastAsia="宋体" w:hAnsi="Arial" w:cs="Arial"/>
                <w:color w:val="000000"/>
                <w:sz w:val="12"/>
                <w:szCs w:val="12"/>
              </w:rPr>
              <w:t>March 15, 2024</w:t>
            </w:r>
          </w:p>
        </w:tc>
      </w:tr>
      <w:tr w:rsidR="00584EC1" w14:paraId="74DDA103" w14:textId="77777777">
        <w:tc>
          <w:tcPr>
            <w:tcW w:w="0" w:type="auto"/>
            <w:gridSpan w:val="3"/>
            <w:shd w:val="clear" w:color="auto" w:fill="FFFFFF"/>
            <w:tcMar>
              <w:top w:w="40" w:type="dxa"/>
              <w:left w:w="20" w:type="dxa"/>
              <w:bottom w:w="40" w:type="dxa"/>
              <w:right w:w="20" w:type="dxa"/>
            </w:tcMar>
            <w:vAlign w:val="center"/>
          </w:tcPr>
          <w:p w14:paraId="74DDA0EA" w14:textId="77777777" w:rsidR="00584EC1" w:rsidRDefault="00871F8D">
            <w:pPr>
              <w:textAlignment w:val="center"/>
            </w:pPr>
            <w:r>
              <w:rPr>
                <w:rFonts w:ascii="Arial" w:eastAsia="宋体" w:hAnsi="Arial" w:cs="Arial"/>
                <w:color w:val="000000"/>
                <w:sz w:val="12"/>
                <w:szCs w:val="12"/>
              </w:rPr>
              <w:t>Series F</w:t>
            </w:r>
            <w:r>
              <w:rPr>
                <w:rFonts w:ascii="Arial" w:eastAsia="宋体" w:hAnsi="Arial" w:cs="Arial"/>
                <w:color w:val="000000"/>
                <w:sz w:val="7"/>
                <w:szCs w:val="7"/>
              </w:rPr>
              <w:t>(3)</w:t>
            </w:r>
          </w:p>
        </w:tc>
        <w:tc>
          <w:tcPr>
            <w:tcW w:w="0" w:type="auto"/>
            <w:gridSpan w:val="3"/>
            <w:shd w:val="clear" w:color="auto" w:fill="FFFFFF"/>
            <w:tcMar>
              <w:top w:w="0" w:type="dxa"/>
              <w:left w:w="20" w:type="dxa"/>
              <w:bottom w:w="0" w:type="dxa"/>
              <w:right w:w="20" w:type="dxa"/>
            </w:tcMar>
            <w:vAlign w:val="bottom"/>
          </w:tcPr>
          <w:p w14:paraId="74DDA0EB" w14:textId="77777777" w:rsidR="00584EC1" w:rsidRDefault="00584EC1">
            <w:pPr>
              <w:rPr>
                <w:rFonts w:ascii="宋体"/>
              </w:rPr>
            </w:pPr>
          </w:p>
        </w:tc>
        <w:tc>
          <w:tcPr>
            <w:tcW w:w="0" w:type="auto"/>
            <w:gridSpan w:val="3"/>
            <w:shd w:val="clear" w:color="auto" w:fill="FFFFFF"/>
            <w:tcMar>
              <w:top w:w="40" w:type="dxa"/>
              <w:left w:w="20" w:type="dxa"/>
              <w:bottom w:w="40" w:type="dxa"/>
              <w:right w:w="20" w:type="dxa"/>
            </w:tcMar>
            <w:vAlign w:val="center"/>
          </w:tcPr>
          <w:p w14:paraId="74DDA0EC" w14:textId="77777777" w:rsidR="00584EC1" w:rsidRDefault="00871F8D">
            <w:pPr>
              <w:textAlignment w:val="center"/>
            </w:pPr>
            <w:r>
              <w:rPr>
                <w:rFonts w:ascii="Arial" w:eastAsia="宋体" w:hAnsi="Arial" w:cs="Arial"/>
                <w:color w:val="000000"/>
                <w:sz w:val="12"/>
                <w:szCs w:val="12"/>
              </w:rPr>
              <w:t>May 2015</w:t>
            </w:r>
          </w:p>
        </w:tc>
        <w:tc>
          <w:tcPr>
            <w:tcW w:w="0" w:type="auto"/>
            <w:gridSpan w:val="3"/>
            <w:shd w:val="clear" w:color="auto" w:fill="FFFFFF"/>
            <w:tcMar>
              <w:top w:w="0" w:type="dxa"/>
              <w:left w:w="20" w:type="dxa"/>
              <w:bottom w:w="0" w:type="dxa"/>
              <w:right w:w="20" w:type="dxa"/>
            </w:tcMar>
            <w:vAlign w:val="bottom"/>
          </w:tcPr>
          <w:p w14:paraId="74DDA0E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center"/>
          </w:tcPr>
          <w:p w14:paraId="74DDA0EE" w14:textId="77777777" w:rsidR="00584EC1" w:rsidRDefault="00871F8D">
            <w:pPr>
              <w:jc w:val="right"/>
              <w:textAlignment w:val="center"/>
            </w:pPr>
            <w:r>
              <w:rPr>
                <w:rFonts w:ascii="Arial" w:eastAsia="宋体" w:hAnsi="Arial" w:cs="Arial"/>
                <w:color w:val="000000"/>
                <w:sz w:val="12"/>
                <w:szCs w:val="12"/>
              </w:rPr>
              <w:t>250,000 </w:t>
            </w:r>
          </w:p>
        </w:tc>
        <w:tc>
          <w:tcPr>
            <w:tcW w:w="0" w:type="auto"/>
            <w:shd w:val="clear" w:color="auto" w:fill="FFFFFF"/>
            <w:tcMar>
              <w:top w:w="40" w:type="dxa"/>
              <w:left w:w="0" w:type="dxa"/>
              <w:bottom w:w="40" w:type="dxa"/>
              <w:right w:w="20" w:type="dxa"/>
            </w:tcMar>
            <w:vAlign w:val="center"/>
          </w:tcPr>
          <w:p w14:paraId="74DDA0E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0F0" w14:textId="77777777" w:rsidR="00584EC1" w:rsidRDefault="00584EC1">
            <w:pPr>
              <w:rPr>
                <w:rFonts w:ascii="宋体"/>
              </w:rPr>
            </w:pPr>
          </w:p>
        </w:tc>
        <w:tc>
          <w:tcPr>
            <w:tcW w:w="0" w:type="auto"/>
            <w:gridSpan w:val="3"/>
            <w:shd w:val="clear" w:color="auto" w:fill="FFFFFF"/>
            <w:tcMar>
              <w:top w:w="40" w:type="dxa"/>
              <w:left w:w="20" w:type="dxa"/>
              <w:bottom w:w="40" w:type="dxa"/>
              <w:right w:w="20" w:type="dxa"/>
            </w:tcMar>
            <w:vAlign w:val="center"/>
          </w:tcPr>
          <w:p w14:paraId="74DDA0F1" w14:textId="77777777" w:rsidR="00584EC1" w:rsidRDefault="00871F8D">
            <w:pPr>
              <w:jc w:val="right"/>
              <w:textAlignment w:val="center"/>
            </w:pPr>
            <w:r>
              <w:rPr>
                <w:rFonts w:ascii="Arial" w:eastAsia="宋体" w:hAnsi="Arial" w:cs="Arial"/>
                <w:color w:val="000000"/>
                <w:sz w:val="12"/>
                <w:szCs w:val="12"/>
              </w:rPr>
              <w:t>250</w:t>
            </w:r>
          </w:p>
        </w:tc>
        <w:tc>
          <w:tcPr>
            <w:tcW w:w="0" w:type="auto"/>
            <w:gridSpan w:val="3"/>
            <w:shd w:val="clear" w:color="auto" w:fill="FFFFFF"/>
            <w:tcMar>
              <w:top w:w="0" w:type="dxa"/>
              <w:left w:w="20" w:type="dxa"/>
              <w:bottom w:w="0" w:type="dxa"/>
              <w:right w:w="20" w:type="dxa"/>
            </w:tcMar>
            <w:vAlign w:val="bottom"/>
          </w:tcPr>
          <w:p w14:paraId="74DDA0F2" w14:textId="77777777" w:rsidR="00584EC1" w:rsidRDefault="00584EC1">
            <w:pPr>
              <w:rPr>
                <w:rFonts w:ascii="宋体"/>
              </w:rPr>
            </w:pPr>
          </w:p>
        </w:tc>
        <w:tc>
          <w:tcPr>
            <w:tcW w:w="0" w:type="auto"/>
            <w:gridSpan w:val="3"/>
            <w:shd w:val="clear" w:color="auto" w:fill="FFFFFF"/>
            <w:tcMar>
              <w:top w:w="40" w:type="dxa"/>
              <w:left w:w="20" w:type="dxa"/>
              <w:bottom w:w="40" w:type="dxa"/>
              <w:right w:w="20" w:type="dxa"/>
            </w:tcMar>
            <w:vAlign w:val="center"/>
          </w:tcPr>
          <w:p w14:paraId="74DDA0F3" w14:textId="77777777" w:rsidR="00584EC1" w:rsidRDefault="00871F8D">
            <w:pPr>
              <w:jc w:val="right"/>
              <w:textAlignment w:val="center"/>
            </w:pPr>
            <w:r>
              <w:rPr>
                <w:rFonts w:ascii="Arial" w:eastAsia="宋体" w:hAnsi="Arial" w:cs="Arial"/>
                <w:color w:val="000000"/>
                <w:sz w:val="12"/>
                <w:szCs w:val="12"/>
              </w:rPr>
              <w:t>1/100th</w:t>
            </w:r>
          </w:p>
        </w:tc>
        <w:tc>
          <w:tcPr>
            <w:tcW w:w="0" w:type="auto"/>
            <w:gridSpan w:val="3"/>
            <w:shd w:val="clear" w:color="auto" w:fill="FFFFFF"/>
            <w:tcMar>
              <w:top w:w="0" w:type="dxa"/>
              <w:left w:w="20" w:type="dxa"/>
              <w:bottom w:w="0" w:type="dxa"/>
              <w:right w:w="20" w:type="dxa"/>
            </w:tcMar>
            <w:vAlign w:val="bottom"/>
          </w:tcPr>
          <w:p w14:paraId="74DDA0F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center"/>
          </w:tcPr>
          <w:p w14:paraId="74DDA0F5" w14:textId="77777777" w:rsidR="00584EC1" w:rsidRDefault="00871F8D">
            <w:pPr>
              <w:jc w:val="right"/>
              <w:textAlignment w:val="center"/>
            </w:pPr>
            <w:r>
              <w:rPr>
                <w:rFonts w:ascii="Arial" w:eastAsia="宋体" w:hAnsi="Arial" w:cs="Arial"/>
                <w:color w:val="000000"/>
                <w:sz w:val="12"/>
                <w:szCs w:val="12"/>
              </w:rPr>
              <w:t>100,000 </w:t>
            </w:r>
          </w:p>
        </w:tc>
        <w:tc>
          <w:tcPr>
            <w:tcW w:w="0" w:type="auto"/>
            <w:shd w:val="clear" w:color="auto" w:fill="FFFFFF"/>
            <w:tcMar>
              <w:top w:w="40" w:type="dxa"/>
              <w:left w:w="0" w:type="dxa"/>
              <w:bottom w:w="40" w:type="dxa"/>
              <w:right w:w="20" w:type="dxa"/>
            </w:tcMar>
            <w:vAlign w:val="center"/>
          </w:tcPr>
          <w:p w14:paraId="74DDA0F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0F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center"/>
          </w:tcPr>
          <w:p w14:paraId="74DDA0F8" w14:textId="77777777" w:rsidR="00584EC1" w:rsidRDefault="00871F8D">
            <w:pPr>
              <w:jc w:val="right"/>
              <w:textAlignment w:val="center"/>
            </w:pPr>
            <w:r>
              <w:rPr>
                <w:rFonts w:ascii="Arial" w:eastAsia="宋体" w:hAnsi="Arial" w:cs="Arial"/>
                <w:color w:val="000000"/>
                <w:sz w:val="12"/>
                <w:szCs w:val="12"/>
              </w:rPr>
              <w:t>1,000 </w:t>
            </w:r>
          </w:p>
        </w:tc>
        <w:tc>
          <w:tcPr>
            <w:tcW w:w="0" w:type="auto"/>
            <w:shd w:val="clear" w:color="auto" w:fill="FFFFFF"/>
            <w:tcMar>
              <w:top w:w="40" w:type="dxa"/>
              <w:left w:w="0" w:type="dxa"/>
              <w:bottom w:w="40" w:type="dxa"/>
              <w:right w:w="20" w:type="dxa"/>
            </w:tcMar>
            <w:vAlign w:val="center"/>
          </w:tcPr>
          <w:p w14:paraId="74DDA0F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0FA" w14:textId="77777777" w:rsidR="00584EC1" w:rsidRDefault="00584EC1">
            <w:pPr>
              <w:rPr>
                <w:rFonts w:ascii="宋体"/>
              </w:rPr>
            </w:pPr>
          </w:p>
        </w:tc>
        <w:tc>
          <w:tcPr>
            <w:tcW w:w="0" w:type="auto"/>
            <w:gridSpan w:val="3"/>
            <w:shd w:val="clear" w:color="auto" w:fill="FFFFFF"/>
            <w:tcMar>
              <w:top w:w="40" w:type="dxa"/>
              <w:left w:w="20" w:type="dxa"/>
              <w:bottom w:w="40" w:type="dxa"/>
              <w:right w:w="20" w:type="dxa"/>
            </w:tcMar>
            <w:vAlign w:val="center"/>
          </w:tcPr>
          <w:p w14:paraId="74DDA0FB" w14:textId="77777777" w:rsidR="00584EC1" w:rsidRDefault="00871F8D">
            <w:pPr>
              <w:textAlignment w:val="center"/>
            </w:pPr>
            <w:r>
              <w:rPr>
                <w:rFonts w:ascii="Arial" w:eastAsia="宋体" w:hAnsi="Arial" w:cs="Arial"/>
                <w:color w:val="000000"/>
                <w:sz w:val="12"/>
                <w:szCs w:val="12"/>
              </w:rPr>
              <w:t>5.25% to but excluding September 15, 2020, then a floating rate equal to the three-month LIBOR plus 3.597%, or 3.7130% effective September 15, 2021</w:t>
            </w:r>
          </w:p>
        </w:tc>
        <w:tc>
          <w:tcPr>
            <w:tcW w:w="0" w:type="auto"/>
            <w:gridSpan w:val="3"/>
            <w:shd w:val="clear" w:color="auto" w:fill="FFFFFF"/>
            <w:tcMar>
              <w:top w:w="0" w:type="dxa"/>
              <w:left w:w="20" w:type="dxa"/>
              <w:bottom w:w="0" w:type="dxa"/>
              <w:right w:w="20" w:type="dxa"/>
            </w:tcMar>
            <w:vAlign w:val="bottom"/>
          </w:tcPr>
          <w:p w14:paraId="74DDA0FC" w14:textId="77777777" w:rsidR="00584EC1" w:rsidRDefault="00584EC1">
            <w:pPr>
              <w:rPr>
                <w:rFonts w:ascii="宋体"/>
              </w:rPr>
            </w:pPr>
          </w:p>
        </w:tc>
        <w:tc>
          <w:tcPr>
            <w:tcW w:w="0" w:type="auto"/>
            <w:gridSpan w:val="3"/>
            <w:shd w:val="clear" w:color="auto" w:fill="FFFFFF"/>
            <w:tcMar>
              <w:top w:w="40" w:type="dxa"/>
              <w:left w:w="20" w:type="dxa"/>
              <w:bottom w:w="40" w:type="dxa"/>
              <w:right w:w="20" w:type="dxa"/>
            </w:tcMar>
            <w:vAlign w:val="center"/>
          </w:tcPr>
          <w:p w14:paraId="74DDA0FD" w14:textId="77777777" w:rsidR="00584EC1" w:rsidRDefault="00871F8D">
            <w:pPr>
              <w:textAlignment w:val="center"/>
            </w:pPr>
            <w:r>
              <w:rPr>
                <w:rFonts w:ascii="Arial" w:eastAsia="宋体" w:hAnsi="Arial" w:cs="Arial"/>
                <w:color w:val="000000"/>
                <w:sz w:val="12"/>
                <w:szCs w:val="12"/>
              </w:rPr>
              <w:t>Quarterly: March, June, September and December</w:t>
            </w:r>
          </w:p>
        </w:tc>
        <w:tc>
          <w:tcPr>
            <w:tcW w:w="0" w:type="auto"/>
            <w:gridSpan w:val="3"/>
            <w:shd w:val="clear" w:color="auto" w:fill="FFFFFF"/>
            <w:tcMar>
              <w:top w:w="0" w:type="dxa"/>
              <w:left w:w="20" w:type="dxa"/>
              <w:bottom w:w="0" w:type="dxa"/>
              <w:right w:w="20" w:type="dxa"/>
            </w:tcMar>
            <w:vAlign w:val="bottom"/>
          </w:tcPr>
          <w:p w14:paraId="74DDA0F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center"/>
          </w:tcPr>
          <w:p w14:paraId="74DDA0FF" w14:textId="77777777" w:rsidR="00584EC1" w:rsidRDefault="00871F8D">
            <w:pPr>
              <w:jc w:val="right"/>
              <w:textAlignment w:val="center"/>
            </w:pPr>
            <w:r>
              <w:rPr>
                <w:rFonts w:ascii="Arial" w:eastAsia="宋体" w:hAnsi="Arial" w:cs="Arial"/>
                <w:color w:val="000000"/>
                <w:sz w:val="12"/>
                <w:szCs w:val="12"/>
              </w:rPr>
              <w:t>247 </w:t>
            </w:r>
          </w:p>
        </w:tc>
        <w:tc>
          <w:tcPr>
            <w:tcW w:w="0" w:type="auto"/>
            <w:shd w:val="clear" w:color="auto" w:fill="FFFFFF"/>
            <w:tcMar>
              <w:top w:w="40" w:type="dxa"/>
              <w:left w:w="0" w:type="dxa"/>
              <w:bottom w:w="40" w:type="dxa"/>
              <w:right w:w="20" w:type="dxa"/>
            </w:tcMar>
            <w:vAlign w:val="center"/>
          </w:tcPr>
          <w:p w14:paraId="74DDA10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101" w14:textId="77777777" w:rsidR="00584EC1" w:rsidRDefault="00584EC1">
            <w:pPr>
              <w:rPr>
                <w:rFonts w:ascii="宋体"/>
              </w:rPr>
            </w:pPr>
          </w:p>
        </w:tc>
        <w:tc>
          <w:tcPr>
            <w:tcW w:w="0" w:type="auto"/>
            <w:gridSpan w:val="3"/>
            <w:shd w:val="clear" w:color="auto" w:fill="FFFFFF"/>
            <w:tcMar>
              <w:top w:w="40" w:type="dxa"/>
              <w:left w:w="20" w:type="dxa"/>
              <w:bottom w:w="40" w:type="dxa"/>
              <w:right w:w="20" w:type="dxa"/>
            </w:tcMar>
            <w:vAlign w:val="center"/>
          </w:tcPr>
          <w:p w14:paraId="74DDA102" w14:textId="77777777" w:rsidR="00584EC1" w:rsidRDefault="00871F8D">
            <w:pPr>
              <w:textAlignment w:val="center"/>
            </w:pPr>
            <w:r>
              <w:rPr>
                <w:rFonts w:ascii="Arial" w:eastAsia="宋体" w:hAnsi="Arial" w:cs="Arial"/>
                <w:color w:val="000000"/>
                <w:sz w:val="12"/>
                <w:szCs w:val="12"/>
              </w:rPr>
              <w:t>September 15, 2020</w:t>
            </w:r>
          </w:p>
        </w:tc>
      </w:tr>
      <w:tr w:rsidR="00584EC1" w14:paraId="74DDA11D" w14:textId="77777777">
        <w:tc>
          <w:tcPr>
            <w:tcW w:w="0" w:type="auto"/>
            <w:gridSpan w:val="3"/>
            <w:shd w:val="clear" w:color="auto" w:fill="CCEEFF"/>
            <w:tcMar>
              <w:top w:w="40" w:type="dxa"/>
              <w:left w:w="20" w:type="dxa"/>
              <w:bottom w:w="40" w:type="dxa"/>
              <w:right w:w="20" w:type="dxa"/>
            </w:tcMar>
            <w:vAlign w:val="center"/>
          </w:tcPr>
          <w:p w14:paraId="74DDA104" w14:textId="77777777" w:rsidR="00584EC1" w:rsidRDefault="00871F8D">
            <w:pPr>
              <w:textAlignment w:val="center"/>
            </w:pPr>
            <w:r>
              <w:rPr>
                <w:rFonts w:ascii="Arial" w:eastAsia="宋体" w:hAnsi="Arial" w:cs="Arial"/>
                <w:color w:val="000000"/>
                <w:sz w:val="12"/>
                <w:szCs w:val="12"/>
              </w:rPr>
              <w:t>Series G</w:t>
            </w:r>
          </w:p>
        </w:tc>
        <w:tc>
          <w:tcPr>
            <w:tcW w:w="0" w:type="auto"/>
            <w:gridSpan w:val="3"/>
            <w:shd w:val="clear" w:color="auto" w:fill="CCEEFF"/>
            <w:tcMar>
              <w:top w:w="0" w:type="dxa"/>
              <w:left w:w="20" w:type="dxa"/>
              <w:bottom w:w="0" w:type="dxa"/>
              <w:right w:w="20" w:type="dxa"/>
            </w:tcMar>
            <w:vAlign w:val="bottom"/>
          </w:tcPr>
          <w:p w14:paraId="74DDA105" w14:textId="77777777" w:rsidR="00584EC1" w:rsidRDefault="00584EC1">
            <w:pPr>
              <w:rPr>
                <w:rFonts w:ascii="宋体"/>
              </w:rPr>
            </w:pPr>
          </w:p>
        </w:tc>
        <w:tc>
          <w:tcPr>
            <w:tcW w:w="0" w:type="auto"/>
            <w:gridSpan w:val="3"/>
            <w:shd w:val="clear" w:color="auto" w:fill="CCEEFF"/>
            <w:tcMar>
              <w:top w:w="40" w:type="dxa"/>
              <w:left w:w="20" w:type="dxa"/>
              <w:bottom w:w="40" w:type="dxa"/>
              <w:right w:w="20" w:type="dxa"/>
            </w:tcMar>
            <w:vAlign w:val="center"/>
          </w:tcPr>
          <w:p w14:paraId="74DDA106" w14:textId="77777777" w:rsidR="00584EC1" w:rsidRDefault="00871F8D">
            <w:pPr>
              <w:textAlignment w:val="center"/>
            </w:pPr>
            <w:r>
              <w:rPr>
                <w:rFonts w:ascii="Arial" w:eastAsia="宋体" w:hAnsi="Arial" w:cs="Arial"/>
                <w:color w:val="000000"/>
                <w:sz w:val="12"/>
                <w:szCs w:val="12"/>
              </w:rPr>
              <w:t>April 2016</w:t>
            </w:r>
          </w:p>
        </w:tc>
        <w:tc>
          <w:tcPr>
            <w:tcW w:w="0" w:type="auto"/>
            <w:gridSpan w:val="3"/>
            <w:shd w:val="clear" w:color="auto" w:fill="CCEEFF"/>
            <w:tcMar>
              <w:top w:w="0" w:type="dxa"/>
              <w:left w:w="20" w:type="dxa"/>
              <w:bottom w:w="0" w:type="dxa"/>
              <w:right w:w="20" w:type="dxa"/>
            </w:tcMar>
            <w:vAlign w:val="bottom"/>
          </w:tcPr>
          <w:p w14:paraId="74DDA10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center"/>
          </w:tcPr>
          <w:p w14:paraId="74DDA108" w14:textId="77777777" w:rsidR="00584EC1" w:rsidRDefault="00871F8D">
            <w:pPr>
              <w:jc w:val="right"/>
              <w:textAlignment w:val="center"/>
            </w:pPr>
            <w:r>
              <w:rPr>
                <w:rFonts w:ascii="Arial" w:eastAsia="宋体" w:hAnsi="Arial" w:cs="Arial"/>
                <w:color w:val="000000"/>
                <w:sz w:val="12"/>
                <w:szCs w:val="12"/>
              </w:rPr>
              <w:t>20,000,000 </w:t>
            </w:r>
          </w:p>
        </w:tc>
        <w:tc>
          <w:tcPr>
            <w:tcW w:w="0" w:type="auto"/>
            <w:shd w:val="clear" w:color="auto" w:fill="CCEEFF"/>
            <w:tcMar>
              <w:top w:w="40" w:type="dxa"/>
              <w:left w:w="0" w:type="dxa"/>
              <w:bottom w:w="40" w:type="dxa"/>
              <w:right w:w="20" w:type="dxa"/>
            </w:tcMar>
            <w:vAlign w:val="center"/>
          </w:tcPr>
          <w:p w14:paraId="74DDA10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10A" w14:textId="77777777" w:rsidR="00584EC1" w:rsidRDefault="00584EC1">
            <w:pPr>
              <w:rPr>
                <w:rFonts w:ascii="宋体"/>
              </w:rPr>
            </w:pPr>
          </w:p>
        </w:tc>
        <w:tc>
          <w:tcPr>
            <w:tcW w:w="0" w:type="auto"/>
            <w:gridSpan w:val="3"/>
            <w:shd w:val="clear" w:color="auto" w:fill="CCEEFF"/>
            <w:tcMar>
              <w:top w:w="40" w:type="dxa"/>
              <w:left w:w="20" w:type="dxa"/>
              <w:bottom w:w="40" w:type="dxa"/>
              <w:right w:w="20" w:type="dxa"/>
            </w:tcMar>
            <w:vAlign w:val="center"/>
          </w:tcPr>
          <w:p w14:paraId="74DDA10B" w14:textId="77777777" w:rsidR="00584EC1" w:rsidRDefault="00871F8D">
            <w:pPr>
              <w:jc w:val="right"/>
              <w:textAlignment w:val="center"/>
            </w:pPr>
            <w:r>
              <w:rPr>
                <w:rFonts w:ascii="Arial" w:eastAsia="宋体" w:hAnsi="Arial" w:cs="Arial"/>
                <w:color w:val="000000"/>
                <w:sz w:val="12"/>
                <w:szCs w:val="12"/>
              </w:rPr>
              <w:t>500</w:t>
            </w:r>
          </w:p>
        </w:tc>
        <w:tc>
          <w:tcPr>
            <w:tcW w:w="0" w:type="auto"/>
            <w:gridSpan w:val="3"/>
            <w:shd w:val="clear" w:color="auto" w:fill="CCEEFF"/>
            <w:tcMar>
              <w:top w:w="0" w:type="dxa"/>
              <w:left w:w="20" w:type="dxa"/>
              <w:bottom w:w="0" w:type="dxa"/>
              <w:right w:w="20" w:type="dxa"/>
            </w:tcMar>
            <w:vAlign w:val="bottom"/>
          </w:tcPr>
          <w:p w14:paraId="74DDA10C" w14:textId="77777777" w:rsidR="00584EC1" w:rsidRDefault="00584EC1">
            <w:pPr>
              <w:rPr>
                <w:rFonts w:ascii="宋体"/>
              </w:rPr>
            </w:pPr>
          </w:p>
        </w:tc>
        <w:tc>
          <w:tcPr>
            <w:tcW w:w="0" w:type="auto"/>
            <w:gridSpan w:val="3"/>
            <w:shd w:val="clear" w:color="auto" w:fill="CCEEFF"/>
            <w:tcMar>
              <w:top w:w="40" w:type="dxa"/>
              <w:left w:w="20" w:type="dxa"/>
              <w:bottom w:w="40" w:type="dxa"/>
              <w:right w:w="20" w:type="dxa"/>
            </w:tcMar>
            <w:vAlign w:val="center"/>
          </w:tcPr>
          <w:p w14:paraId="74DDA10D" w14:textId="77777777" w:rsidR="00584EC1" w:rsidRDefault="00871F8D">
            <w:pPr>
              <w:jc w:val="right"/>
              <w:textAlignment w:val="center"/>
            </w:pPr>
            <w:r>
              <w:rPr>
                <w:rFonts w:ascii="Arial" w:eastAsia="宋体" w:hAnsi="Arial" w:cs="Arial"/>
                <w:color w:val="000000"/>
                <w:sz w:val="12"/>
                <w:szCs w:val="12"/>
              </w:rPr>
              <w:t>1/4,000th</w:t>
            </w:r>
          </w:p>
        </w:tc>
        <w:tc>
          <w:tcPr>
            <w:tcW w:w="0" w:type="auto"/>
            <w:gridSpan w:val="3"/>
            <w:shd w:val="clear" w:color="auto" w:fill="CCEEFF"/>
            <w:tcMar>
              <w:top w:w="0" w:type="dxa"/>
              <w:left w:w="20" w:type="dxa"/>
              <w:bottom w:w="0" w:type="dxa"/>
              <w:right w:w="20" w:type="dxa"/>
            </w:tcMar>
            <w:vAlign w:val="bottom"/>
          </w:tcPr>
          <w:p w14:paraId="74DDA10E"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center"/>
          </w:tcPr>
          <w:p w14:paraId="74DDA10F" w14:textId="77777777" w:rsidR="00584EC1" w:rsidRDefault="00871F8D">
            <w:pPr>
              <w:jc w:val="right"/>
              <w:textAlignment w:val="center"/>
            </w:pPr>
            <w:r>
              <w:rPr>
                <w:rFonts w:ascii="Arial" w:eastAsia="宋体" w:hAnsi="Arial" w:cs="Arial"/>
                <w:color w:val="000000"/>
                <w:sz w:val="12"/>
                <w:szCs w:val="12"/>
              </w:rPr>
              <w:t>100,000 </w:t>
            </w:r>
          </w:p>
        </w:tc>
        <w:tc>
          <w:tcPr>
            <w:tcW w:w="0" w:type="auto"/>
            <w:shd w:val="clear" w:color="auto" w:fill="CCEEFF"/>
            <w:tcMar>
              <w:top w:w="40" w:type="dxa"/>
              <w:left w:w="0" w:type="dxa"/>
              <w:bottom w:w="40" w:type="dxa"/>
              <w:right w:w="20" w:type="dxa"/>
            </w:tcMar>
            <w:vAlign w:val="center"/>
          </w:tcPr>
          <w:p w14:paraId="74DDA11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11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center"/>
          </w:tcPr>
          <w:p w14:paraId="74DDA112" w14:textId="77777777" w:rsidR="00584EC1" w:rsidRDefault="00871F8D">
            <w:pPr>
              <w:jc w:val="right"/>
              <w:textAlignment w:val="center"/>
            </w:pPr>
            <w:r>
              <w:rPr>
                <w:rFonts w:ascii="Arial" w:eastAsia="宋体" w:hAnsi="Arial" w:cs="Arial"/>
                <w:color w:val="000000"/>
                <w:sz w:val="12"/>
                <w:szCs w:val="12"/>
              </w:rPr>
              <w:t>25 </w:t>
            </w:r>
          </w:p>
        </w:tc>
        <w:tc>
          <w:tcPr>
            <w:tcW w:w="0" w:type="auto"/>
            <w:shd w:val="clear" w:color="auto" w:fill="CCEEFF"/>
            <w:tcMar>
              <w:top w:w="40" w:type="dxa"/>
              <w:left w:w="0" w:type="dxa"/>
              <w:bottom w:w="40" w:type="dxa"/>
              <w:right w:w="20" w:type="dxa"/>
            </w:tcMar>
            <w:vAlign w:val="center"/>
          </w:tcPr>
          <w:p w14:paraId="74DDA11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114" w14:textId="77777777" w:rsidR="00584EC1" w:rsidRDefault="00584EC1">
            <w:pPr>
              <w:rPr>
                <w:rFonts w:ascii="宋体"/>
              </w:rPr>
            </w:pPr>
          </w:p>
        </w:tc>
        <w:tc>
          <w:tcPr>
            <w:tcW w:w="0" w:type="auto"/>
            <w:gridSpan w:val="3"/>
            <w:shd w:val="clear" w:color="auto" w:fill="CCEEFF"/>
            <w:tcMar>
              <w:top w:w="40" w:type="dxa"/>
              <w:left w:w="20" w:type="dxa"/>
              <w:bottom w:w="40" w:type="dxa"/>
              <w:right w:w="20" w:type="dxa"/>
            </w:tcMar>
            <w:vAlign w:val="center"/>
          </w:tcPr>
          <w:p w14:paraId="74DDA115" w14:textId="77777777" w:rsidR="00584EC1" w:rsidRDefault="00871F8D">
            <w:pPr>
              <w:textAlignment w:val="center"/>
            </w:pPr>
            <w:r>
              <w:rPr>
                <w:rFonts w:ascii="Arial" w:eastAsia="宋体" w:hAnsi="Arial" w:cs="Arial"/>
                <w:color w:val="000000"/>
                <w:sz w:val="12"/>
                <w:szCs w:val="12"/>
              </w:rPr>
              <w:t>5.35% to but excluding March 15, 2026, then a floating rate equal to the three-month LIBOR plus 3.709%</w:t>
            </w:r>
          </w:p>
        </w:tc>
        <w:tc>
          <w:tcPr>
            <w:tcW w:w="0" w:type="auto"/>
            <w:gridSpan w:val="3"/>
            <w:shd w:val="clear" w:color="auto" w:fill="CCEEFF"/>
            <w:tcMar>
              <w:top w:w="0" w:type="dxa"/>
              <w:left w:w="20" w:type="dxa"/>
              <w:bottom w:w="0" w:type="dxa"/>
              <w:right w:w="20" w:type="dxa"/>
            </w:tcMar>
            <w:vAlign w:val="bottom"/>
          </w:tcPr>
          <w:p w14:paraId="74DDA116" w14:textId="77777777" w:rsidR="00584EC1" w:rsidRDefault="00584EC1">
            <w:pPr>
              <w:rPr>
                <w:rFonts w:ascii="宋体"/>
              </w:rPr>
            </w:pPr>
          </w:p>
        </w:tc>
        <w:tc>
          <w:tcPr>
            <w:tcW w:w="0" w:type="auto"/>
            <w:gridSpan w:val="3"/>
            <w:shd w:val="clear" w:color="auto" w:fill="CCEEFF"/>
            <w:tcMar>
              <w:top w:w="40" w:type="dxa"/>
              <w:left w:w="20" w:type="dxa"/>
              <w:bottom w:w="40" w:type="dxa"/>
              <w:right w:w="20" w:type="dxa"/>
            </w:tcMar>
            <w:vAlign w:val="center"/>
          </w:tcPr>
          <w:p w14:paraId="74DDA117" w14:textId="77777777" w:rsidR="00584EC1" w:rsidRDefault="00871F8D">
            <w:pPr>
              <w:textAlignment w:val="center"/>
            </w:pPr>
            <w:r>
              <w:rPr>
                <w:rFonts w:ascii="Arial" w:eastAsia="宋体" w:hAnsi="Arial" w:cs="Arial"/>
                <w:color w:val="000000"/>
                <w:sz w:val="12"/>
                <w:szCs w:val="12"/>
              </w:rPr>
              <w:t>Quarterly: March, June, September and December</w:t>
            </w:r>
          </w:p>
        </w:tc>
        <w:tc>
          <w:tcPr>
            <w:tcW w:w="0" w:type="auto"/>
            <w:gridSpan w:val="3"/>
            <w:shd w:val="clear" w:color="auto" w:fill="CCEEFF"/>
            <w:tcMar>
              <w:top w:w="0" w:type="dxa"/>
              <w:left w:w="20" w:type="dxa"/>
              <w:bottom w:w="0" w:type="dxa"/>
              <w:right w:w="20" w:type="dxa"/>
            </w:tcMar>
            <w:vAlign w:val="bottom"/>
          </w:tcPr>
          <w:p w14:paraId="74DDA118"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center"/>
          </w:tcPr>
          <w:p w14:paraId="74DDA119" w14:textId="77777777" w:rsidR="00584EC1" w:rsidRDefault="00871F8D">
            <w:pPr>
              <w:jc w:val="right"/>
              <w:textAlignment w:val="center"/>
            </w:pPr>
            <w:r>
              <w:rPr>
                <w:rFonts w:ascii="Arial" w:eastAsia="宋体" w:hAnsi="Arial" w:cs="Arial"/>
                <w:color w:val="000000"/>
                <w:sz w:val="12"/>
                <w:szCs w:val="12"/>
              </w:rPr>
              <w:t>493 </w:t>
            </w:r>
          </w:p>
        </w:tc>
        <w:tc>
          <w:tcPr>
            <w:tcW w:w="0" w:type="auto"/>
            <w:shd w:val="clear" w:color="auto" w:fill="CCEEFF"/>
            <w:tcMar>
              <w:top w:w="40" w:type="dxa"/>
              <w:left w:w="0" w:type="dxa"/>
              <w:bottom w:w="40" w:type="dxa"/>
              <w:right w:w="20" w:type="dxa"/>
            </w:tcMar>
            <w:vAlign w:val="center"/>
          </w:tcPr>
          <w:p w14:paraId="74DDA11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11B" w14:textId="77777777" w:rsidR="00584EC1" w:rsidRDefault="00584EC1">
            <w:pPr>
              <w:rPr>
                <w:rFonts w:ascii="宋体"/>
              </w:rPr>
            </w:pPr>
          </w:p>
        </w:tc>
        <w:tc>
          <w:tcPr>
            <w:tcW w:w="0" w:type="auto"/>
            <w:gridSpan w:val="3"/>
            <w:shd w:val="clear" w:color="auto" w:fill="CCEEFF"/>
            <w:tcMar>
              <w:top w:w="40" w:type="dxa"/>
              <w:left w:w="20" w:type="dxa"/>
              <w:bottom w:w="40" w:type="dxa"/>
              <w:right w:w="20" w:type="dxa"/>
            </w:tcMar>
            <w:vAlign w:val="center"/>
          </w:tcPr>
          <w:p w14:paraId="74DDA11C" w14:textId="77777777" w:rsidR="00584EC1" w:rsidRDefault="00871F8D">
            <w:pPr>
              <w:textAlignment w:val="center"/>
            </w:pPr>
            <w:r>
              <w:rPr>
                <w:rFonts w:ascii="Arial" w:eastAsia="宋体" w:hAnsi="Arial" w:cs="Arial"/>
                <w:color w:val="000000"/>
                <w:sz w:val="12"/>
                <w:szCs w:val="12"/>
              </w:rPr>
              <w:t>March 15, 2026</w:t>
            </w:r>
          </w:p>
        </w:tc>
      </w:tr>
      <w:tr w:rsidR="00584EC1" w14:paraId="74DDA137" w14:textId="77777777">
        <w:tc>
          <w:tcPr>
            <w:tcW w:w="0" w:type="auto"/>
            <w:gridSpan w:val="3"/>
            <w:shd w:val="clear" w:color="auto" w:fill="FFFFFF"/>
            <w:tcMar>
              <w:top w:w="40" w:type="dxa"/>
              <w:left w:w="20" w:type="dxa"/>
              <w:bottom w:w="40" w:type="dxa"/>
              <w:right w:w="20" w:type="dxa"/>
            </w:tcMar>
            <w:vAlign w:val="center"/>
          </w:tcPr>
          <w:p w14:paraId="74DDA11E" w14:textId="77777777" w:rsidR="00584EC1" w:rsidRDefault="00871F8D">
            <w:pPr>
              <w:textAlignment w:val="center"/>
            </w:pPr>
            <w:r>
              <w:rPr>
                <w:rFonts w:ascii="Arial" w:eastAsia="宋体" w:hAnsi="Arial" w:cs="Arial"/>
                <w:color w:val="000000"/>
                <w:sz w:val="12"/>
                <w:szCs w:val="12"/>
              </w:rPr>
              <w:t>Series H</w:t>
            </w:r>
          </w:p>
        </w:tc>
        <w:tc>
          <w:tcPr>
            <w:tcW w:w="0" w:type="auto"/>
            <w:gridSpan w:val="3"/>
            <w:shd w:val="clear" w:color="auto" w:fill="FFFFFF"/>
            <w:tcMar>
              <w:top w:w="0" w:type="dxa"/>
              <w:left w:w="20" w:type="dxa"/>
              <w:bottom w:w="0" w:type="dxa"/>
              <w:right w:w="20" w:type="dxa"/>
            </w:tcMar>
            <w:vAlign w:val="bottom"/>
          </w:tcPr>
          <w:p w14:paraId="74DDA11F" w14:textId="77777777" w:rsidR="00584EC1" w:rsidRDefault="00584EC1">
            <w:pPr>
              <w:rPr>
                <w:rFonts w:ascii="宋体"/>
              </w:rPr>
            </w:pPr>
          </w:p>
        </w:tc>
        <w:tc>
          <w:tcPr>
            <w:tcW w:w="0" w:type="auto"/>
            <w:gridSpan w:val="3"/>
            <w:shd w:val="clear" w:color="auto" w:fill="FFFFFF"/>
            <w:tcMar>
              <w:top w:w="40" w:type="dxa"/>
              <w:left w:w="20" w:type="dxa"/>
              <w:bottom w:w="40" w:type="dxa"/>
              <w:right w:w="20" w:type="dxa"/>
            </w:tcMar>
            <w:vAlign w:val="center"/>
          </w:tcPr>
          <w:p w14:paraId="74DDA120" w14:textId="77777777" w:rsidR="00584EC1" w:rsidRDefault="00871F8D">
            <w:pPr>
              <w:textAlignment w:val="center"/>
            </w:pPr>
            <w:r>
              <w:rPr>
                <w:rFonts w:ascii="Arial" w:eastAsia="宋体" w:hAnsi="Arial" w:cs="Arial"/>
                <w:color w:val="000000"/>
                <w:sz w:val="12"/>
                <w:szCs w:val="12"/>
              </w:rPr>
              <w:t>September 2018</w:t>
            </w:r>
          </w:p>
        </w:tc>
        <w:tc>
          <w:tcPr>
            <w:tcW w:w="0" w:type="auto"/>
            <w:gridSpan w:val="3"/>
            <w:shd w:val="clear" w:color="auto" w:fill="FFFFFF"/>
            <w:tcMar>
              <w:top w:w="0" w:type="dxa"/>
              <w:left w:w="20" w:type="dxa"/>
              <w:bottom w:w="0" w:type="dxa"/>
              <w:right w:w="20" w:type="dxa"/>
            </w:tcMar>
            <w:vAlign w:val="bottom"/>
          </w:tcPr>
          <w:p w14:paraId="74DDA12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center"/>
          </w:tcPr>
          <w:p w14:paraId="74DDA122" w14:textId="77777777" w:rsidR="00584EC1" w:rsidRDefault="00871F8D">
            <w:pPr>
              <w:jc w:val="right"/>
              <w:textAlignment w:val="center"/>
            </w:pPr>
            <w:r>
              <w:rPr>
                <w:rFonts w:ascii="Arial" w:eastAsia="宋体" w:hAnsi="Arial" w:cs="Arial"/>
                <w:color w:val="000000"/>
                <w:sz w:val="12"/>
                <w:szCs w:val="12"/>
              </w:rPr>
              <w:t>500,000 </w:t>
            </w:r>
          </w:p>
        </w:tc>
        <w:tc>
          <w:tcPr>
            <w:tcW w:w="0" w:type="auto"/>
            <w:shd w:val="clear" w:color="auto" w:fill="FFFFFF"/>
            <w:tcMar>
              <w:top w:w="40" w:type="dxa"/>
              <w:left w:w="0" w:type="dxa"/>
              <w:bottom w:w="40" w:type="dxa"/>
              <w:right w:w="20" w:type="dxa"/>
            </w:tcMar>
            <w:vAlign w:val="center"/>
          </w:tcPr>
          <w:p w14:paraId="74DDA12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124" w14:textId="77777777" w:rsidR="00584EC1" w:rsidRDefault="00584EC1">
            <w:pPr>
              <w:rPr>
                <w:rFonts w:ascii="宋体"/>
              </w:rPr>
            </w:pPr>
          </w:p>
        </w:tc>
        <w:tc>
          <w:tcPr>
            <w:tcW w:w="0" w:type="auto"/>
            <w:gridSpan w:val="3"/>
            <w:shd w:val="clear" w:color="auto" w:fill="FFFFFF"/>
            <w:tcMar>
              <w:top w:w="40" w:type="dxa"/>
              <w:left w:w="20" w:type="dxa"/>
              <w:bottom w:w="40" w:type="dxa"/>
              <w:right w:w="20" w:type="dxa"/>
            </w:tcMar>
            <w:vAlign w:val="center"/>
          </w:tcPr>
          <w:p w14:paraId="74DDA125" w14:textId="77777777" w:rsidR="00584EC1" w:rsidRDefault="00871F8D">
            <w:pPr>
              <w:jc w:val="right"/>
              <w:textAlignment w:val="center"/>
            </w:pPr>
            <w:r>
              <w:rPr>
                <w:rFonts w:ascii="Arial" w:eastAsia="宋体" w:hAnsi="Arial" w:cs="Arial"/>
                <w:color w:val="000000"/>
                <w:sz w:val="12"/>
                <w:szCs w:val="12"/>
              </w:rPr>
              <w:t>500</w:t>
            </w:r>
          </w:p>
        </w:tc>
        <w:tc>
          <w:tcPr>
            <w:tcW w:w="0" w:type="auto"/>
            <w:gridSpan w:val="3"/>
            <w:shd w:val="clear" w:color="auto" w:fill="FFFFFF"/>
            <w:tcMar>
              <w:top w:w="0" w:type="dxa"/>
              <w:left w:w="20" w:type="dxa"/>
              <w:bottom w:w="0" w:type="dxa"/>
              <w:right w:w="20" w:type="dxa"/>
            </w:tcMar>
            <w:vAlign w:val="bottom"/>
          </w:tcPr>
          <w:p w14:paraId="74DDA126" w14:textId="77777777" w:rsidR="00584EC1" w:rsidRDefault="00584EC1">
            <w:pPr>
              <w:rPr>
                <w:rFonts w:ascii="宋体"/>
              </w:rPr>
            </w:pPr>
          </w:p>
        </w:tc>
        <w:tc>
          <w:tcPr>
            <w:tcW w:w="0" w:type="auto"/>
            <w:gridSpan w:val="3"/>
            <w:shd w:val="clear" w:color="auto" w:fill="FFFFFF"/>
            <w:tcMar>
              <w:top w:w="40" w:type="dxa"/>
              <w:left w:w="20" w:type="dxa"/>
              <w:bottom w:w="40" w:type="dxa"/>
              <w:right w:w="20" w:type="dxa"/>
            </w:tcMar>
            <w:vAlign w:val="center"/>
          </w:tcPr>
          <w:p w14:paraId="74DDA127" w14:textId="77777777" w:rsidR="00584EC1" w:rsidRDefault="00871F8D">
            <w:pPr>
              <w:jc w:val="right"/>
              <w:textAlignment w:val="center"/>
            </w:pPr>
            <w:r>
              <w:rPr>
                <w:rFonts w:ascii="Arial" w:eastAsia="宋体" w:hAnsi="Arial" w:cs="Arial"/>
                <w:color w:val="000000"/>
                <w:sz w:val="12"/>
                <w:szCs w:val="12"/>
              </w:rPr>
              <w:t>1/100th</w:t>
            </w:r>
          </w:p>
        </w:tc>
        <w:tc>
          <w:tcPr>
            <w:tcW w:w="0" w:type="auto"/>
            <w:gridSpan w:val="3"/>
            <w:shd w:val="clear" w:color="auto" w:fill="FFFFFF"/>
            <w:tcMar>
              <w:top w:w="0" w:type="dxa"/>
              <w:left w:w="20" w:type="dxa"/>
              <w:bottom w:w="0" w:type="dxa"/>
              <w:right w:w="20" w:type="dxa"/>
            </w:tcMar>
            <w:vAlign w:val="bottom"/>
          </w:tcPr>
          <w:p w14:paraId="74DDA128"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center"/>
          </w:tcPr>
          <w:p w14:paraId="74DDA129" w14:textId="77777777" w:rsidR="00584EC1" w:rsidRDefault="00871F8D">
            <w:pPr>
              <w:jc w:val="right"/>
              <w:textAlignment w:val="center"/>
            </w:pPr>
            <w:r>
              <w:rPr>
                <w:rFonts w:ascii="Arial" w:eastAsia="宋体" w:hAnsi="Arial" w:cs="Arial"/>
                <w:color w:val="000000"/>
                <w:sz w:val="12"/>
                <w:szCs w:val="12"/>
              </w:rPr>
              <w:t>100,000 </w:t>
            </w:r>
          </w:p>
        </w:tc>
        <w:tc>
          <w:tcPr>
            <w:tcW w:w="0" w:type="auto"/>
            <w:shd w:val="clear" w:color="auto" w:fill="FFFFFF"/>
            <w:tcMar>
              <w:top w:w="40" w:type="dxa"/>
              <w:left w:w="0" w:type="dxa"/>
              <w:bottom w:w="40" w:type="dxa"/>
              <w:right w:w="20" w:type="dxa"/>
            </w:tcMar>
            <w:vAlign w:val="center"/>
          </w:tcPr>
          <w:p w14:paraId="74DDA12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12B"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center"/>
          </w:tcPr>
          <w:p w14:paraId="74DDA12C" w14:textId="77777777" w:rsidR="00584EC1" w:rsidRDefault="00871F8D">
            <w:pPr>
              <w:jc w:val="right"/>
              <w:textAlignment w:val="center"/>
            </w:pPr>
            <w:r>
              <w:rPr>
                <w:rFonts w:ascii="Arial" w:eastAsia="宋体" w:hAnsi="Arial" w:cs="Arial"/>
                <w:color w:val="000000"/>
                <w:sz w:val="12"/>
                <w:szCs w:val="12"/>
              </w:rPr>
              <w:t>1,000 </w:t>
            </w:r>
          </w:p>
        </w:tc>
        <w:tc>
          <w:tcPr>
            <w:tcW w:w="0" w:type="auto"/>
            <w:shd w:val="clear" w:color="auto" w:fill="FFFFFF"/>
            <w:tcMar>
              <w:top w:w="40" w:type="dxa"/>
              <w:left w:w="0" w:type="dxa"/>
              <w:bottom w:w="40" w:type="dxa"/>
              <w:right w:w="20" w:type="dxa"/>
            </w:tcMar>
            <w:vAlign w:val="center"/>
          </w:tcPr>
          <w:p w14:paraId="74DDA12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12E" w14:textId="77777777" w:rsidR="00584EC1" w:rsidRDefault="00584EC1">
            <w:pPr>
              <w:rPr>
                <w:rFonts w:ascii="宋体"/>
              </w:rPr>
            </w:pPr>
          </w:p>
        </w:tc>
        <w:tc>
          <w:tcPr>
            <w:tcW w:w="0" w:type="auto"/>
            <w:gridSpan w:val="3"/>
            <w:shd w:val="clear" w:color="auto" w:fill="FFFFFF"/>
            <w:tcMar>
              <w:top w:w="40" w:type="dxa"/>
              <w:left w:w="20" w:type="dxa"/>
              <w:bottom w:w="40" w:type="dxa"/>
              <w:right w:w="20" w:type="dxa"/>
            </w:tcMar>
            <w:vAlign w:val="center"/>
          </w:tcPr>
          <w:p w14:paraId="74DDA12F" w14:textId="77777777" w:rsidR="00584EC1" w:rsidRDefault="00871F8D">
            <w:pPr>
              <w:textAlignment w:val="center"/>
            </w:pPr>
            <w:r>
              <w:rPr>
                <w:rFonts w:ascii="Arial" w:eastAsia="宋体" w:hAnsi="Arial" w:cs="Arial"/>
                <w:color w:val="000000"/>
                <w:sz w:val="12"/>
                <w:szCs w:val="12"/>
              </w:rPr>
              <w:t xml:space="preserve">5.625% to but excluding December 15, 2023, then a floating rate </w:t>
            </w:r>
            <w:r>
              <w:rPr>
                <w:rFonts w:ascii="Arial" w:eastAsia="宋体" w:hAnsi="Arial" w:cs="Arial"/>
                <w:color w:val="000000"/>
                <w:sz w:val="12"/>
                <w:szCs w:val="12"/>
              </w:rPr>
              <w:t>equal to the three-month LIBOR plus 2.539%</w:t>
            </w:r>
          </w:p>
        </w:tc>
        <w:tc>
          <w:tcPr>
            <w:tcW w:w="0" w:type="auto"/>
            <w:gridSpan w:val="3"/>
            <w:shd w:val="clear" w:color="auto" w:fill="FFFFFF"/>
            <w:tcMar>
              <w:top w:w="0" w:type="dxa"/>
              <w:left w:w="20" w:type="dxa"/>
              <w:bottom w:w="0" w:type="dxa"/>
              <w:right w:w="20" w:type="dxa"/>
            </w:tcMar>
            <w:vAlign w:val="bottom"/>
          </w:tcPr>
          <w:p w14:paraId="74DDA130" w14:textId="77777777" w:rsidR="00584EC1" w:rsidRDefault="00584EC1">
            <w:pPr>
              <w:rPr>
                <w:rFonts w:ascii="宋体"/>
              </w:rPr>
            </w:pPr>
          </w:p>
        </w:tc>
        <w:tc>
          <w:tcPr>
            <w:tcW w:w="0" w:type="auto"/>
            <w:gridSpan w:val="3"/>
            <w:shd w:val="clear" w:color="auto" w:fill="FFFFFF"/>
            <w:tcMar>
              <w:top w:w="40" w:type="dxa"/>
              <w:left w:w="20" w:type="dxa"/>
              <w:bottom w:w="40" w:type="dxa"/>
              <w:right w:w="20" w:type="dxa"/>
            </w:tcMar>
            <w:vAlign w:val="center"/>
          </w:tcPr>
          <w:p w14:paraId="74DDA131" w14:textId="77777777" w:rsidR="00584EC1" w:rsidRDefault="00871F8D">
            <w:pPr>
              <w:textAlignment w:val="center"/>
            </w:pPr>
            <w:r>
              <w:rPr>
                <w:rFonts w:ascii="Arial" w:eastAsia="宋体" w:hAnsi="Arial" w:cs="Arial"/>
                <w:color w:val="000000"/>
                <w:sz w:val="12"/>
                <w:szCs w:val="12"/>
              </w:rPr>
              <w:t>Semi-annually: June and December</w:t>
            </w:r>
          </w:p>
        </w:tc>
        <w:tc>
          <w:tcPr>
            <w:tcW w:w="0" w:type="auto"/>
            <w:gridSpan w:val="3"/>
            <w:shd w:val="clear" w:color="auto" w:fill="FFFFFF"/>
            <w:tcMar>
              <w:top w:w="0" w:type="dxa"/>
              <w:left w:w="20" w:type="dxa"/>
              <w:bottom w:w="0" w:type="dxa"/>
              <w:right w:w="20" w:type="dxa"/>
            </w:tcMar>
            <w:vAlign w:val="bottom"/>
          </w:tcPr>
          <w:p w14:paraId="74DDA13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center"/>
          </w:tcPr>
          <w:p w14:paraId="74DDA133" w14:textId="77777777" w:rsidR="00584EC1" w:rsidRDefault="00871F8D">
            <w:pPr>
              <w:jc w:val="right"/>
              <w:textAlignment w:val="center"/>
            </w:pPr>
            <w:r>
              <w:rPr>
                <w:rFonts w:ascii="Arial" w:eastAsia="宋体" w:hAnsi="Arial" w:cs="Arial"/>
                <w:color w:val="000000"/>
                <w:sz w:val="12"/>
                <w:szCs w:val="12"/>
              </w:rPr>
              <w:t>494 </w:t>
            </w:r>
          </w:p>
        </w:tc>
        <w:tc>
          <w:tcPr>
            <w:tcW w:w="0" w:type="auto"/>
            <w:shd w:val="clear" w:color="auto" w:fill="FFFFFF"/>
            <w:tcMar>
              <w:top w:w="40" w:type="dxa"/>
              <w:left w:w="0" w:type="dxa"/>
              <w:bottom w:w="40" w:type="dxa"/>
              <w:right w:w="20" w:type="dxa"/>
            </w:tcMar>
            <w:vAlign w:val="center"/>
          </w:tcPr>
          <w:p w14:paraId="74DDA13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135" w14:textId="77777777" w:rsidR="00584EC1" w:rsidRDefault="00584EC1">
            <w:pPr>
              <w:rPr>
                <w:rFonts w:ascii="宋体"/>
              </w:rPr>
            </w:pPr>
          </w:p>
        </w:tc>
        <w:tc>
          <w:tcPr>
            <w:tcW w:w="0" w:type="auto"/>
            <w:gridSpan w:val="3"/>
            <w:shd w:val="clear" w:color="auto" w:fill="FFFFFF"/>
            <w:tcMar>
              <w:top w:w="40" w:type="dxa"/>
              <w:left w:w="20" w:type="dxa"/>
              <w:bottom w:w="40" w:type="dxa"/>
              <w:right w:w="20" w:type="dxa"/>
            </w:tcMar>
            <w:vAlign w:val="center"/>
          </w:tcPr>
          <w:p w14:paraId="74DDA136" w14:textId="77777777" w:rsidR="00584EC1" w:rsidRDefault="00871F8D">
            <w:pPr>
              <w:textAlignment w:val="center"/>
            </w:pPr>
            <w:r>
              <w:rPr>
                <w:rFonts w:ascii="Arial" w:eastAsia="宋体" w:hAnsi="Arial" w:cs="Arial"/>
                <w:color w:val="000000"/>
                <w:sz w:val="12"/>
                <w:szCs w:val="12"/>
              </w:rPr>
              <w:t>December 15, 2023</w:t>
            </w:r>
          </w:p>
        </w:tc>
      </w:tr>
    </w:tbl>
    <w:p w14:paraId="74DDA138" w14:textId="77777777" w:rsidR="00584EC1" w:rsidRDefault="00584E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23"/>
        <w:gridCol w:w="36"/>
        <w:gridCol w:w="69"/>
        <w:gridCol w:w="1501"/>
        <w:gridCol w:w="36"/>
        <w:gridCol w:w="69"/>
        <w:gridCol w:w="1553"/>
        <w:gridCol w:w="36"/>
        <w:gridCol w:w="70"/>
        <w:gridCol w:w="2638"/>
        <w:gridCol w:w="36"/>
      </w:tblGrid>
      <w:tr w:rsidR="00584EC1" w14:paraId="74DDA145" w14:textId="77777777">
        <w:tc>
          <w:tcPr>
            <w:tcW w:w="50" w:type="pct"/>
            <w:shd w:val="clear" w:color="auto" w:fill="auto"/>
            <w:vAlign w:val="bottom"/>
          </w:tcPr>
          <w:p w14:paraId="74DDA139" w14:textId="77777777" w:rsidR="00584EC1" w:rsidRDefault="00584EC1">
            <w:pPr>
              <w:rPr>
                <w:rFonts w:ascii="宋体"/>
              </w:rPr>
            </w:pPr>
          </w:p>
        </w:tc>
        <w:tc>
          <w:tcPr>
            <w:tcW w:w="1341" w:type="pct"/>
            <w:shd w:val="clear" w:color="auto" w:fill="auto"/>
            <w:vAlign w:val="bottom"/>
          </w:tcPr>
          <w:p w14:paraId="74DDA13A" w14:textId="77777777" w:rsidR="00584EC1" w:rsidRDefault="00584EC1">
            <w:pPr>
              <w:rPr>
                <w:rFonts w:ascii="宋体"/>
              </w:rPr>
            </w:pPr>
          </w:p>
        </w:tc>
        <w:tc>
          <w:tcPr>
            <w:tcW w:w="5" w:type="pct"/>
            <w:shd w:val="clear" w:color="auto" w:fill="auto"/>
            <w:vAlign w:val="bottom"/>
          </w:tcPr>
          <w:p w14:paraId="74DDA13B" w14:textId="77777777" w:rsidR="00584EC1" w:rsidRDefault="00584EC1">
            <w:pPr>
              <w:rPr>
                <w:rFonts w:ascii="宋体"/>
              </w:rPr>
            </w:pPr>
          </w:p>
        </w:tc>
        <w:tc>
          <w:tcPr>
            <w:tcW w:w="50" w:type="pct"/>
            <w:shd w:val="clear" w:color="auto" w:fill="auto"/>
            <w:vAlign w:val="bottom"/>
          </w:tcPr>
          <w:p w14:paraId="74DDA13C" w14:textId="77777777" w:rsidR="00584EC1" w:rsidRDefault="00584EC1">
            <w:pPr>
              <w:rPr>
                <w:rFonts w:ascii="宋体"/>
              </w:rPr>
            </w:pPr>
          </w:p>
        </w:tc>
        <w:tc>
          <w:tcPr>
            <w:tcW w:w="909" w:type="pct"/>
            <w:shd w:val="clear" w:color="auto" w:fill="auto"/>
            <w:vAlign w:val="bottom"/>
          </w:tcPr>
          <w:p w14:paraId="74DDA13D" w14:textId="77777777" w:rsidR="00584EC1" w:rsidRDefault="00584EC1">
            <w:pPr>
              <w:rPr>
                <w:rFonts w:ascii="宋体"/>
              </w:rPr>
            </w:pPr>
          </w:p>
        </w:tc>
        <w:tc>
          <w:tcPr>
            <w:tcW w:w="5" w:type="pct"/>
            <w:shd w:val="clear" w:color="auto" w:fill="auto"/>
            <w:vAlign w:val="bottom"/>
          </w:tcPr>
          <w:p w14:paraId="74DDA13E" w14:textId="77777777" w:rsidR="00584EC1" w:rsidRDefault="00584EC1">
            <w:pPr>
              <w:rPr>
                <w:rFonts w:ascii="宋体"/>
              </w:rPr>
            </w:pPr>
          </w:p>
        </w:tc>
        <w:tc>
          <w:tcPr>
            <w:tcW w:w="50" w:type="pct"/>
            <w:shd w:val="clear" w:color="auto" w:fill="auto"/>
            <w:vAlign w:val="bottom"/>
          </w:tcPr>
          <w:p w14:paraId="74DDA13F" w14:textId="77777777" w:rsidR="00584EC1" w:rsidRDefault="00584EC1">
            <w:pPr>
              <w:rPr>
                <w:rFonts w:ascii="宋体"/>
              </w:rPr>
            </w:pPr>
          </w:p>
        </w:tc>
        <w:tc>
          <w:tcPr>
            <w:tcW w:w="939" w:type="pct"/>
            <w:shd w:val="clear" w:color="auto" w:fill="auto"/>
            <w:vAlign w:val="bottom"/>
          </w:tcPr>
          <w:p w14:paraId="74DDA140" w14:textId="77777777" w:rsidR="00584EC1" w:rsidRDefault="00584EC1">
            <w:pPr>
              <w:rPr>
                <w:rFonts w:ascii="宋体"/>
              </w:rPr>
            </w:pPr>
          </w:p>
        </w:tc>
        <w:tc>
          <w:tcPr>
            <w:tcW w:w="5" w:type="pct"/>
            <w:shd w:val="clear" w:color="auto" w:fill="auto"/>
            <w:vAlign w:val="bottom"/>
          </w:tcPr>
          <w:p w14:paraId="74DDA141" w14:textId="77777777" w:rsidR="00584EC1" w:rsidRDefault="00584EC1">
            <w:pPr>
              <w:rPr>
                <w:rFonts w:ascii="宋体"/>
              </w:rPr>
            </w:pPr>
          </w:p>
        </w:tc>
        <w:tc>
          <w:tcPr>
            <w:tcW w:w="50" w:type="pct"/>
            <w:shd w:val="clear" w:color="auto" w:fill="auto"/>
            <w:vAlign w:val="bottom"/>
          </w:tcPr>
          <w:p w14:paraId="74DDA142" w14:textId="77777777" w:rsidR="00584EC1" w:rsidRDefault="00584EC1">
            <w:pPr>
              <w:rPr>
                <w:rFonts w:ascii="宋体"/>
              </w:rPr>
            </w:pPr>
          </w:p>
        </w:tc>
        <w:tc>
          <w:tcPr>
            <w:tcW w:w="1589" w:type="pct"/>
            <w:shd w:val="clear" w:color="auto" w:fill="auto"/>
            <w:vAlign w:val="bottom"/>
          </w:tcPr>
          <w:p w14:paraId="74DDA143" w14:textId="77777777" w:rsidR="00584EC1" w:rsidRDefault="00584EC1">
            <w:pPr>
              <w:rPr>
                <w:rFonts w:ascii="宋体"/>
              </w:rPr>
            </w:pPr>
          </w:p>
        </w:tc>
        <w:tc>
          <w:tcPr>
            <w:tcW w:w="5" w:type="pct"/>
            <w:shd w:val="clear" w:color="auto" w:fill="auto"/>
            <w:vAlign w:val="bottom"/>
          </w:tcPr>
          <w:p w14:paraId="74DDA144" w14:textId="77777777" w:rsidR="00584EC1" w:rsidRDefault="00584EC1">
            <w:pPr>
              <w:rPr>
                <w:rFonts w:ascii="宋体"/>
              </w:rPr>
            </w:pPr>
          </w:p>
        </w:tc>
      </w:tr>
      <w:tr w:rsidR="00584EC1" w14:paraId="74DDA14A"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4DDA146"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A147"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A148"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A149" w14:textId="77777777" w:rsidR="00584EC1" w:rsidRDefault="00584EC1">
            <w:pPr>
              <w:rPr>
                <w:rFonts w:ascii="宋体"/>
              </w:rPr>
            </w:pPr>
          </w:p>
        </w:tc>
      </w:tr>
    </w:tbl>
    <w:p w14:paraId="74DDA14B" w14:textId="77777777" w:rsidR="00584EC1" w:rsidRDefault="00871F8D">
      <w:pPr>
        <w:spacing w:before="60"/>
        <w:jc w:val="both"/>
      </w:pPr>
      <w:r>
        <w:rPr>
          <w:rFonts w:ascii="Arial" w:eastAsia="宋体" w:hAnsi="Arial" w:cs="Arial"/>
          <w:color w:val="000000"/>
          <w:sz w:val="7"/>
          <w:szCs w:val="7"/>
        </w:rPr>
        <w:t xml:space="preserve">(1) </w:t>
      </w:r>
      <w:r>
        <w:rPr>
          <w:rFonts w:ascii="Arial" w:eastAsia="宋体" w:hAnsi="Arial" w:cs="Arial"/>
          <w:color w:val="000000"/>
          <w:sz w:val="12"/>
          <w:szCs w:val="12"/>
        </w:rPr>
        <w:t xml:space="preserve">The preferred stock and corresponding depositary shares may be redeemed at our </w:t>
      </w:r>
      <w:r>
        <w:rPr>
          <w:rFonts w:ascii="Arial" w:eastAsia="宋体" w:hAnsi="Arial" w:cs="Arial"/>
          <w:color w:val="000000"/>
          <w:sz w:val="12"/>
          <w:szCs w:val="12"/>
        </w:rPr>
        <w:t>option in whole, but not in part, prior to the redemption date upon the occurrence of a regulatory capital treatment event, as defined in the certificate of designation, at a redemption price equal to the liquidation price per share and liquidation price p</w:t>
      </w:r>
      <w:r>
        <w:rPr>
          <w:rFonts w:ascii="Arial" w:eastAsia="宋体" w:hAnsi="Arial" w:cs="Arial"/>
          <w:color w:val="000000"/>
          <w:sz w:val="12"/>
          <w:szCs w:val="12"/>
        </w:rPr>
        <w:t>er depositary share plus any declared and unpaid dividends, without accumulation of any undeclared dividends.</w:t>
      </w:r>
    </w:p>
    <w:p w14:paraId="74DDA14C" w14:textId="77777777" w:rsidR="00584EC1" w:rsidRDefault="00871F8D">
      <w:pPr>
        <w:spacing w:before="60"/>
        <w:jc w:val="both"/>
      </w:pPr>
      <w:r>
        <w:rPr>
          <w:rFonts w:ascii="Arial" w:eastAsia="宋体" w:hAnsi="Arial" w:cs="Arial"/>
          <w:color w:val="000000"/>
          <w:sz w:val="7"/>
          <w:szCs w:val="7"/>
        </w:rPr>
        <w:t xml:space="preserve">(2) </w:t>
      </w:r>
      <w:r>
        <w:rPr>
          <w:rFonts w:ascii="Arial" w:eastAsia="宋体" w:hAnsi="Arial" w:cs="Arial"/>
          <w:color w:val="000000"/>
          <w:sz w:val="12"/>
          <w:szCs w:val="12"/>
        </w:rPr>
        <w:t>On the redemption date, or any dividend payment date thereafter, the preferred stock and corresponding depositary shares may be redeemed by us</w:t>
      </w:r>
      <w:r>
        <w:rPr>
          <w:rFonts w:ascii="Arial" w:eastAsia="宋体" w:hAnsi="Arial" w:cs="Arial"/>
          <w:color w:val="000000"/>
          <w:sz w:val="12"/>
          <w:szCs w:val="12"/>
        </w:rPr>
        <w:t>, in whole or in part, at the liquidation price per share and liquidation price per depositary share plus any declared and unpaid dividends, without accumulation of any undeclared dividends.</w:t>
      </w:r>
    </w:p>
    <w:p w14:paraId="74DDA14D" w14:textId="77777777" w:rsidR="00584EC1" w:rsidRDefault="00871F8D">
      <w:pPr>
        <w:spacing w:before="60"/>
        <w:jc w:val="both"/>
      </w:pPr>
      <w:r>
        <w:rPr>
          <w:rFonts w:ascii="Arial" w:eastAsia="宋体" w:hAnsi="Arial" w:cs="Arial"/>
          <w:color w:val="000000"/>
          <w:sz w:val="7"/>
          <w:szCs w:val="7"/>
        </w:rPr>
        <w:t>(3)</w:t>
      </w:r>
      <w:r>
        <w:rPr>
          <w:rFonts w:ascii="Arial" w:eastAsia="宋体" w:hAnsi="Arial" w:cs="Arial"/>
          <w:color w:val="000000"/>
          <w:sz w:val="12"/>
          <w:szCs w:val="12"/>
        </w:rPr>
        <w:t xml:space="preserve"> Series F preferred stock is redeemable on September 15, 2020 </w:t>
      </w:r>
      <w:r>
        <w:rPr>
          <w:rFonts w:ascii="Arial" w:eastAsia="宋体" w:hAnsi="Arial" w:cs="Arial"/>
          <w:color w:val="000000"/>
          <w:sz w:val="12"/>
          <w:szCs w:val="12"/>
        </w:rPr>
        <w:t>and on each succeeding dividend payment date. We did not elect redemption on September 15, 2020, December 15, 2020, June 15, 2021 or September 15, 2021.</w:t>
      </w:r>
      <w:r>
        <w:rPr>
          <w:rFonts w:ascii="Arial" w:eastAsia="宋体" w:hAnsi="Arial" w:cs="Arial"/>
          <w:color w:val="000000"/>
          <w:sz w:val="20"/>
          <w:szCs w:val="20"/>
        </w:rPr>
        <w:t xml:space="preserve"> </w:t>
      </w:r>
    </w:p>
    <w:p w14:paraId="74DDA14E" w14:textId="77777777" w:rsidR="00584EC1" w:rsidRDefault="00871F8D">
      <w:pPr>
        <w:spacing w:before="60"/>
        <w:ind w:firstLine="450"/>
        <w:jc w:val="both"/>
      </w:pPr>
      <w:r>
        <w:rPr>
          <w:rFonts w:ascii="Arial" w:eastAsia="宋体" w:hAnsi="Arial" w:cs="Arial"/>
          <w:color w:val="000000"/>
          <w:sz w:val="20"/>
          <w:szCs w:val="20"/>
        </w:rPr>
        <w:t xml:space="preserve">On March 15, 2021, we redeemed an aggregate of $500 million, or 5,000 of the 7,500 outstanding shares </w:t>
      </w:r>
      <w:r>
        <w:rPr>
          <w:rFonts w:ascii="Arial" w:eastAsia="宋体" w:hAnsi="Arial" w:cs="Arial"/>
          <w:color w:val="000000"/>
          <w:sz w:val="20"/>
          <w:szCs w:val="20"/>
        </w:rPr>
        <w:t>of our non-cumulative perpetual preferred stock, Series F, for cash at a redemption price of $100,000 per share (equivalent to $1,000 per depositary share) plus all declared and unpaid dividends.</w:t>
      </w:r>
    </w:p>
    <w:p w14:paraId="74DDA14F" w14:textId="77777777" w:rsidR="00584EC1" w:rsidRDefault="00871F8D">
      <w:pPr>
        <w:ind w:firstLine="450"/>
        <w:jc w:val="right"/>
      </w:pPr>
      <w:r>
        <w:rPr>
          <w:rFonts w:ascii="Arial" w:eastAsia="宋体" w:hAnsi="Arial" w:cs="Arial"/>
          <w:color w:val="000000"/>
          <w:sz w:val="18"/>
          <w:szCs w:val="18"/>
        </w:rPr>
        <w:t>State Street Corporation | 49</w:t>
      </w:r>
    </w:p>
    <w:p w14:paraId="74DDA150" w14:textId="77777777" w:rsidR="00584EC1" w:rsidRDefault="00584EC1">
      <w:pPr>
        <w:ind w:firstLine="450"/>
        <w:jc w:val="center"/>
      </w:pPr>
    </w:p>
    <w:p w14:paraId="74DDA151" w14:textId="77777777" w:rsidR="00584EC1" w:rsidRDefault="00871F8D">
      <w:r>
        <w:pict w14:anchorId="74DE2A1F">
          <v:rect id="_x0000_i1073" style="width:415.3pt;height:1.5pt" o:hralign="center" o:hrstd="t" o:hr="t" fillcolor="#a0a0a0" stroked="f"/>
        </w:pict>
      </w:r>
    </w:p>
    <w:p w14:paraId="74DDA152" w14:textId="77777777" w:rsidR="00584EC1" w:rsidRDefault="00871F8D">
      <w:pPr>
        <w:ind w:firstLine="450"/>
        <w:jc w:val="center"/>
      </w:pPr>
      <w:r>
        <w:rPr>
          <w:rFonts w:ascii="Arial" w:eastAsia="宋体" w:hAnsi="Arial" w:cs="Arial"/>
          <w:b/>
          <w:bCs/>
          <w:color w:val="000000"/>
          <w:sz w:val="20"/>
          <w:szCs w:val="20"/>
        </w:rPr>
        <w:t>MANAGEMENT’S DISCUSSION AND</w:t>
      </w:r>
      <w:r>
        <w:rPr>
          <w:rFonts w:ascii="Arial" w:eastAsia="宋体" w:hAnsi="Arial" w:cs="Arial"/>
          <w:b/>
          <w:bCs/>
          <w:color w:val="000000"/>
          <w:sz w:val="20"/>
          <w:szCs w:val="20"/>
        </w:rPr>
        <w:t xml:space="preserve"> ANALYSIS OF FINANCIAL CONDITION</w:t>
      </w:r>
    </w:p>
    <w:p w14:paraId="74DDA153" w14:textId="77777777" w:rsidR="00584EC1" w:rsidRDefault="00871F8D">
      <w:pPr>
        <w:ind w:firstLine="450"/>
        <w:jc w:val="center"/>
      </w:pPr>
      <w:r>
        <w:rPr>
          <w:rFonts w:ascii="Arial" w:eastAsia="宋体" w:hAnsi="Arial" w:cs="Arial"/>
          <w:b/>
          <w:bCs/>
          <w:color w:val="000000"/>
          <w:sz w:val="20"/>
          <w:szCs w:val="20"/>
        </w:rPr>
        <w:t>AND RESULTS OF OPERATIONS</w:t>
      </w:r>
    </w:p>
    <w:p w14:paraId="74DDA154" w14:textId="77777777" w:rsidR="00584EC1" w:rsidRDefault="00871F8D">
      <w:pPr>
        <w:spacing w:before="60"/>
        <w:ind w:firstLine="450"/>
        <w:jc w:val="both"/>
      </w:pPr>
      <w:r>
        <w:rPr>
          <w:rFonts w:ascii="Arial" w:eastAsia="宋体" w:hAnsi="Arial" w:cs="Arial"/>
          <w:color w:val="000000"/>
          <w:sz w:val="20"/>
          <w:szCs w:val="20"/>
        </w:rPr>
        <w:t>The following tables present the dividends declared for each of the series of preferred stock issued and outstanding for the periods indicated:</w:t>
      </w:r>
    </w:p>
    <w:tbl>
      <w:tblPr>
        <w:tblW w:w="4971" w:type="pct"/>
        <w:tblCellMar>
          <w:top w:w="15" w:type="dxa"/>
          <w:left w:w="15" w:type="dxa"/>
          <w:bottom w:w="15" w:type="dxa"/>
          <w:right w:w="15" w:type="dxa"/>
        </w:tblCellMar>
        <w:tblLook w:val="04A0" w:firstRow="1" w:lastRow="0" w:firstColumn="1" w:lastColumn="0" w:noHBand="0" w:noVBand="1"/>
      </w:tblPr>
      <w:tblGrid>
        <w:gridCol w:w="58"/>
        <w:gridCol w:w="1652"/>
        <w:gridCol w:w="36"/>
        <w:gridCol w:w="58"/>
        <w:gridCol w:w="920"/>
        <w:gridCol w:w="36"/>
        <w:gridCol w:w="36"/>
        <w:gridCol w:w="36"/>
        <w:gridCol w:w="36"/>
        <w:gridCol w:w="40"/>
        <w:gridCol w:w="920"/>
        <w:gridCol w:w="36"/>
        <w:gridCol w:w="36"/>
        <w:gridCol w:w="36"/>
        <w:gridCol w:w="36"/>
        <w:gridCol w:w="40"/>
        <w:gridCol w:w="920"/>
        <w:gridCol w:w="36"/>
        <w:gridCol w:w="36"/>
        <w:gridCol w:w="36"/>
        <w:gridCol w:w="36"/>
        <w:gridCol w:w="41"/>
        <w:gridCol w:w="921"/>
        <w:gridCol w:w="36"/>
        <w:gridCol w:w="36"/>
        <w:gridCol w:w="36"/>
        <w:gridCol w:w="36"/>
        <w:gridCol w:w="42"/>
        <w:gridCol w:w="921"/>
        <w:gridCol w:w="36"/>
        <w:gridCol w:w="36"/>
        <w:gridCol w:w="36"/>
        <w:gridCol w:w="36"/>
        <w:gridCol w:w="42"/>
        <w:gridCol w:w="921"/>
        <w:gridCol w:w="36"/>
      </w:tblGrid>
      <w:tr w:rsidR="00584EC1" w14:paraId="74DDA179" w14:textId="77777777">
        <w:tc>
          <w:tcPr>
            <w:tcW w:w="50" w:type="pct"/>
            <w:shd w:val="clear" w:color="auto" w:fill="auto"/>
            <w:vAlign w:val="bottom"/>
          </w:tcPr>
          <w:p w14:paraId="74DDA155" w14:textId="77777777" w:rsidR="00584EC1" w:rsidRDefault="00584EC1">
            <w:pPr>
              <w:rPr>
                <w:rFonts w:ascii="宋体"/>
              </w:rPr>
            </w:pPr>
          </w:p>
        </w:tc>
        <w:tc>
          <w:tcPr>
            <w:tcW w:w="1011" w:type="pct"/>
            <w:shd w:val="clear" w:color="auto" w:fill="auto"/>
            <w:vAlign w:val="bottom"/>
          </w:tcPr>
          <w:p w14:paraId="74DDA156" w14:textId="77777777" w:rsidR="00584EC1" w:rsidRDefault="00584EC1">
            <w:pPr>
              <w:rPr>
                <w:rFonts w:ascii="宋体"/>
              </w:rPr>
            </w:pPr>
          </w:p>
        </w:tc>
        <w:tc>
          <w:tcPr>
            <w:tcW w:w="5" w:type="pct"/>
            <w:shd w:val="clear" w:color="auto" w:fill="auto"/>
            <w:vAlign w:val="bottom"/>
          </w:tcPr>
          <w:p w14:paraId="74DDA157" w14:textId="77777777" w:rsidR="00584EC1" w:rsidRDefault="00584EC1">
            <w:pPr>
              <w:rPr>
                <w:rFonts w:ascii="宋体"/>
              </w:rPr>
            </w:pPr>
          </w:p>
        </w:tc>
        <w:tc>
          <w:tcPr>
            <w:tcW w:w="50" w:type="pct"/>
            <w:shd w:val="clear" w:color="auto" w:fill="auto"/>
            <w:vAlign w:val="bottom"/>
          </w:tcPr>
          <w:p w14:paraId="74DDA158" w14:textId="77777777" w:rsidR="00584EC1" w:rsidRDefault="00584EC1">
            <w:pPr>
              <w:rPr>
                <w:rFonts w:ascii="宋体"/>
              </w:rPr>
            </w:pPr>
          </w:p>
        </w:tc>
        <w:tc>
          <w:tcPr>
            <w:tcW w:w="570" w:type="pct"/>
            <w:shd w:val="clear" w:color="auto" w:fill="auto"/>
            <w:vAlign w:val="bottom"/>
          </w:tcPr>
          <w:p w14:paraId="74DDA159" w14:textId="77777777" w:rsidR="00584EC1" w:rsidRDefault="00584EC1">
            <w:pPr>
              <w:rPr>
                <w:rFonts w:ascii="宋体"/>
              </w:rPr>
            </w:pPr>
          </w:p>
        </w:tc>
        <w:tc>
          <w:tcPr>
            <w:tcW w:w="5" w:type="pct"/>
            <w:shd w:val="clear" w:color="auto" w:fill="auto"/>
            <w:vAlign w:val="bottom"/>
          </w:tcPr>
          <w:p w14:paraId="74DDA15A" w14:textId="77777777" w:rsidR="00584EC1" w:rsidRDefault="00584EC1">
            <w:pPr>
              <w:rPr>
                <w:rFonts w:ascii="宋体"/>
              </w:rPr>
            </w:pPr>
          </w:p>
        </w:tc>
        <w:tc>
          <w:tcPr>
            <w:tcW w:w="5" w:type="pct"/>
            <w:shd w:val="clear" w:color="auto" w:fill="auto"/>
            <w:vAlign w:val="bottom"/>
          </w:tcPr>
          <w:p w14:paraId="74DDA15B" w14:textId="77777777" w:rsidR="00584EC1" w:rsidRDefault="00584EC1">
            <w:pPr>
              <w:rPr>
                <w:rFonts w:ascii="宋体"/>
              </w:rPr>
            </w:pPr>
          </w:p>
        </w:tc>
        <w:tc>
          <w:tcPr>
            <w:tcW w:w="26" w:type="pct"/>
            <w:shd w:val="clear" w:color="auto" w:fill="auto"/>
            <w:vAlign w:val="bottom"/>
          </w:tcPr>
          <w:p w14:paraId="74DDA15C" w14:textId="77777777" w:rsidR="00584EC1" w:rsidRDefault="00584EC1">
            <w:pPr>
              <w:rPr>
                <w:rFonts w:ascii="宋体"/>
              </w:rPr>
            </w:pPr>
          </w:p>
        </w:tc>
        <w:tc>
          <w:tcPr>
            <w:tcW w:w="5" w:type="pct"/>
            <w:shd w:val="clear" w:color="auto" w:fill="auto"/>
            <w:vAlign w:val="bottom"/>
          </w:tcPr>
          <w:p w14:paraId="74DDA15D" w14:textId="77777777" w:rsidR="00584EC1" w:rsidRDefault="00584EC1">
            <w:pPr>
              <w:rPr>
                <w:rFonts w:ascii="宋体"/>
              </w:rPr>
            </w:pPr>
          </w:p>
        </w:tc>
        <w:tc>
          <w:tcPr>
            <w:tcW w:w="50" w:type="pct"/>
            <w:shd w:val="clear" w:color="auto" w:fill="auto"/>
            <w:vAlign w:val="bottom"/>
          </w:tcPr>
          <w:p w14:paraId="74DDA15E" w14:textId="77777777" w:rsidR="00584EC1" w:rsidRDefault="00584EC1">
            <w:pPr>
              <w:rPr>
                <w:rFonts w:ascii="宋体"/>
              </w:rPr>
            </w:pPr>
          </w:p>
        </w:tc>
        <w:tc>
          <w:tcPr>
            <w:tcW w:w="570" w:type="pct"/>
            <w:shd w:val="clear" w:color="auto" w:fill="auto"/>
            <w:vAlign w:val="bottom"/>
          </w:tcPr>
          <w:p w14:paraId="74DDA15F" w14:textId="77777777" w:rsidR="00584EC1" w:rsidRDefault="00584EC1">
            <w:pPr>
              <w:rPr>
                <w:rFonts w:ascii="宋体"/>
              </w:rPr>
            </w:pPr>
          </w:p>
        </w:tc>
        <w:tc>
          <w:tcPr>
            <w:tcW w:w="5" w:type="pct"/>
            <w:shd w:val="clear" w:color="auto" w:fill="auto"/>
            <w:vAlign w:val="bottom"/>
          </w:tcPr>
          <w:p w14:paraId="74DDA160" w14:textId="77777777" w:rsidR="00584EC1" w:rsidRDefault="00584EC1">
            <w:pPr>
              <w:rPr>
                <w:rFonts w:ascii="宋体"/>
              </w:rPr>
            </w:pPr>
          </w:p>
        </w:tc>
        <w:tc>
          <w:tcPr>
            <w:tcW w:w="5" w:type="pct"/>
            <w:shd w:val="clear" w:color="auto" w:fill="auto"/>
            <w:vAlign w:val="bottom"/>
          </w:tcPr>
          <w:p w14:paraId="74DDA161" w14:textId="77777777" w:rsidR="00584EC1" w:rsidRDefault="00584EC1">
            <w:pPr>
              <w:rPr>
                <w:rFonts w:ascii="宋体"/>
              </w:rPr>
            </w:pPr>
          </w:p>
        </w:tc>
        <w:tc>
          <w:tcPr>
            <w:tcW w:w="26" w:type="pct"/>
            <w:shd w:val="clear" w:color="auto" w:fill="auto"/>
            <w:vAlign w:val="bottom"/>
          </w:tcPr>
          <w:p w14:paraId="74DDA162" w14:textId="77777777" w:rsidR="00584EC1" w:rsidRDefault="00584EC1">
            <w:pPr>
              <w:rPr>
                <w:rFonts w:ascii="宋体"/>
              </w:rPr>
            </w:pPr>
          </w:p>
        </w:tc>
        <w:tc>
          <w:tcPr>
            <w:tcW w:w="5" w:type="pct"/>
            <w:shd w:val="clear" w:color="auto" w:fill="auto"/>
            <w:vAlign w:val="bottom"/>
          </w:tcPr>
          <w:p w14:paraId="74DDA163" w14:textId="77777777" w:rsidR="00584EC1" w:rsidRDefault="00584EC1">
            <w:pPr>
              <w:rPr>
                <w:rFonts w:ascii="宋体"/>
              </w:rPr>
            </w:pPr>
          </w:p>
        </w:tc>
        <w:tc>
          <w:tcPr>
            <w:tcW w:w="50" w:type="pct"/>
            <w:shd w:val="clear" w:color="auto" w:fill="auto"/>
            <w:vAlign w:val="bottom"/>
          </w:tcPr>
          <w:p w14:paraId="74DDA164" w14:textId="77777777" w:rsidR="00584EC1" w:rsidRDefault="00584EC1">
            <w:pPr>
              <w:rPr>
                <w:rFonts w:ascii="宋体"/>
              </w:rPr>
            </w:pPr>
          </w:p>
        </w:tc>
        <w:tc>
          <w:tcPr>
            <w:tcW w:w="570" w:type="pct"/>
            <w:shd w:val="clear" w:color="auto" w:fill="auto"/>
            <w:vAlign w:val="bottom"/>
          </w:tcPr>
          <w:p w14:paraId="74DDA165" w14:textId="77777777" w:rsidR="00584EC1" w:rsidRDefault="00584EC1">
            <w:pPr>
              <w:rPr>
                <w:rFonts w:ascii="宋体"/>
              </w:rPr>
            </w:pPr>
          </w:p>
        </w:tc>
        <w:tc>
          <w:tcPr>
            <w:tcW w:w="5" w:type="pct"/>
            <w:shd w:val="clear" w:color="auto" w:fill="auto"/>
            <w:vAlign w:val="bottom"/>
          </w:tcPr>
          <w:p w14:paraId="74DDA166" w14:textId="77777777" w:rsidR="00584EC1" w:rsidRDefault="00584EC1">
            <w:pPr>
              <w:rPr>
                <w:rFonts w:ascii="宋体"/>
              </w:rPr>
            </w:pPr>
          </w:p>
        </w:tc>
        <w:tc>
          <w:tcPr>
            <w:tcW w:w="5" w:type="pct"/>
            <w:shd w:val="clear" w:color="auto" w:fill="auto"/>
            <w:vAlign w:val="bottom"/>
          </w:tcPr>
          <w:p w14:paraId="74DDA167" w14:textId="77777777" w:rsidR="00584EC1" w:rsidRDefault="00584EC1">
            <w:pPr>
              <w:rPr>
                <w:rFonts w:ascii="宋体"/>
              </w:rPr>
            </w:pPr>
          </w:p>
        </w:tc>
        <w:tc>
          <w:tcPr>
            <w:tcW w:w="26" w:type="pct"/>
            <w:shd w:val="clear" w:color="auto" w:fill="auto"/>
            <w:vAlign w:val="bottom"/>
          </w:tcPr>
          <w:p w14:paraId="74DDA168" w14:textId="77777777" w:rsidR="00584EC1" w:rsidRDefault="00584EC1">
            <w:pPr>
              <w:rPr>
                <w:rFonts w:ascii="宋体"/>
              </w:rPr>
            </w:pPr>
          </w:p>
        </w:tc>
        <w:tc>
          <w:tcPr>
            <w:tcW w:w="5" w:type="pct"/>
            <w:shd w:val="clear" w:color="auto" w:fill="auto"/>
            <w:vAlign w:val="bottom"/>
          </w:tcPr>
          <w:p w14:paraId="74DDA169" w14:textId="77777777" w:rsidR="00584EC1" w:rsidRDefault="00584EC1">
            <w:pPr>
              <w:rPr>
                <w:rFonts w:ascii="宋体"/>
              </w:rPr>
            </w:pPr>
          </w:p>
        </w:tc>
        <w:tc>
          <w:tcPr>
            <w:tcW w:w="50" w:type="pct"/>
            <w:shd w:val="clear" w:color="auto" w:fill="auto"/>
            <w:vAlign w:val="bottom"/>
          </w:tcPr>
          <w:p w14:paraId="74DDA16A" w14:textId="77777777" w:rsidR="00584EC1" w:rsidRDefault="00584EC1">
            <w:pPr>
              <w:rPr>
                <w:rFonts w:ascii="宋体"/>
              </w:rPr>
            </w:pPr>
          </w:p>
        </w:tc>
        <w:tc>
          <w:tcPr>
            <w:tcW w:w="570" w:type="pct"/>
            <w:shd w:val="clear" w:color="auto" w:fill="auto"/>
            <w:vAlign w:val="bottom"/>
          </w:tcPr>
          <w:p w14:paraId="74DDA16B" w14:textId="77777777" w:rsidR="00584EC1" w:rsidRDefault="00584EC1">
            <w:pPr>
              <w:rPr>
                <w:rFonts w:ascii="宋体"/>
              </w:rPr>
            </w:pPr>
          </w:p>
        </w:tc>
        <w:tc>
          <w:tcPr>
            <w:tcW w:w="5" w:type="pct"/>
            <w:shd w:val="clear" w:color="auto" w:fill="auto"/>
            <w:vAlign w:val="bottom"/>
          </w:tcPr>
          <w:p w14:paraId="74DDA16C" w14:textId="77777777" w:rsidR="00584EC1" w:rsidRDefault="00584EC1">
            <w:pPr>
              <w:rPr>
                <w:rFonts w:ascii="宋体"/>
              </w:rPr>
            </w:pPr>
          </w:p>
        </w:tc>
        <w:tc>
          <w:tcPr>
            <w:tcW w:w="5" w:type="pct"/>
            <w:shd w:val="clear" w:color="auto" w:fill="auto"/>
            <w:vAlign w:val="bottom"/>
          </w:tcPr>
          <w:p w14:paraId="74DDA16D" w14:textId="77777777" w:rsidR="00584EC1" w:rsidRDefault="00584EC1">
            <w:pPr>
              <w:rPr>
                <w:rFonts w:ascii="宋体"/>
              </w:rPr>
            </w:pPr>
          </w:p>
        </w:tc>
        <w:tc>
          <w:tcPr>
            <w:tcW w:w="26" w:type="pct"/>
            <w:shd w:val="clear" w:color="auto" w:fill="auto"/>
            <w:vAlign w:val="bottom"/>
          </w:tcPr>
          <w:p w14:paraId="74DDA16E" w14:textId="77777777" w:rsidR="00584EC1" w:rsidRDefault="00584EC1">
            <w:pPr>
              <w:rPr>
                <w:rFonts w:ascii="宋体"/>
              </w:rPr>
            </w:pPr>
          </w:p>
        </w:tc>
        <w:tc>
          <w:tcPr>
            <w:tcW w:w="5" w:type="pct"/>
            <w:shd w:val="clear" w:color="auto" w:fill="auto"/>
            <w:vAlign w:val="bottom"/>
          </w:tcPr>
          <w:p w14:paraId="74DDA16F" w14:textId="77777777" w:rsidR="00584EC1" w:rsidRDefault="00584EC1">
            <w:pPr>
              <w:rPr>
                <w:rFonts w:ascii="宋体"/>
              </w:rPr>
            </w:pPr>
          </w:p>
        </w:tc>
        <w:tc>
          <w:tcPr>
            <w:tcW w:w="50" w:type="pct"/>
            <w:shd w:val="clear" w:color="auto" w:fill="auto"/>
            <w:vAlign w:val="bottom"/>
          </w:tcPr>
          <w:p w14:paraId="74DDA170" w14:textId="77777777" w:rsidR="00584EC1" w:rsidRDefault="00584EC1">
            <w:pPr>
              <w:rPr>
                <w:rFonts w:ascii="宋体"/>
              </w:rPr>
            </w:pPr>
          </w:p>
        </w:tc>
        <w:tc>
          <w:tcPr>
            <w:tcW w:w="570" w:type="pct"/>
            <w:shd w:val="clear" w:color="auto" w:fill="auto"/>
            <w:vAlign w:val="bottom"/>
          </w:tcPr>
          <w:p w14:paraId="74DDA171" w14:textId="77777777" w:rsidR="00584EC1" w:rsidRDefault="00584EC1">
            <w:pPr>
              <w:rPr>
                <w:rFonts w:ascii="宋体"/>
              </w:rPr>
            </w:pPr>
          </w:p>
        </w:tc>
        <w:tc>
          <w:tcPr>
            <w:tcW w:w="5" w:type="pct"/>
            <w:shd w:val="clear" w:color="auto" w:fill="auto"/>
            <w:vAlign w:val="bottom"/>
          </w:tcPr>
          <w:p w14:paraId="74DDA172" w14:textId="77777777" w:rsidR="00584EC1" w:rsidRDefault="00584EC1">
            <w:pPr>
              <w:rPr>
                <w:rFonts w:ascii="宋体"/>
              </w:rPr>
            </w:pPr>
          </w:p>
        </w:tc>
        <w:tc>
          <w:tcPr>
            <w:tcW w:w="5" w:type="pct"/>
            <w:shd w:val="clear" w:color="auto" w:fill="auto"/>
            <w:vAlign w:val="bottom"/>
          </w:tcPr>
          <w:p w14:paraId="74DDA173" w14:textId="77777777" w:rsidR="00584EC1" w:rsidRDefault="00584EC1">
            <w:pPr>
              <w:rPr>
                <w:rFonts w:ascii="宋体"/>
              </w:rPr>
            </w:pPr>
          </w:p>
        </w:tc>
        <w:tc>
          <w:tcPr>
            <w:tcW w:w="26" w:type="pct"/>
            <w:shd w:val="clear" w:color="auto" w:fill="auto"/>
            <w:vAlign w:val="bottom"/>
          </w:tcPr>
          <w:p w14:paraId="74DDA174" w14:textId="77777777" w:rsidR="00584EC1" w:rsidRDefault="00584EC1">
            <w:pPr>
              <w:rPr>
                <w:rFonts w:ascii="宋体"/>
              </w:rPr>
            </w:pPr>
          </w:p>
        </w:tc>
        <w:tc>
          <w:tcPr>
            <w:tcW w:w="5" w:type="pct"/>
            <w:shd w:val="clear" w:color="auto" w:fill="auto"/>
            <w:vAlign w:val="bottom"/>
          </w:tcPr>
          <w:p w14:paraId="74DDA175" w14:textId="77777777" w:rsidR="00584EC1" w:rsidRDefault="00584EC1">
            <w:pPr>
              <w:rPr>
                <w:rFonts w:ascii="宋体"/>
              </w:rPr>
            </w:pPr>
          </w:p>
        </w:tc>
        <w:tc>
          <w:tcPr>
            <w:tcW w:w="50" w:type="pct"/>
            <w:shd w:val="clear" w:color="auto" w:fill="auto"/>
            <w:vAlign w:val="bottom"/>
          </w:tcPr>
          <w:p w14:paraId="74DDA176" w14:textId="77777777" w:rsidR="00584EC1" w:rsidRDefault="00584EC1">
            <w:pPr>
              <w:rPr>
                <w:rFonts w:ascii="宋体"/>
              </w:rPr>
            </w:pPr>
          </w:p>
        </w:tc>
        <w:tc>
          <w:tcPr>
            <w:tcW w:w="570" w:type="pct"/>
            <w:shd w:val="clear" w:color="auto" w:fill="auto"/>
            <w:vAlign w:val="bottom"/>
          </w:tcPr>
          <w:p w14:paraId="74DDA177" w14:textId="77777777" w:rsidR="00584EC1" w:rsidRDefault="00584EC1">
            <w:pPr>
              <w:rPr>
                <w:rFonts w:ascii="宋体"/>
              </w:rPr>
            </w:pPr>
          </w:p>
        </w:tc>
        <w:tc>
          <w:tcPr>
            <w:tcW w:w="5" w:type="pct"/>
            <w:shd w:val="clear" w:color="auto" w:fill="auto"/>
            <w:vAlign w:val="bottom"/>
          </w:tcPr>
          <w:p w14:paraId="74DDA178" w14:textId="77777777" w:rsidR="00584EC1" w:rsidRDefault="00584EC1">
            <w:pPr>
              <w:rPr>
                <w:rFonts w:ascii="宋体"/>
              </w:rPr>
            </w:pPr>
          </w:p>
        </w:tc>
      </w:tr>
      <w:tr w:rsidR="00584EC1" w14:paraId="74DDA17B" w14:textId="77777777">
        <w:tc>
          <w:tcPr>
            <w:tcW w:w="0" w:type="auto"/>
            <w:gridSpan w:val="36"/>
            <w:shd w:val="clear" w:color="auto" w:fill="auto"/>
            <w:tcMar>
              <w:top w:w="40" w:type="dxa"/>
              <w:left w:w="20" w:type="dxa"/>
              <w:bottom w:w="40" w:type="dxa"/>
              <w:right w:w="20" w:type="dxa"/>
            </w:tcMar>
            <w:vAlign w:val="bottom"/>
          </w:tcPr>
          <w:p w14:paraId="74DDA17A" w14:textId="77777777" w:rsidR="00584EC1" w:rsidRDefault="00871F8D">
            <w:pPr>
              <w:textAlignment w:val="bottom"/>
            </w:pPr>
            <w:r>
              <w:rPr>
                <w:rFonts w:ascii="Arial" w:eastAsia="宋体" w:hAnsi="Arial" w:cs="Arial"/>
                <w:b/>
                <w:bCs/>
                <w:color w:val="000000"/>
                <w:sz w:val="16"/>
                <w:szCs w:val="16"/>
              </w:rPr>
              <w:t>TABLE 41: PREFERRED STOCK DIVIDENDS</w:t>
            </w:r>
          </w:p>
        </w:tc>
      </w:tr>
      <w:tr w:rsidR="00584EC1" w14:paraId="74DDA19C" w14:textId="77777777">
        <w:trPr>
          <w:hidden/>
        </w:trPr>
        <w:tc>
          <w:tcPr>
            <w:tcW w:w="0" w:type="auto"/>
            <w:gridSpan w:val="3"/>
            <w:shd w:val="clear" w:color="auto" w:fill="auto"/>
            <w:vAlign w:val="bottom"/>
          </w:tcPr>
          <w:p w14:paraId="74DDA17C" w14:textId="77777777" w:rsidR="00584EC1" w:rsidRDefault="00584EC1">
            <w:pPr>
              <w:rPr>
                <w:rFonts w:ascii="宋体"/>
                <w:vanish/>
              </w:rPr>
            </w:pPr>
          </w:p>
        </w:tc>
        <w:tc>
          <w:tcPr>
            <w:tcW w:w="0" w:type="auto"/>
            <w:gridSpan w:val="3"/>
            <w:shd w:val="clear" w:color="auto" w:fill="auto"/>
            <w:vAlign w:val="bottom"/>
          </w:tcPr>
          <w:p w14:paraId="74DDA17D" w14:textId="77777777" w:rsidR="00584EC1" w:rsidRDefault="00584EC1">
            <w:pPr>
              <w:rPr>
                <w:rFonts w:ascii="宋体"/>
                <w:vanish/>
              </w:rPr>
            </w:pPr>
          </w:p>
        </w:tc>
        <w:tc>
          <w:tcPr>
            <w:tcW w:w="0" w:type="auto"/>
            <w:shd w:val="clear" w:color="auto" w:fill="auto"/>
            <w:vAlign w:val="bottom"/>
          </w:tcPr>
          <w:p w14:paraId="74DDA17E" w14:textId="77777777" w:rsidR="00584EC1" w:rsidRDefault="00584EC1">
            <w:pPr>
              <w:rPr>
                <w:rFonts w:ascii="宋体"/>
              </w:rPr>
            </w:pPr>
          </w:p>
        </w:tc>
        <w:tc>
          <w:tcPr>
            <w:tcW w:w="0" w:type="auto"/>
            <w:shd w:val="clear" w:color="auto" w:fill="auto"/>
            <w:vAlign w:val="bottom"/>
          </w:tcPr>
          <w:p w14:paraId="74DDA17F" w14:textId="77777777" w:rsidR="00584EC1" w:rsidRDefault="00584EC1">
            <w:pPr>
              <w:rPr>
                <w:rFonts w:ascii="宋体"/>
              </w:rPr>
            </w:pPr>
          </w:p>
        </w:tc>
        <w:tc>
          <w:tcPr>
            <w:tcW w:w="0" w:type="auto"/>
            <w:shd w:val="clear" w:color="auto" w:fill="auto"/>
            <w:vAlign w:val="bottom"/>
          </w:tcPr>
          <w:p w14:paraId="74DDA180" w14:textId="77777777" w:rsidR="00584EC1" w:rsidRDefault="00584EC1">
            <w:pPr>
              <w:rPr>
                <w:rFonts w:ascii="宋体"/>
              </w:rPr>
            </w:pPr>
          </w:p>
        </w:tc>
        <w:tc>
          <w:tcPr>
            <w:tcW w:w="0" w:type="auto"/>
            <w:shd w:val="clear" w:color="auto" w:fill="auto"/>
            <w:vAlign w:val="bottom"/>
          </w:tcPr>
          <w:p w14:paraId="74DDA181" w14:textId="77777777" w:rsidR="00584EC1" w:rsidRDefault="00584EC1">
            <w:pPr>
              <w:rPr>
                <w:rFonts w:ascii="宋体"/>
              </w:rPr>
            </w:pPr>
          </w:p>
        </w:tc>
        <w:tc>
          <w:tcPr>
            <w:tcW w:w="0" w:type="auto"/>
            <w:shd w:val="clear" w:color="auto" w:fill="auto"/>
            <w:vAlign w:val="bottom"/>
          </w:tcPr>
          <w:p w14:paraId="74DDA182" w14:textId="77777777" w:rsidR="00584EC1" w:rsidRDefault="00584EC1">
            <w:pPr>
              <w:rPr>
                <w:rFonts w:ascii="宋体"/>
              </w:rPr>
            </w:pPr>
          </w:p>
        </w:tc>
        <w:tc>
          <w:tcPr>
            <w:tcW w:w="0" w:type="auto"/>
            <w:shd w:val="clear" w:color="auto" w:fill="auto"/>
            <w:vAlign w:val="bottom"/>
          </w:tcPr>
          <w:p w14:paraId="74DDA183" w14:textId="77777777" w:rsidR="00584EC1" w:rsidRDefault="00584EC1">
            <w:pPr>
              <w:rPr>
                <w:rFonts w:ascii="宋体"/>
              </w:rPr>
            </w:pPr>
          </w:p>
        </w:tc>
        <w:tc>
          <w:tcPr>
            <w:tcW w:w="0" w:type="auto"/>
            <w:shd w:val="clear" w:color="auto" w:fill="auto"/>
            <w:vAlign w:val="bottom"/>
          </w:tcPr>
          <w:p w14:paraId="74DDA184" w14:textId="77777777" w:rsidR="00584EC1" w:rsidRDefault="00584EC1">
            <w:pPr>
              <w:rPr>
                <w:rFonts w:ascii="宋体"/>
              </w:rPr>
            </w:pPr>
          </w:p>
        </w:tc>
        <w:tc>
          <w:tcPr>
            <w:tcW w:w="0" w:type="auto"/>
            <w:shd w:val="clear" w:color="auto" w:fill="auto"/>
            <w:vAlign w:val="bottom"/>
          </w:tcPr>
          <w:p w14:paraId="74DDA185" w14:textId="77777777" w:rsidR="00584EC1" w:rsidRDefault="00584EC1">
            <w:pPr>
              <w:rPr>
                <w:rFonts w:ascii="宋体"/>
              </w:rPr>
            </w:pPr>
          </w:p>
        </w:tc>
        <w:tc>
          <w:tcPr>
            <w:tcW w:w="0" w:type="auto"/>
            <w:shd w:val="clear" w:color="auto" w:fill="auto"/>
            <w:vAlign w:val="bottom"/>
          </w:tcPr>
          <w:p w14:paraId="74DDA186" w14:textId="77777777" w:rsidR="00584EC1" w:rsidRDefault="00584EC1">
            <w:pPr>
              <w:rPr>
                <w:rFonts w:ascii="宋体"/>
              </w:rPr>
            </w:pPr>
          </w:p>
        </w:tc>
        <w:tc>
          <w:tcPr>
            <w:tcW w:w="0" w:type="auto"/>
            <w:shd w:val="clear" w:color="auto" w:fill="auto"/>
            <w:vAlign w:val="bottom"/>
          </w:tcPr>
          <w:p w14:paraId="74DDA187" w14:textId="77777777" w:rsidR="00584EC1" w:rsidRDefault="00584EC1">
            <w:pPr>
              <w:rPr>
                <w:rFonts w:ascii="宋体"/>
              </w:rPr>
            </w:pPr>
          </w:p>
        </w:tc>
        <w:tc>
          <w:tcPr>
            <w:tcW w:w="0" w:type="auto"/>
            <w:shd w:val="clear" w:color="auto" w:fill="auto"/>
            <w:vAlign w:val="bottom"/>
          </w:tcPr>
          <w:p w14:paraId="74DDA188" w14:textId="77777777" w:rsidR="00584EC1" w:rsidRDefault="00584EC1">
            <w:pPr>
              <w:rPr>
                <w:rFonts w:ascii="宋体"/>
              </w:rPr>
            </w:pPr>
          </w:p>
        </w:tc>
        <w:tc>
          <w:tcPr>
            <w:tcW w:w="0" w:type="auto"/>
            <w:shd w:val="clear" w:color="auto" w:fill="auto"/>
            <w:vAlign w:val="bottom"/>
          </w:tcPr>
          <w:p w14:paraId="74DDA189" w14:textId="77777777" w:rsidR="00584EC1" w:rsidRDefault="00584EC1">
            <w:pPr>
              <w:rPr>
                <w:rFonts w:ascii="宋体"/>
              </w:rPr>
            </w:pPr>
          </w:p>
        </w:tc>
        <w:tc>
          <w:tcPr>
            <w:tcW w:w="0" w:type="auto"/>
            <w:shd w:val="clear" w:color="auto" w:fill="auto"/>
            <w:vAlign w:val="bottom"/>
          </w:tcPr>
          <w:p w14:paraId="74DDA18A" w14:textId="77777777" w:rsidR="00584EC1" w:rsidRDefault="00584EC1">
            <w:pPr>
              <w:rPr>
                <w:rFonts w:ascii="宋体"/>
              </w:rPr>
            </w:pPr>
          </w:p>
        </w:tc>
        <w:tc>
          <w:tcPr>
            <w:tcW w:w="0" w:type="auto"/>
            <w:shd w:val="clear" w:color="auto" w:fill="auto"/>
            <w:vAlign w:val="bottom"/>
          </w:tcPr>
          <w:p w14:paraId="74DDA18B" w14:textId="77777777" w:rsidR="00584EC1" w:rsidRDefault="00584EC1">
            <w:pPr>
              <w:rPr>
                <w:rFonts w:ascii="宋体"/>
              </w:rPr>
            </w:pPr>
          </w:p>
        </w:tc>
        <w:tc>
          <w:tcPr>
            <w:tcW w:w="0" w:type="auto"/>
            <w:shd w:val="clear" w:color="auto" w:fill="auto"/>
            <w:vAlign w:val="bottom"/>
          </w:tcPr>
          <w:p w14:paraId="74DDA18C" w14:textId="77777777" w:rsidR="00584EC1" w:rsidRDefault="00584EC1">
            <w:pPr>
              <w:rPr>
                <w:rFonts w:ascii="宋体"/>
              </w:rPr>
            </w:pPr>
          </w:p>
        </w:tc>
        <w:tc>
          <w:tcPr>
            <w:tcW w:w="0" w:type="auto"/>
            <w:shd w:val="clear" w:color="auto" w:fill="auto"/>
            <w:vAlign w:val="bottom"/>
          </w:tcPr>
          <w:p w14:paraId="74DDA18D" w14:textId="77777777" w:rsidR="00584EC1" w:rsidRDefault="00584EC1">
            <w:pPr>
              <w:rPr>
                <w:rFonts w:ascii="宋体"/>
              </w:rPr>
            </w:pPr>
          </w:p>
        </w:tc>
        <w:tc>
          <w:tcPr>
            <w:tcW w:w="0" w:type="auto"/>
            <w:shd w:val="clear" w:color="auto" w:fill="auto"/>
            <w:vAlign w:val="bottom"/>
          </w:tcPr>
          <w:p w14:paraId="74DDA18E" w14:textId="77777777" w:rsidR="00584EC1" w:rsidRDefault="00584EC1">
            <w:pPr>
              <w:rPr>
                <w:rFonts w:ascii="宋体"/>
              </w:rPr>
            </w:pPr>
          </w:p>
        </w:tc>
        <w:tc>
          <w:tcPr>
            <w:tcW w:w="0" w:type="auto"/>
            <w:shd w:val="clear" w:color="auto" w:fill="auto"/>
            <w:vAlign w:val="bottom"/>
          </w:tcPr>
          <w:p w14:paraId="74DDA18F" w14:textId="77777777" w:rsidR="00584EC1" w:rsidRDefault="00584EC1">
            <w:pPr>
              <w:rPr>
                <w:rFonts w:ascii="宋体"/>
              </w:rPr>
            </w:pPr>
          </w:p>
        </w:tc>
        <w:tc>
          <w:tcPr>
            <w:tcW w:w="0" w:type="auto"/>
            <w:shd w:val="clear" w:color="auto" w:fill="auto"/>
            <w:vAlign w:val="bottom"/>
          </w:tcPr>
          <w:p w14:paraId="74DDA190" w14:textId="77777777" w:rsidR="00584EC1" w:rsidRDefault="00584EC1">
            <w:pPr>
              <w:rPr>
                <w:rFonts w:ascii="宋体"/>
              </w:rPr>
            </w:pPr>
          </w:p>
        </w:tc>
        <w:tc>
          <w:tcPr>
            <w:tcW w:w="0" w:type="auto"/>
            <w:shd w:val="clear" w:color="auto" w:fill="auto"/>
            <w:vAlign w:val="bottom"/>
          </w:tcPr>
          <w:p w14:paraId="74DDA191" w14:textId="77777777" w:rsidR="00584EC1" w:rsidRDefault="00584EC1">
            <w:pPr>
              <w:rPr>
                <w:rFonts w:ascii="宋体"/>
              </w:rPr>
            </w:pPr>
          </w:p>
        </w:tc>
        <w:tc>
          <w:tcPr>
            <w:tcW w:w="0" w:type="auto"/>
            <w:shd w:val="clear" w:color="auto" w:fill="auto"/>
            <w:vAlign w:val="bottom"/>
          </w:tcPr>
          <w:p w14:paraId="74DDA192" w14:textId="77777777" w:rsidR="00584EC1" w:rsidRDefault="00584EC1">
            <w:pPr>
              <w:rPr>
                <w:rFonts w:ascii="宋体"/>
              </w:rPr>
            </w:pPr>
          </w:p>
        </w:tc>
        <w:tc>
          <w:tcPr>
            <w:tcW w:w="0" w:type="auto"/>
            <w:shd w:val="clear" w:color="auto" w:fill="auto"/>
            <w:vAlign w:val="bottom"/>
          </w:tcPr>
          <w:p w14:paraId="74DDA193" w14:textId="77777777" w:rsidR="00584EC1" w:rsidRDefault="00584EC1">
            <w:pPr>
              <w:rPr>
                <w:rFonts w:ascii="宋体"/>
              </w:rPr>
            </w:pPr>
          </w:p>
        </w:tc>
        <w:tc>
          <w:tcPr>
            <w:tcW w:w="0" w:type="auto"/>
            <w:shd w:val="clear" w:color="auto" w:fill="auto"/>
            <w:vAlign w:val="bottom"/>
          </w:tcPr>
          <w:p w14:paraId="74DDA194" w14:textId="77777777" w:rsidR="00584EC1" w:rsidRDefault="00584EC1">
            <w:pPr>
              <w:rPr>
                <w:rFonts w:ascii="宋体"/>
              </w:rPr>
            </w:pPr>
          </w:p>
        </w:tc>
        <w:tc>
          <w:tcPr>
            <w:tcW w:w="0" w:type="auto"/>
            <w:shd w:val="clear" w:color="auto" w:fill="auto"/>
            <w:vAlign w:val="bottom"/>
          </w:tcPr>
          <w:p w14:paraId="74DDA195" w14:textId="77777777" w:rsidR="00584EC1" w:rsidRDefault="00584EC1">
            <w:pPr>
              <w:rPr>
                <w:rFonts w:ascii="宋体"/>
              </w:rPr>
            </w:pPr>
          </w:p>
        </w:tc>
        <w:tc>
          <w:tcPr>
            <w:tcW w:w="0" w:type="auto"/>
            <w:shd w:val="clear" w:color="auto" w:fill="auto"/>
            <w:vAlign w:val="bottom"/>
          </w:tcPr>
          <w:p w14:paraId="74DDA196" w14:textId="77777777" w:rsidR="00584EC1" w:rsidRDefault="00584EC1">
            <w:pPr>
              <w:rPr>
                <w:rFonts w:ascii="宋体"/>
              </w:rPr>
            </w:pPr>
          </w:p>
        </w:tc>
        <w:tc>
          <w:tcPr>
            <w:tcW w:w="0" w:type="auto"/>
            <w:shd w:val="clear" w:color="auto" w:fill="auto"/>
            <w:vAlign w:val="bottom"/>
          </w:tcPr>
          <w:p w14:paraId="74DDA197" w14:textId="77777777" w:rsidR="00584EC1" w:rsidRDefault="00584EC1">
            <w:pPr>
              <w:rPr>
                <w:rFonts w:ascii="宋体"/>
              </w:rPr>
            </w:pPr>
          </w:p>
        </w:tc>
        <w:tc>
          <w:tcPr>
            <w:tcW w:w="0" w:type="auto"/>
            <w:shd w:val="clear" w:color="auto" w:fill="auto"/>
            <w:vAlign w:val="bottom"/>
          </w:tcPr>
          <w:p w14:paraId="74DDA198" w14:textId="77777777" w:rsidR="00584EC1" w:rsidRDefault="00584EC1">
            <w:pPr>
              <w:rPr>
                <w:rFonts w:ascii="宋体"/>
              </w:rPr>
            </w:pPr>
          </w:p>
        </w:tc>
        <w:tc>
          <w:tcPr>
            <w:tcW w:w="0" w:type="auto"/>
            <w:shd w:val="clear" w:color="auto" w:fill="auto"/>
            <w:vAlign w:val="bottom"/>
          </w:tcPr>
          <w:p w14:paraId="74DDA199" w14:textId="77777777" w:rsidR="00584EC1" w:rsidRDefault="00584EC1">
            <w:pPr>
              <w:rPr>
                <w:rFonts w:ascii="宋体"/>
              </w:rPr>
            </w:pPr>
          </w:p>
        </w:tc>
        <w:tc>
          <w:tcPr>
            <w:tcW w:w="0" w:type="auto"/>
            <w:shd w:val="clear" w:color="auto" w:fill="auto"/>
            <w:vAlign w:val="bottom"/>
          </w:tcPr>
          <w:p w14:paraId="74DDA19A" w14:textId="77777777" w:rsidR="00584EC1" w:rsidRDefault="00584EC1">
            <w:pPr>
              <w:rPr>
                <w:rFonts w:ascii="宋体"/>
              </w:rPr>
            </w:pPr>
          </w:p>
        </w:tc>
        <w:tc>
          <w:tcPr>
            <w:tcW w:w="0" w:type="auto"/>
            <w:shd w:val="clear" w:color="auto" w:fill="auto"/>
            <w:vAlign w:val="bottom"/>
          </w:tcPr>
          <w:p w14:paraId="74DDA19B" w14:textId="77777777" w:rsidR="00584EC1" w:rsidRDefault="00584EC1">
            <w:pPr>
              <w:rPr>
                <w:rFonts w:ascii="宋体"/>
              </w:rPr>
            </w:pPr>
          </w:p>
        </w:tc>
      </w:tr>
      <w:tr w:rsidR="00584EC1" w14:paraId="74DDA1B9" w14:textId="77777777">
        <w:trPr>
          <w:hidden/>
        </w:trPr>
        <w:tc>
          <w:tcPr>
            <w:tcW w:w="0" w:type="auto"/>
            <w:gridSpan w:val="3"/>
            <w:shd w:val="clear" w:color="auto" w:fill="auto"/>
            <w:vAlign w:val="bottom"/>
          </w:tcPr>
          <w:p w14:paraId="74DDA19D" w14:textId="77777777" w:rsidR="00584EC1" w:rsidRDefault="00584EC1">
            <w:pPr>
              <w:rPr>
                <w:rFonts w:ascii="宋体"/>
                <w:vanish/>
              </w:rPr>
            </w:pPr>
          </w:p>
        </w:tc>
        <w:tc>
          <w:tcPr>
            <w:tcW w:w="0" w:type="auto"/>
            <w:gridSpan w:val="3"/>
            <w:shd w:val="clear" w:color="auto" w:fill="auto"/>
            <w:vAlign w:val="bottom"/>
          </w:tcPr>
          <w:p w14:paraId="74DDA19E" w14:textId="77777777" w:rsidR="00584EC1" w:rsidRDefault="00584EC1">
            <w:pPr>
              <w:rPr>
                <w:rFonts w:ascii="宋体"/>
                <w:vanish/>
              </w:rPr>
            </w:pPr>
          </w:p>
        </w:tc>
        <w:tc>
          <w:tcPr>
            <w:tcW w:w="0" w:type="auto"/>
            <w:gridSpan w:val="3"/>
            <w:shd w:val="clear" w:color="auto" w:fill="auto"/>
            <w:vAlign w:val="bottom"/>
          </w:tcPr>
          <w:p w14:paraId="74DDA19F" w14:textId="77777777" w:rsidR="00584EC1" w:rsidRDefault="00584EC1">
            <w:pPr>
              <w:rPr>
                <w:rFonts w:ascii="宋体"/>
                <w:vanish/>
              </w:rPr>
            </w:pPr>
          </w:p>
        </w:tc>
        <w:tc>
          <w:tcPr>
            <w:tcW w:w="0" w:type="auto"/>
            <w:gridSpan w:val="3"/>
            <w:shd w:val="clear" w:color="auto" w:fill="auto"/>
            <w:vAlign w:val="bottom"/>
          </w:tcPr>
          <w:p w14:paraId="74DDA1A0" w14:textId="77777777" w:rsidR="00584EC1" w:rsidRDefault="00584EC1">
            <w:pPr>
              <w:rPr>
                <w:rFonts w:ascii="宋体"/>
                <w:vanish/>
              </w:rPr>
            </w:pPr>
          </w:p>
        </w:tc>
        <w:tc>
          <w:tcPr>
            <w:tcW w:w="0" w:type="auto"/>
            <w:shd w:val="clear" w:color="auto" w:fill="auto"/>
            <w:vAlign w:val="bottom"/>
          </w:tcPr>
          <w:p w14:paraId="74DDA1A1" w14:textId="77777777" w:rsidR="00584EC1" w:rsidRDefault="00584EC1">
            <w:pPr>
              <w:rPr>
                <w:rFonts w:ascii="宋体"/>
              </w:rPr>
            </w:pPr>
          </w:p>
        </w:tc>
        <w:tc>
          <w:tcPr>
            <w:tcW w:w="0" w:type="auto"/>
            <w:shd w:val="clear" w:color="auto" w:fill="auto"/>
            <w:vAlign w:val="bottom"/>
          </w:tcPr>
          <w:p w14:paraId="74DDA1A2" w14:textId="77777777" w:rsidR="00584EC1" w:rsidRDefault="00584EC1">
            <w:pPr>
              <w:rPr>
                <w:rFonts w:ascii="宋体"/>
              </w:rPr>
            </w:pPr>
          </w:p>
        </w:tc>
        <w:tc>
          <w:tcPr>
            <w:tcW w:w="0" w:type="auto"/>
            <w:shd w:val="clear" w:color="auto" w:fill="auto"/>
            <w:vAlign w:val="bottom"/>
          </w:tcPr>
          <w:p w14:paraId="74DDA1A3" w14:textId="77777777" w:rsidR="00584EC1" w:rsidRDefault="00584EC1">
            <w:pPr>
              <w:rPr>
                <w:rFonts w:ascii="宋体"/>
              </w:rPr>
            </w:pPr>
          </w:p>
        </w:tc>
        <w:tc>
          <w:tcPr>
            <w:tcW w:w="0" w:type="auto"/>
            <w:shd w:val="clear" w:color="auto" w:fill="auto"/>
            <w:vAlign w:val="bottom"/>
          </w:tcPr>
          <w:p w14:paraId="74DDA1A4" w14:textId="77777777" w:rsidR="00584EC1" w:rsidRDefault="00584EC1">
            <w:pPr>
              <w:rPr>
                <w:rFonts w:ascii="宋体"/>
              </w:rPr>
            </w:pPr>
          </w:p>
        </w:tc>
        <w:tc>
          <w:tcPr>
            <w:tcW w:w="0" w:type="auto"/>
            <w:shd w:val="clear" w:color="auto" w:fill="auto"/>
            <w:vAlign w:val="bottom"/>
          </w:tcPr>
          <w:p w14:paraId="74DDA1A5" w14:textId="77777777" w:rsidR="00584EC1" w:rsidRDefault="00584EC1">
            <w:pPr>
              <w:rPr>
                <w:rFonts w:ascii="宋体"/>
              </w:rPr>
            </w:pPr>
          </w:p>
        </w:tc>
        <w:tc>
          <w:tcPr>
            <w:tcW w:w="0" w:type="auto"/>
            <w:shd w:val="clear" w:color="auto" w:fill="auto"/>
            <w:vAlign w:val="bottom"/>
          </w:tcPr>
          <w:p w14:paraId="74DDA1A6" w14:textId="77777777" w:rsidR="00584EC1" w:rsidRDefault="00584EC1">
            <w:pPr>
              <w:rPr>
                <w:rFonts w:ascii="宋体"/>
              </w:rPr>
            </w:pPr>
          </w:p>
        </w:tc>
        <w:tc>
          <w:tcPr>
            <w:tcW w:w="0" w:type="auto"/>
            <w:shd w:val="clear" w:color="auto" w:fill="auto"/>
            <w:vAlign w:val="bottom"/>
          </w:tcPr>
          <w:p w14:paraId="74DDA1A7" w14:textId="77777777" w:rsidR="00584EC1" w:rsidRDefault="00584EC1">
            <w:pPr>
              <w:rPr>
                <w:rFonts w:ascii="宋体"/>
              </w:rPr>
            </w:pPr>
          </w:p>
        </w:tc>
        <w:tc>
          <w:tcPr>
            <w:tcW w:w="0" w:type="auto"/>
            <w:shd w:val="clear" w:color="auto" w:fill="auto"/>
            <w:vAlign w:val="bottom"/>
          </w:tcPr>
          <w:p w14:paraId="74DDA1A8" w14:textId="77777777" w:rsidR="00584EC1" w:rsidRDefault="00584EC1">
            <w:pPr>
              <w:rPr>
                <w:rFonts w:ascii="宋体"/>
              </w:rPr>
            </w:pPr>
          </w:p>
        </w:tc>
        <w:tc>
          <w:tcPr>
            <w:tcW w:w="0" w:type="auto"/>
            <w:shd w:val="clear" w:color="auto" w:fill="auto"/>
            <w:vAlign w:val="bottom"/>
          </w:tcPr>
          <w:p w14:paraId="74DDA1A9" w14:textId="77777777" w:rsidR="00584EC1" w:rsidRDefault="00584EC1">
            <w:pPr>
              <w:rPr>
                <w:rFonts w:ascii="宋体"/>
              </w:rPr>
            </w:pPr>
          </w:p>
        </w:tc>
        <w:tc>
          <w:tcPr>
            <w:tcW w:w="0" w:type="auto"/>
            <w:shd w:val="clear" w:color="auto" w:fill="auto"/>
            <w:vAlign w:val="bottom"/>
          </w:tcPr>
          <w:p w14:paraId="74DDA1AA" w14:textId="77777777" w:rsidR="00584EC1" w:rsidRDefault="00584EC1">
            <w:pPr>
              <w:rPr>
                <w:rFonts w:ascii="宋体"/>
              </w:rPr>
            </w:pPr>
          </w:p>
        </w:tc>
        <w:tc>
          <w:tcPr>
            <w:tcW w:w="0" w:type="auto"/>
            <w:shd w:val="clear" w:color="auto" w:fill="auto"/>
            <w:vAlign w:val="bottom"/>
          </w:tcPr>
          <w:p w14:paraId="74DDA1AB" w14:textId="77777777" w:rsidR="00584EC1" w:rsidRDefault="00584EC1">
            <w:pPr>
              <w:rPr>
                <w:rFonts w:ascii="宋体"/>
              </w:rPr>
            </w:pPr>
          </w:p>
        </w:tc>
        <w:tc>
          <w:tcPr>
            <w:tcW w:w="0" w:type="auto"/>
            <w:shd w:val="clear" w:color="auto" w:fill="auto"/>
            <w:vAlign w:val="bottom"/>
          </w:tcPr>
          <w:p w14:paraId="74DDA1AC" w14:textId="77777777" w:rsidR="00584EC1" w:rsidRDefault="00584EC1">
            <w:pPr>
              <w:rPr>
                <w:rFonts w:ascii="宋体"/>
              </w:rPr>
            </w:pPr>
          </w:p>
        </w:tc>
        <w:tc>
          <w:tcPr>
            <w:tcW w:w="0" w:type="auto"/>
            <w:shd w:val="clear" w:color="auto" w:fill="auto"/>
            <w:vAlign w:val="bottom"/>
          </w:tcPr>
          <w:p w14:paraId="74DDA1AD" w14:textId="77777777" w:rsidR="00584EC1" w:rsidRDefault="00584EC1">
            <w:pPr>
              <w:rPr>
                <w:rFonts w:ascii="宋体"/>
              </w:rPr>
            </w:pPr>
          </w:p>
        </w:tc>
        <w:tc>
          <w:tcPr>
            <w:tcW w:w="0" w:type="auto"/>
            <w:shd w:val="clear" w:color="auto" w:fill="auto"/>
            <w:vAlign w:val="bottom"/>
          </w:tcPr>
          <w:p w14:paraId="74DDA1AE" w14:textId="77777777" w:rsidR="00584EC1" w:rsidRDefault="00584EC1">
            <w:pPr>
              <w:rPr>
                <w:rFonts w:ascii="宋体"/>
              </w:rPr>
            </w:pPr>
          </w:p>
        </w:tc>
        <w:tc>
          <w:tcPr>
            <w:tcW w:w="0" w:type="auto"/>
            <w:shd w:val="clear" w:color="auto" w:fill="auto"/>
            <w:vAlign w:val="bottom"/>
          </w:tcPr>
          <w:p w14:paraId="74DDA1AF" w14:textId="77777777" w:rsidR="00584EC1" w:rsidRDefault="00584EC1">
            <w:pPr>
              <w:rPr>
                <w:rFonts w:ascii="宋体"/>
              </w:rPr>
            </w:pPr>
          </w:p>
        </w:tc>
        <w:tc>
          <w:tcPr>
            <w:tcW w:w="0" w:type="auto"/>
            <w:shd w:val="clear" w:color="auto" w:fill="auto"/>
            <w:vAlign w:val="bottom"/>
          </w:tcPr>
          <w:p w14:paraId="74DDA1B0" w14:textId="77777777" w:rsidR="00584EC1" w:rsidRDefault="00584EC1">
            <w:pPr>
              <w:rPr>
                <w:rFonts w:ascii="宋体"/>
              </w:rPr>
            </w:pPr>
          </w:p>
        </w:tc>
        <w:tc>
          <w:tcPr>
            <w:tcW w:w="0" w:type="auto"/>
            <w:shd w:val="clear" w:color="auto" w:fill="auto"/>
            <w:vAlign w:val="bottom"/>
          </w:tcPr>
          <w:p w14:paraId="74DDA1B1" w14:textId="77777777" w:rsidR="00584EC1" w:rsidRDefault="00584EC1">
            <w:pPr>
              <w:rPr>
                <w:rFonts w:ascii="宋体"/>
              </w:rPr>
            </w:pPr>
          </w:p>
        </w:tc>
        <w:tc>
          <w:tcPr>
            <w:tcW w:w="0" w:type="auto"/>
            <w:shd w:val="clear" w:color="auto" w:fill="auto"/>
            <w:vAlign w:val="bottom"/>
          </w:tcPr>
          <w:p w14:paraId="74DDA1B2" w14:textId="77777777" w:rsidR="00584EC1" w:rsidRDefault="00584EC1">
            <w:pPr>
              <w:rPr>
                <w:rFonts w:ascii="宋体"/>
              </w:rPr>
            </w:pPr>
          </w:p>
        </w:tc>
        <w:tc>
          <w:tcPr>
            <w:tcW w:w="0" w:type="auto"/>
            <w:shd w:val="clear" w:color="auto" w:fill="auto"/>
            <w:vAlign w:val="bottom"/>
          </w:tcPr>
          <w:p w14:paraId="74DDA1B3" w14:textId="77777777" w:rsidR="00584EC1" w:rsidRDefault="00584EC1">
            <w:pPr>
              <w:rPr>
                <w:rFonts w:ascii="宋体"/>
              </w:rPr>
            </w:pPr>
          </w:p>
        </w:tc>
        <w:tc>
          <w:tcPr>
            <w:tcW w:w="0" w:type="auto"/>
            <w:shd w:val="clear" w:color="auto" w:fill="auto"/>
            <w:vAlign w:val="bottom"/>
          </w:tcPr>
          <w:p w14:paraId="74DDA1B4" w14:textId="77777777" w:rsidR="00584EC1" w:rsidRDefault="00584EC1">
            <w:pPr>
              <w:rPr>
                <w:rFonts w:ascii="宋体"/>
              </w:rPr>
            </w:pPr>
          </w:p>
        </w:tc>
        <w:tc>
          <w:tcPr>
            <w:tcW w:w="0" w:type="auto"/>
            <w:shd w:val="clear" w:color="auto" w:fill="auto"/>
            <w:vAlign w:val="bottom"/>
          </w:tcPr>
          <w:p w14:paraId="74DDA1B5" w14:textId="77777777" w:rsidR="00584EC1" w:rsidRDefault="00584EC1">
            <w:pPr>
              <w:rPr>
                <w:rFonts w:ascii="宋体"/>
              </w:rPr>
            </w:pPr>
          </w:p>
        </w:tc>
        <w:tc>
          <w:tcPr>
            <w:tcW w:w="0" w:type="auto"/>
            <w:shd w:val="clear" w:color="auto" w:fill="auto"/>
            <w:vAlign w:val="bottom"/>
          </w:tcPr>
          <w:p w14:paraId="74DDA1B6" w14:textId="77777777" w:rsidR="00584EC1" w:rsidRDefault="00584EC1">
            <w:pPr>
              <w:rPr>
                <w:rFonts w:ascii="宋体"/>
              </w:rPr>
            </w:pPr>
          </w:p>
        </w:tc>
        <w:tc>
          <w:tcPr>
            <w:tcW w:w="0" w:type="auto"/>
            <w:shd w:val="clear" w:color="auto" w:fill="auto"/>
            <w:vAlign w:val="bottom"/>
          </w:tcPr>
          <w:p w14:paraId="74DDA1B7" w14:textId="77777777" w:rsidR="00584EC1" w:rsidRDefault="00584EC1">
            <w:pPr>
              <w:rPr>
                <w:rFonts w:ascii="宋体"/>
              </w:rPr>
            </w:pPr>
          </w:p>
        </w:tc>
        <w:tc>
          <w:tcPr>
            <w:tcW w:w="0" w:type="auto"/>
            <w:shd w:val="clear" w:color="auto" w:fill="auto"/>
            <w:vAlign w:val="bottom"/>
          </w:tcPr>
          <w:p w14:paraId="74DDA1B8" w14:textId="77777777" w:rsidR="00584EC1" w:rsidRDefault="00584EC1">
            <w:pPr>
              <w:rPr>
                <w:rFonts w:ascii="宋体"/>
              </w:rPr>
            </w:pPr>
          </w:p>
        </w:tc>
      </w:tr>
      <w:tr w:rsidR="00584EC1" w14:paraId="74DDA1C6" w14:textId="77777777">
        <w:trPr>
          <w:hidden/>
        </w:trPr>
        <w:tc>
          <w:tcPr>
            <w:tcW w:w="0" w:type="auto"/>
            <w:gridSpan w:val="3"/>
            <w:shd w:val="clear" w:color="auto" w:fill="auto"/>
            <w:vAlign w:val="bottom"/>
          </w:tcPr>
          <w:p w14:paraId="74DDA1BA" w14:textId="77777777" w:rsidR="00584EC1" w:rsidRDefault="00584EC1">
            <w:pPr>
              <w:rPr>
                <w:rFonts w:ascii="宋体"/>
                <w:vanish/>
              </w:rPr>
            </w:pPr>
          </w:p>
        </w:tc>
        <w:tc>
          <w:tcPr>
            <w:tcW w:w="0" w:type="auto"/>
            <w:gridSpan w:val="3"/>
            <w:shd w:val="clear" w:color="auto" w:fill="auto"/>
            <w:vAlign w:val="bottom"/>
          </w:tcPr>
          <w:p w14:paraId="74DDA1BB" w14:textId="77777777" w:rsidR="00584EC1" w:rsidRDefault="00584EC1">
            <w:pPr>
              <w:rPr>
                <w:rFonts w:ascii="宋体"/>
                <w:vanish/>
              </w:rPr>
            </w:pPr>
          </w:p>
        </w:tc>
        <w:tc>
          <w:tcPr>
            <w:tcW w:w="0" w:type="auto"/>
            <w:gridSpan w:val="3"/>
            <w:shd w:val="clear" w:color="auto" w:fill="auto"/>
            <w:vAlign w:val="bottom"/>
          </w:tcPr>
          <w:p w14:paraId="74DDA1BC" w14:textId="77777777" w:rsidR="00584EC1" w:rsidRDefault="00584EC1">
            <w:pPr>
              <w:rPr>
                <w:rFonts w:ascii="宋体"/>
                <w:vanish/>
              </w:rPr>
            </w:pPr>
          </w:p>
        </w:tc>
        <w:tc>
          <w:tcPr>
            <w:tcW w:w="0" w:type="auto"/>
            <w:gridSpan w:val="3"/>
            <w:shd w:val="clear" w:color="auto" w:fill="auto"/>
            <w:vAlign w:val="bottom"/>
          </w:tcPr>
          <w:p w14:paraId="74DDA1BD" w14:textId="77777777" w:rsidR="00584EC1" w:rsidRDefault="00584EC1">
            <w:pPr>
              <w:rPr>
                <w:rFonts w:ascii="宋体"/>
                <w:vanish/>
              </w:rPr>
            </w:pPr>
          </w:p>
        </w:tc>
        <w:tc>
          <w:tcPr>
            <w:tcW w:w="0" w:type="auto"/>
            <w:gridSpan w:val="3"/>
            <w:shd w:val="clear" w:color="auto" w:fill="auto"/>
            <w:vAlign w:val="bottom"/>
          </w:tcPr>
          <w:p w14:paraId="74DDA1BE" w14:textId="77777777" w:rsidR="00584EC1" w:rsidRDefault="00584EC1">
            <w:pPr>
              <w:rPr>
                <w:rFonts w:ascii="宋体"/>
                <w:vanish/>
              </w:rPr>
            </w:pPr>
          </w:p>
        </w:tc>
        <w:tc>
          <w:tcPr>
            <w:tcW w:w="0" w:type="auto"/>
            <w:gridSpan w:val="3"/>
            <w:shd w:val="clear" w:color="auto" w:fill="auto"/>
            <w:vAlign w:val="bottom"/>
          </w:tcPr>
          <w:p w14:paraId="74DDA1BF" w14:textId="77777777" w:rsidR="00584EC1" w:rsidRDefault="00584EC1">
            <w:pPr>
              <w:rPr>
                <w:rFonts w:ascii="宋体"/>
                <w:vanish/>
              </w:rPr>
            </w:pPr>
          </w:p>
        </w:tc>
        <w:tc>
          <w:tcPr>
            <w:tcW w:w="0" w:type="auto"/>
            <w:gridSpan w:val="3"/>
            <w:shd w:val="clear" w:color="auto" w:fill="auto"/>
            <w:vAlign w:val="bottom"/>
          </w:tcPr>
          <w:p w14:paraId="74DDA1C0" w14:textId="77777777" w:rsidR="00584EC1" w:rsidRDefault="00584EC1">
            <w:pPr>
              <w:rPr>
                <w:rFonts w:ascii="宋体"/>
                <w:vanish/>
              </w:rPr>
            </w:pPr>
          </w:p>
        </w:tc>
        <w:tc>
          <w:tcPr>
            <w:tcW w:w="0" w:type="auto"/>
            <w:gridSpan w:val="3"/>
            <w:shd w:val="clear" w:color="auto" w:fill="auto"/>
            <w:vAlign w:val="bottom"/>
          </w:tcPr>
          <w:p w14:paraId="74DDA1C1" w14:textId="77777777" w:rsidR="00584EC1" w:rsidRDefault="00584EC1">
            <w:pPr>
              <w:rPr>
                <w:rFonts w:ascii="宋体"/>
                <w:vanish/>
              </w:rPr>
            </w:pPr>
          </w:p>
        </w:tc>
        <w:tc>
          <w:tcPr>
            <w:tcW w:w="0" w:type="auto"/>
            <w:gridSpan w:val="3"/>
            <w:shd w:val="clear" w:color="auto" w:fill="auto"/>
            <w:vAlign w:val="bottom"/>
          </w:tcPr>
          <w:p w14:paraId="74DDA1C2" w14:textId="77777777" w:rsidR="00584EC1" w:rsidRDefault="00584EC1">
            <w:pPr>
              <w:rPr>
                <w:rFonts w:ascii="宋体"/>
                <w:vanish/>
              </w:rPr>
            </w:pPr>
          </w:p>
        </w:tc>
        <w:tc>
          <w:tcPr>
            <w:tcW w:w="0" w:type="auto"/>
            <w:gridSpan w:val="3"/>
            <w:shd w:val="clear" w:color="auto" w:fill="auto"/>
            <w:vAlign w:val="bottom"/>
          </w:tcPr>
          <w:p w14:paraId="74DDA1C3" w14:textId="77777777" w:rsidR="00584EC1" w:rsidRDefault="00584EC1">
            <w:pPr>
              <w:rPr>
                <w:rFonts w:ascii="宋体"/>
                <w:vanish/>
              </w:rPr>
            </w:pPr>
          </w:p>
        </w:tc>
        <w:tc>
          <w:tcPr>
            <w:tcW w:w="0" w:type="auto"/>
            <w:gridSpan w:val="3"/>
            <w:shd w:val="clear" w:color="auto" w:fill="auto"/>
            <w:vAlign w:val="bottom"/>
          </w:tcPr>
          <w:p w14:paraId="74DDA1C4" w14:textId="77777777" w:rsidR="00584EC1" w:rsidRDefault="00584EC1">
            <w:pPr>
              <w:rPr>
                <w:rFonts w:ascii="宋体"/>
                <w:vanish/>
              </w:rPr>
            </w:pPr>
          </w:p>
        </w:tc>
        <w:tc>
          <w:tcPr>
            <w:tcW w:w="0" w:type="auto"/>
            <w:gridSpan w:val="3"/>
            <w:shd w:val="clear" w:color="auto" w:fill="auto"/>
            <w:vAlign w:val="bottom"/>
          </w:tcPr>
          <w:p w14:paraId="74DDA1C5" w14:textId="77777777" w:rsidR="00584EC1" w:rsidRDefault="00584EC1">
            <w:pPr>
              <w:rPr>
                <w:rFonts w:ascii="宋体"/>
                <w:vanish/>
              </w:rPr>
            </w:pPr>
          </w:p>
        </w:tc>
      </w:tr>
      <w:tr w:rsidR="00584EC1" w14:paraId="74DDA1D3" w14:textId="77777777">
        <w:trPr>
          <w:hidden/>
        </w:trPr>
        <w:tc>
          <w:tcPr>
            <w:tcW w:w="0" w:type="auto"/>
            <w:gridSpan w:val="3"/>
            <w:shd w:val="clear" w:color="auto" w:fill="auto"/>
            <w:vAlign w:val="bottom"/>
          </w:tcPr>
          <w:p w14:paraId="74DDA1C7" w14:textId="77777777" w:rsidR="00584EC1" w:rsidRDefault="00584EC1">
            <w:pPr>
              <w:rPr>
                <w:rFonts w:ascii="宋体"/>
                <w:vanish/>
              </w:rPr>
            </w:pPr>
          </w:p>
        </w:tc>
        <w:tc>
          <w:tcPr>
            <w:tcW w:w="0" w:type="auto"/>
            <w:gridSpan w:val="3"/>
            <w:shd w:val="clear" w:color="auto" w:fill="auto"/>
            <w:vAlign w:val="bottom"/>
          </w:tcPr>
          <w:p w14:paraId="74DDA1C8" w14:textId="77777777" w:rsidR="00584EC1" w:rsidRDefault="00584EC1">
            <w:pPr>
              <w:rPr>
                <w:rFonts w:ascii="宋体"/>
                <w:vanish/>
              </w:rPr>
            </w:pPr>
          </w:p>
        </w:tc>
        <w:tc>
          <w:tcPr>
            <w:tcW w:w="0" w:type="auto"/>
            <w:gridSpan w:val="3"/>
            <w:shd w:val="clear" w:color="auto" w:fill="auto"/>
            <w:vAlign w:val="bottom"/>
          </w:tcPr>
          <w:p w14:paraId="74DDA1C9" w14:textId="77777777" w:rsidR="00584EC1" w:rsidRDefault="00584EC1">
            <w:pPr>
              <w:rPr>
                <w:rFonts w:ascii="宋体"/>
                <w:vanish/>
              </w:rPr>
            </w:pPr>
          </w:p>
        </w:tc>
        <w:tc>
          <w:tcPr>
            <w:tcW w:w="0" w:type="auto"/>
            <w:gridSpan w:val="3"/>
            <w:shd w:val="clear" w:color="auto" w:fill="auto"/>
            <w:vAlign w:val="bottom"/>
          </w:tcPr>
          <w:p w14:paraId="74DDA1CA" w14:textId="77777777" w:rsidR="00584EC1" w:rsidRDefault="00584EC1">
            <w:pPr>
              <w:rPr>
                <w:rFonts w:ascii="宋体"/>
                <w:vanish/>
              </w:rPr>
            </w:pPr>
          </w:p>
        </w:tc>
        <w:tc>
          <w:tcPr>
            <w:tcW w:w="0" w:type="auto"/>
            <w:gridSpan w:val="3"/>
            <w:shd w:val="clear" w:color="auto" w:fill="auto"/>
            <w:vAlign w:val="bottom"/>
          </w:tcPr>
          <w:p w14:paraId="74DDA1CB" w14:textId="77777777" w:rsidR="00584EC1" w:rsidRDefault="00584EC1">
            <w:pPr>
              <w:rPr>
                <w:rFonts w:ascii="宋体"/>
                <w:vanish/>
              </w:rPr>
            </w:pPr>
          </w:p>
        </w:tc>
        <w:tc>
          <w:tcPr>
            <w:tcW w:w="0" w:type="auto"/>
            <w:gridSpan w:val="3"/>
            <w:shd w:val="clear" w:color="auto" w:fill="auto"/>
            <w:vAlign w:val="bottom"/>
          </w:tcPr>
          <w:p w14:paraId="74DDA1CC" w14:textId="77777777" w:rsidR="00584EC1" w:rsidRDefault="00584EC1">
            <w:pPr>
              <w:rPr>
                <w:rFonts w:ascii="宋体"/>
                <w:vanish/>
              </w:rPr>
            </w:pPr>
          </w:p>
        </w:tc>
        <w:tc>
          <w:tcPr>
            <w:tcW w:w="0" w:type="auto"/>
            <w:gridSpan w:val="3"/>
            <w:shd w:val="clear" w:color="auto" w:fill="auto"/>
            <w:vAlign w:val="bottom"/>
          </w:tcPr>
          <w:p w14:paraId="74DDA1CD" w14:textId="77777777" w:rsidR="00584EC1" w:rsidRDefault="00584EC1">
            <w:pPr>
              <w:rPr>
                <w:rFonts w:ascii="宋体"/>
                <w:vanish/>
              </w:rPr>
            </w:pPr>
          </w:p>
        </w:tc>
        <w:tc>
          <w:tcPr>
            <w:tcW w:w="0" w:type="auto"/>
            <w:gridSpan w:val="3"/>
            <w:shd w:val="clear" w:color="auto" w:fill="auto"/>
            <w:vAlign w:val="bottom"/>
          </w:tcPr>
          <w:p w14:paraId="74DDA1CE" w14:textId="77777777" w:rsidR="00584EC1" w:rsidRDefault="00584EC1">
            <w:pPr>
              <w:rPr>
                <w:rFonts w:ascii="宋体"/>
                <w:vanish/>
              </w:rPr>
            </w:pPr>
          </w:p>
        </w:tc>
        <w:tc>
          <w:tcPr>
            <w:tcW w:w="0" w:type="auto"/>
            <w:gridSpan w:val="3"/>
            <w:shd w:val="clear" w:color="auto" w:fill="auto"/>
            <w:vAlign w:val="bottom"/>
          </w:tcPr>
          <w:p w14:paraId="74DDA1CF" w14:textId="77777777" w:rsidR="00584EC1" w:rsidRDefault="00584EC1">
            <w:pPr>
              <w:rPr>
                <w:rFonts w:ascii="宋体"/>
                <w:vanish/>
              </w:rPr>
            </w:pPr>
          </w:p>
        </w:tc>
        <w:tc>
          <w:tcPr>
            <w:tcW w:w="0" w:type="auto"/>
            <w:gridSpan w:val="3"/>
            <w:shd w:val="clear" w:color="auto" w:fill="auto"/>
            <w:vAlign w:val="bottom"/>
          </w:tcPr>
          <w:p w14:paraId="74DDA1D0" w14:textId="77777777" w:rsidR="00584EC1" w:rsidRDefault="00584EC1">
            <w:pPr>
              <w:rPr>
                <w:rFonts w:ascii="宋体"/>
                <w:vanish/>
              </w:rPr>
            </w:pPr>
          </w:p>
        </w:tc>
        <w:tc>
          <w:tcPr>
            <w:tcW w:w="0" w:type="auto"/>
            <w:gridSpan w:val="3"/>
            <w:shd w:val="clear" w:color="auto" w:fill="auto"/>
            <w:vAlign w:val="bottom"/>
          </w:tcPr>
          <w:p w14:paraId="74DDA1D1" w14:textId="77777777" w:rsidR="00584EC1" w:rsidRDefault="00584EC1">
            <w:pPr>
              <w:rPr>
                <w:rFonts w:ascii="宋体"/>
                <w:vanish/>
              </w:rPr>
            </w:pPr>
          </w:p>
        </w:tc>
        <w:tc>
          <w:tcPr>
            <w:tcW w:w="0" w:type="auto"/>
            <w:gridSpan w:val="3"/>
            <w:shd w:val="clear" w:color="auto" w:fill="auto"/>
            <w:vAlign w:val="bottom"/>
          </w:tcPr>
          <w:p w14:paraId="74DDA1D2" w14:textId="77777777" w:rsidR="00584EC1" w:rsidRDefault="00584EC1">
            <w:pPr>
              <w:rPr>
                <w:rFonts w:ascii="宋体"/>
                <w:vanish/>
              </w:rPr>
            </w:pPr>
          </w:p>
        </w:tc>
      </w:tr>
      <w:tr w:rsidR="00584EC1" w14:paraId="74DDA1E0" w14:textId="77777777">
        <w:trPr>
          <w:hidden/>
        </w:trPr>
        <w:tc>
          <w:tcPr>
            <w:tcW w:w="0" w:type="auto"/>
            <w:gridSpan w:val="3"/>
            <w:shd w:val="clear" w:color="auto" w:fill="auto"/>
            <w:vAlign w:val="bottom"/>
          </w:tcPr>
          <w:p w14:paraId="74DDA1D4" w14:textId="77777777" w:rsidR="00584EC1" w:rsidRDefault="00584EC1">
            <w:pPr>
              <w:rPr>
                <w:rFonts w:ascii="宋体"/>
                <w:vanish/>
              </w:rPr>
            </w:pPr>
          </w:p>
        </w:tc>
        <w:tc>
          <w:tcPr>
            <w:tcW w:w="0" w:type="auto"/>
            <w:gridSpan w:val="3"/>
            <w:shd w:val="clear" w:color="auto" w:fill="auto"/>
            <w:vAlign w:val="bottom"/>
          </w:tcPr>
          <w:p w14:paraId="74DDA1D5" w14:textId="77777777" w:rsidR="00584EC1" w:rsidRDefault="00584EC1">
            <w:pPr>
              <w:rPr>
                <w:rFonts w:ascii="宋体"/>
                <w:vanish/>
              </w:rPr>
            </w:pPr>
          </w:p>
        </w:tc>
        <w:tc>
          <w:tcPr>
            <w:tcW w:w="0" w:type="auto"/>
            <w:gridSpan w:val="3"/>
            <w:shd w:val="clear" w:color="auto" w:fill="auto"/>
            <w:vAlign w:val="bottom"/>
          </w:tcPr>
          <w:p w14:paraId="74DDA1D6" w14:textId="77777777" w:rsidR="00584EC1" w:rsidRDefault="00584EC1">
            <w:pPr>
              <w:rPr>
                <w:rFonts w:ascii="宋体"/>
                <w:vanish/>
              </w:rPr>
            </w:pPr>
          </w:p>
        </w:tc>
        <w:tc>
          <w:tcPr>
            <w:tcW w:w="0" w:type="auto"/>
            <w:gridSpan w:val="3"/>
            <w:shd w:val="clear" w:color="auto" w:fill="auto"/>
            <w:vAlign w:val="bottom"/>
          </w:tcPr>
          <w:p w14:paraId="74DDA1D7" w14:textId="77777777" w:rsidR="00584EC1" w:rsidRDefault="00584EC1">
            <w:pPr>
              <w:rPr>
                <w:rFonts w:ascii="宋体"/>
                <w:vanish/>
              </w:rPr>
            </w:pPr>
          </w:p>
        </w:tc>
        <w:tc>
          <w:tcPr>
            <w:tcW w:w="0" w:type="auto"/>
            <w:gridSpan w:val="3"/>
            <w:shd w:val="clear" w:color="auto" w:fill="auto"/>
            <w:vAlign w:val="bottom"/>
          </w:tcPr>
          <w:p w14:paraId="74DDA1D8" w14:textId="77777777" w:rsidR="00584EC1" w:rsidRDefault="00584EC1">
            <w:pPr>
              <w:rPr>
                <w:rFonts w:ascii="宋体"/>
                <w:vanish/>
              </w:rPr>
            </w:pPr>
          </w:p>
        </w:tc>
        <w:tc>
          <w:tcPr>
            <w:tcW w:w="0" w:type="auto"/>
            <w:gridSpan w:val="3"/>
            <w:shd w:val="clear" w:color="auto" w:fill="auto"/>
            <w:vAlign w:val="bottom"/>
          </w:tcPr>
          <w:p w14:paraId="74DDA1D9" w14:textId="77777777" w:rsidR="00584EC1" w:rsidRDefault="00584EC1">
            <w:pPr>
              <w:rPr>
                <w:rFonts w:ascii="宋体"/>
                <w:vanish/>
              </w:rPr>
            </w:pPr>
          </w:p>
        </w:tc>
        <w:tc>
          <w:tcPr>
            <w:tcW w:w="0" w:type="auto"/>
            <w:gridSpan w:val="3"/>
            <w:shd w:val="clear" w:color="auto" w:fill="auto"/>
            <w:vAlign w:val="bottom"/>
          </w:tcPr>
          <w:p w14:paraId="74DDA1DA" w14:textId="77777777" w:rsidR="00584EC1" w:rsidRDefault="00584EC1">
            <w:pPr>
              <w:rPr>
                <w:rFonts w:ascii="宋体"/>
                <w:vanish/>
              </w:rPr>
            </w:pPr>
          </w:p>
        </w:tc>
        <w:tc>
          <w:tcPr>
            <w:tcW w:w="0" w:type="auto"/>
            <w:gridSpan w:val="3"/>
            <w:shd w:val="clear" w:color="auto" w:fill="auto"/>
            <w:vAlign w:val="bottom"/>
          </w:tcPr>
          <w:p w14:paraId="74DDA1DB" w14:textId="77777777" w:rsidR="00584EC1" w:rsidRDefault="00584EC1">
            <w:pPr>
              <w:rPr>
                <w:rFonts w:ascii="宋体"/>
                <w:vanish/>
              </w:rPr>
            </w:pPr>
          </w:p>
        </w:tc>
        <w:tc>
          <w:tcPr>
            <w:tcW w:w="0" w:type="auto"/>
            <w:gridSpan w:val="3"/>
            <w:shd w:val="clear" w:color="auto" w:fill="auto"/>
            <w:vAlign w:val="bottom"/>
          </w:tcPr>
          <w:p w14:paraId="74DDA1DC" w14:textId="77777777" w:rsidR="00584EC1" w:rsidRDefault="00584EC1">
            <w:pPr>
              <w:rPr>
                <w:rFonts w:ascii="宋体"/>
                <w:vanish/>
              </w:rPr>
            </w:pPr>
          </w:p>
        </w:tc>
        <w:tc>
          <w:tcPr>
            <w:tcW w:w="0" w:type="auto"/>
            <w:gridSpan w:val="3"/>
            <w:shd w:val="clear" w:color="auto" w:fill="auto"/>
            <w:vAlign w:val="bottom"/>
          </w:tcPr>
          <w:p w14:paraId="74DDA1DD" w14:textId="77777777" w:rsidR="00584EC1" w:rsidRDefault="00584EC1">
            <w:pPr>
              <w:rPr>
                <w:rFonts w:ascii="宋体"/>
                <w:vanish/>
              </w:rPr>
            </w:pPr>
          </w:p>
        </w:tc>
        <w:tc>
          <w:tcPr>
            <w:tcW w:w="0" w:type="auto"/>
            <w:gridSpan w:val="3"/>
            <w:shd w:val="clear" w:color="auto" w:fill="auto"/>
            <w:vAlign w:val="bottom"/>
          </w:tcPr>
          <w:p w14:paraId="74DDA1DE" w14:textId="77777777" w:rsidR="00584EC1" w:rsidRDefault="00584EC1">
            <w:pPr>
              <w:rPr>
                <w:rFonts w:ascii="宋体"/>
                <w:vanish/>
              </w:rPr>
            </w:pPr>
          </w:p>
        </w:tc>
        <w:tc>
          <w:tcPr>
            <w:tcW w:w="0" w:type="auto"/>
            <w:gridSpan w:val="3"/>
            <w:shd w:val="clear" w:color="auto" w:fill="auto"/>
            <w:vAlign w:val="bottom"/>
          </w:tcPr>
          <w:p w14:paraId="74DDA1DF" w14:textId="77777777" w:rsidR="00584EC1" w:rsidRDefault="00584EC1">
            <w:pPr>
              <w:rPr>
                <w:rFonts w:ascii="宋体"/>
                <w:vanish/>
              </w:rPr>
            </w:pPr>
          </w:p>
        </w:tc>
      </w:tr>
      <w:tr w:rsidR="00584EC1" w14:paraId="74DDA1ED" w14:textId="77777777">
        <w:trPr>
          <w:hidden/>
        </w:trPr>
        <w:tc>
          <w:tcPr>
            <w:tcW w:w="0" w:type="auto"/>
            <w:gridSpan w:val="3"/>
            <w:shd w:val="clear" w:color="auto" w:fill="auto"/>
            <w:vAlign w:val="bottom"/>
          </w:tcPr>
          <w:p w14:paraId="74DDA1E1" w14:textId="77777777" w:rsidR="00584EC1" w:rsidRDefault="00584EC1">
            <w:pPr>
              <w:rPr>
                <w:rFonts w:ascii="宋体"/>
                <w:vanish/>
              </w:rPr>
            </w:pPr>
          </w:p>
        </w:tc>
        <w:tc>
          <w:tcPr>
            <w:tcW w:w="0" w:type="auto"/>
            <w:gridSpan w:val="3"/>
            <w:shd w:val="clear" w:color="auto" w:fill="auto"/>
            <w:vAlign w:val="bottom"/>
          </w:tcPr>
          <w:p w14:paraId="74DDA1E2" w14:textId="77777777" w:rsidR="00584EC1" w:rsidRDefault="00584EC1">
            <w:pPr>
              <w:rPr>
                <w:rFonts w:ascii="宋体"/>
                <w:vanish/>
              </w:rPr>
            </w:pPr>
          </w:p>
        </w:tc>
        <w:tc>
          <w:tcPr>
            <w:tcW w:w="0" w:type="auto"/>
            <w:gridSpan w:val="3"/>
            <w:shd w:val="clear" w:color="auto" w:fill="auto"/>
            <w:vAlign w:val="bottom"/>
          </w:tcPr>
          <w:p w14:paraId="74DDA1E3" w14:textId="77777777" w:rsidR="00584EC1" w:rsidRDefault="00584EC1">
            <w:pPr>
              <w:rPr>
                <w:rFonts w:ascii="宋体"/>
                <w:vanish/>
              </w:rPr>
            </w:pPr>
          </w:p>
        </w:tc>
        <w:tc>
          <w:tcPr>
            <w:tcW w:w="0" w:type="auto"/>
            <w:gridSpan w:val="3"/>
            <w:shd w:val="clear" w:color="auto" w:fill="auto"/>
            <w:vAlign w:val="bottom"/>
          </w:tcPr>
          <w:p w14:paraId="74DDA1E4" w14:textId="77777777" w:rsidR="00584EC1" w:rsidRDefault="00584EC1">
            <w:pPr>
              <w:rPr>
                <w:rFonts w:ascii="宋体"/>
                <w:vanish/>
              </w:rPr>
            </w:pPr>
          </w:p>
        </w:tc>
        <w:tc>
          <w:tcPr>
            <w:tcW w:w="0" w:type="auto"/>
            <w:gridSpan w:val="3"/>
            <w:shd w:val="clear" w:color="auto" w:fill="auto"/>
            <w:vAlign w:val="bottom"/>
          </w:tcPr>
          <w:p w14:paraId="74DDA1E5" w14:textId="77777777" w:rsidR="00584EC1" w:rsidRDefault="00584EC1">
            <w:pPr>
              <w:rPr>
                <w:rFonts w:ascii="宋体"/>
                <w:vanish/>
              </w:rPr>
            </w:pPr>
          </w:p>
        </w:tc>
        <w:tc>
          <w:tcPr>
            <w:tcW w:w="0" w:type="auto"/>
            <w:gridSpan w:val="3"/>
            <w:shd w:val="clear" w:color="auto" w:fill="auto"/>
            <w:vAlign w:val="bottom"/>
          </w:tcPr>
          <w:p w14:paraId="74DDA1E6" w14:textId="77777777" w:rsidR="00584EC1" w:rsidRDefault="00584EC1">
            <w:pPr>
              <w:rPr>
                <w:rFonts w:ascii="宋体"/>
                <w:vanish/>
              </w:rPr>
            </w:pPr>
          </w:p>
        </w:tc>
        <w:tc>
          <w:tcPr>
            <w:tcW w:w="0" w:type="auto"/>
            <w:gridSpan w:val="3"/>
            <w:shd w:val="clear" w:color="auto" w:fill="auto"/>
            <w:vAlign w:val="bottom"/>
          </w:tcPr>
          <w:p w14:paraId="74DDA1E7" w14:textId="77777777" w:rsidR="00584EC1" w:rsidRDefault="00584EC1">
            <w:pPr>
              <w:rPr>
                <w:rFonts w:ascii="宋体"/>
                <w:vanish/>
              </w:rPr>
            </w:pPr>
          </w:p>
        </w:tc>
        <w:tc>
          <w:tcPr>
            <w:tcW w:w="0" w:type="auto"/>
            <w:gridSpan w:val="3"/>
            <w:shd w:val="clear" w:color="auto" w:fill="auto"/>
            <w:vAlign w:val="bottom"/>
          </w:tcPr>
          <w:p w14:paraId="74DDA1E8" w14:textId="77777777" w:rsidR="00584EC1" w:rsidRDefault="00584EC1">
            <w:pPr>
              <w:rPr>
                <w:rFonts w:ascii="宋体"/>
                <w:vanish/>
              </w:rPr>
            </w:pPr>
          </w:p>
        </w:tc>
        <w:tc>
          <w:tcPr>
            <w:tcW w:w="0" w:type="auto"/>
            <w:gridSpan w:val="3"/>
            <w:shd w:val="clear" w:color="auto" w:fill="auto"/>
            <w:vAlign w:val="bottom"/>
          </w:tcPr>
          <w:p w14:paraId="74DDA1E9" w14:textId="77777777" w:rsidR="00584EC1" w:rsidRDefault="00584EC1">
            <w:pPr>
              <w:rPr>
                <w:rFonts w:ascii="宋体"/>
                <w:vanish/>
              </w:rPr>
            </w:pPr>
          </w:p>
        </w:tc>
        <w:tc>
          <w:tcPr>
            <w:tcW w:w="0" w:type="auto"/>
            <w:gridSpan w:val="3"/>
            <w:shd w:val="clear" w:color="auto" w:fill="auto"/>
            <w:vAlign w:val="bottom"/>
          </w:tcPr>
          <w:p w14:paraId="74DDA1EA" w14:textId="77777777" w:rsidR="00584EC1" w:rsidRDefault="00584EC1">
            <w:pPr>
              <w:rPr>
                <w:rFonts w:ascii="宋体"/>
                <w:vanish/>
              </w:rPr>
            </w:pPr>
          </w:p>
        </w:tc>
        <w:tc>
          <w:tcPr>
            <w:tcW w:w="0" w:type="auto"/>
            <w:gridSpan w:val="3"/>
            <w:shd w:val="clear" w:color="auto" w:fill="auto"/>
            <w:vAlign w:val="bottom"/>
          </w:tcPr>
          <w:p w14:paraId="74DDA1EB" w14:textId="77777777" w:rsidR="00584EC1" w:rsidRDefault="00584EC1">
            <w:pPr>
              <w:rPr>
                <w:rFonts w:ascii="宋体"/>
                <w:vanish/>
              </w:rPr>
            </w:pPr>
          </w:p>
        </w:tc>
        <w:tc>
          <w:tcPr>
            <w:tcW w:w="0" w:type="auto"/>
            <w:gridSpan w:val="3"/>
            <w:shd w:val="clear" w:color="auto" w:fill="auto"/>
            <w:vAlign w:val="bottom"/>
          </w:tcPr>
          <w:p w14:paraId="74DDA1EC" w14:textId="77777777" w:rsidR="00584EC1" w:rsidRDefault="00584EC1">
            <w:pPr>
              <w:rPr>
                <w:rFonts w:ascii="宋体"/>
                <w:vanish/>
              </w:rPr>
            </w:pPr>
          </w:p>
        </w:tc>
      </w:tr>
      <w:tr w:rsidR="00584EC1" w14:paraId="74DDA1FA" w14:textId="77777777">
        <w:trPr>
          <w:hidden/>
        </w:trPr>
        <w:tc>
          <w:tcPr>
            <w:tcW w:w="0" w:type="auto"/>
            <w:gridSpan w:val="3"/>
            <w:shd w:val="clear" w:color="auto" w:fill="auto"/>
            <w:vAlign w:val="bottom"/>
          </w:tcPr>
          <w:p w14:paraId="74DDA1EE" w14:textId="77777777" w:rsidR="00584EC1" w:rsidRDefault="00584EC1">
            <w:pPr>
              <w:rPr>
                <w:rFonts w:ascii="宋体"/>
                <w:vanish/>
              </w:rPr>
            </w:pPr>
          </w:p>
        </w:tc>
        <w:tc>
          <w:tcPr>
            <w:tcW w:w="0" w:type="auto"/>
            <w:gridSpan w:val="3"/>
            <w:shd w:val="clear" w:color="auto" w:fill="auto"/>
            <w:vAlign w:val="bottom"/>
          </w:tcPr>
          <w:p w14:paraId="74DDA1EF" w14:textId="77777777" w:rsidR="00584EC1" w:rsidRDefault="00584EC1">
            <w:pPr>
              <w:rPr>
                <w:rFonts w:ascii="宋体"/>
                <w:vanish/>
              </w:rPr>
            </w:pPr>
          </w:p>
        </w:tc>
        <w:tc>
          <w:tcPr>
            <w:tcW w:w="0" w:type="auto"/>
            <w:gridSpan w:val="3"/>
            <w:shd w:val="clear" w:color="auto" w:fill="auto"/>
            <w:vAlign w:val="bottom"/>
          </w:tcPr>
          <w:p w14:paraId="74DDA1F0" w14:textId="77777777" w:rsidR="00584EC1" w:rsidRDefault="00584EC1">
            <w:pPr>
              <w:rPr>
                <w:rFonts w:ascii="宋体"/>
                <w:vanish/>
              </w:rPr>
            </w:pPr>
          </w:p>
        </w:tc>
        <w:tc>
          <w:tcPr>
            <w:tcW w:w="0" w:type="auto"/>
            <w:gridSpan w:val="3"/>
            <w:shd w:val="clear" w:color="auto" w:fill="auto"/>
            <w:vAlign w:val="bottom"/>
          </w:tcPr>
          <w:p w14:paraId="74DDA1F1" w14:textId="77777777" w:rsidR="00584EC1" w:rsidRDefault="00584EC1">
            <w:pPr>
              <w:rPr>
                <w:rFonts w:ascii="宋体"/>
                <w:vanish/>
              </w:rPr>
            </w:pPr>
          </w:p>
        </w:tc>
        <w:tc>
          <w:tcPr>
            <w:tcW w:w="0" w:type="auto"/>
            <w:gridSpan w:val="3"/>
            <w:shd w:val="clear" w:color="auto" w:fill="auto"/>
            <w:vAlign w:val="bottom"/>
          </w:tcPr>
          <w:p w14:paraId="74DDA1F2" w14:textId="77777777" w:rsidR="00584EC1" w:rsidRDefault="00584EC1">
            <w:pPr>
              <w:rPr>
                <w:rFonts w:ascii="宋体"/>
                <w:vanish/>
              </w:rPr>
            </w:pPr>
          </w:p>
        </w:tc>
        <w:tc>
          <w:tcPr>
            <w:tcW w:w="0" w:type="auto"/>
            <w:gridSpan w:val="3"/>
            <w:shd w:val="clear" w:color="auto" w:fill="auto"/>
            <w:vAlign w:val="bottom"/>
          </w:tcPr>
          <w:p w14:paraId="74DDA1F3" w14:textId="77777777" w:rsidR="00584EC1" w:rsidRDefault="00584EC1">
            <w:pPr>
              <w:rPr>
                <w:rFonts w:ascii="宋体"/>
                <w:vanish/>
              </w:rPr>
            </w:pPr>
          </w:p>
        </w:tc>
        <w:tc>
          <w:tcPr>
            <w:tcW w:w="0" w:type="auto"/>
            <w:gridSpan w:val="3"/>
            <w:shd w:val="clear" w:color="auto" w:fill="auto"/>
            <w:vAlign w:val="bottom"/>
          </w:tcPr>
          <w:p w14:paraId="74DDA1F4" w14:textId="77777777" w:rsidR="00584EC1" w:rsidRDefault="00584EC1">
            <w:pPr>
              <w:rPr>
                <w:rFonts w:ascii="宋体"/>
                <w:vanish/>
              </w:rPr>
            </w:pPr>
          </w:p>
        </w:tc>
        <w:tc>
          <w:tcPr>
            <w:tcW w:w="0" w:type="auto"/>
            <w:gridSpan w:val="3"/>
            <w:shd w:val="clear" w:color="auto" w:fill="auto"/>
            <w:vAlign w:val="bottom"/>
          </w:tcPr>
          <w:p w14:paraId="74DDA1F5" w14:textId="77777777" w:rsidR="00584EC1" w:rsidRDefault="00584EC1">
            <w:pPr>
              <w:rPr>
                <w:rFonts w:ascii="宋体"/>
                <w:vanish/>
              </w:rPr>
            </w:pPr>
          </w:p>
        </w:tc>
        <w:tc>
          <w:tcPr>
            <w:tcW w:w="0" w:type="auto"/>
            <w:gridSpan w:val="3"/>
            <w:shd w:val="clear" w:color="auto" w:fill="auto"/>
            <w:vAlign w:val="bottom"/>
          </w:tcPr>
          <w:p w14:paraId="74DDA1F6" w14:textId="77777777" w:rsidR="00584EC1" w:rsidRDefault="00584EC1">
            <w:pPr>
              <w:rPr>
                <w:rFonts w:ascii="宋体"/>
                <w:vanish/>
              </w:rPr>
            </w:pPr>
          </w:p>
        </w:tc>
        <w:tc>
          <w:tcPr>
            <w:tcW w:w="0" w:type="auto"/>
            <w:gridSpan w:val="3"/>
            <w:shd w:val="clear" w:color="auto" w:fill="auto"/>
            <w:vAlign w:val="bottom"/>
          </w:tcPr>
          <w:p w14:paraId="74DDA1F7" w14:textId="77777777" w:rsidR="00584EC1" w:rsidRDefault="00584EC1">
            <w:pPr>
              <w:rPr>
                <w:rFonts w:ascii="宋体"/>
                <w:vanish/>
              </w:rPr>
            </w:pPr>
          </w:p>
        </w:tc>
        <w:tc>
          <w:tcPr>
            <w:tcW w:w="0" w:type="auto"/>
            <w:gridSpan w:val="3"/>
            <w:shd w:val="clear" w:color="auto" w:fill="auto"/>
            <w:vAlign w:val="bottom"/>
          </w:tcPr>
          <w:p w14:paraId="74DDA1F8" w14:textId="77777777" w:rsidR="00584EC1" w:rsidRDefault="00584EC1">
            <w:pPr>
              <w:rPr>
                <w:rFonts w:ascii="宋体"/>
                <w:vanish/>
              </w:rPr>
            </w:pPr>
          </w:p>
        </w:tc>
        <w:tc>
          <w:tcPr>
            <w:tcW w:w="0" w:type="auto"/>
            <w:gridSpan w:val="3"/>
            <w:shd w:val="clear" w:color="auto" w:fill="auto"/>
            <w:vAlign w:val="bottom"/>
          </w:tcPr>
          <w:p w14:paraId="74DDA1F9" w14:textId="77777777" w:rsidR="00584EC1" w:rsidRDefault="00584EC1">
            <w:pPr>
              <w:rPr>
                <w:rFonts w:ascii="宋体"/>
                <w:vanish/>
              </w:rPr>
            </w:pPr>
          </w:p>
        </w:tc>
      </w:tr>
      <w:tr w:rsidR="00584EC1" w14:paraId="74DDA207" w14:textId="77777777">
        <w:trPr>
          <w:hidden/>
        </w:trPr>
        <w:tc>
          <w:tcPr>
            <w:tcW w:w="0" w:type="auto"/>
            <w:gridSpan w:val="3"/>
            <w:shd w:val="clear" w:color="auto" w:fill="auto"/>
            <w:vAlign w:val="bottom"/>
          </w:tcPr>
          <w:p w14:paraId="74DDA1FB" w14:textId="77777777" w:rsidR="00584EC1" w:rsidRDefault="00584EC1">
            <w:pPr>
              <w:rPr>
                <w:rFonts w:ascii="宋体"/>
                <w:vanish/>
              </w:rPr>
            </w:pPr>
          </w:p>
        </w:tc>
        <w:tc>
          <w:tcPr>
            <w:tcW w:w="0" w:type="auto"/>
            <w:gridSpan w:val="3"/>
            <w:shd w:val="clear" w:color="auto" w:fill="auto"/>
            <w:vAlign w:val="bottom"/>
          </w:tcPr>
          <w:p w14:paraId="74DDA1FC" w14:textId="77777777" w:rsidR="00584EC1" w:rsidRDefault="00584EC1">
            <w:pPr>
              <w:rPr>
                <w:rFonts w:ascii="宋体"/>
                <w:vanish/>
              </w:rPr>
            </w:pPr>
          </w:p>
        </w:tc>
        <w:tc>
          <w:tcPr>
            <w:tcW w:w="0" w:type="auto"/>
            <w:gridSpan w:val="3"/>
            <w:shd w:val="clear" w:color="auto" w:fill="auto"/>
            <w:vAlign w:val="bottom"/>
          </w:tcPr>
          <w:p w14:paraId="74DDA1FD" w14:textId="77777777" w:rsidR="00584EC1" w:rsidRDefault="00584EC1">
            <w:pPr>
              <w:rPr>
                <w:rFonts w:ascii="宋体"/>
                <w:vanish/>
              </w:rPr>
            </w:pPr>
          </w:p>
        </w:tc>
        <w:tc>
          <w:tcPr>
            <w:tcW w:w="0" w:type="auto"/>
            <w:gridSpan w:val="3"/>
            <w:shd w:val="clear" w:color="auto" w:fill="auto"/>
            <w:vAlign w:val="bottom"/>
          </w:tcPr>
          <w:p w14:paraId="74DDA1FE" w14:textId="77777777" w:rsidR="00584EC1" w:rsidRDefault="00584EC1">
            <w:pPr>
              <w:rPr>
                <w:rFonts w:ascii="宋体"/>
                <w:vanish/>
              </w:rPr>
            </w:pPr>
          </w:p>
        </w:tc>
        <w:tc>
          <w:tcPr>
            <w:tcW w:w="0" w:type="auto"/>
            <w:gridSpan w:val="3"/>
            <w:shd w:val="clear" w:color="auto" w:fill="auto"/>
            <w:vAlign w:val="bottom"/>
          </w:tcPr>
          <w:p w14:paraId="74DDA1FF" w14:textId="77777777" w:rsidR="00584EC1" w:rsidRDefault="00584EC1">
            <w:pPr>
              <w:rPr>
                <w:rFonts w:ascii="宋体"/>
                <w:vanish/>
              </w:rPr>
            </w:pPr>
          </w:p>
        </w:tc>
        <w:tc>
          <w:tcPr>
            <w:tcW w:w="0" w:type="auto"/>
            <w:gridSpan w:val="3"/>
            <w:shd w:val="clear" w:color="auto" w:fill="auto"/>
            <w:vAlign w:val="bottom"/>
          </w:tcPr>
          <w:p w14:paraId="74DDA200" w14:textId="77777777" w:rsidR="00584EC1" w:rsidRDefault="00584EC1">
            <w:pPr>
              <w:rPr>
                <w:rFonts w:ascii="宋体"/>
                <w:vanish/>
              </w:rPr>
            </w:pPr>
          </w:p>
        </w:tc>
        <w:tc>
          <w:tcPr>
            <w:tcW w:w="0" w:type="auto"/>
            <w:gridSpan w:val="3"/>
            <w:shd w:val="clear" w:color="auto" w:fill="auto"/>
            <w:vAlign w:val="bottom"/>
          </w:tcPr>
          <w:p w14:paraId="74DDA201" w14:textId="77777777" w:rsidR="00584EC1" w:rsidRDefault="00584EC1">
            <w:pPr>
              <w:rPr>
                <w:rFonts w:ascii="宋体"/>
                <w:vanish/>
              </w:rPr>
            </w:pPr>
          </w:p>
        </w:tc>
        <w:tc>
          <w:tcPr>
            <w:tcW w:w="0" w:type="auto"/>
            <w:gridSpan w:val="3"/>
            <w:shd w:val="clear" w:color="auto" w:fill="auto"/>
            <w:vAlign w:val="bottom"/>
          </w:tcPr>
          <w:p w14:paraId="74DDA202" w14:textId="77777777" w:rsidR="00584EC1" w:rsidRDefault="00584EC1">
            <w:pPr>
              <w:rPr>
                <w:rFonts w:ascii="宋体"/>
                <w:vanish/>
              </w:rPr>
            </w:pPr>
          </w:p>
        </w:tc>
        <w:tc>
          <w:tcPr>
            <w:tcW w:w="0" w:type="auto"/>
            <w:gridSpan w:val="3"/>
            <w:shd w:val="clear" w:color="auto" w:fill="auto"/>
            <w:vAlign w:val="bottom"/>
          </w:tcPr>
          <w:p w14:paraId="74DDA203" w14:textId="77777777" w:rsidR="00584EC1" w:rsidRDefault="00584EC1">
            <w:pPr>
              <w:rPr>
                <w:rFonts w:ascii="宋体"/>
                <w:vanish/>
              </w:rPr>
            </w:pPr>
          </w:p>
        </w:tc>
        <w:tc>
          <w:tcPr>
            <w:tcW w:w="0" w:type="auto"/>
            <w:gridSpan w:val="3"/>
            <w:shd w:val="clear" w:color="auto" w:fill="auto"/>
            <w:vAlign w:val="bottom"/>
          </w:tcPr>
          <w:p w14:paraId="74DDA204" w14:textId="77777777" w:rsidR="00584EC1" w:rsidRDefault="00584EC1">
            <w:pPr>
              <w:rPr>
                <w:rFonts w:ascii="宋体"/>
                <w:vanish/>
              </w:rPr>
            </w:pPr>
          </w:p>
        </w:tc>
        <w:tc>
          <w:tcPr>
            <w:tcW w:w="0" w:type="auto"/>
            <w:gridSpan w:val="3"/>
            <w:shd w:val="clear" w:color="auto" w:fill="auto"/>
            <w:vAlign w:val="bottom"/>
          </w:tcPr>
          <w:p w14:paraId="74DDA205" w14:textId="77777777" w:rsidR="00584EC1" w:rsidRDefault="00584EC1">
            <w:pPr>
              <w:rPr>
                <w:rFonts w:ascii="宋体"/>
                <w:vanish/>
              </w:rPr>
            </w:pPr>
          </w:p>
        </w:tc>
        <w:tc>
          <w:tcPr>
            <w:tcW w:w="0" w:type="auto"/>
            <w:gridSpan w:val="3"/>
            <w:shd w:val="clear" w:color="auto" w:fill="auto"/>
            <w:vAlign w:val="bottom"/>
          </w:tcPr>
          <w:p w14:paraId="74DDA206" w14:textId="77777777" w:rsidR="00584EC1" w:rsidRDefault="00584EC1">
            <w:pPr>
              <w:rPr>
                <w:rFonts w:ascii="宋体"/>
                <w:vanish/>
              </w:rPr>
            </w:pPr>
          </w:p>
        </w:tc>
      </w:tr>
      <w:tr w:rsidR="00584EC1" w14:paraId="74DDA214" w14:textId="77777777">
        <w:trPr>
          <w:hidden/>
        </w:trPr>
        <w:tc>
          <w:tcPr>
            <w:tcW w:w="0" w:type="auto"/>
            <w:gridSpan w:val="3"/>
            <w:shd w:val="clear" w:color="auto" w:fill="auto"/>
            <w:vAlign w:val="bottom"/>
          </w:tcPr>
          <w:p w14:paraId="74DDA208" w14:textId="77777777" w:rsidR="00584EC1" w:rsidRDefault="00584EC1">
            <w:pPr>
              <w:rPr>
                <w:rFonts w:ascii="宋体"/>
                <w:vanish/>
              </w:rPr>
            </w:pPr>
          </w:p>
        </w:tc>
        <w:tc>
          <w:tcPr>
            <w:tcW w:w="0" w:type="auto"/>
            <w:gridSpan w:val="3"/>
            <w:shd w:val="clear" w:color="auto" w:fill="auto"/>
            <w:vAlign w:val="bottom"/>
          </w:tcPr>
          <w:p w14:paraId="74DDA209" w14:textId="77777777" w:rsidR="00584EC1" w:rsidRDefault="00584EC1">
            <w:pPr>
              <w:rPr>
                <w:rFonts w:ascii="宋体"/>
                <w:vanish/>
              </w:rPr>
            </w:pPr>
          </w:p>
        </w:tc>
        <w:tc>
          <w:tcPr>
            <w:tcW w:w="0" w:type="auto"/>
            <w:gridSpan w:val="3"/>
            <w:shd w:val="clear" w:color="auto" w:fill="auto"/>
            <w:vAlign w:val="bottom"/>
          </w:tcPr>
          <w:p w14:paraId="74DDA20A" w14:textId="77777777" w:rsidR="00584EC1" w:rsidRDefault="00584EC1">
            <w:pPr>
              <w:rPr>
                <w:rFonts w:ascii="宋体"/>
                <w:vanish/>
              </w:rPr>
            </w:pPr>
          </w:p>
        </w:tc>
        <w:tc>
          <w:tcPr>
            <w:tcW w:w="0" w:type="auto"/>
            <w:gridSpan w:val="3"/>
            <w:shd w:val="clear" w:color="auto" w:fill="auto"/>
            <w:vAlign w:val="bottom"/>
          </w:tcPr>
          <w:p w14:paraId="74DDA20B" w14:textId="77777777" w:rsidR="00584EC1" w:rsidRDefault="00584EC1">
            <w:pPr>
              <w:rPr>
                <w:rFonts w:ascii="宋体"/>
                <w:vanish/>
              </w:rPr>
            </w:pPr>
          </w:p>
        </w:tc>
        <w:tc>
          <w:tcPr>
            <w:tcW w:w="0" w:type="auto"/>
            <w:gridSpan w:val="3"/>
            <w:shd w:val="clear" w:color="auto" w:fill="auto"/>
            <w:vAlign w:val="bottom"/>
          </w:tcPr>
          <w:p w14:paraId="74DDA20C" w14:textId="77777777" w:rsidR="00584EC1" w:rsidRDefault="00584EC1">
            <w:pPr>
              <w:rPr>
                <w:rFonts w:ascii="宋体"/>
                <w:vanish/>
              </w:rPr>
            </w:pPr>
          </w:p>
        </w:tc>
        <w:tc>
          <w:tcPr>
            <w:tcW w:w="0" w:type="auto"/>
            <w:gridSpan w:val="3"/>
            <w:shd w:val="clear" w:color="auto" w:fill="auto"/>
            <w:vAlign w:val="bottom"/>
          </w:tcPr>
          <w:p w14:paraId="74DDA20D" w14:textId="77777777" w:rsidR="00584EC1" w:rsidRDefault="00584EC1">
            <w:pPr>
              <w:rPr>
                <w:rFonts w:ascii="宋体"/>
                <w:vanish/>
              </w:rPr>
            </w:pPr>
          </w:p>
        </w:tc>
        <w:tc>
          <w:tcPr>
            <w:tcW w:w="0" w:type="auto"/>
            <w:gridSpan w:val="3"/>
            <w:shd w:val="clear" w:color="auto" w:fill="auto"/>
            <w:vAlign w:val="bottom"/>
          </w:tcPr>
          <w:p w14:paraId="74DDA20E" w14:textId="77777777" w:rsidR="00584EC1" w:rsidRDefault="00584EC1">
            <w:pPr>
              <w:rPr>
                <w:rFonts w:ascii="宋体"/>
                <w:vanish/>
              </w:rPr>
            </w:pPr>
          </w:p>
        </w:tc>
        <w:tc>
          <w:tcPr>
            <w:tcW w:w="0" w:type="auto"/>
            <w:gridSpan w:val="3"/>
            <w:shd w:val="clear" w:color="auto" w:fill="auto"/>
            <w:vAlign w:val="bottom"/>
          </w:tcPr>
          <w:p w14:paraId="74DDA20F" w14:textId="77777777" w:rsidR="00584EC1" w:rsidRDefault="00584EC1">
            <w:pPr>
              <w:rPr>
                <w:rFonts w:ascii="宋体"/>
                <w:vanish/>
              </w:rPr>
            </w:pPr>
          </w:p>
        </w:tc>
        <w:tc>
          <w:tcPr>
            <w:tcW w:w="0" w:type="auto"/>
            <w:gridSpan w:val="3"/>
            <w:shd w:val="clear" w:color="auto" w:fill="auto"/>
            <w:vAlign w:val="bottom"/>
          </w:tcPr>
          <w:p w14:paraId="74DDA210" w14:textId="77777777" w:rsidR="00584EC1" w:rsidRDefault="00584EC1">
            <w:pPr>
              <w:rPr>
                <w:rFonts w:ascii="宋体"/>
                <w:vanish/>
              </w:rPr>
            </w:pPr>
          </w:p>
        </w:tc>
        <w:tc>
          <w:tcPr>
            <w:tcW w:w="0" w:type="auto"/>
            <w:gridSpan w:val="3"/>
            <w:shd w:val="clear" w:color="auto" w:fill="auto"/>
            <w:vAlign w:val="bottom"/>
          </w:tcPr>
          <w:p w14:paraId="74DDA211" w14:textId="77777777" w:rsidR="00584EC1" w:rsidRDefault="00584EC1">
            <w:pPr>
              <w:rPr>
                <w:rFonts w:ascii="宋体"/>
                <w:vanish/>
              </w:rPr>
            </w:pPr>
          </w:p>
        </w:tc>
        <w:tc>
          <w:tcPr>
            <w:tcW w:w="0" w:type="auto"/>
            <w:gridSpan w:val="3"/>
            <w:shd w:val="clear" w:color="auto" w:fill="auto"/>
            <w:vAlign w:val="bottom"/>
          </w:tcPr>
          <w:p w14:paraId="74DDA212" w14:textId="77777777" w:rsidR="00584EC1" w:rsidRDefault="00584EC1">
            <w:pPr>
              <w:rPr>
                <w:rFonts w:ascii="宋体"/>
                <w:vanish/>
              </w:rPr>
            </w:pPr>
          </w:p>
        </w:tc>
        <w:tc>
          <w:tcPr>
            <w:tcW w:w="0" w:type="auto"/>
            <w:gridSpan w:val="3"/>
            <w:shd w:val="clear" w:color="auto" w:fill="auto"/>
            <w:vAlign w:val="bottom"/>
          </w:tcPr>
          <w:p w14:paraId="74DDA213" w14:textId="77777777" w:rsidR="00584EC1" w:rsidRDefault="00584EC1">
            <w:pPr>
              <w:rPr>
                <w:rFonts w:ascii="宋体"/>
                <w:vanish/>
              </w:rPr>
            </w:pPr>
          </w:p>
        </w:tc>
      </w:tr>
      <w:tr w:rsidR="00584EC1" w14:paraId="74DDA221" w14:textId="77777777">
        <w:trPr>
          <w:hidden/>
        </w:trPr>
        <w:tc>
          <w:tcPr>
            <w:tcW w:w="0" w:type="auto"/>
            <w:gridSpan w:val="3"/>
            <w:shd w:val="clear" w:color="auto" w:fill="auto"/>
            <w:vAlign w:val="bottom"/>
          </w:tcPr>
          <w:p w14:paraId="74DDA215" w14:textId="77777777" w:rsidR="00584EC1" w:rsidRDefault="00584EC1">
            <w:pPr>
              <w:rPr>
                <w:rFonts w:ascii="宋体"/>
                <w:vanish/>
              </w:rPr>
            </w:pPr>
          </w:p>
        </w:tc>
        <w:tc>
          <w:tcPr>
            <w:tcW w:w="0" w:type="auto"/>
            <w:gridSpan w:val="3"/>
            <w:shd w:val="clear" w:color="auto" w:fill="auto"/>
            <w:vAlign w:val="bottom"/>
          </w:tcPr>
          <w:p w14:paraId="74DDA216" w14:textId="77777777" w:rsidR="00584EC1" w:rsidRDefault="00584EC1">
            <w:pPr>
              <w:rPr>
                <w:rFonts w:ascii="宋体"/>
                <w:vanish/>
              </w:rPr>
            </w:pPr>
          </w:p>
        </w:tc>
        <w:tc>
          <w:tcPr>
            <w:tcW w:w="0" w:type="auto"/>
            <w:gridSpan w:val="3"/>
            <w:shd w:val="clear" w:color="auto" w:fill="auto"/>
            <w:vAlign w:val="bottom"/>
          </w:tcPr>
          <w:p w14:paraId="74DDA217" w14:textId="77777777" w:rsidR="00584EC1" w:rsidRDefault="00584EC1">
            <w:pPr>
              <w:rPr>
                <w:rFonts w:ascii="宋体"/>
                <w:vanish/>
              </w:rPr>
            </w:pPr>
          </w:p>
        </w:tc>
        <w:tc>
          <w:tcPr>
            <w:tcW w:w="0" w:type="auto"/>
            <w:gridSpan w:val="3"/>
            <w:shd w:val="clear" w:color="auto" w:fill="auto"/>
            <w:vAlign w:val="bottom"/>
          </w:tcPr>
          <w:p w14:paraId="74DDA218" w14:textId="77777777" w:rsidR="00584EC1" w:rsidRDefault="00584EC1">
            <w:pPr>
              <w:rPr>
                <w:rFonts w:ascii="宋体"/>
                <w:vanish/>
              </w:rPr>
            </w:pPr>
          </w:p>
        </w:tc>
        <w:tc>
          <w:tcPr>
            <w:tcW w:w="0" w:type="auto"/>
            <w:gridSpan w:val="3"/>
            <w:shd w:val="clear" w:color="auto" w:fill="auto"/>
            <w:vAlign w:val="bottom"/>
          </w:tcPr>
          <w:p w14:paraId="74DDA219" w14:textId="77777777" w:rsidR="00584EC1" w:rsidRDefault="00584EC1">
            <w:pPr>
              <w:rPr>
                <w:rFonts w:ascii="宋体"/>
                <w:vanish/>
              </w:rPr>
            </w:pPr>
          </w:p>
        </w:tc>
        <w:tc>
          <w:tcPr>
            <w:tcW w:w="0" w:type="auto"/>
            <w:gridSpan w:val="3"/>
            <w:shd w:val="clear" w:color="auto" w:fill="auto"/>
            <w:vAlign w:val="bottom"/>
          </w:tcPr>
          <w:p w14:paraId="74DDA21A" w14:textId="77777777" w:rsidR="00584EC1" w:rsidRDefault="00584EC1">
            <w:pPr>
              <w:rPr>
                <w:rFonts w:ascii="宋体"/>
                <w:vanish/>
              </w:rPr>
            </w:pPr>
          </w:p>
        </w:tc>
        <w:tc>
          <w:tcPr>
            <w:tcW w:w="0" w:type="auto"/>
            <w:gridSpan w:val="3"/>
            <w:shd w:val="clear" w:color="auto" w:fill="auto"/>
            <w:vAlign w:val="bottom"/>
          </w:tcPr>
          <w:p w14:paraId="74DDA21B" w14:textId="77777777" w:rsidR="00584EC1" w:rsidRDefault="00584EC1">
            <w:pPr>
              <w:rPr>
                <w:rFonts w:ascii="宋体"/>
                <w:vanish/>
              </w:rPr>
            </w:pPr>
          </w:p>
        </w:tc>
        <w:tc>
          <w:tcPr>
            <w:tcW w:w="0" w:type="auto"/>
            <w:gridSpan w:val="3"/>
            <w:shd w:val="clear" w:color="auto" w:fill="auto"/>
            <w:vAlign w:val="bottom"/>
          </w:tcPr>
          <w:p w14:paraId="74DDA21C" w14:textId="77777777" w:rsidR="00584EC1" w:rsidRDefault="00584EC1">
            <w:pPr>
              <w:rPr>
                <w:rFonts w:ascii="宋体"/>
                <w:vanish/>
              </w:rPr>
            </w:pPr>
          </w:p>
        </w:tc>
        <w:tc>
          <w:tcPr>
            <w:tcW w:w="0" w:type="auto"/>
            <w:gridSpan w:val="3"/>
            <w:shd w:val="clear" w:color="auto" w:fill="auto"/>
            <w:vAlign w:val="bottom"/>
          </w:tcPr>
          <w:p w14:paraId="74DDA21D" w14:textId="77777777" w:rsidR="00584EC1" w:rsidRDefault="00584EC1">
            <w:pPr>
              <w:rPr>
                <w:rFonts w:ascii="宋体"/>
                <w:vanish/>
              </w:rPr>
            </w:pPr>
          </w:p>
        </w:tc>
        <w:tc>
          <w:tcPr>
            <w:tcW w:w="0" w:type="auto"/>
            <w:gridSpan w:val="3"/>
            <w:shd w:val="clear" w:color="auto" w:fill="auto"/>
            <w:vAlign w:val="bottom"/>
          </w:tcPr>
          <w:p w14:paraId="74DDA21E" w14:textId="77777777" w:rsidR="00584EC1" w:rsidRDefault="00584EC1">
            <w:pPr>
              <w:rPr>
                <w:rFonts w:ascii="宋体"/>
                <w:vanish/>
              </w:rPr>
            </w:pPr>
          </w:p>
        </w:tc>
        <w:tc>
          <w:tcPr>
            <w:tcW w:w="0" w:type="auto"/>
            <w:gridSpan w:val="3"/>
            <w:shd w:val="clear" w:color="auto" w:fill="auto"/>
            <w:vAlign w:val="bottom"/>
          </w:tcPr>
          <w:p w14:paraId="74DDA21F" w14:textId="77777777" w:rsidR="00584EC1" w:rsidRDefault="00584EC1">
            <w:pPr>
              <w:rPr>
                <w:rFonts w:ascii="宋体"/>
                <w:vanish/>
              </w:rPr>
            </w:pPr>
          </w:p>
        </w:tc>
        <w:tc>
          <w:tcPr>
            <w:tcW w:w="0" w:type="auto"/>
            <w:gridSpan w:val="3"/>
            <w:shd w:val="clear" w:color="auto" w:fill="auto"/>
            <w:vAlign w:val="bottom"/>
          </w:tcPr>
          <w:p w14:paraId="74DDA220" w14:textId="77777777" w:rsidR="00584EC1" w:rsidRDefault="00584EC1">
            <w:pPr>
              <w:rPr>
                <w:rFonts w:ascii="宋体"/>
                <w:vanish/>
              </w:rPr>
            </w:pPr>
          </w:p>
        </w:tc>
      </w:tr>
      <w:tr w:rsidR="00584EC1" w14:paraId="74DDA22E" w14:textId="77777777">
        <w:trPr>
          <w:hidden/>
        </w:trPr>
        <w:tc>
          <w:tcPr>
            <w:tcW w:w="0" w:type="auto"/>
            <w:gridSpan w:val="3"/>
            <w:shd w:val="clear" w:color="auto" w:fill="auto"/>
            <w:vAlign w:val="bottom"/>
          </w:tcPr>
          <w:p w14:paraId="74DDA222" w14:textId="77777777" w:rsidR="00584EC1" w:rsidRDefault="00584EC1">
            <w:pPr>
              <w:rPr>
                <w:rFonts w:ascii="宋体"/>
                <w:vanish/>
              </w:rPr>
            </w:pPr>
          </w:p>
        </w:tc>
        <w:tc>
          <w:tcPr>
            <w:tcW w:w="0" w:type="auto"/>
            <w:gridSpan w:val="3"/>
            <w:shd w:val="clear" w:color="auto" w:fill="auto"/>
            <w:vAlign w:val="bottom"/>
          </w:tcPr>
          <w:p w14:paraId="74DDA223" w14:textId="77777777" w:rsidR="00584EC1" w:rsidRDefault="00584EC1">
            <w:pPr>
              <w:rPr>
                <w:rFonts w:ascii="宋体"/>
                <w:vanish/>
              </w:rPr>
            </w:pPr>
          </w:p>
        </w:tc>
        <w:tc>
          <w:tcPr>
            <w:tcW w:w="0" w:type="auto"/>
            <w:gridSpan w:val="3"/>
            <w:shd w:val="clear" w:color="auto" w:fill="auto"/>
            <w:vAlign w:val="bottom"/>
          </w:tcPr>
          <w:p w14:paraId="74DDA224" w14:textId="77777777" w:rsidR="00584EC1" w:rsidRDefault="00584EC1">
            <w:pPr>
              <w:rPr>
                <w:rFonts w:ascii="宋体"/>
                <w:vanish/>
              </w:rPr>
            </w:pPr>
          </w:p>
        </w:tc>
        <w:tc>
          <w:tcPr>
            <w:tcW w:w="0" w:type="auto"/>
            <w:gridSpan w:val="3"/>
            <w:shd w:val="clear" w:color="auto" w:fill="auto"/>
            <w:vAlign w:val="bottom"/>
          </w:tcPr>
          <w:p w14:paraId="74DDA225" w14:textId="77777777" w:rsidR="00584EC1" w:rsidRDefault="00584EC1">
            <w:pPr>
              <w:rPr>
                <w:rFonts w:ascii="宋体"/>
                <w:vanish/>
              </w:rPr>
            </w:pPr>
          </w:p>
        </w:tc>
        <w:tc>
          <w:tcPr>
            <w:tcW w:w="0" w:type="auto"/>
            <w:gridSpan w:val="3"/>
            <w:shd w:val="clear" w:color="auto" w:fill="auto"/>
            <w:vAlign w:val="bottom"/>
          </w:tcPr>
          <w:p w14:paraId="74DDA226" w14:textId="77777777" w:rsidR="00584EC1" w:rsidRDefault="00584EC1">
            <w:pPr>
              <w:rPr>
                <w:rFonts w:ascii="宋体"/>
                <w:vanish/>
              </w:rPr>
            </w:pPr>
          </w:p>
        </w:tc>
        <w:tc>
          <w:tcPr>
            <w:tcW w:w="0" w:type="auto"/>
            <w:gridSpan w:val="3"/>
            <w:shd w:val="clear" w:color="auto" w:fill="auto"/>
            <w:vAlign w:val="bottom"/>
          </w:tcPr>
          <w:p w14:paraId="74DDA227" w14:textId="77777777" w:rsidR="00584EC1" w:rsidRDefault="00584EC1">
            <w:pPr>
              <w:rPr>
                <w:rFonts w:ascii="宋体"/>
                <w:vanish/>
              </w:rPr>
            </w:pPr>
          </w:p>
        </w:tc>
        <w:tc>
          <w:tcPr>
            <w:tcW w:w="0" w:type="auto"/>
            <w:gridSpan w:val="3"/>
            <w:shd w:val="clear" w:color="auto" w:fill="auto"/>
            <w:vAlign w:val="bottom"/>
          </w:tcPr>
          <w:p w14:paraId="74DDA228" w14:textId="77777777" w:rsidR="00584EC1" w:rsidRDefault="00584EC1">
            <w:pPr>
              <w:rPr>
                <w:rFonts w:ascii="宋体"/>
                <w:vanish/>
              </w:rPr>
            </w:pPr>
          </w:p>
        </w:tc>
        <w:tc>
          <w:tcPr>
            <w:tcW w:w="0" w:type="auto"/>
            <w:gridSpan w:val="3"/>
            <w:shd w:val="clear" w:color="auto" w:fill="auto"/>
            <w:vAlign w:val="bottom"/>
          </w:tcPr>
          <w:p w14:paraId="74DDA229" w14:textId="77777777" w:rsidR="00584EC1" w:rsidRDefault="00584EC1">
            <w:pPr>
              <w:rPr>
                <w:rFonts w:ascii="宋体"/>
                <w:vanish/>
              </w:rPr>
            </w:pPr>
          </w:p>
        </w:tc>
        <w:tc>
          <w:tcPr>
            <w:tcW w:w="0" w:type="auto"/>
            <w:gridSpan w:val="3"/>
            <w:shd w:val="clear" w:color="auto" w:fill="auto"/>
            <w:vAlign w:val="bottom"/>
          </w:tcPr>
          <w:p w14:paraId="74DDA22A" w14:textId="77777777" w:rsidR="00584EC1" w:rsidRDefault="00584EC1">
            <w:pPr>
              <w:rPr>
                <w:rFonts w:ascii="宋体"/>
                <w:vanish/>
              </w:rPr>
            </w:pPr>
          </w:p>
        </w:tc>
        <w:tc>
          <w:tcPr>
            <w:tcW w:w="0" w:type="auto"/>
            <w:gridSpan w:val="3"/>
            <w:shd w:val="clear" w:color="auto" w:fill="auto"/>
            <w:vAlign w:val="bottom"/>
          </w:tcPr>
          <w:p w14:paraId="74DDA22B" w14:textId="77777777" w:rsidR="00584EC1" w:rsidRDefault="00584EC1">
            <w:pPr>
              <w:rPr>
                <w:rFonts w:ascii="宋体"/>
                <w:vanish/>
              </w:rPr>
            </w:pPr>
          </w:p>
        </w:tc>
        <w:tc>
          <w:tcPr>
            <w:tcW w:w="0" w:type="auto"/>
            <w:gridSpan w:val="3"/>
            <w:shd w:val="clear" w:color="auto" w:fill="auto"/>
            <w:vAlign w:val="bottom"/>
          </w:tcPr>
          <w:p w14:paraId="74DDA22C" w14:textId="77777777" w:rsidR="00584EC1" w:rsidRDefault="00584EC1">
            <w:pPr>
              <w:rPr>
                <w:rFonts w:ascii="宋体"/>
                <w:vanish/>
              </w:rPr>
            </w:pPr>
          </w:p>
        </w:tc>
        <w:tc>
          <w:tcPr>
            <w:tcW w:w="0" w:type="auto"/>
            <w:gridSpan w:val="3"/>
            <w:shd w:val="clear" w:color="auto" w:fill="auto"/>
            <w:vAlign w:val="bottom"/>
          </w:tcPr>
          <w:p w14:paraId="74DDA22D" w14:textId="77777777" w:rsidR="00584EC1" w:rsidRDefault="00584EC1">
            <w:pPr>
              <w:rPr>
                <w:rFonts w:ascii="宋体"/>
                <w:vanish/>
              </w:rPr>
            </w:pPr>
          </w:p>
        </w:tc>
      </w:tr>
      <w:tr w:rsidR="00584EC1" w14:paraId="74DDA23B" w14:textId="77777777">
        <w:trPr>
          <w:hidden/>
        </w:trPr>
        <w:tc>
          <w:tcPr>
            <w:tcW w:w="0" w:type="auto"/>
            <w:gridSpan w:val="3"/>
            <w:shd w:val="clear" w:color="auto" w:fill="auto"/>
            <w:vAlign w:val="bottom"/>
          </w:tcPr>
          <w:p w14:paraId="74DDA22F" w14:textId="77777777" w:rsidR="00584EC1" w:rsidRDefault="00584EC1">
            <w:pPr>
              <w:rPr>
                <w:rFonts w:ascii="宋体"/>
                <w:vanish/>
              </w:rPr>
            </w:pPr>
          </w:p>
        </w:tc>
        <w:tc>
          <w:tcPr>
            <w:tcW w:w="0" w:type="auto"/>
            <w:gridSpan w:val="3"/>
            <w:shd w:val="clear" w:color="auto" w:fill="auto"/>
            <w:vAlign w:val="bottom"/>
          </w:tcPr>
          <w:p w14:paraId="74DDA230" w14:textId="77777777" w:rsidR="00584EC1" w:rsidRDefault="00584EC1">
            <w:pPr>
              <w:rPr>
                <w:rFonts w:ascii="宋体"/>
                <w:vanish/>
              </w:rPr>
            </w:pPr>
          </w:p>
        </w:tc>
        <w:tc>
          <w:tcPr>
            <w:tcW w:w="0" w:type="auto"/>
            <w:gridSpan w:val="3"/>
            <w:shd w:val="clear" w:color="auto" w:fill="auto"/>
            <w:vAlign w:val="bottom"/>
          </w:tcPr>
          <w:p w14:paraId="74DDA231" w14:textId="77777777" w:rsidR="00584EC1" w:rsidRDefault="00584EC1">
            <w:pPr>
              <w:rPr>
                <w:rFonts w:ascii="宋体"/>
                <w:vanish/>
              </w:rPr>
            </w:pPr>
          </w:p>
        </w:tc>
        <w:tc>
          <w:tcPr>
            <w:tcW w:w="0" w:type="auto"/>
            <w:gridSpan w:val="3"/>
            <w:shd w:val="clear" w:color="auto" w:fill="auto"/>
            <w:vAlign w:val="bottom"/>
          </w:tcPr>
          <w:p w14:paraId="74DDA232" w14:textId="77777777" w:rsidR="00584EC1" w:rsidRDefault="00584EC1">
            <w:pPr>
              <w:rPr>
                <w:rFonts w:ascii="宋体"/>
                <w:vanish/>
              </w:rPr>
            </w:pPr>
          </w:p>
        </w:tc>
        <w:tc>
          <w:tcPr>
            <w:tcW w:w="0" w:type="auto"/>
            <w:gridSpan w:val="3"/>
            <w:shd w:val="clear" w:color="auto" w:fill="auto"/>
            <w:vAlign w:val="bottom"/>
          </w:tcPr>
          <w:p w14:paraId="74DDA233" w14:textId="77777777" w:rsidR="00584EC1" w:rsidRDefault="00584EC1">
            <w:pPr>
              <w:rPr>
                <w:rFonts w:ascii="宋体"/>
                <w:vanish/>
              </w:rPr>
            </w:pPr>
          </w:p>
        </w:tc>
        <w:tc>
          <w:tcPr>
            <w:tcW w:w="0" w:type="auto"/>
            <w:gridSpan w:val="3"/>
            <w:shd w:val="clear" w:color="auto" w:fill="auto"/>
            <w:vAlign w:val="bottom"/>
          </w:tcPr>
          <w:p w14:paraId="74DDA234" w14:textId="77777777" w:rsidR="00584EC1" w:rsidRDefault="00584EC1">
            <w:pPr>
              <w:rPr>
                <w:rFonts w:ascii="宋体"/>
                <w:vanish/>
              </w:rPr>
            </w:pPr>
          </w:p>
        </w:tc>
        <w:tc>
          <w:tcPr>
            <w:tcW w:w="0" w:type="auto"/>
            <w:gridSpan w:val="3"/>
            <w:shd w:val="clear" w:color="auto" w:fill="auto"/>
            <w:vAlign w:val="bottom"/>
          </w:tcPr>
          <w:p w14:paraId="74DDA235" w14:textId="77777777" w:rsidR="00584EC1" w:rsidRDefault="00584EC1">
            <w:pPr>
              <w:rPr>
                <w:rFonts w:ascii="宋体"/>
                <w:vanish/>
              </w:rPr>
            </w:pPr>
          </w:p>
        </w:tc>
        <w:tc>
          <w:tcPr>
            <w:tcW w:w="0" w:type="auto"/>
            <w:gridSpan w:val="3"/>
            <w:shd w:val="clear" w:color="auto" w:fill="auto"/>
            <w:vAlign w:val="bottom"/>
          </w:tcPr>
          <w:p w14:paraId="74DDA236" w14:textId="77777777" w:rsidR="00584EC1" w:rsidRDefault="00584EC1">
            <w:pPr>
              <w:rPr>
                <w:rFonts w:ascii="宋体"/>
                <w:vanish/>
              </w:rPr>
            </w:pPr>
          </w:p>
        </w:tc>
        <w:tc>
          <w:tcPr>
            <w:tcW w:w="0" w:type="auto"/>
            <w:gridSpan w:val="3"/>
            <w:shd w:val="clear" w:color="auto" w:fill="auto"/>
            <w:vAlign w:val="bottom"/>
          </w:tcPr>
          <w:p w14:paraId="74DDA237" w14:textId="77777777" w:rsidR="00584EC1" w:rsidRDefault="00584EC1">
            <w:pPr>
              <w:rPr>
                <w:rFonts w:ascii="宋体"/>
                <w:vanish/>
              </w:rPr>
            </w:pPr>
          </w:p>
        </w:tc>
        <w:tc>
          <w:tcPr>
            <w:tcW w:w="0" w:type="auto"/>
            <w:gridSpan w:val="3"/>
            <w:shd w:val="clear" w:color="auto" w:fill="auto"/>
            <w:vAlign w:val="bottom"/>
          </w:tcPr>
          <w:p w14:paraId="74DDA238" w14:textId="77777777" w:rsidR="00584EC1" w:rsidRDefault="00584EC1">
            <w:pPr>
              <w:rPr>
                <w:rFonts w:ascii="宋体"/>
                <w:vanish/>
              </w:rPr>
            </w:pPr>
          </w:p>
        </w:tc>
        <w:tc>
          <w:tcPr>
            <w:tcW w:w="0" w:type="auto"/>
            <w:gridSpan w:val="3"/>
            <w:shd w:val="clear" w:color="auto" w:fill="auto"/>
            <w:vAlign w:val="bottom"/>
          </w:tcPr>
          <w:p w14:paraId="74DDA239" w14:textId="77777777" w:rsidR="00584EC1" w:rsidRDefault="00584EC1">
            <w:pPr>
              <w:rPr>
                <w:rFonts w:ascii="宋体"/>
                <w:vanish/>
              </w:rPr>
            </w:pPr>
          </w:p>
        </w:tc>
        <w:tc>
          <w:tcPr>
            <w:tcW w:w="0" w:type="auto"/>
            <w:gridSpan w:val="3"/>
            <w:shd w:val="clear" w:color="auto" w:fill="auto"/>
            <w:vAlign w:val="bottom"/>
          </w:tcPr>
          <w:p w14:paraId="74DDA23A" w14:textId="77777777" w:rsidR="00584EC1" w:rsidRDefault="00584EC1">
            <w:pPr>
              <w:rPr>
                <w:rFonts w:ascii="宋体"/>
                <w:vanish/>
              </w:rPr>
            </w:pPr>
          </w:p>
        </w:tc>
      </w:tr>
      <w:tr w:rsidR="00584EC1" w14:paraId="74DDA25C" w14:textId="77777777">
        <w:trPr>
          <w:hidden/>
        </w:trPr>
        <w:tc>
          <w:tcPr>
            <w:tcW w:w="0" w:type="auto"/>
            <w:gridSpan w:val="3"/>
            <w:shd w:val="clear" w:color="auto" w:fill="auto"/>
            <w:vAlign w:val="bottom"/>
          </w:tcPr>
          <w:p w14:paraId="74DDA23C" w14:textId="77777777" w:rsidR="00584EC1" w:rsidRDefault="00584EC1">
            <w:pPr>
              <w:rPr>
                <w:rFonts w:ascii="宋体"/>
                <w:vanish/>
              </w:rPr>
            </w:pPr>
          </w:p>
        </w:tc>
        <w:tc>
          <w:tcPr>
            <w:tcW w:w="0" w:type="auto"/>
            <w:gridSpan w:val="3"/>
            <w:shd w:val="clear" w:color="auto" w:fill="auto"/>
            <w:vAlign w:val="bottom"/>
          </w:tcPr>
          <w:p w14:paraId="74DDA23D" w14:textId="77777777" w:rsidR="00584EC1" w:rsidRDefault="00584EC1">
            <w:pPr>
              <w:rPr>
                <w:rFonts w:ascii="宋体"/>
                <w:vanish/>
              </w:rPr>
            </w:pPr>
          </w:p>
        </w:tc>
        <w:tc>
          <w:tcPr>
            <w:tcW w:w="0" w:type="auto"/>
            <w:shd w:val="clear" w:color="auto" w:fill="auto"/>
            <w:vAlign w:val="bottom"/>
          </w:tcPr>
          <w:p w14:paraId="74DDA23E" w14:textId="77777777" w:rsidR="00584EC1" w:rsidRDefault="00584EC1">
            <w:pPr>
              <w:rPr>
                <w:rFonts w:ascii="宋体"/>
              </w:rPr>
            </w:pPr>
          </w:p>
        </w:tc>
        <w:tc>
          <w:tcPr>
            <w:tcW w:w="0" w:type="auto"/>
            <w:shd w:val="clear" w:color="auto" w:fill="auto"/>
            <w:vAlign w:val="bottom"/>
          </w:tcPr>
          <w:p w14:paraId="74DDA23F" w14:textId="77777777" w:rsidR="00584EC1" w:rsidRDefault="00584EC1">
            <w:pPr>
              <w:rPr>
                <w:rFonts w:ascii="宋体"/>
              </w:rPr>
            </w:pPr>
          </w:p>
        </w:tc>
        <w:tc>
          <w:tcPr>
            <w:tcW w:w="0" w:type="auto"/>
            <w:shd w:val="clear" w:color="auto" w:fill="auto"/>
            <w:vAlign w:val="bottom"/>
          </w:tcPr>
          <w:p w14:paraId="74DDA240" w14:textId="77777777" w:rsidR="00584EC1" w:rsidRDefault="00584EC1">
            <w:pPr>
              <w:rPr>
                <w:rFonts w:ascii="宋体"/>
              </w:rPr>
            </w:pPr>
          </w:p>
        </w:tc>
        <w:tc>
          <w:tcPr>
            <w:tcW w:w="0" w:type="auto"/>
            <w:shd w:val="clear" w:color="auto" w:fill="auto"/>
            <w:vAlign w:val="bottom"/>
          </w:tcPr>
          <w:p w14:paraId="74DDA241" w14:textId="77777777" w:rsidR="00584EC1" w:rsidRDefault="00584EC1">
            <w:pPr>
              <w:rPr>
                <w:rFonts w:ascii="宋体"/>
              </w:rPr>
            </w:pPr>
          </w:p>
        </w:tc>
        <w:tc>
          <w:tcPr>
            <w:tcW w:w="0" w:type="auto"/>
            <w:shd w:val="clear" w:color="auto" w:fill="auto"/>
            <w:vAlign w:val="bottom"/>
          </w:tcPr>
          <w:p w14:paraId="74DDA242" w14:textId="77777777" w:rsidR="00584EC1" w:rsidRDefault="00584EC1">
            <w:pPr>
              <w:rPr>
                <w:rFonts w:ascii="宋体"/>
              </w:rPr>
            </w:pPr>
          </w:p>
        </w:tc>
        <w:tc>
          <w:tcPr>
            <w:tcW w:w="0" w:type="auto"/>
            <w:shd w:val="clear" w:color="auto" w:fill="auto"/>
            <w:vAlign w:val="bottom"/>
          </w:tcPr>
          <w:p w14:paraId="74DDA243" w14:textId="77777777" w:rsidR="00584EC1" w:rsidRDefault="00584EC1">
            <w:pPr>
              <w:rPr>
                <w:rFonts w:ascii="宋体"/>
              </w:rPr>
            </w:pPr>
          </w:p>
        </w:tc>
        <w:tc>
          <w:tcPr>
            <w:tcW w:w="0" w:type="auto"/>
            <w:shd w:val="clear" w:color="auto" w:fill="auto"/>
            <w:vAlign w:val="bottom"/>
          </w:tcPr>
          <w:p w14:paraId="74DDA244" w14:textId="77777777" w:rsidR="00584EC1" w:rsidRDefault="00584EC1">
            <w:pPr>
              <w:rPr>
                <w:rFonts w:ascii="宋体"/>
              </w:rPr>
            </w:pPr>
          </w:p>
        </w:tc>
        <w:tc>
          <w:tcPr>
            <w:tcW w:w="0" w:type="auto"/>
            <w:shd w:val="clear" w:color="auto" w:fill="auto"/>
            <w:vAlign w:val="bottom"/>
          </w:tcPr>
          <w:p w14:paraId="74DDA245" w14:textId="77777777" w:rsidR="00584EC1" w:rsidRDefault="00584EC1">
            <w:pPr>
              <w:rPr>
                <w:rFonts w:ascii="宋体"/>
              </w:rPr>
            </w:pPr>
          </w:p>
        </w:tc>
        <w:tc>
          <w:tcPr>
            <w:tcW w:w="0" w:type="auto"/>
            <w:shd w:val="clear" w:color="auto" w:fill="auto"/>
            <w:vAlign w:val="bottom"/>
          </w:tcPr>
          <w:p w14:paraId="74DDA246" w14:textId="77777777" w:rsidR="00584EC1" w:rsidRDefault="00584EC1">
            <w:pPr>
              <w:rPr>
                <w:rFonts w:ascii="宋体"/>
              </w:rPr>
            </w:pPr>
          </w:p>
        </w:tc>
        <w:tc>
          <w:tcPr>
            <w:tcW w:w="0" w:type="auto"/>
            <w:shd w:val="clear" w:color="auto" w:fill="auto"/>
            <w:vAlign w:val="bottom"/>
          </w:tcPr>
          <w:p w14:paraId="74DDA247" w14:textId="77777777" w:rsidR="00584EC1" w:rsidRDefault="00584EC1">
            <w:pPr>
              <w:rPr>
                <w:rFonts w:ascii="宋体"/>
              </w:rPr>
            </w:pPr>
          </w:p>
        </w:tc>
        <w:tc>
          <w:tcPr>
            <w:tcW w:w="0" w:type="auto"/>
            <w:shd w:val="clear" w:color="auto" w:fill="auto"/>
            <w:vAlign w:val="bottom"/>
          </w:tcPr>
          <w:p w14:paraId="74DDA248" w14:textId="77777777" w:rsidR="00584EC1" w:rsidRDefault="00584EC1">
            <w:pPr>
              <w:rPr>
                <w:rFonts w:ascii="宋体"/>
              </w:rPr>
            </w:pPr>
          </w:p>
        </w:tc>
        <w:tc>
          <w:tcPr>
            <w:tcW w:w="0" w:type="auto"/>
            <w:shd w:val="clear" w:color="auto" w:fill="auto"/>
            <w:vAlign w:val="bottom"/>
          </w:tcPr>
          <w:p w14:paraId="74DDA249" w14:textId="77777777" w:rsidR="00584EC1" w:rsidRDefault="00584EC1">
            <w:pPr>
              <w:rPr>
                <w:rFonts w:ascii="宋体"/>
              </w:rPr>
            </w:pPr>
          </w:p>
        </w:tc>
        <w:tc>
          <w:tcPr>
            <w:tcW w:w="0" w:type="auto"/>
            <w:shd w:val="clear" w:color="auto" w:fill="auto"/>
            <w:vAlign w:val="bottom"/>
          </w:tcPr>
          <w:p w14:paraId="74DDA24A" w14:textId="77777777" w:rsidR="00584EC1" w:rsidRDefault="00584EC1">
            <w:pPr>
              <w:rPr>
                <w:rFonts w:ascii="宋体"/>
              </w:rPr>
            </w:pPr>
          </w:p>
        </w:tc>
        <w:tc>
          <w:tcPr>
            <w:tcW w:w="0" w:type="auto"/>
            <w:shd w:val="clear" w:color="auto" w:fill="auto"/>
            <w:vAlign w:val="bottom"/>
          </w:tcPr>
          <w:p w14:paraId="74DDA24B" w14:textId="77777777" w:rsidR="00584EC1" w:rsidRDefault="00584EC1">
            <w:pPr>
              <w:rPr>
                <w:rFonts w:ascii="宋体"/>
              </w:rPr>
            </w:pPr>
          </w:p>
        </w:tc>
        <w:tc>
          <w:tcPr>
            <w:tcW w:w="0" w:type="auto"/>
            <w:shd w:val="clear" w:color="auto" w:fill="auto"/>
            <w:vAlign w:val="bottom"/>
          </w:tcPr>
          <w:p w14:paraId="74DDA24C" w14:textId="77777777" w:rsidR="00584EC1" w:rsidRDefault="00584EC1">
            <w:pPr>
              <w:rPr>
                <w:rFonts w:ascii="宋体"/>
              </w:rPr>
            </w:pPr>
          </w:p>
        </w:tc>
        <w:tc>
          <w:tcPr>
            <w:tcW w:w="0" w:type="auto"/>
            <w:shd w:val="clear" w:color="auto" w:fill="auto"/>
            <w:vAlign w:val="bottom"/>
          </w:tcPr>
          <w:p w14:paraId="74DDA24D" w14:textId="77777777" w:rsidR="00584EC1" w:rsidRDefault="00584EC1">
            <w:pPr>
              <w:rPr>
                <w:rFonts w:ascii="宋体"/>
              </w:rPr>
            </w:pPr>
          </w:p>
        </w:tc>
        <w:tc>
          <w:tcPr>
            <w:tcW w:w="0" w:type="auto"/>
            <w:shd w:val="clear" w:color="auto" w:fill="auto"/>
            <w:vAlign w:val="bottom"/>
          </w:tcPr>
          <w:p w14:paraId="74DDA24E" w14:textId="77777777" w:rsidR="00584EC1" w:rsidRDefault="00584EC1">
            <w:pPr>
              <w:rPr>
                <w:rFonts w:ascii="宋体"/>
              </w:rPr>
            </w:pPr>
          </w:p>
        </w:tc>
        <w:tc>
          <w:tcPr>
            <w:tcW w:w="0" w:type="auto"/>
            <w:shd w:val="clear" w:color="auto" w:fill="auto"/>
            <w:vAlign w:val="bottom"/>
          </w:tcPr>
          <w:p w14:paraId="74DDA24F" w14:textId="77777777" w:rsidR="00584EC1" w:rsidRDefault="00584EC1">
            <w:pPr>
              <w:rPr>
                <w:rFonts w:ascii="宋体"/>
              </w:rPr>
            </w:pPr>
          </w:p>
        </w:tc>
        <w:tc>
          <w:tcPr>
            <w:tcW w:w="0" w:type="auto"/>
            <w:shd w:val="clear" w:color="auto" w:fill="auto"/>
            <w:vAlign w:val="bottom"/>
          </w:tcPr>
          <w:p w14:paraId="74DDA250" w14:textId="77777777" w:rsidR="00584EC1" w:rsidRDefault="00584EC1">
            <w:pPr>
              <w:rPr>
                <w:rFonts w:ascii="宋体"/>
              </w:rPr>
            </w:pPr>
          </w:p>
        </w:tc>
        <w:tc>
          <w:tcPr>
            <w:tcW w:w="0" w:type="auto"/>
            <w:shd w:val="clear" w:color="auto" w:fill="auto"/>
            <w:vAlign w:val="bottom"/>
          </w:tcPr>
          <w:p w14:paraId="74DDA251" w14:textId="77777777" w:rsidR="00584EC1" w:rsidRDefault="00584EC1">
            <w:pPr>
              <w:rPr>
                <w:rFonts w:ascii="宋体"/>
              </w:rPr>
            </w:pPr>
          </w:p>
        </w:tc>
        <w:tc>
          <w:tcPr>
            <w:tcW w:w="0" w:type="auto"/>
            <w:shd w:val="clear" w:color="auto" w:fill="auto"/>
            <w:vAlign w:val="bottom"/>
          </w:tcPr>
          <w:p w14:paraId="74DDA252" w14:textId="77777777" w:rsidR="00584EC1" w:rsidRDefault="00584EC1">
            <w:pPr>
              <w:rPr>
                <w:rFonts w:ascii="宋体"/>
              </w:rPr>
            </w:pPr>
          </w:p>
        </w:tc>
        <w:tc>
          <w:tcPr>
            <w:tcW w:w="0" w:type="auto"/>
            <w:shd w:val="clear" w:color="auto" w:fill="auto"/>
            <w:vAlign w:val="bottom"/>
          </w:tcPr>
          <w:p w14:paraId="74DDA253" w14:textId="77777777" w:rsidR="00584EC1" w:rsidRDefault="00584EC1">
            <w:pPr>
              <w:rPr>
                <w:rFonts w:ascii="宋体"/>
              </w:rPr>
            </w:pPr>
          </w:p>
        </w:tc>
        <w:tc>
          <w:tcPr>
            <w:tcW w:w="0" w:type="auto"/>
            <w:shd w:val="clear" w:color="auto" w:fill="auto"/>
            <w:vAlign w:val="bottom"/>
          </w:tcPr>
          <w:p w14:paraId="74DDA254" w14:textId="77777777" w:rsidR="00584EC1" w:rsidRDefault="00584EC1">
            <w:pPr>
              <w:rPr>
                <w:rFonts w:ascii="宋体"/>
              </w:rPr>
            </w:pPr>
          </w:p>
        </w:tc>
        <w:tc>
          <w:tcPr>
            <w:tcW w:w="0" w:type="auto"/>
            <w:shd w:val="clear" w:color="auto" w:fill="auto"/>
            <w:vAlign w:val="bottom"/>
          </w:tcPr>
          <w:p w14:paraId="74DDA255" w14:textId="77777777" w:rsidR="00584EC1" w:rsidRDefault="00584EC1">
            <w:pPr>
              <w:rPr>
                <w:rFonts w:ascii="宋体"/>
              </w:rPr>
            </w:pPr>
          </w:p>
        </w:tc>
        <w:tc>
          <w:tcPr>
            <w:tcW w:w="0" w:type="auto"/>
            <w:shd w:val="clear" w:color="auto" w:fill="auto"/>
            <w:vAlign w:val="bottom"/>
          </w:tcPr>
          <w:p w14:paraId="74DDA256" w14:textId="77777777" w:rsidR="00584EC1" w:rsidRDefault="00584EC1">
            <w:pPr>
              <w:rPr>
                <w:rFonts w:ascii="宋体"/>
              </w:rPr>
            </w:pPr>
          </w:p>
        </w:tc>
        <w:tc>
          <w:tcPr>
            <w:tcW w:w="0" w:type="auto"/>
            <w:shd w:val="clear" w:color="auto" w:fill="auto"/>
            <w:vAlign w:val="bottom"/>
          </w:tcPr>
          <w:p w14:paraId="74DDA257" w14:textId="77777777" w:rsidR="00584EC1" w:rsidRDefault="00584EC1">
            <w:pPr>
              <w:rPr>
                <w:rFonts w:ascii="宋体"/>
              </w:rPr>
            </w:pPr>
          </w:p>
        </w:tc>
        <w:tc>
          <w:tcPr>
            <w:tcW w:w="0" w:type="auto"/>
            <w:shd w:val="clear" w:color="auto" w:fill="auto"/>
            <w:vAlign w:val="bottom"/>
          </w:tcPr>
          <w:p w14:paraId="74DDA258" w14:textId="77777777" w:rsidR="00584EC1" w:rsidRDefault="00584EC1">
            <w:pPr>
              <w:rPr>
                <w:rFonts w:ascii="宋体"/>
              </w:rPr>
            </w:pPr>
          </w:p>
        </w:tc>
        <w:tc>
          <w:tcPr>
            <w:tcW w:w="0" w:type="auto"/>
            <w:shd w:val="clear" w:color="auto" w:fill="auto"/>
            <w:vAlign w:val="bottom"/>
          </w:tcPr>
          <w:p w14:paraId="74DDA259" w14:textId="77777777" w:rsidR="00584EC1" w:rsidRDefault="00584EC1">
            <w:pPr>
              <w:rPr>
                <w:rFonts w:ascii="宋体"/>
              </w:rPr>
            </w:pPr>
          </w:p>
        </w:tc>
        <w:tc>
          <w:tcPr>
            <w:tcW w:w="0" w:type="auto"/>
            <w:shd w:val="clear" w:color="auto" w:fill="auto"/>
            <w:vAlign w:val="bottom"/>
          </w:tcPr>
          <w:p w14:paraId="74DDA25A" w14:textId="77777777" w:rsidR="00584EC1" w:rsidRDefault="00584EC1">
            <w:pPr>
              <w:rPr>
                <w:rFonts w:ascii="宋体"/>
              </w:rPr>
            </w:pPr>
          </w:p>
        </w:tc>
        <w:tc>
          <w:tcPr>
            <w:tcW w:w="0" w:type="auto"/>
            <w:shd w:val="clear" w:color="auto" w:fill="auto"/>
            <w:vAlign w:val="bottom"/>
          </w:tcPr>
          <w:p w14:paraId="74DDA25B" w14:textId="77777777" w:rsidR="00584EC1" w:rsidRDefault="00584EC1">
            <w:pPr>
              <w:rPr>
                <w:rFonts w:ascii="宋体"/>
              </w:rPr>
            </w:pPr>
          </w:p>
        </w:tc>
      </w:tr>
      <w:tr w:rsidR="00584EC1" w14:paraId="74DDA279" w14:textId="77777777">
        <w:trPr>
          <w:hidden/>
        </w:trPr>
        <w:tc>
          <w:tcPr>
            <w:tcW w:w="0" w:type="auto"/>
            <w:gridSpan w:val="3"/>
            <w:shd w:val="clear" w:color="auto" w:fill="auto"/>
            <w:vAlign w:val="bottom"/>
          </w:tcPr>
          <w:p w14:paraId="74DDA25D" w14:textId="77777777" w:rsidR="00584EC1" w:rsidRDefault="00584EC1">
            <w:pPr>
              <w:rPr>
                <w:rFonts w:ascii="宋体"/>
                <w:vanish/>
              </w:rPr>
            </w:pPr>
          </w:p>
        </w:tc>
        <w:tc>
          <w:tcPr>
            <w:tcW w:w="0" w:type="auto"/>
            <w:gridSpan w:val="3"/>
            <w:shd w:val="clear" w:color="auto" w:fill="auto"/>
            <w:vAlign w:val="bottom"/>
          </w:tcPr>
          <w:p w14:paraId="74DDA25E" w14:textId="77777777" w:rsidR="00584EC1" w:rsidRDefault="00584EC1">
            <w:pPr>
              <w:rPr>
                <w:rFonts w:ascii="宋体"/>
                <w:vanish/>
              </w:rPr>
            </w:pPr>
          </w:p>
        </w:tc>
        <w:tc>
          <w:tcPr>
            <w:tcW w:w="0" w:type="auto"/>
            <w:gridSpan w:val="3"/>
            <w:shd w:val="clear" w:color="auto" w:fill="auto"/>
            <w:vAlign w:val="bottom"/>
          </w:tcPr>
          <w:p w14:paraId="74DDA25F" w14:textId="77777777" w:rsidR="00584EC1" w:rsidRDefault="00584EC1">
            <w:pPr>
              <w:rPr>
                <w:rFonts w:ascii="宋体"/>
                <w:vanish/>
              </w:rPr>
            </w:pPr>
          </w:p>
        </w:tc>
        <w:tc>
          <w:tcPr>
            <w:tcW w:w="0" w:type="auto"/>
            <w:gridSpan w:val="3"/>
            <w:shd w:val="clear" w:color="auto" w:fill="auto"/>
            <w:vAlign w:val="bottom"/>
          </w:tcPr>
          <w:p w14:paraId="74DDA260" w14:textId="77777777" w:rsidR="00584EC1" w:rsidRDefault="00584EC1">
            <w:pPr>
              <w:rPr>
                <w:rFonts w:ascii="宋体"/>
                <w:vanish/>
              </w:rPr>
            </w:pPr>
          </w:p>
        </w:tc>
        <w:tc>
          <w:tcPr>
            <w:tcW w:w="0" w:type="auto"/>
            <w:shd w:val="clear" w:color="auto" w:fill="auto"/>
            <w:vAlign w:val="bottom"/>
          </w:tcPr>
          <w:p w14:paraId="74DDA261" w14:textId="77777777" w:rsidR="00584EC1" w:rsidRDefault="00584EC1">
            <w:pPr>
              <w:rPr>
                <w:rFonts w:ascii="宋体"/>
              </w:rPr>
            </w:pPr>
          </w:p>
        </w:tc>
        <w:tc>
          <w:tcPr>
            <w:tcW w:w="0" w:type="auto"/>
            <w:shd w:val="clear" w:color="auto" w:fill="auto"/>
            <w:vAlign w:val="bottom"/>
          </w:tcPr>
          <w:p w14:paraId="74DDA262" w14:textId="77777777" w:rsidR="00584EC1" w:rsidRDefault="00584EC1">
            <w:pPr>
              <w:rPr>
                <w:rFonts w:ascii="宋体"/>
              </w:rPr>
            </w:pPr>
          </w:p>
        </w:tc>
        <w:tc>
          <w:tcPr>
            <w:tcW w:w="0" w:type="auto"/>
            <w:shd w:val="clear" w:color="auto" w:fill="auto"/>
            <w:vAlign w:val="bottom"/>
          </w:tcPr>
          <w:p w14:paraId="74DDA263" w14:textId="77777777" w:rsidR="00584EC1" w:rsidRDefault="00584EC1">
            <w:pPr>
              <w:rPr>
                <w:rFonts w:ascii="宋体"/>
              </w:rPr>
            </w:pPr>
          </w:p>
        </w:tc>
        <w:tc>
          <w:tcPr>
            <w:tcW w:w="0" w:type="auto"/>
            <w:shd w:val="clear" w:color="auto" w:fill="auto"/>
            <w:vAlign w:val="bottom"/>
          </w:tcPr>
          <w:p w14:paraId="74DDA264" w14:textId="77777777" w:rsidR="00584EC1" w:rsidRDefault="00584EC1">
            <w:pPr>
              <w:rPr>
                <w:rFonts w:ascii="宋体"/>
              </w:rPr>
            </w:pPr>
          </w:p>
        </w:tc>
        <w:tc>
          <w:tcPr>
            <w:tcW w:w="0" w:type="auto"/>
            <w:shd w:val="clear" w:color="auto" w:fill="auto"/>
            <w:vAlign w:val="bottom"/>
          </w:tcPr>
          <w:p w14:paraId="74DDA265" w14:textId="77777777" w:rsidR="00584EC1" w:rsidRDefault="00584EC1">
            <w:pPr>
              <w:rPr>
                <w:rFonts w:ascii="宋体"/>
              </w:rPr>
            </w:pPr>
          </w:p>
        </w:tc>
        <w:tc>
          <w:tcPr>
            <w:tcW w:w="0" w:type="auto"/>
            <w:shd w:val="clear" w:color="auto" w:fill="auto"/>
            <w:vAlign w:val="bottom"/>
          </w:tcPr>
          <w:p w14:paraId="74DDA266" w14:textId="77777777" w:rsidR="00584EC1" w:rsidRDefault="00584EC1">
            <w:pPr>
              <w:rPr>
                <w:rFonts w:ascii="宋体"/>
              </w:rPr>
            </w:pPr>
          </w:p>
        </w:tc>
        <w:tc>
          <w:tcPr>
            <w:tcW w:w="0" w:type="auto"/>
            <w:shd w:val="clear" w:color="auto" w:fill="auto"/>
            <w:vAlign w:val="bottom"/>
          </w:tcPr>
          <w:p w14:paraId="74DDA267" w14:textId="77777777" w:rsidR="00584EC1" w:rsidRDefault="00584EC1">
            <w:pPr>
              <w:rPr>
                <w:rFonts w:ascii="宋体"/>
              </w:rPr>
            </w:pPr>
          </w:p>
        </w:tc>
        <w:tc>
          <w:tcPr>
            <w:tcW w:w="0" w:type="auto"/>
            <w:shd w:val="clear" w:color="auto" w:fill="auto"/>
            <w:vAlign w:val="bottom"/>
          </w:tcPr>
          <w:p w14:paraId="74DDA268" w14:textId="77777777" w:rsidR="00584EC1" w:rsidRDefault="00584EC1">
            <w:pPr>
              <w:rPr>
                <w:rFonts w:ascii="宋体"/>
              </w:rPr>
            </w:pPr>
          </w:p>
        </w:tc>
        <w:tc>
          <w:tcPr>
            <w:tcW w:w="0" w:type="auto"/>
            <w:shd w:val="clear" w:color="auto" w:fill="auto"/>
            <w:vAlign w:val="bottom"/>
          </w:tcPr>
          <w:p w14:paraId="74DDA269" w14:textId="77777777" w:rsidR="00584EC1" w:rsidRDefault="00584EC1">
            <w:pPr>
              <w:rPr>
                <w:rFonts w:ascii="宋体"/>
              </w:rPr>
            </w:pPr>
          </w:p>
        </w:tc>
        <w:tc>
          <w:tcPr>
            <w:tcW w:w="0" w:type="auto"/>
            <w:shd w:val="clear" w:color="auto" w:fill="auto"/>
            <w:vAlign w:val="bottom"/>
          </w:tcPr>
          <w:p w14:paraId="74DDA26A" w14:textId="77777777" w:rsidR="00584EC1" w:rsidRDefault="00584EC1">
            <w:pPr>
              <w:rPr>
                <w:rFonts w:ascii="宋体"/>
              </w:rPr>
            </w:pPr>
          </w:p>
        </w:tc>
        <w:tc>
          <w:tcPr>
            <w:tcW w:w="0" w:type="auto"/>
            <w:shd w:val="clear" w:color="auto" w:fill="auto"/>
            <w:vAlign w:val="bottom"/>
          </w:tcPr>
          <w:p w14:paraId="74DDA26B" w14:textId="77777777" w:rsidR="00584EC1" w:rsidRDefault="00584EC1">
            <w:pPr>
              <w:rPr>
                <w:rFonts w:ascii="宋体"/>
              </w:rPr>
            </w:pPr>
          </w:p>
        </w:tc>
        <w:tc>
          <w:tcPr>
            <w:tcW w:w="0" w:type="auto"/>
            <w:shd w:val="clear" w:color="auto" w:fill="auto"/>
            <w:vAlign w:val="bottom"/>
          </w:tcPr>
          <w:p w14:paraId="74DDA26C" w14:textId="77777777" w:rsidR="00584EC1" w:rsidRDefault="00584EC1">
            <w:pPr>
              <w:rPr>
                <w:rFonts w:ascii="宋体"/>
              </w:rPr>
            </w:pPr>
          </w:p>
        </w:tc>
        <w:tc>
          <w:tcPr>
            <w:tcW w:w="0" w:type="auto"/>
            <w:shd w:val="clear" w:color="auto" w:fill="auto"/>
            <w:vAlign w:val="bottom"/>
          </w:tcPr>
          <w:p w14:paraId="74DDA26D" w14:textId="77777777" w:rsidR="00584EC1" w:rsidRDefault="00584EC1">
            <w:pPr>
              <w:rPr>
                <w:rFonts w:ascii="宋体"/>
              </w:rPr>
            </w:pPr>
          </w:p>
        </w:tc>
        <w:tc>
          <w:tcPr>
            <w:tcW w:w="0" w:type="auto"/>
            <w:shd w:val="clear" w:color="auto" w:fill="auto"/>
            <w:vAlign w:val="bottom"/>
          </w:tcPr>
          <w:p w14:paraId="74DDA26E" w14:textId="77777777" w:rsidR="00584EC1" w:rsidRDefault="00584EC1">
            <w:pPr>
              <w:rPr>
                <w:rFonts w:ascii="宋体"/>
              </w:rPr>
            </w:pPr>
          </w:p>
        </w:tc>
        <w:tc>
          <w:tcPr>
            <w:tcW w:w="0" w:type="auto"/>
            <w:shd w:val="clear" w:color="auto" w:fill="auto"/>
            <w:vAlign w:val="bottom"/>
          </w:tcPr>
          <w:p w14:paraId="74DDA26F" w14:textId="77777777" w:rsidR="00584EC1" w:rsidRDefault="00584EC1">
            <w:pPr>
              <w:rPr>
                <w:rFonts w:ascii="宋体"/>
              </w:rPr>
            </w:pPr>
          </w:p>
        </w:tc>
        <w:tc>
          <w:tcPr>
            <w:tcW w:w="0" w:type="auto"/>
            <w:shd w:val="clear" w:color="auto" w:fill="auto"/>
            <w:vAlign w:val="bottom"/>
          </w:tcPr>
          <w:p w14:paraId="74DDA270" w14:textId="77777777" w:rsidR="00584EC1" w:rsidRDefault="00584EC1">
            <w:pPr>
              <w:rPr>
                <w:rFonts w:ascii="宋体"/>
              </w:rPr>
            </w:pPr>
          </w:p>
        </w:tc>
        <w:tc>
          <w:tcPr>
            <w:tcW w:w="0" w:type="auto"/>
            <w:shd w:val="clear" w:color="auto" w:fill="auto"/>
            <w:vAlign w:val="bottom"/>
          </w:tcPr>
          <w:p w14:paraId="74DDA271" w14:textId="77777777" w:rsidR="00584EC1" w:rsidRDefault="00584EC1">
            <w:pPr>
              <w:rPr>
                <w:rFonts w:ascii="宋体"/>
              </w:rPr>
            </w:pPr>
          </w:p>
        </w:tc>
        <w:tc>
          <w:tcPr>
            <w:tcW w:w="0" w:type="auto"/>
            <w:shd w:val="clear" w:color="auto" w:fill="auto"/>
            <w:vAlign w:val="bottom"/>
          </w:tcPr>
          <w:p w14:paraId="74DDA272" w14:textId="77777777" w:rsidR="00584EC1" w:rsidRDefault="00584EC1">
            <w:pPr>
              <w:rPr>
                <w:rFonts w:ascii="宋体"/>
              </w:rPr>
            </w:pPr>
          </w:p>
        </w:tc>
        <w:tc>
          <w:tcPr>
            <w:tcW w:w="0" w:type="auto"/>
            <w:shd w:val="clear" w:color="auto" w:fill="auto"/>
            <w:vAlign w:val="bottom"/>
          </w:tcPr>
          <w:p w14:paraId="74DDA273" w14:textId="77777777" w:rsidR="00584EC1" w:rsidRDefault="00584EC1">
            <w:pPr>
              <w:rPr>
                <w:rFonts w:ascii="宋体"/>
              </w:rPr>
            </w:pPr>
          </w:p>
        </w:tc>
        <w:tc>
          <w:tcPr>
            <w:tcW w:w="0" w:type="auto"/>
            <w:shd w:val="clear" w:color="auto" w:fill="auto"/>
            <w:vAlign w:val="bottom"/>
          </w:tcPr>
          <w:p w14:paraId="74DDA274" w14:textId="77777777" w:rsidR="00584EC1" w:rsidRDefault="00584EC1">
            <w:pPr>
              <w:rPr>
                <w:rFonts w:ascii="宋体"/>
              </w:rPr>
            </w:pPr>
          </w:p>
        </w:tc>
        <w:tc>
          <w:tcPr>
            <w:tcW w:w="0" w:type="auto"/>
            <w:shd w:val="clear" w:color="auto" w:fill="auto"/>
            <w:vAlign w:val="bottom"/>
          </w:tcPr>
          <w:p w14:paraId="74DDA275" w14:textId="77777777" w:rsidR="00584EC1" w:rsidRDefault="00584EC1">
            <w:pPr>
              <w:rPr>
                <w:rFonts w:ascii="宋体"/>
              </w:rPr>
            </w:pPr>
          </w:p>
        </w:tc>
        <w:tc>
          <w:tcPr>
            <w:tcW w:w="0" w:type="auto"/>
            <w:shd w:val="clear" w:color="auto" w:fill="auto"/>
            <w:vAlign w:val="bottom"/>
          </w:tcPr>
          <w:p w14:paraId="74DDA276" w14:textId="77777777" w:rsidR="00584EC1" w:rsidRDefault="00584EC1">
            <w:pPr>
              <w:rPr>
                <w:rFonts w:ascii="宋体"/>
              </w:rPr>
            </w:pPr>
          </w:p>
        </w:tc>
        <w:tc>
          <w:tcPr>
            <w:tcW w:w="0" w:type="auto"/>
            <w:shd w:val="clear" w:color="auto" w:fill="auto"/>
            <w:vAlign w:val="bottom"/>
          </w:tcPr>
          <w:p w14:paraId="74DDA277" w14:textId="77777777" w:rsidR="00584EC1" w:rsidRDefault="00584EC1">
            <w:pPr>
              <w:rPr>
                <w:rFonts w:ascii="宋体"/>
              </w:rPr>
            </w:pPr>
          </w:p>
        </w:tc>
        <w:tc>
          <w:tcPr>
            <w:tcW w:w="0" w:type="auto"/>
            <w:shd w:val="clear" w:color="auto" w:fill="auto"/>
            <w:vAlign w:val="bottom"/>
          </w:tcPr>
          <w:p w14:paraId="74DDA278" w14:textId="77777777" w:rsidR="00584EC1" w:rsidRDefault="00584EC1">
            <w:pPr>
              <w:rPr>
                <w:rFonts w:ascii="宋体"/>
              </w:rPr>
            </w:pPr>
          </w:p>
        </w:tc>
      </w:tr>
      <w:tr w:rsidR="00584EC1" w14:paraId="74DDA286" w14:textId="77777777">
        <w:trPr>
          <w:hidden/>
        </w:trPr>
        <w:tc>
          <w:tcPr>
            <w:tcW w:w="0" w:type="auto"/>
            <w:gridSpan w:val="3"/>
            <w:shd w:val="clear" w:color="auto" w:fill="auto"/>
            <w:vAlign w:val="bottom"/>
          </w:tcPr>
          <w:p w14:paraId="74DDA27A" w14:textId="77777777" w:rsidR="00584EC1" w:rsidRDefault="00584EC1">
            <w:pPr>
              <w:rPr>
                <w:rFonts w:ascii="宋体"/>
                <w:vanish/>
              </w:rPr>
            </w:pPr>
          </w:p>
        </w:tc>
        <w:tc>
          <w:tcPr>
            <w:tcW w:w="0" w:type="auto"/>
            <w:gridSpan w:val="3"/>
            <w:shd w:val="clear" w:color="auto" w:fill="auto"/>
            <w:vAlign w:val="bottom"/>
          </w:tcPr>
          <w:p w14:paraId="74DDA27B" w14:textId="77777777" w:rsidR="00584EC1" w:rsidRDefault="00584EC1">
            <w:pPr>
              <w:rPr>
                <w:rFonts w:ascii="宋体"/>
                <w:vanish/>
              </w:rPr>
            </w:pPr>
          </w:p>
        </w:tc>
        <w:tc>
          <w:tcPr>
            <w:tcW w:w="0" w:type="auto"/>
            <w:gridSpan w:val="3"/>
            <w:shd w:val="clear" w:color="auto" w:fill="auto"/>
            <w:vAlign w:val="bottom"/>
          </w:tcPr>
          <w:p w14:paraId="74DDA27C" w14:textId="77777777" w:rsidR="00584EC1" w:rsidRDefault="00584EC1">
            <w:pPr>
              <w:rPr>
                <w:rFonts w:ascii="宋体"/>
                <w:vanish/>
              </w:rPr>
            </w:pPr>
          </w:p>
        </w:tc>
        <w:tc>
          <w:tcPr>
            <w:tcW w:w="0" w:type="auto"/>
            <w:gridSpan w:val="3"/>
            <w:shd w:val="clear" w:color="auto" w:fill="auto"/>
            <w:vAlign w:val="bottom"/>
          </w:tcPr>
          <w:p w14:paraId="74DDA27D" w14:textId="77777777" w:rsidR="00584EC1" w:rsidRDefault="00584EC1">
            <w:pPr>
              <w:rPr>
                <w:rFonts w:ascii="宋体"/>
                <w:vanish/>
              </w:rPr>
            </w:pPr>
          </w:p>
        </w:tc>
        <w:tc>
          <w:tcPr>
            <w:tcW w:w="0" w:type="auto"/>
            <w:gridSpan w:val="3"/>
            <w:shd w:val="clear" w:color="auto" w:fill="auto"/>
            <w:vAlign w:val="bottom"/>
          </w:tcPr>
          <w:p w14:paraId="74DDA27E" w14:textId="77777777" w:rsidR="00584EC1" w:rsidRDefault="00584EC1">
            <w:pPr>
              <w:rPr>
                <w:rFonts w:ascii="宋体"/>
                <w:vanish/>
              </w:rPr>
            </w:pPr>
          </w:p>
        </w:tc>
        <w:tc>
          <w:tcPr>
            <w:tcW w:w="0" w:type="auto"/>
            <w:gridSpan w:val="3"/>
            <w:shd w:val="clear" w:color="auto" w:fill="auto"/>
            <w:vAlign w:val="bottom"/>
          </w:tcPr>
          <w:p w14:paraId="74DDA27F" w14:textId="77777777" w:rsidR="00584EC1" w:rsidRDefault="00584EC1">
            <w:pPr>
              <w:rPr>
                <w:rFonts w:ascii="宋体"/>
                <w:vanish/>
              </w:rPr>
            </w:pPr>
          </w:p>
        </w:tc>
        <w:tc>
          <w:tcPr>
            <w:tcW w:w="0" w:type="auto"/>
            <w:gridSpan w:val="3"/>
            <w:shd w:val="clear" w:color="auto" w:fill="auto"/>
            <w:vAlign w:val="bottom"/>
          </w:tcPr>
          <w:p w14:paraId="74DDA280" w14:textId="77777777" w:rsidR="00584EC1" w:rsidRDefault="00584EC1">
            <w:pPr>
              <w:rPr>
                <w:rFonts w:ascii="宋体"/>
                <w:vanish/>
              </w:rPr>
            </w:pPr>
          </w:p>
        </w:tc>
        <w:tc>
          <w:tcPr>
            <w:tcW w:w="0" w:type="auto"/>
            <w:gridSpan w:val="3"/>
            <w:shd w:val="clear" w:color="auto" w:fill="auto"/>
            <w:vAlign w:val="bottom"/>
          </w:tcPr>
          <w:p w14:paraId="74DDA281" w14:textId="77777777" w:rsidR="00584EC1" w:rsidRDefault="00584EC1">
            <w:pPr>
              <w:rPr>
                <w:rFonts w:ascii="宋体"/>
                <w:vanish/>
              </w:rPr>
            </w:pPr>
          </w:p>
        </w:tc>
        <w:tc>
          <w:tcPr>
            <w:tcW w:w="0" w:type="auto"/>
            <w:gridSpan w:val="3"/>
            <w:shd w:val="clear" w:color="auto" w:fill="auto"/>
            <w:vAlign w:val="bottom"/>
          </w:tcPr>
          <w:p w14:paraId="74DDA282" w14:textId="77777777" w:rsidR="00584EC1" w:rsidRDefault="00584EC1">
            <w:pPr>
              <w:rPr>
                <w:rFonts w:ascii="宋体"/>
                <w:vanish/>
              </w:rPr>
            </w:pPr>
          </w:p>
        </w:tc>
        <w:tc>
          <w:tcPr>
            <w:tcW w:w="0" w:type="auto"/>
            <w:gridSpan w:val="3"/>
            <w:shd w:val="clear" w:color="auto" w:fill="auto"/>
            <w:vAlign w:val="bottom"/>
          </w:tcPr>
          <w:p w14:paraId="74DDA283" w14:textId="77777777" w:rsidR="00584EC1" w:rsidRDefault="00584EC1">
            <w:pPr>
              <w:rPr>
                <w:rFonts w:ascii="宋体"/>
                <w:vanish/>
              </w:rPr>
            </w:pPr>
          </w:p>
        </w:tc>
        <w:tc>
          <w:tcPr>
            <w:tcW w:w="0" w:type="auto"/>
            <w:gridSpan w:val="3"/>
            <w:shd w:val="clear" w:color="auto" w:fill="auto"/>
            <w:vAlign w:val="bottom"/>
          </w:tcPr>
          <w:p w14:paraId="74DDA284" w14:textId="77777777" w:rsidR="00584EC1" w:rsidRDefault="00584EC1">
            <w:pPr>
              <w:rPr>
                <w:rFonts w:ascii="宋体"/>
                <w:vanish/>
              </w:rPr>
            </w:pPr>
          </w:p>
        </w:tc>
        <w:tc>
          <w:tcPr>
            <w:tcW w:w="0" w:type="auto"/>
            <w:gridSpan w:val="3"/>
            <w:shd w:val="clear" w:color="auto" w:fill="auto"/>
            <w:vAlign w:val="bottom"/>
          </w:tcPr>
          <w:p w14:paraId="74DDA285" w14:textId="77777777" w:rsidR="00584EC1" w:rsidRDefault="00584EC1">
            <w:pPr>
              <w:rPr>
                <w:rFonts w:ascii="宋体"/>
                <w:vanish/>
              </w:rPr>
            </w:pPr>
          </w:p>
        </w:tc>
      </w:tr>
      <w:tr w:rsidR="00584EC1" w14:paraId="74DDA293" w14:textId="77777777">
        <w:trPr>
          <w:hidden/>
        </w:trPr>
        <w:tc>
          <w:tcPr>
            <w:tcW w:w="0" w:type="auto"/>
            <w:gridSpan w:val="3"/>
            <w:shd w:val="clear" w:color="auto" w:fill="auto"/>
            <w:vAlign w:val="bottom"/>
          </w:tcPr>
          <w:p w14:paraId="74DDA287" w14:textId="77777777" w:rsidR="00584EC1" w:rsidRDefault="00584EC1">
            <w:pPr>
              <w:rPr>
                <w:rFonts w:ascii="宋体"/>
                <w:vanish/>
              </w:rPr>
            </w:pPr>
          </w:p>
        </w:tc>
        <w:tc>
          <w:tcPr>
            <w:tcW w:w="0" w:type="auto"/>
            <w:gridSpan w:val="3"/>
            <w:shd w:val="clear" w:color="auto" w:fill="auto"/>
            <w:vAlign w:val="bottom"/>
          </w:tcPr>
          <w:p w14:paraId="74DDA288" w14:textId="77777777" w:rsidR="00584EC1" w:rsidRDefault="00584EC1">
            <w:pPr>
              <w:rPr>
                <w:rFonts w:ascii="宋体"/>
                <w:vanish/>
              </w:rPr>
            </w:pPr>
          </w:p>
        </w:tc>
        <w:tc>
          <w:tcPr>
            <w:tcW w:w="0" w:type="auto"/>
            <w:gridSpan w:val="3"/>
            <w:shd w:val="clear" w:color="auto" w:fill="auto"/>
            <w:vAlign w:val="bottom"/>
          </w:tcPr>
          <w:p w14:paraId="74DDA289" w14:textId="77777777" w:rsidR="00584EC1" w:rsidRDefault="00584EC1">
            <w:pPr>
              <w:rPr>
                <w:rFonts w:ascii="宋体"/>
                <w:vanish/>
              </w:rPr>
            </w:pPr>
          </w:p>
        </w:tc>
        <w:tc>
          <w:tcPr>
            <w:tcW w:w="0" w:type="auto"/>
            <w:gridSpan w:val="3"/>
            <w:shd w:val="clear" w:color="auto" w:fill="auto"/>
            <w:vAlign w:val="bottom"/>
          </w:tcPr>
          <w:p w14:paraId="74DDA28A" w14:textId="77777777" w:rsidR="00584EC1" w:rsidRDefault="00584EC1">
            <w:pPr>
              <w:rPr>
                <w:rFonts w:ascii="宋体"/>
                <w:vanish/>
              </w:rPr>
            </w:pPr>
          </w:p>
        </w:tc>
        <w:tc>
          <w:tcPr>
            <w:tcW w:w="0" w:type="auto"/>
            <w:gridSpan w:val="3"/>
            <w:shd w:val="clear" w:color="auto" w:fill="auto"/>
            <w:vAlign w:val="bottom"/>
          </w:tcPr>
          <w:p w14:paraId="74DDA28B" w14:textId="77777777" w:rsidR="00584EC1" w:rsidRDefault="00584EC1">
            <w:pPr>
              <w:rPr>
                <w:rFonts w:ascii="宋体"/>
                <w:vanish/>
              </w:rPr>
            </w:pPr>
          </w:p>
        </w:tc>
        <w:tc>
          <w:tcPr>
            <w:tcW w:w="0" w:type="auto"/>
            <w:gridSpan w:val="3"/>
            <w:shd w:val="clear" w:color="auto" w:fill="auto"/>
            <w:vAlign w:val="bottom"/>
          </w:tcPr>
          <w:p w14:paraId="74DDA28C" w14:textId="77777777" w:rsidR="00584EC1" w:rsidRDefault="00584EC1">
            <w:pPr>
              <w:rPr>
                <w:rFonts w:ascii="宋体"/>
                <w:vanish/>
              </w:rPr>
            </w:pPr>
          </w:p>
        </w:tc>
        <w:tc>
          <w:tcPr>
            <w:tcW w:w="0" w:type="auto"/>
            <w:gridSpan w:val="3"/>
            <w:shd w:val="clear" w:color="auto" w:fill="auto"/>
            <w:vAlign w:val="bottom"/>
          </w:tcPr>
          <w:p w14:paraId="74DDA28D" w14:textId="77777777" w:rsidR="00584EC1" w:rsidRDefault="00584EC1">
            <w:pPr>
              <w:rPr>
                <w:rFonts w:ascii="宋体"/>
                <w:vanish/>
              </w:rPr>
            </w:pPr>
          </w:p>
        </w:tc>
        <w:tc>
          <w:tcPr>
            <w:tcW w:w="0" w:type="auto"/>
            <w:gridSpan w:val="3"/>
            <w:shd w:val="clear" w:color="auto" w:fill="auto"/>
            <w:vAlign w:val="bottom"/>
          </w:tcPr>
          <w:p w14:paraId="74DDA28E" w14:textId="77777777" w:rsidR="00584EC1" w:rsidRDefault="00584EC1">
            <w:pPr>
              <w:rPr>
                <w:rFonts w:ascii="宋体"/>
                <w:vanish/>
              </w:rPr>
            </w:pPr>
          </w:p>
        </w:tc>
        <w:tc>
          <w:tcPr>
            <w:tcW w:w="0" w:type="auto"/>
            <w:gridSpan w:val="3"/>
            <w:shd w:val="clear" w:color="auto" w:fill="auto"/>
            <w:vAlign w:val="bottom"/>
          </w:tcPr>
          <w:p w14:paraId="74DDA28F" w14:textId="77777777" w:rsidR="00584EC1" w:rsidRDefault="00584EC1">
            <w:pPr>
              <w:rPr>
                <w:rFonts w:ascii="宋体"/>
                <w:vanish/>
              </w:rPr>
            </w:pPr>
          </w:p>
        </w:tc>
        <w:tc>
          <w:tcPr>
            <w:tcW w:w="0" w:type="auto"/>
            <w:gridSpan w:val="3"/>
            <w:shd w:val="clear" w:color="auto" w:fill="auto"/>
            <w:vAlign w:val="bottom"/>
          </w:tcPr>
          <w:p w14:paraId="74DDA290" w14:textId="77777777" w:rsidR="00584EC1" w:rsidRDefault="00584EC1">
            <w:pPr>
              <w:rPr>
                <w:rFonts w:ascii="宋体"/>
                <w:vanish/>
              </w:rPr>
            </w:pPr>
          </w:p>
        </w:tc>
        <w:tc>
          <w:tcPr>
            <w:tcW w:w="0" w:type="auto"/>
            <w:gridSpan w:val="3"/>
            <w:shd w:val="clear" w:color="auto" w:fill="auto"/>
            <w:vAlign w:val="bottom"/>
          </w:tcPr>
          <w:p w14:paraId="74DDA291" w14:textId="77777777" w:rsidR="00584EC1" w:rsidRDefault="00584EC1">
            <w:pPr>
              <w:rPr>
                <w:rFonts w:ascii="宋体"/>
                <w:vanish/>
              </w:rPr>
            </w:pPr>
          </w:p>
        </w:tc>
        <w:tc>
          <w:tcPr>
            <w:tcW w:w="0" w:type="auto"/>
            <w:gridSpan w:val="3"/>
            <w:shd w:val="clear" w:color="auto" w:fill="auto"/>
            <w:vAlign w:val="bottom"/>
          </w:tcPr>
          <w:p w14:paraId="74DDA292" w14:textId="77777777" w:rsidR="00584EC1" w:rsidRDefault="00584EC1">
            <w:pPr>
              <w:rPr>
                <w:rFonts w:ascii="宋体"/>
                <w:vanish/>
              </w:rPr>
            </w:pPr>
          </w:p>
        </w:tc>
      </w:tr>
      <w:tr w:rsidR="00584EC1" w14:paraId="74DDA2A0" w14:textId="77777777">
        <w:trPr>
          <w:hidden/>
        </w:trPr>
        <w:tc>
          <w:tcPr>
            <w:tcW w:w="0" w:type="auto"/>
            <w:gridSpan w:val="3"/>
            <w:shd w:val="clear" w:color="auto" w:fill="auto"/>
            <w:vAlign w:val="bottom"/>
          </w:tcPr>
          <w:p w14:paraId="74DDA294" w14:textId="77777777" w:rsidR="00584EC1" w:rsidRDefault="00584EC1">
            <w:pPr>
              <w:rPr>
                <w:rFonts w:ascii="宋体"/>
                <w:vanish/>
              </w:rPr>
            </w:pPr>
          </w:p>
        </w:tc>
        <w:tc>
          <w:tcPr>
            <w:tcW w:w="0" w:type="auto"/>
            <w:gridSpan w:val="3"/>
            <w:shd w:val="clear" w:color="auto" w:fill="auto"/>
            <w:vAlign w:val="bottom"/>
          </w:tcPr>
          <w:p w14:paraId="74DDA295" w14:textId="77777777" w:rsidR="00584EC1" w:rsidRDefault="00584EC1">
            <w:pPr>
              <w:rPr>
                <w:rFonts w:ascii="宋体"/>
                <w:vanish/>
              </w:rPr>
            </w:pPr>
          </w:p>
        </w:tc>
        <w:tc>
          <w:tcPr>
            <w:tcW w:w="0" w:type="auto"/>
            <w:gridSpan w:val="3"/>
            <w:shd w:val="clear" w:color="auto" w:fill="auto"/>
            <w:vAlign w:val="bottom"/>
          </w:tcPr>
          <w:p w14:paraId="74DDA296" w14:textId="77777777" w:rsidR="00584EC1" w:rsidRDefault="00584EC1">
            <w:pPr>
              <w:rPr>
                <w:rFonts w:ascii="宋体"/>
                <w:vanish/>
              </w:rPr>
            </w:pPr>
          </w:p>
        </w:tc>
        <w:tc>
          <w:tcPr>
            <w:tcW w:w="0" w:type="auto"/>
            <w:gridSpan w:val="3"/>
            <w:shd w:val="clear" w:color="auto" w:fill="auto"/>
            <w:vAlign w:val="bottom"/>
          </w:tcPr>
          <w:p w14:paraId="74DDA297" w14:textId="77777777" w:rsidR="00584EC1" w:rsidRDefault="00584EC1">
            <w:pPr>
              <w:rPr>
                <w:rFonts w:ascii="宋体"/>
                <w:vanish/>
              </w:rPr>
            </w:pPr>
          </w:p>
        </w:tc>
        <w:tc>
          <w:tcPr>
            <w:tcW w:w="0" w:type="auto"/>
            <w:gridSpan w:val="3"/>
            <w:shd w:val="clear" w:color="auto" w:fill="auto"/>
            <w:vAlign w:val="bottom"/>
          </w:tcPr>
          <w:p w14:paraId="74DDA298" w14:textId="77777777" w:rsidR="00584EC1" w:rsidRDefault="00584EC1">
            <w:pPr>
              <w:rPr>
                <w:rFonts w:ascii="宋体"/>
                <w:vanish/>
              </w:rPr>
            </w:pPr>
          </w:p>
        </w:tc>
        <w:tc>
          <w:tcPr>
            <w:tcW w:w="0" w:type="auto"/>
            <w:gridSpan w:val="3"/>
            <w:shd w:val="clear" w:color="auto" w:fill="auto"/>
            <w:vAlign w:val="bottom"/>
          </w:tcPr>
          <w:p w14:paraId="74DDA299" w14:textId="77777777" w:rsidR="00584EC1" w:rsidRDefault="00584EC1">
            <w:pPr>
              <w:rPr>
                <w:rFonts w:ascii="宋体"/>
                <w:vanish/>
              </w:rPr>
            </w:pPr>
          </w:p>
        </w:tc>
        <w:tc>
          <w:tcPr>
            <w:tcW w:w="0" w:type="auto"/>
            <w:gridSpan w:val="3"/>
            <w:shd w:val="clear" w:color="auto" w:fill="auto"/>
            <w:vAlign w:val="bottom"/>
          </w:tcPr>
          <w:p w14:paraId="74DDA29A" w14:textId="77777777" w:rsidR="00584EC1" w:rsidRDefault="00584EC1">
            <w:pPr>
              <w:rPr>
                <w:rFonts w:ascii="宋体"/>
                <w:vanish/>
              </w:rPr>
            </w:pPr>
          </w:p>
        </w:tc>
        <w:tc>
          <w:tcPr>
            <w:tcW w:w="0" w:type="auto"/>
            <w:gridSpan w:val="3"/>
            <w:shd w:val="clear" w:color="auto" w:fill="auto"/>
            <w:vAlign w:val="bottom"/>
          </w:tcPr>
          <w:p w14:paraId="74DDA29B" w14:textId="77777777" w:rsidR="00584EC1" w:rsidRDefault="00584EC1">
            <w:pPr>
              <w:rPr>
                <w:rFonts w:ascii="宋体"/>
                <w:vanish/>
              </w:rPr>
            </w:pPr>
          </w:p>
        </w:tc>
        <w:tc>
          <w:tcPr>
            <w:tcW w:w="0" w:type="auto"/>
            <w:gridSpan w:val="3"/>
            <w:shd w:val="clear" w:color="auto" w:fill="auto"/>
            <w:vAlign w:val="bottom"/>
          </w:tcPr>
          <w:p w14:paraId="74DDA29C" w14:textId="77777777" w:rsidR="00584EC1" w:rsidRDefault="00584EC1">
            <w:pPr>
              <w:rPr>
                <w:rFonts w:ascii="宋体"/>
                <w:vanish/>
              </w:rPr>
            </w:pPr>
          </w:p>
        </w:tc>
        <w:tc>
          <w:tcPr>
            <w:tcW w:w="0" w:type="auto"/>
            <w:gridSpan w:val="3"/>
            <w:shd w:val="clear" w:color="auto" w:fill="auto"/>
            <w:vAlign w:val="bottom"/>
          </w:tcPr>
          <w:p w14:paraId="74DDA29D" w14:textId="77777777" w:rsidR="00584EC1" w:rsidRDefault="00584EC1">
            <w:pPr>
              <w:rPr>
                <w:rFonts w:ascii="宋体"/>
                <w:vanish/>
              </w:rPr>
            </w:pPr>
          </w:p>
        </w:tc>
        <w:tc>
          <w:tcPr>
            <w:tcW w:w="0" w:type="auto"/>
            <w:gridSpan w:val="3"/>
            <w:shd w:val="clear" w:color="auto" w:fill="auto"/>
            <w:vAlign w:val="bottom"/>
          </w:tcPr>
          <w:p w14:paraId="74DDA29E" w14:textId="77777777" w:rsidR="00584EC1" w:rsidRDefault="00584EC1">
            <w:pPr>
              <w:rPr>
                <w:rFonts w:ascii="宋体"/>
                <w:vanish/>
              </w:rPr>
            </w:pPr>
          </w:p>
        </w:tc>
        <w:tc>
          <w:tcPr>
            <w:tcW w:w="0" w:type="auto"/>
            <w:gridSpan w:val="3"/>
            <w:shd w:val="clear" w:color="auto" w:fill="auto"/>
            <w:vAlign w:val="bottom"/>
          </w:tcPr>
          <w:p w14:paraId="74DDA29F" w14:textId="77777777" w:rsidR="00584EC1" w:rsidRDefault="00584EC1">
            <w:pPr>
              <w:rPr>
                <w:rFonts w:ascii="宋体"/>
                <w:vanish/>
              </w:rPr>
            </w:pPr>
          </w:p>
        </w:tc>
      </w:tr>
      <w:tr w:rsidR="00584EC1" w14:paraId="74DDA2AD" w14:textId="77777777">
        <w:trPr>
          <w:hidden/>
        </w:trPr>
        <w:tc>
          <w:tcPr>
            <w:tcW w:w="0" w:type="auto"/>
            <w:gridSpan w:val="3"/>
            <w:shd w:val="clear" w:color="auto" w:fill="auto"/>
            <w:vAlign w:val="bottom"/>
          </w:tcPr>
          <w:p w14:paraId="74DDA2A1" w14:textId="77777777" w:rsidR="00584EC1" w:rsidRDefault="00584EC1">
            <w:pPr>
              <w:rPr>
                <w:rFonts w:ascii="宋体"/>
                <w:vanish/>
              </w:rPr>
            </w:pPr>
          </w:p>
        </w:tc>
        <w:tc>
          <w:tcPr>
            <w:tcW w:w="0" w:type="auto"/>
            <w:gridSpan w:val="3"/>
            <w:shd w:val="clear" w:color="auto" w:fill="auto"/>
            <w:vAlign w:val="bottom"/>
          </w:tcPr>
          <w:p w14:paraId="74DDA2A2" w14:textId="77777777" w:rsidR="00584EC1" w:rsidRDefault="00584EC1">
            <w:pPr>
              <w:rPr>
                <w:rFonts w:ascii="宋体"/>
                <w:vanish/>
              </w:rPr>
            </w:pPr>
          </w:p>
        </w:tc>
        <w:tc>
          <w:tcPr>
            <w:tcW w:w="0" w:type="auto"/>
            <w:gridSpan w:val="3"/>
            <w:shd w:val="clear" w:color="auto" w:fill="auto"/>
            <w:vAlign w:val="bottom"/>
          </w:tcPr>
          <w:p w14:paraId="74DDA2A3" w14:textId="77777777" w:rsidR="00584EC1" w:rsidRDefault="00584EC1">
            <w:pPr>
              <w:rPr>
                <w:rFonts w:ascii="宋体"/>
                <w:vanish/>
              </w:rPr>
            </w:pPr>
          </w:p>
        </w:tc>
        <w:tc>
          <w:tcPr>
            <w:tcW w:w="0" w:type="auto"/>
            <w:gridSpan w:val="3"/>
            <w:shd w:val="clear" w:color="auto" w:fill="auto"/>
            <w:vAlign w:val="bottom"/>
          </w:tcPr>
          <w:p w14:paraId="74DDA2A4" w14:textId="77777777" w:rsidR="00584EC1" w:rsidRDefault="00584EC1">
            <w:pPr>
              <w:rPr>
                <w:rFonts w:ascii="宋体"/>
                <w:vanish/>
              </w:rPr>
            </w:pPr>
          </w:p>
        </w:tc>
        <w:tc>
          <w:tcPr>
            <w:tcW w:w="0" w:type="auto"/>
            <w:gridSpan w:val="3"/>
            <w:shd w:val="clear" w:color="auto" w:fill="auto"/>
            <w:vAlign w:val="bottom"/>
          </w:tcPr>
          <w:p w14:paraId="74DDA2A5" w14:textId="77777777" w:rsidR="00584EC1" w:rsidRDefault="00584EC1">
            <w:pPr>
              <w:rPr>
                <w:rFonts w:ascii="宋体"/>
                <w:vanish/>
              </w:rPr>
            </w:pPr>
          </w:p>
        </w:tc>
        <w:tc>
          <w:tcPr>
            <w:tcW w:w="0" w:type="auto"/>
            <w:gridSpan w:val="3"/>
            <w:shd w:val="clear" w:color="auto" w:fill="auto"/>
            <w:vAlign w:val="bottom"/>
          </w:tcPr>
          <w:p w14:paraId="74DDA2A6" w14:textId="77777777" w:rsidR="00584EC1" w:rsidRDefault="00584EC1">
            <w:pPr>
              <w:rPr>
                <w:rFonts w:ascii="宋体"/>
                <w:vanish/>
              </w:rPr>
            </w:pPr>
          </w:p>
        </w:tc>
        <w:tc>
          <w:tcPr>
            <w:tcW w:w="0" w:type="auto"/>
            <w:gridSpan w:val="3"/>
            <w:shd w:val="clear" w:color="auto" w:fill="auto"/>
            <w:vAlign w:val="bottom"/>
          </w:tcPr>
          <w:p w14:paraId="74DDA2A7" w14:textId="77777777" w:rsidR="00584EC1" w:rsidRDefault="00584EC1">
            <w:pPr>
              <w:rPr>
                <w:rFonts w:ascii="宋体"/>
                <w:vanish/>
              </w:rPr>
            </w:pPr>
          </w:p>
        </w:tc>
        <w:tc>
          <w:tcPr>
            <w:tcW w:w="0" w:type="auto"/>
            <w:gridSpan w:val="3"/>
            <w:shd w:val="clear" w:color="auto" w:fill="auto"/>
            <w:vAlign w:val="bottom"/>
          </w:tcPr>
          <w:p w14:paraId="74DDA2A8" w14:textId="77777777" w:rsidR="00584EC1" w:rsidRDefault="00584EC1">
            <w:pPr>
              <w:rPr>
                <w:rFonts w:ascii="宋体"/>
                <w:vanish/>
              </w:rPr>
            </w:pPr>
          </w:p>
        </w:tc>
        <w:tc>
          <w:tcPr>
            <w:tcW w:w="0" w:type="auto"/>
            <w:gridSpan w:val="3"/>
            <w:shd w:val="clear" w:color="auto" w:fill="auto"/>
            <w:vAlign w:val="bottom"/>
          </w:tcPr>
          <w:p w14:paraId="74DDA2A9" w14:textId="77777777" w:rsidR="00584EC1" w:rsidRDefault="00584EC1">
            <w:pPr>
              <w:rPr>
                <w:rFonts w:ascii="宋体"/>
                <w:vanish/>
              </w:rPr>
            </w:pPr>
          </w:p>
        </w:tc>
        <w:tc>
          <w:tcPr>
            <w:tcW w:w="0" w:type="auto"/>
            <w:gridSpan w:val="3"/>
            <w:shd w:val="clear" w:color="auto" w:fill="auto"/>
            <w:vAlign w:val="bottom"/>
          </w:tcPr>
          <w:p w14:paraId="74DDA2AA" w14:textId="77777777" w:rsidR="00584EC1" w:rsidRDefault="00584EC1">
            <w:pPr>
              <w:rPr>
                <w:rFonts w:ascii="宋体"/>
                <w:vanish/>
              </w:rPr>
            </w:pPr>
          </w:p>
        </w:tc>
        <w:tc>
          <w:tcPr>
            <w:tcW w:w="0" w:type="auto"/>
            <w:gridSpan w:val="3"/>
            <w:shd w:val="clear" w:color="auto" w:fill="auto"/>
            <w:vAlign w:val="bottom"/>
          </w:tcPr>
          <w:p w14:paraId="74DDA2AB" w14:textId="77777777" w:rsidR="00584EC1" w:rsidRDefault="00584EC1">
            <w:pPr>
              <w:rPr>
                <w:rFonts w:ascii="宋体"/>
                <w:vanish/>
              </w:rPr>
            </w:pPr>
          </w:p>
        </w:tc>
        <w:tc>
          <w:tcPr>
            <w:tcW w:w="0" w:type="auto"/>
            <w:gridSpan w:val="3"/>
            <w:shd w:val="clear" w:color="auto" w:fill="auto"/>
            <w:vAlign w:val="bottom"/>
          </w:tcPr>
          <w:p w14:paraId="74DDA2AC" w14:textId="77777777" w:rsidR="00584EC1" w:rsidRDefault="00584EC1">
            <w:pPr>
              <w:rPr>
                <w:rFonts w:ascii="宋体"/>
                <w:vanish/>
              </w:rPr>
            </w:pPr>
          </w:p>
        </w:tc>
      </w:tr>
      <w:tr w:rsidR="00584EC1" w14:paraId="74DDA2BA" w14:textId="77777777">
        <w:trPr>
          <w:hidden/>
        </w:trPr>
        <w:tc>
          <w:tcPr>
            <w:tcW w:w="0" w:type="auto"/>
            <w:gridSpan w:val="3"/>
            <w:shd w:val="clear" w:color="auto" w:fill="auto"/>
            <w:vAlign w:val="bottom"/>
          </w:tcPr>
          <w:p w14:paraId="74DDA2AE" w14:textId="77777777" w:rsidR="00584EC1" w:rsidRDefault="00584EC1">
            <w:pPr>
              <w:rPr>
                <w:rFonts w:ascii="宋体"/>
                <w:vanish/>
              </w:rPr>
            </w:pPr>
          </w:p>
        </w:tc>
        <w:tc>
          <w:tcPr>
            <w:tcW w:w="0" w:type="auto"/>
            <w:gridSpan w:val="3"/>
            <w:shd w:val="clear" w:color="auto" w:fill="auto"/>
            <w:vAlign w:val="bottom"/>
          </w:tcPr>
          <w:p w14:paraId="74DDA2AF" w14:textId="77777777" w:rsidR="00584EC1" w:rsidRDefault="00584EC1">
            <w:pPr>
              <w:rPr>
                <w:rFonts w:ascii="宋体"/>
                <w:vanish/>
              </w:rPr>
            </w:pPr>
          </w:p>
        </w:tc>
        <w:tc>
          <w:tcPr>
            <w:tcW w:w="0" w:type="auto"/>
            <w:gridSpan w:val="3"/>
            <w:shd w:val="clear" w:color="auto" w:fill="auto"/>
            <w:vAlign w:val="bottom"/>
          </w:tcPr>
          <w:p w14:paraId="74DDA2B0" w14:textId="77777777" w:rsidR="00584EC1" w:rsidRDefault="00584EC1">
            <w:pPr>
              <w:rPr>
                <w:rFonts w:ascii="宋体"/>
                <w:vanish/>
              </w:rPr>
            </w:pPr>
          </w:p>
        </w:tc>
        <w:tc>
          <w:tcPr>
            <w:tcW w:w="0" w:type="auto"/>
            <w:gridSpan w:val="3"/>
            <w:shd w:val="clear" w:color="auto" w:fill="auto"/>
            <w:vAlign w:val="bottom"/>
          </w:tcPr>
          <w:p w14:paraId="74DDA2B1" w14:textId="77777777" w:rsidR="00584EC1" w:rsidRDefault="00584EC1">
            <w:pPr>
              <w:rPr>
                <w:rFonts w:ascii="宋体"/>
                <w:vanish/>
              </w:rPr>
            </w:pPr>
          </w:p>
        </w:tc>
        <w:tc>
          <w:tcPr>
            <w:tcW w:w="0" w:type="auto"/>
            <w:gridSpan w:val="3"/>
            <w:shd w:val="clear" w:color="auto" w:fill="auto"/>
            <w:vAlign w:val="bottom"/>
          </w:tcPr>
          <w:p w14:paraId="74DDA2B2" w14:textId="77777777" w:rsidR="00584EC1" w:rsidRDefault="00584EC1">
            <w:pPr>
              <w:rPr>
                <w:rFonts w:ascii="宋体"/>
                <w:vanish/>
              </w:rPr>
            </w:pPr>
          </w:p>
        </w:tc>
        <w:tc>
          <w:tcPr>
            <w:tcW w:w="0" w:type="auto"/>
            <w:gridSpan w:val="3"/>
            <w:shd w:val="clear" w:color="auto" w:fill="auto"/>
            <w:vAlign w:val="bottom"/>
          </w:tcPr>
          <w:p w14:paraId="74DDA2B3" w14:textId="77777777" w:rsidR="00584EC1" w:rsidRDefault="00584EC1">
            <w:pPr>
              <w:rPr>
                <w:rFonts w:ascii="宋体"/>
                <w:vanish/>
              </w:rPr>
            </w:pPr>
          </w:p>
        </w:tc>
        <w:tc>
          <w:tcPr>
            <w:tcW w:w="0" w:type="auto"/>
            <w:gridSpan w:val="3"/>
            <w:shd w:val="clear" w:color="auto" w:fill="auto"/>
            <w:vAlign w:val="bottom"/>
          </w:tcPr>
          <w:p w14:paraId="74DDA2B4" w14:textId="77777777" w:rsidR="00584EC1" w:rsidRDefault="00584EC1">
            <w:pPr>
              <w:rPr>
                <w:rFonts w:ascii="宋体"/>
                <w:vanish/>
              </w:rPr>
            </w:pPr>
          </w:p>
        </w:tc>
        <w:tc>
          <w:tcPr>
            <w:tcW w:w="0" w:type="auto"/>
            <w:gridSpan w:val="3"/>
            <w:shd w:val="clear" w:color="auto" w:fill="auto"/>
            <w:vAlign w:val="bottom"/>
          </w:tcPr>
          <w:p w14:paraId="74DDA2B5" w14:textId="77777777" w:rsidR="00584EC1" w:rsidRDefault="00584EC1">
            <w:pPr>
              <w:rPr>
                <w:rFonts w:ascii="宋体"/>
                <w:vanish/>
              </w:rPr>
            </w:pPr>
          </w:p>
        </w:tc>
        <w:tc>
          <w:tcPr>
            <w:tcW w:w="0" w:type="auto"/>
            <w:gridSpan w:val="3"/>
            <w:shd w:val="clear" w:color="auto" w:fill="auto"/>
            <w:vAlign w:val="bottom"/>
          </w:tcPr>
          <w:p w14:paraId="74DDA2B6" w14:textId="77777777" w:rsidR="00584EC1" w:rsidRDefault="00584EC1">
            <w:pPr>
              <w:rPr>
                <w:rFonts w:ascii="宋体"/>
                <w:vanish/>
              </w:rPr>
            </w:pPr>
          </w:p>
        </w:tc>
        <w:tc>
          <w:tcPr>
            <w:tcW w:w="0" w:type="auto"/>
            <w:gridSpan w:val="3"/>
            <w:shd w:val="clear" w:color="auto" w:fill="auto"/>
            <w:vAlign w:val="bottom"/>
          </w:tcPr>
          <w:p w14:paraId="74DDA2B7" w14:textId="77777777" w:rsidR="00584EC1" w:rsidRDefault="00584EC1">
            <w:pPr>
              <w:rPr>
                <w:rFonts w:ascii="宋体"/>
                <w:vanish/>
              </w:rPr>
            </w:pPr>
          </w:p>
        </w:tc>
        <w:tc>
          <w:tcPr>
            <w:tcW w:w="0" w:type="auto"/>
            <w:gridSpan w:val="3"/>
            <w:shd w:val="clear" w:color="auto" w:fill="auto"/>
            <w:vAlign w:val="bottom"/>
          </w:tcPr>
          <w:p w14:paraId="74DDA2B8" w14:textId="77777777" w:rsidR="00584EC1" w:rsidRDefault="00584EC1">
            <w:pPr>
              <w:rPr>
                <w:rFonts w:ascii="宋体"/>
                <w:vanish/>
              </w:rPr>
            </w:pPr>
          </w:p>
        </w:tc>
        <w:tc>
          <w:tcPr>
            <w:tcW w:w="0" w:type="auto"/>
            <w:gridSpan w:val="3"/>
            <w:shd w:val="clear" w:color="auto" w:fill="auto"/>
            <w:vAlign w:val="bottom"/>
          </w:tcPr>
          <w:p w14:paraId="74DDA2B9" w14:textId="77777777" w:rsidR="00584EC1" w:rsidRDefault="00584EC1">
            <w:pPr>
              <w:rPr>
                <w:rFonts w:ascii="宋体"/>
                <w:vanish/>
              </w:rPr>
            </w:pPr>
          </w:p>
        </w:tc>
      </w:tr>
      <w:tr w:rsidR="00584EC1" w14:paraId="74DDA2C7" w14:textId="77777777">
        <w:trPr>
          <w:hidden/>
        </w:trPr>
        <w:tc>
          <w:tcPr>
            <w:tcW w:w="0" w:type="auto"/>
            <w:gridSpan w:val="3"/>
            <w:shd w:val="clear" w:color="auto" w:fill="auto"/>
            <w:vAlign w:val="bottom"/>
          </w:tcPr>
          <w:p w14:paraId="74DDA2BB" w14:textId="77777777" w:rsidR="00584EC1" w:rsidRDefault="00584EC1">
            <w:pPr>
              <w:rPr>
                <w:rFonts w:ascii="宋体"/>
                <w:vanish/>
              </w:rPr>
            </w:pPr>
          </w:p>
        </w:tc>
        <w:tc>
          <w:tcPr>
            <w:tcW w:w="0" w:type="auto"/>
            <w:gridSpan w:val="3"/>
            <w:shd w:val="clear" w:color="auto" w:fill="auto"/>
            <w:vAlign w:val="bottom"/>
          </w:tcPr>
          <w:p w14:paraId="74DDA2BC" w14:textId="77777777" w:rsidR="00584EC1" w:rsidRDefault="00584EC1">
            <w:pPr>
              <w:rPr>
                <w:rFonts w:ascii="宋体"/>
                <w:vanish/>
              </w:rPr>
            </w:pPr>
          </w:p>
        </w:tc>
        <w:tc>
          <w:tcPr>
            <w:tcW w:w="0" w:type="auto"/>
            <w:gridSpan w:val="3"/>
            <w:shd w:val="clear" w:color="auto" w:fill="auto"/>
            <w:vAlign w:val="bottom"/>
          </w:tcPr>
          <w:p w14:paraId="74DDA2BD" w14:textId="77777777" w:rsidR="00584EC1" w:rsidRDefault="00584EC1">
            <w:pPr>
              <w:rPr>
                <w:rFonts w:ascii="宋体"/>
                <w:vanish/>
              </w:rPr>
            </w:pPr>
          </w:p>
        </w:tc>
        <w:tc>
          <w:tcPr>
            <w:tcW w:w="0" w:type="auto"/>
            <w:gridSpan w:val="3"/>
            <w:shd w:val="clear" w:color="auto" w:fill="auto"/>
            <w:vAlign w:val="bottom"/>
          </w:tcPr>
          <w:p w14:paraId="74DDA2BE" w14:textId="77777777" w:rsidR="00584EC1" w:rsidRDefault="00584EC1">
            <w:pPr>
              <w:rPr>
                <w:rFonts w:ascii="宋体"/>
                <w:vanish/>
              </w:rPr>
            </w:pPr>
          </w:p>
        </w:tc>
        <w:tc>
          <w:tcPr>
            <w:tcW w:w="0" w:type="auto"/>
            <w:gridSpan w:val="3"/>
            <w:shd w:val="clear" w:color="auto" w:fill="auto"/>
            <w:vAlign w:val="bottom"/>
          </w:tcPr>
          <w:p w14:paraId="74DDA2BF" w14:textId="77777777" w:rsidR="00584EC1" w:rsidRDefault="00584EC1">
            <w:pPr>
              <w:rPr>
                <w:rFonts w:ascii="宋体"/>
                <w:vanish/>
              </w:rPr>
            </w:pPr>
          </w:p>
        </w:tc>
        <w:tc>
          <w:tcPr>
            <w:tcW w:w="0" w:type="auto"/>
            <w:gridSpan w:val="3"/>
            <w:shd w:val="clear" w:color="auto" w:fill="auto"/>
            <w:vAlign w:val="bottom"/>
          </w:tcPr>
          <w:p w14:paraId="74DDA2C0" w14:textId="77777777" w:rsidR="00584EC1" w:rsidRDefault="00584EC1">
            <w:pPr>
              <w:rPr>
                <w:rFonts w:ascii="宋体"/>
                <w:vanish/>
              </w:rPr>
            </w:pPr>
          </w:p>
        </w:tc>
        <w:tc>
          <w:tcPr>
            <w:tcW w:w="0" w:type="auto"/>
            <w:gridSpan w:val="3"/>
            <w:shd w:val="clear" w:color="auto" w:fill="auto"/>
            <w:vAlign w:val="bottom"/>
          </w:tcPr>
          <w:p w14:paraId="74DDA2C1" w14:textId="77777777" w:rsidR="00584EC1" w:rsidRDefault="00584EC1">
            <w:pPr>
              <w:rPr>
                <w:rFonts w:ascii="宋体"/>
                <w:vanish/>
              </w:rPr>
            </w:pPr>
          </w:p>
        </w:tc>
        <w:tc>
          <w:tcPr>
            <w:tcW w:w="0" w:type="auto"/>
            <w:gridSpan w:val="3"/>
            <w:shd w:val="clear" w:color="auto" w:fill="auto"/>
            <w:vAlign w:val="bottom"/>
          </w:tcPr>
          <w:p w14:paraId="74DDA2C2" w14:textId="77777777" w:rsidR="00584EC1" w:rsidRDefault="00584EC1">
            <w:pPr>
              <w:rPr>
                <w:rFonts w:ascii="宋体"/>
                <w:vanish/>
              </w:rPr>
            </w:pPr>
          </w:p>
        </w:tc>
        <w:tc>
          <w:tcPr>
            <w:tcW w:w="0" w:type="auto"/>
            <w:gridSpan w:val="3"/>
            <w:shd w:val="clear" w:color="auto" w:fill="auto"/>
            <w:vAlign w:val="bottom"/>
          </w:tcPr>
          <w:p w14:paraId="74DDA2C3" w14:textId="77777777" w:rsidR="00584EC1" w:rsidRDefault="00584EC1">
            <w:pPr>
              <w:rPr>
                <w:rFonts w:ascii="宋体"/>
                <w:vanish/>
              </w:rPr>
            </w:pPr>
          </w:p>
        </w:tc>
        <w:tc>
          <w:tcPr>
            <w:tcW w:w="0" w:type="auto"/>
            <w:gridSpan w:val="3"/>
            <w:shd w:val="clear" w:color="auto" w:fill="auto"/>
            <w:vAlign w:val="bottom"/>
          </w:tcPr>
          <w:p w14:paraId="74DDA2C4" w14:textId="77777777" w:rsidR="00584EC1" w:rsidRDefault="00584EC1">
            <w:pPr>
              <w:rPr>
                <w:rFonts w:ascii="宋体"/>
                <w:vanish/>
              </w:rPr>
            </w:pPr>
          </w:p>
        </w:tc>
        <w:tc>
          <w:tcPr>
            <w:tcW w:w="0" w:type="auto"/>
            <w:gridSpan w:val="3"/>
            <w:shd w:val="clear" w:color="auto" w:fill="auto"/>
            <w:vAlign w:val="bottom"/>
          </w:tcPr>
          <w:p w14:paraId="74DDA2C5" w14:textId="77777777" w:rsidR="00584EC1" w:rsidRDefault="00584EC1">
            <w:pPr>
              <w:rPr>
                <w:rFonts w:ascii="宋体"/>
                <w:vanish/>
              </w:rPr>
            </w:pPr>
          </w:p>
        </w:tc>
        <w:tc>
          <w:tcPr>
            <w:tcW w:w="0" w:type="auto"/>
            <w:gridSpan w:val="3"/>
            <w:shd w:val="clear" w:color="auto" w:fill="auto"/>
            <w:vAlign w:val="bottom"/>
          </w:tcPr>
          <w:p w14:paraId="74DDA2C6" w14:textId="77777777" w:rsidR="00584EC1" w:rsidRDefault="00584EC1">
            <w:pPr>
              <w:rPr>
                <w:rFonts w:ascii="宋体"/>
                <w:vanish/>
              </w:rPr>
            </w:pPr>
          </w:p>
        </w:tc>
      </w:tr>
      <w:tr w:rsidR="00584EC1" w14:paraId="74DDA2D4" w14:textId="77777777">
        <w:trPr>
          <w:hidden/>
        </w:trPr>
        <w:tc>
          <w:tcPr>
            <w:tcW w:w="0" w:type="auto"/>
            <w:gridSpan w:val="3"/>
            <w:shd w:val="clear" w:color="auto" w:fill="auto"/>
            <w:vAlign w:val="bottom"/>
          </w:tcPr>
          <w:p w14:paraId="74DDA2C8" w14:textId="77777777" w:rsidR="00584EC1" w:rsidRDefault="00584EC1">
            <w:pPr>
              <w:rPr>
                <w:rFonts w:ascii="宋体"/>
                <w:vanish/>
              </w:rPr>
            </w:pPr>
          </w:p>
        </w:tc>
        <w:tc>
          <w:tcPr>
            <w:tcW w:w="0" w:type="auto"/>
            <w:gridSpan w:val="3"/>
            <w:shd w:val="clear" w:color="auto" w:fill="auto"/>
            <w:vAlign w:val="bottom"/>
          </w:tcPr>
          <w:p w14:paraId="74DDA2C9" w14:textId="77777777" w:rsidR="00584EC1" w:rsidRDefault="00584EC1">
            <w:pPr>
              <w:rPr>
                <w:rFonts w:ascii="宋体"/>
                <w:vanish/>
              </w:rPr>
            </w:pPr>
          </w:p>
        </w:tc>
        <w:tc>
          <w:tcPr>
            <w:tcW w:w="0" w:type="auto"/>
            <w:gridSpan w:val="3"/>
            <w:shd w:val="clear" w:color="auto" w:fill="auto"/>
            <w:vAlign w:val="bottom"/>
          </w:tcPr>
          <w:p w14:paraId="74DDA2CA" w14:textId="77777777" w:rsidR="00584EC1" w:rsidRDefault="00584EC1">
            <w:pPr>
              <w:rPr>
                <w:rFonts w:ascii="宋体"/>
                <w:vanish/>
              </w:rPr>
            </w:pPr>
          </w:p>
        </w:tc>
        <w:tc>
          <w:tcPr>
            <w:tcW w:w="0" w:type="auto"/>
            <w:gridSpan w:val="3"/>
            <w:shd w:val="clear" w:color="auto" w:fill="auto"/>
            <w:vAlign w:val="bottom"/>
          </w:tcPr>
          <w:p w14:paraId="74DDA2CB" w14:textId="77777777" w:rsidR="00584EC1" w:rsidRDefault="00584EC1">
            <w:pPr>
              <w:rPr>
                <w:rFonts w:ascii="宋体"/>
                <w:vanish/>
              </w:rPr>
            </w:pPr>
          </w:p>
        </w:tc>
        <w:tc>
          <w:tcPr>
            <w:tcW w:w="0" w:type="auto"/>
            <w:gridSpan w:val="3"/>
            <w:shd w:val="clear" w:color="auto" w:fill="auto"/>
            <w:vAlign w:val="bottom"/>
          </w:tcPr>
          <w:p w14:paraId="74DDA2CC" w14:textId="77777777" w:rsidR="00584EC1" w:rsidRDefault="00584EC1">
            <w:pPr>
              <w:rPr>
                <w:rFonts w:ascii="宋体"/>
                <w:vanish/>
              </w:rPr>
            </w:pPr>
          </w:p>
        </w:tc>
        <w:tc>
          <w:tcPr>
            <w:tcW w:w="0" w:type="auto"/>
            <w:gridSpan w:val="3"/>
            <w:shd w:val="clear" w:color="auto" w:fill="auto"/>
            <w:vAlign w:val="bottom"/>
          </w:tcPr>
          <w:p w14:paraId="74DDA2CD" w14:textId="77777777" w:rsidR="00584EC1" w:rsidRDefault="00584EC1">
            <w:pPr>
              <w:rPr>
                <w:rFonts w:ascii="宋体"/>
                <w:vanish/>
              </w:rPr>
            </w:pPr>
          </w:p>
        </w:tc>
        <w:tc>
          <w:tcPr>
            <w:tcW w:w="0" w:type="auto"/>
            <w:gridSpan w:val="3"/>
            <w:shd w:val="clear" w:color="auto" w:fill="auto"/>
            <w:vAlign w:val="bottom"/>
          </w:tcPr>
          <w:p w14:paraId="74DDA2CE" w14:textId="77777777" w:rsidR="00584EC1" w:rsidRDefault="00584EC1">
            <w:pPr>
              <w:rPr>
                <w:rFonts w:ascii="宋体"/>
                <w:vanish/>
              </w:rPr>
            </w:pPr>
          </w:p>
        </w:tc>
        <w:tc>
          <w:tcPr>
            <w:tcW w:w="0" w:type="auto"/>
            <w:gridSpan w:val="3"/>
            <w:shd w:val="clear" w:color="auto" w:fill="auto"/>
            <w:vAlign w:val="bottom"/>
          </w:tcPr>
          <w:p w14:paraId="74DDA2CF" w14:textId="77777777" w:rsidR="00584EC1" w:rsidRDefault="00584EC1">
            <w:pPr>
              <w:rPr>
                <w:rFonts w:ascii="宋体"/>
                <w:vanish/>
              </w:rPr>
            </w:pPr>
          </w:p>
        </w:tc>
        <w:tc>
          <w:tcPr>
            <w:tcW w:w="0" w:type="auto"/>
            <w:gridSpan w:val="3"/>
            <w:shd w:val="clear" w:color="auto" w:fill="auto"/>
            <w:vAlign w:val="bottom"/>
          </w:tcPr>
          <w:p w14:paraId="74DDA2D0" w14:textId="77777777" w:rsidR="00584EC1" w:rsidRDefault="00584EC1">
            <w:pPr>
              <w:rPr>
                <w:rFonts w:ascii="宋体"/>
                <w:vanish/>
              </w:rPr>
            </w:pPr>
          </w:p>
        </w:tc>
        <w:tc>
          <w:tcPr>
            <w:tcW w:w="0" w:type="auto"/>
            <w:gridSpan w:val="3"/>
            <w:shd w:val="clear" w:color="auto" w:fill="auto"/>
            <w:vAlign w:val="bottom"/>
          </w:tcPr>
          <w:p w14:paraId="74DDA2D1" w14:textId="77777777" w:rsidR="00584EC1" w:rsidRDefault="00584EC1">
            <w:pPr>
              <w:rPr>
                <w:rFonts w:ascii="宋体"/>
                <w:vanish/>
              </w:rPr>
            </w:pPr>
          </w:p>
        </w:tc>
        <w:tc>
          <w:tcPr>
            <w:tcW w:w="0" w:type="auto"/>
            <w:gridSpan w:val="3"/>
            <w:shd w:val="clear" w:color="auto" w:fill="auto"/>
            <w:vAlign w:val="bottom"/>
          </w:tcPr>
          <w:p w14:paraId="74DDA2D2" w14:textId="77777777" w:rsidR="00584EC1" w:rsidRDefault="00584EC1">
            <w:pPr>
              <w:rPr>
                <w:rFonts w:ascii="宋体"/>
                <w:vanish/>
              </w:rPr>
            </w:pPr>
          </w:p>
        </w:tc>
        <w:tc>
          <w:tcPr>
            <w:tcW w:w="0" w:type="auto"/>
            <w:gridSpan w:val="3"/>
            <w:shd w:val="clear" w:color="auto" w:fill="auto"/>
            <w:vAlign w:val="bottom"/>
          </w:tcPr>
          <w:p w14:paraId="74DDA2D3" w14:textId="77777777" w:rsidR="00584EC1" w:rsidRDefault="00584EC1">
            <w:pPr>
              <w:rPr>
                <w:rFonts w:ascii="宋体"/>
                <w:vanish/>
              </w:rPr>
            </w:pPr>
          </w:p>
        </w:tc>
      </w:tr>
      <w:tr w:rsidR="00584EC1" w14:paraId="74DDA2E1" w14:textId="77777777">
        <w:trPr>
          <w:hidden/>
        </w:trPr>
        <w:tc>
          <w:tcPr>
            <w:tcW w:w="0" w:type="auto"/>
            <w:gridSpan w:val="3"/>
            <w:shd w:val="clear" w:color="auto" w:fill="auto"/>
            <w:vAlign w:val="bottom"/>
          </w:tcPr>
          <w:p w14:paraId="74DDA2D5" w14:textId="77777777" w:rsidR="00584EC1" w:rsidRDefault="00584EC1">
            <w:pPr>
              <w:rPr>
                <w:rFonts w:ascii="宋体"/>
                <w:vanish/>
              </w:rPr>
            </w:pPr>
          </w:p>
        </w:tc>
        <w:tc>
          <w:tcPr>
            <w:tcW w:w="0" w:type="auto"/>
            <w:gridSpan w:val="3"/>
            <w:shd w:val="clear" w:color="auto" w:fill="auto"/>
            <w:vAlign w:val="bottom"/>
          </w:tcPr>
          <w:p w14:paraId="74DDA2D6" w14:textId="77777777" w:rsidR="00584EC1" w:rsidRDefault="00584EC1">
            <w:pPr>
              <w:rPr>
                <w:rFonts w:ascii="宋体"/>
                <w:vanish/>
              </w:rPr>
            </w:pPr>
          </w:p>
        </w:tc>
        <w:tc>
          <w:tcPr>
            <w:tcW w:w="0" w:type="auto"/>
            <w:gridSpan w:val="3"/>
            <w:shd w:val="clear" w:color="auto" w:fill="auto"/>
            <w:vAlign w:val="bottom"/>
          </w:tcPr>
          <w:p w14:paraId="74DDA2D7" w14:textId="77777777" w:rsidR="00584EC1" w:rsidRDefault="00584EC1">
            <w:pPr>
              <w:rPr>
                <w:rFonts w:ascii="宋体"/>
                <w:vanish/>
              </w:rPr>
            </w:pPr>
          </w:p>
        </w:tc>
        <w:tc>
          <w:tcPr>
            <w:tcW w:w="0" w:type="auto"/>
            <w:gridSpan w:val="3"/>
            <w:shd w:val="clear" w:color="auto" w:fill="auto"/>
            <w:vAlign w:val="bottom"/>
          </w:tcPr>
          <w:p w14:paraId="74DDA2D8" w14:textId="77777777" w:rsidR="00584EC1" w:rsidRDefault="00584EC1">
            <w:pPr>
              <w:rPr>
                <w:rFonts w:ascii="宋体"/>
                <w:vanish/>
              </w:rPr>
            </w:pPr>
          </w:p>
        </w:tc>
        <w:tc>
          <w:tcPr>
            <w:tcW w:w="0" w:type="auto"/>
            <w:gridSpan w:val="3"/>
            <w:shd w:val="clear" w:color="auto" w:fill="auto"/>
            <w:vAlign w:val="bottom"/>
          </w:tcPr>
          <w:p w14:paraId="74DDA2D9" w14:textId="77777777" w:rsidR="00584EC1" w:rsidRDefault="00584EC1">
            <w:pPr>
              <w:rPr>
                <w:rFonts w:ascii="宋体"/>
                <w:vanish/>
              </w:rPr>
            </w:pPr>
          </w:p>
        </w:tc>
        <w:tc>
          <w:tcPr>
            <w:tcW w:w="0" w:type="auto"/>
            <w:gridSpan w:val="3"/>
            <w:shd w:val="clear" w:color="auto" w:fill="auto"/>
            <w:vAlign w:val="bottom"/>
          </w:tcPr>
          <w:p w14:paraId="74DDA2DA" w14:textId="77777777" w:rsidR="00584EC1" w:rsidRDefault="00584EC1">
            <w:pPr>
              <w:rPr>
                <w:rFonts w:ascii="宋体"/>
                <w:vanish/>
              </w:rPr>
            </w:pPr>
          </w:p>
        </w:tc>
        <w:tc>
          <w:tcPr>
            <w:tcW w:w="0" w:type="auto"/>
            <w:gridSpan w:val="3"/>
            <w:shd w:val="clear" w:color="auto" w:fill="auto"/>
            <w:vAlign w:val="bottom"/>
          </w:tcPr>
          <w:p w14:paraId="74DDA2DB" w14:textId="77777777" w:rsidR="00584EC1" w:rsidRDefault="00584EC1">
            <w:pPr>
              <w:rPr>
                <w:rFonts w:ascii="宋体"/>
                <w:vanish/>
              </w:rPr>
            </w:pPr>
          </w:p>
        </w:tc>
        <w:tc>
          <w:tcPr>
            <w:tcW w:w="0" w:type="auto"/>
            <w:gridSpan w:val="3"/>
            <w:shd w:val="clear" w:color="auto" w:fill="auto"/>
            <w:vAlign w:val="bottom"/>
          </w:tcPr>
          <w:p w14:paraId="74DDA2DC" w14:textId="77777777" w:rsidR="00584EC1" w:rsidRDefault="00584EC1">
            <w:pPr>
              <w:rPr>
                <w:rFonts w:ascii="宋体"/>
                <w:vanish/>
              </w:rPr>
            </w:pPr>
          </w:p>
        </w:tc>
        <w:tc>
          <w:tcPr>
            <w:tcW w:w="0" w:type="auto"/>
            <w:gridSpan w:val="3"/>
            <w:shd w:val="clear" w:color="auto" w:fill="auto"/>
            <w:vAlign w:val="bottom"/>
          </w:tcPr>
          <w:p w14:paraId="74DDA2DD" w14:textId="77777777" w:rsidR="00584EC1" w:rsidRDefault="00584EC1">
            <w:pPr>
              <w:rPr>
                <w:rFonts w:ascii="宋体"/>
                <w:vanish/>
              </w:rPr>
            </w:pPr>
          </w:p>
        </w:tc>
        <w:tc>
          <w:tcPr>
            <w:tcW w:w="0" w:type="auto"/>
            <w:gridSpan w:val="3"/>
            <w:shd w:val="clear" w:color="auto" w:fill="auto"/>
            <w:vAlign w:val="bottom"/>
          </w:tcPr>
          <w:p w14:paraId="74DDA2DE" w14:textId="77777777" w:rsidR="00584EC1" w:rsidRDefault="00584EC1">
            <w:pPr>
              <w:rPr>
                <w:rFonts w:ascii="宋体"/>
                <w:vanish/>
              </w:rPr>
            </w:pPr>
          </w:p>
        </w:tc>
        <w:tc>
          <w:tcPr>
            <w:tcW w:w="0" w:type="auto"/>
            <w:gridSpan w:val="3"/>
            <w:shd w:val="clear" w:color="auto" w:fill="auto"/>
            <w:vAlign w:val="bottom"/>
          </w:tcPr>
          <w:p w14:paraId="74DDA2DF" w14:textId="77777777" w:rsidR="00584EC1" w:rsidRDefault="00584EC1">
            <w:pPr>
              <w:rPr>
                <w:rFonts w:ascii="宋体"/>
                <w:vanish/>
              </w:rPr>
            </w:pPr>
          </w:p>
        </w:tc>
        <w:tc>
          <w:tcPr>
            <w:tcW w:w="0" w:type="auto"/>
            <w:gridSpan w:val="3"/>
            <w:shd w:val="clear" w:color="auto" w:fill="auto"/>
            <w:vAlign w:val="bottom"/>
          </w:tcPr>
          <w:p w14:paraId="74DDA2E0" w14:textId="77777777" w:rsidR="00584EC1" w:rsidRDefault="00584EC1">
            <w:pPr>
              <w:rPr>
                <w:rFonts w:ascii="宋体"/>
                <w:vanish/>
              </w:rPr>
            </w:pPr>
          </w:p>
        </w:tc>
      </w:tr>
      <w:tr w:rsidR="00584EC1" w14:paraId="74DDA2EE" w14:textId="77777777">
        <w:trPr>
          <w:hidden/>
        </w:trPr>
        <w:tc>
          <w:tcPr>
            <w:tcW w:w="0" w:type="auto"/>
            <w:gridSpan w:val="3"/>
            <w:shd w:val="clear" w:color="auto" w:fill="auto"/>
            <w:vAlign w:val="bottom"/>
          </w:tcPr>
          <w:p w14:paraId="74DDA2E2" w14:textId="77777777" w:rsidR="00584EC1" w:rsidRDefault="00584EC1">
            <w:pPr>
              <w:rPr>
                <w:rFonts w:ascii="宋体"/>
                <w:vanish/>
              </w:rPr>
            </w:pPr>
          </w:p>
        </w:tc>
        <w:tc>
          <w:tcPr>
            <w:tcW w:w="0" w:type="auto"/>
            <w:gridSpan w:val="3"/>
            <w:shd w:val="clear" w:color="auto" w:fill="auto"/>
            <w:vAlign w:val="bottom"/>
          </w:tcPr>
          <w:p w14:paraId="74DDA2E3" w14:textId="77777777" w:rsidR="00584EC1" w:rsidRDefault="00584EC1">
            <w:pPr>
              <w:rPr>
                <w:rFonts w:ascii="宋体"/>
                <w:vanish/>
              </w:rPr>
            </w:pPr>
          </w:p>
        </w:tc>
        <w:tc>
          <w:tcPr>
            <w:tcW w:w="0" w:type="auto"/>
            <w:gridSpan w:val="3"/>
            <w:shd w:val="clear" w:color="auto" w:fill="auto"/>
            <w:vAlign w:val="bottom"/>
          </w:tcPr>
          <w:p w14:paraId="74DDA2E4" w14:textId="77777777" w:rsidR="00584EC1" w:rsidRDefault="00584EC1">
            <w:pPr>
              <w:rPr>
                <w:rFonts w:ascii="宋体"/>
                <w:vanish/>
              </w:rPr>
            </w:pPr>
          </w:p>
        </w:tc>
        <w:tc>
          <w:tcPr>
            <w:tcW w:w="0" w:type="auto"/>
            <w:gridSpan w:val="3"/>
            <w:shd w:val="clear" w:color="auto" w:fill="auto"/>
            <w:vAlign w:val="bottom"/>
          </w:tcPr>
          <w:p w14:paraId="74DDA2E5" w14:textId="77777777" w:rsidR="00584EC1" w:rsidRDefault="00584EC1">
            <w:pPr>
              <w:rPr>
                <w:rFonts w:ascii="宋体"/>
                <w:vanish/>
              </w:rPr>
            </w:pPr>
          </w:p>
        </w:tc>
        <w:tc>
          <w:tcPr>
            <w:tcW w:w="0" w:type="auto"/>
            <w:gridSpan w:val="3"/>
            <w:shd w:val="clear" w:color="auto" w:fill="auto"/>
            <w:vAlign w:val="bottom"/>
          </w:tcPr>
          <w:p w14:paraId="74DDA2E6" w14:textId="77777777" w:rsidR="00584EC1" w:rsidRDefault="00584EC1">
            <w:pPr>
              <w:rPr>
                <w:rFonts w:ascii="宋体"/>
                <w:vanish/>
              </w:rPr>
            </w:pPr>
          </w:p>
        </w:tc>
        <w:tc>
          <w:tcPr>
            <w:tcW w:w="0" w:type="auto"/>
            <w:gridSpan w:val="3"/>
            <w:shd w:val="clear" w:color="auto" w:fill="auto"/>
            <w:vAlign w:val="bottom"/>
          </w:tcPr>
          <w:p w14:paraId="74DDA2E7" w14:textId="77777777" w:rsidR="00584EC1" w:rsidRDefault="00584EC1">
            <w:pPr>
              <w:rPr>
                <w:rFonts w:ascii="宋体"/>
                <w:vanish/>
              </w:rPr>
            </w:pPr>
          </w:p>
        </w:tc>
        <w:tc>
          <w:tcPr>
            <w:tcW w:w="0" w:type="auto"/>
            <w:gridSpan w:val="3"/>
            <w:shd w:val="clear" w:color="auto" w:fill="auto"/>
            <w:vAlign w:val="bottom"/>
          </w:tcPr>
          <w:p w14:paraId="74DDA2E8" w14:textId="77777777" w:rsidR="00584EC1" w:rsidRDefault="00584EC1">
            <w:pPr>
              <w:rPr>
                <w:rFonts w:ascii="宋体"/>
                <w:vanish/>
              </w:rPr>
            </w:pPr>
          </w:p>
        </w:tc>
        <w:tc>
          <w:tcPr>
            <w:tcW w:w="0" w:type="auto"/>
            <w:gridSpan w:val="3"/>
            <w:shd w:val="clear" w:color="auto" w:fill="auto"/>
            <w:vAlign w:val="bottom"/>
          </w:tcPr>
          <w:p w14:paraId="74DDA2E9" w14:textId="77777777" w:rsidR="00584EC1" w:rsidRDefault="00584EC1">
            <w:pPr>
              <w:rPr>
                <w:rFonts w:ascii="宋体"/>
                <w:vanish/>
              </w:rPr>
            </w:pPr>
          </w:p>
        </w:tc>
        <w:tc>
          <w:tcPr>
            <w:tcW w:w="0" w:type="auto"/>
            <w:gridSpan w:val="3"/>
            <w:shd w:val="clear" w:color="auto" w:fill="auto"/>
            <w:vAlign w:val="bottom"/>
          </w:tcPr>
          <w:p w14:paraId="74DDA2EA" w14:textId="77777777" w:rsidR="00584EC1" w:rsidRDefault="00584EC1">
            <w:pPr>
              <w:rPr>
                <w:rFonts w:ascii="宋体"/>
                <w:vanish/>
              </w:rPr>
            </w:pPr>
          </w:p>
        </w:tc>
        <w:tc>
          <w:tcPr>
            <w:tcW w:w="0" w:type="auto"/>
            <w:gridSpan w:val="3"/>
            <w:shd w:val="clear" w:color="auto" w:fill="auto"/>
            <w:vAlign w:val="bottom"/>
          </w:tcPr>
          <w:p w14:paraId="74DDA2EB" w14:textId="77777777" w:rsidR="00584EC1" w:rsidRDefault="00584EC1">
            <w:pPr>
              <w:rPr>
                <w:rFonts w:ascii="宋体"/>
                <w:vanish/>
              </w:rPr>
            </w:pPr>
          </w:p>
        </w:tc>
        <w:tc>
          <w:tcPr>
            <w:tcW w:w="0" w:type="auto"/>
            <w:gridSpan w:val="3"/>
            <w:shd w:val="clear" w:color="auto" w:fill="auto"/>
            <w:vAlign w:val="bottom"/>
          </w:tcPr>
          <w:p w14:paraId="74DDA2EC" w14:textId="77777777" w:rsidR="00584EC1" w:rsidRDefault="00584EC1">
            <w:pPr>
              <w:rPr>
                <w:rFonts w:ascii="宋体"/>
                <w:vanish/>
              </w:rPr>
            </w:pPr>
          </w:p>
        </w:tc>
        <w:tc>
          <w:tcPr>
            <w:tcW w:w="0" w:type="auto"/>
            <w:gridSpan w:val="3"/>
            <w:shd w:val="clear" w:color="auto" w:fill="auto"/>
            <w:vAlign w:val="bottom"/>
          </w:tcPr>
          <w:p w14:paraId="74DDA2ED" w14:textId="77777777" w:rsidR="00584EC1" w:rsidRDefault="00584EC1">
            <w:pPr>
              <w:rPr>
                <w:rFonts w:ascii="宋体"/>
                <w:vanish/>
              </w:rPr>
            </w:pPr>
          </w:p>
        </w:tc>
      </w:tr>
    </w:tbl>
    <w:p w14:paraId="74DDA2EF" w14:textId="77777777" w:rsidR="00584EC1" w:rsidRDefault="00584EC1">
      <w:pPr>
        <w:rPr>
          <w:vanish/>
        </w:rPr>
      </w:pPr>
    </w:p>
    <w:tbl>
      <w:tblPr>
        <w:tblW w:w="4978" w:type="pct"/>
        <w:tblCellMar>
          <w:top w:w="15" w:type="dxa"/>
          <w:left w:w="15" w:type="dxa"/>
          <w:bottom w:w="15" w:type="dxa"/>
          <w:right w:w="15" w:type="dxa"/>
        </w:tblCellMar>
        <w:tblLook w:val="04A0" w:firstRow="1" w:lastRow="0" w:firstColumn="1" w:lastColumn="0" w:noHBand="0" w:noVBand="1"/>
      </w:tblPr>
      <w:tblGrid>
        <w:gridCol w:w="39"/>
        <w:gridCol w:w="1669"/>
        <w:gridCol w:w="36"/>
        <w:gridCol w:w="99"/>
        <w:gridCol w:w="889"/>
        <w:gridCol w:w="36"/>
        <w:gridCol w:w="36"/>
        <w:gridCol w:w="36"/>
        <w:gridCol w:w="36"/>
        <w:gridCol w:w="99"/>
        <w:gridCol w:w="865"/>
        <w:gridCol w:w="36"/>
        <w:gridCol w:w="36"/>
        <w:gridCol w:w="36"/>
        <w:gridCol w:w="36"/>
        <w:gridCol w:w="99"/>
        <w:gridCol w:w="865"/>
        <w:gridCol w:w="36"/>
        <w:gridCol w:w="36"/>
        <w:gridCol w:w="36"/>
        <w:gridCol w:w="36"/>
        <w:gridCol w:w="99"/>
        <w:gridCol w:w="853"/>
        <w:gridCol w:w="36"/>
        <w:gridCol w:w="36"/>
        <w:gridCol w:w="36"/>
        <w:gridCol w:w="36"/>
        <w:gridCol w:w="99"/>
        <w:gridCol w:w="867"/>
        <w:gridCol w:w="36"/>
        <w:gridCol w:w="36"/>
        <w:gridCol w:w="36"/>
        <w:gridCol w:w="36"/>
        <w:gridCol w:w="98"/>
        <w:gridCol w:w="867"/>
        <w:gridCol w:w="36"/>
      </w:tblGrid>
      <w:tr w:rsidR="00584EC1" w14:paraId="74DDA314" w14:textId="77777777">
        <w:tc>
          <w:tcPr>
            <w:tcW w:w="50" w:type="pct"/>
            <w:shd w:val="clear" w:color="auto" w:fill="auto"/>
            <w:vAlign w:val="bottom"/>
          </w:tcPr>
          <w:p w14:paraId="74DDA2F0" w14:textId="77777777" w:rsidR="00584EC1" w:rsidRDefault="00584EC1">
            <w:pPr>
              <w:rPr>
                <w:rFonts w:ascii="宋体"/>
              </w:rPr>
            </w:pPr>
          </w:p>
        </w:tc>
        <w:tc>
          <w:tcPr>
            <w:tcW w:w="1031" w:type="pct"/>
            <w:shd w:val="clear" w:color="auto" w:fill="auto"/>
            <w:vAlign w:val="bottom"/>
          </w:tcPr>
          <w:p w14:paraId="74DDA2F1" w14:textId="77777777" w:rsidR="00584EC1" w:rsidRDefault="00584EC1">
            <w:pPr>
              <w:rPr>
                <w:rFonts w:ascii="宋体"/>
              </w:rPr>
            </w:pPr>
          </w:p>
        </w:tc>
        <w:tc>
          <w:tcPr>
            <w:tcW w:w="5" w:type="pct"/>
            <w:shd w:val="clear" w:color="auto" w:fill="auto"/>
            <w:vAlign w:val="bottom"/>
          </w:tcPr>
          <w:p w14:paraId="74DDA2F2" w14:textId="77777777" w:rsidR="00584EC1" w:rsidRDefault="00584EC1">
            <w:pPr>
              <w:rPr>
                <w:rFonts w:ascii="宋体"/>
              </w:rPr>
            </w:pPr>
          </w:p>
        </w:tc>
        <w:tc>
          <w:tcPr>
            <w:tcW w:w="50" w:type="pct"/>
            <w:shd w:val="clear" w:color="auto" w:fill="auto"/>
            <w:vAlign w:val="bottom"/>
          </w:tcPr>
          <w:p w14:paraId="74DDA2F3" w14:textId="77777777" w:rsidR="00584EC1" w:rsidRDefault="00584EC1">
            <w:pPr>
              <w:rPr>
                <w:rFonts w:ascii="宋体"/>
              </w:rPr>
            </w:pPr>
          </w:p>
        </w:tc>
        <w:tc>
          <w:tcPr>
            <w:tcW w:w="561" w:type="pct"/>
            <w:shd w:val="clear" w:color="auto" w:fill="auto"/>
            <w:vAlign w:val="bottom"/>
          </w:tcPr>
          <w:p w14:paraId="74DDA2F4" w14:textId="77777777" w:rsidR="00584EC1" w:rsidRDefault="00584EC1">
            <w:pPr>
              <w:rPr>
                <w:rFonts w:ascii="宋体"/>
              </w:rPr>
            </w:pPr>
          </w:p>
        </w:tc>
        <w:tc>
          <w:tcPr>
            <w:tcW w:w="5" w:type="pct"/>
            <w:shd w:val="clear" w:color="auto" w:fill="auto"/>
            <w:vAlign w:val="bottom"/>
          </w:tcPr>
          <w:p w14:paraId="74DDA2F5" w14:textId="77777777" w:rsidR="00584EC1" w:rsidRDefault="00584EC1">
            <w:pPr>
              <w:rPr>
                <w:rFonts w:ascii="宋体"/>
              </w:rPr>
            </w:pPr>
          </w:p>
        </w:tc>
        <w:tc>
          <w:tcPr>
            <w:tcW w:w="5" w:type="pct"/>
            <w:shd w:val="clear" w:color="auto" w:fill="auto"/>
            <w:vAlign w:val="bottom"/>
          </w:tcPr>
          <w:p w14:paraId="74DDA2F6" w14:textId="77777777" w:rsidR="00584EC1" w:rsidRDefault="00584EC1">
            <w:pPr>
              <w:rPr>
                <w:rFonts w:ascii="宋体"/>
              </w:rPr>
            </w:pPr>
          </w:p>
        </w:tc>
        <w:tc>
          <w:tcPr>
            <w:tcW w:w="26" w:type="pct"/>
            <w:shd w:val="clear" w:color="auto" w:fill="auto"/>
            <w:vAlign w:val="bottom"/>
          </w:tcPr>
          <w:p w14:paraId="74DDA2F7" w14:textId="77777777" w:rsidR="00584EC1" w:rsidRDefault="00584EC1">
            <w:pPr>
              <w:rPr>
                <w:rFonts w:ascii="宋体"/>
              </w:rPr>
            </w:pPr>
          </w:p>
        </w:tc>
        <w:tc>
          <w:tcPr>
            <w:tcW w:w="5" w:type="pct"/>
            <w:shd w:val="clear" w:color="auto" w:fill="auto"/>
            <w:vAlign w:val="bottom"/>
          </w:tcPr>
          <w:p w14:paraId="74DDA2F8" w14:textId="77777777" w:rsidR="00584EC1" w:rsidRDefault="00584EC1">
            <w:pPr>
              <w:rPr>
                <w:rFonts w:ascii="宋体"/>
              </w:rPr>
            </w:pPr>
          </w:p>
        </w:tc>
        <w:tc>
          <w:tcPr>
            <w:tcW w:w="50" w:type="pct"/>
            <w:shd w:val="clear" w:color="auto" w:fill="auto"/>
            <w:vAlign w:val="bottom"/>
          </w:tcPr>
          <w:p w14:paraId="74DDA2F9" w14:textId="77777777" w:rsidR="00584EC1" w:rsidRDefault="00584EC1">
            <w:pPr>
              <w:rPr>
                <w:rFonts w:ascii="宋体"/>
              </w:rPr>
            </w:pPr>
          </w:p>
        </w:tc>
        <w:tc>
          <w:tcPr>
            <w:tcW w:w="569" w:type="pct"/>
            <w:shd w:val="clear" w:color="auto" w:fill="auto"/>
            <w:vAlign w:val="bottom"/>
          </w:tcPr>
          <w:p w14:paraId="74DDA2FA" w14:textId="77777777" w:rsidR="00584EC1" w:rsidRDefault="00584EC1">
            <w:pPr>
              <w:rPr>
                <w:rFonts w:ascii="宋体"/>
              </w:rPr>
            </w:pPr>
          </w:p>
        </w:tc>
        <w:tc>
          <w:tcPr>
            <w:tcW w:w="5" w:type="pct"/>
            <w:shd w:val="clear" w:color="auto" w:fill="auto"/>
            <w:vAlign w:val="bottom"/>
          </w:tcPr>
          <w:p w14:paraId="74DDA2FB" w14:textId="77777777" w:rsidR="00584EC1" w:rsidRDefault="00584EC1">
            <w:pPr>
              <w:rPr>
                <w:rFonts w:ascii="宋体"/>
              </w:rPr>
            </w:pPr>
          </w:p>
        </w:tc>
        <w:tc>
          <w:tcPr>
            <w:tcW w:w="5" w:type="pct"/>
            <w:shd w:val="clear" w:color="auto" w:fill="auto"/>
            <w:vAlign w:val="bottom"/>
          </w:tcPr>
          <w:p w14:paraId="74DDA2FC" w14:textId="77777777" w:rsidR="00584EC1" w:rsidRDefault="00584EC1">
            <w:pPr>
              <w:rPr>
                <w:rFonts w:ascii="宋体"/>
              </w:rPr>
            </w:pPr>
          </w:p>
        </w:tc>
        <w:tc>
          <w:tcPr>
            <w:tcW w:w="26" w:type="pct"/>
            <w:shd w:val="clear" w:color="auto" w:fill="auto"/>
            <w:vAlign w:val="bottom"/>
          </w:tcPr>
          <w:p w14:paraId="74DDA2FD" w14:textId="77777777" w:rsidR="00584EC1" w:rsidRDefault="00584EC1">
            <w:pPr>
              <w:rPr>
                <w:rFonts w:ascii="宋体"/>
              </w:rPr>
            </w:pPr>
          </w:p>
        </w:tc>
        <w:tc>
          <w:tcPr>
            <w:tcW w:w="5" w:type="pct"/>
            <w:shd w:val="clear" w:color="auto" w:fill="auto"/>
            <w:vAlign w:val="bottom"/>
          </w:tcPr>
          <w:p w14:paraId="74DDA2FE" w14:textId="77777777" w:rsidR="00584EC1" w:rsidRDefault="00584EC1">
            <w:pPr>
              <w:rPr>
                <w:rFonts w:ascii="宋体"/>
              </w:rPr>
            </w:pPr>
          </w:p>
        </w:tc>
        <w:tc>
          <w:tcPr>
            <w:tcW w:w="50" w:type="pct"/>
            <w:shd w:val="clear" w:color="auto" w:fill="auto"/>
            <w:vAlign w:val="bottom"/>
          </w:tcPr>
          <w:p w14:paraId="74DDA2FF" w14:textId="77777777" w:rsidR="00584EC1" w:rsidRDefault="00584EC1">
            <w:pPr>
              <w:rPr>
                <w:rFonts w:ascii="宋体"/>
              </w:rPr>
            </w:pPr>
          </w:p>
        </w:tc>
        <w:tc>
          <w:tcPr>
            <w:tcW w:w="569" w:type="pct"/>
            <w:shd w:val="clear" w:color="auto" w:fill="auto"/>
            <w:vAlign w:val="bottom"/>
          </w:tcPr>
          <w:p w14:paraId="74DDA300" w14:textId="77777777" w:rsidR="00584EC1" w:rsidRDefault="00584EC1">
            <w:pPr>
              <w:rPr>
                <w:rFonts w:ascii="宋体"/>
              </w:rPr>
            </w:pPr>
          </w:p>
        </w:tc>
        <w:tc>
          <w:tcPr>
            <w:tcW w:w="5" w:type="pct"/>
            <w:shd w:val="clear" w:color="auto" w:fill="auto"/>
            <w:vAlign w:val="bottom"/>
          </w:tcPr>
          <w:p w14:paraId="74DDA301" w14:textId="77777777" w:rsidR="00584EC1" w:rsidRDefault="00584EC1">
            <w:pPr>
              <w:rPr>
                <w:rFonts w:ascii="宋体"/>
              </w:rPr>
            </w:pPr>
          </w:p>
        </w:tc>
        <w:tc>
          <w:tcPr>
            <w:tcW w:w="5" w:type="pct"/>
            <w:shd w:val="clear" w:color="auto" w:fill="auto"/>
            <w:vAlign w:val="bottom"/>
          </w:tcPr>
          <w:p w14:paraId="74DDA302" w14:textId="77777777" w:rsidR="00584EC1" w:rsidRDefault="00584EC1">
            <w:pPr>
              <w:rPr>
                <w:rFonts w:ascii="宋体"/>
              </w:rPr>
            </w:pPr>
          </w:p>
        </w:tc>
        <w:tc>
          <w:tcPr>
            <w:tcW w:w="26" w:type="pct"/>
            <w:shd w:val="clear" w:color="auto" w:fill="auto"/>
            <w:vAlign w:val="bottom"/>
          </w:tcPr>
          <w:p w14:paraId="74DDA303" w14:textId="77777777" w:rsidR="00584EC1" w:rsidRDefault="00584EC1">
            <w:pPr>
              <w:rPr>
                <w:rFonts w:ascii="宋体"/>
              </w:rPr>
            </w:pPr>
          </w:p>
        </w:tc>
        <w:tc>
          <w:tcPr>
            <w:tcW w:w="5" w:type="pct"/>
            <w:shd w:val="clear" w:color="auto" w:fill="auto"/>
            <w:vAlign w:val="bottom"/>
          </w:tcPr>
          <w:p w14:paraId="74DDA304" w14:textId="77777777" w:rsidR="00584EC1" w:rsidRDefault="00584EC1">
            <w:pPr>
              <w:rPr>
                <w:rFonts w:ascii="宋体"/>
              </w:rPr>
            </w:pPr>
          </w:p>
        </w:tc>
        <w:tc>
          <w:tcPr>
            <w:tcW w:w="50" w:type="pct"/>
            <w:shd w:val="clear" w:color="auto" w:fill="auto"/>
            <w:vAlign w:val="bottom"/>
          </w:tcPr>
          <w:p w14:paraId="74DDA305" w14:textId="77777777" w:rsidR="00584EC1" w:rsidRDefault="00584EC1">
            <w:pPr>
              <w:rPr>
                <w:rFonts w:ascii="宋体"/>
              </w:rPr>
            </w:pPr>
          </w:p>
        </w:tc>
        <w:tc>
          <w:tcPr>
            <w:tcW w:w="561" w:type="pct"/>
            <w:shd w:val="clear" w:color="auto" w:fill="auto"/>
            <w:vAlign w:val="bottom"/>
          </w:tcPr>
          <w:p w14:paraId="74DDA306" w14:textId="77777777" w:rsidR="00584EC1" w:rsidRDefault="00584EC1">
            <w:pPr>
              <w:rPr>
                <w:rFonts w:ascii="宋体"/>
              </w:rPr>
            </w:pPr>
          </w:p>
        </w:tc>
        <w:tc>
          <w:tcPr>
            <w:tcW w:w="5" w:type="pct"/>
            <w:shd w:val="clear" w:color="auto" w:fill="auto"/>
            <w:vAlign w:val="bottom"/>
          </w:tcPr>
          <w:p w14:paraId="74DDA307" w14:textId="77777777" w:rsidR="00584EC1" w:rsidRDefault="00584EC1">
            <w:pPr>
              <w:rPr>
                <w:rFonts w:ascii="宋体"/>
              </w:rPr>
            </w:pPr>
          </w:p>
        </w:tc>
        <w:tc>
          <w:tcPr>
            <w:tcW w:w="5" w:type="pct"/>
            <w:shd w:val="clear" w:color="auto" w:fill="auto"/>
            <w:vAlign w:val="bottom"/>
          </w:tcPr>
          <w:p w14:paraId="74DDA308" w14:textId="77777777" w:rsidR="00584EC1" w:rsidRDefault="00584EC1">
            <w:pPr>
              <w:rPr>
                <w:rFonts w:ascii="宋体"/>
              </w:rPr>
            </w:pPr>
          </w:p>
        </w:tc>
        <w:tc>
          <w:tcPr>
            <w:tcW w:w="26" w:type="pct"/>
            <w:shd w:val="clear" w:color="auto" w:fill="auto"/>
            <w:vAlign w:val="bottom"/>
          </w:tcPr>
          <w:p w14:paraId="74DDA309" w14:textId="77777777" w:rsidR="00584EC1" w:rsidRDefault="00584EC1">
            <w:pPr>
              <w:rPr>
                <w:rFonts w:ascii="宋体"/>
              </w:rPr>
            </w:pPr>
          </w:p>
        </w:tc>
        <w:tc>
          <w:tcPr>
            <w:tcW w:w="5" w:type="pct"/>
            <w:shd w:val="clear" w:color="auto" w:fill="auto"/>
            <w:vAlign w:val="bottom"/>
          </w:tcPr>
          <w:p w14:paraId="74DDA30A" w14:textId="77777777" w:rsidR="00584EC1" w:rsidRDefault="00584EC1">
            <w:pPr>
              <w:rPr>
                <w:rFonts w:ascii="宋体"/>
              </w:rPr>
            </w:pPr>
          </w:p>
        </w:tc>
        <w:tc>
          <w:tcPr>
            <w:tcW w:w="50" w:type="pct"/>
            <w:shd w:val="clear" w:color="auto" w:fill="auto"/>
            <w:vAlign w:val="bottom"/>
          </w:tcPr>
          <w:p w14:paraId="74DDA30B" w14:textId="77777777" w:rsidR="00584EC1" w:rsidRDefault="00584EC1">
            <w:pPr>
              <w:rPr>
                <w:rFonts w:ascii="宋体"/>
              </w:rPr>
            </w:pPr>
          </w:p>
        </w:tc>
        <w:tc>
          <w:tcPr>
            <w:tcW w:w="569" w:type="pct"/>
            <w:shd w:val="clear" w:color="auto" w:fill="auto"/>
            <w:vAlign w:val="bottom"/>
          </w:tcPr>
          <w:p w14:paraId="74DDA30C" w14:textId="77777777" w:rsidR="00584EC1" w:rsidRDefault="00584EC1">
            <w:pPr>
              <w:rPr>
                <w:rFonts w:ascii="宋体"/>
              </w:rPr>
            </w:pPr>
          </w:p>
        </w:tc>
        <w:tc>
          <w:tcPr>
            <w:tcW w:w="5" w:type="pct"/>
            <w:shd w:val="clear" w:color="auto" w:fill="auto"/>
            <w:vAlign w:val="bottom"/>
          </w:tcPr>
          <w:p w14:paraId="74DDA30D" w14:textId="77777777" w:rsidR="00584EC1" w:rsidRDefault="00584EC1">
            <w:pPr>
              <w:rPr>
                <w:rFonts w:ascii="宋体"/>
              </w:rPr>
            </w:pPr>
          </w:p>
        </w:tc>
        <w:tc>
          <w:tcPr>
            <w:tcW w:w="5" w:type="pct"/>
            <w:shd w:val="clear" w:color="auto" w:fill="auto"/>
            <w:vAlign w:val="bottom"/>
          </w:tcPr>
          <w:p w14:paraId="74DDA30E" w14:textId="77777777" w:rsidR="00584EC1" w:rsidRDefault="00584EC1">
            <w:pPr>
              <w:rPr>
                <w:rFonts w:ascii="宋体"/>
              </w:rPr>
            </w:pPr>
          </w:p>
        </w:tc>
        <w:tc>
          <w:tcPr>
            <w:tcW w:w="26" w:type="pct"/>
            <w:shd w:val="clear" w:color="auto" w:fill="auto"/>
            <w:vAlign w:val="bottom"/>
          </w:tcPr>
          <w:p w14:paraId="74DDA30F" w14:textId="77777777" w:rsidR="00584EC1" w:rsidRDefault="00584EC1">
            <w:pPr>
              <w:rPr>
                <w:rFonts w:ascii="宋体"/>
              </w:rPr>
            </w:pPr>
          </w:p>
        </w:tc>
        <w:tc>
          <w:tcPr>
            <w:tcW w:w="5" w:type="pct"/>
            <w:shd w:val="clear" w:color="auto" w:fill="auto"/>
            <w:vAlign w:val="bottom"/>
          </w:tcPr>
          <w:p w14:paraId="74DDA310" w14:textId="77777777" w:rsidR="00584EC1" w:rsidRDefault="00584EC1">
            <w:pPr>
              <w:rPr>
                <w:rFonts w:ascii="宋体"/>
              </w:rPr>
            </w:pPr>
          </w:p>
        </w:tc>
        <w:tc>
          <w:tcPr>
            <w:tcW w:w="50" w:type="pct"/>
            <w:shd w:val="clear" w:color="auto" w:fill="auto"/>
            <w:vAlign w:val="bottom"/>
          </w:tcPr>
          <w:p w14:paraId="74DDA311" w14:textId="77777777" w:rsidR="00584EC1" w:rsidRDefault="00584EC1">
            <w:pPr>
              <w:rPr>
                <w:rFonts w:ascii="宋体"/>
              </w:rPr>
            </w:pPr>
          </w:p>
        </w:tc>
        <w:tc>
          <w:tcPr>
            <w:tcW w:w="569" w:type="pct"/>
            <w:shd w:val="clear" w:color="auto" w:fill="auto"/>
            <w:vAlign w:val="bottom"/>
          </w:tcPr>
          <w:p w14:paraId="74DDA312" w14:textId="77777777" w:rsidR="00584EC1" w:rsidRDefault="00584EC1">
            <w:pPr>
              <w:rPr>
                <w:rFonts w:ascii="宋体"/>
              </w:rPr>
            </w:pPr>
          </w:p>
        </w:tc>
        <w:tc>
          <w:tcPr>
            <w:tcW w:w="5" w:type="pct"/>
            <w:shd w:val="clear" w:color="auto" w:fill="auto"/>
            <w:vAlign w:val="bottom"/>
          </w:tcPr>
          <w:p w14:paraId="74DDA313" w14:textId="77777777" w:rsidR="00584EC1" w:rsidRDefault="00584EC1">
            <w:pPr>
              <w:rPr>
                <w:rFonts w:ascii="宋体"/>
              </w:rPr>
            </w:pPr>
          </w:p>
        </w:tc>
      </w:tr>
      <w:tr w:rsidR="00584EC1" w14:paraId="74DDA337" w14:textId="77777777">
        <w:trPr>
          <w:hidden/>
        </w:trPr>
        <w:tc>
          <w:tcPr>
            <w:tcW w:w="0" w:type="auto"/>
            <w:gridSpan w:val="3"/>
            <w:shd w:val="clear" w:color="auto" w:fill="auto"/>
            <w:vAlign w:val="bottom"/>
          </w:tcPr>
          <w:p w14:paraId="74DDA315" w14:textId="77777777" w:rsidR="00584EC1" w:rsidRDefault="00584EC1">
            <w:pPr>
              <w:rPr>
                <w:rFonts w:ascii="宋体"/>
                <w:vanish/>
              </w:rPr>
            </w:pPr>
          </w:p>
        </w:tc>
        <w:tc>
          <w:tcPr>
            <w:tcW w:w="0" w:type="auto"/>
            <w:shd w:val="clear" w:color="auto" w:fill="auto"/>
            <w:vAlign w:val="bottom"/>
          </w:tcPr>
          <w:p w14:paraId="74DDA316" w14:textId="77777777" w:rsidR="00584EC1" w:rsidRDefault="00584EC1">
            <w:pPr>
              <w:rPr>
                <w:rFonts w:ascii="宋体"/>
              </w:rPr>
            </w:pPr>
          </w:p>
        </w:tc>
        <w:tc>
          <w:tcPr>
            <w:tcW w:w="0" w:type="auto"/>
            <w:shd w:val="clear" w:color="auto" w:fill="auto"/>
            <w:vAlign w:val="bottom"/>
          </w:tcPr>
          <w:p w14:paraId="74DDA317" w14:textId="77777777" w:rsidR="00584EC1" w:rsidRDefault="00584EC1">
            <w:pPr>
              <w:rPr>
                <w:rFonts w:ascii="宋体"/>
              </w:rPr>
            </w:pPr>
          </w:p>
        </w:tc>
        <w:tc>
          <w:tcPr>
            <w:tcW w:w="0" w:type="auto"/>
            <w:shd w:val="clear" w:color="auto" w:fill="auto"/>
            <w:vAlign w:val="bottom"/>
          </w:tcPr>
          <w:p w14:paraId="74DDA318" w14:textId="77777777" w:rsidR="00584EC1" w:rsidRDefault="00584EC1">
            <w:pPr>
              <w:rPr>
                <w:rFonts w:ascii="宋体"/>
              </w:rPr>
            </w:pPr>
          </w:p>
        </w:tc>
        <w:tc>
          <w:tcPr>
            <w:tcW w:w="0" w:type="auto"/>
            <w:shd w:val="clear" w:color="auto" w:fill="auto"/>
            <w:vAlign w:val="bottom"/>
          </w:tcPr>
          <w:p w14:paraId="74DDA319" w14:textId="77777777" w:rsidR="00584EC1" w:rsidRDefault="00584EC1">
            <w:pPr>
              <w:rPr>
                <w:rFonts w:ascii="宋体"/>
              </w:rPr>
            </w:pPr>
          </w:p>
        </w:tc>
        <w:tc>
          <w:tcPr>
            <w:tcW w:w="0" w:type="auto"/>
            <w:shd w:val="clear" w:color="auto" w:fill="auto"/>
            <w:vAlign w:val="bottom"/>
          </w:tcPr>
          <w:p w14:paraId="74DDA31A" w14:textId="77777777" w:rsidR="00584EC1" w:rsidRDefault="00584EC1">
            <w:pPr>
              <w:rPr>
                <w:rFonts w:ascii="宋体"/>
              </w:rPr>
            </w:pPr>
          </w:p>
        </w:tc>
        <w:tc>
          <w:tcPr>
            <w:tcW w:w="0" w:type="auto"/>
            <w:shd w:val="clear" w:color="auto" w:fill="auto"/>
            <w:vAlign w:val="bottom"/>
          </w:tcPr>
          <w:p w14:paraId="74DDA31B" w14:textId="77777777" w:rsidR="00584EC1" w:rsidRDefault="00584EC1">
            <w:pPr>
              <w:rPr>
                <w:rFonts w:ascii="宋体"/>
              </w:rPr>
            </w:pPr>
          </w:p>
        </w:tc>
        <w:tc>
          <w:tcPr>
            <w:tcW w:w="0" w:type="auto"/>
            <w:shd w:val="clear" w:color="auto" w:fill="auto"/>
            <w:vAlign w:val="bottom"/>
          </w:tcPr>
          <w:p w14:paraId="74DDA31C" w14:textId="77777777" w:rsidR="00584EC1" w:rsidRDefault="00584EC1">
            <w:pPr>
              <w:rPr>
                <w:rFonts w:ascii="宋体"/>
              </w:rPr>
            </w:pPr>
          </w:p>
        </w:tc>
        <w:tc>
          <w:tcPr>
            <w:tcW w:w="0" w:type="auto"/>
            <w:shd w:val="clear" w:color="auto" w:fill="auto"/>
            <w:vAlign w:val="bottom"/>
          </w:tcPr>
          <w:p w14:paraId="74DDA31D" w14:textId="77777777" w:rsidR="00584EC1" w:rsidRDefault="00584EC1">
            <w:pPr>
              <w:rPr>
                <w:rFonts w:ascii="宋体"/>
              </w:rPr>
            </w:pPr>
          </w:p>
        </w:tc>
        <w:tc>
          <w:tcPr>
            <w:tcW w:w="0" w:type="auto"/>
            <w:shd w:val="clear" w:color="auto" w:fill="auto"/>
            <w:vAlign w:val="bottom"/>
          </w:tcPr>
          <w:p w14:paraId="74DDA31E" w14:textId="77777777" w:rsidR="00584EC1" w:rsidRDefault="00584EC1">
            <w:pPr>
              <w:rPr>
                <w:rFonts w:ascii="宋体"/>
              </w:rPr>
            </w:pPr>
          </w:p>
        </w:tc>
        <w:tc>
          <w:tcPr>
            <w:tcW w:w="0" w:type="auto"/>
            <w:shd w:val="clear" w:color="auto" w:fill="auto"/>
            <w:vAlign w:val="bottom"/>
          </w:tcPr>
          <w:p w14:paraId="74DDA31F" w14:textId="77777777" w:rsidR="00584EC1" w:rsidRDefault="00584EC1">
            <w:pPr>
              <w:rPr>
                <w:rFonts w:ascii="宋体"/>
              </w:rPr>
            </w:pPr>
          </w:p>
        </w:tc>
        <w:tc>
          <w:tcPr>
            <w:tcW w:w="0" w:type="auto"/>
            <w:shd w:val="clear" w:color="auto" w:fill="auto"/>
            <w:vAlign w:val="bottom"/>
          </w:tcPr>
          <w:p w14:paraId="74DDA320" w14:textId="77777777" w:rsidR="00584EC1" w:rsidRDefault="00584EC1">
            <w:pPr>
              <w:rPr>
                <w:rFonts w:ascii="宋体"/>
              </w:rPr>
            </w:pPr>
          </w:p>
        </w:tc>
        <w:tc>
          <w:tcPr>
            <w:tcW w:w="0" w:type="auto"/>
            <w:shd w:val="clear" w:color="auto" w:fill="auto"/>
            <w:vAlign w:val="bottom"/>
          </w:tcPr>
          <w:p w14:paraId="74DDA321" w14:textId="77777777" w:rsidR="00584EC1" w:rsidRDefault="00584EC1">
            <w:pPr>
              <w:rPr>
                <w:rFonts w:ascii="宋体"/>
              </w:rPr>
            </w:pPr>
          </w:p>
        </w:tc>
        <w:tc>
          <w:tcPr>
            <w:tcW w:w="0" w:type="auto"/>
            <w:shd w:val="clear" w:color="auto" w:fill="auto"/>
            <w:vAlign w:val="bottom"/>
          </w:tcPr>
          <w:p w14:paraId="74DDA322" w14:textId="77777777" w:rsidR="00584EC1" w:rsidRDefault="00584EC1">
            <w:pPr>
              <w:rPr>
                <w:rFonts w:ascii="宋体"/>
              </w:rPr>
            </w:pPr>
          </w:p>
        </w:tc>
        <w:tc>
          <w:tcPr>
            <w:tcW w:w="0" w:type="auto"/>
            <w:shd w:val="clear" w:color="auto" w:fill="auto"/>
            <w:vAlign w:val="bottom"/>
          </w:tcPr>
          <w:p w14:paraId="74DDA323" w14:textId="77777777" w:rsidR="00584EC1" w:rsidRDefault="00584EC1">
            <w:pPr>
              <w:rPr>
                <w:rFonts w:ascii="宋体"/>
              </w:rPr>
            </w:pPr>
          </w:p>
        </w:tc>
        <w:tc>
          <w:tcPr>
            <w:tcW w:w="0" w:type="auto"/>
            <w:shd w:val="clear" w:color="auto" w:fill="auto"/>
            <w:vAlign w:val="bottom"/>
          </w:tcPr>
          <w:p w14:paraId="74DDA324" w14:textId="77777777" w:rsidR="00584EC1" w:rsidRDefault="00584EC1">
            <w:pPr>
              <w:rPr>
                <w:rFonts w:ascii="宋体"/>
              </w:rPr>
            </w:pPr>
          </w:p>
        </w:tc>
        <w:tc>
          <w:tcPr>
            <w:tcW w:w="0" w:type="auto"/>
            <w:shd w:val="clear" w:color="auto" w:fill="auto"/>
            <w:vAlign w:val="bottom"/>
          </w:tcPr>
          <w:p w14:paraId="74DDA325" w14:textId="77777777" w:rsidR="00584EC1" w:rsidRDefault="00584EC1">
            <w:pPr>
              <w:rPr>
                <w:rFonts w:ascii="宋体"/>
              </w:rPr>
            </w:pPr>
          </w:p>
        </w:tc>
        <w:tc>
          <w:tcPr>
            <w:tcW w:w="0" w:type="auto"/>
            <w:shd w:val="clear" w:color="auto" w:fill="auto"/>
            <w:vAlign w:val="bottom"/>
          </w:tcPr>
          <w:p w14:paraId="74DDA326" w14:textId="77777777" w:rsidR="00584EC1" w:rsidRDefault="00584EC1">
            <w:pPr>
              <w:rPr>
                <w:rFonts w:ascii="宋体"/>
              </w:rPr>
            </w:pPr>
          </w:p>
        </w:tc>
        <w:tc>
          <w:tcPr>
            <w:tcW w:w="0" w:type="auto"/>
            <w:shd w:val="clear" w:color="auto" w:fill="auto"/>
            <w:vAlign w:val="bottom"/>
          </w:tcPr>
          <w:p w14:paraId="74DDA327" w14:textId="77777777" w:rsidR="00584EC1" w:rsidRDefault="00584EC1">
            <w:pPr>
              <w:rPr>
                <w:rFonts w:ascii="宋体"/>
              </w:rPr>
            </w:pPr>
          </w:p>
        </w:tc>
        <w:tc>
          <w:tcPr>
            <w:tcW w:w="0" w:type="auto"/>
            <w:shd w:val="clear" w:color="auto" w:fill="auto"/>
            <w:vAlign w:val="bottom"/>
          </w:tcPr>
          <w:p w14:paraId="74DDA328" w14:textId="77777777" w:rsidR="00584EC1" w:rsidRDefault="00584EC1">
            <w:pPr>
              <w:rPr>
                <w:rFonts w:ascii="宋体"/>
              </w:rPr>
            </w:pPr>
          </w:p>
        </w:tc>
        <w:tc>
          <w:tcPr>
            <w:tcW w:w="0" w:type="auto"/>
            <w:shd w:val="clear" w:color="auto" w:fill="auto"/>
            <w:vAlign w:val="bottom"/>
          </w:tcPr>
          <w:p w14:paraId="74DDA329" w14:textId="77777777" w:rsidR="00584EC1" w:rsidRDefault="00584EC1">
            <w:pPr>
              <w:rPr>
                <w:rFonts w:ascii="宋体"/>
              </w:rPr>
            </w:pPr>
          </w:p>
        </w:tc>
        <w:tc>
          <w:tcPr>
            <w:tcW w:w="0" w:type="auto"/>
            <w:shd w:val="clear" w:color="auto" w:fill="auto"/>
            <w:vAlign w:val="bottom"/>
          </w:tcPr>
          <w:p w14:paraId="74DDA32A" w14:textId="77777777" w:rsidR="00584EC1" w:rsidRDefault="00584EC1">
            <w:pPr>
              <w:rPr>
                <w:rFonts w:ascii="宋体"/>
              </w:rPr>
            </w:pPr>
          </w:p>
        </w:tc>
        <w:tc>
          <w:tcPr>
            <w:tcW w:w="0" w:type="auto"/>
            <w:shd w:val="clear" w:color="auto" w:fill="auto"/>
            <w:vAlign w:val="bottom"/>
          </w:tcPr>
          <w:p w14:paraId="74DDA32B" w14:textId="77777777" w:rsidR="00584EC1" w:rsidRDefault="00584EC1">
            <w:pPr>
              <w:rPr>
                <w:rFonts w:ascii="宋体"/>
              </w:rPr>
            </w:pPr>
          </w:p>
        </w:tc>
        <w:tc>
          <w:tcPr>
            <w:tcW w:w="0" w:type="auto"/>
            <w:shd w:val="clear" w:color="auto" w:fill="auto"/>
            <w:vAlign w:val="bottom"/>
          </w:tcPr>
          <w:p w14:paraId="74DDA32C" w14:textId="77777777" w:rsidR="00584EC1" w:rsidRDefault="00584EC1">
            <w:pPr>
              <w:rPr>
                <w:rFonts w:ascii="宋体"/>
              </w:rPr>
            </w:pPr>
          </w:p>
        </w:tc>
        <w:tc>
          <w:tcPr>
            <w:tcW w:w="0" w:type="auto"/>
            <w:shd w:val="clear" w:color="auto" w:fill="auto"/>
            <w:vAlign w:val="bottom"/>
          </w:tcPr>
          <w:p w14:paraId="74DDA32D" w14:textId="77777777" w:rsidR="00584EC1" w:rsidRDefault="00584EC1">
            <w:pPr>
              <w:rPr>
                <w:rFonts w:ascii="宋体"/>
              </w:rPr>
            </w:pPr>
          </w:p>
        </w:tc>
        <w:tc>
          <w:tcPr>
            <w:tcW w:w="0" w:type="auto"/>
            <w:shd w:val="clear" w:color="auto" w:fill="auto"/>
            <w:vAlign w:val="bottom"/>
          </w:tcPr>
          <w:p w14:paraId="74DDA32E" w14:textId="77777777" w:rsidR="00584EC1" w:rsidRDefault="00584EC1">
            <w:pPr>
              <w:rPr>
                <w:rFonts w:ascii="宋体"/>
              </w:rPr>
            </w:pPr>
          </w:p>
        </w:tc>
        <w:tc>
          <w:tcPr>
            <w:tcW w:w="0" w:type="auto"/>
            <w:shd w:val="clear" w:color="auto" w:fill="auto"/>
            <w:vAlign w:val="bottom"/>
          </w:tcPr>
          <w:p w14:paraId="74DDA32F" w14:textId="77777777" w:rsidR="00584EC1" w:rsidRDefault="00584EC1">
            <w:pPr>
              <w:rPr>
                <w:rFonts w:ascii="宋体"/>
              </w:rPr>
            </w:pPr>
          </w:p>
        </w:tc>
        <w:tc>
          <w:tcPr>
            <w:tcW w:w="0" w:type="auto"/>
            <w:shd w:val="clear" w:color="auto" w:fill="auto"/>
            <w:vAlign w:val="bottom"/>
          </w:tcPr>
          <w:p w14:paraId="74DDA330" w14:textId="77777777" w:rsidR="00584EC1" w:rsidRDefault="00584EC1">
            <w:pPr>
              <w:rPr>
                <w:rFonts w:ascii="宋体"/>
              </w:rPr>
            </w:pPr>
          </w:p>
        </w:tc>
        <w:tc>
          <w:tcPr>
            <w:tcW w:w="0" w:type="auto"/>
            <w:shd w:val="clear" w:color="auto" w:fill="auto"/>
            <w:vAlign w:val="bottom"/>
          </w:tcPr>
          <w:p w14:paraId="74DDA331" w14:textId="77777777" w:rsidR="00584EC1" w:rsidRDefault="00584EC1">
            <w:pPr>
              <w:rPr>
                <w:rFonts w:ascii="宋体"/>
              </w:rPr>
            </w:pPr>
          </w:p>
        </w:tc>
        <w:tc>
          <w:tcPr>
            <w:tcW w:w="0" w:type="auto"/>
            <w:shd w:val="clear" w:color="auto" w:fill="auto"/>
            <w:vAlign w:val="bottom"/>
          </w:tcPr>
          <w:p w14:paraId="74DDA332" w14:textId="77777777" w:rsidR="00584EC1" w:rsidRDefault="00584EC1">
            <w:pPr>
              <w:rPr>
                <w:rFonts w:ascii="宋体"/>
              </w:rPr>
            </w:pPr>
          </w:p>
        </w:tc>
        <w:tc>
          <w:tcPr>
            <w:tcW w:w="0" w:type="auto"/>
            <w:shd w:val="clear" w:color="auto" w:fill="auto"/>
            <w:vAlign w:val="bottom"/>
          </w:tcPr>
          <w:p w14:paraId="74DDA333" w14:textId="77777777" w:rsidR="00584EC1" w:rsidRDefault="00584EC1">
            <w:pPr>
              <w:rPr>
                <w:rFonts w:ascii="宋体"/>
              </w:rPr>
            </w:pPr>
          </w:p>
        </w:tc>
        <w:tc>
          <w:tcPr>
            <w:tcW w:w="0" w:type="auto"/>
            <w:shd w:val="clear" w:color="auto" w:fill="auto"/>
            <w:vAlign w:val="bottom"/>
          </w:tcPr>
          <w:p w14:paraId="74DDA334" w14:textId="77777777" w:rsidR="00584EC1" w:rsidRDefault="00584EC1">
            <w:pPr>
              <w:rPr>
                <w:rFonts w:ascii="宋体"/>
              </w:rPr>
            </w:pPr>
          </w:p>
        </w:tc>
        <w:tc>
          <w:tcPr>
            <w:tcW w:w="0" w:type="auto"/>
            <w:shd w:val="clear" w:color="auto" w:fill="auto"/>
            <w:vAlign w:val="bottom"/>
          </w:tcPr>
          <w:p w14:paraId="74DDA335" w14:textId="77777777" w:rsidR="00584EC1" w:rsidRDefault="00584EC1">
            <w:pPr>
              <w:rPr>
                <w:rFonts w:ascii="宋体"/>
              </w:rPr>
            </w:pPr>
          </w:p>
        </w:tc>
        <w:tc>
          <w:tcPr>
            <w:tcW w:w="0" w:type="auto"/>
            <w:shd w:val="clear" w:color="auto" w:fill="auto"/>
            <w:vAlign w:val="bottom"/>
          </w:tcPr>
          <w:p w14:paraId="74DDA336" w14:textId="77777777" w:rsidR="00584EC1" w:rsidRDefault="00584EC1">
            <w:pPr>
              <w:rPr>
                <w:rFonts w:ascii="宋体"/>
              </w:rPr>
            </w:pPr>
          </w:p>
        </w:tc>
      </w:tr>
      <w:tr w:rsidR="00584EC1" w14:paraId="74DDA33A" w14:textId="77777777">
        <w:tc>
          <w:tcPr>
            <w:tcW w:w="0" w:type="auto"/>
            <w:gridSpan w:val="3"/>
            <w:shd w:val="clear" w:color="auto" w:fill="auto"/>
            <w:tcMar>
              <w:top w:w="0" w:type="dxa"/>
              <w:left w:w="20" w:type="dxa"/>
              <w:bottom w:w="0" w:type="dxa"/>
              <w:right w:w="20" w:type="dxa"/>
            </w:tcMar>
            <w:vAlign w:val="bottom"/>
          </w:tcPr>
          <w:p w14:paraId="74DDA338" w14:textId="77777777" w:rsidR="00584EC1" w:rsidRDefault="00584EC1">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74DDA339" w14:textId="77777777" w:rsidR="00584EC1" w:rsidRDefault="00871F8D">
            <w:pPr>
              <w:jc w:val="center"/>
              <w:textAlignment w:val="bottom"/>
            </w:pPr>
            <w:r>
              <w:rPr>
                <w:rFonts w:ascii="Arial" w:eastAsia="宋体" w:hAnsi="Arial" w:cs="Arial"/>
                <w:b/>
                <w:bCs/>
                <w:color w:val="000000"/>
                <w:sz w:val="14"/>
                <w:szCs w:val="14"/>
              </w:rPr>
              <w:t>Three Months Ended September 30,</w:t>
            </w:r>
          </w:p>
        </w:tc>
      </w:tr>
      <w:tr w:rsidR="00584EC1" w14:paraId="74DDA33F" w14:textId="77777777">
        <w:tc>
          <w:tcPr>
            <w:tcW w:w="0" w:type="auto"/>
            <w:gridSpan w:val="3"/>
            <w:shd w:val="clear" w:color="auto" w:fill="auto"/>
            <w:tcMar>
              <w:top w:w="0" w:type="dxa"/>
              <w:left w:w="20" w:type="dxa"/>
              <w:bottom w:w="0" w:type="dxa"/>
              <w:right w:w="20" w:type="dxa"/>
            </w:tcMar>
            <w:vAlign w:val="bottom"/>
          </w:tcPr>
          <w:p w14:paraId="74DDA33B" w14:textId="77777777" w:rsidR="00584EC1" w:rsidRDefault="00584EC1">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4DDA33C" w14:textId="77777777" w:rsidR="00584EC1" w:rsidRDefault="00871F8D">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A33D" w14:textId="77777777" w:rsidR="00584EC1" w:rsidRDefault="00584EC1">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4DDA33E" w14:textId="77777777" w:rsidR="00584EC1" w:rsidRDefault="00871F8D">
            <w:pPr>
              <w:jc w:val="center"/>
              <w:textAlignment w:val="bottom"/>
            </w:pPr>
            <w:r>
              <w:rPr>
                <w:rFonts w:ascii="Arial" w:eastAsia="宋体" w:hAnsi="Arial" w:cs="Arial"/>
                <w:b/>
                <w:bCs/>
                <w:color w:val="000000"/>
                <w:sz w:val="14"/>
                <w:szCs w:val="14"/>
              </w:rPr>
              <w:t>2020</w:t>
            </w:r>
          </w:p>
        </w:tc>
      </w:tr>
      <w:tr w:rsidR="00584EC1" w14:paraId="74DDA34C" w14:textId="77777777">
        <w:tc>
          <w:tcPr>
            <w:tcW w:w="0" w:type="auto"/>
            <w:gridSpan w:val="3"/>
            <w:shd w:val="clear" w:color="auto" w:fill="auto"/>
            <w:tcMar>
              <w:top w:w="40" w:type="dxa"/>
              <w:left w:w="20" w:type="dxa"/>
              <w:bottom w:w="40" w:type="dxa"/>
              <w:right w:w="20" w:type="dxa"/>
            </w:tcMar>
            <w:vAlign w:val="bottom"/>
          </w:tcPr>
          <w:p w14:paraId="74DDA340" w14:textId="77777777" w:rsidR="00584EC1" w:rsidRDefault="00871F8D">
            <w:pPr>
              <w:textAlignment w:val="bottom"/>
            </w:pPr>
            <w:r>
              <w:rPr>
                <w:rFonts w:ascii="Arial" w:eastAsia="宋体" w:hAnsi="Arial" w:cs="Arial"/>
                <w:b/>
                <w:bCs/>
                <w:color w:val="000000"/>
                <w:sz w:val="14"/>
                <w:szCs w:val="14"/>
              </w:rPr>
              <w:t>(Dollars in millions, except per share amounts)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A341" w14:textId="77777777" w:rsidR="00584EC1" w:rsidRDefault="00871F8D">
            <w:pPr>
              <w:jc w:val="center"/>
              <w:textAlignment w:val="bottom"/>
            </w:pPr>
            <w:r>
              <w:rPr>
                <w:rFonts w:ascii="Arial" w:eastAsia="宋体" w:hAnsi="Arial" w:cs="Arial"/>
                <w:b/>
                <w:bCs/>
                <w:color w:val="000000"/>
                <w:sz w:val="14"/>
                <w:szCs w:val="14"/>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A342"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A343" w14:textId="77777777" w:rsidR="00584EC1" w:rsidRDefault="00871F8D">
            <w:pPr>
              <w:jc w:val="center"/>
              <w:textAlignment w:val="bottom"/>
            </w:pPr>
            <w:r>
              <w:rPr>
                <w:rFonts w:ascii="Arial" w:eastAsia="宋体" w:hAnsi="Arial" w:cs="Arial"/>
                <w:b/>
                <w:bCs/>
                <w:color w:val="000000"/>
                <w:sz w:val="14"/>
                <w:szCs w:val="14"/>
              </w:rPr>
              <w:t>Dividends Declared per Depositary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A344"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A345" w14:textId="77777777" w:rsidR="00584EC1" w:rsidRDefault="00871F8D">
            <w:pPr>
              <w:jc w:val="center"/>
              <w:textAlignment w:val="bottom"/>
            </w:pPr>
            <w:r>
              <w:rPr>
                <w:rFonts w:ascii="Arial" w:eastAsia="宋体" w:hAnsi="Arial" w:cs="Arial"/>
                <w:b/>
                <w:bCs/>
                <w:color w:val="000000"/>
                <w:sz w:val="14"/>
                <w:szCs w:val="14"/>
              </w:rPr>
              <w:t>Total</w:t>
            </w:r>
          </w:p>
        </w:tc>
        <w:tc>
          <w:tcPr>
            <w:tcW w:w="0" w:type="auto"/>
            <w:gridSpan w:val="3"/>
            <w:shd w:val="clear" w:color="auto" w:fill="auto"/>
            <w:tcMar>
              <w:top w:w="0" w:type="dxa"/>
              <w:left w:w="20" w:type="dxa"/>
              <w:bottom w:w="0" w:type="dxa"/>
              <w:right w:w="20" w:type="dxa"/>
            </w:tcMar>
            <w:vAlign w:val="bottom"/>
          </w:tcPr>
          <w:p w14:paraId="74DDA346"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A347" w14:textId="77777777" w:rsidR="00584EC1" w:rsidRDefault="00871F8D">
            <w:pPr>
              <w:jc w:val="center"/>
              <w:textAlignment w:val="bottom"/>
            </w:pPr>
            <w:r>
              <w:rPr>
                <w:rFonts w:ascii="Arial" w:eastAsia="宋体" w:hAnsi="Arial" w:cs="Arial"/>
                <w:b/>
                <w:bCs/>
                <w:color w:val="000000"/>
                <w:sz w:val="14"/>
                <w:szCs w:val="14"/>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A348"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A349" w14:textId="77777777" w:rsidR="00584EC1" w:rsidRDefault="00871F8D">
            <w:pPr>
              <w:jc w:val="center"/>
              <w:textAlignment w:val="bottom"/>
            </w:pPr>
            <w:r>
              <w:rPr>
                <w:rFonts w:ascii="Arial" w:eastAsia="宋体" w:hAnsi="Arial" w:cs="Arial"/>
                <w:b/>
                <w:bCs/>
                <w:color w:val="000000"/>
                <w:sz w:val="14"/>
                <w:szCs w:val="14"/>
              </w:rPr>
              <w:t xml:space="preserve">Dividends Declared per </w:t>
            </w:r>
            <w:r>
              <w:rPr>
                <w:rFonts w:ascii="Arial" w:eastAsia="宋体" w:hAnsi="Arial" w:cs="Arial"/>
                <w:b/>
                <w:bCs/>
                <w:color w:val="000000"/>
                <w:sz w:val="14"/>
                <w:szCs w:val="14"/>
              </w:rPr>
              <w:t>Depositary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A34A"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A34B" w14:textId="77777777" w:rsidR="00584EC1" w:rsidRDefault="00871F8D">
            <w:pPr>
              <w:jc w:val="center"/>
              <w:textAlignment w:val="bottom"/>
            </w:pPr>
            <w:r>
              <w:rPr>
                <w:rFonts w:ascii="Arial" w:eastAsia="宋体" w:hAnsi="Arial" w:cs="Arial"/>
                <w:b/>
                <w:bCs/>
                <w:color w:val="000000"/>
                <w:sz w:val="14"/>
                <w:szCs w:val="14"/>
              </w:rPr>
              <w:t>Total</w:t>
            </w:r>
          </w:p>
        </w:tc>
      </w:tr>
      <w:tr w:rsidR="00584EC1" w14:paraId="74DDA359" w14:textId="77777777">
        <w:tc>
          <w:tcPr>
            <w:tcW w:w="0" w:type="auto"/>
            <w:gridSpan w:val="3"/>
            <w:shd w:val="clear" w:color="auto" w:fill="auto"/>
            <w:tcMar>
              <w:top w:w="40" w:type="dxa"/>
              <w:left w:w="20" w:type="dxa"/>
              <w:bottom w:w="40" w:type="dxa"/>
              <w:right w:w="20" w:type="dxa"/>
            </w:tcMar>
            <w:vAlign w:val="bottom"/>
          </w:tcPr>
          <w:p w14:paraId="74DDA34D" w14:textId="77777777" w:rsidR="00584EC1" w:rsidRDefault="00871F8D">
            <w:pPr>
              <w:textAlignment w:val="bottom"/>
            </w:pPr>
            <w:r>
              <w:rPr>
                <w:rFonts w:ascii="Arial" w:eastAsia="宋体" w:hAnsi="Arial" w:cs="Arial"/>
                <w:b/>
                <w:bCs/>
                <w:color w:val="000000"/>
                <w:sz w:val="14"/>
                <w:szCs w:val="14"/>
              </w:rPr>
              <w:t xml:space="preserve">Preferred </w:t>
            </w:r>
            <w:r>
              <w:rPr>
                <w:rFonts w:ascii="Arial" w:eastAsia="宋体" w:hAnsi="Arial" w:cs="Arial"/>
                <w:b/>
                <w:bCs/>
                <w:color w:val="000000"/>
                <w:sz w:val="14"/>
                <w:szCs w:val="14"/>
              </w:rPr>
              <w:t>Stock: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A34E"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A34F"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A350"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A351"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A35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A353"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A354"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A355"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A356"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A357"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A358" w14:textId="77777777" w:rsidR="00584EC1" w:rsidRDefault="00584EC1">
            <w:pPr>
              <w:rPr>
                <w:rFonts w:ascii="宋体"/>
              </w:rPr>
            </w:pPr>
          </w:p>
        </w:tc>
      </w:tr>
      <w:tr w:rsidR="00584EC1" w14:paraId="74DDA372" w14:textId="77777777">
        <w:tc>
          <w:tcPr>
            <w:tcW w:w="0" w:type="auto"/>
            <w:gridSpan w:val="3"/>
            <w:shd w:val="clear" w:color="auto" w:fill="CCEEFF"/>
            <w:tcMar>
              <w:top w:w="40" w:type="dxa"/>
              <w:left w:w="20" w:type="dxa"/>
              <w:bottom w:w="40" w:type="dxa"/>
              <w:right w:w="20" w:type="dxa"/>
            </w:tcMar>
            <w:vAlign w:val="bottom"/>
          </w:tcPr>
          <w:p w14:paraId="74DDA35A" w14:textId="77777777" w:rsidR="00584EC1" w:rsidRDefault="00871F8D">
            <w:pPr>
              <w:textAlignment w:val="bottom"/>
            </w:pPr>
            <w:r>
              <w:rPr>
                <w:rFonts w:ascii="Arial" w:eastAsia="宋体" w:hAnsi="Arial" w:cs="Arial"/>
                <w:color w:val="000000"/>
                <w:sz w:val="14"/>
                <w:szCs w:val="14"/>
              </w:rPr>
              <w:t>Series C</w:t>
            </w:r>
          </w:p>
        </w:tc>
        <w:tc>
          <w:tcPr>
            <w:tcW w:w="0" w:type="auto"/>
            <w:shd w:val="clear" w:color="auto" w:fill="CCEEFF"/>
            <w:tcMar>
              <w:top w:w="40" w:type="dxa"/>
              <w:left w:w="20" w:type="dxa"/>
              <w:bottom w:w="40" w:type="dxa"/>
              <w:right w:w="0" w:type="dxa"/>
            </w:tcMar>
            <w:vAlign w:val="bottom"/>
          </w:tcPr>
          <w:p w14:paraId="74DDA35B" w14:textId="77777777" w:rsidR="00584EC1" w:rsidRDefault="00871F8D">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4DDA35C"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A35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35E"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A35F" w14:textId="77777777" w:rsidR="00584EC1" w:rsidRDefault="00871F8D">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4DDA360"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A36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362"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A363" w14:textId="77777777" w:rsidR="00584EC1" w:rsidRDefault="00871F8D">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4DDA364"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A36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366"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A367"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A368"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A36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36A"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A36B"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A36C"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A36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36E"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A36F"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A370"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A371" w14:textId="77777777" w:rsidR="00584EC1" w:rsidRDefault="00584EC1">
            <w:pPr>
              <w:jc w:val="right"/>
              <w:rPr>
                <w:rFonts w:ascii="宋体"/>
              </w:rPr>
            </w:pPr>
          </w:p>
        </w:tc>
      </w:tr>
      <w:tr w:rsidR="00584EC1" w14:paraId="74DDA385" w14:textId="77777777">
        <w:tc>
          <w:tcPr>
            <w:tcW w:w="0" w:type="auto"/>
            <w:gridSpan w:val="3"/>
            <w:shd w:val="clear" w:color="auto" w:fill="FFFFFF"/>
            <w:tcMar>
              <w:top w:w="40" w:type="dxa"/>
              <w:left w:w="20" w:type="dxa"/>
              <w:bottom w:w="40" w:type="dxa"/>
              <w:right w:w="20" w:type="dxa"/>
            </w:tcMar>
            <w:vAlign w:val="bottom"/>
          </w:tcPr>
          <w:p w14:paraId="74DDA373" w14:textId="77777777" w:rsidR="00584EC1" w:rsidRDefault="00871F8D">
            <w:pPr>
              <w:textAlignment w:val="bottom"/>
            </w:pPr>
            <w:r>
              <w:rPr>
                <w:rFonts w:ascii="Arial" w:eastAsia="宋体" w:hAnsi="Arial" w:cs="Arial"/>
                <w:color w:val="000000"/>
                <w:sz w:val="14"/>
                <w:szCs w:val="14"/>
              </w:rPr>
              <w:t>Series D</w:t>
            </w:r>
          </w:p>
        </w:tc>
        <w:tc>
          <w:tcPr>
            <w:tcW w:w="0" w:type="auto"/>
            <w:gridSpan w:val="2"/>
            <w:shd w:val="clear" w:color="auto" w:fill="FFFFFF"/>
            <w:tcMar>
              <w:top w:w="40" w:type="dxa"/>
              <w:left w:w="20" w:type="dxa"/>
              <w:bottom w:w="40" w:type="dxa"/>
              <w:right w:w="0" w:type="dxa"/>
            </w:tcMar>
            <w:vAlign w:val="bottom"/>
          </w:tcPr>
          <w:p w14:paraId="74DDA374" w14:textId="77777777" w:rsidR="00584EC1" w:rsidRDefault="00871F8D">
            <w:pPr>
              <w:jc w:val="right"/>
              <w:textAlignment w:val="bottom"/>
            </w:pPr>
            <w:r>
              <w:rPr>
                <w:rFonts w:ascii="Arial" w:eastAsia="宋体" w:hAnsi="Arial" w:cs="Arial"/>
                <w:b/>
                <w:bCs/>
                <w:color w:val="000000"/>
                <w:sz w:val="14"/>
                <w:szCs w:val="14"/>
              </w:rPr>
              <w:t>1,475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A37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37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A377" w14:textId="77777777" w:rsidR="00584EC1" w:rsidRDefault="00871F8D">
            <w:pPr>
              <w:jc w:val="right"/>
              <w:textAlignment w:val="bottom"/>
            </w:pPr>
            <w:r>
              <w:rPr>
                <w:rFonts w:ascii="Arial" w:eastAsia="宋体" w:hAnsi="Arial" w:cs="Arial"/>
                <w:b/>
                <w:bCs/>
                <w:color w:val="000000"/>
                <w:sz w:val="14"/>
                <w:szCs w:val="14"/>
              </w:rPr>
              <w:t>0.37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A37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37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A37A" w14:textId="77777777" w:rsidR="00584EC1" w:rsidRDefault="00871F8D">
            <w:pPr>
              <w:jc w:val="right"/>
              <w:textAlignment w:val="bottom"/>
            </w:pPr>
            <w:r>
              <w:rPr>
                <w:rFonts w:ascii="Arial" w:eastAsia="宋体" w:hAnsi="Arial" w:cs="Arial"/>
                <w:b/>
                <w:bCs/>
                <w:color w:val="000000"/>
                <w:sz w:val="14"/>
                <w:szCs w:val="14"/>
              </w:rPr>
              <w:t>11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A37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37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A37D" w14:textId="77777777" w:rsidR="00584EC1" w:rsidRDefault="00871F8D">
            <w:pPr>
              <w:jc w:val="right"/>
              <w:textAlignment w:val="bottom"/>
            </w:pPr>
            <w:r>
              <w:rPr>
                <w:rFonts w:ascii="Arial" w:eastAsia="宋体" w:hAnsi="Arial" w:cs="Arial"/>
                <w:color w:val="000000"/>
                <w:sz w:val="14"/>
                <w:szCs w:val="14"/>
              </w:rPr>
              <w:t>1,475 </w:t>
            </w:r>
          </w:p>
        </w:tc>
        <w:tc>
          <w:tcPr>
            <w:tcW w:w="0" w:type="auto"/>
            <w:shd w:val="clear" w:color="auto" w:fill="FFFFFF"/>
            <w:tcMar>
              <w:top w:w="40" w:type="dxa"/>
              <w:left w:w="0" w:type="dxa"/>
              <w:bottom w:w="40" w:type="dxa"/>
              <w:right w:w="20" w:type="dxa"/>
            </w:tcMar>
            <w:vAlign w:val="bottom"/>
          </w:tcPr>
          <w:p w14:paraId="74DDA37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37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A380" w14:textId="77777777" w:rsidR="00584EC1" w:rsidRDefault="00871F8D">
            <w:pPr>
              <w:jc w:val="right"/>
              <w:textAlignment w:val="bottom"/>
            </w:pPr>
            <w:r>
              <w:rPr>
                <w:rFonts w:ascii="Arial" w:eastAsia="宋体" w:hAnsi="Arial" w:cs="Arial"/>
                <w:color w:val="000000"/>
                <w:sz w:val="14"/>
                <w:szCs w:val="14"/>
              </w:rPr>
              <w:t>0.37 </w:t>
            </w:r>
          </w:p>
        </w:tc>
        <w:tc>
          <w:tcPr>
            <w:tcW w:w="0" w:type="auto"/>
            <w:shd w:val="clear" w:color="auto" w:fill="FFFFFF"/>
            <w:tcMar>
              <w:top w:w="40" w:type="dxa"/>
              <w:left w:w="0" w:type="dxa"/>
              <w:bottom w:w="40" w:type="dxa"/>
              <w:right w:w="20" w:type="dxa"/>
            </w:tcMar>
            <w:vAlign w:val="bottom"/>
          </w:tcPr>
          <w:p w14:paraId="74DDA38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38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A383" w14:textId="77777777" w:rsidR="00584EC1" w:rsidRDefault="00871F8D">
            <w:pPr>
              <w:jc w:val="right"/>
              <w:textAlignment w:val="bottom"/>
            </w:pPr>
            <w:r>
              <w:rPr>
                <w:rFonts w:ascii="Arial" w:eastAsia="宋体" w:hAnsi="Arial" w:cs="Arial"/>
                <w:color w:val="000000"/>
                <w:sz w:val="14"/>
                <w:szCs w:val="14"/>
              </w:rPr>
              <w:t>11 </w:t>
            </w:r>
          </w:p>
        </w:tc>
        <w:tc>
          <w:tcPr>
            <w:tcW w:w="0" w:type="auto"/>
            <w:shd w:val="clear" w:color="auto" w:fill="FFFFFF"/>
            <w:tcMar>
              <w:top w:w="40" w:type="dxa"/>
              <w:left w:w="0" w:type="dxa"/>
              <w:bottom w:w="40" w:type="dxa"/>
              <w:right w:w="20" w:type="dxa"/>
            </w:tcMar>
            <w:vAlign w:val="bottom"/>
          </w:tcPr>
          <w:p w14:paraId="74DDA384" w14:textId="77777777" w:rsidR="00584EC1" w:rsidRDefault="00584EC1">
            <w:pPr>
              <w:jc w:val="right"/>
              <w:rPr>
                <w:rFonts w:ascii="宋体"/>
              </w:rPr>
            </w:pPr>
          </w:p>
        </w:tc>
      </w:tr>
      <w:tr w:rsidR="00584EC1" w14:paraId="74DDA392" w14:textId="77777777">
        <w:trPr>
          <w:hidden/>
        </w:trPr>
        <w:tc>
          <w:tcPr>
            <w:tcW w:w="0" w:type="auto"/>
            <w:gridSpan w:val="3"/>
            <w:shd w:val="clear" w:color="auto" w:fill="auto"/>
            <w:vAlign w:val="bottom"/>
          </w:tcPr>
          <w:p w14:paraId="74DDA386" w14:textId="77777777" w:rsidR="00584EC1" w:rsidRDefault="00584EC1">
            <w:pPr>
              <w:rPr>
                <w:rFonts w:ascii="宋体"/>
                <w:vanish/>
              </w:rPr>
            </w:pPr>
          </w:p>
        </w:tc>
        <w:tc>
          <w:tcPr>
            <w:tcW w:w="0" w:type="auto"/>
            <w:gridSpan w:val="3"/>
            <w:shd w:val="clear" w:color="auto" w:fill="auto"/>
            <w:vAlign w:val="bottom"/>
          </w:tcPr>
          <w:p w14:paraId="74DDA387" w14:textId="77777777" w:rsidR="00584EC1" w:rsidRDefault="00584EC1">
            <w:pPr>
              <w:rPr>
                <w:rFonts w:ascii="宋体"/>
                <w:vanish/>
              </w:rPr>
            </w:pPr>
          </w:p>
        </w:tc>
        <w:tc>
          <w:tcPr>
            <w:tcW w:w="0" w:type="auto"/>
            <w:gridSpan w:val="3"/>
            <w:shd w:val="clear" w:color="auto" w:fill="auto"/>
            <w:vAlign w:val="bottom"/>
          </w:tcPr>
          <w:p w14:paraId="74DDA388" w14:textId="77777777" w:rsidR="00584EC1" w:rsidRDefault="00584EC1">
            <w:pPr>
              <w:rPr>
                <w:rFonts w:ascii="宋体"/>
                <w:vanish/>
              </w:rPr>
            </w:pPr>
          </w:p>
        </w:tc>
        <w:tc>
          <w:tcPr>
            <w:tcW w:w="0" w:type="auto"/>
            <w:gridSpan w:val="3"/>
            <w:shd w:val="clear" w:color="auto" w:fill="auto"/>
            <w:vAlign w:val="bottom"/>
          </w:tcPr>
          <w:p w14:paraId="74DDA389" w14:textId="77777777" w:rsidR="00584EC1" w:rsidRDefault="00584EC1">
            <w:pPr>
              <w:rPr>
                <w:rFonts w:ascii="宋体"/>
                <w:vanish/>
              </w:rPr>
            </w:pPr>
          </w:p>
        </w:tc>
        <w:tc>
          <w:tcPr>
            <w:tcW w:w="0" w:type="auto"/>
            <w:gridSpan w:val="3"/>
            <w:shd w:val="clear" w:color="auto" w:fill="auto"/>
            <w:vAlign w:val="bottom"/>
          </w:tcPr>
          <w:p w14:paraId="74DDA38A" w14:textId="77777777" w:rsidR="00584EC1" w:rsidRDefault="00584EC1">
            <w:pPr>
              <w:rPr>
                <w:rFonts w:ascii="宋体"/>
                <w:vanish/>
              </w:rPr>
            </w:pPr>
          </w:p>
        </w:tc>
        <w:tc>
          <w:tcPr>
            <w:tcW w:w="0" w:type="auto"/>
            <w:gridSpan w:val="3"/>
            <w:shd w:val="clear" w:color="auto" w:fill="auto"/>
            <w:vAlign w:val="bottom"/>
          </w:tcPr>
          <w:p w14:paraId="74DDA38B" w14:textId="77777777" w:rsidR="00584EC1" w:rsidRDefault="00584EC1">
            <w:pPr>
              <w:rPr>
                <w:rFonts w:ascii="宋体"/>
                <w:vanish/>
              </w:rPr>
            </w:pPr>
          </w:p>
        </w:tc>
        <w:tc>
          <w:tcPr>
            <w:tcW w:w="0" w:type="auto"/>
            <w:gridSpan w:val="3"/>
            <w:shd w:val="clear" w:color="auto" w:fill="auto"/>
            <w:vAlign w:val="bottom"/>
          </w:tcPr>
          <w:p w14:paraId="74DDA38C" w14:textId="77777777" w:rsidR="00584EC1" w:rsidRDefault="00584EC1">
            <w:pPr>
              <w:rPr>
                <w:rFonts w:ascii="宋体"/>
                <w:vanish/>
              </w:rPr>
            </w:pPr>
          </w:p>
        </w:tc>
        <w:tc>
          <w:tcPr>
            <w:tcW w:w="0" w:type="auto"/>
            <w:gridSpan w:val="3"/>
            <w:shd w:val="clear" w:color="auto" w:fill="auto"/>
            <w:vAlign w:val="bottom"/>
          </w:tcPr>
          <w:p w14:paraId="74DDA38D" w14:textId="77777777" w:rsidR="00584EC1" w:rsidRDefault="00584EC1">
            <w:pPr>
              <w:rPr>
                <w:rFonts w:ascii="宋体"/>
                <w:vanish/>
              </w:rPr>
            </w:pPr>
          </w:p>
        </w:tc>
        <w:tc>
          <w:tcPr>
            <w:tcW w:w="0" w:type="auto"/>
            <w:gridSpan w:val="3"/>
            <w:shd w:val="clear" w:color="auto" w:fill="auto"/>
            <w:vAlign w:val="bottom"/>
          </w:tcPr>
          <w:p w14:paraId="74DDA38E" w14:textId="77777777" w:rsidR="00584EC1" w:rsidRDefault="00584EC1">
            <w:pPr>
              <w:rPr>
                <w:rFonts w:ascii="宋体"/>
                <w:vanish/>
              </w:rPr>
            </w:pPr>
          </w:p>
        </w:tc>
        <w:tc>
          <w:tcPr>
            <w:tcW w:w="0" w:type="auto"/>
            <w:gridSpan w:val="3"/>
            <w:shd w:val="clear" w:color="auto" w:fill="auto"/>
            <w:vAlign w:val="bottom"/>
          </w:tcPr>
          <w:p w14:paraId="74DDA38F" w14:textId="77777777" w:rsidR="00584EC1" w:rsidRDefault="00584EC1">
            <w:pPr>
              <w:rPr>
                <w:rFonts w:ascii="宋体"/>
                <w:vanish/>
              </w:rPr>
            </w:pPr>
          </w:p>
        </w:tc>
        <w:tc>
          <w:tcPr>
            <w:tcW w:w="0" w:type="auto"/>
            <w:gridSpan w:val="3"/>
            <w:shd w:val="clear" w:color="auto" w:fill="auto"/>
            <w:vAlign w:val="bottom"/>
          </w:tcPr>
          <w:p w14:paraId="74DDA390" w14:textId="77777777" w:rsidR="00584EC1" w:rsidRDefault="00584EC1">
            <w:pPr>
              <w:rPr>
                <w:rFonts w:ascii="宋体"/>
                <w:vanish/>
              </w:rPr>
            </w:pPr>
          </w:p>
        </w:tc>
        <w:tc>
          <w:tcPr>
            <w:tcW w:w="0" w:type="auto"/>
            <w:gridSpan w:val="3"/>
            <w:shd w:val="clear" w:color="auto" w:fill="auto"/>
            <w:vAlign w:val="bottom"/>
          </w:tcPr>
          <w:p w14:paraId="74DDA391" w14:textId="77777777" w:rsidR="00584EC1" w:rsidRDefault="00584EC1">
            <w:pPr>
              <w:rPr>
                <w:rFonts w:ascii="宋体"/>
                <w:vanish/>
              </w:rPr>
            </w:pPr>
          </w:p>
        </w:tc>
      </w:tr>
      <w:tr w:rsidR="00584EC1" w14:paraId="74DDA3A5" w14:textId="77777777">
        <w:tc>
          <w:tcPr>
            <w:tcW w:w="0" w:type="auto"/>
            <w:gridSpan w:val="3"/>
            <w:shd w:val="clear" w:color="auto" w:fill="CCEEFF"/>
            <w:tcMar>
              <w:top w:w="40" w:type="dxa"/>
              <w:left w:w="20" w:type="dxa"/>
              <w:bottom w:w="40" w:type="dxa"/>
              <w:right w:w="20" w:type="dxa"/>
            </w:tcMar>
            <w:vAlign w:val="bottom"/>
          </w:tcPr>
          <w:p w14:paraId="74DDA393" w14:textId="77777777" w:rsidR="00584EC1" w:rsidRDefault="00871F8D">
            <w:pPr>
              <w:textAlignment w:val="bottom"/>
            </w:pPr>
            <w:r>
              <w:rPr>
                <w:rFonts w:ascii="Arial" w:eastAsia="宋体" w:hAnsi="Arial" w:cs="Arial"/>
                <w:color w:val="000000"/>
                <w:sz w:val="14"/>
                <w:szCs w:val="14"/>
              </w:rPr>
              <w:t>Series F</w:t>
            </w:r>
          </w:p>
        </w:tc>
        <w:tc>
          <w:tcPr>
            <w:tcW w:w="0" w:type="auto"/>
            <w:gridSpan w:val="2"/>
            <w:shd w:val="clear" w:color="auto" w:fill="CCEEFF"/>
            <w:tcMar>
              <w:top w:w="40" w:type="dxa"/>
              <w:left w:w="20" w:type="dxa"/>
              <w:bottom w:w="40" w:type="dxa"/>
              <w:right w:w="0" w:type="dxa"/>
            </w:tcMar>
            <w:vAlign w:val="bottom"/>
          </w:tcPr>
          <w:p w14:paraId="74DDA394" w14:textId="77777777" w:rsidR="00584EC1" w:rsidRDefault="00871F8D">
            <w:pPr>
              <w:jc w:val="right"/>
              <w:textAlignment w:val="bottom"/>
            </w:pPr>
            <w:r>
              <w:rPr>
                <w:rFonts w:ascii="Arial" w:eastAsia="宋体" w:hAnsi="Arial" w:cs="Arial"/>
                <w:b/>
                <w:bCs/>
                <w:color w:val="000000"/>
                <w:sz w:val="14"/>
                <w:szCs w:val="14"/>
              </w:rPr>
              <w:t>950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A39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39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A397" w14:textId="77777777" w:rsidR="00584EC1" w:rsidRDefault="00871F8D">
            <w:pPr>
              <w:jc w:val="right"/>
              <w:textAlignment w:val="bottom"/>
            </w:pPr>
            <w:r>
              <w:rPr>
                <w:rFonts w:ascii="Arial" w:eastAsia="宋体" w:hAnsi="Arial" w:cs="Arial"/>
                <w:b/>
                <w:bCs/>
                <w:color w:val="000000"/>
                <w:sz w:val="14"/>
                <w:szCs w:val="14"/>
              </w:rPr>
              <w:t>9.50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A39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39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A39A" w14:textId="77777777" w:rsidR="00584EC1" w:rsidRDefault="00871F8D">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A39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39C"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A39D" w14:textId="77777777" w:rsidR="00584EC1" w:rsidRDefault="00871F8D">
            <w:pPr>
              <w:jc w:val="right"/>
              <w:textAlignment w:val="bottom"/>
            </w:pPr>
            <w:r>
              <w:rPr>
                <w:rFonts w:ascii="Arial" w:eastAsia="宋体" w:hAnsi="Arial" w:cs="Arial"/>
                <w:color w:val="000000"/>
                <w:sz w:val="14"/>
                <w:szCs w:val="14"/>
              </w:rPr>
              <w:t>2,625 </w:t>
            </w:r>
          </w:p>
        </w:tc>
        <w:tc>
          <w:tcPr>
            <w:tcW w:w="0" w:type="auto"/>
            <w:shd w:val="clear" w:color="auto" w:fill="CCEEFF"/>
            <w:tcMar>
              <w:top w:w="40" w:type="dxa"/>
              <w:left w:w="0" w:type="dxa"/>
              <w:bottom w:w="40" w:type="dxa"/>
              <w:right w:w="20" w:type="dxa"/>
            </w:tcMar>
            <w:vAlign w:val="bottom"/>
          </w:tcPr>
          <w:p w14:paraId="74DDA39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39F"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A3A0" w14:textId="77777777" w:rsidR="00584EC1" w:rsidRDefault="00871F8D">
            <w:pPr>
              <w:jc w:val="right"/>
              <w:textAlignment w:val="bottom"/>
            </w:pPr>
            <w:r>
              <w:rPr>
                <w:rFonts w:ascii="Arial" w:eastAsia="宋体" w:hAnsi="Arial" w:cs="Arial"/>
                <w:color w:val="000000"/>
                <w:sz w:val="14"/>
                <w:szCs w:val="14"/>
              </w:rPr>
              <w:t>26.25 </w:t>
            </w:r>
          </w:p>
        </w:tc>
        <w:tc>
          <w:tcPr>
            <w:tcW w:w="0" w:type="auto"/>
            <w:shd w:val="clear" w:color="auto" w:fill="CCEEFF"/>
            <w:tcMar>
              <w:top w:w="40" w:type="dxa"/>
              <w:left w:w="0" w:type="dxa"/>
              <w:bottom w:w="40" w:type="dxa"/>
              <w:right w:w="20" w:type="dxa"/>
            </w:tcMar>
            <w:vAlign w:val="bottom"/>
          </w:tcPr>
          <w:p w14:paraId="74DDA3A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3A2"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A3A3" w14:textId="77777777" w:rsidR="00584EC1" w:rsidRDefault="00871F8D">
            <w:pPr>
              <w:jc w:val="right"/>
              <w:textAlignment w:val="bottom"/>
            </w:pPr>
            <w:r>
              <w:rPr>
                <w:rFonts w:ascii="Arial" w:eastAsia="宋体" w:hAnsi="Arial" w:cs="Arial"/>
                <w:color w:val="000000"/>
                <w:sz w:val="14"/>
                <w:szCs w:val="14"/>
              </w:rPr>
              <w:t>20 </w:t>
            </w:r>
          </w:p>
        </w:tc>
        <w:tc>
          <w:tcPr>
            <w:tcW w:w="0" w:type="auto"/>
            <w:shd w:val="clear" w:color="auto" w:fill="CCEEFF"/>
            <w:tcMar>
              <w:top w:w="40" w:type="dxa"/>
              <w:left w:w="0" w:type="dxa"/>
              <w:bottom w:w="40" w:type="dxa"/>
              <w:right w:w="20" w:type="dxa"/>
            </w:tcMar>
            <w:vAlign w:val="bottom"/>
          </w:tcPr>
          <w:p w14:paraId="74DDA3A4" w14:textId="77777777" w:rsidR="00584EC1" w:rsidRDefault="00584EC1">
            <w:pPr>
              <w:jc w:val="right"/>
              <w:rPr>
                <w:rFonts w:ascii="宋体"/>
              </w:rPr>
            </w:pPr>
          </w:p>
        </w:tc>
      </w:tr>
      <w:tr w:rsidR="00584EC1" w14:paraId="74DDA3B8" w14:textId="77777777">
        <w:tc>
          <w:tcPr>
            <w:tcW w:w="0" w:type="auto"/>
            <w:gridSpan w:val="3"/>
            <w:shd w:val="clear" w:color="auto" w:fill="FFFFFF"/>
            <w:tcMar>
              <w:top w:w="40" w:type="dxa"/>
              <w:left w:w="20" w:type="dxa"/>
              <w:bottom w:w="40" w:type="dxa"/>
              <w:right w:w="20" w:type="dxa"/>
            </w:tcMar>
            <w:vAlign w:val="bottom"/>
          </w:tcPr>
          <w:p w14:paraId="74DDA3A6" w14:textId="77777777" w:rsidR="00584EC1" w:rsidRDefault="00871F8D">
            <w:pPr>
              <w:textAlignment w:val="bottom"/>
            </w:pPr>
            <w:r>
              <w:rPr>
                <w:rFonts w:ascii="Arial" w:eastAsia="宋体" w:hAnsi="Arial" w:cs="Arial"/>
                <w:color w:val="000000"/>
                <w:sz w:val="14"/>
                <w:szCs w:val="14"/>
              </w:rPr>
              <w:t>Series G</w:t>
            </w:r>
          </w:p>
        </w:tc>
        <w:tc>
          <w:tcPr>
            <w:tcW w:w="0" w:type="auto"/>
            <w:gridSpan w:val="2"/>
            <w:shd w:val="clear" w:color="auto" w:fill="FFFFFF"/>
            <w:tcMar>
              <w:top w:w="40" w:type="dxa"/>
              <w:left w:w="20" w:type="dxa"/>
              <w:bottom w:w="40" w:type="dxa"/>
              <w:right w:w="0" w:type="dxa"/>
            </w:tcMar>
            <w:vAlign w:val="bottom"/>
          </w:tcPr>
          <w:p w14:paraId="74DDA3A7" w14:textId="77777777" w:rsidR="00584EC1" w:rsidRDefault="00871F8D">
            <w:pPr>
              <w:jc w:val="right"/>
              <w:textAlignment w:val="bottom"/>
            </w:pPr>
            <w:r>
              <w:rPr>
                <w:rFonts w:ascii="Arial" w:eastAsia="宋体" w:hAnsi="Arial" w:cs="Arial"/>
                <w:b/>
                <w:bCs/>
                <w:color w:val="000000"/>
                <w:sz w:val="14"/>
                <w:szCs w:val="14"/>
              </w:rPr>
              <w:t>1,338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A3A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3A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A3AA" w14:textId="77777777" w:rsidR="00584EC1" w:rsidRDefault="00871F8D">
            <w:pPr>
              <w:jc w:val="right"/>
              <w:textAlignment w:val="bottom"/>
            </w:pPr>
            <w:r>
              <w:rPr>
                <w:rFonts w:ascii="Arial" w:eastAsia="宋体" w:hAnsi="Arial" w:cs="Arial"/>
                <w:b/>
                <w:bCs/>
                <w:color w:val="000000"/>
                <w:sz w:val="14"/>
                <w:szCs w:val="14"/>
              </w:rPr>
              <w:t>0.33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A3A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3A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A3AD" w14:textId="77777777" w:rsidR="00584EC1" w:rsidRDefault="00871F8D">
            <w:pPr>
              <w:jc w:val="right"/>
              <w:textAlignment w:val="bottom"/>
            </w:pPr>
            <w:r>
              <w:rPr>
                <w:rFonts w:ascii="Arial" w:eastAsia="宋体" w:hAnsi="Arial" w:cs="Arial"/>
                <w:b/>
                <w:bCs/>
                <w:color w:val="000000"/>
                <w:sz w:val="14"/>
                <w:szCs w:val="14"/>
              </w:rPr>
              <w:t>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A3A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3A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A3B0" w14:textId="77777777" w:rsidR="00584EC1" w:rsidRDefault="00871F8D">
            <w:pPr>
              <w:jc w:val="right"/>
              <w:textAlignment w:val="bottom"/>
            </w:pPr>
            <w:r>
              <w:rPr>
                <w:rFonts w:ascii="Arial" w:eastAsia="宋体" w:hAnsi="Arial" w:cs="Arial"/>
                <w:color w:val="000000"/>
                <w:sz w:val="14"/>
                <w:szCs w:val="14"/>
              </w:rPr>
              <w:t>1,338 </w:t>
            </w:r>
          </w:p>
        </w:tc>
        <w:tc>
          <w:tcPr>
            <w:tcW w:w="0" w:type="auto"/>
            <w:shd w:val="clear" w:color="auto" w:fill="FFFFFF"/>
            <w:tcMar>
              <w:top w:w="40" w:type="dxa"/>
              <w:left w:w="0" w:type="dxa"/>
              <w:bottom w:w="40" w:type="dxa"/>
              <w:right w:w="20" w:type="dxa"/>
            </w:tcMar>
            <w:vAlign w:val="bottom"/>
          </w:tcPr>
          <w:p w14:paraId="74DDA3B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3B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A3B3" w14:textId="77777777" w:rsidR="00584EC1" w:rsidRDefault="00871F8D">
            <w:pPr>
              <w:jc w:val="right"/>
              <w:textAlignment w:val="bottom"/>
            </w:pPr>
            <w:r>
              <w:rPr>
                <w:rFonts w:ascii="Arial" w:eastAsia="宋体" w:hAnsi="Arial" w:cs="Arial"/>
                <w:color w:val="000000"/>
                <w:sz w:val="14"/>
                <w:szCs w:val="14"/>
              </w:rPr>
              <w:t>0.33 </w:t>
            </w:r>
          </w:p>
        </w:tc>
        <w:tc>
          <w:tcPr>
            <w:tcW w:w="0" w:type="auto"/>
            <w:shd w:val="clear" w:color="auto" w:fill="FFFFFF"/>
            <w:tcMar>
              <w:top w:w="40" w:type="dxa"/>
              <w:left w:w="0" w:type="dxa"/>
              <w:bottom w:w="40" w:type="dxa"/>
              <w:right w:w="20" w:type="dxa"/>
            </w:tcMar>
            <w:vAlign w:val="bottom"/>
          </w:tcPr>
          <w:p w14:paraId="74DDA3B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3B5"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A3B6" w14:textId="77777777" w:rsidR="00584EC1" w:rsidRDefault="00871F8D">
            <w:pPr>
              <w:jc w:val="right"/>
              <w:textAlignment w:val="bottom"/>
            </w:pPr>
            <w:r>
              <w:rPr>
                <w:rFonts w:ascii="Arial" w:eastAsia="宋体" w:hAnsi="Arial" w:cs="Arial"/>
                <w:color w:val="000000"/>
                <w:sz w:val="14"/>
                <w:szCs w:val="14"/>
              </w:rPr>
              <w:t>7 </w:t>
            </w:r>
          </w:p>
        </w:tc>
        <w:tc>
          <w:tcPr>
            <w:tcW w:w="0" w:type="auto"/>
            <w:shd w:val="clear" w:color="auto" w:fill="FFFFFF"/>
            <w:tcMar>
              <w:top w:w="40" w:type="dxa"/>
              <w:left w:w="0" w:type="dxa"/>
              <w:bottom w:w="40" w:type="dxa"/>
              <w:right w:w="20" w:type="dxa"/>
            </w:tcMar>
            <w:vAlign w:val="bottom"/>
          </w:tcPr>
          <w:p w14:paraId="74DDA3B7" w14:textId="77777777" w:rsidR="00584EC1" w:rsidRDefault="00584EC1">
            <w:pPr>
              <w:jc w:val="right"/>
              <w:rPr>
                <w:rFonts w:ascii="宋体"/>
              </w:rPr>
            </w:pPr>
          </w:p>
        </w:tc>
      </w:tr>
      <w:tr w:rsidR="00584EC1" w14:paraId="74DDA3CB" w14:textId="77777777">
        <w:tc>
          <w:tcPr>
            <w:tcW w:w="0" w:type="auto"/>
            <w:gridSpan w:val="3"/>
            <w:shd w:val="clear" w:color="auto" w:fill="CCEEFF"/>
            <w:tcMar>
              <w:top w:w="40" w:type="dxa"/>
              <w:left w:w="20" w:type="dxa"/>
              <w:bottom w:w="40" w:type="dxa"/>
              <w:right w:w="20" w:type="dxa"/>
            </w:tcMar>
            <w:vAlign w:val="bottom"/>
          </w:tcPr>
          <w:p w14:paraId="74DDA3B9" w14:textId="77777777" w:rsidR="00584EC1" w:rsidRDefault="00871F8D">
            <w:pPr>
              <w:textAlignment w:val="bottom"/>
            </w:pPr>
            <w:r>
              <w:rPr>
                <w:rFonts w:ascii="Arial" w:eastAsia="宋体" w:hAnsi="Arial" w:cs="Arial"/>
                <w:color w:val="000000"/>
                <w:sz w:val="14"/>
                <w:szCs w:val="14"/>
              </w:rPr>
              <w:t>Series H</w:t>
            </w:r>
          </w:p>
        </w:tc>
        <w:tc>
          <w:tcPr>
            <w:tcW w:w="0" w:type="auto"/>
            <w:gridSpan w:val="2"/>
            <w:shd w:val="clear" w:color="auto" w:fill="CCEEFF"/>
            <w:tcMar>
              <w:top w:w="40" w:type="dxa"/>
              <w:left w:w="20" w:type="dxa"/>
              <w:bottom w:w="40" w:type="dxa"/>
              <w:right w:w="0" w:type="dxa"/>
            </w:tcMar>
            <w:vAlign w:val="bottom"/>
          </w:tcPr>
          <w:p w14:paraId="74DDA3BA"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A3B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3BC"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A3BD"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A3B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3BF"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A3C0"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A3C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3C2"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A3C3"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A3C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3C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A3C6"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A3C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3C8"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A3C9"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A3CA" w14:textId="77777777" w:rsidR="00584EC1" w:rsidRDefault="00584EC1">
            <w:pPr>
              <w:jc w:val="right"/>
              <w:rPr>
                <w:rFonts w:ascii="宋体"/>
              </w:rPr>
            </w:pPr>
          </w:p>
        </w:tc>
      </w:tr>
      <w:tr w:rsidR="00584EC1" w14:paraId="74DDA3DC" w14:textId="77777777">
        <w:tc>
          <w:tcPr>
            <w:tcW w:w="0" w:type="auto"/>
            <w:gridSpan w:val="3"/>
            <w:shd w:val="clear" w:color="auto" w:fill="FFFFFF"/>
            <w:tcMar>
              <w:top w:w="40" w:type="dxa"/>
              <w:left w:w="20" w:type="dxa"/>
              <w:bottom w:w="40" w:type="dxa"/>
              <w:right w:w="20" w:type="dxa"/>
            </w:tcMar>
            <w:vAlign w:val="bottom"/>
          </w:tcPr>
          <w:p w14:paraId="74DDA3CC" w14:textId="77777777" w:rsidR="00584EC1" w:rsidRDefault="00871F8D">
            <w:pPr>
              <w:textAlignment w:val="bottom"/>
            </w:pPr>
            <w:r>
              <w:rPr>
                <w:rFonts w:ascii="Arial" w:eastAsia="宋体" w:hAnsi="Arial" w:cs="Arial"/>
                <w:color w:val="000000"/>
                <w:sz w:val="14"/>
                <w:szCs w:val="14"/>
              </w:rPr>
              <w:t>Total</w:t>
            </w:r>
          </w:p>
        </w:tc>
        <w:tc>
          <w:tcPr>
            <w:tcW w:w="0" w:type="auto"/>
            <w:gridSpan w:val="3"/>
            <w:shd w:val="clear" w:color="auto" w:fill="FFFFFF"/>
            <w:tcMar>
              <w:top w:w="0" w:type="dxa"/>
              <w:left w:w="20" w:type="dxa"/>
              <w:bottom w:w="0" w:type="dxa"/>
              <w:right w:w="20" w:type="dxa"/>
            </w:tcMar>
            <w:vAlign w:val="bottom"/>
          </w:tcPr>
          <w:p w14:paraId="74DDA3CD"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A3CE"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A3CF"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A3D0"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A3D1"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A3D2" w14:textId="77777777" w:rsidR="00584EC1" w:rsidRDefault="00871F8D">
            <w:pPr>
              <w:jc w:val="right"/>
              <w:textAlignment w:val="bottom"/>
            </w:pPr>
            <w:r>
              <w:rPr>
                <w:rFonts w:ascii="Arial" w:eastAsia="宋体" w:hAnsi="Arial" w:cs="Arial"/>
                <w:b/>
                <w:bCs/>
                <w:color w:val="000000"/>
                <w:sz w:val="14"/>
                <w:szCs w:val="14"/>
              </w:rPr>
              <w:t>20</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A3D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3D4"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A3D5"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A3D6"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A3D7"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A3D8"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A3D9"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A3DA" w14:textId="77777777" w:rsidR="00584EC1" w:rsidRDefault="00871F8D">
            <w:pPr>
              <w:jc w:val="right"/>
              <w:textAlignment w:val="bottom"/>
            </w:pPr>
            <w:r>
              <w:rPr>
                <w:rFonts w:ascii="Arial" w:eastAsia="宋体" w:hAnsi="Arial" w:cs="Arial"/>
                <w:color w:val="000000"/>
                <w:sz w:val="14"/>
                <w:szCs w:val="14"/>
              </w:rPr>
              <w:t>38 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A3DB" w14:textId="77777777" w:rsidR="00584EC1" w:rsidRDefault="00584EC1">
            <w:pPr>
              <w:jc w:val="right"/>
              <w:rPr>
                <w:rFonts w:ascii="宋体"/>
              </w:rPr>
            </w:pPr>
          </w:p>
        </w:tc>
      </w:tr>
      <w:tr w:rsidR="00584EC1" w14:paraId="74DDA3E9" w14:textId="77777777">
        <w:trPr>
          <w:trHeight w:val="60"/>
        </w:trPr>
        <w:tc>
          <w:tcPr>
            <w:tcW w:w="0" w:type="auto"/>
            <w:gridSpan w:val="3"/>
            <w:shd w:val="clear" w:color="auto" w:fill="auto"/>
            <w:tcMar>
              <w:top w:w="0" w:type="dxa"/>
              <w:left w:w="20" w:type="dxa"/>
              <w:bottom w:w="0" w:type="dxa"/>
              <w:right w:w="20" w:type="dxa"/>
            </w:tcMar>
            <w:vAlign w:val="bottom"/>
          </w:tcPr>
          <w:p w14:paraId="74DDA3DD"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A3DE"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A3DF"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A3E0"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A3E1"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DA3E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A3E3"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A3E4"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A3E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A3E6"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A3E7"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DA3E8" w14:textId="77777777" w:rsidR="00584EC1" w:rsidRDefault="00584EC1">
            <w:pPr>
              <w:rPr>
                <w:rFonts w:ascii="宋体"/>
              </w:rPr>
            </w:pPr>
          </w:p>
        </w:tc>
      </w:tr>
      <w:tr w:rsidR="00584EC1" w14:paraId="74DDA3EC" w14:textId="77777777">
        <w:tc>
          <w:tcPr>
            <w:tcW w:w="0" w:type="auto"/>
            <w:gridSpan w:val="3"/>
            <w:shd w:val="clear" w:color="auto" w:fill="auto"/>
            <w:tcMar>
              <w:top w:w="0" w:type="dxa"/>
              <w:left w:w="20" w:type="dxa"/>
              <w:bottom w:w="0" w:type="dxa"/>
              <w:right w:w="20" w:type="dxa"/>
            </w:tcMar>
            <w:vAlign w:val="bottom"/>
          </w:tcPr>
          <w:p w14:paraId="74DDA3EA" w14:textId="77777777" w:rsidR="00584EC1" w:rsidRDefault="00584EC1">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74DDA3EB" w14:textId="77777777" w:rsidR="00584EC1" w:rsidRDefault="00871F8D">
            <w:pPr>
              <w:jc w:val="center"/>
              <w:textAlignment w:val="bottom"/>
            </w:pPr>
            <w:r>
              <w:rPr>
                <w:rFonts w:ascii="Arial" w:eastAsia="宋体" w:hAnsi="Arial" w:cs="Arial"/>
                <w:b/>
                <w:bCs/>
                <w:color w:val="000000"/>
                <w:sz w:val="14"/>
                <w:szCs w:val="14"/>
              </w:rPr>
              <w:t>Nine Months Ended September 30,</w:t>
            </w:r>
          </w:p>
        </w:tc>
      </w:tr>
      <w:tr w:rsidR="00584EC1" w14:paraId="74DDA3F1" w14:textId="77777777">
        <w:tc>
          <w:tcPr>
            <w:tcW w:w="0" w:type="auto"/>
            <w:gridSpan w:val="3"/>
            <w:shd w:val="clear" w:color="auto" w:fill="auto"/>
            <w:tcMar>
              <w:top w:w="0" w:type="dxa"/>
              <w:left w:w="20" w:type="dxa"/>
              <w:bottom w:w="0" w:type="dxa"/>
              <w:right w:w="20" w:type="dxa"/>
            </w:tcMar>
            <w:vAlign w:val="bottom"/>
          </w:tcPr>
          <w:p w14:paraId="74DDA3ED" w14:textId="77777777" w:rsidR="00584EC1" w:rsidRDefault="00584EC1">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4DDA3EE" w14:textId="77777777" w:rsidR="00584EC1" w:rsidRDefault="00871F8D">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A3EF" w14:textId="77777777" w:rsidR="00584EC1" w:rsidRDefault="00584EC1">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4DDA3F0" w14:textId="77777777" w:rsidR="00584EC1" w:rsidRDefault="00871F8D">
            <w:pPr>
              <w:jc w:val="center"/>
              <w:textAlignment w:val="bottom"/>
            </w:pPr>
            <w:r>
              <w:rPr>
                <w:rFonts w:ascii="Arial" w:eastAsia="宋体" w:hAnsi="Arial" w:cs="Arial"/>
                <w:b/>
                <w:bCs/>
                <w:color w:val="000000"/>
                <w:sz w:val="14"/>
                <w:szCs w:val="14"/>
              </w:rPr>
              <w:t>2020</w:t>
            </w:r>
          </w:p>
        </w:tc>
      </w:tr>
      <w:tr w:rsidR="00584EC1" w14:paraId="74DDA3FE" w14:textId="77777777">
        <w:tc>
          <w:tcPr>
            <w:tcW w:w="0" w:type="auto"/>
            <w:gridSpan w:val="3"/>
            <w:shd w:val="clear" w:color="auto" w:fill="auto"/>
            <w:tcMar>
              <w:top w:w="40" w:type="dxa"/>
              <w:left w:w="20" w:type="dxa"/>
              <w:bottom w:w="40" w:type="dxa"/>
              <w:right w:w="20" w:type="dxa"/>
            </w:tcMar>
            <w:vAlign w:val="bottom"/>
          </w:tcPr>
          <w:p w14:paraId="74DDA3F2" w14:textId="77777777" w:rsidR="00584EC1" w:rsidRDefault="00871F8D">
            <w:pPr>
              <w:textAlignment w:val="bottom"/>
            </w:pPr>
            <w:r>
              <w:rPr>
                <w:rFonts w:ascii="Arial" w:eastAsia="宋体" w:hAnsi="Arial" w:cs="Arial"/>
                <w:b/>
                <w:bCs/>
                <w:color w:val="000000"/>
                <w:sz w:val="14"/>
                <w:szCs w:val="14"/>
              </w:rPr>
              <w:t>(Dollars in millions, except per share amounts)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A3F3" w14:textId="77777777" w:rsidR="00584EC1" w:rsidRDefault="00871F8D">
            <w:pPr>
              <w:jc w:val="center"/>
              <w:textAlignment w:val="bottom"/>
            </w:pPr>
            <w:r>
              <w:rPr>
                <w:rFonts w:ascii="Arial" w:eastAsia="宋体" w:hAnsi="Arial" w:cs="Arial"/>
                <w:b/>
                <w:bCs/>
                <w:color w:val="000000"/>
                <w:sz w:val="14"/>
                <w:szCs w:val="14"/>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A3F4"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A3F5" w14:textId="77777777" w:rsidR="00584EC1" w:rsidRDefault="00871F8D">
            <w:pPr>
              <w:jc w:val="center"/>
              <w:textAlignment w:val="bottom"/>
            </w:pPr>
            <w:r>
              <w:rPr>
                <w:rFonts w:ascii="Arial" w:eastAsia="宋体" w:hAnsi="Arial" w:cs="Arial"/>
                <w:b/>
                <w:bCs/>
                <w:color w:val="000000"/>
                <w:sz w:val="14"/>
                <w:szCs w:val="14"/>
              </w:rPr>
              <w:t>Dividends Declared per Depositary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A3F6"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A3F7" w14:textId="77777777" w:rsidR="00584EC1" w:rsidRDefault="00871F8D">
            <w:pPr>
              <w:jc w:val="center"/>
              <w:textAlignment w:val="bottom"/>
            </w:pPr>
            <w:r>
              <w:rPr>
                <w:rFonts w:ascii="Arial" w:eastAsia="宋体" w:hAnsi="Arial" w:cs="Arial"/>
                <w:b/>
                <w:bCs/>
                <w:color w:val="000000"/>
                <w:sz w:val="14"/>
                <w:szCs w:val="14"/>
              </w:rPr>
              <w:t>Total</w:t>
            </w:r>
          </w:p>
        </w:tc>
        <w:tc>
          <w:tcPr>
            <w:tcW w:w="0" w:type="auto"/>
            <w:gridSpan w:val="3"/>
            <w:shd w:val="clear" w:color="auto" w:fill="auto"/>
            <w:tcMar>
              <w:top w:w="0" w:type="dxa"/>
              <w:left w:w="20" w:type="dxa"/>
              <w:bottom w:w="0" w:type="dxa"/>
              <w:right w:w="20" w:type="dxa"/>
            </w:tcMar>
            <w:vAlign w:val="bottom"/>
          </w:tcPr>
          <w:p w14:paraId="74DDA3F8"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A3F9" w14:textId="77777777" w:rsidR="00584EC1" w:rsidRDefault="00871F8D">
            <w:pPr>
              <w:jc w:val="center"/>
              <w:textAlignment w:val="bottom"/>
            </w:pPr>
            <w:r>
              <w:rPr>
                <w:rFonts w:ascii="Arial" w:eastAsia="宋体" w:hAnsi="Arial" w:cs="Arial"/>
                <w:b/>
                <w:bCs/>
                <w:color w:val="000000"/>
                <w:sz w:val="14"/>
                <w:szCs w:val="14"/>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A3FA"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A3FB" w14:textId="77777777" w:rsidR="00584EC1" w:rsidRDefault="00871F8D">
            <w:pPr>
              <w:jc w:val="center"/>
              <w:textAlignment w:val="bottom"/>
            </w:pPr>
            <w:r>
              <w:rPr>
                <w:rFonts w:ascii="Arial" w:eastAsia="宋体" w:hAnsi="Arial" w:cs="Arial"/>
                <w:b/>
                <w:bCs/>
                <w:color w:val="000000"/>
                <w:sz w:val="14"/>
                <w:szCs w:val="14"/>
              </w:rPr>
              <w:t xml:space="preserve">Dividends </w:t>
            </w:r>
            <w:r>
              <w:rPr>
                <w:rFonts w:ascii="Arial" w:eastAsia="宋体" w:hAnsi="Arial" w:cs="Arial"/>
                <w:b/>
                <w:bCs/>
                <w:color w:val="000000"/>
                <w:sz w:val="14"/>
                <w:szCs w:val="14"/>
              </w:rPr>
              <w:t>Declared per Depositary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A3FC"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A3FD" w14:textId="77777777" w:rsidR="00584EC1" w:rsidRDefault="00871F8D">
            <w:pPr>
              <w:jc w:val="center"/>
              <w:textAlignment w:val="bottom"/>
            </w:pPr>
            <w:r>
              <w:rPr>
                <w:rFonts w:ascii="Arial" w:eastAsia="宋体" w:hAnsi="Arial" w:cs="Arial"/>
                <w:b/>
                <w:bCs/>
                <w:color w:val="000000"/>
                <w:sz w:val="14"/>
                <w:szCs w:val="14"/>
              </w:rPr>
              <w:t>Total</w:t>
            </w:r>
          </w:p>
        </w:tc>
      </w:tr>
      <w:tr w:rsidR="00584EC1" w14:paraId="74DDA40B" w14:textId="77777777">
        <w:tc>
          <w:tcPr>
            <w:tcW w:w="0" w:type="auto"/>
            <w:gridSpan w:val="3"/>
            <w:shd w:val="clear" w:color="auto" w:fill="FFFFFF"/>
            <w:tcMar>
              <w:top w:w="40" w:type="dxa"/>
              <w:left w:w="20" w:type="dxa"/>
              <w:bottom w:w="40" w:type="dxa"/>
              <w:right w:w="20" w:type="dxa"/>
            </w:tcMar>
            <w:vAlign w:val="bottom"/>
          </w:tcPr>
          <w:p w14:paraId="74DDA3FF" w14:textId="77777777" w:rsidR="00584EC1" w:rsidRDefault="00871F8D">
            <w:pPr>
              <w:textAlignment w:val="bottom"/>
            </w:pPr>
            <w:r>
              <w:rPr>
                <w:rFonts w:ascii="Arial" w:eastAsia="宋体" w:hAnsi="Arial" w:cs="Arial"/>
                <w:b/>
                <w:bCs/>
                <w:color w:val="000000"/>
                <w:sz w:val="14"/>
                <w:szCs w:val="14"/>
              </w:rPr>
              <w:t xml:space="preserve">Preferred </w:t>
            </w:r>
            <w:r>
              <w:rPr>
                <w:rFonts w:ascii="Arial" w:eastAsia="宋体" w:hAnsi="Arial" w:cs="Arial"/>
                <w:b/>
                <w:bCs/>
                <w:color w:val="000000"/>
                <w:sz w:val="14"/>
                <w:szCs w:val="14"/>
              </w:rPr>
              <w:t>Stock:</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A400"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A401"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A40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A403"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A404"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A405"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A406"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A407"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A408"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A409"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A40A" w14:textId="77777777" w:rsidR="00584EC1" w:rsidRDefault="00584EC1">
            <w:pPr>
              <w:rPr>
                <w:rFonts w:ascii="宋体"/>
              </w:rPr>
            </w:pPr>
          </w:p>
        </w:tc>
      </w:tr>
      <w:tr w:rsidR="00584EC1" w14:paraId="74DDA424" w14:textId="77777777">
        <w:tc>
          <w:tcPr>
            <w:tcW w:w="0" w:type="auto"/>
            <w:gridSpan w:val="3"/>
            <w:shd w:val="clear" w:color="auto" w:fill="CCEEFF"/>
            <w:tcMar>
              <w:top w:w="40" w:type="dxa"/>
              <w:left w:w="20" w:type="dxa"/>
              <w:bottom w:w="40" w:type="dxa"/>
              <w:right w:w="20" w:type="dxa"/>
            </w:tcMar>
            <w:vAlign w:val="bottom"/>
          </w:tcPr>
          <w:p w14:paraId="74DDA40C" w14:textId="77777777" w:rsidR="00584EC1" w:rsidRDefault="00871F8D">
            <w:pPr>
              <w:textAlignment w:val="bottom"/>
            </w:pPr>
            <w:r>
              <w:rPr>
                <w:rFonts w:ascii="Arial" w:eastAsia="宋体" w:hAnsi="Arial" w:cs="Arial"/>
                <w:color w:val="000000"/>
                <w:sz w:val="14"/>
                <w:szCs w:val="14"/>
              </w:rPr>
              <w:t>Series C</w:t>
            </w:r>
          </w:p>
        </w:tc>
        <w:tc>
          <w:tcPr>
            <w:tcW w:w="0" w:type="auto"/>
            <w:shd w:val="clear" w:color="auto" w:fill="CCEEFF"/>
            <w:tcMar>
              <w:top w:w="40" w:type="dxa"/>
              <w:left w:w="20" w:type="dxa"/>
              <w:bottom w:w="40" w:type="dxa"/>
              <w:right w:w="0" w:type="dxa"/>
            </w:tcMar>
            <w:vAlign w:val="bottom"/>
          </w:tcPr>
          <w:p w14:paraId="74DDA40D" w14:textId="77777777" w:rsidR="00584EC1" w:rsidRDefault="00871F8D">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4DDA40E"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A40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410"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A411" w14:textId="77777777" w:rsidR="00584EC1" w:rsidRDefault="00871F8D">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4DDA412"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A41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414"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A415" w14:textId="77777777" w:rsidR="00584EC1" w:rsidRDefault="00871F8D">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4DDA416"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A41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418"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A419"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A41A" w14:textId="77777777" w:rsidR="00584EC1" w:rsidRDefault="00871F8D">
            <w:pPr>
              <w:jc w:val="right"/>
              <w:textAlignment w:val="bottom"/>
            </w:pPr>
            <w:r>
              <w:rPr>
                <w:rFonts w:ascii="Arial" w:eastAsia="宋体" w:hAnsi="Arial" w:cs="Arial"/>
                <w:color w:val="000000"/>
                <w:sz w:val="14"/>
                <w:szCs w:val="14"/>
              </w:rPr>
              <w:t>1,313 </w:t>
            </w:r>
          </w:p>
        </w:tc>
        <w:tc>
          <w:tcPr>
            <w:tcW w:w="0" w:type="auto"/>
            <w:shd w:val="clear" w:color="auto" w:fill="CCEEFF"/>
            <w:tcMar>
              <w:top w:w="40" w:type="dxa"/>
              <w:left w:w="0" w:type="dxa"/>
              <w:bottom w:w="40" w:type="dxa"/>
              <w:right w:w="20" w:type="dxa"/>
            </w:tcMar>
            <w:vAlign w:val="bottom"/>
          </w:tcPr>
          <w:p w14:paraId="74DDA41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41C"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A41D"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A41E" w14:textId="77777777" w:rsidR="00584EC1" w:rsidRDefault="00871F8D">
            <w:pPr>
              <w:jc w:val="right"/>
              <w:textAlignment w:val="bottom"/>
            </w:pPr>
            <w:r>
              <w:rPr>
                <w:rFonts w:ascii="Arial" w:eastAsia="宋体" w:hAnsi="Arial" w:cs="Arial"/>
                <w:color w:val="000000"/>
                <w:sz w:val="14"/>
                <w:szCs w:val="14"/>
              </w:rPr>
              <w:t>0.33 </w:t>
            </w:r>
          </w:p>
        </w:tc>
        <w:tc>
          <w:tcPr>
            <w:tcW w:w="0" w:type="auto"/>
            <w:shd w:val="clear" w:color="auto" w:fill="CCEEFF"/>
            <w:tcMar>
              <w:top w:w="40" w:type="dxa"/>
              <w:left w:w="0" w:type="dxa"/>
              <w:bottom w:w="40" w:type="dxa"/>
              <w:right w:w="20" w:type="dxa"/>
            </w:tcMar>
            <w:vAlign w:val="bottom"/>
          </w:tcPr>
          <w:p w14:paraId="74DDA41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420"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A421"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A422" w14:textId="77777777" w:rsidR="00584EC1" w:rsidRDefault="00871F8D">
            <w:pPr>
              <w:jc w:val="right"/>
              <w:textAlignment w:val="bottom"/>
            </w:pPr>
            <w:r>
              <w:rPr>
                <w:rFonts w:ascii="Arial" w:eastAsia="宋体" w:hAnsi="Arial" w:cs="Arial"/>
                <w:color w:val="000000"/>
                <w:sz w:val="14"/>
                <w:szCs w:val="14"/>
              </w:rPr>
              <w:t>6 </w:t>
            </w:r>
          </w:p>
        </w:tc>
        <w:tc>
          <w:tcPr>
            <w:tcW w:w="0" w:type="auto"/>
            <w:shd w:val="clear" w:color="auto" w:fill="CCEEFF"/>
            <w:tcMar>
              <w:top w:w="40" w:type="dxa"/>
              <w:left w:w="0" w:type="dxa"/>
              <w:bottom w:w="40" w:type="dxa"/>
              <w:right w:w="20" w:type="dxa"/>
            </w:tcMar>
            <w:vAlign w:val="bottom"/>
          </w:tcPr>
          <w:p w14:paraId="74DDA423" w14:textId="77777777" w:rsidR="00584EC1" w:rsidRDefault="00584EC1">
            <w:pPr>
              <w:jc w:val="right"/>
              <w:rPr>
                <w:rFonts w:ascii="宋体"/>
              </w:rPr>
            </w:pPr>
          </w:p>
        </w:tc>
      </w:tr>
      <w:tr w:rsidR="00584EC1" w14:paraId="74DDA437" w14:textId="77777777">
        <w:tc>
          <w:tcPr>
            <w:tcW w:w="0" w:type="auto"/>
            <w:gridSpan w:val="3"/>
            <w:shd w:val="clear" w:color="auto" w:fill="FFFFFF"/>
            <w:tcMar>
              <w:top w:w="40" w:type="dxa"/>
              <w:left w:w="20" w:type="dxa"/>
              <w:bottom w:w="40" w:type="dxa"/>
              <w:right w:w="20" w:type="dxa"/>
            </w:tcMar>
            <w:vAlign w:val="bottom"/>
          </w:tcPr>
          <w:p w14:paraId="74DDA425" w14:textId="77777777" w:rsidR="00584EC1" w:rsidRDefault="00871F8D">
            <w:pPr>
              <w:textAlignment w:val="bottom"/>
            </w:pPr>
            <w:r>
              <w:rPr>
                <w:rFonts w:ascii="Arial" w:eastAsia="宋体" w:hAnsi="Arial" w:cs="Arial"/>
                <w:color w:val="000000"/>
                <w:sz w:val="14"/>
                <w:szCs w:val="14"/>
              </w:rPr>
              <w:t>Series D</w:t>
            </w:r>
          </w:p>
        </w:tc>
        <w:tc>
          <w:tcPr>
            <w:tcW w:w="0" w:type="auto"/>
            <w:gridSpan w:val="2"/>
            <w:shd w:val="clear" w:color="auto" w:fill="FFFFFF"/>
            <w:tcMar>
              <w:top w:w="40" w:type="dxa"/>
              <w:left w:w="20" w:type="dxa"/>
              <w:bottom w:w="40" w:type="dxa"/>
              <w:right w:w="0" w:type="dxa"/>
            </w:tcMar>
            <w:vAlign w:val="bottom"/>
          </w:tcPr>
          <w:p w14:paraId="74DDA426" w14:textId="77777777" w:rsidR="00584EC1" w:rsidRDefault="00871F8D">
            <w:pPr>
              <w:jc w:val="right"/>
              <w:textAlignment w:val="bottom"/>
            </w:pPr>
            <w:r>
              <w:rPr>
                <w:rFonts w:ascii="Arial" w:eastAsia="宋体" w:hAnsi="Arial" w:cs="Arial"/>
                <w:b/>
                <w:bCs/>
                <w:color w:val="000000"/>
                <w:sz w:val="14"/>
                <w:szCs w:val="14"/>
              </w:rPr>
              <w:t>4,425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A42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428"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A429" w14:textId="77777777" w:rsidR="00584EC1" w:rsidRDefault="00871F8D">
            <w:pPr>
              <w:jc w:val="right"/>
              <w:textAlignment w:val="bottom"/>
            </w:pPr>
            <w:r>
              <w:rPr>
                <w:rFonts w:ascii="Arial" w:eastAsia="宋体" w:hAnsi="Arial" w:cs="Arial"/>
                <w:b/>
                <w:bCs/>
                <w:color w:val="000000"/>
                <w:sz w:val="14"/>
                <w:szCs w:val="14"/>
              </w:rPr>
              <w:t>1.11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A42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42B"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A42C" w14:textId="77777777" w:rsidR="00584EC1" w:rsidRDefault="00871F8D">
            <w:pPr>
              <w:jc w:val="right"/>
              <w:textAlignment w:val="bottom"/>
            </w:pPr>
            <w:r>
              <w:rPr>
                <w:rFonts w:ascii="Arial" w:eastAsia="宋体" w:hAnsi="Arial" w:cs="Arial"/>
                <w:b/>
                <w:bCs/>
                <w:color w:val="000000"/>
                <w:sz w:val="14"/>
                <w:szCs w:val="14"/>
              </w:rPr>
              <w:t>33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A42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42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A42F" w14:textId="77777777" w:rsidR="00584EC1" w:rsidRDefault="00871F8D">
            <w:pPr>
              <w:jc w:val="right"/>
              <w:textAlignment w:val="bottom"/>
            </w:pPr>
            <w:r>
              <w:rPr>
                <w:rFonts w:ascii="Arial" w:eastAsia="宋体" w:hAnsi="Arial" w:cs="Arial"/>
                <w:color w:val="000000"/>
                <w:sz w:val="14"/>
                <w:szCs w:val="14"/>
              </w:rPr>
              <w:t>4,425 </w:t>
            </w:r>
          </w:p>
        </w:tc>
        <w:tc>
          <w:tcPr>
            <w:tcW w:w="0" w:type="auto"/>
            <w:shd w:val="clear" w:color="auto" w:fill="FFFFFF"/>
            <w:tcMar>
              <w:top w:w="40" w:type="dxa"/>
              <w:left w:w="0" w:type="dxa"/>
              <w:bottom w:w="40" w:type="dxa"/>
              <w:right w:w="20" w:type="dxa"/>
            </w:tcMar>
            <w:vAlign w:val="bottom"/>
          </w:tcPr>
          <w:p w14:paraId="74DDA43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43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A432" w14:textId="77777777" w:rsidR="00584EC1" w:rsidRDefault="00871F8D">
            <w:pPr>
              <w:jc w:val="right"/>
              <w:textAlignment w:val="bottom"/>
            </w:pPr>
            <w:r>
              <w:rPr>
                <w:rFonts w:ascii="Arial" w:eastAsia="宋体" w:hAnsi="Arial" w:cs="Arial"/>
                <w:color w:val="000000"/>
                <w:sz w:val="14"/>
                <w:szCs w:val="14"/>
              </w:rPr>
              <w:t>1.11 </w:t>
            </w:r>
          </w:p>
        </w:tc>
        <w:tc>
          <w:tcPr>
            <w:tcW w:w="0" w:type="auto"/>
            <w:shd w:val="clear" w:color="auto" w:fill="FFFFFF"/>
            <w:tcMar>
              <w:top w:w="40" w:type="dxa"/>
              <w:left w:w="0" w:type="dxa"/>
              <w:bottom w:w="40" w:type="dxa"/>
              <w:right w:w="20" w:type="dxa"/>
            </w:tcMar>
            <w:vAlign w:val="bottom"/>
          </w:tcPr>
          <w:p w14:paraId="74DDA43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43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A435" w14:textId="77777777" w:rsidR="00584EC1" w:rsidRDefault="00871F8D">
            <w:pPr>
              <w:jc w:val="right"/>
              <w:textAlignment w:val="bottom"/>
            </w:pPr>
            <w:r>
              <w:rPr>
                <w:rFonts w:ascii="Arial" w:eastAsia="宋体" w:hAnsi="Arial" w:cs="Arial"/>
                <w:color w:val="000000"/>
                <w:sz w:val="14"/>
                <w:szCs w:val="14"/>
              </w:rPr>
              <w:t>33 </w:t>
            </w:r>
          </w:p>
        </w:tc>
        <w:tc>
          <w:tcPr>
            <w:tcW w:w="0" w:type="auto"/>
            <w:shd w:val="clear" w:color="auto" w:fill="FFFFFF"/>
            <w:tcMar>
              <w:top w:w="40" w:type="dxa"/>
              <w:left w:w="0" w:type="dxa"/>
              <w:bottom w:w="40" w:type="dxa"/>
              <w:right w:w="20" w:type="dxa"/>
            </w:tcMar>
            <w:vAlign w:val="bottom"/>
          </w:tcPr>
          <w:p w14:paraId="74DDA436" w14:textId="77777777" w:rsidR="00584EC1" w:rsidRDefault="00584EC1">
            <w:pPr>
              <w:jc w:val="right"/>
              <w:rPr>
                <w:rFonts w:ascii="宋体"/>
              </w:rPr>
            </w:pPr>
          </w:p>
        </w:tc>
      </w:tr>
      <w:tr w:rsidR="00584EC1" w14:paraId="74DDA444" w14:textId="77777777">
        <w:trPr>
          <w:hidden/>
        </w:trPr>
        <w:tc>
          <w:tcPr>
            <w:tcW w:w="0" w:type="auto"/>
            <w:gridSpan w:val="3"/>
            <w:shd w:val="clear" w:color="auto" w:fill="auto"/>
            <w:vAlign w:val="bottom"/>
          </w:tcPr>
          <w:p w14:paraId="74DDA438" w14:textId="77777777" w:rsidR="00584EC1" w:rsidRDefault="00584EC1">
            <w:pPr>
              <w:rPr>
                <w:rFonts w:ascii="宋体"/>
                <w:vanish/>
              </w:rPr>
            </w:pPr>
          </w:p>
        </w:tc>
        <w:tc>
          <w:tcPr>
            <w:tcW w:w="0" w:type="auto"/>
            <w:gridSpan w:val="3"/>
            <w:shd w:val="clear" w:color="auto" w:fill="auto"/>
            <w:vAlign w:val="bottom"/>
          </w:tcPr>
          <w:p w14:paraId="74DDA439" w14:textId="77777777" w:rsidR="00584EC1" w:rsidRDefault="00584EC1">
            <w:pPr>
              <w:rPr>
                <w:rFonts w:ascii="宋体"/>
                <w:vanish/>
              </w:rPr>
            </w:pPr>
          </w:p>
        </w:tc>
        <w:tc>
          <w:tcPr>
            <w:tcW w:w="0" w:type="auto"/>
            <w:gridSpan w:val="3"/>
            <w:shd w:val="clear" w:color="auto" w:fill="auto"/>
            <w:vAlign w:val="bottom"/>
          </w:tcPr>
          <w:p w14:paraId="74DDA43A" w14:textId="77777777" w:rsidR="00584EC1" w:rsidRDefault="00584EC1">
            <w:pPr>
              <w:rPr>
                <w:rFonts w:ascii="宋体"/>
                <w:vanish/>
              </w:rPr>
            </w:pPr>
          </w:p>
        </w:tc>
        <w:tc>
          <w:tcPr>
            <w:tcW w:w="0" w:type="auto"/>
            <w:gridSpan w:val="3"/>
            <w:shd w:val="clear" w:color="auto" w:fill="auto"/>
            <w:vAlign w:val="bottom"/>
          </w:tcPr>
          <w:p w14:paraId="74DDA43B" w14:textId="77777777" w:rsidR="00584EC1" w:rsidRDefault="00584EC1">
            <w:pPr>
              <w:rPr>
                <w:rFonts w:ascii="宋体"/>
                <w:vanish/>
              </w:rPr>
            </w:pPr>
          </w:p>
        </w:tc>
        <w:tc>
          <w:tcPr>
            <w:tcW w:w="0" w:type="auto"/>
            <w:gridSpan w:val="3"/>
            <w:shd w:val="clear" w:color="auto" w:fill="auto"/>
            <w:vAlign w:val="bottom"/>
          </w:tcPr>
          <w:p w14:paraId="74DDA43C" w14:textId="77777777" w:rsidR="00584EC1" w:rsidRDefault="00584EC1">
            <w:pPr>
              <w:rPr>
                <w:rFonts w:ascii="宋体"/>
                <w:vanish/>
              </w:rPr>
            </w:pPr>
          </w:p>
        </w:tc>
        <w:tc>
          <w:tcPr>
            <w:tcW w:w="0" w:type="auto"/>
            <w:gridSpan w:val="3"/>
            <w:shd w:val="clear" w:color="auto" w:fill="auto"/>
            <w:vAlign w:val="bottom"/>
          </w:tcPr>
          <w:p w14:paraId="74DDA43D" w14:textId="77777777" w:rsidR="00584EC1" w:rsidRDefault="00584EC1">
            <w:pPr>
              <w:rPr>
                <w:rFonts w:ascii="宋体"/>
                <w:vanish/>
              </w:rPr>
            </w:pPr>
          </w:p>
        </w:tc>
        <w:tc>
          <w:tcPr>
            <w:tcW w:w="0" w:type="auto"/>
            <w:gridSpan w:val="3"/>
            <w:shd w:val="clear" w:color="auto" w:fill="auto"/>
            <w:vAlign w:val="bottom"/>
          </w:tcPr>
          <w:p w14:paraId="74DDA43E" w14:textId="77777777" w:rsidR="00584EC1" w:rsidRDefault="00584EC1">
            <w:pPr>
              <w:rPr>
                <w:rFonts w:ascii="宋体"/>
                <w:vanish/>
              </w:rPr>
            </w:pPr>
          </w:p>
        </w:tc>
        <w:tc>
          <w:tcPr>
            <w:tcW w:w="0" w:type="auto"/>
            <w:gridSpan w:val="3"/>
            <w:shd w:val="clear" w:color="auto" w:fill="auto"/>
            <w:vAlign w:val="bottom"/>
          </w:tcPr>
          <w:p w14:paraId="74DDA43F" w14:textId="77777777" w:rsidR="00584EC1" w:rsidRDefault="00584EC1">
            <w:pPr>
              <w:rPr>
                <w:rFonts w:ascii="宋体"/>
                <w:vanish/>
              </w:rPr>
            </w:pPr>
          </w:p>
        </w:tc>
        <w:tc>
          <w:tcPr>
            <w:tcW w:w="0" w:type="auto"/>
            <w:gridSpan w:val="3"/>
            <w:shd w:val="clear" w:color="auto" w:fill="auto"/>
            <w:vAlign w:val="bottom"/>
          </w:tcPr>
          <w:p w14:paraId="74DDA440" w14:textId="77777777" w:rsidR="00584EC1" w:rsidRDefault="00584EC1">
            <w:pPr>
              <w:rPr>
                <w:rFonts w:ascii="宋体"/>
                <w:vanish/>
              </w:rPr>
            </w:pPr>
          </w:p>
        </w:tc>
        <w:tc>
          <w:tcPr>
            <w:tcW w:w="0" w:type="auto"/>
            <w:gridSpan w:val="3"/>
            <w:shd w:val="clear" w:color="auto" w:fill="auto"/>
            <w:vAlign w:val="bottom"/>
          </w:tcPr>
          <w:p w14:paraId="74DDA441" w14:textId="77777777" w:rsidR="00584EC1" w:rsidRDefault="00584EC1">
            <w:pPr>
              <w:rPr>
                <w:rFonts w:ascii="宋体"/>
                <w:vanish/>
              </w:rPr>
            </w:pPr>
          </w:p>
        </w:tc>
        <w:tc>
          <w:tcPr>
            <w:tcW w:w="0" w:type="auto"/>
            <w:gridSpan w:val="3"/>
            <w:shd w:val="clear" w:color="auto" w:fill="auto"/>
            <w:vAlign w:val="bottom"/>
          </w:tcPr>
          <w:p w14:paraId="74DDA442" w14:textId="77777777" w:rsidR="00584EC1" w:rsidRDefault="00584EC1">
            <w:pPr>
              <w:rPr>
                <w:rFonts w:ascii="宋体"/>
                <w:vanish/>
              </w:rPr>
            </w:pPr>
          </w:p>
        </w:tc>
        <w:tc>
          <w:tcPr>
            <w:tcW w:w="0" w:type="auto"/>
            <w:gridSpan w:val="3"/>
            <w:shd w:val="clear" w:color="auto" w:fill="auto"/>
            <w:vAlign w:val="bottom"/>
          </w:tcPr>
          <w:p w14:paraId="74DDA443" w14:textId="77777777" w:rsidR="00584EC1" w:rsidRDefault="00584EC1">
            <w:pPr>
              <w:rPr>
                <w:rFonts w:ascii="宋体"/>
                <w:vanish/>
              </w:rPr>
            </w:pPr>
          </w:p>
        </w:tc>
      </w:tr>
      <w:tr w:rsidR="00584EC1" w14:paraId="74DDA457" w14:textId="77777777">
        <w:tc>
          <w:tcPr>
            <w:tcW w:w="0" w:type="auto"/>
            <w:gridSpan w:val="3"/>
            <w:shd w:val="clear" w:color="auto" w:fill="CCEEFF"/>
            <w:tcMar>
              <w:top w:w="40" w:type="dxa"/>
              <w:left w:w="20" w:type="dxa"/>
              <w:bottom w:w="40" w:type="dxa"/>
              <w:right w:w="20" w:type="dxa"/>
            </w:tcMar>
            <w:vAlign w:val="bottom"/>
          </w:tcPr>
          <w:p w14:paraId="74DDA445" w14:textId="77777777" w:rsidR="00584EC1" w:rsidRDefault="00871F8D">
            <w:pPr>
              <w:textAlignment w:val="bottom"/>
            </w:pPr>
            <w:r>
              <w:rPr>
                <w:rFonts w:ascii="Arial" w:eastAsia="宋体" w:hAnsi="Arial" w:cs="Arial"/>
                <w:color w:val="000000"/>
                <w:sz w:val="14"/>
                <w:szCs w:val="14"/>
              </w:rPr>
              <w:t>Series F</w:t>
            </w:r>
          </w:p>
        </w:tc>
        <w:tc>
          <w:tcPr>
            <w:tcW w:w="0" w:type="auto"/>
            <w:gridSpan w:val="2"/>
            <w:shd w:val="clear" w:color="auto" w:fill="CCEEFF"/>
            <w:tcMar>
              <w:top w:w="40" w:type="dxa"/>
              <w:left w:w="20" w:type="dxa"/>
              <w:bottom w:w="40" w:type="dxa"/>
              <w:right w:w="0" w:type="dxa"/>
            </w:tcMar>
            <w:vAlign w:val="bottom"/>
          </w:tcPr>
          <w:p w14:paraId="74DDA446" w14:textId="77777777" w:rsidR="00584EC1" w:rsidRDefault="00871F8D">
            <w:pPr>
              <w:jc w:val="right"/>
              <w:textAlignment w:val="bottom"/>
            </w:pPr>
            <w:r>
              <w:rPr>
                <w:rFonts w:ascii="Arial" w:eastAsia="宋体" w:hAnsi="Arial" w:cs="Arial"/>
                <w:b/>
                <w:bCs/>
                <w:color w:val="000000"/>
                <w:sz w:val="14"/>
                <w:szCs w:val="14"/>
              </w:rPr>
              <w:t>2,869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A44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448"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A449" w14:textId="77777777" w:rsidR="00584EC1" w:rsidRDefault="00871F8D">
            <w:pPr>
              <w:jc w:val="right"/>
              <w:textAlignment w:val="bottom"/>
            </w:pPr>
            <w:r>
              <w:rPr>
                <w:rFonts w:ascii="Arial" w:eastAsia="宋体" w:hAnsi="Arial" w:cs="Arial"/>
                <w:b/>
                <w:bCs/>
                <w:color w:val="000000"/>
                <w:sz w:val="14"/>
                <w:szCs w:val="14"/>
              </w:rPr>
              <w:t>28.69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A44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44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A44C" w14:textId="77777777" w:rsidR="00584EC1" w:rsidRDefault="00871F8D">
            <w:pPr>
              <w:jc w:val="right"/>
              <w:textAlignment w:val="bottom"/>
            </w:pPr>
            <w:r>
              <w:rPr>
                <w:rFonts w:ascii="Arial" w:eastAsia="宋体" w:hAnsi="Arial" w:cs="Arial"/>
                <w:b/>
                <w:bCs/>
                <w:color w:val="000000"/>
                <w:sz w:val="14"/>
                <w:szCs w:val="14"/>
              </w:rPr>
              <w:t>11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A44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44E"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A44F" w14:textId="77777777" w:rsidR="00584EC1" w:rsidRDefault="00871F8D">
            <w:pPr>
              <w:jc w:val="right"/>
              <w:textAlignment w:val="bottom"/>
            </w:pPr>
            <w:r>
              <w:rPr>
                <w:rFonts w:ascii="Arial" w:eastAsia="宋体" w:hAnsi="Arial" w:cs="Arial"/>
                <w:color w:val="000000"/>
                <w:sz w:val="14"/>
                <w:szCs w:val="14"/>
              </w:rPr>
              <w:t>5,250 </w:t>
            </w:r>
          </w:p>
        </w:tc>
        <w:tc>
          <w:tcPr>
            <w:tcW w:w="0" w:type="auto"/>
            <w:shd w:val="clear" w:color="auto" w:fill="CCEEFF"/>
            <w:tcMar>
              <w:top w:w="40" w:type="dxa"/>
              <w:left w:w="0" w:type="dxa"/>
              <w:bottom w:w="40" w:type="dxa"/>
              <w:right w:w="20" w:type="dxa"/>
            </w:tcMar>
            <w:vAlign w:val="bottom"/>
          </w:tcPr>
          <w:p w14:paraId="74DDA45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45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A452" w14:textId="77777777" w:rsidR="00584EC1" w:rsidRDefault="00871F8D">
            <w:pPr>
              <w:jc w:val="right"/>
              <w:textAlignment w:val="bottom"/>
            </w:pPr>
            <w:r>
              <w:rPr>
                <w:rFonts w:ascii="Arial" w:eastAsia="宋体" w:hAnsi="Arial" w:cs="Arial"/>
                <w:color w:val="000000"/>
                <w:sz w:val="14"/>
                <w:szCs w:val="14"/>
              </w:rPr>
              <w:t>52.50 </w:t>
            </w:r>
          </w:p>
        </w:tc>
        <w:tc>
          <w:tcPr>
            <w:tcW w:w="0" w:type="auto"/>
            <w:shd w:val="clear" w:color="auto" w:fill="CCEEFF"/>
            <w:tcMar>
              <w:top w:w="40" w:type="dxa"/>
              <w:left w:w="0" w:type="dxa"/>
              <w:bottom w:w="40" w:type="dxa"/>
              <w:right w:w="20" w:type="dxa"/>
            </w:tcMar>
            <w:vAlign w:val="bottom"/>
          </w:tcPr>
          <w:p w14:paraId="74DDA45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454"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A455" w14:textId="77777777" w:rsidR="00584EC1" w:rsidRDefault="00871F8D">
            <w:pPr>
              <w:jc w:val="right"/>
              <w:textAlignment w:val="bottom"/>
            </w:pPr>
            <w:r>
              <w:rPr>
                <w:rFonts w:ascii="Arial" w:eastAsia="宋体" w:hAnsi="Arial" w:cs="Arial"/>
                <w:color w:val="000000"/>
                <w:sz w:val="14"/>
                <w:szCs w:val="14"/>
              </w:rPr>
              <w:t>40 </w:t>
            </w:r>
          </w:p>
        </w:tc>
        <w:tc>
          <w:tcPr>
            <w:tcW w:w="0" w:type="auto"/>
            <w:shd w:val="clear" w:color="auto" w:fill="CCEEFF"/>
            <w:tcMar>
              <w:top w:w="40" w:type="dxa"/>
              <w:left w:w="0" w:type="dxa"/>
              <w:bottom w:w="40" w:type="dxa"/>
              <w:right w:w="20" w:type="dxa"/>
            </w:tcMar>
            <w:vAlign w:val="bottom"/>
          </w:tcPr>
          <w:p w14:paraId="74DDA456" w14:textId="77777777" w:rsidR="00584EC1" w:rsidRDefault="00584EC1">
            <w:pPr>
              <w:jc w:val="right"/>
              <w:rPr>
                <w:rFonts w:ascii="宋体"/>
              </w:rPr>
            </w:pPr>
          </w:p>
        </w:tc>
      </w:tr>
      <w:tr w:rsidR="00584EC1" w14:paraId="74DDA46A" w14:textId="77777777">
        <w:tc>
          <w:tcPr>
            <w:tcW w:w="0" w:type="auto"/>
            <w:gridSpan w:val="3"/>
            <w:shd w:val="clear" w:color="auto" w:fill="FFFFFF"/>
            <w:tcMar>
              <w:top w:w="40" w:type="dxa"/>
              <w:left w:w="20" w:type="dxa"/>
              <w:bottom w:w="40" w:type="dxa"/>
              <w:right w:w="20" w:type="dxa"/>
            </w:tcMar>
            <w:vAlign w:val="bottom"/>
          </w:tcPr>
          <w:p w14:paraId="74DDA458" w14:textId="77777777" w:rsidR="00584EC1" w:rsidRDefault="00871F8D">
            <w:pPr>
              <w:textAlignment w:val="bottom"/>
            </w:pPr>
            <w:r>
              <w:rPr>
                <w:rFonts w:ascii="Arial" w:eastAsia="宋体" w:hAnsi="Arial" w:cs="Arial"/>
                <w:color w:val="000000"/>
                <w:sz w:val="14"/>
                <w:szCs w:val="14"/>
              </w:rPr>
              <w:t>Series G</w:t>
            </w:r>
          </w:p>
        </w:tc>
        <w:tc>
          <w:tcPr>
            <w:tcW w:w="0" w:type="auto"/>
            <w:gridSpan w:val="2"/>
            <w:shd w:val="clear" w:color="auto" w:fill="FFFFFF"/>
            <w:tcMar>
              <w:top w:w="40" w:type="dxa"/>
              <w:left w:w="20" w:type="dxa"/>
              <w:bottom w:w="40" w:type="dxa"/>
              <w:right w:w="0" w:type="dxa"/>
            </w:tcMar>
            <w:vAlign w:val="bottom"/>
          </w:tcPr>
          <w:p w14:paraId="74DDA459" w14:textId="77777777" w:rsidR="00584EC1" w:rsidRDefault="00871F8D">
            <w:pPr>
              <w:jc w:val="right"/>
              <w:textAlignment w:val="bottom"/>
            </w:pPr>
            <w:r>
              <w:rPr>
                <w:rFonts w:ascii="Arial" w:eastAsia="宋体" w:hAnsi="Arial" w:cs="Arial"/>
                <w:b/>
                <w:bCs/>
                <w:color w:val="000000"/>
                <w:sz w:val="14"/>
                <w:szCs w:val="14"/>
              </w:rPr>
              <w:t>4,014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A45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45B"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A45C" w14:textId="77777777" w:rsidR="00584EC1" w:rsidRDefault="00871F8D">
            <w:pPr>
              <w:jc w:val="right"/>
              <w:textAlignment w:val="bottom"/>
            </w:pPr>
            <w:r>
              <w:rPr>
                <w:rFonts w:ascii="Arial" w:eastAsia="宋体" w:hAnsi="Arial" w:cs="Arial"/>
                <w:b/>
                <w:bCs/>
                <w:color w:val="000000"/>
                <w:sz w:val="14"/>
                <w:szCs w:val="14"/>
              </w:rPr>
              <w:t>0.99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A45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45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A45F" w14:textId="77777777" w:rsidR="00584EC1" w:rsidRDefault="00871F8D">
            <w:pPr>
              <w:jc w:val="right"/>
              <w:textAlignment w:val="bottom"/>
            </w:pPr>
            <w:r>
              <w:rPr>
                <w:rFonts w:ascii="Arial" w:eastAsia="宋体" w:hAnsi="Arial" w:cs="Arial"/>
                <w:b/>
                <w:bCs/>
                <w:color w:val="000000"/>
                <w:sz w:val="14"/>
                <w:szCs w:val="14"/>
              </w:rPr>
              <w:t>21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A46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46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A462" w14:textId="77777777" w:rsidR="00584EC1" w:rsidRDefault="00871F8D">
            <w:pPr>
              <w:jc w:val="right"/>
              <w:textAlignment w:val="bottom"/>
            </w:pPr>
            <w:r>
              <w:rPr>
                <w:rFonts w:ascii="Arial" w:eastAsia="宋体" w:hAnsi="Arial" w:cs="Arial"/>
                <w:color w:val="000000"/>
                <w:sz w:val="14"/>
                <w:szCs w:val="14"/>
              </w:rPr>
              <w:t>4,014 </w:t>
            </w:r>
          </w:p>
        </w:tc>
        <w:tc>
          <w:tcPr>
            <w:tcW w:w="0" w:type="auto"/>
            <w:shd w:val="clear" w:color="auto" w:fill="FFFFFF"/>
            <w:tcMar>
              <w:top w:w="40" w:type="dxa"/>
              <w:left w:w="0" w:type="dxa"/>
              <w:bottom w:w="40" w:type="dxa"/>
              <w:right w:w="20" w:type="dxa"/>
            </w:tcMar>
            <w:vAlign w:val="bottom"/>
          </w:tcPr>
          <w:p w14:paraId="74DDA46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46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A465" w14:textId="77777777" w:rsidR="00584EC1" w:rsidRDefault="00871F8D">
            <w:pPr>
              <w:jc w:val="right"/>
              <w:textAlignment w:val="bottom"/>
            </w:pPr>
            <w:r>
              <w:rPr>
                <w:rFonts w:ascii="Arial" w:eastAsia="宋体" w:hAnsi="Arial" w:cs="Arial"/>
                <w:color w:val="000000"/>
                <w:sz w:val="14"/>
                <w:szCs w:val="14"/>
              </w:rPr>
              <w:t>0.99 </w:t>
            </w:r>
          </w:p>
        </w:tc>
        <w:tc>
          <w:tcPr>
            <w:tcW w:w="0" w:type="auto"/>
            <w:shd w:val="clear" w:color="auto" w:fill="FFFFFF"/>
            <w:tcMar>
              <w:top w:w="40" w:type="dxa"/>
              <w:left w:w="0" w:type="dxa"/>
              <w:bottom w:w="40" w:type="dxa"/>
              <w:right w:w="20" w:type="dxa"/>
            </w:tcMar>
            <w:vAlign w:val="bottom"/>
          </w:tcPr>
          <w:p w14:paraId="74DDA46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46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A468" w14:textId="77777777" w:rsidR="00584EC1" w:rsidRDefault="00871F8D">
            <w:pPr>
              <w:jc w:val="right"/>
              <w:textAlignment w:val="bottom"/>
            </w:pPr>
            <w:r>
              <w:rPr>
                <w:rFonts w:ascii="Arial" w:eastAsia="宋体" w:hAnsi="Arial" w:cs="Arial"/>
                <w:color w:val="000000"/>
                <w:sz w:val="14"/>
                <w:szCs w:val="14"/>
              </w:rPr>
              <w:t>21 </w:t>
            </w:r>
          </w:p>
        </w:tc>
        <w:tc>
          <w:tcPr>
            <w:tcW w:w="0" w:type="auto"/>
            <w:shd w:val="clear" w:color="auto" w:fill="FFFFFF"/>
            <w:tcMar>
              <w:top w:w="40" w:type="dxa"/>
              <w:left w:w="0" w:type="dxa"/>
              <w:bottom w:w="40" w:type="dxa"/>
              <w:right w:w="20" w:type="dxa"/>
            </w:tcMar>
            <w:vAlign w:val="bottom"/>
          </w:tcPr>
          <w:p w14:paraId="74DDA469" w14:textId="77777777" w:rsidR="00584EC1" w:rsidRDefault="00584EC1">
            <w:pPr>
              <w:jc w:val="right"/>
              <w:rPr>
                <w:rFonts w:ascii="宋体"/>
              </w:rPr>
            </w:pPr>
          </w:p>
        </w:tc>
      </w:tr>
      <w:tr w:rsidR="00584EC1" w14:paraId="74DDA47D" w14:textId="77777777">
        <w:tc>
          <w:tcPr>
            <w:tcW w:w="0" w:type="auto"/>
            <w:gridSpan w:val="3"/>
            <w:shd w:val="clear" w:color="auto" w:fill="CCEEFF"/>
            <w:tcMar>
              <w:top w:w="40" w:type="dxa"/>
              <w:left w:w="20" w:type="dxa"/>
              <w:bottom w:w="40" w:type="dxa"/>
              <w:right w:w="20" w:type="dxa"/>
            </w:tcMar>
            <w:vAlign w:val="bottom"/>
          </w:tcPr>
          <w:p w14:paraId="74DDA46B" w14:textId="77777777" w:rsidR="00584EC1" w:rsidRDefault="00871F8D">
            <w:pPr>
              <w:textAlignment w:val="bottom"/>
            </w:pPr>
            <w:r>
              <w:rPr>
                <w:rFonts w:ascii="Arial" w:eastAsia="宋体" w:hAnsi="Arial" w:cs="Arial"/>
                <w:color w:val="000000"/>
                <w:sz w:val="14"/>
                <w:szCs w:val="14"/>
              </w:rPr>
              <w:t>Series H</w:t>
            </w:r>
          </w:p>
        </w:tc>
        <w:tc>
          <w:tcPr>
            <w:tcW w:w="0" w:type="auto"/>
            <w:gridSpan w:val="2"/>
            <w:shd w:val="clear" w:color="auto" w:fill="CCEEFF"/>
            <w:tcMar>
              <w:top w:w="40" w:type="dxa"/>
              <w:left w:w="20" w:type="dxa"/>
              <w:bottom w:w="40" w:type="dxa"/>
              <w:right w:w="0" w:type="dxa"/>
            </w:tcMar>
            <w:vAlign w:val="bottom"/>
          </w:tcPr>
          <w:p w14:paraId="74DDA46C" w14:textId="77777777" w:rsidR="00584EC1" w:rsidRDefault="00871F8D">
            <w:pPr>
              <w:jc w:val="right"/>
              <w:textAlignment w:val="bottom"/>
            </w:pPr>
            <w:r>
              <w:rPr>
                <w:rFonts w:ascii="Arial" w:eastAsia="宋体" w:hAnsi="Arial" w:cs="Arial"/>
                <w:b/>
                <w:bCs/>
                <w:color w:val="000000"/>
                <w:sz w:val="14"/>
                <w:szCs w:val="14"/>
              </w:rPr>
              <w:t>2,813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A46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46E"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A46F" w14:textId="77777777" w:rsidR="00584EC1" w:rsidRDefault="00871F8D">
            <w:pPr>
              <w:jc w:val="right"/>
              <w:textAlignment w:val="bottom"/>
            </w:pPr>
            <w:r>
              <w:rPr>
                <w:rFonts w:ascii="Arial" w:eastAsia="宋体" w:hAnsi="Arial" w:cs="Arial"/>
                <w:b/>
                <w:bCs/>
                <w:color w:val="000000"/>
                <w:sz w:val="14"/>
                <w:szCs w:val="14"/>
              </w:rPr>
              <w:t>28.13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A47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47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A472" w14:textId="77777777" w:rsidR="00584EC1" w:rsidRDefault="00871F8D">
            <w:pPr>
              <w:jc w:val="right"/>
              <w:textAlignment w:val="bottom"/>
            </w:pPr>
            <w:r>
              <w:rPr>
                <w:rFonts w:ascii="Arial" w:eastAsia="宋体" w:hAnsi="Arial" w:cs="Arial"/>
                <w:b/>
                <w:bCs/>
                <w:color w:val="000000"/>
                <w:sz w:val="14"/>
                <w:szCs w:val="14"/>
              </w:rPr>
              <w:t>14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A47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474"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A475" w14:textId="77777777" w:rsidR="00584EC1" w:rsidRDefault="00871F8D">
            <w:pPr>
              <w:jc w:val="right"/>
              <w:textAlignment w:val="bottom"/>
            </w:pPr>
            <w:r>
              <w:rPr>
                <w:rFonts w:ascii="Arial" w:eastAsia="宋体" w:hAnsi="Arial" w:cs="Arial"/>
                <w:color w:val="000000"/>
                <w:sz w:val="14"/>
                <w:szCs w:val="14"/>
              </w:rPr>
              <w:t>2,813 </w:t>
            </w:r>
          </w:p>
        </w:tc>
        <w:tc>
          <w:tcPr>
            <w:tcW w:w="0" w:type="auto"/>
            <w:shd w:val="clear" w:color="auto" w:fill="CCEEFF"/>
            <w:tcMar>
              <w:top w:w="40" w:type="dxa"/>
              <w:left w:w="0" w:type="dxa"/>
              <w:bottom w:w="40" w:type="dxa"/>
              <w:right w:w="20" w:type="dxa"/>
            </w:tcMar>
            <w:vAlign w:val="bottom"/>
          </w:tcPr>
          <w:p w14:paraId="74DDA47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47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A478" w14:textId="77777777" w:rsidR="00584EC1" w:rsidRDefault="00871F8D">
            <w:pPr>
              <w:jc w:val="right"/>
              <w:textAlignment w:val="bottom"/>
            </w:pPr>
            <w:r>
              <w:rPr>
                <w:rFonts w:ascii="Arial" w:eastAsia="宋体" w:hAnsi="Arial" w:cs="Arial"/>
                <w:color w:val="000000"/>
                <w:sz w:val="14"/>
                <w:szCs w:val="14"/>
              </w:rPr>
              <w:t>28.13 </w:t>
            </w:r>
          </w:p>
        </w:tc>
        <w:tc>
          <w:tcPr>
            <w:tcW w:w="0" w:type="auto"/>
            <w:shd w:val="clear" w:color="auto" w:fill="CCEEFF"/>
            <w:tcMar>
              <w:top w:w="40" w:type="dxa"/>
              <w:left w:w="0" w:type="dxa"/>
              <w:bottom w:w="40" w:type="dxa"/>
              <w:right w:w="20" w:type="dxa"/>
            </w:tcMar>
            <w:vAlign w:val="bottom"/>
          </w:tcPr>
          <w:p w14:paraId="74DDA47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47A"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A47B" w14:textId="77777777" w:rsidR="00584EC1" w:rsidRDefault="00871F8D">
            <w:pPr>
              <w:jc w:val="right"/>
              <w:textAlignment w:val="bottom"/>
            </w:pPr>
            <w:r>
              <w:rPr>
                <w:rFonts w:ascii="Arial" w:eastAsia="宋体" w:hAnsi="Arial" w:cs="Arial"/>
                <w:color w:val="000000"/>
                <w:sz w:val="14"/>
                <w:szCs w:val="14"/>
              </w:rPr>
              <w:t>14 </w:t>
            </w:r>
          </w:p>
        </w:tc>
        <w:tc>
          <w:tcPr>
            <w:tcW w:w="0" w:type="auto"/>
            <w:shd w:val="clear" w:color="auto" w:fill="CCEEFF"/>
            <w:tcMar>
              <w:top w:w="40" w:type="dxa"/>
              <w:left w:w="0" w:type="dxa"/>
              <w:bottom w:w="40" w:type="dxa"/>
              <w:right w:w="20" w:type="dxa"/>
            </w:tcMar>
            <w:vAlign w:val="bottom"/>
          </w:tcPr>
          <w:p w14:paraId="74DDA47C" w14:textId="77777777" w:rsidR="00584EC1" w:rsidRDefault="00584EC1">
            <w:pPr>
              <w:jc w:val="right"/>
              <w:rPr>
                <w:rFonts w:ascii="宋体"/>
              </w:rPr>
            </w:pPr>
          </w:p>
        </w:tc>
      </w:tr>
      <w:tr w:rsidR="00584EC1" w14:paraId="74DDA48E" w14:textId="77777777">
        <w:tc>
          <w:tcPr>
            <w:tcW w:w="0" w:type="auto"/>
            <w:gridSpan w:val="3"/>
            <w:shd w:val="clear" w:color="auto" w:fill="FFFFFF"/>
            <w:tcMar>
              <w:top w:w="40" w:type="dxa"/>
              <w:left w:w="20" w:type="dxa"/>
              <w:bottom w:w="40" w:type="dxa"/>
              <w:right w:w="20" w:type="dxa"/>
            </w:tcMar>
            <w:vAlign w:val="bottom"/>
          </w:tcPr>
          <w:p w14:paraId="74DDA47E" w14:textId="77777777" w:rsidR="00584EC1" w:rsidRDefault="00871F8D">
            <w:pPr>
              <w:textAlignment w:val="bottom"/>
            </w:pPr>
            <w:r>
              <w:rPr>
                <w:rFonts w:ascii="Arial" w:eastAsia="宋体" w:hAnsi="Arial" w:cs="Arial"/>
                <w:color w:val="000000"/>
                <w:sz w:val="14"/>
                <w:szCs w:val="14"/>
              </w:rPr>
              <w:t>Total</w:t>
            </w:r>
          </w:p>
        </w:tc>
        <w:tc>
          <w:tcPr>
            <w:tcW w:w="0" w:type="auto"/>
            <w:gridSpan w:val="3"/>
            <w:shd w:val="clear" w:color="auto" w:fill="FFFFFF"/>
            <w:tcMar>
              <w:top w:w="0" w:type="dxa"/>
              <w:left w:w="20" w:type="dxa"/>
              <w:bottom w:w="0" w:type="dxa"/>
              <w:right w:w="20" w:type="dxa"/>
            </w:tcMar>
            <w:vAlign w:val="bottom"/>
          </w:tcPr>
          <w:p w14:paraId="74DDA47F"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A480"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A481"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A482"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A483"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A484" w14:textId="77777777" w:rsidR="00584EC1" w:rsidRDefault="00871F8D">
            <w:pPr>
              <w:jc w:val="right"/>
              <w:textAlignment w:val="bottom"/>
            </w:pPr>
            <w:r>
              <w:rPr>
                <w:rFonts w:ascii="Arial" w:eastAsia="宋体" w:hAnsi="Arial" w:cs="Arial"/>
                <w:b/>
                <w:bCs/>
                <w:color w:val="000000"/>
                <w:sz w:val="14"/>
                <w:szCs w:val="14"/>
              </w:rPr>
              <w:t>79</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A48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486"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A487"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A488"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A489"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A48A"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A48B"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A48C" w14:textId="77777777" w:rsidR="00584EC1" w:rsidRDefault="00871F8D">
            <w:pPr>
              <w:jc w:val="right"/>
              <w:textAlignment w:val="bottom"/>
            </w:pPr>
            <w:r>
              <w:rPr>
                <w:rFonts w:ascii="Arial" w:eastAsia="宋体" w:hAnsi="Arial" w:cs="Arial"/>
                <w:color w:val="000000"/>
                <w:sz w:val="14"/>
                <w:szCs w:val="14"/>
              </w:rPr>
              <w:t>114 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A48D" w14:textId="77777777" w:rsidR="00584EC1" w:rsidRDefault="00584EC1">
            <w:pPr>
              <w:jc w:val="right"/>
              <w:rPr>
                <w:rFonts w:ascii="宋体"/>
              </w:rPr>
            </w:pPr>
          </w:p>
        </w:tc>
      </w:tr>
    </w:tbl>
    <w:p w14:paraId="74DDA48F" w14:textId="77777777" w:rsidR="00584EC1" w:rsidRDefault="00871F8D">
      <w:pPr>
        <w:spacing w:before="60"/>
      </w:pPr>
      <w:r>
        <w:rPr>
          <w:rFonts w:ascii="Arial" w:eastAsia="宋体" w:hAnsi="Arial" w:cs="Arial"/>
          <w:i/>
          <w:iCs/>
          <w:color w:val="000000"/>
          <w:sz w:val="20"/>
          <w:szCs w:val="20"/>
        </w:rPr>
        <w:t>Common Stock</w:t>
      </w:r>
    </w:p>
    <w:p w14:paraId="74DDA490" w14:textId="77777777" w:rsidR="00584EC1" w:rsidRDefault="00871F8D">
      <w:pPr>
        <w:spacing w:before="60"/>
        <w:ind w:firstLine="450"/>
        <w:jc w:val="both"/>
      </w:pPr>
      <w:r>
        <w:rPr>
          <w:rFonts w:ascii="Arial" w:eastAsia="宋体" w:hAnsi="Arial" w:cs="Arial"/>
          <w:color w:val="000000"/>
          <w:sz w:val="20"/>
          <w:szCs w:val="20"/>
        </w:rPr>
        <w:t>In September 2021, we completed a public offering of approximately 21.7 million shares of our common stock. The offering price was $87.60 per share and net proceeds totaled approximately $1.9 billion. We exp</w:t>
      </w:r>
      <w:r>
        <w:rPr>
          <w:rFonts w:ascii="Arial" w:eastAsia="宋体" w:hAnsi="Arial" w:cs="Arial"/>
          <w:color w:val="000000"/>
          <w:sz w:val="20"/>
          <w:szCs w:val="20"/>
        </w:rPr>
        <w:t>ect to use these net proceeds to finance our proposed acquisition of the BBH Investor Services business.</w:t>
      </w:r>
    </w:p>
    <w:p w14:paraId="74DDA491" w14:textId="77777777" w:rsidR="00584EC1" w:rsidRDefault="00871F8D">
      <w:pPr>
        <w:spacing w:before="60"/>
        <w:ind w:firstLine="450"/>
        <w:jc w:val="both"/>
      </w:pPr>
      <w:r>
        <w:rPr>
          <w:rFonts w:ascii="Arial" w:eastAsia="宋体" w:hAnsi="Arial" w:cs="Arial"/>
          <w:color w:val="000000"/>
          <w:sz w:val="20"/>
          <w:szCs w:val="20"/>
        </w:rPr>
        <w:t>In June 2019, the Federal Reserve issued a non-objection to our capital plan submitted as part of the 2019 CCAR submission; and in connection with that</w:t>
      </w:r>
      <w:r>
        <w:rPr>
          <w:rFonts w:ascii="Arial" w:eastAsia="宋体" w:hAnsi="Arial" w:cs="Arial"/>
          <w:color w:val="000000"/>
          <w:sz w:val="20"/>
          <w:szCs w:val="20"/>
        </w:rPr>
        <w:t xml:space="preserve"> capital plan, our Board approved a common share repurchase program authorizing the repurchase of up to $2.0 billion of our common stock from July 1, 2019 through June 30, 2020 (the 2019 Program). We repurchased $500 million of our common stock in the firs</w:t>
      </w:r>
      <w:r>
        <w:rPr>
          <w:rFonts w:ascii="Arial" w:eastAsia="宋体" w:hAnsi="Arial" w:cs="Arial"/>
          <w:color w:val="000000"/>
          <w:sz w:val="20"/>
          <w:szCs w:val="20"/>
        </w:rPr>
        <w:t>t quarter of 2020 under the 2019 Program.</w:t>
      </w:r>
    </w:p>
    <w:p w14:paraId="74DDA492" w14:textId="77777777" w:rsidR="00584EC1" w:rsidRDefault="00871F8D">
      <w:pPr>
        <w:spacing w:before="60"/>
        <w:ind w:firstLine="450"/>
        <w:jc w:val="both"/>
      </w:pPr>
      <w:r>
        <w:rPr>
          <w:rFonts w:ascii="Arial" w:eastAsia="宋体" w:hAnsi="Arial" w:cs="Arial"/>
          <w:color w:val="000000"/>
          <w:sz w:val="20"/>
          <w:szCs w:val="20"/>
        </w:rPr>
        <w:t>On March 16, 2020, we, along with the other U.S. G-SIBs, suspended common share repurchases and maintained this suspension through the fourth quarter of 2020 in response to the COVID-19 pandemic. This suspension wa</w:t>
      </w:r>
      <w:r>
        <w:rPr>
          <w:rFonts w:ascii="Arial" w:eastAsia="宋体" w:hAnsi="Arial" w:cs="Arial"/>
          <w:color w:val="000000"/>
          <w:sz w:val="20"/>
          <w:szCs w:val="20"/>
        </w:rPr>
        <w:t>s consistent with limitations imposed by the Federal Reserve beginning in the second quarter of 2020. As a result, we had no repurchases of our common stock in the second, third or fourth quarters of 2020. In December 2020, the Federal Reserve issued resul</w:t>
      </w:r>
      <w:r>
        <w:rPr>
          <w:rFonts w:ascii="Arial" w:eastAsia="宋体" w:hAnsi="Arial" w:cs="Arial"/>
          <w:color w:val="000000"/>
          <w:sz w:val="20"/>
          <w:szCs w:val="20"/>
        </w:rPr>
        <w:t>ts of 2020 resubmission stress tests and authorized us to continue to pay common stock dividends at current levels and to resume repurchasing common shares in the first quarter of 2021. In January 2021, our Board authorized a common share repurchase progra</w:t>
      </w:r>
      <w:r>
        <w:rPr>
          <w:rFonts w:ascii="Arial" w:eastAsia="宋体" w:hAnsi="Arial" w:cs="Arial"/>
          <w:color w:val="000000"/>
          <w:sz w:val="20"/>
          <w:szCs w:val="20"/>
        </w:rPr>
        <w:t>m for the repurchase of up to $475 million of our common stock through March 31, 2021. We repurchased $475 million of our common stock in the first quarter of 2021. In April 2021, our Board authorized a common share repurchase program for the repurchase of</w:t>
      </w:r>
      <w:r>
        <w:rPr>
          <w:rFonts w:ascii="Arial" w:eastAsia="宋体" w:hAnsi="Arial" w:cs="Arial"/>
          <w:color w:val="000000"/>
          <w:sz w:val="20"/>
          <w:szCs w:val="20"/>
        </w:rPr>
        <w:t xml:space="preserve"> up to $425 million of our common stock through June 30, 2021, in compliance with the limit set by the Federal Reserve. We repurchased $425 million of our common stock in the second quarter of 2021. In July 2021, our Board authorized a share repurchase pro</w:t>
      </w:r>
      <w:r>
        <w:rPr>
          <w:rFonts w:ascii="Arial" w:eastAsia="宋体" w:hAnsi="Arial" w:cs="Arial"/>
          <w:color w:val="000000"/>
          <w:sz w:val="20"/>
          <w:szCs w:val="20"/>
        </w:rPr>
        <w:t>gram for the repurchase of up to $3.0 billion of our common stock through the end of 2022.</w:t>
      </w:r>
    </w:p>
    <w:p w14:paraId="74DDA493" w14:textId="77777777" w:rsidR="00584EC1" w:rsidRDefault="00871F8D">
      <w:pPr>
        <w:spacing w:before="60"/>
        <w:ind w:firstLine="360"/>
        <w:jc w:val="both"/>
      </w:pPr>
      <w:r>
        <w:rPr>
          <w:rFonts w:ascii="Arial" w:eastAsia="宋体" w:hAnsi="Arial" w:cs="Arial"/>
          <w:color w:val="000000"/>
          <w:sz w:val="20"/>
          <w:szCs w:val="20"/>
        </w:rPr>
        <w:t xml:space="preserve">In connection with our proposed acquisition of the BBH Investor Services business, we did not repurchase any common stock during the third quarter of 2021 under the </w:t>
      </w:r>
      <w:r>
        <w:rPr>
          <w:rFonts w:ascii="Arial" w:eastAsia="宋体" w:hAnsi="Arial" w:cs="Arial"/>
          <w:color w:val="000000"/>
          <w:sz w:val="20"/>
          <w:szCs w:val="20"/>
        </w:rPr>
        <w:t>common share repurchase plan approved by our Board in July 2021, and we do not intend to repurchase any common stock during the fourth quarter of 2021 and the first quarter of 2022. We intend to resume our common share repurchases during the second quarter</w:t>
      </w:r>
      <w:r>
        <w:rPr>
          <w:rFonts w:ascii="Arial" w:eastAsia="宋体" w:hAnsi="Arial" w:cs="Arial"/>
          <w:color w:val="000000"/>
          <w:sz w:val="20"/>
          <w:szCs w:val="20"/>
        </w:rPr>
        <w:t xml:space="preserve"> of 2022.</w:t>
      </w:r>
    </w:p>
    <w:p w14:paraId="74DDA494" w14:textId="77777777" w:rsidR="00584EC1" w:rsidRDefault="00871F8D">
      <w:pPr>
        <w:ind w:firstLine="450"/>
        <w:jc w:val="right"/>
      </w:pPr>
      <w:r>
        <w:rPr>
          <w:rFonts w:ascii="Arial" w:eastAsia="宋体" w:hAnsi="Arial" w:cs="Arial"/>
          <w:color w:val="000000"/>
          <w:sz w:val="18"/>
          <w:szCs w:val="18"/>
        </w:rPr>
        <w:t>State Street Corporation | 50</w:t>
      </w:r>
    </w:p>
    <w:p w14:paraId="74DDA495" w14:textId="77777777" w:rsidR="00584EC1" w:rsidRDefault="00584EC1">
      <w:pPr>
        <w:ind w:firstLine="450"/>
        <w:jc w:val="center"/>
      </w:pPr>
    </w:p>
    <w:p w14:paraId="74DDA496" w14:textId="77777777" w:rsidR="00584EC1" w:rsidRDefault="00871F8D">
      <w:r>
        <w:pict w14:anchorId="74DE2A20">
          <v:rect id="_x0000_i1074" style="width:415.3pt;height:1.5pt" o:hralign="center" o:hrstd="t" o:hr="t" fillcolor="#a0a0a0" stroked="f"/>
        </w:pict>
      </w:r>
    </w:p>
    <w:p w14:paraId="74DDA497" w14:textId="77777777" w:rsidR="00584EC1" w:rsidRDefault="00871F8D">
      <w:pPr>
        <w:ind w:firstLine="450"/>
        <w:jc w:val="center"/>
      </w:pPr>
      <w:r>
        <w:rPr>
          <w:rFonts w:ascii="Arial" w:eastAsia="宋体" w:hAnsi="Arial" w:cs="Arial"/>
          <w:b/>
          <w:bCs/>
          <w:color w:val="000000"/>
          <w:sz w:val="20"/>
          <w:szCs w:val="20"/>
        </w:rPr>
        <w:t>MANAGEMENT’S DISCUSSION AND ANALYSIS OF FINANCIAL CONDITION</w:t>
      </w:r>
    </w:p>
    <w:p w14:paraId="74DDA498" w14:textId="77777777" w:rsidR="00584EC1" w:rsidRDefault="00871F8D">
      <w:pPr>
        <w:ind w:firstLine="450"/>
        <w:jc w:val="center"/>
      </w:pPr>
      <w:r>
        <w:rPr>
          <w:rFonts w:ascii="Arial" w:eastAsia="宋体" w:hAnsi="Arial" w:cs="Arial"/>
          <w:b/>
          <w:bCs/>
          <w:color w:val="000000"/>
          <w:sz w:val="20"/>
          <w:szCs w:val="20"/>
        </w:rPr>
        <w:t>AND RESULTS OF OPERATIONS</w:t>
      </w:r>
    </w:p>
    <w:p w14:paraId="74DDA499" w14:textId="77777777" w:rsidR="00584EC1" w:rsidRDefault="00871F8D">
      <w:pPr>
        <w:spacing w:before="60"/>
        <w:ind w:firstLine="450"/>
      </w:pPr>
      <w:r>
        <w:rPr>
          <w:rFonts w:ascii="Arial" w:eastAsia="宋体" w:hAnsi="Arial" w:cs="Arial"/>
          <w:color w:val="000000"/>
          <w:sz w:val="20"/>
          <w:szCs w:val="20"/>
        </w:rPr>
        <w:t>The table below presents the activity under our common share repurchase program for the periods indicated:</w:t>
      </w:r>
    </w:p>
    <w:tbl>
      <w:tblPr>
        <w:tblW w:w="4963" w:type="pct"/>
        <w:tblCellMar>
          <w:top w:w="15" w:type="dxa"/>
          <w:left w:w="15" w:type="dxa"/>
          <w:bottom w:w="15" w:type="dxa"/>
          <w:right w:w="15" w:type="dxa"/>
        </w:tblCellMar>
        <w:tblLook w:val="04A0" w:firstRow="1" w:lastRow="0" w:firstColumn="1" w:lastColumn="0" w:noHBand="0" w:noVBand="1"/>
      </w:tblPr>
      <w:tblGrid>
        <w:gridCol w:w="36"/>
        <w:gridCol w:w="36"/>
        <w:gridCol w:w="36"/>
        <w:gridCol w:w="36"/>
        <w:gridCol w:w="36"/>
        <w:gridCol w:w="36"/>
        <w:gridCol w:w="61"/>
        <w:gridCol w:w="1123"/>
        <w:gridCol w:w="61"/>
        <w:gridCol w:w="37"/>
        <w:gridCol w:w="37"/>
        <w:gridCol w:w="37"/>
        <w:gridCol w:w="100"/>
        <w:gridCol w:w="1107"/>
        <w:gridCol w:w="38"/>
        <w:gridCol w:w="36"/>
        <w:gridCol w:w="36"/>
        <w:gridCol w:w="36"/>
        <w:gridCol w:w="99"/>
        <w:gridCol w:w="1108"/>
        <w:gridCol w:w="37"/>
        <w:gridCol w:w="36"/>
        <w:gridCol w:w="36"/>
        <w:gridCol w:w="36"/>
        <w:gridCol w:w="41"/>
        <w:gridCol w:w="1124"/>
        <w:gridCol w:w="36"/>
        <w:gridCol w:w="36"/>
        <w:gridCol w:w="36"/>
        <w:gridCol w:w="36"/>
        <w:gridCol w:w="99"/>
        <w:gridCol w:w="1155"/>
        <w:gridCol w:w="36"/>
        <w:gridCol w:w="36"/>
        <w:gridCol w:w="36"/>
        <w:gridCol w:w="36"/>
        <w:gridCol w:w="99"/>
        <w:gridCol w:w="1155"/>
        <w:gridCol w:w="36"/>
      </w:tblGrid>
      <w:tr w:rsidR="00584EC1" w14:paraId="74DDA4C1" w14:textId="77777777">
        <w:trPr>
          <w:hidden/>
        </w:trPr>
        <w:tc>
          <w:tcPr>
            <w:tcW w:w="0" w:type="auto"/>
            <w:shd w:val="clear" w:color="auto" w:fill="auto"/>
            <w:vAlign w:val="bottom"/>
          </w:tcPr>
          <w:p w14:paraId="74DDA49A" w14:textId="77777777" w:rsidR="00584EC1" w:rsidRDefault="00584EC1">
            <w:pPr>
              <w:rPr>
                <w:rFonts w:ascii="宋体"/>
                <w:vanish/>
              </w:rPr>
            </w:pPr>
          </w:p>
        </w:tc>
        <w:tc>
          <w:tcPr>
            <w:tcW w:w="0" w:type="auto"/>
            <w:shd w:val="clear" w:color="auto" w:fill="auto"/>
            <w:vAlign w:val="bottom"/>
          </w:tcPr>
          <w:p w14:paraId="74DDA49B" w14:textId="77777777" w:rsidR="00584EC1" w:rsidRDefault="00584EC1">
            <w:pPr>
              <w:rPr>
                <w:rFonts w:ascii="宋体"/>
                <w:vanish/>
              </w:rPr>
            </w:pPr>
          </w:p>
        </w:tc>
        <w:tc>
          <w:tcPr>
            <w:tcW w:w="0" w:type="auto"/>
            <w:shd w:val="clear" w:color="auto" w:fill="auto"/>
            <w:vAlign w:val="bottom"/>
          </w:tcPr>
          <w:p w14:paraId="74DDA49C" w14:textId="77777777" w:rsidR="00584EC1" w:rsidRDefault="00584EC1">
            <w:pPr>
              <w:rPr>
                <w:rFonts w:ascii="宋体"/>
                <w:vanish/>
              </w:rPr>
            </w:pPr>
          </w:p>
        </w:tc>
        <w:tc>
          <w:tcPr>
            <w:tcW w:w="0" w:type="auto"/>
            <w:shd w:val="clear" w:color="auto" w:fill="auto"/>
            <w:vAlign w:val="bottom"/>
          </w:tcPr>
          <w:p w14:paraId="74DDA49D" w14:textId="77777777" w:rsidR="00584EC1" w:rsidRDefault="00584EC1">
            <w:pPr>
              <w:rPr>
                <w:rFonts w:ascii="宋体"/>
                <w:vanish/>
              </w:rPr>
            </w:pPr>
          </w:p>
        </w:tc>
        <w:tc>
          <w:tcPr>
            <w:tcW w:w="0" w:type="auto"/>
            <w:shd w:val="clear" w:color="auto" w:fill="auto"/>
            <w:vAlign w:val="bottom"/>
          </w:tcPr>
          <w:p w14:paraId="74DDA49E" w14:textId="77777777" w:rsidR="00584EC1" w:rsidRDefault="00584EC1">
            <w:pPr>
              <w:rPr>
                <w:rFonts w:ascii="宋体"/>
                <w:vanish/>
              </w:rPr>
            </w:pPr>
          </w:p>
        </w:tc>
        <w:tc>
          <w:tcPr>
            <w:tcW w:w="0" w:type="auto"/>
            <w:shd w:val="clear" w:color="auto" w:fill="auto"/>
            <w:vAlign w:val="bottom"/>
          </w:tcPr>
          <w:p w14:paraId="74DDA49F" w14:textId="77777777" w:rsidR="00584EC1" w:rsidRDefault="00584EC1">
            <w:pPr>
              <w:rPr>
                <w:rFonts w:ascii="宋体"/>
                <w:vanish/>
              </w:rPr>
            </w:pPr>
          </w:p>
        </w:tc>
        <w:tc>
          <w:tcPr>
            <w:tcW w:w="50" w:type="pct"/>
            <w:shd w:val="clear" w:color="auto" w:fill="auto"/>
            <w:vAlign w:val="bottom"/>
          </w:tcPr>
          <w:p w14:paraId="74DDA4A0" w14:textId="77777777" w:rsidR="00584EC1" w:rsidRDefault="00584EC1">
            <w:pPr>
              <w:rPr>
                <w:rFonts w:ascii="宋体"/>
              </w:rPr>
            </w:pPr>
          </w:p>
        </w:tc>
        <w:tc>
          <w:tcPr>
            <w:tcW w:w="747" w:type="pct"/>
            <w:shd w:val="clear" w:color="auto" w:fill="auto"/>
            <w:vAlign w:val="bottom"/>
          </w:tcPr>
          <w:p w14:paraId="74DDA4A1" w14:textId="77777777" w:rsidR="00584EC1" w:rsidRDefault="00584EC1">
            <w:pPr>
              <w:rPr>
                <w:rFonts w:ascii="宋体"/>
              </w:rPr>
            </w:pPr>
          </w:p>
        </w:tc>
        <w:tc>
          <w:tcPr>
            <w:tcW w:w="5" w:type="pct"/>
            <w:shd w:val="clear" w:color="auto" w:fill="auto"/>
            <w:vAlign w:val="bottom"/>
          </w:tcPr>
          <w:p w14:paraId="74DDA4A2" w14:textId="77777777" w:rsidR="00584EC1" w:rsidRDefault="00584EC1">
            <w:pPr>
              <w:rPr>
                <w:rFonts w:ascii="宋体"/>
              </w:rPr>
            </w:pPr>
          </w:p>
        </w:tc>
        <w:tc>
          <w:tcPr>
            <w:tcW w:w="5" w:type="pct"/>
            <w:shd w:val="clear" w:color="auto" w:fill="auto"/>
            <w:vAlign w:val="bottom"/>
          </w:tcPr>
          <w:p w14:paraId="74DDA4A3" w14:textId="77777777" w:rsidR="00584EC1" w:rsidRDefault="00584EC1">
            <w:pPr>
              <w:rPr>
                <w:rFonts w:ascii="宋体"/>
              </w:rPr>
            </w:pPr>
          </w:p>
        </w:tc>
        <w:tc>
          <w:tcPr>
            <w:tcW w:w="26" w:type="pct"/>
            <w:shd w:val="clear" w:color="auto" w:fill="auto"/>
            <w:vAlign w:val="bottom"/>
          </w:tcPr>
          <w:p w14:paraId="74DDA4A4" w14:textId="77777777" w:rsidR="00584EC1" w:rsidRDefault="00584EC1">
            <w:pPr>
              <w:rPr>
                <w:rFonts w:ascii="宋体"/>
              </w:rPr>
            </w:pPr>
          </w:p>
        </w:tc>
        <w:tc>
          <w:tcPr>
            <w:tcW w:w="5" w:type="pct"/>
            <w:shd w:val="clear" w:color="auto" w:fill="auto"/>
            <w:vAlign w:val="bottom"/>
          </w:tcPr>
          <w:p w14:paraId="74DDA4A5" w14:textId="77777777" w:rsidR="00584EC1" w:rsidRDefault="00584EC1">
            <w:pPr>
              <w:rPr>
                <w:rFonts w:ascii="宋体"/>
              </w:rPr>
            </w:pPr>
          </w:p>
        </w:tc>
        <w:tc>
          <w:tcPr>
            <w:tcW w:w="50" w:type="pct"/>
            <w:shd w:val="clear" w:color="auto" w:fill="auto"/>
            <w:vAlign w:val="bottom"/>
          </w:tcPr>
          <w:p w14:paraId="74DDA4A6" w14:textId="77777777" w:rsidR="00584EC1" w:rsidRDefault="00584EC1">
            <w:pPr>
              <w:rPr>
                <w:rFonts w:ascii="宋体"/>
              </w:rPr>
            </w:pPr>
          </w:p>
        </w:tc>
        <w:tc>
          <w:tcPr>
            <w:tcW w:w="747" w:type="pct"/>
            <w:shd w:val="clear" w:color="auto" w:fill="auto"/>
            <w:vAlign w:val="bottom"/>
          </w:tcPr>
          <w:p w14:paraId="74DDA4A7" w14:textId="77777777" w:rsidR="00584EC1" w:rsidRDefault="00584EC1">
            <w:pPr>
              <w:rPr>
                <w:rFonts w:ascii="宋体"/>
              </w:rPr>
            </w:pPr>
          </w:p>
        </w:tc>
        <w:tc>
          <w:tcPr>
            <w:tcW w:w="5" w:type="pct"/>
            <w:shd w:val="clear" w:color="auto" w:fill="auto"/>
            <w:vAlign w:val="bottom"/>
          </w:tcPr>
          <w:p w14:paraId="74DDA4A8" w14:textId="77777777" w:rsidR="00584EC1" w:rsidRDefault="00584EC1">
            <w:pPr>
              <w:rPr>
                <w:rFonts w:ascii="宋体"/>
              </w:rPr>
            </w:pPr>
          </w:p>
        </w:tc>
        <w:tc>
          <w:tcPr>
            <w:tcW w:w="5" w:type="pct"/>
            <w:shd w:val="clear" w:color="auto" w:fill="auto"/>
            <w:vAlign w:val="bottom"/>
          </w:tcPr>
          <w:p w14:paraId="74DDA4A9" w14:textId="77777777" w:rsidR="00584EC1" w:rsidRDefault="00584EC1">
            <w:pPr>
              <w:rPr>
                <w:rFonts w:ascii="宋体"/>
              </w:rPr>
            </w:pPr>
          </w:p>
        </w:tc>
        <w:tc>
          <w:tcPr>
            <w:tcW w:w="26" w:type="pct"/>
            <w:shd w:val="clear" w:color="auto" w:fill="auto"/>
            <w:vAlign w:val="bottom"/>
          </w:tcPr>
          <w:p w14:paraId="74DDA4AA" w14:textId="77777777" w:rsidR="00584EC1" w:rsidRDefault="00584EC1">
            <w:pPr>
              <w:rPr>
                <w:rFonts w:ascii="宋体"/>
              </w:rPr>
            </w:pPr>
          </w:p>
        </w:tc>
        <w:tc>
          <w:tcPr>
            <w:tcW w:w="5" w:type="pct"/>
            <w:shd w:val="clear" w:color="auto" w:fill="auto"/>
            <w:vAlign w:val="bottom"/>
          </w:tcPr>
          <w:p w14:paraId="74DDA4AB" w14:textId="77777777" w:rsidR="00584EC1" w:rsidRDefault="00584EC1">
            <w:pPr>
              <w:rPr>
                <w:rFonts w:ascii="宋体"/>
              </w:rPr>
            </w:pPr>
          </w:p>
        </w:tc>
        <w:tc>
          <w:tcPr>
            <w:tcW w:w="50" w:type="pct"/>
            <w:shd w:val="clear" w:color="auto" w:fill="auto"/>
            <w:vAlign w:val="bottom"/>
          </w:tcPr>
          <w:p w14:paraId="74DDA4AC" w14:textId="77777777" w:rsidR="00584EC1" w:rsidRDefault="00584EC1">
            <w:pPr>
              <w:rPr>
                <w:rFonts w:ascii="宋体"/>
              </w:rPr>
            </w:pPr>
          </w:p>
        </w:tc>
        <w:tc>
          <w:tcPr>
            <w:tcW w:w="747" w:type="pct"/>
            <w:shd w:val="clear" w:color="auto" w:fill="auto"/>
            <w:vAlign w:val="bottom"/>
          </w:tcPr>
          <w:p w14:paraId="74DDA4AD" w14:textId="77777777" w:rsidR="00584EC1" w:rsidRDefault="00584EC1">
            <w:pPr>
              <w:rPr>
                <w:rFonts w:ascii="宋体"/>
              </w:rPr>
            </w:pPr>
          </w:p>
        </w:tc>
        <w:tc>
          <w:tcPr>
            <w:tcW w:w="5" w:type="pct"/>
            <w:shd w:val="clear" w:color="auto" w:fill="auto"/>
            <w:vAlign w:val="bottom"/>
          </w:tcPr>
          <w:p w14:paraId="74DDA4AE" w14:textId="77777777" w:rsidR="00584EC1" w:rsidRDefault="00584EC1">
            <w:pPr>
              <w:rPr>
                <w:rFonts w:ascii="宋体"/>
              </w:rPr>
            </w:pPr>
          </w:p>
        </w:tc>
        <w:tc>
          <w:tcPr>
            <w:tcW w:w="5" w:type="pct"/>
            <w:shd w:val="clear" w:color="auto" w:fill="auto"/>
            <w:vAlign w:val="bottom"/>
          </w:tcPr>
          <w:p w14:paraId="74DDA4AF" w14:textId="77777777" w:rsidR="00584EC1" w:rsidRDefault="00584EC1">
            <w:pPr>
              <w:rPr>
                <w:rFonts w:ascii="宋体"/>
              </w:rPr>
            </w:pPr>
          </w:p>
        </w:tc>
        <w:tc>
          <w:tcPr>
            <w:tcW w:w="41" w:type="pct"/>
            <w:shd w:val="clear" w:color="auto" w:fill="auto"/>
            <w:vAlign w:val="bottom"/>
          </w:tcPr>
          <w:p w14:paraId="74DDA4B0" w14:textId="77777777" w:rsidR="00584EC1" w:rsidRDefault="00584EC1">
            <w:pPr>
              <w:rPr>
                <w:rFonts w:ascii="宋体"/>
              </w:rPr>
            </w:pPr>
          </w:p>
        </w:tc>
        <w:tc>
          <w:tcPr>
            <w:tcW w:w="5" w:type="pct"/>
            <w:shd w:val="clear" w:color="auto" w:fill="auto"/>
            <w:vAlign w:val="bottom"/>
          </w:tcPr>
          <w:p w14:paraId="74DDA4B1" w14:textId="77777777" w:rsidR="00584EC1" w:rsidRDefault="00584EC1">
            <w:pPr>
              <w:rPr>
                <w:rFonts w:ascii="宋体"/>
              </w:rPr>
            </w:pPr>
          </w:p>
        </w:tc>
        <w:tc>
          <w:tcPr>
            <w:tcW w:w="50" w:type="pct"/>
            <w:shd w:val="clear" w:color="auto" w:fill="auto"/>
            <w:vAlign w:val="bottom"/>
          </w:tcPr>
          <w:p w14:paraId="74DDA4B2" w14:textId="77777777" w:rsidR="00584EC1" w:rsidRDefault="00584EC1">
            <w:pPr>
              <w:rPr>
                <w:rFonts w:ascii="宋体"/>
              </w:rPr>
            </w:pPr>
          </w:p>
        </w:tc>
        <w:tc>
          <w:tcPr>
            <w:tcW w:w="747" w:type="pct"/>
            <w:shd w:val="clear" w:color="auto" w:fill="auto"/>
            <w:vAlign w:val="bottom"/>
          </w:tcPr>
          <w:p w14:paraId="74DDA4B3" w14:textId="77777777" w:rsidR="00584EC1" w:rsidRDefault="00584EC1">
            <w:pPr>
              <w:rPr>
                <w:rFonts w:ascii="宋体"/>
              </w:rPr>
            </w:pPr>
          </w:p>
        </w:tc>
        <w:tc>
          <w:tcPr>
            <w:tcW w:w="5" w:type="pct"/>
            <w:shd w:val="clear" w:color="auto" w:fill="auto"/>
            <w:vAlign w:val="bottom"/>
          </w:tcPr>
          <w:p w14:paraId="74DDA4B4" w14:textId="77777777" w:rsidR="00584EC1" w:rsidRDefault="00584EC1">
            <w:pPr>
              <w:rPr>
                <w:rFonts w:ascii="宋体"/>
              </w:rPr>
            </w:pPr>
          </w:p>
        </w:tc>
        <w:tc>
          <w:tcPr>
            <w:tcW w:w="5" w:type="pct"/>
            <w:shd w:val="clear" w:color="auto" w:fill="auto"/>
            <w:vAlign w:val="bottom"/>
          </w:tcPr>
          <w:p w14:paraId="74DDA4B5" w14:textId="77777777" w:rsidR="00584EC1" w:rsidRDefault="00584EC1">
            <w:pPr>
              <w:rPr>
                <w:rFonts w:ascii="宋体"/>
              </w:rPr>
            </w:pPr>
          </w:p>
        </w:tc>
        <w:tc>
          <w:tcPr>
            <w:tcW w:w="19" w:type="pct"/>
            <w:shd w:val="clear" w:color="auto" w:fill="auto"/>
            <w:vAlign w:val="bottom"/>
          </w:tcPr>
          <w:p w14:paraId="74DDA4B6" w14:textId="77777777" w:rsidR="00584EC1" w:rsidRDefault="00584EC1">
            <w:pPr>
              <w:rPr>
                <w:rFonts w:ascii="宋体"/>
              </w:rPr>
            </w:pPr>
          </w:p>
        </w:tc>
        <w:tc>
          <w:tcPr>
            <w:tcW w:w="5" w:type="pct"/>
            <w:shd w:val="clear" w:color="auto" w:fill="auto"/>
            <w:vAlign w:val="bottom"/>
          </w:tcPr>
          <w:p w14:paraId="74DDA4B7" w14:textId="77777777" w:rsidR="00584EC1" w:rsidRDefault="00584EC1">
            <w:pPr>
              <w:rPr>
                <w:rFonts w:ascii="宋体"/>
              </w:rPr>
            </w:pPr>
          </w:p>
        </w:tc>
        <w:tc>
          <w:tcPr>
            <w:tcW w:w="50" w:type="pct"/>
            <w:shd w:val="clear" w:color="auto" w:fill="auto"/>
            <w:vAlign w:val="bottom"/>
          </w:tcPr>
          <w:p w14:paraId="74DDA4B8" w14:textId="77777777" w:rsidR="00584EC1" w:rsidRDefault="00584EC1">
            <w:pPr>
              <w:rPr>
                <w:rFonts w:ascii="宋体"/>
              </w:rPr>
            </w:pPr>
          </w:p>
        </w:tc>
        <w:tc>
          <w:tcPr>
            <w:tcW w:w="747" w:type="pct"/>
            <w:shd w:val="clear" w:color="auto" w:fill="auto"/>
            <w:vAlign w:val="bottom"/>
          </w:tcPr>
          <w:p w14:paraId="74DDA4B9" w14:textId="77777777" w:rsidR="00584EC1" w:rsidRDefault="00584EC1">
            <w:pPr>
              <w:rPr>
                <w:rFonts w:ascii="宋体"/>
              </w:rPr>
            </w:pPr>
          </w:p>
        </w:tc>
        <w:tc>
          <w:tcPr>
            <w:tcW w:w="5" w:type="pct"/>
            <w:shd w:val="clear" w:color="auto" w:fill="auto"/>
            <w:vAlign w:val="bottom"/>
          </w:tcPr>
          <w:p w14:paraId="74DDA4BA" w14:textId="77777777" w:rsidR="00584EC1" w:rsidRDefault="00584EC1">
            <w:pPr>
              <w:rPr>
                <w:rFonts w:ascii="宋体"/>
              </w:rPr>
            </w:pPr>
          </w:p>
        </w:tc>
        <w:tc>
          <w:tcPr>
            <w:tcW w:w="5" w:type="pct"/>
            <w:shd w:val="clear" w:color="auto" w:fill="auto"/>
            <w:vAlign w:val="bottom"/>
          </w:tcPr>
          <w:p w14:paraId="74DDA4BB" w14:textId="77777777" w:rsidR="00584EC1" w:rsidRDefault="00584EC1">
            <w:pPr>
              <w:rPr>
                <w:rFonts w:ascii="宋体"/>
              </w:rPr>
            </w:pPr>
          </w:p>
        </w:tc>
        <w:tc>
          <w:tcPr>
            <w:tcW w:w="19" w:type="pct"/>
            <w:shd w:val="clear" w:color="auto" w:fill="auto"/>
            <w:vAlign w:val="bottom"/>
          </w:tcPr>
          <w:p w14:paraId="74DDA4BC" w14:textId="77777777" w:rsidR="00584EC1" w:rsidRDefault="00584EC1">
            <w:pPr>
              <w:rPr>
                <w:rFonts w:ascii="宋体"/>
              </w:rPr>
            </w:pPr>
          </w:p>
        </w:tc>
        <w:tc>
          <w:tcPr>
            <w:tcW w:w="5" w:type="pct"/>
            <w:shd w:val="clear" w:color="auto" w:fill="auto"/>
            <w:vAlign w:val="bottom"/>
          </w:tcPr>
          <w:p w14:paraId="74DDA4BD" w14:textId="77777777" w:rsidR="00584EC1" w:rsidRDefault="00584EC1">
            <w:pPr>
              <w:rPr>
                <w:rFonts w:ascii="宋体"/>
              </w:rPr>
            </w:pPr>
          </w:p>
        </w:tc>
        <w:tc>
          <w:tcPr>
            <w:tcW w:w="50" w:type="pct"/>
            <w:shd w:val="clear" w:color="auto" w:fill="auto"/>
            <w:vAlign w:val="bottom"/>
          </w:tcPr>
          <w:p w14:paraId="74DDA4BE" w14:textId="77777777" w:rsidR="00584EC1" w:rsidRDefault="00584EC1">
            <w:pPr>
              <w:rPr>
                <w:rFonts w:ascii="宋体"/>
              </w:rPr>
            </w:pPr>
          </w:p>
        </w:tc>
        <w:tc>
          <w:tcPr>
            <w:tcW w:w="747" w:type="pct"/>
            <w:shd w:val="clear" w:color="auto" w:fill="auto"/>
            <w:vAlign w:val="bottom"/>
          </w:tcPr>
          <w:p w14:paraId="74DDA4BF" w14:textId="77777777" w:rsidR="00584EC1" w:rsidRDefault="00584EC1">
            <w:pPr>
              <w:rPr>
                <w:rFonts w:ascii="宋体"/>
              </w:rPr>
            </w:pPr>
          </w:p>
        </w:tc>
        <w:tc>
          <w:tcPr>
            <w:tcW w:w="5" w:type="pct"/>
            <w:shd w:val="clear" w:color="auto" w:fill="auto"/>
            <w:vAlign w:val="bottom"/>
          </w:tcPr>
          <w:p w14:paraId="74DDA4C0" w14:textId="77777777" w:rsidR="00584EC1" w:rsidRDefault="00584EC1">
            <w:pPr>
              <w:rPr>
                <w:rFonts w:ascii="宋体"/>
              </w:rPr>
            </w:pPr>
          </w:p>
        </w:tc>
      </w:tr>
      <w:tr w:rsidR="00584EC1" w14:paraId="74DDA4CF" w14:textId="77777777">
        <w:trPr>
          <w:hidden/>
        </w:trPr>
        <w:tc>
          <w:tcPr>
            <w:tcW w:w="0" w:type="auto"/>
            <w:shd w:val="clear" w:color="auto" w:fill="auto"/>
            <w:vAlign w:val="bottom"/>
          </w:tcPr>
          <w:p w14:paraId="74DDA4C2" w14:textId="77777777" w:rsidR="00584EC1" w:rsidRDefault="00584EC1">
            <w:pPr>
              <w:rPr>
                <w:rFonts w:ascii="宋体"/>
                <w:vanish/>
              </w:rPr>
            </w:pPr>
          </w:p>
        </w:tc>
        <w:tc>
          <w:tcPr>
            <w:tcW w:w="0" w:type="auto"/>
            <w:shd w:val="clear" w:color="auto" w:fill="auto"/>
            <w:vAlign w:val="bottom"/>
          </w:tcPr>
          <w:p w14:paraId="74DDA4C3" w14:textId="77777777" w:rsidR="00584EC1" w:rsidRDefault="00584EC1">
            <w:pPr>
              <w:rPr>
                <w:rFonts w:ascii="宋体"/>
                <w:vanish/>
              </w:rPr>
            </w:pPr>
          </w:p>
        </w:tc>
        <w:tc>
          <w:tcPr>
            <w:tcW w:w="0" w:type="auto"/>
            <w:shd w:val="clear" w:color="auto" w:fill="auto"/>
            <w:vAlign w:val="bottom"/>
          </w:tcPr>
          <w:p w14:paraId="74DDA4C4" w14:textId="77777777" w:rsidR="00584EC1" w:rsidRDefault="00584EC1">
            <w:pPr>
              <w:rPr>
                <w:rFonts w:ascii="宋体"/>
                <w:vanish/>
              </w:rPr>
            </w:pPr>
          </w:p>
        </w:tc>
        <w:tc>
          <w:tcPr>
            <w:tcW w:w="0" w:type="auto"/>
            <w:shd w:val="clear" w:color="auto" w:fill="auto"/>
            <w:vAlign w:val="bottom"/>
          </w:tcPr>
          <w:p w14:paraId="74DDA4C5" w14:textId="77777777" w:rsidR="00584EC1" w:rsidRDefault="00584EC1">
            <w:pPr>
              <w:rPr>
                <w:rFonts w:ascii="宋体"/>
                <w:vanish/>
              </w:rPr>
            </w:pPr>
          </w:p>
        </w:tc>
        <w:tc>
          <w:tcPr>
            <w:tcW w:w="0" w:type="auto"/>
            <w:shd w:val="clear" w:color="auto" w:fill="auto"/>
            <w:vAlign w:val="bottom"/>
          </w:tcPr>
          <w:p w14:paraId="74DDA4C6" w14:textId="77777777" w:rsidR="00584EC1" w:rsidRDefault="00584EC1">
            <w:pPr>
              <w:rPr>
                <w:rFonts w:ascii="宋体"/>
                <w:vanish/>
              </w:rPr>
            </w:pPr>
          </w:p>
        </w:tc>
        <w:tc>
          <w:tcPr>
            <w:tcW w:w="0" w:type="auto"/>
            <w:shd w:val="clear" w:color="auto" w:fill="auto"/>
            <w:vAlign w:val="bottom"/>
          </w:tcPr>
          <w:p w14:paraId="74DDA4C7" w14:textId="77777777" w:rsidR="00584EC1" w:rsidRDefault="00584EC1">
            <w:pPr>
              <w:rPr>
                <w:rFonts w:ascii="宋体"/>
                <w:vanish/>
              </w:rPr>
            </w:pPr>
          </w:p>
        </w:tc>
        <w:tc>
          <w:tcPr>
            <w:tcW w:w="0" w:type="auto"/>
            <w:gridSpan w:val="15"/>
            <w:shd w:val="clear" w:color="auto" w:fill="auto"/>
            <w:tcMar>
              <w:top w:w="40" w:type="dxa"/>
              <w:left w:w="20" w:type="dxa"/>
              <w:bottom w:w="40" w:type="dxa"/>
              <w:right w:w="20" w:type="dxa"/>
            </w:tcMar>
            <w:vAlign w:val="bottom"/>
          </w:tcPr>
          <w:p w14:paraId="74DDA4C8" w14:textId="77777777" w:rsidR="00584EC1" w:rsidRDefault="00871F8D">
            <w:pPr>
              <w:textAlignment w:val="bottom"/>
            </w:pPr>
            <w:r>
              <w:rPr>
                <w:rFonts w:ascii="Arial" w:eastAsia="宋体" w:hAnsi="Arial" w:cs="Arial"/>
                <w:b/>
                <w:bCs/>
                <w:color w:val="000000"/>
                <w:sz w:val="16"/>
                <w:szCs w:val="16"/>
              </w:rPr>
              <w:t>TABLE 42: SHARES REPURCHASED</w:t>
            </w:r>
          </w:p>
        </w:tc>
        <w:tc>
          <w:tcPr>
            <w:tcW w:w="0" w:type="auto"/>
            <w:gridSpan w:val="3"/>
            <w:shd w:val="clear" w:color="auto" w:fill="auto"/>
            <w:tcMar>
              <w:top w:w="0" w:type="dxa"/>
              <w:left w:w="20" w:type="dxa"/>
              <w:bottom w:w="0" w:type="dxa"/>
              <w:right w:w="20" w:type="dxa"/>
            </w:tcMar>
            <w:vAlign w:val="bottom"/>
          </w:tcPr>
          <w:p w14:paraId="74DDA4C9"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A4CA"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A4CB"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A4CC"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A4CD"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A4CE" w14:textId="77777777" w:rsidR="00584EC1" w:rsidRDefault="00584EC1">
            <w:pPr>
              <w:rPr>
                <w:rFonts w:ascii="宋体"/>
              </w:rPr>
            </w:pPr>
          </w:p>
        </w:tc>
      </w:tr>
      <w:tr w:rsidR="00584EC1" w14:paraId="74DDA4E1" w14:textId="77777777">
        <w:trPr>
          <w:hidden/>
        </w:trPr>
        <w:tc>
          <w:tcPr>
            <w:tcW w:w="0" w:type="auto"/>
            <w:shd w:val="clear" w:color="auto" w:fill="auto"/>
            <w:vAlign w:val="bottom"/>
          </w:tcPr>
          <w:p w14:paraId="74DDA4D0" w14:textId="77777777" w:rsidR="00584EC1" w:rsidRDefault="00584EC1">
            <w:pPr>
              <w:rPr>
                <w:rFonts w:ascii="宋体"/>
                <w:vanish/>
              </w:rPr>
            </w:pPr>
          </w:p>
        </w:tc>
        <w:tc>
          <w:tcPr>
            <w:tcW w:w="0" w:type="auto"/>
            <w:shd w:val="clear" w:color="auto" w:fill="auto"/>
            <w:vAlign w:val="bottom"/>
          </w:tcPr>
          <w:p w14:paraId="74DDA4D1" w14:textId="77777777" w:rsidR="00584EC1" w:rsidRDefault="00584EC1">
            <w:pPr>
              <w:rPr>
                <w:rFonts w:ascii="宋体"/>
                <w:vanish/>
              </w:rPr>
            </w:pPr>
          </w:p>
        </w:tc>
        <w:tc>
          <w:tcPr>
            <w:tcW w:w="0" w:type="auto"/>
            <w:gridSpan w:val="7"/>
            <w:shd w:val="clear" w:color="auto" w:fill="auto"/>
            <w:tcMar>
              <w:top w:w="40" w:type="dxa"/>
              <w:left w:w="20" w:type="dxa"/>
              <w:bottom w:w="40" w:type="dxa"/>
              <w:right w:w="20" w:type="dxa"/>
            </w:tcMar>
            <w:vAlign w:val="bottom"/>
          </w:tcPr>
          <w:p w14:paraId="74DDA4D2" w14:textId="77777777" w:rsidR="00584EC1" w:rsidRDefault="00871F8D">
            <w:pPr>
              <w:jc w:val="center"/>
              <w:textAlignment w:val="bottom"/>
            </w:pPr>
            <w:r>
              <w:rPr>
                <w:rFonts w:ascii="Arial" w:eastAsia="宋体" w:hAnsi="Arial" w:cs="Arial"/>
                <w:b/>
                <w:bCs/>
                <w:color w:val="000000"/>
                <w:sz w:val="14"/>
                <w:szCs w:val="14"/>
              </w:rPr>
              <w:t>Three Months Ended September 30, 2021</w:t>
            </w:r>
          </w:p>
        </w:tc>
        <w:tc>
          <w:tcPr>
            <w:tcW w:w="0" w:type="auto"/>
            <w:gridSpan w:val="3"/>
            <w:shd w:val="clear" w:color="auto" w:fill="auto"/>
            <w:tcMar>
              <w:top w:w="0" w:type="dxa"/>
              <w:left w:w="20" w:type="dxa"/>
              <w:bottom w:w="0" w:type="dxa"/>
              <w:right w:w="20" w:type="dxa"/>
            </w:tcMar>
            <w:vAlign w:val="bottom"/>
          </w:tcPr>
          <w:p w14:paraId="74DDA4D3" w14:textId="77777777" w:rsidR="00584EC1" w:rsidRDefault="00584EC1">
            <w:pPr>
              <w:rPr>
                <w:rFonts w:ascii="宋体"/>
              </w:rPr>
            </w:pPr>
          </w:p>
        </w:tc>
        <w:tc>
          <w:tcPr>
            <w:tcW w:w="0" w:type="auto"/>
            <w:gridSpan w:val="15"/>
            <w:shd w:val="clear" w:color="auto" w:fill="auto"/>
            <w:tcMar>
              <w:top w:w="40" w:type="dxa"/>
              <w:left w:w="20" w:type="dxa"/>
              <w:bottom w:w="40" w:type="dxa"/>
              <w:right w:w="20" w:type="dxa"/>
            </w:tcMar>
            <w:vAlign w:val="bottom"/>
          </w:tcPr>
          <w:p w14:paraId="74DDA4D4" w14:textId="77777777" w:rsidR="00584EC1" w:rsidRDefault="00871F8D">
            <w:pPr>
              <w:jc w:val="center"/>
              <w:textAlignment w:val="bottom"/>
            </w:pPr>
            <w:r>
              <w:rPr>
                <w:rFonts w:ascii="Arial" w:eastAsia="宋体" w:hAnsi="Arial" w:cs="Arial"/>
                <w:b/>
                <w:bCs/>
                <w:color w:val="000000"/>
                <w:sz w:val="14"/>
                <w:szCs w:val="14"/>
              </w:rPr>
              <w:t xml:space="preserve">Nine Months </w:t>
            </w:r>
            <w:r>
              <w:rPr>
                <w:rFonts w:ascii="Arial" w:eastAsia="宋体" w:hAnsi="Arial" w:cs="Arial"/>
                <w:b/>
                <w:bCs/>
                <w:color w:val="000000"/>
                <w:sz w:val="14"/>
                <w:szCs w:val="14"/>
              </w:rPr>
              <w:t>Ended September 30, 2021</w:t>
            </w:r>
          </w:p>
        </w:tc>
        <w:tc>
          <w:tcPr>
            <w:tcW w:w="0" w:type="auto"/>
            <w:shd w:val="clear" w:color="auto" w:fill="auto"/>
            <w:vAlign w:val="bottom"/>
          </w:tcPr>
          <w:p w14:paraId="74DDA4D5" w14:textId="77777777" w:rsidR="00584EC1" w:rsidRDefault="00584EC1">
            <w:pPr>
              <w:rPr>
                <w:rFonts w:ascii="宋体"/>
              </w:rPr>
            </w:pPr>
          </w:p>
        </w:tc>
        <w:tc>
          <w:tcPr>
            <w:tcW w:w="0" w:type="auto"/>
            <w:shd w:val="clear" w:color="auto" w:fill="auto"/>
            <w:vAlign w:val="bottom"/>
          </w:tcPr>
          <w:p w14:paraId="74DDA4D6" w14:textId="77777777" w:rsidR="00584EC1" w:rsidRDefault="00584EC1">
            <w:pPr>
              <w:rPr>
                <w:rFonts w:ascii="宋体"/>
              </w:rPr>
            </w:pPr>
          </w:p>
        </w:tc>
        <w:tc>
          <w:tcPr>
            <w:tcW w:w="0" w:type="auto"/>
            <w:shd w:val="clear" w:color="auto" w:fill="auto"/>
            <w:vAlign w:val="bottom"/>
          </w:tcPr>
          <w:p w14:paraId="74DDA4D7" w14:textId="77777777" w:rsidR="00584EC1" w:rsidRDefault="00584EC1">
            <w:pPr>
              <w:rPr>
                <w:rFonts w:ascii="宋体"/>
              </w:rPr>
            </w:pPr>
          </w:p>
        </w:tc>
        <w:tc>
          <w:tcPr>
            <w:tcW w:w="0" w:type="auto"/>
            <w:shd w:val="clear" w:color="auto" w:fill="auto"/>
            <w:vAlign w:val="bottom"/>
          </w:tcPr>
          <w:p w14:paraId="74DDA4D8" w14:textId="77777777" w:rsidR="00584EC1" w:rsidRDefault="00584EC1">
            <w:pPr>
              <w:rPr>
                <w:rFonts w:ascii="宋体"/>
              </w:rPr>
            </w:pPr>
          </w:p>
        </w:tc>
        <w:tc>
          <w:tcPr>
            <w:tcW w:w="0" w:type="auto"/>
            <w:shd w:val="clear" w:color="auto" w:fill="auto"/>
            <w:vAlign w:val="bottom"/>
          </w:tcPr>
          <w:p w14:paraId="74DDA4D9" w14:textId="77777777" w:rsidR="00584EC1" w:rsidRDefault="00584EC1">
            <w:pPr>
              <w:rPr>
                <w:rFonts w:ascii="宋体"/>
              </w:rPr>
            </w:pPr>
          </w:p>
        </w:tc>
        <w:tc>
          <w:tcPr>
            <w:tcW w:w="0" w:type="auto"/>
            <w:shd w:val="clear" w:color="auto" w:fill="auto"/>
            <w:vAlign w:val="bottom"/>
          </w:tcPr>
          <w:p w14:paraId="74DDA4DA" w14:textId="77777777" w:rsidR="00584EC1" w:rsidRDefault="00584EC1">
            <w:pPr>
              <w:rPr>
                <w:rFonts w:ascii="宋体"/>
              </w:rPr>
            </w:pPr>
          </w:p>
        </w:tc>
        <w:tc>
          <w:tcPr>
            <w:tcW w:w="0" w:type="auto"/>
            <w:shd w:val="clear" w:color="auto" w:fill="auto"/>
            <w:vAlign w:val="bottom"/>
          </w:tcPr>
          <w:p w14:paraId="74DDA4DB" w14:textId="77777777" w:rsidR="00584EC1" w:rsidRDefault="00584EC1">
            <w:pPr>
              <w:rPr>
                <w:rFonts w:ascii="宋体"/>
              </w:rPr>
            </w:pPr>
          </w:p>
        </w:tc>
        <w:tc>
          <w:tcPr>
            <w:tcW w:w="0" w:type="auto"/>
            <w:shd w:val="clear" w:color="auto" w:fill="auto"/>
            <w:vAlign w:val="bottom"/>
          </w:tcPr>
          <w:p w14:paraId="74DDA4DC" w14:textId="77777777" w:rsidR="00584EC1" w:rsidRDefault="00584EC1">
            <w:pPr>
              <w:rPr>
                <w:rFonts w:ascii="宋体"/>
              </w:rPr>
            </w:pPr>
          </w:p>
        </w:tc>
        <w:tc>
          <w:tcPr>
            <w:tcW w:w="0" w:type="auto"/>
            <w:shd w:val="clear" w:color="auto" w:fill="auto"/>
            <w:vAlign w:val="bottom"/>
          </w:tcPr>
          <w:p w14:paraId="74DDA4DD" w14:textId="77777777" w:rsidR="00584EC1" w:rsidRDefault="00584EC1">
            <w:pPr>
              <w:rPr>
                <w:rFonts w:ascii="宋体"/>
              </w:rPr>
            </w:pPr>
          </w:p>
        </w:tc>
        <w:tc>
          <w:tcPr>
            <w:tcW w:w="0" w:type="auto"/>
            <w:shd w:val="clear" w:color="auto" w:fill="auto"/>
            <w:vAlign w:val="bottom"/>
          </w:tcPr>
          <w:p w14:paraId="74DDA4DE" w14:textId="77777777" w:rsidR="00584EC1" w:rsidRDefault="00584EC1">
            <w:pPr>
              <w:rPr>
                <w:rFonts w:ascii="宋体"/>
              </w:rPr>
            </w:pPr>
          </w:p>
        </w:tc>
        <w:tc>
          <w:tcPr>
            <w:tcW w:w="0" w:type="auto"/>
            <w:shd w:val="clear" w:color="auto" w:fill="auto"/>
            <w:vAlign w:val="bottom"/>
          </w:tcPr>
          <w:p w14:paraId="74DDA4DF" w14:textId="77777777" w:rsidR="00584EC1" w:rsidRDefault="00584EC1">
            <w:pPr>
              <w:rPr>
                <w:rFonts w:ascii="宋体"/>
              </w:rPr>
            </w:pPr>
          </w:p>
        </w:tc>
        <w:tc>
          <w:tcPr>
            <w:tcW w:w="0" w:type="auto"/>
            <w:shd w:val="clear" w:color="auto" w:fill="auto"/>
            <w:vAlign w:val="bottom"/>
          </w:tcPr>
          <w:p w14:paraId="74DDA4E0" w14:textId="77777777" w:rsidR="00584EC1" w:rsidRDefault="00584EC1">
            <w:pPr>
              <w:rPr>
                <w:rFonts w:ascii="宋体"/>
              </w:rPr>
            </w:pPr>
          </w:p>
        </w:tc>
      </w:tr>
      <w:tr w:rsidR="00584EC1" w14:paraId="74DDA4F3" w14:textId="77777777">
        <w:trPr>
          <w:hidden/>
        </w:trPr>
        <w:tc>
          <w:tcPr>
            <w:tcW w:w="0" w:type="auto"/>
            <w:shd w:val="clear" w:color="auto" w:fill="auto"/>
            <w:vAlign w:val="bottom"/>
          </w:tcPr>
          <w:p w14:paraId="74DDA4E2" w14:textId="77777777" w:rsidR="00584EC1" w:rsidRDefault="00584EC1">
            <w:pPr>
              <w:rPr>
                <w:rFonts w:ascii="宋体"/>
                <w:vanish/>
              </w:rPr>
            </w:pPr>
          </w:p>
        </w:tc>
        <w:tc>
          <w:tcPr>
            <w:tcW w:w="0" w:type="auto"/>
            <w:shd w:val="clear" w:color="auto" w:fill="auto"/>
            <w:vAlign w:val="bottom"/>
          </w:tcPr>
          <w:p w14:paraId="74DDA4E3" w14:textId="77777777" w:rsidR="00584EC1" w:rsidRDefault="00584EC1">
            <w:pPr>
              <w:rPr>
                <w:rFonts w:ascii="宋体"/>
                <w:vanish/>
              </w:rPr>
            </w:pPr>
          </w:p>
        </w:tc>
        <w:tc>
          <w:tcPr>
            <w:tcW w:w="0" w:type="auto"/>
            <w:shd w:val="clear" w:color="auto" w:fill="auto"/>
            <w:vAlign w:val="bottom"/>
          </w:tcPr>
          <w:p w14:paraId="74DDA4E4" w14:textId="77777777" w:rsidR="00584EC1" w:rsidRDefault="00584EC1">
            <w:pPr>
              <w:rPr>
                <w:rFonts w:ascii="宋体"/>
                <w:vanish/>
              </w:rPr>
            </w:pPr>
          </w:p>
        </w:tc>
        <w:tc>
          <w:tcPr>
            <w:tcW w:w="0" w:type="auto"/>
            <w:shd w:val="clear" w:color="auto" w:fill="auto"/>
            <w:vAlign w:val="bottom"/>
          </w:tcPr>
          <w:p w14:paraId="74DDA4E5" w14:textId="77777777" w:rsidR="00584EC1" w:rsidRDefault="00584EC1">
            <w:pPr>
              <w:rPr>
                <w:rFonts w:ascii="宋体"/>
                <w:vanish/>
              </w:rPr>
            </w:pPr>
          </w:p>
        </w:tc>
        <w:tc>
          <w:tcPr>
            <w:tcW w:w="0" w:type="auto"/>
            <w:shd w:val="clear" w:color="auto" w:fill="auto"/>
            <w:vAlign w:val="bottom"/>
          </w:tcPr>
          <w:p w14:paraId="74DDA4E6" w14:textId="77777777" w:rsidR="00584EC1" w:rsidRDefault="00584EC1">
            <w:pPr>
              <w:rPr>
                <w:rFonts w:ascii="宋体"/>
                <w:vanish/>
              </w:rPr>
            </w:pPr>
          </w:p>
        </w:tc>
        <w:tc>
          <w:tcPr>
            <w:tcW w:w="0" w:type="auto"/>
            <w:shd w:val="clear" w:color="auto" w:fill="auto"/>
            <w:vAlign w:val="bottom"/>
          </w:tcPr>
          <w:p w14:paraId="74DDA4E7" w14:textId="77777777" w:rsidR="00584EC1" w:rsidRDefault="00584EC1">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A4E8" w14:textId="77777777" w:rsidR="00584EC1" w:rsidRDefault="00871F8D">
            <w:pPr>
              <w:jc w:val="center"/>
              <w:textAlignment w:val="bottom"/>
            </w:pPr>
            <w:r>
              <w:rPr>
                <w:rFonts w:ascii="Arial" w:eastAsia="宋体" w:hAnsi="Arial" w:cs="Arial"/>
                <w:b/>
                <w:bCs/>
                <w:color w:val="000000"/>
                <w:sz w:val="14"/>
                <w:szCs w:val="14"/>
              </w:rPr>
              <w:t xml:space="preserve">Shares Acquired </w:t>
            </w:r>
            <w:r>
              <w:rPr>
                <w:rFonts w:ascii="Arial" w:eastAsia="宋体" w:hAnsi="Arial" w:cs="Arial"/>
                <w:b/>
                <w:bCs/>
                <w:color w:val="000000"/>
                <w:sz w:val="14"/>
                <w:szCs w:val="14"/>
              </w:rPr>
              <w:br/>
              <w:t>(In millions)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A4E9"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A4EA" w14:textId="77777777" w:rsidR="00584EC1" w:rsidRDefault="00871F8D">
            <w:pPr>
              <w:jc w:val="center"/>
              <w:textAlignment w:val="bottom"/>
            </w:pPr>
            <w:r>
              <w:rPr>
                <w:rFonts w:ascii="Arial" w:eastAsia="宋体" w:hAnsi="Arial" w:cs="Arial"/>
                <w:b/>
                <w:bCs/>
                <w:color w:val="000000"/>
                <w:sz w:val="14"/>
                <w:szCs w:val="14"/>
              </w:rPr>
              <w:t>Average Cost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A4EB"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A4EC" w14:textId="77777777" w:rsidR="00584EC1" w:rsidRDefault="00871F8D">
            <w:pPr>
              <w:jc w:val="center"/>
              <w:textAlignment w:val="bottom"/>
            </w:pPr>
            <w:r>
              <w:rPr>
                <w:rFonts w:ascii="Arial" w:eastAsia="宋体" w:hAnsi="Arial" w:cs="Arial"/>
                <w:b/>
                <w:bCs/>
                <w:color w:val="000000"/>
                <w:sz w:val="14"/>
                <w:szCs w:val="14"/>
              </w:rPr>
              <w:t xml:space="preserve">Total Acquired </w:t>
            </w:r>
            <w:r>
              <w:rPr>
                <w:rFonts w:ascii="Arial" w:eastAsia="宋体" w:hAnsi="Arial" w:cs="Arial"/>
                <w:b/>
                <w:bCs/>
                <w:color w:val="000000"/>
                <w:sz w:val="14"/>
                <w:szCs w:val="14"/>
              </w:rPr>
              <w:br/>
              <w:t>(In millions)</w:t>
            </w:r>
          </w:p>
        </w:tc>
        <w:tc>
          <w:tcPr>
            <w:tcW w:w="0" w:type="auto"/>
            <w:gridSpan w:val="3"/>
            <w:shd w:val="clear" w:color="auto" w:fill="auto"/>
            <w:tcMar>
              <w:top w:w="0" w:type="dxa"/>
              <w:left w:w="20" w:type="dxa"/>
              <w:bottom w:w="0" w:type="dxa"/>
              <w:right w:w="20" w:type="dxa"/>
            </w:tcMar>
            <w:vAlign w:val="bottom"/>
          </w:tcPr>
          <w:p w14:paraId="74DDA4ED"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A4EE" w14:textId="77777777" w:rsidR="00584EC1" w:rsidRDefault="00871F8D">
            <w:pPr>
              <w:jc w:val="center"/>
              <w:textAlignment w:val="bottom"/>
            </w:pPr>
            <w:r>
              <w:rPr>
                <w:rFonts w:ascii="Arial" w:eastAsia="宋体" w:hAnsi="Arial" w:cs="Arial"/>
                <w:b/>
                <w:bCs/>
                <w:color w:val="000000"/>
                <w:sz w:val="14"/>
                <w:szCs w:val="14"/>
              </w:rPr>
              <w:t xml:space="preserve">Shares Acquired </w:t>
            </w:r>
            <w:r>
              <w:rPr>
                <w:rFonts w:ascii="Arial" w:eastAsia="宋体" w:hAnsi="Arial" w:cs="Arial"/>
                <w:b/>
                <w:bCs/>
                <w:color w:val="000000"/>
                <w:sz w:val="14"/>
                <w:szCs w:val="14"/>
              </w:rPr>
              <w:br/>
              <w:t>(In millions)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A4EF"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A4F0" w14:textId="77777777" w:rsidR="00584EC1" w:rsidRDefault="00871F8D">
            <w:pPr>
              <w:jc w:val="center"/>
              <w:textAlignment w:val="bottom"/>
            </w:pPr>
            <w:r>
              <w:rPr>
                <w:rFonts w:ascii="Arial" w:eastAsia="宋体" w:hAnsi="Arial" w:cs="Arial"/>
                <w:b/>
                <w:bCs/>
                <w:color w:val="000000"/>
                <w:sz w:val="14"/>
                <w:szCs w:val="14"/>
              </w:rPr>
              <w:t>Average Cost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A4F1"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A4F2" w14:textId="77777777" w:rsidR="00584EC1" w:rsidRDefault="00871F8D">
            <w:pPr>
              <w:jc w:val="center"/>
              <w:textAlignment w:val="bottom"/>
            </w:pPr>
            <w:r>
              <w:rPr>
                <w:rFonts w:ascii="Arial" w:eastAsia="宋体" w:hAnsi="Arial" w:cs="Arial"/>
                <w:b/>
                <w:bCs/>
                <w:color w:val="000000"/>
                <w:sz w:val="14"/>
                <w:szCs w:val="14"/>
              </w:rPr>
              <w:t xml:space="preserve">Total Acquired </w:t>
            </w:r>
            <w:r>
              <w:rPr>
                <w:rFonts w:ascii="Arial" w:eastAsia="宋体" w:hAnsi="Arial" w:cs="Arial"/>
                <w:b/>
                <w:bCs/>
                <w:color w:val="000000"/>
                <w:sz w:val="14"/>
                <w:szCs w:val="14"/>
              </w:rPr>
              <w:br/>
              <w:t>(In millions)</w:t>
            </w:r>
          </w:p>
        </w:tc>
      </w:tr>
      <w:tr w:rsidR="00584EC1" w14:paraId="74DDA50F" w14:textId="77777777">
        <w:trPr>
          <w:hidden/>
        </w:trPr>
        <w:tc>
          <w:tcPr>
            <w:tcW w:w="0" w:type="auto"/>
            <w:shd w:val="clear" w:color="auto" w:fill="auto"/>
            <w:vAlign w:val="bottom"/>
          </w:tcPr>
          <w:p w14:paraId="74DDA4F4" w14:textId="77777777" w:rsidR="00584EC1" w:rsidRDefault="00584EC1">
            <w:pPr>
              <w:rPr>
                <w:rFonts w:ascii="宋体"/>
                <w:vanish/>
              </w:rPr>
            </w:pPr>
          </w:p>
        </w:tc>
        <w:tc>
          <w:tcPr>
            <w:tcW w:w="0" w:type="auto"/>
            <w:shd w:val="clear" w:color="auto" w:fill="auto"/>
            <w:vAlign w:val="bottom"/>
          </w:tcPr>
          <w:p w14:paraId="74DDA4F5" w14:textId="77777777" w:rsidR="00584EC1" w:rsidRDefault="00584EC1">
            <w:pPr>
              <w:rPr>
                <w:rFonts w:ascii="宋体"/>
                <w:vanish/>
              </w:rPr>
            </w:pPr>
          </w:p>
        </w:tc>
        <w:tc>
          <w:tcPr>
            <w:tcW w:w="0" w:type="auto"/>
            <w:shd w:val="clear" w:color="auto" w:fill="auto"/>
            <w:vAlign w:val="bottom"/>
          </w:tcPr>
          <w:p w14:paraId="74DDA4F6" w14:textId="77777777" w:rsidR="00584EC1" w:rsidRDefault="00584EC1">
            <w:pPr>
              <w:rPr>
                <w:rFonts w:ascii="宋体"/>
                <w:vanish/>
              </w:rPr>
            </w:pPr>
          </w:p>
        </w:tc>
        <w:tc>
          <w:tcPr>
            <w:tcW w:w="0" w:type="auto"/>
            <w:shd w:val="clear" w:color="auto" w:fill="auto"/>
            <w:vAlign w:val="bottom"/>
          </w:tcPr>
          <w:p w14:paraId="74DDA4F7" w14:textId="77777777" w:rsidR="00584EC1" w:rsidRDefault="00584EC1">
            <w:pPr>
              <w:rPr>
                <w:rFonts w:ascii="宋体"/>
                <w:vanish/>
              </w:rPr>
            </w:pPr>
          </w:p>
        </w:tc>
        <w:tc>
          <w:tcPr>
            <w:tcW w:w="0" w:type="auto"/>
            <w:shd w:val="clear" w:color="auto" w:fill="auto"/>
            <w:vAlign w:val="bottom"/>
          </w:tcPr>
          <w:p w14:paraId="74DDA4F8" w14:textId="77777777" w:rsidR="00584EC1" w:rsidRDefault="00584EC1">
            <w:pPr>
              <w:rPr>
                <w:rFonts w:ascii="宋体"/>
                <w:vanish/>
              </w:rPr>
            </w:pPr>
          </w:p>
        </w:tc>
        <w:tc>
          <w:tcPr>
            <w:tcW w:w="0" w:type="auto"/>
            <w:shd w:val="clear" w:color="auto" w:fill="auto"/>
            <w:vAlign w:val="bottom"/>
          </w:tcPr>
          <w:p w14:paraId="74DDA4F9" w14:textId="77777777" w:rsidR="00584EC1" w:rsidRDefault="00584EC1">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A4FA"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A4F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4FC"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A4FD"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A4FE"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A4F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500"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A501"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A502"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A50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504"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A505" w14:textId="77777777" w:rsidR="00584EC1" w:rsidRDefault="00871F8D">
            <w:pPr>
              <w:jc w:val="right"/>
              <w:textAlignment w:val="bottom"/>
            </w:pPr>
            <w:r>
              <w:rPr>
                <w:rFonts w:ascii="Arial" w:eastAsia="宋体" w:hAnsi="Arial" w:cs="Arial"/>
                <w:b/>
                <w:bCs/>
                <w:color w:val="000000"/>
                <w:sz w:val="14"/>
                <w:szCs w:val="14"/>
              </w:rPr>
              <w:t>11.2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A50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507"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A508"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A509" w14:textId="77777777" w:rsidR="00584EC1" w:rsidRDefault="00871F8D">
            <w:pPr>
              <w:jc w:val="right"/>
              <w:textAlignment w:val="bottom"/>
            </w:pPr>
            <w:r>
              <w:rPr>
                <w:rFonts w:ascii="Arial" w:eastAsia="宋体" w:hAnsi="Arial" w:cs="Arial"/>
                <w:b/>
                <w:bCs/>
                <w:color w:val="000000"/>
                <w:sz w:val="14"/>
                <w:szCs w:val="14"/>
              </w:rPr>
              <w:t>80.00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A50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50B"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A50C"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A50D" w14:textId="77777777" w:rsidR="00584EC1" w:rsidRDefault="00871F8D">
            <w:pPr>
              <w:jc w:val="right"/>
              <w:textAlignment w:val="bottom"/>
            </w:pPr>
            <w:r>
              <w:rPr>
                <w:rFonts w:ascii="Arial" w:eastAsia="宋体" w:hAnsi="Arial" w:cs="Arial"/>
                <w:b/>
                <w:bCs/>
                <w:color w:val="000000"/>
                <w:sz w:val="14"/>
                <w:szCs w:val="14"/>
              </w:rPr>
              <w:t>900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A50E" w14:textId="77777777" w:rsidR="00584EC1" w:rsidRDefault="00584EC1">
            <w:pPr>
              <w:jc w:val="right"/>
              <w:rPr>
                <w:rFonts w:ascii="宋体"/>
              </w:rPr>
            </w:pPr>
          </w:p>
        </w:tc>
      </w:tr>
      <w:tr w:rsidR="00584EC1" w14:paraId="74DDA521" w14:textId="77777777">
        <w:trPr>
          <w:hidden/>
        </w:trPr>
        <w:tc>
          <w:tcPr>
            <w:tcW w:w="0" w:type="auto"/>
            <w:shd w:val="clear" w:color="auto" w:fill="auto"/>
            <w:vAlign w:val="bottom"/>
          </w:tcPr>
          <w:p w14:paraId="74DDA510" w14:textId="77777777" w:rsidR="00584EC1" w:rsidRDefault="00584EC1">
            <w:pPr>
              <w:rPr>
                <w:rFonts w:ascii="宋体"/>
                <w:vanish/>
              </w:rPr>
            </w:pPr>
          </w:p>
        </w:tc>
        <w:tc>
          <w:tcPr>
            <w:tcW w:w="0" w:type="auto"/>
            <w:shd w:val="clear" w:color="auto" w:fill="auto"/>
            <w:vAlign w:val="bottom"/>
          </w:tcPr>
          <w:p w14:paraId="74DDA511" w14:textId="77777777" w:rsidR="00584EC1" w:rsidRDefault="00584EC1">
            <w:pPr>
              <w:rPr>
                <w:rFonts w:ascii="宋体"/>
                <w:vanish/>
              </w:rPr>
            </w:pPr>
          </w:p>
        </w:tc>
        <w:tc>
          <w:tcPr>
            <w:tcW w:w="0" w:type="auto"/>
            <w:shd w:val="clear" w:color="auto" w:fill="auto"/>
            <w:vAlign w:val="bottom"/>
          </w:tcPr>
          <w:p w14:paraId="74DDA512" w14:textId="77777777" w:rsidR="00584EC1" w:rsidRDefault="00584EC1">
            <w:pPr>
              <w:rPr>
                <w:rFonts w:ascii="宋体"/>
                <w:vanish/>
              </w:rPr>
            </w:pPr>
          </w:p>
        </w:tc>
        <w:tc>
          <w:tcPr>
            <w:tcW w:w="0" w:type="auto"/>
            <w:shd w:val="clear" w:color="auto" w:fill="auto"/>
            <w:vAlign w:val="bottom"/>
          </w:tcPr>
          <w:p w14:paraId="74DDA513" w14:textId="77777777" w:rsidR="00584EC1" w:rsidRDefault="00584EC1">
            <w:pPr>
              <w:rPr>
                <w:rFonts w:ascii="宋体"/>
                <w:vanish/>
              </w:rPr>
            </w:pPr>
          </w:p>
        </w:tc>
        <w:tc>
          <w:tcPr>
            <w:tcW w:w="0" w:type="auto"/>
            <w:shd w:val="clear" w:color="auto" w:fill="auto"/>
            <w:vAlign w:val="bottom"/>
          </w:tcPr>
          <w:p w14:paraId="74DDA514" w14:textId="77777777" w:rsidR="00584EC1" w:rsidRDefault="00584EC1">
            <w:pPr>
              <w:rPr>
                <w:rFonts w:ascii="宋体"/>
                <w:vanish/>
              </w:rPr>
            </w:pPr>
          </w:p>
        </w:tc>
        <w:tc>
          <w:tcPr>
            <w:tcW w:w="0" w:type="auto"/>
            <w:shd w:val="clear" w:color="auto" w:fill="auto"/>
            <w:vAlign w:val="bottom"/>
          </w:tcPr>
          <w:p w14:paraId="74DDA515" w14:textId="77777777" w:rsidR="00584EC1" w:rsidRDefault="00584EC1">
            <w:pPr>
              <w:rPr>
                <w:rFonts w:ascii="宋体"/>
                <w:vanish/>
              </w:rPr>
            </w:pPr>
          </w:p>
        </w:tc>
        <w:tc>
          <w:tcPr>
            <w:tcW w:w="0" w:type="auto"/>
            <w:gridSpan w:val="3"/>
            <w:shd w:val="clear" w:color="auto" w:fill="auto"/>
            <w:vAlign w:val="bottom"/>
          </w:tcPr>
          <w:p w14:paraId="74DDA516" w14:textId="77777777" w:rsidR="00584EC1" w:rsidRDefault="00584EC1">
            <w:pPr>
              <w:rPr>
                <w:rFonts w:ascii="宋体"/>
                <w:vanish/>
              </w:rPr>
            </w:pPr>
          </w:p>
        </w:tc>
        <w:tc>
          <w:tcPr>
            <w:tcW w:w="0" w:type="auto"/>
            <w:gridSpan w:val="3"/>
            <w:shd w:val="clear" w:color="auto" w:fill="auto"/>
            <w:vAlign w:val="bottom"/>
          </w:tcPr>
          <w:p w14:paraId="74DDA517" w14:textId="77777777" w:rsidR="00584EC1" w:rsidRDefault="00584EC1">
            <w:pPr>
              <w:rPr>
                <w:rFonts w:ascii="宋体"/>
                <w:vanish/>
              </w:rPr>
            </w:pPr>
          </w:p>
        </w:tc>
        <w:tc>
          <w:tcPr>
            <w:tcW w:w="0" w:type="auto"/>
            <w:gridSpan w:val="3"/>
            <w:shd w:val="clear" w:color="auto" w:fill="auto"/>
            <w:vAlign w:val="bottom"/>
          </w:tcPr>
          <w:p w14:paraId="74DDA518" w14:textId="77777777" w:rsidR="00584EC1" w:rsidRDefault="00584EC1">
            <w:pPr>
              <w:rPr>
                <w:rFonts w:ascii="宋体"/>
                <w:vanish/>
              </w:rPr>
            </w:pPr>
          </w:p>
        </w:tc>
        <w:tc>
          <w:tcPr>
            <w:tcW w:w="0" w:type="auto"/>
            <w:gridSpan w:val="3"/>
            <w:shd w:val="clear" w:color="auto" w:fill="auto"/>
            <w:vAlign w:val="bottom"/>
          </w:tcPr>
          <w:p w14:paraId="74DDA519" w14:textId="77777777" w:rsidR="00584EC1" w:rsidRDefault="00584EC1">
            <w:pPr>
              <w:rPr>
                <w:rFonts w:ascii="宋体"/>
                <w:vanish/>
              </w:rPr>
            </w:pPr>
          </w:p>
        </w:tc>
        <w:tc>
          <w:tcPr>
            <w:tcW w:w="0" w:type="auto"/>
            <w:gridSpan w:val="3"/>
            <w:shd w:val="clear" w:color="auto" w:fill="auto"/>
            <w:vAlign w:val="bottom"/>
          </w:tcPr>
          <w:p w14:paraId="74DDA51A" w14:textId="77777777" w:rsidR="00584EC1" w:rsidRDefault="00584EC1">
            <w:pPr>
              <w:rPr>
                <w:rFonts w:ascii="宋体"/>
                <w:vanish/>
              </w:rPr>
            </w:pPr>
          </w:p>
        </w:tc>
        <w:tc>
          <w:tcPr>
            <w:tcW w:w="0" w:type="auto"/>
            <w:gridSpan w:val="3"/>
            <w:shd w:val="clear" w:color="auto" w:fill="auto"/>
            <w:vAlign w:val="bottom"/>
          </w:tcPr>
          <w:p w14:paraId="74DDA51B" w14:textId="77777777" w:rsidR="00584EC1" w:rsidRDefault="00584EC1">
            <w:pPr>
              <w:rPr>
                <w:rFonts w:ascii="宋体"/>
                <w:vanish/>
              </w:rPr>
            </w:pPr>
          </w:p>
        </w:tc>
        <w:tc>
          <w:tcPr>
            <w:tcW w:w="0" w:type="auto"/>
            <w:gridSpan w:val="3"/>
            <w:shd w:val="clear" w:color="auto" w:fill="auto"/>
            <w:vAlign w:val="bottom"/>
          </w:tcPr>
          <w:p w14:paraId="74DDA51C" w14:textId="77777777" w:rsidR="00584EC1" w:rsidRDefault="00584EC1">
            <w:pPr>
              <w:rPr>
                <w:rFonts w:ascii="宋体"/>
                <w:vanish/>
              </w:rPr>
            </w:pPr>
          </w:p>
        </w:tc>
        <w:tc>
          <w:tcPr>
            <w:tcW w:w="0" w:type="auto"/>
            <w:gridSpan w:val="3"/>
            <w:shd w:val="clear" w:color="auto" w:fill="auto"/>
            <w:vAlign w:val="bottom"/>
          </w:tcPr>
          <w:p w14:paraId="74DDA51D" w14:textId="77777777" w:rsidR="00584EC1" w:rsidRDefault="00584EC1">
            <w:pPr>
              <w:rPr>
                <w:rFonts w:ascii="宋体"/>
                <w:vanish/>
              </w:rPr>
            </w:pPr>
          </w:p>
        </w:tc>
        <w:tc>
          <w:tcPr>
            <w:tcW w:w="0" w:type="auto"/>
            <w:gridSpan w:val="3"/>
            <w:shd w:val="clear" w:color="auto" w:fill="auto"/>
            <w:vAlign w:val="bottom"/>
          </w:tcPr>
          <w:p w14:paraId="74DDA51E" w14:textId="77777777" w:rsidR="00584EC1" w:rsidRDefault="00584EC1">
            <w:pPr>
              <w:rPr>
                <w:rFonts w:ascii="宋体"/>
                <w:vanish/>
              </w:rPr>
            </w:pPr>
          </w:p>
        </w:tc>
        <w:tc>
          <w:tcPr>
            <w:tcW w:w="0" w:type="auto"/>
            <w:gridSpan w:val="3"/>
            <w:shd w:val="clear" w:color="auto" w:fill="auto"/>
            <w:vAlign w:val="bottom"/>
          </w:tcPr>
          <w:p w14:paraId="74DDA51F" w14:textId="77777777" w:rsidR="00584EC1" w:rsidRDefault="00584EC1">
            <w:pPr>
              <w:rPr>
                <w:rFonts w:ascii="宋体"/>
                <w:vanish/>
              </w:rPr>
            </w:pPr>
          </w:p>
        </w:tc>
        <w:tc>
          <w:tcPr>
            <w:tcW w:w="0" w:type="auto"/>
            <w:gridSpan w:val="3"/>
            <w:shd w:val="clear" w:color="auto" w:fill="auto"/>
            <w:vAlign w:val="bottom"/>
          </w:tcPr>
          <w:p w14:paraId="74DDA520" w14:textId="77777777" w:rsidR="00584EC1" w:rsidRDefault="00584EC1">
            <w:pPr>
              <w:rPr>
                <w:rFonts w:ascii="宋体"/>
                <w:vanish/>
              </w:rPr>
            </w:pPr>
          </w:p>
        </w:tc>
      </w:tr>
      <w:tr w:rsidR="00584EC1" w14:paraId="74DDA533" w14:textId="77777777">
        <w:trPr>
          <w:hidden/>
        </w:trPr>
        <w:tc>
          <w:tcPr>
            <w:tcW w:w="0" w:type="auto"/>
            <w:shd w:val="clear" w:color="auto" w:fill="auto"/>
            <w:vAlign w:val="bottom"/>
          </w:tcPr>
          <w:p w14:paraId="74DDA522" w14:textId="77777777" w:rsidR="00584EC1" w:rsidRDefault="00584EC1">
            <w:pPr>
              <w:rPr>
                <w:rFonts w:ascii="宋体"/>
                <w:vanish/>
              </w:rPr>
            </w:pPr>
          </w:p>
        </w:tc>
        <w:tc>
          <w:tcPr>
            <w:tcW w:w="0" w:type="auto"/>
            <w:shd w:val="clear" w:color="auto" w:fill="auto"/>
            <w:vAlign w:val="bottom"/>
          </w:tcPr>
          <w:p w14:paraId="74DDA523" w14:textId="77777777" w:rsidR="00584EC1" w:rsidRDefault="00584EC1">
            <w:pPr>
              <w:rPr>
                <w:rFonts w:ascii="宋体"/>
                <w:vanish/>
              </w:rPr>
            </w:pPr>
          </w:p>
        </w:tc>
        <w:tc>
          <w:tcPr>
            <w:tcW w:w="0" w:type="auto"/>
            <w:shd w:val="clear" w:color="auto" w:fill="auto"/>
            <w:vAlign w:val="bottom"/>
          </w:tcPr>
          <w:p w14:paraId="74DDA524" w14:textId="77777777" w:rsidR="00584EC1" w:rsidRDefault="00584EC1">
            <w:pPr>
              <w:rPr>
                <w:rFonts w:ascii="宋体"/>
                <w:vanish/>
              </w:rPr>
            </w:pPr>
          </w:p>
        </w:tc>
        <w:tc>
          <w:tcPr>
            <w:tcW w:w="0" w:type="auto"/>
            <w:shd w:val="clear" w:color="auto" w:fill="auto"/>
            <w:vAlign w:val="bottom"/>
          </w:tcPr>
          <w:p w14:paraId="74DDA525" w14:textId="77777777" w:rsidR="00584EC1" w:rsidRDefault="00584EC1">
            <w:pPr>
              <w:rPr>
                <w:rFonts w:ascii="宋体"/>
                <w:vanish/>
              </w:rPr>
            </w:pPr>
          </w:p>
        </w:tc>
        <w:tc>
          <w:tcPr>
            <w:tcW w:w="0" w:type="auto"/>
            <w:shd w:val="clear" w:color="auto" w:fill="auto"/>
            <w:vAlign w:val="bottom"/>
          </w:tcPr>
          <w:p w14:paraId="74DDA526" w14:textId="77777777" w:rsidR="00584EC1" w:rsidRDefault="00584EC1">
            <w:pPr>
              <w:rPr>
                <w:rFonts w:ascii="宋体"/>
                <w:vanish/>
              </w:rPr>
            </w:pPr>
          </w:p>
        </w:tc>
        <w:tc>
          <w:tcPr>
            <w:tcW w:w="0" w:type="auto"/>
            <w:shd w:val="clear" w:color="auto" w:fill="auto"/>
            <w:vAlign w:val="bottom"/>
          </w:tcPr>
          <w:p w14:paraId="74DDA527" w14:textId="77777777" w:rsidR="00584EC1" w:rsidRDefault="00584EC1">
            <w:pPr>
              <w:rPr>
                <w:rFonts w:ascii="宋体"/>
                <w:vanish/>
              </w:rPr>
            </w:pPr>
          </w:p>
        </w:tc>
        <w:tc>
          <w:tcPr>
            <w:tcW w:w="0" w:type="auto"/>
            <w:gridSpan w:val="3"/>
            <w:shd w:val="clear" w:color="auto" w:fill="auto"/>
            <w:vAlign w:val="bottom"/>
          </w:tcPr>
          <w:p w14:paraId="74DDA528" w14:textId="77777777" w:rsidR="00584EC1" w:rsidRDefault="00584EC1">
            <w:pPr>
              <w:rPr>
                <w:rFonts w:ascii="宋体"/>
                <w:vanish/>
              </w:rPr>
            </w:pPr>
          </w:p>
        </w:tc>
        <w:tc>
          <w:tcPr>
            <w:tcW w:w="0" w:type="auto"/>
            <w:gridSpan w:val="3"/>
            <w:shd w:val="clear" w:color="auto" w:fill="auto"/>
            <w:vAlign w:val="bottom"/>
          </w:tcPr>
          <w:p w14:paraId="74DDA529" w14:textId="77777777" w:rsidR="00584EC1" w:rsidRDefault="00584EC1">
            <w:pPr>
              <w:rPr>
                <w:rFonts w:ascii="宋体"/>
                <w:vanish/>
              </w:rPr>
            </w:pPr>
          </w:p>
        </w:tc>
        <w:tc>
          <w:tcPr>
            <w:tcW w:w="0" w:type="auto"/>
            <w:gridSpan w:val="3"/>
            <w:shd w:val="clear" w:color="auto" w:fill="auto"/>
            <w:vAlign w:val="bottom"/>
          </w:tcPr>
          <w:p w14:paraId="74DDA52A" w14:textId="77777777" w:rsidR="00584EC1" w:rsidRDefault="00584EC1">
            <w:pPr>
              <w:rPr>
                <w:rFonts w:ascii="宋体"/>
                <w:vanish/>
              </w:rPr>
            </w:pPr>
          </w:p>
        </w:tc>
        <w:tc>
          <w:tcPr>
            <w:tcW w:w="0" w:type="auto"/>
            <w:gridSpan w:val="3"/>
            <w:shd w:val="clear" w:color="auto" w:fill="auto"/>
            <w:vAlign w:val="bottom"/>
          </w:tcPr>
          <w:p w14:paraId="74DDA52B" w14:textId="77777777" w:rsidR="00584EC1" w:rsidRDefault="00584EC1">
            <w:pPr>
              <w:rPr>
                <w:rFonts w:ascii="宋体"/>
                <w:vanish/>
              </w:rPr>
            </w:pPr>
          </w:p>
        </w:tc>
        <w:tc>
          <w:tcPr>
            <w:tcW w:w="0" w:type="auto"/>
            <w:gridSpan w:val="3"/>
            <w:shd w:val="clear" w:color="auto" w:fill="auto"/>
            <w:vAlign w:val="bottom"/>
          </w:tcPr>
          <w:p w14:paraId="74DDA52C" w14:textId="77777777" w:rsidR="00584EC1" w:rsidRDefault="00584EC1">
            <w:pPr>
              <w:rPr>
                <w:rFonts w:ascii="宋体"/>
                <w:vanish/>
              </w:rPr>
            </w:pPr>
          </w:p>
        </w:tc>
        <w:tc>
          <w:tcPr>
            <w:tcW w:w="0" w:type="auto"/>
            <w:gridSpan w:val="3"/>
            <w:shd w:val="clear" w:color="auto" w:fill="auto"/>
            <w:vAlign w:val="bottom"/>
          </w:tcPr>
          <w:p w14:paraId="74DDA52D" w14:textId="77777777" w:rsidR="00584EC1" w:rsidRDefault="00584EC1">
            <w:pPr>
              <w:rPr>
                <w:rFonts w:ascii="宋体"/>
                <w:vanish/>
              </w:rPr>
            </w:pPr>
          </w:p>
        </w:tc>
        <w:tc>
          <w:tcPr>
            <w:tcW w:w="0" w:type="auto"/>
            <w:gridSpan w:val="3"/>
            <w:shd w:val="clear" w:color="auto" w:fill="auto"/>
            <w:vAlign w:val="bottom"/>
          </w:tcPr>
          <w:p w14:paraId="74DDA52E" w14:textId="77777777" w:rsidR="00584EC1" w:rsidRDefault="00584EC1">
            <w:pPr>
              <w:rPr>
                <w:rFonts w:ascii="宋体"/>
                <w:vanish/>
              </w:rPr>
            </w:pPr>
          </w:p>
        </w:tc>
        <w:tc>
          <w:tcPr>
            <w:tcW w:w="0" w:type="auto"/>
            <w:gridSpan w:val="3"/>
            <w:shd w:val="clear" w:color="auto" w:fill="auto"/>
            <w:vAlign w:val="bottom"/>
          </w:tcPr>
          <w:p w14:paraId="74DDA52F" w14:textId="77777777" w:rsidR="00584EC1" w:rsidRDefault="00584EC1">
            <w:pPr>
              <w:rPr>
                <w:rFonts w:ascii="宋体"/>
                <w:vanish/>
              </w:rPr>
            </w:pPr>
          </w:p>
        </w:tc>
        <w:tc>
          <w:tcPr>
            <w:tcW w:w="0" w:type="auto"/>
            <w:gridSpan w:val="3"/>
            <w:shd w:val="clear" w:color="auto" w:fill="auto"/>
            <w:vAlign w:val="bottom"/>
          </w:tcPr>
          <w:p w14:paraId="74DDA530" w14:textId="77777777" w:rsidR="00584EC1" w:rsidRDefault="00584EC1">
            <w:pPr>
              <w:rPr>
                <w:rFonts w:ascii="宋体"/>
                <w:vanish/>
              </w:rPr>
            </w:pPr>
          </w:p>
        </w:tc>
        <w:tc>
          <w:tcPr>
            <w:tcW w:w="0" w:type="auto"/>
            <w:gridSpan w:val="3"/>
            <w:shd w:val="clear" w:color="auto" w:fill="auto"/>
            <w:vAlign w:val="bottom"/>
          </w:tcPr>
          <w:p w14:paraId="74DDA531" w14:textId="77777777" w:rsidR="00584EC1" w:rsidRDefault="00584EC1">
            <w:pPr>
              <w:rPr>
                <w:rFonts w:ascii="宋体"/>
                <w:vanish/>
              </w:rPr>
            </w:pPr>
          </w:p>
        </w:tc>
        <w:tc>
          <w:tcPr>
            <w:tcW w:w="0" w:type="auto"/>
            <w:gridSpan w:val="3"/>
            <w:shd w:val="clear" w:color="auto" w:fill="auto"/>
            <w:vAlign w:val="bottom"/>
          </w:tcPr>
          <w:p w14:paraId="74DDA532" w14:textId="77777777" w:rsidR="00584EC1" w:rsidRDefault="00584EC1">
            <w:pPr>
              <w:rPr>
                <w:rFonts w:ascii="宋体"/>
                <w:vanish/>
              </w:rPr>
            </w:pPr>
          </w:p>
        </w:tc>
      </w:tr>
      <w:tr w:rsidR="00584EC1" w14:paraId="74DDA545" w14:textId="77777777">
        <w:trPr>
          <w:hidden/>
        </w:trPr>
        <w:tc>
          <w:tcPr>
            <w:tcW w:w="0" w:type="auto"/>
            <w:shd w:val="clear" w:color="auto" w:fill="auto"/>
            <w:vAlign w:val="bottom"/>
          </w:tcPr>
          <w:p w14:paraId="74DDA534" w14:textId="77777777" w:rsidR="00584EC1" w:rsidRDefault="00584EC1">
            <w:pPr>
              <w:rPr>
                <w:rFonts w:ascii="宋体"/>
                <w:vanish/>
              </w:rPr>
            </w:pPr>
          </w:p>
        </w:tc>
        <w:tc>
          <w:tcPr>
            <w:tcW w:w="0" w:type="auto"/>
            <w:shd w:val="clear" w:color="auto" w:fill="auto"/>
            <w:vAlign w:val="bottom"/>
          </w:tcPr>
          <w:p w14:paraId="74DDA535" w14:textId="77777777" w:rsidR="00584EC1" w:rsidRDefault="00584EC1">
            <w:pPr>
              <w:rPr>
                <w:rFonts w:ascii="宋体"/>
                <w:vanish/>
              </w:rPr>
            </w:pPr>
          </w:p>
        </w:tc>
        <w:tc>
          <w:tcPr>
            <w:tcW w:w="0" w:type="auto"/>
            <w:shd w:val="clear" w:color="auto" w:fill="auto"/>
            <w:vAlign w:val="bottom"/>
          </w:tcPr>
          <w:p w14:paraId="74DDA536" w14:textId="77777777" w:rsidR="00584EC1" w:rsidRDefault="00584EC1">
            <w:pPr>
              <w:rPr>
                <w:rFonts w:ascii="宋体"/>
                <w:vanish/>
              </w:rPr>
            </w:pPr>
          </w:p>
        </w:tc>
        <w:tc>
          <w:tcPr>
            <w:tcW w:w="0" w:type="auto"/>
            <w:shd w:val="clear" w:color="auto" w:fill="auto"/>
            <w:vAlign w:val="bottom"/>
          </w:tcPr>
          <w:p w14:paraId="74DDA537" w14:textId="77777777" w:rsidR="00584EC1" w:rsidRDefault="00584EC1">
            <w:pPr>
              <w:rPr>
                <w:rFonts w:ascii="宋体"/>
                <w:vanish/>
              </w:rPr>
            </w:pPr>
          </w:p>
        </w:tc>
        <w:tc>
          <w:tcPr>
            <w:tcW w:w="0" w:type="auto"/>
            <w:shd w:val="clear" w:color="auto" w:fill="auto"/>
            <w:vAlign w:val="bottom"/>
          </w:tcPr>
          <w:p w14:paraId="74DDA538" w14:textId="77777777" w:rsidR="00584EC1" w:rsidRDefault="00584EC1">
            <w:pPr>
              <w:rPr>
                <w:rFonts w:ascii="宋体"/>
                <w:vanish/>
              </w:rPr>
            </w:pPr>
          </w:p>
        </w:tc>
        <w:tc>
          <w:tcPr>
            <w:tcW w:w="0" w:type="auto"/>
            <w:shd w:val="clear" w:color="auto" w:fill="auto"/>
            <w:vAlign w:val="bottom"/>
          </w:tcPr>
          <w:p w14:paraId="74DDA539" w14:textId="77777777" w:rsidR="00584EC1" w:rsidRDefault="00584EC1">
            <w:pPr>
              <w:rPr>
                <w:rFonts w:ascii="宋体"/>
                <w:vanish/>
              </w:rPr>
            </w:pPr>
          </w:p>
        </w:tc>
        <w:tc>
          <w:tcPr>
            <w:tcW w:w="0" w:type="auto"/>
            <w:gridSpan w:val="3"/>
            <w:shd w:val="clear" w:color="auto" w:fill="auto"/>
            <w:vAlign w:val="bottom"/>
          </w:tcPr>
          <w:p w14:paraId="74DDA53A" w14:textId="77777777" w:rsidR="00584EC1" w:rsidRDefault="00584EC1">
            <w:pPr>
              <w:rPr>
                <w:rFonts w:ascii="宋体"/>
                <w:vanish/>
              </w:rPr>
            </w:pPr>
          </w:p>
        </w:tc>
        <w:tc>
          <w:tcPr>
            <w:tcW w:w="0" w:type="auto"/>
            <w:gridSpan w:val="3"/>
            <w:shd w:val="clear" w:color="auto" w:fill="auto"/>
            <w:vAlign w:val="bottom"/>
          </w:tcPr>
          <w:p w14:paraId="74DDA53B" w14:textId="77777777" w:rsidR="00584EC1" w:rsidRDefault="00584EC1">
            <w:pPr>
              <w:rPr>
                <w:rFonts w:ascii="宋体"/>
                <w:vanish/>
              </w:rPr>
            </w:pPr>
          </w:p>
        </w:tc>
        <w:tc>
          <w:tcPr>
            <w:tcW w:w="0" w:type="auto"/>
            <w:gridSpan w:val="3"/>
            <w:shd w:val="clear" w:color="auto" w:fill="auto"/>
            <w:vAlign w:val="bottom"/>
          </w:tcPr>
          <w:p w14:paraId="74DDA53C" w14:textId="77777777" w:rsidR="00584EC1" w:rsidRDefault="00584EC1">
            <w:pPr>
              <w:rPr>
                <w:rFonts w:ascii="宋体"/>
                <w:vanish/>
              </w:rPr>
            </w:pPr>
          </w:p>
        </w:tc>
        <w:tc>
          <w:tcPr>
            <w:tcW w:w="0" w:type="auto"/>
            <w:gridSpan w:val="3"/>
            <w:shd w:val="clear" w:color="auto" w:fill="auto"/>
            <w:vAlign w:val="bottom"/>
          </w:tcPr>
          <w:p w14:paraId="74DDA53D" w14:textId="77777777" w:rsidR="00584EC1" w:rsidRDefault="00584EC1">
            <w:pPr>
              <w:rPr>
                <w:rFonts w:ascii="宋体"/>
                <w:vanish/>
              </w:rPr>
            </w:pPr>
          </w:p>
        </w:tc>
        <w:tc>
          <w:tcPr>
            <w:tcW w:w="0" w:type="auto"/>
            <w:gridSpan w:val="3"/>
            <w:shd w:val="clear" w:color="auto" w:fill="auto"/>
            <w:vAlign w:val="bottom"/>
          </w:tcPr>
          <w:p w14:paraId="74DDA53E" w14:textId="77777777" w:rsidR="00584EC1" w:rsidRDefault="00584EC1">
            <w:pPr>
              <w:rPr>
                <w:rFonts w:ascii="宋体"/>
                <w:vanish/>
              </w:rPr>
            </w:pPr>
          </w:p>
        </w:tc>
        <w:tc>
          <w:tcPr>
            <w:tcW w:w="0" w:type="auto"/>
            <w:gridSpan w:val="3"/>
            <w:shd w:val="clear" w:color="auto" w:fill="auto"/>
            <w:vAlign w:val="bottom"/>
          </w:tcPr>
          <w:p w14:paraId="74DDA53F" w14:textId="77777777" w:rsidR="00584EC1" w:rsidRDefault="00584EC1">
            <w:pPr>
              <w:rPr>
                <w:rFonts w:ascii="宋体"/>
                <w:vanish/>
              </w:rPr>
            </w:pPr>
          </w:p>
        </w:tc>
        <w:tc>
          <w:tcPr>
            <w:tcW w:w="0" w:type="auto"/>
            <w:gridSpan w:val="3"/>
            <w:shd w:val="clear" w:color="auto" w:fill="auto"/>
            <w:vAlign w:val="bottom"/>
          </w:tcPr>
          <w:p w14:paraId="74DDA540" w14:textId="77777777" w:rsidR="00584EC1" w:rsidRDefault="00584EC1">
            <w:pPr>
              <w:rPr>
                <w:rFonts w:ascii="宋体"/>
                <w:vanish/>
              </w:rPr>
            </w:pPr>
          </w:p>
        </w:tc>
        <w:tc>
          <w:tcPr>
            <w:tcW w:w="0" w:type="auto"/>
            <w:gridSpan w:val="3"/>
            <w:shd w:val="clear" w:color="auto" w:fill="auto"/>
            <w:vAlign w:val="bottom"/>
          </w:tcPr>
          <w:p w14:paraId="74DDA541" w14:textId="77777777" w:rsidR="00584EC1" w:rsidRDefault="00584EC1">
            <w:pPr>
              <w:rPr>
                <w:rFonts w:ascii="宋体"/>
                <w:vanish/>
              </w:rPr>
            </w:pPr>
          </w:p>
        </w:tc>
        <w:tc>
          <w:tcPr>
            <w:tcW w:w="0" w:type="auto"/>
            <w:gridSpan w:val="3"/>
            <w:shd w:val="clear" w:color="auto" w:fill="auto"/>
            <w:vAlign w:val="bottom"/>
          </w:tcPr>
          <w:p w14:paraId="74DDA542" w14:textId="77777777" w:rsidR="00584EC1" w:rsidRDefault="00584EC1">
            <w:pPr>
              <w:rPr>
                <w:rFonts w:ascii="宋体"/>
                <w:vanish/>
              </w:rPr>
            </w:pPr>
          </w:p>
        </w:tc>
        <w:tc>
          <w:tcPr>
            <w:tcW w:w="0" w:type="auto"/>
            <w:gridSpan w:val="3"/>
            <w:shd w:val="clear" w:color="auto" w:fill="auto"/>
            <w:vAlign w:val="bottom"/>
          </w:tcPr>
          <w:p w14:paraId="74DDA543" w14:textId="77777777" w:rsidR="00584EC1" w:rsidRDefault="00584EC1">
            <w:pPr>
              <w:rPr>
                <w:rFonts w:ascii="宋体"/>
                <w:vanish/>
              </w:rPr>
            </w:pPr>
          </w:p>
        </w:tc>
        <w:tc>
          <w:tcPr>
            <w:tcW w:w="0" w:type="auto"/>
            <w:gridSpan w:val="3"/>
            <w:shd w:val="clear" w:color="auto" w:fill="auto"/>
            <w:vAlign w:val="bottom"/>
          </w:tcPr>
          <w:p w14:paraId="74DDA544" w14:textId="77777777" w:rsidR="00584EC1" w:rsidRDefault="00584EC1">
            <w:pPr>
              <w:rPr>
                <w:rFonts w:ascii="宋体"/>
                <w:vanish/>
              </w:rPr>
            </w:pPr>
          </w:p>
        </w:tc>
      </w:tr>
      <w:tr w:rsidR="00584EC1" w14:paraId="74DDA557" w14:textId="77777777">
        <w:trPr>
          <w:hidden/>
        </w:trPr>
        <w:tc>
          <w:tcPr>
            <w:tcW w:w="0" w:type="auto"/>
            <w:shd w:val="clear" w:color="auto" w:fill="auto"/>
            <w:vAlign w:val="bottom"/>
          </w:tcPr>
          <w:p w14:paraId="74DDA546" w14:textId="77777777" w:rsidR="00584EC1" w:rsidRDefault="00584EC1">
            <w:pPr>
              <w:rPr>
                <w:rFonts w:ascii="宋体"/>
                <w:vanish/>
              </w:rPr>
            </w:pPr>
          </w:p>
        </w:tc>
        <w:tc>
          <w:tcPr>
            <w:tcW w:w="0" w:type="auto"/>
            <w:shd w:val="clear" w:color="auto" w:fill="auto"/>
            <w:vAlign w:val="bottom"/>
          </w:tcPr>
          <w:p w14:paraId="74DDA547" w14:textId="77777777" w:rsidR="00584EC1" w:rsidRDefault="00584EC1">
            <w:pPr>
              <w:rPr>
                <w:rFonts w:ascii="宋体"/>
                <w:vanish/>
              </w:rPr>
            </w:pPr>
          </w:p>
        </w:tc>
        <w:tc>
          <w:tcPr>
            <w:tcW w:w="0" w:type="auto"/>
            <w:shd w:val="clear" w:color="auto" w:fill="auto"/>
            <w:vAlign w:val="bottom"/>
          </w:tcPr>
          <w:p w14:paraId="74DDA548" w14:textId="77777777" w:rsidR="00584EC1" w:rsidRDefault="00584EC1">
            <w:pPr>
              <w:rPr>
                <w:rFonts w:ascii="宋体"/>
                <w:vanish/>
              </w:rPr>
            </w:pPr>
          </w:p>
        </w:tc>
        <w:tc>
          <w:tcPr>
            <w:tcW w:w="0" w:type="auto"/>
            <w:shd w:val="clear" w:color="auto" w:fill="auto"/>
            <w:vAlign w:val="bottom"/>
          </w:tcPr>
          <w:p w14:paraId="74DDA549" w14:textId="77777777" w:rsidR="00584EC1" w:rsidRDefault="00584EC1">
            <w:pPr>
              <w:rPr>
                <w:rFonts w:ascii="宋体"/>
                <w:vanish/>
              </w:rPr>
            </w:pPr>
          </w:p>
        </w:tc>
        <w:tc>
          <w:tcPr>
            <w:tcW w:w="0" w:type="auto"/>
            <w:shd w:val="clear" w:color="auto" w:fill="auto"/>
            <w:vAlign w:val="bottom"/>
          </w:tcPr>
          <w:p w14:paraId="74DDA54A" w14:textId="77777777" w:rsidR="00584EC1" w:rsidRDefault="00584EC1">
            <w:pPr>
              <w:rPr>
                <w:rFonts w:ascii="宋体"/>
                <w:vanish/>
              </w:rPr>
            </w:pPr>
          </w:p>
        </w:tc>
        <w:tc>
          <w:tcPr>
            <w:tcW w:w="0" w:type="auto"/>
            <w:shd w:val="clear" w:color="auto" w:fill="auto"/>
            <w:vAlign w:val="bottom"/>
          </w:tcPr>
          <w:p w14:paraId="74DDA54B" w14:textId="77777777" w:rsidR="00584EC1" w:rsidRDefault="00584EC1">
            <w:pPr>
              <w:rPr>
                <w:rFonts w:ascii="宋体"/>
                <w:vanish/>
              </w:rPr>
            </w:pPr>
          </w:p>
        </w:tc>
        <w:tc>
          <w:tcPr>
            <w:tcW w:w="0" w:type="auto"/>
            <w:gridSpan w:val="3"/>
            <w:shd w:val="clear" w:color="auto" w:fill="auto"/>
            <w:vAlign w:val="bottom"/>
          </w:tcPr>
          <w:p w14:paraId="74DDA54C" w14:textId="77777777" w:rsidR="00584EC1" w:rsidRDefault="00584EC1">
            <w:pPr>
              <w:rPr>
                <w:rFonts w:ascii="宋体"/>
                <w:vanish/>
              </w:rPr>
            </w:pPr>
          </w:p>
        </w:tc>
        <w:tc>
          <w:tcPr>
            <w:tcW w:w="0" w:type="auto"/>
            <w:gridSpan w:val="3"/>
            <w:shd w:val="clear" w:color="auto" w:fill="auto"/>
            <w:vAlign w:val="bottom"/>
          </w:tcPr>
          <w:p w14:paraId="74DDA54D" w14:textId="77777777" w:rsidR="00584EC1" w:rsidRDefault="00584EC1">
            <w:pPr>
              <w:rPr>
                <w:rFonts w:ascii="宋体"/>
                <w:vanish/>
              </w:rPr>
            </w:pPr>
          </w:p>
        </w:tc>
        <w:tc>
          <w:tcPr>
            <w:tcW w:w="0" w:type="auto"/>
            <w:gridSpan w:val="3"/>
            <w:shd w:val="clear" w:color="auto" w:fill="auto"/>
            <w:vAlign w:val="bottom"/>
          </w:tcPr>
          <w:p w14:paraId="74DDA54E" w14:textId="77777777" w:rsidR="00584EC1" w:rsidRDefault="00584EC1">
            <w:pPr>
              <w:rPr>
                <w:rFonts w:ascii="宋体"/>
                <w:vanish/>
              </w:rPr>
            </w:pPr>
          </w:p>
        </w:tc>
        <w:tc>
          <w:tcPr>
            <w:tcW w:w="0" w:type="auto"/>
            <w:gridSpan w:val="3"/>
            <w:shd w:val="clear" w:color="auto" w:fill="auto"/>
            <w:vAlign w:val="bottom"/>
          </w:tcPr>
          <w:p w14:paraId="74DDA54F" w14:textId="77777777" w:rsidR="00584EC1" w:rsidRDefault="00584EC1">
            <w:pPr>
              <w:rPr>
                <w:rFonts w:ascii="宋体"/>
                <w:vanish/>
              </w:rPr>
            </w:pPr>
          </w:p>
        </w:tc>
        <w:tc>
          <w:tcPr>
            <w:tcW w:w="0" w:type="auto"/>
            <w:gridSpan w:val="3"/>
            <w:shd w:val="clear" w:color="auto" w:fill="auto"/>
            <w:vAlign w:val="bottom"/>
          </w:tcPr>
          <w:p w14:paraId="74DDA550" w14:textId="77777777" w:rsidR="00584EC1" w:rsidRDefault="00584EC1">
            <w:pPr>
              <w:rPr>
                <w:rFonts w:ascii="宋体"/>
                <w:vanish/>
              </w:rPr>
            </w:pPr>
          </w:p>
        </w:tc>
        <w:tc>
          <w:tcPr>
            <w:tcW w:w="0" w:type="auto"/>
            <w:gridSpan w:val="3"/>
            <w:shd w:val="clear" w:color="auto" w:fill="auto"/>
            <w:vAlign w:val="bottom"/>
          </w:tcPr>
          <w:p w14:paraId="74DDA551" w14:textId="77777777" w:rsidR="00584EC1" w:rsidRDefault="00584EC1">
            <w:pPr>
              <w:rPr>
                <w:rFonts w:ascii="宋体"/>
                <w:vanish/>
              </w:rPr>
            </w:pPr>
          </w:p>
        </w:tc>
        <w:tc>
          <w:tcPr>
            <w:tcW w:w="0" w:type="auto"/>
            <w:gridSpan w:val="3"/>
            <w:shd w:val="clear" w:color="auto" w:fill="auto"/>
            <w:vAlign w:val="bottom"/>
          </w:tcPr>
          <w:p w14:paraId="74DDA552" w14:textId="77777777" w:rsidR="00584EC1" w:rsidRDefault="00584EC1">
            <w:pPr>
              <w:rPr>
                <w:rFonts w:ascii="宋体"/>
                <w:vanish/>
              </w:rPr>
            </w:pPr>
          </w:p>
        </w:tc>
        <w:tc>
          <w:tcPr>
            <w:tcW w:w="0" w:type="auto"/>
            <w:gridSpan w:val="3"/>
            <w:shd w:val="clear" w:color="auto" w:fill="auto"/>
            <w:vAlign w:val="bottom"/>
          </w:tcPr>
          <w:p w14:paraId="74DDA553" w14:textId="77777777" w:rsidR="00584EC1" w:rsidRDefault="00584EC1">
            <w:pPr>
              <w:rPr>
                <w:rFonts w:ascii="宋体"/>
                <w:vanish/>
              </w:rPr>
            </w:pPr>
          </w:p>
        </w:tc>
        <w:tc>
          <w:tcPr>
            <w:tcW w:w="0" w:type="auto"/>
            <w:gridSpan w:val="3"/>
            <w:shd w:val="clear" w:color="auto" w:fill="auto"/>
            <w:vAlign w:val="bottom"/>
          </w:tcPr>
          <w:p w14:paraId="74DDA554" w14:textId="77777777" w:rsidR="00584EC1" w:rsidRDefault="00584EC1">
            <w:pPr>
              <w:rPr>
                <w:rFonts w:ascii="宋体"/>
                <w:vanish/>
              </w:rPr>
            </w:pPr>
          </w:p>
        </w:tc>
        <w:tc>
          <w:tcPr>
            <w:tcW w:w="0" w:type="auto"/>
            <w:gridSpan w:val="3"/>
            <w:shd w:val="clear" w:color="auto" w:fill="auto"/>
            <w:vAlign w:val="bottom"/>
          </w:tcPr>
          <w:p w14:paraId="74DDA555" w14:textId="77777777" w:rsidR="00584EC1" w:rsidRDefault="00584EC1">
            <w:pPr>
              <w:rPr>
                <w:rFonts w:ascii="宋体"/>
                <w:vanish/>
              </w:rPr>
            </w:pPr>
          </w:p>
        </w:tc>
        <w:tc>
          <w:tcPr>
            <w:tcW w:w="0" w:type="auto"/>
            <w:gridSpan w:val="3"/>
            <w:shd w:val="clear" w:color="auto" w:fill="auto"/>
            <w:vAlign w:val="bottom"/>
          </w:tcPr>
          <w:p w14:paraId="74DDA556" w14:textId="77777777" w:rsidR="00584EC1" w:rsidRDefault="00584EC1">
            <w:pPr>
              <w:rPr>
                <w:rFonts w:ascii="宋体"/>
                <w:vanish/>
              </w:rPr>
            </w:pPr>
          </w:p>
        </w:tc>
      </w:tr>
      <w:tr w:rsidR="00584EC1" w14:paraId="74DDA569" w14:textId="77777777">
        <w:trPr>
          <w:hidden/>
        </w:trPr>
        <w:tc>
          <w:tcPr>
            <w:tcW w:w="0" w:type="auto"/>
            <w:shd w:val="clear" w:color="auto" w:fill="auto"/>
            <w:vAlign w:val="bottom"/>
          </w:tcPr>
          <w:p w14:paraId="74DDA558" w14:textId="77777777" w:rsidR="00584EC1" w:rsidRDefault="00584EC1">
            <w:pPr>
              <w:rPr>
                <w:rFonts w:ascii="宋体"/>
                <w:vanish/>
              </w:rPr>
            </w:pPr>
          </w:p>
        </w:tc>
        <w:tc>
          <w:tcPr>
            <w:tcW w:w="0" w:type="auto"/>
            <w:shd w:val="clear" w:color="auto" w:fill="auto"/>
            <w:vAlign w:val="bottom"/>
          </w:tcPr>
          <w:p w14:paraId="74DDA559" w14:textId="77777777" w:rsidR="00584EC1" w:rsidRDefault="00584EC1">
            <w:pPr>
              <w:rPr>
                <w:rFonts w:ascii="宋体"/>
                <w:vanish/>
              </w:rPr>
            </w:pPr>
          </w:p>
        </w:tc>
        <w:tc>
          <w:tcPr>
            <w:tcW w:w="0" w:type="auto"/>
            <w:shd w:val="clear" w:color="auto" w:fill="auto"/>
            <w:vAlign w:val="bottom"/>
          </w:tcPr>
          <w:p w14:paraId="74DDA55A" w14:textId="77777777" w:rsidR="00584EC1" w:rsidRDefault="00584EC1">
            <w:pPr>
              <w:rPr>
                <w:rFonts w:ascii="宋体"/>
                <w:vanish/>
              </w:rPr>
            </w:pPr>
          </w:p>
        </w:tc>
        <w:tc>
          <w:tcPr>
            <w:tcW w:w="0" w:type="auto"/>
            <w:shd w:val="clear" w:color="auto" w:fill="auto"/>
            <w:vAlign w:val="bottom"/>
          </w:tcPr>
          <w:p w14:paraId="74DDA55B" w14:textId="77777777" w:rsidR="00584EC1" w:rsidRDefault="00584EC1">
            <w:pPr>
              <w:rPr>
                <w:rFonts w:ascii="宋体"/>
                <w:vanish/>
              </w:rPr>
            </w:pPr>
          </w:p>
        </w:tc>
        <w:tc>
          <w:tcPr>
            <w:tcW w:w="0" w:type="auto"/>
            <w:shd w:val="clear" w:color="auto" w:fill="auto"/>
            <w:vAlign w:val="bottom"/>
          </w:tcPr>
          <w:p w14:paraId="74DDA55C" w14:textId="77777777" w:rsidR="00584EC1" w:rsidRDefault="00584EC1">
            <w:pPr>
              <w:rPr>
                <w:rFonts w:ascii="宋体"/>
                <w:vanish/>
              </w:rPr>
            </w:pPr>
          </w:p>
        </w:tc>
        <w:tc>
          <w:tcPr>
            <w:tcW w:w="0" w:type="auto"/>
            <w:shd w:val="clear" w:color="auto" w:fill="auto"/>
            <w:vAlign w:val="bottom"/>
          </w:tcPr>
          <w:p w14:paraId="74DDA55D" w14:textId="77777777" w:rsidR="00584EC1" w:rsidRDefault="00584EC1">
            <w:pPr>
              <w:rPr>
                <w:rFonts w:ascii="宋体"/>
                <w:vanish/>
              </w:rPr>
            </w:pPr>
          </w:p>
        </w:tc>
        <w:tc>
          <w:tcPr>
            <w:tcW w:w="0" w:type="auto"/>
            <w:gridSpan w:val="3"/>
            <w:shd w:val="clear" w:color="auto" w:fill="auto"/>
            <w:vAlign w:val="bottom"/>
          </w:tcPr>
          <w:p w14:paraId="74DDA55E" w14:textId="77777777" w:rsidR="00584EC1" w:rsidRDefault="00584EC1">
            <w:pPr>
              <w:rPr>
                <w:rFonts w:ascii="宋体"/>
                <w:vanish/>
              </w:rPr>
            </w:pPr>
          </w:p>
        </w:tc>
        <w:tc>
          <w:tcPr>
            <w:tcW w:w="0" w:type="auto"/>
            <w:gridSpan w:val="3"/>
            <w:shd w:val="clear" w:color="auto" w:fill="auto"/>
            <w:vAlign w:val="bottom"/>
          </w:tcPr>
          <w:p w14:paraId="74DDA55F" w14:textId="77777777" w:rsidR="00584EC1" w:rsidRDefault="00584EC1">
            <w:pPr>
              <w:rPr>
                <w:rFonts w:ascii="宋体"/>
                <w:vanish/>
              </w:rPr>
            </w:pPr>
          </w:p>
        </w:tc>
        <w:tc>
          <w:tcPr>
            <w:tcW w:w="0" w:type="auto"/>
            <w:gridSpan w:val="3"/>
            <w:shd w:val="clear" w:color="auto" w:fill="auto"/>
            <w:vAlign w:val="bottom"/>
          </w:tcPr>
          <w:p w14:paraId="74DDA560" w14:textId="77777777" w:rsidR="00584EC1" w:rsidRDefault="00584EC1">
            <w:pPr>
              <w:rPr>
                <w:rFonts w:ascii="宋体"/>
                <w:vanish/>
              </w:rPr>
            </w:pPr>
          </w:p>
        </w:tc>
        <w:tc>
          <w:tcPr>
            <w:tcW w:w="0" w:type="auto"/>
            <w:gridSpan w:val="3"/>
            <w:shd w:val="clear" w:color="auto" w:fill="auto"/>
            <w:vAlign w:val="bottom"/>
          </w:tcPr>
          <w:p w14:paraId="74DDA561" w14:textId="77777777" w:rsidR="00584EC1" w:rsidRDefault="00584EC1">
            <w:pPr>
              <w:rPr>
                <w:rFonts w:ascii="宋体"/>
                <w:vanish/>
              </w:rPr>
            </w:pPr>
          </w:p>
        </w:tc>
        <w:tc>
          <w:tcPr>
            <w:tcW w:w="0" w:type="auto"/>
            <w:gridSpan w:val="3"/>
            <w:shd w:val="clear" w:color="auto" w:fill="auto"/>
            <w:vAlign w:val="bottom"/>
          </w:tcPr>
          <w:p w14:paraId="74DDA562" w14:textId="77777777" w:rsidR="00584EC1" w:rsidRDefault="00584EC1">
            <w:pPr>
              <w:rPr>
                <w:rFonts w:ascii="宋体"/>
                <w:vanish/>
              </w:rPr>
            </w:pPr>
          </w:p>
        </w:tc>
        <w:tc>
          <w:tcPr>
            <w:tcW w:w="0" w:type="auto"/>
            <w:gridSpan w:val="3"/>
            <w:shd w:val="clear" w:color="auto" w:fill="auto"/>
            <w:vAlign w:val="bottom"/>
          </w:tcPr>
          <w:p w14:paraId="74DDA563" w14:textId="77777777" w:rsidR="00584EC1" w:rsidRDefault="00584EC1">
            <w:pPr>
              <w:rPr>
                <w:rFonts w:ascii="宋体"/>
                <w:vanish/>
              </w:rPr>
            </w:pPr>
          </w:p>
        </w:tc>
        <w:tc>
          <w:tcPr>
            <w:tcW w:w="0" w:type="auto"/>
            <w:gridSpan w:val="3"/>
            <w:shd w:val="clear" w:color="auto" w:fill="auto"/>
            <w:vAlign w:val="bottom"/>
          </w:tcPr>
          <w:p w14:paraId="74DDA564" w14:textId="77777777" w:rsidR="00584EC1" w:rsidRDefault="00584EC1">
            <w:pPr>
              <w:rPr>
                <w:rFonts w:ascii="宋体"/>
                <w:vanish/>
              </w:rPr>
            </w:pPr>
          </w:p>
        </w:tc>
        <w:tc>
          <w:tcPr>
            <w:tcW w:w="0" w:type="auto"/>
            <w:gridSpan w:val="3"/>
            <w:shd w:val="clear" w:color="auto" w:fill="auto"/>
            <w:vAlign w:val="bottom"/>
          </w:tcPr>
          <w:p w14:paraId="74DDA565" w14:textId="77777777" w:rsidR="00584EC1" w:rsidRDefault="00584EC1">
            <w:pPr>
              <w:rPr>
                <w:rFonts w:ascii="宋体"/>
                <w:vanish/>
              </w:rPr>
            </w:pPr>
          </w:p>
        </w:tc>
        <w:tc>
          <w:tcPr>
            <w:tcW w:w="0" w:type="auto"/>
            <w:gridSpan w:val="3"/>
            <w:shd w:val="clear" w:color="auto" w:fill="auto"/>
            <w:vAlign w:val="bottom"/>
          </w:tcPr>
          <w:p w14:paraId="74DDA566" w14:textId="77777777" w:rsidR="00584EC1" w:rsidRDefault="00584EC1">
            <w:pPr>
              <w:rPr>
                <w:rFonts w:ascii="宋体"/>
                <w:vanish/>
              </w:rPr>
            </w:pPr>
          </w:p>
        </w:tc>
        <w:tc>
          <w:tcPr>
            <w:tcW w:w="0" w:type="auto"/>
            <w:gridSpan w:val="3"/>
            <w:shd w:val="clear" w:color="auto" w:fill="auto"/>
            <w:vAlign w:val="bottom"/>
          </w:tcPr>
          <w:p w14:paraId="74DDA567" w14:textId="77777777" w:rsidR="00584EC1" w:rsidRDefault="00584EC1">
            <w:pPr>
              <w:rPr>
                <w:rFonts w:ascii="宋体"/>
                <w:vanish/>
              </w:rPr>
            </w:pPr>
          </w:p>
        </w:tc>
        <w:tc>
          <w:tcPr>
            <w:tcW w:w="0" w:type="auto"/>
            <w:gridSpan w:val="3"/>
            <w:shd w:val="clear" w:color="auto" w:fill="auto"/>
            <w:vAlign w:val="bottom"/>
          </w:tcPr>
          <w:p w14:paraId="74DDA568" w14:textId="77777777" w:rsidR="00584EC1" w:rsidRDefault="00584EC1">
            <w:pPr>
              <w:rPr>
                <w:rFonts w:ascii="宋体"/>
                <w:vanish/>
              </w:rPr>
            </w:pPr>
          </w:p>
        </w:tc>
      </w:tr>
      <w:tr w:rsidR="00584EC1" w14:paraId="74DDA57B" w14:textId="77777777">
        <w:trPr>
          <w:trHeight w:val="60"/>
          <w:hidden/>
        </w:trPr>
        <w:tc>
          <w:tcPr>
            <w:tcW w:w="0" w:type="auto"/>
            <w:shd w:val="clear" w:color="auto" w:fill="auto"/>
            <w:vAlign w:val="bottom"/>
          </w:tcPr>
          <w:p w14:paraId="74DDA56A" w14:textId="77777777" w:rsidR="00584EC1" w:rsidRDefault="00584EC1">
            <w:pPr>
              <w:rPr>
                <w:rFonts w:ascii="宋体"/>
                <w:vanish/>
              </w:rPr>
            </w:pPr>
          </w:p>
        </w:tc>
        <w:tc>
          <w:tcPr>
            <w:tcW w:w="0" w:type="auto"/>
            <w:shd w:val="clear" w:color="auto" w:fill="auto"/>
            <w:vAlign w:val="bottom"/>
          </w:tcPr>
          <w:p w14:paraId="74DDA56B" w14:textId="77777777" w:rsidR="00584EC1" w:rsidRDefault="00584EC1">
            <w:pPr>
              <w:rPr>
                <w:rFonts w:ascii="宋体"/>
                <w:vanish/>
              </w:rPr>
            </w:pPr>
          </w:p>
        </w:tc>
        <w:tc>
          <w:tcPr>
            <w:tcW w:w="0" w:type="auto"/>
            <w:shd w:val="clear" w:color="auto" w:fill="auto"/>
            <w:vAlign w:val="bottom"/>
          </w:tcPr>
          <w:p w14:paraId="74DDA56C" w14:textId="77777777" w:rsidR="00584EC1" w:rsidRDefault="00584EC1">
            <w:pPr>
              <w:rPr>
                <w:rFonts w:ascii="宋体"/>
                <w:vanish/>
              </w:rPr>
            </w:pPr>
          </w:p>
        </w:tc>
        <w:tc>
          <w:tcPr>
            <w:tcW w:w="0" w:type="auto"/>
            <w:shd w:val="clear" w:color="auto" w:fill="auto"/>
            <w:vAlign w:val="bottom"/>
          </w:tcPr>
          <w:p w14:paraId="74DDA56D" w14:textId="77777777" w:rsidR="00584EC1" w:rsidRDefault="00584EC1">
            <w:pPr>
              <w:rPr>
                <w:rFonts w:ascii="宋体"/>
                <w:vanish/>
              </w:rPr>
            </w:pPr>
          </w:p>
        </w:tc>
        <w:tc>
          <w:tcPr>
            <w:tcW w:w="0" w:type="auto"/>
            <w:shd w:val="clear" w:color="auto" w:fill="auto"/>
            <w:vAlign w:val="bottom"/>
          </w:tcPr>
          <w:p w14:paraId="74DDA56E" w14:textId="77777777" w:rsidR="00584EC1" w:rsidRDefault="00584EC1">
            <w:pPr>
              <w:rPr>
                <w:rFonts w:ascii="宋体"/>
                <w:vanish/>
              </w:rPr>
            </w:pPr>
          </w:p>
        </w:tc>
        <w:tc>
          <w:tcPr>
            <w:tcW w:w="0" w:type="auto"/>
            <w:shd w:val="clear" w:color="auto" w:fill="auto"/>
            <w:vAlign w:val="bottom"/>
          </w:tcPr>
          <w:p w14:paraId="74DDA56F" w14:textId="77777777" w:rsidR="00584EC1" w:rsidRDefault="00584EC1">
            <w:pPr>
              <w:rPr>
                <w:rFonts w:ascii="宋体"/>
                <w:vanish/>
              </w:rPr>
            </w:pPr>
          </w:p>
        </w:tc>
        <w:tc>
          <w:tcPr>
            <w:tcW w:w="0" w:type="auto"/>
            <w:gridSpan w:val="3"/>
            <w:shd w:val="clear" w:color="auto" w:fill="auto"/>
            <w:tcMar>
              <w:top w:w="0" w:type="dxa"/>
              <w:left w:w="20" w:type="dxa"/>
              <w:bottom w:w="0" w:type="dxa"/>
              <w:right w:w="20" w:type="dxa"/>
            </w:tcMar>
            <w:vAlign w:val="bottom"/>
          </w:tcPr>
          <w:p w14:paraId="74DDA570"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A57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A57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A573"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A574"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A57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A576"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A577"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A578"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A579"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A57A" w14:textId="77777777" w:rsidR="00584EC1" w:rsidRDefault="00584EC1">
            <w:pPr>
              <w:rPr>
                <w:rFonts w:ascii="宋体"/>
              </w:rPr>
            </w:pPr>
          </w:p>
        </w:tc>
      </w:tr>
    </w:tbl>
    <w:p w14:paraId="74DDA57C" w14:textId="77777777" w:rsidR="00584EC1" w:rsidRDefault="00584E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1446"/>
        <w:gridCol w:w="36"/>
        <w:gridCol w:w="51"/>
        <w:gridCol w:w="861"/>
        <w:gridCol w:w="36"/>
        <w:gridCol w:w="36"/>
        <w:gridCol w:w="36"/>
        <w:gridCol w:w="36"/>
        <w:gridCol w:w="99"/>
        <w:gridCol w:w="839"/>
        <w:gridCol w:w="37"/>
        <w:gridCol w:w="36"/>
        <w:gridCol w:w="36"/>
        <w:gridCol w:w="36"/>
        <w:gridCol w:w="99"/>
        <w:gridCol w:w="840"/>
        <w:gridCol w:w="37"/>
        <w:gridCol w:w="36"/>
        <w:gridCol w:w="36"/>
        <w:gridCol w:w="36"/>
        <w:gridCol w:w="51"/>
        <w:gridCol w:w="830"/>
        <w:gridCol w:w="36"/>
        <w:gridCol w:w="36"/>
        <w:gridCol w:w="36"/>
        <w:gridCol w:w="36"/>
        <w:gridCol w:w="99"/>
        <w:gridCol w:w="840"/>
        <w:gridCol w:w="37"/>
        <w:gridCol w:w="36"/>
        <w:gridCol w:w="36"/>
        <w:gridCol w:w="36"/>
        <w:gridCol w:w="99"/>
        <w:gridCol w:w="842"/>
        <w:gridCol w:w="37"/>
        <w:gridCol w:w="36"/>
        <w:gridCol w:w="36"/>
        <w:gridCol w:w="36"/>
        <w:gridCol w:w="36"/>
        <w:gridCol w:w="36"/>
        <w:gridCol w:w="36"/>
        <w:gridCol w:w="36"/>
        <w:gridCol w:w="36"/>
        <w:gridCol w:w="36"/>
        <w:gridCol w:w="36"/>
        <w:gridCol w:w="36"/>
        <w:gridCol w:w="36"/>
        <w:gridCol w:w="36"/>
        <w:gridCol w:w="36"/>
      </w:tblGrid>
      <w:tr w:rsidR="00584EC1" w14:paraId="74DDA5A7" w14:textId="77777777">
        <w:tc>
          <w:tcPr>
            <w:tcW w:w="50" w:type="pct"/>
            <w:shd w:val="clear" w:color="auto" w:fill="auto"/>
            <w:vAlign w:val="bottom"/>
          </w:tcPr>
          <w:p w14:paraId="74DDA57D" w14:textId="77777777" w:rsidR="00584EC1" w:rsidRDefault="00584EC1">
            <w:pPr>
              <w:rPr>
                <w:rFonts w:ascii="宋体"/>
              </w:rPr>
            </w:pPr>
          </w:p>
        </w:tc>
        <w:tc>
          <w:tcPr>
            <w:tcW w:w="946" w:type="pct"/>
            <w:shd w:val="clear" w:color="auto" w:fill="auto"/>
            <w:vAlign w:val="bottom"/>
          </w:tcPr>
          <w:p w14:paraId="74DDA57E" w14:textId="77777777" w:rsidR="00584EC1" w:rsidRDefault="00584EC1">
            <w:pPr>
              <w:rPr>
                <w:rFonts w:ascii="宋体"/>
              </w:rPr>
            </w:pPr>
          </w:p>
        </w:tc>
        <w:tc>
          <w:tcPr>
            <w:tcW w:w="5" w:type="pct"/>
            <w:shd w:val="clear" w:color="auto" w:fill="auto"/>
            <w:vAlign w:val="bottom"/>
          </w:tcPr>
          <w:p w14:paraId="74DDA57F" w14:textId="77777777" w:rsidR="00584EC1" w:rsidRDefault="00584EC1">
            <w:pPr>
              <w:rPr>
                <w:rFonts w:ascii="宋体"/>
              </w:rPr>
            </w:pPr>
          </w:p>
        </w:tc>
        <w:tc>
          <w:tcPr>
            <w:tcW w:w="50" w:type="pct"/>
            <w:shd w:val="clear" w:color="auto" w:fill="auto"/>
            <w:vAlign w:val="bottom"/>
          </w:tcPr>
          <w:p w14:paraId="74DDA580" w14:textId="77777777" w:rsidR="00584EC1" w:rsidRDefault="00584EC1">
            <w:pPr>
              <w:rPr>
                <w:rFonts w:ascii="宋体"/>
              </w:rPr>
            </w:pPr>
          </w:p>
        </w:tc>
        <w:tc>
          <w:tcPr>
            <w:tcW w:w="580" w:type="pct"/>
            <w:shd w:val="clear" w:color="auto" w:fill="auto"/>
            <w:vAlign w:val="bottom"/>
          </w:tcPr>
          <w:p w14:paraId="74DDA581" w14:textId="77777777" w:rsidR="00584EC1" w:rsidRDefault="00584EC1">
            <w:pPr>
              <w:rPr>
                <w:rFonts w:ascii="宋体"/>
              </w:rPr>
            </w:pPr>
          </w:p>
        </w:tc>
        <w:tc>
          <w:tcPr>
            <w:tcW w:w="5" w:type="pct"/>
            <w:shd w:val="clear" w:color="auto" w:fill="auto"/>
            <w:vAlign w:val="bottom"/>
          </w:tcPr>
          <w:p w14:paraId="74DDA582" w14:textId="77777777" w:rsidR="00584EC1" w:rsidRDefault="00584EC1">
            <w:pPr>
              <w:rPr>
                <w:rFonts w:ascii="宋体"/>
              </w:rPr>
            </w:pPr>
          </w:p>
        </w:tc>
        <w:tc>
          <w:tcPr>
            <w:tcW w:w="5" w:type="pct"/>
            <w:shd w:val="clear" w:color="auto" w:fill="auto"/>
            <w:vAlign w:val="bottom"/>
          </w:tcPr>
          <w:p w14:paraId="74DDA583" w14:textId="77777777" w:rsidR="00584EC1" w:rsidRDefault="00584EC1">
            <w:pPr>
              <w:rPr>
                <w:rFonts w:ascii="宋体"/>
              </w:rPr>
            </w:pPr>
          </w:p>
        </w:tc>
        <w:tc>
          <w:tcPr>
            <w:tcW w:w="26" w:type="pct"/>
            <w:shd w:val="clear" w:color="auto" w:fill="auto"/>
            <w:vAlign w:val="bottom"/>
          </w:tcPr>
          <w:p w14:paraId="74DDA584" w14:textId="77777777" w:rsidR="00584EC1" w:rsidRDefault="00584EC1">
            <w:pPr>
              <w:rPr>
                <w:rFonts w:ascii="宋体"/>
              </w:rPr>
            </w:pPr>
          </w:p>
        </w:tc>
        <w:tc>
          <w:tcPr>
            <w:tcW w:w="5" w:type="pct"/>
            <w:shd w:val="clear" w:color="auto" w:fill="auto"/>
            <w:vAlign w:val="bottom"/>
          </w:tcPr>
          <w:p w14:paraId="74DDA585" w14:textId="77777777" w:rsidR="00584EC1" w:rsidRDefault="00584EC1">
            <w:pPr>
              <w:rPr>
                <w:rFonts w:ascii="宋体"/>
              </w:rPr>
            </w:pPr>
          </w:p>
        </w:tc>
        <w:tc>
          <w:tcPr>
            <w:tcW w:w="50" w:type="pct"/>
            <w:shd w:val="clear" w:color="auto" w:fill="auto"/>
            <w:vAlign w:val="bottom"/>
          </w:tcPr>
          <w:p w14:paraId="74DDA586" w14:textId="77777777" w:rsidR="00584EC1" w:rsidRDefault="00584EC1">
            <w:pPr>
              <w:rPr>
                <w:rFonts w:ascii="宋体"/>
              </w:rPr>
            </w:pPr>
          </w:p>
        </w:tc>
        <w:tc>
          <w:tcPr>
            <w:tcW w:w="580" w:type="pct"/>
            <w:shd w:val="clear" w:color="auto" w:fill="auto"/>
            <w:vAlign w:val="bottom"/>
          </w:tcPr>
          <w:p w14:paraId="74DDA587" w14:textId="77777777" w:rsidR="00584EC1" w:rsidRDefault="00584EC1">
            <w:pPr>
              <w:rPr>
                <w:rFonts w:ascii="宋体"/>
              </w:rPr>
            </w:pPr>
          </w:p>
        </w:tc>
        <w:tc>
          <w:tcPr>
            <w:tcW w:w="5" w:type="pct"/>
            <w:shd w:val="clear" w:color="auto" w:fill="auto"/>
            <w:vAlign w:val="bottom"/>
          </w:tcPr>
          <w:p w14:paraId="74DDA588" w14:textId="77777777" w:rsidR="00584EC1" w:rsidRDefault="00584EC1">
            <w:pPr>
              <w:rPr>
                <w:rFonts w:ascii="宋体"/>
              </w:rPr>
            </w:pPr>
          </w:p>
        </w:tc>
        <w:tc>
          <w:tcPr>
            <w:tcW w:w="5" w:type="pct"/>
            <w:shd w:val="clear" w:color="auto" w:fill="auto"/>
            <w:vAlign w:val="bottom"/>
          </w:tcPr>
          <w:p w14:paraId="74DDA589" w14:textId="77777777" w:rsidR="00584EC1" w:rsidRDefault="00584EC1">
            <w:pPr>
              <w:rPr>
                <w:rFonts w:ascii="宋体"/>
              </w:rPr>
            </w:pPr>
          </w:p>
        </w:tc>
        <w:tc>
          <w:tcPr>
            <w:tcW w:w="26" w:type="pct"/>
            <w:shd w:val="clear" w:color="auto" w:fill="auto"/>
            <w:vAlign w:val="bottom"/>
          </w:tcPr>
          <w:p w14:paraId="74DDA58A" w14:textId="77777777" w:rsidR="00584EC1" w:rsidRDefault="00584EC1">
            <w:pPr>
              <w:rPr>
                <w:rFonts w:ascii="宋体"/>
              </w:rPr>
            </w:pPr>
          </w:p>
        </w:tc>
        <w:tc>
          <w:tcPr>
            <w:tcW w:w="5" w:type="pct"/>
            <w:shd w:val="clear" w:color="auto" w:fill="auto"/>
            <w:vAlign w:val="bottom"/>
          </w:tcPr>
          <w:p w14:paraId="74DDA58B" w14:textId="77777777" w:rsidR="00584EC1" w:rsidRDefault="00584EC1">
            <w:pPr>
              <w:rPr>
                <w:rFonts w:ascii="宋体"/>
              </w:rPr>
            </w:pPr>
          </w:p>
        </w:tc>
        <w:tc>
          <w:tcPr>
            <w:tcW w:w="50" w:type="pct"/>
            <w:shd w:val="clear" w:color="auto" w:fill="auto"/>
            <w:vAlign w:val="bottom"/>
          </w:tcPr>
          <w:p w14:paraId="74DDA58C" w14:textId="77777777" w:rsidR="00584EC1" w:rsidRDefault="00584EC1">
            <w:pPr>
              <w:rPr>
                <w:rFonts w:ascii="宋体"/>
              </w:rPr>
            </w:pPr>
          </w:p>
        </w:tc>
        <w:tc>
          <w:tcPr>
            <w:tcW w:w="580" w:type="pct"/>
            <w:shd w:val="clear" w:color="auto" w:fill="auto"/>
            <w:vAlign w:val="bottom"/>
          </w:tcPr>
          <w:p w14:paraId="74DDA58D" w14:textId="77777777" w:rsidR="00584EC1" w:rsidRDefault="00584EC1">
            <w:pPr>
              <w:rPr>
                <w:rFonts w:ascii="宋体"/>
              </w:rPr>
            </w:pPr>
          </w:p>
        </w:tc>
        <w:tc>
          <w:tcPr>
            <w:tcW w:w="5" w:type="pct"/>
            <w:shd w:val="clear" w:color="auto" w:fill="auto"/>
            <w:vAlign w:val="bottom"/>
          </w:tcPr>
          <w:p w14:paraId="74DDA58E" w14:textId="77777777" w:rsidR="00584EC1" w:rsidRDefault="00584EC1">
            <w:pPr>
              <w:rPr>
                <w:rFonts w:ascii="宋体"/>
              </w:rPr>
            </w:pPr>
          </w:p>
        </w:tc>
        <w:tc>
          <w:tcPr>
            <w:tcW w:w="5" w:type="pct"/>
            <w:shd w:val="clear" w:color="auto" w:fill="auto"/>
            <w:vAlign w:val="bottom"/>
          </w:tcPr>
          <w:p w14:paraId="74DDA58F" w14:textId="77777777" w:rsidR="00584EC1" w:rsidRDefault="00584EC1">
            <w:pPr>
              <w:rPr>
                <w:rFonts w:ascii="宋体"/>
              </w:rPr>
            </w:pPr>
          </w:p>
        </w:tc>
        <w:tc>
          <w:tcPr>
            <w:tcW w:w="26" w:type="pct"/>
            <w:shd w:val="clear" w:color="auto" w:fill="auto"/>
            <w:vAlign w:val="bottom"/>
          </w:tcPr>
          <w:p w14:paraId="74DDA590" w14:textId="77777777" w:rsidR="00584EC1" w:rsidRDefault="00584EC1">
            <w:pPr>
              <w:rPr>
                <w:rFonts w:ascii="宋体"/>
              </w:rPr>
            </w:pPr>
          </w:p>
        </w:tc>
        <w:tc>
          <w:tcPr>
            <w:tcW w:w="5" w:type="pct"/>
            <w:shd w:val="clear" w:color="auto" w:fill="auto"/>
            <w:vAlign w:val="bottom"/>
          </w:tcPr>
          <w:p w14:paraId="74DDA591" w14:textId="77777777" w:rsidR="00584EC1" w:rsidRDefault="00584EC1">
            <w:pPr>
              <w:rPr>
                <w:rFonts w:ascii="宋体"/>
              </w:rPr>
            </w:pPr>
          </w:p>
        </w:tc>
        <w:tc>
          <w:tcPr>
            <w:tcW w:w="50" w:type="pct"/>
            <w:shd w:val="clear" w:color="auto" w:fill="auto"/>
            <w:vAlign w:val="bottom"/>
          </w:tcPr>
          <w:p w14:paraId="74DDA592" w14:textId="77777777" w:rsidR="00584EC1" w:rsidRDefault="00584EC1">
            <w:pPr>
              <w:rPr>
                <w:rFonts w:ascii="宋体"/>
              </w:rPr>
            </w:pPr>
          </w:p>
        </w:tc>
        <w:tc>
          <w:tcPr>
            <w:tcW w:w="580" w:type="pct"/>
            <w:shd w:val="clear" w:color="auto" w:fill="auto"/>
            <w:vAlign w:val="bottom"/>
          </w:tcPr>
          <w:p w14:paraId="74DDA593" w14:textId="77777777" w:rsidR="00584EC1" w:rsidRDefault="00584EC1">
            <w:pPr>
              <w:rPr>
                <w:rFonts w:ascii="宋体"/>
              </w:rPr>
            </w:pPr>
          </w:p>
        </w:tc>
        <w:tc>
          <w:tcPr>
            <w:tcW w:w="5" w:type="pct"/>
            <w:shd w:val="clear" w:color="auto" w:fill="auto"/>
            <w:vAlign w:val="bottom"/>
          </w:tcPr>
          <w:p w14:paraId="74DDA594" w14:textId="77777777" w:rsidR="00584EC1" w:rsidRDefault="00584EC1">
            <w:pPr>
              <w:rPr>
                <w:rFonts w:ascii="宋体"/>
              </w:rPr>
            </w:pPr>
          </w:p>
        </w:tc>
        <w:tc>
          <w:tcPr>
            <w:tcW w:w="5" w:type="pct"/>
            <w:shd w:val="clear" w:color="auto" w:fill="auto"/>
            <w:vAlign w:val="bottom"/>
          </w:tcPr>
          <w:p w14:paraId="74DDA595" w14:textId="77777777" w:rsidR="00584EC1" w:rsidRDefault="00584EC1">
            <w:pPr>
              <w:rPr>
                <w:rFonts w:ascii="宋体"/>
              </w:rPr>
            </w:pPr>
          </w:p>
        </w:tc>
        <w:tc>
          <w:tcPr>
            <w:tcW w:w="26" w:type="pct"/>
            <w:shd w:val="clear" w:color="auto" w:fill="auto"/>
            <w:vAlign w:val="bottom"/>
          </w:tcPr>
          <w:p w14:paraId="74DDA596" w14:textId="77777777" w:rsidR="00584EC1" w:rsidRDefault="00584EC1">
            <w:pPr>
              <w:rPr>
                <w:rFonts w:ascii="宋体"/>
              </w:rPr>
            </w:pPr>
          </w:p>
        </w:tc>
        <w:tc>
          <w:tcPr>
            <w:tcW w:w="5" w:type="pct"/>
            <w:shd w:val="clear" w:color="auto" w:fill="auto"/>
            <w:vAlign w:val="bottom"/>
          </w:tcPr>
          <w:p w14:paraId="74DDA597" w14:textId="77777777" w:rsidR="00584EC1" w:rsidRDefault="00584EC1">
            <w:pPr>
              <w:rPr>
                <w:rFonts w:ascii="宋体"/>
              </w:rPr>
            </w:pPr>
          </w:p>
        </w:tc>
        <w:tc>
          <w:tcPr>
            <w:tcW w:w="50" w:type="pct"/>
            <w:shd w:val="clear" w:color="auto" w:fill="auto"/>
            <w:vAlign w:val="bottom"/>
          </w:tcPr>
          <w:p w14:paraId="74DDA598" w14:textId="77777777" w:rsidR="00584EC1" w:rsidRDefault="00584EC1">
            <w:pPr>
              <w:rPr>
                <w:rFonts w:ascii="宋体"/>
              </w:rPr>
            </w:pPr>
          </w:p>
        </w:tc>
        <w:tc>
          <w:tcPr>
            <w:tcW w:w="580" w:type="pct"/>
            <w:shd w:val="clear" w:color="auto" w:fill="auto"/>
            <w:vAlign w:val="bottom"/>
          </w:tcPr>
          <w:p w14:paraId="74DDA599" w14:textId="77777777" w:rsidR="00584EC1" w:rsidRDefault="00584EC1">
            <w:pPr>
              <w:rPr>
                <w:rFonts w:ascii="宋体"/>
              </w:rPr>
            </w:pPr>
          </w:p>
        </w:tc>
        <w:tc>
          <w:tcPr>
            <w:tcW w:w="5" w:type="pct"/>
            <w:shd w:val="clear" w:color="auto" w:fill="auto"/>
            <w:vAlign w:val="bottom"/>
          </w:tcPr>
          <w:p w14:paraId="74DDA59A" w14:textId="77777777" w:rsidR="00584EC1" w:rsidRDefault="00584EC1">
            <w:pPr>
              <w:rPr>
                <w:rFonts w:ascii="宋体"/>
              </w:rPr>
            </w:pPr>
          </w:p>
        </w:tc>
        <w:tc>
          <w:tcPr>
            <w:tcW w:w="5" w:type="pct"/>
            <w:shd w:val="clear" w:color="auto" w:fill="auto"/>
            <w:vAlign w:val="bottom"/>
          </w:tcPr>
          <w:p w14:paraId="74DDA59B" w14:textId="77777777" w:rsidR="00584EC1" w:rsidRDefault="00584EC1">
            <w:pPr>
              <w:rPr>
                <w:rFonts w:ascii="宋体"/>
              </w:rPr>
            </w:pPr>
          </w:p>
        </w:tc>
        <w:tc>
          <w:tcPr>
            <w:tcW w:w="26" w:type="pct"/>
            <w:shd w:val="clear" w:color="auto" w:fill="auto"/>
            <w:vAlign w:val="bottom"/>
          </w:tcPr>
          <w:p w14:paraId="74DDA59C" w14:textId="77777777" w:rsidR="00584EC1" w:rsidRDefault="00584EC1">
            <w:pPr>
              <w:rPr>
                <w:rFonts w:ascii="宋体"/>
              </w:rPr>
            </w:pPr>
          </w:p>
        </w:tc>
        <w:tc>
          <w:tcPr>
            <w:tcW w:w="5" w:type="pct"/>
            <w:shd w:val="clear" w:color="auto" w:fill="auto"/>
            <w:vAlign w:val="bottom"/>
          </w:tcPr>
          <w:p w14:paraId="74DDA59D" w14:textId="77777777" w:rsidR="00584EC1" w:rsidRDefault="00584EC1">
            <w:pPr>
              <w:rPr>
                <w:rFonts w:ascii="宋体"/>
              </w:rPr>
            </w:pPr>
          </w:p>
        </w:tc>
        <w:tc>
          <w:tcPr>
            <w:tcW w:w="50" w:type="pct"/>
            <w:shd w:val="clear" w:color="auto" w:fill="auto"/>
            <w:vAlign w:val="bottom"/>
          </w:tcPr>
          <w:p w14:paraId="74DDA59E" w14:textId="77777777" w:rsidR="00584EC1" w:rsidRDefault="00584EC1">
            <w:pPr>
              <w:rPr>
                <w:rFonts w:ascii="宋体"/>
              </w:rPr>
            </w:pPr>
          </w:p>
        </w:tc>
        <w:tc>
          <w:tcPr>
            <w:tcW w:w="581" w:type="pct"/>
            <w:shd w:val="clear" w:color="auto" w:fill="auto"/>
            <w:vAlign w:val="bottom"/>
          </w:tcPr>
          <w:p w14:paraId="74DDA59F" w14:textId="77777777" w:rsidR="00584EC1" w:rsidRDefault="00584EC1">
            <w:pPr>
              <w:rPr>
                <w:rFonts w:ascii="宋体"/>
              </w:rPr>
            </w:pPr>
          </w:p>
        </w:tc>
        <w:tc>
          <w:tcPr>
            <w:tcW w:w="5" w:type="pct"/>
            <w:shd w:val="clear" w:color="auto" w:fill="auto"/>
            <w:vAlign w:val="bottom"/>
          </w:tcPr>
          <w:p w14:paraId="74DDA5A0" w14:textId="77777777" w:rsidR="00584EC1" w:rsidRDefault="00584EC1">
            <w:pPr>
              <w:rPr>
                <w:rFonts w:ascii="宋体"/>
              </w:rPr>
            </w:pPr>
          </w:p>
        </w:tc>
        <w:tc>
          <w:tcPr>
            <w:tcW w:w="0" w:type="auto"/>
            <w:shd w:val="clear" w:color="auto" w:fill="auto"/>
            <w:vAlign w:val="bottom"/>
          </w:tcPr>
          <w:p w14:paraId="74DDA5A1" w14:textId="77777777" w:rsidR="00584EC1" w:rsidRDefault="00584EC1">
            <w:pPr>
              <w:rPr>
                <w:rFonts w:ascii="宋体"/>
                <w:vanish/>
              </w:rPr>
            </w:pPr>
          </w:p>
        </w:tc>
        <w:tc>
          <w:tcPr>
            <w:tcW w:w="0" w:type="auto"/>
            <w:shd w:val="clear" w:color="auto" w:fill="auto"/>
            <w:vAlign w:val="bottom"/>
          </w:tcPr>
          <w:p w14:paraId="74DDA5A2" w14:textId="77777777" w:rsidR="00584EC1" w:rsidRDefault="00584EC1">
            <w:pPr>
              <w:rPr>
                <w:rFonts w:ascii="宋体"/>
                <w:vanish/>
              </w:rPr>
            </w:pPr>
          </w:p>
        </w:tc>
        <w:tc>
          <w:tcPr>
            <w:tcW w:w="0" w:type="auto"/>
            <w:gridSpan w:val="3"/>
            <w:shd w:val="clear" w:color="auto" w:fill="auto"/>
            <w:vAlign w:val="bottom"/>
          </w:tcPr>
          <w:p w14:paraId="74DDA5A3" w14:textId="77777777" w:rsidR="00584EC1" w:rsidRDefault="00584EC1">
            <w:pPr>
              <w:rPr>
                <w:rFonts w:ascii="宋体"/>
                <w:vanish/>
              </w:rPr>
            </w:pPr>
          </w:p>
        </w:tc>
        <w:tc>
          <w:tcPr>
            <w:tcW w:w="0" w:type="auto"/>
            <w:gridSpan w:val="3"/>
            <w:shd w:val="clear" w:color="auto" w:fill="auto"/>
            <w:vAlign w:val="bottom"/>
          </w:tcPr>
          <w:p w14:paraId="74DDA5A4" w14:textId="77777777" w:rsidR="00584EC1" w:rsidRDefault="00584EC1">
            <w:pPr>
              <w:rPr>
                <w:rFonts w:ascii="宋体"/>
                <w:vanish/>
              </w:rPr>
            </w:pPr>
          </w:p>
        </w:tc>
        <w:tc>
          <w:tcPr>
            <w:tcW w:w="0" w:type="auto"/>
            <w:gridSpan w:val="3"/>
            <w:shd w:val="clear" w:color="auto" w:fill="auto"/>
            <w:vAlign w:val="bottom"/>
          </w:tcPr>
          <w:p w14:paraId="74DDA5A5" w14:textId="77777777" w:rsidR="00584EC1" w:rsidRDefault="00584EC1">
            <w:pPr>
              <w:rPr>
                <w:rFonts w:ascii="宋体"/>
                <w:vanish/>
              </w:rPr>
            </w:pPr>
          </w:p>
        </w:tc>
        <w:tc>
          <w:tcPr>
            <w:tcW w:w="0" w:type="auto"/>
            <w:gridSpan w:val="3"/>
            <w:shd w:val="clear" w:color="auto" w:fill="auto"/>
            <w:vAlign w:val="bottom"/>
          </w:tcPr>
          <w:p w14:paraId="74DDA5A6" w14:textId="77777777" w:rsidR="00584EC1" w:rsidRDefault="00584EC1">
            <w:pPr>
              <w:rPr>
                <w:rFonts w:ascii="宋体"/>
                <w:vanish/>
              </w:rPr>
            </w:pPr>
          </w:p>
        </w:tc>
      </w:tr>
      <w:tr w:rsidR="00584EC1" w14:paraId="74DDA5BA" w14:textId="77777777">
        <w:tc>
          <w:tcPr>
            <w:tcW w:w="0" w:type="auto"/>
            <w:gridSpan w:val="3"/>
            <w:shd w:val="clear" w:color="auto" w:fill="auto"/>
            <w:tcMar>
              <w:top w:w="0" w:type="dxa"/>
              <w:left w:w="20" w:type="dxa"/>
              <w:bottom w:w="0" w:type="dxa"/>
              <w:right w:w="20" w:type="dxa"/>
            </w:tcMar>
            <w:vAlign w:val="bottom"/>
          </w:tcPr>
          <w:p w14:paraId="74DDA5A8" w14:textId="77777777" w:rsidR="00584EC1" w:rsidRDefault="00584EC1">
            <w:pPr>
              <w:rPr>
                <w:rFonts w:ascii="宋体"/>
              </w:rPr>
            </w:pPr>
          </w:p>
        </w:tc>
        <w:tc>
          <w:tcPr>
            <w:tcW w:w="0" w:type="auto"/>
            <w:gridSpan w:val="15"/>
            <w:shd w:val="clear" w:color="auto" w:fill="auto"/>
            <w:tcMar>
              <w:top w:w="40" w:type="dxa"/>
              <w:left w:w="20" w:type="dxa"/>
              <w:bottom w:w="40" w:type="dxa"/>
              <w:right w:w="20" w:type="dxa"/>
            </w:tcMar>
            <w:vAlign w:val="bottom"/>
          </w:tcPr>
          <w:p w14:paraId="74DDA5A9" w14:textId="77777777" w:rsidR="00584EC1" w:rsidRDefault="00871F8D">
            <w:pPr>
              <w:jc w:val="center"/>
              <w:textAlignment w:val="bottom"/>
            </w:pPr>
            <w:r>
              <w:rPr>
                <w:rFonts w:ascii="Arial" w:eastAsia="宋体" w:hAnsi="Arial" w:cs="Arial"/>
                <w:b/>
                <w:bCs/>
                <w:color w:val="000000"/>
                <w:sz w:val="14"/>
                <w:szCs w:val="14"/>
              </w:rPr>
              <w:t>Three Months Ended September 30, 2020</w:t>
            </w:r>
          </w:p>
        </w:tc>
        <w:tc>
          <w:tcPr>
            <w:tcW w:w="0" w:type="auto"/>
            <w:gridSpan w:val="3"/>
            <w:shd w:val="clear" w:color="auto" w:fill="auto"/>
            <w:tcMar>
              <w:top w:w="0" w:type="dxa"/>
              <w:left w:w="20" w:type="dxa"/>
              <w:bottom w:w="0" w:type="dxa"/>
              <w:right w:w="20" w:type="dxa"/>
            </w:tcMar>
            <w:vAlign w:val="bottom"/>
          </w:tcPr>
          <w:p w14:paraId="74DDA5AA" w14:textId="77777777" w:rsidR="00584EC1" w:rsidRDefault="00584EC1">
            <w:pPr>
              <w:rPr>
                <w:rFonts w:ascii="宋体"/>
              </w:rPr>
            </w:pPr>
          </w:p>
        </w:tc>
        <w:tc>
          <w:tcPr>
            <w:tcW w:w="0" w:type="auto"/>
            <w:gridSpan w:val="15"/>
            <w:shd w:val="clear" w:color="auto" w:fill="auto"/>
            <w:tcMar>
              <w:top w:w="40" w:type="dxa"/>
              <w:left w:w="20" w:type="dxa"/>
              <w:bottom w:w="40" w:type="dxa"/>
              <w:right w:w="20" w:type="dxa"/>
            </w:tcMar>
            <w:vAlign w:val="bottom"/>
          </w:tcPr>
          <w:p w14:paraId="74DDA5AB" w14:textId="77777777" w:rsidR="00584EC1" w:rsidRDefault="00871F8D">
            <w:pPr>
              <w:jc w:val="center"/>
              <w:textAlignment w:val="bottom"/>
            </w:pPr>
            <w:r>
              <w:rPr>
                <w:rFonts w:ascii="Arial" w:eastAsia="宋体" w:hAnsi="Arial" w:cs="Arial"/>
                <w:b/>
                <w:bCs/>
                <w:color w:val="000000"/>
                <w:sz w:val="14"/>
                <w:szCs w:val="14"/>
              </w:rPr>
              <w:t>Nine Months Ended September 30, 2</w:t>
            </w:r>
            <w:r>
              <w:rPr>
                <w:rFonts w:ascii="Arial" w:eastAsia="宋体" w:hAnsi="Arial" w:cs="Arial"/>
                <w:b/>
                <w:bCs/>
                <w:color w:val="000000"/>
                <w:sz w:val="14"/>
                <w:szCs w:val="14"/>
              </w:rPr>
              <w:t>020</w:t>
            </w:r>
          </w:p>
        </w:tc>
        <w:tc>
          <w:tcPr>
            <w:tcW w:w="0" w:type="auto"/>
            <w:shd w:val="clear" w:color="auto" w:fill="auto"/>
            <w:vAlign w:val="bottom"/>
          </w:tcPr>
          <w:p w14:paraId="74DDA5AC" w14:textId="77777777" w:rsidR="00584EC1" w:rsidRDefault="00584EC1">
            <w:pPr>
              <w:rPr>
                <w:rFonts w:ascii="宋体"/>
                <w:vanish/>
              </w:rPr>
            </w:pPr>
          </w:p>
        </w:tc>
        <w:tc>
          <w:tcPr>
            <w:tcW w:w="0" w:type="auto"/>
            <w:shd w:val="clear" w:color="auto" w:fill="auto"/>
            <w:vAlign w:val="bottom"/>
          </w:tcPr>
          <w:p w14:paraId="74DDA5AD" w14:textId="77777777" w:rsidR="00584EC1" w:rsidRDefault="00584EC1">
            <w:pPr>
              <w:rPr>
                <w:rFonts w:ascii="宋体"/>
                <w:vanish/>
              </w:rPr>
            </w:pPr>
          </w:p>
        </w:tc>
        <w:tc>
          <w:tcPr>
            <w:tcW w:w="0" w:type="auto"/>
            <w:shd w:val="clear" w:color="auto" w:fill="auto"/>
            <w:vAlign w:val="bottom"/>
          </w:tcPr>
          <w:p w14:paraId="74DDA5AE" w14:textId="77777777" w:rsidR="00584EC1" w:rsidRDefault="00584EC1">
            <w:pPr>
              <w:rPr>
                <w:rFonts w:ascii="宋体"/>
              </w:rPr>
            </w:pPr>
          </w:p>
        </w:tc>
        <w:tc>
          <w:tcPr>
            <w:tcW w:w="0" w:type="auto"/>
            <w:shd w:val="clear" w:color="auto" w:fill="auto"/>
            <w:vAlign w:val="bottom"/>
          </w:tcPr>
          <w:p w14:paraId="74DDA5AF" w14:textId="77777777" w:rsidR="00584EC1" w:rsidRDefault="00584EC1">
            <w:pPr>
              <w:rPr>
                <w:rFonts w:ascii="宋体"/>
              </w:rPr>
            </w:pPr>
          </w:p>
        </w:tc>
        <w:tc>
          <w:tcPr>
            <w:tcW w:w="0" w:type="auto"/>
            <w:shd w:val="clear" w:color="auto" w:fill="auto"/>
            <w:vAlign w:val="bottom"/>
          </w:tcPr>
          <w:p w14:paraId="74DDA5B0" w14:textId="77777777" w:rsidR="00584EC1" w:rsidRDefault="00584EC1">
            <w:pPr>
              <w:rPr>
                <w:rFonts w:ascii="宋体"/>
              </w:rPr>
            </w:pPr>
          </w:p>
        </w:tc>
        <w:tc>
          <w:tcPr>
            <w:tcW w:w="0" w:type="auto"/>
            <w:shd w:val="clear" w:color="auto" w:fill="auto"/>
            <w:vAlign w:val="bottom"/>
          </w:tcPr>
          <w:p w14:paraId="74DDA5B1" w14:textId="77777777" w:rsidR="00584EC1" w:rsidRDefault="00584EC1">
            <w:pPr>
              <w:rPr>
                <w:rFonts w:ascii="宋体"/>
              </w:rPr>
            </w:pPr>
          </w:p>
        </w:tc>
        <w:tc>
          <w:tcPr>
            <w:tcW w:w="0" w:type="auto"/>
            <w:shd w:val="clear" w:color="auto" w:fill="auto"/>
            <w:vAlign w:val="bottom"/>
          </w:tcPr>
          <w:p w14:paraId="74DDA5B2" w14:textId="77777777" w:rsidR="00584EC1" w:rsidRDefault="00584EC1">
            <w:pPr>
              <w:rPr>
                <w:rFonts w:ascii="宋体"/>
              </w:rPr>
            </w:pPr>
          </w:p>
        </w:tc>
        <w:tc>
          <w:tcPr>
            <w:tcW w:w="0" w:type="auto"/>
            <w:shd w:val="clear" w:color="auto" w:fill="auto"/>
            <w:vAlign w:val="bottom"/>
          </w:tcPr>
          <w:p w14:paraId="74DDA5B3" w14:textId="77777777" w:rsidR="00584EC1" w:rsidRDefault="00584EC1">
            <w:pPr>
              <w:rPr>
                <w:rFonts w:ascii="宋体"/>
              </w:rPr>
            </w:pPr>
          </w:p>
        </w:tc>
        <w:tc>
          <w:tcPr>
            <w:tcW w:w="0" w:type="auto"/>
            <w:shd w:val="clear" w:color="auto" w:fill="auto"/>
            <w:vAlign w:val="bottom"/>
          </w:tcPr>
          <w:p w14:paraId="74DDA5B4" w14:textId="77777777" w:rsidR="00584EC1" w:rsidRDefault="00584EC1">
            <w:pPr>
              <w:rPr>
                <w:rFonts w:ascii="宋体"/>
              </w:rPr>
            </w:pPr>
          </w:p>
        </w:tc>
        <w:tc>
          <w:tcPr>
            <w:tcW w:w="0" w:type="auto"/>
            <w:shd w:val="clear" w:color="auto" w:fill="auto"/>
            <w:vAlign w:val="bottom"/>
          </w:tcPr>
          <w:p w14:paraId="74DDA5B5" w14:textId="77777777" w:rsidR="00584EC1" w:rsidRDefault="00584EC1">
            <w:pPr>
              <w:rPr>
                <w:rFonts w:ascii="宋体"/>
              </w:rPr>
            </w:pPr>
          </w:p>
        </w:tc>
        <w:tc>
          <w:tcPr>
            <w:tcW w:w="0" w:type="auto"/>
            <w:shd w:val="clear" w:color="auto" w:fill="auto"/>
            <w:vAlign w:val="bottom"/>
          </w:tcPr>
          <w:p w14:paraId="74DDA5B6" w14:textId="77777777" w:rsidR="00584EC1" w:rsidRDefault="00584EC1">
            <w:pPr>
              <w:rPr>
                <w:rFonts w:ascii="宋体"/>
              </w:rPr>
            </w:pPr>
          </w:p>
        </w:tc>
        <w:tc>
          <w:tcPr>
            <w:tcW w:w="0" w:type="auto"/>
            <w:shd w:val="clear" w:color="auto" w:fill="auto"/>
            <w:vAlign w:val="bottom"/>
          </w:tcPr>
          <w:p w14:paraId="74DDA5B7" w14:textId="77777777" w:rsidR="00584EC1" w:rsidRDefault="00584EC1">
            <w:pPr>
              <w:rPr>
                <w:rFonts w:ascii="宋体"/>
              </w:rPr>
            </w:pPr>
          </w:p>
        </w:tc>
        <w:tc>
          <w:tcPr>
            <w:tcW w:w="0" w:type="auto"/>
            <w:shd w:val="clear" w:color="auto" w:fill="auto"/>
            <w:vAlign w:val="bottom"/>
          </w:tcPr>
          <w:p w14:paraId="74DDA5B8" w14:textId="77777777" w:rsidR="00584EC1" w:rsidRDefault="00584EC1">
            <w:pPr>
              <w:rPr>
                <w:rFonts w:ascii="宋体"/>
              </w:rPr>
            </w:pPr>
          </w:p>
        </w:tc>
        <w:tc>
          <w:tcPr>
            <w:tcW w:w="0" w:type="auto"/>
            <w:shd w:val="clear" w:color="auto" w:fill="auto"/>
            <w:vAlign w:val="bottom"/>
          </w:tcPr>
          <w:p w14:paraId="74DDA5B9" w14:textId="77777777" w:rsidR="00584EC1" w:rsidRDefault="00584EC1">
            <w:pPr>
              <w:rPr>
                <w:rFonts w:ascii="宋体"/>
              </w:rPr>
            </w:pPr>
          </w:p>
        </w:tc>
      </w:tr>
      <w:tr w:rsidR="00584EC1" w14:paraId="74DDA5CD" w14:textId="77777777">
        <w:tc>
          <w:tcPr>
            <w:tcW w:w="0" w:type="auto"/>
            <w:gridSpan w:val="3"/>
            <w:shd w:val="clear" w:color="auto" w:fill="auto"/>
            <w:tcMar>
              <w:top w:w="0" w:type="dxa"/>
              <w:left w:w="20" w:type="dxa"/>
              <w:bottom w:w="0" w:type="dxa"/>
              <w:right w:w="20" w:type="dxa"/>
            </w:tcMar>
            <w:vAlign w:val="bottom"/>
          </w:tcPr>
          <w:p w14:paraId="74DDA5BB"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A5BC" w14:textId="77777777" w:rsidR="00584EC1" w:rsidRDefault="00871F8D">
            <w:pPr>
              <w:jc w:val="center"/>
              <w:textAlignment w:val="bottom"/>
            </w:pPr>
            <w:r>
              <w:rPr>
                <w:rFonts w:ascii="Arial" w:eastAsia="宋体" w:hAnsi="Arial" w:cs="Arial"/>
                <w:b/>
                <w:bCs/>
                <w:color w:val="000000"/>
                <w:sz w:val="14"/>
                <w:szCs w:val="14"/>
              </w:rPr>
              <w:t xml:space="preserve">Shares Acquired </w:t>
            </w:r>
            <w:r>
              <w:rPr>
                <w:rFonts w:ascii="Arial" w:eastAsia="宋体" w:hAnsi="Arial" w:cs="Arial"/>
                <w:b/>
                <w:bCs/>
                <w:color w:val="000000"/>
                <w:sz w:val="14"/>
                <w:szCs w:val="14"/>
              </w:rPr>
              <w:br/>
              <w:t>(In millions)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A5BD"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A5BE" w14:textId="77777777" w:rsidR="00584EC1" w:rsidRDefault="00871F8D">
            <w:pPr>
              <w:jc w:val="center"/>
              <w:textAlignment w:val="bottom"/>
            </w:pPr>
            <w:r>
              <w:rPr>
                <w:rFonts w:ascii="Arial" w:eastAsia="宋体" w:hAnsi="Arial" w:cs="Arial"/>
                <w:b/>
                <w:bCs/>
                <w:color w:val="000000"/>
                <w:sz w:val="14"/>
                <w:szCs w:val="14"/>
              </w:rPr>
              <w:t>Average Cost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A5BF"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A5C0" w14:textId="77777777" w:rsidR="00584EC1" w:rsidRDefault="00871F8D">
            <w:pPr>
              <w:jc w:val="center"/>
              <w:textAlignment w:val="bottom"/>
            </w:pPr>
            <w:r>
              <w:rPr>
                <w:rFonts w:ascii="Arial" w:eastAsia="宋体" w:hAnsi="Arial" w:cs="Arial"/>
                <w:b/>
                <w:bCs/>
                <w:color w:val="000000"/>
                <w:sz w:val="14"/>
                <w:szCs w:val="14"/>
              </w:rPr>
              <w:t xml:space="preserve">Total Acquired </w:t>
            </w:r>
            <w:r>
              <w:rPr>
                <w:rFonts w:ascii="Arial" w:eastAsia="宋体" w:hAnsi="Arial" w:cs="Arial"/>
                <w:b/>
                <w:bCs/>
                <w:color w:val="000000"/>
                <w:sz w:val="14"/>
                <w:szCs w:val="14"/>
              </w:rPr>
              <w:br/>
              <w:t>(In millions)</w:t>
            </w:r>
          </w:p>
        </w:tc>
        <w:tc>
          <w:tcPr>
            <w:tcW w:w="0" w:type="auto"/>
            <w:gridSpan w:val="3"/>
            <w:shd w:val="clear" w:color="auto" w:fill="auto"/>
            <w:tcMar>
              <w:top w:w="0" w:type="dxa"/>
              <w:left w:w="20" w:type="dxa"/>
              <w:bottom w:w="0" w:type="dxa"/>
              <w:right w:w="20" w:type="dxa"/>
            </w:tcMar>
            <w:vAlign w:val="bottom"/>
          </w:tcPr>
          <w:p w14:paraId="74DDA5C1"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A5C2" w14:textId="77777777" w:rsidR="00584EC1" w:rsidRDefault="00871F8D">
            <w:pPr>
              <w:jc w:val="center"/>
              <w:textAlignment w:val="bottom"/>
            </w:pPr>
            <w:r>
              <w:rPr>
                <w:rFonts w:ascii="Arial" w:eastAsia="宋体" w:hAnsi="Arial" w:cs="Arial"/>
                <w:b/>
                <w:bCs/>
                <w:color w:val="000000"/>
                <w:sz w:val="14"/>
                <w:szCs w:val="14"/>
              </w:rPr>
              <w:t xml:space="preserve">Shares Acquired </w:t>
            </w:r>
            <w:r>
              <w:rPr>
                <w:rFonts w:ascii="Arial" w:eastAsia="宋体" w:hAnsi="Arial" w:cs="Arial"/>
                <w:b/>
                <w:bCs/>
                <w:color w:val="000000"/>
                <w:sz w:val="14"/>
                <w:szCs w:val="14"/>
              </w:rPr>
              <w:br/>
              <w:t>(In millions)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A5C3"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A5C4" w14:textId="77777777" w:rsidR="00584EC1" w:rsidRDefault="00871F8D">
            <w:pPr>
              <w:jc w:val="center"/>
              <w:textAlignment w:val="bottom"/>
            </w:pPr>
            <w:r>
              <w:rPr>
                <w:rFonts w:ascii="Arial" w:eastAsia="宋体" w:hAnsi="Arial" w:cs="Arial"/>
                <w:b/>
                <w:bCs/>
                <w:color w:val="000000"/>
                <w:sz w:val="14"/>
                <w:szCs w:val="14"/>
              </w:rPr>
              <w:t>Average Cost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A5C5"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A5C6" w14:textId="77777777" w:rsidR="00584EC1" w:rsidRDefault="00871F8D">
            <w:pPr>
              <w:jc w:val="center"/>
              <w:textAlignment w:val="bottom"/>
            </w:pPr>
            <w:r>
              <w:rPr>
                <w:rFonts w:ascii="Arial" w:eastAsia="宋体" w:hAnsi="Arial" w:cs="Arial"/>
                <w:b/>
                <w:bCs/>
                <w:color w:val="000000"/>
                <w:sz w:val="14"/>
                <w:szCs w:val="14"/>
              </w:rPr>
              <w:t xml:space="preserve">Total Acquired </w:t>
            </w:r>
            <w:r>
              <w:rPr>
                <w:rFonts w:ascii="Arial" w:eastAsia="宋体" w:hAnsi="Arial" w:cs="Arial"/>
                <w:b/>
                <w:bCs/>
                <w:color w:val="000000"/>
                <w:sz w:val="14"/>
                <w:szCs w:val="14"/>
              </w:rPr>
              <w:br/>
              <w:t>(In millions)</w:t>
            </w:r>
          </w:p>
        </w:tc>
        <w:tc>
          <w:tcPr>
            <w:tcW w:w="0" w:type="auto"/>
            <w:shd w:val="clear" w:color="auto" w:fill="auto"/>
            <w:vAlign w:val="bottom"/>
          </w:tcPr>
          <w:p w14:paraId="74DDA5C7" w14:textId="77777777" w:rsidR="00584EC1" w:rsidRDefault="00584EC1">
            <w:pPr>
              <w:rPr>
                <w:rFonts w:ascii="宋体"/>
                <w:vanish/>
              </w:rPr>
            </w:pPr>
          </w:p>
        </w:tc>
        <w:tc>
          <w:tcPr>
            <w:tcW w:w="0" w:type="auto"/>
            <w:shd w:val="clear" w:color="auto" w:fill="auto"/>
            <w:vAlign w:val="bottom"/>
          </w:tcPr>
          <w:p w14:paraId="74DDA5C8" w14:textId="77777777" w:rsidR="00584EC1" w:rsidRDefault="00584EC1">
            <w:pPr>
              <w:rPr>
                <w:rFonts w:ascii="宋体"/>
                <w:vanish/>
              </w:rPr>
            </w:pPr>
          </w:p>
        </w:tc>
        <w:tc>
          <w:tcPr>
            <w:tcW w:w="0" w:type="auto"/>
            <w:gridSpan w:val="3"/>
            <w:shd w:val="clear" w:color="auto" w:fill="auto"/>
            <w:vAlign w:val="bottom"/>
          </w:tcPr>
          <w:p w14:paraId="74DDA5C9" w14:textId="77777777" w:rsidR="00584EC1" w:rsidRDefault="00584EC1">
            <w:pPr>
              <w:rPr>
                <w:rFonts w:ascii="宋体"/>
                <w:vanish/>
              </w:rPr>
            </w:pPr>
          </w:p>
        </w:tc>
        <w:tc>
          <w:tcPr>
            <w:tcW w:w="0" w:type="auto"/>
            <w:gridSpan w:val="3"/>
            <w:shd w:val="clear" w:color="auto" w:fill="auto"/>
            <w:vAlign w:val="bottom"/>
          </w:tcPr>
          <w:p w14:paraId="74DDA5CA" w14:textId="77777777" w:rsidR="00584EC1" w:rsidRDefault="00584EC1">
            <w:pPr>
              <w:rPr>
                <w:rFonts w:ascii="宋体"/>
                <w:vanish/>
              </w:rPr>
            </w:pPr>
          </w:p>
        </w:tc>
        <w:tc>
          <w:tcPr>
            <w:tcW w:w="0" w:type="auto"/>
            <w:gridSpan w:val="3"/>
            <w:shd w:val="clear" w:color="auto" w:fill="auto"/>
            <w:vAlign w:val="bottom"/>
          </w:tcPr>
          <w:p w14:paraId="74DDA5CB" w14:textId="77777777" w:rsidR="00584EC1" w:rsidRDefault="00584EC1">
            <w:pPr>
              <w:rPr>
                <w:rFonts w:ascii="宋体"/>
                <w:vanish/>
              </w:rPr>
            </w:pPr>
          </w:p>
        </w:tc>
        <w:tc>
          <w:tcPr>
            <w:tcW w:w="0" w:type="auto"/>
            <w:gridSpan w:val="3"/>
            <w:shd w:val="clear" w:color="auto" w:fill="auto"/>
            <w:vAlign w:val="bottom"/>
          </w:tcPr>
          <w:p w14:paraId="74DDA5CC" w14:textId="77777777" w:rsidR="00584EC1" w:rsidRDefault="00584EC1">
            <w:pPr>
              <w:rPr>
                <w:rFonts w:ascii="宋体"/>
                <w:vanish/>
              </w:rPr>
            </w:pPr>
          </w:p>
        </w:tc>
      </w:tr>
      <w:tr w:rsidR="00584EC1" w14:paraId="74DDA5E0" w14:textId="77777777">
        <w:trPr>
          <w:hidden/>
        </w:trPr>
        <w:tc>
          <w:tcPr>
            <w:tcW w:w="0" w:type="auto"/>
            <w:gridSpan w:val="3"/>
            <w:shd w:val="clear" w:color="auto" w:fill="auto"/>
            <w:vAlign w:val="bottom"/>
          </w:tcPr>
          <w:p w14:paraId="74DDA5CE" w14:textId="77777777" w:rsidR="00584EC1" w:rsidRDefault="00584EC1">
            <w:pPr>
              <w:rPr>
                <w:rFonts w:ascii="宋体"/>
                <w:vanish/>
              </w:rPr>
            </w:pPr>
          </w:p>
        </w:tc>
        <w:tc>
          <w:tcPr>
            <w:tcW w:w="0" w:type="auto"/>
            <w:gridSpan w:val="3"/>
            <w:shd w:val="clear" w:color="auto" w:fill="auto"/>
            <w:vAlign w:val="bottom"/>
          </w:tcPr>
          <w:p w14:paraId="74DDA5CF" w14:textId="77777777" w:rsidR="00584EC1" w:rsidRDefault="00584EC1">
            <w:pPr>
              <w:rPr>
                <w:rFonts w:ascii="宋体"/>
                <w:vanish/>
              </w:rPr>
            </w:pPr>
          </w:p>
        </w:tc>
        <w:tc>
          <w:tcPr>
            <w:tcW w:w="0" w:type="auto"/>
            <w:gridSpan w:val="3"/>
            <w:shd w:val="clear" w:color="auto" w:fill="auto"/>
            <w:vAlign w:val="bottom"/>
          </w:tcPr>
          <w:p w14:paraId="74DDA5D0" w14:textId="77777777" w:rsidR="00584EC1" w:rsidRDefault="00584EC1">
            <w:pPr>
              <w:rPr>
                <w:rFonts w:ascii="宋体"/>
                <w:vanish/>
              </w:rPr>
            </w:pPr>
          </w:p>
        </w:tc>
        <w:tc>
          <w:tcPr>
            <w:tcW w:w="0" w:type="auto"/>
            <w:gridSpan w:val="3"/>
            <w:shd w:val="clear" w:color="auto" w:fill="auto"/>
            <w:vAlign w:val="bottom"/>
          </w:tcPr>
          <w:p w14:paraId="74DDA5D1" w14:textId="77777777" w:rsidR="00584EC1" w:rsidRDefault="00584EC1">
            <w:pPr>
              <w:rPr>
                <w:rFonts w:ascii="宋体"/>
                <w:vanish/>
              </w:rPr>
            </w:pPr>
          </w:p>
        </w:tc>
        <w:tc>
          <w:tcPr>
            <w:tcW w:w="0" w:type="auto"/>
            <w:gridSpan w:val="3"/>
            <w:shd w:val="clear" w:color="auto" w:fill="auto"/>
            <w:vAlign w:val="bottom"/>
          </w:tcPr>
          <w:p w14:paraId="74DDA5D2" w14:textId="77777777" w:rsidR="00584EC1" w:rsidRDefault="00584EC1">
            <w:pPr>
              <w:rPr>
                <w:rFonts w:ascii="宋体"/>
                <w:vanish/>
              </w:rPr>
            </w:pPr>
          </w:p>
        </w:tc>
        <w:tc>
          <w:tcPr>
            <w:tcW w:w="0" w:type="auto"/>
            <w:gridSpan w:val="3"/>
            <w:shd w:val="clear" w:color="auto" w:fill="auto"/>
            <w:vAlign w:val="bottom"/>
          </w:tcPr>
          <w:p w14:paraId="74DDA5D3" w14:textId="77777777" w:rsidR="00584EC1" w:rsidRDefault="00584EC1">
            <w:pPr>
              <w:rPr>
                <w:rFonts w:ascii="宋体"/>
                <w:vanish/>
              </w:rPr>
            </w:pPr>
          </w:p>
        </w:tc>
        <w:tc>
          <w:tcPr>
            <w:tcW w:w="0" w:type="auto"/>
            <w:gridSpan w:val="3"/>
            <w:shd w:val="clear" w:color="auto" w:fill="auto"/>
            <w:vAlign w:val="bottom"/>
          </w:tcPr>
          <w:p w14:paraId="74DDA5D4" w14:textId="77777777" w:rsidR="00584EC1" w:rsidRDefault="00584EC1">
            <w:pPr>
              <w:rPr>
                <w:rFonts w:ascii="宋体"/>
                <w:vanish/>
              </w:rPr>
            </w:pPr>
          </w:p>
        </w:tc>
        <w:tc>
          <w:tcPr>
            <w:tcW w:w="0" w:type="auto"/>
            <w:gridSpan w:val="3"/>
            <w:shd w:val="clear" w:color="auto" w:fill="auto"/>
            <w:vAlign w:val="bottom"/>
          </w:tcPr>
          <w:p w14:paraId="74DDA5D5" w14:textId="77777777" w:rsidR="00584EC1" w:rsidRDefault="00584EC1">
            <w:pPr>
              <w:rPr>
                <w:rFonts w:ascii="宋体"/>
                <w:vanish/>
              </w:rPr>
            </w:pPr>
          </w:p>
        </w:tc>
        <w:tc>
          <w:tcPr>
            <w:tcW w:w="0" w:type="auto"/>
            <w:gridSpan w:val="3"/>
            <w:shd w:val="clear" w:color="auto" w:fill="auto"/>
            <w:vAlign w:val="bottom"/>
          </w:tcPr>
          <w:p w14:paraId="74DDA5D6" w14:textId="77777777" w:rsidR="00584EC1" w:rsidRDefault="00584EC1">
            <w:pPr>
              <w:rPr>
                <w:rFonts w:ascii="宋体"/>
                <w:vanish/>
              </w:rPr>
            </w:pPr>
          </w:p>
        </w:tc>
        <w:tc>
          <w:tcPr>
            <w:tcW w:w="0" w:type="auto"/>
            <w:gridSpan w:val="3"/>
            <w:shd w:val="clear" w:color="auto" w:fill="auto"/>
            <w:vAlign w:val="bottom"/>
          </w:tcPr>
          <w:p w14:paraId="74DDA5D7" w14:textId="77777777" w:rsidR="00584EC1" w:rsidRDefault="00584EC1">
            <w:pPr>
              <w:rPr>
                <w:rFonts w:ascii="宋体"/>
                <w:vanish/>
              </w:rPr>
            </w:pPr>
          </w:p>
        </w:tc>
        <w:tc>
          <w:tcPr>
            <w:tcW w:w="0" w:type="auto"/>
            <w:gridSpan w:val="3"/>
            <w:shd w:val="clear" w:color="auto" w:fill="auto"/>
            <w:vAlign w:val="bottom"/>
          </w:tcPr>
          <w:p w14:paraId="74DDA5D8" w14:textId="77777777" w:rsidR="00584EC1" w:rsidRDefault="00584EC1">
            <w:pPr>
              <w:rPr>
                <w:rFonts w:ascii="宋体"/>
                <w:vanish/>
              </w:rPr>
            </w:pPr>
          </w:p>
        </w:tc>
        <w:tc>
          <w:tcPr>
            <w:tcW w:w="0" w:type="auto"/>
            <w:gridSpan w:val="3"/>
            <w:shd w:val="clear" w:color="auto" w:fill="auto"/>
            <w:vAlign w:val="bottom"/>
          </w:tcPr>
          <w:p w14:paraId="74DDA5D9" w14:textId="77777777" w:rsidR="00584EC1" w:rsidRDefault="00584EC1">
            <w:pPr>
              <w:rPr>
                <w:rFonts w:ascii="宋体"/>
                <w:vanish/>
              </w:rPr>
            </w:pPr>
          </w:p>
        </w:tc>
        <w:tc>
          <w:tcPr>
            <w:tcW w:w="0" w:type="auto"/>
            <w:shd w:val="clear" w:color="auto" w:fill="auto"/>
            <w:vAlign w:val="bottom"/>
          </w:tcPr>
          <w:p w14:paraId="74DDA5DA" w14:textId="77777777" w:rsidR="00584EC1" w:rsidRDefault="00584EC1">
            <w:pPr>
              <w:rPr>
                <w:rFonts w:ascii="宋体"/>
                <w:vanish/>
              </w:rPr>
            </w:pPr>
          </w:p>
        </w:tc>
        <w:tc>
          <w:tcPr>
            <w:tcW w:w="0" w:type="auto"/>
            <w:shd w:val="clear" w:color="auto" w:fill="auto"/>
            <w:vAlign w:val="bottom"/>
          </w:tcPr>
          <w:p w14:paraId="74DDA5DB" w14:textId="77777777" w:rsidR="00584EC1" w:rsidRDefault="00584EC1">
            <w:pPr>
              <w:rPr>
                <w:rFonts w:ascii="宋体"/>
                <w:vanish/>
              </w:rPr>
            </w:pPr>
          </w:p>
        </w:tc>
        <w:tc>
          <w:tcPr>
            <w:tcW w:w="0" w:type="auto"/>
            <w:gridSpan w:val="3"/>
            <w:shd w:val="clear" w:color="auto" w:fill="auto"/>
            <w:vAlign w:val="bottom"/>
          </w:tcPr>
          <w:p w14:paraId="74DDA5DC" w14:textId="77777777" w:rsidR="00584EC1" w:rsidRDefault="00584EC1">
            <w:pPr>
              <w:rPr>
                <w:rFonts w:ascii="宋体"/>
                <w:vanish/>
              </w:rPr>
            </w:pPr>
          </w:p>
        </w:tc>
        <w:tc>
          <w:tcPr>
            <w:tcW w:w="0" w:type="auto"/>
            <w:gridSpan w:val="3"/>
            <w:shd w:val="clear" w:color="auto" w:fill="auto"/>
            <w:vAlign w:val="bottom"/>
          </w:tcPr>
          <w:p w14:paraId="74DDA5DD" w14:textId="77777777" w:rsidR="00584EC1" w:rsidRDefault="00584EC1">
            <w:pPr>
              <w:rPr>
                <w:rFonts w:ascii="宋体"/>
                <w:vanish/>
              </w:rPr>
            </w:pPr>
          </w:p>
        </w:tc>
        <w:tc>
          <w:tcPr>
            <w:tcW w:w="0" w:type="auto"/>
            <w:gridSpan w:val="3"/>
            <w:shd w:val="clear" w:color="auto" w:fill="auto"/>
            <w:vAlign w:val="bottom"/>
          </w:tcPr>
          <w:p w14:paraId="74DDA5DE" w14:textId="77777777" w:rsidR="00584EC1" w:rsidRDefault="00584EC1">
            <w:pPr>
              <w:rPr>
                <w:rFonts w:ascii="宋体"/>
                <w:vanish/>
              </w:rPr>
            </w:pPr>
          </w:p>
        </w:tc>
        <w:tc>
          <w:tcPr>
            <w:tcW w:w="0" w:type="auto"/>
            <w:gridSpan w:val="3"/>
            <w:shd w:val="clear" w:color="auto" w:fill="auto"/>
            <w:vAlign w:val="bottom"/>
          </w:tcPr>
          <w:p w14:paraId="74DDA5DF" w14:textId="77777777" w:rsidR="00584EC1" w:rsidRDefault="00584EC1">
            <w:pPr>
              <w:rPr>
                <w:rFonts w:ascii="宋体"/>
                <w:vanish/>
              </w:rPr>
            </w:pPr>
          </w:p>
        </w:tc>
      </w:tr>
      <w:tr w:rsidR="00584EC1" w14:paraId="74DDA5FD" w14:textId="77777777">
        <w:tc>
          <w:tcPr>
            <w:tcW w:w="0" w:type="auto"/>
            <w:gridSpan w:val="3"/>
            <w:shd w:val="clear" w:color="auto" w:fill="CCEEFF"/>
            <w:tcMar>
              <w:top w:w="40" w:type="dxa"/>
              <w:left w:w="20" w:type="dxa"/>
              <w:bottom w:w="40" w:type="dxa"/>
              <w:right w:w="20" w:type="dxa"/>
            </w:tcMar>
            <w:vAlign w:val="bottom"/>
          </w:tcPr>
          <w:p w14:paraId="74DDA5E1" w14:textId="77777777" w:rsidR="00584EC1" w:rsidRDefault="00871F8D">
            <w:pPr>
              <w:textAlignment w:val="bottom"/>
            </w:pPr>
            <w:r>
              <w:rPr>
                <w:rFonts w:ascii="Arial" w:eastAsia="宋体" w:hAnsi="Arial" w:cs="Arial"/>
                <w:color w:val="000000"/>
                <w:sz w:val="14"/>
                <w:szCs w:val="14"/>
              </w:rPr>
              <w:t>2019 Program</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A5E2" w14:textId="77777777" w:rsidR="00584EC1" w:rsidRDefault="00871F8D">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A5E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5E4"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A5E5"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A5E6" w14:textId="77777777" w:rsidR="00584EC1" w:rsidRDefault="00871F8D">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A5E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5E8"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A5E9"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A5EA" w14:textId="77777777" w:rsidR="00584EC1" w:rsidRDefault="00871F8D">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A5E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5EC"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A5ED" w14:textId="77777777" w:rsidR="00584EC1" w:rsidRDefault="00871F8D">
            <w:pPr>
              <w:jc w:val="right"/>
              <w:textAlignment w:val="bottom"/>
            </w:pPr>
            <w:r>
              <w:rPr>
                <w:rFonts w:ascii="Arial" w:eastAsia="宋体" w:hAnsi="Arial" w:cs="Arial"/>
                <w:color w:val="000000"/>
                <w:sz w:val="14"/>
                <w:szCs w:val="14"/>
              </w:rPr>
              <w:t>6.5 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A5E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5EF"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A5F0"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A5F1" w14:textId="77777777" w:rsidR="00584EC1" w:rsidRDefault="00871F8D">
            <w:pPr>
              <w:jc w:val="right"/>
              <w:textAlignment w:val="bottom"/>
            </w:pPr>
            <w:r>
              <w:rPr>
                <w:rFonts w:ascii="Arial" w:eastAsia="宋体" w:hAnsi="Arial" w:cs="Arial"/>
                <w:color w:val="000000"/>
                <w:sz w:val="14"/>
                <w:szCs w:val="14"/>
              </w:rPr>
              <w:t>77.35 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A5F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5F3"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A5F4"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A5F5" w14:textId="77777777" w:rsidR="00584EC1" w:rsidRDefault="00871F8D">
            <w:pPr>
              <w:jc w:val="right"/>
              <w:textAlignment w:val="bottom"/>
            </w:pPr>
            <w:r>
              <w:rPr>
                <w:rFonts w:ascii="Arial" w:eastAsia="宋体" w:hAnsi="Arial" w:cs="Arial"/>
                <w:color w:val="000000"/>
                <w:sz w:val="14"/>
                <w:szCs w:val="14"/>
              </w:rPr>
              <w:t>500 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A5F6" w14:textId="77777777" w:rsidR="00584EC1" w:rsidRDefault="00584EC1">
            <w:pPr>
              <w:jc w:val="right"/>
              <w:rPr>
                <w:rFonts w:ascii="宋体"/>
              </w:rPr>
            </w:pPr>
          </w:p>
        </w:tc>
        <w:tc>
          <w:tcPr>
            <w:tcW w:w="0" w:type="auto"/>
            <w:shd w:val="clear" w:color="auto" w:fill="auto"/>
            <w:vAlign w:val="bottom"/>
          </w:tcPr>
          <w:p w14:paraId="74DDA5F7" w14:textId="77777777" w:rsidR="00584EC1" w:rsidRDefault="00584EC1">
            <w:pPr>
              <w:rPr>
                <w:rFonts w:ascii="宋体"/>
                <w:vanish/>
              </w:rPr>
            </w:pPr>
          </w:p>
        </w:tc>
        <w:tc>
          <w:tcPr>
            <w:tcW w:w="0" w:type="auto"/>
            <w:shd w:val="clear" w:color="auto" w:fill="auto"/>
            <w:vAlign w:val="bottom"/>
          </w:tcPr>
          <w:p w14:paraId="74DDA5F8" w14:textId="77777777" w:rsidR="00584EC1" w:rsidRDefault="00584EC1">
            <w:pPr>
              <w:rPr>
                <w:rFonts w:ascii="宋体"/>
                <w:vanish/>
              </w:rPr>
            </w:pPr>
          </w:p>
        </w:tc>
        <w:tc>
          <w:tcPr>
            <w:tcW w:w="0" w:type="auto"/>
            <w:gridSpan w:val="3"/>
            <w:shd w:val="clear" w:color="auto" w:fill="auto"/>
            <w:vAlign w:val="bottom"/>
          </w:tcPr>
          <w:p w14:paraId="74DDA5F9" w14:textId="77777777" w:rsidR="00584EC1" w:rsidRDefault="00584EC1">
            <w:pPr>
              <w:rPr>
                <w:rFonts w:ascii="宋体"/>
                <w:vanish/>
              </w:rPr>
            </w:pPr>
          </w:p>
        </w:tc>
        <w:tc>
          <w:tcPr>
            <w:tcW w:w="0" w:type="auto"/>
            <w:gridSpan w:val="3"/>
            <w:shd w:val="clear" w:color="auto" w:fill="auto"/>
            <w:vAlign w:val="bottom"/>
          </w:tcPr>
          <w:p w14:paraId="74DDA5FA" w14:textId="77777777" w:rsidR="00584EC1" w:rsidRDefault="00584EC1">
            <w:pPr>
              <w:rPr>
                <w:rFonts w:ascii="宋体"/>
                <w:vanish/>
              </w:rPr>
            </w:pPr>
          </w:p>
        </w:tc>
        <w:tc>
          <w:tcPr>
            <w:tcW w:w="0" w:type="auto"/>
            <w:gridSpan w:val="3"/>
            <w:shd w:val="clear" w:color="auto" w:fill="auto"/>
            <w:vAlign w:val="bottom"/>
          </w:tcPr>
          <w:p w14:paraId="74DDA5FB" w14:textId="77777777" w:rsidR="00584EC1" w:rsidRDefault="00584EC1">
            <w:pPr>
              <w:rPr>
                <w:rFonts w:ascii="宋体"/>
                <w:vanish/>
              </w:rPr>
            </w:pPr>
          </w:p>
        </w:tc>
        <w:tc>
          <w:tcPr>
            <w:tcW w:w="0" w:type="auto"/>
            <w:gridSpan w:val="3"/>
            <w:shd w:val="clear" w:color="auto" w:fill="auto"/>
            <w:vAlign w:val="bottom"/>
          </w:tcPr>
          <w:p w14:paraId="74DDA5FC" w14:textId="77777777" w:rsidR="00584EC1" w:rsidRDefault="00584EC1">
            <w:pPr>
              <w:rPr>
                <w:rFonts w:ascii="宋体"/>
                <w:vanish/>
              </w:rPr>
            </w:pPr>
          </w:p>
        </w:tc>
      </w:tr>
      <w:tr w:rsidR="00584EC1" w14:paraId="74DDA610" w14:textId="77777777">
        <w:trPr>
          <w:hidden/>
        </w:trPr>
        <w:tc>
          <w:tcPr>
            <w:tcW w:w="0" w:type="auto"/>
            <w:gridSpan w:val="3"/>
            <w:shd w:val="clear" w:color="auto" w:fill="auto"/>
            <w:vAlign w:val="bottom"/>
          </w:tcPr>
          <w:p w14:paraId="74DDA5FE" w14:textId="77777777" w:rsidR="00584EC1" w:rsidRDefault="00584EC1">
            <w:pPr>
              <w:rPr>
                <w:rFonts w:ascii="宋体"/>
                <w:vanish/>
              </w:rPr>
            </w:pPr>
          </w:p>
        </w:tc>
        <w:tc>
          <w:tcPr>
            <w:tcW w:w="0" w:type="auto"/>
            <w:gridSpan w:val="3"/>
            <w:shd w:val="clear" w:color="auto" w:fill="auto"/>
            <w:vAlign w:val="bottom"/>
          </w:tcPr>
          <w:p w14:paraId="74DDA5FF" w14:textId="77777777" w:rsidR="00584EC1" w:rsidRDefault="00584EC1">
            <w:pPr>
              <w:rPr>
                <w:rFonts w:ascii="宋体"/>
                <w:vanish/>
              </w:rPr>
            </w:pPr>
          </w:p>
        </w:tc>
        <w:tc>
          <w:tcPr>
            <w:tcW w:w="0" w:type="auto"/>
            <w:gridSpan w:val="3"/>
            <w:shd w:val="clear" w:color="auto" w:fill="auto"/>
            <w:vAlign w:val="bottom"/>
          </w:tcPr>
          <w:p w14:paraId="74DDA600" w14:textId="77777777" w:rsidR="00584EC1" w:rsidRDefault="00584EC1">
            <w:pPr>
              <w:rPr>
                <w:rFonts w:ascii="宋体"/>
                <w:vanish/>
              </w:rPr>
            </w:pPr>
          </w:p>
        </w:tc>
        <w:tc>
          <w:tcPr>
            <w:tcW w:w="0" w:type="auto"/>
            <w:gridSpan w:val="3"/>
            <w:shd w:val="clear" w:color="auto" w:fill="auto"/>
            <w:vAlign w:val="bottom"/>
          </w:tcPr>
          <w:p w14:paraId="74DDA601" w14:textId="77777777" w:rsidR="00584EC1" w:rsidRDefault="00584EC1">
            <w:pPr>
              <w:rPr>
                <w:rFonts w:ascii="宋体"/>
                <w:vanish/>
              </w:rPr>
            </w:pPr>
          </w:p>
        </w:tc>
        <w:tc>
          <w:tcPr>
            <w:tcW w:w="0" w:type="auto"/>
            <w:gridSpan w:val="3"/>
            <w:shd w:val="clear" w:color="auto" w:fill="auto"/>
            <w:vAlign w:val="bottom"/>
          </w:tcPr>
          <w:p w14:paraId="74DDA602" w14:textId="77777777" w:rsidR="00584EC1" w:rsidRDefault="00584EC1">
            <w:pPr>
              <w:rPr>
                <w:rFonts w:ascii="宋体"/>
                <w:vanish/>
              </w:rPr>
            </w:pPr>
          </w:p>
        </w:tc>
        <w:tc>
          <w:tcPr>
            <w:tcW w:w="0" w:type="auto"/>
            <w:gridSpan w:val="3"/>
            <w:shd w:val="clear" w:color="auto" w:fill="auto"/>
            <w:vAlign w:val="bottom"/>
          </w:tcPr>
          <w:p w14:paraId="74DDA603" w14:textId="77777777" w:rsidR="00584EC1" w:rsidRDefault="00584EC1">
            <w:pPr>
              <w:rPr>
                <w:rFonts w:ascii="宋体"/>
                <w:vanish/>
              </w:rPr>
            </w:pPr>
          </w:p>
        </w:tc>
        <w:tc>
          <w:tcPr>
            <w:tcW w:w="0" w:type="auto"/>
            <w:gridSpan w:val="3"/>
            <w:shd w:val="clear" w:color="auto" w:fill="auto"/>
            <w:vAlign w:val="bottom"/>
          </w:tcPr>
          <w:p w14:paraId="74DDA604" w14:textId="77777777" w:rsidR="00584EC1" w:rsidRDefault="00584EC1">
            <w:pPr>
              <w:rPr>
                <w:rFonts w:ascii="宋体"/>
                <w:vanish/>
              </w:rPr>
            </w:pPr>
          </w:p>
        </w:tc>
        <w:tc>
          <w:tcPr>
            <w:tcW w:w="0" w:type="auto"/>
            <w:gridSpan w:val="3"/>
            <w:shd w:val="clear" w:color="auto" w:fill="auto"/>
            <w:vAlign w:val="bottom"/>
          </w:tcPr>
          <w:p w14:paraId="74DDA605" w14:textId="77777777" w:rsidR="00584EC1" w:rsidRDefault="00584EC1">
            <w:pPr>
              <w:rPr>
                <w:rFonts w:ascii="宋体"/>
                <w:vanish/>
              </w:rPr>
            </w:pPr>
          </w:p>
        </w:tc>
        <w:tc>
          <w:tcPr>
            <w:tcW w:w="0" w:type="auto"/>
            <w:gridSpan w:val="3"/>
            <w:shd w:val="clear" w:color="auto" w:fill="auto"/>
            <w:vAlign w:val="bottom"/>
          </w:tcPr>
          <w:p w14:paraId="74DDA606" w14:textId="77777777" w:rsidR="00584EC1" w:rsidRDefault="00584EC1">
            <w:pPr>
              <w:rPr>
                <w:rFonts w:ascii="宋体"/>
                <w:vanish/>
              </w:rPr>
            </w:pPr>
          </w:p>
        </w:tc>
        <w:tc>
          <w:tcPr>
            <w:tcW w:w="0" w:type="auto"/>
            <w:gridSpan w:val="3"/>
            <w:shd w:val="clear" w:color="auto" w:fill="auto"/>
            <w:vAlign w:val="bottom"/>
          </w:tcPr>
          <w:p w14:paraId="74DDA607" w14:textId="77777777" w:rsidR="00584EC1" w:rsidRDefault="00584EC1">
            <w:pPr>
              <w:rPr>
                <w:rFonts w:ascii="宋体"/>
                <w:vanish/>
              </w:rPr>
            </w:pPr>
          </w:p>
        </w:tc>
        <w:tc>
          <w:tcPr>
            <w:tcW w:w="0" w:type="auto"/>
            <w:gridSpan w:val="3"/>
            <w:shd w:val="clear" w:color="auto" w:fill="auto"/>
            <w:vAlign w:val="bottom"/>
          </w:tcPr>
          <w:p w14:paraId="74DDA608" w14:textId="77777777" w:rsidR="00584EC1" w:rsidRDefault="00584EC1">
            <w:pPr>
              <w:rPr>
                <w:rFonts w:ascii="宋体"/>
                <w:vanish/>
              </w:rPr>
            </w:pPr>
          </w:p>
        </w:tc>
        <w:tc>
          <w:tcPr>
            <w:tcW w:w="0" w:type="auto"/>
            <w:gridSpan w:val="3"/>
            <w:shd w:val="clear" w:color="auto" w:fill="auto"/>
            <w:vAlign w:val="bottom"/>
          </w:tcPr>
          <w:p w14:paraId="74DDA609" w14:textId="77777777" w:rsidR="00584EC1" w:rsidRDefault="00584EC1">
            <w:pPr>
              <w:rPr>
                <w:rFonts w:ascii="宋体"/>
                <w:vanish/>
              </w:rPr>
            </w:pPr>
          </w:p>
        </w:tc>
        <w:tc>
          <w:tcPr>
            <w:tcW w:w="0" w:type="auto"/>
            <w:shd w:val="clear" w:color="auto" w:fill="auto"/>
            <w:vAlign w:val="bottom"/>
          </w:tcPr>
          <w:p w14:paraId="74DDA60A" w14:textId="77777777" w:rsidR="00584EC1" w:rsidRDefault="00584EC1">
            <w:pPr>
              <w:rPr>
                <w:rFonts w:ascii="宋体"/>
                <w:vanish/>
              </w:rPr>
            </w:pPr>
          </w:p>
        </w:tc>
        <w:tc>
          <w:tcPr>
            <w:tcW w:w="0" w:type="auto"/>
            <w:shd w:val="clear" w:color="auto" w:fill="auto"/>
            <w:vAlign w:val="bottom"/>
          </w:tcPr>
          <w:p w14:paraId="74DDA60B" w14:textId="77777777" w:rsidR="00584EC1" w:rsidRDefault="00584EC1">
            <w:pPr>
              <w:rPr>
                <w:rFonts w:ascii="宋体"/>
                <w:vanish/>
              </w:rPr>
            </w:pPr>
          </w:p>
        </w:tc>
        <w:tc>
          <w:tcPr>
            <w:tcW w:w="0" w:type="auto"/>
            <w:gridSpan w:val="3"/>
            <w:shd w:val="clear" w:color="auto" w:fill="auto"/>
            <w:vAlign w:val="bottom"/>
          </w:tcPr>
          <w:p w14:paraId="74DDA60C" w14:textId="77777777" w:rsidR="00584EC1" w:rsidRDefault="00584EC1">
            <w:pPr>
              <w:rPr>
                <w:rFonts w:ascii="宋体"/>
                <w:vanish/>
              </w:rPr>
            </w:pPr>
          </w:p>
        </w:tc>
        <w:tc>
          <w:tcPr>
            <w:tcW w:w="0" w:type="auto"/>
            <w:gridSpan w:val="3"/>
            <w:shd w:val="clear" w:color="auto" w:fill="auto"/>
            <w:vAlign w:val="bottom"/>
          </w:tcPr>
          <w:p w14:paraId="74DDA60D" w14:textId="77777777" w:rsidR="00584EC1" w:rsidRDefault="00584EC1">
            <w:pPr>
              <w:rPr>
                <w:rFonts w:ascii="宋体"/>
                <w:vanish/>
              </w:rPr>
            </w:pPr>
          </w:p>
        </w:tc>
        <w:tc>
          <w:tcPr>
            <w:tcW w:w="0" w:type="auto"/>
            <w:gridSpan w:val="3"/>
            <w:shd w:val="clear" w:color="auto" w:fill="auto"/>
            <w:vAlign w:val="bottom"/>
          </w:tcPr>
          <w:p w14:paraId="74DDA60E" w14:textId="77777777" w:rsidR="00584EC1" w:rsidRDefault="00584EC1">
            <w:pPr>
              <w:rPr>
                <w:rFonts w:ascii="宋体"/>
                <w:vanish/>
              </w:rPr>
            </w:pPr>
          </w:p>
        </w:tc>
        <w:tc>
          <w:tcPr>
            <w:tcW w:w="0" w:type="auto"/>
            <w:gridSpan w:val="3"/>
            <w:shd w:val="clear" w:color="auto" w:fill="auto"/>
            <w:vAlign w:val="bottom"/>
          </w:tcPr>
          <w:p w14:paraId="74DDA60F" w14:textId="77777777" w:rsidR="00584EC1" w:rsidRDefault="00584EC1">
            <w:pPr>
              <w:rPr>
                <w:rFonts w:ascii="宋体"/>
                <w:vanish/>
              </w:rPr>
            </w:pPr>
          </w:p>
        </w:tc>
      </w:tr>
    </w:tbl>
    <w:p w14:paraId="74DDA611" w14:textId="77777777" w:rsidR="00584EC1" w:rsidRDefault="00871F8D">
      <w:pPr>
        <w:spacing w:before="60"/>
        <w:ind w:firstLine="450"/>
      </w:pPr>
      <w:r>
        <w:rPr>
          <w:rFonts w:ascii="Arial" w:eastAsia="宋体" w:hAnsi="Arial" w:cs="Arial"/>
          <w:color w:val="000000"/>
          <w:sz w:val="20"/>
          <w:szCs w:val="20"/>
        </w:rPr>
        <w:t>The table below presents the dividends declared on common stock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7"/>
        <w:gridCol w:w="1361"/>
        <w:gridCol w:w="36"/>
        <w:gridCol w:w="99"/>
        <w:gridCol w:w="1643"/>
        <w:gridCol w:w="36"/>
        <w:gridCol w:w="36"/>
        <w:gridCol w:w="36"/>
        <w:gridCol w:w="36"/>
        <w:gridCol w:w="99"/>
        <w:gridCol w:w="975"/>
        <w:gridCol w:w="36"/>
        <w:gridCol w:w="36"/>
        <w:gridCol w:w="36"/>
        <w:gridCol w:w="36"/>
        <w:gridCol w:w="99"/>
        <w:gridCol w:w="1600"/>
        <w:gridCol w:w="36"/>
        <w:gridCol w:w="36"/>
        <w:gridCol w:w="36"/>
        <w:gridCol w:w="36"/>
        <w:gridCol w:w="99"/>
        <w:gridCol w:w="95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584EC1" w14:paraId="74DDA632" w14:textId="77777777">
        <w:tc>
          <w:tcPr>
            <w:tcW w:w="50" w:type="pct"/>
            <w:shd w:val="clear" w:color="auto" w:fill="auto"/>
            <w:vAlign w:val="bottom"/>
          </w:tcPr>
          <w:p w14:paraId="74DDA612" w14:textId="77777777" w:rsidR="00584EC1" w:rsidRDefault="00584EC1">
            <w:pPr>
              <w:rPr>
                <w:rFonts w:ascii="宋体"/>
              </w:rPr>
            </w:pPr>
          </w:p>
        </w:tc>
        <w:tc>
          <w:tcPr>
            <w:tcW w:w="946" w:type="pct"/>
            <w:shd w:val="clear" w:color="auto" w:fill="auto"/>
            <w:vAlign w:val="bottom"/>
          </w:tcPr>
          <w:p w14:paraId="74DDA613" w14:textId="77777777" w:rsidR="00584EC1" w:rsidRDefault="00584EC1">
            <w:pPr>
              <w:rPr>
                <w:rFonts w:ascii="宋体"/>
              </w:rPr>
            </w:pPr>
          </w:p>
        </w:tc>
        <w:tc>
          <w:tcPr>
            <w:tcW w:w="5" w:type="pct"/>
            <w:shd w:val="clear" w:color="auto" w:fill="auto"/>
            <w:vAlign w:val="bottom"/>
          </w:tcPr>
          <w:p w14:paraId="74DDA614" w14:textId="77777777" w:rsidR="00584EC1" w:rsidRDefault="00584EC1">
            <w:pPr>
              <w:rPr>
                <w:rFonts w:ascii="宋体"/>
              </w:rPr>
            </w:pPr>
          </w:p>
        </w:tc>
        <w:tc>
          <w:tcPr>
            <w:tcW w:w="50" w:type="pct"/>
            <w:shd w:val="clear" w:color="auto" w:fill="auto"/>
            <w:vAlign w:val="bottom"/>
          </w:tcPr>
          <w:p w14:paraId="74DDA615" w14:textId="77777777" w:rsidR="00584EC1" w:rsidRDefault="00584EC1">
            <w:pPr>
              <w:rPr>
                <w:rFonts w:ascii="宋体"/>
              </w:rPr>
            </w:pPr>
          </w:p>
        </w:tc>
        <w:tc>
          <w:tcPr>
            <w:tcW w:w="1129" w:type="pct"/>
            <w:shd w:val="clear" w:color="auto" w:fill="auto"/>
            <w:vAlign w:val="bottom"/>
          </w:tcPr>
          <w:p w14:paraId="74DDA616" w14:textId="77777777" w:rsidR="00584EC1" w:rsidRDefault="00584EC1">
            <w:pPr>
              <w:rPr>
                <w:rFonts w:ascii="宋体"/>
              </w:rPr>
            </w:pPr>
          </w:p>
        </w:tc>
        <w:tc>
          <w:tcPr>
            <w:tcW w:w="5" w:type="pct"/>
            <w:shd w:val="clear" w:color="auto" w:fill="auto"/>
            <w:vAlign w:val="bottom"/>
          </w:tcPr>
          <w:p w14:paraId="74DDA617" w14:textId="77777777" w:rsidR="00584EC1" w:rsidRDefault="00584EC1">
            <w:pPr>
              <w:rPr>
                <w:rFonts w:ascii="宋体"/>
              </w:rPr>
            </w:pPr>
          </w:p>
        </w:tc>
        <w:tc>
          <w:tcPr>
            <w:tcW w:w="5" w:type="pct"/>
            <w:shd w:val="clear" w:color="auto" w:fill="auto"/>
            <w:vAlign w:val="bottom"/>
          </w:tcPr>
          <w:p w14:paraId="74DDA618" w14:textId="77777777" w:rsidR="00584EC1" w:rsidRDefault="00584EC1">
            <w:pPr>
              <w:rPr>
                <w:rFonts w:ascii="宋体"/>
              </w:rPr>
            </w:pPr>
          </w:p>
        </w:tc>
        <w:tc>
          <w:tcPr>
            <w:tcW w:w="26" w:type="pct"/>
            <w:shd w:val="clear" w:color="auto" w:fill="auto"/>
            <w:vAlign w:val="bottom"/>
          </w:tcPr>
          <w:p w14:paraId="74DDA619" w14:textId="77777777" w:rsidR="00584EC1" w:rsidRDefault="00584EC1">
            <w:pPr>
              <w:rPr>
                <w:rFonts w:ascii="宋体"/>
              </w:rPr>
            </w:pPr>
          </w:p>
        </w:tc>
        <w:tc>
          <w:tcPr>
            <w:tcW w:w="5" w:type="pct"/>
            <w:shd w:val="clear" w:color="auto" w:fill="auto"/>
            <w:vAlign w:val="bottom"/>
          </w:tcPr>
          <w:p w14:paraId="74DDA61A" w14:textId="77777777" w:rsidR="00584EC1" w:rsidRDefault="00584EC1">
            <w:pPr>
              <w:rPr>
                <w:rFonts w:ascii="宋体"/>
              </w:rPr>
            </w:pPr>
          </w:p>
        </w:tc>
        <w:tc>
          <w:tcPr>
            <w:tcW w:w="50" w:type="pct"/>
            <w:shd w:val="clear" w:color="auto" w:fill="auto"/>
            <w:vAlign w:val="bottom"/>
          </w:tcPr>
          <w:p w14:paraId="74DDA61B" w14:textId="77777777" w:rsidR="00584EC1" w:rsidRDefault="00584EC1">
            <w:pPr>
              <w:rPr>
                <w:rFonts w:ascii="宋体"/>
              </w:rPr>
            </w:pPr>
          </w:p>
        </w:tc>
        <w:tc>
          <w:tcPr>
            <w:tcW w:w="712" w:type="pct"/>
            <w:shd w:val="clear" w:color="auto" w:fill="auto"/>
            <w:vAlign w:val="bottom"/>
          </w:tcPr>
          <w:p w14:paraId="74DDA61C" w14:textId="77777777" w:rsidR="00584EC1" w:rsidRDefault="00584EC1">
            <w:pPr>
              <w:rPr>
                <w:rFonts w:ascii="宋体"/>
              </w:rPr>
            </w:pPr>
          </w:p>
        </w:tc>
        <w:tc>
          <w:tcPr>
            <w:tcW w:w="5" w:type="pct"/>
            <w:shd w:val="clear" w:color="auto" w:fill="auto"/>
            <w:vAlign w:val="bottom"/>
          </w:tcPr>
          <w:p w14:paraId="74DDA61D" w14:textId="77777777" w:rsidR="00584EC1" w:rsidRDefault="00584EC1">
            <w:pPr>
              <w:rPr>
                <w:rFonts w:ascii="宋体"/>
              </w:rPr>
            </w:pPr>
          </w:p>
        </w:tc>
        <w:tc>
          <w:tcPr>
            <w:tcW w:w="5" w:type="pct"/>
            <w:shd w:val="clear" w:color="auto" w:fill="auto"/>
            <w:vAlign w:val="bottom"/>
          </w:tcPr>
          <w:p w14:paraId="74DDA61E" w14:textId="77777777" w:rsidR="00584EC1" w:rsidRDefault="00584EC1">
            <w:pPr>
              <w:rPr>
                <w:rFonts w:ascii="宋体"/>
              </w:rPr>
            </w:pPr>
          </w:p>
        </w:tc>
        <w:tc>
          <w:tcPr>
            <w:tcW w:w="26" w:type="pct"/>
            <w:shd w:val="clear" w:color="auto" w:fill="auto"/>
            <w:vAlign w:val="bottom"/>
          </w:tcPr>
          <w:p w14:paraId="74DDA61F" w14:textId="77777777" w:rsidR="00584EC1" w:rsidRDefault="00584EC1">
            <w:pPr>
              <w:rPr>
                <w:rFonts w:ascii="宋体"/>
              </w:rPr>
            </w:pPr>
          </w:p>
        </w:tc>
        <w:tc>
          <w:tcPr>
            <w:tcW w:w="5" w:type="pct"/>
            <w:shd w:val="clear" w:color="auto" w:fill="auto"/>
            <w:vAlign w:val="bottom"/>
          </w:tcPr>
          <w:p w14:paraId="74DDA620" w14:textId="77777777" w:rsidR="00584EC1" w:rsidRDefault="00584EC1">
            <w:pPr>
              <w:rPr>
                <w:rFonts w:ascii="宋体"/>
              </w:rPr>
            </w:pPr>
          </w:p>
        </w:tc>
        <w:tc>
          <w:tcPr>
            <w:tcW w:w="50" w:type="pct"/>
            <w:shd w:val="clear" w:color="auto" w:fill="auto"/>
            <w:vAlign w:val="bottom"/>
          </w:tcPr>
          <w:p w14:paraId="74DDA621" w14:textId="77777777" w:rsidR="00584EC1" w:rsidRDefault="00584EC1">
            <w:pPr>
              <w:rPr>
                <w:rFonts w:ascii="宋体"/>
              </w:rPr>
            </w:pPr>
          </w:p>
        </w:tc>
        <w:tc>
          <w:tcPr>
            <w:tcW w:w="1129" w:type="pct"/>
            <w:shd w:val="clear" w:color="auto" w:fill="auto"/>
            <w:vAlign w:val="bottom"/>
          </w:tcPr>
          <w:p w14:paraId="74DDA622" w14:textId="77777777" w:rsidR="00584EC1" w:rsidRDefault="00584EC1">
            <w:pPr>
              <w:rPr>
                <w:rFonts w:ascii="宋体"/>
              </w:rPr>
            </w:pPr>
          </w:p>
        </w:tc>
        <w:tc>
          <w:tcPr>
            <w:tcW w:w="5" w:type="pct"/>
            <w:shd w:val="clear" w:color="auto" w:fill="auto"/>
            <w:vAlign w:val="bottom"/>
          </w:tcPr>
          <w:p w14:paraId="74DDA623" w14:textId="77777777" w:rsidR="00584EC1" w:rsidRDefault="00584EC1">
            <w:pPr>
              <w:rPr>
                <w:rFonts w:ascii="宋体"/>
              </w:rPr>
            </w:pPr>
          </w:p>
        </w:tc>
        <w:tc>
          <w:tcPr>
            <w:tcW w:w="5" w:type="pct"/>
            <w:shd w:val="clear" w:color="auto" w:fill="auto"/>
            <w:vAlign w:val="bottom"/>
          </w:tcPr>
          <w:p w14:paraId="74DDA624" w14:textId="77777777" w:rsidR="00584EC1" w:rsidRDefault="00584EC1">
            <w:pPr>
              <w:rPr>
                <w:rFonts w:ascii="宋体"/>
              </w:rPr>
            </w:pPr>
          </w:p>
        </w:tc>
        <w:tc>
          <w:tcPr>
            <w:tcW w:w="26" w:type="pct"/>
            <w:shd w:val="clear" w:color="auto" w:fill="auto"/>
            <w:vAlign w:val="bottom"/>
          </w:tcPr>
          <w:p w14:paraId="74DDA625" w14:textId="77777777" w:rsidR="00584EC1" w:rsidRDefault="00584EC1">
            <w:pPr>
              <w:rPr>
                <w:rFonts w:ascii="宋体"/>
              </w:rPr>
            </w:pPr>
          </w:p>
        </w:tc>
        <w:tc>
          <w:tcPr>
            <w:tcW w:w="5" w:type="pct"/>
            <w:shd w:val="clear" w:color="auto" w:fill="auto"/>
            <w:vAlign w:val="bottom"/>
          </w:tcPr>
          <w:p w14:paraId="74DDA626" w14:textId="77777777" w:rsidR="00584EC1" w:rsidRDefault="00584EC1">
            <w:pPr>
              <w:rPr>
                <w:rFonts w:ascii="宋体"/>
              </w:rPr>
            </w:pPr>
          </w:p>
        </w:tc>
        <w:tc>
          <w:tcPr>
            <w:tcW w:w="50" w:type="pct"/>
            <w:shd w:val="clear" w:color="auto" w:fill="auto"/>
            <w:vAlign w:val="bottom"/>
          </w:tcPr>
          <w:p w14:paraId="74DDA627" w14:textId="77777777" w:rsidR="00584EC1" w:rsidRDefault="00584EC1">
            <w:pPr>
              <w:rPr>
                <w:rFonts w:ascii="宋体"/>
              </w:rPr>
            </w:pPr>
          </w:p>
        </w:tc>
        <w:tc>
          <w:tcPr>
            <w:tcW w:w="698" w:type="pct"/>
            <w:shd w:val="clear" w:color="auto" w:fill="auto"/>
            <w:vAlign w:val="bottom"/>
          </w:tcPr>
          <w:p w14:paraId="74DDA628" w14:textId="77777777" w:rsidR="00584EC1" w:rsidRDefault="00584EC1">
            <w:pPr>
              <w:rPr>
                <w:rFonts w:ascii="宋体"/>
              </w:rPr>
            </w:pPr>
          </w:p>
        </w:tc>
        <w:tc>
          <w:tcPr>
            <w:tcW w:w="5" w:type="pct"/>
            <w:shd w:val="clear" w:color="auto" w:fill="auto"/>
            <w:vAlign w:val="bottom"/>
          </w:tcPr>
          <w:p w14:paraId="74DDA629" w14:textId="77777777" w:rsidR="00584EC1" w:rsidRDefault="00584EC1">
            <w:pPr>
              <w:rPr>
                <w:rFonts w:ascii="宋体"/>
              </w:rPr>
            </w:pPr>
          </w:p>
        </w:tc>
        <w:tc>
          <w:tcPr>
            <w:tcW w:w="0" w:type="auto"/>
            <w:gridSpan w:val="3"/>
            <w:shd w:val="clear" w:color="auto" w:fill="auto"/>
            <w:vAlign w:val="bottom"/>
          </w:tcPr>
          <w:p w14:paraId="74DDA62A" w14:textId="77777777" w:rsidR="00584EC1" w:rsidRDefault="00584EC1">
            <w:pPr>
              <w:rPr>
                <w:rFonts w:ascii="宋体"/>
                <w:vanish/>
              </w:rPr>
            </w:pPr>
          </w:p>
        </w:tc>
        <w:tc>
          <w:tcPr>
            <w:tcW w:w="0" w:type="auto"/>
            <w:gridSpan w:val="3"/>
            <w:shd w:val="clear" w:color="auto" w:fill="auto"/>
            <w:vAlign w:val="bottom"/>
          </w:tcPr>
          <w:p w14:paraId="74DDA62B" w14:textId="77777777" w:rsidR="00584EC1" w:rsidRDefault="00584EC1">
            <w:pPr>
              <w:rPr>
                <w:rFonts w:ascii="宋体"/>
                <w:vanish/>
              </w:rPr>
            </w:pPr>
          </w:p>
        </w:tc>
        <w:tc>
          <w:tcPr>
            <w:tcW w:w="0" w:type="auto"/>
            <w:gridSpan w:val="3"/>
            <w:shd w:val="clear" w:color="auto" w:fill="auto"/>
            <w:vAlign w:val="bottom"/>
          </w:tcPr>
          <w:p w14:paraId="74DDA62C" w14:textId="77777777" w:rsidR="00584EC1" w:rsidRDefault="00584EC1">
            <w:pPr>
              <w:rPr>
                <w:rFonts w:ascii="宋体"/>
                <w:vanish/>
              </w:rPr>
            </w:pPr>
          </w:p>
        </w:tc>
        <w:tc>
          <w:tcPr>
            <w:tcW w:w="0" w:type="auto"/>
            <w:gridSpan w:val="3"/>
            <w:shd w:val="clear" w:color="auto" w:fill="auto"/>
            <w:vAlign w:val="bottom"/>
          </w:tcPr>
          <w:p w14:paraId="74DDA62D" w14:textId="77777777" w:rsidR="00584EC1" w:rsidRDefault="00584EC1">
            <w:pPr>
              <w:rPr>
                <w:rFonts w:ascii="宋体"/>
                <w:vanish/>
              </w:rPr>
            </w:pPr>
          </w:p>
        </w:tc>
        <w:tc>
          <w:tcPr>
            <w:tcW w:w="0" w:type="auto"/>
            <w:gridSpan w:val="3"/>
            <w:shd w:val="clear" w:color="auto" w:fill="auto"/>
            <w:vAlign w:val="bottom"/>
          </w:tcPr>
          <w:p w14:paraId="74DDA62E" w14:textId="77777777" w:rsidR="00584EC1" w:rsidRDefault="00584EC1">
            <w:pPr>
              <w:rPr>
                <w:rFonts w:ascii="宋体"/>
                <w:vanish/>
              </w:rPr>
            </w:pPr>
          </w:p>
        </w:tc>
        <w:tc>
          <w:tcPr>
            <w:tcW w:w="0" w:type="auto"/>
            <w:gridSpan w:val="3"/>
            <w:shd w:val="clear" w:color="auto" w:fill="auto"/>
            <w:vAlign w:val="bottom"/>
          </w:tcPr>
          <w:p w14:paraId="74DDA62F" w14:textId="77777777" w:rsidR="00584EC1" w:rsidRDefault="00584EC1">
            <w:pPr>
              <w:rPr>
                <w:rFonts w:ascii="宋体"/>
                <w:vanish/>
              </w:rPr>
            </w:pPr>
          </w:p>
        </w:tc>
        <w:tc>
          <w:tcPr>
            <w:tcW w:w="0" w:type="auto"/>
            <w:gridSpan w:val="3"/>
            <w:shd w:val="clear" w:color="auto" w:fill="auto"/>
            <w:vAlign w:val="bottom"/>
          </w:tcPr>
          <w:p w14:paraId="74DDA630" w14:textId="77777777" w:rsidR="00584EC1" w:rsidRDefault="00584EC1">
            <w:pPr>
              <w:rPr>
                <w:rFonts w:ascii="宋体"/>
                <w:vanish/>
              </w:rPr>
            </w:pPr>
          </w:p>
        </w:tc>
        <w:tc>
          <w:tcPr>
            <w:tcW w:w="0" w:type="auto"/>
            <w:gridSpan w:val="3"/>
            <w:shd w:val="clear" w:color="auto" w:fill="auto"/>
            <w:vAlign w:val="bottom"/>
          </w:tcPr>
          <w:p w14:paraId="74DDA631" w14:textId="77777777" w:rsidR="00584EC1" w:rsidRDefault="00584EC1">
            <w:pPr>
              <w:rPr>
                <w:rFonts w:ascii="宋体"/>
                <w:vanish/>
              </w:rPr>
            </w:pPr>
          </w:p>
        </w:tc>
      </w:tr>
      <w:tr w:rsidR="00584EC1" w14:paraId="74DDA63C" w14:textId="77777777">
        <w:tc>
          <w:tcPr>
            <w:tcW w:w="0" w:type="auto"/>
            <w:gridSpan w:val="24"/>
            <w:shd w:val="clear" w:color="auto" w:fill="auto"/>
            <w:tcMar>
              <w:top w:w="40" w:type="dxa"/>
              <w:left w:w="20" w:type="dxa"/>
              <w:bottom w:w="40" w:type="dxa"/>
              <w:right w:w="20" w:type="dxa"/>
            </w:tcMar>
            <w:vAlign w:val="bottom"/>
          </w:tcPr>
          <w:p w14:paraId="74DDA633" w14:textId="77777777" w:rsidR="00584EC1" w:rsidRDefault="00871F8D">
            <w:pPr>
              <w:textAlignment w:val="bottom"/>
            </w:pPr>
            <w:r>
              <w:rPr>
                <w:rFonts w:ascii="Arial" w:eastAsia="宋体" w:hAnsi="Arial" w:cs="Arial"/>
                <w:b/>
                <w:bCs/>
                <w:color w:val="000000"/>
                <w:sz w:val="16"/>
                <w:szCs w:val="16"/>
              </w:rPr>
              <w:t>TABLE 43: COMMON STOCK DIVIDENDS</w:t>
            </w:r>
          </w:p>
        </w:tc>
        <w:tc>
          <w:tcPr>
            <w:tcW w:w="0" w:type="auto"/>
            <w:gridSpan w:val="3"/>
            <w:shd w:val="clear" w:color="auto" w:fill="auto"/>
            <w:vAlign w:val="bottom"/>
          </w:tcPr>
          <w:p w14:paraId="74DDA634" w14:textId="77777777" w:rsidR="00584EC1" w:rsidRDefault="00584EC1">
            <w:pPr>
              <w:rPr>
                <w:rFonts w:ascii="宋体"/>
                <w:vanish/>
              </w:rPr>
            </w:pPr>
          </w:p>
        </w:tc>
        <w:tc>
          <w:tcPr>
            <w:tcW w:w="0" w:type="auto"/>
            <w:gridSpan w:val="3"/>
            <w:shd w:val="clear" w:color="auto" w:fill="auto"/>
            <w:vAlign w:val="bottom"/>
          </w:tcPr>
          <w:p w14:paraId="74DDA635" w14:textId="77777777" w:rsidR="00584EC1" w:rsidRDefault="00584EC1">
            <w:pPr>
              <w:rPr>
                <w:rFonts w:ascii="宋体"/>
                <w:vanish/>
              </w:rPr>
            </w:pPr>
          </w:p>
        </w:tc>
        <w:tc>
          <w:tcPr>
            <w:tcW w:w="0" w:type="auto"/>
            <w:gridSpan w:val="3"/>
            <w:shd w:val="clear" w:color="auto" w:fill="auto"/>
            <w:vAlign w:val="bottom"/>
          </w:tcPr>
          <w:p w14:paraId="74DDA636" w14:textId="77777777" w:rsidR="00584EC1" w:rsidRDefault="00584EC1">
            <w:pPr>
              <w:rPr>
                <w:rFonts w:ascii="宋体"/>
                <w:vanish/>
              </w:rPr>
            </w:pPr>
          </w:p>
        </w:tc>
        <w:tc>
          <w:tcPr>
            <w:tcW w:w="0" w:type="auto"/>
            <w:gridSpan w:val="3"/>
            <w:shd w:val="clear" w:color="auto" w:fill="auto"/>
            <w:vAlign w:val="bottom"/>
          </w:tcPr>
          <w:p w14:paraId="74DDA637" w14:textId="77777777" w:rsidR="00584EC1" w:rsidRDefault="00584EC1">
            <w:pPr>
              <w:rPr>
                <w:rFonts w:ascii="宋体"/>
                <w:vanish/>
              </w:rPr>
            </w:pPr>
          </w:p>
        </w:tc>
        <w:tc>
          <w:tcPr>
            <w:tcW w:w="0" w:type="auto"/>
            <w:gridSpan w:val="3"/>
            <w:shd w:val="clear" w:color="auto" w:fill="auto"/>
            <w:vAlign w:val="bottom"/>
          </w:tcPr>
          <w:p w14:paraId="74DDA638" w14:textId="77777777" w:rsidR="00584EC1" w:rsidRDefault="00584EC1">
            <w:pPr>
              <w:rPr>
                <w:rFonts w:ascii="宋体"/>
                <w:vanish/>
              </w:rPr>
            </w:pPr>
          </w:p>
        </w:tc>
        <w:tc>
          <w:tcPr>
            <w:tcW w:w="0" w:type="auto"/>
            <w:gridSpan w:val="3"/>
            <w:shd w:val="clear" w:color="auto" w:fill="auto"/>
            <w:vAlign w:val="bottom"/>
          </w:tcPr>
          <w:p w14:paraId="74DDA639" w14:textId="77777777" w:rsidR="00584EC1" w:rsidRDefault="00584EC1">
            <w:pPr>
              <w:rPr>
                <w:rFonts w:ascii="宋体"/>
                <w:vanish/>
              </w:rPr>
            </w:pPr>
          </w:p>
        </w:tc>
        <w:tc>
          <w:tcPr>
            <w:tcW w:w="0" w:type="auto"/>
            <w:gridSpan w:val="3"/>
            <w:shd w:val="clear" w:color="auto" w:fill="auto"/>
            <w:vAlign w:val="bottom"/>
          </w:tcPr>
          <w:p w14:paraId="74DDA63A" w14:textId="77777777" w:rsidR="00584EC1" w:rsidRDefault="00584EC1">
            <w:pPr>
              <w:rPr>
                <w:rFonts w:ascii="宋体"/>
                <w:vanish/>
              </w:rPr>
            </w:pPr>
          </w:p>
        </w:tc>
        <w:tc>
          <w:tcPr>
            <w:tcW w:w="0" w:type="auto"/>
            <w:gridSpan w:val="3"/>
            <w:shd w:val="clear" w:color="auto" w:fill="auto"/>
            <w:vAlign w:val="bottom"/>
          </w:tcPr>
          <w:p w14:paraId="74DDA63B" w14:textId="77777777" w:rsidR="00584EC1" w:rsidRDefault="00584EC1">
            <w:pPr>
              <w:rPr>
                <w:rFonts w:ascii="宋体"/>
                <w:vanish/>
              </w:rPr>
            </w:pPr>
          </w:p>
        </w:tc>
      </w:tr>
      <w:tr w:rsidR="00584EC1" w14:paraId="74DDA653" w14:textId="77777777">
        <w:tc>
          <w:tcPr>
            <w:tcW w:w="0" w:type="auto"/>
            <w:gridSpan w:val="3"/>
            <w:shd w:val="clear" w:color="auto" w:fill="auto"/>
            <w:tcMar>
              <w:top w:w="0" w:type="dxa"/>
              <w:left w:w="20" w:type="dxa"/>
              <w:bottom w:w="0" w:type="dxa"/>
              <w:right w:w="20" w:type="dxa"/>
            </w:tcMar>
            <w:vAlign w:val="bottom"/>
          </w:tcPr>
          <w:p w14:paraId="74DDA63D" w14:textId="77777777" w:rsidR="00584EC1" w:rsidRDefault="00584EC1">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74DDA63E" w14:textId="77777777" w:rsidR="00584EC1" w:rsidRDefault="00871F8D">
            <w:pPr>
              <w:jc w:val="center"/>
              <w:textAlignment w:val="bottom"/>
            </w:pPr>
            <w:r>
              <w:rPr>
                <w:rFonts w:ascii="Arial" w:eastAsia="宋体" w:hAnsi="Arial" w:cs="Arial"/>
                <w:b/>
                <w:bCs/>
                <w:color w:val="000000"/>
                <w:sz w:val="14"/>
                <w:szCs w:val="14"/>
              </w:rPr>
              <w:t>Three Months Ended September 30,</w:t>
            </w:r>
          </w:p>
        </w:tc>
        <w:tc>
          <w:tcPr>
            <w:tcW w:w="0" w:type="auto"/>
            <w:gridSpan w:val="3"/>
            <w:shd w:val="clear" w:color="auto" w:fill="auto"/>
            <w:vAlign w:val="bottom"/>
          </w:tcPr>
          <w:p w14:paraId="74DDA63F" w14:textId="77777777" w:rsidR="00584EC1" w:rsidRDefault="00584EC1">
            <w:pPr>
              <w:rPr>
                <w:rFonts w:ascii="宋体"/>
                <w:vanish/>
              </w:rPr>
            </w:pPr>
          </w:p>
        </w:tc>
        <w:tc>
          <w:tcPr>
            <w:tcW w:w="0" w:type="auto"/>
            <w:gridSpan w:val="3"/>
            <w:shd w:val="clear" w:color="auto" w:fill="auto"/>
            <w:vAlign w:val="bottom"/>
          </w:tcPr>
          <w:p w14:paraId="74DDA640" w14:textId="77777777" w:rsidR="00584EC1" w:rsidRDefault="00584EC1">
            <w:pPr>
              <w:rPr>
                <w:rFonts w:ascii="宋体"/>
                <w:vanish/>
              </w:rPr>
            </w:pPr>
          </w:p>
        </w:tc>
        <w:tc>
          <w:tcPr>
            <w:tcW w:w="0" w:type="auto"/>
            <w:shd w:val="clear" w:color="auto" w:fill="auto"/>
            <w:vAlign w:val="bottom"/>
          </w:tcPr>
          <w:p w14:paraId="74DDA641" w14:textId="77777777" w:rsidR="00584EC1" w:rsidRDefault="00584EC1">
            <w:pPr>
              <w:rPr>
                <w:rFonts w:ascii="宋体"/>
              </w:rPr>
            </w:pPr>
          </w:p>
        </w:tc>
        <w:tc>
          <w:tcPr>
            <w:tcW w:w="0" w:type="auto"/>
            <w:shd w:val="clear" w:color="auto" w:fill="auto"/>
            <w:vAlign w:val="bottom"/>
          </w:tcPr>
          <w:p w14:paraId="74DDA642" w14:textId="77777777" w:rsidR="00584EC1" w:rsidRDefault="00584EC1">
            <w:pPr>
              <w:rPr>
                <w:rFonts w:ascii="宋体"/>
              </w:rPr>
            </w:pPr>
          </w:p>
        </w:tc>
        <w:tc>
          <w:tcPr>
            <w:tcW w:w="0" w:type="auto"/>
            <w:shd w:val="clear" w:color="auto" w:fill="auto"/>
            <w:vAlign w:val="bottom"/>
          </w:tcPr>
          <w:p w14:paraId="74DDA643" w14:textId="77777777" w:rsidR="00584EC1" w:rsidRDefault="00584EC1">
            <w:pPr>
              <w:rPr>
                <w:rFonts w:ascii="宋体"/>
              </w:rPr>
            </w:pPr>
          </w:p>
        </w:tc>
        <w:tc>
          <w:tcPr>
            <w:tcW w:w="0" w:type="auto"/>
            <w:shd w:val="clear" w:color="auto" w:fill="auto"/>
            <w:vAlign w:val="bottom"/>
          </w:tcPr>
          <w:p w14:paraId="74DDA644" w14:textId="77777777" w:rsidR="00584EC1" w:rsidRDefault="00584EC1">
            <w:pPr>
              <w:rPr>
                <w:rFonts w:ascii="宋体"/>
              </w:rPr>
            </w:pPr>
          </w:p>
        </w:tc>
        <w:tc>
          <w:tcPr>
            <w:tcW w:w="0" w:type="auto"/>
            <w:shd w:val="clear" w:color="auto" w:fill="auto"/>
            <w:vAlign w:val="bottom"/>
          </w:tcPr>
          <w:p w14:paraId="74DDA645" w14:textId="77777777" w:rsidR="00584EC1" w:rsidRDefault="00584EC1">
            <w:pPr>
              <w:rPr>
                <w:rFonts w:ascii="宋体"/>
              </w:rPr>
            </w:pPr>
          </w:p>
        </w:tc>
        <w:tc>
          <w:tcPr>
            <w:tcW w:w="0" w:type="auto"/>
            <w:shd w:val="clear" w:color="auto" w:fill="auto"/>
            <w:vAlign w:val="bottom"/>
          </w:tcPr>
          <w:p w14:paraId="74DDA646" w14:textId="77777777" w:rsidR="00584EC1" w:rsidRDefault="00584EC1">
            <w:pPr>
              <w:rPr>
                <w:rFonts w:ascii="宋体"/>
              </w:rPr>
            </w:pPr>
          </w:p>
        </w:tc>
        <w:tc>
          <w:tcPr>
            <w:tcW w:w="0" w:type="auto"/>
            <w:shd w:val="clear" w:color="auto" w:fill="auto"/>
            <w:vAlign w:val="bottom"/>
          </w:tcPr>
          <w:p w14:paraId="74DDA647" w14:textId="77777777" w:rsidR="00584EC1" w:rsidRDefault="00584EC1">
            <w:pPr>
              <w:rPr>
                <w:rFonts w:ascii="宋体"/>
              </w:rPr>
            </w:pPr>
          </w:p>
        </w:tc>
        <w:tc>
          <w:tcPr>
            <w:tcW w:w="0" w:type="auto"/>
            <w:shd w:val="clear" w:color="auto" w:fill="auto"/>
            <w:vAlign w:val="bottom"/>
          </w:tcPr>
          <w:p w14:paraId="74DDA648" w14:textId="77777777" w:rsidR="00584EC1" w:rsidRDefault="00584EC1">
            <w:pPr>
              <w:rPr>
                <w:rFonts w:ascii="宋体"/>
              </w:rPr>
            </w:pPr>
          </w:p>
        </w:tc>
        <w:tc>
          <w:tcPr>
            <w:tcW w:w="0" w:type="auto"/>
            <w:shd w:val="clear" w:color="auto" w:fill="auto"/>
            <w:vAlign w:val="bottom"/>
          </w:tcPr>
          <w:p w14:paraId="74DDA649" w14:textId="77777777" w:rsidR="00584EC1" w:rsidRDefault="00584EC1">
            <w:pPr>
              <w:rPr>
                <w:rFonts w:ascii="宋体"/>
              </w:rPr>
            </w:pPr>
          </w:p>
        </w:tc>
        <w:tc>
          <w:tcPr>
            <w:tcW w:w="0" w:type="auto"/>
            <w:shd w:val="clear" w:color="auto" w:fill="auto"/>
            <w:vAlign w:val="bottom"/>
          </w:tcPr>
          <w:p w14:paraId="74DDA64A" w14:textId="77777777" w:rsidR="00584EC1" w:rsidRDefault="00584EC1">
            <w:pPr>
              <w:rPr>
                <w:rFonts w:ascii="宋体"/>
              </w:rPr>
            </w:pPr>
          </w:p>
        </w:tc>
        <w:tc>
          <w:tcPr>
            <w:tcW w:w="0" w:type="auto"/>
            <w:shd w:val="clear" w:color="auto" w:fill="auto"/>
            <w:vAlign w:val="bottom"/>
          </w:tcPr>
          <w:p w14:paraId="74DDA64B" w14:textId="77777777" w:rsidR="00584EC1" w:rsidRDefault="00584EC1">
            <w:pPr>
              <w:rPr>
                <w:rFonts w:ascii="宋体"/>
              </w:rPr>
            </w:pPr>
          </w:p>
        </w:tc>
        <w:tc>
          <w:tcPr>
            <w:tcW w:w="0" w:type="auto"/>
            <w:shd w:val="clear" w:color="auto" w:fill="auto"/>
            <w:vAlign w:val="bottom"/>
          </w:tcPr>
          <w:p w14:paraId="74DDA64C" w14:textId="77777777" w:rsidR="00584EC1" w:rsidRDefault="00584EC1">
            <w:pPr>
              <w:rPr>
                <w:rFonts w:ascii="宋体"/>
              </w:rPr>
            </w:pPr>
          </w:p>
        </w:tc>
        <w:tc>
          <w:tcPr>
            <w:tcW w:w="0" w:type="auto"/>
            <w:shd w:val="clear" w:color="auto" w:fill="auto"/>
            <w:vAlign w:val="bottom"/>
          </w:tcPr>
          <w:p w14:paraId="74DDA64D" w14:textId="77777777" w:rsidR="00584EC1" w:rsidRDefault="00584EC1">
            <w:pPr>
              <w:rPr>
                <w:rFonts w:ascii="宋体"/>
              </w:rPr>
            </w:pPr>
          </w:p>
        </w:tc>
        <w:tc>
          <w:tcPr>
            <w:tcW w:w="0" w:type="auto"/>
            <w:shd w:val="clear" w:color="auto" w:fill="auto"/>
            <w:vAlign w:val="bottom"/>
          </w:tcPr>
          <w:p w14:paraId="74DDA64E" w14:textId="77777777" w:rsidR="00584EC1" w:rsidRDefault="00584EC1">
            <w:pPr>
              <w:rPr>
                <w:rFonts w:ascii="宋体"/>
              </w:rPr>
            </w:pPr>
          </w:p>
        </w:tc>
        <w:tc>
          <w:tcPr>
            <w:tcW w:w="0" w:type="auto"/>
            <w:shd w:val="clear" w:color="auto" w:fill="auto"/>
            <w:vAlign w:val="bottom"/>
          </w:tcPr>
          <w:p w14:paraId="74DDA64F" w14:textId="77777777" w:rsidR="00584EC1" w:rsidRDefault="00584EC1">
            <w:pPr>
              <w:rPr>
                <w:rFonts w:ascii="宋体"/>
              </w:rPr>
            </w:pPr>
          </w:p>
        </w:tc>
        <w:tc>
          <w:tcPr>
            <w:tcW w:w="0" w:type="auto"/>
            <w:shd w:val="clear" w:color="auto" w:fill="auto"/>
            <w:vAlign w:val="bottom"/>
          </w:tcPr>
          <w:p w14:paraId="74DDA650" w14:textId="77777777" w:rsidR="00584EC1" w:rsidRDefault="00584EC1">
            <w:pPr>
              <w:rPr>
                <w:rFonts w:ascii="宋体"/>
              </w:rPr>
            </w:pPr>
          </w:p>
        </w:tc>
        <w:tc>
          <w:tcPr>
            <w:tcW w:w="0" w:type="auto"/>
            <w:shd w:val="clear" w:color="auto" w:fill="auto"/>
            <w:vAlign w:val="bottom"/>
          </w:tcPr>
          <w:p w14:paraId="74DDA651" w14:textId="77777777" w:rsidR="00584EC1" w:rsidRDefault="00584EC1">
            <w:pPr>
              <w:rPr>
                <w:rFonts w:ascii="宋体"/>
              </w:rPr>
            </w:pPr>
          </w:p>
        </w:tc>
        <w:tc>
          <w:tcPr>
            <w:tcW w:w="0" w:type="auto"/>
            <w:shd w:val="clear" w:color="auto" w:fill="auto"/>
            <w:vAlign w:val="bottom"/>
          </w:tcPr>
          <w:p w14:paraId="74DDA652" w14:textId="77777777" w:rsidR="00584EC1" w:rsidRDefault="00584EC1">
            <w:pPr>
              <w:rPr>
                <w:rFonts w:ascii="宋体"/>
              </w:rPr>
            </w:pPr>
          </w:p>
        </w:tc>
      </w:tr>
      <w:tr w:rsidR="00584EC1" w14:paraId="74DDA660" w14:textId="77777777">
        <w:tc>
          <w:tcPr>
            <w:tcW w:w="0" w:type="auto"/>
            <w:gridSpan w:val="3"/>
            <w:shd w:val="clear" w:color="auto" w:fill="auto"/>
            <w:tcMar>
              <w:top w:w="0" w:type="dxa"/>
              <w:left w:w="20" w:type="dxa"/>
              <w:bottom w:w="0" w:type="dxa"/>
              <w:right w:w="20" w:type="dxa"/>
            </w:tcMar>
            <w:vAlign w:val="bottom"/>
          </w:tcPr>
          <w:p w14:paraId="74DDA654" w14:textId="77777777" w:rsidR="00584EC1" w:rsidRDefault="00584E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4DDA655" w14:textId="77777777" w:rsidR="00584EC1" w:rsidRDefault="00871F8D">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A656" w14:textId="77777777" w:rsidR="00584EC1" w:rsidRDefault="00584E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4DDA657" w14:textId="77777777" w:rsidR="00584EC1" w:rsidRDefault="00871F8D">
            <w:pPr>
              <w:jc w:val="center"/>
              <w:textAlignment w:val="bottom"/>
            </w:pPr>
            <w:r>
              <w:rPr>
                <w:rFonts w:ascii="Arial" w:eastAsia="宋体" w:hAnsi="Arial" w:cs="Arial"/>
                <w:b/>
                <w:bCs/>
                <w:color w:val="000000"/>
                <w:sz w:val="14"/>
                <w:szCs w:val="14"/>
              </w:rPr>
              <w:t>2020</w:t>
            </w:r>
          </w:p>
        </w:tc>
        <w:tc>
          <w:tcPr>
            <w:tcW w:w="0" w:type="auto"/>
            <w:gridSpan w:val="3"/>
            <w:shd w:val="clear" w:color="auto" w:fill="auto"/>
            <w:vAlign w:val="bottom"/>
          </w:tcPr>
          <w:p w14:paraId="74DDA658" w14:textId="77777777" w:rsidR="00584EC1" w:rsidRDefault="00584EC1">
            <w:pPr>
              <w:rPr>
                <w:rFonts w:ascii="宋体"/>
                <w:vanish/>
              </w:rPr>
            </w:pPr>
          </w:p>
        </w:tc>
        <w:tc>
          <w:tcPr>
            <w:tcW w:w="0" w:type="auto"/>
            <w:gridSpan w:val="3"/>
            <w:shd w:val="clear" w:color="auto" w:fill="auto"/>
            <w:vAlign w:val="bottom"/>
          </w:tcPr>
          <w:p w14:paraId="74DDA659" w14:textId="77777777" w:rsidR="00584EC1" w:rsidRDefault="00584EC1">
            <w:pPr>
              <w:rPr>
                <w:rFonts w:ascii="宋体"/>
                <w:vanish/>
              </w:rPr>
            </w:pPr>
          </w:p>
        </w:tc>
        <w:tc>
          <w:tcPr>
            <w:tcW w:w="0" w:type="auto"/>
            <w:gridSpan w:val="3"/>
            <w:shd w:val="clear" w:color="auto" w:fill="auto"/>
            <w:vAlign w:val="bottom"/>
          </w:tcPr>
          <w:p w14:paraId="74DDA65A" w14:textId="77777777" w:rsidR="00584EC1" w:rsidRDefault="00584EC1">
            <w:pPr>
              <w:rPr>
                <w:rFonts w:ascii="宋体"/>
                <w:vanish/>
              </w:rPr>
            </w:pPr>
          </w:p>
        </w:tc>
        <w:tc>
          <w:tcPr>
            <w:tcW w:w="0" w:type="auto"/>
            <w:gridSpan w:val="3"/>
            <w:shd w:val="clear" w:color="auto" w:fill="auto"/>
            <w:vAlign w:val="bottom"/>
          </w:tcPr>
          <w:p w14:paraId="74DDA65B" w14:textId="77777777" w:rsidR="00584EC1" w:rsidRDefault="00584EC1">
            <w:pPr>
              <w:rPr>
                <w:rFonts w:ascii="宋体"/>
                <w:vanish/>
              </w:rPr>
            </w:pPr>
          </w:p>
        </w:tc>
        <w:tc>
          <w:tcPr>
            <w:tcW w:w="0" w:type="auto"/>
            <w:gridSpan w:val="3"/>
            <w:shd w:val="clear" w:color="auto" w:fill="auto"/>
            <w:vAlign w:val="bottom"/>
          </w:tcPr>
          <w:p w14:paraId="74DDA65C" w14:textId="77777777" w:rsidR="00584EC1" w:rsidRDefault="00584EC1">
            <w:pPr>
              <w:rPr>
                <w:rFonts w:ascii="宋体"/>
                <w:vanish/>
              </w:rPr>
            </w:pPr>
          </w:p>
        </w:tc>
        <w:tc>
          <w:tcPr>
            <w:tcW w:w="0" w:type="auto"/>
            <w:gridSpan w:val="3"/>
            <w:shd w:val="clear" w:color="auto" w:fill="auto"/>
            <w:vAlign w:val="bottom"/>
          </w:tcPr>
          <w:p w14:paraId="74DDA65D" w14:textId="77777777" w:rsidR="00584EC1" w:rsidRDefault="00584EC1">
            <w:pPr>
              <w:rPr>
                <w:rFonts w:ascii="宋体"/>
                <w:vanish/>
              </w:rPr>
            </w:pPr>
          </w:p>
        </w:tc>
        <w:tc>
          <w:tcPr>
            <w:tcW w:w="0" w:type="auto"/>
            <w:gridSpan w:val="3"/>
            <w:shd w:val="clear" w:color="auto" w:fill="auto"/>
            <w:vAlign w:val="bottom"/>
          </w:tcPr>
          <w:p w14:paraId="74DDA65E" w14:textId="77777777" w:rsidR="00584EC1" w:rsidRDefault="00584EC1">
            <w:pPr>
              <w:rPr>
                <w:rFonts w:ascii="宋体"/>
                <w:vanish/>
              </w:rPr>
            </w:pPr>
          </w:p>
        </w:tc>
        <w:tc>
          <w:tcPr>
            <w:tcW w:w="0" w:type="auto"/>
            <w:gridSpan w:val="3"/>
            <w:shd w:val="clear" w:color="auto" w:fill="auto"/>
            <w:vAlign w:val="bottom"/>
          </w:tcPr>
          <w:p w14:paraId="74DDA65F" w14:textId="77777777" w:rsidR="00584EC1" w:rsidRDefault="00584EC1">
            <w:pPr>
              <w:rPr>
                <w:rFonts w:ascii="宋体"/>
                <w:vanish/>
              </w:rPr>
            </w:pPr>
          </w:p>
        </w:tc>
      </w:tr>
      <w:tr w:rsidR="00584EC1" w14:paraId="74DDA671" w14:textId="77777777">
        <w:tc>
          <w:tcPr>
            <w:tcW w:w="0" w:type="auto"/>
            <w:gridSpan w:val="3"/>
            <w:shd w:val="clear" w:color="auto" w:fill="auto"/>
            <w:tcMar>
              <w:top w:w="0" w:type="dxa"/>
              <w:left w:w="20" w:type="dxa"/>
              <w:bottom w:w="0" w:type="dxa"/>
              <w:right w:w="20" w:type="dxa"/>
            </w:tcMar>
            <w:vAlign w:val="bottom"/>
          </w:tcPr>
          <w:p w14:paraId="74DDA661"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A662" w14:textId="77777777" w:rsidR="00584EC1" w:rsidRDefault="00871F8D">
            <w:pPr>
              <w:jc w:val="center"/>
              <w:textAlignment w:val="bottom"/>
            </w:pPr>
            <w:r>
              <w:rPr>
                <w:rFonts w:ascii="Arial" w:eastAsia="宋体" w:hAnsi="Arial" w:cs="Arial"/>
                <w:b/>
                <w:bCs/>
                <w:color w:val="000000"/>
                <w:sz w:val="14"/>
                <w:szCs w:val="14"/>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A663"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A664" w14:textId="77777777" w:rsidR="00584EC1" w:rsidRDefault="00871F8D">
            <w:pPr>
              <w:jc w:val="center"/>
              <w:textAlignment w:val="bottom"/>
            </w:pPr>
            <w:r>
              <w:rPr>
                <w:rFonts w:ascii="Arial" w:eastAsia="宋体" w:hAnsi="Arial" w:cs="Arial"/>
                <w:b/>
                <w:bCs/>
                <w:color w:val="000000"/>
                <w:sz w:val="14"/>
                <w:szCs w:val="14"/>
              </w:rPr>
              <w:t xml:space="preserve">Total (In </w:t>
            </w:r>
            <w:r>
              <w:rPr>
                <w:rFonts w:ascii="Arial" w:eastAsia="宋体" w:hAnsi="Arial" w:cs="Arial"/>
                <w:b/>
                <w:bCs/>
                <w:color w:val="000000"/>
                <w:sz w:val="14"/>
                <w:szCs w:val="14"/>
              </w:rPr>
              <w:t>millions)</w:t>
            </w:r>
          </w:p>
        </w:tc>
        <w:tc>
          <w:tcPr>
            <w:tcW w:w="0" w:type="auto"/>
            <w:gridSpan w:val="3"/>
            <w:shd w:val="clear" w:color="auto" w:fill="auto"/>
            <w:tcMar>
              <w:top w:w="0" w:type="dxa"/>
              <w:left w:w="20" w:type="dxa"/>
              <w:bottom w:w="0" w:type="dxa"/>
              <w:right w:w="20" w:type="dxa"/>
            </w:tcMar>
            <w:vAlign w:val="bottom"/>
          </w:tcPr>
          <w:p w14:paraId="74DDA665"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A666" w14:textId="77777777" w:rsidR="00584EC1" w:rsidRDefault="00871F8D">
            <w:pPr>
              <w:jc w:val="center"/>
              <w:textAlignment w:val="bottom"/>
            </w:pPr>
            <w:r>
              <w:rPr>
                <w:rFonts w:ascii="Arial" w:eastAsia="宋体" w:hAnsi="Arial" w:cs="Arial"/>
                <w:b/>
                <w:bCs/>
                <w:color w:val="000000"/>
                <w:sz w:val="14"/>
                <w:szCs w:val="14"/>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A667"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A668" w14:textId="77777777" w:rsidR="00584EC1" w:rsidRDefault="00871F8D">
            <w:pPr>
              <w:jc w:val="center"/>
              <w:textAlignment w:val="bottom"/>
            </w:pPr>
            <w:r>
              <w:rPr>
                <w:rFonts w:ascii="Arial" w:eastAsia="宋体" w:hAnsi="Arial" w:cs="Arial"/>
                <w:b/>
                <w:bCs/>
                <w:color w:val="000000"/>
                <w:sz w:val="14"/>
                <w:szCs w:val="14"/>
              </w:rPr>
              <w:t>Total (In millions)</w:t>
            </w:r>
          </w:p>
        </w:tc>
        <w:tc>
          <w:tcPr>
            <w:tcW w:w="0" w:type="auto"/>
            <w:gridSpan w:val="3"/>
            <w:shd w:val="clear" w:color="auto" w:fill="auto"/>
            <w:vAlign w:val="bottom"/>
          </w:tcPr>
          <w:p w14:paraId="74DDA669" w14:textId="77777777" w:rsidR="00584EC1" w:rsidRDefault="00584EC1">
            <w:pPr>
              <w:rPr>
                <w:rFonts w:ascii="宋体"/>
                <w:vanish/>
              </w:rPr>
            </w:pPr>
          </w:p>
        </w:tc>
        <w:tc>
          <w:tcPr>
            <w:tcW w:w="0" w:type="auto"/>
            <w:gridSpan w:val="3"/>
            <w:shd w:val="clear" w:color="auto" w:fill="auto"/>
            <w:vAlign w:val="bottom"/>
          </w:tcPr>
          <w:p w14:paraId="74DDA66A" w14:textId="77777777" w:rsidR="00584EC1" w:rsidRDefault="00584EC1">
            <w:pPr>
              <w:rPr>
                <w:rFonts w:ascii="宋体"/>
                <w:vanish/>
              </w:rPr>
            </w:pPr>
          </w:p>
        </w:tc>
        <w:tc>
          <w:tcPr>
            <w:tcW w:w="0" w:type="auto"/>
            <w:gridSpan w:val="3"/>
            <w:shd w:val="clear" w:color="auto" w:fill="auto"/>
            <w:vAlign w:val="bottom"/>
          </w:tcPr>
          <w:p w14:paraId="74DDA66B" w14:textId="77777777" w:rsidR="00584EC1" w:rsidRDefault="00584EC1">
            <w:pPr>
              <w:rPr>
                <w:rFonts w:ascii="宋体"/>
                <w:vanish/>
              </w:rPr>
            </w:pPr>
          </w:p>
        </w:tc>
        <w:tc>
          <w:tcPr>
            <w:tcW w:w="0" w:type="auto"/>
            <w:gridSpan w:val="3"/>
            <w:shd w:val="clear" w:color="auto" w:fill="auto"/>
            <w:vAlign w:val="bottom"/>
          </w:tcPr>
          <w:p w14:paraId="74DDA66C" w14:textId="77777777" w:rsidR="00584EC1" w:rsidRDefault="00584EC1">
            <w:pPr>
              <w:rPr>
                <w:rFonts w:ascii="宋体"/>
                <w:vanish/>
              </w:rPr>
            </w:pPr>
          </w:p>
        </w:tc>
        <w:tc>
          <w:tcPr>
            <w:tcW w:w="0" w:type="auto"/>
            <w:gridSpan w:val="3"/>
            <w:shd w:val="clear" w:color="auto" w:fill="auto"/>
            <w:vAlign w:val="bottom"/>
          </w:tcPr>
          <w:p w14:paraId="74DDA66D" w14:textId="77777777" w:rsidR="00584EC1" w:rsidRDefault="00584EC1">
            <w:pPr>
              <w:rPr>
                <w:rFonts w:ascii="宋体"/>
                <w:vanish/>
              </w:rPr>
            </w:pPr>
          </w:p>
        </w:tc>
        <w:tc>
          <w:tcPr>
            <w:tcW w:w="0" w:type="auto"/>
            <w:gridSpan w:val="3"/>
            <w:shd w:val="clear" w:color="auto" w:fill="auto"/>
            <w:vAlign w:val="bottom"/>
          </w:tcPr>
          <w:p w14:paraId="74DDA66E" w14:textId="77777777" w:rsidR="00584EC1" w:rsidRDefault="00584EC1">
            <w:pPr>
              <w:rPr>
                <w:rFonts w:ascii="宋体"/>
                <w:vanish/>
              </w:rPr>
            </w:pPr>
          </w:p>
        </w:tc>
        <w:tc>
          <w:tcPr>
            <w:tcW w:w="0" w:type="auto"/>
            <w:gridSpan w:val="3"/>
            <w:shd w:val="clear" w:color="auto" w:fill="auto"/>
            <w:vAlign w:val="bottom"/>
          </w:tcPr>
          <w:p w14:paraId="74DDA66F" w14:textId="77777777" w:rsidR="00584EC1" w:rsidRDefault="00584EC1">
            <w:pPr>
              <w:rPr>
                <w:rFonts w:ascii="宋体"/>
                <w:vanish/>
              </w:rPr>
            </w:pPr>
          </w:p>
        </w:tc>
        <w:tc>
          <w:tcPr>
            <w:tcW w:w="0" w:type="auto"/>
            <w:gridSpan w:val="3"/>
            <w:shd w:val="clear" w:color="auto" w:fill="auto"/>
            <w:vAlign w:val="bottom"/>
          </w:tcPr>
          <w:p w14:paraId="74DDA670" w14:textId="77777777" w:rsidR="00584EC1" w:rsidRDefault="00584EC1">
            <w:pPr>
              <w:rPr>
                <w:rFonts w:ascii="宋体"/>
                <w:vanish/>
              </w:rPr>
            </w:pPr>
          </w:p>
        </w:tc>
      </w:tr>
      <w:tr w:rsidR="00584EC1" w14:paraId="74DDA692" w14:textId="77777777">
        <w:trPr>
          <w:hidden/>
        </w:trPr>
        <w:tc>
          <w:tcPr>
            <w:tcW w:w="0" w:type="auto"/>
            <w:gridSpan w:val="3"/>
            <w:shd w:val="clear" w:color="auto" w:fill="auto"/>
            <w:vAlign w:val="bottom"/>
          </w:tcPr>
          <w:p w14:paraId="74DDA672" w14:textId="77777777" w:rsidR="00584EC1" w:rsidRDefault="00584EC1">
            <w:pPr>
              <w:rPr>
                <w:rFonts w:ascii="宋体"/>
                <w:vanish/>
              </w:rPr>
            </w:pPr>
          </w:p>
        </w:tc>
        <w:tc>
          <w:tcPr>
            <w:tcW w:w="0" w:type="auto"/>
            <w:gridSpan w:val="3"/>
            <w:shd w:val="clear" w:color="auto" w:fill="auto"/>
            <w:vAlign w:val="bottom"/>
          </w:tcPr>
          <w:p w14:paraId="74DDA673" w14:textId="77777777" w:rsidR="00584EC1" w:rsidRDefault="00584EC1">
            <w:pPr>
              <w:rPr>
                <w:rFonts w:ascii="宋体"/>
                <w:vanish/>
              </w:rPr>
            </w:pPr>
          </w:p>
        </w:tc>
        <w:tc>
          <w:tcPr>
            <w:tcW w:w="0" w:type="auto"/>
            <w:gridSpan w:val="3"/>
            <w:shd w:val="clear" w:color="auto" w:fill="auto"/>
            <w:vAlign w:val="bottom"/>
          </w:tcPr>
          <w:p w14:paraId="74DDA674" w14:textId="77777777" w:rsidR="00584EC1" w:rsidRDefault="00584EC1">
            <w:pPr>
              <w:rPr>
                <w:rFonts w:ascii="宋体"/>
                <w:vanish/>
              </w:rPr>
            </w:pPr>
          </w:p>
        </w:tc>
        <w:tc>
          <w:tcPr>
            <w:tcW w:w="0" w:type="auto"/>
            <w:gridSpan w:val="3"/>
            <w:shd w:val="clear" w:color="auto" w:fill="auto"/>
            <w:vAlign w:val="bottom"/>
          </w:tcPr>
          <w:p w14:paraId="74DDA675" w14:textId="77777777" w:rsidR="00584EC1" w:rsidRDefault="00584EC1">
            <w:pPr>
              <w:rPr>
                <w:rFonts w:ascii="宋体"/>
                <w:vanish/>
              </w:rPr>
            </w:pPr>
          </w:p>
        </w:tc>
        <w:tc>
          <w:tcPr>
            <w:tcW w:w="0" w:type="auto"/>
            <w:gridSpan w:val="3"/>
            <w:shd w:val="clear" w:color="auto" w:fill="auto"/>
            <w:vAlign w:val="bottom"/>
          </w:tcPr>
          <w:p w14:paraId="74DDA676" w14:textId="77777777" w:rsidR="00584EC1" w:rsidRDefault="00584EC1">
            <w:pPr>
              <w:rPr>
                <w:rFonts w:ascii="宋体"/>
                <w:vanish/>
              </w:rPr>
            </w:pPr>
          </w:p>
        </w:tc>
        <w:tc>
          <w:tcPr>
            <w:tcW w:w="0" w:type="auto"/>
            <w:gridSpan w:val="3"/>
            <w:shd w:val="clear" w:color="auto" w:fill="auto"/>
            <w:vAlign w:val="bottom"/>
          </w:tcPr>
          <w:p w14:paraId="74DDA677" w14:textId="77777777" w:rsidR="00584EC1" w:rsidRDefault="00584EC1">
            <w:pPr>
              <w:rPr>
                <w:rFonts w:ascii="宋体"/>
                <w:vanish/>
              </w:rPr>
            </w:pPr>
          </w:p>
        </w:tc>
        <w:tc>
          <w:tcPr>
            <w:tcW w:w="0" w:type="auto"/>
            <w:gridSpan w:val="3"/>
            <w:shd w:val="clear" w:color="auto" w:fill="auto"/>
            <w:vAlign w:val="bottom"/>
          </w:tcPr>
          <w:p w14:paraId="74DDA678" w14:textId="77777777" w:rsidR="00584EC1" w:rsidRDefault="00584EC1">
            <w:pPr>
              <w:rPr>
                <w:rFonts w:ascii="宋体"/>
                <w:vanish/>
              </w:rPr>
            </w:pPr>
          </w:p>
        </w:tc>
        <w:tc>
          <w:tcPr>
            <w:tcW w:w="0" w:type="auto"/>
            <w:gridSpan w:val="3"/>
            <w:shd w:val="clear" w:color="auto" w:fill="auto"/>
            <w:vAlign w:val="bottom"/>
          </w:tcPr>
          <w:p w14:paraId="74DDA679" w14:textId="77777777" w:rsidR="00584EC1" w:rsidRDefault="00584EC1">
            <w:pPr>
              <w:rPr>
                <w:rFonts w:ascii="宋体"/>
                <w:vanish/>
              </w:rPr>
            </w:pPr>
          </w:p>
        </w:tc>
        <w:tc>
          <w:tcPr>
            <w:tcW w:w="0" w:type="auto"/>
            <w:shd w:val="clear" w:color="auto" w:fill="auto"/>
            <w:vAlign w:val="bottom"/>
          </w:tcPr>
          <w:p w14:paraId="74DDA67A" w14:textId="77777777" w:rsidR="00584EC1" w:rsidRDefault="00584EC1">
            <w:pPr>
              <w:rPr>
                <w:rFonts w:ascii="宋体"/>
              </w:rPr>
            </w:pPr>
          </w:p>
        </w:tc>
        <w:tc>
          <w:tcPr>
            <w:tcW w:w="0" w:type="auto"/>
            <w:shd w:val="clear" w:color="auto" w:fill="auto"/>
            <w:vAlign w:val="bottom"/>
          </w:tcPr>
          <w:p w14:paraId="74DDA67B" w14:textId="77777777" w:rsidR="00584EC1" w:rsidRDefault="00584EC1">
            <w:pPr>
              <w:rPr>
                <w:rFonts w:ascii="宋体"/>
              </w:rPr>
            </w:pPr>
          </w:p>
        </w:tc>
        <w:tc>
          <w:tcPr>
            <w:tcW w:w="0" w:type="auto"/>
            <w:shd w:val="clear" w:color="auto" w:fill="auto"/>
            <w:vAlign w:val="bottom"/>
          </w:tcPr>
          <w:p w14:paraId="74DDA67C" w14:textId="77777777" w:rsidR="00584EC1" w:rsidRDefault="00584EC1">
            <w:pPr>
              <w:rPr>
                <w:rFonts w:ascii="宋体"/>
              </w:rPr>
            </w:pPr>
          </w:p>
        </w:tc>
        <w:tc>
          <w:tcPr>
            <w:tcW w:w="0" w:type="auto"/>
            <w:shd w:val="clear" w:color="auto" w:fill="auto"/>
            <w:vAlign w:val="bottom"/>
          </w:tcPr>
          <w:p w14:paraId="74DDA67D" w14:textId="77777777" w:rsidR="00584EC1" w:rsidRDefault="00584EC1">
            <w:pPr>
              <w:rPr>
                <w:rFonts w:ascii="宋体"/>
              </w:rPr>
            </w:pPr>
          </w:p>
        </w:tc>
        <w:tc>
          <w:tcPr>
            <w:tcW w:w="0" w:type="auto"/>
            <w:shd w:val="clear" w:color="auto" w:fill="auto"/>
            <w:vAlign w:val="bottom"/>
          </w:tcPr>
          <w:p w14:paraId="74DDA67E" w14:textId="77777777" w:rsidR="00584EC1" w:rsidRDefault="00584EC1">
            <w:pPr>
              <w:rPr>
                <w:rFonts w:ascii="宋体"/>
              </w:rPr>
            </w:pPr>
          </w:p>
        </w:tc>
        <w:tc>
          <w:tcPr>
            <w:tcW w:w="0" w:type="auto"/>
            <w:shd w:val="clear" w:color="auto" w:fill="auto"/>
            <w:vAlign w:val="bottom"/>
          </w:tcPr>
          <w:p w14:paraId="74DDA67F" w14:textId="77777777" w:rsidR="00584EC1" w:rsidRDefault="00584EC1">
            <w:pPr>
              <w:rPr>
                <w:rFonts w:ascii="宋体"/>
              </w:rPr>
            </w:pPr>
          </w:p>
        </w:tc>
        <w:tc>
          <w:tcPr>
            <w:tcW w:w="0" w:type="auto"/>
            <w:shd w:val="clear" w:color="auto" w:fill="auto"/>
            <w:vAlign w:val="bottom"/>
          </w:tcPr>
          <w:p w14:paraId="74DDA680" w14:textId="77777777" w:rsidR="00584EC1" w:rsidRDefault="00584EC1">
            <w:pPr>
              <w:rPr>
                <w:rFonts w:ascii="宋体"/>
              </w:rPr>
            </w:pPr>
          </w:p>
        </w:tc>
        <w:tc>
          <w:tcPr>
            <w:tcW w:w="0" w:type="auto"/>
            <w:shd w:val="clear" w:color="auto" w:fill="auto"/>
            <w:vAlign w:val="bottom"/>
          </w:tcPr>
          <w:p w14:paraId="74DDA681" w14:textId="77777777" w:rsidR="00584EC1" w:rsidRDefault="00584EC1">
            <w:pPr>
              <w:rPr>
                <w:rFonts w:ascii="宋体"/>
              </w:rPr>
            </w:pPr>
          </w:p>
        </w:tc>
        <w:tc>
          <w:tcPr>
            <w:tcW w:w="0" w:type="auto"/>
            <w:shd w:val="clear" w:color="auto" w:fill="auto"/>
            <w:vAlign w:val="bottom"/>
          </w:tcPr>
          <w:p w14:paraId="74DDA682" w14:textId="77777777" w:rsidR="00584EC1" w:rsidRDefault="00584EC1">
            <w:pPr>
              <w:rPr>
                <w:rFonts w:ascii="宋体"/>
              </w:rPr>
            </w:pPr>
          </w:p>
        </w:tc>
        <w:tc>
          <w:tcPr>
            <w:tcW w:w="0" w:type="auto"/>
            <w:shd w:val="clear" w:color="auto" w:fill="auto"/>
            <w:vAlign w:val="bottom"/>
          </w:tcPr>
          <w:p w14:paraId="74DDA683" w14:textId="77777777" w:rsidR="00584EC1" w:rsidRDefault="00584EC1">
            <w:pPr>
              <w:rPr>
                <w:rFonts w:ascii="宋体"/>
              </w:rPr>
            </w:pPr>
          </w:p>
        </w:tc>
        <w:tc>
          <w:tcPr>
            <w:tcW w:w="0" w:type="auto"/>
            <w:shd w:val="clear" w:color="auto" w:fill="auto"/>
            <w:vAlign w:val="bottom"/>
          </w:tcPr>
          <w:p w14:paraId="74DDA684" w14:textId="77777777" w:rsidR="00584EC1" w:rsidRDefault="00584EC1">
            <w:pPr>
              <w:rPr>
                <w:rFonts w:ascii="宋体"/>
              </w:rPr>
            </w:pPr>
          </w:p>
        </w:tc>
        <w:tc>
          <w:tcPr>
            <w:tcW w:w="0" w:type="auto"/>
            <w:shd w:val="clear" w:color="auto" w:fill="auto"/>
            <w:vAlign w:val="bottom"/>
          </w:tcPr>
          <w:p w14:paraId="74DDA685" w14:textId="77777777" w:rsidR="00584EC1" w:rsidRDefault="00584EC1">
            <w:pPr>
              <w:rPr>
                <w:rFonts w:ascii="宋体"/>
              </w:rPr>
            </w:pPr>
          </w:p>
        </w:tc>
        <w:tc>
          <w:tcPr>
            <w:tcW w:w="0" w:type="auto"/>
            <w:shd w:val="clear" w:color="auto" w:fill="auto"/>
            <w:vAlign w:val="bottom"/>
          </w:tcPr>
          <w:p w14:paraId="74DDA686" w14:textId="77777777" w:rsidR="00584EC1" w:rsidRDefault="00584EC1">
            <w:pPr>
              <w:rPr>
                <w:rFonts w:ascii="宋体"/>
              </w:rPr>
            </w:pPr>
          </w:p>
        </w:tc>
        <w:tc>
          <w:tcPr>
            <w:tcW w:w="0" w:type="auto"/>
            <w:shd w:val="clear" w:color="auto" w:fill="auto"/>
            <w:vAlign w:val="bottom"/>
          </w:tcPr>
          <w:p w14:paraId="74DDA687" w14:textId="77777777" w:rsidR="00584EC1" w:rsidRDefault="00584EC1">
            <w:pPr>
              <w:rPr>
                <w:rFonts w:ascii="宋体"/>
              </w:rPr>
            </w:pPr>
          </w:p>
        </w:tc>
        <w:tc>
          <w:tcPr>
            <w:tcW w:w="0" w:type="auto"/>
            <w:shd w:val="clear" w:color="auto" w:fill="auto"/>
            <w:vAlign w:val="bottom"/>
          </w:tcPr>
          <w:p w14:paraId="74DDA688" w14:textId="77777777" w:rsidR="00584EC1" w:rsidRDefault="00584EC1">
            <w:pPr>
              <w:rPr>
                <w:rFonts w:ascii="宋体"/>
              </w:rPr>
            </w:pPr>
          </w:p>
        </w:tc>
        <w:tc>
          <w:tcPr>
            <w:tcW w:w="0" w:type="auto"/>
            <w:shd w:val="clear" w:color="auto" w:fill="auto"/>
            <w:vAlign w:val="bottom"/>
          </w:tcPr>
          <w:p w14:paraId="74DDA689" w14:textId="77777777" w:rsidR="00584EC1" w:rsidRDefault="00584EC1">
            <w:pPr>
              <w:rPr>
                <w:rFonts w:ascii="宋体"/>
              </w:rPr>
            </w:pPr>
          </w:p>
        </w:tc>
        <w:tc>
          <w:tcPr>
            <w:tcW w:w="0" w:type="auto"/>
            <w:shd w:val="clear" w:color="auto" w:fill="auto"/>
            <w:vAlign w:val="bottom"/>
          </w:tcPr>
          <w:p w14:paraId="74DDA68A" w14:textId="77777777" w:rsidR="00584EC1" w:rsidRDefault="00584EC1">
            <w:pPr>
              <w:rPr>
                <w:rFonts w:ascii="宋体"/>
              </w:rPr>
            </w:pPr>
          </w:p>
        </w:tc>
        <w:tc>
          <w:tcPr>
            <w:tcW w:w="0" w:type="auto"/>
            <w:shd w:val="clear" w:color="auto" w:fill="auto"/>
            <w:vAlign w:val="bottom"/>
          </w:tcPr>
          <w:p w14:paraId="74DDA68B" w14:textId="77777777" w:rsidR="00584EC1" w:rsidRDefault="00584EC1">
            <w:pPr>
              <w:rPr>
                <w:rFonts w:ascii="宋体"/>
              </w:rPr>
            </w:pPr>
          </w:p>
        </w:tc>
        <w:tc>
          <w:tcPr>
            <w:tcW w:w="0" w:type="auto"/>
            <w:shd w:val="clear" w:color="auto" w:fill="auto"/>
            <w:vAlign w:val="bottom"/>
          </w:tcPr>
          <w:p w14:paraId="74DDA68C" w14:textId="77777777" w:rsidR="00584EC1" w:rsidRDefault="00584EC1">
            <w:pPr>
              <w:rPr>
                <w:rFonts w:ascii="宋体"/>
              </w:rPr>
            </w:pPr>
          </w:p>
        </w:tc>
        <w:tc>
          <w:tcPr>
            <w:tcW w:w="0" w:type="auto"/>
            <w:shd w:val="clear" w:color="auto" w:fill="auto"/>
            <w:vAlign w:val="bottom"/>
          </w:tcPr>
          <w:p w14:paraId="74DDA68D" w14:textId="77777777" w:rsidR="00584EC1" w:rsidRDefault="00584EC1">
            <w:pPr>
              <w:rPr>
                <w:rFonts w:ascii="宋体"/>
              </w:rPr>
            </w:pPr>
          </w:p>
        </w:tc>
        <w:tc>
          <w:tcPr>
            <w:tcW w:w="0" w:type="auto"/>
            <w:shd w:val="clear" w:color="auto" w:fill="auto"/>
            <w:vAlign w:val="bottom"/>
          </w:tcPr>
          <w:p w14:paraId="74DDA68E" w14:textId="77777777" w:rsidR="00584EC1" w:rsidRDefault="00584EC1">
            <w:pPr>
              <w:rPr>
                <w:rFonts w:ascii="宋体"/>
              </w:rPr>
            </w:pPr>
          </w:p>
        </w:tc>
        <w:tc>
          <w:tcPr>
            <w:tcW w:w="0" w:type="auto"/>
            <w:shd w:val="clear" w:color="auto" w:fill="auto"/>
            <w:vAlign w:val="bottom"/>
          </w:tcPr>
          <w:p w14:paraId="74DDA68F" w14:textId="77777777" w:rsidR="00584EC1" w:rsidRDefault="00584EC1">
            <w:pPr>
              <w:rPr>
                <w:rFonts w:ascii="宋体"/>
              </w:rPr>
            </w:pPr>
          </w:p>
        </w:tc>
        <w:tc>
          <w:tcPr>
            <w:tcW w:w="0" w:type="auto"/>
            <w:shd w:val="clear" w:color="auto" w:fill="auto"/>
            <w:vAlign w:val="bottom"/>
          </w:tcPr>
          <w:p w14:paraId="74DDA690" w14:textId="77777777" w:rsidR="00584EC1" w:rsidRDefault="00584EC1">
            <w:pPr>
              <w:rPr>
                <w:rFonts w:ascii="宋体"/>
              </w:rPr>
            </w:pPr>
          </w:p>
        </w:tc>
        <w:tc>
          <w:tcPr>
            <w:tcW w:w="0" w:type="auto"/>
            <w:shd w:val="clear" w:color="auto" w:fill="auto"/>
            <w:vAlign w:val="bottom"/>
          </w:tcPr>
          <w:p w14:paraId="74DDA691" w14:textId="77777777" w:rsidR="00584EC1" w:rsidRDefault="00584EC1">
            <w:pPr>
              <w:rPr>
                <w:rFonts w:ascii="宋体"/>
              </w:rPr>
            </w:pPr>
          </w:p>
        </w:tc>
      </w:tr>
      <w:tr w:rsidR="00584EC1" w14:paraId="74DDA6AB" w14:textId="77777777">
        <w:tc>
          <w:tcPr>
            <w:tcW w:w="0" w:type="auto"/>
            <w:gridSpan w:val="3"/>
            <w:shd w:val="clear" w:color="auto" w:fill="CCEEFF"/>
            <w:tcMar>
              <w:top w:w="40" w:type="dxa"/>
              <w:left w:w="20" w:type="dxa"/>
              <w:bottom w:w="40" w:type="dxa"/>
              <w:right w:w="20" w:type="dxa"/>
            </w:tcMar>
            <w:vAlign w:val="bottom"/>
          </w:tcPr>
          <w:p w14:paraId="74DDA693" w14:textId="77777777" w:rsidR="00584EC1" w:rsidRDefault="00871F8D">
            <w:pPr>
              <w:textAlignment w:val="bottom"/>
            </w:pPr>
            <w:r>
              <w:rPr>
                <w:rFonts w:ascii="Arial" w:eastAsia="宋体" w:hAnsi="Arial" w:cs="Arial"/>
                <w:color w:val="000000"/>
                <w:sz w:val="14"/>
                <w:szCs w:val="14"/>
              </w:rPr>
              <w:t>Common Stock</w:t>
            </w:r>
          </w:p>
        </w:tc>
        <w:tc>
          <w:tcPr>
            <w:tcW w:w="0" w:type="auto"/>
            <w:tcBorders>
              <w:top w:val="single" w:sz="8" w:space="0" w:color="000000"/>
            </w:tcBorders>
            <w:shd w:val="clear" w:color="auto" w:fill="CCEEFF"/>
            <w:tcMar>
              <w:top w:w="40" w:type="dxa"/>
              <w:left w:w="20" w:type="dxa"/>
              <w:bottom w:w="40" w:type="dxa"/>
              <w:right w:w="0" w:type="dxa"/>
            </w:tcMar>
            <w:vAlign w:val="bottom"/>
          </w:tcPr>
          <w:p w14:paraId="74DDA694"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A695" w14:textId="77777777" w:rsidR="00584EC1" w:rsidRDefault="00871F8D">
            <w:pPr>
              <w:jc w:val="right"/>
              <w:textAlignment w:val="bottom"/>
            </w:pPr>
            <w:r>
              <w:rPr>
                <w:rFonts w:ascii="Arial" w:eastAsia="宋体" w:hAnsi="Arial" w:cs="Arial"/>
                <w:b/>
                <w:bCs/>
                <w:color w:val="000000"/>
                <w:sz w:val="14"/>
                <w:szCs w:val="14"/>
              </w:rPr>
              <w:t>0.57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A69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697"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A698"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A699" w14:textId="77777777" w:rsidR="00584EC1" w:rsidRDefault="00871F8D">
            <w:pPr>
              <w:jc w:val="right"/>
              <w:textAlignment w:val="bottom"/>
            </w:pPr>
            <w:r>
              <w:rPr>
                <w:rFonts w:ascii="Arial" w:eastAsia="宋体" w:hAnsi="Arial" w:cs="Arial"/>
                <w:b/>
                <w:bCs/>
                <w:color w:val="000000"/>
                <w:sz w:val="14"/>
                <w:szCs w:val="14"/>
              </w:rPr>
              <w:t>209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A69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69B"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A69C"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A69D" w14:textId="77777777" w:rsidR="00584EC1" w:rsidRDefault="00871F8D">
            <w:pPr>
              <w:jc w:val="right"/>
              <w:textAlignment w:val="bottom"/>
            </w:pPr>
            <w:r>
              <w:rPr>
                <w:rFonts w:ascii="Arial" w:eastAsia="宋体" w:hAnsi="Arial" w:cs="Arial"/>
                <w:color w:val="000000"/>
                <w:sz w:val="14"/>
                <w:szCs w:val="14"/>
              </w:rPr>
              <w:t>0.52 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A69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69F"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A6A0"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A6A1" w14:textId="77777777" w:rsidR="00584EC1" w:rsidRDefault="00871F8D">
            <w:pPr>
              <w:jc w:val="right"/>
              <w:textAlignment w:val="bottom"/>
            </w:pPr>
            <w:r>
              <w:rPr>
                <w:rFonts w:ascii="Arial" w:eastAsia="宋体" w:hAnsi="Arial" w:cs="Arial"/>
                <w:color w:val="000000"/>
                <w:sz w:val="14"/>
                <w:szCs w:val="14"/>
              </w:rPr>
              <w:t>184 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A6A2" w14:textId="77777777" w:rsidR="00584EC1" w:rsidRDefault="00584EC1">
            <w:pPr>
              <w:jc w:val="right"/>
              <w:rPr>
                <w:rFonts w:ascii="宋体"/>
              </w:rPr>
            </w:pPr>
          </w:p>
        </w:tc>
        <w:tc>
          <w:tcPr>
            <w:tcW w:w="0" w:type="auto"/>
            <w:gridSpan w:val="3"/>
            <w:shd w:val="clear" w:color="auto" w:fill="auto"/>
            <w:vAlign w:val="bottom"/>
          </w:tcPr>
          <w:p w14:paraId="74DDA6A3" w14:textId="77777777" w:rsidR="00584EC1" w:rsidRDefault="00584EC1">
            <w:pPr>
              <w:rPr>
                <w:rFonts w:ascii="宋体"/>
                <w:vanish/>
              </w:rPr>
            </w:pPr>
          </w:p>
        </w:tc>
        <w:tc>
          <w:tcPr>
            <w:tcW w:w="0" w:type="auto"/>
            <w:gridSpan w:val="3"/>
            <w:shd w:val="clear" w:color="auto" w:fill="auto"/>
            <w:vAlign w:val="bottom"/>
          </w:tcPr>
          <w:p w14:paraId="74DDA6A4" w14:textId="77777777" w:rsidR="00584EC1" w:rsidRDefault="00584EC1">
            <w:pPr>
              <w:rPr>
                <w:rFonts w:ascii="宋体"/>
                <w:vanish/>
              </w:rPr>
            </w:pPr>
          </w:p>
        </w:tc>
        <w:tc>
          <w:tcPr>
            <w:tcW w:w="0" w:type="auto"/>
            <w:gridSpan w:val="3"/>
            <w:shd w:val="clear" w:color="auto" w:fill="auto"/>
            <w:vAlign w:val="bottom"/>
          </w:tcPr>
          <w:p w14:paraId="74DDA6A5" w14:textId="77777777" w:rsidR="00584EC1" w:rsidRDefault="00584EC1">
            <w:pPr>
              <w:rPr>
                <w:rFonts w:ascii="宋体"/>
                <w:vanish/>
              </w:rPr>
            </w:pPr>
          </w:p>
        </w:tc>
        <w:tc>
          <w:tcPr>
            <w:tcW w:w="0" w:type="auto"/>
            <w:gridSpan w:val="3"/>
            <w:shd w:val="clear" w:color="auto" w:fill="auto"/>
            <w:vAlign w:val="bottom"/>
          </w:tcPr>
          <w:p w14:paraId="74DDA6A6" w14:textId="77777777" w:rsidR="00584EC1" w:rsidRDefault="00584EC1">
            <w:pPr>
              <w:rPr>
                <w:rFonts w:ascii="宋体"/>
                <w:vanish/>
              </w:rPr>
            </w:pPr>
          </w:p>
        </w:tc>
        <w:tc>
          <w:tcPr>
            <w:tcW w:w="0" w:type="auto"/>
            <w:gridSpan w:val="3"/>
            <w:shd w:val="clear" w:color="auto" w:fill="auto"/>
            <w:vAlign w:val="bottom"/>
          </w:tcPr>
          <w:p w14:paraId="74DDA6A7" w14:textId="77777777" w:rsidR="00584EC1" w:rsidRDefault="00584EC1">
            <w:pPr>
              <w:rPr>
                <w:rFonts w:ascii="宋体"/>
                <w:vanish/>
              </w:rPr>
            </w:pPr>
          </w:p>
        </w:tc>
        <w:tc>
          <w:tcPr>
            <w:tcW w:w="0" w:type="auto"/>
            <w:gridSpan w:val="3"/>
            <w:shd w:val="clear" w:color="auto" w:fill="auto"/>
            <w:vAlign w:val="bottom"/>
          </w:tcPr>
          <w:p w14:paraId="74DDA6A8" w14:textId="77777777" w:rsidR="00584EC1" w:rsidRDefault="00584EC1">
            <w:pPr>
              <w:rPr>
                <w:rFonts w:ascii="宋体"/>
                <w:vanish/>
              </w:rPr>
            </w:pPr>
          </w:p>
        </w:tc>
        <w:tc>
          <w:tcPr>
            <w:tcW w:w="0" w:type="auto"/>
            <w:gridSpan w:val="3"/>
            <w:shd w:val="clear" w:color="auto" w:fill="auto"/>
            <w:vAlign w:val="bottom"/>
          </w:tcPr>
          <w:p w14:paraId="74DDA6A9" w14:textId="77777777" w:rsidR="00584EC1" w:rsidRDefault="00584EC1">
            <w:pPr>
              <w:rPr>
                <w:rFonts w:ascii="宋体"/>
                <w:vanish/>
              </w:rPr>
            </w:pPr>
          </w:p>
        </w:tc>
        <w:tc>
          <w:tcPr>
            <w:tcW w:w="0" w:type="auto"/>
            <w:gridSpan w:val="3"/>
            <w:shd w:val="clear" w:color="auto" w:fill="auto"/>
            <w:vAlign w:val="bottom"/>
          </w:tcPr>
          <w:p w14:paraId="74DDA6AA" w14:textId="77777777" w:rsidR="00584EC1" w:rsidRDefault="00584EC1">
            <w:pPr>
              <w:rPr>
                <w:rFonts w:ascii="宋体"/>
                <w:vanish/>
              </w:rPr>
            </w:pPr>
          </w:p>
        </w:tc>
      </w:tr>
      <w:tr w:rsidR="00584EC1" w14:paraId="74DDA6BC" w14:textId="77777777">
        <w:trPr>
          <w:trHeight w:val="60"/>
        </w:trPr>
        <w:tc>
          <w:tcPr>
            <w:tcW w:w="0" w:type="auto"/>
            <w:gridSpan w:val="3"/>
            <w:shd w:val="clear" w:color="auto" w:fill="auto"/>
            <w:tcMar>
              <w:top w:w="0" w:type="dxa"/>
              <w:left w:w="20" w:type="dxa"/>
              <w:bottom w:w="0" w:type="dxa"/>
              <w:right w:w="20" w:type="dxa"/>
            </w:tcMar>
            <w:vAlign w:val="bottom"/>
          </w:tcPr>
          <w:p w14:paraId="74DDA6AC"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A6AD"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A6AE"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A6AF"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A6B0"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A6B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A6B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A6B3" w14:textId="77777777" w:rsidR="00584EC1" w:rsidRDefault="00584EC1">
            <w:pPr>
              <w:rPr>
                <w:rFonts w:ascii="宋体"/>
              </w:rPr>
            </w:pPr>
          </w:p>
        </w:tc>
        <w:tc>
          <w:tcPr>
            <w:tcW w:w="0" w:type="auto"/>
            <w:gridSpan w:val="3"/>
            <w:shd w:val="clear" w:color="auto" w:fill="auto"/>
            <w:vAlign w:val="bottom"/>
          </w:tcPr>
          <w:p w14:paraId="74DDA6B4" w14:textId="77777777" w:rsidR="00584EC1" w:rsidRDefault="00584EC1">
            <w:pPr>
              <w:rPr>
                <w:rFonts w:ascii="宋体"/>
                <w:vanish/>
              </w:rPr>
            </w:pPr>
          </w:p>
        </w:tc>
        <w:tc>
          <w:tcPr>
            <w:tcW w:w="0" w:type="auto"/>
            <w:gridSpan w:val="3"/>
            <w:shd w:val="clear" w:color="auto" w:fill="auto"/>
            <w:vAlign w:val="bottom"/>
          </w:tcPr>
          <w:p w14:paraId="74DDA6B5" w14:textId="77777777" w:rsidR="00584EC1" w:rsidRDefault="00584EC1">
            <w:pPr>
              <w:rPr>
                <w:rFonts w:ascii="宋体"/>
                <w:vanish/>
              </w:rPr>
            </w:pPr>
          </w:p>
        </w:tc>
        <w:tc>
          <w:tcPr>
            <w:tcW w:w="0" w:type="auto"/>
            <w:gridSpan w:val="3"/>
            <w:shd w:val="clear" w:color="auto" w:fill="auto"/>
            <w:vAlign w:val="bottom"/>
          </w:tcPr>
          <w:p w14:paraId="74DDA6B6" w14:textId="77777777" w:rsidR="00584EC1" w:rsidRDefault="00584EC1">
            <w:pPr>
              <w:rPr>
                <w:rFonts w:ascii="宋体"/>
                <w:vanish/>
              </w:rPr>
            </w:pPr>
          </w:p>
        </w:tc>
        <w:tc>
          <w:tcPr>
            <w:tcW w:w="0" w:type="auto"/>
            <w:gridSpan w:val="3"/>
            <w:shd w:val="clear" w:color="auto" w:fill="auto"/>
            <w:vAlign w:val="bottom"/>
          </w:tcPr>
          <w:p w14:paraId="74DDA6B7" w14:textId="77777777" w:rsidR="00584EC1" w:rsidRDefault="00584EC1">
            <w:pPr>
              <w:rPr>
                <w:rFonts w:ascii="宋体"/>
                <w:vanish/>
              </w:rPr>
            </w:pPr>
          </w:p>
        </w:tc>
        <w:tc>
          <w:tcPr>
            <w:tcW w:w="0" w:type="auto"/>
            <w:gridSpan w:val="3"/>
            <w:shd w:val="clear" w:color="auto" w:fill="auto"/>
            <w:vAlign w:val="bottom"/>
          </w:tcPr>
          <w:p w14:paraId="74DDA6B8" w14:textId="77777777" w:rsidR="00584EC1" w:rsidRDefault="00584EC1">
            <w:pPr>
              <w:rPr>
                <w:rFonts w:ascii="宋体"/>
                <w:vanish/>
              </w:rPr>
            </w:pPr>
          </w:p>
        </w:tc>
        <w:tc>
          <w:tcPr>
            <w:tcW w:w="0" w:type="auto"/>
            <w:gridSpan w:val="3"/>
            <w:shd w:val="clear" w:color="auto" w:fill="auto"/>
            <w:vAlign w:val="bottom"/>
          </w:tcPr>
          <w:p w14:paraId="74DDA6B9" w14:textId="77777777" w:rsidR="00584EC1" w:rsidRDefault="00584EC1">
            <w:pPr>
              <w:rPr>
                <w:rFonts w:ascii="宋体"/>
                <w:vanish/>
              </w:rPr>
            </w:pPr>
          </w:p>
        </w:tc>
        <w:tc>
          <w:tcPr>
            <w:tcW w:w="0" w:type="auto"/>
            <w:gridSpan w:val="3"/>
            <w:shd w:val="clear" w:color="auto" w:fill="auto"/>
            <w:vAlign w:val="bottom"/>
          </w:tcPr>
          <w:p w14:paraId="74DDA6BA" w14:textId="77777777" w:rsidR="00584EC1" w:rsidRDefault="00584EC1">
            <w:pPr>
              <w:rPr>
                <w:rFonts w:ascii="宋体"/>
                <w:vanish/>
              </w:rPr>
            </w:pPr>
          </w:p>
        </w:tc>
        <w:tc>
          <w:tcPr>
            <w:tcW w:w="0" w:type="auto"/>
            <w:gridSpan w:val="3"/>
            <w:shd w:val="clear" w:color="auto" w:fill="auto"/>
            <w:vAlign w:val="bottom"/>
          </w:tcPr>
          <w:p w14:paraId="74DDA6BB" w14:textId="77777777" w:rsidR="00584EC1" w:rsidRDefault="00584EC1">
            <w:pPr>
              <w:rPr>
                <w:rFonts w:ascii="宋体"/>
                <w:vanish/>
              </w:rPr>
            </w:pPr>
          </w:p>
        </w:tc>
      </w:tr>
      <w:tr w:rsidR="00584EC1" w14:paraId="74DDA6D9" w14:textId="77777777">
        <w:trPr>
          <w:hidden/>
        </w:trPr>
        <w:tc>
          <w:tcPr>
            <w:tcW w:w="0" w:type="auto"/>
            <w:gridSpan w:val="3"/>
            <w:shd w:val="clear" w:color="auto" w:fill="auto"/>
            <w:vAlign w:val="bottom"/>
          </w:tcPr>
          <w:p w14:paraId="74DDA6BD" w14:textId="77777777" w:rsidR="00584EC1" w:rsidRDefault="00584EC1">
            <w:pPr>
              <w:rPr>
                <w:rFonts w:ascii="宋体"/>
                <w:vanish/>
              </w:rPr>
            </w:pPr>
          </w:p>
        </w:tc>
        <w:tc>
          <w:tcPr>
            <w:tcW w:w="0" w:type="auto"/>
            <w:gridSpan w:val="3"/>
            <w:shd w:val="clear" w:color="auto" w:fill="auto"/>
            <w:vAlign w:val="bottom"/>
          </w:tcPr>
          <w:p w14:paraId="74DDA6BE" w14:textId="77777777" w:rsidR="00584EC1" w:rsidRDefault="00584EC1">
            <w:pPr>
              <w:rPr>
                <w:rFonts w:ascii="宋体"/>
                <w:vanish/>
              </w:rPr>
            </w:pPr>
          </w:p>
        </w:tc>
        <w:tc>
          <w:tcPr>
            <w:tcW w:w="0" w:type="auto"/>
            <w:gridSpan w:val="3"/>
            <w:shd w:val="clear" w:color="auto" w:fill="auto"/>
            <w:vAlign w:val="bottom"/>
          </w:tcPr>
          <w:p w14:paraId="74DDA6BF" w14:textId="77777777" w:rsidR="00584EC1" w:rsidRDefault="00584EC1">
            <w:pPr>
              <w:rPr>
                <w:rFonts w:ascii="宋体"/>
                <w:vanish/>
              </w:rPr>
            </w:pPr>
          </w:p>
        </w:tc>
        <w:tc>
          <w:tcPr>
            <w:tcW w:w="0" w:type="auto"/>
            <w:gridSpan w:val="3"/>
            <w:shd w:val="clear" w:color="auto" w:fill="auto"/>
            <w:vAlign w:val="bottom"/>
          </w:tcPr>
          <w:p w14:paraId="74DDA6C0" w14:textId="77777777" w:rsidR="00584EC1" w:rsidRDefault="00584EC1">
            <w:pPr>
              <w:rPr>
                <w:rFonts w:ascii="宋体"/>
                <w:vanish/>
              </w:rPr>
            </w:pPr>
          </w:p>
        </w:tc>
        <w:tc>
          <w:tcPr>
            <w:tcW w:w="0" w:type="auto"/>
            <w:gridSpan w:val="3"/>
            <w:shd w:val="clear" w:color="auto" w:fill="auto"/>
            <w:vAlign w:val="bottom"/>
          </w:tcPr>
          <w:p w14:paraId="74DDA6C1" w14:textId="77777777" w:rsidR="00584EC1" w:rsidRDefault="00584EC1">
            <w:pPr>
              <w:rPr>
                <w:rFonts w:ascii="宋体"/>
                <w:vanish/>
              </w:rPr>
            </w:pPr>
          </w:p>
        </w:tc>
        <w:tc>
          <w:tcPr>
            <w:tcW w:w="0" w:type="auto"/>
            <w:gridSpan w:val="3"/>
            <w:shd w:val="clear" w:color="auto" w:fill="auto"/>
            <w:vAlign w:val="bottom"/>
          </w:tcPr>
          <w:p w14:paraId="74DDA6C2" w14:textId="77777777" w:rsidR="00584EC1" w:rsidRDefault="00584EC1">
            <w:pPr>
              <w:rPr>
                <w:rFonts w:ascii="宋体"/>
                <w:vanish/>
              </w:rPr>
            </w:pPr>
          </w:p>
        </w:tc>
        <w:tc>
          <w:tcPr>
            <w:tcW w:w="0" w:type="auto"/>
            <w:gridSpan w:val="3"/>
            <w:shd w:val="clear" w:color="auto" w:fill="auto"/>
            <w:vAlign w:val="bottom"/>
          </w:tcPr>
          <w:p w14:paraId="74DDA6C3" w14:textId="77777777" w:rsidR="00584EC1" w:rsidRDefault="00584EC1">
            <w:pPr>
              <w:rPr>
                <w:rFonts w:ascii="宋体"/>
                <w:vanish/>
              </w:rPr>
            </w:pPr>
          </w:p>
        </w:tc>
        <w:tc>
          <w:tcPr>
            <w:tcW w:w="0" w:type="auto"/>
            <w:gridSpan w:val="3"/>
            <w:shd w:val="clear" w:color="auto" w:fill="auto"/>
            <w:vAlign w:val="bottom"/>
          </w:tcPr>
          <w:p w14:paraId="74DDA6C4" w14:textId="77777777" w:rsidR="00584EC1" w:rsidRDefault="00584EC1">
            <w:pPr>
              <w:rPr>
                <w:rFonts w:ascii="宋体"/>
                <w:vanish/>
              </w:rPr>
            </w:pPr>
          </w:p>
        </w:tc>
        <w:tc>
          <w:tcPr>
            <w:tcW w:w="0" w:type="auto"/>
            <w:gridSpan w:val="3"/>
            <w:shd w:val="clear" w:color="auto" w:fill="auto"/>
            <w:vAlign w:val="bottom"/>
          </w:tcPr>
          <w:p w14:paraId="74DDA6C5" w14:textId="77777777" w:rsidR="00584EC1" w:rsidRDefault="00584EC1">
            <w:pPr>
              <w:rPr>
                <w:rFonts w:ascii="宋体"/>
                <w:vanish/>
              </w:rPr>
            </w:pPr>
          </w:p>
        </w:tc>
        <w:tc>
          <w:tcPr>
            <w:tcW w:w="0" w:type="auto"/>
            <w:gridSpan w:val="3"/>
            <w:shd w:val="clear" w:color="auto" w:fill="auto"/>
            <w:vAlign w:val="bottom"/>
          </w:tcPr>
          <w:p w14:paraId="74DDA6C6" w14:textId="77777777" w:rsidR="00584EC1" w:rsidRDefault="00584EC1">
            <w:pPr>
              <w:rPr>
                <w:rFonts w:ascii="宋体"/>
                <w:vanish/>
              </w:rPr>
            </w:pPr>
          </w:p>
        </w:tc>
        <w:tc>
          <w:tcPr>
            <w:tcW w:w="0" w:type="auto"/>
            <w:shd w:val="clear" w:color="auto" w:fill="auto"/>
            <w:vAlign w:val="bottom"/>
          </w:tcPr>
          <w:p w14:paraId="74DDA6C7" w14:textId="77777777" w:rsidR="00584EC1" w:rsidRDefault="00584EC1">
            <w:pPr>
              <w:rPr>
                <w:rFonts w:ascii="宋体"/>
              </w:rPr>
            </w:pPr>
          </w:p>
        </w:tc>
        <w:tc>
          <w:tcPr>
            <w:tcW w:w="0" w:type="auto"/>
            <w:shd w:val="clear" w:color="auto" w:fill="auto"/>
            <w:vAlign w:val="bottom"/>
          </w:tcPr>
          <w:p w14:paraId="74DDA6C8" w14:textId="77777777" w:rsidR="00584EC1" w:rsidRDefault="00584EC1">
            <w:pPr>
              <w:rPr>
                <w:rFonts w:ascii="宋体"/>
              </w:rPr>
            </w:pPr>
          </w:p>
        </w:tc>
        <w:tc>
          <w:tcPr>
            <w:tcW w:w="0" w:type="auto"/>
            <w:shd w:val="clear" w:color="auto" w:fill="auto"/>
            <w:vAlign w:val="bottom"/>
          </w:tcPr>
          <w:p w14:paraId="74DDA6C9" w14:textId="77777777" w:rsidR="00584EC1" w:rsidRDefault="00584EC1">
            <w:pPr>
              <w:rPr>
                <w:rFonts w:ascii="宋体"/>
              </w:rPr>
            </w:pPr>
          </w:p>
        </w:tc>
        <w:tc>
          <w:tcPr>
            <w:tcW w:w="0" w:type="auto"/>
            <w:shd w:val="clear" w:color="auto" w:fill="auto"/>
            <w:vAlign w:val="bottom"/>
          </w:tcPr>
          <w:p w14:paraId="74DDA6CA" w14:textId="77777777" w:rsidR="00584EC1" w:rsidRDefault="00584EC1">
            <w:pPr>
              <w:rPr>
                <w:rFonts w:ascii="宋体"/>
              </w:rPr>
            </w:pPr>
          </w:p>
        </w:tc>
        <w:tc>
          <w:tcPr>
            <w:tcW w:w="0" w:type="auto"/>
            <w:shd w:val="clear" w:color="auto" w:fill="auto"/>
            <w:vAlign w:val="bottom"/>
          </w:tcPr>
          <w:p w14:paraId="74DDA6CB" w14:textId="77777777" w:rsidR="00584EC1" w:rsidRDefault="00584EC1">
            <w:pPr>
              <w:rPr>
                <w:rFonts w:ascii="宋体"/>
              </w:rPr>
            </w:pPr>
          </w:p>
        </w:tc>
        <w:tc>
          <w:tcPr>
            <w:tcW w:w="0" w:type="auto"/>
            <w:shd w:val="clear" w:color="auto" w:fill="auto"/>
            <w:vAlign w:val="bottom"/>
          </w:tcPr>
          <w:p w14:paraId="74DDA6CC" w14:textId="77777777" w:rsidR="00584EC1" w:rsidRDefault="00584EC1">
            <w:pPr>
              <w:rPr>
                <w:rFonts w:ascii="宋体"/>
              </w:rPr>
            </w:pPr>
          </w:p>
        </w:tc>
        <w:tc>
          <w:tcPr>
            <w:tcW w:w="0" w:type="auto"/>
            <w:shd w:val="clear" w:color="auto" w:fill="auto"/>
            <w:vAlign w:val="bottom"/>
          </w:tcPr>
          <w:p w14:paraId="74DDA6CD" w14:textId="77777777" w:rsidR="00584EC1" w:rsidRDefault="00584EC1">
            <w:pPr>
              <w:rPr>
                <w:rFonts w:ascii="宋体"/>
              </w:rPr>
            </w:pPr>
          </w:p>
        </w:tc>
        <w:tc>
          <w:tcPr>
            <w:tcW w:w="0" w:type="auto"/>
            <w:shd w:val="clear" w:color="auto" w:fill="auto"/>
            <w:vAlign w:val="bottom"/>
          </w:tcPr>
          <w:p w14:paraId="74DDA6CE" w14:textId="77777777" w:rsidR="00584EC1" w:rsidRDefault="00584EC1">
            <w:pPr>
              <w:rPr>
                <w:rFonts w:ascii="宋体"/>
              </w:rPr>
            </w:pPr>
          </w:p>
        </w:tc>
        <w:tc>
          <w:tcPr>
            <w:tcW w:w="0" w:type="auto"/>
            <w:shd w:val="clear" w:color="auto" w:fill="auto"/>
            <w:vAlign w:val="bottom"/>
          </w:tcPr>
          <w:p w14:paraId="74DDA6CF" w14:textId="77777777" w:rsidR="00584EC1" w:rsidRDefault="00584EC1">
            <w:pPr>
              <w:rPr>
                <w:rFonts w:ascii="宋体"/>
              </w:rPr>
            </w:pPr>
          </w:p>
        </w:tc>
        <w:tc>
          <w:tcPr>
            <w:tcW w:w="0" w:type="auto"/>
            <w:shd w:val="clear" w:color="auto" w:fill="auto"/>
            <w:vAlign w:val="bottom"/>
          </w:tcPr>
          <w:p w14:paraId="74DDA6D0" w14:textId="77777777" w:rsidR="00584EC1" w:rsidRDefault="00584EC1">
            <w:pPr>
              <w:rPr>
                <w:rFonts w:ascii="宋体"/>
              </w:rPr>
            </w:pPr>
          </w:p>
        </w:tc>
        <w:tc>
          <w:tcPr>
            <w:tcW w:w="0" w:type="auto"/>
            <w:shd w:val="clear" w:color="auto" w:fill="auto"/>
            <w:vAlign w:val="bottom"/>
          </w:tcPr>
          <w:p w14:paraId="74DDA6D1" w14:textId="77777777" w:rsidR="00584EC1" w:rsidRDefault="00584EC1">
            <w:pPr>
              <w:rPr>
                <w:rFonts w:ascii="宋体"/>
              </w:rPr>
            </w:pPr>
          </w:p>
        </w:tc>
        <w:tc>
          <w:tcPr>
            <w:tcW w:w="0" w:type="auto"/>
            <w:shd w:val="clear" w:color="auto" w:fill="auto"/>
            <w:vAlign w:val="bottom"/>
          </w:tcPr>
          <w:p w14:paraId="74DDA6D2" w14:textId="77777777" w:rsidR="00584EC1" w:rsidRDefault="00584EC1">
            <w:pPr>
              <w:rPr>
                <w:rFonts w:ascii="宋体"/>
              </w:rPr>
            </w:pPr>
          </w:p>
        </w:tc>
        <w:tc>
          <w:tcPr>
            <w:tcW w:w="0" w:type="auto"/>
            <w:shd w:val="clear" w:color="auto" w:fill="auto"/>
            <w:vAlign w:val="bottom"/>
          </w:tcPr>
          <w:p w14:paraId="74DDA6D3" w14:textId="77777777" w:rsidR="00584EC1" w:rsidRDefault="00584EC1">
            <w:pPr>
              <w:rPr>
                <w:rFonts w:ascii="宋体"/>
              </w:rPr>
            </w:pPr>
          </w:p>
        </w:tc>
        <w:tc>
          <w:tcPr>
            <w:tcW w:w="0" w:type="auto"/>
            <w:shd w:val="clear" w:color="auto" w:fill="auto"/>
            <w:vAlign w:val="bottom"/>
          </w:tcPr>
          <w:p w14:paraId="74DDA6D4" w14:textId="77777777" w:rsidR="00584EC1" w:rsidRDefault="00584EC1">
            <w:pPr>
              <w:rPr>
                <w:rFonts w:ascii="宋体"/>
              </w:rPr>
            </w:pPr>
          </w:p>
        </w:tc>
        <w:tc>
          <w:tcPr>
            <w:tcW w:w="0" w:type="auto"/>
            <w:shd w:val="clear" w:color="auto" w:fill="auto"/>
            <w:vAlign w:val="bottom"/>
          </w:tcPr>
          <w:p w14:paraId="74DDA6D5" w14:textId="77777777" w:rsidR="00584EC1" w:rsidRDefault="00584EC1">
            <w:pPr>
              <w:rPr>
                <w:rFonts w:ascii="宋体"/>
              </w:rPr>
            </w:pPr>
          </w:p>
        </w:tc>
        <w:tc>
          <w:tcPr>
            <w:tcW w:w="0" w:type="auto"/>
            <w:shd w:val="clear" w:color="auto" w:fill="auto"/>
            <w:vAlign w:val="bottom"/>
          </w:tcPr>
          <w:p w14:paraId="74DDA6D6" w14:textId="77777777" w:rsidR="00584EC1" w:rsidRDefault="00584EC1">
            <w:pPr>
              <w:rPr>
                <w:rFonts w:ascii="宋体"/>
              </w:rPr>
            </w:pPr>
          </w:p>
        </w:tc>
        <w:tc>
          <w:tcPr>
            <w:tcW w:w="0" w:type="auto"/>
            <w:shd w:val="clear" w:color="auto" w:fill="auto"/>
            <w:vAlign w:val="bottom"/>
          </w:tcPr>
          <w:p w14:paraId="74DDA6D7" w14:textId="77777777" w:rsidR="00584EC1" w:rsidRDefault="00584EC1">
            <w:pPr>
              <w:rPr>
                <w:rFonts w:ascii="宋体"/>
              </w:rPr>
            </w:pPr>
          </w:p>
        </w:tc>
        <w:tc>
          <w:tcPr>
            <w:tcW w:w="0" w:type="auto"/>
            <w:shd w:val="clear" w:color="auto" w:fill="auto"/>
            <w:vAlign w:val="bottom"/>
          </w:tcPr>
          <w:p w14:paraId="74DDA6D8" w14:textId="77777777" w:rsidR="00584EC1" w:rsidRDefault="00584EC1">
            <w:pPr>
              <w:rPr>
                <w:rFonts w:ascii="宋体"/>
              </w:rPr>
            </w:pPr>
          </w:p>
        </w:tc>
      </w:tr>
      <w:tr w:rsidR="00584EC1" w14:paraId="74DDA6F2" w14:textId="77777777">
        <w:trPr>
          <w:hidden/>
        </w:trPr>
        <w:tc>
          <w:tcPr>
            <w:tcW w:w="0" w:type="auto"/>
            <w:gridSpan w:val="3"/>
            <w:shd w:val="clear" w:color="auto" w:fill="auto"/>
            <w:vAlign w:val="bottom"/>
          </w:tcPr>
          <w:p w14:paraId="74DDA6DA" w14:textId="77777777" w:rsidR="00584EC1" w:rsidRDefault="00584EC1">
            <w:pPr>
              <w:rPr>
                <w:rFonts w:ascii="宋体"/>
                <w:vanish/>
              </w:rPr>
            </w:pPr>
          </w:p>
        </w:tc>
        <w:tc>
          <w:tcPr>
            <w:tcW w:w="0" w:type="auto"/>
            <w:gridSpan w:val="3"/>
            <w:shd w:val="clear" w:color="auto" w:fill="auto"/>
            <w:vAlign w:val="bottom"/>
          </w:tcPr>
          <w:p w14:paraId="74DDA6DB" w14:textId="77777777" w:rsidR="00584EC1" w:rsidRDefault="00584EC1">
            <w:pPr>
              <w:rPr>
                <w:rFonts w:ascii="宋体"/>
                <w:vanish/>
              </w:rPr>
            </w:pPr>
          </w:p>
        </w:tc>
        <w:tc>
          <w:tcPr>
            <w:tcW w:w="0" w:type="auto"/>
            <w:gridSpan w:val="3"/>
            <w:shd w:val="clear" w:color="auto" w:fill="auto"/>
            <w:vAlign w:val="bottom"/>
          </w:tcPr>
          <w:p w14:paraId="74DDA6DC" w14:textId="77777777" w:rsidR="00584EC1" w:rsidRDefault="00584EC1">
            <w:pPr>
              <w:rPr>
                <w:rFonts w:ascii="宋体"/>
                <w:vanish/>
              </w:rPr>
            </w:pPr>
          </w:p>
        </w:tc>
        <w:tc>
          <w:tcPr>
            <w:tcW w:w="0" w:type="auto"/>
            <w:gridSpan w:val="3"/>
            <w:shd w:val="clear" w:color="auto" w:fill="auto"/>
            <w:vAlign w:val="bottom"/>
          </w:tcPr>
          <w:p w14:paraId="74DDA6DD" w14:textId="77777777" w:rsidR="00584EC1" w:rsidRDefault="00584EC1">
            <w:pPr>
              <w:rPr>
                <w:rFonts w:ascii="宋体"/>
                <w:vanish/>
              </w:rPr>
            </w:pPr>
          </w:p>
        </w:tc>
        <w:tc>
          <w:tcPr>
            <w:tcW w:w="0" w:type="auto"/>
            <w:gridSpan w:val="3"/>
            <w:shd w:val="clear" w:color="auto" w:fill="auto"/>
            <w:vAlign w:val="bottom"/>
          </w:tcPr>
          <w:p w14:paraId="74DDA6DE" w14:textId="77777777" w:rsidR="00584EC1" w:rsidRDefault="00584EC1">
            <w:pPr>
              <w:rPr>
                <w:rFonts w:ascii="宋体"/>
                <w:vanish/>
              </w:rPr>
            </w:pPr>
          </w:p>
        </w:tc>
        <w:tc>
          <w:tcPr>
            <w:tcW w:w="0" w:type="auto"/>
            <w:gridSpan w:val="3"/>
            <w:shd w:val="clear" w:color="auto" w:fill="auto"/>
            <w:vAlign w:val="bottom"/>
          </w:tcPr>
          <w:p w14:paraId="74DDA6DF" w14:textId="77777777" w:rsidR="00584EC1" w:rsidRDefault="00584EC1">
            <w:pPr>
              <w:rPr>
                <w:rFonts w:ascii="宋体"/>
                <w:vanish/>
              </w:rPr>
            </w:pPr>
          </w:p>
        </w:tc>
        <w:tc>
          <w:tcPr>
            <w:tcW w:w="0" w:type="auto"/>
            <w:gridSpan w:val="3"/>
            <w:shd w:val="clear" w:color="auto" w:fill="auto"/>
            <w:vAlign w:val="bottom"/>
          </w:tcPr>
          <w:p w14:paraId="74DDA6E0" w14:textId="77777777" w:rsidR="00584EC1" w:rsidRDefault="00584EC1">
            <w:pPr>
              <w:rPr>
                <w:rFonts w:ascii="宋体"/>
                <w:vanish/>
              </w:rPr>
            </w:pPr>
          </w:p>
        </w:tc>
        <w:tc>
          <w:tcPr>
            <w:tcW w:w="0" w:type="auto"/>
            <w:gridSpan w:val="3"/>
            <w:shd w:val="clear" w:color="auto" w:fill="auto"/>
            <w:vAlign w:val="bottom"/>
          </w:tcPr>
          <w:p w14:paraId="74DDA6E1" w14:textId="77777777" w:rsidR="00584EC1" w:rsidRDefault="00584EC1">
            <w:pPr>
              <w:rPr>
                <w:rFonts w:ascii="宋体"/>
                <w:vanish/>
              </w:rPr>
            </w:pPr>
          </w:p>
        </w:tc>
        <w:tc>
          <w:tcPr>
            <w:tcW w:w="0" w:type="auto"/>
            <w:gridSpan w:val="3"/>
            <w:shd w:val="clear" w:color="auto" w:fill="auto"/>
            <w:vAlign w:val="bottom"/>
          </w:tcPr>
          <w:p w14:paraId="74DDA6E2" w14:textId="77777777" w:rsidR="00584EC1" w:rsidRDefault="00584EC1">
            <w:pPr>
              <w:rPr>
                <w:rFonts w:ascii="宋体"/>
                <w:vanish/>
              </w:rPr>
            </w:pPr>
          </w:p>
        </w:tc>
        <w:tc>
          <w:tcPr>
            <w:tcW w:w="0" w:type="auto"/>
            <w:gridSpan w:val="3"/>
            <w:shd w:val="clear" w:color="auto" w:fill="auto"/>
            <w:vAlign w:val="bottom"/>
          </w:tcPr>
          <w:p w14:paraId="74DDA6E3" w14:textId="77777777" w:rsidR="00584EC1" w:rsidRDefault="00584EC1">
            <w:pPr>
              <w:rPr>
                <w:rFonts w:ascii="宋体"/>
                <w:vanish/>
              </w:rPr>
            </w:pPr>
          </w:p>
        </w:tc>
        <w:tc>
          <w:tcPr>
            <w:tcW w:w="0" w:type="auto"/>
            <w:gridSpan w:val="3"/>
            <w:shd w:val="clear" w:color="auto" w:fill="auto"/>
            <w:vAlign w:val="bottom"/>
          </w:tcPr>
          <w:p w14:paraId="74DDA6E4" w14:textId="77777777" w:rsidR="00584EC1" w:rsidRDefault="00584EC1">
            <w:pPr>
              <w:rPr>
                <w:rFonts w:ascii="宋体"/>
                <w:vanish/>
              </w:rPr>
            </w:pPr>
          </w:p>
        </w:tc>
        <w:tc>
          <w:tcPr>
            <w:tcW w:w="0" w:type="auto"/>
            <w:gridSpan w:val="3"/>
            <w:shd w:val="clear" w:color="auto" w:fill="auto"/>
            <w:vAlign w:val="bottom"/>
          </w:tcPr>
          <w:p w14:paraId="74DDA6E5" w14:textId="77777777" w:rsidR="00584EC1" w:rsidRDefault="00584EC1">
            <w:pPr>
              <w:rPr>
                <w:rFonts w:ascii="宋体"/>
                <w:vanish/>
              </w:rPr>
            </w:pPr>
          </w:p>
        </w:tc>
        <w:tc>
          <w:tcPr>
            <w:tcW w:w="0" w:type="auto"/>
            <w:shd w:val="clear" w:color="auto" w:fill="auto"/>
            <w:vAlign w:val="bottom"/>
          </w:tcPr>
          <w:p w14:paraId="74DDA6E6" w14:textId="77777777" w:rsidR="00584EC1" w:rsidRDefault="00584EC1">
            <w:pPr>
              <w:rPr>
                <w:rFonts w:ascii="宋体"/>
              </w:rPr>
            </w:pPr>
          </w:p>
        </w:tc>
        <w:tc>
          <w:tcPr>
            <w:tcW w:w="0" w:type="auto"/>
            <w:shd w:val="clear" w:color="auto" w:fill="auto"/>
            <w:vAlign w:val="bottom"/>
          </w:tcPr>
          <w:p w14:paraId="74DDA6E7" w14:textId="77777777" w:rsidR="00584EC1" w:rsidRDefault="00584EC1">
            <w:pPr>
              <w:rPr>
                <w:rFonts w:ascii="宋体"/>
              </w:rPr>
            </w:pPr>
          </w:p>
        </w:tc>
        <w:tc>
          <w:tcPr>
            <w:tcW w:w="0" w:type="auto"/>
            <w:shd w:val="clear" w:color="auto" w:fill="auto"/>
            <w:vAlign w:val="bottom"/>
          </w:tcPr>
          <w:p w14:paraId="74DDA6E8" w14:textId="77777777" w:rsidR="00584EC1" w:rsidRDefault="00584EC1">
            <w:pPr>
              <w:rPr>
                <w:rFonts w:ascii="宋体"/>
              </w:rPr>
            </w:pPr>
          </w:p>
        </w:tc>
        <w:tc>
          <w:tcPr>
            <w:tcW w:w="0" w:type="auto"/>
            <w:shd w:val="clear" w:color="auto" w:fill="auto"/>
            <w:vAlign w:val="bottom"/>
          </w:tcPr>
          <w:p w14:paraId="74DDA6E9" w14:textId="77777777" w:rsidR="00584EC1" w:rsidRDefault="00584EC1">
            <w:pPr>
              <w:rPr>
                <w:rFonts w:ascii="宋体"/>
              </w:rPr>
            </w:pPr>
          </w:p>
        </w:tc>
        <w:tc>
          <w:tcPr>
            <w:tcW w:w="0" w:type="auto"/>
            <w:shd w:val="clear" w:color="auto" w:fill="auto"/>
            <w:vAlign w:val="bottom"/>
          </w:tcPr>
          <w:p w14:paraId="74DDA6EA" w14:textId="77777777" w:rsidR="00584EC1" w:rsidRDefault="00584EC1">
            <w:pPr>
              <w:rPr>
                <w:rFonts w:ascii="宋体"/>
              </w:rPr>
            </w:pPr>
          </w:p>
        </w:tc>
        <w:tc>
          <w:tcPr>
            <w:tcW w:w="0" w:type="auto"/>
            <w:shd w:val="clear" w:color="auto" w:fill="auto"/>
            <w:vAlign w:val="bottom"/>
          </w:tcPr>
          <w:p w14:paraId="74DDA6EB" w14:textId="77777777" w:rsidR="00584EC1" w:rsidRDefault="00584EC1">
            <w:pPr>
              <w:rPr>
                <w:rFonts w:ascii="宋体"/>
              </w:rPr>
            </w:pPr>
          </w:p>
        </w:tc>
        <w:tc>
          <w:tcPr>
            <w:tcW w:w="0" w:type="auto"/>
            <w:shd w:val="clear" w:color="auto" w:fill="auto"/>
            <w:vAlign w:val="bottom"/>
          </w:tcPr>
          <w:p w14:paraId="74DDA6EC" w14:textId="77777777" w:rsidR="00584EC1" w:rsidRDefault="00584EC1">
            <w:pPr>
              <w:rPr>
                <w:rFonts w:ascii="宋体"/>
              </w:rPr>
            </w:pPr>
          </w:p>
        </w:tc>
        <w:tc>
          <w:tcPr>
            <w:tcW w:w="0" w:type="auto"/>
            <w:shd w:val="clear" w:color="auto" w:fill="auto"/>
            <w:vAlign w:val="bottom"/>
          </w:tcPr>
          <w:p w14:paraId="74DDA6ED" w14:textId="77777777" w:rsidR="00584EC1" w:rsidRDefault="00584EC1">
            <w:pPr>
              <w:rPr>
                <w:rFonts w:ascii="宋体"/>
              </w:rPr>
            </w:pPr>
          </w:p>
        </w:tc>
        <w:tc>
          <w:tcPr>
            <w:tcW w:w="0" w:type="auto"/>
            <w:shd w:val="clear" w:color="auto" w:fill="auto"/>
            <w:vAlign w:val="bottom"/>
          </w:tcPr>
          <w:p w14:paraId="74DDA6EE" w14:textId="77777777" w:rsidR="00584EC1" w:rsidRDefault="00584EC1">
            <w:pPr>
              <w:rPr>
                <w:rFonts w:ascii="宋体"/>
              </w:rPr>
            </w:pPr>
          </w:p>
        </w:tc>
        <w:tc>
          <w:tcPr>
            <w:tcW w:w="0" w:type="auto"/>
            <w:shd w:val="clear" w:color="auto" w:fill="auto"/>
            <w:vAlign w:val="bottom"/>
          </w:tcPr>
          <w:p w14:paraId="74DDA6EF" w14:textId="77777777" w:rsidR="00584EC1" w:rsidRDefault="00584EC1">
            <w:pPr>
              <w:rPr>
                <w:rFonts w:ascii="宋体"/>
              </w:rPr>
            </w:pPr>
          </w:p>
        </w:tc>
        <w:tc>
          <w:tcPr>
            <w:tcW w:w="0" w:type="auto"/>
            <w:shd w:val="clear" w:color="auto" w:fill="auto"/>
            <w:vAlign w:val="bottom"/>
          </w:tcPr>
          <w:p w14:paraId="74DDA6F0" w14:textId="77777777" w:rsidR="00584EC1" w:rsidRDefault="00584EC1">
            <w:pPr>
              <w:rPr>
                <w:rFonts w:ascii="宋体"/>
              </w:rPr>
            </w:pPr>
          </w:p>
        </w:tc>
        <w:tc>
          <w:tcPr>
            <w:tcW w:w="0" w:type="auto"/>
            <w:shd w:val="clear" w:color="auto" w:fill="auto"/>
            <w:vAlign w:val="bottom"/>
          </w:tcPr>
          <w:p w14:paraId="74DDA6F1" w14:textId="77777777" w:rsidR="00584EC1" w:rsidRDefault="00584EC1">
            <w:pPr>
              <w:rPr>
                <w:rFonts w:ascii="宋体"/>
              </w:rPr>
            </w:pPr>
          </w:p>
        </w:tc>
      </w:tr>
      <w:tr w:rsidR="00584EC1" w14:paraId="74DDA703" w14:textId="77777777">
        <w:trPr>
          <w:hidden/>
        </w:trPr>
        <w:tc>
          <w:tcPr>
            <w:tcW w:w="0" w:type="auto"/>
            <w:gridSpan w:val="3"/>
            <w:shd w:val="clear" w:color="auto" w:fill="auto"/>
            <w:vAlign w:val="bottom"/>
          </w:tcPr>
          <w:p w14:paraId="74DDA6F3" w14:textId="77777777" w:rsidR="00584EC1" w:rsidRDefault="00584EC1">
            <w:pPr>
              <w:rPr>
                <w:rFonts w:ascii="宋体"/>
                <w:vanish/>
              </w:rPr>
            </w:pPr>
          </w:p>
        </w:tc>
        <w:tc>
          <w:tcPr>
            <w:tcW w:w="0" w:type="auto"/>
            <w:gridSpan w:val="3"/>
            <w:shd w:val="clear" w:color="auto" w:fill="auto"/>
            <w:vAlign w:val="bottom"/>
          </w:tcPr>
          <w:p w14:paraId="74DDA6F4" w14:textId="77777777" w:rsidR="00584EC1" w:rsidRDefault="00584EC1">
            <w:pPr>
              <w:rPr>
                <w:rFonts w:ascii="宋体"/>
                <w:vanish/>
              </w:rPr>
            </w:pPr>
          </w:p>
        </w:tc>
        <w:tc>
          <w:tcPr>
            <w:tcW w:w="0" w:type="auto"/>
            <w:gridSpan w:val="3"/>
            <w:shd w:val="clear" w:color="auto" w:fill="auto"/>
            <w:vAlign w:val="bottom"/>
          </w:tcPr>
          <w:p w14:paraId="74DDA6F5" w14:textId="77777777" w:rsidR="00584EC1" w:rsidRDefault="00584EC1">
            <w:pPr>
              <w:rPr>
                <w:rFonts w:ascii="宋体"/>
                <w:vanish/>
              </w:rPr>
            </w:pPr>
          </w:p>
        </w:tc>
        <w:tc>
          <w:tcPr>
            <w:tcW w:w="0" w:type="auto"/>
            <w:gridSpan w:val="3"/>
            <w:shd w:val="clear" w:color="auto" w:fill="auto"/>
            <w:vAlign w:val="bottom"/>
          </w:tcPr>
          <w:p w14:paraId="74DDA6F6" w14:textId="77777777" w:rsidR="00584EC1" w:rsidRDefault="00584EC1">
            <w:pPr>
              <w:rPr>
                <w:rFonts w:ascii="宋体"/>
                <w:vanish/>
              </w:rPr>
            </w:pPr>
          </w:p>
        </w:tc>
        <w:tc>
          <w:tcPr>
            <w:tcW w:w="0" w:type="auto"/>
            <w:gridSpan w:val="3"/>
            <w:shd w:val="clear" w:color="auto" w:fill="auto"/>
            <w:vAlign w:val="bottom"/>
          </w:tcPr>
          <w:p w14:paraId="74DDA6F7" w14:textId="77777777" w:rsidR="00584EC1" w:rsidRDefault="00584EC1">
            <w:pPr>
              <w:rPr>
                <w:rFonts w:ascii="宋体"/>
                <w:vanish/>
              </w:rPr>
            </w:pPr>
          </w:p>
        </w:tc>
        <w:tc>
          <w:tcPr>
            <w:tcW w:w="0" w:type="auto"/>
            <w:gridSpan w:val="3"/>
            <w:shd w:val="clear" w:color="auto" w:fill="auto"/>
            <w:vAlign w:val="bottom"/>
          </w:tcPr>
          <w:p w14:paraId="74DDA6F8" w14:textId="77777777" w:rsidR="00584EC1" w:rsidRDefault="00584EC1">
            <w:pPr>
              <w:rPr>
                <w:rFonts w:ascii="宋体"/>
                <w:vanish/>
              </w:rPr>
            </w:pPr>
          </w:p>
        </w:tc>
        <w:tc>
          <w:tcPr>
            <w:tcW w:w="0" w:type="auto"/>
            <w:gridSpan w:val="3"/>
            <w:shd w:val="clear" w:color="auto" w:fill="auto"/>
            <w:vAlign w:val="bottom"/>
          </w:tcPr>
          <w:p w14:paraId="74DDA6F9" w14:textId="77777777" w:rsidR="00584EC1" w:rsidRDefault="00584EC1">
            <w:pPr>
              <w:rPr>
                <w:rFonts w:ascii="宋体"/>
                <w:vanish/>
              </w:rPr>
            </w:pPr>
          </w:p>
        </w:tc>
        <w:tc>
          <w:tcPr>
            <w:tcW w:w="0" w:type="auto"/>
            <w:gridSpan w:val="3"/>
            <w:shd w:val="clear" w:color="auto" w:fill="auto"/>
            <w:vAlign w:val="bottom"/>
          </w:tcPr>
          <w:p w14:paraId="74DDA6FA" w14:textId="77777777" w:rsidR="00584EC1" w:rsidRDefault="00584EC1">
            <w:pPr>
              <w:rPr>
                <w:rFonts w:ascii="宋体"/>
                <w:vanish/>
              </w:rPr>
            </w:pPr>
          </w:p>
        </w:tc>
        <w:tc>
          <w:tcPr>
            <w:tcW w:w="0" w:type="auto"/>
            <w:gridSpan w:val="3"/>
            <w:shd w:val="clear" w:color="auto" w:fill="auto"/>
            <w:vAlign w:val="bottom"/>
          </w:tcPr>
          <w:p w14:paraId="74DDA6FB" w14:textId="77777777" w:rsidR="00584EC1" w:rsidRDefault="00584EC1">
            <w:pPr>
              <w:rPr>
                <w:rFonts w:ascii="宋体"/>
                <w:vanish/>
              </w:rPr>
            </w:pPr>
          </w:p>
        </w:tc>
        <w:tc>
          <w:tcPr>
            <w:tcW w:w="0" w:type="auto"/>
            <w:gridSpan w:val="3"/>
            <w:shd w:val="clear" w:color="auto" w:fill="auto"/>
            <w:vAlign w:val="bottom"/>
          </w:tcPr>
          <w:p w14:paraId="74DDA6FC" w14:textId="77777777" w:rsidR="00584EC1" w:rsidRDefault="00584EC1">
            <w:pPr>
              <w:rPr>
                <w:rFonts w:ascii="宋体"/>
                <w:vanish/>
              </w:rPr>
            </w:pPr>
          </w:p>
        </w:tc>
        <w:tc>
          <w:tcPr>
            <w:tcW w:w="0" w:type="auto"/>
            <w:gridSpan w:val="3"/>
            <w:shd w:val="clear" w:color="auto" w:fill="auto"/>
            <w:vAlign w:val="bottom"/>
          </w:tcPr>
          <w:p w14:paraId="74DDA6FD" w14:textId="77777777" w:rsidR="00584EC1" w:rsidRDefault="00584EC1">
            <w:pPr>
              <w:rPr>
                <w:rFonts w:ascii="宋体"/>
                <w:vanish/>
              </w:rPr>
            </w:pPr>
          </w:p>
        </w:tc>
        <w:tc>
          <w:tcPr>
            <w:tcW w:w="0" w:type="auto"/>
            <w:gridSpan w:val="3"/>
            <w:shd w:val="clear" w:color="auto" w:fill="auto"/>
            <w:vAlign w:val="bottom"/>
          </w:tcPr>
          <w:p w14:paraId="74DDA6FE" w14:textId="77777777" w:rsidR="00584EC1" w:rsidRDefault="00584EC1">
            <w:pPr>
              <w:rPr>
                <w:rFonts w:ascii="宋体"/>
                <w:vanish/>
              </w:rPr>
            </w:pPr>
          </w:p>
        </w:tc>
        <w:tc>
          <w:tcPr>
            <w:tcW w:w="0" w:type="auto"/>
            <w:gridSpan w:val="3"/>
            <w:shd w:val="clear" w:color="auto" w:fill="auto"/>
            <w:vAlign w:val="bottom"/>
          </w:tcPr>
          <w:p w14:paraId="74DDA6FF" w14:textId="77777777" w:rsidR="00584EC1" w:rsidRDefault="00584EC1">
            <w:pPr>
              <w:rPr>
                <w:rFonts w:ascii="宋体"/>
                <w:vanish/>
              </w:rPr>
            </w:pPr>
          </w:p>
        </w:tc>
        <w:tc>
          <w:tcPr>
            <w:tcW w:w="0" w:type="auto"/>
            <w:gridSpan w:val="3"/>
            <w:shd w:val="clear" w:color="auto" w:fill="auto"/>
            <w:vAlign w:val="bottom"/>
          </w:tcPr>
          <w:p w14:paraId="74DDA700" w14:textId="77777777" w:rsidR="00584EC1" w:rsidRDefault="00584EC1">
            <w:pPr>
              <w:rPr>
                <w:rFonts w:ascii="宋体"/>
                <w:vanish/>
              </w:rPr>
            </w:pPr>
          </w:p>
        </w:tc>
        <w:tc>
          <w:tcPr>
            <w:tcW w:w="0" w:type="auto"/>
            <w:gridSpan w:val="3"/>
            <w:shd w:val="clear" w:color="auto" w:fill="auto"/>
            <w:vAlign w:val="bottom"/>
          </w:tcPr>
          <w:p w14:paraId="74DDA701" w14:textId="77777777" w:rsidR="00584EC1" w:rsidRDefault="00584EC1">
            <w:pPr>
              <w:rPr>
                <w:rFonts w:ascii="宋体"/>
                <w:vanish/>
              </w:rPr>
            </w:pPr>
          </w:p>
        </w:tc>
        <w:tc>
          <w:tcPr>
            <w:tcW w:w="0" w:type="auto"/>
            <w:gridSpan w:val="3"/>
            <w:shd w:val="clear" w:color="auto" w:fill="auto"/>
            <w:vAlign w:val="bottom"/>
          </w:tcPr>
          <w:p w14:paraId="74DDA702" w14:textId="77777777" w:rsidR="00584EC1" w:rsidRDefault="00584EC1">
            <w:pPr>
              <w:rPr>
                <w:rFonts w:ascii="宋体"/>
                <w:vanish/>
              </w:rPr>
            </w:pPr>
          </w:p>
        </w:tc>
      </w:tr>
      <w:tr w:rsidR="00584EC1" w14:paraId="74DDA71C" w14:textId="77777777">
        <w:trPr>
          <w:hidden/>
        </w:trPr>
        <w:tc>
          <w:tcPr>
            <w:tcW w:w="0" w:type="auto"/>
            <w:gridSpan w:val="3"/>
            <w:shd w:val="clear" w:color="auto" w:fill="auto"/>
            <w:vAlign w:val="bottom"/>
          </w:tcPr>
          <w:p w14:paraId="74DDA704" w14:textId="77777777" w:rsidR="00584EC1" w:rsidRDefault="00584EC1">
            <w:pPr>
              <w:rPr>
                <w:rFonts w:ascii="宋体"/>
                <w:vanish/>
              </w:rPr>
            </w:pPr>
          </w:p>
        </w:tc>
        <w:tc>
          <w:tcPr>
            <w:tcW w:w="0" w:type="auto"/>
            <w:gridSpan w:val="3"/>
            <w:shd w:val="clear" w:color="auto" w:fill="auto"/>
            <w:vAlign w:val="bottom"/>
          </w:tcPr>
          <w:p w14:paraId="74DDA705" w14:textId="77777777" w:rsidR="00584EC1" w:rsidRDefault="00584EC1">
            <w:pPr>
              <w:rPr>
                <w:rFonts w:ascii="宋体"/>
                <w:vanish/>
              </w:rPr>
            </w:pPr>
          </w:p>
        </w:tc>
        <w:tc>
          <w:tcPr>
            <w:tcW w:w="0" w:type="auto"/>
            <w:gridSpan w:val="3"/>
            <w:shd w:val="clear" w:color="auto" w:fill="auto"/>
            <w:vAlign w:val="bottom"/>
          </w:tcPr>
          <w:p w14:paraId="74DDA706" w14:textId="77777777" w:rsidR="00584EC1" w:rsidRDefault="00584EC1">
            <w:pPr>
              <w:rPr>
                <w:rFonts w:ascii="宋体"/>
                <w:vanish/>
              </w:rPr>
            </w:pPr>
          </w:p>
        </w:tc>
        <w:tc>
          <w:tcPr>
            <w:tcW w:w="0" w:type="auto"/>
            <w:gridSpan w:val="3"/>
            <w:shd w:val="clear" w:color="auto" w:fill="auto"/>
            <w:vAlign w:val="bottom"/>
          </w:tcPr>
          <w:p w14:paraId="74DDA707" w14:textId="77777777" w:rsidR="00584EC1" w:rsidRDefault="00584EC1">
            <w:pPr>
              <w:rPr>
                <w:rFonts w:ascii="宋体"/>
                <w:vanish/>
              </w:rPr>
            </w:pPr>
          </w:p>
        </w:tc>
        <w:tc>
          <w:tcPr>
            <w:tcW w:w="0" w:type="auto"/>
            <w:gridSpan w:val="3"/>
            <w:shd w:val="clear" w:color="auto" w:fill="auto"/>
            <w:vAlign w:val="bottom"/>
          </w:tcPr>
          <w:p w14:paraId="74DDA708" w14:textId="77777777" w:rsidR="00584EC1" w:rsidRDefault="00584EC1">
            <w:pPr>
              <w:rPr>
                <w:rFonts w:ascii="宋体"/>
                <w:vanish/>
              </w:rPr>
            </w:pPr>
          </w:p>
        </w:tc>
        <w:tc>
          <w:tcPr>
            <w:tcW w:w="0" w:type="auto"/>
            <w:gridSpan w:val="3"/>
            <w:shd w:val="clear" w:color="auto" w:fill="auto"/>
            <w:vAlign w:val="bottom"/>
          </w:tcPr>
          <w:p w14:paraId="74DDA709" w14:textId="77777777" w:rsidR="00584EC1" w:rsidRDefault="00584EC1">
            <w:pPr>
              <w:rPr>
                <w:rFonts w:ascii="宋体"/>
                <w:vanish/>
              </w:rPr>
            </w:pPr>
          </w:p>
        </w:tc>
        <w:tc>
          <w:tcPr>
            <w:tcW w:w="0" w:type="auto"/>
            <w:gridSpan w:val="3"/>
            <w:shd w:val="clear" w:color="auto" w:fill="auto"/>
            <w:vAlign w:val="bottom"/>
          </w:tcPr>
          <w:p w14:paraId="74DDA70A" w14:textId="77777777" w:rsidR="00584EC1" w:rsidRDefault="00584EC1">
            <w:pPr>
              <w:rPr>
                <w:rFonts w:ascii="宋体"/>
                <w:vanish/>
              </w:rPr>
            </w:pPr>
          </w:p>
        </w:tc>
        <w:tc>
          <w:tcPr>
            <w:tcW w:w="0" w:type="auto"/>
            <w:gridSpan w:val="3"/>
            <w:shd w:val="clear" w:color="auto" w:fill="auto"/>
            <w:vAlign w:val="bottom"/>
          </w:tcPr>
          <w:p w14:paraId="74DDA70B" w14:textId="77777777" w:rsidR="00584EC1" w:rsidRDefault="00584EC1">
            <w:pPr>
              <w:rPr>
                <w:rFonts w:ascii="宋体"/>
                <w:vanish/>
              </w:rPr>
            </w:pPr>
          </w:p>
        </w:tc>
        <w:tc>
          <w:tcPr>
            <w:tcW w:w="0" w:type="auto"/>
            <w:gridSpan w:val="3"/>
            <w:shd w:val="clear" w:color="auto" w:fill="auto"/>
            <w:vAlign w:val="bottom"/>
          </w:tcPr>
          <w:p w14:paraId="74DDA70C" w14:textId="77777777" w:rsidR="00584EC1" w:rsidRDefault="00584EC1">
            <w:pPr>
              <w:rPr>
                <w:rFonts w:ascii="宋体"/>
                <w:vanish/>
              </w:rPr>
            </w:pPr>
          </w:p>
        </w:tc>
        <w:tc>
          <w:tcPr>
            <w:tcW w:w="0" w:type="auto"/>
            <w:gridSpan w:val="3"/>
            <w:shd w:val="clear" w:color="auto" w:fill="auto"/>
            <w:vAlign w:val="bottom"/>
          </w:tcPr>
          <w:p w14:paraId="74DDA70D" w14:textId="77777777" w:rsidR="00584EC1" w:rsidRDefault="00584EC1">
            <w:pPr>
              <w:rPr>
                <w:rFonts w:ascii="宋体"/>
                <w:vanish/>
              </w:rPr>
            </w:pPr>
          </w:p>
        </w:tc>
        <w:tc>
          <w:tcPr>
            <w:tcW w:w="0" w:type="auto"/>
            <w:gridSpan w:val="3"/>
            <w:shd w:val="clear" w:color="auto" w:fill="auto"/>
            <w:vAlign w:val="bottom"/>
          </w:tcPr>
          <w:p w14:paraId="74DDA70E" w14:textId="77777777" w:rsidR="00584EC1" w:rsidRDefault="00584EC1">
            <w:pPr>
              <w:rPr>
                <w:rFonts w:ascii="宋体"/>
                <w:vanish/>
              </w:rPr>
            </w:pPr>
          </w:p>
        </w:tc>
        <w:tc>
          <w:tcPr>
            <w:tcW w:w="0" w:type="auto"/>
            <w:gridSpan w:val="3"/>
            <w:shd w:val="clear" w:color="auto" w:fill="auto"/>
            <w:vAlign w:val="bottom"/>
          </w:tcPr>
          <w:p w14:paraId="74DDA70F" w14:textId="77777777" w:rsidR="00584EC1" w:rsidRDefault="00584EC1">
            <w:pPr>
              <w:rPr>
                <w:rFonts w:ascii="宋体"/>
                <w:vanish/>
              </w:rPr>
            </w:pPr>
          </w:p>
        </w:tc>
        <w:tc>
          <w:tcPr>
            <w:tcW w:w="0" w:type="auto"/>
            <w:shd w:val="clear" w:color="auto" w:fill="auto"/>
            <w:vAlign w:val="bottom"/>
          </w:tcPr>
          <w:p w14:paraId="74DDA710" w14:textId="77777777" w:rsidR="00584EC1" w:rsidRDefault="00584EC1">
            <w:pPr>
              <w:rPr>
                <w:rFonts w:ascii="宋体"/>
              </w:rPr>
            </w:pPr>
          </w:p>
        </w:tc>
        <w:tc>
          <w:tcPr>
            <w:tcW w:w="0" w:type="auto"/>
            <w:shd w:val="clear" w:color="auto" w:fill="auto"/>
            <w:vAlign w:val="bottom"/>
          </w:tcPr>
          <w:p w14:paraId="74DDA711" w14:textId="77777777" w:rsidR="00584EC1" w:rsidRDefault="00584EC1">
            <w:pPr>
              <w:rPr>
                <w:rFonts w:ascii="宋体"/>
              </w:rPr>
            </w:pPr>
          </w:p>
        </w:tc>
        <w:tc>
          <w:tcPr>
            <w:tcW w:w="0" w:type="auto"/>
            <w:shd w:val="clear" w:color="auto" w:fill="auto"/>
            <w:vAlign w:val="bottom"/>
          </w:tcPr>
          <w:p w14:paraId="74DDA712" w14:textId="77777777" w:rsidR="00584EC1" w:rsidRDefault="00584EC1">
            <w:pPr>
              <w:rPr>
                <w:rFonts w:ascii="宋体"/>
              </w:rPr>
            </w:pPr>
          </w:p>
        </w:tc>
        <w:tc>
          <w:tcPr>
            <w:tcW w:w="0" w:type="auto"/>
            <w:shd w:val="clear" w:color="auto" w:fill="auto"/>
            <w:vAlign w:val="bottom"/>
          </w:tcPr>
          <w:p w14:paraId="74DDA713" w14:textId="77777777" w:rsidR="00584EC1" w:rsidRDefault="00584EC1">
            <w:pPr>
              <w:rPr>
                <w:rFonts w:ascii="宋体"/>
              </w:rPr>
            </w:pPr>
          </w:p>
        </w:tc>
        <w:tc>
          <w:tcPr>
            <w:tcW w:w="0" w:type="auto"/>
            <w:shd w:val="clear" w:color="auto" w:fill="auto"/>
            <w:vAlign w:val="bottom"/>
          </w:tcPr>
          <w:p w14:paraId="74DDA714" w14:textId="77777777" w:rsidR="00584EC1" w:rsidRDefault="00584EC1">
            <w:pPr>
              <w:rPr>
                <w:rFonts w:ascii="宋体"/>
              </w:rPr>
            </w:pPr>
          </w:p>
        </w:tc>
        <w:tc>
          <w:tcPr>
            <w:tcW w:w="0" w:type="auto"/>
            <w:shd w:val="clear" w:color="auto" w:fill="auto"/>
            <w:vAlign w:val="bottom"/>
          </w:tcPr>
          <w:p w14:paraId="74DDA715" w14:textId="77777777" w:rsidR="00584EC1" w:rsidRDefault="00584EC1">
            <w:pPr>
              <w:rPr>
                <w:rFonts w:ascii="宋体"/>
              </w:rPr>
            </w:pPr>
          </w:p>
        </w:tc>
        <w:tc>
          <w:tcPr>
            <w:tcW w:w="0" w:type="auto"/>
            <w:shd w:val="clear" w:color="auto" w:fill="auto"/>
            <w:vAlign w:val="bottom"/>
          </w:tcPr>
          <w:p w14:paraId="74DDA716" w14:textId="77777777" w:rsidR="00584EC1" w:rsidRDefault="00584EC1">
            <w:pPr>
              <w:rPr>
                <w:rFonts w:ascii="宋体"/>
              </w:rPr>
            </w:pPr>
          </w:p>
        </w:tc>
        <w:tc>
          <w:tcPr>
            <w:tcW w:w="0" w:type="auto"/>
            <w:shd w:val="clear" w:color="auto" w:fill="auto"/>
            <w:vAlign w:val="bottom"/>
          </w:tcPr>
          <w:p w14:paraId="74DDA717" w14:textId="77777777" w:rsidR="00584EC1" w:rsidRDefault="00584EC1">
            <w:pPr>
              <w:rPr>
                <w:rFonts w:ascii="宋体"/>
              </w:rPr>
            </w:pPr>
          </w:p>
        </w:tc>
        <w:tc>
          <w:tcPr>
            <w:tcW w:w="0" w:type="auto"/>
            <w:shd w:val="clear" w:color="auto" w:fill="auto"/>
            <w:vAlign w:val="bottom"/>
          </w:tcPr>
          <w:p w14:paraId="74DDA718" w14:textId="77777777" w:rsidR="00584EC1" w:rsidRDefault="00584EC1">
            <w:pPr>
              <w:rPr>
                <w:rFonts w:ascii="宋体"/>
              </w:rPr>
            </w:pPr>
          </w:p>
        </w:tc>
        <w:tc>
          <w:tcPr>
            <w:tcW w:w="0" w:type="auto"/>
            <w:shd w:val="clear" w:color="auto" w:fill="auto"/>
            <w:vAlign w:val="bottom"/>
          </w:tcPr>
          <w:p w14:paraId="74DDA719" w14:textId="77777777" w:rsidR="00584EC1" w:rsidRDefault="00584EC1">
            <w:pPr>
              <w:rPr>
                <w:rFonts w:ascii="宋体"/>
              </w:rPr>
            </w:pPr>
          </w:p>
        </w:tc>
        <w:tc>
          <w:tcPr>
            <w:tcW w:w="0" w:type="auto"/>
            <w:shd w:val="clear" w:color="auto" w:fill="auto"/>
            <w:vAlign w:val="bottom"/>
          </w:tcPr>
          <w:p w14:paraId="74DDA71A" w14:textId="77777777" w:rsidR="00584EC1" w:rsidRDefault="00584EC1">
            <w:pPr>
              <w:rPr>
                <w:rFonts w:ascii="宋体"/>
              </w:rPr>
            </w:pPr>
          </w:p>
        </w:tc>
        <w:tc>
          <w:tcPr>
            <w:tcW w:w="0" w:type="auto"/>
            <w:shd w:val="clear" w:color="auto" w:fill="auto"/>
            <w:vAlign w:val="bottom"/>
          </w:tcPr>
          <w:p w14:paraId="74DDA71B" w14:textId="77777777" w:rsidR="00584EC1" w:rsidRDefault="00584EC1">
            <w:pPr>
              <w:rPr>
                <w:rFonts w:ascii="宋体"/>
              </w:rPr>
            </w:pPr>
          </w:p>
        </w:tc>
      </w:tr>
      <w:tr w:rsidR="00584EC1" w14:paraId="74DDA72D" w14:textId="77777777">
        <w:trPr>
          <w:hidden/>
        </w:trPr>
        <w:tc>
          <w:tcPr>
            <w:tcW w:w="0" w:type="auto"/>
            <w:gridSpan w:val="3"/>
            <w:shd w:val="clear" w:color="auto" w:fill="auto"/>
            <w:vAlign w:val="bottom"/>
          </w:tcPr>
          <w:p w14:paraId="74DDA71D" w14:textId="77777777" w:rsidR="00584EC1" w:rsidRDefault="00584EC1">
            <w:pPr>
              <w:rPr>
                <w:rFonts w:ascii="宋体"/>
                <w:vanish/>
              </w:rPr>
            </w:pPr>
          </w:p>
        </w:tc>
        <w:tc>
          <w:tcPr>
            <w:tcW w:w="0" w:type="auto"/>
            <w:gridSpan w:val="3"/>
            <w:shd w:val="clear" w:color="auto" w:fill="auto"/>
            <w:vAlign w:val="bottom"/>
          </w:tcPr>
          <w:p w14:paraId="74DDA71E" w14:textId="77777777" w:rsidR="00584EC1" w:rsidRDefault="00584EC1">
            <w:pPr>
              <w:rPr>
                <w:rFonts w:ascii="宋体"/>
                <w:vanish/>
              </w:rPr>
            </w:pPr>
          </w:p>
        </w:tc>
        <w:tc>
          <w:tcPr>
            <w:tcW w:w="0" w:type="auto"/>
            <w:gridSpan w:val="3"/>
            <w:shd w:val="clear" w:color="auto" w:fill="auto"/>
            <w:vAlign w:val="bottom"/>
          </w:tcPr>
          <w:p w14:paraId="74DDA71F" w14:textId="77777777" w:rsidR="00584EC1" w:rsidRDefault="00584EC1">
            <w:pPr>
              <w:rPr>
                <w:rFonts w:ascii="宋体"/>
                <w:vanish/>
              </w:rPr>
            </w:pPr>
          </w:p>
        </w:tc>
        <w:tc>
          <w:tcPr>
            <w:tcW w:w="0" w:type="auto"/>
            <w:gridSpan w:val="3"/>
            <w:shd w:val="clear" w:color="auto" w:fill="auto"/>
            <w:vAlign w:val="bottom"/>
          </w:tcPr>
          <w:p w14:paraId="74DDA720" w14:textId="77777777" w:rsidR="00584EC1" w:rsidRDefault="00584EC1">
            <w:pPr>
              <w:rPr>
                <w:rFonts w:ascii="宋体"/>
                <w:vanish/>
              </w:rPr>
            </w:pPr>
          </w:p>
        </w:tc>
        <w:tc>
          <w:tcPr>
            <w:tcW w:w="0" w:type="auto"/>
            <w:gridSpan w:val="3"/>
            <w:shd w:val="clear" w:color="auto" w:fill="auto"/>
            <w:vAlign w:val="bottom"/>
          </w:tcPr>
          <w:p w14:paraId="74DDA721" w14:textId="77777777" w:rsidR="00584EC1" w:rsidRDefault="00584EC1">
            <w:pPr>
              <w:rPr>
                <w:rFonts w:ascii="宋体"/>
                <w:vanish/>
              </w:rPr>
            </w:pPr>
          </w:p>
        </w:tc>
        <w:tc>
          <w:tcPr>
            <w:tcW w:w="0" w:type="auto"/>
            <w:gridSpan w:val="3"/>
            <w:shd w:val="clear" w:color="auto" w:fill="auto"/>
            <w:vAlign w:val="bottom"/>
          </w:tcPr>
          <w:p w14:paraId="74DDA722" w14:textId="77777777" w:rsidR="00584EC1" w:rsidRDefault="00584EC1">
            <w:pPr>
              <w:rPr>
                <w:rFonts w:ascii="宋体"/>
                <w:vanish/>
              </w:rPr>
            </w:pPr>
          </w:p>
        </w:tc>
        <w:tc>
          <w:tcPr>
            <w:tcW w:w="0" w:type="auto"/>
            <w:gridSpan w:val="3"/>
            <w:shd w:val="clear" w:color="auto" w:fill="auto"/>
            <w:vAlign w:val="bottom"/>
          </w:tcPr>
          <w:p w14:paraId="74DDA723" w14:textId="77777777" w:rsidR="00584EC1" w:rsidRDefault="00584EC1">
            <w:pPr>
              <w:rPr>
                <w:rFonts w:ascii="宋体"/>
                <w:vanish/>
              </w:rPr>
            </w:pPr>
          </w:p>
        </w:tc>
        <w:tc>
          <w:tcPr>
            <w:tcW w:w="0" w:type="auto"/>
            <w:gridSpan w:val="3"/>
            <w:shd w:val="clear" w:color="auto" w:fill="auto"/>
            <w:vAlign w:val="bottom"/>
          </w:tcPr>
          <w:p w14:paraId="74DDA724" w14:textId="77777777" w:rsidR="00584EC1" w:rsidRDefault="00584EC1">
            <w:pPr>
              <w:rPr>
                <w:rFonts w:ascii="宋体"/>
                <w:vanish/>
              </w:rPr>
            </w:pPr>
          </w:p>
        </w:tc>
        <w:tc>
          <w:tcPr>
            <w:tcW w:w="0" w:type="auto"/>
            <w:gridSpan w:val="3"/>
            <w:shd w:val="clear" w:color="auto" w:fill="auto"/>
            <w:vAlign w:val="bottom"/>
          </w:tcPr>
          <w:p w14:paraId="74DDA725" w14:textId="77777777" w:rsidR="00584EC1" w:rsidRDefault="00584EC1">
            <w:pPr>
              <w:rPr>
                <w:rFonts w:ascii="宋体"/>
                <w:vanish/>
              </w:rPr>
            </w:pPr>
          </w:p>
        </w:tc>
        <w:tc>
          <w:tcPr>
            <w:tcW w:w="0" w:type="auto"/>
            <w:gridSpan w:val="3"/>
            <w:shd w:val="clear" w:color="auto" w:fill="auto"/>
            <w:vAlign w:val="bottom"/>
          </w:tcPr>
          <w:p w14:paraId="74DDA726" w14:textId="77777777" w:rsidR="00584EC1" w:rsidRDefault="00584EC1">
            <w:pPr>
              <w:rPr>
                <w:rFonts w:ascii="宋体"/>
                <w:vanish/>
              </w:rPr>
            </w:pPr>
          </w:p>
        </w:tc>
        <w:tc>
          <w:tcPr>
            <w:tcW w:w="0" w:type="auto"/>
            <w:gridSpan w:val="3"/>
            <w:shd w:val="clear" w:color="auto" w:fill="auto"/>
            <w:vAlign w:val="bottom"/>
          </w:tcPr>
          <w:p w14:paraId="74DDA727" w14:textId="77777777" w:rsidR="00584EC1" w:rsidRDefault="00584EC1">
            <w:pPr>
              <w:rPr>
                <w:rFonts w:ascii="宋体"/>
                <w:vanish/>
              </w:rPr>
            </w:pPr>
          </w:p>
        </w:tc>
        <w:tc>
          <w:tcPr>
            <w:tcW w:w="0" w:type="auto"/>
            <w:gridSpan w:val="3"/>
            <w:shd w:val="clear" w:color="auto" w:fill="auto"/>
            <w:vAlign w:val="bottom"/>
          </w:tcPr>
          <w:p w14:paraId="74DDA728" w14:textId="77777777" w:rsidR="00584EC1" w:rsidRDefault="00584EC1">
            <w:pPr>
              <w:rPr>
                <w:rFonts w:ascii="宋体"/>
                <w:vanish/>
              </w:rPr>
            </w:pPr>
          </w:p>
        </w:tc>
        <w:tc>
          <w:tcPr>
            <w:tcW w:w="0" w:type="auto"/>
            <w:gridSpan w:val="3"/>
            <w:shd w:val="clear" w:color="auto" w:fill="auto"/>
            <w:vAlign w:val="bottom"/>
          </w:tcPr>
          <w:p w14:paraId="74DDA729" w14:textId="77777777" w:rsidR="00584EC1" w:rsidRDefault="00584EC1">
            <w:pPr>
              <w:rPr>
                <w:rFonts w:ascii="宋体"/>
                <w:vanish/>
              </w:rPr>
            </w:pPr>
          </w:p>
        </w:tc>
        <w:tc>
          <w:tcPr>
            <w:tcW w:w="0" w:type="auto"/>
            <w:gridSpan w:val="3"/>
            <w:shd w:val="clear" w:color="auto" w:fill="auto"/>
            <w:vAlign w:val="bottom"/>
          </w:tcPr>
          <w:p w14:paraId="74DDA72A" w14:textId="77777777" w:rsidR="00584EC1" w:rsidRDefault="00584EC1">
            <w:pPr>
              <w:rPr>
                <w:rFonts w:ascii="宋体"/>
                <w:vanish/>
              </w:rPr>
            </w:pPr>
          </w:p>
        </w:tc>
        <w:tc>
          <w:tcPr>
            <w:tcW w:w="0" w:type="auto"/>
            <w:gridSpan w:val="3"/>
            <w:shd w:val="clear" w:color="auto" w:fill="auto"/>
            <w:vAlign w:val="bottom"/>
          </w:tcPr>
          <w:p w14:paraId="74DDA72B" w14:textId="77777777" w:rsidR="00584EC1" w:rsidRDefault="00584EC1">
            <w:pPr>
              <w:rPr>
                <w:rFonts w:ascii="宋体"/>
                <w:vanish/>
              </w:rPr>
            </w:pPr>
          </w:p>
        </w:tc>
        <w:tc>
          <w:tcPr>
            <w:tcW w:w="0" w:type="auto"/>
            <w:gridSpan w:val="3"/>
            <w:shd w:val="clear" w:color="auto" w:fill="auto"/>
            <w:vAlign w:val="bottom"/>
          </w:tcPr>
          <w:p w14:paraId="74DDA72C" w14:textId="77777777" w:rsidR="00584EC1" w:rsidRDefault="00584EC1">
            <w:pPr>
              <w:rPr>
                <w:rFonts w:ascii="宋体"/>
                <w:vanish/>
              </w:rPr>
            </w:pPr>
          </w:p>
        </w:tc>
      </w:tr>
      <w:tr w:rsidR="00584EC1" w14:paraId="74DDA73E" w14:textId="77777777">
        <w:trPr>
          <w:trHeight w:val="60"/>
        </w:trPr>
        <w:tc>
          <w:tcPr>
            <w:tcW w:w="0" w:type="auto"/>
            <w:gridSpan w:val="3"/>
            <w:shd w:val="clear" w:color="auto" w:fill="auto"/>
            <w:tcMar>
              <w:top w:w="0" w:type="dxa"/>
              <w:left w:w="20" w:type="dxa"/>
              <w:bottom w:w="0" w:type="dxa"/>
              <w:right w:w="20" w:type="dxa"/>
            </w:tcMar>
            <w:vAlign w:val="bottom"/>
          </w:tcPr>
          <w:p w14:paraId="74DDA72E"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A72F"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A730"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A73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A73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A733"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A734"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A735" w14:textId="77777777" w:rsidR="00584EC1" w:rsidRDefault="00584EC1">
            <w:pPr>
              <w:rPr>
                <w:rFonts w:ascii="宋体"/>
              </w:rPr>
            </w:pPr>
          </w:p>
        </w:tc>
        <w:tc>
          <w:tcPr>
            <w:tcW w:w="0" w:type="auto"/>
            <w:gridSpan w:val="3"/>
            <w:shd w:val="clear" w:color="auto" w:fill="auto"/>
            <w:vAlign w:val="bottom"/>
          </w:tcPr>
          <w:p w14:paraId="74DDA736" w14:textId="77777777" w:rsidR="00584EC1" w:rsidRDefault="00584EC1">
            <w:pPr>
              <w:rPr>
                <w:rFonts w:ascii="宋体"/>
                <w:vanish/>
              </w:rPr>
            </w:pPr>
          </w:p>
        </w:tc>
        <w:tc>
          <w:tcPr>
            <w:tcW w:w="0" w:type="auto"/>
            <w:gridSpan w:val="3"/>
            <w:shd w:val="clear" w:color="auto" w:fill="auto"/>
            <w:vAlign w:val="bottom"/>
          </w:tcPr>
          <w:p w14:paraId="74DDA737" w14:textId="77777777" w:rsidR="00584EC1" w:rsidRDefault="00584EC1">
            <w:pPr>
              <w:rPr>
                <w:rFonts w:ascii="宋体"/>
                <w:vanish/>
              </w:rPr>
            </w:pPr>
          </w:p>
        </w:tc>
        <w:tc>
          <w:tcPr>
            <w:tcW w:w="0" w:type="auto"/>
            <w:gridSpan w:val="3"/>
            <w:shd w:val="clear" w:color="auto" w:fill="auto"/>
            <w:vAlign w:val="bottom"/>
          </w:tcPr>
          <w:p w14:paraId="74DDA738" w14:textId="77777777" w:rsidR="00584EC1" w:rsidRDefault="00584EC1">
            <w:pPr>
              <w:rPr>
                <w:rFonts w:ascii="宋体"/>
                <w:vanish/>
              </w:rPr>
            </w:pPr>
          </w:p>
        </w:tc>
        <w:tc>
          <w:tcPr>
            <w:tcW w:w="0" w:type="auto"/>
            <w:gridSpan w:val="3"/>
            <w:shd w:val="clear" w:color="auto" w:fill="auto"/>
            <w:vAlign w:val="bottom"/>
          </w:tcPr>
          <w:p w14:paraId="74DDA739" w14:textId="77777777" w:rsidR="00584EC1" w:rsidRDefault="00584EC1">
            <w:pPr>
              <w:rPr>
                <w:rFonts w:ascii="宋体"/>
                <w:vanish/>
              </w:rPr>
            </w:pPr>
          </w:p>
        </w:tc>
        <w:tc>
          <w:tcPr>
            <w:tcW w:w="0" w:type="auto"/>
            <w:gridSpan w:val="3"/>
            <w:shd w:val="clear" w:color="auto" w:fill="auto"/>
            <w:vAlign w:val="bottom"/>
          </w:tcPr>
          <w:p w14:paraId="74DDA73A" w14:textId="77777777" w:rsidR="00584EC1" w:rsidRDefault="00584EC1">
            <w:pPr>
              <w:rPr>
                <w:rFonts w:ascii="宋体"/>
                <w:vanish/>
              </w:rPr>
            </w:pPr>
          </w:p>
        </w:tc>
        <w:tc>
          <w:tcPr>
            <w:tcW w:w="0" w:type="auto"/>
            <w:gridSpan w:val="3"/>
            <w:shd w:val="clear" w:color="auto" w:fill="auto"/>
            <w:vAlign w:val="bottom"/>
          </w:tcPr>
          <w:p w14:paraId="74DDA73B" w14:textId="77777777" w:rsidR="00584EC1" w:rsidRDefault="00584EC1">
            <w:pPr>
              <w:rPr>
                <w:rFonts w:ascii="宋体"/>
                <w:vanish/>
              </w:rPr>
            </w:pPr>
          </w:p>
        </w:tc>
        <w:tc>
          <w:tcPr>
            <w:tcW w:w="0" w:type="auto"/>
            <w:gridSpan w:val="3"/>
            <w:shd w:val="clear" w:color="auto" w:fill="auto"/>
            <w:vAlign w:val="bottom"/>
          </w:tcPr>
          <w:p w14:paraId="74DDA73C" w14:textId="77777777" w:rsidR="00584EC1" w:rsidRDefault="00584EC1">
            <w:pPr>
              <w:rPr>
                <w:rFonts w:ascii="宋体"/>
                <w:vanish/>
              </w:rPr>
            </w:pPr>
          </w:p>
        </w:tc>
        <w:tc>
          <w:tcPr>
            <w:tcW w:w="0" w:type="auto"/>
            <w:gridSpan w:val="3"/>
            <w:shd w:val="clear" w:color="auto" w:fill="auto"/>
            <w:vAlign w:val="bottom"/>
          </w:tcPr>
          <w:p w14:paraId="74DDA73D" w14:textId="77777777" w:rsidR="00584EC1" w:rsidRDefault="00584EC1">
            <w:pPr>
              <w:rPr>
                <w:rFonts w:ascii="宋体"/>
                <w:vanish/>
              </w:rPr>
            </w:pPr>
          </w:p>
        </w:tc>
      </w:tr>
      <w:tr w:rsidR="00584EC1" w14:paraId="74DDA749" w14:textId="77777777">
        <w:tc>
          <w:tcPr>
            <w:tcW w:w="0" w:type="auto"/>
            <w:gridSpan w:val="3"/>
            <w:shd w:val="clear" w:color="auto" w:fill="auto"/>
            <w:tcMar>
              <w:top w:w="0" w:type="dxa"/>
              <w:left w:w="20" w:type="dxa"/>
              <w:bottom w:w="0" w:type="dxa"/>
              <w:right w:w="20" w:type="dxa"/>
            </w:tcMar>
            <w:vAlign w:val="bottom"/>
          </w:tcPr>
          <w:p w14:paraId="74DDA73F" w14:textId="77777777" w:rsidR="00584EC1" w:rsidRDefault="00584EC1">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74DDA740" w14:textId="77777777" w:rsidR="00584EC1" w:rsidRDefault="00871F8D">
            <w:pPr>
              <w:jc w:val="center"/>
              <w:textAlignment w:val="bottom"/>
            </w:pPr>
            <w:r>
              <w:rPr>
                <w:rFonts w:ascii="Arial" w:eastAsia="宋体" w:hAnsi="Arial" w:cs="Arial"/>
                <w:b/>
                <w:bCs/>
                <w:color w:val="000000"/>
                <w:sz w:val="14"/>
                <w:szCs w:val="14"/>
              </w:rPr>
              <w:t>Nine Months Ended September 30,</w:t>
            </w:r>
          </w:p>
        </w:tc>
        <w:tc>
          <w:tcPr>
            <w:tcW w:w="0" w:type="auto"/>
            <w:gridSpan w:val="3"/>
            <w:shd w:val="clear" w:color="auto" w:fill="auto"/>
            <w:vAlign w:val="bottom"/>
          </w:tcPr>
          <w:p w14:paraId="74DDA741" w14:textId="77777777" w:rsidR="00584EC1" w:rsidRDefault="00584EC1">
            <w:pPr>
              <w:rPr>
                <w:rFonts w:ascii="宋体"/>
                <w:vanish/>
              </w:rPr>
            </w:pPr>
          </w:p>
        </w:tc>
        <w:tc>
          <w:tcPr>
            <w:tcW w:w="0" w:type="auto"/>
            <w:gridSpan w:val="3"/>
            <w:shd w:val="clear" w:color="auto" w:fill="auto"/>
            <w:vAlign w:val="bottom"/>
          </w:tcPr>
          <w:p w14:paraId="74DDA742" w14:textId="77777777" w:rsidR="00584EC1" w:rsidRDefault="00584EC1">
            <w:pPr>
              <w:rPr>
                <w:rFonts w:ascii="宋体"/>
                <w:vanish/>
              </w:rPr>
            </w:pPr>
          </w:p>
        </w:tc>
        <w:tc>
          <w:tcPr>
            <w:tcW w:w="0" w:type="auto"/>
            <w:gridSpan w:val="3"/>
            <w:shd w:val="clear" w:color="auto" w:fill="auto"/>
            <w:vAlign w:val="bottom"/>
          </w:tcPr>
          <w:p w14:paraId="74DDA743" w14:textId="77777777" w:rsidR="00584EC1" w:rsidRDefault="00584EC1">
            <w:pPr>
              <w:rPr>
                <w:rFonts w:ascii="宋体"/>
                <w:vanish/>
              </w:rPr>
            </w:pPr>
          </w:p>
        </w:tc>
        <w:tc>
          <w:tcPr>
            <w:tcW w:w="0" w:type="auto"/>
            <w:gridSpan w:val="3"/>
            <w:shd w:val="clear" w:color="auto" w:fill="auto"/>
            <w:vAlign w:val="bottom"/>
          </w:tcPr>
          <w:p w14:paraId="74DDA744" w14:textId="77777777" w:rsidR="00584EC1" w:rsidRDefault="00584EC1">
            <w:pPr>
              <w:rPr>
                <w:rFonts w:ascii="宋体"/>
                <w:vanish/>
              </w:rPr>
            </w:pPr>
          </w:p>
        </w:tc>
        <w:tc>
          <w:tcPr>
            <w:tcW w:w="0" w:type="auto"/>
            <w:gridSpan w:val="3"/>
            <w:shd w:val="clear" w:color="auto" w:fill="auto"/>
            <w:vAlign w:val="bottom"/>
          </w:tcPr>
          <w:p w14:paraId="74DDA745" w14:textId="77777777" w:rsidR="00584EC1" w:rsidRDefault="00584EC1">
            <w:pPr>
              <w:rPr>
                <w:rFonts w:ascii="宋体"/>
                <w:vanish/>
              </w:rPr>
            </w:pPr>
          </w:p>
        </w:tc>
        <w:tc>
          <w:tcPr>
            <w:tcW w:w="0" w:type="auto"/>
            <w:gridSpan w:val="3"/>
            <w:shd w:val="clear" w:color="auto" w:fill="auto"/>
            <w:vAlign w:val="bottom"/>
          </w:tcPr>
          <w:p w14:paraId="74DDA746" w14:textId="77777777" w:rsidR="00584EC1" w:rsidRDefault="00584EC1">
            <w:pPr>
              <w:rPr>
                <w:rFonts w:ascii="宋体"/>
                <w:vanish/>
              </w:rPr>
            </w:pPr>
          </w:p>
        </w:tc>
        <w:tc>
          <w:tcPr>
            <w:tcW w:w="0" w:type="auto"/>
            <w:gridSpan w:val="3"/>
            <w:shd w:val="clear" w:color="auto" w:fill="auto"/>
            <w:vAlign w:val="bottom"/>
          </w:tcPr>
          <w:p w14:paraId="74DDA747" w14:textId="77777777" w:rsidR="00584EC1" w:rsidRDefault="00584EC1">
            <w:pPr>
              <w:rPr>
                <w:rFonts w:ascii="宋体"/>
                <w:vanish/>
              </w:rPr>
            </w:pPr>
          </w:p>
        </w:tc>
        <w:tc>
          <w:tcPr>
            <w:tcW w:w="0" w:type="auto"/>
            <w:gridSpan w:val="3"/>
            <w:shd w:val="clear" w:color="auto" w:fill="auto"/>
            <w:vAlign w:val="bottom"/>
          </w:tcPr>
          <w:p w14:paraId="74DDA748" w14:textId="77777777" w:rsidR="00584EC1" w:rsidRDefault="00584EC1">
            <w:pPr>
              <w:rPr>
                <w:rFonts w:ascii="宋体"/>
                <w:vanish/>
              </w:rPr>
            </w:pPr>
          </w:p>
        </w:tc>
      </w:tr>
      <w:tr w:rsidR="00584EC1" w14:paraId="74DDA756" w14:textId="77777777">
        <w:tc>
          <w:tcPr>
            <w:tcW w:w="0" w:type="auto"/>
            <w:gridSpan w:val="3"/>
            <w:shd w:val="clear" w:color="auto" w:fill="auto"/>
            <w:tcMar>
              <w:top w:w="0" w:type="dxa"/>
              <w:left w:w="20" w:type="dxa"/>
              <w:bottom w:w="0" w:type="dxa"/>
              <w:right w:w="20" w:type="dxa"/>
            </w:tcMar>
            <w:vAlign w:val="bottom"/>
          </w:tcPr>
          <w:p w14:paraId="74DDA74A" w14:textId="77777777" w:rsidR="00584EC1" w:rsidRDefault="00584E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4DDA74B" w14:textId="77777777" w:rsidR="00584EC1" w:rsidRDefault="00871F8D">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A74C" w14:textId="77777777" w:rsidR="00584EC1" w:rsidRDefault="00584E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4DDA74D" w14:textId="77777777" w:rsidR="00584EC1" w:rsidRDefault="00871F8D">
            <w:pPr>
              <w:jc w:val="center"/>
              <w:textAlignment w:val="bottom"/>
            </w:pPr>
            <w:r>
              <w:rPr>
                <w:rFonts w:ascii="Arial" w:eastAsia="宋体" w:hAnsi="Arial" w:cs="Arial"/>
                <w:b/>
                <w:bCs/>
                <w:color w:val="000000"/>
                <w:sz w:val="14"/>
                <w:szCs w:val="14"/>
              </w:rPr>
              <w:t>2020</w:t>
            </w:r>
          </w:p>
        </w:tc>
        <w:tc>
          <w:tcPr>
            <w:tcW w:w="0" w:type="auto"/>
            <w:gridSpan w:val="3"/>
            <w:shd w:val="clear" w:color="auto" w:fill="auto"/>
            <w:vAlign w:val="bottom"/>
          </w:tcPr>
          <w:p w14:paraId="74DDA74E" w14:textId="77777777" w:rsidR="00584EC1" w:rsidRDefault="00584EC1">
            <w:pPr>
              <w:rPr>
                <w:rFonts w:ascii="宋体"/>
                <w:vanish/>
              </w:rPr>
            </w:pPr>
          </w:p>
        </w:tc>
        <w:tc>
          <w:tcPr>
            <w:tcW w:w="0" w:type="auto"/>
            <w:gridSpan w:val="3"/>
            <w:shd w:val="clear" w:color="auto" w:fill="auto"/>
            <w:vAlign w:val="bottom"/>
          </w:tcPr>
          <w:p w14:paraId="74DDA74F" w14:textId="77777777" w:rsidR="00584EC1" w:rsidRDefault="00584EC1">
            <w:pPr>
              <w:rPr>
                <w:rFonts w:ascii="宋体"/>
                <w:vanish/>
              </w:rPr>
            </w:pPr>
          </w:p>
        </w:tc>
        <w:tc>
          <w:tcPr>
            <w:tcW w:w="0" w:type="auto"/>
            <w:gridSpan w:val="3"/>
            <w:shd w:val="clear" w:color="auto" w:fill="auto"/>
            <w:vAlign w:val="bottom"/>
          </w:tcPr>
          <w:p w14:paraId="74DDA750" w14:textId="77777777" w:rsidR="00584EC1" w:rsidRDefault="00584EC1">
            <w:pPr>
              <w:rPr>
                <w:rFonts w:ascii="宋体"/>
                <w:vanish/>
              </w:rPr>
            </w:pPr>
          </w:p>
        </w:tc>
        <w:tc>
          <w:tcPr>
            <w:tcW w:w="0" w:type="auto"/>
            <w:gridSpan w:val="3"/>
            <w:shd w:val="clear" w:color="auto" w:fill="auto"/>
            <w:vAlign w:val="bottom"/>
          </w:tcPr>
          <w:p w14:paraId="74DDA751" w14:textId="77777777" w:rsidR="00584EC1" w:rsidRDefault="00584EC1">
            <w:pPr>
              <w:rPr>
                <w:rFonts w:ascii="宋体"/>
                <w:vanish/>
              </w:rPr>
            </w:pPr>
          </w:p>
        </w:tc>
        <w:tc>
          <w:tcPr>
            <w:tcW w:w="0" w:type="auto"/>
            <w:gridSpan w:val="3"/>
            <w:shd w:val="clear" w:color="auto" w:fill="auto"/>
            <w:vAlign w:val="bottom"/>
          </w:tcPr>
          <w:p w14:paraId="74DDA752" w14:textId="77777777" w:rsidR="00584EC1" w:rsidRDefault="00584EC1">
            <w:pPr>
              <w:rPr>
                <w:rFonts w:ascii="宋体"/>
                <w:vanish/>
              </w:rPr>
            </w:pPr>
          </w:p>
        </w:tc>
        <w:tc>
          <w:tcPr>
            <w:tcW w:w="0" w:type="auto"/>
            <w:gridSpan w:val="3"/>
            <w:shd w:val="clear" w:color="auto" w:fill="auto"/>
            <w:vAlign w:val="bottom"/>
          </w:tcPr>
          <w:p w14:paraId="74DDA753" w14:textId="77777777" w:rsidR="00584EC1" w:rsidRDefault="00584EC1">
            <w:pPr>
              <w:rPr>
                <w:rFonts w:ascii="宋体"/>
                <w:vanish/>
              </w:rPr>
            </w:pPr>
          </w:p>
        </w:tc>
        <w:tc>
          <w:tcPr>
            <w:tcW w:w="0" w:type="auto"/>
            <w:gridSpan w:val="3"/>
            <w:shd w:val="clear" w:color="auto" w:fill="auto"/>
            <w:vAlign w:val="bottom"/>
          </w:tcPr>
          <w:p w14:paraId="74DDA754" w14:textId="77777777" w:rsidR="00584EC1" w:rsidRDefault="00584EC1">
            <w:pPr>
              <w:rPr>
                <w:rFonts w:ascii="宋体"/>
                <w:vanish/>
              </w:rPr>
            </w:pPr>
          </w:p>
        </w:tc>
        <w:tc>
          <w:tcPr>
            <w:tcW w:w="0" w:type="auto"/>
            <w:gridSpan w:val="3"/>
            <w:shd w:val="clear" w:color="auto" w:fill="auto"/>
            <w:vAlign w:val="bottom"/>
          </w:tcPr>
          <w:p w14:paraId="74DDA755" w14:textId="77777777" w:rsidR="00584EC1" w:rsidRDefault="00584EC1">
            <w:pPr>
              <w:rPr>
                <w:rFonts w:ascii="宋体"/>
                <w:vanish/>
              </w:rPr>
            </w:pPr>
          </w:p>
        </w:tc>
      </w:tr>
      <w:tr w:rsidR="00584EC1" w14:paraId="74DDA767" w14:textId="77777777">
        <w:tc>
          <w:tcPr>
            <w:tcW w:w="0" w:type="auto"/>
            <w:gridSpan w:val="3"/>
            <w:shd w:val="clear" w:color="auto" w:fill="auto"/>
            <w:tcMar>
              <w:top w:w="0" w:type="dxa"/>
              <w:left w:w="20" w:type="dxa"/>
              <w:bottom w:w="0" w:type="dxa"/>
              <w:right w:w="20" w:type="dxa"/>
            </w:tcMar>
            <w:vAlign w:val="bottom"/>
          </w:tcPr>
          <w:p w14:paraId="74DDA757"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A758" w14:textId="77777777" w:rsidR="00584EC1" w:rsidRDefault="00871F8D">
            <w:pPr>
              <w:jc w:val="center"/>
              <w:textAlignment w:val="bottom"/>
            </w:pPr>
            <w:r>
              <w:rPr>
                <w:rFonts w:ascii="Arial" w:eastAsia="宋体" w:hAnsi="Arial" w:cs="Arial"/>
                <w:b/>
                <w:bCs/>
                <w:color w:val="000000"/>
                <w:sz w:val="14"/>
                <w:szCs w:val="14"/>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A759"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A75A" w14:textId="77777777" w:rsidR="00584EC1" w:rsidRDefault="00871F8D">
            <w:pPr>
              <w:jc w:val="center"/>
              <w:textAlignment w:val="bottom"/>
            </w:pPr>
            <w:r>
              <w:rPr>
                <w:rFonts w:ascii="Arial" w:eastAsia="宋体" w:hAnsi="Arial" w:cs="Arial"/>
                <w:b/>
                <w:bCs/>
                <w:color w:val="000000"/>
                <w:sz w:val="14"/>
                <w:szCs w:val="14"/>
              </w:rPr>
              <w:t>Total (In millions)</w:t>
            </w:r>
          </w:p>
        </w:tc>
        <w:tc>
          <w:tcPr>
            <w:tcW w:w="0" w:type="auto"/>
            <w:gridSpan w:val="3"/>
            <w:shd w:val="clear" w:color="auto" w:fill="auto"/>
            <w:tcMar>
              <w:top w:w="0" w:type="dxa"/>
              <w:left w:w="20" w:type="dxa"/>
              <w:bottom w:w="0" w:type="dxa"/>
              <w:right w:w="20" w:type="dxa"/>
            </w:tcMar>
            <w:vAlign w:val="bottom"/>
          </w:tcPr>
          <w:p w14:paraId="74DDA75B"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A75C" w14:textId="77777777" w:rsidR="00584EC1" w:rsidRDefault="00871F8D">
            <w:pPr>
              <w:jc w:val="center"/>
              <w:textAlignment w:val="bottom"/>
            </w:pPr>
            <w:r>
              <w:rPr>
                <w:rFonts w:ascii="Arial" w:eastAsia="宋体" w:hAnsi="Arial" w:cs="Arial"/>
                <w:b/>
                <w:bCs/>
                <w:color w:val="000000"/>
                <w:sz w:val="14"/>
                <w:szCs w:val="14"/>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A75D"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A75E" w14:textId="77777777" w:rsidR="00584EC1" w:rsidRDefault="00871F8D">
            <w:pPr>
              <w:jc w:val="center"/>
              <w:textAlignment w:val="bottom"/>
            </w:pPr>
            <w:r>
              <w:rPr>
                <w:rFonts w:ascii="Arial" w:eastAsia="宋体" w:hAnsi="Arial" w:cs="Arial"/>
                <w:b/>
                <w:bCs/>
                <w:color w:val="000000"/>
                <w:sz w:val="14"/>
                <w:szCs w:val="14"/>
              </w:rPr>
              <w:t>Total (In millions)</w:t>
            </w:r>
          </w:p>
        </w:tc>
        <w:tc>
          <w:tcPr>
            <w:tcW w:w="0" w:type="auto"/>
            <w:gridSpan w:val="3"/>
            <w:shd w:val="clear" w:color="auto" w:fill="auto"/>
            <w:vAlign w:val="bottom"/>
          </w:tcPr>
          <w:p w14:paraId="74DDA75F" w14:textId="77777777" w:rsidR="00584EC1" w:rsidRDefault="00584EC1">
            <w:pPr>
              <w:rPr>
                <w:rFonts w:ascii="宋体"/>
                <w:vanish/>
              </w:rPr>
            </w:pPr>
          </w:p>
        </w:tc>
        <w:tc>
          <w:tcPr>
            <w:tcW w:w="0" w:type="auto"/>
            <w:gridSpan w:val="3"/>
            <w:shd w:val="clear" w:color="auto" w:fill="auto"/>
            <w:vAlign w:val="bottom"/>
          </w:tcPr>
          <w:p w14:paraId="74DDA760" w14:textId="77777777" w:rsidR="00584EC1" w:rsidRDefault="00584EC1">
            <w:pPr>
              <w:rPr>
                <w:rFonts w:ascii="宋体"/>
                <w:vanish/>
              </w:rPr>
            </w:pPr>
          </w:p>
        </w:tc>
        <w:tc>
          <w:tcPr>
            <w:tcW w:w="0" w:type="auto"/>
            <w:gridSpan w:val="3"/>
            <w:shd w:val="clear" w:color="auto" w:fill="auto"/>
            <w:vAlign w:val="bottom"/>
          </w:tcPr>
          <w:p w14:paraId="74DDA761" w14:textId="77777777" w:rsidR="00584EC1" w:rsidRDefault="00584EC1">
            <w:pPr>
              <w:rPr>
                <w:rFonts w:ascii="宋体"/>
                <w:vanish/>
              </w:rPr>
            </w:pPr>
          </w:p>
        </w:tc>
        <w:tc>
          <w:tcPr>
            <w:tcW w:w="0" w:type="auto"/>
            <w:gridSpan w:val="3"/>
            <w:shd w:val="clear" w:color="auto" w:fill="auto"/>
            <w:vAlign w:val="bottom"/>
          </w:tcPr>
          <w:p w14:paraId="74DDA762" w14:textId="77777777" w:rsidR="00584EC1" w:rsidRDefault="00584EC1">
            <w:pPr>
              <w:rPr>
                <w:rFonts w:ascii="宋体"/>
                <w:vanish/>
              </w:rPr>
            </w:pPr>
          </w:p>
        </w:tc>
        <w:tc>
          <w:tcPr>
            <w:tcW w:w="0" w:type="auto"/>
            <w:gridSpan w:val="3"/>
            <w:shd w:val="clear" w:color="auto" w:fill="auto"/>
            <w:vAlign w:val="bottom"/>
          </w:tcPr>
          <w:p w14:paraId="74DDA763" w14:textId="77777777" w:rsidR="00584EC1" w:rsidRDefault="00584EC1">
            <w:pPr>
              <w:rPr>
                <w:rFonts w:ascii="宋体"/>
                <w:vanish/>
              </w:rPr>
            </w:pPr>
          </w:p>
        </w:tc>
        <w:tc>
          <w:tcPr>
            <w:tcW w:w="0" w:type="auto"/>
            <w:gridSpan w:val="3"/>
            <w:shd w:val="clear" w:color="auto" w:fill="auto"/>
            <w:vAlign w:val="bottom"/>
          </w:tcPr>
          <w:p w14:paraId="74DDA764" w14:textId="77777777" w:rsidR="00584EC1" w:rsidRDefault="00584EC1">
            <w:pPr>
              <w:rPr>
                <w:rFonts w:ascii="宋体"/>
                <w:vanish/>
              </w:rPr>
            </w:pPr>
          </w:p>
        </w:tc>
        <w:tc>
          <w:tcPr>
            <w:tcW w:w="0" w:type="auto"/>
            <w:gridSpan w:val="3"/>
            <w:shd w:val="clear" w:color="auto" w:fill="auto"/>
            <w:vAlign w:val="bottom"/>
          </w:tcPr>
          <w:p w14:paraId="74DDA765" w14:textId="77777777" w:rsidR="00584EC1" w:rsidRDefault="00584EC1">
            <w:pPr>
              <w:rPr>
                <w:rFonts w:ascii="宋体"/>
                <w:vanish/>
              </w:rPr>
            </w:pPr>
          </w:p>
        </w:tc>
        <w:tc>
          <w:tcPr>
            <w:tcW w:w="0" w:type="auto"/>
            <w:gridSpan w:val="3"/>
            <w:shd w:val="clear" w:color="auto" w:fill="auto"/>
            <w:vAlign w:val="bottom"/>
          </w:tcPr>
          <w:p w14:paraId="74DDA766" w14:textId="77777777" w:rsidR="00584EC1" w:rsidRDefault="00584EC1">
            <w:pPr>
              <w:rPr>
                <w:rFonts w:ascii="宋体"/>
                <w:vanish/>
              </w:rPr>
            </w:pPr>
          </w:p>
        </w:tc>
      </w:tr>
      <w:tr w:rsidR="00584EC1" w14:paraId="74DDA780" w14:textId="77777777">
        <w:tc>
          <w:tcPr>
            <w:tcW w:w="0" w:type="auto"/>
            <w:gridSpan w:val="3"/>
            <w:shd w:val="clear" w:color="auto" w:fill="CCEEFF"/>
            <w:tcMar>
              <w:top w:w="40" w:type="dxa"/>
              <w:left w:w="20" w:type="dxa"/>
              <w:bottom w:w="40" w:type="dxa"/>
              <w:right w:w="20" w:type="dxa"/>
            </w:tcMar>
            <w:vAlign w:val="bottom"/>
          </w:tcPr>
          <w:p w14:paraId="74DDA768" w14:textId="77777777" w:rsidR="00584EC1" w:rsidRDefault="00871F8D">
            <w:pPr>
              <w:textAlignment w:val="bottom"/>
            </w:pPr>
            <w:r>
              <w:rPr>
                <w:rFonts w:ascii="Arial" w:eastAsia="宋体" w:hAnsi="Arial" w:cs="Arial"/>
                <w:color w:val="000000"/>
                <w:sz w:val="14"/>
                <w:szCs w:val="14"/>
              </w:rPr>
              <w:t>Common Stock</w:t>
            </w:r>
          </w:p>
        </w:tc>
        <w:tc>
          <w:tcPr>
            <w:tcW w:w="0" w:type="auto"/>
            <w:tcBorders>
              <w:top w:val="single" w:sz="8" w:space="0" w:color="000000"/>
            </w:tcBorders>
            <w:shd w:val="clear" w:color="auto" w:fill="CCEEFF"/>
            <w:tcMar>
              <w:top w:w="40" w:type="dxa"/>
              <w:left w:w="20" w:type="dxa"/>
              <w:bottom w:w="40" w:type="dxa"/>
              <w:right w:w="0" w:type="dxa"/>
            </w:tcMar>
            <w:vAlign w:val="bottom"/>
          </w:tcPr>
          <w:p w14:paraId="74DDA769"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A76A" w14:textId="77777777" w:rsidR="00584EC1" w:rsidRDefault="00871F8D">
            <w:pPr>
              <w:jc w:val="right"/>
              <w:textAlignment w:val="bottom"/>
            </w:pPr>
            <w:r>
              <w:rPr>
                <w:rFonts w:ascii="Arial" w:eastAsia="宋体" w:hAnsi="Arial" w:cs="Arial"/>
                <w:b/>
                <w:bCs/>
                <w:color w:val="000000"/>
                <w:sz w:val="14"/>
                <w:szCs w:val="14"/>
              </w:rPr>
              <w:t>1.61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A76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76C"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A76D"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A76E" w14:textId="77777777" w:rsidR="00584EC1" w:rsidRDefault="00871F8D">
            <w:pPr>
              <w:jc w:val="right"/>
              <w:textAlignment w:val="bottom"/>
            </w:pPr>
            <w:r>
              <w:rPr>
                <w:rFonts w:ascii="Arial" w:eastAsia="宋体" w:hAnsi="Arial" w:cs="Arial"/>
                <w:b/>
                <w:bCs/>
                <w:color w:val="000000"/>
                <w:sz w:val="14"/>
                <w:szCs w:val="14"/>
              </w:rPr>
              <w:t>570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A76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770"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A771"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A772" w14:textId="77777777" w:rsidR="00584EC1" w:rsidRDefault="00871F8D">
            <w:pPr>
              <w:jc w:val="right"/>
              <w:textAlignment w:val="bottom"/>
            </w:pPr>
            <w:r>
              <w:rPr>
                <w:rFonts w:ascii="Arial" w:eastAsia="宋体" w:hAnsi="Arial" w:cs="Arial"/>
                <w:color w:val="000000"/>
                <w:sz w:val="14"/>
                <w:szCs w:val="14"/>
              </w:rPr>
              <w:t>1.56 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A77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774"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A775"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A776" w14:textId="77777777" w:rsidR="00584EC1" w:rsidRDefault="00871F8D">
            <w:pPr>
              <w:jc w:val="right"/>
              <w:textAlignment w:val="bottom"/>
            </w:pPr>
            <w:r>
              <w:rPr>
                <w:rFonts w:ascii="Arial" w:eastAsia="宋体" w:hAnsi="Arial" w:cs="Arial"/>
                <w:color w:val="000000"/>
                <w:sz w:val="14"/>
                <w:szCs w:val="14"/>
              </w:rPr>
              <w:t>550 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A777" w14:textId="77777777" w:rsidR="00584EC1" w:rsidRDefault="00584EC1">
            <w:pPr>
              <w:jc w:val="right"/>
              <w:rPr>
                <w:rFonts w:ascii="宋体"/>
              </w:rPr>
            </w:pPr>
          </w:p>
        </w:tc>
        <w:tc>
          <w:tcPr>
            <w:tcW w:w="0" w:type="auto"/>
            <w:gridSpan w:val="3"/>
            <w:shd w:val="clear" w:color="auto" w:fill="auto"/>
            <w:vAlign w:val="bottom"/>
          </w:tcPr>
          <w:p w14:paraId="74DDA778" w14:textId="77777777" w:rsidR="00584EC1" w:rsidRDefault="00584EC1">
            <w:pPr>
              <w:rPr>
                <w:rFonts w:ascii="宋体"/>
                <w:vanish/>
              </w:rPr>
            </w:pPr>
          </w:p>
        </w:tc>
        <w:tc>
          <w:tcPr>
            <w:tcW w:w="0" w:type="auto"/>
            <w:gridSpan w:val="3"/>
            <w:shd w:val="clear" w:color="auto" w:fill="auto"/>
            <w:vAlign w:val="bottom"/>
          </w:tcPr>
          <w:p w14:paraId="74DDA779" w14:textId="77777777" w:rsidR="00584EC1" w:rsidRDefault="00584EC1">
            <w:pPr>
              <w:rPr>
                <w:rFonts w:ascii="宋体"/>
                <w:vanish/>
              </w:rPr>
            </w:pPr>
          </w:p>
        </w:tc>
        <w:tc>
          <w:tcPr>
            <w:tcW w:w="0" w:type="auto"/>
            <w:gridSpan w:val="3"/>
            <w:shd w:val="clear" w:color="auto" w:fill="auto"/>
            <w:vAlign w:val="bottom"/>
          </w:tcPr>
          <w:p w14:paraId="74DDA77A" w14:textId="77777777" w:rsidR="00584EC1" w:rsidRDefault="00584EC1">
            <w:pPr>
              <w:rPr>
                <w:rFonts w:ascii="宋体"/>
                <w:vanish/>
              </w:rPr>
            </w:pPr>
          </w:p>
        </w:tc>
        <w:tc>
          <w:tcPr>
            <w:tcW w:w="0" w:type="auto"/>
            <w:gridSpan w:val="3"/>
            <w:shd w:val="clear" w:color="auto" w:fill="auto"/>
            <w:vAlign w:val="bottom"/>
          </w:tcPr>
          <w:p w14:paraId="74DDA77B" w14:textId="77777777" w:rsidR="00584EC1" w:rsidRDefault="00584EC1">
            <w:pPr>
              <w:rPr>
                <w:rFonts w:ascii="宋体"/>
                <w:vanish/>
              </w:rPr>
            </w:pPr>
          </w:p>
        </w:tc>
        <w:tc>
          <w:tcPr>
            <w:tcW w:w="0" w:type="auto"/>
            <w:gridSpan w:val="3"/>
            <w:shd w:val="clear" w:color="auto" w:fill="auto"/>
            <w:vAlign w:val="bottom"/>
          </w:tcPr>
          <w:p w14:paraId="74DDA77C" w14:textId="77777777" w:rsidR="00584EC1" w:rsidRDefault="00584EC1">
            <w:pPr>
              <w:rPr>
                <w:rFonts w:ascii="宋体"/>
                <w:vanish/>
              </w:rPr>
            </w:pPr>
          </w:p>
        </w:tc>
        <w:tc>
          <w:tcPr>
            <w:tcW w:w="0" w:type="auto"/>
            <w:gridSpan w:val="3"/>
            <w:shd w:val="clear" w:color="auto" w:fill="auto"/>
            <w:vAlign w:val="bottom"/>
          </w:tcPr>
          <w:p w14:paraId="74DDA77D" w14:textId="77777777" w:rsidR="00584EC1" w:rsidRDefault="00584EC1">
            <w:pPr>
              <w:rPr>
                <w:rFonts w:ascii="宋体"/>
                <w:vanish/>
              </w:rPr>
            </w:pPr>
          </w:p>
        </w:tc>
        <w:tc>
          <w:tcPr>
            <w:tcW w:w="0" w:type="auto"/>
            <w:gridSpan w:val="3"/>
            <w:shd w:val="clear" w:color="auto" w:fill="auto"/>
            <w:vAlign w:val="bottom"/>
          </w:tcPr>
          <w:p w14:paraId="74DDA77E" w14:textId="77777777" w:rsidR="00584EC1" w:rsidRDefault="00584EC1">
            <w:pPr>
              <w:rPr>
                <w:rFonts w:ascii="宋体"/>
                <w:vanish/>
              </w:rPr>
            </w:pPr>
          </w:p>
        </w:tc>
        <w:tc>
          <w:tcPr>
            <w:tcW w:w="0" w:type="auto"/>
            <w:gridSpan w:val="3"/>
            <w:shd w:val="clear" w:color="auto" w:fill="auto"/>
            <w:vAlign w:val="bottom"/>
          </w:tcPr>
          <w:p w14:paraId="74DDA77F" w14:textId="77777777" w:rsidR="00584EC1" w:rsidRDefault="00584EC1">
            <w:pPr>
              <w:rPr>
                <w:rFonts w:ascii="宋体"/>
                <w:vanish/>
              </w:rPr>
            </w:pPr>
          </w:p>
        </w:tc>
      </w:tr>
      <w:tr w:rsidR="00584EC1" w14:paraId="74DDA791" w14:textId="77777777">
        <w:trPr>
          <w:trHeight w:val="60"/>
        </w:trPr>
        <w:tc>
          <w:tcPr>
            <w:tcW w:w="0" w:type="auto"/>
            <w:gridSpan w:val="3"/>
            <w:shd w:val="clear" w:color="auto" w:fill="auto"/>
            <w:tcMar>
              <w:top w:w="0" w:type="dxa"/>
              <w:left w:w="20" w:type="dxa"/>
              <w:bottom w:w="0" w:type="dxa"/>
              <w:right w:w="20" w:type="dxa"/>
            </w:tcMar>
            <w:vAlign w:val="bottom"/>
          </w:tcPr>
          <w:p w14:paraId="74DDA781"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A78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A783"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A784"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A78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A786"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A787"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A788" w14:textId="77777777" w:rsidR="00584EC1" w:rsidRDefault="00584EC1">
            <w:pPr>
              <w:rPr>
                <w:rFonts w:ascii="宋体"/>
              </w:rPr>
            </w:pPr>
          </w:p>
        </w:tc>
        <w:tc>
          <w:tcPr>
            <w:tcW w:w="0" w:type="auto"/>
            <w:gridSpan w:val="3"/>
            <w:shd w:val="clear" w:color="auto" w:fill="auto"/>
            <w:vAlign w:val="bottom"/>
          </w:tcPr>
          <w:p w14:paraId="74DDA789" w14:textId="77777777" w:rsidR="00584EC1" w:rsidRDefault="00584EC1">
            <w:pPr>
              <w:rPr>
                <w:rFonts w:ascii="宋体"/>
                <w:vanish/>
              </w:rPr>
            </w:pPr>
          </w:p>
        </w:tc>
        <w:tc>
          <w:tcPr>
            <w:tcW w:w="0" w:type="auto"/>
            <w:gridSpan w:val="3"/>
            <w:shd w:val="clear" w:color="auto" w:fill="auto"/>
            <w:vAlign w:val="bottom"/>
          </w:tcPr>
          <w:p w14:paraId="74DDA78A" w14:textId="77777777" w:rsidR="00584EC1" w:rsidRDefault="00584EC1">
            <w:pPr>
              <w:rPr>
                <w:rFonts w:ascii="宋体"/>
                <w:vanish/>
              </w:rPr>
            </w:pPr>
          </w:p>
        </w:tc>
        <w:tc>
          <w:tcPr>
            <w:tcW w:w="0" w:type="auto"/>
            <w:gridSpan w:val="3"/>
            <w:shd w:val="clear" w:color="auto" w:fill="auto"/>
            <w:vAlign w:val="bottom"/>
          </w:tcPr>
          <w:p w14:paraId="74DDA78B" w14:textId="77777777" w:rsidR="00584EC1" w:rsidRDefault="00584EC1">
            <w:pPr>
              <w:rPr>
                <w:rFonts w:ascii="宋体"/>
                <w:vanish/>
              </w:rPr>
            </w:pPr>
          </w:p>
        </w:tc>
        <w:tc>
          <w:tcPr>
            <w:tcW w:w="0" w:type="auto"/>
            <w:gridSpan w:val="3"/>
            <w:shd w:val="clear" w:color="auto" w:fill="auto"/>
            <w:vAlign w:val="bottom"/>
          </w:tcPr>
          <w:p w14:paraId="74DDA78C" w14:textId="77777777" w:rsidR="00584EC1" w:rsidRDefault="00584EC1">
            <w:pPr>
              <w:rPr>
                <w:rFonts w:ascii="宋体"/>
                <w:vanish/>
              </w:rPr>
            </w:pPr>
          </w:p>
        </w:tc>
        <w:tc>
          <w:tcPr>
            <w:tcW w:w="0" w:type="auto"/>
            <w:gridSpan w:val="3"/>
            <w:shd w:val="clear" w:color="auto" w:fill="auto"/>
            <w:vAlign w:val="bottom"/>
          </w:tcPr>
          <w:p w14:paraId="74DDA78D" w14:textId="77777777" w:rsidR="00584EC1" w:rsidRDefault="00584EC1">
            <w:pPr>
              <w:rPr>
                <w:rFonts w:ascii="宋体"/>
                <w:vanish/>
              </w:rPr>
            </w:pPr>
          </w:p>
        </w:tc>
        <w:tc>
          <w:tcPr>
            <w:tcW w:w="0" w:type="auto"/>
            <w:gridSpan w:val="3"/>
            <w:shd w:val="clear" w:color="auto" w:fill="auto"/>
            <w:vAlign w:val="bottom"/>
          </w:tcPr>
          <w:p w14:paraId="74DDA78E" w14:textId="77777777" w:rsidR="00584EC1" w:rsidRDefault="00584EC1">
            <w:pPr>
              <w:rPr>
                <w:rFonts w:ascii="宋体"/>
                <w:vanish/>
              </w:rPr>
            </w:pPr>
          </w:p>
        </w:tc>
        <w:tc>
          <w:tcPr>
            <w:tcW w:w="0" w:type="auto"/>
            <w:gridSpan w:val="3"/>
            <w:shd w:val="clear" w:color="auto" w:fill="auto"/>
            <w:vAlign w:val="bottom"/>
          </w:tcPr>
          <w:p w14:paraId="74DDA78F" w14:textId="77777777" w:rsidR="00584EC1" w:rsidRDefault="00584EC1">
            <w:pPr>
              <w:rPr>
                <w:rFonts w:ascii="宋体"/>
                <w:vanish/>
              </w:rPr>
            </w:pPr>
          </w:p>
        </w:tc>
        <w:tc>
          <w:tcPr>
            <w:tcW w:w="0" w:type="auto"/>
            <w:gridSpan w:val="3"/>
            <w:shd w:val="clear" w:color="auto" w:fill="auto"/>
            <w:vAlign w:val="bottom"/>
          </w:tcPr>
          <w:p w14:paraId="74DDA790" w14:textId="77777777" w:rsidR="00584EC1" w:rsidRDefault="00584EC1">
            <w:pPr>
              <w:rPr>
                <w:rFonts w:ascii="宋体"/>
                <w:vanish/>
              </w:rPr>
            </w:pPr>
          </w:p>
        </w:tc>
      </w:tr>
      <w:tr w:rsidR="00584EC1" w14:paraId="74DDA7A2" w14:textId="77777777">
        <w:trPr>
          <w:hidden/>
        </w:trPr>
        <w:tc>
          <w:tcPr>
            <w:tcW w:w="0" w:type="auto"/>
            <w:gridSpan w:val="3"/>
            <w:shd w:val="clear" w:color="auto" w:fill="auto"/>
            <w:vAlign w:val="bottom"/>
          </w:tcPr>
          <w:p w14:paraId="74DDA792" w14:textId="77777777" w:rsidR="00584EC1" w:rsidRDefault="00584EC1">
            <w:pPr>
              <w:rPr>
                <w:rFonts w:ascii="宋体"/>
                <w:vanish/>
              </w:rPr>
            </w:pPr>
          </w:p>
        </w:tc>
        <w:tc>
          <w:tcPr>
            <w:tcW w:w="0" w:type="auto"/>
            <w:gridSpan w:val="3"/>
            <w:shd w:val="clear" w:color="auto" w:fill="auto"/>
            <w:vAlign w:val="bottom"/>
          </w:tcPr>
          <w:p w14:paraId="74DDA793" w14:textId="77777777" w:rsidR="00584EC1" w:rsidRDefault="00584EC1">
            <w:pPr>
              <w:rPr>
                <w:rFonts w:ascii="宋体"/>
                <w:vanish/>
              </w:rPr>
            </w:pPr>
          </w:p>
        </w:tc>
        <w:tc>
          <w:tcPr>
            <w:tcW w:w="0" w:type="auto"/>
            <w:gridSpan w:val="3"/>
            <w:shd w:val="clear" w:color="auto" w:fill="auto"/>
            <w:vAlign w:val="bottom"/>
          </w:tcPr>
          <w:p w14:paraId="74DDA794" w14:textId="77777777" w:rsidR="00584EC1" w:rsidRDefault="00584EC1">
            <w:pPr>
              <w:rPr>
                <w:rFonts w:ascii="宋体"/>
                <w:vanish/>
              </w:rPr>
            </w:pPr>
          </w:p>
        </w:tc>
        <w:tc>
          <w:tcPr>
            <w:tcW w:w="0" w:type="auto"/>
            <w:gridSpan w:val="3"/>
            <w:shd w:val="clear" w:color="auto" w:fill="auto"/>
            <w:vAlign w:val="bottom"/>
          </w:tcPr>
          <w:p w14:paraId="74DDA795" w14:textId="77777777" w:rsidR="00584EC1" w:rsidRDefault="00584EC1">
            <w:pPr>
              <w:rPr>
                <w:rFonts w:ascii="宋体"/>
                <w:vanish/>
              </w:rPr>
            </w:pPr>
          </w:p>
        </w:tc>
        <w:tc>
          <w:tcPr>
            <w:tcW w:w="0" w:type="auto"/>
            <w:gridSpan w:val="3"/>
            <w:shd w:val="clear" w:color="auto" w:fill="auto"/>
            <w:vAlign w:val="bottom"/>
          </w:tcPr>
          <w:p w14:paraId="74DDA796" w14:textId="77777777" w:rsidR="00584EC1" w:rsidRDefault="00584EC1">
            <w:pPr>
              <w:rPr>
                <w:rFonts w:ascii="宋体"/>
                <w:vanish/>
              </w:rPr>
            </w:pPr>
          </w:p>
        </w:tc>
        <w:tc>
          <w:tcPr>
            <w:tcW w:w="0" w:type="auto"/>
            <w:gridSpan w:val="3"/>
            <w:shd w:val="clear" w:color="auto" w:fill="auto"/>
            <w:vAlign w:val="bottom"/>
          </w:tcPr>
          <w:p w14:paraId="74DDA797" w14:textId="77777777" w:rsidR="00584EC1" w:rsidRDefault="00584EC1">
            <w:pPr>
              <w:rPr>
                <w:rFonts w:ascii="宋体"/>
                <w:vanish/>
              </w:rPr>
            </w:pPr>
          </w:p>
        </w:tc>
        <w:tc>
          <w:tcPr>
            <w:tcW w:w="0" w:type="auto"/>
            <w:gridSpan w:val="3"/>
            <w:shd w:val="clear" w:color="auto" w:fill="auto"/>
            <w:vAlign w:val="bottom"/>
          </w:tcPr>
          <w:p w14:paraId="74DDA798" w14:textId="77777777" w:rsidR="00584EC1" w:rsidRDefault="00584EC1">
            <w:pPr>
              <w:rPr>
                <w:rFonts w:ascii="宋体"/>
                <w:vanish/>
              </w:rPr>
            </w:pPr>
          </w:p>
        </w:tc>
        <w:tc>
          <w:tcPr>
            <w:tcW w:w="0" w:type="auto"/>
            <w:gridSpan w:val="3"/>
            <w:shd w:val="clear" w:color="auto" w:fill="auto"/>
            <w:vAlign w:val="bottom"/>
          </w:tcPr>
          <w:p w14:paraId="74DDA799" w14:textId="77777777" w:rsidR="00584EC1" w:rsidRDefault="00584EC1">
            <w:pPr>
              <w:rPr>
                <w:rFonts w:ascii="宋体"/>
                <w:vanish/>
              </w:rPr>
            </w:pPr>
          </w:p>
        </w:tc>
        <w:tc>
          <w:tcPr>
            <w:tcW w:w="0" w:type="auto"/>
            <w:gridSpan w:val="3"/>
            <w:shd w:val="clear" w:color="auto" w:fill="auto"/>
            <w:vAlign w:val="bottom"/>
          </w:tcPr>
          <w:p w14:paraId="74DDA79A" w14:textId="77777777" w:rsidR="00584EC1" w:rsidRDefault="00584EC1">
            <w:pPr>
              <w:rPr>
                <w:rFonts w:ascii="宋体"/>
                <w:vanish/>
              </w:rPr>
            </w:pPr>
          </w:p>
        </w:tc>
        <w:tc>
          <w:tcPr>
            <w:tcW w:w="0" w:type="auto"/>
            <w:gridSpan w:val="3"/>
            <w:shd w:val="clear" w:color="auto" w:fill="auto"/>
            <w:vAlign w:val="bottom"/>
          </w:tcPr>
          <w:p w14:paraId="74DDA79B" w14:textId="77777777" w:rsidR="00584EC1" w:rsidRDefault="00584EC1">
            <w:pPr>
              <w:rPr>
                <w:rFonts w:ascii="宋体"/>
                <w:vanish/>
              </w:rPr>
            </w:pPr>
          </w:p>
        </w:tc>
        <w:tc>
          <w:tcPr>
            <w:tcW w:w="0" w:type="auto"/>
            <w:gridSpan w:val="3"/>
            <w:shd w:val="clear" w:color="auto" w:fill="auto"/>
            <w:vAlign w:val="bottom"/>
          </w:tcPr>
          <w:p w14:paraId="74DDA79C" w14:textId="77777777" w:rsidR="00584EC1" w:rsidRDefault="00584EC1">
            <w:pPr>
              <w:rPr>
                <w:rFonts w:ascii="宋体"/>
                <w:vanish/>
              </w:rPr>
            </w:pPr>
          </w:p>
        </w:tc>
        <w:tc>
          <w:tcPr>
            <w:tcW w:w="0" w:type="auto"/>
            <w:gridSpan w:val="3"/>
            <w:shd w:val="clear" w:color="auto" w:fill="auto"/>
            <w:vAlign w:val="bottom"/>
          </w:tcPr>
          <w:p w14:paraId="74DDA79D" w14:textId="77777777" w:rsidR="00584EC1" w:rsidRDefault="00584EC1">
            <w:pPr>
              <w:rPr>
                <w:rFonts w:ascii="宋体"/>
                <w:vanish/>
              </w:rPr>
            </w:pPr>
          </w:p>
        </w:tc>
        <w:tc>
          <w:tcPr>
            <w:tcW w:w="0" w:type="auto"/>
            <w:gridSpan w:val="3"/>
            <w:shd w:val="clear" w:color="auto" w:fill="auto"/>
            <w:vAlign w:val="bottom"/>
          </w:tcPr>
          <w:p w14:paraId="74DDA79E" w14:textId="77777777" w:rsidR="00584EC1" w:rsidRDefault="00584EC1">
            <w:pPr>
              <w:rPr>
                <w:rFonts w:ascii="宋体"/>
                <w:vanish/>
              </w:rPr>
            </w:pPr>
          </w:p>
        </w:tc>
        <w:tc>
          <w:tcPr>
            <w:tcW w:w="0" w:type="auto"/>
            <w:gridSpan w:val="3"/>
            <w:shd w:val="clear" w:color="auto" w:fill="auto"/>
            <w:vAlign w:val="bottom"/>
          </w:tcPr>
          <w:p w14:paraId="74DDA79F" w14:textId="77777777" w:rsidR="00584EC1" w:rsidRDefault="00584EC1">
            <w:pPr>
              <w:rPr>
                <w:rFonts w:ascii="宋体"/>
                <w:vanish/>
              </w:rPr>
            </w:pPr>
          </w:p>
        </w:tc>
        <w:tc>
          <w:tcPr>
            <w:tcW w:w="0" w:type="auto"/>
            <w:gridSpan w:val="3"/>
            <w:shd w:val="clear" w:color="auto" w:fill="auto"/>
            <w:vAlign w:val="bottom"/>
          </w:tcPr>
          <w:p w14:paraId="74DDA7A0" w14:textId="77777777" w:rsidR="00584EC1" w:rsidRDefault="00584EC1">
            <w:pPr>
              <w:rPr>
                <w:rFonts w:ascii="宋体"/>
                <w:vanish/>
              </w:rPr>
            </w:pPr>
          </w:p>
        </w:tc>
        <w:tc>
          <w:tcPr>
            <w:tcW w:w="0" w:type="auto"/>
            <w:gridSpan w:val="3"/>
            <w:shd w:val="clear" w:color="auto" w:fill="auto"/>
            <w:vAlign w:val="bottom"/>
          </w:tcPr>
          <w:p w14:paraId="74DDA7A1" w14:textId="77777777" w:rsidR="00584EC1" w:rsidRDefault="00584EC1">
            <w:pPr>
              <w:rPr>
                <w:rFonts w:ascii="宋体"/>
                <w:vanish/>
              </w:rPr>
            </w:pPr>
          </w:p>
        </w:tc>
      </w:tr>
      <w:tr w:rsidR="00584EC1" w14:paraId="74DDA7B3" w14:textId="77777777">
        <w:trPr>
          <w:hidden/>
        </w:trPr>
        <w:tc>
          <w:tcPr>
            <w:tcW w:w="0" w:type="auto"/>
            <w:gridSpan w:val="3"/>
            <w:shd w:val="clear" w:color="auto" w:fill="auto"/>
            <w:vAlign w:val="bottom"/>
          </w:tcPr>
          <w:p w14:paraId="74DDA7A3" w14:textId="77777777" w:rsidR="00584EC1" w:rsidRDefault="00584EC1">
            <w:pPr>
              <w:rPr>
                <w:rFonts w:ascii="宋体"/>
                <w:vanish/>
              </w:rPr>
            </w:pPr>
          </w:p>
        </w:tc>
        <w:tc>
          <w:tcPr>
            <w:tcW w:w="0" w:type="auto"/>
            <w:gridSpan w:val="3"/>
            <w:shd w:val="clear" w:color="auto" w:fill="auto"/>
            <w:vAlign w:val="bottom"/>
          </w:tcPr>
          <w:p w14:paraId="74DDA7A4" w14:textId="77777777" w:rsidR="00584EC1" w:rsidRDefault="00584EC1">
            <w:pPr>
              <w:rPr>
                <w:rFonts w:ascii="宋体"/>
                <w:vanish/>
              </w:rPr>
            </w:pPr>
          </w:p>
        </w:tc>
        <w:tc>
          <w:tcPr>
            <w:tcW w:w="0" w:type="auto"/>
            <w:gridSpan w:val="3"/>
            <w:shd w:val="clear" w:color="auto" w:fill="auto"/>
            <w:vAlign w:val="bottom"/>
          </w:tcPr>
          <w:p w14:paraId="74DDA7A5" w14:textId="77777777" w:rsidR="00584EC1" w:rsidRDefault="00584EC1">
            <w:pPr>
              <w:rPr>
                <w:rFonts w:ascii="宋体"/>
                <w:vanish/>
              </w:rPr>
            </w:pPr>
          </w:p>
        </w:tc>
        <w:tc>
          <w:tcPr>
            <w:tcW w:w="0" w:type="auto"/>
            <w:gridSpan w:val="3"/>
            <w:shd w:val="clear" w:color="auto" w:fill="auto"/>
            <w:vAlign w:val="bottom"/>
          </w:tcPr>
          <w:p w14:paraId="74DDA7A6" w14:textId="77777777" w:rsidR="00584EC1" w:rsidRDefault="00584EC1">
            <w:pPr>
              <w:rPr>
                <w:rFonts w:ascii="宋体"/>
                <w:vanish/>
              </w:rPr>
            </w:pPr>
          </w:p>
        </w:tc>
        <w:tc>
          <w:tcPr>
            <w:tcW w:w="0" w:type="auto"/>
            <w:gridSpan w:val="3"/>
            <w:shd w:val="clear" w:color="auto" w:fill="auto"/>
            <w:vAlign w:val="bottom"/>
          </w:tcPr>
          <w:p w14:paraId="74DDA7A7" w14:textId="77777777" w:rsidR="00584EC1" w:rsidRDefault="00584EC1">
            <w:pPr>
              <w:rPr>
                <w:rFonts w:ascii="宋体"/>
                <w:vanish/>
              </w:rPr>
            </w:pPr>
          </w:p>
        </w:tc>
        <w:tc>
          <w:tcPr>
            <w:tcW w:w="0" w:type="auto"/>
            <w:gridSpan w:val="3"/>
            <w:shd w:val="clear" w:color="auto" w:fill="auto"/>
            <w:vAlign w:val="bottom"/>
          </w:tcPr>
          <w:p w14:paraId="74DDA7A8" w14:textId="77777777" w:rsidR="00584EC1" w:rsidRDefault="00584EC1">
            <w:pPr>
              <w:rPr>
                <w:rFonts w:ascii="宋体"/>
                <w:vanish/>
              </w:rPr>
            </w:pPr>
          </w:p>
        </w:tc>
        <w:tc>
          <w:tcPr>
            <w:tcW w:w="0" w:type="auto"/>
            <w:gridSpan w:val="3"/>
            <w:shd w:val="clear" w:color="auto" w:fill="auto"/>
            <w:vAlign w:val="bottom"/>
          </w:tcPr>
          <w:p w14:paraId="74DDA7A9" w14:textId="77777777" w:rsidR="00584EC1" w:rsidRDefault="00584EC1">
            <w:pPr>
              <w:rPr>
                <w:rFonts w:ascii="宋体"/>
                <w:vanish/>
              </w:rPr>
            </w:pPr>
          </w:p>
        </w:tc>
        <w:tc>
          <w:tcPr>
            <w:tcW w:w="0" w:type="auto"/>
            <w:gridSpan w:val="3"/>
            <w:shd w:val="clear" w:color="auto" w:fill="auto"/>
            <w:vAlign w:val="bottom"/>
          </w:tcPr>
          <w:p w14:paraId="74DDA7AA" w14:textId="77777777" w:rsidR="00584EC1" w:rsidRDefault="00584EC1">
            <w:pPr>
              <w:rPr>
                <w:rFonts w:ascii="宋体"/>
                <w:vanish/>
              </w:rPr>
            </w:pPr>
          </w:p>
        </w:tc>
        <w:tc>
          <w:tcPr>
            <w:tcW w:w="0" w:type="auto"/>
            <w:gridSpan w:val="3"/>
            <w:shd w:val="clear" w:color="auto" w:fill="auto"/>
            <w:vAlign w:val="bottom"/>
          </w:tcPr>
          <w:p w14:paraId="74DDA7AB" w14:textId="77777777" w:rsidR="00584EC1" w:rsidRDefault="00584EC1">
            <w:pPr>
              <w:rPr>
                <w:rFonts w:ascii="宋体"/>
                <w:vanish/>
              </w:rPr>
            </w:pPr>
          </w:p>
        </w:tc>
        <w:tc>
          <w:tcPr>
            <w:tcW w:w="0" w:type="auto"/>
            <w:gridSpan w:val="3"/>
            <w:shd w:val="clear" w:color="auto" w:fill="auto"/>
            <w:vAlign w:val="bottom"/>
          </w:tcPr>
          <w:p w14:paraId="74DDA7AC" w14:textId="77777777" w:rsidR="00584EC1" w:rsidRDefault="00584EC1">
            <w:pPr>
              <w:rPr>
                <w:rFonts w:ascii="宋体"/>
                <w:vanish/>
              </w:rPr>
            </w:pPr>
          </w:p>
        </w:tc>
        <w:tc>
          <w:tcPr>
            <w:tcW w:w="0" w:type="auto"/>
            <w:gridSpan w:val="3"/>
            <w:shd w:val="clear" w:color="auto" w:fill="auto"/>
            <w:vAlign w:val="bottom"/>
          </w:tcPr>
          <w:p w14:paraId="74DDA7AD" w14:textId="77777777" w:rsidR="00584EC1" w:rsidRDefault="00584EC1">
            <w:pPr>
              <w:rPr>
                <w:rFonts w:ascii="宋体"/>
                <w:vanish/>
              </w:rPr>
            </w:pPr>
          </w:p>
        </w:tc>
        <w:tc>
          <w:tcPr>
            <w:tcW w:w="0" w:type="auto"/>
            <w:gridSpan w:val="3"/>
            <w:shd w:val="clear" w:color="auto" w:fill="auto"/>
            <w:vAlign w:val="bottom"/>
          </w:tcPr>
          <w:p w14:paraId="74DDA7AE" w14:textId="77777777" w:rsidR="00584EC1" w:rsidRDefault="00584EC1">
            <w:pPr>
              <w:rPr>
                <w:rFonts w:ascii="宋体"/>
                <w:vanish/>
              </w:rPr>
            </w:pPr>
          </w:p>
        </w:tc>
        <w:tc>
          <w:tcPr>
            <w:tcW w:w="0" w:type="auto"/>
            <w:gridSpan w:val="3"/>
            <w:shd w:val="clear" w:color="auto" w:fill="auto"/>
            <w:vAlign w:val="bottom"/>
          </w:tcPr>
          <w:p w14:paraId="74DDA7AF" w14:textId="77777777" w:rsidR="00584EC1" w:rsidRDefault="00584EC1">
            <w:pPr>
              <w:rPr>
                <w:rFonts w:ascii="宋体"/>
                <w:vanish/>
              </w:rPr>
            </w:pPr>
          </w:p>
        </w:tc>
        <w:tc>
          <w:tcPr>
            <w:tcW w:w="0" w:type="auto"/>
            <w:gridSpan w:val="3"/>
            <w:shd w:val="clear" w:color="auto" w:fill="auto"/>
            <w:vAlign w:val="bottom"/>
          </w:tcPr>
          <w:p w14:paraId="74DDA7B0" w14:textId="77777777" w:rsidR="00584EC1" w:rsidRDefault="00584EC1">
            <w:pPr>
              <w:rPr>
                <w:rFonts w:ascii="宋体"/>
                <w:vanish/>
              </w:rPr>
            </w:pPr>
          </w:p>
        </w:tc>
        <w:tc>
          <w:tcPr>
            <w:tcW w:w="0" w:type="auto"/>
            <w:gridSpan w:val="3"/>
            <w:shd w:val="clear" w:color="auto" w:fill="auto"/>
            <w:vAlign w:val="bottom"/>
          </w:tcPr>
          <w:p w14:paraId="74DDA7B1" w14:textId="77777777" w:rsidR="00584EC1" w:rsidRDefault="00584EC1">
            <w:pPr>
              <w:rPr>
                <w:rFonts w:ascii="宋体"/>
                <w:vanish/>
              </w:rPr>
            </w:pPr>
          </w:p>
        </w:tc>
        <w:tc>
          <w:tcPr>
            <w:tcW w:w="0" w:type="auto"/>
            <w:gridSpan w:val="3"/>
            <w:shd w:val="clear" w:color="auto" w:fill="auto"/>
            <w:vAlign w:val="bottom"/>
          </w:tcPr>
          <w:p w14:paraId="74DDA7B2" w14:textId="77777777" w:rsidR="00584EC1" w:rsidRDefault="00584EC1">
            <w:pPr>
              <w:rPr>
                <w:rFonts w:ascii="宋体"/>
                <w:vanish/>
              </w:rPr>
            </w:pPr>
          </w:p>
        </w:tc>
      </w:tr>
    </w:tbl>
    <w:p w14:paraId="74DDA7B4" w14:textId="77777777" w:rsidR="00584EC1" w:rsidRDefault="00871F8D">
      <w:pPr>
        <w:ind w:firstLine="450"/>
        <w:jc w:val="both"/>
      </w:pPr>
      <w:r>
        <w:rPr>
          <w:rFonts w:ascii="Arial" w:eastAsia="宋体" w:hAnsi="Arial" w:cs="Arial"/>
          <w:color w:val="000000"/>
          <w:sz w:val="20"/>
          <w:szCs w:val="20"/>
        </w:rPr>
        <w:t xml:space="preserve">Federal and state banking </w:t>
      </w:r>
      <w:r>
        <w:rPr>
          <w:rFonts w:ascii="Arial" w:eastAsia="宋体" w:hAnsi="Arial" w:cs="Arial"/>
          <w:color w:val="000000"/>
          <w:sz w:val="20"/>
          <w:szCs w:val="20"/>
        </w:rPr>
        <w:t xml:space="preserve">regulations place certain restrictions on dividends paid by subsidiary banks to the parent holding company. In addition, banking regulators have the authority to prohibit bank holding companies from paying dividends. For information concerning limitations </w:t>
      </w:r>
      <w:r>
        <w:rPr>
          <w:rFonts w:ascii="Arial" w:eastAsia="宋体" w:hAnsi="Arial" w:cs="Arial"/>
          <w:color w:val="000000"/>
          <w:sz w:val="20"/>
          <w:szCs w:val="20"/>
        </w:rPr>
        <w:t>on dividends from our subsidiary banks, refer to pages 55 and 57 in "Related Stockholder Matters" included under Item 5, Market for Registrant’s Common Equity, Related Stockholder Matters and Issuer Purchases of Equity Securities, in our 2020 Form 10-K, an</w:t>
      </w:r>
      <w:r>
        <w:rPr>
          <w:rFonts w:ascii="Arial" w:eastAsia="宋体" w:hAnsi="Arial" w:cs="Arial"/>
          <w:color w:val="000000"/>
          <w:sz w:val="20"/>
          <w:szCs w:val="20"/>
        </w:rPr>
        <w:t>d to pages 171 to 173 in Note 15 to the consolidated financial statements included under Item 8. Our common stock and preferred stock dividends, including the declaration, timing and amount thereof, are subject to consideration and approval by the Board at</w:t>
      </w:r>
      <w:r>
        <w:rPr>
          <w:rFonts w:ascii="Arial" w:eastAsia="宋体" w:hAnsi="Arial" w:cs="Arial"/>
          <w:color w:val="000000"/>
          <w:sz w:val="20"/>
          <w:szCs w:val="20"/>
        </w:rPr>
        <w:t xml:space="preserve"> the relevant times.</w:t>
      </w:r>
    </w:p>
    <w:p w14:paraId="74DDA7B5" w14:textId="77777777" w:rsidR="00584EC1" w:rsidRDefault="00871F8D">
      <w:pPr>
        <w:spacing w:before="60"/>
        <w:ind w:firstLine="450"/>
        <w:jc w:val="both"/>
      </w:pPr>
      <w:r>
        <w:rPr>
          <w:rFonts w:ascii="Arial" w:eastAsia="宋体" w:hAnsi="Arial" w:cs="Arial"/>
          <w:color w:val="000000"/>
          <w:sz w:val="20"/>
          <w:szCs w:val="20"/>
        </w:rPr>
        <w:t>Stock purchases may be made using various types of transactions, including open-market purchases, accelerated share repurchases or other transactions off the market, and may be made under Rule 10b5-1 trading programs. The timing and am</w:t>
      </w:r>
      <w:r>
        <w:rPr>
          <w:rFonts w:ascii="Arial" w:eastAsia="宋体" w:hAnsi="Arial" w:cs="Arial"/>
          <w:color w:val="000000"/>
          <w:sz w:val="20"/>
          <w:szCs w:val="20"/>
        </w:rPr>
        <w:t>ount of any stock purchases and the type of transaction will depend on several factors, including investment opportunities, our capital position, our financial performance, market conditions and the amount of common stock issued as part of employee compens</w:t>
      </w:r>
      <w:r>
        <w:rPr>
          <w:rFonts w:ascii="Arial" w:eastAsia="宋体" w:hAnsi="Arial" w:cs="Arial"/>
          <w:color w:val="000000"/>
          <w:sz w:val="20"/>
          <w:szCs w:val="20"/>
        </w:rPr>
        <w:t>ation programs. The common share repurchase program does not have specific price targets and may be suspended at any time.</w:t>
      </w:r>
    </w:p>
    <w:p w14:paraId="74DDA7B6" w14:textId="77777777" w:rsidR="00584EC1" w:rsidRDefault="00871F8D">
      <w:pPr>
        <w:ind w:firstLine="450"/>
        <w:jc w:val="right"/>
      </w:pPr>
      <w:r>
        <w:rPr>
          <w:rFonts w:ascii="Arial" w:eastAsia="宋体" w:hAnsi="Arial" w:cs="Arial"/>
          <w:color w:val="000000"/>
          <w:sz w:val="18"/>
          <w:szCs w:val="18"/>
        </w:rPr>
        <w:t>State Street Corporation | 51</w:t>
      </w:r>
    </w:p>
    <w:p w14:paraId="74DDA7B7" w14:textId="77777777" w:rsidR="00584EC1" w:rsidRDefault="00584EC1">
      <w:pPr>
        <w:ind w:firstLine="450"/>
        <w:jc w:val="center"/>
      </w:pPr>
    </w:p>
    <w:p w14:paraId="74DDA7B8" w14:textId="77777777" w:rsidR="00584EC1" w:rsidRDefault="00871F8D">
      <w:r>
        <w:pict w14:anchorId="74DE2A21">
          <v:rect id="_x0000_i1075" style="width:415.3pt;height:1.5pt" o:hralign="center" o:hrstd="t" o:hr="t" fillcolor="#a0a0a0" stroked="f"/>
        </w:pict>
      </w:r>
    </w:p>
    <w:p w14:paraId="74DDA7B9" w14:textId="77777777" w:rsidR="00584EC1" w:rsidRDefault="00871F8D">
      <w:pPr>
        <w:ind w:firstLine="450"/>
        <w:jc w:val="center"/>
      </w:pPr>
      <w:r>
        <w:rPr>
          <w:rFonts w:ascii="Arial" w:eastAsia="宋体" w:hAnsi="Arial" w:cs="Arial"/>
          <w:b/>
          <w:bCs/>
          <w:color w:val="000000"/>
          <w:sz w:val="20"/>
          <w:szCs w:val="20"/>
        </w:rPr>
        <w:t>MANAGEMENT’S DISCUSSION AND ANALYSIS OF FINANCIAL CONDITION</w:t>
      </w:r>
    </w:p>
    <w:p w14:paraId="74DDA7BA" w14:textId="77777777" w:rsidR="00584EC1" w:rsidRDefault="00871F8D">
      <w:pPr>
        <w:ind w:firstLine="450"/>
        <w:jc w:val="center"/>
      </w:pPr>
      <w:r>
        <w:rPr>
          <w:rFonts w:ascii="Arial" w:eastAsia="宋体" w:hAnsi="Arial" w:cs="Arial"/>
          <w:b/>
          <w:bCs/>
          <w:color w:val="000000"/>
          <w:sz w:val="20"/>
          <w:szCs w:val="20"/>
        </w:rPr>
        <w:t>AND RESULTS OF OPERATIONS</w:t>
      </w:r>
    </w:p>
    <w:p w14:paraId="74DDA7BB" w14:textId="77777777" w:rsidR="00584EC1" w:rsidRDefault="00871F8D">
      <w:pPr>
        <w:spacing w:before="90"/>
      </w:pPr>
      <w:r>
        <w:rPr>
          <w:rFonts w:ascii="Arial" w:eastAsia="宋体" w:hAnsi="Arial" w:cs="Arial"/>
          <w:b/>
          <w:bCs/>
          <w:color w:val="000000"/>
          <w:sz w:val="20"/>
          <w:szCs w:val="20"/>
        </w:rPr>
        <w:t>OFF-BALANCE SHEET ARRANGEMENTS</w:t>
      </w:r>
    </w:p>
    <w:p w14:paraId="74DDA7BC" w14:textId="77777777" w:rsidR="00584EC1" w:rsidRDefault="00871F8D">
      <w:pPr>
        <w:spacing w:before="60"/>
        <w:ind w:firstLine="450"/>
        <w:jc w:val="both"/>
      </w:pPr>
      <w:r>
        <w:rPr>
          <w:rFonts w:ascii="Arial" w:eastAsia="宋体" w:hAnsi="Arial" w:cs="Arial"/>
          <w:color w:val="000000"/>
          <w:sz w:val="20"/>
          <w:szCs w:val="20"/>
        </w:rPr>
        <w:t>On behalf of clients enrolled in our securities lending program, we lend securities to banks, broker/dealers and other institutions. In most circumstances, we indemnify our clients for the fair market value of those securitie</w:t>
      </w:r>
      <w:r>
        <w:rPr>
          <w:rFonts w:ascii="Arial" w:eastAsia="宋体" w:hAnsi="Arial" w:cs="Arial"/>
          <w:color w:val="000000"/>
          <w:sz w:val="20"/>
          <w:szCs w:val="20"/>
        </w:rPr>
        <w:t>s against a failure of the borrower to return such securities. Though these transactions are collateralized, the substantial volume of these activities necessitates detailed credit-based underwriting and monitoring processes. The aggregate amount of indemn</w:t>
      </w:r>
      <w:r>
        <w:rPr>
          <w:rFonts w:ascii="Arial" w:eastAsia="宋体" w:hAnsi="Arial" w:cs="Arial"/>
          <w:color w:val="000000"/>
          <w:sz w:val="20"/>
          <w:szCs w:val="20"/>
        </w:rPr>
        <w:t>ified securities on loan totaled $402.37 billion and $440.88 billion as of September 30, 2021 and December 31, 2020, respectively. We require the borrower to provide collateral in an amount in excess of 100% of the fair market value of the securities borro</w:t>
      </w:r>
      <w:r>
        <w:rPr>
          <w:rFonts w:ascii="Arial" w:eastAsia="宋体" w:hAnsi="Arial" w:cs="Arial"/>
          <w:color w:val="000000"/>
          <w:sz w:val="20"/>
          <w:szCs w:val="20"/>
        </w:rPr>
        <w:t>wed. We hold the collateral received in connection with these securities lending services as agent, and the collateral is not recorded in our consolidated statement of condition. We revalue the securities on loan and the collateral daily to determine if ad</w:t>
      </w:r>
      <w:r>
        <w:rPr>
          <w:rFonts w:ascii="Arial" w:eastAsia="宋体" w:hAnsi="Arial" w:cs="Arial"/>
          <w:color w:val="000000"/>
          <w:sz w:val="20"/>
          <w:szCs w:val="20"/>
        </w:rPr>
        <w:t>ditional collateral is necessary or if excess collateral is required to be returned to the borrower. We held, as agent, cash and securities totaling $422.88 billion and $463.27 billion as collateral for indemnified securities on loan as of September 30, 20</w:t>
      </w:r>
      <w:r>
        <w:rPr>
          <w:rFonts w:ascii="Arial" w:eastAsia="宋体" w:hAnsi="Arial" w:cs="Arial"/>
          <w:color w:val="000000"/>
          <w:sz w:val="20"/>
          <w:szCs w:val="20"/>
        </w:rPr>
        <w:t>21 and December 31, 2020, respectively.</w:t>
      </w:r>
    </w:p>
    <w:p w14:paraId="74DDA7BD" w14:textId="77777777" w:rsidR="00584EC1" w:rsidRDefault="00871F8D">
      <w:pPr>
        <w:spacing w:before="60"/>
        <w:ind w:firstLine="450"/>
        <w:jc w:val="both"/>
      </w:pPr>
      <w:r>
        <w:rPr>
          <w:rFonts w:ascii="Arial" w:eastAsia="宋体" w:hAnsi="Arial" w:cs="Arial"/>
          <w:color w:val="000000"/>
          <w:sz w:val="20"/>
          <w:szCs w:val="20"/>
        </w:rPr>
        <w:t xml:space="preserve">The cash collateral held by us as agent is invested on behalf of our clients. In certain cases, the cash collateral is invested in third-party repurchase agreements, for which we indemnify the client against loss of </w:t>
      </w:r>
      <w:r>
        <w:rPr>
          <w:rFonts w:ascii="Arial" w:eastAsia="宋体" w:hAnsi="Arial" w:cs="Arial"/>
          <w:color w:val="000000"/>
          <w:sz w:val="20"/>
          <w:szCs w:val="20"/>
        </w:rPr>
        <w:t xml:space="preserve">the principal invested. We require the counterparty to the indemnified repurchase agreement to provide collateral in an amount in excess of 100% of the amount of the repurchase agreement. In our role as agent, the indemnified repurchase agreements and the </w:t>
      </w:r>
      <w:r>
        <w:rPr>
          <w:rFonts w:ascii="Arial" w:eastAsia="宋体" w:hAnsi="Arial" w:cs="Arial"/>
          <w:color w:val="000000"/>
          <w:sz w:val="20"/>
          <w:szCs w:val="20"/>
        </w:rPr>
        <w:t>related collateral held by us are not recorded in our consolidated statement of condition. Of the collateral of $422.88 billion and $463.27 billion, referenced above, $67.83 billion and $54.43 billion was invested in indemnified repurchase agreements as of</w:t>
      </w:r>
      <w:r>
        <w:rPr>
          <w:rFonts w:ascii="Arial" w:eastAsia="宋体" w:hAnsi="Arial" w:cs="Arial"/>
          <w:color w:val="000000"/>
          <w:sz w:val="20"/>
          <w:szCs w:val="20"/>
        </w:rPr>
        <w:t xml:space="preserve"> September 30, 2021 and December 31, 2020, respectively. We or our agents held $73.18 billion and $58.09 billion as collateral for indemnified investments in repurchase agreements as of September 30, 2021 and December 31, 2020, respectively.</w:t>
      </w:r>
    </w:p>
    <w:p w14:paraId="74DDA7BE" w14:textId="77777777" w:rsidR="00584EC1" w:rsidRDefault="00871F8D">
      <w:pPr>
        <w:spacing w:before="60"/>
        <w:ind w:firstLine="450"/>
        <w:jc w:val="both"/>
      </w:pPr>
      <w:r>
        <w:rPr>
          <w:rFonts w:ascii="Arial" w:eastAsia="宋体" w:hAnsi="Arial" w:cs="Arial"/>
          <w:color w:val="000000"/>
          <w:sz w:val="20"/>
          <w:szCs w:val="20"/>
        </w:rPr>
        <w:t>Additional inf</w:t>
      </w:r>
      <w:r>
        <w:rPr>
          <w:rFonts w:ascii="Arial" w:eastAsia="宋体" w:hAnsi="Arial" w:cs="Arial"/>
          <w:color w:val="000000"/>
          <w:sz w:val="20"/>
          <w:szCs w:val="20"/>
        </w:rPr>
        <w:t>ormation about our securities finance activities and other off-balance sheet arrangements is provided in Notes 7, 9 and 11 to the consolidated financial statements in this Form 10-Q.</w:t>
      </w:r>
    </w:p>
    <w:p w14:paraId="74DDA7BF" w14:textId="77777777" w:rsidR="00584EC1" w:rsidRDefault="00871F8D">
      <w:pPr>
        <w:spacing w:before="90" w:after="60"/>
        <w:jc w:val="both"/>
      </w:pPr>
      <w:r>
        <w:rPr>
          <w:rFonts w:ascii="Arial" w:eastAsia="宋体" w:hAnsi="Arial" w:cs="Arial"/>
          <w:b/>
          <w:bCs/>
          <w:color w:val="000000"/>
          <w:sz w:val="20"/>
          <w:szCs w:val="20"/>
        </w:rPr>
        <w:t>RECENT ACCOUNTING DEVELOPMENTS</w:t>
      </w:r>
    </w:p>
    <w:p w14:paraId="74DDA7C0" w14:textId="77777777" w:rsidR="00584EC1" w:rsidRDefault="00871F8D">
      <w:pPr>
        <w:spacing w:before="60" w:after="60"/>
        <w:ind w:firstLine="450"/>
        <w:jc w:val="both"/>
      </w:pPr>
      <w:r>
        <w:rPr>
          <w:rFonts w:ascii="Arial" w:eastAsia="宋体" w:hAnsi="Arial" w:cs="Arial"/>
          <w:color w:val="000000"/>
          <w:sz w:val="20"/>
          <w:szCs w:val="20"/>
        </w:rPr>
        <w:t>Information with respect to recent account</w:t>
      </w:r>
      <w:r>
        <w:rPr>
          <w:rFonts w:ascii="Arial" w:eastAsia="宋体" w:hAnsi="Arial" w:cs="Arial"/>
          <w:color w:val="000000"/>
          <w:sz w:val="20"/>
          <w:szCs w:val="20"/>
        </w:rPr>
        <w:t xml:space="preserve">ing developments is provided in Note 1 to the consolidated financial statements in this Form 10-Q. </w:t>
      </w:r>
    </w:p>
    <w:p w14:paraId="74DDA7C1" w14:textId="77777777" w:rsidR="00584EC1" w:rsidRDefault="00871F8D">
      <w:pPr>
        <w:ind w:firstLine="450"/>
        <w:jc w:val="right"/>
      </w:pPr>
      <w:r>
        <w:rPr>
          <w:rFonts w:ascii="Arial" w:eastAsia="宋体" w:hAnsi="Arial" w:cs="Arial"/>
          <w:color w:val="000000"/>
          <w:sz w:val="18"/>
          <w:szCs w:val="18"/>
        </w:rPr>
        <w:t>State Street Corporation | 52</w:t>
      </w:r>
    </w:p>
    <w:p w14:paraId="74DDA7C2" w14:textId="77777777" w:rsidR="00584EC1" w:rsidRDefault="00584EC1">
      <w:pPr>
        <w:ind w:firstLine="450"/>
        <w:jc w:val="center"/>
      </w:pPr>
    </w:p>
    <w:p w14:paraId="74DDA7C3" w14:textId="77777777" w:rsidR="00584EC1" w:rsidRDefault="00871F8D">
      <w:r>
        <w:pict w14:anchorId="74DE2A22">
          <v:rect id="_x0000_i1076" style="width:415.3pt;height:1.5pt" o:hralign="center" o:hrstd="t" o:hr="t" fillcolor="#a0a0a0" stroked="f"/>
        </w:pict>
      </w:r>
    </w:p>
    <w:p w14:paraId="74DDA7C4" w14:textId="77777777" w:rsidR="00584EC1" w:rsidRDefault="00584EC1">
      <w:pPr>
        <w:ind w:firstLine="450"/>
      </w:pPr>
    </w:p>
    <w:p w14:paraId="74DDA7C5" w14:textId="77777777" w:rsidR="00584EC1" w:rsidRDefault="00871F8D">
      <w:pPr>
        <w:spacing w:before="90" w:after="60"/>
        <w:jc w:val="both"/>
        <w:textAlignment w:val="top"/>
      </w:pPr>
      <w:r>
        <w:rPr>
          <w:rFonts w:ascii="Arial" w:eastAsia="宋体" w:hAnsi="Arial" w:cs="Arial"/>
          <w:b/>
          <w:bCs/>
          <w:color w:val="000000"/>
          <w:sz w:val="20"/>
          <w:szCs w:val="20"/>
        </w:rPr>
        <w:t>QUANTITATIVE AND QUALITATIVE DISCLOSURES ABOUT MARKET RISK</w:t>
      </w:r>
    </w:p>
    <w:p w14:paraId="74DDA7C6" w14:textId="77777777" w:rsidR="00584EC1" w:rsidRDefault="00871F8D">
      <w:pPr>
        <w:spacing w:before="90"/>
        <w:ind w:firstLine="450"/>
        <w:jc w:val="both"/>
        <w:textAlignment w:val="top"/>
      </w:pPr>
      <w:r>
        <w:rPr>
          <w:rFonts w:ascii="Arial" w:eastAsia="宋体" w:hAnsi="Arial" w:cs="Arial"/>
          <w:color w:val="000000"/>
          <w:sz w:val="20"/>
          <w:szCs w:val="20"/>
        </w:rPr>
        <w:t>The information provided under “Market Risk Management” in "Fin</w:t>
      </w:r>
      <w:r>
        <w:rPr>
          <w:rFonts w:ascii="Arial" w:eastAsia="宋体" w:hAnsi="Arial" w:cs="Arial"/>
          <w:color w:val="000000"/>
          <w:sz w:val="20"/>
          <w:szCs w:val="20"/>
        </w:rPr>
        <w:t xml:space="preserve">ancial Condition" in our Management's Discussion and Analysis in this Form 10-Q, is incorporated by reference herein. </w:t>
      </w:r>
    </w:p>
    <w:p w14:paraId="74DDA7C7" w14:textId="77777777" w:rsidR="00584EC1" w:rsidRDefault="00871F8D">
      <w:pPr>
        <w:spacing w:before="90"/>
        <w:ind w:firstLine="450"/>
        <w:jc w:val="both"/>
        <w:textAlignment w:val="top"/>
      </w:pPr>
      <w:r>
        <w:rPr>
          <w:rFonts w:ascii="Arial" w:eastAsia="宋体" w:hAnsi="Arial" w:cs="Arial"/>
          <w:color w:val="000000"/>
          <w:sz w:val="20"/>
          <w:szCs w:val="20"/>
        </w:rPr>
        <w:t>For more information on our market risk refer to pages 104 to 112 included under Item 7, Management's Discussion and Analysis of Financia</w:t>
      </w:r>
      <w:r>
        <w:rPr>
          <w:rFonts w:ascii="Arial" w:eastAsia="宋体" w:hAnsi="Arial" w:cs="Arial"/>
          <w:color w:val="000000"/>
          <w:sz w:val="20"/>
          <w:szCs w:val="20"/>
        </w:rPr>
        <w:t>l Condition and Results of Operations, in our 2020 Form 10-K.</w:t>
      </w:r>
    </w:p>
    <w:p w14:paraId="74DDA7C8" w14:textId="77777777" w:rsidR="00584EC1" w:rsidRDefault="00871F8D">
      <w:pPr>
        <w:spacing w:before="180"/>
        <w:jc w:val="both"/>
        <w:textAlignment w:val="top"/>
      </w:pPr>
      <w:r>
        <w:rPr>
          <w:rFonts w:ascii="Arial" w:eastAsia="宋体" w:hAnsi="Arial" w:cs="Arial"/>
          <w:b/>
          <w:bCs/>
          <w:color w:val="000000"/>
          <w:sz w:val="20"/>
          <w:szCs w:val="20"/>
        </w:rPr>
        <w:t>CONTROLS AND PROCEDURES</w:t>
      </w:r>
    </w:p>
    <w:p w14:paraId="74DDA7C9" w14:textId="77777777" w:rsidR="00584EC1" w:rsidRDefault="00871F8D">
      <w:pPr>
        <w:spacing w:before="60"/>
        <w:ind w:firstLine="450"/>
        <w:jc w:val="both"/>
        <w:textAlignment w:val="top"/>
      </w:pPr>
      <w:r>
        <w:rPr>
          <w:rFonts w:ascii="Arial" w:eastAsia="宋体" w:hAnsi="Arial" w:cs="Arial"/>
          <w:color w:val="000000"/>
          <w:sz w:val="20"/>
          <w:szCs w:val="20"/>
        </w:rPr>
        <w:t>We have established and maintain disclosure controls and procedures that are designed to ensure that information related to us and our subsidiaries on a consolidated basi</w:t>
      </w:r>
      <w:r>
        <w:rPr>
          <w:rFonts w:ascii="Arial" w:eastAsia="宋体" w:hAnsi="Arial" w:cs="Arial"/>
          <w:color w:val="000000"/>
          <w:sz w:val="20"/>
          <w:szCs w:val="20"/>
        </w:rPr>
        <w:t xml:space="preserve">s required to be disclosed in our reports filed or submitted under the Securities Exchange Act of 1934 is recorded, processed, summarized and reported within the time periods specified in the SEC's rules and forms, and that such information is accumulated </w:t>
      </w:r>
      <w:r>
        <w:rPr>
          <w:rFonts w:ascii="Arial" w:eastAsia="宋体" w:hAnsi="Arial" w:cs="Arial"/>
          <w:color w:val="000000"/>
          <w:sz w:val="20"/>
          <w:szCs w:val="20"/>
        </w:rPr>
        <w:t>and communicated to our management, including our Chief Executive Officer and Chief Financial Officer, as appropriate, to allow timely decisions regarding required disclosure. For the quarter ended September 30, 2021, our management carried out an evaluati</w:t>
      </w:r>
      <w:r>
        <w:rPr>
          <w:rFonts w:ascii="Arial" w:eastAsia="宋体" w:hAnsi="Arial" w:cs="Arial"/>
          <w:color w:val="000000"/>
          <w:sz w:val="20"/>
          <w:szCs w:val="20"/>
        </w:rPr>
        <w:t>on, with the participation of the Chief Executive Officer and Chief Financial Officer, of the effectiveness of the design and operation of our disclosure controls and procedures. Based on the evaluation of these disclosure controls and procedures, the Chie</w:t>
      </w:r>
      <w:r>
        <w:rPr>
          <w:rFonts w:ascii="Arial" w:eastAsia="宋体" w:hAnsi="Arial" w:cs="Arial"/>
          <w:color w:val="000000"/>
          <w:sz w:val="20"/>
          <w:szCs w:val="20"/>
        </w:rPr>
        <w:t xml:space="preserve">f Executive Officer and Chief Financial Officer concluded that our disclosure controls and procedures were effective as of September 30, 2021. </w:t>
      </w:r>
    </w:p>
    <w:p w14:paraId="74DDA7CA" w14:textId="77777777" w:rsidR="00584EC1" w:rsidRDefault="00871F8D">
      <w:pPr>
        <w:spacing w:before="60"/>
        <w:ind w:firstLine="450"/>
        <w:jc w:val="both"/>
        <w:textAlignment w:val="top"/>
      </w:pPr>
      <w:r>
        <w:rPr>
          <w:rFonts w:ascii="Arial" w:eastAsia="宋体" w:hAnsi="Arial" w:cs="Arial"/>
          <w:color w:val="000000"/>
          <w:sz w:val="20"/>
          <w:szCs w:val="20"/>
        </w:rPr>
        <w:t>We have established and maintain internal control over financial reporting as a process designed to provide reasonable assurance regarding the reliability of financial reporting and the preparation of consolidated financial statements for external purposes</w:t>
      </w:r>
      <w:r>
        <w:rPr>
          <w:rFonts w:ascii="Arial" w:eastAsia="宋体" w:hAnsi="Arial" w:cs="Arial"/>
          <w:color w:val="000000"/>
          <w:sz w:val="20"/>
          <w:szCs w:val="20"/>
        </w:rPr>
        <w:t xml:space="preserve"> in conformity with U.S. GAAP. In the ordinary course of business, we routinely enhance our internal controls and procedures for financial reporting by either upgrading our current systems or implementing new systems. Changes have been made and may be made</w:t>
      </w:r>
      <w:r>
        <w:rPr>
          <w:rFonts w:ascii="Arial" w:eastAsia="宋体" w:hAnsi="Arial" w:cs="Arial"/>
          <w:color w:val="000000"/>
          <w:sz w:val="20"/>
          <w:szCs w:val="20"/>
        </w:rPr>
        <w:t xml:space="preserve"> to our internal controls and procedures for financial reporting as a result of these efforts. During the quarter ended September 30, 2021, no change occurred in our internal control over financial reporting that has materially affected, or is reasonably l</w:t>
      </w:r>
      <w:r>
        <w:rPr>
          <w:rFonts w:ascii="Arial" w:eastAsia="宋体" w:hAnsi="Arial" w:cs="Arial"/>
          <w:color w:val="000000"/>
          <w:sz w:val="20"/>
          <w:szCs w:val="20"/>
        </w:rPr>
        <w:t xml:space="preserve">ikely to materially affect, our internal control over financial reporting. </w:t>
      </w:r>
    </w:p>
    <w:p w14:paraId="74DDA7CB" w14:textId="77777777" w:rsidR="00584EC1" w:rsidRDefault="00584EC1">
      <w:pPr>
        <w:spacing w:before="90" w:after="60"/>
        <w:jc w:val="both"/>
        <w:textAlignment w:val="top"/>
      </w:pPr>
    </w:p>
    <w:p w14:paraId="74DDA7CC" w14:textId="77777777" w:rsidR="00584EC1" w:rsidRDefault="00584EC1">
      <w:pPr>
        <w:spacing w:before="100"/>
        <w:ind w:firstLine="450"/>
        <w:textAlignment w:val="top"/>
      </w:pPr>
    </w:p>
    <w:p w14:paraId="74DDA7CD" w14:textId="77777777" w:rsidR="00584EC1" w:rsidRDefault="00871F8D">
      <w:pPr>
        <w:ind w:firstLine="450"/>
        <w:jc w:val="right"/>
      </w:pPr>
      <w:r>
        <w:rPr>
          <w:rFonts w:ascii="Arial" w:eastAsia="宋体" w:hAnsi="Arial" w:cs="Arial"/>
          <w:color w:val="000000"/>
          <w:sz w:val="18"/>
          <w:szCs w:val="18"/>
        </w:rPr>
        <w:t>State Street Corporation | 53</w:t>
      </w:r>
    </w:p>
    <w:p w14:paraId="74DDA7CE" w14:textId="77777777" w:rsidR="00584EC1" w:rsidRDefault="00584EC1">
      <w:pPr>
        <w:ind w:firstLine="450"/>
        <w:jc w:val="center"/>
      </w:pPr>
    </w:p>
    <w:p w14:paraId="74DDA7CF" w14:textId="77777777" w:rsidR="00584EC1" w:rsidRDefault="00871F8D">
      <w:r>
        <w:pict w14:anchorId="74DE2A23">
          <v:rect id="_x0000_i1077" style="width:415.3pt;height:1.5pt" o:hralign="center" o:hrstd="t" o:hr="t" fillcolor="#a0a0a0" stroked="f"/>
        </w:pict>
      </w:r>
    </w:p>
    <w:p w14:paraId="74DDA7D0" w14:textId="77777777" w:rsidR="00584EC1" w:rsidRDefault="00584EC1">
      <w:pPr>
        <w:ind w:firstLine="450"/>
      </w:pPr>
    </w:p>
    <w:p w14:paraId="74DDA7D1" w14:textId="77777777" w:rsidR="00584EC1" w:rsidRDefault="00871F8D">
      <w:pPr>
        <w:ind w:firstLine="450"/>
        <w:jc w:val="center"/>
      </w:pPr>
      <w:r>
        <w:rPr>
          <w:rFonts w:ascii="Arial" w:eastAsia="宋体" w:hAnsi="Arial" w:cs="Arial"/>
          <w:b/>
          <w:bCs/>
          <w:color w:val="000000"/>
          <w:sz w:val="20"/>
          <w:szCs w:val="20"/>
        </w:rPr>
        <w:t>STATE STREET CORPORATION</w:t>
      </w:r>
    </w:p>
    <w:p w14:paraId="74DDA7D2" w14:textId="77777777" w:rsidR="00584EC1" w:rsidRDefault="00871F8D">
      <w:pPr>
        <w:ind w:firstLine="450"/>
        <w:jc w:val="center"/>
      </w:pPr>
      <w:r>
        <w:rPr>
          <w:rFonts w:ascii="Arial" w:eastAsia="宋体" w:hAnsi="Arial" w:cs="Arial"/>
          <w:b/>
          <w:bCs/>
          <w:color w:val="000000"/>
          <w:sz w:val="20"/>
          <w:szCs w:val="20"/>
        </w:rPr>
        <w:t>CONSOLIDATED STATEMENT OF INCOME</w:t>
      </w:r>
    </w:p>
    <w:p w14:paraId="74DDA7D3" w14:textId="77777777" w:rsidR="00584EC1" w:rsidRDefault="00871F8D">
      <w:pPr>
        <w:ind w:firstLine="450"/>
        <w:jc w:val="center"/>
      </w:pPr>
      <w:r>
        <w:rPr>
          <w:rFonts w:ascii="Arial" w:eastAsia="宋体" w:hAnsi="Arial" w:cs="Arial"/>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40"/>
        <w:gridCol w:w="2935"/>
        <w:gridCol w:w="39"/>
        <w:gridCol w:w="122"/>
        <w:gridCol w:w="1086"/>
        <w:gridCol w:w="36"/>
        <w:gridCol w:w="36"/>
        <w:gridCol w:w="36"/>
        <w:gridCol w:w="36"/>
        <w:gridCol w:w="122"/>
        <w:gridCol w:w="1086"/>
        <w:gridCol w:w="36"/>
        <w:gridCol w:w="36"/>
        <w:gridCol w:w="36"/>
        <w:gridCol w:w="36"/>
        <w:gridCol w:w="122"/>
        <w:gridCol w:w="1061"/>
        <w:gridCol w:w="36"/>
        <w:gridCol w:w="36"/>
        <w:gridCol w:w="36"/>
        <w:gridCol w:w="36"/>
        <w:gridCol w:w="122"/>
        <w:gridCol w:w="1061"/>
        <w:gridCol w:w="36"/>
        <w:gridCol w:w="36"/>
        <w:gridCol w:w="36"/>
      </w:tblGrid>
      <w:tr w:rsidR="00584EC1" w14:paraId="74DDA7EE" w14:textId="77777777">
        <w:tc>
          <w:tcPr>
            <w:tcW w:w="50" w:type="pct"/>
            <w:shd w:val="clear" w:color="auto" w:fill="auto"/>
            <w:vAlign w:val="bottom"/>
          </w:tcPr>
          <w:p w14:paraId="74DDA7D4" w14:textId="77777777" w:rsidR="00584EC1" w:rsidRDefault="00584EC1">
            <w:pPr>
              <w:rPr>
                <w:rFonts w:ascii="宋体"/>
              </w:rPr>
            </w:pPr>
          </w:p>
        </w:tc>
        <w:tc>
          <w:tcPr>
            <w:tcW w:w="1845" w:type="pct"/>
            <w:shd w:val="clear" w:color="auto" w:fill="auto"/>
            <w:vAlign w:val="bottom"/>
          </w:tcPr>
          <w:p w14:paraId="74DDA7D5" w14:textId="77777777" w:rsidR="00584EC1" w:rsidRDefault="00584EC1">
            <w:pPr>
              <w:rPr>
                <w:rFonts w:ascii="宋体"/>
              </w:rPr>
            </w:pPr>
          </w:p>
        </w:tc>
        <w:tc>
          <w:tcPr>
            <w:tcW w:w="5" w:type="pct"/>
            <w:shd w:val="clear" w:color="auto" w:fill="auto"/>
            <w:vAlign w:val="bottom"/>
          </w:tcPr>
          <w:p w14:paraId="74DDA7D6" w14:textId="77777777" w:rsidR="00584EC1" w:rsidRDefault="00584EC1">
            <w:pPr>
              <w:rPr>
                <w:rFonts w:ascii="宋体"/>
              </w:rPr>
            </w:pPr>
          </w:p>
        </w:tc>
        <w:tc>
          <w:tcPr>
            <w:tcW w:w="50" w:type="pct"/>
            <w:shd w:val="clear" w:color="auto" w:fill="auto"/>
            <w:vAlign w:val="bottom"/>
          </w:tcPr>
          <w:p w14:paraId="74DDA7D7" w14:textId="77777777" w:rsidR="00584EC1" w:rsidRDefault="00584EC1">
            <w:pPr>
              <w:rPr>
                <w:rFonts w:ascii="宋体"/>
              </w:rPr>
            </w:pPr>
          </w:p>
        </w:tc>
        <w:tc>
          <w:tcPr>
            <w:tcW w:w="705" w:type="pct"/>
            <w:shd w:val="clear" w:color="auto" w:fill="auto"/>
            <w:vAlign w:val="bottom"/>
          </w:tcPr>
          <w:p w14:paraId="74DDA7D8" w14:textId="77777777" w:rsidR="00584EC1" w:rsidRDefault="00584EC1">
            <w:pPr>
              <w:rPr>
                <w:rFonts w:ascii="宋体"/>
              </w:rPr>
            </w:pPr>
          </w:p>
        </w:tc>
        <w:tc>
          <w:tcPr>
            <w:tcW w:w="5" w:type="pct"/>
            <w:shd w:val="clear" w:color="auto" w:fill="auto"/>
            <w:vAlign w:val="bottom"/>
          </w:tcPr>
          <w:p w14:paraId="74DDA7D9" w14:textId="77777777" w:rsidR="00584EC1" w:rsidRDefault="00584EC1">
            <w:pPr>
              <w:rPr>
                <w:rFonts w:ascii="宋体"/>
              </w:rPr>
            </w:pPr>
          </w:p>
        </w:tc>
        <w:tc>
          <w:tcPr>
            <w:tcW w:w="5" w:type="pct"/>
            <w:shd w:val="clear" w:color="auto" w:fill="auto"/>
            <w:vAlign w:val="bottom"/>
          </w:tcPr>
          <w:p w14:paraId="74DDA7DA" w14:textId="77777777" w:rsidR="00584EC1" w:rsidRDefault="00584EC1">
            <w:pPr>
              <w:rPr>
                <w:rFonts w:ascii="宋体"/>
              </w:rPr>
            </w:pPr>
          </w:p>
        </w:tc>
        <w:tc>
          <w:tcPr>
            <w:tcW w:w="19" w:type="pct"/>
            <w:shd w:val="clear" w:color="auto" w:fill="auto"/>
            <w:vAlign w:val="bottom"/>
          </w:tcPr>
          <w:p w14:paraId="74DDA7DB" w14:textId="77777777" w:rsidR="00584EC1" w:rsidRDefault="00584EC1">
            <w:pPr>
              <w:rPr>
                <w:rFonts w:ascii="宋体"/>
              </w:rPr>
            </w:pPr>
          </w:p>
        </w:tc>
        <w:tc>
          <w:tcPr>
            <w:tcW w:w="5" w:type="pct"/>
            <w:shd w:val="clear" w:color="auto" w:fill="auto"/>
            <w:vAlign w:val="bottom"/>
          </w:tcPr>
          <w:p w14:paraId="74DDA7DC" w14:textId="77777777" w:rsidR="00584EC1" w:rsidRDefault="00584EC1">
            <w:pPr>
              <w:rPr>
                <w:rFonts w:ascii="宋体"/>
              </w:rPr>
            </w:pPr>
          </w:p>
        </w:tc>
        <w:tc>
          <w:tcPr>
            <w:tcW w:w="50" w:type="pct"/>
            <w:shd w:val="clear" w:color="auto" w:fill="auto"/>
            <w:vAlign w:val="bottom"/>
          </w:tcPr>
          <w:p w14:paraId="74DDA7DD" w14:textId="77777777" w:rsidR="00584EC1" w:rsidRDefault="00584EC1">
            <w:pPr>
              <w:rPr>
                <w:rFonts w:ascii="宋体"/>
              </w:rPr>
            </w:pPr>
          </w:p>
        </w:tc>
        <w:tc>
          <w:tcPr>
            <w:tcW w:w="705" w:type="pct"/>
            <w:shd w:val="clear" w:color="auto" w:fill="auto"/>
            <w:vAlign w:val="bottom"/>
          </w:tcPr>
          <w:p w14:paraId="74DDA7DE" w14:textId="77777777" w:rsidR="00584EC1" w:rsidRDefault="00584EC1">
            <w:pPr>
              <w:rPr>
                <w:rFonts w:ascii="宋体"/>
              </w:rPr>
            </w:pPr>
          </w:p>
        </w:tc>
        <w:tc>
          <w:tcPr>
            <w:tcW w:w="5" w:type="pct"/>
            <w:shd w:val="clear" w:color="auto" w:fill="auto"/>
            <w:vAlign w:val="bottom"/>
          </w:tcPr>
          <w:p w14:paraId="74DDA7DF" w14:textId="77777777" w:rsidR="00584EC1" w:rsidRDefault="00584EC1">
            <w:pPr>
              <w:rPr>
                <w:rFonts w:ascii="宋体"/>
              </w:rPr>
            </w:pPr>
          </w:p>
        </w:tc>
        <w:tc>
          <w:tcPr>
            <w:tcW w:w="5" w:type="pct"/>
            <w:shd w:val="clear" w:color="auto" w:fill="auto"/>
            <w:vAlign w:val="bottom"/>
          </w:tcPr>
          <w:p w14:paraId="74DDA7E0" w14:textId="77777777" w:rsidR="00584EC1" w:rsidRDefault="00584EC1">
            <w:pPr>
              <w:rPr>
                <w:rFonts w:ascii="宋体"/>
              </w:rPr>
            </w:pPr>
          </w:p>
        </w:tc>
        <w:tc>
          <w:tcPr>
            <w:tcW w:w="19" w:type="pct"/>
            <w:shd w:val="clear" w:color="auto" w:fill="auto"/>
            <w:vAlign w:val="bottom"/>
          </w:tcPr>
          <w:p w14:paraId="74DDA7E1" w14:textId="77777777" w:rsidR="00584EC1" w:rsidRDefault="00584EC1">
            <w:pPr>
              <w:rPr>
                <w:rFonts w:ascii="宋体"/>
              </w:rPr>
            </w:pPr>
          </w:p>
        </w:tc>
        <w:tc>
          <w:tcPr>
            <w:tcW w:w="5" w:type="pct"/>
            <w:shd w:val="clear" w:color="auto" w:fill="auto"/>
            <w:vAlign w:val="bottom"/>
          </w:tcPr>
          <w:p w14:paraId="74DDA7E2" w14:textId="77777777" w:rsidR="00584EC1" w:rsidRDefault="00584EC1">
            <w:pPr>
              <w:rPr>
                <w:rFonts w:ascii="宋体"/>
              </w:rPr>
            </w:pPr>
          </w:p>
        </w:tc>
        <w:tc>
          <w:tcPr>
            <w:tcW w:w="50" w:type="pct"/>
            <w:shd w:val="clear" w:color="auto" w:fill="auto"/>
            <w:vAlign w:val="bottom"/>
          </w:tcPr>
          <w:p w14:paraId="74DDA7E3" w14:textId="77777777" w:rsidR="00584EC1" w:rsidRDefault="00584EC1">
            <w:pPr>
              <w:rPr>
                <w:rFonts w:ascii="宋体"/>
              </w:rPr>
            </w:pPr>
          </w:p>
        </w:tc>
        <w:tc>
          <w:tcPr>
            <w:tcW w:w="690" w:type="pct"/>
            <w:shd w:val="clear" w:color="auto" w:fill="auto"/>
            <w:vAlign w:val="bottom"/>
          </w:tcPr>
          <w:p w14:paraId="74DDA7E4" w14:textId="77777777" w:rsidR="00584EC1" w:rsidRDefault="00584EC1">
            <w:pPr>
              <w:rPr>
                <w:rFonts w:ascii="宋体"/>
              </w:rPr>
            </w:pPr>
          </w:p>
        </w:tc>
        <w:tc>
          <w:tcPr>
            <w:tcW w:w="5" w:type="pct"/>
            <w:shd w:val="clear" w:color="auto" w:fill="auto"/>
            <w:vAlign w:val="bottom"/>
          </w:tcPr>
          <w:p w14:paraId="74DDA7E5" w14:textId="77777777" w:rsidR="00584EC1" w:rsidRDefault="00584EC1">
            <w:pPr>
              <w:rPr>
                <w:rFonts w:ascii="宋体"/>
              </w:rPr>
            </w:pPr>
          </w:p>
        </w:tc>
        <w:tc>
          <w:tcPr>
            <w:tcW w:w="5" w:type="pct"/>
            <w:shd w:val="clear" w:color="auto" w:fill="auto"/>
            <w:vAlign w:val="bottom"/>
          </w:tcPr>
          <w:p w14:paraId="74DDA7E6" w14:textId="77777777" w:rsidR="00584EC1" w:rsidRDefault="00584EC1">
            <w:pPr>
              <w:rPr>
                <w:rFonts w:ascii="宋体"/>
              </w:rPr>
            </w:pPr>
          </w:p>
        </w:tc>
        <w:tc>
          <w:tcPr>
            <w:tcW w:w="19" w:type="pct"/>
            <w:shd w:val="clear" w:color="auto" w:fill="auto"/>
            <w:vAlign w:val="bottom"/>
          </w:tcPr>
          <w:p w14:paraId="74DDA7E7" w14:textId="77777777" w:rsidR="00584EC1" w:rsidRDefault="00584EC1">
            <w:pPr>
              <w:rPr>
                <w:rFonts w:ascii="宋体"/>
              </w:rPr>
            </w:pPr>
          </w:p>
        </w:tc>
        <w:tc>
          <w:tcPr>
            <w:tcW w:w="5" w:type="pct"/>
            <w:shd w:val="clear" w:color="auto" w:fill="auto"/>
            <w:vAlign w:val="bottom"/>
          </w:tcPr>
          <w:p w14:paraId="74DDA7E8" w14:textId="77777777" w:rsidR="00584EC1" w:rsidRDefault="00584EC1">
            <w:pPr>
              <w:rPr>
                <w:rFonts w:ascii="宋体"/>
              </w:rPr>
            </w:pPr>
          </w:p>
        </w:tc>
        <w:tc>
          <w:tcPr>
            <w:tcW w:w="50" w:type="pct"/>
            <w:shd w:val="clear" w:color="auto" w:fill="auto"/>
            <w:vAlign w:val="bottom"/>
          </w:tcPr>
          <w:p w14:paraId="74DDA7E9" w14:textId="77777777" w:rsidR="00584EC1" w:rsidRDefault="00584EC1">
            <w:pPr>
              <w:rPr>
                <w:rFonts w:ascii="宋体"/>
              </w:rPr>
            </w:pPr>
          </w:p>
        </w:tc>
        <w:tc>
          <w:tcPr>
            <w:tcW w:w="690" w:type="pct"/>
            <w:shd w:val="clear" w:color="auto" w:fill="auto"/>
            <w:vAlign w:val="bottom"/>
          </w:tcPr>
          <w:p w14:paraId="74DDA7EA" w14:textId="77777777" w:rsidR="00584EC1" w:rsidRDefault="00584EC1">
            <w:pPr>
              <w:rPr>
                <w:rFonts w:ascii="宋体"/>
              </w:rPr>
            </w:pPr>
          </w:p>
        </w:tc>
        <w:tc>
          <w:tcPr>
            <w:tcW w:w="5" w:type="pct"/>
            <w:shd w:val="clear" w:color="auto" w:fill="auto"/>
            <w:vAlign w:val="bottom"/>
          </w:tcPr>
          <w:p w14:paraId="74DDA7EB" w14:textId="77777777" w:rsidR="00584EC1" w:rsidRDefault="00584EC1">
            <w:pPr>
              <w:rPr>
                <w:rFonts w:ascii="宋体"/>
              </w:rPr>
            </w:pPr>
          </w:p>
        </w:tc>
        <w:tc>
          <w:tcPr>
            <w:tcW w:w="0" w:type="auto"/>
            <w:shd w:val="clear" w:color="auto" w:fill="auto"/>
            <w:vAlign w:val="bottom"/>
          </w:tcPr>
          <w:p w14:paraId="74DDA7EC" w14:textId="77777777" w:rsidR="00584EC1" w:rsidRDefault="00584EC1">
            <w:pPr>
              <w:rPr>
                <w:rFonts w:ascii="宋体"/>
                <w:vanish/>
              </w:rPr>
            </w:pPr>
          </w:p>
        </w:tc>
        <w:tc>
          <w:tcPr>
            <w:tcW w:w="0" w:type="auto"/>
            <w:shd w:val="clear" w:color="auto" w:fill="auto"/>
            <w:vAlign w:val="bottom"/>
          </w:tcPr>
          <w:p w14:paraId="74DDA7ED" w14:textId="77777777" w:rsidR="00584EC1" w:rsidRDefault="00584EC1">
            <w:pPr>
              <w:rPr>
                <w:rFonts w:ascii="宋体"/>
                <w:vanish/>
              </w:rPr>
            </w:pPr>
          </w:p>
        </w:tc>
      </w:tr>
      <w:tr w:rsidR="00584EC1" w14:paraId="74DDA7F5" w14:textId="77777777">
        <w:tc>
          <w:tcPr>
            <w:tcW w:w="0" w:type="auto"/>
            <w:gridSpan w:val="3"/>
            <w:shd w:val="clear" w:color="auto" w:fill="auto"/>
            <w:tcMar>
              <w:top w:w="0" w:type="dxa"/>
              <w:left w:w="20" w:type="dxa"/>
              <w:bottom w:w="0" w:type="dxa"/>
              <w:right w:w="20" w:type="dxa"/>
            </w:tcMar>
            <w:vAlign w:val="bottom"/>
          </w:tcPr>
          <w:p w14:paraId="74DDA7EF" w14:textId="77777777" w:rsidR="00584EC1" w:rsidRDefault="00584EC1">
            <w:pPr>
              <w:rPr>
                <w:rFonts w:ascii="宋体"/>
              </w:rPr>
            </w:pPr>
          </w:p>
        </w:tc>
        <w:tc>
          <w:tcPr>
            <w:tcW w:w="0" w:type="auto"/>
            <w:gridSpan w:val="9"/>
            <w:shd w:val="clear" w:color="auto" w:fill="auto"/>
            <w:tcMar>
              <w:top w:w="40" w:type="dxa"/>
              <w:left w:w="20" w:type="dxa"/>
              <w:bottom w:w="40" w:type="dxa"/>
              <w:right w:w="20" w:type="dxa"/>
            </w:tcMar>
            <w:vAlign w:val="bottom"/>
          </w:tcPr>
          <w:p w14:paraId="74DDA7F0" w14:textId="77777777" w:rsidR="00584EC1" w:rsidRDefault="00871F8D">
            <w:pPr>
              <w:jc w:val="center"/>
              <w:textAlignment w:val="bottom"/>
            </w:pPr>
            <w:r>
              <w:rPr>
                <w:rFonts w:ascii="Arial" w:eastAsia="宋体" w:hAnsi="Arial" w:cs="Arial"/>
                <w:b/>
                <w:bCs/>
                <w:color w:val="000000"/>
                <w:sz w:val="18"/>
                <w:szCs w:val="18"/>
              </w:rPr>
              <w:t>Three Months Ended September 30,</w:t>
            </w:r>
          </w:p>
        </w:tc>
        <w:tc>
          <w:tcPr>
            <w:tcW w:w="0" w:type="auto"/>
            <w:gridSpan w:val="3"/>
            <w:shd w:val="clear" w:color="auto" w:fill="auto"/>
            <w:tcMar>
              <w:top w:w="0" w:type="dxa"/>
              <w:left w:w="20" w:type="dxa"/>
              <w:bottom w:w="0" w:type="dxa"/>
              <w:right w:w="20" w:type="dxa"/>
            </w:tcMar>
            <w:vAlign w:val="bottom"/>
          </w:tcPr>
          <w:p w14:paraId="74DDA7F1" w14:textId="77777777" w:rsidR="00584EC1" w:rsidRDefault="00584EC1">
            <w:pPr>
              <w:rPr>
                <w:rFonts w:ascii="宋体"/>
              </w:rPr>
            </w:pPr>
          </w:p>
        </w:tc>
        <w:tc>
          <w:tcPr>
            <w:tcW w:w="0" w:type="auto"/>
            <w:gridSpan w:val="9"/>
            <w:shd w:val="clear" w:color="auto" w:fill="auto"/>
            <w:tcMar>
              <w:top w:w="40" w:type="dxa"/>
              <w:left w:w="20" w:type="dxa"/>
              <w:bottom w:w="40" w:type="dxa"/>
              <w:right w:w="20" w:type="dxa"/>
            </w:tcMar>
            <w:vAlign w:val="bottom"/>
          </w:tcPr>
          <w:p w14:paraId="74DDA7F2" w14:textId="77777777" w:rsidR="00584EC1" w:rsidRDefault="00871F8D">
            <w:pPr>
              <w:jc w:val="center"/>
              <w:textAlignment w:val="bottom"/>
            </w:pPr>
            <w:r>
              <w:rPr>
                <w:rFonts w:ascii="Arial" w:eastAsia="宋体" w:hAnsi="Arial" w:cs="Arial"/>
                <w:b/>
                <w:bCs/>
                <w:color w:val="000000"/>
                <w:sz w:val="18"/>
                <w:szCs w:val="18"/>
              </w:rPr>
              <w:t>Nine Months Ended September 30,</w:t>
            </w:r>
          </w:p>
        </w:tc>
        <w:tc>
          <w:tcPr>
            <w:tcW w:w="0" w:type="auto"/>
            <w:shd w:val="clear" w:color="auto" w:fill="auto"/>
            <w:vAlign w:val="bottom"/>
          </w:tcPr>
          <w:p w14:paraId="74DDA7F3" w14:textId="77777777" w:rsidR="00584EC1" w:rsidRDefault="00584EC1">
            <w:pPr>
              <w:rPr>
                <w:rFonts w:ascii="宋体"/>
                <w:vanish/>
              </w:rPr>
            </w:pPr>
          </w:p>
        </w:tc>
        <w:tc>
          <w:tcPr>
            <w:tcW w:w="0" w:type="auto"/>
            <w:shd w:val="clear" w:color="auto" w:fill="auto"/>
            <w:vAlign w:val="bottom"/>
          </w:tcPr>
          <w:p w14:paraId="74DDA7F4" w14:textId="77777777" w:rsidR="00584EC1" w:rsidRDefault="00584EC1">
            <w:pPr>
              <w:rPr>
                <w:rFonts w:ascii="宋体"/>
                <w:vanish/>
              </w:rPr>
            </w:pPr>
          </w:p>
        </w:tc>
      </w:tr>
      <w:tr w:rsidR="00584EC1" w14:paraId="74DDA800" w14:textId="77777777">
        <w:tc>
          <w:tcPr>
            <w:tcW w:w="0" w:type="auto"/>
            <w:gridSpan w:val="3"/>
            <w:shd w:val="clear" w:color="auto" w:fill="auto"/>
            <w:tcMar>
              <w:top w:w="40" w:type="dxa"/>
              <w:left w:w="20" w:type="dxa"/>
              <w:bottom w:w="40" w:type="dxa"/>
              <w:right w:w="20" w:type="dxa"/>
            </w:tcMar>
            <w:vAlign w:val="bottom"/>
          </w:tcPr>
          <w:p w14:paraId="74DDA7F6" w14:textId="77777777" w:rsidR="00584EC1" w:rsidRDefault="00871F8D">
            <w:pPr>
              <w:textAlignment w:val="bottom"/>
            </w:pPr>
            <w:r>
              <w:rPr>
                <w:rFonts w:ascii="Arial" w:eastAsia="宋体" w:hAnsi="Arial" w:cs="Arial"/>
                <w:b/>
                <w:bCs/>
                <w:color w:val="000000"/>
                <w:sz w:val="18"/>
                <w:szCs w:val="18"/>
              </w:rPr>
              <w:t>(Dollars in millions, except per share amounts)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A7F7" w14:textId="77777777" w:rsidR="00584EC1" w:rsidRDefault="00871F8D">
            <w:pPr>
              <w:jc w:val="center"/>
              <w:textAlignment w:val="bottom"/>
            </w:pPr>
            <w:r>
              <w:rPr>
                <w:rFonts w:ascii="Arial" w:eastAsia="宋体" w:hAnsi="Arial" w:cs="Arial"/>
                <w:b/>
                <w:bCs/>
                <w:color w:val="000000"/>
                <w:sz w:val="18"/>
                <w:szCs w:val="18"/>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A7F8"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A7F9" w14:textId="77777777" w:rsidR="00584EC1" w:rsidRDefault="00871F8D">
            <w:pPr>
              <w:jc w:val="center"/>
              <w:textAlignment w:val="bottom"/>
            </w:pPr>
            <w:r>
              <w:rPr>
                <w:rFonts w:ascii="Arial" w:eastAsia="宋体" w:hAnsi="Arial" w:cs="Arial"/>
                <w:b/>
                <w:bCs/>
                <w:color w:val="000000"/>
                <w:sz w:val="18"/>
                <w:szCs w:val="18"/>
              </w:rPr>
              <w:t>2020</w:t>
            </w:r>
          </w:p>
        </w:tc>
        <w:tc>
          <w:tcPr>
            <w:tcW w:w="0" w:type="auto"/>
            <w:gridSpan w:val="3"/>
            <w:shd w:val="clear" w:color="auto" w:fill="auto"/>
            <w:tcMar>
              <w:top w:w="0" w:type="dxa"/>
              <w:left w:w="20" w:type="dxa"/>
              <w:bottom w:w="0" w:type="dxa"/>
              <w:right w:w="20" w:type="dxa"/>
            </w:tcMar>
            <w:vAlign w:val="bottom"/>
          </w:tcPr>
          <w:p w14:paraId="74DDA7FA"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A7FB" w14:textId="77777777" w:rsidR="00584EC1" w:rsidRDefault="00871F8D">
            <w:pPr>
              <w:jc w:val="center"/>
              <w:textAlignment w:val="bottom"/>
            </w:pPr>
            <w:r>
              <w:rPr>
                <w:rFonts w:ascii="Arial" w:eastAsia="宋体" w:hAnsi="Arial" w:cs="Arial"/>
                <w:b/>
                <w:bCs/>
                <w:color w:val="000000"/>
                <w:sz w:val="18"/>
                <w:szCs w:val="18"/>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A7FC"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A7FD" w14:textId="77777777" w:rsidR="00584EC1" w:rsidRDefault="00871F8D">
            <w:pPr>
              <w:jc w:val="center"/>
              <w:textAlignment w:val="bottom"/>
            </w:pPr>
            <w:r>
              <w:rPr>
                <w:rFonts w:ascii="Arial" w:eastAsia="宋体" w:hAnsi="Arial" w:cs="Arial"/>
                <w:b/>
                <w:bCs/>
                <w:color w:val="000000"/>
                <w:sz w:val="18"/>
                <w:szCs w:val="18"/>
              </w:rPr>
              <w:t>2020</w:t>
            </w:r>
          </w:p>
        </w:tc>
        <w:tc>
          <w:tcPr>
            <w:tcW w:w="0" w:type="auto"/>
            <w:shd w:val="clear" w:color="auto" w:fill="auto"/>
            <w:vAlign w:val="bottom"/>
          </w:tcPr>
          <w:p w14:paraId="74DDA7FE" w14:textId="77777777" w:rsidR="00584EC1" w:rsidRDefault="00584EC1">
            <w:pPr>
              <w:rPr>
                <w:rFonts w:ascii="宋体"/>
                <w:vanish/>
              </w:rPr>
            </w:pPr>
          </w:p>
        </w:tc>
        <w:tc>
          <w:tcPr>
            <w:tcW w:w="0" w:type="auto"/>
            <w:shd w:val="clear" w:color="auto" w:fill="auto"/>
            <w:vAlign w:val="bottom"/>
          </w:tcPr>
          <w:p w14:paraId="74DDA7FF" w14:textId="77777777" w:rsidR="00584EC1" w:rsidRDefault="00584EC1">
            <w:pPr>
              <w:rPr>
                <w:rFonts w:ascii="宋体"/>
                <w:vanish/>
              </w:rPr>
            </w:pPr>
          </w:p>
        </w:tc>
      </w:tr>
      <w:tr w:rsidR="00584EC1" w14:paraId="74DDA80B" w14:textId="77777777">
        <w:tc>
          <w:tcPr>
            <w:tcW w:w="0" w:type="auto"/>
            <w:gridSpan w:val="3"/>
            <w:shd w:val="clear" w:color="auto" w:fill="auto"/>
            <w:tcMar>
              <w:top w:w="40" w:type="dxa"/>
              <w:left w:w="20" w:type="dxa"/>
              <w:bottom w:w="40" w:type="dxa"/>
              <w:right w:w="20" w:type="dxa"/>
            </w:tcMar>
            <w:vAlign w:val="bottom"/>
          </w:tcPr>
          <w:p w14:paraId="74DDA801" w14:textId="77777777" w:rsidR="00584EC1" w:rsidRDefault="00871F8D">
            <w:pPr>
              <w:textAlignment w:val="bottom"/>
            </w:pPr>
            <w:r>
              <w:rPr>
                <w:rFonts w:ascii="Arial" w:eastAsia="宋体" w:hAnsi="Arial" w:cs="Arial"/>
                <w:b/>
                <w:bCs/>
                <w:color w:val="000000"/>
                <w:sz w:val="18"/>
                <w:szCs w:val="18"/>
              </w:rPr>
              <w:t>Fee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A80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A803"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A804"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A805"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A806"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A807"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A808" w14:textId="77777777" w:rsidR="00584EC1" w:rsidRDefault="00584EC1">
            <w:pPr>
              <w:rPr>
                <w:rFonts w:ascii="宋体"/>
              </w:rPr>
            </w:pPr>
          </w:p>
        </w:tc>
        <w:tc>
          <w:tcPr>
            <w:tcW w:w="0" w:type="auto"/>
            <w:shd w:val="clear" w:color="auto" w:fill="auto"/>
            <w:vAlign w:val="bottom"/>
          </w:tcPr>
          <w:p w14:paraId="74DDA809" w14:textId="77777777" w:rsidR="00584EC1" w:rsidRDefault="00584EC1">
            <w:pPr>
              <w:rPr>
                <w:rFonts w:ascii="宋体"/>
                <w:vanish/>
              </w:rPr>
            </w:pPr>
          </w:p>
        </w:tc>
        <w:tc>
          <w:tcPr>
            <w:tcW w:w="0" w:type="auto"/>
            <w:shd w:val="clear" w:color="auto" w:fill="auto"/>
            <w:vAlign w:val="bottom"/>
          </w:tcPr>
          <w:p w14:paraId="74DDA80A" w14:textId="77777777" w:rsidR="00584EC1" w:rsidRDefault="00584EC1">
            <w:pPr>
              <w:rPr>
                <w:rFonts w:ascii="宋体"/>
                <w:vanish/>
              </w:rPr>
            </w:pPr>
          </w:p>
        </w:tc>
      </w:tr>
      <w:tr w:rsidR="00584EC1" w14:paraId="74DDA81E" w14:textId="77777777">
        <w:tc>
          <w:tcPr>
            <w:tcW w:w="0" w:type="auto"/>
            <w:gridSpan w:val="3"/>
            <w:shd w:val="clear" w:color="auto" w:fill="CCEEFF"/>
            <w:tcMar>
              <w:top w:w="40" w:type="dxa"/>
              <w:left w:w="20" w:type="dxa"/>
              <w:bottom w:w="40" w:type="dxa"/>
              <w:right w:w="20" w:type="dxa"/>
            </w:tcMar>
            <w:vAlign w:val="bottom"/>
          </w:tcPr>
          <w:p w14:paraId="74DDA80C" w14:textId="77777777" w:rsidR="00584EC1" w:rsidRDefault="00871F8D">
            <w:pPr>
              <w:textAlignment w:val="bottom"/>
            </w:pPr>
            <w:r>
              <w:rPr>
                <w:rFonts w:ascii="Arial" w:eastAsia="宋体" w:hAnsi="Arial" w:cs="Arial"/>
                <w:color w:val="000000"/>
                <w:sz w:val="18"/>
                <w:szCs w:val="18"/>
              </w:rPr>
              <w:t>Servicing fees</w:t>
            </w:r>
          </w:p>
        </w:tc>
        <w:tc>
          <w:tcPr>
            <w:tcW w:w="0" w:type="auto"/>
            <w:shd w:val="clear" w:color="auto" w:fill="CCEEFF"/>
            <w:tcMar>
              <w:top w:w="40" w:type="dxa"/>
              <w:left w:w="20" w:type="dxa"/>
              <w:bottom w:w="40" w:type="dxa"/>
              <w:right w:w="0" w:type="dxa"/>
            </w:tcMar>
            <w:vAlign w:val="bottom"/>
          </w:tcPr>
          <w:p w14:paraId="74DDA80D" w14:textId="77777777" w:rsidR="00584EC1" w:rsidRDefault="00871F8D">
            <w:pPr>
              <w:textAlignment w:val="bottom"/>
            </w:pPr>
            <w:r>
              <w:rPr>
                <w:rFonts w:ascii="Arial" w:eastAsia="宋体" w:hAnsi="Arial" w:cs="Arial"/>
                <w:b/>
                <w:bCs/>
                <w:color w:val="000000"/>
                <w:sz w:val="18"/>
                <w:szCs w:val="18"/>
              </w:rPr>
              <w:t>$</w:t>
            </w:r>
          </w:p>
        </w:tc>
        <w:tc>
          <w:tcPr>
            <w:tcW w:w="0" w:type="auto"/>
            <w:shd w:val="clear" w:color="auto" w:fill="CCEEFF"/>
            <w:tcMar>
              <w:top w:w="40" w:type="dxa"/>
              <w:left w:w="0" w:type="dxa"/>
              <w:bottom w:w="40" w:type="dxa"/>
              <w:right w:w="0" w:type="dxa"/>
            </w:tcMar>
            <w:vAlign w:val="bottom"/>
          </w:tcPr>
          <w:p w14:paraId="74DDA80E" w14:textId="77777777" w:rsidR="00584EC1" w:rsidRDefault="00871F8D">
            <w:pPr>
              <w:jc w:val="right"/>
              <w:textAlignment w:val="bottom"/>
            </w:pPr>
            <w:r>
              <w:rPr>
                <w:rFonts w:ascii="Arial" w:eastAsia="宋体" w:hAnsi="Arial" w:cs="Arial"/>
                <w:b/>
                <w:bCs/>
                <w:color w:val="000000"/>
                <w:sz w:val="18"/>
                <w:szCs w:val="18"/>
              </w:rPr>
              <w:t>1,395</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4DDA80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810"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A811" w14:textId="77777777" w:rsidR="00584EC1" w:rsidRDefault="00871F8D">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74DDA812" w14:textId="77777777" w:rsidR="00584EC1" w:rsidRDefault="00871F8D">
            <w:pPr>
              <w:jc w:val="right"/>
              <w:textAlignment w:val="bottom"/>
            </w:pPr>
            <w:r>
              <w:rPr>
                <w:rFonts w:ascii="Arial" w:eastAsia="宋体" w:hAnsi="Arial" w:cs="Arial"/>
                <w:color w:val="000000"/>
                <w:sz w:val="18"/>
                <w:szCs w:val="18"/>
              </w:rPr>
              <w:t>1,301 </w:t>
            </w:r>
          </w:p>
        </w:tc>
        <w:tc>
          <w:tcPr>
            <w:tcW w:w="0" w:type="auto"/>
            <w:shd w:val="clear" w:color="auto" w:fill="CCEEFF"/>
            <w:tcMar>
              <w:top w:w="40" w:type="dxa"/>
              <w:left w:w="0" w:type="dxa"/>
              <w:bottom w:w="40" w:type="dxa"/>
              <w:right w:w="20" w:type="dxa"/>
            </w:tcMar>
            <w:vAlign w:val="bottom"/>
          </w:tcPr>
          <w:p w14:paraId="74DDA81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814"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A815" w14:textId="77777777" w:rsidR="00584EC1" w:rsidRDefault="00871F8D">
            <w:pPr>
              <w:textAlignment w:val="bottom"/>
            </w:pPr>
            <w:r>
              <w:rPr>
                <w:rFonts w:ascii="Arial" w:eastAsia="宋体" w:hAnsi="Arial" w:cs="Arial"/>
                <w:b/>
                <w:bCs/>
                <w:color w:val="000000"/>
                <w:sz w:val="18"/>
                <w:szCs w:val="18"/>
              </w:rPr>
              <w:t>$</w:t>
            </w:r>
          </w:p>
        </w:tc>
        <w:tc>
          <w:tcPr>
            <w:tcW w:w="0" w:type="auto"/>
            <w:shd w:val="clear" w:color="auto" w:fill="CCEEFF"/>
            <w:tcMar>
              <w:top w:w="40" w:type="dxa"/>
              <w:left w:w="0" w:type="dxa"/>
              <w:bottom w:w="40" w:type="dxa"/>
              <w:right w:w="0" w:type="dxa"/>
            </w:tcMar>
            <w:vAlign w:val="bottom"/>
          </w:tcPr>
          <w:p w14:paraId="74DDA816" w14:textId="77777777" w:rsidR="00584EC1" w:rsidRDefault="00871F8D">
            <w:pPr>
              <w:jc w:val="right"/>
              <w:textAlignment w:val="bottom"/>
            </w:pPr>
            <w:r>
              <w:rPr>
                <w:rFonts w:ascii="Arial" w:eastAsia="宋体" w:hAnsi="Arial" w:cs="Arial"/>
                <w:b/>
                <w:bCs/>
                <w:color w:val="000000"/>
                <w:sz w:val="18"/>
                <w:szCs w:val="18"/>
              </w:rPr>
              <w:t>4,165</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4DDA81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818"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A819" w14:textId="77777777" w:rsidR="00584EC1" w:rsidRDefault="00871F8D">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74DDA81A" w14:textId="77777777" w:rsidR="00584EC1" w:rsidRDefault="00871F8D">
            <w:pPr>
              <w:jc w:val="right"/>
              <w:textAlignment w:val="bottom"/>
            </w:pPr>
            <w:r>
              <w:rPr>
                <w:rFonts w:ascii="Arial" w:eastAsia="宋体" w:hAnsi="Arial" w:cs="Arial"/>
                <w:color w:val="000000"/>
                <w:sz w:val="18"/>
                <w:szCs w:val="18"/>
              </w:rPr>
              <w:t>3,860 </w:t>
            </w:r>
          </w:p>
        </w:tc>
        <w:tc>
          <w:tcPr>
            <w:tcW w:w="0" w:type="auto"/>
            <w:shd w:val="clear" w:color="auto" w:fill="CCEEFF"/>
            <w:tcMar>
              <w:top w:w="40" w:type="dxa"/>
              <w:left w:w="0" w:type="dxa"/>
              <w:bottom w:w="40" w:type="dxa"/>
              <w:right w:w="20" w:type="dxa"/>
            </w:tcMar>
            <w:vAlign w:val="bottom"/>
          </w:tcPr>
          <w:p w14:paraId="74DDA81B" w14:textId="77777777" w:rsidR="00584EC1" w:rsidRDefault="00584EC1">
            <w:pPr>
              <w:jc w:val="right"/>
              <w:rPr>
                <w:rFonts w:ascii="宋体"/>
              </w:rPr>
            </w:pPr>
          </w:p>
        </w:tc>
        <w:tc>
          <w:tcPr>
            <w:tcW w:w="0" w:type="auto"/>
            <w:shd w:val="clear" w:color="auto" w:fill="auto"/>
            <w:vAlign w:val="bottom"/>
          </w:tcPr>
          <w:p w14:paraId="74DDA81C" w14:textId="77777777" w:rsidR="00584EC1" w:rsidRDefault="00584EC1">
            <w:pPr>
              <w:rPr>
                <w:rFonts w:ascii="宋体"/>
                <w:vanish/>
              </w:rPr>
            </w:pPr>
          </w:p>
        </w:tc>
        <w:tc>
          <w:tcPr>
            <w:tcW w:w="0" w:type="auto"/>
            <w:shd w:val="clear" w:color="auto" w:fill="auto"/>
            <w:vAlign w:val="bottom"/>
          </w:tcPr>
          <w:p w14:paraId="74DDA81D" w14:textId="77777777" w:rsidR="00584EC1" w:rsidRDefault="00584EC1">
            <w:pPr>
              <w:rPr>
                <w:rFonts w:ascii="宋体"/>
                <w:vanish/>
              </w:rPr>
            </w:pPr>
          </w:p>
        </w:tc>
      </w:tr>
      <w:tr w:rsidR="00584EC1" w14:paraId="74DDA82D" w14:textId="77777777">
        <w:tc>
          <w:tcPr>
            <w:tcW w:w="0" w:type="auto"/>
            <w:gridSpan w:val="3"/>
            <w:shd w:val="clear" w:color="auto" w:fill="FFFFFF"/>
            <w:tcMar>
              <w:top w:w="40" w:type="dxa"/>
              <w:left w:w="20" w:type="dxa"/>
              <w:bottom w:w="40" w:type="dxa"/>
              <w:right w:w="20" w:type="dxa"/>
            </w:tcMar>
            <w:vAlign w:val="bottom"/>
          </w:tcPr>
          <w:p w14:paraId="74DDA81F" w14:textId="77777777" w:rsidR="00584EC1" w:rsidRDefault="00871F8D">
            <w:pPr>
              <w:textAlignment w:val="bottom"/>
            </w:pPr>
            <w:r>
              <w:rPr>
                <w:rFonts w:ascii="Arial" w:eastAsia="宋体" w:hAnsi="Arial" w:cs="Arial"/>
                <w:color w:val="000000"/>
                <w:sz w:val="18"/>
                <w:szCs w:val="18"/>
              </w:rPr>
              <w:t>Management fees</w:t>
            </w:r>
          </w:p>
        </w:tc>
        <w:tc>
          <w:tcPr>
            <w:tcW w:w="0" w:type="auto"/>
            <w:gridSpan w:val="2"/>
            <w:shd w:val="clear" w:color="auto" w:fill="FFFFFF"/>
            <w:tcMar>
              <w:top w:w="40" w:type="dxa"/>
              <w:left w:w="20" w:type="dxa"/>
              <w:bottom w:w="40" w:type="dxa"/>
              <w:right w:w="0" w:type="dxa"/>
            </w:tcMar>
            <w:vAlign w:val="bottom"/>
          </w:tcPr>
          <w:p w14:paraId="74DDA820" w14:textId="77777777" w:rsidR="00584EC1" w:rsidRDefault="00871F8D">
            <w:pPr>
              <w:jc w:val="right"/>
              <w:textAlignment w:val="bottom"/>
            </w:pPr>
            <w:r>
              <w:rPr>
                <w:rFonts w:ascii="Arial" w:eastAsia="宋体" w:hAnsi="Arial" w:cs="Arial"/>
                <w:b/>
                <w:bCs/>
                <w:color w:val="000000"/>
                <w:sz w:val="18"/>
                <w:szCs w:val="18"/>
              </w:rPr>
              <w:t>526</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4DDA82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82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A823" w14:textId="77777777" w:rsidR="00584EC1" w:rsidRDefault="00871F8D">
            <w:pPr>
              <w:jc w:val="right"/>
              <w:textAlignment w:val="bottom"/>
            </w:pPr>
            <w:r>
              <w:rPr>
                <w:rFonts w:ascii="Arial" w:eastAsia="宋体" w:hAnsi="Arial" w:cs="Arial"/>
                <w:color w:val="000000"/>
                <w:sz w:val="18"/>
                <w:szCs w:val="18"/>
              </w:rPr>
              <w:t>479 </w:t>
            </w:r>
          </w:p>
        </w:tc>
        <w:tc>
          <w:tcPr>
            <w:tcW w:w="0" w:type="auto"/>
            <w:shd w:val="clear" w:color="auto" w:fill="FFFFFF"/>
            <w:tcMar>
              <w:top w:w="40" w:type="dxa"/>
              <w:left w:w="0" w:type="dxa"/>
              <w:bottom w:w="40" w:type="dxa"/>
              <w:right w:w="20" w:type="dxa"/>
            </w:tcMar>
            <w:vAlign w:val="bottom"/>
          </w:tcPr>
          <w:p w14:paraId="74DDA82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825"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A826" w14:textId="77777777" w:rsidR="00584EC1" w:rsidRDefault="00871F8D">
            <w:pPr>
              <w:jc w:val="right"/>
              <w:textAlignment w:val="bottom"/>
            </w:pPr>
            <w:r>
              <w:rPr>
                <w:rFonts w:ascii="Arial" w:eastAsia="宋体" w:hAnsi="Arial" w:cs="Arial"/>
                <w:b/>
                <w:bCs/>
                <w:color w:val="000000"/>
                <w:sz w:val="18"/>
                <w:szCs w:val="18"/>
              </w:rPr>
              <w:t>1,523</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4DDA82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828"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A829" w14:textId="77777777" w:rsidR="00584EC1" w:rsidRDefault="00871F8D">
            <w:pPr>
              <w:jc w:val="right"/>
              <w:textAlignment w:val="bottom"/>
            </w:pPr>
            <w:r>
              <w:rPr>
                <w:rFonts w:ascii="Arial" w:eastAsia="宋体" w:hAnsi="Arial" w:cs="Arial"/>
                <w:color w:val="000000"/>
                <w:sz w:val="18"/>
                <w:szCs w:val="18"/>
              </w:rPr>
              <w:t>1,387 </w:t>
            </w:r>
          </w:p>
        </w:tc>
        <w:tc>
          <w:tcPr>
            <w:tcW w:w="0" w:type="auto"/>
            <w:shd w:val="clear" w:color="auto" w:fill="FFFFFF"/>
            <w:tcMar>
              <w:top w:w="40" w:type="dxa"/>
              <w:left w:w="0" w:type="dxa"/>
              <w:bottom w:w="40" w:type="dxa"/>
              <w:right w:w="20" w:type="dxa"/>
            </w:tcMar>
            <w:vAlign w:val="bottom"/>
          </w:tcPr>
          <w:p w14:paraId="74DDA82A" w14:textId="77777777" w:rsidR="00584EC1" w:rsidRDefault="00584EC1">
            <w:pPr>
              <w:jc w:val="right"/>
              <w:rPr>
                <w:rFonts w:ascii="宋体"/>
              </w:rPr>
            </w:pPr>
          </w:p>
        </w:tc>
        <w:tc>
          <w:tcPr>
            <w:tcW w:w="0" w:type="auto"/>
            <w:shd w:val="clear" w:color="auto" w:fill="auto"/>
            <w:vAlign w:val="bottom"/>
          </w:tcPr>
          <w:p w14:paraId="74DDA82B" w14:textId="77777777" w:rsidR="00584EC1" w:rsidRDefault="00584EC1">
            <w:pPr>
              <w:rPr>
                <w:rFonts w:ascii="宋体"/>
                <w:vanish/>
              </w:rPr>
            </w:pPr>
          </w:p>
        </w:tc>
        <w:tc>
          <w:tcPr>
            <w:tcW w:w="0" w:type="auto"/>
            <w:shd w:val="clear" w:color="auto" w:fill="auto"/>
            <w:vAlign w:val="bottom"/>
          </w:tcPr>
          <w:p w14:paraId="74DDA82C" w14:textId="77777777" w:rsidR="00584EC1" w:rsidRDefault="00584EC1">
            <w:pPr>
              <w:rPr>
                <w:rFonts w:ascii="宋体"/>
                <w:vanish/>
              </w:rPr>
            </w:pPr>
          </w:p>
        </w:tc>
      </w:tr>
      <w:tr w:rsidR="00584EC1" w14:paraId="74DDA83C" w14:textId="77777777">
        <w:tc>
          <w:tcPr>
            <w:tcW w:w="0" w:type="auto"/>
            <w:gridSpan w:val="3"/>
            <w:shd w:val="clear" w:color="auto" w:fill="CCEEFF"/>
            <w:tcMar>
              <w:top w:w="40" w:type="dxa"/>
              <w:left w:w="20" w:type="dxa"/>
              <w:bottom w:w="40" w:type="dxa"/>
              <w:right w:w="20" w:type="dxa"/>
            </w:tcMar>
            <w:vAlign w:val="bottom"/>
          </w:tcPr>
          <w:p w14:paraId="74DDA82E" w14:textId="77777777" w:rsidR="00584EC1" w:rsidRDefault="00871F8D">
            <w:pPr>
              <w:textAlignment w:val="bottom"/>
            </w:pPr>
            <w:r>
              <w:rPr>
                <w:rFonts w:ascii="Arial" w:eastAsia="宋体" w:hAnsi="Arial" w:cs="Arial"/>
                <w:color w:val="000000"/>
                <w:sz w:val="18"/>
                <w:szCs w:val="18"/>
              </w:rPr>
              <w:t xml:space="preserve">Foreign exchange trading services </w:t>
            </w:r>
          </w:p>
        </w:tc>
        <w:tc>
          <w:tcPr>
            <w:tcW w:w="0" w:type="auto"/>
            <w:gridSpan w:val="2"/>
            <w:shd w:val="clear" w:color="auto" w:fill="CCEEFF"/>
            <w:tcMar>
              <w:top w:w="40" w:type="dxa"/>
              <w:left w:w="20" w:type="dxa"/>
              <w:bottom w:w="40" w:type="dxa"/>
              <w:right w:w="0" w:type="dxa"/>
            </w:tcMar>
            <w:vAlign w:val="bottom"/>
          </w:tcPr>
          <w:p w14:paraId="74DDA82F" w14:textId="77777777" w:rsidR="00584EC1" w:rsidRDefault="00871F8D">
            <w:pPr>
              <w:jc w:val="right"/>
              <w:textAlignment w:val="bottom"/>
            </w:pPr>
            <w:r>
              <w:rPr>
                <w:rFonts w:ascii="Arial" w:eastAsia="宋体" w:hAnsi="Arial" w:cs="Arial"/>
                <w:b/>
                <w:bCs/>
                <w:color w:val="000000"/>
                <w:sz w:val="18"/>
                <w:szCs w:val="18"/>
              </w:rPr>
              <w:t>279</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4DDA83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83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A832" w14:textId="77777777" w:rsidR="00584EC1" w:rsidRDefault="00871F8D">
            <w:pPr>
              <w:jc w:val="right"/>
              <w:textAlignment w:val="bottom"/>
            </w:pPr>
            <w:r>
              <w:rPr>
                <w:rFonts w:ascii="Arial" w:eastAsia="宋体" w:hAnsi="Arial" w:cs="Arial"/>
                <w:color w:val="000000"/>
                <w:sz w:val="18"/>
                <w:szCs w:val="18"/>
              </w:rPr>
              <w:t>270 </w:t>
            </w:r>
          </w:p>
        </w:tc>
        <w:tc>
          <w:tcPr>
            <w:tcW w:w="0" w:type="auto"/>
            <w:shd w:val="clear" w:color="auto" w:fill="CCEEFF"/>
            <w:tcMar>
              <w:top w:w="40" w:type="dxa"/>
              <w:left w:w="0" w:type="dxa"/>
              <w:bottom w:w="40" w:type="dxa"/>
              <w:right w:w="20" w:type="dxa"/>
            </w:tcMar>
            <w:vAlign w:val="bottom"/>
          </w:tcPr>
          <w:p w14:paraId="74DDA83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834"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A835" w14:textId="77777777" w:rsidR="00584EC1" w:rsidRDefault="00871F8D">
            <w:pPr>
              <w:jc w:val="right"/>
              <w:textAlignment w:val="bottom"/>
            </w:pPr>
            <w:r>
              <w:rPr>
                <w:rFonts w:ascii="Arial" w:eastAsia="宋体" w:hAnsi="Arial" w:cs="Arial"/>
                <w:b/>
                <w:bCs/>
                <w:color w:val="000000"/>
                <w:sz w:val="18"/>
                <w:szCs w:val="18"/>
              </w:rPr>
              <w:t>911</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4DDA83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83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A838" w14:textId="77777777" w:rsidR="00584EC1" w:rsidRDefault="00871F8D">
            <w:pPr>
              <w:jc w:val="right"/>
              <w:textAlignment w:val="bottom"/>
            </w:pPr>
            <w:r>
              <w:rPr>
                <w:rFonts w:ascii="Arial" w:eastAsia="宋体" w:hAnsi="Arial" w:cs="Arial"/>
                <w:color w:val="000000"/>
                <w:sz w:val="18"/>
                <w:szCs w:val="18"/>
              </w:rPr>
              <w:t>1,039 </w:t>
            </w:r>
          </w:p>
        </w:tc>
        <w:tc>
          <w:tcPr>
            <w:tcW w:w="0" w:type="auto"/>
            <w:shd w:val="clear" w:color="auto" w:fill="CCEEFF"/>
            <w:tcMar>
              <w:top w:w="40" w:type="dxa"/>
              <w:left w:w="0" w:type="dxa"/>
              <w:bottom w:w="40" w:type="dxa"/>
              <w:right w:w="20" w:type="dxa"/>
            </w:tcMar>
            <w:vAlign w:val="bottom"/>
          </w:tcPr>
          <w:p w14:paraId="74DDA839" w14:textId="77777777" w:rsidR="00584EC1" w:rsidRDefault="00584EC1">
            <w:pPr>
              <w:jc w:val="right"/>
              <w:rPr>
                <w:rFonts w:ascii="宋体"/>
              </w:rPr>
            </w:pPr>
          </w:p>
        </w:tc>
        <w:tc>
          <w:tcPr>
            <w:tcW w:w="0" w:type="auto"/>
            <w:shd w:val="clear" w:color="auto" w:fill="auto"/>
            <w:vAlign w:val="bottom"/>
          </w:tcPr>
          <w:p w14:paraId="74DDA83A" w14:textId="77777777" w:rsidR="00584EC1" w:rsidRDefault="00584EC1">
            <w:pPr>
              <w:rPr>
                <w:rFonts w:ascii="宋体"/>
                <w:vanish/>
              </w:rPr>
            </w:pPr>
          </w:p>
        </w:tc>
        <w:tc>
          <w:tcPr>
            <w:tcW w:w="0" w:type="auto"/>
            <w:shd w:val="clear" w:color="auto" w:fill="auto"/>
            <w:vAlign w:val="bottom"/>
          </w:tcPr>
          <w:p w14:paraId="74DDA83B" w14:textId="77777777" w:rsidR="00584EC1" w:rsidRDefault="00584EC1">
            <w:pPr>
              <w:rPr>
                <w:rFonts w:ascii="宋体"/>
                <w:vanish/>
              </w:rPr>
            </w:pPr>
          </w:p>
        </w:tc>
      </w:tr>
      <w:tr w:rsidR="00584EC1" w14:paraId="74DDA84B" w14:textId="77777777">
        <w:tc>
          <w:tcPr>
            <w:tcW w:w="0" w:type="auto"/>
            <w:gridSpan w:val="3"/>
            <w:shd w:val="clear" w:color="auto" w:fill="FFFFFF"/>
            <w:tcMar>
              <w:top w:w="40" w:type="dxa"/>
              <w:left w:w="20" w:type="dxa"/>
              <w:bottom w:w="40" w:type="dxa"/>
              <w:right w:w="20" w:type="dxa"/>
            </w:tcMar>
            <w:vAlign w:val="bottom"/>
          </w:tcPr>
          <w:p w14:paraId="74DDA83D" w14:textId="77777777" w:rsidR="00584EC1" w:rsidRDefault="00871F8D">
            <w:pPr>
              <w:textAlignment w:val="bottom"/>
            </w:pPr>
            <w:r>
              <w:rPr>
                <w:rFonts w:ascii="Arial" w:eastAsia="宋体" w:hAnsi="Arial" w:cs="Arial"/>
                <w:color w:val="000000"/>
                <w:sz w:val="18"/>
                <w:szCs w:val="18"/>
              </w:rPr>
              <w:t>Securities finance</w:t>
            </w:r>
          </w:p>
        </w:tc>
        <w:tc>
          <w:tcPr>
            <w:tcW w:w="0" w:type="auto"/>
            <w:gridSpan w:val="2"/>
            <w:shd w:val="clear" w:color="auto" w:fill="FFFFFF"/>
            <w:tcMar>
              <w:top w:w="40" w:type="dxa"/>
              <w:left w:w="20" w:type="dxa"/>
              <w:bottom w:w="40" w:type="dxa"/>
              <w:right w:w="0" w:type="dxa"/>
            </w:tcMar>
            <w:vAlign w:val="bottom"/>
          </w:tcPr>
          <w:p w14:paraId="74DDA83E" w14:textId="77777777" w:rsidR="00584EC1" w:rsidRDefault="00871F8D">
            <w:pPr>
              <w:jc w:val="right"/>
              <w:textAlignment w:val="bottom"/>
            </w:pPr>
            <w:r>
              <w:rPr>
                <w:rFonts w:ascii="Arial" w:eastAsia="宋体" w:hAnsi="Arial" w:cs="Arial"/>
                <w:b/>
                <w:bCs/>
                <w:color w:val="000000"/>
                <w:sz w:val="18"/>
                <w:szCs w:val="18"/>
              </w:rPr>
              <w:t>106</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4DDA83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84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A841" w14:textId="77777777" w:rsidR="00584EC1" w:rsidRDefault="00871F8D">
            <w:pPr>
              <w:jc w:val="right"/>
              <w:textAlignment w:val="bottom"/>
            </w:pPr>
            <w:r>
              <w:rPr>
                <w:rFonts w:ascii="Arial" w:eastAsia="宋体" w:hAnsi="Arial" w:cs="Arial"/>
                <w:color w:val="000000"/>
                <w:sz w:val="18"/>
                <w:szCs w:val="18"/>
              </w:rPr>
              <w:t>84 </w:t>
            </w:r>
          </w:p>
        </w:tc>
        <w:tc>
          <w:tcPr>
            <w:tcW w:w="0" w:type="auto"/>
            <w:shd w:val="clear" w:color="auto" w:fill="FFFFFF"/>
            <w:tcMar>
              <w:top w:w="40" w:type="dxa"/>
              <w:left w:w="0" w:type="dxa"/>
              <w:bottom w:w="40" w:type="dxa"/>
              <w:right w:w="20" w:type="dxa"/>
            </w:tcMar>
            <w:vAlign w:val="bottom"/>
          </w:tcPr>
          <w:p w14:paraId="74DDA84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84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A844" w14:textId="77777777" w:rsidR="00584EC1" w:rsidRDefault="00871F8D">
            <w:pPr>
              <w:jc w:val="right"/>
              <w:textAlignment w:val="bottom"/>
            </w:pPr>
            <w:r>
              <w:rPr>
                <w:rFonts w:ascii="Arial" w:eastAsia="宋体" w:hAnsi="Arial" w:cs="Arial"/>
                <w:b/>
                <w:bCs/>
                <w:color w:val="000000"/>
                <w:sz w:val="18"/>
                <w:szCs w:val="18"/>
              </w:rPr>
              <w:t>314</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4DDA84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84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A847" w14:textId="77777777" w:rsidR="00584EC1" w:rsidRDefault="00871F8D">
            <w:pPr>
              <w:jc w:val="right"/>
              <w:textAlignment w:val="bottom"/>
            </w:pPr>
            <w:r>
              <w:rPr>
                <w:rFonts w:ascii="Arial" w:eastAsia="宋体" w:hAnsi="Arial" w:cs="Arial"/>
                <w:color w:val="000000"/>
                <w:sz w:val="18"/>
                <w:szCs w:val="18"/>
              </w:rPr>
              <w:t>268 </w:t>
            </w:r>
          </w:p>
        </w:tc>
        <w:tc>
          <w:tcPr>
            <w:tcW w:w="0" w:type="auto"/>
            <w:shd w:val="clear" w:color="auto" w:fill="FFFFFF"/>
            <w:tcMar>
              <w:top w:w="40" w:type="dxa"/>
              <w:left w:w="0" w:type="dxa"/>
              <w:bottom w:w="40" w:type="dxa"/>
              <w:right w:w="20" w:type="dxa"/>
            </w:tcMar>
            <w:vAlign w:val="bottom"/>
          </w:tcPr>
          <w:p w14:paraId="74DDA848" w14:textId="77777777" w:rsidR="00584EC1" w:rsidRDefault="00584EC1">
            <w:pPr>
              <w:jc w:val="right"/>
              <w:rPr>
                <w:rFonts w:ascii="宋体"/>
              </w:rPr>
            </w:pPr>
          </w:p>
        </w:tc>
        <w:tc>
          <w:tcPr>
            <w:tcW w:w="0" w:type="auto"/>
            <w:shd w:val="clear" w:color="auto" w:fill="auto"/>
            <w:vAlign w:val="bottom"/>
          </w:tcPr>
          <w:p w14:paraId="74DDA849" w14:textId="77777777" w:rsidR="00584EC1" w:rsidRDefault="00584EC1">
            <w:pPr>
              <w:rPr>
                <w:rFonts w:ascii="宋体"/>
                <w:vanish/>
              </w:rPr>
            </w:pPr>
          </w:p>
        </w:tc>
        <w:tc>
          <w:tcPr>
            <w:tcW w:w="0" w:type="auto"/>
            <w:shd w:val="clear" w:color="auto" w:fill="auto"/>
            <w:vAlign w:val="bottom"/>
          </w:tcPr>
          <w:p w14:paraId="74DDA84A" w14:textId="77777777" w:rsidR="00584EC1" w:rsidRDefault="00584EC1">
            <w:pPr>
              <w:rPr>
                <w:rFonts w:ascii="宋体"/>
                <w:vanish/>
              </w:rPr>
            </w:pPr>
          </w:p>
        </w:tc>
      </w:tr>
      <w:tr w:rsidR="00584EC1" w14:paraId="74DDA85A" w14:textId="77777777">
        <w:tc>
          <w:tcPr>
            <w:tcW w:w="0" w:type="auto"/>
            <w:gridSpan w:val="3"/>
            <w:shd w:val="clear" w:color="auto" w:fill="CCEEFF"/>
            <w:tcMar>
              <w:top w:w="40" w:type="dxa"/>
              <w:left w:w="20" w:type="dxa"/>
              <w:bottom w:w="40" w:type="dxa"/>
              <w:right w:w="20" w:type="dxa"/>
            </w:tcMar>
            <w:vAlign w:val="bottom"/>
          </w:tcPr>
          <w:p w14:paraId="74DDA84C" w14:textId="77777777" w:rsidR="00584EC1" w:rsidRDefault="00871F8D">
            <w:pPr>
              <w:textAlignment w:val="bottom"/>
            </w:pPr>
            <w:r>
              <w:rPr>
                <w:rFonts w:ascii="Arial" w:eastAsia="宋体" w:hAnsi="Arial" w:cs="Arial"/>
                <w:color w:val="000000"/>
                <w:sz w:val="18"/>
                <w:szCs w:val="18"/>
              </w:rPr>
              <w:t>Software and processing fees</w:t>
            </w:r>
          </w:p>
        </w:tc>
        <w:tc>
          <w:tcPr>
            <w:tcW w:w="0" w:type="auto"/>
            <w:gridSpan w:val="2"/>
            <w:shd w:val="clear" w:color="auto" w:fill="CCEEFF"/>
            <w:tcMar>
              <w:top w:w="40" w:type="dxa"/>
              <w:left w:w="20" w:type="dxa"/>
              <w:bottom w:w="40" w:type="dxa"/>
              <w:right w:w="0" w:type="dxa"/>
            </w:tcMar>
            <w:vAlign w:val="bottom"/>
          </w:tcPr>
          <w:p w14:paraId="74DDA84D" w14:textId="77777777" w:rsidR="00584EC1" w:rsidRDefault="00871F8D">
            <w:pPr>
              <w:jc w:val="right"/>
              <w:textAlignment w:val="bottom"/>
            </w:pPr>
            <w:r>
              <w:rPr>
                <w:rFonts w:ascii="Arial" w:eastAsia="宋体" w:hAnsi="Arial" w:cs="Arial"/>
                <w:b/>
                <w:bCs/>
                <w:color w:val="000000"/>
                <w:sz w:val="18"/>
                <w:szCs w:val="18"/>
              </w:rPr>
              <w:t>198</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4DDA84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84F"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A850" w14:textId="77777777" w:rsidR="00584EC1" w:rsidRDefault="00871F8D">
            <w:pPr>
              <w:jc w:val="right"/>
              <w:textAlignment w:val="bottom"/>
            </w:pPr>
            <w:r>
              <w:rPr>
                <w:rFonts w:ascii="Arial" w:eastAsia="宋体" w:hAnsi="Arial" w:cs="Arial"/>
                <w:color w:val="000000"/>
                <w:sz w:val="18"/>
                <w:szCs w:val="18"/>
              </w:rPr>
              <w:t>172 </w:t>
            </w:r>
          </w:p>
        </w:tc>
        <w:tc>
          <w:tcPr>
            <w:tcW w:w="0" w:type="auto"/>
            <w:shd w:val="clear" w:color="auto" w:fill="CCEEFF"/>
            <w:tcMar>
              <w:top w:w="40" w:type="dxa"/>
              <w:left w:w="0" w:type="dxa"/>
              <w:bottom w:w="40" w:type="dxa"/>
              <w:right w:w="20" w:type="dxa"/>
            </w:tcMar>
            <w:vAlign w:val="bottom"/>
          </w:tcPr>
          <w:p w14:paraId="74DDA85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852"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A853" w14:textId="77777777" w:rsidR="00584EC1" w:rsidRDefault="00871F8D">
            <w:pPr>
              <w:jc w:val="right"/>
              <w:textAlignment w:val="bottom"/>
            </w:pPr>
            <w:r>
              <w:rPr>
                <w:rFonts w:ascii="Arial" w:eastAsia="宋体" w:hAnsi="Arial" w:cs="Arial"/>
                <w:b/>
                <w:bCs/>
                <w:color w:val="000000"/>
                <w:sz w:val="18"/>
                <w:szCs w:val="18"/>
              </w:rPr>
              <w:t>588</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4DDA85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85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A856" w14:textId="77777777" w:rsidR="00584EC1" w:rsidRDefault="00871F8D">
            <w:pPr>
              <w:jc w:val="right"/>
              <w:textAlignment w:val="bottom"/>
            </w:pPr>
            <w:r>
              <w:rPr>
                <w:rFonts w:ascii="Arial" w:eastAsia="宋体" w:hAnsi="Arial" w:cs="Arial"/>
                <w:color w:val="000000"/>
                <w:sz w:val="18"/>
                <w:szCs w:val="18"/>
              </w:rPr>
              <w:t>529 </w:t>
            </w:r>
          </w:p>
        </w:tc>
        <w:tc>
          <w:tcPr>
            <w:tcW w:w="0" w:type="auto"/>
            <w:shd w:val="clear" w:color="auto" w:fill="CCEEFF"/>
            <w:tcMar>
              <w:top w:w="40" w:type="dxa"/>
              <w:left w:w="0" w:type="dxa"/>
              <w:bottom w:w="40" w:type="dxa"/>
              <w:right w:w="20" w:type="dxa"/>
            </w:tcMar>
            <w:vAlign w:val="bottom"/>
          </w:tcPr>
          <w:p w14:paraId="74DDA857" w14:textId="77777777" w:rsidR="00584EC1" w:rsidRDefault="00584EC1">
            <w:pPr>
              <w:jc w:val="right"/>
              <w:rPr>
                <w:rFonts w:ascii="宋体"/>
              </w:rPr>
            </w:pPr>
          </w:p>
        </w:tc>
        <w:tc>
          <w:tcPr>
            <w:tcW w:w="0" w:type="auto"/>
            <w:shd w:val="clear" w:color="auto" w:fill="auto"/>
            <w:vAlign w:val="bottom"/>
          </w:tcPr>
          <w:p w14:paraId="74DDA858" w14:textId="77777777" w:rsidR="00584EC1" w:rsidRDefault="00584EC1">
            <w:pPr>
              <w:rPr>
                <w:rFonts w:ascii="宋体"/>
                <w:vanish/>
              </w:rPr>
            </w:pPr>
          </w:p>
        </w:tc>
        <w:tc>
          <w:tcPr>
            <w:tcW w:w="0" w:type="auto"/>
            <w:shd w:val="clear" w:color="auto" w:fill="auto"/>
            <w:vAlign w:val="bottom"/>
          </w:tcPr>
          <w:p w14:paraId="74DDA859" w14:textId="77777777" w:rsidR="00584EC1" w:rsidRDefault="00584EC1">
            <w:pPr>
              <w:rPr>
                <w:rFonts w:ascii="宋体"/>
                <w:vanish/>
              </w:rPr>
            </w:pPr>
          </w:p>
        </w:tc>
      </w:tr>
      <w:tr w:rsidR="00584EC1" w14:paraId="74DDA869" w14:textId="77777777">
        <w:tc>
          <w:tcPr>
            <w:tcW w:w="0" w:type="auto"/>
            <w:gridSpan w:val="3"/>
            <w:shd w:val="clear" w:color="auto" w:fill="FFFFFF"/>
            <w:tcMar>
              <w:top w:w="40" w:type="dxa"/>
              <w:left w:w="20" w:type="dxa"/>
              <w:bottom w:w="40" w:type="dxa"/>
              <w:right w:w="20" w:type="dxa"/>
            </w:tcMar>
            <w:vAlign w:val="bottom"/>
          </w:tcPr>
          <w:p w14:paraId="74DDA85B" w14:textId="77777777" w:rsidR="00584EC1" w:rsidRDefault="00871F8D">
            <w:pPr>
              <w:textAlignment w:val="bottom"/>
            </w:pPr>
            <w:r>
              <w:rPr>
                <w:rFonts w:ascii="Arial" w:eastAsia="宋体" w:hAnsi="Arial" w:cs="Arial"/>
                <w:color w:val="000000"/>
                <w:sz w:val="18"/>
                <w:szCs w:val="18"/>
              </w:rPr>
              <w:t>Total fee 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A85C" w14:textId="77777777" w:rsidR="00584EC1" w:rsidRDefault="00871F8D">
            <w:pPr>
              <w:jc w:val="right"/>
              <w:textAlignment w:val="bottom"/>
            </w:pPr>
            <w:r>
              <w:rPr>
                <w:rFonts w:ascii="Arial" w:eastAsia="宋体" w:hAnsi="Arial" w:cs="Arial"/>
                <w:b/>
                <w:bCs/>
                <w:color w:val="000000"/>
                <w:sz w:val="18"/>
                <w:szCs w:val="18"/>
              </w:rPr>
              <w:t>2,504</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A85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85E"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A85F" w14:textId="77777777" w:rsidR="00584EC1" w:rsidRDefault="00871F8D">
            <w:pPr>
              <w:jc w:val="right"/>
              <w:textAlignment w:val="bottom"/>
            </w:pPr>
            <w:r>
              <w:rPr>
                <w:rFonts w:ascii="Arial" w:eastAsia="宋体" w:hAnsi="Arial" w:cs="Arial"/>
                <w:color w:val="000000"/>
                <w:sz w:val="18"/>
                <w:szCs w:val="18"/>
              </w:rPr>
              <w:t>2,306 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A86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861"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A862" w14:textId="77777777" w:rsidR="00584EC1" w:rsidRDefault="00871F8D">
            <w:pPr>
              <w:jc w:val="right"/>
              <w:textAlignment w:val="bottom"/>
            </w:pPr>
            <w:r>
              <w:rPr>
                <w:rFonts w:ascii="Arial" w:eastAsia="宋体" w:hAnsi="Arial" w:cs="Arial"/>
                <w:b/>
                <w:bCs/>
                <w:color w:val="000000"/>
                <w:sz w:val="18"/>
                <w:szCs w:val="18"/>
              </w:rPr>
              <w:t>7,501</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A86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864"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A865" w14:textId="77777777" w:rsidR="00584EC1" w:rsidRDefault="00871F8D">
            <w:pPr>
              <w:jc w:val="right"/>
              <w:textAlignment w:val="bottom"/>
            </w:pPr>
            <w:r>
              <w:rPr>
                <w:rFonts w:ascii="Arial" w:eastAsia="宋体" w:hAnsi="Arial" w:cs="Arial"/>
                <w:color w:val="000000"/>
                <w:sz w:val="18"/>
                <w:szCs w:val="18"/>
              </w:rPr>
              <w:t>7,083 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A866" w14:textId="77777777" w:rsidR="00584EC1" w:rsidRDefault="00584EC1">
            <w:pPr>
              <w:jc w:val="right"/>
              <w:rPr>
                <w:rFonts w:ascii="宋体"/>
              </w:rPr>
            </w:pPr>
          </w:p>
        </w:tc>
        <w:tc>
          <w:tcPr>
            <w:tcW w:w="0" w:type="auto"/>
            <w:shd w:val="clear" w:color="auto" w:fill="auto"/>
            <w:vAlign w:val="bottom"/>
          </w:tcPr>
          <w:p w14:paraId="74DDA867" w14:textId="77777777" w:rsidR="00584EC1" w:rsidRDefault="00584EC1">
            <w:pPr>
              <w:rPr>
                <w:rFonts w:ascii="宋体"/>
                <w:vanish/>
              </w:rPr>
            </w:pPr>
          </w:p>
        </w:tc>
        <w:tc>
          <w:tcPr>
            <w:tcW w:w="0" w:type="auto"/>
            <w:shd w:val="clear" w:color="auto" w:fill="auto"/>
            <w:vAlign w:val="bottom"/>
          </w:tcPr>
          <w:p w14:paraId="74DDA868" w14:textId="77777777" w:rsidR="00584EC1" w:rsidRDefault="00584EC1">
            <w:pPr>
              <w:rPr>
                <w:rFonts w:ascii="宋体"/>
                <w:vanish/>
              </w:rPr>
            </w:pPr>
          </w:p>
        </w:tc>
      </w:tr>
      <w:tr w:rsidR="00584EC1" w14:paraId="74DDA874" w14:textId="77777777">
        <w:tc>
          <w:tcPr>
            <w:tcW w:w="0" w:type="auto"/>
            <w:gridSpan w:val="3"/>
            <w:shd w:val="clear" w:color="auto" w:fill="CCEEFF"/>
            <w:tcMar>
              <w:top w:w="40" w:type="dxa"/>
              <w:left w:w="20" w:type="dxa"/>
              <w:bottom w:w="40" w:type="dxa"/>
              <w:right w:w="20" w:type="dxa"/>
            </w:tcMar>
            <w:vAlign w:val="bottom"/>
          </w:tcPr>
          <w:p w14:paraId="74DDA86A" w14:textId="77777777" w:rsidR="00584EC1" w:rsidRDefault="00871F8D">
            <w:pPr>
              <w:textAlignment w:val="bottom"/>
            </w:pPr>
            <w:r>
              <w:rPr>
                <w:rFonts w:ascii="Arial" w:eastAsia="宋体" w:hAnsi="Arial" w:cs="Arial"/>
                <w:b/>
                <w:bCs/>
                <w:color w:val="000000"/>
                <w:sz w:val="18"/>
                <w:szCs w:val="18"/>
              </w:rPr>
              <w:t>Net interest income:</w:t>
            </w:r>
          </w:p>
        </w:tc>
        <w:tc>
          <w:tcPr>
            <w:tcW w:w="0" w:type="auto"/>
            <w:gridSpan w:val="3"/>
            <w:shd w:val="clear" w:color="auto" w:fill="CCEEFF"/>
            <w:tcMar>
              <w:top w:w="0" w:type="dxa"/>
              <w:left w:w="20" w:type="dxa"/>
              <w:bottom w:w="0" w:type="dxa"/>
              <w:right w:w="20" w:type="dxa"/>
            </w:tcMar>
            <w:vAlign w:val="bottom"/>
          </w:tcPr>
          <w:p w14:paraId="74DDA86B"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A86C"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A86D"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A86E"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A86F"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A870"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A871" w14:textId="77777777" w:rsidR="00584EC1" w:rsidRDefault="00584EC1">
            <w:pPr>
              <w:rPr>
                <w:rFonts w:ascii="宋体"/>
              </w:rPr>
            </w:pPr>
          </w:p>
        </w:tc>
        <w:tc>
          <w:tcPr>
            <w:tcW w:w="0" w:type="auto"/>
            <w:shd w:val="clear" w:color="auto" w:fill="auto"/>
            <w:vAlign w:val="bottom"/>
          </w:tcPr>
          <w:p w14:paraId="74DDA872" w14:textId="77777777" w:rsidR="00584EC1" w:rsidRDefault="00584EC1">
            <w:pPr>
              <w:rPr>
                <w:rFonts w:ascii="宋体"/>
                <w:vanish/>
              </w:rPr>
            </w:pPr>
          </w:p>
        </w:tc>
        <w:tc>
          <w:tcPr>
            <w:tcW w:w="0" w:type="auto"/>
            <w:shd w:val="clear" w:color="auto" w:fill="auto"/>
            <w:vAlign w:val="bottom"/>
          </w:tcPr>
          <w:p w14:paraId="74DDA873" w14:textId="77777777" w:rsidR="00584EC1" w:rsidRDefault="00584EC1">
            <w:pPr>
              <w:rPr>
                <w:rFonts w:ascii="宋体"/>
                <w:vanish/>
              </w:rPr>
            </w:pPr>
          </w:p>
        </w:tc>
      </w:tr>
      <w:tr w:rsidR="00584EC1" w14:paraId="74DDA883" w14:textId="77777777">
        <w:tc>
          <w:tcPr>
            <w:tcW w:w="0" w:type="auto"/>
            <w:gridSpan w:val="3"/>
            <w:shd w:val="clear" w:color="auto" w:fill="FFFFFF"/>
            <w:tcMar>
              <w:top w:w="40" w:type="dxa"/>
              <w:left w:w="20" w:type="dxa"/>
              <w:bottom w:w="40" w:type="dxa"/>
              <w:right w:w="20" w:type="dxa"/>
            </w:tcMar>
            <w:vAlign w:val="bottom"/>
          </w:tcPr>
          <w:p w14:paraId="74DDA875" w14:textId="77777777" w:rsidR="00584EC1" w:rsidRDefault="00871F8D">
            <w:pPr>
              <w:textAlignment w:val="bottom"/>
            </w:pPr>
            <w:r>
              <w:rPr>
                <w:rFonts w:ascii="Arial" w:eastAsia="宋体" w:hAnsi="Arial" w:cs="Arial"/>
                <w:color w:val="000000"/>
                <w:sz w:val="18"/>
                <w:szCs w:val="18"/>
              </w:rPr>
              <w:t>Interest income</w:t>
            </w:r>
          </w:p>
        </w:tc>
        <w:tc>
          <w:tcPr>
            <w:tcW w:w="0" w:type="auto"/>
            <w:gridSpan w:val="2"/>
            <w:shd w:val="clear" w:color="auto" w:fill="FFFFFF"/>
            <w:tcMar>
              <w:top w:w="40" w:type="dxa"/>
              <w:left w:w="20" w:type="dxa"/>
              <w:bottom w:w="40" w:type="dxa"/>
              <w:right w:w="0" w:type="dxa"/>
            </w:tcMar>
            <w:vAlign w:val="bottom"/>
          </w:tcPr>
          <w:p w14:paraId="74DDA876" w14:textId="77777777" w:rsidR="00584EC1" w:rsidRDefault="00871F8D">
            <w:pPr>
              <w:jc w:val="right"/>
              <w:textAlignment w:val="bottom"/>
            </w:pPr>
            <w:r>
              <w:rPr>
                <w:rFonts w:ascii="Arial" w:eastAsia="宋体" w:hAnsi="Arial" w:cs="Arial"/>
                <w:b/>
                <w:bCs/>
                <w:color w:val="000000"/>
                <w:sz w:val="18"/>
                <w:szCs w:val="18"/>
              </w:rPr>
              <w:t>487</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4DDA87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878"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A879" w14:textId="77777777" w:rsidR="00584EC1" w:rsidRDefault="00871F8D">
            <w:pPr>
              <w:jc w:val="right"/>
              <w:textAlignment w:val="bottom"/>
            </w:pPr>
            <w:r>
              <w:rPr>
                <w:rFonts w:ascii="Arial" w:eastAsia="宋体" w:hAnsi="Arial" w:cs="Arial"/>
                <w:color w:val="000000"/>
                <w:sz w:val="18"/>
                <w:szCs w:val="18"/>
              </w:rPr>
              <w:t>520 </w:t>
            </w:r>
          </w:p>
        </w:tc>
        <w:tc>
          <w:tcPr>
            <w:tcW w:w="0" w:type="auto"/>
            <w:shd w:val="clear" w:color="auto" w:fill="FFFFFF"/>
            <w:tcMar>
              <w:top w:w="40" w:type="dxa"/>
              <w:left w:w="0" w:type="dxa"/>
              <w:bottom w:w="40" w:type="dxa"/>
              <w:right w:w="20" w:type="dxa"/>
            </w:tcMar>
            <w:vAlign w:val="bottom"/>
          </w:tcPr>
          <w:p w14:paraId="74DDA87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87B"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A87C" w14:textId="77777777" w:rsidR="00584EC1" w:rsidRDefault="00871F8D">
            <w:pPr>
              <w:jc w:val="right"/>
              <w:textAlignment w:val="bottom"/>
            </w:pPr>
            <w:r>
              <w:rPr>
                <w:rFonts w:ascii="Arial" w:eastAsia="宋体" w:hAnsi="Arial" w:cs="Arial"/>
                <w:b/>
                <w:bCs/>
                <w:color w:val="000000"/>
                <w:sz w:val="18"/>
                <w:szCs w:val="18"/>
              </w:rPr>
              <w:t>1,425</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4DDA87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87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A87F" w14:textId="77777777" w:rsidR="00584EC1" w:rsidRDefault="00871F8D">
            <w:pPr>
              <w:jc w:val="right"/>
              <w:textAlignment w:val="bottom"/>
            </w:pPr>
            <w:r>
              <w:rPr>
                <w:rFonts w:ascii="Arial" w:eastAsia="宋体" w:hAnsi="Arial" w:cs="Arial"/>
                <w:color w:val="000000"/>
                <w:sz w:val="18"/>
                <w:szCs w:val="18"/>
              </w:rPr>
              <w:t>2,062 </w:t>
            </w:r>
          </w:p>
        </w:tc>
        <w:tc>
          <w:tcPr>
            <w:tcW w:w="0" w:type="auto"/>
            <w:shd w:val="clear" w:color="auto" w:fill="FFFFFF"/>
            <w:tcMar>
              <w:top w:w="40" w:type="dxa"/>
              <w:left w:w="0" w:type="dxa"/>
              <w:bottom w:w="40" w:type="dxa"/>
              <w:right w:w="20" w:type="dxa"/>
            </w:tcMar>
            <w:vAlign w:val="bottom"/>
          </w:tcPr>
          <w:p w14:paraId="74DDA880" w14:textId="77777777" w:rsidR="00584EC1" w:rsidRDefault="00584EC1">
            <w:pPr>
              <w:jc w:val="right"/>
              <w:rPr>
                <w:rFonts w:ascii="宋体"/>
              </w:rPr>
            </w:pPr>
          </w:p>
        </w:tc>
        <w:tc>
          <w:tcPr>
            <w:tcW w:w="0" w:type="auto"/>
            <w:shd w:val="clear" w:color="auto" w:fill="auto"/>
            <w:vAlign w:val="bottom"/>
          </w:tcPr>
          <w:p w14:paraId="74DDA881" w14:textId="77777777" w:rsidR="00584EC1" w:rsidRDefault="00584EC1">
            <w:pPr>
              <w:rPr>
                <w:rFonts w:ascii="宋体"/>
                <w:vanish/>
              </w:rPr>
            </w:pPr>
          </w:p>
        </w:tc>
        <w:tc>
          <w:tcPr>
            <w:tcW w:w="0" w:type="auto"/>
            <w:shd w:val="clear" w:color="auto" w:fill="auto"/>
            <w:vAlign w:val="bottom"/>
          </w:tcPr>
          <w:p w14:paraId="74DDA882" w14:textId="77777777" w:rsidR="00584EC1" w:rsidRDefault="00584EC1">
            <w:pPr>
              <w:rPr>
                <w:rFonts w:ascii="宋体"/>
                <w:vanish/>
              </w:rPr>
            </w:pPr>
          </w:p>
        </w:tc>
      </w:tr>
      <w:tr w:rsidR="00584EC1" w14:paraId="74DDA892" w14:textId="77777777">
        <w:tc>
          <w:tcPr>
            <w:tcW w:w="0" w:type="auto"/>
            <w:gridSpan w:val="3"/>
            <w:shd w:val="clear" w:color="auto" w:fill="CCEEFF"/>
            <w:tcMar>
              <w:top w:w="40" w:type="dxa"/>
              <w:left w:w="20" w:type="dxa"/>
              <w:bottom w:w="40" w:type="dxa"/>
              <w:right w:w="20" w:type="dxa"/>
            </w:tcMar>
            <w:vAlign w:val="bottom"/>
          </w:tcPr>
          <w:p w14:paraId="74DDA884" w14:textId="77777777" w:rsidR="00584EC1" w:rsidRDefault="00871F8D">
            <w:pPr>
              <w:textAlignment w:val="bottom"/>
            </w:pPr>
            <w:r>
              <w:rPr>
                <w:rFonts w:ascii="Arial" w:eastAsia="宋体" w:hAnsi="Arial" w:cs="Arial"/>
                <w:color w:val="000000"/>
                <w:sz w:val="18"/>
                <w:szCs w:val="18"/>
              </w:rPr>
              <w:t>Interest expense</w:t>
            </w:r>
          </w:p>
        </w:tc>
        <w:tc>
          <w:tcPr>
            <w:tcW w:w="0" w:type="auto"/>
            <w:gridSpan w:val="2"/>
            <w:shd w:val="clear" w:color="auto" w:fill="CCEEFF"/>
            <w:tcMar>
              <w:top w:w="40" w:type="dxa"/>
              <w:left w:w="20" w:type="dxa"/>
              <w:bottom w:w="40" w:type="dxa"/>
              <w:right w:w="0" w:type="dxa"/>
            </w:tcMar>
            <w:vAlign w:val="bottom"/>
          </w:tcPr>
          <w:p w14:paraId="74DDA885" w14:textId="77777777" w:rsidR="00584EC1" w:rsidRDefault="00871F8D">
            <w:pPr>
              <w:jc w:val="right"/>
              <w:textAlignment w:val="bottom"/>
            </w:pPr>
            <w:r>
              <w:rPr>
                <w:rFonts w:ascii="Arial" w:eastAsia="宋体" w:hAnsi="Arial" w:cs="Arial"/>
                <w:b/>
                <w:bCs/>
                <w:color w:val="000000"/>
                <w:sz w:val="18"/>
                <w:szCs w:val="18"/>
              </w:rPr>
              <w:t>—</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4DDA88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88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A888" w14:textId="77777777" w:rsidR="00584EC1" w:rsidRDefault="00871F8D">
            <w:pPr>
              <w:jc w:val="right"/>
              <w:textAlignment w:val="bottom"/>
            </w:pPr>
            <w:r>
              <w:rPr>
                <w:rFonts w:ascii="Arial" w:eastAsia="宋体" w:hAnsi="Arial" w:cs="Arial"/>
                <w:color w:val="000000"/>
                <w:sz w:val="18"/>
                <w:szCs w:val="18"/>
              </w:rPr>
              <w:t>42 </w:t>
            </w:r>
          </w:p>
        </w:tc>
        <w:tc>
          <w:tcPr>
            <w:tcW w:w="0" w:type="auto"/>
            <w:shd w:val="clear" w:color="auto" w:fill="CCEEFF"/>
            <w:tcMar>
              <w:top w:w="40" w:type="dxa"/>
              <w:left w:w="0" w:type="dxa"/>
              <w:bottom w:w="40" w:type="dxa"/>
              <w:right w:w="20" w:type="dxa"/>
            </w:tcMar>
            <w:vAlign w:val="bottom"/>
          </w:tcPr>
          <w:p w14:paraId="74DDA88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88A"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A88B" w14:textId="77777777" w:rsidR="00584EC1" w:rsidRDefault="00871F8D">
            <w:pPr>
              <w:jc w:val="right"/>
              <w:textAlignment w:val="bottom"/>
            </w:pPr>
            <w:r>
              <w:rPr>
                <w:rFonts w:ascii="Arial" w:eastAsia="宋体" w:hAnsi="Arial" w:cs="Arial"/>
                <w:b/>
                <w:bCs/>
                <w:color w:val="000000"/>
                <w:sz w:val="18"/>
                <w:szCs w:val="18"/>
              </w:rPr>
              <w:t>4</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4DDA88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88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A88E" w14:textId="77777777" w:rsidR="00584EC1" w:rsidRDefault="00871F8D">
            <w:pPr>
              <w:jc w:val="right"/>
              <w:textAlignment w:val="bottom"/>
            </w:pPr>
            <w:r>
              <w:rPr>
                <w:rFonts w:ascii="Arial" w:eastAsia="宋体" w:hAnsi="Arial" w:cs="Arial"/>
                <w:color w:val="000000"/>
                <w:sz w:val="18"/>
                <w:szCs w:val="18"/>
              </w:rPr>
              <w:t>361 </w:t>
            </w:r>
          </w:p>
        </w:tc>
        <w:tc>
          <w:tcPr>
            <w:tcW w:w="0" w:type="auto"/>
            <w:shd w:val="clear" w:color="auto" w:fill="CCEEFF"/>
            <w:tcMar>
              <w:top w:w="40" w:type="dxa"/>
              <w:left w:w="0" w:type="dxa"/>
              <w:bottom w:w="40" w:type="dxa"/>
              <w:right w:w="20" w:type="dxa"/>
            </w:tcMar>
            <w:vAlign w:val="bottom"/>
          </w:tcPr>
          <w:p w14:paraId="74DDA88F" w14:textId="77777777" w:rsidR="00584EC1" w:rsidRDefault="00584EC1">
            <w:pPr>
              <w:jc w:val="right"/>
              <w:rPr>
                <w:rFonts w:ascii="宋体"/>
              </w:rPr>
            </w:pPr>
          </w:p>
        </w:tc>
        <w:tc>
          <w:tcPr>
            <w:tcW w:w="0" w:type="auto"/>
            <w:shd w:val="clear" w:color="auto" w:fill="auto"/>
            <w:vAlign w:val="bottom"/>
          </w:tcPr>
          <w:p w14:paraId="74DDA890" w14:textId="77777777" w:rsidR="00584EC1" w:rsidRDefault="00584EC1">
            <w:pPr>
              <w:rPr>
                <w:rFonts w:ascii="宋体"/>
                <w:vanish/>
              </w:rPr>
            </w:pPr>
          </w:p>
        </w:tc>
        <w:tc>
          <w:tcPr>
            <w:tcW w:w="0" w:type="auto"/>
            <w:shd w:val="clear" w:color="auto" w:fill="auto"/>
            <w:vAlign w:val="bottom"/>
          </w:tcPr>
          <w:p w14:paraId="74DDA891" w14:textId="77777777" w:rsidR="00584EC1" w:rsidRDefault="00584EC1">
            <w:pPr>
              <w:rPr>
                <w:rFonts w:ascii="宋体"/>
                <w:vanish/>
              </w:rPr>
            </w:pPr>
          </w:p>
        </w:tc>
      </w:tr>
      <w:tr w:rsidR="00584EC1" w14:paraId="74DDA8A1" w14:textId="77777777">
        <w:tc>
          <w:tcPr>
            <w:tcW w:w="0" w:type="auto"/>
            <w:gridSpan w:val="3"/>
            <w:shd w:val="clear" w:color="auto" w:fill="FFFFFF"/>
            <w:tcMar>
              <w:top w:w="40" w:type="dxa"/>
              <w:left w:w="20" w:type="dxa"/>
              <w:bottom w:w="40" w:type="dxa"/>
              <w:right w:w="20" w:type="dxa"/>
            </w:tcMar>
            <w:vAlign w:val="bottom"/>
          </w:tcPr>
          <w:p w14:paraId="74DDA893" w14:textId="77777777" w:rsidR="00584EC1" w:rsidRDefault="00871F8D">
            <w:pPr>
              <w:textAlignment w:val="bottom"/>
            </w:pPr>
            <w:r>
              <w:rPr>
                <w:rFonts w:ascii="Arial" w:eastAsia="宋体" w:hAnsi="Arial" w:cs="Arial"/>
                <w:color w:val="000000"/>
                <w:sz w:val="18"/>
                <w:szCs w:val="18"/>
              </w:rPr>
              <w:t>Net interest income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A894" w14:textId="77777777" w:rsidR="00584EC1" w:rsidRDefault="00871F8D">
            <w:pPr>
              <w:jc w:val="right"/>
              <w:textAlignment w:val="bottom"/>
            </w:pPr>
            <w:r>
              <w:rPr>
                <w:rFonts w:ascii="Arial" w:eastAsia="宋体" w:hAnsi="Arial" w:cs="Arial"/>
                <w:b/>
                <w:bCs/>
                <w:color w:val="000000"/>
                <w:sz w:val="18"/>
                <w:szCs w:val="18"/>
              </w:rPr>
              <w:t>487</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A89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896"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A897" w14:textId="77777777" w:rsidR="00584EC1" w:rsidRDefault="00871F8D">
            <w:pPr>
              <w:jc w:val="right"/>
              <w:textAlignment w:val="bottom"/>
            </w:pPr>
            <w:r>
              <w:rPr>
                <w:rFonts w:ascii="Arial" w:eastAsia="宋体" w:hAnsi="Arial" w:cs="Arial"/>
                <w:color w:val="000000"/>
                <w:sz w:val="18"/>
                <w:szCs w:val="18"/>
              </w:rPr>
              <w:t>478 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A89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899"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A89A" w14:textId="77777777" w:rsidR="00584EC1" w:rsidRDefault="00871F8D">
            <w:pPr>
              <w:jc w:val="right"/>
              <w:textAlignment w:val="bottom"/>
            </w:pPr>
            <w:r>
              <w:rPr>
                <w:rFonts w:ascii="Arial" w:eastAsia="宋体" w:hAnsi="Arial" w:cs="Arial"/>
                <w:b/>
                <w:bCs/>
                <w:color w:val="000000"/>
                <w:sz w:val="18"/>
                <w:szCs w:val="18"/>
              </w:rPr>
              <w:t>1,421</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A89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89C"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A89D" w14:textId="77777777" w:rsidR="00584EC1" w:rsidRDefault="00871F8D">
            <w:pPr>
              <w:jc w:val="right"/>
              <w:textAlignment w:val="bottom"/>
            </w:pPr>
            <w:r>
              <w:rPr>
                <w:rFonts w:ascii="Arial" w:eastAsia="宋体" w:hAnsi="Arial" w:cs="Arial"/>
                <w:color w:val="000000"/>
                <w:sz w:val="18"/>
                <w:szCs w:val="18"/>
              </w:rPr>
              <w:t>1,701 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A89E" w14:textId="77777777" w:rsidR="00584EC1" w:rsidRDefault="00584EC1">
            <w:pPr>
              <w:jc w:val="right"/>
              <w:rPr>
                <w:rFonts w:ascii="宋体"/>
              </w:rPr>
            </w:pPr>
          </w:p>
        </w:tc>
        <w:tc>
          <w:tcPr>
            <w:tcW w:w="0" w:type="auto"/>
            <w:shd w:val="clear" w:color="auto" w:fill="auto"/>
            <w:vAlign w:val="bottom"/>
          </w:tcPr>
          <w:p w14:paraId="74DDA89F" w14:textId="77777777" w:rsidR="00584EC1" w:rsidRDefault="00584EC1">
            <w:pPr>
              <w:rPr>
                <w:rFonts w:ascii="宋体"/>
                <w:vanish/>
              </w:rPr>
            </w:pPr>
          </w:p>
        </w:tc>
        <w:tc>
          <w:tcPr>
            <w:tcW w:w="0" w:type="auto"/>
            <w:shd w:val="clear" w:color="auto" w:fill="auto"/>
            <w:vAlign w:val="bottom"/>
          </w:tcPr>
          <w:p w14:paraId="74DDA8A0" w14:textId="77777777" w:rsidR="00584EC1" w:rsidRDefault="00584EC1">
            <w:pPr>
              <w:rPr>
                <w:rFonts w:ascii="宋体"/>
                <w:vanish/>
              </w:rPr>
            </w:pPr>
          </w:p>
        </w:tc>
      </w:tr>
      <w:tr w:rsidR="00584EC1" w14:paraId="74DDA8AC" w14:textId="77777777">
        <w:tc>
          <w:tcPr>
            <w:tcW w:w="0" w:type="auto"/>
            <w:gridSpan w:val="3"/>
            <w:shd w:val="clear" w:color="auto" w:fill="CCEEFF"/>
            <w:tcMar>
              <w:top w:w="40" w:type="dxa"/>
              <w:left w:w="20" w:type="dxa"/>
              <w:bottom w:w="40" w:type="dxa"/>
              <w:right w:w="20" w:type="dxa"/>
            </w:tcMar>
            <w:vAlign w:val="bottom"/>
          </w:tcPr>
          <w:p w14:paraId="74DDA8A2" w14:textId="77777777" w:rsidR="00584EC1" w:rsidRDefault="00871F8D">
            <w:pPr>
              <w:textAlignment w:val="bottom"/>
            </w:pPr>
            <w:r>
              <w:rPr>
                <w:rFonts w:ascii="Arial" w:eastAsia="宋体" w:hAnsi="Arial" w:cs="Arial"/>
                <w:b/>
                <w:bCs/>
                <w:color w:val="000000"/>
                <w:sz w:val="18"/>
                <w:szCs w:val="18"/>
              </w:rPr>
              <w:t>Other income:</w:t>
            </w:r>
          </w:p>
        </w:tc>
        <w:tc>
          <w:tcPr>
            <w:tcW w:w="0" w:type="auto"/>
            <w:gridSpan w:val="3"/>
            <w:shd w:val="clear" w:color="auto" w:fill="CCEEFF"/>
            <w:tcMar>
              <w:top w:w="0" w:type="dxa"/>
              <w:left w:w="20" w:type="dxa"/>
              <w:bottom w:w="0" w:type="dxa"/>
              <w:right w:w="20" w:type="dxa"/>
            </w:tcMar>
            <w:vAlign w:val="bottom"/>
          </w:tcPr>
          <w:p w14:paraId="74DDA8A3"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A8A4"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A8A5"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A8A6"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A8A7"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A8A8"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A8A9" w14:textId="77777777" w:rsidR="00584EC1" w:rsidRDefault="00584EC1">
            <w:pPr>
              <w:rPr>
                <w:rFonts w:ascii="宋体"/>
              </w:rPr>
            </w:pPr>
          </w:p>
        </w:tc>
        <w:tc>
          <w:tcPr>
            <w:tcW w:w="0" w:type="auto"/>
            <w:shd w:val="clear" w:color="auto" w:fill="auto"/>
            <w:vAlign w:val="bottom"/>
          </w:tcPr>
          <w:p w14:paraId="74DDA8AA" w14:textId="77777777" w:rsidR="00584EC1" w:rsidRDefault="00584EC1">
            <w:pPr>
              <w:rPr>
                <w:rFonts w:ascii="宋体"/>
                <w:vanish/>
              </w:rPr>
            </w:pPr>
          </w:p>
        </w:tc>
        <w:tc>
          <w:tcPr>
            <w:tcW w:w="0" w:type="auto"/>
            <w:shd w:val="clear" w:color="auto" w:fill="auto"/>
            <w:vAlign w:val="bottom"/>
          </w:tcPr>
          <w:p w14:paraId="74DDA8AB" w14:textId="77777777" w:rsidR="00584EC1" w:rsidRDefault="00584EC1">
            <w:pPr>
              <w:rPr>
                <w:rFonts w:ascii="宋体"/>
                <w:vanish/>
              </w:rPr>
            </w:pPr>
          </w:p>
        </w:tc>
      </w:tr>
      <w:tr w:rsidR="00584EC1" w14:paraId="74DDA8B7" w14:textId="77777777">
        <w:trPr>
          <w:hidden/>
        </w:trPr>
        <w:tc>
          <w:tcPr>
            <w:tcW w:w="0" w:type="auto"/>
            <w:gridSpan w:val="3"/>
            <w:shd w:val="clear" w:color="auto" w:fill="auto"/>
            <w:vAlign w:val="bottom"/>
          </w:tcPr>
          <w:p w14:paraId="74DDA8AD" w14:textId="77777777" w:rsidR="00584EC1" w:rsidRDefault="00584EC1">
            <w:pPr>
              <w:rPr>
                <w:rFonts w:ascii="宋体"/>
                <w:vanish/>
              </w:rPr>
            </w:pPr>
          </w:p>
        </w:tc>
        <w:tc>
          <w:tcPr>
            <w:tcW w:w="0" w:type="auto"/>
            <w:gridSpan w:val="3"/>
            <w:shd w:val="clear" w:color="auto" w:fill="auto"/>
            <w:vAlign w:val="bottom"/>
          </w:tcPr>
          <w:p w14:paraId="74DDA8AE" w14:textId="77777777" w:rsidR="00584EC1" w:rsidRDefault="00584EC1">
            <w:pPr>
              <w:rPr>
                <w:rFonts w:ascii="宋体"/>
                <w:vanish/>
              </w:rPr>
            </w:pPr>
          </w:p>
        </w:tc>
        <w:tc>
          <w:tcPr>
            <w:tcW w:w="0" w:type="auto"/>
            <w:gridSpan w:val="3"/>
            <w:shd w:val="clear" w:color="auto" w:fill="auto"/>
            <w:vAlign w:val="bottom"/>
          </w:tcPr>
          <w:p w14:paraId="74DDA8AF" w14:textId="77777777" w:rsidR="00584EC1" w:rsidRDefault="00584EC1">
            <w:pPr>
              <w:rPr>
                <w:rFonts w:ascii="宋体"/>
                <w:vanish/>
              </w:rPr>
            </w:pPr>
          </w:p>
        </w:tc>
        <w:tc>
          <w:tcPr>
            <w:tcW w:w="0" w:type="auto"/>
            <w:gridSpan w:val="3"/>
            <w:shd w:val="clear" w:color="auto" w:fill="auto"/>
            <w:vAlign w:val="bottom"/>
          </w:tcPr>
          <w:p w14:paraId="74DDA8B0" w14:textId="77777777" w:rsidR="00584EC1" w:rsidRDefault="00584EC1">
            <w:pPr>
              <w:rPr>
                <w:rFonts w:ascii="宋体"/>
                <w:vanish/>
              </w:rPr>
            </w:pPr>
          </w:p>
        </w:tc>
        <w:tc>
          <w:tcPr>
            <w:tcW w:w="0" w:type="auto"/>
            <w:gridSpan w:val="3"/>
            <w:shd w:val="clear" w:color="auto" w:fill="auto"/>
            <w:vAlign w:val="bottom"/>
          </w:tcPr>
          <w:p w14:paraId="74DDA8B1" w14:textId="77777777" w:rsidR="00584EC1" w:rsidRDefault="00584EC1">
            <w:pPr>
              <w:rPr>
                <w:rFonts w:ascii="宋体"/>
                <w:vanish/>
              </w:rPr>
            </w:pPr>
          </w:p>
        </w:tc>
        <w:tc>
          <w:tcPr>
            <w:tcW w:w="0" w:type="auto"/>
            <w:gridSpan w:val="3"/>
            <w:shd w:val="clear" w:color="auto" w:fill="auto"/>
            <w:vAlign w:val="bottom"/>
          </w:tcPr>
          <w:p w14:paraId="74DDA8B2" w14:textId="77777777" w:rsidR="00584EC1" w:rsidRDefault="00584EC1">
            <w:pPr>
              <w:rPr>
                <w:rFonts w:ascii="宋体"/>
                <w:vanish/>
              </w:rPr>
            </w:pPr>
          </w:p>
        </w:tc>
        <w:tc>
          <w:tcPr>
            <w:tcW w:w="0" w:type="auto"/>
            <w:gridSpan w:val="3"/>
            <w:shd w:val="clear" w:color="auto" w:fill="auto"/>
            <w:vAlign w:val="bottom"/>
          </w:tcPr>
          <w:p w14:paraId="74DDA8B3" w14:textId="77777777" w:rsidR="00584EC1" w:rsidRDefault="00584EC1">
            <w:pPr>
              <w:rPr>
                <w:rFonts w:ascii="宋体"/>
                <w:vanish/>
              </w:rPr>
            </w:pPr>
          </w:p>
        </w:tc>
        <w:tc>
          <w:tcPr>
            <w:tcW w:w="0" w:type="auto"/>
            <w:gridSpan w:val="3"/>
            <w:shd w:val="clear" w:color="auto" w:fill="auto"/>
            <w:vAlign w:val="bottom"/>
          </w:tcPr>
          <w:p w14:paraId="74DDA8B4" w14:textId="77777777" w:rsidR="00584EC1" w:rsidRDefault="00584EC1">
            <w:pPr>
              <w:rPr>
                <w:rFonts w:ascii="宋体"/>
                <w:vanish/>
              </w:rPr>
            </w:pPr>
          </w:p>
        </w:tc>
        <w:tc>
          <w:tcPr>
            <w:tcW w:w="0" w:type="auto"/>
            <w:shd w:val="clear" w:color="auto" w:fill="auto"/>
            <w:vAlign w:val="bottom"/>
          </w:tcPr>
          <w:p w14:paraId="74DDA8B5" w14:textId="77777777" w:rsidR="00584EC1" w:rsidRDefault="00584EC1">
            <w:pPr>
              <w:rPr>
                <w:rFonts w:ascii="宋体"/>
                <w:vanish/>
              </w:rPr>
            </w:pPr>
          </w:p>
        </w:tc>
        <w:tc>
          <w:tcPr>
            <w:tcW w:w="0" w:type="auto"/>
            <w:shd w:val="clear" w:color="auto" w:fill="auto"/>
            <w:vAlign w:val="bottom"/>
          </w:tcPr>
          <w:p w14:paraId="74DDA8B6" w14:textId="77777777" w:rsidR="00584EC1" w:rsidRDefault="00584EC1">
            <w:pPr>
              <w:rPr>
                <w:rFonts w:ascii="宋体"/>
                <w:vanish/>
              </w:rPr>
            </w:pPr>
          </w:p>
        </w:tc>
      </w:tr>
      <w:tr w:rsidR="00584EC1" w14:paraId="74DDA8C2" w14:textId="77777777">
        <w:trPr>
          <w:hidden/>
        </w:trPr>
        <w:tc>
          <w:tcPr>
            <w:tcW w:w="0" w:type="auto"/>
            <w:gridSpan w:val="3"/>
            <w:shd w:val="clear" w:color="auto" w:fill="auto"/>
            <w:vAlign w:val="bottom"/>
          </w:tcPr>
          <w:p w14:paraId="74DDA8B8" w14:textId="77777777" w:rsidR="00584EC1" w:rsidRDefault="00584EC1">
            <w:pPr>
              <w:rPr>
                <w:rFonts w:ascii="宋体"/>
                <w:vanish/>
              </w:rPr>
            </w:pPr>
          </w:p>
        </w:tc>
        <w:tc>
          <w:tcPr>
            <w:tcW w:w="0" w:type="auto"/>
            <w:gridSpan w:val="3"/>
            <w:shd w:val="clear" w:color="auto" w:fill="auto"/>
            <w:vAlign w:val="bottom"/>
          </w:tcPr>
          <w:p w14:paraId="74DDA8B9" w14:textId="77777777" w:rsidR="00584EC1" w:rsidRDefault="00584EC1">
            <w:pPr>
              <w:rPr>
                <w:rFonts w:ascii="宋体"/>
                <w:vanish/>
              </w:rPr>
            </w:pPr>
          </w:p>
        </w:tc>
        <w:tc>
          <w:tcPr>
            <w:tcW w:w="0" w:type="auto"/>
            <w:gridSpan w:val="3"/>
            <w:shd w:val="clear" w:color="auto" w:fill="auto"/>
            <w:vAlign w:val="bottom"/>
          </w:tcPr>
          <w:p w14:paraId="74DDA8BA" w14:textId="77777777" w:rsidR="00584EC1" w:rsidRDefault="00584EC1">
            <w:pPr>
              <w:rPr>
                <w:rFonts w:ascii="宋体"/>
                <w:vanish/>
              </w:rPr>
            </w:pPr>
          </w:p>
        </w:tc>
        <w:tc>
          <w:tcPr>
            <w:tcW w:w="0" w:type="auto"/>
            <w:gridSpan w:val="3"/>
            <w:shd w:val="clear" w:color="auto" w:fill="auto"/>
            <w:vAlign w:val="bottom"/>
          </w:tcPr>
          <w:p w14:paraId="74DDA8BB" w14:textId="77777777" w:rsidR="00584EC1" w:rsidRDefault="00584EC1">
            <w:pPr>
              <w:rPr>
                <w:rFonts w:ascii="宋体"/>
                <w:vanish/>
              </w:rPr>
            </w:pPr>
          </w:p>
        </w:tc>
        <w:tc>
          <w:tcPr>
            <w:tcW w:w="0" w:type="auto"/>
            <w:gridSpan w:val="3"/>
            <w:shd w:val="clear" w:color="auto" w:fill="auto"/>
            <w:vAlign w:val="bottom"/>
          </w:tcPr>
          <w:p w14:paraId="74DDA8BC" w14:textId="77777777" w:rsidR="00584EC1" w:rsidRDefault="00584EC1">
            <w:pPr>
              <w:rPr>
                <w:rFonts w:ascii="宋体"/>
                <w:vanish/>
              </w:rPr>
            </w:pPr>
          </w:p>
        </w:tc>
        <w:tc>
          <w:tcPr>
            <w:tcW w:w="0" w:type="auto"/>
            <w:gridSpan w:val="3"/>
            <w:shd w:val="clear" w:color="auto" w:fill="auto"/>
            <w:vAlign w:val="bottom"/>
          </w:tcPr>
          <w:p w14:paraId="74DDA8BD" w14:textId="77777777" w:rsidR="00584EC1" w:rsidRDefault="00584EC1">
            <w:pPr>
              <w:rPr>
                <w:rFonts w:ascii="宋体"/>
                <w:vanish/>
              </w:rPr>
            </w:pPr>
          </w:p>
        </w:tc>
        <w:tc>
          <w:tcPr>
            <w:tcW w:w="0" w:type="auto"/>
            <w:gridSpan w:val="3"/>
            <w:shd w:val="clear" w:color="auto" w:fill="auto"/>
            <w:vAlign w:val="bottom"/>
          </w:tcPr>
          <w:p w14:paraId="74DDA8BE" w14:textId="77777777" w:rsidR="00584EC1" w:rsidRDefault="00584EC1">
            <w:pPr>
              <w:rPr>
                <w:rFonts w:ascii="宋体"/>
                <w:vanish/>
              </w:rPr>
            </w:pPr>
          </w:p>
        </w:tc>
        <w:tc>
          <w:tcPr>
            <w:tcW w:w="0" w:type="auto"/>
            <w:gridSpan w:val="3"/>
            <w:shd w:val="clear" w:color="auto" w:fill="auto"/>
            <w:vAlign w:val="bottom"/>
          </w:tcPr>
          <w:p w14:paraId="74DDA8BF" w14:textId="77777777" w:rsidR="00584EC1" w:rsidRDefault="00584EC1">
            <w:pPr>
              <w:rPr>
                <w:rFonts w:ascii="宋体"/>
                <w:vanish/>
              </w:rPr>
            </w:pPr>
          </w:p>
        </w:tc>
        <w:tc>
          <w:tcPr>
            <w:tcW w:w="0" w:type="auto"/>
            <w:shd w:val="clear" w:color="auto" w:fill="auto"/>
            <w:vAlign w:val="bottom"/>
          </w:tcPr>
          <w:p w14:paraId="74DDA8C0" w14:textId="77777777" w:rsidR="00584EC1" w:rsidRDefault="00584EC1">
            <w:pPr>
              <w:rPr>
                <w:rFonts w:ascii="宋体"/>
                <w:vanish/>
              </w:rPr>
            </w:pPr>
          </w:p>
        </w:tc>
        <w:tc>
          <w:tcPr>
            <w:tcW w:w="0" w:type="auto"/>
            <w:shd w:val="clear" w:color="auto" w:fill="auto"/>
            <w:vAlign w:val="bottom"/>
          </w:tcPr>
          <w:p w14:paraId="74DDA8C1" w14:textId="77777777" w:rsidR="00584EC1" w:rsidRDefault="00584EC1">
            <w:pPr>
              <w:rPr>
                <w:rFonts w:ascii="宋体"/>
                <w:vanish/>
              </w:rPr>
            </w:pPr>
          </w:p>
        </w:tc>
      </w:tr>
      <w:tr w:rsidR="00584EC1" w14:paraId="74DDA8CD" w14:textId="77777777">
        <w:trPr>
          <w:hidden/>
        </w:trPr>
        <w:tc>
          <w:tcPr>
            <w:tcW w:w="0" w:type="auto"/>
            <w:gridSpan w:val="3"/>
            <w:shd w:val="clear" w:color="auto" w:fill="auto"/>
            <w:vAlign w:val="bottom"/>
          </w:tcPr>
          <w:p w14:paraId="74DDA8C3" w14:textId="77777777" w:rsidR="00584EC1" w:rsidRDefault="00584EC1">
            <w:pPr>
              <w:rPr>
                <w:rFonts w:ascii="宋体"/>
                <w:vanish/>
              </w:rPr>
            </w:pPr>
          </w:p>
        </w:tc>
        <w:tc>
          <w:tcPr>
            <w:tcW w:w="0" w:type="auto"/>
            <w:gridSpan w:val="3"/>
            <w:shd w:val="clear" w:color="auto" w:fill="auto"/>
            <w:vAlign w:val="bottom"/>
          </w:tcPr>
          <w:p w14:paraId="74DDA8C4" w14:textId="77777777" w:rsidR="00584EC1" w:rsidRDefault="00584EC1">
            <w:pPr>
              <w:rPr>
                <w:rFonts w:ascii="宋体"/>
                <w:vanish/>
              </w:rPr>
            </w:pPr>
          </w:p>
        </w:tc>
        <w:tc>
          <w:tcPr>
            <w:tcW w:w="0" w:type="auto"/>
            <w:gridSpan w:val="3"/>
            <w:shd w:val="clear" w:color="auto" w:fill="auto"/>
            <w:vAlign w:val="bottom"/>
          </w:tcPr>
          <w:p w14:paraId="74DDA8C5" w14:textId="77777777" w:rsidR="00584EC1" w:rsidRDefault="00584EC1">
            <w:pPr>
              <w:rPr>
                <w:rFonts w:ascii="宋体"/>
                <w:vanish/>
              </w:rPr>
            </w:pPr>
          </w:p>
        </w:tc>
        <w:tc>
          <w:tcPr>
            <w:tcW w:w="0" w:type="auto"/>
            <w:gridSpan w:val="3"/>
            <w:shd w:val="clear" w:color="auto" w:fill="auto"/>
            <w:vAlign w:val="bottom"/>
          </w:tcPr>
          <w:p w14:paraId="74DDA8C6" w14:textId="77777777" w:rsidR="00584EC1" w:rsidRDefault="00584EC1">
            <w:pPr>
              <w:rPr>
                <w:rFonts w:ascii="宋体"/>
                <w:vanish/>
              </w:rPr>
            </w:pPr>
          </w:p>
        </w:tc>
        <w:tc>
          <w:tcPr>
            <w:tcW w:w="0" w:type="auto"/>
            <w:gridSpan w:val="3"/>
            <w:shd w:val="clear" w:color="auto" w:fill="auto"/>
            <w:vAlign w:val="bottom"/>
          </w:tcPr>
          <w:p w14:paraId="74DDA8C7" w14:textId="77777777" w:rsidR="00584EC1" w:rsidRDefault="00584EC1">
            <w:pPr>
              <w:rPr>
                <w:rFonts w:ascii="宋体"/>
                <w:vanish/>
              </w:rPr>
            </w:pPr>
          </w:p>
        </w:tc>
        <w:tc>
          <w:tcPr>
            <w:tcW w:w="0" w:type="auto"/>
            <w:gridSpan w:val="3"/>
            <w:shd w:val="clear" w:color="auto" w:fill="auto"/>
            <w:vAlign w:val="bottom"/>
          </w:tcPr>
          <w:p w14:paraId="74DDA8C8" w14:textId="77777777" w:rsidR="00584EC1" w:rsidRDefault="00584EC1">
            <w:pPr>
              <w:rPr>
                <w:rFonts w:ascii="宋体"/>
                <w:vanish/>
              </w:rPr>
            </w:pPr>
          </w:p>
        </w:tc>
        <w:tc>
          <w:tcPr>
            <w:tcW w:w="0" w:type="auto"/>
            <w:gridSpan w:val="3"/>
            <w:shd w:val="clear" w:color="auto" w:fill="auto"/>
            <w:vAlign w:val="bottom"/>
          </w:tcPr>
          <w:p w14:paraId="74DDA8C9" w14:textId="77777777" w:rsidR="00584EC1" w:rsidRDefault="00584EC1">
            <w:pPr>
              <w:rPr>
                <w:rFonts w:ascii="宋体"/>
                <w:vanish/>
              </w:rPr>
            </w:pPr>
          </w:p>
        </w:tc>
        <w:tc>
          <w:tcPr>
            <w:tcW w:w="0" w:type="auto"/>
            <w:gridSpan w:val="3"/>
            <w:shd w:val="clear" w:color="auto" w:fill="auto"/>
            <w:vAlign w:val="bottom"/>
          </w:tcPr>
          <w:p w14:paraId="74DDA8CA" w14:textId="77777777" w:rsidR="00584EC1" w:rsidRDefault="00584EC1">
            <w:pPr>
              <w:rPr>
                <w:rFonts w:ascii="宋体"/>
                <w:vanish/>
              </w:rPr>
            </w:pPr>
          </w:p>
        </w:tc>
        <w:tc>
          <w:tcPr>
            <w:tcW w:w="0" w:type="auto"/>
            <w:shd w:val="clear" w:color="auto" w:fill="auto"/>
            <w:vAlign w:val="bottom"/>
          </w:tcPr>
          <w:p w14:paraId="74DDA8CB" w14:textId="77777777" w:rsidR="00584EC1" w:rsidRDefault="00584EC1">
            <w:pPr>
              <w:rPr>
                <w:rFonts w:ascii="宋体"/>
                <w:vanish/>
              </w:rPr>
            </w:pPr>
          </w:p>
        </w:tc>
        <w:tc>
          <w:tcPr>
            <w:tcW w:w="0" w:type="auto"/>
            <w:shd w:val="clear" w:color="auto" w:fill="auto"/>
            <w:vAlign w:val="bottom"/>
          </w:tcPr>
          <w:p w14:paraId="74DDA8CC" w14:textId="77777777" w:rsidR="00584EC1" w:rsidRDefault="00584EC1">
            <w:pPr>
              <w:rPr>
                <w:rFonts w:ascii="宋体"/>
                <w:vanish/>
              </w:rPr>
            </w:pPr>
          </w:p>
        </w:tc>
      </w:tr>
      <w:tr w:rsidR="00584EC1" w14:paraId="74DDA8DC" w14:textId="77777777">
        <w:tc>
          <w:tcPr>
            <w:tcW w:w="0" w:type="auto"/>
            <w:gridSpan w:val="3"/>
            <w:shd w:val="clear" w:color="auto" w:fill="FFFFFF"/>
            <w:tcMar>
              <w:top w:w="40" w:type="dxa"/>
              <w:left w:w="20" w:type="dxa"/>
              <w:bottom w:w="40" w:type="dxa"/>
              <w:right w:w="20" w:type="dxa"/>
            </w:tcMar>
            <w:vAlign w:val="bottom"/>
          </w:tcPr>
          <w:p w14:paraId="74DDA8CE" w14:textId="77777777" w:rsidR="00584EC1" w:rsidRDefault="00871F8D">
            <w:pPr>
              <w:textAlignment w:val="bottom"/>
            </w:pPr>
            <w:r>
              <w:rPr>
                <w:rFonts w:ascii="Arial" w:eastAsia="宋体" w:hAnsi="Arial" w:cs="Arial"/>
                <w:color w:val="000000"/>
                <w:sz w:val="18"/>
                <w:szCs w:val="18"/>
              </w:rPr>
              <w:t xml:space="preserve">Gains (losses) related to investment </w:t>
            </w:r>
            <w:r>
              <w:rPr>
                <w:rFonts w:ascii="Arial" w:eastAsia="宋体" w:hAnsi="Arial" w:cs="Arial"/>
                <w:color w:val="000000"/>
                <w:sz w:val="18"/>
                <w:szCs w:val="18"/>
              </w:rPr>
              <w:t>securities, net</w:t>
            </w:r>
          </w:p>
        </w:tc>
        <w:tc>
          <w:tcPr>
            <w:tcW w:w="0" w:type="auto"/>
            <w:gridSpan w:val="2"/>
            <w:shd w:val="clear" w:color="auto" w:fill="FFFFFF"/>
            <w:tcMar>
              <w:top w:w="40" w:type="dxa"/>
              <w:left w:w="20" w:type="dxa"/>
              <w:bottom w:w="40" w:type="dxa"/>
              <w:right w:w="0" w:type="dxa"/>
            </w:tcMar>
            <w:vAlign w:val="bottom"/>
          </w:tcPr>
          <w:p w14:paraId="74DDA8CF" w14:textId="77777777" w:rsidR="00584EC1" w:rsidRDefault="00871F8D">
            <w:pPr>
              <w:jc w:val="right"/>
              <w:textAlignment w:val="bottom"/>
            </w:pPr>
            <w:r>
              <w:rPr>
                <w:rFonts w:ascii="Arial" w:eastAsia="宋体" w:hAnsi="Arial" w:cs="Arial"/>
                <w:b/>
                <w:bCs/>
                <w:color w:val="000000"/>
                <w:sz w:val="18"/>
                <w:szCs w:val="18"/>
              </w:rPr>
              <w:t>(1)</w:t>
            </w:r>
          </w:p>
        </w:tc>
        <w:tc>
          <w:tcPr>
            <w:tcW w:w="0" w:type="auto"/>
            <w:shd w:val="clear" w:color="auto" w:fill="FFFFFF"/>
            <w:tcMar>
              <w:top w:w="40" w:type="dxa"/>
              <w:left w:w="0" w:type="dxa"/>
              <w:bottom w:w="40" w:type="dxa"/>
              <w:right w:w="20" w:type="dxa"/>
            </w:tcMar>
            <w:vAlign w:val="bottom"/>
          </w:tcPr>
          <w:p w14:paraId="74DDA8D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8D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A8D2" w14:textId="77777777" w:rsidR="00584EC1" w:rsidRDefault="00871F8D">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4DDA8D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8D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A8D5" w14:textId="77777777" w:rsidR="00584EC1" w:rsidRDefault="00871F8D">
            <w:pPr>
              <w:jc w:val="right"/>
              <w:textAlignment w:val="bottom"/>
            </w:pPr>
            <w:r>
              <w:rPr>
                <w:rFonts w:ascii="Arial" w:eastAsia="宋体" w:hAnsi="Arial" w:cs="Arial"/>
                <w:b/>
                <w:bCs/>
                <w:color w:val="000000"/>
                <w:sz w:val="18"/>
                <w:szCs w:val="18"/>
              </w:rPr>
              <w:t>(1)</w:t>
            </w:r>
          </w:p>
        </w:tc>
        <w:tc>
          <w:tcPr>
            <w:tcW w:w="0" w:type="auto"/>
            <w:shd w:val="clear" w:color="auto" w:fill="FFFFFF"/>
            <w:tcMar>
              <w:top w:w="40" w:type="dxa"/>
              <w:left w:w="0" w:type="dxa"/>
              <w:bottom w:w="40" w:type="dxa"/>
              <w:right w:w="20" w:type="dxa"/>
            </w:tcMar>
            <w:vAlign w:val="bottom"/>
          </w:tcPr>
          <w:p w14:paraId="74DDA8D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8D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A8D8" w14:textId="77777777" w:rsidR="00584EC1" w:rsidRDefault="00871F8D">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74DDA8D9" w14:textId="77777777" w:rsidR="00584EC1" w:rsidRDefault="00584EC1">
            <w:pPr>
              <w:jc w:val="right"/>
              <w:rPr>
                <w:rFonts w:ascii="宋体"/>
              </w:rPr>
            </w:pPr>
          </w:p>
        </w:tc>
        <w:tc>
          <w:tcPr>
            <w:tcW w:w="0" w:type="auto"/>
            <w:shd w:val="clear" w:color="auto" w:fill="auto"/>
            <w:vAlign w:val="bottom"/>
          </w:tcPr>
          <w:p w14:paraId="74DDA8DA" w14:textId="77777777" w:rsidR="00584EC1" w:rsidRDefault="00584EC1">
            <w:pPr>
              <w:rPr>
                <w:rFonts w:ascii="宋体"/>
                <w:vanish/>
              </w:rPr>
            </w:pPr>
          </w:p>
        </w:tc>
        <w:tc>
          <w:tcPr>
            <w:tcW w:w="0" w:type="auto"/>
            <w:shd w:val="clear" w:color="auto" w:fill="auto"/>
            <w:vAlign w:val="bottom"/>
          </w:tcPr>
          <w:p w14:paraId="74DDA8DB" w14:textId="77777777" w:rsidR="00584EC1" w:rsidRDefault="00584EC1">
            <w:pPr>
              <w:rPr>
                <w:rFonts w:ascii="宋体"/>
                <w:vanish/>
              </w:rPr>
            </w:pPr>
          </w:p>
        </w:tc>
      </w:tr>
      <w:tr w:rsidR="00584EC1" w14:paraId="74DDA8EB" w14:textId="77777777">
        <w:tc>
          <w:tcPr>
            <w:tcW w:w="0" w:type="auto"/>
            <w:gridSpan w:val="3"/>
            <w:shd w:val="clear" w:color="auto" w:fill="CCEEFF"/>
            <w:tcMar>
              <w:top w:w="40" w:type="dxa"/>
              <w:left w:w="20" w:type="dxa"/>
              <w:bottom w:w="40" w:type="dxa"/>
              <w:right w:w="20" w:type="dxa"/>
            </w:tcMar>
            <w:vAlign w:val="bottom"/>
          </w:tcPr>
          <w:p w14:paraId="74DDA8DD" w14:textId="77777777" w:rsidR="00584EC1" w:rsidRDefault="00871F8D">
            <w:pPr>
              <w:textAlignment w:val="bottom"/>
            </w:pPr>
            <w:r>
              <w:rPr>
                <w:rFonts w:ascii="Arial" w:eastAsia="宋体" w:hAnsi="Arial" w:cs="Arial"/>
                <w:color w:val="000000"/>
                <w:sz w:val="18"/>
                <w:szCs w:val="18"/>
              </w:rPr>
              <w:t>Other income</w:t>
            </w:r>
          </w:p>
        </w:tc>
        <w:tc>
          <w:tcPr>
            <w:tcW w:w="0" w:type="auto"/>
            <w:gridSpan w:val="2"/>
            <w:shd w:val="clear" w:color="auto" w:fill="CCEEFF"/>
            <w:tcMar>
              <w:top w:w="40" w:type="dxa"/>
              <w:left w:w="20" w:type="dxa"/>
              <w:bottom w:w="40" w:type="dxa"/>
              <w:right w:w="0" w:type="dxa"/>
            </w:tcMar>
            <w:vAlign w:val="bottom"/>
          </w:tcPr>
          <w:p w14:paraId="74DDA8DE" w14:textId="77777777" w:rsidR="00584EC1" w:rsidRDefault="00871F8D">
            <w:pPr>
              <w:jc w:val="right"/>
              <w:textAlignment w:val="bottom"/>
            </w:pPr>
            <w:r>
              <w:rPr>
                <w:rFonts w:ascii="Arial" w:eastAsia="宋体" w:hAnsi="Arial" w:cs="Arial"/>
                <w:b/>
                <w:bCs/>
                <w:color w:val="000000"/>
                <w:sz w:val="18"/>
                <w:szCs w:val="18"/>
              </w:rPr>
              <w:t>—</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4DDA8D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8E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A8E1" w14:textId="77777777" w:rsidR="00584EC1" w:rsidRDefault="00871F8D">
            <w:pPr>
              <w:jc w:val="right"/>
              <w:textAlignment w:val="bottom"/>
            </w:pP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4DDA8E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8E3"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A8E4" w14:textId="77777777" w:rsidR="00584EC1" w:rsidRDefault="00871F8D">
            <w:pPr>
              <w:jc w:val="right"/>
              <w:textAlignment w:val="bottom"/>
            </w:pPr>
            <w:r>
              <w:rPr>
                <w:rFonts w:ascii="Arial" w:eastAsia="宋体" w:hAnsi="Arial" w:cs="Arial"/>
                <w:b/>
                <w:bCs/>
                <w:color w:val="000000"/>
                <w:sz w:val="18"/>
                <w:szCs w:val="18"/>
              </w:rPr>
              <w:t>53</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4DDA8E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8E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A8E7" w14:textId="77777777" w:rsidR="00584EC1" w:rsidRDefault="00871F8D">
            <w:pPr>
              <w:jc w:val="right"/>
              <w:textAlignment w:val="bottom"/>
            </w:pP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4DDA8E8" w14:textId="77777777" w:rsidR="00584EC1" w:rsidRDefault="00584EC1">
            <w:pPr>
              <w:jc w:val="right"/>
              <w:rPr>
                <w:rFonts w:ascii="宋体"/>
              </w:rPr>
            </w:pPr>
          </w:p>
        </w:tc>
        <w:tc>
          <w:tcPr>
            <w:tcW w:w="0" w:type="auto"/>
            <w:shd w:val="clear" w:color="auto" w:fill="auto"/>
            <w:vAlign w:val="bottom"/>
          </w:tcPr>
          <w:p w14:paraId="74DDA8E9" w14:textId="77777777" w:rsidR="00584EC1" w:rsidRDefault="00584EC1">
            <w:pPr>
              <w:rPr>
                <w:rFonts w:ascii="宋体"/>
                <w:vanish/>
              </w:rPr>
            </w:pPr>
          </w:p>
        </w:tc>
        <w:tc>
          <w:tcPr>
            <w:tcW w:w="0" w:type="auto"/>
            <w:shd w:val="clear" w:color="auto" w:fill="auto"/>
            <w:vAlign w:val="bottom"/>
          </w:tcPr>
          <w:p w14:paraId="74DDA8EA" w14:textId="77777777" w:rsidR="00584EC1" w:rsidRDefault="00584EC1">
            <w:pPr>
              <w:rPr>
                <w:rFonts w:ascii="宋体"/>
                <w:vanish/>
              </w:rPr>
            </w:pPr>
          </w:p>
        </w:tc>
      </w:tr>
      <w:tr w:rsidR="00584EC1" w14:paraId="74DDA8FA" w14:textId="77777777">
        <w:tc>
          <w:tcPr>
            <w:tcW w:w="0" w:type="auto"/>
            <w:gridSpan w:val="3"/>
            <w:shd w:val="clear" w:color="auto" w:fill="FFFFFF"/>
            <w:tcMar>
              <w:top w:w="40" w:type="dxa"/>
              <w:left w:w="20" w:type="dxa"/>
              <w:bottom w:w="40" w:type="dxa"/>
              <w:right w:w="20" w:type="dxa"/>
            </w:tcMar>
            <w:vAlign w:val="bottom"/>
          </w:tcPr>
          <w:p w14:paraId="74DDA8EC" w14:textId="77777777" w:rsidR="00584EC1" w:rsidRDefault="00871F8D">
            <w:pPr>
              <w:textAlignment w:val="bottom"/>
            </w:pPr>
            <w:r>
              <w:rPr>
                <w:rFonts w:ascii="Arial" w:eastAsia="宋体" w:hAnsi="Arial" w:cs="Arial"/>
                <w:color w:val="000000"/>
                <w:sz w:val="18"/>
                <w:szCs w:val="18"/>
              </w:rPr>
              <w:t>Total other income (loss)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A8ED" w14:textId="77777777" w:rsidR="00584EC1" w:rsidRDefault="00871F8D">
            <w:pPr>
              <w:jc w:val="right"/>
              <w:textAlignment w:val="bottom"/>
            </w:pPr>
            <w:r>
              <w:rPr>
                <w:rFonts w:ascii="Arial" w:eastAsia="宋体" w:hAnsi="Arial" w:cs="Arial"/>
                <w:b/>
                <w:bCs/>
                <w:color w:val="000000"/>
                <w:sz w:val="18"/>
                <w:szCs w:val="18"/>
              </w:rPr>
              <w:t>(1)</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A8E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8EF"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A8F0" w14:textId="77777777" w:rsidR="00584EC1" w:rsidRDefault="00871F8D">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A8F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8F2"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A8F3" w14:textId="77777777" w:rsidR="00584EC1" w:rsidRDefault="00871F8D">
            <w:pPr>
              <w:jc w:val="right"/>
              <w:textAlignment w:val="bottom"/>
            </w:pPr>
            <w:r>
              <w:rPr>
                <w:rFonts w:ascii="Arial" w:eastAsia="宋体" w:hAnsi="Arial" w:cs="Arial"/>
                <w:b/>
                <w:bCs/>
                <w:color w:val="000000"/>
                <w:sz w:val="18"/>
                <w:szCs w:val="18"/>
              </w:rPr>
              <w:t>52</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A8F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8F5"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A8F6" w14:textId="77777777" w:rsidR="00584EC1" w:rsidRDefault="00871F8D">
            <w:pPr>
              <w:jc w:val="right"/>
              <w:textAlignment w:val="bottom"/>
            </w:pPr>
            <w:r>
              <w:rPr>
                <w:rFonts w:ascii="Arial" w:eastAsia="宋体" w:hAnsi="Arial" w:cs="Arial"/>
                <w:color w:val="000000"/>
                <w:sz w:val="18"/>
                <w:szCs w:val="18"/>
              </w:rPr>
              <w:t>2 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A8F7" w14:textId="77777777" w:rsidR="00584EC1" w:rsidRDefault="00584EC1">
            <w:pPr>
              <w:jc w:val="right"/>
              <w:rPr>
                <w:rFonts w:ascii="宋体"/>
              </w:rPr>
            </w:pPr>
          </w:p>
        </w:tc>
        <w:tc>
          <w:tcPr>
            <w:tcW w:w="0" w:type="auto"/>
            <w:shd w:val="clear" w:color="auto" w:fill="auto"/>
            <w:vAlign w:val="bottom"/>
          </w:tcPr>
          <w:p w14:paraId="74DDA8F8" w14:textId="77777777" w:rsidR="00584EC1" w:rsidRDefault="00584EC1">
            <w:pPr>
              <w:rPr>
                <w:rFonts w:ascii="宋体"/>
                <w:vanish/>
              </w:rPr>
            </w:pPr>
          </w:p>
        </w:tc>
        <w:tc>
          <w:tcPr>
            <w:tcW w:w="0" w:type="auto"/>
            <w:shd w:val="clear" w:color="auto" w:fill="auto"/>
            <w:vAlign w:val="bottom"/>
          </w:tcPr>
          <w:p w14:paraId="74DDA8F9" w14:textId="77777777" w:rsidR="00584EC1" w:rsidRDefault="00584EC1">
            <w:pPr>
              <w:rPr>
                <w:rFonts w:ascii="宋体"/>
                <w:vanish/>
              </w:rPr>
            </w:pPr>
          </w:p>
        </w:tc>
      </w:tr>
      <w:tr w:rsidR="00584EC1" w14:paraId="74DDA909" w14:textId="77777777">
        <w:tc>
          <w:tcPr>
            <w:tcW w:w="0" w:type="auto"/>
            <w:gridSpan w:val="3"/>
            <w:shd w:val="clear" w:color="auto" w:fill="CCEEFF"/>
            <w:tcMar>
              <w:top w:w="40" w:type="dxa"/>
              <w:left w:w="20" w:type="dxa"/>
              <w:bottom w:w="40" w:type="dxa"/>
              <w:right w:w="20" w:type="dxa"/>
            </w:tcMar>
            <w:vAlign w:val="bottom"/>
          </w:tcPr>
          <w:p w14:paraId="74DDA8FB" w14:textId="77777777" w:rsidR="00584EC1" w:rsidRDefault="00871F8D">
            <w:pPr>
              <w:textAlignment w:val="bottom"/>
            </w:pPr>
            <w:r>
              <w:rPr>
                <w:rFonts w:ascii="Arial" w:eastAsia="宋体" w:hAnsi="Arial" w:cs="Arial"/>
                <w:b/>
                <w:bCs/>
                <w:color w:val="000000"/>
                <w:sz w:val="18"/>
                <w:szCs w:val="18"/>
              </w:rPr>
              <w:t>Total revenue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A8FC" w14:textId="77777777" w:rsidR="00584EC1" w:rsidRDefault="00871F8D">
            <w:pPr>
              <w:jc w:val="right"/>
              <w:textAlignment w:val="bottom"/>
            </w:pPr>
            <w:r>
              <w:rPr>
                <w:rFonts w:ascii="Arial" w:eastAsia="宋体" w:hAnsi="Arial" w:cs="Arial"/>
                <w:b/>
                <w:bCs/>
                <w:color w:val="000000"/>
                <w:sz w:val="18"/>
                <w:szCs w:val="18"/>
              </w:rPr>
              <w:t>2,990</w:t>
            </w:r>
            <w:r>
              <w:rPr>
                <w:rFonts w:ascii="Arial" w:eastAsia="宋体" w:hAnsi="Arial" w:cs="Arial"/>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A8F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8FE"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A8FF" w14:textId="77777777" w:rsidR="00584EC1" w:rsidRDefault="00871F8D">
            <w:pPr>
              <w:jc w:val="right"/>
              <w:textAlignment w:val="bottom"/>
            </w:pPr>
            <w:r>
              <w:rPr>
                <w:rFonts w:ascii="Arial" w:eastAsia="宋体" w:hAnsi="Arial" w:cs="Arial"/>
                <w:color w:val="000000"/>
                <w:sz w:val="18"/>
                <w:szCs w:val="18"/>
              </w:rPr>
              <w:t>2,784 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A90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901"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A902" w14:textId="77777777" w:rsidR="00584EC1" w:rsidRDefault="00871F8D">
            <w:pPr>
              <w:jc w:val="right"/>
              <w:textAlignment w:val="bottom"/>
            </w:pPr>
            <w:r>
              <w:rPr>
                <w:rFonts w:ascii="Arial" w:eastAsia="宋体" w:hAnsi="Arial" w:cs="Arial"/>
                <w:b/>
                <w:bCs/>
                <w:color w:val="000000"/>
                <w:sz w:val="18"/>
                <w:szCs w:val="18"/>
              </w:rPr>
              <w:t>8,974</w:t>
            </w:r>
            <w:r>
              <w:rPr>
                <w:rFonts w:ascii="Arial" w:eastAsia="宋体" w:hAnsi="Arial" w:cs="Arial"/>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A90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904"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A905" w14:textId="77777777" w:rsidR="00584EC1" w:rsidRDefault="00871F8D">
            <w:pPr>
              <w:jc w:val="right"/>
              <w:textAlignment w:val="bottom"/>
            </w:pPr>
            <w:r>
              <w:rPr>
                <w:rFonts w:ascii="Arial" w:eastAsia="宋体" w:hAnsi="Arial" w:cs="Arial"/>
                <w:color w:val="000000"/>
                <w:sz w:val="18"/>
                <w:szCs w:val="18"/>
              </w:rPr>
              <w:t>8,786 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A906" w14:textId="77777777" w:rsidR="00584EC1" w:rsidRDefault="00584EC1">
            <w:pPr>
              <w:jc w:val="right"/>
              <w:rPr>
                <w:rFonts w:ascii="宋体"/>
              </w:rPr>
            </w:pPr>
          </w:p>
        </w:tc>
        <w:tc>
          <w:tcPr>
            <w:tcW w:w="0" w:type="auto"/>
            <w:shd w:val="clear" w:color="auto" w:fill="auto"/>
            <w:vAlign w:val="bottom"/>
          </w:tcPr>
          <w:p w14:paraId="74DDA907" w14:textId="77777777" w:rsidR="00584EC1" w:rsidRDefault="00584EC1">
            <w:pPr>
              <w:rPr>
                <w:rFonts w:ascii="宋体"/>
                <w:vanish/>
              </w:rPr>
            </w:pPr>
          </w:p>
        </w:tc>
        <w:tc>
          <w:tcPr>
            <w:tcW w:w="0" w:type="auto"/>
            <w:shd w:val="clear" w:color="auto" w:fill="auto"/>
            <w:vAlign w:val="bottom"/>
          </w:tcPr>
          <w:p w14:paraId="74DDA908" w14:textId="77777777" w:rsidR="00584EC1" w:rsidRDefault="00584EC1">
            <w:pPr>
              <w:rPr>
                <w:rFonts w:ascii="宋体"/>
                <w:vanish/>
              </w:rPr>
            </w:pPr>
          </w:p>
        </w:tc>
      </w:tr>
      <w:tr w:rsidR="00584EC1" w14:paraId="74DDA918" w14:textId="77777777">
        <w:tc>
          <w:tcPr>
            <w:tcW w:w="0" w:type="auto"/>
            <w:gridSpan w:val="3"/>
            <w:shd w:val="clear" w:color="auto" w:fill="FFFFFF"/>
            <w:tcMar>
              <w:top w:w="40" w:type="dxa"/>
              <w:left w:w="20" w:type="dxa"/>
              <w:bottom w:w="40" w:type="dxa"/>
              <w:right w:w="20" w:type="dxa"/>
            </w:tcMar>
            <w:vAlign w:val="bottom"/>
          </w:tcPr>
          <w:p w14:paraId="74DDA90A" w14:textId="77777777" w:rsidR="00584EC1" w:rsidRDefault="00871F8D">
            <w:pPr>
              <w:textAlignment w:val="bottom"/>
            </w:pPr>
            <w:r>
              <w:rPr>
                <w:rFonts w:ascii="Arial" w:eastAsia="宋体" w:hAnsi="Arial" w:cs="Arial"/>
                <w:color w:val="000000"/>
                <w:sz w:val="18"/>
                <w:szCs w:val="18"/>
              </w:rPr>
              <w:t>Provision for credit losses</w:t>
            </w:r>
          </w:p>
        </w:tc>
        <w:tc>
          <w:tcPr>
            <w:tcW w:w="0" w:type="auto"/>
            <w:gridSpan w:val="2"/>
            <w:shd w:val="clear" w:color="auto" w:fill="FFFFFF"/>
            <w:tcMar>
              <w:top w:w="40" w:type="dxa"/>
              <w:left w:w="20" w:type="dxa"/>
              <w:bottom w:w="40" w:type="dxa"/>
              <w:right w:w="0" w:type="dxa"/>
            </w:tcMar>
            <w:vAlign w:val="bottom"/>
          </w:tcPr>
          <w:p w14:paraId="74DDA90B" w14:textId="77777777" w:rsidR="00584EC1" w:rsidRDefault="00871F8D">
            <w:pPr>
              <w:jc w:val="right"/>
              <w:textAlignment w:val="bottom"/>
            </w:pPr>
            <w:r>
              <w:rPr>
                <w:rFonts w:ascii="Arial" w:eastAsia="宋体" w:hAnsi="Arial" w:cs="Arial"/>
                <w:b/>
                <w:bCs/>
                <w:color w:val="000000"/>
                <w:sz w:val="18"/>
                <w:szCs w:val="18"/>
              </w:rPr>
              <w:t>(2)</w:t>
            </w:r>
          </w:p>
        </w:tc>
        <w:tc>
          <w:tcPr>
            <w:tcW w:w="0" w:type="auto"/>
            <w:shd w:val="clear" w:color="auto" w:fill="FFFFFF"/>
            <w:tcMar>
              <w:top w:w="40" w:type="dxa"/>
              <w:left w:w="0" w:type="dxa"/>
              <w:bottom w:w="40" w:type="dxa"/>
              <w:right w:w="20" w:type="dxa"/>
            </w:tcMar>
            <w:vAlign w:val="bottom"/>
          </w:tcPr>
          <w:p w14:paraId="74DDA90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90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A90E" w14:textId="77777777" w:rsidR="00584EC1" w:rsidRDefault="00871F8D">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4DDA90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91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A911" w14:textId="77777777" w:rsidR="00584EC1" w:rsidRDefault="00871F8D">
            <w:pPr>
              <w:jc w:val="right"/>
              <w:textAlignment w:val="bottom"/>
            </w:pPr>
            <w:r>
              <w:rPr>
                <w:rFonts w:ascii="Arial" w:eastAsia="宋体" w:hAnsi="Arial" w:cs="Arial"/>
                <w:b/>
                <w:bCs/>
                <w:color w:val="000000"/>
                <w:sz w:val="18"/>
                <w:szCs w:val="18"/>
              </w:rPr>
              <w:t>(26)</w:t>
            </w:r>
          </w:p>
        </w:tc>
        <w:tc>
          <w:tcPr>
            <w:tcW w:w="0" w:type="auto"/>
            <w:shd w:val="clear" w:color="auto" w:fill="FFFFFF"/>
            <w:tcMar>
              <w:top w:w="40" w:type="dxa"/>
              <w:left w:w="0" w:type="dxa"/>
              <w:bottom w:w="40" w:type="dxa"/>
              <w:right w:w="20" w:type="dxa"/>
            </w:tcMar>
            <w:vAlign w:val="bottom"/>
          </w:tcPr>
          <w:p w14:paraId="74DDA91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91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A914" w14:textId="77777777" w:rsidR="00584EC1" w:rsidRDefault="00871F8D">
            <w:pPr>
              <w:jc w:val="right"/>
              <w:textAlignment w:val="bottom"/>
            </w:pPr>
            <w:r>
              <w:rPr>
                <w:rFonts w:ascii="Arial" w:eastAsia="宋体" w:hAnsi="Arial" w:cs="Arial"/>
                <w:color w:val="000000"/>
                <w:sz w:val="18"/>
                <w:szCs w:val="18"/>
              </w:rPr>
              <w:t>88 </w:t>
            </w:r>
          </w:p>
        </w:tc>
        <w:tc>
          <w:tcPr>
            <w:tcW w:w="0" w:type="auto"/>
            <w:shd w:val="clear" w:color="auto" w:fill="FFFFFF"/>
            <w:tcMar>
              <w:top w:w="40" w:type="dxa"/>
              <w:left w:w="0" w:type="dxa"/>
              <w:bottom w:w="40" w:type="dxa"/>
              <w:right w:w="20" w:type="dxa"/>
            </w:tcMar>
            <w:vAlign w:val="bottom"/>
          </w:tcPr>
          <w:p w14:paraId="74DDA915" w14:textId="77777777" w:rsidR="00584EC1" w:rsidRDefault="00584EC1">
            <w:pPr>
              <w:jc w:val="right"/>
              <w:rPr>
                <w:rFonts w:ascii="宋体"/>
              </w:rPr>
            </w:pPr>
          </w:p>
        </w:tc>
        <w:tc>
          <w:tcPr>
            <w:tcW w:w="0" w:type="auto"/>
            <w:shd w:val="clear" w:color="auto" w:fill="auto"/>
            <w:vAlign w:val="bottom"/>
          </w:tcPr>
          <w:p w14:paraId="74DDA916" w14:textId="77777777" w:rsidR="00584EC1" w:rsidRDefault="00584EC1">
            <w:pPr>
              <w:rPr>
                <w:rFonts w:ascii="宋体"/>
                <w:vanish/>
              </w:rPr>
            </w:pPr>
          </w:p>
        </w:tc>
        <w:tc>
          <w:tcPr>
            <w:tcW w:w="0" w:type="auto"/>
            <w:shd w:val="clear" w:color="auto" w:fill="auto"/>
            <w:vAlign w:val="bottom"/>
          </w:tcPr>
          <w:p w14:paraId="74DDA917" w14:textId="77777777" w:rsidR="00584EC1" w:rsidRDefault="00584EC1">
            <w:pPr>
              <w:rPr>
                <w:rFonts w:ascii="宋体"/>
                <w:vanish/>
              </w:rPr>
            </w:pPr>
          </w:p>
        </w:tc>
      </w:tr>
      <w:tr w:rsidR="00584EC1" w14:paraId="74DDA923" w14:textId="77777777">
        <w:tc>
          <w:tcPr>
            <w:tcW w:w="0" w:type="auto"/>
            <w:gridSpan w:val="3"/>
            <w:shd w:val="clear" w:color="auto" w:fill="CCEEFF"/>
            <w:tcMar>
              <w:top w:w="40" w:type="dxa"/>
              <w:left w:w="20" w:type="dxa"/>
              <w:bottom w:w="40" w:type="dxa"/>
              <w:right w:w="20" w:type="dxa"/>
            </w:tcMar>
            <w:vAlign w:val="bottom"/>
          </w:tcPr>
          <w:p w14:paraId="74DDA919" w14:textId="77777777" w:rsidR="00584EC1" w:rsidRDefault="00871F8D">
            <w:pPr>
              <w:textAlignment w:val="bottom"/>
            </w:pPr>
            <w:r>
              <w:rPr>
                <w:rFonts w:ascii="Arial" w:eastAsia="宋体" w:hAnsi="Arial" w:cs="Arial"/>
                <w:b/>
                <w:bCs/>
                <w:color w:val="000000"/>
                <w:sz w:val="18"/>
                <w:szCs w:val="18"/>
              </w:rPr>
              <w:t>Expenses:</w:t>
            </w:r>
          </w:p>
        </w:tc>
        <w:tc>
          <w:tcPr>
            <w:tcW w:w="0" w:type="auto"/>
            <w:gridSpan w:val="3"/>
            <w:shd w:val="clear" w:color="auto" w:fill="CCEEFF"/>
            <w:tcMar>
              <w:top w:w="0" w:type="dxa"/>
              <w:left w:w="20" w:type="dxa"/>
              <w:bottom w:w="0" w:type="dxa"/>
              <w:right w:w="20" w:type="dxa"/>
            </w:tcMar>
            <w:vAlign w:val="bottom"/>
          </w:tcPr>
          <w:p w14:paraId="74DDA91A"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A91B"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A91C"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A91D"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A91E"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A91F"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A920" w14:textId="77777777" w:rsidR="00584EC1" w:rsidRDefault="00584EC1">
            <w:pPr>
              <w:rPr>
                <w:rFonts w:ascii="宋体"/>
              </w:rPr>
            </w:pPr>
          </w:p>
        </w:tc>
        <w:tc>
          <w:tcPr>
            <w:tcW w:w="0" w:type="auto"/>
            <w:shd w:val="clear" w:color="auto" w:fill="auto"/>
            <w:vAlign w:val="bottom"/>
          </w:tcPr>
          <w:p w14:paraId="74DDA921" w14:textId="77777777" w:rsidR="00584EC1" w:rsidRDefault="00584EC1">
            <w:pPr>
              <w:rPr>
                <w:rFonts w:ascii="宋体"/>
                <w:vanish/>
              </w:rPr>
            </w:pPr>
          </w:p>
        </w:tc>
        <w:tc>
          <w:tcPr>
            <w:tcW w:w="0" w:type="auto"/>
            <w:shd w:val="clear" w:color="auto" w:fill="auto"/>
            <w:vAlign w:val="bottom"/>
          </w:tcPr>
          <w:p w14:paraId="74DDA922" w14:textId="77777777" w:rsidR="00584EC1" w:rsidRDefault="00584EC1">
            <w:pPr>
              <w:rPr>
                <w:rFonts w:ascii="宋体"/>
                <w:vanish/>
              </w:rPr>
            </w:pPr>
          </w:p>
        </w:tc>
      </w:tr>
      <w:tr w:rsidR="00584EC1" w14:paraId="74DDA932" w14:textId="77777777">
        <w:tc>
          <w:tcPr>
            <w:tcW w:w="0" w:type="auto"/>
            <w:gridSpan w:val="3"/>
            <w:shd w:val="clear" w:color="auto" w:fill="FFFFFF"/>
            <w:tcMar>
              <w:top w:w="40" w:type="dxa"/>
              <w:left w:w="20" w:type="dxa"/>
              <w:bottom w:w="40" w:type="dxa"/>
              <w:right w:w="20" w:type="dxa"/>
            </w:tcMar>
            <w:vAlign w:val="bottom"/>
          </w:tcPr>
          <w:p w14:paraId="74DDA924" w14:textId="77777777" w:rsidR="00584EC1" w:rsidRDefault="00871F8D">
            <w:pPr>
              <w:textAlignment w:val="bottom"/>
            </w:pPr>
            <w:r>
              <w:rPr>
                <w:rFonts w:ascii="Arial" w:eastAsia="宋体" w:hAnsi="Arial" w:cs="Arial"/>
                <w:color w:val="000000"/>
                <w:sz w:val="18"/>
                <w:szCs w:val="18"/>
              </w:rPr>
              <w:t>Compensation and employee benefits</w:t>
            </w:r>
          </w:p>
        </w:tc>
        <w:tc>
          <w:tcPr>
            <w:tcW w:w="0" w:type="auto"/>
            <w:gridSpan w:val="2"/>
            <w:shd w:val="clear" w:color="auto" w:fill="FFFFFF"/>
            <w:tcMar>
              <w:top w:w="40" w:type="dxa"/>
              <w:left w:w="20" w:type="dxa"/>
              <w:bottom w:w="40" w:type="dxa"/>
              <w:right w:w="0" w:type="dxa"/>
            </w:tcMar>
            <w:vAlign w:val="bottom"/>
          </w:tcPr>
          <w:p w14:paraId="74DDA925" w14:textId="77777777" w:rsidR="00584EC1" w:rsidRDefault="00871F8D">
            <w:pPr>
              <w:jc w:val="right"/>
              <w:textAlignment w:val="bottom"/>
            </w:pPr>
            <w:r>
              <w:rPr>
                <w:rFonts w:ascii="Arial" w:eastAsia="宋体" w:hAnsi="Arial" w:cs="Arial"/>
                <w:b/>
                <w:bCs/>
                <w:color w:val="000000"/>
                <w:sz w:val="18"/>
                <w:szCs w:val="18"/>
              </w:rPr>
              <w:t>1,054</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4DDA92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92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A928" w14:textId="77777777" w:rsidR="00584EC1" w:rsidRDefault="00871F8D">
            <w:pPr>
              <w:jc w:val="right"/>
              <w:textAlignment w:val="bottom"/>
            </w:pPr>
            <w:r>
              <w:rPr>
                <w:rFonts w:ascii="Arial" w:eastAsia="宋体" w:hAnsi="Arial" w:cs="Arial"/>
                <w:color w:val="000000"/>
                <w:sz w:val="18"/>
                <w:szCs w:val="18"/>
              </w:rPr>
              <w:t>1,062 </w:t>
            </w:r>
          </w:p>
        </w:tc>
        <w:tc>
          <w:tcPr>
            <w:tcW w:w="0" w:type="auto"/>
            <w:shd w:val="clear" w:color="auto" w:fill="FFFFFF"/>
            <w:tcMar>
              <w:top w:w="40" w:type="dxa"/>
              <w:left w:w="0" w:type="dxa"/>
              <w:bottom w:w="40" w:type="dxa"/>
              <w:right w:w="20" w:type="dxa"/>
            </w:tcMar>
            <w:vAlign w:val="bottom"/>
          </w:tcPr>
          <w:p w14:paraId="74DDA92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92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A92B" w14:textId="77777777" w:rsidR="00584EC1" w:rsidRDefault="00871F8D">
            <w:pPr>
              <w:jc w:val="right"/>
              <w:textAlignment w:val="bottom"/>
            </w:pPr>
            <w:r>
              <w:rPr>
                <w:rFonts w:ascii="Arial" w:eastAsia="宋体" w:hAnsi="Arial" w:cs="Arial"/>
                <w:b/>
                <w:bCs/>
                <w:color w:val="000000"/>
                <w:sz w:val="18"/>
                <w:szCs w:val="18"/>
              </w:rPr>
              <w:t>3,373</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4DDA92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92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A92E" w14:textId="77777777" w:rsidR="00584EC1" w:rsidRDefault="00871F8D">
            <w:pPr>
              <w:jc w:val="right"/>
              <w:textAlignment w:val="bottom"/>
            </w:pPr>
            <w:r>
              <w:rPr>
                <w:rFonts w:ascii="Arial" w:eastAsia="宋体" w:hAnsi="Arial" w:cs="Arial"/>
                <w:color w:val="000000"/>
                <w:sz w:val="18"/>
                <w:szCs w:val="18"/>
              </w:rPr>
              <w:t>3,321 </w:t>
            </w:r>
          </w:p>
        </w:tc>
        <w:tc>
          <w:tcPr>
            <w:tcW w:w="0" w:type="auto"/>
            <w:shd w:val="clear" w:color="auto" w:fill="FFFFFF"/>
            <w:tcMar>
              <w:top w:w="40" w:type="dxa"/>
              <w:left w:w="0" w:type="dxa"/>
              <w:bottom w:w="40" w:type="dxa"/>
              <w:right w:w="20" w:type="dxa"/>
            </w:tcMar>
            <w:vAlign w:val="bottom"/>
          </w:tcPr>
          <w:p w14:paraId="74DDA92F" w14:textId="77777777" w:rsidR="00584EC1" w:rsidRDefault="00584EC1">
            <w:pPr>
              <w:jc w:val="right"/>
              <w:rPr>
                <w:rFonts w:ascii="宋体"/>
              </w:rPr>
            </w:pPr>
          </w:p>
        </w:tc>
        <w:tc>
          <w:tcPr>
            <w:tcW w:w="0" w:type="auto"/>
            <w:shd w:val="clear" w:color="auto" w:fill="auto"/>
            <w:vAlign w:val="bottom"/>
          </w:tcPr>
          <w:p w14:paraId="74DDA930" w14:textId="77777777" w:rsidR="00584EC1" w:rsidRDefault="00584EC1">
            <w:pPr>
              <w:rPr>
                <w:rFonts w:ascii="宋体"/>
                <w:vanish/>
              </w:rPr>
            </w:pPr>
          </w:p>
        </w:tc>
        <w:tc>
          <w:tcPr>
            <w:tcW w:w="0" w:type="auto"/>
            <w:shd w:val="clear" w:color="auto" w:fill="auto"/>
            <w:vAlign w:val="bottom"/>
          </w:tcPr>
          <w:p w14:paraId="74DDA931" w14:textId="77777777" w:rsidR="00584EC1" w:rsidRDefault="00584EC1">
            <w:pPr>
              <w:rPr>
                <w:rFonts w:ascii="宋体"/>
                <w:vanish/>
              </w:rPr>
            </w:pPr>
          </w:p>
        </w:tc>
      </w:tr>
      <w:tr w:rsidR="00584EC1" w14:paraId="74DDA941" w14:textId="77777777">
        <w:tc>
          <w:tcPr>
            <w:tcW w:w="0" w:type="auto"/>
            <w:gridSpan w:val="3"/>
            <w:shd w:val="clear" w:color="auto" w:fill="CCEEFF"/>
            <w:tcMar>
              <w:top w:w="40" w:type="dxa"/>
              <w:left w:w="20" w:type="dxa"/>
              <w:bottom w:w="40" w:type="dxa"/>
              <w:right w:w="20" w:type="dxa"/>
            </w:tcMar>
            <w:vAlign w:val="bottom"/>
          </w:tcPr>
          <w:p w14:paraId="74DDA933" w14:textId="77777777" w:rsidR="00584EC1" w:rsidRDefault="00871F8D">
            <w:pPr>
              <w:textAlignment w:val="bottom"/>
            </w:pPr>
            <w:r>
              <w:rPr>
                <w:rFonts w:ascii="Arial" w:eastAsia="宋体" w:hAnsi="Arial" w:cs="Arial"/>
                <w:color w:val="000000"/>
                <w:sz w:val="18"/>
                <w:szCs w:val="18"/>
              </w:rPr>
              <w:t>Information systems and communications</w:t>
            </w:r>
          </w:p>
        </w:tc>
        <w:tc>
          <w:tcPr>
            <w:tcW w:w="0" w:type="auto"/>
            <w:gridSpan w:val="2"/>
            <w:shd w:val="clear" w:color="auto" w:fill="CCEEFF"/>
            <w:tcMar>
              <w:top w:w="40" w:type="dxa"/>
              <w:left w:w="20" w:type="dxa"/>
              <w:bottom w:w="40" w:type="dxa"/>
              <w:right w:w="0" w:type="dxa"/>
            </w:tcMar>
            <w:vAlign w:val="bottom"/>
          </w:tcPr>
          <w:p w14:paraId="74DDA934" w14:textId="77777777" w:rsidR="00584EC1" w:rsidRDefault="00871F8D">
            <w:pPr>
              <w:jc w:val="right"/>
              <w:textAlignment w:val="bottom"/>
            </w:pPr>
            <w:r>
              <w:rPr>
                <w:rFonts w:ascii="Arial" w:eastAsia="宋体" w:hAnsi="Arial" w:cs="Arial"/>
                <w:b/>
                <w:bCs/>
                <w:color w:val="000000"/>
                <w:sz w:val="18"/>
                <w:szCs w:val="18"/>
              </w:rPr>
              <w:t>406</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4DDA93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93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A937" w14:textId="77777777" w:rsidR="00584EC1" w:rsidRDefault="00871F8D">
            <w:pPr>
              <w:jc w:val="right"/>
              <w:textAlignment w:val="bottom"/>
            </w:pPr>
            <w:r>
              <w:rPr>
                <w:rFonts w:ascii="Arial" w:eastAsia="宋体" w:hAnsi="Arial" w:cs="Arial"/>
                <w:color w:val="000000"/>
                <w:sz w:val="18"/>
                <w:szCs w:val="18"/>
              </w:rPr>
              <w:t>395 </w:t>
            </w:r>
          </w:p>
        </w:tc>
        <w:tc>
          <w:tcPr>
            <w:tcW w:w="0" w:type="auto"/>
            <w:shd w:val="clear" w:color="auto" w:fill="CCEEFF"/>
            <w:tcMar>
              <w:top w:w="40" w:type="dxa"/>
              <w:left w:w="0" w:type="dxa"/>
              <w:bottom w:w="40" w:type="dxa"/>
              <w:right w:w="20" w:type="dxa"/>
            </w:tcMar>
            <w:vAlign w:val="bottom"/>
          </w:tcPr>
          <w:p w14:paraId="74DDA93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93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A93A" w14:textId="77777777" w:rsidR="00584EC1" w:rsidRDefault="00871F8D">
            <w:pPr>
              <w:jc w:val="right"/>
              <w:textAlignment w:val="bottom"/>
            </w:pPr>
            <w:r>
              <w:rPr>
                <w:rFonts w:ascii="Arial" w:eastAsia="宋体" w:hAnsi="Arial" w:cs="Arial"/>
                <w:b/>
                <w:bCs/>
                <w:color w:val="000000"/>
                <w:sz w:val="18"/>
                <w:szCs w:val="18"/>
              </w:rPr>
              <w:t>1,225</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4DDA93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93C"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A93D" w14:textId="77777777" w:rsidR="00584EC1" w:rsidRDefault="00871F8D">
            <w:pPr>
              <w:jc w:val="right"/>
              <w:textAlignment w:val="bottom"/>
            </w:pPr>
            <w:r>
              <w:rPr>
                <w:rFonts w:ascii="Arial" w:eastAsia="宋体" w:hAnsi="Arial" w:cs="Arial"/>
                <w:color w:val="000000"/>
                <w:sz w:val="18"/>
                <w:szCs w:val="18"/>
              </w:rPr>
              <w:t>1,156 </w:t>
            </w:r>
          </w:p>
        </w:tc>
        <w:tc>
          <w:tcPr>
            <w:tcW w:w="0" w:type="auto"/>
            <w:shd w:val="clear" w:color="auto" w:fill="CCEEFF"/>
            <w:tcMar>
              <w:top w:w="40" w:type="dxa"/>
              <w:left w:w="0" w:type="dxa"/>
              <w:bottom w:w="40" w:type="dxa"/>
              <w:right w:w="20" w:type="dxa"/>
            </w:tcMar>
            <w:vAlign w:val="bottom"/>
          </w:tcPr>
          <w:p w14:paraId="74DDA93E" w14:textId="77777777" w:rsidR="00584EC1" w:rsidRDefault="00584EC1">
            <w:pPr>
              <w:jc w:val="right"/>
              <w:rPr>
                <w:rFonts w:ascii="宋体"/>
              </w:rPr>
            </w:pPr>
          </w:p>
        </w:tc>
        <w:tc>
          <w:tcPr>
            <w:tcW w:w="0" w:type="auto"/>
            <w:shd w:val="clear" w:color="auto" w:fill="auto"/>
            <w:vAlign w:val="bottom"/>
          </w:tcPr>
          <w:p w14:paraId="74DDA93F" w14:textId="77777777" w:rsidR="00584EC1" w:rsidRDefault="00584EC1">
            <w:pPr>
              <w:rPr>
                <w:rFonts w:ascii="宋体"/>
                <w:vanish/>
              </w:rPr>
            </w:pPr>
          </w:p>
        </w:tc>
        <w:tc>
          <w:tcPr>
            <w:tcW w:w="0" w:type="auto"/>
            <w:shd w:val="clear" w:color="auto" w:fill="auto"/>
            <w:vAlign w:val="bottom"/>
          </w:tcPr>
          <w:p w14:paraId="74DDA940" w14:textId="77777777" w:rsidR="00584EC1" w:rsidRDefault="00584EC1">
            <w:pPr>
              <w:rPr>
                <w:rFonts w:ascii="宋体"/>
                <w:vanish/>
              </w:rPr>
            </w:pPr>
          </w:p>
        </w:tc>
      </w:tr>
      <w:tr w:rsidR="00584EC1" w14:paraId="74DDA950" w14:textId="77777777">
        <w:tc>
          <w:tcPr>
            <w:tcW w:w="0" w:type="auto"/>
            <w:gridSpan w:val="3"/>
            <w:shd w:val="clear" w:color="auto" w:fill="FFFFFF"/>
            <w:tcMar>
              <w:top w:w="40" w:type="dxa"/>
              <w:left w:w="20" w:type="dxa"/>
              <w:bottom w:w="40" w:type="dxa"/>
              <w:right w:w="20" w:type="dxa"/>
            </w:tcMar>
            <w:vAlign w:val="bottom"/>
          </w:tcPr>
          <w:p w14:paraId="74DDA942" w14:textId="77777777" w:rsidR="00584EC1" w:rsidRDefault="00871F8D">
            <w:pPr>
              <w:textAlignment w:val="bottom"/>
            </w:pPr>
            <w:r>
              <w:rPr>
                <w:rFonts w:ascii="Arial" w:eastAsia="宋体" w:hAnsi="Arial" w:cs="Arial"/>
                <w:color w:val="000000"/>
                <w:sz w:val="18"/>
                <w:szCs w:val="18"/>
              </w:rPr>
              <w:t>Transaction processing services</w:t>
            </w:r>
          </w:p>
        </w:tc>
        <w:tc>
          <w:tcPr>
            <w:tcW w:w="0" w:type="auto"/>
            <w:gridSpan w:val="2"/>
            <w:shd w:val="clear" w:color="auto" w:fill="FFFFFF"/>
            <w:tcMar>
              <w:top w:w="40" w:type="dxa"/>
              <w:left w:w="20" w:type="dxa"/>
              <w:bottom w:w="40" w:type="dxa"/>
              <w:right w:w="0" w:type="dxa"/>
            </w:tcMar>
            <w:vAlign w:val="bottom"/>
          </w:tcPr>
          <w:p w14:paraId="74DDA943" w14:textId="77777777" w:rsidR="00584EC1" w:rsidRDefault="00871F8D">
            <w:pPr>
              <w:jc w:val="right"/>
              <w:textAlignment w:val="bottom"/>
            </w:pPr>
            <w:r>
              <w:rPr>
                <w:rFonts w:ascii="Arial" w:eastAsia="宋体" w:hAnsi="Arial" w:cs="Arial"/>
                <w:b/>
                <w:bCs/>
                <w:color w:val="000000"/>
                <w:sz w:val="18"/>
                <w:szCs w:val="18"/>
              </w:rPr>
              <w:t>253</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4DDA94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945"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A946" w14:textId="77777777" w:rsidR="00584EC1" w:rsidRDefault="00871F8D">
            <w:pPr>
              <w:jc w:val="right"/>
              <w:textAlignment w:val="bottom"/>
            </w:pPr>
            <w:r>
              <w:rPr>
                <w:rFonts w:ascii="Arial" w:eastAsia="宋体" w:hAnsi="Arial" w:cs="Arial"/>
                <w:color w:val="000000"/>
                <w:sz w:val="18"/>
                <w:szCs w:val="18"/>
              </w:rPr>
              <w:t>234 </w:t>
            </w:r>
          </w:p>
        </w:tc>
        <w:tc>
          <w:tcPr>
            <w:tcW w:w="0" w:type="auto"/>
            <w:shd w:val="clear" w:color="auto" w:fill="FFFFFF"/>
            <w:tcMar>
              <w:top w:w="40" w:type="dxa"/>
              <w:left w:w="0" w:type="dxa"/>
              <w:bottom w:w="40" w:type="dxa"/>
              <w:right w:w="20" w:type="dxa"/>
            </w:tcMar>
            <w:vAlign w:val="bottom"/>
          </w:tcPr>
          <w:p w14:paraId="74DDA94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948"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A949" w14:textId="77777777" w:rsidR="00584EC1" w:rsidRDefault="00871F8D">
            <w:pPr>
              <w:jc w:val="right"/>
              <w:textAlignment w:val="bottom"/>
            </w:pPr>
            <w:r>
              <w:rPr>
                <w:rFonts w:ascii="Arial" w:eastAsia="宋体" w:hAnsi="Arial" w:cs="Arial"/>
                <w:b/>
                <w:bCs/>
                <w:color w:val="000000"/>
                <w:sz w:val="18"/>
                <w:szCs w:val="18"/>
              </w:rPr>
              <w:t>786</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4DDA94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94B"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A94C" w14:textId="77777777" w:rsidR="00584EC1" w:rsidRDefault="00871F8D">
            <w:pPr>
              <w:jc w:val="right"/>
              <w:textAlignment w:val="bottom"/>
            </w:pPr>
            <w:r>
              <w:rPr>
                <w:rFonts w:ascii="Arial" w:eastAsia="宋体" w:hAnsi="Arial" w:cs="Arial"/>
                <w:color w:val="000000"/>
                <w:sz w:val="18"/>
                <w:szCs w:val="18"/>
              </w:rPr>
              <w:t>721 </w:t>
            </w:r>
          </w:p>
        </w:tc>
        <w:tc>
          <w:tcPr>
            <w:tcW w:w="0" w:type="auto"/>
            <w:shd w:val="clear" w:color="auto" w:fill="FFFFFF"/>
            <w:tcMar>
              <w:top w:w="40" w:type="dxa"/>
              <w:left w:w="0" w:type="dxa"/>
              <w:bottom w:w="40" w:type="dxa"/>
              <w:right w:w="20" w:type="dxa"/>
            </w:tcMar>
            <w:vAlign w:val="bottom"/>
          </w:tcPr>
          <w:p w14:paraId="74DDA94D" w14:textId="77777777" w:rsidR="00584EC1" w:rsidRDefault="00584EC1">
            <w:pPr>
              <w:jc w:val="right"/>
              <w:rPr>
                <w:rFonts w:ascii="宋体"/>
              </w:rPr>
            </w:pPr>
          </w:p>
        </w:tc>
        <w:tc>
          <w:tcPr>
            <w:tcW w:w="0" w:type="auto"/>
            <w:shd w:val="clear" w:color="auto" w:fill="auto"/>
            <w:vAlign w:val="bottom"/>
          </w:tcPr>
          <w:p w14:paraId="74DDA94E" w14:textId="77777777" w:rsidR="00584EC1" w:rsidRDefault="00584EC1">
            <w:pPr>
              <w:rPr>
                <w:rFonts w:ascii="宋体"/>
                <w:vanish/>
              </w:rPr>
            </w:pPr>
          </w:p>
        </w:tc>
        <w:tc>
          <w:tcPr>
            <w:tcW w:w="0" w:type="auto"/>
            <w:shd w:val="clear" w:color="auto" w:fill="auto"/>
            <w:vAlign w:val="bottom"/>
          </w:tcPr>
          <w:p w14:paraId="74DDA94F" w14:textId="77777777" w:rsidR="00584EC1" w:rsidRDefault="00584EC1">
            <w:pPr>
              <w:rPr>
                <w:rFonts w:ascii="宋体"/>
                <w:vanish/>
              </w:rPr>
            </w:pPr>
          </w:p>
        </w:tc>
      </w:tr>
      <w:tr w:rsidR="00584EC1" w14:paraId="74DDA95F" w14:textId="77777777">
        <w:tc>
          <w:tcPr>
            <w:tcW w:w="0" w:type="auto"/>
            <w:gridSpan w:val="3"/>
            <w:shd w:val="clear" w:color="auto" w:fill="CCEEFF"/>
            <w:tcMar>
              <w:top w:w="40" w:type="dxa"/>
              <w:left w:w="20" w:type="dxa"/>
              <w:bottom w:w="40" w:type="dxa"/>
              <w:right w:w="20" w:type="dxa"/>
            </w:tcMar>
            <w:vAlign w:val="bottom"/>
          </w:tcPr>
          <w:p w14:paraId="74DDA951" w14:textId="77777777" w:rsidR="00584EC1" w:rsidRDefault="00871F8D">
            <w:pPr>
              <w:textAlignment w:val="bottom"/>
            </w:pPr>
            <w:r>
              <w:rPr>
                <w:rFonts w:ascii="Arial" w:eastAsia="宋体" w:hAnsi="Arial" w:cs="Arial"/>
                <w:color w:val="000000"/>
                <w:sz w:val="18"/>
                <w:szCs w:val="18"/>
              </w:rPr>
              <w:t>Occupancy</w:t>
            </w:r>
          </w:p>
        </w:tc>
        <w:tc>
          <w:tcPr>
            <w:tcW w:w="0" w:type="auto"/>
            <w:gridSpan w:val="2"/>
            <w:shd w:val="clear" w:color="auto" w:fill="CCEEFF"/>
            <w:tcMar>
              <w:top w:w="40" w:type="dxa"/>
              <w:left w:w="20" w:type="dxa"/>
              <w:bottom w:w="40" w:type="dxa"/>
              <w:right w:w="0" w:type="dxa"/>
            </w:tcMar>
            <w:vAlign w:val="bottom"/>
          </w:tcPr>
          <w:p w14:paraId="74DDA952" w14:textId="77777777" w:rsidR="00584EC1" w:rsidRDefault="00871F8D">
            <w:pPr>
              <w:jc w:val="right"/>
              <w:textAlignment w:val="bottom"/>
            </w:pPr>
            <w:r>
              <w:rPr>
                <w:rFonts w:ascii="Arial" w:eastAsia="宋体" w:hAnsi="Arial" w:cs="Arial"/>
                <w:b/>
                <w:bCs/>
                <w:color w:val="000000"/>
                <w:sz w:val="18"/>
                <w:szCs w:val="18"/>
              </w:rPr>
              <w:t>102</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4DDA95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954"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A955" w14:textId="77777777" w:rsidR="00584EC1" w:rsidRDefault="00871F8D">
            <w:pPr>
              <w:jc w:val="right"/>
              <w:textAlignment w:val="bottom"/>
            </w:pPr>
            <w:r>
              <w:rPr>
                <w:rFonts w:ascii="Arial" w:eastAsia="宋体" w:hAnsi="Arial" w:cs="Arial"/>
                <w:color w:val="000000"/>
                <w:sz w:val="18"/>
                <w:szCs w:val="18"/>
              </w:rPr>
              <w:t>109 </w:t>
            </w:r>
          </w:p>
        </w:tc>
        <w:tc>
          <w:tcPr>
            <w:tcW w:w="0" w:type="auto"/>
            <w:shd w:val="clear" w:color="auto" w:fill="CCEEFF"/>
            <w:tcMar>
              <w:top w:w="40" w:type="dxa"/>
              <w:left w:w="0" w:type="dxa"/>
              <w:bottom w:w="40" w:type="dxa"/>
              <w:right w:w="20" w:type="dxa"/>
            </w:tcMar>
            <w:vAlign w:val="bottom"/>
          </w:tcPr>
          <w:p w14:paraId="74DDA95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95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A958" w14:textId="77777777" w:rsidR="00584EC1" w:rsidRDefault="00871F8D">
            <w:pPr>
              <w:jc w:val="right"/>
              <w:textAlignment w:val="bottom"/>
            </w:pPr>
            <w:r>
              <w:rPr>
                <w:rFonts w:ascii="Arial" w:eastAsia="宋体" w:hAnsi="Arial" w:cs="Arial"/>
                <w:b/>
                <w:bCs/>
                <w:color w:val="000000"/>
                <w:sz w:val="18"/>
                <w:szCs w:val="18"/>
              </w:rPr>
              <w:t>311</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4DDA95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95A"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A95B" w14:textId="77777777" w:rsidR="00584EC1" w:rsidRDefault="00871F8D">
            <w:pPr>
              <w:jc w:val="right"/>
              <w:textAlignment w:val="bottom"/>
            </w:pPr>
            <w:r>
              <w:rPr>
                <w:rFonts w:ascii="Arial" w:eastAsia="宋体" w:hAnsi="Arial" w:cs="Arial"/>
                <w:color w:val="000000"/>
                <w:sz w:val="18"/>
                <w:szCs w:val="18"/>
              </w:rPr>
              <w:t>327 </w:t>
            </w:r>
          </w:p>
        </w:tc>
        <w:tc>
          <w:tcPr>
            <w:tcW w:w="0" w:type="auto"/>
            <w:shd w:val="clear" w:color="auto" w:fill="CCEEFF"/>
            <w:tcMar>
              <w:top w:w="40" w:type="dxa"/>
              <w:left w:w="0" w:type="dxa"/>
              <w:bottom w:w="40" w:type="dxa"/>
              <w:right w:w="20" w:type="dxa"/>
            </w:tcMar>
            <w:vAlign w:val="bottom"/>
          </w:tcPr>
          <w:p w14:paraId="74DDA95C" w14:textId="77777777" w:rsidR="00584EC1" w:rsidRDefault="00584EC1">
            <w:pPr>
              <w:jc w:val="right"/>
              <w:rPr>
                <w:rFonts w:ascii="宋体"/>
              </w:rPr>
            </w:pPr>
          </w:p>
        </w:tc>
        <w:tc>
          <w:tcPr>
            <w:tcW w:w="0" w:type="auto"/>
            <w:shd w:val="clear" w:color="auto" w:fill="auto"/>
            <w:vAlign w:val="bottom"/>
          </w:tcPr>
          <w:p w14:paraId="74DDA95D" w14:textId="77777777" w:rsidR="00584EC1" w:rsidRDefault="00584EC1">
            <w:pPr>
              <w:rPr>
                <w:rFonts w:ascii="宋体"/>
                <w:vanish/>
              </w:rPr>
            </w:pPr>
          </w:p>
        </w:tc>
        <w:tc>
          <w:tcPr>
            <w:tcW w:w="0" w:type="auto"/>
            <w:shd w:val="clear" w:color="auto" w:fill="auto"/>
            <w:vAlign w:val="bottom"/>
          </w:tcPr>
          <w:p w14:paraId="74DDA95E" w14:textId="77777777" w:rsidR="00584EC1" w:rsidRDefault="00584EC1">
            <w:pPr>
              <w:rPr>
                <w:rFonts w:ascii="宋体"/>
                <w:vanish/>
              </w:rPr>
            </w:pPr>
          </w:p>
        </w:tc>
      </w:tr>
      <w:tr w:rsidR="00584EC1" w14:paraId="74DDA96E" w14:textId="77777777">
        <w:tc>
          <w:tcPr>
            <w:tcW w:w="0" w:type="auto"/>
            <w:gridSpan w:val="3"/>
            <w:shd w:val="clear" w:color="auto" w:fill="FFFFFF"/>
            <w:tcMar>
              <w:top w:w="40" w:type="dxa"/>
              <w:left w:w="20" w:type="dxa"/>
              <w:bottom w:w="40" w:type="dxa"/>
              <w:right w:w="20" w:type="dxa"/>
            </w:tcMar>
            <w:vAlign w:val="bottom"/>
          </w:tcPr>
          <w:p w14:paraId="74DDA960" w14:textId="77777777" w:rsidR="00584EC1" w:rsidRDefault="00871F8D">
            <w:pPr>
              <w:textAlignment w:val="bottom"/>
            </w:pPr>
            <w:r>
              <w:rPr>
                <w:rFonts w:ascii="Arial" w:eastAsia="宋体" w:hAnsi="Arial" w:cs="Arial"/>
                <w:color w:val="000000"/>
                <w:sz w:val="18"/>
                <w:szCs w:val="18"/>
              </w:rPr>
              <w:t>Acquisition and restructuring costs</w:t>
            </w:r>
          </w:p>
        </w:tc>
        <w:tc>
          <w:tcPr>
            <w:tcW w:w="0" w:type="auto"/>
            <w:gridSpan w:val="2"/>
            <w:shd w:val="clear" w:color="auto" w:fill="FFFFFF"/>
            <w:tcMar>
              <w:top w:w="40" w:type="dxa"/>
              <w:left w:w="20" w:type="dxa"/>
              <w:bottom w:w="40" w:type="dxa"/>
              <w:right w:w="0" w:type="dxa"/>
            </w:tcMar>
            <w:vAlign w:val="bottom"/>
          </w:tcPr>
          <w:p w14:paraId="74DDA961" w14:textId="77777777" w:rsidR="00584EC1" w:rsidRDefault="00871F8D">
            <w:pPr>
              <w:jc w:val="right"/>
              <w:textAlignment w:val="bottom"/>
            </w:pPr>
            <w:r>
              <w:rPr>
                <w:rFonts w:ascii="Arial" w:eastAsia="宋体" w:hAnsi="Arial" w:cs="Arial"/>
                <w:b/>
                <w:bCs/>
                <w:color w:val="000000"/>
                <w:sz w:val="18"/>
                <w:szCs w:val="18"/>
              </w:rPr>
              <w:t>18</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4DDA96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96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A964" w14:textId="77777777" w:rsidR="00584EC1" w:rsidRDefault="00871F8D">
            <w:pPr>
              <w:jc w:val="right"/>
              <w:textAlignment w:val="bottom"/>
            </w:pPr>
            <w:r>
              <w:rPr>
                <w:rFonts w:ascii="Arial" w:eastAsia="宋体" w:hAnsi="Arial" w:cs="Arial"/>
                <w:color w:val="000000"/>
                <w:sz w:val="18"/>
                <w:szCs w:val="18"/>
              </w:rPr>
              <w:t>15 </w:t>
            </w:r>
          </w:p>
        </w:tc>
        <w:tc>
          <w:tcPr>
            <w:tcW w:w="0" w:type="auto"/>
            <w:shd w:val="clear" w:color="auto" w:fill="FFFFFF"/>
            <w:tcMar>
              <w:top w:w="40" w:type="dxa"/>
              <w:left w:w="0" w:type="dxa"/>
              <w:bottom w:w="40" w:type="dxa"/>
              <w:right w:w="20" w:type="dxa"/>
            </w:tcMar>
            <w:vAlign w:val="bottom"/>
          </w:tcPr>
          <w:p w14:paraId="74DDA96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96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A967" w14:textId="77777777" w:rsidR="00584EC1" w:rsidRDefault="00871F8D">
            <w:pPr>
              <w:jc w:val="right"/>
              <w:textAlignment w:val="bottom"/>
            </w:pPr>
            <w:r>
              <w:rPr>
                <w:rFonts w:ascii="Arial" w:eastAsia="宋体" w:hAnsi="Arial" w:cs="Arial"/>
                <w:b/>
                <w:bCs/>
                <w:color w:val="000000"/>
                <w:sz w:val="18"/>
                <w:szCs w:val="18"/>
              </w:rPr>
              <w:t>39</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4DDA96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96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A96A" w14:textId="77777777" w:rsidR="00584EC1" w:rsidRDefault="00871F8D">
            <w:pPr>
              <w:jc w:val="right"/>
              <w:textAlignment w:val="bottom"/>
            </w:pPr>
            <w:r>
              <w:rPr>
                <w:rFonts w:ascii="Arial" w:eastAsia="宋体" w:hAnsi="Arial" w:cs="Arial"/>
                <w:color w:val="000000"/>
                <w:sz w:val="18"/>
                <w:szCs w:val="18"/>
              </w:rPr>
              <w:t>38 </w:t>
            </w:r>
          </w:p>
        </w:tc>
        <w:tc>
          <w:tcPr>
            <w:tcW w:w="0" w:type="auto"/>
            <w:shd w:val="clear" w:color="auto" w:fill="FFFFFF"/>
            <w:tcMar>
              <w:top w:w="40" w:type="dxa"/>
              <w:left w:w="0" w:type="dxa"/>
              <w:bottom w:w="40" w:type="dxa"/>
              <w:right w:w="20" w:type="dxa"/>
            </w:tcMar>
            <w:vAlign w:val="bottom"/>
          </w:tcPr>
          <w:p w14:paraId="74DDA96B" w14:textId="77777777" w:rsidR="00584EC1" w:rsidRDefault="00584EC1">
            <w:pPr>
              <w:jc w:val="right"/>
              <w:rPr>
                <w:rFonts w:ascii="宋体"/>
              </w:rPr>
            </w:pPr>
          </w:p>
        </w:tc>
        <w:tc>
          <w:tcPr>
            <w:tcW w:w="0" w:type="auto"/>
            <w:shd w:val="clear" w:color="auto" w:fill="auto"/>
            <w:vAlign w:val="bottom"/>
          </w:tcPr>
          <w:p w14:paraId="74DDA96C" w14:textId="77777777" w:rsidR="00584EC1" w:rsidRDefault="00584EC1">
            <w:pPr>
              <w:rPr>
                <w:rFonts w:ascii="宋体"/>
                <w:vanish/>
              </w:rPr>
            </w:pPr>
          </w:p>
        </w:tc>
        <w:tc>
          <w:tcPr>
            <w:tcW w:w="0" w:type="auto"/>
            <w:shd w:val="clear" w:color="auto" w:fill="auto"/>
            <w:vAlign w:val="bottom"/>
          </w:tcPr>
          <w:p w14:paraId="74DDA96D" w14:textId="77777777" w:rsidR="00584EC1" w:rsidRDefault="00584EC1">
            <w:pPr>
              <w:rPr>
                <w:rFonts w:ascii="宋体"/>
                <w:vanish/>
              </w:rPr>
            </w:pPr>
          </w:p>
        </w:tc>
      </w:tr>
      <w:tr w:rsidR="00584EC1" w14:paraId="74DDA97D" w14:textId="77777777">
        <w:tc>
          <w:tcPr>
            <w:tcW w:w="0" w:type="auto"/>
            <w:gridSpan w:val="3"/>
            <w:shd w:val="clear" w:color="auto" w:fill="CCEEFF"/>
            <w:tcMar>
              <w:top w:w="40" w:type="dxa"/>
              <w:left w:w="20" w:type="dxa"/>
              <w:bottom w:w="40" w:type="dxa"/>
              <w:right w:w="20" w:type="dxa"/>
            </w:tcMar>
            <w:vAlign w:val="bottom"/>
          </w:tcPr>
          <w:p w14:paraId="74DDA96F" w14:textId="77777777" w:rsidR="00584EC1" w:rsidRDefault="00871F8D">
            <w:pPr>
              <w:textAlignment w:val="bottom"/>
            </w:pPr>
            <w:r>
              <w:rPr>
                <w:rFonts w:ascii="Arial" w:eastAsia="宋体" w:hAnsi="Arial" w:cs="Arial"/>
                <w:color w:val="000000"/>
                <w:sz w:val="18"/>
                <w:szCs w:val="18"/>
              </w:rPr>
              <w:t>Amortization of other intangible assets</w:t>
            </w:r>
          </w:p>
        </w:tc>
        <w:tc>
          <w:tcPr>
            <w:tcW w:w="0" w:type="auto"/>
            <w:gridSpan w:val="2"/>
            <w:shd w:val="clear" w:color="auto" w:fill="CCEEFF"/>
            <w:tcMar>
              <w:top w:w="40" w:type="dxa"/>
              <w:left w:w="20" w:type="dxa"/>
              <w:bottom w:w="40" w:type="dxa"/>
              <w:right w:w="0" w:type="dxa"/>
            </w:tcMar>
            <w:vAlign w:val="bottom"/>
          </w:tcPr>
          <w:p w14:paraId="74DDA970" w14:textId="77777777" w:rsidR="00584EC1" w:rsidRDefault="00871F8D">
            <w:pPr>
              <w:jc w:val="right"/>
              <w:textAlignment w:val="bottom"/>
            </w:pPr>
            <w:r>
              <w:rPr>
                <w:rFonts w:ascii="Arial" w:eastAsia="宋体" w:hAnsi="Arial" w:cs="Arial"/>
                <w:b/>
                <w:bCs/>
                <w:color w:val="000000"/>
                <w:sz w:val="18"/>
                <w:szCs w:val="18"/>
              </w:rPr>
              <w:t>62</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4DDA97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972"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A973" w14:textId="77777777" w:rsidR="00584EC1" w:rsidRDefault="00871F8D">
            <w:pPr>
              <w:jc w:val="right"/>
              <w:textAlignment w:val="bottom"/>
            </w:pPr>
            <w:r>
              <w:rPr>
                <w:rFonts w:ascii="Arial" w:eastAsia="宋体" w:hAnsi="Arial" w:cs="Arial"/>
                <w:color w:val="000000"/>
                <w:sz w:val="18"/>
                <w:szCs w:val="18"/>
              </w:rPr>
              <w:t>59 </w:t>
            </w:r>
          </w:p>
        </w:tc>
        <w:tc>
          <w:tcPr>
            <w:tcW w:w="0" w:type="auto"/>
            <w:shd w:val="clear" w:color="auto" w:fill="CCEEFF"/>
            <w:tcMar>
              <w:top w:w="40" w:type="dxa"/>
              <w:left w:w="0" w:type="dxa"/>
              <w:bottom w:w="40" w:type="dxa"/>
              <w:right w:w="20" w:type="dxa"/>
            </w:tcMar>
            <w:vAlign w:val="bottom"/>
          </w:tcPr>
          <w:p w14:paraId="74DDA97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97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A976" w14:textId="77777777" w:rsidR="00584EC1" w:rsidRDefault="00871F8D">
            <w:pPr>
              <w:jc w:val="right"/>
              <w:textAlignment w:val="bottom"/>
            </w:pPr>
            <w:r>
              <w:rPr>
                <w:rFonts w:ascii="Arial" w:eastAsia="宋体" w:hAnsi="Arial" w:cs="Arial"/>
                <w:b/>
                <w:bCs/>
                <w:color w:val="000000"/>
                <w:sz w:val="18"/>
                <w:szCs w:val="18"/>
              </w:rPr>
              <w:t>183</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4DDA97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978"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A979" w14:textId="77777777" w:rsidR="00584EC1" w:rsidRDefault="00871F8D">
            <w:pPr>
              <w:jc w:val="right"/>
              <w:textAlignment w:val="bottom"/>
            </w:pPr>
            <w:r>
              <w:rPr>
                <w:rFonts w:ascii="Arial" w:eastAsia="宋体" w:hAnsi="Arial" w:cs="Arial"/>
                <w:color w:val="000000"/>
                <w:sz w:val="18"/>
                <w:szCs w:val="18"/>
              </w:rPr>
              <w:t>175 </w:t>
            </w:r>
          </w:p>
        </w:tc>
        <w:tc>
          <w:tcPr>
            <w:tcW w:w="0" w:type="auto"/>
            <w:shd w:val="clear" w:color="auto" w:fill="CCEEFF"/>
            <w:tcMar>
              <w:top w:w="40" w:type="dxa"/>
              <w:left w:w="0" w:type="dxa"/>
              <w:bottom w:w="40" w:type="dxa"/>
              <w:right w:w="20" w:type="dxa"/>
            </w:tcMar>
            <w:vAlign w:val="bottom"/>
          </w:tcPr>
          <w:p w14:paraId="74DDA97A" w14:textId="77777777" w:rsidR="00584EC1" w:rsidRDefault="00584EC1">
            <w:pPr>
              <w:jc w:val="right"/>
              <w:rPr>
                <w:rFonts w:ascii="宋体"/>
              </w:rPr>
            </w:pPr>
          </w:p>
        </w:tc>
        <w:tc>
          <w:tcPr>
            <w:tcW w:w="0" w:type="auto"/>
            <w:shd w:val="clear" w:color="auto" w:fill="auto"/>
            <w:vAlign w:val="bottom"/>
          </w:tcPr>
          <w:p w14:paraId="74DDA97B" w14:textId="77777777" w:rsidR="00584EC1" w:rsidRDefault="00584EC1">
            <w:pPr>
              <w:rPr>
                <w:rFonts w:ascii="宋体"/>
                <w:vanish/>
              </w:rPr>
            </w:pPr>
          </w:p>
        </w:tc>
        <w:tc>
          <w:tcPr>
            <w:tcW w:w="0" w:type="auto"/>
            <w:shd w:val="clear" w:color="auto" w:fill="auto"/>
            <w:vAlign w:val="bottom"/>
          </w:tcPr>
          <w:p w14:paraId="74DDA97C" w14:textId="77777777" w:rsidR="00584EC1" w:rsidRDefault="00584EC1">
            <w:pPr>
              <w:rPr>
                <w:rFonts w:ascii="宋体"/>
                <w:vanish/>
              </w:rPr>
            </w:pPr>
          </w:p>
        </w:tc>
      </w:tr>
      <w:tr w:rsidR="00584EC1" w14:paraId="74DDA98C" w14:textId="77777777">
        <w:tc>
          <w:tcPr>
            <w:tcW w:w="0" w:type="auto"/>
            <w:gridSpan w:val="3"/>
            <w:shd w:val="clear" w:color="auto" w:fill="FFFFFF"/>
            <w:tcMar>
              <w:top w:w="40" w:type="dxa"/>
              <w:left w:w="20" w:type="dxa"/>
              <w:bottom w:w="40" w:type="dxa"/>
              <w:right w:w="20" w:type="dxa"/>
            </w:tcMar>
            <w:vAlign w:val="bottom"/>
          </w:tcPr>
          <w:p w14:paraId="74DDA97E" w14:textId="77777777" w:rsidR="00584EC1" w:rsidRDefault="00871F8D">
            <w:pPr>
              <w:textAlignment w:val="bottom"/>
            </w:pPr>
            <w:r>
              <w:rPr>
                <w:rFonts w:ascii="Arial" w:eastAsia="宋体" w:hAnsi="Arial" w:cs="Arial"/>
                <w:color w:val="000000"/>
                <w:sz w:val="18"/>
                <w:szCs w:val="18"/>
              </w:rPr>
              <w:t>Other</w:t>
            </w:r>
          </w:p>
        </w:tc>
        <w:tc>
          <w:tcPr>
            <w:tcW w:w="0" w:type="auto"/>
            <w:gridSpan w:val="2"/>
            <w:shd w:val="clear" w:color="auto" w:fill="FFFFFF"/>
            <w:tcMar>
              <w:top w:w="40" w:type="dxa"/>
              <w:left w:w="20" w:type="dxa"/>
              <w:bottom w:w="40" w:type="dxa"/>
              <w:right w:w="0" w:type="dxa"/>
            </w:tcMar>
            <w:vAlign w:val="bottom"/>
          </w:tcPr>
          <w:p w14:paraId="74DDA97F" w14:textId="77777777" w:rsidR="00584EC1" w:rsidRDefault="00871F8D">
            <w:pPr>
              <w:jc w:val="right"/>
              <w:textAlignment w:val="bottom"/>
            </w:pPr>
            <w:r>
              <w:rPr>
                <w:rFonts w:ascii="Arial" w:eastAsia="宋体" w:hAnsi="Arial" w:cs="Arial"/>
                <w:b/>
                <w:bCs/>
                <w:color w:val="000000"/>
                <w:sz w:val="18"/>
                <w:szCs w:val="18"/>
              </w:rPr>
              <w:t>221</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4DDA98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98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A982" w14:textId="77777777" w:rsidR="00584EC1" w:rsidRDefault="00871F8D">
            <w:pPr>
              <w:jc w:val="right"/>
              <w:textAlignment w:val="bottom"/>
            </w:pPr>
            <w:r>
              <w:rPr>
                <w:rFonts w:ascii="Arial" w:eastAsia="宋体" w:hAnsi="Arial" w:cs="Arial"/>
                <w:color w:val="000000"/>
                <w:sz w:val="18"/>
                <w:szCs w:val="18"/>
              </w:rPr>
              <w:t>229 </w:t>
            </w:r>
          </w:p>
        </w:tc>
        <w:tc>
          <w:tcPr>
            <w:tcW w:w="0" w:type="auto"/>
            <w:shd w:val="clear" w:color="auto" w:fill="FFFFFF"/>
            <w:tcMar>
              <w:top w:w="40" w:type="dxa"/>
              <w:left w:w="0" w:type="dxa"/>
              <w:bottom w:w="40" w:type="dxa"/>
              <w:right w:w="20" w:type="dxa"/>
            </w:tcMar>
            <w:vAlign w:val="bottom"/>
          </w:tcPr>
          <w:p w14:paraId="74DDA98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98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A985" w14:textId="77777777" w:rsidR="00584EC1" w:rsidRDefault="00871F8D">
            <w:pPr>
              <w:jc w:val="right"/>
              <w:textAlignment w:val="bottom"/>
            </w:pPr>
            <w:r>
              <w:rPr>
                <w:rFonts w:ascii="Arial" w:eastAsia="宋体" w:hAnsi="Arial" w:cs="Arial"/>
                <w:b/>
                <w:bCs/>
                <w:color w:val="000000"/>
                <w:sz w:val="18"/>
                <w:szCs w:val="18"/>
              </w:rPr>
              <w:t>642</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4DDA98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98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A988" w14:textId="77777777" w:rsidR="00584EC1" w:rsidRDefault="00871F8D">
            <w:pPr>
              <w:jc w:val="right"/>
              <w:textAlignment w:val="bottom"/>
            </w:pPr>
            <w:r>
              <w:rPr>
                <w:rFonts w:ascii="Arial" w:eastAsia="宋体" w:hAnsi="Arial" w:cs="Arial"/>
                <w:color w:val="000000"/>
                <w:sz w:val="18"/>
                <w:szCs w:val="18"/>
              </w:rPr>
              <w:t>702 </w:t>
            </w:r>
          </w:p>
        </w:tc>
        <w:tc>
          <w:tcPr>
            <w:tcW w:w="0" w:type="auto"/>
            <w:shd w:val="clear" w:color="auto" w:fill="FFFFFF"/>
            <w:tcMar>
              <w:top w:w="40" w:type="dxa"/>
              <w:left w:w="0" w:type="dxa"/>
              <w:bottom w:w="40" w:type="dxa"/>
              <w:right w:w="20" w:type="dxa"/>
            </w:tcMar>
            <w:vAlign w:val="bottom"/>
          </w:tcPr>
          <w:p w14:paraId="74DDA989" w14:textId="77777777" w:rsidR="00584EC1" w:rsidRDefault="00584EC1">
            <w:pPr>
              <w:jc w:val="right"/>
              <w:rPr>
                <w:rFonts w:ascii="宋体"/>
              </w:rPr>
            </w:pPr>
          </w:p>
        </w:tc>
        <w:tc>
          <w:tcPr>
            <w:tcW w:w="0" w:type="auto"/>
            <w:shd w:val="clear" w:color="auto" w:fill="auto"/>
            <w:vAlign w:val="bottom"/>
          </w:tcPr>
          <w:p w14:paraId="74DDA98A" w14:textId="77777777" w:rsidR="00584EC1" w:rsidRDefault="00584EC1">
            <w:pPr>
              <w:rPr>
                <w:rFonts w:ascii="宋体"/>
                <w:vanish/>
              </w:rPr>
            </w:pPr>
          </w:p>
        </w:tc>
        <w:tc>
          <w:tcPr>
            <w:tcW w:w="0" w:type="auto"/>
            <w:shd w:val="clear" w:color="auto" w:fill="auto"/>
            <w:vAlign w:val="bottom"/>
          </w:tcPr>
          <w:p w14:paraId="74DDA98B" w14:textId="77777777" w:rsidR="00584EC1" w:rsidRDefault="00584EC1">
            <w:pPr>
              <w:rPr>
                <w:rFonts w:ascii="宋体"/>
                <w:vanish/>
              </w:rPr>
            </w:pPr>
          </w:p>
        </w:tc>
      </w:tr>
      <w:tr w:rsidR="00584EC1" w14:paraId="74DDA99B" w14:textId="77777777">
        <w:tc>
          <w:tcPr>
            <w:tcW w:w="0" w:type="auto"/>
            <w:gridSpan w:val="3"/>
            <w:shd w:val="clear" w:color="auto" w:fill="CCEEFF"/>
            <w:tcMar>
              <w:top w:w="40" w:type="dxa"/>
              <w:left w:w="20" w:type="dxa"/>
              <w:bottom w:w="40" w:type="dxa"/>
              <w:right w:w="20" w:type="dxa"/>
            </w:tcMar>
            <w:vAlign w:val="bottom"/>
          </w:tcPr>
          <w:p w14:paraId="74DDA98D" w14:textId="77777777" w:rsidR="00584EC1" w:rsidRDefault="00871F8D">
            <w:pPr>
              <w:textAlignment w:val="bottom"/>
            </w:pPr>
            <w:r>
              <w:rPr>
                <w:rFonts w:ascii="Arial" w:eastAsia="宋体" w:hAnsi="Arial" w:cs="Arial"/>
                <w:b/>
                <w:bCs/>
                <w:color w:val="000000"/>
                <w:sz w:val="18"/>
                <w:szCs w:val="18"/>
              </w:rPr>
              <w:t>Total expenses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A98E" w14:textId="77777777" w:rsidR="00584EC1" w:rsidRDefault="00871F8D">
            <w:pPr>
              <w:jc w:val="right"/>
              <w:textAlignment w:val="bottom"/>
            </w:pPr>
            <w:r>
              <w:rPr>
                <w:rFonts w:ascii="Arial" w:eastAsia="宋体" w:hAnsi="Arial" w:cs="Arial"/>
                <w:b/>
                <w:bCs/>
                <w:color w:val="000000"/>
                <w:sz w:val="18"/>
                <w:szCs w:val="18"/>
              </w:rPr>
              <w:t>2,116</w:t>
            </w:r>
            <w:r>
              <w:rPr>
                <w:rFonts w:ascii="Arial" w:eastAsia="宋体" w:hAnsi="Arial" w:cs="Arial"/>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A98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990"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A991" w14:textId="77777777" w:rsidR="00584EC1" w:rsidRDefault="00871F8D">
            <w:pPr>
              <w:jc w:val="right"/>
              <w:textAlignment w:val="bottom"/>
            </w:pPr>
            <w:r>
              <w:rPr>
                <w:rFonts w:ascii="Arial" w:eastAsia="宋体" w:hAnsi="Arial" w:cs="Arial"/>
                <w:color w:val="000000"/>
                <w:sz w:val="18"/>
                <w:szCs w:val="18"/>
              </w:rPr>
              <w:t>2,103 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A99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993"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A994" w14:textId="77777777" w:rsidR="00584EC1" w:rsidRDefault="00871F8D">
            <w:pPr>
              <w:jc w:val="right"/>
              <w:textAlignment w:val="bottom"/>
            </w:pPr>
            <w:r>
              <w:rPr>
                <w:rFonts w:ascii="Arial" w:eastAsia="宋体" w:hAnsi="Arial" w:cs="Arial"/>
                <w:b/>
                <w:bCs/>
                <w:color w:val="000000"/>
                <w:sz w:val="18"/>
                <w:szCs w:val="18"/>
              </w:rPr>
              <w:t>6,559</w:t>
            </w:r>
            <w:r>
              <w:rPr>
                <w:rFonts w:ascii="Arial" w:eastAsia="宋体" w:hAnsi="Arial" w:cs="Arial"/>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A99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996"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A997" w14:textId="77777777" w:rsidR="00584EC1" w:rsidRDefault="00871F8D">
            <w:pPr>
              <w:jc w:val="right"/>
              <w:textAlignment w:val="bottom"/>
            </w:pPr>
            <w:r>
              <w:rPr>
                <w:rFonts w:ascii="Arial" w:eastAsia="宋体" w:hAnsi="Arial" w:cs="Arial"/>
                <w:color w:val="000000"/>
                <w:sz w:val="18"/>
                <w:szCs w:val="18"/>
              </w:rPr>
              <w:t>6,440 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A998" w14:textId="77777777" w:rsidR="00584EC1" w:rsidRDefault="00584EC1">
            <w:pPr>
              <w:jc w:val="right"/>
              <w:rPr>
                <w:rFonts w:ascii="宋体"/>
              </w:rPr>
            </w:pPr>
          </w:p>
        </w:tc>
        <w:tc>
          <w:tcPr>
            <w:tcW w:w="0" w:type="auto"/>
            <w:shd w:val="clear" w:color="auto" w:fill="auto"/>
            <w:vAlign w:val="bottom"/>
          </w:tcPr>
          <w:p w14:paraId="74DDA999" w14:textId="77777777" w:rsidR="00584EC1" w:rsidRDefault="00584EC1">
            <w:pPr>
              <w:rPr>
                <w:rFonts w:ascii="宋体"/>
                <w:vanish/>
              </w:rPr>
            </w:pPr>
          </w:p>
        </w:tc>
        <w:tc>
          <w:tcPr>
            <w:tcW w:w="0" w:type="auto"/>
            <w:shd w:val="clear" w:color="auto" w:fill="auto"/>
            <w:vAlign w:val="bottom"/>
          </w:tcPr>
          <w:p w14:paraId="74DDA99A" w14:textId="77777777" w:rsidR="00584EC1" w:rsidRDefault="00584EC1">
            <w:pPr>
              <w:rPr>
                <w:rFonts w:ascii="宋体"/>
                <w:vanish/>
              </w:rPr>
            </w:pPr>
          </w:p>
        </w:tc>
      </w:tr>
      <w:tr w:rsidR="00584EC1" w14:paraId="74DDA9AA" w14:textId="77777777">
        <w:tc>
          <w:tcPr>
            <w:tcW w:w="0" w:type="auto"/>
            <w:gridSpan w:val="3"/>
            <w:shd w:val="clear" w:color="auto" w:fill="FFFFFF"/>
            <w:tcMar>
              <w:top w:w="40" w:type="dxa"/>
              <w:left w:w="20" w:type="dxa"/>
              <w:bottom w:w="40" w:type="dxa"/>
              <w:right w:w="20" w:type="dxa"/>
            </w:tcMar>
            <w:vAlign w:val="bottom"/>
          </w:tcPr>
          <w:p w14:paraId="74DDA99C" w14:textId="77777777" w:rsidR="00584EC1" w:rsidRDefault="00871F8D">
            <w:pPr>
              <w:textAlignment w:val="bottom"/>
            </w:pPr>
            <w:r>
              <w:rPr>
                <w:rFonts w:ascii="Arial" w:eastAsia="宋体" w:hAnsi="Arial" w:cs="Arial"/>
                <w:color w:val="000000"/>
                <w:sz w:val="18"/>
                <w:szCs w:val="18"/>
              </w:rPr>
              <w:t xml:space="preserve">Income before income tax expense </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A99D" w14:textId="77777777" w:rsidR="00584EC1" w:rsidRDefault="00871F8D">
            <w:pPr>
              <w:jc w:val="right"/>
              <w:textAlignment w:val="bottom"/>
            </w:pPr>
            <w:r>
              <w:rPr>
                <w:rFonts w:ascii="Arial" w:eastAsia="宋体" w:hAnsi="Arial" w:cs="Arial"/>
                <w:b/>
                <w:bCs/>
                <w:color w:val="000000"/>
                <w:sz w:val="18"/>
                <w:szCs w:val="18"/>
              </w:rPr>
              <w:t>876</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A99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99F"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A9A0" w14:textId="77777777" w:rsidR="00584EC1" w:rsidRDefault="00871F8D">
            <w:pPr>
              <w:jc w:val="right"/>
              <w:textAlignment w:val="bottom"/>
            </w:pPr>
            <w:r>
              <w:rPr>
                <w:rFonts w:ascii="Arial" w:eastAsia="宋体" w:hAnsi="Arial" w:cs="Arial"/>
                <w:color w:val="000000"/>
                <w:sz w:val="18"/>
                <w:szCs w:val="18"/>
              </w:rPr>
              <w:t>681 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A9A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9A2"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A9A3" w14:textId="77777777" w:rsidR="00584EC1" w:rsidRDefault="00871F8D">
            <w:pPr>
              <w:jc w:val="right"/>
              <w:textAlignment w:val="bottom"/>
            </w:pPr>
            <w:r>
              <w:rPr>
                <w:rFonts w:ascii="Arial" w:eastAsia="宋体" w:hAnsi="Arial" w:cs="Arial"/>
                <w:b/>
                <w:bCs/>
                <w:color w:val="000000"/>
                <w:sz w:val="18"/>
                <w:szCs w:val="18"/>
              </w:rPr>
              <w:t>2,441</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A9A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9A5"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A9A6" w14:textId="77777777" w:rsidR="00584EC1" w:rsidRDefault="00871F8D">
            <w:pPr>
              <w:jc w:val="right"/>
              <w:textAlignment w:val="bottom"/>
            </w:pPr>
            <w:r>
              <w:rPr>
                <w:rFonts w:ascii="Arial" w:eastAsia="宋体" w:hAnsi="Arial" w:cs="Arial"/>
                <w:color w:val="000000"/>
                <w:sz w:val="18"/>
                <w:szCs w:val="18"/>
              </w:rPr>
              <w:t>2,258 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A9A7" w14:textId="77777777" w:rsidR="00584EC1" w:rsidRDefault="00584EC1">
            <w:pPr>
              <w:jc w:val="right"/>
              <w:rPr>
                <w:rFonts w:ascii="宋体"/>
              </w:rPr>
            </w:pPr>
          </w:p>
        </w:tc>
        <w:tc>
          <w:tcPr>
            <w:tcW w:w="0" w:type="auto"/>
            <w:shd w:val="clear" w:color="auto" w:fill="auto"/>
            <w:vAlign w:val="bottom"/>
          </w:tcPr>
          <w:p w14:paraId="74DDA9A8" w14:textId="77777777" w:rsidR="00584EC1" w:rsidRDefault="00584EC1">
            <w:pPr>
              <w:rPr>
                <w:rFonts w:ascii="宋体"/>
                <w:vanish/>
              </w:rPr>
            </w:pPr>
          </w:p>
        </w:tc>
        <w:tc>
          <w:tcPr>
            <w:tcW w:w="0" w:type="auto"/>
            <w:shd w:val="clear" w:color="auto" w:fill="auto"/>
            <w:vAlign w:val="bottom"/>
          </w:tcPr>
          <w:p w14:paraId="74DDA9A9" w14:textId="77777777" w:rsidR="00584EC1" w:rsidRDefault="00584EC1">
            <w:pPr>
              <w:rPr>
                <w:rFonts w:ascii="宋体"/>
                <w:vanish/>
              </w:rPr>
            </w:pPr>
          </w:p>
        </w:tc>
      </w:tr>
      <w:tr w:rsidR="00584EC1" w14:paraId="74DDA9B9" w14:textId="77777777">
        <w:tc>
          <w:tcPr>
            <w:tcW w:w="0" w:type="auto"/>
            <w:gridSpan w:val="3"/>
            <w:shd w:val="clear" w:color="auto" w:fill="CCEEFF"/>
            <w:tcMar>
              <w:top w:w="40" w:type="dxa"/>
              <w:left w:w="20" w:type="dxa"/>
              <w:bottom w:w="40" w:type="dxa"/>
              <w:right w:w="20" w:type="dxa"/>
            </w:tcMar>
            <w:vAlign w:val="bottom"/>
          </w:tcPr>
          <w:p w14:paraId="74DDA9AB" w14:textId="77777777" w:rsidR="00584EC1" w:rsidRDefault="00871F8D">
            <w:pPr>
              <w:textAlignment w:val="bottom"/>
            </w:pPr>
            <w:r>
              <w:rPr>
                <w:rFonts w:ascii="Arial" w:eastAsia="宋体" w:hAnsi="Arial" w:cs="Arial"/>
                <w:color w:val="000000"/>
                <w:sz w:val="18"/>
                <w:szCs w:val="18"/>
              </w:rPr>
              <w:t xml:space="preserve">Income tax expense </w:t>
            </w:r>
          </w:p>
        </w:tc>
        <w:tc>
          <w:tcPr>
            <w:tcW w:w="0" w:type="auto"/>
            <w:gridSpan w:val="2"/>
            <w:shd w:val="clear" w:color="auto" w:fill="CCEEFF"/>
            <w:tcMar>
              <w:top w:w="40" w:type="dxa"/>
              <w:left w:w="20" w:type="dxa"/>
              <w:bottom w:w="40" w:type="dxa"/>
              <w:right w:w="0" w:type="dxa"/>
            </w:tcMar>
            <w:vAlign w:val="bottom"/>
          </w:tcPr>
          <w:p w14:paraId="74DDA9AC" w14:textId="77777777" w:rsidR="00584EC1" w:rsidRDefault="00871F8D">
            <w:pPr>
              <w:jc w:val="right"/>
              <w:textAlignment w:val="bottom"/>
            </w:pPr>
            <w:r>
              <w:rPr>
                <w:rFonts w:ascii="Arial" w:eastAsia="宋体" w:hAnsi="Arial" w:cs="Arial"/>
                <w:b/>
                <w:bCs/>
                <w:color w:val="000000"/>
                <w:sz w:val="18"/>
                <w:szCs w:val="18"/>
              </w:rPr>
              <w:t>162</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4DDA9A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9AE"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A9AF" w14:textId="77777777" w:rsidR="00584EC1" w:rsidRDefault="00871F8D">
            <w:pPr>
              <w:jc w:val="right"/>
              <w:textAlignment w:val="bottom"/>
            </w:pPr>
            <w:r>
              <w:rPr>
                <w:rFonts w:ascii="Arial" w:eastAsia="宋体" w:hAnsi="Arial" w:cs="Arial"/>
                <w:color w:val="000000"/>
                <w:sz w:val="18"/>
                <w:szCs w:val="18"/>
              </w:rPr>
              <w:t>126 </w:t>
            </w:r>
          </w:p>
        </w:tc>
        <w:tc>
          <w:tcPr>
            <w:tcW w:w="0" w:type="auto"/>
            <w:shd w:val="clear" w:color="auto" w:fill="CCEEFF"/>
            <w:tcMar>
              <w:top w:w="40" w:type="dxa"/>
              <w:left w:w="0" w:type="dxa"/>
              <w:bottom w:w="40" w:type="dxa"/>
              <w:right w:w="20" w:type="dxa"/>
            </w:tcMar>
            <w:vAlign w:val="bottom"/>
          </w:tcPr>
          <w:p w14:paraId="74DDA9B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9B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A9B2" w14:textId="77777777" w:rsidR="00584EC1" w:rsidRDefault="00871F8D">
            <w:pPr>
              <w:jc w:val="right"/>
              <w:textAlignment w:val="bottom"/>
            </w:pPr>
            <w:r>
              <w:rPr>
                <w:rFonts w:ascii="Arial" w:eastAsia="宋体" w:hAnsi="Arial" w:cs="Arial"/>
                <w:b/>
                <w:bCs/>
                <w:color w:val="000000"/>
                <w:sz w:val="18"/>
                <w:szCs w:val="18"/>
              </w:rPr>
              <w:t>445</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4DDA9B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9B4"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A9B5" w14:textId="77777777" w:rsidR="00584EC1" w:rsidRDefault="00871F8D">
            <w:pPr>
              <w:jc w:val="right"/>
              <w:textAlignment w:val="bottom"/>
            </w:pPr>
            <w:r>
              <w:rPr>
                <w:rFonts w:ascii="Arial" w:eastAsia="宋体" w:hAnsi="Arial" w:cs="Arial"/>
                <w:color w:val="000000"/>
                <w:sz w:val="18"/>
                <w:szCs w:val="18"/>
              </w:rPr>
              <w:t>375 </w:t>
            </w:r>
          </w:p>
        </w:tc>
        <w:tc>
          <w:tcPr>
            <w:tcW w:w="0" w:type="auto"/>
            <w:shd w:val="clear" w:color="auto" w:fill="CCEEFF"/>
            <w:tcMar>
              <w:top w:w="40" w:type="dxa"/>
              <w:left w:w="0" w:type="dxa"/>
              <w:bottom w:w="40" w:type="dxa"/>
              <w:right w:w="20" w:type="dxa"/>
            </w:tcMar>
            <w:vAlign w:val="bottom"/>
          </w:tcPr>
          <w:p w14:paraId="74DDA9B6" w14:textId="77777777" w:rsidR="00584EC1" w:rsidRDefault="00584EC1">
            <w:pPr>
              <w:jc w:val="right"/>
              <w:rPr>
                <w:rFonts w:ascii="宋体"/>
              </w:rPr>
            </w:pPr>
          </w:p>
        </w:tc>
        <w:tc>
          <w:tcPr>
            <w:tcW w:w="0" w:type="auto"/>
            <w:shd w:val="clear" w:color="auto" w:fill="auto"/>
            <w:vAlign w:val="bottom"/>
          </w:tcPr>
          <w:p w14:paraId="74DDA9B7" w14:textId="77777777" w:rsidR="00584EC1" w:rsidRDefault="00584EC1">
            <w:pPr>
              <w:rPr>
                <w:rFonts w:ascii="宋体"/>
                <w:vanish/>
              </w:rPr>
            </w:pPr>
          </w:p>
        </w:tc>
        <w:tc>
          <w:tcPr>
            <w:tcW w:w="0" w:type="auto"/>
            <w:shd w:val="clear" w:color="auto" w:fill="auto"/>
            <w:vAlign w:val="bottom"/>
          </w:tcPr>
          <w:p w14:paraId="74DDA9B8" w14:textId="77777777" w:rsidR="00584EC1" w:rsidRDefault="00584EC1">
            <w:pPr>
              <w:rPr>
                <w:rFonts w:ascii="宋体"/>
                <w:vanish/>
              </w:rPr>
            </w:pPr>
          </w:p>
        </w:tc>
      </w:tr>
      <w:tr w:rsidR="00584EC1" w14:paraId="74DDA9C4" w14:textId="77777777">
        <w:trPr>
          <w:hidden/>
        </w:trPr>
        <w:tc>
          <w:tcPr>
            <w:tcW w:w="0" w:type="auto"/>
            <w:gridSpan w:val="3"/>
            <w:shd w:val="clear" w:color="auto" w:fill="auto"/>
            <w:vAlign w:val="bottom"/>
          </w:tcPr>
          <w:p w14:paraId="74DDA9BA" w14:textId="77777777" w:rsidR="00584EC1" w:rsidRDefault="00584EC1">
            <w:pPr>
              <w:rPr>
                <w:rFonts w:ascii="宋体"/>
                <w:vanish/>
              </w:rPr>
            </w:pPr>
          </w:p>
        </w:tc>
        <w:tc>
          <w:tcPr>
            <w:tcW w:w="0" w:type="auto"/>
            <w:gridSpan w:val="3"/>
            <w:shd w:val="clear" w:color="auto" w:fill="auto"/>
            <w:vAlign w:val="bottom"/>
          </w:tcPr>
          <w:p w14:paraId="74DDA9BB" w14:textId="77777777" w:rsidR="00584EC1" w:rsidRDefault="00584EC1">
            <w:pPr>
              <w:rPr>
                <w:rFonts w:ascii="宋体"/>
                <w:vanish/>
              </w:rPr>
            </w:pPr>
          </w:p>
        </w:tc>
        <w:tc>
          <w:tcPr>
            <w:tcW w:w="0" w:type="auto"/>
            <w:gridSpan w:val="3"/>
            <w:shd w:val="clear" w:color="auto" w:fill="auto"/>
            <w:vAlign w:val="bottom"/>
          </w:tcPr>
          <w:p w14:paraId="74DDA9BC" w14:textId="77777777" w:rsidR="00584EC1" w:rsidRDefault="00584EC1">
            <w:pPr>
              <w:rPr>
                <w:rFonts w:ascii="宋体"/>
                <w:vanish/>
              </w:rPr>
            </w:pPr>
          </w:p>
        </w:tc>
        <w:tc>
          <w:tcPr>
            <w:tcW w:w="0" w:type="auto"/>
            <w:gridSpan w:val="3"/>
            <w:shd w:val="clear" w:color="auto" w:fill="auto"/>
            <w:vAlign w:val="bottom"/>
          </w:tcPr>
          <w:p w14:paraId="74DDA9BD" w14:textId="77777777" w:rsidR="00584EC1" w:rsidRDefault="00584EC1">
            <w:pPr>
              <w:rPr>
                <w:rFonts w:ascii="宋体"/>
                <w:vanish/>
              </w:rPr>
            </w:pPr>
          </w:p>
        </w:tc>
        <w:tc>
          <w:tcPr>
            <w:tcW w:w="0" w:type="auto"/>
            <w:gridSpan w:val="3"/>
            <w:shd w:val="clear" w:color="auto" w:fill="auto"/>
            <w:vAlign w:val="bottom"/>
          </w:tcPr>
          <w:p w14:paraId="74DDA9BE" w14:textId="77777777" w:rsidR="00584EC1" w:rsidRDefault="00584EC1">
            <w:pPr>
              <w:rPr>
                <w:rFonts w:ascii="宋体"/>
                <w:vanish/>
              </w:rPr>
            </w:pPr>
          </w:p>
        </w:tc>
        <w:tc>
          <w:tcPr>
            <w:tcW w:w="0" w:type="auto"/>
            <w:gridSpan w:val="3"/>
            <w:shd w:val="clear" w:color="auto" w:fill="auto"/>
            <w:vAlign w:val="bottom"/>
          </w:tcPr>
          <w:p w14:paraId="74DDA9BF" w14:textId="77777777" w:rsidR="00584EC1" w:rsidRDefault="00584EC1">
            <w:pPr>
              <w:rPr>
                <w:rFonts w:ascii="宋体"/>
                <w:vanish/>
              </w:rPr>
            </w:pPr>
          </w:p>
        </w:tc>
        <w:tc>
          <w:tcPr>
            <w:tcW w:w="0" w:type="auto"/>
            <w:gridSpan w:val="3"/>
            <w:shd w:val="clear" w:color="auto" w:fill="auto"/>
            <w:vAlign w:val="bottom"/>
          </w:tcPr>
          <w:p w14:paraId="74DDA9C0" w14:textId="77777777" w:rsidR="00584EC1" w:rsidRDefault="00584EC1">
            <w:pPr>
              <w:rPr>
                <w:rFonts w:ascii="宋体"/>
                <w:vanish/>
              </w:rPr>
            </w:pPr>
          </w:p>
        </w:tc>
        <w:tc>
          <w:tcPr>
            <w:tcW w:w="0" w:type="auto"/>
            <w:gridSpan w:val="3"/>
            <w:shd w:val="clear" w:color="auto" w:fill="auto"/>
            <w:vAlign w:val="bottom"/>
          </w:tcPr>
          <w:p w14:paraId="74DDA9C1" w14:textId="77777777" w:rsidR="00584EC1" w:rsidRDefault="00584EC1">
            <w:pPr>
              <w:rPr>
                <w:rFonts w:ascii="宋体"/>
                <w:vanish/>
              </w:rPr>
            </w:pPr>
          </w:p>
        </w:tc>
        <w:tc>
          <w:tcPr>
            <w:tcW w:w="0" w:type="auto"/>
            <w:shd w:val="clear" w:color="auto" w:fill="auto"/>
            <w:vAlign w:val="bottom"/>
          </w:tcPr>
          <w:p w14:paraId="74DDA9C2" w14:textId="77777777" w:rsidR="00584EC1" w:rsidRDefault="00584EC1">
            <w:pPr>
              <w:rPr>
                <w:rFonts w:ascii="宋体"/>
                <w:vanish/>
              </w:rPr>
            </w:pPr>
          </w:p>
        </w:tc>
        <w:tc>
          <w:tcPr>
            <w:tcW w:w="0" w:type="auto"/>
            <w:shd w:val="clear" w:color="auto" w:fill="auto"/>
            <w:vAlign w:val="bottom"/>
          </w:tcPr>
          <w:p w14:paraId="74DDA9C3" w14:textId="77777777" w:rsidR="00584EC1" w:rsidRDefault="00584EC1">
            <w:pPr>
              <w:rPr>
                <w:rFonts w:ascii="宋体"/>
                <w:vanish/>
              </w:rPr>
            </w:pPr>
          </w:p>
        </w:tc>
      </w:tr>
      <w:tr w:rsidR="00584EC1" w14:paraId="74DDA9D7" w14:textId="77777777">
        <w:tc>
          <w:tcPr>
            <w:tcW w:w="0" w:type="auto"/>
            <w:gridSpan w:val="3"/>
            <w:shd w:val="clear" w:color="auto" w:fill="FFFFFF"/>
            <w:tcMar>
              <w:top w:w="40" w:type="dxa"/>
              <w:left w:w="20" w:type="dxa"/>
              <w:bottom w:w="40" w:type="dxa"/>
              <w:right w:w="20" w:type="dxa"/>
            </w:tcMar>
            <w:vAlign w:val="bottom"/>
          </w:tcPr>
          <w:p w14:paraId="74DDA9C5" w14:textId="77777777" w:rsidR="00584EC1" w:rsidRDefault="00871F8D">
            <w:pPr>
              <w:textAlignment w:val="bottom"/>
            </w:pPr>
            <w:r>
              <w:rPr>
                <w:rFonts w:ascii="Arial" w:eastAsia="宋体" w:hAnsi="Arial" w:cs="Arial"/>
                <w:b/>
                <w:bCs/>
                <w:color w:val="000000"/>
                <w:sz w:val="18"/>
                <w:szCs w:val="18"/>
              </w:rPr>
              <w:t>Net income</w:t>
            </w:r>
          </w:p>
        </w:tc>
        <w:tc>
          <w:tcPr>
            <w:tcW w:w="0" w:type="auto"/>
            <w:tcBorders>
              <w:top w:val="single" w:sz="8" w:space="0" w:color="000000"/>
            </w:tcBorders>
            <w:shd w:val="clear" w:color="auto" w:fill="FFFFFF"/>
            <w:tcMar>
              <w:top w:w="40" w:type="dxa"/>
              <w:left w:w="20" w:type="dxa"/>
              <w:bottom w:w="40" w:type="dxa"/>
              <w:right w:w="0" w:type="dxa"/>
            </w:tcMar>
            <w:vAlign w:val="bottom"/>
          </w:tcPr>
          <w:p w14:paraId="74DDA9C6" w14:textId="77777777" w:rsidR="00584EC1" w:rsidRDefault="00871F8D">
            <w:pPr>
              <w:textAlignment w:val="bottom"/>
            </w:pPr>
            <w:r>
              <w:rPr>
                <w:rFonts w:ascii="Arial" w:eastAsia="宋体" w:hAnsi="Arial" w:cs="Arial"/>
                <w:b/>
                <w:bCs/>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A9C7" w14:textId="77777777" w:rsidR="00584EC1" w:rsidRDefault="00871F8D">
            <w:pPr>
              <w:jc w:val="right"/>
              <w:textAlignment w:val="bottom"/>
            </w:pPr>
            <w:r>
              <w:rPr>
                <w:rFonts w:ascii="Arial" w:eastAsia="宋体" w:hAnsi="Arial" w:cs="Arial"/>
                <w:b/>
                <w:bCs/>
                <w:color w:val="000000"/>
                <w:sz w:val="18"/>
                <w:szCs w:val="18"/>
              </w:rPr>
              <w:t>714</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A9C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9C9"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A9CA" w14:textId="77777777" w:rsidR="00584EC1" w:rsidRDefault="00871F8D">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A9CB" w14:textId="77777777" w:rsidR="00584EC1" w:rsidRDefault="00871F8D">
            <w:pPr>
              <w:jc w:val="right"/>
              <w:textAlignment w:val="bottom"/>
            </w:pPr>
            <w:r>
              <w:rPr>
                <w:rFonts w:ascii="Arial" w:eastAsia="宋体" w:hAnsi="Arial" w:cs="Arial"/>
                <w:color w:val="000000"/>
                <w:sz w:val="18"/>
                <w:szCs w:val="18"/>
              </w:rPr>
              <w:t>555 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A9C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9CD"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A9CE" w14:textId="77777777" w:rsidR="00584EC1" w:rsidRDefault="00871F8D">
            <w:pPr>
              <w:textAlignment w:val="bottom"/>
            </w:pPr>
            <w:r>
              <w:rPr>
                <w:rFonts w:ascii="Arial" w:eastAsia="宋体" w:hAnsi="Arial" w:cs="Arial"/>
                <w:b/>
                <w:bCs/>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A9CF" w14:textId="77777777" w:rsidR="00584EC1" w:rsidRDefault="00871F8D">
            <w:pPr>
              <w:jc w:val="right"/>
              <w:textAlignment w:val="bottom"/>
            </w:pPr>
            <w:r>
              <w:rPr>
                <w:rFonts w:ascii="Arial" w:eastAsia="宋体" w:hAnsi="Arial" w:cs="Arial"/>
                <w:b/>
                <w:bCs/>
                <w:color w:val="000000"/>
                <w:sz w:val="18"/>
                <w:szCs w:val="18"/>
              </w:rPr>
              <w:t>1,996</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A9D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9D1"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A9D2" w14:textId="77777777" w:rsidR="00584EC1" w:rsidRDefault="00871F8D">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A9D3" w14:textId="77777777" w:rsidR="00584EC1" w:rsidRDefault="00871F8D">
            <w:pPr>
              <w:jc w:val="right"/>
              <w:textAlignment w:val="bottom"/>
            </w:pPr>
            <w:r>
              <w:rPr>
                <w:rFonts w:ascii="Arial" w:eastAsia="宋体" w:hAnsi="Arial" w:cs="Arial"/>
                <w:color w:val="000000"/>
                <w:sz w:val="18"/>
                <w:szCs w:val="18"/>
              </w:rPr>
              <w:t>1,883 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A9D4" w14:textId="77777777" w:rsidR="00584EC1" w:rsidRDefault="00584EC1">
            <w:pPr>
              <w:jc w:val="right"/>
              <w:rPr>
                <w:rFonts w:ascii="宋体"/>
              </w:rPr>
            </w:pPr>
          </w:p>
        </w:tc>
        <w:tc>
          <w:tcPr>
            <w:tcW w:w="0" w:type="auto"/>
            <w:shd w:val="clear" w:color="auto" w:fill="auto"/>
            <w:vAlign w:val="bottom"/>
          </w:tcPr>
          <w:p w14:paraId="74DDA9D5" w14:textId="77777777" w:rsidR="00584EC1" w:rsidRDefault="00584EC1">
            <w:pPr>
              <w:rPr>
                <w:rFonts w:ascii="宋体"/>
                <w:vanish/>
              </w:rPr>
            </w:pPr>
          </w:p>
        </w:tc>
        <w:tc>
          <w:tcPr>
            <w:tcW w:w="0" w:type="auto"/>
            <w:shd w:val="clear" w:color="auto" w:fill="auto"/>
            <w:vAlign w:val="bottom"/>
          </w:tcPr>
          <w:p w14:paraId="74DDA9D6" w14:textId="77777777" w:rsidR="00584EC1" w:rsidRDefault="00584EC1">
            <w:pPr>
              <w:rPr>
                <w:rFonts w:ascii="宋体"/>
                <w:vanish/>
              </w:rPr>
            </w:pPr>
          </w:p>
        </w:tc>
      </w:tr>
      <w:tr w:rsidR="00584EC1" w14:paraId="74DDA9EA" w14:textId="77777777">
        <w:tc>
          <w:tcPr>
            <w:tcW w:w="0" w:type="auto"/>
            <w:gridSpan w:val="3"/>
            <w:shd w:val="clear" w:color="auto" w:fill="CCEEFF"/>
            <w:tcMar>
              <w:top w:w="40" w:type="dxa"/>
              <w:left w:w="20" w:type="dxa"/>
              <w:bottom w:w="40" w:type="dxa"/>
              <w:right w:w="20" w:type="dxa"/>
            </w:tcMar>
            <w:vAlign w:val="bottom"/>
          </w:tcPr>
          <w:p w14:paraId="74DDA9D8" w14:textId="77777777" w:rsidR="00584EC1" w:rsidRDefault="00871F8D">
            <w:pPr>
              <w:textAlignment w:val="bottom"/>
            </w:pPr>
            <w:r>
              <w:rPr>
                <w:rFonts w:ascii="Arial" w:eastAsia="宋体" w:hAnsi="Arial" w:cs="Arial"/>
                <w:b/>
                <w:bCs/>
                <w:color w:val="000000"/>
                <w:sz w:val="18"/>
                <w:szCs w:val="18"/>
              </w:rPr>
              <w:t>Net income available to common shareholders</w:t>
            </w:r>
          </w:p>
        </w:tc>
        <w:tc>
          <w:tcPr>
            <w:tcW w:w="0" w:type="auto"/>
            <w:tcBorders>
              <w:top w:val="double" w:sz="6" w:space="0" w:color="000000"/>
            </w:tcBorders>
            <w:shd w:val="clear" w:color="auto" w:fill="CCEEFF"/>
            <w:tcMar>
              <w:top w:w="40" w:type="dxa"/>
              <w:left w:w="20" w:type="dxa"/>
              <w:bottom w:w="40" w:type="dxa"/>
              <w:right w:w="0" w:type="dxa"/>
            </w:tcMar>
            <w:vAlign w:val="bottom"/>
          </w:tcPr>
          <w:p w14:paraId="74DDA9D9" w14:textId="77777777" w:rsidR="00584EC1" w:rsidRDefault="00871F8D">
            <w:pPr>
              <w:textAlignment w:val="bottom"/>
            </w:pPr>
            <w:r>
              <w:rPr>
                <w:rFonts w:ascii="Arial" w:eastAsia="宋体" w:hAnsi="Arial" w:cs="Arial"/>
                <w:b/>
                <w:bCs/>
                <w:color w:val="000000"/>
                <w:sz w:val="18"/>
                <w:szCs w:val="18"/>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74DDA9DA" w14:textId="77777777" w:rsidR="00584EC1" w:rsidRDefault="00871F8D">
            <w:pPr>
              <w:jc w:val="right"/>
              <w:textAlignment w:val="bottom"/>
            </w:pPr>
            <w:r>
              <w:rPr>
                <w:rFonts w:ascii="Arial" w:eastAsia="宋体" w:hAnsi="Arial" w:cs="Arial"/>
                <w:b/>
                <w:bCs/>
                <w:color w:val="000000"/>
                <w:sz w:val="18"/>
                <w:szCs w:val="18"/>
              </w:rPr>
              <w:t>693</w:t>
            </w:r>
            <w:r>
              <w:rPr>
                <w:rFonts w:ascii="Arial" w:eastAsia="宋体" w:hAnsi="Arial" w:cs="Arial"/>
                <w:color w:val="000000"/>
                <w:sz w:val="18"/>
                <w:szCs w:val="18"/>
              </w:rPr>
              <w:t> </w:t>
            </w:r>
          </w:p>
        </w:tc>
        <w:tc>
          <w:tcPr>
            <w:tcW w:w="0" w:type="auto"/>
            <w:tcBorders>
              <w:top w:val="double" w:sz="6" w:space="0" w:color="000000"/>
            </w:tcBorders>
            <w:shd w:val="clear" w:color="auto" w:fill="CCEEFF"/>
            <w:tcMar>
              <w:top w:w="40" w:type="dxa"/>
              <w:left w:w="0" w:type="dxa"/>
              <w:bottom w:w="40" w:type="dxa"/>
              <w:right w:w="20" w:type="dxa"/>
            </w:tcMar>
            <w:vAlign w:val="bottom"/>
          </w:tcPr>
          <w:p w14:paraId="74DDA9D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9DC" w14:textId="77777777" w:rsidR="00584EC1" w:rsidRDefault="00584EC1">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bottom"/>
          </w:tcPr>
          <w:p w14:paraId="74DDA9DD" w14:textId="77777777" w:rsidR="00584EC1" w:rsidRDefault="00871F8D">
            <w:pPr>
              <w:textAlignment w:val="bottom"/>
            </w:pPr>
            <w:r>
              <w:rPr>
                <w:rFonts w:ascii="Arial" w:eastAsia="宋体" w:hAnsi="Arial" w:cs="Arial"/>
                <w:color w:val="000000"/>
                <w:sz w:val="18"/>
                <w:szCs w:val="18"/>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74DDA9DE" w14:textId="77777777" w:rsidR="00584EC1" w:rsidRDefault="00871F8D">
            <w:pPr>
              <w:jc w:val="right"/>
              <w:textAlignment w:val="bottom"/>
            </w:pPr>
            <w:r>
              <w:rPr>
                <w:rFonts w:ascii="Arial" w:eastAsia="宋体" w:hAnsi="Arial" w:cs="Arial"/>
                <w:color w:val="000000"/>
                <w:sz w:val="18"/>
                <w:szCs w:val="18"/>
              </w:rPr>
              <w:t>517 </w:t>
            </w:r>
          </w:p>
        </w:tc>
        <w:tc>
          <w:tcPr>
            <w:tcW w:w="0" w:type="auto"/>
            <w:tcBorders>
              <w:top w:val="double" w:sz="6" w:space="0" w:color="000000"/>
            </w:tcBorders>
            <w:shd w:val="clear" w:color="auto" w:fill="CCEEFF"/>
            <w:tcMar>
              <w:top w:w="40" w:type="dxa"/>
              <w:left w:w="0" w:type="dxa"/>
              <w:bottom w:w="40" w:type="dxa"/>
              <w:right w:w="20" w:type="dxa"/>
            </w:tcMar>
            <w:vAlign w:val="bottom"/>
          </w:tcPr>
          <w:p w14:paraId="74DDA9DF" w14:textId="77777777" w:rsidR="00584EC1" w:rsidRDefault="00584EC1">
            <w:pPr>
              <w:jc w:val="right"/>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4DDA9E0" w14:textId="77777777" w:rsidR="00584EC1" w:rsidRDefault="00584EC1">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bottom"/>
          </w:tcPr>
          <w:p w14:paraId="74DDA9E1" w14:textId="77777777" w:rsidR="00584EC1" w:rsidRDefault="00871F8D">
            <w:pPr>
              <w:textAlignment w:val="bottom"/>
            </w:pPr>
            <w:r>
              <w:rPr>
                <w:rFonts w:ascii="Arial" w:eastAsia="宋体" w:hAnsi="Arial" w:cs="Arial"/>
                <w:b/>
                <w:bCs/>
                <w:color w:val="000000"/>
                <w:sz w:val="18"/>
                <w:szCs w:val="18"/>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74DDA9E2" w14:textId="77777777" w:rsidR="00584EC1" w:rsidRDefault="00871F8D">
            <w:pPr>
              <w:jc w:val="right"/>
              <w:textAlignment w:val="bottom"/>
            </w:pPr>
            <w:r>
              <w:rPr>
                <w:rFonts w:ascii="Arial" w:eastAsia="宋体" w:hAnsi="Arial" w:cs="Arial"/>
                <w:b/>
                <w:bCs/>
                <w:color w:val="000000"/>
                <w:sz w:val="18"/>
                <w:szCs w:val="18"/>
              </w:rPr>
              <w:t>1,910</w:t>
            </w:r>
            <w:r>
              <w:rPr>
                <w:rFonts w:ascii="Arial" w:eastAsia="宋体" w:hAnsi="Arial" w:cs="Arial"/>
                <w:color w:val="000000"/>
                <w:sz w:val="18"/>
                <w:szCs w:val="18"/>
              </w:rPr>
              <w:t> </w:t>
            </w:r>
          </w:p>
        </w:tc>
        <w:tc>
          <w:tcPr>
            <w:tcW w:w="0" w:type="auto"/>
            <w:tcBorders>
              <w:top w:val="double" w:sz="6" w:space="0" w:color="000000"/>
            </w:tcBorders>
            <w:shd w:val="clear" w:color="auto" w:fill="CCEEFF"/>
            <w:tcMar>
              <w:top w:w="40" w:type="dxa"/>
              <w:left w:w="0" w:type="dxa"/>
              <w:bottom w:w="40" w:type="dxa"/>
              <w:right w:w="20" w:type="dxa"/>
            </w:tcMar>
            <w:vAlign w:val="bottom"/>
          </w:tcPr>
          <w:p w14:paraId="74DDA9E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9E4" w14:textId="77777777" w:rsidR="00584EC1" w:rsidRDefault="00584EC1">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bottom"/>
          </w:tcPr>
          <w:p w14:paraId="74DDA9E5" w14:textId="77777777" w:rsidR="00584EC1" w:rsidRDefault="00871F8D">
            <w:pPr>
              <w:textAlignment w:val="bottom"/>
            </w:pPr>
            <w:r>
              <w:rPr>
                <w:rFonts w:ascii="Arial" w:eastAsia="宋体" w:hAnsi="Arial" w:cs="Arial"/>
                <w:color w:val="000000"/>
                <w:sz w:val="18"/>
                <w:szCs w:val="18"/>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74DDA9E6" w14:textId="77777777" w:rsidR="00584EC1" w:rsidRDefault="00871F8D">
            <w:pPr>
              <w:jc w:val="right"/>
              <w:textAlignment w:val="bottom"/>
            </w:pPr>
            <w:r>
              <w:rPr>
                <w:rFonts w:ascii="Arial" w:eastAsia="宋体" w:hAnsi="Arial" w:cs="Arial"/>
                <w:color w:val="000000"/>
                <w:sz w:val="18"/>
                <w:szCs w:val="18"/>
              </w:rPr>
              <w:t>1,759 </w:t>
            </w:r>
          </w:p>
        </w:tc>
        <w:tc>
          <w:tcPr>
            <w:tcW w:w="0" w:type="auto"/>
            <w:tcBorders>
              <w:top w:val="double" w:sz="6" w:space="0" w:color="000000"/>
            </w:tcBorders>
            <w:shd w:val="clear" w:color="auto" w:fill="CCEEFF"/>
            <w:tcMar>
              <w:top w:w="40" w:type="dxa"/>
              <w:left w:w="0" w:type="dxa"/>
              <w:bottom w:w="40" w:type="dxa"/>
              <w:right w:w="20" w:type="dxa"/>
            </w:tcMar>
            <w:vAlign w:val="bottom"/>
          </w:tcPr>
          <w:p w14:paraId="74DDA9E7" w14:textId="77777777" w:rsidR="00584EC1" w:rsidRDefault="00584EC1">
            <w:pPr>
              <w:jc w:val="right"/>
              <w:rPr>
                <w:rFonts w:ascii="宋体"/>
              </w:rPr>
            </w:pPr>
          </w:p>
        </w:tc>
        <w:tc>
          <w:tcPr>
            <w:tcW w:w="0" w:type="auto"/>
            <w:shd w:val="clear" w:color="auto" w:fill="auto"/>
            <w:vAlign w:val="bottom"/>
          </w:tcPr>
          <w:p w14:paraId="74DDA9E8" w14:textId="77777777" w:rsidR="00584EC1" w:rsidRDefault="00584EC1">
            <w:pPr>
              <w:rPr>
                <w:rFonts w:ascii="宋体"/>
                <w:vanish/>
              </w:rPr>
            </w:pPr>
          </w:p>
        </w:tc>
        <w:tc>
          <w:tcPr>
            <w:tcW w:w="0" w:type="auto"/>
            <w:shd w:val="clear" w:color="auto" w:fill="auto"/>
            <w:vAlign w:val="bottom"/>
          </w:tcPr>
          <w:p w14:paraId="74DDA9E9" w14:textId="77777777" w:rsidR="00584EC1" w:rsidRDefault="00584EC1">
            <w:pPr>
              <w:rPr>
                <w:rFonts w:ascii="宋体"/>
                <w:vanish/>
              </w:rPr>
            </w:pPr>
          </w:p>
        </w:tc>
      </w:tr>
      <w:tr w:rsidR="00584EC1" w14:paraId="74DDA9F5" w14:textId="77777777">
        <w:tc>
          <w:tcPr>
            <w:tcW w:w="0" w:type="auto"/>
            <w:gridSpan w:val="3"/>
            <w:shd w:val="clear" w:color="auto" w:fill="FFFFFF"/>
            <w:tcMar>
              <w:top w:w="40" w:type="dxa"/>
              <w:left w:w="20" w:type="dxa"/>
              <w:bottom w:w="40" w:type="dxa"/>
              <w:right w:w="20" w:type="dxa"/>
            </w:tcMar>
            <w:vAlign w:val="bottom"/>
          </w:tcPr>
          <w:p w14:paraId="74DDA9EB" w14:textId="77777777" w:rsidR="00584EC1" w:rsidRDefault="00871F8D">
            <w:pPr>
              <w:textAlignment w:val="bottom"/>
            </w:pPr>
            <w:r>
              <w:rPr>
                <w:rFonts w:ascii="Arial" w:eastAsia="宋体" w:hAnsi="Arial" w:cs="Arial"/>
                <w:b/>
                <w:bCs/>
                <w:color w:val="000000"/>
                <w:sz w:val="18"/>
                <w:szCs w:val="18"/>
              </w:rPr>
              <w:t xml:space="preserve">Earnings per common share: </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A9EC"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A9ED"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A9EE"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A9EF"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A9F0"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A9F1"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A9F2" w14:textId="77777777" w:rsidR="00584EC1" w:rsidRDefault="00584EC1">
            <w:pPr>
              <w:rPr>
                <w:rFonts w:ascii="宋体"/>
              </w:rPr>
            </w:pPr>
          </w:p>
        </w:tc>
        <w:tc>
          <w:tcPr>
            <w:tcW w:w="0" w:type="auto"/>
            <w:shd w:val="clear" w:color="auto" w:fill="auto"/>
            <w:vAlign w:val="bottom"/>
          </w:tcPr>
          <w:p w14:paraId="74DDA9F3" w14:textId="77777777" w:rsidR="00584EC1" w:rsidRDefault="00584EC1">
            <w:pPr>
              <w:rPr>
                <w:rFonts w:ascii="宋体"/>
                <w:vanish/>
              </w:rPr>
            </w:pPr>
          </w:p>
        </w:tc>
        <w:tc>
          <w:tcPr>
            <w:tcW w:w="0" w:type="auto"/>
            <w:shd w:val="clear" w:color="auto" w:fill="auto"/>
            <w:vAlign w:val="bottom"/>
          </w:tcPr>
          <w:p w14:paraId="74DDA9F4" w14:textId="77777777" w:rsidR="00584EC1" w:rsidRDefault="00584EC1">
            <w:pPr>
              <w:rPr>
                <w:rFonts w:ascii="宋体"/>
                <w:vanish/>
              </w:rPr>
            </w:pPr>
          </w:p>
        </w:tc>
      </w:tr>
      <w:tr w:rsidR="00584EC1" w14:paraId="74DDAA08" w14:textId="77777777">
        <w:tc>
          <w:tcPr>
            <w:tcW w:w="0" w:type="auto"/>
            <w:gridSpan w:val="3"/>
            <w:shd w:val="clear" w:color="auto" w:fill="CCEEFF"/>
            <w:tcMar>
              <w:top w:w="40" w:type="dxa"/>
              <w:left w:w="20" w:type="dxa"/>
              <w:bottom w:w="40" w:type="dxa"/>
              <w:right w:w="20" w:type="dxa"/>
            </w:tcMar>
            <w:vAlign w:val="bottom"/>
          </w:tcPr>
          <w:p w14:paraId="74DDA9F6" w14:textId="77777777" w:rsidR="00584EC1" w:rsidRDefault="00871F8D">
            <w:pPr>
              <w:textAlignment w:val="bottom"/>
            </w:pPr>
            <w:r>
              <w:rPr>
                <w:rFonts w:ascii="Arial" w:eastAsia="宋体" w:hAnsi="Arial" w:cs="Arial"/>
                <w:color w:val="000000"/>
                <w:sz w:val="18"/>
                <w:szCs w:val="18"/>
              </w:rPr>
              <w:t>Basic</w:t>
            </w:r>
          </w:p>
        </w:tc>
        <w:tc>
          <w:tcPr>
            <w:tcW w:w="0" w:type="auto"/>
            <w:shd w:val="clear" w:color="auto" w:fill="CCEEFF"/>
            <w:tcMar>
              <w:top w:w="40" w:type="dxa"/>
              <w:left w:w="20" w:type="dxa"/>
              <w:bottom w:w="40" w:type="dxa"/>
              <w:right w:w="0" w:type="dxa"/>
            </w:tcMar>
            <w:vAlign w:val="bottom"/>
          </w:tcPr>
          <w:p w14:paraId="74DDA9F7" w14:textId="77777777" w:rsidR="00584EC1" w:rsidRDefault="00871F8D">
            <w:pPr>
              <w:textAlignment w:val="bottom"/>
            </w:pPr>
            <w:r>
              <w:rPr>
                <w:rFonts w:ascii="Arial" w:eastAsia="宋体" w:hAnsi="Arial" w:cs="Arial"/>
                <w:b/>
                <w:bCs/>
                <w:color w:val="000000"/>
                <w:sz w:val="18"/>
                <w:szCs w:val="18"/>
              </w:rPr>
              <w:t>$</w:t>
            </w:r>
          </w:p>
        </w:tc>
        <w:tc>
          <w:tcPr>
            <w:tcW w:w="0" w:type="auto"/>
            <w:shd w:val="clear" w:color="auto" w:fill="CCEEFF"/>
            <w:tcMar>
              <w:top w:w="40" w:type="dxa"/>
              <w:left w:w="0" w:type="dxa"/>
              <w:bottom w:w="40" w:type="dxa"/>
              <w:right w:w="0" w:type="dxa"/>
            </w:tcMar>
            <w:vAlign w:val="bottom"/>
          </w:tcPr>
          <w:p w14:paraId="74DDA9F8" w14:textId="77777777" w:rsidR="00584EC1" w:rsidRDefault="00871F8D">
            <w:pPr>
              <w:jc w:val="right"/>
              <w:textAlignment w:val="bottom"/>
            </w:pPr>
            <w:r>
              <w:rPr>
                <w:rFonts w:ascii="Arial" w:eastAsia="宋体" w:hAnsi="Arial" w:cs="Arial"/>
                <w:b/>
                <w:bCs/>
                <w:color w:val="000000"/>
                <w:sz w:val="18"/>
                <w:szCs w:val="18"/>
              </w:rPr>
              <w:t>1.99</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4DDA9F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9FA"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A9FB" w14:textId="77777777" w:rsidR="00584EC1" w:rsidRDefault="00871F8D">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74DDA9FC" w14:textId="77777777" w:rsidR="00584EC1" w:rsidRDefault="00871F8D">
            <w:pPr>
              <w:jc w:val="right"/>
              <w:textAlignment w:val="bottom"/>
            </w:pPr>
            <w:r>
              <w:rPr>
                <w:rFonts w:ascii="Arial" w:eastAsia="宋体" w:hAnsi="Arial" w:cs="Arial"/>
                <w:color w:val="000000"/>
                <w:sz w:val="18"/>
                <w:szCs w:val="18"/>
              </w:rPr>
              <w:t>1.47 </w:t>
            </w:r>
          </w:p>
        </w:tc>
        <w:tc>
          <w:tcPr>
            <w:tcW w:w="0" w:type="auto"/>
            <w:shd w:val="clear" w:color="auto" w:fill="CCEEFF"/>
            <w:tcMar>
              <w:top w:w="40" w:type="dxa"/>
              <w:left w:w="0" w:type="dxa"/>
              <w:bottom w:w="40" w:type="dxa"/>
              <w:right w:w="20" w:type="dxa"/>
            </w:tcMar>
            <w:vAlign w:val="bottom"/>
          </w:tcPr>
          <w:p w14:paraId="74DDA9F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9FE"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A9FF" w14:textId="77777777" w:rsidR="00584EC1" w:rsidRDefault="00871F8D">
            <w:pPr>
              <w:textAlignment w:val="bottom"/>
            </w:pPr>
            <w:r>
              <w:rPr>
                <w:rFonts w:ascii="Arial" w:eastAsia="宋体" w:hAnsi="Arial" w:cs="Arial"/>
                <w:b/>
                <w:bCs/>
                <w:color w:val="000000"/>
                <w:sz w:val="18"/>
                <w:szCs w:val="18"/>
              </w:rPr>
              <w:t>$</w:t>
            </w:r>
          </w:p>
        </w:tc>
        <w:tc>
          <w:tcPr>
            <w:tcW w:w="0" w:type="auto"/>
            <w:shd w:val="clear" w:color="auto" w:fill="CCEEFF"/>
            <w:tcMar>
              <w:top w:w="40" w:type="dxa"/>
              <w:left w:w="0" w:type="dxa"/>
              <w:bottom w:w="40" w:type="dxa"/>
              <w:right w:w="0" w:type="dxa"/>
            </w:tcMar>
            <w:vAlign w:val="bottom"/>
          </w:tcPr>
          <w:p w14:paraId="74DDAA00" w14:textId="77777777" w:rsidR="00584EC1" w:rsidRDefault="00871F8D">
            <w:pPr>
              <w:jc w:val="right"/>
              <w:textAlignment w:val="bottom"/>
            </w:pPr>
            <w:r>
              <w:rPr>
                <w:rFonts w:ascii="Arial" w:eastAsia="宋体" w:hAnsi="Arial" w:cs="Arial"/>
                <w:b/>
                <w:bCs/>
                <w:color w:val="000000"/>
                <w:sz w:val="18"/>
                <w:szCs w:val="18"/>
              </w:rPr>
              <w:t>5.49</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4DDAA0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A02"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AA03" w14:textId="77777777" w:rsidR="00584EC1" w:rsidRDefault="00871F8D">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74DDAA04" w14:textId="77777777" w:rsidR="00584EC1" w:rsidRDefault="00871F8D">
            <w:pPr>
              <w:jc w:val="right"/>
              <w:textAlignment w:val="bottom"/>
            </w:pPr>
            <w:r>
              <w:rPr>
                <w:rFonts w:ascii="Arial" w:eastAsia="宋体" w:hAnsi="Arial" w:cs="Arial"/>
                <w:color w:val="000000"/>
                <w:sz w:val="18"/>
                <w:szCs w:val="18"/>
              </w:rPr>
              <w:t>4.99 </w:t>
            </w:r>
          </w:p>
        </w:tc>
        <w:tc>
          <w:tcPr>
            <w:tcW w:w="0" w:type="auto"/>
            <w:shd w:val="clear" w:color="auto" w:fill="CCEEFF"/>
            <w:tcMar>
              <w:top w:w="40" w:type="dxa"/>
              <w:left w:w="0" w:type="dxa"/>
              <w:bottom w:w="40" w:type="dxa"/>
              <w:right w:w="20" w:type="dxa"/>
            </w:tcMar>
            <w:vAlign w:val="bottom"/>
          </w:tcPr>
          <w:p w14:paraId="74DDAA05" w14:textId="77777777" w:rsidR="00584EC1" w:rsidRDefault="00584EC1">
            <w:pPr>
              <w:jc w:val="right"/>
              <w:rPr>
                <w:rFonts w:ascii="宋体"/>
              </w:rPr>
            </w:pPr>
          </w:p>
        </w:tc>
        <w:tc>
          <w:tcPr>
            <w:tcW w:w="0" w:type="auto"/>
            <w:shd w:val="clear" w:color="auto" w:fill="auto"/>
            <w:vAlign w:val="bottom"/>
          </w:tcPr>
          <w:p w14:paraId="74DDAA06" w14:textId="77777777" w:rsidR="00584EC1" w:rsidRDefault="00584EC1">
            <w:pPr>
              <w:rPr>
                <w:rFonts w:ascii="宋体"/>
                <w:vanish/>
              </w:rPr>
            </w:pPr>
          </w:p>
        </w:tc>
        <w:tc>
          <w:tcPr>
            <w:tcW w:w="0" w:type="auto"/>
            <w:shd w:val="clear" w:color="auto" w:fill="auto"/>
            <w:vAlign w:val="bottom"/>
          </w:tcPr>
          <w:p w14:paraId="74DDAA07" w14:textId="77777777" w:rsidR="00584EC1" w:rsidRDefault="00584EC1">
            <w:pPr>
              <w:rPr>
                <w:rFonts w:ascii="宋体"/>
                <w:vanish/>
              </w:rPr>
            </w:pPr>
          </w:p>
        </w:tc>
      </w:tr>
      <w:tr w:rsidR="00584EC1" w14:paraId="74DDAA17" w14:textId="77777777">
        <w:tc>
          <w:tcPr>
            <w:tcW w:w="0" w:type="auto"/>
            <w:gridSpan w:val="3"/>
            <w:shd w:val="clear" w:color="auto" w:fill="FFFFFF"/>
            <w:tcMar>
              <w:top w:w="40" w:type="dxa"/>
              <w:left w:w="20" w:type="dxa"/>
              <w:bottom w:w="40" w:type="dxa"/>
              <w:right w:w="20" w:type="dxa"/>
            </w:tcMar>
            <w:vAlign w:val="bottom"/>
          </w:tcPr>
          <w:p w14:paraId="74DDAA09" w14:textId="77777777" w:rsidR="00584EC1" w:rsidRDefault="00871F8D">
            <w:pPr>
              <w:textAlignment w:val="bottom"/>
            </w:pPr>
            <w:r>
              <w:rPr>
                <w:rFonts w:ascii="Arial" w:eastAsia="宋体" w:hAnsi="Arial" w:cs="Arial"/>
                <w:color w:val="000000"/>
                <w:sz w:val="18"/>
                <w:szCs w:val="18"/>
              </w:rPr>
              <w:t>Diluted</w:t>
            </w:r>
          </w:p>
        </w:tc>
        <w:tc>
          <w:tcPr>
            <w:tcW w:w="0" w:type="auto"/>
            <w:gridSpan w:val="2"/>
            <w:shd w:val="clear" w:color="auto" w:fill="FFFFFF"/>
            <w:tcMar>
              <w:top w:w="40" w:type="dxa"/>
              <w:left w:w="20" w:type="dxa"/>
              <w:bottom w:w="40" w:type="dxa"/>
              <w:right w:w="0" w:type="dxa"/>
            </w:tcMar>
            <w:vAlign w:val="bottom"/>
          </w:tcPr>
          <w:p w14:paraId="74DDAA0A" w14:textId="77777777" w:rsidR="00584EC1" w:rsidRDefault="00871F8D">
            <w:pPr>
              <w:jc w:val="right"/>
              <w:textAlignment w:val="bottom"/>
            </w:pPr>
            <w:r>
              <w:rPr>
                <w:rFonts w:ascii="Arial" w:eastAsia="宋体" w:hAnsi="Arial" w:cs="Arial"/>
                <w:b/>
                <w:bCs/>
                <w:color w:val="000000"/>
                <w:sz w:val="18"/>
                <w:szCs w:val="18"/>
              </w:rPr>
              <w:t>1.96</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4DDAA0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A0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AA0D" w14:textId="77777777" w:rsidR="00584EC1" w:rsidRDefault="00871F8D">
            <w:pPr>
              <w:jc w:val="right"/>
              <w:textAlignment w:val="bottom"/>
            </w:pPr>
            <w:r>
              <w:rPr>
                <w:rFonts w:ascii="Arial" w:eastAsia="宋体" w:hAnsi="Arial" w:cs="Arial"/>
                <w:color w:val="000000"/>
                <w:sz w:val="18"/>
                <w:szCs w:val="18"/>
              </w:rPr>
              <w:t>1.45 </w:t>
            </w:r>
          </w:p>
        </w:tc>
        <w:tc>
          <w:tcPr>
            <w:tcW w:w="0" w:type="auto"/>
            <w:shd w:val="clear" w:color="auto" w:fill="FFFFFF"/>
            <w:tcMar>
              <w:top w:w="40" w:type="dxa"/>
              <w:left w:w="0" w:type="dxa"/>
              <w:bottom w:w="40" w:type="dxa"/>
              <w:right w:w="20" w:type="dxa"/>
            </w:tcMar>
            <w:vAlign w:val="bottom"/>
          </w:tcPr>
          <w:p w14:paraId="74DDAA0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A0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AA10" w14:textId="77777777" w:rsidR="00584EC1" w:rsidRDefault="00871F8D">
            <w:pPr>
              <w:jc w:val="right"/>
              <w:textAlignment w:val="bottom"/>
            </w:pPr>
            <w:r>
              <w:rPr>
                <w:rFonts w:ascii="Arial" w:eastAsia="宋体" w:hAnsi="Arial" w:cs="Arial"/>
                <w:b/>
                <w:bCs/>
                <w:color w:val="000000"/>
                <w:sz w:val="18"/>
                <w:szCs w:val="18"/>
              </w:rPr>
              <w:t>5.40</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4DDAA1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A1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AA13" w14:textId="77777777" w:rsidR="00584EC1" w:rsidRDefault="00871F8D">
            <w:pPr>
              <w:jc w:val="right"/>
              <w:textAlignment w:val="bottom"/>
            </w:pPr>
            <w:r>
              <w:rPr>
                <w:rFonts w:ascii="Arial" w:eastAsia="宋体" w:hAnsi="Arial" w:cs="Arial"/>
                <w:color w:val="000000"/>
                <w:sz w:val="18"/>
                <w:szCs w:val="18"/>
              </w:rPr>
              <w:t>4.93 </w:t>
            </w:r>
          </w:p>
        </w:tc>
        <w:tc>
          <w:tcPr>
            <w:tcW w:w="0" w:type="auto"/>
            <w:shd w:val="clear" w:color="auto" w:fill="FFFFFF"/>
            <w:tcMar>
              <w:top w:w="40" w:type="dxa"/>
              <w:left w:w="0" w:type="dxa"/>
              <w:bottom w:w="40" w:type="dxa"/>
              <w:right w:w="20" w:type="dxa"/>
            </w:tcMar>
            <w:vAlign w:val="bottom"/>
          </w:tcPr>
          <w:p w14:paraId="74DDAA14" w14:textId="77777777" w:rsidR="00584EC1" w:rsidRDefault="00584EC1">
            <w:pPr>
              <w:jc w:val="right"/>
              <w:rPr>
                <w:rFonts w:ascii="宋体"/>
              </w:rPr>
            </w:pPr>
          </w:p>
        </w:tc>
        <w:tc>
          <w:tcPr>
            <w:tcW w:w="0" w:type="auto"/>
            <w:shd w:val="clear" w:color="auto" w:fill="auto"/>
            <w:vAlign w:val="bottom"/>
          </w:tcPr>
          <w:p w14:paraId="74DDAA15" w14:textId="77777777" w:rsidR="00584EC1" w:rsidRDefault="00584EC1">
            <w:pPr>
              <w:rPr>
                <w:rFonts w:ascii="宋体"/>
                <w:vanish/>
              </w:rPr>
            </w:pPr>
          </w:p>
        </w:tc>
        <w:tc>
          <w:tcPr>
            <w:tcW w:w="0" w:type="auto"/>
            <w:shd w:val="clear" w:color="auto" w:fill="auto"/>
            <w:vAlign w:val="bottom"/>
          </w:tcPr>
          <w:p w14:paraId="74DDAA16" w14:textId="77777777" w:rsidR="00584EC1" w:rsidRDefault="00584EC1">
            <w:pPr>
              <w:rPr>
                <w:rFonts w:ascii="宋体"/>
                <w:vanish/>
              </w:rPr>
            </w:pPr>
          </w:p>
        </w:tc>
      </w:tr>
      <w:tr w:rsidR="00584EC1" w14:paraId="74DDAA22" w14:textId="77777777">
        <w:tc>
          <w:tcPr>
            <w:tcW w:w="0" w:type="auto"/>
            <w:gridSpan w:val="3"/>
            <w:shd w:val="clear" w:color="auto" w:fill="CCEEFF"/>
            <w:tcMar>
              <w:top w:w="40" w:type="dxa"/>
              <w:left w:w="20" w:type="dxa"/>
              <w:bottom w:w="40" w:type="dxa"/>
              <w:right w:w="20" w:type="dxa"/>
            </w:tcMar>
            <w:vAlign w:val="bottom"/>
          </w:tcPr>
          <w:p w14:paraId="74DDAA18" w14:textId="77777777" w:rsidR="00584EC1" w:rsidRDefault="00871F8D">
            <w:pPr>
              <w:textAlignment w:val="bottom"/>
            </w:pPr>
            <w:r>
              <w:rPr>
                <w:rFonts w:ascii="Arial" w:eastAsia="宋体" w:hAnsi="Arial" w:cs="Arial"/>
                <w:b/>
                <w:bCs/>
                <w:color w:val="000000"/>
                <w:sz w:val="18"/>
                <w:szCs w:val="18"/>
              </w:rPr>
              <w:t>Average common shares outstanding (in thousands):</w:t>
            </w:r>
          </w:p>
        </w:tc>
        <w:tc>
          <w:tcPr>
            <w:tcW w:w="0" w:type="auto"/>
            <w:gridSpan w:val="3"/>
            <w:shd w:val="clear" w:color="auto" w:fill="CCEEFF"/>
            <w:tcMar>
              <w:top w:w="0" w:type="dxa"/>
              <w:left w:w="20" w:type="dxa"/>
              <w:bottom w:w="0" w:type="dxa"/>
              <w:right w:w="20" w:type="dxa"/>
            </w:tcMar>
            <w:vAlign w:val="bottom"/>
          </w:tcPr>
          <w:p w14:paraId="74DDAA19"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AA1A"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AA1B"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AA1C"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AA1D"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AA1E"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AA1F" w14:textId="77777777" w:rsidR="00584EC1" w:rsidRDefault="00584EC1">
            <w:pPr>
              <w:rPr>
                <w:rFonts w:ascii="宋体"/>
              </w:rPr>
            </w:pPr>
          </w:p>
        </w:tc>
        <w:tc>
          <w:tcPr>
            <w:tcW w:w="0" w:type="auto"/>
            <w:shd w:val="clear" w:color="auto" w:fill="auto"/>
            <w:vAlign w:val="bottom"/>
          </w:tcPr>
          <w:p w14:paraId="74DDAA20" w14:textId="77777777" w:rsidR="00584EC1" w:rsidRDefault="00584EC1">
            <w:pPr>
              <w:rPr>
                <w:rFonts w:ascii="宋体"/>
                <w:vanish/>
              </w:rPr>
            </w:pPr>
          </w:p>
        </w:tc>
        <w:tc>
          <w:tcPr>
            <w:tcW w:w="0" w:type="auto"/>
            <w:shd w:val="clear" w:color="auto" w:fill="auto"/>
            <w:vAlign w:val="bottom"/>
          </w:tcPr>
          <w:p w14:paraId="74DDAA21" w14:textId="77777777" w:rsidR="00584EC1" w:rsidRDefault="00584EC1">
            <w:pPr>
              <w:rPr>
                <w:rFonts w:ascii="宋体"/>
                <w:vanish/>
              </w:rPr>
            </w:pPr>
          </w:p>
        </w:tc>
      </w:tr>
      <w:tr w:rsidR="00584EC1" w14:paraId="74DDAA31" w14:textId="77777777">
        <w:tc>
          <w:tcPr>
            <w:tcW w:w="0" w:type="auto"/>
            <w:gridSpan w:val="3"/>
            <w:shd w:val="clear" w:color="auto" w:fill="FFFFFF"/>
            <w:tcMar>
              <w:top w:w="40" w:type="dxa"/>
              <w:left w:w="20" w:type="dxa"/>
              <w:bottom w:w="40" w:type="dxa"/>
              <w:right w:w="20" w:type="dxa"/>
            </w:tcMar>
            <w:vAlign w:val="bottom"/>
          </w:tcPr>
          <w:p w14:paraId="74DDAA23" w14:textId="77777777" w:rsidR="00584EC1" w:rsidRDefault="00871F8D">
            <w:pPr>
              <w:textAlignment w:val="bottom"/>
            </w:pPr>
            <w:r>
              <w:rPr>
                <w:rFonts w:ascii="Arial" w:eastAsia="宋体" w:hAnsi="Arial" w:cs="Arial"/>
                <w:color w:val="000000"/>
                <w:sz w:val="18"/>
                <w:szCs w:val="18"/>
              </w:rPr>
              <w:t>Basic</w:t>
            </w:r>
          </w:p>
        </w:tc>
        <w:tc>
          <w:tcPr>
            <w:tcW w:w="0" w:type="auto"/>
            <w:gridSpan w:val="2"/>
            <w:shd w:val="clear" w:color="auto" w:fill="FFFFFF"/>
            <w:tcMar>
              <w:top w:w="40" w:type="dxa"/>
              <w:left w:w="20" w:type="dxa"/>
              <w:bottom w:w="40" w:type="dxa"/>
              <w:right w:w="0" w:type="dxa"/>
            </w:tcMar>
            <w:vAlign w:val="bottom"/>
          </w:tcPr>
          <w:p w14:paraId="74DDAA24" w14:textId="77777777" w:rsidR="00584EC1" w:rsidRDefault="00871F8D">
            <w:pPr>
              <w:jc w:val="right"/>
              <w:textAlignment w:val="bottom"/>
            </w:pPr>
            <w:r>
              <w:rPr>
                <w:rFonts w:ascii="Arial" w:eastAsia="宋体" w:hAnsi="Arial" w:cs="Arial"/>
                <w:b/>
                <w:bCs/>
                <w:color w:val="000000"/>
                <w:sz w:val="18"/>
                <w:szCs w:val="18"/>
              </w:rPr>
              <w:t>347,718</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4DDAA2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A2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AA27" w14:textId="77777777" w:rsidR="00584EC1" w:rsidRDefault="00871F8D">
            <w:pPr>
              <w:jc w:val="right"/>
              <w:textAlignment w:val="bottom"/>
            </w:pPr>
            <w:r>
              <w:rPr>
                <w:rFonts w:ascii="Arial" w:eastAsia="宋体" w:hAnsi="Arial" w:cs="Arial"/>
                <w:color w:val="000000"/>
                <w:sz w:val="18"/>
                <w:szCs w:val="18"/>
              </w:rPr>
              <w:t>352,586 </w:t>
            </w:r>
          </w:p>
        </w:tc>
        <w:tc>
          <w:tcPr>
            <w:tcW w:w="0" w:type="auto"/>
            <w:shd w:val="clear" w:color="auto" w:fill="FFFFFF"/>
            <w:tcMar>
              <w:top w:w="40" w:type="dxa"/>
              <w:left w:w="0" w:type="dxa"/>
              <w:bottom w:w="40" w:type="dxa"/>
              <w:right w:w="20" w:type="dxa"/>
            </w:tcMar>
            <w:vAlign w:val="bottom"/>
          </w:tcPr>
          <w:p w14:paraId="74DDAA2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A2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AA2A" w14:textId="77777777" w:rsidR="00584EC1" w:rsidRDefault="00871F8D">
            <w:pPr>
              <w:jc w:val="right"/>
              <w:textAlignment w:val="bottom"/>
            </w:pPr>
            <w:r>
              <w:rPr>
                <w:rFonts w:ascii="Arial" w:eastAsia="宋体" w:hAnsi="Arial" w:cs="Arial"/>
                <w:b/>
                <w:bCs/>
                <w:color w:val="000000"/>
                <w:sz w:val="18"/>
                <w:szCs w:val="18"/>
              </w:rPr>
              <w:t>348,106</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4DDAA2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A2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AA2D" w14:textId="77777777" w:rsidR="00584EC1" w:rsidRDefault="00871F8D">
            <w:pPr>
              <w:jc w:val="right"/>
              <w:textAlignment w:val="bottom"/>
            </w:pPr>
            <w:r>
              <w:rPr>
                <w:rFonts w:ascii="Arial" w:eastAsia="宋体" w:hAnsi="Arial" w:cs="Arial"/>
                <w:color w:val="000000"/>
                <w:sz w:val="18"/>
                <w:szCs w:val="18"/>
              </w:rPr>
              <w:t>352,829 </w:t>
            </w:r>
          </w:p>
        </w:tc>
        <w:tc>
          <w:tcPr>
            <w:tcW w:w="0" w:type="auto"/>
            <w:shd w:val="clear" w:color="auto" w:fill="FFFFFF"/>
            <w:tcMar>
              <w:top w:w="40" w:type="dxa"/>
              <w:left w:w="0" w:type="dxa"/>
              <w:bottom w:w="40" w:type="dxa"/>
              <w:right w:w="20" w:type="dxa"/>
            </w:tcMar>
            <w:vAlign w:val="bottom"/>
          </w:tcPr>
          <w:p w14:paraId="74DDAA2E" w14:textId="77777777" w:rsidR="00584EC1" w:rsidRDefault="00584EC1">
            <w:pPr>
              <w:jc w:val="right"/>
              <w:rPr>
                <w:rFonts w:ascii="宋体"/>
              </w:rPr>
            </w:pPr>
          </w:p>
        </w:tc>
        <w:tc>
          <w:tcPr>
            <w:tcW w:w="0" w:type="auto"/>
            <w:shd w:val="clear" w:color="auto" w:fill="auto"/>
            <w:vAlign w:val="bottom"/>
          </w:tcPr>
          <w:p w14:paraId="74DDAA2F" w14:textId="77777777" w:rsidR="00584EC1" w:rsidRDefault="00584EC1">
            <w:pPr>
              <w:rPr>
                <w:rFonts w:ascii="宋体"/>
                <w:vanish/>
              </w:rPr>
            </w:pPr>
          </w:p>
        </w:tc>
        <w:tc>
          <w:tcPr>
            <w:tcW w:w="0" w:type="auto"/>
            <w:shd w:val="clear" w:color="auto" w:fill="auto"/>
            <w:vAlign w:val="bottom"/>
          </w:tcPr>
          <w:p w14:paraId="74DDAA30" w14:textId="77777777" w:rsidR="00584EC1" w:rsidRDefault="00584EC1">
            <w:pPr>
              <w:rPr>
                <w:rFonts w:ascii="宋体"/>
                <w:vanish/>
              </w:rPr>
            </w:pPr>
          </w:p>
        </w:tc>
      </w:tr>
      <w:tr w:rsidR="00584EC1" w14:paraId="74DDAA40" w14:textId="77777777">
        <w:tc>
          <w:tcPr>
            <w:tcW w:w="0" w:type="auto"/>
            <w:gridSpan w:val="3"/>
            <w:shd w:val="clear" w:color="auto" w:fill="CCEEFF"/>
            <w:tcMar>
              <w:top w:w="40" w:type="dxa"/>
              <w:left w:w="20" w:type="dxa"/>
              <w:bottom w:w="40" w:type="dxa"/>
              <w:right w:w="20" w:type="dxa"/>
            </w:tcMar>
            <w:vAlign w:val="bottom"/>
          </w:tcPr>
          <w:p w14:paraId="74DDAA32" w14:textId="77777777" w:rsidR="00584EC1" w:rsidRDefault="00871F8D">
            <w:pPr>
              <w:textAlignment w:val="bottom"/>
            </w:pPr>
            <w:r>
              <w:rPr>
                <w:rFonts w:ascii="Arial" w:eastAsia="宋体" w:hAnsi="Arial" w:cs="Arial"/>
                <w:color w:val="000000"/>
                <w:sz w:val="18"/>
                <w:szCs w:val="18"/>
              </w:rPr>
              <w:t>Diluted</w:t>
            </w:r>
          </w:p>
        </w:tc>
        <w:tc>
          <w:tcPr>
            <w:tcW w:w="0" w:type="auto"/>
            <w:gridSpan w:val="2"/>
            <w:shd w:val="clear" w:color="auto" w:fill="CCEEFF"/>
            <w:tcMar>
              <w:top w:w="40" w:type="dxa"/>
              <w:left w:w="20" w:type="dxa"/>
              <w:bottom w:w="40" w:type="dxa"/>
              <w:right w:w="0" w:type="dxa"/>
            </w:tcMar>
            <w:vAlign w:val="bottom"/>
          </w:tcPr>
          <w:p w14:paraId="74DDAA33" w14:textId="77777777" w:rsidR="00584EC1" w:rsidRDefault="00871F8D">
            <w:pPr>
              <w:jc w:val="right"/>
              <w:textAlignment w:val="bottom"/>
            </w:pPr>
            <w:r>
              <w:rPr>
                <w:rFonts w:ascii="Arial" w:eastAsia="宋体" w:hAnsi="Arial" w:cs="Arial"/>
                <w:b/>
                <w:bCs/>
                <w:color w:val="000000"/>
                <w:sz w:val="18"/>
                <w:szCs w:val="18"/>
              </w:rPr>
              <w:t>353,494</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4DDAA3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A3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AA36" w14:textId="77777777" w:rsidR="00584EC1" w:rsidRDefault="00871F8D">
            <w:pPr>
              <w:jc w:val="right"/>
              <w:textAlignment w:val="bottom"/>
            </w:pPr>
            <w:r>
              <w:rPr>
                <w:rFonts w:ascii="Arial" w:eastAsia="宋体" w:hAnsi="Arial" w:cs="Arial"/>
                <w:color w:val="000000"/>
                <w:sz w:val="18"/>
                <w:szCs w:val="18"/>
              </w:rPr>
              <w:t>357,168 </w:t>
            </w:r>
          </w:p>
        </w:tc>
        <w:tc>
          <w:tcPr>
            <w:tcW w:w="0" w:type="auto"/>
            <w:shd w:val="clear" w:color="auto" w:fill="CCEEFF"/>
            <w:tcMar>
              <w:top w:w="40" w:type="dxa"/>
              <w:left w:w="0" w:type="dxa"/>
              <w:bottom w:w="40" w:type="dxa"/>
              <w:right w:w="20" w:type="dxa"/>
            </w:tcMar>
            <w:vAlign w:val="bottom"/>
          </w:tcPr>
          <w:p w14:paraId="74DDAA3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A38"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AA39" w14:textId="77777777" w:rsidR="00584EC1" w:rsidRDefault="00871F8D">
            <w:pPr>
              <w:jc w:val="right"/>
              <w:textAlignment w:val="bottom"/>
            </w:pPr>
            <w:r>
              <w:rPr>
                <w:rFonts w:ascii="Arial" w:eastAsia="宋体" w:hAnsi="Arial" w:cs="Arial"/>
                <w:b/>
                <w:bCs/>
                <w:color w:val="000000"/>
                <w:sz w:val="18"/>
                <w:szCs w:val="18"/>
              </w:rPr>
              <w:t>353,376</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4DDAA3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A3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AA3C" w14:textId="77777777" w:rsidR="00584EC1" w:rsidRDefault="00871F8D">
            <w:pPr>
              <w:jc w:val="right"/>
              <w:textAlignment w:val="bottom"/>
            </w:pPr>
            <w:r>
              <w:rPr>
                <w:rFonts w:ascii="Arial" w:eastAsia="宋体" w:hAnsi="Arial" w:cs="Arial"/>
                <w:color w:val="000000"/>
                <w:sz w:val="18"/>
                <w:szCs w:val="18"/>
              </w:rPr>
              <w:t>356,971 </w:t>
            </w:r>
          </w:p>
        </w:tc>
        <w:tc>
          <w:tcPr>
            <w:tcW w:w="0" w:type="auto"/>
            <w:shd w:val="clear" w:color="auto" w:fill="CCEEFF"/>
            <w:tcMar>
              <w:top w:w="40" w:type="dxa"/>
              <w:left w:w="0" w:type="dxa"/>
              <w:bottom w:w="40" w:type="dxa"/>
              <w:right w:w="20" w:type="dxa"/>
            </w:tcMar>
            <w:vAlign w:val="bottom"/>
          </w:tcPr>
          <w:p w14:paraId="74DDAA3D" w14:textId="77777777" w:rsidR="00584EC1" w:rsidRDefault="00584EC1">
            <w:pPr>
              <w:jc w:val="right"/>
              <w:rPr>
                <w:rFonts w:ascii="宋体"/>
              </w:rPr>
            </w:pPr>
          </w:p>
        </w:tc>
        <w:tc>
          <w:tcPr>
            <w:tcW w:w="0" w:type="auto"/>
            <w:shd w:val="clear" w:color="auto" w:fill="auto"/>
            <w:vAlign w:val="bottom"/>
          </w:tcPr>
          <w:p w14:paraId="74DDAA3E" w14:textId="77777777" w:rsidR="00584EC1" w:rsidRDefault="00584EC1">
            <w:pPr>
              <w:rPr>
                <w:rFonts w:ascii="宋体"/>
                <w:vanish/>
              </w:rPr>
            </w:pPr>
          </w:p>
        </w:tc>
        <w:tc>
          <w:tcPr>
            <w:tcW w:w="0" w:type="auto"/>
            <w:shd w:val="clear" w:color="auto" w:fill="auto"/>
            <w:vAlign w:val="bottom"/>
          </w:tcPr>
          <w:p w14:paraId="74DDAA3F" w14:textId="77777777" w:rsidR="00584EC1" w:rsidRDefault="00584EC1">
            <w:pPr>
              <w:rPr>
                <w:rFonts w:ascii="宋体"/>
                <w:vanish/>
              </w:rPr>
            </w:pPr>
          </w:p>
        </w:tc>
      </w:tr>
      <w:tr w:rsidR="00584EC1" w14:paraId="74DDAA53" w14:textId="77777777">
        <w:tc>
          <w:tcPr>
            <w:tcW w:w="0" w:type="auto"/>
            <w:gridSpan w:val="3"/>
            <w:shd w:val="clear" w:color="auto" w:fill="FFFFFF"/>
            <w:tcMar>
              <w:top w:w="40" w:type="dxa"/>
              <w:left w:w="20" w:type="dxa"/>
              <w:bottom w:w="40" w:type="dxa"/>
              <w:right w:w="20" w:type="dxa"/>
            </w:tcMar>
            <w:vAlign w:val="bottom"/>
          </w:tcPr>
          <w:p w14:paraId="74DDAA41" w14:textId="77777777" w:rsidR="00584EC1" w:rsidRDefault="00871F8D">
            <w:pPr>
              <w:textAlignment w:val="bottom"/>
            </w:pPr>
            <w:r>
              <w:rPr>
                <w:rFonts w:ascii="Arial" w:eastAsia="宋体" w:hAnsi="Arial" w:cs="Arial"/>
                <w:b/>
                <w:bCs/>
                <w:color w:val="000000"/>
                <w:sz w:val="18"/>
                <w:szCs w:val="18"/>
              </w:rPr>
              <w:t>Cash dividends declared per common share</w:t>
            </w:r>
          </w:p>
        </w:tc>
        <w:tc>
          <w:tcPr>
            <w:tcW w:w="0" w:type="auto"/>
            <w:shd w:val="clear" w:color="auto" w:fill="FFFFFF"/>
            <w:tcMar>
              <w:top w:w="40" w:type="dxa"/>
              <w:left w:w="20" w:type="dxa"/>
              <w:bottom w:w="40" w:type="dxa"/>
              <w:right w:w="0" w:type="dxa"/>
            </w:tcMar>
            <w:vAlign w:val="bottom"/>
          </w:tcPr>
          <w:p w14:paraId="74DDAA42" w14:textId="77777777" w:rsidR="00584EC1" w:rsidRDefault="00871F8D">
            <w:pPr>
              <w:textAlignment w:val="bottom"/>
            </w:pPr>
            <w:r>
              <w:rPr>
                <w:rFonts w:ascii="Arial" w:eastAsia="宋体" w:hAnsi="Arial" w:cs="Arial"/>
                <w:b/>
                <w:bCs/>
                <w:color w:val="000000"/>
                <w:sz w:val="18"/>
                <w:szCs w:val="18"/>
              </w:rPr>
              <w:t>$</w:t>
            </w:r>
          </w:p>
        </w:tc>
        <w:tc>
          <w:tcPr>
            <w:tcW w:w="0" w:type="auto"/>
            <w:shd w:val="clear" w:color="auto" w:fill="FFFFFF"/>
            <w:tcMar>
              <w:top w:w="40" w:type="dxa"/>
              <w:left w:w="0" w:type="dxa"/>
              <w:bottom w:w="40" w:type="dxa"/>
              <w:right w:w="0" w:type="dxa"/>
            </w:tcMar>
            <w:vAlign w:val="bottom"/>
          </w:tcPr>
          <w:p w14:paraId="74DDAA43" w14:textId="77777777" w:rsidR="00584EC1" w:rsidRDefault="00871F8D">
            <w:pPr>
              <w:jc w:val="right"/>
              <w:textAlignment w:val="bottom"/>
            </w:pPr>
            <w:r>
              <w:rPr>
                <w:rFonts w:ascii="Arial" w:eastAsia="宋体" w:hAnsi="Arial" w:cs="Arial"/>
                <w:b/>
                <w:bCs/>
                <w:color w:val="000000"/>
                <w:sz w:val="18"/>
                <w:szCs w:val="18"/>
              </w:rPr>
              <w:t>.57</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4DDAA4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A45" w14:textId="77777777" w:rsidR="00584EC1" w:rsidRDefault="00584EC1">
            <w:pPr>
              <w:rPr>
                <w:rFonts w:ascii="宋体"/>
              </w:rPr>
            </w:pPr>
          </w:p>
        </w:tc>
        <w:tc>
          <w:tcPr>
            <w:tcW w:w="0" w:type="auto"/>
            <w:shd w:val="clear" w:color="auto" w:fill="FFFFFF"/>
            <w:tcMar>
              <w:top w:w="40" w:type="dxa"/>
              <w:left w:w="20" w:type="dxa"/>
              <w:bottom w:w="40" w:type="dxa"/>
              <w:right w:w="0" w:type="dxa"/>
            </w:tcMar>
            <w:vAlign w:val="bottom"/>
          </w:tcPr>
          <w:p w14:paraId="74DDAA46" w14:textId="77777777" w:rsidR="00584EC1" w:rsidRDefault="00871F8D">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74DDAA47" w14:textId="77777777" w:rsidR="00584EC1" w:rsidRDefault="00871F8D">
            <w:pPr>
              <w:jc w:val="right"/>
              <w:textAlignment w:val="bottom"/>
            </w:pPr>
            <w:r>
              <w:rPr>
                <w:rFonts w:ascii="Arial" w:eastAsia="宋体" w:hAnsi="Arial" w:cs="Arial"/>
                <w:color w:val="000000"/>
                <w:sz w:val="18"/>
                <w:szCs w:val="18"/>
              </w:rPr>
              <w:t>.52 </w:t>
            </w:r>
          </w:p>
        </w:tc>
        <w:tc>
          <w:tcPr>
            <w:tcW w:w="0" w:type="auto"/>
            <w:shd w:val="clear" w:color="auto" w:fill="FFFFFF"/>
            <w:tcMar>
              <w:top w:w="40" w:type="dxa"/>
              <w:left w:w="0" w:type="dxa"/>
              <w:bottom w:w="40" w:type="dxa"/>
              <w:right w:w="20" w:type="dxa"/>
            </w:tcMar>
            <w:vAlign w:val="bottom"/>
          </w:tcPr>
          <w:p w14:paraId="74DDAA4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A49" w14:textId="77777777" w:rsidR="00584EC1" w:rsidRDefault="00584EC1">
            <w:pPr>
              <w:rPr>
                <w:rFonts w:ascii="宋体"/>
              </w:rPr>
            </w:pPr>
          </w:p>
        </w:tc>
        <w:tc>
          <w:tcPr>
            <w:tcW w:w="0" w:type="auto"/>
            <w:shd w:val="clear" w:color="auto" w:fill="FFFFFF"/>
            <w:tcMar>
              <w:top w:w="40" w:type="dxa"/>
              <w:left w:w="20" w:type="dxa"/>
              <w:bottom w:w="40" w:type="dxa"/>
              <w:right w:w="0" w:type="dxa"/>
            </w:tcMar>
            <w:vAlign w:val="bottom"/>
          </w:tcPr>
          <w:p w14:paraId="74DDAA4A" w14:textId="77777777" w:rsidR="00584EC1" w:rsidRDefault="00871F8D">
            <w:pPr>
              <w:textAlignment w:val="bottom"/>
            </w:pPr>
            <w:r>
              <w:rPr>
                <w:rFonts w:ascii="Arial" w:eastAsia="宋体" w:hAnsi="Arial" w:cs="Arial"/>
                <w:b/>
                <w:bCs/>
                <w:color w:val="000000"/>
                <w:sz w:val="18"/>
                <w:szCs w:val="18"/>
              </w:rPr>
              <w:t>$</w:t>
            </w:r>
          </w:p>
        </w:tc>
        <w:tc>
          <w:tcPr>
            <w:tcW w:w="0" w:type="auto"/>
            <w:shd w:val="clear" w:color="auto" w:fill="FFFFFF"/>
            <w:tcMar>
              <w:top w:w="40" w:type="dxa"/>
              <w:left w:w="0" w:type="dxa"/>
              <w:bottom w:w="40" w:type="dxa"/>
              <w:right w:w="0" w:type="dxa"/>
            </w:tcMar>
            <w:vAlign w:val="bottom"/>
          </w:tcPr>
          <w:p w14:paraId="74DDAA4B" w14:textId="77777777" w:rsidR="00584EC1" w:rsidRDefault="00871F8D">
            <w:pPr>
              <w:jc w:val="right"/>
              <w:textAlignment w:val="bottom"/>
            </w:pPr>
            <w:r>
              <w:rPr>
                <w:rFonts w:ascii="Arial" w:eastAsia="宋体" w:hAnsi="Arial" w:cs="Arial"/>
                <w:b/>
                <w:bCs/>
                <w:color w:val="000000"/>
                <w:sz w:val="18"/>
                <w:szCs w:val="18"/>
              </w:rPr>
              <w:t>1.61</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4DDAA4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A4D" w14:textId="77777777" w:rsidR="00584EC1" w:rsidRDefault="00584EC1">
            <w:pPr>
              <w:rPr>
                <w:rFonts w:ascii="宋体"/>
              </w:rPr>
            </w:pPr>
          </w:p>
        </w:tc>
        <w:tc>
          <w:tcPr>
            <w:tcW w:w="0" w:type="auto"/>
            <w:shd w:val="clear" w:color="auto" w:fill="FFFFFF"/>
            <w:tcMar>
              <w:top w:w="40" w:type="dxa"/>
              <w:left w:w="20" w:type="dxa"/>
              <w:bottom w:w="40" w:type="dxa"/>
              <w:right w:w="0" w:type="dxa"/>
            </w:tcMar>
            <w:vAlign w:val="bottom"/>
          </w:tcPr>
          <w:p w14:paraId="74DDAA4E" w14:textId="77777777" w:rsidR="00584EC1" w:rsidRDefault="00871F8D">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74DDAA4F" w14:textId="77777777" w:rsidR="00584EC1" w:rsidRDefault="00871F8D">
            <w:pPr>
              <w:jc w:val="right"/>
              <w:textAlignment w:val="bottom"/>
            </w:pPr>
            <w:r>
              <w:rPr>
                <w:rFonts w:ascii="Arial" w:eastAsia="宋体" w:hAnsi="Arial" w:cs="Arial"/>
                <w:color w:val="000000"/>
                <w:sz w:val="18"/>
                <w:szCs w:val="18"/>
              </w:rPr>
              <w:t>1.56 </w:t>
            </w:r>
          </w:p>
        </w:tc>
        <w:tc>
          <w:tcPr>
            <w:tcW w:w="0" w:type="auto"/>
            <w:shd w:val="clear" w:color="auto" w:fill="FFFFFF"/>
            <w:tcMar>
              <w:top w:w="40" w:type="dxa"/>
              <w:left w:w="0" w:type="dxa"/>
              <w:bottom w:w="40" w:type="dxa"/>
              <w:right w:w="20" w:type="dxa"/>
            </w:tcMar>
            <w:vAlign w:val="bottom"/>
          </w:tcPr>
          <w:p w14:paraId="74DDAA50" w14:textId="77777777" w:rsidR="00584EC1" w:rsidRDefault="00584EC1">
            <w:pPr>
              <w:jc w:val="right"/>
              <w:rPr>
                <w:rFonts w:ascii="宋体"/>
              </w:rPr>
            </w:pPr>
          </w:p>
        </w:tc>
        <w:tc>
          <w:tcPr>
            <w:tcW w:w="0" w:type="auto"/>
            <w:shd w:val="clear" w:color="auto" w:fill="auto"/>
            <w:vAlign w:val="bottom"/>
          </w:tcPr>
          <w:p w14:paraId="74DDAA51" w14:textId="77777777" w:rsidR="00584EC1" w:rsidRDefault="00584EC1">
            <w:pPr>
              <w:rPr>
                <w:rFonts w:ascii="宋体"/>
                <w:vanish/>
              </w:rPr>
            </w:pPr>
          </w:p>
        </w:tc>
        <w:tc>
          <w:tcPr>
            <w:tcW w:w="0" w:type="auto"/>
            <w:shd w:val="clear" w:color="auto" w:fill="auto"/>
            <w:vAlign w:val="bottom"/>
          </w:tcPr>
          <w:p w14:paraId="74DDAA52" w14:textId="77777777" w:rsidR="00584EC1" w:rsidRDefault="00584EC1">
            <w:pPr>
              <w:rPr>
                <w:rFonts w:ascii="宋体"/>
                <w:vanish/>
              </w:rPr>
            </w:pPr>
          </w:p>
        </w:tc>
      </w:tr>
      <w:tr w:rsidR="00584EC1" w14:paraId="74DDAA5E" w14:textId="77777777">
        <w:trPr>
          <w:hidden/>
        </w:trPr>
        <w:tc>
          <w:tcPr>
            <w:tcW w:w="0" w:type="auto"/>
            <w:gridSpan w:val="3"/>
            <w:shd w:val="clear" w:color="auto" w:fill="auto"/>
            <w:vAlign w:val="bottom"/>
          </w:tcPr>
          <w:p w14:paraId="74DDAA54" w14:textId="77777777" w:rsidR="00584EC1" w:rsidRDefault="00584EC1">
            <w:pPr>
              <w:rPr>
                <w:rFonts w:ascii="宋体"/>
                <w:vanish/>
              </w:rPr>
            </w:pPr>
          </w:p>
        </w:tc>
        <w:tc>
          <w:tcPr>
            <w:tcW w:w="0" w:type="auto"/>
            <w:gridSpan w:val="3"/>
            <w:shd w:val="clear" w:color="auto" w:fill="auto"/>
            <w:vAlign w:val="bottom"/>
          </w:tcPr>
          <w:p w14:paraId="74DDAA55" w14:textId="77777777" w:rsidR="00584EC1" w:rsidRDefault="00584EC1">
            <w:pPr>
              <w:rPr>
                <w:rFonts w:ascii="宋体"/>
                <w:vanish/>
              </w:rPr>
            </w:pPr>
          </w:p>
        </w:tc>
        <w:tc>
          <w:tcPr>
            <w:tcW w:w="0" w:type="auto"/>
            <w:gridSpan w:val="3"/>
            <w:shd w:val="clear" w:color="auto" w:fill="auto"/>
            <w:vAlign w:val="bottom"/>
          </w:tcPr>
          <w:p w14:paraId="74DDAA56" w14:textId="77777777" w:rsidR="00584EC1" w:rsidRDefault="00584EC1">
            <w:pPr>
              <w:rPr>
                <w:rFonts w:ascii="宋体"/>
                <w:vanish/>
              </w:rPr>
            </w:pPr>
          </w:p>
        </w:tc>
        <w:tc>
          <w:tcPr>
            <w:tcW w:w="0" w:type="auto"/>
            <w:gridSpan w:val="3"/>
            <w:shd w:val="clear" w:color="auto" w:fill="auto"/>
            <w:vAlign w:val="bottom"/>
          </w:tcPr>
          <w:p w14:paraId="74DDAA57" w14:textId="77777777" w:rsidR="00584EC1" w:rsidRDefault="00584EC1">
            <w:pPr>
              <w:rPr>
                <w:rFonts w:ascii="宋体"/>
                <w:vanish/>
              </w:rPr>
            </w:pPr>
          </w:p>
        </w:tc>
        <w:tc>
          <w:tcPr>
            <w:tcW w:w="0" w:type="auto"/>
            <w:gridSpan w:val="3"/>
            <w:shd w:val="clear" w:color="auto" w:fill="auto"/>
            <w:vAlign w:val="bottom"/>
          </w:tcPr>
          <w:p w14:paraId="74DDAA58" w14:textId="77777777" w:rsidR="00584EC1" w:rsidRDefault="00584EC1">
            <w:pPr>
              <w:rPr>
                <w:rFonts w:ascii="宋体"/>
                <w:vanish/>
              </w:rPr>
            </w:pPr>
          </w:p>
        </w:tc>
        <w:tc>
          <w:tcPr>
            <w:tcW w:w="0" w:type="auto"/>
            <w:gridSpan w:val="3"/>
            <w:shd w:val="clear" w:color="auto" w:fill="auto"/>
            <w:vAlign w:val="bottom"/>
          </w:tcPr>
          <w:p w14:paraId="74DDAA59" w14:textId="77777777" w:rsidR="00584EC1" w:rsidRDefault="00584EC1">
            <w:pPr>
              <w:rPr>
                <w:rFonts w:ascii="宋体"/>
                <w:vanish/>
              </w:rPr>
            </w:pPr>
          </w:p>
        </w:tc>
        <w:tc>
          <w:tcPr>
            <w:tcW w:w="0" w:type="auto"/>
            <w:gridSpan w:val="3"/>
            <w:shd w:val="clear" w:color="auto" w:fill="auto"/>
            <w:vAlign w:val="bottom"/>
          </w:tcPr>
          <w:p w14:paraId="74DDAA5A" w14:textId="77777777" w:rsidR="00584EC1" w:rsidRDefault="00584EC1">
            <w:pPr>
              <w:rPr>
                <w:rFonts w:ascii="宋体"/>
                <w:vanish/>
              </w:rPr>
            </w:pPr>
          </w:p>
        </w:tc>
        <w:tc>
          <w:tcPr>
            <w:tcW w:w="0" w:type="auto"/>
            <w:gridSpan w:val="3"/>
            <w:shd w:val="clear" w:color="auto" w:fill="auto"/>
            <w:vAlign w:val="bottom"/>
          </w:tcPr>
          <w:p w14:paraId="74DDAA5B" w14:textId="77777777" w:rsidR="00584EC1" w:rsidRDefault="00584EC1">
            <w:pPr>
              <w:rPr>
                <w:rFonts w:ascii="宋体"/>
                <w:vanish/>
              </w:rPr>
            </w:pPr>
          </w:p>
        </w:tc>
        <w:tc>
          <w:tcPr>
            <w:tcW w:w="0" w:type="auto"/>
            <w:shd w:val="clear" w:color="auto" w:fill="auto"/>
            <w:vAlign w:val="bottom"/>
          </w:tcPr>
          <w:p w14:paraId="74DDAA5C" w14:textId="77777777" w:rsidR="00584EC1" w:rsidRDefault="00584EC1">
            <w:pPr>
              <w:rPr>
                <w:rFonts w:ascii="宋体"/>
                <w:vanish/>
              </w:rPr>
            </w:pPr>
          </w:p>
        </w:tc>
        <w:tc>
          <w:tcPr>
            <w:tcW w:w="0" w:type="auto"/>
            <w:shd w:val="clear" w:color="auto" w:fill="auto"/>
            <w:vAlign w:val="bottom"/>
          </w:tcPr>
          <w:p w14:paraId="74DDAA5D" w14:textId="77777777" w:rsidR="00584EC1" w:rsidRDefault="00584EC1">
            <w:pPr>
              <w:rPr>
                <w:rFonts w:ascii="宋体"/>
                <w:vanish/>
              </w:rPr>
            </w:pPr>
          </w:p>
        </w:tc>
      </w:tr>
      <w:tr w:rsidR="00584EC1" w14:paraId="74DDAA69" w14:textId="77777777">
        <w:trPr>
          <w:hidden/>
        </w:trPr>
        <w:tc>
          <w:tcPr>
            <w:tcW w:w="0" w:type="auto"/>
            <w:gridSpan w:val="3"/>
            <w:shd w:val="clear" w:color="auto" w:fill="auto"/>
            <w:vAlign w:val="bottom"/>
          </w:tcPr>
          <w:p w14:paraId="74DDAA5F" w14:textId="77777777" w:rsidR="00584EC1" w:rsidRDefault="00584EC1">
            <w:pPr>
              <w:rPr>
                <w:rFonts w:ascii="宋体"/>
                <w:vanish/>
              </w:rPr>
            </w:pPr>
          </w:p>
        </w:tc>
        <w:tc>
          <w:tcPr>
            <w:tcW w:w="0" w:type="auto"/>
            <w:gridSpan w:val="3"/>
            <w:shd w:val="clear" w:color="auto" w:fill="auto"/>
            <w:vAlign w:val="bottom"/>
          </w:tcPr>
          <w:p w14:paraId="74DDAA60" w14:textId="77777777" w:rsidR="00584EC1" w:rsidRDefault="00584EC1">
            <w:pPr>
              <w:rPr>
                <w:rFonts w:ascii="宋体"/>
                <w:vanish/>
              </w:rPr>
            </w:pPr>
          </w:p>
        </w:tc>
        <w:tc>
          <w:tcPr>
            <w:tcW w:w="0" w:type="auto"/>
            <w:gridSpan w:val="3"/>
            <w:shd w:val="clear" w:color="auto" w:fill="auto"/>
            <w:vAlign w:val="bottom"/>
          </w:tcPr>
          <w:p w14:paraId="74DDAA61" w14:textId="77777777" w:rsidR="00584EC1" w:rsidRDefault="00584EC1">
            <w:pPr>
              <w:rPr>
                <w:rFonts w:ascii="宋体"/>
                <w:vanish/>
              </w:rPr>
            </w:pPr>
          </w:p>
        </w:tc>
        <w:tc>
          <w:tcPr>
            <w:tcW w:w="0" w:type="auto"/>
            <w:gridSpan w:val="3"/>
            <w:shd w:val="clear" w:color="auto" w:fill="auto"/>
            <w:vAlign w:val="bottom"/>
          </w:tcPr>
          <w:p w14:paraId="74DDAA62" w14:textId="77777777" w:rsidR="00584EC1" w:rsidRDefault="00584EC1">
            <w:pPr>
              <w:rPr>
                <w:rFonts w:ascii="宋体"/>
                <w:vanish/>
              </w:rPr>
            </w:pPr>
          </w:p>
        </w:tc>
        <w:tc>
          <w:tcPr>
            <w:tcW w:w="0" w:type="auto"/>
            <w:gridSpan w:val="3"/>
            <w:shd w:val="clear" w:color="auto" w:fill="auto"/>
            <w:vAlign w:val="bottom"/>
          </w:tcPr>
          <w:p w14:paraId="74DDAA63" w14:textId="77777777" w:rsidR="00584EC1" w:rsidRDefault="00584EC1">
            <w:pPr>
              <w:rPr>
                <w:rFonts w:ascii="宋体"/>
                <w:vanish/>
              </w:rPr>
            </w:pPr>
          </w:p>
        </w:tc>
        <w:tc>
          <w:tcPr>
            <w:tcW w:w="0" w:type="auto"/>
            <w:gridSpan w:val="3"/>
            <w:shd w:val="clear" w:color="auto" w:fill="auto"/>
            <w:vAlign w:val="bottom"/>
          </w:tcPr>
          <w:p w14:paraId="74DDAA64" w14:textId="77777777" w:rsidR="00584EC1" w:rsidRDefault="00584EC1">
            <w:pPr>
              <w:rPr>
                <w:rFonts w:ascii="宋体"/>
                <w:vanish/>
              </w:rPr>
            </w:pPr>
          </w:p>
        </w:tc>
        <w:tc>
          <w:tcPr>
            <w:tcW w:w="0" w:type="auto"/>
            <w:gridSpan w:val="3"/>
            <w:shd w:val="clear" w:color="auto" w:fill="auto"/>
            <w:vAlign w:val="bottom"/>
          </w:tcPr>
          <w:p w14:paraId="74DDAA65" w14:textId="77777777" w:rsidR="00584EC1" w:rsidRDefault="00584EC1">
            <w:pPr>
              <w:rPr>
                <w:rFonts w:ascii="宋体"/>
                <w:vanish/>
              </w:rPr>
            </w:pPr>
          </w:p>
        </w:tc>
        <w:tc>
          <w:tcPr>
            <w:tcW w:w="0" w:type="auto"/>
            <w:gridSpan w:val="3"/>
            <w:shd w:val="clear" w:color="auto" w:fill="auto"/>
            <w:vAlign w:val="bottom"/>
          </w:tcPr>
          <w:p w14:paraId="74DDAA66" w14:textId="77777777" w:rsidR="00584EC1" w:rsidRDefault="00584EC1">
            <w:pPr>
              <w:rPr>
                <w:rFonts w:ascii="宋体"/>
                <w:vanish/>
              </w:rPr>
            </w:pPr>
          </w:p>
        </w:tc>
        <w:tc>
          <w:tcPr>
            <w:tcW w:w="0" w:type="auto"/>
            <w:shd w:val="clear" w:color="auto" w:fill="auto"/>
            <w:vAlign w:val="bottom"/>
          </w:tcPr>
          <w:p w14:paraId="74DDAA67" w14:textId="77777777" w:rsidR="00584EC1" w:rsidRDefault="00584EC1">
            <w:pPr>
              <w:rPr>
                <w:rFonts w:ascii="宋体"/>
                <w:vanish/>
              </w:rPr>
            </w:pPr>
          </w:p>
        </w:tc>
        <w:tc>
          <w:tcPr>
            <w:tcW w:w="0" w:type="auto"/>
            <w:shd w:val="clear" w:color="auto" w:fill="auto"/>
            <w:vAlign w:val="bottom"/>
          </w:tcPr>
          <w:p w14:paraId="74DDAA68" w14:textId="77777777" w:rsidR="00584EC1" w:rsidRDefault="00584EC1">
            <w:pPr>
              <w:rPr>
                <w:rFonts w:ascii="宋体"/>
                <w:vanish/>
              </w:rPr>
            </w:pPr>
          </w:p>
        </w:tc>
      </w:tr>
      <w:tr w:rsidR="00584EC1" w14:paraId="74DDAA74" w14:textId="77777777">
        <w:trPr>
          <w:hidden/>
        </w:trPr>
        <w:tc>
          <w:tcPr>
            <w:tcW w:w="0" w:type="auto"/>
            <w:gridSpan w:val="3"/>
            <w:shd w:val="clear" w:color="auto" w:fill="auto"/>
            <w:vAlign w:val="bottom"/>
          </w:tcPr>
          <w:p w14:paraId="74DDAA6A" w14:textId="77777777" w:rsidR="00584EC1" w:rsidRDefault="00584EC1">
            <w:pPr>
              <w:rPr>
                <w:rFonts w:ascii="宋体"/>
                <w:vanish/>
              </w:rPr>
            </w:pPr>
          </w:p>
        </w:tc>
        <w:tc>
          <w:tcPr>
            <w:tcW w:w="0" w:type="auto"/>
            <w:gridSpan w:val="3"/>
            <w:shd w:val="clear" w:color="auto" w:fill="auto"/>
            <w:vAlign w:val="bottom"/>
          </w:tcPr>
          <w:p w14:paraId="74DDAA6B" w14:textId="77777777" w:rsidR="00584EC1" w:rsidRDefault="00584EC1">
            <w:pPr>
              <w:rPr>
                <w:rFonts w:ascii="宋体"/>
                <w:vanish/>
              </w:rPr>
            </w:pPr>
          </w:p>
        </w:tc>
        <w:tc>
          <w:tcPr>
            <w:tcW w:w="0" w:type="auto"/>
            <w:gridSpan w:val="3"/>
            <w:shd w:val="clear" w:color="auto" w:fill="auto"/>
            <w:vAlign w:val="bottom"/>
          </w:tcPr>
          <w:p w14:paraId="74DDAA6C" w14:textId="77777777" w:rsidR="00584EC1" w:rsidRDefault="00584EC1">
            <w:pPr>
              <w:rPr>
                <w:rFonts w:ascii="宋体"/>
                <w:vanish/>
              </w:rPr>
            </w:pPr>
          </w:p>
        </w:tc>
        <w:tc>
          <w:tcPr>
            <w:tcW w:w="0" w:type="auto"/>
            <w:gridSpan w:val="3"/>
            <w:shd w:val="clear" w:color="auto" w:fill="auto"/>
            <w:vAlign w:val="bottom"/>
          </w:tcPr>
          <w:p w14:paraId="74DDAA6D" w14:textId="77777777" w:rsidR="00584EC1" w:rsidRDefault="00584EC1">
            <w:pPr>
              <w:rPr>
                <w:rFonts w:ascii="宋体"/>
                <w:vanish/>
              </w:rPr>
            </w:pPr>
          </w:p>
        </w:tc>
        <w:tc>
          <w:tcPr>
            <w:tcW w:w="0" w:type="auto"/>
            <w:gridSpan w:val="3"/>
            <w:shd w:val="clear" w:color="auto" w:fill="auto"/>
            <w:vAlign w:val="bottom"/>
          </w:tcPr>
          <w:p w14:paraId="74DDAA6E" w14:textId="77777777" w:rsidR="00584EC1" w:rsidRDefault="00584EC1">
            <w:pPr>
              <w:rPr>
                <w:rFonts w:ascii="宋体"/>
                <w:vanish/>
              </w:rPr>
            </w:pPr>
          </w:p>
        </w:tc>
        <w:tc>
          <w:tcPr>
            <w:tcW w:w="0" w:type="auto"/>
            <w:gridSpan w:val="3"/>
            <w:shd w:val="clear" w:color="auto" w:fill="auto"/>
            <w:vAlign w:val="bottom"/>
          </w:tcPr>
          <w:p w14:paraId="74DDAA6F" w14:textId="77777777" w:rsidR="00584EC1" w:rsidRDefault="00584EC1">
            <w:pPr>
              <w:rPr>
                <w:rFonts w:ascii="宋体"/>
                <w:vanish/>
              </w:rPr>
            </w:pPr>
          </w:p>
        </w:tc>
        <w:tc>
          <w:tcPr>
            <w:tcW w:w="0" w:type="auto"/>
            <w:gridSpan w:val="3"/>
            <w:shd w:val="clear" w:color="auto" w:fill="auto"/>
            <w:vAlign w:val="bottom"/>
          </w:tcPr>
          <w:p w14:paraId="74DDAA70" w14:textId="77777777" w:rsidR="00584EC1" w:rsidRDefault="00584EC1">
            <w:pPr>
              <w:rPr>
                <w:rFonts w:ascii="宋体"/>
                <w:vanish/>
              </w:rPr>
            </w:pPr>
          </w:p>
        </w:tc>
        <w:tc>
          <w:tcPr>
            <w:tcW w:w="0" w:type="auto"/>
            <w:gridSpan w:val="3"/>
            <w:shd w:val="clear" w:color="auto" w:fill="auto"/>
            <w:vAlign w:val="bottom"/>
          </w:tcPr>
          <w:p w14:paraId="74DDAA71" w14:textId="77777777" w:rsidR="00584EC1" w:rsidRDefault="00584EC1">
            <w:pPr>
              <w:rPr>
                <w:rFonts w:ascii="宋体"/>
                <w:vanish/>
              </w:rPr>
            </w:pPr>
          </w:p>
        </w:tc>
        <w:tc>
          <w:tcPr>
            <w:tcW w:w="0" w:type="auto"/>
            <w:shd w:val="clear" w:color="auto" w:fill="auto"/>
            <w:vAlign w:val="bottom"/>
          </w:tcPr>
          <w:p w14:paraId="74DDAA72" w14:textId="77777777" w:rsidR="00584EC1" w:rsidRDefault="00584EC1">
            <w:pPr>
              <w:rPr>
                <w:rFonts w:ascii="宋体"/>
                <w:vanish/>
              </w:rPr>
            </w:pPr>
          </w:p>
        </w:tc>
        <w:tc>
          <w:tcPr>
            <w:tcW w:w="0" w:type="auto"/>
            <w:shd w:val="clear" w:color="auto" w:fill="auto"/>
            <w:vAlign w:val="bottom"/>
          </w:tcPr>
          <w:p w14:paraId="74DDAA73" w14:textId="77777777" w:rsidR="00584EC1" w:rsidRDefault="00584EC1">
            <w:pPr>
              <w:rPr>
                <w:rFonts w:ascii="宋体"/>
                <w:vanish/>
              </w:rPr>
            </w:pPr>
          </w:p>
        </w:tc>
      </w:tr>
    </w:tbl>
    <w:p w14:paraId="74DDAA75" w14:textId="77777777" w:rsidR="00584EC1" w:rsidRDefault="00584EC1">
      <w:pPr>
        <w:spacing w:before="90"/>
      </w:pPr>
    </w:p>
    <w:p w14:paraId="74DDAA76" w14:textId="77777777" w:rsidR="00584EC1" w:rsidRDefault="00584EC1">
      <w:pPr>
        <w:spacing w:before="90"/>
      </w:pPr>
    </w:p>
    <w:p w14:paraId="74DDAA77" w14:textId="77777777" w:rsidR="00584EC1" w:rsidRDefault="00584EC1">
      <w:pPr>
        <w:spacing w:before="90"/>
      </w:pPr>
    </w:p>
    <w:p w14:paraId="74DDAA78" w14:textId="77777777" w:rsidR="00584EC1" w:rsidRDefault="00584EC1">
      <w:pPr>
        <w:spacing w:before="90"/>
      </w:pPr>
    </w:p>
    <w:p w14:paraId="74DDAA79" w14:textId="77777777" w:rsidR="00584EC1" w:rsidRDefault="00584EC1">
      <w:pPr>
        <w:spacing w:before="90"/>
      </w:pPr>
    </w:p>
    <w:p w14:paraId="74DDAA7A" w14:textId="77777777" w:rsidR="00584EC1" w:rsidRDefault="00584EC1">
      <w:pPr>
        <w:spacing w:before="90"/>
      </w:pPr>
    </w:p>
    <w:p w14:paraId="74DDAA7B" w14:textId="77777777" w:rsidR="00584EC1" w:rsidRDefault="00584EC1">
      <w:pPr>
        <w:spacing w:before="90"/>
      </w:pPr>
    </w:p>
    <w:p w14:paraId="74DDAA7C" w14:textId="77777777" w:rsidR="00584EC1" w:rsidRDefault="00584EC1">
      <w:pPr>
        <w:ind w:firstLine="450"/>
      </w:pPr>
    </w:p>
    <w:p w14:paraId="74DDAA7D" w14:textId="77777777" w:rsidR="00584EC1" w:rsidRDefault="00584EC1">
      <w:pPr>
        <w:ind w:firstLine="450"/>
      </w:pPr>
    </w:p>
    <w:p w14:paraId="74DDAA7E" w14:textId="77777777" w:rsidR="00584EC1" w:rsidRDefault="00584EC1">
      <w:pPr>
        <w:spacing w:before="90"/>
      </w:pPr>
    </w:p>
    <w:p w14:paraId="74DDAA7F" w14:textId="77777777" w:rsidR="00584EC1" w:rsidRDefault="00871F8D">
      <w:pPr>
        <w:ind w:firstLine="450"/>
        <w:jc w:val="center"/>
      </w:pPr>
      <w:r>
        <w:rPr>
          <w:rFonts w:ascii="Arial" w:eastAsia="宋体" w:hAnsi="Arial" w:cs="Arial"/>
          <w:color w:val="000000"/>
          <w:sz w:val="18"/>
          <w:szCs w:val="18"/>
        </w:rPr>
        <w:t xml:space="preserve">The accompanying condensed notes are an integral part of these consolidated financial statements. </w:t>
      </w:r>
    </w:p>
    <w:p w14:paraId="74DDAA80" w14:textId="77777777" w:rsidR="00584EC1" w:rsidRDefault="00871F8D">
      <w:pPr>
        <w:ind w:firstLine="450"/>
        <w:jc w:val="right"/>
      </w:pPr>
      <w:r>
        <w:rPr>
          <w:rFonts w:ascii="Arial" w:eastAsia="宋体" w:hAnsi="Arial" w:cs="Arial"/>
          <w:color w:val="000000"/>
          <w:sz w:val="18"/>
          <w:szCs w:val="18"/>
        </w:rPr>
        <w:t>State Street Corporation | 54</w:t>
      </w:r>
    </w:p>
    <w:p w14:paraId="74DDAA81" w14:textId="77777777" w:rsidR="00584EC1" w:rsidRDefault="00584EC1">
      <w:pPr>
        <w:ind w:firstLine="450"/>
        <w:jc w:val="center"/>
      </w:pPr>
    </w:p>
    <w:p w14:paraId="74DDAA82" w14:textId="77777777" w:rsidR="00584EC1" w:rsidRDefault="00871F8D">
      <w:r>
        <w:pict w14:anchorId="74DE2A24">
          <v:rect id="_x0000_i1078" style="width:415.3pt;height:1.5pt" o:hralign="center" o:hrstd="t" o:hr="t" fillcolor="#a0a0a0" stroked="f"/>
        </w:pict>
      </w:r>
    </w:p>
    <w:p w14:paraId="74DDAA83" w14:textId="77777777" w:rsidR="00584EC1" w:rsidRDefault="00584EC1">
      <w:pPr>
        <w:ind w:firstLine="450"/>
      </w:pPr>
    </w:p>
    <w:p w14:paraId="74DDAA84" w14:textId="77777777" w:rsidR="00584EC1" w:rsidRDefault="00584EC1">
      <w:pPr>
        <w:ind w:firstLine="450"/>
        <w:jc w:val="center"/>
      </w:pPr>
    </w:p>
    <w:p w14:paraId="74DDAA85" w14:textId="77777777" w:rsidR="00584EC1" w:rsidRDefault="00871F8D">
      <w:pPr>
        <w:ind w:firstLine="450"/>
        <w:jc w:val="center"/>
      </w:pPr>
      <w:r>
        <w:rPr>
          <w:rFonts w:ascii="Arial" w:eastAsia="宋体" w:hAnsi="Arial" w:cs="Arial"/>
          <w:b/>
          <w:bCs/>
          <w:color w:val="000000"/>
          <w:sz w:val="20"/>
          <w:szCs w:val="20"/>
        </w:rPr>
        <w:t>STATE STREET CORPORATION</w:t>
      </w:r>
    </w:p>
    <w:p w14:paraId="74DDAA86" w14:textId="77777777" w:rsidR="00584EC1" w:rsidRDefault="00871F8D">
      <w:pPr>
        <w:ind w:firstLine="450"/>
        <w:jc w:val="center"/>
      </w:pPr>
      <w:r>
        <w:rPr>
          <w:rFonts w:ascii="Arial" w:eastAsia="宋体" w:hAnsi="Arial" w:cs="Arial"/>
          <w:b/>
          <w:bCs/>
          <w:color w:val="000000"/>
          <w:sz w:val="20"/>
          <w:szCs w:val="20"/>
        </w:rPr>
        <w:t>CONSOLIDATED STATEMENT OF COMPREHENSIVE INCOME(LOSS)</w:t>
      </w:r>
    </w:p>
    <w:p w14:paraId="74DDAA87" w14:textId="77777777" w:rsidR="00584EC1" w:rsidRDefault="00871F8D">
      <w:pPr>
        <w:ind w:firstLine="450"/>
        <w:jc w:val="center"/>
      </w:pPr>
      <w:r>
        <w:rPr>
          <w:rFonts w:ascii="Arial" w:eastAsia="宋体" w:hAnsi="Arial" w:cs="Arial"/>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38"/>
        <w:gridCol w:w="5458"/>
        <w:gridCol w:w="36"/>
        <w:gridCol w:w="121"/>
        <w:gridCol w:w="1101"/>
        <w:gridCol w:w="36"/>
        <w:gridCol w:w="36"/>
        <w:gridCol w:w="36"/>
        <w:gridCol w:w="36"/>
        <w:gridCol w:w="121"/>
        <w:gridCol w:w="1065"/>
        <w:gridCol w:w="36"/>
        <w:gridCol w:w="36"/>
        <w:gridCol w:w="36"/>
        <w:gridCol w:w="36"/>
        <w:gridCol w:w="36"/>
        <w:gridCol w:w="36"/>
        <w:gridCol w:w="36"/>
      </w:tblGrid>
      <w:tr w:rsidR="00584EC1" w14:paraId="74DDAA96" w14:textId="77777777">
        <w:tc>
          <w:tcPr>
            <w:tcW w:w="50" w:type="pct"/>
            <w:shd w:val="clear" w:color="auto" w:fill="auto"/>
            <w:vAlign w:val="bottom"/>
          </w:tcPr>
          <w:p w14:paraId="74DDAA88" w14:textId="77777777" w:rsidR="00584EC1" w:rsidRDefault="00584EC1">
            <w:pPr>
              <w:rPr>
                <w:rFonts w:ascii="宋体"/>
              </w:rPr>
            </w:pPr>
          </w:p>
        </w:tc>
        <w:tc>
          <w:tcPr>
            <w:tcW w:w="3387" w:type="pct"/>
            <w:shd w:val="clear" w:color="auto" w:fill="auto"/>
            <w:vAlign w:val="bottom"/>
          </w:tcPr>
          <w:p w14:paraId="74DDAA89" w14:textId="77777777" w:rsidR="00584EC1" w:rsidRDefault="00584EC1">
            <w:pPr>
              <w:rPr>
                <w:rFonts w:ascii="宋体"/>
              </w:rPr>
            </w:pPr>
          </w:p>
        </w:tc>
        <w:tc>
          <w:tcPr>
            <w:tcW w:w="5" w:type="pct"/>
            <w:shd w:val="clear" w:color="auto" w:fill="auto"/>
            <w:vAlign w:val="bottom"/>
          </w:tcPr>
          <w:p w14:paraId="74DDAA8A" w14:textId="77777777" w:rsidR="00584EC1" w:rsidRDefault="00584EC1">
            <w:pPr>
              <w:rPr>
                <w:rFonts w:ascii="宋体"/>
              </w:rPr>
            </w:pPr>
          </w:p>
        </w:tc>
        <w:tc>
          <w:tcPr>
            <w:tcW w:w="50" w:type="pct"/>
            <w:shd w:val="clear" w:color="auto" w:fill="auto"/>
            <w:vAlign w:val="bottom"/>
          </w:tcPr>
          <w:p w14:paraId="74DDAA8B" w14:textId="77777777" w:rsidR="00584EC1" w:rsidRDefault="00584EC1">
            <w:pPr>
              <w:rPr>
                <w:rFonts w:ascii="宋体"/>
              </w:rPr>
            </w:pPr>
          </w:p>
        </w:tc>
        <w:tc>
          <w:tcPr>
            <w:tcW w:w="705" w:type="pct"/>
            <w:shd w:val="clear" w:color="auto" w:fill="auto"/>
            <w:vAlign w:val="bottom"/>
          </w:tcPr>
          <w:p w14:paraId="74DDAA8C" w14:textId="77777777" w:rsidR="00584EC1" w:rsidRDefault="00584EC1">
            <w:pPr>
              <w:rPr>
                <w:rFonts w:ascii="宋体"/>
              </w:rPr>
            </w:pPr>
          </w:p>
        </w:tc>
        <w:tc>
          <w:tcPr>
            <w:tcW w:w="5" w:type="pct"/>
            <w:shd w:val="clear" w:color="auto" w:fill="auto"/>
            <w:vAlign w:val="bottom"/>
          </w:tcPr>
          <w:p w14:paraId="74DDAA8D" w14:textId="77777777" w:rsidR="00584EC1" w:rsidRDefault="00584EC1">
            <w:pPr>
              <w:rPr>
                <w:rFonts w:ascii="宋体"/>
              </w:rPr>
            </w:pPr>
          </w:p>
        </w:tc>
        <w:tc>
          <w:tcPr>
            <w:tcW w:w="5" w:type="pct"/>
            <w:shd w:val="clear" w:color="auto" w:fill="auto"/>
            <w:vAlign w:val="bottom"/>
          </w:tcPr>
          <w:p w14:paraId="74DDAA8E" w14:textId="77777777" w:rsidR="00584EC1" w:rsidRDefault="00584EC1">
            <w:pPr>
              <w:rPr>
                <w:rFonts w:ascii="宋体"/>
              </w:rPr>
            </w:pPr>
          </w:p>
        </w:tc>
        <w:tc>
          <w:tcPr>
            <w:tcW w:w="26" w:type="pct"/>
            <w:shd w:val="clear" w:color="auto" w:fill="auto"/>
            <w:vAlign w:val="bottom"/>
          </w:tcPr>
          <w:p w14:paraId="74DDAA8F" w14:textId="77777777" w:rsidR="00584EC1" w:rsidRDefault="00584EC1">
            <w:pPr>
              <w:rPr>
                <w:rFonts w:ascii="宋体"/>
              </w:rPr>
            </w:pPr>
          </w:p>
        </w:tc>
        <w:tc>
          <w:tcPr>
            <w:tcW w:w="5" w:type="pct"/>
            <w:shd w:val="clear" w:color="auto" w:fill="auto"/>
            <w:vAlign w:val="bottom"/>
          </w:tcPr>
          <w:p w14:paraId="74DDAA90" w14:textId="77777777" w:rsidR="00584EC1" w:rsidRDefault="00584EC1">
            <w:pPr>
              <w:rPr>
                <w:rFonts w:ascii="宋体"/>
              </w:rPr>
            </w:pPr>
          </w:p>
        </w:tc>
        <w:tc>
          <w:tcPr>
            <w:tcW w:w="50" w:type="pct"/>
            <w:shd w:val="clear" w:color="auto" w:fill="auto"/>
            <w:vAlign w:val="bottom"/>
          </w:tcPr>
          <w:p w14:paraId="74DDAA91" w14:textId="77777777" w:rsidR="00584EC1" w:rsidRDefault="00584EC1">
            <w:pPr>
              <w:rPr>
                <w:rFonts w:ascii="宋体"/>
              </w:rPr>
            </w:pPr>
          </w:p>
        </w:tc>
        <w:tc>
          <w:tcPr>
            <w:tcW w:w="705" w:type="pct"/>
            <w:shd w:val="clear" w:color="auto" w:fill="auto"/>
            <w:vAlign w:val="bottom"/>
          </w:tcPr>
          <w:p w14:paraId="74DDAA92" w14:textId="77777777" w:rsidR="00584EC1" w:rsidRDefault="00584EC1">
            <w:pPr>
              <w:rPr>
                <w:rFonts w:ascii="宋体"/>
              </w:rPr>
            </w:pPr>
          </w:p>
        </w:tc>
        <w:tc>
          <w:tcPr>
            <w:tcW w:w="5" w:type="pct"/>
            <w:shd w:val="clear" w:color="auto" w:fill="auto"/>
            <w:vAlign w:val="bottom"/>
          </w:tcPr>
          <w:p w14:paraId="74DDAA93" w14:textId="77777777" w:rsidR="00584EC1" w:rsidRDefault="00584EC1">
            <w:pPr>
              <w:rPr>
                <w:rFonts w:ascii="宋体"/>
              </w:rPr>
            </w:pPr>
          </w:p>
        </w:tc>
        <w:tc>
          <w:tcPr>
            <w:tcW w:w="0" w:type="auto"/>
            <w:gridSpan w:val="3"/>
            <w:shd w:val="clear" w:color="auto" w:fill="auto"/>
            <w:vAlign w:val="bottom"/>
          </w:tcPr>
          <w:p w14:paraId="74DDAA94" w14:textId="77777777" w:rsidR="00584EC1" w:rsidRDefault="00584EC1">
            <w:pPr>
              <w:rPr>
                <w:rFonts w:ascii="宋体"/>
                <w:vanish/>
              </w:rPr>
            </w:pPr>
          </w:p>
        </w:tc>
        <w:tc>
          <w:tcPr>
            <w:tcW w:w="0" w:type="auto"/>
            <w:gridSpan w:val="3"/>
            <w:shd w:val="clear" w:color="auto" w:fill="auto"/>
            <w:vAlign w:val="bottom"/>
          </w:tcPr>
          <w:p w14:paraId="74DDAA95" w14:textId="77777777" w:rsidR="00584EC1" w:rsidRDefault="00584EC1">
            <w:pPr>
              <w:rPr>
                <w:rFonts w:ascii="宋体"/>
                <w:vanish/>
              </w:rPr>
            </w:pPr>
          </w:p>
        </w:tc>
      </w:tr>
      <w:tr w:rsidR="00584EC1" w14:paraId="74DDAA9F" w14:textId="77777777">
        <w:tc>
          <w:tcPr>
            <w:tcW w:w="0" w:type="auto"/>
            <w:gridSpan w:val="3"/>
            <w:shd w:val="clear" w:color="auto" w:fill="auto"/>
            <w:tcMar>
              <w:top w:w="0" w:type="dxa"/>
              <w:left w:w="20" w:type="dxa"/>
              <w:bottom w:w="0" w:type="dxa"/>
              <w:right w:w="20" w:type="dxa"/>
            </w:tcMar>
            <w:vAlign w:val="bottom"/>
          </w:tcPr>
          <w:p w14:paraId="74DDAA97" w14:textId="77777777" w:rsidR="00584EC1" w:rsidRDefault="00584EC1">
            <w:pPr>
              <w:rPr>
                <w:rFonts w:ascii="宋体"/>
              </w:rPr>
            </w:pPr>
          </w:p>
        </w:tc>
        <w:tc>
          <w:tcPr>
            <w:tcW w:w="0" w:type="auto"/>
            <w:gridSpan w:val="9"/>
            <w:shd w:val="clear" w:color="auto" w:fill="auto"/>
            <w:tcMar>
              <w:top w:w="40" w:type="dxa"/>
              <w:left w:w="20" w:type="dxa"/>
              <w:bottom w:w="40" w:type="dxa"/>
              <w:right w:w="20" w:type="dxa"/>
            </w:tcMar>
            <w:vAlign w:val="bottom"/>
          </w:tcPr>
          <w:p w14:paraId="74DDAA98" w14:textId="77777777" w:rsidR="00584EC1" w:rsidRDefault="00871F8D">
            <w:pPr>
              <w:jc w:val="center"/>
              <w:textAlignment w:val="bottom"/>
            </w:pPr>
            <w:r>
              <w:rPr>
                <w:rFonts w:ascii="Arial" w:eastAsia="宋体" w:hAnsi="Arial" w:cs="Arial"/>
                <w:b/>
                <w:bCs/>
                <w:color w:val="000000"/>
                <w:sz w:val="18"/>
                <w:szCs w:val="18"/>
              </w:rPr>
              <w:t xml:space="preserve">Three </w:t>
            </w:r>
            <w:r>
              <w:rPr>
                <w:rFonts w:ascii="Arial" w:eastAsia="宋体" w:hAnsi="Arial" w:cs="Arial"/>
                <w:b/>
                <w:bCs/>
                <w:color w:val="000000"/>
                <w:sz w:val="18"/>
                <w:szCs w:val="18"/>
              </w:rPr>
              <w:t>Months Ended September 30,</w:t>
            </w:r>
          </w:p>
        </w:tc>
        <w:tc>
          <w:tcPr>
            <w:tcW w:w="0" w:type="auto"/>
            <w:shd w:val="clear" w:color="auto" w:fill="auto"/>
            <w:vAlign w:val="bottom"/>
          </w:tcPr>
          <w:p w14:paraId="74DDAA99" w14:textId="77777777" w:rsidR="00584EC1" w:rsidRDefault="00584EC1">
            <w:pPr>
              <w:rPr>
                <w:rFonts w:ascii="宋体"/>
              </w:rPr>
            </w:pPr>
          </w:p>
        </w:tc>
        <w:tc>
          <w:tcPr>
            <w:tcW w:w="0" w:type="auto"/>
            <w:shd w:val="clear" w:color="auto" w:fill="auto"/>
            <w:vAlign w:val="bottom"/>
          </w:tcPr>
          <w:p w14:paraId="74DDAA9A" w14:textId="77777777" w:rsidR="00584EC1" w:rsidRDefault="00584EC1">
            <w:pPr>
              <w:rPr>
                <w:rFonts w:ascii="宋体"/>
              </w:rPr>
            </w:pPr>
          </w:p>
        </w:tc>
        <w:tc>
          <w:tcPr>
            <w:tcW w:w="0" w:type="auto"/>
            <w:shd w:val="clear" w:color="auto" w:fill="auto"/>
            <w:vAlign w:val="bottom"/>
          </w:tcPr>
          <w:p w14:paraId="74DDAA9B" w14:textId="77777777" w:rsidR="00584EC1" w:rsidRDefault="00584EC1">
            <w:pPr>
              <w:rPr>
                <w:rFonts w:ascii="宋体"/>
              </w:rPr>
            </w:pPr>
          </w:p>
        </w:tc>
        <w:tc>
          <w:tcPr>
            <w:tcW w:w="0" w:type="auto"/>
            <w:shd w:val="clear" w:color="auto" w:fill="auto"/>
            <w:vAlign w:val="bottom"/>
          </w:tcPr>
          <w:p w14:paraId="74DDAA9C" w14:textId="77777777" w:rsidR="00584EC1" w:rsidRDefault="00584EC1">
            <w:pPr>
              <w:rPr>
                <w:rFonts w:ascii="宋体"/>
              </w:rPr>
            </w:pPr>
          </w:p>
        </w:tc>
        <w:tc>
          <w:tcPr>
            <w:tcW w:w="0" w:type="auto"/>
            <w:shd w:val="clear" w:color="auto" w:fill="auto"/>
            <w:vAlign w:val="bottom"/>
          </w:tcPr>
          <w:p w14:paraId="74DDAA9D" w14:textId="77777777" w:rsidR="00584EC1" w:rsidRDefault="00584EC1">
            <w:pPr>
              <w:rPr>
                <w:rFonts w:ascii="宋体"/>
              </w:rPr>
            </w:pPr>
          </w:p>
        </w:tc>
        <w:tc>
          <w:tcPr>
            <w:tcW w:w="0" w:type="auto"/>
            <w:shd w:val="clear" w:color="auto" w:fill="auto"/>
            <w:vAlign w:val="bottom"/>
          </w:tcPr>
          <w:p w14:paraId="74DDAA9E" w14:textId="77777777" w:rsidR="00584EC1" w:rsidRDefault="00584EC1">
            <w:pPr>
              <w:rPr>
                <w:rFonts w:ascii="宋体"/>
              </w:rPr>
            </w:pPr>
          </w:p>
        </w:tc>
      </w:tr>
      <w:tr w:rsidR="00584EC1" w14:paraId="74DDAAA6" w14:textId="77777777">
        <w:tc>
          <w:tcPr>
            <w:tcW w:w="0" w:type="auto"/>
            <w:gridSpan w:val="3"/>
            <w:shd w:val="clear" w:color="auto" w:fill="auto"/>
            <w:tcMar>
              <w:top w:w="40" w:type="dxa"/>
              <w:left w:w="20" w:type="dxa"/>
              <w:bottom w:w="40" w:type="dxa"/>
              <w:right w:w="20" w:type="dxa"/>
            </w:tcMar>
            <w:vAlign w:val="bottom"/>
          </w:tcPr>
          <w:p w14:paraId="74DDAAA0" w14:textId="77777777" w:rsidR="00584EC1" w:rsidRDefault="00871F8D">
            <w:pPr>
              <w:textAlignment w:val="bottom"/>
            </w:pPr>
            <w:r>
              <w:rPr>
                <w:rFonts w:ascii="Arial" w:eastAsia="宋体" w:hAnsi="Arial" w:cs="Arial"/>
                <w:b/>
                <w:bCs/>
                <w:color w:val="000000"/>
                <w:sz w:val="18"/>
                <w:szCs w:val="18"/>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AAA1" w14:textId="77777777" w:rsidR="00584EC1" w:rsidRDefault="00871F8D">
            <w:pPr>
              <w:jc w:val="center"/>
              <w:textAlignment w:val="bottom"/>
            </w:pPr>
            <w:r>
              <w:rPr>
                <w:rFonts w:ascii="Arial" w:eastAsia="宋体" w:hAnsi="Arial" w:cs="Arial"/>
                <w:b/>
                <w:bCs/>
                <w:color w:val="000000"/>
                <w:sz w:val="18"/>
                <w:szCs w:val="18"/>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AAA2"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AAA3" w14:textId="77777777" w:rsidR="00584EC1" w:rsidRDefault="00871F8D">
            <w:pPr>
              <w:jc w:val="center"/>
              <w:textAlignment w:val="bottom"/>
            </w:pPr>
            <w:r>
              <w:rPr>
                <w:rFonts w:ascii="Arial" w:eastAsia="宋体" w:hAnsi="Arial" w:cs="Arial"/>
                <w:b/>
                <w:bCs/>
                <w:color w:val="000000"/>
                <w:sz w:val="18"/>
                <w:szCs w:val="18"/>
              </w:rPr>
              <w:t>2020</w:t>
            </w:r>
          </w:p>
        </w:tc>
        <w:tc>
          <w:tcPr>
            <w:tcW w:w="0" w:type="auto"/>
            <w:gridSpan w:val="3"/>
            <w:shd w:val="clear" w:color="auto" w:fill="auto"/>
            <w:vAlign w:val="bottom"/>
          </w:tcPr>
          <w:p w14:paraId="74DDAAA4" w14:textId="77777777" w:rsidR="00584EC1" w:rsidRDefault="00584EC1">
            <w:pPr>
              <w:rPr>
                <w:rFonts w:ascii="宋体"/>
                <w:vanish/>
              </w:rPr>
            </w:pPr>
          </w:p>
        </w:tc>
        <w:tc>
          <w:tcPr>
            <w:tcW w:w="0" w:type="auto"/>
            <w:gridSpan w:val="3"/>
            <w:shd w:val="clear" w:color="auto" w:fill="auto"/>
            <w:vAlign w:val="bottom"/>
          </w:tcPr>
          <w:p w14:paraId="74DDAAA5" w14:textId="77777777" w:rsidR="00584EC1" w:rsidRDefault="00584EC1">
            <w:pPr>
              <w:rPr>
                <w:rFonts w:ascii="宋体"/>
                <w:vanish/>
              </w:rPr>
            </w:pPr>
          </w:p>
        </w:tc>
      </w:tr>
      <w:tr w:rsidR="00584EC1" w14:paraId="74DDAAB1" w14:textId="77777777">
        <w:tc>
          <w:tcPr>
            <w:tcW w:w="0" w:type="auto"/>
            <w:gridSpan w:val="3"/>
            <w:shd w:val="clear" w:color="auto" w:fill="CCEEFF"/>
            <w:tcMar>
              <w:top w:w="40" w:type="dxa"/>
              <w:left w:w="20" w:type="dxa"/>
              <w:bottom w:w="40" w:type="dxa"/>
              <w:right w:w="20" w:type="dxa"/>
            </w:tcMar>
            <w:vAlign w:val="bottom"/>
          </w:tcPr>
          <w:p w14:paraId="74DDAAA7" w14:textId="77777777" w:rsidR="00584EC1" w:rsidRDefault="00871F8D">
            <w:pPr>
              <w:textAlignment w:val="bottom"/>
            </w:pPr>
            <w:r>
              <w:rPr>
                <w:rFonts w:ascii="Arial" w:eastAsia="宋体" w:hAnsi="Arial" w:cs="Arial"/>
                <w:b/>
                <w:bCs/>
                <w:color w:val="000000"/>
                <w:sz w:val="18"/>
                <w:szCs w:val="18"/>
              </w:rPr>
              <w:t>Net income</w:t>
            </w:r>
          </w:p>
        </w:tc>
        <w:tc>
          <w:tcPr>
            <w:tcW w:w="0" w:type="auto"/>
            <w:tcBorders>
              <w:top w:val="single" w:sz="8" w:space="0" w:color="000000"/>
            </w:tcBorders>
            <w:shd w:val="clear" w:color="auto" w:fill="CCEEFF"/>
            <w:tcMar>
              <w:top w:w="40" w:type="dxa"/>
              <w:left w:w="20" w:type="dxa"/>
              <w:bottom w:w="40" w:type="dxa"/>
              <w:right w:w="0" w:type="dxa"/>
            </w:tcMar>
            <w:vAlign w:val="bottom"/>
          </w:tcPr>
          <w:p w14:paraId="74DDAAA8" w14:textId="77777777" w:rsidR="00584EC1" w:rsidRDefault="00871F8D">
            <w:pPr>
              <w:textAlignment w:val="bottom"/>
            </w:pPr>
            <w:r>
              <w:rPr>
                <w:rFonts w:ascii="Arial" w:eastAsia="宋体" w:hAnsi="Arial" w:cs="Arial"/>
                <w:b/>
                <w:bCs/>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AAA9" w14:textId="77777777" w:rsidR="00584EC1" w:rsidRDefault="00871F8D">
            <w:pPr>
              <w:jc w:val="right"/>
              <w:textAlignment w:val="bottom"/>
            </w:pPr>
            <w:r>
              <w:rPr>
                <w:rFonts w:ascii="Arial" w:eastAsia="宋体" w:hAnsi="Arial" w:cs="Arial"/>
                <w:b/>
                <w:bCs/>
                <w:color w:val="000000"/>
                <w:sz w:val="18"/>
                <w:szCs w:val="18"/>
              </w:rPr>
              <w:t>714</w:t>
            </w:r>
            <w:r>
              <w:rPr>
                <w:rFonts w:ascii="Arial" w:eastAsia="宋体" w:hAnsi="Arial" w:cs="Arial"/>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AAA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AAB"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AAAC" w14:textId="77777777" w:rsidR="00584EC1" w:rsidRDefault="00871F8D">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AAAD" w14:textId="77777777" w:rsidR="00584EC1" w:rsidRDefault="00871F8D">
            <w:pPr>
              <w:jc w:val="right"/>
              <w:textAlignment w:val="bottom"/>
            </w:pPr>
            <w:r>
              <w:rPr>
                <w:rFonts w:ascii="Arial" w:eastAsia="宋体" w:hAnsi="Arial" w:cs="Arial"/>
                <w:color w:val="000000"/>
                <w:sz w:val="18"/>
                <w:szCs w:val="18"/>
              </w:rPr>
              <w:t>555 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AAAE" w14:textId="77777777" w:rsidR="00584EC1" w:rsidRDefault="00584EC1">
            <w:pPr>
              <w:jc w:val="right"/>
              <w:rPr>
                <w:rFonts w:ascii="宋体"/>
              </w:rPr>
            </w:pPr>
          </w:p>
        </w:tc>
        <w:tc>
          <w:tcPr>
            <w:tcW w:w="0" w:type="auto"/>
            <w:gridSpan w:val="3"/>
            <w:shd w:val="clear" w:color="auto" w:fill="auto"/>
            <w:vAlign w:val="bottom"/>
          </w:tcPr>
          <w:p w14:paraId="74DDAAAF" w14:textId="77777777" w:rsidR="00584EC1" w:rsidRDefault="00584EC1">
            <w:pPr>
              <w:rPr>
                <w:rFonts w:ascii="宋体"/>
                <w:vanish/>
              </w:rPr>
            </w:pPr>
          </w:p>
        </w:tc>
        <w:tc>
          <w:tcPr>
            <w:tcW w:w="0" w:type="auto"/>
            <w:gridSpan w:val="3"/>
            <w:shd w:val="clear" w:color="auto" w:fill="auto"/>
            <w:vAlign w:val="bottom"/>
          </w:tcPr>
          <w:p w14:paraId="74DDAAB0" w14:textId="77777777" w:rsidR="00584EC1" w:rsidRDefault="00584EC1">
            <w:pPr>
              <w:rPr>
                <w:rFonts w:ascii="宋体"/>
                <w:vanish/>
              </w:rPr>
            </w:pPr>
          </w:p>
        </w:tc>
      </w:tr>
      <w:tr w:rsidR="00584EC1" w14:paraId="74DDAAB8" w14:textId="77777777">
        <w:tc>
          <w:tcPr>
            <w:tcW w:w="0" w:type="auto"/>
            <w:gridSpan w:val="3"/>
            <w:shd w:val="clear" w:color="auto" w:fill="FFFFFF"/>
            <w:tcMar>
              <w:top w:w="40" w:type="dxa"/>
              <w:left w:w="20" w:type="dxa"/>
              <w:bottom w:w="40" w:type="dxa"/>
              <w:right w:w="20" w:type="dxa"/>
            </w:tcMar>
            <w:vAlign w:val="bottom"/>
          </w:tcPr>
          <w:p w14:paraId="74DDAAB2" w14:textId="77777777" w:rsidR="00584EC1" w:rsidRDefault="00871F8D">
            <w:pPr>
              <w:textAlignment w:val="bottom"/>
            </w:pPr>
            <w:r>
              <w:rPr>
                <w:rFonts w:ascii="Arial" w:eastAsia="宋体" w:hAnsi="Arial" w:cs="Arial"/>
                <w:b/>
                <w:bCs/>
                <w:color w:val="000000"/>
                <w:sz w:val="18"/>
                <w:szCs w:val="18"/>
              </w:rPr>
              <w:t>Other comprehensive income (loss), net of related taxes:</w:t>
            </w:r>
          </w:p>
        </w:tc>
        <w:tc>
          <w:tcPr>
            <w:tcW w:w="0" w:type="auto"/>
            <w:gridSpan w:val="3"/>
            <w:shd w:val="clear" w:color="auto" w:fill="FFFFFF"/>
            <w:tcMar>
              <w:top w:w="0" w:type="dxa"/>
              <w:left w:w="20" w:type="dxa"/>
              <w:bottom w:w="0" w:type="dxa"/>
              <w:right w:w="20" w:type="dxa"/>
            </w:tcMar>
            <w:vAlign w:val="bottom"/>
          </w:tcPr>
          <w:p w14:paraId="74DDAAB3"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AAB4"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AAB5" w14:textId="77777777" w:rsidR="00584EC1" w:rsidRDefault="00584EC1">
            <w:pPr>
              <w:rPr>
                <w:rFonts w:ascii="宋体"/>
              </w:rPr>
            </w:pPr>
          </w:p>
        </w:tc>
        <w:tc>
          <w:tcPr>
            <w:tcW w:w="0" w:type="auto"/>
            <w:gridSpan w:val="3"/>
            <w:shd w:val="clear" w:color="auto" w:fill="auto"/>
            <w:vAlign w:val="bottom"/>
          </w:tcPr>
          <w:p w14:paraId="74DDAAB6" w14:textId="77777777" w:rsidR="00584EC1" w:rsidRDefault="00584EC1">
            <w:pPr>
              <w:rPr>
                <w:rFonts w:ascii="宋体"/>
                <w:vanish/>
              </w:rPr>
            </w:pPr>
          </w:p>
        </w:tc>
        <w:tc>
          <w:tcPr>
            <w:tcW w:w="0" w:type="auto"/>
            <w:gridSpan w:val="3"/>
            <w:shd w:val="clear" w:color="auto" w:fill="auto"/>
            <w:vAlign w:val="bottom"/>
          </w:tcPr>
          <w:p w14:paraId="74DDAAB7" w14:textId="77777777" w:rsidR="00584EC1" w:rsidRDefault="00584EC1">
            <w:pPr>
              <w:rPr>
                <w:rFonts w:ascii="宋体"/>
                <w:vanish/>
              </w:rPr>
            </w:pPr>
          </w:p>
        </w:tc>
      </w:tr>
      <w:tr w:rsidR="00584EC1" w14:paraId="74DDAAC1" w14:textId="77777777">
        <w:tc>
          <w:tcPr>
            <w:tcW w:w="0" w:type="auto"/>
            <w:gridSpan w:val="3"/>
            <w:shd w:val="clear" w:color="auto" w:fill="CCEEFF"/>
            <w:tcMar>
              <w:top w:w="40" w:type="dxa"/>
              <w:left w:w="20" w:type="dxa"/>
              <w:bottom w:w="40" w:type="dxa"/>
              <w:right w:w="20" w:type="dxa"/>
            </w:tcMar>
            <w:vAlign w:val="bottom"/>
          </w:tcPr>
          <w:p w14:paraId="74DDAAB9" w14:textId="77777777" w:rsidR="00584EC1" w:rsidRDefault="00871F8D">
            <w:pPr>
              <w:jc w:val="both"/>
              <w:textAlignment w:val="bottom"/>
            </w:pPr>
            <w:r>
              <w:rPr>
                <w:rFonts w:ascii="Arial" w:eastAsia="宋体" w:hAnsi="Arial" w:cs="Arial"/>
                <w:color w:val="000000"/>
                <w:sz w:val="18"/>
                <w:szCs w:val="18"/>
              </w:rPr>
              <w:t>Foreign currency translation, net of related taxes of $18 and ($14), respectively</w:t>
            </w:r>
          </w:p>
        </w:tc>
        <w:tc>
          <w:tcPr>
            <w:tcW w:w="0" w:type="auto"/>
            <w:gridSpan w:val="2"/>
            <w:shd w:val="clear" w:color="auto" w:fill="CCEEFF"/>
            <w:tcMar>
              <w:top w:w="40" w:type="dxa"/>
              <w:left w:w="20" w:type="dxa"/>
              <w:bottom w:w="40" w:type="dxa"/>
              <w:right w:w="0" w:type="dxa"/>
            </w:tcMar>
            <w:vAlign w:val="bottom"/>
          </w:tcPr>
          <w:p w14:paraId="74DDAABA" w14:textId="77777777" w:rsidR="00584EC1" w:rsidRDefault="00871F8D">
            <w:pPr>
              <w:jc w:val="right"/>
              <w:textAlignment w:val="bottom"/>
            </w:pPr>
            <w:r>
              <w:rPr>
                <w:rFonts w:ascii="Arial" w:eastAsia="宋体" w:hAnsi="Arial" w:cs="Arial"/>
                <w:b/>
                <w:bCs/>
                <w:color w:val="000000"/>
                <w:sz w:val="18"/>
                <w:szCs w:val="18"/>
              </w:rPr>
              <w:t>(156)</w:t>
            </w:r>
          </w:p>
        </w:tc>
        <w:tc>
          <w:tcPr>
            <w:tcW w:w="0" w:type="auto"/>
            <w:shd w:val="clear" w:color="auto" w:fill="CCEEFF"/>
            <w:tcMar>
              <w:top w:w="40" w:type="dxa"/>
              <w:left w:w="0" w:type="dxa"/>
              <w:bottom w:w="40" w:type="dxa"/>
              <w:right w:w="20" w:type="dxa"/>
            </w:tcMar>
            <w:vAlign w:val="bottom"/>
          </w:tcPr>
          <w:p w14:paraId="74DDAAB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ABC"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AABD" w14:textId="77777777" w:rsidR="00584EC1" w:rsidRDefault="00871F8D">
            <w:pPr>
              <w:jc w:val="right"/>
              <w:textAlignment w:val="bottom"/>
            </w:pPr>
            <w:r>
              <w:rPr>
                <w:rFonts w:ascii="Arial" w:eastAsia="宋体" w:hAnsi="Arial" w:cs="Arial"/>
                <w:color w:val="000000"/>
                <w:sz w:val="18"/>
                <w:szCs w:val="18"/>
              </w:rPr>
              <w:t>283 </w:t>
            </w:r>
          </w:p>
        </w:tc>
        <w:tc>
          <w:tcPr>
            <w:tcW w:w="0" w:type="auto"/>
            <w:shd w:val="clear" w:color="auto" w:fill="CCEEFF"/>
            <w:tcMar>
              <w:top w:w="40" w:type="dxa"/>
              <w:left w:w="0" w:type="dxa"/>
              <w:bottom w:w="40" w:type="dxa"/>
              <w:right w:w="20" w:type="dxa"/>
            </w:tcMar>
            <w:vAlign w:val="bottom"/>
          </w:tcPr>
          <w:p w14:paraId="74DDAABE" w14:textId="77777777" w:rsidR="00584EC1" w:rsidRDefault="00584EC1">
            <w:pPr>
              <w:jc w:val="right"/>
              <w:rPr>
                <w:rFonts w:ascii="宋体"/>
              </w:rPr>
            </w:pPr>
          </w:p>
        </w:tc>
        <w:tc>
          <w:tcPr>
            <w:tcW w:w="0" w:type="auto"/>
            <w:gridSpan w:val="3"/>
            <w:shd w:val="clear" w:color="auto" w:fill="auto"/>
            <w:vAlign w:val="bottom"/>
          </w:tcPr>
          <w:p w14:paraId="74DDAABF" w14:textId="77777777" w:rsidR="00584EC1" w:rsidRDefault="00584EC1">
            <w:pPr>
              <w:rPr>
                <w:rFonts w:ascii="宋体"/>
                <w:vanish/>
              </w:rPr>
            </w:pPr>
          </w:p>
        </w:tc>
        <w:tc>
          <w:tcPr>
            <w:tcW w:w="0" w:type="auto"/>
            <w:gridSpan w:val="3"/>
            <w:shd w:val="clear" w:color="auto" w:fill="auto"/>
            <w:vAlign w:val="bottom"/>
          </w:tcPr>
          <w:p w14:paraId="74DDAAC0" w14:textId="77777777" w:rsidR="00584EC1" w:rsidRDefault="00584EC1">
            <w:pPr>
              <w:rPr>
                <w:rFonts w:ascii="宋体"/>
                <w:vanish/>
              </w:rPr>
            </w:pPr>
          </w:p>
        </w:tc>
      </w:tr>
      <w:tr w:rsidR="00584EC1" w14:paraId="74DDAACA" w14:textId="77777777">
        <w:tc>
          <w:tcPr>
            <w:tcW w:w="0" w:type="auto"/>
            <w:gridSpan w:val="3"/>
            <w:shd w:val="clear" w:color="auto" w:fill="FFFFFF"/>
            <w:tcMar>
              <w:top w:w="40" w:type="dxa"/>
              <w:left w:w="20" w:type="dxa"/>
              <w:bottom w:w="40" w:type="dxa"/>
              <w:right w:w="20" w:type="dxa"/>
            </w:tcMar>
            <w:vAlign w:val="bottom"/>
          </w:tcPr>
          <w:p w14:paraId="74DDAAC2" w14:textId="77777777" w:rsidR="00584EC1" w:rsidRDefault="00871F8D">
            <w:pPr>
              <w:jc w:val="both"/>
              <w:textAlignment w:val="bottom"/>
            </w:pPr>
            <w:r>
              <w:rPr>
                <w:rFonts w:ascii="Arial" w:eastAsia="宋体" w:hAnsi="Arial" w:cs="Arial"/>
                <w:color w:val="000000"/>
                <w:sz w:val="18"/>
                <w:szCs w:val="18"/>
              </w:rPr>
              <w:t>Net unrealized gains (losses) on available-for-sale securities, net of reclassification adjustment and net of related taxes of ($39) and $4, respectively</w:t>
            </w:r>
          </w:p>
        </w:tc>
        <w:tc>
          <w:tcPr>
            <w:tcW w:w="0" w:type="auto"/>
            <w:gridSpan w:val="2"/>
            <w:shd w:val="clear" w:color="auto" w:fill="FFFFFF"/>
            <w:tcMar>
              <w:top w:w="40" w:type="dxa"/>
              <w:left w:w="20" w:type="dxa"/>
              <w:bottom w:w="40" w:type="dxa"/>
              <w:right w:w="0" w:type="dxa"/>
            </w:tcMar>
            <w:vAlign w:val="bottom"/>
          </w:tcPr>
          <w:p w14:paraId="74DDAAC3" w14:textId="77777777" w:rsidR="00584EC1" w:rsidRDefault="00871F8D">
            <w:pPr>
              <w:jc w:val="right"/>
              <w:textAlignment w:val="bottom"/>
            </w:pPr>
            <w:r>
              <w:rPr>
                <w:rFonts w:ascii="Arial" w:eastAsia="宋体" w:hAnsi="Arial" w:cs="Arial"/>
                <w:b/>
                <w:bCs/>
                <w:color w:val="000000"/>
                <w:sz w:val="18"/>
                <w:szCs w:val="18"/>
              </w:rPr>
              <w:t>(107)</w:t>
            </w:r>
          </w:p>
        </w:tc>
        <w:tc>
          <w:tcPr>
            <w:tcW w:w="0" w:type="auto"/>
            <w:shd w:val="clear" w:color="auto" w:fill="FFFFFF"/>
            <w:tcMar>
              <w:top w:w="40" w:type="dxa"/>
              <w:left w:w="0" w:type="dxa"/>
              <w:bottom w:w="40" w:type="dxa"/>
              <w:right w:w="20" w:type="dxa"/>
            </w:tcMar>
            <w:vAlign w:val="bottom"/>
          </w:tcPr>
          <w:p w14:paraId="74DDAAC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AC5"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AAC6" w14:textId="77777777" w:rsidR="00584EC1" w:rsidRDefault="00871F8D">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74DDAAC7" w14:textId="77777777" w:rsidR="00584EC1" w:rsidRDefault="00584EC1">
            <w:pPr>
              <w:jc w:val="right"/>
              <w:rPr>
                <w:rFonts w:ascii="宋体"/>
              </w:rPr>
            </w:pPr>
          </w:p>
        </w:tc>
        <w:tc>
          <w:tcPr>
            <w:tcW w:w="0" w:type="auto"/>
            <w:gridSpan w:val="3"/>
            <w:shd w:val="clear" w:color="auto" w:fill="auto"/>
            <w:vAlign w:val="bottom"/>
          </w:tcPr>
          <w:p w14:paraId="74DDAAC8" w14:textId="77777777" w:rsidR="00584EC1" w:rsidRDefault="00584EC1">
            <w:pPr>
              <w:rPr>
                <w:rFonts w:ascii="宋体"/>
                <w:vanish/>
              </w:rPr>
            </w:pPr>
          </w:p>
        </w:tc>
        <w:tc>
          <w:tcPr>
            <w:tcW w:w="0" w:type="auto"/>
            <w:gridSpan w:val="3"/>
            <w:shd w:val="clear" w:color="auto" w:fill="auto"/>
            <w:vAlign w:val="bottom"/>
          </w:tcPr>
          <w:p w14:paraId="74DDAAC9" w14:textId="77777777" w:rsidR="00584EC1" w:rsidRDefault="00584EC1">
            <w:pPr>
              <w:rPr>
                <w:rFonts w:ascii="宋体"/>
                <w:vanish/>
              </w:rPr>
            </w:pPr>
          </w:p>
        </w:tc>
      </w:tr>
      <w:tr w:rsidR="00584EC1" w14:paraId="74DDAAD3" w14:textId="77777777">
        <w:tc>
          <w:tcPr>
            <w:tcW w:w="0" w:type="auto"/>
            <w:gridSpan w:val="3"/>
            <w:shd w:val="clear" w:color="auto" w:fill="CCEEFF"/>
            <w:tcMar>
              <w:top w:w="40" w:type="dxa"/>
              <w:left w:w="20" w:type="dxa"/>
              <w:bottom w:w="40" w:type="dxa"/>
              <w:right w:w="20" w:type="dxa"/>
            </w:tcMar>
            <w:vAlign w:val="bottom"/>
          </w:tcPr>
          <w:p w14:paraId="74DDAACB" w14:textId="77777777" w:rsidR="00584EC1" w:rsidRDefault="00871F8D">
            <w:pPr>
              <w:jc w:val="both"/>
              <w:textAlignment w:val="bottom"/>
            </w:pPr>
            <w:r>
              <w:rPr>
                <w:rFonts w:ascii="Arial" w:eastAsia="宋体" w:hAnsi="Arial" w:cs="Arial"/>
                <w:color w:val="000000"/>
                <w:sz w:val="18"/>
                <w:szCs w:val="18"/>
              </w:rPr>
              <w:t xml:space="preserve">Net unrealized gains (losses) on available-for-sale securities designated in fair </w:t>
            </w:r>
            <w:r>
              <w:rPr>
                <w:rFonts w:ascii="Arial" w:eastAsia="宋体" w:hAnsi="Arial" w:cs="Arial"/>
                <w:color w:val="000000"/>
                <w:sz w:val="18"/>
                <w:szCs w:val="18"/>
              </w:rPr>
              <w:t>value hedges, net of related taxes of $4 and $2, respectively</w:t>
            </w:r>
          </w:p>
        </w:tc>
        <w:tc>
          <w:tcPr>
            <w:tcW w:w="0" w:type="auto"/>
            <w:gridSpan w:val="2"/>
            <w:shd w:val="clear" w:color="auto" w:fill="CCEEFF"/>
            <w:tcMar>
              <w:top w:w="40" w:type="dxa"/>
              <w:left w:w="20" w:type="dxa"/>
              <w:bottom w:w="40" w:type="dxa"/>
              <w:right w:w="0" w:type="dxa"/>
            </w:tcMar>
            <w:vAlign w:val="bottom"/>
          </w:tcPr>
          <w:p w14:paraId="74DDAACC" w14:textId="77777777" w:rsidR="00584EC1" w:rsidRDefault="00871F8D">
            <w:pPr>
              <w:jc w:val="right"/>
              <w:textAlignment w:val="bottom"/>
            </w:pPr>
            <w:r>
              <w:rPr>
                <w:rFonts w:ascii="Arial" w:eastAsia="宋体" w:hAnsi="Arial" w:cs="Arial"/>
                <w:b/>
                <w:bCs/>
                <w:color w:val="000000"/>
                <w:sz w:val="18"/>
                <w:szCs w:val="18"/>
              </w:rPr>
              <w:t>13</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4DDAAC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ACE"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AACF" w14:textId="77777777" w:rsidR="00584EC1" w:rsidRDefault="00871F8D">
            <w:pPr>
              <w:jc w:val="right"/>
              <w:textAlignment w:val="bottom"/>
            </w:pPr>
            <w:r>
              <w:rPr>
                <w:rFonts w:ascii="Arial" w:eastAsia="宋体" w:hAnsi="Arial" w:cs="Arial"/>
                <w:color w:val="000000"/>
                <w:sz w:val="18"/>
                <w:szCs w:val="18"/>
              </w:rPr>
              <w:t>4 </w:t>
            </w:r>
          </w:p>
        </w:tc>
        <w:tc>
          <w:tcPr>
            <w:tcW w:w="0" w:type="auto"/>
            <w:shd w:val="clear" w:color="auto" w:fill="CCEEFF"/>
            <w:tcMar>
              <w:top w:w="40" w:type="dxa"/>
              <w:left w:w="0" w:type="dxa"/>
              <w:bottom w:w="40" w:type="dxa"/>
              <w:right w:w="20" w:type="dxa"/>
            </w:tcMar>
            <w:vAlign w:val="bottom"/>
          </w:tcPr>
          <w:p w14:paraId="74DDAAD0" w14:textId="77777777" w:rsidR="00584EC1" w:rsidRDefault="00584EC1">
            <w:pPr>
              <w:jc w:val="right"/>
              <w:rPr>
                <w:rFonts w:ascii="宋体"/>
              </w:rPr>
            </w:pPr>
          </w:p>
        </w:tc>
        <w:tc>
          <w:tcPr>
            <w:tcW w:w="0" w:type="auto"/>
            <w:gridSpan w:val="3"/>
            <w:shd w:val="clear" w:color="auto" w:fill="auto"/>
            <w:vAlign w:val="bottom"/>
          </w:tcPr>
          <w:p w14:paraId="74DDAAD1" w14:textId="77777777" w:rsidR="00584EC1" w:rsidRDefault="00584EC1">
            <w:pPr>
              <w:rPr>
                <w:rFonts w:ascii="宋体"/>
                <w:vanish/>
              </w:rPr>
            </w:pPr>
          </w:p>
        </w:tc>
        <w:tc>
          <w:tcPr>
            <w:tcW w:w="0" w:type="auto"/>
            <w:gridSpan w:val="3"/>
            <w:shd w:val="clear" w:color="auto" w:fill="auto"/>
            <w:vAlign w:val="bottom"/>
          </w:tcPr>
          <w:p w14:paraId="74DDAAD2" w14:textId="77777777" w:rsidR="00584EC1" w:rsidRDefault="00584EC1">
            <w:pPr>
              <w:rPr>
                <w:rFonts w:ascii="宋体"/>
                <w:vanish/>
              </w:rPr>
            </w:pPr>
          </w:p>
        </w:tc>
      </w:tr>
      <w:tr w:rsidR="00584EC1" w14:paraId="74DDAADA" w14:textId="77777777">
        <w:trPr>
          <w:hidden/>
        </w:trPr>
        <w:tc>
          <w:tcPr>
            <w:tcW w:w="0" w:type="auto"/>
            <w:gridSpan w:val="3"/>
            <w:shd w:val="clear" w:color="auto" w:fill="auto"/>
            <w:vAlign w:val="bottom"/>
          </w:tcPr>
          <w:p w14:paraId="74DDAAD4" w14:textId="77777777" w:rsidR="00584EC1" w:rsidRDefault="00584EC1">
            <w:pPr>
              <w:rPr>
                <w:rFonts w:ascii="宋体"/>
                <w:vanish/>
              </w:rPr>
            </w:pPr>
          </w:p>
        </w:tc>
        <w:tc>
          <w:tcPr>
            <w:tcW w:w="0" w:type="auto"/>
            <w:gridSpan w:val="3"/>
            <w:shd w:val="clear" w:color="auto" w:fill="auto"/>
            <w:vAlign w:val="bottom"/>
          </w:tcPr>
          <w:p w14:paraId="74DDAAD5" w14:textId="77777777" w:rsidR="00584EC1" w:rsidRDefault="00584EC1">
            <w:pPr>
              <w:rPr>
                <w:rFonts w:ascii="宋体"/>
                <w:vanish/>
              </w:rPr>
            </w:pPr>
          </w:p>
        </w:tc>
        <w:tc>
          <w:tcPr>
            <w:tcW w:w="0" w:type="auto"/>
            <w:gridSpan w:val="3"/>
            <w:shd w:val="clear" w:color="auto" w:fill="auto"/>
            <w:vAlign w:val="bottom"/>
          </w:tcPr>
          <w:p w14:paraId="74DDAAD6" w14:textId="77777777" w:rsidR="00584EC1" w:rsidRDefault="00584EC1">
            <w:pPr>
              <w:rPr>
                <w:rFonts w:ascii="宋体"/>
                <w:vanish/>
              </w:rPr>
            </w:pPr>
          </w:p>
        </w:tc>
        <w:tc>
          <w:tcPr>
            <w:tcW w:w="0" w:type="auto"/>
            <w:gridSpan w:val="3"/>
            <w:shd w:val="clear" w:color="auto" w:fill="auto"/>
            <w:vAlign w:val="bottom"/>
          </w:tcPr>
          <w:p w14:paraId="74DDAAD7" w14:textId="77777777" w:rsidR="00584EC1" w:rsidRDefault="00584EC1">
            <w:pPr>
              <w:rPr>
                <w:rFonts w:ascii="宋体"/>
                <w:vanish/>
              </w:rPr>
            </w:pPr>
          </w:p>
        </w:tc>
        <w:tc>
          <w:tcPr>
            <w:tcW w:w="0" w:type="auto"/>
            <w:gridSpan w:val="3"/>
            <w:shd w:val="clear" w:color="auto" w:fill="auto"/>
            <w:vAlign w:val="bottom"/>
          </w:tcPr>
          <w:p w14:paraId="74DDAAD8" w14:textId="77777777" w:rsidR="00584EC1" w:rsidRDefault="00584EC1">
            <w:pPr>
              <w:rPr>
                <w:rFonts w:ascii="宋体"/>
                <w:vanish/>
              </w:rPr>
            </w:pPr>
          </w:p>
        </w:tc>
        <w:tc>
          <w:tcPr>
            <w:tcW w:w="0" w:type="auto"/>
            <w:gridSpan w:val="3"/>
            <w:shd w:val="clear" w:color="auto" w:fill="auto"/>
            <w:vAlign w:val="bottom"/>
          </w:tcPr>
          <w:p w14:paraId="74DDAAD9" w14:textId="77777777" w:rsidR="00584EC1" w:rsidRDefault="00584EC1">
            <w:pPr>
              <w:rPr>
                <w:rFonts w:ascii="宋体"/>
                <w:vanish/>
              </w:rPr>
            </w:pPr>
          </w:p>
        </w:tc>
      </w:tr>
      <w:tr w:rsidR="00584EC1" w14:paraId="74DDAAE3" w14:textId="77777777">
        <w:tc>
          <w:tcPr>
            <w:tcW w:w="0" w:type="auto"/>
            <w:gridSpan w:val="3"/>
            <w:shd w:val="clear" w:color="auto" w:fill="FFFFFF"/>
            <w:tcMar>
              <w:top w:w="40" w:type="dxa"/>
              <w:left w:w="20" w:type="dxa"/>
              <w:bottom w:w="40" w:type="dxa"/>
              <w:right w:w="20" w:type="dxa"/>
            </w:tcMar>
            <w:vAlign w:val="bottom"/>
          </w:tcPr>
          <w:p w14:paraId="74DDAADB" w14:textId="77777777" w:rsidR="00584EC1" w:rsidRDefault="00871F8D">
            <w:pPr>
              <w:jc w:val="both"/>
              <w:textAlignment w:val="bottom"/>
            </w:pPr>
            <w:r>
              <w:rPr>
                <w:rFonts w:ascii="Arial" w:eastAsia="宋体" w:hAnsi="Arial" w:cs="Arial"/>
                <w:color w:val="000000"/>
                <w:sz w:val="18"/>
                <w:szCs w:val="18"/>
              </w:rPr>
              <w:t>Net unrealized gains (losses) on cash flow hedges, net of related taxes of ($4) and $8, respectively</w:t>
            </w:r>
          </w:p>
        </w:tc>
        <w:tc>
          <w:tcPr>
            <w:tcW w:w="0" w:type="auto"/>
            <w:gridSpan w:val="2"/>
            <w:shd w:val="clear" w:color="auto" w:fill="FFFFFF"/>
            <w:tcMar>
              <w:top w:w="40" w:type="dxa"/>
              <w:left w:w="20" w:type="dxa"/>
              <w:bottom w:w="40" w:type="dxa"/>
              <w:right w:w="0" w:type="dxa"/>
            </w:tcMar>
            <w:vAlign w:val="bottom"/>
          </w:tcPr>
          <w:p w14:paraId="74DDAADC" w14:textId="77777777" w:rsidR="00584EC1" w:rsidRDefault="00871F8D">
            <w:pPr>
              <w:jc w:val="right"/>
              <w:textAlignment w:val="bottom"/>
            </w:pPr>
            <w:r>
              <w:rPr>
                <w:rFonts w:ascii="Arial" w:eastAsia="宋体" w:hAnsi="Arial" w:cs="Arial"/>
                <w:b/>
                <w:bCs/>
                <w:color w:val="000000"/>
                <w:sz w:val="18"/>
                <w:szCs w:val="18"/>
              </w:rPr>
              <w:t>(12)</w:t>
            </w:r>
          </w:p>
        </w:tc>
        <w:tc>
          <w:tcPr>
            <w:tcW w:w="0" w:type="auto"/>
            <w:shd w:val="clear" w:color="auto" w:fill="FFFFFF"/>
            <w:tcMar>
              <w:top w:w="40" w:type="dxa"/>
              <w:left w:w="0" w:type="dxa"/>
              <w:bottom w:w="40" w:type="dxa"/>
              <w:right w:w="20" w:type="dxa"/>
            </w:tcMar>
            <w:vAlign w:val="bottom"/>
          </w:tcPr>
          <w:p w14:paraId="74DDAAD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AD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AADF" w14:textId="77777777" w:rsidR="00584EC1" w:rsidRDefault="00871F8D">
            <w:pPr>
              <w:jc w:val="right"/>
              <w:textAlignment w:val="bottom"/>
            </w:pPr>
            <w:r>
              <w:rPr>
                <w:rFonts w:ascii="Arial" w:eastAsia="宋体" w:hAnsi="Arial" w:cs="Arial"/>
                <w:color w:val="000000"/>
                <w:sz w:val="18"/>
                <w:szCs w:val="18"/>
              </w:rPr>
              <w:t>29 </w:t>
            </w:r>
          </w:p>
        </w:tc>
        <w:tc>
          <w:tcPr>
            <w:tcW w:w="0" w:type="auto"/>
            <w:shd w:val="clear" w:color="auto" w:fill="FFFFFF"/>
            <w:tcMar>
              <w:top w:w="40" w:type="dxa"/>
              <w:left w:w="0" w:type="dxa"/>
              <w:bottom w:w="40" w:type="dxa"/>
              <w:right w:w="20" w:type="dxa"/>
            </w:tcMar>
            <w:vAlign w:val="bottom"/>
          </w:tcPr>
          <w:p w14:paraId="74DDAAE0" w14:textId="77777777" w:rsidR="00584EC1" w:rsidRDefault="00584EC1">
            <w:pPr>
              <w:jc w:val="right"/>
              <w:rPr>
                <w:rFonts w:ascii="宋体"/>
              </w:rPr>
            </w:pPr>
          </w:p>
        </w:tc>
        <w:tc>
          <w:tcPr>
            <w:tcW w:w="0" w:type="auto"/>
            <w:gridSpan w:val="3"/>
            <w:shd w:val="clear" w:color="auto" w:fill="auto"/>
            <w:vAlign w:val="bottom"/>
          </w:tcPr>
          <w:p w14:paraId="74DDAAE1" w14:textId="77777777" w:rsidR="00584EC1" w:rsidRDefault="00584EC1">
            <w:pPr>
              <w:rPr>
                <w:rFonts w:ascii="宋体"/>
                <w:vanish/>
              </w:rPr>
            </w:pPr>
          </w:p>
        </w:tc>
        <w:tc>
          <w:tcPr>
            <w:tcW w:w="0" w:type="auto"/>
            <w:gridSpan w:val="3"/>
            <w:shd w:val="clear" w:color="auto" w:fill="auto"/>
            <w:vAlign w:val="bottom"/>
          </w:tcPr>
          <w:p w14:paraId="74DDAAE2" w14:textId="77777777" w:rsidR="00584EC1" w:rsidRDefault="00584EC1">
            <w:pPr>
              <w:rPr>
                <w:rFonts w:ascii="宋体"/>
                <w:vanish/>
              </w:rPr>
            </w:pPr>
          </w:p>
        </w:tc>
      </w:tr>
      <w:tr w:rsidR="00584EC1" w14:paraId="74DDAAEC" w14:textId="77777777">
        <w:tc>
          <w:tcPr>
            <w:tcW w:w="0" w:type="auto"/>
            <w:gridSpan w:val="3"/>
            <w:shd w:val="clear" w:color="auto" w:fill="CCEEFF"/>
            <w:tcMar>
              <w:top w:w="40" w:type="dxa"/>
              <w:left w:w="20" w:type="dxa"/>
              <w:bottom w:w="40" w:type="dxa"/>
              <w:right w:w="20" w:type="dxa"/>
            </w:tcMar>
            <w:vAlign w:val="bottom"/>
          </w:tcPr>
          <w:p w14:paraId="74DDAAE4" w14:textId="77777777" w:rsidR="00584EC1" w:rsidRDefault="00871F8D">
            <w:pPr>
              <w:jc w:val="both"/>
              <w:textAlignment w:val="bottom"/>
            </w:pPr>
            <w:r>
              <w:rPr>
                <w:rFonts w:ascii="Arial" w:eastAsia="宋体" w:hAnsi="Arial" w:cs="Arial"/>
                <w:color w:val="000000"/>
                <w:sz w:val="18"/>
                <w:szCs w:val="18"/>
              </w:rPr>
              <w:t xml:space="preserve">Net unrealized gains (losses) on retirement plans, net </w:t>
            </w:r>
            <w:r>
              <w:rPr>
                <w:rFonts w:ascii="Arial" w:eastAsia="宋体" w:hAnsi="Arial" w:cs="Arial"/>
                <w:color w:val="000000"/>
                <w:sz w:val="18"/>
                <w:szCs w:val="18"/>
              </w:rPr>
              <w:t>of related taxes of $1 and zero, respectively</w:t>
            </w:r>
          </w:p>
        </w:tc>
        <w:tc>
          <w:tcPr>
            <w:tcW w:w="0" w:type="auto"/>
            <w:gridSpan w:val="2"/>
            <w:shd w:val="clear" w:color="auto" w:fill="CCEEFF"/>
            <w:tcMar>
              <w:top w:w="40" w:type="dxa"/>
              <w:left w:w="20" w:type="dxa"/>
              <w:bottom w:w="40" w:type="dxa"/>
              <w:right w:w="0" w:type="dxa"/>
            </w:tcMar>
            <w:vAlign w:val="bottom"/>
          </w:tcPr>
          <w:p w14:paraId="74DDAAE5" w14:textId="77777777" w:rsidR="00584EC1" w:rsidRDefault="00871F8D">
            <w:pPr>
              <w:jc w:val="right"/>
              <w:textAlignment w:val="bottom"/>
            </w:pPr>
            <w:r>
              <w:rPr>
                <w:rFonts w:ascii="Arial" w:eastAsia="宋体" w:hAnsi="Arial" w:cs="Arial"/>
                <w:b/>
                <w:bCs/>
                <w:color w:val="000000"/>
                <w:sz w:val="18"/>
                <w:szCs w:val="18"/>
              </w:rPr>
              <w:t>2</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4DDAAE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AE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AAE8" w14:textId="77777777" w:rsidR="00584EC1" w:rsidRDefault="00871F8D">
            <w:pPr>
              <w:jc w:val="right"/>
              <w:textAlignment w:val="bottom"/>
            </w:pPr>
            <w:r>
              <w:rPr>
                <w:rFonts w:ascii="Arial" w:eastAsia="宋体" w:hAnsi="Arial" w:cs="Arial"/>
                <w:color w:val="000000"/>
                <w:sz w:val="18"/>
                <w:szCs w:val="18"/>
              </w:rPr>
              <w:t>1 </w:t>
            </w:r>
          </w:p>
        </w:tc>
        <w:tc>
          <w:tcPr>
            <w:tcW w:w="0" w:type="auto"/>
            <w:shd w:val="clear" w:color="auto" w:fill="CCEEFF"/>
            <w:tcMar>
              <w:top w:w="40" w:type="dxa"/>
              <w:left w:w="0" w:type="dxa"/>
              <w:bottom w:w="40" w:type="dxa"/>
              <w:right w:w="20" w:type="dxa"/>
            </w:tcMar>
            <w:vAlign w:val="bottom"/>
          </w:tcPr>
          <w:p w14:paraId="74DDAAE9" w14:textId="77777777" w:rsidR="00584EC1" w:rsidRDefault="00584EC1">
            <w:pPr>
              <w:jc w:val="right"/>
              <w:rPr>
                <w:rFonts w:ascii="宋体"/>
              </w:rPr>
            </w:pPr>
          </w:p>
        </w:tc>
        <w:tc>
          <w:tcPr>
            <w:tcW w:w="0" w:type="auto"/>
            <w:gridSpan w:val="3"/>
            <w:shd w:val="clear" w:color="auto" w:fill="auto"/>
            <w:vAlign w:val="bottom"/>
          </w:tcPr>
          <w:p w14:paraId="74DDAAEA" w14:textId="77777777" w:rsidR="00584EC1" w:rsidRDefault="00584EC1">
            <w:pPr>
              <w:rPr>
                <w:rFonts w:ascii="宋体"/>
                <w:vanish/>
              </w:rPr>
            </w:pPr>
          </w:p>
        </w:tc>
        <w:tc>
          <w:tcPr>
            <w:tcW w:w="0" w:type="auto"/>
            <w:gridSpan w:val="3"/>
            <w:shd w:val="clear" w:color="auto" w:fill="auto"/>
            <w:vAlign w:val="bottom"/>
          </w:tcPr>
          <w:p w14:paraId="74DDAAEB" w14:textId="77777777" w:rsidR="00584EC1" w:rsidRDefault="00584EC1">
            <w:pPr>
              <w:rPr>
                <w:rFonts w:ascii="宋体"/>
                <w:vanish/>
              </w:rPr>
            </w:pPr>
          </w:p>
        </w:tc>
      </w:tr>
      <w:tr w:rsidR="00584EC1" w14:paraId="74DDAAF5" w14:textId="77777777">
        <w:tc>
          <w:tcPr>
            <w:tcW w:w="0" w:type="auto"/>
            <w:gridSpan w:val="3"/>
            <w:shd w:val="clear" w:color="auto" w:fill="FFFFFF"/>
            <w:tcMar>
              <w:top w:w="40" w:type="dxa"/>
              <w:left w:w="20" w:type="dxa"/>
              <w:bottom w:w="40" w:type="dxa"/>
              <w:right w:w="20" w:type="dxa"/>
            </w:tcMar>
            <w:vAlign w:val="bottom"/>
          </w:tcPr>
          <w:p w14:paraId="74DDAAED" w14:textId="77777777" w:rsidR="00584EC1" w:rsidRDefault="00871F8D">
            <w:pPr>
              <w:textAlignment w:val="bottom"/>
            </w:pPr>
            <w:r>
              <w:rPr>
                <w:rFonts w:ascii="Arial" w:eastAsia="宋体" w:hAnsi="Arial" w:cs="Arial"/>
                <w:b/>
                <w:bCs/>
                <w:color w:val="000000"/>
                <w:sz w:val="18"/>
                <w:szCs w:val="18"/>
              </w:rPr>
              <w:t>Other comprehensive income (loss)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AAEE" w14:textId="77777777" w:rsidR="00584EC1" w:rsidRDefault="00871F8D">
            <w:pPr>
              <w:jc w:val="right"/>
              <w:textAlignment w:val="bottom"/>
            </w:pPr>
            <w:r>
              <w:rPr>
                <w:rFonts w:ascii="Arial" w:eastAsia="宋体" w:hAnsi="Arial" w:cs="Arial"/>
                <w:b/>
                <w:bCs/>
                <w:color w:val="000000"/>
                <w:sz w:val="18"/>
                <w:szCs w:val="18"/>
              </w:rPr>
              <w:t>(260)</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AAE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AF0"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AAF1" w14:textId="77777777" w:rsidR="00584EC1" w:rsidRDefault="00871F8D">
            <w:pPr>
              <w:jc w:val="right"/>
              <w:textAlignment w:val="bottom"/>
            </w:pPr>
            <w:r>
              <w:rPr>
                <w:rFonts w:ascii="Arial" w:eastAsia="宋体" w:hAnsi="Arial" w:cs="Arial"/>
                <w:color w:val="000000"/>
                <w:sz w:val="18"/>
                <w:szCs w:val="18"/>
              </w:rPr>
              <w:t>319 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AAF2" w14:textId="77777777" w:rsidR="00584EC1" w:rsidRDefault="00584EC1">
            <w:pPr>
              <w:jc w:val="right"/>
              <w:rPr>
                <w:rFonts w:ascii="宋体"/>
              </w:rPr>
            </w:pPr>
          </w:p>
        </w:tc>
        <w:tc>
          <w:tcPr>
            <w:tcW w:w="0" w:type="auto"/>
            <w:gridSpan w:val="3"/>
            <w:shd w:val="clear" w:color="auto" w:fill="auto"/>
            <w:vAlign w:val="bottom"/>
          </w:tcPr>
          <w:p w14:paraId="74DDAAF3" w14:textId="77777777" w:rsidR="00584EC1" w:rsidRDefault="00584EC1">
            <w:pPr>
              <w:rPr>
                <w:rFonts w:ascii="宋体"/>
                <w:vanish/>
              </w:rPr>
            </w:pPr>
          </w:p>
        </w:tc>
        <w:tc>
          <w:tcPr>
            <w:tcW w:w="0" w:type="auto"/>
            <w:gridSpan w:val="3"/>
            <w:shd w:val="clear" w:color="auto" w:fill="auto"/>
            <w:vAlign w:val="bottom"/>
          </w:tcPr>
          <w:p w14:paraId="74DDAAF4" w14:textId="77777777" w:rsidR="00584EC1" w:rsidRDefault="00584EC1">
            <w:pPr>
              <w:rPr>
                <w:rFonts w:ascii="宋体"/>
                <w:vanish/>
              </w:rPr>
            </w:pPr>
          </w:p>
        </w:tc>
      </w:tr>
      <w:tr w:rsidR="00584EC1" w14:paraId="74DDAB00" w14:textId="77777777">
        <w:tc>
          <w:tcPr>
            <w:tcW w:w="0" w:type="auto"/>
            <w:gridSpan w:val="3"/>
            <w:shd w:val="clear" w:color="auto" w:fill="CCEEFF"/>
            <w:tcMar>
              <w:top w:w="40" w:type="dxa"/>
              <w:left w:w="20" w:type="dxa"/>
              <w:bottom w:w="40" w:type="dxa"/>
              <w:right w:w="20" w:type="dxa"/>
            </w:tcMar>
            <w:vAlign w:val="bottom"/>
          </w:tcPr>
          <w:p w14:paraId="74DDAAF6" w14:textId="77777777" w:rsidR="00584EC1" w:rsidRDefault="00871F8D">
            <w:pPr>
              <w:textAlignment w:val="bottom"/>
            </w:pPr>
            <w:r>
              <w:rPr>
                <w:rFonts w:ascii="Arial" w:eastAsia="宋体" w:hAnsi="Arial" w:cs="Arial"/>
                <w:b/>
                <w:bCs/>
                <w:color w:val="000000"/>
                <w:sz w:val="18"/>
                <w:szCs w:val="18"/>
              </w:rPr>
              <w:t>Total comprehensive income</w:t>
            </w:r>
          </w:p>
        </w:tc>
        <w:tc>
          <w:tcPr>
            <w:tcW w:w="0" w:type="auto"/>
            <w:tcBorders>
              <w:top w:val="single" w:sz="8" w:space="0" w:color="000000"/>
            </w:tcBorders>
            <w:shd w:val="clear" w:color="auto" w:fill="CCEEFF"/>
            <w:tcMar>
              <w:top w:w="40" w:type="dxa"/>
              <w:left w:w="20" w:type="dxa"/>
              <w:bottom w:w="40" w:type="dxa"/>
              <w:right w:w="0" w:type="dxa"/>
            </w:tcMar>
            <w:vAlign w:val="bottom"/>
          </w:tcPr>
          <w:p w14:paraId="74DDAAF7" w14:textId="77777777" w:rsidR="00584EC1" w:rsidRDefault="00871F8D">
            <w:pPr>
              <w:textAlignment w:val="bottom"/>
            </w:pPr>
            <w:r>
              <w:rPr>
                <w:rFonts w:ascii="Arial" w:eastAsia="宋体" w:hAnsi="Arial" w:cs="Arial"/>
                <w:b/>
                <w:bCs/>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AAF8" w14:textId="77777777" w:rsidR="00584EC1" w:rsidRDefault="00871F8D">
            <w:pPr>
              <w:jc w:val="right"/>
              <w:textAlignment w:val="bottom"/>
            </w:pPr>
            <w:r>
              <w:rPr>
                <w:rFonts w:ascii="Arial" w:eastAsia="宋体" w:hAnsi="Arial" w:cs="Arial"/>
                <w:b/>
                <w:bCs/>
                <w:color w:val="000000"/>
                <w:sz w:val="18"/>
                <w:szCs w:val="18"/>
              </w:rPr>
              <w:t>454</w:t>
            </w:r>
            <w:r>
              <w:rPr>
                <w:rFonts w:ascii="Arial" w:eastAsia="宋体" w:hAnsi="Arial" w:cs="Arial"/>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AAF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AFA"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AAFB" w14:textId="77777777" w:rsidR="00584EC1" w:rsidRDefault="00871F8D">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AAFC" w14:textId="77777777" w:rsidR="00584EC1" w:rsidRDefault="00871F8D">
            <w:pPr>
              <w:jc w:val="right"/>
              <w:textAlignment w:val="bottom"/>
            </w:pPr>
            <w:r>
              <w:rPr>
                <w:rFonts w:ascii="Arial" w:eastAsia="宋体" w:hAnsi="Arial" w:cs="Arial"/>
                <w:color w:val="000000"/>
                <w:sz w:val="18"/>
                <w:szCs w:val="18"/>
              </w:rPr>
              <w:t>874 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AAFD" w14:textId="77777777" w:rsidR="00584EC1" w:rsidRDefault="00584EC1">
            <w:pPr>
              <w:jc w:val="right"/>
              <w:rPr>
                <w:rFonts w:ascii="宋体"/>
              </w:rPr>
            </w:pPr>
          </w:p>
        </w:tc>
        <w:tc>
          <w:tcPr>
            <w:tcW w:w="0" w:type="auto"/>
            <w:gridSpan w:val="3"/>
            <w:shd w:val="clear" w:color="auto" w:fill="auto"/>
            <w:vAlign w:val="bottom"/>
          </w:tcPr>
          <w:p w14:paraId="74DDAAFE" w14:textId="77777777" w:rsidR="00584EC1" w:rsidRDefault="00584EC1">
            <w:pPr>
              <w:rPr>
                <w:rFonts w:ascii="宋体"/>
                <w:vanish/>
              </w:rPr>
            </w:pPr>
          </w:p>
        </w:tc>
        <w:tc>
          <w:tcPr>
            <w:tcW w:w="0" w:type="auto"/>
            <w:gridSpan w:val="3"/>
            <w:shd w:val="clear" w:color="auto" w:fill="auto"/>
            <w:vAlign w:val="bottom"/>
          </w:tcPr>
          <w:p w14:paraId="74DDAAFF" w14:textId="77777777" w:rsidR="00584EC1" w:rsidRDefault="00584EC1">
            <w:pPr>
              <w:rPr>
                <w:rFonts w:ascii="宋体"/>
                <w:vanish/>
              </w:rPr>
            </w:pPr>
          </w:p>
        </w:tc>
      </w:tr>
      <w:tr w:rsidR="00584EC1" w14:paraId="74DDAB07" w14:textId="77777777">
        <w:trPr>
          <w:trHeight w:val="300"/>
        </w:trPr>
        <w:tc>
          <w:tcPr>
            <w:tcW w:w="0" w:type="auto"/>
            <w:gridSpan w:val="3"/>
            <w:shd w:val="clear" w:color="auto" w:fill="auto"/>
            <w:tcMar>
              <w:top w:w="0" w:type="dxa"/>
              <w:left w:w="20" w:type="dxa"/>
              <w:bottom w:w="0" w:type="dxa"/>
              <w:right w:w="20" w:type="dxa"/>
            </w:tcMar>
            <w:vAlign w:val="bottom"/>
          </w:tcPr>
          <w:p w14:paraId="74DDAB01"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DAB0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AB03"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DAB04" w14:textId="77777777" w:rsidR="00584EC1" w:rsidRDefault="00584EC1">
            <w:pPr>
              <w:rPr>
                <w:rFonts w:ascii="宋体"/>
              </w:rPr>
            </w:pPr>
          </w:p>
        </w:tc>
        <w:tc>
          <w:tcPr>
            <w:tcW w:w="0" w:type="auto"/>
            <w:gridSpan w:val="3"/>
            <w:shd w:val="clear" w:color="auto" w:fill="auto"/>
            <w:vAlign w:val="bottom"/>
          </w:tcPr>
          <w:p w14:paraId="74DDAB05" w14:textId="77777777" w:rsidR="00584EC1" w:rsidRDefault="00584EC1">
            <w:pPr>
              <w:rPr>
                <w:rFonts w:ascii="宋体"/>
                <w:vanish/>
              </w:rPr>
            </w:pPr>
          </w:p>
        </w:tc>
        <w:tc>
          <w:tcPr>
            <w:tcW w:w="0" w:type="auto"/>
            <w:gridSpan w:val="3"/>
            <w:shd w:val="clear" w:color="auto" w:fill="auto"/>
            <w:vAlign w:val="bottom"/>
          </w:tcPr>
          <w:p w14:paraId="74DDAB06" w14:textId="77777777" w:rsidR="00584EC1" w:rsidRDefault="00584EC1">
            <w:pPr>
              <w:rPr>
                <w:rFonts w:ascii="宋体"/>
                <w:vanish/>
              </w:rPr>
            </w:pPr>
          </w:p>
        </w:tc>
      </w:tr>
      <w:tr w:rsidR="00584EC1" w14:paraId="74DDAB10" w14:textId="77777777">
        <w:tc>
          <w:tcPr>
            <w:tcW w:w="0" w:type="auto"/>
            <w:gridSpan w:val="3"/>
            <w:shd w:val="clear" w:color="auto" w:fill="auto"/>
            <w:tcMar>
              <w:top w:w="0" w:type="dxa"/>
              <w:left w:w="20" w:type="dxa"/>
              <w:bottom w:w="0" w:type="dxa"/>
              <w:right w:w="20" w:type="dxa"/>
            </w:tcMar>
            <w:vAlign w:val="bottom"/>
          </w:tcPr>
          <w:p w14:paraId="74DDAB08" w14:textId="77777777" w:rsidR="00584EC1" w:rsidRDefault="00584EC1">
            <w:pPr>
              <w:rPr>
                <w:rFonts w:ascii="宋体"/>
              </w:rPr>
            </w:pPr>
          </w:p>
        </w:tc>
        <w:tc>
          <w:tcPr>
            <w:tcW w:w="0" w:type="auto"/>
            <w:gridSpan w:val="9"/>
            <w:shd w:val="clear" w:color="auto" w:fill="auto"/>
            <w:tcMar>
              <w:top w:w="40" w:type="dxa"/>
              <w:left w:w="20" w:type="dxa"/>
              <w:bottom w:w="40" w:type="dxa"/>
              <w:right w:w="20" w:type="dxa"/>
            </w:tcMar>
            <w:vAlign w:val="bottom"/>
          </w:tcPr>
          <w:p w14:paraId="74DDAB09" w14:textId="77777777" w:rsidR="00584EC1" w:rsidRDefault="00871F8D">
            <w:pPr>
              <w:jc w:val="center"/>
              <w:textAlignment w:val="bottom"/>
            </w:pPr>
            <w:r>
              <w:rPr>
                <w:rFonts w:ascii="Arial" w:eastAsia="宋体" w:hAnsi="Arial" w:cs="Arial"/>
                <w:b/>
                <w:bCs/>
                <w:color w:val="000000"/>
                <w:sz w:val="18"/>
                <w:szCs w:val="18"/>
              </w:rPr>
              <w:t>Nine Months Ended September 30,</w:t>
            </w:r>
          </w:p>
        </w:tc>
        <w:tc>
          <w:tcPr>
            <w:tcW w:w="0" w:type="auto"/>
            <w:shd w:val="clear" w:color="auto" w:fill="auto"/>
            <w:vAlign w:val="bottom"/>
          </w:tcPr>
          <w:p w14:paraId="74DDAB0A" w14:textId="77777777" w:rsidR="00584EC1" w:rsidRDefault="00584EC1">
            <w:pPr>
              <w:rPr>
                <w:rFonts w:ascii="宋体"/>
              </w:rPr>
            </w:pPr>
          </w:p>
        </w:tc>
        <w:tc>
          <w:tcPr>
            <w:tcW w:w="0" w:type="auto"/>
            <w:shd w:val="clear" w:color="auto" w:fill="auto"/>
            <w:vAlign w:val="bottom"/>
          </w:tcPr>
          <w:p w14:paraId="74DDAB0B" w14:textId="77777777" w:rsidR="00584EC1" w:rsidRDefault="00584EC1">
            <w:pPr>
              <w:rPr>
                <w:rFonts w:ascii="宋体"/>
              </w:rPr>
            </w:pPr>
          </w:p>
        </w:tc>
        <w:tc>
          <w:tcPr>
            <w:tcW w:w="0" w:type="auto"/>
            <w:shd w:val="clear" w:color="auto" w:fill="auto"/>
            <w:vAlign w:val="bottom"/>
          </w:tcPr>
          <w:p w14:paraId="74DDAB0C" w14:textId="77777777" w:rsidR="00584EC1" w:rsidRDefault="00584EC1">
            <w:pPr>
              <w:rPr>
                <w:rFonts w:ascii="宋体"/>
              </w:rPr>
            </w:pPr>
          </w:p>
        </w:tc>
        <w:tc>
          <w:tcPr>
            <w:tcW w:w="0" w:type="auto"/>
            <w:shd w:val="clear" w:color="auto" w:fill="auto"/>
            <w:vAlign w:val="bottom"/>
          </w:tcPr>
          <w:p w14:paraId="74DDAB0D" w14:textId="77777777" w:rsidR="00584EC1" w:rsidRDefault="00584EC1">
            <w:pPr>
              <w:rPr>
                <w:rFonts w:ascii="宋体"/>
              </w:rPr>
            </w:pPr>
          </w:p>
        </w:tc>
        <w:tc>
          <w:tcPr>
            <w:tcW w:w="0" w:type="auto"/>
            <w:shd w:val="clear" w:color="auto" w:fill="auto"/>
            <w:vAlign w:val="bottom"/>
          </w:tcPr>
          <w:p w14:paraId="74DDAB0E" w14:textId="77777777" w:rsidR="00584EC1" w:rsidRDefault="00584EC1">
            <w:pPr>
              <w:rPr>
                <w:rFonts w:ascii="宋体"/>
              </w:rPr>
            </w:pPr>
          </w:p>
        </w:tc>
        <w:tc>
          <w:tcPr>
            <w:tcW w:w="0" w:type="auto"/>
            <w:shd w:val="clear" w:color="auto" w:fill="auto"/>
            <w:vAlign w:val="bottom"/>
          </w:tcPr>
          <w:p w14:paraId="74DDAB0F" w14:textId="77777777" w:rsidR="00584EC1" w:rsidRDefault="00584EC1">
            <w:pPr>
              <w:rPr>
                <w:rFonts w:ascii="宋体"/>
              </w:rPr>
            </w:pPr>
          </w:p>
        </w:tc>
      </w:tr>
      <w:tr w:rsidR="00584EC1" w14:paraId="74DDAB17" w14:textId="77777777">
        <w:tc>
          <w:tcPr>
            <w:tcW w:w="0" w:type="auto"/>
            <w:gridSpan w:val="3"/>
            <w:shd w:val="clear" w:color="auto" w:fill="auto"/>
            <w:tcMar>
              <w:top w:w="40" w:type="dxa"/>
              <w:left w:w="20" w:type="dxa"/>
              <w:bottom w:w="40" w:type="dxa"/>
              <w:right w:w="20" w:type="dxa"/>
            </w:tcMar>
            <w:vAlign w:val="bottom"/>
          </w:tcPr>
          <w:p w14:paraId="74DDAB11" w14:textId="77777777" w:rsidR="00584EC1" w:rsidRDefault="00871F8D">
            <w:pPr>
              <w:textAlignment w:val="bottom"/>
            </w:pPr>
            <w:r>
              <w:rPr>
                <w:rFonts w:ascii="Arial" w:eastAsia="宋体" w:hAnsi="Arial" w:cs="Arial"/>
                <w:b/>
                <w:bCs/>
                <w:color w:val="000000"/>
                <w:sz w:val="18"/>
                <w:szCs w:val="18"/>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AB12" w14:textId="77777777" w:rsidR="00584EC1" w:rsidRDefault="00871F8D">
            <w:pPr>
              <w:jc w:val="center"/>
              <w:textAlignment w:val="bottom"/>
            </w:pPr>
            <w:r>
              <w:rPr>
                <w:rFonts w:ascii="Arial" w:eastAsia="宋体" w:hAnsi="Arial" w:cs="Arial"/>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AB13"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AB14" w14:textId="77777777" w:rsidR="00584EC1" w:rsidRDefault="00871F8D">
            <w:pPr>
              <w:jc w:val="center"/>
              <w:textAlignment w:val="bottom"/>
            </w:pPr>
            <w:r>
              <w:rPr>
                <w:rFonts w:ascii="Arial" w:eastAsia="宋体" w:hAnsi="Arial" w:cs="Arial"/>
                <w:b/>
                <w:bCs/>
                <w:color w:val="000000"/>
                <w:sz w:val="16"/>
                <w:szCs w:val="16"/>
              </w:rPr>
              <w:t>2020</w:t>
            </w:r>
          </w:p>
        </w:tc>
        <w:tc>
          <w:tcPr>
            <w:tcW w:w="0" w:type="auto"/>
            <w:gridSpan w:val="3"/>
            <w:shd w:val="clear" w:color="auto" w:fill="auto"/>
            <w:vAlign w:val="bottom"/>
          </w:tcPr>
          <w:p w14:paraId="74DDAB15" w14:textId="77777777" w:rsidR="00584EC1" w:rsidRDefault="00584EC1">
            <w:pPr>
              <w:rPr>
                <w:rFonts w:ascii="宋体"/>
                <w:vanish/>
              </w:rPr>
            </w:pPr>
          </w:p>
        </w:tc>
        <w:tc>
          <w:tcPr>
            <w:tcW w:w="0" w:type="auto"/>
            <w:gridSpan w:val="3"/>
            <w:shd w:val="clear" w:color="auto" w:fill="auto"/>
            <w:vAlign w:val="bottom"/>
          </w:tcPr>
          <w:p w14:paraId="74DDAB16" w14:textId="77777777" w:rsidR="00584EC1" w:rsidRDefault="00584EC1">
            <w:pPr>
              <w:rPr>
                <w:rFonts w:ascii="宋体"/>
                <w:vanish/>
              </w:rPr>
            </w:pPr>
          </w:p>
        </w:tc>
      </w:tr>
      <w:tr w:rsidR="00584EC1" w14:paraId="74DDAB22" w14:textId="77777777">
        <w:tc>
          <w:tcPr>
            <w:tcW w:w="0" w:type="auto"/>
            <w:gridSpan w:val="3"/>
            <w:shd w:val="clear" w:color="auto" w:fill="CCEEFF"/>
            <w:tcMar>
              <w:top w:w="40" w:type="dxa"/>
              <w:left w:w="20" w:type="dxa"/>
              <w:bottom w:w="40" w:type="dxa"/>
              <w:right w:w="20" w:type="dxa"/>
            </w:tcMar>
            <w:vAlign w:val="bottom"/>
          </w:tcPr>
          <w:p w14:paraId="74DDAB18" w14:textId="77777777" w:rsidR="00584EC1" w:rsidRDefault="00871F8D">
            <w:pPr>
              <w:textAlignment w:val="bottom"/>
            </w:pPr>
            <w:r>
              <w:rPr>
                <w:rFonts w:ascii="Arial" w:eastAsia="宋体" w:hAnsi="Arial" w:cs="Arial"/>
                <w:b/>
                <w:bCs/>
                <w:color w:val="000000"/>
                <w:sz w:val="18"/>
                <w:szCs w:val="18"/>
              </w:rPr>
              <w:t>Net income</w:t>
            </w:r>
          </w:p>
        </w:tc>
        <w:tc>
          <w:tcPr>
            <w:tcW w:w="0" w:type="auto"/>
            <w:tcBorders>
              <w:top w:val="single" w:sz="8" w:space="0" w:color="000000"/>
            </w:tcBorders>
            <w:shd w:val="clear" w:color="auto" w:fill="CCEEFF"/>
            <w:tcMar>
              <w:top w:w="40" w:type="dxa"/>
              <w:left w:w="20" w:type="dxa"/>
              <w:bottom w:w="40" w:type="dxa"/>
              <w:right w:w="0" w:type="dxa"/>
            </w:tcMar>
            <w:vAlign w:val="bottom"/>
          </w:tcPr>
          <w:p w14:paraId="74DDAB19" w14:textId="77777777" w:rsidR="00584EC1" w:rsidRDefault="00871F8D">
            <w:pPr>
              <w:textAlignment w:val="bottom"/>
            </w:pPr>
            <w:r>
              <w:rPr>
                <w:rFonts w:ascii="Arial" w:eastAsia="宋体" w:hAnsi="Arial" w:cs="Arial"/>
                <w:b/>
                <w:bCs/>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AB1A" w14:textId="77777777" w:rsidR="00584EC1" w:rsidRDefault="00871F8D">
            <w:pPr>
              <w:jc w:val="right"/>
              <w:textAlignment w:val="bottom"/>
            </w:pPr>
            <w:r>
              <w:rPr>
                <w:rFonts w:ascii="Arial" w:eastAsia="宋体" w:hAnsi="Arial" w:cs="Arial"/>
                <w:b/>
                <w:bCs/>
                <w:color w:val="000000"/>
                <w:sz w:val="18"/>
                <w:szCs w:val="18"/>
              </w:rPr>
              <w:t>1,996</w:t>
            </w:r>
            <w:r>
              <w:rPr>
                <w:rFonts w:ascii="Arial" w:eastAsia="宋体" w:hAnsi="Arial" w:cs="Arial"/>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AB1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B1C"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AB1D" w14:textId="77777777" w:rsidR="00584EC1" w:rsidRDefault="00871F8D">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AB1E" w14:textId="77777777" w:rsidR="00584EC1" w:rsidRDefault="00871F8D">
            <w:pPr>
              <w:jc w:val="right"/>
              <w:textAlignment w:val="bottom"/>
            </w:pPr>
            <w:r>
              <w:rPr>
                <w:rFonts w:ascii="Arial" w:eastAsia="宋体" w:hAnsi="Arial" w:cs="Arial"/>
                <w:color w:val="000000"/>
                <w:sz w:val="18"/>
                <w:szCs w:val="18"/>
              </w:rPr>
              <w:t>1,883 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AB1F" w14:textId="77777777" w:rsidR="00584EC1" w:rsidRDefault="00584EC1">
            <w:pPr>
              <w:jc w:val="right"/>
              <w:rPr>
                <w:rFonts w:ascii="宋体"/>
              </w:rPr>
            </w:pPr>
          </w:p>
        </w:tc>
        <w:tc>
          <w:tcPr>
            <w:tcW w:w="0" w:type="auto"/>
            <w:gridSpan w:val="3"/>
            <w:shd w:val="clear" w:color="auto" w:fill="auto"/>
            <w:vAlign w:val="bottom"/>
          </w:tcPr>
          <w:p w14:paraId="74DDAB20" w14:textId="77777777" w:rsidR="00584EC1" w:rsidRDefault="00584EC1">
            <w:pPr>
              <w:rPr>
                <w:rFonts w:ascii="宋体"/>
                <w:vanish/>
              </w:rPr>
            </w:pPr>
          </w:p>
        </w:tc>
        <w:tc>
          <w:tcPr>
            <w:tcW w:w="0" w:type="auto"/>
            <w:gridSpan w:val="3"/>
            <w:shd w:val="clear" w:color="auto" w:fill="auto"/>
            <w:vAlign w:val="bottom"/>
          </w:tcPr>
          <w:p w14:paraId="74DDAB21" w14:textId="77777777" w:rsidR="00584EC1" w:rsidRDefault="00584EC1">
            <w:pPr>
              <w:rPr>
                <w:rFonts w:ascii="宋体"/>
                <w:vanish/>
              </w:rPr>
            </w:pPr>
          </w:p>
        </w:tc>
      </w:tr>
      <w:tr w:rsidR="00584EC1" w14:paraId="74DDAB29" w14:textId="77777777">
        <w:tc>
          <w:tcPr>
            <w:tcW w:w="0" w:type="auto"/>
            <w:gridSpan w:val="3"/>
            <w:shd w:val="clear" w:color="auto" w:fill="FFFFFF"/>
            <w:tcMar>
              <w:top w:w="40" w:type="dxa"/>
              <w:left w:w="20" w:type="dxa"/>
              <w:bottom w:w="40" w:type="dxa"/>
              <w:right w:w="20" w:type="dxa"/>
            </w:tcMar>
            <w:vAlign w:val="bottom"/>
          </w:tcPr>
          <w:p w14:paraId="74DDAB23" w14:textId="77777777" w:rsidR="00584EC1" w:rsidRDefault="00871F8D">
            <w:pPr>
              <w:textAlignment w:val="bottom"/>
            </w:pPr>
            <w:r>
              <w:rPr>
                <w:rFonts w:ascii="Arial" w:eastAsia="宋体" w:hAnsi="Arial" w:cs="Arial"/>
                <w:b/>
                <w:bCs/>
                <w:color w:val="000000"/>
                <w:sz w:val="18"/>
                <w:szCs w:val="18"/>
              </w:rPr>
              <w:t>Other comprehensive income (loss), net of related taxes:</w:t>
            </w:r>
          </w:p>
        </w:tc>
        <w:tc>
          <w:tcPr>
            <w:tcW w:w="0" w:type="auto"/>
            <w:gridSpan w:val="3"/>
            <w:shd w:val="clear" w:color="auto" w:fill="FFFFFF"/>
            <w:tcMar>
              <w:top w:w="0" w:type="dxa"/>
              <w:left w:w="20" w:type="dxa"/>
              <w:bottom w:w="0" w:type="dxa"/>
              <w:right w:w="20" w:type="dxa"/>
            </w:tcMar>
            <w:vAlign w:val="bottom"/>
          </w:tcPr>
          <w:p w14:paraId="74DDAB24"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AB25"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AB26" w14:textId="77777777" w:rsidR="00584EC1" w:rsidRDefault="00584EC1">
            <w:pPr>
              <w:rPr>
                <w:rFonts w:ascii="宋体"/>
              </w:rPr>
            </w:pPr>
          </w:p>
        </w:tc>
        <w:tc>
          <w:tcPr>
            <w:tcW w:w="0" w:type="auto"/>
            <w:gridSpan w:val="3"/>
            <w:shd w:val="clear" w:color="auto" w:fill="auto"/>
            <w:vAlign w:val="bottom"/>
          </w:tcPr>
          <w:p w14:paraId="74DDAB27" w14:textId="77777777" w:rsidR="00584EC1" w:rsidRDefault="00584EC1">
            <w:pPr>
              <w:rPr>
                <w:rFonts w:ascii="宋体"/>
                <w:vanish/>
              </w:rPr>
            </w:pPr>
          </w:p>
        </w:tc>
        <w:tc>
          <w:tcPr>
            <w:tcW w:w="0" w:type="auto"/>
            <w:gridSpan w:val="3"/>
            <w:shd w:val="clear" w:color="auto" w:fill="auto"/>
            <w:vAlign w:val="bottom"/>
          </w:tcPr>
          <w:p w14:paraId="74DDAB28" w14:textId="77777777" w:rsidR="00584EC1" w:rsidRDefault="00584EC1">
            <w:pPr>
              <w:rPr>
                <w:rFonts w:ascii="宋体"/>
                <w:vanish/>
              </w:rPr>
            </w:pPr>
          </w:p>
        </w:tc>
      </w:tr>
      <w:tr w:rsidR="00584EC1" w14:paraId="74DDAB32" w14:textId="77777777">
        <w:tc>
          <w:tcPr>
            <w:tcW w:w="0" w:type="auto"/>
            <w:gridSpan w:val="3"/>
            <w:shd w:val="clear" w:color="auto" w:fill="CCEEFF"/>
            <w:tcMar>
              <w:top w:w="40" w:type="dxa"/>
              <w:left w:w="20" w:type="dxa"/>
              <w:bottom w:w="40" w:type="dxa"/>
              <w:right w:w="20" w:type="dxa"/>
            </w:tcMar>
            <w:vAlign w:val="bottom"/>
          </w:tcPr>
          <w:p w14:paraId="74DDAB2A" w14:textId="77777777" w:rsidR="00584EC1" w:rsidRDefault="00871F8D">
            <w:pPr>
              <w:jc w:val="both"/>
              <w:textAlignment w:val="bottom"/>
            </w:pPr>
            <w:r>
              <w:rPr>
                <w:rFonts w:ascii="Arial" w:eastAsia="宋体" w:hAnsi="Arial" w:cs="Arial"/>
                <w:color w:val="000000"/>
                <w:sz w:val="18"/>
                <w:szCs w:val="18"/>
              </w:rPr>
              <w:t>Foreign currency translation, net of related taxes of $63 and ($20), respectively</w:t>
            </w:r>
          </w:p>
        </w:tc>
        <w:tc>
          <w:tcPr>
            <w:tcW w:w="0" w:type="auto"/>
            <w:gridSpan w:val="2"/>
            <w:shd w:val="clear" w:color="auto" w:fill="CCEEFF"/>
            <w:tcMar>
              <w:top w:w="40" w:type="dxa"/>
              <w:left w:w="20" w:type="dxa"/>
              <w:bottom w:w="40" w:type="dxa"/>
              <w:right w:w="0" w:type="dxa"/>
            </w:tcMar>
            <w:vAlign w:val="bottom"/>
          </w:tcPr>
          <w:p w14:paraId="74DDAB2B" w14:textId="77777777" w:rsidR="00584EC1" w:rsidRDefault="00871F8D">
            <w:pPr>
              <w:jc w:val="right"/>
              <w:textAlignment w:val="bottom"/>
            </w:pPr>
            <w:r>
              <w:rPr>
                <w:rFonts w:ascii="Arial" w:eastAsia="宋体" w:hAnsi="Arial" w:cs="Arial"/>
                <w:b/>
                <w:bCs/>
                <w:color w:val="000000"/>
                <w:sz w:val="18"/>
                <w:szCs w:val="18"/>
              </w:rPr>
              <w:t>(307)</w:t>
            </w:r>
          </w:p>
        </w:tc>
        <w:tc>
          <w:tcPr>
            <w:tcW w:w="0" w:type="auto"/>
            <w:shd w:val="clear" w:color="auto" w:fill="CCEEFF"/>
            <w:tcMar>
              <w:top w:w="40" w:type="dxa"/>
              <w:left w:w="0" w:type="dxa"/>
              <w:bottom w:w="40" w:type="dxa"/>
              <w:right w:w="20" w:type="dxa"/>
            </w:tcMar>
            <w:vAlign w:val="bottom"/>
          </w:tcPr>
          <w:p w14:paraId="74DDAB2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B2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AB2E" w14:textId="77777777" w:rsidR="00584EC1" w:rsidRDefault="00871F8D">
            <w:pPr>
              <w:jc w:val="right"/>
              <w:textAlignment w:val="bottom"/>
            </w:pPr>
            <w:r>
              <w:rPr>
                <w:rFonts w:ascii="Arial" w:eastAsia="宋体" w:hAnsi="Arial" w:cs="Arial"/>
                <w:color w:val="000000"/>
                <w:sz w:val="18"/>
                <w:szCs w:val="18"/>
              </w:rPr>
              <w:t>135 </w:t>
            </w:r>
          </w:p>
        </w:tc>
        <w:tc>
          <w:tcPr>
            <w:tcW w:w="0" w:type="auto"/>
            <w:shd w:val="clear" w:color="auto" w:fill="CCEEFF"/>
            <w:tcMar>
              <w:top w:w="40" w:type="dxa"/>
              <w:left w:w="0" w:type="dxa"/>
              <w:bottom w:w="40" w:type="dxa"/>
              <w:right w:w="20" w:type="dxa"/>
            </w:tcMar>
            <w:vAlign w:val="bottom"/>
          </w:tcPr>
          <w:p w14:paraId="74DDAB2F" w14:textId="77777777" w:rsidR="00584EC1" w:rsidRDefault="00584EC1">
            <w:pPr>
              <w:jc w:val="right"/>
              <w:rPr>
                <w:rFonts w:ascii="宋体"/>
              </w:rPr>
            </w:pPr>
          </w:p>
        </w:tc>
        <w:tc>
          <w:tcPr>
            <w:tcW w:w="0" w:type="auto"/>
            <w:gridSpan w:val="3"/>
            <w:shd w:val="clear" w:color="auto" w:fill="auto"/>
            <w:vAlign w:val="bottom"/>
          </w:tcPr>
          <w:p w14:paraId="74DDAB30" w14:textId="77777777" w:rsidR="00584EC1" w:rsidRDefault="00584EC1">
            <w:pPr>
              <w:rPr>
                <w:rFonts w:ascii="宋体"/>
                <w:vanish/>
              </w:rPr>
            </w:pPr>
          </w:p>
        </w:tc>
        <w:tc>
          <w:tcPr>
            <w:tcW w:w="0" w:type="auto"/>
            <w:gridSpan w:val="3"/>
            <w:shd w:val="clear" w:color="auto" w:fill="auto"/>
            <w:vAlign w:val="bottom"/>
          </w:tcPr>
          <w:p w14:paraId="74DDAB31" w14:textId="77777777" w:rsidR="00584EC1" w:rsidRDefault="00584EC1">
            <w:pPr>
              <w:rPr>
                <w:rFonts w:ascii="宋体"/>
                <w:vanish/>
              </w:rPr>
            </w:pPr>
          </w:p>
        </w:tc>
      </w:tr>
      <w:tr w:rsidR="00584EC1" w14:paraId="74DDAB3B" w14:textId="77777777">
        <w:tc>
          <w:tcPr>
            <w:tcW w:w="0" w:type="auto"/>
            <w:gridSpan w:val="3"/>
            <w:shd w:val="clear" w:color="auto" w:fill="FFFFFF"/>
            <w:tcMar>
              <w:top w:w="40" w:type="dxa"/>
              <w:left w:w="20" w:type="dxa"/>
              <w:bottom w:w="40" w:type="dxa"/>
              <w:right w:w="20" w:type="dxa"/>
            </w:tcMar>
            <w:vAlign w:val="bottom"/>
          </w:tcPr>
          <w:p w14:paraId="74DDAB33" w14:textId="77777777" w:rsidR="00584EC1" w:rsidRDefault="00871F8D">
            <w:pPr>
              <w:jc w:val="both"/>
              <w:textAlignment w:val="bottom"/>
            </w:pPr>
            <w:r>
              <w:rPr>
                <w:rFonts w:ascii="Arial" w:eastAsia="宋体" w:hAnsi="Arial" w:cs="Arial"/>
                <w:color w:val="000000"/>
                <w:sz w:val="18"/>
                <w:szCs w:val="18"/>
              </w:rPr>
              <w:t xml:space="preserve">Net unrealized gains (losses) on available-for-sale securities, net of </w:t>
            </w:r>
            <w:r>
              <w:rPr>
                <w:rFonts w:ascii="Arial" w:eastAsia="宋体" w:hAnsi="Arial" w:cs="Arial"/>
                <w:color w:val="000000"/>
                <w:sz w:val="18"/>
                <w:szCs w:val="18"/>
              </w:rPr>
              <w:t>reclassification adjustment and net of related taxes of ($214) and $171, respectively</w:t>
            </w:r>
          </w:p>
        </w:tc>
        <w:tc>
          <w:tcPr>
            <w:tcW w:w="0" w:type="auto"/>
            <w:gridSpan w:val="2"/>
            <w:shd w:val="clear" w:color="auto" w:fill="FFFFFF"/>
            <w:tcMar>
              <w:top w:w="40" w:type="dxa"/>
              <w:left w:w="20" w:type="dxa"/>
              <w:bottom w:w="40" w:type="dxa"/>
              <w:right w:w="0" w:type="dxa"/>
            </w:tcMar>
            <w:vAlign w:val="bottom"/>
          </w:tcPr>
          <w:p w14:paraId="74DDAB34" w14:textId="77777777" w:rsidR="00584EC1" w:rsidRDefault="00871F8D">
            <w:pPr>
              <w:jc w:val="right"/>
              <w:textAlignment w:val="bottom"/>
            </w:pPr>
            <w:r>
              <w:rPr>
                <w:rFonts w:ascii="Arial" w:eastAsia="宋体" w:hAnsi="Arial" w:cs="Arial"/>
                <w:b/>
                <w:bCs/>
                <w:color w:val="000000"/>
                <w:sz w:val="18"/>
                <w:szCs w:val="18"/>
              </w:rPr>
              <w:t>(567)</w:t>
            </w:r>
          </w:p>
        </w:tc>
        <w:tc>
          <w:tcPr>
            <w:tcW w:w="0" w:type="auto"/>
            <w:shd w:val="clear" w:color="auto" w:fill="FFFFFF"/>
            <w:tcMar>
              <w:top w:w="40" w:type="dxa"/>
              <w:left w:w="0" w:type="dxa"/>
              <w:bottom w:w="40" w:type="dxa"/>
              <w:right w:w="20" w:type="dxa"/>
            </w:tcMar>
            <w:vAlign w:val="bottom"/>
          </w:tcPr>
          <w:p w14:paraId="74DDAB3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B3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AB37" w14:textId="77777777" w:rsidR="00584EC1" w:rsidRDefault="00871F8D">
            <w:pPr>
              <w:jc w:val="right"/>
              <w:textAlignment w:val="bottom"/>
            </w:pPr>
            <w:r>
              <w:rPr>
                <w:rFonts w:ascii="Arial" w:eastAsia="宋体" w:hAnsi="Arial" w:cs="Arial"/>
                <w:color w:val="000000"/>
                <w:sz w:val="18"/>
                <w:szCs w:val="18"/>
              </w:rPr>
              <w:t>463 </w:t>
            </w:r>
          </w:p>
        </w:tc>
        <w:tc>
          <w:tcPr>
            <w:tcW w:w="0" w:type="auto"/>
            <w:shd w:val="clear" w:color="auto" w:fill="FFFFFF"/>
            <w:tcMar>
              <w:top w:w="40" w:type="dxa"/>
              <w:left w:w="0" w:type="dxa"/>
              <w:bottom w:w="40" w:type="dxa"/>
              <w:right w:w="20" w:type="dxa"/>
            </w:tcMar>
            <w:vAlign w:val="bottom"/>
          </w:tcPr>
          <w:p w14:paraId="74DDAB38" w14:textId="77777777" w:rsidR="00584EC1" w:rsidRDefault="00584EC1">
            <w:pPr>
              <w:jc w:val="right"/>
              <w:rPr>
                <w:rFonts w:ascii="宋体"/>
              </w:rPr>
            </w:pPr>
          </w:p>
        </w:tc>
        <w:tc>
          <w:tcPr>
            <w:tcW w:w="0" w:type="auto"/>
            <w:gridSpan w:val="3"/>
            <w:shd w:val="clear" w:color="auto" w:fill="auto"/>
            <w:vAlign w:val="bottom"/>
          </w:tcPr>
          <w:p w14:paraId="74DDAB39" w14:textId="77777777" w:rsidR="00584EC1" w:rsidRDefault="00584EC1">
            <w:pPr>
              <w:rPr>
                <w:rFonts w:ascii="宋体"/>
                <w:vanish/>
              </w:rPr>
            </w:pPr>
          </w:p>
        </w:tc>
        <w:tc>
          <w:tcPr>
            <w:tcW w:w="0" w:type="auto"/>
            <w:gridSpan w:val="3"/>
            <w:shd w:val="clear" w:color="auto" w:fill="auto"/>
            <w:vAlign w:val="bottom"/>
          </w:tcPr>
          <w:p w14:paraId="74DDAB3A" w14:textId="77777777" w:rsidR="00584EC1" w:rsidRDefault="00584EC1">
            <w:pPr>
              <w:rPr>
                <w:rFonts w:ascii="宋体"/>
                <w:vanish/>
              </w:rPr>
            </w:pPr>
          </w:p>
        </w:tc>
      </w:tr>
      <w:tr w:rsidR="00584EC1" w14:paraId="74DDAB44" w14:textId="77777777">
        <w:tc>
          <w:tcPr>
            <w:tcW w:w="0" w:type="auto"/>
            <w:gridSpan w:val="3"/>
            <w:shd w:val="clear" w:color="auto" w:fill="CCEEFF"/>
            <w:tcMar>
              <w:top w:w="40" w:type="dxa"/>
              <w:left w:w="20" w:type="dxa"/>
              <w:bottom w:w="40" w:type="dxa"/>
              <w:right w:w="20" w:type="dxa"/>
            </w:tcMar>
            <w:vAlign w:val="bottom"/>
          </w:tcPr>
          <w:p w14:paraId="74DDAB3C" w14:textId="77777777" w:rsidR="00584EC1" w:rsidRDefault="00871F8D">
            <w:pPr>
              <w:jc w:val="both"/>
              <w:textAlignment w:val="bottom"/>
            </w:pPr>
            <w:r>
              <w:rPr>
                <w:rFonts w:ascii="Arial" w:eastAsia="宋体" w:hAnsi="Arial" w:cs="Arial"/>
                <w:color w:val="000000"/>
                <w:sz w:val="18"/>
                <w:szCs w:val="18"/>
              </w:rPr>
              <w:t xml:space="preserve">Net unrealized gains (losses) on available-for-sale securities designated in fair value hedges, net of related taxes of $3 and zero, </w:t>
            </w:r>
            <w:r>
              <w:rPr>
                <w:rFonts w:ascii="Arial" w:eastAsia="宋体" w:hAnsi="Arial" w:cs="Arial"/>
                <w:color w:val="000000"/>
                <w:sz w:val="18"/>
                <w:szCs w:val="18"/>
              </w:rPr>
              <w:t>respectively</w:t>
            </w:r>
          </w:p>
        </w:tc>
        <w:tc>
          <w:tcPr>
            <w:tcW w:w="0" w:type="auto"/>
            <w:gridSpan w:val="2"/>
            <w:shd w:val="clear" w:color="auto" w:fill="CCEEFF"/>
            <w:tcMar>
              <w:top w:w="40" w:type="dxa"/>
              <w:left w:w="20" w:type="dxa"/>
              <w:bottom w:w="40" w:type="dxa"/>
              <w:right w:w="0" w:type="dxa"/>
            </w:tcMar>
            <w:vAlign w:val="bottom"/>
          </w:tcPr>
          <w:p w14:paraId="74DDAB3D" w14:textId="77777777" w:rsidR="00584EC1" w:rsidRDefault="00871F8D">
            <w:pPr>
              <w:jc w:val="right"/>
              <w:textAlignment w:val="bottom"/>
            </w:pPr>
            <w:r>
              <w:rPr>
                <w:rFonts w:ascii="Arial" w:eastAsia="宋体" w:hAnsi="Arial" w:cs="Arial"/>
                <w:b/>
                <w:bCs/>
                <w:color w:val="000000"/>
                <w:sz w:val="18"/>
                <w:szCs w:val="18"/>
              </w:rPr>
              <w:t>9</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4DDAB3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B3F"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AB40" w14:textId="77777777" w:rsidR="00584EC1" w:rsidRDefault="00871F8D">
            <w:pPr>
              <w:jc w:val="right"/>
              <w:textAlignment w:val="bottom"/>
            </w:pP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4DDAB41" w14:textId="77777777" w:rsidR="00584EC1" w:rsidRDefault="00584EC1">
            <w:pPr>
              <w:jc w:val="right"/>
              <w:rPr>
                <w:rFonts w:ascii="宋体"/>
              </w:rPr>
            </w:pPr>
          </w:p>
        </w:tc>
        <w:tc>
          <w:tcPr>
            <w:tcW w:w="0" w:type="auto"/>
            <w:gridSpan w:val="3"/>
            <w:shd w:val="clear" w:color="auto" w:fill="auto"/>
            <w:vAlign w:val="bottom"/>
          </w:tcPr>
          <w:p w14:paraId="74DDAB42" w14:textId="77777777" w:rsidR="00584EC1" w:rsidRDefault="00584EC1">
            <w:pPr>
              <w:rPr>
                <w:rFonts w:ascii="宋体"/>
                <w:vanish/>
              </w:rPr>
            </w:pPr>
          </w:p>
        </w:tc>
        <w:tc>
          <w:tcPr>
            <w:tcW w:w="0" w:type="auto"/>
            <w:gridSpan w:val="3"/>
            <w:shd w:val="clear" w:color="auto" w:fill="auto"/>
            <w:vAlign w:val="bottom"/>
          </w:tcPr>
          <w:p w14:paraId="74DDAB43" w14:textId="77777777" w:rsidR="00584EC1" w:rsidRDefault="00584EC1">
            <w:pPr>
              <w:rPr>
                <w:rFonts w:ascii="宋体"/>
                <w:vanish/>
              </w:rPr>
            </w:pPr>
          </w:p>
        </w:tc>
      </w:tr>
      <w:tr w:rsidR="00584EC1" w14:paraId="74DDAB4B" w14:textId="77777777">
        <w:trPr>
          <w:hidden/>
        </w:trPr>
        <w:tc>
          <w:tcPr>
            <w:tcW w:w="0" w:type="auto"/>
            <w:gridSpan w:val="3"/>
            <w:shd w:val="clear" w:color="auto" w:fill="auto"/>
            <w:vAlign w:val="bottom"/>
          </w:tcPr>
          <w:p w14:paraId="74DDAB45" w14:textId="77777777" w:rsidR="00584EC1" w:rsidRDefault="00584EC1">
            <w:pPr>
              <w:rPr>
                <w:rFonts w:ascii="宋体"/>
                <w:vanish/>
              </w:rPr>
            </w:pPr>
          </w:p>
        </w:tc>
        <w:tc>
          <w:tcPr>
            <w:tcW w:w="0" w:type="auto"/>
            <w:gridSpan w:val="3"/>
            <w:shd w:val="clear" w:color="auto" w:fill="auto"/>
            <w:vAlign w:val="bottom"/>
          </w:tcPr>
          <w:p w14:paraId="74DDAB46" w14:textId="77777777" w:rsidR="00584EC1" w:rsidRDefault="00584EC1">
            <w:pPr>
              <w:rPr>
                <w:rFonts w:ascii="宋体"/>
                <w:vanish/>
              </w:rPr>
            </w:pPr>
          </w:p>
        </w:tc>
        <w:tc>
          <w:tcPr>
            <w:tcW w:w="0" w:type="auto"/>
            <w:gridSpan w:val="3"/>
            <w:shd w:val="clear" w:color="auto" w:fill="auto"/>
            <w:vAlign w:val="bottom"/>
          </w:tcPr>
          <w:p w14:paraId="74DDAB47" w14:textId="77777777" w:rsidR="00584EC1" w:rsidRDefault="00584EC1">
            <w:pPr>
              <w:rPr>
                <w:rFonts w:ascii="宋体"/>
                <w:vanish/>
              </w:rPr>
            </w:pPr>
          </w:p>
        </w:tc>
        <w:tc>
          <w:tcPr>
            <w:tcW w:w="0" w:type="auto"/>
            <w:gridSpan w:val="3"/>
            <w:shd w:val="clear" w:color="auto" w:fill="auto"/>
            <w:vAlign w:val="bottom"/>
          </w:tcPr>
          <w:p w14:paraId="74DDAB48" w14:textId="77777777" w:rsidR="00584EC1" w:rsidRDefault="00584EC1">
            <w:pPr>
              <w:rPr>
                <w:rFonts w:ascii="宋体"/>
                <w:vanish/>
              </w:rPr>
            </w:pPr>
          </w:p>
        </w:tc>
        <w:tc>
          <w:tcPr>
            <w:tcW w:w="0" w:type="auto"/>
            <w:gridSpan w:val="3"/>
            <w:shd w:val="clear" w:color="auto" w:fill="auto"/>
            <w:vAlign w:val="bottom"/>
          </w:tcPr>
          <w:p w14:paraId="74DDAB49" w14:textId="77777777" w:rsidR="00584EC1" w:rsidRDefault="00584EC1">
            <w:pPr>
              <w:rPr>
                <w:rFonts w:ascii="宋体"/>
                <w:vanish/>
              </w:rPr>
            </w:pPr>
          </w:p>
        </w:tc>
        <w:tc>
          <w:tcPr>
            <w:tcW w:w="0" w:type="auto"/>
            <w:gridSpan w:val="3"/>
            <w:shd w:val="clear" w:color="auto" w:fill="auto"/>
            <w:vAlign w:val="bottom"/>
          </w:tcPr>
          <w:p w14:paraId="74DDAB4A" w14:textId="77777777" w:rsidR="00584EC1" w:rsidRDefault="00584EC1">
            <w:pPr>
              <w:rPr>
                <w:rFonts w:ascii="宋体"/>
                <w:vanish/>
              </w:rPr>
            </w:pPr>
          </w:p>
        </w:tc>
      </w:tr>
      <w:tr w:rsidR="00584EC1" w14:paraId="74DDAB54" w14:textId="77777777">
        <w:tc>
          <w:tcPr>
            <w:tcW w:w="0" w:type="auto"/>
            <w:gridSpan w:val="3"/>
            <w:shd w:val="clear" w:color="auto" w:fill="FFFFFF"/>
            <w:tcMar>
              <w:top w:w="40" w:type="dxa"/>
              <w:left w:w="20" w:type="dxa"/>
              <w:bottom w:w="40" w:type="dxa"/>
              <w:right w:w="20" w:type="dxa"/>
            </w:tcMar>
            <w:vAlign w:val="bottom"/>
          </w:tcPr>
          <w:p w14:paraId="74DDAB4C" w14:textId="77777777" w:rsidR="00584EC1" w:rsidRDefault="00871F8D">
            <w:pPr>
              <w:jc w:val="both"/>
              <w:textAlignment w:val="bottom"/>
            </w:pPr>
            <w:r>
              <w:rPr>
                <w:rFonts w:ascii="Arial" w:eastAsia="宋体" w:hAnsi="Arial" w:cs="Arial"/>
                <w:color w:val="000000"/>
                <w:sz w:val="18"/>
                <w:szCs w:val="18"/>
              </w:rPr>
              <w:t>Net unrealized gains (losses) on cash flow hedges, net of related taxes of ($8) and $55, respectively</w:t>
            </w:r>
          </w:p>
        </w:tc>
        <w:tc>
          <w:tcPr>
            <w:tcW w:w="0" w:type="auto"/>
            <w:gridSpan w:val="2"/>
            <w:shd w:val="clear" w:color="auto" w:fill="FFFFFF"/>
            <w:tcMar>
              <w:top w:w="40" w:type="dxa"/>
              <w:left w:w="20" w:type="dxa"/>
              <w:bottom w:w="40" w:type="dxa"/>
              <w:right w:w="0" w:type="dxa"/>
            </w:tcMar>
            <w:vAlign w:val="bottom"/>
          </w:tcPr>
          <w:p w14:paraId="74DDAB4D" w14:textId="77777777" w:rsidR="00584EC1" w:rsidRDefault="00871F8D">
            <w:pPr>
              <w:jc w:val="right"/>
              <w:textAlignment w:val="bottom"/>
            </w:pPr>
            <w:r>
              <w:rPr>
                <w:rFonts w:ascii="Arial" w:eastAsia="宋体" w:hAnsi="Arial" w:cs="Arial"/>
                <w:b/>
                <w:bCs/>
                <w:color w:val="000000"/>
                <w:sz w:val="18"/>
                <w:szCs w:val="18"/>
              </w:rPr>
              <w:t>(16)</w:t>
            </w:r>
          </w:p>
        </w:tc>
        <w:tc>
          <w:tcPr>
            <w:tcW w:w="0" w:type="auto"/>
            <w:shd w:val="clear" w:color="auto" w:fill="FFFFFF"/>
            <w:tcMar>
              <w:top w:w="40" w:type="dxa"/>
              <w:left w:w="0" w:type="dxa"/>
              <w:bottom w:w="40" w:type="dxa"/>
              <w:right w:w="20" w:type="dxa"/>
            </w:tcMar>
            <w:vAlign w:val="bottom"/>
          </w:tcPr>
          <w:p w14:paraId="74DDAB4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B4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AB50" w14:textId="77777777" w:rsidR="00584EC1" w:rsidRDefault="00871F8D">
            <w:pPr>
              <w:jc w:val="right"/>
              <w:textAlignment w:val="bottom"/>
            </w:pPr>
            <w:r>
              <w:rPr>
                <w:rFonts w:ascii="Arial" w:eastAsia="宋体" w:hAnsi="Arial" w:cs="Arial"/>
                <w:color w:val="000000"/>
                <w:sz w:val="18"/>
                <w:szCs w:val="18"/>
              </w:rPr>
              <w:t>152 </w:t>
            </w:r>
          </w:p>
        </w:tc>
        <w:tc>
          <w:tcPr>
            <w:tcW w:w="0" w:type="auto"/>
            <w:shd w:val="clear" w:color="auto" w:fill="FFFFFF"/>
            <w:tcMar>
              <w:top w:w="40" w:type="dxa"/>
              <w:left w:w="0" w:type="dxa"/>
              <w:bottom w:w="40" w:type="dxa"/>
              <w:right w:w="20" w:type="dxa"/>
            </w:tcMar>
            <w:vAlign w:val="bottom"/>
          </w:tcPr>
          <w:p w14:paraId="74DDAB51" w14:textId="77777777" w:rsidR="00584EC1" w:rsidRDefault="00584EC1">
            <w:pPr>
              <w:jc w:val="right"/>
              <w:rPr>
                <w:rFonts w:ascii="宋体"/>
              </w:rPr>
            </w:pPr>
          </w:p>
        </w:tc>
        <w:tc>
          <w:tcPr>
            <w:tcW w:w="0" w:type="auto"/>
            <w:gridSpan w:val="3"/>
            <w:shd w:val="clear" w:color="auto" w:fill="auto"/>
            <w:vAlign w:val="bottom"/>
          </w:tcPr>
          <w:p w14:paraId="74DDAB52" w14:textId="77777777" w:rsidR="00584EC1" w:rsidRDefault="00584EC1">
            <w:pPr>
              <w:rPr>
                <w:rFonts w:ascii="宋体"/>
                <w:vanish/>
              </w:rPr>
            </w:pPr>
          </w:p>
        </w:tc>
        <w:tc>
          <w:tcPr>
            <w:tcW w:w="0" w:type="auto"/>
            <w:gridSpan w:val="3"/>
            <w:shd w:val="clear" w:color="auto" w:fill="auto"/>
            <w:vAlign w:val="bottom"/>
          </w:tcPr>
          <w:p w14:paraId="74DDAB53" w14:textId="77777777" w:rsidR="00584EC1" w:rsidRDefault="00584EC1">
            <w:pPr>
              <w:rPr>
                <w:rFonts w:ascii="宋体"/>
                <w:vanish/>
              </w:rPr>
            </w:pPr>
          </w:p>
        </w:tc>
      </w:tr>
      <w:tr w:rsidR="00584EC1" w14:paraId="74DDAB5D" w14:textId="77777777">
        <w:tc>
          <w:tcPr>
            <w:tcW w:w="0" w:type="auto"/>
            <w:gridSpan w:val="3"/>
            <w:shd w:val="clear" w:color="auto" w:fill="CCEEFF"/>
            <w:tcMar>
              <w:top w:w="40" w:type="dxa"/>
              <w:left w:w="20" w:type="dxa"/>
              <w:bottom w:w="40" w:type="dxa"/>
              <w:right w:w="20" w:type="dxa"/>
            </w:tcMar>
            <w:vAlign w:val="bottom"/>
          </w:tcPr>
          <w:p w14:paraId="74DDAB55" w14:textId="77777777" w:rsidR="00584EC1" w:rsidRDefault="00871F8D">
            <w:pPr>
              <w:jc w:val="both"/>
              <w:textAlignment w:val="bottom"/>
            </w:pPr>
            <w:r>
              <w:rPr>
                <w:rFonts w:ascii="Arial" w:eastAsia="宋体" w:hAnsi="Arial" w:cs="Arial"/>
                <w:color w:val="000000"/>
                <w:sz w:val="18"/>
                <w:szCs w:val="18"/>
              </w:rPr>
              <w:t xml:space="preserve">Net unrealized gains (losses) on retirement plans, net of related taxes of $5 and $5, </w:t>
            </w:r>
            <w:r>
              <w:rPr>
                <w:rFonts w:ascii="Arial" w:eastAsia="宋体" w:hAnsi="Arial" w:cs="Arial"/>
                <w:color w:val="000000"/>
                <w:sz w:val="18"/>
                <w:szCs w:val="18"/>
              </w:rPr>
              <w:t>respectively</w:t>
            </w:r>
          </w:p>
        </w:tc>
        <w:tc>
          <w:tcPr>
            <w:tcW w:w="0" w:type="auto"/>
            <w:gridSpan w:val="2"/>
            <w:shd w:val="clear" w:color="auto" w:fill="CCEEFF"/>
            <w:tcMar>
              <w:top w:w="40" w:type="dxa"/>
              <w:left w:w="20" w:type="dxa"/>
              <w:bottom w:w="40" w:type="dxa"/>
              <w:right w:w="0" w:type="dxa"/>
            </w:tcMar>
            <w:vAlign w:val="bottom"/>
          </w:tcPr>
          <w:p w14:paraId="74DDAB56" w14:textId="77777777" w:rsidR="00584EC1" w:rsidRDefault="00871F8D">
            <w:pPr>
              <w:jc w:val="right"/>
              <w:textAlignment w:val="bottom"/>
            </w:pPr>
            <w:r>
              <w:rPr>
                <w:rFonts w:ascii="Arial" w:eastAsia="宋体" w:hAnsi="Arial" w:cs="Arial"/>
                <w:b/>
                <w:bCs/>
                <w:color w:val="000000"/>
                <w:sz w:val="18"/>
                <w:szCs w:val="18"/>
              </w:rPr>
              <w:t>12</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4DDAB5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B58"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AB59" w14:textId="77777777" w:rsidR="00584EC1" w:rsidRDefault="00871F8D">
            <w:pPr>
              <w:jc w:val="right"/>
              <w:textAlignment w:val="bottom"/>
            </w:pPr>
            <w:r>
              <w:rPr>
                <w:rFonts w:ascii="Arial" w:eastAsia="宋体" w:hAnsi="Arial" w:cs="Arial"/>
                <w:color w:val="000000"/>
                <w:sz w:val="18"/>
                <w:szCs w:val="18"/>
              </w:rPr>
              <w:t>15 </w:t>
            </w:r>
          </w:p>
        </w:tc>
        <w:tc>
          <w:tcPr>
            <w:tcW w:w="0" w:type="auto"/>
            <w:shd w:val="clear" w:color="auto" w:fill="CCEEFF"/>
            <w:tcMar>
              <w:top w:w="40" w:type="dxa"/>
              <w:left w:w="0" w:type="dxa"/>
              <w:bottom w:w="40" w:type="dxa"/>
              <w:right w:w="20" w:type="dxa"/>
            </w:tcMar>
            <w:vAlign w:val="bottom"/>
          </w:tcPr>
          <w:p w14:paraId="74DDAB5A" w14:textId="77777777" w:rsidR="00584EC1" w:rsidRDefault="00584EC1">
            <w:pPr>
              <w:jc w:val="right"/>
              <w:rPr>
                <w:rFonts w:ascii="宋体"/>
              </w:rPr>
            </w:pPr>
          </w:p>
        </w:tc>
        <w:tc>
          <w:tcPr>
            <w:tcW w:w="0" w:type="auto"/>
            <w:gridSpan w:val="3"/>
            <w:shd w:val="clear" w:color="auto" w:fill="auto"/>
            <w:vAlign w:val="bottom"/>
          </w:tcPr>
          <w:p w14:paraId="74DDAB5B" w14:textId="77777777" w:rsidR="00584EC1" w:rsidRDefault="00584EC1">
            <w:pPr>
              <w:rPr>
                <w:rFonts w:ascii="宋体"/>
                <w:vanish/>
              </w:rPr>
            </w:pPr>
          </w:p>
        </w:tc>
        <w:tc>
          <w:tcPr>
            <w:tcW w:w="0" w:type="auto"/>
            <w:gridSpan w:val="3"/>
            <w:shd w:val="clear" w:color="auto" w:fill="auto"/>
            <w:vAlign w:val="bottom"/>
          </w:tcPr>
          <w:p w14:paraId="74DDAB5C" w14:textId="77777777" w:rsidR="00584EC1" w:rsidRDefault="00584EC1">
            <w:pPr>
              <w:rPr>
                <w:rFonts w:ascii="宋体"/>
                <w:vanish/>
              </w:rPr>
            </w:pPr>
          </w:p>
        </w:tc>
      </w:tr>
      <w:tr w:rsidR="00584EC1" w14:paraId="74DDAB66" w14:textId="77777777">
        <w:tc>
          <w:tcPr>
            <w:tcW w:w="0" w:type="auto"/>
            <w:gridSpan w:val="3"/>
            <w:shd w:val="clear" w:color="auto" w:fill="FFFFFF"/>
            <w:tcMar>
              <w:top w:w="40" w:type="dxa"/>
              <w:left w:w="20" w:type="dxa"/>
              <w:bottom w:w="40" w:type="dxa"/>
              <w:right w:w="20" w:type="dxa"/>
            </w:tcMar>
            <w:vAlign w:val="bottom"/>
          </w:tcPr>
          <w:p w14:paraId="74DDAB5E" w14:textId="77777777" w:rsidR="00584EC1" w:rsidRDefault="00871F8D">
            <w:pPr>
              <w:textAlignment w:val="bottom"/>
            </w:pPr>
            <w:r>
              <w:rPr>
                <w:rFonts w:ascii="Arial" w:eastAsia="宋体" w:hAnsi="Arial" w:cs="Arial"/>
                <w:b/>
                <w:bCs/>
                <w:color w:val="000000"/>
                <w:sz w:val="18"/>
                <w:szCs w:val="18"/>
              </w:rPr>
              <w:t>Other comprehensive income (loss)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AB5F" w14:textId="77777777" w:rsidR="00584EC1" w:rsidRDefault="00871F8D">
            <w:pPr>
              <w:jc w:val="right"/>
              <w:textAlignment w:val="bottom"/>
            </w:pPr>
            <w:r>
              <w:rPr>
                <w:rFonts w:ascii="Arial" w:eastAsia="宋体" w:hAnsi="Arial" w:cs="Arial"/>
                <w:b/>
                <w:bCs/>
                <w:color w:val="000000"/>
                <w:sz w:val="18"/>
                <w:szCs w:val="18"/>
              </w:rPr>
              <w:t>(869)</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AB6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B61"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AB62" w14:textId="77777777" w:rsidR="00584EC1" w:rsidRDefault="00871F8D">
            <w:pPr>
              <w:jc w:val="right"/>
              <w:textAlignment w:val="bottom"/>
            </w:pPr>
            <w:r>
              <w:rPr>
                <w:rFonts w:ascii="Arial" w:eastAsia="宋体" w:hAnsi="Arial" w:cs="Arial"/>
                <w:color w:val="000000"/>
                <w:sz w:val="18"/>
                <w:szCs w:val="18"/>
              </w:rPr>
              <w:t>765 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AB63" w14:textId="77777777" w:rsidR="00584EC1" w:rsidRDefault="00584EC1">
            <w:pPr>
              <w:jc w:val="right"/>
              <w:rPr>
                <w:rFonts w:ascii="宋体"/>
              </w:rPr>
            </w:pPr>
          </w:p>
        </w:tc>
        <w:tc>
          <w:tcPr>
            <w:tcW w:w="0" w:type="auto"/>
            <w:gridSpan w:val="3"/>
            <w:shd w:val="clear" w:color="auto" w:fill="auto"/>
            <w:vAlign w:val="bottom"/>
          </w:tcPr>
          <w:p w14:paraId="74DDAB64" w14:textId="77777777" w:rsidR="00584EC1" w:rsidRDefault="00584EC1">
            <w:pPr>
              <w:rPr>
                <w:rFonts w:ascii="宋体"/>
                <w:vanish/>
              </w:rPr>
            </w:pPr>
          </w:p>
        </w:tc>
        <w:tc>
          <w:tcPr>
            <w:tcW w:w="0" w:type="auto"/>
            <w:gridSpan w:val="3"/>
            <w:shd w:val="clear" w:color="auto" w:fill="auto"/>
            <w:vAlign w:val="bottom"/>
          </w:tcPr>
          <w:p w14:paraId="74DDAB65" w14:textId="77777777" w:rsidR="00584EC1" w:rsidRDefault="00584EC1">
            <w:pPr>
              <w:rPr>
                <w:rFonts w:ascii="宋体"/>
                <w:vanish/>
              </w:rPr>
            </w:pPr>
          </w:p>
        </w:tc>
      </w:tr>
      <w:tr w:rsidR="00584EC1" w14:paraId="74DDAB71" w14:textId="77777777">
        <w:tc>
          <w:tcPr>
            <w:tcW w:w="0" w:type="auto"/>
            <w:gridSpan w:val="3"/>
            <w:shd w:val="clear" w:color="auto" w:fill="CCEEFF"/>
            <w:tcMar>
              <w:top w:w="40" w:type="dxa"/>
              <w:left w:w="20" w:type="dxa"/>
              <w:bottom w:w="40" w:type="dxa"/>
              <w:right w:w="20" w:type="dxa"/>
            </w:tcMar>
            <w:vAlign w:val="bottom"/>
          </w:tcPr>
          <w:p w14:paraId="74DDAB67" w14:textId="77777777" w:rsidR="00584EC1" w:rsidRDefault="00871F8D">
            <w:pPr>
              <w:textAlignment w:val="bottom"/>
            </w:pPr>
            <w:r>
              <w:rPr>
                <w:rFonts w:ascii="Arial" w:eastAsia="宋体" w:hAnsi="Arial" w:cs="Arial"/>
                <w:b/>
                <w:bCs/>
                <w:color w:val="000000"/>
                <w:sz w:val="18"/>
                <w:szCs w:val="18"/>
              </w:rPr>
              <w:t>Total comprehensive income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AB68" w14:textId="77777777" w:rsidR="00584EC1" w:rsidRDefault="00871F8D">
            <w:pPr>
              <w:textAlignment w:val="bottom"/>
            </w:pPr>
            <w:r>
              <w:rPr>
                <w:rFonts w:ascii="Arial" w:eastAsia="宋体" w:hAnsi="Arial" w:cs="Arial"/>
                <w:b/>
                <w:bCs/>
                <w:color w:val="000000"/>
                <w:sz w:val="18"/>
                <w:szCs w:val="18"/>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AB69" w14:textId="77777777" w:rsidR="00584EC1" w:rsidRDefault="00871F8D">
            <w:pPr>
              <w:jc w:val="right"/>
              <w:textAlignment w:val="bottom"/>
            </w:pPr>
            <w:r>
              <w:rPr>
                <w:rFonts w:ascii="Arial" w:eastAsia="宋体" w:hAnsi="Arial" w:cs="Arial"/>
                <w:b/>
                <w:bCs/>
                <w:color w:val="000000"/>
                <w:sz w:val="18"/>
                <w:szCs w:val="18"/>
              </w:rPr>
              <w:t>1,127</w:t>
            </w: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AB6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B6B"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AB6C" w14:textId="77777777" w:rsidR="00584EC1" w:rsidRDefault="00871F8D">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AB6D" w14:textId="77777777" w:rsidR="00584EC1" w:rsidRDefault="00871F8D">
            <w:pPr>
              <w:jc w:val="right"/>
              <w:textAlignment w:val="bottom"/>
            </w:pPr>
            <w:r>
              <w:rPr>
                <w:rFonts w:ascii="Arial" w:eastAsia="宋体" w:hAnsi="Arial" w:cs="Arial"/>
                <w:color w:val="000000"/>
                <w:sz w:val="18"/>
                <w:szCs w:val="18"/>
              </w:rPr>
              <w:t>2,648 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AB6E" w14:textId="77777777" w:rsidR="00584EC1" w:rsidRDefault="00584EC1">
            <w:pPr>
              <w:jc w:val="right"/>
              <w:rPr>
                <w:rFonts w:ascii="宋体"/>
              </w:rPr>
            </w:pPr>
          </w:p>
        </w:tc>
        <w:tc>
          <w:tcPr>
            <w:tcW w:w="0" w:type="auto"/>
            <w:gridSpan w:val="3"/>
            <w:shd w:val="clear" w:color="auto" w:fill="auto"/>
            <w:vAlign w:val="bottom"/>
          </w:tcPr>
          <w:p w14:paraId="74DDAB6F" w14:textId="77777777" w:rsidR="00584EC1" w:rsidRDefault="00584EC1">
            <w:pPr>
              <w:rPr>
                <w:rFonts w:ascii="宋体"/>
                <w:vanish/>
              </w:rPr>
            </w:pPr>
          </w:p>
        </w:tc>
        <w:tc>
          <w:tcPr>
            <w:tcW w:w="0" w:type="auto"/>
            <w:gridSpan w:val="3"/>
            <w:shd w:val="clear" w:color="auto" w:fill="auto"/>
            <w:vAlign w:val="bottom"/>
          </w:tcPr>
          <w:p w14:paraId="74DDAB70" w14:textId="77777777" w:rsidR="00584EC1" w:rsidRDefault="00584EC1">
            <w:pPr>
              <w:rPr>
                <w:rFonts w:ascii="宋体"/>
                <w:vanish/>
              </w:rPr>
            </w:pPr>
          </w:p>
        </w:tc>
      </w:tr>
    </w:tbl>
    <w:p w14:paraId="74DDAB72" w14:textId="77777777" w:rsidR="00584EC1" w:rsidRDefault="00584EC1">
      <w:pPr>
        <w:ind w:firstLine="450"/>
        <w:jc w:val="center"/>
      </w:pPr>
    </w:p>
    <w:p w14:paraId="74DDAB73" w14:textId="77777777" w:rsidR="00584EC1" w:rsidRDefault="00584EC1">
      <w:pPr>
        <w:spacing w:before="90"/>
        <w:ind w:firstLine="450"/>
        <w:jc w:val="center"/>
      </w:pPr>
    </w:p>
    <w:p w14:paraId="74DDAB74" w14:textId="77777777" w:rsidR="00584EC1" w:rsidRDefault="00584EC1">
      <w:pPr>
        <w:spacing w:before="90"/>
        <w:ind w:firstLine="450"/>
        <w:jc w:val="center"/>
      </w:pPr>
    </w:p>
    <w:p w14:paraId="74DDAB75" w14:textId="77777777" w:rsidR="00584EC1" w:rsidRDefault="00584EC1">
      <w:pPr>
        <w:ind w:firstLine="450"/>
      </w:pPr>
    </w:p>
    <w:p w14:paraId="74DDAB76" w14:textId="77777777" w:rsidR="00584EC1" w:rsidRDefault="00584EC1">
      <w:pPr>
        <w:ind w:firstLine="450"/>
      </w:pPr>
    </w:p>
    <w:p w14:paraId="74DDAB77" w14:textId="77777777" w:rsidR="00584EC1" w:rsidRDefault="00584EC1">
      <w:pPr>
        <w:spacing w:before="60"/>
        <w:ind w:firstLine="450"/>
      </w:pPr>
    </w:p>
    <w:p w14:paraId="74DDAB78" w14:textId="77777777" w:rsidR="00584EC1" w:rsidRDefault="00584EC1">
      <w:pPr>
        <w:spacing w:before="60"/>
        <w:ind w:firstLine="450"/>
      </w:pPr>
    </w:p>
    <w:p w14:paraId="74DDAB79" w14:textId="77777777" w:rsidR="00584EC1" w:rsidRDefault="00584EC1">
      <w:pPr>
        <w:spacing w:before="60"/>
        <w:ind w:firstLine="450"/>
      </w:pPr>
    </w:p>
    <w:p w14:paraId="74DDAB7A" w14:textId="77777777" w:rsidR="00584EC1" w:rsidRDefault="00584EC1">
      <w:pPr>
        <w:spacing w:before="60"/>
        <w:ind w:firstLine="450"/>
      </w:pPr>
    </w:p>
    <w:p w14:paraId="74DDAB7B" w14:textId="77777777" w:rsidR="00584EC1" w:rsidRDefault="00584EC1">
      <w:pPr>
        <w:spacing w:before="60"/>
        <w:ind w:firstLine="450"/>
      </w:pPr>
    </w:p>
    <w:p w14:paraId="74DDAB7C" w14:textId="77777777" w:rsidR="00584EC1" w:rsidRDefault="00584EC1">
      <w:pPr>
        <w:spacing w:before="60"/>
        <w:ind w:firstLine="450"/>
      </w:pPr>
    </w:p>
    <w:p w14:paraId="74DDAB7D" w14:textId="77777777" w:rsidR="00584EC1" w:rsidRDefault="00584EC1">
      <w:pPr>
        <w:spacing w:before="60"/>
        <w:ind w:firstLine="450"/>
      </w:pPr>
    </w:p>
    <w:p w14:paraId="74DDAB7E" w14:textId="77777777" w:rsidR="00584EC1" w:rsidRDefault="00584EC1">
      <w:pPr>
        <w:spacing w:before="60"/>
        <w:ind w:firstLine="450"/>
      </w:pPr>
    </w:p>
    <w:p w14:paraId="74DDAB7F" w14:textId="77777777" w:rsidR="00584EC1" w:rsidRDefault="00584EC1">
      <w:pPr>
        <w:spacing w:before="60"/>
        <w:ind w:firstLine="450"/>
      </w:pPr>
    </w:p>
    <w:p w14:paraId="74DDAB80" w14:textId="77777777" w:rsidR="00584EC1" w:rsidRDefault="00584EC1">
      <w:pPr>
        <w:spacing w:before="60"/>
        <w:ind w:firstLine="450"/>
      </w:pPr>
    </w:p>
    <w:p w14:paraId="74DDAB81" w14:textId="77777777" w:rsidR="00584EC1" w:rsidRDefault="00584EC1">
      <w:pPr>
        <w:spacing w:before="60"/>
        <w:ind w:firstLine="450"/>
      </w:pPr>
    </w:p>
    <w:p w14:paraId="74DDAB82" w14:textId="77777777" w:rsidR="00584EC1" w:rsidRDefault="00584EC1">
      <w:pPr>
        <w:spacing w:before="60"/>
        <w:ind w:firstLine="450"/>
      </w:pPr>
    </w:p>
    <w:p w14:paraId="74DDAB83" w14:textId="77777777" w:rsidR="00584EC1" w:rsidRDefault="00871F8D">
      <w:pPr>
        <w:spacing w:before="60"/>
        <w:ind w:firstLine="450"/>
        <w:jc w:val="center"/>
      </w:pPr>
      <w:r>
        <w:rPr>
          <w:rFonts w:ascii="Arial" w:eastAsia="宋体" w:hAnsi="Arial" w:cs="Arial"/>
          <w:color w:val="000000"/>
          <w:sz w:val="18"/>
          <w:szCs w:val="18"/>
        </w:rPr>
        <w:t xml:space="preserve">The accompanying condensed notes are an integral part of these consolidated financial statements. </w:t>
      </w:r>
    </w:p>
    <w:p w14:paraId="74DDAB84" w14:textId="77777777" w:rsidR="00584EC1" w:rsidRDefault="00871F8D">
      <w:pPr>
        <w:ind w:firstLine="450"/>
        <w:jc w:val="right"/>
      </w:pPr>
      <w:r>
        <w:rPr>
          <w:rFonts w:ascii="Arial" w:eastAsia="宋体" w:hAnsi="Arial" w:cs="Arial"/>
          <w:color w:val="000000"/>
          <w:sz w:val="18"/>
          <w:szCs w:val="18"/>
        </w:rPr>
        <w:t>State Street Corporation | 55</w:t>
      </w:r>
    </w:p>
    <w:p w14:paraId="74DDAB85" w14:textId="77777777" w:rsidR="00584EC1" w:rsidRDefault="00584EC1">
      <w:pPr>
        <w:ind w:firstLine="450"/>
        <w:jc w:val="center"/>
      </w:pPr>
    </w:p>
    <w:p w14:paraId="74DDAB86" w14:textId="77777777" w:rsidR="00584EC1" w:rsidRDefault="00871F8D">
      <w:r>
        <w:pict w14:anchorId="74DE2A25">
          <v:rect id="_x0000_i1079" style="width:415.3pt;height:1.5pt" o:hralign="center" o:hrstd="t" o:hr="t" fillcolor="#a0a0a0" stroked="f"/>
        </w:pict>
      </w:r>
    </w:p>
    <w:p w14:paraId="74DDAB87" w14:textId="77777777" w:rsidR="00584EC1" w:rsidRDefault="00584EC1">
      <w:pPr>
        <w:ind w:firstLine="450"/>
      </w:pPr>
    </w:p>
    <w:p w14:paraId="74DDAB88" w14:textId="77777777" w:rsidR="00584EC1" w:rsidRDefault="00871F8D">
      <w:pPr>
        <w:ind w:firstLine="450"/>
        <w:jc w:val="center"/>
      </w:pPr>
      <w:r>
        <w:rPr>
          <w:rFonts w:ascii="Arial" w:eastAsia="宋体" w:hAnsi="Arial" w:cs="Arial"/>
          <w:b/>
          <w:bCs/>
          <w:color w:val="000000"/>
          <w:sz w:val="20"/>
          <w:szCs w:val="20"/>
        </w:rPr>
        <w:t>STATE STREET CORPORATION</w:t>
      </w:r>
    </w:p>
    <w:p w14:paraId="74DDAB89" w14:textId="77777777" w:rsidR="00584EC1" w:rsidRDefault="00871F8D">
      <w:pPr>
        <w:spacing w:after="40"/>
        <w:ind w:firstLine="450"/>
        <w:jc w:val="center"/>
      </w:pPr>
      <w:r>
        <w:rPr>
          <w:rFonts w:ascii="Arial" w:eastAsia="宋体" w:hAnsi="Arial" w:cs="Arial"/>
          <w:b/>
          <w:bCs/>
          <w:color w:val="000000"/>
          <w:sz w:val="20"/>
          <w:szCs w:val="20"/>
        </w:rPr>
        <w:t>CONSOLIDATED STATEMENT OF CONDITION</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068"/>
        <w:gridCol w:w="39"/>
        <w:gridCol w:w="123"/>
        <w:gridCol w:w="1400"/>
        <w:gridCol w:w="37"/>
        <w:gridCol w:w="36"/>
        <w:gridCol w:w="36"/>
        <w:gridCol w:w="36"/>
        <w:gridCol w:w="122"/>
        <w:gridCol w:w="1363"/>
        <w:gridCol w:w="36"/>
      </w:tblGrid>
      <w:tr w:rsidR="00584EC1" w14:paraId="74DDAB96" w14:textId="77777777">
        <w:trPr>
          <w:jc w:val="center"/>
        </w:trPr>
        <w:tc>
          <w:tcPr>
            <w:tcW w:w="50" w:type="pct"/>
            <w:shd w:val="clear" w:color="auto" w:fill="auto"/>
            <w:vAlign w:val="bottom"/>
          </w:tcPr>
          <w:p w14:paraId="74DDAB8A" w14:textId="77777777" w:rsidR="00584EC1" w:rsidRDefault="00584EC1">
            <w:pPr>
              <w:rPr>
                <w:rFonts w:ascii="宋体"/>
              </w:rPr>
            </w:pPr>
          </w:p>
        </w:tc>
        <w:tc>
          <w:tcPr>
            <w:tcW w:w="3066" w:type="pct"/>
            <w:shd w:val="clear" w:color="auto" w:fill="auto"/>
            <w:vAlign w:val="bottom"/>
          </w:tcPr>
          <w:p w14:paraId="74DDAB8B" w14:textId="77777777" w:rsidR="00584EC1" w:rsidRDefault="00584EC1">
            <w:pPr>
              <w:rPr>
                <w:rFonts w:ascii="宋体"/>
              </w:rPr>
            </w:pPr>
          </w:p>
        </w:tc>
        <w:tc>
          <w:tcPr>
            <w:tcW w:w="5" w:type="pct"/>
            <w:shd w:val="clear" w:color="auto" w:fill="auto"/>
            <w:vAlign w:val="bottom"/>
          </w:tcPr>
          <w:p w14:paraId="74DDAB8C" w14:textId="77777777" w:rsidR="00584EC1" w:rsidRDefault="00584EC1">
            <w:pPr>
              <w:rPr>
                <w:rFonts w:ascii="宋体"/>
              </w:rPr>
            </w:pPr>
          </w:p>
        </w:tc>
        <w:tc>
          <w:tcPr>
            <w:tcW w:w="50" w:type="pct"/>
            <w:shd w:val="clear" w:color="auto" w:fill="auto"/>
            <w:vAlign w:val="bottom"/>
          </w:tcPr>
          <w:p w14:paraId="74DDAB8D" w14:textId="77777777" w:rsidR="00584EC1" w:rsidRDefault="00584EC1">
            <w:pPr>
              <w:rPr>
                <w:rFonts w:ascii="宋体"/>
              </w:rPr>
            </w:pPr>
          </w:p>
        </w:tc>
        <w:tc>
          <w:tcPr>
            <w:tcW w:w="866" w:type="pct"/>
            <w:shd w:val="clear" w:color="auto" w:fill="auto"/>
            <w:vAlign w:val="bottom"/>
          </w:tcPr>
          <w:p w14:paraId="74DDAB8E" w14:textId="77777777" w:rsidR="00584EC1" w:rsidRDefault="00584EC1">
            <w:pPr>
              <w:rPr>
                <w:rFonts w:ascii="宋体"/>
              </w:rPr>
            </w:pPr>
          </w:p>
        </w:tc>
        <w:tc>
          <w:tcPr>
            <w:tcW w:w="5" w:type="pct"/>
            <w:shd w:val="clear" w:color="auto" w:fill="auto"/>
            <w:vAlign w:val="bottom"/>
          </w:tcPr>
          <w:p w14:paraId="74DDAB8F" w14:textId="77777777" w:rsidR="00584EC1" w:rsidRDefault="00584EC1">
            <w:pPr>
              <w:rPr>
                <w:rFonts w:ascii="宋体"/>
              </w:rPr>
            </w:pPr>
          </w:p>
        </w:tc>
        <w:tc>
          <w:tcPr>
            <w:tcW w:w="5" w:type="pct"/>
            <w:shd w:val="clear" w:color="auto" w:fill="auto"/>
            <w:vAlign w:val="bottom"/>
          </w:tcPr>
          <w:p w14:paraId="74DDAB90" w14:textId="77777777" w:rsidR="00584EC1" w:rsidRDefault="00584EC1">
            <w:pPr>
              <w:rPr>
                <w:rFonts w:ascii="宋体"/>
              </w:rPr>
            </w:pPr>
          </w:p>
        </w:tc>
        <w:tc>
          <w:tcPr>
            <w:tcW w:w="26" w:type="pct"/>
            <w:shd w:val="clear" w:color="auto" w:fill="auto"/>
            <w:vAlign w:val="bottom"/>
          </w:tcPr>
          <w:p w14:paraId="74DDAB91" w14:textId="77777777" w:rsidR="00584EC1" w:rsidRDefault="00584EC1">
            <w:pPr>
              <w:rPr>
                <w:rFonts w:ascii="宋体"/>
              </w:rPr>
            </w:pPr>
          </w:p>
        </w:tc>
        <w:tc>
          <w:tcPr>
            <w:tcW w:w="5" w:type="pct"/>
            <w:shd w:val="clear" w:color="auto" w:fill="auto"/>
            <w:vAlign w:val="bottom"/>
          </w:tcPr>
          <w:p w14:paraId="74DDAB92" w14:textId="77777777" w:rsidR="00584EC1" w:rsidRDefault="00584EC1">
            <w:pPr>
              <w:rPr>
                <w:rFonts w:ascii="宋体"/>
              </w:rPr>
            </w:pPr>
          </w:p>
        </w:tc>
        <w:tc>
          <w:tcPr>
            <w:tcW w:w="50" w:type="pct"/>
            <w:shd w:val="clear" w:color="auto" w:fill="auto"/>
            <w:vAlign w:val="bottom"/>
          </w:tcPr>
          <w:p w14:paraId="74DDAB93" w14:textId="77777777" w:rsidR="00584EC1" w:rsidRDefault="00584EC1">
            <w:pPr>
              <w:rPr>
                <w:rFonts w:ascii="宋体"/>
              </w:rPr>
            </w:pPr>
          </w:p>
        </w:tc>
        <w:tc>
          <w:tcPr>
            <w:tcW w:w="866" w:type="pct"/>
            <w:shd w:val="clear" w:color="auto" w:fill="auto"/>
            <w:vAlign w:val="bottom"/>
          </w:tcPr>
          <w:p w14:paraId="74DDAB94" w14:textId="77777777" w:rsidR="00584EC1" w:rsidRDefault="00584EC1">
            <w:pPr>
              <w:rPr>
                <w:rFonts w:ascii="宋体"/>
              </w:rPr>
            </w:pPr>
          </w:p>
        </w:tc>
        <w:tc>
          <w:tcPr>
            <w:tcW w:w="5" w:type="pct"/>
            <w:shd w:val="clear" w:color="auto" w:fill="auto"/>
            <w:vAlign w:val="bottom"/>
          </w:tcPr>
          <w:p w14:paraId="74DDAB95" w14:textId="77777777" w:rsidR="00584EC1" w:rsidRDefault="00584EC1">
            <w:pPr>
              <w:rPr>
                <w:rFonts w:ascii="宋体"/>
              </w:rPr>
            </w:pPr>
          </w:p>
        </w:tc>
      </w:tr>
      <w:tr w:rsidR="00584EC1" w14:paraId="74DDAB9B" w14:textId="77777777">
        <w:trPr>
          <w:jc w:val="center"/>
        </w:trPr>
        <w:tc>
          <w:tcPr>
            <w:tcW w:w="0" w:type="auto"/>
            <w:gridSpan w:val="3"/>
            <w:shd w:val="clear" w:color="auto" w:fill="auto"/>
            <w:tcMar>
              <w:top w:w="0" w:type="dxa"/>
              <w:left w:w="20" w:type="dxa"/>
              <w:bottom w:w="0" w:type="dxa"/>
              <w:right w:w="20" w:type="dxa"/>
            </w:tcMar>
            <w:vAlign w:val="bottom"/>
          </w:tcPr>
          <w:p w14:paraId="74DDAB97"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AB98" w14:textId="77777777" w:rsidR="00584EC1" w:rsidRDefault="00871F8D">
            <w:pPr>
              <w:jc w:val="center"/>
              <w:textAlignment w:val="bottom"/>
            </w:pPr>
            <w:r>
              <w:rPr>
                <w:rFonts w:ascii="Arial" w:eastAsia="宋体" w:hAnsi="Arial" w:cs="Arial"/>
                <w:b/>
                <w:bCs/>
                <w:color w:val="000000"/>
                <w:sz w:val="18"/>
                <w:szCs w:val="18"/>
              </w:rPr>
              <w:t>September 30, 2021</w:t>
            </w:r>
          </w:p>
        </w:tc>
        <w:tc>
          <w:tcPr>
            <w:tcW w:w="0" w:type="auto"/>
            <w:gridSpan w:val="3"/>
            <w:shd w:val="clear" w:color="auto" w:fill="auto"/>
            <w:tcMar>
              <w:top w:w="0" w:type="dxa"/>
              <w:left w:w="20" w:type="dxa"/>
              <w:bottom w:w="0" w:type="dxa"/>
              <w:right w:w="20" w:type="dxa"/>
            </w:tcMar>
            <w:vAlign w:val="bottom"/>
          </w:tcPr>
          <w:p w14:paraId="74DDAB99"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AB9A" w14:textId="77777777" w:rsidR="00584EC1" w:rsidRDefault="00871F8D">
            <w:pPr>
              <w:jc w:val="center"/>
              <w:textAlignment w:val="bottom"/>
            </w:pPr>
            <w:r>
              <w:rPr>
                <w:rFonts w:ascii="Arial" w:eastAsia="宋体" w:hAnsi="Arial" w:cs="Arial"/>
                <w:b/>
                <w:bCs/>
                <w:color w:val="000000"/>
                <w:sz w:val="18"/>
                <w:szCs w:val="18"/>
              </w:rPr>
              <w:t>December 31, 2020</w:t>
            </w:r>
          </w:p>
        </w:tc>
      </w:tr>
      <w:tr w:rsidR="00584EC1" w14:paraId="74DDABA4" w14:textId="77777777">
        <w:trPr>
          <w:jc w:val="center"/>
          <w:hidden/>
        </w:trPr>
        <w:tc>
          <w:tcPr>
            <w:tcW w:w="0" w:type="auto"/>
            <w:gridSpan w:val="3"/>
            <w:shd w:val="clear" w:color="auto" w:fill="auto"/>
            <w:vAlign w:val="bottom"/>
          </w:tcPr>
          <w:p w14:paraId="74DDAB9C" w14:textId="77777777" w:rsidR="00584EC1" w:rsidRDefault="00584EC1">
            <w:pPr>
              <w:rPr>
                <w:rFonts w:ascii="宋体"/>
                <w:vanish/>
              </w:rPr>
            </w:pPr>
          </w:p>
        </w:tc>
        <w:tc>
          <w:tcPr>
            <w:tcW w:w="0" w:type="auto"/>
            <w:gridSpan w:val="3"/>
            <w:shd w:val="clear" w:color="auto" w:fill="auto"/>
            <w:vAlign w:val="bottom"/>
          </w:tcPr>
          <w:p w14:paraId="74DDAB9D" w14:textId="77777777" w:rsidR="00584EC1" w:rsidRDefault="00584EC1">
            <w:pPr>
              <w:rPr>
                <w:rFonts w:ascii="宋体"/>
                <w:vanish/>
              </w:rPr>
            </w:pPr>
          </w:p>
        </w:tc>
        <w:tc>
          <w:tcPr>
            <w:tcW w:w="0" w:type="auto"/>
            <w:shd w:val="clear" w:color="auto" w:fill="auto"/>
            <w:vAlign w:val="bottom"/>
          </w:tcPr>
          <w:p w14:paraId="74DDAB9E" w14:textId="77777777" w:rsidR="00584EC1" w:rsidRDefault="00584EC1">
            <w:pPr>
              <w:rPr>
                <w:rFonts w:ascii="宋体"/>
              </w:rPr>
            </w:pPr>
          </w:p>
        </w:tc>
        <w:tc>
          <w:tcPr>
            <w:tcW w:w="0" w:type="auto"/>
            <w:shd w:val="clear" w:color="auto" w:fill="auto"/>
            <w:vAlign w:val="bottom"/>
          </w:tcPr>
          <w:p w14:paraId="74DDAB9F" w14:textId="77777777" w:rsidR="00584EC1" w:rsidRDefault="00584EC1">
            <w:pPr>
              <w:rPr>
                <w:rFonts w:ascii="宋体"/>
              </w:rPr>
            </w:pPr>
          </w:p>
        </w:tc>
        <w:tc>
          <w:tcPr>
            <w:tcW w:w="0" w:type="auto"/>
            <w:shd w:val="clear" w:color="auto" w:fill="auto"/>
            <w:vAlign w:val="bottom"/>
          </w:tcPr>
          <w:p w14:paraId="74DDABA0" w14:textId="77777777" w:rsidR="00584EC1" w:rsidRDefault="00584EC1">
            <w:pPr>
              <w:rPr>
                <w:rFonts w:ascii="宋体"/>
              </w:rPr>
            </w:pPr>
          </w:p>
        </w:tc>
        <w:tc>
          <w:tcPr>
            <w:tcW w:w="0" w:type="auto"/>
            <w:shd w:val="clear" w:color="auto" w:fill="auto"/>
            <w:vAlign w:val="bottom"/>
          </w:tcPr>
          <w:p w14:paraId="74DDABA1" w14:textId="77777777" w:rsidR="00584EC1" w:rsidRDefault="00584EC1">
            <w:pPr>
              <w:rPr>
                <w:rFonts w:ascii="宋体"/>
              </w:rPr>
            </w:pPr>
          </w:p>
        </w:tc>
        <w:tc>
          <w:tcPr>
            <w:tcW w:w="0" w:type="auto"/>
            <w:shd w:val="clear" w:color="auto" w:fill="auto"/>
            <w:vAlign w:val="bottom"/>
          </w:tcPr>
          <w:p w14:paraId="74DDABA2" w14:textId="77777777" w:rsidR="00584EC1" w:rsidRDefault="00584EC1">
            <w:pPr>
              <w:rPr>
                <w:rFonts w:ascii="宋体"/>
              </w:rPr>
            </w:pPr>
          </w:p>
        </w:tc>
        <w:tc>
          <w:tcPr>
            <w:tcW w:w="0" w:type="auto"/>
            <w:shd w:val="clear" w:color="auto" w:fill="auto"/>
            <w:vAlign w:val="bottom"/>
          </w:tcPr>
          <w:p w14:paraId="74DDABA3" w14:textId="77777777" w:rsidR="00584EC1" w:rsidRDefault="00584EC1">
            <w:pPr>
              <w:rPr>
                <w:rFonts w:ascii="宋体"/>
              </w:rPr>
            </w:pPr>
          </w:p>
        </w:tc>
      </w:tr>
      <w:tr w:rsidR="00584EC1" w14:paraId="74DDABA9" w14:textId="77777777">
        <w:trPr>
          <w:jc w:val="center"/>
        </w:trPr>
        <w:tc>
          <w:tcPr>
            <w:tcW w:w="0" w:type="auto"/>
            <w:gridSpan w:val="3"/>
            <w:shd w:val="clear" w:color="auto" w:fill="auto"/>
            <w:tcMar>
              <w:top w:w="40" w:type="dxa"/>
              <w:left w:w="20" w:type="dxa"/>
              <w:bottom w:w="40" w:type="dxa"/>
              <w:right w:w="20" w:type="dxa"/>
            </w:tcMar>
            <w:vAlign w:val="bottom"/>
          </w:tcPr>
          <w:p w14:paraId="74DDABA5" w14:textId="77777777" w:rsidR="00584EC1" w:rsidRDefault="00871F8D">
            <w:pPr>
              <w:textAlignment w:val="bottom"/>
            </w:pPr>
            <w:r>
              <w:rPr>
                <w:rFonts w:ascii="Arial" w:eastAsia="宋体" w:hAnsi="Arial" w:cs="Arial"/>
                <w:b/>
                <w:bCs/>
                <w:color w:val="000000"/>
                <w:sz w:val="18"/>
                <w:szCs w:val="18"/>
              </w:rPr>
              <w:t>(Dollars in millions, except per share amounts)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ABA6" w14:textId="77777777" w:rsidR="00584EC1" w:rsidRDefault="00871F8D">
            <w:pPr>
              <w:jc w:val="center"/>
              <w:textAlignment w:val="bottom"/>
            </w:pPr>
            <w:r>
              <w:rPr>
                <w:rFonts w:ascii="Arial" w:eastAsia="宋体" w:hAnsi="Arial" w:cs="Arial"/>
                <w:b/>
                <w:bCs/>
                <w:color w:val="000000"/>
                <w:sz w:val="18"/>
                <w:szCs w:val="18"/>
              </w:rPr>
              <w:t>(UNAUDITED)</w:t>
            </w:r>
          </w:p>
        </w:tc>
        <w:tc>
          <w:tcPr>
            <w:tcW w:w="0" w:type="auto"/>
            <w:gridSpan w:val="3"/>
            <w:shd w:val="clear" w:color="auto" w:fill="auto"/>
            <w:tcMar>
              <w:top w:w="0" w:type="dxa"/>
              <w:left w:w="20" w:type="dxa"/>
              <w:bottom w:w="0" w:type="dxa"/>
              <w:right w:w="20" w:type="dxa"/>
            </w:tcMar>
            <w:vAlign w:val="bottom"/>
          </w:tcPr>
          <w:p w14:paraId="74DDABA7"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ABA8" w14:textId="77777777" w:rsidR="00584EC1" w:rsidRDefault="00584EC1">
            <w:pPr>
              <w:rPr>
                <w:rFonts w:ascii="宋体"/>
              </w:rPr>
            </w:pPr>
          </w:p>
        </w:tc>
      </w:tr>
      <w:tr w:rsidR="00584EC1" w14:paraId="74DDABAE" w14:textId="77777777">
        <w:trPr>
          <w:jc w:val="center"/>
        </w:trPr>
        <w:tc>
          <w:tcPr>
            <w:tcW w:w="0" w:type="auto"/>
            <w:gridSpan w:val="3"/>
            <w:shd w:val="clear" w:color="auto" w:fill="auto"/>
            <w:tcMar>
              <w:top w:w="40" w:type="dxa"/>
              <w:left w:w="20" w:type="dxa"/>
              <w:bottom w:w="40" w:type="dxa"/>
              <w:right w:w="20" w:type="dxa"/>
            </w:tcMar>
            <w:vAlign w:val="bottom"/>
          </w:tcPr>
          <w:p w14:paraId="74DDABAA" w14:textId="77777777" w:rsidR="00584EC1" w:rsidRDefault="00871F8D">
            <w:pPr>
              <w:textAlignment w:val="bottom"/>
            </w:pPr>
            <w:r>
              <w:rPr>
                <w:rFonts w:ascii="Arial" w:eastAsia="宋体" w:hAnsi="Arial" w:cs="Arial"/>
                <w:b/>
                <w:bCs/>
                <w:color w:val="000000"/>
                <w:sz w:val="18"/>
                <w:szCs w:val="18"/>
              </w:rPr>
              <w:t>Assets:</w:t>
            </w:r>
          </w:p>
        </w:tc>
        <w:tc>
          <w:tcPr>
            <w:tcW w:w="0" w:type="auto"/>
            <w:gridSpan w:val="3"/>
            <w:shd w:val="clear" w:color="auto" w:fill="auto"/>
            <w:tcMar>
              <w:top w:w="0" w:type="dxa"/>
              <w:left w:w="20" w:type="dxa"/>
              <w:bottom w:w="0" w:type="dxa"/>
              <w:right w:w="20" w:type="dxa"/>
            </w:tcMar>
            <w:vAlign w:val="bottom"/>
          </w:tcPr>
          <w:p w14:paraId="74DDABAB"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ABAC"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ABAD" w14:textId="77777777" w:rsidR="00584EC1" w:rsidRDefault="00584EC1">
            <w:pPr>
              <w:rPr>
                <w:rFonts w:ascii="宋体"/>
              </w:rPr>
            </w:pPr>
          </w:p>
        </w:tc>
      </w:tr>
      <w:tr w:rsidR="00584EC1" w14:paraId="74DDABB7" w14:textId="77777777">
        <w:trPr>
          <w:jc w:val="center"/>
        </w:trPr>
        <w:tc>
          <w:tcPr>
            <w:tcW w:w="0" w:type="auto"/>
            <w:gridSpan w:val="3"/>
            <w:shd w:val="clear" w:color="auto" w:fill="CCEEFF"/>
            <w:tcMar>
              <w:top w:w="40" w:type="dxa"/>
              <w:left w:w="20" w:type="dxa"/>
              <w:bottom w:w="40" w:type="dxa"/>
              <w:right w:w="20" w:type="dxa"/>
            </w:tcMar>
            <w:vAlign w:val="bottom"/>
          </w:tcPr>
          <w:p w14:paraId="74DDABAF" w14:textId="77777777" w:rsidR="00584EC1" w:rsidRDefault="00871F8D">
            <w:pPr>
              <w:textAlignment w:val="bottom"/>
            </w:pPr>
            <w:r>
              <w:rPr>
                <w:rFonts w:ascii="Arial" w:eastAsia="宋体" w:hAnsi="Arial" w:cs="Arial"/>
                <w:color w:val="000000"/>
                <w:sz w:val="18"/>
                <w:szCs w:val="18"/>
              </w:rPr>
              <w:t>Cash and due from banks</w:t>
            </w:r>
          </w:p>
        </w:tc>
        <w:tc>
          <w:tcPr>
            <w:tcW w:w="0" w:type="auto"/>
            <w:shd w:val="clear" w:color="auto" w:fill="CCEEFF"/>
            <w:tcMar>
              <w:top w:w="40" w:type="dxa"/>
              <w:left w:w="20" w:type="dxa"/>
              <w:bottom w:w="40" w:type="dxa"/>
              <w:right w:w="0" w:type="dxa"/>
            </w:tcMar>
            <w:vAlign w:val="bottom"/>
          </w:tcPr>
          <w:p w14:paraId="74DDABB0" w14:textId="77777777" w:rsidR="00584EC1" w:rsidRDefault="00871F8D">
            <w:pPr>
              <w:textAlignment w:val="bottom"/>
            </w:pPr>
            <w:r>
              <w:rPr>
                <w:rFonts w:ascii="Arial" w:eastAsia="宋体" w:hAnsi="Arial" w:cs="Arial"/>
                <w:b/>
                <w:bCs/>
                <w:color w:val="000000"/>
                <w:sz w:val="18"/>
                <w:szCs w:val="18"/>
              </w:rPr>
              <w:t>$</w:t>
            </w:r>
          </w:p>
        </w:tc>
        <w:tc>
          <w:tcPr>
            <w:tcW w:w="0" w:type="auto"/>
            <w:shd w:val="clear" w:color="auto" w:fill="CCEEFF"/>
            <w:tcMar>
              <w:top w:w="40" w:type="dxa"/>
              <w:left w:w="0" w:type="dxa"/>
              <w:bottom w:w="40" w:type="dxa"/>
              <w:right w:w="0" w:type="dxa"/>
            </w:tcMar>
            <w:vAlign w:val="bottom"/>
          </w:tcPr>
          <w:p w14:paraId="74DDABB1" w14:textId="77777777" w:rsidR="00584EC1" w:rsidRDefault="00871F8D">
            <w:pPr>
              <w:jc w:val="right"/>
              <w:textAlignment w:val="bottom"/>
            </w:pPr>
            <w:r>
              <w:rPr>
                <w:rFonts w:ascii="Arial" w:eastAsia="宋体" w:hAnsi="Arial" w:cs="Arial"/>
                <w:b/>
                <w:bCs/>
                <w:color w:val="000000"/>
                <w:sz w:val="18"/>
                <w:szCs w:val="18"/>
              </w:rPr>
              <w:t>4,606</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4DDABB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BB3"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ABB4" w14:textId="77777777" w:rsidR="00584EC1" w:rsidRDefault="00871F8D">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74DDABB5" w14:textId="77777777" w:rsidR="00584EC1" w:rsidRDefault="00871F8D">
            <w:pPr>
              <w:jc w:val="right"/>
              <w:textAlignment w:val="bottom"/>
            </w:pPr>
            <w:r>
              <w:rPr>
                <w:rFonts w:ascii="Arial" w:eastAsia="宋体" w:hAnsi="Arial" w:cs="Arial"/>
                <w:color w:val="000000"/>
                <w:sz w:val="18"/>
                <w:szCs w:val="18"/>
              </w:rPr>
              <w:t>3,467 </w:t>
            </w:r>
          </w:p>
        </w:tc>
        <w:tc>
          <w:tcPr>
            <w:tcW w:w="0" w:type="auto"/>
            <w:shd w:val="clear" w:color="auto" w:fill="CCEEFF"/>
            <w:tcMar>
              <w:top w:w="40" w:type="dxa"/>
              <w:left w:w="0" w:type="dxa"/>
              <w:bottom w:w="40" w:type="dxa"/>
              <w:right w:w="20" w:type="dxa"/>
            </w:tcMar>
            <w:vAlign w:val="bottom"/>
          </w:tcPr>
          <w:p w14:paraId="74DDABB6" w14:textId="77777777" w:rsidR="00584EC1" w:rsidRDefault="00584EC1">
            <w:pPr>
              <w:jc w:val="right"/>
              <w:rPr>
                <w:rFonts w:ascii="宋体"/>
              </w:rPr>
            </w:pPr>
          </w:p>
        </w:tc>
      </w:tr>
      <w:tr w:rsidR="00584EC1" w14:paraId="74DDABBE" w14:textId="77777777">
        <w:trPr>
          <w:jc w:val="center"/>
        </w:trPr>
        <w:tc>
          <w:tcPr>
            <w:tcW w:w="0" w:type="auto"/>
            <w:gridSpan w:val="3"/>
            <w:shd w:val="clear" w:color="auto" w:fill="FFFFFF"/>
            <w:tcMar>
              <w:top w:w="40" w:type="dxa"/>
              <w:left w:w="20" w:type="dxa"/>
              <w:bottom w:w="40" w:type="dxa"/>
              <w:right w:w="20" w:type="dxa"/>
            </w:tcMar>
            <w:vAlign w:val="bottom"/>
          </w:tcPr>
          <w:p w14:paraId="74DDABB8" w14:textId="77777777" w:rsidR="00584EC1" w:rsidRDefault="00871F8D">
            <w:pPr>
              <w:textAlignment w:val="bottom"/>
            </w:pPr>
            <w:r>
              <w:rPr>
                <w:rFonts w:ascii="Arial" w:eastAsia="宋体" w:hAnsi="Arial" w:cs="Arial"/>
                <w:color w:val="000000"/>
                <w:sz w:val="18"/>
                <w:szCs w:val="18"/>
              </w:rPr>
              <w:t>Interest-bearing deposits with banks</w:t>
            </w:r>
          </w:p>
        </w:tc>
        <w:tc>
          <w:tcPr>
            <w:tcW w:w="0" w:type="auto"/>
            <w:gridSpan w:val="2"/>
            <w:shd w:val="clear" w:color="auto" w:fill="FFFFFF"/>
            <w:tcMar>
              <w:top w:w="40" w:type="dxa"/>
              <w:left w:w="20" w:type="dxa"/>
              <w:bottom w:w="40" w:type="dxa"/>
              <w:right w:w="0" w:type="dxa"/>
            </w:tcMar>
            <w:vAlign w:val="bottom"/>
          </w:tcPr>
          <w:p w14:paraId="74DDABB9" w14:textId="77777777" w:rsidR="00584EC1" w:rsidRDefault="00871F8D">
            <w:pPr>
              <w:jc w:val="right"/>
              <w:textAlignment w:val="bottom"/>
            </w:pPr>
            <w:r>
              <w:rPr>
                <w:rFonts w:ascii="Arial" w:eastAsia="宋体" w:hAnsi="Arial" w:cs="Arial"/>
                <w:b/>
                <w:bCs/>
                <w:color w:val="000000"/>
                <w:sz w:val="18"/>
                <w:szCs w:val="18"/>
              </w:rPr>
              <w:t>107,553</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4DDABB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BBB"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ABBC" w14:textId="77777777" w:rsidR="00584EC1" w:rsidRDefault="00871F8D">
            <w:pPr>
              <w:jc w:val="right"/>
              <w:textAlignment w:val="bottom"/>
            </w:pPr>
            <w:r>
              <w:rPr>
                <w:rFonts w:ascii="Arial" w:eastAsia="宋体" w:hAnsi="Arial" w:cs="Arial"/>
                <w:color w:val="000000"/>
                <w:sz w:val="18"/>
                <w:szCs w:val="18"/>
              </w:rPr>
              <w:t>116,960 </w:t>
            </w:r>
          </w:p>
        </w:tc>
        <w:tc>
          <w:tcPr>
            <w:tcW w:w="0" w:type="auto"/>
            <w:shd w:val="clear" w:color="auto" w:fill="FFFFFF"/>
            <w:tcMar>
              <w:top w:w="40" w:type="dxa"/>
              <w:left w:w="0" w:type="dxa"/>
              <w:bottom w:w="40" w:type="dxa"/>
              <w:right w:w="20" w:type="dxa"/>
            </w:tcMar>
            <w:vAlign w:val="bottom"/>
          </w:tcPr>
          <w:p w14:paraId="74DDABBD" w14:textId="77777777" w:rsidR="00584EC1" w:rsidRDefault="00584EC1">
            <w:pPr>
              <w:jc w:val="right"/>
              <w:rPr>
                <w:rFonts w:ascii="宋体"/>
              </w:rPr>
            </w:pPr>
          </w:p>
        </w:tc>
      </w:tr>
      <w:tr w:rsidR="00584EC1" w14:paraId="74DDABC5" w14:textId="77777777">
        <w:trPr>
          <w:jc w:val="center"/>
        </w:trPr>
        <w:tc>
          <w:tcPr>
            <w:tcW w:w="0" w:type="auto"/>
            <w:gridSpan w:val="3"/>
            <w:shd w:val="clear" w:color="auto" w:fill="CCEEFF"/>
            <w:tcMar>
              <w:top w:w="40" w:type="dxa"/>
              <w:left w:w="20" w:type="dxa"/>
              <w:bottom w:w="40" w:type="dxa"/>
              <w:right w:w="20" w:type="dxa"/>
            </w:tcMar>
            <w:vAlign w:val="bottom"/>
          </w:tcPr>
          <w:p w14:paraId="74DDABBF" w14:textId="77777777" w:rsidR="00584EC1" w:rsidRDefault="00871F8D">
            <w:pPr>
              <w:textAlignment w:val="bottom"/>
            </w:pPr>
            <w:r>
              <w:rPr>
                <w:rFonts w:ascii="Arial" w:eastAsia="宋体" w:hAnsi="Arial" w:cs="Arial"/>
                <w:color w:val="000000"/>
                <w:sz w:val="18"/>
                <w:szCs w:val="18"/>
              </w:rPr>
              <w:t>Securities purchased under resale agreements</w:t>
            </w:r>
          </w:p>
        </w:tc>
        <w:tc>
          <w:tcPr>
            <w:tcW w:w="0" w:type="auto"/>
            <w:gridSpan w:val="2"/>
            <w:shd w:val="clear" w:color="auto" w:fill="CCEEFF"/>
            <w:tcMar>
              <w:top w:w="40" w:type="dxa"/>
              <w:left w:w="20" w:type="dxa"/>
              <w:bottom w:w="40" w:type="dxa"/>
              <w:right w:w="0" w:type="dxa"/>
            </w:tcMar>
            <w:vAlign w:val="bottom"/>
          </w:tcPr>
          <w:p w14:paraId="74DDABC0" w14:textId="77777777" w:rsidR="00584EC1" w:rsidRDefault="00871F8D">
            <w:pPr>
              <w:jc w:val="right"/>
              <w:textAlignment w:val="bottom"/>
            </w:pPr>
            <w:r>
              <w:rPr>
                <w:rFonts w:ascii="Arial" w:eastAsia="宋体" w:hAnsi="Arial" w:cs="Arial"/>
                <w:b/>
                <w:bCs/>
                <w:color w:val="000000"/>
                <w:sz w:val="18"/>
                <w:szCs w:val="18"/>
              </w:rPr>
              <w:t>2,847</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4DDABC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BC2"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ABC3" w14:textId="77777777" w:rsidR="00584EC1" w:rsidRDefault="00871F8D">
            <w:pPr>
              <w:jc w:val="right"/>
              <w:textAlignment w:val="bottom"/>
            </w:pPr>
            <w:r>
              <w:rPr>
                <w:rFonts w:ascii="Arial" w:eastAsia="宋体" w:hAnsi="Arial" w:cs="Arial"/>
                <w:color w:val="000000"/>
                <w:sz w:val="18"/>
                <w:szCs w:val="18"/>
              </w:rPr>
              <w:t>3,106 </w:t>
            </w:r>
          </w:p>
        </w:tc>
        <w:tc>
          <w:tcPr>
            <w:tcW w:w="0" w:type="auto"/>
            <w:shd w:val="clear" w:color="auto" w:fill="CCEEFF"/>
            <w:tcMar>
              <w:top w:w="40" w:type="dxa"/>
              <w:left w:w="0" w:type="dxa"/>
              <w:bottom w:w="40" w:type="dxa"/>
              <w:right w:w="20" w:type="dxa"/>
            </w:tcMar>
            <w:vAlign w:val="bottom"/>
          </w:tcPr>
          <w:p w14:paraId="74DDABC4" w14:textId="77777777" w:rsidR="00584EC1" w:rsidRDefault="00584EC1">
            <w:pPr>
              <w:jc w:val="right"/>
              <w:rPr>
                <w:rFonts w:ascii="宋体"/>
              </w:rPr>
            </w:pPr>
          </w:p>
        </w:tc>
      </w:tr>
      <w:tr w:rsidR="00584EC1" w14:paraId="74DDABCC" w14:textId="77777777">
        <w:trPr>
          <w:jc w:val="center"/>
        </w:trPr>
        <w:tc>
          <w:tcPr>
            <w:tcW w:w="0" w:type="auto"/>
            <w:gridSpan w:val="3"/>
            <w:shd w:val="clear" w:color="auto" w:fill="FFFFFF"/>
            <w:tcMar>
              <w:top w:w="40" w:type="dxa"/>
              <w:left w:w="20" w:type="dxa"/>
              <w:bottom w:w="40" w:type="dxa"/>
              <w:right w:w="20" w:type="dxa"/>
            </w:tcMar>
            <w:vAlign w:val="bottom"/>
          </w:tcPr>
          <w:p w14:paraId="74DDABC6" w14:textId="77777777" w:rsidR="00584EC1" w:rsidRDefault="00871F8D">
            <w:pPr>
              <w:textAlignment w:val="bottom"/>
            </w:pPr>
            <w:r>
              <w:rPr>
                <w:rFonts w:ascii="Arial" w:eastAsia="宋体" w:hAnsi="Arial" w:cs="Arial"/>
                <w:color w:val="000000"/>
                <w:sz w:val="18"/>
                <w:szCs w:val="18"/>
              </w:rPr>
              <w:t>Trading account assets</w:t>
            </w:r>
          </w:p>
        </w:tc>
        <w:tc>
          <w:tcPr>
            <w:tcW w:w="0" w:type="auto"/>
            <w:gridSpan w:val="2"/>
            <w:shd w:val="clear" w:color="auto" w:fill="FFFFFF"/>
            <w:tcMar>
              <w:top w:w="40" w:type="dxa"/>
              <w:left w:w="20" w:type="dxa"/>
              <w:bottom w:w="40" w:type="dxa"/>
              <w:right w:w="0" w:type="dxa"/>
            </w:tcMar>
            <w:vAlign w:val="bottom"/>
          </w:tcPr>
          <w:p w14:paraId="74DDABC7" w14:textId="77777777" w:rsidR="00584EC1" w:rsidRDefault="00871F8D">
            <w:pPr>
              <w:jc w:val="right"/>
              <w:textAlignment w:val="bottom"/>
            </w:pPr>
            <w:r>
              <w:rPr>
                <w:rFonts w:ascii="Arial" w:eastAsia="宋体" w:hAnsi="Arial" w:cs="Arial"/>
                <w:b/>
                <w:bCs/>
                <w:color w:val="000000"/>
                <w:sz w:val="18"/>
                <w:szCs w:val="18"/>
              </w:rPr>
              <w:t>720</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4DDABC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BC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ABCA" w14:textId="77777777" w:rsidR="00584EC1" w:rsidRDefault="00871F8D">
            <w:pPr>
              <w:jc w:val="right"/>
              <w:textAlignment w:val="bottom"/>
            </w:pPr>
            <w:r>
              <w:rPr>
                <w:rFonts w:ascii="Arial" w:eastAsia="宋体" w:hAnsi="Arial" w:cs="Arial"/>
                <w:color w:val="000000"/>
                <w:sz w:val="18"/>
                <w:szCs w:val="18"/>
              </w:rPr>
              <w:t>815 </w:t>
            </w:r>
          </w:p>
        </w:tc>
        <w:tc>
          <w:tcPr>
            <w:tcW w:w="0" w:type="auto"/>
            <w:shd w:val="clear" w:color="auto" w:fill="FFFFFF"/>
            <w:tcMar>
              <w:top w:w="40" w:type="dxa"/>
              <w:left w:w="0" w:type="dxa"/>
              <w:bottom w:w="40" w:type="dxa"/>
              <w:right w:w="20" w:type="dxa"/>
            </w:tcMar>
            <w:vAlign w:val="bottom"/>
          </w:tcPr>
          <w:p w14:paraId="74DDABCB" w14:textId="77777777" w:rsidR="00584EC1" w:rsidRDefault="00584EC1">
            <w:pPr>
              <w:jc w:val="right"/>
              <w:rPr>
                <w:rFonts w:ascii="宋体"/>
              </w:rPr>
            </w:pPr>
          </w:p>
        </w:tc>
      </w:tr>
      <w:tr w:rsidR="00584EC1" w14:paraId="74DDABD3" w14:textId="77777777">
        <w:trPr>
          <w:jc w:val="center"/>
        </w:trPr>
        <w:tc>
          <w:tcPr>
            <w:tcW w:w="0" w:type="auto"/>
            <w:gridSpan w:val="3"/>
            <w:shd w:val="clear" w:color="auto" w:fill="CCEEFF"/>
            <w:tcMar>
              <w:top w:w="40" w:type="dxa"/>
              <w:left w:w="20" w:type="dxa"/>
              <w:bottom w:w="40" w:type="dxa"/>
              <w:right w:w="20" w:type="dxa"/>
            </w:tcMar>
            <w:vAlign w:val="bottom"/>
          </w:tcPr>
          <w:p w14:paraId="74DDABCD" w14:textId="77777777" w:rsidR="00584EC1" w:rsidRDefault="00871F8D">
            <w:pPr>
              <w:textAlignment w:val="bottom"/>
            </w:pPr>
            <w:r>
              <w:rPr>
                <w:rFonts w:ascii="Arial" w:eastAsia="宋体" w:hAnsi="Arial" w:cs="Arial"/>
                <w:color w:val="000000"/>
                <w:sz w:val="18"/>
                <w:szCs w:val="18"/>
              </w:rPr>
              <w:t>Investment securities available-for-sale</w:t>
            </w:r>
          </w:p>
        </w:tc>
        <w:tc>
          <w:tcPr>
            <w:tcW w:w="0" w:type="auto"/>
            <w:gridSpan w:val="2"/>
            <w:shd w:val="clear" w:color="auto" w:fill="CCEEFF"/>
            <w:tcMar>
              <w:top w:w="40" w:type="dxa"/>
              <w:left w:w="20" w:type="dxa"/>
              <w:bottom w:w="40" w:type="dxa"/>
              <w:right w:w="0" w:type="dxa"/>
            </w:tcMar>
            <w:vAlign w:val="bottom"/>
          </w:tcPr>
          <w:p w14:paraId="74DDABCE" w14:textId="77777777" w:rsidR="00584EC1" w:rsidRDefault="00871F8D">
            <w:pPr>
              <w:jc w:val="right"/>
              <w:textAlignment w:val="bottom"/>
            </w:pPr>
            <w:r>
              <w:rPr>
                <w:rFonts w:ascii="Arial" w:eastAsia="宋体" w:hAnsi="Arial" w:cs="Arial"/>
                <w:b/>
                <w:bCs/>
                <w:color w:val="000000"/>
                <w:sz w:val="18"/>
                <w:szCs w:val="18"/>
              </w:rPr>
              <w:t>70,279</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4DDABC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BD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ABD1" w14:textId="77777777" w:rsidR="00584EC1" w:rsidRDefault="00871F8D">
            <w:pPr>
              <w:jc w:val="right"/>
              <w:textAlignment w:val="bottom"/>
            </w:pPr>
            <w:r>
              <w:rPr>
                <w:rFonts w:ascii="Arial" w:eastAsia="宋体" w:hAnsi="Arial" w:cs="Arial"/>
                <w:color w:val="000000"/>
                <w:sz w:val="18"/>
                <w:szCs w:val="18"/>
              </w:rPr>
              <w:t>59,048 </w:t>
            </w:r>
          </w:p>
        </w:tc>
        <w:tc>
          <w:tcPr>
            <w:tcW w:w="0" w:type="auto"/>
            <w:shd w:val="clear" w:color="auto" w:fill="CCEEFF"/>
            <w:tcMar>
              <w:top w:w="40" w:type="dxa"/>
              <w:left w:w="0" w:type="dxa"/>
              <w:bottom w:w="40" w:type="dxa"/>
              <w:right w:w="20" w:type="dxa"/>
            </w:tcMar>
            <w:vAlign w:val="bottom"/>
          </w:tcPr>
          <w:p w14:paraId="74DDABD2" w14:textId="77777777" w:rsidR="00584EC1" w:rsidRDefault="00584EC1">
            <w:pPr>
              <w:jc w:val="right"/>
              <w:rPr>
                <w:rFonts w:ascii="宋体"/>
              </w:rPr>
            </w:pPr>
          </w:p>
        </w:tc>
      </w:tr>
      <w:tr w:rsidR="00584EC1" w14:paraId="74DDABDA" w14:textId="77777777">
        <w:trPr>
          <w:jc w:val="center"/>
        </w:trPr>
        <w:tc>
          <w:tcPr>
            <w:tcW w:w="0" w:type="auto"/>
            <w:gridSpan w:val="3"/>
            <w:shd w:val="clear" w:color="auto" w:fill="FFFFFF"/>
            <w:tcMar>
              <w:top w:w="40" w:type="dxa"/>
              <w:left w:w="20" w:type="dxa"/>
              <w:bottom w:w="40" w:type="dxa"/>
              <w:right w:w="20" w:type="dxa"/>
            </w:tcMar>
            <w:vAlign w:val="bottom"/>
          </w:tcPr>
          <w:p w14:paraId="74DDABD4" w14:textId="77777777" w:rsidR="00584EC1" w:rsidRDefault="00871F8D">
            <w:pPr>
              <w:jc w:val="both"/>
              <w:textAlignment w:val="bottom"/>
            </w:pPr>
            <w:r>
              <w:rPr>
                <w:rFonts w:ascii="Arial" w:eastAsia="宋体" w:hAnsi="Arial" w:cs="Arial"/>
                <w:color w:val="000000"/>
                <w:sz w:val="18"/>
                <w:szCs w:val="18"/>
              </w:rPr>
              <w:t xml:space="preserve">Investment securities held-to-maturity purchased under money market liquidity facility (less allowance for credit losses of $0 and $1) (fair value of $0 </w:t>
            </w:r>
            <w:r>
              <w:rPr>
                <w:rFonts w:ascii="Arial" w:eastAsia="宋体" w:hAnsi="Arial" w:cs="Arial"/>
                <w:color w:val="000000"/>
                <w:sz w:val="18"/>
                <w:szCs w:val="18"/>
              </w:rPr>
              <w:t>and $3,304)</w:t>
            </w:r>
          </w:p>
        </w:tc>
        <w:tc>
          <w:tcPr>
            <w:tcW w:w="0" w:type="auto"/>
            <w:gridSpan w:val="2"/>
            <w:shd w:val="clear" w:color="auto" w:fill="FFFFFF"/>
            <w:tcMar>
              <w:top w:w="40" w:type="dxa"/>
              <w:left w:w="20" w:type="dxa"/>
              <w:bottom w:w="40" w:type="dxa"/>
              <w:right w:w="0" w:type="dxa"/>
            </w:tcMar>
            <w:vAlign w:val="bottom"/>
          </w:tcPr>
          <w:p w14:paraId="74DDABD5" w14:textId="77777777" w:rsidR="00584EC1" w:rsidRDefault="00871F8D">
            <w:pPr>
              <w:jc w:val="right"/>
              <w:textAlignment w:val="bottom"/>
            </w:pPr>
            <w:r>
              <w:rPr>
                <w:rFonts w:ascii="Arial" w:eastAsia="宋体" w:hAnsi="Arial" w:cs="Arial"/>
                <w:b/>
                <w:bCs/>
                <w:color w:val="000000"/>
                <w:sz w:val="18"/>
                <w:szCs w:val="18"/>
              </w:rPr>
              <w:t>—</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4DDABD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BD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ABD8" w14:textId="77777777" w:rsidR="00584EC1" w:rsidRDefault="00871F8D">
            <w:pPr>
              <w:jc w:val="right"/>
              <w:textAlignment w:val="bottom"/>
            </w:pPr>
            <w:r>
              <w:rPr>
                <w:rFonts w:ascii="Arial" w:eastAsia="宋体" w:hAnsi="Arial" w:cs="Arial"/>
                <w:color w:val="000000"/>
                <w:sz w:val="18"/>
                <w:szCs w:val="18"/>
              </w:rPr>
              <w:t>3,299 </w:t>
            </w:r>
          </w:p>
        </w:tc>
        <w:tc>
          <w:tcPr>
            <w:tcW w:w="0" w:type="auto"/>
            <w:shd w:val="clear" w:color="auto" w:fill="FFFFFF"/>
            <w:tcMar>
              <w:top w:w="40" w:type="dxa"/>
              <w:left w:w="0" w:type="dxa"/>
              <w:bottom w:w="40" w:type="dxa"/>
              <w:right w:w="20" w:type="dxa"/>
            </w:tcMar>
            <w:vAlign w:val="bottom"/>
          </w:tcPr>
          <w:p w14:paraId="74DDABD9" w14:textId="77777777" w:rsidR="00584EC1" w:rsidRDefault="00584EC1">
            <w:pPr>
              <w:jc w:val="right"/>
              <w:rPr>
                <w:rFonts w:ascii="宋体"/>
              </w:rPr>
            </w:pPr>
          </w:p>
        </w:tc>
      </w:tr>
      <w:tr w:rsidR="00584EC1" w14:paraId="74DDABE1" w14:textId="77777777">
        <w:trPr>
          <w:jc w:val="center"/>
        </w:trPr>
        <w:tc>
          <w:tcPr>
            <w:tcW w:w="0" w:type="auto"/>
            <w:gridSpan w:val="3"/>
            <w:shd w:val="clear" w:color="auto" w:fill="CCEEFF"/>
            <w:tcMar>
              <w:top w:w="40" w:type="dxa"/>
              <w:left w:w="20" w:type="dxa"/>
              <w:bottom w:w="40" w:type="dxa"/>
              <w:right w:w="20" w:type="dxa"/>
            </w:tcMar>
            <w:vAlign w:val="bottom"/>
          </w:tcPr>
          <w:p w14:paraId="74DDABDB" w14:textId="77777777" w:rsidR="00584EC1" w:rsidRDefault="00871F8D">
            <w:pPr>
              <w:jc w:val="both"/>
              <w:textAlignment w:val="bottom"/>
            </w:pPr>
            <w:r>
              <w:rPr>
                <w:rFonts w:ascii="Arial" w:eastAsia="宋体" w:hAnsi="Arial" w:cs="Arial"/>
                <w:color w:val="000000"/>
                <w:sz w:val="18"/>
                <w:szCs w:val="18"/>
              </w:rPr>
              <w:t>Investment securities held-to-maturity (less allowance for credit losses of $2 and $2) (fair value of $43,728 and $50,003)</w:t>
            </w:r>
          </w:p>
        </w:tc>
        <w:tc>
          <w:tcPr>
            <w:tcW w:w="0" w:type="auto"/>
            <w:gridSpan w:val="2"/>
            <w:shd w:val="clear" w:color="auto" w:fill="CCEEFF"/>
            <w:tcMar>
              <w:top w:w="40" w:type="dxa"/>
              <w:left w:w="20" w:type="dxa"/>
              <w:bottom w:w="40" w:type="dxa"/>
              <w:right w:w="0" w:type="dxa"/>
            </w:tcMar>
            <w:vAlign w:val="bottom"/>
          </w:tcPr>
          <w:p w14:paraId="74DDABDC" w14:textId="77777777" w:rsidR="00584EC1" w:rsidRDefault="00871F8D">
            <w:pPr>
              <w:jc w:val="right"/>
              <w:textAlignment w:val="bottom"/>
            </w:pPr>
            <w:r>
              <w:rPr>
                <w:rFonts w:ascii="Arial" w:eastAsia="宋体" w:hAnsi="Arial" w:cs="Arial"/>
                <w:b/>
                <w:bCs/>
                <w:color w:val="000000"/>
                <w:sz w:val="18"/>
                <w:szCs w:val="18"/>
              </w:rPr>
              <w:t>43,346</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4DDABD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BDE"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ABDF" w14:textId="77777777" w:rsidR="00584EC1" w:rsidRDefault="00871F8D">
            <w:pPr>
              <w:jc w:val="right"/>
              <w:textAlignment w:val="bottom"/>
            </w:pPr>
            <w:r>
              <w:rPr>
                <w:rFonts w:ascii="Arial" w:eastAsia="宋体" w:hAnsi="Arial" w:cs="Arial"/>
                <w:color w:val="000000"/>
                <w:sz w:val="18"/>
                <w:szCs w:val="18"/>
              </w:rPr>
              <w:t>48,929 </w:t>
            </w:r>
          </w:p>
        </w:tc>
        <w:tc>
          <w:tcPr>
            <w:tcW w:w="0" w:type="auto"/>
            <w:shd w:val="clear" w:color="auto" w:fill="CCEEFF"/>
            <w:tcMar>
              <w:top w:w="40" w:type="dxa"/>
              <w:left w:w="0" w:type="dxa"/>
              <w:bottom w:w="40" w:type="dxa"/>
              <w:right w:w="20" w:type="dxa"/>
            </w:tcMar>
            <w:vAlign w:val="bottom"/>
          </w:tcPr>
          <w:p w14:paraId="74DDABE0" w14:textId="77777777" w:rsidR="00584EC1" w:rsidRDefault="00584EC1">
            <w:pPr>
              <w:jc w:val="right"/>
              <w:rPr>
                <w:rFonts w:ascii="宋体"/>
              </w:rPr>
            </w:pPr>
          </w:p>
        </w:tc>
      </w:tr>
      <w:tr w:rsidR="00584EC1" w14:paraId="74DDABE8" w14:textId="77777777">
        <w:trPr>
          <w:jc w:val="center"/>
        </w:trPr>
        <w:tc>
          <w:tcPr>
            <w:tcW w:w="0" w:type="auto"/>
            <w:gridSpan w:val="3"/>
            <w:shd w:val="clear" w:color="auto" w:fill="FFFFFF"/>
            <w:tcMar>
              <w:top w:w="40" w:type="dxa"/>
              <w:left w:w="20" w:type="dxa"/>
              <w:bottom w:w="40" w:type="dxa"/>
              <w:right w:w="20" w:type="dxa"/>
            </w:tcMar>
            <w:vAlign w:val="bottom"/>
          </w:tcPr>
          <w:p w14:paraId="74DDABE2" w14:textId="77777777" w:rsidR="00584EC1" w:rsidRDefault="00871F8D">
            <w:pPr>
              <w:textAlignment w:val="bottom"/>
            </w:pPr>
            <w:r>
              <w:rPr>
                <w:rFonts w:ascii="Arial" w:eastAsia="宋体" w:hAnsi="Arial" w:cs="Arial"/>
                <w:color w:val="000000"/>
                <w:sz w:val="18"/>
                <w:szCs w:val="18"/>
              </w:rPr>
              <w:t>Loans (less allowance for credit losses on loans of $95 and $122)</w:t>
            </w:r>
          </w:p>
        </w:tc>
        <w:tc>
          <w:tcPr>
            <w:tcW w:w="0" w:type="auto"/>
            <w:gridSpan w:val="2"/>
            <w:shd w:val="clear" w:color="auto" w:fill="FFFFFF"/>
            <w:tcMar>
              <w:top w:w="40" w:type="dxa"/>
              <w:left w:w="20" w:type="dxa"/>
              <w:bottom w:w="40" w:type="dxa"/>
              <w:right w:w="0" w:type="dxa"/>
            </w:tcMar>
            <w:vAlign w:val="bottom"/>
          </w:tcPr>
          <w:p w14:paraId="74DDABE3" w14:textId="77777777" w:rsidR="00584EC1" w:rsidRDefault="00871F8D">
            <w:pPr>
              <w:jc w:val="right"/>
              <w:textAlignment w:val="bottom"/>
            </w:pPr>
            <w:r>
              <w:rPr>
                <w:rFonts w:ascii="Arial" w:eastAsia="宋体" w:hAnsi="Arial" w:cs="Arial"/>
                <w:b/>
                <w:bCs/>
                <w:color w:val="000000"/>
                <w:sz w:val="18"/>
                <w:szCs w:val="18"/>
              </w:rPr>
              <w:t>32,702</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4DDABE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BE5"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ABE6" w14:textId="77777777" w:rsidR="00584EC1" w:rsidRDefault="00871F8D">
            <w:pPr>
              <w:jc w:val="right"/>
              <w:textAlignment w:val="bottom"/>
            </w:pPr>
            <w:r>
              <w:rPr>
                <w:rFonts w:ascii="Arial" w:eastAsia="宋体" w:hAnsi="Arial" w:cs="Arial"/>
                <w:color w:val="000000"/>
                <w:sz w:val="18"/>
                <w:szCs w:val="18"/>
              </w:rPr>
              <w:t>27,803 </w:t>
            </w:r>
          </w:p>
        </w:tc>
        <w:tc>
          <w:tcPr>
            <w:tcW w:w="0" w:type="auto"/>
            <w:shd w:val="clear" w:color="auto" w:fill="FFFFFF"/>
            <w:tcMar>
              <w:top w:w="40" w:type="dxa"/>
              <w:left w:w="0" w:type="dxa"/>
              <w:bottom w:w="40" w:type="dxa"/>
              <w:right w:w="20" w:type="dxa"/>
            </w:tcMar>
            <w:vAlign w:val="bottom"/>
          </w:tcPr>
          <w:p w14:paraId="74DDABE7" w14:textId="77777777" w:rsidR="00584EC1" w:rsidRDefault="00584EC1">
            <w:pPr>
              <w:jc w:val="right"/>
              <w:rPr>
                <w:rFonts w:ascii="宋体"/>
              </w:rPr>
            </w:pPr>
          </w:p>
        </w:tc>
      </w:tr>
      <w:tr w:rsidR="00584EC1" w14:paraId="74DDABEF" w14:textId="77777777">
        <w:trPr>
          <w:jc w:val="center"/>
        </w:trPr>
        <w:tc>
          <w:tcPr>
            <w:tcW w:w="0" w:type="auto"/>
            <w:gridSpan w:val="3"/>
            <w:shd w:val="clear" w:color="auto" w:fill="CCEEFF"/>
            <w:tcMar>
              <w:top w:w="40" w:type="dxa"/>
              <w:left w:w="20" w:type="dxa"/>
              <w:bottom w:w="40" w:type="dxa"/>
              <w:right w:w="20" w:type="dxa"/>
            </w:tcMar>
            <w:vAlign w:val="bottom"/>
          </w:tcPr>
          <w:p w14:paraId="74DDABE9" w14:textId="77777777" w:rsidR="00584EC1" w:rsidRDefault="00871F8D">
            <w:pPr>
              <w:jc w:val="both"/>
              <w:textAlignment w:val="bottom"/>
            </w:pPr>
            <w:r>
              <w:rPr>
                <w:rFonts w:ascii="Arial" w:eastAsia="宋体" w:hAnsi="Arial" w:cs="Arial"/>
                <w:color w:val="000000"/>
                <w:sz w:val="18"/>
                <w:szCs w:val="18"/>
              </w:rPr>
              <w:t>Premises and equipment (net of accumulated depreciation of $5,235 and $4,825)</w:t>
            </w:r>
          </w:p>
        </w:tc>
        <w:tc>
          <w:tcPr>
            <w:tcW w:w="0" w:type="auto"/>
            <w:gridSpan w:val="2"/>
            <w:shd w:val="clear" w:color="auto" w:fill="CCEEFF"/>
            <w:tcMar>
              <w:top w:w="40" w:type="dxa"/>
              <w:left w:w="20" w:type="dxa"/>
              <w:bottom w:w="40" w:type="dxa"/>
              <w:right w:w="0" w:type="dxa"/>
            </w:tcMar>
            <w:vAlign w:val="bottom"/>
          </w:tcPr>
          <w:p w14:paraId="74DDABEA" w14:textId="77777777" w:rsidR="00584EC1" w:rsidRDefault="00871F8D">
            <w:pPr>
              <w:jc w:val="right"/>
              <w:textAlignment w:val="bottom"/>
            </w:pPr>
            <w:r>
              <w:rPr>
                <w:rFonts w:ascii="Arial" w:eastAsia="宋体" w:hAnsi="Arial" w:cs="Arial"/>
                <w:b/>
                <w:bCs/>
                <w:color w:val="000000"/>
                <w:sz w:val="18"/>
                <w:szCs w:val="18"/>
              </w:rPr>
              <w:t>2,191</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4DDABE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BEC"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ABED" w14:textId="77777777" w:rsidR="00584EC1" w:rsidRDefault="00871F8D">
            <w:pPr>
              <w:jc w:val="right"/>
              <w:textAlignment w:val="bottom"/>
            </w:pPr>
            <w:r>
              <w:rPr>
                <w:rFonts w:ascii="Arial" w:eastAsia="宋体" w:hAnsi="Arial" w:cs="Arial"/>
                <w:color w:val="000000"/>
                <w:sz w:val="18"/>
                <w:szCs w:val="18"/>
              </w:rPr>
              <w:t>2,154 </w:t>
            </w:r>
          </w:p>
        </w:tc>
        <w:tc>
          <w:tcPr>
            <w:tcW w:w="0" w:type="auto"/>
            <w:shd w:val="clear" w:color="auto" w:fill="CCEEFF"/>
            <w:tcMar>
              <w:top w:w="40" w:type="dxa"/>
              <w:left w:w="0" w:type="dxa"/>
              <w:bottom w:w="40" w:type="dxa"/>
              <w:right w:w="20" w:type="dxa"/>
            </w:tcMar>
            <w:vAlign w:val="bottom"/>
          </w:tcPr>
          <w:p w14:paraId="74DDABEE" w14:textId="77777777" w:rsidR="00584EC1" w:rsidRDefault="00584EC1">
            <w:pPr>
              <w:jc w:val="right"/>
              <w:rPr>
                <w:rFonts w:ascii="宋体"/>
              </w:rPr>
            </w:pPr>
          </w:p>
        </w:tc>
      </w:tr>
      <w:tr w:rsidR="00584EC1" w14:paraId="74DDABF6" w14:textId="77777777">
        <w:trPr>
          <w:jc w:val="center"/>
        </w:trPr>
        <w:tc>
          <w:tcPr>
            <w:tcW w:w="0" w:type="auto"/>
            <w:gridSpan w:val="3"/>
            <w:shd w:val="clear" w:color="auto" w:fill="FFFFFF"/>
            <w:tcMar>
              <w:top w:w="40" w:type="dxa"/>
              <w:left w:w="20" w:type="dxa"/>
              <w:bottom w:w="40" w:type="dxa"/>
              <w:right w:w="20" w:type="dxa"/>
            </w:tcMar>
            <w:vAlign w:val="bottom"/>
          </w:tcPr>
          <w:p w14:paraId="74DDABF0" w14:textId="77777777" w:rsidR="00584EC1" w:rsidRDefault="00871F8D">
            <w:pPr>
              <w:textAlignment w:val="bottom"/>
            </w:pPr>
            <w:r>
              <w:rPr>
                <w:rFonts w:ascii="Arial" w:eastAsia="宋体" w:hAnsi="Arial" w:cs="Arial"/>
                <w:color w:val="000000"/>
                <w:sz w:val="18"/>
                <w:szCs w:val="18"/>
              </w:rPr>
              <w:t>Accrued interest and fees receivable</w:t>
            </w:r>
          </w:p>
        </w:tc>
        <w:tc>
          <w:tcPr>
            <w:tcW w:w="0" w:type="auto"/>
            <w:gridSpan w:val="2"/>
            <w:shd w:val="clear" w:color="auto" w:fill="FFFFFF"/>
            <w:tcMar>
              <w:top w:w="40" w:type="dxa"/>
              <w:left w:w="20" w:type="dxa"/>
              <w:bottom w:w="40" w:type="dxa"/>
              <w:right w:w="0" w:type="dxa"/>
            </w:tcMar>
            <w:vAlign w:val="bottom"/>
          </w:tcPr>
          <w:p w14:paraId="74DDABF1" w14:textId="77777777" w:rsidR="00584EC1" w:rsidRDefault="00871F8D">
            <w:pPr>
              <w:jc w:val="right"/>
              <w:textAlignment w:val="bottom"/>
            </w:pPr>
            <w:r>
              <w:rPr>
                <w:rFonts w:ascii="Arial" w:eastAsia="宋体" w:hAnsi="Arial" w:cs="Arial"/>
                <w:b/>
                <w:bCs/>
                <w:color w:val="000000"/>
                <w:sz w:val="18"/>
                <w:szCs w:val="18"/>
              </w:rPr>
              <w:t>3,407</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4DDABF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BF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ABF4" w14:textId="77777777" w:rsidR="00584EC1" w:rsidRDefault="00871F8D">
            <w:pPr>
              <w:jc w:val="right"/>
              <w:textAlignment w:val="bottom"/>
            </w:pPr>
            <w:r>
              <w:rPr>
                <w:rFonts w:ascii="Arial" w:eastAsia="宋体" w:hAnsi="Arial" w:cs="Arial"/>
                <w:color w:val="000000"/>
                <w:sz w:val="18"/>
                <w:szCs w:val="18"/>
              </w:rPr>
              <w:t>3,105 </w:t>
            </w:r>
          </w:p>
        </w:tc>
        <w:tc>
          <w:tcPr>
            <w:tcW w:w="0" w:type="auto"/>
            <w:shd w:val="clear" w:color="auto" w:fill="FFFFFF"/>
            <w:tcMar>
              <w:top w:w="40" w:type="dxa"/>
              <w:left w:w="0" w:type="dxa"/>
              <w:bottom w:w="40" w:type="dxa"/>
              <w:right w:w="20" w:type="dxa"/>
            </w:tcMar>
            <w:vAlign w:val="bottom"/>
          </w:tcPr>
          <w:p w14:paraId="74DDABF5" w14:textId="77777777" w:rsidR="00584EC1" w:rsidRDefault="00584EC1">
            <w:pPr>
              <w:jc w:val="right"/>
              <w:rPr>
                <w:rFonts w:ascii="宋体"/>
              </w:rPr>
            </w:pPr>
          </w:p>
        </w:tc>
      </w:tr>
      <w:tr w:rsidR="00584EC1" w14:paraId="74DDABFB" w14:textId="77777777">
        <w:trPr>
          <w:jc w:val="center"/>
          <w:hidden/>
        </w:trPr>
        <w:tc>
          <w:tcPr>
            <w:tcW w:w="0" w:type="auto"/>
            <w:gridSpan w:val="3"/>
            <w:shd w:val="clear" w:color="auto" w:fill="auto"/>
            <w:vAlign w:val="bottom"/>
          </w:tcPr>
          <w:p w14:paraId="74DDABF7" w14:textId="77777777" w:rsidR="00584EC1" w:rsidRDefault="00584EC1">
            <w:pPr>
              <w:rPr>
                <w:rFonts w:ascii="宋体"/>
                <w:vanish/>
              </w:rPr>
            </w:pPr>
          </w:p>
        </w:tc>
        <w:tc>
          <w:tcPr>
            <w:tcW w:w="0" w:type="auto"/>
            <w:gridSpan w:val="3"/>
            <w:shd w:val="clear" w:color="auto" w:fill="auto"/>
            <w:vAlign w:val="bottom"/>
          </w:tcPr>
          <w:p w14:paraId="74DDABF8" w14:textId="77777777" w:rsidR="00584EC1" w:rsidRDefault="00584EC1">
            <w:pPr>
              <w:rPr>
                <w:rFonts w:ascii="宋体"/>
                <w:vanish/>
              </w:rPr>
            </w:pPr>
          </w:p>
        </w:tc>
        <w:tc>
          <w:tcPr>
            <w:tcW w:w="0" w:type="auto"/>
            <w:gridSpan w:val="3"/>
            <w:shd w:val="clear" w:color="auto" w:fill="auto"/>
            <w:vAlign w:val="bottom"/>
          </w:tcPr>
          <w:p w14:paraId="74DDABF9" w14:textId="77777777" w:rsidR="00584EC1" w:rsidRDefault="00584EC1">
            <w:pPr>
              <w:rPr>
                <w:rFonts w:ascii="宋体"/>
                <w:vanish/>
              </w:rPr>
            </w:pPr>
          </w:p>
        </w:tc>
        <w:tc>
          <w:tcPr>
            <w:tcW w:w="0" w:type="auto"/>
            <w:gridSpan w:val="3"/>
            <w:shd w:val="clear" w:color="auto" w:fill="auto"/>
            <w:vAlign w:val="bottom"/>
          </w:tcPr>
          <w:p w14:paraId="74DDABFA" w14:textId="77777777" w:rsidR="00584EC1" w:rsidRDefault="00584EC1">
            <w:pPr>
              <w:rPr>
                <w:rFonts w:ascii="宋体"/>
                <w:vanish/>
              </w:rPr>
            </w:pPr>
          </w:p>
        </w:tc>
      </w:tr>
      <w:tr w:rsidR="00584EC1" w14:paraId="74DDAC02" w14:textId="77777777">
        <w:trPr>
          <w:jc w:val="center"/>
        </w:trPr>
        <w:tc>
          <w:tcPr>
            <w:tcW w:w="0" w:type="auto"/>
            <w:gridSpan w:val="3"/>
            <w:shd w:val="clear" w:color="auto" w:fill="CCEEFF"/>
            <w:tcMar>
              <w:top w:w="40" w:type="dxa"/>
              <w:left w:w="20" w:type="dxa"/>
              <w:bottom w:w="40" w:type="dxa"/>
              <w:right w:w="20" w:type="dxa"/>
            </w:tcMar>
            <w:vAlign w:val="bottom"/>
          </w:tcPr>
          <w:p w14:paraId="74DDABFC" w14:textId="77777777" w:rsidR="00584EC1" w:rsidRDefault="00871F8D">
            <w:pPr>
              <w:textAlignment w:val="bottom"/>
            </w:pPr>
            <w:r>
              <w:rPr>
                <w:rFonts w:ascii="Arial" w:eastAsia="宋体" w:hAnsi="Arial" w:cs="Arial"/>
                <w:color w:val="000000"/>
                <w:sz w:val="18"/>
                <w:szCs w:val="18"/>
              </w:rPr>
              <w:t>Goodwill</w:t>
            </w:r>
          </w:p>
        </w:tc>
        <w:tc>
          <w:tcPr>
            <w:tcW w:w="0" w:type="auto"/>
            <w:gridSpan w:val="2"/>
            <w:shd w:val="clear" w:color="auto" w:fill="CCEEFF"/>
            <w:tcMar>
              <w:top w:w="40" w:type="dxa"/>
              <w:left w:w="20" w:type="dxa"/>
              <w:bottom w:w="40" w:type="dxa"/>
              <w:right w:w="0" w:type="dxa"/>
            </w:tcMar>
            <w:vAlign w:val="bottom"/>
          </w:tcPr>
          <w:p w14:paraId="74DDABFD" w14:textId="77777777" w:rsidR="00584EC1" w:rsidRDefault="00871F8D">
            <w:pPr>
              <w:jc w:val="right"/>
              <w:textAlignment w:val="bottom"/>
            </w:pPr>
            <w:r>
              <w:rPr>
                <w:rFonts w:ascii="Arial" w:eastAsia="宋体" w:hAnsi="Arial" w:cs="Arial"/>
                <w:b/>
                <w:bCs/>
                <w:color w:val="000000"/>
                <w:sz w:val="18"/>
                <w:szCs w:val="18"/>
              </w:rPr>
              <w:t>7,650</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4DDABF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BFF"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AC00" w14:textId="77777777" w:rsidR="00584EC1" w:rsidRDefault="00871F8D">
            <w:pPr>
              <w:jc w:val="right"/>
              <w:textAlignment w:val="bottom"/>
            </w:pPr>
            <w:r>
              <w:rPr>
                <w:rFonts w:ascii="Arial" w:eastAsia="宋体" w:hAnsi="Arial" w:cs="Arial"/>
                <w:color w:val="000000"/>
                <w:sz w:val="18"/>
                <w:szCs w:val="18"/>
              </w:rPr>
              <w:t>7,683 </w:t>
            </w:r>
          </w:p>
        </w:tc>
        <w:tc>
          <w:tcPr>
            <w:tcW w:w="0" w:type="auto"/>
            <w:shd w:val="clear" w:color="auto" w:fill="CCEEFF"/>
            <w:tcMar>
              <w:top w:w="40" w:type="dxa"/>
              <w:left w:w="0" w:type="dxa"/>
              <w:bottom w:w="40" w:type="dxa"/>
              <w:right w:w="20" w:type="dxa"/>
            </w:tcMar>
            <w:vAlign w:val="bottom"/>
          </w:tcPr>
          <w:p w14:paraId="74DDAC01" w14:textId="77777777" w:rsidR="00584EC1" w:rsidRDefault="00584EC1">
            <w:pPr>
              <w:jc w:val="right"/>
              <w:rPr>
                <w:rFonts w:ascii="宋体"/>
              </w:rPr>
            </w:pPr>
          </w:p>
        </w:tc>
      </w:tr>
      <w:tr w:rsidR="00584EC1" w14:paraId="74DDAC09" w14:textId="77777777">
        <w:trPr>
          <w:jc w:val="center"/>
        </w:trPr>
        <w:tc>
          <w:tcPr>
            <w:tcW w:w="0" w:type="auto"/>
            <w:gridSpan w:val="3"/>
            <w:shd w:val="clear" w:color="auto" w:fill="FFFFFF"/>
            <w:tcMar>
              <w:top w:w="40" w:type="dxa"/>
              <w:left w:w="20" w:type="dxa"/>
              <w:bottom w:w="40" w:type="dxa"/>
              <w:right w:w="20" w:type="dxa"/>
            </w:tcMar>
            <w:vAlign w:val="bottom"/>
          </w:tcPr>
          <w:p w14:paraId="74DDAC03" w14:textId="77777777" w:rsidR="00584EC1" w:rsidRDefault="00871F8D">
            <w:pPr>
              <w:textAlignment w:val="bottom"/>
            </w:pPr>
            <w:r>
              <w:rPr>
                <w:rFonts w:ascii="Arial" w:eastAsia="宋体" w:hAnsi="Arial" w:cs="Arial"/>
                <w:color w:val="000000"/>
                <w:sz w:val="18"/>
                <w:szCs w:val="18"/>
              </w:rPr>
              <w:t>Other intangible assets</w:t>
            </w:r>
          </w:p>
        </w:tc>
        <w:tc>
          <w:tcPr>
            <w:tcW w:w="0" w:type="auto"/>
            <w:gridSpan w:val="2"/>
            <w:shd w:val="clear" w:color="auto" w:fill="FFFFFF"/>
            <w:tcMar>
              <w:top w:w="40" w:type="dxa"/>
              <w:left w:w="20" w:type="dxa"/>
              <w:bottom w:w="40" w:type="dxa"/>
              <w:right w:w="0" w:type="dxa"/>
            </w:tcMar>
            <w:vAlign w:val="bottom"/>
          </w:tcPr>
          <w:p w14:paraId="74DDAC04" w14:textId="77777777" w:rsidR="00584EC1" w:rsidRDefault="00871F8D">
            <w:pPr>
              <w:jc w:val="right"/>
              <w:textAlignment w:val="bottom"/>
            </w:pPr>
            <w:r>
              <w:rPr>
                <w:rFonts w:ascii="Arial" w:eastAsia="宋体" w:hAnsi="Arial" w:cs="Arial"/>
                <w:b/>
                <w:bCs/>
                <w:color w:val="000000"/>
                <w:sz w:val="18"/>
                <w:szCs w:val="18"/>
              </w:rPr>
              <w:t>1,887</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4DDAC0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C0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AC07" w14:textId="77777777" w:rsidR="00584EC1" w:rsidRDefault="00871F8D">
            <w:pPr>
              <w:jc w:val="right"/>
              <w:textAlignment w:val="bottom"/>
            </w:pPr>
            <w:r>
              <w:rPr>
                <w:rFonts w:ascii="Arial" w:eastAsia="宋体" w:hAnsi="Arial" w:cs="Arial"/>
                <w:color w:val="000000"/>
                <w:sz w:val="18"/>
                <w:szCs w:val="18"/>
              </w:rPr>
              <w:t>1,827 </w:t>
            </w:r>
          </w:p>
        </w:tc>
        <w:tc>
          <w:tcPr>
            <w:tcW w:w="0" w:type="auto"/>
            <w:shd w:val="clear" w:color="auto" w:fill="FFFFFF"/>
            <w:tcMar>
              <w:top w:w="40" w:type="dxa"/>
              <w:left w:w="0" w:type="dxa"/>
              <w:bottom w:w="40" w:type="dxa"/>
              <w:right w:w="20" w:type="dxa"/>
            </w:tcMar>
            <w:vAlign w:val="bottom"/>
          </w:tcPr>
          <w:p w14:paraId="74DDAC08" w14:textId="77777777" w:rsidR="00584EC1" w:rsidRDefault="00584EC1">
            <w:pPr>
              <w:jc w:val="right"/>
              <w:rPr>
                <w:rFonts w:ascii="宋体"/>
              </w:rPr>
            </w:pPr>
          </w:p>
        </w:tc>
      </w:tr>
      <w:tr w:rsidR="00584EC1" w14:paraId="74DDAC10" w14:textId="77777777">
        <w:trPr>
          <w:jc w:val="center"/>
        </w:trPr>
        <w:tc>
          <w:tcPr>
            <w:tcW w:w="0" w:type="auto"/>
            <w:gridSpan w:val="3"/>
            <w:shd w:val="clear" w:color="auto" w:fill="CCEEFF"/>
            <w:tcMar>
              <w:top w:w="40" w:type="dxa"/>
              <w:left w:w="20" w:type="dxa"/>
              <w:bottom w:w="40" w:type="dxa"/>
              <w:right w:w="20" w:type="dxa"/>
            </w:tcMar>
            <w:vAlign w:val="bottom"/>
          </w:tcPr>
          <w:p w14:paraId="74DDAC0A" w14:textId="77777777" w:rsidR="00584EC1" w:rsidRDefault="00871F8D">
            <w:pPr>
              <w:textAlignment w:val="bottom"/>
            </w:pPr>
            <w:r>
              <w:rPr>
                <w:rFonts w:ascii="Arial" w:eastAsia="宋体" w:hAnsi="Arial" w:cs="Arial"/>
                <w:color w:val="000000"/>
                <w:sz w:val="18"/>
                <w:szCs w:val="18"/>
              </w:rPr>
              <w:t>Other assets</w:t>
            </w:r>
          </w:p>
        </w:tc>
        <w:tc>
          <w:tcPr>
            <w:tcW w:w="0" w:type="auto"/>
            <w:gridSpan w:val="2"/>
            <w:shd w:val="clear" w:color="auto" w:fill="CCEEFF"/>
            <w:tcMar>
              <w:top w:w="40" w:type="dxa"/>
              <w:left w:w="20" w:type="dxa"/>
              <w:bottom w:w="40" w:type="dxa"/>
              <w:right w:w="0" w:type="dxa"/>
            </w:tcMar>
            <w:vAlign w:val="bottom"/>
          </w:tcPr>
          <w:p w14:paraId="74DDAC0B" w14:textId="77777777" w:rsidR="00584EC1" w:rsidRDefault="00871F8D">
            <w:pPr>
              <w:jc w:val="right"/>
              <w:textAlignment w:val="bottom"/>
            </w:pPr>
            <w:r>
              <w:rPr>
                <w:rFonts w:ascii="Arial" w:eastAsia="宋体" w:hAnsi="Arial" w:cs="Arial"/>
                <w:b/>
                <w:bCs/>
                <w:color w:val="000000"/>
                <w:sz w:val="18"/>
                <w:szCs w:val="18"/>
              </w:rPr>
              <w:t>45,951</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4DDAC0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C0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AC0E" w14:textId="77777777" w:rsidR="00584EC1" w:rsidRDefault="00871F8D">
            <w:pPr>
              <w:jc w:val="right"/>
              <w:textAlignment w:val="bottom"/>
            </w:pPr>
            <w:r>
              <w:rPr>
                <w:rFonts w:ascii="Arial" w:eastAsia="宋体" w:hAnsi="Arial" w:cs="Arial"/>
                <w:color w:val="000000"/>
                <w:sz w:val="18"/>
                <w:szCs w:val="18"/>
              </w:rPr>
              <w:t>36,510 </w:t>
            </w:r>
          </w:p>
        </w:tc>
        <w:tc>
          <w:tcPr>
            <w:tcW w:w="0" w:type="auto"/>
            <w:shd w:val="clear" w:color="auto" w:fill="CCEEFF"/>
            <w:tcMar>
              <w:top w:w="40" w:type="dxa"/>
              <w:left w:w="0" w:type="dxa"/>
              <w:bottom w:w="40" w:type="dxa"/>
              <w:right w:w="20" w:type="dxa"/>
            </w:tcMar>
            <w:vAlign w:val="bottom"/>
          </w:tcPr>
          <w:p w14:paraId="74DDAC0F" w14:textId="77777777" w:rsidR="00584EC1" w:rsidRDefault="00584EC1">
            <w:pPr>
              <w:jc w:val="right"/>
              <w:rPr>
                <w:rFonts w:ascii="宋体"/>
              </w:rPr>
            </w:pPr>
          </w:p>
        </w:tc>
      </w:tr>
      <w:tr w:rsidR="00584EC1" w14:paraId="74DDAC19" w14:textId="77777777">
        <w:trPr>
          <w:jc w:val="center"/>
        </w:trPr>
        <w:tc>
          <w:tcPr>
            <w:tcW w:w="0" w:type="auto"/>
            <w:gridSpan w:val="3"/>
            <w:shd w:val="clear" w:color="auto" w:fill="FFFFFF"/>
            <w:tcMar>
              <w:top w:w="40" w:type="dxa"/>
              <w:left w:w="20" w:type="dxa"/>
              <w:bottom w:w="40" w:type="dxa"/>
              <w:right w:w="20" w:type="dxa"/>
            </w:tcMar>
            <w:vAlign w:val="bottom"/>
          </w:tcPr>
          <w:p w14:paraId="74DDAC11" w14:textId="77777777" w:rsidR="00584EC1" w:rsidRDefault="00871F8D">
            <w:pPr>
              <w:textAlignment w:val="bottom"/>
            </w:pPr>
            <w:r>
              <w:rPr>
                <w:rFonts w:ascii="Arial" w:eastAsia="宋体" w:hAnsi="Arial" w:cs="Arial"/>
                <w:b/>
                <w:bCs/>
                <w:color w:val="000000"/>
                <w:sz w:val="18"/>
                <w:szCs w:val="18"/>
              </w:rPr>
              <w:t>Total assets</w:t>
            </w:r>
          </w:p>
        </w:tc>
        <w:tc>
          <w:tcPr>
            <w:tcW w:w="0" w:type="auto"/>
            <w:tcBorders>
              <w:top w:val="single" w:sz="8" w:space="0" w:color="000000"/>
            </w:tcBorders>
            <w:shd w:val="clear" w:color="auto" w:fill="FFFFFF"/>
            <w:tcMar>
              <w:top w:w="40" w:type="dxa"/>
              <w:left w:w="20" w:type="dxa"/>
              <w:bottom w:w="40" w:type="dxa"/>
              <w:right w:w="0" w:type="dxa"/>
            </w:tcMar>
            <w:vAlign w:val="bottom"/>
          </w:tcPr>
          <w:p w14:paraId="74DDAC12" w14:textId="77777777" w:rsidR="00584EC1" w:rsidRDefault="00871F8D">
            <w:pPr>
              <w:textAlignment w:val="bottom"/>
            </w:pPr>
            <w:r>
              <w:rPr>
                <w:rFonts w:ascii="Arial" w:eastAsia="宋体" w:hAnsi="Arial" w:cs="Arial"/>
                <w:b/>
                <w:bCs/>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AC13" w14:textId="77777777" w:rsidR="00584EC1" w:rsidRDefault="00871F8D">
            <w:pPr>
              <w:jc w:val="right"/>
              <w:textAlignment w:val="bottom"/>
            </w:pPr>
            <w:r>
              <w:rPr>
                <w:rFonts w:ascii="Arial" w:eastAsia="宋体" w:hAnsi="Arial" w:cs="Arial"/>
                <w:b/>
                <w:bCs/>
                <w:color w:val="000000"/>
                <w:sz w:val="18"/>
                <w:szCs w:val="18"/>
              </w:rPr>
              <w:t>323,139</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AC1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C15"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AC16" w14:textId="77777777" w:rsidR="00584EC1" w:rsidRDefault="00871F8D">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AC17" w14:textId="77777777" w:rsidR="00584EC1" w:rsidRDefault="00871F8D">
            <w:pPr>
              <w:jc w:val="right"/>
              <w:textAlignment w:val="bottom"/>
            </w:pPr>
            <w:r>
              <w:rPr>
                <w:rFonts w:ascii="Arial" w:eastAsia="宋体" w:hAnsi="Arial" w:cs="Arial"/>
                <w:color w:val="000000"/>
                <w:sz w:val="18"/>
                <w:szCs w:val="18"/>
              </w:rPr>
              <w:t>314,706 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AC18" w14:textId="77777777" w:rsidR="00584EC1" w:rsidRDefault="00584EC1">
            <w:pPr>
              <w:jc w:val="right"/>
              <w:rPr>
                <w:rFonts w:ascii="宋体"/>
              </w:rPr>
            </w:pPr>
          </w:p>
        </w:tc>
      </w:tr>
      <w:tr w:rsidR="00584EC1" w14:paraId="74DDAC1E" w14:textId="77777777">
        <w:trPr>
          <w:jc w:val="center"/>
        </w:trPr>
        <w:tc>
          <w:tcPr>
            <w:tcW w:w="0" w:type="auto"/>
            <w:gridSpan w:val="3"/>
            <w:shd w:val="clear" w:color="auto" w:fill="CCEEFF"/>
            <w:tcMar>
              <w:top w:w="40" w:type="dxa"/>
              <w:left w:w="20" w:type="dxa"/>
              <w:bottom w:w="40" w:type="dxa"/>
              <w:right w:w="20" w:type="dxa"/>
            </w:tcMar>
            <w:vAlign w:val="bottom"/>
          </w:tcPr>
          <w:p w14:paraId="74DDAC1A" w14:textId="77777777" w:rsidR="00584EC1" w:rsidRDefault="00871F8D">
            <w:pPr>
              <w:textAlignment w:val="bottom"/>
            </w:pPr>
            <w:r>
              <w:rPr>
                <w:rFonts w:ascii="Arial" w:eastAsia="宋体" w:hAnsi="Arial" w:cs="Arial"/>
                <w:b/>
                <w:bCs/>
                <w:color w:val="000000"/>
                <w:sz w:val="18"/>
                <w:szCs w:val="18"/>
              </w:rPr>
              <w:t>Liabilities:</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4DDAC1B"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AC1C" w14:textId="77777777" w:rsidR="00584EC1" w:rsidRDefault="00584EC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4DDAC1D" w14:textId="77777777" w:rsidR="00584EC1" w:rsidRDefault="00584EC1">
            <w:pPr>
              <w:rPr>
                <w:rFonts w:ascii="宋体"/>
              </w:rPr>
            </w:pPr>
          </w:p>
        </w:tc>
      </w:tr>
      <w:tr w:rsidR="00584EC1" w14:paraId="74DDAC23" w14:textId="77777777">
        <w:trPr>
          <w:jc w:val="center"/>
        </w:trPr>
        <w:tc>
          <w:tcPr>
            <w:tcW w:w="0" w:type="auto"/>
            <w:gridSpan w:val="3"/>
            <w:shd w:val="clear" w:color="auto" w:fill="FFFFFF"/>
            <w:tcMar>
              <w:top w:w="40" w:type="dxa"/>
              <w:left w:w="20" w:type="dxa"/>
              <w:bottom w:w="40" w:type="dxa"/>
              <w:right w:w="20" w:type="dxa"/>
            </w:tcMar>
            <w:vAlign w:val="bottom"/>
          </w:tcPr>
          <w:p w14:paraId="74DDAC1F" w14:textId="77777777" w:rsidR="00584EC1" w:rsidRDefault="00871F8D">
            <w:pPr>
              <w:textAlignment w:val="bottom"/>
            </w:pPr>
            <w:r>
              <w:rPr>
                <w:rFonts w:ascii="Arial" w:eastAsia="宋体" w:hAnsi="Arial" w:cs="Arial"/>
                <w:color w:val="000000"/>
                <w:sz w:val="18"/>
                <w:szCs w:val="18"/>
              </w:rPr>
              <w:t>Deposits:</w:t>
            </w:r>
          </w:p>
        </w:tc>
        <w:tc>
          <w:tcPr>
            <w:tcW w:w="0" w:type="auto"/>
            <w:gridSpan w:val="3"/>
            <w:shd w:val="clear" w:color="auto" w:fill="FFFFFF"/>
            <w:tcMar>
              <w:top w:w="0" w:type="dxa"/>
              <w:left w:w="20" w:type="dxa"/>
              <w:bottom w:w="0" w:type="dxa"/>
              <w:right w:w="20" w:type="dxa"/>
            </w:tcMar>
            <w:vAlign w:val="bottom"/>
          </w:tcPr>
          <w:p w14:paraId="74DDAC20"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AC21"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AC22" w14:textId="77777777" w:rsidR="00584EC1" w:rsidRDefault="00584EC1">
            <w:pPr>
              <w:rPr>
                <w:rFonts w:ascii="宋体"/>
              </w:rPr>
            </w:pPr>
          </w:p>
        </w:tc>
      </w:tr>
      <w:tr w:rsidR="00584EC1" w14:paraId="74DDAC2C" w14:textId="77777777">
        <w:trPr>
          <w:jc w:val="center"/>
        </w:trPr>
        <w:tc>
          <w:tcPr>
            <w:tcW w:w="0" w:type="auto"/>
            <w:gridSpan w:val="3"/>
            <w:shd w:val="clear" w:color="auto" w:fill="CCEEFF"/>
            <w:tcMar>
              <w:top w:w="40" w:type="dxa"/>
              <w:left w:w="245" w:type="dxa"/>
              <w:bottom w:w="40" w:type="dxa"/>
              <w:right w:w="20" w:type="dxa"/>
            </w:tcMar>
            <w:vAlign w:val="bottom"/>
          </w:tcPr>
          <w:p w14:paraId="74DDAC24" w14:textId="77777777" w:rsidR="00584EC1" w:rsidRDefault="00871F8D">
            <w:pPr>
              <w:textAlignment w:val="bottom"/>
            </w:pPr>
            <w:r>
              <w:rPr>
                <w:rFonts w:ascii="Arial" w:eastAsia="宋体" w:hAnsi="Arial" w:cs="Arial"/>
                <w:color w:val="000000"/>
                <w:sz w:val="18"/>
                <w:szCs w:val="18"/>
              </w:rPr>
              <w:t>Non-interest-bearing</w:t>
            </w:r>
          </w:p>
        </w:tc>
        <w:tc>
          <w:tcPr>
            <w:tcW w:w="0" w:type="auto"/>
            <w:shd w:val="clear" w:color="auto" w:fill="CCEEFF"/>
            <w:tcMar>
              <w:top w:w="40" w:type="dxa"/>
              <w:left w:w="20" w:type="dxa"/>
              <w:bottom w:w="40" w:type="dxa"/>
              <w:right w:w="0" w:type="dxa"/>
            </w:tcMar>
            <w:vAlign w:val="bottom"/>
          </w:tcPr>
          <w:p w14:paraId="74DDAC25" w14:textId="77777777" w:rsidR="00584EC1" w:rsidRDefault="00871F8D">
            <w:pPr>
              <w:textAlignment w:val="bottom"/>
            </w:pPr>
            <w:r>
              <w:rPr>
                <w:rFonts w:ascii="Arial" w:eastAsia="宋体" w:hAnsi="Arial" w:cs="Arial"/>
                <w:b/>
                <w:bCs/>
                <w:color w:val="000000"/>
                <w:sz w:val="18"/>
                <w:szCs w:val="18"/>
              </w:rPr>
              <w:t>$</w:t>
            </w:r>
          </w:p>
        </w:tc>
        <w:tc>
          <w:tcPr>
            <w:tcW w:w="0" w:type="auto"/>
            <w:shd w:val="clear" w:color="auto" w:fill="CCEEFF"/>
            <w:tcMar>
              <w:top w:w="40" w:type="dxa"/>
              <w:left w:w="0" w:type="dxa"/>
              <w:bottom w:w="40" w:type="dxa"/>
              <w:right w:w="0" w:type="dxa"/>
            </w:tcMar>
            <w:vAlign w:val="bottom"/>
          </w:tcPr>
          <w:p w14:paraId="74DDAC26" w14:textId="77777777" w:rsidR="00584EC1" w:rsidRDefault="00871F8D">
            <w:pPr>
              <w:jc w:val="right"/>
              <w:textAlignment w:val="bottom"/>
            </w:pPr>
            <w:r>
              <w:rPr>
                <w:rFonts w:ascii="Arial" w:eastAsia="宋体" w:hAnsi="Arial" w:cs="Arial"/>
                <w:b/>
                <w:bCs/>
                <w:color w:val="000000"/>
                <w:sz w:val="18"/>
                <w:szCs w:val="18"/>
              </w:rPr>
              <w:t>64,885</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4DDAC2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C28"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AC29" w14:textId="77777777" w:rsidR="00584EC1" w:rsidRDefault="00871F8D">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74DDAC2A" w14:textId="77777777" w:rsidR="00584EC1" w:rsidRDefault="00871F8D">
            <w:pPr>
              <w:jc w:val="right"/>
              <w:textAlignment w:val="bottom"/>
            </w:pPr>
            <w:r>
              <w:rPr>
                <w:rFonts w:ascii="Arial" w:eastAsia="宋体" w:hAnsi="Arial" w:cs="Arial"/>
                <w:color w:val="000000"/>
                <w:sz w:val="18"/>
                <w:szCs w:val="18"/>
              </w:rPr>
              <w:t>49,439 </w:t>
            </w:r>
          </w:p>
        </w:tc>
        <w:tc>
          <w:tcPr>
            <w:tcW w:w="0" w:type="auto"/>
            <w:shd w:val="clear" w:color="auto" w:fill="CCEEFF"/>
            <w:tcMar>
              <w:top w:w="40" w:type="dxa"/>
              <w:left w:w="0" w:type="dxa"/>
              <w:bottom w:w="40" w:type="dxa"/>
              <w:right w:w="20" w:type="dxa"/>
            </w:tcMar>
            <w:vAlign w:val="bottom"/>
          </w:tcPr>
          <w:p w14:paraId="74DDAC2B" w14:textId="77777777" w:rsidR="00584EC1" w:rsidRDefault="00584EC1">
            <w:pPr>
              <w:jc w:val="right"/>
              <w:rPr>
                <w:rFonts w:ascii="宋体"/>
              </w:rPr>
            </w:pPr>
          </w:p>
        </w:tc>
      </w:tr>
      <w:tr w:rsidR="00584EC1" w14:paraId="74DDAC33" w14:textId="77777777">
        <w:trPr>
          <w:jc w:val="center"/>
        </w:trPr>
        <w:tc>
          <w:tcPr>
            <w:tcW w:w="0" w:type="auto"/>
            <w:gridSpan w:val="3"/>
            <w:shd w:val="clear" w:color="auto" w:fill="FFFFFF"/>
            <w:tcMar>
              <w:top w:w="40" w:type="dxa"/>
              <w:left w:w="245" w:type="dxa"/>
              <w:bottom w:w="40" w:type="dxa"/>
              <w:right w:w="20" w:type="dxa"/>
            </w:tcMar>
            <w:vAlign w:val="bottom"/>
          </w:tcPr>
          <w:p w14:paraId="74DDAC2D" w14:textId="77777777" w:rsidR="00584EC1" w:rsidRDefault="00871F8D">
            <w:pPr>
              <w:textAlignment w:val="bottom"/>
            </w:pPr>
            <w:r>
              <w:rPr>
                <w:rFonts w:ascii="Arial" w:eastAsia="宋体" w:hAnsi="Arial" w:cs="Arial"/>
                <w:color w:val="000000"/>
                <w:sz w:val="18"/>
                <w:szCs w:val="18"/>
              </w:rPr>
              <w:t>Interest-bearing - U.S.</w:t>
            </w:r>
          </w:p>
        </w:tc>
        <w:tc>
          <w:tcPr>
            <w:tcW w:w="0" w:type="auto"/>
            <w:gridSpan w:val="2"/>
            <w:shd w:val="clear" w:color="auto" w:fill="FFFFFF"/>
            <w:tcMar>
              <w:top w:w="40" w:type="dxa"/>
              <w:left w:w="20" w:type="dxa"/>
              <w:bottom w:w="40" w:type="dxa"/>
              <w:right w:w="0" w:type="dxa"/>
            </w:tcMar>
            <w:vAlign w:val="bottom"/>
          </w:tcPr>
          <w:p w14:paraId="74DDAC2E" w14:textId="77777777" w:rsidR="00584EC1" w:rsidRDefault="00871F8D">
            <w:pPr>
              <w:jc w:val="right"/>
              <w:textAlignment w:val="bottom"/>
            </w:pPr>
            <w:r>
              <w:rPr>
                <w:rFonts w:ascii="Arial" w:eastAsia="宋体" w:hAnsi="Arial" w:cs="Arial"/>
                <w:b/>
                <w:bCs/>
                <w:color w:val="000000"/>
                <w:sz w:val="18"/>
                <w:szCs w:val="18"/>
              </w:rPr>
              <w:t>108,909</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4DDAC2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C3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AC31" w14:textId="77777777" w:rsidR="00584EC1" w:rsidRDefault="00871F8D">
            <w:pPr>
              <w:jc w:val="right"/>
              <w:textAlignment w:val="bottom"/>
            </w:pPr>
            <w:r>
              <w:rPr>
                <w:rFonts w:ascii="Arial" w:eastAsia="宋体" w:hAnsi="Arial" w:cs="Arial"/>
                <w:color w:val="000000"/>
                <w:sz w:val="18"/>
                <w:szCs w:val="18"/>
              </w:rPr>
              <w:t>102,331 </w:t>
            </w:r>
          </w:p>
        </w:tc>
        <w:tc>
          <w:tcPr>
            <w:tcW w:w="0" w:type="auto"/>
            <w:shd w:val="clear" w:color="auto" w:fill="FFFFFF"/>
            <w:tcMar>
              <w:top w:w="40" w:type="dxa"/>
              <w:left w:w="0" w:type="dxa"/>
              <w:bottom w:w="40" w:type="dxa"/>
              <w:right w:w="20" w:type="dxa"/>
            </w:tcMar>
            <w:vAlign w:val="bottom"/>
          </w:tcPr>
          <w:p w14:paraId="74DDAC32" w14:textId="77777777" w:rsidR="00584EC1" w:rsidRDefault="00584EC1">
            <w:pPr>
              <w:jc w:val="right"/>
              <w:rPr>
                <w:rFonts w:ascii="宋体"/>
              </w:rPr>
            </w:pPr>
          </w:p>
        </w:tc>
      </w:tr>
      <w:tr w:rsidR="00584EC1" w14:paraId="74DDAC3A" w14:textId="77777777">
        <w:trPr>
          <w:jc w:val="center"/>
        </w:trPr>
        <w:tc>
          <w:tcPr>
            <w:tcW w:w="0" w:type="auto"/>
            <w:gridSpan w:val="3"/>
            <w:shd w:val="clear" w:color="auto" w:fill="CCEEFF"/>
            <w:tcMar>
              <w:top w:w="40" w:type="dxa"/>
              <w:left w:w="245" w:type="dxa"/>
              <w:bottom w:w="40" w:type="dxa"/>
              <w:right w:w="20" w:type="dxa"/>
            </w:tcMar>
            <w:vAlign w:val="bottom"/>
          </w:tcPr>
          <w:p w14:paraId="74DDAC34" w14:textId="77777777" w:rsidR="00584EC1" w:rsidRDefault="00871F8D">
            <w:pPr>
              <w:textAlignment w:val="bottom"/>
            </w:pPr>
            <w:r>
              <w:rPr>
                <w:rFonts w:ascii="Arial" w:eastAsia="宋体" w:hAnsi="Arial" w:cs="Arial"/>
                <w:color w:val="000000"/>
                <w:sz w:val="18"/>
                <w:szCs w:val="18"/>
              </w:rPr>
              <w:t>Interest-bearing - non-U.S.</w:t>
            </w:r>
          </w:p>
        </w:tc>
        <w:tc>
          <w:tcPr>
            <w:tcW w:w="0" w:type="auto"/>
            <w:gridSpan w:val="2"/>
            <w:shd w:val="clear" w:color="auto" w:fill="CCEEFF"/>
            <w:tcMar>
              <w:top w:w="40" w:type="dxa"/>
              <w:left w:w="20" w:type="dxa"/>
              <w:bottom w:w="40" w:type="dxa"/>
              <w:right w:w="0" w:type="dxa"/>
            </w:tcMar>
            <w:vAlign w:val="bottom"/>
          </w:tcPr>
          <w:p w14:paraId="74DDAC35" w14:textId="77777777" w:rsidR="00584EC1" w:rsidRDefault="00871F8D">
            <w:pPr>
              <w:jc w:val="right"/>
              <w:textAlignment w:val="bottom"/>
            </w:pPr>
            <w:r>
              <w:rPr>
                <w:rFonts w:ascii="Arial" w:eastAsia="宋体" w:hAnsi="Arial" w:cs="Arial"/>
                <w:b/>
                <w:bCs/>
                <w:color w:val="000000"/>
                <w:sz w:val="18"/>
                <w:szCs w:val="18"/>
              </w:rPr>
              <w:t>85,579</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4DDAC3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C3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AC38" w14:textId="77777777" w:rsidR="00584EC1" w:rsidRDefault="00871F8D">
            <w:pPr>
              <w:jc w:val="right"/>
              <w:textAlignment w:val="bottom"/>
            </w:pPr>
            <w:r>
              <w:rPr>
                <w:rFonts w:ascii="Arial" w:eastAsia="宋体" w:hAnsi="Arial" w:cs="Arial"/>
                <w:color w:val="000000"/>
                <w:sz w:val="18"/>
                <w:szCs w:val="18"/>
              </w:rPr>
              <w:t>88,028 </w:t>
            </w:r>
          </w:p>
        </w:tc>
        <w:tc>
          <w:tcPr>
            <w:tcW w:w="0" w:type="auto"/>
            <w:shd w:val="clear" w:color="auto" w:fill="CCEEFF"/>
            <w:tcMar>
              <w:top w:w="40" w:type="dxa"/>
              <w:left w:w="0" w:type="dxa"/>
              <w:bottom w:w="40" w:type="dxa"/>
              <w:right w:w="20" w:type="dxa"/>
            </w:tcMar>
            <w:vAlign w:val="bottom"/>
          </w:tcPr>
          <w:p w14:paraId="74DDAC39" w14:textId="77777777" w:rsidR="00584EC1" w:rsidRDefault="00584EC1">
            <w:pPr>
              <w:jc w:val="right"/>
              <w:rPr>
                <w:rFonts w:ascii="宋体"/>
              </w:rPr>
            </w:pPr>
          </w:p>
        </w:tc>
      </w:tr>
      <w:tr w:rsidR="00584EC1" w14:paraId="74DDAC41" w14:textId="77777777">
        <w:trPr>
          <w:jc w:val="center"/>
        </w:trPr>
        <w:tc>
          <w:tcPr>
            <w:tcW w:w="0" w:type="auto"/>
            <w:gridSpan w:val="3"/>
            <w:shd w:val="clear" w:color="auto" w:fill="FFFFFF"/>
            <w:tcMar>
              <w:top w:w="40" w:type="dxa"/>
              <w:left w:w="20" w:type="dxa"/>
              <w:bottom w:w="40" w:type="dxa"/>
              <w:right w:w="20" w:type="dxa"/>
            </w:tcMar>
            <w:vAlign w:val="bottom"/>
          </w:tcPr>
          <w:p w14:paraId="74DDAC3B" w14:textId="77777777" w:rsidR="00584EC1" w:rsidRDefault="00871F8D">
            <w:pPr>
              <w:textAlignment w:val="bottom"/>
            </w:pPr>
            <w:r>
              <w:rPr>
                <w:rFonts w:ascii="Arial" w:eastAsia="宋体" w:hAnsi="Arial" w:cs="Arial"/>
                <w:color w:val="000000"/>
                <w:sz w:val="18"/>
                <w:szCs w:val="18"/>
              </w:rPr>
              <w:t>Total deposits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AC3C" w14:textId="77777777" w:rsidR="00584EC1" w:rsidRDefault="00871F8D">
            <w:pPr>
              <w:jc w:val="right"/>
              <w:textAlignment w:val="bottom"/>
            </w:pPr>
            <w:r>
              <w:rPr>
                <w:rFonts w:ascii="Arial" w:eastAsia="宋体" w:hAnsi="Arial" w:cs="Arial"/>
                <w:b/>
                <w:bCs/>
                <w:color w:val="000000"/>
                <w:sz w:val="18"/>
                <w:szCs w:val="18"/>
              </w:rPr>
              <w:t>259,373</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AC3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C3E"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AC3F" w14:textId="77777777" w:rsidR="00584EC1" w:rsidRDefault="00871F8D">
            <w:pPr>
              <w:jc w:val="right"/>
              <w:textAlignment w:val="bottom"/>
            </w:pPr>
            <w:r>
              <w:rPr>
                <w:rFonts w:ascii="Arial" w:eastAsia="宋体" w:hAnsi="Arial" w:cs="Arial"/>
                <w:color w:val="000000"/>
                <w:sz w:val="18"/>
                <w:szCs w:val="18"/>
              </w:rPr>
              <w:t>239,798 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AC40" w14:textId="77777777" w:rsidR="00584EC1" w:rsidRDefault="00584EC1">
            <w:pPr>
              <w:jc w:val="right"/>
              <w:rPr>
                <w:rFonts w:ascii="宋体"/>
              </w:rPr>
            </w:pPr>
          </w:p>
        </w:tc>
      </w:tr>
      <w:tr w:rsidR="00584EC1" w14:paraId="74DDAC48" w14:textId="77777777">
        <w:trPr>
          <w:jc w:val="center"/>
        </w:trPr>
        <w:tc>
          <w:tcPr>
            <w:tcW w:w="0" w:type="auto"/>
            <w:gridSpan w:val="3"/>
            <w:shd w:val="clear" w:color="auto" w:fill="CCEEFF"/>
            <w:tcMar>
              <w:top w:w="40" w:type="dxa"/>
              <w:left w:w="20" w:type="dxa"/>
              <w:bottom w:w="40" w:type="dxa"/>
              <w:right w:w="20" w:type="dxa"/>
            </w:tcMar>
            <w:vAlign w:val="bottom"/>
          </w:tcPr>
          <w:p w14:paraId="74DDAC42" w14:textId="77777777" w:rsidR="00584EC1" w:rsidRDefault="00871F8D">
            <w:pPr>
              <w:textAlignment w:val="bottom"/>
            </w:pPr>
            <w:r>
              <w:rPr>
                <w:rFonts w:ascii="Arial" w:eastAsia="宋体" w:hAnsi="Arial" w:cs="Arial"/>
                <w:color w:val="000000"/>
                <w:sz w:val="18"/>
                <w:szCs w:val="18"/>
              </w:rPr>
              <w:t>Securities sold under repurchase agreements</w:t>
            </w:r>
          </w:p>
        </w:tc>
        <w:tc>
          <w:tcPr>
            <w:tcW w:w="0" w:type="auto"/>
            <w:gridSpan w:val="2"/>
            <w:shd w:val="clear" w:color="auto" w:fill="CCEEFF"/>
            <w:tcMar>
              <w:top w:w="40" w:type="dxa"/>
              <w:left w:w="20" w:type="dxa"/>
              <w:bottom w:w="40" w:type="dxa"/>
              <w:right w:w="0" w:type="dxa"/>
            </w:tcMar>
            <w:vAlign w:val="bottom"/>
          </w:tcPr>
          <w:p w14:paraId="74DDAC43" w14:textId="77777777" w:rsidR="00584EC1" w:rsidRDefault="00871F8D">
            <w:pPr>
              <w:jc w:val="right"/>
              <w:textAlignment w:val="bottom"/>
            </w:pPr>
            <w:r>
              <w:rPr>
                <w:rFonts w:ascii="Arial" w:eastAsia="宋体" w:hAnsi="Arial" w:cs="Arial"/>
                <w:b/>
                <w:bCs/>
                <w:color w:val="000000"/>
                <w:sz w:val="18"/>
                <w:szCs w:val="18"/>
              </w:rPr>
              <w:t>637</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4DDAC4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C4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AC46" w14:textId="77777777" w:rsidR="00584EC1" w:rsidRDefault="00871F8D">
            <w:pPr>
              <w:jc w:val="right"/>
              <w:textAlignment w:val="bottom"/>
            </w:pPr>
            <w:r>
              <w:rPr>
                <w:rFonts w:ascii="Arial" w:eastAsia="宋体" w:hAnsi="Arial" w:cs="Arial"/>
                <w:color w:val="000000"/>
                <w:sz w:val="18"/>
                <w:szCs w:val="18"/>
              </w:rPr>
              <w:t>3,413 </w:t>
            </w:r>
          </w:p>
        </w:tc>
        <w:tc>
          <w:tcPr>
            <w:tcW w:w="0" w:type="auto"/>
            <w:shd w:val="clear" w:color="auto" w:fill="CCEEFF"/>
            <w:tcMar>
              <w:top w:w="40" w:type="dxa"/>
              <w:left w:w="0" w:type="dxa"/>
              <w:bottom w:w="40" w:type="dxa"/>
              <w:right w:w="20" w:type="dxa"/>
            </w:tcMar>
            <w:vAlign w:val="bottom"/>
          </w:tcPr>
          <w:p w14:paraId="74DDAC47" w14:textId="77777777" w:rsidR="00584EC1" w:rsidRDefault="00584EC1">
            <w:pPr>
              <w:jc w:val="right"/>
              <w:rPr>
                <w:rFonts w:ascii="宋体"/>
              </w:rPr>
            </w:pPr>
          </w:p>
        </w:tc>
      </w:tr>
      <w:tr w:rsidR="00584EC1" w14:paraId="74DDAC4F" w14:textId="77777777">
        <w:trPr>
          <w:jc w:val="center"/>
        </w:trPr>
        <w:tc>
          <w:tcPr>
            <w:tcW w:w="0" w:type="auto"/>
            <w:gridSpan w:val="3"/>
            <w:shd w:val="clear" w:color="auto" w:fill="FFFFFF"/>
            <w:tcMar>
              <w:top w:w="40" w:type="dxa"/>
              <w:left w:w="20" w:type="dxa"/>
              <w:bottom w:w="40" w:type="dxa"/>
              <w:right w:w="20" w:type="dxa"/>
            </w:tcMar>
            <w:vAlign w:val="bottom"/>
          </w:tcPr>
          <w:p w14:paraId="74DDAC49" w14:textId="77777777" w:rsidR="00584EC1" w:rsidRDefault="00871F8D">
            <w:pPr>
              <w:textAlignment w:val="bottom"/>
            </w:pPr>
            <w:r>
              <w:rPr>
                <w:rFonts w:ascii="Arial" w:eastAsia="宋体" w:hAnsi="Arial" w:cs="Arial"/>
                <w:color w:val="000000"/>
                <w:sz w:val="18"/>
                <w:szCs w:val="18"/>
              </w:rPr>
              <w:t>Short-term borrowings under money market liquidity facility</w:t>
            </w:r>
          </w:p>
        </w:tc>
        <w:tc>
          <w:tcPr>
            <w:tcW w:w="0" w:type="auto"/>
            <w:gridSpan w:val="2"/>
            <w:shd w:val="clear" w:color="auto" w:fill="FFFFFF"/>
            <w:tcMar>
              <w:top w:w="40" w:type="dxa"/>
              <w:left w:w="20" w:type="dxa"/>
              <w:bottom w:w="40" w:type="dxa"/>
              <w:right w:w="0" w:type="dxa"/>
            </w:tcMar>
            <w:vAlign w:val="bottom"/>
          </w:tcPr>
          <w:p w14:paraId="74DDAC4A" w14:textId="77777777" w:rsidR="00584EC1" w:rsidRDefault="00871F8D">
            <w:pPr>
              <w:jc w:val="right"/>
              <w:textAlignment w:val="bottom"/>
            </w:pPr>
            <w:r>
              <w:rPr>
                <w:rFonts w:ascii="Arial" w:eastAsia="宋体" w:hAnsi="Arial" w:cs="Arial"/>
                <w:b/>
                <w:bCs/>
                <w:color w:val="000000"/>
                <w:sz w:val="18"/>
                <w:szCs w:val="18"/>
              </w:rPr>
              <w:t>—</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4DDAC4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C4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AC4D" w14:textId="77777777" w:rsidR="00584EC1" w:rsidRDefault="00871F8D">
            <w:pPr>
              <w:jc w:val="right"/>
              <w:textAlignment w:val="bottom"/>
            </w:pPr>
            <w:r>
              <w:rPr>
                <w:rFonts w:ascii="Arial" w:eastAsia="宋体" w:hAnsi="Arial" w:cs="Arial"/>
                <w:color w:val="000000"/>
                <w:sz w:val="18"/>
                <w:szCs w:val="18"/>
              </w:rPr>
              <w:t>3,302 </w:t>
            </w:r>
          </w:p>
        </w:tc>
        <w:tc>
          <w:tcPr>
            <w:tcW w:w="0" w:type="auto"/>
            <w:shd w:val="clear" w:color="auto" w:fill="FFFFFF"/>
            <w:tcMar>
              <w:top w:w="40" w:type="dxa"/>
              <w:left w:w="0" w:type="dxa"/>
              <w:bottom w:w="40" w:type="dxa"/>
              <w:right w:w="20" w:type="dxa"/>
            </w:tcMar>
            <w:vAlign w:val="bottom"/>
          </w:tcPr>
          <w:p w14:paraId="74DDAC4E" w14:textId="77777777" w:rsidR="00584EC1" w:rsidRDefault="00584EC1">
            <w:pPr>
              <w:jc w:val="right"/>
              <w:rPr>
                <w:rFonts w:ascii="宋体"/>
              </w:rPr>
            </w:pPr>
          </w:p>
        </w:tc>
      </w:tr>
      <w:tr w:rsidR="00584EC1" w14:paraId="74DDAC56" w14:textId="77777777">
        <w:trPr>
          <w:jc w:val="center"/>
        </w:trPr>
        <w:tc>
          <w:tcPr>
            <w:tcW w:w="0" w:type="auto"/>
            <w:gridSpan w:val="3"/>
            <w:shd w:val="clear" w:color="auto" w:fill="CCEEFF"/>
            <w:tcMar>
              <w:top w:w="40" w:type="dxa"/>
              <w:left w:w="20" w:type="dxa"/>
              <w:bottom w:w="40" w:type="dxa"/>
              <w:right w:w="20" w:type="dxa"/>
            </w:tcMar>
            <w:vAlign w:val="bottom"/>
          </w:tcPr>
          <w:p w14:paraId="74DDAC50" w14:textId="77777777" w:rsidR="00584EC1" w:rsidRDefault="00871F8D">
            <w:pPr>
              <w:textAlignment w:val="bottom"/>
            </w:pPr>
            <w:r>
              <w:rPr>
                <w:rFonts w:ascii="Arial" w:eastAsia="宋体" w:hAnsi="Arial" w:cs="Arial"/>
                <w:color w:val="000000"/>
                <w:sz w:val="18"/>
                <w:szCs w:val="18"/>
              </w:rPr>
              <w:t>Other short-term borrowings</w:t>
            </w:r>
          </w:p>
        </w:tc>
        <w:tc>
          <w:tcPr>
            <w:tcW w:w="0" w:type="auto"/>
            <w:gridSpan w:val="2"/>
            <w:shd w:val="clear" w:color="auto" w:fill="CCEEFF"/>
            <w:tcMar>
              <w:top w:w="40" w:type="dxa"/>
              <w:left w:w="20" w:type="dxa"/>
              <w:bottom w:w="40" w:type="dxa"/>
              <w:right w:w="0" w:type="dxa"/>
            </w:tcMar>
            <w:vAlign w:val="bottom"/>
          </w:tcPr>
          <w:p w14:paraId="74DDAC51" w14:textId="77777777" w:rsidR="00584EC1" w:rsidRDefault="00871F8D">
            <w:pPr>
              <w:jc w:val="right"/>
              <w:textAlignment w:val="bottom"/>
            </w:pPr>
            <w:r>
              <w:rPr>
                <w:rFonts w:ascii="Arial" w:eastAsia="宋体" w:hAnsi="Arial" w:cs="Arial"/>
                <w:b/>
                <w:bCs/>
                <w:color w:val="000000"/>
                <w:sz w:val="18"/>
                <w:szCs w:val="18"/>
              </w:rPr>
              <w:t>549</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4DDAC5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C53"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AC54" w14:textId="77777777" w:rsidR="00584EC1" w:rsidRDefault="00871F8D">
            <w:pPr>
              <w:jc w:val="right"/>
              <w:textAlignment w:val="bottom"/>
            </w:pPr>
            <w:r>
              <w:rPr>
                <w:rFonts w:ascii="Arial" w:eastAsia="宋体" w:hAnsi="Arial" w:cs="Arial"/>
                <w:color w:val="000000"/>
                <w:sz w:val="18"/>
                <w:szCs w:val="18"/>
              </w:rPr>
              <w:t>685 </w:t>
            </w:r>
          </w:p>
        </w:tc>
        <w:tc>
          <w:tcPr>
            <w:tcW w:w="0" w:type="auto"/>
            <w:shd w:val="clear" w:color="auto" w:fill="CCEEFF"/>
            <w:tcMar>
              <w:top w:w="40" w:type="dxa"/>
              <w:left w:w="0" w:type="dxa"/>
              <w:bottom w:w="40" w:type="dxa"/>
              <w:right w:w="20" w:type="dxa"/>
            </w:tcMar>
            <w:vAlign w:val="bottom"/>
          </w:tcPr>
          <w:p w14:paraId="74DDAC55" w14:textId="77777777" w:rsidR="00584EC1" w:rsidRDefault="00584EC1">
            <w:pPr>
              <w:jc w:val="right"/>
              <w:rPr>
                <w:rFonts w:ascii="宋体"/>
              </w:rPr>
            </w:pPr>
          </w:p>
        </w:tc>
      </w:tr>
      <w:tr w:rsidR="00584EC1" w14:paraId="74DDAC5D" w14:textId="77777777">
        <w:trPr>
          <w:jc w:val="center"/>
        </w:trPr>
        <w:tc>
          <w:tcPr>
            <w:tcW w:w="0" w:type="auto"/>
            <w:gridSpan w:val="3"/>
            <w:shd w:val="clear" w:color="auto" w:fill="FFFFFF"/>
            <w:tcMar>
              <w:top w:w="40" w:type="dxa"/>
              <w:left w:w="20" w:type="dxa"/>
              <w:bottom w:w="40" w:type="dxa"/>
              <w:right w:w="20" w:type="dxa"/>
            </w:tcMar>
            <w:vAlign w:val="bottom"/>
          </w:tcPr>
          <w:p w14:paraId="74DDAC57" w14:textId="77777777" w:rsidR="00584EC1" w:rsidRDefault="00871F8D">
            <w:pPr>
              <w:textAlignment w:val="bottom"/>
            </w:pPr>
            <w:r>
              <w:rPr>
                <w:rFonts w:ascii="Arial" w:eastAsia="宋体" w:hAnsi="Arial" w:cs="Arial"/>
                <w:color w:val="000000"/>
                <w:sz w:val="18"/>
                <w:szCs w:val="18"/>
              </w:rPr>
              <w:t>Accrued expenses and other liabilities</w:t>
            </w:r>
          </w:p>
        </w:tc>
        <w:tc>
          <w:tcPr>
            <w:tcW w:w="0" w:type="auto"/>
            <w:gridSpan w:val="2"/>
            <w:shd w:val="clear" w:color="auto" w:fill="FFFFFF"/>
            <w:tcMar>
              <w:top w:w="40" w:type="dxa"/>
              <w:left w:w="20" w:type="dxa"/>
              <w:bottom w:w="40" w:type="dxa"/>
              <w:right w:w="0" w:type="dxa"/>
            </w:tcMar>
            <w:vAlign w:val="bottom"/>
          </w:tcPr>
          <w:p w14:paraId="74DDAC58" w14:textId="77777777" w:rsidR="00584EC1" w:rsidRDefault="00871F8D">
            <w:pPr>
              <w:jc w:val="right"/>
              <w:textAlignment w:val="bottom"/>
            </w:pPr>
            <w:r>
              <w:rPr>
                <w:rFonts w:ascii="Arial" w:eastAsia="宋体" w:hAnsi="Arial" w:cs="Arial"/>
                <w:b/>
                <w:bCs/>
                <w:color w:val="000000"/>
                <w:sz w:val="18"/>
                <w:szCs w:val="18"/>
              </w:rPr>
              <w:t>22,288</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4DDAC5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C5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AC5B" w14:textId="77777777" w:rsidR="00584EC1" w:rsidRDefault="00871F8D">
            <w:pPr>
              <w:jc w:val="right"/>
              <w:textAlignment w:val="bottom"/>
            </w:pPr>
            <w:r>
              <w:rPr>
                <w:rFonts w:ascii="Arial" w:eastAsia="宋体" w:hAnsi="Arial" w:cs="Arial"/>
                <w:color w:val="000000"/>
                <w:sz w:val="18"/>
                <w:szCs w:val="18"/>
              </w:rPr>
              <w:t>27,503 </w:t>
            </w:r>
          </w:p>
        </w:tc>
        <w:tc>
          <w:tcPr>
            <w:tcW w:w="0" w:type="auto"/>
            <w:shd w:val="clear" w:color="auto" w:fill="FFFFFF"/>
            <w:tcMar>
              <w:top w:w="40" w:type="dxa"/>
              <w:left w:w="0" w:type="dxa"/>
              <w:bottom w:w="40" w:type="dxa"/>
              <w:right w:w="20" w:type="dxa"/>
            </w:tcMar>
            <w:vAlign w:val="bottom"/>
          </w:tcPr>
          <w:p w14:paraId="74DDAC5C" w14:textId="77777777" w:rsidR="00584EC1" w:rsidRDefault="00584EC1">
            <w:pPr>
              <w:jc w:val="right"/>
              <w:rPr>
                <w:rFonts w:ascii="宋体"/>
              </w:rPr>
            </w:pPr>
          </w:p>
        </w:tc>
      </w:tr>
      <w:tr w:rsidR="00584EC1" w14:paraId="74DDAC64" w14:textId="77777777">
        <w:trPr>
          <w:jc w:val="center"/>
        </w:trPr>
        <w:tc>
          <w:tcPr>
            <w:tcW w:w="0" w:type="auto"/>
            <w:gridSpan w:val="3"/>
            <w:shd w:val="clear" w:color="auto" w:fill="CCEEFF"/>
            <w:tcMar>
              <w:top w:w="40" w:type="dxa"/>
              <w:left w:w="20" w:type="dxa"/>
              <w:bottom w:w="40" w:type="dxa"/>
              <w:right w:w="20" w:type="dxa"/>
            </w:tcMar>
            <w:vAlign w:val="bottom"/>
          </w:tcPr>
          <w:p w14:paraId="74DDAC5E" w14:textId="77777777" w:rsidR="00584EC1" w:rsidRDefault="00871F8D">
            <w:pPr>
              <w:textAlignment w:val="bottom"/>
            </w:pPr>
            <w:r>
              <w:rPr>
                <w:rFonts w:ascii="Arial" w:eastAsia="宋体" w:hAnsi="Arial" w:cs="Arial"/>
                <w:color w:val="000000"/>
                <w:sz w:val="18"/>
                <w:szCs w:val="18"/>
              </w:rPr>
              <w:t>Long-term debt</w:t>
            </w:r>
          </w:p>
        </w:tc>
        <w:tc>
          <w:tcPr>
            <w:tcW w:w="0" w:type="auto"/>
            <w:gridSpan w:val="2"/>
            <w:shd w:val="clear" w:color="auto" w:fill="CCEEFF"/>
            <w:tcMar>
              <w:top w:w="40" w:type="dxa"/>
              <w:left w:w="20" w:type="dxa"/>
              <w:bottom w:w="40" w:type="dxa"/>
              <w:right w:w="0" w:type="dxa"/>
            </w:tcMar>
            <w:vAlign w:val="bottom"/>
          </w:tcPr>
          <w:p w14:paraId="74DDAC5F" w14:textId="77777777" w:rsidR="00584EC1" w:rsidRDefault="00871F8D">
            <w:pPr>
              <w:jc w:val="right"/>
              <w:textAlignment w:val="bottom"/>
            </w:pPr>
            <w:r>
              <w:rPr>
                <w:rFonts w:ascii="Arial" w:eastAsia="宋体" w:hAnsi="Arial" w:cs="Arial"/>
                <w:b/>
                <w:bCs/>
                <w:color w:val="000000"/>
                <w:sz w:val="18"/>
                <w:szCs w:val="18"/>
              </w:rPr>
              <w:t>12,978</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4DDAC6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C6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AC62" w14:textId="77777777" w:rsidR="00584EC1" w:rsidRDefault="00871F8D">
            <w:pPr>
              <w:jc w:val="right"/>
              <w:textAlignment w:val="bottom"/>
            </w:pPr>
            <w:r>
              <w:rPr>
                <w:rFonts w:ascii="Arial" w:eastAsia="宋体" w:hAnsi="Arial" w:cs="Arial"/>
                <w:color w:val="000000"/>
                <w:sz w:val="18"/>
                <w:szCs w:val="18"/>
              </w:rPr>
              <w:t>13,805 </w:t>
            </w:r>
          </w:p>
        </w:tc>
        <w:tc>
          <w:tcPr>
            <w:tcW w:w="0" w:type="auto"/>
            <w:shd w:val="clear" w:color="auto" w:fill="CCEEFF"/>
            <w:tcMar>
              <w:top w:w="40" w:type="dxa"/>
              <w:left w:w="0" w:type="dxa"/>
              <w:bottom w:w="40" w:type="dxa"/>
              <w:right w:w="20" w:type="dxa"/>
            </w:tcMar>
            <w:vAlign w:val="bottom"/>
          </w:tcPr>
          <w:p w14:paraId="74DDAC63" w14:textId="77777777" w:rsidR="00584EC1" w:rsidRDefault="00584EC1">
            <w:pPr>
              <w:jc w:val="right"/>
              <w:rPr>
                <w:rFonts w:ascii="宋体"/>
              </w:rPr>
            </w:pPr>
          </w:p>
        </w:tc>
      </w:tr>
      <w:tr w:rsidR="00584EC1" w14:paraId="74DDAC6B" w14:textId="77777777">
        <w:trPr>
          <w:jc w:val="center"/>
        </w:trPr>
        <w:tc>
          <w:tcPr>
            <w:tcW w:w="0" w:type="auto"/>
            <w:gridSpan w:val="3"/>
            <w:shd w:val="clear" w:color="auto" w:fill="FFFFFF"/>
            <w:tcMar>
              <w:top w:w="40" w:type="dxa"/>
              <w:left w:w="20" w:type="dxa"/>
              <w:bottom w:w="40" w:type="dxa"/>
              <w:right w:w="20" w:type="dxa"/>
            </w:tcMar>
            <w:vAlign w:val="bottom"/>
          </w:tcPr>
          <w:p w14:paraId="74DDAC65" w14:textId="77777777" w:rsidR="00584EC1" w:rsidRDefault="00871F8D">
            <w:pPr>
              <w:textAlignment w:val="bottom"/>
            </w:pPr>
            <w:r>
              <w:rPr>
                <w:rFonts w:ascii="Arial" w:eastAsia="宋体" w:hAnsi="Arial" w:cs="Arial"/>
                <w:b/>
                <w:bCs/>
                <w:color w:val="000000"/>
                <w:sz w:val="18"/>
                <w:szCs w:val="18"/>
              </w:rPr>
              <w:t>Total liabilities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AC66" w14:textId="77777777" w:rsidR="00584EC1" w:rsidRDefault="00871F8D">
            <w:pPr>
              <w:jc w:val="right"/>
              <w:textAlignment w:val="bottom"/>
            </w:pPr>
            <w:r>
              <w:rPr>
                <w:rFonts w:ascii="Arial" w:eastAsia="宋体" w:hAnsi="Arial" w:cs="Arial"/>
                <w:b/>
                <w:bCs/>
                <w:color w:val="000000"/>
                <w:sz w:val="18"/>
                <w:szCs w:val="18"/>
              </w:rPr>
              <w:t>295,825</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AC6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C68"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AC69" w14:textId="77777777" w:rsidR="00584EC1" w:rsidRDefault="00871F8D">
            <w:pPr>
              <w:jc w:val="right"/>
              <w:textAlignment w:val="bottom"/>
            </w:pPr>
            <w:r>
              <w:rPr>
                <w:rFonts w:ascii="Arial" w:eastAsia="宋体" w:hAnsi="Arial" w:cs="Arial"/>
                <w:color w:val="000000"/>
                <w:sz w:val="18"/>
                <w:szCs w:val="18"/>
              </w:rPr>
              <w:t>288,506 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AC6A" w14:textId="77777777" w:rsidR="00584EC1" w:rsidRDefault="00584EC1">
            <w:pPr>
              <w:jc w:val="right"/>
              <w:rPr>
                <w:rFonts w:ascii="宋体"/>
              </w:rPr>
            </w:pPr>
          </w:p>
        </w:tc>
      </w:tr>
      <w:tr w:rsidR="00584EC1" w14:paraId="74DDAC70" w14:textId="77777777">
        <w:trPr>
          <w:jc w:val="center"/>
        </w:trPr>
        <w:tc>
          <w:tcPr>
            <w:tcW w:w="0" w:type="auto"/>
            <w:gridSpan w:val="3"/>
            <w:shd w:val="clear" w:color="auto" w:fill="CCEEFF"/>
            <w:tcMar>
              <w:top w:w="40" w:type="dxa"/>
              <w:left w:w="20" w:type="dxa"/>
              <w:bottom w:w="40" w:type="dxa"/>
              <w:right w:w="20" w:type="dxa"/>
            </w:tcMar>
            <w:vAlign w:val="bottom"/>
          </w:tcPr>
          <w:p w14:paraId="74DDAC6C" w14:textId="77777777" w:rsidR="00584EC1" w:rsidRDefault="00871F8D">
            <w:pPr>
              <w:textAlignment w:val="bottom"/>
            </w:pPr>
            <w:r>
              <w:rPr>
                <w:rFonts w:ascii="Arial" w:eastAsia="宋体" w:hAnsi="Arial" w:cs="Arial"/>
                <w:color w:val="000000"/>
                <w:sz w:val="18"/>
                <w:szCs w:val="18"/>
              </w:rPr>
              <w:t>Commitments, guarantees and contingencies (Notes 9 and 10)</w:t>
            </w:r>
          </w:p>
        </w:tc>
        <w:tc>
          <w:tcPr>
            <w:tcW w:w="0" w:type="auto"/>
            <w:gridSpan w:val="3"/>
            <w:shd w:val="clear" w:color="auto" w:fill="CCEEFF"/>
            <w:tcMar>
              <w:top w:w="0" w:type="dxa"/>
              <w:left w:w="20" w:type="dxa"/>
              <w:bottom w:w="0" w:type="dxa"/>
              <w:right w:w="20" w:type="dxa"/>
            </w:tcMar>
            <w:vAlign w:val="bottom"/>
          </w:tcPr>
          <w:p w14:paraId="74DDAC6D"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AC6E"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AC6F" w14:textId="77777777" w:rsidR="00584EC1" w:rsidRDefault="00584EC1">
            <w:pPr>
              <w:rPr>
                <w:rFonts w:ascii="宋体"/>
              </w:rPr>
            </w:pPr>
          </w:p>
        </w:tc>
      </w:tr>
      <w:tr w:rsidR="00584EC1" w14:paraId="74DDAC75" w14:textId="77777777">
        <w:trPr>
          <w:jc w:val="center"/>
        </w:trPr>
        <w:tc>
          <w:tcPr>
            <w:tcW w:w="0" w:type="auto"/>
            <w:gridSpan w:val="3"/>
            <w:shd w:val="clear" w:color="auto" w:fill="FFFFFF"/>
            <w:tcMar>
              <w:top w:w="40" w:type="dxa"/>
              <w:left w:w="20" w:type="dxa"/>
              <w:bottom w:w="40" w:type="dxa"/>
              <w:right w:w="20" w:type="dxa"/>
            </w:tcMar>
            <w:vAlign w:val="bottom"/>
          </w:tcPr>
          <w:p w14:paraId="74DDAC71" w14:textId="77777777" w:rsidR="00584EC1" w:rsidRDefault="00871F8D">
            <w:pPr>
              <w:textAlignment w:val="bottom"/>
            </w:pPr>
            <w:r>
              <w:rPr>
                <w:rFonts w:ascii="Arial" w:eastAsia="宋体" w:hAnsi="Arial" w:cs="Arial"/>
                <w:b/>
                <w:bCs/>
                <w:color w:val="000000"/>
                <w:sz w:val="18"/>
                <w:szCs w:val="18"/>
              </w:rPr>
              <w:t>Shareholders’ equity:</w:t>
            </w:r>
          </w:p>
        </w:tc>
        <w:tc>
          <w:tcPr>
            <w:tcW w:w="0" w:type="auto"/>
            <w:gridSpan w:val="3"/>
            <w:shd w:val="clear" w:color="auto" w:fill="FFFFFF"/>
            <w:tcMar>
              <w:top w:w="0" w:type="dxa"/>
              <w:left w:w="20" w:type="dxa"/>
              <w:bottom w:w="0" w:type="dxa"/>
              <w:right w:w="20" w:type="dxa"/>
            </w:tcMar>
            <w:vAlign w:val="bottom"/>
          </w:tcPr>
          <w:p w14:paraId="74DDAC7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AC73"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AC74" w14:textId="77777777" w:rsidR="00584EC1" w:rsidRDefault="00584EC1">
            <w:pPr>
              <w:rPr>
                <w:rFonts w:ascii="宋体"/>
              </w:rPr>
            </w:pPr>
          </w:p>
        </w:tc>
      </w:tr>
      <w:tr w:rsidR="00584EC1" w14:paraId="74DDAC7A" w14:textId="77777777">
        <w:trPr>
          <w:jc w:val="center"/>
        </w:trPr>
        <w:tc>
          <w:tcPr>
            <w:tcW w:w="0" w:type="auto"/>
            <w:gridSpan w:val="3"/>
            <w:shd w:val="clear" w:color="auto" w:fill="CCEEFF"/>
            <w:tcMar>
              <w:top w:w="40" w:type="dxa"/>
              <w:left w:w="20" w:type="dxa"/>
              <w:bottom w:w="40" w:type="dxa"/>
              <w:right w:w="20" w:type="dxa"/>
            </w:tcMar>
            <w:vAlign w:val="bottom"/>
          </w:tcPr>
          <w:p w14:paraId="74DDAC76" w14:textId="77777777" w:rsidR="00584EC1" w:rsidRDefault="00871F8D">
            <w:pPr>
              <w:textAlignment w:val="bottom"/>
            </w:pPr>
            <w:r>
              <w:rPr>
                <w:rFonts w:ascii="Arial" w:eastAsia="宋体" w:hAnsi="Arial" w:cs="Arial"/>
                <w:color w:val="000000"/>
                <w:sz w:val="18"/>
                <w:szCs w:val="18"/>
              </w:rPr>
              <w:t>Preferred stock, no par, 3,500,000 shares authorized:</w:t>
            </w:r>
          </w:p>
        </w:tc>
        <w:tc>
          <w:tcPr>
            <w:tcW w:w="0" w:type="auto"/>
            <w:gridSpan w:val="3"/>
            <w:shd w:val="clear" w:color="auto" w:fill="CCEEFF"/>
            <w:tcMar>
              <w:top w:w="0" w:type="dxa"/>
              <w:left w:w="20" w:type="dxa"/>
              <w:bottom w:w="0" w:type="dxa"/>
              <w:right w:w="20" w:type="dxa"/>
            </w:tcMar>
            <w:vAlign w:val="bottom"/>
          </w:tcPr>
          <w:p w14:paraId="74DDAC77"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AC78"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AC79" w14:textId="77777777" w:rsidR="00584EC1" w:rsidRDefault="00584EC1">
            <w:pPr>
              <w:rPr>
                <w:rFonts w:ascii="宋体"/>
              </w:rPr>
            </w:pPr>
          </w:p>
        </w:tc>
      </w:tr>
      <w:tr w:rsidR="00584EC1" w14:paraId="74DDAC7F" w14:textId="77777777">
        <w:trPr>
          <w:jc w:val="center"/>
          <w:hidden/>
        </w:trPr>
        <w:tc>
          <w:tcPr>
            <w:tcW w:w="0" w:type="auto"/>
            <w:gridSpan w:val="3"/>
            <w:shd w:val="clear" w:color="auto" w:fill="auto"/>
            <w:vAlign w:val="bottom"/>
          </w:tcPr>
          <w:p w14:paraId="74DDAC7B" w14:textId="77777777" w:rsidR="00584EC1" w:rsidRDefault="00584EC1">
            <w:pPr>
              <w:rPr>
                <w:rFonts w:ascii="宋体"/>
                <w:vanish/>
              </w:rPr>
            </w:pPr>
          </w:p>
        </w:tc>
        <w:tc>
          <w:tcPr>
            <w:tcW w:w="0" w:type="auto"/>
            <w:gridSpan w:val="3"/>
            <w:shd w:val="clear" w:color="auto" w:fill="auto"/>
            <w:vAlign w:val="bottom"/>
          </w:tcPr>
          <w:p w14:paraId="74DDAC7C" w14:textId="77777777" w:rsidR="00584EC1" w:rsidRDefault="00584EC1">
            <w:pPr>
              <w:rPr>
                <w:rFonts w:ascii="宋体"/>
                <w:vanish/>
              </w:rPr>
            </w:pPr>
          </w:p>
        </w:tc>
        <w:tc>
          <w:tcPr>
            <w:tcW w:w="0" w:type="auto"/>
            <w:gridSpan w:val="3"/>
            <w:shd w:val="clear" w:color="auto" w:fill="auto"/>
            <w:vAlign w:val="bottom"/>
          </w:tcPr>
          <w:p w14:paraId="74DDAC7D" w14:textId="77777777" w:rsidR="00584EC1" w:rsidRDefault="00584EC1">
            <w:pPr>
              <w:rPr>
                <w:rFonts w:ascii="宋体"/>
                <w:vanish/>
              </w:rPr>
            </w:pPr>
          </w:p>
        </w:tc>
        <w:tc>
          <w:tcPr>
            <w:tcW w:w="0" w:type="auto"/>
            <w:gridSpan w:val="3"/>
            <w:shd w:val="clear" w:color="auto" w:fill="auto"/>
            <w:vAlign w:val="bottom"/>
          </w:tcPr>
          <w:p w14:paraId="74DDAC7E" w14:textId="77777777" w:rsidR="00584EC1" w:rsidRDefault="00584EC1">
            <w:pPr>
              <w:rPr>
                <w:rFonts w:ascii="宋体"/>
                <w:vanish/>
              </w:rPr>
            </w:pPr>
          </w:p>
        </w:tc>
      </w:tr>
      <w:tr w:rsidR="00584EC1" w14:paraId="74DDAC86" w14:textId="77777777">
        <w:trPr>
          <w:jc w:val="center"/>
        </w:trPr>
        <w:tc>
          <w:tcPr>
            <w:tcW w:w="0" w:type="auto"/>
            <w:gridSpan w:val="3"/>
            <w:shd w:val="clear" w:color="auto" w:fill="FFFFFF"/>
            <w:tcMar>
              <w:top w:w="40" w:type="dxa"/>
              <w:left w:w="20" w:type="dxa"/>
              <w:bottom w:w="40" w:type="dxa"/>
              <w:right w:w="20" w:type="dxa"/>
            </w:tcMar>
            <w:vAlign w:val="bottom"/>
          </w:tcPr>
          <w:p w14:paraId="74DDAC80" w14:textId="77777777" w:rsidR="00584EC1" w:rsidRDefault="00871F8D">
            <w:pPr>
              <w:textAlignment w:val="bottom"/>
            </w:pPr>
            <w:r>
              <w:rPr>
                <w:rFonts w:ascii="Arial" w:eastAsia="宋体" w:hAnsi="Arial" w:cs="Arial"/>
                <w:color w:val="000000"/>
                <w:sz w:val="18"/>
                <w:szCs w:val="18"/>
              </w:rPr>
              <w:t xml:space="preserve">Series D, </w:t>
            </w:r>
            <w:r>
              <w:rPr>
                <w:rFonts w:ascii="Arial" w:eastAsia="宋体" w:hAnsi="Arial" w:cs="Arial"/>
                <w:color w:val="000000"/>
                <w:sz w:val="18"/>
                <w:szCs w:val="18"/>
              </w:rPr>
              <w:t>7,500 shares issued and outstanding</w:t>
            </w:r>
          </w:p>
        </w:tc>
        <w:tc>
          <w:tcPr>
            <w:tcW w:w="0" w:type="auto"/>
            <w:gridSpan w:val="2"/>
            <w:shd w:val="clear" w:color="auto" w:fill="FFFFFF"/>
            <w:tcMar>
              <w:top w:w="40" w:type="dxa"/>
              <w:left w:w="20" w:type="dxa"/>
              <w:bottom w:w="40" w:type="dxa"/>
              <w:right w:w="0" w:type="dxa"/>
            </w:tcMar>
            <w:vAlign w:val="bottom"/>
          </w:tcPr>
          <w:p w14:paraId="74DDAC81" w14:textId="77777777" w:rsidR="00584EC1" w:rsidRDefault="00871F8D">
            <w:pPr>
              <w:jc w:val="right"/>
              <w:textAlignment w:val="bottom"/>
            </w:pPr>
            <w:r>
              <w:rPr>
                <w:rFonts w:ascii="Arial" w:eastAsia="宋体" w:hAnsi="Arial" w:cs="Arial"/>
                <w:b/>
                <w:bCs/>
                <w:color w:val="000000"/>
                <w:sz w:val="18"/>
                <w:szCs w:val="18"/>
              </w:rPr>
              <w:t>742</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4DDAC8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C8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AC84" w14:textId="77777777" w:rsidR="00584EC1" w:rsidRDefault="00871F8D">
            <w:pPr>
              <w:jc w:val="right"/>
              <w:textAlignment w:val="bottom"/>
            </w:pPr>
            <w:r>
              <w:rPr>
                <w:rFonts w:ascii="Arial" w:eastAsia="宋体" w:hAnsi="Arial" w:cs="Arial"/>
                <w:color w:val="000000"/>
                <w:sz w:val="18"/>
                <w:szCs w:val="18"/>
              </w:rPr>
              <w:t>742 </w:t>
            </w:r>
          </w:p>
        </w:tc>
        <w:tc>
          <w:tcPr>
            <w:tcW w:w="0" w:type="auto"/>
            <w:shd w:val="clear" w:color="auto" w:fill="FFFFFF"/>
            <w:tcMar>
              <w:top w:w="40" w:type="dxa"/>
              <w:left w:w="0" w:type="dxa"/>
              <w:bottom w:w="40" w:type="dxa"/>
              <w:right w:w="20" w:type="dxa"/>
            </w:tcMar>
            <w:vAlign w:val="bottom"/>
          </w:tcPr>
          <w:p w14:paraId="74DDAC85" w14:textId="77777777" w:rsidR="00584EC1" w:rsidRDefault="00584EC1">
            <w:pPr>
              <w:jc w:val="right"/>
              <w:rPr>
                <w:rFonts w:ascii="宋体"/>
              </w:rPr>
            </w:pPr>
          </w:p>
        </w:tc>
      </w:tr>
      <w:tr w:rsidR="00584EC1" w14:paraId="74DDAC8B" w14:textId="77777777">
        <w:trPr>
          <w:jc w:val="center"/>
          <w:hidden/>
        </w:trPr>
        <w:tc>
          <w:tcPr>
            <w:tcW w:w="0" w:type="auto"/>
            <w:gridSpan w:val="3"/>
            <w:shd w:val="clear" w:color="auto" w:fill="auto"/>
            <w:vAlign w:val="bottom"/>
          </w:tcPr>
          <w:p w14:paraId="74DDAC87" w14:textId="77777777" w:rsidR="00584EC1" w:rsidRDefault="00584EC1">
            <w:pPr>
              <w:rPr>
                <w:rFonts w:ascii="宋体"/>
                <w:vanish/>
              </w:rPr>
            </w:pPr>
          </w:p>
        </w:tc>
        <w:tc>
          <w:tcPr>
            <w:tcW w:w="0" w:type="auto"/>
            <w:gridSpan w:val="3"/>
            <w:shd w:val="clear" w:color="auto" w:fill="auto"/>
            <w:vAlign w:val="bottom"/>
          </w:tcPr>
          <w:p w14:paraId="74DDAC88" w14:textId="77777777" w:rsidR="00584EC1" w:rsidRDefault="00584EC1">
            <w:pPr>
              <w:rPr>
                <w:rFonts w:ascii="宋体"/>
                <w:vanish/>
              </w:rPr>
            </w:pPr>
          </w:p>
        </w:tc>
        <w:tc>
          <w:tcPr>
            <w:tcW w:w="0" w:type="auto"/>
            <w:gridSpan w:val="3"/>
            <w:shd w:val="clear" w:color="auto" w:fill="auto"/>
            <w:vAlign w:val="bottom"/>
          </w:tcPr>
          <w:p w14:paraId="74DDAC89" w14:textId="77777777" w:rsidR="00584EC1" w:rsidRDefault="00584EC1">
            <w:pPr>
              <w:rPr>
                <w:rFonts w:ascii="宋体"/>
                <w:vanish/>
              </w:rPr>
            </w:pPr>
          </w:p>
        </w:tc>
        <w:tc>
          <w:tcPr>
            <w:tcW w:w="0" w:type="auto"/>
            <w:gridSpan w:val="3"/>
            <w:shd w:val="clear" w:color="auto" w:fill="auto"/>
            <w:vAlign w:val="bottom"/>
          </w:tcPr>
          <w:p w14:paraId="74DDAC8A" w14:textId="77777777" w:rsidR="00584EC1" w:rsidRDefault="00584EC1">
            <w:pPr>
              <w:rPr>
                <w:rFonts w:ascii="宋体"/>
                <w:vanish/>
              </w:rPr>
            </w:pPr>
          </w:p>
        </w:tc>
      </w:tr>
      <w:tr w:rsidR="00584EC1" w14:paraId="74DDAC92" w14:textId="77777777">
        <w:trPr>
          <w:jc w:val="center"/>
        </w:trPr>
        <w:tc>
          <w:tcPr>
            <w:tcW w:w="0" w:type="auto"/>
            <w:gridSpan w:val="3"/>
            <w:shd w:val="clear" w:color="auto" w:fill="CCEEFF"/>
            <w:tcMar>
              <w:top w:w="40" w:type="dxa"/>
              <w:left w:w="20" w:type="dxa"/>
              <w:bottom w:w="40" w:type="dxa"/>
              <w:right w:w="20" w:type="dxa"/>
            </w:tcMar>
            <w:vAlign w:val="bottom"/>
          </w:tcPr>
          <w:p w14:paraId="74DDAC8C" w14:textId="77777777" w:rsidR="00584EC1" w:rsidRDefault="00871F8D">
            <w:pPr>
              <w:textAlignment w:val="bottom"/>
            </w:pPr>
            <w:r>
              <w:rPr>
                <w:rFonts w:ascii="Arial" w:eastAsia="宋体" w:hAnsi="Arial" w:cs="Arial"/>
                <w:color w:val="000000"/>
                <w:sz w:val="18"/>
                <w:szCs w:val="18"/>
              </w:rPr>
              <w:t>Series F, 2,500 shares issued and outstanding</w:t>
            </w:r>
          </w:p>
        </w:tc>
        <w:tc>
          <w:tcPr>
            <w:tcW w:w="0" w:type="auto"/>
            <w:gridSpan w:val="2"/>
            <w:shd w:val="clear" w:color="auto" w:fill="CCEEFF"/>
            <w:tcMar>
              <w:top w:w="40" w:type="dxa"/>
              <w:left w:w="20" w:type="dxa"/>
              <w:bottom w:w="40" w:type="dxa"/>
              <w:right w:w="0" w:type="dxa"/>
            </w:tcMar>
            <w:vAlign w:val="bottom"/>
          </w:tcPr>
          <w:p w14:paraId="74DDAC8D" w14:textId="77777777" w:rsidR="00584EC1" w:rsidRDefault="00871F8D">
            <w:pPr>
              <w:jc w:val="right"/>
              <w:textAlignment w:val="bottom"/>
            </w:pPr>
            <w:r>
              <w:rPr>
                <w:rFonts w:ascii="Arial" w:eastAsia="宋体" w:hAnsi="Arial" w:cs="Arial"/>
                <w:b/>
                <w:bCs/>
                <w:color w:val="000000"/>
                <w:sz w:val="18"/>
                <w:szCs w:val="18"/>
              </w:rPr>
              <w:t>247</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4DDAC8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C8F"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AC90" w14:textId="77777777" w:rsidR="00584EC1" w:rsidRDefault="00871F8D">
            <w:pPr>
              <w:jc w:val="right"/>
              <w:textAlignment w:val="bottom"/>
            </w:pPr>
            <w:r>
              <w:rPr>
                <w:rFonts w:ascii="Arial" w:eastAsia="宋体" w:hAnsi="Arial" w:cs="Arial"/>
                <w:color w:val="000000"/>
                <w:sz w:val="18"/>
                <w:szCs w:val="18"/>
              </w:rPr>
              <w:t>742 </w:t>
            </w:r>
          </w:p>
        </w:tc>
        <w:tc>
          <w:tcPr>
            <w:tcW w:w="0" w:type="auto"/>
            <w:shd w:val="clear" w:color="auto" w:fill="CCEEFF"/>
            <w:tcMar>
              <w:top w:w="40" w:type="dxa"/>
              <w:left w:w="0" w:type="dxa"/>
              <w:bottom w:w="40" w:type="dxa"/>
              <w:right w:w="20" w:type="dxa"/>
            </w:tcMar>
            <w:vAlign w:val="bottom"/>
          </w:tcPr>
          <w:p w14:paraId="74DDAC91" w14:textId="77777777" w:rsidR="00584EC1" w:rsidRDefault="00584EC1">
            <w:pPr>
              <w:jc w:val="right"/>
              <w:rPr>
                <w:rFonts w:ascii="宋体"/>
              </w:rPr>
            </w:pPr>
          </w:p>
        </w:tc>
      </w:tr>
      <w:tr w:rsidR="00584EC1" w14:paraId="74DDAC99" w14:textId="77777777">
        <w:trPr>
          <w:jc w:val="center"/>
        </w:trPr>
        <w:tc>
          <w:tcPr>
            <w:tcW w:w="0" w:type="auto"/>
            <w:gridSpan w:val="3"/>
            <w:shd w:val="clear" w:color="auto" w:fill="FFFFFF"/>
            <w:tcMar>
              <w:top w:w="40" w:type="dxa"/>
              <w:left w:w="20" w:type="dxa"/>
              <w:bottom w:w="40" w:type="dxa"/>
              <w:right w:w="20" w:type="dxa"/>
            </w:tcMar>
            <w:vAlign w:val="bottom"/>
          </w:tcPr>
          <w:p w14:paraId="74DDAC93" w14:textId="77777777" w:rsidR="00584EC1" w:rsidRDefault="00871F8D">
            <w:pPr>
              <w:textAlignment w:val="bottom"/>
            </w:pPr>
            <w:r>
              <w:rPr>
                <w:rFonts w:ascii="Arial" w:eastAsia="宋体" w:hAnsi="Arial" w:cs="Arial"/>
                <w:color w:val="000000"/>
                <w:sz w:val="18"/>
                <w:szCs w:val="18"/>
              </w:rPr>
              <w:t>Series G, 5,000 shares issued and outstanding</w:t>
            </w:r>
          </w:p>
        </w:tc>
        <w:tc>
          <w:tcPr>
            <w:tcW w:w="0" w:type="auto"/>
            <w:gridSpan w:val="2"/>
            <w:shd w:val="clear" w:color="auto" w:fill="FFFFFF"/>
            <w:tcMar>
              <w:top w:w="40" w:type="dxa"/>
              <w:left w:w="20" w:type="dxa"/>
              <w:bottom w:w="40" w:type="dxa"/>
              <w:right w:w="0" w:type="dxa"/>
            </w:tcMar>
            <w:vAlign w:val="bottom"/>
          </w:tcPr>
          <w:p w14:paraId="74DDAC94" w14:textId="77777777" w:rsidR="00584EC1" w:rsidRDefault="00871F8D">
            <w:pPr>
              <w:jc w:val="right"/>
              <w:textAlignment w:val="bottom"/>
            </w:pPr>
            <w:r>
              <w:rPr>
                <w:rFonts w:ascii="Arial" w:eastAsia="宋体" w:hAnsi="Arial" w:cs="Arial"/>
                <w:b/>
                <w:bCs/>
                <w:color w:val="000000"/>
                <w:sz w:val="18"/>
                <w:szCs w:val="18"/>
              </w:rPr>
              <w:t>493</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4DDAC9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C9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AC97" w14:textId="77777777" w:rsidR="00584EC1" w:rsidRDefault="00871F8D">
            <w:pPr>
              <w:jc w:val="right"/>
              <w:textAlignment w:val="bottom"/>
            </w:pPr>
            <w:r>
              <w:rPr>
                <w:rFonts w:ascii="Arial" w:eastAsia="宋体" w:hAnsi="Arial" w:cs="Arial"/>
                <w:color w:val="000000"/>
                <w:sz w:val="18"/>
                <w:szCs w:val="18"/>
              </w:rPr>
              <w:t>493 </w:t>
            </w:r>
          </w:p>
        </w:tc>
        <w:tc>
          <w:tcPr>
            <w:tcW w:w="0" w:type="auto"/>
            <w:shd w:val="clear" w:color="auto" w:fill="FFFFFF"/>
            <w:tcMar>
              <w:top w:w="40" w:type="dxa"/>
              <w:left w:w="0" w:type="dxa"/>
              <w:bottom w:w="40" w:type="dxa"/>
              <w:right w:w="20" w:type="dxa"/>
            </w:tcMar>
            <w:vAlign w:val="bottom"/>
          </w:tcPr>
          <w:p w14:paraId="74DDAC98" w14:textId="77777777" w:rsidR="00584EC1" w:rsidRDefault="00584EC1">
            <w:pPr>
              <w:jc w:val="right"/>
              <w:rPr>
                <w:rFonts w:ascii="宋体"/>
              </w:rPr>
            </w:pPr>
          </w:p>
        </w:tc>
      </w:tr>
      <w:tr w:rsidR="00584EC1" w14:paraId="74DDACA0" w14:textId="77777777">
        <w:trPr>
          <w:jc w:val="center"/>
        </w:trPr>
        <w:tc>
          <w:tcPr>
            <w:tcW w:w="0" w:type="auto"/>
            <w:gridSpan w:val="3"/>
            <w:shd w:val="clear" w:color="auto" w:fill="CCEEFF"/>
            <w:tcMar>
              <w:top w:w="40" w:type="dxa"/>
              <w:left w:w="20" w:type="dxa"/>
              <w:bottom w:w="40" w:type="dxa"/>
              <w:right w:w="20" w:type="dxa"/>
            </w:tcMar>
            <w:vAlign w:val="bottom"/>
          </w:tcPr>
          <w:p w14:paraId="74DDAC9A" w14:textId="77777777" w:rsidR="00584EC1" w:rsidRDefault="00871F8D">
            <w:pPr>
              <w:textAlignment w:val="bottom"/>
            </w:pPr>
            <w:r>
              <w:rPr>
                <w:rFonts w:ascii="Arial" w:eastAsia="宋体" w:hAnsi="Arial" w:cs="Arial"/>
                <w:color w:val="000000"/>
                <w:sz w:val="18"/>
                <w:szCs w:val="18"/>
              </w:rPr>
              <w:t>Series H, 5,000 shares issued and outstanding</w:t>
            </w:r>
          </w:p>
        </w:tc>
        <w:tc>
          <w:tcPr>
            <w:tcW w:w="0" w:type="auto"/>
            <w:gridSpan w:val="2"/>
            <w:shd w:val="clear" w:color="auto" w:fill="CCEEFF"/>
            <w:tcMar>
              <w:top w:w="40" w:type="dxa"/>
              <w:left w:w="20" w:type="dxa"/>
              <w:bottom w:w="40" w:type="dxa"/>
              <w:right w:w="0" w:type="dxa"/>
            </w:tcMar>
            <w:vAlign w:val="bottom"/>
          </w:tcPr>
          <w:p w14:paraId="74DDAC9B" w14:textId="77777777" w:rsidR="00584EC1" w:rsidRDefault="00871F8D">
            <w:pPr>
              <w:jc w:val="right"/>
              <w:textAlignment w:val="bottom"/>
            </w:pPr>
            <w:r>
              <w:rPr>
                <w:rFonts w:ascii="Arial" w:eastAsia="宋体" w:hAnsi="Arial" w:cs="Arial"/>
                <w:b/>
                <w:bCs/>
                <w:color w:val="000000"/>
                <w:sz w:val="18"/>
                <w:szCs w:val="18"/>
              </w:rPr>
              <w:t>494</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4DDAC9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C9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AC9E" w14:textId="77777777" w:rsidR="00584EC1" w:rsidRDefault="00871F8D">
            <w:pPr>
              <w:jc w:val="right"/>
              <w:textAlignment w:val="bottom"/>
            </w:pPr>
            <w:r>
              <w:rPr>
                <w:rFonts w:ascii="Arial" w:eastAsia="宋体" w:hAnsi="Arial" w:cs="Arial"/>
                <w:color w:val="000000"/>
                <w:sz w:val="18"/>
                <w:szCs w:val="18"/>
              </w:rPr>
              <w:t>494 </w:t>
            </w:r>
          </w:p>
        </w:tc>
        <w:tc>
          <w:tcPr>
            <w:tcW w:w="0" w:type="auto"/>
            <w:shd w:val="clear" w:color="auto" w:fill="CCEEFF"/>
            <w:tcMar>
              <w:top w:w="40" w:type="dxa"/>
              <w:left w:w="0" w:type="dxa"/>
              <w:bottom w:w="40" w:type="dxa"/>
              <w:right w:w="20" w:type="dxa"/>
            </w:tcMar>
            <w:vAlign w:val="bottom"/>
          </w:tcPr>
          <w:p w14:paraId="74DDAC9F" w14:textId="77777777" w:rsidR="00584EC1" w:rsidRDefault="00584EC1">
            <w:pPr>
              <w:jc w:val="right"/>
              <w:rPr>
                <w:rFonts w:ascii="宋体"/>
              </w:rPr>
            </w:pPr>
          </w:p>
        </w:tc>
      </w:tr>
      <w:tr w:rsidR="00584EC1" w14:paraId="74DDACA5" w14:textId="77777777">
        <w:trPr>
          <w:jc w:val="center"/>
        </w:trPr>
        <w:tc>
          <w:tcPr>
            <w:tcW w:w="0" w:type="auto"/>
            <w:gridSpan w:val="3"/>
            <w:shd w:val="clear" w:color="auto" w:fill="FFFFFF"/>
            <w:tcMar>
              <w:top w:w="40" w:type="dxa"/>
              <w:left w:w="20" w:type="dxa"/>
              <w:bottom w:w="40" w:type="dxa"/>
              <w:right w:w="20" w:type="dxa"/>
            </w:tcMar>
            <w:vAlign w:val="bottom"/>
          </w:tcPr>
          <w:p w14:paraId="74DDACA1" w14:textId="77777777" w:rsidR="00584EC1" w:rsidRDefault="00871F8D">
            <w:pPr>
              <w:textAlignment w:val="bottom"/>
            </w:pPr>
            <w:r>
              <w:rPr>
                <w:rFonts w:ascii="Arial" w:eastAsia="宋体" w:hAnsi="Arial" w:cs="Arial"/>
                <w:color w:val="000000"/>
                <w:sz w:val="18"/>
                <w:szCs w:val="18"/>
              </w:rPr>
              <w:t xml:space="preserve">Common stock, $1 </w:t>
            </w:r>
            <w:r>
              <w:rPr>
                <w:rFonts w:ascii="Arial" w:eastAsia="宋体" w:hAnsi="Arial" w:cs="Arial"/>
                <w:color w:val="000000"/>
                <w:sz w:val="18"/>
                <w:szCs w:val="18"/>
              </w:rPr>
              <w:t>par, 750,000,000 shares authorized:</w:t>
            </w:r>
          </w:p>
        </w:tc>
        <w:tc>
          <w:tcPr>
            <w:tcW w:w="0" w:type="auto"/>
            <w:gridSpan w:val="3"/>
            <w:shd w:val="clear" w:color="auto" w:fill="FFFFFF"/>
            <w:tcMar>
              <w:top w:w="0" w:type="dxa"/>
              <w:left w:w="20" w:type="dxa"/>
              <w:bottom w:w="0" w:type="dxa"/>
              <w:right w:w="20" w:type="dxa"/>
            </w:tcMar>
            <w:vAlign w:val="bottom"/>
          </w:tcPr>
          <w:p w14:paraId="74DDACA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ACA3"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ACA4" w14:textId="77777777" w:rsidR="00584EC1" w:rsidRDefault="00584EC1">
            <w:pPr>
              <w:rPr>
                <w:rFonts w:ascii="宋体"/>
              </w:rPr>
            </w:pPr>
          </w:p>
        </w:tc>
      </w:tr>
      <w:tr w:rsidR="00584EC1" w14:paraId="74DDACAC" w14:textId="77777777">
        <w:trPr>
          <w:jc w:val="center"/>
        </w:trPr>
        <w:tc>
          <w:tcPr>
            <w:tcW w:w="0" w:type="auto"/>
            <w:gridSpan w:val="3"/>
            <w:shd w:val="clear" w:color="auto" w:fill="CCEEFF"/>
            <w:tcMar>
              <w:top w:w="40" w:type="dxa"/>
              <w:left w:w="20" w:type="dxa"/>
              <w:bottom w:w="40" w:type="dxa"/>
              <w:right w:w="20" w:type="dxa"/>
            </w:tcMar>
            <w:vAlign w:val="bottom"/>
          </w:tcPr>
          <w:p w14:paraId="74DDACA6" w14:textId="77777777" w:rsidR="00584EC1" w:rsidRDefault="00871F8D">
            <w:pPr>
              <w:jc w:val="both"/>
              <w:textAlignment w:val="bottom"/>
            </w:pPr>
            <w:r>
              <w:rPr>
                <w:rFonts w:ascii="Arial" w:eastAsia="宋体" w:hAnsi="Arial" w:cs="Arial"/>
                <w:color w:val="000000"/>
                <w:sz w:val="18"/>
                <w:szCs w:val="18"/>
              </w:rPr>
              <w:t>503,879,642 and 503,879,642 shares issued, and 365,629,173 and 353,156,279</w:t>
            </w:r>
            <w:r>
              <w:rPr>
                <w:rFonts w:ascii="Arial" w:eastAsia="宋体" w:hAnsi="Arial" w:cs="Arial"/>
                <w:color w:val="FF0000"/>
                <w:sz w:val="18"/>
                <w:szCs w:val="18"/>
              </w:rPr>
              <w:t xml:space="preserve"> </w:t>
            </w:r>
            <w:r>
              <w:rPr>
                <w:rFonts w:ascii="Arial" w:eastAsia="宋体" w:hAnsi="Arial" w:cs="Arial"/>
                <w:color w:val="000000"/>
                <w:sz w:val="18"/>
                <w:szCs w:val="18"/>
              </w:rPr>
              <w:t>shares outstanding</w:t>
            </w:r>
          </w:p>
        </w:tc>
        <w:tc>
          <w:tcPr>
            <w:tcW w:w="0" w:type="auto"/>
            <w:gridSpan w:val="2"/>
            <w:shd w:val="clear" w:color="auto" w:fill="CCEEFF"/>
            <w:tcMar>
              <w:top w:w="40" w:type="dxa"/>
              <w:left w:w="20" w:type="dxa"/>
              <w:bottom w:w="40" w:type="dxa"/>
              <w:right w:w="0" w:type="dxa"/>
            </w:tcMar>
            <w:vAlign w:val="bottom"/>
          </w:tcPr>
          <w:p w14:paraId="74DDACA7" w14:textId="77777777" w:rsidR="00584EC1" w:rsidRDefault="00871F8D">
            <w:pPr>
              <w:jc w:val="right"/>
              <w:textAlignment w:val="bottom"/>
            </w:pPr>
            <w:r>
              <w:rPr>
                <w:rFonts w:ascii="Arial" w:eastAsia="宋体" w:hAnsi="Arial" w:cs="Arial"/>
                <w:b/>
                <w:bCs/>
                <w:color w:val="000000"/>
                <w:sz w:val="18"/>
                <w:szCs w:val="18"/>
              </w:rPr>
              <w:t>504</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4DDACA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CA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ACAA" w14:textId="77777777" w:rsidR="00584EC1" w:rsidRDefault="00871F8D">
            <w:pPr>
              <w:jc w:val="right"/>
              <w:textAlignment w:val="bottom"/>
            </w:pPr>
            <w:r>
              <w:rPr>
                <w:rFonts w:ascii="Arial" w:eastAsia="宋体" w:hAnsi="Arial" w:cs="Arial"/>
                <w:color w:val="000000"/>
                <w:sz w:val="18"/>
                <w:szCs w:val="18"/>
              </w:rPr>
              <w:t>504 </w:t>
            </w:r>
          </w:p>
        </w:tc>
        <w:tc>
          <w:tcPr>
            <w:tcW w:w="0" w:type="auto"/>
            <w:shd w:val="clear" w:color="auto" w:fill="CCEEFF"/>
            <w:tcMar>
              <w:top w:w="40" w:type="dxa"/>
              <w:left w:w="0" w:type="dxa"/>
              <w:bottom w:w="40" w:type="dxa"/>
              <w:right w:w="20" w:type="dxa"/>
            </w:tcMar>
            <w:vAlign w:val="bottom"/>
          </w:tcPr>
          <w:p w14:paraId="74DDACAB" w14:textId="77777777" w:rsidR="00584EC1" w:rsidRDefault="00584EC1">
            <w:pPr>
              <w:jc w:val="right"/>
              <w:rPr>
                <w:rFonts w:ascii="宋体"/>
              </w:rPr>
            </w:pPr>
          </w:p>
        </w:tc>
      </w:tr>
      <w:tr w:rsidR="00584EC1" w14:paraId="74DDACB3" w14:textId="77777777">
        <w:trPr>
          <w:jc w:val="center"/>
        </w:trPr>
        <w:tc>
          <w:tcPr>
            <w:tcW w:w="0" w:type="auto"/>
            <w:gridSpan w:val="3"/>
            <w:shd w:val="clear" w:color="auto" w:fill="FFFFFF"/>
            <w:tcMar>
              <w:top w:w="40" w:type="dxa"/>
              <w:left w:w="20" w:type="dxa"/>
              <w:bottom w:w="40" w:type="dxa"/>
              <w:right w:w="20" w:type="dxa"/>
            </w:tcMar>
            <w:vAlign w:val="bottom"/>
          </w:tcPr>
          <w:p w14:paraId="74DDACAD" w14:textId="77777777" w:rsidR="00584EC1" w:rsidRDefault="00871F8D">
            <w:pPr>
              <w:textAlignment w:val="bottom"/>
            </w:pPr>
            <w:r>
              <w:rPr>
                <w:rFonts w:ascii="Arial" w:eastAsia="宋体" w:hAnsi="Arial" w:cs="Arial"/>
                <w:color w:val="000000"/>
                <w:sz w:val="18"/>
                <w:szCs w:val="18"/>
              </w:rPr>
              <w:t>Surplus</w:t>
            </w:r>
          </w:p>
        </w:tc>
        <w:tc>
          <w:tcPr>
            <w:tcW w:w="0" w:type="auto"/>
            <w:gridSpan w:val="2"/>
            <w:shd w:val="clear" w:color="auto" w:fill="FFFFFF"/>
            <w:tcMar>
              <w:top w:w="40" w:type="dxa"/>
              <w:left w:w="20" w:type="dxa"/>
              <w:bottom w:w="40" w:type="dxa"/>
              <w:right w:w="0" w:type="dxa"/>
            </w:tcMar>
            <w:vAlign w:val="bottom"/>
          </w:tcPr>
          <w:p w14:paraId="74DDACAE" w14:textId="77777777" w:rsidR="00584EC1" w:rsidRDefault="00871F8D">
            <w:pPr>
              <w:jc w:val="right"/>
              <w:textAlignment w:val="bottom"/>
            </w:pPr>
            <w:r>
              <w:rPr>
                <w:rFonts w:ascii="Arial" w:eastAsia="宋体" w:hAnsi="Arial" w:cs="Arial"/>
                <w:b/>
                <w:bCs/>
                <w:color w:val="000000"/>
                <w:sz w:val="18"/>
                <w:szCs w:val="18"/>
              </w:rPr>
              <w:t>10,763</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4DDACA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CB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ACB1" w14:textId="77777777" w:rsidR="00584EC1" w:rsidRDefault="00871F8D">
            <w:pPr>
              <w:jc w:val="right"/>
              <w:textAlignment w:val="bottom"/>
            </w:pPr>
            <w:r>
              <w:rPr>
                <w:rFonts w:ascii="Arial" w:eastAsia="宋体" w:hAnsi="Arial" w:cs="Arial"/>
                <w:color w:val="000000"/>
                <w:sz w:val="18"/>
                <w:szCs w:val="18"/>
              </w:rPr>
              <w:t>10,205 </w:t>
            </w:r>
          </w:p>
        </w:tc>
        <w:tc>
          <w:tcPr>
            <w:tcW w:w="0" w:type="auto"/>
            <w:shd w:val="clear" w:color="auto" w:fill="FFFFFF"/>
            <w:tcMar>
              <w:top w:w="40" w:type="dxa"/>
              <w:left w:w="0" w:type="dxa"/>
              <w:bottom w:w="40" w:type="dxa"/>
              <w:right w:w="20" w:type="dxa"/>
            </w:tcMar>
            <w:vAlign w:val="bottom"/>
          </w:tcPr>
          <w:p w14:paraId="74DDACB2" w14:textId="77777777" w:rsidR="00584EC1" w:rsidRDefault="00584EC1">
            <w:pPr>
              <w:jc w:val="right"/>
              <w:rPr>
                <w:rFonts w:ascii="宋体"/>
              </w:rPr>
            </w:pPr>
          </w:p>
        </w:tc>
      </w:tr>
      <w:tr w:rsidR="00584EC1" w14:paraId="74DDACBA" w14:textId="77777777">
        <w:trPr>
          <w:jc w:val="center"/>
        </w:trPr>
        <w:tc>
          <w:tcPr>
            <w:tcW w:w="0" w:type="auto"/>
            <w:gridSpan w:val="3"/>
            <w:shd w:val="clear" w:color="auto" w:fill="CCEEFF"/>
            <w:tcMar>
              <w:top w:w="40" w:type="dxa"/>
              <w:left w:w="20" w:type="dxa"/>
              <w:bottom w:w="40" w:type="dxa"/>
              <w:right w:w="20" w:type="dxa"/>
            </w:tcMar>
            <w:vAlign w:val="bottom"/>
          </w:tcPr>
          <w:p w14:paraId="74DDACB4" w14:textId="77777777" w:rsidR="00584EC1" w:rsidRDefault="00871F8D">
            <w:pPr>
              <w:textAlignment w:val="bottom"/>
            </w:pPr>
            <w:r>
              <w:rPr>
                <w:rFonts w:ascii="Arial" w:eastAsia="宋体" w:hAnsi="Arial" w:cs="Arial"/>
                <w:color w:val="000000"/>
                <w:sz w:val="18"/>
                <w:szCs w:val="18"/>
              </w:rPr>
              <w:t>Retained earnings</w:t>
            </w:r>
          </w:p>
        </w:tc>
        <w:tc>
          <w:tcPr>
            <w:tcW w:w="0" w:type="auto"/>
            <w:gridSpan w:val="2"/>
            <w:shd w:val="clear" w:color="auto" w:fill="CCEEFF"/>
            <w:tcMar>
              <w:top w:w="40" w:type="dxa"/>
              <w:left w:w="20" w:type="dxa"/>
              <w:bottom w:w="40" w:type="dxa"/>
              <w:right w:w="0" w:type="dxa"/>
            </w:tcMar>
            <w:vAlign w:val="bottom"/>
          </w:tcPr>
          <w:p w14:paraId="74DDACB5" w14:textId="77777777" w:rsidR="00584EC1" w:rsidRDefault="00871F8D">
            <w:pPr>
              <w:jc w:val="right"/>
              <w:textAlignment w:val="bottom"/>
            </w:pPr>
            <w:r>
              <w:rPr>
                <w:rFonts w:ascii="Arial" w:eastAsia="宋体" w:hAnsi="Arial" w:cs="Arial"/>
                <w:b/>
                <w:bCs/>
                <w:color w:val="000000"/>
                <w:sz w:val="18"/>
                <w:szCs w:val="18"/>
              </w:rPr>
              <w:t>24,785</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4DDACB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CB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ACB8" w14:textId="77777777" w:rsidR="00584EC1" w:rsidRDefault="00871F8D">
            <w:pPr>
              <w:jc w:val="right"/>
              <w:textAlignment w:val="bottom"/>
            </w:pPr>
            <w:r>
              <w:rPr>
                <w:rFonts w:ascii="Arial" w:eastAsia="宋体" w:hAnsi="Arial" w:cs="Arial"/>
                <w:color w:val="000000"/>
                <w:sz w:val="18"/>
                <w:szCs w:val="18"/>
              </w:rPr>
              <w:t>23,442 </w:t>
            </w:r>
          </w:p>
        </w:tc>
        <w:tc>
          <w:tcPr>
            <w:tcW w:w="0" w:type="auto"/>
            <w:shd w:val="clear" w:color="auto" w:fill="CCEEFF"/>
            <w:tcMar>
              <w:top w:w="40" w:type="dxa"/>
              <w:left w:w="0" w:type="dxa"/>
              <w:bottom w:w="40" w:type="dxa"/>
              <w:right w:w="20" w:type="dxa"/>
            </w:tcMar>
            <w:vAlign w:val="bottom"/>
          </w:tcPr>
          <w:p w14:paraId="74DDACB9" w14:textId="77777777" w:rsidR="00584EC1" w:rsidRDefault="00584EC1">
            <w:pPr>
              <w:jc w:val="right"/>
              <w:rPr>
                <w:rFonts w:ascii="宋体"/>
              </w:rPr>
            </w:pPr>
          </w:p>
        </w:tc>
      </w:tr>
      <w:tr w:rsidR="00584EC1" w14:paraId="74DDACC1" w14:textId="77777777">
        <w:trPr>
          <w:jc w:val="center"/>
        </w:trPr>
        <w:tc>
          <w:tcPr>
            <w:tcW w:w="0" w:type="auto"/>
            <w:gridSpan w:val="3"/>
            <w:shd w:val="clear" w:color="auto" w:fill="FFFFFF"/>
            <w:tcMar>
              <w:top w:w="40" w:type="dxa"/>
              <w:left w:w="20" w:type="dxa"/>
              <w:bottom w:w="40" w:type="dxa"/>
              <w:right w:w="20" w:type="dxa"/>
            </w:tcMar>
            <w:vAlign w:val="bottom"/>
          </w:tcPr>
          <w:p w14:paraId="74DDACBB" w14:textId="77777777" w:rsidR="00584EC1" w:rsidRDefault="00871F8D">
            <w:pPr>
              <w:textAlignment w:val="bottom"/>
            </w:pPr>
            <w:r>
              <w:rPr>
                <w:rFonts w:ascii="Arial" w:eastAsia="宋体" w:hAnsi="Arial" w:cs="Arial"/>
                <w:color w:val="000000"/>
                <w:sz w:val="18"/>
                <w:szCs w:val="18"/>
              </w:rPr>
              <w:t xml:space="preserve">Accumulated other </w:t>
            </w:r>
            <w:r>
              <w:rPr>
                <w:rFonts w:ascii="Arial" w:eastAsia="宋体" w:hAnsi="Arial" w:cs="Arial"/>
                <w:color w:val="000000"/>
                <w:sz w:val="18"/>
                <w:szCs w:val="18"/>
              </w:rPr>
              <w:t>comprehensive income (loss)</w:t>
            </w:r>
          </w:p>
        </w:tc>
        <w:tc>
          <w:tcPr>
            <w:tcW w:w="0" w:type="auto"/>
            <w:gridSpan w:val="2"/>
            <w:shd w:val="clear" w:color="auto" w:fill="FFFFFF"/>
            <w:tcMar>
              <w:top w:w="40" w:type="dxa"/>
              <w:left w:w="20" w:type="dxa"/>
              <w:bottom w:w="40" w:type="dxa"/>
              <w:right w:w="0" w:type="dxa"/>
            </w:tcMar>
            <w:vAlign w:val="bottom"/>
          </w:tcPr>
          <w:p w14:paraId="74DDACBC" w14:textId="77777777" w:rsidR="00584EC1" w:rsidRDefault="00871F8D">
            <w:pPr>
              <w:jc w:val="right"/>
              <w:textAlignment w:val="bottom"/>
            </w:pPr>
            <w:r>
              <w:rPr>
                <w:rFonts w:ascii="Arial" w:eastAsia="宋体" w:hAnsi="Arial" w:cs="Arial"/>
                <w:b/>
                <w:bCs/>
                <w:color w:val="000000"/>
                <w:sz w:val="18"/>
                <w:szCs w:val="18"/>
              </w:rPr>
              <w:t>(682)</w:t>
            </w:r>
          </w:p>
        </w:tc>
        <w:tc>
          <w:tcPr>
            <w:tcW w:w="0" w:type="auto"/>
            <w:shd w:val="clear" w:color="auto" w:fill="FFFFFF"/>
            <w:tcMar>
              <w:top w:w="40" w:type="dxa"/>
              <w:left w:w="0" w:type="dxa"/>
              <w:bottom w:w="40" w:type="dxa"/>
              <w:right w:w="20" w:type="dxa"/>
            </w:tcMar>
            <w:vAlign w:val="bottom"/>
          </w:tcPr>
          <w:p w14:paraId="74DDACB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CB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ACBF" w14:textId="77777777" w:rsidR="00584EC1" w:rsidRDefault="00871F8D">
            <w:pPr>
              <w:jc w:val="right"/>
              <w:textAlignment w:val="bottom"/>
            </w:pPr>
            <w:r>
              <w:rPr>
                <w:rFonts w:ascii="Arial" w:eastAsia="宋体" w:hAnsi="Arial" w:cs="Arial"/>
                <w:color w:val="000000"/>
                <w:sz w:val="18"/>
                <w:szCs w:val="18"/>
              </w:rPr>
              <w:t>187 </w:t>
            </w:r>
          </w:p>
        </w:tc>
        <w:tc>
          <w:tcPr>
            <w:tcW w:w="0" w:type="auto"/>
            <w:shd w:val="clear" w:color="auto" w:fill="FFFFFF"/>
            <w:tcMar>
              <w:top w:w="40" w:type="dxa"/>
              <w:left w:w="0" w:type="dxa"/>
              <w:bottom w:w="40" w:type="dxa"/>
              <w:right w:w="20" w:type="dxa"/>
            </w:tcMar>
            <w:vAlign w:val="bottom"/>
          </w:tcPr>
          <w:p w14:paraId="74DDACC0" w14:textId="77777777" w:rsidR="00584EC1" w:rsidRDefault="00584EC1">
            <w:pPr>
              <w:jc w:val="right"/>
              <w:rPr>
                <w:rFonts w:ascii="宋体"/>
              </w:rPr>
            </w:pPr>
          </w:p>
        </w:tc>
      </w:tr>
      <w:tr w:rsidR="00584EC1" w14:paraId="74DDACC8" w14:textId="77777777">
        <w:trPr>
          <w:jc w:val="center"/>
        </w:trPr>
        <w:tc>
          <w:tcPr>
            <w:tcW w:w="0" w:type="auto"/>
            <w:gridSpan w:val="3"/>
            <w:shd w:val="clear" w:color="auto" w:fill="CCEEFF"/>
            <w:tcMar>
              <w:top w:w="40" w:type="dxa"/>
              <w:left w:w="20" w:type="dxa"/>
              <w:bottom w:w="40" w:type="dxa"/>
              <w:right w:w="20" w:type="dxa"/>
            </w:tcMar>
            <w:vAlign w:val="bottom"/>
          </w:tcPr>
          <w:p w14:paraId="74DDACC2" w14:textId="77777777" w:rsidR="00584EC1" w:rsidRDefault="00871F8D">
            <w:pPr>
              <w:textAlignment w:val="bottom"/>
            </w:pPr>
            <w:r>
              <w:rPr>
                <w:rFonts w:ascii="Arial" w:eastAsia="宋体" w:hAnsi="Arial" w:cs="Arial"/>
                <w:color w:val="000000"/>
                <w:sz w:val="18"/>
                <w:szCs w:val="18"/>
              </w:rPr>
              <w:t>Treasury stock, at cost (138,250,469 and 150,723,363 shares)</w:t>
            </w:r>
          </w:p>
        </w:tc>
        <w:tc>
          <w:tcPr>
            <w:tcW w:w="0" w:type="auto"/>
            <w:gridSpan w:val="2"/>
            <w:shd w:val="clear" w:color="auto" w:fill="CCEEFF"/>
            <w:tcMar>
              <w:top w:w="40" w:type="dxa"/>
              <w:left w:w="20" w:type="dxa"/>
              <w:bottom w:w="40" w:type="dxa"/>
              <w:right w:w="0" w:type="dxa"/>
            </w:tcMar>
            <w:vAlign w:val="bottom"/>
          </w:tcPr>
          <w:p w14:paraId="74DDACC3" w14:textId="77777777" w:rsidR="00584EC1" w:rsidRDefault="00871F8D">
            <w:pPr>
              <w:jc w:val="right"/>
              <w:textAlignment w:val="bottom"/>
            </w:pPr>
            <w:r>
              <w:rPr>
                <w:rFonts w:ascii="Arial" w:eastAsia="宋体" w:hAnsi="Arial" w:cs="Arial"/>
                <w:b/>
                <w:bCs/>
                <w:color w:val="000000"/>
                <w:sz w:val="18"/>
                <w:szCs w:val="18"/>
              </w:rPr>
              <w:t>(10,032)</w:t>
            </w:r>
          </w:p>
        </w:tc>
        <w:tc>
          <w:tcPr>
            <w:tcW w:w="0" w:type="auto"/>
            <w:shd w:val="clear" w:color="auto" w:fill="CCEEFF"/>
            <w:tcMar>
              <w:top w:w="40" w:type="dxa"/>
              <w:left w:w="0" w:type="dxa"/>
              <w:bottom w:w="40" w:type="dxa"/>
              <w:right w:w="20" w:type="dxa"/>
            </w:tcMar>
            <w:vAlign w:val="bottom"/>
          </w:tcPr>
          <w:p w14:paraId="74DDACC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CC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ACC6" w14:textId="77777777" w:rsidR="00584EC1" w:rsidRDefault="00871F8D">
            <w:pPr>
              <w:jc w:val="right"/>
              <w:textAlignment w:val="bottom"/>
            </w:pPr>
            <w:r>
              <w:rPr>
                <w:rFonts w:ascii="Arial" w:eastAsia="宋体" w:hAnsi="Arial" w:cs="Arial"/>
                <w:color w:val="000000"/>
                <w:sz w:val="18"/>
                <w:szCs w:val="18"/>
              </w:rPr>
              <w:t>(10,609)</w:t>
            </w:r>
          </w:p>
        </w:tc>
        <w:tc>
          <w:tcPr>
            <w:tcW w:w="0" w:type="auto"/>
            <w:shd w:val="clear" w:color="auto" w:fill="CCEEFF"/>
            <w:tcMar>
              <w:top w:w="40" w:type="dxa"/>
              <w:left w:w="0" w:type="dxa"/>
              <w:bottom w:w="40" w:type="dxa"/>
              <w:right w:w="20" w:type="dxa"/>
            </w:tcMar>
            <w:vAlign w:val="bottom"/>
          </w:tcPr>
          <w:p w14:paraId="74DDACC7" w14:textId="77777777" w:rsidR="00584EC1" w:rsidRDefault="00584EC1">
            <w:pPr>
              <w:jc w:val="right"/>
              <w:rPr>
                <w:rFonts w:ascii="宋体"/>
              </w:rPr>
            </w:pPr>
          </w:p>
        </w:tc>
      </w:tr>
      <w:tr w:rsidR="00584EC1" w14:paraId="74DDACCF" w14:textId="77777777">
        <w:trPr>
          <w:jc w:val="center"/>
        </w:trPr>
        <w:tc>
          <w:tcPr>
            <w:tcW w:w="0" w:type="auto"/>
            <w:gridSpan w:val="3"/>
            <w:shd w:val="clear" w:color="auto" w:fill="FFFFFF"/>
            <w:tcMar>
              <w:top w:w="40" w:type="dxa"/>
              <w:left w:w="20" w:type="dxa"/>
              <w:bottom w:w="40" w:type="dxa"/>
              <w:right w:w="20" w:type="dxa"/>
            </w:tcMar>
            <w:vAlign w:val="bottom"/>
          </w:tcPr>
          <w:p w14:paraId="74DDACC9" w14:textId="77777777" w:rsidR="00584EC1" w:rsidRDefault="00871F8D">
            <w:pPr>
              <w:textAlignment w:val="bottom"/>
            </w:pPr>
            <w:r>
              <w:rPr>
                <w:rFonts w:ascii="Arial" w:eastAsia="宋体" w:hAnsi="Arial" w:cs="Arial"/>
                <w:b/>
                <w:bCs/>
                <w:color w:val="000000"/>
                <w:sz w:val="18"/>
                <w:szCs w:val="18"/>
              </w:rPr>
              <w:t>Total shareholders’ equity</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ACCA" w14:textId="77777777" w:rsidR="00584EC1" w:rsidRDefault="00871F8D">
            <w:pPr>
              <w:jc w:val="right"/>
              <w:textAlignment w:val="bottom"/>
            </w:pPr>
            <w:r>
              <w:rPr>
                <w:rFonts w:ascii="Arial" w:eastAsia="宋体" w:hAnsi="Arial" w:cs="Arial"/>
                <w:b/>
                <w:bCs/>
                <w:color w:val="000000"/>
                <w:sz w:val="18"/>
                <w:szCs w:val="18"/>
              </w:rPr>
              <w:t>27,314</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ACC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ACCC"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ACCD" w14:textId="77777777" w:rsidR="00584EC1" w:rsidRDefault="00871F8D">
            <w:pPr>
              <w:jc w:val="right"/>
              <w:textAlignment w:val="bottom"/>
            </w:pPr>
            <w:r>
              <w:rPr>
                <w:rFonts w:ascii="Arial" w:eastAsia="宋体" w:hAnsi="Arial" w:cs="Arial"/>
                <w:color w:val="000000"/>
                <w:sz w:val="18"/>
                <w:szCs w:val="18"/>
              </w:rPr>
              <w:t>26,200 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ACCE" w14:textId="77777777" w:rsidR="00584EC1" w:rsidRDefault="00584EC1">
            <w:pPr>
              <w:jc w:val="right"/>
              <w:rPr>
                <w:rFonts w:ascii="宋体"/>
              </w:rPr>
            </w:pPr>
          </w:p>
        </w:tc>
      </w:tr>
      <w:tr w:rsidR="00584EC1" w14:paraId="74DDACD4" w14:textId="77777777">
        <w:trPr>
          <w:jc w:val="center"/>
          <w:hidden/>
        </w:trPr>
        <w:tc>
          <w:tcPr>
            <w:tcW w:w="0" w:type="auto"/>
            <w:gridSpan w:val="3"/>
            <w:shd w:val="clear" w:color="auto" w:fill="auto"/>
            <w:vAlign w:val="bottom"/>
          </w:tcPr>
          <w:p w14:paraId="74DDACD0" w14:textId="77777777" w:rsidR="00584EC1" w:rsidRDefault="00584EC1">
            <w:pPr>
              <w:rPr>
                <w:rFonts w:ascii="宋体"/>
                <w:vanish/>
              </w:rPr>
            </w:pPr>
          </w:p>
        </w:tc>
        <w:tc>
          <w:tcPr>
            <w:tcW w:w="0" w:type="auto"/>
            <w:gridSpan w:val="3"/>
            <w:shd w:val="clear" w:color="auto" w:fill="auto"/>
            <w:vAlign w:val="bottom"/>
          </w:tcPr>
          <w:p w14:paraId="74DDACD1" w14:textId="77777777" w:rsidR="00584EC1" w:rsidRDefault="00584EC1">
            <w:pPr>
              <w:rPr>
                <w:rFonts w:ascii="宋体"/>
                <w:vanish/>
              </w:rPr>
            </w:pPr>
          </w:p>
        </w:tc>
        <w:tc>
          <w:tcPr>
            <w:tcW w:w="0" w:type="auto"/>
            <w:gridSpan w:val="3"/>
            <w:shd w:val="clear" w:color="auto" w:fill="auto"/>
            <w:vAlign w:val="bottom"/>
          </w:tcPr>
          <w:p w14:paraId="74DDACD2" w14:textId="77777777" w:rsidR="00584EC1" w:rsidRDefault="00584EC1">
            <w:pPr>
              <w:rPr>
                <w:rFonts w:ascii="宋体"/>
                <w:vanish/>
              </w:rPr>
            </w:pPr>
          </w:p>
        </w:tc>
        <w:tc>
          <w:tcPr>
            <w:tcW w:w="0" w:type="auto"/>
            <w:gridSpan w:val="3"/>
            <w:shd w:val="clear" w:color="auto" w:fill="auto"/>
            <w:vAlign w:val="bottom"/>
          </w:tcPr>
          <w:p w14:paraId="74DDACD3" w14:textId="77777777" w:rsidR="00584EC1" w:rsidRDefault="00584EC1">
            <w:pPr>
              <w:rPr>
                <w:rFonts w:ascii="宋体"/>
                <w:vanish/>
              </w:rPr>
            </w:pPr>
          </w:p>
        </w:tc>
      </w:tr>
      <w:tr w:rsidR="00584EC1" w14:paraId="74DDACD9" w14:textId="77777777">
        <w:trPr>
          <w:jc w:val="center"/>
          <w:hidden/>
        </w:trPr>
        <w:tc>
          <w:tcPr>
            <w:tcW w:w="0" w:type="auto"/>
            <w:gridSpan w:val="3"/>
            <w:shd w:val="clear" w:color="auto" w:fill="auto"/>
            <w:vAlign w:val="bottom"/>
          </w:tcPr>
          <w:p w14:paraId="74DDACD5" w14:textId="77777777" w:rsidR="00584EC1" w:rsidRDefault="00584EC1">
            <w:pPr>
              <w:rPr>
                <w:rFonts w:ascii="宋体"/>
                <w:vanish/>
              </w:rPr>
            </w:pPr>
          </w:p>
        </w:tc>
        <w:tc>
          <w:tcPr>
            <w:tcW w:w="0" w:type="auto"/>
            <w:gridSpan w:val="3"/>
            <w:shd w:val="clear" w:color="auto" w:fill="auto"/>
            <w:vAlign w:val="bottom"/>
          </w:tcPr>
          <w:p w14:paraId="74DDACD6" w14:textId="77777777" w:rsidR="00584EC1" w:rsidRDefault="00584EC1">
            <w:pPr>
              <w:rPr>
                <w:rFonts w:ascii="宋体"/>
                <w:vanish/>
              </w:rPr>
            </w:pPr>
          </w:p>
        </w:tc>
        <w:tc>
          <w:tcPr>
            <w:tcW w:w="0" w:type="auto"/>
            <w:gridSpan w:val="3"/>
            <w:shd w:val="clear" w:color="auto" w:fill="auto"/>
            <w:vAlign w:val="bottom"/>
          </w:tcPr>
          <w:p w14:paraId="74DDACD7" w14:textId="77777777" w:rsidR="00584EC1" w:rsidRDefault="00584EC1">
            <w:pPr>
              <w:rPr>
                <w:rFonts w:ascii="宋体"/>
                <w:vanish/>
              </w:rPr>
            </w:pPr>
          </w:p>
        </w:tc>
        <w:tc>
          <w:tcPr>
            <w:tcW w:w="0" w:type="auto"/>
            <w:gridSpan w:val="3"/>
            <w:shd w:val="clear" w:color="auto" w:fill="auto"/>
            <w:vAlign w:val="bottom"/>
          </w:tcPr>
          <w:p w14:paraId="74DDACD8" w14:textId="77777777" w:rsidR="00584EC1" w:rsidRDefault="00584EC1">
            <w:pPr>
              <w:rPr>
                <w:rFonts w:ascii="宋体"/>
                <w:vanish/>
              </w:rPr>
            </w:pPr>
          </w:p>
        </w:tc>
      </w:tr>
      <w:tr w:rsidR="00584EC1" w14:paraId="74DDACE2" w14:textId="77777777">
        <w:trPr>
          <w:jc w:val="center"/>
        </w:trPr>
        <w:tc>
          <w:tcPr>
            <w:tcW w:w="0" w:type="auto"/>
            <w:gridSpan w:val="3"/>
            <w:shd w:val="clear" w:color="auto" w:fill="CCEEFF"/>
            <w:tcMar>
              <w:top w:w="40" w:type="dxa"/>
              <w:left w:w="20" w:type="dxa"/>
              <w:bottom w:w="40" w:type="dxa"/>
              <w:right w:w="20" w:type="dxa"/>
            </w:tcMar>
            <w:vAlign w:val="bottom"/>
          </w:tcPr>
          <w:p w14:paraId="74DDACDA" w14:textId="77777777" w:rsidR="00584EC1" w:rsidRDefault="00871F8D">
            <w:pPr>
              <w:textAlignment w:val="bottom"/>
            </w:pPr>
            <w:r>
              <w:rPr>
                <w:rFonts w:ascii="Arial" w:eastAsia="宋体" w:hAnsi="Arial" w:cs="Arial"/>
                <w:b/>
                <w:bCs/>
                <w:color w:val="000000"/>
                <w:sz w:val="18"/>
                <w:szCs w:val="18"/>
              </w:rPr>
              <w:t>Total liabilities and shareholders' equity</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ACDB" w14:textId="77777777" w:rsidR="00584EC1" w:rsidRDefault="00871F8D">
            <w:pPr>
              <w:textAlignment w:val="bottom"/>
            </w:pPr>
            <w:r>
              <w:rPr>
                <w:rFonts w:ascii="Arial" w:eastAsia="宋体" w:hAnsi="Arial" w:cs="Arial"/>
                <w:b/>
                <w:bCs/>
                <w:color w:val="000000"/>
                <w:sz w:val="18"/>
                <w:szCs w:val="18"/>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ACDC" w14:textId="77777777" w:rsidR="00584EC1" w:rsidRDefault="00871F8D">
            <w:pPr>
              <w:jc w:val="right"/>
              <w:textAlignment w:val="bottom"/>
            </w:pPr>
            <w:r>
              <w:rPr>
                <w:rFonts w:ascii="Arial" w:eastAsia="宋体" w:hAnsi="Arial" w:cs="Arial"/>
                <w:b/>
                <w:bCs/>
                <w:color w:val="000000"/>
                <w:sz w:val="18"/>
                <w:szCs w:val="18"/>
              </w:rPr>
              <w:t>323,139</w:t>
            </w: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ACD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CDE"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ACDF" w14:textId="77777777" w:rsidR="00584EC1" w:rsidRDefault="00871F8D">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ACE0" w14:textId="77777777" w:rsidR="00584EC1" w:rsidRDefault="00871F8D">
            <w:pPr>
              <w:jc w:val="right"/>
              <w:textAlignment w:val="bottom"/>
            </w:pPr>
            <w:r>
              <w:rPr>
                <w:rFonts w:ascii="Arial" w:eastAsia="宋体" w:hAnsi="Arial" w:cs="Arial"/>
                <w:color w:val="000000"/>
                <w:sz w:val="18"/>
                <w:szCs w:val="18"/>
              </w:rPr>
              <w:t>314,706 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ACE1" w14:textId="77777777" w:rsidR="00584EC1" w:rsidRDefault="00584EC1">
            <w:pPr>
              <w:jc w:val="right"/>
              <w:rPr>
                <w:rFonts w:ascii="宋体"/>
              </w:rPr>
            </w:pPr>
          </w:p>
        </w:tc>
      </w:tr>
    </w:tbl>
    <w:p w14:paraId="74DDACE3" w14:textId="77777777" w:rsidR="00584EC1" w:rsidRDefault="00584EC1">
      <w:pPr>
        <w:ind w:firstLine="450"/>
        <w:jc w:val="center"/>
      </w:pPr>
    </w:p>
    <w:p w14:paraId="74DDACE4" w14:textId="77777777" w:rsidR="00584EC1" w:rsidRDefault="00584EC1">
      <w:pPr>
        <w:ind w:firstLine="450"/>
      </w:pPr>
    </w:p>
    <w:p w14:paraId="74DDACE5" w14:textId="77777777" w:rsidR="00584EC1" w:rsidRDefault="00584EC1">
      <w:pPr>
        <w:ind w:firstLine="450"/>
      </w:pPr>
    </w:p>
    <w:p w14:paraId="74DDACE6" w14:textId="77777777" w:rsidR="00584EC1" w:rsidRDefault="00584EC1">
      <w:pPr>
        <w:ind w:firstLine="450"/>
      </w:pPr>
    </w:p>
    <w:p w14:paraId="74DDACE7" w14:textId="77777777" w:rsidR="00584EC1" w:rsidRDefault="00584EC1">
      <w:pPr>
        <w:ind w:firstLine="450"/>
      </w:pPr>
    </w:p>
    <w:p w14:paraId="74DDACE8" w14:textId="77777777" w:rsidR="00584EC1" w:rsidRDefault="00871F8D">
      <w:pPr>
        <w:ind w:firstLine="450"/>
        <w:jc w:val="center"/>
      </w:pPr>
      <w:r>
        <w:rPr>
          <w:rFonts w:ascii="Arial" w:eastAsia="宋体" w:hAnsi="Arial" w:cs="Arial"/>
          <w:color w:val="000000"/>
          <w:sz w:val="18"/>
          <w:szCs w:val="18"/>
        </w:rPr>
        <w:t xml:space="preserve">The accompanying condensed notes are an integral part of these consolidated financial statements. </w:t>
      </w:r>
    </w:p>
    <w:p w14:paraId="74DDACE9" w14:textId="77777777" w:rsidR="00584EC1" w:rsidRDefault="00871F8D">
      <w:pPr>
        <w:ind w:firstLine="450"/>
        <w:jc w:val="right"/>
      </w:pPr>
      <w:r>
        <w:rPr>
          <w:rFonts w:ascii="Arial" w:eastAsia="宋体" w:hAnsi="Arial" w:cs="Arial"/>
          <w:color w:val="000000"/>
          <w:sz w:val="18"/>
          <w:szCs w:val="18"/>
        </w:rPr>
        <w:t>State Street Corporation | 56</w:t>
      </w:r>
    </w:p>
    <w:p w14:paraId="74DDACEA" w14:textId="77777777" w:rsidR="00584EC1" w:rsidRDefault="00584EC1">
      <w:pPr>
        <w:ind w:firstLine="450"/>
        <w:jc w:val="center"/>
      </w:pPr>
    </w:p>
    <w:p w14:paraId="74DDACEB" w14:textId="77777777" w:rsidR="00584EC1" w:rsidRDefault="00871F8D">
      <w:r>
        <w:pict w14:anchorId="74DE2A26">
          <v:rect id="_x0000_i1080" style="width:415.3pt;height:1.5pt" o:hralign="center" o:hrstd="t" o:hr="t" fillcolor="#a0a0a0" stroked="f"/>
        </w:pict>
      </w:r>
    </w:p>
    <w:p w14:paraId="74DDACEC" w14:textId="77777777" w:rsidR="00584EC1" w:rsidRDefault="00584EC1">
      <w:pPr>
        <w:ind w:firstLine="450"/>
      </w:pPr>
    </w:p>
    <w:p w14:paraId="74DDACED" w14:textId="77777777" w:rsidR="00584EC1" w:rsidRDefault="00871F8D">
      <w:pPr>
        <w:ind w:firstLine="450"/>
        <w:jc w:val="center"/>
      </w:pPr>
      <w:r>
        <w:rPr>
          <w:rFonts w:ascii="Arial" w:eastAsia="宋体" w:hAnsi="Arial" w:cs="Arial"/>
          <w:b/>
          <w:bCs/>
          <w:color w:val="000000"/>
          <w:sz w:val="20"/>
          <w:szCs w:val="20"/>
        </w:rPr>
        <w:t>STATE STREET CORPORATION</w:t>
      </w:r>
    </w:p>
    <w:p w14:paraId="74DDACEE" w14:textId="77777777" w:rsidR="00584EC1" w:rsidRDefault="00871F8D">
      <w:pPr>
        <w:ind w:firstLine="450"/>
        <w:jc w:val="center"/>
      </w:pPr>
      <w:r>
        <w:rPr>
          <w:rFonts w:ascii="Arial" w:eastAsia="宋体" w:hAnsi="Arial" w:cs="Arial"/>
          <w:b/>
          <w:bCs/>
          <w:color w:val="000000"/>
          <w:sz w:val="20"/>
          <w:szCs w:val="20"/>
        </w:rPr>
        <w:t xml:space="preserve">CONSOLIDATED STATEMENT OF CHANGES IN SHAREHOLDERS' </w:t>
      </w:r>
      <w:r>
        <w:rPr>
          <w:rFonts w:ascii="Arial" w:eastAsia="宋体" w:hAnsi="Arial" w:cs="Arial"/>
          <w:b/>
          <w:bCs/>
          <w:color w:val="000000"/>
          <w:sz w:val="20"/>
          <w:szCs w:val="20"/>
        </w:rPr>
        <w:t>EQUITY(UNAUDITED)</w:t>
      </w:r>
    </w:p>
    <w:tbl>
      <w:tblPr>
        <w:tblW w:w="4993" w:type="pct"/>
        <w:jc w:val="center"/>
        <w:tblCellMar>
          <w:top w:w="15" w:type="dxa"/>
          <w:left w:w="15" w:type="dxa"/>
          <w:bottom w:w="15" w:type="dxa"/>
          <w:right w:w="15" w:type="dxa"/>
        </w:tblCellMar>
        <w:tblLook w:val="04A0" w:firstRow="1" w:lastRow="0" w:firstColumn="1" w:lastColumn="0" w:noHBand="0" w:noVBand="1"/>
      </w:tblPr>
      <w:tblGrid>
        <w:gridCol w:w="44"/>
        <w:gridCol w:w="1028"/>
        <w:gridCol w:w="37"/>
        <w:gridCol w:w="105"/>
        <w:gridCol w:w="566"/>
        <w:gridCol w:w="36"/>
        <w:gridCol w:w="36"/>
        <w:gridCol w:w="36"/>
        <w:gridCol w:w="36"/>
        <w:gridCol w:w="83"/>
        <w:gridCol w:w="521"/>
        <w:gridCol w:w="36"/>
        <w:gridCol w:w="36"/>
        <w:gridCol w:w="36"/>
        <w:gridCol w:w="36"/>
        <w:gridCol w:w="105"/>
        <w:gridCol w:w="474"/>
        <w:gridCol w:w="37"/>
        <w:gridCol w:w="36"/>
        <w:gridCol w:w="36"/>
        <w:gridCol w:w="36"/>
        <w:gridCol w:w="104"/>
        <w:gridCol w:w="501"/>
        <w:gridCol w:w="36"/>
        <w:gridCol w:w="36"/>
        <w:gridCol w:w="36"/>
        <w:gridCol w:w="36"/>
        <w:gridCol w:w="104"/>
        <w:gridCol w:w="501"/>
        <w:gridCol w:w="36"/>
        <w:gridCol w:w="36"/>
        <w:gridCol w:w="36"/>
        <w:gridCol w:w="36"/>
        <w:gridCol w:w="105"/>
        <w:gridCol w:w="985"/>
        <w:gridCol w:w="36"/>
        <w:gridCol w:w="36"/>
        <w:gridCol w:w="36"/>
        <w:gridCol w:w="36"/>
        <w:gridCol w:w="71"/>
        <w:gridCol w:w="533"/>
        <w:gridCol w:w="36"/>
        <w:gridCol w:w="36"/>
        <w:gridCol w:w="36"/>
        <w:gridCol w:w="36"/>
        <w:gridCol w:w="104"/>
        <w:gridCol w:w="559"/>
        <w:gridCol w:w="36"/>
        <w:gridCol w:w="36"/>
        <w:gridCol w:w="36"/>
        <w:gridCol w:w="36"/>
        <w:gridCol w:w="104"/>
        <w:gridCol w:w="501"/>
        <w:gridCol w:w="36"/>
      </w:tblGrid>
      <w:tr w:rsidR="00584EC1" w14:paraId="74DDAD25" w14:textId="77777777">
        <w:trPr>
          <w:jc w:val="center"/>
        </w:trPr>
        <w:tc>
          <w:tcPr>
            <w:tcW w:w="50" w:type="pct"/>
            <w:shd w:val="clear" w:color="auto" w:fill="auto"/>
            <w:vAlign w:val="bottom"/>
          </w:tcPr>
          <w:p w14:paraId="74DDACEF" w14:textId="77777777" w:rsidR="00584EC1" w:rsidRDefault="00584EC1">
            <w:pPr>
              <w:rPr>
                <w:rFonts w:ascii="宋体"/>
              </w:rPr>
            </w:pPr>
          </w:p>
        </w:tc>
        <w:tc>
          <w:tcPr>
            <w:tcW w:w="1152" w:type="pct"/>
            <w:shd w:val="clear" w:color="auto" w:fill="auto"/>
            <w:vAlign w:val="bottom"/>
          </w:tcPr>
          <w:p w14:paraId="74DDACF0" w14:textId="77777777" w:rsidR="00584EC1" w:rsidRDefault="00584EC1">
            <w:pPr>
              <w:rPr>
                <w:rFonts w:ascii="宋体"/>
              </w:rPr>
            </w:pPr>
          </w:p>
        </w:tc>
        <w:tc>
          <w:tcPr>
            <w:tcW w:w="5" w:type="pct"/>
            <w:shd w:val="clear" w:color="auto" w:fill="auto"/>
            <w:vAlign w:val="bottom"/>
          </w:tcPr>
          <w:p w14:paraId="74DDACF1" w14:textId="77777777" w:rsidR="00584EC1" w:rsidRDefault="00584EC1">
            <w:pPr>
              <w:rPr>
                <w:rFonts w:ascii="宋体"/>
              </w:rPr>
            </w:pPr>
          </w:p>
        </w:tc>
        <w:tc>
          <w:tcPr>
            <w:tcW w:w="50" w:type="pct"/>
            <w:shd w:val="clear" w:color="auto" w:fill="auto"/>
            <w:vAlign w:val="bottom"/>
          </w:tcPr>
          <w:p w14:paraId="74DDACF2" w14:textId="77777777" w:rsidR="00584EC1" w:rsidRDefault="00584EC1">
            <w:pPr>
              <w:rPr>
                <w:rFonts w:ascii="宋体"/>
              </w:rPr>
            </w:pPr>
          </w:p>
        </w:tc>
        <w:tc>
          <w:tcPr>
            <w:tcW w:w="318" w:type="pct"/>
            <w:shd w:val="clear" w:color="auto" w:fill="auto"/>
            <w:vAlign w:val="bottom"/>
          </w:tcPr>
          <w:p w14:paraId="74DDACF3" w14:textId="77777777" w:rsidR="00584EC1" w:rsidRDefault="00584EC1">
            <w:pPr>
              <w:rPr>
                <w:rFonts w:ascii="宋体"/>
              </w:rPr>
            </w:pPr>
          </w:p>
        </w:tc>
        <w:tc>
          <w:tcPr>
            <w:tcW w:w="5" w:type="pct"/>
            <w:shd w:val="clear" w:color="auto" w:fill="auto"/>
            <w:vAlign w:val="bottom"/>
          </w:tcPr>
          <w:p w14:paraId="74DDACF4" w14:textId="77777777" w:rsidR="00584EC1" w:rsidRDefault="00584EC1">
            <w:pPr>
              <w:rPr>
                <w:rFonts w:ascii="宋体"/>
              </w:rPr>
            </w:pPr>
          </w:p>
        </w:tc>
        <w:tc>
          <w:tcPr>
            <w:tcW w:w="5" w:type="pct"/>
            <w:shd w:val="clear" w:color="auto" w:fill="auto"/>
            <w:vAlign w:val="bottom"/>
          </w:tcPr>
          <w:p w14:paraId="74DDACF5" w14:textId="77777777" w:rsidR="00584EC1" w:rsidRDefault="00584EC1">
            <w:pPr>
              <w:rPr>
                <w:rFonts w:ascii="宋体"/>
              </w:rPr>
            </w:pPr>
          </w:p>
        </w:tc>
        <w:tc>
          <w:tcPr>
            <w:tcW w:w="26" w:type="pct"/>
            <w:shd w:val="clear" w:color="auto" w:fill="auto"/>
            <w:vAlign w:val="bottom"/>
          </w:tcPr>
          <w:p w14:paraId="74DDACF6" w14:textId="77777777" w:rsidR="00584EC1" w:rsidRDefault="00584EC1">
            <w:pPr>
              <w:rPr>
                <w:rFonts w:ascii="宋体"/>
              </w:rPr>
            </w:pPr>
          </w:p>
        </w:tc>
        <w:tc>
          <w:tcPr>
            <w:tcW w:w="5" w:type="pct"/>
            <w:shd w:val="clear" w:color="auto" w:fill="auto"/>
            <w:vAlign w:val="bottom"/>
          </w:tcPr>
          <w:p w14:paraId="74DDACF7" w14:textId="77777777" w:rsidR="00584EC1" w:rsidRDefault="00584EC1">
            <w:pPr>
              <w:rPr>
                <w:rFonts w:ascii="宋体"/>
              </w:rPr>
            </w:pPr>
          </w:p>
        </w:tc>
        <w:tc>
          <w:tcPr>
            <w:tcW w:w="50" w:type="pct"/>
            <w:shd w:val="clear" w:color="auto" w:fill="auto"/>
            <w:vAlign w:val="bottom"/>
          </w:tcPr>
          <w:p w14:paraId="74DDACF8" w14:textId="77777777" w:rsidR="00584EC1" w:rsidRDefault="00584EC1">
            <w:pPr>
              <w:rPr>
                <w:rFonts w:ascii="宋体"/>
              </w:rPr>
            </w:pPr>
          </w:p>
        </w:tc>
        <w:tc>
          <w:tcPr>
            <w:tcW w:w="318" w:type="pct"/>
            <w:shd w:val="clear" w:color="auto" w:fill="auto"/>
            <w:vAlign w:val="bottom"/>
          </w:tcPr>
          <w:p w14:paraId="74DDACF9" w14:textId="77777777" w:rsidR="00584EC1" w:rsidRDefault="00584EC1">
            <w:pPr>
              <w:rPr>
                <w:rFonts w:ascii="宋体"/>
              </w:rPr>
            </w:pPr>
          </w:p>
        </w:tc>
        <w:tc>
          <w:tcPr>
            <w:tcW w:w="5" w:type="pct"/>
            <w:shd w:val="clear" w:color="auto" w:fill="auto"/>
            <w:vAlign w:val="bottom"/>
          </w:tcPr>
          <w:p w14:paraId="74DDACFA" w14:textId="77777777" w:rsidR="00584EC1" w:rsidRDefault="00584EC1">
            <w:pPr>
              <w:rPr>
                <w:rFonts w:ascii="宋体"/>
              </w:rPr>
            </w:pPr>
          </w:p>
        </w:tc>
        <w:tc>
          <w:tcPr>
            <w:tcW w:w="5" w:type="pct"/>
            <w:shd w:val="clear" w:color="auto" w:fill="auto"/>
            <w:vAlign w:val="bottom"/>
          </w:tcPr>
          <w:p w14:paraId="74DDACFB" w14:textId="77777777" w:rsidR="00584EC1" w:rsidRDefault="00584EC1">
            <w:pPr>
              <w:rPr>
                <w:rFonts w:ascii="宋体"/>
              </w:rPr>
            </w:pPr>
          </w:p>
        </w:tc>
        <w:tc>
          <w:tcPr>
            <w:tcW w:w="26" w:type="pct"/>
            <w:shd w:val="clear" w:color="auto" w:fill="auto"/>
            <w:vAlign w:val="bottom"/>
          </w:tcPr>
          <w:p w14:paraId="74DDACFC" w14:textId="77777777" w:rsidR="00584EC1" w:rsidRDefault="00584EC1">
            <w:pPr>
              <w:rPr>
                <w:rFonts w:ascii="宋体"/>
              </w:rPr>
            </w:pPr>
          </w:p>
        </w:tc>
        <w:tc>
          <w:tcPr>
            <w:tcW w:w="5" w:type="pct"/>
            <w:shd w:val="clear" w:color="auto" w:fill="auto"/>
            <w:vAlign w:val="bottom"/>
          </w:tcPr>
          <w:p w14:paraId="74DDACFD" w14:textId="77777777" w:rsidR="00584EC1" w:rsidRDefault="00584EC1">
            <w:pPr>
              <w:rPr>
                <w:rFonts w:ascii="宋体"/>
              </w:rPr>
            </w:pPr>
          </w:p>
        </w:tc>
        <w:tc>
          <w:tcPr>
            <w:tcW w:w="50" w:type="pct"/>
            <w:shd w:val="clear" w:color="auto" w:fill="auto"/>
            <w:vAlign w:val="bottom"/>
          </w:tcPr>
          <w:p w14:paraId="74DDACFE" w14:textId="77777777" w:rsidR="00584EC1" w:rsidRDefault="00584EC1">
            <w:pPr>
              <w:rPr>
                <w:rFonts w:ascii="宋体"/>
              </w:rPr>
            </w:pPr>
          </w:p>
        </w:tc>
        <w:tc>
          <w:tcPr>
            <w:tcW w:w="274" w:type="pct"/>
            <w:shd w:val="clear" w:color="auto" w:fill="auto"/>
            <w:vAlign w:val="bottom"/>
          </w:tcPr>
          <w:p w14:paraId="74DDACFF" w14:textId="77777777" w:rsidR="00584EC1" w:rsidRDefault="00584EC1">
            <w:pPr>
              <w:rPr>
                <w:rFonts w:ascii="宋体"/>
              </w:rPr>
            </w:pPr>
          </w:p>
        </w:tc>
        <w:tc>
          <w:tcPr>
            <w:tcW w:w="5" w:type="pct"/>
            <w:shd w:val="clear" w:color="auto" w:fill="auto"/>
            <w:vAlign w:val="bottom"/>
          </w:tcPr>
          <w:p w14:paraId="74DDAD00" w14:textId="77777777" w:rsidR="00584EC1" w:rsidRDefault="00584EC1">
            <w:pPr>
              <w:rPr>
                <w:rFonts w:ascii="宋体"/>
              </w:rPr>
            </w:pPr>
          </w:p>
        </w:tc>
        <w:tc>
          <w:tcPr>
            <w:tcW w:w="5" w:type="pct"/>
            <w:shd w:val="clear" w:color="auto" w:fill="auto"/>
            <w:vAlign w:val="bottom"/>
          </w:tcPr>
          <w:p w14:paraId="74DDAD01" w14:textId="77777777" w:rsidR="00584EC1" w:rsidRDefault="00584EC1">
            <w:pPr>
              <w:rPr>
                <w:rFonts w:ascii="宋体"/>
              </w:rPr>
            </w:pPr>
          </w:p>
        </w:tc>
        <w:tc>
          <w:tcPr>
            <w:tcW w:w="26" w:type="pct"/>
            <w:shd w:val="clear" w:color="auto" w:fill="auto"/>
            <w:vAlign w:val="bottom"/>
          </w:tcPr>
          <w:p w14:paraId="74DDAD02" w14:textId="77777777" w:rsidR="00584EC1" w:rsidRDefault="00584EC1">
            <w:pPr>
              <w:rPr>
                <w:rFonts w:ascii="宋体"/>
              </w:rPr>
            </w:pPr>
          </w:p>
        </w:tc>
        <w:tc>
          <w:tcPr>
            <w:tcW w:w="5" w:type="pct"/>
            <w:shd w:val="clear" w:color="auto" w:fill="auto"/>
            <w:vAlign w:val="bottom"/>
          </w:tcPr>
          <w:p w14:paraId="74DDAD03" w14:textId="77777777" w:rsidR="00584EC1" w:rsidRDefault="00584EC1">
            <w:pPr>
              <w:rPr>
                <w:rFonts w:ascii="宋体"/>
              </w:rPr>
            </w:pPr>
          </w:p>
        </w:tc>
        <w:tc>
          <w:tcPr>
            <w:tcW w:w="50" w:type="pct"/>
            <w:shd w:val="clear" w:color="auto" w:fill="auto"/>
            <w:vAlign w:val="bottom"/>
          </w:tcPr>
          <w:p w14:paraId="74DDAD04" w14:textId="77777777" w:rsidR="00584EC1" w:rsidRDefault="00584EC1">
            <w:pPr>
              <w:rPr>
                <w:rFonts w:ascii="宋体"/>
              </w:rPr>
            </w:pPr>
          </w:p>
        </w:tc>
        <w:tc>
          <w:tcPr>
            <w:tcW w:w="296" w:type="pct"/>
            <w:shd w:val="clear" w:color="auto" w:fill="auto"/>
            <w:vAlign w:val="bottom"/>
          </w:tcPr>
          <w:p w14:paraId="74DDAD05" w14:textId="77777777" w:rsidR="00584EC1" w:rsidRDefault="00584EC1">
            <w:pPr>
              <w:rPr>
                <w:rFonts w:ascii="宋体"/>
              </w:rPr>
            </w:pPr>
          </w:p>
        </w:tc>
        <w:tc>
          <w:tcPr>
            <w:tcW w:w="5" w:type="pct"/>
            <w:shd w:val="clear" w:color="auto" w:fill="auto"/>
            <w:vAlign w:val="bottom"/>
          </w:tcPr>
          <w:p w14:paraId="74DDAD06" w14:textId="77777777" w:rsidR="00584EC1" w:rsidRDefault="00584EC1">
            <w:pPr>
              <w:rPr>
                <w:rFonts w:ascii="宋体"/>
              </w:rPr>
            </w:pPr>
          </w:p>
        </w:tc>
        <w:tc>
          <w:tcPr>
            <w:tcW w:w="5" w:type="pct"/>
            <w:shd w:val="clear" w:color="auto" w:fill="auto"/>
            <w:vAlign w:val="bottom"/>
          </w:tcPr>
          <w:p w14:paraId="74DDAD07" w14:textId="77777777" w:rsidR="00584EC1" w:rsidRDefault="00584EC1">
            <w:pPr>
              <w:rPr>
                <w:rFonts w:ascii="宋体"/>
              </w:rPr>
            </w:pPr>
          </w:p>
        </w:tc>
        <w:tc>
          <w:tcPr>
            <w:tcW w:w="26" w:type="pct"/>
            <w:shd w:val="clear" w:color="auto" w:fill="auto"/>
            <w:vAlign w:val="bottom"/>
          </w:tcPr>
          <w:p w14:paraId="74DDAD08" w14:textId="77777777" w:rsidR="00584EC1" w:rsidRDefault="00584EC1">
            <w:pPr>
              <w:rPr>
                <w:rFonts w:ascii="宋体"/>
              </w:rPr>
            </w:pPr>
          </w:p>
        </w:tc>
        <w:tc>
          <w:tcPr>
            <w:tcW w:w="5" w:type="pct"/>
            <w:shd w:val="clear" w:color="auto" w:fill="auto"/>
            <w:vAlign w:val="bottom"/>
          </w:tcPr>
          <w:p w14:paraId="74DDAD09" w14:textId="77777777" w:rsidR="00584EC1" w:rsidRDefault="00584EC1">
            <w:pPr>
              <w:rPr>
                <w:rFonts w:ascii="宋体"/>
              </w:rPr>
            </w:pPr>
          </w:p>
        </w:tc>
        <w:tc>
          <w:tcPr>
            <w:tcW w:w="50" w:type="pct"/>
            <w:shd w:val="clear" w:color="auto" w:fill="auto"/>
            <w:vAlign w:val="bottom"/>
          </w:tcPr>
          <w:p w14:paraId="74DDAD0A" w14:textId="77777777" w:rsidR="00584EC1" w:rsidRDefault="00584EC1">
            <w:pPr>
              <w:rPr>
                <w:rFonts w:ascii="宋体"/>
              </w:rPr>
            </w:pPr>
          </w:p>
        </w:tc>
        <w:tc>
          <w:tcPr>
            <w:tcW w:w="296" w:type="pct"/>
            <w:shd w:val="clear" w:color="auto" w:fill="auto"/>
            <w:vAlign w:val="bottom"/>
          </w:tcPr>
          <w:p w14:paraId="74DDAD0B" w14:textId="77777777" w:rsidR="00584EC1" w:rsidRDefault="00584EC1">
            <w:pPr>
              <w:rPr>
                <w:rFonts w:ascii="宋体"/>
              </w:rPr>
            </w:pPr>
          </w:p>
        </w:tc>
        <w:tc>
          <w:tcPr>
            <w:tcW w:w="5" w:type="pct"/>
            <w:shd w:val="clear" w:color="auto" w:fill="auto"/>
            <w:vAlign w:val="bottom"/>
          </w:tcPr>
          <w:p w14:paraId="74DDAD0C" w14:textId="77777777" w:rsidR="00584EC1" w:rsidRDefault="00584EC1">
            <w:pPr>
              <w:rPr>
                <w:rFonts w:ascii="宋体"/>
              </w:rPr>
            </w:pPr>
          </w:p>
        </w:tc>
        <w:tc>
          <w:tcPr>
            <w:tcW w:w="5" w:type="pct"/>
            <w:shd w:val="clear" w:color="auto" w:fill="auto"/>
            <w:vAlign w:val="bottom"/>
          </w:tcPr>
          <w:p w14:paraId="74DDAD0D" w14:textId="77777777" w:rsidR="00584EC1" w:rsidRDefault="00584EC1">
            <w:pPr>
              <w:rPr>
                <w:rFonts w:ascii="宋体"/>
              </w:rPr>
            </w:pPr>
          </w:p>
        </w:tc>
        <w:tc>
          <w:tcPr>
            <w:tcW w:w="26" w:type="pct"/>
            <w:shd w:val="clear" w:color="auto" w:fill="auto"/>
            <w:vAlign w:val="bottom"/>
          </w:tcPr>
          <w:p w14:paraId="74DDAD0E" w14:textId="77777777" w:rsidR="00584EC1" w:rsidRDefault="00584EC1">
            <w:pPr>
              <w:rPr>
                <w:rFonts w:ascii="宋体"/>
              </w:rPr>
            </w:pPr>
          </w:p>
        </w:tc>
        <w:tc>
          <w:tcPr>
            <w:tcW w:w="5" w:type="pct"/>
            <w:shd w:val="clear" w:color="auto" w:fill="auto"/>
            <w:vAlign w:val="bottom"/>
          </w:tcPr>
          <w:p w14:paraId="74DDAD0F" w14:textId="77777777" w:rsidR="00584EC1" w:rsidRDefault="00584EC1">
            <w:pPr>
              <w:rPr>
                <w:rFonts w:ascii="宋体"/>
              </w:rPr>
            </w:pPr>
          </w:p>
        </w:tc>
        <w:tc>
          <w:tcPr>
            <w:tcW w:w="50" w:type="pct"/>
            <w:shd w:val="clear" w:color="auto" w:fill="auto"/>
            <w:vAlign w:val="bottom"/>
          </w:tcPr>
          <w:p w14:paraId="74DDAD10" w14:textId="77777777" w:rsidR="00584EC1" w:rsidRDefault="00584EC1">
            <w:pPr>
              <w:rPr>
                <w:rFonts w:ascii="宋体"/>
              </w:rPr>
            </w:pPr>
          </w:p>
        </w:tc>
        <w:tc>
          <w:tcPr>
            <w:tcW w:w="508" w:type="pct"/>
            <w:shd w:val="clear" w:color="auto" w:fill="auto"/>
            <w:vAlign w:val="bottom"/>
          </w:tcPr>
          <w:p w14:paraId="74DDAD11" w14:textId="77777777" w:rsidR="00584EC1" w:rsidRDefault="00584EC1">
            <w:pPr>
              <w:rPr>
                <w:rFonts w:ascii="宋体"/>
              </w:rPr>
            </w:pPr>
          </w:p>
        </w:tc>
        <w:tc>
          <w:tcPr>
            <w:tcW w:w="5" w:type="pct"/>
            <w:shd w:val="clear" w:color="auto" w:fill="auto"/>
            <w:vAlign w:val="bottom"/>
          </w:tcPr>
          <w:p w14:paraId="74DDAD12" w14:textId="77777777" w:rsidR="00584EC1" w:rsidRDefault="00584EC1">
            <w:pPr>
              <w:rPr>
                <w:rFonts w:ascii="宋体"/>
              </w:rPr>
            </w:pPr>
          </w:p>
        </w:tc>
        <w:tc>
          <w:tcPr>
            <w:tcW w:w="5" w:type="pct"/>
            <w:shd w:val="clear" w:color="auto" w:fill="auto"/>
            <w:vAlign w:val="bottom"/>
          </w:tcPr>
          <w:p w14:paraId="74DDAD13" w14:textId="77777777" w:rsidR="00584EC1" w:rsidRDefault="00584EC1">
            <w:pPr>
              <w:rPr>
                <w:rFonts w:ascii="宋体"/>
              </w:rPr>
            </w:pPr>
          </w:p>
        </w:tc>
        <w:tc>
          <w:tcPr>
            <w:tcW w:w="26" w:type="pct"/>
            <w:shd w:val="clear" w:color="auto" w:fill="auto"/>
            <w:vAlign w:val="bottom"/>
          </w:tcPr>
          <w:p w14:paraId="74DDAD14" w14:textId="77777777" w:rsidR="00584EC1" w:rsidRDefault="00584EC1">
            <w:pPr>
              <w:rPr>
                <w:rFonts w:ascii="宋体"/>
              </w:rPr>
            </w:pPr>
          </w:p>
        </w:tc>
        <w:tc>
          <w:tcPr>
            <w:tcW w:w="5" w:type="pct"/>
            <w:shd w:val="clear" w:color="auto" w:fill="auto"/>
            <w:vAlign w:val="bottom"/>
          </w:tcPr>
          <w:p w14:paraId="74DDAD15" w14:textId="77777777" w:rsidR="00584EC1" w:rsidRDefault="00584EC1">
            <w:pPr>
              <w:rPr>
                <w:rFonts w:ascii="宋体"/>
              </w:rPr>
            </w:pPr>
          </w:p>
        </w:tc>
        <w:tc>
          <w:tcPr>
            <w:tcW w:w="50" w:type="pct"/>
            <w:shd w:val="clear" w:color="auto" w:fill="auto"/>
            <w:vAlign w:val="bottom"/>
          </w:tcPr>
          <w:p w14:paraId="74DDAD16" w14:textId="77777777" w:rsidR="00584EC1" w:rsidRDefault="00584EC1">
            <w:pPr>
              <w:rPr>
                <w:rFonts w:ascii="宋体"/>
              </w:rPr>
            </w:pPr>
          </w:p>
        </w:tc>
        <w:tc>
          <w:tcPr>
            <w:tcW w:w="376" w:type="pct"/>
            <w:shd w:val="clear" w:color="auto" w:fill="auto"/>
            <w:vAlign w:val="bottom"/>
          </w:tcPr>
          <w:p w14:paraId="74DDAD17" w14:textId="77777777" w:rsidR="00584EC1" w:rsidRDefault="00584EC1">
            <w:pPr>
              <w:rPr>
                <w:rFonts w:ascii="宋体"/>
              </w:rPr>
            </w:pPr>
          </w:p>
        </w:tc>
        <w:tc>
          <w:tcPr>
            <w:tcW w:w="5" w:type="pct"/>
            <w:shd w:val="clear" w:color="auto" w:fill="auto"/>
            <w:vAlign w:val="bottom"/>
          </w:tcPr>
          <w:p w14:paraId="74DDAD18" w14:textId="77777777" w:rsidR="00584EC1" w:rsidRDefault="00584EC1">
            <w:pPr>
              <w:rPr>
                <w:rFonts w:ascii="宋体"/>
              </w:rPr>
            </w:pPr>
          </w:p>
        </w:tc>
        <w:tc>
          <w:tcPr>
            <w:tcW w:w="5" w:type="pct"/>
            <w:shd w:val="clear" w:color="auto" w:fill="auto"/>
            <w:vAlign w:val="bottom"/>
          </w:tcPr>
          <w:p w14:paraId="74DDAD19" w14:textId="77777777" w:rsidR="00584EC1" w:rsidRDefault="00584EC1">
            <w:pPr>
              <w:rPr>
                <w:rFonts w:ascii="宋体"/>
              </w:rPr>
            </w:pPr>
          </w:p>
        </w:tc>
        <w:tc>
          <w:tcPr>
            <w:tcW w:w="26" w:type="pct"/>
            <w:shd w:val="clear" w:color="auto" w:fill="auto"/>
            <w:vAlign w:val="bottom"/>
          </w:tcPr>
          <w:p w14:paraId="74DDAD1A" w14:textId="77777777" w:rsidR="00584EC1" w:rsidRDefault="00584EC1">
            <w:pPr>
              <w:rPr>
                <w:rFonts w:ascii="宋体"/>
              </w:rPr>
            </w:pPr>
          </w:p>
        </w:tc>
        <w:tc>
          <w:tcPr>
            <w:tcW w:w="5" w:type="pct"/>
            <w:shd w:val="clear" w:color="auto" w:fill="auto"/>
            <w:vAlign w:val="bottom"/>
          </w:tcPr>
          <w:p w14:paraId="74DDAD1B" w14:textId="77777777" w:rsidR="00584EC1" w:rsidRDefault="00584EC1">
            <w:pPr>
              <w:rPr>
                <w:rFonts w:ascii="宋体"/>
              </w:rPr>
            </w:pPr>
          </w:p>
        </w:tc>
        <w:tc>
          <w:tcPr>
            <w:tcW w:w="50" w:type="pct"/>
            <w:shd w:val="clear" w:color="auto" w:fill="auto"/>
            <w:vAlign w:val="bottom"/>
          </w:tcPr>
          <w:p w14:paraId="74DDAD1C" w14:textId="77777777" w:rsidR="00584EC1" w:rsidRDefault="00584EC1">
            <w:pPr>
              <w:rPr>
                <w:rFonts w:ascii="宋体"/>
              </w:rPr>
            </w:pPr>
          </w:p>
        </w:tc>
        <w:tc>
          <w:tcPr>
            <w:tcW w:w="318" w:type="pct"/>
            <w:shd w:val="clear" w:color="auto" w:fill="auto"/>
            <w:vAlign w:val="bottom"/>
          </w:tcPr>
          <w:p w14:paraId="74DDAD1D" w14:textId="77777777" w:rsidR="00584EC1" w:rsidRDefault="00584EC1">
            <w:pPr>
              <w:rPr>
                <w:rFonts w:ascii="宋体"/>
              </w:rPr>
            </w:pPr>
          </w:p>
        </w:tc>
        <w:tc>
          <w:tcPr>
            <w:tcW w:w="5" w:type="pct"/>
            <w:shd w:val="clear" w:color="auto" w:fill="auto"/>
            <w:vAlign w:val="bottom"/>
          </w:tcPr>
          <w:p w14:paraId="74DDAD1E" w14:textId="77777777" w:rsidR="00584EC1" w:rsidRDefault="00584EC1">
            <w:pPr>
              <w:rPr>
                <w:rFonts w:ascii="宋体"/>
              </w:rPr>
            </w:pPr>
          </w:p>
        </w:tc>
        <w:tc>
          <w:tcPr>
            <w:tcW w:w="5" w:type="pct"/>
            <w:shd w:val="clear" w:color="auto" w:fill="auto"/>
            <w:vAlign w:val="bottom"/>
          </w:tcPr>
          <w:p w14:paraId="74DDAD1F" w14:textId="77777777" w:rsidR="00584EC1" w:rsidRDefault="00584EC1">
            <w:pPr>
              <w:rPr>
                <w:rFonts w:ascii="宋体"/>
              </w:rPr>
            </w:pPr>
          </w:p>
        </w:tc>
        <w:tc>
          <w:tcPr>
            <w:tcW w:w="26" w:type="pct"/>
            <w:shd w:val="clear" w:color="auto" w:fill="auto"/>
            <w:vAlign w:val="bottom"/>
          </w:tcPr>
          <w:p w14:paraId="74DDAD20" w14:textId="77777777" w:rsidR="00584EC1" w:rsidRDefault="00584EC1">
            <w:pPr>
              <w:rPr>
                <w:rFonts w:ascii="宋体"/>
              </w:rPr>
            </w:pPr>
          </w:p>
        </w:tc>
        <w:tc>
          <w:tcPr>
            <w:tcW w:w="5" w:type="pct"/>
            <w:shd w:val="clear" w:color="auto" w:fill="auto"/>
            <w:vAlign w:val="bottom"/>
          </w:tcPr>
          <w:p w14:paraId="74DDAD21" w14:textId="77777777" w:rsidR="00584EC1" w:rsidRDefault="00584EC1">
            <w:pPr>
              <w:rPr>
                <w:rFonts w:ascii="宋体"/>
              </w:rPr>
            </w:pPr>
          </w:p>
        </w:tc>
        <w:tc>
          <w:tcPr>
            <w:tcW w:w="50" w:type="pct"/>
            <w:shd w:val="clear" w:color="auto" w:fill="auto"/>
            <w:vAlign w:val="bottom"/>
          </w:tcPr>
          <w:p w14:paraId="74DDAD22" w14:textId="77777777" w:rsidR="00584EC1" w:rsidRDefault="00584EC1">
            <w:pPr>
              <w:rPr>
                <w:rFonts w:ascii="宋体"/>
              </w:rPr>
            </w:pPr>
          </w:p>
        </w:tc>
        <w:tc>
          <w:tcPr>
            <w:tcW w:w="296" w:type="pct"/>
            <w:shd w:val="clear" w:color="auto" w:fill="auto"/>
            <w:vAlign w:val="bottom"/>
          </w:tcPr>
          <w:p w14:paraId="74DDAD23" w14:textId="77777777" w:rsidR="00584EC1" w:rsidRDefault="00584EC1">
            <w:pPr>
              <w:rPr>
                <w:rFonts w:ascii="宋体"/>
              </w:rPr>
            </w:pPr>
          </w:p>
        </w:tc>
        <w:tc>
          <w:tcPr>
            <w:tcW w:w="5" w:type="pct"/>
            <w:shd w:val="clear" w:color="auto" w:fill="auto"/>
            <w:vAlign w:val="bottom"/>
          </w:tcPr>
          <w:p w14:paraId="74DDAD24" w14:textId="77777777" w:rsidR="00584EC1" w:rsidRDefault="00584EC1">
            <w:pPr>
              <w:rPr>
                <w:rFonts w:ascii="宋体"/>
              </w:rPr>
            </w:pPr>
          </w:p>
        </w:tc>
      </w:tr>
      <w:tr w:rsidR="00584EC1" w14:paraId="74DDAD39" w14:textId="77777777">
        <w:trPr>
          <w:trHeight w:val="180"/>
          <w:jc w:val="center"/>
        </w:trPr>
        <w:tc>
          <w:tcPr>
            <w:tcW w:w="0" w:type="auto"/>
            <w:gridSpan w:val="3"/>
            <w:vMerge w:val="restart"/>
            <w:shd w:val="clear" w:color="auto" w:fill="auto"/>
            <w:tcMar>
              <w:top w:w="40" w:type="dxa"/>
              <w:left w:w="20" w:type="dxa"/>
              <w:bottom w:w="40" w:type="dxa"/>
              <w:right w:w="20" w:type="dxa"/>
            </w:tcMar>
            <w:vAlign w:val="bottom"/>
          </w:tcPr>
          <w:p w14:paraId="74DDAD26" w14:textId="77777777" w:rsidR="00584EC1" w:rsidRDefault="00871F8D">
            <w:pPr>
              <w:textAlignment w:val="bottom"/>
            </w:pPr>
            <w:r>
              <w:rPr>
                <w:rFonts w:ascii="Arial" w:eastAsia="宋体" w:hAnsi="Arial" w:cs="Arial"/>
                <w:b/>
                <w:bCs/>
                <w:color w:val="000000"/>
                <w:sz w:val="14"/>
                <w:szCs w:val="14"/>
              </w:rPr>
              <w:t>(Dollars in millions, except per share amounts, shares in thousands)</w:t>
            </w:r>
          </w:p>
        </w:tc>
        <w:tc>
          <w:tcPr>
            <w:tcW w:w="0" w:type="auto"/>
            <w:gridSpan w:val="3"/>
            <w:vMerge w:val="restart"/>
            <w:shd w:val="clear" w:color="auto" w:fill="auto"/>
            <w:tcMar>
              <w:top w:w="40" w:type="dxa"/>
              <w:left w:w="20" w:type="dxa"/>
              <w:bottom w:w="40" w:type="dxa"/>
              <w:right w:w="20" w:type="dxa"/>
            </w:tcMar>
            <w:vAlign w:val="bottom"/>
          </w:tcPr>
          <w:p w14:paraId="74DDAD27" w14:textId="77777777" w:rsidR="00584EC1" w:rsidRDefault="00871F8D">
            <w:pPr>
              <w:jc w:val="center"/>
              <w:textAlignment w:val="bottom"/>
            </w:pPr>
            <w:r>
              <w:rPr>
                <w:rFonts w:ascii="Arial" w:eastAsia="宋体" w:hAnsi="Arial" w:cs="Arial"/>
                <w:b/>
                <w:bCs/>
                <w:color w:val="000000"/>
                <w:sz w:val="14"/>
                <w:szCs w:val="14"/>
              </w:rPr>
              <w:t>Preferred</w:t>
            </w:r>
          </w:p>
          <w:p w14:paraId="74DDAD28" w14:textId="77777777" w:rsidR="00584EC1" w:rsidRDefault="00871F8D">
            <w:pPr>
              <w:jc w:val="center"/>
              <w:textAlignment w:val="bottom"/>
            </w:pPr>
            <w:r>
              <w:rPr>
                <w:rFonts w:ascii="Arial" w:eastAsia="宋体" w:hAnsi="Arial" w:cs="Arial"/>
                <w:b/>
                <w:bCs/>
                <w:color w:val="000000"/>
                <w:sz w:val="14"/>
                <w:szCs w:val="14"/>
              </w:rPr>
              <w:t>Stock</w:t>
            </w:r>
          </w:p>
        </w:tc>
        <w:tc>
          <w:tcPr>
            <w:tcW w:w="0" w:type="auto"/>
            <w:gridSpan w:val="3"/>
            <w:vMerge w:val="restart"/>
            <w:shd w:val="clear" w:color="auto" w:fill="auto"/>
            <w:tcMar>
              <w:top w:w="0" w:type="dxa"/>
              <w:left w:w="20" w:type="dxa"/>
              <w:bottom w:w="0" w:type="dxa"/>
              <w:right w:w="20" w:type="dxa"/>
            </w:tcMar>
            <w:vAlign w:val="bottom"/>
          </w:tcPr>
          <w:p w14:paraId="74DDAD29" w14:textId="77777777" w:rsidR="00584EC1" w:rsidRDefault="00584EC1">
            <w:pPr>
              <w:rPr>
                <w:rFonts w:ascii="宋体"/>
              </w:rPr>
            </w:pPr>
          </w:p>
        </w:tc>
        <w:tc>
          <w:tcPr>
            <w:tcW w:w="0" w:type="auto"/>
            <w:gridSpan w:val="9"/>
            <w:shd w:val="clear" w:color="auto" w:fill="auto"/>
            <w:tcMar>
              <w:top w:w="40" w:type="dxa"/>
              <w:left w:w="20" w:type="dxa"/>
              <w:bottom w:w="40" w:type="dxa"/>
              <w:right w:w="20" w:type="dxa"/>
            </w:tcMar>
            <w:vAlign w:val="bottom"/>
          </w:tcPr>
          <w:p w14:paraId="74DDAD2A" w14:textId="77777777" w:rsidR="00584EC1" w:rsidRDefault="00871F8D">
            <w:pPr>
              <w:jc w:val="center"/>
              <w:textAlignment w:val="bottom"/>
            </w:pPr>
            <w:r>
              <w:rPr>
                <w:rFonts w:ascii="Arial" w:eastAsia="宋体" w:hAnsi="Arial" w:cs="Arial"/>
                <w:b/>
                <w:bCs/>
                <w:color w:val="000000"/>
                <w:sz w:val="14"/>
                <w:szCs w:val="14"/>
              </w:rPr>
              <w:t>Common Stock</w:t>
            </w:r>
          </w:p>
        </w:tc>
        <w:tc>
          <w:tcPr>
            <w:tcW w:w="0" w:type="auto"/>
            <w:gridSpan w:val="3"/>
            <w:shd w:val="clear" w:color="auto" w:fill="auto"/>
            <w:tcMar>
              <w:top w:w="0" w:type="dxa"/>
              <w:left w:w="20" w:type="dxa"/>
              <w:bottom w:w="0" w:type="dxa"/>
              <w:right w:w="20" w:type="dxa"/>
            </w:tcMar>
            <w:vAlign w:val="bottom"/>
          </w:tcPr>
          <w:p w14:paraId="74DDAD2B" w14:textId="77777777" w:rsidR="00584EC1" w:rsidRDefault="00584EC1">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74DDAD2C" w14:textId="77777777" w:rsidR="00584EC1" w:rsidRDefault="00871F8D">
            <w:pPr>
              <w:jc w:val="center"/>
              <w:textAlignment w:val="bottom"/>
            </w:pPr>
            <w:r>
              <w:rPr>
                <w:rFonts w:ascii="Arial" w:eastAsia="宋体" w:hAnsi="Arial" w:cs="Arial"/>
                <w:b/>
                <w:bCs/>
                <w:color w:val="000000"/>
                <w:sz w:val="14"/>
                <w:szCs w:val="14"/>
              </w:rPr>
              <w:t>Surplus</w:t>
            </w:r>
          </w:p>
        </w:tc>
        <w:tc>
          <w:tcPr>
            <w:tcW w:w="0" w:type="auto"/>
            <w:gridSpan w:val="3"/>
            <w:shd w:val="clear" w:color="auto" w:fill="auto"/>
            <w:tcMar>
              <w:top w:w="0" w:type="dxa"/>
              <w:left w:w="20" w:type="dxa"/>
              <w:bottom w:w="0" w:type="dxa"/>
              <w:right w:w="20" w:type="dxa"/>
            </w:tcMar>
            <w:vAlign w:val="bottom"/>
          </w:tcPr>
          <w:p w14:paraId="74DDAD2D" w14:textId="77777777" w:rsidR="00584EC1" w:rsidRDefault="00584EC1">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74DDAD2E" w14:textId="77777777" w:rsidR="00584EC1" w:rsidRDefault="00871F8D">
            <w:pPr>
              <w:jc w:val="center"/>
              <w:textAlignment w:val="bottom"/>
            </w:pPr>
            <w:r>
              <w:rPr>
                <w:rFonts w:ascii="Arial" w:eastAsia="宋体" w:hAnsi="Arial" w:cs="Arial"/>
                <w:b/>
                <w:bCs/>
                <w:color w:val="000000"/>
                <w:sz w:val="14"/>
                <w:szCs w:val="14"/>
              </w:rPr>
              <w:t>Retained</w:t>
            </w:r>
          </w:p>
          <w:p w14:paraId="74DDAD2F" w14:textId="77777777" w:rsidR="00584EC1" w:rsidRDefault="00871F8D">
            <w:pPr>
              <w:jc w:val="center"/>
              <w:textAlignment w:val="bottom"/>
            </w:pPr>
            <w:r>
              <w:rPr>
                <w:rFonts w:ascii="Arial" w:eastAsia="宋体" w:hAnsi="Arial" w:cs="Arial"/>
                <w:b/>
                <w:bCs/>
                <w:color w:val="000000"/>
                <w:sz w:val="14"/>
                <w:szCs w:val="14"/>
              </w:rPr>
              <w:t>Earnings</w:t>
            </w:r>
          </w:p>
        </w:tc>
        <w:tc>
          <w:tcPr>
            <w:tcW w:w="0" w:type="auto"/>
            <w:gridSpan w:val="3"/>
            <w:shd w:val="clear" w:color="auto" w:fill="auto"/>
            <w:tcMar>
              <w:top w:w="0" w:type="dxa"/>
              <w:left w:w="20" w:type="dxa"/>
              <w:bottom w:w="0" w:type="dxa"/>
              <w:right w:w="20" w:type="dxa"/>
            </w:tcMar>
            <w:vAlign w:val="bottom"/>
          </w:tcPr>
          <w:p w14:paraId="74DDAD30" w14:textId="77777777" w:rsidR="00584EC1" w:rsidRDefault="00584EC1">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74DDAD31" w14:textId="77777777" w:rsidR="00584EC1" w:rsidRDefault="00871F8D">
            <w:pPr>
              <w:jc w:val="center"/>
              <w:textAlignment w:val="bottom"/>
            </w:pPr>
            <w:r>
              <w:rPr>
                <w:rFonts w:ascii="Arial" w:eastAsia="宋体" w:hAnsi="Arial" w:cs="Arial"/>
                <w:b/>
                <w:bCs/>
                <w:color w:val="000000"/>
                <w:sz w:val="14"/>
                <w:szCs w:val="14"/>
              </w:rPr>
              <w:t>Accumulated</w:t>
            </w:r>
          </w:p>
          <w:p w14:paraId="74DDAD32" w14:textId="77777777" w:rsidR="00584EC1" w:rsidRDefault="00871F8D">
            <w:pPr>
              <w:jc w:val="center"/>
              <w:textAlignment w:val="bottom"/>
            </w:pPr>
            <w:r>
              <w:rPr>
                <w:rFonts w:ascii="Arial" w:eastAsia="宋体" w:hAnsi="Arial" w:cs="Arial"/>
                <w:b/>
                <w:bCs/>
                <w:color w:val="000000"/>
                <w:sz w:val="14"/>
                <w:szCs w:val="14"/>
              </w:rPr>
              <w:t>Other</w:t>
            </w:r>
          </w:p>
          <w:p w14:paraId="74DDAD33" w14:textId="77777777" w:rsidR="00584EC1" w:rsidRDefault="00871F8D">
            <w:pPr>
              <w:jc w:val="center"/>
              <w:textAlignment w:val="bottom"/>
            </w:pPr>
            <w:r>
              <w:rPr>
                <w:rFonts w:ascii="Arial" w:eastAsia="宋体" w:hAnsi="Arial" w:cs="Arial"/>
                <w:b/>
                <w:bCs/>
                <w:color w:val="000000"/>
                <w:sz w:val="14"/>
                <w:szCs w:val="14"/>
              </w:rPr>
              <w:t>Comprehensive</w:t>
            </w:r>
          </w:p>
          <w:p w14:paraId="74DDAD34" w14:textId="77777777" w:rsidR="00584EC1" w:rsidRDefault="00871F8D">
            <w:pPr>
              <w:jc w:val="center"/>
              <w:textAlignment w:val="bottom"/>
            </w:pPr>
            <w:r>
              <w:rPr>
                <w:rFonts w:ascii="Arial" w:eastAsia="宋体" w:hAnsi="Arial" w:cs="Arial"/>
                <w:b/>
                <w:bCs/>
                <w:color w:val="000000"/>
                <w:sz w:val="14"/>
                <w:szCs w:val="14"/>
              </w:rPr>
              <w:t>Income (Loss)</w:t>
            </w:r>
          </w:p>
        </w:tc>
        <w:tc>
          <w:tcPr>
            <w:tcW w:w="0" w:type="auto"/>
            <w:gridSpan w:val="3"/>
            <w:vMerge w:val="restart"/>
            <w:shd w:val="clear" w:color="auto" w:fill="auto"/>
            <w:tcMar>
              <w:top w:w="0" w:type="dxa"/>
              <w:left w:w="20" w:type="dxa"/>
              <w:bottom w:w="0" w:type="dxa"/>
              <w:right w:w="20" w:type="dxa"/>
            </w:tcMar>
            <w:vAlign w:val="bottom"/>
          </w:tcPr>
          <w:p w14:paraId="74DDAD35" w14:textId="77777777" w:rsidR="00584EC1" w:rsidRDefault="00584EC1">
            <w:pPr>
              <w:rPr>
                <w:rFonts w:ascii="宋体"/>
              </w:rPr>
            </w:pPr>
          </w:p>
        </w:tc>
        <w:tc>
          <w:tcPr>
            <w:tcW w:w="0" w:type="auto"/>
            <w:gridSpan w:val="9"/>
            <w:shd w:val="clear" w:color="auto" w:fill="auto"/>
            <w:tcMar>
              <w:top w:w="40" w:type="dxa"/>
              <w:left w:w="20" w:type="dxa"/>
              <w:bottom w:w="40" w:type="dxa"/>
              <w:right w:w="20" w:type="dxa"/>
            </w:tcMar>
            <w:vAlign w:val="bottom"/>
          </w:tcPr>
          <w:p w14:paraId="74DDAD36" w14:textId="77777777" w:rsidR="00584EC1" w:rsidRDefault="00871F8D">
            <w:pPr>
              <w:jc w:val="center"/>
              <w:textAlignment w:val="bottom"/>
            </w:pPr>
            <w:r>
              <w:rPr>
                <w:rFonts w:ascii="Arial" w:eastAsia="宋体" w:hAnsi="Arial" w:cs="Arial"/>
                <w:b/>
                <w:bCs/>
                <w:color w:val="000000"/>
                <w:sz w:val="14"/>
                <w:szCs w:val="14"/>
              </w:rPr>
              <w:t>Treasury Stock</w:t>
            </w:r>
          </w:p>
        </w:tc>
        <w:tc>
          <w:tcPr>
            <w:tcW w:w="0" w:type="auto"/>
            <w:gridSpan w:val="3"/>
            <w:shd w:val="clear" w:color="auto" w:fill="auto"/>
            <w:tcMar>
              <w:top w:w="0" w:type="dxa"/>
              <w:left w:w="20" w:type="dxa"/>
              <w:bottom w:w="0" w:type="dxa"/>
              <w:right w:w="20" w:type="dxa"/>
            </w:tcMar>
            <w:vAlign w:val="bottom"/>
          </w:tcPr>
          <w:p w14:paraId="74DDAD37" w14:textId="77777777" w:rsidR="00584EC1" w:rsidRDefault="00584EC1">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74DDAD38" w14:textId="77777777" w:rsidR="00584EC1" w:rsidRDefault="00871F8D">
            <w:pPr>
              <w:jc w:val="center"/>
              <w:textAlignment w:val="bottom"/>
            </w:pPr>
            <w:r>
              <w:rPr>
                <w:rFonts w:ascii="Arial" w:eastAsia="宋体" w:hAnsi="Arial" w:cs="Arial"/>
                <w:b/>
                <w:bCs/>
                <w:color w:val="000000"/>
                <w:sz w:val="14"/>
                <w:szCs w:val="14"/>
              </w:rPr>
              <w:t>Total</w:t>
            </w:r>
          </w:p>
        </w:tc>
      </w:tr>
      <w:tr w:rsidR="00584EC1" w14:paraId="74DDAD4C" w14:textId="77777777">
        <w:trPr>
          <w:trHeight w:val="460"/>
          <w:jc w:val="center"/>
        </w:trPr>
        <w:tc>
          <w:tcPr>
            <w:tcW w:w="0" w:type="auto"/>
            <w:gridSpan w:val="3"/>
            <w:vMerge/>
            <w:shd w:val="clear" w:color="auto" w:fill="auto"/>
            <w:tcMar>
              <w:top w:w="40" w:type="dxa"/>
              <w:left w:w="20" w:type="dxa"/>
              <w:bottom w:w="40" w:type="dxa"/>
              <w:right w:w="20" w:type="dxa"/>
            </w:tcMar>
            <w:vAlign w:val="bottom"/>
          </w:tcPr>
          <w:p w14:paraId="74DDAD3A" w14:textId="77777777" w:rsidR="00584EC1" w:rsidRDefault="00584EC1">
            <w:pPr>
              <w:rPr>
                <w:rFonts w:ascii="宋体"/>
              </w:rPr>
            </w:pPr>
          </w:p>
        </w:tc>
        <w:tc>
          <w:tcPr>
            <w:tcW w:w="0" w:type="auto"/>
            <w:gridSpan w:val="3"/>
            <w:vMerge/>
            <w:shd w:val="clear" w:color="auto" w:fill="auto"/>
            <w:tcMar>
              <w:top w:w="40" w:type="dxa"/>
              <w:left w:w="20" w:type="dxa"/>
              <w:bottom w:w="40" w:type="dxa"/>
              <w:right w:w="20" w:type="dxa"/>
            </w:tcMar>
            <w:vAlign w:val="bottom"/>
          </w:tcPr>
          <w:p w14:paraId="74DDAD3B" w14:textId="77777777" w:rsidR="00584EC1" w:rsidRDefault="00584EC1">
            <w:pPr>
              <w:rPr>
                <w:rFonts w:ascii="宋体"/>
              </w:rPr>
            </w:pPr>
          </w:p>
        </w:tc>
        <w:tc>
          <w:tcPr>
            <w:tcW w:w="0" w:type="auto"/>
            <w:gridSpan w:val="3"/>
            <w:vMerge/>
            <w:shd w:val="clear" w:color="auto" w:fill="auto"/>
            <w:tcMar>
              <w:top w:w="0" w:type="dxa"/>
              <w:left w:w="20" w:type="dxa"/>
              <w:bottom w:w="0" w:type="dxa"/>
              <w:right w:w="20" w:type="dxa"/>
            </w:tcMar>
            <w:vAlign w:val="bottom"/>
          </w:tcPr>
          <w:p w14:paraId="74DDAD3C"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AD3D" w14:textId="77777777" w:rsidR="00584EC1" w:rsidRDefault="00871F8D">
            <w:pPr>
              <w:jc w:val="center"/>
              <w:textAlignment w:val="bottom"/>
            </w:pPr>
            <w:r>
              <w:rPr>
                <w:rFonts w:ascii="Arial" w:eastAsia="宋体" w:hAnsi="Arial" w:cs="Arial"/>
                <w:b/>
                <w:bCs/>
                <w:color w:val="000000"/>
                <w:sz w:val="14"/>
                <w:szCs w:val="14"/>
              </w:rPr>
              <w:t>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AD3E"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AD3F" w14:textId="77777777" w:rsidR="00584EC1" w:rsidRDefault="00871F8D">
            <w:pPr>
              <w:jc w:val="center"/>
              <w:textAlignment w:val="bottom"/>
            </w:pPr>
            <w:r>
              <w:rPr>
                <w:rFonts w:ascii="Arial" w:eastAsia="宋体" w:hAnsi="Arial" w:cs="Arial"/>
                <w:b/>
                <w:bCs/>
                <w:color w:val="000000"/>
                <w:sz w:val="14"/>
                <w:szCs w:val="14"/>
              </w:rPr>
              <w:t>Amount</w:t>
            </w:r>
          </w:p>
        </w:tc>
        <w:tc>
          <w:tcPr>
            <w:tcW w:w="0" w:type="auto"/>
            <w:gridSpan w:val="3"/>
            <w:shd w:val="clear" w:color="auto" w:fill="auto"/>
            <w:tcMar>
              <w:top w:w="0" w:type="dxa"/>
              <w:left w:w="20" w:type="dxa"/>
              <w:bottom w:w="0" w:type="dxa"/>
              <w:right w:w="20" w:type="dxa"/>
            </w:tcMar>
            <w:vAlign w:val="bottom"/>
          </w:tcPr>
          <w:p w14:paraId="74DDAD40" w14:textId="77777777" w:rsidR="00584EC1" w:rsidRDefault="00584EC1">
            <w:pPr>
              <w:rPr>
                <w:rFonts w:ascii="宋体"/>
              </w:rPr>
            </w:pPr>
          </w:p>
        </w:tc>
        <w:tc>
          <w:tcPr>
            <w:tcW w:w="0" w:type="auto"/>
            <w:gridSpan w:val="3"/>
            <w:vMerge/>
            <w:shd w:val="clear" w:color="auto" w:fill="auto"/>
            <w:tcMar>
              <w:top w:w="40" w:type="dxa"/>
              <w:left w:w="20" w:type="dxa"/>
              <w:bottom w:w="40" w:type="dxa"/>
              <w:right w:w="20" w:type="dxa"/>
            </w:tcMar>
            <w:vAlign w:val="bottom"/>
          </w:tcPr>
          <w:p w14:paraId="74DDAD41" w14:textId="77777777" w:rsidR="00584EC1" w:rsidRDefault="00584EC1">
            <w:pPr>
              <w:jc w:val="center"/>
              <w:rPr>
                <w:rFonts w:ascii="宋体"/>
              </w:rPr>
            </w:pPr>
          </w:p>
        </w:tc>
        <w:tc>
          <w:tcPr>
            <w:tcW w:w="0" w:type="auto"/>
            <w:gridSpan w:val="3"/>
            <w:shd w:val="clear" w:color="auto" w:fill="auto"/>
            <w:tcMar>
              <w:top w:w="0" w:type="dxa"/>
              <w:left w:w="20" w:type="dxa"/>
              <w:bottom w:w="0" w:type="dxa"/>
              <w:right w:w="20" w:type="dxa"/>
            </w:tcMar>
            <w:vAlign w:val="bottom"/>
          </w:tcPr>
          <w:p w14:paraId="74DDAD42" w14:textId="77777777" w:rsidR="00584EC1" w:rsidRDefault="00584EC1">
            <w:pPr>
              <w:rPr>
                <w:rFonts w:ascii="宋体"/>
              </w:rPr>
            </w:pPr>
          </w:p>
        </w:tc>
        <w:tc>
          <w:tcPr>
            <w:tcW w:w="0" w:type="auto"/>
            <w:gridSpan w:val="3"/>
            <w:vMerge/>
            <w:shd w:val="clear" w:color="auto" w:fill="auto"/>
            <w:tcMar>
              <w:top w:w="40" w:type="dxa"/>
              <w:left w:w="20" w:type="dxa"/>
              <w:bottom w:w="40" w:type="dxa"/>
              <w:right w:w="20" w:type="dxa"/>
            </w:tcMar>
            <w:vAlign w:val="bottom"/>
          </w:tcPr>
          <w:p w14:paraId="74DDAD43"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AD44" w14:textId="77777777" w:rsidR="00584EC1" w:rsidRDefault="00584EC1">
            <w:pPr>
              <w:rPr>
                <w:rFonts w:ascii="宋体"/>
              </w:rPr>
            </w:pPr>
          </w:p>
        </w:tc>
        <w:tc>
          <w:tcPr>
            <w:tcW w:w="0" w:type="auto"/>
            <w:gridSpan w:val="3"/>
            <w:vMerge/>
            <w:shd w:val="clear" w:color="auto" w:fill="auto"/>
            <w:tcMar>
              <w:top w:w="40" w:type="dxa"/>
              <w:left w:w="20" w:type="dxa"/>
              <w:bottom w:w="40" w:type="dxa"/>
              <w:right w:w="20" w:type="dxa"/>
            </w:tcMar>
            <w:vAlign w:val="bottom"/>
          </w:tcPr>
          <w:p w14:paraId="74DDAD45" w14:textId="77777777" w:rsidR="00584EC1" w:rsidRDefault="00584EC1">
            <w:pPr>
              <w:rPr>
                <w:rFonts w:ascii="宋体"/>
              </w:rPr>
            </w:pPr>
          </w:p>
        </w:tc>
        <w:tc>
          <w:tcPr>
            <w:tcW w:w="0" w:type="auto"/>
            <w:gridSpan w:val="3"/>
            <w:vMerge/>
            <w:shd w:val="clear" w:color="auto" w:fill="auto"/>
            <w:tcMar>
              <w:top w:w="0" w:type="dxa"/>
              <w:left w:w="20" w:type="dxa"/>
              <w:bottom w:w="0" w:type="dxa"/>
              <w:right w:w="20" w:type="dxa"/>
            </w:tcMar>
            <w:vAlign w:val="bottom"/>
          </w:tcPr>
          <w:p w14:paraId="74DDAD46"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AD47" w14:textId="77777777" w:rsidR="00584EC1" w:rsidRDefault="00871F8D">
            <w:pPr>
              <w:jc w:val="center"/>
              <w:textAlignment w:val="bottom"/>
            </w:pPr>
            <w:r>
              <w:rPr>
                <w:rFonts w:ascii="Arial" w:eastAsia="宋体" w:hAnsi="Arial" w:cs="Arial"/>
                <w:b/>
                <w:bCs/>
                <w:color w:val="000000"/>
                <w:sz w:val="14"/>
                <w:szCs w:val="14"/>
              </w:rPr>
              <w:t>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AD48"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AD49" w14:textId="77777777" w:rsidR="00584EC1" w:rsidRDefault="00871F8D">
            <w:pPr>
              <w:jc w:val="center"/>
              <w:textAlignment w:val="bottom"/>
            </w:pPr>
            <w:r>
              <w:rPr>
                <w:rFonts w:ascii="Arial" w:eastAsia="宋体" w:hAnsi="Arial" w:cs="Arial"/>
                <w:b/>
                <w:bCs/>
                <w:color w:val="000000"/>
                <w:sz w:val="14"/>
                <w:szCs w:val="14"/>
              </w:rPr>
              <w:t>Amount</w:t>
            </w:r>
          </w:p>
        </w:tc>
        <w:tc>
          <w:tcPr>
            <w:tcW w:w="0" w:type="auto"/>
            <w:gridSpan w:val="3"/>
            <w:shd w:val="clear" w:color="auto" w:fill="auto"/>
            <w:tcMar>
              <w:top w:w="0" w:type="dxa"/>
              <w:left w:w="20" w:type="dxa"/>
              <w:bottom w:w="0" w:type="dxa"/>
              <w:right w:w="20" w:type="dxa"/>
            </w:tcMar>
            <w:vAlign w:val="bottom"/>
          </w:tcPr>
          <w:p w14:paraId="74DDAD4A" w14:textId="77777777" w:rsidR="00584EC1" w:rsidRDefault="00584EC1">
            <w:pPr>
              <w:rPr>
                <w:rFonts w:ascii="宋体"/>
              </w:rPr>
            </w:pPr>
          </w:p>
        </w:tc>
        <w:tc>
          <w:tcPr>
            <w:tcW w:w="0" w:type="auto"/>
            <w:gridSpan w:val="3"/>
            <w:vMerge/>
            <w:shd w:val="clear" w:color="auto" w:fill="auto"/>
            <w:tcMar>
              <w:top w:w="40" w:type="dxa"/>
              <w:left w:w="20" w:type="dxa"/>
              <w:bottom w:w="40" w:type="dxa"/>
              <w:right w:w="20" w:type="dxa"/>
            </w:tcMar>
            <w:vAlign w:val="bottom"/>
          </w:tcPr>
          <w:p w14:paraId="74DDAD4B" w14:textId="77777777" w:rsidR="00584EC1" w:rsidRDefault="00584EC1">
            <w:pPr>
              <w:jc w:val="center"/>
              <w:rPr>
                <w:rFonts w:ascii="宋体"/>
              </w:rPr>
            </w:pPr>
          </w:p>
        </w:tc>
      </w:tr>
      <w:tr w:rsidR="00584EC1" w14:paraId="74DDAD5F" w14:textId="77777777">
        <w:trPr>
          <w:jc w:val="center"/>
          <w:hidden/>
        </w:trPr>
        <w:tc>
          <w:tcPr>
            <w:tcW w:w="0" w:type="auto"/>
            <w:gridSpan w:val="3"/>
            <w:shd w:val="clear" w:color="auto" w:fill="auto"/>
            <w:vAlign w:val="bottom"/>
          </w:tcPr>
          <w:p w14:paraId="74DDAD4D" w14:textId="77777777" w:rsidR="00584EC1" w:rsidRDefault="00584EC1">
            <w:pPr>
              <w:rPr>
                <w:rFonts w:ascii="宋体"/>
                <w:vanish/>
              </w:rPr>
            </w:pPr>
          </w:p>
        </w:tc>
        <w:tc>
          <w:tcPr>
            <w:tcW w:w="0" w:type="auto"/>
            <w:gridSpan w:val="3"/>
            <w:shd w:val="clear" w:color="auto" w:fill="auto"/>
            <w:vAlign w:val="bottom"/>
          </w:tcPr>
          <w:p w14:paraId="74DDAD4E" w14:textId="77777777" w:rsidR="00584EC1" w:rsidRDefault="00584EC1">
            <w:pPr>
              <w:rPr>
                <w:rFonts w:ascii="宋体"/>
                <w:vanish/>
              </w:rPr>
            </w:pPr>
          </w:p>
        </w:tc>
        <w:tc>
          <w:tcPr>
            <w:tcW w:w="0" w:type="auto"/>
            <w:gridSpan w:val="3"/>
            <w:shd w:val="clear" w:color="auto" w:fill="auto"/>
            <w:vAlign w:val="bottom"/>
          </w:tcPr>
          <w:p w14:paraId="74DDAD4F" w14:textId="77777777" w:rsidR="00584EC1" w:rsidRDefault="00584EC1">
            <w:pPr>
              <w:rPr>
                <w:rFonts w:ascii="宋体"/>
                <w:vanish/>
              </w:rPr>
            </w:pPr>
          </w:p>
        </w:tc>
        <w:tc>
          <w:tcPr>
            <w:tcW w:w="0" w:type="auto"/>
            <w:gridSpan w:val="3"/>
            <w:shd w:val="clear" w:color="auto" w:fill="auto"/>
            <w:vAlign w:val="bottom"/>
          </w:tcPr>
          <w:p w14:paraId="74DDAD50" w14:textId="77777777" w:rsidR="00584EC1" w:rsidRDefault="00584EC1">
            <w:pPr>
              <w:rPr>
                <w:rFonts w:ascii="宋体"/>
                <w:vanish/>
              </w:rPr>
            </w:pPr>
          </w:p>
        </w:tc>
        <w:tc>
          <w:tcPr>
            <w:tcW w:w="0" w:type="auto"/>
            <w:gridSpan w:val="3"/>
            <w:shd w:val="clear" w:color="auto" w:fill="auto"/>
            <w:vAlign w:val="bottom"/>
          </w:tcPr>
          <w:p w14:paraId="74DDAD51" w14:textId="77777777" w:rsidR="00584EC1" w:rsidRDefault="00584EC1">
            <w:pPr>
              <w:rPr>
                <w:rFonts w:ascii="宋体"/>
                <w:vanish/>
              </w:rPr>
            </w:pPr>
          </w:p>
        </w:tc>
        <w:tc>
          <w:tcPr>
            <w:tcW w:w="0" w:type="auto"/>
            <w:gridSpan w:val="3"/>
            <w:shd w:val="clear" w:color="auto" w:fill="auto"/>
            <w:vAlign w:val="bottom"/>
          </w:tcPr>
          <w:p w14:paraId="74DDAD52" w14:textId="77777777" w:rsidR="00584EC1" w:rsidRDefault="00584EC1">
            <w:pPr>
              <w:rPr>
                <w:rFonts w:ascii="宋体"/>
                <w:vanish/>
              </w:rPr>
            </w:pPr>
          </w:p>
        </w:tc>
        <w:tc>
          <w:tcPr>
            <w:tcW w:w="0" w:type="auto"/>
            <w:gridSpan w:val="3"/>
            <w:shd w:val="clear" w:color="auto" w:fill="auto"/>
            <w:vAlign w:val="bottom"/>
          </w:tcPr>
          <w:p w14:paraId="74DDAD53" w14:textId="77777777" w:rsidR="00584EC1" w:rsidRDefault="00584EC1">
            <w:pPr>
              <w:rPr>
                <w:rFonts w:ascii="宋体"/>
                <w:vanish/>
              </w:rPr>
            </w:pPr>
          </w:p>
        </w:tc>
        <w:tc>
          <w:tcPr>
            <w:tcW w:w="0" w:type="auto"/>
            <w:gridSpan w:val="3"/>
            <w:shd w:val="clear" w:color="auto" w:fill="auto"/>
            <w:vAlign w:val="bottom"/>
          </w:tcPr>
          <w:p w14:paraId="74DDAD54" w14:textId="77777777" w:rsidR="00584EC1" w:rsidRDefault="00584EC1">
            <w:pPr>
              <w:rPr>
                <w:rFonts w:ascii="宋体"/>
                <w:vanish/>
              </w:rPr>
            </w:pPr>
          </w:p>
        </w:tc>
        <w:tc>
          <w:tcPr>
            <w:tcW w:w="0" w:type="auto"/>
            <w:gridSpan w:val="3"/>
            <w:shd w:val="clear" w:color="auto" w:fill="auto"/>
            <w:vAlign w:val="bottom"/>
          </w:tcPr>
          <w:p w14:paraId="74DDAD55" w14:textId="77777777" w:rsidR="00584EC1" w:rsidRDefault="00584EC1">
            <w:pPr>
              <w:rPr>
                <w:rFonts w:ascii="宋体"/>
                <w:vanish/>
              </w:rPr>
            </w:pPr>
          </w:p>
        </w:tc>
        <w:tc>
          <w:tcPr>
            <w:tcW w:w="0" w:type="auto"/>
            <w:gridSpan w:val="3"/>
            <w:shd w:val="clear" w:color="auto" w:fill="auto"/>
            <w:vAlign w:val="bottom"/>
          </w:tcPr>
          <w:p w14:paraId="74DDAD56" w14:textId="77777777" w:rsidR="00584EC1" w:rsidRDefault="00584EC1">
            <w:pPr>
              <w:rPr>
                <w:rFonts w:ascii="宋体"/>
                <w:vanish/>
              </w:rPr>
            </w:pPr>
          </w:p>
        </w:tc>
        <w:tc>
          <w:tcPr>
            <w:tcW w:w="0" w:type="auto"/>
            <w:gridSpan w:val="3"/>
            <w:shd w:val="clear" w:color="auto" w:fill="auto"/>
            <w:vAlign w:val="bottom"/>
          </w:tcPr>
          <w:p w14:paraId="74DDAD57" w14:textId="77777777" w:rsidR="00584EC1" w:rsidRDefault="00584EC1">
            <w:pPr>
              <w:rPr>
                <w:rFonts w:ascii="宋体"/>
                <w:vanish/>
              </w:rPr>
            </w:pPr>
          </w:p>
        </w:tc>
        <w:tc>
          <w:tcPr>
            <w:tcW w:w="0" w:type="auto"/>
            <w:gridSpan w:val="3"/>
            <w:shd w:val="clear" w:color="auto" w:fill="auto"/>
            <w:vAlign w:val="bottom"/>
          </w:tcPr>
          <w:p w14:paraId="74DDAD58" w14:textId="77777777" w:rsidR="00584EC1" w:rsidRDefault="00584EC1">
            <w:pPr>
              <w:rPr>
                <w:rFonts w:ascii="宋体"/>
                <w:vanish/>
              </w:rPr>
            </w:pPr>
          </w:p>
        </w:tc>
        <w:tc>
          <w:tcPr>
            <w:tcW w:w="0" w:type="auto"/>
            <w:gridSpan w:val="3"/>
            <w:shd w:val="clear" w:color="auto" w:fill="auto"/>
            <w:vAlign w:val="bottom"/>
          </w:tcPr>
          <w:p w14:paraId="74DDAD59" w14:textId="77777777" w:rsidR="00584EC1" w:rsidRDefault="00584EC1">
            <w:pPr>
              <w:rPr>
                <w:rFonts w:ascii="宋体"/>
                <w:vanish/>
              </w:rPr>
            </w:pPr>
          </w:p>
        </w:tc>
        <w:tc>
          <w:tcPr>
            <w:tcW w:w="0" w:type="auto"/>
            <w:gridSpan w:val="3"/>
            <w:shd w:val="clear" w:color="auto" w:fill="auto"/>
            <w:vAlign w:val="bottom"/>
          </w:tcPr>
          <w:p w14:paraId="74DDAD5A" w14:textId="77777777" w:rsidR="00584EC1" w:rsidRDefault="00584EC1">
            <w:pPr>
              <w:rPr>
                <w:rFonts w:ascii="宋体"/>
                <w:vanish/>
              </w:rPr>
            </w:pPr>
          </w:p>
        </w:tc>
        <w:tc>
          <w:tcPr>
            <w:tcW w:w="0" w:type="auto"/>
            <w:gridSpan w:val="3"/>
            <w:shd w:val="clear" w:color="auto" w:fill="auto"/>
            <w:vAlign w:val="bottom"/>
          </w:tcPr>
          <w:p w14:paraId="74DDAD5B" w14:textId="77777777" w:rsidR="00584EC1" w:rsidRDefault="00584EC1">
            <w:pPr>
              <w:rPr>
                <w:rFonts w:ascii="宋体"/>
                <w:vanish/>
              </w:rPr>
            </w:pPr>
          </w:p>
        </w:tc>
        <w:tc>
          <w:tcPr>
            <w:tcW w:w="0" w:type="auto"/>
            <w:gridSpan w:val="3"/>
            <w:shd w:val="clear" w:color="auto" w:fill="auto"/>
            <w:vAlign w:val="bottom"/>
          </w:tcPr>
          <w:p w14:paraId="74DDAD5C" w14:textId="77777777" w:rsidR="00584EC1" w:rsidRDefault="00584EC1">
            <w:pPr>
              <w:rPr>
                <w:rFonts w:ascii="宋体"/>
                <w:vanish/>
              </w:rPr>
            </w:pPr>
          </w:p>
        </w:tc>
        <w:tc>
          <w:tcPr>
            <w:tcW w:w="0" w:type="auto"/>
            <w:gridSpan w:val="3"/>
            <w:shd w:val="clear" w:color="auto" w:fill="auto"/>
            <w:vAlign w:val="bottom"/>
          </w:tcPr>
          <w:p w14:paraId="74DDAD5D" w14:textId="77777777" w:rsidR="00584EC1" w:rsidRDefault="00584EC1">
            <w:pPr>
              <w:rPr>
                <w:rFonts w:ascii="宋体"/>
                <w:vanish/>
              </w:rPr>
            </w:pPr>
          </w:p>
        </w:tc>
        <w:tc>
          <w:tcPr>
            <w:tcW w:w="0" w:type="auto"/>
            <w:gridSpan w:val="3"/>
            <w:shd w:val="clear" w:color="auto" w:fill="auto"/>
            <w:vAlign w:val="bottom"/>
          </w:tcPr>
          <w:p w14:paraId="74DDAD5E" w14:textId="77777777" w:rsidR="00584EC1" w:rsidRDefault="00584EC1">
            <w:pPr>
              <w:rPr>
                <w:rFonts w:ascii="宋体"/>
                <w:vanish/>
              </w:rPr>
            </w:pPr>
          </w:p>
        </w:tc>
      </w:tr>
      <w:tr w:rsidR="00584EC1" w14:paraId="74DDAD72" w14:textId="77777777">
        <w:trPr>
          <w:jc w:val="center"/>
          <w:hidden/>
        </w:trPr>
        <w:tc>
          <w:tcPr>
            <w:tcW w:w="0" w:type="auto"/>
            <w:gridSpan w:val="3"/>
            <w:shd w:val="clear" w:color="auto" w:fill="auto"/>
            <w:vAlign w:val="bottom"/>
          </w:tcPr>
          <w:p w14:paraId="74DDAD60" w14:textId="77777777" w:rsidR="00584EC1" w:rsidRDefault="00584EC1">
            <w:pPr>
              <w:rPr>
                <w:rFonts w:ascii="宋体"/>
                <w:vanish/>
              </w:rPr>
            </w:pPr>
          </w:p>
        </w:tc>
        <w:tc>
          <w:tcPr>
            <w:tcW w:w="0" w:type="auto"/>
            <w:gridSpan w:val="3"/>
            <w:shd w:val="clear" w:color="auto" w:fill="auto"/>
            <w:vAlign w:val="bottom"/>
          </w:tcPr>
          <w:p w14:paraId="74DDAD61" w14:textId="77777777" w:rsidR="00584EC1" w:rsidRDefault="00584EC1">
            <w:pPr>
              <w:rPr>
                <w:rFonts w:ascii="宋体"/>
                <w:vanish/>
              </w:rPr>
            </w:pPr>
          </w:p>
        </w:tc>
        <w:tc>
          <w:tcPr>
            <w:tcW w:w="0" w:type="auto"/>
            <w:gridSpan w:val="3"/>
            <w:shd w:val="clear" w:color="auto" w:fill="auto"/>
            <w:vAlign w:val="bottom"/>
          </w:tcPr>
          <w:p w14:paraId="74DDAD62" w14:textId="77777777" w:rsidR="00584EC1" w:rsidRDefault="00584EC1">
            <w:pPr>
              <w:rPr>
                <w:rFonts w:ascii="宋体"/>
                <w:vanish/>
              </w:rPr>
            </w:pPr>
          </w:p>
        </w:tc>
        <w:tc>
          <w:tcPr>
            <w:tcW w:w="0" w:type="auto"/>
            <w:gridSpan w:val="3"/>
            <w:shd w:val="clear" w:color="auto" w:fill="auto"/>
            <w:vAlign w:val="bottom"/>
          </w:tcPr>
          <w:p w14:paraId="74DDAD63" w14:textId="77777777" w:rsidR="00584EC1" w:rsidRDefault="00584EC1">
            <w:pPr>
              <w:rPr>
                <w:rFonts w:ascii="宋体"/>
                <w:vanish/>
              </w:rPr>
            </w:pPr>
          </w:p>
        </w:tc>
        <w:tc>
          <w:tcPr>
            <w:tcW w:w="0" w:type="auto"/>
            <w:gridSpan w:val="3"/>
            <w:shd w:val="clear" w:color="auto" w:fill="auto"/>
            <w:vAlign w:val="bottom"/>
          </w:tcPr>
          <w:p w14:paraId="74DDAD64" w14:textId="77777777" w:rsidR="00584EC1" w:rsidRDefault="00584EC1">
            <w:pPr>
              <w:rPr>
                <w:rFonts w:ascii="宋体"/>
                <w:vanish/>
              </w:rPr>
            </w:pPr>
          </w:p>
        </w:tc>
        <w:tc>
          <w:tcPr>
            <w:tcW w:w="0" w:type="auto"/>
            <w:gridSpan w:val="3"/>
            <w:shd w:val="clear" w:color="auto" w:fill="auto"/>
            <w:vAlign w:val="bottom"/>
          </w:tcPr>
          <w:p w14:paraId="74DDAD65" w14:textId="77777777" w:rsidR="00584EC1" w:rsidRDefault="00584EC1">
            <w:pPr>
              <w:rPr>
                <w:rFonts w:ascii="宋体"/>
                <w:vanish/>
              </w:rPr>
            </w:pPr>
          </w:p>
        </w:tc>
        <w:tc>
          <w:tcPr>
            <w:tcW w:w="0" w:type="auto"/>
            <w:gridSpan w:val="3"/>
            <w:shd w:val="clear" w:color="auto" w:fill="auto"/>
            <w:vAlign w:val="bottom"/>
          </w:tcPr>
          <w:p w14:paraId="74DDAD66" w14:textId="77777777" w:rsidR="00584EC1" w:rsidRDefault="00584EC1">
            <w:pPr>
              <w:rPr>
                <w:rFonts w:ascii="宋体"/>
                <w:vanish/>
              </w:rPr>
            </w:pPr>
          </w:p>
        </w:tc>
        <w:tc>
          <w:tcPr>
            <w:tcW w:w="0" w:type="auto"/>
            <w:gridSpan w:val="3"/>
            <w:shd w:val="clear" w:color="auto" w:fill="auto"/>
            <w:vAlign w:val="bottom"/>
          </w:tcPr>
          <w:p w14:paraId="74DDAD67" w14:textId="77777777" w:rsidR="00584EC1" w:rsidRDefault="00584EC1">
            <w:pPr>
              <w:rPr>
                <w:rFonts w:ascii="宋体"/>
                <w:vanish/>
              </w:rPr>
            </w:pPr>
          </w:p>
        </w:tc>
        <w:tc>
          <w:tcPr>
            <w:tcW w:w="0" w:type="auto"/>
            <w:gridSpan w:val="3"/>
            <w:shd w:val="clear" w:color="auto" w:fill="auto"/>
            <w:vAlign w:val="bottom"/>
          </w:tcPr>
          <w:p w14:paraId="74DDAD68" w14:textId="77777777" w:rsidR="00584EC1" w:rsidRDefault="00584EC1">
            <w:pPr>
              <w:rPr>
                <w:rFonts w:ascii="宋体"/>
                <w:vanish/>
              </w:rPr>
            </w:pPr>
          </w:p>
        </w:tc>
        <w:tc>
          <w:tcPr>
            <w:tcW w:w="0" w:type="auto"/>
            <w:gridSpan w:val="3"/>
            <w:shd w:val="clear" w:color="auto" w:fill="auto"/>
            <w:vAlign w:val="bottom"/>
          </w:tcPr>
          <w:p w14:paraId="74DDAD69" w14:textId="77777777" w:rsidR="00584EC1" w:rsidRDefault="00584EC1">
            <w:pPr>
              <w:rPr>
                <w:rFonts w:ascii="宋体"/>
                <w:vanish/>
              </w:rPr>
            </w:pPr>
          </w:p>
        </w:tc>
        <w:tc>
          <w:tcPr>
            <w:tcW w:w="0" w:type="auto"/>
            <w:gridSpan w:val="3"/>
            <w:shd w:val="clear" w:color="auto" w:fill="auto"/>
            <w:vAlign w:val="bottom"/>
          </w:tcPr>
          <w:p w14:paraId="74DDAD6A" w14:textId="77777777" w:rsidR="00584EC1" w:rsidRDefault="00584EC1">
            <w:pPr>
              <w:rPr>
                <w:rFonts w:ascii="宋体"/>
                <w:vanish/>
              </w:rPr>
            </w:pPr>
          </w:p>
        </w:tc>
        <w:tc>
          <w:tcPr>
            <w:tcW w:w="0" w:type="auto"/>
            <w:gridSpan w:val="3"/>
            <w:shd w:val="clear" w:color="auto" w:fill="auto"/>
            <w:vAlign w:val="bottom"/>
          </w:tcPr>
          <w:p w14:paraId="74DDAD6B" w14:textId="77777777" w:rsidR="00584EC1" w:rsidRDefault="00584EC1">
            <w:pPr>
              <w:rPr>
                <w:rFonts w:ascii="宋体"/>
                <w:vanish/>
              </w:rPr>
            </w:pPr>
          </w:p>
        </w:tc>
        <w:tc>
          <w:tcPr>
            <w:tcW w:w="0" w:type="auto"/>
            <w:gridSpan w:val="3"/>
            <w:shd w:val="clear" w:color="auto" w:fill="auto"/>
            <w:vAlign w:val="bottom"/>
          </w:tcPr>
          <w:p w14:paraId="74DDAD6C" w14:textId="77777777" w:rsidR="00584EC1" w:rsidRDefault="00584EC1">
            <w:pPr>
              <w:rPr>
                <w:rFonts w:ascii="宋体"/>
                <w:vanish/>
              </w:rPr>
            </w:pPr>
          </w:p>
        </w:tc>
        <w:tc>
          <w:tcPr>
            <w:tcW w:w="0" w:type="auto"/>
            <w:gridSpan w:val="3"/>
            <w:shd w:val="clear" w:color="auto" w:fill="auto"/>
            <w:vAlign w:val="bottom"/>
          </w:tcPr>
          <w:p w14:paraId="74DDAD6D" w14:textId="77777777" w:rsidR="00584EC1" w:rsidRDefault="00584EC1">
            <w:pPr>
              <w:rPr>
                <w:rFonts w:ascii="宋体"/>
                <w:vanish/>
              </w:rPr>
            </w:pPr>
          </w:p>
        </w:tc>
        <w:tc>
          <w:tcPr>
            <w:tcW w:w="0" w:type="auto"/>
            <w:gridSpan w:val="3"/>
            <w:shd w:val="clear" w:color="auto" w:fill="auto"/>
            <w:vAlign w:val="bottom"/>
          </w:tcPr>
          <w:p w14:paraId="74DDAD6E" w14:textId="77777777" w:rsidR="00584EC1" w:rsidRDefault="00584EC1">
            <w:pPr>
              <w:rPr>
                <w:rFonts w:ascii="宋体"/>
                <w:vanish/>
              </w:rPr>
            </w:pPr>
          </w:p>
        </w:tc>
        <w:tc>
          <w:tcPr>
            <w:tcW w:w="0" w:type="auto"/>
            <w:gridSpan w:val="3"/>
            <w:shd w:val="clear" w:color="auto" w:fill="auto"/>
            <w:vAlign w:val="bottom"/>
          </w:tcPr>
          <w:p w14:paraId="74DDAD6F" w14:textId="77777777" w:rsidR="00584EC1" w:rsidRDefault="00584EC1">
            <w:pPr>
              <w:rPr>
                <w:rFonts w:ascii="宋体"/>
                <w:vanish/>
              </w:rPr>
            </w:pPr>
          </w:p>
        </w:tc>
        <w:tc>
          <w:tcPr>
            <w:tcW w:w="0" w:type="auto"/>
            <w:gridSpan w:val="3"/>
            <w:shd w:val="clear" w:color="auto" w:fill="auto"/>
            <w:vAlign w:val="bottom"/>
          </w:tcPr>
          <w:p w14:paraId="74DDAD70" w14:textId="77777777" w:rsidR="00584EC1" w:rsidRDefault="00584EC1">
            <w:pPr>
              <w:rPr>
                <w:rFonts w:ascii="宋体"/>
                <w:vanish/>
              </w:rPr>
            </w:pPr>
          </w:p>
        </w:tc>
        <w:tc>
          <w:tcPr>
            <w:tcW w:w="0" w:type="auto"/>
            <w:gridSpan w:val="3"/>
            <w:shd w:val="clear" w:color="auto" w:fill="auto"/>
            <w:vAlign w:val="bottom"/>
          </w:tcPr>
          <w:p w14:paraId="74DDAD71" w14:textId="77777777" w:rsidR="00584EC1" w:rsidRDefault="00584EC1">
            <w:pPr>
              <w:rPr>
                <w:rFonts w:ascii="宋体"/>
                <w:vanish/>
              </w:rPr>
            </w:pPr>
          </w:p>
        </w:tc>
      </w:tr>
      <w:tr w:rsidR="00584EC1" w14:paraId="74DDAD85" w14:textId="77777777">
        <w:trPr>
          <w:jc w:val="center"/>
          <w:hidden/>
        </w:trPr>
        <w:tc>
          <w:tcPr>
            <w:tcW w:w="0" w:type="auto"/>
            <w:gridSpan w:val="3"/>
            <w:shd w:val="clear" w:color="auto" w:fill="auto"/>
            <w:vAlign w:val="bottom"/>
          </w:tcPr>
          <w:p w14:paraId="74DDAD73" w14:textId="77777777" w:rsidR="00584EC1" w:rsidRDefault="00584EC1">
            <w:pPr>
              <w:rPr>
                <w:rFonts w:ascii="宋体"/>
                <w:vanish/>
              </w:rPr>
            </w:pPr>
          </w:p>
        </w:tc>
        <w:tc>
          <w:tcPr>
            <w:tcW w:w="0" w:type="auto"/>
            <w:gridSpan w:val="3"/>
            <w:shd w:val="clear" w:color="auto" w:fill="auto"/>
            <w:vAlign w:val="bottom"/>
          </w:tcPr>
          <w:p w14:paraId="74DDAD74" w14:textId="77777777" w:rsidR="00584EC1" w:rsidRDefault="00584EC1">
            <w:pPr>
              <w:rPr>
                <w:rFonts w:ascii="宋体"/>
                <w:vanish/>
              </w:rPr>
            </w:pPr>
          </w:p>
        </w:tc>
        <w:tc>
          <w:tcPr>
            <w:tcW w:w="0" w:type="auto"/>
            <w:gridSpan w:val="3"/>
            <w:shd w:val="clear" w:color="auto" w:fill="auto"/>
            <w:vAlign w:val="bottom"/>
          </w:tcPr>
          <w:p w14:paraId="74DDAD75" w14:textId="77777777" w:rsidR="00584EC1" w:rsidRDefault="00584EC1">
            <w:pPr>
              <w:rPr>
                <w:rFonts w:ascii="宋体"/>
                <w:vanish/>
              </w:rPr>
            </w:pPr>
          </w:p>
        </w:tc>
        <w:tc>
          <w:tcPr>
            <w:tcW w:w="0" w:type="auto"/>
            <w:gridSpan w:val="3"/>
            <w:shd w:val="clear" w:color="auto" w:fill="auto"/>
            <w:vAlign w:val="bottom"/>
          </w:tcPr>
          <w:p w14:paraId="74DDAD76" w14:textId="77777777" w:rsidR="00584EC1" w:rsidRDefault="00584EC1">
            <w:pPr>
              <w:rPr>
                <w:rFonts w:ascii="宋体"/>
                <w:vanish/>
              </w:rPr>
            </w:pPr>
          </w:p>
        </w:tc>
        <w:tc>
          <w:tcPr>
            <w:tcW w:w="0" w:type="auto"/>
            <w:gridSpan w:val="3"/>
            <w:shd w:val="clear" w:color="auto" w:fill="auto"/>
            <w:vAlign w:val="bottom"/>
          </w:tcPr>
          <w:p w14:paraId="74DDAD77" w14:textId="77777777" w:rsidR="00584EC1" w:rsidRDefault="00584EC1">
            <w:pPr>
              <w:rPr>
                <w:rFonts w:ascii="宋体"/>
                <w:vanish/>
              </w:rPr>
            </w:pPr>
          </w:p>
        </w:tc>
        <w:tc>
          <w:tcPr>
            <w:tcW w:w="0" w:type="auto"/>
            <w:gridSpan w:val="3"/>
            <w:shd w:val="clear" w:color="auto" w:fill="auto"/>
            <w:vAlign w:val="bottom"/>
          </w:tcPr>
          <w:p w14:paraId="74DDAD78" w14:textId="77777777" w:rsidR="00584EC1" w:rsidRDefault="00584EC1">
            <w:pPr>
              <w:rPr>
                <w:rFonts w:ascii="宋体"/>
                <w:vanish/>
              </w:rPr>
            </w:pPr>
          </w:p>
        </w:tc>
        <w:tc>
          <w:tcPr>
            <w:tcW w:w="0" w:type="auto"/>
            <w:gridSpan w:val="3"/>
            <w:shd w:val="clear" w:color="auto" w:fill="auto"/>
            <w:vAlign w:val="bottom"/>
          </w:tcPr>
          <w:p w14:paraId="74DDAD79" w14:textId="77777777" w:rsidR="00584EC1" w:rsidRDefault="00584EC1">
            <w:pPr>
              <w:rPr>
                <w:rFonts w:ascii="宋体"/>
                <w:vanish/>
              </w:rPr>
            </w:pPr>
          </w:p>
        </w:tc>
        <w:tc>
          <w:tcPr>
            <w:tcW w:w="0" w:type="auto"/>
            <w:gridSpan w:val="3"/>
            <w:shd w:val="clear" w:color="auto" w:fill="auto"/>
            <w:vAlign w:val="bottom"/>
          </w:tcPr>
          <w:p w14:paraId="74DDAD7A" w14:textId="77777777" w:rsidR="00584EC1" w:rsidRDefault="00584EC1">
            <w:pPr>
              <w:rPr>
                <w:rFonts w:ascii="宋体"/>
                <w:vanish/>
              </w:rPr>
            </w:pPr>
          </w:p>
        </w:tc>
        <w:tc>
          <w:tcPr>
            <w:tcW w:w="0" w:type="auto"/>
            <w:gridSpan w:val="3"/>
            <w:shd w:val="clear" w:color="auto" w:fill="auto"/>
            <w:vAlign w:val="bottom"/>
          </w:tcPr>
          <w:p w14:paraId="74DDAD7B" w14:textId="77777777" w:rsidR="00584EC1" w:rsidRDefault="00584EC1">
            <w:pPr>
              <w:rPr>
                <w:rFonts w:ascii="宋体"/>
                <w:vanish/>
              </w:rPr>
            </w:pPr>
          </w:p>
        </w:tc>
        <w:tc>
          <w:tcPr>
            <w:tcW w:w="0" w:type="auto"/>
            <w:gridSpan w:val="3"/>
            <w:shd w:val="clear" w:color="auto" w:fill="auto"/>
            <w:vAlign w:val="bottom"/>
          </w:tcPr>
          <w:p w14:paraId="74DDAD7C" w14:textId="77777777" w:rsidR="00584EC1" w:rsidRDefault="00584EC1">
            <w:pPr>
              <w:rPr>
                <w:rFonts w:ascii="宋体"/>
                <w:vanish/>
              </w:rPr>
            </w:pPr>
          </w:p>
        </w:tc>
        <w:tc>
          <w:tcPr>
            <w:tcW w:w="0" w:type="auto"/>
            <w:gridSpan w:val="3"/>
            <w:shd w:val="clear" w:color="auto" w:fill="auto"/>
            <w:vAlign w:val="bottom"/>
          </w:tcPr>
          <w:p w14:paraId="74DDAD7D" w14:textId="77777777" w:rsidR="00584EC1" w:rsidRDefault="00584EC1">
            <w:pPr>
              <w:rPr>
                <w:rFonts w:ascii="宋体"/>
                <w:vanish/>
              </w:rPr>
            </w:pPr>
          </w:p>
        </w:tc>
        <w:tc>
          <w:tcPr>
            <w:tcW w:w="0" w:type="auto"/>
            <w:gridSpan w:val="3"/>
            <w:shd w:val="clear" w:color="auto" w:fill="auto"/>
            <w:vAlign w:val="bottom"/>
          </w:tcPr>
          <w:p w14:paraId="74DDAD7E" w14:textId="77777777" w:rsidR="00584EC1" w:rsidRDefault="00584EC1">
            <w:pPr>
              <w:rPr>
                <w:rFonts w:ascii="宋体"/>
                <w:vanish/>
              </w:rPr>
            </w:pPr>
          </w:p>
        </w:tc>
        <w:tc>
          <w:tcPr>
            <w:tcW w:w="0" w:type="auto"/>
            <w:gridSpan w:val="3"/>
            <w:shd w:val="clear" w:color="auto" w:fill="auto"/>
            <w:vAlign w:val="bottom"/>
          </w:tcPr>
          <w:p w14:paraId="74DDAD7F" w14:textId="77777777" w:rsidR="00584EC1" w:rsidRDefault="00584EC1">
            <w:pPr>
              <w:rPr>
                <w:rFonts w:ascii="宋体"/>
                <w:vanish/>
              </w:rPr>
            </w:pPr>
          </w:p>
        </w:tc>
        <w:tc>
          <w:tcPr>
            <w:tcW w:w="0" w:type="auto"/>
            <w:gridSpan w:val="3"/>
            <w:shd w:val="clear" w:color="auto" w:fill="auto"/>
            <w:vAlign w:val="bottom"/>
          </w:tcPr>
          <w:p w14:paraId="74DDAD80" w14:textId="77777777" w:rsidR="00584EC1" w:rsidRDefault="00584EC1">
            <w:pPr>
              <w:rPr>
                <w:rFonts w:ascii="宋体"/>
                <w:vanish/>
              </w:rPr>
            </w:pPr>
          </w:p>
        </w:tc>
        <w:tc>
          <w:tcPr>
            <w:tcW w:w="0" w:type="auto"/>
            <w:gridSpan w:val="3"/>
            <w:shd w:val="clear" w:color="auto" w:fill="auto"/>
            <w:vAlign w:val="bottom"/>
          </w:tcPr>
          <w:p w14:paraId="74DDAD81" w14:textId="77777777" w:rsidR="00584EC1" w:rsidRDefault="00584EC1">
            <w:pPr>
              <w:rPr>
                <w:rFonts w:ascii="宋体"/>
                <w:vanish/>
              </w:rPr>
            </w:pPr>
          </w:p>
        </w:tc>
        <w:tc>
          <w:tcPr>
            <w:tcW w:w="0" w:type="auto"/>
            <w:gridSpan w:val="3"/>
            <w:shd w:val="clear" w:color="auto" w:fill="auto"/>
            <w:vAlign w:val="bottom"/>
          </w:tcPr>
          <w:p w14:paraId="74DDAD82" w14:textId="77777777" w:rsidR="00584EC1" w:rsidRDefault="00584EC1">
            <w:pPr>
              <w:rPr>
                <w:rFonts w:ascii="宋体"/>
                <w:vanish/>
              </w:rPr>
            </w:pPr>
          </w:p>
        </w:tc>
        <w:tc>
          <w:tcPr>
            <w:tcW w:w="0" w:type="auto"/>
            <w:gridSpan w:val="3"/>
            <w:shd w:val="clear" w:color="auto" w:fill="auto"/>
            <w:vAlign w:val="bottom"/>
          </w:tcPr>
          <w:p w14:paraId="74DDAD83" w14:textId="77777777" w:rsidR="00584EC1" w:rsidRDefault="00584EC1">
            <w:pPr>
              <w:rPr>
                <w:rFonts w:ascii="宋体"/>
                <w:vanish/>
              </w:rPr>
            </w:pPr>
          </w:p>
        </w:tc>
        <w:tc>
          <w:tcPr>
            <w:tcW w:w="0" w:type="auto"/>
            <w:gridSpan w:val="3"/>
            <w:shd w:val="clear" w:color="auto" w:fill="auto"/>
            <w:vAlign w:val="bottom"/>
          </w:tcPr>
          <w:p w14:paraId="74DDAD84" w14:textId="77777777" w:rsidR="00584EC1" w:rsidRDefault="00584EC1">
            <w:pPr>
              <w:rPr>
                <w:rFonts w:ascii="宋体"/>
                <w:vanish/>
              </w:rPr>
            </w:pPr>
          </w:p>
        </w:tc>
      </w:tr>
      <w:tr w:rsidR="00584EC1" w14:paraId="74DDAD98" w14:textId="77777777">
        <w:trPr>
          <w:jc w:val="center"/>
          <w:hidden/>
        </w:trPr>
        <w:tc>
          <w:tcPr>
            <w:tcW w:w="0" w:type="auto"/>
            <w:gridSpan w:val="3"/>
            <w:shd w:val="clear" w:color="auto" w:fill="auto"/>
            <w:vAlign w:val="bottom"/>
          </w:tcPr>
          <w:p w14:paraId="74DDAD86" w14:textId="77777777" w:rsidR="00584EC1" w:rsidRDefault="00584EC1">
            <w:pPr>
              <w:rPr>
                <w:rFonts w:ascii="宋体"/>
                <w:vanish/>
              </w:rPr>
            </w:pPr>
          </w:p>
        </w:tc>
        <w:tc>
          <w:tcPr>
            <w:tcW w:w="0" w:type="auto"/>
            <w:gridSpan w:val="3"/>
            <w:shd w:val="clear" w:color="auto" w:fill="auto"/>
            <w:vAlign w:val="bottom"/>
          </w:tcPr>
          <w:p w14:paraId="74DDAD87" w14:textId="77777777" w:rsidR="00584EC1" w:rsidRDefault="00584EC1">
            <w:pPr>
              <w:rPr>
                <w:rFonts w:ascii="宋体"/>
                <w:vanish/>
              </w:rPr>
            </w:pPr>
          </w:p>
        </w:tc>
        <w:tc>
          <w:tcPr>
            <w:tcW w:w="0" w:type="auto"/>
            <w:gridSpan w:val="3"/>
            <w:shd w:val="clear" w:color="auto" w:fill="auto"/>
            <w:vAlign w:val="bottom"/>
          </w:tcPr>
          <w:p w14:paraId="74DDAD88" w14:textId="77777777" w:rsidR="00584EC1" w:rsidRDefault="00584EC1">
            <w:pPr>
              <w:rPr>
                <w:rFonts w:ascii="宋体"/>
                <w:vanish/>
              </w:rPr>
            </w:pPr>
          </w:p>
        </w:tc>
        <w:tc>
          <w:tcPr>
            <w:tcW w:w="0" w:type="auto"/>
            <w:gridSpan w:val="3"/>
            <w:shd w:val="clear" w:color="auto" w:fill="auto"/>
            <w:vAlign w:val="bottom"/>
          </w:tcPr>
          <w:p w14:paraId="74DDAD89" w14:textId="77777777" w:rsidR="00584EC1" w:rsidRDefault="00584EC1">
            <w:pPr>
              <w:rPr>
                <w:rFonts w:ascii="宋体"/>
                <w:vanish/>
              </w:rPr>
            </w:pPr>
          </w:p>
        </w:tc>
        <w:tc>
          <w:tcPr>
            <w:tcW w:w="0" w:type="auto"/>
            <w:gridSpan w:val="3"/>
            <w:shd w:val="clear" w:color="auto" w:fill="auto"/>
            <w:vAlign w:val="bottom"/>
          </w:tcPr>
          <w:p w14:paraId="74DDAD8A" w14:textId="77777777" w:rsidR="00584EC1" w:rsidRDefault="00584EC1">
            <w:pPr>
              <w:rPr>
                <w:rFonts w:ascii="宋体"/>
                <w:vanish/>
              </w:rPr>
            </w:pPr>
          </w:p>
        </w:tc>
        <w:tc>
          <w:tcPr>
            <w:tcW w:w="0" w:type="auto"/>
            <w:gridSpan w:val="3"/>
            <w:shd w:val="clear" w:color="auto" w:fill="auto"/>
            <w:vAlign w:val="bottom"/>
          </w:tcPr>
          <w:p w14:paraId="74DDAD8B" w14:textId="77777777" w:rsidR="00584EC1" w:rsidRDefault="00584EC1">
            <w:pPr>
              <w:rPr>
                <w:rFonts w:ascii="宋体"/>
                <w:vanish/>
              </w:rPr>
            </w:pPr>
          </w:p>
        </w:tc>
        <w:tc>
          <w:tcPr>
            <w:tcW w:w="0" w:type="auto"/>
            <w:gridSpan w:val="3"/>
            <w:shd w:val="clear" w:color="auto" w:fill="auto"/>
            <w:vAlign w:val="bottom"/>
          </w:tcPr>
          <w:p w14:paraId="74DDAD8C" w14:textId="77777777" w:rsidR="00584EC1" w:rsidRDefault="00584EC1">
            <w:pPr>
              <w:rPr>
                <w:rFonts w:ascii="宋体"/>
                <w:vanish/>
              </w:rPr>
            </w:pPr>
          </w:p>
        </w:tc>
        <w:tc>
          <w:tcPr>
            <w:tcW w:w="0" w:type="auto"/>
            <w:gridSpan w:val="3"/>
            <w:shd w:val="clear" w:color="auto" w:fill="auto"/>
            <w:vAlign w:val="bottom"/>
          </w:tcPr>
          <w:p w14:paraId="74DDAD8D" w14:textId="77777777" w:rsidR="00584EC1" w:rsidRDefault="00584EC1">
            <w:pPr>
              <w:rPr>
                <w:rFonts w:ascii="宋体"/>
                <w:vanish/>
              </w:rPr>
            </w:pPr>
          </w:p>
        </w:tc>
        <w:tc>
          <w:tcPr>
            <w:tcW w:w="0" w:type="auto"/>
            <w:gridSpan w:val="3"/>
            <w:shd w:val="clear" w:color="auto" w:fill="auto"/>
            <w:vAlign w:val="bottom"/>
          </w:tcPr>
          <w:p w14:paraId="74DDAD8E" w14:textId="77777777" w:rsidR="00584EC1" w:rsidRDefault="00584EC1">
            <w:pPr>
              <w:rPr>
                <w:rFonts w:ascii="宋体"/>
                <w:vanish/>
              </w:rPr>
            </w:pPr>
          </w:p>
        </w:tc>
        <w:tc>
          <w:tcPr>
            <w:tcW w:w="0" w:type="auto"/>
            <w:gridSpan w:val="3"/>
            <w:shd w:val="clear" w:color="auto" w:fill="auto"/>
            <w:vAlign w:val="bottom"/>
          </w:tcPr>
          <w:p w14:paraId="74DDAD8F" w14:textId="77777777" w:rsidR="00584EC1" w:rsidRDefault="00584EC1">
            <w:pPr>
              <w:rPr>
                <w:rFonts w:ascii="宋体"/>
                <w:vanish/>
              </w:rPr>
            </w:pPr>
          </w:p>
        </w:tc>
        <w:tc>
          <w:tcPr>
            <w:tcW w:w="0" w:type="auto"/>
            <w:gridSpan w:val="3"/>
            <w:shd w:val="clear" w:color="auto" w:fill="auto"/>
            <w:vAlign w:val="bottom"/>
          </w:tcPr>
          <w:p w14:paraId="74DDAD90" w14:textId="77777777" w:rsidR="00584EC1" w:rsidRDefault="00584EC1">
            <w:pPr>
              <w:rPr>
                <w:rFonts w:ascii="宋体"/>
                <w:vanish/>
              </w:rPr>
            </w:pPr>
          </w:p>
        </w:tc>
        <w:tc>
          <w:tcPr>
            <w:tcW w:w="0" w:type="auto"/>
            <w:gridSpan w:val="3"/>
            <w:shd w:val="clear" w:color="auto" w:fill="auto"/>
            <w:vAlign w:val="bottom"/>
          </w:tcPr>
          <w:p w14:paraId="74DDAD91" w14:textId="77777777" w:rsidR="00584EC1" w:rsidRDefault="00584EC1">
            <w:pPr>
              <w:rPr>
                <w:rFonts w:ascii="宋体"/>
                <w:vanish/>
              </w:rPr>
            </w:pPr>
          </w:p>
        </w:tc>
        <w:tc>
          <w:tcPr>
            <w:tcW w:w="0" w:type="auto"/>
            <w:gridSpan w:val="3"/>
            <w:shd w:val="clear" w:color="auto" w:fill="auto"/>
            <w:vAlign w:val="bottom"/>
          </w:tcPr>
          <w:p w14:paraId="74DDAD92" w14:textId="77777777" w:rsidR="00584EC1" w:rsidRDefault="00584EC1">
            <w:pPr>
              <w:rPr>
                <w:rFonts w:ascii="宋体"/>
                <w:vanish/>
              </w:rPr>
            </w:pPr>
          </w:p>
        </w:tc>
        <w:tc>
          <w:tcPr>
            <w:tcW w:w="0" w:type="auto"/>
            <w:gridSpan w:val="3"/>
            <w:shd w:val="clear" w:color="auto" w:fill="auto"/>
            <w:vAlign w:val="bottom"/>
          </w:tcPr>
          <w:p w14:paraId="74DDAD93" w14:textId="77777777" w:rsidR="00584EC1" w:rsidRDefault="00584EC1">
            <w:pPr>
              <w:rPr>
                <w:rFonts w:ascii="宋体"/>
                <w:vanish/>
              </w:rPr>
            </w:pPr>
          </w:p>
        </w:tc>
        <w:tc>
          <w:tcPr>
            <w:tcW w:w="0" w:type="auto"/>
            <w:gridSpan w:val="3"/>
            <w:shd w:val="clear" w:color="auto" w:fill="auto"/>
            <w:vAlign w:val="bottom"/>
          </w:tcPr>
          <w:p w14:paraId="74DDAD94" w14:textId="77777777" w:rsidR="00584EC1" w:rsidRDefault="00584EC1">
            <w:pPr>
              <w:rPr>
                <w:rFonts w:ascii="宋体"/>
                <w:vanish/>
              </w:rPr>
            </w:pPr>
          </w:p>
        </w:tc>
        <w:tc>
          <w:tcPr>
            <w:tcW w:w="0" w:type="auto"/>
            <w:gridSpan w:val="3"/>
            <w:shd w:val="clear" w:color="auto" w:fill="auto"/>
            <w:vAlign w:val="bottom"/>
          </w:tcPr>
          <w:p w14:paraId="74DDAD95" w14:textId="77777777" w:rsidR="00584EC1" w:rsidRDefault="00584EC1">
            <w:pPr>
              <w:rPr>
                <w:rFonts w:ascii="宋体"/>
                <w:vanish/>
              </w:rPr>
            </w:pPr>
          </w:p>
        </w:tc>
        <w:tc>
          <w:tcPr>
            <w:tcW w:w="0" w:type="auto"/>
            <w:gridSpan w:val="3"/>
            <w:shd w:val="clear" w:color="auto" w:fill="auto"/>
            <w:vAlign w:val="bottom"/>
          </w:tcPr>
          <w:p w14:paraId="74DDAD96" w14:textId="77777777" w:rsidR="00584EC1" w:rsidRDefault="00584EC1">
            <w:pPr>
              <w:rPr>
                <w:rFonts w:ascii="宋体"/>
                <w:vanish/>
              </w:rPr>
            </w:pPr>
          </w:p>
        </w:tc>
        <w:tc>
          <w:tcPr>
            <w:tcW w:w="0" w:type="auto"/>
            <w:gridSpan w:val="3"/>
            <w:shd w:val="clear" w:color="auto" w:fill="auto"/>
            <w:vAlign w:val="bottom"/>
          </w:tcPr>
          <w:p w14:paraId="74DDAD97" w14:textId="77777777" w:rsidR="00584EC1" w:rsidRDefault="00584EC1">
            <w:pPr>
              <w:rPr>
                <w:rFonts w:ascii="宋体"/>
                <w:vanish/>
              </w:rPr>
            </w:pPr>
          </w:p>
        </w:tc>
      </w:tr>
      <w:tr w:rsidR="00584EC1" w14:paraId="74DDADAB" w14:textId="77777777">
        <w:trPr>
          <w:jc w:val="center"/>
          <w:hidden/>
        </w:trPr>
        <w:tc>
          <w:tcPr>
            <w:tcW w:w="0" w:type="auto"/>
            <w:gridSpan w:val="3"/>
            <w:shd w:val="clear" w:color="auto" w:fill="auto"/>
            <w:vAlign w:val="bottom"/>
          </w:tcPr>
          <w:p w14:paraId="74DDAD99" w14:textId="77777777" w:rsidR="00584EC1" w:rsidRDefault="00584EC1">
            <w:pPr>
              <w:rPr>
                <w:rFonts w:ascii="宋体"/>
                <w:vanish/>
              </w:rPr>
            </w:pPr>
          </w:p>
        </w:tc>
        <w:tc>
          <w:tcPr>
            <w:tcW w:w="0" w:type="auto"/>
            <w:gridSpan w:val="3"/>
            <w:shd w:val="clear" w:color="auto" w:fill="auto"/>
            <w:vAlign w:val="bottom"/>
          </w:tcPr>
          <w:p w14:paraId="74DDAD9A" w14:textId="77777777" w:rsidR="00584EC1" w:rsidRDefault="00584EC1">
            <w:pPr>
              <w:rPr>
                <w:rFonts w:ascii="宋体"/>
                <w:vanish/>
              </w:rPr>
            </w:pPr>
          </w:p>
        </w:tc>
        <w:tc>
          <w:tcPr>
            <w:tcW w:w="0" w:type="auto"/>
            <w:gridSpan w:val="3"/>
            <w:shd w:val="clear" w:color="auto" w:fill="auto"/>
            <w:vAlign w:val="bottom"/>
          </w:tcPr>
          <w:p w14:paraId="74DDAD9B" w14:textId="77777777" w:rsidR="00584EC1" w:rsidRDefault="00584EC1">
            <w:pPr>
              <w:rPr>
                <w:rFonts w:ascii="宋体"/>
                <w:vanish/>
              </w:rPr>
            </w:pPr>
          </w:p>
        </w:tc>
        <w:tc>
          <w:tcPr>
            <w:tcW w:w="0" w:type="auto"/>
            <w:gridSpan w:val="3"/>
            <w:shd w:val="clear" w:color="auto" w:fill="auto"/>
            <w:vAlign w:val="bottom"/>
          </w:tcPr>
          <w:p w14:paraId="74DDAD9C" w14:textId="77777777" w:rsidR="00584EC1" w:rsidRDefault="00584EC1">
            <w:pPr>
              <w:rPr>
                <w:rFonts w:ascii="宋体"/>
                <w:vanish/>
              </w:rPr>
            </w:pPr>
          </w:p>
        </w:tc>
        <w:tc>
          <w:tcPr>
            <w:tcW w:w="0" w:type="auto"/>
            <w:gridSpan w:val="3"/>
            <w:shd w:val="clear" w:color="auto" w:fill="auto"/>
            <w:vAlign w:val="bottom"/>
          </w:tcPr>
          <w:p w14:paraId="74DDAD9D" w14:textId="77777777" w:rsidR="00584EC1" w:rsidRDefault="00584EC1">
            <w:pPr>
              <w:rPr>
                <w:rFonts w:ascii="宋体"/>
                <w:vanish/>
              </w:rPr>
            </w:pPr>
          </w:p>
        </w:tc>
        <w:tc>
          <w:tcPr>
            <w:tcW w:w="0" w:type="auto"/>
            <w:gridSpan w:val="3"/>
            <w:shd w:val="clear" w:color="auto" w:fill="auto"/>
            <w:vAlign w:val="bottom"/>
          </w:tcPr>
          <w:p w14:paraId="74DDAD9E" w14:textId="77777777" w:rsidR="00584EC1" w:rsidRDefault="00584EC1">
            <w:pPr>
              <w:rPr>
                <w:rFonts w:ascii="宋体"/>
                <w:vanish/>
              </w:rPr>
            </w:pPr>
          </w:p>
        </w:tc>
        <w:tc>
          <w:tcPr>
            <w:tcW w:w="0" w:type="auto"/>
            <w:gridSpan w:val="3"/>
            <w:shd w:val="clear" w:color="auto" w:fill="auto"/>
            <w:vAlign w:val="bottom"/>
          </w:tcPr>
          <w:p w14:paraId="74DDAD9F" w14:textId="77777777" w:rsidR="00584EC1" w:rsidRDefault="00584EC1">
            <w:pPr>
              <w:rPr>
                <w:rFonts w:ascii="宋体"/>
                <w:vanish/>
              </w:rPr>
            </w:pPr>
          </w:p>
        </w:tc>
        <w:tc>
          <w:tcPr>
            <w:tcW w:w="0" w:type="auto"/>
            <w:gridSpan w:val="3"/>
            <w:shd w:val="clear" w:color="auto" w:fill="auto"/>
            <w:vAlign w:val="bottom"/>
          </w:tcPr>
          <w:p w14:paraId="74DDADA0" w14:textId="77777777" w:rsidR="00584EC1" w:rsidRDefault="00584EC1">
            <w:pPr>
              <w:rPr>
                <w:rFonts w:ascii="宋体"/>
                <w:vanish/>
              </w:rPr>
            </w:pPr>
          </w:p>
        </w:tc>
        <w:tc>
          <w:tcPr>
            <w:tcW w:w="0" w:type="auto"/>
            <w:gridSpan w:val="3"/>
            <w:shd w:val="clear" w:color="auto" w:fill="auto"/>
            <w:vAlign w:val="bottom"/>
          </w:tcPr>
          <w:p w14:paraId="74DDADA1" w14:textId="77777777" w:rsidR="00584EC1" w:rsidRDefault="00584EC1">
            <w:pPr>
              <w:rPr>
                <w:rFonts w:ascii="宋体"/>
                <w:vanish/>
              </w:rPr>
            </w:pPr>
          </w:p>
        </w:tc>
        <w:tc>
          <w:tcPr>
            <w:tcW w:w="0" w:type="auto"/>
            <w:gridSpan w:val="3"/>
            <w:shd w:val="clear" w:color="auto" w:fill="auto"/>
            <w:vAlign w:val="bottom"/>
          </w:tcPr>
          <w:p w14:paraId="74DDADA2" w14:textId="77777777" w:rsidR="00584EC1" w:rsidRDefault="00584EC1">
            <w:pPr>
              <w:rPr>
                <w:rFonts w:ascii="宋体"/>
                <w:vanish/>
              </w:rPr>
            </w:pPr>
          </w:p>
        </w:tc>
        <w:tc>
          <w:tcPr>
            <w:tcW w:w="0" w:type="auto"/>
            <w:gridSpan w:val="3"/>
            <w:shd w:val="clear" w:color="auto" w:fill="auto"/>
            <w:vAlign w:val="bottom"/>
          </w:tcPr>
          <w:p w14:paraId="74DDADA3" w14:textId="77777777" w:rsidR="00584EC1" w:rsidRDefault="00584EC1">
            <w:pPr>
              <w:rPr>
                <w:rFonts w:ascii="宋体"/>
                <w:vanish/>
              </w:rPr>
            </w:pPr>
          </w:p>
        </w:tc>
        <w:tc>
          <w:tcPr>
            <w:tcW w:w="0" w:type="auto"/>
            <w:gridSpan w:val="3"/>
            <w:shd w:val="clear" w:color="auto" w:fill="auto"/>
            <w:vAlign w:val="bottom"/>
          </w:tcPr>
          <w:p w14:paraId="74DDADA4" w14:textId="77777777" w:rsidR="00584EC1" w:rsidRDefault="00584EC1">
            <w:pPr>
              <w:rPr>
                <w:rFonts w:ascii="宋体"/>
                <w:vanish/>
              </w:rPr>
            </w:pPr>
          </w:p>
        </w:tc>
        <w:tc>
          <w:tcPr>
            <w:tcW w:w="0" w:type="auto"/>
            <w:gridSpan w:val="3"/>
            <w:shd w:val="clear" w:color="auto" w:fill="auto"/>
            <w:vAlign w:val="bottom"/>
          </w:tcPr>
          <w:p w14:paraId="74DDADA5" w14:textId="77777777" w:rsidR="00584EC1" w:rsidRDefault="00584EC1">
            <w:pPr>
              <w:rPr>
                <w:rFonts w:ascii="宋体"/>
                <w:vanish/>
              </w:rPr>
            </w:pPr>
          </w:p>
        </w:tc>
        <w:tc>
          <w:tcPr>
            <w:tcW w:w="0" w:type="auto"/>
            <w:gridSpan w:val="3"/>
            <w:shd w:val="clear" w:color="auto" w:fill="auto"/>
            <w:vAlign w:val="bottom"/>
          </w:tcPr>
          <w:p w14:paraId="74DDADA6" w14:textId="77777777" w:rsidR="00584EC1" w:rsidRDefault="00584EC1">
            <w:pPr>
              <w:rPr>
                <w:rFonts w:ascii="宋体"/>
                <w:vanish/>
              </w:rPr>
            </w:pPr>
          </w:p>
        </w:tc>
        <w:tc>
          <w:tcPr>
            <w:tcW w:w="0" w:type="auto"/>
            <w:gridSpan w:val="3"/>
            <w:shd w:val="clear" w:color="auto" w:fill="auto"/>
            <w:vAlign w:val="bottom"/>
          </w:tcPr>
          <w:p w14:paraId="74DDADA7" w14:textId="77777777" w:rsidR="00584EC1" w:rsidRDefault="00584EC1">
            <w:pPr>
              <w:rPr>
                <w:rFonts w:ascii="宋体"/>
                <w:vanish/>
              </w:rPr>
            </w:pPr>
          </w:p>
        </w:tc>
        <w:tc>
          <w:tcPr>
            <w:tcW w:w="0" w:type="auto"/>
            <w:gridSpan w:val="3"/>
            <w:shd w:val="clear" w:color="auto" w:fill="auto"/>
            <w:vAlign w:val="bottom"/>
          </w:tcPr>
          <w:p w14:paraId="74DDADA8" w14:textId="77777777" w:rsidR="00584EC1" w:rsidRDefault="00584EC1">
            <w:pPr>
              <w:rPr>
                <w:rFonts w:ascii="宋体"/>
                <w:vanish/>
              </w:rPr>
            </w:pPr>
          </w:p>
        </w:tc>
        <w:tc>
          <w:tcPr>
            <w:tcW w:w="0" w:type="auto"/>
            <w:gridSpan w:val="3"/>
            <w:shd w:val="clear" w:color="auto" w:fill="auto"/>
            <w:vAlign w:val="bottom"/>
          </w:tcPr>
          <w:p w14:paraId="74DDADA9" w14:textId="77777777" w:rsidR="00584EC1" w:rsidRDefault="00584EC1">
            <w:pPr>
              <w:rPr>
                <w:rFonts w:ascii="宋体"/>
                <w:vanish/>
              </w:rPr>
            </w:pPr>
          </w:p>
        </w:tc>
        <w:tc>
          <w:tcPr>
            <w:tcW w:w="0" w:type="auto"/>
            <w:gridSpan w:val="3"/>
            <w:shd w:val="clear" w:color="auto" w:fill="auto"/>
            <w:vAlign w:val="bottom"/>
          </w:tcPr>
          <w:p w14:paraId="74DDADAA" w14:textId="77777777" w:rsidR="00584EC1" w:rsidRDefault="00584EC1">
            <w:pPr>
              <w:rPr>
                <w:rFonts w:ascii="宋体"/>
                <w:vanish/>
              </w:rPr>
            </w:pPr>
          </w:p>
        </w:tc>
      </w:tr>
      <w:tr w:rsidR="00584EC1" w14:paraId="74DDADBE" w14:textId="77777777">
        <w:trPr>
          <w:jc w:val="center"/>
          <w:hidden/>
        </w:trPr>
        <w:tc>
          <w:tcPr>
            <w:tcW w:w="0" w:type="auto"/>
            <w:gridSpan w:val="3"/>
            <w:shd w:val="clear" w:color="auto" w:fill="auto"/>
            <w:vAlign w:val="bottom"/>
          </w:tcPr>
          <w:p w14:paraId="74DDADAC" w14:textId="77777777" w:rsidR="00584EC1" w:rsidRDefault="00584EC1">
            <w:pPr>
              <w:rPr>
                <w:rFonts w:ascii="宋体"/>
                <w:vanish/>
              </w:rPr>
            </w:pPr>
          </w:p>
        </w:tc>
        <w:tc>
          <w:tcPr>
            <w:tcW w:w="0" w:type="auto"/>
            <w:gridSpan w:val="3"/>
            <w:shd w:val="clear" w:color="auto" w:fill="auto"/>
            <w:vAlign w:val="bottom"/>
          </w:tcPr>
          <w:p w14:paraId="74DDADAD" w14:textId="77777777" w:rsidR="00584EC1" w:rsidRDefault="00584EC1">
            <w:pPr>
              <w:rPr>
                <w:rFonts w:ascii="宋体"/>
                <w:vanish/>
              </w:rPr>
            </w:pPr>
          </w:p>
        </w:tc>
        <w:tc>
          <w:tcPr>
            <w:tcW w:w="0" w:type="auto"/>
            <w:gridSpan w:val="3"/>
            <w:shd w:val="clear" w:color="auto" w:fill="auto"/>
            <w:vAlign w:val="bottom"/>
          </w:tcPr>
          <w:p w14:paraId="74DDADAE" w14:textId="77777777" w:rsidR="00584EC1" w:rsidRDefault="00584EC1">
            <w:pPr>
              <w:rPr>
                <w:rFonts w:ascii="宋体"/>
                <w:vanish/>
              </w:rPr>
            </w:pPr>
          </w:p>
        </w:tc>
        <w:tc>
          <w:tcPr>
            <w:tcW w:w="0" w:type="auto"/>
            <w:gridSpan w:val="3"/>
            <w:shd w:val="clear" w:color="auto" w:fill="auto"/>
            <w:vAlign w:val="bottom"/>
          </w:tcPr>
          <w:p w14:paraId="74DDADAF" w14:textId="77777777" w:rsidR="00584EC1" w:rsidRDefault="00584EC1">
            <w:pPr>
              <w:rPr>
                <w:rFonts w:ascii="宋体"/>
                <w:vanish/>
              </w:rPr>
            </w:pPr>
          </w:p>
        </w:tc>
        <w:tc>
          <w:tcPr>
            <w:tcW w:w="0" w:type="auto"/>
            <w:gridSpan w:val="3"/>
            <w:shd w:val="clear" w:color="auto" w:fill="auto"/>
            <w:vAlign w:val="bottom"/>
          </w:tcPr>
          <w:p w14:paraId="74DDADB0" w14:textId="77777777" w:rsidR="00584EC1" w:rsidRDefault="00584EC1">
            <w:pPr>
              <w:rPr>
                <w:rFonts w:ascii="宋体"/>
                <w:vanish/>
              </w:rPr>
            </w:pPr>
          </w:p>
        </w:tc>
        <w:tc>
          <w:tcPr>
            <w:tcW w:w="0" w:type="auto"/>
            <w:gridSpan w:val="3"/>
            <w:shd w:val="clear" w:color="auto" w:fill="auto"/>
            <w:vAlign w:val="bottom"/>
          </w:tcPr>
          <w:p w14:paraId="74DDADB1" w14:textId="77777777" w:rsidR="00584EC1" w:rsidRDefault="00584EC1">
            <w:pPr>
              <w:rPr>
                <w:rFonts w:ascii="宋体"/>
                <w:vanish/>
              </w:rPr>
            </w:pPr>
          </w:p>
        </w:tc>
        <w:tc>
          <w:tcPr>
            <w:tcW w:w="0" w:type="auto"/>
            <w:gridSpan w:val="3"/>
            <w:shd w:val="clear" w:color="auto" w:fill="auto"/>
            <w:vAlign w:val="bottom"/>
          </w:tcPr>
          <w:p w14:paraId="74DDADB2" w14:textId="77777777" w:rsidR="00584EC1" w:rsidRDefault="00584EC1">
            <w:pPr>
              <w:rPr>
                <w:rFonts w:ascii="宋体"/>
                <w:vanish/>
              </w:rPr>
            </w:pPr>
          </w:p>
        </w:tc>
        <w:tc>
          <w:tcPr>
            <w:tcW w:w="0" w:type="auto"/>
            <w:gridSpan w:val="3"/>
            <w:shd w:val="clear" w:color="auto" w:fill="auto"/>
            <w:vAlign w:val="bottom"/>
          </w:tcPr>
          <w:p w14:paraId="74DDADB3" w14:textId="77777777" w:rsidR="00584EC1" w:rsidRDefault="00584EC1">
            <w:pPr>
              <w:rPr>
                <w:rFonts w:ascii="宋体"/>
                <w:vanish/>
              </w:rPr>
            </w:pPr>
          </w:p>
        </w:tc>
        <w:tc>
          <w:tcPr>
            <w:tcW w:w="0" w:type="auto"/>
            <w:gridSpan w:val="3"/>
            <w:shd w:val="clear" w:color="auto" w:fill="auto"/>
            <w:vAlign w:val="bottom"/>
          </w:tcPr>
          <w:p w14:paraId="74DDADB4" w14:textId="77777777" w:rsidR="00584EC1" w:rsidRDefault="00584EC1">
            <w:pPr>
              <w:rPr>
                <w:rFonts w:ascii="宋体"/>
                <w:vanish/>
              </w:rPr>
            </w:pPr>
          </w:p>
        </w:tc>
        <w:tc>
          <w:tcPr>
            <w:tcW w:w="0" w:type="auto"/>
            <w:gridSpan w:val="3"/>
            <w:shd w:val="clear" w:color="auto" w:fill="auto"/>
            <w:vAlign w:val="bottom"/>
          </w:tcPr>
          <w:p w14:paraId="74DDADB5" w14:textId="77777777" w:rsidR="00584EC1" w:rsidRDefault="00584EC1">
            <w:pPr>
              <w:rPr>
                <w:rFonts w:ascii="宋体"/>
                <w:vanish/>
              </w:rPr>
            </w:pPr>
          </w:p>
        </w:tc>
        <w:tc>
          <w:tcPr>
            <w:tcW w:w="0" w:type="auto"/>
            <w:gridSpan w:val="3"/>
            <w:shd w:val="clear" w:color="auto" w:fill="auto"/>
            <w:vAlign w:val="bottom"/>
          </w:tcPr>
          <w:p w14:paraId="74DDADB6" w14:textId="77777777" w:rsidR="00584EC1" w:rsidRDefault="00584EC1">
            <w:pPr>
              <w:rPr>
                <w:rFonts w:ascii="宋体"/>
                <w:vanish/>
              </w:rPr>
            </w:pPr>
          </w:p>
        </w:tc>
        <w:tc>
          <w:tcPr>
            <w:tcW w:w="0" w:type="auto"/>
            <w:gridSpan w:val="3"/>
            <w:shd w:val="clear" w:color="auto" w:fill="auto"/>
            <w:vAlign w:val="bottom"/>
          </w:tcPr>
          <w:p w14:paraId="74DDADB7" w14:textId="77777777" w:rsidR="00584EC1" w:rsidRDefault="00584EC1">
            <w:pPr>
              <w:rPr>
                <w:rFonts w:ascii="宋体"/>
                <w:vanish/>
              </w:rPr>
            </w:pPr>
          </w:p>
        </w:tc>
        <w:tc>
          <w:tcPr>
            <w:tcW w:w="0" w:type="auto"/>
            <w:gridSpan w:val="3"/>
            <w:shd w:val="clear" w:color="auto" w:fill="auto"/>
            <w:vAlign w:val="bottom"/>
          </w:tcPr>
          <w:p w14:paraId="74DDADB8" w14:textId="77777777" w:rsidR="00584EC1" w:rsidRDefault="00584EC1">
            <w:pPr>
              <w:rPr>
                <w:rFonts w:ascii="宋体"/>
                <w:vanish/>
              </w:rPr>
            </w:pPr>
          </w:p>
        </w:tc>
        <w:tc>
          <w:tcPr>
            <w:tcW w:w="0" w:type="auto"/>
            <w:gridSpan w:val="3"/>
            <w:shd w:val="clear" w:color="auto" w:fill="auto"/>
            <w:vAlign w:val="bottom"/>
          </w:tcPr>
          <w:p w14:paraId="74DDADB9" w14:textId="77777777" w:rsidR="00584EC1" w:rsidRDefault="00584EC1">
            <w:pPr>
              <w:rPr>
                <w:rFonts w:ascii="宋体"/>
                <w:vanish/>
              </w:rPr>
            </w:pPr>
          </w:p>
        </w:tc>
        <w:tc>
          <w:tcPr>
            <w:tcW w:w="0" w:type="auto"/>
            <w:gridSpan w:val="3"/>
            <w:shd w:val="clear" w:color="auto" w:fill="auto"/>
            <w:vAlign w:val="bottom"/>
          </w:tcPr>
          <w:p w14:paraId="74DDADBA" w14:textId="77777777" w:rsidR="00584EC1" w:rsidRDefault="00584EC1">
            <w:pPr>
              <w:rPr>
                <w:rFonts w:ascii="宋体"/>
                <w:vanish/>
              </w:rPr>
            </w:pPr>
          </w:p>
        </w:tc>
        <w:tc>
          <w:tcPr>
            <w:tcW w:w="0" w:type="auto"/>
            <w:gridSpan w:val="3"/>
            <w:shd w:val="clear" w:color="auto" w:fill="auto"/>
            <w:vAlign w:val="bottom"/>
          </w:tcPr>
          <w:p w14:paraId="74DDADBB" w14:textId="77777777" w:rsidR="00584EC1" w:rsidRDefault="00584EC1">
            <w:pPr>
              <w:rPr>
                <w:rFonts w:ascii="宋体"/>
                <w:vanish/>
              </w:rPr>
            </w:pPr>
          </w:p>
        </w:tc>
        <w:tc>
          <w:tcPr>
            <w:tcW w:w="0" w:type="auto"/>
            <w:gridSpan w:val="3"/>
            <w:shd w:val="clear" w:color="auto" w:fill="auto"/>
            <w:vAlign w:val="bottom"/>
          </w:tcPr>
          <w:p w14:paraId="74DDADBC" w14:textId="77777777" w:rsidR="00584EC1" w:rsidRDefault="00584EC1">
            <w:pPr>
              <w:rPr>
                <w:rFonts w:ascii="宋体"/>
                <w:vanish/>
              </w:rPr>
            </w:pPr>
          </w:p>
        </w:tc>
        <w:tc>
          <w:tcPr>
            <w:tcW w:w="0" w:type="auto"/>
            <w:gridSpan w:val="3"/>
            <w:shd w:val="clear" w:color="auto" w:fill="auto"/>
            <w:vAlign w:val="bottom"/>
          </w:tcPr>
          <w:p w14:paraId="74DDADBD" w14:textId="77777777" w:rsidR="00584EC1" w:rsidRDefault="00584EC1">
            <w:pPr>
              <w:rPr>
                <w:rFonts w:ascii="宋体"/>
                <w:vanish/>
              </w:rPr>
            </w:pPr>
          </w:p>
        </w:tc>
      </w:tr>
      <w:tr w:rsidR="00584EC1" w14:paraId="74DDADD1" w14:textId="77777777">
        <w:trPr>
          <w:jc w:val="center"/>
          <w:hidden/>
        </w:trPr>
        <w:tc>
          <w:tcPr>
            <w:tcW w:w="0" w:type="auto"/>
            <w:gridSpan w:val="3"/>
            <w:shd w:val="clear" w:color="auto" w:fill="auto"/>
            <w:vAlign w:val="bottom"/>
          </w:tcPr>
          <w:p w14:paraId="74DDADBF" w14:textId="77777777" w:rsidR="00584EC1" w:rsidRDefault="00584EC1">
            <w:pPr>
              <w:rPr>
                <w:rFonts w:ascii="宋体"/>
                <w:vanish/>
              </w:rPr>
            </w:pPr>
          </w:p>
        </w:tc>
        <w:tc>
          <w:tcPr>
            <w:tcW w:w="0" w:type="auto"/>
            <w:gridSpan w:val="3"/>
            <w:shd w:val="clear" w:color="auto" w:fill="auto"/>
            <w:vAlign w:val="bottom"/>
          </w:tcPr>
          <w:p w14:paraId="74DDADC0" w14:textId="77777777" w:rsidR="00584EC1" w:rsidRDefault="00584EC1">
            <w:pPr>
              <w:rPr>
                <w:rFonts w:ascii="宋体"/>
                <w:vanish/>
              </w:rPr>
            </w:pPr>
          </w:p>
        </w:tc>
        <w:tc>
          <w:tcPr>
            <w:tcW w:w="0" w:type="auto"/>
            <w:gridSpan w:val="3"/>
            <w:shd w:val="clear" w:color="auto" w:fill="auto"/>
            <w:vAlign w:val="bottom"/>
          </w:tcPr>
          <w:p w14:paraId="74DDADC1" w14:textId="77777777" w:rsidR="00584EC1" w:rsidRDefault="00584EC1">
            <w:pPr>
              <w:rPr>
                <w:rFonts w:ascii="宋体"/>
                <w:vanish/>
              </w:rPr>
            </w:pPr>
          </w:p>
        </w:tc>
        <w:tc>
          <w:tcPr>
            <w:tcW w:w="0" w:type="auto"/>
            <w:gridSpan w:val="3"/>
            <w:shd w:val="clear" w:color="auto" w:fill="auto"/>
            <w:vAlign w:val="bottom"/>
          </w:tcPr>
          <w:p w14:paraId="74DDADC2" w14:textId="77777777" w:rsidR="00584EC1" w:rsidRDefault="00584EC1">
            <w:pPr>
              <w:rPr>
                <w:rFonts w:ascii="宋体"/>
                <w:vanish/>
              </w:rPr>
            </w:pPr>
          </w:p>
        </w:tc>
        <w:tc>
          <w:tcPr>
            <w:tcW w:w="0" w:type="auto"/>
            <w:gridSpan w:val="3"/>
            <w:shd w:val="clear" w:color="auto" w:fill="auto"/>
            <w:vAlign w:val="bottom"/>
          </w:tcPr>
          <w:p w14:paraId="74DDADC3" w14:textId="77777777" w:rsidR="00584EC1" w:rsidRDefault="00584EC1">
            <w:pPr>
              <w:rPr>
                <w:rFonts w:ascii="宋体"/>
                <w:vanish/>
              </w:rPr>
            </w:pPr>
          </w:p>
        </w:tc>
        <w:tc>
          <w:tcPr>
            <w:tcW w:w="0" w:type="auto"/>
            <w:gridSpan w:val="3"/>
            <w:shd w:val="clear" w:color="auto" w:fill="auto"/>
            <w:vAlign w:val="bottom"/>
          </w:tcPr>
          <w:p w14:paraId="74DDADC4" w14:textId="77777777" w:rsidR="00584EC1" w:rsidRDefault="00584EC1">
            <w:pPr>
              <w:rPr>
                <w:rFonts w:ascii="宋体"/>
                <w:vanish/>
              </w:rPr>
            </w:pPr>
          </w:p>
        </w:tc>
        <w:tc>
          <w:tcPr>
            <w:tcW w:w="0" w:type="auto"/>
            <w:gridSpan w:val="3"/>
            <w:shd w:val="clear" w:color="auto" w:fill="auto"/>
            <w:vAlign w:val="bottom"/>
          </w:tcPr>
          <w:p w14:paraId="74DDADC5" w14:textId="77777777" w:rsidR="00584EC1" w:rsidRDefault="00584EC1">
            <w:pPr>
              <w:rPr>
                <w:rFonts w:ascii="宋体"/>
                <w:vanish/>
              </w:rPr>
            </w:pPr>
          </w:p>
        </w:tc>
        <w:tc>
          <w:tcPr>
            <w:tcW w:w="0" w:type="auto"/>
            <w:gridSpan w:val="3"/>
            <w:shd w:val="clear" w:color="auto" w:fill="auto"/>
            <w:vAlign w:val="bottom"/>
          </w:tcPr>
          <w:p w14:paraId="74DDADC6" w14:textId="77777777" w:rsidR="00584EC1" w:rsidRDefault="00584EC1">
            <w:pPr>
              <w:rPr>
                <w:rFonts w:ascii="宋体"/>
                <w:vanish/>
              </w:rPr>
            </w:pPr>
          </w:p>
        </w:tc>
        <w:tc>
          <w:tcPr>
            <w:tcW w:w="0" w:type="auto"/>
            <w:gridSpan w:val="3"/>
            <w:shd w:val="clear" w:color="auto" w:fill="auto"/>
            <w:vAlign w:val="bottom"/>
          </w:tcPr>
          <w:p w14:paraId="74DDADC7" w14:textId="77777777" w:rsidR="00584EC1" w:rsidRDefault="00584EC1">
            <w:pPr>
              <w:rPr>
                <w:rFonts w:ascii="宋体"/>
                <w:vanish/>
              </w:rPr>
            </w:pPr>
          </w:p>
        </w:tc>
        <w:tc>
          <w:tcPr>
            <w:tcW w:w="0" w:type="auto"/>
            <w:gridSpan w:val="3"/>
            <w:shd w:val="clear" w:color="auto" w:fill="auto"/>
            <w:vAlign w:val="bottom"/>
          </w:tcPr>
          <w:p w14:paraId="74DDADC8" w14:textId="77777777" w:rsidR="00584EC1" w:rsidRDefault="00584EC1">
            <w:pPr>
              <w:rPr>
                <w:rFonts w:ascii="宋体"/>
                <w:vanish/>
              </w:rPr>
            </w:pPr>
          </w:p>
        </w:tc>
        <w:tc>
          <w:tcPr>
            <w:tcW w:w="0" w:type="auto"/>
            <w:gridSpan w:val="3"/>
            <w:shd w:val="clear" w:color="auto" w:fill="auto"/>
            <w:vAlign w:val="bottom"/>
          </w:tcPr>
          <w:p w14:paraId="74DDADC9" w14:textId="77777777" w:rsidR="00584EC1" w:rsidRDefault="00584EC1">
            <w:pPr>
              <w:rPr>
                <w:rFonts w:ascii="宋体"/>
                <w:vanish/>
              </w:rPr>
            </w:pPr>
          </w:p>
        </w:tc>
        <w:tc>
          <w:tcPr>
            <w:tcW w:w="0" w:type="auto"/>
            <w:gridSpan w:val="3"/>
            <w:shd w:val="clear" w:color="auto" w:fill="auto"/>
            <w:vAlign w:val="bottom"/>
          </w:tcPr>
          <w:p w14:paraId="74DDADCA" w14:textId="77777777" w:rsidR="00584EC1" w:rsidRDefault="00584EC1">
            <w:pPr>
              <w:rPr>
                <w:rFonts w:ascii="宋体"/>
                <w:vanish/>
              </w:rPr>
            </w:pPr>
          </w:p>
        </w:tc>
        <w:tc>
          <w:tcPr>
            <w:tcW w:w="0" w:type="auto"/>
            <w:gridSpan w:val="3"/>
            <w:shd w:val="clear" w:color="auto" w:fill="auto"/>
            <w:vAlign w:val="bottom"/>
          </w:tcPr>
          <w:p w14:paraId="74DDADCB" w14:textId="77777777" w:rsidR="00584EC1" w:rsidRDefault="00584EC1">
            <w:pPr>
              <w:rPr>
                <w:rFonts w:ascii="宋体"/>
                <w:vanish/>
              </w:rPr>
            </w:pPr>
          </w:p>
        </w:tc>
        <w:tc>
          <w:tcPr>
            <w:tcW w:w="0" w:type="auto"/>
            <w:gridSpan w:val="3"/>
            <w:shd w:val="clear" w:color="auto" w:fill="auto"/>
            <w:vAlign w:val="bottom"/>
          </w:tcPr>
          <w:p w14:paraId="74DDADCC" w14:textId="77777777" w:rsidR="00584EC1" w:rsidRDefault="00584EC1">
            <w:pPr>
              <w:rPr>
                <w:rFonts w:ascii="宋体"/>
                <w:vanish/>
              </w:rPr>
            </w:pPr>
          </w:p>
        </w:tc>
        <w:tc>
          <w:tcPr>
            <w:tcW w:w="0" w:type="auto"/>
            <w:gridSpan w:val="3"/>
            <w:shd w:val="clear" w:color="auto" w:fill="auto"/>
            <w:vAlign w:val="bottom"/>
          </w:tcPr>
          <w:p w14:paraId="74DDADCD" w14:textId="77777777" w:rsidR="00584EC1" w:rsidRDefault="00584EC1">
            <w:pPr>
              <w:rPr>
                <w:rFonts w:ascii="宋体"/>
                <w:vanish/>
              </w:rPr>
            </w:pPr>
          </w:p>
        </w:tc>
        <w:tc>
          <w:tcPr>
            <w:tcW w:w="0" w:type="auto"/>
            <w:gridSpan w:val="3"/>
            <w:shd w:val="clear" w:color="auto" w:fill="auto"/>
            <w:vAlign w:val="bottom"/>
          </w:tcPr>
          <w:p w14:paraId="74DDADCE" w14:textId="77777777" w:rsidR="00584EC1" w:rsidRDefault="00584EC1">
            <w:pPr>
              <w:rPr>
                <w:rFonts w:ascii="宋体"/>
                <w:vanish/>
              </w:rPr>
            </w:pPr>
          </w:p>
        </w:tc>
        <w:tc>
          <w:tcPr>
            <w:tcW w:w="0" w:type="auto"/>
            <w:gridSpan w:val="3"/>
            <w:shd w:val="clear" w:color="auto" w:fill="auto"/>
            <w:vAlign w:val="bottom"/>
          </w:tcPr>
          <w:p w14:paraId="74DDADCF" w14:textId="77777777" w:rsidR="00584EC1" w:rsidRDefault="00584EC1">
            <w:pPr>
              <w:rPr>
                <w:rFonts w:ascii="宋体"/>
                <w:vanish/>
              </w:rPr>
            </w:pPr>
          </w:p>
        </w:tc>
        <w:tc>
          <w:tcPr>
            <w:tcW w:w="0" w:type="auto"/>
            <w:gridSpan w:val="3"/>
            <w:shd w:val="clear" w:color="auto" w:fill="auto"/>
            <w:vAlign w:val="bottom"/>
          </w:tcPr>
          <w:p w14:paraId="74DDADD0" w14:textId="77777777" w:rsidR="00584EC1" w:rsidRDefault="00584EC1">
            <w:pPr>
              <w:rPr>
                <w:rFonts w:ascii="宋体"/>
                <w:vanish/>
              </w:rPr>
            </w:pPr>
          </w:p>
        </w:tc>
      </w:tr>
      <w:tr w:rsidR="00584EC1" w14:paraId="74DDADE4" w14:textId="77777777">
        <w:trPr>
          <w:jc w:val="center"/>
          <w:hidden/>
        </w:trPr>
        <w:tc>
          <w:tcPr>
            <w:tcW w:w="0" w:type="auto"/>
            <w:gridSpan w:val="3"/>
            <w:shd w:val="clear" w:color="auto" w:fill="auto"/>
            <w:vAlign w:val="bottom"/>
          </w:tcPr>
          <w:p w14:paraId="74DDADD2" w14:textId="77777777" w:rsidR="00584EC1" w:rsidRDefault="00584EC1">
            <w:pPr>
              <w:rPr>
                <w:rFonts w:ascii="宋体"/>
                <w:vanish/>
              </w:rPr>
            </w:pPr>
          </w:p>
        </w:tc>
        <w:tc>
          <w:tcPr>
            <w:tcW w:w="0" w:type="auto"/>
            <w:gridSpan w:val="3"/>
            <w:shd w:val="clear" w:color="auto" w:fill="auto"/>
            <w:vAlign w:val="bottom"/>
          </w:tcPr>
          <w:p w14:paraId="74DDADD3" w14:textId="77777777" w:rsidR="00584EC1" w:rsidRDefault="00584EC1">
            <w:pPr>
              <w:rPr>
                <w:rFonts w:ascii="宋体"/>
                <w:vanish/>
              </w:rPr>
            </w:pPr>
          </w:p>
        </w:tc>
        <w:tc>
          <w:tcPr>
            <w:tcW w:w="0" w:type="auto"/>
            <w:gridSpan w:val="3"/>
            <w:shd w:val="clear" w:color="auto" w:fill="auto"/>
            <w:vAlign w:val="bottom"/>
          </w:tcPr>
          <w:p w14:paraId="74DDADD4" w14:textId="77777777" w:rsidR="00584EC1" w:rsidRDefault="00584EC1">
            <w:pPr>
              <w:rPr>
                <w:rFonts w:ascii="宋体"/>
                <w:vanish/>
              </w:rPr>
            </w:pPr>
          </w:p>
        </w:tc>
        <w:tc>
          <w:tcPr>
            <w:tcW w:w="0" w:type="auto"/>
            <w:gridSpan w:val="3"/>
            <w:shd w:val="clear" w:color="auto" w:fill="auto"/>
            <w:vAlign w:val="bottom"/>
          </w:tcPr>
          <w:p w14:paraId="74DDADD5" w14:textId="77777777" w:rsidR="00584EC1" w:rsidRDefault="00584EC1">
            <w:pPr>
              <w:rPr>
                <w:rFonts w:ascii="宋体"/>
                <w:vanish/>
              </w:rPr>
            </w:pPr>
          </w:p>
        </w:tc>
        <w:tc>
          <w:tcPr>
            <w:tcW w:w="0" w:type="auto"/>
            <w:gridSpan w:val="3"/>
            <w:shd w:val="clear" w:color="auto" w:fill="auto"/>
            <w:vAlign w:val="bottom"/>
          </w:tcPr>
          <w:p w14:paraId="74DDADD6" w14:textId="77777777" w:rsidR="00584EC1" w:rsidRDefault="00584EC1">
            <w:pPr>
              <w:rPr>
                <w:rFonts w:ascii="宋体"/>
                <w:vanish/>
              </w:rPr>
            </w:pPr>
          </w:p>
        </w:tc>
        <w:tc>
          <w:tcPr>
            <w:tcW w:w="0" w:type="auto"/>
            <w:gridSpan w:val="3"/>
            <w:shd w:val="clear" w:color="auto" w:fill="auto"/>
            <w:vAlign w:val="bottom"/>
          </w:tcPr>
          <w:p w14:paraId="74DDADD7" w14:textId="77777777" w:rsidR="00584EC1" w:rsidRDefault="00584EC1">
            <w:pPr>
              <w:rPr>
                <w:rFonts w:ascii="宋体"/>
                <w:vanish/>
              </w:rPr>
            </w:pPr>
          </w:p>
        </w:tc>
        <w:tc>
          <w:tcPr>
            <w:tcW w:w="0" w:type="auto"/>
            <w:gridSpan w:val="3"/>
            <w:shd w:val="clear" w:color="auto" w:fill="auto"/>
            <w:vAlign w:val="bottom"/>
          </w:tcPr>
          <w:p w14:paraId="74DDADD8" w14:textId="77777777" w:rsidR="00584EC1" w:rsidRDefault="00584EC1">
            <w:pPr>
              <w:rPr>
                <w:rFonts w:ascii="宋体"/>
                <w:vanish/>
              </w:rPr>
            </w:pPr>
          </w:p>
        </w:tc>
        <w:tc>
          <w:tcPr>
            <w:tcW w:w="0" w:type="auto"/>
            <w:gridSpan w:val="3"/>
            <w:shd w:val="clear" w:color="auto" w:fill="auto"/>
            <w:vAlign w:val="bottom"/>
          </w:tcPr>
          <w:p w14:paraId="74DDADD9" w14:textId="77777777" w:rsidR="00584EC1" w:rsidRDefault="00584EC1">
            <w:pPr>
              <w:rPr>
                <w:rFonts w:ascii="宋体"/>
                <w:vanish/>
              </w:rPr>
            </w:pPr>
          </w:p>
        </w:tc>
        <w:tc>
          <w:tcPr>
            <w:tcW w:w="0" w:type="auto"/>
            <w:gridSpan w:val="3"/>
            <w:shd w:val="clear" w:color="auto" w:fill="auto"/>
            <w:vAlign w:val="bottom"/>
          </w:tcPr>
          <w:p w14:paraId="74DDADDA" w14:textId="77777777" w:rsidR="00584EC1" w:rsidRDefault="00584EC1">
            <w:pPr>
              <w:rPr>
                <w:rFonts w:ascii="宋体"/>
                <w:vanish/>
              </w:rPr>
            </w:pPr>
          </w:p>
        </w:tc>
        <w:tc>
          <w:tcPr>
            <w:tcW w:w="0" w:type="auto"/>
            <w:gridSpan w:val="3"/>
            <w:shd w:val="clear" w:color="auto" w:fill="auto"/>
            <w:vAlign w:val="bottom"/>
          </w:tcPr>
          <w:p w14:paraId="74DDADDB" w14:textId="77777777" w:rsidR="00584EC1" w:rsidRDefault="00584EC1">
            <w:pPr>
              <w:rPr>
                <w:rFonts w:ascii="宋体"/>
                <w:vanish/>
              </w:rPr>
            </w:pPr>
          </w:p>
        </w:tc>
        <w:tc>
          <w:tcPr>
            <w:tcW w:w="0" w:type="auto"/>
            <w:gridSpan w:val="3"/>
            <w:shd w:val="clear" w:color="auto" w:fill="auto"/>
            <w:vAlign w:val="bottom"/>
          </w:tcPr>
          <w:p w14:paraId="74DDADDC" w14:textId="77777777" w:rsidR="00584EC1" w:rsidRDefault="00584EC1">
            <w:pPr>
              <w:rPr>
                <w:rFonts w:ascii="宋体"/>
                <w:vanish/>
              </w:rPr>
            </w:pPr>
          </w:p>
        </w:tc>
        <w:tc>
          <w:tcPr>
            <w:tcW w:w="0" w:type="auto"/>
            <w:gridSpan w:val="3"/>
            <w:shd w:val="clear" w:color="auto" w:fill="auto"/>
            <w:vAlign w:val="bottom"/>
          </w:tcPr>
          <w:p w14:paraId="74DDADDD" w14:textId="77777777" w:rsidR="00584EC1" w:rsidRDefault="00584EC1">
            <w:pPr>
              <w:rPr>
                <w:rFonts w:ascii="宋体"/>
                <w:vanish/>
              </w:rPr>
            </w:pPr>
          </w:p>
        </w:tc>
        <w:tc>
          <w:tcPr>
            <w:tcW w:w="0" w:type="auto"/>
            <w:gridSpan w:val="3"/>
            <w:shd w:val="clear" w:color="auto" w:fill="auto"/>
            <w:vAlign w:val="bottom"/>
          </w:tcPr>
          <w:p w14:paraId="74DDADDE" w14:textId="77777777" w:rsidR="00584EC1" w:rsidRDefault="00584EC1">
            <w:pPr>
              <w:rPr>
                <w:rFonts w:ascii="宋体"/>
                <w:vanish/>
              </w:rPr>
            </w:pPr>
          </w:p>
        </w:tc>
        <w:tc>
          <w:tcPr>
            <w:tcW w:w="0" w:type="auto"/>
            <w:gridSpan w:val="3"/>
            <w:shd w:val="clear" w:color="auto" w:fill="auto"/>
            <w:vAlign w:val="bottom"/>
          </w:tcPr>
          <w:p w14:paraId="74DDADDF" w14:textId="77777777" w:rsidR="00584EC1" w:rsidRDefault="00584EC1">
            <w:pPr>
              <w:rPr>
                <w:rFonts w:ascii="宋体"/>
                <w:vanish/>
              </w:rPr>
            </w:pPr>
          </w:p>
        </w:tc>
        <w:tc>
          <w:tcPr>
            <w:tcW w:w="0" w:type="auto"/>
            <w:gridSpan w:val="3"/>
            <w:shd w:val="clear" w:color="auto" w:fill="auto"/>
            <w:vAlign w:val="bottom"/>
          </w:tcPr>
          <w:p w14:paraId="74DDADE0" w14:textId="77777777" w:rsidR="00584EC1" w:rsidRDefault="00584EC1">
            <w:pPr>
              <w:rPr>
                <w:rFonts w:ascii="宋体"/>
                <w:vanish/>
              </w:rPr>
            </w:pPr>
          </w:p>
        </w:tc>
        <w:tc>
          <w:tcPr>
            <w:tcW w:w="0" w:type="auto"/>
            <w:gridSpan w:val="3"/>
            <w:shd w:val="clear" w:color="auto" w:fill="auto"/>
            <w:vAlign w:val="bottom"/>
          </w:tcPr>
          <w:p w14:paraId="74DDADE1" w14:textId="77777777" w:rsidR="00584EC1" w:rsidRDefault="00584EC1">
            <w:pPr>
              <w:rPr>
                <w:rFonts w:ascii="宋体"/>
                <w:vanish/>
              </w:rPr>
            </w:pPr>
          </w:p>
        </w:tc>
        <w:tc>
          <w:tcPr>
            <w:tcW w:w="0" w:type="auto"/>
            <w:gridSpan w:val="3"/>
            <w:shd w:val="clear" w:color="auto" w:fill="auto"/>
            <w:vAlign w:val="bottom"/>
          </w:tcPr>
          <w:p w14:paraId="74DDADE2" w14:textId="77777777" w:rsidR="00584EC1" w:rsidRDefault="00584EC1">
            <w:pPr>
              <w:rPr>
                <w:rFonts w:ascii="宋体"/>
                <w:vanish/>
              </w:rPr>
            </w:pPr>
          </w:p>
        </w:tc>
        <w:tc>
          <w:tcPr>
            <w:tcW w:w="0" w:type="auto"/>
            <w:gridSpan w:val="3"/>
            <w:shd w:val="clear" w:color="auto" w:fill="auto"/>
            <w:vAlign w:val="bottom"/>
          </w:tcPr>
          <w:p w14:paraId="74DDADE3" w14:textId="77777777" w:rsidR="00584EC1" w:rsidRDefault="00584EC1">
            <w:pPr>
              <w:rPr>
                <w:rFonts w:ascii="宋体"/>
                <w:vanish/>
              </w:rPr>
            </w:pPr>
          </w:p>
        </w:tc>
      </w:tr>
      <w:tr w:rsidR="00584EC1" w14:paraId="74DDADF7" w14:textId="77777777">
        <w:trPr>
          <w:jc w:val="center"/>
          <w:hidden/>
        </w:trPr>
        <w:tc>
          <w:tcPr>
            <w:tcW w:w="0" w:type="auto"/>
            <w:gridSpan w:val="3"/>
            <w:shd w:val="clear" w:color="auto" w:fill="auto"/>
            <w:vAlign w:val="bottom"/>
          </w:tcPr>
          <w:p w14:paraId="74DDADE5" w14:textId="77777777" w:rsidR="00584EC1" w:rsidRDefault="00584EC1">
            <w:pPr>
              <w:rPr>
                <w:rFonts w:ascii="宋体"/>
                <w:vanish/>
              </w:rPr>
            </w:pPr>
          </w:p>
        </w:tc>
        <w:tc>
          <w:tcPr>
            <w:tcW w:w="0" w:type="auto"/>
            <w:gridSpan w:val="3"/>
            <w:shd w:val="clear" w:color="auto" w:fill="auto"/>
            <w:vAlign w:val="bottom"/>
          </w:tcPr>
          <w:p w14:paraId="74DDADE6" w14:textId="77777777" w:rsidR="00584EC1" w:rsidRDefault="00584EC1">
            <w:pPr>
              <w:rPr>
                <w:rFonts w:ascii="宋体"/>
                <w:vanish/>
              </w:rPr>
            </w:pPr>
          </w:p>
        </w:tc>
        <w:tc>
          <w:tcPr>
            <w:tcW w:w="0" w:type="auto"/>
            <w:gridSpan w:val="3"/>
            <w:shd w:val="clear" w:color="auto" w:fill="auto"/>
            <w:vAlign w:val="bottom"/>
          </w:tcPr>
          <w:p w14:paraId="74DDADE7" w14:textId="77777777" w:rsidR="00584EC1" w:rsidRDefault="00584EC1">
            <w:pPr>
              <w:rPr>
                <w:rFonts w:ascii="宋体"/>
                <w:vanish/>
              </w:rPr>
            </w:pPr>
          </w:p>
        </w:tc>
        <w:tc>
          <w:tcPr>
            <w:tcW w:w="0" w:type="auto"/>
            <w:gridSpan w:val="3"/>
            <w:shd w:val="clear" w:color="auto" w:fill="auto"/>
            <w:vAlign w:val="bottom"/>
          </w:tcPr>
          <w:p w14:paraId="74DDADE8" w14:textId="77777777" w:rsidR="00584EC1" w:rsidRDefault="00584EC1">
            <w:pPr>
              <w:rPr>
                <w:rFonts w:ascii="宋体"/>
                <w:vanish/>
              </w:rPr>
            </w:pPr>
          </w:p>
        </w:tc>
        <w:tc>
          <w:tcPr>
            <w:tcW w:w="0" w:type="auto"/>
            <w:gridSpan w:val="3"/>
            <w:shd w:val="clear" w:color="auto" w:fill="auto"/>
            <w:vAlign w:val="bottom"/>
          </w:tcPr>
          <w:p w14:paraId="74DDADE9" w14:textId="77777777" w:rsidR="00584EC1" w:rsidRDefault="00584EC1">
            <w:pPr>
              <w:rPr>
                <w:rFonts w:ascii="宋体"/>
                <w:vanish/>
              </w:rPr>
            </w:pPr>
          </w:p>
        </w:tc>
        <w:tc>
          <w:tcPr>
            <w:tcW w:w="0" w:type="auto"/>
            <w:gridSpan w:val="3"/>
            <w:shd w:val="clear" w:color="auto" w:fill="auto"/>
            <w:vAlign w:val="bottom"/>
          </w:tcPr>
          <w:p w14:paraId="74DDADEA" w14:textId="77777777" w:rsidR="00584EC1" w:rsidRDefault="00584EC1">
            <w:pPr>
              <w:rPr>
                <w:rFonts w:ascii="宋体"/>
                <w:vanish/>
              </w:rPr>
            </w:pPr>
          </w:p>
        </w:tc>
        <w:tc>
          <w:tcPr>
            <w:tcW w:w="0" w:type="auto"/>
            <w:gridSpan w:val="3"/>
            <w:shd w:val="clear" w:color="auto" w:fill="auto"/>
            <w:vAlign w:val="bottom"/>
          </w:tcPr>
          <w:p w14:paraId="74DDADEB" w14:textId="77777777" w:rsidR="00584EC1" w:rsidRDefault="00584EC1">
            <w:pPr>
              <w:rPr>
                <w:rFonts w:ascii="宋体"/>
                <w:vanish/>
              </w:rPr>
            </w:pPr>
          </w:p>
        </w:tc>
        <w:tc>
          <w:tcPr>
            <w:tcW w:w="0" w:type="auto"/>
            <w:gridSpan w:val="3"/>
            <w:shd w:val="clear" w:color="auto" w:fill="auto"/>
            <w:vAlign w:val="bottom"/>
          </w:tcPr>
          <w:p w14:paraId="74DDADEC" w14:textId="77777777" w:rsidR="00584EC1" w:rsidRDefault="00584EC1">
            <w:pPr>
              <w:rPr>
                <w:rFonts w:ascii="宋体"/>
                <w:vanish/>
              </w:rPr>
            </w:pPr>
          </w:p>
        </w:tc>
        <w:tc>
          <w:tcPr>
            <w:tcW w:w="0" w:type="auto"/>
            <w:gridSpan w:val="3"/>
            <w:shd w:val="clear" w:color="auto" w:fill="auto"/>
            <w:vAlign w:val="bottom"/>
          </w:tcPr>
          <w:p w14:paraId="74DDADED" w14:textId="77777777" w:rsidR="00584EC1" w:rsidRDefault="00584EC1">
            <w:pPr>
              <w:rPr>
                <w:rFonts w:ascii="宋体"/>
                <w:vanish/>
              </w:rPr>
            </w:pPr>
          </w:p>
        </w:tc>
        <w:tc>
          <w:tcPr>
            <w:tcW w:w="0" w:type="auto"/>
            <w:gridSpan w:val="3"/>
            <w:shd w:val="clear" w:color="auto" w:fill="auto"/>
            <w:vAlign w:val="bottom"/>
          </w:tcPr>
          <w:p w14:paraId="74DDADEE" w14:textId="77777777" w:rsidR="00584EC1" w:rsidRDefault="00584EC1">
            <w:pPr>
              <w:rPr>
                <w:rFonts w:ascii="宋体"/>
                <w:vanish/>
              </w:rPr>
            </w:pPr>
          </w:p>
        </w:tc>
        <w:tc>
          <w:tcPr>
            <w:tcW w:w="0" w:type="auto"/>
            <w:gridSpan w:val="3"/>
            <w:shd w:val="clear" w:color="auto" w:fill="auto"/>
            <w:vAlign w:val="bottom"/>
          </w:tcPr>
          <w:p w14:paraId="74DDADEF" w14:textId="77777777" w:rsidR="00584EC1" w:rsidRDefault="00584EC1">
            <w:pPr>
              <w:rPr>
                <w:rFonts w:ascii="宋体"/>
                <w:vanish/>
              </w:rPr>
            </w:pPr>
          </w:p>
        </w:tc>
        <w:tc>
          <w:tcPr>
            <w:tcW w:w="0" w:type="auto"/>
            <w:gridSpan w:val="3"/>
            <w:shd w:val="clear" w:color="auto" w:fill="auto"/>
            <w:vAlign w:val="bottom"/>
          </w:tcPr>
          <w:p w14:paraId="74DDADF0" w14:textId="77777777" w:rsidR="00584EC1" w:rsidRDefault="00584EC1">
            <w:pPr>
              <w:rPr>
                <w:rFonts w:ascii="宋体"/>
                <w:vanish/>
              </w:rPr>
            </w:pPr>
          </w:p>
        </w:tc>
        <w:tc>
          <w:tcPr>
            <w:tcW w:w="0" w:type="auto"/>
            <w:gridSpan w:val="3"/>
            <w:shd w:val="clear" w:color="auto" w:fill="auto"/>
            <w:vAlign w:val="bottom"/>
          </w:tcPr>
          <w:p w14:paraId="74DDADF1" w14:textId="77777777" w:rsidR="00584EC1" w:rsidRDefault="00584EC1">
            <w:pPr>
              <w:rPr>
                <w:rFonts w:ascii="宋体"/>
                <w:vanish/>
              </w:rPr>
            </w:pPr>
          </w:p>
        </w:tc>
        <w:tc>
          <w:tcPr>
            <w:tcW w:w="0" w:type="auto"/>
            <w:gridSpan w:val="3"/>
            <w:shd w:val="clear" w:color="auto" w:fill="auto"/>
            <w:vAlign w:val="bottom"/>
          </w:tcPr>
          <w:p w14:paraId="74DDADF2" w14:textId="77777777" w:rsidR="00584EC1" w:rsidRDefault="00584EC1">
            <w:pPr>
              <w:rPr>
                <w:rFonts w:ascii="宋体"/>
                <w:vanish/>
              </w:rPr>
            </w:pPr>
          </w:p>
        </w:tc>
        <w:tc>
          <w:tcPr>
            <w:tcW w:w="0" w:type="auto"/>
            <w:gridSpan w:val="3"/>
            <w:shd w:val="clear" w:color="auto" w:fill="auto"/>
            <w:vAlign w:val="bottom"/>
          </w:tcPr>
          <w:p w14:paraId="74DDADF3" w14:textId="77777777" w:rsidR="00584EC1" w:rsidRDefault="00584EC1">
            <w:pPr>
              <w:rPr>
                <w:rFonts w:ascii="宋体"/>
                <w:vanish/>
              </w:rPr>
            </w:pPr>
          </w:p>
        </w:tc>
        <w:tc>
          <w:tcPr>
            <w:tcW w:w="0" w:type="auto"/>
            <w:gridSpan w:val="3"/>
            <w:shd w:val="clear" w:color="auto" w:fill="auto"/>
            <w:vAlign w:val="bottom"/>
          </w:tcPr>
          <w:p w14:paraId="74DDADF4" w14:textId="77777777" w:rsidR="00584EC1" w:rsidRDefault="00584EC1">
            <w:pPr>
              <w:rPr>
                <w:rFonts w:ascii="宋体"/>
                <w:vanish/>
              </w:rPr>
            </w:pPr>
          </w:p>
        </w:tc>
        <w:tc>
          <w:tcPr>
            <w:tcW w:w="0" w:type="auto"/>
            <w:gridSpan w:val="3"/>
            <w:shd w:val="clear" w:color="auto" w:fill="auto"/>
            <w:vAlign w:val="bottom"/>
          </w:tcPr>
          <w:p w14:paraId="74DDADF5" w14:textId="77777777" w:rsidR="00584EC1" w:rsidRDefault="00584EC1">
            <w:pPr>
              <w:rPr>
                <w:rFonts w:ascii="宋体"/>
                <w:vanish/>
              </w:rPr>
            </w:pPr>
          </w:p>
        </w:tc>
        <w:tc>
          <w:tcPr>
            <w:tcW w:w="0" w:type="auto"/>
            <w:gridSpan w:val="3"/>
            <w:shd w:val="clear" w:color="auto" w:fill="auto"/>
            <w:vAlign w:val="bottom"/>
          </w:tcPr>
          <w:p w14:paraId="74DDADF6" w14:textId="77777777" w:rsidR="00584EC1" w:rsidRDefault="00584EC1">
            <w:pPr>
              <w:rPr>
                <w:rFonts w:ascii="宋体"/>
                <w:vanish/>
              </w:rPr>
            </w:pPr>
          </w:p>
        </w:tc>
      </w:tr>
      <w:tr w:rsidR="00584EC1" w14:paraId="74DDAE0A" w14:textId="77777777">
        <w:trPr>
          <w:jc w:val="center"/>
          <w:hidden/>
        </w:trPr>
        <w:tc>
          <w:tcPr>
            <w:tcW w:w="0" w:type="auto"/>
            <w:gridSpan w:val="3"/>
            <w:shd w:val="clear" w:color="auto" w:fill="auto"/>
            <w:vAlign w:val="bottom"/>
          </w:tcPr>
          <w:p w14:paraId="74DDADF8" w14:textId="77777777" w:rsidR="00584EC1" w:rsidRDefault="00584EC1">
            <w:pPr>
              <w:rPr>
                <w:rFonts w:ascii="宋体"/>
                <w:vanish/>
              </w:rPr>
            </w:pPr>
          </w:p>
        </w:tc>
        <w:tc>
          <w:tcPr>
            <w:tcW w:w="0" w:type="auto"/>
            <w:gridSpan w:val="3"/>
            <w:shd w:val="clear" w:color="auto" w:fill="auto"/>
            <w:vAlign w:val="bottom"/>
          </w:tcPr>
          <w:p w14:paraId="74DDADF9" w14:textId="77777777" w:rsidR="00584EC1" w:rsidRDefault="00584EC1">
            <w:pPr>
              <w:rPr>
                <w:rFonts w:ascii="宋体"/>
                <w:vanish/>
              </w:rPr>
            </w:pPr>
          </w:p>
        </w:tc>
        <w:tc>
          <w:tcPr>
            <w:tcW w:w="0" w:type="auto"/>
            <w:gridSpan w:val="3"/>
            <w:shd w:val="clear" w:color="auto" w:fill="auto"/>
            <w:vAlign w:val="bottom"/>
          </w:tcPr>
          <w:p w14:paraId="74DDADFA" w14:textId="77777777" w:rsidR="00584EC1" w:rsidRDefault="00584EC1">
            <w:pPr>
              <w:rPr>
                <w:rFonts w:ascii="宋体"/>
                <w:vanish/>
              </w:rPr>
            </w:pPr>
          </w:p>
        </w:tc>
        <w:tc>
          <w:tcPr>
            <w:tcW w:w="0" w:type="auto"/>
            <w:gridSpan w:val="3"/>
            <w:shd w:val="clear" w:color="auto" w:fill="auto"/>
            <w:vAlign w:val="bottom"/>
          </w:tcPr>
          <w:p w14:paraId="74DDADFB" w14:textId="77777777" w:rsidR="00584EC1" w:rsidRDefault="00584EC1">
            <w:pPr>
              <w:rPr>
                <w:rFonts w:ascii="宋体"/>
                <w:vanish/>
              </w:rPr>
            </w:pPr>
          </w:p>
        </w:tc>
        <w:tc>
          <w:tcPr>
            <w:tcW w:w="0" w:type="auto"/>
            <w:gridSpan w:val="3"/>
            <w:shd w:val="clear" w:color="auto" w:fill="auto"/>
            <w:vAlign w:val="bottom"/>
          </w:tcPr>
          <w:p w14:paraId="74DDADFC" w14:textId="77777777" w:rsidR="00584EC1" w:rsidRDefault="00584EC1">
            <w:pPr>
              <w:rPr>
                <w:rFonts w:ascii="宋体"/>
                <w:vanish/>
              </w:rPr>
            </w:pPr>
          </w:p>
        </w:tc>
        <w:tc>
          <w:tcPr>
            <w:tcW w:w="0" w:type="auto"/>
            <w:gridSpan w:val="3"/>
            <w:shd w:val="clear" w:color="auto" w:fill="auto"/>
            <w:vAlign w:val="bottom"/>
          </w:tcPr>
          <w:p w14:paraId="74DDADFD" w14:textId="77777777" w:rsidR="00584EC1" w:rsidRDefault="00584EC1">
            <w:pPr>
              <w:rPr>
                <w:rFonts w:ascii="宋体"/>
                <w:vanish/>
              </w:rPr>
            </w:pPr>
          </w:p>
        </w:tc>
        <w:tc>
          <w:tcPr>
            <w:tcW w:w="0" w:type="auto"/>
            <w:gridSpan w:val="3"/>
            <w:shd w:val="clear" w:color="auto" w:fill="auto"/>
            <w:vAlign w:val="bottom"/>
          </w:tcPr>
          <w:p w14:paraId="74DDADFE" w14:textId="77777777" w:rsidR="00584EC1" w:rsidRDefault="00584EC1">
            <w:pPr>
              <w:rPr>
                <w:rFonts w:ascii="宋体"/>
                <w:vanish/>
              </w:rPr>
            </w:pPr>
          </w:p>
        </w:tc>
        <w:tc>
          <w:tcPr>
            <w:tcW w:w="0" w:type="auto"/>
            <w:gridSpan w:val="3"/>
            <w:shd w:val="clear" w:color="auto" w:fill="auto"/>
            <w:vAlign w:val="bottom"/>
          </w:tcPr>
          <w:p w14:paraId="74DDADFF" w14:textId="77777777" w:rsidR="00584EC1" w:rsidRDefault="00584EC1">
            <w:pPr>
              <w:rPr>
                <w:rFonts w:ascii="宋体"/>
                <w:vanish/>
              </w:rPr>
            </w:pPr>
          </w:p>
        </w:tc>
        <w:tc>
          <w:tcPr>
            <w:tcW w:w="0" w:type="auto"/>
            <w:gridSpan w:val="3"/>
            <w:shd w:val="clear" w:color="auto" w:fill="auto"/>
            <w:vAlign w:val="bottom"/>
          </w:tcPr>
          <w:p w14:paraId="74DDAE00" w14:textId="77777777" w:rsidR="00584EC1" w:rsidRDefault="00584EC1">
            <w:pPr>
              <w:rPr>
                <w:rFonts w:ascii="宋体"/>
                <w:vanish/>
              </w:rPr>
            </w:pPr>
          </w:p>
        </w:tc>
        <w:tc>
          <w:tcPr>
            <w:tcW w:w="0" w:type="auto"/>
            <w:gridSpan w:val="3"/>
            <w:shd w:val="clear" w:color="auto" w:fill="auto"/>
            <w:vAlign w:val="bottom"/>
          </w:tcPr>
          <w:p w14:paraId="74DDAE01" w14:textId="77777777" w:rsidR="00584EC1" w:rsidRDefault="00584EC1">
            <w:pPr>
              <w:rPr>
                <w:rFonts w:ascii="宋体"/>
                <w:vanish/>
              </w:rPr>
            </w:pPr>
          </w:p>
        </w:tc>
        <w:tc>
          <w:tcPr>
            <w:tcW w:w="0" w:type="auto"/>
            <w:gridSpan w:val="3"/>
            <w:shd w:val="clear" w:color="auto" w:fill="auto"/>
            <w:vAlign w:val="bottom"/>
          </w:tcPr>
          <w:p w14:paraId="74DDAE02" w14:textId="77777777" w:rsidR="00584EC1" w:rsidRDefault="00584EC1">
            <w:pPr>
              <w:rPr>
                <w:rFonts w:ascii="宋体"/>
                <w:vanish/>
              </w:rPr>
            </w:pPr>
          </w:p>
        </w:tc>
        <w:tc>
          <w:tcPr>
            <w:tcW w:w="0" w:type="auto"/>
            <w:gridSpan w:val="3"/>
            <w:shd w:val="clear" w:color="auto" w:fill="auto"/>
            <w:vAlign w:val="bottom"/>
          </w:tcPr>
          <w:p w14:paraId="74DDAE03" w14:textId="77777777" w:rsidR="00584EC1" w:rsidRDefault="00584EC1">
            <w:pPr>
              <w:rPr>
                <w:rFonts w:ascii="宋体"/>
                <w:vanish/>
              </w:rPr>
            </w:pPr>
          </w:p>
        </w:tc>
        <w:tc>
          <w:tcPr>
            <w:tcW w:w="0" w:type="auto"/>
            <w:gridSpan w:val="3"/>
            <w:shd w:val="clear" w:color="auto" w:fill="auto"/>
            <w:vAlign w:val="bottom"/>
          </w:tcPr>
          <w:p w14:paraId="74DDAE04" w14:textId="77777777" w:rsidR="00584EC1" w:rsidRDefault="00584EC1">
            <w:pPr>
              <w:rPr>
                <w:rFonts w:ascii="宋体"/>
                <w:vanish/>
              </w:rPr>
            </w:pPr>
          </w:p>
        </w:tc>
        <w:tc>
          <w:tcPr>
            <w:tcW w:w="0" w:type="auto"/>
            <w:gridSpan w:val="3"/>
            <w:shd w:val="clear" w:color="auto" w:fill="auto"/>
            <w:vAlign w:val="bottom"/>
          </w:tcPr>
          <w:p w14:paraId="74DDAE05" w14:textId="77777777" w:rsidR="00584EC1" w:rsidRDefault="00584EC1">
            <w:pPr>
              <w:rPr>
                <w:rFonts w:ascii="宋体"/>
                <w:vanish/>
              </w:rPr>
            </w:pPr>
          </w:p>
        </w:tc>
        <w:tc>
          <w:tcPr>
            <w:tcW w:w="0" w:type="auto"/>
            <w:gridSpan w:val="3"/>
            <w:shd w:val="clear" w:color="auto" w:fill="auto"/>
            <w:vAlign w:val="bottom"/>
          </w:tcPr>
          <w:p w14:paraId="74DDAE06" w14:textId="77777777" w:rsidR="00584EC1" w:rsidRDefault="00584EC1">
            <w:pPr>
              <w:rPr>
                <w:rFonts w:ascii="宋体"/>
                <w:vanish/>
              </w:rPr>
            </w:pPr>
          </w:p>
        </w:tc>
        <w:tc>
          <w:tcPr>
            <w:tcW w:w="0" w:type="auto"/>
            <w:gridSpan w:val="3"/>
            <w:shd w:val="clear" w:color="auto" w:fill="auto"/>
            <w:vAlign w:val="bottom"/>
          </w:tcPr>
          <w:p w14:paraId="74DDAE07" w14:textId="77777777" w:rsidR="00584EC1" w:rsidRDefault="00584EC1">
            <w:pPr>
              <w:rPr>
                <w:rFonts w:ascii="宋体"/>
                <w:vanish/>
              </w:rPr>
            </w:pPr>
          </w:p>
        </w:tc>
        <w:tc>
          <w:tcPr>
            <w:tcW w:w="0" w:type="auto"/>
            <w:gridSpan w:val="3"/>
            <w:shd w:val="clear" w:color="auto" w:fill="auto"/>
            <w:vAlign w:val="bottom"/>
          </w:tcPr>
          <w:p w14:paraId="74DDAE08" w14:textId="77777777" w:rsidR="00584EC1" w:rsidRDefault="00584EC1">
            <w:pPr>
              <w:rPr>
                <w:rFonts w:ascii="宋体"/>
                <w:vanish/>
              </w:rPr>
            </w:pPr>
          </w:p>
        </w:tc>
        <w:tc>
          <w:tcPr>
            <w:tcW w:w="0" w:type="auto"/>
            <w:gridSpan w:val="3"/>
            <w:shd w:val="clear" w:color="auto" w:fill="auto"/>
            <w:vAlign w:val="bottom"/>
          </w:tcPr>
          <w:p w14:paraId="74DDAE09" w14:textId="77777777" w:rsidR="00584EC1" w:rsidRDefault="00584EC1">
            <w:pPr>
              <w:rPr>
                <w:rFonts w:ascii="宋体"/>
                <w:vanish/>
              </w:rPr>
            </w:pPr>
          </w:p>
        </w:tc>
      </w:tr>
      <w:tr w:rsidR="00584EC1" w14:paraId="74DDAE1D" w14:textId="77777777">
        <w:trPr>
          <w:jc w:val="center"/>
          <w:hidden/>
        </w:trPr>
        <w:tc>
          <w:tcPr>
            <w:tcW w:w="0" w:type="auto"/>
            <w:gridSpan w:val="3"/>
            <w:shd w:val="clear" w:color="auto" w:fill="auto"/>
            <w:vAlign w:val="bottom"/>
          </w:tcPr>
          <w:p w14:paraId="74DDAE0B" w14:textId="77777777" w:rsidR="00584EC1" w:rsidRDefault="00584EC1">
            <w:pPr>
              <w:rPr>
                <w:rFonts w:ascii="宋体"/>
                <w:vanish/>
              </w:rPr>
            </w:pPr>
          </w:p>
        </w:tc>
        <w:tc>
          <w:tcPr>
            <w:tcW w:w="0" w:type="auto"/>
            <w:gridSpan w:val="3"/>
            <w:shd w:val="clear" w:color="auto" w:fill="auto"/>
            <w:vAlign w:val="bottom"/>
          </w:tcPr>
          <w:p w14:paraId="74DDAE0C" w14:textId="77777777" w:rsidR="00584EC1" w:rsidRDefault="00584EC1">
            <w:pPr>
              <w:rPr>
                <w:rFonts w:ascii="宋体"/>
                <w:vanish/>
              </w:rPr>
            </w:pPr>
          </w:p>
        </w:tc>
        <w:tc>
          <w:tcPr>
            <w:tcW w:w="0" w:type="auto"/>
            <w:gridSpan w:val="3"/>
            <w:shd w:val="clear" w:color="auto" w:fill="auto"/>
            <w:vAlign w:val="bottom"/>
          </w:tcPr>
          <w:p w14:paraId="74DDAE0D" w14:textId="77777777" w:rsidR="00584EC1" w:rsidRDefault="00584EC1">
            <w:pPr>
              <w:rPr>
                <w:rFonts w:ascii="宋体"/>
                <w:vanish/>
              </w:rPr>
            </w:pPr>
          </w:p>
        </w:tc>
        <w:tc>
          <w:tcPr>
            <w:tcW w:w="0" w:type="auto"/>
            <w:gridSpan w:val="3"/>
            <w:shd w:val="clear" w:color="auto" w:fill="auto"/>
            <w:vAlign w:val="bottom"/>
          </w:tcPr>
          <w:p w14:paraId="74DDAE0E" w14:textId="77777777" w:rsidR="00584EC1" w:rsidRDefault="00584EC1">
            <w:pPr>
              <w:rPr>
                <w:rFonts w:ascii="宋体"/>
                <w:vanish/>
              </w:rPr>
            </w:pPr>
          </w:p>
        </w:tc>
        <w:tc>
          <w:tcPr>
            <w:tcW w:w="0" w:type="auto"/>
            <w:gridSpan w:val="3"/>
            <w:shd w:val="clear" w:color="auto" w:fill="auto"/>
            <w:vAlign w:val="bottom"/>
          </w:tcPr>
          <w:p w14:paraId="74DDAE0F" w14:textId="77777777" w:rsidR="00584EC1" w:rsidRDefault="00584EC1">
            <w:pPr>
              <w:rPr>
                <w:rFonts w:ascii="宋体"/>
                <w:vanish/>
              </w:rPr>
            </w:pPr>
          </w:p>
        </w:tc>
        <w:tc>
          <w:tcPr>
            <w:tcW w:w="0" w:type="auto"/>
            <w:gridSpan w:val="3"/>
            <w:shd w:val="clear" w:color="auto" w:fill="auto"/>
            <w:vAlign w:val="bottom"/>
          </w:tcPr>
          <w:p w14:paraId="74DDAE10" w14:textId="77777777" w:rsidR="00584EC1" w:rsidRDefault="00584EC1">
            <w:pPr>
              <w:rPr>
                <w:rFonts w:ascii="宋体"/>
                <w:vanish/>
              </w:rPr>
            </w:pPr>
          </w:p>
        </w:tc>
        <w:tc>
          <w:tcPr>
            <w:tcW w:w="0" w:type="auto"/>
            <w:gridSpan w:val="3"/>
            <w:shd w:val="clear" w:color="auto" w:fill="auto"/>
            <w:vAlign w:val="bottom"/>
          </w:tcPr>
          <w:p w14:paraId="74DDAE11" w14:textId="77777777" w:rsidR="00584EC1" w:rsidRDefault="00584EC1">
            <w:pPr>
              <w:rPr>
                <w:rFonts w:ascii="宋体"/>
                <w:vanish/>
              </w:rPr>
            </w:pPr>
          </w:p>
        </w:tc>
        <w:tc>
          <w:tcPr>
            <w:tcW w:w="0" w:type="auto"/>
            <w:gridSpan w:val="3"/>
            <w:shd w:val="clear" w:color="auto" w:fill="auto"/>
            <w:vAlign w:val="bottom"/>
          </w:tcPr>
          <w:p w14:paraId="74DDAE12" w14:textId="77777777" w:rsidR="00584EC1" w:rsidRDefault="00584EC1">
            <w:pPr>
              <w:rPr>
                <w:rFonts w:ascii="宋体"/>
                <w:vanish/>
              </w:rPr>
            </w:pPr>
          </w:p>
        </w:tc>
        <w:tc>
          <w:tcPr>
            <w:tcW w:w="0" w:type="auto"/>
            <w:gridSpan w:val="3"/>
            <w:shd w:val="clear" w:color="auto" w:fill="auto"/>
            <w:vAlign w:val="bottom"/>
          </w:tcPr>
          <w:p w14:paraId="74DDAE13" w14:textId="77777777" w:rsidR="00584EC1" w:rsidRDefault="00584EC1">
            <w:pPr>
              <w:rPr>
                <w:rFonts w:ascii="宋体"/>
                <w:vanish/>
              </w:rPr>
            </w:pPr>
          </w:p>
        </w:tc>
        <w:tc>
          <w:tcPr>
            <w:tcW w:w="0" w:type="auto"/>
            <w:gridSpan w:val="3"/>
            <w:shd w:val="clear" w:color="auto" w:fill="auto"/>
            <w:vAlign w:val="bottom"/>
          </w:tcPr>
          <w:p w14:paraId="74DDAE14" w14:textId="77777777" w:rsidR="00584EC1" w:rsidRDefault="00584EC1">
            <w:pPr>
              <w:rPr>
                <w:rFonts w:ascii="宋体"/>
                <w:vanish/>
              </w:rPr>
            </w:pPr>
          </w:p>
        </w:tc>
        <w:tc>
          <w:tcPr>
            <w:tcW w:w="0" w:type="auto"/>
            <w:gridSpan w:val="3"/>
            <w:shd w:val="clear" w:color="auto" w:fill="auto"/>
            <w:vAlign w:val="bottom"/>
          </w:tcPr>
          <w:p w14:paraId="74DDAE15" w14:textId="77777777" w:rsidR="00584EC1" w:rsidRDefault="00584EC1">
            <w:pPr>
              <w:rPr>
                <w:rFonts w:ascii="宋体"/>
                <w:vanish/>
              </w:rPr>
            </w:pPr>
          </w:p>
        </w:tc>
        <w:tc>
          <w:tcPr>
            <w:tcW w:w="0" w:type="auto"/>
            <w:gridSpan w:val="3"/>
            <w:shd w:val="clear" w:color="auto" w:fill="auto"/>
            <w:vAlign w:val="bottom"/>
          </w:tcPr>
          <w:p w14:paraId="74DDAE16" w14:textId="77777777" w:rsidR="00584EC1" w:rsidRDefault="00584EC1">
            <w:pPr>
              <w:rPr>
                <w:rFonts w:ascii="宋体"/>
                <w:vanish/>
              </w:rPr>
            </w:pPr>
          </w:p>
        </w:tc>
        <w:tc>
          <w:tcPr>
            <w:tcW w:w="0" w:type="auto"/>
            <w:gridSpan w:val="3"/>
            <w:shd w:val="clear" w:color="auto" w:fill="auto"/>
            <w:vAlign w:val="bottom"/>
          </w:tcPr>
          <w:p w14:paraId="74DDAE17" w14:textId="77777777" w:rsidR="00584EC1" w:rsidRDefault="00584EC1">
            <w:pPr>
              <w:rPr>
                <w:rFonts w:ascii="宋体"/>
                <w:vanish/>
              </w:rPr>
            </w:pPr>
          </w:p>
        </w:tc>
        <w:tc>
          <w:tcPr>
            <w:tcW w:w="0" w:type="auto"/>
            <w:gridSpan w:val="3"/>
            <w:shd w:val="clear" w:color="auto" w:fill="auto"/>
            <w:vAlign w:val="bottom"/>
          </w:tcPr>
          <w:p w14:paraId="74DDAE18" w14:textId="77777777" w:rsidR="00584EC1" w:rsidRDefault="00584EC1">
            <w:pPr>
              <w:rPr>
                <w:rFonts w:ascii="宋体"/>
                <w:vanish/>
              </w:rPr>
            </w:pPr>
          </w:p>
        </w:tc>
        <w:tc>
          <w:tcPr>
            <w:tcW w:w="0" w:type="auto"/>
            <w:gridSpan w:val="3"/>
            <w:shd w:val="clear" w:color="auto" w:fill="auto"/>
            <w:vAlign w:val="bottom"/>
          </w:tcPr>
          <w:p w14:paraId="74DDAE19" w14:textId="77777777" w:rsidR="00584EC1" w:rsidRDefault="00584EC1">
            <w:pPr>
              <w:rPr>
                <w:rFonts w:ascii="宋体"/>
                <w:vanish/>
              </w:rPr>
            </w:pPr>
          </w:p>
        </w:tc>
        <w:tc>
          <w:tcPr>
            <w:tcW w:w="0" w:type="auto"/>
            <w:gridSpan w:val="3"/>
            <w:shd w:val="clear" w:color="auto" w:fill="auto"/>
            <w:vAlign w:val="bottom"/>
          </w:tcPr>
          <w:p w14:paraId="74DDAE1A" w14:textId="77777777" w:rsidR="00584EC1" w:rsidRDefault="00584EC1">
            <w:pPr>
              <w:rPr>
                <w:rFonts w:ascii="宋体"/>
                <w:vanish/>
              </w:rPr>
            </w:pPr>
          </w:p>
        </w:tc>
        <w:tc>
          <w:tcPr>
            <w:tcW w:w="0" w:type="auto"/>
            <w:gridSpan w:val="3"/>
            <w:shd w:val="clear" w:color="auto" w:fill="auto"/>
            <w:vAlign w:val="bottom"/>
          </w:tcPr>
          <w:p w14:paraId="74DDAE1B" w14:textId="77777777" w:rsidR="00584EC1" w:rsidRDefault="00584EC1">
            <w:pPr>
              <w:rPr>
                <w:rFonts w:ascii="宋体"/>
                <w:vanish/>
              </w:rPr>
            </w:pPr>
          </w:p>
        </w:tc>
        <w:tc>
          <w:tcPr>
            <w:tcW w:w="0" w:type="auto"/>
            <w:gridSpan w:val="3"/>
            <w:shd w:val="clear" w:color="auto" w:fill="auto"/>
            <w:vAlign w:val="bottom"/>
          </w:tcPr>
          <w:p w14:paraId="74DDAE1C" w14:textId="77777777" w:rsidR="00584EC1" w:rsidRDefault="00584EC1">
            <w:pPr>
              <w:rPr>
                <w:rFonts w:ascii="宋体"/>
                <w:vanish/>
              </w:rPr>
            </w:pPr>
          </w:p>
        </w:tc>
      </w:tr>
      <w:tr w:rsidR="00584EC1" w14:paraId="74DDAE30" w14:textId="77777777">
        <w:trPr>
          <w:jc w:val="center"/>
          <w:hidden/>
        </w:trPr>
        <w:tc>
          <w:tcPr>
            <w:tcW w:w="0" w:type="auto"/>
            <w:gridSpan w:val="3"/>
            <w:shd w:val="clear" w:color="auto" w:fill="auto"/>
            <w:vAlign w:val="bottom"/>
          </w:tcPr>
          <w:p w14:paraId="74DDAE1E" w14:textId="77777777" w:rsidR="00584EC1" w:rsidRDefault="00584EC1">
            <w:pPr>
              <w:rPr>
                <w:rFonts w:ascii="宋体"/>
                <w:vanish/>
              </w:rPr>
            </w:pPr>
          </w:p>
        </w:tc>
        <w:tc>
          <w:tcPr>
            <w:tcW w:w="0" w:type="auto"/>
            <w:gridSpan w:val="3"/>
            <w:shd w:val="clear" w:color="auto" w:fill="auto"/>
            <w:vAlign w:val="bottom"/>
          </w:tcPr>
          <w:p w14:paraId="74DDAE1F" w14:textId="77777777" w:rsidR="00584EC1" w:rsidRDefault="00584EC1">
            <w:pPr>
              <w:rPr>
                <w:rFonts w:ascii="宋体"/>
                <w:vanish/>
              </w:rPr>
            </w:pPr>
          </w:p>
        </w:tc>
        <w:tc>
          <w:tcPr>
            <w:tcW w:w="0" w:type="auto"/>
            <w:gridSpan w:val="3"/>
            <w:shd w:val="clear" w:color="auto" w:fill="auto"/>
            <w:vAlign w:val="bottom"/>
          </w:tcPr>
          <w:p w14:paraId="74DDAE20" w14:textId="77777777" w:rsidR="00584EC1" w:rsidRDefault="00584EC1">
            <w:pPr>
              <w:rPr>
                <w:rFonts w:ascii="宋体"/>
                <w:vanish/>
              </w:rPr>
            </w:pPr>
          </w:p>
        </w:tc>
        <w:tc>
          <w:tcPr>
            <w:tcW w:w="0" w:type="auto"/>
            <w:gridSpan w:val="3"/>
            <w:shd w:val="clear" w:color="auto" w:fill="auto"/>
            <w:vAlign w:val="bottom"/>
          </w:tcPr>
          <w:p w14:paraId="74DDAE21" w14:textId="77777777" w:rsidR="00584EC1" w:rsidRDefault="00584EC1">
            <w:pPr>
              <w:rPr>
                <w:rFonts w:ascii="宋体"/>
                <w:vanish/>
              </w:rPr>
            </w:pPr>
          </w:p>
        </w:tc>
        <w:tc>
          <w:tcPr>
            <w:tcW w:w="0" w:type="auto"/>
            <w:gridSpan w:val="3"/>
            <w:shd w:val="clear" w:color="auto" w:fill="auto"/>
            <w:vAlign w:val="bottom"/>
          </w:tcPr>
          <w:p w14:paraId="74DDAE22" w14:textId="77777777" w:rsidR="00584EC1" w:rsidRDefault="00584EC1">
            <w:pPr>
              <w:rPr>
                <w:rFonts w:ascii="宋体"/>
                <w:vanish/>
              </w:rPr>
            </w:pPr>
          </w:p>
        </w:tc>
        <w:tc>
          <w:tcPr>
            <w:tcW w:w="0" w:type="auto"/>
            <w:gridSpan w:val="3"/>
            <w:shd w:val="clear" w:color="auto" w:fill="auto"/>
            <w:vAlign w:val="bottom"/>
          </w:tcPr>
          <w:p w14:paraId="74DDAE23" w14:textId="77777777" w:rsidR="00584EC1" w:rsidRDefault="00584EC1">
            <w:pPr>
              <w:rPr>
                <w:rFonts w:ascii="宋体"/>
                <w:vanish/>
              </w:rPr>
            </w:pPr>
          </w:p>
        </w:tc>
        <w:tc>
          <w:tcPr>
            <w:tcW w:w="0" w:type="auto"/>
            <w:gridSpan w:val="3"/>
            <w:shd w:val="clear" w:color="auto" w:fill="auto"/>
            <w:vAlign w:val="bottom"/>
          </w:tcPr>
          <w:p w14:paraId="74DDAE24" w14:textId="77777777" w:rsidR="00584EC1" w:rsidRDefault="00584EC1">
            <w:pPr>
              <w:rPr>
                <w:rFonts w:ascii="宋体"/>
                <w:vanish/>
              </w:rPr>
            </w:pPr>
          </w:p>
        </w:tc>
        <w:tc>
          <w:tcPr>
            <w:tcW w:w="0" w:type="auto"/>
            <w:gridSpan w:val="3"/>
            <w:shd w:val="clear" w:color="auto" w:fill="auto"/>
            <w:vAlign w:val="bottom"/>
          </w:tcPr>
          <w:p w14:paraId="74DDAE25" w14:textId="77777777" w:rsidR="00584EC1" w:rsidRDefault="00584EC1">
            <w:pPr>
              <w:rPr>
                <w:rFonts w:ascii="宋体"/>
                <w:vanish/>
              </w:rPr>
            </w:pPr>
          </w:p>
        </w:tc>
        <w:tc>
          <w:tcPr>
            <w:tcW w:w="0" w:type="auto"/>
            <w:gridSpan w:val="3"/>
            <w:shd w:val="clear" w:color="auto" w:fill="auto"/>
            <w:vAlign w:val="bottom"/>
          </w:tcPr>
          <w:p w14:paraId="74DDAE26" w14:textId="77777777" w:rsidR="00584EC1" w:rsidRDefault="00584EC1">
            <w:pPr>
              <w:rPr>
                <w:rFonts w:ascii="宋体"/>
                <w:vanish/>
              </w:rPr>
            </w:pPr>
          </w:p>
        </w:tc>
        <w:tc>
          <w:tcPr>
            <w:tcW w:w="0" w:type="auto"/>
            <w:gridSpan w:val="3"/>
            <w:shd w:val="clear" w:color="auto" w:fill="auto"/>
            <w:vAlign w:val="bottom"/>
          </w:tcPr>
          <w:p w14:paraId="74DDAE27" w14:textId="77777777" w:rsidR="00584EC1" w:rsidRDefault="00584EC1">
            <w:pPr>
              <w:rPr>
                <w:rFonts w:ascii="宋体"/>
                <w:vanish/>
              </w:rPr>
            </w:pPr>
          </w:p>
        </w:tc>
        <w:tc>
          <w:tcPr>
            <w:tcW w:w="0" w:type="auto"/>
            <w:gridSpan w:val="3"/>
            <w:shd w:val="clear" w:color="auto" w:fill="auto"/>
            <w:vAlign w:val="bottom"/>
          </w:tcPr>
          <w:p w14:paraId="74DDAE28" w14:textId="77777777" w:rsidR="00584EC1" w:rsidRDefault="00584EC1">
            <w:pPr>
              <w:rPr>
                <w:rFonts w:ascii="宋体"/>
                <w:vanish/>
              </w:rPr>
            </w:pPr>
          </w:p>
        </w:tc>
        <w:tc>
          <w:tcPr>
            <w:tcW w:w="0" w:type="auto"/>
            <w:gridSpan w:val="3"/>
            <w:shd w:val="clear" w:color="auto" w:fill="auto"/>
            <w:vAlign w:val="bottom"/>
          </w:tcPr>
          <w:p w14:paraId="74DDAE29" w14:textId="77777777" w:rsidR="00584EC1" w:rsidRDefault="00584EC1">
            <w:pPr>
              <w:rPr>
                <w:rFonts w:ascii="宋体"/>
                <w:vanish/>
              </w:rPr>
            </w:pPr>
          </w:p>
        </w:tc>
        <w:tc>
          <w:tcPr>
            <w:tcW w:w="0" w:type="auto"/>
            <w:gridSpan w:val="3"/>
            <w:shd w:val="clear" w:color="auto" w:fill="auto"/>
            <w:vAlign w:val="bottom"/>
          </w:tcPr>
          <w:p w14:paraId="74DDAE2A" w14:textId="77777777" w:rsidR="00584EC1" w:rsidRDefault="00584EC1">
            <w:pPr>
              <w:rPr>
                <w:rFonts w:ascii="宋体"/>
                <w:vanish/>
              </w:rPr>
            </w:pPr>
          </w:p>
        </w:tc>
        <w:tc>
          <w:tcPr>
            <w:tcW w:w="0" w:type="auto"/>
            <w:gridSpan w:val="3"/>
            <w:shd w:val="clear" w:color="auto" w:fill="auto"/>
            <w:vAlign w:val="bottom"/>
          </w:tcPr>
          <w:p w14:paraId="74DDAE2B" w14:textId="77777777" w:rsidR="00584EC1" w:rsidRDefault="00584EC1">
            <w:pPr>
              <w:rPr>
                <w:rFonts w:ascii="宋体"/>
                <w:vanish/>
              </w:rPr>
            </w:pPr>
          </w:p>
        </w:tc>
        <w:tc>
          <w:tcPr>
            <w:tcW w:w="0" w:type="auto"/>
            <w:gridSpan w:val="3"/>
            <w:shd w:val="clear" w:color="auto" w:fill="auto"/>
            <w:vAlign w:val="bottom"/>
          </w:tcPr>
          <w:p w14:paraId="74DDAE2C" w14:textId="77777777" w:rsidR="00584EC1" w:rsidRDefault="00584EC1">
            <w:pPr>
              <w:rPr>
                <w:rFonts w:ascii="宋体"/>
                <w:vanish/>
              </w:rPr>
            </w:pPr>
          </w:p>
        </w:tc>
        <w:tc>
          <w:tcPr>
            <w:tcW w:w="0" w:type="auto"/>
            <w:gridSpan w:val="3"/>
            <w:shd w:val="clear" w:color="auto" w:fill="auto"/>
            <w:vAlign w:val="bottom"/>
          </w:tcPr>
          <w:p w14:paraId="74DDAE2D" w14:textId="77777777" w:rsidR="00584EC1" w:rsidRDefault="00584EC1">
            <w:pPr>
              <w:rPr>
                <w:rFonts w:ascii="宋体"/>
                <w:vanish/>
              </w:rPr>
            </w:pPr>
          </w:p>
        </w:tc>
        <w:tc>
          <w:tcPr>
            <w:tcW w:w="0" w:type="auto"/>
            <w:gridSpan w:val="3"/>
            <w:shd w:val="clear" w:color="auto" w:fill="auto"/>
            <w:vAlign w:val="bottom"/>
          </w:tcPr>
          <w:p w14:paraId="74DDAE2E" w14:textId="77777777" w:rsidR="00584EC1" w:rsidRDefault="00584EC1">
            <w:pPr>
              <w:rPr>
                <w:rFonts w:ascii="宋体"/>
                <w:vanish/>
              </w:rPr>
            </w:pPr>
          </w:p>
        </w:tc>
        <w:tc>
          <w:tcPr>
            <w:tcW w:w="0" w:type="auto"/>
            <w:gridSpan w:val="3"/>
            <w:shd w:val="clear" w:color="auto" w:fill="auto"/>
            <w:vAlign w:val="bottom"/>
          </w:tcPr>
          <w:p w14:paraId="74DDAE2F" w14:textId="77777777" w:rsidR="00584EC1" w:rsidRDefault="00584EC1">
            <w:pPr>
              <w:rPr>
                <w:rFonts w:ascii="宋体"/>
                <w:vanish/>
              </w:rPr>
            </w:pPr>
          </w:p>
        </w:tc>
      </w:tr>
      <w:tr w:rsidR="00584EC1" w14:paraId="74DDAE43" w14:textId="77777777">
        <w:trPr>
          <w:jc w:val="center"/>
          <w:hidden/>
        </w:trPr>
        <w:tc>
          <w:tcPr>
            <w:tcW w:w="0" w:type="auto"/>
            <w:gridSpan w:val="3"/>
            <w:shd w:val="clear" w:color="auto" w:fill="auto"/>
            <w:vAlign w:val="bottom"/>
          </w:tcPr>
          <w:p w14:paraId="74DDAE31" w14:textId="77777777" w:rsidR="00584EC1" w:rsidRDefault="00584EC1">
            <w:pPr>
              <w:rPr>
                <w:rFonts w:ascii="宋体"/>
                <w:vanish/>
              </w:rPr>
            </w:pPr>
          </w:p>
        </w:tc>
        <w:tc>
          <w:tcPr>
            <w:tcW w:w="0" w:type="auto"/>
            <w:gridSpan w:val="3"/>
            <w:shd w:val="clear" w:color="auto" w:fill="auto"/>
            <w:vAlign w:val="bottom"/>
          </w:tcPr>
          <w:p w14:paraId="74DDAE32" w14:textId="77777777" w:rsidR="00584EC1" w:rsidRDefault="00584EC1">
            <w:pPr>
              <w:rPr>
                <w:rFonts w:ascii="宋体"/>
                <w:vanish/>
              </w:rPr>
            </w:pPr>
          </w:p>
        </w:tc>
        <w:tc>
          <w:tcPr>
            <w:tcW w:w="0" w:type="auto"/>
            <w:gridSpan w:val="3"/>
            <w:shd w:val="clear" w:color="auto" w:fill="auto"/>
            <w:vAlign w:val="bottom"/>
          </w:tcPr>
          <w:p w14:paraId="74DDAE33" w14:textId="77777777" w:rsidR="00584EC1" w:rsidRDefault="00584EC1">
            <w:pPr>
              <w:rPr>
                <w:rFonts w:ascii="宋体"/>
                <w:vanish/>
              </w:rPr>
            </w:pPr>
          </w:p>
        </w:tc>
        <w:tc>
          <w:tcPr>
            <w:tcW w:w="0" w:type="auto"/>
            <w:gridSpan w:val="3"/>
            <w:shd w:val="clear" w:color="auto" w:fill="auto"/>
            <w:vAlign w:val="bottom"/>
          </w:tcPr>
          <w:p w14:paraId="74DDAE34" w14:textId="77777777" w:rsidR="00584EC1" w:rsidRDefault="00584EC1">
            <w:pPr>
              <w:rPr>
                <w:rFonts w:ascii="宋体"/>
                <w:vanish/>
              </w:rPr>
            </w:pPr>
          </w:p>
        </w:tc>
        <w:tc>
          <w:tcPr>
            <w:tcW w:w="0" w:type="auto"/>
            <w:gridSpan w:val="3"/>
            <w:shd w:val="clear" w:color="auto" w:fill="auto"/>
            <w:vAlign w:val="bottom"/>
          </w:tcPr>
          <w:p w14:paraId="74DDAE35" w14:textId="77777777" w:rsidR="00584EC1" w:rsidRDefault="00584EC1">
            <w:pPr>
              <w:rPr>
                <w:rFonts w:ascii="宋体"/>
                <w:vanish/>
              </w:rPr>
            </w:pPr>
          </w:p>
        </w:tc>
        <w:tc>
          <w:tcPr>
            <w:tcW w:w="0" w:type="auto"/>
            <w:gridSpan w:val="3"/>
            <w:shd w:val="clear" w:color="auto" w:fill="auto"/>
            <w:vAlign w:val="bottom"/>
          </w:tcPr>
          <w:p w14:paraId="74DDAE36" w14:textId="77777777" w:rsidR="00584EC1" w:rsidRDefault="00584EC1">
            <w:pPr>
              <w:rPr>
                <w:rFonts w:ascii="宋体"/>
                <w:vanish/>
              </w:rPr>
            </w:pPr>
          </w:p>
        </w:tc>
        <w:tc>
          <w:tcPr>
            <w:tcW w:w="0" w:type="auto"/>
            <w:gridSpan w:val="3"/>
            <w:shd w:val="clear" w:color="auto" w:fill="auto"/>
            <w:vAlign w:val="bottom"/>
          </w:tcPr>
          <w:p w14:paraId="74DDAE37" w14:textId="77777777" w:rsidR="00584EC1" w:rsidRDefault="00584EC1">
            <w:pPr>
              <w:rPr>
                <w:rFonts w:ascii="宋体"/>
                <w:vanish/>
              </w:rPr>
            </w:pPr>
          </w:p>
        </w:tc>
        <w:tc>
          <w:tcPr>
            <w:tcW w:w="0" w:type="auto"/>
            <w:gridSpan w:val="3"/>
            <w:shd w:val="clear" w:color="auto" w:fill="auto"/>
            <w:vAlign w:val="bottom"/>
          </w:tcPr>
          <w:p w14:paraId="74DDAE38" w14:textId="77777777" w:rsidR="00584EC1" w:rsidRDefault="00584EC1">
            <w:pPr>
              <w:rPr>
                <w:rFonts w:ascii="宋体"/>
                <w:vanish/>
              </w:rPr>
            </w:pPr>
          </w:p>
        </w:tc>
        <w:tc>
          <w:tcPr>
            <w:tcW w:w="0" w:type="auto"/>
            <w:gridSpan w:val="3"/>
            <w:shd w:val="clear" w:color="auto" w:fill="auto"/>
            <w:vAlign w:val="bottom"/>
          </w:tcPr>
          <w:p w14:paraId="74DDAE39" w14:textId="77777777" w:rsidR="00584EC1" w:rsidRDefault="00584EC1">
            <w:pPr>
              <w:rPr>
                <w:rFonts w:ascii="宋体"/>
                <w:vanish/>
              </w:rPr>
            </w:pPr>
          </w:p>
        </w:tc>
        <w:tc>
          <w:tcPr>
            <w:tcW w:w="0" w:type="auto"/>
            <w:gridSpan w:val="3"/>
            <w:shd w:val="clear" w:color="auto" w:fill="auto"/>
            <w:vAlign w:val="bottom"/>
          </w:tcPr>
          <w:p w14:paraId="74DDAE3A" w14:textId="77777777" w:rsidR="00584EC1" w:rsidRDefault="00584EC1">
            <w:pPr>
              <w:rPr>
                <w:rFonts w:ascii="宋体"/>
                <w:vanish/>
              </w:rPr>
            </w:pPr>
          </w:p>
        </w:tc>
        <w:tc>
          <w:tcPr>
            <w:tcW w:w="0" w:type="auto"/>
            <w:gridSpan w:val="3"/>
            <w:shd w:val="clear" w:color="auto" w:fill="auto"/>
            <w:vAlign w:val="bottom"/>
          </w:tcPr>
          <w:p w14:paraId="74DDAE3B" w14:textId="77777777" w:rsidR="00584EC1" w:rsidRDefault="00584EC1">
            <w:pPr>
              <w:rPr>
                <w:rFonts w:ascii="宋体"/>
                <w:vanish/>
              </w:rPr>
            </w:pPr>
          </w:p>
        </w:tc>
        <w:tc>
          <w:tcPr>
            <w:tcW w:w="0" w:type="auto"/>
            <w:gridSpan w:val="3"/>
            <w:shd w:val="clear" w:color="auto" w:fill="auto"/>
            <w:vAlign w:val="bottom"/>
          </w:tcPr>
          <w:p w14:paraId="74DDAE3C" w14:textId="77777777" w:rsidR="00584EC1" w:rsidRDefault="00584EC1">
            <w:pPr>
              <w:rPr>
                <w:rFonts w:ascii="宋体"/>
                <w:vanish/>
              </w:rPr>
            </w:pPr>
          </w:p>
        </w:tc>
        <w:tc>
          <w:tcPr>
            <w:tcW w:w="0" w:type="auto"/>
            <w:gridSpan w:val="3"/>
            <w:shd w:val="clear" w:color="auto" w:fill="auto"/>
            <w:vAlign w:val="bottom"/>
          </w:tcPr>
          <w:p w14:paraId="74DDAE3D" w14:textId="77777777" w:rsidR="00584EC1" w:rsidRDefault="00584EC1">
            <w:pPr>
              <w:rPr>
                <w:rFonts w:ascii="宋体"/>
                <w:vanish/>
              </w:rPr>
            </w:pPr>
          </w:p>
        </w:tc>
        <w:tc>
          <w:tcPr>
            <w:tcW w:w="0" w:type="auto"/>
            <w:gridSpan w:val="3"/>
            <w:shd w:val="clear" w:color="auto" w:fill="auto"/>
            <w:vAlign w:val="bottom"/>
          </w:tcPr>
          <w:p w14:paraId="74DDAE3E" w14:textId="77777777" w:rsidR="00584EC1" w:rsidRDefault="00584EC1">
            <w:pPr>
              <w:rPr>
                <w:rFonts w:ascii="宋体"/>
                <w:vanish/>
              </w:rPr>
            </w:pPr>
          </w:p>
        </w:tc>
        <w:tc>
          <w:tcPr>
            <w:tcW w:w="0" w:type="auto"/>
            <w:gridSpan w:val="3"/>
            <w:shd w:val="clear" w:color="auto" w:fill="auto"/>
            <w:vAlign w:val="bottom"/>
          </w:tcPr>
          <w:p w14:paraId="74DDAE3F" w14:textId="77777777" w:rsidR="00584EC1" w:rsidRDefault="00584EC1">
            <w:pPr>
              <w:rPr>
                <w:rFonts w:ascii="宋体"/>
                <w:vanish/>
              </w:rPr>
            </w:pPr>
          </w:p>
        </w:tc>
        <w:tc>
          <w:tcPr>
            <w:tcW w:w="0" w:type="auto"/>
            <w:gridSpan w:val="3"/>
            <w:shd w:val="clear" w:color="auto" w:fill="auto"/>
            <w:vAlign w:val="bottom"/>
          </w:tcPr>
          <w:p w14:paraId="74DDAE40" w14:textId="77777777" w:rsidR="00584EC1" w:rsidRDefault="00584EC1">
            <w:pPr>
              <w:rPr>
                <w:rFonts w:ascii="宋体"/>
                <w:vanish/>
              </w:rPr>
            </w:pPr>
          </w:p>
        </w:tc>
        <w:tc>
          <w:tcPr>
            <w:tcW w:w="0" w:type="auto"/>
            <w:gridSpan w:val="3"/>
            <w:shd w:val="clear" w:color="auto" w:fill="auto"/>
            <w:vAlign w:val="bottom"/>
          </w:tcPr>
          <w:p w14:paraId="74DDAE41" w14:textId="77777777" w:rsidR="00584EC1" w:rsidRDefault="00584EC1">
            <w:pPr>
              <w:rPr>
                <w:rFonts w:ascii="宋体"/>
                <w:vanish/>
              </w:rPr>
            </w:pPr>
          </w:p>
        </w:tc>
        <w:tc>
          <w:tcPr>
            <w:tcW w:w="0" w:type="auto"/>
            <w:gridSpan w:val="3"/>
            <w:shd w:val="clear" w:color="auto" w:fill="auto"/>
            <w:vAlign w:val="bottom"/>
          </w:tcPr>
          <w:p w14:paraId="74DDAE42" w14:textId="77777777" w:rsidR="00584EC1" w:rsidRDefault="00584EC1">
            <w:pPr>
              <w:rPr>
                <w:rFonts w:ascii="宋体"/>
                <w:vanish/>
              </w:rPr>
            </w:pPr>
          </w:p>
        </w:tc>
      </w:tr>
      <w:tr w:rsidR="00584EC1" w14:paraId="74DDAE56" w14:textId="77777777">
        <w:trPr>
          <w:jc w:val="center"/>
          <w:hidden/>
        </w:trPr>
        <w:tc>
          <w:tcPr>
            <w:tcW w:w="0" w:type="auto"/>
            <w:gridSpan w:val="3"/>
            <w:shd w:val="clear" w:color="auto" w:fill="auto"/>
            <w:vAlign w:val="bottom"/>
          </w:tcPr>
          <w:p w14:paraId="74DDAE44" w14:textId="77777777" w:rsidR="00584EC1" w:rsidRDefault="00584EC1">
            <w:pPr>
              <w:rPr>
                <w:rFonts w:ascii="宋体"/>
                <w:vanish/>
              </w:rPr>
            </w:pPr>
          </w:p>
        </w:tc>
        <w:tc>
          <w:tcPr>
            <w:tcW w:w="0" w:type="auto"/>
            <w:gridSpan w:val="3"/>
            <w:shd w:val="clear" w:color="auto" w:fill="auto"/>
            <w:vAlign w:val="bottom"/>
          </w:tcPr>
          <w:p w14:paraId="74DDAE45" w14:textId="77777777" w:rsidR="00584EC1" w:rsidRDefault="00584EC1">
            <w:pPr>
              <w:rPr>
                <w:rFonts w:ascii="宋体"/>
                <w:vanish/>
              </w:rPr>
            </w:pPr>
          </w:p>
        </w:tc>
        <w:tc>
          <w:tcPr>
            <w:tcW w:w="0" w:type="auto"/>
            <w:gridSpan w:val="3"/>
            <w:shd w:val="clear" w:color="auto" w:fill="auto"/>
            <w:vAlign w:val="bottom"/>
          </w:tcPr>
          <w:p w14:paraId="74DDAE46" w14:textId="77777777" w:rsidR="00584EC1" w:rsidRDefault="00584EC1">
            <w:pPr>
              <w:rPr>
                <w:rFonts w:ascii="宋体"/>
                <w:vanish/>
              </w:rPr>
            </w:pPr>
          </w:p>
        </w:tc>
        <w:tc>
          <w:tcPr>
            <w:tcW w:w="0" w:type="auto"/>
            <w:gridSpan w:val="3"/>
            <w:shd w:val="clear" w:color="auto" w:fill="auto"/>
            <w:vAlign w:val="bottom"/>
          </w:tcPr>
          <w:p w14:paraId="74DDAE47" w14:textId="77777777" w:rsidR="00584EC1" w:rsidRDefault="00584EC1">
            <w:pPr>
              <w:rPr>
                <w:rFonts w:ascii="宋体"/>
                <w:vanish/>
              </w:rPr>
            </w:pPr>
          </w:p>
        </w:tc>
        <w:tc>
          <w:tcPr>
            <w:tcW w:w="0" w:type="auto"/>
            <w:gridSpan w:val="3"/>
            <w:shd w:val="clear" w:color="auto" w:fill="auto"/>
            <w:vAlign w:val="bottom"/>
          </w:tcPr>
          <w:p w14:paraId="74DDAE48" w14:textId="77777777" w:rsidR="00584EC1" w:rsidRDefault="00584EC1">
            <w:pPr>
              <w:rPr>
                <w:rFonts w:ascii="宋体"/>
                <w:vanish/>
              </w:rPr>
            </w:pPr>
          </w:p>
        </w:tc>
        <w:tc>
          <w:tcPr>
            <w:tcW w:w="0" w:type="auto"/>
            <w:gridSpan w:val="3"/>
            <w:shd w:val="clear" w:color="auto" w:fill="auto"/>
            <w:vAlign w:val="bottom"/>
          </w:tcPr>
          <w:p w14:paraId="74DDAE49" w14:textId="77777777" w:rsidR="00584EC1" w:rsidRDefault="00584EC1">
            <w:pPr>
              <w:rPr>
                <w:rFonts w:ascii="宋体"/>
                <w:vanish/>
              </w:rPr>
            </w:pPr>
          </w:p>
        </w:tc>
        <w:tc>
          <w:tcPr>
            <w:tcW w:w="0" w:type="auto"/>
            <w:gridSpan w:val="3"/>
            <w:shd w:val="clear" w:color="auto" w:fill="auto"/>
            <w:vAlign w:val="bottom"/>
          </w:tcPr>
          <w:p w14:paraId="74DDAE4A" w14:textId="77777777" w:rsidR="00584EC1" w:rsidRDefault="00584EC1">
            <w:pPr>
              <w:rPr>
                <w:rFonts w:ascii="宋体"/>
                <w:vanish/>
              </w:rPr>
            </w:pPr>
          </w:p>
        </w:tc>
        <w:tc>
          <w:tcPr>
            <w:tcW w:w="0" w:type="auto"/>
            <w:gridSpan w:val="3"/>
            <w:shd w:val="clear" w:color="auto" w:fill="auto"/>
            <w:vAlign w:val="bottom"/>
          </w:tcPr>
          <w:p w14:paraId="74DDAE4B" w14:textId="77777777" w:rsidR="00584EC1" w:rsidRDefault="00584EC1">
            <w:pPr>
              <w:rPr>
                <w:rFonts w:ascii="宋体"/>
                <w:vanish/>
              </w:rPr>
            </w:pPr>
          </w:p>
        </w:tc>
        <w:tc>
          <w:tcPr>
            <w:tcW w:w="0" w:type="auto"/>
            <w:gridSpan w:val="3"/>
            <w:shd w:val="clear" w:color="auto" w:fill="auto"/>
            <w:vAlign w:val="bottom"/>
          </w:tcPr>
          <w:p w14:paraId="74DDAE4C" w14:textId="77777777" w:rsidR="00584EC1" w:rsidRDefault="00584EC1">
            <w:pPr>
              <w:rPr>
                <w:rFonts w:ascii="宋体"/>
                <w:vanish/>
              </w:rPr>
            </w:pPr>
          </w:p>
        </w:tc>
        <w:tc>
          <w:tcPr>
            <w:tcW w:w="0" w:type="auto"/>
            <w:gridSpan w:val="3"/>
            <w:shd w:val="clear" w:color="auto" w:fill="auto"/>
            <w:vAlign w:val="bottom"/>
          </w:tcPr>
          <w:p w14:paraId="74DDAE4D" w14:textId="77777777" w:rsidR="00584EC1" w:rsidRDefault="00584EC1">
            <w:pPr>
              <w:rPr>
                <w:rFonts w:ascii="宋体"/>
                <w:vanish/>
              </w:rPr>
            </w:pPr>
          </w:p>
        </w:tc>
        <w:tc>
          <w:tcPr>
            <w:tcW w:w="0" w:type="auto"/>
            <w:gridSpan w:val="3"/>
            <w:shd w:val="clear" w:color="auto" w:fill="auto"/>
            <w:vAlign w:val="bottom"/>
          </w:tcPr>
          <w:p w14:paraId="74DDAE4E" w14:textId="77777777" w:rsidR="00584EC1" w:rsidRDefault="00584EC1">
            <w:pPr>
              <w:rPr>
                <w:rFonts w:ascii="宋体"/>
                <w:vanish/>
              </w:rPr>
            </w:pPr>
          </w:p>
        </w:tc>
        <w:tc>
          <w:tcPr>
            <w:tcW w:w="0" w:type="auto"/>
            <w:gridSpan w:val="3"/>
            <w:shd w:val="clear" w:color="auto" w:fill="auto"/>
            <w:vAlign w:val="bottom"/>
          </w:tcPr>
          <w:p w14:paraId="74DDAE4F" w14:textId="77777777" w:rsidR="00584EC1" w:rsidRDefault="00584EC1">
            <w:pPr>
              <w:rPr>
                <w:rFonts w:ascii="宋体"/>
                <w:vanish/>
              </w:rPr>
            </w:pPr>
          </w:p>
        </w:tc>
        <w:tc>
          <w:tcPr>
            <w:tcW w:w="0" w:type="auto"/>
            <w:gridSpan w:val="3"/>
            <w:shd w:val="clear" w:color="auto" w:fill="auto"/>
            <w:vAlign w:val="bottom"/>
          </w:tcPr>
          <w:p w14:paraId="74DDAE50" w14:textId="77777777" w:rsidR="00584EC1" w:rsidRDefault="00584EC1">
            <w:pPr>
              <w:rPr>
                <w:rFonts w:ascii="宋体"/>
                <w:vanish/>
              </w:rPr>
            </w:pPr>
          </w:p>
        </w:tc>
        <w:tc>
          <w:tcPr>
            <w:tcW w:w="0" w:type="auto"/>
            <w:gridSpan w:val="3"/>
            <w:shd w:val="clear" w:color="auto" w:fill="auto"/>
            <w:vAlign w:val="bottom"/>
          </w:tcPr>
          <w:p w14:paraId="74DDAE51" w14:textId="77777777" w:rsidR="00584EC1" w:rsidRDefault="00584EC1">
            <w:pPr>
              <w:rPr>
                <w:rFonts w:ascii="宋体"/>
                <w:vanish/>
              </w:rPr>
            </w:pPr>
          </w:p>
        </w:tc>
        <w:tc>
          <w:tcPr>
            <w:tcW w:w="0" w:type="auto"/>
            <w:gridSpan w:val="3"/>
            <w:shd w:val="clear" w:color="auto" w:fill="auto"/>
            <w:vAlign w:val="bottom"/>
          </w:tcPr>
          <w:p w14:paraId="74DDAE52" w14:textId="77777777" w:rsidR="00584EC1" w:rsidRDefault="00584EC1">
            <w:pPr>
              <w:rPr>
                <w:rFonts w:ascii="宋体"/>
                <w:vanish/>
              </w:rPr>
            </w:pPr>
          </w:p>
        </w:tc>
        <w:tc>
          <w:tcPr>
            <w:tcW w:w="0" w:type="auto"/>
            <w:gridSpan w:val="3"/>
            <w:shd w:val="clear" w:color="auto" w:fill="auto"/>
            <w:vAlign w:val="bottom"/>
          </w:tcPr>
          <w:p w14:paraId="74DDAE53" w14:textId="77777777" w:rsidR="00584EC1" w:rsidRDefault="00584EC1">
            <w:pPr>
              <w:rPr>
                <w:rFonts w:ascii="宋体"/>
                <w:vanish/>
              </w:rPr>
            </w:pPr>
          </w:p>
        </w:tc>
        <w:tc>
          <w:tcPr>
            <w:tcW w:w="0" w:type="auto"/>
            <w:gridSpan w:val="3"/>
            <w:shd w:val="clear" w:color="auto" w:fill="auto"/>
            <w:vAlign w:val="bottom"/>
          </w:tcPr>
          <w:p w14:paraId="74DDAE54" w14:textId="77777777" w:rsidR="00584EC1" w:rsidRDefault="00584EC1">
            <w:pPr>
              <w:rPr>
                <w:rFonts w:ascii="宋体"/>
                <w:vanish/>
              </w:rPr>
            </w:pPr>
          </w:p>
        </w:tc>
        <w:tc>
          <w:tcPr>
            <w:tcW w:w="0" w:type="auto"/>
            <w:gridSpan w:val="3"/>
            <w:shd w:val="clear" w:color="auto" w:fill="auto"/>
            <w:vAlign w:val="bottom"/>
          </w:tcPr>
          <w:p w14:paraId="74DDAE55" w14:textId="77777777" w:rsidR="00584EC1" w:rsidRDefault="00584EC1">
            <w:pPr>
              <w:rPr>
                <w:rFonts w:ascii="宋体"/>
                <w:vanish/>
              </w:rPr>
            </w:pPr>
          </w:p>
        </w:tc>
      </w:tr>
      <w:tr w:rsidR="00584EC1" w14:paraId="74DDAE69" w14:textId="77777777">
        <w:trPr>
          <w:jc w:val="center"/>
          <w:hidden/>
        </w:trPr>
        <w:tc>
          <w:tcPr>
            <w:tcW w:w="0" w:type="auto"/>
            <w:gridSpan w:val="3"/>
            <w:shd w:val="clear" w:color="auto" w:fill="auto"/>
            <w:vAlign w:val="bottom"/>
          </w:tcPr>
          <w:p w14:paraId="74DDAE57" w14:textId="77777777" w:rsidR="00584EC1" w:rsidRDefault="00584EC1">
            <w:pPr>
              <w:rPr>
                <w:rFonts w:ascii="宋体"/>
                <w:vanish/>
              </w:rPr>
            </w:pPr>
          </w:p>
        </w:tc>
        <w:tc>
          <w:tcPr>
            <w:tcW w:w="0" w:type="auto"/>
            <w:gridSpan w:val="3"/>
            <w:shd w:val="clear" w:color="auto" w:fill="auto"/>
            <w:vAlign w:val="bottom"/>
          </w:tcPr>
          <w:p w14:paraId="74DDAE58" w14:textId="77777777" w:rsidR="00584EC1" w:rsidRDefault="00584EC1">
            <w:pPr>
              <w:rPr>
                <w:rFonts w:ascii="宋体"/>
                <w:vanish/>
              </w:rPr>
            </w:pPr>
          </w:p>
        </w:tc>
        <w:tc>
          <w:tcPr>
            <w:tcW w:w="0" w:type="auto"/>
            <w:gridSpan w:val="3"/>
            <w:shd w:val="clear" w:color="auto" w:fill="auto"/>
            <w:vAlign w:val="bottom"/>
          </w:tcPr>
          <w:p w14:paraId="74DDAE59" w14:textId="77777777" w:rsidR="00584EC1" w:rsidRDefault="00584EC1">
            <w:pPr>
              <w:rPr>
                <w:rFonts w:ascii="宋体"/>
                <w:vanish/>
              </w:rPr>
            </w:pPr>
          </w:p>
        </w:tc>
        <w:tc>
          <w:tcPr>
            <w:tcW w:w="0" w:type="auto"/>
            <w:gridSpan w:val="3"/>
            <w:shd w:val="clear" w:color="auto" w:fill="auto"/>
            <w:vAlign w:val="bottom"/>
          </w:tcPr>
          <w:p w14:paraId="74DDAE5A" w14:textId="77777777" w:rsidR="00584EC1" w:rsidRDefault="00584EC1">
            <w:pPr>
              <w:rPr>
                <w:rFonts w:ascii="宋体"/>
                <w:vanish/>
              </w:rPr>
            </w:pPr>
          </w:p>
        </w:tc>
        <w:tc>
          <w:tcPr>
            <w:tcW w:w="0" w:type="auto"/>
            <w:gridSpan w:val="3"/>
            <w:shd w:val="clear" w:color="auto" w:fill="auto"/>
            <w:vAlign w:val="bottom"/>
          </w:tcPr>
          <w:p w14:paraId="74DDAE5B" w14:textId="77777777" w:rsidR="00584EC1" w:rsidRDefault="00584EC1">
            <w:pPr>
              <w:rPr>
                <w:rFonts w:ascii="宋体"/>
                <w:vanish/>
              </w:rPr>
            </w:pPr>
          </w:p>
        </w:tc>
        <w:tc>
          <w:tcPr>
            <w:tcW w:w="0" w:type="auto"/>
            <w:gridSpan w:val="3"/>
            <w:shd w:val="clear" w:color="auto" w:fill="auto"/>
            <w:vAlign w:val="bottom"/>
          </w:tcPr>
          <w:p w14:paraId="74DDAE5C" w14:textId="77777777" w:rsidR="00584EC1" w:rsidRDefault="00584EC1">
            <w:pPr>
              <w:rPr>
                <w:rFonts w:ascii="宋体"/>
                <w:vanish/>
              </w:rPr>
            </w:pPr>
          </w:p>
        </w:tc>
        <w:tc>
          <w:tcPr>
            <w:tcW w:w="0" w:type="auto"/>
            <w:gridSpan w:val="3"/>
            <w:shd w:val="clear" w:color="auto" w:fill="auto"/>
            <w:vAlign w:val="bottom"/>
          </w:tcPr>
          <w:p w14:paraId="74DDAE5D" w14:textId="77777777" w:rsidR="00584EC1" w:rsidRDefault="00584EC1">
            <w:pPr>
              <w:rPr>
                <w:rFonts w:ascii="宋体"/>
                <w:vanish/>
              </w:rPr>
            </w:pPr>
          </w:p>
        </w:tc>
        <w:tc>
          <w:tcPr>
            <w:tcW w:w="0" w:type="auto"/>
            <w:gridSpan w:val="3"/>
            <w:shd w:val="clear" w:color="auto" w:fill="auto"/>
            <w:vAlign w:val="bottom"/>
          </w:tcPr>
          <w:p w14:paraId="74DDAE5E" w14:textId="77777777" w:rsidR="00584EC1" w:rsidRDefault="00584EC1">
            <w:pPr>
              <w:rPr>
                <w:rFonts w:ascii="宋体"/>
                <w:vanish/>
              </w:rPr>
            </w:pPr>
          </w:p>
        </w:tc>
        <w:tc>
          <w:tcPr>
            <w:tcW w:w="0" w:type="auto"/>
            <w:gridSpan w:val="3"/>
            <w:shd w:val="clear" w:color="auto" w:fill="auto"/>
            <w:vAlign w:val="bottom"/>
          </w:tcPr>
          <w:p w14:paraId="74DDAE5F" w14:textId="77777777" w:rsidR="00584EC1" w:rsidRDefault="00584EC1">
            <w:pPr>
              <w:rPr>
                <w:rFonts w:ascii="宋体"/>
                <w:vanish/>
              </w:rPr>
            </w:pPr>
          </w:p>
        </w:tc>
        <w:tc>
          <w:tcPr>
            <w:tcW w:w="0" w:type="auto"/>
            <w:gridSpan w:val="3"/>
            <w:shd w:val="clear" w:color="auto" w:fill="auto"/>
            <w:vAlign w:val="bottom"/>
          </w:tcPr>
          <w:p w14:paraId="74DDAE60" w14:textId="77777777" w:rsidR="00584EC1" w:rsidRDefault="00584EC1">
            <w:pPr>
              <w:rPr>
                <w:rFonts w:ascii="宋体"/>
                <w:vanish/>
              </w:rPr>
            </w:pPr>
          </w:p>
        </w:tc>
        <w:tc>
          <w:tcPr>
            <w:tcW w:w="0" w:type="auto"/>
            <w:gridSpan w:val="3"/>
            <w:shd w:val="clear" w:color="auto" w:fill="auto"/>
            <w:vAlign w:val="bottom"/>
          </w:tcPr>
          <w:p w14:paraId="74DDAE61" w14:textId="77777777" w:rsidR="00584EC1" w:rsidRDefault="00584EC1">
            <w:pPr>
              <w:rPr>
                <w:rFonts w:ascii="宋体"/>
                <w:vanish/>
              </w:rPr>
            </w:pPr>
          </w:p>
        </w:tc>
        <w:tc>
          <w:tcPr>
            <w:tcW w:w="0" w:type="auto"/>
            <w:gridSpan w:val="3"/>
            <w:shd w:val="clear" w:color="auto" w:fill="auto"/>
            <w:vAlign w:val="bottom"/>
          </w:tcPr>
          <w:p w14:paraId="74DDAE62" w14:textId="77777777" w:rsidR="00584EC1" w:rsidRDefault="00584EC1">
            <w:pPr>
              <w:rPr>
                <w:rFonts w:ascii="宋体"/>
                <w:vanish/>
              </w:rPr>
            </w:pPr>
          </w:p>
        </w:tc>
        <w:tc>
          <w:tcPr>
            <w:tcW w:w="0" w:type="auto"/>
            <w:gridSpan w:val="3"/>
            <w:shd w:val="clear" w:color="auto" w:fill="auto"/>
            <w:vAlign w:val="bottom"/>
          </w:tcPr>
          <w:p w14:paraId="74DDAE63" w14:textId="77777777" w:rsidR="00584EC1" w:rsidRDefault="00584EC1">
            <w:pPr>
              <w:rPr>
                <w:rFonts w:ascii="宋体"/>
                <w:vanish/>
              </w:rPr>
            </w:pPr>
          </w:p>
        </w:tc>
        <w:tc>
          <w:tcPr>
            <w:tcW w:w="0" w:type="auto"/>
            <w:gridSpan w:val="3"/>
            <w:shd w:val="clear" w:color="auto" w:fill="auto"/>
            <w:vAlign w:val="bottom"/>
          </w:tcPr>
          <w:p w14:paraId="74DDAE64" w14:textId="77777777" w:rsidR="00584EC1" w:rsidRDefault="00584EC1">
            <w:pPr>
              <w:rPr>
                <w:rFonts w:ascii="宋体"/>
                <w:vanish/>
              </w:rPr>
            </w:pPr>
          </w:p>
        </w:tc>
        <w:tc>
          <w:tcPr>
            <w:tcW w:w="0" w:type="auto"/>
            <w:gridSpan w:val="3"/>
            <w:shd w:val="clear" w:color="auto" w:fill="auto"/>
            <w:vAlign w:val="bottom"/>
          </w:tcPr>
          <w:p w14:paraId="74DDAE65" w14:textId="77777777" w:rsidR="00584EC1" w:rsidRDefault="00584EC1">
            <w:pPr>
              <w:rPr>
                <w:rFonts w:ascii="宋体"/>
                <w:vanish/>
              </w:rPr>
            </w:pPr>
          </w:p>
        </w:tc>
        <w:tc>
          <w:tcPr>
            <w:tcW w:w="0" w:type="auto"/>
            <w:gridSpan w:val="3"/>
            <w:shd w:val="clear" w:color="auto" w:fill="auto"/>
            <w:vAlign w:val="bottom"/>
          </w:tcPr>
          <w:p w14:paraId="74DDAE66" w14:textId="77777777" w:rsidR="00584EC1" w:rsidRDefault="00584EC1">
            <w:pPr>
              <w:rPr>
                <w:rFonts w:ascii="宋体"/>
                <w:vanish/>
              </w:rPr>
            </w:pPr>
          </w:p>
        </w:tc>
        <w:tc>
          <w:tcPr>
            <w:tcW w:w="0" w:type="auto"/>
            <w:gridSpan w:val="3"/>
            <w:shd w:val="clear" w:color="auto" w:fill="auto"/>
            <w:vAlign w:val="bottom"/>
          </w:tcPr>
          <w:p w14:paraId="74DDAE67" w14:textId="77777777" w:rsidR="00584EC1" w:rsidRDefault="00584EC1">
            <w:pPr>
              <w:rPr>
                <w:rFonts w:ascii="宋体"/>
                <w:vanish/>
              </w:rPr>
            </w:pPr>
          </w:p>
        </w:tc>
        <w:tc>
          <w:tcPr>
            <w:tcW w:w="0" w:type="auto"/>
            <w:gridSpan w:val="3"/>
            <w:shd w:val="clear" w:color="auto" w:fill="auto"/>
            <w:vAlign w:val="bottom"/>
          </w:tcPr>
          <w:p w14:paraId="74DDAE68" w14:textId="77777777" w:rsidR="00584EC1" w:rsidRDefault="00584EC1">
            <w:pPr>
              <w:rPr>
                <w:rFonts w:ascii="宋体"/>
                <w:vanish/>
              </w:rPr>
            </w:pPr>
          </w:p>
        </w:tc>
      </w:tr>
      <w:tr w:rsidR="00584EC1" w14:paraId="74DDAE7C" w14:textId="77777777">
        <w:trPr>
          <w:jc w:val="center"/>
          <w:hidden/>
        </w:trPr>
        <w:tc>
          <w:tcPr>
            <w:tcW w:w="0" w:type="auto"/>
            <w:gridSpan w:val="3"/>
            <w:shd w:val="clear" w:color="auto" w:fill="auto"/>
            <w:vAlign w:val="bottom"/>
          </w:tcPr>
          <w:p w14:paraId="74DDAE6A" w14:textId="77777777" w:rsidR="00584EC1" w:rsidRDefault="00584EC1">
            <w:pPr>
              <w:rPr>
                <w:rFonts w:ascii="宋体"/>
                <w:vanish/>
              </w:rPr>
            </w:pPr>
          </w:p>
        </w:tc>
        <w:tc>
          <w:tcPr>
            <w:tcW w:w="0" w:type="auto"/>
            <w:gridSpan w:val="3"/>
            <w:shd w:val="clear" w:color="auto" w:fill="auto"/>
            <w:vAlign w:val="bottom"/>
          </w:tcPr>
          <w:p w14:paraId="74DDAE6B" w14:textId="77777777" w:rsidR="00584EC1" w:rsidRDefault="00584EC1">
            <w:pPr>
              <w:rPr>
                <w:rFonts w:ascii="宋体"/>
                <w:vanish/>
              </w:rPr>
            </w:pPr>
          </w:p>
        </w:tc>
        <w:tc>
          <w:tcPr>
            <w:tcW w:w="0" w:type="auto"/>
            <w:gridSpan w:val="3"/>
            <w:shd w:val="clear" w:color="auto" w:fill="auto"/>
            <w:vAlign w:val="bottom"/>
          </w:tcPr>
          <w:p w14:paraId="74DDAE6C" w14:textId="77777777" w:rsidR="00584EC1" w:rsidRDefault="00584EC1">
            <w:pPr>
              <w:rPr>
                <w:rFonts w:ascii="宋体"/>
                <w:vanish/>
              </w:rPr>
            </w:pPr>
          </w:p>
        </w:tc>
        <w:tc>
          <w:tcPr>
            <w:tcW w:w="0" w:type="auto"/>
            <w:gridSpan w:val="3"/>
            <w:shd w:val="clear" w:color="auto" w:fill="auto"/>
            <w:vAlign w:val="bottom"/>
          </w:tcPr>
          <w:p w14:paraId="74DDAE6D" w14:textId="77777777" w:rsidR="00584EC1" w:rsidRDefault="00584EC1">
            <w:pPr>
              <w:rPr>
                <w:rFonts w:ascii="宋体"/>
                <w:vanish/>
              </w:rPr>
            </w:pPr>
          </w:p>
        </w:tc>
        <w:tc>
          <w:tcPr>
            <w:tcW w:w="0" w:type="auto"/>
            <w:gridSpan w:val="3"/>
            <w:shd w:val="clear" w:color="auto" w:fill="auto"/>
            <w:vAlign w:val="bottom"/>
          </w:tcPr>
          <w:p w14:paraId="74DDAE6E" w14:textId="77777777" w:rsidR="00584EC1" w:rsidRDefault="00584EC1">
            <w:pPr>
              <w:rPr>
                <w:rFonts w:ascii="宋体"/>
                <w:vanish/>
              </w:rPr>
            </w:pPr>
          </w:p>
        </w:tc>
        <w:tc>
          <w:tcPr>
            <w:tcW w:w="0" w:type="auto"/>
            <w:gridSpan w:val="3"/>
            <w:shd w:val="clear" w:color="auto" w:fill="auto"/>
            <w:vAlign w:val="bottom"/>
          </w:tcPr>
          <w:p w14:paraId="74DDAE6F" w14:textId="77777777" w:rsidR="00584EC1" w:rsidRDefault="00584EC1">
            <w:pPr>
              <w:rPr>
                <w:rFonts w:ascii="宋体"/>
                <w:vanish/>
              </w:rPr>
            </w:pPr>
          </w:p>
        </w:tc>
        <w:tc>
          <w:tcPr>
            <w:tcW w:w="0" w:type="auto"/>
            <w:gridSpan w:val="3"/>
            <w:shd w:val="clear" w:color="auto" w:fill="auto"/>
            <w:vAlign w:val="bottom"/>
          </w:tcPr>
          <w:p w14:paraId="74DDAE70" w14:textId="77777777" w:rsidR="00584EC1" w:rsidRDefault="00584EC1">
            <w:pPr>
              <w:rPr>
                <w:rFonts w:ascii="宋体"/>
                <w:vanish/>
              </w:rPr>
            </w:pPr>
          </w:p>
        </w:tc>
        <w:tc>
          <w:tcPr>
            <w:tcW w:w="0" w:type="auto"/>
            <w:gridSpan w:val="3"/>
            <w:shd w:val="clear" w:color="auto" w:fill="auto"/>
            <w:vAlign w:val="bottom"/>
          </w:tcPr>
          <w:p w14:paraId="74DDAE71" w14:textId="77777777" w:rsidR="00584EC1" w:rsidRDefault="00584EC1">
            <w:pPr>
              <w:rPr>
                <w:rFonts w:ascii="宋体"/>
                <w:vanish/>
              </w:rPr>
            </w:pPr>
          </w:p>
        </w:tc>
        <w:tc>
          <w:tcPr>
            <w:tcW w:w="0" w:type="auto"/>
            <w:gridSpan w:val="3"/>
            <w:shd w:val="clear" w:color="auto" w:fill="auto"/>
            <w:vAlign w:val="bottom"/>
          </w:tcPr>
          <w:p w14:paraId="74DDAE72" w14:textId="77777777" w:rsidR="00584EC1" w:rsidRDefault="00584EC1">
            <w:pPr>
              <w:rPr>
                <w:rFonts w:ascii="宋体"/>
                <w:vanish/>
              </w:rPr>
            </w:pPr>
          </w:p>
        </w:tc>
        <w:tc>
          <w:tcPr>
            <w:tcW w:w="0" w:type="auto"/>
            <w:gridSpan w:val="3"/>
            <w:shd w:val="clear" w:color="auto" w:fill="auto"/>
            <w:vAlign w:val="bottom"/>
          </w:tcPr>
          <w:p w14:paraId="74DDAE73" w14:textId="77777777" w:rsidR="00584EC1" w:rsidRDefault="00584EC1">
            <w:pPr>
              <w:rPr>
                <w:rFonts w:ascii="宋体"/>
                <w:vanish/>
              </w:rPr>
            </w:pPr>
          </w:p>
        </w:tc>
        <w:tc>
          <w:tcPr>
            <w:tcW w:w="0" w:type="auto"/>
            <w:gridSpan w:val="3"/>
            <w:shd w:val="clear" w:color="auto" w:fill="auto"/>
            <w:vAlign w:val="bottom"/>
          </w:tcPr>
          <w:p w14:paraId="74DDAE74" w14:textId="77777777" w:rsidR="00584EC1" w:rsidRDefault="00584EC1">
            <w:pPr>
              <w:rPr>
                <w:rFonts w:ascii="宋体"/>
                <w:vanish/>
              </w:rPr>
            </w:pPr>
          </w:p>
        </w:tc>
        <w:tc>
          <w:tcPr>
            <w:tcW w:w="0" w:type="auto"/>
            <w:gridSpan w:val="3"/>
            <w:shd w:val="clear" w:color="auto" w:fill="auto"/>
            <w:vAlign w:val="bottom"/>
          </w:tcPr>
          <w:p w14:paraId="74DDAE75" w14:textId="77777777" w:rsidR="00584EC1" w:rsidRDefault="00584EC1">
            <w:pPr>
              <w:rPr>
                <w:rFonts w:ascii="宋体"/>
                <w:vanish/>
              </w:rPr>
            </w:pPr>
          </w:p>
        </w:tc>
        <w:tc>
          <w:tcPr>
            <w:tcW w:w="0" w:type="auto"/>
            <w:gridSpan w:val="3"/>
            <w:shd w:val="clear" w:color="auto" w:fill="auto"/>
            <w:vAlign w:val="bottom"/>
          </w:tcPr>
          <w:p w14:paraId="74DDAE76" w14:textId="77777777" w:rsidR="00584EC1" w:rsidRDefault="00584EC1">
            <w:pPr>
              <w:rPr>
                <w:rFonts w:ascii="宋体"/>
                <w:vanish/>
              </w:rPr>
            </w:pPr>
          </w:p>
        </w:tc>
        <w:tc>
          <w:tcPr>
            <w:tcW w:w="0" w:type="auto"/>
            <w:gridSpan w:val="3"/>
            <w:shd w:val="clear" w:color="auto" w:fill="auto"/>
            <w:vAlign w:val="bottom"/>
          </w:tcPr>
          <w:p w14:paraId="74DDAE77" w14:textId="77777777" w:rsidR="00584EC1" w:rsidRDefault="00584EC1">
            <w:pPr>
              <w:rPr>
                <w:rFonts w:ascii="宋体"/>
                <w:vanish/>
              </w:rPr>
            </w:pPr>
          </w:p>
        </w:tc>
        <w:tc>
          <w:tcPr>
            <w:tcW w:w="0" w:type="auto"/>
            <w:gridSpan w:val="3"/>
            <w:shd w:val="clear" w:color="auto" w:fill="auto"/>
            <w:vAlign w:val="bottom"/>
          </w:tcPr>
          <w:p w14:paraId="74DDAE78" w14:textId="77777777" w:rsidR="00584EC1" w:rsidRDefault="00584EC1">
            <w:pPr>
              <w:rPr>
                <w:rFonts w:ascii="宋体"/>
                <w:vanish/>
              </w:rPr>
            </w:pPr>
          </w:p>
        </w:tc>
        <w:tc>
          <w:tcPr>
            <w:tcW w:w="0" w:type="auto"/>
            <w:gridSpan w:val="3"/>
            <w:shd w:val="clear" w:color="auto" w:fill="auto"/>
            <w:vAlign w:val="bottom"/>
          </w:tcPr>
          <w:p w14:paraId="74DDAE79" w14:textId="77777777" w:rsidR="00584EC1" w:rsidRDefault="00584EC1">
            <w:pPr>
              <w:rPr>
                <w:rFonts w:ascii="宋体"/>
                <w:vanish/>
              </w:rPr>
            </w:pPr>
          </w:p>
        </w:tc>
        <w:tc>
          <w:tcPr>
            <w:tcW w:w="0" w:type="auto"/>
            <w:gridSpan w:val="3"/>
            <w:shd w:val="clear" w:color="auto" w:fill="auto"/>
            <w:vAlign w:val="bottom"/>
          </w:tcPr>
          <w:p w14:paraId="74DDAE7A" w14:textId="77777777" w:rsidR="00584EC1" w:rsidRDefault="00584EC1">
            <w:pPr>
              <w:rPr>
                <w:rFonts w:ascii="宋体"/>
                <w:vanish/>
              </w:rPr>
            </w:pPr>
          </w:p>
        </w:tc>
        <w:tc>
          <w:tcPr>
            <w:tcW w:w="0" w:type="auto"/>
            <w:gridSpan w:val="3"/>
            <w:shd w:val="clear" w:color="auto" w:fill="auto"/>
            <w:vAlign w:val="bottom"/>
          </w:tcPr>
          <w:p w14:paraId="74DDAE7B" w14:textId="77777777" w:rsidR="00584EC1" w:rsidRDefault="00584EC1">
            <w:pPr>
              <w:rPr>
                <w:rFonts w:ascii="宋体"/>
                <w:vanish/>
              </w:rPr>
            </w:pPr>
          </w:p>
        </w:tc>
      </w:tr>
      <w:tr w:rsidR="00584EC1" w14:paraId="74DDAE8F" w14:textId="77777777">
        <w:trPr>
          <w:jc w:val="center"/>
          <w:hidden/>
        </w:trPr>
        <w:tc>
          <w:tcPr>
            <w:tcW w:w="0" w:type="auto"/>
            <w:gridSpan w:val="3"/>
            <w:shd w:val="clear" w:color="auto" w:fill="auto"/>
            <w:vAlign w:val="bottom"/>
          </w:tcPr>
          <w:p w14:paraId="74DDAE7D" w14:textId="77777777" w:rsidR="00584EC1" w:rsidRDefault="00584EC1">
            <w:pPr>
              <w:rPr>
                <w:rFonts w:ascii="宋体"/>
                <w:vanish/>
              </w:rPr>
            </w:pPr>
          </w:p>
        </w:tc>
        <w:tc>
          <w:tcPr>
            <w:tcW w:w="0" w:type="auto"/>
            <w:gridSpan w:val="3"/>
            <w:shd w:val="clear" w:color="auto" w:fill="auto"/>
            <w:vAlign w:val="bottom"/>
          </w:tcPr>
          <w:p w14:paraId="74DDAE7E" w14:textId="77777777" w:rsidR="00584EC1" w:rsidRDefault="00584EC1">
            <w:pPr>
              <w:rPr>
                <w:rFonts w:ascii="宋体"/>
                <w:vanish/>
              </w:rPr>
            </w:pPr>
          </w:p>
        </w:tc>
        <w:tc>
          <w:tcPr>
            <w:tcW w:w="0" w:type="auto"/>
            <w:gridSpan w:val="3"/>
            <w:shd w:val="clear" w:color="auto" w:fill="auto"/>
            <w:vAlign w:val="bottom"/>
          </w:tcPr>
          <w:p w14:paraId="74DDAE7F" w14:textId="77777777" w:rsidR="00584EC1" w:rsidRDefault="00584EC1">
            <w:pPr>
              <w:rPr>
                <w:rFonts w:ascii="宋体"/>
                <w:vanish/>
              </w:rPr>
            </w:pPr>
          </w:p>
        </w:tc>
        <w:tc>
          <w:tcPr>
            <w:tcW w:w="0" w:type="auto"/>
            <w:gridSpan w:val="3"/>
            <w:shd w:val="clear" w:color="auto" w:fill="auto"/>
            <w:vAlign w:val="bottom"/>
          </w:tcPr>
          <w:p w14:paraId="74DDAE80" w14:textId="77777777" w:rsidR="00584EC1" w:rsidRDefault="00584EC1">
            <w:pPr>
              <w:rPr>
                <w:rFonts w:ascii="宋体"/>
                <w:vanish/>
              </w:rPr>
            </w:pPr>
          </w:p>
        </w:tc>
        <w:tc>
          <w:tcPr>
            <w:tcW w:w="0" w:type="auto"/>
            <w:gridSpan w:val="3"/>
            <w:shd w:val="clear" w:color="auto" w:fill="auto"/>
            <w:vAlign w:val="bottom"/>
          </w:tcPr>
          <w:p w14:paraId="74DDAE81" w14:textId="77777777" w:rsidR="00584EC1" w:rsidRDefault="00584EC1">
            <w:pPr>
              <w:rPr>
                <w:rFonts w:ascii="宋体"/>
                <w:vanish/>
              </w:rPr>
            </w:pPr>
          </w:p>
        </w:tc>
        <w:tc>
          <w:tcPr>
            <w:tcW w:w="0" w:type="auto"/>
            <w:gridSpan w:val="3"/>
            <w:shd w:val="clear" w:color="auto" w:fill="auto"/>
            <w:vAlign w:val="bottom"/>
          </w:tcPr>
          <w:p w14:paraId="74DDAE82" w14:textId="77777777" w:rsidR="00584EC1" w:rsidRDefault="00584EC1">
            <w:pPr>
              <w:rPr>
                <w:rFonts w:ascii="宋体"/>
                <w:vanish/>
              </w:rPr>
            </w:pPr>
          </w:p>
        </w:tc>
        <w:tc>
          <w:tcPr>
            <w:tcW w:w="0" w:type="auto"/>
            <w:gridSpan w:val="3"/>
            <w:shd w:val="clear" w:color="auto" w:fill="auto"/>
            <w:vAlign w:val="bottom"/>
          </w:tcPr>
          <w:p w14:paraId="74DDAE83" w14:textId="77777777" w:rsidR="00584EC1" w:rsidRDefault="00584EC1">
            <w:pPr>
              <w:rPr>
                <w:rFonts w:ascii="宋体"/>
                <w:vanish/>
              </w:rPr>
            </w:pPr>
          </w:p>
        </w:tc>
        <w:tc>
          <w:tcPr>
            <w:tcW w:w="0" w:type="auto"/>
            <w:gridSpan w:val="3"/>
            <w:shd w:val="clear" w:color="auto" w:fill="auto"/>
            <w:vAlign w:val="bottom"/>
          </w:tcPr>
          <w:p w14:paraId="74DDAE84" w14:textId="77777777" w:rsidR="00584EC1" w:rsidRDefault="00584EC1">
            <w:pPr>
              <w:rPr>
                <w:rFonts w:ascii="宋体"/>
                <w:vanish/>
              </w:rPr>
            </w:pPr>
          </w:p>
        </w:tc>
        <w:tc>
          <w:tcPr>
            <w:tcW w:w="0" w:type="auto"/>
            <w:gridSpan w:val="3"/>
            <w:shd w:val="clear" w:color="auto" w:fill="auto"/>
            <w:vAlign w:val="bottom"/>
          </w:tcPr>
          <w:p w14:paraId="74DDAE85" w14:textId="77777777" w:rsidR="00584EC1" w:rsidRDefault="00584EC1">
            <w:pPr>
              <w:rPr>
                <w:rFonts w:ascii="宋体"/>
                <w:vanish/>
              </w:rPr>
            </w:pPr>
          </w:p>
        </w:tc>
        <w:tc>
          <w:tcPr>
            <w:tcW w:w="0" w:type="auto"/>
            <w:gridSpan w:val="3"/>
            <w:shd w:val="clear" w:color="auto" w:fill="auto"/>
            <w:vAlign w:val="bottom"/>
          </w:tcPr>
          <w:p w14:paraId="74DDAE86" w14:textId="77777777" w:rsidR="00584EC1" w:rsidRDefault="00584EC1">
            <w:pPr>
              <w:rPr>
                <w:rFonts w:ascii="宋体"/>
                <w:vanish/>
              </w:rPr>
            </w:pPr>
          </w:p>
        </w:tc>
        <w:tc>
          <w:tcPr>
            <w:tcW w:w="0" w:type="auto"/>
            <w:gridSpan w:val="3"/>
            <w:shd w:val="clear" w:color="auto" w:fill="auto"/>
            <w:vAlign w:val="bottom"/>
          </w:tcPr>
          <w:p w14:paraId="74DDAE87" w14:textId="77777777" w:rsidR="00584EC1" w:rsidRDefault="00584EC1">
            <w:pPr>
              <w:rPr>
                <w:rFonts w:ascii="宋体"/>
                <w:vanish/>
              </w:rPr>
            </w:pPr>
          </w:p>
        </w:tc>
        <w:tc>
          <w:tcPr>
            <w:tcW w:w="0" w:type="auto"/>
            <w:gridSpan w:val="3"/>
            <w:shd w:val="clear" w:color="auto" w:fill="auto"/>
            <w:vAlign w:val="bottom"/>
          </w:tcPr>
          <w:p w14:paraId="74DDAE88" w14:textId="77777777" w:rsidR="00584EC1" w:rsidRDefault="00584EC1">
            <w:pPr>
              <w:rPr>
                <w:rFonts w:ascii="宋体"/>
                <w:vanish/>
              </w:rPr>
            </w:pPr>
          </w:p>
        </w:tc>
        <w:tc>
          <w:tcPr>
            <w:tcW w:w="0" w:type="auto"/>
            <w:gridSpan w:val="3"/>
            <w:shd w:val="clear" w:color="auto" w:fill="auto"/>
            <w:vAlign w:val="bottom"/>
          </w:tcPr>
          <w:p w14:paraId="74DDAE89" w14:textId="77777777" w:rsidR="00584EC1" w:rsidRDefault="00584EC1">
            <w:pPr>
              <w:rPr>
                <w:rFonts w:ascii="宋体"/>
                <w:vanish/>
              </w:rPr>
            </w:pPr>
          </w:p>
        </w:tc>
        <w:tc>
          <w:tcPr>
            <w:tcW w:w="0" w:type="auto"/>
            <w:gridSpan w:val="3"/>
            <w:shd w:val="clear" w:color="auto" w:fill="auto"/>
            <w:vAlign w:val="bottom"/>
          </w:tcPr>
          <w:p w14:paraId="74DDAE8A" w14:textId="77777777" w:rsidR="00584EC1" w:rsidRDefault="00584EC1">
            <w:pPr>
              <w:rPr>
                <w:rFonts w:ascii="宋体"/>
                <w:vanish/>
              </w:rPr>
            </w:pPr>
          </w:p>
        </w:tc>
        <w:tc>
          <w:tcPr>
            <w:tcW w:w="0" w:type="auto"/>
            <w:gridSpan w:val="3"/>
            <w:shd w:val="clear" w:color="auto" w:fill="auto"/>
            <w:vAlign w:val="bottom"/>
          </w:tcPr>
          <w:p w14:paraId="74DDAE8B" w14:textId="77777777" w:rsidR="00584EC1" w:rsidRDefault="00584EC1">
            <w:pPr>
              <w:rPr>
                <w:rFonts w:ascii="宋体"/>
                <w:vanish/>
              </w:rPr>
            </w:pPr>
          </w:p>
        </w:tc>
        <w:tc>
          <w:tcPr>
            <w:tcW w:w="0" w:type="auto"/>
            <w:gridSpan w:val="3"/>
            <w:shd w:val="clear" w:color="auto" w:fill="auto"/>
            <w:vAlign w:val="bottom"/>
          </w:tcPr>
          <w:p w14:paraId="74DDAE8C" w14:textId="77777777" w:rsidR="00584EC1" w:rsidRDefault="00584EC1">
            <w:pPr>
              <w:rPr>
                <w:rFonts w:ascii="宋体"/>
                <w:vanish/>
              </w:rPr>
            </w:pPr>
          </w:p>
        </w:tc>
        <w:tc>
          <w:tcPr>
            <w:tcW w:w="0" w:type="auto"/>
            <w:gridSpan w:val="3"/>
            <w:shd w:val="clear" w:color="auto" w:fill="auto"/>
            <w:vAlign w:val="bottom"/>
          </w:tcPr>
          <w:p w14:paraId="74DDAE8D" w14:textId="77777777" w:rsidR="00584EC1" w:rsidRDefault="00584EC1">
            <w:pPr>
              <w:rPr>
                <w:rFonts w:ascii="宋体"/>
                <w:vanish/>
              </w:rPr>
            </w:pPr>
          </w:p>
        </w:tc>
        <w:tc>
          <w:tcPr>
            <w:tcW w:w="0" w:type="auto"/>
            <w:gridSpan w:val="3"/>
            <w:shd w:val="clear" w:color="auto" w:fill="auto"/>
            <w:vAlign w:val="bottom"/>
          </w:tcPr>
          <w:p w14:paraId="74DDAE8E" w14:textId="77777777" w:rsidR="00584EC1" w:rsidRDefault="00584EC1">
            <w:pPr>
              <w:rPr>
                <w:rFonts w:ascii="宋体"/>
                <w:vanish/>
              </w:rPr>
            </w:pPr>
          </w:p>
        </w:tc>
      </w:tr>
      <w:tr w:rsidR="00584EC1" w14:paraId="74DDAEA2" w14:textId="77777777">
        <w:trPr>
          <w:jc w:val="center"/>
          <w:hidden/>
        </w:trPr>
        <w:tc>
          <w:tcPr>
            <w:tcW w:w="0" w:type="auto"/>
            <w:gridSpan w:val="3"/>
            <w:shd w:val="clear" w:color="auto" w:fill="auto"/>
            <w:vAlign w:val="bottom"/>
          </w:tcPr>
          <w:p w14:paraId="74DDAE90" w14:textId="77777777" w:rsidR="00584EC1" w:rsidRDefault="00584EC1">
            <w:pPr>
              <w:rPr>
                <w:rFonts w:ascii="宋体"/>
                <w:vanish/>
              </w:rPr>
            </w:pPr>
          </w:p>
        </w:tc>
        <w:tc>
          <w:tcPr>
            <w:tcW w:w="0" w:type="auto"/>
            <w:gridSpan w:val="3"/>
            <w:shd w:val="clear" w:color="auto" w:fill="auto"/>
            <w:vAlign w:val="bottom"/>
          </w:tcPr>
          <w:p w14:paraId="74DDAE91" w14:textId="77777777" w:rsidR="00584EC1" w:rsidRDefault="00584EC1">
            <w:pPr>
              <w:rPr>
                <w:rFonts w:ascii="宋体"/>
                <w:vanish/>
              </w:rPr>
            </w:pPr>
          </w:p>
        </w:tc>
        <w:tc>
          <w:tcPr>
            <w:tcW w:w="0" w:type="auto"/>
            <w:gridSpan w:val="3"/>
            <w:shd w:val="clear" w:color="auto" w:fill="auto"/>
            <w:vAlign w:val="bottom"/>
          </w:tcPr>
          <w:p w14:paraId="74DDAE92" w14:textId="77777777" w:rsidR="00584EC1" w:rsidRDefault="00584EC1">
            <w:pPr>
              <w:rPr>
                <w:rFonts w:ascii="宋体"/>
                <w:vanish/>
              </w:rPr>
            </w:pPr>
          </w:p>
        </w:tc>
        <w:tc>
          <w:tcPr>
            <w:tcW w:w="0" w:type="auto"/>
            <w:gridSpan w:val="3"/>
            <w:shd w:val="clear" w:color="auto" w:fill="auto"/>
            <w:vAlign w:val="bottom"/>
          </w:tcPr>
          <w:p w14:paraId="74DDAE93" w14:textId="77777777" w:rsidR="00584EC1" w:rsidRDefault="00584EC1">
            <w:pPr>
              <w:rPr>
                <w:rFonts w:ascii="宋体"/>
                <w:vanish/>
              </w:rPr>
            </w:pPr>
          </w:p>
        </w:tc>
        <w:tc>
          <w:tcPr>
            <w:tcW w:w="0" w:type="auto"/>
            <w:gridSpan w:val="3"/>
            <w:shd w:val="clear" w:color="auto" w:fill="auto"/>
            <w:vAlign w:val="bottom"/>
          </w:tcPr>
          <w:p w14:paraId="74DDAE94" w14:textId="77777777" w:rsidR="00584EC1" w:rsidRDefault="00584EC1">
            <w:pPr>
              <w:rPr>
                <w:rFonts w:ascii="宋体"/>
                <w:vanish/>
              </w:rPr>
            </w:pPr>
          </w:p>
        </w:tc>
        <w:tc>
          <w:tcPr>
            <w:tcW w:w="0" w:type="auto"/>
            <w:gridSpan w:val="3"/>
            <w:shd w:val="clear" w:color="auto" w:fill="auto"/>
            <w:vAlign w:val="bottom"/>
          </w:tcPr>
          <w:p w14:paraId="74DDAE95" w14:textId="77777777" w:rsidR="00584EC1" w:rsidRDefault="00584EC1">
            <w:pPr>
              <w:rPr>
                <w:rFonts w:ascii="宋体"/>
                <w:vanish/>
              </w:rPr>
            </w:pPr>
          </w:p>
        </w:tc>
        <w:tc>
          <w:tcPr>
            <w:tcW w:w="0" w:type="auto"/>
            <w:gridSpan w:val="3"/>
            <w:shd w:val="clear" w:color="auto" w:fill="auto"/>
            <w:vAlign w:val="bottom"/>
          </w:tcPr>
          <w:p w14:paraId="74DDAE96" w14:textId="77777777" w:rsidR="00584EC1" w:rsidRDefault="00584EC1">
            <w:pPr>
              <w:rPr>
                <w:rFonts w:ascii="宋体"/>
                <w:vanish/>
              </w:rPr>
            </w:pPr>
          </w:p>
        </w:tc>
        <w:tc>
          <w:tcPr>
            <w:tcW w:w="0" w:type="auto"/>
            <w:gridSpan w:val="3"/>
            <w:shd w:val="clear" w:color="auto" w:fill="auto"/>
            <w:vAlign w:val="bottom"/>
          </w:tcPr>
          <w:p w14:paraId="74DDAE97" w14:textId="77777777" w:rsidR="00584EC1" w:rsidRDefault="00584EC1">
            <w:pPr>
              <w:rPr>
                <w:rFonts w:ascii="宋体"/>
                <w:vanish/>
              </w:rPr>
            </w:pPr>
          </w:p>
        </w:tc>
        <w:tc>
          <w:tcPr>
            <w:tcW w:w="0" w:type="auto"/>
            <w:gridSpan w:val="3"/>
            <w:shd w:val="clear" w:color="auto" w:fill="auto"/>
            <w:vAlign w:val="bottom"/>
          </w:tcPr>
          <w:p w14:paraId="74DDAE98" w14:textId="77777777" w:rsidR="00584EC1" w:rsidRDefault="00584EC1">
            <w:pPr>
              <w:rPr>
                <w:rFonts w:ascii="宋体"/>
                <w:vanish/>
              </w:rPr>
            </w:pPr>
          </w:p>
        </w:tc>
        <w:tc>
          <w:tcPr>
            <w:tcW w:w="0" w:type="auto"/>
            <w:gridSpan w:val="3"/>
            <w:shd w:val="clear" w:color="auto" w:fill="auto"/>
            <w:vAlign w:val="bottom"/>
          </w:tcPr>
          <w:p w14:paraId="74DDAE99" w14:textId="77777777" w:rsidR="00584EC1" w:rsidRDefault="00584EC1">
            <w:pPr>
              <w:rPr>
                <w:rFonts w:ascii="宋体"/>
                <w:vanish/>
              </w:rPr>
            </w:pPr>
          </w:p>
        </w:tc>
        <w:tc>
          <w:tcPr>
            <w:tcW w:w="0" w:type="auto"/>
            <w:gridSpan w:val="3"/>
            <w:shd w:val="clear" w:color="auto" w:fill="auto"/>
            <w:vAlign w:val="bottom"/>
          </w:tcPr>
          <w:p w14:paraId="74DDAE9A" w14:textId="77777777" w:rsidR="00584EC1" w:rsidRDefault="00584EC1">
            <w:pPr>
              <w:rPr>
                <w:rFonts w:ascii="宋体"/>
                <w:vanish/>
              </w:rPr>
            </w:pPr>
          </w:p>
        </w:tc>
        <w:tc>
          <w:tcPr>
            <w:tcW w:w="0" w:type="auto"/>
            <w:gridSpan w:val="3"/>
            <w:shd w:val="clear" w:color="auto" w:fill="auto"/>
            <w:vAlign w:val="bottom"/>
          </w:tcPr>
          <w:p w14:paraId="74DDAE9B" w14:textId="77777777" w:rsidR="00584EC1" w:rsidRDefault="00584EC1">
            <w:pPr>
              <w:rPr>
                <w:rFonts w:ascii="宋体"/>
                <w:vanish/>
              </w:rPr>
            </w:pPr>
          </w:p>
        </w:tc>
        <w:tc>
          <w:tcPr>
            <w:tcW w:w="0" w:type="auto"/>
            <w:gridSpan w:val="3"/>
            <w:shd w:val="clear" w:color="auto" w:fill="auto"/>
            <w:vAlign w:val="bottom"/>
          </w:tcPr>
          <w:p w14:paraId="74DDAE9C" w14:textId="77777777" w:rsidR="00584EC1" w:rsidRDefault="00584EC1">
            <w:pPr>
              <w:rPr>
                <w:rFonts w:ascii="宋体"/>
                <w:vanish/>
              </w:rPr>
            </w:pPr>
          </w:p>
        </w:tc>
        <w:tc>
          <w:tcPr>
            <w:tcW w:w="0" w:type="auto"/>
            <w:gridSpan w:val="3"/>
            <w:shd w:val="clear" w:color="auto" w:fill="auto"/>
            <w:vAlign w:val="bottom"/>
          </w:tcPr>
          <w:p w14:paraId="74DDAE9D" w14:textId="77777777" w:rsidR="00584EC1" w:rsidRDefault="00584EC1">
            <w:pPr>
              <w:rPr>
                <w:rFonts w:ascii="宋体"/>
                <w:vanish/>
              </w:rPr>
            </w:pPr>
          </w:p>
        </w:tc>
        <w:tc>
          <w:tcPr>
            <w:tcW w:w="0" w:type="auto"/>
            <w:gridSpan w:val="3"/>
            <w:shd w:val="clear" w:color="auto" w:fill="auto"/>
            <w:vAlign w:val="bottom"/>
          </w:tcPr>
          <w:p w14:paraId="74DDAE9E" w14:textId="77777777" w:rsidR="00584EC1" w:rsidRDefault="00584EC1">
            <w:pPr>
              <w:rPr>
                <w:rFonts w:ascii="宋体"/>
                <w:vanish/>
              </w:rPr>
            </w:pPr>
          </w:p>
        </w:tc>
        <w:tc>
          <w:tcPr>
            <w:tcW w:w="0" w:type="auto"/>
            <w:gridSpan w:val="3"/>
            <w:shd w:val="clear" w:color="auto" w:fill="auto"/>
            <w:vAlign w:val="bottom"/>
          </w:tcPr>
          <w:p w14:paraId="74DDAE9F" w14:textId="77777777" w:rsidR="00584EC1" w:rsidRDefault="00584EC1">
            <w:pPr>
              <w:rPr>
                <w:rFonts w:ascii="宋体"/>
                <w:vanish/>
              </w:rPr>
            </w:pPr>
          </w:p>
        </w:tc>
        <w:tc>
          <w:tcPr>
            <w:tcW w:w="0" w:type="auto"/>
            <w:gridSpan w:val="3"/>
            <w:shd w:val="clear" w:color="auto" w:fill="auto"/>
            <w:vAlign w:val="bottom"/>
          </w:tcPr>
          <w:p w14:paraId="74DDAEA0" w14:textId="77777777" w:rsidR="00584EC1" w:rsidRDefault="00584EC1">
            <w:pPr>
              <w:rPr>
                <w:rFonts w:ascii="宋体"/>
                <w:vanish/>
              </w:rPr>
            </w:pPr>
          </w:p>
        </w:tc>
        <w:tc>
          <w:tcPr>
            <w:tcW w:w="0" w:type="auto"/>
            <w:gridSpan w:val="3"/>
            <w:shd w:val="clear" w:color="auto" w:fill="auto"/>
            <w:vAlign w:val="bottom"/>
          </w:tcPr>
          <w:p w14:paraId="74DDAEA1" w14:textId="77777777" w:rsidR="00584EC1" w:rsidRDefault="00584EC1">
            <w:pPr>
              <w:rPr>
                <w:rFonts w:ascii="宋体"/>
                <w:vanish/>
              </w:rPr>
            </w:pPr>
          </w:p>
        </w:tc>
      </w:tr>
      <w:tr w:rsidR="00584EC1" w14:paraId="74DDAEB5" w14:textId="77777777">
        <w:trPr>
          <w:jc w:val="center"/>
          <w:hidden/>
        </w:trPr>
        <w:tc>
          <w:tcPr>
            <w:tcW w:w="0" w:type="auto"/>
            <w:gridSpan w:val="3"/>
            <w:shd w:val="clear" w:color="auto" w:fill="auto"/>
            <w:vAlign w:val="bottom"/>
          </w:tcPr>
          <w:p w14:paraId="74DDAEA3" w14:textId="77777777" w:rsidR="00584EC1" w:rsidRDefault="00584EC1">
            <w:pPr>
              <w:rPr>
                <w:rFonts w:ascii="宋体"/>
                <w:vanish/>
              </w:rPr>
            </w:pPr>
          </w:p>
        </w:tc>
        <w:tc>
          <w:tcPr>
            <w:tcW w:w="0" w:type="auto"/>
            <w:gridSpan w:val="3"/>
            <w:shd w:val="clear" w:color="auto" w:fill="auto"/>
            <w:vAlign w:val="bottom"/>
          </w:tcPr>
          <w:p w14:paraId="74DDAEA4" w14:textId="77777777" w:rsidR="00584EC1" w:rsidRDefault="00584EC1">
            <w:pPr>
              <w:rPr>
                <w:rFonts w:ascii="宋体"/>
                <w:vanish/>
              </w:rPr>
            </w:pPr>
          </w:p>
        </w:tc>
        <w:tc>
          <w:tcPr>
            <w:tcW w:w="0" w:type="auto"/>
            <w:gridSpan w:val="3"/>
            <w:shd w:val="clear" w:color="auto" w:fill="auto"/>
            <w:vAlign w:val="bottom"/>
          </w:tcPr>
          <w:p w14:paraId="74DDAEA5" w14:textId="77777777" w:rsidR="00584EC1" w:rsidRDefault="00584EC1">
            <w:pPr>
              <w:rPr>
                <w:rFonts w:ascii="宋体"/>
                <w:vanish/>
              </w:rPr>
            </w:pPr>
          </w:p>
        </w:tc>
        <w:tc>
          <w:tcPr>
            <w:tcW w:w="0" w:type="auto"/>
            <w:gridSpan w:val="3"/>
            <w:shd w:val="clear" w:color="auto" w:fill="auto"/>
            <w:vAlign w:val="bottom"/>
          </w:tcPr>
          <w:p w14:paraId="74DDAEA6" w14:textId="77777777" w:rsidR="00584EC1" w:rsidRDefault="00584EC1">
            <w:pPr>
              <w:rPr>
                <w:rFonts w:ascii="宋体"/>
                <w:vanish/>
              </w:rPr>
            </w:pPr>
          </w:p>
        </w:tc>
        <w:tc>
          <w:tcPr>
            <w:tcW w:w="0" w:type="auto"/>
            <w:gridSpan w:val="3"/>
            <w:shd w:val="clear" w:color="auto" w:fill="auto"/>
            <w:vAlign w:val="bottom"/>
          </w:tcPr>
          <w:p w14:paraId="74DDAEA7" w14:textId="77777777" w:rsidR="00584EC1" w:rsidRDefault="00584EC1">
            <w:pPr>
              <w:rPr>
                <w:rFonts w:ascii="宋体"/>
                <w:vanish/>
              </w:rPr>
            </w:pPr>
          </w:p>
        </w:tc>
        <w:tc>
          <w:tcPr>
            <w:tcW w:w="0" w:type="auto"/>
            <w:gridSpan w:val="3"/>
            <w:shd w:val="clear" w:color="auto" w:fill="auto"/>
            <w:vAlign w:val="bottom"/>
          </w:tcPr>
          <w:p w14:paraId="74DDAEA8" w14:textId="77777777" w:rsidR="00584EC1" w:rsidRDefault="00584EC1">
            <w:pPr>
              <w:rPr>
                <w:rFonts w:ascii="宋体"/>
                <w:vanish/>
              </w:rPr>
            </w:pPr>
          </w:p>
        </w:tc>
        <w:tc>
          <w:tcPr>
            <w:tcW w:w="0" w:type="auto"/>
            <w:gridSpan w:val="3"/>
            <w:shd w:val="clear" w:color="auto" w:fill="auto"/>
            <w:vAlign w:val="bottom"/>
          </w:tcPr>
          <w:p w14:paraId="74DDAEA9" w14:textId="77777777" w:rsidR="00584EC1" w:rsidRDefault="00584EC1">
            <w:pPr>
              <w:rPr>
                <w:rFonts w:ascii="宋体"/>
                <w:vanish/>
              </w:rPr>
            </w:pPr>
          </w:p>
        </w:tc>
        <w:tc>
          <w:tcPr>
            <w:tcW w:w="0" w:type="auto"/>
            <w:gridSpan w:val="3"/>
            <w:shd w:val="clear" w:color="auto" w:fill="auto"/>
            <w:vAlign w:val="bottom"/>
          </w:tcPr>
          <w:p w14:paraId="74DDAEAA" w14:textId="77777777" w:rsidR="00584EC1" w:rsidRDefault="00584EC1">
            <w:pPr>
              <w:rPr>
                <w:rFonts w:ascii="宋体"/>
                <w:vanish/>
              </w:rPr>
            </w:pPr>
          </w:p>
        </w:tc>
        <w:tc>
          <w:tcPr>
            <w:tcW w:w="0" w:type="auto"/>
            <w:gridSpan w:val="3"/>
            <w:shd w:val="clear" w:color="auto" w:fill="auto"/>
            <w:vAlign w:val="bottom"/>
          </w:tcPr>
          <w:p w14:paraId="74DDAEAB" w14:textId="77777777" w:rsidR="00584EC1" w:rsidRDefault="00584EC1">
            <w:pPr>
              <w:rPr>
                <w:rFonts w:ascii="宋体"/>
                <w:vanish/>
              </w:rPr>
            </w:pPr>
          </w:p>
        </w:tc>
        <w:tc>
          <w:tcPr>
            <w:tcW w:w="0" w:type="auto"/>
            <w:gridSpan w:val="3"/>
            <w:shd w:val="clear" w:color="auto" w:fill="auto"/>
            <w:vAlign w:val="bottom"/>
          </w:tcPr>
          <w:p w14:paraId="74DDAEAC" w14:textId="77777777" w:rsidR="00584EC1" w:rsidRDefault="00584EC1">
            <w:pPr>
              <w:rPr>
                <w:rFonts w:ascii="宋体"/>
                <w:vanish/>
              </w:rPr>
            </w:pPr>
          </w:p>
        </w:tc>
        <w:tc>
          <w:tcPr>
            <w:tcW w:w="0" w:type="auto"/>
            <w:gridSpan w:val="3"/>
            <w:shd w:val="clear" w:color="auto" w:fill="auto"/>
            <w:vAlign w:val="bottom"/>
          </w:tcPr>
          <w:p w14:paraId="74DDAEAD" w14:textId="77777777" w:rsidR="00584EC1" w:rsidRDefault="00584EC1">
            <w:pPr>
              <w:rPr>
                <w:rFonts w:ascii="宋体"/>
                <w:vanish/>
              </w:rPr>
            </w:pPr>
          </w:p>
        </w:tc>
        <w:tc>
          <w:tcPr>
            <w:tcW w:w="0" w:type="auto"/>
            <w:gridSpan w:val="3"/>
            <w:shd w:val="clear" w:color="auto" w:fill="auto"/>
            <w:vAlign w:val="bottom"/>
          </w:tcPr>
          <w:p w14:paraId="74DDAEAE" w14:textId="77777777" w:rsidR="00584EC1" w:rsidRDefault="00584EC1">
            <w:pPr>
              <w:rPr>
                <w:rFonts w:ascii="宋体"/>
                <w:vanish/>
              </w:rPr>
            </w:pPr>
          </w:p>
        </w:tc>
        <w:tc>
          <w:tcPr>
            <w:tcW w:w="0" w:type="auto"/>
            <w:gridSpan w:val="3"/>
            <w:shd w:val="clear" w:color="auto" w:fill="auto"/>
            <w:vAlign w:val="bottom"/>
          </w:tcPr>
          <w:p w14:paraId="74DDAEAF" w14:textId="77777777" w:rsidR="00584EC1" w:rsidRDefault="00584EC1">
            <w:pPr>
              <w:rPr>
                <w:rFonts w:ascii="宋体"/>
                <w:vanish/>
              </w:rPr>
            </w:pPr>
          </w:p>
        </w:tc>
        <w:tc>
          <w:tcPr>
            <w:tcW w:w="0" w:type="auto"/>
            <w:gridSpan w:val="3"/>
            <w:shd w:val="clear" w:color="auto" w:fill="auto"/>
            <w:vAlign w:val="bottom"/>
          </w:tcPr>
          <w:p w14:paraId="74DDAEB0" w14:textId="77777777" w:rsidR="00584EC1" w:rsidRDefault="00584EC1">
            <w:pPr>
              <w:rPr>
                <w:rFonts w:ascii="宋体"/>
                <w:vanish/>
              </w:rPr>
            </w:pPr>
          </w:p>
        </w:tc>
        <w:tc>
          <w:tcPr>
            <w:tcW w:w="0" w:type="auto"/>
            <w:gridSpan w:val="3"/>
            <w:shd w:val="clear" w:color="auto" w:fill="auto"/>
            <w:vAlign w:val="bottom"/>
          </w:tcPr>
          <w:p w14:paraId="74DDAEB1" w14:textId="77777777" w:rsidR="00584EC1" w:rsidRDefault="00584EC1">
            <w:pPr>
              <w:rPr>
                <w:rFonts w:ascii="宋体"/>
                <w:vanish/>
              </w:rPr>
            </w:pPr>
          </w:p>
        </w:tc>
        <w:tc>
          <w:tcPr>
            <w:tcW w:w="0" w:type="auto"/>
            <w:gridSpan w:val="3"/>
            <w:shd w:val="clear" w:color="auto" w:fill="auto"/>
            <w:vAlign w:val="bottom"/>
          </w:tcPr>
          <w:p w14:paraId="74DDAEB2" w14:textId="77777777" w:rsidR="00584EC1" w:rsidRDefault="00584EC1">
            <w:pPr>
              <w:rPr>
                <w:rFonts w:ascii="宋体"/>
                <w:vanish/>
              </w:rPr>
            </w:pPr>
          </w:p>
        </w:tc>
        <w:tc>
          <w:tcPr>
            <w:tcW w:w="0" w:type="auto"/>
            <w:gridSpan w:val="3"/>
            <w:shd w:val="clear" w:color="auto" w:fill="auto"/>
            <w:vAlign w:val="bottom"/>
          </w:tcPr>
          <w:p w14:paraId="74DDAEB3" w14:textId="77777777" w:rsidR="00584EC1" w:rsidRDefault="00584EC1">
            <w:pPr>
              <w:rPr>
                <w:rFonts w:ascii="宋体"/>
                <w:vanish/>
              </w:rPr>
            </w:pPr>
          </w:p>
        </w:tc>
        <w:tc>
          <w:tcPr>
            <w:tcW w:w="0" w:type="auto"/>
            <w:gridSpan w:val="3"/>
            <w:shd w:val="clear" w:color="auto" w:fill="auto"/>
            <w:vAlign w:val="bottom"/>
          </w:tcPr>
          <w:p w14:paraId="74DDAEB4" w14:textId="77777777" w:rsidR="00584EC1" w:rsidRDefault="00584EC1">
            <w:pPr>
              <w:rPr>
                <w:rFonts w:ascii="宋体"/>
                <w:vanish/>
              </w:rPr>
            </w:pPr>
          </w:p>
        </w:tc>
      </w:tr>
      <w:tr w:rsidR="00584EC1" w14:paraId="74DDAEC8" w14:textId="77777777">
        <w:trPr>
          <w:jc w:val="center"/>
          <w:hidden/>
        </w:trPr>
        <w:tc>
          <w:tcPr>
            <w:tcW w:w="0" w:type="auto"/>
            <w:gridSpan w:val="3"/>
            <w:shd w:val="clear" w:color="auto" w:fill="auto"/>
            <w:vAlign w:val="bottom"/>
          </w:tcPr>
          <w:p w14:paraId="74DDAEB6" w14:textId="77777777" w:rsidR="00584EC1" w:rsidRDefault="00584EC1">
            <w:pPr>
              <w:rPr>
                <w:rFonts w:ascii="宋体"/>
                <w:vanish/>
              </w:rPr>
            </w:pPr>
          </w:p>
        </w:tc>
        <w:tc>
          <w:tcPr>
            <w:tcW w:w="0" w:type="auto"/>
            <w:gridSpan w:val="3"/>
            <w:shd w:val="clear" w:color="auto" w:fill="auto"/>
            <w:vAlign w:val="bottom"/>
          </w:tcPr>
          <w:p w14:paraId="74DDAEB7" w14:textId="77777777" w:rsidR="00584EC1" w:rsidRDefault="00584EC1">
            <w:pPr>
              <w:rPr>
                <w:rFonts w:ascii="宋体"/>
                <w:vanish/>
              </w:rPr>
            </w:pPr>
          </w:p>
        </w:tc>
        <w:tc>
          <w:tcPr>
            <w:tcW w:w="0" w:type="auto"/>
            <w:gridSpan w:val="3"/>
            <w:shd w:val="clear" w:color="auto" w:fill="auto"/>
            <w:vAlign w:val="bottom"/>
          </w:tcPr>
          <w:p w14:paraId="74DDAEB8" w14:textId="77777777" w:rsidR="00584EC1" w:rsidRDefault="00584EC1">
            <w:pPr>
              <w:rPr>
                <w:rFonts w:ascii="宋体"/>
                <w:vanish/>
              </w:rPr>
            </w:pPr>
          </w:p>
        </w:tc>
        <w:tc>
          <w:tcPr>
            <w:tcW w:w="0" w:type="auto"/>
            <w:gridSpan w:val="3"/>
            <w:shd w:val="clear" w:color="auto" w:fill="auto"/>
            <w:vAlign w:val="bottom"/>
          </w:tcPr>
          <w:p w14:paraId="74DDAEB9" w14:textId="77777777" w:rsidR="00584EC1" w:rsidRDefault="00584EC1">
            <w:pPr>
              <w:rPr>
                <w:rFonts w:ascii="宋体"/>
                <w:vanish/>
              </w:rPr>
            </w:pPr>
          </w:p>
        </w:tc>
        <w:tc>
          <w:tcPr>
            <w:tcW w:w="0" w:type="auto"/>
            <w:gridSpan w:val="3"/>
            <w:shd w:val="clear" w:color="auto" w:fill="auto"/>
            <w:vAlign w:val="bottom"/>
          </w:tcPr>
          <w:p w14:paraId="74DDAEBA" w14:textId="77777777" w:rsidR="00584EC1" w:rsidRDefault="00584EC1">
            <w:pPr>
              <w:rPr>
                <w:rFonts w:ascii="宋体"/>
                <w:vanish/>
              </w:rPr>
            </w:pPr>
          </w:p>
        </w:tc>
        <w:tc>
          <w:tcPr>
            <w:tcW w:w="0" w:type="auto"/>
            <w:gridSpan w:val="3"/>
            <w:shd w:val="clear" w:color="auto" w:fill="auto"/>
            <w:vAlign w:val="bottom"/>
          </w:tcPr>
          <w:p w14:paraId="74DDAEBB" w14:textId="77777777" w:rsidR="00584EC1" w:rsidRDefault="00584EC1">
            <w:pPr>
              <w:rPr>
                <w:rFonts w:ascii="宋体"/>
                <w:vanish/>
              </w:rPr>
            </w:pPr>
          </w:p>
        </w:tc>
        <w:tc>
          <w:tcPr>
            <w:tcW w:w="0" w:type="auto"/>
            <w:gridSpan w:val="3"/>
            <w:shd w:val="clear" w:color="auto" w:fill="auto"/>
            <w:vAlign w:val="bottom"/>
          </w:tcPr>
          <w:p w14:paraId="74DDAEBC" w14:textId="77777777" w:rsidR="00584EC1" w:rsidRDefault="00584EC1">
            <w:pPr>
              <w:rPr>
                <w:rFonts w:ascii="宋体"/>
                <w:vanish/>
              </w:rPr>
            </w:pPr>
          </w:p>
        </w:tc>
        <w:tc>
          <w:tcPr>
            <w:tcW w:w="0" w:type="auto"/>
            <w:gridSpan w:val="3"/>
            <w:shd w:val="clear" w:color="auto" w:fill="auto"/>
            <w:vAlign w:val="bottom"/>
          </w:tcPr>
          <w:p w14:paraId="74DDAEBD" w14:textId="77777777" w:rsidR="00584EC1" w:rsidRDefault="00584EC1">
            <w:pPr>
              <w:rPr>
                <w:rFonts w:ascii="宋体"/>
                <w:vanish/>
              </w:rPr>
            </w:pPr>
          </w:p>
        </w:tc>
        <w:tc>
          <w:tcPr>
            <w:tcW w:w="0" w:type="auto"/>
            <w:gridSpan w:val="3"/>
            <w:shd w:val="clear" w:color="auto" w:fill="auto"/>
            <w:vAlign w:val="bottom"/>
          </w:tcPr>
          <w:p w14:paraId="74DDAEBE" w14:textId="77777777" w:rsidR="00584EC1" w:rsidRDefault="00584EC1">
            <w:pPr>
              <w:rPr>
                <w:rFonts w:ascii="宋体"/>
                <w:vanish/>
              </w:rPr>
            </w:pPr>
          </w:p>
        </w:tc>
        <w:tc>
          <w:tcPr>
            <w:tcW w:w="0" w:type="auto"/>
            <w:gridSpan w:val="3"/>
            <w:shd w:val="clear" w:color="auto" w:fill="auto"/>
            <w:vAlign w:val="bottom"/>
          </w:tcPr>
          <w:p w14:paraId="74DDAEBF" w14:textId="77777777" w:rsidR="00584EC1" w:rsidRDefault="00584EC1">
            <w:pPr>
              <w:rPr>
                <w:rFonts w:ascii="宋体"/>
                <w:vanish/>
              </w:rPr>
            </w:pPr>
          </w:p>
        </w:tc>
        <w:tc>
          <w:tcPr>
            <w:tcW w:w="0" w:type="auto"/>
            <w:gridSpan w:val="3"/>
            <w:shd w:val="clear" w:color="auto" w:fill="auto"/>
            <w:vAlign w:val="bottom"/>
          </w:tcPr>
          <w:p w14:paraId="74DDAEC0" w14:textId="77777777" w:rsidR="00584EC1" w:rsidRDefault="00584EC1">
            <w:pPr>
              <w:rPr>
                <w:rFonts w:ascii="宋体"/>
                <w:vanish/>
              </w:rPr>
            </w:pPr>
          </w:p>
        </w:tc>
        <w:tc>
          <w:tcPr>
            <w:tcW w:w="0" w:type="auto"/>
            <w:gridSpan w:val="3"/>
            <w:shd w:val="clear" w:color="auto" w:fill="auto"/>
            <w:vAlign w:val="bottom"/>
          </w:tcPr>
          <w:p w14:paraId="74DDAEC1" w14:textId="77777777" w:rsidR="00584EC1" w:rsidRDefault="00584EC1">
            <w:pPr>
              <w:rPr>
                <w:rFonts w:ascii="宋体"/>
                <w:vanish/>
              </w:rPr>
            </w:pPr>
          </w:p>
        </w:tc>
        <w:tc>
          <w:tcPr>
            <w:tcW w:w="0" w:type="auto"/>
            <w:gridSpan w:val="3"/>
            <w:shd w:val="clear" w:color="auto" w:fill="auto"/>
            <w:vAlign w:val="bottom"/>
          </w:tcPr>
          <w:p w14:paraId="74DDAEC2" w14:textId="77777777" w:rsidR="00584EC1" w:rsidRDefault="00584EC1">
            <w:pPr>
              <w:rPr>
                <w:rFonts w:ascii="宋体"/>
                <w:vanish/>
              </w:rPr>
            </w:pPr>
          </w:p>
        </w:tc>
        <w:tc>
          <w:tcPr>
            <w:tcW w:w="0" w:type="auto"/>
            <w:gridSpan w:val="3"/>
            <w:shd w:val="clear" w:color="auto" w:fill="auto"/>
            <w:vAlign w:val="bottom"/>
          </w:tcPr>
          <w:p w14:paraId="74DDAEC3" w14:textId="77777777" w:rsidR="00584EC1" w:rsidRDefault="00584EC1">
            <w:pPr>
              <w:rPr>
                <w:rFonts w:ascii="宋体"/>
                <w:vanish/>
              </w:rPr>
            </w:pPr>
          </w:p>
        </w:tc>
        <w:tc>
          <w:tcPr>
            <w:tcW w:w="0" w:type="auto"/>
            <w:gridSpan w:val="3"/>
            <w:shd w:val="clear" w:color="auto" w:fill="auto"/>
            <w:vAlign w:val="bottom"/>
          </w:tcPr>
          <w:p w14:paraId="74DDAEC4" w14:textId="77777777" w:rsidR="00584EC1" w:rsidRDefault="00584EC1">
            <w:pPr>
              <w:rPr>
                <w:rFonts w:ascii="宋体"/>
                <w:vanish/>
              </w:rPr>
            </w:pPr>
          </w:p>
        </w:tc>
        <w:tc>
          <w:tcPr>
            <w:tcW w:w="0" w:type="auto"/>
            <w:gridSpan w:val="3"/>
            <w:shd w:val="clear" w:color="auto" w:fill="auto"/>
            <w:vAlign w:val="bottom"/>
          </w:tcPr>
          <w:p w14:paraId="74DDAEC5" w14:textId="77777777" w:rsidR="00584EC1" w:rsidRDefault="00584EC1">
            <w:pPr>
              <w:rPr>
                <w:rFonts w:ascii="宋体"/>
                <w:vanish/>
              </w:rPr>
            </w:pPr>
          </w:p>
        </w:tc>
        <w:tc>
          <w:tcPr>
            <w:tcW w:w="0" w:type="auto"/>
            <w:gridSpan w:val="3"/>
            <w:shd w:val="clear" w:color="auto" w:fill="auto"/>
            <w:vAlign w:val="bottom"/>
          </w:tcPr>
          <w:p w14:paraId="74DDAEC6" w14:textId="77777777" w:rsidR="00584EC1" w:rsidRDefault="00584EC1">
            <w:pPr>
              <w:rPr>
                <w:rFonts w:ascii="宋体"/>
                <w:vanish/>
              </w:rPr>
            </w:pPr>
          </w:p>
        </w:tc>
        <w:tc>
          <w:tcPr>
            <w:tcW w:w="0" w:type="auto"/>
            <w:gridSpan w:val="3"/>
            <w:shd w:val="clear" w:color="auto" w:fill="auto"/>
            <w:vAlign w:val="bottom"/>
          </w:tcPr>
          <w:p w14:paraId="74DDAEC7" w14:textId="77777777" w:rsidR="00584EC1" w:rsidRDefault="00584EC1">
            <w:pPr>
              <w:rPr>
                <w:rFonts w:ascii="宋体"/>
                <w:vanish/>
              </w:rPr>
            </w:pPr>
          </w:p>
        </w:tc>
      </w:tr>
      <w:tr w:rsidR="00584EC1" w14:paraId="74DDAEDB" w14:textId="77777777">
        <w:trPr>
          <w:jc w:val="center"/>
          <w:hidden/>
        </w:trPr>
        <w:tc>
          <w:tcPr>
            <w:tcW w:w="0" w:type="auto"/>
            <w:gridSpan w:val="3"/>
            <w:shd w:val="clear" w:color="auto" w:fill="auto"/>
            <w:vAlign w:val="bottom"/>
          </w:tcPr>
          <w:p w14:paraId="74DDAEC9" w14:textId="77777777" w:rsidR="00584EC1" w:rsidRDefault="00584EC1">
            <w:pPr>
              <w:rPr>
                <w:rFonts w:ascii="宋体"/>
                <w:vanish/>
              </w:rPr>
            </w:pPr>
          </w:p>
        </w:tc>
        <w:tc>
          <w:tcPr>
            <w:tcW w:w="0" w:type="auto"/>
            <w:gridSpan w:val="3"/>
            <w:shd w:val="clear" w:color="auto" w:fill="auto"/>
            <w:vAlign w:val="bottom"/>
          </w:tcPr>
          <w:p w14:paraId="74DDAECA" w14:textId="77777777" w:rsidR="00584EC1" w:rsidRDefault="00584EC1">
            <w:pPr>
              <w:rPr>
                <w:rFonts w:ascii="宋体"/>
                <w:vanish/>
              </w:rPr>
            </w:pPr>
          </w:p>
        </w:tc>
        <w:tc>
          <w:tcPr>
            <w:tcW w:w="0" w:type="auto"/>
            <w:gridSpan w:val="3"/>
            <w:shd w:val="clear" w:color="auto" w:fill="auto"/>
            <w:vAlign w:val="bottom"/>
          </w:tcPr>
          <w:p w14:paraId="74DDAECB" w14:textId="77777777" w:rsidR="00584EC1" w:rsidRDefault="00584EC1">
            <w:pPr>
              <w:rPr>
                <w:rFonts w:ascii="宋体"/>
                <w:vanish/>
              </w:rPr>
            </w:pPr>
          </w:p>
        </w:tc>
        <w:tc>
          <w:tcPr>
            <w:tcW w:w="0" w:type="auto"/>
            <w:gridSpan w:val="3"/>
            <w:shd w:val="clear" w:color="auto" w:fill="auto"/>
            <w:vAlign w:val="bottom"/>
          </w:tcPr>
          <w:p w14:paraId="74DDAECC" w14:textId="77777777" w:rsidR="00584EC1" w:rsidRDefault="00584EC1">
            <w:pPr>
              <w:rPr>
                <w:rFonts w:ascii="宋体"/>
                <w:vanish/>
              </w:rPr>
            </w:pPr>
          </w:p>
        </w:tc>
        <w:tc>
          <w:tcPr>
            <w:tcW w:w="0" w:type="auto"/>
            <w:gridSpan w:val="3"/>
            <w:shd w:val="clear" w:color="auto" w:fill="auto"/>
            <w:vAlign w:val="bottom"/>
          </w:tcPr>
          <w:p w14:paraId="74DDAECD" w14:textId="77777777" w:rsidR="00584EC1" w:rsidRDefault="00584EC1">
            <w:pPr>
              <w:rPr>
                <w:rFonts w:ascii="宋体"/>
                <w:vanish/>
              </w:rPr>
            </w:pPr>
          </w:p>
        </w:tc>
        <w:tc>
          <w:tcPr>
            <w:tcW w:w="0" w:type="auto"/>
            <w:gridSpan w:val="3"/>
            <w:shd w:val="clear" w:color="auto" w:fill="auto"/>
            <w:vAlign w:val="bottom"/>
          </w:tcPr>
          <w:p w14:paraId="74DDAECE" w14:textId="77777777" w:rsidR="00584EC1" w:rsidRDefault="00584EC1">
            <w:pPr>
              <w:rPr>
                <w:rFonts w:ascii="宋体"/>
                <w:vanish/>
              </w:rPr>
            </w:pPr>
          </w:p>
        </w:tc>
        <w:tc>
          <w:tcPr>
            <w:tcW w:w="0" w:type="auto"/>
            <w:gridSpan w:val="3"/>
            <w:shd w:val="clear" w:color="auto" w:fill="auto"/>
            <w:vAlign w:val="bottom"/>
          </w:tcPr>
          <w:p w14:paraId="74DDAECF" w14:textId="77777777" w:rsidR="00584EC1" w:rsidRDefault="00584EC1">
            <w:pPr>
              <w:rPr>
                <w:rFonts w:ascii="宋体"/>
                <w:vanish/>
              </w:rPr>
            </w:pPr>
          </w:p>
        </w:tc>
        <w:tc>
          <w:tcPr>
            <w:tcW w:w="0" w:type="auto"/>
            <w:gridSpan w:val="3"/>
            <w:shd w:val="clear" w:color="auto" w:fill="auto"/>
            <w:vAlign w:val="bottom"/>
          </w:tcPr>
          <w:p w14:paraId="74DDAED0" w14:textId="77777777" w:rsidR="00584EC1" w:rsidRDefault="00584EC1">
            <w:pPr>
              <w:rPr>
                <w:rFonts w:ascii="宋体"/>
                <w:vanish/>
              </w:rPr>
            </w:pPr>
          </w:p>
        </w:tc>
        <w:tc>
          <w:tcPr>
            <w:tcW w:w="0" w:type="auto"/>
            <w:gridSpan w:val="3"/>
            <w:shd w:val="clear" w:color="auto" w:fill="auto"/>
            <w:vAlign w:val="bottom"/>
          </w:tcPr>
          <w:p w14:paraId="74DDAED1" w14:textId="77777777" w:rsidR="00584EC1" w:rsidRDefault="00584EC1">
            <w:pPr>
              <w:rPr>
                <w:rFonts w:ascii="宋体"/>
                <w:vanish/>
              </w:rPr>
            </w:pPr>
          </w:p>
        </w:tc>
        <w:tc>
          <w:tcPr>
            <w:tcW w:w="0" w:type="auto"/>
            <w:gridSpan w:val="3"/>
            <w:shd w:val="clear" w:color="auto" w:fill="auto"/>
            <w:vAlign w:val="bottom"/>
          </w:tcPr>
          <w:p w14:paraId="74DDAED2" w14:textId="77777777" w:rsidR="00584EC1" w:rsidRDefault="00584EC1">
            <w:pPr>
              <w:rPr>
                <w:rFonts w:ascii="宋体"/>
                <w:vanish/>
              </w:rPr>
            </w:pPr>
          </w:p>
        </w:tc>
        <w:tc>
          <w:tcPr>
            <w:tcW w:w="0" w:type="auto"/>
            <w:gridSpan w:val="3"/>
            <w:shd w:val="clear" w:color="auto" w:fill="auto"/>
            <w:vAlign w:val="bottom"/>
          </w:tcPr>
          <w:p w14:paraId="74DDAED3" w14:textId="77777777" w:rsidR="00584EC1" w:rsidRDefault="00584EC1">
            <w:pPr>
              <w:rPr>
                <w:rFonts w:ascii="宋体"/>
                <w:vanish/>
              </w:rPr>
            </w:pPr>
          </w:p>
        </w:tc>
        <w:tc>
          <w:tcPr>
            <w:tcW w:w="0" w:type="auto"/>
            <w:gridSpan w:val="3"/>
            <w:shd w:val="clear" w:color="auto" w:fill="auto"/>
            <w:vAlign w:val="bottom"/>
          </w:tcPr>
          <w:p w14:paraId="74DDAED4" w14:textId="77777777" w:rsidR="00584EC1" w:rsidRDefault="00584EC1">
            <w:pPr>
              <w:rPr>
                <w:rFonts w:ascii="宋体"/>
                <w:vanish/>
              </w:rPr>
            </w:pPr>
          </w:p>
        </w:tc>
        <w:tc>
          <w:tcPr>
            <w:tcW w:w="0" w:type="auto"/>
            <w:gridSpan w:val="3"/>
            <w:shd w:val="clear" w:color="auto" w:fill="auto"/>
            <w:vAlign w:val="bottom"/>
          </w:tcPr>
          <w:p w14:paraId="74DDAED5" w14:textId="77777777" w:rsidR="00584EC1" w:rsidRDefault="00584EC1">
            <w:pPr>
              <w:rPr>
                <w:rFonts w:ascii="宋体"/>
                <w:vanish/>
              </w:rPr>
            </w:pPr>
          </w:p>
        </w:tc>
        <w:tc>
          <w:tcPr>
            <w:tcW w:w="0" w:type="auto"/>
            <w:gridSpan w:val="3"/>
            <w:shd w:val="clear" w:color="auto" w:fill="auto"/>
            <w:vAlign w:val="bottom"/>
          </w:tcPr>
          <w:p w14:paraId="74DDAED6" w14:textId="77777777" w:rsidR="00584EC1" w:rsidRDefault="00584EC1">
            <w:pPr>
              <w:rPr>
                <w:rFonts w:ascii="宋体"/>
                <w:vanish/>
              </w:rPr>
            </w:pPr>
          </w:p>
        </w:tc>
        <w:tc>
          <w:tcPr>
            <w:tcW w:w="0" w:type="auto"/>
            <w:gridSpan w:val="3"/>
            <w:shd w:val="clear" w:color="auto" w:fill="auto"/>
            <w:vAlign w:val="bottom"/>
          </w:tcPr>
          <w:p w14:paraId="74DDAED7" w14:textId="77777777" w:rsidR="00584EC1" w:rsidRDefault="00584EC1">
            <w:pPr>
              <w:rPr>
                <w:rFonts w:ascii="宋体"/>
                <w:vanish/>
              </w:rPr>
            </w:pPr>
          </w:p>
        </w:tc>
        <w:tc>
          <w:tcPr>
            <w:tcW w:w="0" w:type="auto"/>
            <w:gridSpan w:val="3"/>
            <w:shd w:val="clear" w:color="auto" w:fill="auto"/>
            <w:vAlign w:val="bottom"/>
          </w:tcPr>
          <w:p w14:paraId="74DDAED8" w14:textId="77777777" w:rsidR="00584EC1" w:rsidRDefault="00584EC1">
            <w:pPr>
              <w:rPr>
                <w:rFonts w:ascii="宋体"/>
                <w:vanish/>
              </w:rPr>
            </w:pPr>
          </w:p>
        </w:tc>
        <w:tc>
          <w:tcPr>
            <w:tcW w:w="0" w:type="auto"/>
            <w:gridSpan w:val="3"/>
            <w:shd w:val="clear" w:color="auto" w:fill="auto"/>
            <w:vAlign w:val="bottom"/>
          </w:tcPr>
          <w:p w14:paraId="74DDAED9" w14:textId="77777777" w:rsidR="00584EC1" w:rsidRDefault="00584EC1">
            <w:pPr>
              <w:rPr>
                <w:rFonts w:ascii="宋体"/>
                <w:vanish/>
              </w:rPr>
            </w:pPr>
          </w:p>
        </w:tc>
        <w:tc>
          <w:tcPr>
            <w:tcW w:w="0" w:type="auto"/>
            <w:gridSpan w:val="3"/>
            <w:shd w:val="clear" w:color="auto" w:fill="auto"/>
            <w:vAlign w:val="bottom"/>
          </w:tcPr>
          <w:p w14:paraId="74DDAEDA" w14:textId="77777777" w:rsidR="00584EC1" w:rsidRDefault="00584EC1">
            <w:pPr>
              <w:rPr>
                <w:rFonts w:ascii="宋体"/>
                <w:vanish/>
              </w:rPr>
            </w:pPr>
          </w:p>
        </w:tc>
      </w:tr>
      <w:tr w:rsidR="00584EC1" w14:paraId="74DDAEEE" w14:textId="77777777">
        <w:trPr>
          <w:jc w:val="center"/>
          <w:hidden/>
        </w:trPr>
        <w:tc>
          <w:tcPr>
            <w:tcW w:w="0" w:type="auto"/>
            <w:gridSpan w:val="3"/>
            <w:shd w:val="clear" w:color="auto" w:fill="auto"/>
            <w:vAlign w:val="bottom"/>
          </w:tcPr>
          <w:p w14:paraId="74DDAEDC" w14:textId="77777777" w:rsidR="00584EC1" w:rsidRDefault="00584EC1">
            <w:pPr>
              <w:rPr>
                <w:rFonts w:ascii="宋体"/>
                <w:vanish/>
              </w:rPr>
            </w:pPr>
          </w:p>
        </w:tc>
        <w:tc>
          <w:tcPr>
            <w:tcW w:w="0" w:type="auto"/>
            <w:gridSpan w:val="3"/>
            <w:shd w:val="clear" w:color="auto" w:fill="auto"/>
            <w:vAlign w:val="bottom"/>
          </w:tcPr>
          <w:p w14:paraId="74DDAEDD" w14:textId="77777777" w:rsidR="00584EC1" w:rsidRDefault="00584EC1">
            <w:pPr>
              <w:rPr>
                <w:rFonts w:ascii="宋体"/>
                <w:vanish/>
              </w:rPr>
            </w:pPr>
          </w:p>
        </w:tc>
        <w:tc>
          <w:tcPr>
            <w:tcW w:w="0" w:type="auto"/>
            <w:gridSpan w:val="3"/>
            <w:shd w:val="clear" w:color="auto" w:fill="auto"/>
            <w:vAlign w:val="bottom"/>
          </w:tcPr>
          <w:p w14:paraId="74DDAEDE" w14:textId="77777777" w:rsidR="00584EC1" w:rsidRDefault="00584EC1">
            <w:pPr>
              <w:rPr>
                <w:rFonts w:ascii="宋体"/>
                <w:vanish/>
              </w:rPr>
            </w:pPr>
          </w:p>
        </w:tc>
        <w:tc>
          <w:tcPr>
            <w:tcW w:w="0" w:type="auto"/>
            <w:gridSpan w:val="3"/>
            <w:shd w:val="clear" w:color="auto" w:fill="auto"/>
            <w:vAlign w:val="bottom"/>
          </w:tcPr>
          <w:p w14:paraId="74DDAEDF" w14:textId="77777777" w:rsidR="00584EC1" w:rsidRDefault="00584EC1">
            <w:pPr>
              <w:rPr>
                <w:rFonts w:ascii="宋体"/>
                <w:vanish/>
              </w:rPr>
            </w:pPr>
          </w:p>
        </w:tc>
        <w:tc>
          <w:tcPr>
            <w:tcW w:w="0" w:type="auto"/>
            <w:gridSpan w:val="3"/>
            <w:shd w:val="clear" w:color="auto" w:fill="auto"/>
            <w:vAlign w:val="bottom"/>
          </w:tcPr>
          <w:p w14:paraId="74DDAEE0" w14:textId="77777777" w:rsidR="00584EC1" w:rsidRDefault="00584EC1">
            <w:pPr>
              <w:rPr>
                <w:rFonts w:ascii="宋体"/>
                <w:vanish/>
              </w:rPr>
            </w:pPr>
          </w:p>
        </w:tc>
        <w:tc>
          <w:tcPr>
            <w:tcW w:w="0" w:type="auto"/>
            <w:gridSpan w:val="3"/>
            <w:shd w:val="clear" w:color="auto" w:fill="auto"/>
            <w:vAlign w:val="bottom"/>
          </w:tcPr>
          <w:p w14:paraId="74DDAEE1" w14:textId="77777777" w:rsidR="00584EC1" w:rsidRDefault="00584EC1">
            <w:pPr>
              <w:rPr>
                <w:rFonts w:ascii="宋体"/>
                <w:vanish/>
              </w:rPr>
            </w:pPr>
          </w:p>
        </w:tc>
        <w:tc>
          <w:tcPr>
            <w:tcW w:w="0" w:type="auto"/>
            <w:gridSpan w:val="3"/>
            <w:shd w:val="clear" w:color="auto" w:fill="auto"/>
            <w:vAlign w:val="bottom"/>
          </w:tcPr>
          <w:p w14:paraId="74DDAEE2" w14:textId="77777777" w:rsidR="00584EC1" w:rsidRDefault="00584EC1">
            <w:pPr>
              <w:rPr>
                <w:rFonts w:ascii="宋体"/>
                <w:vanish/>
              </w:rPr>
            </w:pPr>
          </w:p>
        </w:tc>
        <w:tc>
          <w:tcPr>
            <w:tcW w:w="0" w:type="auto"/>
            <w:gridSpan w:val="3"/>
            <w:shd w:val="clear" w:color="auto" w:fill="auto"/>
            <w:vAlign w:val="bottom"/>
          </w:tcPr>
          <w:p w14:paraId="74DDAEE3" w14:textId="77777777" w:rsidR="00584EC1" w:rsidRDefault="00584EC1">
            <w:pPr>
              <w:rPr>
                <w:rFonts w:ascii="宋体"/>
                <w:vanish/>
              </w:rPr>
            </w:pPr>
          </w:p>
        </w:tc>
        <w:tc>
          <w:tcPr>
            <w:tcW w:w="0" w:type="auto"/>
            <w:gridSpan w:val="3"/>
            <w:shd w:val="clear" w:color="auto" w:fill="auto"/>
            <w:vAlign w:val="bottom"/>
          </w:tcPr>
          <w:p w14:paraId="74DDAEE4" w14:textId="77777777" w:rsidR="00584EC1" w:rsidRDefault="00584EC1">
            <w:pPr>
              <w:rPr>
                <w:rFonts w:ascii="宋体"/>
                <w:vanish/>
              </w:rPr>
            </w:pPr>
          </w:p>
        </w:tc>
        <w:tc>
          <w:tcPr>
            <w:tcW w:w="0" w:type="auto"/>
            <w:gridSpan w:val="3"/>
            <w:shd w:val="clear" w:color="auto" w:fill="auto"/>
            <w:vAlign w:val="bottom"/>
          </w:tcPr>
          <w:p w14:paraId="74DDAEE5" w14:textId="77777777" w:rsidR="00584EC1" w:rsidRDefault="00584EC1">
            <w:pPr>
              <w:rPr>
                <w:rFonts w:ascii="宋体"/>
                <w:vanish/>
              </w:rPr>
            </w:pPr>
          </w:p>
        </w:tc>
        <w:tc>
          <w:tcPr>
            <w:tcW w:w="0" w:type="auto"/>
            <w:gridSpan w:val="3"/>
            <w:shd w:val="clear" w:color="auto" w:fill="auto"/>
            <w:vAlign w:val="bottom"/>
          </w:tcPr>
          <w:p w14:paraId="74DDAEE6" w14:textId="77777777" w:rsidR="00584EC1" w:rsidRDefault="00584EC1">
            <w:pPr>
              <w:rPr>
                <w:rFonts w:ascii="宋体"/>
                <w:vanish/>
              </w:rPr>
            </w:pPr>
          </w:p>
        </w:tc>
        <w:tc>
          <w:tcPr>
            <w:tcW w:w="0" w:type="auto"/>
            <w:gridSpan w:val="3"/>
            <w:shd w:val="clear" w:color="auto" w:fill="auto"/>
            <w:vAlign w:val="bottom"/>
          </w:tcPr>
          <w:p w14:paraId="74DDAEE7" w14:textId="77777777" w:rsidR="00584EC1" w:rsidRDefault="00584EC1">
            <w:pPr>
              <w:rPr>
                <w:rFonts w:ascii="宋体"/>
                <w:vanish/>
              </w:rPr>
            </w:pPr>
          </w:p>
        </w:tc>
        <w:tc>
          <w:tcPr>
            <w:tcW w:w="0" w:type="auto"/>
            <w:gridSpan w:val="3"/>
            <w:shd w:val="clear" w:color="auto" w:fill="auto"/>
            <w:vAlign w:val="bottom"/>
          </w:tcPr>
          <w:p w14:paraId="74DDAEE8" w14:textId="77777777" w:rsidR="00584EC1" w:rsidRDefault="00584EC1">
            <w:pPr>
              <w:rPr>
                <w:rFonts w:ascii="宋体"/>
                <w:vanish/>
              </w:rPr>
            </w:pPr>
          </w:p>
        </w:tc>
        <w:tc>
          <w:tcPr>
            <w:tcW w:w="0" w:type="auto"/>
            <w:gridSpan w:val="3"/>
            <w:shd w:val="clear" w:color="auto" w:fill="auto"/>
            <w:vAlign w:val="bottom"/>
          </w:tcPr>
          <w:p w14:paraId="74DDAEE9" w14:textId="77777777" w:rsidR="00584EC1" w:rsidRDefault="00584EC1">
            <w:pPr>
              <w:rPr>
                <w:rFonts w:ascii="宋体"/>
                <w:vanish/>
              </w:rPr>
            </w:pPr>
          </w:p>
        </w:tc>
        <w:tc>
          <w:tcPr>
            <w:tcW w:w="0" w:type="auto"/>
            <w:gridSpan w:val="3"/>
            <w:shd w:val="clear" w:color="auto" w:fill="auto"/>
            <w:vAlign w:val="bottom"/>
          </w:tcPr>
          <w:p w14:paraId="74DDAEEA" w14:textId="77777777" w:rsidR="00584EC1" w:rsidRDefault="00584EC1">
            <w:pPr>
              <w:rPr>
                <w:rFonts w:ascii="宋体"/>
                <w:vanish/>
              </w:rPr>
            </w:pPr>
          </w:p>
        </w:tc>
        <w:tc>
          <w:tcPr>
            <w:tcW w:w="0" w:type="auto"/>
            <w:gridSpan w:val="3"/>
            <w:shd w:val="clear" w:color="auto" w:fill="auto"/>
            <w:vAlign w:val="bottom"/>
          </w:tcPr>
          <w:p w14:paraId="74DDAEEB" w14:textId="77777777" w:rsidR="00584EC1" w:rsidRDefault="00584EC1">
            <w:pPr>
              <w:rPr>
                <w:rFonts w:ascii="宋体"/>
                <w:vanish/>
              </w:rPr>
            </w:pPr>
          </w:p>
        </w:tc>
        <w:tc>
          <w:tcPr>
            <w:tcW w:w="0" w:type="auto"/>
            <w:gridSpan w:val="3"/>
            <w:shd w:val="clear" w:color="auto" w:fill="auto"/>
            <w:vAlign w:val="bottom"/>
          </w:tcPr>
          <w:p w14:paraId="74DDAEEC" w14:textId="77777777" w:rsidR="00584EC1" w:rsidRDefault="00584EC1">
            <w:pPr>
              <w:rPr>
                <w:rFonts w:ascii="宋体"/>
                <w:vanish/>
              </w:rPr>
            </w:pPr>
          </w:p>
        </w:tc>
        <w:tc>
          <w:tcPr>
            <w:tcW w:w="0" w:type="auto"/>
            <w:gridSpan w:val="3"/>
            <w:shd w:val="clear" w:color="auto" w:fill="auto"/>
            <w:vAlign w:val="bottom"/>
          </w:tcPr>
          <w:p w14:paraId="74DDAEED" w14:textId="77777777" w:rsidR="00584EC1" w:rsidRDefault="00584EC1">
            <w:pPr>
              <w:rPr>
                <w:rFonts w:ascii="宋体"/>
                <w:vanish/>
              </w:rPr>
            </w:pPr>
          </w:p>
        </w:tc>
      </w:tr>
      <w:tr w:rsidR="00584EC1" w14:paraId="74DDAF01" w14:textId="77777777">
        <w:trPr>
          <w:jc w:val="center"/>
          <w:hidden/>
        </w:trPr>
        <w:tc>
          <w:tcPr>
            <w:tcW w:w="0" w:type="auto"/>
            <w:gridSpan w:val="3"/>
            <w:shd w:val="clear" w:color="auto" w:fill="auto"/>
            <w:vAlign w:val="bottom"/>
          </w:tcPr>
          <w:p w14:paraId="74DDAEEF" w14:textId="77777777" w:rsidR="00584EC1" w:rsidRDefault="00584EC1">
            <w:pPr>
              <w:rPr>
                <w:rFonts w:ascii="宋体"/>
                <w:vanish/>
              </w:rPr>
            </w:pPr>
          </w:p>
        </w:tc>
        <w:tc>
          <w:tcPr>
            <w:tcW w:w="0" w:type="auto"/>
            <w:gridSpan w:val="3"/>
            <w:shd w:val="clear" w:color="auto" w:fill="auto"/>
            <w:vAlign w:val="bottom"/>
          </w:tcPr>
          <w:p w14:paraId="74DDAEF0" w14:textId="77777777" w:rsidR="00584EC1" w:rsidRDefault="00584EC1">
            <w:pPr>
              <w:rPr>
                <w:rFonts w:ascii="宋体"/>
                <w:vanish/>
              </w:rPr>
            </w:pPr>
          </w:p>
        </w:tc>
        <w:tc>
          <w:tcPr>
            <w:tcW w:w="0" w:type="auto"/>
            <w:gridSpan w:val="3"/>
            <w:shd w:val="clear" w:color="auto" w:fill="auto"/>
            <w:vAlign w:val="bottom"/>
          </w:tcPr>
          <w:p w14:paraId="74DDAEF1" w14:textId="77777777" w:rsidR="00584EC1" w:rsidRDefault="00584EC1">
            <w:pPr>
              <w:rPr>
                <w:rFonts w:ascii="宋体"/>
                <w:vanish/>
              </w:rPr>
            </w:pPr>
          </w:p>
        </w:tc>
        <w:tc>
          <w:tcPr>
            <w:tcW w:w="0" w:type="auto"/>
            <w:gridSpan w:val="3"/>
            <w:shd w:val="clear" w:color="auto" w:fill="auto"/>
            <w:vAlign w:val="bottom"/>
          </w:tcPr>
          <w:p w14:paraId="74DDAEF2" w14:textId="77777777" w:rsidR="00584EC1" w:rsidRDefault="00584EC1">
            <w:pPr>
              <w:rPr>
                <w:rFonts w:ascii="宋体"/>
                <w:vanish/>
              </w:rPr>
            </w:pPr>
          </w:p>
        </w:tc>
        <w:tc>
          <w:tcPr>
            <w:tcW w:w="0" w:type="auto"/>
            <w:gridSpan w:val="3"/>
            <w:shd w:val="clear" w:color="auto" w:fill="auto"/>
            <w:vAlign w:val="bottom"/>
          </w:tcPr>
          <w:p w14:paraId="74DDAEF3" w14:textId="77777777" w:rsidR="00584EC1" w:rsidRDefault="00584EC1">
            <w:pPr>
              <w:rPr>
                <w:rFonts w:ascii="宋体"/>
                <w:vanish/>
              </w:rPr>
            </w:pPr>
          </w:p>
        </w:tc>
        <w:tc>
          <w:tcPr>
            <w:tcW w:w="0" w:type="auto"/>
            <w:gridSpan w:val="3"/>
            <w:shd w:val="clear" w:color="auto" w:fill="auto"/>
            <w:vAlign w:val="bottom"/>
          </w:tcPr>
          <w:p w14:paraId="74DDAEF4" w14:textId="77777777" w:rsidR="00584EC1" w:rsidRDefault="00584EC1">
            <w:pPr>
              <w:rPr>
                <w:rFonts w:ascii="宋体"/>
                <w:vanish/>
              </w:rPr>
            </w:pPr>
          </w:p>
        </w:tc>
        <w:tc>
          <w:tcPr>
            <w:tcW w:w="0" w:type="auto"/>
            <w:gridSpan w:val="3"/>
            <w:shd w:val="clear" w:color="auto" w:fill="auto"/>
            <w:vAlign w:val="bottom"/>
          </w:tcPr>
          <w:p w14:paraId="74DDAEF5" w14:textId="77777777" w:rsidR="00584EC1" w:rsidRDefault="00584EC1">
            <w:pPr>
              <w:rPr>
                <w:rFonts w:ascii="宋体"/>
                <w:vanish/>
              </w:rPr>
            </w:pPr>
          </w:p>
        </w:tc>
        <w:tc>
          <w:tcPr>
            <w:tcW w:w="0" w:type="auto"/>
            <w:gridSpan w:val="3"/>
            <w:shd w:val="clear" w:color="auto" w:fill="auto"/>
            <w:vAlign w:val="bottom"/>
          </w:tcPr>
          <w:p w14:paraId="74DDAEF6" w14:textId="77777777" w:rsidR="00584EC1" w:rsidRDefault="00584EC1">
            <w:pPr>
              <w:rPr>
                <w:rFonts w:ascii="宋体"/>
                <w:vanish/>
              </w:rPr>
            </w:pPr>
          </w:p>
        </w:tc>
        <w:tc>
          <w:tcPr>
            <w:tcW w:w="0" w:type="auto"/>
            <w:gridSpan w:val="3"/>
            <w:shd w:val="clear" w:color="auto" w:fill="auto"/>
            <w:vAlign w:val="bottom"/>
          </w:tcPr>
          <w:p w14:paraId="74DDAEF7" w14:textId="77777777" w:rsidR="00584EC1" w:rsidRDefault="00584EC1">
            <w:pPr>
              <w:rPr>
                <w:rFonts w:ascii="宋体"/>
                <w:vanish/>
              </w:rPr>
            </w:pPr>
          </w:p>
        </w:tc>
        <w:tc>
          <w:tcPr>
            <w:tcW w:w="0" w:type="auto"/>
            <w:gridSpan w:val="3"/>
            <w:shd w:val="clear" w:color="auto" w:fill="auto"/>
            <w:vAlign w:val="bottom"/>
          </w:tcPr>
          <w:p w14:paraId="74DDAEF8" w14:textId="77777777" w:rsidR="00584EC1" w:rsidRDefault="00584EC1">
            <w:pPr>
              <w:rPr>
                <w:rFonts w:ascii="宋体"/>
                <w:vanish/>
              </w:rPr>
            </w:pPr>
          </w:p>
        </w:tc>
        <w:tc>
          <w:tcPr>
            <w:tcW w:w="0" w:type="auto"/>
            <w:gridSpan w:val="3"/>
            <w:shd w:val="clear" w:color="auto" w:fill="auto"/>
            <w:vAlign w:val="bottom"/>
          </w:tcPr>
          <w:p w14:paraId="74DDAEF9" w14:textId="77777777" w:rsidR="00584EC1" w:rsidRDefault="00584EC1">
            <w:pPr>
              <w:rPr>
                <w:rFonts w:ascii="宋体"/>
                <w:vanish/>
              </w:rPr>
            </w:pPr>
          </w:p>
        </w:tc>
        <w:tc>
          <w:tcPr>
            <w:tcW w:w="0" w:type="auto"/>
            <w:gridSpan w:val="3"/>
            <w:shd w:val="clear" w:color="auto" w:fill="auto"/>
            <w:vAlign w:val="bottom"/>
          </w:tcPr>
          <w:p w14:paraId="74DDAEFA" w14:textId="77777777" w:rsidR="00584EC1" w:rsidRDefault="00584EC1">
            <w:pPr>
              <w:rPr>
                <w:rFonts w:ascii="宋体"/>
                <w:vanish/>
              </w:rPr>
            </w:pPr>
          </w:p>
        </w:tc>
        <w:tc>
          <w:tcPr>
            <w:tcW w:w="0" w:type="auto"/>
            <w:gridSpan w:val="3"/>
            <w:shd w:val="clear" w:color="auto" w:fill="auto"/>
            <w:vAlign w:val="bottom"/>
          </w:tcPr>
          <w:p w14:paraId="74DDAEFB" w14:textId="77777777" w:rsidR="00584EC1" w:rsidRDefault="00584EC1">
            <w:pPr>
              <w:rPr>
                <w:rFonts w:ascii="宋体"/>
                <w:vanish/>
              </w:rPr>
            </w:pPr>
          </w:p>
        </w:tc>
        <w:tc>
          <w:tcPr>
            <w:tcW w:w="0" w:type="auto"/>
            <w:gridSpan w:val="3"/>
            <w:shd w:val="clear" w:color="auto" w:fill="auto"/>
            <w:vAlign w:val="bottom"/>
          </w:tcPr>
          <w:p w14:paraId="74DDAEFC" w14:textId="77777777" w:rsidR="00584EC1" w:rsidRDefault="00584EC1">
            <w:pPr>
              <w:rPr>
                <w:rFonts w:ascii="宋体"/>
                <w:vanish/>
              </w:rPr>
            </w:pPr>
          </w:p>
        </w:tc>
        <w:tc>
          <w:tcPr>
            <w:tcW w:w="0" w:type="auto"/>
            <w:gridSpan w:val="3"/>
            <w:shd w:val="clear" w:color="auto" w:fill="auto"/>
            <w:vAlign w:val="bottom"/>
          </w:tcPr>
          <w:p w14:paraId="74DDAEFD" w14:textId="77777777" w:rsidR="00584EC1" w:rsidRDefault="00584EC1">
            <w:pPr>
              <w:rPr>
                <w:rFonts w:ascii="宋体"/>
                <w:vanish/>
              </w:rPr>
            </w:pPr>
          </w:p>
        </w:tc>
        <w:tc>
          <w:tcPr>
            <w:tcW w:w="0" w:type="auto"/>
            <w:gridSpan w:val="3"/>
            <w:shd w:val="clear" w:color="auto" w:fill="auto"/>
            <w:vAlign w:val="bottom"/>
          </w:tcPr>
          <w:p w14:paraId="74DDAEFE" w14:textId="77777777" w:rsidR="00584EC1" w:rsidRDefault="00584EC1">
            <w:pPr>
              <w:rPr>
                <w:rFonts w:ascii="宋体"/>
                <w:vanish/>
              </w:rPr>
            </w:pPr>
          </w:p>
        </w:tc>
        <w:tc>
          <w:tcPr>
            <w:tcW w:w="0" w:type="auto"/>
            <w:gridSpan w:val="3"/>
            <w:shd w:val="clear" w:color="auto" w:fill="auto"/>
            <w:vAlign w:val="bottom"/>
          </w:tcPr>
          <w:p w14:paraId="74DDAEFF" w14:textId="77777777" w:rsidR="00584EC1" w:rsidRDefault="00584EC1">
            <w:pPr>
              <w:rPr>
                <w:rFonts w:ascii="宋体"/>
                <w:vanish/>
              </w:rPr>
            </w:pPr>
          </w:p>
        </w:tc>
        <w:tc>
          <w:tcPr>
            <w:tcW w:w="0" w:type="auto"/>
            <w:gridSpan w:val="3"/>
            <w:shd w:val="clear" w:color="auto" w:fill="auto"/>
            <w:vAlign w:val="bottom"/>
          </w:tcPr>
          <w:p w14:paraId="74DDAF00" w14:textId="77777777" w:rsidR="00584EC1" w:rsidRDefault="00584EC1">
            <w:pPr>
              <w:rPr>
                <w:rFonts w:ascii="宋体"/>
                <w:vanish/>
              </w:rPr>
            </w:pPr>
          </w:p>
        </w:tc>
      </w:tr>
      <w:tr w:rsidR="00584EC1" w14:paraId="74DDAF14" w14:textId="77777777">
        <w:trPr>
          <w:jc w:val="center"/>
          <w:hidden/>
        </w:trPr>
        <w:tc>
          <w:tcPr>
            <w:tcW w:w="0" w:type="auto"/>
            <w:gridSpan w:val="3"/>
            <w:shd w:val="clear" w:color="auto" w:fill="auto"/>
            <w:vAlign w:val="bottom"/>
          </w:tcPr>
          <w:p w14:paraId="74DDAF02" w14:textId="77777777" w:rsidR="00584EC1" w:rsidRDefault="00584EC1">
            <w:pPr>
              <w:rPr>
                <w:rFonts w:ascii="宋体"/>
                <w:vanish/>
              </w:rPr>
            </w:pPr>
          </w:p>
        </w:tc>
        <w:tc>
          <w:tcPr>
            <w:tcW w:w="0" w:type="auto"/>
            <w:gridSpan w:val="3"/>
            <w:shd w:val="clear" w:color="auto" w:fill="auto"/>
            <w:vAlign w:val="bottom"/>
          </w:tcPr>
          <w:p w14:paraId="74DDAF03" w14:textId="77777777" w:rsidR="00584EC1" w:rsidRDefault="00584EC1">
            <w:pPr>
              <w:rPr>
                <w:rFonts w:ascii="宋体"/>
                <w:vanish/>
              </w:rPr>
            </w:pPr>
          </w:p>
        </w:tc>
        <w:tc>
          <w:tcPr>
            <w:tcW w:w="0" w:type="auto"/>
            <w:gridSpan w:val="3"/>
            <w:shd w:val="clear" w:color="auto" w:fill="auto"/>
            <w:vAlign w:val="bottom"/>
          </w:tcPr>
          <w:p w14:paraId="74DDAF04" w14:textId="77777777" w:rsidR="00584EC1" w:rsidRDefault="00584EC1">
            <w:pPr>
              <w:rPr>
                <w:rFonts w:ascii="宋体"/>
                <w:vanish/>
              </w:rPr>
            </w:pPr>
          </w:p>
        </w:tc>
        <w:tc>
          <w:tcPr>
            <w:tcW w:w="0" w:type="auto"/>
            <w:gridSpan w:val="3"/>
            <w:shd w:val="clear" w:color="auto" w:fill="auto"/>
            <w:vAlign w:val="bottom"/>
          </w:tcPr>
          <w:p w14:paraId="74DDAF05" w14:textId="77777777" w:rsidR="00584EC1" w:rsidRDefault="00584EC1">
            <w:pPr>
              <w:rPr>
                <w:rFonts w:ascii="宋体"/>
                <w:vanish/>
              </w:rPr>
            </w:pPr>
          </w:p>
        </w:tc>
        <w:tc>
          <w:tcPr>
            <w:tcW w:w="0" w:type="auto"/>
            <w:gridSpan w:val="3"/>
            <w:shd w:val="clear" w:color="auto" w:fill="auto"/>
            <w:vAlign w:val="bottom"/>
          </w:tcPr>
          <w:p w14:paraId="74DDAF06" w14:textId="77777777" w:rsidR="00584EC1" w:rsidRDefault="00584EC1">
            <w:pPr>
              <w:rPr>
                <w:rFonts w:ascii="宋体"/>
                <w:vanish/>
              </w:rPr>
            </w:pPr>
          </w:p>
        </w:tc>
        <w:tc>
          <w:tcPr>
            <w:tcW w:w="0" w:type="auto"/>
            <w:gridSpan w:val="3"/>
            <w:shd w:val="clear" w:color="auto" w:fill="auto"/>
            <w:vAlign w:val="bottom"/>
          </w:tcPr>
          <w:p w14:paraId="74DDAF07" w14:textId="77777777" w:rsidR="00584EC1" w:rsidRDefault="00584EC1">
            <w:pPr>
              <w:rPr>
                <w:rFonts w:ascii="宋体"/>
                <w:vanish/>
              </w:rPr>
            </w:pPr>
          </w:p>
        </w:tc>
        <w:tc>
          <w:tcPr>
            <w:tcW w:w="0" w:type="auto"/>
            <w:gridSpan w:val="3"/>
            <w:shd w:val="clear" w:color="auto" w:fill="auto"/>
            <w:vAlign w:val="bottom"/>
          </w:tcPr>
          <w:p w14:paraId="74DDAF08" w14:textId="77777777" w:rsidR="00584EC1" w:rsidRDefault="00584EC1">
            <w:pPr>
              <w:rPr>
                <w:rFonts w:ascii="宋体"/>
                <w:vanish/>
              </w:rPr>
            </w:pPr>
          </w:p>
        </w:tc>
        <w:tc>
          <w:tcPr>
            <w:tcW w:w="0" w:type="auto"/>
            <w:gridSpan w:val="3"/>
            <w:shd w:val="clear" w:color="auto" w:fill="auto"/>
            <w:vAlign w:val="bottom"/>
          </w:tcPr>
          <w:p w14:paraId="74DDAF09" w14:textId="77777777" w:rsidR="00584EC1" w:rsidRDefault="00584EC1">
            <w:pPr>
              <w:rPr>
                <w:rFonts w:ascii="宋体"/>
                <w:vanish/>
              </w:rPr>
            </w:pPr>
          </w:p>
        </w:tc>
        <w:tc>
          <w:tcPr>
            <w:tcW w:w="0" w:type="auto"/>
            <w:gridSpan w:val="3"/>
            <w:shd w:val="clear" w:color="auto" w:fill="auto"/>
            <w:vAlign w:val="bottom"/>
          </w:tcPr>
          <w:p w14:paraId="74DDAF0A" w14:textId="77777777" w:rsidR="00584EC1" w:rsidRDefault="00584EC1">
            <w:pPr>
              <w:rPr>
                <w:rFonts w:ascii="宋体"/>
                <w:vanish/>
              </w:rPr>
            </w:pPr>
          </w:p>
        </w:tc>
        <w:tc>
          <w:tcPr>
            <w:tcW w:w="0" w:type="auto"/>
            <w:gridSpan w:val="3"/>
            <w:shd w:val="clear" w:color="auto" w:fill="auto"/>
            <w:vAlign w:val="bottom"/>
          </w:tcPr>
          <w:p w14:paraId="74DDAF0B" w14:textId="77777777" w:rsidR="00584EC1" w:rsidRDefault="00584EC1">
            <w:pPr>
              <w:rPr>
                <w:rFonts w:ascii="宋体"/>
                <w:vanish/>
              </w:rPr>
            </w:pPr>
          </w:p>
        </w:tc>
        <w:tc>
          <w:tcPr>
            <w:tcW w:w="0" w:type="auto"/>
            <w:gridSpan w:val="3"/>
            <w:shd w:val="clear" w:color="auto" w:fill="auto"/>
            <w:vAlign w:val="bottom"/>
          </w:tcPr>
          <w:p w14:paraId="74DDAF0C" w14:textId="77777777" w:rsidR="00584EC1" w:rsidRDefault="00584EC1">
            <w:pPr>
              <w:rPr>
                <w:rFonts w:ascii="宋体"/>
                <w:vanish/>
              </w:rPr>
            </w:pPr>
          </w:p>
        </w:tc>
        <w:tc>
          <w:tcPr>
            <w:tcW w:w="0" w:type="auto"/>
            <w:gridSpan w:val="3"/>
            <w:shd w:val="clear" w:color="auto" w:fill="auto"/>
            <w:vAlign w:val="bottom"/>
          </w:tcPr>
          <w:p w14:paraId="74DDAF0D" w14:textId="77777777" w:rsidR="00584EC1" w:rsidRDefault="00584EC1">
            <w:pPr>
              <w:rPr>
                <w:rFonts w:ascii="宋体"/>
                <w:vanish/>
              </w:rPr>
            </w:pPr>
          </w:p>
        </w:tc>
        <w:tc>
          <w:tcPr>
            <w:tcW w:w="0" w:type="auto"/>
            <w:gridSpan w:val="3"/>
            <w:shd w:val="clear" w:color="auto" w:fill="auto"/>
            <w:vAlign w:val="bottom"/>
          </w:tcPr>
          <w:p w14:paraId="74DDAF0E" w14:textId="77777777" w:rsidR="00584EC1" w:rsidRDefault="00584EC1">
            <w:pPr>
              <w:rPr>
                <w:rFonts w:ascii="宋体"/>
                <w:vanish/>
              </w:rPr>
            </w:pPr>
          </w:p>
        </w:tc>
        <w:tc>
          <w:tcPr>
            <w:tcW w:w="0" w:type="auto"/>
            <w:gridSpan w:val="3"/>
            <w:shd w:val="clear" w:color="auto" w:fill="auto"/>
            <w:vAlign w:val="bottom"/>
          </w:tcPr>
          <w:p w14:paraId="74DDAF0F" w14:textId="77777777" w:rsidR="00584EC1" w:rsidRDefault="00584EC1">
            <w:pPr>
              <w:rPr>
                <w:rFonts w:ascii="宋体"/>
                <w:vanish/>
              </w:rPr>
            </w:pPr>
          </w:p>
        </w:tc>
        <w:tc>
          <w:tcPr>
            <w:tcW w:w="0" w:type="auto"/>
            <w:gridSpan w:val="3"/>
            <w:shd w:val="clear" w:color="auto" w:fill="auto"/>
            <w:vAlign w:val="bottom"/>
          </w:tcPr>
          <w:p w14:paraId="74DDAF10" w14:textId="77777777" w:rsidR="00584EC1" w:rsidRDefault="00584EC1">
            <w:pPr>
              <w:rPr>
                <w:rFonts w:ascii="宋体"/>
                <w:vanish/>
              </w:rPr>
            </w:pPr>
          </w:p>
        </w:tc>
        <w:tc>
          <w:tcPr>
            <w:tcW w:w="0" w:type="auto"/>
            <w:gridSpan w:val="3"/>
            <w:shd w:val="clear" w:color="auto" w:fill="auto"/>
            <w:vAlign w:val="bottom"/>
          </w:tcPr>
          <w:p w14:paraId="74DDAF11" w14:textId="77777777" w:rsidR="00584EC1" w:rsidRDefault="00584EC1">
            <w:pPr>
              <w:rPr>
                <w:rFonts w:ascii="宋体"/>
                <w:vanish/>
              </w:rPr>
            </w:pPr>
          </w:p>
        </w:tc>
        <w:tc>
          <w:tcPr>
            <w:tcW w:w="0" w:type="auto"/>
            <w:gridSpan w:val="3"/>
            <w:shd w:val="clear" w:color="auto" w:fill="auto"/>
            <w:vAlign w:val="bottom"/>
          </w:tcPr>
          <w:p w14:paraId="74DDAF12" w14:textId="77777777" w:rsidR="00584EC1" w:rsidRDefault="00584EC1">
            <w:pPr>
              <w:rPr>
                <w:rFonts w:ascii="宋体"/>
                <w:vanish/>
              </w:rPr>
            </w:pPr>
          </w:p>
        </w:tc>
        <w:tc>
          <w:tcPr>
            <w:tcW w:w="0" w:type="auto"/>
            <w:gridSpan w:val="3"/>
            <w:shd w:val="clear" w:color="auto" w:fill="auto"/>
            <w:vAlign w:val="bottom"/>
          </w:tcPr>
          <w:p w14:paraId="74DDAF13" w14:textId="77777777" w:rsidR="00584EC1" w:rsidRDefault="00584EC1">
            <w:pPr>
              <w:rPr>
                <w:rFonts w:ascii="宋体"/>
                <w:vanish/>
              </w:rPr>
            </w:pPr>
          </w:p>
        </w:tc>
      </w:tr>
      <w:tr w:rsidR="00584EC1" w14:paraId="74DDAF27" w14:textId="77777777">
        <w:trPr>
          <w:jc w:val="center"/>
          <w:hidden/>
        </w:trPr>
        <w:tc>
          <w:tcPr>
            <w:tcW w:w="0" w:type="auto"/>
            <w:gridSpan w:val="3"/>
            <w:shd w:val="clear" w:color="auto" w:fill="auto"/>
            <w:vAlign w:val="bottom"/>
          </w:tcPr>
          <w:p w14:paraId="74DDAF15" w14:textId="77777777" w:rsidR="00584EC1" w:rsidRDefault="00584EC1">
            <w:pPr>
              <w:rPr>
                <w:rFonts w:ascii="宋体"/>
                <w:vanish/>
              </w:rPr>
            </w:pPr>
          </w:p>
        </w:tc>
        <w:tc>
          <w:tcPr>
            <w:tcW w:w="0" w:type="auto"/>
            <w:gridSpan w:val="3"/>
            <w:shd w:val="clear" w:color="auto" w:fill="auto"/>
            <w:vAlign w:val="bottom"/>
          </w:tcPr>
          <w:p w14:paraId="74DDAF16" w14:textId="77777777" w:rsidR="00584EC1" w:rsidRDefault="00584EC1">
            <w:pPr>
              <w:rPr>
                <w:rFonts w:ascii="宋体"/>
                <w:vanish/>
              </w:rPr>
            </w:pPr>
          </w:p>
        </w:tc>
        <w:tc>
          <w:tcPr>
            <w:tcW w:w="0" w:type="auto"/>
            <w:gridSpan w:val="3"/>
            <w:shd w:val="clear" w:color="auto" w:fill="auto"/>
            <w:vAlign w:val="bottom"/>
          </w:tcPr>
          <w:p w14:paraId="74DDAF17" w14:textId="77777777" w:rsidR="00584EC1" w:rsidRDefault="00584EC1">
            <w:pPr>
              <w:rPr>
                <w:rFonts w:ascii="宋体"/>
                <w:vanish/>
              </w:rPr>
            </w:pPr>
          </w:p>
        </w:tc>
        <w:tc>
          <w:tcPr>
            <w:tcW w:w="0" w:type="auto"/>
            <w:gridSpan w:val="3"/>
            <w:shd w:val="clear" w:color="auto" w:fill="auto"/>
            <w:vAlign w:val="bottom"/>
          </w:tcPr>
          <w:p w14:paraId="74DDAF18" w14:textId="77777777" w:rsidR="00584EC1" w:rsidRDefault="00584EC1">
            <w:pPr>
              <w:rPr>
                <w:rFonts w:ascii="宋体"/>
                <w:vanish/>
              </w:rPr>
            </w:pPr>
          </w:p>
        </w:tc>
        <w:tc>
          <w:tcPr>
            <w:tcW w:w="0" w:type="auto"/>
            <w:gridSpan w:val="3"/>
            <w:shd w:val="clear" w:color="auto" w:fill="auto"/>
            <w:vAlign w:val="bottom"/>
          </w:tcPr>
          <w:p w14:paraId="74DDAF19" w14:textId="77777777" w:rsidR="00584EC1" w:rsidRDefault="00584EC1">
            <w:pPr>
              <w:rPr>
                <w:rFonts w:ascii="宋体"/>
                <w:vanish/>
              </w:rPr>
            </w:pPr>
          </w:p>
        </w:tc>
        <w:tc>
          <w:tcPr>
            <w:tcW w:w="0" w:type="auto"/>
            <w:gridSpan w:val="3"/>
            <w:shd w:val="clear" w:color="auto" w:fill="auto"/>
            <w:vAlign w:val="bottom"/>
          </w:tcPr>
          <w:p w14:paraId="74DDAF1A" w14:textId="77777777" w:rsidR="00584EC1" w:rsidRDefault="00584EC1">
            <w:pPr>
              <w:rPr>
                <w:rFonts w:ascii="宋体"/>
                <w:vanish/>
              </w:rPr>
            </w:pPr>
          </w:p>
        </w:tc>
        <w:tc>
          <w:tcPr>
            <w:tcW w:w="0" w:type="auto"/>
            <w:gridSpan w:val="3"/>
            <w:shd w:val="clear" w:color="auto" w:fill="auto"/>
            <w:vAlign w:val="bottom"/>
          </w:tcPr>
          <w:p w14:paraId="74DDAF1B" w14:textId="77777777" w:rsidR="00584EC1" w:rsidRDefault="00584EC1">
            <w:pPr>
              <w:rPr>
                <w:rFonts w:ascii="宋体"/>
                <w:vanish/>
              </w:rPr>
            </w:pPr>
          </w:p>
        </w:tc>
        <w:tc>
          <w:tcPr>
            <w:tcW w:w="0" w:type="auto"/>
            <w:gridSpan w:val="3"/>
            <w:shd w:val="clear" w:color="auto" w:fill="auto"/>
            <w:vAlign w:val="bottom"/>
          </w:tcPr>
          <w:p w14:paraId="74DDAF1C" w14:textId="77777777" w:rsidR="00584EC1" w:rsidRDefault="00584EC1">
            <w:pPr>
              <w:rPr>
                <w:rFonts w:ascii="宋体"/>
                <w:vanish/>
              </w:rPr>
            </w:pPr>
          </w:p>
        </w:tc>
        <w:tc>
          <w:tcPr>
            <w:tcW w:w="0" w:type="auto"/>
            <w:gridSpan w:val="3"/>
            <w:shd w:val="clear" w:color="auto" w:fill="auto"/>
            <w:vAlign w:val="bottom"/>
          </w:tcPr>
          <w:p w14:paraId="74DDAF1D" w14:textId="77777777" w:rsidR="00584EC1" w:rsidRDefault="00584EC1">
            <w:pPr>
              <w:rPr>
                <w:rFonts w:ascii="宋体"/>
                <w:vanish/>
              </w:rPr>
            </w:pPr>
          </w:p>
        </w:tc>
        <w:tc>
          <w:tcPr>
            <w:tcW w:w="0" w:type="auto"/>
            <w:gridSpan w:val="3"/>
            <w:shd w:val="clear" w:color="auto" w:fill="auto"/>
            <w:vAlign w:val="bottom"/>
          </w:tcPr>
          <w:p w14:paraId="74DDAF1E" w14:textId="77777777" w:rsidR="00584EC1" w:rsidRDefault="00584EC1">
            <w:pPr>
              <w:rPr>
                <w:rFonts w:ascii="宋体"/>
                <w:vanish/>
              </w:rPr>
            </w:pPr>
          </w:p>
        </w:tc>
        <w:tc>
          <w:tcPr>
            <w:tcW w:w="0" w:type="auto"/>
            <w:gridSpan w:val="3"/>
            <w:shd w:val="clear" w:color="auto" w:fill="auto"/>
            <w:vAlign w:val="bottom"/>
          </w:tcPr>
          <w:p w14:paraId="74DDAF1F" w14:textId="77777777" w:rsidR="00584EC1" w:rsidRDefault="00584EC1">
            <w:pPr>
              <w:rPr>
                <w:rFonts w:ascii="宋体"/>
                <w:vanish/>
              </w:rPr>
            </w:pPr>
          </w:p>
        </w:tc>
        <w:tc>
          <w:tcPr>
            <w:tcW w:w="0" w:type="auto"/>
            <w:gridSpan w:val="3"/>
            <w:shd w:val="clear" w:color="auto" w:fill="auto"/>
            <w:vAlign w:val="bottom"/>
          </w:tcPr>
          <w:p w14:paraId="74DDAF20" w14:textId="77777777" w:rsidR="00584EC1" w:rsidRDefault="00584EC1">
            <w:pPr>
              <w:rPr>
                <w:rFonts w:ascii="宋体"/>
                <w:vanish/>
              </w:rPr>
            </w:pPr>
          </w:p>
        </w:tc>
        <w:tc>
          <w:tcPr>
            <w:tcW w:w="0" w:type="auto"/>
            <w:gridSpan w:val="3"/>
            <w:shd w:val="clear" w:color="auto" w:fill="auto"/>
            <w:vAlign w:val="bottom"/>
          </w:tcPr>
          <w:p w14:paraId="74DDAF21" w14:textId="77777777" w:rsidR="00584EC1" w:rsidRDefault="00584EC1">
            <w:pPr>
              <w:rPr>
                <w:rFonts w:ascii="宋体"/>
                <w:vanish/>
              </w:rPr>
            </w:pPr>
          </w:p>
        </w:tc>
        <w:tc>
          <w:tcPr>
            <w:tcW w:w="0" w:type="auto"/>
            <w:gridSpan w:val="3"/>
            <w:shd w:val="clear" w:color="auto" w:fill="auto"/>
            <w:vAlign w:val="bottom"/>
          </w:tcPr>
          <w:p w14:paraId="74DDAF22" w14:textId="77777777" w:rsidR="00584EC1" w:rsidRDefault="00584EC1">
            <w:pPr>
              <w:rPr>
                <w:rFonts w:ascii="宋体"/>
                <w:vanish/>
              </w:rPr>
            </w:pPr>
          </w:p>
        </w:tc>
        <w:tc>
          <w:tcPr>
            <w:tcW w:w="0" w:type="auto"/>
            <w:gridSpan w:val="3"/>
            <w:shd w:val="clear" w:color="auto" w:fill="auto"/>
            <w:vAlign w:val="bottom"/>
          </w:tcPr>
          <w:p w14:paraId="74DDAF23" w14:textId="77777777" w:rsidR="00584EC1" w:rsidRDefault="00584EC1">
            <w:pPr>
              <w:rPr>
                <w:rFonts w:ascii="宋体"/>
                <w:vanish/>
              </w:rPr>
            </w:pPr>
          </w:p>
        </w:tc>
        <w:tc>
          <w:tcPr>
            <w:tcW w:w="0" w:type="auto"/>
            <w:gridSpan w:val="3"/>
            <w:shd w:val="clear" w:color="auto" w:fill="auto"/>
            <w:vAlign w:val="bottom"/>
          </w:tcPr>
          <w:p w14:paraId="74DDAF24" w14:textId="77777777" w:rsidR="00584EC1" w:rsidRDefault="00584EC1">
            <w:pPr>
              <w:rPr>
                <w:rFonts w:ascii="宋体"/>
                <w:vanish/>
              </w:rPr>
            </w:pPr>
          </w:p>
        </w:tc>
        <w:tc>
          <w:tcPr>
            <w:tcW w:w="0" w:type="auto"/>
            <w:gridSpan w:val="3"/>
            <w:shd w:val="clear" w:color="auto" w:fill="auto"/>
            <w:vAlign w:val="bottom"/>
          </w:tcPr>
          <w:p w14:paraId="74DDAF25" w14:textId="77777777" w:rsidR="00584EC1" w:rsidRDefault="00584EC1">
            <w:pPr>
              <w:rPr>
                <w:rFonts w:ascii="宋体"/>
                <w:vanish/>
              </w:rPr>
            </w:pPr>
          </w:p>
        </w:tc>
        <w:tc>
          <w:tcPr>
            <w:tcW w:w="0" w:type="auto"/>
            <w:gridSpan w:val="3"/>
            <w:shd w:val="clear" w:color="auto" w:fill="auto"/>
            <w:vAlign w:val="bottom"/>
          </w:tcPr>
          <w:p w14:paraId="74DDAF26" w14:textId="77777777" w:rsidR="00584EC1" w:rsidRDefault="00584EC1">
            <w:pPr>
              <w:rPr>
                <w:rFonts w:ascii="宋体"/>
                <w:vanish/>
              </w:rPr>
            </w:pPr>
          </w:p>
        </w:tc>
      </w:tr>
      <w:tr w:rsidR="00584EC1" w14:paraId="74DDAF3A" w14:textId="77777777">
        <w:trPr>
          <w:jc w:val="center"/>
          <w:hidden/>
        </w:trPr>
        <w:tc>
          <w:tcPr>
            <w:tcW w:w="0" w:type="auto"/>
            <w:gridSpan w:val="3"/>
            <w:shd w:val="clear" w:color="auto" w:fill="auto"/>
            <w:vAlign w:val="bottom"/>
          </w:tcPr>
          <w:p w14:paraId="74DDAF28" w14:textId="77777777" w:rsidR="00584EC1" w:rsidRDefault="00584EC1">
            <w:pPr>
              <w:rPr>
                <w:rFonts w:ascii="宋体"/>
                <w:vanish/>
              </w:rPr>
            </w:pPr>
          </w:p>
        </w:tc>
        <w:tc>
          <w:tcPr>
            <w:tcW w:w="0" w:type="auto"/>
            <w:gridSpan w:val="3"/>
            <w:shd w:val="clear" w:color="auto" w:fill="auto"/>
            <w:vAlign w:val="bottom"/>
          </w:tcPr>
          <w:p w14:paraId="74DDAF29" w14:textId="77777777" w:rsidR="00584EC1" w:rsidRDefault="00584EC1">
            <w:pPr>
              <w:rPr>
                <w:rFonts w:ascii="宋体"/>
                <w:vanish/>
              </w:rPr>
            </w:pPr>
          </w:p>
        </w:tc>
        <w:tc>
          <w:tcPr>
            <w:tcW w:w="0" w:type="auto"/>
            <w:gridSpan w:val="3"/>
            <w:shd w:val="clear" w:color="auto" w:fill="auto"/>
            <w:vAlign w:val="bottom"/>
          </w:tcPr>
          <w:p w14:paraId="74DDAF2A" w14:textId="77777777" w:rsidR="00584EC1" w:rsidRDefault="00584EC1">
            <w:pPr>
              <w:rPr>
                <w:rFonts w:ascii="宋体"/>
                <w:vanish/>
              </w:rPr>
            </w:pPr>
          </w:p>
        </w:tc>
        <w:tc>
          <w:tcPr>
            <w:tcW w:w="0" w:type="auto"/>
            <w:gridSpan w:val="3"/>
            <w:shd w:val="clear" w:color="auto" w:fill="auto"/>
            <w:vAlign w:val="bottom"/>
          </w:tcPr>
          <w:p w14:paraId="74DDAF2B" w14:textId="77777777" w:rsidR="00584EC1" w:rsidRDefault="00584EC1">
            <w:pPr>
              <w:rPr>
                <w:rFonts w:ascii="宋体"/>
                <w:vanish/>
              </w:rPr>
            </w:pPr>
          </w:p>
        </w:tc>
        <w:tc>
          <w:tcPr>
            <w:tcW w:w="0" w:type="auto"/>
            <w:gridSpan w:val="3"/>
            <w:shd w:val="clear" w:color="auto" w:fill="auto"/>
            <w:vAlign w:val="bottom"/>
          </w:tcPr>
          <w:p w14:paraId="74DDAF2C" w14:textId="77777777" w:rsidR="00584EC1" w:rsidRDefault="00584EC1">
            <w:pPr>
              <w:rPr>
                <w:rFonts w:ascii="宋体"/>
                <w:vanish/>
              </w:rPr>
            </w:pPr>
          </w:p>
        </w:tc>
        <w:tc>
          <w:tcPr>
            <w:tcW w:w="0" w:type="auto"/>
            <w:gridSpan w:val="3"/>
            <w:shd w:val="clear" w:color="auto" w:fill="auto"/>
            <w:vAlign w:val="bottom"/>
          </w:tcPr>
          <w:p w14:paraId="74DDAF2D" w14:textId="77777777" w:rsidR="00584EC1" w:rsidRDefault="00584EC1">
            <w:pPr>
              <w:rPr>
                <w:rFonts w:ascii="宋体"/>
                <w:vanish/>
              </w:rPr>
            </w:pPr>
          </w:p>
        </w:tc>
        <w:tc>
          <w:tcPr>
            <w:tcW w:w="0" w:type="auto"/>
            <w:gridSpan w:val="3"/>
            <w:shd w:val="clear" w:color="auto" w:fill="auto"/>
            <w:vAlign w:val="bottom"/>
          </w:tcPr>
          <w:p w14:paraId="74DDAF2E" w14:textId="77777777" w:rsidR="00584EC1" w:rsidRDefault="00584EC1">
            <w:pPr>
              <w:rPr>
                <w:rFonts w:ascii="宋体"/>
                <w:vanish/>
              </w:rPr>
            </w:pPr>
          </w:p>
        </w:tc>
        <w:tc>
          <w:tcPr>
            <w:tcW w:w="0" w:type="auto"/>
            <w:gridSpan w:val="3"/>
            <w:shd w:val="clear" w:color="auto" w:fill="auto"/>
            <w:vAlign w:val="bottom"/>
          </w:tcPr>
          <w:p w14:paraId="74DDAF2F" w14:textId="77777777" w:rsidR="00584EC1" w:rsidRDefault="00584EC1">
            <w:pPr>
              <w:rPr>
                <w:rFonts w:ascii="宋体"/>
                <w:vanish/>
              </w:rPr>
            </w:pPr>
          </w:p>
        </w:tc>
        <w:tc>
          <w:tcPr>
            <w:tcW w:w="0" w:type="auto"/>
            <w:gridSpan w:val="3"/>
            <w:shd w:val="clear" w:color="auto" w:fill="auto"/>
            <w:vAlign w:val="bottom"/>
          </w:tcPr>
          <w:p w14:paraId="74DDAF30" w14:textId="77777777" w:rsidR="00584EC1" w:rsidRDefault="00584EC1">
            <w:pPr>
              <w:rPr>
                <w:rFonts w:ascii="宋体"/>
                <w:vanish/>
              </w:rPr>
            </w:pPr>
          </w:p>
        </w:tc>
        <w:tc>
          <w:tcPr>
            <w:tcW w:w="0" w:type="auto"/>
            <w:gridSpan w:val="3"/>
            <w:shd w:val="clear" w:color="auto" w:fill="auto"/>
            <w:vAlign w:val="bottom"/>
          </w:tcPr>
          <w:p w14:paraId="74DDAF31" w14:textId="77777777" w:rsidR="00584EC1" w:rsidRDefault="00584EC1">
            <w:pPr>
              <w:rPr>
                <w:rFonts w:ascii="宋体"/>
                <w:vanish/>
              </w:rPr>
            </w:pPr>
          </w:p>
        </w:tc>
        <w:tc>
          <w:tcPr>
            <w:tcW w:w="0" w:type="auto"/>
            <w:gridSpan w:val="3"/>
            <w:shd w:val="clear" w:color="auto" w:fill="auto"/>
            <w:vAlign w:val="bottom"/>
          </w:tcPr>
          <w:p w14:paraId="74DDAF32" w14:textId="77777777" w:rsidR="00584EC1" w:rsidRDefault="00584EC1">
            <w:pPr>
              <w:rPr>
                <w:rFonts w:ascii="宋体"/>
                <w:vanish/>
              </w:rPr>
            </w:pPr>
          </w:p>
        </w:tc>
        <w:tc>
          <w:tcPr>
            <w:tcW w:w="0" w:type="auto"/>
            <w:gridSpan w:val="3"/>
            <w:shd w:val="clear" w:color="auto" w:fill="auto"/>
            <w:vAlign w:val="bottom"/>
          </w:tcPr>
          <w:p w14:paraId="74DDAF33" w14:textId="77777777" w:rsidR="00584EC1" w:rsidRDefault="00584EC1">
            <w:pPr>
              <w:rPr>
                <w:rFonts w:ascii="宋体"/>
                <w:vanish/>
              </w:rPr>
            </w:pPr>
          </w:p>
        </w:tc>
        <w:tc>
          <w:tcPr>
            <w:tcW w:w="0" w:type="auto"/>
            <w:gridSpan w:val="3"/>
            <w:shd w:val="clear" w:color="auto" w:fill="auto"/>
            <w:vAlign w:val="bottom"/>
          </w:tcPr>
          <w:p w14:paraId="74DDAF34" w14:textId="77777777" w:rsidR="00584EC1" w:rsidRDefault="00584EC1">
            <w:pPr>
              <w:rPr>
                <w:rFonts w:ascii="宋体"/>
                <w:vanish/>
              </w:rPr>
            </w:pPr>
          </w:p>
        </w:tc>
        <w:tc>
          <w:tcPr>
            <w:tcW w:w="0" w:type="auto"/>
            <w:gridSpan w:val="3"/>
            <w:shd w:val="clear" w:color="auto" w:fill="auto"/>
            <w:vAlign w:val="bottom"/>
          </w:tcPr>
          <w:p w14:paraId="74DDAF35" w14:textId="77777777" w:rsidR="00584EC1" w:rsidRDefault="00584EC1">
            <w:pPr>
              <w:rPr>
                <w:rFonts w:ascii="宋体"/>
                <w:vanish/>
              </w:rPr>
            </w:pPr>
          </w:p>
        </w:tc>
        <w:tc>
          <w:tcPr>
            <w:tcW w:w="0" w:type="auto"/>
            <w:gridSpan w:val="3"/>
            <w:shd w:val="clear" w:color="auto" w:fill="auto"/>
            <w:vAlign w:val="bottom"/>
          </w:tcPr>
          <w:p w14:paraId="74DDAF36" w14:textId="77777777" w:rsidR="00584EC1" w:rsidRDefault="00584EC1">
            <w:pPr>
              <w:rPr>
                <w:rFonts w:ascii="宋体"/>
                <w:vanish/>
              </w:rPr>
            </w:pPr>
          </w:p>
        </w:tc>
        <w:tc>
          <w:tcPr>
            <w:tcW w:w="0" w:type="auto"/>
            <w:gridSpan w:val="3"/>
            <w:shd w:val="clear" w:color="auto" w:fill="auto"/>
            <w:vAlign w:val="bottom"/>
          </w:tcPr>
          <w:p w14:paraId="74DDAF37" w14:textId="77777777" w:rsidR="00584EC1" w:rsidRDefault="00584EC1">
            <w:pPr>
              <w:rPr>
                <w:rFonts w:ascii="宋体"/>
                <w:vanish/>
              </w:rPr>
            </w:pPr>
          </w:p>
        </w:tc>
        <w:tc>
          <w:tcPr>
            <w:tcW w:w="0" w:type="auto"/>
            <w:gridSpan w:val="3"/>
            <w:shd w:val="clear" w:color="auto" w:fill="auto"/>
            <w:vAlign w:val="bottom"/>
          </w:tcPr>
          <w:p w14:paraId="74DDAF38" w14:textId="77777777" w:rsidR="00584EC1" w:rsidRDefault="00584EC1">
            <w:pPr>
              <w:rPr>
                <w:rFonts w:ascii="宋体"/>
                <w:vanish/>
              </w:rPr>
            </w:pPr>
          </w:p>
        </w:tc>
        <w:tc>
          <w:tcPr>
            <w:tcW w:w="0" w:type="auto"/>
            <w:gridSpan w:val="3"/>
            <w:shd w:val="clear" w:color="auto" w:fill="auto"/>
            <w:vAlign w:val="bottom"/>
          </w:tcPr>
          <w:p w14:paraId="74DDAF39" w14:textId="77777777" w:rsidR="00584EC1" w:rsidRDefault="00584EC1">
            <w:pPr>
              <w:rPr>
                <w:rFonts w:ascii="宋体"/>
                <w:vanish/>
              </w:rPr>
            </w:pPr>
          </w:p>
        </w:tc>
      </w:tr>
      <w:tr w:rsidR="00584EC1" w14:paraId="74DDAF4D" w14:textId="77777777">
        <w:trPr>
          <w:jc w:val="center"/>
          <w:hidden/>
        </w:trPr>
        <w:tc>
          <w:tcPr>
            <w:tcW w:w="0" w:type="auto"/>
            <w:gridSpan w:val="3"/>
            <w:shd w:val="clear" w:color="auto" w:fill="auto"/>
            <w:vAlign w:val="bottom"/>
          </w:tcPr>
          <w:p w14:paraId="74DDAF3B" w14:textId="77777777" w:rsidR="00584EC1" w:rsidRDefault="00584EC1">
            <w:pPr>
              <w:rPr>
                <w:rFonts w:ascii="宋体"/>
                <w:vanish/>
              </w:rPr>
            </w:pPr>
          </w:p>
        </w:tc>
        <w:tc>
          <w:tcPr>
            <w:tcW w:w="0" w:type="auto"/>
            <w:gridSpan w:val="3"/>
            <w:shd w:val="clear" w:color="auto" w:fill="auto"/>
            <w:vAlign w:val="bottom"/>
          </w:tcPr>
          <w:p w14:paraId="74DDAF3C" w14:textId="77777777" w:rsidR="00584EC1" w:rsidRDefault="00584EC1">
            <w:pPr>
              <w:rPr>
                <w:rFonts w:ascii="宋体"/>
                <w:vanish/>
              </w:rPr>
            </w:pPr>
          </w:p>
        </w:tc>
        <w:tc>
          <w:tcPr>
            <w:tcW w:w="0" w:type="auto"/>
            <w:gridSpan w:val="3"/>
            <w:shd w:val="clear" w:color="auto" w:fill="auto"/>
            <w:vAlign w:val="bottom"/>
          </w:tcPr>
          <w:p w14:paraId="74DDAF3D" w14:textId="77777777" w:rsidR="00584EC1" w:rsidRDefault="00584EC1">
            <w:pPr>
              <w:rPr>
                <w:rFonts w:ascii="宋体"/>
                <w:vanish/>
              </w:rPr>
            </w:pPr>
          </w:p>
        </w:tc>
        <w:tc>
          <w:tcPr>
            <w:tcW w:w="0" w:type="auto"/>
            <w:gridSpan w:val="3"/>
            <w:shd w:val="clear" w:color="auto" w:fill="auto"/>
            <w:vAlign w:val="bottom"/>
          </w:tcPr>
          <w:p w14:paraId="74DDAF3E" w14:textId="77777777" w:rsidR="00584EC1" w:rsidRDefault="00584EC1">
            <w:pPr>
              <w:rPr>
                <w:rFonts w:ascii="宋体"/>
                <w:vanish/>
              </w:rPr>
            </w:pPr>
          </w:p>
        </w:tc>
        <w:tc>
          <w:tcPr>
            <w:tcW w:w="0" w:type="auto"/>
            <w:gridSpan w:val="3"/>
            <w:shd w:val="clear" w:color="auto" w:fill="auto"/>
            <w:vAlign w:val="bottom"/>
          </w:tcPr>
          <w:p w14:paraId="74DDAF3F" w14:textId="77777777" w:rsidR="00584EC1" w:rsidRDefault="00584EC1">
            <w:pPr>
              <w:rPr>
                <w:rFonts w:ascii="宋体"/>
                <w:vanish/>
              </w:rPr>
            </w:pPr>
          </w:p>
        </w:tc>
        <w:tc>
          <w:tcPr>
            <w:tcW w:w="0" w:type="auto"/>
            <w:gridSpan w:val="3"/>
            <w:shd w:val="clear" w:color="auto" w:fill="auto"/>
            <w:vAlign w:val="bottom"/>
          </w:tcPr>
          <w:p w14:paraId="74DDAF40" w14:textId="77777777" w:rsidR="00584EC1" w:rsidRDefault="00584EC1">
            <w:pPr>
              <w:rPr>
                <w:rFonts w:ascii="宋体"/>
                <w:vanish/>
              </w:rPr>
            </w:pPr>
          </w:p>
        </w:tc>
        <w:tc>
          <w:tcPr>
            <w:tcW w:w="0" w:type="auto"/>
            <w:gridSpan w:val="3"/>
            <w:shd w:val="clear" w:color="auto" w:fill="auto"/>
            <w:vAlign w:val="bottom"/>
          </w:tcPr>
          <w:p w14:paraId="74DDAF41" w14:textId="77777777" w:rsidR="00584EC1" w:rsidRDefault="00584EC1">
            <w:pPr>
              <w:rPr>
                <w:rFonts w:ascii="宋体"/>
                <w:vanish/>
              </w:rPr>
            </w:pPr>
          </w:p>
        </w:tc>
        <w:tc>
          <w:tcPr>
            <w:tcW w:w="0" w:type="auto"/>
            <w:gridSpan w:val="3"/>
            <w:shd w:val="clear" w:color="auto" w:fill="auto"/>
            <w:vAlign w:val="bottom"/>
          </w:tcPr>
          <w:p w14:paraId="74DDAF42" w14:textId="77777777" w:rsidR="00584EC1" w:rsidRDefault="00584EC1">
            <w:pPr>
              <w:rPr>
                <w:rFonts w:ascii="宋体"/>
                <w:vanish/>
              </w:rPr>
            </w:pPr>
          </w:p>
        </w:tc>
        <w:tc>
          <w:tcPr>
            <w:tcW w:w="0" w:type="auto"/>
            <w:gridSpan w:val="3"/>
            <w:shd w:val="clear" w:color="auto" w:fill="auto"/>
            <w:vAlign w:val="bottom"/>
          </w:tcPr>
          <w:p w14:paraId="74DDAF43" w14:textId="77777777" w:rsidR="00584EC1" w:rsidRDefault="00584EC1">
            <w:pPr>
              <w:rPr>
                <w:rFonts w:ascii="宋体"/>
                <w:vanish/>
              </w:rPr>
            </w:pPr>
          </w:p>
        </w:tc>
        <w:tc>
          <w:tcPr>
            <w:tcW w:w="0" w:type="auto"/>
            <w:gridSpan w:val="3"/>
            <w:shd w:val="clear" w:color="auto" w:fill="auto"/>
            <w:vAlign w:val="bottom"/>
          </w:tcPr>
          <w:p w14:paraId="74DDAF44" w14:textId="77777777" w:rsidR="00584EC1" w:rsidRDefault="00584EC1">
            <w:pPr>
              <w:rPr>
                <w:rFonts w:ascii="宋体"/>
                <w:vanish/>
              </w:rPr>
            </w:pPr>
          </w:p>
        </w:tc>
        <w:tc>
          <w:tcPr>
            <w:tcW w:w="0" w:type="auto"/>
            <w:gridSpan w:val="3"/>
            <w:shd w:val="clear" w:color="auto" w:fill="auto"/>
            <w:vAlign w:val="bottom"/>
          </w:tcPr>
          <w:p w14:paraId="74DDAF45" w14:textId="77777777" w:rsidR="00584EC1" w:rsidRDefault="00584EC1">
            <w:pPr>
              <w:rPr>
                <w:rFonts w:ascii="宋体"/>
                <w:vanish/>
              </w:rPr>
            </w:pPr>
          </w:p>
        </w:tc>
        <w:tc>
          <w:tcPr>
            <w:tcW w:w="0" w:type="auto"/>
            <w:gridSpan w:val="3"/>
            <w:shd w:val="clear" w:color="auto" w:fill="auto"/>
            <w:vAlign w:val="bottom"/>
          </w:tcPr>
          <w:p w14:paraId="74DDAF46" w14:textId="77777777" w:rsidR="00584EC1" w:rsidRDefault="00584EC1">
            <w:pPr>
              <w:rPr>
                <w:rFonts w:ascii="宋体"/>
                <w:vanish/>
              </w:rPr>
            </w:pPr>
          </w:p>
        </w:tc>
        <w:tc>
          <w:tcPr>
            <w:tcW w:w="0" w:type="auto"/>
            <w:gridSpan w:val="3"/>
            <w:shd w:val="clear" w:color="auto" w:fill="auto"/>
            <w:vAlign w:val="bottom"/>
          </w:tcPr>
          <w:p w14:paraId="74DDAF47" w14:textId="77777777" w:rsidR="00584EC1" w:rsidRDefault="00584EC1">
            <w:pPr>
              <w:rPr>
                <w:rFonts w:ascii="宋体"/>
                <w:vanish/>
              </w:rPr>
            </w:pPr>
          </w:p>
        </w:tc>
        <w:tc>
          <w:tcPr>
            <w:tcW w:w="0" w:type="auto"/>
            <w:gridSpan w:val="3"/>
            <w:shd w:val="clear" w:color="auto" w:fill="auto"/>
            <w:vAlign w:val="bottom"/>
          </w:tcPr>
          <w:p w14:paraId="74DDAF48" w14:textId="77777777" w:rsidR="00584EC1" w:rsidRDefault="00584EC1">
            <w:pPr>
              <w:rPr>
                <w:rFonts w:ascii="宋体"/>
                <w:vanish/>
              </w:rPr>
            </w:pPr>
          </w:p>
        </w:tc>
        <w:tc>
          <w:tcPr>
            <w:tcW w:w="0" w:type="auto"/>
            <w:gridSpan w:val="3"/>
            <w:shd w:val="clear" w:color="auto" w:fill="auto"/>
            <w:vAlign w:val="bottom"/>
          </w:tcPr>
          <w:p w14:paraId="74DDAF49" w14:textId="77777777" w:rsidR="00584EC1" w:rsidRDefault="00584EC1">
            <w:pPr>
              <w:rPr>
                <w:rFonts w:ascii="宋体"/>
                <w:vanish/>
              </w:rPr>
            </w:pPr>
          </w:p>
        </w:tc>
        <w:tc>
          <w:tcPr>
            <w:tcW w:w="0" w:type="auto"/>
            <w:gridSpan w:val="3"/>
            <w:shd w:val="clear" w:color="auto" w:fill="auto"/>
            <w:vAlign w:val="bottom"/>
          </w:tcPr>
          <w:p w14:paraId="74DDAF4A" w14:textId="77777777" w:rsidR="00584EC1" w:rsidRDefault="00584EC1">
            <w:pPr>
              <w:rPr>
                <w:rFonts w:ascii="宋体"/>
                <w:vanish/>
              </w:rPr>
            </w:pPr>
          </w:p>
        </w:tc>
        <w:tc>
          <w:tcPr>
            <w:tcW w:w="0" w:type="auto"/>
            <w:gridSpan w:val="3"/>
            <w:shd w:val="clear" w:color="auto" w:fill="auto"/>
            <w:vAlign w:val="bottom"/>
          </w:tcPr>
          <w:p w14:paraId="74DDAF4B" w14:textId="77777777" w:rsidR="00584EC1" w:rsidRDefault="00584EC1">
            <w:pPr>
              <w:rPr>
                <w:rFonts w:ascii="宋体"/>
                <w:vanish/>
              </w:rPr>
            </w:pPr>
          </w:p>
        </w:tc>
        <w:tc>
          <w:tcPr>
            <w:tcW w:w="0" w:type="auto"/>
            <w:gridSpan w:val="3"/>
            <w:shd w:val="clear" w:color="auto" w:fill="auto"/>
            <w:vAlign w:val="bottom"/>
          </w:tcPr>
          <w:p w14:paraId="74DDAF4C" w14:textId="77777777" w:rsidR="00584EC1" w:rsidRDefault="00584EC1">
            <w:pPr>
              <w:rPr>
                <w:rFonts w:ascii="宋体"/>
                <w:vanish/>
              </w:rPr>
            </w:pPr>
          </w:p>
        </w:tc>
      </w:tr>
      <w:tr w:rsidR="00584EC1" w14:paraId="74DDAF60" w14:textId="77777777">
        <w:trPr>
          <w:jc w:val="center"/>
          <w:hidden/>
        </w:trPr>
        <w:tc>
          <w:tcPr>
            <w:tcW w:w="0" w:type="auto"/>
            <w:gridSpan w:val="3"/>
            <w:shd w:val="clear" w:color="auto" w:fill="auto"/>
            <w:vAlign w:val="bottom"/>
          </w:tcPr>
          <w:p w14:paraId="74DDAF4E" w14:textId="77777777" w:rsidR="00584EC1" w:rsidRDefault="00584EC1">
            <w:pPr>
              <w:rPr>
                <w:rFonts w:ascii="宋体"/>
                <w:vanish/>
              </w:rPr>
            </w:pPr>
          </w:p>
        </w:tc>
        <w:tc>
          <w:tcPr>
            <w:tcW w:w="0" w:type="auto"/>
            <w:gridSpan w:val="3"/>
            <w:shd w:val="clear" w:color="auto" w:fill="auto"/>
            <w:vAlign w:val="bottom"/>
          </w:tcPr>
          <w:p w14:paraId="74DDAF4F" w14:textId="77777777" w:rsidR="00584EC1" w:rsidRDefault="00584EC1">
            <w:pPr>
              <w:rPr>
                <w:rFonts w:ascii="宋体"/>
                <w:vanish/>
              </w:rPr>
            </w:pPr>
          </w:p>
        </w:tc>
        <w:tc>
          <w:tcPr>
            <w:tcW w:w="0" w:type="auto"/>
            <w:gridSpan w:val="3"/>
            <w:shd w:val="clear" w:color="auto" w:fill="auto"/>
            <w:vAlign w:val="bottom"/>
          </w:tcPr>
          <w:p w14:paraId="74DDAF50" w14:textId="77777777" w:rsidR="00584EC1" w:rsidRDefault="00584EC1">
            <w:pPr>
              <w:rPr>
                <w:rFonts w:ascii="宋体"/>
                <w:vanish/>
              </w:rPr>
            </w:pPr>
          </w:p>
        </w:tc>
        <w:tc>
          <w:tcPr>
            <w:tcW w:w="0" w:type="auto"/>
            <w:gridSpan w:val="3"/>
            <w:shd w:val="clear" w:color="auto" w:fill="auto"/>
            <w:vAlign w:val="bottom"/>
          </w:tcPr>
          <w:p w14:paraId="74DDAF51" w14:textId="77777777" w:rsidR="00584EC1" w:rsidRDefault="00584EC1">
            <w:pPr>
              <w:rPr>
                <w:rFonts w:ascii="宋体"/>
                <w:vanish/>
              </w:rPr>
            </w:pPr>
          </w:p>
        </w:tc>
        <w:tc>
          <w:tcPr>
            <w:tcW w:w="0" w:type="auto"/>
            <w:gridSpan w:val="3"/>
            <w:shd w:val="clear" w:color="auto" w:fill="auto"/>
            <w:vAlign w:val="bottom"/>
          </w:tcPr>
          <w:p w14:paraId="74DDAF52" w14:textId="77777777" w:rsidR="00584EC1" w:rsidRDefault="00584EC1">
            <w:pPr>
              <w:rPr>
                <w:rFonts w:ascii="宋体"/>
                <w:vanish/>
              </w:rPr>
            </w:pPr>
          </w:p>
        </w:tc>
        <w:tc>
          <w:tcPr>
            <w:tcW w:w="0" w:type="auto"/>
            <w:gridSpan w:val="3"/>
            <w:shd w:val="clear" w:color="auto" w:fill="auto"/>
            <w:vAlign w:val="bottom"/>
          </w:tcPr>
          <w:p w14:paraId="74DDAF53" w14:textId="77777777" w:rsidR="00584EC1" w:rsidRDefault="00584EC1">
            <w:pPr>
              <w:rPr>
                <w:rFonts w:ascii="宋体"/>
                <w:vanish/>
              </w:rPr>
            </w:pPr>
          </w:p>
        </w:tc>
        <w:tc>
          <w:tcPr>
            <w:tcW w:w="0" w:type="auto"/>
            <w:gridSpan w:val="3"/>
            <w:shd w:val="clear" w:color="auto" w:fill="auto"/>
            <w:vAlign w:val="bottom"/>
          </w:tcPr>
          <w:p w14:paraId="74DDAF54" w14:textId="77777777" w:rsidR="00584EC1" w:rsidRDefault="00584EC1">
            <w:pPr>
              <w:rPr>
                <w:rFonts w:ascii="宋体"/>
                <w:vanish/>
              </w:rPr>
            </w:pPr>
          </w:p>
        </w:tc>
        <w:tc>
          <w:tcPr>
            <w:tcW w:w="0" w:type="auto"/>
            <w:gridSpan w:val="3"/>
            <w:shd w:val="clear" w:color="auto" w:fill="auto"/>
            <w:vAlign w:val="bottom"/>
          </w:tcPr>
          <w:p w14:paraId="74DDAF55" w14:textId="77777777" w:rsidR="00584EC1" w:rsidRDefault="00584EC1">
            <w:pPr>
              <w:rPr>
                <w:rFonts w:ascii="宋体"/>
                <w:vanish/>
              </w:rPr>
            </w:pPr>
          </w:p>
        </w:tc>
        <w:tc>
          <w:tcPr>
            <w:tcW w:w="0" w:type="auto"/>
            <w:gridSpan w:val="3"/>
            <w:shd w:val="clear" w:color="auto" w:fill="auto"/>
            <w:vAlign w:val="bottom"/>
          </w:tcPr>
          <w:p w14:paraId="74DDAF56" w14:textId="77777777" w:rsidR="00584EC1" w:rsidRDefault="00584EC1">
            <w:pPr>
              <w:rPr>
                <w:rFonts w:ascii="宋体"/>
                <w:vanish/>
              </w:rPr>
            </w:pPr>
          </w:p>
        </w:tc>
        <w:tc>
          <w:tcPr>
            <w:tcW w:w="0" w:type="auto"/>
            <w:gridSpan w:val="3"/>
            <w:shd w:val="clear" w:color="auto" w:fill="auto"/>
            <w:vAlign w:val="bottom"/>
          </w:tcPr>
          <w:p w14:paraId="74DDAF57" w14:textId="77777777" w:rsidR="00584EC1" w:rsidRDefault="00584EC1">
            <w:pPr>
              <w:rPr>
                <w:rFonts w:ascii="宋体"/>
                <w:vanish/>
              </w:rPr>
            </w:pPr>
          </w:p>
        </w:tc>
        <w:tc>
          <w:tcPr>
            <w:tcW w:w="0" w:type="auto"/>
            <w:gridSpan w:val="3"/>
            <w:shd w:val="clear" w:color="auto" w:fill="auto"/>
            <w:vAlign w:val="bottom"/>
          </w:tcPr>
          <w:p w14:paraId="74DDAF58" w14:textId="77777777" w:rsidR="00584EC1" w:rsidRDefault="00584EC1">
            <w:pPr>
              <w:rPr>
                <w:rFonts w:ascii="宋体"/>
                <w:vanish/>
              </w:rPr>
            </w:pPr>
          </w:p>
        </w:tc>
        <w:tc>
          <w:tcPr>
            <w:tcW w:w="0" w:type="auto"/>
            <w:gridSpan w:val="3"/>
            <w:shd w:val="clear" w:color="auto" w:fill="auto"/>
            <w:vAlign w:val="bottom"/>
          </w:tcPr>
          <w:p w14:paraId="74DDAF59" w14:textId="77777777" w:rsidR="00584EC1" w:rsidRDefault="00584EC1">
            <w:pPr>
              <w:rPr>
                <w:rFonts w:ascii="宋体"/>
                <w:vanish/>
              </w:rPr>
            </w:pPr>
          </w:p>
        </w:tc>
        <w:tc>
          <w:tcPr>
            <w:tcW w:w="0" w:type="auto"/>
            <w:gridSpan w:val="3"/>
            <w:shd w:val="clear" w:color="auto" w:fill="auto"/>
            <w:vAlign w:val="bottom"/>
          </w:tcPr>
          <w:p w14:paraId="74DDAF5A" w14:textId="77777777" w:rsidR="00584EC1" w:rsidRDefault="00584EC1">
            <w:pPr>
              <w:rPr>
                <w:rFonts w:ascii="宋体"/>
                <w:vanish/>
              </w:rPr>
            </w:pPr>
          </w:p>
        </w:tc>
        <w:tc>
          <w:tcPr>
            <w:tcW w:w="0" w:type="auto"/>
            <w:gridSpan w:val="3"/>
            <w:shd w:val="clear" w:color="auto" w:fill="auto"/>
            <w:vAlign w:val="bottom"/>
          </w:tcPr>
          <w:p w14:paraId="74DDAF5B" w14:textId="77777777" w:rsidR="00584EC1" w:rsidRDefault="00584EC1">
            <w:pPr>
              <w:rPr>
                <w:rFonts w:ascii="宋体"/>
                <w:vanish/>
              </w:rPr>
            </w:pPr>
          </w:p>
        </w:tc>
        <w:tc>
          <w:tcPr>
            <w:tcW w:w="0" w:type="auto"/>
            <w:gridSpan w:val="3"/>
            <w:shd w:val="clear" w:color="auto" w:fill="auto"/>
            <w:vAlign w:val="bottom"/>
          </w:tcPr>
          <w:p w14:paraId="74DDAF5C" w14:textId="77777777" w:rsidR="00584EC1" w:rsidRDefault="00584EC1">
            <w:pPr>
              <w:rPr>
                <w:rFonts w:ascii="宋体"/>
                <w:vanish/>
              </w:rPr>
            </w:pPr>
          </w:p>
        </w:tc>
        <w:tc>
          <w:tcPr>
            <w:tcW w:w="0" w:type="auto"/>
            <w:gridSpan w:val="3"/>
            <w:shd w:val="clear" w:color="auto" w:fill="auto"/>
            <w:vAlign w:val="bottom"/>
          </w:tcPr>
          <w:p w14:paraId="74DDAF5D" w14:textId="77777777" w:rsidR="00584EC1" w:rsidRDefault="00584EC1">
            <w:pPr>
              <w:rPr>
                <w:rFonts w:ascii="宋体"/>
                <w:vanish/>
              </w:rPr>
            </w:pPr>
          </w:p>
        </w:tc>
        <w:tc>
          <w:tcPr>
            <w:tcW w:w="0" w:type="auto"/>
            <w:gridSpan w:val="3"/>
            <w:shd w:val="clear" w:color="auto" w:fill="auto"/>
            <w:vAlign w:val="bottom"/>
          </w:tcPr>
          <w:p w14:paraId="74DDAF5E" w14:textId="77777777" w:rsidR="00584EC1" w:rsidRDefault="00584EC1">
            <w:pPr>
              <w:rPr>
                <w:rFonts w:ascii="宋体"/>
                <w:vanish/>
              </w:rPr>
            </w:pPr>
          </w:p>
        </w:tc>
        <w:tc>
          <w:tcPr>
            <w:tcW w:w="0" w:type="auto"/>
            <w:gridSpan w:val="3"/>
            <w:shd w:val="clear" w:color="auto" w:fill="auto"/>
            <w:vAlign w:val="bottom"/>
          </w:tcPr>
          <w:p w14:paraId="74DDAF5F" w14:textId="77777777" w:rsidR="00584EC1" w:rsidRDefault="00584EC1">
            <w:pPr>
              <w:rPr>
                <w:rFonts w:ascii="宋体"/>
                <w:vanish/>
              </w:rPr>
            </w:pPr>
          </w:p>
        </w:tc>
      </w:tr>
      <w:tr w:rsidR="00584EC1" w14:paraId="74DDAF73" w14:textId="77777777">
        <w:trPr>
          <w:jc w:val="center"/>
          <w:hidden/>
        </w:trPr>
        <w:tc>
          <w:tcPr>
            <w:tcW w:w="0" w:type="auto"/>
            <w:gridSpan w:val="3"/>
            <w:shd w:val="clear" w:color="auto" w:fill="auto"/>
            <w:vAlign w:val="bottom"/>
          </w:tcPr>
          <w:p w14:paraId="74DDAF61" w14:textId="77777777" w:rsidR="00584EC1" w:rsidRDefault="00584EC1">
            <w:pPr>
              <w:rPr>
                <w:rFonts w:ascii="宋体"/>
                <w:vanish/>
              </w:rPr>
            </w:pPr>
          </w:p>
        </w:tc>
        <w:tc>
          <w:tcPr>
            <w:tcW w:w="0" w:type="auto"/>
            <w:gridSpan w:val="3"/>
            <w:shd w:val="clear" w:color="auto" w:fill="auto"/>
            <w:vAlign w:val="bottom"/>
          </w:tcPr>
          <w:p w14:paraId="74DDAF62" w14:textId="77777777" w:rsidR="00584EC1" w:rsidRDefault="00584EC1">
            <w:pPr>
              <w:rPr>
                <w:rFonts w:ascii="宋体"/>
                <w:vanish/>
              </w:rPr>
            </w:pPr>
          </w:p>
        </w:tc>
        <w:tc>
          <w:tcPr>
            <w:tcW w:w="0" w:type="auto"/>
            <w:gridSpan w:val="3"/>
            <w:shd w:val="clear" w:color="auto" w:fill="auto"/>
            <w:vAlign w:val="bottom"/>
          </w:tcPr>
          <w:p w14:paraId="74DDAF63" w14:textId="77777777" w:rsidR="00584EC1" w:rsidRDefault="00584EC1">
            <w:pPr>
              <w:rPr>
                <w:rFonts w:ascii="宋体"/>
                <w:vanish/>
              </w:rPr>
            </w:pPr>
          </w:p>
        </w:tc>
        <w:tc>
          <w:tcPr>
            <w:tcW w:w="0" w:type="auto"/>
            <w:gridSpan w:val="3"/>
            <w:shd w:val="clear" w:color="auto" w:fill="auto"/>
            <w:vAlign w:val="bottom"/>
          </w:tcPr>
          <w:p w14:paraId="74DDAF64" w14:textId="77777777" w:rsidR="00584EC1" w:rsidRDefault="00584EC1">
            <w:pPr>
              <w:rPr>
                <w:rFonts w:ascii="宋体"/>
                <w:vanish/>
              </w:rPr>
            </w:pPr>
          </w:p>
        </w:tc>
        <w:tc>
          <w:tcPr>
            <w:tcW w:w="0" w:type="auto"/>
            <w:gridSpan w:val="3"/>
            <w:shd w:val="clear" w:color="auto" w:fill="auto"/>
            <w:vAlign w:val="bottom"/>
          </w:tcPr>
          <w:p w14:paraId="74DDAF65" w14:textId="77777777" w:rsidR="00584EC1" w:rsidRDefault="00584EC1">
            <w:pPr>
              <w:rPr>
                <w:rFonts w:ascii="宋体"/>
                <w:vanish/>
              </w:rPr>
            </w:pPr>
          </w:p>
        </w:tc>
        <w:tc>
          <w:tcPr>
            <w:tcW w:w="0" w:type="auto"/>
            <w:gridSpan w:val="3"/>
            <w:shd w:val="clear" w:color="auto" w:fill="auto"/>
            <w:vAlign w:val="bottom"/>
          </w:tcPr>
          <w:p w14:paraId="74DDAF66" w14:textId="77777777" w:rsidR="00584EC1" w:rsidRDefault="00584EC1">
            <w:pPr>
              <w:rPr>
                <w:rFonts w:ascii="宋体"/>
                <w:vanish/>
              </w:rPr>
            </w:pPr>
          </w:p>
        </w:tc>
        <w:tc>
          <w:tcPr>
            <w:tcW w:w="0" w:type="auto"/>
            <w:gridSpan w:val="3"/>
            <w:shd w:val="clear" w:color="auto" w:fill="auto"/>
            <w:vAlign w:val="bottom"/>
          </w:tcPr>
          <w:p w14:paraId="74DDAF67" w14:textId="77777777" w:rsidR="00584EC1" w:rsidRDefault="00584EC1">
            <w:pPr>
              <w:rPr>
                <w:rFonts w:ascii="宋体"/>
                <w:vanish/>
              </w:rPr>
            </w:pPr>
          </w:p>
        </w:tc>
        <w:tc>
          <w:tcPr>
            <w:tcW w:w="0" w:type="auto"/>
            <w:gridSpan w:val="3"/>
            <w:shd w:val="clear" w:color="auto" w:fill="auto"/>
            <w:vAlign w:val="bottom"/>
          </w:tcPr>
          <w:p w14:paraId="74DDAF68" w14:textId="77777777" w:rsidR="00584EC1" w:rsidRDefault="00584EC1">
            <w:pPr>
              <w:rPr>
                <w:rFonts w:ascii="宋体"/>
                <w:vanish/>
              </w:rPr>
            </w:pPr>
          </w:p>
        </w:tc>
        <w:tc>
          <w:tcPr>
            <w:tcW w:w="0" w:type="auto"/>
            <w:gridSpan w:val="3"/>
            <w:shd w:val="clear" w:color="auto" w:fill="auto"/>
            <w:vAlign w:val="bottom"/>
          </w:tcPr>
          <w:p w14:paraId="74DDAF69" w14:textId="77777777" w:rsidR="00584EC1" w:rsidRDefault="00584EC1">
            <w:pPr>
              <w:rPr>
                <w:rFonts w:ascii="宋体"/>
                <w:vanish/>
              </w:rPr>
            </w:pPr>
          </w:p>
        </w:tc>
        <w:tc>
          <w:tcPr>
            <w:tcW w:w="0" w:type="auto"/>
            <w:gridSpan w:val="3"/>
            <w:shd w:val="clear" w:color="auto" w:fill="auto"/>
            <w:vAlign w:val="bottom"/>
          </w:tcPr>
          <w:p w14:paraId="74DDAF6A" w14:textId="77777777" w:rsidR="00584EC1" w:rsidRDefault="00584EC1">
            <w:pPr>
              <w:rPr>
                <w:rFonts w:ascii="宋体"/>
                <w:vanish/>
              </w:rPr>
            </w:pPr>
          </w:p>
        </w:tc>
        <w:tc>
          <w:tcPr>
            <w:tcW w:w="0" w:type="auto"/>
            <w:gridSpan w:val="3"/>
            <w:shd w:val="clear" w:color="auto" w:fill="auto"/>
            <w:vAlign w:val="bottom"/>
          </w:tcPr>
          <w:p w14:paraId="74DDAF6B" w14:textId="77777777" w:rsidR="00584EC1" w:rsidRDefault="00584EC1">
            <w:pPr>
              <w:rPr>
                <w:rFonts w:ascii="宋体"/>
                <w:vanish/>
              </w:rPr>
            </w:pPr>
          </w:p>
        </w:tc>
        <w:tc>
          <w:tcPr>
            <w:tcW w:w="0" w:type="auto"/>
            <w:gridSpan w:val="3"/>
            <w:shd w:val="clear" w:color="auto" w:fill="auto"/>
            <w:vAlign w:val="bottom"/>
          </w:tcPr>
          <w:p w14:paraId="74DDAF6C" w14:textId="77777777" w:rsidR="00584EC1" w:rsidRDefault="00584EC1">
            <w:pPr>
              <w:rPr>
                <w:rFonts w:ascii="宋体"/>
                <w:vanish/>
              </w:rPr>
            </w:pPr>
          </w:p>
        </w:tc>
        <w:tc>
          <w:tcPr>
            <w:tcW w:w="0" w:type="auto"/>
            <w:gridSpan w:val="3"/>
            <w:shd w:val="clear" w:color="auto" w:fill="auto"/>
            <w:vAlign w:val="bottom"/>
          </w:tcPr>
          <w:p w14:paraId="74DDAF6D" w14:textId="77777777" w:rsidR="00584EC1" w:rsidRDefault="00584EC1">
            <w:pPr>
              <w:rPr>
                <w:rFonts w:ascii="宋体"/>
                <w:vanish/>
              </w:rPr>
            </w:pPr>
          </w:p>
        </w:tc>
        <w:tc>
          <w:tcPr>
            <w:tcW w:w="0" w:type="auto"/>
            <w:gridSpan w:val="3"/>
            <w:shd w:val="clear" w:color="auto" w:fill="auto"/>
            <w:vAlign w:val="bottom"/>
          </w:tcPr>
          <w:p w14:paraId="74DDAF6E" w14:textId="77777777" w:rsidR="00584EC1" w:rsidRDefault="00584EC1">
            <w:pPr>
              <w:rPr>
                <w:rFonts w:ascii="宋体"/>
                <w:vanish/>
              </w:rPr>
            </w:pPr>
          </w:p>
        </w:tc>
        <w:tc>
          <w:tcPr>
            <w:tcW w:w="0" w:type="auto"/>
            <w:gridSpan w:val="3"/>
            <w:shd w:val="clear" w:color="auto" w:fill="auto"/>
            <w:vAlign w:val="bottom"/>
          </w:tcPr>
          <w:p w14:paraId="74DDAF6F" w14:textId="77777777" w:rsidR="00584EC1" w:rsidRDefault="00584EC1">
            <w:pPr>
              <w:rPr>
                <w:rFonts w:ascii="宋体"/>
                <w:vanish/>
              </w:rPr>
            </w:pPr>
          </w:p>
        </w:tc>
        <w:tc>
          <w:tcPr>
            <w:tcW w:w="0" w:type="auto"/>
            <w:gridSpan w:val="3"/>
            <w:shd w:val="clear" w:color="auto" w:fill="auto"/>
            <w:vAlign w:val="bottom"/>
          </w:tcPr>
          <w:p w14:paraId="74DDAF70" w14:textId="77777777" w:rsidR="00584EC1" w:rsidRDefault="00584EC1">
            <w:pPr>
              <w:rPr>
                <w:rFonts w:ascii="宋体"/>
                <w:vanish/>
              </w:rPr>
            </w:pPr>
          </w:p>
        </w:tc>
        <w:tc>
          <w:tcPr>
            <w:tcW w:w="0" w:type="auto"/>
            <w:gridSpan w:val="3"/>
            <w:shd w:val="clear" w:color="auto" w:fill="auto"/>
            <w:vAlign w:val="bottom"/>
          </w:tcPr>
          <w:p w14:paraId="74DDAF71" w14:textId="77777777" w:rsidR="00584EC1" w:rsidRDefault="00584EC1">
            <w:pPr>
              <w:rPr>
                <w:rFonts w:ascii="宋体"/>
                <w:vanish/>
              </w:rPr>
            </w:pPr>
          </w:p>
        </w:tc>
        <w:tc>
          <w:tcPr>
            <w:tcW w:w="0" w:type="auto"/>
            <w:gridSpan w:val="3"/>
            <w:shd w:val="clear" w:color="auto" w:fill="auto"/>
            <w:vAlign w:val="bottom"/>
          </w:tcPr>
          <w:p w14:paraId="74DDAF72" w14:textId="77777777" w:rsidR="00584EC1" w:rsidRDefault="00584EC1">
            <w:pPr>
              <w:rPr>
                <w:rFonts w:ascii="宋体"/>
                <w:vanish/>
              </w:rPr>
            </w:pPr>
          </w:p>
        </w:tc>
      </w:tr>
      <w:tr w:rsidR="00584EC1" w14:paraId="74DDAF86" w14:textId="77777777">
        <w:trPr>
          <w:jc w:val="center"/>
          <w:hidden/>
        </w:trPr>
        <w:tc>
          <w:tcPr>
            <w:tcW w:w="0" w:type="auto"/>
            <w:gridSpan w:val="3"/>
            <w:shd w:val="clear" w:color="auto" w:fill="auto"/>
            <w:vAlign w:val="bottom"/>
          </w:tcPr>
          <w:p w14:paraId="74DDAF74" w14:textId="77777777" w:rsidR="00584EC1" w:rsidRDefault="00584EC1">
            <w:pPr>
              <w:rPr>
                <w:rFonts w:ascii="宋体"/>
                <w:vanish/>
              </w:rPr>
            </w:pPr>
          </w:p>
        </w:tc>
        <w:tc>
          <w:tcPr>
            <w:tcW w:w="0" w:type="auto"/>
            <w:gridSpan w:val="3"/>
            <w:shd w:val="clear" w:color="auto" w:fill="auto"/>
            <w:vAlign w:val="bottom"/>
          </w:tcPr>
          <w:p w14:paraId="74DDAF75" w14:textId="77777777" w:rsidR="00584EC1" w:rsidRDefault="00584EC1">
            <w:pPr>
              <w:rPr>
                <w:rFonts w:ascii="宋体"/>
                <w:vanish/>
              </w:rPr>
            </w:pPr>
          </w:p>
        </w:tc>
        <w:tc>
          <w:tcPr>
            <w:tcW w:w="0" w:type="auto"/>
            <w:gridSpan w:val="3"/>
            <w:shd w:val="clear" w:color="auto" w:fill="auto"/>
            <w:vAlign w:val="bottom"/>
          </w:tcPr>
          <w:p w14:paraId="74DDAF76" w14:textId="77777777" w:rsidR="00584EC1" w:rsidRDefault="00584EC1">
            <w:pPr>
              <w:rPr>
                <w:rFonts w:ascii="宋体"/>
                <w:vanish/>
              </w:rPr>
            </w:pPr>
          </w:p>
        </w:tc>
        <w:tc>
          <w:tcPr>
            <w:tcW w:w="0" w:type="auto"/>
            <w:gridSpan w:val="3"/>
            <w:shd w:val="clear" w:color="auto" w:fill="auto"/>
            <w:vAlign w:val="bottom"/>
          </w:tcPr>
          <w:p w14:paraId="74DDAF77" w14:textId="77777777" w:rsidR="00584EC1" w:rsidRDefault="00584EC1">
            <w:pPr>
              <w:rPr>
                <w:rFonts w:ascii="宋体"/>
                <w:vanish/>
              </w:rPr>
            </w:pPr>
          </w:p>
        </w:tc>
        <w:tc>
          <w:tcPr>
            <w:tcW w:w="0" w:type="auto"/>
            <w:gridSpan w:val="3"/>
            <w:shd w:val="clear" w:color="auto" w:fill="auto"/>
            <w:vAlign w:val="bottom"/>
          </w:tcPr>
          <w:p w14:paraId="74DDAF78" w14:textId="77777777" w:rsidR="00584EC1" w:rsidRDefault="00584EC1">
            <w:pPr>
              <w:rPr>
                <w:rFonts w:ascii="宋体"/>
                <w:vanish/>
              </w:rPr>
            </w:pPr>
          </w:p>
        </w:tc>
        <w:tc>
          <w:tcPr>
            <w:tcW w:w="0" w:type="auto"/>
            <w:gridSpan w:val="3"/>
            <w:shd w:val="clear" w:color="auto" w:fill="auto"/>
            <w:vAlign w:val="bottom"/>
          </w:tcPr>
          <w:p w14:paraId="74DDAF79" w14:textId="77777777" w:rsidR="00584EC1" w:rsidRDefault="00584EC1">
            <w:pPr>
              <w:rPr>
                <w:rFonts w:ascii="宋体"/>
                <w:vanish/>
              </w:rPr>
            </w:pPr>
          </w:p>
        </w:tc>
        <w:tc>
          <w:tcPr>
            <w:tcW w:w="0" w:type="auto"/>
            <w:gridSpan w:val="3"/>
            <w:shd w:val="clear" w:color="auto" w:fill="auto"/>
            <w:vAlign w:val="bottom"/>
          </w:tcPr>
          <w:p w14:paraId="74DDAF7A" w14:textId="77777777" w:rsidR="00584EC1" w:rsidRDefault="00584EC1">
            <w:pPr>
              <w:rPr>
                <w:rFonts w:ascii="宋体"/>
                <w:vanish/>
              </w:rPr>
            </w:pPr>
          </w:p>
        </w:tc>
        <w:tc>
          <w:tcPr>
            <w:tcW w:w="0" w:type="auto"/>
            <w:gridSpan w:val="3"/>
            <w:shd w:val="clear" w:color="auto" w:fill="auto"/>
            <w:vAlign w:val="bottom"/>
          </w:tcPr>
          <w:p w14:paraId="74DDAF7B" w14:textId="77777777" w:rsidR="00584EC1" w:rsidRDefault="00584EC1">
            <w:pPr>
              <w:rPr>
                <w:rFonts w:ascii="宋体"/>
                <w:vanish/>
              </w:rPr>
            </w:pPr>
          </w:p>
        </w:tc>
        <w:tc>
          <w:tcPr>
            <w:tcW w:w="0" w:type="auto"/>
            <w:gridSpan w:val="3"/>
            <w:shd w:val="clear" w:color="auto" w:fill="auto"/>
            <w:vAlign w:val="bottom"/>
          </w:tcPr>
          <w:p w14:paraId="74DDAF7C" w14:textId="77777777" w:rsidR="00584EC1" w:rsidRDefault="00584EC1">
            <w:pPr>
              <w:rPr>
                <w:rFonts w:ascii="宋体"/>
                <w:vanish/>
              </w:rPr>
            </w:pPr>
          </w:p>
        </w:tc>
        <w:tc>
          <w:tcPr>
            <w:tcW w:w="0" w:type="auto"/>
            <w:gridSpan w:val="3"/>
            <w:shd w:val="clear" w:color="auto" w:fill="auto"/>
            <w:vAlign w:val="bottom"/>
          </w:tcPr>
          <w:p w14:paraId="74DDAF7D" w14:textId="77777777" w:rsidR="00584EC1" w:rsidRDefault="00584EC1">
            <w:pPr>
              <w:rPr>
                <w:rFonts w:ascii="宋体"/>
                <w:vanish/>
              </w:rPr>
            </w:pPr>
          </w:p>
        </w:tc>
        <w:tc>
          <w:tcPr>
            <w:tcW w:w="0" w:type="auto"/>
            <w:gridSpan w:val="3"/>
            <w:shd w:val="clear" w:color="auto" w:fill="auto"/>
            <w:vAlign w:val="bottom"/>
          </w:tcPr>
          <w:p w14:paraId="74DDAF7E" w14:textId="77777777" w:rsidR="00584EC1" w:rsidRDefault="00584EC1">
            <w:pPr>
              <w:rPr>
                <w:rFonts w:ascii="宋体"/>
                <w:vanish/>
              </w:rPr>
            </w:pPr>
          </w:p>
        </w:tc>
        <w:tc>
          <w:tcPr>
            <w:tcW w:w="0" w:type="auto"/>
            <w:gridSpan w:val="3"/>
            <w:shd w:val="clear" w:color="auto" w:fill="auto"/>
            <w:vAlign w:val="bottom"/>
          </w:tcPr>
          <w:p w14:paraId="74DDAF7F" w14:textId="77777777" w:rsidR="00584EC1" w:rsidRDefault="00584EC1">
            <w:pPr>
              <w:rPr>
                <w:rFonts w:ascii="宋体"/>
                <w:vanish/>
              </w:rPr>
            </w:pPr>
          </w:p>
        </w:tc>
        <w:tc>
          <w:tcPr>
            <w:tcW w:w="0" w:type="auto"/>
            <w:gridSpan w:val="3"/>
            <w:shd w:val="clear" w:color="auto" w:fill="auto"/>
            <w:vAlign w:val="bottom"/>
          </w:tcPr>
          <w:p w14:paraId="74DDAF80" w14:textId="77777777" w:rsidR="00584EC1" w:rsidRDefault="00584EC1">
            <w:pPr>
              <w:rPr>
                <w:rFonts w:ascii="宋体"/>
                <w:vanish/>
              </w:rPr>
            </w:pPr>
          </w:p>
        </w:tc>
        <w:tc>
          <w:tcPr>
            <w:tcW w:w="0" w:type="auto"/>
            <w:gridSpan w:val="3"/>
            <w:shd w:val="clear" w:color="auto" w:fill="auto"/>
            <w:vAlign w:val="bottom"/>
          </w:tcPr>
          <w:p w14:paraId="74DDAF81" w14:textId="77777777" w:rsidR="00584EC1" w:rsidRDefault="00584EC1">
            <w:pPr>
              <w:rPr>
                <w:rFonts w:ascii="宋体"/>
                <w:vanish/>
              </w:rPr>
            </w:pPr>
          </w:p>
        </w:tc>
        <w:tc>
          <w:tcPr>
            <w:tcW w:w="0" w:type="auto"/>
            <w:gridSpan w:val="3"/>
            <w:shd w:val="clear" w:color="auto" w:fill="auto"/>
            <w:vAlign w:val="bottom"/>
          </w:tcPr>
          <w:p w14:paraId="74DDAF82" w14:textId="77777777" w:rsidR="00584EC1" w:rsidRDefault="00584EC1">
            <w:pPr>
              <w:rPr>
                <w:rFonts w:ascii="宋体"/>
                <w:vanish/>
              </w:rPr>
            </w:pPr>
          </w:p>
        </w:tc>
        <w:tc>
          <w:tcPr>
            <w:tcW w:w="0" w:type="auto"/>
            <w:gridSpan w:val="3"/>
            <w:shd w:val="clear" w:color="auto" w:fill="auto"/>
            <w:vAlign w:val="bottom"/>
          </w:tcPr>
          <w:p w14:paraId="74DDAF83" w14:textId="77777777" w:rsidR="00584EC1" w:rsidRDefault="00584EC1">
            <w:pPr>
              <w:rPr>
                <w:rFonts w:ascii="宋体"/>
                <w:vanish/>
              </w:rPr>
            </w:pPr>
          </w:p>
        </w:tc>
        <w:tc>
          <w:tcPr>
            <w:tcW w:w="0" w:type="auto"/>
            <w:gridSpan w:val="3"/>
            <w:shd w:val="clear" w:color="auto" w:fill="auto"/>
            <w:vAlign w:val="bottom"/>
          </w:tcPr>
          <w:p w14:paraId="74DDAF84" w14:textId="77777777" w:rsidR="00584EC1" w:rsidRDefault="00584EC1">
            <w:pPr>
              <w:rPr>
                <w:rFonts w:ascii="宋体"/>
                <w:vanish/>
              </w:rPr>
            </w:pPr>
          </w:p>
        </w:tc>
        <w:tc>
          <w:tcPr>
            <w:tcW w:w="0" w:type="auto"/>
            <w:gridSpan w:val="3"/>
            <w:shd w:val="clear" w:color="auto" w:fill="auto"/>
            <w:vAlign w:val="bottom"/>
          </w:tcPr>
          <w:p w14:paraId="74DDAF85" w14:textId="77777777" w:rsidR="00584EC1" w:rsidRDefault="00584EC1">
            <w:pPr>
              <w:rPr>
                <w:rFonts w:ascii="宋体"/>
                <w:vanish/>
              </w:rPr>
            </w:pPr>
          </w:p>
        </w:tc>
      </w:tr>
      <w:tr w:rsidR="00584EC1" w14:paraId="74DDAF99" w14:textId="77777777">
        <w:trPr>
          <w:jc w:val="center"/>
          <w:hidden/>
        </w:trPr>
        <w:tc>
          <w:tcPr>
            <w:tcW w:w="0" w:type="auto"/>
            <w:gridSpan w:val="3"/>
            <w:shd w:val="clear" w:color="auto" w:fill="auto"/>
            <w:vAlign w:val="bottom"/>
          </w:tcPr>
          <w:p w14:paraId="74DDAF87" w14:textId="77777777" w:rsidR="00584EC1" w:rsidRDefault="00584EC1">
            <w:pPr>
              <w:rPr>
                <w:rFonts w:ascii="宋体"/>
                <w:vanish/>
              </w:rPr>
            </w:pPr>
          </w:p>
        </w:tc>
        <w:tc>
          <w:tcPr>
            <w:tcW w:w="0" w:type="auto"/>
            <w:gridSpan w:val="3"/>
            <w:shd w:val="clear" w:color="auto" w:fill="auto"/>
            <w:vAlign w:val="bottom"/>
          </w:tcPr>
          <w:p w14:paraId="74DDAF88" w14:textId="77777777" w:rsidR="00584EC1" w:rsidRDefault="00584EC1">
            <w:pPr>
              <w:rPr>
                <w:rFonts w:ascii="宋体"/>
                <w:vanish/>
              </w:rPr>
            </w:pPr>
          </w:p>
        </w:tc>
        <w:tc>
          <w:tcPr>
            <w:tcW w:w="0" w:type="auto"/>
            <w:gridSpan w:val="3"/>
            <w:shd w:val="clear" w:color="auto" w:fill="auto"/>
            <w:vAlign w:val="bottom"/>
          </w:tcPr>
          <w:p w14:paraId="74DDAF89" w14:textId="77777777" w:rsidR="00584EC1" w:rsidRDefault="00584EC1">
            <w:pPr>
              <w:rPr>
                <w:rFonts w:ascii="宋体"/>
                <w:vanish/>
              </w:rPr>
            </w:pPr>
          </w:p>
        </w:tc>
        <w:tc>
          <w:tcPr>
            <w:tcW w:w="0" w:type="auto"/>
            <w:gridSpan w:val="3"/>
            <w:shd w:val="clear" w:color="auto" w:fill="auto"/>
            <w:vAlign w:val="bottom"/>
          </w:tcPr>
          <w:p w14:paraId="74DDAF8A" w14:textId="77777777" w:rsidR="00584EC1" w:rsidRDefault="00584EC1">
            <w:pPr>
              <w:rPr>
                <w:rFonts w:ascii="宋体"/>
                <w:vanish/>
              </w:rPr>
            </w:pPr>
          </w:p>
        </w:tc>
        <w:tc>
          <w:tcPr>
            <w:tcW w:w="0" w:type="auto"/>
            <w:gridSpan w:val="3"/>
            <w:shd w:val="clear" w:color="auto" w:fill="auto"/>
            <w:vAlign w:val="bottom"/>
          </w:tcPr>
          <w:p w14:paraId="74DDAF8B" w14:textId="77777777" w:rsidR="00584EC1" w:rsidRDefault="00584EC1">
            <w:pPr>
              <w:rPr>
                <w:rFonts w:ascii="宋体"/>
                <w:vanish/>
              </w:rPr>
            </w:pPr>
          </w:p>
        </w:tc>
        <w:tc>
          <w:tcPr>
            <w:tcW w:w="0" w:type="auto"/>
            <w:gridSpan w:val="3"/>
            <w:shd w:val="clear" w:color="auto" w:fill="auto"/>
            <w:vAlign w:val="bottom"/>
          </w:tcPr>
          <w:p w14:paraId="74DDAF8C" w14:textId="77777777" w:rsidR="00584EC1" w:rsidRDefault="00584EC1">
            <w:pPr>
              <w:rPr>
                <w:rFonts w:ascii="宋体"/>
                <w:vanish/>
              </w:rPr>
            </w:pPr>
          </w:p>
        </w:tc>
        <w:tc>
          <w:tcPr>
            <w:tcW w:w="0" w:type="auto"/>
            <w:gridSpan w:val="3"/>
            <w:shd w:val="clear" w:color="auto" w:fill="auto"/>
            <w:vAlign w:val="bottom"/>
          </w:tcPr>
          <w:p w14:paraId="74DDAF8D" w14:textId="77777777" w:rsidR="00584EC1" w:rsidRDefault="00584EC1">
            <w:pPr>
              <w:rPr>
                <w:rFonts w:ascii="宋体"/>
                <w:vanish/>
              </w:rPr>
            </w:pPr>
          </w:p>
        </w:tc>
        <w:tc>
          <w:tcPr>
            <w:tcW w:w="0" w:type="auto"/>
            <w:gridSpan w:val="3"/>
            <w:shd w:val="clear" w:color="auto" w:fill="auto"/>
            <w:vAlign w:val="bottom"/>
          </w:tcPr>
          <w:p w14:paraId="74DDAF8E" w14:textId="77777777" w:rsidR="00584EC1" w:rsidRDefault="00584EC1">
            <w:pPr>
              <w:rPr>
                <w:rFonts w:ascii="宋体"/>
                <w:vanish/>
              </w:rPr>
            </w:pPr>
          </w:p>
        </w:tc>
        <w:tc>
          <w:tcPr>
            <w:tcW w:w="0" w:type="auto"/>
            <w:gridSpan w:val="3"/>
            <w:shd w:val="clear" w:color="auto" w:fill="auto"/>
            <w:vAlign w:val="bottom"/>
          </w:tcPr>
          <w:p w14:paraId="74DDAF8F" w14:textId="77777777" w:rsidR="00584EC1" w:rsidRDefault="00584EC1">
            <w:pPr>
              <w:rPr>
                <w:rFonts w:ascii="宋体"/>
                <w:vanish/>
              </w:rPr>
            </w:pPr>
          </w:p>
        </w:tc>
        <w:tc>
          <w:tcPr>
            <w:tcW w:w="0" w:type="auto"/>
            <w:gridSpan w:val="3"/>
            <w:shd w:val="clear" w:color="auto" w:fill="auto"/>
            <w:vAlign w:val="bottom"/>
          </w:tcPr>
          <w:p w14:paraId="74DDAF90" w14:textId="77777777" w:rsidR="00584EC1" w:rsidRDefault="00584EC1">
            <w:pPr>
              <w:rPr>
                <w:rFonts w:ascii="宋体"/>
                <w:vanish/>
              </w:rPr>
            </w:pPr>
          </w:p>
        </w:tc>
        <w:tc>
          <w:tcPr>
            <w:tcW w:w="0" w:type="auto"/>
            <w:gridSpan w:val="3"/>
            <w:shd w:val="clear" w:color="auto" w:fill="auto"/>
            <w:vAlign w:val="bottom"/>
          </w:tcPr>
          <w:p w14:paraId="74DDAF91" w14:textId="77777777" w:rsidR="00584EC1" w:rsidRDefault="00584EC1">
            <w:pPr>
              <w:rPr>
                <w:rFonts w:ascii="宋体"/>
                <w:vanish/>
              </w:rPr>
            </w:pPr>
          </w:p>
        </w:tc>
        <w:tc>
          <w:tcPr>
            <w:tcW w:w="0" w:type="auto"/>
            <w:gridSpan w:val="3"/>
            <w:shd w:val="clear" w:color="auto" w:fill="auto"/>
            <w:vAlign w:val="bottom"/>
          </w:tcPr>
          <w:p w14:paraId="74DDAF92" w14:textId="77777777" w:rsidR="00584EC1" w:rsidRDefault="00584EC1">
            <w:pPr>
              <w:rPr>
                <w:rFonts w:ascii="宋体"/>
                <w:vanish/>
              </w:rPr>
            </w:pPr>
          </w:p>
        </w:tc>
        <w:tc>
          <w:tcPr>
            <w:tcW w:w="0" w:type="auto"/>
            <w:gridSpan w:val="3"/>
            <w:shd w:val="clear" w:color="auto" w:fill="auto"/>
            <w:vAlign w:val="bottom"/>
          </w:tcPr>
          <w:p w14:paraId="74DDAF93" w14:textId="77777777" w:rsidR="00584EC1" w:rsidRDefault="00584EC1">
            <w:pPr>
              <w:rPr>
                <w:rFonts w:ascii="宋体"/>
                <w:vanish/>
              </w:rPr>
            </w:pPr>
          </w:p>
        </w:tc>
        <w:tc>
          <w:tcPr>
            <w:tcW w:w="0" w:type="auto"/>
            <w:gridSpan w:val="3"/>
            <w:shd w:val="clear" w:color="auto" w:fill="auto"/>
            <w:vAlign w:val="bottom"/>
          </w:tcPr>
          <w:p w14:paraId="74DDAF94" w14:textId="77777777" w:rsidR="00584EC1" w:rsidRDefault="00584EC1">
            <w:pPr>
              <w:rPr>
                <w:rFonts w:ascii="宋体"/>
                <w:vanish/>
              </w:rPr>
            </w:pPr>
          </w:p>
        </w:tc>
        <w:tc>
          <w:tcPr>
            <w:tcW w:w="0" w:type="auto"/>
            <w:gridSpan w:val="3"/>
            <w:shd w:val="clear" w:color="auto" w:fill="auto"/>
            <w:vAlign w:val="bottom"/>
          </w:tcPr>
          <w:p w14:paraId="74DDAF95" w14:textId="77777777" w:rsidR="00584EC1" w:rsidRDefault="00584EC1">
            <w:pPr>
              <w:rPr>
                <w:rFonts w:ascii="宋体"/>
                <w:vanish/>
              </w:rPr>
            </w:pPr>
          </w:p>
        </w:tc>
        <w:tc>
          <w:tcPr>
            <w:tcW w:w="0" w:type="auto"/>
            <w:gridSpan w:val="3"/>
            <w:shd w:val="clear" w:color="auto" w:fill="auto"/>
            <w:vAlign w:val="bottom"/>
          </w:tcPr>
          <w:p w14:paraId="74DDAF96" w14:textId="77777777" w:rsidR="00584EC1" w:rsidRDefault="00584EC1">
            <w:pPr>
              <w:rPr>
                <w:rFonts w:ascii="宋体"/>
                <w:vanish/>
              </w:rPr>
            </w:pPr>
          </w:p>
        </w:tc>
        <w:tc>
          <w:tcPr>
            <w:tcW w:w="0" w:type="auto"/>
            <w:gridSpan w:val="3"/>
            <w:shd w:val="clear" w:color="auto" w:fill="auto"/>
            <w:vAlign w:val="bottom"/>
          </w:tcPr>
          <w:p w14:paraId="74DDAF97" w14:textId="77777777" w:rsidR="00584EC1" w:rsidRDefault="00584EC1">
            <w:pPr>
              <w:rPr>
                <w:rFonts w:ascii="宋体"/>
                <w:vanish/>
              </w:rPr>
            </w:pPr>
          </w:p>
        </w:tc>
        <w:tc>
          <w:tcPr>
            <w:tcW w:w="0" w:type="auto"/>
            <w:gridSpan w:val="3"/>
            <w:shd w:val="clear" w:color="auto" w:fill="auto"/>
            <w:vAlign w:val="bottom"/>
          </w:tcPr>
          <w:p w14:paraId="74DDAF98" w14:textId="77777777" w:rsidR="00584EC1" w:rsidRDefault="00584EC1">
            <w:pPr>
              <w:rPr>
                <w:rFonts w:ascii="宋体"/>
                <w:vanish/>
              </w:rPr>
            </w:pPr>
          </w:p>
        </w:tc>
      </w:tr>
      <w:tr w:rsidR="00584EC1" w14:paraId="74DDAFAC" w14:textId="77777777">
        <w:trPr>
          <w:jc w:val="center"/>
          <w:hidden/>
        </w:trPr>
        <w:tc>
          <w:tcPr>
            <w:tcW w:w="0" w:type="auto"/>
            <w:gridSpan w:val="3"/>
            <w:shd w:val="clear" w:color="auto" w:fill="auto"/>
            <w:vAlign w:val="bottom"/>
          </w:tcPr>
          <w:p w14:paraId="74DDAF9A" w14:textId="77777777" w:rsidR="00584EC1" w:rsidRDefault="00584EC1">
            <w:pPr>
              <w:rPr>
                <w:rFonts w:ascii="宋体"/>
                <w:vanish/>
              </w:rPr>
            </w:pPr>
          </w:p>
        </w:tc>
        <w:tc>
          <w:tcPr>
            <w:tcW w:w="0" w:type="auto"/>
            <w:gridSpan w:val="3"/>
            <w:shd w:val="clear" w:color="auto" w:fill="auto"/>
            <w:vAlign w:val="bottom"/>
          </w:tcPr>
          <w:p w14:paraId="74DDAF9B" w14:textId="77777777" w:rsidR="00584EC1" w:rsidRDefault="00584EC1">
            <w:pPr>
              <w:rPr>
                <w:rFonts w:ascii="宋体"/>
                <w:vanish/>
              </w:rPr>
            </w:pPr>
          </w:p>
        </w:tc>
        <w:tc>
          <w:tcPr>
            <w:tcW w:w="0" w:type="auto"/>
            <w:gridSpan w:val="3"/>
            <w:shd w:val="clear" w:color="auto" w:fill="auto"/>
            <w:vAlign w:val="bottom"/>
          </w:tcPr>
          <w:p w14:paraId="74DDAF9C" w14:textId="77777777" w:rsidR="00584EC1" w:rsidRDefault="00584EC1">
            <w:pPr>
              <w:rPr>
                <w:rFonts w:ascii="宋体"/>
                <w:vanish/>
              </w:rPr>
            </w:pPr>
          </w:p>
        </w:tc>
        <w:tc>
          <w:tcPr>
            <w:tcW w:w="0" w:type="auto"/>
            <w:gridSpan w:val="3"/>
            <w:shd w:val="clear" w:color="auto" w:fill="auto"/>
            <w:vAlign w:val="bottom"/>
          </w:tcPr>
          <w:p w14:paraId="74DDAF9D" w14:textId="77777777" w:rsidR="00584EC1" w:rsidRDefault="00584EC1">
            <w:pPr>
              <w:rPr>
                <w:rFonts w:ascii="宋体"/>
                <w:vanish/>
              </w:rPr>
            </w:pPr>
          </w:p>
        </w:tc>
        <w:tc>
          <w:tcPr>
            <w:tcW w:w="0" w:type="auto"/>
            <w:gridSpan w:val="3"/>
            <w:shd w:val="clear" w:color="auto" w:fill="auto"/>
            <w:vAlign w:val="bottom"/>
          </w:tcPr>
          <w:p w14:paraId="74DDAF9E" w14:textId="77777777" w:rsidR="00584EC1" w:rsidRDefault="00584EC1">
            <w:pPr>
              <w:rPr>
                <w:rFonts w:ascii="宋体"/>
                <w:vanish/>
              </w:rPr>
            </w:pPr>
          </w:p>
        </w:tc>
        <w:tc>
          <w:tcPr>
            <w:tcW w:w="0" w:type="auto"/>
            <w:gridSpan w:val="3"/>
            <w:shd w:val="clear" w:color="auto" w:fill="auto"/>
            <w:vAlign w:val="bottom"/>
          </w:tcPr>
          <w:p w14:paraId="74DDAF9F" w14:textId="77777777" w:rsidR="00584EC1" w:rsidRDefault="00584EC1">
            <w:pPr>
              <w:rPr>
                <w:rFonts w:ascii="宋体"/>
                <w:vanish/>
              </w:rPr>
            </w:pPr>
          </w:p>
        </w:tc>
        <w:tc>
          <w:tcPr>
            <w:tcW w:w="0" w:type="auto"/>
            <w:gridSpan w:val="3"/>
            <w:shd w:val="clear" w:color="auto" w:fill="auto"/>
            <w:vAlign w:val="bottom"/>
          </w:tcPr>
          <w:p w14:paraId="74DDAFA0" w14:textId="77777777" w:rsidR="00584EC1" w:rsidRDefault="00584EC1">
            <w:pPr>
              <w:rPr>
                <w:rFonts w:ascii="宋体"/>
                <w:vanish/>
              </w:rPr>
            </w:pPr>
          </w:p>
        </w:tc>
        <w:tc>
          <w:tcPr>
            <w:tcW w:w="0" w:type="auto"/>
            <w:gridSpan w:val="3"/>
            <w:shd w:val="clear" w:color="auto" w:fill="auto"/>
            <w:vAlign w:val="bottom"/>
          </w:tcPr>
          <w:p w14:paraId="74DDAFA1" w14:textId="77777777" w:rsidR="00584EC1" w:rsidRDefault="00584EC1">
            <w:pPr>
              <w:rPr>
                <w:rFonts w:ascii="宋体"/>
                <w:vanish/>
              </w:rPr>
            </w:pPr>
          </w:p>
        </w:tc>
        <w:tc>
          <w:tcPr>
            <w:tcW w:w="0" w:type="auto"/>
            <w:gridSpan w:val="3"/>
            <w:shd w:val="clear" w:color="auto" w:fill="auto"/>
            <w:vAlign w:val="bottom"/>
          </w:tcPr>
          <w:p w14:paraId="74DDAFA2" w14:textId="77777777" w:rsidR="00584EC1" w:rsidRDefault="00584EC1">
            <w:pPr>
              <w:rPr>
                <w:rFonts w:ascii="宋体"/>
                <w:vanish/>
              </w:rPr>
            </w:pPr>
          </w:p>
        </w:tc>
        <w:tc>
          <w:tcPr>
            <w:tcW w:w="0" w:type="auto"/>
            <w:gridSpan w:val="3"/>
            <w:shd w:val="clear" w:color="auto" w:fill="auto"/>
            <w:vAlign w:val="bottom"/>
          </w:tcPr>
          <w:p w14:paraId="74DDAFA3" w14:textId="77777777" w:rsidR="00584EC1" w:rsidRDefault="00584EC1">
            <w:pPr>
              <w:rPr>
                <w:rFonts w:ascii="宋体"/>
                <w:vanish/>
              </w:rPr>
            </w:pPr>
          </w:p>
        </w:tc>
        <w:tc>
          <w:tcPr>
            <w:tcW w:w="0" w:type="auto"/>
            <w:gridSpan w:val="3"/>
            <w:shd w:val="clear" w:color="auto" w:fill="auto"/>
            <w:vAlign w:val="bottom"/>
          </w:tcPr>
          <w:p w14:paraId="74DDAFA4" w14:textId="77777777" w:rsidR="00584EC1" w:rsidRDefault="00584EC1">
            <w:pPr>
              <w:rPr>
                <w:rFonts w:ascii="宋体"/>
                <w:vanish/>
              </w:rPr>
            </w:pPr>
          </w:p>
        </w:tc>
        <w:tc>
          <w:tcPr>
            <w:tcW w:w="0" w:type="auto"/>
            <w:gridSpan w:val="3"/>
            <w:shd w:val="clear" w:color="auto" w:fill="auto"/>
            <w:vAlign w:val="bottom"/>
          </w:tcPr>
          <w:p w14:paraId="74DDAFA5" w14:textId="77777777" w:rsidR="00584EC1" w:rsidRDefault="00584EC1">
            <w:pPr>
              <w:rPr>
                <w:rFonts w:ascii="宋体"/>
                <w:vanish/>
              </w:rPr>
            </w:pPr>
          </w:p>
        </w:tc>
        <w:tc>
          <w:tcPr>
            <w:tcW w:w="0" w:type="auto"/>
            <w:gridSpan w:val="3"/>
            <w:shd w:val="clear" w:color="auto" w:fill="auto"/>
            <w:vAlign w:val="bottom"/>
          </w:tcPr>
          <w:p w14:paraId="74DDAFA6" w14:textId="77777777" w:rsidR="00584EC1" w:rsidRDefault="00584EC1">
            <w:pPr>
              <w:rPr>
                <w:rFonts w:ascii="宋体"/>
                <w:vanish/>
              </w:rPr>
            </w:pPr>
          </w:p>
        </w:tc>
        <w:tc>
          <w:tcPr>
            <w:tcW w:w="0" w:type="auto"/>
            <w:gridSpan w:val="3"/>
            <w:shd w:val="clear" w:color="auto" w:fill="auto"/>
            <w:vAlign w:val="bottom"/>
          </w:tcPr>
          <w:p w14:paraId="74DDAFA7" w14:textId="77777777" w:rsidR="00584EC1" w:rsidRDefault="00584EC1">
            <w:pPr>
              <w:rPr>
                <w:rFonts w:ascii="宋体"/>
                <w:vanish/>
              </w:rPr>
            </w:pPr>
          </w:p>
        </w:tc>
        <w:tc>
          <w:tcPr>
            <w:tcW w:w="0" w:type="auto"/>
            <w:gridSpan w:val="3"/>
            <w:shd w:val="clear" w:color="auto" w:fill="auto"/>
            <w:vAlign w:val="bottom"/>
          </w:tcPr>
          <w:p w14:paraId="74DDAFA8" w14:textId="77777777" w:rsidR="00584EC1" w:rsidRDefault="00584EC1">
            <w:pPr>
              <w:rPr>
                <w:rFonts w:ascii="宋体"/>
                <w:vanish/>
              </w:rPr>
            </w:pPr>
          </w:p>
        </w:tc>
        <w:tc>
          <w:tcPr>
            <w:tcW w:w="0" w:type="auto"/>
            <w:gridSpan w:val="3"/>
            <w:shd w:val="clear" w:color="auto" w:fill="auto"/>
            <w:vAlign w:val="bottom"/>
          </w:tcPr>
          <w:p w14:paraId="74DDAFA9" w14:textId="77777777" w:rsidR="00584EC1" w:rsidRDefault="00584EC1">
            <w:pPr>
              <w:rPr>
                <w:rFonts w:ascii="宋体"/>
                <w:vanish/>
              </w:rPr>
            </w:pPr>
          </w:p>
        </w:tc>
        <w:tc>
          <w:tcPr>
            <w:tcW w:w="0" w:type="auto"/>
            <w:gridSpan w:val="3"/>
            <w:shd w:val="clear" w:color="auto" w:fill="auto"/>
            <w:vAlign w:val="bottom"/>
          </w:tcPr>
          <w:p w14:paraId="74DDAFAA" w14:textId="77777777" w:rsidR="00584EC1" w:rsidRDefault="00584EC1">
            <w:pPr>
              <w:rPr>
                <w:rFonts w:ascii="宋体"/>
                <w:vanish/>
              </w:rPr>
            </w:pPr>
          </w:p>
        </w:tc>
        <w:tc>
          <w:tcPr>
            <w:tcW w:w="0" w:type="auto"/>
            <w:gridSpan w:val="3"/>
            <w:shd w:val="clear" w:color="auto" w:fill="auto"/>
            <w:vAlign w:val="bottom"/>
          </w:tcPr>
          <w:p w14:paraId="74DDAFAB" w14:textId="77777777" w:rsidR="00584EC1" w:rsidRDefault="00584EC1">
            <w:pPr>
              <w:rPr>
                <w:rFonts w:ascii="宋体"/>
                <w:vanish/>
              </w:rPr>
            </w:pPr>
          </w:p>
        </w:tc>
      </w:tr>
      <w:tr w:rsidR="00584EC1" w14:paraId="74DDAFBF" w14:textId="77777777">
        <w:trPr>
          <w:jc w:val="center"/>
          <w:hidden/>
        </w:trPr>
        <w:tc>
          <w:tcPr>
            <w:tcW w:w="0" w:type="auto"/>
            <w:gridSpan w:val="3"/>
            <w:shd w:val="clear" w:color="auto" w:fill="auto"/>
            <w:vAlign w:val="bottom"/>
          </w:tcPr>
          <w:p w14:paraId="74DDAFAD" w14:textId="77777777" w:rsidR="00584EC1" w:rsidRDefault="00584EC1">
            <w:pPr>
              <w:rPr>
                <w:rFonts w:ascii="宋体"/>
                <w:vanish/>
              </w:rPr>
            </w:pPr>
          </w:p>
        </w:tc>
        <w:tc>
          <w:tcPr>
            <w:tcW w:w="0" w:type="auto"/>
            <w:gridSpan w:val="3"/>
            <w:shd w:val="clear" w:color="auto" w:fill="auto"/>
            <w:vAlign w:val="bottom"/>
          </w:tcPr>
          <w:p w14:paraId="74DDAFAE" w14:textId="77777777" w:rsidR="00584EC1" w:rsidRDefault="00584EC1">
            <w:pPr>
              <w:rPr>
                <w:rFonts w:ascii="宋体"/>
                <w:vanish/>
              </w:rPr>
            </w:pPr>
          </w:p>
        </w:tc>
        <w:tc>
          <w:tcPr>
            <w:tcW w:w="0" w:type="auto"/>
            <w:gridSpan w:val="3"/>
            <w:shd w:val="clear" w:color="auto" w:fill="auto"/>
            <w:vAlign w:val="bottom"/>
          </w:tcPr>
          <w:p w14:paraId="74DDAFAF" w14:textId="77777777" w:rsidR="00584EC1" w:rsidRDefault="00584EC1">
            <w:pPr>
              <w:rPr>
                <w:rFonts w:ascii="宋体"/>
                <w:vanish/>
              </w:rPr>
            </w:pPr>
          </w:p>
        </w:tc>
        <w:tc>
          <w:tcPr>
            <w:tcW w:w="0" w:type="auto"/>
            <w:gridSpan w:val="3"/>
            <w:shd w:val="clear" w:color="auto" w:fill="auto"/>
            <w:vAlign w:val="bottom"/>
          </w:tcPr>
          <w:p w14:paraId="74DDAFB0" w14:textId="77777777" w:rsidR="00584EC1" w:rsidRDefault="00584EC1">
            <w:pPr>
              <w:rPr>
                <w:rFonts w:ascii="宋体"/>
                <w:vanish/>
              </w:rPr>
            </w:pPr>
          </w:p>
        </w:tc>
        <w:tc>
          <w:tcPr>
            <w:tcW w:w="0" w:type="auto"/>
            <w:gridSpan w:val="3"/>
            <w:shd w:val="clear" w:color="auto" w:fill="auto"/>
            <w:vAlign w:val="bottom"/>
          </w:tcPr>
          <w:p w14:paraId="74DDAFB1" w14:textId="77777777" w:rsidR="00584EC1" w:rsidRDefault="00584EC1">
            <w:pPr>
              <w:rPr>
                <w:rFonts w:ascii="宋体"/>
                <w:vanish/>
              </w:rPr>
            </w:pPr>
          </w:p>
        </w:tc>
        <w:tc>
          <w:tcPr>
            <w:tcW w:w="0" w:type="auto"/>
            <w:gridSpan w:val="3"/>
            <w:shd w:val="clear" w:color="auto" w:fill="auto"/>
            <w:vAlign w:val="bottom"/>
          </w:tcPr>
          <w:p w14:paraId="74DDAFB2" w14:textId="77777777" w:rsidR="00584EC1" w:rsidRDefault="00584EC1">
            <w:pPr>
              <w:rPr>
                <w:rFonts w:ascii="宋体"/>
                <w:vanish/>
              </w:rPr>
            </w:pPr>
          </w:p>
        </w:tc>
        <w:tc>
          <w:tcPr>
            <w:tcW w:w="0" w:type="auto"/>
            <w:gridSpan w:val="3"/>
            <w:shd w:val="clear" w:color="auto" w:fill="auto"/>
            <w:vAlign w:val="bottom"/>
          </w:tcPr>
          <w:p w14:paraId="74DDAFB3" w14:textId="77777777" w:rsidR="00584EC1" w:rsidRDefault="00584EC1">
            <w:pPr>
              <w:rPr>
                <w:rFonts w:ascii="宋体"/>
                <w:vanish/>
              </w:rPr>
            </w:pPr>
          </w:p>
        </w:tc>
        <w:tc>
          <w:tcPr>
            <w:tcW w:w="0" w:type="auto"/>
            <w:gridSpan w:val="3"/>
            <w:shd w:val="clear" w:color="auto" w:fill="auto"/>
            <w:vAlign w:val="bottom"/>
          </w:tcPr>
          <w:p w14:paraId="74DDAFB4" w14:textId="77777777" w:rsidR="00584EC1" w:rsidRDefault="00584EC1">
            <w:pPr>
              <w:rPr>
                <w:rFonts w:ascii="宋体"/>
                <w:vanish/>
              </w:rPr>
            </w:pPr>
          </w:p>
        </w:tc>
        <w:tc>
          <w:tcPr>
            <w:tcW w:w="0" w:type="auto"/>
            <w:gridSpan w:val="3"/>
            <w:shd w:val="clear" w:color="auto" w:fill="auto"/>
            <w:vAlign w:val="bottom"/>
          </w:tcPr>
          <w:p w14:paraId="74DDAFB5" w14:textId="77777777" w:rsidR="00584EC1" w:rsidRDefault="00584EC1">
            <w:pPr>
              <w:rPr>
                <w:rFonts w:ascii="宋体"/>
                <w:vanish/>
              </w:rPr>
            </w:pPr>
          </w:p>
        </w:tc>
        <w:tc>
          <w:tcPr>
            <w:tcW w:w="0" w:type="auto"/>
            <w:gridSpan w:val="3"/>
            <w:shd w:val="clear" w:color="auto" w:fill="auto"/>
            <w:vAlign w:val="bottom"/>
          </w:tcPr>
          <w:p w14:paraId="74DDAFB6" w14:textId="77777777" w:rsidR="00584EC1" w:rsidRDefault="00584EC1">
            <w:pPr>
              <w:rPr>
                <w:rFonts w:ascii="宋体"/>
                <w:vanish/>
              </w:rPr>
            </w:pPr>
          </w:p>
        </w:tc>
        <w:tc>
          <w:tcPr>
            <w:tcW w:w="0" w:type="auto"/>
            <w:gridSpan w:val="3"/>
            <w:shd w:val="clear" w:color="auto" w:fill="auto"/>
            <w:vAlign w:val="bottom"/>
          </w:tcPr>
          <w:p w14:paraId="74DDAFB7" w14:textId="77777777" w:rsidR="00584EC1" w:rsidRDefault="00584EC1">
            <w:pPr>
              <w:rPr>
                <w:rFonts w:ascii="宋体"/>
                <w:vanish/>
              </w:rPr>
            </w:pPr>
          </w:p>
        </w:tc>
        <w:tc>
          <w:tcPr>
            <w:tcW w:w="0" w:type="auto"/>
            <w:gridSpan w:val="3"/>
            <w:shd w:val="clear" w:color="auto" w:fill="auto"/>
            <w:vAlign w:val="bottom"/>
          </w:tcPr>
          <w:p w14:paraId="74DDAFB8" w14:textId="77777777" w:rsidR="00584EC1" w:rsidRDefault="00584EC1">
            <w:pPr>
              <w:rPr>
                <w:rFonts w:ascii="宋体"/>
                <w:vanish/>
              </w:rPr>
            </w:pPr>
          </w:p>
        </w:tc>
        <w:tc>
          <w:tcPr>
            <w:tcW w:w="0" w:type="auto"/>
            <w:gridSpan w:val="3"/>
            <w:shd w:val="clear" w:color="auto" w:fill="auto"/>
            <w:vAlign w:val="bottom"/>
          </w:tcPr>
          <w:p w14:paraId="74DDAFB9" w14:textId="77777777" w:rsidR="00584EC1" w:rsidRDefault="00584EC1">
            <w:pPr>
              <w:rPr>
                <w:rFonts w:ascii="宋体"/>
                <w:vanish/>
              </w:rPr>
            </w:pPr>
          </w:p>
        </w:tc>
        <w:tc>
          <w:tcPr>
            <w:tcW w:w="0" w:type="auto"/>
            <w:gridSpan w:val="3"/>
            <w:shd w:val="clear" w:color="auto" w:fill="auto"/>
            <w:vAlign w:val="bottom"/>
          </w:tcPr>
          <w:p w14:paraId="74DDAFBA" w14:textId="77777777" w:rsidR="00584EC1" w:rsidRDefault="00584EC1">
            <w:pPr>
              <w:rPr>
                <w:rFonts w:ascii="宋体"/>
                <w:vanish/>
              </w:rPr>
            </w:pPr>
          </w:p>
        </w:tc>
        <w:tc>
          <w:tcPr>
            <w:tcW w:w="0" w:type="auto"/>
            <w:gridSpan w:val="3"/>
            <w:shd w:val="clear" w:color="auto" w:fill="auto"/>
            <w:vAlign w:val="bottom"/>
          </w:tcPr>
          <w:p w14:paraId="74DDAFBB" w14:textId="77777777" w:rsidR="00584EC1" w:rsidRDefault="00584EC1">
            <w:pPr>
              <w:rPr>
                <w:rFonts w:ascii="宋体"/>
                <w:vanish/>
              </w:rPr>
            </w:pPr>
          </w:p>
        </w:tc>
        <w:tc>
          <w:tcPr>
            <w:tcW w:w="0" w:type="auto"/>
            <w:gridSpan w:val="3"/>
            <w:shd w:val="clear" w:color="auto" w:fill="auto"/>
            <w:vAlign w:val="bottom"/>
          </w:tcPr>
          <w:p w14:paraId="74DDAFBC" w14:textId="77777777" w:rsidR="00584EC1" w:rsidRDefault="00584EC1">
            <w:pPr>
              <w:rPr>
                <w:rFonts w:ascii="宋体"/>
                <w:vanish/>
              </w:rPr>
            </w:pPr>
          </w:p>
        </w:tc>
        <w:tc>
          <w:tcPr>
            <w:tcW w:w="0" w:type="auto"/>
            <w:gridSpan w:val="3"/>
            <w:shd w:val="clear" w:color="auto" w:fill="auto"/>
            <w:vAlign w:val="bottom"/>
          </w:tcPr>
          <w:p w14:paraId="74DDAFBD" w14:textId="77777777" w:rsidR="00584EC1" w:rsidRDefault="00584EC1">
            <w:pPr>
              <w:rPr>
                <w:rFonts w:ascii="宋体"/>
                <w:vanish/>
              </w:rPr>
            </w:pPr>
          </w:p>
        </w:tc>
        <w:tc>
          <w:tcPr>
            <w:tcW w:w="0" w:type="auto"/>
            <w:gridSpan w:val="3"/>
            <w:shd w:val="clear" w:color="auto" w:fill="auto"/>
            <w:vAlign w:val="bottom"/>
          </w:tcPr>
          <w:p w14:paraId="74DDAFBE" w14:textId="77777777" w:rsidR="00584EC1" w:rsidRDefault="00584EC1">
            <w:pPr>
              <w:rPr>
                <w:rFonts w:ascii="宋体"/>
                <w:vanish/>
              </w:rPr>
            </w:pPr>
          </w:p>
        </w:tc>
      </w:tr>
      <w:tr w:rsidR="00584EC1" w14:paraId="74DDAFD2" w14:textId="77777777">
        <w:trPr>
          <w:jc w:val="center"/>
          <w:hidden/>
        </w:trPr>
        <w:tc>
          <w:tcPr>
            <w:tcW w:w="0" w:type="auto"/>
            <w:gridSpan w:val="3"/>
            <w:shd w:val="clear" w:color="auto" w:fill="auto"/>
            <w:vAlign w:val="bottom"/>
          </w:tcPr>
          <w:p w14:paraId="74DDAFC0" w14:textId="77777777" w:rsidR="00584EC1" w:rsidRDefault="00584EC1">
            <w:pPr>
              <w:rPr>
                <w:rFonts w:ascii="宋体"/>
                <w:vanish/>
              </w:rPr>
            </w:pPr>
          </w:p>
        </w:tc>
        <w:tc>
          <w:tcPr>
            <w:tcW w:w="0" w:type="auto"/>
            <w:gridSpan w:val="3"/>
            <w:shd w:val="clear" w:color="auto" w:fill="auto"/>
            <w:vAlign w:val="bottom"/>
          </w:tcPr>
          <w:p w14:paraId="74DDAFC1" w14:textId="77777777" w:rsidR="00584EC1" w:rsidRDefault="00584EC1">
            <w:pPr>
              <w:rPr>
                <w:rFonts w:ascii="宋体"/>
                <w:vanish/>
              </w:rPr>
            </w:pPr>
          </w:p>
        </w:tc>
        <w:tc>
          <w:tcPr>
            <w:tcW w:w="0" w:type="auto"/>
            <w:gridSpan w:val="3"/>
            <w:shd w:val="clear" w:color="auto" w:fill="auto"/>
            <w:vAlign w:val="bottom"/>
          </w:tcPr>
          <w:p w14:paraId="74DDAFC2" w14:textId="77777777" w:rsidR="00584EC1" w:rsidRDefault="00584EC1">
            <w:pPr>
              <w:rPr>
                <w:rFonts w:ascii="宋体"/>
                <w:vanish/>
              </w:rPr>
            </w:pPr>
          </w:p>
        </w:tc>
        <w:tc>
          <w:tcPr>
            <w:tcW w:w="0" w:type="auto"/>
            <w:gridSpan w:val="3"/>
            <w:shd w:val="clear" w:color="auto" w:fill="auto"/>
            <w:vAlign w:val="bottom"/>
          </w:tcPr>
          <w:p w14:paraId="74DDAFC3" w14:textId="77777777" w:rsidR="00584EC1" w:rsidRDefault="00584EC1">
            <w:pPr>
              <w:rPr>
                <w:rFonts w:ascii="宋体"/>
                <w:vanish/>
              </w:rPr>
            </w:pPr>
          </w:p>
        </w:tc>
        <w:tc>
          <w:tcPr>
            <w:tcW w:w="0" w:type="auto"/>
            <w:gridSpan w:val="3"/>
            <w:shd w:val="clear" w:color="auto" w:fill="auto"/>
            <w:vAlign w:val="bottom"/>
          </w:tcPr>
          <w:p w14:paraId="74DDAFC4" w14:textId="77777777" w:rsidR="00584EC1" w:rsidRDefault="00584EC1">
            <w:pPr>
              <w:rPr>
                <w:rFonts w:ascii="宋体"/>
                <w:vanish/>
              </w:rPr>
            </w:pPr>
          </w:p>
        </w:tc>
        <w:tc>
          <w:tcPr>
            <w:tcW w:w="0" w:type="auto"/>
            <w:gridSpan w:val="3"/>
            <w:shd w:val="clear" w:color="auto" w:fill="auto"/>
            <w:vAlign w:val="bottom"/>
          </w:tcPr>
          <w:p w14:paraId="74DDAFC5" w14:textId="77777777" w:rsidR="00584EC1" w:rsidRDefault="00584EC1">
            <w:pPr>
              <w:rPr>
                <w:rFonts w:ascii="宋体"/>
                <w:vanish/>
              </w:rPr>
            </w:pPr>
          </w:p>
        </w:tc>
        <w:tc>
          <w:tcPr>
            <w:tcW w:w="0" w:type="auto"/>
            <w:gridSpan w:val="3"/>
            <w:shd w:val="clear" w:color="auto" w:fill="auto"/>
            <w:vAlign w:val="bottom"/>
          </w:tcPr>
          <w:p w14:paraId="74DDAFC6" w14:textId="77777777" w:rsidR="00584EC1" w:rsidRDefault="00584EC1">
            <w:pPr>
              <w:rPr>
                <w:rFonts w:ascii="宋体"/>
                <w:vanish/>
              </w:rPr>
            </w:pPr>
          </w:p>
        </w:tc>
        <w:tc>
          <w:tcPr>
            <w:tcW w:w="0" w:type="auto"/>
            <w:gridSpan w:val="3"/>
            <w:shd w:val="clear" w:color="auto" w:fill="auto"/>
            <w:vAlign w:val="bottom"/>
          </w:tcPr>
          <w:p w14:paraId="74DDAFC7" w14:textId="77777777" w:rsidR="00584EC1" w:rsidRDefault="00584EC1">
            <w:pPr>
              <w:rPr>
                <w:rFonts w:ascii="宋体"/>
                <w:vanish/>
              </w:rPr>
            </w:pPr>
          </w:p>
        </w:tc>
        <w:tc>
          <w:tcPr>
            <w:tcW w:w="0" w:type="auto"/>
            <w:gridSpan w:val="3"/>
            <w:shd w:val="clear" w:color="auto" w:fill="auto"/>
            <w:vAlign w:val="bottom"/>
          </w:tcPr>
          <w:p w14:paraId="74DDAFC8" w14:textId="77777777" w:rsidR="00584EC1" w:rsidRDefault="00584EC1">
            <w:pPr>
              <w:rPr>
                <w:rFonts w:ascii="宋体"/>
                <w:vanish/>
              </w:rPr>
            </w:pPr>
          </w:p>
        </w:tc>
        <w:tc>
          <w:tcPr>
            <w:tcW w:w="0" w:type="auto"/>
            <w:gridSpan w:val="3"/>
            <w:shd w:val="clear" w:color="auto" w:fill="auto"/>
            <w:vAlign w:val="bottom"/>
          </w:tcPr>
          <w:p w14:paraId="74DDAFC9" w14:textId="77777777" w:rsidR="00584EC1" w:rsidRDefault="00584EC1">
            <w:pPr>
              <w:rPr>
                <w:rFonts w:ascii="宋体"/>
                <w:vanish/>
              </w:rPr>
            </w:pPr>
          </w:p>
        </w:tc>
        <w:tc>
          <w:tcPr>
            <w:tcW w:w="0" w:type="auto"/>
            <w:gridSpan w:val="3"/>
            <w:shd w:val="clear" w:color="auto" w:fill="auto"/>
            <w:vAlign w:val="bottom"/>
          </w:tcPr>
          <w:p w14:paraId="74DDAFCA" w14:textId="77777777" w:rsidR="00584EC1" w:rsidRDefault="00584EC1">
            <w:pPr>
              <w:rPr>
                <w:rFonts w:ascii="宋体"/>
                <w:vanish/>
              </w:rPr>
            </w:pPr>
          </w:p>
        </w:tc>
        <w:tc>
          <w:tcPr>
            <w:tcW w:w="0" w:type="auto"/>
            <w:gridSpan w:val="3"/>
            <w:shd w:val="clear" w:color="auto" w:fill="auto"/>
            <w:vAlign w:val="bottom"/>
          </w:tcPr>
          <w:p w14:paraId="74DDAFCB" w14:textId="77777777" w:rsidR="00584EC1" w:rsidRDefault="00584EC1">
            <w:pPr>
              <w:rPr>
                <w:rFonts w:ascii="宋体"/>
                <w:vanish/>
              </w:rPr>
            </w:pPr>
          </w:p>
        </w:tc>
        <w:tc>
          <w:tcPr>
            <w:tcW w:w="0" w:type="auto"/>
            <w:gridSpan w:val="3"/>
            <w:shd w:val="clear" w:color="auto" w:fill="auto"/>
            <w:vAlign w:val="bottom"/>
          </w:tcPr>
          <w:p w14:paraId="74DDAFCC" w14:textId="77777777" w:rsidR="00584EC1" w:rsidRDefault="00584EC1">
            <w:pPr>
              <w:rPr>
                <w:rFonts w:ascii="宋体"/>
                <w:vanish/>
              </w:rPr>
            </w:pPr>
          </w:p>
        </w:tc>
        <w:tc>
          <w:tcPr>
            <w:tcW w:w="0" w:type="auto"/>
            <w:gridSpan w:val="3"/>
            <w:shd w:val="clear" w:color="auto" w:fill="auto"/>
            <w:vAlign w:val="bottom"/>
          </w:tcPr>
          <w:p w14:paraId="74DDAFCD" w14:textId="77777777" w:rsidR="00584EC1" w:rsidRDefault="00584EC1">
            <w:pPr>
              <w:rPr>
                <w:rFonts w:ascii="宋体"/>
                <w:vanish/>
              </w:rPr>
            </w:pPr>
          </w:p>
        </w:tc>
        <w:tc>
          <w:tcPr>
            <w:tcW w:w="0" w:type="auto"/>
            <w:gridSpan w:val="3"/>
            <w:shd w:val="clear" w:color="auto" w:fill="auto"/>
            <w:vAlign w:val="bottom"/>
          </w:tcPr>
          <w:p w14:paraId="74DDAFCE" w14:textId="77777777" w:rsidR="00584EC1" w:rsidRDefault="00584EC1">
            <w:pPr>
              <w:rPr>
                <w:rFonts w:ascii="宋体"/>
                <w:vanish/>
              </w:rPr>
            </w:pPr>
          </w:p>
        </w:tc>
        <w:tc>
          <w:tcPr>
            <w:tcW w:w="0" w:type="auto"/>
            <w:gridSpan w:val="3"/>
            <w:shd w:val="clear" w:color="auto" w:fill="auto"/>
            <w:vAlign w:val="bottom"/>
          </w:tcPr>
          <w:p w14:paraId="74DDAFCF" w14:textId="77777777" w:rsidR="00584EC1" w:rsidRDefault="00584EC1">
            <w:pPr>
              <w:rPr>
                <w:rFonts w:ascii="宋体"/>
                <w:vanish/>
              </w:rPr>
            </w:pPr>
          </w:p>
        </w:tc>
        <w:tc>
          <w:tcPr>
            <w:tcW w:w="0" w:type="auto"/>
            <w:gridSpan w:val="3"/>
            <w:shd w:val="clear" w:color="auto" w:fill="auto"/>
            <w:vAlign w:val="bottom"/>
          </w:tcPr>
          <w:p w14:paraId="74DDAFD0" w14:textId="77777777" w:rsidR="00584EC1" w:rsidRDefault="00584EC1">
            <w:pPr>
              <w:rPr>
                <w:rFonts w:ascii="宋体"/>
                <w:vanish/>
              </w:rPr>
            </w:pPr>
          </w:p>
        </w:tc>
        <w:tc>
          <w:tcPr>
            <w:tcW w:w="0" w:type="auto"/>
            <w:gridSpan w:val="3"/>
            <w:shd w:val="clear" w:color="auto" w:fill="auto"/>
            <w:vAlign w:val="bottom"/>
          </w:tcPr>
          <w:p w14:paraId="74DDAFD1" w14:textId="77777777" w:rsidR="00584EC1" w:rsidRDefault="00584EC1">
            <w:pPr>
              <w:rPr>
                <w:rFonts w:ascii="宋体"/>
                <w:vanish/>
              </w:rPr>
            </w:pPr>
          </w:p>
        </w:tc>
      </w:tr>
      <w:tr w:rsidR="00584EC1" w14:paraId="74DDAFE5" w14:textId="77777777">
        <w:trPr>
          <w:jc w:val="center"/>
          <w:hidden/>
        </w:trPr>
        <w:tc>
          <w:tcPr>
            <w:tcW w:w="0" w:type="auto"/>
            <w:gridSpan w:val="3"/>
            <w:shd w:val="clear" w:color="auto" w:fill="auto"/>
            <w:vAlign w:val="bottom"/>
          </w:tcPr>
          <w:p w14:paraId="74DDAFD3" w14:textId="77777777" w:rsidR="00584EC1" w:rsidRDefault="00584EC1">
            <w:pPr>
              <w:rPr>
                <w:rFonts w:ascii="宋体"/>
                <w:vanish/>
              </w:rPr>
            </w:pPr>
          </w:p>
        </w:tc>
        <w:tc>
          <w:tcPr>
            <w:tcW w:w="0" w:type="auto"/>
            <w:gridSpan w:val="3"/>
            <w:shd w:val="clear" w:color="auto" w:fill="auto"/>
            <w:vAlign w:val="bottom"/>
          </w:tcPr>
          <w:p w14:paraId="74DDAFD4" w14:textId="77777777" w:rsidR="00584EC1" w:rsidRDefault="00584EC1">
            <w:pPr>
              <w:rPr>
                <w:rFonts w:ascii="宋体"/>
                <w:vanish/>
              </w:rPr>
            </w:pPr>
          </w:p>
        </w:tc>
        <w:tc>
          <w:tcPr>
            <w:tcW w:w="0" w:type="auto"/>
            <w:gridSpan w:val="3"/>
            <w:shd w:val="clear" w:color="auto" w:fill="auto"/>
            <w:vAlign w:val="bottom"/>
          </w:tcPr>
          <w:p w14:paraId="74DDAFD5" w14:textId="77777777" w:rsidR="00584EC1" w:rsidRDefault="00584EC1">
            <w:pPr>
              <w:rPr>
                <w:rFonts w:ascii="宋体"/>
                <w:vanish/>
              </w:rPr>
            </w:pPr>
          </w:p>
        </w:tc>
        <w:tc>
          <w:tcPr>
            <w:tcW w:w="0" w:type="auto"/>
            <w:gridSpan w:val="3"/>
            <w:shd w:val="clear" w:color="auto" w:fill="auto"/>
            <w:vAlign w:val="bottom"/>
          </w:tcPr>
          <w:p w14:paraId="74DDAFD6" w14:textId="77777777" w:rsidR="00584EC1" w:rsidRDefault="00584EC1">
            <w:pPr>
              <w:rPr>
                <w:rFonts w:ascii="宋体"/>
                <w:vanish/>
              </w:rPr>
            </w:pPr>
          </w:p>
        </w:tc>
        <w:tc>
          <w:tcPr>
            <w:tcW w:w="0" w:type="auto"/>
            <w:gridSpan w:val="3"/>
            <w:shd w:val="clear" w:color="auto" w:fill="auto"/>
            <w:vAlign w:val="bottom"/>
          </w:tcPr>
          <w:p w14:paraId="74DDAFD7" w14:textId="77777777" w:rsidR="00584EC1" w:rsidRDefault="00584EC1">
            <w:pPr>
              <w:rPr>
                <w:rFonts w:ascii="宋体"/>
                <w:vanish/>
              </w:rPr>
            </w:pPr>
          </w:p>
        </w:tc>
        <w:tc>
          <w:tcPr>
            <w:tcW w:w="0" w:type="auto"/>
            <w:gridSpan w:val="3"/>
            <w:shd w:val="clear" w:color="auto" w:fill="auto"/>
            <w:vAlign w:val="bottom"/>
          </w:tcPr>
          <w:p w14:paraId="74DDAFD8" w14:textId="77777777" w:rsidR="00584EC1" w:rsidRDefault="00584EC1">
            <w:pPr>
              <w:rPr>
                <w:rFonts w:ascii="宋体"/>
                <w:vanish/>
              </w:rPr>
            </w:pPr>
          </w:p>
        </w:tc>
        <w:tc>
          <w:tcPr>
            <w:tcW w:w="0" w:type="auto"/>
            <w:gridSpan w:val="3"/>
            <w:shd w:val="clear" w:color="auto" w:fill="auto"/>
            <w:vAlign w:val="bottom"/>
          </w:tcPr>
          <w:p w14:paraId="74DDAFD9" w14:textId="77777777" w:rsidR="00584EC1" w:rsidRDefault="00584EC1">
            <w:pPr>
              <w:rPr>
                <w:rFonts w:ascii="宋体"/>
                <w:vanish/>
              </w:rPr>
            </w:pPr>
          </w:p>
        </w:tc>
        <w:tc>
          <w:tcPr>
            <w:tcW w:w="0" w:type="auto"/>
            <w:gridSpan w:val="3"/>
            <w:shd w:val="clear" w:color="auto" w:fill="auto"/>
            <w:vAlign w:val="bottom"/>
          </w:tcPr>
          <w:p w14:paraId="74DDAFDA" w14:textId="77777777" w:rsidR="00584EC1" w:rsidRDefault="00584EC1">
            <w:pPr>
              <w:rPr>
                <w:rFonts w:ascii="宋体"/>
                <w:vanish/>
              </w:rPr>
            </w:pPr>
          </w:p>
        </w:tc>
        <w:tc>
          <w:tcPr>
            <w:tcW w:w="0" w:type="auto"/>
            <w:gridSpan w:val="3"/>
            <w:shd w:val="clear" w:color="auto" w:fill="auto"/>
            <w:vAlign w:val="bottom"/>
          </w:tcPr>
          <w:p w14:paraId="74DDAFDB" w14:textId="77777777" w:rsidR="00584EC1" w:rsidRDefault="00584EC1">
            <w:pPr>
              <w:rPr>
                <w:rFonts w:ascii="宋体"/>
                <w:vanish/>
              </w:rPr>
            </w:pPr>
          </w:p>
        </w:tc>
        <w:tc>
          <w:tcPr>
            <w:tcW w:w="0" w:type="auto"/>
            <w:gridSpan w:val="3"/>
            <w:shd w:val="clear" w:color="auto" w:fill="auto"/>
            <w:vAlign w:val="bottom"/>
          </w:tcPr>
          <w:p w14:paraId="74DDAFDC" w14:textId="77777777" w:rsidR="00584EC1" w:rsidRDefault="00584EC1">
            <w:pPr>
              <w:rPr>
                <w:rFonts w:ascii="宋体"/>
                <w:vanish/>
              </w:rPr>
            </w:pPr>
          </w:p>
        </w:tc>
        <w:tc>
          <w:tcPr>
            <w:tcW w:w="0" w:type="auto"/>
            <w:gridSpan w:val="3"/>
            <w:shd w:val="clear" w:color="auto" w:fill="auto"/>
            <w:vAlign w:val="bottom"/>
          </w:tcPr>
          <w:p w14:paraId="74DDAFDD" w14:textId="77777777" w:rsidR="00584EC1" w:rsidRDefault="00584EC1">
            <w:pPr>
              <w:rPr>
                <w:rFonts w:ascii="宋体"/>
                <w:vanish/>
              </w:rPr>
            </w:pPr>
          </w:p>
        </w:tc>
        <w:tc>
          <w:tcPr>
            <w:tcW w:w="0" w:type="auto"/>
            <w:gridSpan w:val="3"/>
            <w:shd w:val="clear" w:color="auto" w:fill="auto"/>
            <w:vAlign w:val="bottom"/>
          </w:tcPr>
          <w:p w14:paraId="74DDAFDE" w14:textId="77777777" w:rsidR="00584EC1" w:rsidRDefault="00584EC1">
            <w:pPr>
              <w:rPr>
                <w:rFonts w:ascii="宋体"/>
                <w:vanish/>
              </w:rPr>
            </w:pPr>
          </w:p>
        </w:tc>
        <w:tc>
          <w:tcPr>
            <w:tcW w:w="0" w:type="auto"/>
            <w:gridSpan w:val="3"/>
            <w:shd w:val="clear" w:color="auto" w:fill="auto"/>
            <w:vAlign w:val="bottom"/>
          </w:tcPr>
          <w:p w14:paraId="74DDAFDF" w14:textId="77777777" w:rsidR="00584EC1" w:rsidRDefault="00584EC1">
            <w:pPr>
              <w:rPr>
                <w:rFonts w:ascii="宋体"/>
                <w:vanish/>
              </w:rPr>
            </w:pPr>
          </w:p>
        </w:tc>
        <w:tc>
          <w:tcPr>
            <w:tcW w:w="0" w:type="auto"/>
            <w:gridSpan w:val="3"/>
            <w:shd w:val="clear" w:color="auto" w:fill="auto"/>
            <w:vAlign w:val="bottom"/>
          </w:tcPr>
          <w:p w14:paraId="74DDAFE0" w14:textId="77777777" w:rsidR="00584EC1" w:rsidRDefault="00584EC1">
            <w:pPr>
              <w:rPr>
                <w:rFonts w:ascii="宋体"/>
                <w:vanish/>
              </w:rPr>
            </w:pPr>
          </w:p>
        </w:tc>
        <w:tc>
          <w:tcPr>
            <w:tcW w:w="0" w:type="auto"/>
            <w:gridSpan w:val="3"/>
            <w:shd w:val="clear" w:color="auto" w:fill="auto"/>
            <w:vAlign w:val="bottom"/>
          </w:tcPr>
          <w:p w14:paraId="74DDAFE1" w14:textId="77777777" w:rsidR="00584EC1" w:rsidRDefault="00584EC1">
            <w:pPr>
              <w:rPr>
                <w:rFonts w:ascii="宋体"/>
                <w:vanish/>
              </w:rPr>
            </w:pPr>
          </w:p>
        </w:tc>
        <w:tc>
          <w:tcPr>
            <w:tcW w:w="0" w:type="auto"/>
            <w:gridSpan w:val="3"/>
            <w:shd w:val="clear" w:color="auto" w:fill="auto"/>
            <w:vAlign w:val="bottom"/>
          </w:tcPr>
          <w:p w14:paraId="74DDAFE2" w14:textId="77777777" w:rsidR="00584EC1" w:rsidRDefault="00584EC1">
            <w:pPr>
              <w:rPr>
                <w:rFonts w:ascii="宋体"/>
                <w:vanish/>
              </w:rPr>
            </w:pPr>
          </w:p>
        </w:tc>
        <w:tc>
          <w:tcPr>
            <w:tcW w:w="0" w:type="auto"/>
            <w:gridSpan w:val="3"/>
            <w:shd w:val="clear" w:color="auto" w:fill="auto"/>
            <w:vAlign w:val="bottom"/>
          </w:tcPr>
          <w:p w14:paraId="74DDAFE3" w14:textId="77777777" w:rsidR="00584EC1" w:rsidRDefault="00584EC1">
            <w:pPr>
              <w:rPr>
                <w:rFonts w:ascii="宋体"/>
                <w:vanish/>
              </w:rPr>
            </w:pPr>
          </w:p>
        </w:tc>
        <w:tc>
          <w:tcPr>
            <w:tcW w:w="0" w:type="auto"/>
            <w:gridSpan w:val="3"/>
            <w:shd w:val="clear" w:color="auto" w:fill="auto"/>
            <w:vAlign w:val="bottom"/>
          </w:tcPr>
          <w:p w14:paraId="74DDAFE4" w14:textId="77777777" w:rsidR="00584EC1" w:rsidRDefault="00584EC1">
            <w:pPr>
              <w:rPr>
                <w:rFonts w:ascii="宋体"/>
                <w:vanish/>
              </w:rPr>
            </w:pPr>
          </w:p>
        </w:tc>
      </w:tr>
      <w:tr w:rsidR="00584EC1" w14:paraId="74DDAFF8" w14:textId="77777777">
        <w:trPr>
          <w:jc w:val="center"/>
          <w:hidden/>
        </w:trPr>
        <w:tc>
          <w:tcPr>
            <w:tcW w:w="0" w:type="auto"/>
            <w:gridSpan w:val="3"/>
            <w:shd w:val="clear" w:color="auto" w:fill="auto"/>
            <w:vAlign w:val="bottom"/>
          </w:tcPr>
          <w:p w14:paraId="74DDAFE6" w14:textId="77777777" w:rsidR="00584EC1" w:rsidRDefault="00584EC1">
            <w:pPr>
              <w:rPr>
                <w:rFonts w:ascii="宋体"/>
                <w:vanish/>
              </w:rPr>
            </w:pPr>
          </w:p>
        </w:tc>
        <w:tc>
          <w:tcPr>
            <w:tcW w:w="0" w:type="auto"/>
            <w:gridSpan w:val="3"/>
            <w:shd w:val="clear" w:color="auto" w:fill="auto"/>
            <w:vAlign w:val="bottom"/>
          </w:tcPr>
          <w:p w14:paraId="74DDAFE7" w14:textId="77777777" w:rsidR="00584EC1" w:rsidRDefault="00584EC1">
            <w:pPr>
              <w:rPr>
                <w:rFonts w:ascii="宋体"/>
                <w:vanish/>
              </w:rPr>
            </w:pPr>
          </w:p>
        </w:tc>
        <w:tc>
          <w:tcPr>
            <w:tcW w:w="0" w:type="auto"/>
            <w:gridSpan w:val="3"/>
            <w:shd w:val="clear" w:color="auto" w:fill="auto"/>
            <w:vAlign w:val="bottom"/>
          </w:tcPr>
          <w:p w14:paraId="74DDAFE8" w14:textId="77777777" w:rsidR="00584EC1" w:rsidRDefault="00584EC1">
            <w:pPr>
              <w:rPr>
                <w:rFonts w:ascii="宋体"/>
                <w:vanish/>
              </w:rPr>
            </w:pPr>
          </w:p>
        </w:tc>
        <w:tc>
          <w:tcPr>
            <w:tcW w:w="0" w:type="auto"/>
            <w:gridSpan w:val="3"/>
            <w:shd w:val="clear" w:color="auto" w:fill="auto"/>
            <w:vAlign w:val="bottom"/>
          </w:tcPr>
          <w:p w14:paraId="74DDAFE9" w14:textId="77777777" w:rsidR="00584EC1" w:rsidRDefault="00584EC1">
            <w:pPr>
              <w:rPr>
                <w:rFonts w:ascii="宋体"/>
                <w:vanish/>
              </w:rPr>
            </w:pPr>
          </w:p>
        </w:tc>
        <w:tc>
          <w:tcPr>
            <w:tcW w:w="0" w:type="auto"/>
            <w:gridSpan w:val="3"/>
            <w:shd w:val="clear" w:color="auto" w:fill="auto"/>
            <w:vAlign w:val="bottom"/>
          </w:tcPr>
          <w:p w14:paraId="74DDAFEA" w14:textId="77777777" w:rsidR="00584EC1" w:rsidRDefault="00584EC1">
            <w:pPr>
              <w:rPr>
                <w:rFonts w:ascii="宋体"/>
                <w:vanish/>
              </w:rPr>
            </w:pPr>
          </w:p>
        </w:tc>
        <w:tc>
          <w:tcPr>
            <w:tcW w:w="0" w:type="auto"/>
            <w:gridSpan w:val="3"/>
            <w:shd w:val="clear" w:color="auto" w:fill="auto"/>
            <w:vAlign w:val="bottom"/>
          </w:tcPr>
          <w:p w14:paraId="74DDAFEB" w14:textId="77777777" w:rsidR="00584EC1" w:rsidRDefault="00584EC1">
            <w:pPr>
              <w:rPr>
                <w:rFonts w:ascii="宋体"/>
                <w:vanish/>
              </w:rPr>
            </w:pPr>
          </w:p>
        </w:tc>
        <w:tc>
          <w:tcPr>
            <w:tcW w:w="0" w:type="auto"/>
            <w:gridSpan w:val="3"/>
            <w:shd w:val="clear" w:color="auto" w:fill="auto"/>
            <w:vAlign w:val="bottom"/>
          </w:tcPr>
          <w:p w14:paraId="74DDAFEC" w14:textId="77777777" w:rsidR="00584EC1" w:rsidRDefault="00584EC1">
            <w:pPr>
              <w:rPr>
                <w:rFonts w:ascii="宋体"/>
                <w:vanish/>
              </w:rPr>
            </w:pPr>
          </w:p>
        </w:tc>
        <w:tc>
          <w:tcPr>
            <w:tcW w:w="0" w:type="auto"/>
            <w:gridSpan w:val="3"/>
            <w:shd w:val="clear" w:color="auto" w:fill="auto"/>
            <w:vAlign w:val="bottom"/>
          </w:tcPr>
          <w:p w14:paraId="74DDAFED" w14:textId="77777777" w:rsidR="00584EC1" w:rsidRDefault="00584EC1">
            <w:pPr>
              <w:rPr>
                <w:rFonts w:ascii="宋体"/>
                <w:vanish/>
              </w:rPr>
            </w:pPr>
          </w:p>
        </w:tc>
        <w:tc>
          <w:tcPr>
            <w:tcW w:w="0" w:type="auto"/>
            <w:gridSpan w:val="3"/>
            <w:shd w:val="clear" w:color="auto" w:fill="auto"/>
            <w:vAlign w:val="bottom"/>
          </w:tcPr>
          <w:p w14:paraId="74DDAFEE" w14:textId="77777777" w:rsidR="00584EC1" w:rsidRDefault="00584EC1">
            <w:pPr>
              <w:rPr>
                <w:rFonts w:ascii="宋体"/>
                <w:vanish/>
              </w:rPr>
            </w:pPr>
          </w:p>
        </w:tc>
        <w:tc>
          <w:tcPr>
            <w:tcW w:w="0" w:type="auto"/>
            <w:gridSpan w:val="3"/>
            <w:shd w:val="clear" w:color="auto" w:fill="auto"/>
            <w:vAlign w:val="bottom"/>
          </w:tcPr>
          <w:p w14:paraId="74DDAFEF" w14:textId="77777777" w:rsidR="00584EC1" w:rsidRDefault="00584EC1">
            <w:pPr>
              <w:rPr>
                <w:rFonts w:ascii="宋体"/>
                <w:vanish/>
              </w:rPr>
            </w:pPr>
          </w:p>
        </w:tc>
        <w:tc>
          <w:tcPr>
            <w:tcW w:w="0" w:type="auto"/>
            <w:gridSpan w:val="3"/>
            <w:shd w:val="clear" w:color="auto" w:fill="auto"/>
            <w:vAlign w:val="bottom"/>
          </w:tcPr>
          <w:p w14:paraId="74DDAFF0" w14:textId="77777777" w:rsidR="00584EC1" w:rsidRDefault="00584EC1">
            <w:pPr>
              <w:rPr>
                <w:rFonts w:ascii="宋体"/>
                <w:vanish/>
              </w:rPr>
            </w:pPr>
          </w:p>
        </w:tc>
        <w:tc>
          <w:tcPr>
            <w:tcW w:w="0" w:type="auto"/>
            <w:gridSpan w:val="3"/>
            <w:shd w:val="clear" w:color="auto" w:fill="auto"/>
            <w:vAlign w:val="bottom"/>
          </w:tcPr>
          <w:p w14:paraId="74DDAFF1" w14:textId="77777777" w:rsidR="00584EC1" w:rsidRDefault="00584EC1">
            <w:pPr>
              <w:rPr>
                <w:rFonts w:ascii="宋体"/>
                <w:vanish/>
              </w:rPr>
            </w:pPr>
          </w:p>
        </w:tc>
        <w:tc>
          <w:tcPr>
            <w:tcW w:w="0" w:type="auto"/>
            <w:gridSpan w:val="3"/>
            <w:shd w:val="clear" w:color="auto" w:fill="auto"/>
            <w:vAlign w:val="bottom"/>
          </w:tcPr>
          <w:p w14:paraId="74DDAFF2" w14:textId="77777777" w:rsidR="00584EC1" w:rsidRDefault="00584EC1">
            <w:pPr>
              <w:rPr>
                <w:rFonts w:ascii="宋体"/>
                <w:vanish/>
              </w:rPr>
            </w:pPr>
          </w:p>
        </w:tc>
        <w:tc>
          <w:tcPr>
            <w:tcW w:w="0" w:type="auto"/>
            <w:gridSpan w:val="3"/>
            <w:shd w:val="clear" w:color="auto" w:fill="auto"/>
            <w:vAlign w:val="bottom"/>
          </w:tcPr>
          <w:p w14:paraId="74DDAFF3" w14:textId="77777777" w:rsidR="00584EC1" w:rsidRDefault="00584EC1">
            <w:pPr>
              <w:rPr>
                <w:rFonts w:ascii="宋体"/>
                <w:vanish/>
              </w:rPr>
            </w:pPr>
          </w:p>
        </w:tc>
        <w:tc>
          <w:tcPr>
            <w:tcW w:w="0" w:type="auto"/>
            <w:gridSpan w:val="3"/>
            <w:shd w:val="clear" w:color="auto" w:fill="auto"/>
            <w:vAlign w:val="bottom"/>
          </w:tcPr>
          <w:p w14:paraId="74DDAFF4" w14:textId="77777777" w:rsidR="00584EC1" w:rsidRDefault="00584EC1">
            <w:pPr>
              <w:rPr>
                <w:rFonts w:ascii="宋体"/>
                <w:vanish/>
              </w:rPr>
            </w:pPr>
          </w:p>
        </w:tc>
        <w:tc>
          <w:tcPr>
            <w:tcW w:w="0" w:type="auto"/>
            <w:gridSpan w:val="3"/>
            <w:shd w:val="clear" w:color="auto" w:fill="auto"/>
            <w:vAlign w:val="bottom"/>
          </w:tcPr>
          <w:p w14:paraId="74DDAFF5" w14:textId="77777777" w:rsidR="00584EC1" w:rsidRDefault="00584EC1">
            <w:pPr>
              <w:rPr>
                <w:rFonts w:ascii="宋体"/>
                <w:vanish/>
              </w:rPr>
            </w:pPr>
          </w:p>
        </w:tc>
        <w:tc>
          <w:tcPr>
            <w:tcW w:w="0" w:type="auto"/>
            <w:gridSpan w:val="3"/>
            <w:shd w:val="clear" w:color="auto" w:fill="auto"/>
            <w:vAlign w:val="bottom"/>
          </w:tcPr>
          <w:p w14:paraId="74DDAFF6" w14:textId="77777777" w:rsidR="00584EC1" w:rsidRDefault="00584EC1">
            <w:pPr>
              <w:rPr>
                <w:rFonts w:ascii="宋体"/>
                <w:vanish/>
              </w:rPr>
            </w:pPr>
          </w:p>
        </w:tc>
        <w:tc>
          <w:tcPr>
            <w:tcW w:w="0" w:type="auto"/>
            <w:gridSpan w:val="3"/>
            <w:shd w:val="clear" w:color="auto" w:fill="auto"/>
            <w:vAlign w:val="bottom"/>
          </w:tcPr>
          <w:p w14:paraId="74DDAFF7" w14:textId="77777777" w:rsidR="00584EC1" w:rsidRDefault="00584EC1">
            <w:pPr>
              <w:rPr>
                <w:rFonts w:ascii="宋体"/>
                <w:vanish/>
              </w:rPr>
            </w:pPr>
          </w:p>
        </w:tc>
      </w:tr>
      <w:tr w:rsidR="00871F8D" w14:paraId="74DDB01B" w14:textId="77777777">
        <w:trPr>
          <w:jc w:val="center"/>
        </w:trPr>
        <w:tc>
          <w:tcPr>
            <w:tcW w:w="0" w:type="auto"/>
            <w:gridSpan w:val="3"/>
            <w:shd w:val="clear" w:color="auto" w:fill="CCEEFF"/>
            <w:tcMar>
              <w:top w:w="40" w:type="dxa"/>
              <w:left w:w="20" w:type="dxa"/>
              <w:bottom w:w="40" w:type="dxa"/>
              <w:right w:w="20" w:type="dxa"/>
            </w:tcMar>
            <w:vAlign w:val="bottom"/>
          </w:tcPr>
          <w:p w14:paraId="74DDAFF9" w14:textId="77777777" w:rsidR="00584EC1" w:rsidRDefault="00871F8D">
            <w:pPr>
              <w:textAlignment w:val="bottom"/>
            </w:pPr>
            <w:r>
              <w:rPr>
                <w:rFonts w:ascii="Arial" w:eastAsia="宋体" w:hAnsi="Arial" w:cs="Arial"/>
                <w:b/>
                <w:bCs/>
                <w:color w:val="000000"/>
                <w:sz w:val="15"/>
                <w:szCs w:val="15"/>
              </w:rPr>
              <w:t>Balance at December 31, 2019</w:t>
            </w:r>
          </w:p>
        </w:tc>
        <w:tc>
          <w:tcPr>
            <w:tcW w:w="0" w:type="auto"/>
            <w:tcBorders>
              <w:top w:val="single" w:sz="8" w:space="0" w:color="000000"/>
            </w:tcBorders>
            <w:shd w:val="clear" w:color="auto" w:fill="CCEEFF"/>
            <w:tcMar>
              <w:top w:w="40" w:type="dxa"/>
              <w:left w:w="20" w:type="dxa"/>
              <w:bottom w:w="40" w:type="dxa"/>
              <w:right w:w="0" w:type="dxa"/>
            </w:tcMar>
            <w:vAlign w:val="bottom"/>
          </w:tcPr>
          <w:p w14:paraId="74DDAFFA"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AFFB" w14:textId="77777777" w:rsidR="00584EC1" w:rsidRDefault="00871F8D">
            <w:pPr>
              <w:jc w:val="right"/>
              <w:textAlignment w:val="bottom"/>
            </w:pPr>
            <w:r>
              <w:rPr>
                <w:rFonts w:ascii="Arial" w:eastAsia="宋体" w:hAnsi="Arial" w:cs="Arial"/>
                <w:color w:val="000000"/>
                <w:sz w:val="15"/>
                <w:szCs w:val="15"/>
              </w:rPr>
              <w:t>2,962 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AFF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AFFD"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AFFE" w14:textId="77777777" w:rsidR="00584EC1" w:rsidRDefault="00871F8D">
            <w:pPr>
              <w:jc w:val="right"/>
              <w:textAlignment w:val="bottom"/>
            </w:pPr>
            <w:r>
              <w:rPr>
                <w:rFonts w:ascii="Arial" w:eastAsia="宋体" w:hAnsi="Arial" w:cs="Arial"/>
                <w:color w:val="000000"/>
                <w:sz w:val="15"/>
                <w:szCs w:val="15"/>
              </w:rPr>
              <w:t>503,880 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AFF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000"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B001"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B002" w14:textId="77777777" w:rsidR="00584EC1" w:rsidRDefault="00871F8D">
            <w:pPr>
              <w:jc w:val="right"/>
              <w:textAlignment w:val="bottom"/>
            </w:pPr>
            <w:r>
              <w:rPr>
                <w:rFonts w:ascii="Arial" w:eastAsia="宋体" w:hAnsi="Arial" w:cs="Arial"/>
                <w:color w:val="000000"/>
                <w:sz w:val="15"/>
                <w:szCs w:val="15"/>
              </w:rPr>
              <w:t>504 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B00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004"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B005"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B006" w14:textId="77777777" w:rsidR="00584EC1" w:rsidRDefault="00871F8D">
            <w:pPr>
              <w:jc w:val="right"/>
              <w:textAlignment w:val="bottom"/>
            </w:pPr>
            <w:r>
              <w:rPr>
                <w:rFonts w:ascii="Arial" w:eastAsia="宋体" w:hAnsi="Arial" w:cs="Arial"/>
                <w:color w:val="000000"/>
                <w:sz w:val="15"/>
                <w:szCs w:val="15"/>
              </w:rPr>
              <w:t>10,132 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B00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008"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B009"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B00A" w14:textId="77777777" w:rsidR="00584EC1" w:rsidRDefault="00871F8D">
            <w:pPr>
              <w:jc w:val="right"/>
              <w:textAlignment w:val="bottom"/>
            </w:pPr>
            <w:r>
              <w:rPr>
                <w:rFonts w:ascii="Arial" w:eastAsia="宋体" w:hAnsi="Arial" w:cs="Arial"/>
                <w:color w:val="000000"/>
                <w:sz w:val="15"/>
                <w:szCs w:val="15"/>
              </w:rPr>
              <w:t>21,918 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B00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00C"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B00D"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B00E" w14:textId="77777777" w:rsidR="00584EC1" w:rsidRDefault="00871F8D">
            <w:pPr>
              <w:jc w:val="right"/>
              <w:textAlignment w:val="bottom"/>
            </w:pPr>
            <w:r>
              <w:rPr>
                <w:rFonts w:ascii="Arial" w:eastAsia="宋体" w:hAnsi="Arial" w:cs="Arial"/>
                <w:color w:val="000000"/>
                <w:sz w:val="15"/>
                <w:szCs w:val="15"/>
              </w:rPr>
              <w:t>(876)</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B00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010"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B011" w14:textId="77777777" w:rsidR="00584EC1" w:rsidRDefault="00871F8D">
            <w:pPr>
              <w:jc w:val="right"/>
              <w:textAlignment w:val="bottom"/>
            </w:pPr>
            <w:r>
              <w:rPr>
                <w:rFonts w:ascii="Arial" w:eastAsia="宋体" w:hAnsi="Arial" w:cs="Arial"/>
                <w:color w:val="000000"/>
                <w:sz w:val="15"/>
                <w:szCs w:val="15"/>
              </w:rPr>
              <w:t>146,490 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B01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013"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B014"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B015" w14:textId="77777777" w:rsidR="00584EC1" w:rsidRDefault="00871F8D">
            <w:pPr>
              <w:jc w:val="right"/>
              <w:textAlignment w:val="bottom"/>
            </w:pPr>
            <w:r>
              <w:rPr>
                <w:rFonts w:ascii="Arial" w:eastAsia="宋体" w:hAnsi="Arial" w:cs="Arial"/>
                <w:color w:val="000000"/>
                <w:sz w:val="15"/>
                <w:szCs w:val="15"/>
              </w:rPr>
              <w:t>(10,209)</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B01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017"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B018"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B019" w14:textId="77777777" w:rsidR="00584EC1" w:rsidRDefault="00871F8D">
            <w:pPr>
              <w:jc w:val="right"/>
              <w:textAlignment w:val="bottom"/>
            </w:pPr>
            <w:r>
              <w:rPr>
                <w:rFonts w:ascii="Arial" w:eastAsia="宋体" w:hAnsi="Arial" w:cs="Arial"/>
                <w:color w:val="000000"/>
                <w:sz w:val="15"/>
                <w:szCs w:val="15"/>
              </w:rPr>
              <w:t>24,431 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B01A" w14:textId="77777777" w:rsidR="00584EC1" w:rsidRDefault="00584EC1">
            <w:pPr>
              <w:jc w:val="right"/>
              <w:rPr>
                <w:rFonts w:ascii="宋体"/>
              </w:rPr>
            </w:pPr>
          </w:p>
        </w:tc>
      </w:tr>
      <w:tr w:rsidR="00584EC1" w14:paraId="74DDB030" w14:textId="77777777">
        <w:trPr>
          <w:jc w:val="center"/>
        </w:trPr>
        <w:tc>
          <w:tcPr>
            <w:tcW w:w="0" w:type="auto"/>
            <w:gridSpan w:val="3"/>
            <w:shd w:val="clear" w:color="auto" w:fill="FFFFFF"/>
            <w:tcMar>
              <w:top w:w="40" w:type="dxa"/>
              <w:left w:w="20" w:type="dxa"/>
              <w:bottom w:w="40" w:type="dxa"/>
              <w:right w:w="20" w:type="dxa"/>
            </w:tcMar>
            <w:vAlign w:val="bottom"/>
          </w:tcPr>
          <w:p w14:paraId="74DDB01C" w14:textId="77777777" w:rsidR="00584EC1" w:rsidRDefault="00871F8D">
            <w:pPr>
              <w:textAlignment w:val="bottom"/>
            </w:pPr>
            <w:r>
              <w:rPr>
                <w:rFonts w:ascii="Arial" w:eastAsia="宋体" w:hAnsi="Arial" w:cs="Arial"/>
                <w:color w:val="000000"/>
                <w:sz w:val="15"/>
                <w:szCs w:val="15"/>
              </w:rPr>
              <w:t>Net i</w:t>
            </w:r>
            <w:r>
              <w:rPr>
                <w:rFonts w:ascii="Arial" w:eastAsia="宋体" w:hAnsi="Arial" w:cs="Arial"/>
                <w:color w:val="000000"/>
                <w:sz w:val="15"/>
                <w:szCs w:val="15"/>
              </w:rPr>
              <w:t>ncome</w:t>
            </w:r>
          </w:p>
        </w:tc>
        <w:tc>
          <w:tcPr>
            <w:tcW w:w="0" w:type="auto"/>
            <w:gridSpan w:val="3"/>
            <w:shd w:val="clear" w:color="auto" w:fill="FFFFFF"/>
            <w:tcMar>
              <w:top w:w="0" w:type="dxa"/>
              <w:left w:w="20" w:type="dxa"/>
              <w:bottom w:w="0" w:type="dxa"/>
              <w:right w:w="20" w:type="dxa"/>
            </w:tcMar>
            <w:vAlign w:val="bottom"/>
          </w:tcPr>
          <w:p w14:paraId="74DDB01D"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01E"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01F"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020"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021"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02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023"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02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025" w14:textId="77777777" w:rsidR="00584EC1" w:rsidRDefault="00871F8D">
            <w:pPr>
              <w:jc w:val="right"/>
              <w:textAlignment w:val="bottom"/>
            </w:pPr>
            <w:r>
              <w:rPr>
                <w:rFonts w:ascii="Arial" w:eastAsia="宋体" w:hAnsi="Arial" w:cs="Arial"/>
                <w:color w:val="000000"/>
                <w:sz w:val="15"/>
                <w:szCs w:val="15"/>
              </w:rPr>
              <w:t>634 </w:t>
            </w:r>
          </w:p>
        </w:tc>
        <w:tc>
          <w:tcPr>
            <w:tcW w:w="0" w:type="auto"/>
            <w:shd w:val="clear" w:color="auto" w:fill="FFFFFF"/>
            <w:tcMar>
              <w:top w:w="40" w:type="dxa"/>
              <w:left w:w="0" w:type="dxa"/>
              <w:bottom w:w="40" w:type="dxa"/>
              <w:right w:w="20" w:type="dxa"/>
            </w:tcMar>
            <w:vAlign w:val="bottom"/>
          </w:tcPr>
          <w:p w14:paraId="74DDB02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027"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028"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029"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02A"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02B"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02C"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02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02E" w14:textId="77777777" w:rsidR="00584EC1" w:rsidRDefault="00871F8D">
            <w:pPr>
              <w:jc w:val="right"/>
              <w:textAlignment w:val="bottom"/>
            </w:pPr>
            <w:r>
              <w:rPr>
                <w:rFonts w:ascii="Arial" w:eastAsia="宋体" w:hAnsi="Arial" w:cs="Arial"/>
                <w:color w:val="000000"/>
                <w:sz w:val="15"/>
                <w:szCs w:val="15"/>
              </w:rPr>
              <w:t>634 </w:t>
            </w:r>
          </w:p>
        </w:tc>
        <w:tc>
          <w:tcPr>
            <w:tcW w:w="0" w:type="auto"/>
            <w:shd w:val="clear" w:color="auto" w:fill="FFFFFF"/>
            <w:tcMar>
              <w:top w:w="40" w:type="dxa"/>
              <w:left w:w="0" w:type="dxa"/>
              <w:bottom w:w="40" w:type="dxa"/>
              <w:right w:w="20" w:type="dxa"/>
            </w:tcMar>
            <w:vAlign w:val="bottom"/>
          </w:tcPr>
          <w:p w14:paraId="74DDB02F" w14:textId="77777777" w:rsidR="00584EC1" w:rsidRDefault="00584EC1">
            <w:pPr>
              <w:jc w:val="right"/>
              <w:rPr>
                <w:rFonts w:ascii="宋体"/>
              </w:rPr>
            </w:pPr>
          </w:p>
        </w:tc>
      </w:tr>
      <w:tr w:rsidR="00584EC1" w14:paraId="74DDB045" w14:textId="77777777">
        <w:trPr>
          <w:jc w:val="center"/>
        </w:trPr>
        <w:tc>
          <w:tcPr>
            <w:tcW w:w="0" w:type="auto"/>
            <w:gridSpan w:val="3"/>
            <w:shd w:val="clear" w:color="auto" w:fill="CCEEFF"/>
            <w:tcMar>
              <w:top w:w="40" w:type="dxa"/>
              <w:left w:w="20" w:type="dxa"/>
              <w:bottom w:w="40" w:type="dxa"/>
              <w:right w:w="20" w:type="dxa"/>
            </w:tcMar>
            <w:vAlign w:val="bottom"/>
          </w:tcPr>
          <w:p w14:paraId="74DDB031" w14:textId="77777777" w:rsidR="00584EC1" w:rsidRDefault="00871F8D">
            <w:pPr>
              <w:textAlignment w:val="bottom"/>
            </w:pPr>
            <w:r>
              <w:rPr>
                <w:rFonts w:ascii="Arial" w:eastAsia="宋体" w:hAnsi="Arial" w:cs="Arial"/>
                <w:color w:val="000000"/>
                <w:sz w:val="15"/>
                <w:szCs w:val="15"/>
              </w:rPr>
              <w:t>Other comprehensive income (loss)</w:t>
            </w:r>
          </w:p>
        </w:tc>
        <w:tc>
          <w:tcPr>
            <w:tcW w:w="0" w:type="auto"/>
            <w:gridSpan w:val="3"/>
            <w:shd w:val="clear" w:color="auto" w:fill="CCEEFF"/>
            <w:tcMar>
              <w:top w:w="0" w:type="dxa"/>
              <w:left w:w="20" w:type="dxa"/>
              <w:bottom w:w="0" w:type="dxa"/>
              <w:right w:w="20" w:type="dxa"/>
            </w:tcMar>
            <w:vAlign w:val="bottom"/>
          </w:tcPr>
          <w:p w14:paraId="74DDB032"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033"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034"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035"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036"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037"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038"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039"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03A"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03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03C" w14:textId="77777777" w:rsidR="00584EC1" w:rsidRDefault="00871F8D">
            <w:pPr>
              <w:jc w:val="right"/>
              <w:textAlignment w:val="bottom"/>
            </w:pPr>
            <w:r>
              <w:rPr>
                <w:rFonts w:ascii="Arial" w:eastAsia="宋体" w:hAnsi="Arial" w:cs="Arial"/>
                <w:color w:val="000000"/>
                <w:sz w:val="15"/>
                <w:szCs w:val="15"/>
              </w:rPr>
              <w:t>(44)</w:t>
            </w:r>
          </w:p>
        </w:tc>
        <w:tc>
          <w:tcPr>
            <w:tcW w:w="0" w:type="auto"/>
            <w:shd w:val="clear" w:color="auto" w:fill="CCEEFF"/>
            <w:tcMar>
              <w:top w:w="40" w:type="dxa"/>
              <w:left w:w="0" w:type="dxa"/>
              <w:bottom w:w="40" w:type="dxa"/>
              <w:right w:w="20" w:type="dxa"/>
            </w:tcMar>
            <w:vAlign w:val="bottom"/>
          </w:tcPr>
          <w:p w14:paraId="74DDB03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03E"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03F"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040"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041"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042"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043" w14:textId="77777777" w:rsidR="00584EC1" w:rsidRDefault="00871F8D">
            <w:pPr>
              <w:jc w:val="right"/>
              <w:textAlignment w:val="bottom"/>
            </w:pPr>
            <w:r>
              <w:rPr>
                <w:rFonts w:ascii="Arial" w:eastAsia="宋体" w:hAnsi="Arial" w:cs="Arial"/>
                <w:color w:val="000000"/>
                <w:sz w:val="15"/>
                <w:szCs w:val="15"/>
              </w:rPr>
              <w:t>(44)</w:t>
            </w:r>
          </w:p>
        </w:tc>
        <w:tc>
          <w:tcPr>
            <w:tcW w:w="0" w:type="auto"/>
            <w:shd w:val="clear" w:color="auto" w:fill="CCEEFF"/>
            <w:tcMar>
              <w:top w:w="40" w:type="dxa"/>
              <w:left w:w="0" w:type="dxa"/>
              <w:bottom w:w="40" w:type="dxa"/>
              <w:right w:w="20" w:type="dxa"/>
            </w:tcMar>
            <w:vAlign w:val="bottom"/>
          </w:tcPr>
          <w:p w14:paraId="74DDB044" w14:textId="77777777" w:rsidR="00584EC1" w:rsidRDefault="00584EC1">
            <w:pPr>
              <w:jc w:val="right"/>
              <w:rPr>
                <w:rFonts w:ascii="宋体"/>
              </w:rPr>
            </w:pPr>
          </w:p>
        </w:tc>
      </w:tr>
      <w:tr w:rsidR="00584EC1" w14:paraId="74DDB05B" w14:textId="77777777">
        <w:trPr>
          <w:jc w:val="center"/>
        </w:trPr>
        <w:tc>
          <w:tcPr>
            <w:tcW w:w="0" w:type="auto"/>
            <w:gridSpan w:val="3"/>
            <w:shd w:val="clear" w:color="auto" w:fill="FFFFFF"/>
            <w:tcMar>
              <w:top w:w="40" w:type="dxa"/>
              <w:left w:w="20" w:type="dxa"/>
              <w:bottom w:w="40" w:type="dxa"/>
              <w:right w:w="20" w:type="dxa"/>
            </w:tcMar>
            <w:vAlign w:val="bottom"/>
          </w:tcPr>
          <w:p w14:paraId="74DDB046" w14:textId="77777777" w:rsidR="00584EC1" w:rsidRDefault="00871F8D">
            <w:pPr>
              <w:textAlignment w:val="bottom"/>
            </w:pPr>
            <w:r>
              <w:rPr>
                <w:rFonts w:ascii="Arial" w:eastAsia="宋体" w:hAnsi="Arial" w:cs="Arial"/>
                <w:color w:val="000000"/>
                <w:sz w:val="15"/>
                <w:szCs w:val="15"/>
              </w:rPr>
              <w:t>Preferred stock redeemed</w:t>
            </w:r>
          </w:p>
        </w:tc>
        <w:tc>
          <w:tcPr>
            <w:tcW w:w="0" w:type="auto"/>
            <w:gridSpan w:val="2"/>
            <w:shd w:val="clear" w:color="auto" w:fill="FFFFFF"/>
            <w:tcMar>
              <w:top w:w="40" w:type="dxa"/>
              <w:left w:w="20" w:type="dxa"/>
              <w:bottom w:w="40" w:type="dxa"/>
              <w:right w:w="0" w:type="dxa"/>
            </w:tcMar>
            <w:vAlign w:val="bottom"/>
          </w:tcPr>
          <w:p w14:paraId="74DDB047" w14:textId="77777777" w:rsidR="00584EC1" w:rsidRDefault="00871F8D">
            <w:pPr>
              <w:jc w:val="right"/>
              <w:textAlignment w:val="bottom"/>
            </w:pPr>
            <w:r>
              <w:rPr>
                <w:rFonts w:ascii="Arial" w:eastAsia="宋体" w:hAnsi="Arial" w:cs="Arial"/>
                <w:color w:val="000000"/>
                <w:sz w:val="15"/>
                <w:szCs w:val="15"/>
              </w:rPr>
              <w:t>(491)</w:t>
            </w:r>
          </w:p>
        </w:tc>
        <w:tc>
          <w:tcPr>
            <w:tcW w:w="0" w:type="auto"/>
            <w:shd w:val="clear" w:color="auto" w:fill="FFFFFF"/>
            <w:tcMar>
              <w:top w:w="40" w:type="dxa"/>
              <w:left w:w="0" w:type="dxa"/>
              <w:bottom w:w="40" w:type="dxa"/>
              <w:right w:w="20" w:type="dxa"/>
            </w:tcMar>
            <w:vAlign w:val="bottom"/>
          </w:tcPr>
          <w:p w14:paraId="74DDB04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049"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04A"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04B"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04C"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04D"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04E"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04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050" w14:textId="77777777" w:rsidR="00584EC1" w:rsidRDefault="00871F8D">
            <w:pPr>
              <w:jc w:val="right"/>
              <w:textAlignment w:val="bottom"/>
            </w:pPr>
            <w:r>
              <w:rPr>
                <w:rFonts w:ascii="Arial" w:eastAsia="宋体" w:hAnsi="Arial" w:cs="Arial"/>
                <w:color w:val="000000"/>
                <w:sz w:val="15"/>
                <w:szCs w:val="15"/>
              </w:rPr>
              <w:t>(9)</w:t>
            </w:r>
          </w:p>
        </w:tc>
        <w:tc>
          <w:tcPr>
            <w:tcW w:w="0" w:type="auto"/>
            <w:shd w:val="clear" w:color="auto" w:fill="FFFFFF"/>
            <w:tcMar>
              <w:top w:w="40" w:type="dxa"/>
              <w:left w:w="0" w:type="dxa"/>
              <w:bottom w:w="40" w:type="dxa"/>
              <w:right w:w="20" w:type="dxa"/>
            </w:tcMar>
            <w:vAlign w:val="bottom"/>
          </w:tcPr>
          <w:p w14:paraId="74DDB05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05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053"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054"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055"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056"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057"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058"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059" w14:textId="77777777" w:rsidR="00584EC1" w:rsidRDefault="00871F8D">
            <w:pPr>
              <w:jc w:val="right"/>
              <w:textAlignment w:val="bottom"/>
            </w:pPr>
            <w:r>
              <w:rPr>
                <w:rFonts w:ascii="Arial" w:eastAsia="宋体" w:hAnsi="Arial" w:cs="Arial"/>
                <w:color w:val="000000"/>
                <w:sz w:val="15"/>
                <w:szCs w:val="15"/>
              </w:rPr>
              <w:t>(500)</w:t>
            </w:r>
          </w:p>
        </w:tc>
        <w:tc>
          <w:tcPr>
            <w:tcW w:w="0" w:type="auto"/>
            <w:shd w:val="clear" w:color="auto" w:fill="FFFFFF"/>
            <w:tcMar>
              <w:top w:w="40" w:type="dxa"/>
              <w:left w:w="0" w:type="dxa"/>
              <w:bottom w:w="40" w:type="dxa"/>
              <w:right w:w="20" w:type="dxa"/>
            </w:tcMar>
            <w:vAlign w:val="bottom"/>
          </w:tcPr>
          <w:p w14:paraId="74DDB05A" w14:textId="77777777" w:rsidR="00584EC1" w:rsidRDefault="00584EC1">
            <w:pPr>
              <w:jc w:val="right"/>
              <w:rPr>
                <w:rFonts w:ascii="宋体"/>
              </w:rPr>
            </w:pPr>
          </w:p>
        </w:tc>
      </w:tr>
      <w:tr w:rsidR="00584EC1" w14:paraId="74DDB06E" w14:textId="77777777">
        <w:trPr>
          <w:jc w:val="center"/>
        </w:trPr>
        <w:tc>
          <w:tcPr>
            <w:tcW w:w="0" w:type="auto"/>
            <w:gridSpan w:val="3"/>
            <w:shd w:val="clear" w:color="auto" w:fill="CCEEFF"/>
            <w:tcMar>
              <w:top w:w="40" w:type="dxa"/>
              <w:left w:w="20" w:type="dxa"/>
              <w:bottom w:w="40" w:type="dxa"/>
              <w:right w:w="20" w:type="dxa"/>
            </w:tcMar>
            <w:vAlign w:val="bottom"/>
          </w:tcPr>
          <w:p w14:paraId="74DDB05C" w14:textId="77777777" w:rsidR="00584EC1" w:rsidRDefault="00871F8D">
            <w:pPr>
              <w:textAlignment w:val="bottom"/>
            </w:pPr>
            <w:r>
              <w:rPr>
                <w:rFonts w:ascii="Arial" w:eastAsia="宋体" w:hAnsi="Arial" w:cs="Arial"/>
                <w:color w:val="000000"/>
                <w:sz w:val="15"/>
                <w:szCs w:val="15"/>
              </w:rPr>
              <w:t>Cash dividends declared:</w:t>
            </w:r>
          </w:p>
        </w:tc>
        <w:tc>
          <w:tcPr>
            <w:tcW w:w="0" w:type="auto"/>
            <w:gridSpan w:val="3"/>
            <w:shd w:val="clear" w:color="auto" w:fill="CCEEFF"/>
            <w:tcMar>
              <w:top w:w="0" w:type="dxa"/>
              <w:left w:w="20" w:type="dxa"/>
              <w:bottom w:w="0" w:type="dxa"/>
              <w:right w:w="20" w:type="dxa"/>
            </w:tcMar>
            <w:vAlign w:val="bottom"/>
          </w:tcPr>
          <w:p w14:paraId="74DDB05D"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05E"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05F"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060"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061"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062"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063"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064"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065"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066"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067"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068"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069"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06A"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06B"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06C"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06D" w14:textId="77777777" w:rsidR="00584EC1" w:rsidRDefault="00584EC1">
            <w:pPr>
              <w:rPr>
                <w:rFonts w:ascii="宋体"/>
              </w:rPr>
            </w:pPr>
          </w:p>
        </w:tc>
      </w:tr>
      <w:tr w:rsidR="00584EC1" w14:paraId="74DDB083" w14:textId="77777777">
        <w:trPr>
          <w:jc w:val="center"/>
        </w:trPr>
        <w:tc>
          <w:tcPr>
            <w:tcW w:w="0" w:type="auto"/>
            <w:gridSpan w:val="3"/>
            <w:shd w:val="clear" w:color="auto" w:fill="FFFFFF"/>
            <w:tcMar>
              <w:top w:w="40" w:type="dxa"/>
              <w:left w:w="20" w:type="dxa"/>
              <w:bottom w:w="40" w:type="dxa"/>
              <w:right w:w="20" w:type="dxa"/>
            </w:tcMar>
            <w:vAlign w:val="bottom"/>
          </w:tcPr>
          <w:p w14:paraId="74DDB06F" w14:textId="77777777" w:rsidR="00584EC1" w:rsidRDefault="00871F8D">
            <w:pPr>
              <w:textAlignment w:val="bottom"/>
            </w:pPr>
            <w:r>
              <w:rPr>
                <w:rFonts w:ascii="Arial" w:eastAsia="宋体" w:hAnsi="Arial" w:cs="Arial"/>
                <w:color w:val="000000"/>
                <w:sz w:val="15"/>
                <w:szCs w:val="15"/>
              </w:rPr>
              <w:t>Common stock - $0.52 per share</w:t>
            </w:r>
          </w:p>
        </w:tc>
        <w:tc>
          <w:tcPr>
            <w:tcW w:w="0" w:type="auto"/>
            <w:gridSpan w:val="3"/>
            <w:shd w:val="clear" w:color="auto" w:fill="FFFFFF"/>
            <w:tcMar>
              <w:top w:w="0" w:type="dxa"/>
              <w:left w:w="20" w:type="dxa"/>
              <w:bottom w:w="0" w:type="dxa"/>
              <w:right w:w="20" w:type="dxa"/>
            </w:tcMar>
            <w:vAlign w:val="bottom"/>
          </w:tcPr>
          <w:p w14:paraId="74DDB070"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071"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07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073"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074"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075"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076"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07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078" w14:textId="77777777" w:rsidR="00584EC1" w:rsidRDefault="00871F8D">
            <w:pPr>
              <w:jc w:val="right"/>
              <w:textAlignment w:val="bottom"/>
            </w:pPr>
            <w:r>
              <w:rPr>
                <w:rFonts w:ascii="Arial" w:eastAsia="宋体" w:hAnsi="Arial" w:cs="Arial"/>
                <w:color w:val="000000"/>
                <w:sz w:val="15"/>
                <w:szCs w:val="15"/>
              </w:rPr>
              <w:t>(183)</w:t>
            </w:r>
          </w:p>
        </w:tc>
        <w:tc>
          <w:tcPr>
            <w:tcW w:w="0" w:type="auto"/>
            <w:shd w:val="clear" w:color="auto" w:fill="FFFFFF"/>
            <w:tcMar>
              <w:top w:w="40" w:type="dxa"/>
              <w:left w:w="0" w:type="dxa"/>
              <w:bottom w:w="40" w:type="dxa"/>
              <w:right w:w="20" w:type="dxa"/>
            </w:tcMar>
            <w:vAlign w:val="bottom"/>
          </w:tcPr>
          <w:p w14:paraId="74DDB07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07A"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07B"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07C"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07D"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07E"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07F"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08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081" w14:textId="77777777" w:rsidR="00584EC1" w:rsidRDefault="00871F8D">
            <w:pPr>
              <w:jc w:val="right"/>
              <w:textAlignment w:val="bottom"/>
            </w:pPr>
            <w:r>
              <w:rPr>
                <w:rFonts w:ascii="Arial" w:eastAsia="宋体" w:hAnsi="Arial" w:cs="Arial"/>
                <w:color w:val="000000"/>
                <w:sz w:val="15"/>
                <w:szCs w:val="15"/>
              </w:rPr>
              <w:t>(183)</w:t>
            </w:r>
          </w:p>
        </w:tc>
        <w:tc>
          <w:tcPr>
            <w:tcW w:w="0" w:type="auto"/>
            <w:shd w:val="clear" w:color="auto" w:fill="FFFFFF"/>
            <w:tcMar>
              <w:top w:w="40" w:type="dxa"/>
              <w:left w:w="0" w:type="dxa"/>
              <w:bottom w:w="40" w:type="dxa"/>
              <w:right w:w="20" w:type="dxa"/>
            </w:tcMar>
            <w:vAlign w:val="bottom"/>
          </w:tcPr>
          <w:p w14:paraId="74DDB082" w14:textId="77777777" w:rsidR="00584EC1" w:rsidRDefault="00584EC1">
            <w:pPr>
              <w:jc w:val="right"/>
              <w:rPr>
                <w:rFonts w:ascii="宋体"/>
              </w:rPr>
            </w:pPr>
          </w:p>
        </w:tc>
      </w:tr>
      <w:tr w:rsidR="00584EC1" w14:paraId="74DDB098" w14:textId="77777777">
        <w:trPr>
          <w:jc w:val="center"/>
        </w:trPr>
        <w:tc>
          <w:tcPr>
            <w:tcW w:w="0" w:type="auto"/>
            <w:gridSpan w:val="3"/>
            <w:shd w:val="clear" w:color="auto" w:fill="CCEEFF"/>
            <w:tcMar>
              <w:top w:w="40" w:type="dxa"/>
              <w:left w:w="140" w:type="dxa"/>
              <w:bottom w:w="40" w:type="dxa"/>
              <w:right w:w="20" w:type="dxa"/>
            </w:tcMar>
            <w:vAlign w:val="bottom"/>
          </w:tcPr>
          <w:p w14:paraId="74DDB084" w14:textId="77777777" w:rsidR="00584EC1" w:rsidRDefault="00871F8D">
            <w:pPr>
              <w:textAlignment w:val="bottom"/>
            </w:pPr>
            <w:r>
              <w:rPr>
                <w:rFonts w:ascii="Arial" w:eastAsia="宋体" w:hAnsi="Arial" w:cs="Arial"/>
                <w:color w:val="000000"/>
                <w:sz w:val="15"/>
                <w:szCs w:val="15"/>
              </w:rPr>
              <w:t>Preferred stock</w:t>
            </w:r>
          </w:p>
        </w:tc>
        <w:tc>
          <w:tcPr>
            <w:tcW w:w="0" w:type="auto"/>
            <w:gridSpan w:val="3"/>
            <w:shd w:val="clear" w:color="auto" w:fill="CCEEFF"/>
            <w:tcMar>
              <w:top w:w="0" w:type="dxa"/>
              <w:left w:w="20" w:type="dxa"/>
              <w:bottom w:w="0" w:type="dxa"/>
              <w:right w:w="20" w:type="dxa"/>
            </w:tcMar>
            <w:vAlign w:val="bottom"/>
          </w:tcPr>
          <w:p w14:paraId="74DDB085"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086"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087"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088"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089"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08A"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08B"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08C"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08D" w14:textId="77777777" w:rsidR="00584EC1" w:rsidRDefault="00871F8D">
            <w:pPr>
              <w:jc w:val="right"/>
              <w:textAlignment w:val="bottom"/>
            </w:pPr>
            <w:r>
              <w:rPr>
                <w:rFonts w:ascii="Arial" w:eastAsia="宋体" w:hAnsi="Arial" w:cs="Arial"/>
                <w:color w:val="000000"/>
                <w:sz w:val="15"/>
                <w:szCs w:val="15"/>
              </w:rPr>
              <w:t>(44)</w:t>
            </w:r>
          </w:p>
        </w:tc>
        <w:tc>
          <w:tcPr>
            <w:tcW w:w="0" w:type="auto"/>
            <w:shd w:val="clear" w:color="auto" w:fill="CCEEFF"/>
            <w:tcMar>
              <w:top w:w="40" w:type="dxa"/>
              <w:left w:w="0" w:type="dxa"/>
              <w:bottom w:w="40" w:type="dxa"/>
              <w:right w:w="20" w:type="dxa"/>
            </w:tcMar>
            <w:vAlign w:val="bottom"/>
          </w:tcPr>
          <w:p w14:paraId="74DDB08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08F"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090"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091"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092"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093"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094"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09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096" w14:textId="77777777" w:rsidR="00584EC1" w:rsidRDefault="00871F8D">
            <w:pPr>
              <w:jc w:val="right"/>
              <w:textAlignment w:val="bottom"/>
            </w:pPr>
            <w:r>
              <w:rPr>
                <w:rFonts w:ascii="Arial" w:eastAsia="宋体" w:hAnsi="Arial" w:cs="Arial"/>
                <w:color w:val="000000"/>
                <w:sz w:val="15"/>
                <w:szCs w:val="15"/>
              </w:rPr>
              <w:t>(44)</w:t>
            </w:r>
          </w:p>
        </w:tc>
        <w:tc>
          <w:tcPr>
            <w:tcW w:w="0" w:type="auto"/>
            <w:shd w:val="clear" w:color="auto" w:fill="CCEEFF"/>
            <w:tcMar>
              <w:top w:w="40" w:type="dxa"/>
              <w:left w:w="0" w:type="dxa"/>
              <w:bottom w:w="40" w:type="dxa"/>
              <w:right w:w="20" w:type="dxa"/>
            </w:tcMar>
            <w:vAlign w:val="bottom"/>
          </w:tcPr>
          <w:p w14:paraId="74DDB097" w14:textId="77777777" w:rsidR="00584EC1" w:rsidRDefault="00584EC1">
            <w:pPr>
              <w:jc w:val="right"/>
              <w:rPr>
                <w:rFonts w:ascii="宋体"/>
              </w:rPr>
            </w:pPr>
          </w:p>
        </w:tc>
      </w:tr>
      <w:tr w:rsidR="00584EC1" w14:paraId="74DDB0AE" w14:textId="77777777">
        <w:trPr>
          <w:jc w:val="center"/>
        </w:trPr>
        <w:tc>
          <w:tcPr>
            <w:tcW w:w="0" w:type="auto"/>
            <w:gridSpan w:val="3"/>
            <w:shd w:val="clear" w:color="auto" w:fill="FFFFFF"/>
            <w:tcMar>
              <w:top w:w="40" w:type="dxa"/>
              <w:left w:w="20" w:type="dxa"/>
              <w:bottom w:w="40" w:type="dxa"/>
              <w:right w:w="20" w:type="dxa"/>
            </w:tcMar>
            <w:vAlign w:val="bottom"/>
          </w:tcPr>
          <w:p w14:paraId="74DDB099" w14:textId="77777777" w:rsidR="00584EC1" w:rsidRDefault="00871F8D">
            <w:pPr>
              <w:textAlignment w:val="bottom"/>
            </w:pPr>
            <w:r>
              <w:rPr>
                <w:rFonts w:ascii="Arial" w:eastAsia="宋体" w:hAnsi="Arial" w:cs="Arial"/>
                <w:color w:val="000000"/>
                <w:sz w:val="15"/>
                <w:szCs w:val="15"/>
              </w:rPr>
              <w:t>Common stock acquired</w:t>
            </w:r>
          </w:p>
        </w:tc>
        <w:tc>
          <w:tcPr>
            <w:tcW w:w="0" w:type="auto"/>
            <w:gridSpan w:val="3"/>
            <w:shd w:val="clear" w:color="auto" w:fill="FFFFFF"/>
            <w:tcMar>
              <w:top w:w="0" w:type="dxa"/>
              <w:left w:w="20" w:type="dxa"/>
              <w:bottom w:w="0" w:type="dxa"/>
              <w:right w:w="20" w:type="dxa"/>
            </w:tcMar>
            <w:vAlign w:val="bottom"/>
          </w:tcPr>
          <w:p w14:paraId="74DDB09A"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09B"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09C"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09D"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09E"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09F"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0A0"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0A1"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0A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0A3"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0A4"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0A5"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0A6" w14:textId="77777777" w:rsidR="00584EC1" w:rsidRDefault="00871F8D">
            <w:pPr>
              <w:jc w:val="right"/>
              <w:textAlignment w:val="bottom"/>
            </w:pPr>
            <w:r>
              <w:rPr>
                <w:rFonts w:ascii="Arial" w:eastAsia="宋体" w:hAnsi="Arial" w:cs="Arial"/>
                <w:color w:val="000000"/>
                <w:sz w:val="15"/>
                <w:szCs w:val="15"/>
              </w:rPr>
              <w:t>6,464 </w:t>
            </w:r>
          </w:p>
        </w:tc>
        <w:tc>
          <w:tcPr>
            <w:tcW w:w="0" w:type="auto"/>
            <w:shd w:val="clear" w:color="auto" w:fill="FFFFFF"/>
            <w:tcMar>
              <w:top w:w="40" w:type="dxa"/>
              <w:left w:w="0" w:type="dxa"/>
              <w:bottom w:w="40" w:type="dxa"/>
              <w:right w:w="20" w:type="dxa"/>
            </w:tcMar>
            <w:vAlign w:val="bottom"/>
          </w:tcPr>
          <w:p w14:paraId="74DDB0A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0A8"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0A9" w14:textId="77777777" w:rsidR="00584EC1" w:rsidRDefault="00871F8D">
            <w:pPr>
              <w:jc w:val="right"/>
              <w:textAlignment w:val="bottom"/>
            </w:pPr>
            <w:r>
              <w:rPr>
                <w:rFonts w:ascii="Arial" w:eastAsia="宋体" w:hAnsi="Arial" w:cs="Arial"/>
                <w:color w:val="000000"/>
                <w:sz w:val="15"/>
                <w:szCs w:val="15"/>
              </w:rPr>
              <w:t>(500)</w:t>
            </w:r>
          </w:p>
        </w:tc>
        <w:tc>
          <w:tcPr>
            <w:tcW w:w="0" w:type="auto"/>
            <w:shd w:val="clear" w:color="auto" w:fill="FFFFFF"/>
            <w:tcMar>
              <w:top w:w="40" w:type="dxa"/>
              <w:left w:w="0" w:type="dxa"/>
              <w:bottom w:w="40" w:type="dxa"/>
              <w:right w:w="20" w:type="dxa"/>
            </w:tcMar>
            <w:vAlign w:val="bottom"/>
          </w:tcPr>
          <w:p w14:paraId="74DDB0A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0AB"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0AC" w14:textId="77777777" w:rsidR="00584EC1" w:rsidRDefault="00871F8D">
            <w:pPr>
              <w:jc w:val="right"/>
              <w:textAlignment w:val="bottom"/>
            </w:pPr>
            <w:r>
              <w:rPr>
                <w:rFonts w:ascii="Arial" w:eastAsia="宋体" w:hAnsi="Arial" w:cs="Arial"/>
                <w:color w:val="000000"/>
                <w:sz w:val="15"/>
                <w:szCs w:val="15"/>
              </w:rPr>
              <w:t>(500)</w:t>
            </w:r>
          </w:p>
        </w:tc>
        <w:tc>
          <w:tcPr>
            <w:tcW w:w="0" w:type="auto"/>
            <w:shd w:val="clear" w:color="auto" w:fill="FFFFFF"/>
            <w:tcMar>
              <w:top w:w="40" w:type="dxa"/>
              <w:left w:w="0" w:type="dxa"/>
              <w:bottom w:w="40" w:type="dxa"/>
              <w:right w:w="20" w:type="dxa"/>
            </w:tcMar>
            <w:vAlign w:val="bottom"/>
          </w:tcPr>
          <w:p w14:paraId="74DDB0AD" w14:textId="77777777" w:rsidR="00584EC1" w:rsidRDefault="00584EC1">
            <w:pPr>
              <w:jc w:val="right"/>
              <w:rPr>
                <w:rFonts w:ascii="宋体"/>
              </w:rPr>
            </w:pPr>
          </w:p>
        </w:tc>
      </w:tr>
      <w:tr w:rsidR="00584EC1" w14:paraId="74DDB0C5" w14:textId="77777777">
        <w:trPr>
          <w:jc w:val="center"/>
        </w:trPr>
        <w:tc>
          <w:tcPr>
            <w:tcW w:w="0" w:type="auto"/>
            <w:gridSpan w:val="3"/>
            <w:shd w:val="clear" w:color="auto" w:fill="CCEEFF"/>
            <w:tcMar>
              <w:top w:w="40" w:type="dxa"/>
              <w:left w:w="20" w:type="dxa"/>
              <w:bottom w:w="40" w:type="dxa"/>
              <w:right w:w="20" w:type="dxa"/>
            </w:tcMar>
            <w:vAlign w:val="bottom"/>
          </w:tcPr>
          <w:p w14:paraId="74DDB0AF" w14:textId="77777777" w:rsidR="00584EC1" w:rsidRDefault="00871F8D">
            <w:pPr>
              <w:textAlignment w:val="bottom"/>
            </w:pPr>
            <w:r>
              <w:rPr>
                <w:rFonts w:ascii="Arial" w:eastAsia="宋体" w:hAnsi="Arial" w:cs="Arial"/>
                <w:color w:val="000000"/>
                <w:sz w:val="15"/>
                <w:szCs w:val="15"/>
              </w:rPr>
              <w:t>Common stock awards exercised</w:t>
            </w:r>
          </w:p>
        </w:tc>
        <w:tc>
          <w:tcPr>
            <w:tcW w:w="0" w:type="auto"/>
            <w:gridSpan w:val="3"/>
            <w:shd w:val="clear" w:color="auto" w:fill="CCEEFF"/>
            <w:tcMar>
              <w:top w:w="0" w:type="dxa"/>
              <w:left w:w="20" w:type="dxa"/>
              <w:bottom w:w="0" w:type="dxa"/>
              <w:right w:w="20" w:type="dxa"/>
            </w:tcMar>
            <w:vAlign w:val="bottom"/>
          </w:tcPr>
          <w:p w14:paraId="74DDB0B0"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0B1"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0B2"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0B3"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0B4"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0B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0B6" w14:textId="77777777" w:rsidR="00584EC1" w:rsidRDefault="00871F8D">
            <w:pPr>
              <w:jc w:val="right"/>
              <w:textAlignment w:val="bottom"/>
            </w:pPr>
            <w:r>
              <w:rPr>
                <w:rFonts w:ascii="Arial" w:eastAsia="宋体" w:hAnsi="Arial" w:cs="Arial"/>
                <w:color w:val="000000"/>
                <w:sz w:val="15"/>
                <w:szCs w:val="15"/>
              </w:rPr>
              <w:t>23 </w:t>
            </w:r>
          </w:p>
        </w:tc>
        <w:tc>
          <w:tcPr>
            <w:tcW w:w="0" w:type="auto"/>
            <w:shd w:val="clear" w:color="auto" w:fill="CCEEFF"/>
            <w:tcMar>
              <w:top w:w="40" w:type="dxa"/>
              <w:left w:w="0" w:type="dxa"/>
              <w:bottom w:w="40" w:type="dxa"/>
              <w:right w:w="20" w:type="dxa"/>
            </w:tcMar>
            <w:vAlign w:val="bottom"/>
          </w:tcPr>
          <w:p w14:paraId="74DDB0B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0B8"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0B9"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0BA"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0BB"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0BC"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0BD" w14:textId="77777777" w:rsidR="00584EC1" w:rsidRDefault="00871F8D">
            <w:pPr>
              <w:jc w:val="right"/>
              <w:textAlignment w:val="bottom"/>
            </w:pPr>
            <w:r>
              <w:rPr>
                <w:rFonts w:ascii="Arial" w:eastAsia="宋体" w:hAnsi="Arial" w:cs="Arial"/>
                <w:color w:val="000000"/>
                <w:sz w:val="15"/>
                <w:szCs w:val="15"/>
              </w:rPr>
              <w:t>(1,017)</w:t>
            </w:r>
          </w:p>
        </w:tc>
        <w:tc>
          <w:tcPr>
            <w:tcW w:w="0" w:type="auto"/>
            <w:shd w:val="clear" w:color="auto" w:fill="CCEEFF"/>
            <w:tcMar>
              <w:top w:w="40" w:type="dxa"/>
              <w:left w:w="0" w:type="dxa"/>
              <w:bottom w:w="40" w:type="dxa"/>
              <w:right w:w="20" w:type="dxa"/>
            </w:tcMar>
            <w:vAlign w:val="bottom"/>
          </w:tcPr>
          <w:p w14:paraId="74DDB0B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0BF"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0C0" w14:textId="77777777" w:rsidR="00584EC1" w:rsidRDefault="00871F8D">
            <w:pPr>
              <w:jc w:val="right"/>
              <w:textAlignment w:val="bottom"/>
            </w:pPr>
            <w:r>
              <w:rPr>
                <w:rFonts w:ascii="Arial" w:eastAsia="宋体" w:hAnsi="Arial" w:cs="Arial"/>
                <w:color w:val="000000"/>
                <w:sz w:val="15"/>
                <w:szCs w:val="15"/>
              </w:rPr>
              <w:t>45 </w:t>
            </w:r>
          </w:p>
        </w:tc>
        <w:tc>
          <w:tcPr>
            <w:tcW w:w="0" w:type="auto"/>
            <w:shd w:val="clear" w:color="auto" w:fill="CCEEFF"/>
            <w:tcMar>
              <w:top w:w="40" w:type="dxa"/>
              <w:left w:w="0" w:type="dxa"/>
              <w:bottom w:w="40" w:type="dxa"/>
              <w:right w:w="20" w:type="dxa"/>
            </w:tcMar>
            <w:vAlign w:val="bottom"/>
          </w:tcPr>
          <w:p w14:paraId="74DDB0C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0C2"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0C3" w14:textId="77777777" w:rsidR="00584EC1" w:rsidRDefault="00871F8D">
            <w:pPr>
              <w:jc w:val="right"/>
              <w:textAlignment w:val="bottom"/>
            </w:pPr>
            <w:r>
              <w:rPr>
                <w:rFonts w:ascii="Arial" w:eastAsia="宋体" w:hAnsi="Arial" w:cs="Arial"/>
                <w:color w:val="000000"/>
                <w:sz w:val="15"/>
                <w:szCs w:val="15"/>
              </w:rPr>
              <w:t>68 </w:t>
            </w:r>
          </w:p>
        </w:tc>
        <w:tc>
          <w:tcPr>
            <w:tcW w:w="0" w:type="auto"/>
            <w:shd w:val="clear" w:color="auto" w:fill="CCEEFF"/>
            <w:tcMar>
              <w:top w:w="40" w:type="dxa"/>
              <w:left w:w="0" w:type="dxa"/>
              <w:bottom w:w="40" w:type="dxa"/>
              <w:right w:w="20" w:type="dxa"/>
            </w:tcMar>
            <w:vAlign w:val="bottom"/>
          </w:tcPr>
          <w:p w14:paraId="74DDB0C4" w14:textId="77777777" w:rsidR="00584EC1" w:rsidRDefault="00584EC1">
            <w:pPr>
              <w:jc w:val="right"/>
              <w:rPr>
                <w:rFonts w:ascii="宋体"/>
              </w:rPr>
            </w:pPr>
          </w:p>
        </w:tc>
      </w:tr>
      <w:tr w:rsidR="00584EC1" w14:paraId="74DDB0DD" w14:textId="77777777">
        <w:trPr>
          <w:jc w:val="center"/>
        </w:trPr>
        <w:tc>
          <w:tcPr>
            <w:tcW w:w="0" w:type="auto"/>
            <w:gridSpan w:val="3"/>
            <w:shd w:val="clear" w:color="auto" w:fill="FFFFFF"/>
            <w:tcMar>
              <w:top w:w="40" w:type="dxa"/>
              <w:left w:w="20" w:type="dxa"/>
              <w:bottom w:w="40" w:type="dxa"/>
              <w:right w:w="20" w:type="dxa"/>
            </w:tcMar>
            <w:vAlign w:val="bottom"/>
          </w:tcPr>
          <w:p w14:paraId="74DDB0C6" w14:textId="77777777" w:rsidR="00584EC1" w:rsidRDefault="00871F8D">
            <w:pPr>
              <w:textAlignment w:val="bottom"/>
            </w:pPr>
            <w:r>
              <w:rPr>
                <w:rFonts w:ascii="Arial" w:eastAsia="宋体" w:hAnsi="Arial" w:cs="Arial"/>
                <w:color w:val="000000"/>
                <w:sz w:val="15"/>
                <w:szCs w:val="15"/>
              </w:rPr>
              <w:t>Other</w:t>
            </w:r>
            <w:r>
              <w:rPr>
                <w:rFonts w:ascii="Arial" w:eastAsia="宋体" w:hAnsi="Arial" w:cs="Arial"/>
                <w:color w:val="000000"/>
                <w:sz w:val="9"/>
                <w:szCs w:val="9"/>
              </w:rPr>
              <w:t xml:space="preserve"> (1)</w:t>
            </w:r>
          </w:p>
        </w:tc>
        <w:tc>
          <w:tcPr>
            <w:tcW w:w="0" w:type="auto"/>
            <w:gridSpan w:val="3"/>
            <w:shd w:val="clear" w:color="auto" w:fill="FFFFFF"/>
            <w:tcMar>
              <w:top w:w="0" w:type="dxa"/>
              <w:left w:w="20" w:type="dxa"/>
              <w:bottom w:w="0" w:type="dxa"/>
              <w:right w:w="20" w:type="dxa"/>
            </w:tcMar>
            <w:vAlign w:val="bottom"/>
          </w:tcPr>
          <w:p w14:paraId="74DDB0C7"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0C8"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0C9"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0CA"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0CB"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0C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0CD"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B0C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0C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0D0" w14:textId="77777777" w:rsidR="00584EC1" w:rsidRDefault="00871F8D">
            <w:pPr>
              <w:jc w:val="right"/>
              <w:textAlignment w:val="bottom"/>
            </w:pPr>
            <w:r>
              <w:rPr>
                <w:rFonts w:ascii="Arial" w:eastAsia="宋体" w:hAnsi="Arial" w:cs="Arial"/>
                <w:color w:val="000000"/>
                <w:sz w:val="15"/>
                <w:szCs w:val="15"/>
              </w:rPr>
              <w:t>(1)</w:t>
            </w:r>
          </w:p>
        </w:tc>
        <w:tc>
          <w:tcPr>
            <w:tcW w:w="0" w:type="auto"/>
            <w:shd w:val="clear" w:color="auto" w:fill="FFFFFF"/>
            <w:tcMar>
              <w:top w:w="40" w:type="dxa"/>
              <w:left w:w="0" w:type="dxa"/>
              <w:bottom w:w="40" w:type="dxa"/>
              <w:right w:w="20" w:type="dxa"/>
            </w:tcMar>
            <w:vAlign w:val="bottom"/>
          </w:tcPr>
          <w:p w14:paraId="74DDB0D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0D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0D3"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0D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0D5" w14:textId="77777777" w:rsidR="00584EC1" w:rsidRDefault="00871F8D">
            <w:pPr>
              <w:jc w:val="right"/>
              <w:textAlignment w:val="bottom"/>
            </w:pPr>
            <w:r>
              <w:rPr>
                <w:rFonts w:ascii="Arial" w:eastAsia="宋体" w:hAnsi="Arial" w:cs="Arial"/>
                <w:color w:val="000000"/>
                <w:sz w:val="15"/>
                <w:szCs w:val="15"/>
              </w:rPr>
              <w:t>(1)</w:t>
            </w:r>
          </w:p>
        </w:tc>
        <w:tc>
          <w:tcPr>
            <w:tcW w:w="0" w:type="auto"/>
            <w:shd w:val="clear" w:color="auto" w:fill="FFFFFF"/>
            <w:tcMar>
              <w:top w:w="40" w:type="dxa"/>
              <w:left w:w="0" w:type="dxa"/>
              <w:bottom w:w="40" w:type="dxa"/>
              <w:right w:w="20" w:type="dxa"/>
            </w:tcMar>
            <w:vAlign w:val="bottom"/>
          </w:tcPr>
          <w:p w14:paraId="74DDB0D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0D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0D8"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B0D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0D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0DB" w14:textId="77777777" w:rsidR="00584EC1" w:rsidRDefault="00871F8D">
            <w:pPr>
              <w:jc w:val="right"/>
              <w:textAlignment w:val="bottom"/>
            </w:pPr>
            <w:r>
              <w:rPr>
                <w:rFonts w:ascii="Arial" w:eastAsia="宋体" w:hAnsi="Arial" w:cs="Arial"/>
                <w:color w:val="000000"/>
                <w:sz w:val="15"/>
                <w:szCs w:val="15"/>
              </w:rPr>
              <w:t>(1)</w:t>
            </w:r>
          </w:p>
        </w:tc>
        <w:tc>
          <w:tcPr>
            <w:tcW w:w="0" w:type="auto"/>
            <w:shd w:val="clear" w:color="auto" w:fill="FFFFFF"/>
            <w:tcMar>
              <w:top w:w="40" w:type="dxa"/>
              <w:left w:w="0" w:type="dxa"/>
              <w:bottom w:w="40" w:type="dxa"/>
              <w:right w:w="20" w:type="dxa"/>
            </w:tcMar>
            <w:vAlign w:val="bottom"/>
          </w:tcPr>
          <w:p w14:paraId="74DDB0DC" w14:textId="77777777" w:rsidR="00584EC1" w:rsidRDefault="00584EC1">
            <w:pPr>
              <w:jc w:val="right"/>
              <w:rPr>
                <w:rFonts w:ascii="宋体"/>
              </w:rPr>
            </w:pPr>
          </w:p>
        </w:tc>
      </w:tr>
      <w:tr w:rsidR="00871F8D" w14:paraId="74DDB100" w14:textId="77777777">
        <w:trPr>
          <w:jc w:val="center"/>
        </w:trPr>
        <w:tc>
          <w:tcPr>
            <w:tcW w:w="0" w:type="auto"/>
            <w:gridSpan w:val="3"/>
            <w:shd w:val="clear" w:color="auto" w:fill="CCEEFF"/>
            <w:tcMar>
              <w:top w:w="40" w:type="dxa"/>
              <w:left w:w="20" w:type="dxa"/>
              <w:bottom w:w="40" w:type="dxa"/>
              <w:right w:w="20" w:type="dxa"/>
            </w:tcMar>
            <w:vAlign w:val="bottom"/>
          </w:tcPr>
          <w:p w14:paraId="74DDB0DE" w14:textId="77777777" w:rsidR="00584EC1" w:rsidRDefault="00871F8D">
            <w:pPr>
              <w:textAlignment w:val="bottom"/>
            </w:pPr>
            <w:r>
              <w:rPr>
                <w:rFonts w:ascii="Arial" w:eastAsia="宋体" w:hAnsi="Arial" w:cs="Arial"/>
                <w:b/>
                <w:bCs/>
                <w:color w:val="000000"/>
                <w:sz w:val="15"/>
                <w:szCs w:val="15"/>
              </w:rPr>
              <w:t>Balance at March 31, 2020</w:t>
            </w:r>
          </w:p>
        </w:tc>
        <w:tc>
          <w:tcPr>
            <w:tcW w:w="0" w:type="auto"/>
            <w:tcBorders>
              <w:top w:val="single" w:sz="8" w:space="0" w:color="000000"/>
            </w:tcBorders>
            <w:shd w:val="clear" w:color="auto" w:fill="CCEEFF"/>
            <w:tcMar>
              <w:top w:w="40" w:type="dxa"/>
              <w:left w:w="20" w:type="dxa"/>
              <w:bottom w:w="40" w:type="dxa"/>
              <w:right w:w="0" w:type="dxa"/>
            </w:tcMar>
            <w:vAlign w:val="bottom"/>
          </w:tcPr>
          <w:p w14:paraId="74DDB0DF"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B0E0" w14:textId="77777777" w:rsidR="00584EC1" w:rsidRDefault="00871F8D">
            <w:pPr>
              <w:jc w:val="right"/>
              <w:textAlignment w:val="bottom"/>
            </w:pPr>
            <w:r>
              <w:rPr>
                <w:rFonts w:ascii="Arial" w:eastAsia="宋体" w:hAnsi="Arial" w:cs="Arial"/>
                <w:color w:val="000000"/>
                <w:sz w:val="15"/>
                <w:szCs w:val="15"/>
              </w:rPr>
              <w:t>2,471 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B0E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0E2"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B0E3" w14:textId="77777777" w:rsidR="00584EC1" w:rsidRDefault="00871F8D">
            <w:pPr>
              <w:jc w:val="right"/>
              <w:textAlignment w:val="bottom"/>
            </w:pPr>
            <w:r>
              <w:rPr>
                <w:rFonts w:ascii="Arial" w:eastAsia="宋体" w:hAnsi="Arial" w:cs="Arial"/>
                <w:color w:val="000000"/>
                <w:sz w:val="15"/>
                <w:szCs w:val="15"/>
              </w:rPr>
              <w:t>503,880 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B0E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0E5"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B0E6"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B0E7" w14:textId="77777777" w:rsidR="00584EC1" w:rsidRDefault="00871F8D">
            <w:pPr>
              <w:jc w:val="right"/>
              <w:textAlignment w:val="bottom"/>
            </w:pPr>
            <w:r>
              <w:rPr>
                <w:rFonts w:ascii="Arial" w:eastAsia="宋体" w:hAnsi="Arial" w:cs="Arial"/>
                <w:color w:val="000000"/>
                <w:sz w:val="15"/>
                <w:szCs w:val="15"/>
              </w:rPr>
              <w:t>504 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B0E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0E9"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B0EA"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B0EB" w14:textId="77777777" w:rsidR="00584EC1" w:rsidRDefault="00871F8D">
            <w:pPr>
              <w:jc w:val="right"/>
              <w:textAlignment w:val="bottom"/>
            </w:pPr>
            <w:r>
              <w:rPr>
                <w:rFonts w:ascii="Arial" w:eastAsia="宋体" w:hAnsi="Arial" w:cs="Arial"/>
                <w:color w:val="000000"/>
                <w:sz w:val="15"/>
                <w:szCs w:val="15"/>
              </w:rPr>
              <w:t>10,155 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B0E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0ED"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B0EE"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B0EF" w14:textId="77777777" w:rsidR="00584EC1" w:rsidRDefault="00871F8D">
            <w:pPr>
              <w:jc w:val="right"/>
              <w:textAlignment w:val="bottom"/>
            </w:pPr>
            <w:r>
              <w:rPr>
                <w:rFonts w:ascii="Arial" w:eastAsia="宋体" w:hAnsi="Arial" w:cs="Arial"/>
                <w:color w:val="000000"/>
                <w:sz w:val="15"/>
                <w:szCs w:val="15"/>
              </w:rPr>
              <w:t>22,315 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B0F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0F1"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B0F2"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B0F3" w14:textId="77777777" w:rsidR="00584EC1" w:rsidRDefault="00871F8D">
            <w:pPr>
              <w:jc w:val="right"/>
              <w:textAlignment w:val="bottom"/>
            </w:pPr>
            <w:r>
              <w:rPr>
                <w:rFonts w:ascii="Arial" w:eastAsia="宋体" w:hAnsi="Arial" w:cs="Arial"/>
                <w:color w:val="000000"/>
                <w:sz w:val="15"/>
                <w:szCs w:val="15"/>
              </w:rPr>
              <w:t>(920)</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B0F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0F5"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B0F6" w14:textId="77777777" w:rsidR="00584EC1" w:rsidRDefault="00871F8D">
            <w:pPr>
              <w:jc w:val="right"/>
              <w:textAlignment w:val="bottom"/>
            </w:pPr>
            <w:r>
              <w:rPr>
                <w:rFonts w:ascii="Arial" w:eastAsia="宋体" w:hAnsi="Arial" w:cs="Arial"/>
                <w:color w:val="000000"/>
                <w:sz w:val="15"/>
                <w:szCs w:val="15"/>
              </w:rPr>
              <w:t>151,936 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B0F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0F8"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B0F9"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B0FA" w14:textId="77777777" w:rsidR="00584EC1" w:rsidRDefault="00871F8D">
            <w:pPr>
              <w:jc w:val="right"/>
              <w:textAlignment w:val="bottom"/>
            </w:pPr>
            <w:r>
              <w:rPr>
                <w:rFonts w:ascii="Arial" w:eastAsia="宋体" w:hAnsi="Arial" w:cs="Arial"/>
                <w:color w:val="000000"/>
                <w:sz w:val="15"/>
                <w:szCs w:val="15"/>
              </w:rPr>
              <w:t>(10,664)</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B0F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0FC"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B0FD"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B0FE" w14:textId="77777777" w:rsidR="00584EC1" w:rsidRDefault="00871F8D">
            <w:pPr>
              <w:jc w:val="right"/>
              <w:textAlignment w:val="bottom"/>
            </w:pPr>
            <w:r>
              <w:rPr>
                <w:rFonts w:ascii="Arial" w:eastAsia="宋体" w:hAnsi="Arial" w:cs="Arial"/>
                <w:color w:val="000000"/>
                <w:sz w:val="15"/>
                <w:szCs w:val="15"/>
              </w:rPr>
              <w:t>23,861 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B0FF" w14:textId="77777777" w:rsidR="00584EC1" w:rsidRDefault="00584EC1">
            <w:pPr>
              <w:jc w:val="right"/>
              <w:rPr>
                <w:rFonts w:ascii="宋体"/>
              </w:rPr>
            </w:pPr>
          </w:p>
        </w:tc>
      </w:tr>
      <w:tr w:rsidR="00584EC1" w14:paraId="74DDB115" w14:textId="77777777">
        <w:trPr>
          <w:jc w:val="center"/>
        </w:trPr>
        <w:tc>
          <w:tcPr>
            <w:tcW w:w="0" w:type="auto"/>
            <w:gridSpan w:val="3"/>
            <w:shd w:val="clear" w:color="auto" w:fill="FFFFFF"/>
            <w:tcMar>
              <w:top w:w="40" w:type="dxa"/>
              <w:left w:w="20" w:type="dxa"/>
              <w:bottom w:w="40" w:type="dxa"/>
              <w:right w:w="20" w:type="dxa"/>
            </w:tcMar>
            <w:vAlign w:val="bottom"/>
          </w:tcPr>
          <w:p w14:paraId="74DDB101" w14:textId="77777777" w:rsidR="00584EC1" w:rsidRDefault="00871F8D">
            <w:pPr>
              <w:textAlignment w:val="bottom"/>
            </w:pPr>
            <w:r>
              <w:rPr>
                <w:rFonts w:ascii="Arial" w:eastAsia="宋体" w:hAnsi="Arial" w:cs="Arial"/>
                <w:color w:val="000000"/>
                <w:sz w:val="15"/>
                <w:szCs w:val="15"/>
              </w:rPr>
              <w:t>Net i</w:t>
            </w:r>
            <w:r>
              <w:rPr>
                <w:rFonts w:ascii="Arial" w:eastAsia="宋体" w:hAnsi="Arial" w:cs="Arial"/>
                <w:color w:val="000000"/>
                <w:sz w:val="15"/>
                <w:szCs w:val="15"/>
              </w:rPr>
              <w:t>ncome</w:t>
            </w:r>
          </w:p>
        </w:tc>
        <w:tc>
          <w:tcPr>
            <w:tcW w:w="0" w:type="auto"/>
            <w:gridSpan w:val="3"/>
            <w:shd w:val="clear" w:color="auto" w:fill="FFFFFF"/>
            <w:tcMar>
              <w:top w:w="0" w:type="dxa"/>
              <w:left w:w="20" w:type="dxa"/>
              <w:bottom w:w="0" w:type="dxa"/>
              <w:right w:w="20" w:type="dxa"/>
            </w:tcMar>
            <w:vAlign w:val="bottom"/>
          </w:tcPr>
          <w:p w14:paraId="74DDB10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103"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104"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105"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106"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107"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108"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10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10A" w14:textId="77777777" w:rsidR="00584EC1" w:rsidRDefault="00871F8D">
            <w:pPr>
              <w:jc w:val="right"/>
              <w:textAlignment w:val="bottom"/>
            </w:pPr>
            <w:r>
              <w:rPr>
                <w:rFonts w:ascii="Arial" w:eastAsia="宋体" w:hAnsi="Arial" w:cs="Arial"/>
                <w:color w:val="000000"/>
                <w:sz w:val="15"/>
                <w:szCs w:val="15"/>
              </w:rPr>
              <w:t>694 </w:t>
            </w:r>
          </w:p>
        </w:tc>
        <w:tc>
          <w:tcPr>
            <w:tcW w:w="0" w:type="auto"/>
            <w:shd w:val="clear" w:color="auto" w:fill="FFFFFF"/>
            <w:tcMar>
              <w:top w:w="40" w:type="dxa"/>
              <w:left w:w="0" w:type="dxa"/>
              <w:bottom w:w="40" w:type="dxa"/>
              <w:right w:w="20" w:type="dxa"/>
            </w:tcMar>
            <w:vAlign w:val="bottom"/>
          </w:tcPr>
          <w:p w14:paraId="74DDB10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10C"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10D"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10E"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10F"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110"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111"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11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113" w14:textId="77777777" w:rsidR="00584EC1" w:rsidRDefault="00871F8D">
            <w:pPr>
              <w:jc w:val="right"/>
              <w:textAlignment w:val="bottom"/>
            </w:pPr>
            <w:r>
              <w:rPr>
                <w:rFonts w:ascii="Arial" w:eastAsia="宋体" w:hAnsi="Arial" w:cs="Arial"/>
                <w:color w:val="000000"/>
                <w:sz w:val="15"/>
                <w:szCs w:val="15"/>
              </w:rPr>
              <w:t>694 </w:t>
            </w:r>
          </w:p>
        </w:tc>
        <w:tc>
          <w:tcPr>
            <w:tcW w:w="0" w:type="auto"/>
            <w:shd w:val="clear" w:color="auto" w:fill="FFFFFF"/>
            <w:tcMar>
              <w:top w:w="40" w:type="dxa"/>
              <w:left w:w="0" w:type="dxa"/>
              <w:bottom w:w="40" w:type="dxa"/>
              <w:right w:w="20" w:type="dxa"/>
            </w:tcMar>
            <w:vAlign w:val="bottom"/>
          </w:tcPr>
          <w:p w14:paraId="74DDB114" w14:textId="77777777" w:rsidR="00584EC1" w:rsidRDefault="00584EC1">
            <w:pPr>
              <w:jc w:val="right"/>
              <w:rPr>
                <w:rFonts w:ascii="宋体"/>
              </w:rPr>
            </w:pPr>
          </w:p>
        </w:tc>
      </w:tr>
      <w:tr w:rsidR="00584EC1" w14:paraId="74DDB12A" w14:textId="77777777">
        <w:trPr>
          <w:jc w:val="center"/>
        </w:trPr>
        <w:tc>
          <w:tcPr>
            <w:tcW w:w="0" w:type="auto"/>
            <w:gridSpan w:val="3"/>
            <w:shd w:val="clear" w:color="auto" w:fill="CCEEFF"/>
            <w:tcMar>
              <w:top w:w="40" w:type="dxa"/>
              <w:left w:w="20" w:type="dxa"/>
              <w:bottom w:w="40" w:type="dxa"/>
              <w:right w:w="20" w:type="dxa"/>
            </w:tcMar>
            <w:vAlign w:val="bottom"/>
          </w:tcPr>
          <w:p w14:paraId="74DDB116" w14:textId="77777777" w:rsidR="00584EC1" w:rsidRDefault="00871F8D">
            <w:pPr>
              <w:textAlignment w:val="bottom"/>
            </w:pPr>
            <w:r>
              <w:rPr>
                <w:rFonts w:ascii="Arial" w:eastAsia="宋体" w:hAnsi="Arial" w:cs="Arial"/>
                <w:color w:val="000000"/>
                <w:sz w:val="15"/>
                <w:szCs w:val="15"/>
              </w:rPr>
              <w:t>Other comprehensive income (loss)</w:t>
            </w:r>
          </w:p>
        </w:tc>
        <w:tc>
          <w:tcPr>
            <w:tcW w:w="0" w:type="auto"/>
            <w:gridSpan w:val="3"/>
            <w:shd w:val="clear" w:color="auto" w:fill="CCEEFF"/>
            <w:tcMar>
              <w:top w:w="0" w:type="dxa"/>
              <w:left w:w="20" w:type="dxa"/>
              <w:bottom w:w="0" w:type="dxa"/>
              <w:right w:w="20" w:type="dxa"/>
            </w:tcMar>
            <w:vAlign w:val="bottom"/>
          </w:tcPr>
          <w:p w14:paraId="74DDB117"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118"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119"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11A"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11B"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11C"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11D"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11E"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11F"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12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121" w14:textId="77777777" w:rsidR="00584EC1" w:rsidRDefault="00871F8D">
            <w:pPr>
              <w:jc w:val="right"/>
              <w:textAlignment w:val="bottom"/>
            </w:pPr>
            <w:r>
              <w:rPr>
                <w:rFonts w:ascii="Arial" w:eastAsia="宋体" w:hAnsi="Arial" w:cs="Arial"/>
                <w:color w:val="000000"/>
                <w:sz w:val="15"/>
                <w:szCs w:val="15"/>
              </w:rPr>
              <w:t>490 </w:t>
            </w:r>
          </w:p>
        </w:tc>
        <w:tc>
          <w:tcPr>
            <w:tcW w:w="0" w:type="auto"/>
            <w:shd w:val="clear" w:color="auto" w:fill="CCEEFF"/>
            <w:tcMar>
              <w:top w:w="40" w:type="dxa"/>
              <w:left w:w="0" w:type="dxa"/>
              <w:bottom w:w="40" w:type="dxa"/>
              <w:right w:w="20" w:type="dxa"/>
            </w:tcMar>
            <w:vAlign w:val="bottom"/>
          </w:tcPr>
          <w:p w14:paraId="74DDB12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123"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124"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125"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126"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12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128" w14:textId="77777777" w:rsidR="00584EC1" w:rsidRDefault="00871F8D">
            <w:pPr>
              <w:jc w:val="right"/>
              <w:textAlignment w:val="bottom"/>
            </w:pPr>
            <w:r>
              <w:rPr>
                <w:rFonts w:ascii="Arial" w:eastAsia="宋体" w:hAnsi="Arial" w:cs="Arial"/>
                <w:color w:val="000000"/>
                <w:sz w:val="15"/>
                <w:szCs w:val="15"/>
              </w:rPr>
              <w:t>490 </w:t>
            </w:r>
          </w:p>
        </w:tc>
        <w:tc>
          <w:tcPr>
            <w:tcW w:w="0" w:type="auto"/>
            <w:shd w:val="clear" w:color="auto" w:fill="CCEEFF"/>
            <w:tcMar>
              <w:top w:w="40" w:type="dxa"/>
              <w:left w:w="0" w:type="dxa"/>
              <w:bottom w:w="40" w:type="dxa"/>
              <w:right w:w="20" w:type="dxa"/>
            </w:tcMar>
            <w:vAlign w:val="bottom"/>
          </w:tcPr>
          <w:p w14:paraId="74DDB129" w14:textId="77777777" w:rsidR="00584EC1" w:rsidRDefault="00584EC1">
            <w:pPr>
              <w:jc w:val="right"/>
              <w:rPr>
                <w:rFonts w:ascii="宋体"/>
              </w:rPr>
            </w:pPr>
          </w:p>
        </w:tc>
      </w:tr>
      <w:tr w:rsidR="00584EC1" w14:paraId="74DDB13D" w14:textId="77777777">
        <w:trPr>
          <w:jc w:val="center"/>
          <w:hidden/>
        </w:trPr>
        <w:tc>
          <w:tcPr>
            <w:tcW w:w="0" w:type="auto"/>
            <w:gridSpan w:val="3"/>
            <w:shd w:val="clear" w:color="auto" w:fill="auto"/>
            <w:vAlign w:val="bottom"/>
          </w:tcPr>
          <w:p w14:paraId="74DDB12B" w14:textId="77777777" w:rsidR="00584EC1" w:rsidRDefault="00584EC1">
            <w:pPr>
              <w:rPr>
                <w:rFonts w:ascii="宋体"/>
                <w:vanish/>
              </w:rPr>
            </w:pPr>
          </w:p>
        </w:tc>
        <w:tc>
          <w:tcPr>
            <w:tcW w:w="0" w:type="auto"/>
            <w:gridSpan w:val="3"/>
            <w:shd w:val="clear" w:color="auto" w:fill="auto"/>
            <w:vAlign w:val="bottom"/>
          </w:tcPr>
          <w:p w14:paraId="74DDB12C" w14:textId="77777777" w:rsidR="00584EC1" w:rsidRDefault="00584EC1">
            <w:pPr>
              <w:rPr>
                <w:rFonts w:ascii="宋体"/>
                <w:vanish/>
              </w:rPr>
            </w:pPr>
          </w:p>
        </w:tc>
        <w:tc>
          <w:tcPr>
            <w:tcW w:w="0" w:type="auto"/>
            <w:gridSpan w:val="3"/>
            <w:shd w:val="clear" w:color="auto" w:fill="auto"/>
            <w:vAlign w:val="bottom"/>
          </w:tcPr>
          <w:p w14:paraId="74DDB12D" w14:textId="77777777" w:rsidR="00584EC1" w:rsidRDefault="00584EC1">
            <w:pPr>
              <w:rPr>
                <w:rFonts w:ascii="宋体"/>
                <w:vanish/>
              </w:rPr>
            </w:pPr>
          </w:p>
        </w:tc>
        <w:tc>
          <w:tcPr>
            <w:tcW w:w="0" w:type="auto"/>
            <w:gridSpan w:val="3"/>
            <w:shd w:val="clear" w:color="auto" w:fill="auto"/>
            <w:vAlign w:val="bottom"/>
          </w:tcPr>
          <w:p w14:paraId="74DDB12E" w14:textId="77777777" w:rsidR="00584EC1" w:rsidRDefault="00584EC1">
            <w:pPr>
              <w:rPr>
                <w:rFonts w:ascii="宋体"/>
                <w:vanish/>
              </w:rPr>
            </w:pPr>
          </w:p>
        </w:tc>
        <w:tc>
          <w:tcPr>
            <w:tcW w:w="0" w:type="auto"/>
            <w:gridSpan w:val="3"/>
            <w:shd w:val="clear" w:color="auto" w:fill="auto"/>
            <w:vAlign w:val="bottom"/>
          </w:tcPr>
          <w:p w14:paraId="74DDB12F" w14:textId="77777777" w:rsidR="00584EC1" w:rsidRDefault="00584EC1">
            <w:pPr>
              <w:rPr>
                <w:rFonts w:ascii="宋体"/>
                <w:vanish/>
              </w:rPr>
            </w:pPr>
          </w:p>
        </w:tc>
        <w:tc>
          <w:tcPr>
            <w:tcW w:w="0" w:type="auto"/>
            <w:gridSpan w:val="3"/>
            <w:shd w:val="clear" w:color="auto" w:fill="auto"/>
            <w:vAlign w:val="bottom"/>
          </w:tcPr>
          <w:p w14:paraId="74DDB130" w14:textId="77777777" w:rsidR="00584EC1" w:rsidRDefault="00584EC1">
            <w:pPr>
              <w:rPr>
                <w:rFonts w:ascii="宋体"/>
                <w:vanish/>
              </w:rPr>
            </w:pPr>
          </w:p>
        </w:tc>
        <w:tc>
          <w:tcPr>
            <w:tcW w:w="0" w:type="auto"/>
            <w:gridSpan w:val="3"/>
            <w:shd w:val="clear" w:color="auto" w:fill="auto"/>
            <w:vAlign w:val="bottom"/>
          </w:tcPr>
          <w:p w14:paraId="74DDB131" w14:textId="77777777" w:rsidR="00584EC1" w:rsidRDefault="00584EC1">
            <w:pPr>
              <w:rPr>
                <w:rFonts w:ascii="宋体"/>
                <w:vanish/>
              </w:rPr>
            </w:pPr>
          </w:p>
        </w:tc>
        <w:tc>
          <w:tcPr>
            <w:tcW w:w="0" w:type="auto"/>
            <w:gridSpan w:val="3"/>
            <w:shd w:val="clear" w:color="auto" w:fill="auto"/>
            <w:vAlign w:val="bottom"/>
          </w:tcPr>
          <w:p w14:paraId="74DDB132" w14:textId="77777777" w:rsidR="00584EC1" w:rsidRDefault="00584EC1">
            <w:pPr>
              <w:rPr>
                <w:rFonts w:ascii="宋体"/>
                <w:vanish/>
              </w:rPr>
            </w:pPr>
          </w:p>
        </w:tc>
        <w:tc>
          <w:tcPr>
            <w:tcW w:w="0" w:type="auto"/>
            <w:gridSpan w:val="3"/>
            <w:shd w:val="clear" w:color="auto" w:fill="auto"/>
            <w:vAlign w:val="bottom"/>
          </w:tcPr>
          <w:p w14:paraId="74DDB133" w14:textId="77777777" w:rsidR="00584EC1" w:rsidRDefault="00584EC1">
            <w:pPr>
              <w:rPr>
                <w:rFonts w:ascii="宋体"/>
                <w:vanish/>
              </w:rPr>
            </w:pPr>
          </w:p>
        </w:tc>
        <w:tc>
          <w:tcPr>
            <w:tcW w:w="0" w:type="auto"/>
            <w:gridSpan w:val="3"/>
            <w:shd w:val="clear" w:color="auto" w:fill="auto"/>
            <w:vAlign w:val="bottom"/>
          </w:tcPr>
          <w:p w14:paraId="74DDB134" w14:textId="77777777" w:rsidR="00584EC1" w:rsidRDefault="00584EC1">
            <w:pPr>
              <w:rPr>
                <w:rFonts w:ascii="宋体"/>
                <w:vanish/>
              </w:rPr>
            </w:pPr>
          </w:p>
        </w:tc>
        <w:tc>
          <w:tcPr>
            <w:tcW w:w="0" w:type="auto"/>
            <w:gridSpan w:val="3"/>
            <w:shd w:val="clear" w:color="auto" w:fill="auto"/>
            <w:vAlign w:val="bottom"/>
          </w:tcPr>
          <w:p w14:paraId="74DDB135" w14:textId="77777777" w:rsidR="00584EC1" w:rsidRDefault="00584EC1">
            <w:pPr>
              <w:rPr>
                <w:rFonts w:ascii="宋体"/>
                <w:vanish/>
              </w:rPr>
            </w:pPr>
          </w:p>
        </w:tc>
        <w:tc>
          <w:tcPr>
            <w:tcW w:w="0" w:type="auto"/>
            <w:gridSpan w:val="3"/>
            <w:shd w:val="clear" w:color="auto" w:fill="auto"/>
            <w:vAlign w:val="bottom"/>
          </w:tcPr>
          <w:p w14:paraId="74DDB136" w14:textId="77777777" w:rsidR="00584EC1" w:rsidRDefault="00584EC1">
            <w:pPr>
              <w:rPr>
                <w:rFonts w:ascii="宋体"/>
                <w:vanish/>
              </w:rPr>
            </w:pPr>
          </w:p>
        </w:tc>
        <w:tc>
          <w:tcPr>
            <w:tcW w:w="0" w:type="auto"/>
            <w:gridSpan w:val="3"/>
            <w:shd w:val="clear" w:color="auto" w:fill="auto"/>
            <w:vAlign w:val="bottom"/>
          </w:tcPr>
          <w:p w14:paraId="74DDB137" w14:textId="77777777" w:rsidR="00584EC1" w:rsidRDefault="00584EC1">
            <w:pPr>
              <w:rPr>
                <w:rFonts w:ascii="宋体"/>
                <w:vanish/>
              </w:rPr>
            </w:pPr>
          </w:p>
        </w:tc>
        <w:tc>
          <w:tcPr>
            <w:tcW w:w="0" w:type="auto"/>
            <w:gridSpan w:val="3"/>
            <w:shd w:val="clear" w:color="auto" w:fill="auto"/>
            <w:vAlign w:val="bottom"/>
          </w:tcPr>
          <w:p w14:paraId="74DDB138" w14:textId="77777777" w:rsidR="00584EC1" w:rsidRDefault="00584EC1">
            <w:pPr>
              <w:rPr>
                <w:rFonts w:ascii="宋体"/>
                <w:vanish/>
              </w:rPr>
            </w:pPr>
          </w:p>
        </w:tc>
        <w:tc>
          <w:tcPr>
            <w:tcW w:w="0" w:type="auto"/>
            <w:gridSpan w:val="3"/>
            <w:shd w:val="clear" w:color="auto" w:fill="auto"/>
            <w:vAlign w:val="bottom"/>
          </w:tcPr>
          <w:p w14:paraId="74DDB139" w14:textId="77777777" w:rsidR="00584EC1" w:rsidRDefault="00584EC1">
            <w:pPr>
              <w:rPr>
                <w:rFonts w:ascii="宋体"/>
                <w:vanish/>
              </w:rPr>
            </w:pPr>
          </w:p>
        </w:tc>
        <w:tc>
          <w:tcPr>
            <w:tcW w:w="0" w:type="auto"/>
            <w:gridSpan w:val="3"/>
            <w:shd w:val="clear" w:color="auto" w:fill="auto"/>
            <w:vAlign w:val="bottom"/>
          </w:tcPr>
          <w:p w14:paraId="74DDB13A" w14:textId="77777777" w:rsidR="00584EC1" w:rsidRDefault="00584EC1">
            <w:pPr>
              <w:rPr>
                <w:rFonts w:ascii="宋体"/>
                <w:vanish/>
              </w:rPr>
            </w:pPr>
          </w:p>
        </w:tc>
        <w:tc>
          <w:tcPr>
            <w:tcW w:w="0" w:type="auto"/>
            <w:gridSpan w:val="3"/>
            <w:shd w:val="clear" w:color="auto" w:fill="auto"/>
            <w:vAlign w:val="bottom"/>
          </w:tcPr>
          <w:p w14:paraId="74DDB13B" w14:textId="77777777" w:rsidR="00584EC1" w:rsidRDefault="00584EC1">
            <w:pPr>
              <w:rPr>
                <w:rFonts w:ascii="宋体"/>
                <w:vanish/>
              </w:rPr>
            </w:pPr>
          </w:p>
        </w:tc>
        <w:tc>
          <w:tcPr>
            <w:tcW w:w="0" w:type="auto"/>
            <w:gridSpan w:val="3"/>
            <w:shd w:val="clear" w:color="auto" w:fill="auto"/>
            <w:vAlign w:val="bottom"/>
          </w:tcPr>
          <w:p w14:paraId="74DDB13C" w14:textId="77777777" w:rsidR="00584EC1" w:rsidRDefault="00584EC1">
            <w:pPr>
              <w:rPr>
                <w:rFonts w:ascii="宋体"/>
                <w:vanish/>
              </w:rPr>
            </w:pPr>
          </w:p>
        </w:tc>
      </w:tr>
      <w:tr w:rsidR="00584EC1" w14:paraId="74DDB150" w14:textId="77777777">
        <w:trPr>
          <w:jc w:val="center"/>
        </w:trPr>
        <w:tc>
          <w:tcPr>
            <w:tcW w:w="0" w:type="auto"/>
            <w:gridSpan w:val="3"/>
            <w:shd w:val="clear" w:color="auto" w:fill="FFFFFF"/>
            <w:tcMar>
              <w:top w:w="40" w:type="dxa"/>
              <w:left w:w="20" w:type="dxa"/>
              <w:bottom w:w="40" w:type="dxa"/>
              <w:right w:w="20" w:type="dxa"/>
            </w:tcMar>
            <w:vAlign w:val="bottom"/>
          </w:tcPr>
          <w:p w14:paraId="74DDB13E" w14:textId="77777777" w:rsidR="00584EC1" w:rsidRDefault="00871F8D">
            <w:pPr>
              <w:textAlignment w:val="bottom"/>
            </w:pPr>
            <w:r>
              <w:rPr>
                <w:rFonts w:ascii="Arial" w:eastAsia="宋体" w:hAnsi="Arial" w:cs="Arial"/>
                <w:color w:val="000000"/>
                <w:sz w:val="15"/>
                <w:szCs w:val="15"/>
              </w:rPr>
              <w:t>Cash dividends declared:</w:t>
            </w:r>
          </w:p>
        </w:tc>
        <w:tc>
          <w:tcPr>
            <w:tcW w:w="0" w:type="auto"/>
            <w:gridSpan w:val="3"/>
            <w:shd w:val="clear" w:color="auto" w:fill="FFFFFF"/>
            <w:tcMar>
              <w:top w:w="0" w:type="dxa"/>
              <w:left w:w="20" w:type="dxa"/>
              <w:bottom w:w="0" w:type="dxa"/>
              <w:right w:w="20" w:type="dxa"/>
            </w:tcMar>
            <w:vAlign w:val="bottom"/>
          </w:tcPr>
          <w:p w14:paraId="74DDB13F"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140"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141"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14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143"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144"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145"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146"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147"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148"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149"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14A"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14B"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14C"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14D"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14E"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14F" w14:textId="77777777" w:rsidR="00584EC1" w:rsidRDefault="00584EC1">
            <w:pPr>
              <w:rPr>
                <w:rFonts w:ascii="宋体"/>
              </w:rPr>
            </w:pPr>
          </w:p>
        </w:tc>
      </w:tr>
      <w:tr w:rsidR="00584EC1" w14:paraId="74DDB165" w14:textId="77777777">
        <w:trPr>
          <w:jc w:val="center"/>
        </w:trPr>
        <w:tc>
          <w:tcPr>
            <w:tcW w:w="0" w:type="auto"/>
            <w:gridSpan w:val="3"/>
            <w:shd w:val="clear" w:color="auto" w:fill="CCEEFF"/>
            <w:tcMar>
              <w:top w:w="40" w:type="dxa"/>
              <w:left w:w="20" w:type="dxa"/>
              <w:bottom w:w="40" w:type="dxa"/>
              <w:right w:w="20" w:type="dxa"/>
            </w:tcMar>
            <w:vAlign w:val="bottom"/>
          </w:tcPr>
          <w:p w14:paraId="74DDB151" w14:textId="77777777" w:rsidR="00584EC1" w:rsidRDefault="00871F8D">
            <w:pPr>
              <w:textAlignment w:val="bottom"/>
            </w:pPr>
            <w:r>
              <w:rPr>
                <w:rFonts w:ascii="Arial" w:eastAsia="宋体" w:hAnsi="Arial" w:cs="Arial"/>
                <w:color w:val="000000"/>
                <w:sz w:val="15"/>
                <w:szCs w:val="15"/>
              </w:rPr>
              <w:t>Common stock - $0.52 per share</w:t>
            </w:r>
          </w:p>
        </w:tc>
        <w:tc>
          <w:tcPr>
            <w:tcW w:w="0" w:type="auto"/>
            <w:gridSpan w:val="3"/>
            <w:shd w:val="clear" w:color="auto" w:fill="CCEEFF"/>
            <w:tcMar>
              <w:top w:w="0" w:type="dxa"/>
              <w:left w:w="20" w:type="dxa"/>
              <w:bottom w:w="0" w:type="dxa"/>
              <w:right w:w="20" w:type="dxa"/>
            </w:tcMar>
            <w:vAlign w:val="bottom"/>
          </w:tcPr>
          <w:p w14:paraId="74DDB152"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153"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154"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155"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156"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157"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158"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15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15A" w14:textId="77777777" w:rsidR="00584EC1" w:rsidRDefault="00871F8D">
            <w:pPr>
              <w:jc w:val="right"/>
              <w:textAlignment w:val="bottom"/>
            </w:pPr>
            <w:r>
              <w:rPr>
                <w:rFonts w:ascii="Arial" w:eastAsia="宋体" w:hAnsi="Arial" w:cs="Arial"/>
                <w:color w:val="000000"/>
                <w:sz w:val="15"/>
                <w:szCs w:val="15"/>
              </w:rPr>
              <w:t>(183)</w:t>
            </w:r>
          </w:p>
        </w:tc>
        <w:tc>
          <w:tcPr>
            <w:tcW w:w="0" w:type="auto"/>
            <w:shd w:val="clear" w:color="auto" w:fill="CCEEFF"/>
            <w:tcMar>
              <w:top w:w="40" w:type="dxa"/>
              <w:left w:w="0" w:type="dxa"/>
              <w:bottom w:w="40" w:type="dxa"/>
              <w:right w:w="20" w:type="dxa"/>
            </w:tcMar>
            <w:vAlign w:val="bottom"/>
          </w:tcPr>
          <w:p w14:paraId="74DDB15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15C"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15D"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15E"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15F"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160"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161"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162"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163" w14:textId="77777777" w:rsidR="00584EC1" w:rsidRDefault="00871F8D">
            <w:pPr>
              <w:jc w:val="right"/>
              <w:textAlignment w:val="bottom"/>
            </w:pPr>
            <w:r>
              <w:rPr>
                <w:rFonts w:ascii="Arial" w:eastAsia="宋体" w:hAnsi="Arial" w:cs="Arial"/>
                <w:color w:val="000000"/>
                <w:sz w:val="15"/>
                <w:szCs w:val="15"/>
              </w:rPr>
              <w:t>(183)</w:t>
            </w:r>
          </w:p>
        </w:tc>
        <w:tc>
          <w:tcPr>
            <w:tcW w:w="0" w:type="auto"/>
            <w:shd w:val="clear" w:color="auto" w:fill="CCEEFF"/>
            <w:tcMar>
              <w:top w:w="40" w:type="dxa"/>
              <w:left w:w="0" w:type="dxa"/>
              <w:bottom w:w="40" w:type="dxa"/>
              <w:right w:w="20" w:type="dxa"/>
            </w:tcMar>
            <w:vAlign w:val="bottom"/>
          </w:tcPr>
          <w:p w14:paraId="74DDB164" w14:textId="77777777" w:rsidR="00584EC1" w:rsidRDefault="00584EC1">
            <w:pPr>
              <w:jc w:val="right"/>
              <w:rPr>
                <w:rFonts w:ascii="宋体"/>
              </w:rPr>
            </w:pPr>
          </w:p>
        </w:tc>
      </w:tr>
      <w:tr w:rsidR="00584EC1" w14:paraId="74DDB17A" w14:textId="77777777">
        <w:trPr>
          <w:jc w:val="center"/>
        </w:trPr>
        <w:tc>
          <w:tcPr>
            <w:tcW w:w="0" w:type="auto"/>
            <w:gridSpan w:val="3"/>
            <w:shd w:val="clear" w:color="auto" w:fill="FFFFFF"/>
            <w:tcMar>
              <w:top w:w="40" w:type="dxa"/>
              <w:left w:w="140" w:type="dxa"/>
              <w:bottom w:w="40" w:type="dxa"/>
              <w:right w:w="20" w:type="dxa"/>
            </w:tcMar>
            <w:vAlign w:val="bottom"/>
          </w:tcPr>
          <w:p w14:paraId="74DDB166" w14:textId="77777777" w:rsidR="00584EC1" w:rsidRDefault="00871F8D">
            <w:pPr>
              <w:textAlignment w:val="bottom"/>
            </w:pPr>
            <w:r>
              <w:rPr>
                <w:rFonts w:ascii="Arial" w:eastAsia="宋体" w:hAnsi="Arial" w:cs="Arial"/>
                <w:color w:val="000000"/>
                <w:sz w:val="15"/>
                <w:szCs w:val="15"/>
              </w:rPr>
              <w:t>Preferred stock</w:t>
            </w:r>
          </w:p>
        </w:tc>
        <w:tc>
          <w:tcPr>
            <w:tcW w:w="0" w:type="auto"/>
            <w:gridSpan w:val="3"/>
            <w:shd w:val="clear" w:color="auto" w:fill="FFFFFF"/>
            <w:tcMar>
              <w:top w:w="0" w:type="dxa"/>
              <w:left w:w="20" w:type="dxa"/>
              <w:bottom w:w="0" w:type="dxa"/>
              <w:right w:w="20" w:type="dxa"/>
            </w:tcMar>
            <w:vAlign w:val="bottom"/>
          </w:tcPr>
          <w:p w14:paraId="74DDB167"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168"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169"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16A"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16B"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16C"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16D"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16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16F" w14:textId="77777777" w:rsidR="00584EC1" w:rsidRDefault="00871F8D">
            <w:pPr>
              <w:jc w:val="right"/>
              <w:textAlignment w:val="bottom"/>
            </w:pPr>
            <w:r>
              <w:rPr>
                <w:rFonts w:ascii="Arial" w:eastAsia="宋体" w:hAnsi="Arial" w:cs="Arial"/>
                <w:color w:val="000000"/>
                <w:sz w:val="15"/>
                <w:szCs w:val="15"/>
              </w:rPr>
              <w:t>(32)</w:t>
            </w:r>
          </w:p>
        </w:tc>
        <w:tc>
          <w:tcPr>
            <w:tcW w:w="0" w:type="auto"/>
            <w:shd w:val="clear" w:color="auto" w:fill="FFFFFF"/>
            <w:tcMar>
              <w:top w:w="40" w:type="dxa"/>
              <w:left w:w="0" w:type="dxa"/>
              <w:bottom w:w="40" w:type="dxa"/>
              <w:right w:w="20" w:type="dxa"/>
            </w:tcMar>
            <w:vAlign w:val="bottom"/>
          </w:tcPr>
          <w:p w14:paraId="74DDB17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171"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17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173"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174"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175"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176"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17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178" w14:textId="77777777" w:rsidR="00584EC1" w:rsidRDefault="00871F8D">
            <w:pPr>
              <w:jc w:val="right"/>
              <w:textAlignment w:val="bottom"/>
            </w:pPr>
            <w:r>
              <w:rPr>
                <w:rFonts w:ascii="Arial" w:eastAsia="宋体" w:hAnsi="Arial" w:cs="Arial"/>
                <w:color w:val="000000"/>
                <w:sz w:val="15"/>
                <w:szCs w:val="15"/>
              </w:rPr>
              <w:t>(32)</w:t>
            </w:r>
          </w:p>
        </w:tc>
        <w:tc>
          <w:tcPr>
            <w:tcW w:w="0" w:type="auto"/>
            <w:shd w:val="clear" w:color="auto" w:fill="FFFFFF"/>
            <w:tcMar>
              <w:top w:w="40" w:type="dxa"/>
              <w:left w:w="0" w:type="dxa"/>
              <w:bottom w:w="40" w:type="dxa"/>
              <w:right w:w="20" w:type="dxa"/>
            </w:tcMar>
            <w:vAlign w:val="bottom"/>
          </w:tcPr>
          <w:p w14:paraId="74DDB179" w14:textId="77777777" w:rsidR="00584EC1" w:rsidRDefault="00584EC1">
            <w:pPr>
              <w:jc w:val="right"/>
              <w:rPr>
                <w:rFonts w:ascii="宋体"/>
              </w:rPr>
            </w:pPr>
          </w:p>
        </w:tc>
      </w:tr>
      <w:tr w:rsidR="00584EC1" w14:paraId="74DDB18E" w14:textId="77777777">
        <w:trPr>
          <w:jc w:val="center"/>
        </w:trPr>
        <w:tc>
          <w:tcPr>
            <w:tcW w:w="0" w:type="auto"/>
            <w:gridSpan w:val="3"/>
            <w:shd w:val="clear" w:color="auto" w:fill="CCEEFF"/>
            <w:tcMar>
              <w:top w:w="40" w:type="dxa"/>
              <w:left w:w="20" w:type="dxa"/>
              <w:bottom w:w="40" w:type="dxa"/>
              <w:right w:w="20" w:type="dxa"/>
            </w:tcMar>
            <w:vAlign w:val="bottom"/>
          </w:tcPr>
          <w:p w14:paraId="74DDB17B" w14:textId="77777777" w:rsidR="00584EC1" w:rsidRDefault="00871F8D">
            <w:pPr>
              <w:textAlignment w:val="bottom"/>
            </w:pPr>
            <w:r>
              <w:rPr>
                <w:rFonts w:ascii="Arial" w:eastAsia="宋体" w:hAnsi="Arial" w:cs="Arial"/>
                <w:color w:val="000000"/>
                <w:sz w:val="15"/>
                <w:szCs w:val="15"/>
              </w:rPr>
              <w:t>Common stock acquired</w:t>
            </w:r>
          </w:p>
        </w:tc>
        <w:tc>
          <w:tcPr>
            <w:tcW w:w="0" w:type="auto"/>
            <w:gridSpan w:val="3"/>
            <w:shd w:val="clear" w:color="auto" w:fill="CCEEFF"/>
            <w:tcMar>
              <w:top w:w="0" w:type="dxa"/>
              <w:left w:w="20" w:type="dxa"/>
              <w:bottom w:w="0" w:type="dxa"/>
              <w:right w:w="20" w:type="dxa"/>
            </w:tcMar>
            <w:vAlign w:val="bottom"/>
          </w:tcPr>
          <w:p w14:paraId="74DDB17C"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17D"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17E"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17F"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180"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181"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182"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183"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184"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185"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186"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187"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188"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189"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18A"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18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18C"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B18D" w14:textId="77777777" w:rsidR="00584EC1" w:rsidRDefault="00584EC1">
            <w:pPr>
              <w:jc w:val="right"/>
              <w:rPr>
                <w:rFonts w:ascii="宋体"/>
              </w:rPr>
            </w:pPr>
          </w:p>
        </w:tc>
      </w:tr>
      <w:tr w:rsidR="00584EC1" w14:paraId="74DDB1A5" w14:textId="77777777">
        <w:trPr>
          <w:jc w:val="center"/>
        </w:trPr>
        <w:tc>
          <w:tcPr>
            <w:tcW w:w="0" w:type="auto"/>
            <w:gridSpan w:val="3"/>
            <w:shd w:val="clear" w:color="auto" w:fill="FFFFFF"/>
            <w:tcMar>
              <w:top w:w="40" w:type="dxa"/>
              <w:left w:w="20" w:type="dxa"/>
              <w:bottom w:w="40" w:type="dxa"/>
              <w:right w:w="20" w:type="dxa"/>
            </w:tcMar>
            <w:vAlign w:val="bottom"/>
          </w:tcPr>
          <w:p w14:paraId="74DDB18F" w14:textId="77777777" w:rsidR="00584EC1" w:rsidRDefault="00871F8D">
            <w:pPr>
              <w:textAlignment w:val="bottom"/>
            </w:pPr>
            <w:r>
              <w:rPr>
                <w:rFonts w:ascii="Arial" w:eastAsia="宋体" w:hAnsi="Arial" w:cs="Arial"/>
                <w:color w:val="000000"/>
                <w:sz w:val="15"/>
                <w:szCs w:val="15"/>
              </w:rPr>
              <w:t>Common stock awards exercised</w:t>
            </w:r>
          </w:p>
        </w:tc>
        <w:tc>
          <w:tcPr>
            <w:tcW w:w="0" w:type="auto"/>
            <w:gridSpan w:val="3"/>
            <w:shd w:val="clear" w:color="auto" w:fill="FFFFFF"/>
            <w:tcMar>
              <w:top w:w="0" w:type="dxa"/>
              <w:left w:w="20" w:type="dxa"/>
              <w:bottom w:w="0" w:type="dxa"/>
              <w:right w:w="20" w:type="dxa"/>
            </w:tcMar>
            <w:vAlign w:val="bottom"/>
          </w:tcPr>
          <w:p w14:paraId="74DDB190"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191"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19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193"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194"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195"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196" w14:textId="77777777" w:rsidR="00584EC1" w:rsidRDefault="00871F8D">
            <w:pPr>
              <w:jc w:val="right"/>
              <w:textAlignment w:val="bottom"/>
            </w:pPr>
            <w:r>
              <w:rPr>
                <w:rFonts w:ascii="Arial" w:eastAsia="宋体" w:hAnsi="Arial" w:cs="Arial"/>
                <w:color w:val="000000"/>
                <w:sz w:val="15"/>
                <w:szCs w:val="15"/>
              </w:rPr>
              <w:t>24 </w:t>
            </w:r>
          </w:p>
        </w:tc>
        <w:tc>
          <w:tcPr>
            <w:tcW w:w="0" w:type="auto"/>
            <w:shd w:val="clear" w:color="auto" w:fill="FFFFFF"/>
            <w:tcMar>
              <w:top w:w="40" w:type="dxa"/>
              <w:left w:w="0" w:type="dxa"/>
              <w:bottom w:w="40" w:type="dxa"/>
              <w:right w:w="20" w:type="dxa"/>
            </w:tcMar>
            <w:vAlign w:val="bottom"/>
          </w:tcPr>
          <w:p w14:paraId="74DDB19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198"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199"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19A"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19B"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19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19D" w14:textId="77777777" w:rsidR="00584EC1" w:rsidRDefault="00871F8D">
            <w:pPr>
              <w:jc w:val="right"/>
              <w:textAlignment w:val="bottom"/>
            </w:pPr>
            <w:r>
              <w:rPr>
                <w:rFonts w:ascii="Arial" w:eastAsia="宋体" w:hAnsi="Arial" w:cs="Arial"/>
                <w:color w:val="000000"/>
                <w:sz w:val="15"/>
                <w:szCs w:val="15"/>
              </w:rPr>
              <w:t>(443)</w:t>
            </w:r>
          </w:p>
        </w:tc>
        <w:tc>
          <w:tcPr>
            <w:tcW w:w="0" w:type="auto"/>
            <w:shd w:val="clear" w:color="auto" w:fill="FFFFFF"/>
            <w:tcMar>
              <w:top w:w="40" w:type="dxa"/>
              <w:left w:w="0" w:type="dxa"/>
              <w:bottom w:w="40" w:type="dxa"/>
              <w:right w:w="20" w:type="dxa"/>
            </w:tcMar>
            <w:vAlign w:val="bottom"/>
          </w:tcPr>
          <w:p w14:paraId="74DDB19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19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1A0" w14:textId="77777777" w:rsidR="00584EC1" w:rsidRDefault="00871F8D">
            <w:pPr>
              <w:jc w:val="right"/>
              <w:textAlignment w:val="bottom"/>
            </w:pPr>
            <w:r>
              <w:rPr>
                <w:rFonts w:ascii="Arial" w:eastAsia="宋体" w:hAnsi="Arial" w:cs="Arial"/>
                <w:color w:val="000000"/>
                <w:sz w:val="15"/>
                <w:szCs w:val="15"/>
              </w:rPr>
              <w:t>20 </w:t>
            </w:r>
          </w:p>
        </w:tc>
        <w:tc>
          <w:tcPr>
            <w:tcW w:w="0" w:type="auto"/>
            <w:shd w:val="clear" w:color="auto" w:fill="FFFFFF"/>
            <w:tcMar>
              <w:top w:w="40" w:type="dxa"/>
              <w:left w:w="0" w:type="dxa"/>
              <w:bottom w:w="40" w:type="dxa"/>
              <w:right w:w="20" w:type="dxa"/>
            </w:tcMar>
            <w:vAlign w:val="bottom"/>
          </w:tcPr>
          <w:p w14:paraId="74DDB1A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1A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1A3" w14:textId="77777777" w:rsidR="00584EC1" w:rsidRDefault="00871F8D">
            <w:pPr>
              <w:jc w:val="right"/>
              <w:textAlignment w:val="bottom"/>
            </w:pPr>
            <w:r>
              <w:rPr>
                <w:rFonts w:ascii="Arial" w:eastAsia="宋体" w:hAnsi="Arial" w:cs="Arial"/>
                <w:color w:val="000000"/>
                <w:sz w:val="15"/>
                <w:szCs w:val="15"/>
              </w:rPr>
              <w:t>44 </w:t>
            </w:r>
          </w:p>
        </w:tc>
        <w:tc>
          <w:tcPr>
            <w:tcW w:w="0" w:type="auto"/>
            <w:shd w:val="clear" w:color="auto" w:fill="FFFFFF"/>
            <w:tcMar>
              <w:top w:w="40" w:type="dxa"/>
              <w:left w:w="0" w:type="dxa"/>
              <w:bottom w:w="40" w:type="dxa"/>
              <w:right w:w="20" w:type="dxa"/>
            </w:tcMar>
            <w:vAlign w:val="bottom"/>
          </w:tcPr>
          <w:p w14:paraId="74DDB1A4" w14:textId="77777777" w:rsidR="00584EC1" w:rsidRDefault="00584EC1">
            <w:pPr>
              <w:jc w:val="right"/>
              <w:rPr>
                <w:rFonts w:ascii="宋体"/>
              </w:rPr>
            </w:pPr>
          </w:p>
        </w:tc>
      </w:tr>
      <w:tr w:rsidR="00584EC1" w14:paraId="74DDB1BB" w14:textId="77777777">
        <w:trPr>
          <w:jc w:val="center"/>
        </w:trPr>
        <w:tc>
          <w:tcPr>
            <w:tcW w:w="0" w:type="auto"/>
            <w:gridSpan w:val="3"/>
            <w:shd w:val="clear" w:color="auto" w:fill="CCEEFF"/>
            <w:tcMar>
              <w:top w:w="40" w:type="dxa"/>
              <w:left w:w="20" w:type="dxa"/>
              <w:bottom w:w="40" w:type="dxa"/>
              <w:right w:w="20" w:type="dxa"/>
            </w:tcMar>
            <w:vAlign w:val="bottom"/>
          </w:tcPr>
          <w:p w14:paraId="74DDB1A6" w14:textId="77777777" w:rsidR="00584EC1" w:rsidRDefault="00871F8D">
            <w:pPr>
              <w:textAlignment w:val="bottom"/>
            </w:pPr>
            <w:r>
              <w:rPr>
                <w:rFonts w:ascii="Arial" w:eastAsia="宋体" w:hAnsi="Arial" w:cs="Arial"/>
                <w:color w:val="000000"/>
                <w:sz w:val="15"/>
                <w:szCs w:val="15"/>
              </w:rPr>
              <w:t>Other</w:t>
            </w:r>
          </w:p>
        </w:tc>
        <w:tc>
          <w:tcPr>
            <w:tcW w:w="0" w:type="auto"/>
            <w:gridSpan w:val="3"/>
            <w:shd w:val="clear" w:color="auto" w:fill="CCEEFF"/>
            <w:tcMar>
              <w:top w:w="0" w:type="dxa"/>
              <w:left w:w="20" w:type="dxa"/>
              <w:bottom w:w="0" w:type="dxa"/>
              <w:right w:w="20" w:type="dxa"/>
            </w:tcMar>
            <w:vAlign w:val="bottom"/>
          </w:tcPr>
          <w:p w14:paraId="74DDB1A7"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1A8"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1A9"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1AA"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1AB"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1AC"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1AD"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1AE"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1AF"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1B0"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1B1"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1B2"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1B3" w14:textId="77777777" w:rsidR="00584EC1" w:rsidRDefault="00871F8D">
            <w:pPr>
              <w:jc w:val="right"/>
              <w:textAlignment w:val="bottom"/>
            </w:pPr>
            <w:r>
              <w:rPr>
                <w:rFonts w:ascii="Arial" w:eastAsia="宋体" w:hAnsi="Arial" w:cs="Arial"/>
                <w:color w:val="000000"/>
                <w:sz w:val="15"/>
                <w:szCs w:val="15"/>
              </w:rPr>
              <w:t>3 </w:t>
            </w:r>
          </w:p>
        </w:tc>
        <w:tc>
          <w:tcPr>
            <w:tcW w:w="0" w:type="auto"/>
            <w:shd w:val="clear" w:color="auto" w:fill="CCEEFF"/>
            <w:tcMar>
              <w:top w:w="40" w:type="dxa"/>
              <w:left w:w="0" w:type="dxa"/>
              <w:bottom w:w="40" w:type="dxa"/>
              <w:right w:w="20" w:type="dxa"/>
            </w:tcMar>
            <w:vAlign w:val="bottom"/>
          </w:tcPr>
          <w:p w14:paraId="74DDB1B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1B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1B6" w14:textId="77777777" w:rsidR="00584EC1" w:rsidRDefault="00871F8D">
            <w:pPr>
              <w:jc w:val="right"/>
              <w:textAlignment w:val="bottom"/>
            </w:pPr>
            <w:r>
              <w:rPr>
                <w:rFonts w:ascii="Arial" w:eastAsia="宋体" w:hAnsi="Arial" w:cs="Arial"/>
                <w:color w:val="000000"/>
                <w:sz w:val="15"/>
                <w:szCs w:val="15"/>
              </w:rPr>
              <w:t>(1)</w:t>
            </w:r>
          </w:p>
        </w:tc>
        <w:tc>
          <w:tcPr>
            <w:tcW w:w="0" w:type="auto"/>
            <w:shd w:val="clear" w:color="auto" w:fill="CCEEFF"/>
            <w:tcMar>
              <w:top w:w="40" w:type="dxa"/>
              <w:left w:w="0" w:type="dxa"/>
              <w:bottom w:w="40" w:type="dxa"/>
              <w:right w:w="20" w:type="dxa"/>
            </w:tcMar>
            <w:vAlign w:val="bottom"/>
          </w:tcPr>
          <w:p w14:paraId="74DDB1B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1B8"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1B9" w14:textId="77777777" w:rsidR="00584EC1" w:rsidRDefault="00871F8D">
            <w:pPr>
              <w:jc w:val="right"/>
              <w:textAlignment w:val="bottom"/>
            </w:pPr>
            <w:r>
              <w:rPr>
                <w:rFonts w:ascii="Arial" w:eastAsia="宋体" w:hAnsi="Arial" w:cs="Arial"/>
                <w:color w:val="000000"/>
                <w:sz w:val="15"/>
                <w:szCs w:val="15"/>
              </w:rPr>
              <w:t>(1)</w:t>
            </w:r>
          </w:p>
        </w:tc>
        <w:tc>
          <w:tcPr>
            <w:tcW w:w="0" w:type="auto"/>
            <w:shd w:val="clear" w:color="auto" w:fill="CCEEFF"/>
            <w:tcMar>
              <w:top w:w="40" w:type="dxa"/>
              <w:left w:w="0" w:type="dxa"/>
              <w:bottom w:w="40" w:type="dxa"/>
              <w:right w:w="20" w:type="dxa"/>
            </w:tcMar>
            <w:vAlign w:val="bottom"/>
          </w:tcPr>
          <w:p w14:paraId="74DDB1BA" w14:textId="77777777" w:rsidR="00584EC1" w:rsidRDefault="00584EC1">
            <w:pPr>
              <w:jc w:val="right"/>
              <w:rPr>
                <w:rFonts w:ascii="宋体"/>
              </w:rPr>
            </w:pPr>
          </w:p>
        </w:tc>
      </w:tr>
      <w:tr w:rsidR="00871F8D" w14:paraId="74DDB1DE" w14:textId="77777777">
        <w:trPr>
          <w:jc w:val="center"/>
        </w:trPr>
        <w:tc>
          <w:tcPr>
            <w:tcW w:w="0" w:type="auto"/>
            <w:gridSpan w:val="3"/>
            <w:shd w:val="clear" w:color="auto" w:fill="FFFFFF"/>
            <w:tcMar>
              <w:top w:w="40" w:type="dxa"/>
              <w:left w:w="20" w:type="dxa"/>
              <w:bottom w:w="40" w:type="dxa"/>
              <w:right w:w="20" w:type="dxa"/>
            </w:tcMar>
            <w:vAlign w:val="bottom"/>
          </w:tcPr>
          <w:p w14:paraId="74DDB1BC" w14:textId="77777777" w:rsidR="00584EC1" w:rsidRDefault="00871F8D">
            <w:pPr>
              <w:textAlignment w:val="bottom"/>
            </w:pPr>
            <w:r>
              <w:rPr>
                <w:rFonts w:ascii="Arial" w:eastAsia="宋体" w:hAnsi="Arial" w:cs="Arial"/>
                <w:b/>
                <w:bCs/>
                <w:color w:val="000000"/>
                <w:sz w:val="15"/>
                <w:szCs w:val="15"/>
              </w:rPr>
              <w:t>Balance at June 30, 2020</w:t>
            </w:r>
          </w:p>
        </w:tc>
        <w:tc>
          <w:tcPr>
            <w:tcW w:w="0" w:type="auto"/>
            <w:tcBorders>
              <w:top w:val="single" w:sz="8" w:space="0" w:color="000000"/>
            </w:tcBorders>
            <w:shd w:val="clear" w:color="auto" w:fill="FFFFFF"/>
            <w:tcMar>
              <w:top w:w="40" w:type="dxa"/>
              <w:left w:w="20" w:type="dxa"/>
              <w:bottom w:w="40" w:type="dxa"/>
              <w:right w:w="0" w:type="dxa"/>
            </w:tcMar>
            <w:vAlign w:val="bottom"/>
          </w:tcPr>
          <w:p w14:paraId="74DDB1BD"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B1BE" w14:textId="77777777" w:rsidR="00584EC1" w:rsidRDefault="00871F8D">
            <w:pPr>
              <w:jc w:val="right"/>
              <w:textAlignment w:val="bottom"/>
            </w:pPr>
            <w:r>
              <w:rPr>
                <w:rFonts w:ascii="Arial" w:eastAsia="宋体" w:hAnsi="Arial" w:cs="Arial"/>
                <w:color w:val="000000"/>
                <w:sz w:val="15"/>
                <w:szCs w:val="15"/>
              </w:rPr>
              <w:t>2,471 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B1B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1C0"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B1C1" w14:textId="77777777" w:rsidR="00584EC1" w:rsidRDefault="00871F8D">
            <w:pPr>
              <w:jc w:val="right"/>
              <w:textAlignment w:val="bottom"/>
            </w:pPr>
            <w:r>
              <w:rPr>
                <w:rFonts w:ascii="Arial" w:eastAsia="宋体" w:hAnsi="Arial" w:cs="Arial"/>
                <w:color w:val="000000"/>
                <w:sz w:val="15"/>
                <w:szCs w:val="15"/>
              </w:rPr>
              <w:t>503,880 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B1C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1C3"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B1C4"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B1C5" w14:textId="77777777" w:rsidR="00584EC1" w:rsidRDefault="00871F8D">
            <w:pPr>
              <w:jc w:val="right"/>
              <w:textAlignment w:val="bottom"/>
            </w:pPr>
            <w:r>
              <w:rPr>
                <w:rFonts w:ascii="Arial" w:eastAsia="宋体" w:hAnsi="Arial" w:cs="Arial"/>
                <w:color w:val="000000"/>
                <w:sz w:val="15"/>
                <w:szCs w:val="15"/>
              </w:rPr>
              <w:t>504 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B1C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1C7"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B1C8"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B1C9" w14:textId="77777777" w:rsidR="00584EC1" w:rsidRDefault="00871F8D">
            <w:pPr>
              <w:jc w:val="right"/>
              <w:textAlignment w:val="bottom"/>
            </w:pPr>
            <w:r>
              <w:rPr>
                <w:rFonts w:ascii="Arial" w:eastAsia="宋体" w:hAnsi="Arial" w:cs="Arial"/>
                <w:color w:val="000000"/>
                <w:sz w:val="15"/>
                <w:szCs w:val="15"/>
              </w:rPr>
              <w:t>10,179 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B1C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1CB"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B1CC"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B1CD" w14:textId="77777777" w:rsidR="00584EC1" w:rsidRDefault="00871F8D">
            <w:pPr>
              <w:jc w:val="right"/>
              <w:textAlignment w:val="bottom"/>
            </w:pPr>
            <w:r>
              <w:rPr>
                <w:rFonts w:ascii="Arial" w:eastAsia="宋体" w:hAnsi="Arial" w:cs="Arial"/>
                <w:color w:val="000000"/>
                <w:sz w:val="15"/>
                <w:szCs w:val="15"/>
              </w:rPr>
              <w:t>22,794 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B1C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1CF"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B1D0"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B1D1" w14:textId="77777777" w:rsidR="00584EC1" w:rsidRDefault="00871F8D">
            <w:pPr>
              <w:jc w:val="right"/>
              <w:textAlignment w:val="bottom"/>
            </w:pPr>
            <w:r>
              <w:rPr>
                <w:rFonts w:ascii="Arial" w:eastAsia="宋体" w:hAnsi="Arial" w:cs="Arial"/>
                <w:color w:val="000000"/>
                <w:sz w:val="15"/>
                <w:szCs w:val="15"/>
              </w:rPr>
              <w:t>(430)</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B1D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1D3"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B1D4" w14:textId="77777777" w:rsidR="00584EC1" w:rsidRDefault="00871F8D">
            <w:pPr>
              <w:jc w:val="right"/>
              <w:textAlignment w:val="bottom"/>
            </w:pPr>
            <w:r>
              <w:rPr>
                <w:rFonts w:ascii="Arial" w:eastAsia="宋体" w:hAnsi="Arial" w:cs="Arial"/>
                <w:color w:val="000000"/>
                <w:sz w:val="15"/>
                <w:szCs w:val="15"/>
              </w:rPr>
              <w:t>151,496 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B1D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1D6"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B1D7"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B1D8" w14:textId="77777777" w:rsidR="00584EC1" w:rsidRDefault="00871F8D">
            <w:pPr>
              <w:jc w:val="right"/>
              <w:textAlignment w:val="bottom"/>
            </w:pPr>
            <w:r>
              <w:rPr>
                <w:rFonts w:ascii="Arial" w:eastAsia="宋体" w:hAnsi="Arial" w:cs="Arial"/>
                <w:color w:val="000000"/>
                <w:sz w:val="15"/>
                <w:szCs w:val="15"/>
              </w:rPr>
              <w:t>(10,645)</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B1D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1DA"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B1DB"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B1DC" w14:textId="77777777" w:rsidR="00584EC1" w:rsidRDefault="00871F8D">
            <w:pPr>
              <w:jc w:val="right"/>
              <w:textAlignment w:val="bottom"/>
            </w:pPr>
            <w:r>
              <w:rPr>
                <w:rFonts w:ascii="Arial" w:eastAsia="宋体" w:hAnsi="Arial" w:cs="Arial"/>
                <w:color w:val="000000"/>
                <w:sz w:val="15"/>
                <w:szCs w:val="15"/>
              </w:rPr>
              <w:t>24,873 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B1DD" w14:textId="77777777" w:rsidR="00584EC1" w:rsidRDefault="00584EC1">
            <w:pPr>
              <w:jc w:val="right"/>
              <w:rPr>
                <w:rFonts w:ascii="宋体"/>
              </w:rPr>
            </w:pPr>
          </w:p>
        </w:tc>
      </w:tr>
      <w:tr w:rsidR="00584EC1" w14:paraId="74DDB1F3" w14:textId="77777777">
        <w:trPr>
          <w:jc w:val="center"/>
        </w:trPr>
        <w:tc>
          <w:tcPr>
            <w:tcW w:w="0" w:type="auto"/>
            <w:gridSpan w:val="3"/>
            <w:shd w:val="clear" w:color="auto" w:fill="CCEEFF"/>
            <w:tcMar>
              <w:top w:w="40" w:type="dxa"/>
              <w:left w:w="20" w:type="dxa"/>
              <w:bottom w:w="40" w:type="dxa"/>
              <w:right w:w="20" w:type="dxa"/>
            </w:tcMar>
            <w:vAlign w:val="bottom"/>
          </w:tcPr>
          <w:p w14:paraId="74DDB1DF" w14:textId="77777777" w:rsidR="00584EC1" w:rsidRDefault="00871F8D">
            <w:pPr>
              <w:textAlignment w:val="bottom"/>
            </w:pPr>
            <w:r>
              <w:rPr>
                <w:rFonts w:ascii="Arial" w:eastAsia="宋体" w:hAnsi="Arial" w:cs="Arial"/>
                <w:color w:val="000000"/>
                <w:sz w:val="15"/>
                <w:szCs w:val="15"/>
              </w:rPr>
              <w:t>Net i</w:t>
            </w:r>
            <w:r>
              <w:rPr>
                <w:rFonts w:ascii="Arial" w:eastAsia="宋体" w:hAnsi="Arial" w:cs="Arial"/>
                <w:color w:val="000000"/>
                <w:sz w:val="15"/>
                <w:szCs w:val="15"/>
              </w:rPr>
              <w:t>ncome</w:t>
            </w:r>
          </w:p>
        </w:tc>
        <w:tc>
          <w:tcPr>
            <w:tcW w:w="0" w:type="auto"/>
            <w:gridSpan w:val="3"/>
            <w:shd w:val="clear" w:color="auto" w:fill="CCEEFF"/>
            <w:tcMar>
              <w:top w:w="0" w:type="dxa"/>
              <w:left w:w="20" w:type="dxa"/>
              <w:bottom w:w="0" w:type="dxa"/>
              <w:right w:w="20" w:type="dxa"/>
            </w:tcMar>
            <w:vAlign w:val="bottom"/>
          </w:tcPr>
          <w:p w14:paraId="74DDB1E0"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1E1"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1E2"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1E3"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1E4"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1E5"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1E6"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1E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1E8" w14:textId="77777777" w:rsidR="00584EC1" w:rsidRDefault="00871F8D">
            <w:pPr>
              <w:jc w:val="right"/>
              <w:textAlignment w:val="bottom"/>
            </w:pPr>
            <w:r>
              <w:rPr>
                <w:rFonts w:ascii="Arial" w:eastAsia="宋体" w:hAnsi="Arial" w:cs="Arial"/>
                <w:color w:val="000000"/>
                <w:sz w:val="15"/>
                <w:szCs w:val="15"/>
              </w:rPr>
              <w:t>555 </w:t>
            </w:r>
          </w:p>
        </w:tc>
        <w:tc>
          <w:tcPr>
            <w:tcW w:w="0" w:type="auto"/>
            <w:shd w:val="clear" w:color="auto" w:fill="CCEEFF"/>
            <w:tcMar>
              <w:top w:w="40" w:type="dxa"/>
              <w:left w:w="0" w:type="dxa"/>
              <w:bottom w:w="40" w:type="dxa"/>
              <w:right w:w="20" w:type="dxa"/>
            </w:tcMar>
            <w:vAlign w:val="bottom"/>
          </w:tcPr>
          <w:p w14:paraId="74DDB1E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1EA"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1EB"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1EC"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1ED"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1EE"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1EF"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1F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1F1" w14:textId="77777777" w:rsidR="00584EC1" w:rsidRDefault="00871F8D">
            <w:pPr>
              <w:jc w:val="right"/>
              <w:textAlignment w:val="bottom"/>
            </w:pPr>
            <w:r>
              <w:rPr>
                <w:rFonts w:ascii="Arial" w:eastAsia="宋体" w:hAnsi="Arial" w:cs="Arial"/>
                <w:color w:val="000000"/>
                <w:sz w:val="15"/>
                <w:szCs w:val="15"/>
              </w:rPr>
              <w:t>555 </w:t>
            </w:r>
          </w:p>
        </w:tc>
        <w:tc>
          <w:tcPr>
            <w:tcW w:w="0" w:type="auto"/>
            <w:shd w:val="clear" w:color="auto" w:fill="CCEEFF"/>
            <w:tcMar>
              <w:top w:w="40" w:type="dxa"/>
              <w:left w:w="0" w:type="dxa"/>
              <w:bottom w:w="40" w:type="dxa"/>
              <w:right w:w="20" w:type="dxa"/>
            </w:tcMar>
            <w:vAlign w:val="bottom"/>
          </w:tcPr>
          <w:p w14:paraId="74DDB1F2" w14:textId="77777777" w:rsidR="00584EC1" w:rsidRDefault="00584EC1">
            <w:pPr>
              <w:jc w:val="right"/>
              <w:rPr>
                <w:rFonts w:ascii="宋体"/>
              </w:rPr>
            </w:pPr>
          </w:p>
        </w:tc>
      </w:tr>
      <w:tr w:rsidR="00584EC1" w14:paraId="74DDB208" w14:textId="77777777">
        <w:trPr>
          <w:jc w:val="center"/>
        </w:trPr>
        <w:tc>
          <w:tcPr>
            <w:tcW w:w="0" w:type="auto"/>
            <w:gridSpan w:val="3"/>
            <w:shd w:val="clear" w:color="auto" w:fill="FFFFFF"/>
            <w:tcMar>
              <w:top w:w="40" w:type="dxa"/>
              <w:left w:w="20" w:type="dxa"/>
              <w:bottom w:w="40" w:type="dxa"/>
              <w:right w:w="20" w:type="dxa"/>
            </w:tcMar>
            <w:vAlign w:val="bottom"/>
          </w:tcPr>
          <w:p w14:paraId="74DDB1F4" w14:textId="77777777" w:rsidR="00584EC1" w:rsidRDefault="00871F8D">
            <w:pPr>
              <w:textAlignment w:val="bottom"/>
            </w:pPr>
            <w:r>
              <w:rPr>
                <w:rFonts w:ascii="Arial" w:eastAsia="宋体" w:hAnsi="Arial" w:cs="Arial"/>
                <w:color w:val="000000"/>
                <w:sz w:val="15"/>
                <w:szCs w:val="15"/>
              </w:rPr>
              <w:t>Other comprehensive income (loss)</w:t>
            </w:r>
          </w:p>
        </w:tc>
        <w:tc>
          <w:tcPr>
            <w:tcW w:w="0" w:type="auto"/>
            <w:gridSpan w:val="3"/>
            <w:shd w:val="clear" w:color="auto" w:fill="FFFFFF"/>
            <w:tcMar>
              <w:top w:w="0" w:type="dxa"/>
              <w:left w:w="20" w:type="dxa"/>
              <w:bottom w:w="0" w:type="dxa"/>
              <w:right w:w="20" w:type="dxa"/>
            </w:tcMar>
            <w:vAlign w:val="bottom"/>
          </w:tcPr>
          <w:p w14:paraId="74DDB1F5"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1F6"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1F7"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1F8"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1F9"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1FA"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1FB"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1FC"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1FD"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1F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1FF" w14:textId="77777777" w:rsidR="00584EC1" w:rsidRDefault="00871F8D">
            <w:pPr>
              <w:jc w:val="right"/>
              <w:textAlignment w:val="bottom"/>
            </w:pPr>
            <w:r>
              <w:rPr>
                <w:rFonts w:ascii="Arial" w:eastAsia="宋体" w:hAnsi="Arial" w:cs="Arial"/>
                <w:color w:val="000000"/>
                <w:sz w:val="15"/>
                <w:szCs w:val="15"/>
              </w:rPr>
              <w:t>319 </w:t>
            </w:r>
          </w:p>
        </w:tc>
        <w:tc>
          <w:tcPr>
            <w:tcW w:w="0" w:type="auto"/>
            <w:shd w:val="clear" w:color="auto" w:fill="FFFFFF"/>
            <w:tcMar>
              <w:top w:w="40" w:type="dxa"/>
              <w:left w:w="0" w:type="dxa"/>
              <w:bottom w:w="40" w:type="dxa"/>
              <w:right w:w="20" w:type="dxa"/>
            </w:tcMar>
            <w:vAlign w:val="bottom"/>
          </w:tcPr>
          <w:p w14:paraId="74DDB20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201"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20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203"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204"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205"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206" w14:textId="77777777" w:rsidR="00584EC1" w:rsidRDefault="00871F8D">
            <w:pPr>
              <w:jc w:val="right"/>
              <w:textAlignment w:val="bottom"/>
            </w:pPr>
            <w:r>
              <w:rPr>
                <w:rFonts w:ascii="Arial" w:eastAsia="宋体" w:hAnsi="Arial" w:cs="Arial"/>
                <w:color w:val="000000"/>
                <w:sz w:val="15"/>
                <w:szCs w:val="15"/>
              </w:rPr>
              <w:t>319 </w:t>
            </w:r>
          </w:p>
        </w:tc>
        <w:tc>
          <w:tcPr>
            <w:tcW w:w="0" w:type="auto"/>
            <w:shd w:val="clear" w:color="auto" w:fill="FFFFFF"/>
            <w:tcMar>
              <w:top w:w="40" w:type="dxa"/>
              <w:left w:w="0" w:type="dxa"/>
              <w:bottom w:w="40" w:type="dxa"/>
              <w:right w:w="20" w:type="dxa"/>
            </w:tcMar>
            <w:vAlign w:val="bottom"/>
          </w:tcPr>
          <w:p w14:paraId="74DDB207" w14:textId="77777777" w:rsidR="00584EC1" w:rsidRDefault="00584EC1">
            <w:pPr>
              <w:jc w:val="right"/>
              <w:rPr>
                <w:rFonts w:ascii="宋体"/>
              </w:rPr>
            </w:pPr>
          </w:p>
        </w:tc>
      </w:tr>
      <w:tr w:rsidR="00584EC1" w14:paraId="74DDB21B" w14:textId="77777777">
        <w:trPr>
          <w:jc w:val="center"/>
        </w:trPr>
        <w:tc>
          <w:tcPr>
            <w:tcW w:w="0" w:type="auto"/>
            <w:gridSpan w:val="3"/>
            <w:shd w:val="clear" w:color="auto" w:fill="CCEEFF"/>
            <w:tcMar>
              <w:top w:w="40" w:type="dxa"/>
              <w:left w:w="20" w:type="dxa"/>
              <w:bottom w:w="40" w:type="dxa"/>
              <w:right w:w="20" w:type="dxa"/>
            </w:tcMar>
            <w:vAlign w:val="bottom"/>
          </w:tcPr>
          <w:p w14:paraId="74DDB209" w14:textId="77777777" w:rsidR="00584EC1" w:rsidRDefault="00871F8D">
            <w:pPr>
              <w:textAlignment w:val="bottom"/>
            </w:pPr>
            <w:r>
              <w:rPr>
                <w:rFonts w:ascii="Arial" w:eastAsia="宋体" w:hAnsi="Arial" w:cs="Arial"/>
                <w:color w:val="000000"/>
                <w:sz w:val="15"/>
                <w:szCs w:val="15"/>
              </w:rPr>
              <w:t>Cash dividends declared:</w:t>
            </w:r>
          </w:p>
        </w:tc>
        <w:tc>
          <w:tcPr>
            <w:tcW w:w="0" w:type="auto"/>
            <w:gridSpan w:val="3"/>
            <w:shd w:val="clear" w:color="auto" w:fill="CCEEFF"/>
            <w:tcMar>
              <w:top w:w="0" w:type="dxa"/>
              <w:left w:w="20" w:type="dxa"/>
              <w:bottom w:w="0" w:type="dxa"/>
              <w:right w:w="20" w:type="dxa"/>
            </w:tcMar>
            <w:vAlign w:val="bottom"/>
          </w:tcPr>
          <w:p w14:paraId="74DDB20A"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20B"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20C"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20D"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20E"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20F"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210"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211"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212"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213"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214"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215"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216"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217"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218"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219"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21A" w14:textId="77777777" w:rsidR="00584EC1" w:rsidRDefault="00584EC1">
            <w:pPr>
              <w:rPr>
                <w:rFonts w:ascii="宋体"/>
              </w:rPr>
            </w:pPr>
          </w:p>
        </w:tc>
      </w:tr>
      <w:tr w:rsidR="00584EC1" w14:paraId="74DDB230" w14:textId="77777777">
        <w:trPr>
          <w:jc w:val="center"/>
        </w:trPr>
        <w:tc>
          <w:tcPr>
            <w:tcW w:w="0" w:type="auto"/>
            <w:gridSpan w:val="3"/>
            <w:shd w:val="clear" w:color="auto" w:fill="FFFFFF"/>
            <w:tcMar>
              <w:top w:w="40" w:type="dxa"/>
              <w:left w:w="20" w:type="dxa"/>
              <w:bottom w:w="40" w:type="dxa"/>
              <w:right w:w="20" w:type="dxa"/>
            </w:tcMar>
            <w:vAlign w:val="bottom"/>
          </w:tcPr>
          <w:p w14:paraId="74DDB21C" w14:textId="77777777" w:rsidR="00584EC1" w:rsidRDefault="00871F8D">
            <w:pPr>
              <w:textAlignment w:val="bottom"/>
            </w:pPr>
            <w:r>
              <w:rPr>
                <w:rFonts w:ascii="Arial" w:eastAsia="宋体" w:hAnsi="Arial" w:cs="Arial"/>
                <w:color w:val="000000"/>
                <w:sz w:val="15"/>
                <w:szCs w:val="15"/>
              </w:rPr>
              <w:t>Common stock - $0.52 per share</w:t>
            </w:r>
          </w:p>
        </w:tc>
        <w:tc>
          <w:tcPr>
            <w:tcW w:w="0" w:type="auto"/>
            <w:gridSpan w:val="3"/>
            <w:shd w:val="clear" w:color="auto" w:fill="FFFFFF"/>
            <w:tcMar>
              <w:top w:w="0" w:type="dxa"/>
              <w:left w:w="20" w:type="dxa"/>
              <w:bottom w:w="0" w:type="dxa"/>
              <w:right w:w="20" w:type="dxa"/>
            </w:tcMar>
            <w:vAlign w:val="bottom"/>
          </w:tcPr>
          <w:p w14:paraId="74DDB21D"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21E"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21F"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220"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221"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22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223"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22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225" w14:textId="77777777" w:rsidR="00584EC1" w:rsidRDefault="00871F8D">
            <w:pPr>
              <w:jc w:val="right"/>
              <w:textAlignment w:val="bottom"/>
            </w:pPr>
            <w:r>
              <w:rPr>
                <w:rFonts w:ascii="Arial" w:eastAsia="宋体" w:hAnsi="Arial" w:cs="Arial"/>
                <w:color w:val="000000"/>
                <w:sz w:val="15"/>
                <w:szCs w:val="15"/>
              </w:rPr>
              <w:t>(184)</w:t>
            </w:r>
          </w:p>
        </w:tc>
        <w:tc>
          <w:tcPr>
            <w:tcW w:w="0" w:type="auto"/>
            <w:shd w:val="clear" w:color="auto" w:fill="FFFFFF"/>
            <w:tcMar>
              <w:top w:w="40" w:type="dxa"/>
              <w:left w:w="0" w:type="dxa"/>
              <w:bottom w:w="40" w:type="dxa"/>
              <w:right w:w="20" w:type="dxa"/>
            </w:tcMar>
            <w:vAlign w:val="bottom"/>
          </w:tcPr>
          <w:p w14:paraId="74DDB22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227"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228"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229"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22A"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22B"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22C"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22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22E" w14:textId="77777777" w:rsidR="00584EC1" w:rsidRDefault="00871F8D">
            <w:pPr>
              <w:jc w:val="right"/>
              <w:textAlignment w:val="bottom"/>
            </w:pPr>
            <w:r>
              <w:rPr>
                <w:rFonts w:ascii="Arial" w:eastAsia="宋体" w:hAnsi="Arial" w:cs="Arial"/>
                <w:color w:val="000000"/>
                <w:sz w:val="15"/>
                <w:szCs w:val="15"/>
              </w:rPr>
              <w:t>(184)</w:t>
            </w:r>
          </w:p>
        </w:tc>
        <w:tc>
          <w:tcPr>
            <w:tcW w:w="0" w:type="auto"/>
            <w:shd w:val="clear" w:color="auto" w:fill="FFFFFF"/>
            <w:tcMar>
              <w:top w:w="40" w:type="dxa"/>
              <w:left w:w="0" w:type="dxa"/>
              <w:bottom w:w="40" w:type="dxa"/>
              <w:right w:w="20" w:type="dxa"/>
            </w:tcMar>
            <w:vAlign w:val="bottom"/>
          </w:tcPr>
          <w:p w14:paraId="74DDB22F" w14:textId="77777777" w:rsidR="00584EC1" w:rsidRDefault="00584EC1">
            <w:pPr>
              <w:jc w:val="right"/>
              <w:rPr>
                <w:rFonts w:ascii="宋体"/>
              </w:rPr>
            </w:pPr>
          </w:p>
        </w:tc>
      </w:tr>
      <w:tr w:rsidR="00584EC1" w14:paraId="74DDB245" w14:textId="77777777">
        <w:trPr>
          <w:jc w:val="center"/>
        </w:trPr>
        <w:tc>
          <w:tcPr>
            <w:tcW w:w="0" w:type="auto"/>
            <w:gridSpan w:val="3"/>
            <w:shd w:val="clear" w:color="auto" w:fill="CCEEFF"/>
            <w:tcMar>
              <w:top w:w="40" w:type="dxa"/>
              <w:left w:w="140" w:type="dxa"/>
              <w:bottom w:w="40" w:type="dxa"/>
              <w:right w:w="20" w:type="dxa"/>
            </w:tcMar>
            <w:vAlign w:val="bottom"/>
          </w:tcPr>
          <w:p w14:paraId="74DDB231" w14:textId="77777777" w:rsidR="00584EC1" w:rsidRDefault="00871F8D">
            <w:pPr>
              <w:textAlignment w:val="bottom"/>
            </w:pPr>
            <w:r>
              <w:rPr>
                <w:rFonts w:ascii="Arial" w:eastAsia="宋体" w:hAnsi="Arial" w:cs="Arial"/>
                <w:color w:val="000000"/>
                <w:sz w:val="15"/>
                <w:szCs w:val="15"/>
              </w:rPr>
              <w:t>Preferred stock</w:t>
            </w:r>
          </w:p>
        </w:tc>
        <w:tc>
          <w:tcPr>
            <w:tcW w:w="0" w:type="auto"/>
            <w:gridSpan w:val="3"/>
            <w:shd w:val="clear" w:color="auto" w:fill="CCEEFF"/>
            <w:tcMar>
              <w:top w:w="0" w:type="dxa"/>
              <w:left w:w="20" w:type="dxa"/>
              <w:bottom w:w="0" w:type="dxa"/>
              <w:right w:w="20" w:type="dxa"/>
            </w:tcMar>
            <w:vAlign w:val="bottom"/>
          </w:tcPr>
          <w:p w14:paraId="74DDB232"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233"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234"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235"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236"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237"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238"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23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23A" w14:textId="77777777" w:rsidR="00584EC1" w:rsidRDefault="00871F8D">
            <w:pPr>
              <w:jc w:val="right"/>
              <w:textAlignment w:val="bottom"/>
            </w:pPr>
            <w:r>
              <w:rPr>
                <w:rFonts w:ascii="Arial" w:eastAsia="宋体" w:hAnsi="Arial" w:cs="Arial"/>
                <w:color w:val="000000"/>
                <w:sz w:val="15"/>
                <w:szCs w:val="15"/>
              </w:rPr>
              <w:t>(38)</w:t>
            </w:r>
          </w:p>
        </w:tc>
        <w:tc>
          <w:tcPr>
            <w:tcW w:w="0" w:type="auto"/>
            <w:shd w:val="clear" w:color="auto" w:fill="CCEEFF"/>
            <w:tcMar>
              <w:top w:w="40" w:type="dxa"/>
              <w:left w:w="0" w:type="dxa"/>
              <w:bottom w:w="40" w:type="dxa"/>
              <w:right w:w="20" w:type="dxa"/>
            </w:tcMar>
            <w:vAlign w:val="bottom"/>
          </w:tcPr>
          <w:p w14:paraId="74DDB23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23C"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23D"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23E"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23F"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240"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241"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242"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243" w14:textId="77777777" w:rsidR="00584EC1" w:rsidRDefault="00871F8D">
            <w:pPr>
              <w:jc w:val="right"/>
              <w:textAlignment w:val="bottom"/>
            </w:pPr>
            <w:r>
              <w:rPr>
                <w:rFonts w:ascii="Arial" w:eastAsia="宋体" w:hAnsi="Arial" w:cs="Arial"/>
                <w:color w:val="000000"/>
                <w:sz w:val="15"/>
                <w:szCs w:val="15"/>
              </w:rPr>
              <w:t>(38)</w:t>
            </w:r>
          </w:p>
        </w:tc>
        <w:tc>
          <w:tcPr>
            <w:tcW w:w="0" w:type="auto"/>
            <w:shd w:val="clear" w:color="auto" w:fill="CCEEFF"/>
            <w:tcMar>
              <w:top w:w="40" w:type="dxa"/>
              <w:left w:w="0" w:type="dxa"/>
              <w:bottom w:w="40" w:type="dxa"/>
              <w:right w:w="20" w:type="dxa"/>
            </w:tcMar>
            <w:vAlign w:val="bottom"/>
          </w:tcPr>
          <w:p w14:paraId="74DDB244" w14:textId="77777777" w:rsidR="00584EC1" w:rsidRDefault="00584EC1">
            <w:pPr>
              <w:jc w:val="right"/>
              <w:rPr>
                <w:rFonts w:ascii="宋体"/>
              </w:rPr>
            </w:pPr>
          </w:p>
        </w:tc>
      </w:tr>
      <w:tr w:rsidR="00584EC1" w14:paraId="74DDB25C" w14:textId="77777777">
        <w:trPr>
          <w:jc w:val="center"/>
        </w:trPr>
        <w:tc>
          <w:tcPr>
            <w:tcW w:w="0" w:type="auto"/>
            <w:gridSpan w:val="3"/>
            <w:shd w:val="clear" w:color="auto" w:fill="FFFFFF"/>
            <w:tcMar>
              <w:top w:w="40" w:type="dxa"/>
              <w:left w:w="20" w:type="dxa"/>
              <w:bottom w:w="40" w:type="dxa"/>
              <w:right w:w="20" w:type="dxa"/>
            </w:tcMar>
            <w:vAlign w:val="bottom"/>
          </w:tcPr>
          <w:p w14:paraId="74DDB246" w14:textId="77777777" w:rsidR="00584EC1" w:rsidRDefault="00871F8D">
            <w:pPr>
              <w:textAlignment w:val="bottom"/>
            </w:pPr>
            <w:r>
              <w:rPr>
                <w:rFonts w:ascii="Arial" w:eastAsia="宋体" w:hAnsi="Arial" w:cs="Arial"/>
                <w:color w:val="000000"/>
                <w:sz w:val="15"/>
                <w:szCs w:val="15"/>
              </w:rPr>
              <w:t>Common stock awards exercised</w:t>
            </w:r>
          </w:p>
        </w:tc>
        <w:tc>
          <w:tcPr>
            <w:tcW w:w="0" w:type="auto"/>
            <w:gridSpan w:val="3"/>
            <w:shd w:val="clear" w:color="auto" w:fill="FFFFFF"/>
            <w:tcMar>
              <w:top w:w="0" w:type="dxa"/>
              <w:left w:w="20" w:type="dxa"/>
              <w:bottom w:w="0" w:type="dxa"/>
              <w:right w:w="20" w:type="dxa"/>
            </w:tcMar>
            <w:vAlign w:val="bottom"/>
          </w:tcPr>
          <w:p w14:paraId="74DDB247"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248"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249"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24A"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24B"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24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24D" w14:textId="77777777" w:rsidR="00584EC1" w:rsidRDefault="00871F8D">
            <w:pPr>
              <w:jc w:val="right"/>
              <w:textAlignment w:val="bottom"/>
            </w:pPr>
            <w:r>
              <w:rPr>
                <w:rFonts w:ascii="Arial" w:eastAsia="宋体" w:hAnsi="Arial" w:cs="Arial"/>
                <w:color w:val="000000"/>
                <w:sz w:val="15"/>
                <w:szCs w:val="15"/>
              </w:rPr>
              <w:t>13 </w:t>
            </w:r>
          </w:p>
        </w:tc>
        <w:tc>
          <w:tcPr>
            <w:tcW w:w="0" w:type="auto"/>
            <w:shd w:val="clear" w:color="auto" w:fill="FFFFFF"/>
            <w:tcMar>
              <w:top w:w="40" w:type="dxa"/>
              <w:left w:w="0" w:type="dxa"/>
              <w:bottom w:w="40" w:type="dxa"/>
              <w:right w:w="20" w:type="dxa"/>
            </w:tcMar>
            <w:vAlign w:val="bottom"/>
          </w:tcPr>
          <w:p w14:paraId="74DDB24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24F"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250"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251"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25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25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254" w14:textId="77777777" w:rsidR="00584EC1" w:rsidRDefault="00871F8D">
            <w:pPr>
              <w:jc w:val="right"/>
              <w:textAlignment w:val="bottom"/>
            </w:pPr>
            <w:r>
              <w:rPr>
                <w:rFonts w:ascii="Arial" w:eastAsia="宋体" w:hAnsi="Arial" w:cs="Arial"/>
                <w:color w:val="000000"/>
                <w:sz w:val="15"/>
                <w:szCs w:val="15"/>
              </w:rPr>
              <w:t>(417)</w:t>
            </w:r>
          </w:p>
        </w:tc>
        <w:tc>
          <w:tcPr>
            <w:tcW w:w="0" w:type="auto"/>
            <w:shd w:val="clear" w:color="auto" w:fill="FFFFFF"/>
            <w:tcMar>
              <w:top w:w="40" w:type="dxa"/>
              <w:left w:w="0" w:type="dxa"/>
              <w:bottom w:w="40" w:type="dxa"/>
              <w:right w:w="20" w:type="dxa"/>
            </w:tcMar>
            <w:vAlign w:val="bottom"/>
          </w:tcPr>
          <w:p w14:paraId="74DDB25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25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257" w14:textId="77777777" w:rsidR="00584EC1" w:rsidRDefault="00871F8D">
            <w:pPr>
              <w:jc w:val="right"/>
              <w:textAlignment w:val="bottom"/>
            </w:pPr>
            <w:r>
              <w:rPr>
                <w:rFonts w:ascii="Arial" w:eastAsia="宋体" w:hAnsi="Arial" w:cs="Arial"/>
                <w:color w:val="000000"/>
                <w:sz w:val="15"/>
                <w:szCs w:val="15"/>
              </w:rPr>
              <w:t>19 </w:t>
            </w:r>
          </w:p>
        </w:tc>
        <w:tc>
          <w:tcPr>
            <w:tcW w:w="0" w:type="auto"/>
            <w:shd w:val="clear" w:color="auto" w:fill="FFFFFF"/>
            <w:tcMar>
              <w:top w:w="40" w:type="dxa"/>
              <w:left w:w="0" w:type="dxa"/>
              <w:bottom w:w="40" w:type="dxa"/>
              <w:right w:w="20" w:type="dxa"/>
            </w:tcMar>
            <w:vAlign w:val="bottom"/>
          </w:tcPr>
          <w:p w14:paraId="74DDB25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25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25A" w14:textId="77777777" w:rsidR="00584EC1" w:rsidRDefault="00871F8D">
            <w:pPr>
              <w:jc w:val="right"/>
              <w:textAlignment w:val="bottom"/>
            </w:pPr>
            <w:r>
              <w:rPr>
                <w:rFonts w:ascii="Arial" w:eastAsia="宋体" w:hAnsi="Arial" w:cs="Arial"/>
                <w:color w:val="000000"/>
                <w:sz w:val="15"/>
                <w:szCs w:val="15"/>
              </w:rPr>
              <w:t>32 </w:t>
            </w:r>
          </w:p>
        </w:tc>
        <w:tc>
          <w:tcPr>
            <w:tcW w:w="0" w:type="auto"/>
            <w:shd w:val="clear" w:color="auto" w:fill="FFFFFF"/>
            <w:tcMar>
              <w:top w:w="40" w:type="dxa"/>
              <w:left w:w="0" w:type="dxa"/>
              <w:bottom w:w="40" w:type="dxa"/>
              <w:right w:w="20" w:type="dxa"/>
            </w:tcMar>
            <w:vAlign w:val="bottom"/>
          </w:tcPr>
          <w:p w14:paraId="74DDB25B" w14:textId="77777777" w:rsidR="00584EC1" w:rsidRDefault="00584EC1">
            <w:pPr>
              <w:jc w:val="right"/>
              <w:rPr>
                <w:rFonts w:ascii="宋体"/>
              </w:rPr>
            </w:pPr>
          </w:p>
        </w:tc>
      </w:tr>
      <w:tr w:rsidR="00584EC1" w14:paraId="74DDB273" w14:textId="77777777">
        <w:trPr>
          <w:jc w:val="center"/>
        </w:trPr>
        <w:tc>
          <w:tcPr>
            <w:tcW w:w="0" w:type="auto"/>
            <w:gridSpan w:val="3"/>
            <w:shd w:val="clear" w:color="auto" w:fill="CCEEFF"/>
            <w:tcMar>
              <w:top w:w="40" w:type="dxa"/>
              <w:left w:w="20" w:type="dxa"/>
              <w:bottom w:w="40" w:type="dxa"/>
              <w:right w:w="20" w:type="dxa"/>
            </w:tcMar>
            <w:vAlign w:val="bottom"/>
          </w:tcPr>
          <w:p w14:paraId="74DDB25D" w14:textId="77777777" w:rsidR="00584EC1" w:rsidRDefault="00871F8D">
            <w:pPr>
              <w:textAlignment w:val="bottom"/>
            </w:pPr>
            <w:r>
              <w:rPr>
                <w:rFonts w:ascii="Arial" w:eastAsia="宋体" w:hAnsi="Arial" w:cs="Arial"/>
                <w:color w:val="000000"/>
                <w:sz w:val="15"/>
                <w:szCs w:val="15"/>
              </w:rPr>
              <w:t>Other</w:t>
            </w:r>
          </w:p>
        </w:tc>
        <w:tc>
          <w:tcPr>
            <w:tcW w:w="0" w:type="auto"/>
            <w:gridSpan w:val="3"/>
            <w:shd w:val="clear" w:color="auto" w:fill="CCEEFF"/>
            <w:tcMar>
              <w:top w:w="0" w:type="dxa"/>
              <w:left w:w="20" w:type="dxa"/>
              <w:bottom w:w="0" w:type="dxa"/>
              <w:right w:w="20" w:type="dxa"/>
            </w:tcMar>
            <w:vAlign w:val="bottom"/>
          </w:tcPr>
          <w:p w14:paraId="74DDB25E"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25F"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260"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261"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262"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263"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264"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26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266" w14:textId="77777777" w:rsidR="00584EC1" w:rsidRDefault="00871F8D">
            <w:pPr>
              <w:jc w:val="right"/>
              <w:textAlignment w:val="bottom"/>
            </w:pPr>
            <w:r>
              <w:rPr>
                <w:rFonts w:ascii="Arial" w:eastAsia="宋体" w:hAnsi="Arial" w:cs="Arial"/>
                <w:color w:val="000000"/>
                <w:sz w:val="15"/>
                <w:szCs w:val="15"/>
              </w:rPr>
              <w:t>1 </w:t>
            </w:r>
          </w:p>
        </w:tc>
        <w:tc>
          <w:tcPr>
            <w:tcW w:w="0" w:type="auto"/>
            <w:shd w:val="clear" w:color="auto" w:fill="CCEEFF"/>
            <w:tcMar>
              <w:top w:w="40" w:type="dxa"/>
              <w:left w:w="0" w:type="dxa"/>
              <w:bottom w:w="40" w:type="dxa"/>
              <w:right w:w="20" w:type="dxa"/>
            </w:tcMar>
            <w:vAlign w:val="bottom"/>
          </w:tcPr>
          <w:p w14:paraId="74DDB26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268"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269"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26A"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26B" w14:textId="77777777" w:rsidR="00584EC1" w:rsidRDefault="00871F8D">
            <w:pPr>
              <w:jc w:val="right"/>
              <w:textAlignment w:val="bottom"/>
            </w:pPr>
            <w:r>
              <w:rPr>
                <w:rFonts w:ascii="Arial" w:eastAsia="宋体" w:hAnsi="Arial" w:cs="Arial"/>
                <w:color w:val="000000"/>
                <w:sz w:val="15"/>
                <w:szCs w:val="15"/>
              </w:rPr>
              <w:t>3 </w:t>
            </w:r>
          </w:p>
        </w:tc>
        <w:tc>
          <w:tcPr>
            <w:tcW w:w="0" w:type="auto"/>
            <w:shd w:val="clear" w:color="auto" w:fill="CCEEFF"/>
            <w:tcMar>
              <w:top w:w="40" w:type="dxa"/>
              <w:left w:w="0" w:type="dxa"/>
              <w:bottom w:w="40" w:type="dxa"/>
              <w:right w:w="20" w:type="dxa"/>
            </w:tcMar>
            <w:vAlign w:val="bottom"/>
          </w:tcPr>
          <w:p w14:paraId="74DDB26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26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26E"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B26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27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271" w14:textId="77777777" w:rsidR="00584EC1" w:rsidRDefault="00871F8D">
            <w:pPr>
              <w:jc w:val="right"/>
              <w:textAlignment w:val="bottom"/>
            </w:pPr>
            <w:r>
              <w:rPr>
                <w:rFonts w:ascii="Arial" w:eastAsia="宋体" w:hAnsi="Arial" w:cs="Arial"/>
                <w:color w:val="000000"/>
                <w:sz w:val="15"/>
                <w:szCs w:val="15"/>
              </w:rPr>
              <w:t>1 </w:t>
            </w:r>
          </w:p>
        </w:tc>
        <w:tc>
          <w:tcPr>
            <w:tcW w:w="0" w:type="auto"/>
            <w:shd w:val="clear" w:color="auto" w:fill="CCEEFF"/>
            <w:tcMar>
              <w:top w:w="40" w:type="dxa"/>
              <w:left w:w="0" w:type="dxa"/>
              <w:bottom w:w="40" w:type="dxa"/>
              <w:right w:w="20" w:type="dxa"/>
            </w:tcMar>
            <w:vAlign w:val="bottom"/>
          </w:tcPr>
          <w:p w14:paraId="74DDB272" w14:textId="77777777" w:rsidR="00584EC1" w:rsidRDefault="00584EC1">
            <w:pPr>
              <w:jc w:val="right"/>
              <w:rPr>
                <w:rFonts w:ascii="宋体"/>
              </w:rPr>
            </w:pPr>
          </w:p>
        </w:tc>
      </w:tr>
      <w:tr w:rsidR="00871F8D" w14:paraId="74DDB296" w14:textId="77777777">
        <w:trPr>
          <w:jc w:val="center"/>
        </w:trPr>
        <w:tc>
          <w:tcPr>
            <w:tcW w:w="0" w:type="auto"/>
            <w:gridSpan w:val="3"/>
            <w:shd w:val="clear" w:color="auto" w:fill="FFFFFF"/>
            <w:tcMar>
              <w:top w:w="40" w:type="dxa"/>
              <w:left w:w="20" w:type="dxa"/>
              <w:bottom w:w="40" w:type="dxa"/>
              <w:right w:w="20" w:type="dxa"/>
            </w:tcMar>
            <w:vAlign w:val="bottom"/>
          </w:tcPr>
          <w:p w14:paraId="74DDB274" w14:textId="77777777" w:rsidR="00584EC1" w:rsidRDefault="00871F8D">
            <w:pPr>
              <w:textAlignment w:val="bottom"/>
            </w:pPr>
            <w:r>
              <w:rPr>
                <w:rFonts w:ascii="Arial" w:eastAsia="宋体" w:hAnsi="Arial" w:cs="Arial"/>
                <w:b/>
                <w:bCs/>
                <w:color w:val="000000"/>
                <w:sz w:val="15"/>
                <w:szCs w:val="15"/>
              </w:rPr>
              <w:t>Balance at September 30, 2020</w:t>
            </w:r>
          </w:p>
        </w:tc>
        <w:tc>
          <w:tcPr>
            <w:tcW w:w="0" w:type="auto"/>
            <w:tcBorders>
              <w:top w:val="single" w:sz="8" w:space="0" w:color="000000"/>
            </w:tcBorders>
            <w:shd w:val="clear" w:color="auto" w:fill="FFFFFF"/>
            <w:tcMar>
              <w:top w:w="40" w:type="dxa"/>
              <w:left w:w="20" w:type="dxa"/>
              <w:bottom w:w="40" w:type="dxa"/>
              <w:right w:w="0" w:type="dxa"/>
            </w:tcMar>
            <w:vAlign w:val="bottom"/>
          </w:tcPr>
          <w:p w14:paraId="74DDB275"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B276" w14:textId="77777777" w:rsidR="00584EC1" w:rsidRDefault="00871F8D">
            <w:pPr>
              <w:jc w:val="right"/>
              <w:textAlignment w:val="bottom"/>
            </w:pPr>
            <w:r>
              <w:rPr>
                <w:rFonts w:ascii="Arial" w:eastAsia="宋体" w:hAnsi="Arial" w:cs="Arial"/>
                <w:color w:val="000000"/>
                <w:sz w:val="15"/>
                <w:szCs w:val="15"/>
              </w:rPr>
              <w:t>2,471 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B27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278"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B279" w14:textId="77777777" w:rsidR="00584EC1" w:rsidRDefault="00871F8D">
            <w:pPr>
              <w:jc w:val="right"/>
              <w:textAlignment w:val="bottom"/>
            </w:pPr>
            <w:r>
              <w:rPr>
                <w:rFonts w:ascii="Arial" w:eastAsia="宋体" w:hAnsi="Arial" w:cs="Arial"/>
                <w:color w:val="000000"/>
                <w:sz w:val="15"/>
                <w:szCs w:val="15"/>
              </w:rPr>
              <w:t>503,880 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B27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27B"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B27C"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B27D" w14:textId="77777777" w:rsidR="00584EC1" w:rsidRDefault="00871F8D">
            <w:pPr>
              <w:jc w:val="right"/>
              <w:textAlignment w:val="bottom"/>
            </w:pPr>
            <w:r>
              <w:rPr>
                <w:rFonts w:ascii="Arial" w:eastAsia="宋体" w:hAnsi="Arial" w:cs="Arial"/>
                <w:color w:val="000000"/>
                <w:sz w:val="15"/>
                <w:szCs w:val="15"/>
              </w:rPr>
              <w:t>504 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B27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27F"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B280"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B281" w14:textId="77777777" w:rsidR="00584EC1" w:rsidRDefault="00871F8D">
            <w:pPr>
              <w:jc w:val="right"/>
              <w:textAlignment w:val="bottom"/>
            </w:pPr>
            <w:r>
              <w:rPr>
                <w:rFonts w:ascii="Arial" w:eastAsia="宋体" w:hAnsi="Arial" w:cs="Arial"/>
                <w:color w:val="000000"/>
                <w:sz w:val="15"/>
                <w:szCs w:val="15"/>
              </w:rPr>
              <w:t>10,192 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B28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283"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B284"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B285" w14:textId="77777777" w:rsidR="00584EC1" w:rsidRDefault="00871F8D">
            <w:pPr>
              <w:jc w:val="right"/>
              <w:textAlignment w:val="bottom"/>
            </w:pPr>
            <w:r>
              <w:rPr>
                <w:rFonts w:ascii="Arial" w:eastAsia="宋体" w:hAnsi="Arial" w:cs="Arial"/>
                <w:color w:val="000000"/>
                <w:sz w:val="15"/>
                <w:szCs w:val="15"/>
              </w:rPr>
              <w:t>23,128 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B28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287"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B288"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B289" w14:textId="77777777" w:rsidR="00584EC1" w:rsidRDefault="00871F8D">
            <w:pPr>
              <w:jc w:val="right"/>
              <w:textAlignment w:val="bottom"/>
            </w:pPr>
            <w:r>
              <w:rPr>
                <w:rFonts w:ascii="Arial" w:eastAsia="宋体" w:hAnsi="Arial" w:cs="Arial"/>
                <w:color w:val="000000"/>
                <w:sz w:val="15"/>
                <w:szCs w:val="15"/>
              </w:rPr>
              <w:t>(111)</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B28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28B"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B28C" w14:textId="77777777" w:rsidR="00584EC1" w:rsidRDefault="00871F8D">
            <w:pPr>
              <w:jc w:val="right"/>
              <w:textAlignment w:val="bottom"/>
            </w:pPr>
            <w:r>
              <w:rPr>
                <w:rFonts w:ascii="Arial" w:eastAsia="宋体" w:hAnsi="Arial" w:cs="Arial"/>
                <w:color w:val="000000"/>
                <w:sz w:val="15"/>
                <w:szCs w:val="15"/>
              </w:rPr>
              <w:t>151,082 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B28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28E"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B28F"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B290" w14:textId="77777777" w:rsidR="00584EC1" w:rsidRDefault="00871F8D">
            <w:pPr>
              <w:jc w:val="right"/>
              <w:textAlignment w:val="bottom"/>
            </w:pPr>
            <w:r>
              <w:rPr>
                <w:rFonts w:ascii="Arial" w:eastAsia="宋体" w:hAnsi="Arial" w:cs="Arial"/>
                <w:color w:val="000000"/>
                <w:sz w:val="15"/>
                <w:szCs w:val="15"/>
              </w:rPr>
              <w:t>(10,626)</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B29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292"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B293"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B294" w14:textId="77777777" w:rsidR="00584EC1" w:rsidRDefault="00871F8D">
            <w:pPr>
              <w:jc w:val="right"/>
              <w:textAlignment w:val="bottom"/>
            </w:pPr>
            <w:r>
              <w:rPr>
                <w:rFonts w:ascii="Arial" w:eastAsia="宋体" w:hAnsi="Arial" w:cs="Arial"/>
                <w:color w:val="000000"/>
                <w:sz w:val="15"/>
                <w:szCs w:val="15"/>
              </w:rPr>
              <w:t>25,558 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B295" w14:textId="77777777" w:rsidR="00584EC1" w:rsidRDefault="00584EC1">
            <w:pPr>
              <w:jc w:val="right"/>
              <w:rPr>
                <w:rFonts w:ascii="宋体"/>
              </w:rPr>
            </w:pPr>
          </w:p>
        </w:tc>
      </w:tr>
      <w:tr w:rsidR="00584EC1" w14:paraId="74DDB2A9" w14:textId="77777777">
        <w:trPr>
          <w:trHeight w:val="60"/>
          <w:jc w:val="center"/>
        </w:trPr>
        <w:tc>
          <w:tcPr>
            <w:tcW w:w="0" w:type="auto"/>
            <w:gridSpan w:val="3"/>
            <w:shd w:val="clear" w:color="auto" w:fill="auto"/>
            <w:tcMar>
              <w:top w:w="0" w:type="dxa"/>
              <w:left w:w="20" w:type="dxa"/>
              <w:bottom w:w="0" w:type="dxa"/>
              <w:right w:w="20" w:type="dxa"/>
            </w:tcMar>
            <w:vAlign w:val="bottom"/>
          </w:tcPr>
          <w:p w14:paraId="74DDB297"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DB298"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B299"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DB29A"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B29B"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DB29C"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B29D"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DB29E"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B29F"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DB2A0"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B2A1"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DB2A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B2A3"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DB2A4"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B2A5"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DB2A6"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B2A7"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DB2A8" w14:textId="77777777" w:rsidR="00584EC1" w:rsidRDefault="00584EC1">
            <w:pPr>
              <w:rPr>
                <w:rFonts w:ascii="宋体"/>
              </w:rPr>
            </w:pPr>
          </w:p>
        </w:tc>
      </w:tr>
      <w:tr w:rsidR="00871F8D" w14:paraId="74DDB2CC" w14:textId="77777777">
        <w:trPr>
          <w:jc w:val="center"/>
        </w:trPr>
        <w:tc>
          <w:tcPr>
            <w:tcW w:w="0" w:type="auto"/>
            <w:gridSpan w:val="3"/>
            <w:shd w:val="clear" w:color="auto" w:fill="CCEEFF"/>
            <w:tcMar>
              <w:top w:w="40" w:type="dxa"/>
              <w:left w:w="20" w:type="dxa"/>
              <w:bottom w:w="40" w:type="dxa"/>
              <w:right w:w="20" w:type="dxa"/>
            </w:tcMar>
            <w:vAlign w:val="bottom"/>
          </w:tcPr>
          <w:p w14:paraId="74DDB2AA" w14:textId="77777777" w:rsidR="00584EC1" w:rsidRDefault="00871F8D">
            <w:pPr>
              <w:textAlignment w:val="bottom"/>
            </w:pPr>
            <w:r>
              <w:rPr>
                <w:rFonts w:ascii="Arial" w:eastAsia="宋体" w:hAnsi="Arial" w:cs="Arial"/>
                <w:b/>
                <w:bCs/>
                <w:color w:val="000000"/>
                <w:sz w:val="15"/>
                <w:szCs w:val="15"/>
              </w:rPr>
              <w:t>Balance at December 31, 2020</w:t>
            </w:r>
          </w:p>
        </w:tc>
        <w:tc>
          <w:tcPr>
            <w:tcW w:w="0" w:type="auto"/>
            <w:shd w:val="clear" w:color="auto" w:fill="CCEEFF"/>
            <w:tcMar>
              <w:top w:w="40" w:type="dxa"/>
              <w:left w:w="20" w:type="dxa"/>
              <w:bottom w:w="40" w:type="dxa"/>
              <w:right w:w="0" w:type="dxa"/>
            </w:tcMar>
            <w:vAlign w:val="bottom"/>
          </w:tcPr>
          <w:p w14:paraId="74DDB2AB" w14:textId="77777777" w:rsidR="00584EC1" w:rsidRDefault="00871F8D">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4DDB2AC" w14:textId="77777777" w:rsidR="00584EC1" w:rsidRDefault="00871F8D">
            <w:pPr>
              <w:jc w:val="right"/>
              <w:textAlignment w:val="bottom"/>
            </w:pPr>
            <w:r>
              <w:rPr>
                <w:rFonts w:ascii="Arial" w:eastAsia="宋体" w:hAnsi="Arial" w:cs="Arial"/>
                <w:color w:val="000000"/>
                <w:sz w:val="15"/>
                <w:szCs w:val="15"/>
              </w:rPr>
              <w:t>2,471 </w:t>
            </w:r>
          </w:p>
        </w:tc>
        <w:tc>
          <w:tcPr>
            <w:tcW w:w="0" w:type="auto"/>
            <w:shd w:val="clear" w:color="auto" w:fill="CCEEFF"/>
            <w:tcMar>
              <w:top w:w="40" w:type="dxa"/>
              <w:left w:w="0" w:type="dxa"/>
              <w:bottom w:w="40" w:type="dxa"/>
              <w:right w:w="20" w:type="dxa"/>
            </w:tcMar>
            <w:vAlign w:val="bottom"/>
          </w:tcPr>
          <w:p w14:paraId="74DDB2A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2AE"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2AF" w14:textId="77777777" w:rsidR="00584EC1" w:rsidRDefault="00871F8D">
            <w:pPr>
              <w:jc w:val="right"/>
              <w:textAlignment w:val="bottom"/>
            </w:pPr>
            <w:r>
              <w:rPr>
                <w:rFonts w:ascii="Arial" w:eastAsia="宋体" w:hAnsi="Arial" w:cs="Arial"/>
                <w:color w:val="000000"/>
                <w:sz w:val="15"/>
                <w:szCs w:val="15"/>
              </w:rPr>
              <w:t>503,880 </w:t>
            </w:r>
          </w:p>
        </w:tc>
        <w:tc>
          <w:tcPr>
            <w:tcW w:w="0" w:type="auto"/>
            <w:shd w:val="clear" w:color="auto" w:fill="CCEEFF"/>
            <w:tcMar>
              <w:top w:w="40" w:type="dxa"/>
              <w:left w:w="0" w:type="dxa"/>
              <w:bottom w:w="40" w:type="dxa"/>
              <w:right w:w="20" w:type="dxa"/>
            </w:tcMar>
            <w:vAlign w:val="bottom"/>
          </w:tcPr>
          <w:p w14:paraId="74DDB2B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2B1"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B2B2" w14:textId="77777777" w:rsidR="00584EC1" w:rsidRDefault="00871F8D">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4DDB2B3" w14:textId="77777777" w:rsidR="00584EC1" w:rsidRDefault="00871F8D">
            <w:pPr>
              <w:jc w:val="right"/>
              <w:textAlignment w:val="bottom"/>
            </w:pPr>
            <w:r>
              <w:rPr>
                <w:rFonts w:ascii="Arial" w:eastAsia="宋体" w:hAnsi="Arial" w:cs="Arial"/>
                <w:color w:val="000000"/>
                <w:sz w:val="15"/>
                <w:szCs w:val="15"/>
              </w:rPr>
              <w:t>504 </w:t>
            </w:r>
          </w:p>
        </w:tc>
        <w:tc>
          <w:tcPr>
            <w:tcW w:w="0" w:type="auto"/>
            <w:shd w:val="clear" w:color="auto" w:fill="CCEEFF"/>
            <w:tcMar>
              <w:top w:w="40" w:type="dxa"/>
              <w:left w:w="0" w:type="dxa"/>
              <w:bottom w:w="40" w:type="dxa"/>
              <w:right w:w="20" w:type="dxa"/>
            </w:tcMar>
            <w:vAlign w:val="bottom"/>
          </w:tcPr>
          <w:p w14:paraId="74DDB2B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2B5"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B2B6" w14:textId="77777777" w:rsidR="00584EC1" w:rsidRDefault="00871F8D">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4DDB2B7" w14:textId="77777777" w:rsidR="00584EC1" w:rsidRDefault="00871F8D">
            <w:pPr>
              <w:jc w:val="right"/>
              <w:textAlignment w:val="bottom"/>
            </w:pPr>
            <w:r>
              <w:rPr>
                <w:rFonts w:ascii="Arial" w:eastAsia="宋体" w:hAnsi="Arial" w:cs="Arial"/>
                <w:color w:val="000000"/>
                <w:sz w:val="15"/>
                <w:szCs w:val="15"/>
              </w:rPr>
              <w:t>10,205 </w:t>
            </w:r>
          </w:p>
        </w:tc>
        <w:tc>
          <w:tcPr>
            <w:tcW w:w="0" w:type="auto"/>
            <w:shd w:val="clear" w:color="auto" w:fill="CCEEFF"/>
            <w:tcMar>
              <w:top w:w="40" w:type="dxa"/>
              <w:left w:w="0" w:type="dxa"/>
              <w:bottom w:w="40" w:type="dxa"/>
              <w:right w:w="20" w:type="dxa"/>
            </w:tcMar>
            <w:vAlign w:val="bottom"/>
          </w:tcPr>
          <w:p w14:paraId="74DDB2B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2B9"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B2BA" w14:textId="77777777" w:rsidR="00584EC1" w:rsidRDefault="00871F8D">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4DDB2BB" w14:textId="77777777" w:rsidR="00584EC1" w:rsidRDefault="00871F8D">
            <w:pPr>
              <w:jc w:val="right"/>
              <w:textAlignment w:val="bottom"/>
            </w:pPr>
            <w:r>
              <w:rPr>
                <w:rFonts w:ascii="Arial" w:eastAsia="宋体" w:hAnsi="Arial" w:cs="Arial"/>
                <w:color w:val="000000"/>
                <w:sz w:val="15"/>
                <w:szCs w:val="15"/>
              </w:rPr>
              <w:t>23,442 </w:t>
            </w:r>
          </w:p>
        </w:tc>
        <w:tc>
          <w:tcPr>
            <w:tcW w:w="0" w:type="auto"/>
            <w:shd w:val="clear" w:color="auto" w:fill="CCEEFF"/>
            <w:tcMar>
              <w:top w:w="40" w:type="dxa"/>
              <w:left w:w="0" w:type="dxa"/>
              <w:bottom w:w="40" w:type="dxa"/>
              <w:right w:w="20" w:type="dxa"/>
            </w:tcMar>
            <w:vAlign w:val="bottom"/>
          </w:tcPr>
          <w:p w14:paraId="74DDB2B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2BD"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B2BE" w14:textId="77777777" w:rsidR="00584EC1" w:rsidRDefault="00871F8D">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4DDB2BF" w14:textId="77777777" w:rsidR="00584EC1" w:rsidRDefault="00871F8D">
            <w:pPr>
              <w:jc w:val="right"/>
              <w:textAlignment w:val="bottom"/>
            </w:pPr>
            <w:r>
              <w:rPr>
                <w:rFonts w:ascii="Arial" w:eastAsia="宋体" w:hAnsi="Arial" w:cs="Arial"/>
                <w:color w:val="000000"/>
                <w:sz w:val="15"/>
                <w:szCs w:val="15"/>
              </w:rPr>
              <w:t>187 </w:t>
            </w:r>
          </w:p>
        </w:tc>
        <w:tc>
          <w:tcPr>
            <w:tcW w:w="0" w:type="auto"/>
            <w:shd w:val="clear" w:color="auto" w:fill="CCEEFF"/>
            <w:tcMar>
              <w:top w:w="40" w:type="dxa"/>
              <w:left w:w="0" w:type="dxa"/>
              <w:bottom w:w="40" w:type="dxa"/>
              <w:right w:w="20" w:type="dxa"/>
            </w:tcMar>
            <w:vAlign w:val="bottom"/>
          </w:tcPr>
          <w:p w14:paraId="74DDB2C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2C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2C2" w14:textId="77777777" w:rsidR="00584EC1" w:rsidRDefault="00871F8D">
            <w:pPr>
              <w:jc w:val="right"/>
              <w:textAlignment w:val="bottom"/>
            </w:pPr>
            <w:r>
              <w:rPr>
                <w:rFonts w:ascii="Arial" w:eastAsia="宋体" w:hAnsi="Arial" w:cs="Arial"/>
                <w:color w:val="000000"/>
                <w:sz w:val="15"/>
                <w:szCs w:val="15"/>
              </w:rPr>
              <w:t>150,723 </w:t>
            </w:r>
          </w:p>
        </w:tc>
        <w:tc>
          <w:tcPr>
            <w:tcW w:w="0" w:type="auto"/>
            <w:shd w:val="clear" w:color="auto" w:fill="CCEEFF"/>
            <w:tcMar>
              <w:top w:w="40" w:type="dxa"/>
              <w:left w:w="0" w:type="dxa"/>
              <w:bottom w:w="40" w:type="dxa"/>
              <w:right w:w="20" w:type="dxa"/>
            </w:tcMar>
            <w:vAlign w:val="bottom"/>
          </w:tcPr>
          <w:p w14:paraId="74DDB2C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2C4"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B2C5" w14:textId="77777777" w:rsidR="00584EC1" w:rsidRDefault="00871F8D">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4DDB2C6" w14:textId="77777777" w:rsidR="00584EC1" w:rsidRDefault="00871F8D">
            <w:pPr>
              <w:jc w:val="right"/>
              <w:textAlignment w:val="bottom"/>
            </w:pPr>
            <w:r>
              <w:rPr>
                <w:rFonts w:ascii="Arial" w:eastAsia="宋体" w:hAnsi="Arial" w:cs="Arial"/>
                <w:color w:val="000000"/>
                <w:sz w:val="15"/>
                <w:szCs w:val="15"/>
              </w:rPr>
              <w:t>(10,609)</w:t>
            </w:r>
          </w:p>
        </w:tc>
        <w:tc>
          <w:tcPr>
            <w:tcW w:w="0" w:type="auto"/>
            <w:shd w:val="clear" w:color="auto" w:fill="CCEEFF"/>
            <w:tcMar>
              <w:top w:w="40" w:type="dxa"/>
              <w:left w:w="0" w:type="dxa"/>
              <w:bottom w:w="40" w:type="dxa"/>
              <w:right w:w="20" w:type="dxa"/>
            </w:tcMar>
            <w:vAlign w:val="bottom"/>
          </w:tcPr>
          <w:p w14:paraId="74DDB2C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2C8"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B2C9" w14:textId="77777777" w:rsidR="00584EC1" w:rsidRDefault="00871F8D">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4DDB2CA" w14:textId="77777777" w:rsidR="00584EC1" w:rsidRDefault="00871F8D">
            <w:pPr>
              <w:jc w:val="right"/>
              <w:textAlignment w:val="bottom"/>
            </w:pPr>
            <w:r>
              <w:rPr>
                <w:rFonts w:ascii="Arial" w:eastAsia="宋体" w:hAnsi="Arial" w:cs="Arial"/>
                <w:color w:val="000000"/>
                <w:sz w:val="15"/>
                <w:szCs w:val="15"/>
              </w:rPr>
              <w:t>26,200 </w:t>
            </w:r>
          </w:p>
        </w:tc>
        <w:tc>
          <w:tcPr>
            <w:tcW w:w="0" w:type="auto"/>
            <w:shd w:val="clear" w:color="auto" w:fill="CCEEFF"/>
            <w:tcMar>
              <w:top w:w="40" w:type="dxa"/>
              <w:left w:w="0" w:type="dxa"/>
              <w:bottom w:w="40" w:type="dxa"/>
              <w:right w:w="20" w:type="dxa"/>
            </w:tcMar>
            <w:vAlign w:val="bottom"/>
          </w:tcPr>
          <w:p w14:paraId="74DDB2CB" w14:textId="77777777" w:rsidR="00584EC1" w:rsidRDefault="00584EC1">
            <w:pPr>
              <w:jc w:val="right"/>
              <w:rPr>
                <w:rFonts w:ascii="宋体"/>
              </w:rPr>
            </w:pPr>
          </w:p>
        </w:tc>
      </w:tr>
      <w:tr w:rsidR="00584EC1" w14:paraId="74DDB2E1" w14:textId="77777777">
        <w:trPr>
          <w:jc w:val="center"/>
        </w:trPr>
        <w:tc>
          <w:tcPr>
            <w:tcW w:w="0" w:type="auto"/>
            <w:gridSpan w:val="3"/>
            <w:shd w:val="clear" w:color="auto" w:fill="FFFFFF"/>
            <w:tcMar>
              <w:top w:w="40" w:type="dxa"/>
              <w:left w:w="20" w:type="dxa"/>
              <w:bottom w:w="40" w:type="dxa"/>
              <w:right w:w="20" w:type="dxa"/>
            </w:tcMar>
            <w:vAlign w:val="bottom"/>
          </w:tcPr>
          <w:p w14:paraId="74DDB2CD" w14:textId="77777777" w:rsidR="00584EC1" w:rsidRDefault="00871F8D">
            <w:pPr>
              <w:textAlignment w:val="bottom"/>
            </w:pPr>
            <w:r>
              <w:rPr>
                <w:rFonts w:ascii="Arial" w:eastAsia="宋体" w:hAnsi="Arial" w:cs="Arial"/>
                <w:color w:val="000000"/>
                <w:sz w:val="15"/>
                <w:szCs w:val="15"/>
              </w:rPr>
              <w:t>Net income</w:t>
            </w:r>
          </w:p>
        </w:tc>
        <w:tc>
          <w:tcPr>
            <w:tcW w:w="0" w:type="auto"/>
            <w:gridSpan w:val="3"/>
            <w:shd w:val="clear" w:color="auto" w:fill="FFFFFF"/>
            <w:tcMar>
              <w:top w:w="0" w:type="dxa"/>
              <w:left w:w="20" w:type="dxa"/>
              <w:bottom w:w="0" w:type="dxa"/>
              <w:right w:w="20" w:type="dxa"/>
            </w:tcMar>
            <w:vAlign w:val="bottom"/>
          </w:tcPr>
          <w:p w14:paraId="74DDB2CE"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2CF"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2D0"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2D1"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2D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2D3"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2D4"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2D5"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2D6" w14:textId="77777777" w:rsidR="00584EC1" w:rsidRDefault="00871F8D">
            <w:pPr>
              <w:jc w:val="right"/>
              <w:textAlignment w:val="bottom"/>
            </w:pPr>
            <w:r>
              <w:rPr>
                <w:rFonts w:ascii="Arial" w:eastAsia="宋体" w:hAnsi="Arial" w:cs="Arial"/>
                <w:color w:val="000000"/>
                <w:sz w:val="15"/>
                <w:szCs w:val="15"/>
              </w:rPr>
              <w:t>519 </w:t>
            </w:r>
          </w:p>
        </w:tc>
        <w:tc>
          <w:tcPr>
            <w:tcW w:w="0" w:type="auto"/>
            <w:shd w:val="clear" w:color="auto" w:fill="FFFFFF"/>
            <w:tcMar>
              <w:top w:w="40" w:type="dxa"/>
              <w:left w:w="0" w:type="dxa"/>
              <w:bottom w:w="40" w:type="dxa"/>
              <w:right w:w="20" w:type="dxa"/>
            </w:tcMar>
            <w:vAlign w:val="bottom"/>
          </w:tcPr>
          <w:p w14:paraId="74DDB2D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2D8"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2D9"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2DA"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2DB"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2DC"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2DD"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2D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2DF" w14:textId="77777777" w:rsidR="00584EC1" w:rsidRDefault="00871F8D">
            <w:pPr>
              <w:jc w:val="right"/>
              <w:textAlignment w:val="bottom"/>
            </w:pPr>
            <w:r>
              <w:rPr>
                <w:rFonts w:ascii="Arial" w:eastAsia="宋体" w:hAnsi="Arial" w:cs="Arial"/>
                <w:color w:val="000000"/>
                <w:sz w:val="15"/>
                <w:szCs w:val="15"/>
              </w:rPr>
              <w:t>519 </w:t>
            </w:r>
          </w:p>
        </w:tc>
        <w:tc>
          <w:tcPr>
            <w:tcW w:w="0" w:type="auto"/>
            <w:shd w:val="clear" w:color="auto" w:fill="FFFFFF"/>
            <w:tcMar>
              <w:top w:w="40" w:type="dxa"/>
              <w:left w:w="0" w:type="dxa"/>
              <w:bottom w:w="40" w:type="dxa"/>
              <w:right w:w="20" w:type="dxa"/>
            </w:tcMar>
            <w:vAlign w:val="bottom"/>
          </w:tcPr>
          <w:p w14:paraId="74DDB2E0" w14:textId="77777777" w:rsidR="00584EC1" w:rsidRDefault="00584EC1">
            <w:pPr>
              <w:jc w:val="right"/>
              <w:rPr>
                <w:rFonts w:ascii="宋体"/>
              </w:rPr>
            </w:pPr>
          </w:p>
        </w:tc>
      </w:tr>
      <w:tr w:rsidR="00584EC1" w14:paraId="74DDB2F6" w14:textId="77777777">
        <w:trPr>
          <w:jc w:val="center"/>
        </w:trPr>
        <w:tc>
          <w:tcPr>
            <w:tcW w:w="0" w:type="auto"/>
            <w:gridSpan w:val="3"/>
            <w:shd w:val="clear" w:color="auto" w:fill="CCEEFF"/>
            <w:tcMar>
              <w:top w:w="40" w:type="dxa"/>
              <w:left w:w="20" w:type="dxa"/>
              <w:bottom w:w="40" w:type="dxa"/>
              <w:right w:w="20" w:type="dxa"/>
            </w:tcMar>
            <w:vAlign w:val="bottom"/>
          </w:tcPr>
          <w:p w14:paraId="74DDB2E2" w14:textId="77777777" w:rsidR="00584EC1" w:rsidRDefault="00871F8D">
            <w:pPr>
              <w:textAlignment w:val="bottom"/>
            </w:pPr>
            <w:r>
              <w:rPr>
                <w:rFonts w:ascii="Arial" w:eastAsia="宋体" w:hAnsi="Arial" w:cs="Arial"/>
                <w:color w:val="000000"/>
                <w:sz w:val="15"/>
                <w:szCs w:val="15"/>
              </w:rPr>
              <w:t>Other comprehensive income (loss)</w:t>
            </w:r>
          </w:p>
        </w:tc>
        <w:tc>
          <w:tcPr>
            <w:tcW w:w="0" w:type="auto"/>
            <w:gridSpan w:val="3"/>
            <w:shd w:val="clear" w:color="auto" w:fill="CCEEFF"/>
            <w:tcMar>
              <w:top w:w="0" w:type="dxa"/>
              <w:left w:w="20" w:type="dxa"/>
              <w:bottom w:w="0" w:type="dxa"/>
              <w:right w:w="20" w:type="dxa"/>
            </w:tcMar>
            <w:vAlign w:val="bottom"/>
          </w:tcPr>
          <w:p w14:paraId="74DDB2E3"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2E4"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2E5"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2E6"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2E7"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2E8"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2E9"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2EA"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2EB"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2EC"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2ED" w14:textId="77777777" w:rsidR="00584EC1" w:rsidRDefault="00871F8D">
            <w:pPr>
              <w:jc w:val="right"/>
              <w:textAlignment w:val="bottom"/>
            </w:pPr>
            <w:r>
              <w:rPr>
                <w:rFonts w:ascii="Arial" w:eastAsia="宋体" w:hAnsi="Arial" w:cs="Arial"/>
                <w:color w:val="000000"/>
                <w:sz w:val="15"/>
                <w:szCs w:val="15"/>
              </w:rPr>
              <w:t>(605)</w:t>
            </w:r>
          </w:p>
        </w:tc>
        <w:tc>
          <w:tcPr>
            <w:tcW w:w="0" w:type="auto"/>
            <w:shd w:val="clear" w:color="auto" w:fill="CCEEFF"/>
            <w:tcMar>
              <w:top w:w="40" w:type="dxa"/>
              <w:left w:w="0" w:type="dxa"/>
              <w:bottom w:w="40" w:type="dxa"/>
              <w:right w:w="20" w:type="dxa"/>
            </w:tcMar>
            <w:vAlign w:val="bottom"/>
          </w:tcPr>
          <w:p w14:paraId="74DDB2E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2EF"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2F0"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2F1"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2F2"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2F3"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2F4" w14:textId="77777777" w:rsidR="00584EC1" w:rsidRDefault="00871F8D">
            <w:pPr>
              <w:jc w:val="right"/>
              <w:textAlignment w:val="bottom"/>
            </w:pPr>
            <w:r>
              <w:rPr>
                <w:rFonts w:ascii="Arial" w:eastAsia="宋体" w:hAnsi="Arial" w:cs="Arial"/>
                <w:color w:val="000000"/>
                <w:sz w:val="15"/>
                <w:szCs w:val="15"/>
              </w:rPr>
              <w:t>(605)</w:t>
            </w:r>
          </w:p>
        </w:tc>
        <w:tc>
          <w:tcPr>
            <w:tcW w:w="0" w:type="auto"/>
            <w:shd w:val="clear" w:color="auto" w:fill="CCEEFF"/>
            <w:tcMar>
              <w:top w:w="40" w:type="dxa"/>
              <w:left w:w="0" w:type="dxa"/>
              <w:bottom w:w="40" w:type="dxa"/>
              <w:right w:w="20" w:type="dxa"/>
            </w:tcMar>
            <w:vAlign w:val="bottom"/>
          </w:tcPr>
          <w:p w14:paraId="74DDB2F5" w14:textId="77777777" w:rsidR="00584EC1" w:rsidRDefault="00584EC1">
            <w:pPr>
              <w:jc w:val="right"/>
              <w:rPr>
                <w:rFonts w:ascii="宋体"/>
              </w:rPr>
            </w:pPr>
          </w:p>
        </w:tc>
      </w:tr>
      <w:tr w:rsidR="00584EC1" w14:paraId="74DDB30C" w14:textId="77777777">
        <w:trPr>
          <w:jc w:val="center"/>
        </w:trPr>
        <w:tc>
          <w:tcPr>
            <w:tcW w:w="0" w:type="auto"/>
            <w:gridSpan w:val="3"/>
            <w:shd w:val="clear" w:color="auto" w:fill="FFFFFF"/>
            <w:tcMar>
              <w:top w:w="40" w:type="dxa"/>
              <w:left w:w="20" w:type="dxa"/>
              <w:bottom w:w="40" w:type="dxa"/>
              <w:right w:w="20" w:type="dxa"/>
            </w:tcMar>
            <w:vAlign w:val="bottom"/>
          </w:tcPr>
          <w:p w14:paraId="74DDB2F7" w14:textId="77777777" w:rsidR="00584EC1" w:rsidRDefault="00871F8D">
            <w:pPr>
              <w:textAlignment w:val="bottom"/>
            </w:pPr>
            <w:r>
              <w:rPr>
                <w:rFonts w:ascii="Arial" w:eastAsia="宋体" w:hAnsi="Arial" w:cs="Arial"/>
                <w:color w:val="000000"/>
                <w:sz w:val="15"/>
                <w:szCs w:val="15"/>
              </w:rPr>
              <w:t>Preferred stock redeemed</w:t>
            </w:r>
          </w:p>
        </w:tc>
        <w:tc>
          <w:tcPr>
            <w:tcW w:w="0" w:type="auto"/>
            <w:gridSpan w:val="2"/>
            <w:shd w:val="clear" w:color="auto" w:fill="FFFFFF"/>
            <w:tcMar>
              <w:top w:w="40" w:type="dxa"/>
              <w:left w:w="20" w:type="dxa"/>
              <w:bottom w:w="40" w:type="dxa"/>
              <w:right w:w="0" w:type="dxa"/>
            </w:tcMar>
            <w:vAlign w:val="bottom"/>
          </w:tcPr>
          <w:p w14:paraId="74DDB2F8" w14:textId="77777777" w:rsidR="00584EC1" w:rsidRDefault="00871F8D">
            <w:pPr>
              <w:jc w:val="right"/>
              <w:textAlignment w:val="bottom"/>
            </w:pPr>
            <w:r>
              <w:rPr>
                <w:rFonts w:ascii="Arial" w:eastAsia="宋体" w:hAnsi="Arial" w:cs="Arial"/>
                <w:color w:val="000000"/>
                <w:sz w:val="15"/>
                <w:szCs w:val="15"/>
              </w:rPr>
              <w:t>(495)</w:t>
            </w:r>
          </w:p>
        </w:tc>
        <w:tc>
          <w:tcPr>
            <w:tcW w:w="0" w:type="auto"/>
            <w:shd w:val="clear" w:color="auto" w:fill="FFFFFF"/>
            <w:tcMar>
              <w:top w:w="40" w:type="dxa"/>
              <w:left w:w="0" w:type="dxa"/>
              <w:bottom w:w="40" w:type="dxa"/>
              <w:right w:w="20" w:type="dxa"/>
            </w:tcMar>
            <w:vAlign w:val="bottom"/>
          </w:tcPr>
          <w:p w14:paraId="74DDB2F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2FA"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2FB"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2FC"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2FD"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2FE"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2FF"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30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301" w14:textId="77777777" w:rsidR="00584EC1" w:rsidRDefault="00871F8D">
            <w:pPr>
              <w:jc w:val="right"/>
              <w:textAlignment w:val="bottom"/>
            </w:pPr>
            <w:r>
              <w:rPr>
                <w:rFonts w:ascii="Arial" w:eastAsia="宋体" w:hAnsi="Arial" w:cs="Arial"/>
                <w:color w:val="000000"/>
                <w:sz w:val="15"/>
                <w:szCs w:val="15"/>
              </w:rPr>
              <w:t>(5)</w:t>
            </w:r>
          </w:p>
        </w:tc>
        <w:tc>
          <w:tcPr>
            <w:tcW w:w="0" w:type="auto"/>
            <w:shd w:val="clear" w:color="auto" w:fill="FFFFFF"/>
            <w:tcMar>
              <w:top w:w="40" w:type="dxa"/>
              <w:left w:w="0" w:type="dxa"/>
              <w:bottom w:w="40" w:type="dxa"/>
              <w:right w:w="20" w:type="dxa"/>
            </w:tcMar>
            <w:vAlign w:val="bottom"/>
          </w:tcPr>
          <w:p w14:paraId="74DDB30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303"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304"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305"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306"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307"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308"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30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30A" w14:textId="77777777" w:rsidR="00584EC1" w:rsidRDefault="00871F8D">
            <w:pPr>
              <w:jc w:val="right"/>
              <w:textAlignment w:val="bottom"/>
            </w:pPr>
            <w:r>
              <w:rPr>
                <w:rFonts w:ascii="Arial" w:eastAsia="宋体" w:hAnsi="Arial" w:cs="Arial"/>
                <w:color w:val="000000"/>
                <w:sz w:val="15"/>
                <w:szCs w:val="15"/>
              </w:rPr>
              <w:t>(500)</w:t>
            </w:r>
          </w:p>
        </w:tc>
        <w:tc>
          <w:tcPr>
            <w:tcW w:w="0" w:type="auto"/>
            <w:shd w:val="clear" w:color="auto" w:fill="FFFFFF"/>
            <w:tcMar>
              <w:top w:w="40" w:type="dxa"/>
              <w:left w:w="0" w:type="dxa"/>
              <w:bottom w:w="40" w:type="dxa"/>
              <w:right w:w="20" w:type="dxa"/>
            </w:tcMar>
            <w:vAlign w:val="bottom"/>
          </w:tcPr>
          <w:p w14:paraId="74DDB30B" w14:textId="77777777" w:rsidR="00584EC1" w:rsidRDefault="00584EC1">
            <w:pPr>
              <w:jc w:val="right"/>
              <w:rPr>
                <w:rFonts w:ascii="宋体"/>
              </w:rPr>
            </w:pPr>
          </w:p>
        </w:tc>
      </w:tr>
      <w:tr w:rsidR="00584EC1" w14:paraId="74DDB31F" w14:textId="77777777">
        <w:trPr>
          <w:jc w:val="center"/>
        </w:trPr>
        <w:tc>
          <w:tcPr>
            <w:tcW w:w="0" w:type="auto"/>
            <w:gridSpan w:val="3"/>
            <w:shd w:val="clear" w:color="auto" w:fill="CCEEFF"/>
            <w:tcMar>
              <w:top w:w="40" w:type="dxa"/>
              <w:left w:w="20" w:type="dxa"/>
              <w:bottom w:w="40" w:type="dxa"/>
              <w:right w:w="20" w:type="dxa"/>
            </w:tcMar>
            <w:vAlign w:val="bottom"/>
          </w:tcPr>
          <w:p w14:paraId="74DDB30D" w14:textId="77777777" w:rsidR="00584EC1" w:rsidRDefault="00871F8D">
            <w:pPr>
              <w:textAlignment w:val="bottom"/>
            </w:pPr>
            <w:r>
              <w:rPr>
                <w:rFonts w:ascii="Arial" w:eastAsia="宋体" w:hAnsi="Arial" w:cs="Arial"/>
                <w:color w:val="000000"/>
                <w:sz w:val="15"/>
                <w:szCs w:val="15"/>
              </w:rPr>
              <w:t>Cash dividends declared:</w:t>
            </w:r>
          </w:p>
        </w:tc>
        <w:tc>
          <w:tcPr>
            <w:tcW w:w="0" w:type="auto"/>
            <w:gridSpan w:val="3"/>
            <w:shd w:val="clear" w:color="auto" w:fill="CCEEFF"/>
            <w:tcMar>
              <w:top w:w="0" w:type="dxa"/>
              <w:left w:w="20" w:type="dxa"/>
              <w:bottom w:w="0" w:type="dxa"/>
              <w:right w:w="20" w:type="dxa"/>
            </w:tcMar>
            <w:vAlign w:val="bottom"/>
          </w:tcPr>
          <w:p w14:paraId="74DDB30E"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30F"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310"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311"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312"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313"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314"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315"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316"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317"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318"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319"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31A"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31B"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31C"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31D"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31E" w14:textId="77777777" w:rsidR="00584EC1" w:rsidRDefault="00584EC1">
            <w:pPr>
              <w:rPr>
                <w:rFonts w:ascii="宋体"/>
              </w:rPr>
            </w:pPr>
          </w:p>
        </w:tc>
      </w:tr>
      <w:tr w:rsidR="00584EC1" w14:paraId="74DDB334" w14:textId="77777777">
        <w:trPr>
          <w:jc w:val="center"/>
        </w:trPr>
        <w:tc>
          <w:tcPr>
            <w:tcW w:w="0" w:type="auto"/>
            <w:gridSpan w:val="3"/>
            <w:shd w:val="clear" w:color="auto" w:fill="FFFFFF"/>
            <w:tcMar>
              <w:top w:w="40" w:type="dxa"/>
              <w:left w:w="20" w:type="dxa"/>
              <w:bottom w:w="40" w:type="dxa"/>
              <w:right w:w="20" w:type="dxa"/>
            </w:tcMar>
            <w:vAlign w:val="bottom"/>
          </w:tcPr>
          <w:p w14:paraId="74DDB320" w14:textId="77777777" w:rsidR="00584EC1" w:rsidRDefault="00871F8D">
            <w:pPr>
              <w:textAlignment w:val="bottom"/>
            </w:pPr>
            <w:r>
              <w:rPr>
                <w:rFonts w:ascii="Arial" w:eastAsia="宋体" w:hAnsi="Arial" w:cs="Arial"/>
                <w:color w:val="000000"/>
                <w:sz w:val="15"/>
                <w:szCs w:val="15"/>
              </w:rPr>
              <w:t>Common stock - $0.52 per share</w:t>
            </w:r>
          </w:p>
        </w:tc>
        <w:tc>
          <w:tcPr>
            <w:tcW w:w="0" w:type="auto"/>
            <w:gridSpan w:val="3"/>
            <w:shd w:val="clear" w:color="auto" w:fill="FFFFFF"/>
            <w:tcMar>
              <w:top w:w="0" w:type="dxa"/>
              <w:left w:w="20" w:type="dxa"/>
              <w:bottom w:w="0" w:type="dxa"/>
              <w:right w:w="20" w:type="dxa"/>
            </w:tcMar>
            <w:vAlign w:val="bottom"/>
          </w:tcPr>
          <w:p w14:paraId="74DDB321"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32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323"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324"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325"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326"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327"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328"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329" w14:textId="77777777" w:rsidR="00584EC1" w:rsidRDefault="00871F8D">
            <w:pPr>
              <w:jc w:val="right"/>
              <w:textAlignment w:val="bottom"/>
            </w:pPr>
            <w:r>
              <w:rPr>
                <w:rFonts w:ascii="Arial" w:eastAsia="宋体" w:hAnsi="Arial" w:cs="Arial"/>
                <w:color w:val="000000"/>
                <w:sz w:val="15"/>
                <w:szCs w:val="15"/>
              </w:rPr>
              <w:t>(182)</w:t>
            </w:r>
          </w:p>
        </w:tc>
        <w:tc>
          <w:tcPr>
            <w:tcW w:w="0" w:type="auto"/>
            <w:shd w:val="clear" w:color="auto" w:fill="FFFFFF"/>
            <w:tcMar>
              <w:top w:w="40" w:type="dxa"/>
              <w:left w:w="0" w:type="dxa"/>
              <w:bottom w:w="40" w:type="dxa"/>
              <w:right w:w="20" w:type="dxa"/>
            </w:tcMar>
            <w:vAlign w:val="bottom"/>
          </w:tcPr>
          <w:p w14:paraId="74DDB32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32B"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32C"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32D"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32E"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32F"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330"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33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332" w14:textId="77777777" w:rsidR="00584EC1" w:rsidRDefault="00871F8D">
            <w:pPr>
              <w:jc w:val="right"/>
              <w:textAlignment w:val="bottom"/>
            </w:pPr>
            <w:r>
              <w:rPr>
                <w:rFonts w:ascii="Arial" w:eastAsia="宋体" w:hAnsi="Arial" w:cs="Arial"/>
                <w:color w:val="000000"/>
                <w:sz w:val="15"/>
                <w:szCs w:val="15"/>
              </w:rPr>
              <w:t>(182)</w:t>
            </w:r>
          </w:p>
        </w:tc>
        <w:tc>
          <w:tcPr>
            <w:tcW w:w="0" w:type="auto"/>
            <w:shd w:val="clear" w:color="auto" w:fill="FFFFFF"/>
            <w:tcMar>
              <w:top w:w="40" w:type="dxa"/>
              <w:left w:w="0" w:type="dxa"/>
              <w:bottom w:w="40" w:type="dxa"/>
              <w:right w:w="20" w:type="dxa"/>
            </w:tcMar>
            <w:vAlign w:val="bottom"/>
          </w:tcPr>
          <w:p w14:paraId="74DDB333" w14:textId="77777777" w:rsidR="00584EC1" w:rsidRDefault="00584EC1">
            <w:pPr>
              <w:jc w:val="right"/>
              <w:rPr>
                <w:rFonts w:ascii="宋体"/>
              </w:rPr>
            </w:pPr>
          </w:p>
        </w:tc>
      </w:tr>
      <w:tr w:rsidR="00584EC1" w14:paraId="74DDB349" w14:textId="77777777">
        <w:trPr>
          <w:jc w:val="center"/>
        </w:trPr>
        <w:tc>
          <w:tcPr>
            <w:tcW w:w="0" w:type="auto"/>
            <w:gridSpan w:val="3"/>
            <w:shd w:val="clear" w:color="auto" w:fill="CCEEFF"/>
            <w:tcMar>
              <w:top w:w="40" w:type="dxa"/>
              <w:left w:w="140" w:type="dxa"/>
              <w:bottom w:w="40" w:type="dxa"/>
              <w:right w:w="20" w:type="dxa"/>
            </w:tcMar>
            <w:vAlign w:val="bottom"/>
          </w:tcPr>
          <w:p w14:paraId="74DDB335" w14:textId="77777777" w:rsidR="00584EC1" w:rsidRDefault="00871F8D">
            <w:pPr>
              <w:textAlignment w:val="bottom"/>
            </w:pPr>
            <w:r>
              <w:rPr>
                <w:rFonts w:ascii="Arial" w:eastAsia="宋体" w:hAnsi="Arial" w:cs="Arial"/>
                <w:color w:val="000000"/>
                <w:sz w:val="15"/>
                <w:szCs w:val="15"/>
              </w:rPr>
              <w:t>Preferred stock</w:t>
            </w:r>
          </w:p>
        </w:tc>
        <w:tc>
          <w:tcPr>
            <w:tcW w:w="0" w:type="auto"/>
            <w:gridSpan w:val="3"/>
            <w:shd w:val="clear" w:color="auto" w:fill="CCEEFF"/>
            <w:tcMar>
              <w:top w:w="0" w:type="dxa"/>
              <w:left w:w="20" w:type="dxa"/>
              <w:bottom w:w="0" w:type="dxa"/>
              <w:right w:w="20" w:type="dxa"/>
            </w:tcMar>
            <w:vAlign w:val="bottom"/>
          </w:tcPr>
          <w:p w14:paraId="74DDB336"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337"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338"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339"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33A"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33B"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33C"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33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33E" w14:textId="77777777" w:rsidR="00584EC1" w:rsidRDefault="00871F8D">
            <w:pPr>
              <w:jc w:val="right"/>
              <w:textAlignment w:val="bottom"/>
            </w:pPr>
            <w:r>
              <w:rPr>
                <w:rFonts w:ascii="Arial" w:eastAsia="宋体" w:hAnsi="Arial" w:cs="Arial"/>
                <w:color w:val="000000"/>
                <w:sz w:val="15"/>
                <w:szCs w:val="15"/>
              </w:rPr>
              <w:t>(25)</w:t>
            </w:r>
          </w:p>
        </w:tc>
        <w:tc>
          <w:tcPr>
            <w:tcW w:w="0" w:type="auto"/>
            <w:shd w:val="clear" w:color="auto" w:fill="CCEEFF"/>
            <w:tcMar>
              <w:top w:w="40" w:type="dxa"/>
              <w:left w:w="0" w:type="dxa"/>
              <w:bottom w:w="40" w:type="dxa"/>
              <w:right w:w="20" w:type="dxa"/>
            </w:tcMar>
            <w:vAlign w:val="bottom"/>
          </w:tcPr>
          <w:p w14:paraId="74DDB33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340"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341"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342"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343"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344"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345"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34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347" w14:textId="77777777" w:rsidR="00584EC1" w:rsidRDefault="00871F8D">
            <w:pPr>
              <w:jc w:val="right"/>
              <w:textAlignment w:val="bottom"/>
            </w:pPr>
            <w:r>
              <w:rPr>
                <w:rFonts w:ascii="Arial" w:eastAsia="宋体" w:hAnsi="Arial" w:cs="Arial"/>
                <w:color w:val="000000"/>
                <w:sz w:val="15"/>
                <w:szCs w:val="15"/>
              </w:rPr>
              <w:t>(25)</w:t>
            </w:r>
          </w:p>
        </w:tc>
        <w:tc>
          <w:tcPr>
            <w:tcW w:w="0" w:type="auto"/>
            <w:shd w:val="clear" w:color="auto" w:fill="CCEEFF"/>
            <w:tcMar>
              <w:top w:w="40" w:type="dxa"/>
              <w:left w:w="0" w:type="dxa"/>
              <w:bottom w:w="40" w:type="dxa"/>
              <w:right w:w="20" w:type="dxa"/>
            </w:tcMar>
            <w:vAlign w:val="bottom"/>
          </w:tcPr>
          <w:p w14:paraId="74DDB348" w14:textId="77777777" w:rsidR="00584EC1" w:rsidRDefault="00584EC1">
            <w:pPr>
              <w:jc w:val="right"/>
              <w:rPr>
                <w:rFonts w:ascii="宋体"/>
              </w:rPr>
            </w:pPr>
          </w:p>
        </w:tc>
      </w:tr>
      <w:tr w:rsidR="00584EC1" w14:paraId="74DDB35F" w14:textId="77777777">
        <w:trPr>
          <w:jc w:val="center"/>
        </w:trPr>
        <w:tc>
          <w:tcPr>
            <w:tcW w:w="0" w:type="auto"/>
            <w:gridSpan w:val="3"/>
            <w:shd w:val="clear" w:color="auto" w:fill="FFFFFF"/>
            <w:tcMar>
              <w:top w:w="40" w:type="dxa"/>
              <w:left w:w="20" w:type="dxa"/>
              <w:bottom w:w="40" w:type="dxa"/>
              <w:right w:w="20" w:type="dxa"/>
            </w:tcMar>
            <w:vAlign w:val="bottom"/>
          </w:tcPr>
          <w:p w14:paraId="74DDB34A" w14:textId="77777777" w:rsidR="00584EC1" w:rsidRDefault="00871F8D">
            <w:pPr>
              <w:textAlignment w:val="bottom"/>
            </w:pPr>
            <w:r>
              <w:rPr>
                <w:rFonts w:ascii="Arial" w:eastAsia="宋体" w:hAnsi="Arial" w:cs="Arial"/>
                <w:color w:val="000000"/>
                <w:sz w:val="15"/>
                <w:szCs w:val="15"/>
              </w:rPr>
              <w:t>Common stock acquired</w:t>
            </w:r>
          </w:p>
        </w:tc>
        <w:tc>
          <w:tcPr>
            <w:tcW w:w="0" w:type="auto"/>
            <w:gridSpan w:val="3"/>
            <w:shd w:val="clear" w:color="auto" w:fill="FFFFFF"/>
            <w:tcMar>
              <w:top w:w="0" w:type="dxa"/>
              <w:left w:w="20" w:type="dxa"/>
              <w:bottom w:w="0" w:type="dxa"/>
              <w:right w:w="20" w:type="dxa"/>
            </w:tcMar>
            <w:vAlign w:val="bottom"/>
          </w:tcPr>
          <w:p w14:paraId="74DDB34B"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34C"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34D"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34E"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34F"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350"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351"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35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353"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354"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355"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35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357" w14:textId="77777777" w:rsidR="00584EC1" w:rsidRDefault="00871F8D">
            <w:pPr>
              <w:jc w:val="right"/>
              <w:textAlignment w:val="bottom"/>
            </w:pPr>
            <w:r>
              <w:rPr>
                <w:rFonts w:ascii="Arial" w:eastAsia="宋体" w:hAnsi="Arial" w:cs="Arial"/>
                <w:color w:val="000000"/>
                <w:sz w:val="15"/>
                <w:szCs w:val="15"/>
              </w:rPr>
              <w:t>6,233 </w:t>
            </w:r>
          </w:p>
        </w:tc>
        <w:tc>
          <w:tcPr>
            <w:tcW w:w="0" w:type="auto"/>
            <w:shd w:val="clear" w:color="auto" w:fill="FFFFFF"/>
            <w:tcMar>
              <w:top w:w="40" w:type="dxa"/>
              <w:left w:w="0" w:type="dxa"/>
              <w:bottom w:w="40" w:type="dxa"/>
              <w:right w:w="20" w:type="dxa"/>
            </w:tcMar>
            <w:vAlign w:val="bottom"/>
          </w:tcPr>
          <w:p w14:paraId="74DDB35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35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35A" w14:textId="77777777" w:rsidR="00584EC1" w:rsidRDefault="00871F8D">
            <w:pPr>
              <w:jc w:val="right"/>
              <w:textAlignment w:val="bottom"/>
            </w:pPr>
            <w:r>
              <w:rPr>
                <w:rFonts w:ascii="Arial" w:eastAsia="宋体" w:hAnsi="Arial" w:cs="Arial"/>
                <w:color w:val="000000"/>
                <w:sz w:val="15"/>
                <w:szCs w:val="15"/>
              </w:rPr>
              <w:t>(475)</w:t>
            </w:r>
          </w:p>
        </w:tc>
        <w:tc>
          <w:tcPr>
            <w:tcW w:w="0" w:type="auto"/>
            <w:shd w:val="clear" w:color="auto" w:fill="FFFFFF"/>
            <w:tcMar>
              <w:top w:w="40" w:type="dxa"/>
              <w:left w:w="0" w:type="dxa"/>
              <w:bottom w:w="40" w:type="dxa"/>
              <w:right w:w="20" w:type="dxa"/>
            </w:tcMar>
            <w:vAlign w:val="bottom"/>
          </w:tcPr>
          <w:p w14:paraId="74DDB35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35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35D" w14:textId="77777777" w:rsidR="00584EC1" w:rsidRDefault="00871F8D">
            <w:pPr>
              <w:jc w:val="right"/>
              <w:textAlignment w:val="bottom"/>
            </w:pPr>
            <w:r>
              <w:rPr>
                <w:rFonts w:ascii="Arial" w:eastAsia="宋体" w:hAnsi="Arial" w:cs="Arial"/>
                <w:color w:val="000000"/>
                <w:sz w:val="15"/>
                <w:szCs w:val="15"/>
              </w:rPr>
              <w:t>(475)</w:t>
            </w:r>
          </w:p>
        </w:tc>
        <w:tc>
          <w:tcPr>
            <w:tcW w:w="0" w:type="auto"/>
            <w:shd w:val="clear" w:color="auto" w:fill="FFFFFF"/>
            <w:tcMar>
              <w:top w:w="40" w:type="dxa"/>
              <w:left w:w="0" w:type="dxa"/>
              <w:bottom w:w="40" w:type="dxa"/>
              <w:right w:w="20" w:type="dxa"/>
            </w:tcMar>
            <w:vAlign w:val="bottom"/>
          </w:tcPr>
          <w:p w14:paraId="74DDB35E" w14:textId="77777777" w:rsidR="00584EC1" w:rsidRDefault="00584EC1">
            <w:pPr>
              <w:jc w:val="right"/>
              <w:rPr>
                <w:rFonts w:ascii="宋体"/>
              </w:rPr>
            </w:pPr>
          </w:p>
        </w:tc>
      </w:tr>
      <w:tr w:rsidR="00584EC1" w14:paraId="74DDB376" w14:textId="77777777">
        <w:trPr>
          <w:jc w:val="center"/>
        </w:trPr>
        <w:tc>
          <w:tcPr>
            <w:tcW w:w="0" w:type="auto"/>
            <w:gridSpan w:val="3"/>
            <w:shd w:val="clear" w:color="auto" w:fill="CCEEFF"/>
            <w:tcMar>
              <w:top w:w="40" w:type="dxa"/>
              <w:left w:w="20" w:type="dxa"/>
              <w:bottom w:w="40" w:type="dxa"/>
              <w:right w:w="20" w:type="dxa"/>
            </w:tcMar>
            <w:vAlign w:val="bottom"/>
          </w:tcPr>
          <w:p w14:paraId="74DDB360" w14:textId="77777777" w:rsidR="00584EC1" w:rsidRDefault="00871F8D">
            <w:pPr>
              <w:textAlignment w:val="bottom"/>
            </w:pPr>
            <w:r>
              <w:rPr>
                <w:rFonts w:ascii="Arial" w:eastAsia="宋体" w:hAnsi="Arial" w:cs="Arial"/>
                <w:color w:val="000000"/>
                <w:sz w:val="15"/>
                <w:szCs w:val="15"/>
              </w:rPr>
              <w:t>Common stock awards exercised</w:t>
            </w:r>
          </w:p>
        </w:tc>
        <w:tc>
          <w:tcPr>
            <w:tcW w:w="0" w:type="auto"/>
            <w:gridSpan w:val="3"/>
            <w:shd w:val="clear" w:color="auto" w:fill="CCEEFF"/>
            <w:tcMar>
              <w:top w:w="0" w:type="dxa"/>
              <w:left w:w="20" w:type="dxa"/>
              <w:bottom w:w="0" w:type="dxa"/>
              <w:right w:w="20" w:type="dxa"/>
            </w:tcMar>
            <w:vAlign w:val="bottom"/>
          </w:tcPr>
          <w:p w14:paraId="74DDB361"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362"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363"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364"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365"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36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367" w14:textId="77777777" w:rsidR="00584EC1" w:rsidRDefault="00871F8D">
            <w:pPr>
              <w:jc w:val="right"/>
              <w:textAlignment w:val="bottom"/>
            </w:pPr>
            <w:r>
              <w:rPr>
                <w:rFonts w:ascii="Arial" w:eastAsia="宋体" w:hAnsi="Arial" w:cs="Arial"/>
                <w:color w:val="000000"/>
                <w:sz w:val="15"/>
                <w:szCs w:val="15"/>
              </w:rPr>
              <w:t>22 </w:t>
            </w:r>
          </w:p>
        </w:tc>
        <w:tc>
          <w:tcPr>
            <w:tcW w:w="0" w:type="auto"/>
            <w:shd w:val="clear" w:color="auto" w:fill="CCEEFF"/>
            <w:tcMar>
              <w:top w:w="40" w:type="dxa"/>
              <w:left w:w="0" w:type="dxa"/>
              <w:bottom w:w="40" w:type="dxa"/>
              <w:right w:w="20" w:type="dxa"/>
            </w:tcMar>
            <w:vAlign w:val="bottom"/>
          </w:tcPr>
          <w:p w14:paraId="74DDB36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369"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36A"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36B"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36C"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36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36E" w14:textId="77777777" w:rsidR="00584EC1" w:rsidRDefault="00871F8D">
            <w:pPr>
              <w:jc w:val="right"/>
              <w:textAlignment w:val="bottom"/>
            </w:pPr>
            <w:r>
              <w:rPr>
                <w:rFonts w:ascii="Arial" w:eastAsia="宋体" w:hAnsi="Arial" w:cs="Arial"/>
                <w:color w:val="000000"/>
                <w:sz w:val="15"/>
                <w:szCs w:val="15"/>
              </w:rPr>
              <w:t>(1,111)</w:t>
            </w:r>
          </w:p>
        </w:tc>
        <w:tc>
          <w:tcPr>
            <w:tcW w:w="0" w:type="auto"/>
            <w:shd w:val="clear" w:color="auto" w:fill="CCEEFF"/>
            <w:tcMar>
              <w:top w:w="40" w:type="dxa"/>
              <w:left w:w="0" w:type="dxa"/>
              <w:bottom w:w="40" w:type="dxa"/>
              <w:right w:w="20" w:type="dxa"/>
            </w:tcMar>
            <w:vAlign w:val="bottom"/>
          </w:tcPr>
          <w:p w14:paraId="74DDB36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37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371" w14:textId="77777777" w:rsidR="00584EC1" w:rsidRDefault="00871F8D">
            <w:pPr>
              <w:jc w:val="right"/>
              <w:textAlignment w:val="bottom"/>
            </w:pPr>
            <w:r>
              <w:rPr>
                <w:rFonts w:ascii="Arial" w:eastAsia="宋体" w:hAnsi="Arial" w:cs="Arial"/>
                <w:color w:val="000000"/>
                <w:sz w:val="15"/>
                <w:szCs w:val="15"/>
              </w:rPr>
              <w:t>49 </w:t>
            </w:r>
          </w:p>
        </w:tc>
        <w:tc>
          <w:tcPr>
            <w:tcW w:w="0" w:type="auto"/>
            <w:shd w:val="clear" w:color="auto" w:fill="CCEEFF"/>
            <w:tcMar>
              <w:top w:w="40" w:type="dxa"/>
              <w:left w:w="0" w:type="dxa"/>
              <w:bottom w:w="40" w:type="dxa"/>
              <w:right w:w="20" w:type="dxa"/>
            </w:tcMar>
            <w:vAlign w:val="bottom"/>
          </w:tcPr>
          <w:p w14:paraId="74DDB37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373"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374" w14:textId="77777777" w:rsidR="00584EC1" w:rsidRDefault="00871F8D">
            <w:pPr>
              <w:jc w:val="right"/>
              <w:textAlignment w:val="bottom"/>
            </w:pPr>
            <w:r>
              <w:rPr>
                <w:rFonts w:ascii="Arial" w:eastAsia="宋体" w:hAnsi="Arial" w:cs="Arial"/>
                <w:color w:val="000000"/>
                <w:sz w:val="15"/>
                <w:szCs w:val="15"/>
              </w:rPr>
              <w:t>71 </w:t>
            </w:r>
          </w:p>
        </w:tc>
        <w:tc>
          <w:tcPr>
            <w:tcW w:w="0" w:type="auto"/>
            <w:shd w:val="clear" w:color="auto" w:fill="CCEEFF"/>
            <w:tcMar>
              <w:top w:w="40" w:type="dxa"/>
              <w:left w:w="0" w:type="dxa"/>
              <w:bottom w:w="40" w:type="dxa"/>
              <w:right w:w="20" w:type="dxa"/>
            </w:tcMar>
            <w:vAlign w:val="bottom"/>
          </w:tcPr>
          <w:p w14:paraId="74DDB375" w14:textId="77777777" w:rsidR="00584EC1" w:rsidRDefault="00584EC1">
            <w:pPr>
              <w:jc w:val="right"/>
              <w:rPr>
                <w:rFonts w:ascii="宋体"/>
              </w:rPr>
            </w:pPr>
          </w:p>
        </w:tc>
      </w:tr>
      <w:tr w:rsidR="00584EC1" w14:paraId="74DDB38C" w14:textId="77777777">
        <w:trPr>
          <w:jc w:val="center"/>
        </w:trPr>
        <w:tc>
          <w:tcPr>
            <w:tcW w:w="0" w:type="auto"/>
            <w:gridSpan w:val="3"/>
            <w:shd w:val="clear" w:color="auto" w:fill="FFFFFF"/>
            <w:tcMar>
              <w:top w:w="40" w:type="dxa"/>
              <w:left w:w="20" w:type="dxa"/>
              <w:bottom w:w="40" w:type="dxa"/>
              <w:right w:w="20" w:type="dxa"/>
            </w:tcMar>
            <w:vAlign w:val="bottom"/>
          </w:tcPr>
          <w:p w14:paraId="74DDB377" w14:textId="77777777" w:rsidR="00584EC1" w:rsidRDefault="00871F8D">
            <w:pPr>
              <w:textAlignment w:val="bottom"/>
            </w:pPr>
            <w:r>
              <w:rPr>
                <w:rFonts w:ascii="Arial" w:eastAsia="宋体" w:hAnsi="Arial" w:cs="Arial"/>
                <w:color w:val="000000"/>
                <w:sz w:val="15"/>
                <w:szCs w:val="15"/>
              </w:rPr>
              <w:t>Other</w:t>
            </w:r>
          </w:p>
        </w:tc>
        <w:tc>
          <w:tcPr>
            <w:tcW w:w="0" w:type="auto"/>
            <w:gridSpan w:val="3"/>
            <w:shd w:val="clear" w:color="auto" w:fill="FFFFFF"/>
            <w:tcMar>
              <w:top w:w="0" w:type="dxa"/>
              <w:left w:w="20" w:type="dxa"/>
              <w:bottom w:w="0" w:type="dxa"/>
              <w:right w:w="20" w:type="dxa"/>
            </w:tcMar>
            <w:vAlign w:val="bottom"/>
          </w:tcPr>
          <w:p w14:paraId="74DDB378"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379"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37A"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37B"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37C"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37D"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37E"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37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380" w14:textId="77777777" w:rsidR="00584EC1" w:rsidRDefault="00871F8D">
            <w:pPr>
              <w:jc w:val="right"/>
              <w:textAlignment w:val="bottom"/>
            </w:pPr>
            <w:r>
              <w:rPr>
                <w:rFonts w:ascii="Arial" w:eastAsia="宋体" w:hAnsi="Arial" w:cs="Arial"/>
                <w:color w:val="000000"/>
                <w:sz w:val="15"/>
                <w:szCs w:val="15"/>
              </w:rPr>
              <w:t>2 </w:t>
            </w:r>
          </w:p>
        </w:tc>
        <w:tc>
          <w:tcPr>
            <w:tcW w:w="0" w:type="auto"/>
            <w:shd w:val="clear" w:color="auto" w:fill="FFFFFF"/>
            <w:tcMar>
              <w:top w:w="40" w:type="dxa"/>
              <w:left w:w="0" w:type="dxa"/>
              <w:bottom w:w="40" w:type="dxa"/>
              <w:right w:w="20" w:type="dxa"/>
            </w:tcMar>
            <w:vAlign w:val="bottom"/>
          </w:tcPr>
          <w:p w14:paraId="74DDB38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38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383"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38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385" w14:textId="77777777" w:rsidR="00584EC1" w:rsidRDefault="00871F8D">
            <w:pPr>
              <w:jc w:val="right"/>
              <w:textAlignment w:val="bottom"/>
            </w:pPr>
            <w:r>
              <w:rPr>
                <w:rFonts w:ascii="Arial" w:eastAsia="宋体" w:hAnsi="Arial" w:cs="Arial"/>
                <w:color w:val="000000"/>
                <w:sz w:val="15"/>
                <w:szCs w:val="15"/>
              </w:rPr>
              <w:t>2 </w:t>
            </w:r>
          </w:p>
        </w:tc>
        <w:tc>
          <w:tcPr>
            <w:tcW w:w="0" w:type="auto"/>
            <w:shd w:val="clear" w:color="auto" w:fill="FFFFFF"/>
            <w:tcMar>
              <w:top w:w="40" w:type="dxa"/>
              <w:left w:w="0" w:type="dxa"/>
              <w:bottom w:w="40" w:type="dxa"/>
              <w:right w:w="20" w:type="dxa"/>
            </w:tcMar>
            <w:vAlign w:val="bottom"/>
          </w:tcPr>
          <w:p w14:paraId="74DDB38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387"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388"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38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38A" w14:textId="77777777" w:rsidR="00584EC1" w:rsidRDefault="00871F8D">
            <w:pPr>
              <w:jc w:val="right"/>
              <w:textAlignment w:val="bottom"/>
            </w:pPr>
            <w:r>
              <w:rPr>
                <w:rFonts w:ascii="Arial" w:eastAsia="宋体" w:hAnsi="Arial" w:cs="Arial"/>
                <w:color w:val="000000"/>
                <w:sz w:val="15"/>
                <w:szCs w:val="15"/>
              </w:rPr>
              <w:t>2 </w:t>
            </w:r>
          </w:p>
        </w:tc>
        <w:tc>
          <w:tcPr>
            <w:tcW w:w="0" w:type="auto"/>
            <w:shd w:val="clear" w:color="auto" w:fill="FFFFFF"/>
            <w:tcMar>
              <w:top w:w="40" w:type="dxa"/>
              <w:left w:w="0" w:type="dxa"/>
              <w:bottom w:w="40" w:type="dxa"/>
              <w:right w:w="20" w:type="dxa"/>
            </w:tcMar>
            <w:vAlign w:val="bottom"/>
          </w:tcPr>
          <w:p w14:paraId="74DDB38B" w14:textId="77777777" w:rsidR="00584EC1" w:rsidRDefault="00584EC1">
            <w:pPr>
              <w:jc w:val="right"/>
              <w:rPr>
                <w:rFonts w:ascii="宋体"/>
              </w:rPr>
            </w:pPr>
          </w:p>
        </w:tc>
      </w:tr>
      <w:tr w:rsidR="00871F8D" w14:paraId="74DDB3AF" w14:textId="77777777">
        <w:trPr>
          <w:jc w:val="center"/>
        </w:trPr>
        <w:tc>
          <w:tcPr>
            <w:tcW w:w="0" w:type="auto"/>
            <w:gridSpan w:val="3"/>
            <w:shd w:val="clear" w:color="auto" w:fill="CCEEFF"/>
            <w:tcMar>
              <w:top w:w="40" w:type="dxa"/>
              <w:left w:w="20" w:type="dxa"/>
              <w:bottom w:w="40" w:type="dxa"/>
              <w:right w:w="20" w:type="dxa"/>
            </w:tcMar>
            <w:vAlign w:val="bottom"/>
          </w:tcPr>
          <w:p w14:paraId="74DDB38D" w14:textId="77777777" w:rsidR="00584EC1" w:rsidRDefault="00871F8D">
            <w:pPr>
              <w:textAlignment w:val="bottom"/>
            </w:pPr>
            <w:r>
              <w:rPr>
                <w:rFonts w:ascii="Arial" w:eastAsia="宋体" w:hAnsi="Arial" w:cs="Arial"/>
                <w:b/>
                <w:bCs/>
                <w:color w:val="000000"/>
                <w:sz w:val="15"/>
                <w:szCs w:val="15"/>
              </w:rPr>
              <w:t>Balance at March 31, 2021</w:t>
            </w:r>
          </w:p>
        </w:tc>
        <w:tc>
          <w:tcPr>
            <w:tcW w:w="0" w:type="auto"/>
            <w:tcBorders>
              <w:top w:val="single" w:sz="8" w:space="0" w:color="000000"/>
            </w:tcBorders>
            <w:shd w:val="clear" w:color="auto" w:fill="CCEEFF"/>
            <w:tcMar>
              <w:top w:w="40" w:type="dxa"/>
              <w:left w:w="20" w:type="dxa"/>
              <w:bottom w:w="40" w:type="dxa"/>
              <w:right w:w="0" w:type="dxa"/>
            </w:tcMar>
            <w:vAlign w:val="bottom"/>
          </w:tcPr>
          <w:p w14:paraId="74DDB38E"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B38F" w14:textId="77777777" w:rsidR="00584EC1" w:rsidRDefault="00871F8D">
            <w:pPr>
              <w:jc w:val="right"/>
              <w:textAlignment w:val="bottom"/>
            </w:pPr>
            <w:r>
              <w:rPr>
                <w:rFonts w:ascii="Arial" w:eastAsia="宋体" w:hAnsi="Arial" w:cs="Arial"/>
                <w:color w:val="000000"/>
                <w:sz w:val="15"/>
                <w:szCs w:val="15"/>
              </w:rPr>
              <w:t>1,976 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B39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391"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B392" w14:textId="77777777" w:rsidR="00584EC1" w:rsidRDefault="00871F8D">
            <w:pPr>
              <w:jc w:val="right"/>
              <w:textAlignment w:val="bottom"/>
            </w:pPr>
            <w:r>
              <w:rPr>
                <w:rFonts w:ascii="Arial" w:eastAsia="宋体" w:hAnsi="Arial" w:cs="Arial"/>
                <w:color w:val="000000"/>
                <w:sz w:val="15"/>
                <w:szCs w:val="15"/>
              </w:rPr>
              <w:t>503,880 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B39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394"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B395"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B396" w14:textId="77777777" w:rsidR="00584EC1" w:rsidRDefault="00871F8D">
            <w:pPr>
              <w:jc w:val="right"/>
              <w:textAlignment w:val="bottom"/>
            </w:pPr>
            <w:r>
              <w:rPr>
                <w:rFonts w:ascii="Arial" w:eastAsia="宋体" w:hAnsi="Arial" w:cs="Arial"/>
                <w:color w:val="000000"/>
                <w:sz w:val="15"/>
                <w:szCs w:val="15"/>
              </w:rPr>
              <w:t>504 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B39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398"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B399"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B39A" w14:textId="77777777" w:rsidR="00584EC1" w:rsidRDefault="00871F8D">
            <w:pPr>
              <w:jc w:val="right"/>
              <w:textAlignment w:val="bottom"/>
            </w:pPr>
            <w:r>
              <w:rPr>
                <w:rFonts w:ascii="Arial" w:eastAsia="宋体" w:hAnsi="Arial" w:cs="Arial"/>
                <w:color w:val="000000"/>
                <w:sz w:val="15"/>
                <w:szCs w:val="15"/>
              </w:rPr>
              <w:t>10,227 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B39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39C"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B39D"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B39E" w14:textId="77777777" w:rsidR="00584EC1" w:rsidRDefault="00871F8D">
            <w:pPr>
              <w:jc w:val="right"/>
              <w:textAlignment w:val="bottom"/>
            </w:pPr>
            <w:r>
              <w:rPr>
                <w:rFonts w:ascii="Arial" w:eastAsia="宋体" w:hAnsi="Arial" w:cs="Arial"/>
                <w:color w:val="000000"/>
                <w:sz w:val="15"/>
                <w:szCs w:val="15"/>
              </w:rPr>
              <w:t>23,751 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B39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3A0"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B3A1"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B3A2" w14:textId="77777777" w:rsidR="00584EC1" w:rsidRDefault="00871F8D">
            <w:pPr>
              <w:jc w:val="right"/>
              <w:textAlignment w:val="bottom"/>
            </w:pPr>
            <w:r>
              <w:rPr>
                <w:rFonts w:ascii="Arial" w:eastAsia="宋体" w:hAnsi="Arial" w:cs="Arial"/>
                <w:color w:val="000000"/>
                <w:sz w:val="15"/>
                <w:szCs w:val="15"/>
              </w:rPr>
              <w:t>(418)</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B3A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3A4"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B3A5" w14:textId="77777777" w:rsidR="00584EC1" w:rsidRDefault="00871F8D">
            <w:pPr>
              <w:jc w:val="right"/>
              <w:textAlignment w:val="bottom"/>
            </w:pPr>
            <w:r>
              <w:rPr>
                <w:rFonts w:ascii="Arial" w:eastAsia="宋体" w:hAnsi="Arial" w:cs="Arial"/>
                <w:color w:val="000000"/>
                <w:sz w:val="15"/>
                <w:szCs w:val="15"/>
              </w:rPr>
              <w:t>155,847 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B3A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3A7"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B3A8"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B3A9" w14:textId="77777777" w:rsidR="00584EC1" w:rsidRDefault="00871F8D">
            <w:pPr>
              <w:jc w:val="right"/>
              <w:textAlignment w:val="bottom"/>
            </w:pPr>
            <w:r>
              <w:rPr>
                <w:rFonts w:ascii="Arial" w:eastAsia="宋体" w:hAnsi="Arial" w:cs="Arial"/>
                <w:color w:val="000000"/>
                <w:sz w:val="15"/>
                <w:szCs w:val="15"/>
              </w:rPr>
              <w:t>(11,035)</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B3A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3AB"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B3AC"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B3AD" w14:textId="77777777" w:rsidR="00584EC1" w:rsidRDefault="00871F8D">
            <w:pPr>
              <w:jc w:val="right"/>
              <w:textAlignment w:val="bottom"/>
            </w:pPr>
            <w:r>
              <w:rPr>
                <w:rFonts w:ascii="Arial" w:eastAsia="宋体" w:hAnsi="Arial" w:cs="Arial"/>
                <w:color w:val="000000"/>
                <w:sz w:val="15"/>
                <w:szCs w:val="15"/>
              </w:rPr>
              <w:t>25,005 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B3AE" w14:textId="77777777" w:rsidR="00584EC1" w:rsidRDefault="00584EC1">
            <w:pPr>
              <w:jc w:val="right"/>
              <w:rPr>
                <w:rFonts w:ascii="宋体"/>
              </w:rPr>
            </w:pPr>
          </w:p>
        </w:tc>
      </w:tr>
      <w:tr w:rsidR="00584EC1" w14:paraId="74DDB3C4" w14:textId="77777777">
        <w:trPr>
          <w:jc w:val="center"/>
        </w:trPr>
        <w:tc>
          <w:tcPr>
            <w:tcW w:w="0" w:type="auto"/>
            <w:gridSpan w:val="3"/>
            <w:shd w:val="clear" w:color="auto" w:fill="FFFFFF"/>
            <w:tcMar>
              <w:top w:w="40" w:type="dxa"/>
              <w:left w:w="20" w:type="dxa"/>
              <w:bottom w:w="40" w:type="dxa"/>
              <w:right w:w="20" w:type="dxa"/>
            </w:tcMar>
            <w:vAlign w:val="bottom"/>
          </w:tcPr>
          <w:p w14:paraId="74DDB3B0" w14:textId="77777777" w:rsidR="00584EC1" w:rsidRDefault="00871F8D">
            <w:pPr>
              <w:textAlignment w:val="bottom"/>
            </w:pPr>
            <w:r>
              <w:rPr>
                <w:rFonts w:ascii="Arial" w:eastAsia="宋体" w:hAnsi="Arial" w:cs="Arial"/>
                <w:color w:val="000000"/>
                <w:sz w:val="15"/>
                <w:szCs w:val="15"/>
              </w:rPr>
              <w:t>Net i</w:t>
            </w:r>
            <w:r>
              <w:rPr>
                <w:rFonts w:ascii="Arial" w:eastAsia="宋体" w:hAnsi="Arial" w:cs="Arial"/>
                <w:color w:val="000000"/>
                <w:sz w:val="15"/>
                <w:szCs w:val="15"/>
              </w:rPr>
              <w:t>ncome</w:t>
            </w:r>
          </w:p>
        </w:tc>
        <w:tc>
          <w:tcPr>
            <w:tcW w:w="0" w:type="auto"/>
            <w:gridSpan w:val="3"/>
            <w:shd w:val="clear" w:color="auto" w:fill="FFFFFF"/>
            <w:tcMar>
              <w:top w:w="0" w:type="dxa"/>
              <w:left w:w="20" w:type="dxa"/>
              <w:bottom w:w="0" w:type="dxa"/>
              <w:right w:w="20" w:type="dxa"/>
            </w:tcMar>
            <w:vAlign w:val="bottom"/>
          </w:tcPr>
          <w:p w14:paraId="74DDB3B1"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3B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3B3"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3B4"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3B5"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3B6"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3B7"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3B8"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3B9" w14:textId="77777777" w:rsidR="00584EC1" w:rsidRDefault="00871F8D">
            <w:pPr>
              <w:jc w:val="right"/>
              <w:textAlignment w:val="bottom"/>
            </w:pPr>
            <w:r>
              <w:rPr>
                <w:rFonts w:ascii="Arial" w:eastAsia="宋体" w:hAnsi="Arial" w:cs="Arial"/>
                <w:color w:val="000000"/>
                <w:sz w:val="15"/>
                <w:szCs w:val="15"/>
              </w:rPr>
              <w:t>763 </w:t>
            </w:r>
          </w:p>
        </w:tc>
        <w:tc>
          <w:tcPr>
            <w:tcW w:w="0" w:type="auto"/>
            <w:shd w:val="clear" w:color="auto" w:fill="FFFFFF"/>
            <w:tcMar>
              <w:top w:w="40" w:type="dxa"/>
              <w:left w:w="0" w:type="dxa"/>
              <w:bottom w:w="40" w:type="dxa"/>
              <w:right w:w="20" w:type="dxa"/>
            </w:tcMar>
            <w:vAlign w:val="bottom"/>
          </w:tcPr>
          <w:p w14:paraId="74DDB3B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3BB"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3BC"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3BD"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3BE"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3BF"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3C0"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3C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3C2" w14:textId="77777777" w:rsidR="00584EC1" w:rsidRDefault="00871F8D">
            <w:pPr>
              <w:jc w:val="right"/>
              <w:textAlignment w:val="bottom"/>
            </w:pPr>
            <w:r>
              <w:rPr>
                <w:rFonts w:ascii="Arial" w:eastAsia="宋体" w:hAnsi="Arial" w:cs="Arial"/>
                <w:color w:val="000000"/>
                <w:sz w:val="15"/>
                <w:szCs w:val="15"/>
              </w:rPr>
              <w:t>763 </w:t>
            </w:r>
          </w:p>
        </w:tc>
        <w:tc>
          <w:tcPr>
            <w:tcW w:w="0" w:type="auto"/>
            <w:shd w:val="clear" w:color="auto" w:fill="FFFFFF"/>
            <w:tcMar>
              <w:top w:w="40" w:type="dxa"/>
              <w:left w:w="0" w:type="dxa"/>
              <w:bottom w:w="40" w:type="dxa"/>
              <w:right w:w="20" w:type="dxa"/>
            </w:tcMar>
            <w:vAlign w:val="bottom"/>
          </w:tcPr>
          <w:p w14:paraId="74DDB3C3" w14:textId="77777777" w:rsidR="00584EC1" w:rsidRDefault="00584EC1">
            <w:pPr>
              <w:jc w:val="right"/>
              <w:rPr>
                <w:rFonts w:ascii="宋体"/>
              </w:rPr>
            </w:pPr>
          </w:p>
        </w:tc>
      </w:tr>
      <w:tr w:rsidR="00584EC1" w14:paraId="74DDB3D9" w14:textId="77777777">
        <w:trPr>
          <w:jc w:val="center"/>
        </w:trPr>
        <w:tc>
          <w:tcPr>
            <w:tcW w:w="0" w:type="auto"/>
            <w:gridSpan w:val="3"/>
            <w:shd w:val="clear" w:color="auto" w:fill="CCEEFF"/>
            <w:tcMar>
              <w:top w:w="40" w:type="dxa"/>
              <w:left w:w="20" w:type="dxa"/>
              <w:bottom w:w="40" w:type="dxa"/>
              <w:right w:w="20" w:type="dxa"/>
            </w:tcMar>
            <w:vAlign w:val="bottom"/>
          </w:tcPr>
          <w:p w14:paraId="74DDB3C5" w14:textId="77777777" w:rsidR="00584EC1" w:rsidRDefault="00871F8D">
            <w:pPr>
              <w:textAlignment w:val="bottom"/>
            </w:pPr>
            <w:r>
              <w:rPr>
                <w:rFonts w:ascii="Arial" w:eastAsia="宋体" w:hAnsi="Arial" w:cs="Arial"/>
                <w:color w:val="000000"/>
                <w:sz w:val="15"/>
                <w:szCs w:val="15"/>
              </w:rPr>
              <w:t>Other comprehensive income (loss)</w:t>
            </w:r>
          </w:p>
        </w:tc>
        <w:tc>
          <w:tcPr>
            <w:tcW w:w="0" w:type="auto"/>
            <w:gridSpan w:val="3"/>
            <w:shd w:val="clear" w:color="auto" w:fill="CCEEFF"/>
            <w:tcMar>
              <w:top w:w="0" w:type="dxa"/>
              <w:left w:w="20" w:type="dxa"/>
              <w:bottom w:w="0" w:type="dxa"/>
              <w:right w:w="20" w:type="dxa"/>
            </w:tcMar>
            <w:vAlign w:val="bottom"/>
          </w:tcPr>
          <w:p w14:paraId="74DDB3C6"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3C7"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3C8"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3C9"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3CA"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3CB"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3CC"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3CD"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3CE"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3CF"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3D0" w14:textId="77777777" w:rsidR="00584EC1" w:rsidRDefault="00871F8D">
            <w:pPr>
              <w:jc w:val="right"/>
              <w:textAlignment w:val="bottom"/>
            </w:pPr>
            <w:r>
              <w:rPr>
                <w:rFonts w:ascii="Arial" w:eastAsia="宋体" w:hAnsi="Arial" w:cs="Arial"/>
                <w:color w:val="000000"/>
                <w:sz w:val="15"/>
                <w:szCs w:val="15"/>
              </w:rPr>
              <w:t>(4)</w:t>
            </w:r>
          </w:p>
        </w:tc>
        <w:tc>
          <w:tcPr>
            <w:tcW w:w="0" w:type="auto"/>
            <w:shd w:val="clear" w:color="auto" w:fill="CCEEFF"/>
            <w:tcMar>
              <w:top w:w="40" w:type="dxa"/>
              <w:left w:w="0" w:type="dxa"/>
              <w:bottom w:w="40" w:type="dxa"/>
              <w:right w:w="20" w:type="dxa"/>
            </w:tcMar>
            <w:vAlign w:val="bottom"/>
          </w:tcPr>
          <w:p w14:paraId="74DDB3D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3D2"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3D3"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3D4"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3D5"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3D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3D7" w14:textId="77777777" w:rsidR="00584EC1" w:rsidRDefault="00871F8D">
            <w:pPr>
              <w:jc w:val="right"/>
              <w:textAlignment w:val="bottom"/>
            </w:pPr>
            <w:r>
              <w:rPr>
                <w:rFonts w:ascii="Arial" w:eastAsia="宋体" w:hAnsi="Arial" w:cs="Arial"/>
                <w:color w:val="000000"/>
                <w:sz w:val="15"/>
                <w:szCs w:val="15"/>
              </w:rPr>
              <w:t>(4)</w:t>
            </w:r>
          </w:p>
        </w:tc>
        <w:tc>
          <w:tcPr>
            <w:tcW w:w="0" w:type="auto"/>
            <w:shd w:val="clear" w:color="auto" w:fill="CCEEFF"/>
            <w:tcMar>
              <w:top w:w="40" w:type="dxa"/>
              <w:left w:w="0" w:type="dxa"/>
              <w:bottom w:w="40" w:type="dxa"/>
              <w:right w:w="20" w:type="dxa"/>
            </w:tcMar>
            <w:vAlign w:val="bottom"/>
          </w:tcPr>
          <w:p w14:paraId="74DDB3D8" w14:textId="77777777" w:rsidR="00584EC1" w:rsidRDefault="00584EC1">
            <w:pPr>
              <w:jc w:val="right"/>
              <w:rPr>
                <w:rFonts w:ascii="宋体"/>
              </w:rPr>
            </w:pPr>
          </w:p>
        </w:tc>
      </w:tr>
      <w:tr w:rsidR="00584EC1" w14:paraId="74DDB3EC" w14:textId="77777777">
        <w:trPr>
          <w:jc w:val="center"/>
          <w:hidden/>
        </w:trPr>
        <w:tc>
          <w:tcPr>
            <w:tcW w:w="0" w:type="auto"/>
            <w:gridSpan w:val="3"/>
            <w:shd w:val="clear" w:color="auto" w:fill="auto"/>
            <w:vAlign w:val="bottom"/>
          </w:tcPr>
          <w:p w14:paraId="74DDB3DA" w14:textId="77777777" w:rsidR="00584EC1" w:rsidRDefault="00584EC1">
            <w:pPr>
              <w:rPr>
                <w:rFonts w:ascii="宋体"/>
                <w:vanish/>
              </w:rPr>
            </w:pPr>
          </w:p>
        </w:tc>
        <w:tc>
          <w:tcPr>
            <w:tcW w:w="0" w:type="auto"/>
            <w:gridSpan w:val="3"/>
            <w:shd w:val="clear" w:color="auto" w:fill="auto"/>
            <w:vAlign w:val="bottom"/>
          </w:tcPr>
          <w:p w14:paraId="74DDB3DB" w14:textId="77777777" w:rsidR="00584EC1" w:rsidRDefault="00584EC1">
            <w:pPr>
              <w:rPr>
                <w:rFonts w:ascii="宋体"/>
                <w:vanish/>
              </w:rPr>
            </w:pPr>
          </w:p>
        </w:tc>
        <w:tc>
          <w:tcPr>
            <w:tcW w:w="0" w:type="auto"/>
            <w:gridSpan w:val="3"/>
            <w:shd w:val="clear" w:color="auto" w:fill="auto"/>
            <w:vAlign w:val="bottom"/>
          </w:tcPr>
          <w:p w14:paraId="74DDB3DC" w14:textId="77777777" w:rsidR="00584EC1" w:rsidRDefault="00584EC1">
            <w:pPr>
              <w:rPr>
                <w:rFonts w:ascii="宋体"/>
                <w:vanish/>
              </w:rPr>
            </w:pPr>
          </w:p>
        </w:tc>
        <w:tc>
          <w:tcPr>
            <w:tcW w:w="0" w:type="auto"/>
            <w:gridSpan w:val="3"/>
            <w:shd w:val="clear" w:color="auto" w:fill="auto"/>
            <w:vAlign w:val="bottom"/>
          </w:tcPr>
          <w:p w14:paraId="74DDB3DD" w14:textId="77777777" w:rsidR="00584EC1" w:rsidRDefault="00584EC1">
            <w:pPr>
              <w:rPr>
                <w:rFonts w:ascii="宋体"/>
                <w:vanish/>
              </w:rPr>
            </w:pPr>
          </w:p>
        </w:tc>
        <w:tc>
          <w:tcPr>
            <w:tcW w:w="0" w:type="auto"/>
            <w:gridSpan w:val="3"/>
            <w:shd w:val="clear" w:color="auto" w:fill="auto"/>
            <w:vAlign w:val="bottom"/>
          </w:tcPr>
          <w:p w14:paraId="74DDB3DE" w14:textId="77777777" w:rsidR="00584EC1" w:rsidRDefault="00584EC1">
            <w:pPr>
              <w:rPr>
                <w:rFonts w:ascii="宋体"/>
                <w:vanish/>
              </w:rPr>
            </w:pPr>
          </w:p>
        </w:tc>
        <w:tc>
          <w:tcPr>
            <w:tcW w:w="0" w:type="auto"/>
            <w:gridSpan w:val="3"/>
            <w:shd w:val="clear" w:color="auto" w:fill="auto"/>
            <w:vAlign w:val="bottom"/>
          </w:tcPr>
          <w:p w14:paraId="74DDB3DF" w14:textId="77777777" w:rsidR="00584EC1" w:rsidRDefault="00584EC1">
            <w:pPr>
              <w:rPr>
                <w:rFonts w:ascii="宋体"/>
                <w:vanish/>
              </w:rPr>
            </w:pPr>
          </w:p>
        </w:tc>
        <w:tc>
          <w:tcPr>
            <w:tcW w:w="0" w:type="auto"/>
            <w:gridSpan w:val="3"/>
            <w:shd w:val="clear" w:color="auto" w:fill="auto"/>
            <w:vAlign w:val="bottom"/>
          </w:tcPr>
          <w:p w14:paraId="74DDB3E0" w14:textId="77777777" w:rsidR="00584EC1" w:rsidRDefault="00584EC1">
            <w:pPr>
              <w:rPr>
                <w:rFonts w:ascii="宋体"/>
                <w:vanish/>
              </w:rPr>
            </w:pPr>
          </w:p>
        </w:tc>
        <w:tc>
          <w:tcPr>
            <w:tcW w:w="0" w:type="auto"/>
            <w:gridSpan w:val="3"/>
            <w:shd w:val="clear" w:color="auto" w:fill="auto"/>
            <w:vAlign w:val="bottom"/>
          </w:tcPr>
          <w:p w14:paraId="74DDB3E1" w14:textId="77777777" w:rsidR="00584EC1" w:rsidRDefault="00584EC1">
            <w:pPr>
              <w:rPr>
                <w:rFonts w:ascii="宋体"/>
                <w:vanish/>
              </w:rPr>
            </w:pPr>
          </w:p>
        </w:tc>
        <w:tc>
          <w:tcPr>
            <w:tcW w:w="0" w:type="auto"/>
            <w:gridSpan w:val="3"/>
            <w:shd w:val="clear" w:color="auto" w:fill="auto"/>
            <w:vAlign w:val="bottom"/>
          </w:tcPr>
          <w:p w14:paraId="74DDB3E2" w14:textId="77777777" w:rsidR="00584EC1" w:rsidRDefault="00584EC1">
            <w:pPr>
              <w:rPr>
                <w:rFonts w:ascii="宋体"/>
                <w:vanish/>
              </w:rPr>
            </w:pPr>
          </w:p>
        </w:tc>
        <w:tc>
          <w:tcPr>
            <w:tcW w:w="0" w:type="auto"/>
            <w:gridSpan w:val="3"/>
            <w:shd w:val="clear" w:color="auto" w:fill="auto"/>
            <w:vAlign w:val="bottom"/>
          </w:tcPr>
          <w:p w14:paraId="74DDB3E3" w14:textId="77777777" w:rsidR="00584EC1" w:rsidRDefault="00584EC1">
            <w:pPr>
              <w:rPr>
                <w:rFonts w:ascii="宋体"/>
                <w:vanish/>
              </w:rPr>
            </w:pPr>
          </w:p>
        </w:tc>
        <w:tc>
          <w:tcPr>
            <w:tcW w:w="0" w:type="auto"/>
            <w:gridSpan w:val="3"/>
            <w:shd w:val="clear" w:color="auto" w:fill="auto"/>
            <w:vAlign w:val="bottom"/>
          </w:tcPr>
          <w:p w14:paraId="74DDB3E4" w14:textId="77777777" w:rsidR="00584EC1" w:rsidRDefault="00584EC1">
            <w:pPr>
              <w:rPr>
                <w:rFonts w:ascii="宋体"/>
                <w:vanish/>
              </w:rPr>
            </w:pPr>
          </w:p>
        </w:tc>
        <w:tc>
          <w:tcPr>
            <w:tcW w:w="0" w:type="auto"/>
            <w:gridSpan w:val="3"/>
            <w:shd w:val="clear" w:color="auto" w:fill="auto"/>
            <w:vAlign w:val="bottom"/>
          </w:tcPr>
          <w:p w14:paraId="74DDB3E5" w14:textId="77777777" w:rsidR="00584EC1" w:rsidRDefault="00584EC1">
            <w:pPr>
              <w:rPr>
                <w:rFonts w:ascii="宋体"/>
                <w:vanish/>
              </w:rPr>
            </w:pPr>
          </w:p>
        </w:tc>
        <w:tc>
          <w:tcPr>
            <w:tcW w:w="0" w:type="auto"/>
            <w:gridSpan w:val="3"/>
            <w:shd w:val="clear" w:color="auto" w:fill="auto"/>
            <w:vAlign w:val="bottom"/>
          </w:tcPr>
          <w:p w14:paraId="74DDB3E6" w14:textId="77777777" w:rsidR="00584EC1" w:rsidRDefault="00584EC1">
            <w:pPr>
              <w:rPr>
                <w:rFonts w:ascii="宋体"/>
                <w:vanish/>
              </w:rPr>
            </w:pPr>
          </w:p>
        </w:tc>
        <w:tc>
          <w:tcPr>
            <w:tcW w:w="0" w:type="auto"/>
            <w:gridSpan w:val="3"/>
            <w:shd w:val="clear" w:color="auto" w:fill="auto"/>
            <w:vAlign w:val="bottom"/>
          </w:tcPr>
          <w:p w14:paraId="74DDB3E7" w14:textId="77777777" w:rsidR="00584EC1" w:rsidRDefault="00584EC1">
            <w:pPr>
              <w:rPr>
                <w:rFonts w:ascii="宋体"/>
                <w:vanish/>
              </w:rPr>
            </w:pPr>
          </w:p>
        </w:tc>
        <w:tc>
          <w:tcPr>
            <w:tcW w:w="0" w:type="auto"/>
            <w:gridSpan w:val="3"/>
            <w:shd w:val="clear" w:color="auto" w:fill="auto"/>
            <w:vAlign w:val="bottom"/>
          </w:tcPr>
          <w:p w14:paraId="74DDB3E8" w14:textId="77777777" w:rsidR="00584EC1" w:rsidRDefault="00584EC1">
            <w:pPr>
              <w:rPr>
                <w:rFonts w:ascii="宋体"/>
                <w:vanish/>
              </w:rPr>
            </w:pPr>
          </w:p>
        </w:tc>
        <w:tc>
          <w:tcPr>
            <w:tcW w:w="0" w:type="auto"/>
            <w:gridSpan w:val="3"/>
            <w:shd w:val="clear" w:color="auto" w:fill="auto"/>
            <w:vAlign w:val="bottom"/>
          </w:tcPr>
          <w:p w14:paraId="74DDB3E9" w14:textId="77777777" w:rsidR="00584EC1" w:rsidRDefault="00584EC1">
            <w:pPr>
              <w:rPr>
                <w:rFonts w:ascii="宋体"/>
                <w:vanish/>
              </w:rPr>
            </w:pPr>
          </w:p>
        </w:tc>
        <w:tc>
          <w:tcPr>
            <w:tcW w:w="0" w:type="auto"/>
            <w:gridSpan w:val="3"/>
            <w:shd w:val="clear" w:color="auto" w:fill="auto"/>
            <w:vAlign w:val="bottom"/>
          </w:tcPr>
          <w:p w14:paraId="74DDB3EA" w14:textId="77777777" w:rsidR="00584EC1" w:rsidRDefault="00584EC1">
            <w:pPr>
              <w:rPr>
                <w:rFonts w:ascii="宋体"/>
                <w:vanish/>
              </w:rPr>
            </w:pPr>
          </w:p>
        </w:tc>
        <w:tc>
          <w:tcPr>
            <w:tcW w:w="0" w:type="auto"/>
            <w:gridSpan w:val="3"/>
            <w:shd w:val="clear" w:color="auto" w:fill="auto"/>
            <w:vAlign w:val="bottom"/>
          </w:tcPr>
          <w:p w14:paraId="74DDB3EB" w14:textId="77777777" w:rsidR="00584EC1" w:rsidRDefault="00584EC1">
            <w:pPr>
              <w:rPr>
                <w:rFonts w:ascii="宋体"/>
                <w:vanish/>
              </w:rPr>
            </w:pPr>
          </w:p>
        </w:tc>
      </w:tr>
      <w:tr w:rsidR="00584EC1" w14:paraId="74DDB3FF" w14:textId="77777777">
        <w:trPr>
          <w:jc w:val="center"/>
        </w:trPr>
        <w:tc>
          <w:tcPr>
            <w:tcW w:w="0" w:type="auto"/>
            <w:gridSpan w:val="3"/>
            <w:shd w:val="clear" w:color="auto" w:fill="FFFFFF"/>
            <w:tcMar>
              <w:top w:w="40" w:type="dxa"/>
              <w:left w:w="20" w:type="dxa"/>
              <w:bottom w:w="40" w:type="dxa"/>
              <w:right w:w="20" w:type="dxa"/>
            </w:tcMar>
            <w:vAlign w:val="bottom"/>
          </w:tcPr>
          <w:p w14:paraId="74DDB3ED" w14:textId="77777777" w:rsidR="00584EC1" w:rsidRDefault="00871F8D">
            <w:pPr>
              <w:textAlignment w:val="bottom"/>
            </w:pPr>
            <w:r>
              <w:rPr>
                <w:rFonts w:ascii="Arial" w:eastAsia="宋体" w:hAnsi="Arial" w:cs="Arial"/>
                <w:color w:val="000000"/>
                <w:sz w:val="15"/>
                <w:szCs w:val="15"/>
              </w:rPr>
              <w:t>Cash dividends declared:</w:t>
            </w:r>
          </w:p>
        </w:tc>
        <w:tc>
          <w:tcPr>
            <w:tcW w:w="0" w:type="auto"/>
            <w:gridSpan w:val="3"/>
            <w:shd w:val="clear" w:color="auto" w:fill="FFFFFF"/>
            <w:tcMar>
              <w:top w:w="0" w:type="dxa"/>
              <w:left w:w="20" w:type="dxa"/>
              <w:bottom w:w="0" w:type="dxa"/>
              <w:right w:w="20" w:type="dxa"/>
            </w:tcMar>
            <w:vAlign w:val="bottom"/>
          </w:tcPr>
          <w:p w14:paraId="74DDB3EE"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3EF"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3F0"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3F1"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3F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3F3"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3F4"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3F5"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3F6"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3F7"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3F8"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3F9"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3FA"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3FB"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3FC"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3FD"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3FE" w14:textId="77777777" w:rsidR="00584EC1" w:rsidRDefault="00584EC1">
            <w:pPr>
              <w:rPr>
                <w:rFonts w:ascii="宋体"/>
              </w:rPr>
            </w:pPr>
          </w:p>
        </w:tc>
      </w:tr>
      <w:tr w:rsidR="00584EC1" w14:paraId="74DDB414" w14:textId="77777777">
        <w:trPr>
          <w:jc w:val="center"/>
        </w:trPr>
        <w:tc>
          <w:tcPr>
            <w:tcW w:w="0" w:type="auto"/>
            <w:gridSpan w:val="3"/>
            <w:shd w:val="clear" w:color="auto" w:fill="CCEEFF"/>
            <w:tcMar>
              <w:top w:w="40" w:type="dxa"/>
              <w:left w:w="20" w:type="dxa"/>
              <w:bottom w:w="40" w:type="dxa"/>
              <w:right w:w="20" w:type="dxa"/>
            </w:tcMar>
            <w:vAlign w:val="bottom"/>
          </w:tcPr>
          <w:p w14:paraId="74DDB400" w14:textId="77777777" w:rsidR="00584EC1" w:rsidRDefault="00871F8D">
            <w:pPr>
              <w:textAlignment w:val="bottom"/>
            </w:pPr>
            <w:r>
              <w:rPr>
                <w:rFonts w:ascii="Arial" w:eastAsia="宋体" w:hAnsi="Arial" w:cs="Arial"/>
                <w:color w:val="000000"/>
                <w:sz w:val="15"/>
                <w:szCs w:val="15"/>
              </w:rPr>
              <w:t>Common stock - $0.52 per share</w:t>
            </w:r>
          </w:p>
        </w:tc>
        <w:tc>
          <w:tcPr>
            <w:tcW w:w="0" w:type="auto"/>
            <w:gridSpan w:val="3"/>
            <w:shd w:val="clear" w:color="auto" w:fill="CCEEFF"/>
            <w:tcMar>
              <w:top w:w="0" w:type="dxa"/>
              <w:left w:w="20" w:type="dxa"/>
              <w:bottom w:w="0" w:type="dxa"/>
              <w:right w:w="20" w:type="dxa"/>
            </w:tcMar>
            <w:vAlign w:val="bottom"/>
          </w:tcPr>
          <w:p w14:paraId="74DDB401"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402"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403"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404"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405"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406"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407"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408"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409" w14:textId="77777777" w:rsidR="00584EC1" w:rsidRDefault="00871F8D">
            <w:pPr>
              <w:jc w:val="right"/>
              <w:textAlignment w:val="bottom"/>
            </w:pPr>
            <w:r>
              <w:rPr>
                <w:rFonts w:ascii="Arial" w:eastAsia="宋体" w:hAnsi="Arial" w:cs="Arial"/>
                <w:color w:val="000000"/>
                <w:sz w:val="15"/>
                <w:szCs w:val="15"/>
              </w:rPr>
              <w:t>(179)</w:t>
            </w:r>
          </w:p>
        </w:tc>
        <w:tc>
          <w:tcPr>
            <w:tcW w:w="0" w:type="auto"/>
            <w:shd w:val="clear" w:color="auto" w:fill="CCEEFF"/>
            <w:tcMar>
              <w:top w:w="40" w:type="dxa"/>
              <w:left w:w="0" w:type="dxa"/>
              <w:bottom w:w="40" w:type="dxa"/>
              <w:right w:w="20" w:type="dxa"/>
            </w:tcMar>
            <w:vAlign w:val="bottom"/>
          </w:tcPr>
          <w:p w14:paraId="74DDB40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40B"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40C"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40D"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40E"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40F"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410"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41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412" w14:textId="77777777" w:rsidR="00584EC1" w:rsidRDefault="00871F8D">
            <w:pPr>
              <w:jc w:val="right"/>
              <w:textAlignment w:val="bottom"/>
            </w:pPr>
            <w:r>
              <w:rPr>
                <w:rFonts w:ascii="Arial" w:eastAsia="宋体" w:hAnsi="Arial" w:cs="Arial"/>
                <w:color w:val="000000"/>
                <w:sz w:val="15"/>
                <w:szCs w:val="15"/>
              </w:rPr>
              <w:t>(179)</w:t>
            </w:r>
          </w:p>
        </w:tc>
        <w:tc>
          <w:tcPr>
            <w:tcW w:w="0" w:type="auto"/>
            <w:shd w:val="clear" w:color="auto" w:fill="CCEEFF"/>
            <w:tcMar>
              <w:top w:w="40" w:type="dxa"/>
              <w:left w:w="0" w:type="dxa"/>
              <w:bottom w:w="40" w:type="dxa"/>
              <w:right w:w="20" w:type="dxa"/>
            </w:tcMar>
            <w:vAlign w:val="bottom"/>
          </w:tcPr>
          <w:p w14:paraId="74DDB413" w14:textId="77777777" w:rsidR="00584EC1" w:rsidRDefault="00584EC1">
            <w:pPr>
              <w:jc w:val="right"/>
              <w:rPr>
                <w:rFonts w:ascii="宋体"/>
              </w:rPr>
            </w:pPr>
          </w:p>
        </w:tc>
      </w:tr>
      <w:tr w:rsidR="00584EC1" w14:paraId="74DDB429" w14:textId="77777777">
        <w:trPr>
          <w:jc w:val="center"/>
        </w:trPr>
        <w:tc>
          <w:tcPr>
            <w:tcW w:w="0" w:type="auto"/>
            <w:gridSpan w:val="3"/>
            <w:shd w:val="clear" w:color="auto" w:fill="FFFFFF"/>
            <w:tcMar>
              <w:top w:w="40" w:type="dxa"/>
              <w:left w:w="140" w:type="dxa"/>
              <w:bottom w:w="40" w:type="dxa"/>
              <w:right w:w="20" w:type="dxa"/>
            </w:tcMar>
            <w:vAlign w:val="bottom"/>
          </w:tcPr>
          <w:p w14:paraId="74DDB415" w14:textId="77777777" w:rsidR="00584EC1" w:rsidRDefault="00871F8D">
            <w:pPr>
              <w:textAlignment w:val="bottom"/>
            </w:pPr>
            <w:r>
              <w:rPr>
                <w:rFonts w:ascii="Arial" w:eastAsia="宋体" w:hAnsi="Arial" w:cs="Arial"/>
                <w:color w:val="000000"/>
                <w:sz w:val="15"/>
                <w:szCs w:val="15"/>
              </w:rPr>
              <w:t>Preferred stock</w:t>
            </w:r>
          </w:p>
        </w:tc>
        <w:tc>
          <w:tcPr>
            <w:tcW w:w="0" w:type="auto"/>
            <w:gridSpan w:val="3"/>
            <w:shd w:val="clear" w:color="auto" w:fill="FFFFFF"/>
            <w:tcMar>
              <w:top w:w="0" w:type="dxa"/>
              <w:left w:w="20" w:type="dxa"/>
              <w:bottom w:w="0" w:type="dxa"/>
              <w:right w:w="20" w:type="dxa"/>
            </w:tcMar>
            <w:vAlign w:val="bottom"/>
          </w:tcPr>
          <w:p w14:paraId="74DDB416"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417"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418"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419"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41A"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41B"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41C"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41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41E" w14:textId="77777777" w:rsidR="00584EC1" w:rsidRDefault="00871F8D">
            <w:pPr>
              <w:jc w:val="right"/>
              <w:textAlignment w:val="bottom"/>
            </w:pPr>
            <w:r>
              <w:rPr>
                <w:rFonts w:ascii="Arial" w:eastAsia="宋体" w:hAnsi="Arial" w:cs="Arial"/>
                <w:color w:val="000000"/>
                <w:sz w:val="15"/>
                <w:szCs w:val="15"/>
              </w:rPr>
              <w:t>(34)</w:t>
            </w:r>
          </w:p>
        </w:tc>
        <w:tc>
          <w:tcPr>
            <w:tcW w:w="0" w:type="auto"/>
            <w:shd w:val="clear" w:color="auto" w:fill="FFFFFF"/>
            <w:tcMar>
              <w:top w:w="40" w:type="dxa"/>
              <w:left w:w="0" w:type="dxa"/>
              <w:bottom w:w="40" w:type="dxa"/>
              <w:right w:w="20" w:type="dxa"/>
            </w:tcMar>
            <w:vAlign w:val="bottom"/>
          </w:tcPr>
          <w:p w14:paraId="74DDB41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420"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421"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42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423"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424"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425"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42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427" w14:textId="77777777" w:rsidR="00584EC1" w:rsidRDefault="00871F8D">
            <w:pPr>
              <w:jc w:val="right"/>
              <w:textAlignment w:val="bottom"/>
            </w:pPr>
            <w:r>
              <w:rPr>
                <w:rFonts w:ascii="Arial" w:eastAsia="宋体" w:hAnsi="Arial" w:cs="Arial"/>
                <w:color w:val="000000"/>
                <w:sz w:val="15"/>
                <w:szCs w:val="15"/>
              </w:rPr>
              <w:t>(34)</w:t>
            </w:r>
          </w:p>
        </w:tc>
        <w:tc>
          <w:tcPr>
            <w:tcW w:w="0" w:type="auto"/>
            <w:shd w:val="clear" w:color="auto" w:fill="FFFFFF"/>
            <w:tcMar>
              <w:top w:w="40" w:type="dxa"/>
              <w:left w:w="0" w:type="dxa"/>
              <w:bottom w:w="40" w:type="dxa"/>
              <w:right w:w="20" w:type="dxa"/>
            </w:tcMar>
            <w:vAlign w:val="bottom"/>
          </w:tcPr>
          <w:p w14:paraId="74DDB428" w14:textId="77777777" w:rsidR="00584EC1" w:rsidRDefault="00584EC1">
            <w:pPr>
              <w:jc w:val="right"/>
              <w:rPr>
                <w:rFonts w:ascii="宋体"/>
              </w:rPr>
            </w:pPr>
          </w:p>
        </w:tc>
      </w:tr>
      <w:tr w:rsidR="00584EC1" w14:paraId="74DDB43F" w14:textId="77777777">
        <w:trPr>
          <w:jc w:val="center"/>
        </w:trPr>
        <w:tc>
          <w:tcPr>
            <w:tcW w:w="0" w:type="auto"/>
            <w:gridSpan w:val="3"/>
            <w:shd w:val="clear" w:color="auto" w:fill="CCEEFF"/>
            <w:tcMar>
              <w:top w:w="40" w:type="dxa"/>
              <w:left w:w="20" w:type="dxa"/>
              <w:bottom w:w="40" w:type="dxa"/>
              <w:right w:w="20" w:type="dxa"/>
            </w:tcMar>
            <w:vAlign w:val="bottom"/>
          </w:tcPr>
          <w:p w14:paraId="74DDB42A" w14:textId="77777777" w:rsidR="00584EC1" w:rsidRDefault="00871F8D">
            <w:pPr>
              <w:textAlignment w:val="bottom"/>
            </w:pPr>
            <w:r>
              <w:rPr>
                <w:rFonts w:ascii="Arial" w:eastAsia="宋体" w:hAnsi="Arial" w:cs="Arial"/>
                <w:color w:val="000000"/>
                <w:sz w:val="15"/>
                <w:szCs w:val="15"/>
              </w:rPr>
              <w:t>Common stock acquired</w:t>
            </w:r>
          </w:p>
        </w:tc>
        <w:tc>
          <w:tcPr>
            <w:tcW w:w="0" w:type="auto"/>
            <w:gridSpan w:val="3"/>
            <w:shd w:val="clear" w:color="auto" w:fill="CCEEFF"/>
            <w:tcMar>
              <w:top w:w="0" w:type="dxa"/>
              <w:left w:w="20" w:type="dxa"/>
              <w:bottom w:w="0" w:type="dxa"/>
              <w:right w:w="20" w:type="dxa"/>
            </w:tcMar>
            <w:vAlign w:val="bottom"/>
          </w:tcPr>
          <w:p w14:paraId="74DDB42B"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42C"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42D"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42E"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42F"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430"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431"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432"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433"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434"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435"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43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437" w14:textId="77777777" w:rsidR="00584EC1" w:rsidRDefault="00871F8D">
            <w:pPr>
              <w:jc w:val="right"/>
              <w:textAlignment w:val="bottom"/>
            </w:pPr>
            <w:r>
              <w:rPr>
                <w:rFonts w:ascii="Arial" w:eastAsia="宋体" w:hAnsi="Arial" w:cs="Arial"/>
                <w:color w:val="000000"/>
                <w:sz w:val="15"/>
                <w:szCs w:val="15"/>
              </w:rPr>
              <w:t>5,017 </w:t>
            </w:r>
          </w:p>
        </w:tc>
        <w:tc>
          <w:tcPr>
            <w:tcW w:w="0" w:type="auto"/>
            <w:shd w:val="clear" w:color="auto" w:fill="CCEEFF"/>
            <w:tcMar>
              <w:top w:w="40" w:type="dxa"/>
              <w:left w:w="0" w:type="dxa"/>
              <w:bottom w:w="40" w:type="dxa"/>
              <w:right w:w="20" w:type="dxa"/>
            </w:tcMar>
            <w:vAlign w:val="bottom"/>
          </w:tcPr>
          <w:p w14:paraId="74DDB43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43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43A" w14:textId="77777777" w:rsidR="00584EC1" w:rsidRDefault="00871F8D">
            <w:pPr>
              <w:jc w:val="right"/>
              <w:textAlignment w:val="bottom"/>
            </w:pPr>
            <w:r>
              <w:rPr>
                <w:rFonts w:ascii="Arial" w:eastAsia="宋体" w:hAnsi="Arial" w:cs="Arial"/>
                <w:color w:val="000000"/>
                <w:sz w:val="15"/>
                <w:szCs w:val="15"/>
              </w:rPr>
              <w:t>(425)</w:t>
            </w:r>
          </w:p>
        </w:tc>
        <w:tc>
          <w:tcPr>
            <w:tcW w:w="0" w:type="auto"/>
            <w:shd w:val="clear" w:color="auto" w:fill="CCEEFF"/>
            <w:tcMar>
              <w:top w:w="40" w:type="dxa"/>
              <w:left w:w="0" w:type="dxa"/>
              <w:bottom w:w="40" w:type="dxa"/>
              <w:right w:w="20" w:type="dxa"/>
            </w:tcMar>
            <w:vAlign w:val="bottom"/>
          </w:tcPr>
          <w:p w14:paraId="74DDB43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43C"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43D" w14:textId="77777777" w:rsidR="00584EC1" w:rsidRDefault="00871F8D">
            <w:pPr>
              <w:jc w:val="right"/>
              <w:textAlignment w:val="bottom"/>
            </w:pPr>
            <w:r>
              <w:rPr>
                <w:rFonts w:ascii="Arial" w:eastAsia="宋体" w:hAnsi="Arial" w:cs="Arial"/>
                <w:color w:val="000000"/>
                <w:sz w:val="15"/>
                <w:szCs w:val="15"/>
              </w:rPr>
              <w:t>(425)</w:t>
            </w:r>
          </w:p>
        </w:tc>
        <w:tc>
          <w:tcPr>
            <w:tcW w:w="0" w:type="auto"/>
            <w:shd w:val="clear" w:color="auto" w:fill="CCEEFF"/>
            <w:tcMar>
              <w:top w:w="40" w:type="dxa"/>
              <w:left w:w="0" w:type="dxa"/>
              <w:bottom w:w="40" w:type="dxa"/>
              <w:right w:w="20" w:type="dxa"/>
            </w:tcMar>
            <w:vAlign w:val="bottom"/>
          </w:tcPr>
          <w:p w14:paraId="74DDB43E" w14:textId="77777777" w:rsidR="00584EC1" w:rsidRDefault="00584EC1">
            <w:pPr>
              <w:jc w:val="right"/>
              <w:rPr>
                <w:rFonts w:ascii="宋体"/>
              </w:rPr>
            </w:pPr>
          </w:p>
        </w:tc>
      </w:tr>
      <w:tr w:rsidR="00584EC1" w14:paraId="74DDB456" w14:textId="77777777">
        <w:trPr>
          <w:jc w:val="center"/>
        </w:trPr>
        <w:tc>
          <w:tcPr>
            <w:tcW w:w="0" w:type="auto"/>
            <w:gridSpan w:val="3"/>
            <w:shd w:val="clear" w:color="auto" w:fill="FFFFFF"/>
            <w:tcMar>
              <w:top w:w="40" w:type="dxa"/>
              <w:left w:w="20" w:type="dxa"/>
              <w:bottom w:w="40" w:type="dxa"/>
              <w:right w:w="20" w:type="dxa"/>
            </w:tcMar>
            <w:vAlign w:val="bottom"/>
          </w:tcPr>
          <w:p w14:paraId="74DDB440" w14:textId="77777777" w:rsidR="00584EC1" w:rsidRDefault="00871F8D">
            <w:pPr>
              <w:textAlignment w:val="bottom"/>
            </w:pPr>
            <w:r>
              <w:rPr>
                <w:rFonts w:ascii="Arial" w:eastAsia="宋体" w:hAnsi="Arial" w:cs="Arial"/>
                <w:color w:val="000000"/>
                <w:sz w:val="15"/>
                <w:szCs w:val="15"/>
              </w:rPr>
              <w:t>Common stock awards exercised</w:t>
            </w:r>
          </w:p>
        </w:tc>
        <w:tc>
          <w:tcPr>
            <w:tcW w:w="0" w:type="auto"/>
            <w:gridSpan w:val="3"/>
            <w:shd w:val="clear" w:color="auto" w:fill="FFFFFF"/>
            <w:tcMar>
              <w:top w:w="0" w:type="dxa"/>
              <w:left w:w="20" w:type="dxa"/>
              <w:bottom w:w="0" w:type="dxa"/>
              <w:right w:w="20" w:type="dxa"/>
            </w:tcMar>
            <w:vAlign w:val="bottom"/>
          </w:tcPr>
          <w:p w14:paraId="74DDB441"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44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443"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444"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445"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44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447" w14:textId="77777777" w:rsidR="00584EC1" w:rsidRDefault="00871F8D">
            <w:pPr>
              <w:jc w:val="right"/>
              <w:textAlignment w:val="bottom"/>
            </w:pPr>
            <w:r>
              <w:rPr>
                <w:rFonts w:ascii="Arial" w:eastAsia="宋体" w:hAnsi="Arial" w:cs="Arial"/>
                <w:color w:val="000000"/>
                <w:sz w:val="15"/>
                <w:szCs w:val="15"/>
              </w:rPr>
              <w:t>19 </w:t>
            </w:r>
          </w:p>
        </w:tc>
        <w:tc>
          <w:tcPr>
            <w:tcW w:w="0" w:type="auto"/>
            <w:shd w:val="clear" w:color="auto" w:fill="FFFFFF"/>
            <w:tcMar>
              <w:top w:w="40" w:type="dxa"/>
              <w:left w:w="0" w:type="dxa"/>
              <w:bottom w:w="40" w:type="dxa"/>
              <w:right w:w="20" w:type="dxa"/>
            </w:tcMar>
            <w:vAlign w:val="bottom"/>
          </w:tcPr>
          <w:p w14:paraId="74DDB44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449"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44A"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44B"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44C"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44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44E" w14:textId="77777777" w:rsidR="00584EC1" w:rsidRDefault="00871F8D">
            <w:pPr>
              <w:jc w:val="right"/>
              <w:textAlignment w:val="bottom"/>
            </w:pPr>
            <w:r>
              <w:rPr>
                <w:rFonts w:ascii="Arial" w:eastAsia="宋体" w:hAnsi="Arial" w:cs="Arial"/>
                <w:color w:val="000000"/>
                <w:sz w:val="15"/>
                <w:szCs w:val="15"/>
              </w:rPr>
              <w:t>(487)</w:t>
            </w:r>
          </w:p>
        </w:tc>
        <w:tc>
          <w:tcPr>
            <w:tcW w:w="0" w:type="auto"/>
            <w:shd w:val="clear" w:color="auto" w:fill="FFFFFF"/>
            <w:tcMar>
              <w:top w:w="40" w:type="dxa"/>
              <w:left w:w="0" w:type="dxa"/>
              <w:bottom w:w="40" w:type="dxa"/>
              <w:right w:w="20" w:type="dxa"/>
            </w:tcMar>
            <w:vAlign w:val="bottom"/>
          </w:tcPr>
          <w:p w14:paraId="74DDB44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45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451" w14:textId="77777777" w:rsidR="00584EC1" w:rsidRDefault="00871F8D">
            <w:pPr>
              <w:jc w:val="right"/>
              <w:textAlignment w:val="bottom"/>
            </w:pPr>
            <w:r>
              <w:rPr>
                <w:rFonts w:ascii="Arial" w:eastAsia="宋体" w:hAnsi="Arial" w:cs="Arial"/>
                <w:color w:val="000000"/>
                <w:sz w:val="15"/>
                <w:szCs w:val="15"/>
              </w:rPr>
              <w:t>23 </w:t>
            </w:r>
          </w:p>
        </w:tc>
        <w:tc>
          <w:tcPr>
            <w:tcW w:w="0" w:type="auto"/>
            <w:shd w:val="clear" w:color="auto" w:fill="FFFFFF"/>
            <w:tcMar>
              <w:top w:w="40" w:type="dxa"/>
              <w:left w:w="0" w:type="dxa"/>
              <w:bottom w:w="40" w:type="dxa"/>
              <w:right w:w="20" w:type="dxa"/>
            </w:tcMar>
            <w:vAlign w:val="bottom"/>
          </w:tcPr>
          <w:p w14:paraId="74DDB45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45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454" w14:textId="77777777" w:rsidR="00584EC1" w:rsidRDefault="00871F8D">
            <w:pPr>
              <w:jc w:val="right"/>
              <w:textAlignment w:val="bottom"/>
            </w:pPr>
            <w:r>
              <w:rPr>
                <w:rFonts w:ascii="Arial" w:eastAsia="宋体" w:hAnsi="Arial" w:cs="Arial"/>
                <w:color w:val="000000"/>
                <w:sz w:val="15"/>
                <w:szCs w:val="15"/>
              </w:rPr>
              <w:t>42 </w:t>
            </w:r>
          </w:p>
        </w:tc>
        <w:tc>
          <w:tcPr>
            <w:tcW w:w="0" w:type="auto"/>
            <w:shd w:val="clear" w:color="auto" w:fill="FFFFFF"/>
            <w:tcMar>
              <w:top w:w="40" w:type="dxa"/>
              <w:left w:w="0" w:type="dxa"/>
              <w:bottom w:w="40" w:type="dxa"/>
              <w:right w:w="20" w:type="dxa"/>
            </w:tcMar>
            <w:vAlign w:val="bottom"/>
          </w:tcPr>
          <w:p w14:paraId="74DDB455" w14:textId="77777777" w:rsidR="00584EC1" w:rsidRDefault="00584EC1">
            <w:pPr>
              <w:jc w:val="right"/>
              <w:rPr>
                <w:rFonts w:ascii="宋体"/>
              </w:rPr>
            </w:pPr>
          </w:p>
        </w:tc>
      </w:tr>
      <w:tr w:rsidR="00584EC1" w14:paraId="74DDB46B" w14:textId="77777777">
        <w:trPr>
          <w:jc w:val="center"/>
        </w:trPr>
        <w:tc>
          <w:tcPr>
            <w:tcW w:w="0" w:type="auto"/>
            <w:gridSpan w:val="3"/>
            <w:shd w:val="clear" w:color="auto" w:fill="CCEEFF"/>
            <w:tcMar>
              <w:top w:w="40" w:type="dxa"/>
              <w:left w:w="20" w:type="dxa"/>
              <w:bottom w:w="40" w:type="dxa"/>
              <w:right w:w="20" w:type="dxa"/>
            </w:tcMar>
            <w:vAlign w:val="bottom"/>
          </w:tcPr>
          <w:p w14:paraId="74DDB457" w14:textId="77777777" w:rsidR="00584EC1" w:rsidRDefault="00871F8D">
            <w:pPr>
              <w:textAlignment w:val="bottom"/>
            </w:pPr>
            <w:r>
              <w:rPr>
                <w:rFonts w:ascii="Arial" w:eastAsia="宋体" w:hAnsi="Arial" w:cs="Arial"/>
                <w:color w:val="000000"/>
                <w:sz w:val="15"/>
                <w:szCs w:val="15"/>
              </w:rPr>
              <w:t>Other</w:t>
            </w:r>
          </w:p>
        </w:tc>
        <w:tc>
          <w:tcPr>
            <w:tcW w:w="0" w:type="auto"/>
            <w:gridSpan w:val="3"/>
            <w:shd w:val="clear" w:color="auto" w:fill="CCEEFF"/>
            <w:tcMar>
              <w:top w:w="0" w:type="dxa"/>
              <w:left w:w="20" w:type="dxa"/>
              <w:bottom w:w="0" w:type="dxa"/>
              <w:right w:w="20" w:type="dxa"/>
            </w:tcMar>
            <w:vAlign w:val="bottom"/>
          </w:tcPr>
          <w:p w14:paraId="74DDB458"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459"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45A"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45B"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45C"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45D"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45E"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45F"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460" w14:textId="77777777" w:rsidR="00584EC1" w:rsidRDefault="00871F8D">
            <w:pPr>
              <w:jc w:val="right"/>
              <w:textAlignment w:val="bottom"/>
            </w:pPr>
            <w:r>
              <w:rPr>
                <w:rFonts w:ascii="Arial" w:eastAsia="宋体" w:hAnsi="Arial" w:cs="Arial"/>
                <w:color w:val="000000"/>
                <w:sz w:val="15"/>
                <w:szCs w:val="15"/>
              </w:rPr>
              <w:t>(1)</w:t>
            </w:r>
          </w:p>
        </w:tc>
        <w:tc>
          <w:tcPr>
            <w:tcW w:w="0" w:type="auto"/>
            <w:shd w:val="clear" w:color="auto" w:fill="CCEEFF"/>
            <w:tcMar>
              <w:top w:w="40" w:type="dxa"/>
              <w:left w:w="0" w:type="dxa"/>
              <w:bottom w:w="40" w:type="dxa"/>
              <w:right w:w="20" w:type="dxa"/>
            </w:tcMar>
            <w:vAlign w:val="bottom"/>
          </w:tcPr>
          <w:p w14:paraId="74DDB46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462"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463"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464"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465"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466"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467"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468"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469" w14:textId="77777777" w:rsidR="00584EC1" w:rsidRDefault="00871F8D">
            <w:pPr>
              <w:jc w:val="right"/>
              <w:textAlignment w:val="bottom"/>
            </w:pPr>
            <w:r>
              <w:rPr>
                <w:rFonts w:ascii="Arial" w:eastAsia="宋体" w:hAnsi="Arial" w:cs="Arial"/>
                <w:color w:val="000000"/>
                <w:sz w:val="15"/>
                <w:szCs w:val="15"/>
              </w:rPr>
              <w:t>(1)</w:t>
            </w:r>
          </w:p>
        </w:tc>
        <w:tc>
          <w:tcPr>
            <w:tcW w:w="0" w:type="auto"/>
            <w:shd w:val="clear" w:color="auto" w:fill="CCEEFF"/>
            <w:tcMar>
              <w:top w:w="40" w:type="dxa"/>
              <w:left w:w="0" w:type="dxa"/>
              <w:bottom w:w="40" w:type="dxa"/>
              <w:right w:w="20" w:type="dxa"/>
            </w:tcMar>
            <w:vAlign w:val="bottom"/>
          </w:tcPr>
          <w:p w14:paraId="74DDB46A" w14:textId="77777777" w:rsidR="00584EC1" w:rsidRDefault="00584EC1">
            <w:pPr>
              <w:jc w:val="right"/>
              <w:rPr>
                <w:rFonts w:ascii="宋体"/>
              </w:rPr>
            </w:pPr>
          </w:p>
        </w:tc>
      </w:tr>
      <w:tr w:rsidR="00871F8D" w14:paraId="74DDB48E" w14:textId="77777777">
        <w:trPr>
          <w:jc w:val="center"/>
        </w:trPr>
        <w:tc>
          <w:tcPr>
            <w:tcW w:w="0" w:type="auto"/>
            <w:gridSpan w:val="3"/>
            <w:shd w:val="clear" w:color="auto" w:fill="FFFFFF"/>
            <w:tcMar>
              <w:top w:w="40" w:type="dxa"/>
              <w:left w:w="20" w:type="dxa"/>
              <w:bottom w:w="40" w:type="dxa"/>
              <w:right w:w="20" w:type="dxa"/>
            </w:tcMar>
            <w:vAlign w:val="bottom"/>
          </w:tcPr>
          <w:p w14:paraId="74DDB46C" w14:textId="77777777" w:rsidR="00584EC1" w:rsidRDefault="00871F8D">
            <w:pPr>
              <w:textAlignment w:val="bottom"/>
            </w:pPr>
            <w:r>
              <w:rPr>
                <w:rFonts w:ascii="Arial" w:eastAsia="宋体" w:hAnsi="Arial" w:cs="Arial"/>
                <w:b/>
                <w:bCs/>
                <w:color w:val="000000"/>
                <w:sz w:val="15"/>
                <w:szCs w:val="15"/>
              </w:rPr>
              <w:t>Balance at June 30, 2021</w:t>
            </w:r>
          </w:p>
        </w:tc>
        <w:tc>
          <w:tcPr>
            <w:tcW w:w="0" w:type="auto"/>
            <w:tcBorders>
              <w:top w:val="single" w:sz="8" w:space="0" w:color="000000"/>
            </w:tcBorders>
            <w:shd w:val="clear" w:color="auto" w:fill="FFFFFF"/>
            <w:tcMar>
              <w:top w:w="40" w:type="dxa"/>
              <w:left w:w="20" w:type="dxa"/>
              <w:bottom w:w="40" w:type="dxa"/>
              <w:right w:w="0" w:type="dxa"/>
            </w:tcMar>
            <w:vAlign w:val="bottom"/>
          </w:tcPr>
          <w:p w14:paraId="74DDB46D"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B46E" w14:textId="77777777" w:rsidR="00584EC1" w:rsidRDefault="00871F8D">
            <w:pPr>
              <w:jc w:val="right"/>
              <w:textAlignment w:val="bottom"/>
            </w:pPr>
            <w:r>
              <w:rPr>
                <w:rFonts w:ascii="Arial" w:eastAsia="宋体" w:hAnsi="Arial" w:cs="Arial"/>
                <w:color w:val="000000"/>
                <w:sz w:val="15"/>
                <w:szCs w:val="15"/>
              </w:rPr>
              <w:t>1,976 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B46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470"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B471" w14:textId="77777777" w:rsidR="00584EC1" w:rsidRDefault="00871F8D">
            <w:pPr>
              <w:jc w:val="right"/>
              <w:textAlignment w:val="bottom"/>
            </w:pPr>
            <w:r>
              <w:rPr>
                <w:rFonts w:ascii="Arial" w:eastAsia="宋体" w:hAnsi="Arial" w:cs="Arial"/>
                <w:color w:val="000000"/>
                <w:sz w:val="15"/>
                <w:szCs w:val="15"/>
              </w:rPr>
              <w:t>503,880 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B47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473"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B474"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B475" w14:textId="77777777" w:rsidR="00584EC1" w:rsidRDefault="00871F8D">
            <w:pPr>
              <w:jc w:val="right"/>
              <w:textAlignment w:val="bottom"/>
            </w:pPr>
            <w:r>
              <w:rPr>
                <w:rFonts w:ascii="Arial" w:eastAsia="宋体" w:hAnsi="Arial" w:cs="Arial"/>
                <w:color w:val="000000"/>
                <w:sz w:val="15"/>
                <w:szCs w:val="15"/>
              </w:rPr>
              <w:t>504 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B47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477"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B478"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B479" w14:textId="77777777" w:rsidR="00584EC1" w:rsidRDefault="00871F8D">
            <w:pPr>
              <w:jc w:val="right"/>
              <w:textAlignment w:val="bottom"/>
            </w:pPr>
            <w:r>
              <w:rPr>
                <w:rFonts w:ascii="Arial" w:eastAsia="宋体" w:hAnsi="Arial" w:cs="Arial"/>
                <w:color w:val="000000"/>
                <w:sz w:val="15"/>
                <w:szCs w:val="15"/>
              </w:rPr>
              <w:t>10,246 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B47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47B"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B47C"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B47D" w14:textId="77777777" w:rsidR="00584EC1" w:rsidRDefault="00871F8D">
            <w:pPr>
              <w:jc w:val="right"/>
              <w:textAlignment w:val="bottom"/>
            </w:pPr>
            <w:r>
              <w:rPr>
                <w:rFonts w:ascii="Arial" w:eastAsia="宋体" w:hAnsi="Arial" w:cs="Arial"/>
                <w:color w:val="000000"/>
                <w:sz w:val="15"/>
                <w:szCs w:val="15"/>
              </w:rPr>
              <w:t>24,300 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B47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47F"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B480"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B481" w14:textId="77777777" w:rsidR="00584EC1" w:rsidRDefault="00871F8D">
            <w:pPr>
              <w:jc w:val="right"/>
              <w:textAlignment w:val="bottom"/>
            </w:pPr>
            <w:r>
              <w:rPr>
                <w:rFonts w:ascii="Arial" w:eastAsia="宋体" w:hAnsi="Arial" w:cs="Arial"/>
                <w:color w:val="000000"/>
                <w:sz w:val="15"/>
                <w:szCs w:val="15"/>
              </w:rPr>
              <w:t>(422)</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B48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483"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B484" w14:textId="77777777" w:rsidR="00584EC1" w:rsidRDefault="00871F8D">
            <w:pPr>
              <w:jc w:val="right"/>
              <w:textAlignment w:val="bottom"/>
            </w:pPr>
            <w:r>
              <w:rPr>
                <w:rFonts w:ascii="Arial" w:eastAsia="宋体" w:hAnsi="Arial" w:cs="Arial"/>
                <w:color w:val="000000"/>
                <w:sz w:val="15"/>
                <w:szCs w:val="15"/>
              </w:rPr>
              <w:t>160,377 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B48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486"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B487"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B488" w14:textId="77777777" w:rsidR="00584EC1" w:rsidRDefault="00871F8D">
            <w:pPr>
              <w:jc w:val="right"/>
              <w:textAlignment w:val="bottom"/>
            </w:pPr>
            <w:r>
              <w:rPr>
                <w:rFonts w:ascii="Arial" w:eastAsia="宋体" w:hAnsi="Arial" w:cs="Arial"/>
                <w:color w:val="000000"/>
                <w:sz w:val="15"/>
                <w:szCs w:val="15"/>
              </w:rPr>
              <w:t>(11,437)</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B48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48A"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B48B"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B48C" w14:textId="77777777" w:rsidR="00584EC1" w:rsidRDefault="00871F8D">
            <w:pPr>
              <w:jc w:val="right"/>
              <w:textAlignment w:val="bottom"/>
            </w:pPr>
            <w:r>
              <w:rPr>
                <w:rFonts w:ascii="Arial" w:eastAsia="宋体" w:hAnsi="Arial" w:cs="Arial"/>
                <w:color w:val="000000"/>
                <w:sz w:val="15"/>
                <w:szCs w:val="15"/>
              </w:rPr>
              <w:t>25,167 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B48D" w14:textId="77777777" w:rsidR="00584EC1" w:rsidRDefault="00584EC1">
            <w:pPr>
              <w:jc w:val="right"/>
              <w:rPr>
                <w:rFonts w:ascii="宋体"/>
              </w:rPr>
            </w:pPr>
          </w:p>
        </w:tc>
      </w:tr>
      <w:tr w:rsidR="00584EC1" w14:paraId="74DDB4A3" w14:textId="77777777">
        <w:trPr>
          <w:jc w:val="center"/>
        </w:trPr>
        <w:tc>
          <w:tcPr>
            <w:tcW w:w="0" w:type="auto"/>
            <w:gridSpan w:val="3"/>
            <w:shd w:val="clear" w:color="auto" w:fill="CCEEFF"/>
            <w:tcMar>
              <w:top w:w="40" w:type="dxa"/>
              <w:left w:w="20" w:type="dxa"/>
              <w:bottom w:w="40" w:type="dxa"/>
              <w:right w:w="20" w:type="dxa"/>
            </w:tcMar>
            <w:vAlign w:val="bottom"/>
          </w:tcPr>
          <w:p w14:paraId="74DDB48F" w14:textId="77777777" w:rsidR="00584EC1" w:rsidRDefault="00871F8D">
            <w:pPr>
              <w:textAlignment w:val="bottom"/>
            </w:pPr>
            <w:r>
              <w:rPr>
                <w:rFonts w:ascii="Arial" w:eastAsia="宋体" w:hAnsi="Arial" w:cs="Arial"/>
                <w:color w:val="000000"/>
                <w:sz w:val="15"/>
                <w:szCs w:val="15"/>
              </w:rPr>
              <w:t>Net i</w:t>
            </w:r>
            <w:r>
              <w:rPr>
                <w:rFonts w:ascii="Arial" w:eastAsia="宋体" w:hAnsi="Arial" w:cs="Arial"/>
                <w:color w:val="000000"/>
                <w:sz w:val="15"/>
                <w:szCs w:val="15"/>
              </w:rPr>
              <w:t>ncome</w:t>
            </w:r>
          </w:p>
        </w:tc>
        <w:tc>
          <w:tcPr>
            <w:tcW w:w="0" w:type="auto"/>
            <w:gridSpan w:val="3"/>
            <w:shd w:val="clear" w:color="auto" w:fill="CCEEFF"/>
            <w:tcMar>
              <w:top w:w="0" w:type="dxa"/>
              <w:left w:w="20" w:type="dxa"/>
              <w:bottom w:w="0" w:type="dxa"/>
              <w:right w:w="20" w:type="dxa"/>
            </w:tcMar>
            <w:vAlign w:val="bottom"/>
          </w:tcPr>
          <w:p w14:paraId="74DDB490"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491"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492"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493"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494"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495"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496"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49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498" w14:textId="77777777" w:rsidR="00584EC1" w:rsidRDefault="00871F8D">
            <w:pPr>
              <w:jc w:val="right"/>
              <w:textAlignment w:val="bottom"/>
            </w:pPr>
            <w:r>
              <w:rPr>
                <w:rFonts w:ascii="Arial" w:eastAsia="宋体" w:hAnsi="Arial" w:cs="Arial"/>
                <w:b/>
                <w:bCs/>
                <w:color w:val="000000"/>
                <w:sz w:val="15"/>
                <w:szCs w:val="15"/>
              </w:rPr>
              <w:t>714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B49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49A"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49B"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49C"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49D"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49E"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49F"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4A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4A1" w14:textId="77777777" w:rsidR="00584EC1" w:rsidRDefault="00871F8D">
            <w:pPr>
              <w:jc w:val="right"/>
              <w:textAlignment w:val="bottom"/>
            </w:pPr>
            <w:r>
              <w:rPr>
                <w:rFonts w:ascii="Arial" w:eastAsia="宋体" w:hAnsi="Arial" w:cs="Arial"/>
                <w:b/>
                <w:bCs/>
                <w:color w:val="000000"/>
                <w:sz w:val="15"/>
                <w:szCs w:val="15"/>
              </w:rPr>
              <w:t>714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B4A2" w14:textId="77777777" w:rsidR="00584EC1" w:rsidRDefault="00584EC1">
            <w:pPr>
              <w:jc w:val="right"/>
              <w:rPr>
                <w:rFonts w:ascii="宋体"/>
              </w:rPr>
            </w:pPr>
          </w:p>
        </w:tc>
      </w:tr>
      <w:tr w:rsidR="00584EC1" w14:paraId="74DDB4B8" w14:textId="77777777">
        <w:trPr>
          <w:jc w:val="center"/>
        </w:trPr>
        <w:tc>
          <w:tcPr>
            <w:tcW w:w="0" w:type="auto"/>
            <w:gridSpan w:val="3"/>
            <w:shd w:val="clear" w:color="auto" w:fill="FFFFFF"/>
            <w:tcMar>
              <w:top w:w="40" w:type="dxa"/>
              <w:left w:w="20" w:type="dxa"/>
              <w:bottom w:w="40" w:type="dxa"/>
              <w:right w:w="20" w:type="dxa"/>
            </w:tcMar>
            <w:vAlign w:val="bottom"/>
          </w:tcPr>
          <w:p w14:paraId="74DDB4A4" w14:textId="77777777" w:rsidR="00584EC1" w:rsidRDefault="00871F8D">
            <w:pPr>
              <w:textAlignment w:val="bottom"/>
            </w:pPr>
            <w:r>
              <w:rPr>
                <w:rFonts w:ascii="Arial" w:eastAsia="宋体" w:hAnsi="Arial" w:cs="Arial"/>
                <w:color w:val="000000"/>
                <w:sz w:val="15"/>
                <w:szCs w:val="15"/>
              </w:rPr>
              <w:t>Other comprehensive income (loss)</w:t>
            </w:r>
          </w:p>
        </w:tc>
        <w:tc>
          <w:tcPr>
            <w:tcW w:w="0" w:type="auto"/>
            <w:gridSpan w:val="3"/>
            <w:shd w:val="clear" w:color="auto" w:fill="FFFFFF"/>
            <w:tcMar>
              <w:top w:w="0" w:type="dxa"/>
              <w:left w:w="20" w:type="dxa"/>
              <w:bottom w:w="0" w:type="dxa"/>
              <w:right w:w="20" w:type="dxa"/>
            </w:tcMar>
            <w:vAlign w:val="bottom"/>
          </w:tcPr>
          <w:p w14:paraId="74DDB4A5"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4A6"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4A7"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4A8"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4A9"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4AA"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4AB"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4AC"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4AD"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4A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4AF" w14:textId="77777777" w:rsidR="00584EC1" w:rsidRDefault="00871F8D">
            <w:pPr>
              <w:jc w:val="right"/>
              <w:textAlignment w:val="bottom"/>
            </w:pPr>
            <w:r>
              <w:rPr>
                <w:rFonts w:ascii="Arial" w:eastAsia="宋体" w:hAnsi="Arial" w:cs="Arial"/>
                <w:b/>
                <w:bCs/>
                <w:color w:val="000000"/>
                <w:sz w:val="15"/>
                <w:szCs w:val="15"/>
              </w:rPr>
              <w:t>(260)</w:t>
            </w:r>
          </w:p>
        </w:tc>
        <w:tc>
          <w:tcPr>
            <w:tcW w:w="0" w:type="auto"/>
            <w:shd w:val="clear" w:color="auto" w:fill="FFFFFF"/>
            <w:tcMar>
              <w:top w:w="40" w:type="dxa"/>
              <w:left w:w="0" w:type="dxa"/>
              <w:bottom w:w="40" w:type="dxa"/>
              <w:right w:w="20" w:type="dxa"/>
            </w:tcMar>
            <w:vAlign w:val="bottom"/>
          </w:tcPr>
          <w:p w14:paraId="74DDB4B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4B1"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4B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4B3"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4B4"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4B5"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4B6" w14:textId="77777777" w:rsidR="00584EC1" w:rsidRDefault="00871F8D">
            <w:pPr>
              <w:jc w:val="right"/>
              <w:textAlignment w:val="bottom"/>
            </w:pPr>
            <w:r>
              <w:rPr>
                <w:rFonts w:ascii="Arial" w:eastAsia="宋体" w:hAnsi="Arial" w:cs="Arial"/>
                <w:b/>
                <w:bCs/>
                <w:color w:val="000000"/>
                <w:sz w:val="15"/>
                <w:szCs w:val="15"/>
              </w:rPr>
              <w:t>(260)</w:t>
            </w:r>
          </w:p>
        </w:tc>
        <w:tc>
          <w:tcPr>
            <w:tcW w:w="0" w:type="auto"/>
            <w:shd w:val="clear" w:color="auto" w:fill="FFFFFF"/>
            <w:tcMar>
              <w:top w:w="40" w:type="dxa"/>
              <w:left w:w="0" w:type="dxa"/>
              <w:bottom w:w="40" w:type="dxa"/>
              <w:right w:w="20" w:type="dxa"/>
            </w:tcMar>
            <w:vAlign w:val="bottom"/>
          </w:tcPr>
          <w:p w14:paraId="74DDB4B7" w14:textId="77777777" w:rsidR="00584EC1" w:rsidRDefault="00584EC1">
            <w:pPr>
              <w:jc w:val="right"/>
              <w:rPr>
                <w:rFonts w:ascii="宋体"/>
              </w:rPr>
            </w:pPr>
          </w:p>
        </w:tc>
      </w:tr>
      <w:tr w:rsidR="00584EC1" w14:paraId="74DDB4CF" w14:textId="77777777">
        <w:trPr>
          <w:jc w:val="center"/>
        </w:trPr>
        <w:tc>
          <w:tcPr>
            <w:tcW w:w="0" w:type="auto"/>
            <w:gridSpan w:val="3"/>
            <w:shd w:val="clear" w:color="auto" w:fill="CCEEFF"/>
            <w:tcMar>
              <w:top w:w="40" w:type="dxa"/>
              <w:left w:w="20" w:type="dxa"/>
              <w:bottom w:w="40" w:type="dxa"/>
              <w:right w:w="20" w:type="dxa"/>
            </w:tcMar>
            <w:vAlign w:val="bottom"/>
          </w:tcPr>
          <w:p w14:paraId="74DDB4B9" w14:textId="77777777" w:rsidR="00584EC1" w:rsidRDefault="00871F8D">
            <w:pPr>
              <w:textAlignment w:val="bottom"/>
            </w:pPr>
            <w:r>
              <w:rPr>
                <w:rFonts w:ascii="Arial" w:eastAsia="宋体" w:hAnsi="Arial" w:cs="Arial"/>
                <w:color w:val="000000"/>
                <w:sz w:val="15"/>
                <w:szCs w:val="15"/>
              </w:rPr>
              <w:t>Common stock issued</w:t>
            </w:r>
          </w:p>
        </w:tc>
        <w:tc>
          <w:tcPr>
            <w:tcW w:w="0" w:type="auto"/>
            <w:gridSpan w:val="3"/>
            <w:shd w:val="clear" w:color="auto" w:fill="CCEEFF"/>
            <w:tcMar>
              <w:top w:w="0" w:type="dxa"/>
              <w:left w:w="20" w:type="dxa"/>
              <w:bottom w:w="0" w:type="dxa"/>
              <w:right w:w="20" w:type="dxa"/>
            </w:tcMar>
            <w:vAlign w:val="bottom"/>
          </w:tcPr>
          <w:p w14:paraId="74DDB4BA"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4BB"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4BC"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4BD"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4BE"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4BF"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4C0" w14:textId="77777777" w:rsidR="00584EC1" w:rsidRDefault="00871F8D">
            <w:pPr>
              <w:jc w:val="right"/>
              <w:textAlignment w:val="bottom"/>
            </w:pPr>
            <w:r>
              <w:rPr>
                <w:rFonts w:ascii="Arial" w:eastAsia="宋体" w:hAnsi="Arial" w:cs="Arial"/>
                <w:b/>
                <w:bCs/>
                <w:color w:val="000000"/>
                <w:sz w:val="15"/>
                <w:szCs w:val="15"/>
              </w:rPr>
              <w:t>516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B4C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4C2"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4C3"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4C4"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4C5"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4C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4C7" w14:textId="77777777" w:rsidR="00584EC1" w:rsidRDefault="00871F8D">
            <w:pPr>
              <w:jc w:val="right"/>
              <w:textAlignment w:val="bottom"/>
            </w:pPr>
            <w:r>
              <w:rPr>
                <w:rFonts w:ascii="Arial" w:eastAsia="宋体" w:hAnsi="Arial" w:cs="Arial"/>
                <w:b/>
                <w:bCs/>
                <w:color w:val="000000"/>
                <w:sz w:val="15"/>
                <w:szCs w:val="15"/>
              </w:rPr>
              <w:t>(21,724)</w:t>
            </w:r>
          </w:p>
        </w:tc>
        <w:tc>
          <w:tcPr>
            <w:tcW w:w="0" w:type="auto"/>
            <w:shd w:val="clear" w:color="auto" w:fill="CCEEFF"/>
            <w:tcMar>
              <w:top w:w="40" w:type="dxa"/>
              <w:left w:w="0" w:type="dxa"/>
              <w:bottom w:w="40" w:type="dxa"/>
              <w:right w:w="20" w:type="dxa"/>
            </w:tcMar>
            <w:vAlign w:val="bottom"/>
          </w:tcPr>
          <w:p w14:paraId="74DDB4C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4C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4CA" w14:textId="77777777" w:rsidR="00584EC1" w:rsidRDefault="00871F8D">
            <w:pPr>
              <w:jc w:val="right"/>
              <w:textAlignment w:val="bottom"/>
            </w:pPr>
            <w:r>
              <w:rPr>
                <w:rFonts w:ascii="Arial" w:eastAsia="宋体" w:hAnsi="Arial" w:cs="Arial"/>
                <w:b/>
                <w:bCs/>
                <w:color w:val="000000"/>
                <w:sz w:val="15"/>
                <w:szCs w:val="15"/>
              </w:rPr>
              <w:t>1,384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B4C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4CC"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4CD" w14:textId="77777777" w:rsidR="00584EC1" w:rsidRDefault="00871F8D">
            <w:pPr>
              <w:jc w:val="right"/>
              <w:textAlignment w:val="bottom"/>
            </w:pPr>
            <w:r>
              <w:rPr>
                <w:rFonts w:ascii="Arial" w:eastAsia="宋体" w:hAnsi="Arial" w:cs="Arial"/>
                <w:b/>
                <w:bCs/>
                <w:color w:val="000000"/>
                <w:sz w:val="15"/>
                <w:szCs w:val="15"/>
              </w:rPr>
              <w:t>1,900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B4CE" w14:textId="77777777" w:rsidR="00584EC1" w:rsidRDefault="00584EC1">
            <w:pPr>
              <w:jc w:val="right"/>
              <w:rPr>
                <w:rFonts w:ascii="宋体"/>
              </w:rPr>
            </w:pPr>
          </w:p>
        </w:tc>
      </w:tr>
      <w:tr w:rsidR="00584EC1" w14:paraId="74DDB4E2" w14:textId="77777777">
        <w:trPr>
          <w:jc w:val="center"/>
        </w:trPr>
        <w:tc>
          <w:tcPr>
            <w:tcW w:w="0" w:type="auto"/>
            <w:gridSpan w:val="3"/>
            <w:shd w:val="clear" w:color="auto" w:fill="FFFFFF"/>
            <w:tcMar>
              <w:top w:w="40" w:type="dxa"/>
              <w:left w:w="20" w:type="dxa"/>
              <w:bottom w:w="40" w:type="dxa"/>
              <w:right w:w="20" w:type="dxa"/>
            </w:tcMar>
            <w:vAlign w:val="bottom"/>
          </w:tcPr>
          <w:p w14:paraId="74DDB4D0" w14:textId="77777777" w:rsidR="00584EC1" w:rsidRDefault="00871F8D">
            <w:pPr>
              <w:textAlignment w:val="bottom"/>
            </w:pPr>
            <w:r>
              <w:rPr>
                <w:rFonts w:ascii="Arial" w:eastAsia="宋体" w:hAnsi="Arial" w:cs="Arial"/>
                <w:color w:val="000000"/>
                <w:sz w:val="15"/>
                <w:szCs w:val="15"/>
              </w:rPr>
              <w:t>Cash dividends declared:</w:t>
            </w:r>
          </w:p>
        </w:tc>
        <w:tc>
          <w:tcPr>
            <w:tcW w:w="0" w:type="auto"/>
            <w:gridSpan w:val="3"/>
            <w:shd w:val="clear" w:color="auto" w:fill="FFFFFF"/>
            <w:tcMar>
              <w:top w:w="0" w:type="dxa"/>
              <w:left w:w="20" w:type="dxa"/>
              <w:bottom w:w="0" w:type="dxa"/>
              <w:right w:w="20" w:type="dxa"/>
            </w:tcMar>
            <w:vAlign w:val="bottom"/>
          </w:tcPr>
          <w:p w14:paraId="74DDB4D1"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4D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4D3"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4D4"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4D5"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4D6"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4D7"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4D8"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4D9"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4DA"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4DB"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4DC"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4DD"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4DE"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4DF"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4E0"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4E1" w14:textId="77777777" w:rsidR="00584EC1" w:rsidRDefault="00584EC1">
            <w:pPr>
              <w:rPr>
                <w:rFonts w:ascii="宋体"/>
              </w:rPr>
            </w:pPr>
          </w:p>
        </w:tc>
      </w:tr>
      <w:tr w:rsidR="00584EC1" w14:paraId="74DDB4F7" w14:textId="77777777">
        <w:trPr>
          <w:jc w:val="center"/>
        </w:trPr>
        <w:tc>
          <w:tcPr>
            <w:tcW w:w="0" w:type="auto"/>
            <w:gridSpan w:val="3"/>
            <w:shd w:val="clear" w:color="auto" w:fill="CCEEFF"/>
            <w:tcMar>
              <w:top w:w="40" w:type="dxa"/>
              <w:left w:w="20" w:type="dxa"/>
              <w:bottom w:w="40" w:type="dxa"/>
              <w:right w:w="20" w:type="dxa"/>
            </w:tcMar>
            <w:vAlign w:val="bottom"/>
          </w:tcPr>
          <w:p w14:paraId="74DDB4E3" w14:textId="77777777" w:rsidR="00584EC1" w:rsidRDefault="00871F8D">
            <w:pPr>
              <w:textAlignment w:val="bottom"/>
            </w:pPr>
            <w:r>
              <w:rPr>
                <w:rFonts w:ascii="Arial" w:eastAsia="宋体" w:hAnsi="Arial" w:cs="Arial"/>
                <w:color w:val="000000"/>
                <w:sz w:val="15"/>
                <w:szCs w:val="15"/>
              </w:rPr>
              <w:t>Common stock - $0.57 per share</w:t>
            </w:r>
          </w:p>
        </w:tc>
        <w:tc>
          <w:tcPr>
            <w:tcW w:w="0" w:type="auto"/>
            <w:gridSpan w:val="3"/>
            <w:shd w:val="clear" w:color="auto" w:fill="CCEEFF"/>
            <w:tcMar>
              <w:top w:w="0" w:type="dxa"/>
              <w:left w:w="20" w:type="dxa"/>
              <w:bottom w:w="0" w:type="dxa"/>
              <w:right w:w="20" w:type="dxa"/>
            </w:tcMar>
            <w:vAlign w:val="bottom"/>
          </w:tcPr>
          <w:p w14:paraId="74DDB4E4"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4E5"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4E6"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4E7"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4E8"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4E9"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4EA"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4E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4EC" w14:textId="77777777" w:rsidR="00584EC1" w:rsidRDefault="00871F8D">
            <w:pPr>
              <w:jc w:val="right"/>
              <w:textAlignment w:val="bottom"/>
            </w:pPr>
            <w:r>
              <w:rPr>
                <w:rFonts w:ascii="Arial" w:eastAsia="宋体" w:hAnsi="Arial" w:cs="Arial"/>
                <w:b/>
                <w:bCs/>
                <w:color w:val="000000"/>
                <w:sz w:val="15"/>
                <w:szCs w:val="15"/>
              </w:rPr>
              <w:t>(209)</w:t>
            </w:r>
          </w:p>
        </w:tc>
        <w:tc>
          <w:tcPr>
            <w:tcW w:w="0" w:type="auto"/>
            <w:shd w:val="clear" w:color="auto" w:fill="CCEEFF"/>
            <w:tcMar>
              <w:top w:w="40" w:type="dxa"/>
              <w:left w:w="0" w:type="dxa"/>
              <w:bottom w:w="40" w:type="dxa"/>
              <w:right w:w="20" w:type="dxa"/>
            </w:tcMar>
            <w:vAlign w:val="bottom"/>
          </w:tcPr>
          <w:p w14:paraId="74DDB4E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4EE"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4EF"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4F0"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4F1"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4F2"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4F3"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4F4"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4F5" w14:textId="77777777" w:rsidR="00584EC1" w:rsidRDefault="00871F8D">
            <w:pPr>
              <w:jc w:val="right"/>
              <w:textAlignment w:val="bottom"/>
            </w:pPr>
            <w:r>
              <w:rPr>
                <w:rFonts w:ascii="Arial" w:eastAsia="宋体" w:hAnsi="Arial" w:cs="Arial"/>
                <w:b/>
                <w:bCs/>
                <w:color w:val="000000"/>
                <w:sz w:val="15"/>
                <w:szCs w:val="15"/>
              </w:rPr>
              <w:t>(209)</w:t>
            </w:r>
          </w:p>
        </w:tc>
        <w:tc>
          <w:tcPr>
            <w:tcW w:w="0" w:type="auto"/>
            <w:shd w:val="clear" w:color="auto" w:fill="CCEEFF"/>
            <w:tcMar>
              <w:top w:w="40" w:type="dxa"/>
              <w:left w:w="0" w:type="dxa"/>
              <w:bottom w:w="40" w:type="dxa"/>
              <w:right w:w="20" w:type="dxa"/>
            </w:tcMar>
            <w:vAlign w:val="bottom"/>
          </w:tcPr>
          <w:p w14:paraId="74DDB4F6" w14:textId="77777777" w:rsidR="00584EC1" w:rsidRDefault="00584EC1">
            <w:pPr>
              <w:jc w:val="right"/>
              <w:rPr>
                <w:rFonts w:ascii="宋体"/>
              </w:rPr>
            </w:pPr>
          </w:p>
        </w:tc>
      </w:tr>
      <w:tr w:rsidR="00584EC1" w14:paraId="74DDB50C" w14:textId="77777777">
        <w:trPr>
          <w:jc w:val="center"/>
        </w:trPr>
        <w:tc>
          <w:tcPr>
            <w:tcW w:w="0" w:type="auto"/>
            <w:gridSpan w:val="3"/>
            <w:shd w:val="clear" w:color="auto" w:fill="FFFFFF"/>
            <w:tcMar>
              <w:top w:w="40" w:type="dxa"/>
              <w:left w:w="140" w:type="dxa"/>
              <w:bottom w:w="40" w:type="dxa"/>
              <w:right w:w="20" w:type="dxa"/>
            </w:tcMar>
            <w:vAlign w:val="bottom"/>
          </w:tcPr>
          <w:p w14:paraId="74DDB4F8" w14:textId="77777777" w:rsidR="00584EC1" w:rsidRDefault="00871F8D">
            <w:pPr>
              <w:textAlignment w:val="bottom"/>
            </w:pPr>
            <w:r>
              <w:rPr>
                <w:rFonts w:ascii="Arial" w:eastAsia="宋体" w:hAnsi="Arial" w:cs="Arial"/>
                <w:color w:val="000000"/>
                <w:sz w:val="15"/>
                <w:szCs w:val="15"/>
              </w:rPr>
              <w:t>Preferred stock</w:t>
            </w:r>
          </w:p>
        </w:tc>
        <w:tc>
          <w:tcPr>
            <w:tcW w:w="0" w:type="auto"/>
            <w:gridSpan w:val="3"/>
            <w:shd w:val="clear" w:color="auto" w:fill="FFFFFF"/>
            <w:tcMar>
              <w:top w:w="0" w:type="dxa"/>
              <w:left w:w="20" w:type="dxa"/>
              <w:bottom w:w="0" w:type="dxa"/>
              <w:right w:w="20" w:type="dxa"/>
            </w:tcMar>
            <w:vAlign w:val="bottom"/>
          </w:tcPr>
          <w:p w14:paraId="74DDB4F9"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4FA"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4FB"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4FC"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4FD"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4FE"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4FF"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50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501" w14:textId="77777777" w:rsidR="00584EC1" w:rsidRDefault="00871F8D">
            <w:pPr>
              <w:jc w:val="right"/>
              <w:textAlignment w:val="bottom"/>
            </w:pPr>
            <w:r>
              <w:rPr>
                <w:rFonts w:ascii="Arial" w:eastAsia="宋体" w:hAnsi="Arial" w:cs="Arial"/>
                <w:b/>
                <w:bCs/>
                <w:color w:val="000000"/>
                <w:sz w:val="15"/>
                <w:szCs w:val="15"/>
              </w:rPr>
              <w:t>(20)</w:t>
            </w:r>
          </w:p>
        </w:tc>
        <w:tc>
          <w:tcPr>
            <w:tcW w:w="0" w:type="auto"/>
            <w:shd w:val="clear" w:color="auto" w:fill="FFFFFF"/>
            <w:tcMar>
              <w:top w:w="40" w:type="dxa"/>
              <w:left w:w="0" w:type="dxa"/>
              <w:bottom w:w="40" w:type="dxa"/>
              <w:right w:w="20" w:type="dxa"/>
            </w:tcMar>
            <w:vAlign w:val="bottom"/>
          </w:tcPr>
          <w:p w14:paraId="74DDB50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503"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504"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505"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506"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507"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508"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50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50A" w14:textId="77777777" w:rsidR="00584EC1" w:rsidRDefault="00871F8D">
            <w:pPr>
              <w:jc w:val="right"/>
              <w:textAlignment w:val="bottom"/>
            </w:pPr>
            <w:r>
              <w:rPr>
                <w:rFonts w:ascii="Arial" w:eastAsia="宋体" w:hAnsi="Arial" w:cs="Arial"/>
                <w:b/>
                <w:bCs/>
                <w:color w:val="000000"/>
                <w:sz w:val="15"/>
                <w:szCs w:val="15"/>
              </w:rPr>
              <w:t>(20)</w:t>
            </w:r>
          </w:p>
        </w:tc>
        <w:tc>
          <w:tcPr>
            <w:tcW w:w="0" w:type="auto"/>
            <w:shd w:val="clear" w:color="auto" w:fill="FFFFFF"/>
            <w:tcMar>
              <w:top w:w="40" w:type="dxa"/>
              <w:left w:w="0" w:type="dxa"/>
              <w:bottom w:w="40" w:type="dxa"/>
              <w:right w:w="20" w:type="dxa"/>
            </w:tcMar>
            <w:vAlign w:val="bottom"/>
          </w:tcPr>
          <w:p w14:paraId="74DDB50B" w14:textId="77777777" w:rsidR="00584EC1" w:rsidRDefault="00584EC1">
            <w:pPr>
              <w:jc w:val="right"/>
              <w:rPr>
                <w:rFonts w:ascii="宋体"/>
              </w:rPr>
            </w:pPr>
          </w:p>
        </w:tc>
      </w:tr>
      <w:tr w:rsidR="00584EC1" w14:paraId="74DDB51F" w14:textId="77777777">
        <w:trPr>
          <w:jc w:val="center"/>
          <w:hidden/>
        </w:trPr>
        <w:tc>
          <w:tcPr>
            <w:tcW w:w="0" w:type="auto"/>
            <w:gridSpan w:val="3"/>
            <w:shd w:val="clear" w:color="auto" w:fill="auto"/>
            <w:vAlign w:val="bottom"/>
          </w:tcPr>
          <w:p w14:paraId="74DDB50D" w14:textId="77777777" w:rsidR="00584EC1" w:rsidRDefault="00584EC1">
            <w:pPr>
              <w:rPr>
                <w:rFonts w:ascii="宋体"/>
                <w:vanish/>
              </w:rPr>
            </w:pPr>
          </w:p>
        </w:tc>
        <w:tc>
          <w:tcPr>
            <w:tcW w:w="0" w:type="auto"/>
            <w:gridSpan w:val="3"/>
            <w:shd w:val="clear" w:color="auto" w:fill="auto"/>
            <w:vAlign w:val="bottom"/>
          </w:tcPr>
          <w:p w14:paraId="74DDB50E" w14:textId="77777777" w:rsidR="00584EC1" w:rsidRDefault="00584EC1">
            <w:pPr>
              <w:rPr>
                <w:rFonts w:ascii="宋体"/>
                <w:vanish/>
              </w:rPr>
            </w:pPr>
          </w:p>
        </w:tc>
        <w:tc>
          <w:tcPr>
            <w:tcW w:w="0" w:type="auto"/>
            <w:gridSpan w:val="3"/>
            <w:shd w:val="clear" w:color="auto" w:fill="auto"/>
            <w:vAlign w:val="bottom"/>
          </w:tcPr>
          <w:p w14:paraId="74DDB50F" w14:textId="77777777" w:rsidR="00584EC1" w:rsidRDefault="00584EC1">
            <w:pPr>
              <w:rPr>
                <w:rFonts w:ascii="宋体"/>
                <w:vanish/>
              </w:rPr>
            </w:pPr>
          </w:p>
        </w:tc>
        <w:tc>
          <w:tcPr>
            <w:tcW w:w="0" w:type="auto"/>
            <w:gridSpan w:val="3"/>
            <w:shd w:val="clear" w:color="auto" w:fill="auto"/>
            <w:vAlign w:val="bottom"/>
          </w:tcPr>
          <w:p w14:paraId="74DDB510" w14:textId="77777777" w:rsidR="00584EC1" w:rsidRDefault="00584EC1">
            <w:pPr>
              <w:rPr>
                <w:rFonts w:ascii="宋体"/>
                <w:vanish/>
              </w:rPr>
            </w:pPr>
          </w:p>
        </w:tc>
        <w:tc>
          <w:tcPr>
            <w:tcW w:w="0" w:type="auto"/>
            <w:gridSpan w:val="3"/>
            <w:shd w:val="clear" w:color="auto" w:fill="auto"/>
            <w:vAlign w:val="bottom"/>
          </w:tcPr>
          <w:p w14:paraId="74DDB511" w14:textId="77777777" w:rsidR="00584EC1" w:rsidRDefault="00584EC1">
            <w:pPr>
              <w:rPr>
                <w:rFonts w:ascii="宋体"/>
                <w:vanish/>
              </w:rPr>
            </w:pPr>
          </w:p>
        </w:tc>
        <w:tc>
          <w:tcPr>
            <w:tcW w:w="0" w:type="auto"/>
            <w:gridSpan w:val="3"/>
            <w:shd w:val="clear" w:color="auto" w:fill="auto"/>
            <w:vAlign w:val="bottom"/>
          </w:tcPr>
          <w:p w14:paraId="74DDB512" w14:textId="77777777" w:rsidR="00584EC1" w:rsidRDefault="00584EC1">
            <w:pPr>
              <w:rPr>
                <w:rFonts w:ascii="宋体"/>
                <w:vanish/>
              </w:rPr>
            </w:pPr>
          </w:p>
        </w:tc>
        <w:tc>
          <w:tcPr>
            <w:tcW w:w="0" w:type="auto"/>
            <w:gridSpan w:val="3"/>
            <w:shd w:val="clear" w:color="auto" w:fill="auto"/>
            <w:vAlign w:val="bottom"/>
          </w:tcPr>
          <w:p w14:paraId="74DDB513" w14:textId="77777777" w:rsidR="00584EC1" w:rsidRDefault="00584EC1">
            <w:pPr>
              <w:rPr>
                <w:rFonts w:ascii="宋体"/>
                <w:vanish/>
              </w:rPr>
            </w:pPr>
          </w:p>
        </w:tc>
        <w:tc>
          <w:tcPr>
            <w:tcW w:w="0" w:type="auto"/>
            <w:gridSpan w:val="3"/>
            <w:shd w:val="clear" w:color="auto" w:fill="auto"/>
            <w:vAlign w:val="bottom"/>
          </w:tcPr>
          <w:p w14:paraId="74DDB514" w14:textId="77777777" w:rsidR="00584EC1" w:rsidRDefault="00584EC1">
            <w:pPr>
              <w:rPr>
                <w:rFonts w:ascii="宋体"/>
                <w:vanish/>
              </w:rPr>
            </w:pPr>
          </w:p>
        </w:tc>
        <w:tc>
          <w:tcPr>
            <w:tcW w:w="0" w:type="auto"/>
            <w:gridSpan w:val="3"/>
            <w:shd w:val="clear" w:color="auto" w:fill="auto"/>
            <w:vAlign w:val="bottom"/>
          </w:tcPr>
          <w:p w14:paraId="74DDB515" w14:textId="77777777" w:rsidR="00584EC1" w:rsidRDefault="00584EC1">
            <w:pPr>
              <w:rPr>
                <w:rFonts w:ascii="宋体"/>
                <w:vanish/>
              </w:rPr>
            </w:pPr>
          </w:p>
        </w:tc>
        <w:tc>
          <w:tcPr>
            <w:tcW w:w="0" w:type="auto"/>
            <w:gridSpan w:val="3"/>
            <w:shd w:val="clear" w:color="auto" w:fill="auto"/>
            <w:vAlign w:val="bottom"/>
          </w:tcPr>
          <w:p w14:paraId="74DDB516" w14:textId="77777777" w:rsidR="00584EC1" w:rsidRDefault="00584EC1">
            <w:pPr>
              <w:rPr>
                <w:rFonts w:ascii="宋体"/>
                <w:vanish/>
              </w:rPr>
            </w:pPr>
          </w:p>
        </w:tc>
        <w:tc>
          <w:tcPr>
            <w:tcW w:w="0" w:type="auto"/>
            <w:gridSpan w:val="3"/>
            <w:shd w:val="clear" w:color="auto" w:fill="auto"/>
            <w:vAlign w:val="bottom"/>
          </w:tcPr>
          <w:p w14:paraId="74DDB517" w14:textId="77777777" w:rsidR="00584EC1" w:rsidRDefault="00584EC1">
            <w:pPr>
              <w:rPr>
                <w:rFonts w:ascii="宋体"/>
                <w:vanish/>
              </w:rPr>
            </w:pPr>
          </w:p>
        </w:tc>
        <w:tc>
          <w:tcPr>
            <w:tcW w:w="0" w:type="auto"/>
            <w:gridSpan w:val="3"/>
            <w:shd w:val="clear" w:color="auto" w:fill="auto"/>
            <w:vAlign w:val="bottom"/>
          </w:tcPr>
          <w:p w14:paraId="74DDB518" w14:textId="77777777" w:rsidR="00584EC1" w:rsidRDefault="00584EC1">
            <w:pPr>
              <w:rPr>
                <w:rFonts w:ascii="宋体"/>
                <w:vanish/>
              </w:rPr>
            </w:pPr>
          </w:p>
        </w:tc>
        <w:tc>
          <w:tcPr>
            <w:tcW w:w="0" w:type="auto"/>
            <w:gridSpan w:val="3"/>
            <w:shd w:val="clear" w:color="auto" w:fill="auto"/>
            <w:vAlign w:val="bottom"/>
          </w:tcPr>
          <w:p w14:paraId="74DDB519" w14:textId="77777777" w:rsidR="00584EC1" w:rsidRDefault="00584EC1">
            <w:pPr>
              <w:rPr>
                <w:rFonts w:ascii="宋体"/>
                <w:vanish/>
              </w:rPr>
            </w:pPr>
          </w:p>
        </w:tc>
        <w:tc>
          <w:tcPr>
            <w:tcW w:w="0" w:type="auto"/>
            <w:gridSpan w:val="3"/>
            <w:shd w:val="clear" w:color="auto" w:fill="auto"/>
            <w:vAlign w:val="bottom"/>
          </w:tcPr>
          <w:p w14:paraId="74DDB51A" w14:textId="77777777" w:rsidR="00584EC1" w:rsidRDefault="00584EC1">
            <w:pPr>
              <w:rPr>
                <w:rFonts w:ascii="宋体"/>
                <w:vanish/>
              </w:rPr>
            </w:pPr>
          </w:p>
        </w:tc>
        <w:tc>
          <w:tcPr>
            <w:tcW w:w="0" w:type="auto"/>
            <w:gridSpan w:val="3"/>
            <w:shd w:val="clear" w:color="auto" w:fill="auto"/>
            <w:vAlign w:val="bottom"/>
          </w:tcPr>
          <w:p w14:paraId="74DDB51B" w14:textId="77777777" w:rsidR="00584EC1" w:rsidRDefault="00584EC1">
            <w:pPr>
              <w:rPr>
                <w:rFonts w:ascii="宋体"/>
                <w:vanish/>
              </w:rPr>
            </w:pPr>
          </w:p>
        </w:tc>
        <w:tc>
          <w:tcPr>
            <w:tcW w:w="0" w:type="auto"/>
            <w:gridSpan w:val="3"/>
            <w:shd w:val="clear" w:color="auto" w:fill="auto"/>
            <w:vAlign w:val="bottom"/>
          </w:tcPr>
          <w:p w14:paraId="74DDB51C" w14:textId="77777777" w:rsidR="00584EC1" w:rsidRDefault="00584EC1">
            <w:pPr>
              <w:rPr>
                <w:rFonts w:ascii="宋体"/>
                <w:vanish/>
              </w:rPr>
            </w:pPr>
          </w:p>
        </w:tc>
        <w:tc>
          <w:tcPr>
            <w:tcW w:w="0" w:type="auto"/>
            <w:gridSpan w:val="3"/>
            <w:shd w:val="clear" w:color="auto" w:fill="auto"/>
            <w:vAlign w:val="bottom"/>
          </w:tcPr>
          <w:p w14:paraId="74DDB51D" w14:textId="77777777" w:rsidR="00584EC1" w:rsidRDefault="00584EC1">
            <w:pPr>
              <w:rPr>
                <w:rFonts w:ascii="宋体"/>
                <w:vanish/>
              </w:rPr>
            </w:pPr>
          </w:p>
        </w:tc>
        <w:tc>
          <w:tcPr>
            <w:tcW w:w="0" w:type="auto"/>
            <w:gridSpan w:val="3"/>
            <w:shd w:val="clear" w:color="auto" w:fill="auto"/>
            <w:vAlign w:val="bottom"/>
          </w:tcPr>
          <w:p w14:paraId="74DDB51E" w14:textId="77777777" w:rsidR="00584EC1" w:rsidRDefault="00584EC1">
            <w:pPr>
              <w:rPr>
                <w:rFonts w:ascii="宋体"/>
                <w:vanish/>
              </w:rPr>
            </w:pPr>
          </w:p>
        </w:tc>
      </w:tr>
      <w:tr w:rsidR="00584EC1" w14:paraId="74DDB532" w14:textId="77777777">
        <w:trPr>
          <w:jc w:val="center"/>
          <w:hidden/>
        </w:trPr>
        <w:tc>
          <w:tcPr>
            <w:tcW w:w="0" w:type="auto"/>
            <w:gridSpan w:val="3"/>
            <w:shd w:val="clear" w:color="auto" w:fill="auto"/>
            <w:vAlign w:val="bottom"/>
          </w:tcPr>
          <w:p w14:paraId="74DDB520" w14:textId="77777777" w:rsidR="00584EC1" w:rsidRDefault="00584EC1">
            <w:pPr>
              <w:rPr>
                <w:rFonts w:ascii="宋体"/>
                <w:vanish/>
              </w:rPr>
            </w:pPr>
          </w:p>
        </w:tc>
        <w:tc>
          <w:tcPr>
            <w:tcW w:w="0" w:type="auto"/>
            <w:gridSpan w:val="3"/>
            <w:shd w:val="clear" w:color="auto" w:fill="auto"/>
            <w:vAlign w:val="bottom"/>
          </w:tcPr>
          <w:p w14:paraId="74DDB521" w14:textId="77777777" w:rsidR="00584EC1" w:rsidRDefault="00584EC1">
            <w:pPr>
              <w:rPr>
                <w:rFonts w:ascii="宋体"/>
                <w:vanish/>
              </w:rPr>
            </w:pPr>
          </w:p>
        </w:tc>
        <w:tc>
          <w:tcPr>
            <w:tcW w:w="0" w:type="auto"/>
            <w:gridSpan w:val="3"/>
            <w:shd w:val="clear" w:color="auto" w:fill="auto"/>
            <w:vAlign w:val="bottom"/>
          </w:tcPr>
          <w:p w14:paraId="74DDB522" w14:textId="77777777" w:rsidR="00584EC1" w:rsidRDefault="00584EC1">
            <w:pPr>
              <w:rPr>
                <w:rFonts w:ascii="宋体"/>
                <w:vanish/>
              </w:rPr>
            </w:pPr>
          </w:p>
        </w:tc>
        <w:tc>
          <w:tcPr>
            <w:tcW w:w="0" w:type="auto"/>
            <w:gridSpan w:val="3"/>
            <w:shd w:val="clear" w:color="auto" w:fill="auto"/>
            <w:vAlign w:val="bottom"/>
          </w:tcPr>
          <w:p w14:paraId="74DDB523" w14:textId="77777777" w:rsidR="00584EC1" w:rsidRDefault="00584EC1">
            <w:pPr>
              <w:rPr>
                <w:rFonts w:ascii="宋体"/>
                <w:vanish/>
              </w:rPr>
            </w:pPr>
          </w:p>
        </w:tc>
        <w:tc>
          <w:tcPr>
            <w:tcW w:w="0" w:type="auto"/>
            <w:gridSpan w:val="3"/>
            <w:shd w:val="clear" w:color="auto" w:fill="auto"/>
            <w:vAlign w:val="bottom"/>
          </w:tcPr>
          <w:p w14:paraId="74DDB524" w14:textId="77777777" w:rsidR="00584EC1" w:rsidRDefault="00584EC1">
            <w:pPr>
              <w:rPr>
                <w:rFonts w:ascii="宋体"/>
                <w:vanish/>
              </w:rPr>
            </w:pPr>
          </w:p>
        </w:tc>
        <w:tc>
          <w:tcPr>
            <w:tcW w:w="0" w:type="auto"/>
            <w:gridSpan w:val="3"/>
            <w:shd w:val="clear" w:color="auto" w:fill="auto"/>
            <w:vAlign w:val="bottom"/>
          </w:tcPr>
          <w:p w14:paraId="74DDB525" w14:textId="77777777" w:rsidR="00584EC1" w:rsidRDefault="00584EC1">
            <w:pPr>
              <w:rPr>
                <w:rFonts w:ascii="宋体"/>
                <w:vanish/>
              </w:rPr>
            </w:pPr>
          </w:p>
        </w:tc>
        <w:tc>
          <w:tcPr>
            <w:tcW w:w="0" w:type="auto"/>
            <w:gridSpan w:val="3"/>
            <w:shd w:val="clear" w:color="auto" w:fill="auto"/>
            <w:vAlign w:val="bottom"/>
          </w:tcPr>
          <w:p w14:paraId="74DDB526" w14:textId="77777777" w:rsidR="00584EC1" w:rsidRDefault="00584EC1">
            <w:pPr>
              <w:rPr>
                <w:rFonts w:ascii="宋体"/>
                <w:vanish/>
              </w:rPr>
            </w:pPr>
          </w:p>
        </w:tc>
        <w:tc>
          <w:tcPr>
            <w:tcW w:w="0" w:type="auto"/>
            <w:gridSpan w:val="3"/>
            <w:shd w:val="clear" w:color="auto" w:fill="auto"/>
            <w:vAlign w:val="bottom"/>
          </w:tcPr>
          <w:p w14:paraId="74DDB527" w14:textId="77777777" w:rsidR="00584EC1" w:rsidRDefault="00584EC1">
            <w:pPr>
              <w:rPr>
                <w:rFonts w:ascii="宋体"/>
                <w:vanish/>
              </w:rPr>
            </w:pPr>
          </w:p>
        </w:tc>
        <w:tc>
          <w:tcPr>
            <w:tcW w:w="0" w:type="auto"/>
            <w:gridSpan w:val="3"/>
            <w:shd w:val="clear" w:color="auto" w:fill="auto"/>
            <w:vAlign w:val="bottom"/>
          </w:tcPr>
          <w:p w14:paraId="74DDB528" w14:textId="77777777" w:rsidR="00584EC1" w:rsidRDefault="00584EC1">
            <w:pPr>
              <w:rPr>
                <w:rFonts w:ascii="宋体"/>
                <w:vanish/>
              </w:rPr>
            </w:pPr>
          </w:p>
        </w:tc>
        <w:tc>
          <w:tcPr>
            <w:tcW w:w="0" w:type="auto"/>
            <w:gridSpan w:val="3"/>
            <w:shd w:val="clear" w:color="auto" w:fill="auto"/>
            <w:vAlign w:val="bottom"/>
          </w:tcPr>
          <w:p w14:paraId="74DDB529" w14:textId="77777777" w:rsidR="00584EC1" w:rsidRDefault="00584EC1">
            <w:pPr>
              <w:rPr>
                <w:rFonts w:ascii="宋体"/>
                <w:vanish/>
              </w:rPr>
            </w:pPr>
          </w:p>
        </w:tc>
        <w:tc>
          <w:tcPr>
            <w:tcW w:w="0" w:type="auto"/>
            <w:gridSpan w:val="3"/>
            <w:shd w:val="clear" w:color="auto" w:fill="auto"/>
            <w:vAlign w:val="bottom"/>
          </w:tcPr>
          <w:p w14:paraId="74DDB52A" w14:textId="77777777" w:rsidR="00584EC1" w:rsidRDefault="00584EC1">
            <w:pPr>
              <w:rPr>
                <w:rFonts w:ascii="宋体"/>
                <w:vanish/>
              </w:rPr>
            </w:pPr>
          </w:p>
        </w:tc>
        <w:tc>
          <w:tcPr>
            <w:tcW w:w="0" w:type="auto"/>
            <w:gridSpan w:val="3"/>
            <w:shd w:val="clear" w:color="auto" w:fill="auto"/>
            <w:vAlign w:val="bottom"/>
          </w:tcPr>
          <w:p w14:paraId="74DDB52B" w14:textId="77777777" w:rsidR="00584EC1" w:rsidRDefault="00584EC1">
            <w:pPr>
              <w:rPr>
                <w:rFonts w:ascii="宋体"/>
                <w:vanish/>
              </w:rPr>
            </w:pPr>
          </w:p>
        </w:tc>
        <w:tc>
          <w:tcPr>
            <w:tcW w:w="0" w:type="auto"/>
            <w:gridSpan w:val="3"/>
            <w:shd w:val="clear" w:color="auto" w:fill="auto"/>
            <w:vAlign w:val="bottom"/>
          </w:tcPr>
          <w:p w14:paraId="74DDB52C" w14:textId="77777777" w:rsidR="00584EC1" w:rsidRDefault="00584EC1">
            <w:pPr>
              <w:rPr>
                <w:rFonts w:ascii="宋体"/>
                <w:vanish/>
              </w:rPr>
            </w:pPr>
          </w:p>
        </w:tc>
        <w:tc>
          <w:tcPr>
            <w:tcW w:w="0" w:type="auto"/>
            <w:gridSpan w:val="3"/>
            <w:shd w:val="clear" w:color="auto" w:fill="auto"/>
            <w:vAlign w:val="bottom"/>
          </w:tcPr>
          <w:p w14:paraId="74DDB52D" w14:textId="77777777" w:rsidR="00584EC1" w:rsidRDefault="00584EC1">
            <w:pPr>
              <w:rPr>
                <w:rFonts w:ascii="宋体"/>
                <w:vanish/>
              </w:rPr>
            </w:pPr>
          </w:p>
        </w:tc>
        <w:tc>
          <w:tcPr>
            <w:tcW w:w="0" w:type="auto"/>
            <w:gridSpan w:val="3"/>
            <w:shd w:val="clear" w:color="auto" w:fill="auto"/>
            <w:vAlign w:val="bottom"/>
          </w:tcPr>
          <w:p w14:paraId="74DDB52E" w14:textId="77777777" w:rsidR="00584EC1" w:rsidRDefault="00584EC1">
            <w:pPr>
              <w:rPr>
                <w:rFonts w:ascii="宋体"/>
                <w:vanish/>
              </w:rPr>
            </w:pPr>
          </w:p>
        </w:tc>
        <w:tc>
          <w:tcPr>
            <w:tcW w:w="0" w:type="auto"/>
            <w:gridSpan w:val="3"/>
            <w:shd w:val="clear" w:color="auto" w:fill="auto"/>
            <w:vAlign w:val="bottom"/>
          </w:tcPr>
          <w:p w14:paraId="74DDB52F" w14:textId="77777777" w:rsidR="00584EC1" w:rsidRDefault="00584EC1">
            <w:pPr>
              <w:rPr>
                <w:rFonts w:ascii="宋体"/>
                <w:vanish/>
              </w:rPr>
            </w:pPr>
          </w:p>
        </w:tc>
        <w:tc>
          <w:tcPr>
            <w:tcW w:w="0" w:type="auto"/>
            <w:gridSpan w:val="3"/>
            <w:shd w:val="clear" w:color="auto" w:fill="auto"/>
            <w:vAlign w:val="bottom"/>
          </w:tcPr>
          <w:p w14:paraId="74DDB530" w14:textId="77777777" w:rsidR="00584EC1" w:rsidRDefault="00584EC1">
            <w:pPr>
              <w:rPr>
                <w:rFonts w:ascii="宋体"/>
                <w:vanish/>
              </w:rPr>
            </w:pPr>
          </w:p>
        </w:tc>
        <w:tc>
          <w:tcPr>
            <w:tcW w:w="0" w:type="auto"/>
            <w:gridSpan w:val="3"/>
            <w:shd w:val="clear" w:color="auto" w:fill="auto"/>
            <w:vAlign w:val="bottom"/>
          </w:tcPr>
          <w:p w14:paraId="74DDB531" w14:textId="77777777" w:rsidR="00584EC1" w:rsidRDefault="00584EC1">
            <w:pPr>
              <w:rPr>
                <w:rFonts w:ascii="宋体"/>
                <w:vanish/>
              </w:rPr>
            </w:pPr>
          </w:p>
        </w:tc>
      </w:tr>
      <w:tr w:rsidR="00584EC1" w14:paraId="74DDB549" w14:textId="77777777">
        <w:trPr>
          <w:jc w:val="center"/>
        </w:trPr>
        <w:tc>
          <w:tcPr>
            <w:tcW w:w="0" w:type="auto"/>
            <w:gridSpan w:val="3"/>
            <w:shd w:val="clear" w:color="auto" w:fill="CCEEFF"/>
            <w:tcMar>
              <w:top w:w="40" w:type="dxa"/>
              <w:left w:w="20" w:type="dxa"/>
              <w:bottom w:w="40" w:type="dxa"/>
              <w:right w:w="20" w:type="dxa"/>
            </w:tcMar>
            <w:vAlign w:val="bottom"/>
          </w:tcPr>
          <w:p w14:paraId="74DDB533" w14:textId="77777777" w:rsidR="00584EC1" w:rsidRDefault="00871F8D">
            <w:pPr>
              <w:textAlignment w:val="bottom"/>
            </w:pPr>
            <w:r>
              <w:rPr>
                <w:rFonts w:ascii="Arial" w:eastAsia="宋体" w:hAnsi="Arial" w:cs="Arial"/>
                <w:color w:val="000000"/>
                <w:sz w:val="15"/>
                <w:szCs w:val="15"/>
              </w:rPr>
              <w:t>Common stock awards exercised</w:t>
            </w:r>
          </w:p>
        </w:tc>
        <w:tc>
          <w:tcPr>
            <w:tcW w:w="0" w:type="auto"/>
            <w:gridSpan w:val="3"/>
            <w:shd w:val="clear" w:color="auto" w:fill="CCEEFF"/>
            <w:tcMar>
              <w:top w:w="0" w:type="dxa"/>
              <w:left w:w="20" w:type="dxa"/>
              <w:bottom w:w="0" w:type="dxa"/>
              <w:right w:w="20" w:type="dxa"/>
            </w:tcMar>
            <w:vAlign w:val="bottom"/>
          </w:tcPr>
          <w:p w14:paraId="74DDB534"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535"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536"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537"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538"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53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53A" w14:textId="77777777" w:rsidR="00584EC1" w:rsidRDefault="00871F8D">
            <w:pPr>
              <w:jc w:val="right"/>
              <w:textAlignment w:val="bottom"/>
            </w:pPr>
            <w:r>
              <w:rPr>
                <w:rFonts w:ascii="Arial" w:eastAsia="宋体" w:hAnsi="Arial" w:cs="Arial"/>
                <w:b/>
                <w:bCs/>
                <w:color w:val="000000"/>
                <w:sz w:val="15"/>
                <w:szCs w:val="15"/>
              </w:rPr>
              <w:t>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B53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53C"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53D"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53E"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53F"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54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541" w14:textId="77777777" w:rsidR="00584EC1" w:rsidRDefault="00871F8D">
            <w:pPr>
              <w:jc w:val="right"/>
              <w:textAlignment w:val="bottom"/>
            </w:pPr>
            <w:r>
              <w:rPr>
                <w:rFonts w:ascii="Arial" w:eastAsia="宋体" w:hAnsi="Arial" w:cs="Arial"/>
                <w:b/>
                <w:bCs/>
                <w:color w:val="000000"/>
                <w:sz w:val="15"/>
                <w:szCs w:val="15"/>
              </w:rPr>
              <w:t>(399)</w:t>
            </w:r>
          </w:p>
        </w:tc>
        <w:tc>
          <w:tcPr>
            <w:tcW w:w="0" w:type="auto"/>
            <w:shd w:val="clear" w:color="auto" w:fill="CCEEFF"/>
            <w:tcMar>
              <w:top w:w="40" w:type="dxa"/>
              <w:left w:w="0" w:type="dxa"/>
              <w:bottom w:w="40" w:type="dxa"/>
              <w:right w:w="20" w:type="dxa"/>
            </w:tcMar>
            <w:vAlign w:val="bottom"/>
          </w:tcPr>
          <w:p w14:paraId="74DDB54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543"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544" w14:textId="77777777" w:rsidR="00584EC1" w:rsidRDefault="00871F8D">
            <w:pPr>
              <w:jc w:val="right"/>
              <w:textAlignment w:val="bottom"/>
            </w:pPr>
            <w:r>
              <w:rPr>
                <w:rFonts w:ascii="Arial" w:eastAsia="宋体" w:hAnsi="Arial" w:cs="Arial"/>
                <w:b/>
                <w:bCs/>
                <w:color w:val="000000"/>
                <w:sz w:val="15"/>
                <w:szCs w:val="15"/>
              </w:rPr>
              <w:t>20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B54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54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547" w14:textId="77777777" w:rsidR="00584EC1" w:rsidRDefault="00871F8D">
            <w:pPr>
              <w:jc w:val="right"/>
              <w:textAlignment w:val="bottom"/>
            </w:pPr>
            <w:r>
              <w:rPr>
                <w:rFonts w:ascii="Arial" w:eastAsia="宋体" w:hAnsi="Arial" w:cs="Arial"/>
                <w:b/>
                <w:bCs/>
                <w:color w:val="000000"/>
                <w:sz w:val="15"/>
                <w:szCs w:val="15"/>
              </w:rPr>
              <w:t>28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B548" w14:textId="77777777" w:rsidR="00584EC1" w:rsidRDefault="00584EC1">
            <w:pPr>
              <w:jc w:val="right"/>
              <w:rPr>
                <w:rFonts w:ascii="宋体"/>
              </w:rPr>
            </w:pPr>
          </w:p>
        </w:tc>
      </w:tr>
      <w:tr w:rsidR="00584EC1" w14:paraId="74DDB560" w14:textId="77777777">
        <w:trPr>
          <w:jc w:val="center"/>
        </w:trPr>
        <w:tc>
          <w:tcPr>
            <w:tcW w:w="0" w:type="auto"/>
            <w:gridSpan w:val="3"/>
            <w:shd w:val="clear" w:color="auto" w:fill="FFFFFF"/>
            <w:tcMar>
              <w:top w:w="40" w:type="dxa"/>
              <w:left w:w="20" w:type="dxa"/>
              <w:bottom w:w="40" w:type="dxa"/>
              <w:right w:w="20" w:type="dxa"/>
            </w:tcMar>
            <w:vAlign w:val="bottom"/>
          </w:tcPr>
          <w:p w14:paraId="74DDB54A" w14:textId="77777777" w:rsidR="00584EC1" w:rsidRDefault="00871F8D">
            <w:pPr>
              <w:textAlignment w:val="bottom"/>
            </w:pPr>
            <w:r>
              <w:rPr>
                <w:rFonts w:ascii="Arial" w:eastAsia="宋体" w:hAnsi="Arial" w:cs="Arial"/>
                <w:color w:val="000000"/>
                <w:sz w:val="15"/>
                <w:szCs w:val="15"/>
              </w:rPr>
              <w:t>Other</w:t>
            </w:r>
          </w:p>
        </w:tc>
        <w:tc>
          <w:tcPr>
            <w:tcW w:w="0" w:type="auto"/>
            <w:gridSpan w:val="3"/>
            <w:shd w:val="clear" w:color="auto" w:fill="FFFFFF"/>
            <w:tcMar>
              <w:top w:w="0" w:type="dxa"/>
              <w:left w:w="20" w:type="dxa"/>
              <w:bottom w:w="0" w:type="dxa"/>
              <w:right w:w="20" w:type="dxa"/>
            </w:tcMar>
            <w:vAlign w:val="bottom"/>
          </w:tcPr>
          <w:p w14:paraId="74DDB54B"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54C"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54D"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54E"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54F"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55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551" w14:textId="77777777" w:rsidR="00584EC1" w:rsidRDefault="00871F8D">
            <w:pPr>
              <w:jc w:val="right"/>
              <w:textAlignment w:val="bottom"/>
            </w:pPr>
            <w:r>
              <w:rPr>
                <w:rFonts w:ascii="Arial" w:eastAsia="宋体" w:hAnsi="Arial" w:cs="Arial"/>
                <w:b/>
                <w:bCs/>
                <w:color w:val="000000"/>
                <w:sz w:val="15"/>
                <w:szCs w:val="15"/>
              </w:rPr>
              <w:t>(7)</w:t>
            </w:r>
          </w:p>
        </w:tc>
        <w:tc>
          <w:tcPr>
            <w:tcW w:w="0" w:type="auto"/>
            <w:shd w:val="clear" w:color="auto" w:fill="FFFFFF"/>
            <w:tcMar>
              <w:top w:w="40" w:type="dxa"/>
              <w:left w:w="0" w:type="dxa"/>
              <w:bottom w:w="40" w:type="dxa"/>
              <w:right w:w="20" w:type="dxa"/>
            </w:tcMar>
            <w:vAlign w:val="bottom"/>
          </w:tcPr>
          <w:p w14:paraId="74DDB55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553"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554"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555"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556"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55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558" w14:textId="77777777" w:rsidR="00584EC1" w:rsidRDefault="00871F8D">
            <w:pPr>
              <w:jc w:val="right"/>
              <w:textAlignment w:val="bottom"/>
            </w:pPr>
            <w:r>
              <w:rPr>
                <w:rFonts w:ascii="Arial" w:eastAsia="宋体" w:hAnsi="Arial" w:cs="Arial"/>
                <w:b/>
                <w:bCs/>
                <w:color w:val="000000"/>
                <w:sz w:val="15"/>
                <w:szCs w:val="15"/>
              </w:rPr>
              <w:t>(4)</w:t>
            </w:r>
          </w:p>
        </w:tc>
        <w:tc>
          <w:tcPr>
            <w:tcW w:w="0" w:type="auto"/>
            <w:shd w:val="clear" w:color="auto" w:fill="FFFFFF"/>
            <w:tcMar>
              <w:top w:w="40" w:type="dxa"/>
              <w:left w:w="0" w:type="dxa"/>
              <w:bottom w:w="40" w:type="dxa"/>
              <w:right w:w="20" w:type="dxa"/>
            </w:tcMar>
            <w:vAlign w:val="bottom"/>
          </w:tcPr>
          <w:p w14:paraId="74DDB55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55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55B" w14:textId="77777777" w:rsidR="00584EC1" w:rsidRDefault="00871F8D">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B55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55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55E" w14:textId="77777777" w:rsidR="00584EC1" w:rsidRDefault="00871F8D">
            <w:pPr>
              <w:jc w:val="right"/>
              <w:textAlignment w:val="bottom"/>
            </w:pPr>
            <w:r>
              <w:rPr>
                <w:rFonts w:ascii="Arial" w:eastAsia="宋体" w:hAnsi="Arial" w:cs="Arial"/>
                <w:b/>
                <w:bCs/>
                <w:color w:val="000000"/>
                <w:sz w:val="15"/>
                <w:szCs w:val="15"/>
              </w:rPr>
              <w:t>(6)</w:t>
            </w:r>
          </w:p>
        </w:tc>
        <w:tc>
          <w:tcPr>
            <w:tcW w:w="0" w:type="auto"/>
            <w:shd w:val="clear" w:color="auto" w:fill="FFFFFF"/>
            <w:tcMar>
              <w:top w:w="40" w:type="dxa"/>
              <w:left w:w="0" w:type="dxa"/>
              <w:bottom w:w="40" w:type="dxa"/>
              <w:right w:w="20" w:type="dxa"/>
            </w:tcMar>
            <w:vAlign w:val="bottom"/>
          </w:tcPr>
          <w:p w14:paraId="74DDB55F" w14:textId="77777777" w:rsidR="00584EC1" w:rsidRDefault="00584EC1">
            <w:pPr>
              <w:jc w:val="right"/>
              <w:rPr>
                <w:rFonts w:ascii="宋体"/>
              </w:rPr>
            </w:pPr>
          </w:p>
        </w:tc>
      </w:tr>
      <w:tr w:rsidR="00871F8D" w14:paraId="74DDB583" w14:textId="77777777">
        <w:trPr>
          <w:jc w:val="center"/>
        </w:trPr>
        <w:tc>
          <w:tcPr>
            <w:tcW w:w="0" w:type="auto"/>
            <w:gridSpan w:val="3"/>
            <w:shd w:val="clear" w:color="auto" w:fill="CCEEFF"/>
            <w:tcMar>
              <w:top w:w="40" w:type="dxa"/>
              <w:left w:w="20" w:type="dxa"/>
              <w:bottom w:w="40" w:type="dxa"/>
              <w:right w:w="20" w:type="dxa"/>
            </w:tcMar>
            <w:vAlign w:val="bottom"/>
          </w:tcPr>
          <w:p w14:paraId="74DDB561" w14:textId="77777777" w:rsidR="00584EC1" w:rsidRDefault="00871F8D">
            <w:pPr>
              <w:textAlignment w:val="bottom"/>
            </w:pPr>
            <w:r>
              <w:rPr>
                <w:rFonts w:ascii="Arial" w:eastAsia="宋体" w:hAnsi="Arial" w:cs="Arial"/>
                <w:b/>
                <w:bCs/>
                <w:color w:val="000000"/>
                <w:sz w:val="15"/>
                <w:szCs w:val="15"/>
              </w:rPr>
              <w:t>Balance at September 30, 2021</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B562" w14:textId="77777777" w:rsidR="00584EC1" w:rsidRDefault="00871F8D">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B563" w14:textId="77777777" w:rsidR="00584EC1" w:rsidRDefault="00871F8D">
            <w:pPr>
              <w:jc w:val="right"/>
              <w:textAlignment w:val="bottom"/>
            </w:pPr>
            <w:r>
              <w:rPr>
                <w:rFonts w:ascii="Arial" w:eastAsia="宋体" w:hAnsi="Arial" w:cs="Arial"/>
                <w:b/>
                <w:bCs/>
                <w:color w:val="000000"/>
                <w:sz w:val="15"/>
                <w:szCs w:val="15"/>
              </w:rPr>
              <w:t>1,976</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B56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565" w14:textId="77777777" w:rsidR="00584EC1" w:rsidRDefault="00584EC1">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B566" w14:textId="77777777" w:rsidR="00584EC1" w:rsidRDefault="00871F8D">
            <w:pPr>
              <w:jc w:val="right"/>
              <w:textAlignment w:val="bottom"/>
            </w:pPr>
            <w:r>
              <w:rPr>
                <w:rFonts w:ascii="Arial" w:eastAsia="宋体" w:hAnsi="Arial" w:cs="Arial"/>
                <w:b/>
                <w:bCs/>
                <w:color w:val="000000"/>
                <w:sz w:val="15"/>
                <w:szCs w:val="15"/>
              </w:rPr>
              <w:t>503,880</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B56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568"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B569" w14:textId="77777777" w:rsidR="00584EC1" w:rsidRDefault="00871F8D">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B56A" w14:textId="77777777" w:rsidR="00584EC1" w:rsidRDefault="00871F8D">
            <w:pPr>
              <w:jc w:val="right"/>
              <w:textAlignment w:val="bottom"/>
            </w:pPr>
            <w:r>
              <w:rPr>
                <w:rFonts w:ascii="Arial" w:eastAsia="宋体" w:hAnsi="Arial" w:cs="Arial"/>
                <w:b/>
                <w:bCs/>
                <w:color w:val="000000"/>
                <w:sz w:val="15"/>
                <w:szCs w:val="15"/>
              </w:rPr>
              <w:t>504</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B56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56C"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B56D" w14:textId="77777777" w:rsidR="00584EC1" w:rsidRDefault="00871F8D">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B56E" w14:textId="77777777" w:rsidR="00584EC1" w:rsidRDefault="00871F8D">
            <w:pPr>
              <w:jc w:val="right"/>
              <w:textAlignment w:val="bottom"/>
            </w:pPr>
            <w:r>
              <w:rPr>
                <w:rFonts w:ascii="Arial" w:eastAsia="宋体" w:hAnsi="Arial" w:cs="Arial"/>
                <w:b/>
                <w:bCs/>
                <w:color w:val="000000"/>
                <w:sz w:val="15"/>
                <w:szCs w:val="15"/>
              </w:rPr>
              <w:t>10,763</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B56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570"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B571" w14:textId="77777777" w:rsidR="00584EC1" w:rsidRDefault="00871F8D">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B572" w14:textId="77777777" w:rsidR="00584EC1" w:rsidRDefault="00871F8D">
            <w:pPr>
              <w:jc w:val="right"/>
              <w:textAlignment w:val="bottom"/>
            </w:pPr>
            <w:r>
              <w:rPr>
                <w:rFonts w:ascii="Arial" w:eastAsia="宋体" w:hAnsi="Arial" w:cs="Arial"/>
                <w:b/>
                <w:bCs/>
                <w:color w:val="000000"/>
                <w:sz w:val="15"/>
                <w:szCs w:val="15"/>
              </w:rPr>
              <w:t>24,785</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B57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574"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B575" w14:textId="77777777" w:rsidR="00584EC1" w:rsidRDefault="00871F8D">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B576" w14:textId="77777777" w:rsidR="00584EC1" w:rsidRDefault="00871F8D">
            <w:pPr>
              <w:jc w:val="right"/>
              <w:textAlignment w:val="bottom"/>
            </w:pPr>
            <w:r>
              <w:rPr>
                <w:rFonts w:ascii="Arial" w:eastAsia="宋体" w:hAnsi="Arial" w:cs="Arial"/>
                <w:b/>
                <w:bCs/>
                <w:color w:val="000000"/>
                <w:sz w:val="15"/>
                <w:szCs w:val="15"/>
              </w:rPr>
              <w:t>(682)</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B57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578" w14:textId="77777777" w:rsidR="00584EC1" w:rsidRDefault="00584EC1">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B579" w14:textId="77777777" w:rsidR="00584EC1" w:rsidRDefault="00871F8D">
            <w:pPr>
              <w:jc w:val="right"/>
              <w:textAlignment w:val="bottom"/>
            </w:pPr>
            <w:r>
              <w:rPr>
                <w:rFonts w:ascii="Arial" w:eastAsia="宋体" w:hAnsi="Arial" w:cs="Arial"/>
                <w:b/>
                <w:bCs/>
                <w:color w:val="000000"/>
                <w:sz w:val="15"/>
                <w:szCs w:val="15"/>
              </w:rPr>
              <w:t>138,250</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B57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57B"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B57C" w14:textId="77777777" w:rsidR="00584EC1" w:rsidRDefault="00871F8D">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B57D" w14:textId="77777777" w:rsidR="00584EC1" w:rsidRDefault="00871F8D">
            <w:pPr>
              <w:jc w:val="right"/>
              <w:textAlignment w:val="bottom"/>
            </w:pPr>
            <w:r>
              <w:rPr>
                <w:rFonts w:ascii="Arial" w:eastAsia="宋体" w:hAnsi="Arial" w:cs="Arial"/>
                <w:b/>
                <w:bCs/>
                <w:color w:val="000000"/>
                <w:sz w:val="15"/>
                <w:szCs w:val="15"/>
              </w:rPr>
              <w:t>(10,032)</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B57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57F"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B580" w14:textId="77777777" w:rsidR="00584EC1" w:rsidRDefault="00871F8D">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B581" w14:textId="77777777" w:rsidR="00584EC1" w:rsidRDefault="00871F8D">
            <w:pPr>
              <w:jc w:val="right"/>
              <w:textAlignment w:val="bottom"/>
            </w:pPr>
            <w:r>
              <w:rPr>
                <w:rFonts w:ascii="Arial" w:eastAsia="宋体" w:hAnsi="Arial" w:cs="Arial"/>
                <w:b/>
                <w:bCs/>
                <w:color w:val="000000"/>
                <w:sz w:val="15"/>
                <w:szCs w:val="15"/>
              </w:rPr>
              <w:t>27,314</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B582" w14:textId="77777777" w:rsidR="00584EC1" w:rsidRDefault="00584EC1">
            <w:pPr>
              <w:jc w:val="right"/>
              <w:rPr>
                <w:rFonts w:ascii="宋体"/>
              </w:rPr>
            </w:pPr>
          </w:p>
        </w:tc>
      </w:tr>
    </w:tbl>
    <w:p w14:paraId="74DDB584" w14:textId="77777777" w:rsidR="00584EC1" w:rsidRDefault="00584EC1">
      <w:pPr>
        <w:rPr>
          <w:vanish/>
        </w:rPr>
      </w:pPr>
    </w:p>
    <w:tbl>
      <w:tblPr>
        <w:tblW w:w="4993" w:type="pct"/>
        <w:jc w:val="center"/>
        <w:tblCellMar>
          <w:top w:w="15" w:type="dxa"/>
          <w:left w:w="15" w:type="dxa"/>
          <w:bottom w:w="15" w:type="dxa"/>
          <w:right w:w="15" w:type="dxa"/>
        </w:tblCellMar>
        <w:tblLook w:val="04A0" w:firstRow="1" w:lastRow="0" w:firstColumn="1" w:lastColumn="0" w:noHBand="0" w:noVBand="1"/>
      </w:tblPr>
      <w:tblGrid>
        <w:gridCol w:w="69"/>
        <w:gridCol w:w="2235"/>
        <w:gridCol w:w="36"/>
        <w:gridCol w:w="69"/>
        <w:gridCol w:w="868"/>
        <w:gridCol w:w="36"/>
        <w:gridCol w:w="69"/>
        <w:gridCol w:w="1564"/>
        <w:gridCol w:w="36"/>
        <w:gridCol w:w="69"/>
        <w:gridCol w:w="1564"/>
        <w:gridCol w:w="36"/>
        <w:gridCol w:w="70"/>
        <w:gridCol w:w="1567"/>
        <w:gridCol w:w="36"/>
      </w:tblGrid>
      <w:tr w:rsidR="00584EC1" w14:paraId="74DDB594" w14:textId="77777777">
        <w:trPr>
          <w:jc w:val="center"/>
        </w:trPr>
        <w:tc>
          <w:tcPr>
            <w:tcW w:w="50" w:type="pct"/>
            <w:shd w:val="clear" w:color="auto" w:fill="auto"/>
            <w:vAlign w:val="bottom"/>
          </w:tcPr>
          <w:p w14:paraId="74DDB585" w14:textId="77777777" w:rsidR="00584EC1" w:rsidRDefault="00584EC1">
            <w:pPr>
              <w:rPr>
                <w:rFonts w:ascii="宋体"/>
              </w:rPr>
            </w:pPr>
          </w:p>
        </w:tc>
        <w:tc>
          <w:tcPr>
            <w:tcW w:w="1350" w:type="pct"/>
            <w:shd w:val="clear" w:color="auto" w:fill="auto"/>
            <w:vAlign w:val="bottom"/>
          </w:tcPr>
          <w:p w14:paraId="74DDB586" w14:textId="77777777" w:rsidR="00584EC1" w:rsidRDefault="00584EC1">
            <w:pPr>
              <w:rPr>
                <w:rFonts w:ascii="宋体"/>
              </w:rPr>
            </w:pPr>
          </w:p>
        </w:tc>
        <w:tc>
          <w:tcPr>
            <w:tcW w:w="5" w:type="pct"/>
            <w:shd w:val="clear" w:color="auto" w:fill="auto"/>
            <w:vAlign w:val="bottom"/>
          </w:tcPr>
          <w:p w14:paraId="74DDB587" w14:textId="77777777" w:rsidR="00584EC1" w:rsidRDefault="00584EC1">
            <w:pPr>
              <w:rPr>
                <w:rFonts w:ascii="宋体"/>
              </w:rPr>
            </w:pPr>
          </w:p>
        </w:tc>
        <w:tc>
          <w:tcPr>
            <w:tcW w:w="50" w:type="pct"/>
            <w:shd w:val="clear" w:color="auto" w:fill="auto"/>
            <w:vAlign w:val="bottom"/>
          </w:tcPr>
          <w:p w14:paraId="74DDB588" w14:textId="77777777" w:rsidR="00584EC1" w:rsidRDefault="00584EC1">
            <w:pPr>
              <w:rPr>
                <w:rFonts w:ascii="宋体"/>
              </w:rPr>
            </w:pPr>
          </w:p>
        </w:tc>
        <w:tc>
          <w:tcPr>
            <w:tcW w:w="530" w:type="pct"/>
            <w:shd w:val="clear" w:color="auto" w:fill="auto"/>
            <w:vAlign w:val="bottom"/>
          </w:tcPr>
          <w:p w14:paraId="74DDB589" w14:textId="77777777" w:rsidR="00584EC1" w:rsidRDefault="00584EC1">
            <w:pPr>
              <w:rPr>
                <w:rFonts w:ascii="宋体"/>
              </w:rPr>
            </w:pPr>
          </w:p>
        </w:tc>
        <w:tc>
          <w:tcPr>
            <w:tcW w:w="5" w:type="pct"/>
            <w:shd w:val="clear" w:color="auto" w:fill="auto"/>
            <w:vAlign w:val="bottom"/>
          </w:tcPr>
          <w:p w14:paraId="74DDB58A" w14:textId="77777777" w:rsidR="00584EC1" w:rsidRDefault="00584EC1">
            <w:pPr>
              <w:rPr>
                <w:rFonts w:ascii="宋体"/>
              </w:rPr>
            </w:pPr>
          </w:p>
        </w:tc>
        <w:tc>
          <w:tcPr>
            <w:tcW w:w="50" w:type="pct"/>
            <w:shd w:val="clear" w:color="auto" w:fill="auto"/>
            <w:vAlign w:val="bottom"/>
          </w:tcPr>
          <w:p w14:paraId="74DDB58B" w14:textId="77777777" w:rsidR="00584EC1" w:rsidRDefault="00584EC1">
            <w:pPr>
              <w:rPr>
                <w:rFonts w:ascii="宋体"/>
              </w:rPr>
            </w:pPr>
          </w:p>
        </w:tc>
        <w:tc>
          <w:tcPr>
            <w:tcW w:w="947" w:type="pct"/>
            <w:shd w:val="clear" w:color="auto" w:fill="auto"/>
            <w:vAlign w:val="bottom"/>
          </w:tcPr>
          <w:p w14:paraId="74DDB58C" w14:textId="77777777" w:rsidR="00584EC1" w:rsidRDefault="00584EC1">
            <w:pPr>
              <w:rPr>
                <w:rFonts w:ascii="宋体"/>
              </w:rPr>
            </w:pPr>
          </w:p>
        </w:tc>
        <w:tc>
          <w:tcPr>
            <w:tcW w:w="5" w:type="pct"/>
            <w:shd w:val="clear" w:color="auto" w:fill="auto"/>
            <w:vAlign w:val="bottom"/>
          </w:tcPr>
          <w:p w14:paraId="74DDB58D" w14:textId="77777777" w:rsidR="00584EC1" w:rsidRDefault="00584EC1">
            <w:pPr>
              <w:rPr>
                <w:rFonts w:ascii="宋体"/>
              </w:rPr>
            </w:pPr>
          </w:p>
        </w:tc>
        <w:tc>
          <w:tcPr>
            <w:tcW w:w="50" w:type="pct"/>
            <w:shd w:val="clear" w:color="auto" w:fill="auto"/>
            <w:vAlign w:val="bottom"/>
          </w:tcPr>
          <w:p w14:paraId="74DDB58E" w14:textId="77777777" w:rsidR="00584EC1" w:rsidRDefault="00584EC1">
            <w:pPr>
              <w:rPr>
                <w:rFonts w:ascii="宋体"/>
              </w:rPr>
            </w:pPr>
          </w:p>
        </w:tc>
        <w:tc>
          <w:tcPr>
            <w:tcW w:w="947" w:type="pct"/>
            <w:shd w:val="clear" w:color="auto" w:fill="auto"/>
            <w:vAlign w:val="bottom"/>
          </w:tcPr>
          <w:p w14:paraId="74DDB58F" w14:textId="77777777" w:rsidR="00584EC1" w:rsidRDefault="00584EC1">
            <w:pPr>
              <w:rPr>
                <w:rFonts w:ascii="宋体"/>
              </w:rPr>
            </w:pPr>
          </w:p>
        </w:tc>
        <w:tc>
          <w:tcPr>
            <w:tcW w:w="5" w:type="pct"/>
            <w:shd w:val="clear" w:color="auto" w:fill="auto"/>
            <w:vAlign w:val="bottom"/>
          </w:tcPr>
          <w:p w14:paraId="74DDB590" w14:textId="77777777" w:rsidR="00584EC1" w:rsidRDefault="00584EC1">
            <w:pPr>
              <w:rPr>
                <w:rFonts w:ascii="宋体"/>
              </w:rPr>
            </w:pPr>
          </w:p>
        </w:tc>
        <w:tc>
          <w:tcPr>
            <w:tcW w:w="50" w:type="pct"/>
            <w:shd w:val="clear" w:color="auto" w:fill="auto"/>
            <w:vAlign w:val="bottom"/>
          </w:tcPr>
          <w:p w14:paraId="74DDB591" w14:textId="77777777" w:rsidR="00584EC1" w:rsidRDefault="00584EC1">
            <w:pPr>
              <w:rPr>
                <w:rFonts w:ascii="宋体"/>
              </w:rPr>
            </w:pPr>
          </w:p>
        </w:tc>
        <w:tc>
          <w:tcPr>
            <w:tcW w:w="948" w:type="pct"/>
            <w:shd w:val="clear" w:color="auto" w:fill="auto"/>
            <w:vAlign w:val="bottom"/>
          </w:tcPr>
          <w:p w14:paraId="74DDB592" w14:textId="77777777" w:rsidR="00584EC1" w:rsidRDefault="00584EC1">
            <w:pPr>
              <w:rPr>
                <w:rFonts w:ascii="宋体"/>
              </w:rPr>
            </w:pPr>
          </w:p>
        </w:tc>
        <w:tc>
          <w:tcPr>
            <w:tcW w:w="5" w:type="pct"/>
            <w:shd w:val="clear" w:color="auto" w:fill="auto"/>
            <w:vAlign w:val="bottom"/>
          </w:tcPr>
          <w:p w14:paraId="74DDB593" w14:textId="77777777" w:rsidR="00584EC1" w:rsidRDefault="00584EC1">
            <w:pPr>
              <w:rPr>
                <w:rFonts w:ascii="宋体"/>
              </w:rPr>
            </w:pPr>
          </w:p>
        </w:tc>
      </w:tr>
      <w:tr w:rsidR="00584EC1" w14:paraId="74DDB59A" w14:textId="77777777">
        <w:trPr>
          <w:trHeight w:val="60"/>
          <w:jc w:val="center"/>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4DDB59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B596"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B597"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B598"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B599" w14:textId="77777777" w:rsidR="00584EC1" w:rsidRDefault="00584EC1">
            <w:pPr>
              <w:rPr>
                <w:rFonts w:ascii="宋体"/>
              </w:rPr>
            </w:pPr>
          </w:p>
        </w:tc>
      </w:tr>
    </w:tbl>
    <w:p w14:paraId="74DDB59B" w14:textId="77777777" w:rsidR="00584EC1" w:rsidRDefault="00871F8D">
      <w:pPr>
        <w:spacing w:before="90"/>
        <w:jc w:val="both"/>
      </w:pPr>
      <w:r>
        <w:rPr>
          <w:rFonts w:ascii="Arial" w:eastAsia="宋体" w:hAnsi="Arial" w:cs="Arial"/>
          <w:color w:val="000000"/>
          <w:sz w:val="9"/>
          <w:szCs w:val="9"/>
        </w:rPr>
        <w:t xml:space="preserve">(1) </w:t>
      </w:r>
      <w:r>
        <w:rPr>
          <w:rFonts w:ascii="Arial" w:eastAsia="宋体" w:hAnsi="Arial" w:cs="Arial"/>
          <w:color w:val="000000"/>
          <w:sz w:val="14"/>
          <w:szCs w:val="14"/>
        </w:rPr>
        <w:t xml:space="preserve">Includes the impact of transitioning to ASC 326: Measurement of Credit Losses on Financial Instruments, consisting of a decrease in retained earnings of </w:t>
      </w:r>
      <w:r>
        <w:rPr>
          <w:rFonts w:ascii="Arial" w:eastAsia="宋体" w:hAnsi="Arial" w:cs="Arial"/>
          <w:color w:val="000000"/>
          <w:sz w:val="14"/>
          <w:szCs w:val="14"/>
        </w:rPr>
        <w:t>$3 million in the first quarter of 2020.</w:t>
      </w:r>
    </w:p>
    <w:p w14:paraId="74DDB59C" w14:textId="77777777" w:rsidR="00584EC1" w:rsidRDefault="00584EC1">
      <w:pPr>
        <w:ind w:firstLine="450"/>
      </w:pPr>
    </w:p>
    <w:p w14:paraId="74DDB59D" w14:textId="77777777" w:rsidR="00584EC1" w:rsidRDefault="00584EC1">
      <w:pPr>
        <w:ind w:firstLine="450"/>
      </w:pPr>
    </w:p>
    <w:p w14:paraId="74DDB59E" w14:textId="77777777" w:rsidR="00584EC1" w:rsidRDefault="00584EC1">
      <w:pPr>
        <w:ind w:firstLine="450"/>
      </w:pPr>
    </w:p>
    <w:p w14:paraId="74DDB59F" w14:textId="77777777" w:rsidR="00584EC1" w:rsidRDefault="00871F8D">
      <w:pPr>
        <w:ind w:firstLine="450"/>
        <w:jc w:val="center"/>
      </w:pPr>
      <w:r>
        <w:rPr>
          <w:rFonts w:ascii="Arial" w:eastAsia="宋体" w:hAnsi="Arial" w:cs="Arial"/>
          <w:color w:val="000000"/>
          <w:sz w:val="18"/>
          <w:szCs w:val="18"/>
        </w:rPr>
        <w:t xml:space="preserve">The accompanying condensed notes are an integral part of these consolidated financial statements. </w:t>
      </w:r>
    </w:p>
    <w:p w14:paraId="74DDB5A0" w14:textId="77777777" w:rsidR="00584EC1" w:rsidRDefault="00871F8D">
      <w:pPr>
        <w:ind w:firstLine="450"/>
        <w:jc w:val="right"/>
      </w:pPr>
      <w:r>
        <w:rPr>
          <w:rFonts w:ascii="Arial" w:eastAsia="宋体" w:hAnsi="Arial" w:cs="Arial"/>
          <w:color w:val="000000"/>
          <w:sz w:val="18"/>
          <w:szCs w:val="18"/>
        </w:rPr>
        <w:t>State Street Corporation | 57</w:t>
      </w:r>
    </w:p>
    <w:p w14:paraId="74DDB5A1" w14:textId="77777777" w:rsidR="00584EC1" w:rsidRDefault="00584EC1">
      <w:pPr>
        <w:ind w:firstLine="450"/>
        <w:jc w:val="center"/>
      </w:pPr>
    </w:p>
    <w:p w14:paraId="74DDB5A2" w14:textId="77777777" w:rsidR="00584EC1" w:rsidRDefault="00871F8D">
      <w:r>
        <w:pict w14:anchorId="74DE2A27">
          <v:rect id="_x0000_i1081" style="width:415.3pt;height:1.5pt" o:hralign="center" o:hrstd="t" o:hr="t" fillcolor="#a0a0a0" stroked="f"/>
        </w:pict>
      </w:r>
    </w:p>
    <w:p w14:paraId="74DDB5A3" w14:textId="77777777" w:rsidR="00584EC1" w:rsidRDefault="00584EC1">
      <w:pPr>
        <w:ind w:firstLine="450"/>
      </w:pPr>
    </w:p>
    <w:p w14:paraId="74DDB5A4" w14:textId="77777777" w:rsidR="00584EC1" w:rsidRDefault="00871F8D">
      <w:pPr>
        <w:ind w:firstLine="450"/>
        <w:jc w:val="center"/>
      </w:pPr>
      <w:r>
        <w:rPr>
          <w:rFonts w:ascii="Arial" w:eastAsia="宋体" w:hAnsi="Arial" w:cs="Arial"/>
          <w:b/>
          <w:bCs/>
          <w:color w:val="000000"/>
          <w:sz w:val="20"/>
          <w:szCs w:val="20"/>
        </w:rPr>
        <w:t>STATE STREET CORPORATION</w:t>
      </w:r>
    </w:p>
    <w:p w14:paraId="74DDB5A5" w14:textId="77777777" w:rsidR="00584EC1" w:rsidRDefault="00871F8D">
      <w:pPr>
        <w:ind w:firstLine="450"/>
        <w:jc w:val="center"/>
      </w:pPr>
      <w:r>
        <w:rPr>
          <w:rFonts w:ascii="Arial" w:eastAsia="宋体" w:hAnsi="Arial" w:cs="Arial"/>
          <w:b/>
          <w:bCs/>
          <w:color w:val="000000"/>
          <w:sz w:val="20"/>
          <w:szCs w:val="20"/>
        </w:rPr>
        <w:t xml:space="preserve">CONSOLIDATED STATEMENT OF CASH FLOWS </w:t>
      </w:r>
    </w:p>
    <w:p w14:paraId="74DDB5A6" w14:textId="77777777" w:rsidR="00584EC1" w:rsidRDefault="00871F8D">
      <w:pPr>
        <w:ind w:firstLine="450"/>
        <w:jc w:val="center"/>
      </w:pPr>
      <w:r>
        <w:rPr>
          <w:rFonts w:ascii="Arial" w:eastAsia="宋体" w:hAnsi="Arial" w:cs="Arial"/>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3"/>
        <w:gridCol w:w="5739"/>
        <w:gridCol w:w="40"/>
        <w:gridCol w:w="105"/>
        <w:gridCol w:w="976"/>
        <w:gridCol w:w="36"/>
        <w:gridCol w:w="36"/>
        <w:gridCol w:w="36"/>
        <w:gridCol w:w="36"/>
        <w:gridCol w:w="105"/>
        <w:gridCol w:w="932"/>
        <w:gridCol w:w="36"/>
        <w:gridCol w:w="36"/>
        <w:gridCol w:w="36"/>
        <w:gridCol w:w="36"/>
        <w:gridCol w:w="36"/>
        <w:gridCol w:w="36"/>
        <w:gridCol w:w="36"/>
      </w:tblGrid>
      <w:tr w:rsidR="00584EC1" w14:paraId="74DDB5B5" w14:textId="77777777">
        <w:trPr>
          <w:jc w:val="center"/>
        </w:trPr>
        <w:tc>
          <w:tcPr>
            <w:tcW w:w="50" w:type="pct"/>
            <w:shd w:val="clear" w:color="auto" w:fill="auto"/>
            <w:vAlign w:val="bottom"/>
          </w:tcPr>
          <w:p w14:paraId="74DDB5A7" w14:textId="77777777" w:rsidR="00584EC1" w:rsidRDefault="00584EC1">
            <w:pPr>
              <w:rPr>
                <w:rFonts w:ascii="宋体"/>
              </w:rPr>
            </w:pPr>
          </w:p>
        </w:tc>
        <w:tc>
          <w:tcPr>
            <w:tcW w:w="3556" w:type="pct"/>
            <w:shd w:val="clear" w:color="auto" w:fill="auto"/>
            <w:vAlign w:val="bottom"/>
          </w:tcPr>
          <w:p w14:paraId="74DDB5A8" w14:textId="77777777" w:rsidR="00584EC1" w:rsidRDefault="00584EC1">
            <w:pPr>
              <w:rPr>
                <w:rFonts w:ascii="宋体"/>
              </w:rPr>
            </w:pPr>
          </w:p>
        </w:tc>
        <w:tc>
          <w:tcPr>
            <w:tcW w:w="5" w:type="pct"/>
            <w:shd w:val="clear" w:color="auto" w:fill="auto"/>
            <w:vAlign w:val="bottom"/>
          </w:tcPr>
          <w:p w14:paraId="74DDB5A9" w14:textId="77777777" w:rsidR="00584EC1" w:rsidRDefault="00584EC1">
            <w:pPr>
              <w:rPr>
                <w:rFonts w:ascii="宋体"/>
              </w:rPr>
            </w:pPr>
          </w:p>
        </w:tc>
        <w:tc>
          <w:tcPr>
            <w:tcW w:w="50" w:type="pct"/>
            <w:shd w:val="clear" w:color="auto" w:fill="auto"/>
            <w:vAlign w:val="bottom"/>
          </w:tcPr>
          <w:p w14:paraId="74DDB5AA" w14:textId="77777777" w:rsidR="00584EC1" w:rsidRDefault="00584EC1">
            <w:pPr>
              <w:rPr>
                <w:rFonts w:ascii="宋体"/>
              </w:rPr>
            </w:pPr>
          </w:p>
        </w:tc>
        <w:tc>
          <w:tcPr>
            <w:tcW w:w="624" w:type="pct"/>
            <w:shd w:val="clear" w:color="auto" w:fill="auto"/>
            <w:vAlign w:val="bottom"/>
          </w:tcPr>
          <w:p w14:paraId="74DDB5AB" w14:textId="77777777" w:rsidR="00584EC1" w:rsidRDefault="00584EC1">
            <w:pPr>
              <w:rPr>
                <w:rFonts w:ascii="宋体"/>
              </w:rPr>
            </w:pPr>
          </w:p>
        </w:tc>
        <w:tc>
          <w:tcPr>
            <w:tcW w:w="5" w:type="pct"/>
            <w:shd w:val="clear" w:color="auto" w:fill="auto"/>
            <w:vAlign w:val="bottom"/>
          </w:tcPr>
          <w:p w14:paraId="74DDB5AC" w14:textId="77777777" w:rsidR="00584EC1" w:rsidRDefault="00584EC1">
            <w:pPr>
              <w:rPr>
                <w:rFonts w:ascii="宋体"/>
              </w:rPr>
            </w:pPr>
          </w:p>
        </w:tc>
        <w:tc>
          <w:tcPr>
            <w:tcW w:w="5" w:type="pct"/>
            <w:shd w:val="clear" w:color="auto" w:fill="auto"/>
            <w:vAlign w:val="bottom"/>
          </w:tcPr>
          <w:p w14:paraId="74DDB5AD" w14:textId="77777777" w:rsidR="00584EC1" w:rsidRDefault="00584EC1">
            <w:pPr>
              <w:rPr>
                <w:rFonts w:ascii="宋体"/>
              </w:rPr>
            </w:pPr>
          </w:p>
        </w:tc>
        <w:tc>
          <w:tcPr>
            <w:tcW w:w="26" w:type="pct"/>
            <w:shd w:val="clear" w:color="auto" w:fill="auto"/>
            <w:vAlign w:val="bottom"/>
          </w:tcPr>
          <w:p w14:paraId="74DDB5AE" w14:textId="77777777" w:rsidR="00584EC1" w:rsidRDefault="00584EC1">
            <w:pPr>
              <w:rPr>
                <w:rFonts w:ascii="宋体"/>
              </w:rPr>
            </w:pPr>
          </w:p>
        </w:tc>
        <w:tc>
          <w:tcPr>
            <w:tcW w:w="5" w:type="pct"/>
            <w:shd w:val="clear" w:color="auto" w:fill="auto"/>
            <w:vAlign w:val="bottom"/>
          </w:tcPr>
          <w:p w14:paraId="74DDB5AF" w14:textId="77777777" w:rsidR="00584EC1" w:rsidRDefault="00584EC1">
            <w:pPr>
              <w:rPr>
                <w:rFonts w:ascii="宋体"/>
              </w:rPr>
            </w:pPr>
          </w:p>
        </w:tc>
        <w:tc>
          <w:tcPr>
            <w:tcW w:w="50" w:type="pct"/>
            <w:shd w:val="clear" w:color="auto" w:fill="auto"/>
            <w:vAlign w:val="bottom"/>
          </w:tcPr>
          <w:p w14:paraId="74DDB5B0" w14:textId="77777777" w:rsidR="00584EC1" w:rsidRDefault="00584EC1">
            <w:pPr>
              <w:rPr>
                <w:rFonts w:ascii="宋体"/>
              </w:rPr>
            </w:pPr>
          </w:p>
        </w:tc>
        <w:tc>
          <w:tcPr>
            <w:tcW w:w="617" w:type="pct"/>
            <w:shd w:val="clear" w:color="auto" w:fill="auto"/>
            <w:vAlign w:val="bottom"/>
          </w:tcPr>
          <w:p w14:paraId="74DDB5B1" w14:textId="77777777" w:rsidR="00584EC1" w:rsidRDefault="00584EC1">
            <w:pPr>
              <w:rPr>
                <w:rFonts w:ascii="宋体"/>
              </w:rPr>
            </w:pPr>
          </w:p>
        </w:tc>
        <w:tc>
          <w:tcPr>
            <w:tcW w:w="5" w:type="pct"/>
            <w:shd w:val="clear" w:color="auto" w:fill="auto"/>
            <w:vAlign w:val="bottom"/>
          </w:tcPr>
          <w:p w14:paraId="74DDB5B2" w14:textId="77777777" w:rsidR="00584EC1" w:rsidRDefault="00584EC1">
            <w:pPr>
              <w:rPr>
                <w:rFonts w:ascii="宋体"/>
              </w:rPr>
            </w:pPr>
          </w:p>
        </w:tc>
        <w:tc>
          <w:tcPr>
            <w:tcW w:w="0" w:type="auto"/>
            <w:gridSpan w:val="3"/>
            <w:shd w:val="clear" w:color="auto" w:fill="auto"/>
            <w:vAlign w:val="bottom"/>
          </w:tcPr>
          <w:p w14:paraId="74DDB5B3" w14:textId="77777777" w:rsidR="00584EC1" w:rsidRDefault="00584EC1">
            <w:pPr>
              <w:rPr>
                <w:rFonts w:ascii="宋体"/>
                <w:vanish/>
              </w:rPr>
            </w:pPr>
          </w:p>
        </w:tc>
        <w:tc>
          <w:tcPr>
            <w:tcW w:w="0" w:type="auto"/>
            <w:gridSpan w:val="3"/>
            <w:shd w:val="clear" w:color="auto" w:fill="auto"/>
            <w:vAlign w:val="bottom"/>
          </w:tcPr>
          <w:p w14:paraId="74DDB5B4" w14:textId="77777777" w:rsidR="00584EC1" w:rsidRDefault="00584EC1">
            <w:pPr>
              <w:rPr>
                <w:rFonts w:ascii="宋体"/>
                <w:vanish/>
              </w:rPr>
            </w:pPr>
          </w:p>
        </w:tc>
      </w:tr>
      <w:tr w:rsidR="00584EC1" w14:paraId="74DDB5BE" w14:textId="77777777">
        <w:trPr>
          <w:jc w:val="center"/>
        </w:trPr>
        <w:tc>
          <w:tcPr>
            <w:tcW w:w="0" w:type="auto"/>
            <w:gridSpan w:val="3"/>
            <w:shd w:val="clear" w:color="auto" w:fill="auto"/>
            <w:tcMar>
              <w:top w:w="0" w:type="dxa"/>
              <w:left w:w="20" w:type="dxa"/>
              <w:bottom w:w="0" w:type="dxa"/>
              <w:right w:w="20" w:type="dxa"/>
            </w:tcMar>
            <w:vAlign w:val="bottom"/>
          </w:tcPr>
          <w:p w14:paraId="74DDB5B6" w14:textId="77777777" w:rsidR="00584EC1" w:rsidRDefault="00584EC1">
            <w:pPr>
              <w:rPr>
                <w:rFonts w:ascii="宋体"/>
              </w:rPr>
            </w:pPr>
          </w:p>
        </w:tc>
        <w:tc>
          <w:tcPr>
            <w:tcW w:w="0" w:type="auto"/>
            <w:gridSpan w:val="9"/>
            <w:shd w:val="clear" w:color="auto" w:fill="auto"/>
            <w:tcMar>
              <w:top w:w="40" w:type="dxa"/>
              <w:left w:w="20" w:type="dxa"/>
              <w:bottom w:w="40" w:type="dxa"/>
              <w:right w:w="20" w:type="dxa"/>
            </w:tcMar>
            <w:vAlign w:val="bottom"/>
          </w:tcPr>
          <w:p w14:paraId="74DDB5B7" w14:textId="77777777" w:rsidR="00584EC1" w:rsidRDefault="00871F8D">
            <w:pPr>
              <w:jc w:val="center"/>
              <w:textAlignment w:val="bottom"/>
            </w:pPr>
            <w:r>
              <w:rPr>
                <w:rFonts w:ascii="Arial" w:eastAsia="宋体" w:hAnsi="Arial" w:cs="Arial"/>
                <w:b/>
                <w:bCs/>
                <w:color w:val="000000"/>
                <w:sz w:val="15"/>
                <w:szCs w:val="15"/>
              </w:rPr>
              <w:t>Nine Months Ended September 30,</w:t>
            </w:r>
          </w:p>
        </w:tc>
        <w:tc>
          <w:tcPr>
            <w:tcW w:w="0" w:type="auto"/>
            <w:shd w:val="clear" w:color="auto" w:fill="auto"/>
            <w:vAlign w:val="bottom"/>
          </w:tcPr>
          <w:p w14:paraId="74DDB5B8" w14:textId="77777777" w:rsidR="00584EC1" w:rsidRDefault="00584EC1">
            <w:pPr>
              <w:rPr>
                <w:rFonts w:ascii="宋体"/>
              </w:rPr>
            </w:pPr>
          </w:p>
        </w:tc>
        <w:tc>
          <w:tcPr>
            <w:tcW w:w="0" w:type="auto"/>
            <w:shd w:val="clear" w:color="auto" w:fill="auto"/>
            <w:vAlign w:val="bottom"/>
          </w:tcPr>
          <w:p w14:paraId="74DDB5B9" w14:textId="77777777" w:rsidR="00584EC1" w:rsidRDefault="00584EC1">
            <w:pPr>
              <w:rPr>
                <w:rFonts w:ascii="宋体"/>
              </w:rPr>
            </w:pPr>
          </w:p>
        </w:tc>
        <w:tc>
          <w:tcPr>
            <w:tcW w:w="0" w:type="auto"/>
            <w:shd w:val="clear" w:color="auto" w:fill="auto"/>
            <w:vAlign w:val="bottom"/>
          </w:tcPr>
          <w:p w14:paraId="74DDB5BA" w14:textId="77777777" w:rsidR="00584EC1" w:rsidRDefault="00584EC1">
            <w:pPr>
              <w:rPr>
                <w:rFonts w:ascii="宋体"/>
              </w:rPr>
            </w:pPr>
          </w:p>
        </w:tc>
        <w:tc>
          <w:tcPr>
            <w:tcW w:w="0" w:type="auto"/>
            <w:shd w:val="clear" w:color="auto" w:fill="auto"/>
            <w:vAlign w:val="bottom"/>
          </w:tcPr>
          <w:p w14:paraId="74DDB5BB" w14:textId="77777777" w:rsidR="00584EC1" w:rsidRDefault="00584EC1">
            <w:pPr>
              <w:rPr>
                <w:rFonts w:ascii="宋体"/>
              </w:rPr>
            </w:pPr>
          </w:p>
        </w:tc>
        <w:tc>
          <w:tcPr>
            <w:tcW w:w="0" w:type="auto"/>
            <w:shd w:val="clear" w:color="auto" w:fill="auto"/>
            <w:vAlign w:val="bottom"/>
          </w:tcPr>
          <w:p w14:paraId="74DDB5BC" w14:textId="77777777" w:rsidR="00584EC1" w:rsidRDefault="00584EC1">
            <w:pPr>
              <w:rPr>
                <w:rFonts w:ascii="宋体"/>
              </w:rPr>
            </w:pPr>
          </w:p>
        </w:tc>
        <w:tc>
          <w:tcPr>
            <w:tcW w:w="0" w:type="auto"/>
            <w:shd w:val="clear" w:color="auto" w:fill="auto"/>
            <w:vAlign w:val="bottom"/>
          </w:tcPr>
          <w:p w14:paraId="74DDB5BD" w14:textId="77777777" w:rsidR="00584EC1" w:rsidRDefault="00584EC1">
            <w:pPr>
              <w:rPr>
                <w:rFonts w:ascii="宋体"/>
              </w:rPr>
            </w:pPr>
          </w:p>
        </w:tc>
      </w:tr>
      <w:tr w:rsidR="00584EC1" w14:paraId="74DDB5C5" w14:textId="77777777">
        <w:trPr>
          <w:jc w:val="center"/>
        </w:trPr>
        <w:tc>
          <w:tcPr>
            <w:tcW w:w="0" w:type="auto"/>
            <w:gridSpan w:val="3"/>
            <w:shd w:val="clear" w:color="auto" w:fill="auto"/>
            <w:tcMar>
              <w:top w:w="40" w:type="dxa"/>
              <w:left w:w="20" w:type="dxa"/>
              <w:bottom w:w="40" w:type="dxa"/>
              <w:right w:w="20" w:type="dxa"/>
            </w:tcMar>
            <w:vAlign w:val="bottom"/>
          </w:tcPr>
          <w:p w14:paraId="74DDB5BF" w14:textId="77777777" w:rsidR="00584EC1" w:rsidRDefault="00871F8D">
            <w:pPr>
              <w:textAlignment w:val="bottom"/>
            </w:pPr>
            <w:r>
              <w:rPr>
                <w:rFonts w:ascii="Arial" w:eastAsia="宋体" w:hAnsi="Arial" w:cs="Arial"/>
                <w:b/>
                <w:bCs/>
                <w:color w:val="000000"/>
                <w:sz w:val="15"/>
                <w:szCs w:val="15"/>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B5C0" w14:textId="77777777" w:rsidR="00584EC1" w:rsidRDefault="00871F8D">
            <w:pPr>
              <w:jc w:val="center"/>
              <w:textAlignment w:val="bottom"/>
            </w:pPr>
            <w:r>
              <w:rPr>
                <w:rFonts w:ascii="Arial" w:eastAsia="宋体" w:hAnsi="Arial" w:cs="Arial"/>
                <w:b/>
                <w:bCs/>
                <w:color w:val="000000"/>
                <w:sz w:val="15"/>
                <w:szCs w:val="15"/>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B5C1"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B5C2" w14:textId="77777777" w:rsidR="00584EC1" w:rsidRDefault="00871F8D">
            <w:pPr>
              <w:jc w:val="center"/>
              <w:textAlignment w:val="bottom"/>
            </w:pPr>
            <w:r>
              <w:rPr>
                <w:rFonts w:ascii="Arial" w:eastAsia="宋体" w:hAnsi="Arial" w:cs="Arial"/>
                <w:b/>
                <w:bCs/>
                <w:color w:val="000000"/>
                <w:sz w:val="15"/>
                <w:szCs w:val="15"/>
              </w:rPr>
              <w:t>2020</w:t>
            </w:r>
          </w:p>
        </w:tc>
        <w:tc>
          <w:tcPr>
            <w:tcW w:w="0" w:type="auto"/>
            <w:gridSpan w:val="3"/>
            <w:shd w:val="clear" w:color="auto" w:fill="auto"/>
            <w:vAlign w:val="bottom"/>
          </w:tcPr>
          <w:p w14:paraId="74DDB5C3" w14:textId="77777777" w:rsidR="00584EC1" w:rsidRDefault="00584EC1">
            <w:pPr>
              <w:rPr>
                <w:rFonts w:ascii="宋体"/>
                <w:vanish/>
              </w:rPr>
            </w:pPr>
          </w:p>
        </w:tc>
        <w:tc>
          <w:tcPr>
            <w:tcW w:w="0" w:type="auto"/>
            <w:gridSpan w:val="3"/>
            <w:shd w:val="clear" w:color="auto" w:fill="auto"/>
            <w:vAlign w:val="bottom"/>
          </w:tcPr>
          <w:p w14:paraId="74DDB5C4" w14:textId="77777777" w:rsidR="00584EC1" w:rsidRDefault="00584EC1">
            <w:pPr>
              <w:rPr>
                <w:rFonts w:ascii="宋体"/>
                <w:vanish/>
              </w:rPr>
            </w:pPr>
          </w:p>
        </w:tc>
      </w:tr>
      <w:tr w:rsidR="00584EC1" w14:paraId="74DDB5CC" w14:textId="77777777">
        <w:trPr>
          <w:jc w:val="center"/>
        </w:trPr>
        <w:tc>
          <w:tcPr>
            <w:tcW w:w="0" w:type="auto"/>
            <w:gridSpan w:val="3"/>
            <w:shd w:val="clear" w:color="auto" w:fill="auto"/>
            <w:tcMar>
              <w:top w:w="40" w:type="dxa"/>
              <w:left w:w="20" w:type="dxa"/>
              <w:bottom w:w="40" w:type="dxa"/>
              <w:right w:w="20" w:type="dxa"/>
            </w:tcMar>
            <w:vAlign w:val="bottom"/>
          </w:tcPr>
          <w:p w14:paraId="74DDB5C6" w14:textId="77777777" w:rsidR="00584EC1" w:rsidRDefault="00871F8D">
            <w:pPr>
              <w:textAlignment w:val="bottom"/>
            </w:pPr>
            <w:r>
              <w:rPr>
                <w:rFonts w:ascii="Arial" w:eastAsia="宋体" w:hAnsi="Arial" w:cs="Arial"/>
                <w:b/>
                <w:bCs/>
                <w:color w:val="000000"/>
                <w:sz w:val="15"/>
                <w:szCs w:val="15"/>
              </w:rPr>
              <w:t>Operating Activities: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B5C7"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B5C8"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B5C9" w14:textId="77777777" w:rsidR="00584EC1" w:rsidRDefault="00584EC1">
            <w:pPr>
              <w:rPr>
                <w:rFonts w:ascii="宋体"/>
              </w:rPr>
            </w:pPr>
          </w:p>
        </w:tc>
        <w:tc>
          <w:tcPr>
            <w:tcW w:w="0" w:type="auto"/>
            <w:gridSpan w:val="3"/>
            <w:shd w:val="clear" w:color="auto" w:fill="auto"/>
            <w:vAlign w:val="bottom"/>
          </w:tcPr>
          <w:p w14:paraId="74DDB5CA" w14:textId="77777777" w:rsidR="00584EC1" w:rsidRDefault="00584EC1">
            <w:pPr>
              <w:rPr>
                <w:rFonts w:ascii="宋体"/>
                <w:vanish/>
              </w:rPr>
            </w:pPr>
          </w:p>
        </w:tc>
        <w:tc>
          <w:tcPr>
            <w:tcW w:w="0" w:type="auto"/>
            <w:gridSpan w:val="3"/>
            <w:shd w:val="clear" w:color="auto" w:fill="auto"/>
            <w:vAlign w:val="bottom"/>
          </w:tcPr>
          <w:p w14:paraId="74DDB5CB" w14:textId="77777777" w:rsidR="00584EC1" w:rsidRDefault="00584EC1">
            <w:pPr>
              <w:rPr>
                <w:rFonts w:ascii="宋体"/>
                <w:vanish/>
              </w:rPr>
            </w:pPr>
          </w:p>
        </w:tc>
      </w:tr>
      <w:tr w:rsidR="00584EC1" w14:paraId="74DDB5D7" w14:textId="77777777">
        <w:trPr>
          <w:jc w:val="center"/>
        </w:trPr>
        <w:tc>
          <w:tcPr>
            <w:tcW w:w="0" w:type="auto"/>
            <w:gridSpan w:val="3"/>
            <w:shd w:val="clear" w:color="auto" w:fill="CCEEFF"/>
            <w:tcMar>
              <w:top w:w="40" w:type="dxa"/>
              <w:left w:w="20" w:type="dxa"/>
              <w:bottom w:w="40" w:type="dxa"/>
              <w:right w:w="20" w:type="dxa"/>
            </w:tcMar>
            <w:vAlign w:val="bottom"/>
          </w:tcPr>
          <w:p w14:paraId="74DDB5CD" w14:textId="77777777" w:rsidR="00584EC1" w:rsidRDefault="00871F8D">
            <w:pPr>
              <w:textAlignment w:val="bottom"/>
            </w:pPr>
            <w:r>
              <w:rPr>
                <w:rFonts w:ascii="Arial" w:eastAsia="宋体" w:hAnsi="Arial" w:cs="Arial"/>
                <w:color w:val="000000"/>
                <w:sz w:val="15"/>
                <w:szCs w:val="15"/>
              </w:rPr>
              <w:t>Net income</w:t>
            </w:r>
          </w:p>
        </w:tc>
        <w:tc>
          <w:tcPr>
            <w:tcW w:w="0" w:type="auto"/>
            <w:shd w:val="clear" w:color="auto" w:fill="CCEEFF"/>
            <w:tcMar>
              <w:top w:w="40" w:type="dxa"/>
              <w:left w:w="20" w:type="dxa"/>
              <w:bottom w:w="40" w:type="dxa"/>
              <w:right w:w="0" w:type="dxa"/>
            </w:tcMar>
            <w:vAlign w:val="bottom"/>
          </w:tcPr>
          <w:p w14:paraId="74DDB5CE" w14:textId="77777777" w:rsidR="00584EC1" w:rsidRDefault="00871F8D">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4DDB5CF" w14:textId="77777777" w:rsidR="00584EC1" w:rsidRDefault="00871F8D">
            <w:pPr>
              <w:jc w:val="right"/>
              <w:textAlignment w:val="bottom"/>
            </w:pPr>
            <w:r>
              <w:rPr>
                <w:rFonts w:ascii="Arial" w:eastAsia="宋体" w:hAnsi="Arial" w:cs="Arial"/>
                <w:b/>
                <w:bCs/>
                <w:color w:val="000000"/>
                <w:sz w:val="15"/>
                <w:szCs w:val="15"/>
              </w:rPr>
              <w:t>1,996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B5D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5D1"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B5D2" w14:textId="77777777" w:rsidR="00584EC1" w:rsidRDefault="00871F8D">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4DDB5D3" w14:textId="77777777" w:rsidR="00584EC1" w:rsidRDefault="00871F8D">
            <w:pPr>
              <w:jc w:val="right"/>
              <w:textAlignment w:val="bottom"/>
            </w:pPr>
            <w:r>
              <w:rPr>
                <w:rFonts w:ascii="Arial" w:eastAsia="宋体" w:hAnsi="Arial" w:cs="Arial"/>
                <w:color w:val="000000"/>
                <w:sz w:val="15"/>
                <w:szCs w:val="15"/>
              </w:rPr>
              <w:t>1,883 </w:t>
            </w:r>
          </w:p>
        </w:tc>
        <w:tc>
          <w:tcPr>
            <w:tcW w:w="0" w:type="auto"/>
            <w:shd w:val="clear" w:color="auto" w:fill="CCEEFF"/>
            <w:tcMar>
              <w:top w:w="40" w:type="dxa"/>
              <w:left w:w="0" w:type="dxa"/>
              <w:bottom w:w="40" w:type="dxa"/>
              <w:right w:w="20" w:type="dxa"/>
            </w:tcMar>
            <w:vAlign w:val="bottom"/>
          </w:tcPr>
          <w:p w14:paraId="74DDB5D4" w14:textId="77777777" w:rsidR="00584EC1" w:rsidRDefault="00584EC1">
            <w:pPr>
              <w:jc w:val="right"/>
              <w:rPr>
                <w:rFonts w:ascii="宋体"/>
              </w:rPr>
            </w:pPr>
          </w:p>
        </w:tc>
        <w:tc>
          <w:tcPr>
            <w:tcW w:w="0" w:type="auto"/>
            <w:gridSpan w:val="3"/>
            <w:shd w:val="clear" w:color="auto" w:fill="auto"/>
            <w:vAlign w:val="bottom"/>
          </w:tcPr>
          <w:p w14:paraId="74DDB5D5" w14:textId="77777777" w:rsidR="00584EC1" w:rsidRDefault="00584EC1">
            <w:pPr>
              <w:rPr>
                <w:rFonts w:ascii="宋体"/>
                <w:vanish/>
              </w:rPr>
            </w:pPr>
          </w:p>
        </w:tc>
        <w:tc>
          <w:tcPr>
            <w:tcW w:w="0" w:type="auto"/>
            <w:gridSpan w:val="3"/>
            <w:shd w:val="clear" w:color="auto" w:fill="auto"/>
            <w:vAlign w:val="bottom"/>
          </w:tcPr>
          <w:p w14:paraId="74DDB5D6" w14:textId="77777777" w:rsidR="00584EC1" w:rsidRDefault="00584EC1">
            <w:pPr>
              <w:rPr>
                <w:rFonts w:ascii="宋体"/>
                <w:vanish/>
              </w:rPr>
            </w:pPr>
          </w:p>
        </w:tc>
      </w:tr>
      <w:tr w:rsidR="00584EC1" w14:paraId="74DDB5DE" w14:textId="77777777">
        <w:trPr>
          <w:jc w:val="center"/>
        </w:trPr>
        <w:tc>
          <w:tcPr>
            <w:tcW w:w="0" w:type="auto"/>
            <w:gridSpan w:val="3"/>
            <w:shd w:val="clear" w:color="auto" w:fill="FFFFFF"/>
            <w:tcMar>
              <w:top w:w="40" w:type="dxa"/>
              <w:left w:w="20" w:type="dxa"/>
              <w:bottom w:w="40" w:type="dxa"/>
              <w:right w:w="20" w:type="dxa"/>
            </w:tcMar>
            <w:vAlign w:val="bottom"/>
          </w:tcPr>
          <w:p w14:paraId="74DDB5D8" w14:textId="77777777" w:rsidR="00584EC1" w:rsidRDefault="00871F8D">
            <w:pPr>
              <w:textAlignment w:val="bottom"/>
            </w:pPr>
            <w:r>
              <w:rPr>
                <w:rFonts w:ascii="Arial" w:eastAsia="宋体" w:hAnsi="Arial" w:cs="Arial"/>
                <w:color w:val="000000"/>
                <w:sz w:val="15"/>
                <w:szCs w:val="15"/>
              </w:rPr>
              <w:t xml:space="preserve">Adjustments to reconcile net income to net cash </w:t>
            </w:r>
            <w:r>
              <w:rPr>
                <w:rFonts w:ascii="Arial" w:eastAsia="宋体" w:hAnsi="Arial" w:cs="Arial"/>
                <w:color w:val="000000"/>
                <w:sz w:val="15"/>
                <w:szCs w:val="15"/>
              </w:rPr>
              <w:t>provided by operating activities:</w:t>
            </w:r>
          </w:p>
        </w:tc>
        <w:tc>
          <w:tcPr>
            <w:tcW w:w="0" w:type="auto"/>
            <w:gridSpan w:val="3"/>
            <w:shd w:val="clear" w:color="auto" w:fill="FFFFFF"/>
            <w:tcMar>
              <w:top w:w="0" w:type="dxa"/>
              <w:left w:w="20" w:type="dxa"/>
              <w:bottom w:w="0" w:type="dxa"/>
              <w:right w:w="20" w:type="dxa"/>
            </w:tcMar>
            <w:vAlign w:val="bottom"/>
          </w:tcPr>
          <w:p w14:paraId="74DDB5D9"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5DA"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5DB" w14:textId="77777777" w:rsidR="00584EC1" w:rsidRDefault="00584EC1">
            <w:pPr>
              <w:rPr>
                <w:rFonts w:ascii="宋体"/>
              </w:rPr>
            </w:pPr>
          </w:p>
        </w:tc>
        <w:tc>
          <w:tcPr>
            <w:tcW w:w="0" w:type="auto"/>
            <w:gridSpan w:val="3"/>
            <w:shd w:val="clear" w:color="auto" w:fill="auto"/>
            <w:vAlign w:val="bottom"/>
          </w:tcPr>
          <w:p w14:paraId="74DDB5DC" w14:textId="77777777" w:rsidR="00584EC1" w:rsidRDefault="00584EC1">
            <w:pPr>
              <w:rPr>
                <w:rFonts w:ascii="宋体"/>
                <w:vanish/>
              </w:rPr>
            </w:pPr>
          </w:p>
        </w:tc>
        <w:tc>
          <w:tcPr>
            <w:tcW w:w="0" w:type="auto"/>
            <w:gridSpan w:val="3"/>
            <w:shd w:val="clear" w:color="auto" w:fill="auto"/>
            <w:vAlign w:val="bottom"/>
          </w:tcPr>
          <w:p w14:paraId="74DDB5DD" w14:textId="77777777" w:rsidR="00584EC1" w:rsidRDefault="00584EC1">
            <w:pPr>
              <w:rPr>
                <w:rFonts w:ascii="宋体"/>
                <w:vanish/>
              </w:rPr>
            </w:pPr>
          </w:p>
        </w:tc>
      </w:tr>
      <w:tr w:rsidR="00584EC1" w14:paraId="74DDB5E7" w14:textId="77777777">
        <w:trPr>
          <w:jc w:val="center"/>
        </w:trPr>
        <w:tc>
          <w:tcPr>
            <w:tcW w:w="0" w:type="auto"/>
            <w:gridSpan w:val="3"/>
            <w:shd w:val="clear" w:color="auto" w:fill="CCEEFF"/>
            <w:tcMar>
              <w:top w:w="40" w:type="dxa"/>
              <w:left w:w="20" w:type="dxa"/>
              <w:bottom w:w="40" w:type="dxa"/>
              <w:right w:w="20" w:type="dxa"/>
            </w:tcMar>
            <w:vAlign w:val="bottom"/>
          </w:tcPr>
          <w:p w14:paraId="74DDB5DF" w14:textId="77777777" w:rsidR="00584EC1" w:rsidRDefault="00871F8D">
            <w:pPr>
              <w:textAlignment w:val="bottom"/>
            </w:pPr>
            <w:r>
              <w:rPr>
                <w:rFonts w:ascii="Arial" w:eastAsia="宋体" w:hAnsi="Arial" w:cs="Arial"/>
                <w:color w:val="000000"/>
                <w:sz w:val="15"/>
                <w:szCs w:val="15"/>
              </w:rPr>
              <w:t>Deferred income tax (benefit)</w:t>
            </w:r>
          </w:p>
        </w:tc>
        <w:tc>
          <w:tcPr>
            <w:tcW w:w="0" w:type="auto"/>
            <w:gridSpan w:val="2"/>
            <w:shd w:val="clear" w:color="auto" w:fill="CCEEFF"/>
            <w:tcMar>
              <w:top w:w="40" w:type="dxa"/>
              <w:left w:w="20" w:type="dxa"/>
              <w:bottom w:w="40" w:type="dxa"/>
              <w:right w:w="0" w:type="dxa"/>
            </w:tcMar>
            <w:vAlign w:val="bottom"/>
          </w:tcPr>
          <w:p w14:paraId="74DDB5E0" w14:textId="77777777" w:rsidR="00584EC1" w:rsidRDefault="00871F8D">
            <w:pPr>
              <w:jc w:val="right"/>
              <w:textAlignment w:val="bottom"/>
            </w:pPr>
            <w:r>
              <w:rPr>
                <w:rFonts w:ascii="Arial" w:eastAsia="宋体" w:hAnsi="Arial" w:cs="Arial"/>
                <w:b/>
                <w:bCs/>
                <w:color w:val="000000"/>
                <w:sz w:val="15"/>
                <w:szCs w:val="15"/>
              </w:rPr>
              <w:t>(52)</w:t>
            </w:r>
          </w:p>
        </w:tc>
        <w:tc>
          <w:tcPr>
            <w:tcW w:w="0" w:type="auto"/>
            <w:shd w:val="clear" w:color="auto" w:fill="CCEEFF"/>
            <w:tcMar>
              <w:top w:w="40" w:type="dxa"/>
              <w:left w:w="0" w:type="dxa"/>
              <w:bottom w:w="40" w:type="dxa"/>
              <w:right w:w="20" w:type="dxa"/>
            </w:tcMar>
            <w:vAlign w:val="bottom"/>
          </w:tcPr>
          <w:p w14:paraId="74DDB5E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5E2"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5E3" w14:textId="77777777" w:rsidR="00584EC1" w:rsidRDefault="00871F8D">
            <w:pPr>
              <w:jc w:val="right"/>
              <w:textAlignment w:val="bottom"/>
            </w:pPr>
            <w:r>
              <w:rPr>
                <w:rFonts w:ascii="Arial" w:eastAsia="宋体" w:hAnsi="Arial" w:cs="Arial"/>
                <w:color w:val="000000"/>
                <w:sz w:val="15"/>
                <w:szCs w:val="15"/>
              </w:rPr>
              <w:t>(35)</w:t>
            </w:r>
          </w:p>
        </w:tc>
        <w:tc>
          <w:tcPr>
            <w:tcW w:w="0" w:type="auto"/>
            <w:shd w:val="clear" w:color="auto" w:fill="CCEEFF"/>
            <w:tcMar>
              <w:top w:w="40" w:type="dxa"/>
              <w:left w:w="0" w:type="dxa"/>
              <w:bottom w:w="40" w:type="dxa"/>
              <w:right w:w="20" w:type="dxa"/>
            </w:tcMar>
            <w:vAlign w:val="bottom"/>
          </w:tcPr>
          <w:p w14:paraId="74DDB5E4" w14:textId="77777777" w:rsidR="00584EC1" w:rsidRDefault="00584EC1">
            <w:pPr>
              <w:jc w:val="right"/>
              <w:rPr>
                <w:rFonts w:ascii="宋体"/>
              </w:rPr>
            </w:pPr>
          </w:p>
        </w:tc>
        <w:tc>
          <w:tcPr>
            <w:tcW w:w="0" w:type="auto"/>
            <w:gridSpan w:val="3"/>
            <w:shd w:val="clear" w:color="auto" w:fill="auto"/>
            <w:vAlign w:val="bottom"/>
          </w:tcPr>
          <w:p w14:paraId="74DDB5E5" w14:textId="77777777" w:rsidR="00584EC1" w:rsidRDefault="00584EC1">
            <w:pPr>
              <w:rPr>
                <w:rFonts w:ascii="宋体"/>
                <w:vanish/>
              </w:rPr>
            </w:pPr>
          </w:p>
        </w:tc>
        <w:tc>
          <w:tcPr>
            <w:tcW w:w="0" w:type="auto"/>
            <w:gridSpan w:val="3"/>
            <w:shd w:val="clear" w:color="auto" w:fill="auto"/>
            <w:vAlign w:val="bottom"/>
          </w:tcPr>
          <w:p w14:paraId="74DDB5E6" w14:textId="77777777" w:rsidR="00584EC1" w:rsidRDefault="00584EC1">
            <w:pPr>
              <w:rPr>
                <w:rFonts w:ascii="宋体"/>
                <w:vanish/>
              </w:rPr>
            </w:pPr>
          </w:p>
        </w:tc>
      </w:tr>
      <w:tr w:rsidR="00584EC1" w14:paraId="74DDB5F0" w14:textId="77777777">
        <w:trPr>
          <w:jc w:val="center"/>
        </w:trPr>
        <w:tc>
          <w:tcPr>
            <w:tcW w:w="0" w:type="auto"/>
            <w:gridSpan w:val="3"/>
            <w:shd w:val="clear" w:color="auto" w:fill="FFFFFF"/>
            <w:tcMar>
              <w:top w:w="40" w:type="dxa"/>
              <w:left w:w="20" w:type="dxa"/>
              <w:bottom w:w="40" w:type="dxa"/>
              <w:right w:w="20" w:type="dxa"/>
            </w:tcMar>
            <w:vAlign w:val="bottom"/>
          </w:tcPr>
          <w:p w14:paraId="74DDB5E8" w14:textId="77777777" w:rsidR="00584EC1" w:rsidRDefault="00871F8D">
            <w:pPr>
              <w:textAlignment w:val="bottom"/>
            </w:pPr>
            <w:r>
              <w:rPr>
                <w:rFonts w:ascii="Arial" w:eastAsia="宋体" w:hAnsi="Arial" w:cs="Arial"/>
                <w:color w:val="000000"/>
                <w:sz w:val="15"/>
                <w:szCs w:val="15"/>
              </w:rPr>
              <w:t>Amortization of other intangible assets</w:t>
            </w:r>
          </w:p>
        </w:tc>
        <w:tc>
          <w:tcPr>
            <w:tcW w:w="0" w:type="auto"/>
            <w:gridSpan w:val="2"/>
            <w:shd w:val="clear" w:color="auto" w:fill="FFFFFF"/>
            <w:tcMar>
              <w:top w:w="40" w:type="dxa"/>
              <w:left w:w="20" w:type="dxa"/>
              <w:bottom w:w="40" w:type="dxa"/>
              <w:right w:w="0" w:type="dxa"/>
            </w:tcMar>
            <w:vAlign w:val="bottom"/>
          </w:tcPr>
          <w:p w14:paraId="74DDB5E9" w14:textId="77777777" w:rsidR="00584EC1" w:rsidRDefault="00871F8D">
            <w:pPr>
              <w:jc w:val="right"/>
              <w:textAlignment w:val="bottom"/>
            </w:pPr>
            <w:r>
              <w:rPr>
                <w:rFonts w:ascii="Arial" w:eastAsia="宋体" w:hAnsi="Arial" w:cs="Arial"/>
                <w:b/>
                <w:bCs/>
                <w:color w:val="000000"/>
                <w:sz w:val="15"/>
                <w:szCs w:val="15"/>
              </w:rPr>
              <w:t>183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B5E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5EB"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5EC" w14:textId="77777777" w:rsidR="00584EC1" w:rsidRDefault="00871F8D">
            <w:pPr>
              <w:jc w:val="right"/>
              <w:textAlignment w:val="bottom"/>
            </w:pPr>
            <w:r>
              <w:rPr>
                <w:rFonts w:ascii="Arial" w:eastAsia="宋体" w:hAnsi="Arial" w:cs="Arial"/>
                <w:color w:val="000000"/>
                <w:sz w:val="15"/>
                <w:szCs w:val="15"/>
              </w:rPr>
              <w:t>175 </w:t>
            </w:r>
          </w:p>
        </w:tc>
        <w:tc>
          <w:tcPr>
            <w:tcW w:w="0" w:type="auto"/>
            <w:shd w:val="clear" w:color="auto" w:fill="FFFFFF"/>
            <w:tcMar>
              <w:top w:w="40" w:type="dxa"/>
              <w:left w:w="0" w:type="dxa"/>
              <w:bottom w:w="40" w:type="dxa"/>
              <w:right w:w="20" w:type="dxa"/>
            </w:tcMar>
            <w:vAlign w:val="bottom"/>
          </w:tcPr>
          <w:p w14:paraId="74DDB5ED" w14:textId="77777777" w:rsidR="00584EC1" w:rsidRDefault="00584EC1">
            <w:pPr>
              <w:jc w:val="right"/>
              <w:rPr>
                <w:rFonts w:ascii="宋体"/>
              </w:rPr>
            </w:pPr>
          </w:p>
        </w:tc>
        <w:tc>
          <w:tcPr>
            <w:tcW w:w="0" w:type="auto"/>
            <w:gridSpan w:val="3"/>
            <w:shd w:val="clear" w:color="auto" w:fill="auto"/>
            <w:vAlign w:val="bottom"/>
          </w:tcPr>
          <w:p w14:paraId="74DDB5EE" w14:textId="77777777" w:rsidR="00584EC1" w:rsidRDefault="00584EC1">
            <w:pPr>
              <w:rPr>
                <w:rFonts w:ascii="宋体"/>
                <w:vanish/>
              </w:rPr>
            </w:pPr>
          </w:p>
        </w:tc>
        <w:tc>
          <w:tcPr>
            <w:tcW w:w="0" w:type="auto"/>
            <w:gridSpan w:val="3"/>
            <w:shd w:val="clear" w:color="auto" w:fill="auto"/>
            <w:vAlign w:val="bottom"/>
          </w:tcPr>
          <w:p w14:paraId="74DDB5EF" w14:textId="77777777" w:rsidR="00584EC1" w:rsidRDefault="00584EC1">
            <w:pPr>
              <w:rPr>
                <w:rFonts w:ascii="宋体"/>
                <w:vanish/>
              </w:rPr>
            </w:pPr>
          </w:p>
        </w:tc>
      </w:tr>
      <w:tr w:rsidR="00584EC1" w14:paraId="74DDB5F9" w14:textId="77777777">
        <w:trPr>
          <w:jc w:val="center"/>
        </w:trPr>
        <w:tc>
          <w:tcPr>
            <w:tcW w:w="0" w:type="auto"/>
            <w:gridSpan w:val="3"/>
            <w:shd w:val="clear" w:color="auto" w:fill="CCEEFF"/>
            <w:tcMar>
              <w:top w:w="40" w:type="dxa"/>
              <w:left w:w="20" w:type="dxa"/>
              <w:bottom w:w="40" w:type="dxa"/>
              <w:right w:w="20" w:type="dxa"/>
            </w:tcMar>
            <w:vAlign w:val="bottom"/>
          </w:tcPr>
          <w:p w14:paraId="74DDB5F1" w14:textId="77777777" w:rsidR="00584EC1" w:rsidRDefault="00871F8D">
            <w:pPr>
              <w:textAlignment w:val="bottom"/>
            </w:pPr>
            <w:r>
              <w:rPr>
                <w:rFonts w:ascii="Arial" w:eastAsia="宋体" w:hAnsi="Arial" w:cs="Arial"/>
                <w:color w:val="000000"/>
                <w:sz w:val="15"/>
                <w:szCs w:val="15"/>
              </w:rPr>
              <w:t>Other non-cash adjustments for depreciation, amortization and accretion, net</w:t>
            </w:r>
          </w:p>
        </w:tc>
        <w:tc>
          <w:tcPr>
            <w:tcW w:w="0" w:type="auto"/>
            <w:gridSpan w:val="2"/>
            <w:shd w:val="clear" w:color="auto" w:fill="CCEEFF"/>
            <w:tcMar>
              <w:top w:w="40" w:type="dxa"/>
              <w:left w:w="20" w:type="dxa"/>
              <w:bottom w:w="40" w:type="dxa"/>
              <w:right w:w="0" w:type="dxa"/>
            </w:tcMar>
            <w:vAlign w:val="bottom"/>
          </w:tcPr>
          <w:p w14:paraId="74DDB5F2" w14:textId="77777777" w:rsidR="00584EC1" w:rsidRDefault="00871F8D">
            <w:pPr>
              <w:jc w:val="right"/>
              <w:textAlignment w:val="bottom"/>
            </w:pPr>
            <w:r>
              <w:rPr>
                <w:rFonts w:ascii="Arial" w:eastAsia="宋体" w:hAnsi="Arial" w:cs="Arial"/>
                <w:b/>
                <w:bCs/>
                <w:color w:val="000000"/>
                <w:sz w:val="15"/>
                <w:szCs w:val="15"/>
              </w:rPr>
              <w:t>1,015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B5F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5F4"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5F5" w14:textId="77777777" w:rsidR="00584EC1" w:rsidRDefault="00871F8D">
            <w:pPr>
              <w:jc w:val="right"/>
              <w:textAlignment w:val="bottom"/>
            </w:pPr>
            <w:r>
              <w:rPr>
                <w:rFonts w:ascii="Arial" w:eastAsia="宋体" w:hAnsi="Arial" w:cs="Arial"/>
                <w:color w:val="000000"/>
                <w:sz w:val="15"/>
                <w:szCs w:val="15"/>
              </w:rPr>
              <w:t>(793)</w:t>
            </w:r>
          </w:p>
        </w:tc>
        <w:tc>
          <w:tcPr>
            <w:tcW w:w="0" w:type="auto"/>
            <w:shd w:val="clear" w:color="auto" w:fill="CCEEFF"/>
            <w:tcMar>
              <w:top w:w="40" w:type="dxa"/>
              <w:left w:w="0" w:type="dxa"/>
              <w:bottom w:w="40" w:type="dxa"/>
              <w:right w:w="20" w:type="dxa"/>
            </w:tcMar>
            <w:vAlign w:val="bottom"/>
          </w:tcPr>
          <w:p w14:paraId="74DDB5F6" w14:textId="77777777" w:rsidR="00584EC1" w:rsidRDefault="00584EC1">
            <w:pPr>
              <w:jc w:val="right"/>
              <w:rPr>
                <w:rFonts w:ascii="宋体"/>
              </w:rPr>
            </w:pPr>
          </w:p>
        </w:tc>
        <w:tc>
          <w:tcPr>
            <w:tcW w:w="0" w:type="auto"/>
            <w:gridSpan w:val="3"/>
            <w:shd w:val="clear" w:color="auto" w:fill="auto"/>
            <w:vAlign w:val="bottom"/>
          </w:tcPr>
          <w:p w14:paraId="74DDB5F7" w14:textId="77777777" w:rsidR="00584EC1" w:rsidRDefault="00584EC1">
            <w:pPr>
              <w:rPr>
                <w:rFonts w:ascii="宋体"/>
                <w:vanish/>
              </w:rPr>
            </w:pPr>
          </w:p>
        </w:tc>
        <w:tc>
          <w:tcPr>
            <w:tcW w:w="0" w:type="auto"/>
            <w:gridSpan w:val="3"/>
            <w:shd w:val="clear" w:color="auto" w:fill="auto"/>
            <w:vAlign w:val="bottom"/>
          </w:tcPr>
          <w:p w14:paraId="74DDB5F8" w14:textId="77777777" w:rsidR="00584EC1" w:rsidRDefault="00584EC1">
            <w:pPr>
              <w:rPr>
                <w:rFonts w:ascii="宋体"/>
                <w:vanish/>
              </w:rPr>
            </w:pPr>
          </w:p>
        </w:tc>
      </w:tr>
      <w:tr w:rsidR="00584EC1" w14:paraId="74DDB602" w14:textId="77777777">
        <w:trPr>
          <w:jc w:val="center"/>
        </w:trPr>
        <w:tc>
          <w:tcPr>
            <w:tcW w:w="0" w:type="auto"/>
            <w:gridSpan w:val="3"/>
            <w:shd w:val="clear" w:color="auto" w:fill="FFFFFF"/>
            <w:tcMar>
              <w:top w:w="40" w:type="dxa"/>
              <w:left w:w="20" w:type="dxa"/>
              <w:bottom w:w="40" w:type="dxa"/>
              <w:right w:w="20" w:type="dxa"/>
            </w:tcMar>
            <w:vAlign w:val="bottom"/>
          </w:tcPr>
          <w:p w14:paraId="74DDB5FA" w14:textId="77777777" w:rsidR="00584EC1" w:rsidRDefault="00871F8D">
            <w:pPr>
              <w:textAlignment w:val="bottom"/>
            </w:pPr>
            <w:r>
              <w:rPr>
                <w:rFonts w:ascii="Arial" w:eastAsia="宋体" w:hAnsi="Arial" w:cs="Arial"/>
                <w:color w:val="000000"/>
                <w:sz w:val="15"/>
                <w:szCs w:val="15"/>
              </w:rPr>
              <w:t xml:space="preserve">Losses </w:t>
            </w:r>
            <w:r>
              <w:rPr>
                <w:rFonts w:ascii="Arial" w:eastAsia="宋体" w:hAnsi="Arial" w:cs="Arial"/>
                <w:color w:val="000000"/>
                <w:sz w:val="15"/>
                <w:szCs w:val="15"/>
              </w:rPr>
              <w:t>(gains) related to investment securities, net</w:t>
            </w:r>
          </w:p>
        </w:tc>
        <w:tc>
          <w:tcPr>
            <w:tcW w:w="0" w:type="auto"/>
            <w:gridSpan w:val="2"/>
            <w:shd w:val="clear" w:color="auto" w:fill="FFFFFF"/>
            <w:tcMar>
              <w:top w:w="40" w:type="dxa"/>
              <w:left w:w="20" w:type="dxa"/>
              <w:bottom w:w="40" w:type="dxa"/>
              <w:right w:w="0" w:type="dxa"/>
            </w:tcMar>
            <w:vAlign w:val="bottom"/>
          </w:tcPr>
          <w:p w14:paraId="74DDB5FB" w14:textId="77777777" w:rsidR="00584EC1" w:rsidRDefault="00871F8D">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B5F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5F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5FE" w14:textId="77777777" w:rsidR="00584EC1" w:rsidRDefault="00871F8D">
            <w:pPr>
              <w:jc w:val="right"/>
              <w:textAlignment w:val="bottom"/>
            </w:pPr>
            <w:r>
              <w:rPr>
                <w:rFonts w:ascii="Arial" w:eastAsia="宋体" w:hAnsi="Arial" w:cs="Arial"/>
                <w:color w:val="000000"/>
                <w:sz w:val="15"/>
                <w:szCs w:val="15"/>
              </w:rPr>
              <w:t>(2)</w:t>
            </w:r>
          </w:p>
        </w:tc>
        <w:tc>
          <w:tcPr>
            <w:tcW w:w="0" w:type="auto"/>
            <w:shd w:val="clear" w:color="auto" w:fill="FFFFFF"/>
            <w:tcMar>
              <w:top w:w="40" w:type="dxa"/>
              <w:left w:w="0" w:type="dxa"/>
              <w:bottom w:w="40" w:type="dxa"/>
              <w:right w:w="20" w:type="dxa"/>
            </w:tcMar>
            <w:vAlign w:val="bottom"/>
          </w:tcPr>
          <w:p w14:paraId="74DDB5FF" w14:textId="77777777" w:rsidR="00584EC1" w:rsidRDefault="00584EC1">
            <w:pPr>
              <w:jc w:val="right"/>
              <w:rPr>
                <w:rFonts w:ascii="宋体"/>
              </w:rPr>
            </w:pPr>
          </w:p>
        </w:tc>
        <w:tc>
          <w:tcPr>
            <w:tcW w:w="0" w:type="auto"/>
            <w:gridSpan w:val="3"/>
            <w:shd w:val="clear" w:color="auto" w:fill="auto"/>
            <w:vAlign w:val="bottom"/>
          </w:tcPr>
          <w:p w14:paraId="74DDB600" w14:textId="77777777" w:rsidR="00584EC1" w:rsidRDefault="00584EC1">
            <w:pPr>
              <w:rPr>
                <w:rFonts w:ascii="宋体"/>
                <w:vanish/>
              </w:rPr>
            </w:pPr>
          </w:p>
        </w:tc>
        <w:tc>
          <w:tcPr>
            <w:tcW w:w="0" w:type="auto"/>
            <w:gridSpan w:val="3"/>
            <w:shd w:val="clear" w:color="auto" w:fill="auto"/>
            <w:vAlign w:val="bottom"/>
          </w:tcPr>
          <w:p w14:paraId="74DDB601" w14:textId="77777777" w:rsidR="00584EC1" w:rsidRDefault="00584EC1">
            <w:pPr>
              <w:rPr>
                <w:rFonts w:ascii="宋体"/>
                <w:vanish/>
              </w:rPr>
            </w:pPr>
          </w:p>
        </w:tc>
      </w:tr>
      <w:tr w:rsidR="00584EC1" w14:paraId="74DDB60B" w14:textId="77777777">
        <w:trPr>
          <w:jc w:val="center"/>
        </w:trPr>
        <w:tc>
          <w:tcPr>
            <w:tcW w:w="0" w:type="auto"/>
            <w:gridSpan w:val="3"/>
            <w:shd w:val="clear" w:color="auto" w:fill="CCEEFF"/>
            <w:tcMar>
              <w:top w:w="40" w:type="dxa"/>
              <w:left w:w="20" w:type="dxa"/>
              <w:bottom w:w="40" w:type="dxa"/>
              <w:right w:w="20" w:type="dxa"/>
            </w:tcMar>
            <w:vAlign w:val="bottom"/>
          </w:tcPr>
          <w:p w14:paraId="74DDB603" w14:textId="77777777" w:rsidR="00584EC1" w:rsidRDefault="00871F8D">
            <w:pPr>
              <w:textAlignment w:val="bottom"/>
            </w:pPr>
            <w:r>
              <w:rPr>
                <w:rFonts w:ascii="Arial" w:eastAsia="宋体" w:hAnsi="Arial" w:cs="Arial"/>
                <w:color w:val="000000"/>
                <w:sz w:val="15"/>
                <w:szCs w:val="15"/>
              </w:rPr>
              <w:t>Provision for credit losses</w:t>
            </w:r>
          </w:p>
        </w:tc>
        <w:tc>
          <w:tcPr>
            <w:tcW w:w="0" w:type="auto"/>
            <w:gridSpan w:val="2"/>
            <w:shd w:val="clear" w:color="auto" w:fill="CCEEFF"/>
            <w:tcMar>
              <w:top w:w="40" w:type="dxa"/>
              <w:left w:w="20" w:type="dxa"/>
              <w:bottom w:w="40" w:type="dxa"/>
              <w:right w:w="0" w:type="dxa"/>
            </w:tcMar>
            <w:vAlign w:val="bottom"/>
          </w:tcPr>
          <w:p w14:paraId="74DDB604" w14:textId="77777777" w:rsidR="00584EC1" w:rsidRDefault="00871F8D">
            <w:pPr>
              <w:jc w:val="right"/>
              <w:textAlignment w:val="bottom"/>
            </w:pPr>
            <w:r>
              <w:rPr>
                <w:rFonts w:ascii="Arial" w:eastAsia="宋体" w:hAnsi="Arial" w:cs="Arial"/>
                <w:b/>
                <w:bCs/>
                <w:color w:val="000000"/>
                <w:sz w:val="15"/>
                <w:szCs w:val="15"/>
              </w:rPr>
              <w:t>(26)</w:t>
            </w:r>
          </w:p>
        </w:tc>
        <w:tc>
          <w:tcPr>
            <w:tcW w:w="0" w:type="auto"/>
            <w:shd w:val="clear" w:color="auto" w:fill="CCEEFF"/>
            <w:tcMar>
              <w:top w:w="40" w:type="dxa"/>
              <w:left w:w="0" w:type="dxa"/>
              <w:bottom w:w="40" w:type="dxa"/>
              <w:right w:w="20" w:type="dxa"/>
            </w:tcMar>
            <w:vAlign w:val="bottom"/>
          </w:tcPr>
          <w:p w14:paraId="74DDB60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60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607" w14:textId="77777777" w:rsidR="00584EC1" w:rsidRDefault="00871F8D">
            <w:pPr>
              <w:jc w:val="right"/>
              <w:textAlignment w:val="bottom"/>
            </w:pPr>
            <w:r>
              <w:rPr>
                <w:rFonts w:ascii="Arial" w:eastAsia="宋体" w:hAnsi="Arial" w:cs="Arial"/>
                <w:color w:val="000000"/>
                <w:sz w:val="15"/>
                <w:szCs w:val="15"/>
              </w:rPr>
              <w:t>88 </w:t>
            </w:r>
          </w:p>
        </w:tc>
        <w:tc>
          <w:tcPr>
            <w:tcW w:w="0" w:type="auto"/>
            <w:shd w:val="clear" w:color="auto" w:fill="CCEEFF"/>
            <w:tcMar>
              <w:top w:w="40" w:type="dxa"/>
              <w:left w:w="0" w:type="dxa"/>
              <w:bottom w:w="40" w:type="dxa"/>
              <w:right w:w="20" w:type="dxa"/>
            </w:tcMar>
            <w:vAlign w:val="bottom"/>
          </w:tcPr>
          <w:p w14:paraId="74DDB608" w14:textId="77777777" w:rsidR="00584EC1" w:rsidRDefault="00584EC1">
            <w:pPr>
              <w:jc w:val="right"/>
              <w:rPr>
                <w:rFonts w:ascii="宋体"/>
              </w:rPr>
            </w:pPr>
          </w:p>
        </w:tc>
        <w:tc>
          <w:tcPr>
            <w:tcW w:w="0" w:type="auto"/>
            <w:gridSpan w:val="3"/>
            <w:shd w:val="clear" w:color="auto" w:fill="auto"/>
            <w:vAlign w:val="bottom"/>
          </w:tcPr>
          <w:p w14:paraId="74DDB609" w14:textId="77777777" w:rsidR="00584EC1" w:rsidRDefault="00584EC1">
            <w:pPr>
              <w:rPr>
                <w:rFonts w:ascii="宋体"/>
                <w:vanish/>
              </w:rPr>
            </w:pPr>
          </w:p>
        </w:tc>
        <w:tc>
          <w:tcPr>
            <w:tcW w:w="0" w:type="auto"/>
            <w:gridSpan w:val="3"/>
            <w:shd w:val="clear" w:color="auto" w:fill="auto"/>
            <w:vAlign w:val="bottom"/>
          </w:tcPr>
          <w:p w14:paraId="74DDB60A" w14:textId="77777777" w:rsidR="00584EC1" w:rsidRDefault="00584EC1">
            <w:pPr>
              <w:rPr>
                <w:rFonts w:ascii="宋体"/>
                <w:vanish/>
              </w:rPr>
            </w:pPr>
          </w:p>
        </w:tc>
      </w:tr>
      <w:tr w:rsidR="00584EC1" w14:paraId="74DDB614" w14:textId="77777777">
        <w:trPr>
          <w:jc w:val="center"/>
        </w:trPr>
        <w:tc>
          <w:tcPr>
            <w:tcW w:w="0" w:type="auto"/>
            <w:gridSpan w:val="3"/>
            <w:shd w:val="clear" w:color="auto" w:fill="FFFFFF"/>
            <w:tcMar>
              <w:top w:w="40" w:type="dxa"/>
              <w:left w:w="20" w:type="dxa"/>
              <w:bottom w:w="40" w:type="dxa"/>
              <w:right w:w="20" w:type="dxa"/>
            </w:tcMar>
            <w:vAlign w:val="bottom"/>
          </w:tcPr>
          <w:p w14:paraId="74DDB60C" w14:textId="77777777" w:rsidR="00584EC1" w:rsidRDefault="00871F8D">
            <w:pPr>
              <w:textAlignment w:val="bottom"/>
            </w:pPr>
            <w:r>
              <w:rPr>
                <w:rFonts w:ascii="Arial" w:eastAsia="宋体" w:hAnsi="Arial" w:cs="Arial"/>
                <w:color w:val="000000"/>
                <w:sz w:val="15"/>
                <w:szCs w:val="15"/>
              </w:rPr>
              <w:t>Change in trading account assets, net</w:t>
            </w:r>
          </w:p>
        </w:tc>
        <w:tc>
          <w:tcPr>
            <w:tcW w:w="0" w:type="auto"/>
            <w:gridSpan w:val="2"/>
            <w:shd w:val="clear" w:color="auto" w:fill="FFFFFF"/>
            <w:tcMar>
              <w:top w:w="40" w:type="dxa"/>
              <w:left w:w="20" w:type="dxa"/>
              <w:bottom w:w="40" w:type="dxa"/>
              <w:right w:w="0" w:type="dxa"/>
            </w:tcMar>
            <w:vAlign w:val="bottom"/>
          </w:tcPr>
          <w:p w14:paraId="74DDB60D" w14:textId="77777777" w:rsidR="00584EC1" w:rsidRDefault="00871F8D">
            <w:pPr>
              <w:jc w:val="right"/>
              <w:textAlignment w:val="bottom"/>
            </w:pPr>
            <w:r>
              <w:rPr>
                <w:rFonts w:ascii="Arial" w:eastAsia="宋体" w:hAnsi="Arial" w:cs="Arial"/>
                <w:b/>
                <w:bCs/>
                <w:color w:val="000000"/>
                <w:sz w:val="15"/>
                <w:szCs w:val="15"/>
              </w:rPr>
              <w:t>94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B60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60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610" w14:textId="77777777" w:rsidR="00584EC1" w:rsidRDefault="00871F8D">
            <w:pPr>
              <w:jc w:val="right"/>
              <w:textAlignment w:val="bottom"/>
            </w:pPr>
            <w:r>
              <w:rPr>
                <w:rFonts w:ascii="Arial" w:eastAsia="宋体" w:hAnsi="Arial" w:cs="Arial"/>
                <w:color w:val="000000"/>
                <w:sz w:val="15"/>
                <w:szCs w:val="15"/>
              </w:rPr>
              <w:t>74 </w:t>
            </w:r>
          </w:p>
        </w:tc>
        <w:tc>
          <w:tcPr>
            <w:tcW w:w="0" w:type="auto"/>
            <w:shd w:val="clear" w:color="auto" w:fill="FFFFFF"/>
            <w:tcMar>
              <w:top w:w="40" w:type="dxa"/>
              <w:left w:w="0" w:type="dxa"/>
              <w:bottom w:w="40" w:type="dxa"/>
              <w:right w:w="20" w:type="dxa"/>
            </w:tcMar>
            <w:vAlign w:val="bottom"/>
          </w:tcPr>
          <w:p w14:paraId="74DDB611" w14:textId="77777777" w:rsidR="00584EC1" w:rsidRDefault="00584EC1">
            <w:pPr>
              <w:jc w:val="right"/>
              <w:rPr>
                <w:rFonts w:ascii="宋体"/>
              </w:rPr>
            </w:pPr>
          </w:p>
        </w:tc>
        <w:tc>
          <w:tcPr>
            <w:tcW w:w="0" w:type="auto"/>
            <w:gridSpan w:val="3"/>
            <w:shd w:val="clear" w:color="auto" w:fill="auto"/>
            <w:vAlign w:val="bottom"/>
          </w:tcPr>
          <w:p w14:paraId="74DDB612" w14:textId="77777777" w:rsidR="00584EC1" w:rsidRDefault="00584EC1">
            <w:pPr>
              <w:rPr>
                <w:rFonts w:ascii="宋体"/>
                <w:vanish/>
              </w:rPr>
            </w:pPr>
          </w:p>
        </w:tc>
        <w:tc>
          <w:tcPr>
            <w:tcW w:w="0" w:type="auto"/>
            <w:gridSpan w:val="3"/>
            <w:shd w:val="clear" w:color="auto" w:fill="auto"/>
            <w:vAlign w:val="bottom"/>
          </w:tcPr>
          <w:p w14:paraId="74DDB613" w14:textId="77777777" w:rsidR="00584EC1" w:rsidRDefault="00584EC1">
            <w:pPr>
              <w:rPr>
                <w:rFonts w:ascii="宋体"/>
                <w:vanish/>
              </w:rPr>
            </w:pPr>
          </w:p>
        </w:tc>
      </w:tr>
      <w:tr w:rsidR="00584EC1" w14:paraId="74DDB61D" w14:textId="77777777">
        <w:trPr>
          <w:jc w:val="center"/>
        </w:trPr>
        <w:tc>
          <w:tcPr>
            <w:tcW w:w="0" w:type="auto"/>
            <w:gridSpan w:val="3"/>
            <w:shd w:val="clear" w:color="auto" w:fill="CCEEFF"/>
            <w:tcMar>
              <w:top w:w="40" w:type="dxa"/>
              <w:left w:w="20" w:type="dxa"/>
              <w:bottom w:w="40" w:type="dxa"/>
              <w:right w:w="20" w:type="dxa"/>
            </w:tcMar>
            <w:vAlign w:val="bottom"/>
          </w:tcPr>
          <w:p w14:paraId="74DDB615" w14:textId="77777777" w:rsidR="00584EC1" w:rsidRDefault="00871F8D">
            <w:pPr>
              <w:textAlignment w:val="bottom"/>
            </w:pPr>
            <w:r>
              <w:rPr>
                <w:rFonts w:ascii="Arial" w:eastAsia="宋体" w:hAnsi="Arial" w:cs="Arial"/>
                <w:color w:val="000000"/>
                <w:sz w:val="15"/>
                <w:szCs w:val="15"/>
              </w:rPr>
              <w:t>Change in accrued interest and fees receivable, net</w:t>
            </w:r>
          </w:p>
        </w:tc>
        <w:tc>
          <w:tcPr>
            <w:tcW w:w="0" w:type="auto"/>
            <w:gridSpan w:val="2"/>
            <w:shd w:val="clear" w:color="auto" w:fill="CCEEFF"/>
            <w:tcMar>
              <w:top w:w="40" w:type="dxa"/>
              <w:left w:w="20" w:type="dxa"/>
              <w:bottom w:w="40" w:type="dxa"/>
              <w:right w:w="0" w:type="dxa"/>
            </w:tcMar>
            <w:vAlign w:val="bottom"/>
          </w:tcPr>
          <w:p w14:paraId="74DDB616" w14:textId="77777777" w:rsidR="00584EC1" w:rsidRDefault="00871F8D">
            <w:pPr>
              <w:jc w:val="right"/>
              <w:textAlignment w:val="bottom"/>
            </w:pPr>
            <w:r>
              <w:rPr>
                <w:rFonts w:ascii="Arial" w:eastAsia="宋体" w:hAnsi="Arial" w:cs="Arial"/>
                <w:b/>
                <w:bCs/>
                <w:color w:val="000000"/>
                <w:sz w:val="15"/>
                <w:szCs w:val="15"/>
              </w:rPr>
              <w:t>(302)</w:t>
            </w:r>
          </w:p>
        </w:tc>
        <w:tc>
          <w:tcPr>
            <w:tcW w:w="0" w:type="auto"/>
            <w:shd w:val="clear" w:color="auto" w:fill="CCEEFF"/>
            <w:tcMar>
              <w:top w:w="40" w:type="dxa"/>
              <w:left w:w="0" w:type="dxa"/>
              <w:bottom w:w="40" w:type="dxa"/>
              <w:right w:w="20" w:type="dxa"/>
            </w:tcMar>
            <w:vAlign w:val="bottom"/>
          </w:tcPr>
          <w:p w14:paraId="74DDB61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618"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619" w14:textId="77777777" w:rsidR="00584EC1" w:rsidRDefault="00871F8D">
            <w:pPr>
              <w:jc w:val="right"/>
              <w:textAlignment w:val="bottom"/>
            </w:pPr>
            <w:r>
              <w:rPr>
                <w:rFonts w:ascii="Arial" w:eastAsia="宋体" w:hAnsi="Arial" w:cs="Arial"/>
                <w:color w:val="000000"/>
                <w:sz w:val="15"/>
                <w:szCs w:val="15"/>
              </w:rPr>
              <w:t>(60)</w:t>
            </w:r>
          </w:p>
        </w:tc>
        <w:tc>
          <w:tcPr>
            <w:tcW w:w="0" w:type="auto"/>
            <w:shd w:val="clear" w:color="auto" w:fill="CCEEFF"/>
            <w:tcMar>
              <w:top w:w="40" w:type="dxa"/>
              <w:left w:w="0" w:type="dxa"/>
              <w:bottom w:w="40" w:type="dxa"/>
              <w:right w:w="20" w:type="dxa"/>
            </w:tcMar>
            <w:vAlign w:val="bottom"/>
          </w:tcPr>
          <w:p w14:paraId="74DDB61A" w14:textId="77777777" w:rsidR="00584EC1" w:rsidRDefault="00584EC1">
            <w:pPr>
              <w:jc w:val="right"/>
              <w:rPr>
                <w:rFonts w:ascii="宋体"/>
              </w:rPr>
            </w:pPr>
          </w:p>
        </w:tc>
        <w:tc>
          <w:tcPr>
            <w:tcW w:w="0" w:type="auto"/>
            <w:gridSpan w:val="3"/>
            <w:shd w:val="clear" w:color="auto" w:fill="auto"/>
            <w:vAlign w:val="bottom"/>
          </w:tcPr>
          <w:p w14:paraId="74DDB61B" w14:textId="77777777" w:rsidR="00584EC1" w:rsidRDefault="00584EC1">
            <w:pPr>
              <w:rPr>
                <w:rFonts w:ascii="宋体"/>
                <w:vanish/>
              </w:rPr>
            </w:pPr>
          </w:p>
        </w:tc>
        <w:tc>
          <w:tcPr>
            <w:tcW w:w="0" w:type="auto"/>
            <w:gridSpan w:val="3"/>
            <w:shd w:val="clear" w:color="auto" w:fill="auto"/>
            <w:vAlign w:val="bottom"/>
          </w:tcPr>
          <w:p w14:paraId="74DDB61C" w14:textId="77777777" w:rsidR="00584EC1" w:rsidRDefault="00584EC1">
            <w:pPr>
              <w:rPr>
                <w:rFonts w:ascii="宋体"/>
                <w:vanish/>
              </w:rPr>
            </w:pPr>
          </w:p>
        </w:tc>
      </w:tr>
      <w:tr w:rsidR="00584EC1" w14:paraId="74DDB626" w14:textId="77777777">
        <w:trPr>
          <w:jc w:val="center"/>
        </w:trPr>
        <w:tc>
          <w:tcPr>
            <w:tcW w:w="0" w:type="auto"/>
            <w:gridSpan w:val="3"/>
            <w:shd w:val="clear" w:color="auto" w:fill="FFFFFF"/>
            <w:tcMar>
              <w:top w:w="40" w:type="dxa"/>
              <w:left w:w="20" w:type="dxa"/>
              <w:bottom w:w="40" w:type="dxa"/>
              <w:right w:w="20" w:type="dxa"/>
            </w:tcMar>
            <w:vAlign w:val="bottom"/>
          </w:tcPr>
          <w:p w14:paraId="74DDB61E" w14:textId="77777777" w:rsidR="00584EC1" w:rsidRDefault="00871F8D">
            <w:pPr>
              <w:textAlignment w:val="bottom"/>
            </w:pPr>
            <w:r>
              <w:rPr>
                <w:rFonts w:ascii="Arial" w:eastAsia="宋体" w:hAnsi="Arial" w:cs="Arial"/>
                <w:color w:val="000000"/>
                <w:sz w:val="15"/>
                <w:szCs w:val="15"/>
              </w:rPr>
              <w:t xml:space="preserve">Change in collateral </w:t>
            </w:r>
            <w:r>
              <w:rPr>
                <w:rFonts w:ascii="Arial" w:eastAsia="宋体" w:hAnsi="Arial" w:cs="Arial"/>
                <w:color w:val="000000"/>
                <w:sz w:val="15"/>
                <w:szCs w:val="15"/>
              </w:rPr>
              <w:t>deposits, net</w:t>
            </w:r>
          </w:p>
        </w:tc>
        <w:tc>
          <w:tcPr>
            <w:tcW w:w="0" w:type="auto"/>
            <w:gridSpan w:val="2"/>
            <w:shd w:val="clear" w:color="auto" w:fill="FFFFFF"/>
            <w:tcMar>
              <w:top w:w="40" w:type="dxa"/>
              <w:left w:w="20" w:type="dxa"/>
              <w:bottom w:w="40" w:type="dxa"/>
              <w:right w:w="0" w:type="dxa"/>
            </w:tcMar>
            <w:vAlign w:val="bottom"/>
          </w:tcPr>
          <w:p w14:paraId="74DDB61F" w14:textId="77777777" w:rsidR="00584EC1" w:rsidRDefault="00871F8D">
            <w:pPr>
              <w:jc w:val="right"/>
              <w:textAlignment w:val="bottom"/>
            </w:pPr>
            <w:r>
              <w:rPr>
                <w:rFonts w:ascii="Arial" w:eastAsia="宋体" w:hAnsi="Arial" w:cs="Arial"/>
                <w:b/>
                <w:bCs/>
                <w:color w:val="000000"/>
                <w:sz w:val="15"/>
                <w:szCs w:val="15"/>
              </w:rPr>
              <w:t>(7,723)</w:t>
            </w:r>
          </w:p>
        </w:tc>
        <w:tc>
          <w:tcPr>
            <w:tcW w:w="0" w:type="auto"/>
            <w:shd w:val="clear" w:color="auto" w:fill="FFFFFF"/>
            <w:tcMar>
              <w:top w:w="40" w:type="dxa"/>
              <w:left w:w="0" w:type="dxa"/>
              <w:bottom w:w="40" w:type="dxa"/>
              <w:right w:w="20" w:type="dxa"/>
            </w:tcMar>
            <w:vAlign w:val="bottom"/>
          </w:tcPr>
          <w:p w14:paraId="74DDB62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62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622" w14:textId="77777777" w:rsidR="00584EC1" w:rsidRDefault="00871F8D">
            <w:pPr>
              <w:jc w:val="right"/>
              <w:textAlignment w:val="bottom"/>
            </w:pPr>
            <w:r>
              <w:rPr>
                <w:rFonts w:ascii="Arial" w:eastAsia="宋体" w:hAnsi="Arial" w:cs="Arial"/>
                <w:color w:val="000000"/>
                <w:sz w:val="15"/>
                <w:szCs w:val="15"/>
              </w:rPr>
              <w:t>1,369 </w:t>
            </w:r>
          </w:p>
        </w:tc>
        <w:tc>
          <w:tcPr>
            <w:tcW w:w="0" w:type="auto"/>
            <w:shd w:val="clear" w:color="auto" w:fill="FFFFFF"/>
            <w:tcMar>
              <w:top w:w="40" w:type="dxa"/>
              <w:left w:w="0" w:type="dxa"/>
              <w:bottom w:w="40" w:type="dxa"/>
              <w:right w:w="20" w:type="dxa"/>
            </w:tcMar>
            <w:vAlign w:val="bottom"/>
          </w:tcPr>
          <w:p w14:paraId="74DDB623" w14:textId="77777777" w:rsidR="00584EC1" w:rsidRDefault="00584EC1">
            <w:pPr>
              <w:jc w:val="right"/>
              <w:rPr>
                <w:rFonts w:ascii="宋体"/>
              </w:rPr>
            </w:pPr>
          </w:p>
        </w:tc>
        <w:tc>
          <w:tcPr>
            <w:tcW w:w="0" w:type="auto"/>
            <w:gridSpan w:val="3"/>
            <w:shd w:val="clear" w:color="auto" w:fill="auto"/>
            <w:vAlign w:val="bottom"/>
          </w:tcPr>
          <w:p w14:paraId="74DDB624" w14:textId="77777777" w:rsidR="00584EC1" w:rsidRDefault="00584EC1">
            <w:pPr>
              <w:rPr>
                <w:rFonts w:ascii="宋体"/>
                <w:vanish/>
              </w:rPr>
            </w:pPr>
          </w:p>
        </w:tc>
        <w:tc>
          <w:tcPr>
            <w:tcW w:w="0" w:type="auto"/>
            <w:gridSpan w:val="3"/>
            <w:shd w:val="clear" w:color="auto" w:fill="auto"/>
            <w:vAlign w:val="bottom"/>
          </w:tcPr>
          <w:p w14:paraId="74DDB625" w14:textId="77777777" w:rsidR="00584EC1" w:rsidRDefault="00584EC1">
            <w:pPr>
              <w:rPr>
                <w:rFonts w:ascii="宋体"/>
                <w:vanish/>
              </w:rPr>
            </w:pPr>
          </w:p>
        </w:tc>
      </w:tr>
      <w:tr w:rsidR="00584EC1" w14:paraId="74DDB62F" w14:textId="77777777">
        <w:trPr>
          <w:jc w:val="center"/>
        </w:trPr>
        <w:tc>
          <w:tcPr>
            <w:tcW w:w="0" w:type="auto"/>
            <w:gridSpan w:val="3"/>
            <w:shd w:val="clear" w:color="auto" w:fill="CCEEFF"/>
            <w:tcMar>
              <w:top w:w="40" w:type="dxa"/>
              <w:left w:w="20" w:type="dxa"/>
              <w:bottom w:w="40" w:type="dxa"/>
              <w:right w:w="20" w:type="dxa"/>
            </w:tcMar>
            <w:vAlign w:val="bottom"/>
          </w:tcPr>
          <w:p w14:paraId="74DDB627" w14:textId="77777777" w:rsidR="00584EC1" w:rsidRDefault="00871F8D">
            <w:pPr>
              <w:textAlignment w:val="bottom"/>
            </w:pPr>
            <w:r>
              <w:rPr>
                <w:rFonts w:ascii="Arial" w:eastAsia="宋体" w:hAnsi="Arial" w:cs="Arial"/>
                <w:color w:val="000000"/>
                <w:sz w:val="15"/>
                <w:szCs w:val="15"/>
              </w:rPr>
              <w:t>Change in unrealized losses (gains) on foreign exchange derivatives, net</w:t>
            </w:r>
          </w:p>
        </w:tc>
        <w:tc>
          <w:tcPr>
            <w:tcW w:w="0" w:type="auto"/>
            <w:gridSpan w:val="2"/>
            <w:shd w:val="clear" w:color="auto" w:fill="CCEEFF"/>
            <w:tcMar>
              <w:top w:w="40" w:type="dxa"/>
              <w:left w:w="20" w:type="dxa"/>
              <w:bottom w:w="40" w:type="dxa"/>
              <w:right w:w="0" w:type="dxa"/>
            </w:tcMar>
            <w:vAlign w:val="bottom"/>
          </w:tcPr>
          <w:p w14:paraId="74DDB628" w14:textId="77777777" w:rsidR="00584EC1" w:rsidRDefault="00871F8D">
            <w:pPr>
              <w:jc w:val="right"/>
              <w:textAlignment w:val="bottom"/>
            </w:pPr>
            <w:r>
              <w:rPr>
                <w:rFonts w:ascii="Arial" w:eastAsia="宋体" w:hAnsi="Arial" w:cs="Arial"/>
                <w:b/>
                <w:bCs/>
                <w:color w:val="000000"/>
                <w:sz w:val="15"/>
                <w:szCs w:val="15"/>
              </w:rPr>
              <w:t>(8,131)</w:t>
            </w:r>
          </w:p>
        </w:tc>
        <w:tc>
          <w:tcPr>
            <w:tcW w:w="0" w:type="auto"/>
            <w:shd w:val="clear" w:color="auto" w:fill="CCEEFF"/>
            <w:tcMar>
              <w:top w:w="40" w:type="dxa"/>
              <w:left w:w="0" w:type="dxa"/>
              <w:bottom w:w="40" w:type="dxa"/>
              <w:right w:w="20" w:type="dxa"/>
            </w:tcMar>
            <w:vAlign w:val="bottom"/>
          </w:tcPr>
          <w:p w14:paraId="74DDB62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62A"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62B" w14:textId="77777777" w:rsidR="00584EC1" w:rsidRDefault="00871F8D">
            <w:pPr>
              <w:jc w:val="right"/>
              <w:textAlignment w:val="bottom"/>
            </w:pPr>
            <w:r>
              <w:rPr>
                <w:rFonts w:ascii="Arial" w:eastAsia="宋体" w:hAnsi="Arial" w:cs="Arial"/>
                <w:color w:val="000000"/>
                <w:sz w:val="15"/>
                <w:szCs w:val="15"/>
              </w:rPr>
              <w:t>(2,934)</w:t>
            </w:r>
          </w:p>
        </w:tc>
        <w:tc>
          <w:tcPr>
            <w:tcW w:w="0" w:type="auto"/>
            <w:shd w:val="clear" w:color="auto" w:fill="CCEEFF"/>
            <w:tcMar>
              <w:top w:w="40" w:type="dxa"/>
              <w:left w:w="0" w:type="dxa"/>
              <w:bottom w:w="40" w:type="dxa"/>
              <w:right w:w="20" w:type="dxa"/>
            </w:tcMar>
            <w:vAlign w:val="bottom"/>
          </w:tcPr>
          <w:p w14:paraId="74DDB62C" w14:textId="77777777" w:rsidR="00584EC1" w:rsidRDefault="00584EC1">
            <w:pPr>
              <w:jc w:val="right"/>
              <w:rPr>
                <w:rFonts w:ascii="宋体"/>
              </w:rPr>
            </w:pPr>
          </w:p>
        </w:tc>
        <w:tc>
          <w:tcPr>
            <w:tcW w:w="0" w:type="auto"/>
            <w:gridSpan w:val="3"/>
            <w:shd w:val="clear" w:color="auto" w:fill="auto"/>
            <w:vAlign w:val="bottom"/>
          </w:tcPr>
          <w:p w14:paraId="74DDB62D" w14:textId="77777777" w:rsidR="00584EC1" w:rsidRDefault="00584EC1">
            <w:pPr>
              <w:rPr>
                <w:rFonts w:ascii="宋体"/>
                <w:vanish/>
              </w:rPr>
            </w:pPr>
          </w:p>
        </w:tc>
        <w:tc>
          <w:tcPr>
            <w:tcW w:w="0" w:type="auto"/>
            <w:gridSpan w:val="3"/>
            <w:shd w:val="clear" w:color="auto" w:fill="auto"/>
            <w:vAlign w:val="bottom"/>
          </w:tcPr>
          <w:p w14:paraId="74DDB62E" w14:textId="77777777" w:rsidR="00584EC1" w:rsidRDefault="00584EC1">
            <w:pPr>
              <w:rPr>
                <w:rFonts w:ascii="宋体"/>
                <w:vanish/>
              </w:rPr>
            </w:pPr>
          </w:p>
        </w:tc>
      </w:tr>
      <w:tr w:rsidR="00584EC1" w14:paraId="74DDB638" w14:textId="77777777">
        <w:trPr>
          <w:jc w:val="center"/>
        </w:trPr>
        <w:tc>
          <w:tcPr>
            <w:tcW w:w="0" w:type="auto"/>
            <w:gridSpan w:val="3"/>
            <w:shd w:val="clear" w:color="auto" w:fill="FFFFFF"/>
            <w:tcMar>
              <w:top w:w="40" w:type="dxa"/>
              <w:left w:w="20" w:type="dxa"/>
              <w:bottom w:w="40" w:type="dxa"/>
              <w:right w:w="20" w:type="dxa"/>
            </w:tcMar>
            <w:vAlign w:val="bottom"/>
          </w:tcPr>
          <w:p w14:paraId="74DDB630" w14:textId="77777777" w:rsidR="00584EC1" w:rsidRDefault="00871F8D">
            <w:pPr>
              <w:textAlignment w:val="bottom"/>
            </w:pPr>
            <w:r>
              <w:rPr>
                <w:rFonts w:ascii="Arial" w:eastAsia="宋体" w:hAnsi="Arial" w:cs="Arial"/>
                <w:color w:val="000000"/>
                <w:sz w:val="15"/>
                <w:szCs w:val="15"/>
              </w:rPr>
              <w:t>Change in other assets, net</w:t>
            </w:r>
          </w:p>
        </w:tc>
        <w:tc>
          <w:tcPr>
            <w:tcW w:w="0" w:type="auto"/>
            <w:gridSpan w:val="2"/>
            <w:shd w:val="clear" w:color="auto" w:fill="FFFFFF"/>
            <w:tcMar>
              <w:top w:w="40" w:type="dxa"/>
              <w:left w:w="20" w:type="dxa"/>
              <w:bottom w:w="40" w:type="dxa"/>
              <w:right w:w="0" w:type="dxa"/>
            </w:tcMar>
            <w:vAlign w:val="bottom"/>
          </w:tcPr>
          <w:p w14:paraId="74DDB631" w14:textId="77777777" w:rsidR="00584EC1" w:rsidRDefault="00871F8D">
            <w:pPr>
              <w:jc w:val="right"/>
              <w:textAlignment w:val="bottom"/>
            </w:pPr>
            <w:r>
              <w:rPr>
                <w:rFonts w:ascii="Arial" w:eastAsia="宋体" w:hAnsi="Arial" w:cs="Arial"/>
                <w:b/>
                <w:bCs/>
                <w:color w:val="000000"/>
                <w:sz w:val="15"/>
                <w:szCs w:val="15"/>
              </w:rPr>
              <w:t>279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B63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63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634" w14:textId="77777777" w:rsidR="00584EC1" w:rsidRDefault="00871F8D">
            <w:pPr>
              <w:jc w:val="right"/>
              <w:textAlignment w:val="bottom"/>
            </w:pPr>
            <w:r>
              <w:rPr>
                <w:rFonts w:ascii="Arial" w:eastAsia="宋体" w:hAnsi="Arial" w:cs="Arial"/>
                <w:color w:val="000000"/>
                <w:sz w:val="15"/>
                <w:szCs w:val="15"/>
              </w:rPr>
              <w:t>(430)</w:t>
            </w:r>
          </w:p>
        </w:tc>
        <w:tc>
          <w:tcPr>
            <w:tcW w:w="0" w:type="auto"/>
            <w:shd w:val="clear" w:color="auto" w:fill="FFFFFF"/>
            <w:tcMar>
              <w:top w:w="40" w:type="dxa"/>
              <w:left w:w="0" w:type="dxa"/>
              <w:bottom w:w="40" w:type="dxa"/>
              <w:right w:w="20" w:type="dxa"/>
            </w:tcMar>
            <w:vAlign w:val="bottom"/>
          </w:tcPr>
          <w:p w14:paraId="74DDB635" w14:textId="77777777" w:rsidR="00584EC1" w:rsidRDefault="00584EC1">
            <w:pPr>
              <w:jc w:val="right"/>
              <w:rPr>
                <w:rFonts w:ascii="宋体"/>
              </w:rPr>
            </w:pPr>
          </w:p>
        </w:tc>
        <w:tc>
          <w:tcPr>
            <w:tcW w:w="0" w:type="auto"/>
            <w:gridSpan w:val="3"/>
            <w:shd w:val="clear" w:color="auto" w:fill="auto"/>
            <w:vAlign w:val="bottom"/>
          </w:tcPr>
          <w:p w14:paraId="74DDB636" w14:textId="77777777" w:rsidR="00584EC1" w:rsidRDefault="00584EC1">
            <w:pPr>
              <w:rPr>
                <w:rFonts w:ascii="宋体"/>
                <w:vanish/>
              </w:rPr>
            </w:pPr>
          </w:p>
        </w:tc>
        <w:tc>
          <w:tcPr>
            <w:tcW w:w="0" w:type="auto"/>
            <w:gridSpan w:val="3"/>
            <w:shd w:val="clear" w:color="auto" w:fill="auto"/>
            <w:vAlign w:val="bottom"/>
          </w:tcPr>
          <w:p w14:paraId="74DDB637" w14:textId="77777777" w:rsidR="00584EC1" w:rsidRDefault="00584EC1">
            <w:pPr>
              <w:rPr>
                <w:rFonts w:ascii="宋体"/>
                <w:vanish/>
              </w:rPr>
            </w:pPr>
          </w:p>
        </w:tc>
      </w:tr>
      <w:tr w:rsidR="00584EC1" w14:paraId="74DDB63F" w14:textId="77777777">
        <w:trPr>
          <w:jc w:val="center"/>
          <w:hidden/>
        </w:trPr>
        <w:tc>
          <w:tcPr>
            <w:tcW w:w="0" w:type="auto"/>
            <w:gridSpan w:val="3"/>
            <w:shd w:val="clear" w:color="auto" w:fill="auto"/>
            <w:vAlign w:val="bottom"/>
          </w:tcPr>
          <w:p w14:paraId="74DDB639" w14:textId="77777777" w:rsidR="00584EC1" w:rsidRDefault="00584EC1">
            <w:pPr>
              <w:rPr>
                <w:rFonts w:ascii="宋体"/>
                <w:vanish/>
              </w:rPr>
            </w:pPr>
          </w:p>
        </w:tc>
        <w:tc>
          <w:tcPr>
            <w:tcW w:w="0" w:type="auto"/>
            <w:gridSpan w:val="3"/>
            <w:shd w:val="clear" w:color="auto" w:fill="auto"/>
            <w:vAlign w:val="bottom"/>
          </w:tcPr>
          <w:p w14:paraId="74DDB63A" w14:textId="77777777" w:rsidR="00584EC1" w:rsidRDefault="00584EC1">
            <w:pPr>
              <w:rPr>
                <w:rFonts w:ascii="宋体"/>
                <w:vanish/>
              </w:rPr>
            </w:pPr>
          </w:p>
        </w:tc>
        <w:tc>
          <w:tcPr>
            <w:tcW w:w="0" w:type="auto"/>
            <w:gridSpan w:val="3"/>
            <w:shd w:val="clear" w:color="auto" w:fill="auto"/>
            <w:vAlign w:val="bottom"/>
          </w:tcPr>
          <w:p w14:paraId="74DDB63B" w14:textId="77777777" w:rsidR="00584EC1" w:rsidRDefault="00584EC1">
            <w:pPr>
              <w:rPr>
                <w:rFonts w:ascii="宋体"/>
                <w:vanish/>
              </w:rPr>
            </w:pPr>
          </w:p>
        </w:tc>
        <w:tc>
          <w:tcPr>
            <w:tcW w:w="0" w:type="auto"/>
            <w:gridSpan w:val="3"/>
            <w:shd w:val="clear" w:color="auto" w:fill="auto"/>
            <w:vAlign w:val="bottom"/>
          </w:tcPr>
          <w:p w14:paraId="74DDB63C" w14:textId="77777777" w:rsidR="00584EC1" w:rsidRDefault="00584EC1">
            <w:pPr>
              <w:rPr>
                <w:rFonts w:ascii="宋体"/>
                <w:vanish/>
              </w:rPr>
            </w:pPr>
          </w:p>
        </w:tc>
        <w:tc>
          <w:tcPr>
            <w:tcW w:w="0" w:type="auto"/>
            <w:gridSpan w:val="3"/>
            <w:shd w:val="clear" w:color="auto" w:fill="auto"/>
            <w:vAlign w:val="bottom"/>
          </w:tcPr>
          <w:p w14:paraId="74DDB63D" w14:textId="77777777" w:rsidR="00584EC1" w:rsidRDefault="00584EC1">
            <w:pPr>
              <w:rPr>
                <w:rFonts w:ascii="宋体"/>
                <w:vanish/>
              </w:rPr>
            </w:pPr>
          </w:p>
        </w:tc>
        <w:tc>
          <w:tcPr>
            <w:tcW w:w="0" w:type="auto"/>
            <w:gridSpan w:val="3"/>
            <w:shd w:val="clear" w:color="auto" w:fill="auto"/>
            <w:vAlign w:val="bottom"/>
          </w:tcPr>
          <w:p w14:paraId="74DDB63E" w14:textId="77777777" w:rsidR="00584EC1" w:rsidRDefault="00584EC1">
            <w:pPr>
              <w:rPr>
                <w:rFonts w:ascii="宋体"/>
                <w:vanish/>
              </w:rPr>
            </w:pPr>
          </w:p>
        </w:tc>
      </w:tr>
      <w:tr w:rsidR="00584EC1" w14:paraId="74DDB648" w14:textId="77777777">
        <w:trPr>
          <w:jc w:val="center"/>
        </w:trPr>
        <w:tc>
          <w:tcPr>
            <w:tcW w:w="0" w:type="auto"/>
            <w:gridSpan w:val="3"/>
            <w:shd w:val="clear" w:color="auto" w:fill="CCEEFF"/>
            <w:tcMar>
              <w:top w:w="40" w:type="dxa"/>
              <w:left w:w="20" w:type="dxa"/>
              <w:bottom w:w="40" w:type="dxa"/>
              <w:right w:w="20" w:type="dxa"/>
            </w:tcMar>
            <w:vAlign w:val="bottom"/>
          </w:tcPr>
          <w:p w14:paraId="74DDB640" w14:textId="77777777" w:rsidR="00584EC1" w:rsidRDefault="00871F8D">
            <w:pPr>
              <w:textAlignment w:val="bottom"/>
            </w:pPr>
            <w:r>
              <w:rPr>
                <w:rFonts w:ascii="Arial" w:eastAsia="宋体" w:hAnsi="Arial" w:cs="Arial"/>
                <w:color w:val="000000"/>
                <w:sz w:val="15"/>
                <w:szCs w:val="15"/>
              </w:rPr>
              <w:t>Change in accrued expenses and other liabilities, net</w:t>
            </w:r>
          </w:p>
        </w:tc>
        <w:tc>
          <w:tcPr>
            <w:tcW w:w="0" w:type="auto"/>
            <w:gridSpan w:val="2"/>
            <w:shd w:val="clear" w:color="auto" w:fill="CCEEFF"/>
            <w:tcMar>
              <w:top w:w="40" w:type="dxa"/>
              <w:left w:w="20" w:type="dxa"/>
              <w:bottom w:w="40" w:type="dxa"/>
              <w:right w:w="0" w:type="dxa"/>
            </w:tcMar>
            <w:vAlign w:val="bottom"/>
          </w:tcPr>
          <w:p w14:paraId="74DDB641" w14:textId="77777777" w:rsidR="00584EC1" w:rsidRDefault="00871F8D">
            <w:pPr>
              <w:jc w:val="right"/>
              <w:textAlignment w:val="bottom"/>
            </w:pPr>
            <w:r>
              <w:rPr>
                <w:rFonts w:ascii="Arial" w:eastAsia="宋体" w:hAnsi="Arial" w:cs="Arial"/>
                <w:b/>
                <w:bCs/>
                <w:color w:val="000000"/>
                <w:sz w:val="15"/>
                <w:szCs w:val="15"/>
              </w:rPr>
              <w:t>1,468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B64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643"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644" w14:textId="77777777" w:rsidR="00584EC1" w:rsidRDefault="00871F8D">
            <w:pPr>
              <w:jc w:val="right"/>
              <w:textAlignment w:val="bottom"/>
            </w:pPr>
            <w:r>
              <w:rPr>
                <w:rFonts w:ascii="Arial" w:eastAsia="宋体" w:hAnsi="Arial" w:cs="Arial"/>
                <w:color w:val="000000"/>
                <w:sz w:val="15"/>
                <w:szCs w:val="15"/>
              </w:rPr>
              <w:t>526 </w:t>
            </w:r>
          </w:p>
        </w:tc>
        <w:tc>
          <w:tcPr>
            <w:tcW w:w="0" w:type="auto"/>
            <w:shd w:val="clear" w:color="auto" w:fill="CCEEFF"/>
            <w:tcMar>
              <w:top w:w="40" w:type="dxa"/>
              <w:left w:w="0" w:type="dxa"/>
              <w:bottom w:w="40" w:type="dxa"/>
              <w:right w:w="20" w:type="dxa"/>
            </w:tcMar>
            <w:vAlign w:val="bottom"/>
          </w:tcPr>
          <w:p w14:paraId="74DDB645" w14:textId="77777777" w:rsidR="00584EC1" w:rsidRDefault="00584EC1">
            <w:pPr>
              <w:jc w:val="right"/>
              <w:rPr>
                <w:rFonts w:ascii="宋体"/>
              </w:rPr>
            </w:pPr>
          </w:p>
        </w:tc>
        <w:tc>
          <w:tcPr>
            <w:tcW w:w="0" w:type="auto"/>
            <w:gridSpan w:val="3"/>
            <w:shd w:val="clear" w:color="auto" w:fill="auto"/>
            <w:vAlign w:val="bottom"/>
          </w:tcPr>
          <w:p w14:paraId="74DDB646" w14:textId="77777777" w:rsidR="00584EC1" w:rsidRDefault="00584EC1">
            <w:pPr>
              <w:rPr>
                <w:rFonts w:ascii="宋体"/>
                <w:vanish/>
              </w:rPr>
            </w:pPr>
          </w:p>
        </w:tc>
        <w:tc>
          <w:tcPr>
            <w:tcW w:w="0" w:type="auto"/>
            <w:gridSpan w:val="3"/>
            <w:shd w:val="clear" w:color="auto" w:fill="auto"/>
            <w:vAlign w:val="bottom"/>
          </w:tcPr>
          <w:p w14:paraId="74DDB647" w14:textId="77777777" w:rsidR="00584EC1" w:rsidRDefault="00584EC1">
            <w:pPr>
              <w:rPr>
                <w:rFonts w:ascii="宋体"/>
                <w:vanish/>
              </w:rPr>
            </w:pPr>
          </w:p>
        </w:tc>
      </w:tr>
      <w:tr w:rsidR="00584EC1" w14:paraId="74DDB64F" w14:textId="77777777">
        <w:trPr>
          <w:jc w:val="center"/>
          <w:hidden/>
        </w:trPr>
        <w:tc>
          <w:tcPr>
            <w:tcW w:w="0" w:type="auto"/>
            <w:gridSpan w:val="3"/>
            <w:shd w:val="clear" w:color="auto" w:fill="auto"/>
            <w:vAlign w:val="bottom"/>
          </w:tcPr>
          <w:p w14:paraId="74DDB649" w14:textId="77777777" w:rsidR="00584EC1" w:rsidRDefault="00584EC1">
            <w:pPr>
              <w:rPr>
                <w:rFonts w:ascii="宋体"/>
                <w:vanish/>
              </w:rPr>
            </w:pPr>
          </w:p>
        </w:tc>
        <w:tc>
          <w:tcPr>
            <w:tcW w:w="0" w:type="auto"/>
            <w:gridSpan w:val="3"/>
            <w:shd w:val="clear" w:color="auto" w:fill="auto"/>
            <w:vAlign w:val="bottom"/>
          </w:tcPr>
          <w:p w14:paraId="74DDB64A" w14:textId="77777777" w:rsidR="00584EC1" w:rsidRDefault="00584EC1">
            <w:pPr>
              <w:rPr>
                <w:rFonts w:ascii="宋体"/>
                <w:vanish/>
              </w:rPr>
            </w:pPr>
          </w:p>
        </w:tc>
        <w:tc>
          <w:tcPr>
            <w:tcW w:w="0" w:type="auto"/>
            <w:gridSpan w:val="3"/>
            <w:shd w:val="clear" w:color="auto" w:fill="auto"/>
            <w:vAlign w:val="bottom"/>
          </w:tcPr>
          <w:p w14:paraId="74DDB64B" w14:textId="77777777" w:rsidR="00584EC1" w:rsidRDefault="00584EC1">
            <w:pPr>
              <w:rPr>
                <w:rFonts w:ascii="宋体"/>
                <w:vanish/>
              </w:rPr>
            </w:pPr>
          </w:p>
        </w:tc>
        <w:tc>
          <w:tcPr>
            <w:tcW w:w="0" w:type="auto"/>
            <w:gridSpan w:val="3"/>
            <w:shd w:val="clear" w:color="auto" w:fill="auto"/>
            <w:vAlign w:val="bottom"/>
          </w:tcPr>
          <w:p w14:paraId="74DDB64C" w14:textId="77777777" w:rsidR="00584EC1" w:rsidRDefault="00584EC1">
            <w:pPr>
              <w:rPr>
                <w:rFonts w:ascii="宋体"/>
                <w:vanish/>
              </w:rPr>
            </w:pPr>
          </w:p>
        </w:tc>
        <w:tc>
          <w:tcPr>
            <w:tcW w:w="0" w:type="auto"/>
            <w:gridSpan w:val="3"/>
            <w:shd w:val="clear" w:color="auto" w:fill="auto"/>
            <w:vAlign w:val="bottom"/>
          </w:tcPr>
          <w:p w14:paraId="74DDB64D" w14:textId="77777777" w:rsidR="00584EC1" w:rsidRDefault="00584EC1">
            <w:pPr>
              <w:rPr>
                <w:rFonts w:ascii="宋体"/>
                <w:vanish/>
              </w:rPr>
            </w:pPr>
          </w:p>
        </w:tc>
        <w:tc>
          <w:tcPr>
            <w:tcW w:w="0" w:type="auto"/>
            <w:gridSpan w:val="3"/>
            <w:shd w:val="clear" w:color="auto" w:fill="auto"/>
            <w:vAlign w:val="bottom"/>
          </w:tcPr>
          <w:p w14:paraId="74DDB64E" w14:textId="77777777" w:rsidR="00584EC1" w:rsidRDefault="00584EC1">
            <w:pPr>
              <w:rPr>
                <w:rFonts w:ascii="宋体"/>
                <w:vanish/>
              </w:rPr>
            </w:pPr>
          </w:p>
        </w:tc>
      </w:tr>
      <w:tr w:rsidR="00584EC1" w14:paraId="74DDB658" w14:textId="77777777">
        <w:trPr>
          <w:jc w:val="center"/>
        </w:trPr>
        <w:tc>
          <w:tcPr>
            <w:tcW w:w="0" w:type="auto"/>
            <w:gridSpan w:val="3"/>
            <w:shd w:val="clear" w:color="auto" w:fill="FFFFFF"/>
            <w:tcMar>
              <w:top w:w="40" w:type="dxa"/>
              <w:left w:w="20" w:type="dxa"/>
              <w:bottom w:w="40" w:type="dxa"/>
              <w:right w:w="20" w:type="dxa"/>
            </w:tcMar>
            <w:vAlign w:val="bottom"/>
          </w:tcPr>
          <w:p w14:paraId="74DDB650" w14:textId="77777777" w:rsidR="00584EC1" w:rsidRDefault="00871F8D">
            <w:pPr>
              <w:textAlignment w:val="bottom"/>
            </w:pPr>
            <w:r>
              <w:rPr>
                <w:rFonts w:ascii="Arial" w:eastAsia="宋体" w:hAnsi="Arial" w:cs="Arial"/>
                <w:color w:val="000000"/>
                <w:sz w:val="15"/>
                <w:szCs w:val="15"/>
              </w:rPr>
              <w:t>Other, net</w:t>
            </w:r>
          </w:p>
        </w:tc>
        <w:tc>
          <w:tcPr>
            <w:tcW w:w="0" w:type="auto"/>
            <w:gridSpan w:val="2"/>
            <w:shd w:val="clear" w:color="auto" w:fill="FFFFFF"/>
            <w:tcMar>
              <w:top w:w="40" w:type="dxa"/>
              <w:left w:w="20" w:type="dxa"/>
              <w:bottom w:w="40" w:type="dxa"/>
              <w:right w:w="0" w:type="dxa"/>
            </w:tcMar>
            <w:vAlign w:val="bottom"/>
          </w:tcPr>
          <w:p w14:paraId="74DDB651" w14:textId="77777777" w:rsidR="00584EC1" w:rsidRDefault="00871F8D">
            <w:pPr>
              <w:jc w:val="right"/>
              <w:textAlignment w:val="bottom"/>
            </w:pPr>
            <w:r>
              <w:rPr>
                <w:rFonts w:ascii="Arial" w:eastAsia="宋体" w:hAnsi="Arial" w:cs="Arial"/>
                <w:b/>
                <w:bCs/>
                <w:color w:val="000000"/>
                <w:sz w:val="15"/>
                <w:szCs w:val="15"/>
              </w:rPr>
              <w:t>261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B65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65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654" w14:textId="77777777" w:rsidR="00584EC1" w:rsidRDefault="00871F8D">
            <w:pPr>
              <w:jc w:val="right"/>
              <w:textAlignment w:val="bottom"/>
            </w:pPr>
            <w:r>
              <w:rPr>
                <w:rFonts w:ascii="Arial" w:eastAsia="宋体" w:hAnsi="Arial" w:cs="Arial"/>
                <w:color w:val="000000"/>
                <w:sz w:val="15"/>
                <w:szCs w:val="15"/>
              </w:rPr>
              <w:t>295 </w:t>
            </w:r>
          </w:p>
        </w:tc>
        <w:tc>
          <w:tcPr>
            <w:tcW w:w="0" w:type="auto"/>
            <w:shd w:val="clear" w:color="auto" w:fill="FFFFFF"/>
            <w:tcMar>
              <w:top w:w="40" w:type="dxa"/>
              <w:left w:w="0" w:type="dxa"/>
              <w:bottom w:w="40" w:type="dxa"/>
              <w:right w:w="20" w:type="dxa"/>
            </w:tcMar>
            <w:vAlign w:val="bottom"/>
          </w:tcPr>
          <w:p w14:paraId="74DDB655" w14:textId="77777777" w:rsidR="00584EC1" w:rsidRDefault="00584EC1">
            <w:pPr>
              <w:jc w:val="right"/>
              <w:rPr>
                <w:rFonts w:ascii="宋体"/>
              </w:rPr>
            </w:pPr>
          </w:p>
        </w:tc>
        <w:tc>
          <w:tcPr>
            <w:tcW w:w="0" w:type="auto"/>
            <w:gridSpan w:val="3"/>
            <w:shd w:val="clear" w:color="auto" w:fill="auto"/>
            <w:vAlign w:val="bottom"/>
          </w:tcPr>
          <w:p w14:paraId="74DDB656" w14:textId="77777777" w:rsidR="00584EC1" w:rsidRDefault="00584EC1">
            <w:pPr>
              <w:rPr>
                <w:rFonts w:ascii="宋体"/>
                <w:vanish/>
              </w:rPr>
            </w:pPr>
          </w:p>
        </w:tc>
        <w:tc>
          <w:tcPr>
            <w:tcW w:w="0" w:type="auto"/>
            <w:gridSpan w:val="3"/>
            <w:shd w:val="clear" w:color="auto" w:fill="auto"/>
            <w:vAlign w:val="bottom"/>
          </w:tcPr>
          <w:p w14:paraId="74DDB657" w14:textId="77777777" w:rsidR="00584EC1" w:rsidRDefault="00584EC1">
            <w:pPr>
              <w:rPr>
                <w:rFonts w:ascii="宋体"/>
                <w:vanish/>
              </w:rPr>
            </w:pPr>
          </w:p>
        </w:tc>
      </w:tr>
      <w:tr w:rsidR="00584EC1" w14:paraId="74DDB661" w14:textId="77777777">
        <w:trPr>
          <w:jc w:val="center"/>
        </w:trPr>
        <w:tc>
          <w:tcPr>
            <w:tcW w:w="0" w:type="auto"/>
            <w:gridSpan w:val="3"/>
            <w:shd w:val="clear" w:color="auto" w:fill="CCEEFF"/>
            <w:tcMar>
              <w:top w:w="40" w:type="dxa"/>
              <w:left w:w="20" w:type="dxa"/>
              <w:bottom w:w="40" w:type="dxa"/>
              <w:right w:w="20" w:type="dxa"/>
            </w:tcMar>
            <w:vAlign w:val="bottom"/>
          </w:tcPr>
          <w:p w14:paraId="74DDB659" w14:textId="77777777" w:rsidR="00584EC1" w:rsidRDefault="00871F8D">
            <w:pPr>
              <w:textAlignment w:val="bottom"/>
            </w:pPr>
            <w:r>
              <w:rPr>
                <w:rFonts w:ascii="Arial" w:eastAsia="宋体" w:hAnsi="Arial" w:cs="Arial"/>
                <w:color w:val="000000"/>
                <w:sz w:val="15"/>
                <w:szCs w:val="15"/>
              </w:rPr>
              <w:t>Net cash (used in) provided by operating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B65A" w14:textId="77777777" w:rsidR="00584EC1" w:rsidRDefault="00871F8D">
            <w:pPr>
              <w:jc w:val="right"/>
              <w:textAlignment w:val="bottom"/>
            </w:pPr>
            <w:r>
              <w:rPr>
                <w:rFonts w:ascii="Arial" w:eastAsia="宋体" w:hAnsi="Arial" w:cs="Arial"/>
                <w:b/>
                <w:bCs/>
                <w:color w:val="000000"/>
                <w:sz w:val="15"/>
                <w:szCs w:val="15"/>
              </w:rPr>
              <w:t>(10,937)</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B65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65C"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B65D" w14:textId="77777777" w:rsidR="00584EC1" w:rsidRDefault="00871F8D">
            <w:pPr>
              <w:jc w:val="right"/>
              <w:textAlignment w:val="bottom"/>
            </w:pPr>
            <w:r>
              <w:rPr>
                <w:rFonts w:ascii="Arial" w:eastAsia="宋体" w:hAnsi="Arial" w:cs="Arial"/>
                <w:color w:val="000000"/>
                <w:sz w:val="15"/>
                <w:szCs w:val="15"/>
              </w:rPr>
              <w:t>156 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B65E" w14:textId="77777777" w:rsidR="00584EC1" w:rsidRDefault="00584EC1">
            <w:pPr>
              <w:jc w:val="right"/>
              <w:rPr>
                <w:rFonts w:ascii="宋体"/>
              </w:rPr>
            </w:pPr>
          </w:p>
        </w:tc>
        <w:tc>
          <w:tcPr>
            <w:tcW w:w="0" w:type="auto"/>
            <w:gridSpan w:val="3"/>
            <w:shd w:val="clear" w:color="auto" w:fill="auto"/>
            <w:vAlign w:val="bottom"/>
          </w:tcPr>
          <w:p w14:paraId="74DDB65F" w14:textId="77777777" w:rsidR="00584EC1" w:rsidRDefault="00584EC1">
            <w:pPr>
              <w:rPr>
                <w:rFonts w:ascii="宋体"/>
                <w:vanish/>
              </w:rPr>
            </w:pPr>
          </w:p>
        </w:tc>
        <w:tc>
          <w:tcPr>
            <w:tcW w:w="0" w:type="auto"/>
            <w:gridSpan w:val="3"/>
            <w:shd w:val="clear" w:color="auto" w:fill="auto"/>
            <w:vAlign w:val="bottom"/>
          </w:tcPr>
          <w:p w14:paraId="74DDB660" w14:textId="77777777" w:rsidR="00584EC1" w:rsidRDefault="00584EC1">
            <w:pPr>
              <w:rPr>
                <w:rFonts w:ascii="宋体"/>
                <w:vanish/>
              </w:rPr>
            </w:pPr>
          </w:p>
        </w:tc>
      </w:tr>
      <w:tr w:rsidR="00584EC1" w14:paraId="74DDB668" w14:textId="77777777">
        <w:trPr>
          <w:jc w:val="center"/>
        </w:trPr>
        <w:tc>
          <w:tcPr>
            <w:tcW w:w="0" w:type="auto"/>
            <w:gridSpan w:val="3"/>
            <w:shd w:val="clear" w:color="auto" w:fill="FFFFFF"/>
            <w:tcMar>
              <w:top w:w="40" w:type="dxa"/>
              <w:left w:w="20" w:type="dxa"/>
              <w:bottom w:w="40" w:type="dxa"/>
              <w:right w:w="20" w:type="dxa"/>
            </w:tcMar>
            <w:vAlign w:val="bottom"/>
          </w:tcPr>
          <w:p w14:paraId="74DDB662" w14:textId="77777777" w:rsidR="00584EC1" w:rsidRDefault="00871F8D">
            <w:pPr>
              <w:textAlignment w:val="bottom"/>
            </w:pPr>
            <w:r>
              <w:rPr>
                <w:rFonts w:ascii="Arial" w:eastAsia="宋体" w:hAnsi="Arial" w:cs="Arial"/>
                <w:b/>
                <w:bCs/>
                <w:color w:val="000000"/>
                <w:sz w:val="15"/>
                <w:szCs w:val="15"/>
              </w:rPr>
              <w:t>Investing Activities:</w:t>
            </w:r>
          </w:p>
        </w:tc>
        <w:tc>
          <w:tcPr>
            <w:tcW w:w="0" w:type="auto"/>
            <w:gridSpan w:val="3"/>
            <w:shd w:val="clear" w:color="auto" w:fill="FFFFFF"/>
            <w:tcMar>
              <w:top w:w="0" w:type="dxa"/>
              <w:left w:w="20" w:type="dxa"/>
              <w:bottom w:w="0" w:type="dxa"/>
              <w:right w:w="20" w:type="dxa"/>
            </w:tcMar>
            <w:vAlign w:val="bottom"/>
          </w:tcPr>
          <w:p w14:paraId="74DDB663"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664"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665" w14:textId="77777777" w:rsidR="00584EC1" w:rsidRDefault="00584EC1">
            <w:pPr>
              <w:rPr>
                <w:rFonts w:ascii="宋体"/>
              </w:rPr>
            </w:pPr>
          </w:p>
        </w:tc>
        <w:tc>
          <w:tcPr>
            <w:tcW w:w="0" w:type="auto"/>
            <w:gridSpan w:val="3"/>
            <w:shd w:val="clear" w:color="auto" w:fill="auto"/>
            <w:vAlign w:val="bottom"/>
          </w:tcPr>
          <w:p w14:paraId="74DDB666" w14:textId="77777777" w:rsidR="00584EC1" w:rsidRDefault="00584EC1">
            <w:pPr>
              <w:rPr>
                <w:rFonts w:ascii="宋体"/>
                <w:vanish/>
              </w:rPr>
            </w:pPr>
          </w:p>
        </w:tc>
        <w:tc>
          <w:tcPr>
            <w:tcW w:w="0" w:type="auto"/>
            <w:gridSpan w:val="3"/>
            <w:shd w:val="clear" w:color="auto" w:fill="auto"/>
            <w:vAlign w:val="bottom"/>
          </w:tcPr>
          <w:p w14:paraId="74DDB667" w14:textId="77777777" w:rsidR="00584EC1" w:rsidRDefault="00584EC1">
            <w:pPr>
              <w:rPr>
                <w:rFonts w:ascii="宋体"/>
                <w:vanish/>
              </w:rPr>
            </w:pPr>
          </w:p>
        </w:tc>
      </w:tr>
      <w:tr w:rsidR="00584EC1" w14:paraId="74DDB671" w14:textId="77777777">
        <w:trPr>
          <w:jc w:val="center"/>
        </w:trPr>
        <w:tc>
          <w:tcPr>
            <w:tcW w:w="0" w:type="auto"/>
            <w:gridSpan w:val="3"/>
            <w:shd w:val="clear" w:color="auto" w:fill="CCEEFF"/>
            <w:tcMar>
              <w:top w:w="40" w:type="dxa"/>
              <w:left w:w="20" w:type="dxa"/>
              <w:bottom w:w="40" w:type="dxa"/>
              <w:right w:w="20" w:type="dxa"/>
            </w:tcMar>
            <w:vAlign w:val="bottom"/>
          </w:tcPr>
          <w:p w14:paraId="74DDB669" w14:textId="77777777" w:rsidR="00584EC1" w:rsidRDefault="00871F8D">
            <w:pPr>
              <w:textAlignment w:val="bottom"/>
            </w:pPr>
            <w:r>
              <w:rPr>
                <w:rFonts w:ascii="Arial" w:eastAsia="宋体" w:hAnsi="Arial" w:cs="Arial"/>
                <w:color w:val="000000"/>
                <w:sz w:val="15"/>
                <w:szCs w:val="15"/>
              </w:rPr>
              <w:t>Net (increase) decrease in interest-bearing deposits with banks</w:t>
            </w:r>
          </w:p>
        </w:tc>
        <w:tc>
          <w:tcPr>
            <w:tcW w:w="0" w:type="auto"/>
            <w:gridSpan w:val="2"/>
            <w:shd w:val="clear" w:color="auto" w:fill="CCEEFF"/>
            <w:tcMar>
              <w:top w:w="40" w:type="dxa"/>
              <w:left w:w="20" w:type="dxa"/>
              <w:bottom w:w="40" w:type="dxa"/>
              <w:right w:w="0" w:type="dxa"/>
            </w:tcMar>
            <w:vAlign w:val="bottom"/>
          </w:tcPr>
          <w:p w14:paraId="74DDB66A" w14:textId="77777777" w:rsidR="00584EC1" w:rsidRDefault="00871F8D">
            <w:pPr>
              <w:jc w:val="right"/>
              <w:textAlignment w:val="bottom"/>
            </w:pPr>
            <w:r>
              <w:rPr>
                <w:rFonts w:ascii="Arial" w:eastAsia="宋体" w:hAnsi="Arial" w:cs="Arial"/>
                <w:b/>
                <w:bCs/>
                <w:color w:val="000000"/>
                <w:sz w:val="15"/>
                <w:szCs w:val="15"/>
              </w:rPr>
              <w:t>9,407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B66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66C"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66D" w14:textId="77777777" w:rsidR="00584EC1" w:rsidRDefault="00871F8D">
            <w:pPr>
              <w:jc w:val="right"/>
              <w:textAlignment w:val="bottom"/>
            </w:pPr>
            <w:r>
              <w:rPr>
                <w:rFonts w:ascii="Arial" w:eastAsia="宋体" w:hAnsi="Arial" w:cs="Arial"/>
                <w:color w:val="000000"/>
                <w:sz w:val="15"/>
                <w:szCs w:val="15"/>
              </w:rPr>
              <w:t>(7,002)</w:t>
            </w:r>
          </w:p>
        </w:tc>
        <w:tc>
          <w:tcPr>
            <w:tcW w:w="0" w:type="auto"/>
            <w:shd w:val="clear" w:color="auto" w:fill="CCEEFF"/>
            <w:tcMar>
              <w:top w:w="40" w:type="dxa"/>
              <w:left w:w="0" w:type="dxa"/>
              <w:bottom w:w="40" w:type="dxa"/>
              <w:right w:w="20" w:type="dxa"/>
            </w:tcMar>
            <w:vAlign w:val="bottom"/>
          </w:tcPr>
          <w:p w14:paraId="74DDB66E" w14:textId="77777777" w:rsidR="00584EC1" w:rsidRDefault="00584EC1">
            <w:pPr>
              <w:jc w:val="right"/>
              <w:rPr>
                <w:rFonts w:ascii="宋体"/>
              </w:rPr>
            </w:pPr>
          </w:p>
        </w:tc>
        <w:tc>
          <w:tcPr>
            <w:tcW w:w="0" w:type="auto"/>
            <w:gridSpan w:val="3"/>
            <w:shd w:val="clear" w:color="auto" w:fill="auto"/>
            <w:vAlign w:val="bottom"/>
          </w:tcPr>
          <w:p w14:paraId="74DDB66F" w14:textId="77777777" w:rsidR="00584EC1" w:rsidRDefault="00584EC1">
            <w:pPr>
              <w:rPr>
                <w:rFonts w:ascii="宋体"/>
                <w:vanish/>
              </w:rPr>
            </w:pPr>
          </w:p>
        </w:tc>
        <w:tc>
          <w:tcPr>
            <w:tcW w:w="0" w:type="auto"/>
            <w:gridSpan w:val="3"/>
            <w:shd w:val="clear" w:color="auto" w:fill="auto"/>
            <w:vAlign w:val="bottom"/>
          </w:tcPr>
          <w:p w14:paraId="74DDB670" w14:textId="77777777" w:rsidR="00584EC1" w:rsidRDefault="00584EC1">
            <w:pPr>
              <w:rPr>
                <w:rFonts w:ascii="宋体"/>
                <w:vanish/>
              </w:rPr>
            </w:pPr>
          </w:p>
        </w:tc>
      </w:tr>
      <w:tr w:rsidR="00584EC1" w14:paraId="74DDB67A" w14:textId="77777777">
        <w:trPr>
          <w:jc w:val="center"/>
        </w:trPr>
        <w:tc>
          <w:tcPr>
            <w:tcW w:w="0" w:type="auto"/>
            <w:gridSpan w:val="3"/>
            <w:shd w:val="clear" w:color="auto" w:fill="FFFFFF"/>
            <w:tcMar>
              <w:top w:w="40" w:type="dxa"/>
              <w:left w:w="20" w:type="dxa"/>
              <w:bottom w:w="40" w:type="dxa"/>
              <w:right w:w="20" w:type="dxa"/>
            </w:tcMar>
            <w:vAlign w:val="bottom"/>
          </w:tcPr>
          <w:p w14:paraId="74DDB672" w14:textId="77777777" w:rsidR="00584EC1" w:rsidRDefault="00871F8D">
            <w:pPr>
              <w:textAlignment w:val="bottom"/>
            </w:pPr>
            <w:r>
              <w:rPr>
                <w:rFonts w:ascii="Arial" w:eastAsia="宋体" w:hAnsi="Arial" w:cs="Arial"/>
                <w:color w:val="000000"/>
                <w:sz w:val="15"/>
                <w:szCs w:val="15"/>
              </w:rPr>
              <w:t xml:space="preserve">Net (increase) decrease in </w:t>
            </w:r>
            <w:r>
              <w:rPr>
                <w:rFonts w:ascii="Arial" w:eastAsia="宋体" w:hAnsi="Arial" w:cs="Arial"/>
                <w:color w:val="000000"/>
                <w:sz w:val="15"/>
                <w:szCs w:val="15"/>
              </w:rPr>
              <w:t>securities purchased under resale agreements</w:t>
            </w:r>
          </w:p>
        </w:tc>
        <w:tc>
          <w:tcPr>
            <w:tcW w:w="0" w:type="auto"/>
            <w:gridSpan w:val="2"/>
            <w:shd w:val="clear" w:color="auto" w:fill="FFFFFF"/>
            <w:tcMar>
              <w:top w:w="40" w:type="dxa"/>
              <w:left w:w="20" w:type="dxa"/>
              <w:bottom w:w="40" w:type="dxa"/>
              <w:right w:w="0" w:type="dxa"/>
            </w:tcMar>
            <w:vAlign w:val="bottom"/>
          </w:tcPr>
          <w:p w14:paraId="74DDB673" w14:textId="77777777" w:rsidR="00584EC1" w:rsidRDefault="00871F8D">
            <w:pPr>
              <w:jc w:val="right"/>
              <w:textAlignment w:val="bottom"/>
            </w:pPr>
            <w:r>
              <w:rPr>
                <w:rFonts w:ascii="Arial" w:eastAsia="宋体" w:hAnsi="Arial" w:cs="Arial"/>
                <w:b/>
                <w:bCs/>
                <w:color w:val="000000"/>
                <w:sz w:val="15"/>
                <w:szCs w:val="15"/>
              </w:rPr>
              <w:t>259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B67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675"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676" w14:textId="77777777" w:rsidR="00584EC1" w:rsidRDefault="00871F8D">
            <w:pPr>
              <w:jc w:val="right"/>
              <w:textAlignment w:val="bottom"/>
            </w:pPr>
            <w:r>
              <w:rPr>
                <w:rFonts w:ascii="Arial" w:eastAsia="宋体" w:hAnsi="Arial" w:cs="Arial"/>
                <w:color w:val="000000"/>
                <w:sz w:val="15"/>
                <w:szCs w:val="15"/>
              </w:rPr>
              <w:t>(3,012)</w:t>
            </w:r>
          </w:p>
        </w:tc>
        <w:tc>
          <w:tcPr>
            <w:tcW w:w="0" w:type="auto"/>
            <w:shd w:val="clear" w:color="auto" w:fill="FFFFFF"/>
            <w:tcMar>
              <w:top w:w="40" w:type="dxa"/>
              <w:left w:w="0" w:type="dxa"/>
              <w:bottom w:w="40" w:type="dxa"/>
              <w:right w:w="20" w:type="dxa"/>
            </w:tcMar>
            <w:vAlign w:val="bottom"/>
          </w:tcPr>
          <w:p w14:paraId="74DDB677" w14:textId="77777777" w:rsidR="00584EC1" w:rsidRDefault="00584EC1">
            <w:pPr>
              <w:jc w:val="right"/>
              <w:rPr>
                <w:rFonts w:ascii="宋体"/>
              </w:rPr>
            </w:pPr>
          </w:p>
        </w:tc>
        <w:tc>
          <w:tcPr>
            <w:tcW w:w="0" w:type="auto"/>
            <w:gridSpan w:val="3"/>
            <w:shd w:val="clear" w:color="auto" w:fill="auto"/>
            <w:vAlign w:val="bottom"/>
          </w:tcPr>
          <w:p w14:paraId="74DDB678" w14:textId="77777777" w:rsidR="00584EC1" w:rsidRDefault="00584EC1">
            <w:pPr>
              <w:rPr>
                <w:rFonts w:ascii="宋体"/>
                <w:vanish/>
              </w:rPr>
            </w:pPr>
          </w:p>
        </w:tc>
        <w:tc>
          <w:tcPr>
            <w:tcW w:w="0" w:type="auto"/>
            <w:gridSpan w:val="3"/>
            <w:shd w:val="clear" w:color="auto" w:fill="auto"/>
            <w:vAlign w:val="bottom"/>
          </w:tcPr>
          <w:p w14:paraId="74DDB679" w14:textId="77777777" w:rsidR="00584EC1" w:rsidRDefault="00584EC1">
            <w:pPr>
              <w:rPr>
                <w:rFonts w:ascii="宋体"/>
                <w:vanish/>
              </w:rPr>
            </w:pPr>
          </w:p>
        </w:tc>
      </w:tr>
      <w:tr w:rsidR="00584EC1" w14:paraId="74DDB683" w14:textId="77777777">
        <w:trPr>
          <w:jc w:val="center"/>
        </w:trPr>
        <w:tc>
          <w:tcPr>
            <w:tcW w:w="0" w:type="auto"/>
            <w:gridSpan w:val="3"/>
            <w:shd w:val="clear" w:color="auto" w:fill="CCEEFF"/>
            <w:tcMar>
              <w:top w:w="40" w:type="dxa"/>
              <w:left w:w="20" w:type="dxa"/>
              <w:bottom w:w="40" w:type="dxa"/>
              <w:right w:w="20" w:type="dxa"/>
            </w:tcMar>
            <w:vAlign w:val="bottom"/>
          </w:tcPr>
          <w:p w14:paraId="74DDB67B" w14:textId="77777777" w:rsidR="00584EC1" w:rsidRDefault="00871F8D">
            <w:pPr>
              <w:textAlignment w:val="bottom"/>
            </w:pPr>
            <w:r>
              <w:rPr>
                <w:rFonts w:ascii="Arial" w:eastAsia="宋体" w:hAnsi="Arial" w:cs="Arial"/>
                <w:color w:val="000000"/>
                <w:sz w:val="15"/>
                <w:szCs w:val="15"/>
              </w:rPr>
              <w:t>Proceeds from sales of available-for-sale securities</w:t>
            </w:r>
          </w:p>
        </w:tc>
        <w:tc>
          <w:tcPr>
            <w:tcW w:w="0" w:type="auto"/>
            <w:gridSpan w:val="2"/>
            <w:shd w:val="clear" w:color="auto" w:fill="CCEEFF"/>
            <w:tcMar>
              <w:top w:w="40" w:type="dxa"/>
              <w:left w:w="20" w:type="dxa"/>
              <w:bottom w:w="40" w:type="dxa"/>
              <w:right w:w="0" w:type="dxa"/>
            </w:tcMar>
            <w:vAlign w:val="bottom"/>
          </w:tcPr>
          <w:p w14:paraId="74DDB67C" w14:textId="77777777" w:rsidR="00584EC1" w:rsidRDefault="00871F8D">
            <w:pPr>
              <w:jc w:val="right"/>
              <w:textAlignment w:val="bottom"/>
            </w:pPr>
            <w:r>
              <w:rPr>
                <w:rFonts w:ascii="Arial" w:eastAsia="宋体" w:hAnsi="Arial" w:cs="Arial"/>
                <w:b/>
                <w:bCs/>
                <w:color w:val="000000"/>
                <w:sz w:val="15"/>
                <w:szCs w:val="15"/>
              </w:rPr>
              <w:t>9,252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B67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67E"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67F" w14:textId="77777777" w:rsidR="00584EC1" w:rsidRDefault="00871F8D">
            <w:pPr>
              <w:jc w:val="right"/>
              <w:textAlignment w:val="bottom"/>
            </w:pPr>
            <w:r>
              <w:rPr>
                <w:rFonts w:ascii="Arial" w:eastAsia="宋体" w:hAnsi="Arial" w:cs="Arial"/>
                <w:color w:val="000000"/>
                <w:sz w:val="15"/>
                <w:szCs w:val="15"/>
              </w:rPr>
              <w:t>2,245 </w:t>
            </w:r>
          </w:p>
        </w:tc>
        <w:tc>
          <w:tcPr>
            <w:tcW w:w="0" w:type="auto"/>
            <w:shd w:val="clear" w:color="auto" w:fill="CCEEFF"/>
            <w:tcMar>
              <w:top w:w="40" w:type="dxa"/>
              <w:left w:w="0" w:type="dxa"/>
              <w:bottom w:w="40" w:type="dxa"/>
              <w:right w:w="20" w:type="dxa"/>
            </w:tcMar>
            <w:vAlign w:val="bottom"/>
          </w:tcPr>
          <w:p w14:paraId="74DDB680" w14:textId="77777777" w:rsidR="00584EC1" w:rsidRDefault="00584EC1">
            <w:pPr>
              <w:jc w:val="right"/>
              <w:rPr>
                <w:rFonts w:ascii="宋体"/>
              </w:rPr>
            </w:pPr>
          </w:p>
        </w:tc>
        <w:tc>
          <w:tcPr>
            <w:tcW w:w="0" w:type="auto"/>
            <w:gridSpan w:val="3"/>
            <w:shd w:val="clear" w:color="auto" w:fill="auto"/>
            <w:vAlign w:val="bottom"/>
          </w:tcPr>
          <w:p w14:paraId="74DDB681" w14:textId="77777777" w:rsidR="00584EC1" w:rsidRDefault="00584EC1">
            <w:pPr>
              <w:rPr>
                <w:rFonts w:ascii="宋体"/>
                <w:vanish/>
              </w:rPr>
            </w:pPr>
          </w:p>
        </w:tc>
        <w:tc>
          <w:tcPr>
            <w:tcW w:w="0" w:type="auto"/>
            <w:gridSpan w:val="3"/>
            <w:shd w:val="clear" w:color="auto" w:fill="auto"/>
            <w:vAlign w:val="bottom"/>
          </w:tcPr>
          <w:p w14:paraId="74DDB682" w14:textId="77777777" w:rsidR="00584EC1" w:rsidRDefault="00584EC1">
            <w:pPr>
              <w:rPr>
                <w:rFonts w:ascii="宋体"/>
                <w:vanish/>
              </w:rPr>
            </w:pPr>
          </w:p>
        </w:tc>
      </w:tr>
      <w:tr w:rsidR="00584EC1" w14:paraId="74DDB68C" w14:textId="77777777">
        <w:trPr>
          <w:jc w:val="center"/>
        </w:trPr>
        <w:tc>
          <w:tcPr>
            <w:tcW w:w="0" w:type="auto"/>
            <w:gridSpan w:val="3"/>
            <w:shd w:val="clear" w:color="auto" w:fill="FFFFFF"/>
            <w:tcMar>
              <w:top w:w="40" w:type="dxa"/>
              <w:left w:w="20" w:type="dxa"/>
              <w:bottom w:w="40" w:type="dxa"/>
              <w:right w:w="20" w:type="dxa"/>
            </w:tcMar>
            <w:vAlign w:val="bottom"/>
          </w:tcPr>
          <w:p w14:paraId="74DDB684" w14:textId="77777777" w:rsidR="00584EC1" w:rsidRDefault="00871F8D">
            <w:pPr>
              <w:textAlignment w:val="bottom"/>
            </w:pPr>
            <w:r>
              <w:rPr>
                <w:rFonts w:ascii="Arial" w:eastAsia="宋体" w:hAnsi="Arial" w:cs="Arial"/>
                <w:color w:val="000000"/>
                <w:sz w:val="15"/>
                <w:szCs w:val="15"/>
              </w:rPr>
              <w:t>Proceeds from maturities of available-for-sale securities</w:t>
            </w:r>
          </w:p>
        </w:tc>
        <w:tc>
          <w:tcPr>
            <w:tcW w:w="0" w:type="auto"/>
            <w:gridSpan w:val="2"/>
            <w:shd w:val="clear" w:color="auto" w:fill="FFFFFF"/>
            <w:tcMar>
              <w:top w:w="40" w:type="dxa"/>
              <w:left w:w="20" w:type="dxa"/>
              <w:bottom w:w="40" w:type="dxa"/>
              <w:right w:w="0" w:type="dxa"/>
            </w:tcMar>
            <w:vAlign w:val="bottom"/>
          </w:tcPr>
          <w:p w14:paraId="74DDB685" w14:textId="77777777" w:rsidR="00584EC1" w:rsidRDefault="00871F8D">
            <w:pPr>
              <w:jc w:val="right"/>
              <w:textAlignment w:val="bottom"/>
            </w:pPr>
            <w:r>
              <w:rPr>
                <w:rFonts w:ascii="Arial" w:eastAsia="宋体" w:hAnsi="Arial" w:cs="Arial"/>
                <w:b/>
                <w:bCs/>
                <w:color w:val="000000"/>
                <w:sz w:val="15"/>
                <w:szCs w:val="15"/>
              </w:rPr>
              <w:t>16,281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B68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68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688" w14:textId="77777777" w:rsidR="00584EC1" w:rsidRDefault="00871F8D">
            <w:pPr>
              <w:jc w:val="right"/>
              <w:textAlignment w:val="bottom"/>
            </w:pPr>
            <w:r>
              <w:rPr>
                <w:rFonts w:ascii="Arial" w:eastAsia="宋体" w:hAnsi="Arial" w:cs="Arial"/>
                <w:color w:val="000000"/>
                <w:sz w:val="15"/>
                <w:szCs w:val="15"/>
              </w:rPr>
              <w:t>16,257 </w:t>
            </w:r>
          </w:p>
        </w:tc>
        <w:tc>
          <w:tcPr>
            <w:tcW w:w="0" w:type="auto"/>
            <w:shd w:val="clear" w:color="auto" w:fill="FFFFFF"/>
            <w:tcMar>
              <w:top w:w="40" w:type="dxa"/>
              <w:left w:w="0" w:type="dxa"/>
              <w:bottom w:w="40" w:type="dxa"/>
              <w:right w:w="20" w:type="dxa"/>
            </w:tcMar>
            <w:vAlign w:val="bottom"/>
          </w:tcPr>
          <w:p w14:paraId="74DDB689" w14:textId="77777777" w:rsidR="00584EC1" w:rsidRDefault="00584EC1">
            <w:pPr>
              <w:jc w:val="right"/>
              <w:rPr>
                <w:rFonts w:ascii="宋体"/>
              </w:rPr>
            </w:pPr>
          </w:p>
        </w:tc>
        <w:tc>
          <w:tcPr>
            <w:tcW w:w="0" w:type="auto"/>
            <w:gridSpan w:val="3"/>
            <w:shd w:val="clear" w:color="auto" w:fill="auto"/>
            <w:vAlign w:val="bottom"/>
          </w:tcPr>
          <w:p w14:paraId="74DDB68A" w14:textId="77777777" w:rsidR="00584EC1" w:rsidRDefault="00584EC1">
            <w:pPr>
              <w:rPr>
                <w:rFonts w:ascii="宋体"/>
                <w:vanish/>
              </w:rPr>
            </w:pPr>
          </w:p>
        </w:tc>
        <w:tc>
          <w:tcPr>
            <w:tcW w:w="0" w:type="auto"/>
            <w:gridSpan w:val="3"/>
            <w:shd w:val="clear" w:color="auto" w:fill="auto"/>
            <w:vAlign w:val="bottom"/>
          </w:tcPr>
          <w:p w14:paraId="74DDB68B" w14:textId="77777777" w:rsidR="00584EC1" w:rsidRDefault="00584EC1">
            <w:pPr>
              <w:rPr>
                <w:rFonts w:ascii="宋体"/>
                <w:vanish/>
              </w:rPr>
            </w:pPr>
          </w:p>
        </w:tc>
      </w:tr>
      <w:tr w:rsidR="00584EC1" w14:paraId="74DDB695" w14:textId="77777777">
        <w:trPr>
          <w:jc w:val="center"/>
        </w:trPr>
        <w:tc>
          <w:tcPr>
            <w:tcW w:w="0" w:type="auto"/>
            <w:gridSpan w:val="3"/>
            <w:shd w:val="clear" w:color="auto" w:fill="CCEEFF"/>
            <w:tcMar>
              <w:top w:w="40" w:type="dxa"/>
              <w:left w:w="20" w:type="dxa"/>
              <w:bottom w:w="40" w:type="dxa"/>
              <w:right w:w="20" w:type="dxa"/>
            </w:tcMar>
            <w:vAlign w:val="bottom"/>
          </w:tcPr>
          <w:p w14:paraId="74DDB68D" w14:textId="77777777" w:rsidR="00584EC1" w:rsidRDefault="00871F8D">
            <w:pPr>
              <w:textAlignment w:val="bottom"/>
            </w:pPr>
            <w:r>
              <w:rPr>
                <w:rFonts w:ascii="Arial" w:eastAsia="宋体" w:hAnsi="Arial" w:cs="Arial"/>
                <w:color w:val="000000"/>
                <w:sz w:val="15"/>
                <w:szCs w:val="15"/>
              </w:rPr>
              <w:t xml:space="preserve">Purchases of </w:t>
            </w:r>
            <w:r>
              <w:rPr>
                <w:rFonts w:ascii="Arial" w:eastAsia="宋体" w:hAnsi="Arial" w:cs="Arial"/>
                <w:color w:val="000000"/>
                <w:sz w:val="15"/>
                <w:szCs w:val="15"/>
              </w:rPr>
              <w:t>available-for-sale securities</w:t>
            </w:r>
          </w:p>
        </w:tc>
        <w:tc>
          <w:tcPr>
            <w:tcW w:w="0" w:type="auto"/>
            <w:gridSpan w:val="2"/>
            <w:shd w:val="clear" w:color="auto" w:fill="CCEEFF"/>
            <w:tcMar>
              <w:top w:w="40" w:type="dxa"/>
              <w:left w:w="20" w:type="dxa"/>
              <w:bottom w:w="40" w:type="dxa"/>
              <w:right w:w="0" w:type="dxa"/>
            </w:tcMar>
            <w:vAlign w:val="bottom"/>
          </w:tcPr>
          <w:p w14:paraId="74DDB68E" w14:textId="77777777" w:rsidR="00584EC1" w:rsidRDefault="00871F8D">
            <w:pPr>
              <w:jc w:val="right"/>
              <w:textAlignment w:val="bottom"/>
            </w:pPr>
            <w:r>
              <w:rPr>
                <w:rFonts w:ascii="Arial" w:eastAsia="宋体" w:hAnsi="Arial" w:cs="Arial"/>
                <w:b/>
                <w:bCs/>
                <w:color w:val="000000"/>
                <w:sz w:val="15"/>
                <w:szCs w:val="15"/>
              </w:rPr>
              <w:t>(39,972)</w:t>
            </w:r>
          </w:p>
        </w:tc>
        <w:tc>
          <w:tcPr>
            <w:tcW w:w="0" w:type="auto"/>
            <w:shd w:val="clear" w:color="auto" w:fill="CCEEFF"/>
            <w:tcMar>
              <w:top w:w="40" w:type="dxa"/>
              <w:left w:w="0" w:type="dxa"/>
              <w:bottom w:w="40" w:type="dxa"/>
              <w:right w:w="20" w:type="dxa"/>
            </w:tcMar>
            <w:vAlign w:val="bottom"/>
          </w:tcPr>
          <w:p w14:paraId="74DDB68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69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691" w14:textId="77777777" w:rsidR="00584EC1" w:rsidRDefault="00871F8D">
            <w:pPr>
              <w:jc w:val="right"/>
              <w:textAlignment w:val="bottom"/>
            </w:pPr>
            <w:r>
              <w:rPr>
                <w:rFonts w:ascii="Arial" w:eastAsia="宋体" w:hAnsi="Arial" w:cs="Arial"/>
                <w:color w:val="000000"/>
                <w:sz w:val="15"/>
                <w:szCs w:val="15"/>
              </w:rPr>
              <w:t>(30,344)</w:t>
            </w:r>
          </w:p>
        </w:tc>
        <w:tc>
          <w:tcPr>
            <w:tcW w:w="0" w:type="auto"/>
            <w:shd w:val="clear" w:color="auto" w:fill="CCEEFF"/>
            <w:tcMar>
              <w:top w:w="40" w:type="dxa"/>
              <w:left w:w="0" w:type="dxa"/>
              <w:bottom w:w="40" w:type="dxa"/>
              <w:right w:w="20" w:type="dxa"/>
            </w:tcMar>
            <w:vAlign w:val="bottom"/>
          </w:tcPr>
          <w:p w14:paraId="74DDB692" w14:textId="77777777" w:rsidR="00584EC1" w:rsidRDefault="00584EC1">
            <w:pPr>
              <w:jc w:val="right"/>
              <w:rPr>
                <w:rFonts w:ascii="宋体"/>
              </w:rPr>
            </w:pPr>
          </w:p>
        </w:tc>
        <w:tc>
          <w:tcPr>
            <w:tcW w:w="0" w:type="auto"/>
            <w:gridSpan w:val="3"/>
            <w:shd w:val="clear" w:color="auto" w:fill="auto"/>
            <w:vAlign w:val="bottom"/>
          </w:tcPr>
          <w:p w14:paraId="74DDB693" w14:textId="77777777" w:rsidR="00584EC1" w:rsidRDefault="00584EC1">
            <w:pPr>
              <w:rPr>
                <w:rFonts w:ascii="宋体"/>
                <w:vanish/>
              </w:rPr>
            </w:pPr>
          </w:p>
        </w:tc>
        <w:tc>
          <w:tcPr>
            <w:tcW w:w="0" w:type="auto"/>
            <w:gridSpan w:val="3"/>
            <w:shd w:val="clear" w:color="auto" w:fill="auto"/>
            <w:vAlign w:val="bottom"/>
          </w:tcPr>
          <w:p w14:paraId="74DDB694" w14:textId="77777777" w:rsidR="00584EC1" w:rsidRDefault="00584EC1">
            <w:pPr>
              <w:rPr>
                <w:rFonts w:ascii="宋体"/>
                <w:vanish/>
              </w:rPr>
            </w:pPr>
          </w:p>
        </w:tc>
      </w:tr>
      <w:tr w:rsidR="00584EC1" w14:paraId="74DDB69C" w14:textId="77777777">
        <w:trPr>
          <w:jc w:val="center"/>
          <w:hidden/>
        </w:trPr>
        <w:tc>
          <w:tcPr>
            <w:tcW w:w="0" w:type="auto"/>
            <w:gridSpan w:val="3"/>
            <w:shd w:val="clear" w:color="auto" w:fill="auto"/>
            <w:vAlign w:val="bottom"/>
          </w:tcPr>
          <w:p w14:paraId="74DDB696" w14:textId="77777777" w:rsidR="00584EC1" w:rsidRDefault="00584EC1">
            <w:pPr>
              <w:rPr>
                <w:rFonts w:ascii="宋体"/>
                <w:vanish/>
              </w:rPr>
            </w:pPr>
          </w:p>
        </w:tc>
        <w:tc>
          <w:tcPr>
            <w:tcW w:w="0" w:type="auto"/>
            <w:gridSpan w:val="3"/>
            <w:shd w:val="clear" w:color="auto" w:fill="auto"/>
            <w:vAlign w:val="bottom"/>
          </w:tcPr>
          <w:p w14:paraId="74DDB697" w14:textId="77777777" w:rsidR="00584EC1" w:rsidRDefault="00584EC1">
            <w:pPr>
              <w:rPr>
                <w:rFonts w:ascii="宋体"/>
                <w:vanish/>
              </w:rPr>
            </w:pPr>
          </w:p>
        </w:tc>
        <w:tc>
          <w:tcPr>
            <w:tcW w:w="0" w:type="auto"/>
            <w:gridSpan w:val="3"/>
            <w:shd w:val="clear" w:color="auto" w:fill="auto"/>
            <w:vAlign w:val="bottom"/>
          </w:tcPr>
          <w:p w14:paraId="74DDB698" w14:textId="77777777" w:rsidR="00584EC1" w:rsidRDefault="00584EC1">
            <w:pPr>
              <w:rPr>
                <w:rFonts w:ascii="宋体"/>
                <w:vanish/>
              </w:rPr>
            </w:pPr>
          </w:p>
        </w:tc>
        <w:tc>
          <w:tcPr>
            <w:tcW w:w="0" w:type="auto"/>
            <w:gridSpan w:val="3"/>
            <w:shd w:val="clear" w:color="auto" w:fill="auto"/>
            <w:vAlign w:val="bottom"/>
          </w:tcPr>
          <w:p w14:paraId="74DDB699" w14:textId="77777777" w:rsidR="00584EC1" w:rsidRDefault="00584EC1">
            <w:pPr>
              <w:rPr>
                <w:rFonts w:ascii="宋体"/>
                <w:vanish/>
              </w:rPr>
            </w:pPr>
          </w:p>
        </w:tc>
        <w:tc>
          <w:tcPr>
            <w:tcW w:w="0" w:type="auto"/>
            <w:gridSpan w:val="3"/>
            <w:shd w:val="clear" w:color="auto" w:fill="auto"/>
            <w:vAlign w:val="bottom"/>
          </w:tcPr>
          <w:p w14:paraId="74DDB69A" w14:textId="77777777" w:rsidR="00584EC1" w:rsidRDefault="00584EC1">
            <w:pPr>
              <w:rPr>
                <w:rFonts w:ascii="宋体"/>
                <w:vanish/>
              </w:rPr>
            </w:pPr>
          </w:p>
        </w:tc>
        <w:tc>
          <w:tcPr>
            <w:tcW w:w="0" w:type="auto"/>
            <w:gridSpan w:val="3"/>
            <w:shd w:val="clear" w:color="auto" w:fill="auto"/>
            <w:vAlign w:val="bottom"/>
          </w:tcPr>
          <w:p w14:paraId="74DDB69B" w14:textId="77777777" w:rsidR="00584EC1" w:rsidRDefault="00584EC1">
            <w:pPr>
              <w:rPr>
                <w:rFonts w:ascii="宋体"/>
                <w:vanish/>
              </w:rPr>
            </w:pPr>
          </w:p>
        </w:tc>
      </w:tr>
      <w:tr w:rsidR="00584EC1" w14:paraId="74DDB6A5" w14:textId="77777777">
        <w:trPr>
          <w:jc w:val="center"/>
        </w:trPr>
        <w:tc>
          <w:tcPr>
            <w:tcW w:w="0" w:type="auto"/>
            <w:gridSpan w:val="3"/>
            <w:shd w:val="clear" w:color="auto" w:fill="FFFFFF"/>
            <w:tcMar>
              <w:top w:w="40" w:type="dxa"/>
              <w:left w:w="20" w:type="dxa"/>
              <w:bottom w:w="40" w:type="dxa"/>
              <w:right w:w="20" w:type="dxa"/>
            </w:tcMar>
            <w:vAlign w:val="bottom"/>
          </w:tcPr>
          <w:p w14:paraId="74DDB69D" w14:textId="77777777" w:rsidR="00584EC1" w:rsidRDefault="00871F8D">
            <w:pPr>
              <w:textAlignment w:val="bottom"/>
            </w:pPr>
            <w:r>
              <w:rPr>
                <w:rFonts w:ascii="Arial" w:eastAsia="宋体" w:hAnsi="Arial" w:cs="Arial"/>
                <w:color w:val="000000"/>
                <w:sz w:val="15"/>
                <w:szCs w:val="15"/>
              </w:rPr>
              <w:t>Purchases of held-to-maturity securities under the MMLF program</w:t>
            </w:r>
          </w:p>
        </w:tc>
        <w:tc>
          <w:tcPr>
            <w:tcW w:w="0" w:type="auto"/>
            <w:gridSpan w:val="2"/>
            <w:shd w:val="clear" w:color="auto" w:fill="FFFFFF"/>
            <w:tcMar>
              <w:top w:w="40" w:type="dxa"/>
              <w:left w:w="20" w:type="dxa"/>
              <w:bottom w:w="40" w:type="dxa"/>
              <w:right w:w="0" w:type="dxa"/>
            </w:tcMar>
            <w:vAlign w:val="bottom"/>
          </w:tcPr>
          <w:p w14:paraId="74DDB69E"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B69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6A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6A1" w14:textId="77777777" w:rsidR="00584EC1" w:rsidRDefault="00871F8D">
            <w:pPr>
              <w:jc w:val="right"/>
              <w:textAlignment w:val="bottom"/>
            </w:pPr>
            <w:r>
              <w:rPr>
                <w:rFonts w:ascii="Arial" w:eastAsia="宋体" w:hAnsi="Arial" w:cs="Arial"/>
                <w:color w:val="000000"/>
                <w:sz w:val="15"/>
                <w:szCs w:val="15"/>
              </w:rPr>
              <w:t>(29,242)</w:t>
            </w:r>
          </w:p>
        </w:tc>
        <w:tc>
          <w:tcPr>
            <w:tcW w:w="0" w:type="auto"/>
            <w:shd w:val="clear" w:color="auto" w:fill="FFFFFF"/>
            <w:tcMar>
              <w:top w:w="40" w:type="dxa"/>
              <w:left w:w="0" w:type="dxa"/>
              <w:bottom w:w="40" w:type="dxa"/>
              <w:right w:w="20" w:type="dxa"/>
            </w:tcMar>
            <w:vAlign w:val="bottom"/>
          </w:tcPr>
          <w:p w14:paraId="74DDB6A2" w14:textId="77777777" w:rsidR="00584EC1" w:rsidRDefault="00584EC1">
            <w:pPr>
              <w:jc w:val="right"/>
              <w:rPr>
                <w:rFonts w:ascii="宋体"/>
              </w:rPr>
            </w:pPr>
          </w:p>
        </w:tc>
        <w:tc>
          <w:tcPr>
            <w:tcW w:w="0" w:type="auto"/>
            <w:gridSpan w:val="3"/>
            <w:shd w:val="clear" w:color="auto" w:fill="auto"/>
            <w:vAlign w:val="bottom"/>
          </w:tcPr>
          <w:p w14:paraId="74DDB6A3" w14:textId="77777777" w:rsidR="00584EC1" w:rsidRDefault="00584EC1">
            <w:pPr>
              <w:rPr>
                <w:rFonts w:ascii="宋体"/>
                <w:vanish/>
              </w:rPr>
            </w:pPr>
          </w:p>
        </w:tc>
        <w:tc>
          <w:tcPr>
            <w:tcW w:w="0" w:type="auto"/>
            <w:gridSpan w:val="3"/>
            <w:shd w:val="clear" w:color="auto" w:fill="auto"/>
            <w:vAlign w:val="bottom"/>
          </w:tcPr>
          <w:p w14:paraId="74DDB6A4" w14:textId="77777777" w:rsidR="00584EC1" w:rsidRDefault="00584EC1">
            <w:pPr>
              <w:rPr>
                <w:rFonts w:ascii="宋体"/>
                <w:vanish/>
              </w:rPr>
            </w:pPr>
          </w:p>
        </w:tc>
      </w:tr>
      <w:tr w:rsidR="00584EC1" w14:paraId="74DDB6AC" w14:textId="77777777">
        <w:trPr>
          <w:jc w:val="center"/>
          <w:hidden/>
        </w:trPr>
        <w:tc>
          <w:tcPr>
            <w:tcW w:w="0" w:type="auto"/>
            <w:gridSpan w:val="3"/>
            <w:shd w:val="clear" w:color="auto" w:fill="auto"/>
            <w:vAlign w:val="bottom"/>
          </w:tcPr>
          <w:p w14:paraId="74DDB6A6" w14:textId="77777777" w:rsidR="00584EC1" w:rsidRDefault="00584EC1">
            <w:pPr>
              <w:rPr>
                <w:rFonts w:ascii="宋体"/>
                <w:vanish/>
              </w:rPr>
            </w:pPr>
          </w:p>
        </w:tc>
        <w:tc>
          <w:tcPr>
            <w:tcW w:w="0" w:type="auto"/>
            <w:gridSpan w:val="3"/>
            <w:shd w:val="clear" w:color="auto" w:fill="auto"/>
            <w:vAlign w:val="bottom"/>
          </w:tcPr>
          <w:p w14:paraId="74DDB6A7" w14:textId="77777777" w:rsidR="00584EC1" w:rsidRDefault="00584EC1">
            <w:pPr>
              <w:rPr>
                <w:rFonts w:ascii="宋体"/>
                <w:vanish/>
              </w:rPr>
            </w:pPr>
          </w:p>
        </w:tc>
        <w:tc>
          <w:tcPr>
            <w:tcW w:w="0" w:type="auto"/>
            <w:gridSpan w:val="3"/>
            <w:shd w:val="clear" w:color="auto" w:fill="auto"/>
            <w:vAlign w:val="bottom"/>
          </w:tcPr>
          <w:p w14:paraId="74DDB6A8" w14:textId="77777777" w:rsidR="00584EC1" w:rsidRDefault="00584EC1">
            <w:pPr>
              <w:rPr>
                <w:rFonts w:ascii="宋体"/>
                <w:vanish/>
              </w:rPr>
            </w:pPr>
          </w:p>
        </w:tc>
        <w:tc>
          <w:tcPr>
            <w:tcW w:w="0" w:type="auto"/>
            <w:gridSpan w:val="3"/>
            <w:shd w:val="clear" w:color="auto" w:fill="auto"/>
            <w:vAlign w:val="bottom"/>
          </w:tcPr>
          <w:p w14:paraId="74DDB6A9" w14:textId="77777777" w:rsidR="00584EC1" w:rsidRDefault="00584EC1">
            <w:pPr>
              <w:rPr>
                <w:rFonts w:ascii="宋体"/>
                <w:vanish/>
              </w:rPr>
            </w:pPr>
          </w:p>
        </w:tc>
        <w:tc>
          <w:tcPr>
            <w:tcW w:w="0" w:type="auto"/>
            <w:gridSpan w:val="3"/>
            <w:shd w:val="clear" w:color="auto" w:fill="auto"/>
            <w:vAlign w:val="bottom"/>
          </w:tcPr>
          <w:p w14:paraId="74DDB6AA" w14:textId="77777777" w:rsidR="00584EC1" w:rsidRDefault="00584EC1">
            <w:pPr>
              <w:rPr>
                <w:rFonts w:ascii="宋体"/>
                <w:vanish/>
              </w:rPr>
            </w:pPr>
          </w:p>
        </w:tc>
        <w:tc>
          <w:tcPr>
            <w:tcW w:w="0" w:type="auto"/>
            <w:gridSpan w:val="3"/>
            <w:shd w:val="clear" w:color="auto" w:fill="auto"/>
            <w:vAlign w:val="bottom"/>
          </w:tcPr>
          <w:p w14:paraId="74DDB6AB" w14:textId="77777777" w:rsidR="00584EC1" w:rsidRDefault="00584EC1">
            <w:pPr>
              <w:rPr>
                <w:rFonts w:ascii="宋体"/>
                <w:vanish/>
              </w:rPr>
            </w:pPr>
          </w:p>
        </w:tc>
      </w:tr>
      <w:tr w:rsidR="00584EC1" w14:paraId="74DDB6B5" w14:textId="77777777">
        <w:trPr>
          <w:jc w:val="center"/>
        </w:trPr>
        <w:tc>
          <w:tcPr>
            <w:tcW w:w="0" w:type="auto"/>
            <w:gridSpan w:val="3"/>
            <w:shd w:val="clear" w:color="auto" w:fill="CCEEFF"/>
            <w:tcMar>
              <w:top w:w="40" w:type="dxa"/>
              <w:left w:w="20" w:type="dxa"/>
              <w:bottom w:w="40" w:type="dxa"/>
              <w:right w:w="20" w:type="dxa"/>
            </w:tcMar>
            <w:vAlign w:val="bottom"/>
          </w:tcPr>
          <w:p w14:paraId="74DDB6AD" w14:textId="77777777" w:rsidR="00584EC1" w:rsidRDefault="00871F8D">
            <w:pPr>
              <w:textAlignment w:val="bottom"/>
            </w:pPr>
            <w:r>
              <w:rPr>
                <w:rFonts w:ascii="Arial" w:eastAsia="宋体" w:hAnsi="Arial" w:cs="Arial"/>
                <w:color w:val="000000"/>
                <w:sz w:val="15"/>
                <w:szCs w:val="15"/>
              </w:rPr>
              <w:t>Proceeds from maturities of held-to-maturity securities under the MMLF program</w:t>
            </w:r>
          </w:p>
        </w:tc>
        <w:tc>
          <w:tcPr>
            <w:tcW w:w="0" w:type="auto"/>
            <w:gridSpan w:val="2"/>
            <w:shd w:val="clear" w:color="auto" w:fill="CCEEFF"/>
            <w:tcMar>
              <w:top w:w="40" w:type="dxa"/>
              <w:left w:w="20" w:type="dxa"/>
              <w:bottom w:w="40" w:type="dxa"/>
              <w:right w:w="0" w:type="dxa"/>
            </w:tcMar>
            <w:vAlign w:val="bottom"/>
          </w:tcPr>
          <w:p w14:paraId="74DDB6AE" w14:textId="77777777" w:rsidR="00584EC1" w:rsidRDefault="00871F8D">
            <w:pPr>
              <w:jc w:val="right"/>
              <w:textAlignment w:val="bottom"/>
            </w:pPr>
            <w:r>
              <w:rPr>
                <w:rFonts w:ascii="Arial" w:eastAsia="宋体" w:hAnsi="Arial" w:cs="Arial"/>
                <w:b/>
                <w:bCs/>
                <w:color w:val="000000"/>
                <w:sz w:val="15"/>
                <w:szCs w:val="15"/>
              </w:rPr>
              <w:t>3,299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B6A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6B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6B1" w14:textId="77777777" w:rsidR="00584EC1" w:rsidRDefault="00871F8D">
            <w:pPr>
              <w:jc w:val="right"/>
              <w:textAlignment w:val="bottom"/>
            </w:pPr>
            <w:r>
              <w:rPr>
                <w:rFonts w:ascii="Arial" w:eastAsia="宋体" w:hAnsi="Arial" w:cs="Arial"/>
                <w:color w:val="000000"/>
                <w:sz w:val="15"/>
                <w:szCs w:val="15"/>
              </w:rPr>
              <w:t>24,457 </w:t>
            </w:r>
          </w:p>
        </w:tc>
        <w:tc>
          <w:tcPr>
            <w:tcW w:w="0" w:type="auto"/>
            <w:shd w:val="clear" w:color="auto" w:fill="CCEEFF"/>
            <w:tcMar>
              <w:top w:w="40" w:type="dxa"/>
              <w:left w:w="0" w:type="dxa"/>
              <w:bottom w:w="40" w:type="dxa"/>
              <w:right w:w="20" w:type="dxa"/>
            </w:tcMar>
            <w:vAlign w:val="bottom"/>
          </w:tcPr>
          <w:p w14:paraId="74DDB6B2" w14:textId="77777777" w:rsidR="00584EC1" w:rsidRDefault="00584EC1">
            <w:pPr>
              <w:jc w:val="right"/>
              <w:rPr>
                <w:rFonts w:ascii="宋体"/>
              </w:rPr>
            </w:pPr>
          </w:p>
        </w:tc>
        <w:tc>
          <w:tcPr>
            <w:tcW w:w="0" w:type="auto"/>
            <w:gridSpan w:val="3"/>
            <w:shd w:val="clear" w:color="auto" w:fill="auto"/>
            <w:vAlign w:val="bottom"/>
          </w:tcPr>
          <w:p w14:paraId="74DDB6B3" w14:textId="77777777" w:rsidR="00584EC1" w:rsidRDefault="00584EC1">
            <w:pPr>
              <w:rPr>
                <w:rFonts w:ascii="宋体"/>
                <w:vanish/>
              </w:rPr>
            </w:pPr>
          </w:p>
        </w:tc>
        <w:tc>
          <w:tcPr>
            <w:tcW w:w="0" w:type="auto"/>
            <w:gridSpan w:val="3"/>
            <w:shd w:val="clear" w:color="auto" w:fill="auto"/>
            <w:vAlign w:val="bottom"/>
          </w:tcPr>
          <w:p w14:paraId="74DDB6B4" w14:textId="77777777" w:rsidR="00584EC1" w:rsidRDefault="00584EC1">
            <w:pPr>
              <w:rPr>
                <w:rFonts w:ascii="宋体"/>
                <w:vanish/>
              </w:rPr>
            </w:pPr>
          </w:p>
        </w:tc>
      </w:tr>
      <w:tr w:rsidR="00584EC1" w14:paraId="74DDB6BE" w14:textId="77777777">
        <w:trPr>
          <w:jc w:val="center"/>
        </w:trPr>
        <w:tc>
          <w:tcPr>
            <w:tcW w:w="0" w:type="auto"/>
            <w:gridSpan w:val="3"/>
            <w:shd w:val="clear" w:color="auto" w:fill="FFFFFF"/>
            <w:tcMar>
              <w:top w:w="40" w:type="dxa"/>
              <w:left w:w="20" w:type="dxa"/>
              <w:bottom w:w="40" w:type="dxa"/>
              <w:right w:w="20" w:type="dxa"/>
            </w:tcMar>
            <w:vAlign w:val="bottom"/>
          </w:tcPr>
          <w:p w14:paraId="74DDB6B6" w14:textId="77777777" w:rsidR="00584EC1" w:rsidRDefault="00871F8D">
            <w:pPr>
              <w:textAlignment w:val="bottom"/>
            </w:pPr>
            <w:r>
              <w:rPr>
                <w:rFonts w:ascii="Arial" w:eastAsia="宋体" w:hAnsi="Arial" w:cs="Arial"/>
                <w:color w:val="000000"/>
                <w:sz w:val="15"/>
                <w:szCs w:val="15"/>
              </w:rPr>
              <w:t>Proceeds from maturities of held-to-maturity securities</w:t>
            </w:r>
          </w:p>
        </w:tc>
        <w:tc>
          <w:tcPr>
            <w:tcW w:w="0" w:type="auto"/>
            <w:gridSpan w:val="2"/>
            <w:shd w:val="clear" w:color="auto" w:fill="FFFFFF"/>
            <w:tcMar>
              <w:top w:w="40" w:type="dxa"/>
              <w:left w:w="20" w:type="dxa"/>
              <w:bottom w:w="40" w:type="dxa"/>
              <w:right w:w="0" w:type="dxa"/>
            </w:tcMar>
            <w:vAlign w:val="bottom"/>
          </w:tcPr>
          <w:p w14:paraId="74DDB6B7" w14:textId="77777777" w:rsidR="00584EC1" w:rsidRDefault="00871F8D">
            <w:pPr>
              <w:jc w:val="right"/>
              <w:textAlignment w:val="bottom"/>
            </w:pPr>
            <w:r>
              <w:rPr>
                <w:rFonts w:ascii="Arial" w:eastAsia="宋体" w:hAnsi="Arial" w:cs="Arial"/>
                <w:b/>
                <w:bCs/>
                <w:color w:val="000000"/>
                <w:sz w:val="15"/>
                <w:szCs w:val="15"/>
              </w:rPr>
              <w:t>12,564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B6B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6B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6BA" w14:textId="77777777" w:rsidR="00584EC1" w:rsidRDefault="00871F8D">
            <w:pPr>
              <w:jc w:val="right"/>
              <w:textAlignment w:val="bottom"/>
            </w:pPr>
            <w:r>
              <w:rPr>
                <w:rFonts w:ascii="Arial" w:eastAsia="宋体" w:hAnsi="Arial" w:cs="Arial"/>
                <w:color w:val="000000"/>
                <w:sz w:val="15"/>
                <w:szCs w:val="15"/>
              </w:rPr>
              <w:t>10,863 </w:t>
            </w:r>
          </w:p>
        </w:tc>
        <w:tc>
          <w:tcPr>
            <w:tcW w:w="0" w:type="auto"/>
            <w:shd w:val="clear" w:color="auto" w:fill="FFFFFF"/>
            <w:tcMar>
              <w:top w:w="40" w:type="dxa"/>
              <w:left w:w="0" w:type="dxa"/>
              <w:bottom w:w="40" w:type="dxa"/>
              <w:right w:w="20" w:type="dxa"/>
            </w:tcMar>
            <w:vAlign w:val="bottom"/>
          </w:tcPr>
          <w:p w14:paraId="74DDB6BB" w14:textId="77777777" w:rsidR="00584EC1" w:rsidRDefault="00584EC1">
            <w:pPr>
              <w:jc w:val="right"/>
              <w:rPr>
                <w:rFonts w:ascii="宋体"/>
              </w:rPr>
            </w:pPr>
          </w:p>
        </w:tc>
        <w:tc>
          <w:tcPr>
            <w:tcW w:w="0" w:type="auto"/>
            <w:gridSpan w:val="3"/>
            <w:shd w:val="clear" w:color="auto" w:fill="auto"/>
            <w:vAlign w:val="bottom"/>
          </w:tcPr>
          <w:p w14:paraId="74DDB6BC" w14:textId="77777777" w:rsidR="00584EC1" w:rsidRDefault="00584EC1">
            <w:pPr>
              <w:rPr>
                <w:rFonts w:ascii="宋体"/>
                <w:vanish/>
              </w:rPr>
            </w:pPr>
          </w:p>
        </w:tc>
        <w:tc>
          <w:tcPr>
            <w:tcW w:w="0" w:type="auto"/>
            <w:gridSpan w:val="3"/>
            <w:shd w:val="clear" w:color="auto" w:fill="auto"/>
            <w:vAlign w:val="bottom"/>
          </w:tcPr>
          <w:p w14:paraId="74DDB6BD" w14:textId="77777777" w:rsidR="00584EC1" w:rsidRDefault="00584EC1">
            <w:pPr>
              <w:rPr>
                <w:rFonts w:ascii="宋体"/>
                <w:vanish/>
              </w:rPr>
            </w:pPr>
          </w:p>
        </w:tc>
      </w:tr>
      <w:tr w:rsidR="00584EC1" w14:paraId="74DDB6C7" w14:textId="77777777">
        <w:trPr>
          <w:jc w:val="center"/>
        </w:trPr>
        <w:tc>
          <w:tcPr>
            <w:tcW w:w="0" w:type="auto"/>
            <w:gridSpan w:val="3"/>
            <w:shd w:val="clear" w:color="auto" w:fill="CCEEFF"/>
            <w:tcMar>
              <w:top w:w="40" w:type="dxa"/>
              <w:left w:w="20" w:type="dxa"/>
              <w:bottom w:w="40" w:type="dxa"/>
              <w:right w:w="20" w:type="dxa"/>
            </w:tcMar>
            <w:vAlign w:val="bottom"/>
          </w:tcPr>
          <w:p w14:paraId="74DDB6BF" w14:textId="77777777" w:rsidR="00584EC1" w:rsidRDefault="00871F8D">
            <w:pPr>
              <w:textAlignment w:val="bottom"/>
            </w:pPr>
            <w:r>
              <w:rPr>
                <w:rFonts w:ascii="Arial" w:eastAsia="宋体" w:hAnsi="Arial" w:cs="Arial"/>
                <w:color w:val="000000"/>
                <w:sz w:val="15"/>
                <w:szCs w:val="15"/>
              </w:rPr>
              <w:t>Purchases of held-to-maturity securities</w:t>
            </w:r>
          </w:p>
        </w:tc>
        <w:tc>
          <w:tcPr>
            <w:tcW w:w="0" w:type="auto"/>
            <w:gridSpan w:val="2"/>
            <w:shd w:val="clear" w:color="auto" w:fill="CCEEFF"/>
            <w:tcMar>
              <w:top w:w="40" w:type="dxa"/>
              <w:left w:w="20" w:type="dxa"/>
              <w:bottom w:w="40" w:type="dxa"/>
              <w:right w:w="0" w:type="dxa"/>
            </w:tcMar>
            <w:vAlign w:val="bottom"/>
          </w:tcPr>
          <w:p w14:paraId="74DDB6C0" w14:textId="77777777" w:rsidR="00584EC1" w:rsidRDefault="00871F8D">
            <w:pPr>
              <w:jc w:val="right"/>
              <w:textAlignment w:val="bottom"/>
            </w:pPr>
            <w:r>
              <w:rPr>
                <w:rFonts w:ascii="Arial" w:eastAsia="宋体" w:hAnsi="Arial" w:cs="Arial"/>
                <w:b/>
                <w:bCs/>
                <w:color w:val="000000"/>
                <w:sz w:val="15"/>
                <w:szCs w:val="15"/>
              </w:rPr>
              <w:t>(5,984)</w:t>
            </w:r>
          </w:p>
        </w:tc>
        <w:tc>
          <w:tcPr>
            <w:tcW w:w="0" w:type="auto"/>
            <w:shd w:val="clear" w:color="auto" w:fill="CCEEFF"/>
            <w:tcMar>
              <w:top w:w="40" w:type="dxa"/>
              <w:left w:w="0" w:type="dxa"/>
              <w:bottom w:w="40" w:type="dxa"/>
              <w:right w:w="20" w:type="dxa"/>
            </w:tcMar>
            <w:vAlign w:val="bottom"/>
          </w:tcPr>
          <w:p w14:paraId="74DDB6C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6C2"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6C3" w14:textId="77777777" w:rsidR="00584EC1" w:rsidRDefault="00871F8D">
            <w:pPr>
              <w:jc w:val="right"/>
              <w:textAlignment w:val="bottom"/>
            </w:pPr>
            <w:r>
              <w:rPr>
                <w:rFonts w:ascii="Arial" w:eastAsia="宋体" w:hAnsi="Arial" w:cs="Arial"/>
                <w:color w:val="000000"/>
                <w:sz w:val="15"/>
                <w:szCs w:val="15"/>
              </w:rPr>
              <w:t>(8,994)</w:t>
            </w:r>
          </w:p>
        </w:tc>
        <w:tc>
          <w:tcPr>
            <w:tcW w:w="0" w:type="auto"/>
            <w:shd w:val="clear" w:color="auto" w:fill="CCEEFF"/>
            <w:tcMar>
              <w:top w:w="40" w:type="dxa"/>
              <w:left w:w="0" w:type="dxa"/>
              <w:bottom w:w="40" w:type="dxa"/>
              <w:right w:w="20" w:type="dxa"/>
            </w:tcMar>
            <w:vAlign w:val="bottom"/>
          </w:tcPr>
          <w:p w14:paraId="74DDB6C4" w14:textId="77777777" w:rsidR="00584EC1" w:rsidRDefault="00584EC1">
            <w:pPr>
              <w:jc w:val="right"/>
              <w:rPr>
                <w:rFonts w:ascii="宋体"/>
              </w:rPr>
            </w:pPr>
          </w:p>
        </w:tc>
        <w:tc>
          <w:tcPr>
            <w:tcW w:w="0" w:type="auto"/>
            <w:gridSpan w:val="3"/>
            <w:shd w:val="clear" w:color="auto" w:fill="auto"/>
            <w:vAlign w:val="bottom"/>
          </w:tcPr>
          <w:p w14:paraId="74DDB6C5" w14:textId="77777777" w:rsidR="00584EC1" w:rsidRDefault="00584EC1">
            <w:pPr>
              <w:rPr>
                <w:rFonts w:ascii="宋体"/>
                <w:vanish/>
              </w:rPr>
            </w:pPr>
          </w:p>
        </w:tc>
        <w:tc>
          <w:tcPr>
            <w:tcW w:w="0" w:type="auto"/>
            <w:gridSpan w:val="3"/>
            <w:shd w:val="clear" w:color="auto" w:fill="auto"/>
            <w:vAlign w:val="bottom"/>
          </w:tcPr>
          <w:p w14:paraId="74DDB6C6" w14:textId="77777777" w:rsidR="00584EC1" w:rsidRDefault="00584EC1">
            <w:pPr>
              <w:rPr>
                <w:rFonts w:ascii="宋体"/>
                <w:vanish/>
              </w:rPr>
            </w:pPr>
          </w:p>
        </w:tc>
      </w:tr>
      <w:tr w:rsidR="00584EC1" w14:paraId="74DDB6D0" w14:textId="77777777">
        <w:trPr>
          <w:jc w:val="center"/>
        </w:trPr>
        <w:tc>
          <w:tcPr>
            <w:tcW w:w="0" w:type="auto"/>
            <w:gridSpan w:val="3"/>
            <w:shd w:val="clear" w:color="auto" w:fill="FFFFFF"/>
            <w:tcMar>
              <w:top w:w="40" w:type="dxa"/>
              <w:left w:w="20" w:type="dxa"/>
              <w:bottom w:w="40" w:type="dxa"/>
              <w:right w:w="20" w:type="dxa"/>
            </w:tcMar>
            <w:vAlign w:val="bottom"/>
          </w:tcPr>
          <w:p w14:paraId="74DDB6C8" w14:textId="77777777" w:rsidR="00584EC1" w:rsidRDefault="00871F8D">
            <w:pPr>
              <w:textAlignment w:val="bottom"/>
            </w:pPr>
            <w:r>
              <w:rPr>
                <w:rFonts w:ascii="Arial" w:eastAsia="宋体" w:hAnsi="Arial" w:cs="Arial"/>
                <w:color w:val="000000"/>
                <w:sz w:val="15"/>
                <w:szCs w:val="15"/>
              </w:rPr>
              <w:t>Sale of loans</w:t>
            </w:r>
          </w:p>
        </w:tc>
        <w:tc>
          <w:tcPr>
            <w:tcW w:w="0" w:type="auto"/>
            <w:gridSpan w:val="2"/>
            <w:shd w:val="clear" w:color="auto" w:fill="FFFFFF"/>
            <w:tcMar>
              <w:top w:w="40" w:type="dxa"/>
              <w:left w:w="20" w:type="dxa"/>
              <w:bottom w:w="40" w:type="dxa"/>
              <w:right w:w="0" w:type="dxa"/>
            </w:tcMar>
            <w:vAlign w:val="bottom"/>
          </w:tcPr>
          <w:p w14:paraId="74DDB6C9" w14:textId="77777777" w:rsidR="00584EC1" w:rsidRDefault="00871F8D">
            <w:pPr>
              <w:jc w:val="right"/>
              <w:textAlignment w:val="bottom"/>
            </w:pPr>
            <w:r>
              <w:rPr>
                <w:rFonts w:ascii="Arial" w:eastAsia="宋体" w:hAnsi="Arial" w:cs="Arial"/>
                <w:b/>
                <w:bCs/>
                <w:color w:val="000000"/>
                <w:sz w:val="15"/>
                <w:szCs w:val="15"/>
              </w:rPr>
              <w:t>64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B6C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6CB"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6CC" w14:textId="77777777" w:rsidR="00584EC1" w:rsidRDefault="00871F8D">
            <w:pPr>
              <w:jc w:val="right"/>
              <w:textAlignment w:val="bottom"/>
            </w:pPr>
            <w:r>
              <w:rPr>
                <w:rFonts w:ascii="Arial" w:eastAsia="宋体" w:hAnsi="Arial" w:cs="Arial"/>
                <w:color w:val="000000"/>
                <w:sz w:val="15"/>
                <w:szCs w:val="15"/>
              </w:rPr>
              <w:t>242 </w:t>
            </w:r>
          </w:p>
        </w:tc>
        <w:tc>
          <w:tcPr>
            <w:tcW w:w="0" w:type="auto"/>
            <w:shd w:val="clear" w:color="auto" w:fill="FFFFFF"/>
            <w:tcMar>
              <w:top w:w="40" w:type="dxa"/>
              <w:left w:w="0" w:type="dxa"/>
              <w:bottom w:w="40" w:type="dxa"/>
              <w:right w:w="20" w:type="dxa"/>
            </w:tcMar>
            <w:vAlign w:val="bottom"/>
          </w:tcPr>
          <w:p w14:paraId="74DDB6CD" w14:textId="77777777" w:rsidR="00584EC1" w:rsidRDefault="00584EC1">
            <w:pPr>
              <w:jc w:val="right"/>
              <w:rPr>
                <w:rFonts w:ascii="宋体"/>
              </w:rPr>
            </w:pPr>
          </w:p>
        </w:tc>
        <w:tc>
          <w:tcPr>
            <w:tcW w:w="0" w:type="auto"/>
            <w:gridSpan w:val="3"/>
            <w:shd w:val="clear" w:color="auto" w:fill="auto"/>
            <w:vAlign w:val="bottom"/>
          </w:tcPr>
          <w:p w14:paraId="74DDB6CE" w14:textId="77777777" w:rsidR="00584EC1" w:rsidRDefault="00584EC1">
            <w:pPr>
              <w:rPr>
                <w:rFonts w:ascii="宋体"/>
                <w:vanish/>
              </w:rPr>
            </w:pPr>
          </w:p>
        </w:tc>
        <w:tc>
          <w:tcPr>
            <w:tcW w:w="0" w:type="auto"/>
            <w:gridSpan w:val="3"/>
            <w:shd w:val="clear" w:color="auto" w:fill="auto"/>
            <w:vAlign w:val="bottom"/>
          </w:tcPr>
          <w:p w14:paraId="74DDB6CF" w14:textId="77777777" w:rsidR="00584EC1" w:rsidRDefault="00584EC1">
            <w:pPr>
              <w:rPr>
                <w:rFonts w:ascii="宋体"/>
                <w:vanish/>
              </w:rPr>
            </w:pPr>
          </w:p>
        </w:tc>
      </w:tr>
      <w:tr w:rsidR="00584EC1" w14:paraId="74DDB6D9" w14:textId="77777777">
        <w:trPr>
          <w:jc w:val="center"/>
        </w:trPr>
        <w:tc>
          <w:tcPr>
            <w:tcW w:w="0" w:type="auto"/>
            <w:gridSpan w:val="3"/>
            <w:shd w:val="clear" w:color="auto" w:fill="CCEEFF"/>
            <w:tcMar>
              <w:top w:w="40" w:type="dxa"/>
              <w:left w:w="20" w:type="dxa"/>
              <w:bottom w:w="40" w:type="dxa"/>
              <w:right w:w="20" w:type="dxa"/>
            </w:tcMar>
            <w:vAlign w:val="bottom"/>
          </w:tcPr>
          <w:p w14:paraId="74DDB6D1" w14:textId="77777777" w:rsidR="00584EC1" w:rsidRDefault="00871F8D">
            <w:pPr>
              <w:textAlignment w:val="bottom"/>
            </w:pPr>
            <w:r>
              <w:rPr>
                <w:rFonts w:ascii="Arial" w:eastAsia="宋体" w:hAnsi="Arial" w:cs="Arial"/>
                <w:color w:val="000000"/>
                <w:sz w:val="15"/>
                <w:szCs w:val="15"/>
              </w:rPr>
              <w:t>Net (increase) in loans</w:t>
            </w:r>
          </w:p>
        </w:tc>
        <w:tc>
          <w:tcPr>
            <w:tcW w:w="0" w:type="auto"/>
            <w:gridSpan w:val="2"/>
            <w:shd w:val="clear" w:color="auto" w:fill="CCEEFF"/>
            <w:tcMar>
              <w:top w:w="40" w:type="dxa"/>
              <w:left w:w="20" w:type="dxa"/>
              <w:bottom w:w="40" w:type="dxa"/>
              <w:right w:w="0" w:type="dxa"/>
            </w:tcMar>
            <w:vAlign w:val="bottom"/>
          </w:tcPr>
          <w:p w14:paraId="74DDB6D2" w14:textId="77777777" w:rsidR="00584EC1" w:rsidRDefault="00871F8D">
            <w:pPr>
              <w:jc w:val="right"/>
              <w:textAlignment w:val="bottom"/>
            </w:pPr>
            <w:r>
              <w:rPr>
                <w:rFonts w:ascii="Arial" w:eastAsia="宋体" w:hAnsi="Arial" w:cs="Arial"/>
                <w:b/>
                <w:bCs/>
                <w:color w:val="000000"/>
                <w:sz w:val="15"/>
                <w:szCs w:val="15"/>
              </w:rPr>
              <w:t>(4,873)</w:t>
            </w:r>
          </w:p>
        </w:tc>
        <w:tc>
          <w:tcPr>
            <w:tcW w:w="0" w:type="auto"/>
            <w:shd w:val="clear" w:color="auto" w:fill="CCEEFF"/>
            <w:tcMar>
              <w:top w:w="40" w:type="dxa"/>
              <w:left w:w="0" w:type="dxa"/>
              <w:bottom w:w="40" w:type="dxa"/>
              <w:right w:w="20" w:type="dxa"/>
            </w:tcMar>
            <w:vAlign w:val="bottom"/>
          </w:tcPr>
          <w:p w14:paraId="74DDB6D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6D4"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6D5" w14:textId="77777777" w:rsidR="00584EC1" w:rsidRDefault="00871F8D">
            <w:pPr>
              <w:jc w:val="right"/>
              <w:textAlignment w:val="bottom"/>
            </w:pPr>
            <w:r>
              <w:rPr>
                <w:rFonts w:ascii="Arial" w:eastAsia="宋体" w:hAnsi="Arial" w:cs="Arial"/>
                <w:color w:val="000000"/>
                <w:sz w:val="15"/>
                <w:szCs w:val="15"/>
              </w:rPr>
              <w:t>(967)</w:t>
            </w:r>
          </w:p>
        </w:tc>
        <w:tc>
          <w:tcPr>
            <w:tcW w:w="0" w:type="auto"/>
            <w:shd w:val="clear" w:color="auto" w:fill="CCEEFF"/>
            <w:tcMar>
              <w:top w:w="40" w:type="dxa"/>
              <w:left w:w="0" w:type="dxa"/>
              <w:bottom w:w="40" w:type="dxa"/>
              <w:right w:w="20" w:type="dxa"/>
            </w:tcMar>
            <w:vAlign w:val="bottom"/>
          </w:tcPr>
          <w:p w14:paraId="74DDB6D6" w14:textId="77777777" w:rsidR="00584EC1" w:rsidRDefault="00584EC1">
            <w:pPr>
              <w:jc w:val="right"/>
              <w:rPr>
                <w:rFonts w:ascii="宋体"/>
              </w:rPr>
            </w:pPr>
          </w:p>
        </w:tc>
        <w:tc>
          <w:tcPr>
            <w:tcW w:w="0" w:type="auto"/>
            <w:gridSpan w:val="3"/>
            <w:shd w:val="clear" w:color="auto" w:fill="auto"/>
            <w:vAlign w:val="bottom"/>
          </w:tcPr>
          <w:p w14:paraId="74DDB6D7" w14:textId="77777777" w:rsidR="00584EC1" w:rsidRDefault="00584EC1">
            <w:pPr>
              <w:rPr>
                <w:rFonts w:ascii="宋体"/>
                <w:vanish/>
              </w:rPr>
            </w:pPr>
          </w:p>
        </w:tc>
        <w:tc>
          <w:tcPr>
            <w:tcW w:w="0" w:type="auto"/>
            <w:gridSpan w:val="3"/>
            <w:shd w:val="clear" w:color="auto" w:fill="auto"/>
            <w:vAlign w:val="bottom"/>
          </w:tcPr>
          <w:p w14:paraId="74DDB6D8" w14:textId="77777777" w:rsidR="00584EC1" w:rsidRDefault="00584EC1">
            <w:pPr>
              <w:rPr>
                <w:rFonts w:ascii="宋体"/>
                <w:vanish/>
              </w:rPr>
            </w:pPr>
          </w:p>
        </w:tc>
      </w:tr>
      <w:tr w:rsidR="00584EC1" w14:paraId="74DDB6E2" w14:textId="77777777">
        <w:trPr>
          <w:jc w:val="center"/>
        </w:trPr>
        <w:tc>
          <w:tcPr>
            <w:tcW w:w="0" w:type="auto"/>
            <w:gridSpan w:val="3"/>
            <w:shd w:val="clear" w:color="auto" w:fill="FFFFFF"/>
            <w:tcMar>
              <w:top w:w="40" w:type="dxa"/>
              <w:left w:w="20" w:type="dxa"/>
              <w:bottom w:w="40" w:type="dxa"/>
              <w:right w:w="20" w:type="dxa"/>
            </w:tcMar>
            <w:vAlign w:val="bottom"/>
          </w:tcPr>
          <w:p w14:paraId="74DDB6DA" w14:textId="77777777" w:rsidR="00584EC1" w:rsidRDefault="00871F8D">
            <w:pPr>
              <w:textAlignment w:val="bottom"/>
            </w:pPr>
            <w:r>
              <w:rPr>
                <w:rFonts w:ascii="Arial" w:eastAsia="宋体" w:hAnsi="Arial" w:cs="Arial"/>
                <w:color w:val="000000"/>
                <w:sz w:val="15"/>
                <w:szCs w:val="15"/>
              </w:rPr>
              <w:t xml:space="preserve">Business acquisitions, net of cash </w:t>
            </w:r>
            <w:r>
              <w:rPr>
                <w:rFonts w:ascii="Arial" w:eastAsia="宋体" w:hAnsi="Arial" w:cs="Arial"/>
                <w:color w:val="000000"/>
                <w:sz w:val="15"/>
                <w:szCs w:val="15"/>
              </w:rPr>
              <w:t>acquired</w:t>
            </w:r>
          </w:p>
        </w:tc>
        <w:tc>
          <w:tcPr>
            <w:tcW w:w="0" w:type="auto"/>
            <w:gridSpan w:val="2"/>
            <w:shd w:val="clear" w:color="auto" w:fill="FFFFFF"/>
            <w:tcMar>
              <w:top w:w="40" w:type="dxa"/>
              <w:left w:w="20" w:type="dxa"/>
              <w:bottom w:w="40" w:type="dxa"/>
              <w:right w:w="0" w:type="dxa"/>
            </w:tcMar>
            <w:vAlign w:val="bottom"/>
          </w:tcPr>
          <w:p w14:paraId="74DDB6DB" w14:textId="77777777" w:rsidR="00584EC1" w:rsidRDefault="00871F8D">
            <w:pPr>
              <w:jc w:val="right"/>
              <w:textAlignment w:val="bottom"/>
            </w:pPr>
            <w:r>
              <w:rPr>
                <w:rFonts w:ascii="Arial" w:eastAsia="宋体" w:hAnsi="Arial" w:cs="Arial"/>
                <w:b/>
                <w:bCs/>
                <w:color w:val="000000"/>
                <w:sz w:val="15"/>
                <w:szCs w:val="15"/>
              </w:rPr>
              <w:t>(346)</w:t>
            </w:r>
          </w:p>
        </w:tc>
        <w:tc>
          <w:tcPr>
            <w:tcW w:w="0" w:type="auto"/>
            <w:shd w:val="clear" w:color="auto" w:fill="FFFFFF"/>
            <w:tcMar>
              <w:top w:w="40" w:type="dxa"/>
              <w:left w:w="0" w:type="dxa"/>
              <w:bottom w:w="40" w:type="dxa"/>
              <w:right w:w="20" w:type="dxa"/>
            </w:tcMar>
            <w:vAlign w:val="bottom"/>
          </w:tcPr>
          <w:p w14:paraId="74DDB6D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6D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6DE"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B6DF" w14:textId="77777777" w:rsidR="00584EC1" w:rsidRDefault="00584EC1">
            <w:pPr>
              <w:jc w:val="right"/>
              <w:rPr>
                <w:rFonts w:ascii="宋体"/>
              </w:rPr>
            </w:pPr>
          </w:p>
        </w:tc>
        <w:tc>
          <w:tcPr>
            <w:tcW w:w="0" w:type="auto"/>
            <w:gridSpan w:val="3"/>
            <w:shd w:val="clear" w:color="auto" w:fill="auto"/>
            <w:vAlign w:val="bottom"/>
          </w:tcPr>
          <w:p w14:paraId="74DDB6E0" w14:textId="77777777" w:rsidR="00584EC1" w:rsidRDefault="00584EC1">
            <w:pPr>
              <w:rPr>
                <w:rFonts w:ascii="宋体"/>
                <w:vanish/>
              </w:rPr>
            </w:pPr>
          </w:p>
        </w:tc>
        <w:tc>
          <w:tcPr>
            <w:tcW w:w="0" w:type="auto"/>
            <w:gridSpan w:val="3"/>
            <w:shd w:val="clear" w:color="auto" w:fill="auto"/>
            <w:vAlign w:val="bottom"/>
          </w:tcPr>
          <w:p w14:paraId="74DDB6E1" w14:textId="77777777" w:rsidR="00584EC1" w:rsidRDefault="00584EC1">
            <w:pPr>
              <w:rPr>
                <w:rFonts w:ascii="宋体"/>
                <w:vanish/>
              </w:rPr>
            </w:pPr>
          </w:p>
        </w:tc>
      </w:tr>
      <w:tr w:rsidR="00584EC1" w14:paraId="74DDB6EB" w14:textId="77777777">
        <w:trPr>
          <w:jc w:val="center"/>
        </w:trPr>
        <w:tc>
          <w:tcPr>
            <w:tcW w:w="0" w:type="auto"/>
            <w:gridSpan w:val="3"/>
            <w:shd w:val="clear" w:color="auto" w:fill="CCEEFF"/>
            <w:tcMar>
              <w:top w:w="40" w:type="dxa"/>
              <w:left w:w="20" w:type="dxa"/>
              <w:bottom w:w="40" w:type="dxa"/>
              <w:right w:w="20" w:type="dxa"/>
            </w:tcMar>
            <w:vAlign w:val="bottom"/>
          </w:tcPr>
          <w:p w14:paraId="74DDB6E3" w14:textId="77777777" w:rsidR="00584EC1" w:rsidRDefault="00871F8D">
            <w:pPr>
              <w:textAlignment w:val="bottom"/>
            </w:pPr>
            <w:r>
              <w:rPr>
                <w:rFonts w:ascii="Arial" w:eastAsia="宋体" w:hAnsi="Arial" w:cs="Arial"/>
                <w:color w:val="000000"/>
                <w:sz w:val="15"/>
                <w:szCs w:val="15"/>
              </w:rPr>
              <w:t>Divestitures</w:t>
            </w:r>
          </w:p>
        </w:tc>
        <w:tc>
          <w:tcPr>
            <w:tcW w:w="0" w:type="auto"/>
            <w:gridSpan w:val="2"/>
            <w:shd w:val="clear" w:color="auto" w:fill="CCEEFF"/>
            <w:tcMar>
              <w:top w:w="40" w:type="dxa"/>
              <w:left w:w="20" w:type="dxa"/>
              <w:bottom w:w="40" w:type="dxa"/>
              <w:right w:w="0" w:type="dxa"/>
            </w:tcMar>
            <w:vAlign w:val="bottom"/>
          </w:tcPr>
          <w:p w14:paraId="74DDB6E4" w14:textId="77777777" w:rsidR="00584EC1" w:rsidRDefault="00871F8D">
            <w:pPr>
              <w:jc w:val="right"/>
              <w:textAlignment w:val="bottom"/>
            </w:pPr>
            <w:r>
              <w:rPr>
                <w:rFonts w:ascii="Arial" w:eastAsia="宋体" w:hAnsi="Arial" w:cs="Arial"/>
                <w:b/>
                <w:bCs/>
                <w:color w:val="000000"/>
                <w:sz w:val="15"/>
                <w:szCs w:val="15"/>
              </w:rPr>
              <w:t>13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B6E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6E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6E7"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B6E8" w14:textId="77777777" w:rsidR="00584EC1" w:rsidRDefault="00584EC1">
            <w:pPr>
              <w:jc w:val="right"/>
              <w:rPr>
                <w:rFonts w:ascii="宋体"/>
              </w:rPr>
            </w:pPr>
          </w:p>
        </w:tc>
        <w:tc>
          <w:tcPr>
            <w:tcW w:w="0" w:type="auto"/>
            <w:gridSpan w:val="3"/>
            <w:shd w:val="clear" w:color="auto" w:fill="auto"/>
            <w:vAlign w:val="bottom"/>
          </w:tcPr>
          <w:p w14:paraId="74DDB6E9" w14:textId="77777777" w:rsidR="00584EC1" w:rsidRDefault="00584EC1">
            <w:pPr>
              <w:rPr>
                <w:rFonts w:ascii="宋体"/>
                <w:vanish/>
              </w:rPr>
            </w:pPr>
          </w:p>
        </w:tc>
        <w:tc>
          <w:tcPr>
            <w:tcW w:w="0" w:type="auto"/>
            <w:gridSpan w:val="3"/>
            <w:shd w:val="clear" w:color="auto" w:fill="auto"/>
            <w:vAlign w:val="bottom"/>
          </w:tcPr>
          <w:p w14:paraId="74DDB6EA" w14:textId="77777777" w:rsidR="00584EC1" w:rsidRDefault="00584EC1">
            <w:pPr>
              <w:rPr>
                <w:rFonts w:ascii="宋体"/>
                <w:vanish/>
              </w:rPr>
            </w:pPr>
          </w:p>
        </w:tc>
      </w:tr>
      <w:tr w:rsidR="00584EC1" w14:paraId="74DDB6F4" w14:textId="77777777">
        <w:trPr>
          <w:jc w:val="center"/>
        </w:trPr>
        <w:tc>
          <w:tcPr>
            <w:tcW w:w="0" w:type="auto"/>
            <w:gridSpan w:val="3"/>
            <w:shd w:val="clear" w:color="auto" w:fill="FFFFFF"/>
            <w:tcMar>
              <w:top w:w="40" w:type="dxa"/>
              <w:left w:w="20" w:type="dxa"/>
              <w:bottom w:w="40" w:type="dxa"/>
              <w:right w:w="20" w:type="dxa"/>
            </w:tcMar>
            <w:vAlign w:val="bottom"/>
          </w:tcPr>
          <w:p w14:paraId="74DDB6EC" w14:textId="77777777" w:rsidR="00584EC1" w:rsidRDefault="00871F8D">
            <w:pPr>
              <w:textAlignment w:val="bottom"/>
            </w:pPr>
            <w:r>
              <w:rPr>
                <w:rFonts w:ascii="Arial" w:eastAsia="宋体" w:hAnsi="Arial" w:cs="Arial"/>
                <w:color w:val="000000"/>
                <w:sz w:val="15"/>
                <w:szCs w:val="15"/>
              </w:rPr>
              <w:t>Purchases of equity investments and other long-term assets</w:t>
            </w:r>
          </w:p>
        </w:tc>
        <w:tc>
          <w:tcPr>
            <w:tcW w:w="0" w:type="auto"/>
            <w:gridSpan w:val="2"/>
            <w:shd w:val="clear" w:color="auto" w:fill="FFFFFF"/>
            <w:tcMar>
              <w:top w:w="40" w:type="dxa"/>
              <w:left w:w="20" w:type="dxa"/>
              <w:bottom w:w="40" w:type="dxa"/>
              <w:right w:w="0" w:type="dxa"/>
            </w:tcMar>
            <w:vAlign w:val="bottom"/>
          </w:tcPr>
          <w:p w14:paraId="74DDB6ED" w14:textId="77777777" w:rsidR="00584EC1" w:rsidRDefault="00871F8D">
            <w:pPr>
              <w:jc w:val="right"/>
              <w:textAlignment w:val="bottom"/>
            </w:pPr>
            <w:r>
              <w:rPr>
                <w:rFonts w:ascii="Arial" w:eastAsia="宋体" w:hAnsi="Arial" w:cs="Arial"/>
                <w:b/>
                <w:bCs/>
                <w:color w:val="000000"/>
                <w:sz w:val="15"/>
                <w:szCs w:val="15"/>
              </w:rPr>
              <w:t>(122)</w:t>
            </w:r>
          </w:p>
        </w:tc>
        <w:tc>
          <w:tcPr>
            <w:tcW w:w="0" w:type="auto"/>
            <w:shd w:val="clear" w:color="auto" w:fill="FFFFFF"/>
            <w:tcMar>
              <w:top w:w="40" w:type="dxa"/>
              <w:left w:w="0" w:type="dxa"/>
              <w:bottom w:w="40" w:type="dxa"/>
              <w:right w:w="20" w:type="dxa"/>
            </w:tcMar>
            <w:vAlign w:val="bottom"/>
          </w:tcPr>
          <w:p w14:paraId="74DDB6E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6E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6F0" w14:textId="77777777" w:rsidR="00584EC1" w:rsidRDefault="00871F8D">
            <w:pPr>
              <w:jc w:val="right"/>
              <w:textAlignment w:val="bottom"/>
            </w:pPr>
            <w:r>
              <w:rPr>
                <w:rFonts w:ascii="Arial" w:eastAsia="宋体" w:hAnsi="Arial" w:cs="Arial"/>
                <w:color w:val="000000"/>
                <w:sz w:val="15"/>
                <w:szCs w:val="15"/>
              </w:rPr>
              <w:t>(1,237)</w:t>
            </w:r>
          </w:p>
        </w:tc>
        <w:tc>
          <w:tcPr>
            <w:tcW w:w="0" w:type="auto"/>
            <w:shd w:val="clear" w:color="auto" w:fill="FFFFFF"/>
            <w:tcMar>
              <w:top w:w="40" w:type="dxa"/>
              <w:left w:w="0" w:type="dxa"/>
              <w:bottom w:w="40" w:type="dxa"/>
              <w:right w:w="20" w:type="dxa"/>
            </w:tcMar>
            <w:vAlign w:val="bottom"/>
          </w:tcPr>
          <w:p w14:paraId="74DDB6F1" w14:textId="77777777" w:rsidR="00584EC1" w:rsidRDefault="00584EC1">
            <w:pPr>
              <w:jc w:val="right"/>
              <w:rPr>
                <w:rFonts w:ascii="宋体"/>
              </w:rPr>
            </w:pPr>
          </w:p>
        </w:tc>
        <w:tc>
          <w:tcPr>
            <w:tcW w:w="0" w:type="auto"/>
            <w:gridSpan w:val="3"/>
            <w:shd w:val="clear" w:color="auto" w:fill="auto"/>
            <w:vAlign w:val="bottom"/>
          </w:tcPr>
          <w:p w14:paraId="74DDB6F2" w14:textId="77777777" w:rsidR="00584EC1" w:rsidRDefault="00584EC1">
            <w:pPr>
              <w:rPr>
                <w:rFonts w:ascii="宋体"/>
                <w:vanish/>
              </w:rPr>
            </w:pPr>
          </w:p>
        </w:tc>
        <w:tc>
          <w:tcPr>
            <w:tcW w:w="0" w:type="auto"/>
            <w:gridSpan w:val="3"/>
            <w:shd w:val="clear" w:color="auto" w:fill="auto"/>
            <w:vAlign w:val="bottom"/>
          </w:tcPr>
          <w:p w14:paraId="74DDB6F3" w14:textId="77777777" w:rsidR="00584EC1" w:rsidRDefault="00584EC1">
            <w:pPr>
              <w:rPr>
                <w:rFonts w:ascii="宋体"/>
                <w:vanish/>
              </w:rPr>
            </w:pPr>
          </w:p>
        </w:tc>
      </w:tr>
      <w:tr w:rsidR="00584EC1" w14:paraId="74DDB6FD" w14:textId="77777777">
        <w:trPr>
          <w:jc w:val="center"/>
        </w:trPr>
        <w:tc>
          <w:tcPr>
            <w:tcW w:w="0" w:type="auto"/>
            <w:gridSpan w:val="3"/>
            <w:shd w:val="clear" w:color="auto" w:fill="CCEEFF"/>
            <w:tcMar>
              <w:top w:w="40" w:type="dxa"/>
              <w:left w:w="20" w:type="dxa"/>
              <w:bottom w:w="40" w:type="dxa"/>
              <w:right w:w="20" w:type="dxa"/>
            </w:tcMar>
            <w:vAlign w:val="bottom"/>
          </w:tcPr>
          <w:p w14:paraId="74DDB6F5" w14:textId="77777777" w:rsidR="00584EC1" w:rsidRDefault="00871F8D">
            <w:pPr>
              <w:textAlignment w:val="bottom"/>
            </w:pPr>
            <w:r>
              <w:rPr>
                <w:rFonts w:ascii="Arial" w:eastAsia="宋体" w:hAnsi="Arial" w:cs="Arial"/>
                <w:color w:val="000000"/>
                <w:sz w:val="15"/>
                <w:szCs w:val="15"/>
              </w:rPr>
              <w:t>Purchases of premises and equipment, net</w:t>
            </w:r>
          </w:p>
        </w:tc>
        <w:tc>
          <w:tcPr>
            <w:tcW w:w="0" w:type="auto"/>
            <w:gridSpan w:val="2"/>
            <w:shd w:val="clear" w:color="auto" w:fill="CCEEFF"/>
            <w:tcMar>
              <w:top w:w="40" w:type="dxa"/>
              <w:left w:w="20" w:type="dxa"/>
              <w:bottom w:w="40" w:type="dxa"/>
              <w:right w:w="0" w:type="dxa"/>
            </w:tcMar>
            <w:vAlign w:val="bottom"/>
          </w:tcPr>
          <w:p w14:paraId="74DDB6F6" w14:textId="77777777" w:rsidR="00584EC1" w:rsidRDefault="00871F8D">
            <w:pPr>
              <w:jc w:val="right"/>
              <w:textAlignment w:val="bottom"/>
            </w:pPr>
            <w:r>
              <w:rPr>
                <w:rFonts w:ascii="Arial" w:eastAsia="宋体" w:hAnsi="Arial" w:cs="Arial"/>
                <w:b/>
                <w:bCs/>
                <w:color w:val="000000"/>
                <w:sz w:val="15"/>
                <w:szCs w:val="15"/>
              </w:rPr>
              <w:t>(556)</w:t>
            </w:r>
          </w:p>
        </w:tc>
        <w:tc>
          <w:tcPr>
            <w:tcW w:w="0" w:type="auto"/>
            <w:shd w:val="clear" w:color="auto" w:fill="CCEEFF"/>
            <w:tcMar>
              <w:top w:w="40" w:type="dxa"/>
              <w:left w:w="0" w:type="dxa"/>
              <w:bottom w:w="40" w:type="dxa"/>
              <w:right w:w="20" w:type="dxa"/>
            </w:tcMar>
            <w:vAlign w:val="bottom"/>
          </w:tcPr>
          <w:p w14:paraId="74DDB6F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6F8"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6F9" w14:textId="77777777" w:rsidR="00584EC1" w:rsidRDefault="00871F8D">
            <w:pPr>
              <w:jc w:val="right"/>
              <w:textAlignment w:val="bottom"/>
            </w:pPr>
            <w:r>
              <w:rPr>
                <w:rFonts w:ascii="Arial" w:eastAsia="宋体" w:hAnsi="Arial" w:cs="Arial"/>
                <w:color w:val="000000"/>
                <w:sz w:val="15"/>
                <w:szCs w:val="15"/>
              </w:rPr>
              <w:t>(424)</w:t>
            </w:r>
          </w:p>
        </w:tc>
        <w:tc>
          <w:tcPr>
            <w:tcW w:w="0" w:type="auto"/>
            <w:shd w:val="clear" w:color="auto" w:fill="CCEEFF"/>
            <w:tcMar>
              <w:top w:w="40" w:type="dxa"/>
              <w:left w:w="0" w:type="dxa"/>
              <w:bottom w:w="40" w:type="dxa"/>
              <w:right w:w="20" w:type="dxa"/>
            </w:tcMar>
            <w:vAlign w:val="bottom"/>
          </w:tcPr>
          <w:p w14:paraId="74DDB6FA" w14:textId="77777777" w:rsidR="00584EC1" w:rsidRDefault="00584EC1">
            <w:pPr>
              <w:jc w:val="right"/>
              <w:rPr>
                <w:rFonts w:ascii="宋体"/>
              </w:rPr>
            </w:pPr>
          </w:p>
        </w:tc>
        <w:tc>
          <w:tcPr>
            <w:tcW w:w="0" w:type="auto"/>
            <w:gridSpan w:val="3"/>
            <w:shd w:val="clear" w:color="auto" w:fill="auto"/>
            <w:vAlign w:val="bottom"/>
          </w:tcPr>
          <w:p w14:paraId="74DDB6FB" w14:textId="77777777" w:rsidR="00584EC1" w:rsidRDefault="00584EC1">
            <w:pPr>
              <w:rPr>
                <w:rFonts w:ascii="宋体"/>
                <w:vanish/>
              </w:rPr>
            </w:pPr>
          </w:p>
        </w:tc>
        <w:tc>
          <w:tcPr>
            <w:tcW w:w="0" w:type="auto"/>
            <w:gridSpan w:val="3"/>
            <w:shd w:val="clear" w:color="auto" w:fill="auto"/>
            <w:vAlign w:val="bottom"/>
          </w:tcPr>
          <w:p w14:paraId="74DDB6FC" w14:textId="77777777" w:rsidR="00584EC1" w:rsidRDefault="00584EC1">
            <w:pPr>
              <w:rPr>
                <w:rFonts w:ascii="宋体"/>
                <w:vanish/>
              </w:rPr>
            </w:pPr>
          </w:p>
        </w:tc>
      </w:tr>
      <w:tr w:rsidR="00584EC1" w14:paraId="74DDB704" w14:textId="77777777">
        <w:trPr>
          <w:jc w:val="center"/>
          <w:hidden/>
        </w:trPr>
        <w:tc>
          <w:tcPr>
            <w:tcW w:w="0" w:type="auto"/>
            <w:gridSpan w:val="3"/>
            <w:shd w:val="clear" w:color="auto" w:fill="auto"/>
            <w:vAlign w:val="bottom"/>
          </w:tcPr>
          <w:p w14:paraId="74DDB6FE" w14:textId="77777777" w:rsidR="00584EC1" w:rsidRDefault="00584EC1">
            <w:pPr>
              <w:rPr>
                <w:rFonts w:ascii="宋体"/>
                <w:vanish/>
              </w:rPr>
            </w:pPr>
          </w:p>
        </w:tc>
        <w:tc>
          <w:tcPr>
            <w:tcW w:w="0" w:type="auto"/>
            <w:gridSpan w:val="3"/>
            <w:shd w:val="clear" w:color="auto" w:fill="auto"/>
            <w:vAlign w:val="bottom"/>
          </w:tcPr>
          <w:p w14:paraId="74DDB6FF" w14:textId="77777777" w:rsidR="00584EC1" w:rsidRDefault="00584EC1">
            <w:pPr>
              <w:rPr>
                <w:rFonts w:ascii="宋体"/>
                <w:vanish/>
              </w:rPr>
            </w:pPr>
          </w:p>
        </w:tc>
        <w:tc>
          <w:tcPr>
            <w:tcW w:w="0" w:type="auto"/>
            <w:gridSpan w:val="3"/>
            <w:shd w:val="clear" w:color="auto" w:fill="auto"/>
            <w:vAlign w:val="bottom"/>
          </w:tcPr>
          <w:p w14:paraId="74DDB700" w14:textId="77777777" w:rsidR="00584EC1" w:rsidRDefault="00584EC1">
            <w:pPr>
              <w:rPr>
                <w:rFonts w:ascii="宋体"/>
                <w:vanish/>
              </w:rPr>
            </w:pPr>
          </w:p>
        </w:tc>
        <w:tc>
          <w:tcPr>
            <w:tcW w:w="0" w:type="auto"/>
            <w:gridSpan w:val="3"/>
            <w:shd w:val="clear" w:color="auto" w:fill="auto"/>
            <w:vAlign w:val="bottom"/>
          </w:tcPr>
          <w:p w14:paraId="74DDB701" w14:textId="77777777" w:rsidR="00584EC1" w:rsidRDefault="00584EC1">
            <w:pPr>
              <w:rPr>
                <w:rFonts w:ascii="宋体"/>
                <w:vanish/>
              </w:rPr>
            </w:pPr>
          </w:p>
        </w:tc>
        <w:tc>
          <w:tcPr>
            <w:tcW w:w="0" w:type="auto"/>
            <w:gridSpan w:val="3"/>
            <w:shd w:val="clear" w:color="auto" w:fill="auto"/>
            <w:vAlign w:val="bottom"/>
          </w:tcPr>
          <w:p w14:paraId="74DDB702" w14:textId="77777777" w:rsidR="00584EC1" w:rsidRDefault="00584EC1">
            <w:pPr>
              <w:rPr>
                <w:rFonts w:ascii="宋体"/>
                <w:vanish/>
              </w:rPr>
            </w:pPr>
          </w:p>
        </w:tc>
        <w:tc>
          <w:tcPr>
            <w:tcW w:w="0" w:type="auto"/>
            <w:gridSpan w:val="3"/>
            <w:shd w:val="clear" w:color="auto" w:fill="auto"/>
            <w:vAlign w:val="bottom"/>
          </w:tcPr>
          <w:p w14:paraId="74DDB703" w14:textId="77777777" w:rsidR="00584EC1" w:rsidRDefault="00584EC1">
            <w:pPr>
              <w:rPr>
                <w:rFonts w:ascii="宋体"/>
                <w:vanish/>
              </w:rPr>
            </w:pPr>
          </w:p>
        </w:tc>
      </w:tr>
      <w:tr w:rsidR="00584EC1" w14:paraId="74DDB70D" w14:textId="77777777">
        <w:trPr>
          <w:jc w:val="center"/>
        </w:trPr>
        <w:tc>
          <w:tcPr>
            <w:tcW w:w="0" w:type="auto"/>
            <w:gridSpan w:val="3"/>
            <w:shd w:val="clear" w:color="auto" w:fill="FFFFFF"/>
            <w:tcMar>
              <w:top w:w="40" w:type="dxa"/>
              <w:left w:w="20" w:type="dxa"/>
              <w:bottom w:w="40" w:type="dxa"/>
              <w:right w:w="20" w:type="dxa"/>
            </w:tcMar>
            <w:vAlign w:val="bottom"/>
          </w:tcPr>
          <w:p w14:paraId="74DDB705" w14:textId="77777777" w:rsidR="00584EC1" w:rsidRDefault="00871F8D">
            <w:pPr>
              <w:textAlignment w:val="bottom"/>
            </w:pPr>
            <w:r>
              <w:rPr>
                <w:rFonts w:ascii="Arial" w:eastAsia="宋体" w:hAnsi="Arial" w:cs="Arial"/>
                <w:color w:val="000000"/>
                <w:sz w:val="15"/>
                <w:szCs w:val="15"/>
              </w:rPr>
              <w:t>Other, net</w:t>
            </w:r>
          </w:p>
        </w:tc>
        <w:tc>
          <w:tcPr>
            <w:tcW w:w="0" w:type="auto"/>
            <w:gridSpan w:val="2"/>
            <w:shd w:val="clear" w:color="auto" w:fill="FFFFFF"/>
            <w:tcMar>
              <w:top w:w="40" w:type="dxa"/>
              <w:left w:w="20" w:type="dxa"/>
              <w:bottom w:w="40" w:type="dxa"/>
              <w:right w:w="0" w:type="dxa"/>
            </w:tcMar>
            <w:vAlign w:val="bottom"/>
          </w:tcPr>
          <w:p w14:paraId="74DDB706" w14:textId="77777777" w:rsidR="00584EC1" w:rsidRDefault="00871F8D">
            <w:pPr>
              <w:jc w:val="right"/>
              <w:textAlignment w:val="bottom"/>
            </w:pPr>
            <w:r>
              <w:rPr>
                <w:rFonts w:ascii="Arial" w:eastAsia="宋体" w:hAnsi="Arial" w:cs="Arial"/>
                <w:b/>
                <w:bCs/>
                <w:color w:val="000000"/>
                <w:sz w:val="15"/>
                <w:szCs w:val="15"/>
              </w:rPr>
              <w:t>236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B70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708"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709" w14:textId="77777777" w:rsidR="00584EC1" w:rsidRDefault="00871F8D">
            <w:pPr>
              <w:jc w:val="right"/>
              <w:textAlignment w:val="bottom"/>
            </w:pPr>
            <w:r>
              <w:rPr>
                <w:rFonts w:ascii="Arial" w:eastAsia="宋体" w:hAnsi="Arial" w:cs="Arial"/>
                <w:color w:val="000000"/>
                <w:sz w:val="15"/>
                <w:szCs w:val="15"/>
              </w:rPr>
              <w:t>1,036 </w:t>
            </w:r>
          </w:p>
        </w:tc>
        <w:tc>
          <w:tcPr>
            <w:tcW w:w="0" w:type="auto"/>
            <w:shd w:val="clear" w:color="auto" w:fill="FFFFFF"/>
            <w:tcMar>
              <w:top w:w="40" w:type="dxa"/>
              <w:left w:w="0" w:type="dxa"/>
              <w:bottom w:w="40" w:type="dxa"/>
              <w:right w:w="20" w:type="dxa"/>
            </w:tcMar>
            <w:vAlign w:val="bottom"/>
          </w:tcPr>
          <w:p w14:paraId="74DDB70A" w14:textId="77777777" w:rsidR="00584EC1" w:rsidRDefault="00584EC1">
            <w:pPr>
              <w:jc w:val="right"/>
              <w:rPr>
                <w:rFonts w:ascii="宋体"/>
              </w:rPr>
            </w:pPr>
          </w:p>
        </w:tc>
        <w:tc>
          <w:tcPr>
            <w:tcW w:w="0" w:type="auto"/>
            <w:gridSpan w:val="3"/>
            <w:shd w:val="clear" w:color="auto" w:fill="auto"/>
            <w:vAlign w:val="bottom"/>
          </w:tcPr>
          <w:p w14:paraId="74DDB70B" w14:textId="77777777" w:rsidR="00584EC1" w:rsidRDefault="00584EC1">
            <w:pPr>
              <w:rPr>
                <w:rFonts w:ascii="宋体"/>
                <w:vanish/>
              </w:rPr>
            </w:pPr>
          </w:p>
        </w:tc>
        <w:tc>
          <w:tcPr>
            <w:tcW w:w="0" w:type="auto"/>
            <w:gridSpan w:val="3"/>
            <w:shd w:val="clear" w:color="auto" w:fill="auto"/>
            <w:vAlign w:val="bottom"/>
          </w:tcPr>
          <w:p w14:paraId="74DDB70C" w14:textId="77777777" w:rsidR="00584EC1" w:rsidRDefault="00584EC1">
            <w:pPr>
              <w:rPr>
                <w:rFonts w:ascii="宋体"/>
                <w:vanish/>
              </w:rPr>
            </w:pPr>
          </w:p>
        </w:tc>
      </w:tr>
      <w:tr w:rsidR="00584EC1" w14:paraId="74DDB716" w14:textId="77777777">
        <w:trPr>
          <w:jc w:val="center"/>
        </w:trPr>
        <w:tc>
          <w:tcPr>
            <w:tcW w:w="0" w:type="auto"/>
            <w:gridSpan w:val="3"/>
            <w:shd w:val="clear" w:color="auto" w:fill="CCEEFF"/>
            <w:tcMar>
              <w:top w:w="40" w:type="dxa"/>
              <w:left w:w="20" w:type="dxa"/>
              <w:bottom w:w="40" w:type="dxa"/>
              <w:right w:w="20" w:type="dxa"/>
            </w:tcMar>
            <w:vAlign w:val="bottom"/>
          </w:tcPr>
          <w:p w14:paraId="74DDB70E" w14:textId="77777777" w:rsidR="00584EC1" w:rsidRDefault="00871F8D">
            <w:pPr>
              <w:textAlignment w:val="bottom"/>
            </w:pPr>
            <w:r>
              <w:rPr>
                <w:rFonts w:ascii="Arial" w:eastAsia="宋体" w:hAnsi="Arial" w:cs="Arial"/>
                <w:color w:val="000000"/>
                <w:sz w:val="15"/>
                <w:szCs w:val="15"/>
              </w:rPr>
              <w:t xml:space="preserve">Net cash provided by (used </w:t>
            </w:r>
            <w:r>
              <w:rPr>
                <w:rFonts w:ascii="Arial" w:eastAsia="宋体" w:hAnsi="Arial" w:cs="Arial"/>
                <w:color w:val="000000"/>
                <w:sz w:val="15"/>
                <w:szCs w:val="15"/>
              </w:rPr>
              <w:t>in) investing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B70F" w14:textId="77777777" w:rsidR="00584EC1" w:rsidRDefault="00871F8D">
            <w:pPr>
              <w:jc w:val="right"/>
              <w:textAlignment w:val="bottom"/>
            </w:pPr>
            <w:r>
              <w:rPr>
                <w:rFonts w:ascii="Arial" w:eastAsia="宋体" w:hAnsi="Arial" w:cs="Arial"/>
                <w:b/>
                <w:bCs/>
                <w:color w:val="000000"/>
                <w:sz w:val="15"/>
                <w:szCs w:val="15"/>
              </w:rPr>
              <w:t>(478)</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B71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711"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B712" w14:textId="77777777" w:rsidR="00584EC1" w:rsidRDefault="00871F8D">
            <w:pPr>
              <w:jc w:val="right"/>
              <w:textAlignment w:val="bottom"/>
            </w:pPr>
            <w:r>
              <w:rPr>
                <w:rFonts w:ascii="Arial" w:eastAsia="宋体" w:hAnsi="Arial" w:cs="Arial"/>
                <w:color w:val="000000"/>
                <w:sz w:val="15"/>
                <w:szCs w:val="15"/>
              </w:rPr>
              <w:t>(26,122)</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B713" w14:textId="77777777" w:rsidR="00584EC1" w:rsidRDefault="00584EC1">
            <w:pPr>
              <w:jc w:val="right"/>
              <w:rPr>
                <w:rFonts w:ascii="宋体"/>
              </w:rPr>
            </w:pPr>
          </w:p>
        </w:tc>
        <w:tc>
          <w:tcPr>
            <w:tcW w:w="0" w:type="auto"/>
            <w:gridSpan w:val="3"/>
            <w:shd w:val="clear" w:color="auto" w:fill="auto"/>
            <w:vAlign w:val="bottom"/>
          </w:tcPr>
          <w:p w14:paraId="74DDB714" w14:textId="77777777" w:rsidR="00584EC1" w:rsidRDefault="00584EC1">
            <w:pPr>
              <w:rPr>
                <w:rFonts w:ascii="宋体"/>
                <w:vanish/>
              </w:rPr>
            </w:pPr>
          </w:p>
        </w:tc>
        <w:tc>
          <w:tcPr>
            <w:tcW w:w="0" w:type="auto"/>
            <w:gridSpan w:val="3"/>
            <w:shd w:val="clear" w:color="auto" w:fill="auto"/>
            <w:vAlign w:val="bottom"/>
          </w:tcPr>
          <w:p w14:paraId="74DDB715" w14:textId="77777777" w:rsidR="00584EC1" w:rsidRDefault="00584EC1">
            <w:pPr>
              <w:rPr>
                <w:rFonts w:ascii="宋体"/>
                <w:vanish/>
              </w:rPr>
            </w:pPr>
          </w:p>
        </w:tc>
      </w:tr>
      <w:tr w:rsidR="00584EC1" w14:paraId="74DDB71D" w14:textId="77777777">
        <w:trPr>
          <w:jc w:val="center"/>
        </w:trPr>
        <w:tc>
          <w:tcPr>
            <w:tcW w:w="0" w:type="auto"/>
            <w:gridSpan w:val="3"/>
            <w:shd w:val="clear" w:color="auto" w:fill="FFFFFF"/>
            <w:tcMar>
              <w:top w:w="40" w:type="dxa"/>
              <w:left w:w="20" w:type="dxa"/>
              <w:bottom w:w="40" w:type="dxa"/>
              <w:right w:w="20" w:type="dxa"/>
            </w:tcMar>
            <w:vAlign w:val="bottom"/>
          </w:tcPr>
          <w:p w14:paraId="74DDB717" w14:textId="77777777" w:rsidR="00584EC1" w:rsidRDefault="00871F8D">
            <w:pPr>
              <w:textAlignment w:val="bottom"/>
            </w:pPr>
            <w:r>
              <w:rPr>
                <w:rFonts w:ascii="Arial" w:eastAsia="宋体" w:hAnsi="Arial" w:cs="Arial"/>
                <w:b/>
                <w:bCs/>
                <w:color w:val="000000"/>
                <w:sz w:val="15"/>
                <w:szCs w:val="15"/>
              </w:rPr>
              <w:t>Financing Activities:</w:t>
            </w:r>
          </w:p>
        </w:tc>
        <w:tc>
          <w:tcPr>
            <w:tcW w:w="0" w:type="auto"/>
            <w:gridSpan w:val="3"/>
            <w:shd w:val="clear" w:color="auto" w:fill="FFFFFF"/>
            <w:tcMar>
              <w:top w:w="0" w:type="dxa"/>
              <w:left w:w="20" w:type="dxa"/>
              <w:bottom w:w="0" w:type="dxa"/>
              <w:right w:w="20" w:type="dxa"/>
            </w:tcMar>
            <w:vAlign w:val="bottom"/>
          </w:tcPr>
          <w:p w14:paraId="74DDB718"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719"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71A" w14:textId="77777777" w:rsidR="00584EC1" w:rsidRDefault="00584EC1">
            <w:pPr>
              <w:rPr>
                <w:rFonts w:ascii="宋体"/>
              </w:rPr>
            </w:pPr>
          </w:p>
        </w:tc>
        <w:tc>
          <w:tcPr>
            <w:tcW w:w="0" w:type="auto"/>
            <w:gridSpan w:val="3"/>
            <w:shd w:val="clear" w:color="auto" w:fill="auto"/>
            <w:vAlign w:val="bottom"/>
          </w:tcPr>
          <w:p w14:paraId="74DDB71B" w14:textId="77777777" w:rsidR="00584EC1" w:rsidRDefault="00584EC1">
            <w:pPr>
              <w:rPr>
                <w:rFonts w:ascii="宋体"/>
                <w:vanish/>
              </w:rPr>
            </w:pPr>
          </w:p>
        </w:tc>
        <w:tc>
          <w:tcPr>
            <w:tcW w:w="0" w:type="auto"/>
            <w:gridSpan w:val="3"/>
            <w:shd w:val="clear" w:color="auto" w:fill="auto"/>
            <w:vAlign w:val="bottom"/>
          </w:tcPr>
          <w:p w14:paraId="74DDB71C" w14:textId="77777777" w:rsidR="00584EC1" w:rsidRDefault="00584EC1">
            <w:pPr>
              <w:rPr>
                <w:rFonts w:ascii="宋体"/>
                <w:vanish/>
              </w:rPr>
            </w:pPr>
          </w:p>
        </w:tc>
      </w:tr>
      <w:tr w:rsidR="00584EC1" w14:paraId="74DDB726" w14:textId="77777777">
        <w:trPr>
          <w:jc w:val="center"/>
        </w:trPr>
        <w:tc>
          <w:tcPr>
            <w:tcW w:w="0" w:type="auto"/>
            <w:gridSpan w:val="3"/>
            <w:shd w:val="clear" w:color="auto" w:fill="CCEEFF"/>
            <w:tcMar>
              <w:top w:w="40" w:type="dxa"/>
              <w:left w:w="20" w:type="dxa"/>
              <w:bottom w:w="40" w:type="dxa"/>
              <w:right w:w="20" w:type="dxa"/>
            </w:tcMar>
            <w:vAlign w:val="bottom"/>
          </w:tcPr>
          <w:p w14:paraId="74DDB71E" w14:textId="77777777" w:rsidR="00584EC1" w:rsidRDefault="00871F8D">
            <w:pPr>
              <w:textAlignment w:val="bottom"/>
            </w:pPr>
            <w:r>
              <w:rPr>
                <w:rFonts w:ascii="Arial" w:eastAsia="宋体" w:hAnsi="Arial" w:cs="Arial"/>
                <w:color w:val="000000"/>
                <w:sz w:val="15"/>
                <w:szCs w:val="15"/>
              </w:rPr>
              <w:t>Net (decrease) increase in time deposits</w:t>
            </w:r>
          </w:p>
        </w:tc>
        <w:tc>
          <w:tcPr>
            <w:tcW w:w="0" w:type="auto"/>
            <w:gridSpan w:val="2"/>
            <w:shd w:val="clear" w:color="auto" w:fill="CCEEFF"/>
            <w:tcMar>
              <w:top w:w="40" w:type="dxa"/>
              <w:left w:w="20" w:type="dxa"/>
              <w:bottom w:w="40" w:type="dxa"/>
              <w:right w:w="0" w:type="dxa"/>
            </w:tcMar>
            <w:vAlign w:val="bottom"/>
          </w:tcPr>
          <w:p w14:paraId="74DDB71F" w14:textId="77777777" w:rsidR="00584EC1" w:rsidRDefault="00871F8D">
            <w:pPr>
              <w:jc w:val="right"/>
              <w:textAlignment w:val="bottom"/>
            </w:pPr>
            <w:r>
              <w:rPr>
                <w:rFonts w:ascii="Arial" w:eastAsia="宋体" w:hAnsi="Arial" w:cs="Arial"/>
                <w:b/>
                <w:bCs/>
                <w:color w:val="000000"/>
                <w:sz w:val="15"/>
                <w:szCs w:val="15"/>
              </w:rPr>
              <w:t>(1,643)</w:t>
            </w:r>
          </w:p>
        </w:tc>
        <w:tc>
          <w:tcPr>
            <w:tcW w:w="0" w:type="auto"/>
            <w:shd w:val="clear" w:color="auto" w:fill="CCEEFF"/>
            <w:tcMar>
              <w:top w:w="40" w:type="dxa"/>
              <w:left w:w="0" w:type="dxa"/>
              <w:bottom w:w="40" w:type="dxa"/>
              <w:right w:w="20" w:type="dxa"/>
            </w:tcMar>
            <w:vAlign w:val="bottom"/>
          </w:tcPr>
          <w:p w14:paraId="74DDB72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72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722" w14:textId="77777777" w:rsidR="00584EC1" w:rsidRDefault="00871F8D">
            <w:pPr>
              <w:jc w:val="right"/>
              <w:textAlignment w:val="bottom"/>
            </w:pPr>
            <w:r>
              <w:rPr>
                <w:rFonts w:ascii="Arial" w:eastAsia="宋体" w:hAnsi="Arial" w:cs="Arial"/>
                <w:color w:val="000000"/>
                <w:sz w:val="15"/>
                <w:szCs w:val="15"/>
              </w:rPr>
              <w:t>(35,146)</w:t>
            </w:r>
          </w:p>
        </w:tc>
        <w:tc>
          <w:tcPr>
            <w:tcW w:w="0" w:type="auto"/>
            <w:shd w:val="clear" w:color="auto" w:fill="CCEEFF"/>
            <w:tcMar>
              <w:top w:w="40" w:type="dxa"/>
              <w:left w:w="0" w:type="dxa"/>
              <w:bottom w:w="40" w:type="dxa"/>
              <w:right w:w="20" w:type="dxa"/>
            </w:tcMar>
            <w:vAlign w:val="bottom"/>
          </w:tcPr>
          <w:p w14:paraId="74DDB723" w14:textId="77777777" w:rsidR="00584EC1" w:rsidRDefault="00584EC1">
            <w:pPr>
              <w:jc w:val="right"/>
              <w:rPr>
                <w:rFonts w:ascii="宋体"/>
              </w:rPr>
            </w:pPr>
          </w:p>
        </w:tc>
        <w:tc>
          <w:tcPr>
            <w:tcW w:w="0" w:type="auto"/>
            <w:gridSpan w:val="3"/>
            <w:shd w:val="clear" w:color="auto" w:fill="auto"/>
            <w:vAlign w:val="bottom"/>
          </w:tcPr>
          <w:p w14:paraId="74DDB724" w14:textId="77777777" w:rsidR="00584EC1" w:rsidRDefault="00584EC1">
            <w:pPr>
              <w:rPr>
                <w:rFonts w:ascii="宋体"/>
                <w:vanish/>
              </w:rPr>
            </w:pPr>
          </w:p>
        </w:tc>
        <w:tc>
          <w:tcPr>
            <w:tcW w:w="0" w:type="auto"/>
            <w:gridSpan w:val="3"/>
            <w:shd w:val="clear" w:color="auto" w:fill="auto"/>
            <w:vAlign w:val="bottom"/>
          </w:tcPr>
          <w:p w14:paraId="74DDB725" w14:textId="77777777" w:rsidR="00584EC1" w:rsidRDefault="00584EC1">
            <w:pPr>
              <w:rPr>
                <w:rFonts w:ascii="宋体"/>
                <w:vanish/>
              </w:rPr>
            </w:pPr>
          </w:p>
        </w:tc>
      </w:tr>
      <w:tr w:rsidR="00584EC1" w14:paraId="74DDB72F" w14:textId="77777777">
        <w:trPr>
          <w:jc w:val="center"/>
        </w:trPr>
        <w:tc>
          <w:tcPr>
            <w:tcW w:w="0" w:type="auto"/>
            <w:gridSpan w:val="3"/>
            <w:shd w:val="clear" w:color="auto" w:fill="FFFFFF"/>
            <w:tcMar>
              <w:top w:w="40" w:type="dxa"/>
              <w:left w:w="20" w:type="dxa"/>
              <w:bottom w:w="40" w:type="dxa"/>
              <w:right w:w="20" w:type="dxa"/>
            </w:tcMar>
            <w:vAlign w:val="bottom"/>
          </w:tcPr>
          <w:p w14:paraId="74DDB727" w14:textId="77777777" w:rsidR="00584EC1" w:rsidRDefault="00871F8D">
            <w:pPr>
              <w:textAlignment w:val="bottom"/>
            </w:pPr>
            <w:r>
              <w:rPr>
                <w:rFonts w:ascii="Arial" w:eastAsia="宋体" w:hAnsi="Arial" w:cs="Arial"/>
                <w:color w:val="000000"/>
                <w:sz w:val="15"/>
                <w:szCs w:val="15"/>
              </w:rPr>
              <w:t>Net increase (decrease) in all other deposits</w:t>
            </w:r>
          </w:p>
        </w:tc>
        <w:tc>
          <w:tcPr>
            <w:tcW w:w="0" w:type="auto"/>
            <w:gridSpan w:val="2"/>
            <w:shd w:val="clear" w:color="auto" w:fill="FFFFFF"/>
            <w:tcMar>
              <w:top w:w="40" w:type="dxa"/>
              <w:left w:w="20" w:type="dxa"/>
              <w:bottom w:w="40" w:type="dxa"/>
              <w:right w:w="0" w:type="dxa"/>
            </w:tcMar>
            <w:vAlign w:val="bottom"/>
          </w:tcPr>
          <w:p w14:paraId="74DDB728" w14:textId="77777777" w:rsidR="00584EC1" w:rsidRDefault="00871F8D">
            <w:pPr>
              <w:jc w:val="right"/>
              <w:textAlignment w:val="bottom"/>
            </w:pPr>
            <w:r>
              <w:rPr>
                <w:rFonts w:ascii="Arial" w:eastAsia="宋体" w:hAnsi="Arial" w:cs="Arial"/>
                <w:b/>
                <w:bCs/>
                <w:color w:val="000000"/>
                <w:sz w:val="15"/>
                <w:szCs w:val="15"/>
              </w:rPr>
              <w:t>21,227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B72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72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72B" w14:textId="77777777" w:rsidR="00584EC1" w:rsidRDefault="00871F8D">
            <w:pPr>
              <w:jc w:val="right"/>
              <w:textAlignment w:val="bottom"/>
            </w:pPr>
            <w:r>
              <w:rPr>
                <w:rFonts w:ascii="Arial" w:eastAsia="宋体" w:hAnsi="Arial" w:cs="Arial"/>
                <w:color w:val="000000"/>
                <w:sz w:val="15"/>
                <w:szCs w:val="15"/>
              </w:rPr>
              <w:t>50,786 </w:t>
            </w:r>
          </w:p>
        </w:tc>
        <w:tc>
          <w:tcPr>
            <w:tcW w:w="0" w:type="auto"/>
            <w:shd w:val="clear" w:color="auto" w:fill="FFFFFF"/>
            <w:tcMar>
              <w:top w:w="40" w:type="dxa"/>
              <w:left w:w="0" w:type="dxa"/>
              <w:bottom w:w="40" w:type="dxa"/>
              <w:right w:w="20" w:type="dxa"/>
            </w:tcMar>
            <w:vAlign w:val="bottom"/>
          </w:tcPr>
          <w:p w14:paraId="74DDB72C" w14:textId="77777777" w:rsidR="00584EC1" w:rsidRDefault="00584EC1">
            <w:pPr>
              <w:jc w:val="right"/>
              <w:rPr>
                <w:rFonts w:ascii="宋体"/>
              </w:rPr>
            </w:pPr>
          </w:p>
        </w:tc>
        <w:tc>
          <w:tcPr>
            <w:tcW w:w="0" w:type="auto"/>
            <w:gridSpan w:val="3"/>
            <w:shd w:val="clear" w:color="auto" w:fill="auto"/>
            <w:vAlign w:val="bottom"/>
          </w:tcPr>
          <w:p w14:paraId="74DDB72D" w14:textId="77777777" w:rsidR="00584EC1" w:rsidRDefault="00584EC1">
            <w:pPr>
              <w:rPr>
                <w:rFonts w:ascii="宋体"/>
                <w:vanish/>
              </w:rPr>
            </w:pPr>
          </w:p>
        </w:tc>
        <w:tc>
          <w:tcPr>
            <w:tcW w:w="0" w:type="auto"/>
            <w:gridSpan w:val="3"/>
            <w:shd w:val="clear" w:color="auto" w:fill="auto"/>
            <w:vAlign w:val="bottom"/>
          </w:tcPr>
          <w:p w14:paraId="74DDB72E" w14:textId="77777777" w:rsidR="00584EC1" w:rsidRDefault="00584EC1">
            <w:pPr>
              <w:rPr>
                <w:rFonts w:ascii="宋体"/>
                <w:vanish/>
              </w:rPr>
            </w:pPr>
          </w:p>
        </w:tc>
      </w:tr>
      <w:tr w:rsidR="00584EC1" w14:paraId="74DDB738" w14:textId="77777777">
        <w:trPr>
          <w:jc w:val="center"/>
        </w:trPr>
        <w:tc>
          <w:tcPr>
            <w:tcW w:w="0" w:type="auto"/>
            <w:gridSpan w:val="3"/>
            <w:shd w:val="clear" w:color="auto" w:fill="CCEEFF"/>
            <w:tcMar>
              <w:top w:w="40" w:type="dxa"/>
              <w:left w:w="20" w:type="dxa"/>
              <w:bottom w:w="40" w:type="dxa"/>
              <w:right w:w="20" w:type="dxa"/>
            </w:tcMar>
            <w:vAlign w:val="bottom"/>
          </w:tcPr>
          <w:p w14:paraId="74DDB730" w14:textId="77777777" w:rsidR="00584EC1" w:rsidRDefault="00871F8D">
            <w:pPr>
              <w:textAlignment w:val="bottom"/>
            </w:pPr>
            <w:r>
              <w:rPr>
                <w:rFonts w:ascii="Arial" w:eastAsia="宋体" w:hAnsi="Arial" w:cs="Arial"/>
                <w:color w:val="000000"/>
                <w:sz w:val="15"/>
                <w:szCs w:val="15"/>
              </w:rPr>
              <w:t xml:space="preserve">Net (decrease) increase in securities sold </w:t>
            </w:r>
            <w:r>
              <w:rPr>
                <w:rFonts w:ascii="Arial" w:eastAsia="宋体" w:hAnsi="Arial" w:cs="Arial"/>
                <w:color w:val="000000"/>
                <w:sz w:val="15"/>
                <w:szCs w:val="15"/>
              </w:rPr>
              <w:t>under repurchase agreements</w:t>
            </w:r>
          </w:p>
        </w:tc>
        <w:tc>
          <w:tcPr>
            <w:tcW w:w="0" w:type="auto"/>
            <w:gridSpan w:val="2"/>
            <w:shd w:val="clear" w:color="auto" w:fill="CCEEFF"/>
            <w:tcMar>
              <w:top w:w="40" w:type="dxa"/>
              <w:left w:w="20" w:type="dxa"/>
              <w:bottom w:w="40" w:type="dxa"/>
              <w:right w:w="0" w:type="dxa"/>
            </w:tcMar>
            <w:vAlign w:val="bottom"/>
          </w:tcPr>
          <w:p w14:paraId="74DDB731" w14:textId="77777777" w:rsidR="00584EC1" w:rsidRDefault="00871F8D">
            <w:pPr>
              <w:jc w:val="right"/>
              <w:textAlignment w:val="bottom"/>
            </w:pPr>
            <w:r>
              <w:rPr>
                <w:rFonts w:ascii="Arial" w:eastAsia="宋体" w:hAnsi="Arial" w:cs="Arial"/>
                <w:b/>
                <w:bCs/>
                <w:color w:val="000000"/>
                <w:sz w:val="15"/>
                <w:szCs w:val="15"/>
              </w:rPr>
              <w:t>(2,776)</w:t>
            </w:r>
          </w:p>
        </w:tc>
        <w:tc>
          <w:tcPr>
            <w:tcW w:w="0" w:type="auto"/>
            <w:shd w:val="clear" w:color="auto" w:fill="CCEEFF"/>
            <w:tcMar>
              <w:top w:w="40" w:type="dxa"/>
              <w:left w:w="0" w:type="dxa"/>
              <w:bottom w:w="40" w:type="dxa"/>
              <w:right w:w="20" w:type="dxa"/>
            </w:tcMar>
            <w:vAlign w:val="bottom"/>
          </w:tcPr>
          <w:p w14:paraId="74DDB73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733"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734" w14:textId="77777777" w:rsidR="00584EC1" w:rsidRDefault="00871F8D">
            <w:pPr>
              <w:jc w:val="right"/>
              <w:textAlignment w:val="bottom"/>
            </w:pPr>
            <w:r>
              <w:rPr>
                <w:rFonts w:ascii="Arial" w:eastAsia="宋体" w:hAnsi="Arial" w:cs="Arial"/>
                <w:color w:val="000000"/>
                <w:sz w:val="15"/>
                <w:szCs w:val="15"/>
              </w:rPr>
              <w:t>1,328 </w:t>
            </w:r>
          </w:p>
        </w:tc>
        <w:tc>
          <w:tcPr>
            <w:tcW w:w="0" w:type="auto"/>
            <w:shd w:val="clear" w:color="auto" w:fill="CCEEFF"/>
            <w:tcMar>
              <w:top w:w="40" w:type="dxa"/>
              <w:left w:w="0" w:type="dxa"/>
              <w:bottom w:w="40" w:type="dxa"/>
              <w:right w:w="20" w:type="dxa"/>
            </w:tcMar>
            <w:vAlign w:val="bottom"/>
          </w:tcPr>
          <w:p w14:paraId="74DDB735" w14:textId="77777777" w:rsidR="00584EC1" w:rsidRDefault="00584EC1">
            <w:pPr>
              <w:jc w:val="right"/>
              <w:rPr>
                <w:rFonts w:ascii="宋体"/>
              </w:rPr>
            </w:pPr>
          </w:p>
        </w:tc>
        <w:tc>
          <w:tcPr>
            <w:tcW w:w="0" w:type="auto"/>
            <w:gridSpan w:val="3"/>
            <w:shd w:val="clear" w:color="auto" w:fill="auto"/>
            <w:vAlign w:val="bottom"/>
          </w:tcPr>
          <w:p w14:paraId="74DDB736" w14:textId="77777777" w:rsidR="00584EC1" w:rsidRDefault="00584EC1">
            <w:pPr>
              <w:rPr>
                <w:rFonts w:ascii="宋体"/>
                <w:vanish/>
              </w:rPr>
            </w:pPr>
          </w:p>
        </w:tc>
        <w:tc>
          <w:tcPr>
            <w:tcW w:w="0" w:type="auto"/>
            <w:gridSpan w:val="3"/>
            <w:shd w:val="clear" w:color="auto" w:fill="auto"/>
            <w:vAlign w:val="bottom"/>
          </w:tcPr>
          <w:p w14:paraId="74DDB737" w14:textId="77777777" w:rsidR="00584EC1" w:rsidRDefault="00584EC1">
            <w:pPr>
              <w:rPr>
                <w:rFonts w:ascii="宋体"/>
                <w:vanish/>
              </w:rPr>
            </w:pPr>
          </w:p>
        </w:tc>
      </w:tr>
      <w:tr w:rsidR="00584EC1" w14:paraId="74DDB741" w14:textId="77777777">
        <w:trPr>
          <w:jc w:val="center"/>
        </w:trPr>
        <w:tc>
          <w:tcPr>
            <w:tcW w:w="0" w:type="auto"/>
            <w:gridSpan w:val="3"/>
            <w:shd w:val="clear" w:color="auto" w:fill="FFFFFF"/>
            <w:tcMar>
              <w:top w:w="40" w:type="dxa"/>
              <w:left w:w="20" w:type="dxa"/>
              <w:bottom w:w="40" w:type="dxa"/>
              <w:right w:w="20" w:type="dxa"/>
            </w:tcMar>
            <w:vAlign w:val="bottom"/>
          </w:tcPr>
          <w:p w14:paraId="74DDB739" w14:textId="77777777" w:rsidR="00584EC1" w:rsidRDefault="00871F8D">
            <w:pPr>
              <w:textAlignment w:val="bottom"/>
            </w:pPr>
            <w:r>
              <w:rPr>
                <w:rFonts w:ascii="Arial" w:eastAsia="宋体" w:hAnsi="Arial" w:cs="Arial"/>
                <w:color w:val="000000"/>
                <w:sz w:val="15"/>
                <w:szCs w:val="15"/>
              </w:rPr>
              <w:t>Net (decrease) increase in short-term borrowings under money market liquidity facility</w:t>
            </w:r>
          </w:p>
        </w:tc>
        <w:tc>
          <w:tcPr>
            <w:tcW w:w="0" w:type="auto"/>
            <w:gridSpan w:val="2"/>
            <w:shd w:val="clear" w:color="auto" w:fill="FFFFFF"/>
            <w:tcMar>
              <w:top w:w="40" w:type="dxa"/>
              <w:left w:w="20" w:type="dxa"/>
              <w:bottom w:w="40" w:type="dxa"/>
              <w:right w:w="0" w:type="dxa"/>
            </w:tcMar>
            <w:vAlign w:val="bottom"/>
          </w:tcPr>
          <w:p w14:paraId="74DDB73A" w14:textId="77777777" w:rsidR="00584EC1" w:rsidRDefault="00871F8D">
            <w:pPr>
              <w:jc w:val="right"/>
              <w:textAlignment w:val="bottom"/>
            </w:pPr>
            <w:r>
              <w:rPr>
                <w:rFonts w:ascii="Arial" w:eastAsia="宋体" w:hAnsi="Arial" w:cs="Arial"/>
                <w:b/>
                <w:bCs/>
                <w:color w:val="000000"/>
                <w:sz w:val="15"/>
                <w:szCs w:val="15"/>
              </w:rPr>
              <w:t>(3,302)</w:t>
            </w:r>
          </w:p>
        </w:tc>
        <w:tc>
          <w:tcPr>
            <w:tcW w:w="0" w:type="auto"/>
            <w:shd w:val="clear" w:color="auto" w:fill="FFFFFF"/>
            <w:tcMar>
              <w:top w:w="40" w:type="dxa"/>
              <w:left w:w="0" w:type="dxa"/>
              <w:bottom w:w="40" w:type="dxa"/>
              <w:right w:w="20" w:type="dxa"/>
            </w:tcMar>
            <w:vAlign w:val="bottom"/>
          </w:tcPr>
          <w:p w14:paraId="74DDB73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73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73D" w14:textId="77777777" w:rsidR="00584EC1" w:rsidRDefault="00871F8D">
            <w:pPr>
              <w:jc w:val="right"/>
              <w:textAlignment w:val="bottom"/>
            </w:pPr>
            <w:r>
              <w:rPr>
                <w:rFonts w:ascii="Arial" w:eastAsia="宋体" w:hAnsi="Arial" w:cs="Arial"/>
                <w:color w:val="000000"/>
                <w:sz w:val="15"/>
                <w:szCs w:val="15"/>
              </w:rPr>
              <w:t>4,819 </w:t>
            </w:r>
          </w:p>
        </w:tc>
        <w:tc>
          <w:tcPr>
            <w:tcW w:w="0" w:type="auto"/>
            <w:shd w:val="clear" w:color="auto" w:fill="FFFFFF"/>
            <w:tcMar>
              <w:top w:w="40" w:type="dxa"/>
              <w:left w:w="0" w:type="dxa"/>
              <w:bottom w:w="40" w:type="dxa"/>
              <w:right w:w="20" w:type="dxa"/>
            </w:tcMar>
            <w:vAlign w:val="bottom"/>
          </w:tcPr>
          <w:p w14:paraId="74DDB73E" w14:textId="77777777" w:rsidR="00584EC1" w:rsidRDefault="00584EC1">
            <w:pPr>
              <w:jc w:val="right"/>
              <w:rPr>
                <w:rFonts w:ascii="宋体"/>
              </w:rPr>
            </w:pPr>
          </w:p>
        </w:tc>
        <w:tc>
          <w:tcPr>
            <w:tcW w:w="0" w:type="auto"/>
            <w:gridSpan w:val="3"/>
            <w:shd w:val="clear" w:color="auto" w:fill="auto"/>
            <w:vAlign w:val="bottom"/>
          </w:tcPr>
          <w:p w14:paraId="74DDB73F" w14:textId="77777777" w:rsidR="00584EC1" w:rsidRDefault="00584EC1">
            <w:pPr>
              <w:rPr>
                <w:rFonts w:ascii="宋体"/>
                <w:vanish/>
              </w:rPr>
            </w:pPr>
          </w:p>
        </w:tc>
        <w:tc>
          <w:tcPr>
            <w:tcW w:w="0" w:type="auto"/>
            <w:gridSpan w:val="3"/>
            <w:shd w:val="clear" w:color="auto" w:fill="auto"/>
            <w:vAlign w:val="bottom"/>
          </w:tcPr>
          <w:p w14:paraId="74DDB740" w14:textId="77777777" w:rsidR="00584EC1" w:rsidRDefault="00584EC1">
            <w:pPr>
              <w:rPr>
                <w:rFonts w:ascii="宋体"/>
                <w:vanish/>
              </w:rPr>
            </w:pPr>
          </w:p>
        </w:tc>
      </w:tr>
      <w:tr w:rsidR="00584EC1" w14:paraId="74DDB74A" w14:textId="77777777">
        <w:trPr>
          <w:jc w:val="center"/>
        </w:trPr>
        <w:tc>
          <w:tcPr>
            <w:tcW w:w="0" w:type="auto"/>
            <w:gridSpan w:val="3"/>
            <w:shd w:val="clear" w:color="auto" w:fill="CCEEFF"/>
            <w:tcMar>
              <w:top w:w="40" w:type="dxa"/>
              <w:left w:w="20" w:type="dxa"/>
              <w:bottom w:w="40" w:type="dxa"/>
              <w:right w:w="20" w:type="dxa"/>
            </w:tcMar>
            <w:vAlign w:val="bottom"/>
          </w:tcPr>
          <w:p w14:paraId="74DDB742" w14:textId="77777777" w:rsidR="00584EC1" w:rsidRDefault="00871F8D">
            <w:pPr>
              <w:textAlignment w:val="bottom"/>
            </w:pPr>
            <w:r>
              <w:rPr>
                <w:rFonts w:ascii="Arial" w:eastAsia="宋体" w:hAnsi="Arial" w:cs="Arial"/>
                <w:color w:val="000000"/>
                <w:sz w:val="15"/>
                <w:szCs w:val="15"/>
              </w:rPr>
              <w:t xml:space="preserve">Net (decrease) increase in other short-term borrowings </w:t>
            </w:r>
          </w:p>
        </w:tc>
        <w:tc>
          <w:tcPr>
            <w:tcW w:w="0" w:type="auto"/>
            <w:gridSpan w:val="2"/>
            <w:shd w:val="clear" w:color="auto" w:fill="CCEEFF"/>
            <w:tcMar>
              <w:top w:w="40" w:type="dxa"/>
              <w:left w:w="20" w:type="dxa"/>
              <w:bottom w:w="40" w:type="dxa"/>
              <w:right w:w="0" w:type="dxa"/>
            </w:tcMar>
            <w:vAlign w:val="bottom"/>
          </w:tcPr>
          <w:p w14:paraId="74DDB743" w14:textId="77777777" w:rsidR="00584EC1" w:rsidRDefault="00871F8D">
            <w:pPr>
              <w:jc w:val="right"/>
              <w:textAlignment w:val="bottom"/>
            </w:pPr>
            <w:r>
              <w:rPr>
                <w:rFonts w:ascii="Arial" w:eastAsia="宋体" w:hAnsi="Arial" w:cs="Arial"/>
                <w:b/>
                <w:bCs/>
                <w:color w:val="000000"/>
                <w:sz w:val="15"/>
                <w:szCs w:val="15"/>
              </w:rPr>
              <w:t>(137)</w:t>
            </w:r>
          </w:p>
        </w:tc>
        <w:tc>
          <w:tcPr>
            <w:tcW w:w="0" w:type="auto"/>
            <w:shd w:val="clear" w:color="auto" w:fill="CCEEFF"/>
            <w:tcMar>
              <w:top w:w="40" w:type="dxa"/>
              <w:left w:w="0" w:type="dxa"/>
              <w:bottom w:w="40" w:type="dxa"/>
              <w:right w:w="20" w:type="dxa"/>
            </w:tcMar>
            <w:vAlign w:val="bottom"/>
          </w:tcPr>
          <w:p w14:paraId="74DDB74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74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746" w14:textId="77777777" w:rsidR="00584EC1" w:rsidRDefault="00871F8D">
            <w:pPr>
              <w:jc w:val="right"/>
              <w:textAlignment w:val="bottom"/>
            </w:pPr>
            <w:r>
              <w:rPr>
                <w:rFonts w:ascii="Arial" w:eastAsia="宋体" w:hAnsi="Arial" w:cs="Arial"/>
                <w:color w:val="000000"/>
                <w:sz w:val="15"/>
                <w:szCs w:val="15"/>
              </w:rPr>
              <w:t>4,999 </w:t>
            </w:r>
          </w:p>
        </w:tc>
        <w:tc>
          <w:tcPr>
            <w:tcW w:w="0" w:type="auto"/>
            <w:shd w:val="clear" w:color="auto" w:fill="CCEEFF"/>
            <w:tcMar>
              <w:top w:w="40" w:type="dxa"/>
              <w:left w:w="0" w:type="dxa"/>
              <w:bottom w:w="40" w:type="dxa"/>
              <w:right w:w="20" w:type="dxa"/>
            </w:tcMar>
            <w:vAlign w:val="bottom"/>
          </w:tcPr>
          <w:p w14:paraId="74DDB747" w14:textId="77777777" w:rsidR="00584EC1" w:rsidRDefault="00584EC1">
            <w:pPr>
              <w:jc w:val="right"/>
              <w:rPr>
                <w:rFonts w:ascii="宋体"/>
              </w:rPr>
            </w:pPr>
          </w:p>
        </w:tc>
        <w:tc>
          <w:tcPr>
            <w:tcW w:w="0" w:type="auto"/>
            <w:gridSpan w:val="3"/>
            <w:shd w:val="clear" w:color="auto" w:fill="auto"/>
            <w:vAlign w:val="bottom"/>
          </w:tcPr>
          <w:p w14:paraId="74DDB748" w14:textId="77777777" w:rsidR="00584EC1" w:rsidRDefault="00584EC1">
            <w:pPr>
              <w:rPr>
                <w:rFonts w:ascii="宋体"/>
                <w:vanish/>
              </w:rPr>
            </w:pPr>
          </w:p>
        </w:tc>
        <w:tc>
          <w:tcPr>
            <w:tcW w:w="0" w:type="auto"/>
            <w:gridSpan w:val="3"/>
            <w:shd w:val="clear" w:color="auto" w:fill="auto"/>
            <w:vAlign w:val="bottom"/>
          </w:tcPr>
          <w:p w14:paraId="74DDB749" w14:textId="77777777" w:rsidR="00584EC1" w:rsidRDefault="00584EC1">
            <w:pPr>
              <w:rPr>
                <w:rFonts w:ascii="宋体"/>
                <w:vanish/>
              </w:rPr>
            </w:pPr>
          </w:p>
        </w:tc>
      </w:tr>
      <w:tr w:rsidR="00584EC1" w14:paraId="74DDB753" w14:textId="77777777">
        <w:trPr>
          <w:jc w:val="center"/>
        </w:trPr>
        <w:tc>
          <w:tcPr>
            <w:tcW w:w="0" w:type="auto"/>
            <w:gridSpan w:val="3"/>
            <w:shd w:val="clear" w:color="auto" w:fill="FFFFFF"/>
            <w:tcMar>
              <w:top w:w="40" w:type="dxa"/>
              <w:left w:w="20" w:type="dxa"/>
              <w:bottom w:w="40" w:type="dxa"/>
              <w:right w:w="20" w:type="dxa"/>
            </w:tcMar>
            <w:vAlign w:val="bottom"/>
          </w:tcPr>
          <w:p w14:paraId="74DDB74B" w14:textId="77777777" w:rsidR="00584EC1" w:rsidRDefault="00871F8D">
            <w:pPr>
              <w:textAlignment w:val="bottom"/>
            </w:pPr>
            <w:r>
              <w:rPr>
                <w:rFonts w:ascii="Arial" w:eastAsia="宋体" w:hAnsi="Arial" w:cs="Arial"/>
                <w:color w:val="000000"/>
                <w:sz w:val="15"/>
                <w:szCs w:val="15"/>
              </w:rPr>
              <w:t>Proceeds from issuance of long-term debt, net of issuance costs</w:t>
            </w:r>
          </w:p>
        </w:tc>
        <w:tc>
          <w:tcPr>
            <w:tcW w:w="0" w:type="auto"/>
            <w:gridSpan w:val="2"/>
            <w:shd w:val="clear" w:color="auto" w:fill="FFFFFF"/>
            <w:tcMar>
              <w:top w:w="40" w:type="dxa"/>
              <w:left w:w="20" w:type="dxa"/>
              <w:bottom w:w="40" w:type="dxa"/>
              <w:right w:w="0" w:type="dxa"/>
            </w:tcMar>
            <w:vAlign w:val="bottom"/>
          </w:tcPr>
          <w:p w14:paraId="74DDB74C" w14:textId="77777777" w:rsidR="00584EC1" w:rsidRDefault="00871F8D">
            <w:pPr>
              <w:jc w:val="right"/>
              <w:textAlignment w:val="bottom"/>
            </w:pPr>
            <w:r>
              <w:rPr>
                <w:rFonts w:ascii="Arial" w:eastAsia="宋体" w:hAnsi="Arial" w:cs="Arial"/>
                <w:b/>
                <w:bCs/>
                <w:color w:val="000000"/>
                <w:sz w:val="15"/>
                <w:szCs w:val="15"/>
              </w:rPr>
              <w:t>844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B74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74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74F" w14:textId="77777777" w:rsidR="00584EC1" w:rsidRDefault="00871F8D">
            <w:pPr>
              <w:jc w:val="right"/>
              <w:textAlignment w:val="bottom"/>
            </w:pPr>
            <w:r>
              <w:rPr>
                <w:rFonts w:ascii="Arial" w:eastAsia="宋体" w:hAnsi="Arial" w:cs="Arial"/>
                <w:color w:val="000000"/>
                <w:sz w:val="15"/>
                <w:szCs w:val="15"/>
              </w:rPr>
              <w:t>2,497 </w:t>
            </w:r>
          </w:p>
        </w:tc>
        <w:tc>
          <w:tcPr>
            <w:tcW w:w="0" w:type="auto"/>
            <w:shd w:val="clear" w:color="auto" w:fill="FFFFFF"/>
            <w:tcMar>
              <w:top w:w="40" w:type="dxa"/>
              <w:left w:w="0" w:type="dxa"/>
              <w:bottom w:w="40" w:type="dxa"/>
              <w:right w:w="20" w:type="dxa"/>
            </w:tcMar>
            <w:vAlign w:val="bottom"/>
          </w:tcPr>
          <w:p w14:paraId="74DDB750" w14:textId="77777777" w:rsidR="00584EC1" w:rsidRDefault="00584EC1">
            <w:pPr>
              <w:jc w:val="right"/>
              <w:rPr>
                <w:rFonts w:ascii="宋体"/>
              </w:rPr>
            </w:pPr>
          </w:p>
        </w:tc>
        <w:tc>
          <w:tcPr>
            <w:tcW w:w="0" w:type="auto"/>
            <w:gridSpan w:val="3"/>
            <w:shd w:val="clear" w:color="auto" w:fill="auto"/>
            <w:vAlign w:val="bottom"/>
          </w:tcPr>
          <w:p w14:paraId="74DDB751" w14:textId="77777777" w:rsidR="00584EC1" w:rsidRDefault="00584EC1">
            <w:pPr>
              <w:rPr>
                <w:rFonts w:ascii="宋体"/>
                <w:vanish/>
              </w:rPr>
            </w:pPr>
          </w:p>
        </w:tc>
        <w:tc>
          <w:tcPr>
            <w:tcW w:w="0" w:type="auto"/>
            <w:gridSpan w:val="3"/>
            <w:shd w:val="clear" w:color="auto" w:fill="auto"/>
            <w:vAlign w:val="bottom"/>
          </w:tcPr>
          <w:p w14:paraId="74DDB752" w14:textId="77777777" w:rsidR="00584EC1" w:rsidRDefault="00584EC1">
            <w:pPr>
              <w:rPr>
                <w:rFonts w:ascii="宋体"/>
                <w:vanish/>
              </w:rPr>
            </w:pPr>
          </w:p>
        </w:tc>
      </w:tr>
      <w:tr w:rsidR="00584EC1" w14:paraId="74DDB75C" w14:textId="77777777">
        <w:trPr>
          <w:jc w:val="center"/>
        </w:trPr>
        <w:tc>
          <w:tcPr>
            <w:tcW w:w="0" w:type="auto"/>
            <w:gridSpan w:val="3"/>
            <w:shd w:val="clear" w:color="auto" w:fill="CCEEFF"/>
            <w:tcMar>
              <w:top w:w="40" w:type="dxa"/>
              <w:left w:w="20" w:type="dxa"/>
              <w:bottom w:w="40" w:type="dxa"/>
              <w:right w:w="20" w:type="dxa"/>
            </w:tcMar>
            <w:vAlign w:val="bottom"/>
          </w:tcPr>
          <w:p w14:paraId="74DDB754" w14:textId="77777777" w:rsidR="00584EC1" w:rsidRDefault="00871F8D">
            <w:pPr>
              <w:textAlignment w:val="bottom"/>
            </w:pPr>
            <w:r>
              <w:rPr>
                <w:rFonts w:ascii="Arial" w:eastAsia="宋体" w:hAnsi="Arial" w:cs="Arial"/>
                <w:color w:val="000000"/>
                <w:sz w:val="15"/>
                <w:szCs w:val="15"/>
              </w:rPr>
              <w:t>Payments for long-term debt and obligations under finance leases</w:t>
            </w:r>
          </w:p>
        </w:tc>
        <w:tc>
          <w:tcPr>
            <w:tcW w:w="0" w:type="auto"/>
            <w:gridSpan w:val="2"/>
            <w:shd w:val="clear" w:color="auto" w:fill="CCEEFF"/>
            <w:tcMar>
              <w:top w:w="40" w:type="dxa"/>
              <w:left w:w="20" w:type="dxa"/>
              <w:bottom w:w="40" w:type="dxa"/>
              <w:right w:w="0" w:type="dxa"/>
            </w:tcMar>
            <w:vAlign w:val="bottom"/>
          </w:tcPr>
          <w:p w14:paraId="74DDB755" w14:textId="77777777" w:rsidR="00584EC1" w:rsidRDefault="00871F8D">
            <w:pPr>
              <w:jc w:val="right"/>
              <w:textAlignment w:val="bottom"/>
            </w:pPr>
            <w:r>
              <w:rPr>
                <w:rFonts w:ascii="Arial" w:eastAsia="宋体" w:hAnsi="Arial" w:cs="Arial"/>
                <w:b/>
                <w:bCs/>
                <w:color w:val="000000"/>
                <w:sz w:val="15"/>
                <w:szCs w:val="15"/>
              </w:rPr>
              <w:t>(1,530)</w:t>
            </w:r>
          </w:p>
        </w:tc>
        <w:tc>
          <w:tcPr>
            <w:tcW w:w="0" w:type="auto"/>
            <w:shd w:val="clear" w:color="auto" w:fill="CCEEFF"/>
            <w:tcMar>
              <w:top w:w="40" w:type="dxa"/>
              <w:left w:w="0" w:type="dxa"/>
              <w:bottom w:w="40" w:type="dxa"/>
              <w:right w:w="20" w:type="dxa"/>
            </w:tcMar>
            <w:vAlign w:val="bottom"/>
          </w:tcPr>
          <w:p w14:paraId="74DDB75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75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758" w14:textId="77777777" w:rsidR="00584EC1" w:rsidRDefault="00871F8D">
            <w:pPr>
              <w:jc w:val="right"/>
              <w:textAlignment w:val="bottom"/>
            </w:pPr>
            <w:r>
              <w:rPr>
                <w:rFonts w:ascii="Arial" w:eastAsia="宋体" w:hAnsi="Arial" w:cs="Arial"/>
                <w:color w:val="000000"/>
                <w:sz w:val="15"/>
                <w:szCs w:val="15"/>
              </w:rPr>
              <w:t>(24)</w:t>
            </w:r>
          </w:p>
        </w:tc>
        <w:tc>
          <w:tcPr>
            <w:tcW w:w="0" w:type="auto"/>
            <w:shd w:val="clear" w:color="auto" w:fill="CCEEFF"/>
            <w:tcMar>
              <w:top w:w="40" w:type="dxa"/>
              <w:left w:w="0" w:type="dxa"/>
              <w:bottom w:w="40" w:type="dxa"/>
              <w:right w:w="20" w:type="dxa"/>
            </w:tcMar>
            <w:vAlign w:val="bottom"/>
          </w:tcPr>
          <w:p w14:paraId="74DDB759" w14:textId="77777777" w:rsidR="00584EC1" w:rsidRDefault="00584EC1">
            <w:pPr>
              <w:jc w:val="right"/>
              <w:rPr>
                <w:rFonts w:ascii="宋体"/>
              </w:rPr>
            </w:pPr>
          </w:p>
        </w:tc>
        <w:tc>
          <w:tcPr>
            <w:tcW w:w="0" w:type="auto"/>
            <w:gridSpan w:val="3"/>
            <w:shd w:val="clear" w:color="auto" w:fill="auto"/>
            <w:vAlign w:val="bottom"/>
          </w:tcPr>
          <w:p w14:paraId="74DDB75A" w14:textId="77777777" w:rsidR="00584EC1" w:rsidRDefault="00584EC1">
            <w:pPr>
              <w:rPr>
                <w:rFonts w:ascii="宋体"/>
                <w:vanish/>
              </w:rPr>
            </w:pPr>
          </w:p>
        </w:tc>
        <w:tc>
          <w:tcPr>
            <w:tcW w:w="0" w:type="auto"/>
            <w:gridSpan w:val="3"/>
            <w:shd w:val="clear" w:color="auto" w:fill="auto"/>
            <w:vAlign w:val="bottom"/>
          </w:tcPr>
          <w:p w14:paraId="74DDB75B" w14:textId="77777777" w:rsidR="00584EC1" w:rsidRDefault="00584EC1">
            <w:pPr>
              <w:rPr>
                <w:rFonts w:ascii="宋体"/>
                <w:vanish/>
              </w:rPr>
            </w:pPr>
          </w:p>
        </w:tc>
      </w:tr>
      <w:tr w:rsidR="00584EC1" w14:paraId="74DDB765" w14:textId="77777777">
        <w:trPr>
          <w:jc w:val="center"/>
        </w:trPr>
        <w:tc>
          <w:tcPr>
            <w:tcW w:w="0" w:type="auto"/>
            <w:gridSpan w:val="3"/>
            <w:shd w:val="clear" w:color="auto" w:fill="FFFFFF"/>
            <w:tcMar>
              <w:top w:w="40" w:type="dxa"/>
              <w:left w:w="20" w:type="dxa"/>
              <w:bottom w:w="40" w:type="dxa"/>
              <w:right w:w="20" w:type="dxa"/>
            </w:tcMar>
            <w:vAlign w:val="bottom"/>
          </w:tcPr>
          <w:p w14:paraId="74DDB75D" w14:textId="77777777" w:rsidR="00584EC1" w:rsidRDefault="00871F8D">
            <w:pPr>
              <w:textAlignment w:val="bottom"/>
            </w:pPr>
            <w:r>
              <w:rPr>
                <w:rFonts w:ascii="Arial" w:eastAsia="宋体" w:hAnsi="Arial" w:cs="Arial"/>
                <w:color w:val="000000"/>
                <w:sz w:val="15"/>
                <w:szCs w:val="15"/>
              </w:rPr>
              <w:t>Payments for redemption of preferred stock</w:t>
            </w:r>
          </w:p>
        </w:tc>
        <w:tc>
          <w:tcPr>
            <w:tcW w:w="0" w:type="auto"/>
            <w:gridSpan w:val="2"/>
            <w:shd w:val="clear" w:color="auto" w:fill="FFFFFF"/>
            <w:tcMar>
              <w:top w:w="40" w:type="dxa"/>
              <w:left w:w="20" w:type="dxa"/>
              <w:bottom w:w="40" w:type="dxa"/>
              <w:right w:w="0" w:type="dxa"/>
            </w:tcMar>
            <w:vAlign w:val="bottom"/>
          </w:tcPr>
          <w:p w14:paraId="74DDB75E" w14:textId="77777777" w:rsidR="00584EC1" w:rsidRDefault="00871F8D">
            <w:pPr>
              <w:jc w:val="right"/>
              <w:textAlignment w:val="bottom"/>
            </w:pPr>
            <w:r>
              <w:rPr>
                <w:rFonts w:ascii="Arial" w:eastAsia="宋体" w:hAnsi="Arial" w:cs="Arial"/>
                <w:b/>
                <w:bCs/>
                <w:color w:val="000000"/>
                <w:sz w:val="15"/>
                <w:szCs w:val="15"/>
              </w:rPr>
              <w:t>(500)</w:t>
            </w:r>
          </w:p>
        </w:tc>
        <w:tc>
          <w:tcPr>
            <w:tcW w:w="0" w:type="auto"/>
            <w:shd w:val="clear" w:color="auto" w:fill="FFFFFF"/>
            <w:tcMar>
              <w:top w:w="40" w:type="dxa"/>
              <w:left w:w="0" w:type="dxa"/>
              <w:bottom w:w="40" w:type="dxa"/>
              <w:right w:w="20" w:type="dxa"/>
            </w:tcMar>
            <w:vAlign w:val="bottom"/>
          </w:tcPr>
          <w:p w14:paraId="74DDB75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76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761" w14:textId="77777777" w:rsidR="00584EC1" w:rsidRDefault="00871F8D">
            <w:pPr>
              <w:jc w:val="right"/>
              <w:textAlignment w:val="bottom"/>
            </w:pPr>
            <w:r>
              <w:rPr>
                <w:rFonts w:ascii="Arial" w:eastAsia="宋体" w:hAnsi="Arial" w:cs="Arial"/>
                <w:color w:val="000000"/>
                <w:sz w:val="15"/>
                <w:szCs w:val="15"/>
              </w:rPr>
              <w:t>(500)</w:t>
            </w:r>
          </w:p>
        </w:tc>
        <w:tc>
          <w:tcPr>
            <w:tcW w:w="0" w:type="auto"/>
            <w:shd w:val="clear" w:color="auto" w:fill="FFFFFF"/>
            <w:tcMar>
              <w:top w:w="40" w:type="dxa"/>
              <w:left w:w="0" w:type="dxa"/>
              <w:bottom w:w="40" w:type="dxa"/>
              <w:right w:w="20" w:type="dxa"/>
            </w:tcMar>
            <w:vAlign w:val="bottom"/>
          </w:tcPr>
          <w:p w14:paraId="74DDB762" w14:textId="77777777" w:rsidR="00584EC1" w:rsidRDefault="00584EC1">
            <w:pPr>
              <w:jc w:val="right"/>
              <w:rPr>
                <w:rFonts w:ascii="宋体"/>
              </w:rPr>
            </w:pPr>
          </w:p>
        </w:tc>
        <w:tc>
          <w:tcPr>
            <w:tcW w:w="0" w:type="auto"/>
            <w:gridSpan w:val="3"/>
            <w:shd w:val="clear" w:color="auto" w:fill="auto"/>
            <w:vAlign w:val="bottom"/>
          </w:tcPr>
          <w:p w14:paraId="74DDB763" w14:textId="77777777" w:rsidR="00584EC1" w:rsidRDefault="00584EC1">
            <w:pPr>
              <w:rPr>
                <w:rFonts w:ascii="宋体"/>
                <w:vanish/>
              </w:rPr>
            </w:pPr>
          </w:p>
        </w:tc>
        <w:tc>
          <w:tcPr>
            <w:tcW w:w="0" w:type="auto"/>
            <w:gridSpan w:val="3"/>
            <w:shd w:val="clear" w:color="auto" w:fill="auto"/>
            <w:vAlign w:val="bottom"/>
          </w:tcPr>
          <w:p w14:paraId="74DDB764" w14:textId="77777777" w:rsidR="00584EC1" w:rsidRDefault="00584EC1">
            <w:pPr>
              <w:rPr>
                <w:rFonts w:ascii="宋体"/>
                <w:vanish/>
              </w:rPr>
            </w:pPr>
          </w:p>
        </w:tc>
      </w:tr>
      <w:tr w:rsidR="00584EC1" w14:paraId="74DDB76C" w14:textId="77777777">
        <w:trPr>
          <w:jc w:val="center"/>
          <w:hidden/>
        </w:trPr>
        <w:tc>
          <w:tcPr>
            <w:tcW w:w="0" w:type="auto"/>
            <w:gridSpan w:val="3"/>
            <w:shd w:val="clear" w:color="auto" w:fill="auto"/>
            <w:vAlign w:val="bottom"/>
          </w:tcPr>
          <w:p w14:paraId="74DDB766" w14:textId="77777777" w:rsidR="00584EC1" w:rsidRDefault="00584EC1">
            <w:pPr>
              <w:rPr>
                <w:rFonts w:ascii="宋体"/>
                <w:vanish/>
              </w:rPr>
            </w:pPr>
          </w:p>
        </w:tc>
        <w:tc>
          <w:tcPr>
            <w:tcW w:w="0" w:type="auto"/>
            <w:gridSpan w:val="3"/>
            <w:shd w:val="clear" w:color="auto" w:fill="auto"/>
            <w:vAlign w:val="bottom"/>
          </w:tcPr>
          <w:p w14:paraId="74DDB767" w14:textId="77777777" w:rsidR="00584EC1" w:rsidRDefault="00584EC1">
            <w:pPr>
              <w:rPr>
                <w:rFonts w:ascii="宋体"/>
                <w:vanish/>
              </w:rPr>
            </w:pPr>
          </w:p>
        </w:tc>
        <w:tc>
          <w:tcPr>
            <w:tcW w:w="0" w:type="auto"/>
            <w:gridSpan w:val="3"/>
            <w:shd w:val="clear" w:color="auto" w:fill="auto"/>
            <w:vAlign w:val="bottom"/>
          </w:tcPr>
          <w:p w14:paraId="74DDB768" w14:textId="77777777" w:rsidR="00584EC1" w:rsidRDefault="00584EC1">
            <w:pPr>
              <w:rPr>
                <w:rFonts w:ascii="宋体"/>
                <w:vanish/>
              </w:rPr>
            </w:pPr>
          </w:p>
        </w:tc>
        <w:tc>
          <w:tcPr>
            <w:tcW w:w="0" w:type="auto"/>
            <w:gridSpan w:val="3"/>
            <w:shd w:val="clear" w:color="auto" w:fill="auto"/>
            <w:vAlign w:val="bottom"/>
          </w:tcPr>
          <w:p w14:paraId="74DDB769" w14:textId="77777777" w:rsidR="00584EC1" w:rsidRDefault="00584EC1">
            <w:pPr>
              <w:rPr>
                <w:rFonts w:ascii="宋体"/>
                <w:vanish/>
              </w:rPr>
            </w:pPr>
          </w:p>
        </w:tc>
        <w:tc>
          <w:tcPr>
            <w:tcW w:w="0" w:type="auto"/>
            <w:gridSpan w:val="3"/>
            <w:shd w:val="clear" w:color="auto" w:fill="auto"/>
            <w:vAlign w:val="bottom"/>
          </w:tcPr>
          <w:p w14:paraId="74DDB76A" w14:textId="77777777" w:rsidR="00584EC1" w:rsidRDefault="00584EC1">
            <w:pPr>
              <w:rPr>
                <w:rFonts w:ascii="宋体"/>
                <w:vanish/>
              </w:rPr>
            </w:pPr>
          </w:p>
        </w:tc>
        <w:tc>
          <w:tcPr>
            <w:tcW w:w="0" w:type="auto"/>
            <w:gridSpan w:val="3"/>
            <w:shd w:val="clear" w:color="auto" w:fill="auto"/>
            <w:vAlign w:val="bottom"/>
          </w:tcPr>
          <w:p w14:paraId="74DDB76B" w14:textId="77777777" w:rsidR="00584EC1" w:rsidRDefault="00584EC1">
            <w:pPr>
              <w:rPr>
                <w:rFonts w:ascii="宋体"/>
                <w:vanish/>
              </w:rPr>
            </w:pPr>
          </w:p>
        </w:tc>
      </w:tr>
      <w:tr w:rsidR="00584EC1" w14:paraId="74DDB775" w14:textId="77777777">
        <w:trPr>
          <w:jc w:val="center"/>
        </w:trPr>
        <w:tc>
          <w:tcPr>
            <w:tcW w:w="0" w:type="auto"/>
            <w:gridSpan w:val="3"/>
            <w:shd w:val="clear" w:color="auto" w:fill="CCEEFF"/>
            <w:tcMar>
              <w:top w:w="40" w:type="dxa"/>
              <w:left w:w="20" w:type="dxa"/>
              <w:bottom w:w="40" w:type="dxa"/>
              <w:right w:w="20" w:type="dxa"/>
            </w:tcMar>
            <w:vAlign w:val="bottom"/>
          </w:tcPr>
          <w:p w14:paraId="74DDB76D" w14:textId="77777777" w:rsidR="00584EC1" w:rsidRDefault="00871F8D">
            <w:pPr>
              <w:textAlignment w:val="bottom"/>
            </w:pPr>
            <w:r>
              <w:rPr>
                <w:rFonts w:ascii="Arial" w:eastAsia="宋体" w:hAnsi="Arial" w:cs="Arial"/>
                <w:color w:val="000000"/>
                <w:sz w:val="15"/>
                <w:szCs w:val="15"/>
              </w:rPr>
              <w:t>Proceeds from issuance of common stock, net of issuance costs</w:t>
            </w:r>
          </w:p>
        </w:tc>
        <w:tc>
          <w:tcPr>
            <w:tcW w:w="0" w:type="auto"/>
            <w:gridSpan w:val="2"/>
            <w:shd w:val="clear" w:color="auto" w:fill="CCEEFF"/>
            <w:tcMar>
              <w:top w:w="40" w:type="dxa"/>
              <w:left w:w="20" w:type="dxa"/>
              <w:bottom w:w="40" w:type="dxa"/>
              <w:right w:w="0" w:type="dxa"/>
            </w:tcMar>
            <w:vAlign w:val="bottom"/>
          </w:tcPr>
          <w:p w14:paraId="74DDB76E" w14:textId="77777777" w:rsidR="00584EC1" w:rsidRDefault="00871F8D">
            <w:pPr>
              <w:jc w:val="right"/>
              <w:textAlignment w:val="bottom"/>
            </w:pPr>
            <w:r>
              <w:rPr>
                <w:rFonts w:ascii="Arial" w:eastAsia="宋体" w:hAnsi="Arial" w:cs="Arial"/>
                <w:b/>
                <w:bCs/>
                <w:color w:val="000000"/>
                <w:sz w:val="15"/>
                <w:szCs w:val="15"/>
              </w:rPr>
              <w:t>1,900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B76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77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771"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B772" w14:textId="77777777" w:rsidR="00584EC1" w:rsidRDefault="00584EC1">
            <w:pPr>
              <w:jc w:val="right"/>
              <w:rPr>
                <w:rFonts w:ascii="宋体"/>
              </w:rPr>
            </w:pPr>
          </w:p>
        </w:tc>
        <w:tc>
          <w:tcPr>
            <w:tcW w:w="0" w:type="auto"/>
            <w:gridSpan w:val="3"/>
            <w:shd w:val="clear" w:color="auto" w:fill="auto"/>
            <w:vAlign w:val="bottom"/>
          </w:tcPr>
          <w:p w14:paraId="74DDB773" w14:textId="77777777" w:rsidR="00584EC1" w:rsidRDefault="00584EC1">
            <w:pPr>
              <w:rPr>
                <w:rFonts w:ascii="宋体"/>
                <w:vanish/>
              </w:rPr>
            </w:pPr>
          </w:p>
        </w:tc>
        <w:tc>
          <w:tcPr>
            <w:tcW w:w="0" w:type="auto"/>
            <w:gridSpan w:val="3"/>
            <w:shd w:val="clear" w:color="auto" w:fill="auto"/>
            <w:vAlign w:val="bottom"/>
          </w:tcPr>
          <w:p w14:paraId="74DDB774" w14:textId="77777777" w:rsidR="00584EC1" w:rsidRDefault="00584EC1">
            <w:pPr>
              <w:rPr>
                <w:rFonts w:ascii="宋体"/>
                <w:vanish/>
              </w:rPr>
            </w:pPr>
          </w:p>
        </w:tc>
      </w:tr>
      <w:tr w:rsidR="00584EC1" w14:paraId="74DDB77E" w14:textId="77777777">
        <w:trPr>
          <w:jc w:val="center"/>
        </w:trPr>
        <w:tc>
          <w:tcPr>
            <w:tcW w:w="0" w:type="auto"/>
            <w:gridSpan w:val="3"/>
            <w:shd w:val="clear" w:color="auto" w:fill="FFFFFF"/>
            <w:tcMar>
              <w:top w:w="40" w:type="dxa"/>
              <w:left w:w="20" w:type="dxa"/>
              <w:bottom w:w="40" w:type="dxa"/>
              <w:right w:w="20" w:type="dxa"/>
            </w:tcMar>
            <w:vAlign w:val="bottom"/>
          </w:tcPr>
          <w:p w14:paraId="74DDB776" w14:textId="77777777" w:rsidR="00584EC1" w:rsidRDefault="00871F8D">
            <w:pPr>
              <w:textAlignment w:val="bottom"/>
            </w:pPr>
            <w:r>
              <w:rPr>
                <w:rFonts w:ascii="Arial" w:eastAsia="宋体" w:hAnsi="Arial" w:cs="Arial"/>
                <w:color w:val="000000"/>
                <w:sz w:val="15"/>
                <w:szCs w:val="15"/>
              </w:rPr>
              <w:t>Repurchases of common stock</w:t>
            </w:r>
          </w:p>
        </w:tc>
        <w:tc>
          <w:tcPr>
            <w:tcW w:w="0" w:type="auto"/>
            <w:gridSpan w:val="2"/>
            <w:shd w:val="clear" w:color="auto" w:fill="FFFFFF"/>
            <w:tcMar>
              <w:top w:w="40" w:type="dxa"/>
              <w:left w:w="20" w:type="dxa"/>
              <w:bottom w:w="40" w:type="dxa"/>
              <w:right w:w="0" w:type="dxa"/>
            </w:tcMar>
            <w:vAlign w:val="bottom"/>
          </w:tcPr>
          <w:p w14:paraId="74DDB777" w14:textId="77777777" w:rsidR="00584EC1" w:rsidRDefault="00871F8D">
            <w:pPr>
              <w:jc w:val="right"/>
              <w:textAlignment w:val="bottom"/>
            </w:pPr>
            <w:r>
              <w:rPr>
                <w:rFonts w:ascii="Arial" w:eastAsia="宋体" w:hAnsi="Arial" w:cs="Arial"/>
                <w:b/>
                <w:bCs/>
                <w:color w:val="000000"/>
                <w:sz w:val="15"/>
                <w:szCs w:val="15"/>
              </w:rPr>
              <w:t>(900)</w:t>
            </w:r>
          </w:p>
        </w:tc>
        <w:tc>
          <w:tcPr>
            <w:tcW w:w="0" w:type="auto"/>
            <w:shd w:val="clear" w:color="auto" w:fill="FFFFFF"/>
            <w:tcMar>
              <w:top w:w="40" w:type="dxa"/>
              <w:left w:w="0" w:type="dxa"/>
              <w:bottom w:w="40" w:type="dxa"/>
              <w:right w:w="20" w:type="dxa"/>
            </w:tcMar>
            <w:vAlign w:val="bottom"/>
          </w:tcPr>
          <w:p w14:paraId="74DDB77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77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77A" w14:textId="77777777" w:rsidR="00584EC1" w:rsidRDefault="00871F8D">
            <w:pPr>
              <w:jc w:val="right"/>
              <w:textAlignment w:val="bottom"/>
            </w:pPr>
            <w:r>
              <w:rPr>
                <w:rFonts w:ascii="Arial" w:eastAsia="宋体" w:hAnsi="Arial" w:cs="Arial"/>
                <w:color w:val="000000"/>
                <w:sz w:val="15"/>
                <w:szCs w:val="15"/>
              </w:rPr>
              <w:t>(515)</w:t>
            </w:r>
          </w:p>
        </w:tc>
        <w:tc>
          <w:tcPr>
            <w:tcW w:w="0" w:type="auto"/>
            <w:shd w:val="clear" w:color="auto" w:fill="FFFFFF"/>
            <w:tcMar>
              <w:top w:w="40" w:type="dxa"/>
              <w:left w:w="0" w:type="dxa"/>
              <w:bottom w:w="40" w:type="dxa"/>
              <w:right w:w="20" w:type="dxa"/>
            </w:tcMar>
            <w:vAlign w:val="bottom"/>
          </w:tcPr>
          <w:p w14:paraId="74DDB77B" w14:textId="77777777" w:rsidR="00584EC1" w:rsidRDefault="00584EC1">
            <w:pPr>
              <w:jc w:val="right"/>
              <w:rPr>
                <w:rFonts w:ascii="宋体"/>
              </w:rPr>
            </w:pPr>
          </w:p>
        </w:tc>
        <w:tc>
          <w:tcPr>
            <w:tcW w:w="0" w:type="auto"/>
            <w:gridSpan w:val="3"/>
            <w:shd w:val="clear" w:color="auto" w:fill="auto"/>
            <w:vAlign w:val="bottom"/>
          </w:tcPr>
          <w:p w14:paraId="74DDB77C" w14:textId="77777777" w:rsidR="00584EC1" w:rsidRDefault="00584EC1">
            <w:pPr>
              <w:rPr>
                <w:rFonts w:ascii="宋体"/>
                <w:vanish/>
              </w:rPr>
            </w:pPr>
          </w:p>
        </w:tc>
        <w:tc>
          <w:tcPr>
            <w:tcW w:w="0" w:type="auto"/>
            <w:gridSpan w:val="3"/>
            <w:shd w:val="clear" w:color="auto" w:fill="auto"/>
            <w:vAlign w:val="bottom"/>
          </w:tcPr>
          <w:p w14:paraId="74DDB77D" w14:textId="77777777" w:rsidR="00584EC1" w:rsidRDefault="00584EC1">
            <w:pPr>
              <w:rPr>
                <w:rFonts w:ascii="宋体"/>
                <w:vanish/>
              </w:rPr>
            </w:pPr>
          </w:p>
        </w:tc>
      </w:tr>
      <w:tr w:rsidR="00584EC1" w14:paraId="74DDB785" w14:textId="77777777">
        <w:trPr>
          <w:jc w:val="center"/>
          <w:hidden/>
        </w:trPr>
        <w:tc>
          <w:tcPr>
            <w:tcW w:w="0" w:type="auto"/>
            <w:gridSpan w:val="3"/>
            <w:shd w:val="clear" w:color="auto" w:fill="auto"/>
            <w:vAlign w:val="bottom"/>
          </w:tcPr>
          <w:p w14:paraId="74DDB77F" w14:textId="77777777" w:rsidR="00584EC1" w:rsidRDefault="00584EC1">
            <w:pPr>
              <w:rPr>
                <w:rFonts w:ascii="宋体"/>
                <w:vanish/>
              </w:rPr>
            </w:pPr>
          </w:p>
        </w:tc>
        <w:tc>
          <w:tcPr>
            <w:tcW w:w="0" w:type="auto"/>
            <w:gridSpan w:val="3"/>
            <w:shd w:val="clear" w:color="auto" w:fill="auto"/>
            <w:vAlign w:val="bottom"/>
          </w:tcPr>
          <w:p w14:paraId="74DDB780" w14:textId="77777777" w:rsidR="00584EC1" w:rsidRDefault="00584EC1">
            <w:pPr>
              <w:rPr>
                <w:rFonts w:ascii="宋体"/>
                <w:vanish/>
              </w:rPr>
            </w:pPr>
          </w:p>
        </w:tc>
        <w:tc>
          <w:tcPr>
            <w:tcW w:w="0" w:type="auto"/>
            <w:gridSpan w:val="3"/>
            <w:shd w:val="clear" w:color="auto" w:fill="auto"/>
            <w:vAlign w:val="bottom"/>
          </w:tcPr>
          <w:p w14:paraId="74DDB781" w14:textId="77777777" w:rsidR="00584EC1" w:rsidRDefault="00584EC1">
            <w:pPr>
              <w:rPr>
                <w:rFonts w:ascii="宋体"/>
                <w:vanish/>
              </w:rPr>
            </w:pPr>
          </w:p>
        </w:tc>
        <w:tc>
          <w:tcPr>
            <w:tcW w:w="0" w:type="auto"/>
            <w:gridSpan w:val="3"/>
            <w:shd w:val="clear" w:color="auto" w:fill="auto"/>
            <w:vAlign w:val="bottom"/>
          </w:tcPr>
          <w:p w14:paraId="74DDB782" w14:textId="77777777" w:rsidR="00584EC1" w:rsidRDefault="00584EC1">
            <w:pPr>
              <w:rPr>
                <w:rFonts w:ascii="宋体"/>
                <w:vanish/>
              </w:rPr>
            </w:pPr>
          </w:p>
        </w:tc>
        <w:tc>
          <w:tcPr>
            <w:tcW w:w="0" w:type="auto"/>
            <w:gridSpan w:val="3"/>
            <w:shd w:val="clear" w:color="auto" w:fill="auto"/>
            <w:vAlign w:val="bottom"/>
          </w:tcPr>
          <w:p w14:paraId="74DDB783" w14:textId="77777777" w:rsidR="00584EC1" w:rsidRDefault="00584EC1">
            <w:pPr>
              <w:rPr>
                <w:rFonts w:ascii="宋体"/>
                <w:vanish/>
              </w:rPr>
            </w:pPr>
          </w:p>
        </w:tc>
        <w:tc>
          <w:tcPr>
            <w:tcW w:w="0" w:type="auto"/>
            <w:gridSpan w:val="3"/>
            <w:shd w:val="clear" w:color="auto" w:fill="auto"/>
            <w:vAlign w:val="bottom"/>
          </w:tcPr>
          <w:p w14:paraId="74DDB784" w14:textId="77777777" w:rsidR="00584EC1" w:rsidRDefault="00584EC1">
            <w:pPr>
              <w:rPr>
                <w:rFonts w:ascii="宋体"/>
                <w:vanish/>
              </w:rPr>
            </w:pPr>
          </w:p>
        </w:tc>
      </w:tr>
      <w:tr w:rsidR="00584EC1" w14:paraId="74DDB78E" w14:textId="77777777">
        <w:trPr>
          <w:jc w:val="center"/>
        </w:trPr>
        <w:tc>
          <w:tcPr>
            <w:tcW w:w="0" w:type="auto"/>
            <w:gridSpan w:val="3"/>
            <w:shd w:val="clear" w:color="auto" w:fill="CCEEFF"/>
            <w:tcMar>
              <w:top w:w="40" w:type="dxa"/>
              <w:left w:w="20" w:type="dxa"/>
              <w:bottom w:w="40" w:type="dxa"/>
              <w:right w:w="20" w:type="dxa"/>
            </w:tcMar>
            <w:vAlign w:val="bottom"/>
          </w:tcPr>
          <w:p w14:paraId="74DDB786" w14:textId="77777777" w:rsidR="00584EC1" w:rsidRDefault="00871F8D">
            <w:pPr>
              <w:textAlignment w:val="bottom"/>
            </w:pPr>
            <w:r>
              <w:rPr>
                <w:rFonts w:ascii="Arial" w:eastAsia="宋体" w:hAnsi="Arial" w:cs="Arial"/>
                <w:color w:val="000000"/>
                <w:sz w:val="15"/>
                <w:szCs w:val="15"/>
              </w:rPr>
              <w:t xml:space="preserve">Repurchases of common stock for employee tax </w:t>
            </w:r>
            <w:r>
              <w:rPr>
                <w:rFonts w:ascii="Arial" w:eastAsia="宋体" w:hAnsi="Arial" w:cs="Arial"/>
                <w:color w:val="000000"/>
                <w:sz w:val="15"/>
                <w:szCs w:val="15"/>
              </w:rPr>
              <w:t>withholding</w:t>
            </w:r>
          </w:p>
        </w:tc>
        <w:tc>
          <w:tcPr>
            <w:tcW w:w="0" w:type="auto"/>
            <w:gridSpan w:val="2"/>
            <w:shd w:val="clear" w:color="auto" w:fill="CCEEFF"/>
            <w:tcMar>
              <w:top w:w="40" w:type="dxa"/>
              <w:left w:w="20" w:type="dxa"/>
              <w:bottom w:w="40" w:type="dxa"/>
              <w:right w:w="0" w:type="dxa"/>
            </w:tcMar>
            <w:vAlign w:val="bottom"/>
          </w:tcPr>
          <w:p w14:paraId="74DDB787" w14:textId="77777777" w:rsidR="00584EC1" w:rsidRDefault="00871F8D">
            <w:pPr>
              <w:jc w:val="right"/>
              <w:textAlignment w:val="bottom"/>
            </w:pPr>
            <w:r>
              <w:rPr>
                <w:rFonts w:ascii="Arial" w:eastAsia="宋体" w:hAnsi="Arial" w:cs="Arial"/>
                <w:b/>
                <w:bCs/>
                <w:color w:val="000000"/>
                <w:sz w:val="15"/>
                <w:szCs w:val="15"/>
              </w:rPr>
              <w:t>(6)</w:t>
            </w:r>
          </w:p>
        </w:tc>
        <w:tc>
          <w:tcPr>
            <w:tcW w:w="0" w:type="auto"/>
            <w:shd w:val="clear" w:color="auto" w:fill="CCEEFF"/>
            <w:tcMar>
              <w:top w:w="40" w:type="dxa"/>
              <w:left w:w="0" w:type="dxa"/>
              <w:bottom w:w="40" w:type="dxa"/>
              <w:right w:w="20" w:type="dxa"/>
            </w:tcMar>
            <w:vAlign w:val="bottom"/>
          </w:tcPr>
          <w:p w14:paraId="74DDB78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78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78A" w14:textId="77777777" w:rsidR="00584EC1" w:rsidRDefault="00871F8D">
            <w:pPr>
              <w:jc w:val="right"/>
              <w:textAlignment w:val="bottom"/>
            </w:pPr>
            <w:r>
              <w:rPr>
                <w:rFonts w:ascii="Arial" w:eastAsia="宋体" w:hAnsi="Arial" w:cs="Arial"/>
                <w:color w:val="000000"/>
                <w:sz w:val="15"/>
                <w:szCs w:val="15"/>
              </w:rPr>
              <w:t>(66)</w:t>
            </w:r>
          </w:p>
        </w:tc>
        <w:tc>
          <w:tcPr>
            <w:tcW w:w="0" w:type="auto"/>
            <w:shd w:val="clear" w:color="auto" w:fill="CCEEFF"/>
            <w:tcMar>
              <w:top w:w="40" w:type="dxa"/>
              <w:left w:w="0" w:type="dxa"/>
              <w:bottom w:w="40" w:type="dxa"/>
              <w:right w:w="20" w:type="dxa"/>
            </w:tcMar>
            <w:vAlign w:val="bottom"/>
          </w:tcPr>
          <w:p w14:paraId="74DDB78B" w14:textId="77777777" w:rsidR="00584EC1" w:rsidRDefault="00584EC1">
            <w:pPr>
              <w:jc w:val="right"/>
              <w:rPr>
                <w:rFonts w:ascii="宋体"/>
              </w:rPr>
            </w:pPr>
          </w:p>
        </w:tc>
        <w:tc>
          <w:tcPr>
            <w:tcW w:w="0" w:type="auto"/>
            <w:gridSpan w:val="3"/>
            <w:shd w:val="clear" w:color="auto" w:fill="auto"/>
            <w:vAlign w:val="bottom"/>
          </w:tcPr>
          <w:p w14:paraId="74DDB78C" w14:textId="77777777" w:rsidR="00584EC1" w:rsidRDefault="00584EC1">
            <w:pPr>
              <w:rPr>
                <w:rFonts w:ascii="宋体"/>
                <w:vanish/>
              </w:rPr>
            </w:pPr>
          </w:p>
        </w:tc>
        <w:tc>
          <w:tcPr>
            <w:tcW w:w="0" w:type="auto"/>
            <w:gridSpan w:val="3"/>
            <w:shd w:val="clear" w:color="auto" w:fill="auto"/>
            <w:vAlign w:val="bottom"/>
          </w:tcPr>
          <w:p w14:paraId="74DDB78D" w14:textId="77777777" w:rsidR="00584EC1" w:rsidRDefault="00584EC1">
            <w:pPr>
              <w:rPr>
                <w:rFonts w:ascii="宋体"/>
                <w:vanish/>
              </w:rPr>
            </w:pPr>
          </w:p>
        </w:tc>
      </w:tr>
      <w:tr w:rsidR="00584EC1" w14:paraId="74DDB797" w14:textId="77777777">
        <w:trPr>
          <w:jc w:val="center"/>
        </w:trPr>
        <w:tc>
          <w:tcPr>
            <w:tcW w:w="0" w:type="auto"/>
            <w:gridSpan w:val="3"/>
            <w:shd w:val="clear" w:color="auto" w:fill="FFFFFF"/>
            <w:tcMar>
              <w:top w:w="40" w:type="dxa"/>
              <w:left w:w="20" w:type="dxa"/>
              <w:bottom w:w="40" w:type="dxa"/>
              <w:right w:w="20" w:type="dxa"/>
            </w:tcMar>
            <w:vAlign w:val="bottom"/>
          </w:tcPr>
          <w:p w14:paraId="74DDB78F" w14:textId="77777777" w:rsidR="00584EC1" w:rsidRDefault="00871F8D">
            <w:pPr>
              <w:textAlignment w:val="bottom"/>
            </w:pPr>
            <w:r>
              <w:rPr>
                <w:rFonts w:ascii="Arial" w:eastAsia="宋体" w:hAnsi="Arial" w:cs="Arial"/>
                <w:color w:val="000000"/>
                <w:sz w:val="15"/>
                <w:szCs w:val="15"/>
              </w:rPr>
              <w:t>Payments for cash dividends</w:t>
            </w:r>
          </w:p>
        </w:tc>
        <w:tc>
          <w:tcPr>
            <w:tcW w:w="0" w:type="auto"/>
            <w:gridSpan w:val="2"/>
            <w:shd w:val="clear" w:color="auto" w:fill="FFFFFF"/>
            <w:tcMar>
              <w:top w:w="40" w:type="dxa"/>
              <w:left w:w="20" w:type="dxa"/>
              <w:bottom w:w="40" w:type="dxa"/>
              <w:right w:w="0" w:type="dxa"/>
            </w:tcMar>
            <w:vAlign w:val="bottom"/>
          </w:tcPr>
          <w:p w14:paraId="74DDB790" w14:textId="77777777" w:rsidR="00584EC1" w:rsidRDefault="00871F8D">
            <w:pPr>
              <w:jc w:val="right"/>
              <w:textAlignment w:val="bottom"/>
            </w:pPr>
            <w:r>
              <w:rPr>
                <w:rFonts w:ascii="Arial" w:eastAsia="宋体" w:hAnsi="Arial" w:cs="Arial"/>
                <w:b/>
                <w:bCs/>
                <w:color w:val="000000"/>
                <w:sz w:val="15"/>
                <w:szCs w:val="15"/>
              </w:rPr>
              <w:t>(623)</w:t>
            </w:r>
          </w:p>
        </w:tc>
        <w:tc>
          <w:tcPr>
            <w:tcW w:w="0" w:type="auto"/>
            <w:shd w:val="clear" w:color="auto" w:fill="FFFFFF"/>
            <w:tcMar>
              <w:top w:w="40" w:type="dxa"/>
              <w:left w:w="0" w:type="dxa"/>
              <w:bottom w:w="40" w:type="dxa"/>
              <w:right w:w="20" w:type="dxa"/>
            </w:tcMar>
            <w:vAlign w:val="bottom"/>
          </w:tcPr>
          <w:p w14:paraId="74DDB79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79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793" w14:textId="77777777" w:rsidR="00584EC1" w:rsidRDefault="00871F8D">
            <w:pPr>
              <w:jc w:val="right"/>
              <w:textAlignment w:val="bottom"/>
            </w:pPr>
            <w:r>
              <w:rPr>
                <w:rFonts w:ascii="Arial" w:eastAsia="宋体" w:hAnsi="Arial" w:cs="Arial"/>
                <w:color w:val="000000"/>
                <w:sz w:val="15"/>
                <w:szCs w:val="15"/>
              </w:rPr>
              <w:t>(666)</w:t>
            </w:r>
          </w:p>
        </w:tc>
        <w:tc>
          <w:tcPr>
            <w:tcW w:w="0" w:type="auto"/>
            <w:shd w:val="clear" w:color="auto" w:fill="FFFFFF"/>
            <w:tcMar>
              <w:top w:w="40" w:type="dxa"/>
              <w:left w:w="0" w:type="dxa"/>
              <w:bottom w:w="40" w:type="dxa"/>
              <w:right w:w="20" w:type="dxa"/>
            </w:tcMar>
            <w:vAlign w:val="bottom"/>
          </w:tcPr>
          <w:p w14:paraId="74DDB794" w14:textId="77777777" w:rsidR="00584EC1" w:rsidRDefault="00584EC1">
            <w:pPr>
              <w:jc w:val="right"/>
              <w:rPr>
                <w:rFonts w:ascii="宋体"/>
              </w:rPr>
            </w:pPr>
          </w:p>
        </w:tc>
        <w:tc>
          <w:tcPr>
            <w:tcW w:w="0" w:type="auto"/>
            <w:gridSpan w:val="3"/>
            <w:shd w:val="clear" w:color="auto" w:fill="auto"/>
            <w:vAlign w:val="bottom"/>
          </w:tcPr>
          <w:p w14:paraId="74DDB795" w14:textId="77777777" w:rsidR="00584EC1" w:rsidRDefault="00584EC1">
            <w:pPr>
              <w:rPr>
                <w:rFonts w:ascii="宋体"/>
                <w:vanish/>
              </w:rPr>
            </w:pPr>
          </w:p>
        </w:tc>
        <w:tc>
          <w:tcPr>
            <w:tcW w:w="0" w:type="auto"/>
            <w:gridSpan w:val="3"/>
            <w:shd w:val="clear" w:color="auto" w:fill="auto"/>
            <w:vAlign w:val="bottom"/>
          </w:tcPr>
          <w:p w14:paraId="74DDB796" w14:textId="77777777" w:rsidR="00584EC1" w:rsidRDefault="00584EC1">
            <w:pPr>
              <w:rPr>
                <w:rFonts w:ascii="宋体"/>
                <w:vanish/>
              </w:rPr>
            </w:pPr>
          </w:p>
        </w:tc>
      </w:tr>
      <w:tr w:rsidR="00584EC1" w14:paraId="74DDB79E" w14:textId="77777777">
        <w:trPr>
          <w:jc w:val="center"/>
          <w:hidden/>
        </w:trPr>
        <w:tc>
          <w:tcPr>
            <w:tcW w:w="0" w:type="auto"/>
            <w:gridSpan w:val="3"/>
            <w:shd w:val="clear" w:color="auto" w:fill="auto"/>
            <w:vAlign w:val="bottom"/>
          </w:tcPr>
          <w:p w14:paraId="74DDB798" w14:textId="77777777" w:rsidR="00584EC1" w:rsidRDefault="00584EC1">
            <w:pPr>
              <w:rPr>
                <w:rFonts w:ascii="宋体"/>
                <w:vanish/>
              </w:rPr>
            </w:pPr>
          </w:p>
        </w:tc>
        <w:tc>
          <w:tcPr>
            <w:tcW w:w="0" w:type="auto"/>
            <w:gridSpan w:val="3"/>
            <w:shd w:val="clear" w:color="auto" w:fill="auto"/>
            <w:vAlign w:val="bottom"/>
          </w:tcPr>
          <w:p w14:paraId="74DDB799" w14:textId="77777777" w:rsidR="00584EC1" w:rsidRDefault="00584EC1">
            <w:pPr>
              <w:rPr>
                <w:rFonts w:ascii="宋体"/>
                <w:vanish/>
              </w:rPr>
            </w:pPr>
          </w:p>
        </w:tc>
        <w:tc>
          <w:tcPr>
            <w:tcW w:w="0" w:type="auto"/>
            <w:gridSpan w:val="3"/>
            <w:shd w:val="clear" w:color="auto" w:fill="auto"/>
            <w:vAlign w:val="bottom"/>
          </w:tcPr>
          <w:p w14:paraId="74DDB79A" w14:textId="77777777" w:rsidR="00584EC1" w:rsidRDefault="00584EC1">
            <w:pPr>
              <w:rPr>
                <w:rFonts w:ascii="宋体"/>
                <w:vanish/>
              </w:rPr>
            </w:pPr>
          </w:p>
        </w:tc>
        <w:tc>
          <w:tcPr>
            <w:tcW w:w="0" w:type="auto"/>
            <w:gridSpan w:val="3"/>
            <w:shd w:val="clear" w:color="auto" w:fill="auto"/>
            <w:vAlign w:val="bottom"/>
          </w:tcPr>
          <w:p w14:paraId="74DDB79B" w14:textId="77777777" w:rsidR="00584EC1" w:rsidRDefault="00584EC1">
            <w:pPr>
              <w:rPr>
                <w:rFonts w:ascii="宋体"/>
                <w:vanish/>
              </w:rPr>
            </w:pPr>
          </w:p>
        </w:tc>
        <w:tc>
          <w:tcPr>
            <w:tcW w:w="0" w:type="auto"/>
            <w:gridSpan w:val="3"/>
            <w:shd w:val="clear" w:color="auto" w:fill="auto"/>
            <w:vAlign w:val="bottom"/>
          </w:tcPr>
          <w:p w14:paraId="74DDB79C" w14:textId="77777777" w:rsidR="00584EC1" w:rsidRDefault="00584EC1">
            <w:pPr>
              <w:rPr>
                <w:rFonts w:ascii="宋体"/>
                <w:vanish/>
              </w:rPr>
            </w:pPr>
          </w:p>
        </w:tc>
        <w:tc>
          <w:tcPr>
            <w:tcW w:w="0" w:type="auto"/>
            <w:gridSpan w:val="3"/>
            <w:shd w:val="clear" w:color="auto" w:fill="auto"/>
            <w:vAlign w:val="bottom"/>
          </w:tcPr>
          <w:p w14:paraId="74DDB79D" w14:textId="77777777" w:rsidR="00584EC1" w:rsidRDefault="00584EC1">
            <w:pPr>
              <w:rPr>
                <w:rFonts w:ascii="宋体"/>
                <w:vanish/>
              </w:rPr>
            </w:pPr>
          </w:p>
        </w:tc>
      </w:tr>
      <w:tr w:rsidR="00584EC1" w14:paraId="74DDB7A7" w14:textId="77777777">
        <w:trPr>
          <w:jc w:val="center"/>
        </w:trPr>
        <w:tc>
          <w:tcPr>
            <w:tcW w:w="0" w:type="auto"/>
            <w:gridSpan w:val="3"/>
            <w:shd w:val="clear" w:color="auto" w:fill="CCEEFF"/>
            <w:tcMar>
              <w:top w:w="40" w:type="dxa"/>
              <w:left w:w="20" w:type="dxa"/>
              <w:bottom w:w="40" w:type="dxa"/>
              <w:right w:w="20" w:type="dxa"/>
            </w:tcMar>
            <w:vAlign w:val="bottom"/>
          </w:tcPr>
          <w:p w14:paraId="74DDB79F" w14:textId="77777777" w:rsidR="00584EC1" w:rsidRDefault="00871F8D">
            <w:pPr>
              <w:textAlignment w:val="bottom"/>
            </w:pPr>
            <w:r>
              <w:rPr>
                <w:rFonts w:ascii="Arial" w:eastAsia="宋体" w:hAnsi="Arial" w:cs="Arial"/>
                <w:color w:val="000000"/>
                <w:sz w:val="15"/>
                <w:szCs w:val="15"/>
              </w:rPr>
              <w:t>Net cash (used in) provided by financing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B7A0" w14:textId="77777777" w:rsidR="00584EC1" w:rsidRDefault="00871F8D">
            <w:pPr>
              <w:jc w:val="right"/>
              <w:textAlignment w:val="bottom"/>
            </w:pPr>
            <w:r>
              <w:rPr>
                <w:rFonts w:ascii="Arial" w:eastAsia="宋体" w:hAnsi="Arial" w:cs="Arial"/>
                <w:b/>
                <w:bCs/>
                <w:color w:val="000000"/>
                <w:sz w:val="15"/>
                <w:szCs w:val="15"/>
              </w:rPr>
              <w:t>12,554</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B7A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7A2"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B7A3" w14:textId="77777777" w:rsidR="00584EC1" w:rsidRDefault="00871F8D">
            <w:pPr>
              <w:jc w:val="right"/>
              <w:textAlignment w:val="bottom"/>
            </w:pPr>
            <w:r>
              <w:rPr>
                <w:rFonts w:ascii="Arial" w:eastAsia="宋体" w:hAnsi="Arial" w:cs="Arial"/>
                <w:color w:val="000000"/>
                <w:sz w:val="15"/>
                <w:szCs w:val="15"/>
              </w:rPr>
              <w:t>27,512 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B7A4" w14:textId="77777777" w:rsidR="00584EC1" w:rsidRDefault="00584EC1">
            <w:pPr>
              <w:jc w:val="right"/>
              <w:rPr>
                <w:rFonts w:ascii="宋体"/>
              </w:rPr>
            </w:pPr>
          </w:p>
        </w:tc>
        <w:tc>
          <w:tcPr>
            <w:tcW w:w="0" w:type="auto"/>
            <w:gridSpan w:val="3"/>
            <w:shd w:val="clear" w:color="auto" w:fill="auto"/>
            <w:vAlign w:val="bottom"/>
          </w:tcPr>
          <w:p w14:paraId="74DDB7A5" w14:textId="77777777" w:rsidR="00584EC1" w:rsidRDefault="00584EC1">
            <w:pPr>
              <w:rPr>
                <w:rFonts w:ascii="宋体"/>
                <w:vanish/>
              </w:rPr>
            </w:pPr>
          </w:p>
        </w:tc>
        <w:tc>
          <w:tcPr>
            <w:tcW w:w="0" w:type="auto"/>
            <w:gridSpan w:val="3"/>
            <w:shd w:val="clear" w:color="auto" w:fill="auto"/>
            <w:vAlign w:val="bottom"/>
          </w:tcPr>
          <w:p w14:paraId="74DDB7A6" w14:textId="77777777" w:rsidR="00584EC1" w:rsidRDefault="00584EC1">
            <w:pPr>
              <w:rPr>
                <w:rFonts w:ascii="宋体"/>
                <w:vanish/>
              </w:rPr>
            </w:pPr>
          </w:p>
        </w:tc>
      </w:tr>
      <w:tr w:rsidR="00584EC1" w14:paraId="74DDB7B0" w14:textId="77777777">
        <w:trPr>
          <w:jc w:val="center"/>
        </w:trPr>
        <w:tc>
          <w:tcPr>
            <w:tcW w:w="0" w:type="auto"/>
            <w:gridSpan w:val="3"/>
            <w:shd w:val="clear" w:color="auto" w:fill="FFFFFF"/>
            <w:tcMar>
              <w:top w:w="40" w:type="dxa"/>
              <w:left w:w="20" w:type="dxa"/>
              <w:bottom w:w="40" w:type="dxa"/>
              <w:right w:w="20" w:type="dxa"/>
            </w:tcMar>
            <w:vAlign w:val="bottom"/>
          </w:tcPr>
          <w:p w14:paraId="74DDB7A8" w14:textId="77777777" w:rsidR="00584EC1" w:rsidRDefault="00871F8D">
            <w:pPr>
              <w:textAlignment w:val="bottom"/>
            </w:pPr>
            <w:r>
              <w:rPr>
                <w:rFonts w:ascii="Arial" w:eastAsia="宋体" w:hAnsi="Arial" w:cs="Arial"/>
                <w:color w:val="000000"/>
                <w:sz w:val="15"/>
                <w:szCs w:val="15"/>
              </w:rPr>
              <w:t>Net increase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B7A9" w14:textId="77777777" w:rsidR="00584EC1" w:rsidRDefault="00871F8D">
            <w:pPr>
              <w:jc w:val="right"/>
              <w:textAlignment w:val="bottom"/>
            </w:pPr>
            <w:r>
              <w:rPr>
                <w:rFonts w:ascii="Arial" w:eastAsia="宋体" w:hAnsi="Arial" w:cs="Arial"/>
                <w:b/>
                <w:bCs/>
                <w:color w:val="000000"/>
                <w:sz w:val="15"/>
                <w:szCs w:val="15"/>
              </w:rPr>
              <w:t>1,139</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B7A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7AB"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B7AC" w14:textId="77777777" w:rsidR="00584EC1" w:rsidRDefault="00871F8D">
            <w:pPr>
              <w:jc w:val="right"/>
              <w:textAlignment w:val="bottom"/>
            </w:pPr>
            <w:r>
              <w:rPr>
                <w:rFonts w:ascii="Arial" w:eastAsia="宋体" w:hAnsi="Arial" w:cs="Arial"/>
                <w:color w:val="000000"/>
                <w:sz w:val="15"/>
                <w:szCs w:val="15"/>
              </w:rPr>
              <w:t>1,546 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B7AD" w14:textId="77777777" w:rsidR="00584EC1" w:rsidRDefault="00584EC1">
            <w:pPr>
              <w:jc w:val="right"/>
              <w:rPr>
                <w:rFonts w:ascii="宋体"/>
              </w:rPr>
            </w:pPr>
          </w:p>
        </w:tc>
        <w:tc>
          <w:tcPr>
            <w:tcW w:w="0" w:type="auto"/>
            <w:gridSpan w:val="3"/>
            <w:shd w:val="clear" w:color="auto" w:fill="auto"/>
            <w:vAlign w:val="bottom"/>
          </w:tcPr>
          <w:p w14:paraId="74DDB7AE" w14:textId="77777777" w:rsidR="00584EC1" w:rsidRDefault="00584EC1">
            <w:pPr>
              <w:rPr>
                <w:rFonts w:ascii="宋体"/>
                <w:vanish/>
              </w:rPr>
            </w:pPr>
          </w:p>
        </w:tc>
        <w:tc>
          <w:tcPr>
            <w:tcW w:w="0" w:type="auto"/>
            <w:gridSpan w:val="3"/>
            <w:shd w:val="clear" w:color="auto" w:fill="auto"/>
            <w:vAlign w:val="bottom"/>
          </w:tcPr>
          <w:p w14:paraId="74DDB7AF" w14:textId="77777777" w:rsidR="00584EC1" w:rsidRDefault="00584EC1">
            <w:pPr>
              <w:rPr>
                <w:rFonts w:ascii="宋体"/>
                <w:vanish/>
              </w:rPr>
            </w:pPr>
          </w:p>
        </w:tc>
      </w:tr>
      <w:tr w:rsidR="00584EC1" w14:paraId="74DDB7B9" w14:textId="77777777">
        <w:trPr>
          <w:jc w:val="center"/>
        </w:trPr>
        <w:tc>
          <w:tcPr>
            <w:tcW w:w="0" w:type="auto"/>
            <w:gridSpan w:val="3"/>
            <w:shd w:val="clear" w:color="auto" w:fill="CCEEFF"/>
            <w:tcMar>
              <w:top w:w="40" w:type="dxa"/>
              <w:left w:w="20" w:type="dxa"/>
              <w:bottom w:w="40" w:type="dxa"/>
              <w:right w:w="20" w:type="dxa"/>
            </w:tcMar>
            <w:vAlign w:val="bottom"/>
          </w:tcPr>
          <w:p w14:paraId="74DDB7B1" w14:textId="77777777" w:rsidR="00584EC1" w:rsidRDefault="00871F8D">
            <w:pPr>
              <w:textAlignment w:val="bottom"/>
            </w:pPr>
            <w:r>
              <w:rPr>
                <w:rFonts w:ascii="Arial" w:eastAsia="宋体" w:hAnsi="Arial" w:cs="Arial"/>
                <w:color w:val="000000"/>
                <w:sz w:val="15"/>
                <w:szCs w:val="15"/>
              </w:rPr>
              <w:t>Cash and due from banks at beginning of period</w:t>
            </w:r>
          </w:p>
        </w:tc>
        <w:tc>
          <w:tcPr>
            <w:tcW w:w="0" w:type="auto"/>
            <w:gridSpan w:val="2"/>
            <w:shd w:val="clear" w:color="auto" w:fill="CCEEFF"/>
            <w:tcMar>
              <w:top w:w="40" w:type="dxa"/>
              <w:left w:w="20" w:type="dxa"/>
              <w:bottom w:w="40" w:type="dxa"/>
              <w:right w:w="0" w:type="dxa"/>
            </w:tcMar>
            <w:vAlign w:val="bottom"/>
          </w:tcPr>
          <w:p w14:paraId="74DDB7B2" w14:textId="77777777" w:rsidR="00584EC1" w:rsidRDefault="00871F8D">
            <w:pPr>
              <w:jc w:val="right"/>
              <w:textAlignment w:val="bottom"/>
            </w:pPr>
            <w:r>
              <w:rPr>
                <w:rFonts w:ascii="Arial" w:eastAsia="宋体" w:hAnsi="Arial" w:cs="Arial"/>
                <w:b/>
                <w:bCs/>
                <w:color w:val="000000"/>
                <w:sz w:val="15"/>
                <w:szCs w:val="15"/>
              </w:rPr>
              <w:t>3,467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B7B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7B4"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7B5" w14:textId="77777777" w:rsidR="00584EC1" w:rsidRDefault="00871F8D">
            <w:pPr>
              <w:jc w:val="right"/>
              <w:textAlignment w:val="bottom"/>
            </w:pPr>
            <w:r>
              <w:rPr>
                <w:rFonts w:ascii="Arial" w:eastAsia="宋体" w:hAnsi="Arial" w:cs="Arial"/>
                <w:color w:val="000000"/>
                <w:sz w:val="15"/>
                <w:szCs w:val="15"/>
              </w:rPr>
              <w:t>3,302 </w:t>
            </w:r>
          </w:p>
        </w:tc>
        <w:tc>
          <w:tcPr>
            <w:tcW w:w="0" w:type="auto"/>
            <w:shd w:val="clear" w:color="auto" w:fill="CCEEFF"/>
            <w:tcMar>
              <w:top w:w="40" w:type="dxa"/>
              <w:left w:w="0" w:type="dxa"/>
              <w:bottom w:w="40" w:type="dxa"/>
              <w:right w:w="20" w:type="dxa"/>
            </w:tcMar>
            <w:vAlign w:val="bottom"/>
          </w:tcPr>
          <w:p w14:paraId="74DDB7B6" w14:textId="77777777" w:rsidR="00584EC1" w:rsidRDefault="00584EC1">
            <w:pPr>
              <w:jc w:val="right"/>
              <w:rPr>
                <w:rFonts w:ascii="宋体"/>
              </w:rPr>
            </w:pPr>
          </w:p>
        </w:tc>
        <w:tc>
          <w:tcPr>
            <w:tcW w:w="0" w:type="auto"/>
            <w:gridSpan w:val="3"/>
            <w:shd w:val="clear" w:color="auto" w:fill="auto"/>
            <w:vAlign w:val="bottom"/>
          </w:tcPr>
          <w:p w14:paraId="74DDB7B7" w14:textId="77777777" w:rsidR="00584EC1" w:rsidRDefault="00584EC1">
            <w:pPr>
              <w:rPr>
                <w:rFonts w:ascii="宋体"/>
                <w:vanish/>
              </w:rPr>
            </w:pPr>
          </w:p>
        </w:tc>
        <w:tc>
          <w:tcPr>
            <w:tcW w:w="0" w:type="auto"/>
            <w:gridSpan w:val="3"/>
            <w:shd w:val="clear" w:color="auto" w:fill="auto"/>
            <w:vAlign w:val="bottom"/>
          </w:tcPr>
          <w:p w14:paraId="74DDB7B8" w14:textId="77777777" w:rsidR="00584EC1" w:rsidRDefault="00584EC1">
            <w:pPr>
              <w:rPr>
                <w:rFonts w:ascii="宋体"/>
                <w:vanish/>
              </w:rPr>
            </w:pPr>
          </w:p>
        </w:tc>
      </w:tr>
      <w:tr w:rsidR="00584EC1" w14:paraId="74DDB7C4" w14:textId="77777777">
        <w:trPr>
          <w:jc w:val="center"/>
        </w:trPr>
        <w:tc>
          <w:tcPr>
            <w:tcW w:w="0" w:type="auto"/>
            <w:gridSpan w:val="3"/>
            <w:shd w:val="clear" w:color="auto" w:fill="FFFFFF"/>
            <w:tcMar>
              <w:top w:w="40" w:type="dxa"/>
              <w:left w:w="20" w:type="dxa"/>
              <w:bottom w:w="40" w:type="dxa"/>
              <w:right w:w="20" w:type="dxa"/>
            </w:tcMar>
            <w:vAlign w:val="bottom"/>
          </w:tcPr>
          <w:p w14:paraId="74DDB7BA" w14:textId="77777777" w:rsidR="00584EC1" w:rsidRDefault="00871F8D">
            <w:pPr>
              <w:textAlignment w:val="bottom"/>
            </w:pPr>
            <w:r>
              <w:rPr>
                <w:rFonts w:ascii="Arial" w:eastAsia="宋体" w:hAnsi="Arial" w:cs="Arial"/>
                <w:color w:val="000000"/>
                <w:sz w:val="15"/>
                <w:szCs w:val="15"/>
              </w:rPr>
              <w:t>Cash and due from banks at end of period</w:t>
            </w:r>
          </w:p>
        </w:tc>
        <w:tc>
          <w:tcPr>
            <w:tcW w:w="0" w:type="auto"/>
            <w:tcBorders>
              <w:top w:val="single" w:sz="8" w:space="0" w:color="000000"/>
            </w:tcBorders>
            <w:shd w:val="clear" w:color="auto" w:fill="FFFFFF"/>
            <w:tcMar>
              <w:top w:w="40" w:type="dxa"/>
              <w:left w:w="20" w:type="dxa"/>
              <w:bottom w:w="40" w:type="dxa"/>
              <w:right w:w="0" w:type="dxa"/>
            </w:tcMar>
            <w:vAlign w:val="bottom"/>
          </w:tcPr>
          <w:p w14:paraId="74DDB7BB" w14:textId="77777777" w:rsidR="00584EC1" w:rsidRDefault="00871F8D">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B7BC" w14:textId="77777777" w:rsidR="00584EC1" w:rsidRDefault="00871F8D">
            <w:pPr>
              <w:jc w:val="right"/>
              <w:textAlignment w:val="bottom"/>
            </w:pPr>
            <w:r>
              <w:rPr>
                <w:rFonts w:ascii="Arial" w:eastAsia="宋体" w:hAnsi="Arial" w:cs="Arial"/>
                <w:b/>
                <w:bCs/>
                <w:color w:val="000000"/>
                <w:sz w:val="15"/>
                <w:szCs w:val="15"/>
              </w:rPr>
              <w:t>4,606</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B7B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7BE"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B7BF"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B7C0" w14:textId="77777777" w:rsidR="00584EC1" w:rsidRDefault="00871F8D">
            <w:pPr>
              <w:jc w:val="right"/>
              <w:textAlignment w:val="bottom"/>
            </w:pPr>
            <w:r>
              <w:rPr>
                <w:rFonts w:ascii="Arial" w:eastAsia="宋体" w:hAnsi="Arial" w:cs="Arial"/>
                <w:color w:val="000000"/>
                <w:sz w:val="15"/>
                <w:szCs w:val="15"/>
              </w:rPr>
              <w:t>4,848 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B7C1" w14:textId="77777777" w:rsidR="00584EC1" w:rsidRDefault="00584EC1">
            <w:pPr>
              <w:jc w:val="right"/>
              <w:rPr>
                <w:rFonts w:ascii="宋体"/>
              </w:rPr>
            </w:pPr>
          </w:p>
        </w:tc>
        <w:tc>
          <w:tcPr>
            <w:tcW w:w="0" w:type="auto"/>
            <w:gridSpan w:val="3"/>
            <w:shd w:val="clear" w:color="auto" w:fill="auto"/>
            <w:vAlign w:val="bottom"/>
          </w:tcPr>
          <w:p w14:paraId="74DDB7C2" w14:textId="77777777" w:rsidR="00584EC1" w:rsidRDefault="00584EC1">
            <w:pPr>
              <w:rPr>
                <w:rFonts w:ascii="宋体"/>
                <w:vanish/>
              </w:rPr>
            </w:pPr>
          </w:p>
        </w:tc>
        <w:tc>
          <w:tcPr>
            <w:tcW w:w="0" w:type="auto"/>
            <w:gridSpan w:val="3"/>
            <w:shd w:val="clear" w:color="auto" w:fill="auto"/>
            <w:vAlign w:val="bottom"/>
          </w:tcPr>
          <w:p w14:paraId="74DDB7C3" w14:textId="77777777" w:rsidR="00584EC1" w:rsidRDefault="00584EC1">
            <w:pPr>
              <w:rPr>
                <w:rFonts w:ascii="宋体"/>
                <w:vanish/>
              </w:rPr>
            </w:pPr>
          </w:p>
        </w:tc>
      </w:tr>
      <w:tr w:rsidR="00584EC1" w14:paraId="74DDB7CB" w14:textId="77777777">
        <w:trPr>
          <w:trHeight w:val="60"/>
          <w:jc w:val="center"/>
        </w:trPr>
        <w:tc>
          <w:tcPr>
            <w:tcW w:w="0" w:type="auto"/>
            <w:gridSpan w:val="3"/>
            <w:shd w:val="clear" w:color="auto" w:fill="auto"/>
            <w:tcMar>
              <w:top w:w="0" w:type="dxa"/>
              <w:left w:w="20" w:type="dxa"/>
              <w:bottom w:w="0" w:type="dxa"/>
              <w:right w:w="20" w:type="dxa"/>
            </w:tcMar>
            <w:vAlign w:val="bottom"/>
          </w:tcPr>
          <w:p w14:paraId="74DDB7C5"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DB7C6"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B7C7"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DB7C8" w14:textId="77777777" w:rsidR="00584EC1" w:rsidRDefault="00584EC1">
            <w:pPr>
              <w:rPr>
                <w:rFonts w:ascii="宋体"/>
              </w:rPr>
            </w:pPr>
          </w:p>
        </w:tc>
        <w:tc>
          <w:tcPr>
            <w:tcW w:w="0" w:type="auto"/>
            <w:gridSpan w:val="3"/>
            <w:shd w:val="clear" w:color="auto" w:fill="auto"/>
            <w:vAlign w:val="bottom"/>
          </w:tcPr>
          <w:p w14:paraId="74DDB7C9" w14:textId="77777777" w:rsidR="00584EC1" w:rsidRDefault="00584EC1">
            <w:pPr>
              <w:rPr>
                <w:rFonts w:ascii="宋体"/>
                <w:vanish/>
              </w:rPr>
            </w:pPr>
          </w:p>
        </w:tc>
        <w:tc>
          <w:tcPr>
            <w:tcW w:w="0" w:type="auto"/>
            <w:gridSpan w:val="3"/>
            <w:shd w:val="clear" w:color="auto" w:fill="auto"/>
            <w:vAlign w:val="bottom"/>
          </w:tcPr>
          <w:p w14:paraId="74DDB7CA" w14:textId="77777777" w:rsidR="00584EC1" w:rsidRDefault="00584EC1">
            <w:pPr>
              <w:rPr>
                <w:rFonts w:ascii="宋体"/>
                <w:vanish/>
              </w:rPr>
            </w:pPr>
          </w:p>
        </w:tc>
      </w:tr>
      <w:tr w:rsidR="00584EC1" w14:paraId="74DDB7D2" w14:textId="77777777">
        <w:trPr>
          <w:jc w:val="center"/>
          <w:hidden/>
        </w:trPr>
        <w:tc>
          <w:tcPr>
            <w:tcW w:w="0" w:type="auto"/>
            <w:gridSpan w:val="3"/>
            <w:shd w:val="clear" w:color="auto" w:fill="auto"/>
            <w:vAlign w:val="bottom"/>
          </w:tcPr>
          <w:p w14:paraId="74DDB7CC" w14:textId="77777777" w:rsidR="00584EC1" w:rsidRDefault="00584EC1">
            <w:pPr>
              <w:rPr>
                <w:rFonts w:ascii="宋体"/>
                <w:vanish/>
              </w:rPr>
            </w:pPr>
          </w:p>
        </w:tc>
        <w:tc>
          <w:tcPr>
            <w:tcW w:w="0" w:type="auto"/>
            <w:gridSpan w:val="3"/>
            <w:shd w:val="clear" w:color="auto" w:fill="auto"/>
            <w:vAlign w:val="bottom"/>
          </w:tcPr>
          <w:p w14:paraId="74DDB7CD" w14:textId="77777777" w:rsidR="00584EC1" w:rsidRDefault="00584EC1">
            <w:pPr>
              <w:rPr>
                <w:rFonts w:ascii="宋体"/>
                <w:vanish/>
              </w:rPr>
            </w:pPr>
          </w:p>
        </w:tc>
        <w:tc>
          <w:tcPr>
            <w:tcW w:w="0" w:type="auto"/>
            <w:gridSpan w:val="3"/>
            <w:shd w:val="clear" w:color="auto" w:fill="auto"/>
            <w:vAlign w:val="bottom"/>
          </w:tcPr>
          <w:p w14:paraId="74DDB7CE" w14:textId="77777777" w:rsidR="00584EC1" w:rsidRDefault="00584EC1">
            <w:pPr>
              <w:rPr>
                <w:rFonts w:ascii="宋体"/>
                <w:vanish/>
              </w:rPr>
            </w:pPr>
          </w:p>
        </w:tc>
        <w:tc>
          <w:tcPr>
            <w:tcW w:w="0" w:type="auto"/>
            <w:gridSpan w:val="3"/>
            <w:shd w:val="clear" w:color="auto" w:fill="auto"/>
            <w:vAlign w:val="bottom"/>
          </w:tcPr>
          <w:p w14:paraId="74DDB7CF" w14:textId="77777777" w:rsidR="00584EC1" w:rsidRDefault="00584EC1">
            <w:pPr>
              <w:rPr>
                <w:rFonts w:ascii="宋体"/>
                <w:vanish/>
              </w:rPr>
            </w:pPr>
          </w:p>
        </w:tc>
        <w:tc>
          <w:tcPr>
            <w:tcW w:w="0" w:type="auto"/>
            <w:gridSpan w:val="3"/>
            <w:shd w:val="clear" w:color="auto" w:fill="auto"/>
            <w:vAlign w:val="bottom"/>
          </w:tcPr>
          <w:p w14:paraId="74DDB7D0" w14:textId="77777777" w:rsidR="00584EC1" w:rsidRDefault="00584EC1">
            <w:pPr>
              <w:rPr>
                <w:rFonts w:ascii="宋体"/>
                <w:vanish/>
              </w:rPr>
            </w:pPr>
          </w:p>
        </w:tc>
        <w:tc>
          <w:tcPr>
            <w:tcW w:w="0" w:type="auto"/>
            <w:gridSpan w:val="3"/>
            <w:shd w:val="clear" w:color="auto" w:fill="auto"/>
            <w:vAlign w:val="bottom"/>
          </w:tcPr>
          <w:p w14:paraId="74DDB7D1" w14:textId="77777777" w:rsidR="00584EC1" w:rsidRDefault="00584EC1">
            <w:pPr>
              <w:rPr>
                <w:rFonts w:ascii="宋体"/>
                <w:vanish/>
              </w:rPr>
            </w:pPr>
          </w:p>
        </w:tc>
      </w:tr>
      <w:tr w:rsidR="00584EC1" w14:paraId="74DDB7D9" w14:textId="77777777">
        <w:trPr>
          <w:jc w:val="center"/>
          <w:hidden/>
        </w:trPr>
        <w:tc>
          <w:tcPr>
            <w:tcW w:w="0" w:type="auto"/>
            <w:gridSpan w:val="3"/>
            <w:shd w:val="clear" w:color="auto" w:fill="auto"/>
            <w:vAlign w:val="bottom"/>
          </w:tcPr>
          <w:p w14:paraId="74DDB7D3" w14:textId="77777777" w:rsidR="00584EC1" w:rsidRDefault="00584EC1">
            <w:pPr>
              <w:rPr>
                <w:rFonts w:ascii="宋体"/>
                <w:vanish/>
              </w:rPr>
            </w:pPr>
          </w:p>
        </w:tc>
        <w:tc>
          <w:tcPr>
            <w:tcW w:w="0" w:type="auto"/>
            <w:gridSpan w:val="3"/>
            <w:shd w:val="clear" w:color="auto" w:fill="auto"/>
            <w:vAlign w:val="bottom"/>
          </w:tcPr>
          <w:p w14:paraId="74DDB7D4" w14:textId="77777777" w:rsidR="00584EC1" w:rsidRDefault="00584EC1">
            <w:pPr>
              <w:rPr>
                <w:rFonts w:ascii="宋体"/>
                <w:vanish/>
              </w:rPr>
            </w:pPr>
          </w:p>
        </w:tc>
        <w:tc>
          <w:tcPr>
            <w:tcW w:w="0" w:type="auto"/>
            <w:gridSpan w:val="3"/>
            <w:shd w:val="clear" w:color="auto" w:fill="auto"/>
            <w:vAlign w:val="bottom"/>
          </w:tcPr>
          <w:p w14:paraId="74DDB7D5" w14:textId="77777777" w:rsidR="00584EC1" w:rsidRDefault="00584EC1">
            <w:pPr>
              <w:rPr>
                <w:rFonts w:ascii="宋体"/>
                <w:vanish/>
              </w:rPr>
            </w:pPr>
          </w:p>
        </w:tc>
        <w:tc>
          <w:tcPr>
            <w:tcW w:w="0" w:type="auto"/>
            <w:gridSpan w:val="3"/>
            <w:shd w:val="clear" w:color="auto" w:fill="auto"/>
            <w:vAlign w:val="bottom"/>
          </w:tcPr>
          <w:p w14:paraId="74DDB7D6" w14:textId="77777777" w:rsidR="00584EC1" w:rsidRDefault="00584EC1">
            <w:pPr>
              <w:rPr>
                <w:rFonts w:ascii="宋体"/>
                <w:vanish/>
              </w:rPr>
            </w:pPr>
          </w:p>
        </w:tc>
        <w:tc>
          <w:tcPr>
            <w:tcW w:w="0" w:type="auto"/>
            <w:gridSpan w:val="3"/>
            <w:shd w:val="clear" w:color="auto" w:fill="auto"/>
            <w:vAlign w:val="bottom"/>
          </w:tcPr>
          <w:p w14:paraId="74DDB7D7" w14:textId="77777777" w:rsidR="00584EC1" w:rsidRDefault="00584EC1">
            <w:pPr>
              <w:rPr>
                <w:rFonts w:ascii="宋体"/>
                <w:vanish/>
              </w:rPr>
            </w:pPr>
          </w:p>
        </w:tc>
        <w:tc>
          <w:tcPr>
            <w:tcW w:w="0" w:type="auto"/>
            <w:gridSpan w:val="3"/>
            <w:shd w:val="clear" w:color="auto" w:fill="auto"/>
            <w:vAlign w:val="bottom"/>
          </w:tcPr>
          <w:p w14:paraId="74DDB7D8" w14:textId="77777777" w:rsidR="00584EC1" w:rsidRDefault="00584EC1">
            <w:pPr>
              <w:rPr>
                <w:rFonts w:ascii="宋体"/>
                <w:vanish/>
              </w:rPr>
            </w:pPr>
          </w:p>
        </w:tc>
      </w:tr>
      <w:tr w:rsidR="00584EC1" w14:paraId="74DDB7E0" w14:textId="77777777">
        <w:trPr>
          <w:jc w:val="center"/>
          <w:hidden/>
        </w:trPr>
        <w:tc>
          <w:tcPr>
            <w:tcW w:w="0" w:type="auto"/>
            <w:gridSpan w:val="3"/>
            <w:shd w:val="clear" w:color="auto" w:fill="auto"/>
            <w:vAlign w:val="bottom"/>
          </w:tcPr>
          <w:p w14:paraId="74DDB7DA" w14:textId="77777777" w:rsidR="00584EC1" w:rsidRDefault="00584EC1">
            <w:pPr>
              <w:rPr>
                <w:rFonts w:ascii="宋体"/>
                <w:vanish/>
              </w:rPr>
            </w:pPr>
          </w:p>
        </w:tc>
        <w:tc>
          <w:tcPr>
            <w:tcW w:w="0" w:type="auto"/>
            <w:gridSpan w:val="3"/>
            <w:shd w:val="clear" w:color="auto" w:fill="auto"/>
            <w:vAlign w:val="bottom"/>
          </w:tcPr>
          <w:p w14:paraId="74DDB7DB" w14:textId="77777777" w:rsidR="00584EC1" w:rsidRDefault="00584EC1">
            <w:pPr>
              <w:rPr>
                <w:rFonts w:ascii="宋体"/>
                <w:vanish/>
              </w:rPr>
            </w:pPr>
          </w:p>
        </w:tc>
        <w:tc>
          <w:tcPr>
            <w:tcW w:w="0" w:type="auto"/>
            <w:gridSpan w:val="3"/>
            <w:shd w:val="clear" w:color="auto" w:fill="auto"/>
            <w:vAlign w:val="bottom"/>
          </w:tcPr>
          <w:p w14:paraId="74DDB7DC" w14:textId="77777777" w:rsidR="00584EC1" w:rsidRDefault="00584EC1">
            <w:pPr>
              <w:rPr>
                <w:rFonts w:ascii="宋体"/>
                <w:vanish/>
              </w:rPr>
            </w:pPr>
          </w:p>
        </w:tc>
        <w:tc>
          <w:tcPr>
            <w:tcW w:w="0" w:type="auto"/>
            <w:gridSpan w:val="3"/>
            <w:shd w:val="clear" w:color="auto" w:fill="auto"/>
            <w:vAlign w:val="bottom"/>
          </w:tcPr>
          <w:p w14:paraId="74DDB7DD" w14:textId="77777777" w:rsidR="00584EC1" w:rsidRDefault="00584EC1">
            <w:pPr>
              <w:rPr>
                <w:rFonts w:ascii="宋体"/>
                <w:vanish/>
              </w:rPr>
            </w:pPr>
          </w:p>
        </w:tc>
        <w:tc>
          <w:tcPr>
            <w:tcW w:w="0" w:type="auto"/>
            <w:gridSpan w:val="3"/>
            <w:shd w:val="clear" w:color="auto" w:fill="auto"/>
            <w:vAlign w:val="bottom"/>
          </w:tcPr>
          <w:p w14:paraId="74DDB7DE" w14:textId="77777777" w:rsidR="00584EC1" w:rsidRDefault="00584EC1">
            <w:pPr>
              <w:rPr>
                <w:rFonts w:ascii="宋体"/>
                <w:vanish/>
              </w:rPr>
            </w:pPr>
          </w:p>
        </w:tc>
        <w:tc>
          <w:tcPr>
            <w:tcW w:w="0" w:type="auto"/>
            <w:gridSpan w:val="3"/>
            <w:shd w:val="clear" w:color="auto" w:fill="auto"/>
            <w:vAlign w:val="bottom"/>
          </w:tcPr>
          <w:p w14:paraId="74DDB7DF" w14:textId="77777777" w:rsidR="00584EC1" w:rsidRDefault="00584EC1">
            <w:pPr>
              <w:rPr>
                <w:rFonts w:ascii="宋体"/>
                <w:vanish/>
              </w:rPr>
            </w:pPr>
          </w:p>
        </w:tc>
      </w:tr>
    </w:tbl>
    <w:p w14:paraId="74DDB7E1" w14:textId="77777777" w:rsidR="00584EC1" w:rsidRDefault="00584EC1">
      <w:pPr>
        <w:ind w:firstLine="450"/>
      </w:pPr>
    </w:p>
    <w:p w14:paraId="74DDB7E2" w14:textId="77777777" w:rsidR="00584EC1" w:rsidRDefault="00584EC1">
      <w:pPr>
        <w:ind w:firstLine="450"/>
      </w:pPr>
    </w:p>
    <w:p w14:paraId="74DDB7E3" w14:textId="77777777" w:rsidR="00584EC1" w:rsidRDefault="00584EC1">
      <w:pPr>
        <w:ind w:firstLine="450"/>
      </w:pPr>
    </w:p>
    <w:p w14:paraId="74DDB7E4" w14:textId="77777777" w:rsidR="00584EC1" w:rsidRDefault="00584EC1">
      <w:pPr>
        <w:ind w:firstLine="450"/>
      </w:pPr>
    </w:p>
    <w:p w14:paraId="74DDB7E5" w14:textId="77777777" w:rsidR="00584EC1" w:rsidRDefault="00584EC1">
      <w:pPr>
        <w:ind w:firstLine="450"/>
      </w:pPr>
    </w:p>
    <w:p w14:paraId="74DDB7E6" w14:textId="77777777" w:rsidR="00584EC1" w:rsidRDefault="00871F8D">
      <w:pPr>
        <w:spacing w:after="60"/>
        <w:ind w:firstLine="450"/>
        <w:jc w:val="center"/>
      </w:pPr>
      <w:r>
        <w:rPr>
          <w:rFonts w:ascii="Arial" w:eastAsia="宋体" w:hAnsi="Arial" w:cs="Arial"/>
          <w:color w:val="000000"/>
          <w:sz w:val="18"/>
          <w:szCs w:val="18"/>
        </w:rPr>
        <w:t xml:space="preserve">The accompanying condensed notes are an integral part of these consolidated financial statements. </w:t>
      </w:r>
    </w:p>
    <w:p w14:paraId="74DDB7E7" w14:textId="77777777" w:rsidR="00584EC1" w:rsidRDefault="00871F8D">
      <w:pPr>
        <w:ind w:firstLine="450"/>
        <w:jc w:val="right"/>
      </w:pPr>
      <w:r>
        <w:rPr>
          <w:rFonts w:ascii="Arial" w:eastAsia="宋体" w:hAnsi="Arial" w:cs="Arial"/>
          <w:color w:val="000000"/>
          <w:sz w:val="18"/>
          <w:szCs w:val="18"/>
        </w:rPr>
        <w:t>State Street Corporation | 58</w:t>
      </w:r>
    </w:p>
    <w:p w14:paraId="74DDB7E8" w14:textId="77777777" w:rsidR="00584EC1" w:rsidRDefault="00584EC1">
      <w:pPr>
        <w:ind w:firstLine="450"/>
        <w:jc w:val="center"/>
      </w:pPr>
    </w:p>
    <w:p w14:paraId="74DDB7E9" w14:textId="77777777" w:rsidR="00584EC1" w:rsidRDefault="00871F8D">
      <w:r>
        <w:pict w14:anchorId="74DE2A28">
          <v:rect id="_x0000_i1082" style="width:415.3pt;height:1.5pt" o:hralign="center" o:hrstd="t" o:hr="t" fillcolor="#a0a0a0" stroked="f"/>
        </w:pict>
      </w:r>
    </w:p>
    <w:p w14:paraId="74DDB7EA" w14:textId="77777777" w:rsidR="00584EC1" w:rsidRDefault="00871F8D">
      <w:pPr>
        <w:ind w:firstLine="450"/>
        <w:jc w:val="center"/>
      </w:pPr>
      <w:r>
        <w:rPr>
          <w:rFonts w:ascii="Arial" w:eastAsia="宋体" w:hAnsi="Arial" w:cs="Arial"/>
          <w:b/>
          <w:bCs/>
          <w:color w:val="000000"/>
          <w:sz w:val="20"/>
          <w:szCs w:val="20"/>
        </w:rPr>
        <w:t>STATE STREET CORPORATION</w:t>
      </w:r>
    </w:p>
    <w:p w14:paraId="74DDB7EB" w14:textId="77777777" w:rsidR="00584EC1" w:rsidRDefault="00871F8D">
      <w:pPr>
        <w:ind w:firstLine="450"/>
        <w:jc w:val="center"/>
      </w:pPr>
      <w:r>
        <w:rPr>
          <w:rFonts w:ascii="Arial" w:eastAsia="宋体" w:hAnsi="Arial" w:cs="Arial"/>
          <w:b/>
          <w:bCs/>
          <w:color w:val="000000"/>
          <w:sz w:val="20"/>
          <w:szCs w:val="20"/>
        </w:rPr>
        <w:t>CONDENSED NOTES TO CONSOLIDATED FINANCIAL STATEMENTS</w:t>
      </w:r>
    </w:p>
    <w:p w14:paraId="74DDB7EC" w14:textId="77777777" w:rsidR="00584EC1" w:rsidRDefault="00871F8D">
      <w:pPr>
        <w:ind w:firstLine="450"/>
        <w:jc w:val="center"/>
      </w:pPr>
      <w:r>
        <w:rPr>
          <w:rFonts w:ascii="Arial" w:eastAsia="宋体" w:hAnsi="Arial" w:cs="Arial"/>
          <w:b/>
          <w:bCs/>
          <w:color w:val="000000"/>
          <w:sz w:val="20"/>
          <w:szCs w:val="20"/>
        </w:rPr>
        <w:t>(UNAUDITED)</w:t>
      </w:r>
    </w:p>
    <w:p w14:paraId="74DDB7ED" w14:textId="77777777" w:rsidR="00584EC1" w:rsidRDefault="00871F8D">
      <w:pPr>
        <w:spacing w:before="90"/>
        <w:jc w:val="both"/>
        <w:textAlignment w:val="top"/>
      </w:pPr>
      <w:r>
        <w:rPr>
          <w:rFonts w:ascii="Arial" w:eastAsia="宋体" w:hAnsi="Arial" w:cs="Arial"/>
          <w:b/>
          <w:bCs/>
          <w:color w:val="000000"/>
          <w:sz w:val="20"/>
          <w:szCs w:val="20"/>
        </w:rPr>
        <w:t xml:space="preserve">Note 1.    Summary of Significant </w:t>
      </w:r>
      <w:r>
        <w:rPr>
          <w:rFonts w:ascii="Arial" w:eastAsia="宋体" w:hAnsi="Arial" w:cs="Arial"/>
          <w:b/>
          <w:bCs/>
          <w:color w:val="000000"/>
          <w:sz w:val="20"/>
          <w:szCs w:val="20"/>
        </w:rPr>
        <w:t>Accounting Policies</w:t>
      </w:r>
    </w:p>
    <w:p w14:paraId="74DDB7EE" w14:textId="77777777" w:rsidR="00584EC1" w:rsidRDefault="00871F8D">
      <w:pPr>
        <w:spacing w:before="60"/>
        <w:jc w:val="both"/>
        <w:textAlignment w:val="top"/>
      </w:pPr>
      <w:r>
        <w:rPr>
          <w:rFonts w:ascii="Arial" w:eastAsia="宋体" w:hAnsi="Arial" w:cs="Arial"/>
          <w:b/>
          <w:bCs/>
          <w:i/>
          <w:iCs/>
          <w:color w:val="000000"/>
          <w:sz w:val="20"/>
          <w:szCs w:val="20"/>
        </w:rPr>
        <w:t>Basis of Presentation</w:t>
      </w:r>
    </w:p>
    <w:p w14:paraId="74DDB7EF" w14:textId="77777777" w:rsidR="00584EC1" w:rsidRDefault="00871F8D">
      <w:pPr>
        <w:spacing w:before="60"/>
        <w:ind w:firstLine="450"/>
        <w:jc w:val="both"/>
        <w:textAlignment w:val="top"/>
      </w:pPr>
      <w:r>
        <w:rPr>
          <w:rFonts w:ascii="Arial" w:eastAsia="宋体" w:hAnsi="Arial" w:cs="Arial"/>
          <w:color w:val="000000"/>
          <w:sz w:val="20"/>
          <w:szCs w:val="20"/>
        </w:rPr>
        <w:t>The accounting and financial reporting policies of State Street Corporation conform to U.S. GAAP. State Street Corporation, the Parent Company, is a financial holding company headquartered in Boston, Massachusetts.</w:t>
      </w:r>
      <w:r>
        <w:rPr>
          <w:rFonts w:ascii="Arial" w:eastAsia="宋体" w:hAnsi="Arial" w:cs="Arial"/>
          <w:color w:val="000000"/>
          <w:sz w:val="20"/>
          <w:szCs w:val="20"/>
        </w:rPr>
        <w:t xml:space="preserve"> Unless otherwise indicated or unless the context requires otherwise, all references in these notes to consolidated financial statements to “State Street,” “we,” “us,” “our” or similar references mean State Street Corporation and its subsidiaries on a cons</w:t>
      </w:r>
      <w:r>
        <w:rPr>
          <w:rFonts w:ascii="Arial" w:eastAsia="宋体" w:hAnsi="Arial" w:cs="Arial"/>
          <w:color w:val="000000"/>
          <w:sz w:val="20"/>
          <w:szCs w:val="20"/>
        </w:rPr>
        <w:t>olidated basis, including our principal banking subsidiary, State Street Bank.</w:t>
      </w:r>
    </w:p>
    <w:p w14:paraId="74DDB7F0" w14:textId="77777777" w:rsidR="00584EC1" w:rsidRDefault="00871F8D">
      <w:pPr>
        <w:spacing w:before="60"/>
        <w:ind w:firstLine="450"/>
        <w:jc w:val="both"/>
        <w:textAlignment w:val="top"/>
      </w:pPr>
      <w:r>
        <w:rPr>
          <w:rFonts w:ascii="Arial" w:eastAsia="宋体" w:hAnsi="Arial" w:cs="Arial"/>
          <w:color w:val="000000"/>
          <w:sz w:val="20"/>
          <w:szCs w:val="20"/>
        </w:rPr>
        <w:t>The accompanying consolidated financial statements should be read in conjunction with the financial and risk factor information included in our 2020 Form 10-K, which we previous</w:t>
      </w:r>
      <w:r>
        <w:rPr>
          <w:rFonts w:ascii="Arial" w:eastAsia="宋体" w:hAnsi="Arial" w:cs="Arial"/>
          <w:color w:val="000000"/>
          <w:sz w:val="20"/>
          <w:szCs w:val="20"/>
        </w:rPr>
        <w:t>ly filed with the SEC.</w:t>
      </w:r>
    </w:p>
    <w:p w14:paraId="74DDB7F1" w14:textId="77777777" w:rsidR="00584EC1" w:rsidRDefault="00871F8D">
      <w:pPr>
        <w:spacing w:before="60"/>
        <w:ind w:firstLine="450"/>
        <w:jc w:val="both"/>
        <w:textAlignment w:val="top"/>
      </w:pPr>
      <w:r>
        <w:rPr>
          <w:rFonts w:ascii="Arial" w:eastAsia="宋体" w:hAnsi="Arial" w:cs="Arial"/>
          <w:color w:val="000000"/>
          <w:sz w:val="20"/>
          <w:szCs w:val="20"/>
        </w:rPr>
        <w:t>The consolidated financial statements accompanying these condensed notes are unaudited. In the opinion of management, all adjustments, consisting only of normal recurring adjustments, which are necessary for a fair statement of the c</w:t>
      </w:r>
      <w:r>
        <w:rPr>
          <w:rFonts w:ascii="Arial" w:eastAsia="宋体" w:hAnsi="Arial" w:cs="Arial"/>
          <w:color w:val="000000"/>
          <w:sz w:val="20"/>
          <w:szCs w:val="20"/>
        </w:rPr>
        <w:t>onsolidated results of operations in these financial statements, have been made. Certain previously reported amounts presented in this Form 10-Q have been reclassified to conform to current-period presentation. Events occurring subsequent to the date of ou</w:t>
      </w:r>
      <w:r>
        <w:rPr>
          <w:rFonts w:ascii="Arial" w:eastAsia="宋体" w:hAnsi="Arial" w:cs="Arial"/>
          <w:color w:val="000000"/>
          <w:sz w:val="20"/>
          <w:szCs w:val="20"/>
        </w:rPr>
        <w:t>r consolidated statement of condition were evaluated for potential recognition or disclosure in our consolidated financial statements through the date we filed this Form 10-Q with the SEC.</w:t>
      </w:r>
    </w:p>
    <w:p w14:paraId="74DDB7F2" w14:textId="77777777" w:rsidR="00584EC1" w:rsidRDefault="00871F8D">
      <w:pPr>
        <w:spacing w:before="60"/>
        <w:ind w:firstLine="450"/>
        <w:jc w:val="both"/>
        <w:textAlignment w:val="top"/>
      </w:pPr>
      <w:r>
        <w:rPr>
          <w:rFonts w:ascii="Arial" w:eastAsia="宋体" w:hAnsi="Arial" w:cs="Arial"/>
          <w:color w:val="000000"/>
          <w:sz w:val="20"/>
          <w:szCs w:val="20"/>
        </w:rPr>
        <w:t xml:space="preserve">The preparation of consolidated financial statements in conformity </w:t>
      </w:r>
      <w:r>
        <w:rPr>
          <w:rFonts w:ascii="Arial" w:eastAsia="宋体" w:hAnsi="Arial" w:cs="Arial"/>
          <w:color w:val="000000"/>
          <w:sz w:val="20"/>
          <w:szCs w:val="20"/>
        </w:rPr>
        <w:t>with U.S. GAAP requires management to make estimates and assumptions in the application of certain of our significant accounting policies that may materially affect the reported amounts of assets, liabilities, equity, revenue and expenses. As a result of u</w:t>
      </w:r>
      <w:r>
        <w:rPr>
          <w:rFonts w:ascii="Arial" w:eastAsia="宋体" w:hAnsi="Arial" w:cs="Arial"/>
          <w:color w:val="000000"/>
          <w:sz w:val="20"/>
          <w:szCs w:val="20"/>
        </w:rPr>
        <w:t>nanticipated events or circumstances, actual results could differ from those estimates. These accounting estimates reflect the best judgment of management, but actual results could differ.</w:t>
      </w:r>
    </w:p>
    <w:p w14:paraId="74DDB7F3" w14:textId="77777777" w:rsidR="00584EC1" w:rsidRDefault="00871F8D">
      <w:pPr>
        <w:spacing w:before="60"/>
        <w:ind w:firstLine="450"/>
        <w:jc w:val="both"/>
        <w:textAlignment w:val="top"/>
      </w:pPr>
      <w:r>
        <w:rPr>
          <w:rFonts w:ascii="Arial" w:eastAsia="宋体" w:hAnsi="Arial" w:cs="Arial"/>
          <w:color w:val="000000"/>
          <w:sz w:val="20"/>
          <w:szCs w:val="20"/>
        </w:rPr>
        <w:t>Our consolidated statement of condition as of December 31, 2020 inc</w:t>
      </w:r>
      <w:r>
        <w:rPr>
          <w:rFonts w:ascii="Arial" w:eastAsia="宋体" w:hAnsi="Arial" w:cs="Arial"/>
          <w:color w:val="000000"/>
          <w:sz w:val="20"/>
          <w:szCs w:val="20"/>
        </w:rPr>
        <w:t>luded in the accompanying consolidated financial statements was derived from the audited financial statements as of that date, but does not include all notes required by U.S. GAAP for a complete set of consolidated financial statements.</w:t>
      </w:r>
    </w:p>
    <w:p w14:paraId="74DDB7F4" w14:textId="77777777" w:rsidR="00584EC1" w:rsidRDefault="00871F8D">
      <w:pPr>
        <w:spacing w:before="60"/>
        <w:ind w:firstLine="450"/>
        <w:jc w:val="both"/>
        <w:textAlignment w:val="top"/>
      </w:pPr>
      <w:r>
        <w:rPr>
          <w:rFonts w:ascii="Arial" w:eastAsia="宋体" w:hAnsi="Arial" w:cs="Arial"/>
          <w:color w:val="000000"/>
          <w:sz w:val="20"/>
          <w:szCs w:val="20"/>
        </w:rPr>
        <w:t xml:space="preserve">In September 2021, </w:t>
      </w:r>
      <w:r>
        <w:rPr>
          <w:rFonts w:ascii="Arial" w:eastAsia="宋体" w:hAnsi="Arial" w:cs="Arial"/>
          <w:color w:val="000000"/>
          <w:sz w:val="20"/>
          <w:szCs w:val="20"/>
        </w:rPr>
        <w:t>we announced that we had entered into a definitive agreement to acquire the BBH Investor Services business for $3.5 billion in cash.</w:t>
      </w:r>
    </w:p>
    <w:p w14:paraId="74DDB7F5" w14:textId="77777777" w:rsidR="00584EC1" w:rsidRDefault="00871F8D">
      <w:pPr>
        <w:spacing w:before="60"/>
        <w:jc w:val="both"/>
        <w:textAlignment w:val="top"/>
      </w:pPr>
      <w:r>
        <w:rPr>
          <w:rFonts w:ascii="Arial" w:eastAsia="宋体" w:hAnsi="Arial" w:cs="Arial"/>
          <w:b/>
          <w:bCs/>
          <w:i/>
          <w:iCs/>
          <w:color w:val="000000"/>
          <w:sz w:val="20"/>
          <w:szCs w:val="20"/>
        </w:rPr>
        <w:t>Recent Accounting Developments</w:t>
      </w:r>
    </w:p>
    <w:p w14:paraId="74DDB7F6" w14:textId="77777777" w:rsidR="00584EC1" w:rsidRDefault="00871F8D">
      <w:pPr>
        <w:spacing w:before="60"/>
        <w:jc w:val="both"/>
        <w:textAlignment w:val="top"/>
      </w:pPr>
      <w:r>
        <w:rPr>
          <w:rFonts w:ascii="Arial" w:eastAsia="宋体" w:hAnsi="Arial" w:cs="Arial"/>
          <w:color w:val="000000"/>
          <w:sz w:val="20"/>
          <w:szCs w:val="20"/>
        </w:rPr>
        <w:t>We did not adopt any new accounting standards in the third quarter of 2021 that had a materi</w:t>
      </w:r>
      <w:r>
        <w:rPr>
          <w:rFonts w:ascii="Arial" w:eastAsia="宋体" w:hAnsi="Arial" w:cs="Arial"/>
          <w:color w:val="000000"/>
          <w:sz w:val="20"/>
          <w:szCs w:val="20"/>
        </w:rPr>
        <w:t>al impact to our financial statements. Additionally, we continue to evaluate accounting standards that were recently issued but not yet adopted as of September 30, 2021; none are expected to have a material impact to our financial statements.</w:t>
      </w:r>
    </w:p>
    <w:p w14:paraId="74DDB7F7" w14:textId="77777777" w:rsidR="00584EC1" w:rsidRDefault="00871F8D">
      <w:pPr>
        <w:spacing w:before="180"/>
        <w:textAlignment w:val="top"/>
      </w:pPr>
      <w:r>
        <w:rPr>
          <w:rFonts w:ascii="Arial" w:eastAsia="宋体" w:hAnsi="Arial" w:cs="Arial"/>
          <w:b/>
          <w:bCs/>
          <w:color w:val="000000"/>
          <w:sz w:val="20"/>
          <w:szCs w:val="20"/>
        </w:rPr>
        <w:t>Note 2.    Fa</w:t>
      </w:r>
      <w:r>
        <w:rPr>
          <w:rFonts w:ascii="Arial" w:eastAsia="宋体" w:hAnsi="Arial" w:cs="Arial"/>
          <w:b/>
          <w:bCs/>
          <w:color w:val="000000"/>
          <w:sz w:val="20"/>
          <w:szCs w:val="20"/>
        </w:rPr>
        <w:t>ir Value</w:t>
      </w:r>
    </w:p>
    <w:p w14:paraId="74DDB7F8" w14:textId="77777777" w:rsidR="00584EC1" w:rsidRDefault="00871F8D">
      <w:pPr>
        <w:spacing w:before="60"/>
        <w:jc w:val="both"/>
        <w:textAlignment w:val="top"/>
      </w:pPr>
      <w:r>
        <w:rPr>
          <w:rFonts w:ascii="Arial" w:eastAsia="宋体" w:hAnsi="Arial" w:cs="Arial"/>
          <w:b/>
          <w:bCs/>
          <w:i/>
          <w:iCs/>
          <w:color w:val="000000"/>
          <w:sz w:val="20"/>
          <w:szCs w:val="20"/>
        </w:rPr>
        <w:t>Fair Value Measurements</w:t>
      </w:r>
    </w:p>
    <w:p w14:paraId="74DDB7F9" w14:textId="77777777" w:rsidR="00584EC1" w:rsidRDefault="00871F8D">
      <w:pPr>
        <w:spacing w:before="60"/>
        <w:ind w:firstLine="450"/>
        <w:jc w:val="both"/>
        <w:textAlignment w:val="top"/>
      </w:pPr>
      <w:r>
        <w:rPr>
          <w:rFonts w:ascii="Arial" w:eastAsia="宋体" w:hAnsi="Arial" w:cs="Arial"/>
          <w:color w:val="000000"/>
          <w:sz w:val="20"/>
          <w:szCs w:val="20"/>
        </w:rPr>
        <w:t xml:space="preserve">We carry trading account assets and liabilities, AFS debt securities, certain equity securities and various types of derivative financial instruments, at fair value in our consolidated statement of condition on a </w:t>
      </w:r>
      <w:r>
        <w:rPr>
          <w:rFonts w:ascii="Arial" w:eastAsia="宋体" w:hAnsi="Arial" w:cs="Arial"/>
          <w:color w:val="000000"/>
          <w:sz w:val="20"/>
          <w:szCs w:val="20"/>
        </w:rPr>
        <w:t>recurring basis. Changes in the fair values of these financial assets and liabilities are recorded either as components of our consolidated statement of income or as components of AOCI within shareholders' equity in our consolidated statement of condition.</w:t>
      </w:r>
    </w:p>
    <w:p w14:paraId="74DDB7FA" w14:textId="77777777" w:rsidR="00584EC1" w:rsidRDefault="00871F8D">
      <w:pPr>
        <w:spacing w:before="60"/>
        <w:ind w:firstLine="450"/>
        <w:jc w:val="both"/>
        <w:textAlignment w:val="top"/>
      </w:pPr>
      <w:r>
        <w:rPr>
          <w:rFonts w:ascii="Arial" w:eastAsia="宋体" w:hAnsi="Arial" w:cs="Arial"/>
          <w:color w:val="000000"/>
          <w:sz w:val="20"/>
          <w:szCs w:val="20"/>
        </w:rPr>
        <w:t>We measure fair value for the above-described financial assets and liabilities in conformity with U.S. GAAP that governs the measurement of the fair value of financial instruments. Management believes that its valuation techniques and underlying assumptio</w:t>
      </w:r>
      <w:r>
        <w:rPr>
          <w:rFonts w:ascii="Arial" w:eastAsia="宋体" w:hAnsi="Arial" w:cs="Arial"/>
          <w:color w:val="000000"/>
          <w:sz w:val="20"/>
          <w:szCs w:val="20"/>
        </w:rPr>
        <w:t>ns used to measure fair value conform to the provisions of U.S. GAAP. We categorize the financial assets and liabilities that we carry at fair value based on a prescribed three-level valuation hierarchy. For information about our valuation techniques for f</w:t>
      </w:r>
      <w:r>
        <w:rPr>
          <w:rFonts w:ascii="Arial" w:eastAsia="宋体" w:hAnsi="Arial" w:cs="Arial"/>
          <w:color w:val="000000"/>
          <w:sz w:val="20"/>
          <w:szCs w:val="20"/>
        </w:rPr>
        <w:t>inancial assets and financial liabilities measured at fair value and the fair value hierarchy, refer to pages 135 to 142 in Note 2 to the consolidated financial statements included under Item 8, Financial Statements and Supplementary Data, in our 2020 Form</w:t>
      </w:r>
      <w:r>
        <w:rPr>
          <w:rFonts w:ascii="Arial" w:eastAsia="宋体" w:hAnsi="Arial" w:cs="Arial"/>
          <w:color w:val="000000"/>
          <w:sz w:val="20"/>
          <w:szCs w:val="20"/>
        </w:rPr>
        <w:t xml:space="preserve"> 10-K.</w:t>
      </w:r>
    </w:p>
    <w:p w14:paraId="74DDB7FB" w14:textId="77777777" w:rsidR="00584EC1" w:rsidRDefault="00584EC1">
      <w:pPr>
        <w:spacing w:before="60"/>
        <w:ind w:firstLine="450"/>
        <w:jc w:val="both"/>
        <w:textAlignment w:val="top"/>
      </w:pPr>
    </w:p>
    <w:p w14:paraId="74DDB7FC" w14:textId="77777777" w:rsidR="00584EC1" w:rsidRDefault="00871F8D">
      <w:pPr>
        <w:ind w:firstLine="450"/>
        <w:jc w:val="right"/>
      </w:pPr>
      <w:r>
        <w:rPr>
          <w:rFonts w:ascii="Arial" w:eastAsia="宋体" w:hAnsi="Arial" w:cs="Arial"/>
          <w:color w:val="000000"/>
          <w:sz w:val="18"/>
          <w:szCs w:val="18"/>
        </w:rPr>
        <w:t>State Street Corporation | 59</w:t>
      </w:r>
    </w:p>
    <w:p w14:paraId="74DDB7FD" w14:textId="77777777" w:rsidR="00584EC1" w:rsidRDefault="00584EC1">
      <w:pPr>
        <w:ind w:firstLine="450"/>
        <w:jc w:val="center"/>
      </w:pPr>
    </w:p>
    <w:p w14:paraId="74DDB7FE" w14:textId="77777777" w:rsidR="00584EC1" w:rsidRDefault="00871F8D">
      <w:r>
        <w:pict w14:anchorId="74DE2A29">
          <v:rect id="_x0000_i1083" style="width:415.3pt;height:1.5pt" o:hralign="center" o:hrstd="t" o:hr="t" fillcolor="#a0a0a0" stroked="f"/>
        </w:pict>
      </w:r>
    </w:p>
    <w:p w14:paraId="74DDB7FF" w14:textId="77777777" w:rsidR="00584EC1" w:rsidRDefault="00871F8D">
      <w:pPr>
        <w:ind w:firstLine="450"/>
        <w:jc w:val="center"/>
      </w:pPr>
      <w:r>
        <w:rPr>
          <w:rFonts w:ascii="Arial" w:eastAsia="宋体" w:hAnsi="Arial" w:cs="Arial"/>
          <w:b/>
          <w:bCs/>
          <w:color w:val="000000"/>
          <w:sz w:val="20"/>
          <w:szCs w:val="20"/>
        </w:rPr>
        <w:t>STATE STREET CORPORATION</w:t>
      </w:r>
    </w:p>
    <w:p w14:paraId="74DDB800" w14:textId="77777777" w:rsidR="00584EC1" w:rsidRDefault="00871F8D">
      <w:pPr>
        <w:ind w:firstLine="450"/>
        <w:jc w:val="center"/>
      </w:pPr>
      <w:r>
        <w:rPr>
          <w:rFonts w:ascii="Arial" w:eastAsia="宋体" w:hAnsi="Arial" w:cs="Arial"/>
          <w:b/>
          <w:bCs/>
          <w:color w:val="000000"/>
          <w:sz w:val="20"/>
          <w:szCs w:val="20"/>
        </w:rPr>
        <w:t>CONDENSED NOTES TO CONSOLIDATED FINANCIAL STATEMENTS</w:t>
      </w:r>
    </w:p>
    <w:p w14:paraId="74DDB801" w14:textId="77777777" w:rsidR="00584EC1" w:rsidRDefault="00871F8D">
      <w:pPr>
        <w:ind w:firstLine="450"/>
        <w:jc w:val="center"/>
      </w:pPr>
      <w:r>
        <w:rPr>
          <w:rFonts w:ascii="Arial" w:eastAsia="宋体" w:hAnsi="Arial" w:cs="Arial"/>
          <w:b/>
          <w:bCs/>
          <w:color w:val="000000"/>
          <w:sz w:val="20"/>
          <w:szCs w:val="20"/>
        </w:rPr>
        <w:t>(UNAUDITED)</w:t>
      </w:r>
    </w:p>
    <w:p w14:paraId="74DDB802" w14:textId="77777777" w:rsidR="00584EC1" w:rsidRDefault="00871F8D">
      <w:pPr>
        <w:spacing w:before="60"/>
        <w:ind w:firstLine="450"/>
        <w:jc w:val="both"/>
      </w:pPr>
      <w:r>
        <w:rPr>
          <w:rFonts w:ascii="Arial" w:eastAsia="宋体" w:hAnsi="Arial" w:cs="Arial"/>
          <w:color w:val="000000"/>
          <w:sz w:val="20"/>
          <w:szCs w:val="20"/>
        </w:rPr>
        <w:t>The following tables present information with respect to our financial assets and liabilities carried at fair value in our co</w:t>
      </w:r>
      <w:r>
        <w:rPr>
          <w:rFonts w:ascii="Arial" w:eastAsia="宋体" w:hAnsi="Arial" w:cs="Arial"/>
          <w:color w:val="000000"/>
          <w:sz w:val="20"/>
          <w:szCs w:val="20"/>
        </w:rPr>
        <w:t>nsolidated statement of condition on a recurring basis as of the dates indicated:</w:t>
      </w:r>
    </w:p>
    <w:tbl>
      <w:tblPr>
        <w:tblW w:w="4993" w:type="pct"/>
        <w:tblCellMar>
          <w:top w:w="15" w:type="dxa"/>
          <w:left w:w="15" w:type="dxa"/>
          <w:bottom w:w="15" w:type="dxa"/>
          <w:right w:w="15" w:type="dxa"/>
        </w:tblCellMar>
        <w:tblLook w:val="04A0" w:firstRow="1" w:lastRow="0" w:firstColumn="1" w:lastColumn="0" w:noHBand="0" w:noVBand="1"/>
      </w:tblPr>
      <w:tblGrid>
        <w:gridCol w:w="53"/>
        <w:gridCol w:w="2203"/>
        <w:gridCol w:w="41"/>
        <w:gridCol w:w="105"/>
        <w:gridCol w:w="1057"/>
        <w:gridCol w:w="36"/>
        <w:gridCol w:w="36"/>
        <w:gridCol w:w="36"/>
        <w:gridCol w:w="36"/>
        <w:gridCol w:w="105"/>
        <w:gridCol w:w="1104"/>
        <w:gridCol w:w="36"/>
        <w:gridCol w:w="36"/>
        <w:gridCol w:w="36"/>
        <w:gridCol w:w="36"/>
        <w:gridCol w:w="105"/>
        <w:gridCol w:w="1105"/>
        <w:gridCol w:w="36"/>
        <w:gridCol w:w="36"/>
        <w:gridCol w:w="36"/>
        <w:gridCol w:w="36"/>
        <w:gridCol w:w="105"/>
        <w:gridCol w:w="612"/>
        <w:gridCol w:w="36"/>
        <w:gridCol w:w="36"/>
        <w:gridCol w:w="36"/>
        <w:gridCol w:w="36"/>
        <w:gridCol w:w="105"/>
        <w:gridCol w:w="1012"/>
        <w:gridCol w:w="36"/>
      </w:tblGrid>
      <w:tr w:rsidR="00584EC1" w14:paraId="74DDB821" w14:textId="77777777">
        <w:tc>
          <w:tcPr>
            <w:tcW w:w="50" w:type="pct"/>
            <w:shd w:val="clear" w:color="auto" w:fill="auto"/>
            <w:vAlign w:val="bottom"/>
          </w:tcPr>
          <w:p w14:paraId="74DDB803" w14:textId="77777777" w:rsidR="00584EC1" w:rsidRDefault="00584EC1">
            <w:pPr>
              <w:rPr>
                <w:rFonts w:ascii="宋体"/>
              </w:rPr>
            </w:pPr>
          </w:p>
        </w:tc>
        <w:tc>
          <w:tcPr>
            <w:tcW w:w="1760" w:type="pct"/>
            <w:shd w:val="clear" w:color="auto" w:fill="auto"/>
            <w:vAlign w:val="bottom"/>
          </w:tcPr>
          <w:p w14:paraId="74DDB804" w14:textId="77777777" w:rsidR="00584EC1" w:rsidRDefault="00584EC1">
            <w:pPr>
              <w:rPr>
                <w:rFonts w:ascii="宋体"/>
              </w:rPr>
            </w:pPr>
          </w:p>
        </w:tc>
        <w:tc>
          <w:tcPr>
            <w:tcW w:w="5" w:type="pct"/>
            <w:shd w:val="clear" w:color="auto" w:fill="auto"/>
            <w:vAlign w:val="bottom"/>
          </w:tcPr>
          <w:p w14:paraId="74DDB805" w14:textId="77777777" w:rsidR="00584EC1" w:rsidRDefault="00584EC1">
            <w:pPr>
              <w:rPr>
                <w:rFonts w:ascii="宋体"/>
              </w:rPr>
            </w:pPr>
          </w:p>
        </w:tc>
        <w:tc>
          <w:tcPr>
            <w:tcW w:w="50" w:type="pct"/>
            <w:shd w:val="clear" w:color="auto" w:fill="auto"/>
            <w:vAlign w:val="bottom"/>
          </w:tcPr>
          <w:p w14:paraId="74DDB806" w14:textId="77777777" w:rsidR="00584EC1" w:rsidRDefault="00584EC1">
            <w:pPr>
              <w:rPr>
                <w:rFonts w:ascii="宋体"/>
              </w:rPr>
            </w:pPr>
          </w:p>
        </w:tc>
        <w:tc>
          <w:tcPr>
            <w:tcW w:w="581" w:type="pct"/>
            <w:shd w:val="clear" w:color="auto" w:fill="auto"/>
            <w:vAlign w:val="bottom"/>
          </w:tcPr>
          <w:p w14:paraId="74DDB807" w14:textId="77777777" w:rsidR="00584EC1" w:rsidRDefault="00584EC1">
            <w:pPr>
              <w:rPr>
                <w:rFonts w:ascii="宋体"/>
              </w:rPr>
            </w:pPr>
          </w:p>
        </w:tc>
        <w:tc>
          <w:tcPr>
            <w:tcW w:w="5" w:type="pct"/>
            <w:shd w:val="clear" w:color="auto" w:fill="auto"/>
            <w:vAlign w:val="bottom"/>
          </w:tcPr>
          <w:p w14:paraId="74DDB808" w14:textId="77777777" w:rsidR="00584EC1" w:rsidRDefault="00584EC1">
            <w:pPr>
              <w:rPr>
                <w:rFonts w:ascii="宋体"/>
              </w:rPr>
            </w:pPr>
          </w:p>
        </w:tc>
        <w:tc>
          <w:tcPr>
            <w:tcW w:w="5" w:type="pct"/>
            <w:shd w:val="clear" w:color="auto" w:fill="auto"/>
            <w:vAlign w:val="bottom"/>
          </w:tcPr>
          <w:p w14:paraId="74DDB809" w14:textId="77777777" w:rsidR="00584EC1" w:rsidRDefault="00584EC1">
            <w:pPr>
              <w:rPr>
                <w:rFonts w:ascii="宋体"/>
              </w:rPr>
            </w:pPr>
          </w:p>
        </w:tc>
        <w:tc>
          <w:tcPr>
            <w:tcW w:w="26" w:type="pct"/>
            <w:shd w:val="clear" w:color="auto" w:fill="auto"/>
            <w:vAlign w:val="bottom"/>
          </w:tcPr>
          <w:p w14:paraId="74DDB80A" w14:textId="77777777" w:rsidR="00584EC1" w:rsidRDefault="00584EC1">
            <w:pPr>
              <w:rPr>
                <w:rFonts w:ascii="宋体"/>
              </w:rPr>
            </w:pPr>
          </w:p>
        </w:tc>
        <w:tc>
          <w:tcPr>
            <w:tcW w:w="5" w:type="pct"/>
            <w:shd w:val="clear" w:color="auto" w:fill="auto"/>
            <w:vAlign w:val="bottom"/>
          </w:tcPr>
          <w:p w14:paraId="74DDB80B" w14:textId="77777777" w:rsidR="00584EC1" w:rsidRDefault="00584EC1">
            <w:pPr>
              <w:rPr>
                <w:rFonts w:ascii="宋体"/>
              </w:rPr>
            </w:pPr>
          </w:p>
        </w:tc>
        <w:tc>
          <w:tcPr>
            <w:tcW w:w="50" w:type="pct"/>
            <w:shd w:val="clear" w:color="auto" w:fill="auto"/>
            <w:vAlign w:val="bottom"/>
          </w:tcPr>
          <w:p w14:paraId="74DDB80C" w14:textId="77777777" w:rsidR="00584EC1" w:rsidRDefault="00584EC1">
            <w:pPr>
              <w:rPr>
                <w:rFonts w:ascii="宋体"/>
              </w:rPr>
            </w:pPr>
          </w:p>
        </w:tc>
        <w:tc>
          <w:tcPr>
            <w:tcW w:w="589" w:type="pct"/>
            <w:shd w:val="clear" w:color="auto" w:fill="auto"/>
            <w:vAlign w:val="bottom"/>
          </w:tcPr>
          <w:p w14:paraId="74DDB80D" w14:textId="77777777" w:rsidR="00584EC1" w:rsidRDefault="00584EC1">
            <w:pPr>
              <w:rPr>
                <w:rFonts w:ascii="宋体"/>
              </w:rPr>
            </w:pPr>
          </w:p>
        </w:tc>
        <w:tc>
          <w:tcPr>
            <w:tcW w:w="5" w:type="pct"/>
            <w:shd w:val="clear" w:color="auto" w:fill="auto"/>
            <w:vAlign w:val="bottom"/>
          </w:tcPr>
          <w:p w14:paraId="74DDB80E" w14:textId="77777777" w:rsidR="00584EC1" w:rsidRDefault="00584EC1">
            <w:pPr>
              <w:rPr>
                <w:rFonts w:ascii="宋体"/>
              </w:rPr>
            </w:pPr>
          </w:p>
        </w:tc>
        <w:tc>
          <w:tcPr>
            <w:tcW w:w="5" w:type="pct"/>
            <w:shd w:val="clear" w:color="auto" w:fill="auto"/>
            <w:vAlign w:val="bottom"/>
          </w:tcPr>
          <w:p w14:paraId="74DDB80F" w14:textId="77777777" w:rsidR="00584EC1" w:rsidRDefault="00584EC1">
            <w:pPr>
              <w:rPr>
                <w:rFonts w:ascii="宋体"/>
              </w:rPr>
            </w:pPr>
          </w:p>
        </w:tc>
        <w:tc>
          <w:tcPr>
            <w:tcW w:w="26" w:type="pct"/>
            <w:shd w:val="clear" w:color="auto" w:fill="auto"/>
            <w:vAlign w:val="bottom"/>
          </w:tcPr>
          <w:p w14:paraId="74DDB810" w14:textId="77777777" w:rsidR="00584EC1" w:rsidRDefault="00584EC1">
            <w:pPr>
              <w:rPr>
                <w:rFonts w:ascii="宋体"/>
              </w:rPr>
            </w:pPr>
          </w:p>
        </w:tc>
        <w:tc>
          <w:tcPr>
            <w:tcW w:w="5" w:type="pct"/>
            <w:shd w:val="clear" w:color="auto" w:fill="auto"/>
            <w:vAlign w:val="bottom"/>
          </w:tcPr>
          <w:p w14:paraId="74DDB811" w14:textId="77777777" w:rsidR="00584EC1" w:rsidRDefault="00584EC1">
            <w:pPr>
              <w:rPr>
                <w:rFonts w:ascii="宋体"/>
              </w:rPr>
            </w:pPr>
          </w:p>
        </w:tc>
        <w:tc>
          <w:tcPr>
            <w:tcW w:w="50" w:type="pct"/>
            <w:shd w:val="clear" w:color="auto" w:fill="auto"/>
            <w:vAlign w:val="bottom"/>
          </w:tcPr>
          <w:p w14:paraId="74DDB812" w14:textId="77777777" w:rsidR="00584EC1" w:rsidRDefault="00584EC1">
            <w:pPr>
              <w:rPr>
                <w:rFonts w:ascii="宋体"/>
              </w:rPr>
            </w:pPr>
          </w:p>
        </w:tc>
        <w:tc>
          <w:tcPr>
            <w:tcW w:w="596" w:type="pct"/>
            <w:shd w:val="clear" w:color="auto" w:fill="auto"/>
            <w:vAlign w:val="bottom"/>
          </w:tcPr>
          <w:p w14:paraId="74DDB813" w14:textId="77777777" w:rsidR="00584EC1" w:rsidRDefault="00584EC1">
            <w:pPr>
              <w:rPr>
                <w:rFonts w:ascii="宋体"/>
              </w:rPr>
            </w:pPr>
          </w:p>
        </w:tc>
        <w:tc>
          <w:tcPr>
            <w:tcW w:w="5" w:type="pct"/>
            <w:shd w:val="clear" w:color="auto" w:fill="auto"/>
            <w:vAlign w:val="bottom"/>
          </w:tcPr>
          <w:p w14:paraId="74DDB814" w14:textId="77777777" w:rsidR="00584EC1" w:rsidRDefault="00584EC1">
            <w:pPr>
              <w:rPr>
                <w:rFonts w:ascii="宋体"/>
              </w:rPr>
            </w:pPr>
          </w:p>
        </w:tc>
        <w:tc>
          <w:tcPr>
            <w:tcW w:w="5" w:type="pct"/>
            <w:shd w:val="clear" w:color="auto" w:fill="auto"/>
            <w:vAlign w:val="bottom"/>
          </w:tcPr>
          <w:p w14:paraId="74DDB815" w14:textId="77777777" w:rsidR="00584EC1" w:rsidRDefault="00584EC1">
            <w:pPr>
              <w:rPr>
                <w:rFonts w:ascii="宋体"/>
              </w:rPr>
            </w:pPr>
          </w:p>
        </w:tc>
        <w:tc>
          <w:tcPr>
            <w:tcW w:w="26" w:type="pct"/>
            <w:shd w:val="clear" w:color="auto" w:fill="auto"/>
            <w:vAlign w:val="bottom"/>
          </w:tcPr>
          <w:p w14:paraId="74DDB816" w14:textId="77777777" w:rsidR="00584EC1" w:rsidRDefault="00584EC1">
            <w:pPr>
              <w:rPr>
                <w:rFonts w:ascii="宋体"/>
              </w:rPr>
            </w:pPr>
          </w:p>
        </w:tc>
        <w:tc>
          <w:tcPr>
            <w:tcW w:w="5" w:type="pct"/>
            <w:shd w:val="clear" w:color="auto" w:fill="auto"/>
            <w:vAlign w:val="bottom"/>
          </w:tcPr>
          <w:p w14:paraId="74DDB817" w14:textId="77777777" w:rsidR="00584EC1" w:rsidRDefault="00584EC1">
            <w:pPr>
              <w:rPr>
                <w:rFonts w:ascii="宋体"/>
              </w:rPr>
            </w:pPr>
          </w:p>
        </w:tc>
        <w:tc>
          <w:tcPr>
            <w:tcW w:w="50" w:type="pct"/>
            <w:shd w:val="clear" w:color="auto" w:fill="auto"/>
            <w:vAlign w:val="bottom"/>
          </w:tcPr>
          <w:p w14:paraId="74DDB818" w14:textId="77777777" w:rsidR="00584EC1" w:rsidRDefault="00584EC1">
            <w:pPr>
              <w:rPr>
                <w:rFonts w:ascii="宋体"/>
              </w:rPr>
            </w:pPr>
          </w:p>
        </w:tc>
        <w:tc>
          <w:tcPr>
            <w:tcW w:w="354" w:type="pct"/>
            <w:shd w:val="clear" w:color="auto" w:fill="auto"/>
            <w:vAlign w:val="bottom"/>
          </w:tcPr>
          <w:p w14:paraId="74DDB819" w14:textId="77777777" w:rsidR="00584EC1" w:rsidRDefault="00584EC1">
            <w:pPr>
              <w:rPr>
                <w:rFonts w:ascii="宋体"/>
              </w:rPr>
            </w:pPr>
          </w:p>
        </w:tc>
        <w:tc>
          <w:tcPr>
            <w:tcW w:w="5" w:type="pct"/>
            <w:shd w:val="clear" w:color="auto" w:fill="auto"/>
            <w:vAlign w:val="bottom"/>
          </w:tcPr>
          <w:p w14:paraId="74DDB81A" w14:textId="77777777" w:rsidR="00584EC1" w:rsidRDefault="00584EC1">
            <w:pPr>
              <w:rPr>
                <w:rFonts w:ascii="宋体"/>
              </w:rPr>
            </w:pPr>
          </w:p>
        </w:tc>
        <w:tc>
          <w:tcPr>
            <w:tcW w:w="5" w:type="pct"/>
            <w:shd w:val="clear" w:color="auto" w:fill="auto"/>
            <w:vAlign w:val="bottom"/>
          </w:tcPr>
          <w:p w14:paraId="74DDB81B" w14:textId="77777777" w:rsidR="00584EC1" w:rsidRDefault="00584EC1">
            <w:pPr>
              <w:rPr>
                <w:rFonts w:ascii="宋体"/>
              </w:rPr>
            </w:pPr>
          </w:p>
        </w:tc>
        <w:tc>
          <w:tcPr>
            <w:tcW w:w="26" w:type="pct"/>
            <w:shd w:val="clear" w:color="auto" w:fill="auto"/>
            <w:vAlign w:val="bottom"/>
          </w:tcPr>
          <w:p w14:paraId="74DDB81C" w14:textId="77777777" w:rsidR="00584EC1" w:rsidRDefault="00584EC1">
            <w:pPr>
              <w:rPr>
                <w:rFonts w:ascii="宋体"/>
              </w:rPr>
            </w:pPr>
          </w:p>
        </w:tc>
        <w:tc>
          <w:tcPr>
            <w:tcW w:w="5" w:type="pct"/>
            <w:shd w:val="clear" w:color="auto" w:fill="auto"/>
            <w:vAlign w:val="bottom"/>
          </w:tcPr>
          <w:p w14:paraId="74DDB81D" w14:textId="77777777" w:rsidR="00584EC1" w:rsidRDefault="00584EC1">
            <w:pPr>
              <w:rPr>
                <w:rFonts w:ascii="宋体"/>
              </w:rPr>
            </w:pPr>
          </w:p>
        </w:tc>
        <w:tc>
          <w:tcPr>
            <w:tcW w:w="50" w:type="pct"/>
            <w:shd w:val="clear" w:color="auto" w:fill="auto"/>
            <w:vAlign w:val="bottom"/>
          </w:tcPr>
          <w:p w14:paraId="74DDB81E" w14:textId="77777777" w:rsidR="00584EC1" w:rsidRDefault="00584EC1">
            <w:pPr>
              <w:rPr>
                <w:rFonts w:ascii="宋体"/>
              </w:rPr>
            </w:pPr>
          </w:p>
        </w:tc>
        <w:tc>
          <w:tcPr>
            <w:tcW w:w="640" w:type="pct"/>
            <w:shd w:val="clear" w:color="auto" w:fill="auto"/>
            <w:vAlign w:val="bottom"/>
          </w:tcPr>
          <w:p w14:paraId="74DDB81F" w14:textId="77777777" w:rsidR="00584EC1" w:rsidRDefault="00584EC1">
            <w:pPr>
              <w:rPr>
                <w:rFonts w:ascii="宋体"/>
              </w:rPr>
            </w:pPr>
          </w:p>
        </w:tc>
        <w:tc>
          <w:tcPr>
            <w:tcW w:w="5" w:type="pct"/>
            <w:shd w:val="clear" w:color="auto" w:fill="auto"/>
            <w:vAlign w:val="bottom"/>
          </w:tcPr>
          <w:p w14:paraId="74DDB820" w14:textId="77777777" w:rsidR="00584EC1" w:rsidRDefault="00584EC1">
            <w:pPr>
              <w:rPr>
                <w:rFonts w:ascii="宋体"/>
              </w:rPr>
            </w:pPr>
          </w:p>
        </w:tc>
      </w:tr>
      <w:tr w:rsidR="00584EC1" w14:paraId="74DDB824" w14:textId="77777777">
        <w:tc>
          <w:tcPr>
            <w:tcW w:w="0" w:type="auto"/>
            <w:gridSpan w:val="3"/>
            <w:shd w:val="clear" w:color="auto" w:fill="auto"/>
            <w:tcMar>
              <w:top w:w="0" w:type="dxa"/>
              <w:left w:w="20" w:type="dxa"/>
              <w:bottom w:w="0" w:type="dxa"/>
              <w:right w:w="20" w:type="dxa"/>
            </w:tcMar>
            <w:vAlign w:val="bottom"/>
          </w:tcPr>
          <w:p w14:paraId="74DDB822" w14:textId="77777777" w:rsidR="00584EC1" w:rsidRDefault="00584EC1">
            <w:pPr>
              <w:rPr>
                <w:rFonts w:ascii="宋体"/>
              </w:rPr>
            </w:pPr>
          </w:p>
        </w:tc>
        <w:tc>
          <w:tcPr>
            <w:tcW w:w="0" w:type="auto"/>
            <w:gridSpan w:val="27"/>
            <w:shd w:val="clear" w:color="auto" w:fill="auto"/>
            <w:tcMar>
              <w:top w:w="40" w:type="dxa"/>
              <w:left w:w="20" w:type="dxa"/>
              <w:bottom w:w="40" w:type="dxa"/>
              <w:right w:w="20" w:type="dxa"/>
            </w:tcMar>
            <w:vAlign w:val="bottom"/>
          </w:tcPr>
          <w:p w14:paraId="74DDB823" w14:textId="77777777" w:rsidR="00584EC1" w:rsidRDefault="00871F8D">
            <w:pPr>
              <w:jc w:val="center"/>
              <w:textAlignment w:val="bottom"/>
            </w:pPr>
            <w:r>
              <w:rPr>
                <w:rFonts w:ascii="Arial" w:eastAsia="宋体" w:hAnsi="Arial" w:cs="Arial"/>
                <w:b/>
                <w:bCs/>
                <w:color w:val="000000"/>
                <w:sz w:val="15"/>
                <w:szCs w:val="15"/>
              </w:rPr>
              <w:t>Fair Value Measurements on a Recurring Basis</w:t>
            </w:r>
          </w:p>
        </w:tc>
      </w:tr>
      <w:tr w:rsidR="00584EC1" w14:paraId="74DDB827" w14:textId="77777777">
        <w:tc>
          <w:tcPr>
            <w:tcW w:w="0" w:type="auto"/>
            <w:gridSpan w:val="3"/>
            <w:shd w:val="clear" w:color="auto" w:fill="auto"/>
            <w:tcMar>
              <w:top w:w="0" w:type="dxa"/>
              <w:left w:w="20" w:type="dxa"/>
              <w:bottom w:w="0" w:type="dxa"/>
              <w:right w:w="20" w:type="dxa"/>
            </w:tcMar>
            <w:vAlign w:val="bottom"/>
          </w:tcPr>
          <w:p w14:paraId="74DDB825" w14:textId="77777777" w:rsidR="00584EC1" w:rsidRDefault="00584EC1">
            <w:pPr>
              <w:rPr>
                <w:rFonts w:ascii="宋体"/>
              </w:rPr>
            </w:pPr>
          </w:p>
        </w:tc>
        <w:tc>
          <w:tcPr>
            <w:tcW w:w="0" w:type="auto"/>
            <w:gridSpan w:val="27"/>
            <w:shd w:val="clear" w:color="auto" w:fill="auto"/>
            <w:tcMar>
              <w:top w:w="40" w:type="dxa"/>
              <w:left w:w="20" w:type="dxa"/>
              <w:bottom w:w="40" w:type="dxa"/>
              <w:right w:w="20" w:type="dxa"/>
            </w:tcMar>
            <w:vAlign w:val="bottom"/>
          </w:tcPr>
          <w:p w14:paraId="74DDB826" w14:textId="77777777" w:rsidR="00584EC1" w:rsidRDefault="00871F8D">
            <w:pPr>
              <w:jc w:val="center"/>
              <w:textAlignment w:val="bottom"/>
            </w:pPr>
            <w:r>
              <w:rPr>
                <w:rFonts w:ascii="Arial" w:eastAsia="宋体" w:hAnsi="Arial" w:cs="Arial"/>
                <w:b/>
                <w:bCs/>
                <w:color w:val="000000"/>
                <w:sz w:val="15"/>
                <w:szCs w:val="15"/>
              </w:rPr>
              <w:t>As of September 30, 2021</w:t>
            </w:r>
          </w:p>
        </w:tc>
      </w:tr>
      <w:tr w:rsidR="00584EC1" w14:paraId="74DDB841" w14:textId="77777777">
        <w:tc>
          <w:tcPr>
            <w:tcW w:w="0" w:type="auto"/>
            <w:gridSpan w:val="3"/>
            <w:shd w:val="clear" w:color="auto" w:fill="auto"/>
            <w:tcMar>
              <w:top w:w="40" w:type="dxa"/>
              <w:left w:w="20" w:type="dxa"/>
              <w:bottom w:w="40" w:type="dxa"/>
              <w:right w:w="20" w:type="dxa"/>
            </w:tcMar>
            <w:vAlign w:val="bottom"/>
          </w:tcPr>
          <w:p w14:paraId="74DDB828" w14:textId="77777777" w:rsidR="00584EC1" w:rsidRDefault="00871F8D">
            <w:pPr>
              <w:textAlignment w:val="bottom"/>
            </w:pPr>
            <w:r>
              <w:rPr>
                <w:rFonts w:ascii="Arial" w:eastAsia="宋体" w:hAnsi="Arial" w:cs="Arial"/>
                <w:b/>
                <w:bCs/>
                <w:color w:val="000000"/>
                <w:sz w:val="15"/>
                <w:szCs w:val="15"/>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B829" w14:textId="77777777" w:rsidR="00584EC1" w:rsidRDefault="00871F8D">
            <w:pPr>
              <w:jc w:val="center"/>
              <w:textAlignment w:val="bottom"/>
            </w:pPr>
            <w:r>
              <w:rPr>
                <w:rFonts w:ascii="Arial" w:eastAsia="宋体" w:hAnsi="Arial" w:cs="Arial"/>
                <w:b/>
                <w:bCs/>
                <w:color w:val="000000"/>
                <w:sz w:val="15"/>
                <w:szCs w:val="15"/>
              </w:rPr>
              <w:t>Quoted Market</w:t>
            </w:r>
          </w:p>
          <w:p w14:paraId="74DDB82A" w14:textId="77777777" w:rsidR="00584EC1" w:rsidRDefault="00871F8D">
            <w:pPr>
              <w:jc w:val="center"/>
              <w:textAlignment w:val="bottom"/>
            </w:pPr>
            <w:r>
              <w:rPr>
                <w:rFonts w:ascii="Arial" w:eastAsia="宋体" w:hAnsi="Arial" w:cs="Arial"/>
                <w:b/>
                <w:bCs/>
                <w:color w:val="000000"/>
                <w:sz w:val="15"/>
                <w:szCs w:val="15"/>
              </w:rPr>
              <w:t>Prices in Active</w:t>
            </w:r>
          </w:p>
          <w:p w14:paraId="74DDB82B" w14:textId="77777777" w:rsidR="00584EC1" w:rsidRDefault="00871F8D">
            <w:pPr>
              <w:jc w:val="center"/>
              <w:textAlignment w:val="bottom"/>
            </w:pPr>
            <w:r>
              <w:rPr>
                <w:rFonts w:ascii="Arial" w:eastAsia="宋体" w:hAnsi="Arial" w:cs="Arial"/>
                <w:b/>
                <w:bCs/>
                <w:color w:val="000000"/>
                <w:sz w:val="15"/>
                <w:szCs w:val="15"/>
              </w:rPr>
              <w:t>Markets</w:t>
            </w:r>
          </w:p>
          <w:p w14:paraId="74DDB82C" w14:textId="77777777" w:rsidR="00584EC1" w:rsidRDefault="00871F8D">
            <w:pPr>
              <w:jc w:val="center"/>
              <w:textAlignment w:val="bottom"/>
            </w:pPr>
            <w:r>
              <w:rPr>
                <w:rFonts w:ascii="Arial" w:eastAsia="宋体" w:hAnsi="Arial" w:cs="Arial"/>
                <w:b/>
                <w:bCs/>
                <w:color w:val="000000"/>
                <w:sz w:val="15"/>
                <w:szCs w:val="15"/>
              </w:rPr>
              <w:t>(Level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B82D"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B82E" w14:textId="77777777" w:rsidR="00584EC1" w:rsidRDefault="00871F8D">
            <w:pPr>
              <w:jc w:val="center"/>
              <w:textAlignment w:val="bottom"/>
            </w:pPr>
            <w:r>
              <w:rPr>
                <w:rFonts w:ascii="Arial" w:eastAsia="宋体" w:hAnsi="Arial" w:cs="Arial"/>
                <w:b/>
                <w:bCs/>
                <w:color w:val="000000"/>
                <w:sz w:val="15"/>
                <w:szCs w:val="15"/>
              </w:rPr>
              <w:t>Pricing Methods</w:t>
            </w:r>
          </w:p>
          <w:p w14:paraId="74DDB82F" w14:textId="77777777" w:rsidR="00584EC1" w:rsidRDefault="00871F8D">
            <w:pPr>
              <w:jc w:val="center"/>
              <w:textAlignment w:val="bottom"/>
            </w:pPr>
            <w:r>
              <w:rPr>
                <w:rFonts w:ascii="Arial" w:eastAsia="宋体" w:hAnsi="Arial" w:cs="Arial"/>
                <w:b/>
                <w:bCs/>
                <w:color w:val="000000"/>
                <w:sz w:val="15"/>
                <w:szCs w:val="15"/>
              </w:rPr>
              <w:t>with Significant</w:t>
            </w:r>
          </w:p>
          <w:p w14:paraId="74DDB830" w14:textId="77777777" w:rsidR="00584EC1" w:rsidRDefault="00871F8D">
            <w:pPr>
              <w:jc w:val="center"/>
              <w:textAlignment w:val="bottom"/>
            </w:pPr>
            <w:r>
              <w:rPr>
                <w:rFonts w:ascii="Arial" w:eastAsia="宋体" w:hAnsi="Arial" w:cs="Arial"/>
                <w:b/>
                <w:bCs/>
                <w:color w:val="000000"/>
                <w:sz w:val="15"/>
                <w:szCs w:val="15"/>
              </w:rPr>
              <w:t>Observable</w:t>
            </w:r>
          </w:p>
          <w:p w14:paraId="74DDB831" w14:textId="77777777" w:rsidR="00584EC1" w:rsidRDefault="00871F8D">
            <w:pPr>
              <w:jc w:val="center"/>
              <w:textAlignment w:val="bottom"/>
            </w:pPr>
            <w:r>
              <w:rPr>
                <w:rFonts w:ascii="Arial" w:eastAsia="宋体" w:hAnsi="Arial" w:cs="Arial"/>
                <w:b/>
                <w:bCs/>
                <w:color w:val="000000"/>
                <w:sz w:val="15"/>
                <w:szCs w:val="15"/>
              </w:rPr>
              <w:t>Market Inputs</w:t>
            </w:r>
          </w:p>
          <w:p w14:paraId="74DDB832" w14:textId="77777777" w:rsidR="00584EC1" w:rsidRDefault="00871F8D">
            <w:pPr>
              <w:jc w:val="center"/>
              <w:textAlignment w:val="bottom"/>
            </w:pPr>
            <w:r>
              <w:rPr>
                <w:rFonts w:ascii="Arial" w:eastAsia="宋体" w:hAnsi="Arial" w:cs="Arial"/>
                <w:b/>
                <w:bCs/>
                <w:color w:val="000000"/>
                <w:sz w:val="15"/>
                <w:szCs w:val="15"/>
              </w:rPr>
              <w:t>(Level 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B833"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B834" w14:textId="77777777" w:rsidR="00584EC1" w:rsidRDefault="00871F8D">
            <w:pPr>
              <w:jc w:val="center"/>
              <w:textAlignment w:val="bottom"/>
            </w:pPr>
            <w:r>
              <w:rPr>
                <w:rFonts w:ascii="Arial" w:eastAsia="宋体" w:hAnsi="Arial" w:cs="Arial"/>
                <w:b/>
                <w:bCs/>
                <w:color w:val="000000"/>
                <w:sz w:val="15"/>
                <w:szCs w:val="15"/>
              </w:rPr>
              <w:t>Pricing Methods</w:t>
            </w:r>
          </w:p>
          <w:p w14:paraId="74DDB835" w14:textId="77777777" w:rsidR="00584EC1" w:rsidRDefault="00871F8D">
            <w:pPr>
              <w:jc w:val="center"/>
              <w:textAlignment w:val="bottom"/>
            </w:pPr>
            <w:r>
              <w:rPr>
                <w:rFonts w:ascii="Arial" w:eastAsia="宋体" w:hAnsi="Arial" w:cs="Arial"/>
                <w:b/>
                <w:bCs/>
                <w:color w:val="000000"/>
                <w:sz w:val="15"/>
                <w:szCs w:val="15"/>
              </w:rPr>
              <w:t>with Significant</w:t>
            </w:r>
          </w:p>
          <w:p w14:paraId="74DDB836" w14:textId="77777777" w:rsidR="00584EC1" w:rsidRDefault="00871F8D">
            <w:pPr>
              <w:jc w:val="center"/>
              <w:textAlignment w:val="bottom"/>
            </w:pPr>
            <w:r>
              <w:rPr>
                <w:rFonts w:ascii="Arial" w:eastAsia="宋体" w:hAnsi="Arial" w:cs="Arial"/>
                <w:b/>
                <w:bCs/>
                <w:color w:val="000000"/>
                <w:sz w:val="15"/>
                <w:szCs w:val="15"/>
              </w:rPr>
              <w:t>Unobservable</w:t>
            </w:r>
          </w:p>
          <w:p w14:paraId="74DDB837" w14:textId="77777777" w:rsidR="00584EC1" w:rsidRDefault="00871F8D">
            <w:pPr>
              <w:jc w:val="center"/>
              <w:textAlignment w:val="bottom"/>
            </w:pPr>
            <w:r>
              <w:rPr>
                <w:rFonts w:ascii="Arial" w:eastAsia="宋体" w:hAnsi="Arial" w:cs="Arial"/>
                <w:b/>
                <w:bCs/>
                <w:color w:val="000000"/>
                <w:sz w:val="15"/>
                <w:szCs w:val="15"/>
              </w:rPr>
              <w:t>Market Inputs</w:t>
            </w:r>
          </w:p>
          <w:p w14:paraId="74DDB838" w14:textId="77777777" w:rsidR="00584EC1" w:rsidRDefault="00871F8D">
            <w:pPr>
              <w:jc w:val="center"/>
              <w:textAlignment w:val="bottom"/>
            </w:pPr>
            <w:r>
              <w:rPr>
                <w:rFonts w:ascii="Arial" w:eastAsia="宋体" w:hAnsi="Arial" w:cs="Arial"/>
                <w:b/>
                <w:bCs/>
                <w:color w:val="000000"/>
                <w:sz w:val="15"/>
                <w:szCs w:val="15"/>
              </w:rPr>
              <w:t>(Level 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B839"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B83A" w14:textId="77777777" w:rsidR="00584EC1" w:rsidRDefault="00871F8D">
            <w:pPr>
              <w:jc w:val="center"/>
              <w:textAlignment w:val="bottom"/>
            </w:pPr>
            <w:r>
              <w:rPr>
                <w:rFonts w:ascii="Arial" w:eastAsia="宋体" w:hAnsi="Arial" w:cs="Arial"/>
                <w:b/>
                <w:bCs/>
                <w:color w:val="000000"/>
                <w:sz w:val="15"/>
                <w:szCs w:val="15"/>
              </w:rPr>
              <w:t>Impact of Netting</w:t>
            </w:r>
            <w:r>
              <w:rPr>
                <w:rFonts w:ascii="Arial" w:eastAsia="宋体" w:hAnsi="Arial" w:cs="Arial"/>
                <w:b/>
                <w:bCs/>
                <w:color w:val="000000"/>
                <w:sz w:val="9"/>
                <w:szCs w:val="9"/>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B83B"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B83C" w14:textId="77777777" w:rsidR="00584EC1" w:rsidRDefault="00871F8D">
            <w:pPr>
              <w:jc w:val="center"/>
              <w:textAlignment w:val="bottom"/>
            </w:pPr>
            <w:r>
              <w:rPr>
                <w:rFonts w:ascii="Arial" w:eastAsia="宋体" w:hAnsi="Arial" w:cs="Arial"/>
                <w:b/>
                <w:bCs/>
                <w:color w:val="000000"/>
                <w:sz w:val="15"/>
                <w:szCs w:val="15"/>
              </w:rPr>
              <w:t>Total Net</w:t>
            </w:r>
          </w:p>
          <w:p w14:paraId="74DDB83D" w14:textId="77777777" w:rsidR="00584EC1" w:rsidRDefault="00871F8D">
            <w:pPr>
              <w:jc w:val="center"/>
              <w:textAlignment w:val="bottom"/>
            </w:pPr>
            <w:r>
              <w:rPr>
                <w:rFonts w:ascii="Arial" w:eastAsia="宋体" w:hAnsi="Arial" w:cs="Arial"/>
                <w:b/>
                <w:bCs/>
                <w:color w:val="000000"/>
                <w:sz w:val="15"/>
                <w:szCs w:val="15"/>
              </w:rPr>
              <w:t>Carrying Value</w:t>
            </w:r>
          </w:p>
          <w:p w14:paraId="74DDB83E" w14:textId="77777777" w:rsidR="00584EC1" w:rsidRDefault="00871F8D">
            <w:pPr>
              <w:jc w:val="center"/>
              <w:textAlignment w:val="bottom"/>
            </w:pPr>
            <w:r>
              <w:rPr>
                <w:rFonts w:ascii="Arial" w:eastAsia="宋体" w:hAnsi="Arial" w:cs="Arial"/>
                <w:b/>
                <w:bCs/>
                <w:color w:val="000000"/>
                <w:sz w:val="15"/>
                <w:szCs w:val="15"/>
              </w:rPr>
              <w:t>in Consolidated</w:t>
            </w:r>
          </w:p>
          <w:p w14:paraId="74DDB83F" w14:textId="77777777" w:rsidR="00584EC1" w:rsidRDefault="00871F8D">
            <w:pPr>
              <w:jc w:val="center"/>
              <w:textAlignment w:val="bottom"/>
            </w:pPr>
            <w:r>
              <w:rPr>
                <w:rFonts w:ascii="Arial" w:eastAsia="宋体" w:hAnsi="Arial" w:cs="Arial"/>
                <w:b/>
                <w:bCs/>
                <w:color w:val="000000"/>
                <w:sz w:val="15"/>
                <w:szCs w:val="15"/>
              </w:rPr>
              <w:t>Statement of</w:t>
            </w:r>
          </w:p>
          <w:p w14:paraId="74DDB840" w14:textId="77777777" w:rsidR="00584EC1" w:rsidRDefault="00871F8D">
            <w:pPr>
              <w:jc w:val="center"/>
              <w:textAlignment w:val="bottom"/>
            </w:pPr>
            <w:r>
              <w:rPr>
                <w:rFonts w:ascii="Arial" w:eastAsia="宋体" w:hAnsi="Arial" w:cs="Arial"/>
                <w:b/>
                <w:bCs/>
                <w:color w:val="000000"/>
                <w:sz w:val="15"/>
                <w:szCs w:val="15"/>
              </w:rPr>
              <w:t>Condition</w:t>
            </w:r>
          </w:p>
        </w:tc>
      </w:tr>
      <w:tr w:rsidR="00584EC1" w14:paraId="74DDB84C" w14:textId="77777777">
        <w:tc>
          <w:tcPr>
            <w:tcW w:w="0" w:type="auto"/>
            <w:gridSpan w:val="3"/>
            <w:shd w:val="clear" w:color="auto" w:fill="auto"/>
            <w:tcMar>
              <w:top w:w="40" w:type="dxa"/>
              <w:left w:w="20" w:type="dxa"/>
              <w:bottom w:w="40" w:type="dxa"/>
              <w:right w:w="20" w:type="dxa"/>
            </w:tcMar>
            <w:vAlign w:val="bottom"/>
          </w:tcPr>
          <w:p w14:paraId="74DDB842" w14:textId="77777777" w:rsidR="00584EC1" w:rsidRDefault="00871F8D">
            <w:pPr>
              <w:textAlignment w:val="bottom"/>
            </w:pPr>
            <w:r>
              <w:rPr>
                <w:rFonts w:ascii="Arial" w:eastAsia="宋体" w:hAnsi="Arial" w:cs="Arial"/>
                <w:b/>
                <w:bCs/>
                <w:color w:val="000000"/>
                <w:sz w:val="15"/>
                <w:szCs w:val="15"/>
              </w:rPr>
              <w:t>Assets: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B843"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B844"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B84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B846"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B847"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B848"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B849"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B84A"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B84B" w14:textId="77777777" w:rsidR="00584EC1" w:rsidRDefault="00584EC1">
            <w:pPr>
              <w:rPr>
                <w:rFonts w:ascii="宋体"/>
              </w:rPr>
            </w:pPr>
          </w:p>
        </w:tc>
      </w:tr>
      <w:tr w:rsidR="00584EC1" w14:paraId="74DDB857" w14:textId="77777777">
        <w:tc>
          <w:tcPr>
            <w:tcW w:w="0" w:type="auto"/>
            <w:gridSpan w:val="3"/>
            <w:shd w:val="clear" w:color="auto" w:fill="auto"/>
            <w:tcMar>
              <w:top w:w="40" w:type="dxa"/>
              <w:left w:w="20" w:type="dxa"/>
              <w:bottom w:w="40" w:type="dxa"/>
              <w:right w:w="20" w:type="dxa"/>
            </w:tcMar>
            <w:vAlign w:val="bottom"/>
          </w:tcPr>
          <w:p w14:paraId="74DDB84D" w14:textId="77777777" w:rsidR="00584EC1" w:rsidRDefault="00871F8D">
            <w:pPr>
              <w:textAlignment w:val="bottom"/>
            </w:pPr>
            <w:r>
              <w:rPr>
                <w:rFonts w:ascii="Arial" w:eastAsia="宋体" w:hAnsi="Arial" w:cs="Arial"/>
                <w:color w:val="000000"/>
                <w:sz w:val="15"/>
                <w:szCs w:val="15"/>
              </w:rPr>
              <w:t>Trading account assets:</w:t>
            </w:r>
          </w:p>
        </w:tc>
        <w:tc>
          <w:tcPr>
            <w:tcW w:w="0" w:type="auto"/>
            <w:gridSpan w:val="3"/>
            <w:shd w:val="clear" w:color="auto" w:fill="auto"/>
            <w:tcMar>
              <w:top w:w="0" w:type="dxa"/>
              <w:left w:w="20" w:type="dxa"/>
              <w:bottom w:w="0" w:type="dxa"/>
              <w:right w:w="20" w:type="dxa"/>
            </w:tcMar>
            <w:vAlign w:val="bottom"/>
          </w:tcPr>
          <w:p w14:paraId="74DDB84E"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B84F"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B850"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B85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B85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B853"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B854"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B85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B856" w14:textId="77777777" w:rsidR="00584EC1" w:rsidRDefault="00584EC1">
            <w:pPr>
              <w:rPr>
                <w:rFonts w:ascii="宋体"/>
              </w:rPr>
            </w:pPr>
          </w:p>
        </w:tc>
      </w:tr>
      <w:tr w:rsidR="00584EC1" w14:paraId="74DDB86A" w14:textId="77777777">
        <w:tc>
          <w:tcPr>
            <w:tcW w:w="0" w:type="auto"/>
            <w:gridSpan w:val="3"/>
            <w:shd w:val="clear" w:color="auto" w:fill="CCEEFF"/>
            <w:tcMar>
              <w:top w:w="40" w:type="dxa"/>
              <w:left w:w="245" w:type="dxa"/>
              <w:bottom w:w="40" w:type="dxa"/>
              <w:right w:w="20" w:type="dxa"/>
            </w:tcMar>
            <w:vAlign w:val="bottom"/>
          </w:tcPr>
          <w:p w14:paraId="74DDB858" w14:textId="77777777" w:rsidR="00584EC1" w:rsidRDefault="00871F8D">
            <w:pPr>
              <w:textAlignment w:val="bottom"/>
            </w:pPr>
            <w:r>
              <w:rPr>
                <w:rFonts w:ascii="Arial" w:eastAsia="宋体" w:hAnsi="Arial" w:cs="Arial"/>
                <w:color w:val="000000"/>
                <w:sz w:val="15"/>
                <w:szCs w:val="15"/>
              </w:rPr>
              <w:t>U.S. government securities</w:t>
            </w:r>
          </w:p>
        </w:tc>
        <w:tc>
          <w:tcPr>
            <w:tcW w:w="0" w:type="auto"/>
            <w:shd w:val="clear" w:color="auto" w:fill="CCEEFF"/>
            <w:tcMar>
              <w:top w:w="40" w:type="dxa"/>
              <w:left w:w="20" w:type="dxa"/>
              <w:bottom w:w="40" w:type="dxa"/>
              <w:right w:w="0" w:type="dxa"/>
            </w:tcMar>
            <w:vAlign w:val="bottom"/>
          </w:tcPr>
          <w:p w14:paraId="74DDB859" w14:textId="77777777" w:rsidR="00584EC1" w:rsidRDefault="00871F8D">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4DDB85A" w14:textId="77777777" w:rsidR="00584EC1" w:rsidRDefault="00871F8D">
            <w:pPr>
              <w:jc w:val="right"/>
              <w:textAlignment w:val="bottom"/>
            </w:pPr>
            <w:r>
              <w:rPr>
                <w:rFonts w:ascii="Arial" w:eastAsia="宋体" w:hAnsi="Arial" w:cs="Arial"/>
                <w:b/>
                <w:bCs/>
                <w:color w:val="000000"/>
                <w:sz w:val="15"/>
                <w:szCs w:val="15"/>
              </w:rPr>
              <w:t>40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B85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85C"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B85D" w14:textId="77777777" w:rsidR="00584EC1" w:rsidRDefault="00871F8D">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4DDB85E"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B85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860"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B861" w14:textId="77777777" w:rsidR="00584EC1" w:rsidRDefault="00871F8D">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4DDB862"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B86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864"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865"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866"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B867" w14:textId="77777777" w:rsidR="00584EC1" w:rsidRDefault="00871F8D">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4DDB868" w14:textId="77777777" w:rsidR="00584EC1" w:rsidRDefault="00871F8D">
            <w:pPr>
              <w:jc w:val="right"/>
              <w:textAlignment w:val="bottom"/>
            </w:pPr>
            <w:r>
              <w:rPr>
                <w:rFonts w:ascii="Arial" w:eastAsia="宋体" w:hAnsi="Arial" w:cs="Arial"/>
                <w:b/>
                <w:bCs/>
                <w:color w:val="000000"/>
                <w:sz w:val="15"/>
                <w:szCs w:val="15"/>
              </w:rPr>
              <w:t>40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B869" w14:textId="77777777" w:rsidR="00584EC1" w:rsidRDefault="00584EC1">
            <w:pPr>
              <w:jc w:val="right"/>
              <w:rPr>
                <w:rFonts w:ascii="宋体"/>
              </w:rPr>
            </w:pPr>
          </w:p>
        </w:tc>
      </w:tr>
      <w:tr w:rsidR="00584EC1" w14:paraId="74DDB879" w14:textId="77777777">
        <w:tc>
          <w:tcPr>
            <w:tcW w:w="0" w:type="auto"/>
            <w:gridSpan w:val="3"/>
            <w:shd w:val="clear" w:color="auto" w:fill="FFFFFF"/>
            <w:tcMar>
              <w:top w:w="40" w:type="dxa"/>
              <w:left w:w="245" w:type="dxa"/>
              <w:bottom w:w="40" w:type="dxa"/>
              <w:right w:w="20" w:type="dxa"/>
            </w:tcMar>
            <w:vAlign w:val="bottom"/>
          </w:tcPr>
          <w:p w14:paraId="74DDB86B" w14:textId="77777777" w:rsidR="00584EC1" w:rsidRDefault="00871F8D">
            <w:pPr>
              <w:textAlignment w:val="bottom"/>
            </w:pPr>
            <w:r>
              <w:rPr>
                <w:rFonts w:ascii="Arial" w:eastAsia="宋体" w:hAnsi="Arial" w:cs="Arial"/>
                <w:color w:val="000000"/>
                <w:sz w:val="15"/>
                <w:szCs w:val="15"/>
              </w:rPr>
              <w:t>Non-U.S. government securities</w:t>
            </w:r>
          </w:p>
        </w:tc>
        <w:tc>
          <w:tcPr>
            <w:tcW w:w="0" w:type="auto"/>
            <w:gridSpan w:val="2"/>
            <w:shd w:val="clear" w:color="auto" w:fill="FFFFFF"/>
            <w:tcMar>
              <w:top w:w="40" w:type="dxa"/>
              <w:left w:w="20" w:type="dxa"/>
              <w:bottom w:w="40" w:type="dxa"/>
              <w:right w:w="0" w:type="dxa"/>
            </w:tcMar>
            <w:vAlign w:val="bottom"/>
          </w:tcPr>
          <w:p w14:paraId="74DDB86C"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B86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86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86F" w14:textId="77777777" w:rsidR="00584EC1" w:rsidRDefault="00871F8D">
            <w:pPr>
              <w:jc w:val="right"/>
              <w:textAlignment w:val="bottom"/>
            </w:pPr>
            <w:r>
              <w:rPr>
                <w:rFonts w:ascii="Arial" w:eastAsia="宋体" w:hAnsi="Arial" w:cs="Arial"/>
                <w:b/>
                <w:bCs/>
                <w:color w:val="000000"/>
                <w:sz w:val="15"/>
                <w:szCs w:val="15"/>
              </w:rPr>
              <w:t>135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B87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87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872"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B87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874"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875"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87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877" w14:textId="77777777" w:rsidR="00584EC1" w:rsidRDefault="00871F8D">
            <w:pPr>
              <w:jc w:val="right"/>
              <w:textAlignment w:val="bottom"/>
            </w:pPr>
            <w:r>
              <w:rPr>
                <w:rFonts w:ascii="Arial" w:eastAsia="宋体" w:hAnsi="Arial" w:cs="Arial"/>
                <w:b/>
                <w:bCs/>
                <w:color w:val="000000"/>
                <w:sz w:val="15"/>
                <w:szCs w:val="15"/>
              </w:rPr>
              <w:t>135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B878" w14:textId="77777777" w:rsidR="00584EC1" w:rsidRDefault="00584EC1">
            <w:pPr>
              <w:jc w:val="right"/>
              <w:rPr>
                <w:rFonts w:ascii="宋体"/>
              </w:rPr>
            </w:pPr>
          </w:p>
        </w:tc>
      </w:tr>
      <w:tr w:rsidR="00584EC1" w14:paraId="74DDB888" w14:textId="77777777">
        <w:tc>
          <w:tcPr>
            <w:tcW w:w="0" w:type="auto"/>
            <w:gridSpan w:val="3"/>
            <w:shd w:val="clear" w:color="auto" w:fill="CCEEFF"/>
            <w:tcMar>
              <w:top w:w="40" w:type="dxa"/>
              <w:left w:w="245" w:type="dxa"/>
              <w:bottom w:w="40" w:type="dxa"/>
              <w:right w:w="20" w:type="dxa"/>
            </w:tcMar>
            <w:vAlign w:val="bottom"/>
          </w:tcPr>
          <w:p w14:paraId="74DDB87A" w14:textId="77777777" w:rsidR="00584EC1" w:rsidRDefault="00871F8D">
            <w:pPr>
              <w:textAlignment w:val="bottom"/>
            </w:pPr>
            <w:r>
              <w:rPr>
                <w:rFonts w:ascii="Arial" w:eastAsia="宋体" w:hAnsi="Arial" w:cs="Arial"/>
                <w:color w:val="000000"/>
                <w:sz w:val="15"/>
                <w:szCs w:val="15"/>
              </w:rPr>
              <w:t>Other</w:t>
            </w:r>
          </w:p>
        </w:tc>
        <w:tc>
          <w:tcPr>
            <w:tcW w:w="0" w:type="auto"/>
            <w:gridSpan w:val="2"/>
            <w:shd w:val="clear" w:color="auto" w:fill="CCEEFF"/>
            <w:tcMar>
              <w:top w:w="40" w:type="dxa"/>
              <w:left w:w="20" w:type="dxa"/>
              <w:bottom w:w="40" w:type="dxa"/>
              <w:right w:w="0" w:type="dxa"/>
            </w:tcMar>
            <w:vAlign w:val="bottom"/>
          </w:tcPr>
          <w:p w14:paraId="74DDB87B"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B87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87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87E" w14:textId="77777777" w:rsidR="00584EC1" w:rsidRDefault="00871F8D">
            <w:pPr>
              <w:jc w:val="right"/>
              <w:textAlignment w:val="bottom"/>
            </w:pPr>
            <w:r>
              <w:rPr>
                <w:rFonts w:ascii="Arial" w:eastAsia="宋体" w:hAnsi="Arial" w:cs="Arial"/>
                <w:b/>
                <w:bCs/>
                <w:color w:val="000000"/>
                <w:sz w:val="15"/>
                <w:szCs w:val="15"/>
              </w:rPr>
              <w:t>545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B87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88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881"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B88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883"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884"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88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886" w14:textId="77777777" w:rsidR="00584EC1" w:rsidRDefault="00871F8D">
            <w:pPr>
              <w:jc w:val="right"/>
              <w:textAlignment w:val="bottom"/>
            </w:pPr>
            <w:r>
              <w:rPr>
                <w:rFonts w:ascii="Arial" w:eastAsia="宋体" w:hAnsi="Arial" w:cs="Arial"/>
                <w:b/>
                <w:bCs/>
                <w:color w:val="000000"/>
                <w:sz w:val="15"/>
                <w:szCs w:val="15"/>
              </w:rPr>
              <w:t>545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B887" w14:textId="77777777" w:rsidR="00584EC1" w:rsidRDefault="00584EC1">
            <w:pPr>
              <w:jc w:val="right"/>
              <w:rPr>
                <w:rFonts w:ascii="宋体"/>
              </w:rPr>
            </w:pPr>
          </w:p>
        </w:tc>
      </w:tr>
      <w:tr w:rsidR="00584EC1" w14:paraId="74DDB893" w14:textId="77777777">
        <w:trPr>
          <w:hidden/>
        </w:trPr>
        <w:tc>
          <w:tcPr>
            <w:tcW w:w="0" w:type="auto"/>
            <w:gridSpan w:val="3"/>
            <w:shd w:val="clear" w:color="auto" w:fill="auto"/>
            <w:vAlign w:val="bottom"/>
          </w:tcPr>
          <w:p w14:paraId="74DDB889" w14:textId="77777777" w:rsidR="00584EC1" w:rsidRDefault="00584EC1">
            <w:pPr>
              <w:rPr>
                <w:rFonts w:ascii="宋体"/>
                <w:vanish/>
              </w:rPr>
            </w:pPr>
          </w:p>
        </w:tc>
        <w:tc>
          <w:tcPr>
            <w:tcW w:w="0" w:type="auto"/>
            <w:gridSpan w:val="3"/>
            <w:shd w:val="clear" w:color="auto" w:fill="auto"/>
            <w:vAlign w:val="bottom"/>
          </w:tcPr>
          <w:p w14:paraId="74DDB88A" w14:textId="77777777" w:rsidR="00584EC1" w:rsidRDefault="00584EC1">
            <w:pPr>
              <w:rPr>
                <w:rFonts w:ascii="宋体"/>
                <w:vanish/>
              </w:rPr>
            </w:pPr>
          </w:p>
        </w:tc>
        <w:tc>
          <w:tcPr>
            <w:tcW w:w="0" w:type="auto"/>
            <w:gridSpan w:val="3"/>
            <w:shd w:val="clear" w:color="auto" w:fill="auto"/>
            <w:vAlign w:val="bottom"/>
          </w:tcPr>
          <w:p w14:paraId="74DDB88B" w14:textId="77777777" w:rsidR="00584EC1" w:rsidRDefault="00584EC1">
            <w:pPr>
              <w:rPr>
                <w:rFonts w:ascii="宋体"/>
                <w:vanish/>
              </w:rPr>
            </w:pPr>
          </w:p>
        </w:tc>
        <w:tc>
          <w:tcPr>
            <w:tcW w:w="0" w:type="auto"/>
            <w:gridSpan w:val="3"/>
            <w:shd w:val="clear" w:color="auto" w:fill="auto"/>
            <w:vAlign w:val="bottom"/>
          </w:tcPr>
          <w:p w14:paraId="74DDB88C" w14:textId="77777777" w:rsidR="00584EC1" w:rsidRDefault="00584EC1">
            <w:pPr>
              <w:rPr>
                <w:rFonts w:ascii="宋体"/>
                <w:vanish/>
              </w:rPr>
            </w:pPr>
          </w:p>
        </w:tc>
        <w:tc>
          <w:tcPr>
            <w:tcW w:w="0" w:type="auto"/>
            <w:gridSpan w:val="3"/>
            <w:shd w:val="clear" w:color="auto" w:fill="auto"/>
            <w:vAlign w:val="bottom"/>
          </w:tcPr>
          <w:p w14:paraId="74DDB88D" w14:textId="77777777" w:rsidR="00584EC1" w:rsidRDefault="00584EC1">
            <w:pPr>
              <w:rPr>
                <w:rFonts w:ascii="宋体"/>
                <w:vanish/>
              </w:rPr>
            </w:pPr>
          </w:p>
        </w:tc>
        <w:tc>
          <w:tcPr>
            <w:tcW w:w="0" w:type="auto"/>
            <w:gridSpan w:val="3"/>
            <w:shd w:val="clear" w:color="auto" w:fill="auto"/>
            <w:vAlign w:val="bottom"/>
          </w:tcPr>
          <w:p w14:paraId="74DDB88E" w14:textId="77777777" w:rsidR="00584EC1" w:rsidRDefault="00584EC1">
            <w:pPr>
              <w:rPr>
                <w:rFonts w:ascii="宋体"/>
                <w:vanish/>
              </w:rPr>
            </w:pPr>
          </w:p>
        </w:tc>
        <w:tc>
          <w:tcPr>
            <w:tcW w:w="0" w:type="auto"/>
            <w:gridSpan w:val="3"/>
            <w:shd w:val="clear" w:color="auto" w:fill="auto"/>
            <w:vAlign w:val="bottom"/>
          </w:tcPr>
          <w:p w14:paraId="74DDB88F" w14:textId="77777777" w:rsidR="00584EC1" w:rsidRDefault="00584EC1">
            <w:pPr>
              <w:rPr>
                <w:rFonts w:ascii="宋体"/>
                <w:vanish/>
              </w:rPr>
            </w:pPr>
          </w:p>
        </w:tc>
        <w:tc>
          <w:tcPr>
            <w:tcW w:w="0" w:type="auto"/>
            <w:gridSpan w:val="3"/>
            <w:shd w:val="clear" w:color="auto" w:fill="auto"/>
            <w:vAlign w:val="bottom"/>
          </w:tcPr>
          <w:p w14:paraId="74DDB890" w14:textId="77777777" w:rsidR="00584EC1" w:rsidRDefault="00584EC1">
            <w:pPr>
              <w:rPr>
                <w:rFonts w:ascii="宋体"/>
                <w:vanish/>
              </w:rPr>
            </w:pPr>
          </w:p>
        </w:tc>
        <w:tc>
          <w:tcPr>
            <w:tcW w:w="0" w:type="auto"/>
            <w:gridSpan w:val="3"/>
            <w:shd w:val="clear" w:color="auto" w:fill="auto"/>
            <w:vAlign w:val="bottom"/>
          </w:tcPr>
          <w:p w14:paraId="74DDB891" w14:textId="77777777" w:rsidR="00584EC1" w:rsidRDefault="00584EC1">
            <w:pPr>
              <w:rPr>
                <w:rFonts w:ascii="宋体"/>
                <w:vanish/>
              </w:rPr>
            </w:pPr>
          </w:p>
        </w:tc>
        <w:tc>
          <w:tcPr>
            <w:tcW w:w="0" w:type="auto"/>
            <w:gridSpan w:val="3"/>
            <w:shd w:val="clear" w:color="auto" w:fill="auto"/>
            <w:vAlign w:val="bottom"/>
          </w:tcPr>
          <w:p w14:paraId="74DDB892" w14:textId="77777777" w:rsidR="00584EC1" w:rsidRDefault="00584EC1">
            <w:pPr>
              <w:rPr>
                <w:rFonts w:ascii="宋体"/>
                <w:vanish/>
              </w:rPr>
            </w:pPr>
          </w:p>
        </w:tc>
      </w:tr>
      <w:tr w:rsidR="00584EC1" w14:paraId="74DDB8A2" w14:textId="77777777">
        <w:tc>
          <w:tcPr>
            <w:tcW w:w="0" w:type="auto"/>
            <w:gridSpan w:val="3"/>
            <w:shd w:val="clear" w:color="auto" w:fill="FFFFFF"/>
            <w:tcMar>
              <w:top w:w="40" w:type="dxa"/>
              <w:left w:w="740" w:type="dxa"/>
              <w:bottom w:w="40" w:type="dxa"/>
              <w:right w:w="20" w:type="dxa"/>
            </w:tcMar>
            <w:vAlign w:val="bottom"/>
          </w:tcPr>
          <w:p w14:paraId="74DDB894" w14:textId="77777777" w:rsidR="00584EC1" w:rsidRDefault="00871F8D">
            <w:pPr>
              <w:textAlignment w:val="bottom"/>
            </w:pPr>
            <w:r>
              <w:rPr>
                <w:rFonts w:ascii="Arial" w:eastAsia="宋体" w:hAnsi="Arial" w:cs="Arial"/>
                <w:color w:val="000000"/>
                <w:sz w:val="15"/>
                <w:szCs w:val="15"/>
              </w:rPr>
              <w:t>Total trading account assets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B895" w14:textId="77777777" w:rsidR="00584EC1" w:rsidRDefault="00871F8D">
            <w:pPr>
              <w:jc w:val="right"/>
              <w:textAlignment w:val="bottom"/>
            </w:pPr>
            <w:r>
              <w:rPr>
                <w:rFonts w:ascii="Arial" w:eastAsia="宋体" w:hAnsi="Arial" w:cs="Arial"/>
                <w:b/>
                <w:bCs/>
                <w:color w:val="000000"/>
                <w:sz w:val="15"/>
                <w:szCs w:val="15"/>
              </w:rPr>
              <w:t>40</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B89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897"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B898" w14:textId="77777777" w:rsidR="00584EC1" w:rsidRDefault="00871F8D">
            <w:pPr>
              <w:jc w:val="right"/>
              <w:textAlignment w:val="bottom"/>
            </w:pPr>
            <w:r>
              <w:rPr>
                <w:rFonts w:ascii="Arial" w:eastAsia="宋体" w:hAnsi="Arial" w:cs="Arial"/>
                <w:b/>
                <w:bCs/>
                <w:color w:val="000000"/>
                <w:sz w:val="15"/>
                <w:szCs w:val="15"/>
              </w:rPr>
              <w:t>680</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B89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89A"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B89B"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B89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89D"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89E"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89F"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B8A0" w14:textId="77777777" w:rsidR="00584EC1" w:rsidRDefault="00871F8D">
            <w:pPr>
              <w:jc w:val="right"/>
              <w:textAlignment w:val="bottom"/>
            </w:pPr>
            <w:r>
              <w:rPr>
                <w:rFonts w:ascii="Arial" w:eastAsia="宋体" w:hAnsi="Arial" w:cs="Arial"/>
                <w:b/>
                <w:bCs/>
                <w:color w:val="000000"/>
                <w:sz w:val="15"/>
                <w:szCs w:val="15"/>
              </w:rPr>
              <w:t>720</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B8A1" w14:textId="77777777" w:rsidR="00584EC1" w:rsidRDefault="00584EC1">
            <w:pPr>
              <w:jc w:val="right"/>
              <w:rPr>
                <w:rFonts w:ascii="宋体"/>
              </w:rPr>
            </w:pPr>
          </w:p>
        </w:tc>
      </w:tr>
      <w:tr w:rsidR="00584EC1" w14:paraId="74DDB8AD" w14:textId="77777777">
        <w:tc>
          <w:tcPr>
            <w:tcW w:w="0" w:type="auto"/>
            <w:gridSpan w:val="3"/>
            <w:shd w:val="clear" w:color="auto" w:fill="CCEEFF"/>
            <w:tcMar>
              <w:top w:w="40" w:type="dxa"/>
              <w:left w:w="20" w:type="dxa"/>
              <w:bottom w:w="40" w:type="dxa"/>
              <w:right w:w="20" w:type="dxa"/>
            </w:tcMar>
            <w:vAlign w:val="bottom"/>
          </w:tcPr>
          <w:p w14:paraId="74DDB8A3" w14:textId="77777777" w:rsidR="00584EC1" w:rsidRDefault="00871F8D">
            <w:pPr>
              <w:textAlignment w:val="bottom"/>
            </w:pPr>
            <w:r>
              <w:rPr>
                <w:rFonts w:ascii="Arial" w:eastAsia="宋体" w:hAnsi="Arial" w:cs="Arial"/>
                <w:color w:val="000000"/>
                <w:sz w:val="15"/>
                <w:szCs w:val="15"/>
              </w:rPr>
              <w:t>Available-for-sale investment securities: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4DDB8A4"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8A5" w14:textId="77777777" w:rsidR="00584EC1" w:rsidRDefault="00584EC1">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4DDB8A6"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8A7" w14:textId="77777777" w:rsidR="00584EC1" w:rsidRDefault="00584EC1">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4DDB8A8"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8A9"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8AA"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8AB" w14:textId="77777777" w:rsidR="00584EC1" w:rsidRDefault="00584EC1">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4DDB8AC" w14:textId="77777777" w:rsidR="00584EC1" w:rsidRDefault="00584EC1">
            <w:pPr>
              <w:rPr>
                <w:rFonts w:ascii="宋体"/>
              </w:rPr>
            </w:pPr>
          </w:p>
        </w:tc>
      </w:tr>
      <w:tr w:rsidR="00584EC1" w14:paraId="74DDB8B8" w14:textId="77777777">
        <w:tc>
          <w:tcPr>
            <w:tcW w:w="0" w:type="auto"/>
            <w:gridSpan w:val="3"/>
            <w:shd w:val="clear" w:color="auto" w:fill="FFFFFF"/>
            <w:tcMar>
              <w:top w:w="40" w:type="dxa"/>
              <w:left w:w="245" w:type="dxa"/>
              <w:bottom w:w="40" w:type="dxa"/>
              <w:right w:w="20" w:type="dxa"/>
            </w:tcMar>
            <w:vAlign w:val="bottom"/>
          </w:tcPr>
          <w:p w14:paraId="74DDB8AE" w14:textId="77777777" w:rsidR="00584EC1" w:rsidRDefault="00871F8D">
            <w:pPr>
              <w:textAlignment w:val="bottom"/>
            </w:pPr>
            <w:r>
              <w:rPr>
                <w:rFonts w:ascii="Arial" w:eastAsia="宋体" w:hAnsi="Arial" w:cs="Arial"/>
                <w:color w:val="000000"/>
                <w:sz w:val="15"/>
                <w:szCs w:val="15"/>
              </w:rPr>
              <w:t>U.S. Treasury and federal agencies:</w:t>
            </w:r>
          </w:p>
        </w:tc>
        <w:tc>
          <w:tcPr>
            <w:tcW w:w="0" w:type="auto"/>
            <w:gridSpan w:val="3"/>
            <w:shd w:val="clear" w:color="auto" w:fill="FFFFFF"/>
            <w:tcMar>
              <w:top w:w="0" w:type="dxa"/>
              <w:left w:w="20" w:type="dxa"/>
              <w:bottom w:w="0" w:type="dxa"/>
              <w:right w:w="20" w:type="dxa"/>
            </w:tcMar>
            <w:vAlign w:val="bottom"/>
          </w:tcPr>
          <w:p w14:paraId="74DDB8AF"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8B0"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8B1"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8B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8B3"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8B4"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8B5"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8B6"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8B7" w14:textId="77777777" w:rsidR="00584EC1" w:rsidRDefault="00584EC1">
            <w:pPr>
              <w:rPr>
                <w:rFonts w:ascii="宋体"/>
              </w:rPr>
            </w:pPr>
          </w:p>
        </w:tc>
      </w:tr>
      <w:tr w:rsidR="00584EC1" w14:paraId="74DDB8C7" w14:textId="77777777">
        <w:tc>
          <w:tcPr>
            <w:tcW w:w="0" w:type="auto"/>
            <w:gridSpan w:val="3"/>
            <w:shd w:val="clear" w:color="auto" w:fill="CCEEFF"/>
            <w:tcMar>
              <w:top w:w="40" w:type="dxa"/>
              <w:left w:w="245" w:type="dxa"/>
              <w:bottom w:w="40" w:type="dxa"/>
              <w:right w:w="20" w:type="dxa"/>
            </w:tcMar>
            <w:vAlign w:val="bottom"/>
          </w:tcPr>
          <w:p w14:paraId="74DDB8B9" w14:textId="77777777" w:rsidR="00584EC1" w:rsidRDefault="00871F8D">
            <w:pPr>
              <w:textAlignment w:val="bottom"/>
            </w:pPr>
            <w:r>
              <w:rPr>
                <w:rFonts w:ascii="Arial" w:eastAsia="宋体" w:hAnsi="Arial" w:cs="Arial"/>
                <w:color w:val="000000"/>
                <w:sz w:val="15"/>
                <w:szCs w:val="15"/>
              </w:rPr>
              <w:t>Direct obligations</w:t>
            </w:r>
          </w:p>
        </w:tc>
        <w:tc>
          <w:tcPr>
            <w:tcW w:w="0" w:type="auto"/>
            <w:gridSpan w:val="2"/>
            <w:shd w:val="clear" w:color="auto" w:fill="CCEEFF"/>
            <w:tcMar>
              <w:top w:w="40" w:type="dxa"/>
              <w:left w:w="20" w:type="dxa"/>
              <w:bottom w:w="40" w:type="dxa"/>
              <w:right w:w="0" w:type="dxa"/>
            </w:tcMar>
            <w:vAlign w:val="bottom"/>
          </w:tcPr>
          <w:p w14:paraId="74DDB8BA" w14:textId="77777777" w:rsidR="00584EC1" w:rsidRDefault="00871F8D">
            <w:pPr>
              <w:jc w:val="right"/>
              <w:textAlignment w:val="bottom"/>
            </w:pPr>
            <w:r>
              <w:rPr>
                <w:rFonts w:ascii="Arial" w:eastAsia="宋体" w:hAnsi="Arial" w:cs="Arial"/>
                <w:b/>
                <w:bCs/>
                <w:color w:val="000000"/>
                <w:sz w:val="15"/>
                <w:szCs w:val="15"/>
              </w:rPr>
              <w:t>14,339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B8B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8BC"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8BD"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B8B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8BF"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8C0"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B8C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8C2"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8C3"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8C4"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8C5" w14:textId="77777777" w:rsidR="00584EC1" w:rsidRDefault="00871F8D">
            <w:pPr>
              <w:jc w:val="right"/>
              <w:textAlignment w:val="bottom"/>
            </w:pPr>
            <w:r>
              <w:rPr>
                <w:rFonts w:ascii="Arial" w:eastAsia="宋体" w:hAnsi="Arial" w:cs="Arial"/>
                <w:b/>
                <w:bCs/>
                <w:color w:val="000000"/>
                <w:sz w:val="15"/>
                <w:szCs w:val="15"/>
              </w:rPr>
              <w:t>14,339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B8C6" w14:textId="77777777" w:rsidR="00584EC1" w:rsidRDefault="00584EC1">
            <w:pPr>
              <w:jc w:val="right"/>
              <w:rPr>
                <w:rFonts w:ascii="宋体"/>
              </w:rPr>
            </w:pPr>
          </w:p>
        </w:tc>
      </w:tr>
      <w:tr w:rsidR="00584EC1" w14:paraId="74DDB8D6" w14:textId="77777777">
        <w:tc>
          <w:tcPr>
            <w:tcW w:w="0" w:type="auto"/>
            <w:gridSpan w:val="3"/>
            <w:shd w:val="clear" w:color="auto" w:fill="FFFFFF"/>
            <w:tcMar>
              <w:top w:w="40" w:type="dxa"/>
              <w:left w:w="245" w:type="dxa"/>
              <w:bottom w:w="40" w:type="dxa"/>
              <w:right w:w="20" w:type="dxa"/>
            </w:tcMar>
            <w:vAlign w:val="bottom"/>
          </w:tcPr>
          <w:p w14:paraId="74DDB8C8" w14:textId="77777777" w:rsidR="00584EC1" w:rsidRDefault="00871F8D">
            <w:pPr>
              <w:textAlignment w:val="bottom"/>
            </w:pPr>
            <w:r>
              <w:rPr>
                <w:rFonts w:ascii="Arial" w:eastAsia="宋体" w:hAnsi="Arial" w:cs="Arial"/>
                <w:color w:val="000000"/>
                <w:sz w:val="15"/>
                <w:szCs w:val="15"/>
              </w:rPr>
              <w:t>Mortgage-backed securities</w:t>
            </w:r>
          </w:p>
        </w:tc>
        <w:tc>
          <w:tcPr>
            <w:tcW w:w="0" w:type="auto"/>
            <w:gridSpan w:val="2"/>
            <w:shd w:val="clear" w:color="auto" w:fill="FFFFFF"/>
            <w:tcMar>
              <w:top w:w="40" w:type="dxa"/>
              <w:left w:w="20" w:type="dxa"/>
              <w:bottom w:w="40" w:type="dxa"/>
              <w:right w:w="0" w:type="dxa"/>
            </w:tcMar>
            <w:vAlign w:val="bottom"/>
          </w:tcPr>
          <w:p w14:paraId="74DDB8C9"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B8C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8CB"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8CC" w14:textId="77777777" w:rsidR="00584EC1" w:rsidRDefault="00871F8D">
            <w:pPr>
              <w:jc w:val="right"/>
              <w:textAlignment w:val="bottom"/>
            </w:pPr>
            <w:r>
              <w:rPr>
                <w:rFonts w:ascii="Arial" w:eastAsia="宋体" w:hAnsi="Arial" w:cs="Arial"/>
                <w:b/>
                <w:bCs/>
                <w:color w:val="000000"/>
                <w:sz w:val="15"/>
                <w:szCs w:val="15"/>
              </w:rPr>
              <w:t>16,223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B8C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8C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8CF"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B8D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8D1"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8D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8D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8D4" w14:textId="77777777" w:rsidR="00584EC1" w:rsidRDefault="00871F8D">
            <w:pPr>
              <w:jc w:val="right"/>
              <w:textAlignment w:val="bottom"/>
            </w:pPr>
            <w:r>
              <w:rPr>
                <w:rFonts w:ascii="Arial" w:eastAsia="宋体" w:hAnsi="Arial" w:cs="Arial"/>
                <w:b/>
                <w:bCs/>
                <w:color w:val="000000"/>
                <w:sz w:val="15"/>
                <w:szCs w:val="15"/>
              </w:rPr>
              <w:t>16,223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B8D5" w14:textId="77777777" w:rsidR="00584EC1" w:rsidRDefault="00584EC1">
            <w:pPr>
              <w:jc w:val="right"/>
              <w:rPr>
                <w:rFonts w:ascii="宋体"/>
              </w:rPr>
            </w:pPr>
          </w:p>
        </w:tc>
      </w:tr>
      <w:tr w:rsidR="00584EC1" w14:paraId="74DDB8E5" w14:textId="77777777">
        <w:tc>
          <w:tcPr>
            <w:tcW w:w="0" w:type="auto"/>
            <w:gridSpan w:val="3"/>
            <w:shd w:val="clear" w:color="auto" w:fill="CCEEFF"/>
            <w:tcMar>
              <w:top w:w="40" w:type="dxa"/>
              <w:left w:w="740" w:type="dxa"/>
              <w:bottom w:w="40" w:type="dxa"/>
              <w:right w:w="20" w:type="dxa"/>
            </w:tcMar>
            <w:vAlign w:val="bottom"/>
          </w:tcPr>
          <w:p w14:paraId="74DDB8D7" w14:textId="77777777" w:rsidR="00584EC1" w:rsidRDefault="00871F8D">
            <w:pPr>
              <w:textAlignment w:val="bottom"/>
            </w:pPr>
            <w:r>
              <w:rPr>
                <w:rFonts w:ascii="Arial" w:eastAsia="宋体" w:hAnsi="Arial" w:cs="Arial"/>
                <w:color w:val="000000"/>
                <w:sz w:val="15"/>
                <w:szCs w:val="15"/>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B8D8" w14:textId="77777777" w:rsidR="00584EC1" w:rsidRDefault="00871F8D">
            <w:pPr>
              <w:jc w:val="right"/>
              <w:textAlignment w:val="bottom"/>
            </w:pPr>
            <w:r>
              <w:rPr>
                <w:rFonts w:ascii="Arial" w:eastAsia="宋体" w:hAnsi="Arial" w:cs="Arial"/>
                <w:b/>
                <w:bCs/>
                <w:color w:val="000000"/>
                <w:sz w:val="15"/>
                <w:szCs w:val="15"/>
              </w:rPr>
              <w:t>14,339</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B8D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8DA"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B8DB" w14:textId="77777777" w:rsidR="00584EC1" w:rsidRDefault="00871F8D">
            <w:pPr>
              <w:jc w:val="right"/>
              <w:textAlignment w:val="bottom"/>
            </w:pPr>
            <w:r>
              <w:rPr>
                <w:rFonts w:ascii="Arial" w:eastAsia="宋体" w:hAnsi="Arial" w:cs="Arial"/>
                <w:b/>
                <w:bCs/>
                <w:color w:val="000000"/>
                <w:sz w:val="15"/>
                <w:szCs w:val="15"/>
              </w:rPr>
              <w:t>16,223</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B8D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8DD"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B8DE"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B8D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8E0"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8E1"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8E2"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B8E3" w14:textId="77777777" w:rsidR="00584EC1" w:rsidRDefault="00871F8D">
            <w:pPr>
              <w:jc w:val="right"/>
              <w:textAlignment w:val="bottom"/>
            </w:pPr>
            <w:r>
              <w:rPr>
                <w:rFonts w:ascii="Arial" w:eastAsia="宋体" w:hAnsi="Arial" w:cs="Arial"/>
                <w:b/>
                <w:bCs/>
                <w:color w:val="000000"/>
                <w:sz w:val="15"/>
                <w:szCs w:val="15"/>
              </w:rPr>
              <w:t>30,562</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B8E4" w14:textId="77777777" w:rsidR="00584EC1" w:rsidRDefault="00584EC1">
            <w:pPr>
              <w:jc w:val="right"/>
              <w:rPr>
                <w:rFonts w:ascii="宋体"/>
              </w:rPr>
            </w:pPr>
          </w:p>
        </w:tc>
      </w:tr>
      <w:tr w:rsidR="00584EC1" w14:paraId="74DDB8F0" w14:textId="77777777">
        <w:tc>
          <w:tcPr>
            <w:tcW w:w="0" w:type="auto"/>
            <w:gridSpan w:val="3"/>
            <w:shd w:val="clear" w:color="auto" w:fill="FFFFFF"/>
            <w:tcMar>
              <w:top w:w="40" w:type="dxa"/>
              <w:left w:w="245" w:type="dxa"/>
              <w:bottom w:w="40" w:type="dxa"/>
              <w:right w:w="20" w:type="dxa"/>
            </w:tcMar>
            <w:vAlign w:val="bottom"/>
          </w:tcPr>
          <w:p w14:paraId="74DDB8E6" w14:textId="77777777" w:rsidR="00584EC1" w:rsidRDefault="00871F8D">
            <w:pPr>
              <w:textAlignment w:val="bottom"/>
            </w:pPr>
            <w:r>
              <w:rPr>
                <w:rFonts w:ascii="Arial" w:eastAsia="宋体" w:hAnsi="Arial" w:cs="Arial"/>
                <w:color w:val="000000"/>
                <w:sz w:val="15"/>
                <w:szCs w:val="15"/>
              </w:rPr>
              <w:t>Non-U.S. debt securities:</w:t>
            </w:r>
          </w:p>
        </w:tc>
        <w:tc>
          <w:tcPr>
            <w:tcW w:w="0" w:type="auto"/>
            <w:gridSpan w:val="3"/>
            <w:shd w:val="clear" w:color="auto" w:fill="FFFFFF"/>
            <w:tcMar>
              <w:top w:w="0" w:type="dxa"/>
              <w:left w:w="20" w:type="dxa"/>
              <w:bottom w:w="0" w:type="dxa"/>
              <w:right w:w="20" w:type="dxa"/>
            </w:tcMar>
            <w:vAlign w:val="bottom"/>
          </w:tcPr>
          <w:p w14:paraId="74DDB8E7"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8E8"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8E9"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8EA"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8EB"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8EC"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8ED"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8EE"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8EF" w14:textId="77777777" w:rsidR="00584EC1" w:rsidRDefault="00584EC1">
            <w:pPr>
              <w:rPr>
                <w:rFonts w:ascii="宋体"/>
              </w:rPr>
            </w:pPr>
          </w:p>
        </w:tc>
      </w:tr>
      <w:tr w:rsidR="00584EC1" w14:paraId="74DDB8FF" w14:textId="77777777">
        <w:tc>
          <w:tcPr>
            <w:tcW w:w="0" w:type="auto"/>
            <w:gridSpan w:val="3"/>
            <w:shd w:val="clear" w:color="auto" w:fill="CCEEFF"/>
            <w:tcMar>
              <w:top w:w="40" w:type="dxa"/>
              <w:left w:w="515" w:type="dxa"/>
              <w:bottom w:w="40" w:type="dxa"/>
              <w:right w:w="20" w:type="dxa"/>
            </w:tcMar>
            <w:vAlign w:val="bottom"/>
          </w:tcPr>
          <w:p w14:paraId="74DDB8F1" w14:textId="77777777" w:rsidR="00584EC1" w:rsidRDefault="00871F8D">
            <w:pPr>
              <w:textAlignment w:val="bottom"/>
            </w:pPr>
            <w:r>
              <w:rPr>
                <w:rFonts w:ascii="Arial" w:eastAsia="宋体" w:hAnsi="Arial" w:cs="Arial"/>
                <w:color w:val="000000"/>
                <w:sz w:val="15"/>
                <w:szCs w:val="15"/>
              </w:rPr>
              <w:t xml:space="preserve">Mortgage-backed </w:t>
            </w:r>
            <w:r>
              <w:rPr>
                <w:rFonts w:ascii="Arial" w:eastAsia="宋体" w:hAnsi="Arial" w:cs="Arial"/>
                <w:color w:val="000000"/>
                <w:sz w:val="15"/>
                <w:szCs w:val="15"/>
              </w:rPr>
              <w:t>securities</w:t>
            </w:r>
          </w:p>
        </w:tc>
        <w:tc>
          <w:tcPr>
            <w:tcW w:w="0" w:type="auto"/>
            <w:gridSpan w:val="2"/>
            <w:shd w:val="clear" w:color="auto" w:fill="CCEEFF"/>
            <w:tcMar>
              <w:top w:w="40" w:type="dxa"/>
              <w:left w:w="20" w:type="dxa"/>
              <w:bottom w:w="40" w:type="dxa"/>
              <w:right w:w="0" w:type="dxa"/>
            </w:tcMar>
            <w:vAlign w:val="bottom"/>
          </w:tcPr>
          <w:p w14:paraId="74DDB8F2"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B8F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8F4"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8F5" w14:textId="77777777" w:rsidR="00584EC1" w:rsidRDefault="00871F8D">
            <w:pPr>
              <w:jc w:val="right"/>
              <w:textAlignment w:val="bottom"/>
            </w:pPr>
            <w:r>
              <w:rPr>
                <w:rFonts w:ascii="Arial" w:eastAsia="宋体" w:hAnsi="Arial" w:cs="Arial"/>
                <w:b/>
                <w:bCs/>
                <w:color w:val="000000"/>
                <w:sz w:val="15"/>
                <w:szCs w:val="15"/>
              </w:rPr>
              <w:t>2,141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B8F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8F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8F8"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B8F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8FA"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8FB"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8FC"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8FD" w14:textId="77777777" w:rsidR="00584EC1" w:rsidRDefault="00871F8D">
            <w:pPr>
              <w:jc w:val="right"/>
              <w:textAlignment w:val="bottom"/>
            </w:pPr>
            <w:r>
              <w:rPr>
                <w:rFonts w:ascii="Arial" w:eastAsia="宋体" w:hAnsi="Arial" w:cs="Arial"/>
                <w:b/>
                <w:bCs/>
                <w:color w:val="000000"/>
                <w:sz w:val="15"/>
                <w:szCs w:val="15"/>
              </w:rPr>
              <w:t>2,141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B8FE" w14:textId="77777777" w:rsidR="00584EC1" w:rsidRDefault="00584EC1">
            <w:pPr>
              <w:jc w:val="right"/>
              <w:rPr>
                <w:rFonts w:ascii="宋体"/>
              </w:rPr>
            </w:pPr>
          </w:p>
        </w:tc>
      </w:tr>
      <w:tr w:rsidR="00584EC1" w14:paraId="74DDB90E" w14:textId="77777777">
        <w:tc>
          <w:tcPr>
            <w:tcW w:w="0" w:type="auto"/>
            <w:gridSpan w:val="3"/>
            <w:shd w:val="clear" w:color="auto" w:fill="FFFFFF"/>
            <w:tcMar>
              <w:top w:w="40" w:type="dxa"/>
              <w:left w:w="515" w:type="dxa"/>
              <w:bottom w:w="40" w:type="dxa"/>
              <w:right w:w="20" w:type="dxa"/>
            </w:tcMar>
            <w:vAlign w:val="bottom"/>
          </w:tcPr>
          <w:p w14:paraId="74DDB900" w14:textId="77777777" w:rsidR="00584EC1" w:rsidRDefault="00871F8D">
            <w:pPr>
              <w:textAlignment w:val="bottom"/>
            </w:pPr>
            <w:r>
              <w:rPr>
                <w:rFonts w:ascii="Arial" w:eastAsia="宋体" w:hAnsi="Arial" w:cs="Arial"/>
                <w:color w:val="000000"/>
                <w:sz w:val="15"/>
                <w:szCs w:val="15"/>
              </w:rPr>
              <w:t>Asset-backed securities</w:t>
            </w:r>
          </w:p>
        </w:tc>
        <w:tc>
          <w:tcPr>
            <w:tcW w:w="0" w:type="auto"/>
            <w:gridSpan w:val="2"/>
            <w:shd w:val="clear" w:color="auto" w:fill="FFFFFF"/>
            <w:tcMar>
              <w:top w:w="40" w:type="dxa"/>
              <w:left w:w="20" w:type="dxa"/>
              <w:bottom w:w="40" w:type="dxa"/>
              <w:right w:w="0" w:type="dxa"/>
            </w:tcMar>
            <w:vAlign w:val="bottom"/>
          </w:tcPr>
          <w:p w14:paraId="74DDB901"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B90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90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904" w14:textId="77777777" w:rsidR="00584EC1" w:rsidRDefault="00871F8D">
            <w:pPr>
              <w:jc w:val="right"/>
              <w:textAlignment w:val="bottom"/>
            </w:pPr>
            <w:r>
              <w:rPr>
                <w:rFonts w:ascii="Arial" w:eastAsia="宋体" w:hAnsi="Arial" w:cs="Arial"/>
                <w:b/>
                <w:bCs/>
                <w:color w:val="000000"/>
                <w:sz w:val="15"/>
                <w:szCs w:val="15"/>
              </w:rPr>
              <w:t>2,365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B90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90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907"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B90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909"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90A"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90B"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90C" w14:textId="77777777" w:rsidR="00584EC1" w:rsidRDefault="00871F8D">
            <w:pPr>
              <w:jc w:val="right"/>
              <w:textAlignment w:val="bottom"/>
            </w:pPr>
            <w:r>
              <w:rPr>
                <w:rFonts w:ascii="Arial" w:eastAsia="宋体" w:hAnsi="Arial" w:cs="Arial"/>
                <w:b/>
                <w:bCs/>
                <w:color w:val="000000"/>
                <w:sz w:val="15"/>
                <w:szCs w:val="15"/>
              </w:rPr>
              <w:t>2,365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B90D" w14:textId="77777777" w:rsidR="00584EC1" w:rsidRDefault="00584EC1">
            <w:pPr>
              <w:jc w:val="right"/>
              <w:rPr>
                <w:rFonts w:ascii="宋体"/>
              </w:rPr>
            </w:pPr>
          </w:p>
        </w:tc>
      </w:tr>
      <w:tr w:rsidR="00584EC1" w14:paraId="74DDB91D" w14:textId="77777777">
        <w:tc>
          <w:tcPr>
            <w:tcW w:w="0" w:type="auto"/>
            <w:gridSpan w:val="3"/>
            <w:shd w:val="clear" w:color="auto" w:fill="CCEEFF"/>
            <w:tcMar>
              <w:top w:w="40" w:type="dxa"/>
              <w:left w:w="515" w:type="dxa"/>
              <w:bottom w:w="40" w:type="dxa"/>
              <w:right w:w="20" w:type="dxa"/>
            </w:tcMar>
            <w:vAlign w:val="bottom"/>
          </w:tcPr>
          <w:p w14:paraId="74DDB90F" w14:textId="77777777" w:rsidR="00584EC1" w:rsidRDefault="00871F8D">
            <w:pPr>
              <w:textAlignment w:val="bottom"/>
            </w:pPr>
            <w:r>
              <w:rPr>
                <w:rFonts w:ascii="Arial" w:eastAsia="宋体" w:hAnsi="Arial" w:cs="Arial"/>
                <w:color w:val="000000"/>
                <w:sz w:val="15"/>
                <w:szCs w:val="15"/>
              </w:rPr>
              <w:t>Non-U.S. sovereign, supranational and non-U.S. agency</w:t>
            </w:r>
          </w:p>
        </w:tc>
        <w:tc>
          <w:tcPr>
            <w:tcW w:w="0" w:type="auto"/>
            <w:gridSpan w:val="2"/>
            <w:shd w:val="clear" w:color="auto" w:fill="CCEEFF"/>
            <w:tcMar>
              <w:top w:w="40" w:type="dxa"/>
              <w:left w:w="20" w:type="dxa"/>
              <w:bottom w:w="40" w:type="dxa"/>
              <w:right w:w="0" w:type="dxa"/>
            </w:tcMar>
            <w:vAlign w:val="bottom"/>
          </w:tcPr>
          <w:p w14:paraId="74DDB910"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B91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912"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913" w14:textId="77777777" w:rsidR="00584EC1" w:rsidRDefault="00871F8D">
            <w:pPr>
              <w:jc w:val="right"/>
              <w:textAlignment w:val="bottom"/>
            </w:pPr>
            <w:r>
              <w:rPr>
                <w:rFonts w:ascii="Arial" w:eastAsia="宋体" w:hAnsi="Arial" w:cs="Arial"/>
                <w:b/>
                <w:bCs/>
                <w:color w:val="000000"/>
                <w:sz w:val="15"/>
                <w:szCs w:val="15"/>
              </w:rPr>
              <w:t>22,854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B91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91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916"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B91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918"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919"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91A"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91B" w14:textId="77777777" w:rsidR="00584EC1" w:rsidRDefault="00871F8D">
            <w:pPr>
              <w:jc w:val="right"/>
              <w:textAlignment w:val="bottom"/>
            </w:pPr>
            <w:r>
              <w:rPr>
                <w:rFonts w:ascii="Arial" w:eastAsia="宋体" w:hAnsi="Arial" w:cs="Arial"/>
                <w:b/>
                <w:bCs/>
                <w:color w:val="000000"/>
                <w:sz w:val="15"/>
                <w:szCs w:val="15"/>
              </w:rPr>
              <w:t>22,854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B91C" w14:textId="77777777" w:rsidR="00584EC1" w:rsidRDefault="00584EC1">
            <w:pPr>
              <w:jc w:val="right"/>
              <w:rPr>
                <w:rFonts w:ascii="宋体"/>
              </w:rPr>
            </w:pPr>
          </w:p>
        </w:tc>
      </w:tr>
      <w:tr w:rsidR="00584EC1" w14:paraId="74DDB92C" w14:textId="77777777">
        <w:tc>
          <w:tcPr>
            <w:tcW w:w="0" w:type="auto"/>
            <w:gridSpan w:val="3"/>
            <w:shd w:val="clear" w:color="auto" w:fill="FFFFFF"/>
            <w:tcMar>
              <w:top w:w="40" w:type="dxa"/>
              <w:left w:w="515" w:type="dxa"/>
              <w:bottom w:w="40" w:type="dxa"/>
              <w:right w:w="20" w:type="dxa"/>
            </w:tcMar>
            <w:vAlign w:val="bottom"/>
          </w:tcPr>
          <w:p w14:paraId="74DDB91E" w14:textId="77777777" w:rsidR="00584EC1" w:rsidRDefault="00871F8D">
            <w:pPr>
              <w:textAlignment w:val="bottom"/>
            </w:pPr>
            <w:r>
              <w:rPr>
                <w:rFonts w:ascii="Arial" w:eastAsia="宋体" w:hAnsi="Arial" w:cs="Arial"/>
                <w:color w:val="000000"/>
                <w:sz w:val="15"/>
                <w:szCs w:val="15"/>
              </w:rPr>
              <w:t>Other</w:t>
            </w:r>
          </w:p>
        </w:tc>
        <w:tc>
          <w:tcPr>
            <w:tcW w:w="0" w:type="auto"/>
            <w:gridSpan w:val="2"/>
            <w:shd w:val="clear" w:color="auto" w:fill="FFFFFF"/>
            <w:tcMar>
              <w:top w:w="40" w:type="dxa"/>
              <w:left w:w="20" w:type="dxa"/>
              <w:bottom w:w="40" w:type="dxa"/>
              <w:right w:w="0" w:type="dxa"/>
            </w:tcMar>
            <w:vAlign w:val="bottom"/>
          </w:tcPr>
          <w:p w14:paraId="74DDB91F"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B92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92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922" w14:textId="77777777" w:rsidR="00584EC1" w:rsidRDefault="00871F8D">
            <w:pPr>
              <w:jc w:val="right"/>
              <w:textAlignment w:val="bottom"/>
            </w:pPr>
            <w:r>
              <w:rPr>
                <w:rFonts w:ascii="Arial" w:eastAsia="宋体" w:hAnsi="Arial" w:cs="Arial"/>
                <w:b/>
                <w:bCs/>
                <w:color w:val="000000"/>
                <w:sz w:val="15"/>
                <w:szCs w:val="15"/>
              </w:rPr>
              <w:t>3,306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B92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92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925"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B92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927"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928"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92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92A" w14:textId="77777777" w:rsidR="00584EC1" w:rsidRDefault="00871F8D">
            <w:pPr>
              <w:jc w:val="right"/>
              <w:textAlignment w:val="bottom"/>
            </w:pPr>
            <w:r>
              <w:rPr>
                <w:rFonts w:ascii="Arial" w:eastAsia="宋体" w:hAnsi="Arial" w:cs="Arial"/>
                <w:b/>
                <w:bCs/>
                <w:color w:val="000000"/>
                <w:sz w:val="15"/>
                <w:szCs w:val="15"/>
              </w:rPr>
              <w:t>3,306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B92B" w14:textId="77777777" w:rsidR="00584EC1" w:rsidRDefault="00584EC1">
            <w:pPr>
              <w:jc w:val="right"/>
              <w:rPr>
                <w:rFonts w:ascii="宋体"/>
              </w:rPr>
            </w:pPr>
          </w:p>
        </w:tc>
      </w:tr>
      <w:tr w:rsidR="00584EC1" w14:paraId="74DDB93B" w14:textId="77777777">
        <w:tc>
          <w:tcPr>
            <w:tcW w:w="0" w:type="auto"/>
            <w:gridSpan w:val="3"/>
            <w:shd w:val="clear" w:color="auto" w:fill="CCEEFF"/>
            <w:tcMar>
              <w:top w:w="40" w:type="dxa"/>
              <w:left w:w="740" w:type="dxa"/>
              <w:bottom w:w="40" w:type="dxa"/>
              <w:right w:w="20" w:type="dxa"/>
            </w:tcMar>
            <w:vAlign w:val="bottom"/>
          </w:tcPr>
          <w:p w14:paraId="74DDB92D" w14:textId="77777777" w:rsidR="00584EC1" w:rsidRDefault="00871F8D">
            <w:pPr>
              <w:textAlignment w:val="bottom"/>
            </w:pPr>
            <w:r>
              <w:rPr>
                <w:rFonts w:ascii="Arial" w:eastAsia="宋体" w:hAnsi="Arial" w:cs="Arial"/>
                <w:color w:val="000000"/>
                <w:sz w:val="15"/>
                <w:szCs w:val="15"/>
              </w:rPr>
              <w:t>Total non-U.S. debt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B92E"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B92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930"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B931" w14:textId="77777777" w:rsidR="00584EC1" w:rsidRDefault="00871F8D">
            <w:pPr>
              <w:jc w:val="right"/>
              <w:textAlignment w:val="bottom"/>
            </w:pPr>
            <w:r>
              <w:rPr>
                <w:rFonts w:ascii="Arial" w:eastAsia="宋体" w:hAnsi="Arial" w:cs="Arial"/>
                <w:b/>
                <w:bCs/>
                <w:color w:val="000000"/>
                <w:sz w:val="15"/>
                <w:szCs w:val="15"/>
              </w:rPr>
              <w:t>30,666</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B93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933"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B934"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B93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936"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937"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938"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B939" w14:textId="77777777" w:rsidR="00584EC1" w:rsidRDefault="00871F8D">
            <w:pPr>
              <w:jc w:val="right"/>
              <w:textAlignment w:val="bottom"/>
            </w:pPr>
            <w:r>
              <w:rPr>
                <w:rFonts w:ascii="Arial" w:eastAsia="宋体" w:hAnsi="Arial" w:cs="Arial"/>
                <w:b/>
                <w:bCs/>
                <w:color w:val="000000"/>
                <w:sz w:val="15"/>
                <w:szCs w:val="15"/>
              </w:rPr>
              <w:t>30,666</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B93A" w14:textId="77777777" w:rsidR="00584EC1" w:rsidRDefault="00584EC1">
            <w:pPr>
              <w:jc w:val="right"/>
              <w:rPr>
                <w:rFonts w:ascii="宋体"/>
              </w:rPr>
            </w:pPr>
          </w:p>
        </w:tc>
      </w:tr>
      <w:tr w:rsidR="00584EC1" w14:paraId="74DDB946" w14:textId="77777777">
        <w:tc>
          <w:tcPr>
            <w:tcW w:w="0" w:type="auto"/>
            <w:gridSpan w:val="3"/>
            <w:shd w:val="clear" w:color="auto" w:fill="FFFFFF"/>
            <w:tcMar>
              <w:top w:w="40" w:type="dxa"/>
              <w:left w:w="245" w:type="dxa"/>
              <w:bottom w:w="40" w:type="dxa"/>
              <w:right w:w="20" w:type="dxa"/>
            </w:tcMar>
            <w:vAlign w:val="bottom"/>
          </w:tcPr>
          <w:p w14:paraId="74DDB93C" w14:textId="77777777" w:rsidR="00584EC1" w:rsidRDefault="00871F8D">
            <w:pPr>
              <w:textAlignment w:val="bottom"/>
            </w:pPr>
            <w:r>
              <w:rPr>
                <w:rFonts w:ascii="Arial" w:eastAsia="宋体" w:hAnsi="Arial" w:cs="Arial"/>
                <w:color w:val="000000"/>
                <w:sz w:val="15"/>
                <w:szCs w:val="15"/>
              </w:rPr>
              <w:t>Asset-backed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B93D"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93E"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B93F"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940"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B941"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94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943"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944"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B945" w14:textId="77777777" w:rsidR="00584EC1" w:rsidRDefault="00584EC1">
            <w:pPr>
              <w:rPr>
                <w:rFonts w:ascii="宋体"/>
              </w:rPr>
            </w:pPr>
          </w:p>
        </w:tc>
      </w:tr>
      <w:tr w:rsidR="00584EC1" w14:paraId="74DDB955" w14:textId="77777777">
        <w:tc>
          <w:tcPr>
            <w:tcW w:w="0" w:type="auto"/>
            <w:gridSpan w:val="3"/>
            <w:shd w:val="clear" w:color="auto" w:fill="CCEEFF"/>
            <w:tcMar>
              <w:top w:w="40" w:type="dxa"/>
              <w:left w:w="515" w:type="dxa"/>
              <w:bottom w:w="40" w:type="dxa"/>
              <w:right w:w="20" w:type="dxa"/>
            </w:tcMar>
            <w:vAlign w:val="bottom"/>
          </w:tcPr>
          <w:p w14:paraId="74DDB947" w14:textId="77777777" w:rsidR="00584EC1" w:rsidRDefault="00871F8D">
            <w:pPr>
              <w:textAlignment w:val="bottom"/>
            </w:pPr>
            <w:r>
              <w:rPr>
                <w:rFonts w:ascii="Arial" w:eastAsia="宋体" w:hAnsi="Arial" w:cs="Arial"/>
                <w:color w:val="000000"/>
                <w:sz w:val="15"/>
                <w:szCs w:val="15"/>
              </w:rPr>
              <w:t>Student loans</w:t>
            </w:r>
          </w:p>
        </w:tc>
        <w:tc>
          <w:tcPr>
            <w:tcW w:w="0" w:type="auto"/>
            <w:gridSpan w:val="2"/>
            <w:shd w:val="clear" w:color="auto" w:fill="CCEEFF"/>
            <w:tcMar>
              <w:top w:w="40" w:type="dxa"/>
              <w:left w:w="20" w:type="dxa"/>
              <w:bottom w:w="40" w:type="dxa"/>
              <w:right w:w="0" w:type="dxa"/>
            </w:tcMar>
            <w:vAlign w:val="bottom"/>
          </w:tcPr>
          <w:p w14:paraId="74DDB948"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B94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94A"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94B" w14:textId="77777777" w:rsidR="00584EC1" w:rsidRDefault="00871F8D">
            <w:pPr>
              <w:jc w:val="right"/>
              <w:textAlignment w:val="bottom"/>
            </w:pPr>
            <w:r>
              <w:rPr>
                <w:rFonts w:ascii="Arial" w:eastAsia="宋体" w:hAnsi="Arial" w:cs="Arial"/>
                <w:b/>
                <w:bCs/>
                <w:color w:val="000000"/>
                <w:sz w:val="15"/>
                <w:szCs w:val="15"/>
              </w:rPr>
              <w:t>231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B94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94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94E"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B94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950"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951"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952"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953" w14:textId="77777777" w:rsidR="00584EC1" w:rsidRDefault="00871F8D">
            <w:pPr>
              <w:jc w:val="right"/>
              <w:textAlignment w:val="bottom"/>
            </w:pPr>
            <w:r>
              <w:rPr>
                <w:rFonts w:ascii="Arial" w:eastAsia="宋体" w:hAnsi="Arial" w:cs="Arial"/>
                <w:b/>
                <w:bCs/>
                <w:color w:val="000000"/>
                <w:sz w:val="15"/>
                <w:szCs w:val="15"/>
              </w:rPr>
              <w:t>231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B954" w14:textId="77777777" w:rsidR="00584EC1" w:rsidRDefault="00584EC1">
            <w:pPr>
              <w:jc w:val="right"/>
              <w:rPr>
                <w:rFonts w:ascii="宋体"/>
              </w:rPr>
            </w:pPr>
          </w:p>
        </w:tc>
      </w:tr>
      <w:tr w:rsidR="00584EC1" w14:paraId="74DDB960" w14:textId="77777777">
        <w:trPr>
          <w:hidden/>
        </w:trPr>
        <w:tc>
          <w:tcPr>
            <w:tcW w:w="0" w:type="auto"/>
            <w:gridSpan w:val="3"/>
            <w:shd w:val="clear" w:color="auto" w:fill="auto"/>
            <w:vAlign w:val="bottom"/>
          </w:tcPr>
          <w:p w14:paraId="74DDB956" w14:textId="77777777" w:rsidR="00584EC1" w:rsidRDefault="00584EC1">
            <w:pPr>
              <w:rPr>
                <w:rFonts w:ascii="宋体"/>
                <w:vanish/>
              </w:rPr>
            </w:pPr>
          </w:p>
        </w:tc>
        <w:tc>
          <w:tcPr>
            <w:tcW w:w="0" w:type="auto"/>
            <w:gridSpan w:val="3"/>
            <w:shd w:val="clear" w:color="auto" w:fill="auto"/>
            <w:vAlign w:val="bottom"/>
          </w:tcPr>
          <w:p w14:paraId="74DDB957" w14:textId="77777777" w:rsidR="00584EC1" w:rsidRDefault="00584EC1">
            <w:pPr>
              <w:rPr>
                <w:rFonts w:ascii="宋体"/>
                <w:vanish/>
              </w:rPr>
            </w:pPr>
          </w:p>
        </w:tc>
        <w:tc>
          <w:tcPr>
            <w:tcW w:w="0" w:type="auto"/>
            <w:gridSpan w:val="3"/>
            <w:shd w:val="clear" w:color="auto" w:fill="auto"/>
            <w:vAlign w:val="bottom"/>
          </w:tcPr>
          <w:p w14:paraId="74DDB958" w14:textId="77777777" w:rsidR="00584EC1" w:rsidRDefault="00584EC1">
            <w:pPr>
              <w:rPr>
                <w:rFonts w:ascii="宋体"/>
                <w:vanish/>
              </w:rPr>
            </w:pPr>
          </w:p>
        </w:tc>
        <w:tc>
          <w:tcPr>
            <w:tcW w:w="0" w:type="auto"/>
            <w:gridSpan w:val="3"/>
            <w:shd w:val="clear" w:color="auto" w:fill="auto"/>
            <w:vAlign w:val="bottom"/>
          </w:tcPr>
          <w:p w14:paraId="74DDB959" w14:textId="77777777" w:rsidR="00584EC1" w:rsidRDefault="00584EC1">
            <w:pPr>
              <w:rPr>
                <w:rFonts w:ascii="宋体"/>
                <w:vanish/>
              </w:rPr>
            </w:pPr>
          </w:p>
        </w:tc>
        <w:tc>
          <w:tcPr>
            <w:tcW w:w="0" w:type="auto"/>
            <w:gridSpan w:val="3"/>
            <w:shd w:val="clear" w:color="auto" w:fill="auto"/>
            <w:vAlign w:val="bottom"/>
          </w:tcPr>
          <w:p w14:paraId="74DDB95A" w14:textId="77777777" w:rsidR="00584EC1" w:rsidRDefault="00584EC1">
            <w:pPr>
              <w:rPr>
                <w:rFonts w:ascii="宋体"/>
                <w:vanish/>
              </w:rPr>
            </w:pPr>
          </w:p>
        </w:tc>
        <w:tc>
          <w:tcPr>
            <w:tcW w:w="0" w:type="auto"/>
            <w:gridSpan w:val="3"/>
            <w:shd w:val="clear" w:color="auto" w:fill="auto"/>
            <w:vAlign w:val="bottom"/>
          </w:tcPr>
          <w:p w14:paraId="74DDB95B" w14:textId="77777777" w:rsidR="00584EC1" w:rsidRDefault="00584EC1">
            <w:pPr>
              <w:rPr>
                <w:rFonts w:ascii="宋体"/>
                <w:vanish/>
              </w:rPr>
            </w:pPr>
          </w:p>
        </w:tc>
        <w:tc>
          <w:tcPr>
            <w:tcW w:w="0" w:type="auto"/>
            <w:gridSpan w:val="3"/>
            <w:shd w:val="clear" w:color="auto" w:fill="auto"/>
            <w:vAlign w:val="bottom"/>
          </w:tcPr>
          <w:p w14:paraId="74DDB95C" w14:textId="77777777" w:rsidR="00584EC1" w:rsidRDefault="00584EC1">
            <w:pPr>
              <w:rPr>
                <w:rFonts w:ascii="宋体"/>
                <w:vanish/>
              </w:rPr>
            </w:pPr>
          </w:p>
        </w:tc>
        <w:tc>
          <w:tcPr>
            <w:tcW w:w="0" w:type="auto"/>
            <w:gridSpan w:val="3"/>
            <w:shd w:val="clear" w:color="auto" w:fill="auto"/>
            <w:vAlign w:val="bottom"/>
          </w:tcPr>
          <w:p w14:paraId="74DDB95D" w14:textId="77777777" w:rsidR="00584EC1" w:rsidRDefault="00584EC1">
            <w:pPr>
              <w:rPr>
                <w:rFonts w:ascii="宋体"/>
                <w:vanish/>
              </w:rPr>
            </w:pPr>
          </w:p>
        </w:tc>
        <w:tc>
          <w:tcPr>
            <w:tcW w:w="0" w:type="auto"/>
            <w:gridSpan w:val="3"/>
            <w:shd w:val="clear" w:color="auto" w:fill="auto"/>
            <w:vAlign w:val="bottom"/>
          </w:tcPr>
          <w:p w14:paraId="74DDB95E" w14:textId="77777777" w:rsidR="00584EC1" w:rsidRDefault="00584EC1">
            <w:pPr>
              <w:rPr>
                <w:rFonts w:ascii="宋体"/>
                <w:vanish/>
              </w:rPr>
            </w:pPr>
          </w:p>
        </w:tc>
        <w:tc>
          <w:tcPr>
            <w:tcW w:w="0" w:type="auto"/>
            <w:gridSpan w:val="3"/>
            <w:shd w:val="clear" w:color="auto" w:fill="auto"/>
            <w:vAlign w:val="bottom"/>
          </w:tcPr>
          <w:p w14:paraId="74DDB95F" w14:textId="77777777" w:rsidR="00584EC1" w:rsidRDefault="00584EC1">
            <w:pPr>
              <w:rPr>
                <w:rFonts w:ascii="宋体"/>
                <w:vanish/>
              </w:rPr>
            </w:pPr>
          </w:p>
        </w:tc>
      </w:tr>
      <w:tr w:rsidR="00584EC1" w14:paraId="74DDB96B" w14:textId="77777777">
        <w:trPr>
          <w:hidden/>
        </w:trPr>
        <w:tc>
          <w:tcPr>
            <w:tcW w:w="0" w:type="auto"/>
            <w:gridSpan w:val="3"/>
            <w:shd w:val="clear" w:color="auto" w:fill="auto"/>
            <w:vAlign w:val="bottom"/>
          </w:tcPr>
          <w:p w14:paraId="74DDB961" w14:textId="77777777" w:rsidR="00584EC1" w:rsidRDefault="00584EC1">
            <w:pPr>
              <w:rPr>
                <w:rFonts w:ascii="宋体"/>
                <w:vanish/>
              </w:rPr>
            </w:pPr>
          </w:p>
        </w:tc>
        <w:tc>
          <w:tcPr>
            <w:tcW w:w="0" w:type="auto"/>
            <w:gridSpan w:val="3"/>
            <w:shd w:val="clear" w:color="auto" w:fill="auto"/>
            <w:vAlign w:val="bottom"/>
          </w:tcPr>
          <w:p w14:paraId="74DDB962" w14:textId="77777777" w:rsidR="00584EC1" w:rsidRDefault="00584EC1">
            <w:pPr>
              <w:rPr>
                <w:rFonts w:ascii="宋体"/>
                <w:vanish/>
              </w:rPr>
            </w:pPr>
          </w:p>
        </w:tc>
        <w:tc>
          <w:tcPr>
            <w:tcW w:w="0" w:type="auto"/>
            <w:gridSpan w:val="3"/>
            <w:shd w:val="clear" w:color="auto" w:fill="auto"/>
            <w:vAlign w:val="bottom"/>
          </w:tcPr>
          <w:p w14:paraId="74DDB963" w14:textId="77777777" w:rsidR="00584EC1" w:rsidRDefault="00584EC1">
            <w:pPr>
              <w:rPr>
                <w:rFonts w:ascii="宋体"/>
                <w:vanish/>
              </w:rPr>
            </w:pPr>
          </w:p>
        </w:tc>
        <w:tc>
          <w:tcPr>
            <w:tcW w:w="0" w:type="auto"/>
            <w:gridSpan w:val="3"/>
            <w:shd w:val="clear" w:color="auto" w:fill="auto"/>
            <w:vAlign w:val="bottom"/>
          </w:tcPr>
          <w:p w14:paraId="74DDB964" w14:textId="77777777" w:rsidR="00584EC1" w:rsidRDefault="00584EC1">
            <w:pPr>
              <w:rPr>
                <w:rFonts w:ascii="宋体"/>
                <w:vanish/>
              </w:rPr>
            </w:pPr>
          </w:p>
        </w:tc>
        <w:tc>
          <w:tcPr>
            <w:tcW w:w="0" w:type="auto"/>
            <w:gridSpan w:val="3"/>
            <w:shd w:val="clear" w:color="auto" w:fill="auto"/>
            <w:vAlign w:val="bottom"/>
          </w:tcPr>
          <w:p w14:paraId="74DDB965" w14:textId="77777777" w:rsidR="00584EC1" w:rsidRDefault="00584EC1">
            <w:pPr>
              <w:rPr>
                <w:rFonts w:ascii="宋体"/>
                <w:vanish/>
              </w:rPr>
            </w:pPr>
          </w:p>
        </w:tc>
        <w:tc>
          <w:tcPr>
            <w:tcW w:w="0" w:type="auto"/>
            <w:gridSpan w:val="3"/>
            <w:shd w:val="clear" w:color="auto" w:fill="auto"/>
            <w:vAlign w:val="bottom"/>
          </w:tcPr>
          <w:p w14:paraId="74DDB966" w14:textId="77777777" w:rsidR="00584EC1" w:rsidRDefault="00584EC1">
            <w:pPr>
              <w:rPr>
                <w:rFonts w:ascii="宋体"/>
                <w:vanish/>
              </w:rPr>
            </w:pPr>
          </w:p>
        </w:tc>
        <w:tc>
          <w:tcPr>
            <w:tcW w:w="0" w:type="auto"/>
            <w:gridSpan w:val="3"/>
            <w:shd w:val="clear" w:color="auto" w:fill="auto"/>
            <w:vAlign w:val="bottom"/>
          </w:tcPr>
          <w:p w14:paraId="74DDB967" w14:textId="77777777" w:rsidR="00584EC1" w:rsidRDefault="00584EC1">
            <w:pPr>
              <w:rPr>
                <w:rFonts w:ascii="宋体"/>
                <w:vanish/>
              </w:rPr>
            </w:pPr>
          </w:p>
        </w:tc>
        <w:tc>
          <w:tcPr>
            <w:tcW w:w="0" w:type="auto"/>
            <w:gridSpan w:val="3"/>
            <w:shd w:val="clear" w:color="auto" w:fill="auto"/>
            <w:vAlign w:val="bottom"/>
          </w:tcPr>
          <w:p w14:paraId="74DDB968" w14:textId="77777777" w:rsidR="00584EC1" w:rsidRDefault="00584EC1">
            <w:pPr>
              <w:rPr>
                <w:rFonts w:ascii="宋体"/>
                <w:vanish/>
              </w:rPr>
            </w:pPr>
          </w:p>
        </w:tc>
        <w:tc>
          <w:tcPr>
            <w:tcW w:w="0" w:type="auto"/>
            <w:gridSpan w:val="3"/>
            <w:shd w:val="clear" w:color="auto" w:fill="auto"/>
            <w:vAlign w:val="bottom"/>
          </w:tcPr>
          <w:p w14:paraId="74DDB969" w14:textId="77777777" w:rsidR="00584EC1" w:rsidRDefault="00584EC1">
            <w:pPr>
              <w:rPr>
                <w:rFonts w:ascii="宋体"/>
                <w:vanish/>
              </w:rPr>
            </w:pPr>
          </w:p>
        </w:tc>
        <w:tc>
          <w:tcPr>
            <w:tcW w:w="0" w:type="auto"/>
            <w:gridSpan w:val="3"/>
            <w:shd w:val="clear" w:color="auto" w:fill="auto"/>
            <w:vAlign w:val="bottom"/>
          </w:tcPr>
          <w:p w14:paraId="74DDB96A" w14:textId="77777777" w:rsidR="00584EC1" w:rsidRDefault="00584EC1">
            <w:pPr>
              <w:rPr>
                <w:rFonts w:ascii="宋体"/>
                <w:vanish/>
              </w:rPr>
            </w:pPr>
          </w:p>
        </w:tc>
      </w:tr>
      <w:tr w:rsidR="00584EC1" w14:paraId="74DDB976" w14:textId="77777777">
        <w:trPr>
          <w:hidden/>
        </w:trPr>
        <w:tc>
          <w:tcPr>
            <w:tcW w:w="0" w:type="auto"/>
            <w:gridSpan w:val="3"/>
            <w:shd w:val="clear" w:color="auto" w:fill="auto"/>
            <w:vAlign w:val="bottom"/>
          </w:tcPr>
          <w:p w14:paraId="74DDB96C" w14:textId="77777777" w:rsidR="00584EC1" w:rsidRDefault="00584EC1">
            <w:pPr>
              <w:rPr>
                <w:rFonts w:ascii="宋体"/>
                <w:vanish/>
              </w:rPr>
            </w:pPr>
          </w:p>
        </w:tc>
        <w:tc>
          <w:tcPr>
            <w:tcW w:w="0" w:type="auto"/>
            <w:gridSpan w:val="3"/>
            <w:shd w:val="clear" w:color="auto" w:fill="auto"/>
            <w:vAlign w:val="bottom"/>
          </w:tcPr>
          <w:p w14:paraId="74DDB96D" w14:textId="77777777" w:rsidR="00584EC1" w:rsidRDefault="00584EC1">
            <w:pPr>
              <w:rPr>
                <w:rFonts w:ascii="宋体"/>
                <w:vanish/>
              </w:rPr>
            </w:pPr>
          </w:p>
        </w:tc>
        <w:tc>
          <w:tcPr>
            <w:tcW w:w="0" w:type="auto"/>
            <w:gridSpan w:val="3"/>
            <w:shd w:val="clear" w:color="auto" w:fill="auto"/>
            <w:vAlign w:val="bottom"/>
          </w:tcPr>
          <w:p w14:paraId="74DDB96E" w14:textId="77777777" w:rsidR="00584EC1" w:rsidRDefault="00584EC1">
            <w:pPr>
              <w:rPr>
                <w:rFonts w:ascii="宋体"/>
                <w:vanish/>
              </w:rPr>
            </w:pPr>
          </w:p>
        </w:tc>
        <w:tc>
          <w:tcPr>
            <w:tcW w:w="0" w:type="auto"/>
            <w:gridSpan w:val="3"/>
            <w:shd w:val="clear" w:color="auto" w:fill="auto"/>
            <w:vAlign w:val="bottom"/>
          </w:tcPr>
          <w:p w14:paraId="74DDB96F" w14:textId="77777777" w:rsidR="00584EC1" w:rsidRDefault="00584EC1">
            <w:pPr>
              <w:rPr>
                <w:rFonts w:ascii="宋体"/>
                <w:vanish/>
              </w:rPr>
            </w:pPr>
          </w:p>
        </w:tc>
        <w:tc>
          <w:tcPr>
            <w:tcW w:w="0" w:type="auto"/>
            <w:gridSpan w:val="3"/>
            <w:shd w:val="clear" w:color="auto" w:fill="auto"/>
            <w:vAlign w:val="bottom"/>
          </w:tcPr>
          <w:p w14:paraId="74DDB970" w14:textId="77777777" w:rsidR="00584EC1" w:rsidRDefault="00584EC1">
            <w:pPr>
              <w:rPr>
                <w:rFonts w:ascii="宋体"/>
                <w:vanish/>
              </w:rPr>
            </w:pPr>
          </w:p>
        </w:tc>
        <w:tc>
          <w:tcPr>
            <w:tcW w:w="0" w:type="auto"/>
            <w:gridSpan w:val="3"/>
            <w:shd w:val="clear" w:color="auto" w:fill="auto"/>
            <w:vAlign w:val="bottom"/>
          </w:tcPr>
          <w:p w14:paraId="74DDB971" w14:textId="77777777" w:rsidR="00584EC1" w:rsidRDefault="00584EC1">
            <w:pPr>
              <w:rPr>
                <w:rFonts w:ascii="宋体"/>
                <w:vanish/>
              </w:rPr>
            </w:pPr>
          </w:p>
        </w:tc>
        <w:tc>
          <w:tcPr>
            <w:tcW w:w="0" w:type="auto"/>
            <w:gridSpan w:val="3"/>
            <w:shd w:val="clear" w:color="auto" w:fill="auto"/>
            <w:vAlign w:val="bottom"/>
          </w:tcPr>
          <w:p w14:paraId="74DDB972" w14:textId="77777777" w:rsidR="00584EC1" w:rsidRDefault="00584EC1">
            <w:pPr>
              <w:rPr>
                <w:rFonts w:ascii="宋体"/>
                <w:vanish/>
              </w:rPr>
            </w:pPr>
          </w:p>
        </w:tc>
        <w:tc>
          <w:tcPr>
            <w:tcW w:w="0" w:type="auto"/>
            <w:gridSpan w:val="3"/>
            <w:shd w:val="clear" w:color="auto" w:fill="auto"/>
            <w:vAlign w:val="bottom"/>
          </w:tcPr>
          <w:p w14:paraId="74DDB973" w14:textId="77777777" w:rsidR="00584EC1" w:rsidRDefault="00584EC1">
            <w:pPr>
              <w:rPr>
                <w:rFonts w:ascii="宋体"/>
                <w:vanish/>
              </w:rPr>
            </w:pPr>
          </w:p>
        </w:tc>
        <w:tc>
          <w:tcPr>
            <w:tcW w:w="0" w:type="auto"/>
            <w:gridSpan w:val="3"/>
            <w:shd w:val="clear" w:color="auto" w:fill="auto"/>
            <w:vAlign w:val="bottom"/>
          </w:tcPr>
          <w:p w14:paraId="74DDB974" w14:textId="77777777" w:rsidR="00584EC1" w:rsidRDefault="00584EC1">
            <w:pPr>
              <w:rPr>
                <w:rFonts w:ascii="宋体"/>
                <w:vanish/>
              </w:rPr>
            </w:pPr>
          </w:p>
        </w:tc>
        <w:tc>
          <w:tcPr>
            <w:tcW w:w="0" w:type="auto"/>
            <w:gridSpan w:val="3"/>
            <w:shd w:val="clear" w:color="auto" w:fill="auto"/>
            <w:vAlign w:val="bottom"/>
          </w:tcPr>
          <w:p w14:paraId="74DDB975" w14:textId="77777777" w:rsidR="00584EC1" w:rsidRDefault="00584EC1">
            <w:pPr>
              <w:rPr>
                <w:rFonts w:ascii="宋体"/>
                <w:vanish/>
              </w:rPr>
            </w:pPr>
          </w:p>
        </w:tc>
      </w:tr>
      <w:tr w:rsidR="00584EC1" w14:paraId="74DDB985" w14:textId="77777777">
        <w:tc>
          <w:tcPr>
            <w:tcW w:w="0" w:type="auto"/>
            <w:gridSpan w:val="3"/>
            <w:shd w:val="clear" w:color="auto" w:fill="FFFFFF"/>
            <w:tcMar>
              <w:top w:w="40" w:type="dxa"/>
              <w:left w:w="515" w:type="dxa"/>
              <w:bottom w:w="40" w:type="dxa"/>
              <w:right w:w="20" w:type="dxa"/>
            </w:tcMar>
            <w:vAlign w:val="bottom"/>
          </w:tcPr>
          <w:p w14:paraId="74DDB977" w14:textId="77777777" w:rsidR="00584EC1" w:rsidRDefault="00871F8D">
            <w:pPr>
              <w:textAlignment w:val="bottom"/>
            </w:pPr>
            <w:r>
              <w:rPr>
                <w:rFonts w:ascii="Arial" w:eastAsia="宋体" w:hAnsi="Arial" w:cs="Arial"/>
                <w:color w:val="000000"/>
                <w:sz w:val="15"/>
                <w:szCs w:val="15"/>
              </w:rPr>
              <w:t>Collateralized loan obligations</w:t>
            </w:r>
          </w:p>
        </w:tc>
        <w:tc>
          <w:tcPr>
            <w:tcW w:w="0" w:type="auto"/>
            <w:gridSpan w:val="2"/>
            <w:shd w:val="clear" w:color="auto" w:fill="FFFFFF"/>
            <w:tcMar>
              <w:top w:w="40" w:type="dxa"/>
              <w:left w:w="20" w:type="dxa"/>
              <w:bottom w:w="40" w:type="dxa"/>
              <w:right w:w="0" w:type="dxa"/>
            </w:tcMar>
            <w:vAlign w:val="bottom"/>
          </w:tcPr>
          <w:p w14:paraId="74DDB978"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B97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97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97B" w14:textId="77777777" w:rsidR="00584EC1" w:rsidRDefault="00871F8D">
            <w:pPr>
              <w:jc w:val="right"/>
              <w:textAlignment w:val="bottom"/>
            </w:pPr>
            <w:r>
              <w:rPr>
                <w:rFonts w:ascii="Arial" w:eastAsia="宋体" w:hAnsi="Arial" w:cs="Arial"/>
                <w:b/>
                <w:bCs/>
                <w:color w:val="000000"/>
                <w:sz w:val="16"/>
                <w:szCs w:val="16"/>
              </w:rPr>
              <w:t>4,296</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74DDB97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97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97E"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B97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980"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981"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98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983" w14:textId="77777777" w:rsidR="00584EC1" w:rsidRDefault="00871F8D">
            <w:pPr>
              <w:jc w:val="right"/>
              <w:textAlignment w:val="bottom"/>
            </w:pPr>
            <w:r>
              <w:rPr>
                <w:rFonts w:ascii="Arial" w:eastAsia="宋体" w:hAnsi="Arial" w:cs="Arial"/>
                <w:b/>
                <w:bCs/>
                <w:color w:val="000000"/>
                <w:sz w:val="15"/>
                <w:szCs w:val="15"/>
              </w:rPr>
              <w:t>4,296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B984" w14:textId="77777777" w:rsidR="00584EC1" w:rsidRDefault="00584EC1">
            <w:pPr>
              <w:jc w:val="right"/>
              <w:rPr>
                <w:rFonts w:ascii="宋体"/>
              </w:rPr>
            </w:pPr>
          </w:p>
        </w:tc>
      </w:tr>
      <w:tr w:rsidR="00584EC1" w14:paraId="74DDB994" w14:textId="77777777">
        <w:tc>
          <w:tcPr>
            <w:tcW w:w="0" w:type="auto"/>
            <w:gridSpan w:val="3"/>
            <w:shd w:val="clear" w:color="auto" w:fill="CCEEFF"/>
            <w:tcMar>
              <w:top w:w="40" w:type="dxa"/>
              <w:left w:w="20" w:type="dxa"/>
              <w:bottom w:w="40" w:type="dxa"/>
              <w:right w:w="20" w:type="dxa"/>
            </w:tcMar>
            <w:vAlign w:val="bottom"/>
          </w:tcPr>
          <w:p w14:paraId="74DDB986" w14:textId="77777777" w:rsidR="00584EC1" w:rsidRDefault="00871F8D">
            <w:pPr>
              <w:textAlignment w:val="bottom"/>
            </w:pPr>
            <w:r>
              <w:rPr>
                <w:rFonts w:ascii="Arial" w:eastAsia="宋体" w:hAnsi="Arial" w:cs="Arial"/>
                <w:color w:val="000000"/>
                <w:sz w:val="15"/>
                <w:szCs w:val="15"/>
              </w:rPr>
              <w:t>Non-agency CMBS and RMBS</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74DDB987"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B98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98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98A" w14:textId="77777777" w:rsidR="00584EC1" w:rsidRDefault="00871F8D">
            <w:pPr>
              <w:jc w:val="right"/>
              <w:textAlignment w:val="bottom"/>
            </w:pPr>
            <w:r>
              <w:rPr>
                <w:rFonts w:ascii="Arial" w:eastAsia="宋体" w:hAnsi="Arial" w:cs="Arial"/>
                <w:b/>
                <w:bCs/>
                <w:color w:val="000000"/>
                <w:sz w:val="16"/>
                <w:szCs w:val="16"/>
              </w:rPr>
              <w:t>59</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74DDB98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98C"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98D"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B98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98F"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990"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99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992" w14:textId="77777777" w:rsidR="00584EC1" w:rsidRDefault="00871F8D">
            <w:pPr>
              <w:jc w:val="right"/>
              <w:textAlignment w:val="bottom"/>
            </w:pPr>
            <w:r>
              <w:rPr>
                <w:rFonts w:ascii="Arial" w:eastAsia="宋体" w:hAnsi="Arial" w:cs="Arial"/>
                <w:b/>
                <w:bCs/>
                <w:color w:val="000000"/>
                <w:sz w:val="15"/>
                <w:szCs w:val="15"/>
              </w:rPr>
              <w:t>59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B993" w14:textId="77777777" w:rsidR="00584EC1" w:rsidRDefault="00584EC1">
            <w:pPr>
              <w:jc w:val="right"/>
              <w:rPr>
                <w:rFonts w:ascii="宋体"/>
              </w:rPr>
            </w:pPr>
          </w:p>
        </w:tc>
      </w:tr>
      <w:tr w:rsidR="00584EC1" w14:paraId="74DDB9A3" w14:textId="77777777">
        <w:tc>
          <w:tcPr>
            <w:tcW w:w="0" w:type="auto"/>
            <w:gridSpan w:val="3"/>
            <w:shd w:val="clear" w:color="auto" w:fill="FFFFFF"/>
            <w:tcMar>
              <w:top w:w="40" w:type="dxa"/>
              <w:left w:w="515" w:type="dxa"/>
              <w:bottom w:w="40" w:type="dxa"/>
              <w:right w:w="20" w:type="dxa"/>
            </w:tcMar>
            <w:vAlign w:val="bottom"/>
          </w:tcPr>
          <w:p w14:paraId="74DDB995" w14:textId="77777777" w:rsidR="00584EC1" w:rsidRDefault="00871F8D">
            <w:pPr>
              <w:textAlignment w:val="bottom"/>
            </w:pPr>
            <w:r>
              <w:rPr>
                <w:rFonts w:ascii="Arial" w:eastAsia="宋体" w:hAnsi="Arial" w:cs="Arial"/>
                <w:color w:val="000000"/>
                <w:sz w:val="15"/>
                <w:szCs w:val="15"/>
              </w:rPr>
              <w:t>Other</w:t>
            </w:r>
          </w:p>
        </w:tc>
        <w:tc>
          <w:tcPr>
            <w:tcW w:w="0" w:type="auto"/>
            <w:gridSpan w:val="2"/>
            <w:shd w:val="clear" w:color="auto" w:fill="FFFFFF"/>
            <w:tcMar>
              <w:top w:w="40" w:type="dxa"/>
              <w:left w:w="20" w:type="dxa"/>
              <w:bottom w:w="40" w:type="dxa"/>
              <w:right w:w="0" w:type="dxa"/>
            </w:tcMar>
            <w:vAlign w:val="bottom"/>
          </w:tcPr>
          <w:p w14:paraId="74DDB996"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B99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998"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999" w14:textId="77777777" w:rsidR="00584EC1" w:rsidRDefault="00871F8D">
            <w:pPr>
              <w:jc w:val="right"/>
              <w:textAlignment w:val="bottom"/>
            </w:pPr>
            <w:r>
              <w:rPr>
                <w:rFonts w:ascii="Arial" w:eastAsia="宋体" w:hAnsi="Arial" w:cs="Arial"/>
                <w:b/>
                <w:bCs/>
                <w:color w:val="000000"/>
                <w:sz w:val="16"/>
                <w:szCs w:val="16"/>
              </w:rPr>
              <w:t>92</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74DDB99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99B"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99C"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B99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99E"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99F"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9A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9A1" w14:textId="77777777" w:rsidR="00584EC1" w:rsidRDefault="00871F8D">
            <w:pPr>
              <w:jc w:val="right"/>
              <w:textAlignment w:val="bottom"/>
            </w:pPr>
            <w:r>
              <w:rPr>
                <w:rFonts w:ascii="Arial" w:eastAsia="宋体" w:hAnsi="Arial" w:cs="Arial"/>
                <w:b/>
                <w:bCs/>
                <w:color w:val="000000"/>
                <w:sz w:val="15"/>
                <w:szCs w:val="15"/>
              </w:rPr>
              <w:t>92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B9A2" w14:textId="77777777" w:rsidR="00584EC1" w:rsidRDefault="00584EC1">
            <w:pPr>
              <w:jc w:val="right"/>
              <w:rPr>
                <w:rFonts w:ascii="宋体"/>
              </w:rPr>
            </w:pPr>
          </w:p>
        </w:tc>
      </w:tr>
      <w:tr w:rsidR="00584EC1" w14:paraId="74DDB9B2" w14:textId="77777777">
        <w:tc>
          <w:tcPr>
            <w:tcW w:w="0" w:type="auto"/>
            <w:gridSpan w:val="3"/>
            <w:shd w:val="clear" w:color="auto" w:fill="CCEEFF"/>
            <w:tcMar>
              <w:top w:w="40" w:type="dxa"/>
              <w:left w:w="740" w:type="dxa"/>
              <w:bottom w:w="40" w:type="dxa"/>
              <w:right w:w="20" w:type="dxa"/>
            </w:tcMar>
            <w:vAlign w:val="bottom"/>
          </w:tcPr>
          <w:p w14:paraId="74DDB9A4" w14:textId="77777777" w:rsidR="00584EC1" w:rsidRDefault="00871F8D">
            <w:pPr>
              <w:textAlignment w:val="bottom"/>
            </w:pPr>
            <w:r>
              <w:rPr>
                <w:rFonts w:ascii="Arial" w:eastAsia="宋体" w:hAnsi="Arial" w:cs="Arial"/>
                <w:color w:val="000000"/>
                <w:sz w:val="15"/>
                <w:szCs w:val="15"/>
              </w:rPr>
              <w:t>Total asset-backed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B9A5"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B9A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9A7"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B9A8" w14:textId="77777777" w:rsidR="00584EC1" w:rsidRDefault="00871F8D">
            <w:pPr>
              <w:jc w:val="right"/>
              <w:textAlignment w:val="bottom"/>
            </w:pPr>
            <w:r>
              <w:rPr>
                <w:rFonts w:ascii="Arial" w:eastAsia="宋体" w:hAnsi="Arial" w:cs="Arial"/>
                <w:b/>
                <w:bCs/>
                <w:color w:val="000000"/>
                <w:sz w:val="15"/>
                <w:szCs w:val="15"/>
              </w:rPr>
              <w:t>4,678</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B9A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9AA"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B9AB"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B9A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9AD"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9AE"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9AF"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B9B0" w14:textId="77777777" w:rsidR="00584EC1" w:rsidRDefault="00871F8D">
            <w:pPr>
              <w:jc w:val="right"/>
              <w:textAlignment w:val="bottom"/>
            </w:pPr>
            <w:r>
              <w:rPr>
                <w:rFonts w:ascii="Arial" w:eastAsia="宋体" w:hAnsi="Arial" w:cs="Arial"/>
                <w:b/>
                <w:bCs/>
                <w:color w:val="000000"/>
                <w:sz w:val="15"/>
                <w:szCs w:val="15"/>
              </w:rPr>
              <w:t>4,678</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B9B1" w14:textId="77777777" w:rsidR="00584EC1" w:rsidRDefault="00584EC1">
            <w:pPr>
              <w:jc w:val="right"/>
              <w:rPr>
                <w:rFonts w:ascii="宋体"/>
              </w:rPr>
            </w:pPr>
          </w:p>
        </w:tc>
      </w:tr>
      <w:tr w:rsidR="00584EC1" w14:paraId="74DDB9BD" w14:textId="77777777">
        <w:trPr>
          <w:hidden/>
        </w:trPr>
        <w:tc>
          <w:tcPr>
            <w:tcW w:w="0" w:type="auto"/>
            <w:gridSpan w:val="3"/>
            <w:shd w:val="clear" w:color="auto" w:fill="auto"/>
            <w:vAlign w:val="bottom"/>
          </w:tcPr>
          <w:p w14:paraId="74DDB9B3" w14:textId="77777777" w:rsidR="00584EC1" w:rsidRDefault="00584EC1">
            <w:pPr>
              <w:rPr>
                <w:rFonts w:ascii="宋体"/>
                <w:vanish/>
              </w:rPr>
            </w:pPr>
          </w:p>
        </w:tc>
        <w:tc>
          <w:tcPr>
            <w:tcW w:w="0" w:type="auto"/>
            <w:gridSpan w:val="3"/>
            <w:shd w:val="clear" w:color="auto" w:fill="auto"/>
            <w:vAlign w:val="bottom"/>
          </w:tcPr>
          <w:p w14:paraId="74DDB9B4" w14:textId="77777777" w:rsidR="00584EC1" w:rsidRDefault="00584EC1">
            <w:pPr>
              <w:rPr>
                <w:rFonts w:ascii="宋体"/>
                <w:vanish/>
              </w:rPr>
            </w:pPr>
          </w:p>
        </w:tc>
        <w:tc>
          <w:tcPr>
            <w:tcW w:w="0" w:type="auto"/>
            <w:gridSpan w:val="3"/>
            <w:shd w:val="clear" w:color="auto" w:fill="auto"/>
            <w:vAlign w:val="bottom"/>
          </w:tcPr>
          <w:p w14:paraId="74DDB9B5" w14:textId="77777777" w:rsidR="00584EC1" w:rsidRDefault="00584EC1">
            <w:pPr>
              <w:rPr>
                <w:rFonts w:ascii="宋体"/>
                <w:vanish/>
              </w:rPr>
            </w:pPr>
          </w:p>
        </w:tc>
        <w:tc>
          <w:tcPr>
            <w:tcW w:w="0" w:type="auto"/>
            <w:gridSpan w:val="3"/>
            <w:shd w:val="clear" w:color="auto" w:fill="auto"/>
            <w:vAlign w:val="bottom"/>
          </w:tcPr>
          <w:p w14:paraId="74DDB9B6" w14:textId="77777777" w:rsidR="00584EC1" w:rsidRDefault="00584EC1">
            <w:pPr>
              <w:rPr>
                <w:rFonts w:ascii="宋体"/>
                <w:vanish/>
              </w:rPr>
            </w:pPr>
          </w:p>
        </w:tc>
        <w:tc>
          <w:tcPr>
            <w:tcW w:w="0" w:type="auto"/>
            <w:gridSpan w:val="3"/>
            <w:shd w:val="clear" w:color="auto" w:fill="auto"/>
            <w:vAlign w:val="bottom"/>
          </w:tcPr>
          <w:p w14:paraId="74DDB9B7" w14:textId="77777777" w:rsidR="00584EC1" w:rsidRDefault="00584EC1">
            <w:pPr>
              <w:rPr>
                <w:rFonts w:ascii="宋体"/>
                <w:vanish/>
              </w:rPr>
            </w:pPr>
          </w:p>
        </w:tc>
        <w:tc>
          <w:tcPr>
            <w:tcW w:w="0" w:type="auto"/>
            <w:gridSpan w:val="3"/>
            <w:shd w:val="clear" w:color="auto" w:fill="auto"/>
            <w:vAlign w:val="bottom"/>
          </w:tcPr>
          <w:p w14:paraId="74DDB9B8" w14:textId="77777777" w:rsidR="00584EC1" w:rsidRDefault="00584EC1">
            <w:pPr>
              <w:rPr>
                <w:rFonts w:ascii="宋体"/>
                <w:vanish/>
              </w:rPr>
            </w:pPr>
          </w:p>
        </w:tc>
        <w:tc>
          <w:tcPr>
            <w:tcW w:w="0" w:type="auto"/>
            <w:gridSpan w:val="3"/>
            <w:shd w:val="clear" w:color="auto" w:fill="auto"/>
            <w:vAlign w:val="bottom"/>
          </w:tcPr>
          <w:p w14:paraId="74DDB9B9" w14:textId="77777777" w:rsidR="00584EC1" w:rsidRDefault="00584EC1">
            <w:pPr>
              <w:rPr>
                <w:rFonts w:ascii="宋体"/>
                <w:vanish/>
              </w:rPr>
            </w:pPr>
          </w:p>
        </w:tc>
        <w:tc>
          <w:tcPr>
            <w:tcW w:w="0" w:type="auto"/>
            <w:gridSpan w:val="3"/>
            <w:shd w:val="clear" w:color="auto" w:fill="auto"/>
            <w:vAlign w:val="bottom"/>
          </w:tcPr>
          <w:p w14:paraId="74DDB9BA" w14:textId="77777777" w:rsidR="00584EC1" w:rsidRDefault="00584EC1">
            <w:pPr>
              <w:rPr>
                <w:rFonts w:ascii="宋体"/>
                <w:vanish/>
              </w:rPr>
            </w:pPr>
          </w:p>
        </w:tc>
        <w:tc>
          <w:tcPr>
            <w:tcW w:w="0" w:type="auto"/>
            <w:gridSpan w:val="3"/>
            <w:shd w:val="clear" w:color="auto" w:fill="auto"/>
            <w:vAlign w:val="bottom"/>
          </w:tcPr>
          <w:p w14:paraId="74DDB9BB" w14:textId="77777777" w:rsidR="00584EC1" w:rsidRDefault="00584EC1">
            <w:pPr>
              <w:rPr>
                <w:rFonts w:ascii="宋体"/>
                <w:vanish/>
              </w:rPr>
            </w:pPr>
          </w:p>
        </w:tc>
        <w:tc>
          <w:tcPr>
            <w:tcW w:w="0" w:type="auto"/>
            <w:gridSpan w:val="3"/>
            <w:shd w:val="clear" w:color="auto" w:fill="auto"/>
            <w:vAlign w:val="bottom"/>
          </w:tcPr>
          <w:p w14:paraId="74DDB9BC" w14:textId="77777777" w:rsidR="00584EC1" w:rsidRDefault="00584EC1">
            <w:pPr>
              <w:rPr>
                <w:rFonts w:ascii="宋体"/>
                <w:vanish/>
              </w:rPr>
            </w:pPr>
          </w:p>
        </w:tc>
      </w:tr>
      <w:tr w:rsidR="00584EC1" w14:paraId="74DDB9C8" w14:textId="77777777">
        <w:trPr>
          <w:hidden/>
        </w:trPr>
        <w:tc>
          <w:tcPr>
            <w:tcW w:w="0" w:type="auto"/>
            <w:gridSpan w:val="3"/>
            <w:shd w:val="clear" w:color="auto" w:fill="auto"/>
            <w:vAlign w:val="bottom"/>
          </w:tcPr>
          <w:p w14:paraId="74DDB9BE" w14:textId="77777777" w:rsidR="00584EC1" w:rsidRDefault="00584EC1">
            <w:pPr>
              <w:rPr>
                <w:rFonts w:ascii="宋体"/>
                <w:vanish/>
              </w:rPr>
            </w:pPr>
          </w:p>
        </w:tc>
        <w:tc>
          <w:tcPr>
            <w:tcW w:w="0" w:type="auto"/>
            <w:gridSpan w:val="3"/>
            <w:shd w:val="clear" w:color="auto" w:fill="auto"/>
            <w:vAlign w:val="bottom"/>
          </w:tcPr>
          <w:p w14:paraId="74DDB9BF" w14:textId="77777777" w:rsidR="00584EC1" w:rsidRDefault="00584EC1">
            <w:pPr>
              <w:rPr>
                <w:rFonts w:ascii="宋体"/>
                <w:vanish/>
              </w:rPr>
            </w:pPr>
          </w:p>
        </w:tc>
        <w:tc>
          <w:tcPr>
            <w:tcW w:w="0" w:type="auto"/>
            <w:gridSpan w:val="3"/>
            <w:shd w:val="clear" w:color="auto" w:fill="auto"/>
            <w:vAlign w:val="bottom"/>
          </w:tcPr>
          <w:p w14:paraId="74DDB9C0" w14:textId="77777777" w:rsidR="00584EC1" w:rsidRDefault="00584EC1">
            <w:pPr>
              <w:rPr>
                <w:rFonts w:ascii="宋体"/>
                <w:vanish/>
              </w:rPr>
            </w:pPr>
          </w:p>
        </w:tc>
        <w:tc>
          <w:tcPr>
            <w:tcW w:w="0" w:type="auto"/>
            <w:gridSpan w:val="3"/>
            <w:shd w:val="clear" w:color="auto" w:fill="auto"/>
            <w:vAlign w:val="bottom"/>
          </w:tcPr>
          <w:p w14:paraId="74DDB9C1" w14:textId="77777777" w:rsidR="00584EC1" w:rsidRDefault="00584EC1">
            <w:pPr>
              <w:rPr>
                <w:rFonts w:ascii="宋体"/>
                <w:vanish/>
              </w:rPr>
            </w:pPr>
          </w:p>
        </w:tc>
        <w:tc>
          <w:tcPr>
            <w:tcW w:w="0" w:type="auto"/>
            <w:gridSpan w:val="3"/>
            <w:shd w:val="clear" w:color="auto" w:fill="auto"/>
            <w:vAlign w:val="bottom"/>
          </w:tcPr>
          <w:p w14:paraId="74DDB9C2" w14:textId="77777777" w:rsidR="00584EC1" w:rsidRDefault="00584EC1">
            <w:pPr>
              <w:rPr>
                <w:rFonts w:ascii="宋体"/>
                <w:vanish/>
              </w:rPr>
            </w:pPr>
          </w:p>
        </w:tc>
        <w:tc>
          <w:tcPr>
            <w:tcW w:w="0" w:type="auto"/>
            <w:gridSpan w:val="3"/>
            <w:shd w:val="clear" w:color="auto" w:fill="auto"/>
            <w:vAlign w:val="bottom"/>
          </w:tcPr>
          <w:p w14:paraId="74DDB9C3" w14:textId="77777777" w:rsidR="00584EC1" w:rsidRDefault="00584EC1">
            <w:pPr>
              <w:rPr>
                <w:rFonts w:ascii="宋体"/>
                <w:vanish/>
              </w:rPr>
            </w:pPr>
          </w:p>
        </w:tc>
        <w:tc>
          <w:tcPr>
            <w:tcW w:w="0" w:type="auto"/>
            <w:gridSpan w:val="3"/>
            <w:shd w:val="clear" w:color="auto" w:fill="auto"/>
            <w:vAlign w:val="bottom"/>
          </w:tcPr>
          <w:p w14:paraId="74DDB9C4" w14:textId="77777777" w:rsidR="00584EC1" w:rsidRDefault="00584EC1">
            <w:pPr>
              <w:rPr>
                <w:rFonts w:ascii="宋体"/>
                <w:vanish/>
              </w:rPr>
            </w:pPr>
          </w:p>
        </w:tc>
        <w:tc>
          <w:tcPr>
            <w:tcW w:w="0" w:type="auto"/>
            <w:gridSpan w:val="3"/>
            <w:shd w:val="clear" w:color="auto" w:fill="auto"/>
            <w:vAlign w:val="bottom"/>
          </w:tcPr>
          <w:p w14:paraId="74DDB9C5" w14:textId="77777777" w:rsidR="00584EC1" w:rsidRDefault="00584EC1">
            <w:pPr>
              <w:rPr>
                <w:rFonts w:ascii="宋体"/>
                <w:vanish/>
              </w:rPr>
            </w:pPr>
          </w:p>
        </w:tc>
        <w:tc>
          <w:tcPr>
            <w:tcW w:w="0" w:type="auto"/>
            <w:gridSpan w:val="3"/>
            <w:shd w:val="clear" w:color="auto" w:fill="auto"/>
            <w:vAlign w:val="bottom"/>
          </w:tcPr>
          <w:p w14:paraId="74DDB9C6" w14:textId="77777777" w:rsidR="00584EC1" w:rsidRDefault="00584EC1">
            <w:pPr>
              <w:rPr>
                <w:rFonts w:ascii="宋体"/>
                <w:vanish/>
              </w:rPr>
            </w:pPr>
          </w:p>
        </w:tc>
        <w:tc>
          <w:tcPr>
            <w:tcW w:w="0" w:type="auto"/>
            <w:gridSpan w:val="3"/>
            <w:shd w:val="clear" w:color="auto" w:fill="auto"/>
            <w:vAlign w:val="bottom"/>
          </w:tcPr>
          <w:p w14:paraId="74DDB9C7" w14:textId="77777777" w:rsidR="00584EC1" w:rsidRDefault="00584EC1">
            <w:pPr>
              <w:rPr>
                <w:rFonts w:ascii="宋体"/>
                <w:vanish/>
              </w:rPr>
            </w:pPr>
          </w:p>
        </w:tc>
      </w:tr>
      <w:tr w:rsidR="00584EC1" w14:paraId="74DDB9D3" w14:textId="77777777">
        <w:trPr>
          <w:hidden/>
        </w:trPr>
        <w:tc>
          <w:tcPr>
            <w:tcW w:w="0" w:type="auto"/>
            <w:gridSpan w:val="3"/>
            <w:shd w:val="clear" w:color="auto" w:fill="auto"/>
            <w:vAlign w:val="bottom"/>
          </w:tcPr>
          <w:p w14:paraId="74DDB9C9" w14:textId="77777777" w:rsidR="00584EC1" w:rsidRDefault="00584EC1">
            <w:pPr>
              <w:rPr>
                <w:rFonts w:ascii="宋体"/>
                <w:vanish/>
              </w:rPr>
            </w:pPr>
          </w:p>
        </w:tc>
        <w:tc>
          <w:tcPr>
            <w:tcW w:w="0" w:type="auto"/>
            <w:gridSpan w:val="3"/>
            <w:shd w:val="clear" w:color="auto" w:fill="auto"/>
            <w:vAlign w:val="bottom"/>
          </w:tcPr>
          <w:p w14:paraId="74DDB9CA" w14:textId="77777777" w:rsidR="00584EC1" w:rsidRDefault="00584EC1">
            <w:pPr>
              <w:rPr>
                <w:rFonts w:ascii="宋体"/>
                <w:vanish/>
              </w:rPr>
            </w:pPr>
          </w:p>
        </w:tc>
        <w:tc>
          <w:tcPr>
            <w:tcW w:w="0" w:type="auto"/>
            <w:gridSpan w:val="3"/>
            <w:shd w:val="clear" w:color="auto" w:fill="auto"/>
            <w:vAlign w:val="bottom"/>
          </w:tcPr>
          <w:p w14:paraId="74DDB9CB" w14:textId="77777777" w:rsidR="00584EC1" w:rsidRDefault="00584EC1">
            <w:pPr>
              <w:rPr>
                <w:rFonts w:ascii="宋体"/>
                <w:vanish/>
              </w:rPr>
            </w:pPr>
          </w:p>
        </w:tc>
        <w:tc>
          <w:tcPr>
            <w:tcW w:w="0" w:type="auto"/>
            <w:gridSpan w:val="3"/>
            <w:shd w:val="clear" w:color="auto" w:fill="auto"/>
            <w:vAlign w:val="bottom"/>
          </w:tcPr>
          <w:p w14:paraId="74DDB9CC" w14:textId="77777777" w:rsidR="00584EC1" w:rsidRDefault="00584EC1">
            <w:pPr>
              <w:rPr>
                <w:rFonts w:ascii="宋体"/>
                <w:vanish/>
              </w:rPr>
            </w:pPr>
          </w:p>
        </w:tc>
        <w:tc>
          <w:tcPr>
            <w:tcW w:w="0" w:type="auto"/>
            <w:gridSpan w:val="3"/>
            <w:shd w:val="clear" w:color="auto" w:fill="auto"/>
            <w:vAlign w:val="bottom"/>
          </w:tcPr>
          <w:p w14:paraId="74DDB9CD" w14:textId="77777777" w:rsidR="00584EC1" w:rsidRDefault="00584EC1">
            <w:pPr>
              <w:rPr>
                <w:rFonts w:ascii="宋体"/>
                <w:vanish/>
              </w:rPr>
            </w:pPr>
          </w:p>
        </w:tc>
        <w:tc>
          <w:tcPr>
            <w:tcW w:w="0" w:type="auto"/>
            <w:gridSpan w:val="3"/>
            <w:shd w:val="clear" w:color="auto" w:fill="auto"/>
            <w:vAlign w:val="bottom"/>
          </w:tcPr>
          <w:p w14:paraId="74DDB9CE" w14:textId="77777777" w:rsidR="00584EC1" w:rsidRDefault="00584EC1">
            <w:pPr>
              <w:rPr>
                <w:rFonts w:ascii="宋体"/>
                <w:vanish/>
              </w:rPr>
            </w:pPr>
          </w:p>
        </w:tc>
        <w:tc>
          <w:tcPr>
            <w:tcW w:w="0" w:type="auto"/>
            <w:gridSpan w:val="3"/>
            <w:shd w:val="clear" w:color="auto" w:fill="auto"/>
            <w:vAlign w:val="bottom"/>
          </w:tcPr>
          <w:p w14:paraId="74DDB9CF" w14:textId="77777777" w:rsidR="00584EC1" w:rsidRDefault="00584EC1">
            <w:pPr>
              <w:rPr>
                <w:rFonts w:ascii="宋体"/>
                <w:vanish/>
              </w:rPr>
            </w:pPr>
          </w:p>
        </w:tc>
        <w:tc>
          <w:tcPr>
            <w:tcW w:w="0" w:type="auto"/>
            <w:gridSpan w:val="3"/>
            <w:shd w:val="clear" w:color="auto" w:fill="auto"/>
            <w:vAlign w:val="bottom"/>
          </w:tcPr>
          <w:p w14:paraId="74DDB9D0" w14:textId="77777777" w:rsidR="00584EC1" w:rsidRDefault="00584EC1">
            <w:pPr>
              <w:rPr>
                <w:rFonts w:ascii="宋体"/>
                <w:vanish/>
              </w:rPr>
            </w:pPr>
          </w:p>
        </w:tc>
        <w:tc>
          <w:tcPr>
            <w:tcW w:w="0" w:type="auto"/>
            <w:gridSpan w:val="3"/>
            <w:shd w:val="clear" w:color="auto" w:fill="auto"/>
            <w:vAlign w:val="bottom"/>
          </w:tcPr>
          <w:p w14:paraId="74DDB9D1" w14:textId="77777777" w:rsidR="00584EC1" w:rsidRDefault="00584EC1">
            <w:pPr>
              <w:rPr>
                <w:rFonts w:ascii="宋体"/>
                <w:vanish/>
              </w:rPr>
            </w:pPr>
          </w:p>
        </w:tc>
        <w:tc>
          <w:tcPr>
            <w:tcW w:w="0" w:type="auto"/>
            <w:gridSpan w:val="3"/>
            <w:shd w:val="clear" w:color="auto" w:fill="auto"/>
            <w:vAlign w:val="bottom"/>
          </w:tcPr>
          <w:p w14:paraId="74DDB9D2" w14:textId="77777777" w:rsidR="00584EC1" w:rsidRDefault="00584EC1">
            <w:pPr>
              <w:rPr>
                <w:rFonts w:ascii="宋体"/>
                <w:vanish/>
              </w:rPr>
            </w:pPr>
          </w:p>
        </w:tc>
      </w:tr>
      <w:tr w:rsidR="00584EC1" w14:paraId="74DDB9DE" w14:textId="77777777">
        <w:trPr>
          <w:hidden/>
        </w:trPr>
        <w:tc>
          <w:tcPr>
            <w:tcW w:w="0" w:type="auto"/>
            <w:gridSpan w:val="3"/>
            <w:shd w:val="clear" w:color="auto" w:fill="auto"/>
            <w:vAlign w:val="bottom"/>
          </w:tcPr>
          <w:p w14:paraId="74DDB9D4" w14:textId="77777777" w:rsidR="00584EC1" w:rsidRDefault="00584EC1">
            <w:pPr>
              <w:rPr>
                <w:rFonts w:ascii="宋体"/>
                <w:vanish/>
              </w:rPr>
            </w:pPr>
          </w:p>
        </w:tc>
        <w:tc>
          <w:tcPr>
            <w:tcW w:w="0" w:type="auto"/>
            <w:gridSpan w:val="3"/>
            <w:shd w:val="clear" w:color="auto" w:fill="auto"/>
            <w:vAlign w:val="bottom"/>
          </w:tcPr>
          <w:p w14:paraId="74DDB9D5" w14:textId="77777777" w:rsidR="00584EC1" w:rsidRDefault="00584EC1">
            <w:pPr>
              <w:rPr>
                <w:rFonts w:ascii="宋体"/>
                <w:vanish/>
              </w:rPr>
            </w:pPr>
          </w:p>
        </w:tc>
        <w:tc>
          <w:tcPr>
            <w:tcW w:w="0" w:type="auto"/>
            <w:gridSpan w:val="3"/>
            <w:shd w:val="clear" w:color="auto" w:fill="auto"/>
            <w:vAlign w:val="bottom"/>
          </w:tcPr>
          <w:p w14:paraId="74DDB9D6" w14:textId="77777777" w:rsidR="00584EC1" w:rsidRDefault="00584EC1">
            <w:pPr>
              <w:rPr>
                <w:rFonts w:ascii="宋体"/>
                <w:vanish/>
              </w:rPr>
            </w:pPr>
          </w:p>
        </w:tc>
        <w:tc>
          <w:tcPr>
            <w:tcW w:w="0" w:type="auto"/>
            <w:gridSpan w:val="3"/>
            <w:shd w:val="clear" w:color="auto" w:fill="auto"/>
            <w:vAlign w:val="bottom"/>
          </w:tcPr>
          <w:p w14:paraId="74DDB9D7" w14:textId="77777777" w:rsidR="00584EC1" w:rsidRDefault="00584EC1">
            <w:pPr>
              <w:rPr>
                <w:rFonts w:ascii="宋体"/>
                <w:vanish/>
              </w:rPr>
            </w:pPr>
          </w:p>
        </w:tc>
        <w:tc>
          <w:tcPr>
            <w:tcW w:w="0" w:type="auto"/>
            <w:gridSpan w:val="3"/>
            <w:shd w:val="clear" w:color="auto" w:fill="auto"/>
            <w:vAlign w:val="bottom"/>
          </w:tcPr>
          <w:p w14:paraId="74DDB9D8" w14:textId="77777777" w:rsidR="00584EC1" w:rsidRDefault="00584EC1">
            <w:pPr>
              <w:rPr>
                <w:rFonts w:ascii="宋体"/>
                <w:vanish/>
              </w:rPr>
            </w:pPr>
          </w:p>
        </w:tc>
        <w:tc>
          <w:tcPr>
            <w:tcW w:w="0" w:type="auto"/>
            <w:gridSpan w:val="3"/>
            <w:shd w:val="clear" w:color="auto" w:fill="auto"/>
            <w:vAlign w:val="bottom"/>
          </w:tcPr>
          <w:p w14:paraId="74DDB9D9" w14:textId="77777777" w:rsidR="00584EC1" w:rsidRDefault="00584EC1">
            <w:pPr>
              <w:rPr>
                <w:rFonts w:ascii="宋体"/>
                <w:vanish/>
              </w:rPr>
            </w:pPr>
          </w:p>
        </w:tc>
        <w:tc>
          <w:tcPr>
            <w:tcW w:w="0" w:type="auto"/>
            <w:gridSpan w:val="3"/>
            <w:shd w:val="clear" w:color="auto" w:fill="auto"/>
            <w:vAlign w:val="bottom"/>
          </w:tcPr>
          <w:p w14:paraId="74DDB9DA" w14:textId="77777777" w:rsidR="00584EC1" w:rsidRDefault="00584EC1">
            <w:pPr>
              <w:rPr>
                <w:rFonts w:ascii="宋体"/>
                <w:vanish/>
              </w:rPr>
            </w:pPr>
          </w:p>
        </w:tc>
        <w:tc>
          <w:tcPr>
            <w:tcW w:w="0" w:type="auto"/>
            <w:gridSpan w:val="3"/>
            <w:shd w:val="clear" w:color="auto" w:fill="auto"/>
            <w:vAlign w:val="bottom"/>
          </w:tcPr>
          <w:p w14:paraId="74DDB9DB" w14:textId="77777777" w:rsidR="00584EC1" w:rsidRDefault="00584EC1">
            <w:pPr>
              <w:rPr>
                <w:rFonts w:ascii="宋体"/>
                <w:vanish/>
              </w:rPr>
            </w:pPr>
          </w:p>
        </w:tc>
        <w:tc>
          <w:tcPr>
            <w:tcW w:w="0" w:type="auto"/>
            <w:gridSpan w:val="3"/>
            <w:shd w:val="clear" w:color="auto" w:fill="auto"/>
            <w:vAlign w:val="bottom"/>
          </w:tcPr>
          <w:p w14:paraId="74DDB9DC" w14:textId="77777777" w:rsidR="00584EC1" w:rsidRDefault="00584EC1">
            <w:pPr>
              <w:rPr>
                <w:rFonts w:ascii="宋体"/>
                <w:vanish/>
              </w:rPr>
            </w:pPr>
          </w:p>
        </w:tc>
        <w:tc>
          <w:tcPr>
            <w:tcW w:w="0" w:type="auto"/>
            <w:gridSpan w:val="3"/>
            <w:shd w:val="clear" w:color="auto" w:fill="auto"/>
            <w:vAlign w:val="bottom"/>
          </w:tcPr>
          <w:p w14:paraId="74DDB9DD" w14:textId="77777777" w:rsidR="00584EC1" w:rsidRDefault="00584EC1">
            <w:pPr>
              <w:rPr>
                <w:rFonts w:ascii="宋体"/>
                <w:vanish/>
              </w:rPr>
            </w:pPr>
          </w:p>
        </w:tc>
      </w:tr>
      <w:tr w:rsidR="00584EC1" w14:paraId="74DDB9E9" w14:textId="77777777">
        <w:trPr>
          <w:hidden/>
        </w:trPr>
        <w:tc>
          <w:tcPr>
            <w:tcW w:w="0" w:type="auto"/>
            <w:gridSpan w:val="3"/>
            <w:shd w:val="clear" w:color="auto" w:fill="auto"/>
            <w:vAlign w:val="bottom"/>
          </w:tcPr>
          <w:p w14:paraId="74DDB9DF" w14:textId="77777777" w:rsidR="00584EC1" w:rsidRDefault="00584EC1">
            <w:pPr>
              <w:rPr>
                <w:rFonts w:ascii="宋体"/>
                <w:vanish/>
              </w:rPr>
            </w:pPr>
          </w:p>
        </w:tc>
        <w:tc>
          <w:tcPr>
            <w:tcW w:w="0" w:type="auto"/>
            <w:gridSpan w:val="3"/>
            <w:shd w:val="clear" w:color="auto" w:fill="auto"/>
            <w:vAlign w:val="bottom"/>
          </w:tcPr>
          <w:p w14:paraId="74DDB9E0" w14:textId="77777777" w:rsidR="00584EC1" w:rsidRDefault="00584EC1">
            <w:pPr>
              <w:rPr>
                <w:rFonts w:ascii="宋体"/>
                <w:vanish/>
              </w:rPr>
            </w:pPr>
          </w:p>
        </w:tc>
        <w:tc>
          <w:tcPr>
            <w:tcW w:w="0" w:type="auto"/>
            <w:gridSpan w:val="3"/>
            <w:shd w:val="clear" w:color="auto" w:fill="auto"/>
            <w:vAlign w:val="bottom"/>
          </w:tcPr>
          <w:p w14:paraId="74DDB9E1" w14:textId="77777777" w:rsidR="00584EC1" w:rsidRDefault="00584EC1">
            <w:pPr>
              <w:rPr>
                <w:rFonts w:ascii="宋体"/>
                <w:vanish/>
              </w:rPr>
            </w:pPr>
          </w:p>
        </w:tc>
        <w:tc>
          <w:tcPr>
            <w:tcW w:w="0" w:type="auto"/>
            <w:gridSpan w:val="3"/>
            <w:shd w:val="clear" w:color="auto" w:fill="auto"/>
            <w:vAlign w:val="bottom"/>
          </w:tcPr>
          <w:p w14:paraId="74DDB9E2" w14:textId="77777777" w:rsidR="00584EC1" w:rsidRDefault="00584EC1">
            <w:pPr>
              <w:rPr>
                <w:rFonts w:ascii="宋体"/>
                <w:vanish/>
              </w:rPr>
            </w:pPr>
          </w:p>
        </w:tc>
        <w:tc>
          <w:tcPr>
            <w:tcW w:w="0" w:type="auto"/>
            <w:gridSpan w:val="3"/>
            <w:shd w:val="clear" w:color="auto" w:fill="auto"/>
            <w:vAlign w:val="bottom"/>
          </w:tcPr>
          <w:p w14:paraId="74DDB9E3" w14:textId="77777777" w:rsidR="00584EC1" w:rsidRDefault="00584EC1">
            <w:pPr>
              <w:rPr>
                <w:rFonts w:ascii="宋体"/>
                <w:vanish/>
              </w:rPr>
            </w:pPr>
          </w:p>
        </w:tc>
        <w:tc>
          <w:tcPr>
            <w:tcW w:w="0" w:type="auto"/>
            <w:gridSpan w:val="3"/>
            <w:shd w:val="clear" w:color="auto" w:fill="auto"/>
            <w:vAlign w:val="bottom"/>
          </w:tcPr>
          <w:p w14:paraId="74DDB9E4" w14:textId="77777777" w:rsidR="00584EC1" w:rsidRDefault="00584EC1">
            <w:pPr>
              <w:rPr>
                <w:rFonts w:ascii="宋体"/>
                <w:vanish/>
              </w:rPr>
            </w:pPr>
          </w:p>
        </w:tc>
        <w:tc>
          <w:tcPr>
            <w:tcW w:w="0" w:type="auto"/>
            <w:gridSpan w:val="3"/>
            <w:shd w:val="clear" w:color="auto" w:fill="auto"/>
            <w:vAlign w:val="bottom"/>
          </w:tcPr>
          <w:p w14:paraId="74DDB9E5" w14:textId="77777777" w:rsidR="00584EC1" w:rsidRDefault="00584EC1">
            <w:pPr>
              <w:rPr>
                <w:rFonts w:ascii="宋体"/>
                <w:vanish/>
              </w:rPr>
            </w:pPr>
          </w:p>
        </w:tc>
        <w:tc>
          <w:tcPr>
            <w:tcW w:w="0" w:type="auto"/>
            <w:gridSpan w:val="3"/>
            <w:shd w:val="clear" w:color="auto" w:fill="auto"/>
            <w:vAlign w:val="bottom"/>
          </w:tcPr>
          <w:p w14:paraId="74DDB9E6" w14:textId="77777777" w:rsidR="00584EC1" w:rsidRDefault="00584EC1">
            <w:pPr>
              <w:rPr>
                <w:rFonts w:ascii="宋体"/>
                <w:vanish/>
              </w:rPr>
            </w:pPr>
          </w:p>
        </w:tc>
        <w:tc>
          <w:tcPr>
            <w:tcW w:w="0" w:type="auto"/>
            <w:gridSpan w:val="3"/>
            <w:shd w:val="clear" w:color="auto" w:fill="auto"/>
            <w:vAlign w:val="bottom"/>
          </w:tcPr>
          <w:p w14:paraId="74DDB9E7" w14:textId="77777777" w:rsidR="00584EC1" w:rsidRDefault="00584EC1">
            <w:pPr>
              <w:rPr>
                <w:rFonts w:ascii="宋体"/>
                <w:vanish/>
              </w:rPr>
            </w:pPr>
          </w:p>
        </w:tc>
        <w:tc>
          <w:tcPr>
            <w:tcW w:w="0" w:type="auto"/>
            <w:gridSpan w:val="3"/>
            <w:shd w:val="clear" w:color="auto" w:fill="auto"/>
            <w:vAlign w:val="bottom"/>
          </w:tcPr>
          <w:p w14:paraId="74DDB9E8" w14:textId="77777777" w:rsidR="00584EC1" w:rsidRDefault="00584EC1">
            <w:pPr>
              <w:rPr>
                <w:rFonts w:ascii="宋体"/>
                <w:vanish/>
              </w:rPr>
            </w:pPr>
          </w:p>
        </w:tc>
      </w:tr>
      <w:tr w:rsidR="00584EC1" w14:paraId="74DDB9F4" w14:textId="77777777">
        <w:trPr>
          <w:hidden/>
        </w:trPr>
        <w:tc>
          <w:tcPr>
            <w:tcW w:w="0" w:type="auto"/>
            <w:gridSpan w:val="3"/>
            <w:shd w:val="clear" w:color="auto" w:fill="auto"/>
            <w:vAlign w:val="bottom"/>
          </w:tcPr>
          <w:p w14:paraId="74DDB9EA" w14:textId="77777777" w:rsidR="00584EC1" w:rsidRDefault="00584EC1">
            <w:pPr>
              <w:rPr>
                <w:rFonts w:ascii="宋体"/>
                <w:vanish/>
              </w:rPr>
            </w:pPr>
          </w:p>
        </w:tc>
        <w:tc>
          <w:tcPr>
            <w:tcW w:w="0" w:type="auto"/>
            <w:gridSpan w:val="3"/>
            <w:shd w:val="clear" w:color="auto" w:fill="auto"/>
            <w:vAlign w:val="bottom"/>
          </w:tcPr>
          <w:p w14:paraId="74DDB9EB" w14:textId="77777777" w:rsidR="00584EC1" w:rsidRDefault="00584EC1">
            <w:pPr>
              <w:rPr>
                <w:rFonts w:ascii="宋体"/>
                <w:vanish/>
              </w:rPr>
            </w:pPr>
          </w:p>
        </w:tc>
        <w:tc>
          <w:tcPr>
            <w:tcW w:w="0" w:type="auto"/>
            <w:gridSpan w:val="3"/>
            <w:shd w:val="clear" w:color="auto" w:fill="auto"/>
            <w:vAlign w:val="bottom"/>
          </w:tcPr>
          <w:p w14:paraId="74DDB9EC" w14:textId="77777777" w:rsidR="00584EC1" w:rsidRDefault="00584EC1">
            <w:pPr>
              <w:rPr>
                <w:rFonts w:ascii="宋体"/>
                <w:vanish/>
              </w:rPr>
            </w:pPr>
          </w:p>
        </w:tc>
        <w:tc>
          <w:tcPr>
            <w:tcW w:w="0" w:type="auto"/>
            <w:gridSpan w:val="3"/>
            <w:shd w:val="clear" w:color="auto" w:fill="auto"/>
            <w:vAlign w:val="bottom"/>
          </w:tcPr>
          <w:p w14:paraId="74DDB9ED" w14:textId="77777777" w:rsidR="00584EC1" w:rsidRDefault="00584EC1">
            <w:pPr>
              <w:rPr>
                <w:rFonts w:ascii="宋体"/>
                <w:vanish/>
              </w:rPr>
            </w:pPr>
          </w:p>
        </w:tc>
        <w:tc>
          <w:tcPr>
            <w:tcW w:w="0" w:type="auto"/>
            <w:gridSpan w:val="3"/>
            <w:shd w:val="clear" w:color="auto" w:fill="auto"/>
            <w:vAlign w:val="bottom"/>
          </w:tcPr>
          <w:p w14:paraId="74DDB9EE" w14:textId="77777777" w:rsidR="00584EC1" w:rsidRDefault="00584EC1">
            <w:pPr>
              <w:rPr>
                <w:rFonts w:ascii="宋体"/>
                <w:vanish/>
              </w:rPr>
            </w:pPr>
          </w:p>
        </w:tc>
        <w:tc>
          <w:tcPr>
            <w:tcW w:w="0" w:type="auto"/>
            <w:gridSpan w:val="3"/>
            <w:shd w:val="clear" w:color="auto" w:fill="auto"/>
            <w:vAlign w:val="bottom"/>
          </w:tcPr>
          <w:p w14:paraId="74DDB9EF" w14:textId="77777777" w:rsidR="00584EC1" w:rsidRDefault="00584EC1">
            <w:pPr>
              <w:rPr>
                <w:rFonts w:ascii="宋体"/>
                <w:vanish/>
              </w:rPr>
            </w:pPr>
          </w:p>
        </w:tc>
        <w:tc>
          <w:tcPr>
            <w:tcW w:w="0" w:type="auto"/>
            <w:gridSpan w:val="3"/>
            <w:shd w:val="clear" w:color="auto" w:fill="auto"/>
            <w:vAlign w:val="bottom"/>
          </w:tcPr>
          <w:p w14:paraId="74DDB9F0" w14:textId="77777777" w:rsidR="00584EC1" w:rsidRDefault="00584EC1">
            <w:pPr>
              <w:rPr>
                <w:rFonts w:ascii="宋体"/>
                <w:vanish/>
              </w:rPr>
            </w:pPr>
          </w:p>
        </w:tc>
        <w:tc>
          <w:tcPr>
            <w:tcW w:w="0" w:type="auto"/>
            <w:gridSpan w:val="3"/>
            <w:shd w:val="clear" w:color="auto" w:fill="auto"/>
            <w:vAlign w:val="bottom"/>
          </w:tcPr>
          <w:p w14:paraId="74DDB9F1" w14:textId="77777777" w:rsidR="00584EC1" w:rsidRDefault="00584EC1">
            <w:pPr>
              <w:rPr>
                <w:rFonts w:ascii="宋体"/>
                <w:vanish/>
              </w:rPr>
            </w:pPr>
          </w:p>
        </w:tc>
        <w:tc>
          <w:tcPr>
            <w:tcW w:w="0" w:type="auto"/>
            <w:gridSpan w:val="3"/>
            <w:shd w:val="clear" w:color="auto" w:fill="auto"/>
            <w:vAlign w:val="bottom"/>
          </w:tcPr>
          <w:p w14:paraId="74DDB9F2" w14:textId="77777777" w:rsidR="00584EC1" w:rsidRDefault="00584EC1">
            <w:pPr>
              <w:rPr>
                <w:rFonts w:ascii="宋体"/>
                <w:vanish/>
              </w:rPr>
            </w:pPr>
          </w:p>
        </w:tc>
        <w:tc>
          <w:tcPr>
            <w:tcW w:w="0" w:type="auto"/>
            <w:gridSpan w:val="3"/>
            <w:shd w:val="clear" w:color="auto" w:fill="auto"/>
            <w:vAlign w:val="bottom"/>
          </w:tcPr>
          <w:p w14:paraId="74DDB9F3" w14:textId="77777777" w:rsidR="00584EC1" w:rsidRDefault="00584EC1">
            <w:pPr>
              <w:rPr>
                <w:rFonts w:ascii="宋体"/>
                <w:vanish/>
              </w:rPr>
            </w:pPr>
          </w:p>
        </w:tc>
      </w:tr>
      <w:tr w:rsidR="00584EC1" w14:paraId="74DDBA03" w14:textId="77777777">
        <w:tc>
          <w:tcPr>
            <w:tcW w:w="0" w:type="auto"/>
            <w:gridSpan w:val="3"/>
            <w:shd w:val="clear" w:color="auto" w:fill="FFFFFF"/>
            <w:tcMar>
              <w:top w:w="40" w:type="dxa"/>
              <w:left w:w="245" w:type="dxa"/>
              <w:bottom w:w="40" w:type="dxa"/>
              <w:right w:w="20" w:type="dxa"/>
            </w:tcMar>
            <w:vAlign w:val="bottom"/>
          </w:tcPr>
          <w:p w14:paraId="74DDB9F5" w14:textId="77777777" w:rsidR="00584EC1" w:rsidRDefault="00871F8D">
            <w:pPr>
              <w:textAlignment w:val="bottom"/>
            </w:pPr>
            <w:r>
              <w:rPr>
                <w:rFonts w:ascii="Arial" w:eastAsia="宋体" w:hAnsi="Arial" w:cs="Arial"/>
                <w:color w:val="000000"/>
                <w:sz w:val="15"/>
                <w:szCs w:val="15"/>
              </w:rPr>
              <w:t>State and political subdivisions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B9F6"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B9F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9F8"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B9F9" w14:textId="77777777" w:rsidR="00584EC1" w:rsidRDefault="00871F8D">
            <w:pPr>
              <w:jc w:val="right"/>
              <w:textAlignment w:val="bottom"/>
            </w:pPr>
            <w:r>
              <w:rPr>
                <w:rFonts w:ascii="Arial" w:eastAsia="宋体" w:hAnsi="Arial" w:cs="Arial"/>
                <w:b/>
                <w:bCs/>
                <w:color w:val="000000"/>
                <w:sz w:val="15"/>
                <w:szCs w:val="15"/>
              </w:rPr>
              <w:t>1,396</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B9F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9FB"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B9FC"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B9F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9FE"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9FF"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A00"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BA01" w14:textId="77777777" w:rsidR="00584EC1" w:rsidRDefault="00871F8D">
            <w:pPr>
              <w:jc w:val="right"/>
              <w:textAlignment w:val="bottom"/>
            </w:pPr>
            <w:r>
              <w:rPr>
                <w:rFonts w:ascii="Arial" w:eastAsia="宋体" w:hAnsi="Arial" w:cs="Arial"/>
                <w:b/>
                <w:bCs/>
                <w:color w:val="000000"/>
                <w:sz w:val="15"/>
                <w:szCs w:val="15"/>
              </w:rPr>
              <w:t>1,396</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BA02" w14:textId="77777777" w:rsidR="00584EC1" w:rsidRDefault="00584EC1">
            <w:pPr>
              <w:jc w:val="right"/>
              <w:rPr>
                <w:rFonts w:ascii="宋体"/>
              </w:rPr>
            </w:pPr>
          </w:p>
        </w:tc>
      </w:tr>
      <w:tr w:rsidR="00584EC1" w14:paraId="74DDBA0E" w14:textId="77777777">
        <w:trPr>
          <w:hidden/>
        </w:trPr>
        <w:tc>
          <w:tcPr>
            <w:tcW w:w="0" w:type="auto"/>
            <w:gridSpan w:val="3"/>
            <w:shd w:val="clear" w:color="auto" w:fill="auto"/>
            <w:vAlign w:val="bottom"/>
          </w:tcPr>
          <w:p w14:paraId="74DDBA04" w14:textId="77777777" w:rsidR="00584EC1" w:rsidRDefault="00584EC1">
            <w:pPr>
              <w:rPr>
                <w:rFonts w:ascii="宋体"/>
                <w:vanish/>
              </w:rPr>
            </w:pPr>
          </w:p>
        </w:tc>
        <w:tc>
          <w:tcPr>
            <w:tcW w:w="0" w:type="auto"/>
            <w:gridSpan w:val="3"/>
            <w:shd w:val="clear" w:color="auto" w:fill="auto"/>
            <w:vAlign w:val="bottom"/>
          </w:tcPr>
          <w:p w14:paraId="74DDBA05" w14:textId="77777777" w:rsidR="00584EC1" w:rsidRDefault="00584EC1">
            <w:pPr>
              <w:rPr>
                <w:rFonts w:ascii="宋体"/>
                <w:vanish/>
              </w:rPr>
            </w:pPr>
          </w:p>
        </w:tc>
        <w:tc>
          <w:tcPr>
            <w:tcW w:w="0" w:type="auto"/>
            <w:gridSpan w:val="3"/>
            <w:shd w:val="clear" w:color="auto" w:fill="auto"/>
            <w:vAlign w:val="bottom"/>
          </w:tcPr>
          <w:p w14:paraId="74DDBA06" w14:textId="77777777" w:rsidR="00584EC1" w:rsidRDefault="00584EC1">
            <w:pPr>
              <w:rPr>
                <w:rFonts w:ascii="宋体"/>
                <w:vanish/>
              </w:rPr>
            </w:pPr>
          </w:p>
        </w:tc>
        <w:tc>
          <w:tcPr>
            <w:tcW w:w="0" w:type="auto"/>
            <w:gridSpan w:val="3"/>
            <w:shd w:val="clear" w:color="auto" w:fill="auto"/>
            <w:vAlign w:val="bottom"/>
          </w:tcPr>
          <w:p w14:paraId="74DDBA07" w14:textId="77777777" w:rsidR="00584EC1" w:rsidRDefault="00584EC1">
            <w:pPr>
              <w:rPr>
                <w:rFonts w:ascii="宋体"/>
                <w:vanish/>
              </w:rPr>
            </w:pPr>
          </w:p>
        </w:tc>
        <w:tc>
          <w:tcPr>
            <w:tcW w:w="0" w:type="auto"/>
            <w:gridSpan w:val="3"/>
            <w:shd w:val="clear" w:color="auto" w:fill="auto"/>
            <w:vAlign w:val="bottom"/>
          </w:tcPr>
          <w:p w14:paraId="74DDBA08" w14:textId="77777777" w:rsidR="00584EC1" w:rsidRDefault="00584EC1">
            <w:pPr>
              <w:rPr>
                <w:rFonts w:ascii="宋体"/>
                <w:vanish/>
              </w:rPr>
            </w:pPr>
          </w:p>
        </w:tc>
        <w:tc>
          <w:tcPr>
            <w:tcW w:w="0" w:type="auto"/>
            <w:gridSpan w:val="3"/>
            <w:shd w:val="clear" w:color="auto" w:fill="auto"/>
            <w:vAlign w:val="bottom"/>
          </w:tcPr>
          <w:p w14:paraId="74DDBA09" w14:textId="77777777" w:rsidR="00584EC1" w:rsidRDefault="00584EC1">
            <w:pPr>
              <w:rPr>
                <w:rFonts w:ascii="宋体"/>
                <w:vanish/>
              </w:rPr>
            </w:pPr>
          </w:p>
        </w:tc>
        <w:tc>
          <w:tcPr>
            <w:tcW w:w="0" w:type="auto"/>
            <w:gridSpan w:val="3"/>
            <w:shd w:val="clear" w:color="auto" w:fill="auto"/>
            <w:vAlign w:val="bottom"/>
          </w:tcPr>
          <w:p w14:paraId="74DDBA0A" w14:textId="77777777" w:rsidR="00584EC1" w:rsidRDefault="00584EC1">
            <w:pPr>
              <w:rPr>
                <w:rFonts w:ascii="宋体"/>
                <w:vanish/>
              </w:rPr>
            </w:pPr>
          </w:p>
        </w:tc>
        <w:tc>
          <w:tcPr>
            <w:tcW w:w="0" w:type="auto"/>
            <w:gridSpan w:val="3"/>
            <w:shd w:val="clear" w:color="auto" w:fill="auto"/>
            <w:vAlign w:val="bottom"/>
          </w:tcPr>
          <w:p w14:paraId="74DDBA0B" w14:textId="77777777" w:rsidR="00584EC1" w:rsidRDefault="00584EC1">
            <w:pPr>
              <w:rPr>
                <w:rFonts w:ascii="宋体"/>
                <w:vanish/>
              </w:rPr>
            </w:pPr>
          </w:p>
        </w:tc>
        <w:tc>
          <w:tcPr>
            <w:tcW w:w="0" w:type="auto"/>
            <w:gridSpan w:val="3"/>
            <w:shd w:val="clear" w:color="auto" w:fill="auto"/>
            <w:vAlign w:val="bottom"/>
          </w:tcPr>
          <w:p w14:paraId="74DDBA0C" w14:textId="77777777" w:rsidR="00584EC1" w:rsidRDefault="00584EC1">
            <w:pPr>
              <w:rPr>
                <w:rFonts w:ascii="宋体"/>
                <w:vanish/>
              </w:rPr>
            </w:pPr>
          </w:p>
        </w:tc>
        <w:tc>
          <w:tcPr>
            <w:tcW w:w="0" w:type="auto"/>
            <w:gridSpan w:val="3"/>
            <w:shd w:val="clear" w:color="auto" w:fill="auto"/>
            <w:vAlign w:val="bottom"/>
          </w:tcPr>
          <w:p w14:paraId="74DDBA0D" w14:textId="77777777" w:rsidR="00584EC1" w:rsidRDefault="00584EC1">
            <w:pPr>
              <w:rPr>
                <w:rFonts w:ascii="宋体"/>
                <w:vanish/>
              </w:rPr>
            </w:pPr>
          </w:p>
        </w:tc>
      </w:tr>
      <w:tr w:rsidR="00584EC1" w14:paraId="74DDBA1D" w14:textId="77777777">
        <w:tc>
          <w:tcPr>
            <w:tcW w:w="0" w:type="auto"/>
            <w:gridSpan w:val="3"/>
            <w:shd w:val="clear" w:color="auto" w:fill="CCEEFF"/>
            <w:tcMar>
              <w:top w:w="40" w:type="dxa"/>
              <w:left w:w="245" w:type="dxa"/>
              <w:bottom w:w="40" w:type="dxa"/>
              <w:right w:w="20" w:type="dxa"/>
            </w:tcMar>
            <w:vAlign w:val="bottom"/>
          </w:tcPr>
          <w:p w14:paraId="74DDBA0F" w14:textId="77777777" w:rsidR="00584EC1" w:rsidRDefault="00871F8D">
            <w:pPr>
              <w:textAlignment w:val="bottom"/>
            </w:pPr>
            <w:r>
              <w:rPr>
                <w:rFonts w:ascii="Arial" w:eastAsia="宋体" w:hAnsi="Arial" w:cs="Arial"/>
                <w:color w:val="000000"/>
                <w:sz w:val="15"/>
                <w:szCs w:val="15"/>
              </w:rPr>
              <w:t>Other U.S. debt securities</w:t>
            </w:r>
          </w:p>
        </w:tc>
        <w:tc>
          <w:tcPr>
            <w:tcW w:w="0" w:type="auto"/>
            <w:gridSpan w:val="2"/>
            <w:shd w:val="clear" w:color="auto" w:fill="CCEEFF"/>
            <w:tcMar>
              <w:top w:w="40" w:type="dxa"/>
              <w:left w:w="20" w:type="dxa"/>
              <w:bottom w:w="40" w:type="dxa"/>
              <w:right w:w="0" w:type="dxa"/>
            </w:tcMar>
            <w:vAlign w:val="bottom"/>
          </w:tcPr>
          <w:p w14:paraId="74DDBA10"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BA1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A12"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A13" w14:textId="77777777" w:rsidR="00584EC1" w:rsidRDefault="00871F8D">
            <w:pPr>
              <w:jc w:val="right"/>
              <w:textAlignment w:val="bottom"/>
            </w:pPr>
            <w:r>
              <w:rPr>
                <w:rFonts w:ascii="Arial" w:eastAsia="宋体" w:hAnsi="Arial" w:cs="Arial"/>
                <w:b/>
                <w:bCs/>
                <w:color w:val="000000"/>
                <w:sz w:val="15"/>
                <w:szCs w:val="15"/>
              </w:rPr>
              <w:t>2,977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BA1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A1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A16"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BA1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A18"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A19"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A1A"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A1B" w14:textId="77777777" w:rsidR="00584EC1" w:rsidRDefault="00871F8D">
            <w:pPr>
              <w:jc w:val="right"/>
              <w:textAlignment w:val="bottom"/>
            </w:pPr>
            <w:r>
              <w:rPr>
                <w:rFonts w:ascii="Arial" w:eastAsia="宋体" w:hAnsi="Arial" w:cs="Arial"/>
                <w:b/>
                <w:bCs/>
                <w:color w:val="000000"/>
                <w:sz w:val="15"/>
                <w:szCs w:val="15"/>
              </w:rPr>
              <w:t>2,977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BA1C" w14:textId="77777777" w:rsidR="00584EC1" w:rsidRDefault="00584EC1">
            <w:pPr>
              <w:jc w:val="right"/>
              <w:rPr>
                <w:rFonts w:ascii="宋体"/>
              </w:rPr>
            </w:pPr>
          </w:p>
        </w:tc>
      </w:tr>
      <w:tr w:rsidR="00584EC1" w14:paraId="74DDBA28" w14:textId="77777777">
        <w:trPr>
          <w:hidden/>
        </w:trPr>
        <w:tc>
          <w:tcPr>
            <w:tcW w:w="0" w:type="auto"/>
            <w:gridSpan w:val="3"/>
            <w:shd w:val="clear" w:color="auto" w:fill="auto"/>
            <w:vAlign w:val="bottom"/>
          </w:tcPr>
          <w:p w14:paraId="74DDBA1E" w14:textId="77777777" w:rsidR="00584EC1" w:rsidRDefault="00584EC1">
            <w:pPr>
              <w:rPr>
                <w:rFonts w:ascii="宋体"/>
                <w:vanish/>
              </w:rPr>
            </w:pPr>
          </w:p>
        </w:tc>
        <w:tc>
          <w:tcPr>
            <w:tcW w:w="0" w:type="auto"/>
            <w:gridSpan w:val="3"/>
            <w:shd w:val="clear" w:color="auto" w:fill="auto"/>
            <w:vAlign w:val="bottom"/>
          </w:tcPr>
          <w:p w14:paraId="74DDBA1F" w14:textId="77777777" w:rsidR="00584EC1" w:rsidRDefault="00584EC1">
            <w:pPr>
              <w:rPr>
                <w:rFonts w:ascii="宋体"/>
                <w:vanish/>
              </w:rPr>
            </w:pPr>
          </w:p>
        </w:tc>
        <w:tc>
          <w:tcPr>
            <w:tcW w:w="0" w:type="auto"/>
            <w:gridSpan w:val="3"/>
            <w:shd w:val="clear" w:color="auto" w:fill="auto"/>
            <w:vAlign w:val="bottom"/>
          </w:tcPr>
          <w:p w14:paraId="74DDBA20" w14:textId="77777777" w:rsidR="00584EC1" w:rsidRDefault="00584EC1">
            <w:pPr>
              <w:rPr>
                <w:rFonts w:ascii="宋体"/>
                <w:vanish/>
              </w:rPr>
            </w:pPr>
          </w:p>
        </w:tc>
        <w:tc>
          <w:tcPr>
            <w:tcW w:w="0" w:type="auto"/>
            <w:gridSpan w:val="3"/>
            <w:shd w:val="clear" w:color="auto" w:fill="auto"/>
            <w:vAlign w:val="bottom"/>
          </w:tcPr>
          <w:p w14:paraId="74DDBA21" w14:textId="77777777" w:rsidR="00584EC1" w:rsidRDefault="00584EC1">
            <w:pPr>
              <w:rPr>
                <w:rFonts w:ascii="宋体"/>
                <w:vanish/>
              </w:rPr>
            </w:pPr>
          </w:p>
        </w:tc>
        <w:tc>
          <w:tcPr>
            <w:tcW w:w="0" w:type="auto"/>
            <w:gridSpan w:val="3"/>
            <w:shd w:val="clear" w:color="auto" w:fill="auto"/>
            <w:vAlign w:val="bottom"/>
          </w:tcPr>
          <w:p w14:paraId="74DDBA22" w14:textId="77777777" w:rsidR="00584EC1" w:rsidRDefault="00584EC1">
            <w:pPr>
              <w:rPr>
                <w:rFonts w:ascii="宋体"/>
                <w:vanish/>
              </w:rPr>
            </w:pPr>
          </w:p>
        </w:tc>
        <w:tc>
          <w:tcPr>
            <w:tcW w:w="0" w:type="auto"/>
            <w:gridSpan w:val="3"/>
            <w:shd w:val="clear" w:color="auto" w:fill="auto"/>
            <w:vAlign w:val="bottom"/>
          </w:tcPr>
          <w:p w14:paraId="74DDBA23" w14:textId="77777777" w:rsidR="00584EC1" w:rsidRDefault="00584EC1">
            <w:pPr>
              <w:rPr>
                <w:rFonts w:ascii="宋体"/>
                <w:vanish/>
              </w:rPr>
            </w:pPr>
          </w:p>
        </w:tc>
        <w:tc>
          <w:tcPr>
            <w:tcW w:w="0" w:type="auto"/>
            <w:gridSpan w:val="3"/>
            <w:shd w:val="clear" w:color="auto" w:fill="auto"/>
            <w:vAlign w:val="bottom"/>
          </w:tcPr>
          <w:p w14:paraId="74DDBA24" w14:textId="77777777" w:rsidR="00584EC1" w:rsidRDefault="00584EC1">
            <w:pPr>
              <w:rPr>
                <w:rFonts w:ascii="宋体"/>
                <w:vanish/>
              </w:rPr>
            </w:pPr>
          </w:p>
        </w:tc>
        <w:tc>
          <w:tcPr>
            <w:tcW w:w="0" w:type="auto"/>
            <w:gridSpan w:val="3"/>
            <w:shd w:val="clear" w:color="auto" w:fill="auto"/>
            <w:vAlign w:val="bottom"/>
          </w:tcPr>
          <w:p w14:paraId="74DDBA25" w14:textId="77777777" w:rsidR="00584EC1" w:rsidRDefault="00584EC1">
            <w:pPr>
              <w:rPr>
                <w:rFonts w:ascii="宋体"/>
                <w:vanish/>
              </w:rPr>
            </w:pPr>
          </w:p>
        </w:tc>
        <w:tc>
          <w:tcPr>
            <w:tcW w:w="0" w:type="auto"/>
            <w:gridSpan w:val="3"/>
            <w:shd w:val="clear" w:color="auto" w:fill="auto"/>
            <w:vAlign w:val="bottom"/>
          </w:tcPr>
          <w:p w14:paraId="74DDBA26" w14:textId="77777777" w:rsidR="00584EC1" w:rsidRDefault="00584EC1">
            <w:pPr>
              <w:rPr>
                <w:rFonts w:ascii="宋体"/>
                <w:vanish/>
              </w:rPr>
            </w:pPr>
          </w:p>
        </w:tc>
        <w:tc>
          <w:tcPr>
            <w:tcW w:w="0" w:type="auto"/>
            <w:gridSpan w:val="3"/>
            <w:shd w:val="clear" w:color="auto" w:fill="auto"/>
            <w:vAlign w:val="bottom"/>
          </w:tcPr>
          <w:p w14:paraId="74DDBA27" w14:textId="77777777" w:rsidR="00584EC1" w:rsidRDefault="00584EC1">
            <w:pPr>
              <w:rPr>
                <w:rFonts w:ascii="宋体"/>
                <w:vanish/>
              </w:rPr>
            </w:pPr>
          </w:p>
        </w:tc>
      </w:tr>
      <w:tr w:rsidR="00584EC1" w14:paraId="74DDBA33" w14:textId="77777777">
        <w:trPr>
          <w:hidden/>
        </w:trPr>
        <w:tc>
          <w:tcPr>
            <w:tcW w:w="0" w:type="auto"/>
            <w:gridSpan w:val="3"/>
            <w:shd w:val="clear" w:color="auto" w:fill="auto"/>
            <w:vAlign w:val="bottom"/>
          </w:tcPr>
          <w:p w14:paraId="74DDBA29" w14:textId="77777777" w:rsidR="00584EC1" w:rsidRDefault="00584EC1">
            <w:pPr>
              <w:rPr>
                <w:rFonts w:ascii="宋体"/>
                <w:vanish/>
              </w:rPr>
            </w:pPr>
          </w:p>
        </w:tc>
        <w:tc>
          <w:tcPr>
            <w:tcW w:w="0" w:type="auto"/>
            <w:gridSpan w:val="3"/>
            <w:shd w:val="clear" w:color="auto" w:fill="auto"/>
            <w:vAlign w:val="bottom"/>
          </w:tcPr>
          <w:p w14:paraId="74DDBA2A" w14:textId="77777777" w:rsidR="00584EC1" w:rsidRDefault="00584EC1">
            <w:pPr>
              <w:rPr>
                <w:rFonts w:ascii="宋体"/>
                <w:vanish/>
              </w:rPr>
            </w:pPr>
          </w:p>
        </w:tc>
        <w:tc>
          <w:tcPr>
            <w:tcW w:w="0" w:type="auto"/>
            <w:gridSpan w:val="3"/>
            <w:shd w:val="clear" w:color="auto" w:fill="auto"/>
            <w:vAlign w:val="bottom"/>
          </w:tcPr>
          <w:p w14:paraId="74DDBA2B" w14:textId="77777777" w:rsidR="00584EC1" w:rsidRDefault="00584EC1">
            <w:pPr>
              <w:rPr>
                <w:rFonts w:ascii="宋体"/>
                <w:vanish/>
              </w:rPr>
            </w:pPr>
          </w:p>
        </w:tc>
        <w:tc>
          <w:tcPr>
            <w:tcW w:w="0" w:type="auto"/>
            <w:gridSpan w:val="3"/>
            <w:shd w:val="clear" w:color="auto" w:fill="auto"/>
            <w:vAlign w:val="bottom"/>
          </w:tcPr>
          <w:p w14:paraId="74DDBA2C" w14:textId="77777777" w:rsidR="00584EC1" w:rsidRDefault="00584EC1">
            <w:pPr>
              <w:rPr>
                <w:rFonts w:ascii="宋体"/>
                <w:vanish/>
              </w:rPr>
            </w:pPr>
          </w:p>
        </w:tc>
        <w:tc>
          <w:tcPr>
            <w:tcW w:w="0" w:type="auto"/>
            <w:gridSpan w:val="3"/>
            <w:shd w:val="clear" w:color="auto" w:fill="auto"/>
            <w:vAlign w:val="bottom"/>
          </w:tcPr>
          <w:p w14:paraId="74DDBA2D" w14:textId="77777777" w:rsidR="00584EC1" w:rsidRDefault="00584EC1">
            <w:pPr>
              <w:rPr>
                <w:rFonts w:ascii="宋体"/>
                <w:vanish/>
              </w:rPr>
            </w:pPr>
          </w:p>
        </w:tc>
        <w:tc>
          <w:tcPr>
            <w:tcW w:w="0" w:type="auto"/>
            <w:gridSpan w:val="3"/>
            <w:shd w:val="clear" w:color="auto" w:fill="auto"/>
            <w:vAlign w:val="bottom"/>
          </w:tcPr>
          <w:p w14:paraId="74DDBA2E" w14:textId="77777777" w:rsidR="00584EC1" w:rsidRDefault="00584EC1">
            <w:pPr>
              <w:rPr>
                <w:rFonts w:ascii="宋体"/>
                <w:vanish/>
              </w:rPr>
            </w:pPr>
          </w:p>
        </w:tc>
        <w:tc>
          <w:tcPr>
            <w:tcW w:w="0" w:type="auto"/>
            <w:gridSpan w:val="3"/>
            <w:shd w:val="clear" w:color="auto" w:fill="auto"/>
            <w:vAlign w:val="bottom"/>
          </w:tcPr>
          <w:p w14:paraId="74DDBA2F" w14:textId="77777777" w:rsidR="00584EC1" w:rsidRDefault="00584EC1">
            <w:pPr>
              <w:rPr>
                <w:rFonts w:ascii="宋体"/>
                <w:vanish/>
              </w:rPr>
            </w:pPr>
          </w:p>
        </w:tc>
        <w:tc>
          <w:tcPr>
            <w:tcW w:w="0" w:type="auto"/>
            <w:gridSpan w:val="3"/>
            <w:shd w:val="clear" w:color="auto" w:fill="auto"/>
            <w:vAlign w:val="bottom"/>
          </w:tcPr>
          <w:p w14:paraId="74DDBA30" w14:textId="77777777" w:rsidR="00584EC1" w:rsidRDefault="00584EC1">
            <w:pPr>
              <w:rPr>
                <w:rFonts w:ascii="宋体"/>
                <w:vanish/>
              </w:rPr>
            </w:pPr>
          </w:p>
        </w:tc>
        <w:tc>
          <w:tcPr>
            <w:tcW w:w="0" w:type="auto"/>
            <w:gridSpan w:val="3"/>
            <w:shd w:val="clear" w:color="auto" w:fill="auto"/>
            <w:vAlign w:val="bottom"/>
          </w:tcPr>
          <w:p w14:paraId="74DDBA31" w14:textId="77777777" w:rsidR="00584EC1" w:rsidRDefault="00584EC1">
            <w:pPr>
              <w:rPr>
                <w:rFonts w:ascii="宋体"/>
                <w:vanish/>
              </w:rPr>
            </w:pPr>
          </w:p>
        </w:tc>
        <w:tc>
          <w:tcPr>
            <w:tcW w:w="0" w:type="auto"/>
            <w:gridSpan w:val="3"/>
            <w:shd w:val="clear" w:color="auto" w:fill="auto"/>
            <w:vAlign w:val="bottom"/>
          </w:tcPr>
          <w:p w14:paraId="74DDBA32" w14:textId="77777777" w:rsidR="00584EC1" w:rsidRDefault="00584EC1">
            <w:pPr>
              <w:rPr>
                <w:rFonts w:ascii="宋体"/>
                <w:vanish/>
              </w:rPr>
            </w:pPr>
          </w:p>
        </w:tc>
      </w:tr>
      <w:tr w:rsidR="00584EC1" w14:paraId="74DDBA3E" w14:textId="77777777">
        <w:trPr>
          <w:hidden/>
        </w:trPr>
        <w:tc>
          <w:tcPr>
            <w:tcW w:w="0" w:type="auto"/>
            <w:gridSpan w:val="3"/>
            <w:shd w:val="clear" w:color="auto" w:fill="auto"/>
            <w:vAlign w:val="bottom"/>
          </w:tcPr>
          <w:p w14:paraId="74DDBA34" w14:textId="77777777" w:rsidR="00584EC1" w:rsidRDefault="00584EC1">
            <w:pPr>
              <w:rPr>
                <w:rFonts w:ascii="宋体"/>
                <w:vanish/>
              </w:rPr>
            </w:pPr>
          </w:p>
        </w:tc>
        <w:tc>
          <w:tcPr>
            <w:tcW w:w="0" w:type="auto"/>
            <w:gridSpan w:val="3"/>
            <w:shd w:val="clear" w:color="auto" w:fill="auto"/>
            <w:vAlign w:val="bottom"/>
          </w:tcPr>
          <w:p w14:paraId="74DDBA35" w14:textId="77777777" w:rsidR="00584EC1" w:rsidRDefault="00584EC1">
            <w:pPr>
              <w:rPr>
                <w:rFonts w:ascii="宋体"/>
                <w:vanish/>
              </w:rPr>
            </w:pPr>
          </w:p>
        </w:tc>
        <w:tc>
          <w:tcPr>
            <w:tcW w:w="0" w:type="auto"/>
            <w:gridSpan w:val="3"/>
            <w:shd w:val="clear" w:color="auto" w:fill="auto"/>
            <w:vAlign w:val="bottom"/>
          </w:tcPr>
          <w:p w14:paraId="74DDBA36" w14:textId="77777777" w:rsidR="00584EC1" w:rsidRDefault="00584EC1">
            <w:pPr>
              <w:rPr>
                <w:rFonts w:ascii="宋体"/>
                <w:vanish/>
              </w:rPr>
            </w:pPr>
          </w:p>
        </w:tc>
        <w:tc>
          <w:tcPr>
            <w:tcW w:w="0" w:type="auto"/>
            <w:gridSpan w:val="3"/>
            <w:shd w:val="clear" w:color="auto" w:fill="auto"/>
            <w:vAlign w:val="bottom"/>
          </w:tcPr>
          <w:p w14:paraId="74DDBA37" w14:textId="77777777" w:rsidR="00584EC1" w:rsidRDefault="00584EC1">
            <w:pPr>
              <w:rPr>
                <w:rFonts w:ascii="宋体"/>
                <w:vanish/>
              </w:rPr>
            </w:pPr>
          </w:p>
        </w:tc>
        <w:tc>
          <w:tcPr>
            <w:tcW w:w="0" w:type="auto"/>
            <w:gridSpan w:val="3"/>
            <w:shd w:val="clear" w:color="auto" w:fill="auto"/>
            <w:vAlign w:val="bottom"/>
          </w:tcPr>
          <w:p w14:paraId="74DDBA38" w14:textId="77777777" w:rsidR="00584EC1" w:rsidRDefault="00584EC1">
            <w:pPr>
              <w:rPr>
                <w:rFonts w:ascii="宋体"/>
                <w:vanish/>
              </w:rPr>
            </w:pPr>
          </w:p>
        </w:tc>
        <w:tc>
          <w:tcPr>
            <w:tcW w:w="0" w:type="auto"/>
            <w:gridSpan w:val="3"/>
            <w:shd w:val="clear" w:color="auto" w:fill="auto"/>
            <w:vAlign w:val="bottom"/>
          </w:tcPr>
          <w:p w14:paraId="74DDBA39" w14:textId="77777777" w:rsidR="00584EC1" w:rsidRDefault="00584EC1">
            <w:pPr>
              <w:rPr>
                <w:rFonts w:ascii="宋体"/>
                <w:vanish/>
              </w:rPr>
            </w:pPr>
          </w:p>
        </w:tc>
        <w:tc>
          <w:tcPr>
            <w:tcW w:w="0" w:type="auto"/>
            <w:gridSpan w:val="3"/>
            <w:shd w:val="clear" w:color="auto" w:fill="auto"/>
            <w:vAlign w:val="bottom"/>
          </w:tcPr>
          <w:p w14:paraId="74DDBA3A" w14:textId="77777777" w:rsidR="00584EC1" w:rsidRDefault="00584EC1">
            <w:pPr>
              <w:rPr>
                <w:rFonts w:ascii="宋体"/>
                <w:vanish/>
              </w:rPr>
            </w:pPr>
          </w:p>
        </w:tc>
        <w:tc>
          <w:tcPr>
            <w:tcW w:w="0" w:type="auto"/>
            <w:gridSpan w:val="3"/>
            <w:shd w:val="clear" w:color="auto" w:fill="auto"/>
            <w:vAlign w:val="bottom"/>
          </w:tcPr>
          <w:p w14:paraId="74DDBA3B" w14:textId="77777777" w:rsidR="00584EC1" w:rsidRDefault="00584EC1">
            <w:pPr>
              <w:rPr>
                <w:rFonts w:ascii="宋体"/>
                <w:vanish/>
              </w:rPr>
            </w:pPr>
          </w:p>
        </w:tc>
        <w:tc>
          <w:tcPr>
            <w:tcW w:w="0" w:type="auto"/>
            <w:gridSpan w:val="3"/>
            <w:shd w:val="clear" w:color="auto" w:fill="auto"/>
            <w:vAlign w:val="bottom"/>
          </w:tcPr>
          <w:p w14:paraId="74DDBA3C" w14:textId="77777777" w:rsidR="00584EC1" w:rsidRDefault="00584EC1">
            <w:pPr>
              <w:rPr>
                <w:rFonts w:ascii="宋体"/>
                <w:vanish/>
              </w:rPr>
            </w:pPr>
          </w:p>
        </w:tc>
        <w:tc>
          <w:tcPr>
            <w:tcW w:w="0" w:type="auto"/>
            <w:gridSpan w:val="3"/>
            <w:shd w:val="clear" w:color="auto" w:fill="auto"/>
            <w:vAlign w:val="bottom"/>
          </w:tcPr>
          <w:p w14:paraId="74DDBA3D" w14:textId="77777777" w:rsidR="00584EC1" w:rsidRDefault="00584EC1">
            <w:pPr>
              <w:rPr>
                <w:rFonts w:ascii="宋体"/>
                <w:vanish/>
              </w:rPr>
            </w:pPr>
          </w:p>
        </w:tc>
      </w:tr>
      <w:tr w:rsidR="00584EC1" w14:paraId="74DDBA49" w14:textId="77777777">
        <w:trPr>
          <w:hidden/>
        </w:trPr>
        <w:tc>
          <w:tcPr>
            <w:tcW w:w="0" w:type="auto"/>
            <w:gridSpan w:val="3"/>
            <w:shd w:val="clear" w:color="auto" w:fill="auto"/>
            <w:vAlign w:val="bottom"/>
          </w:tcPr>
          <w:p w14:paraId="74DDBA3F" w14:textId="77777777" w:rsidR="00584EC1" w:rsidRDefault="00584EC1">
            <w:pPr>
              <w:rPr>
                <w:rFonts w:ascii="宋体"/>
                <w:vanish/>
              </w:rPr>
            </w:pPr>
          </w:p>
        </w:tc>
        <w:tc>
          <w:tcPr>
            <w:tcW w:w="0" w:type="auto"/>
            <w:gridSpan w:val="3"/>
            <w:shd w:val="clear" w:color="auto" w:fill="auto"/>
            <w:vAlign w:val="bottom"/>
          </w:tcPr>
          <w:p w14:paraId="74DDBA40" w14:textId="77777777" w:rsidR="00584EC1" w:rsidRDefault="00584EC1">
            <w:pPr>
              <w:rPr>
                <w:rFonts w:ascii="宋体"/>
                <w:vanish/>
              </w:rPr>
            </w:pPr>
          </w:p>
        </w:tc>
        <w:tc>
          <w:tcPr>
            <w:tcW w:w="0" w:type="auto"/>
            <w:gridSpan w:val="3"/>
            <w:shd w:val="clear" w:color="auto" w:fill="auto"/>
            <w:vAlign w:val="bottom"/>
          </w:tcPr>
          <w:p w14:paraId="74DDBA41" w14:textId="77777777" w:rsidR="00584EC1" w:rsidRDefault="00584EC1">
            <w:pPr>
              <w:rPr>
                <w:rFonts w:ascii="宋体"/>
                <w:vanish/>
              </w:rPr>
            </w:pPr>
          </w:p>
        </w:tc>
        <w:tc>
          <w:tcPr>
            <w:tcW w:w="0" w:type="auto"/>
            <w:gridSpan w:val="3"/>
            <w:shd w:val="clear" w:color="auto" w:fill="auto"/>
            <w:vAlign w:val="bottom"/>
          </w:tcPr>
          <w:p w14:paraId="74DDBA42" w14:textId="77777777" w:rsidR="00584EC1" w:rsidRDefault="00584EC1">
            <w:pPr>
              <w:rPr>
                <w:rFonts w:ascii="宋体"/>
                <w:vanish/>
              </w:rPr>
            </w:pPr>
          </w:p>
        </w:tc>
        <w:tc>
          <w:tcPr>
            <w:tcW w:w="0" w:type="auto"/>
            <w:gridSpan w:val="3"/>
            <w:shd w:val="clear" w:color="auto" w:fill="auto"/>
            <w:vAlign w:val="bottom"/>
          </w:tcPr>
          <w:p w14:paraId="74DDBA43" w14:textId="77777777" w:rsidR="00584EC1" w:rsidRDefault="00584EC1">
            <w:pPr>
              <w:rPr>
                <w:rFonts w:ascii="宋体"/>
                <w:vanish/>
              </w:rPr>
            </w:pPr>
          </w:p>
        </w:tc>
        <w:tc>
          <w:tcPr>
            <w:tcW w:w="0" w:type="auto"/>
            <w:gridSpan w:val="3"/>
            <w:shd w:val="clear" w:color="auto" w:fill="auto"/>
            <w:vAlign w:val="bottom"/>
          </w:tcPr>
          <w:p w14:paraId="74DDBA44" w14:textId="77777777" w:rsidR="00584EC1" w:rsidRDefault="00584EC1">
            <w:pPr>
              <w:rPr>
                <w:rFonts w:ascii="宋体"/>
                <w:vanish/>
              </w:rPr>
            </w:pPr>
          </w:p>
        </w:tc>
        <w:tc>
          <w:tcPr>
            <w:tcW w:w="0" w:type="auto"/>
            <w:gridSpan w:val="3"/>
            <w:shd w:val="clear" w:color="auto" w:fill="auto"/>
            <w:vAlign w:val="bottom"/>
          </w:tcPr>
          <w:p w14:paraId="74DDBA45" w14:textId="77777777" w:rsidR="00584EC1" w:rsidRDefault="00584EC1">
            <w:pPr>
              <w:rPr>
                <w:rFonts w:ascii="宋体"/>
                <w:vanish/>
              </w:rPr>
            </w:pPr>
          </w:p>
        </w:tc>
        <w:tc>
          <w:tcPr>
            <w:tcW w:w="0" w:type="auto"/>
            <w:gridSpan w:val="3"/>
            <w:shd w:val="clear" w:color="auto" w:fill="auto"/>
            <w:vAlign w:val="bottom"/>
          </w:tcPr>
          <w:p w14:paraId="74DDBA46" w14:textId="77777777" w:rsidR="00584EC1" w:rsidRDefault="00584EC1">
            <w:pPr>
              <w:rPr>
                <w:rFonts w:ascii="宋体"/>
                <w:vanish/>
              </w:rPr>
            </w:pPr>
          </w:p>
        </w:tc>
        <w:tc>
          <w:tcPr>
            <w:tcW w:w="0" w:type="auto"/>
            <w:gridSpan w:val="3"/>
            <w:shd w:val="clear" w:color="auto" w:fill="auto"/>
            <w:vAlign w:val="bottom"/>
          </w:tcPr>
          <w:p w14:paraId="74DDBA47" w14:textId="77777777" w:rsidR="00584EC1" w:rsidRDefault="00584EC1">
            <w:pPr>
              <w:rPr>
                <w:rFonts w:ascii="宋体"/>
                <w:vanish/>
              </w:rPr>
            </w:pPr>
          </w:p>
        </w:tc>
        <w:tc>
          <w:tcPr>
            <w:tcW w:w="0" w:type="auto"/>
            <w:gridSpan w:val="3"/>
            <w:shd w:val="clear" w:color="auto" w:fill="auto"/>
            <w:vAlign w:val="bottom"/>
          </w:tcPr>
          <w:p w14:paraId="74DDBA48" w14:textId="77777777" w:rsidR="00584EC1" w:rsidRDefault="00584EC1">
            <w:pPr>
              <w:rPr>
                <w:rFonts w:ascii="宋体"/>
                <w:vanish/>
              </w:rPr>
            </w:pPr>
          </w:p>
        </w:tc>
      </w:tr>
      <w:tr w:rsidR="00584EC1" w14:paraId="74DDBA54" w14:textId="77777777">
        <w:trPr>
          <w:hidden/>
        </w:trPr>
        <w:tc>
          <w:tcPr>
            <w:tcW w:w="0" w:type="auto"/>
            <w:gridSpan w:val="3"/>
            <w:shd w:val="clear" w:color="auto" w:fill="auto"/>
            <w:vAlign w:val="bottom"/>
          </w:tcPr>
          <w:p w14:paraId="74DDBA4A" w14:textId="77777777" w:rsidR="00584EC1" w:rsidRDefault="00584EC1">
            <w:pPr>
              <w:rPr>
                <w:rFonts w:ascii="宋体"/>
                <w:vanish/>
              </w:rPr>
            </w:pPr>
          </w:p>
        </w:tc>
        <w:tc>
          <w:tcPr>
            <w:tcW w:w="0" w:type="auto"/>
            <w:gridSpan w:val="3"/>
            <w:shd w:val="clear" w:color="auto" w:fill="auto"/>
            <w:vAlign w:val="bottom"/>
          </w:tcPr>
          <w:p w14:paraId="74DDBA4B" w14:textId="77777777" w:rsidR="00584EC1" w:rsidRDefault="00584EC1">
            <w:pPr>
              <w:rPr>
                <w:rFonts w:ascii="宋体"/>
                <w:vanish/>
              </w:rPr>
            </w:pPr>
          </w:p>
        </w:tc>
        <w:tc>
          <w:tcPr>
            <w:tcW w:w="0" w:type="auto"/>
            <w:gridSpan w:val="3"/>
            <w:shd w:val="clear" w:color="auto" w:fill="auto"/>
            <w:vAlign w:val="bottom"/>
          </w:tcPr>
          <w:p w14:paraId="74DDBA4C" w14:textId="77777777" w:rsidR="00584EC1" w:rsidRDefault="00584EC1">
            <w:pPr>
              <w:rPr>
                <w:rFonts w:ascii="宋体"/>
                <w:vanish/>
              </w:rPr>
            </w:pPr>
          </w:p>
        </w:tc>
        <w:tc>
          <w:tcPr>
            <w:tcW w:w="0" w:type="auto"/>
            <w:gridSpan w:val="3"/>
            <w:shd w:val="clear" w:color="auto" w:fill="auto"/>
            <w:vAlign w:val="bottom"/>
          </w:tcPr>
          <w:p w14:paraId="74DDBA4D" w14:textId="77777777" w:rsidR="00584EC1" w:rsidRDefault="00584EC1">
            <w:pPr>
              <w:rPr>
                <w:rFonts w:ascii="宋体"/>
                <w:vanish/>
              </w:rPr>
            </w:pPr>
          </w:p>
        </w:tc>
        <w:tc>
          <w:tcPr>
            <w:tcW w:w="0" w:type="auto"/>
            <w:gridSpan w:val="3"/>
            <w:shd w:val="clear" w:color="auto" w:fill="auto"/>
            <w:vAlign w:val="bottom"/>
          </w:tcPr>
          <w:p w14:paraId="74DDBA4E" w14:textId="77777777" w:rsidR="00584EC1" w:rsidRDefault="00584EC1">
            <w:pPr>
              <w:rPr>
                <w:rFonts w:ascii="宋体"/>
                <w:vanish/>
              </w:rPr>
            </w:pPr>
          </w:p>
        </w:tc>
        <w:tc>
          <w:tcPr>
            <w:tcW w:w="0" w:type="auto"/>
            <w:gridSpan w:val="3"/>
            <w:shd w:val="clear" w:color="auto" w:fill="auto"/>
            <w:vAlign w:val="bottom"/>
          </w:tcPr>
          <w:p w14:paraId="74DDBA4F" w14:textId="77777777" w:rsidR="00584EC1" w:rsidRDefault="00584EC1">
            <w:pPr>
              <w:rPr>
                <w:rFonts w:ascii="宋体"/>
                <w:vanish/>
              </w:rPr>
            </w:pPr>
          </w:p>
        </w:tc>
        <w:tc>
          <w:tcPr>
            <w:tcW w:w="0" w:type="auto"/>
            <w:gridSpan w:val="3"/>
            <w:shd w:val="clear" w:color="auto" w:fill="auto"/>
            <w:vAlign w:val="bottom"/>
          </w:tcPr>
          <w:p w14:paraId="74DDBA50" w14:textId="77777777" w:rsidR="00584EC1" w:rsidRDefault="00584EC1">
            <w:pPr>
              <w:rPr>
                <w:rFonts w:ascii="宋体"/>
                <w:vanish/>
              </w:rPr>
            </w:pPr>
          </w:p>
        </w:tc>
        <w:tc>
          <w:tcPr>
            <w:tcW w:w="0" w:type="auto"/>
            <w:gridSpan w:val="3"/>
            <w:shd w:val="clear" w:color="auto" w:fill="auto"/>
            <w:vAlign w:val="bottom"/>
          </w:tcPr>
          <w:p w14:paraId="74DDBA51" w14:textId="77777777" w:rsidR="00584EC1" w:rsidRDefault="00584EC1">
            <w:pPr>
              <w:rPr>
                <w:rFonts w:ascii="宋体"/>
                <w:vanish/>
              </w:rPr>
            </w:pPr>
          </w:p>
        </w:tc>
        <w:tc>
          <w:tcPr>
            <w:tcW w:w="0" w:type="auto"/>
            <w:gridSpan w:val="3"/>
            <w:shd w:val="clear" w:color="auto" w:fill="auto"/>
            <w:vAlign w:val="bottom"/>
          </w:tcPr>
          <w:p w14:paraId="74DDBA52" w14:textId="77777777" w:rsidR="00584EC1" w:rsidRDefault="00584EC1">
            <w:pPr>
              <w:rPr>
                <w:rFonts w:ascii="宋体"/>
                <w:vanish/>
              </w:rPr>
            </w:pPr>
          </w:p>
        </w:tc>
        <w:tc>
          <w:tcPr>
            <w:tcW w:w="0" w:type="auto"/>
            <w:gridSpan w:val="3"/>
            <w:shd w:val="clear" w:color="auto" w:fill="auto"/>
            <w:vAlign w:val="bottom"/>
          </w:tcPr>
          <w:p w14:paraId="74DDBA53" w14:textId="77777777" w:rsidR="00584EC1" w:rsidRDefault="00584EC1">
            <w:pPr>
              <w:rPr>
                <w:rFonts w:ascii="宋体"/>
                <w:vanish/>
              </w:rPr>
            </w:pPr>
          </w:p>
        </w:tc>
      </w:tr>
      <w:tr w:rsidR="00584EC1" w14:paraId="74DDBA63" w14:textId="77777777">
        <w:tc>
          <w:tcPr>
            <w:tcW w:w="0" w:type="auto"/>
            <w:gridSpan w:val="3"/>
            <w:shd w:val="clear" w:color="auto" w:fill="FFFFFF"/>
            <w:tcMar>
              <w:top w:w="40" w:type="dxa"/>
              <w:left w:w="740" w:type="dxa"/>
              <w:bottom w:w="40" w:type="dxa"/>
              <w:right w:w="20" w:type="dxa"/>
            </w:tcMar>
            <w:vAlign w:val="bottom"/>
          </w:tcPr>
          <w:p w14:paraId="74DDBA55" w14:textId="77777777" w:rsidR="00584EC1" w:rsidRDefault="00871F8D">
            <w:pPr>
              <w:textAlignment w:val="bottom"/>
            </w:pPr>
            <w:r>
              <w:rPr>
                <w:rFonts w:ascii="Arial" w:eastAsia="宋体" w:hAnsi="Arial" w:cs="Arial"/>
                <w:color w:val="000000"/>
                <w:sz w:val="15"/>
                <w:szCs w:val="15"/>
              </w:rPr>
              <w:t>Total available-for-sale investment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BA56" w14:textId="77777777" w:rsidR="00584EC1" w:rsidRDefault="00871F8D">
            <w:pPr>
              <w:jc w:val="right"/>
              <w:textAlignment w:val="bottom"/>
            </w:pPr>
            <w:r>
              <w:rPr>
                <w:rFonts w:ascii="Arial" w:eastAsia="宋体" w:hAnsi="Arial" w:cs="Arial"/>
                <w:b/>
                <w:bCs/>
                <w:color w:val="000000"/>
                <w:sz w:val="15"/>
                <w:szCs w:val="15"/>
              </w:rPr>
              <w:t>14,339</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BA5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A58"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BA59" w14:textId="77777777" w:rsidR="00584EC1" w:rsidRDefault="00871F8D">
            <w:pPr>
              <w:jc w:val="right"/>
              <w:textAlignment w:val="bottom"/>
            </w:pPr>
            <w:r>
              <w:rPr>
                <w:rFonts w:ascii="Arial" w:eastAsia="宋体" w:hAnsi="Arial" w:cs="Arial"/>
                <w:b/>
                <w:bCs/>
                <w:color w:val="000000"/>
                <w:sz w:val="15"/>
                <w:szCs w:val="15"/>
              </w:rPr>
              <w:t>55,940</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BA5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A5B"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BA5C"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BA5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A5E"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A5F"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A60"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BA61" w14:textId="77777777" w:rsidR="00584EC1" w:rsidRDefault="00871F8D">
            <w:pPr>
              <w:jc w:val="right"/>
              <w:textAlignment w:val="bottom"/>
            </w:pPr>
            <w:r>
              <w:rPr>
                <w:rFonts w:ascii="Arial" w:eastAsia="宋体" w:hAnsi="Arial" w:cs="Arial"/>
                <w:b/>
                <w:bCs/>
                <w:color w:val="000000"/>
                <w:sz w:val="15"/>
                <w:szCs w:val="15"/>
              </w:rPr>
              <w:t>70,279</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BA62" w14:textId="77777777" w:rsidR="00584EC1" w:rsidRDefault="00584EC1">
            <w:pPr>
              <w:jc w:val="right"/>
              <w:rPr>
                <w:rFonts w:ascii="宋体"/>
              </w:rPr>
            </w:pPr>
          </w:p>
        </w:tc>
      </w:tr>
      <w:tr w:rsidR="00584EC1" w14:paraId="74DDBA6E" w14:textId="77777777">
        <w:tc>
          <w:tcPr>
            <w:tcW w:w="0" w:type="auto"/>
            <w:gridSpan w:val="3"/>
            <w:shd w:val="clear" w:color="auto" w:fill="CCEEFF"/>
            <w:tcMar>
              <w:top w:w="40" w:type="dxa"/>
              <w:left w:w="20" w:type="dxa"/>
              <w:bottom w:w="40" w:type="dxa"/>
              <w:right w:w="20" w:type="dxa"/>
            </w:tcMar>
            <w:vAlign w:val="bottom"/>
          </w:tcPr>
          <w:p w14:paraId="74DDBA64" w14:textId="77777777" w:rsidR="00584EC1" w:rsidRDefault="00871F8D">
            <w:pPr>
              <w:textAlignment w:val="bottom"/>
            </w:pPr>
            <w:r>
              <w:rPr>
                <w:rFonts w:ascii="Arial" w:eastAsia="宋体" w:hAnsi="Arial" w:cs="Arial"/>
                <w:color w:val="000000"/>
                <w:sz w:val="15"/>
                <w:szCs w:val="15"/>
              </w:rPr>
              <w:t>Other assets:</w:t>
            </w:r>
          </w:p>
        </w:tc>
        <w:tc>
          <w:tcPr>
            <w:tcW w:w="0" w:type="auto"/>
            <w:gridSpan w:val="3"/>
            <w:shd w:val="clear" w:color="auto" w:fill="CCEEFF"/>
            <w:tcMar>
              <w:top w:w="0" w:type="dxa"/>
              <w:left w:w="20" w:type="dxa"/>
              <w:bottom w:w="0" w:type="dxa"/>
              <w:right w:w="20" w:type="dxa"/>
            </w:tcMar>
            <w:vAlign w:val="bottom"/>
          </w:tcPr>
          <w:p w14:paraId="74DDBA65"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A66"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A67"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A68"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A69"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A6A"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A6B"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A6C"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A6D" w14:textId="77777777" w:rsidR="00584EC1" w:rsidRDefault="00584EC1">
            <w:pPr>
              <w:rPr>
                <w:rFonts w:ascii="宋体"/>
              </w:rPr>
            </w:pPr>
          </w:p>
        </w:tc>
      </w:tr>
      <w:tr w:rsidR="00584EC1" w14:paraId="74DDBA79" w14:textId="77777777">
        <w:tc>
          <w:tcPr>
            <w:tcW w:w="0" w:type="auto"/>
            <w:gridSpan w:val="3"/>
            <w:shd w:val="clear" w:color="auto" w:fill="FFFFFF"/>
            <w:tcMar>
              <w:top w:w="40" w:type="dxa"/>
              <w:left w:w="245" w:type="dxa"/>
              <w:bottom w:w="40" w:type="dxa"/>
              <w:right w:w="20" w:type="dxa"/>
            </w:tcMar>
            <w:vAlign w:val="bottom"/>
          </w:tcPr>
          <w:p w14:paraId="74DDBA6F" w14:textId="77777777" w:rsidR="00584EC1" w:rsidRDefault="00871F8D">
            <w:pPr>
              <w:textAlignment w:val="bottom"/>
            </w:pPr>
            <w:r>
              <w:rPr>
                <w:rFonts w:ascii="Arial" w:eastAsia="宋体" w:hAnsi="Arial" w:cs="Arial"/>
                <w:color w:val="000000"/>
                <w:sz w:val="15"/>
                <w:szCs w:val="15"/>
              </w:rPr>
              <w:t>Derivative instruments:</w:t>
            </w:r>
          </w:p>
        </w:tc>
        <w:tc>
          <w:tcPr>
            <w:tcW w:w="0" w:type="auto"/>
            <w:gridSpan w:val="3"/>
            <w:shd w:val="clear" w:color="auto" w:fill="FFFFFF"/>
            <w:tcMar>
              <w:top w:w="0" w:type="dxa"/>
              <w:left w:w="20" w:type="dxa"/>
              <w:bottom w:w="0" w:type="dxa"/>
              <w:right w:w="20" w:type="dxa"/>
            </w:tcMar>
            <w:vAlign w:val="bottom"/>
          </w:tcPr>
          <w:p w14:paraId="74DDBA70"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A71"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A7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A73"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A74"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A75"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A76"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A77"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A78" w14:textId="77777777" w:rsidR="00584EC1" w:rsidRDefault="00584EC1">
            <w:pPr>
              <w:rPr>
                <w:rFonts w:ascii="宋体"/>
              </w:rPr>
            </w:pPr>
          </w:p>
        </w:tc>
      </w:tr>
      <w:tr w:rsidR="00584EC1" w14:paraId="74DDBA8A" w14:textId="77777777">
        <w:tc>
          <w:tcPr>
            <w:tcW w:w="0" w:type="auto"/>
            <w:gridSpan w:val="3"/>
            <w:shd w:val="clear" w:color="auto" w:fill="CCEEFF"/>
            <w:tcMar>
              <w:top w:w="40" w:type="dxa"/>
              <w:left w:w="515" w:type="dxa"/>
              <w:bottom w:w="40" w:type="dxa"/>
              <w:right w:w="20" w:type="dxa"/>
            </w:tcMar>
            <w:vAlign w:val="bottom"/>
          </w:tcPr>
          <w:p w14:paraId="74DDBA7A" w14:textId="77777777" w:rsidR="00584EC1" w:rsidRDefault="00871F8D">
            <w:pPr>
              <w:textAlignment w:val="bottom"/>
            </w:pPr>
            <w:r>
              <w:rPr>
                <w:rFonts w:ascii="Arial" w:eastAsia="宋体" w:hAnsi="Arial" w:cs="Arial"/>
                <w:color w:val="000000"/>
                <w:sz w:val="15"/>
                <w:szCs w:val="15"/>
              </w:rPr>
              <w:t>Foreign exchange contracts</w:t>
            </w:r>
          </w:p>
        </w:tc>
        <w:tc>
          <w:tcPr>
            <w:tcW w:w="0" w:type="auto"/>
            <w:gridSpan w:val="2"/>
            <w:shd w:val="clear" w:color="auto" w:fill="CCEEFF"/>
            <w:tcMar>
              <w:top w:w="40" w:type="dxa"/>
              <w:left w:w="20" w:type="dxa"/>
              <w:bottom w:w="40" w:type="dxa"/>
              <w:right w:w="0" w:type="dxa"/>
            </w:tcMar>
            <w:vAlign w:val="bottom"/>
          </w:tcPr>
          <w:p w14:paraId="74DDBA7B"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BA7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A7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A7E" w14:textId="77777777" w:rsidR="00584EC1" w:rsidRDefault="00871F8D">
            <w:pPr>
              <w:jc w:val="right"/>
              <w:textAlignment w:val="bottom"/>
            </w:pPr>
            <w:r>
              <w:rPr>
                <w:rFonts w:ascii="Arial" w:eastAsia="宋体" w:hAnsi="Arial" w:cs="Arial"/>
                <w:b/>
                <w:bCs/>
                <w:color w:val="000000"/>
                <w:sz w:val="15"/>
                <w:szCs w:val="15"/>
              </w:rPr>
              <w:t>16,451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BA7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A8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A81" w14:textId="77777777" w:rsidR="00584EC1" w:rsidRDefault="00871F8D">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BA8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A83"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BA84" w14:textId="77777777" w:rsidR="00584EC1" w:rsidRDefault="00871F8D">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4DDBA85" w14:textId="77777777" w:rsidR="00584EC1" w:rsidRDefault="00871F8D">
            <w:pPr>
              <w:jc w:val="right"/>
              <w:textAlignment w:val="bottom"/>
            </w:pPr>
            <w:r>
              <w:rPr>
                <w:rFonts w:ascii="Arial" w:eastAsia="宋体" w:hAnsi="Arial" w:cs="Arial"/>
                <w:b/>
                <w:bCs/>
                <w:color w:val="000000"/>
                <w:sz w:val="15"/>
                <w:szCs w:val="15"/>
              </w:rPr>
              <w:t>(8,892)</w:t>
            </w:r>
          </w:p>
        </w:tc>
        <w:tc>
          <w:tcPr>
            <w:tcW w:w="0" w:type="auto"/>
            <w:shd w:val="clear" w:color="auto" w:fill="CCEEFF"/>
            <w:tcMar>
              <w:top w:w="40" w:type="dxa"/>
              <w:left w:w="0" w:type="dxa"/>
              <w:bottom w:w="40" w:type="dxa"/>
              <w:right w:w="20" w:type="dxa"/>
            </w:tcMar>
            <w:vAlign w:val="bottom"/>
          </w:tcPr>
          <w:p w14:paraId="74DDBA8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A8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A88" w14:textId="77777777" w:rsidR="00584EC1" w:rsidRDefault="00871F8D">
            <w:pPr>
              <w:jc w:val="right"/>
              <w:textAlignment w:val="bottom"/>
            </w:pPr>
            <w:r>
              <w:rPr>
                <w:rFonts w:ascii="Arial" w:eastAsia="宋体" w:hAnsi="Arial" w:cs="Arial"/>
                <w:b/>
                <w:bCs/>
                <w:color w:val="000000"/>
                <w:sz w:val="15"/>
                <w:szCs w:val="15"/>
              </w:rPr>
              <w:t>7,561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BA89" w14:textId="77777777" w:rsidR="00584EC1" w:rsidRDefault="00584EC1">
            <w:pPr>
              <w:jc w:val="right"/>
              <w:rPr>
                <w:rFonts w:ascii="宋体"/>
              </w:rPr>
            </w:pPr>
          </w:p>
        </w:tc>
      </w:tr>
      <w:tr w:rsidR="00584EC1" w14:paraId="74DDBA9A" w14:textId="77777777">
        <w:tc>
          <w:tcPr>
            <w:tcW w:w="0" w:type="auto"/>
            <w:gridSpan w:val="3"/>
            <w:shd w:val="clear" w:color="auto" w:fill="FFFFFF"/>
            <w:tcMar>
              <w:top w:w="40" w:type="dxa"/>
              <w:left w:w="515" w:type="dxa"/>
              <w:bottom w:w="40" w:type="dxa"/>
              <w:right w:w="20" w:type="dxa"/>
            </w:tcMar>
            <w:vAlign w:val="bottom"/>
          </w:tcPr>
          <w:p w14:paraId="74DDBA8B" w14:textId="77777777" w:rsidR="00584EC1" w:rsidRDefault="00871F8D">
            <w:pPr>
              <w:textAlignment w:val="bottom"/>
            </w:pPr>
            <w:r>
              <w:rPr>
                <w:rFonts w:ascii="Arial" w:eastAsia="宋体" w:hAnsi="Arial" w:cs="Arial"/>
                <w:color w:val="000000"/>
                <w:sz w:val="15"/>
                <w:szCs w:val="15"/>
              </w:rPr>
              <w:t>Interest rate contracts</w:t>
            </w:r>
          </w:p>
        </w:tc>
        <w:tc>
          <w:tcPr>
            <w:tcW w:w="0" w:type="auto"/>
            <w:gridSpan w:val="2"/>
            <w:shd w:val="clear" w:color="auto" w:fill="FFFFFF"/>
            <w:tcMar>
              <w:top w:w="40" w:type="dxa"/>
              <w:left w:w="20" w:type="dxa"/>
              <w:bottom w:w="40" w:type="dxa"/>
              <w:right w:w="0" w:type="dxa"/>
            </w:tcMar>
            <w:vAlign w:val="bottom"/>
          </w:tcPr>
          <w:p w14:paraId="74DDBA8C" w14:textId="77777777" w:rsidR="00584EC1" w:rsidRDefault="00871F8D">
            <w:pPr>
              <w:jc w:val="right"/>
              <w:textAlignment w:val="bottom"/>
            </w:pPr>
            <w:r>
              <w:rPr>
                <w:rFonts w:ascii="Arial" w:eastAsia="宋体" w:hAnsi="Arial" w:cs="Arial"/>
                <w:b/>
                <w:bCs/>
                <w:color w:val="000000"/>
                <w:sz w:val="15"/>
                <w:szCs w:val="15"/>
              </w:rPr>
              <w:t>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BA8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A8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A8F"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BA9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A9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A92"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BA9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A9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A95"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BA9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A9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A98" w14:textId="77777777" w:rsidR="00584EC1" w:rsidRDefault="00871F8D">
            <w:pPr>
              <w:jc w:val="right"/>
              <w:textAlignment w:val="bottom"/>
            </w:pPr>
            <w:r>
              <w:rPr>
                <w:rFonts w:ascii="Arial" w:eastAsia="宋体" w:hAnsi="Arial" w:cs="Arial"/>
                <w:b/>
                <w:bCs/>
                <w:color w:val="000000"/>
                <w:sz w:val="15"/>
                <w:szCs w:val="15"/>
              </w:rPr>
              <w:t>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BA99" w14:textId="77777777" w:rsidR="00584EC1" w:rsidRDefault="00584EC1">
            <w:pPr>
              <w:jc w:val="right"/>
              <w:rPr>
                <w:rFonts w:ascii="宋体"/>
              </w:rPr>
            </w:pPr>
          </w:p>
        </w:tc>
      </w:tr>
      <w:tr w:rsidR="00584EC1" w14:paraId="74DDBAA5" w14:textId="77777777">
        <w:trPr>
          <w:hidden/>
        </w:trPr>
        <w:tc>
          <w:tcPr>
            <w:tcW w:w="0" w:type="auto"/>
            <w:gridSpan w:val="3"/>
            <w:shd w:val="clear" w:color="auto" w:fill="auto"/>
            <w:vAlign w:val="bottom"/>
          </w:tcPr>
          <w:p w14:paraId="74DDBA9B" w14:textId="77777777" w:rsidR="00584EC1" w:rsidRDefault="00584EC1">
            <w:pPr>
              <w:rPr>
                <w:rFonts w:ascii="宋体"/>
                <w:vanish/>
              </w:rPr>
            </w:pPr>
          </w:p>
        </w:tc>
        <w:tc>
          <w:tcPr>
            <w:tcW w:w="0" w:type="auto"/>
            <w:gridSpan w:val="3"/>
            <w:shd w:val="clear" w:color="auto" w:fill="auto"/>
            <w:vAlign w:val="bottom"/>
          </w:tcPr>
          <w:p w14:paraId="74DDBA9C" w14:textId="77777777" w:rsidR="00584EC1" w:rsidRDefault="00584EC1">
            <w:pPr>
              <w:rPr>
                <w:rFonts w:ascii="宋体"/>
                <w:vanish/>
              </w:rPr>
            </w:pPr>
          </w:p>
        </w:tc>
        <w:tc>
          <w:tcPr>
            <w:tcW w:w="0" w:type="auto"/>
            <w:gridSpan w:val="3"/>
            <w:shd w:val="clear" w:color="auto" w:fill="auto"/>
            <w:vAlign w:val="bottom"/>
          </w:tcPr>
          <w:p w14:paraId="74DDBA9D" w14:textId="77777777" w:rsidR="00584EC1" w:rsidRDefault="00584EC1">
            <w:pPr>
              <w:rPr>
                <w:rFonts w:ascii="宋体"/>
                <w:vanish/>
              </w:rPr>
            </w:pPr>
          </w:p>
        </w:tc>
        <w:tc>
          <w:tcPr>
            <w:tcW w:w="0" w:type="auto"/>
            <w:gridSpan w:val="3"/>
            <w:shd w:val="clear" w:color="auto" w:fill="auto"/>
            <w:vAlign w:val="bottom"/>
          </w:tcPr>
          <w:p w14:paraId="74DDBA9E" w14:textId="77777777" w:rsidR="00584EC1" w:rsidRDefault="00584EC1">
            <w:pPr>
              <w:rPr>
                <w:rFonts w:ascii="宋体"/>
                <w:vanish/>
              </w:rPr>
            </w:pPr>
          </w:p>
        </w:tc>
        <w:tc>
          <w:tcPr>
            <w:tcW w:w="0" w:type="auto"/>
            <w:gridSpan w:val="3"/>
            <w:shd w:val="clear" w:color="auto" w:fill="auto"/>
            <w:vAlign w:val="bottom"/>
          </w:tcPr>
          <w:p w14:paraId="74DDBA9F" w14:textId="77777777" w:rsidR="00584EC1" w:rsidRDefault="00584EC1">
            <w:pPr>
              <w:rPr>
                <w:rFonts w:ascii="宋体"/>
                <w:vanish/>
              </w:rPr>
            </w:pPr>
          </w:p>
        </w:tc>
        <w:tc>
          <w:tcPr>
            <w:tcW w:w="0" w:type="auto"/>
            <w:gridSpan w:val="3"/>
            <w:shd w:val="clear" w:color="auto" w:fill="auto"/>
            <w:vAlign w:val="bottom"/>
          </w:tcPr>
          <w:p w14:paraId="74DDBAA0" w14:textId="77777777" w:rsidR="00584EC1" w:rsidRDefault="00584EC1">
            <w:pPr>
              <w:rPr>
                <w:rFonts w:ascii="宋体"/>
                <w:vanish/>
              </w:rPr>
            </w:pPr>
          </w:p>
        </w:tc>
        <w:tc>
          <w:tcPr>
            <w:tcW w:w="0" w:type="auto"/>
            <w:gridSpan w:val="3"/>
            <w:shd w:val="clear" w:color="auto" w:fill="auto"/>
            <w:vAlign w:val="bottom"/>
          </w:tcPr>
          <w:p w14:paraId="74DDBAA1" w14:textId="77777777" w:rsidR="00584EC1" w:rsidRDefault="00584EC1">
            <w:pPr>
              <w:rPr>
                <w:rFonts w:ascii="宋体"/>
                <w:vanish/>
              </w:rPr>
            </w:pPr>
          </w:p>
        </w:tc>
        <w:tc>
          <w:tcPr>
            <w:tcW w:w="0" w:type="auto"/>
            <w:gridSpan w:val="3"/>
            <w:shd w:val="clear" w:color="auto" w:fill="auto"/>
            <w:vAlign w:val="bottom"/>
          </w:tcPr>
          <w:p w14:paraId="74DDBAA2" w14:textId="77777777" w:rsidR="00584EC1" w:rsidRDefault="00584EC1">
            <w:pPr>
              <w:rPr>
                <w:rFonts w:ascii="宋体"/>
                <w:vanish/>
              </w:rPr>
            </w:pPr>
          </w:p>
        </w:tc>
        <w:tc>
          <w:tcPr>
            <w:tcW w:w="0" w:type="auto"/>
            <w:gridSpan w:val="3"/>
            <w:shd w:val="clear" w:color="auto" w:fill="auto"/>
            <w:vAlign w:val="bottom"/>
          </w:tcPr>
          <w:p w14:paraId="74DDBAA3" w14:textId="77777777" w:rsidR="00584EC1" w:rsidRDefault="00584EC1">
            <w:pPr>
              <w:rPr>
                <w:rFonts w:ascii="宋体"/>
                <w:vanish/>
              </w:rPr>
            </w:pPr>
          </w:p>
        </w:tc>
        <w:tc>
          <w:tcPr>
            <w:tcW w:w="0" w:type="auto"/>
            <w:gridSpan w:val="3"/>
            <w:shd w:val="clear" w:color="auto" w:fill="auto"/>
            <w:vAlign w:val="bottom"/>
          </w:tcPr>
          <w:p w14:paraId="74DDBAA4" w14:textId="77777777" w:rsidR="00584EC1" w:rsidRDefault="00584EC1">
            <w:pPr>
              <w:rPr>
                <w:rFonts w:ascii="宋体"/>
                <w:vanish/>
              </w:rPr>
            </w:pPr>
          </w:p>
        </w:tc>
      </w:tr>
      <w:tr w:rsidR="00584EC1" w14:paraId="74DDBAB5" w14:textId="77777777">
        <w:tc>
          <w:tcPr>
            <w:tcW w:w="0" w:type="auto"/>
            <w:gridSpan w:val="3"/>
            <w:shd w:val="clear" w:color="auto" w:fill="CCEEFF"/>
            <w:tcMar>
              <w:top w:w="40" w:type="dxa"/>
              <w:left w:w="740" w:type="dxa"/>
              <w:bottom w:w="40" w:type="dxa"/>
              <w:right w:w="20" w:type="dxa"/>
            </w:tcMar>
            <w:vAlign w:val="bottom"/>
          </w:tcPr>
          <w:p w14:paraId="74DDBAA6" w14:textId="77777777" w:rsidR="00584EC1" w:rsidRDefault="00871F8D">
            <w:pPr>
              <w:textAlignment w:val="bottom"/>
            </w:pPr>
            <w:r>
              <w:rPr>
                <w:rFonts w:ascii="Arial" w:eastAsia="宋体" w:hAnsi="Arial" w:cs="Arial"/>
                <w:color w:val="000000"/>
                <w:sz w:val="15"/>
                <w:szCs w:val="15"/>
              </w:rPr>
              <w:t>Total derivative instruments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BAA7" w14:textId="77777777" w:rsidR="00584EC1" w:rsidRDefault="00871F8D">
            <w:pPr>
              <w:jc w:val="right"/>
              <w:textAlignment w:val="bottom"/>
            </w:pPr>
            <w:r>
              <w:rPr>
                <w:rFonts w:ascii="Arial" w:eastAsia="宋体" w:hAnsi="Arial" w:cs="Arial"/>
                <w:b/>
                <w:bCs/>
                <w:color w:val="000000"/>
                <w:sz w:val="15"/>
                <w:szCs w:val="15"/>
              </w:rPr>
              <w:t>4</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BAA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AA9"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BAAA" w14:textId="77777777" w:rsidR="00584EC1" w:rsidRDefault="00871F8D">
            <w:pPr>
              <w:jc w:val="right"/>
              <w:textAlignment w:val="bottom"/>
            </w:pPr>
            <w:r>
              <w:rPr>
                <w:rFonts w:ascii="Arial" w:eastAsia="宋体" w:hAnsi="Arial" w:cs="Arial"/>
                <w:b/>
                <w:bCs/>
                <w:color w:val="000000"/>
                <w:sz w:val="15"/>
                <w:szCs w:val="15"/>
              </w:rPr>
              <w:t>16,451</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BAA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AAC"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BAAD" w14:textId="77777777" w:rsidR="00584EC1" w:rsidRDefault="00871F8D">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BAA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AAF"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BAB0" w14:textId="77777777" w:rsidR="00584EC1" w:rsidRDefault="00871F8D">
            <w:pPr>
              <w:jc w:val="right"/>
              <w:textAlignment w:val="bottom"/>
            </w:pPr>
            <w:r>
              <w:rPr>
                <w:rFonts w:ascii="Arial" w:eastAsia="宋体" w:hAnsi="Arial" w:cs="Arial"/>
                <w:b/>
                <w:bCs/>
                <w:color w:val="000000"/>
                <w:sz w:val="15"/>
                <w:szCs w:val="15"/>
              </w:rPr>
              <w:t>(8,892)</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BAB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AB2"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BAB3" w14:textId="77777777" w:rsidR="00584EC1" w:rsidRDefault="00871F8D">
            <w:pPr>
              <w:jc w:val="right"/>
              <w:textAlignment w:val="bottom"/>
            </w:pPr>
            <w:r>
              <w:rPr>
                <w:rFonts w:ascii="Arial" w:eastAsia="宋体" w:hAnsi="Arial" w:cs="Arial"/>
                <w:b/>
                <w:bCs/>
                <w:color w:val="000000"/>
                <w:sz w:val="15"/>
                <w:szCs w:val="15"/>
              </w:rPr>
              <w:t>7,565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BAB4" w14:textId="77777777" w:rsidR="00584EC1" w:rsidRDefault="00584EC1">
            <w:pPr>
              <w:jc w:val="right"/>
              <w:rPr>
                <w:rFonts w:ascii="宋体"/>
              </w:rPr>
            </w:pPr>
          </w:p>
        </w:tc>
      </w:tr>
      <w:tr w:rsidR="00584EC1" w14:paraId="74DDBAC0" w14:textId="77777777">
        <w:trPr>
          <w:hidden/>
        </w:trPr>
        <w:tc>
          <w:tcPr>
            <w:tcW w:w="0" w:type="auto"/>
            <w:gridSpan w:val="3"/>
            <w:shd w:val="clear" w:color="auto" w:fill="auto"/>
            <w:vAlign w:val="bottom"/>
          </w:tcPr>
          <w:p w14:paraId="74DDBAB6" w14:textId="77777777" w:rsidR="00584EC1" w:rsidRDefault="00584EC1">
            <w:pPr>
              <w:rPr>
                <w:rFonts w:ascii="宋体"/>
                <w:vanish/>
              </w:rPr>
            </w:pPr>
          </w:p>
        </w:tc>
        <w:tc>
          <w:tcPr>
            <w:tcW w:w="0" w:type="auto"/>
            <w:gridSpan w:val="3"/>
            <w:shd w:val="clear" w:color="auto" w:fill="auto"/>
            <w:vAlign w:val="bottom"/>
          </w:tcPr>
          <w:p w14:paraId="74DDBAB7" w14:textId="77777777" w:rsidR="00584EC1" w:rsidRDefault="00584EC1">
            <w:pPr>
              <w:rPr>
                <w:rFonts w:ascii="宋体"/>
                <w:vanish/>
              </w:rPr>
            </w:pPr>
          </w:p>
        </w:tc>
        <w:tc>
          <w:tcPr>
            <w:tcW w:w="0" w:type="auto"/>
            <w:gridSpan w:val="3"/>
            <w:shd w:val="clear" w:color="auto" w:fill="auto"/>
            <w:vAlign w:val="bottom"/>
          </w:tcPr>
          <w:p w14:paraId="74DDBAB8" w14:textId="77777777" w:rsidR="00584EC1" w:rsidRDefault="00584EC1">
            <w:pPr>
              <w:rPr>
                <w:rFonts w:ascii="宋体"/>
                <w:vanish/>
              </w:rPr>
            </w:pPr>
          </w:p>
        </w:tc>
        <w:tc>
          <w:tcPr>
            <w:tcW w:w="0" w:type="auto"/>
            <w:gridSpan w:val="3"/>
            <w:shd w:val="clear" w:color="auto" w:fill="auto"/>
            <w:vAlign w:val="bottom"/>
          </w:tcPr>
          <w:p w14:paraId="74DDBAB9" w14:textId="77777777" w:rsidR="00584EC1" w:rsidRDefault="00584EC1">
            <w:pPr>
              <w:rPr>
                <w:rFonts w:ascii="宋体"/>
                <w:vanish/>
              </w:rPr>
            </w:pPr>
          </w:p>
        </w:tc>
        <w:tc>
          <w:tcPr>
            <w:tcW w:w="0" w:type="auto"/>
            <w:gridSpan w:val="3"/>
            <w:shd w:val="clear" w:color="auto" w:fill="auto"/>
            <w:vAlign w:val="bottom"/>
          </w:tcPr>
          <w:p w14:paraId="74DDBABA" w14:textId="77777777" w:rsidR="00584EC1" w:rsidRDefault="00584EC1">
            <w:pPr>
              <w:rPr>
                <w:rFonts w:ascii="宋体"/>
                <w:vanish/>
              </w:rPr>
            </w:pPr>
          </w:p>
        </w:tc>
        <w:tc>
          <w:tcPr>
            <w:tcW w:w="0" w:type="auto"/>
            <w:gridSpan w:val="3"/>
            <w:shd w:val="clear" w:color="auto" w:fill="auto"/>
            <w:vAlign w:val="bottom"/>
          </w:tcPr>
          <w:p w14:paraId="74DDBABB" w14:textId="77777777" w:rsidR="00584EC1" w:rsidRDefault="00584EC1">
            <w:pPr>
              <w:rPr>
                <w:rFonts w:ascii="宋体"/>
                <w:vanish/>
              </w:rPr>
            </w:pPr>
          </w:p>
        </w:tc>
        <w:tc>
          <w:tcPr>
            <w:tcW w:w="0" w:type="auto"/>
            <w:gridSpan w:val="3"/>
            <w:shd w:val="clear" w:color="auto" w:fill="auto"/>
            <w:vAlign w:val="bottom"/>
          </w:tcPr>
          <w:p w14:paraId="74DDBABC" w14:textId="77777777" w:rsidR="00584EC1" w:rsidRDefault="00584EC1">
            <w:pPr>
              <w:rPr>
                <w:rFonts w:ascii="宋体"/>
                <w:vanish/>
              </w:rPr>
            </w:pPr>
          </w:p>
        </w:tc>
        <w:tc>
          <w:tcPr>
            <w:tcW w:w="0" w:type="auto"/>
            <w:gridSpan w:val="3"/>
            <w:shd w:val="clear" w:color="auto" w:fill="auto"/>
            <w:vAlign w:val="bottom"/>
          </w:tcPr>
          <w:p w14:paraId="74DDBABD" w14:textId="77777777" w:rsidR="00584EC1" w:rsidRDefault="00584EC1">
            <w:pPr>
              <w:rPr>
                <w:rFonts w:ascii="宋体"/>
                <w:vanish/>
              </w:rPr>
            </w:pPr>
          </w:p>
        </w:tc>
        <w:tc>
          <w:tcPr>
            <w:tcW w:w="0" w:type="auto"/>
            <w:gridSpan w:val="3"/>
            <w:shd w:val="clear" w:color="auto" w:fill="auto"/>
            <w:vAlign w:val="bottom"/>
          </w:tcPr>
          <w:p w14:paraId="74DDBABE" w14:textId="77777777" w:rsidR="00584EC1" w:rsidRDefault="00584EC1">
            <w:pPr>
              <w:rPr>
                <w:rFonts w:ascii="宋体"/>
                <w:vanish/>
              </w:rPr>
            </w:pPr>
          </w:p>
        </w:tc>
        <w:tc>
          <w:tcPr>
            <w:tcW w:w="0" w:type="auto"/>
            <w:gridSpan w:val="3"/>
            <w:shd w:val="clear" w:color="auto" w:fill="auto"/>
            <w:vAlign w:val="bottom"/>
          </w:tcPr>
          <w:p w14:paraId="74DDBABF" w14:textId="77777777" w:rsidR="00584EC1" w:rsidRDefault="00584EC1">
            <w:pPr>
              <w:rPr>
                <w:rFonts w:ascii="宋体"/>
                <w:vanish/>
              </w:rPr>
            </w:pPr>
          </w:p>
        </w:tc>
      </w:tr>
      <w:tr w:rsidR="00584EC1" w14:paraId="74DDBACB" w14:textId="77777777">
        <w:trPr>
          <w:hidden/>
        </w:trPr>
        <w:tc>
          <w:tcPr>
            <w:tcW w:w="0" w:type="auto"/>
            <w:gridSpan w:val="3"/>
            <w:shd w:val="clear" w:color="auto" w:fill="auto"/>
            <w:vAlign w:val="bottom"/>
          </w:tcPr>
          <w:p w14:paraId="74DDBAC1" w14:textId="77777777" w:rsidR="00584EC1" w:rsidRDefault="00584EC1">
            <w:pPr>
              <w:rPr>
                <w:rFonts w:ascii="宋体"/>
                <w:vanish/>
              </w:rPr>
            </w:pPr>
          </w:p>
        </w:tc>
        <w:tc>
          <w:tcPr>
            <w:tcW w:w="0" w:type="auto"/>
            <w:gridSpan w:val="3"/>
            <w:shd w:val="clear" w:color="auto" w:fill="auto"/>
            <w:vAlign w:val="bottom"/>
          </w:tcPr>
          <w:p w14:paraId="74DDBAC2" w14:textId="77777777" w:rsidR="00584EC1" w:rsidRDefault="00584EC1">
            <w:pPr>
              <w:rPr>
                <w:rFonts w:ascii="宋体"/>
                <w:vanish/>
              </w:rPr>
            </w:pPr>
          </w:p>
        </w:tc>
        <w:tc>
          <w:tcPr>
            <w:tcW w:w="0" w:type="auto"/>
            <w:gridSpan w:val="3"/>
            <w:shd w:val="clear" w:color="auto" w:fill="auto"/>
            <w:vAlign w:val="bottom"/>
          </w:tcPr>
          <w:p w14:paraId="74DDBAC3" w14:textId="77777777" w:rsidR="00584EC1" w:rsidRDefault="00584EC1">
            <w:pPr>
              <w:rPr>
                <w:rFonts w:ascii="宋体"/>
                <w:vanish/>
              </w:rPr>
            </w:pPr>
          </w:p>
        </w:tc>
        <w:tc>
          <w:tcPr>
            <w:tcW w:w="0" w:type="auto"/>
            <w:gridSpan w:val="3"/>
            <w:shd w:val="clear" w:color="auto" w:fill="auto"/>
            <w:vAlign w:val="bottom"/>
          </w:tcPr>
          <w:p w14:paraId="74DDBAC4" w14:textId="77777777" w:rsidR="00584EC1" w:rsidRDefault="00584EC1">
            <w:pPr>
              <w:rPr>
                <w:rFonts w:ascii="宋体"/>
                <w:vanish/>
              </w:rPr>
            </w:pPr>
          </w:p>
        </w:tc>
        <w:tc>
          <w:tcPr>
            <w:tcW w:w="0" w:type="auto"/>
            <w:gridSpan w:val="3"/>
            <w:shd w:val="clear" w:color="auto" w:fill="auto"/>
            <w:vAlign w:val="bottom"/>
          </w:tcPr>
          <w:p w14:paraId="74DDBAC5" w14:textId="77777777" w:rsidR="00584EC1" w:rsidRDefault="00584EC1">
            <w:pPr>
              <w:rPr>
                <w:rFonts w:ascii="宋体"/>
                <w:vanish/>
              </w:rPr>
            </w:pPr>
          </w:p>
        </w:tc>
        <w:tc>
          <w:tcPr>
            <w:tcW w:w="0" w:type="auto"/>
            <w:gridSpan w:val="3"/>
            <w:shd w:val="clear" w:color="auto" w:fill="auto"/>
            <w:vAlign w:val="bottom"/>
          </w:tcPr>
          <w:p w14:paraId="74DDBAC6" w14:textId="77777777" w:rsidR="00584EC1" w:rsidRDefault="00584EC1">
            <w:pPr>
              <w:rPr>
                <w:rFonts w:ascii="宋体"/>
                <w:vanish/>
              </w:rPr>
            </w:pPr>
          </w:p>
        </w:tc>
        <w:tc>
          <w:tcPr>
            <w:tcW w:w="0" w:type="auto"/>
            <w:gridSpan w:val="3"/>
            <w:shd w:val="clear" w:color="auto" w:fill="auto"/>
            <w:vAlign w:val="bottom"/>
          </w:tcPr>
          <w:p w14:paraId="74DDBAC7" w14:textId="77777777" w:rsidR="00584EC1" w:rsidRDefault="00584EC1">
            <w:pPr>
              <w:rPr>
                <w:rFonts w:ascii="宋体"/>
                <w:vanish/>
              </w:rPr>
            </w:pPr>
          </w:p>
        </w:tc>
        <w:tc>
          <w:tcPr>
            <w:tcW w:w="0" w:type="auto"/>
            <w:gridSpan w:val="3"/>
            <w:shd w:val="clear" w:color="auto" w:fill="auto"/>
            <w:vAlign w:val="bottom"/>
          </w:tcPr>
          <w:p w14:paraId="74DDBAC8" w14:textId="77777777" w:rsidR="00584EC1" w:rsidRDefault="00584EC1">
            <w:pPr>
              <w:rPr>
                <w:rFonts w:ascii="宋体"/>
                <w:vanish/>
              </w:rPr>
            </w:pPr>
          </w:p>
        </w:tc>
        <w:tc>
          <w:tcPr>
            <w:tcW w:w="0" w:type="auto"/>
            <w:gridSpan w:val="3"/>
            <w:shd w:val="clear" w:color="auto" w:fill="auto"/>
            <w:vAlign w:val="bottom"/>
          </w:tcPr>
          <w:p w14:paraId="74DDBAC9" w14:textId="77777777" w:rsidR="00584EC1" w:rsidRDefault="00584EC1">
            <w:pPr>
              <w:rPr>
                <w:rFonts w:ascii="宋体"/>
                <w:vanish/>
              </w:rPr>
            </w:pPr>
          </w:p>
        </w:tc>
        <w:tc>
          <w:tcPr>
            <w:tcW w:w="0" w:type="auto"/>
            <w:gridSpan w:val="3"/>
            <w:shd w:val="clear" w:color="auto" w:fill="auto"/>
            <w:vAlign w:val="bottom"/>
          </w:tcPr>
          <w:p w14:paraId="74DDBACA" w14:textId="77777777" w:rsidR="00584EC1" w:rsidRDefault="00584EC1">
            <w:pPr>
              <w:rPr>
                <w:rFonts w:ascii="宋体"/>
                <w:vanish/>
              </w:rPr>
            </w:pPr>
          </w:p>
        </w:tc>
      </w:tr>
      <w:tr w:rsidR="00584EC1" w14:paraId="74DDBADB" w14:textId="77777777">
        <w:tc>
          <w:tcPr>
            <w:tcW w:w="0" w:type="auto"/>
            <w:gridSpan w:val="3"/>
            <w:shd w:val="clear" w:color="auto" w:fill="FFFFFF"/>
            <w:tcMar>
              <w:top w:w="40" w:type="dxa"/>
              <w:left w:w="245" w:type="dxa"/>
              <w:bottom w:w="40" w:type="dxa"/>
              <w:right w:w="20" w:type="dxa"/>
            </w:tcMar>
            <w:vAlign w:val="bottom"/>
          </w:tcPr>
          <w:p w14:paraId="74DDBACC" w14:textId="77777777" w:rsidR="00584EC1" w:rsidRDefault="00871F8D">
            <w:pPr>
              <w:textAlignment w:val="bottom"/>
            </w:pPr>
            <w:r>
              <w:rPr>
                <w:rFonts w:ascii="Arial" w:eastAsia="宋体" w:hAnsi="Arial" w:cs="Arial"/>
                <w:color w:val="000000"/>
                <w:sz w:val="15"/>
                <w:szCs w:val="15"/>
              </w:rPr>
              <w:t>Other</w:t>
            </w:r>
          </w:p>
        </w:tc>
        <w:tc>
          <w:tcPr>
            <w:tcW w:w="0" w:type="auto"/>
            <w:gridSpan w:val="2"/>
            <w:shd w:val="clear" w:color="auto" w:fill="FFFFFF"/>
            <w:tcMar>
              <w:top w:w="40" w:type="dxa"/>
              <w:left w:w="20" w:type="dxa"/>
              <w:bottom w:w="40" w:type="dxa"/>
              <w:right w:w="0" w:type="dxa"/>
            </w:tcMar>
            <w:vAlign w:val="bottom"/>
          </w:tcPr>
          <w:p w14:paraId="74DDBACD"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BAC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AC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AD0" w14:textId="77777777" w:rsidR="00584EC1" w:rsidRDefault="00871F8D">
            <w:pPr>
              <w:jc w:val="right"/>
              <w:textAlignment w:val="bottom"/>
            </w:pPr>
            <w:r>
              <w:rPr>
                <w:rFonts w:ascii="Arial" w:eastAsia="宋体" w:hAnsi="Arial" w:cs="Arial"/>
                <w:b/>
                <w:bCs/>
                <w:color w:val="000000"/>
                <w:sz w:val="15"/>
                <w:szCs w:val="15"/>
              </w:rPr>
              <w:t>652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BAD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AD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AD3"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BAD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AD5"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AD6"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BAD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AD8"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AD9" w14:textId="77777777" w:rsidR="00584EC1" w:rsidRDefault="00871F8D">
            <w:pPr>
              <w:jc w:val="right"/>
              <w:textAlignment w:val="bottom"/>
            </w:pPr>
            <w:r>
              <w:rPr>
                <w:rFonts w:ascii="Arial" w:eastAsia="宋体" w:hAnsi="Arial" w:cs="Arial"/>
                <w:b/>
                <w:bCs/>
                <w:color w:val="000000"/>
                <w:sz w:val="15"/>
                <w:szCs w:val="15"/>
              </w:rPr>
              <w:t>652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BADA" w14:textId="77777777" w:rsidR="00584EC1" w:rsidRDefault="00584EC1">
            <w:pPr>
              <w:jc w:val="right"/>
              <w:rPr>
                <w:rFonts w:ascii="宋体"/>
              </w:rPr>
            </w:pPr>
          </w:p>
        </w:tc>
      </w:tr>
      <w:tr w:rsidR="00584EC1" w14:paraId="74DDBAF0" w14:textId="77777777">
        <w:tc>
          <w:tcPr>
            <w:tcW w:w="0" w:type="auto"/>
            <w:gridSpan w:val="3"/>
            <w:shd w:val="clear" w:color="auto" w:fill="CCEEFF"/>
            <w:tcMar>
              <w:top w:w="40" w:type="dxa"/>
              <w:left w:w="20" w:type="dxa"/>
              <w:bottom w:w="40" w:type="dxa"/>
              <w:right w:w="20" w:type="dxa"/>
            </w:tcMar>
            <w:vAlign w:val="bottom"/>
          </w:tcPr>
          <w:p w14:paraId="74DDBADC" w14:textId="77777777" w:rsidR="00584EC1" w:rsidRDefault="00871F8D">
            <w:pPr>
              <w:textAlignment w:val="bottom"/>
            </w:pPr>
            <w:r>
              <w:rPr>
                <w:rFonts w:ascii="Arial" w:eastAsia="宋体" w:hAnsi="Arial" w:cs="Arial"/>
                <w:color w:val="000000"/>
                <w:sz w:val="15"/>
                <w:szCs w:val="15"/>
              </w:rPr>
              <w:t>Total assets carried at fair value</w:t>
            </w:r>
          </w:p>
        </w:tc>
        <w:tc>
          <w:tcPr>
            <w:tcW w:w="0" w:type="auto"/>
            <w:tcBorders>
              <w:top w:val="single" w:sz="8" w:space="0" w:color="000000"/>
            </w:tcBorders>
            <w:shd w:val="clear" w:color="auto" w:fill="CCEEFF"/>
            <w:tcMar>
              <w:top w:w="40" w:type="dxa"/>
              <w:left w:w="20" w:type="dxa"/>
              <w:bottom w:w="40" w:type="dxa"/>
              <w:right w:w="0" w:type="dxa"/>
            </w:tcMar>
            <w:vAlign w:val="bottom"/>
          </w:tcPr>
          <w:p w14:paraId="74DDBADD" w14:textId="77777777" w:rsidR="00584EC1" w:rsidRDefault="00871F8D">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BADE" w14:textId="77777777" w:rsidR="00584EC1" w:rsidRDefault="00871F8D">
            <w:pPr>
              <w:jc w:val="right"/>
              <w:textAlignment w:val="bottom"/>
            </w:pPr>
            <w:r>
              <w:rPr>
                <w:rFonts w:ascii="Arial" w:eastAsia="宋体" w:hAnsi="Arial" w:cs="Arial"/>
                <w:b/>
                <w:bCs/>
                <w:color w:val="000000"/>
                <w:sz w:val="15"/>
                <w:szCs w:val="15"/>
              </w:rPr>
              <w:t>14,383</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BAD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AE0"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BAE1" w14:textId="77777777" w:rsidR="00584EC1" w:rsidRDefault="00871F8D">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BAE2" w14:textId="77777777" w:rsidR="00584EC1" w:rsidRDefault="00871F8D">
            <w:pPr>
              <w:jc w:val="right"/>
              <w:textAlignment w:val="bottom"/>
            </w:pPr>
            <w:r>
              <w:rPr>
                <w:rFonts w:ascii="Arial" w:eastAsia="宋体" w:hAnsi="Arial" w:cs="Arial"/>
                <w:b/>
                <w:bCs/>
                <w:color w:val="000000"/>
                <w:sz w:val="15"/>
                <w:szCs w:val="15"/>
              </w:rPr>
              <w:t>73,723</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BAE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AE4"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BAE5" w14:textId="77777777" w:rsidR="00584EC1" w:rsidRDefault="00871F8D">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BAE6" w14:textId="77777777" w:rsidR="00584EC1" w:rsidRDefault="00871F8D">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BAE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AE8"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BAE9" w14:textId="77777777" w:rsidR="00584EC1" w:rsidRDefault="00871F8D">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BAEA" w14:textId="77777777" w:rsidR="00584EC1" w:rsidRDefault="00871F8D">
            <w:pPr>
              <w:jc w:val="right"/>
              <w:textAlignment w:val="bottom"/>
            </w:pPr>
            <w:r>
              <w:rPr>
                <w:rFonts w:ascii="Arial" w:eastAsia="宋体" w:hAnsi="Arial" w:cs="Arial"/>
                <w:b/>
                <w:bCs/>
                <w:color w:val="000000"/>
                <w:sz w:val="15"/>
                <w:szCs w:val="15"/>
              </w:rPr>
              <w:t>(8,892)</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BAE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AEC"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BAED" w14:textId="77777777" w:rsidR="00584EC1" w:rsidRDefault="00871F8D">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BAEE" w14:textId="77777777" w:rsidR="00584EC1" w:rsidRDefault="00871F8D">
            <w:pPr>
              <w:jc w:val="right"/>
              <w:textAlignment w:val="bottom"/>
            </w:pPr>
            <w:r>
              <w:rPr>
                <w:rFonts w:ascii="Arial" w:eastAsia="宋体" w:hAnsi="Arial" w:cs="Arial"/>
                <w:b/>
                <w:bCs/>
                <w:color w:val="000000"/>
                <w:sz w:val="15"/>
                <w:szCs w:val="15"/>
              </w:rPr>
              <w:t>79,216</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BAEF" w14:textId="77777777" w:rsidR="00584EC1" w:rsidRDefault="00584EC1">
            <w:pPr>
              <w:jc w:val="right"/>
              <w:rPr>
                <w:rFonts w:ascii="宋体"/>
              </w:rPr>
            </w:pPr>
          </w:p>
        </w:tc>
      </w:tr>
      <w:tr w:rsidR="00584EC1" w14:paraId="74DDBAFB" w14:textId="77777777">
        <w:tc>
          <w:tcPr>
            <w:tcW w:w="0" w:type="auto"/>
            <w:gridSpan w:val="3"/>
            <w:shd w:val="clear" w:color="auto" w:fill="FFFFFF"/>
            <w:tcMar>
              <w:top w:w="40" w:type="dxa"/>
              <w:left w:w="20" w:type="dxa"/>
              <w:bottom w:w="40" w:type="dxa"/>
              <w:right w:w="20" w:type="dxa"/>
            </w:tcMar>
            <w:vAlign w:val="bottom"/>
          </w:tcPr>
          <w:p w14:paraId="74DDBAF1" w14:textId="77777777" w:rsidR="00584EC1" w:rsidRDefault="00871F8D">
            <w:pPr>
              <w:textAlignment w:val="bottom"/>
            </w:pPr>
            <w:r>
              <w:rPr>
                <w:rFonts w:ascii="Arial" w:eastAsia="宋体" w:hAnsi="Arial" w:cs="Arial"/>
                <w:b/>
                <w:bCs/>
                <w:color w:val="000000"/>
                <w:sz w:val="15"/>
                <w:szCs w:val="15"/>
              </w:rPr>
              <w:t>Liabilities:</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BAF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AF3"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BAF4"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AF5"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BAF6"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AF7"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BAF8"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AF9"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BAFA" w14:textId="77777777" w:rsidR="00584EC1" w:rsidRDefault="00584EC1">
            <w:pPr>
              <w:rPr>
                <w:rFonts w:ascii="宋体"/>
              </w:rPr>
            </w:pPr>
          </w:p>
        </w:tc>
      </w:tr>
      <w:tr w:rsidR="00584EC1" w14:paraId="74DDBB06" w14:textId="77777777">
        <w:tc>
          <w:tcPr>
            <w:tcW w:w="0" w:type="auto"/>
            <w:gridSpan w:val="3"/>
            <w:shd w:val="clear" w:color="auto" w:fill="CCEEFF"/>
            <w:tcMar>
              <w:top w:w="40" w:type="dxa"/>
              <w:left w:w="20" w:type="dxa"/>
              <w:bottom w:w="40" w:type="dxa"/>
              <w:right w:w="20" w:type="dxa"/>
            </w:tcMar>
            <w:vAlign w:val="bottom"/>
          </w:tcPr>
          <w:p w14:paraId="74DDBAFC" w14:textId="77777777" w:rsidR="00584EC1" w:rsidRDefault="00871F8D">
            <w:pPr>
              <w:textAlignment w:val="bottom"/>
            </w:pPr>
            <w:r>
              <w:rPr>
                <w:rFonts w:ascii="Arial" w:eastAsia="宋体" w:hAnsi="Arial" w:cs="Arial"/>
                <w:color w:val="000000"/>
                <w:sz w:val="15"/>
                <w:szCs w:val="15"/>
              </w:rPr>
              <w:t xml:space="preserve">Accrued expenses and other </w:t>
            </w:r>
            <w:r>
              <w:rPr>
                <w:rFonts w:ascii="Arial" w:eastAsia="宋体" w:hAnsi="Arial" w:cs="Arial"/>
                <w:color w:val="000000"/>
                <w:sz w:val="15"/>
                <w:szCs w:val="15"/>
              </w:rPr>
              <w:t>liabilities:</w:t>
            </w:r>
          </w:p>
        </w:tc>
        <w:tc>
          <w:tcPr>
            <w:tcW w:w="0" w:type="auto"/>
            <w:gridSpan w:val="3"/>
            <w:shd w:val="clear" w:color="auto" w:fill="CCEEFF"/>
            <w:tcMar>
              <w:top w:w="0" w:type="dxa"/>
              <w:left w:w="20" w:type="dxa"/>
              <w:bottom w:w="0" w:type="dxa"/>
              <w:right w:w="20" w:type="dxa"/>
            </w:tcMar>
            <w:vAlign w:val="bottom"/>
          </w:tcPr>
          <w:p w14:paraId="74DDBAFD"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AFE"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AFF"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B00"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B01"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B02"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B03"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B04"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B05" w14:textId="77777777" w:rsidR="00584EC1" w:rsidRDefault="00584EC1">
            <w:pPr>
              <w:rPr>
                <w:rFonts w:ascii="宋体"/>
              </w:rPr>
            </w:pPr>
          </w:p>
        </w:tc>
      </w:tr>
      <w:tr w:rsidR="00584EC1" w14:paraId="74DDBB11" w14:textId="77777777">
        <w:trPr>
          <w:hidden/>
        </w:trPr>
        <w:tc>
          <w:tcPr>
            <w:tcW w:w="0" w:type="auto"/>
            <w:gridSpan w:val="3"/>
            <w:shd w:val="clear" w:color="auto" w:fill="auto"/>
            <w:vAlign w:val="bottom"/>
          </w:tcPr>
          <w:p w14:paraId="74DDBB07" w14:textId="77777777" w:rsidR="00584EC1" w:rsidRDefault="00584EC1">
            <w:pPr>
              <w:rPr>
                <w:rFonts w:ascii="宋体"/>
                <w:vanish/>
              </w:rPr>
            </w:pPr>
          </w:p>
        </w:tc>
        <w:tc>
          <w:tcPr>
            <w:tcW w:w="0" w:type="auto"/>
            <w:gridSpan w:val="3"/>
            <w:shd w:val="clear" w:color="auto" w:fill="auto"/>
            <w:vAlign w:val="bottom"/>
          </w:tcPr>
          <w:p w14:paraId="74DDBB08" w14:textId="77777777" w:rsidR="00584EC1" w:rsidRDefault="00584EC1">
            <w:pPr>
              <w:rPr>
                <w:rFonts w:ascii="宋体"/>
                <w:vanish/>
              </w:rPr>
            </w:pPr>
          </w:p>
        </w:tc>
        <w:tc>
          <w:tcPr>
            <w:tcW w:w="0" w:type="auto"/>
            <w:gridSpan w:val="3"/>
            <w:shd w:val="clear" w:color="auto" w:fill="auto"/>
            <w:vAlign w:val="bottom"/>
          </w:tcPr>
          <w:p w14:paraId="74DDBB09" w14:textId="77777777" w:rsidR="00584EC1" w:rsidRDefault="00584EC1">
            <w:pPr>
              <w:rPr>
                <w:rFonts w:ascii="宋体"/>
                <w:vanish/>
              </w:rPr>
            </w:pPr>
          </w:p>
        </w:tc>
        <w:tc>
          <w:tcPr>
            <w:tcW w:w="0" w:type="auto"/>
            <w:gridSpan w:val="3"/>
            <w:shd w:val="clear" w:color="auto" w:fill="auto"/>
            <w:vAlign w:val="bottom"/>
          </w:tcPr>
          <w:p w14:paraId="74DDBB0A" w14:textId="77777777" w:rsidR="00584EC1" w:rsidRDefault="00584EC1">
            <w:pPr>
              <w:rPr>
                <w:rFonts w:ascii="宋体"/>
                <w:vanish/>
              </w:rPr>
            </w:pPr>
          </w:p>
        </w:tc>
        <w:tc>
          <w:tcPr>
            <w:tcW w:w="0" w:type="auto"/>
            <w:gridSpan w:val="3"/>
            <w:shd w:val="clear" w:color="auto" w:fill="auto"/>
            <w:vAlign w:val="bottom"/>
          </w:tcPr>
          <w:p w14:paraId="74DDBB0B" w14:textId="77777777" w:rsidR="00584EC1" w:rsidRDefault="00584EC1">
            <w:pPr>
              <w:rPr>
                <w:rFonts w:ascii="宋体"/>
                <w:vanish/>
              </w:rPr>
            </w:pPr>
          </w:p>
        </w:tc>
        <w:tc>
          <w:tcPr>
            <w:tcW w:w="0" w:type="auto"/>
            <w:gridSpan w:val="3"/>
            <w:shd w:val="clear" w:color="auto" w:fill="auto"/>
            <w:vAlign w:val="bottom"/>
          </w:tcPr>
          <w:p w14:paraId="74DDBB0C" w14:textId="77777777" w:rsidR="00584EC1" w:rsidRDefault="00584EC1">
            <w:pPr>
              <w:rPr>
                <w:rFonts w:ascii="宋体"/>
                <w:vanish/>
              </w:rPr>
            </w:pPr>
          </w:p>
        </w:tc>
        <w:tc>
          <w:tcPr>
            <w:tcW w:w="0" w:type="auto"/>
            <w:gridSpan w:val="3"/>
            <w:shd w:val="clear" w:color="auto" w:fill="auto"/>
            <w:vAlign w:val="bottom"/>
          </w:tcPr>
          <w:p w14:paraId="74DDBB0D" w14:textId="77777777" w:rsidR="00584EC1" w:rsidRDefault="00584EC1">
            <w:pPr>
              <w:rPr>
                <w:rFonts w:ascii="宋体"/>
                <w:vanish/>
              </w:rPr>
            </w:pPr>
          </w:p>
        </w:tc>
        <w:tc>
          <w:tcPr>
            <w:tcW w:w="0" w:type="auto"/>
            <w:gridSpan w:val="3"/>
            <w:shd w:val="clear" w:color="auto" w:fill="auto"/>
            <w:vAlign w:val="bottom"/>
          </w:tcPr>
          <w:p w14:paraId="74DDBB0E" w14:textId="77777777" w:rsidR="00584EC1" w:rsidRDefault="00584EC1">
            <w:pPr>
              <w:rPr>
                <w:rFonts w:ascii="宋体"/>
                <w:vanish/>
              </w:rPr>
            </w:pPr>
          </w:p>
        </w:tc>
        <w:tc>
          <w:tcPr>
            <w:tcW w:w="0" w:type="auto"/>
            <w:gridSpan w:val="3"/>
            <w:shd w:val="clear" w:color="auto" w:fill="auto"/>
            <w:vAlign w:val="bottom"/>
          </w:tcPr>
          <w:p w14:paraId="74DDBB0F" w14:textId="77777777" w:rsidR="00584EC1" w:rsidRDefault="00584EC1">
            <w:pPr>
              <w:rPr>
                <w:rFonts w:ascii="宋体"/>
                <w:vanish/>
              </w:rPr>
            </w:pPr>
          </w:p>
        </w:tc>
        <w:tc>
          <w:tcPr>
            <w:tcW w:w="0" w:type="auto"/>
            <w:gridSpan w:val="3"/>
            <w:shd w:val="clear" w:color="auto" w:fill="auto"/>
            <w:vAlign w:val="bottom"/>
          </w:tcPr>
          <w:p w14:paraId="74DDBB10" w14:textId="77777777" w:rsidR="00584EC1" w:rsidRDefault="00584EC1">
            <w:pPr>
              <w:rPr>
                <w:rFonts w:ascii="宋体"/>
                <w:vanish/>
              </w:rPr>
            </w:pPr>
          </w:p>
        </w:tc>
      </w:tr>
      <w:tr w:rsidR="00584EC1" w14:paraId="74DDBB1C" w14:textId="77777777">
        <w:trPr>
          <w:hidden/>
        </w:trPr>
        <w:tc>
          <w:tcPr>
            <w:tcW w:w="0" w:type="auto"/>
            <w:gridSpan w:val="3"/>
            <w:shd w:val="clear" w:color="auto" w:fill="auto"/>
            <w:vAlign w:val="bottom"/>
          </w:tcPr>
          <w:p w14:paraId="74DDBB12" w14:textId="77777777" w:rsidR="00584EC1" w:rsidRDefault="00584EC1">
            <w:pPr>
              <w:rPr>
                <w:rFonts w:ascii="宋体"/>
                <w:vanish/>
              </w:rPr>
            </w:pPr>
          </w:p>
        </w:tc>
        <w:tc>
          <w:tcPr>
            <w:tcW w:w="0" w:type="auto"/>
            <w:gridSpan w:val="3"/>
            <w:shd w:val="clear" w:color="auto" w:fill="auto"/>
            <w:vAlign w:val="bottom"/>
          </w:tcPr>
          <w:p w14:paraId="74DDBB13" w14:textId="77777777" w:rsidR="00584EC1" w:rsidRDefault="00584EC1">
            <w:pPr>
              <w:rPr>
                <w:rFonts w:ascii="宋体"/>
                <w:vanish/>
              </w:rPr>
            </w:pPr>
          </w:p>
        </w:tc>
        <w:tc>
          <w:tcPr>
            <w:tcW w:w="0" w:type="auto"/>
            <w:gridSpan w:val="3"/>
            <w:shd w:val="clear" w:color="auto" w:fill="auto"/>
            <w:vAlign w:val="bottom"/>
          </w:tcPr>
          <w:p w14:paraId="74DDBB14" w14:textId="77777777" w:rsidR="00584EC1" w:rsidRDefault="00584EC1">
            <w:pPr>
              <w:rPr>
                <w:rFonts w:ascii="宋体"/>
                <w:vanish/>
              </w:rPr>
            </w:pPr>
          </w:p>
        </w:tc>
        <w:tc>
          <w:tcPr>
            <w:tcW w:w="0" w:type="auto"/>
            <w:gridSpan w:val="3"/>
            <w:shd w:val="clear" w:color="auto" w:fill="auto"/>
            <w:vAlign w:val="bottom"/>
          </w:tcPr>
          <w:p w14:paraId="74DDBB15" w14:textId="77777777" w:rsidR="00584EC1" w:rsidRDefault="00584EC1">
            <w:pPr>
              <w:rPr>
                <w:rFonts w:ascii="宋体"/>
                <w:vanish/>
              </w:rPr>
            </w:pPr>
          </w:p>
        </w:tc>
        <w:tc>
          <w:tcPr>
            <w:tcW w:w="0" w:type="auto"/>
            <w:gridSpan w:val="3"/>
            <w:shd w:val="clear" w:color="auto" w:fill="auto"/>
            <w:vAlign w:val="bottom"/>
          </w:tcPr>
          <w:p w14:paraId="74DDBB16" w14:textId="77777777" w:rsidR="00584EC1" w:rsidRDefault="00584EC1">
            <w:pPr>
              <w:rPr>
                <w:rFonts w:ascii="宋体"/>
                <w:vanish/>
              </w:rPr>
            </w:pPr>
          </w:p>
        </w:tc>
        <w:tc>
          <w:tcPr>
            <w:tcW w:w="0" w:type="auto"/>
            <w:gridSpan w:val="3"/>
            <w:shd w:val="clear" w:color="auto" w:fill="auto"/>
            <w:vAlign w:val="bottom"/>
          </w:tcPr>
          <w:p w14:paraId="74DDBB17" w14:textId="77777777" w:rsidR="00584EC1" w:rsidRDefault="00584EC1">
            <w:pPr>
              <w:rPr>
                <w:rFonts w:ascii="宋体"/>
                <w:vanish/>
              </w:rPr>
            </w:pPr>
          </w:p>
        </w:tc>
        <w:tc>
          <w:tcPr>
            <w:tcW w:w="0" w:type="auto"/>
            <w:gridSpan w:val="3"/>
            <w:shd w:val="clear" w:color="auto" w:fill="auto"/>
            <w:vAlign w:val="bottom"/>
          </w:tcPr>
          <w:p w14:paraId="74DDBB18" w14:textId="77777777" w:rsidR="00584EC1" w:rsidRDefault="00584EC1">
            <w:pPr>
              <w:rPr>
                <w:rFonts w:ascii="宋体"/>
                <w:vanish/>
              </w:rPr>
            </w:pPr>
          </w:p>
        </w:tc>
        <w:tc>
          <w:tcPr>
            <w:tcW w:w="0" w:type="auto"/>
            <w:gridSpan w:val="3"/>
            <w:shd w:val="clear" w:color="auto" w:fill="auto"/>
            <w:vAlign w:val="bottom"/>
          </w:tcPr>
          <w:p w14:paraId="74DDBB19" w14:textId="77777777" w:rsidR="00584EC1" w:rsidRDefault="00584EC1">
            <w:pPr>
              <w:rPr>
                <w:rFonts w:ascii="宋体"/>
                <w:vanish/>
              </w:rPr>
            </w:pPr>
          </w:p>
        </w:tc>
        <w:tc>
          <w:tcPr>
            <w:tcW w:w="0" w:type="auto"/>
            <w:gridSpan w:val="3"/>
            <w:shd w:val="clear" w:color="auto" w:fill="auto"/>
            <w:vAlign w:val="bottom"/>
          </w:tcPr>
          <w:p w14:paraId="74DDBB1A" w14:textId="77777777" w:rsidR="00584EC1" w:rsidRDefault="00584EC1">
            <w:pPr>
              <w:rPr>
                <w:rFonts w:ascii="宋体"/>
                <w:vanish/>
              </w:rPr>
            </w:pPr>
          </w:p>
        </w:tc>
        <w:tc>
          <w:tcPr>
            <w:tcW w:w="0" w:type="auto"/>
            <w:gridSpan w:val="3"/>
            <w:shd w:val="clear" w:color="auto" w:fill="auto"/>
            <w:vAlign w:val="bottom"/>
          </w:tcPr>
          <w:p w14:paraId="74DDBB1B" w14:textId="77777777" w:rsidR="00584EC1" w:rsidRDefault="00584EC1">
            <w:pPr>
              <w:rPr>
                <w:rFonts w:ascii="宋体"/>
                <w:vanish/>
              </w:rPr>
            </w:pPr>
          </w:p>
        </w:tc>
      </w:tr>
      <w:tr w:rsidR="00584EC1" w14:paraId="74DDBB27" w14:textId="77777777">
        <w:trPr>
          <w:hidden/>
        </w:trPr>
        <w:tc>
          <w:tcPr>
            <w:tcW w:w="0" w:type="auto"/>
            <w:gridSpan w:val="3"/>
            <w:shd w:val="clear" w:color="auto" w:fill="auto"/>
            <w:vAlign w:val="bottom"/>
          </w:tcPr>
          <w:p w14:paraId="74DDBB1D" w14:textId="77777777" w:rsidR="00584EC1" w:rsidRDefault="00584EC1">
            <w:pPr>
              <w:rPr>
                <w:rFonts w:ascii="宋体"/>
                <w:vanish/>
              </w:rPr>
            </w:pPr>
          </w:p>
        </w:tc>
        <w:tc>
          <w:tcPr>
            <w:tcW w:w="0" w:type="auto"/>
            <w:gridSpan w:val="3"/>
            <w:shd w:val="clear" w:color="auto" w:fill="auto"/>
            <w:vAlign w:val="bottom"/>
          </w:tcPr>
          <w:p w14:paraId="74DDBB1E" w14:textId="77777777" w:rsidR="00584EC1" w:rsidRDefault="00584EC1">
            <w:pPr>
              <w:rPr>
                <w:rFonts w:ascii="宋体"/>
                <w:vanish/>
              </w:rPr>
            </w:pPr>
          </w:p>
        </w:tc>
        <w:tc>
          <w:tcPr>
            <w:tcW w:w="0" w:type="auto"/>
            <w:gridSpan w:val="3"/>
            <w:shd w:val="clear" w:color="auto" w:fill="auto"/>
            <w:vAlign w:val="bottom"/>
          </w:tcPr>
          <w:p w14:paraId="74DDBB1F" w14:textId="77777777" w:rsidR="00584EC1" w:rsidRDefault="00584EC1">
            <w:pPr>
              <w:rPr>
                <w:rFonts w:ascii="宋体"/>
                <w:vanish/>
              </w:rPr>
            </w:pPr>
          </w:p>
        </w:tc>
        <w:tc>
          <w:tcPr>
            <w:tcW w:w="0" w:type="auto"/>
            <w:gridSpan w:val="3"/>
            <w:shd w:val="clear" w:color="auto" w:fill="auto"/>
            <w:vAlign w:val="bottom"/>
          </w:tcPr>
          <w:p w14:paraId="74DDBB20" w14:textId="77777777" w:rsidR="00584EC1" w:rsidRDefault="00584EC1">
            <w:pPr>
              <w:rPr>
                <w:rFonts w:ascii="宋体"/>
                <w:vanish/>
              </w:rPr>
            </w:pPr>
          </w:p>
        </w:tc>
        <w:tc>
          <w:tcPr>
            <w:tcW w:w="0" w:type="auto"/>
            <w:gridSpan w:val="3"/>
            <w:shd w:val="clear" w:color="auto" w:fill="auto"/>
            <w:vAlign w:val="bottom"/>
          </w:tcPr>
          <w:p w14:paraId="74DDBB21" w14:textId="77777777" w:rsidR="00584EC1" w:rsidRDefault="00584EC1">
            <w:pPr>
              <w:rPr>
                <w:rFonts w:ascii="宋体"/>
                <w:vanish/>
              </w:rPr>
            </w:pPr>
          </w:p>
        </w:tc>
        <w:tc>
          <w:tcPr>
            <w:tcW w:w="0" w:type="auto"/>
            <w:gridSpan w:val="3"/>
            <w:shd w:val="clear" w:color="auto" w:fill="auto"/>
            <w:vAlign w:val="bottom"/>
          </w:tcPr>
          <w:p w14:paraId="74DDBB22" w14:textId="77777777" w:rsidR="00584EC1" w:rsidRDefault="00584EC1">
            <w:pPr>
              <w:rPr>
                <w:rFonts w:ascii="宋体"/>
                <w:vanish/>
              </w:rPr>
            </w:pPr>
          </w:p>
        </w:tc>
        <w:tc>
          <w:tcPr>
            <w:tcW w:w="0" w:type="auto"/>
            <w:gridSpan w:val="3"/>
            <w:shd w:val="clear" w:color="auto" w:fill="auto"/>
            <w:vAlign w:val="bottom"/>
          </w:tcPr>
          <w:p w14:paraId="74DDBB23" w14:textId="77777777" w:rsidR="00584EC1" w:rsidRDefault="00584EC1">
            <w:pPr>
              <w:rPr>
                <w:rFonts w:ascii="宋体"/>
                <w:vanish/>
              </w:rPr>
            </w:pPr>
          </w:p>
        </w:tc>
        <w:tc>
          <w:tcPr>
            <w:tcW w:w="0" w:type="auto"/>
            <w:gridSpan w:val="3"/>
            <w:shd w:val="clear" w:color="auto" w:fill="auto"/>
            <w:vAlign w:val="bottom"/>
          </w:tcPr>
          <w:p w14:paraId="74DDBB24" w14:textId="77777777" w:rsidR="00584EC1" w:rsidRDefault="00584EC1">
            <w:pPr>
              <w:rPr>
                <w:rFonts w:ascii="宋体"/>
                <w:vanish/>
              </w:rPr>
            </w:pPr>
          </w:p>
        </w:tc>
        <w:tc>
          <w:tcPr>
            <w:tcW w:w="0" w:type="auto"/>
            <w:gridSpan w:val="3"/>
            <w:shd w:val="clear" w:color="auto" w:fill="auto"/>
            <w:vAlign w:val="bottom"/>
          </w:tcPr>
          <w:p w14:paraId="74DDBB25" w14:textId="77777777" w:rsidR="00584EC1" w:rsidRDefault="00584EC1">
            <w:pPr>
              <w:rPr>
                <w:rFonts w:ascii="宋体"/>
                <w:vanish/>
              </w:rPr>
            </w:pPr>
          </w:p>
        </w:tc>
        <w:tc>
          <w:tcPr>
            <w:tcW w:w="0" w:type="auto"/>
            <w:gridSpan w:val="3"/>
            <w:shd w:val="clear" w:color="auto" w:fill="auto"/>
            <w:vAlign w:val="bottom"/>
          </w:tcPr>
          <w:p w14:paraId="74DDBB26" w14:textId="77777777" w:rsidR="00584EC1" w:rsidRDefault="00584EC1">
            <w:pPr>
              <w:rPr>
                <w:rFonts w:ascii="宋体"/>
                <w:vanish/>
              </w:rPr>
            </w:pPr>
          </w:p>
        </w:tc>
      </w:tr>
      <w:tr w:rsidR="00584EC1" w14:paraId="74DDBB32" w14:textId="77777777">
        <w:trPr>
          <w:hidden/>
        </w:trPr>
        <w:tc>
          <w:tcPr>
            <w:tcW w:w="0" w:type="auto"/>
            <w:gridSpan w:val="3"/>
            <w:shd w:val="clear" w:color="auto" w:fill="auto"/>
            <w:vAlign w:val="bottom"/>
          </w:tcPr>
          <w:p w14:paraId="74DDBB28" w14:textId="77777777" w:rsidR="00584EC1" w:rsidRDefault="00584EC1">
            <w:pPr>
              <w:rPr>
                <w:rFonts w:ascii="宋体"/>
                <w:vanish/>
              </w:rPr>
            </w:pPr>
          </w:p>
        </w:tc>
        <w:tc>
          <w:tcPr>
            <w:tcW w:w="0" w:type="auto"/>
            <w:gridSpan w:val="3"/>
            <w:shd w:val="clear" w:color="auto" w:fill="auto"/>
            <w:vAlign w:val="bottom"/>
          </w:tcPr>
          <w:p w14:paraId="74DDBB29" w14:textId="77777777" w:rsidR="00584EC1" w:rsidRDefault="00584EC1">
            <w:pPr>
              <w:rPr>
                <w:rFonts w:ascii="宋体"/>
                <w:vanish/>
              </w:rPr>
            </w:pPr>
          </w:p>
        </w:tc>
        <w:tc>
          <w:tcPr>
            <w:tcW w:w="0" w:type="auto"/>
            <w:gridSpan w:val="3"/>
            <w:shd w:val="clear" w:color="auto" w:fill="auto"/>
            <w:vAlign w:val="bottom"/>
          </w:tcPr>
          <w:p w14:paraId="74DDBB2A" w14:textId="77777777" w:rsidR="00584EC1" w:rsidRDefault="00584EC1">
            <w:pPr>
              <w:rPr>
                <w:rFonts w:ascii="宋体"/>
                <w:vanish/>
              </w:rPr>
            </w:pPr>
          </w:p>
        </w:tc>
        <w:tc>
          <w:tcPr>
            <w:tcW w:w="0" w:type="auto"/>
            <w:gridSpan w:val="3"/>
            <w:shd w:val="clear" w:color="auto" w:fill="auto"/>
            <w:vAlign w:val="bottom"/>
          </w:tcPr>
          <w:p w14:paraId="74DDBB2B" w14:textId="77777777" w:rsidR="00584EC1" w:rsidRDefault="00584EC1">
            <w:pPr>
              <w:rPr>
                <w:rFonts w:ascii="宋体"/>
                <w:vanish/>
              </w:rPr>
            </w:pPr>
          </w:p>
        </w:tc>
        <w:tc>
          <w:tcPr>
            <w:tcW w:w="0" w:type="auto"/>
            <w:gridSpan w:val="3"/>
            <w:shd w:val="clear" w:color="auto" w:fill="auto"/>
            <w:vAlign w:val="bottom"/>
          </w:tcPr>
          <w:p w14:paraId="74DDBB2C" w14:textId="77777777" w:rsidR="00584EC1" w:rsidRDefault="00584EC1">
            <w:pPr>
              <w:rPr>
                <w:rFonts w:ascii="宋体"/>
                <w:vanish/>
              </w:rPr>
            </w:pPr>
          </w:p>
        </w:tc>
        <w:tc>
          <w:tcPr>
            <w:tcW w:w="0" w:type="auto"/>
            <w:gridSpan w:val="3"/>
            <w:shd w:val="clear" w:color="auto" w:fill="auto"/>
            <w:vAlign w:val="bottom"/>
          </w:tcPr>
          <w:p w14:paraId="74DDBB2D" w14:textId="77777777" w:rsidR="00584EC1" w:rsidRDefault="00584EC1">
            <w:pPr>
              <w:rPr>
                <w:rFonts w:ascii="宋体"/>
                <w:vanish/>
              </w:rPr>
            </w:pPr>
          </w:p>
        </w:tc>
        <w:tc>
          <w:tcPr>
            <w:tcW w:w="0" w:type="auto"/>
            <w:gridSpan w:val="3"/>
            <w:shd w:val="clear" w:color="auto" w:fill="auto"/>
            <w:vAlign w:val="bottom"/>
          </w:tcPr>
          <w:p w14:paraId="74DDBB2E" w14:textId="77777777" w:rsidR="00584EC1" w:rsidRDefault="00584EC1">
            <w:pPr>
              <w:rPr>
                <w:rFonts w:ascii="宋体"/>
                <w:vanish/>
              </w:rPr>
            </w:pPr>
          </w:p>
        </w:tc>
        <w:tc>
          <w:tcPr>
            <w:tcW w:w="0" w:type="auto"/>
            <w:gridSpan w:val="3"/>
            <w:shd w:val="clear" w:color="auto" w:fill="auto"/>
            <w:vAlign w:val="bottom"/>
          </w:tcPr>
          <w:p w14:paraId="74DDBB2F" w14:textId="77777777" w:rsidR="00584EC1" w:rsidRDefault="00584EC1">
            <w:pPr>
              <w:rPr>
                <w:rFonts w:ascii="宋体"/>
                <w:vanish/>
              </w:rPr>
            </w:pPr>
          </w:p>
        </w:tc>
        <w:tc>
          <w:tcPr>
            <w:tcW w:w="0" w:type="auto"/>
            <w:gridSpan w:val="3"/>
            <w:shd w:val="clear" w:color="auto" w:fill="auto"/>
            <w:vAlign w:val="bottom"/>
          </w:tcPr>
          <w:p w14:paraId="74DDBB30" w14:textId="77777777" w:rsidR="00584EC1" w:rsidRDefault="00584EC1">
            <w:pPr>
              <w:rPr>
                <w:rFonts w:ascii="宋体"/>
                <w:vanish/>
              </w:rPr>
            </w:pPr>
          </w:p>
        </w:tc>
        <w:tc>
          <w:tcPr>
            <w:tcW w:w="0" w:type="auto"/>
            <w:gridSpan w:val="3"/>
            <w:shd w:val="clear" w:color="auto" w:fill="auto"/>
            <w:vAlign w:val="bottom"/>
          </w:tcPr>
          <w:p w14:paraId="74DDBB31" w14:textId="77777777" w:rsidR="00584EC1" w:rsidRDefault="00584EC1">
            <w:pPr>
              <w:rPr>
                <w:rFonts w:ascii="宋体"/>
                <w:vanish/>
              </w:rPr>
            </w:pPr>
          </w:p>
        </w:tc>
      </w:tr>
      <w:tr w:rsidR="00584EC1" w14:paraId="74DDBB3D" w14:textId="77777777">
        <w:tc>
          <w:tcPr>
            <w:tcW w:w="0" w:type="auto"/>
            <w:gridSpan w:val="3"/>
            <w:shd w:val="clear" w:color="auto" w:fill="FFFFFF"/>
            <w:tcMar>
              <w:top w:w="40" w:type="dxa"/>
              <w:left w:w="245" w:type="dxa"/>
              <w:bottom w:w="40" w:type="dxa"/>
              <w:right w:w="20" w:type="dxa"/>
            </w:tcMar>
            <w:vAlign w:val="bottom"/>
          </w:tcPr>
          <w:p w14:paraId="74DDBB33" w14:textId="77777777" w:rsidR="00584EC1" w:rsidRDefault="00871F8D">
            <w:pPr>
              <w:textAlignment w:val="bottom"/>
            </w:pPr>
            <w:r>
              <w:rPr>
                <w:rFonts w:ascii="Arial" w:eastAsia="宋体" w:hAnsi="Arial" w:cs="Arial"/>
                <w:color w:val="000000"/>
                <w:sz w:val="15"/>
                <w:szCs w:val="15"/>
              </w:rPr>
              <w:t>Derivative instruments:</w:t>
            </w:r>
          </w:p>
        </w:tc>
        <w:tc>
          <w:tcPr>
            <w:tcW w:w="0" w:type="auto"/>
            <w:gridSpan w:val="3"/>
            <w:shd w:val="clear" w:color="auto" w:fill="FFFFFF"/>
            <w:tcMar>
              <w:top w:w="0" w:type="dxa"/>
              <w:left w:w="20" w:type="dxa"/>
              <w:bottom w:w="0" w:type="dxa"/>
              <w:right w:w="20" w:type="dxa"/>
            </w:tcMar>
            <w:vAlign w:val="bottom"/>
          </w:tcPr>
          <w:p w14:paraId="74DDBB34"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B35"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B36"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B37"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B38"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B39"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B3A"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B3B"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B3C" w14:textId="77777777" w:rsidR="00584EC1" w:rsidRDefault="00584EC1">
            <w:pPr>
              <w:rPr>
                <w:rFonts w:ascii="宋体"/>
              </w:rPr>
            </w:pPr>
          </w:p>
        </w:tc>
      </w:tr>
      <w:tr w:rsidR="00584EC1" w14:paraId="74DDBB52" w14:textId="77777777">
        <w:tc>
          <w:tcPr>
            <w:tcW w:w="0" w:type="auto"/>
            <w:gridSpan w:val="3"/>
            <w:shd w:val="clear" w:color="auto" w:fill="CCEEFF"/>
            <w:tcMar>
              <w:top w:w="40" w:type="dxa"/>
              <w:left w:w="515" w:type="dxa"/>
              <w:bottom w:w="40" w:type="dxa"/>
              <w:right w:w="20" w:type="dxa"/>
            </w:tcMar>
            <w:vAlign w:val="bottom"/>
          </w:tcPr>
          <w:p w14:paraId="74DDBB3E" w14:textId="77777777" w:rsidR="00584EC1" w:rsidRDefault="00871F8D">
            <w:pPr>
              <w:textAlignment w:val="bottom"/>
            </w:pPr>
            <w:r>
              <w:rPr>
                <w:rFonts w:ascii="Arial" w:eastAsia="宋体" w:hAnsi="Arial" w:cs="Arial"/>
                <w:color w:val="000000"/>
                <w:sz w:val="15"/>
                <w:szCs w:val="15"/>
              </w:rPr>
              <w:t>Foreign exchange contracts</w:t>
            </w:r>
          </w:p>
        </w:tc>
        <w:tc>
          <w:tcPr>
            <w:tcW w:w="0" w:type="auto"/>
            <w:shd w:val="clear" w:color="auto" w:fill="CCEEFF"/>
            <w:tcMar>
              <w:top w:w="40" w:type="dxa"/>
              <w:left w:w="20" w:type="dxa"/>
              <w:bottom w:w="40" w:type="dxa"/>
              <w:right w:w="0" w:type="dxa"/>
            </w:tcMar>
            <w:vAlign w:val="bottom"/>
          </w:tcPr>
          <w:p w14:paraId="74DDBB3F" w14:textId="77777777" w:rsidR="00584EC1" w:rsidRDefault="00871F8D">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4DDBB40" w14:textId="77777777" w:rsidR="00584EC1" w:rsidRDefault="00871F8D">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BB4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B42"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BB43" w14:textId="77777777" w:rsidR="00584EC1" w:rsidRDefault="00871F8D">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4DDBB44" w14:textId="77777777" w:rsidR="00584EC1" w:rsidRDefault="00871F8D">
            <w:pPr>
              <w:jc w:val="right"/>
              <w:textAlignment w:val="bottom"/>
            </w:pPr>
            <w:r>
              <w:rPr>
                <w:rFonts w:ascii="Arial" w:eastAsia="宋体" w:hAnsi="Arial" w:cs="Arial"/>
                <w:b/>
                <w:bCs/>
                <w:color w:val="000000"/>
                <w:sz w:val="15"/>
                <w:szCs w:val="15"/>
              </w:rPr>
              <w:t>15,733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BB4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B46"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BB47" w14:textId="77777777" w:rsidR="00584EC1" w:rsidRDefault="00871F8D">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4DDBB48"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BB4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B4A"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BB4B" w14:textId="77777777" w:rsidR="00584EC1" w:rsidRDefault="00871F8D">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4DDBB4C" w14:textId="77777777" w:rsidR="00584EC1" w:rsidRDefault="00871F8D">
            <w:pPr>
              <w:jc w:val="right"/>
              <w:textAlignment w:val="bottom"/>
            </w:pPr>
            <w:r>
              <w:rPr>
                <w:rFonts w:ascii="Arial" w:eastAsia="宋体" w:hAnsi="Arial" w:cs="Arial"/>
                <w:b/>
                <w:bCs/>
                <w:color w:val="000000"/>
                <w:sz w:val="15"/>
                <w:szCs w:val="15"/>
              </w:rPr>
              <w:t>(11,619)</w:t>
            </w:r>
          </w:p>
        </w:tc>
        <w:tc>
          <w:tcPr>
            <w:tcW w:w="0" w:type="auto"/>
            <w:shd w:val="clear" w:color="auto" w:fill="CCEEFF"/>
            <w:tcMar>
              <w:top w:w="40" w:type="dxa"/>
              <w:left w:w="0" w:type="dxa"/>
              <w:bottom w:w="40" w:type="dxa"/>
              <w:right w:w="20" w:type="dxa"/>
            </w:tcMar>
            <w:vAlign w:val="bottom"/>
          </w:tcPr>
          <w:p w14:paraId="74DDBB4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B4E"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BB4F" w14:textId="77777777" w:rsidR="00584EC1" w:rsidRDefault="00871F8D">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4DDBB50" w14:textId="77777777" w:rsidR="00584EC1" w:rsidRDefault="00871F8D">
            <w:pPr>
              <w:jc w:val="right"/>
              <w:textAlignment w:val="bottom"/>
            </w:pPr>
            <w:r>
              <w:rPr>
                <w:rFonts w:ascii="Arial" w:eastAsia="宋体" w:hAnsi="Arial" w:cs="Arial"/>
                <w:b/>
                <w:bCs/>
                <w:color w:val="000000"/>
                <w:sz w:val="15"/>
                <w:szCs w:val="15"/>
              </w:rPr>
              <w:t>4,116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BB51" w14:textId="77777777" w:rsidR="00584EC1" w:rsidRDefault="00584EC1">
            <w:pPr>
              <w:jc w:val="right"/>
              <w:rPr>
                <w:rFonts w:ascii="宋体"/>
              </w:rPr>
            </w:pPr>
          </w:p>
        </w:tc>
      </w:tr>
      <w:tr w:rsidR="00584EC1" w14:paraId="74DDBB62" w14:textId="77777777">
        <w:tc>
          <w:tcPr>
            <w:tcW w:w="0" w:type="auto"/>
            <w:gridSpan w:val="3"/>
            <w:shd w:val="clear" w:color="auto" w:fill="FFFFFF"/>
            <w:tcMar>
              <w:top w:w="40" w:type="dxa"/>
              <w:left w:w="515" w:type="dxa"/>
              <w:bottom w:w="40" w:type="dxa"/>
              <w:right w:w="20" w:type="dxa"/>
            </w:tcMar>
            <w:vAlign w:val="bottom"/>
          </w:tcPr>
          <w:p w14:paraId="74DDBB53" w14:textId="77777777" w:rsidR="00584EC1" w:rsidRDefault="00871F8D">
            <w:pPr>
              <w:textAlignment w:val="bottom"/>
            </w:pPr>
            <w:r>
              <w:rPr>
                <w:rFonts w:ascii="Arial" w:eastAsia="宋体" w:hAnsi="Arial" w:cs="Arial"/>
                <w:color w:val="000000"/>
                <w:sz w:val="15"/>
                <w:szCs w:val="15"/>
              </w:rPr>
              <w:t>Interest rate contracts</w:t>
            </w:r>
          </w:p>
        </w:tc>
        <w:tc>
          <w:tcPr>
            <w:tcW w:w="0" w:type="auto"/>
            <w:gridSpan w:val="2"/>
            <w:shd w:val="clear" w:color="auto" w:fill="FFFFFF"/>
            <w:tcMar>
              <w:top w:w="40" w:type="dxa"/>
              <w:left w:w="20" w:type="dxa"/>
              <w:bottom w:w="40" w:type="dxa"/>
              <w:right w:w="0" w:type="dxa"/>
            </w:tcMar>
            <w:vAlign w:val="bottom"/>
          </w:tcPr>
          <w:p w14:paraId="74DDBB54"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BB5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B5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B57" w14:textId="77777777" w:rsidR="00584EC1" w:rsidRDefault="00871F8D">
            <w:pPr>
              <w:jc w:val="right"/>
              <w:textAlignment w:val="bottom"/>
            </w:pPr>
            <w:r>
              <w:rPr>
                <w:rFonts w:ascii="Arial" w:eastAsia="宋体" w:hAnsi="Arial" w:cs="Arial"/>
                <w:b/>
                <w:bCs/>
                <w:color w:val="000000"/>
                <w:sz w:val="15"/>
                <w:szCs w:val="15"/>
              </w:rPr>
              <w:t>27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BB5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B5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B5A"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BB5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B5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B5D" w14:textId="77777777" w:rsidR="00584EC1" w:rsidRDefault="00871F8D">
            <w:pPr>
              <w:jc w:val="right"/>
              <w:textAlignment w:val="bottom"/>
            </w:pPr>
            <w:r>
              <w:rPr>
                <w:rFonts w:ascii="Arial" w:eastAsia="宋体" w:hAnsi="Arial" w:cs="Arial"/>
                <w:b/>
                <w:bCs/>
                <w:color w:val="000000"/>
                <w:sz w:val="15"/>
                <w:szCs w:val="15"/>
              </w:rPr>
              <w:t>(4)</w:t>
            </w:r>
          </w:p>
        </w:tc>
        <w:tc>
          <w:tcPr>
            <w:tcW w:w="0" w:type="auto"/>
            <w:shd w:val="clear" w:color="auto" w:fill="FFFFFF"/>
            <w:tcMar>
              <w:top w:w="40" w:type="dxa"/>
              <w:left w:w="0" w:type="dxa"/>
              <w:bottom w:w="40" w:type="dxa"/>
              <w:right w:w="20" w:type="dxa"/>
            </w:tcMar>
            <w:vAlign w:val="bottom"/>
          </w:tcPr>
          <w:p w14:paraId="74DDBB5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B5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B60" w14:textId="77777777" w:rsidR="00584EC1" w:rsidRDefault="00871F8D">
            <w:pPr>
              <w:jc w:val="right"/>
              <w:textAlignment w:val="bottom"/>
            </w:pPr>
            <w:r>
              <w:rPr>
                <w:rFonts w:ascii="Arial" w:eastAsia="宋体" w:hAnsi="Arial" w:cs="Arial"/>
                <w:b/>
                <w:bCs/>
                <w:color w:val="000000"/>
                <w:sz w:val="15"/>
                <w:szCs w:val="15"/>
              </w:rPr>
              <w:t>23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BB61" w14:textId="77777777" w:rsidR="00584EC1" w:rsidRDefault="00584EC1">
            <w:pPr>
              <w:jc w:val="right"/>
              <w:rPr>
                <w:rFonts w:ascii="宋体"/>
              </w:rPr>
            </w:pPr>
          </w:p>
        </w:tc>
      </w:tr>
      <w:tr w:rsidR="00584EC1" w14:paraId="74DDBB72" w14:textId="77777777">
        <w:tc>
          <w:tcPr>
            <w:tcW w:w="0" w:type="auto"/>
            <w:gridSpan w:val="3"/>
            <w:shd w:val="clear" w:color="auto" w:fill="CCEEFF"/>
            <w:tcMar>
              <w:top w:w="40" w:type="dxa"/>
              <w:left w:w="515" w:type="dxa"/>
              <w:bottom w:w="40" w:type="dxa"/>
              <w:right w:w="20" w:type="dxa"/>
            </w:tcMar>
            <w:vAlign w:val="bottom"/>
          </w:tcPr>
          <w:p w14:paraId="74DDBB63" w14:textId="77777777" w:rsidR="00584EC1" w:rsidRDefault="00871F8D">
            <w:pPr>
              <w:textAlignment w:val="bottom"/>
            </w:pPr>
            <w:r>
              <w:rPr>
                <w:rFonts w:ascii="Arial" w:eastAsia="宋体" w:hAnsi="Arial" w:cs="Arial"/>
                <w:color w:val="000000"/>
                <w:sz w:val="15"/>
                <w:szCs w:val="15"/>
              </w:rPr>
              <w:t>Other derivative contracts</w:t>
            </w:r>
          </w:p>
        </w:tc>
        <w:tc>
          <w:tcPr>
            <w:tcW w:w="0" w:type="auto"/>
            <w:gridSpan w:val="2"/>
            <w:shd w:val="clear" w:color="auto" w:fill="CCEEFF"/>
            <w:tcMar>
              <w:top w:w="40" w:type="dxa"/>
              <w:left w:w="20" w:type="dxa"/>
              <w:bottom w:w="40" w:type="dxa"/>
              <w:right w:w="0" w:type="dxa"/>
            </w:tcMar>
            <w:vAlign w:val="bottom"/>
          </w:tcPr>
          <w:p w14:paraId="74DDBB64"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BB6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B6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B67" w14:textId="77777777" w:rsidR="00584EC1" w:rsidRDefault="00871F8D">
            <w:pPr>
              <w:jc w:val="right"/>
              <w:textAlignment w:val="bottom"/>
            </w:pPr>
            <w:r>
              <w:rPr>
                <w:rFonts w:ascii="Arial" w:eastAsia="宋体" w:hAnsi="Arial" w:cs="Arial"/>
                <w:b/>
                <w:bCs/>
                <w:color w:val="000000"/>
                <w:sz w:val="15"/>
                <w:szCs w:val="15"/>
              </w:rPr>
              <w:t>176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BB6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B6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B6A"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BB6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B6C"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B6D"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BB6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B6F"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B70" w14:textId="77777777" w:rsidR="00584EC1" w:rsidRDefault="00871F8D">
            <w:pPr>
              <w:jc w:val="right"/>
              <w:textAlignment w:val="bottom"/>
            </w:pPr>
            <w:r>
              <w:rPr>
                <w:rFonts w:ascii="Arial" w:eastAsia="宋体" w:hAnsi="Arial" w:cs="Arial"/>
                <w:b/>
                <w:bCs/>
                <w:color w:val="000000"/>
                <w:sz w:val="15"/>
                <w:szCs w:val="15"/>
              </w:rPr>
              <w:t>176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BB71" w14:textId="77777777" w:rsidR="00584EC1" w:rsidRDefault="00584EC1">
            <w:pPr>
              <w:jc w:val="right"/>
              <w:rPr>
                <w:rFonts w:ascii="宋体"/>
              </w:rPr>
            </w:pPr>
          </w:p>
        </w:tc>
      </w:tr>
      <w:tr w:rsidR="00584EC1" w14:paraId="74DDBB82" w14:textId="77777777">
        <w:tc>
          <w:tcPr>
            <w:tcW w:w="0" w:type="auto"/>
            <w:gridSpan w:val="3"/>
            <w:shd w:val="clear" w:color="auto" w:fill="FFFFFF"/>
            <w:tcMar>
              <w:top w:w="40" w:type="dxa"/>
              <w:left w:w="740" w:type="dxa"/>
              <w:bottom w:w="40" w:type="dxa"/>
              <w:right w:w="20" w:type="dxa"/>
            </w:tcMar>
            <w:vAlign w:val="bottom"/>
          </w:tcPr>
          <w:p w14:paraId="74DDBB73" w14:textId="77777777" w:rsidR="00584EC1" w:rsidRDefault="00871F8D">
            <w:pPr>
              <w:textAlignment w:val="bottom"/>
            </w:pPr>
            <w:r>
              <w:rPr>
                <w:rFonts w:ascii="Arial" w:eastAsia="宋体" w:hAnsi="Arial" w:cs="Arial"/>
                <w:color w:val="000000"/>
                <w:sz w:val="15"/>
                <w:szCs w:val="15"/>
              </w:rPr>
              <w:t>Total derivative instruments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BB74" w14:textId="77777777" w:rsidR="00584EC1" w:rsidRDefault="00871F8D">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BB7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B76"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BB77" w14:textId="77777777" w:rsidR="00584EC1" w:rsidRDefault="00871F8D">
            <w:pPr>
              <w:jc w:val="right"/>
              <w:textAlignment w:val="bottom"/>
            </w:pPr>
            <w:r>
              <w:rPr>
                <w:rFonts w:ascii="Arial" w:eastAsia="宋体" w:hAnsi="Arial" w:cs="Arial"/>
                <w:b/>
                <w:bCs/>
                <w:color w:val="000000"/>
                <w:sz w:val="15"/>
                <w:szCs w:val="15"/>
              </w:rPr>
              <w:t>15,936</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BB7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B79"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BB7A"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BB7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B7C"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BB7D" w14:textId="77777777" w:rsidR="00584EC1" w:rsidRDefault="00871F8D">
            <w:pPr>
              <w:jc w:val="right"/>
              <w:textAlignment w:val="bottom"/>
            </w:pPr>
            <w:r>
              <w:rPr>
                <w:rFonts w:ascii="Arial" w:eastAsia="宋体" w:hAnsi="Arial" w:cs="Arial"/>
                <w:b/>
                <w:bCs/>
                <w:color w:val="000000"/>
                <w:sz w:val="15"/>
                <w:szCs w:val="15"/>
              </w:rPr>
              <w:t>(11,623)</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BB7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B7F"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BB80" w14:textId="77777777" w:rsidR="00584EC1" w:rsidRDefault="00871F8D">
            <w:pPr>
              <w:jc w:val="right"/>
              <w:textAlignment w:val="bottom"/>
            </w:pPr>
            <w:r>
              <w:rPr>
                <w:rFonts w:ascii="Arial" w:eastAsia="宋体" w:hAnsi="Arial" w:cs="Arial"/>
                <w:b/>
                <w:bCs/>
                <w:color w:val="000000"/>
                <w:sz w:val="15"/>
                <w:szCs w:val="15"/>
              </w:rPr>
              <w:t>4,315</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BB81" w14:textId="77777777" w:rsidR="00584EC1" w:rsidRDefault="00584EC1">
            <w:pPr>
              <w:jc w:val="right"/>
              <w:rPr>
                <w:rFonts w:ascii="宋体"/>
              </w:rPr>
            </w:pPr>
          </w:p>
        </w:tc>
      </w:tr>
      <w:tr w:rsidR="00584EC1" w14:paraId="74DDBB8D" w14:textId="77777777">
        <w:trPr>
          <w:hidden/>
        </w:trPr>
        <w:tc>
          <w:tcPr>
            <w:tcW w:w="0" w:type="auto"/>
            <w:gridSpan w:val="3"/>
            <w:shd w:val="clear" w:color="auto" w:fill="auto"/>
            <w:vAlign w:val="bottom"/>
          </w:tcPr>
          <w:p w14:paraId="74DDBB83" w14:textId="77777777" w:rsidR="00584EC1" w:rsidRDefault="00584EC1">
            <w:pPr>
              <w:rPr>
                <w:rFonts w:ascii="宋体"/>
                <w:vanish/>
              </w:rPr>
            </w:pPr>
          </w:p>
        </w:tc>
        <w:tc>
          <w:tcPr>
            <w:tcW w:w="0" w:type="auto"/>
            <w:gridSpan w:val="3"/>
            <w:shd w:val="clear" w:color="auto" w:fill="auto"/>
            <w:vAlign w:val="bottom"/>
          </w:tcPr>
          <w:p w14:paraId="74DDBB84" w14:textId="77777777" w:rsidR="00584EC1" w:rsidRDefault="00584EC1">
            <w:pPr>
              <w:rPr>
                <w:rFonts w:ascii="宋体"/>
                <w:vanish/>
              </w:rPr>
            </w:pPr>
          </w:p>
        </w:tc>
        <w:tc>
          <w:tcPr>
            <w:tcW w:w="0" w:type="auto"/>
            <w:gridSpan w:val="3"/>
            <w:shd w:val="clear" w:color="auto" w:fill="auto"/>
            <w:vAlign w:val="bottom"/>
          </w:tcPr>
          <w:p w14:paraId="74DDBB85" w14:textId="77777777" w:rsidR="00584EC1" w:rsidRDefault="00584EC1">
            <w:pPr>
              <w:rPr>
                <w:rFonts w:ascii="宋体"/>
                <w:vanish/>
              </w:rPr>
            </w:pPr>
          </w:p>
        </w:tc>
        <w:tc>
          <w:tcPr>
            <w:tcW w:w="0" w:type="auto"/>
            <w:gridSpan w:val="3"/>
            <w:shd w:val="clear" w:color="auto" w:fill="auto"/>
            <w:vAlign w:val="bottom"/>
          </w:tcPr>
          <w:p w14:paraId="74DDBB86" w14:textId="77777777" w:rsidR="00584EC1" w:rsidRDefault="00584EC1">
            <w:pPr>
              <w:rPr>
                <w:rFonts w:ascii="宋体"/>
                <w:vanish/>
              </w:rPr>
            </w:pPr>
          </w:p>
        </w:tc>
        <w:tc>
          <w:tcPr>
            <w:tcW w:w="0" w:type="auto"/>
            <w:gridSpan w:val="3"/>
            <w:shd w:val="clear" w:color="auto" w:fill="auto"/>
            <w:vAlign w:val="bottom"/>
          </w:tcPr>
          <w:p w14:paraId="74DDBB87" w14:textId="77777777" w:rsidR="00584EC1" w:rsidRDefault="00584EC1">
            <w:pPr>
              <w:rPr>
                <w:rFonts w:ascii="宋体"/>
                <w:vanish/>
              </w:rPr>
            </w:pPr>
          </w:p>
        </w:tc>
        <w:tc>
          <w:tcPr>
            <w:tcW w:w="0" w:type="auto"/>
            <w:gridSpan w:val="3"/>
            <w:shd w:val="clear" w:color="auto" w:fill="auto"/>
            <w:vAlign w:val="bottom"/>
          </w:tcPr>
          <w:p w14:paraId="74DDBB88" w14:textId="77777777" w:rsidR="00584EC1" w:rsidRDefault="00584EC1">
            <w:pPr>
              <w:rPr>
                <w:rFonts w:ascii="宋体"/>
                <w:vanish/>
              </w:rPr>
            </w:pPr>
          </w:p>
        </w:tc>
        <w:tc>
          <w:tcPr>
            <w:tcW w:w="0" w:type="auto"/>
            <w:gridSpan w:val="3"/>
            <w:shd w:val="clear" w:color="auto" w:fill="auto"/>
            <w:vAlign w:val="bottom"/>
          </w:tcPr>
          <w:p w14:paraId="74DDBB89" w14:textId="77777777" w:rsidR="00584EC1" w:rsidRDefault="00584EC1">
            <w:pPr>
              <w:rPr>
                <w:rFonts w:ascii="宋体"/>
                <w:vanish/>
              </w:rPr>
            </w:pPr>
          </w:p>
        </w:tc>
        <w:tc>
          <w:tcPr>
            <w:tcW w:w="0" w:type="auto"/>
            <w:gridSpan w:val="3"/>
            <w:shd w:val="clear" w:color="auto" w:fill="auto"/>
            <w:vAlign w:val="bottom"/>
          </w:tcPr>
          <w:p w14:paraId="74DDBB8A" w14:textId="77777777" w:rsidR="00584EC1" w:rsidRDefault="00584EC1">
            <w:pPr>
              <w:rPr>
                <w:rFonts w:ascii="宋体"/>
                <w:vanish/>
              </w:rPr>
            </w:pPr>
          </w:p>
        </w:tc>
        <w:tc>
          <w:tcPr>
            <w:tcW w:w="0" w:type="auto"/>
            <w:gridSpan w:val="3"/>
            <w:shd w:val="clear" w:color="auto" w:fill="auto"/>
            <w:vAlign w:val="bottom"/>
          </w:tcPr>
          <w:p w14:paraId="74DDBB8B" w14:textId="77777777" w:rsidR="00584EC1" w:rsidRDefault="00584EC1">
            <w:pPr>
              <w:rPr>
                <w:rFonts w:ascii="宋体"/>
                <w:vanish/>
              </w:rPr>
            </w:pPr>
          </w:p>
        </w:tc>
        <w:tc>
          <w:tcPr>
            <w:tcW w:w="0" w:type="auto"/>
            <w:gridSpan w:val="3"/>
            <w:shd w:val="clear" w:color="auto" w:fill="auto"/>
            <w:vAlign w:val="bottom"/>
          </w:tcPr>
          <w:p w14:paraId="74DDBB8C" w14:textId="77777777" w:rsidR="00584EC1" w:rsidRDefault="00584EC1">
            <w:pPr>
              <w:rPr>
                <w:rFonts w:ascii="宋体"/>
                <w:vanish/>
              </w:rPr>
            </w:pPr>
          </w:p>
        </w:tc>
      </w:tr>
      <w:tr w:rsidR="00584EC1" w14:paraId="74DDBBA2" w14:textId="77777777">
        <w:tc>
          <w:tcPr>
            <w:tcW w:w="0" w:type="auto"/>
            <w:gridSpan w:val="3"/>
            <w:shd w:val="clear" w:color="auto" w:fill="CCEEFF"/>
            <w:tcMar>
              <w:top w:w="40" w:type="dxa"/>
              <w:left w:w="20" w:type="dxa"/>
              <w:bottom w:w="40" w:type="dxa"/>
              <w:right w:w="20" w:type="dxa"/>
            </w:tcMar>
            <w:vAlign w:val="bottom"/>
          </w:tcPr>
          <w:p w14:paraId="74DDBB8E" w14:textId="77777777" w:rsidR="00584EC1" w:rsidRDefault="00871F8D">
            <w:pPr>
              <w:textAlignment w:val="bottom"/>
            </w:pPr>
            <w:r>
              <w:rPr>
                <w:rFonts w:ascii="Arial" w:eastAsia="宋体" w:hAnsi="Arial" w:cs="Arial"/>
                <w:color w:val="000000"/>
                <w:sz w:val="15"/>
                <w:szCs w:val="15"/>
              </w:rPr>
              <w:t>Total liabilities carried at fair value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BB8F" w14:textId="77777777" w:rsidR="00584EC1" w:rsidRDefault="00871F8D">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BB90" w14:textId="77777777" w:rsidR="00584EC1" w:rsidRDefault="00871F8D">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BB9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B92"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BB93" w14:textId="77777777" w:rsidR="00584EC1" w:rsidRDefault="00871F8D">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BB94" w14:textId="77777777" w:rsidR="00584EC1" w:rsidRDefault="00871F8D">
            <w:pPr>
              <w:jc w:val="right"/>
              <w:textAlignment w:val="bottom"/>
            </w:pPr>
            <w:r>
              <w:rPr>
                <w:rFonts w:ascii="Arial" w:eastAsia="宋体" w:hAnsi="Arial" w:cs="Arial"/>
                <w:b/>
                <w:bCs/>
                <w:color w:val="000000"/>
                <w:sz w:val="15"/>
                <w:szCs w:val="15"/>
              </w:rPr>
              <w:t>15,936</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BB9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B96"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BB97" w14:textId="77777777" w:rsidR="00584EC1" w:rsidRDefault="00871F8D">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BB98"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BB9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B9A"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BB9B" w14:textId="77777777" w:rsidR="00584EC1" w:rsidRDefault="00871F8D">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BB9C" w14:textId="77777777" w:rsidR="00584EC1" w:rsidRDefault="00871F8D">
            <w:pPr>
              <w:jc w:val="right"/>
              <w:textAlignment w:val="bottom"/>
            </w:pPr>
            <w:r>
              <w:rPr>
                <w:rFonts w:ascii="Arial" w:eastAsia="宋体" w:hAnsi="Arial" w:cs="Arial"/>
                <w:b/>
                <w:bCs/>
                <w:color w:val="000000"/>
                <w:sz w:val="15"/>
                <w:szCs w:val="15"/>
              </w:rPr>
              <w:t>(11,623)</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BB9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B9E"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BB9F" w14:textId="77777777" w:rsidR="00584EC1" w:rsidRDefault="00871F8D">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BBA0" w14:textId="77777777" w:rsidR="00584EC1" w:rsidRDefault="00871F8D">
            <w:pPr>
              <w:jc w:val="right"/>
              <w:textAlignment w:val="bottom"/>
            </w:pPr>
            <w:r>
              <w:rPr>
                <w:rFonts w:ascii="Arial" w:eastAsia="宋体" w:hAnsi="Arial" w:cs="Arial"/>
                <w:b/>
                <w:bCs/>
                <w:color w:val="000000"/>
                <w:sz w:val="15"/>
                <w:szCs w:val="15"/>
              </w:rPr>
              <w:t>4,315</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BBA1" w14:textId="77777777" w:rsidR="00584EC1" w:rsidRDefault="00584EC1">
            <w:pPr>
              <w:jc w:val="right"/>
              <w:rPr>
                <w:rFonts w:ascii="宋体"/>
              </w:rPr>
            </w:pPr>
          </w:p>
        </w:tc>
      </w:tr>
    </w:tbl>
    <w:p w14:paraId="74DDBBA3" w14:textId="77777777" w:rsidR="00584EC1" w:rsidRDefault="00584E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100"/>
        <w:gridCol w:w="36"/>
        <w:gridCol w:w="69"/>
        <w:gridCol w:w="1504"/>
        <w:gridCol w:w="36"/>
        <w:gridCol w:w="70"/>
        <w:gridCol w:w="3076"/>
        <w:gridCol w:w="36"/>
      </w:tblGrid>
      <w:tr w:rsidR="00584EC1" w14:paraId="74DDBBB0" w14:textId="77777777">
        <w:tc>
          <w:tcPr>
            <w:tcW w:w="50" w:type="pct"/>
            <w:shd w:val="clear" w:color="auto" w:fill="auto"/>
            <w:vAlign w:val="bottom"/>
          </w:tcPr>
          <w:p w14:paraId="74DDBBA4" w14:textId="77777777" w:rsidR="00584EC1" w:rsidRDefault="00584EC1">
            <w:pPr>
              <w:rPr>
                <w:rFonts w:ascii="宋体"/>
              </w:rPr>
            </w:pPr>
          </w:p>
        </w:tc>
        <w:tc>
          <w:tcPr>
            <w:tcW w:w="1348" w:type="pct"/>
            <w:shd w:val="clear" w:color="auto" w:fill="auto"/>
            <w:vAlign w:val="bottom"/>
          </w:tcPr>
          <w:p w14:paraId="74DDBBA5" w14:textId="77777777" w:rsidR="00584EC1" w:rsidRDefault="00584EC1">
            <w:pPr>
              <w:rPr>
                <w:rFonts w:ascii="宋体"/>
              </w:rPr>
            </w:pPr>
          </w:p>
        </w:tc>
        <w:tc>
          <w:tcPr>
            <w:tcW w:w="5" w:type="pct"/>
            <w:shd w:val="clear" w:color="auto" w:fill="auto"/>
            <w:vAlign w:val="bottom"/>
          </w:tcPr>
          <w:p w14:paraId="74DDBBA6" w14:textId="77777777" w:rsidR="00584EC1" w:rsidRDefault="00584EC1">
            <w:pPr>
              <w:rPr>
                <w:rFonts w:ascii="宋体"/>
              </w:rPr>
            </w:pPr>
          </w:p>
        </w:tc>
        <w:tc>
          <w:tcPr>
            <w:tcW w:w="50" w:type="pct"/>
            <w:shd w:val="clear" w:color="auto" w:fill="auto"/>
            <w:vAlign w:val="bottom"/>
          </w:tcPr>
          <w:p w14:paraId="74DDBBA7" w14:textId="77777777" w:rsidR="00584EC1" w:rsidRDefault="00584EC1">
            <w:pPr>
              <w:rPr>
                <w:rFonts w:ascii="宋体"/>
              </w:rPr>
            </w:pPr>
          </w:p>
        </w:tc>
        <w:tc>
          <w:tcPr>
            <w:tcW w:w="668" w:type="pct"/>
            <w:shd w:val="clear" w:color="auto" w:fill="auto"/>
            <w:vAlign w:val="bottom"/>
          </w:tcPr>
          <w:p w14:paraId="74DDBBA8" w14:textId="77777777" w:rsidR="00584EC1" w:rsidRDefault="00584EC1">
            <w:pPr>
              <w:rPr>
                <w:rFonts w:ascii="宋体"/>
              </w:rPr>
            </w:pPr>
          </w:p>
        </w:tc>
        <w:tc>
          <w:tcPr>
            <w:tcW w:w="5" w:type="pct"/>
            <w:shd w:val="clear" w:color="auto" w:fill="auto"/>
            <w:vAlign w:val="bottom"/>
          </w:tcPr>
          <w:p w14:paraId="74DDBBA9" w14:textId="77777777" w:rsidR="00584EC1" w:rsidRDefault="00584EC1">
            <w:pPr>
              <w:rPr>
                <w:rFonts w:ascii="宋体"/>
              </w:rPr>
            </w:pPr>
          </w:p>
        </w:tc>
        <w:tc>
          <w:tcPr>
            <w:tcW w:w="50" w:type="pct"/>
            <w:shd w:val="clear" w:color="auto" w:fill="auto"/>
            <w:vAlign w:val="bottom"/>
          </w:tcPr>
          <w:p w14:paraId="74DDBBAA" w14:textId="77777777" w:rsidR="00584EC1" w:rsidRDefault="00584EC1">
            <w:pPr>
              <w:rPr>
                <w:rFonts w:ascii="宋体"/>
              </w:rPr>
            </w:pPr>
          </w:p>
        </w:tc>
        <w:tc>
          <w:tcPr>
            <w:tcW w:w="909" w:type="pct"/>
            <w:shd w:val="clear" w:color="auto" w:fill="auto"/>
            <w:vAlign w:val="bottom"/>
          </w:tcPr>
          <w:p w14:paraId="74DDBBAB" w14:textId="77777777" w:rsidR="00584EC1" w:rsidRDefault="00584EC1">
            <w:pPr>
              <w:rPr>
                <w:rFonts w:ascii="宋体"/>
              </w:rPr>
            </w:pPr>
          </w:p>
        </w:tc>
        <w:tc>
          <w:tcPr>
            <w:tcW w:w="5" w:type="pct"/>
            <w:shd w:val="clear" w:color="auto" w:fill="auto"/>
            <w:vAlign w:val="bottom"/>
          </w:tcPr>
          <w:p w14:paraId="74DDBBAC" w14:textId="77777777" w:rsidR="00584EC1" w:rsidRDefault="00584EC1">
            <w:pPr>
              <w:rPr>
                <w:rFonts w:ascii="宋体"/>
              </w:rPr>
            </w:pPr>
          </w:p>
        </w:tc>
        <w:tc>
          <w:tcPr>
            <w:tcW w:w="50" w:type="pct"/>
            <w:shd w:val="clear" w:color="auto" w:fill="auto"/>
            <w:vAlign w:val="bottom"/>
          </w:tcPr>
          <w:p w14:paraId="74DDBBAD" w14:textId="77777777" w:rsidR="00584EC1" w:rsidRDefault="00584EC1">
            <w:pPr>
              <w:rPr>
                <w:rFonts w:ascii="宋体"/>
              </w:rPr>
            </w:pPr>
          </w:p>
        </w:tc>
        <w:tc>
          <w:tcPr>
            <w:tcW w:w="1852" w:type="pct"/>
            <w:shd w:val="clear" w:color="auto" w:fill="auto"/>
            <w:vAlign w:val="bottom"/>
          </w:tcPr>
          <w:p w14:paraId="74DDBBAE" w14:textId="77777777" w:rsidR="00584EC1" w:rsidRDefault="00584EC1">
            <w:pPr>
              <w:rPr>
                <w:rFonts w:ascii="宋体"/>
              </w:rPr>
            </w:pPr>
          </w:p>
        </w:tc>
        <w:tc>
          <w:tcPr>
            <w:tcW w:w="5" w:type="pct"/>
            <w:shd w:val="clear" w:color="auto" w:fill="auto"/>
            <w:vAlign w:val="bottom"/>
          </w:tcPr>
          <w:p w14:paraId="74DDBBAF" w14:textId="77777777" w:rsidR="00584EC1" w:rsidRDefault="00584EC1">
            <w:pPr>
              <w:rPr>
                <w:rFonts w:ascii="宋体"/>
              </w:rPr>
            </w:pPr>
          </w:p>
        </w:tc>
      </w:tr>
      <w:tr w:rsidR="00584EC1" w14:paraId="74DDBBB5"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4DDBBB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BBB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BBB3"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BBB4" w14:textId="77777777" w:rsidR="00584EC1" w:rsidRDefault="00584EC1">
            <w:pPr>
              <w:rPr>
                <w:rFonts w:ascii="宋体"/>
              </w:rPr>
            </w:pPr>
          </w:p>
        </w:tc>
      </w:tr>
    </w:tbl>
    <w:p w14:paraId="74DDBBB6" w14:textId="77777777" w:rsidR="00584EC1" w:rsidRDefault="00871F8D">
      <w:pPr>
        <w:jc w:val="both"/>
      </w:pPr>
      <w:r>
        <w:rPr>
          <w:rFonts w:ascii="Arial" w:eastAsia="宋体" w:hAnsi="Arial" w:cs="Arial"/>
          <w:color w:val="000000"/>
          <w:sz w:val="9"/>
          <w:szCs w:val="9"/>
        </w:rPr>
        <w:t xml:space="preserve">(1) </w:t>
      </w:r>
      <w:r>
        <w:rPr>
          <w:rFonts w:ascii="Arial" w:eastAsia="宋体" w:hAnsi="Arial" w:cs="Arial"/>
          <w:color w:val="000000"/>
          <w:sz w:val="14"/>
          <w:szCs w:val="14"/>
        </w:rPr>
        <w:t>Represents counterparty netting against level 2 financial assets and liabilities where a legally enforceable master netting agreement exists between us and the counterparty. Netting also reflects asset and liability reductions of $1.23 billion and $3.9</w:t>
      </w:r>
      <w:r>
        <w:rPr>
          <w:rFonts w:ascii="Arial" w:eastAsia="宋体" w:hAnsi="Arial" w:cs="Arial"/>
          <w:color w:val="000000"/>
          <w:sz w:val="14"/>
          <w:szCs w:val="14"/>
        </w:rPr>
        <w:t>6 billion, respectively, for cash collateral received from and provided to derivative counterparties.</w:t>
      </w:r>
    </w:p>
    <w:p w14:paraId="74DDBBB7" w14:textId="77777777" w:rsidR="00584EC1" w:rsidRDefault="00871F8D">
      <w:pPr>
        <w:spacing w:before="60"/>
        <w:jc w:val="both"/>
      </w:pPr>
      <w:r>
        <w:rPr>
          <w:rFonts w:ascii="Arial" w:eastAsia="宋体" w:hAnsi="Arial" w:cs="Arial"/>
          <w:color w:val="000000"/>
          <w:sz w:val="9"/>
          <w:szCs w:val="9"/>
        </w:rPr>
        <w:t>(2)</w:t>
      </w:r>
      <w:r>
        <w:rPr>
          <w:rFonts w:ascii="Arial" w:eastAsia="宋体" w:hAnsi="Arial" w:cs="Arial"/>
          <w:color w:val="000000"/>
          <w:sz w:val="14"/>
          <w:szCs w:val="14"/>
        </w:rPr>
        <w:t xml:space="preserve"> Consists entirely of non-agency CMBS.</w:t>
      </w:r>
    </w:p>
    <w:p w14:paraId="74DDBBB8" w14:textId="77777777" w:rsidR="00584EC1" w:rsidRDefault="00871F8D">
      <w:pPr>
        <w:ind w:firstLine="450"/>
        <w:jc w:val="right"/>
      </w:pPr>
      <w:r>
        <w:rPr>
          <w:rFonts w:ascii="Arial" w:eastAsia="宋体" w:hAnsi="Arial" w:cs="Arial"/>
          <w:color w:val="000000"/>
          <w:sz w:val="18"/>
          <w:szCs w:val="18"/>
        </w:rPr>
        <w:t>State Street Corporation | 60</w:t>
      </w:r>
    </w:p>
    <w:p w14:paraId="74DDBBB9" w14:textId="77777777" w:rsidR="00584EC1" w:rsidRDefault="00584EC1">
      <w:pPr>
        <w:ind w:firstLine="450"/>
        <w:jc w:val="center"/>
      </w:pPr>
    </w:p>
    <w:p w14:paraId="74DDBBBA" w14:textId="77777777" w:rsidR="00584EC1" w:rsidRDefault="00871F8D">
      <w:r>
        <w:pict w14:anchorId="74DE2A2A">
          <v:rect id="_x0000_i1084" style="width:415.3pt;height:1.5pt" o:hralign="center" o:hrstd="t" o:hr="t" fillcolor="#a0a0a0" stroked="f"/>
        </w:pict>
      </w:r>
    </w:p>
    <w:p w14:paraId="74DDBBBB" w14:textId="77777777" w:rsidR="00584EC1" w:rsidRDefault="00871F8D">
      <w:pPr>
        <w:ind w:firstLine="450"/>
        <w:jc w:val="center"/>
      </w:pPr>
      <w:r>
        <w:rPr>
          <w:rFonts w:ascii="Arial" w:eastAsia="宋体" w:hAnsi="Arial" w:cs="Arial"/>
          <w:b/>
          <w:bCs/>
          <w:color w:val="000000"/>
          <w:sz w:val="20"/>
          <w:szCs w:val="20"/>
        </w:rPr>
        <w:t>STATE STREET CORPORATION</w:t>
      </w:r>
    </w:p>
    <w:p w14:paraId="74DDBBBC" w14:textId="77777777" w:rsidR="00584EC1" w:rsidRDefault="00871F8D">
      <w:pPr>
        <w:ind w:firstLine="450"/>
        <w:jc w:val="center"/>
      </w:pPr>
      <w:r>
        <w:rPr>
          <w:rFonts w:ascii="Arial" w:eastAsia="宋体" w:hAnsi="Arial" w:cs="Arial"/>
          <w:b/>
          <w:bCs/>
          <w:color w:val="000000"/>
          <w:sz w:val="20"/>
          <w:szCs w:val="20"/>
        </w:rPr>
        <w:t xml:space="preserve">CONDENSED NOTES TO CONSOLIDATED FINANCIAL </w:t>
      </w:r>
      <w:r>
        <w:rPr>
          <w:rFonts w:ascii="Arial" w:eastAsia="宋体" w:hAnsi="Arial" w:cs="Arial"/>
          <w:b/>
          <w:bCs/>
          <w:color w:val="000000"/>
          <w:sz w:val="20"/>
          <w:szCs w:val="20"/>
        </w:rPr>
        <w:t>STATEMENTS</w:t>
      </w:r>
    </w:p>
    <w:p w14:paraId="74DDBBBD" w14:textId="77777777" w:rsidR="00584EC1" w:rsidRDefault="00871F8D">
      <w:pPr>
        <w:ind w:firstLine="450"/>
        <w:jc w:val="center"/>
      </w:pPr>
      <w:r>
        <w:rPr>
          <w:rFonts w:ascii="Arial" w:eastAsia="宋体" w:hAnsi="Arial" w:cs="Arial"/>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54"/>
        <w:gridCol w:w="2239"/>
        <w:gridCol w:w="40"/>
        <w:gridCol w:w="99"/>
        <w:gridCol w:w="1062"/>
        <w:gridCol w:w="36"/>
        <w:gridCol w:w="36"/>
        <w:gridCol w:w="36"/>
        <w:gridCol w:w="36"/>
        <w:gridCol w:w="99"/>
        <w:gridCol w:w="1107"/>
        <w:gridCol w:w="36"/>
        <w:gridCol w:w="36"/>
        <w:gridCol w:w="36"/>
        <w:gridCol w:w="36"/>
        <w:gridCol w:w="99"/>
        <w:gridCol w:w="1107"/>
        <w:gridCol w:w="36"/>
        <w:gridCol w:w="36"/>
        <w:gridCol w:w="36"/>
        <w:gridCol w:w="36"/>
        <w:gridCol w:w="99"/>
        <w:gridCol w:w="611"/>
        <w:gridCol w:w="37"/>
        <w:gridCol w:w="36"/>
        <w:gridCol w:w="36"/>
        <w:gridCol w:w="36"/>
        <w:gridCol w:w="99"/>
        <w:gridCol w:w="1008"/>
        <w:gridCol w:w="36"/>
      </w:tblGrid>
      <w:tr w:rsidR="00584EC1" w14:paraId="74DDBBDC" w14:textId="77777777">
        <w:tc>
          <w:tcPr>
            <w:tcW w:w="50" w:type="pct"/>
            <w:shd w:val="clear" w:color="auto" w:fill="auto"/>
            <w:vAlign w:val="bottom"/>
          </w:tcPr>
          <w:p w14:paraId="74DDBBBE" w14:textId="77777777" w:rsidR="00584EC1" w:rsidRDefault="00584EC1">
            <w:pPr>
              <w:rPr>
                <w:rFonts w:ascii="宋体"/>
              </w:rPr>
            </w:pPr>
          </w:p>
        </w:tc>
        <w:tc>
          <w:tcPr>
            <w:tcW w:w="1728" w:type="pct"/>
            <w:shd w:val="clear" w:color="auto" w:fill="auto"/>
            <w:vAlign w:val="bottom"/>
          </w:tcPr>
          <w:p w14:paraId="74DDBBBF" w14:textId="77777777" w:rsidR="00584EC1" w:rsidRDefault="00584EC1">
            <w:pPr>
              <w:rPr>
                <w:rFonts w:ascii="宋体"/>
              </w:rPr>
            </w:pPr>
          </w:p>
        </w:tc>
        <w:tc>
          <w:tcPr>
            <w:tcW w:w="5" w:type="pct"/>
            <w:shd w:val="clear" w:color="auto" w:fill="auto"/>
            <w:vAlign w:val="bottom"/>
          </w:tcPr>
          <w:p w14:paraId="74DDBBC0" w14:textId="77777777" w:rsidR="00584EC1" w:rsidRDefault="00584EC1">
            <w:pPr>
              <w:rPr>
                <w:rFonts w:ascii="宋体"/>
              </w:rPr>
            </w:pPr>
          </w:p>
        </w:tc>
        <w:tc>
          <w:tcPr>
            <w:tcW w:w="50" w:type="pct"/>
            <w:shd w:val="clear" w:color="auto" w:fill="auto"/>
            <w:vAlign w:val="bottom"/>
          </w:tcPr>
          <w:p w14:paraId="74DDBBC1" w14:textId="77777777" w:rsidR="00584EC1" w:rsidRDefault="00584EC1">
            <w:pPr>
              <w:rPr>
                <w:rFonts w:ascii="宋体"/>
              </w:rPr>
            </w:pPr>
          </w:p>
        </w:tc>
        <w:tc>
          <w:tcPr>
            <w:tcW w:w="610" w:type="pct"/>
            <w:shd w:val="clear" w:color="auto" w:fill="auto"/>
            <w:vAlign w:val="bottom"/>
          </w:tcPr>
          <w:p w14:paraId="74DDBBC2" w14:textId="77777777" w:rsidR="00584EC1" w:rsidRDefault="00584EC1">
            <w:pPr>
              <w:rPr>
                <w:rFonts w:ascii="宋体"/>
              </w:rPr>
            </w:pPr>
          </w:p>
        </w:tc>
        <w:tc>
          <w:tcPr>
            <w:tcW w:w="5" w:type="pct"/>
            <w:shd w:val="clear" w:color="auto" w:fill="auto"/>
            <w:vAlign w:val="bottom"/>
          </w:tcPr>
          <w:p w14:paraId="74DDBBC3" w14:textId="77777777" w:rsidR="00584EC1" w:rsidRDefault="00584EC1">
            <w:pPr>
              <w:rPr>
                <w:rFonts w:ascii="宋体"/>
              </w:rPr>
            </w:pPr>
          </w:p>
        </w:tc>
        <w:tc>
          <w:tcPr>
            <w:tcW w:w="5" w:type="pct"/>
            <w:shd w:val="clear" w:color="auto" w:fill="auto"/>
            <w:vAlign w:val="bottom"/>
          </w:tcPr>
          <w:p w14:paraId="74DDBBC4" w14:textId="77777777" w:rsidR="00584EC1" w:rsidRDefault="00584EC1">
            <w:pPr>
              <w:rPr>
                <w:rFonts w:ascii="宋体"/>
              </w:rPr>
            </w:pPr>
          </w:p>
        </w:tc>
        <w:tc>
          <w:tcPr>
            <w:tcW w:w="26" w:type="pct"/>
            <w:shd w:val="clear" w:color="auto" w:fill="auto"/>
            <w:vAlign w:val="bottom"/>
          </w:tcPr>
          <w:p w14:paraId="74DDBBC5" w14:textId="77777777" w:rsidR="00584EC1" w:rsidRDefault="00584EC1">
            <w:pPr>
              <w:rPr>
                <w:rFonts w:ascii="宋体"/>
              </w:rPr>
            </w:pPr>
          </w:p>
        </w:tc>
        <w:tc>
          <w:tcPr>
            <w:tcW w:w="5" w:type="pct"/>
            <w:shd w:val="clear" w:color="auto" w:fill="auto"/>
            <w:vAlign w:val="bottom"/>
          </w:tcPr>
          <w:p w14:paraId="74DDBBC6" w14:textId="77777777" w:rsidR="00584EC1" w:rsidRDefault="00584EC1">
            <w:pPr>
              <w:rPr>
                <w:rFonts w:ascii="宋体"/>
              </w:rPr>
            </w:pPr>
          </w:p>
        </w:tc>
        <w:tc>
          <w:tcPr>
            <w:tcW w:w="50" w:type="pct"/>
            <w:shd w:val="clear" w:color="auto" w:fill="auto"/>
            <w:vAlign w:val="bottom"/>
          </w:tcPr>
          <w:p w14:paraId="74DDBBC7" w14:textId="77777777" w:rsidR="00584EC1" w:rsidRDefault="00584EC1">
            <w:pPr>
              <w:rPr>
                <w:rFonts w:ascii="宋体"/>
              </w:rPr>
            </w:pPr>
          </w:p>
        </w:tc>
        <w:tc>
          <w:tcPr>
            <w:tcW w:w="610" w:type="pct"/>
            <w:shd w:val="clear" w:color="auto" w:fill="auto"/>
            <w:vAlign w:val="bottom"/>
          </w:tcPr>
          <w:p w14:paraId="74DDBBC8" w14:textId="77777777" w:rsidR="00584EC1" w:rsidRDefault="00584EC1">
            <w:pPr>
              <w:rPr>
                <w:rFonts w:ascii="宋体"/>
              </w:rPr>
            </w:pPr>
          </w:p>
        </w:tc>
        <w:tc>
          <w:tcPr>
            <w:tcW w:w="5" w:type="pct"/>
            <w:shd w:val="clear" w:color="auto" w:fill="auto"/>
            <w:vAlign w:val="bottom"/>
          </w:tcPr>
          <w:p w14:paraId="74DDBBC9" w14:textId="77777777" w:rsidR="00584EC1" w:rsidRDefault="00584EC1">
            <w:pPr>
              <w:rPr>
                <w:rFonts w:ascii="宋体"/>
              </w:rPr>
            </w:pPr>
          </w:p>
        </w:tc>
        <w:tc>
          <w:tcPr>
            <w:tcW w:w="5" w:type="pct"/>
            <w:shd w:val="clear" w:color="auto" w:fill="auto"/>
            <w:vAlign w:val="bottom"/>
          </w:tcPr>
          <w:p w14:paraId="74DDBBCA" w14:textId="77777777" w:rsidR="00584EC1" w:rsidRDefault="00584EC1">
            <w:pPr>
              <w:rPr>
                <w:rFonts w:ascii="宋体"/>
              </w:rPr>
            </w:pPr>
          </w:p>
        </w:tc>
        <w:tc>
          <w:tcPr>
            <w:tcW w:w="26" w:type="pct"/>
            <w:shd w:val="clear" w:color="auto" w:fill="auto"/>
            <w:vAlign w:val="bottom"/>
          </w:tcPr>
          <w:p w14:paraId="74DDBBCB" w14:textId="77777777" w:rsidR="00584EC1" w:rsidRDefault="00584EC1">
            <w:pPr>
              <w:rPr>
                <w:rFonts w:ascii="宋体"/>
              </w:rPr>
            </w:pPr>
          </w:p>
        </w:tc>
        <w:tc>
          <w:tcPr>
            <w:tcW w:w="5" w:type="pct"/>
            <w:shd w:val="clear" w:color="auto" w:fill="auto"/>
            <w:vAlign w:val="bottom"/>
          </w:tcPr>
          <w:p w14:paraId="74DDBBCC" w14:textId="77777777" w:rsidR="00584EC1" w:rsidRDefault="00584EC1">
            <w:pPr>
              <w:rPr>
                <w:rFonts w:ascii="宋体"/>
              </w:rPr>
            </w:pPr>
          </w:p>
        </w:tc>
        <w:tc>
          <w:tcPr>
            <w:tcW w:w="50" w:type="pct"/>
            <w:shd w:val="clear" w:color="auto" w:fill="auto"/>
            <w:vAlign w:val="bottom"/>
          </w:tcPr>
          <w:p w14:paraId="74DDBBCD" w14:textId="77777777" w:rsidR="00584EC1" w:rsidRDefault="00584EC1">
            <w:pPr>
              <w:rPr>
                <w:rFonts w:ascii="宋体"/>
              </w:rPr>
            </w:pPr>
          </w:p>
        </w:tc>
        <w:tc>
          <w:tcPr>
            <w:tcW w:w="610" w:type="pct"/>
            <w:shd w:val="clear" w:color="auto" w:fill="auto"/>
            <w:vAlign w:val="bottom"/>
          </w:tcPr>
          <w:p w14:paraId="74DDBBCE" w14:textId="77777777" w:rsidR="00584EC1" w:rsidRDefault="00584EC1">
            <w:pPr>
              <w:rPr>
                <w:rFonts w:ascii="宋体"/>
              </w:rPr>
            </w:pPr>
          </w:p>
        </w:tc>
        <w:tc>
          <w:tcPr>
            <w:tcW w:w="5" w:type="pct"/>
            <w:shd w:val="clear" w:color="auto" w:fill="auto"/>
            <w:vAlign w:val="bottom"/>
          </w:tcPr>
          <w:p w14:paraId="74DDBBCF" w14:textId="77777777" w:rsidR="00584EC1" w:rsidRDefault="00584EC1">
            <w:pPr>
              <w:rPr>
                <w:rFonts w:ascii="宋体"/>
              </w:rPr>
            </w:pPr>
          </w:p>
        </w:tc>
        <w:tc>
          <w:tcPr>
            <w:tcW w:w="5" w:type="pct"/>
            <w:shd w:val="clear" w:color="auto" w:fill="auto"/>
            <w:vAlign w:val="bottom"/>
          </w:tcPr>
          <w:p w14:paraId="74DDBBD0" w14:textId="77777777" w:rsidR="00584EC1" w:rsidRDefault="00584EC1">
            <w:pPr>
              <w:rPr>
                <w:rFonts w:ascii="宋体"/>
              </w:rPr>
            </w:pPr>
          </w:p>
        </w:tc>
        <w:tc>
          <w:tcPr>
            <w:tcW w:w="26" w:type="pct"/>
            <w:shd w:val="clear" w:color="auto" w:fill="auto"/>
            <w:vAlign w:val="bottom"/>
          </w:tcPr>
          <w:p w14:paraId="74DDBBD1" w14:textId="77777777" w:rsidR="00584EC1" w:rsidRDefault="00584EC1">
            <w:pPr>
              <w:rPr>
                <w:rFonts w:ascii="宋体"/>
              </w:rPr>
            </w:pPr>
          </w:p>
        </w:tc>
        <w:tc>
          <w:tcPr>
            <w:tcW w:w="5" w:type="pct"/>
            <w:shd w:val="clear" w:color="auto" w:fill="auto"/>
            <w:vAlign w:val="bottom"/>
          </w:tcPr>
          <w:p w14:paraId="74DDBBD2" w14:textId="77777777" w:rsidR="00584EC1" w:rsidRDefault="00584EC1">
            <w:pPr>
              <w:rPr>
                <w:rFonts w:ascii="宋体"/>
              </w:rPr>
            </w:pPr>
          </w:p>
        </w:tc>
        <w:tc>
          <w:tcPr>
            <w:tcW w:w="50" w:type="pct"/>
            <w:shd w:val="clear" w:color="auto" w:fill="auto"/>
            <w:vAlign w:val="bottom"/>
          </w:tcPr>
          <w:p w14:paraId="74DDBBD3" w14:textId="77777777" w:rsidR="00584EC1" w:rsidRDefault="00584EC1">
            <w:pPr>
              <w:rPr>
                <w:rFonts w:ascii="宋体"/>
              </w:rPr>
            </w:pPr>
          </w:p>
        </w:tc>
        <w:tc>
          <w:tcPr>
            <w:tcW w:w="354" w:type="pct"/>
            <w:shd w:val="clear" w:color="auto" w:fill="auto"/>
            <w:vAlign w:val="bottom"/>
          </w:tcPr>
          <w:p w14:paraId="74DDBBD4" w14:textId="77777777" w:rsidR="00584EC1" w:rsidRDefault="00584EC1">
            <w:pPr>
              <w:rPr>
                <w:rFonts w:ascii="宋体"/>
              </w:rPr>
            </w:pPr>
          </w:p>
        </w:tc>
        <w:tc>
          <w:tcPr>
            <w:tcW w:w="5" w:type="pct"/>
            <w:shd w:val="clear" w:color="auto" w:fill="auto"/>
            <w:vAlign w:val="bottom"/>
          </w:tcPr>
          <w:p w14:paraId="74DDBBD5" w14:textId="77777777" w:rsidR="00584EC1" w:rsidRDefault="00584EC1">
            <w:pPr>
              <w:rPr>
                <w:rFonts w:ascii="宋体"/>
              </w:rPr>
            </w:pPr>
          </w:p>
        </w:tc>
        <w:tc>
          <w:tcPr>
            <w:tcW w:w="5" w:type="pct"/>
            <w:shd w:val="clear" w:color="auto" w:fill="auto"/>
            <w:vAlign w:val="bottom"/>
          </w:tcPr>
          <w:p w14:paraId="74DDBBD6" w14:textId="77777777" w:rsidR="00584EC1" w:rsidRDefault="00584EC1">
            <w:pPr>
              <w:rPr>
                <w:rFonts w:ascii="宋体"/>
              </w:rPr>
            </w:pPr>
          </w:p>
        </w:tc>
        <w:tc>
          <w:tcPr>
            <w:tcW w:w="26" w:type="pct"/>
            <w:shd w:val="clear" w:color="auto" w:fill="auto"/>
            <w:vAlign w:val="bottom"/>
          </w:tcPr>
          <w:p w14:paraId="74DDBBD7" w14:textId="77777777" w:rsidR="00584EC1" w:rsidRDefault="00584EC1">
            <w:pPr>
              <w:rPr>
                <w:rFonts w:ascii="宋体"/>
              </w:rPr>
            </w:pPr>
          </w:p>
        </w:tc>
        <w:tc>
          <w:tcPr>
            <w:tcW w:w="5" w:type="pct"/>
            <w:shd w:val="clear" w:color="auto" w:fill="auto"/>
            <w:vAlign w:val="bottom"/>
          </w:tcPr>
          <w:p w14:paraId="74DDBBD8" w14:textId="77777777" w:rsidR="00584EC1" w:rsidRDefault="00584EC1">
            <w:pPr>
              <w:rPr>
                <w:rFonts w:ascii="宋体"/>
              </w:rPr>
            </w:pPr>
          </w:p>
        </w:tc>
        <w:tc>
          <w:tcPr>
            <w:tcW w:w="50" w:type="pct"/>
            <w:shd w:val="clear" w:color="auto" w:fill="auto"/>
            <w:vAlign w:val="bottom"/>
          </w:tcPr>
          <w:p w14:paraId="74DDBBD9" w14:textId="77777777" w:rsidR="00584EC1" w:rsidRDefault="00584EC1">
            <w:pPr>
              <w:rPr>
                <w:rFonts w:ascii="宋体"/>
              </w:rPr>
            </w:pPr>
          </w:p>
        </w:tc>
        <w:tc>
          <w:tcPr>
            <w:tcW w:w="610" w:type="pct"/>
            <w:shd w:val="clear" w:color="auto" w:fill="auto"/>
            <w:vAlign w:val="bottom"/>
          </w:tcPr>
          <w:p w14:paraId="74DDBBDA" w14:textId="77777777" w:rsidR="00584EC1" w:rsidRDefault="00584EC1">
            <w:pPr>
              <w:rPr>
                <w:rFonts w:ascii="宋体"/>
              </w:rPr>
            </w:pPr>
          </w:p>
        </w:tc>
        <w:tc>
          <w:tcPr>
            <w:tcW w:w="5" w:type="pct"/>
            <w:shd w:val="clear" w:color="auto" w:fill="auto"/>
            <w:vAlign w:val="bottom"/>
          </w:tcPr>
          <w:p w14:paraId="74DDBBDB" w14:textId="77777777" w:rsidR="00584EC1" w:rsidRDefault="00584EC1">
            <w:pPr>
              <w:rPr>
                <w:rFonts w:ascii="宋体"/>
              </w:rPr>
            </w:pPr>
          </w:p>
        </w:tc>
      </w:tr>
      <w:tr w:rsidR="00584EC1" w14:paraId="74DDBBDF" w14:textId="77777777">
        <w:tc>
          <w:tcPr>
            <w:tcW w:w="0" w:type="auto"/>
            <w:gridSpan w:val="3"/>
            <w:shd w:val="clear" w:color="auto" w:fill="auto"/>
            <w:tcMar>
              <w:top w:w="0" w:type="dxa"/>
              <w:left w:w="20" w:type="dxa"/>
              <w:bottom w:w="0" w:type="dxa"/>
              <w:right w:w="20" w:type="dxa"/>
            </w:tcMar>
            <w:vAlign w:val="bottom"/>
          </w:tcPr>
          <w:p w14:paraId="74DDBBDD" w14:textId="77777777" w:rsidR="00584EC1" w:rsidRDefault="00584EC1">
            <w:pPr>
              <w:rPr>
                <w:rFonts w:ascii="宋体"/>
              </w:rPr>
            </w:pPr>
          </w:p>
        </w:tc>
        <w:tc>
          <w:tcPr>
            <w:tcW w:w="0" w:type="auto"/>
            <w:gridSpan w:val="27"/>
            <w:shd w:val="clear" w:color="auto" w:fill="auto"/>
            <w:tcMar>
              <w:top w:w="40" w:type="dxa"/>
              <w:left w:w="20" w:type="dxa"/>
              <w:bottom w:w="40" w:type="dxa"/>
              <w:right w:w="20" w:type="dxa"/>
            </w:tcMar>
            <w:vAlign w:val="bottom"/>
          </w:tcPr>
          <w:p w14:paraId="74DDBBDE" w14:textId="77777777" w:rsidR="00584EC1" w:rsidRDefault="00871F8D">
            <w:pPr>
              <w:jc w:val="center"/>
              <w:textAlignment w:val="bottom"/>
            </w:pPr>
            <w:r>
              <w:rPr>
                <w:rFonts w:ascii="Arial" w:eastAsia="宋体" w:hAnsi="Arial" w:cs="Arial"/>
                <w:b/>
                <w:bCs/>
                <w:color w:val="000000"/>
                <w:sz w:val="15"/>
                <w:szCs w:val="15"/>
              </w:rPr>
              <w:t>Fair Value Measurements on a Recurring Basis</w:t>
            </w:r>
          </w:p>
        </w:tc>
      </w:tr>
      <w:tr w:rsidR="00584EC1" w14:paraId="74DDBBE2" w14:textId="77777777">
        <w:tc>
          <w:tcPr>
            <w:tcW w:w="0" w:type="auto"/>
            <w:gridSpan w:val="3"/>
            <w:shd w:val="clear" w:color="auto" w:fill="auto"/>
            <w:tcMar>
              <w:top w:w="0" w:type="dxa"/>
              <w:left w:w="20" w:type="dxa"/>
              <w:bottom w:w="0" w:type="dxa"/>
              <w:right w:w="20" w:type="dxa"/>
            </w:tcMar>
            <w:vAlign w:val="bottom"/>
          </w:tcPr>
          <w:p w14:paraId="74DDBBE0" w14:textId="77777777" w:rsidR="00584EC1" w:rsidRDefault="00584EC1">
            <w:pPr>
              <w:rPr>
                <w:rFonts w:ascii="宋体"/>
              </w:rPr>
            </w:pPr>
          </w:p>
        </w:tc>
        <w:tc>
          <w:tcPr>
            <w:tcW w:w="0" w:type="auto"/>
            <w:gridSpan w:val="27"/>
            <w:shd w:val="clear" w:color="auto" w:fill="auto"/>
            <w:tcMar>
              <w:top w:w="40" w:type="dxa"/>
              <w:left w:w="20" w:type="dxa"/>
              <w:bottom w:w="40" w:type="dxa"/>
              <w:right w:w="20" w:type="dxa"/>
            </w:tcMar>
            <w:vAlign w:val="bottom"/>
          </w:tcPr>
          <w:p w14:paraId="74DDBBE1" w14:textId="77777777" w:rsidR="00584EC1" w:rsidRDefault="00871F8D">
            <w:pPr>
              <w:jc w:val="center"/>
              <w:textAlignment w:val="bottom"/>
            </w:pPr>
            <w:r>
              <w:rPr>
                <w:rFonts w:ascii="Arial" w:eastAsia="宋体" w:hAnsi="Arial" w:cs="Arial"/>
                <w:b/>
                <w:bCs/>
                <w:color w:val="000000"/>
                <w:sz w:val="15"/>
                <w:szCs w:val="15"/>
              </w:rPr>
              <w:t>As of December 31, 2020</w:t>
            </w:r>
          </w:p>
        </w:tc>
      </w:tr>
      <w:tr w:rsidR="00584EC1" w14:paraId="74DDBBED" w14:textId="77777777">
        <w:tc>
          <w:tcPr>
            <w:tcW w:w="0" w:type="auto"/>
            <w:gridSpan w:val="3"/>
            <w:shd w:val="clear" w:color="auto" w:fill="auto"/>
            <w:tcMar>
              <w:top w:w="40" w:type="dxa"/>
              <w:left w:w="20" w:type="dxa"/>
              <w:bottom w:w="40" w:type="dxa"/>
              <w:right w:w="20" w:type="dxa"/>
            </w:tcMar>
            <w:vAlign w:val="bottom"/>
          </w:tcPr>
          <w:p w14:paraId="74DDBBE3" w14:textId="77777777" w:rsidR="00584EC1" w:rsidRDefault="00871F8D">
            <w:pPr>
              <w:spacing w:before="90"/>
              <w:textAlignment w:val="bottom"/>
            </w:pPr>
            <w:r>
              <w:rPr>
                <w:rFonts w:ascii="Arial" w:eastAsia="宋体" w:hAnsi="Arial" w:cs="Arial"/>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BBE4" w14:textId="77777777" w:rsidR="00584EC1" w:rsidRDefault="00871F8D">
            <w:pPr>
              <w:jc w:val="center"/>
              <w:textAlignment w:val="bottom"/>
            </w:pPr>
            <w:r>
              <w:rPr>
                <w:rFonts w:ascii="Arial" w:eastAsia="宋体" w:hAnsi="Arial" w:cs="Arial"/>
                <w:b/>
                <w:bCs/>
                <w:color w:val="000000"/>
                <w:sz w:val="15"/>
                <w:szCs w:val="15"/>
              </w:rPr>
              <w:t>Quoted Market</w:t>
            </w:r>
            <w:r>
              <w:rPr>
                <w:rFonts w:ascii="Arial" w:eastAsia="宋体" w:hAnsi="Arial" w:cs="Arial"/>
                <w:b/>
                <w:bCs/>
                <w:color w:val="000000"/>
                <w:sz w:val="15"/>
                <w:szCs w:val="15"/>
              </w:rPr>
              <w:br/>
              <w:t>Prices in Active</w:t>
            </w:r>
            <w:r>
              <w:rPr>
                <w:rFonts w:ascii="Arial" w:eastAsia="宋体" w:hAnsi="Arial" w:cs="Arial"/>
                <w:b/>
                <w:bCs/>
                <w:color w:val="000000"/>
                <w:sz w:val="15"/>
                <w:szCs w:val="15"/>
              </w:rPr>
              <w:br/>
              <w:t>Markets</w:t>
            </w:r>
            <w:r>
              <w:rPr>
                <w:rFonts w:ascii="Arial" w:eastAsia="宋体" w:hAnsi="Arial" w:cs="Arial"/>
                <w:b/>
                <w:bCs/>
                <w:color w:val="000000"/>
                <w:sz w:val="15"/>
                <w:szCs w:val="15"/>
              </w:rPr>
              <w:br/>
              <w:t>(Level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BBE5"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BBE6" w14:textId="77777777" w:rsidR="00584EC1" w:rsidRDefault="00871F8D">
            <w:pPr>
              <w:jc w:val="center"/>
              <w:textAlignment w:val="bottom"/>
            </w:pPr>
            <w:r>
              <w:rPr>
                <w:rFonts w:ascii="Arial" w:eastAsia="宋体" w:hAnsi="Arial" w:cs="Arial"/>
                <w:b/>
                <w:bCs/>
                <w:color w:val="000000"/>
                <w:sz w:val="15"/>
                <w:szCs w:val="15"/>
              </w:rPr>
              <w:t>Pricing Methods</w:t>
            </w:r>
            <w:r>
              <w:rPr>
                <w:rFonts w:ascii="Arial" w:eastAsia="宋体" w:hAnsi="Arial" w:cs="Arial"/>
                <w:b/>
                <w:bCs/>
                <w:color w:val="000000"/>
                <w:sz w:val="15"/>
                <w:szCs w:val="15"/>
              </w:rPr>
              <w:br/>
              <w:t>with Significant</w:t>
            </w:r>
            <w:r>
              <w:rPr>
                <w:rFonts w:ascii="Arial" w:eastAsia="宋体" w:hAnsi="Arial" w:cs="Arial"/>
                <w:b/>
                <w:bCs/>
                <w:color w:val="000000"/>
                <w:sz w:val="15"/>
                <w:szCs w:val="15"/>
              </w:rPr>
              <w:br/>
              <w:t>Observable</w:t>
            </w:r>
            <w:r>
              <w:rPr>
                <w:rFonts w:ascii="Arial" w:eastAsia="宋体" w:hAnsi="Arial" w:cs="Arial"/>
                <w:b/>
                <w:bCs/>
                <w:color w:val="000000"/>
                <w:sz w:val="15"/>
                <w:szCs w:val="15"/>
              </w:rPr>
              <w:br/>
              <w:t>Market Inputs</w:t>
            </w:r>
            <w:r>
              <w:rPr>
                <w:rFonts w:ascii="Arial" w:eastAsia="宋体" w:hAnsi="Arial" w:cs="Arial"/>
                <w:b/>
                <w:bCs/>
                <w:color w:val="000000"/>
                <w:sz w:val="15"/>
                <w:szCs w:val="15"/>
              </w:rPr>
              <w:br/>
              <w:t>(Level 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BBE7"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BBE8" w14:textId="77777777" w:rsidR="00584EC1" w:rsidRDefault="00871F8D">
            <w:pPr>
              <w:jc w:val="center"/>
              <w:textAlignment w:val="bottom"/>
            </w:pPr>
            <w:r>
              <w:rPr>
                <w:rFonts w:ascii="Arial" w:eastAsia="宋体" w:hAnsi="Arial" w:cs="Arial"/>
                <w:b/>
                <w:bCs/>
                <w:color w:val="000000"/>
                <w:sz w:val="15"/>
                <w:szCs w:val="15"/>
              </w:rPr>
              <w:t>Pricing Methods</w:t>
            </w:r>
            <w:r>
              <w:rPr>
                <w:rFonts w:ascii="Arial" w:eastAsia="宋体" w:hAnsi="Arial" w:cs="Arial"/>
                <w:b/>
                <w:bCs/>
                <w:color w:val="000000"/>
                <w:sz w:val="15"/>
                <w:szCs w:val="15"/>
              </w:rPr>
              <w:br/>
              <w:t>with Significant</w:t>
            </w:r>
            <w:r>
              <w:rPr>
                <w:rFonts w:ascii="Arial" w:eastAsia="宋体" w:hAnsi="Arial" w:cs="Arial"/>
                <w:b/>
                <w:bCs/>
                <w:color w:val="000000"/>
                <w:sz w:val="15"/>
                <w:szCs w:val="15"/>
              </w:rPr>
              <w:br/>
              <w:t>Unobservable</w:t>
            </w:r>
            <w:r>
              <w:rPr>
                <w:rFonts w:ascii="Arial" w:eastAsia="宋体" w:hAnsi="Arial" w:cs="Arial"/>
                <w:b/>
                <w:bCs/>
                <w:color w:val="000000"/>
                <w:sz w:val="15"/>
                <w:szCs w:val="15"/>
              </w:rPr>
              <w:br/>
              <w:t>Market Inputs</w:t>
            </w:r>
            <w:r>
              <w:rPr>
                <w:rFonts w:ascii="Arial" w:eastAsia="宋体" w:hAnsi="Arial" w:cs="Arial"/>
                <w:b/>
                <w:bCs/>
                <w:color w:val="000000"/>
                <w:sz w:val="15"/>
                <w:szCs w:val="15"/>
              </w:rPr>
              <w:br/>
              <w:t>(Level 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BBE9"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BBEA" w14:textId="77777777" w:rsidR="00584EC1" w:rsidRDefault="00871F8D">
            <w:pPr>
              <w:jc w:val="center"/>
              <w:textAlignment w:val="bottom"/>
            </w:pPr>
            <w:r>
              <w:rPr>
                <w:rFonts w:ascii="Arial" w:eastAsia="宋体" w:hAnsi="Arial" w:cs="Arial"/>
                <w:b/>
                <w:bCs/>
                <w:color w:val="000000"/>
                <w:sz w:val="15"/>
                <w:szCs w:val="15"/>
              </w:rPr>
              <w:t>Impact of Netting</w:t>
            </w:r>
            <w:r>
              <w:rPr>
                <w:rFonts w:ascii="Arial" w:eastAsia="宋体" w:hAnsi="Arial" w:cs="Arial"/>
                <w:b/>
                <w:bCs/>
                <w:color w:val="000000"/>
                <w:sz w:val="9"/>
                <w:szCs w:val="9"/>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BBEB"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BBEC" w14:textId="77777777" w:rsidR="00584EC1" w:rsidRDefault="00871F8D">
            <w:pPr>
              <w:jc w:val="center"/>
              <w:textAlignment w:val="bottom"/>
            </w:pPr>
            <w:r>
              <w:rPr>
                <w:rFonts w:ascii="Arial" w:eastAsia="宋体" w:hAnsi="Arial" w:cs="Arial"/>
                <w:b/>
                <w:bCs/>
                <w:color w:val="000000"/>
                <w:sz w:val="15"/>
                <w:szCs w:val="15"/>
              </w:rPr>
              <w:t>Total Net</w:t>
            </w:r>
            <w:r>
              <w:rPr>
                <w:rFonts w:ascii="Arial" w:eastAsia="宋体" w:hAnsi="Arial" w:cs="Arial"/>
                <w:b/>
                <w:bCs/>
                <w:color w:val="000000"/>
                <w:sz w:val="15"/>
                <w:szCs w:val="15"/>
              </w:rPr>
              <w:br/>
              <w:t>Carrying Value</w:t>
            </w:r>
            <w:r>
              <w:rPr>
                <w:rFonts w:ascii="Arial" w:eastAsia="宋体" w:hAnsi="Arial" w:cs="Arial"/>
                <w:b/>
                <w:bCs/>
                <w:color w:val="000000"/>
                <w:sz w:val="15"/>
                <w:szCs w:val="15"/>
              </w:rPr>
              <w:br/>
              <w:t>in Consolidated</w:t>
            </w:r>
            <w:r>
              <w:rPr>
                <w:rFonts w:ascii="Arial" w:eastAsia="宋体" w:hAnsi="Arial" w:cs="Arial"/>
                <w:b/>
                <w:bCs/>
                <w:color w:val="000000"/>
                <w:sz w:val="15"/>
                <w:szCs w:val="15"/>
              </w:rPr>
              <w:br/>
              <w:t>Statement of</w:t>
            </w:r>
            <w:r>
              <w:rPr>
                <w:rFonts w:ascii="Arial" w:eastAsia="宋体" w:hAnsi="Arial" w:cs="Arial"/>
                <w:b/>
                <w:bCs/>
                <w:color w:val="000000"/>
                <w:sz w:val="15"/>
                <w:szCs w:val="15"/>
              </w:rPr>
              <w:br/>
              <w:t>Condition</w:t>
            </w:r>
          </w:p>
        </w:tc>
      </w:tr>
      <w:tr w:rsidR="00584EC1" w14:paraId="74DDBBF8" w14:textId="77777777">
        <w:tc>
          <w:tcPr>
            <w:tcW w:w="0" w:type="auto"/>
            <w:gridSpan w:val="3"/>
            <w:shd w:val="clear" w:color="auto" w:fill="auto"/>
            <w:tcMar>
              <w:top w:w="40" w:type="dxa"/>
              <w:left w:w="20" w:type="dxa"/>
              <w:bottom w:w="40" w:type="dxa"/>
              <w:right w:w="20" w:type="dxa"/>
            </w:tcMar>
            <w:vAlign w:val="bottom"/>
          </w:tcPr>
          <w:p w14:paraId="74DDBBEE" w14:textId="77777777" w:rsidR="00584EC1" w:rsidRDefault="00871F8D">
            <w:pPr>
              <w:textAlignment w:val="bottom"/>
            </w:pPr>
            <w:r>
              <w:rPr>
                <w:rFonts w:ascii="Arial" w:eastAsia="宋体" w:hAnsi="Arial" w:cs="Arial"/>
                <w:b/>
                <w:bCs/>
                <w:color w:val="000000"/>
                <w:sz w:val="14"/>
                <w:szCs w:val="14"/>
              </w:rPr>
              <w:t>Assets: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BBEF"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BBF0"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BBF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BBF2"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BBF3"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BBF4"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BBF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BBF6"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BBF7" w14:textId="77777777" w:rsidR="00584EC1" w:rsidRDefault="00584EC1">
            <w:pPr>
              <w:rPr>
                <w:rFonts w:ascii="宋体"/>
              </w:rPr>
            </w:pPr>
          </w:p>
        </w:tc>
      </w:tr>
      <w:tr w:rsidR="00584EC1" w14:paraId="74DDBC03" w14:textId="77777777">
        <w:tc>
          <w:tcPr>
            <w:tcW w:w="0" w:type="auto"/>
            <w:gridSpan w:val="3"/>
            <w:shd w:val="clear" w:color="auto" w:fill="auto"/>
            <w:tcMar>
              <w:top w:w="40" w:type="dxa"/>
              <w:left w:w="20" w:type="dxa"/>
              <w:bottom w:w="40" w:type="dxa"/>
              <w:right w:w="20" w:type="dxa"/>
            </w:tcMar>
            <w:vAlign w:val="bottom"/>
          </w:tcPr>
          <w:p w14:paraId="74DDBBF9" w14:textId="77777777" w:rsidR="00584EC1" w:rsidRDefault="00871F8D">
            <w:pPr>
              <w:textAlignment w:val="bottom"/>
            </w:pPr>
            <w:r>
              <w:rPr>
                <w:rFonts w:ascii="Arial" w:eastAsia="宋体" w:hAnsi="Arial" w:cs="Arial"/>
                <w:color w:val="000000"/>
                <w:sz w:val="15"/>
                <w:szCs w:val="15"/>
              </w:rPr>
              <w:t>Trading account assets:</w:t>
            </w:r>
          </w:p>
        </w:tc>
        <w:tc>
          <w:tcPr>
            <w:tcW w:w="0" w:type="auto"/>
            <w:gridSpan w:val="3"/>
            <w:shd w:val="clear" w:color="auto" w:fill="auto"/>
            <w:tcMar>
              <w:top w:w="0" w:type="dxa"/>
              <w:left w:w="20" w:type="dxa"/>
              <w:bottom w:w="0" w:type="dxa"/>
              <w:right w:w="20" w:type="dxa"/>
            </w:tcMar>
            <w:vAlign w:val="bottom"/>
          </w:tcPr>
          <w:p w14:paraId="74DDBBFA"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BBFB"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BBFC"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BBFD"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BBFE"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BBFF"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BC00"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BC0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BC02" w14:textId="77777777" w:rsidR="00584EC1" w:rsidRDefault="00584EC1">
            <w:pPr>
              <w:rPr>
                <w:rFonts w:ascii="宋体"/>
              </w:rPr>
            </w:pPr>
          </w:p>
        </w:tc>
      </w:tr>
      <w:tr w:rsidR="00584EC1" w14:paraId="74DDBC16" w14:textId="77777777">
        <w:tc>
          <w:tcPr>
            <w:tcW w:w="0" w:type="auto"/>
            <w:gridSpan w:val="3"/>
            <w:shd w:val="clear" w:color="auto" w:fill="CCEEFF"/>
            <w:tcMar>
              <w:top w:w="40" w:type="dxa"/>
              <w:left w:w="245" w:type="dxa"/>
              <w:bottom w:w="40" w:type="dxa"/>
              <w:right w:w="20" w:type="dxa"/>
            </w:tcMar>
            <w:vAlign w:val="bottom"/>
          </w:tcPr>
          <w:p w14:paraId="74DDBC04" w14:textId="77777777" w:rsidR="00584EC1" w:rsidRDefault="00871F8D">
            <w:pPr>
              <w:textAlignment w:val="bottom"/>
            </w:pPr>
            <w:r>
              <w:rPr>
                <w:rFonts w:ascii="Arial" w:eastAsia="宋体" w:hAnsi="Arial" w:cs="Arial"/>
                <w:color w:val="000000"/>
                <w:sz w:val="15"/>
                <w:szCs w:val="15"/>
              </w:rPr>
              <w:t>U.S. government securities</w:t>
            </w:r>
          </w:p>
        </w:tc>
        <w:tc>
          <w:tcPr>
            <w:tcW w:w="0" w:type="auto"/>
            <w:shd w:val="clear" w:color="auto" w:fill="CCEEFF"/>
            <w:tcMar>
              <w:top w:w="40" w:type="dxa"/>
              <w:left w:w="20" w:type="dxa"/>
              <w:bottom w:w="40" w:type="dxa"/>
              <w:right w:w="0" w:type="dxa"/>
            </w:tcMar>
            <w:vAlign w:val="bottom"/>
          </w:tcPr>
          <w:p w14:paraId="74DDBC05"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BC06" w14:textId="77777777" w:rsidR="00584EC1" w:rsidRDefault="00871F8D">
            <w:pPr>
              <w:jc w:val="right"/>
              <w:textAlignment w:val="bottom"/>
            </w:pPr>
            <w:r>
              <w:rPr>
                <w:rFonts w:ascii="Arial" w:eastAsia="宋体" w:hAnsi="Arial" w:cs="Arial"/>
                <w:color w:val="000000"/>
                <w:sz w:val="14"/>
                <w:szCs w:val="14"/>
              </w:rPr>
              <w:t>40 </w:t>
            </w:r>
          </w:p>
        </w:tc>
        <w:tc>
          <w:tcPr>
            <w:tcW w:w="0" w:type="auto"/>
            <w:shd w:val="clear" w:color="auto" w:fill="CCEEFF"/>
            <w:tcMar>
              <w:top w:w="40" w:type="dxa"/>
              <w:left w:w="0" w:type="dxa"/>
              <w:bottom w:w="40" w:type="dxa"/>
              <w:right w:w="20" w:type="dxa"/>
            </w:tcMar>
            <w:vAlign w:val="bottom"/>
          </w:tcPr>
          <w:p w14:paraId="74DDBC0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C08"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BC09"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BC0A"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BC0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C0C"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BC0D"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BC0E"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BC0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C10"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C11"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C12"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BC13"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BC14" w14:textId="77777777" w:rsidR="00584EC1" w:rsidRDefault="00871F8D">
            <w:pPr>
              <w:jc w:val="right"/>
              <w:textAlignment w:val="bottom"/>
            </w:pPr>
            <w:r>
              <w:rPr>
                <w:rFonts w:ascii="Arial" w:eastAsia="宋体" w:hAnsi="Arial" w:cs="Arial"/>
                <w:color w:val="000000"/>
                <w:sz w:val="14"/>
                <w:szCs w:val="14"/>
              </w:rPr>
              <w:t>40 </w:t>
            </w:r>
          </w:p>
        </w:tc>
        <w:tc>
          <w:tcPr>
            <w:tcW w:w="0" w:type="auto"/>
            <w:shd w:val="clear" w:color="auto" w:fill="CCEEFF"/>
            <w:tcMar>
              <w:top w:w="40" w:type="dxa"/>
              <w:left w:w="0" w:type="dxa"/>
              <w:bottom w:w="40" w:type="dxa"/>
              <w:right w:w="20" w:type="dxa"/>
            </w:tcMar>
            <w:vAlign w:val="bottom"/>
          </w:tcPr>
          <w:p w14:paraId="74DDBC15" w14:textId="77777777" w:rsidR="00584EC1" w:rsidRDefault="00584EC1">
            <w:pPr>
              <w:jc w:val="right"/>
              <w:rPr>
                <w:rFonts w:ascii="宋体"/>
              </w:rPr>
            </w:pPr>
          </w:p>
        </w:tc>
      </w:tr>
      <w:tr w:rsidR="00584EC1" w14:paraId="74DDBC25" w14:textId="77777777">
        <w:tc>
          <w:tcPr>
            <w:tcW w:w="0" w:type="auto"/>
            <w:gridSpan w:val="3"/>
            <w:shd w:val="clear" w:color="auto" w:fill="FFFFFF"/>
            <w:tcMar>
              <w:top w:w="40" w:type="dxa"/>
              <w:left w:w="245" w:type="dxa"/>
              <w:bottom w:w="40" w:type="dxa"/>
              <w:right w:w="20" w:type="dxa"/>
            </w:tcMar>
            <w:vAlign w:val="bottom"/>
          </w:tcPr>
          <w:p w14:paraId="74DDBC17" w14:textId="77777777" w:rsidR="00584EC1" w:rsidRDefault="00871F8D">
            <w:pPr>
              <w:textAlignment w:val="bottom"/>
            </w:pPr>
            <w:r>
              <w:rPr>
                <w:rFonts w:ascii="Arial" w:eastAsia="宋体" w:hAnsi="Arial" w:cs="Arial"/>
                <w:color w:val="000000"/>
                <w:sz w:val="15"/>
                <w:szCs w:val="15"/>
              </w:rPr>
              <w:t>Non-U.S. government securities</w:t>
            </w:r>
          </w:p>
        </w:tc>
        <w:tc>
          <w:tcPr>
            <w:tcW w:w="0" w:type="auto"/>
            <w:gridSpan w:val="2"/>
            <w:shd w:val="clear" w:color="auto" w:fill="FFFFFF"/>
            <w:tcMar>
              <w:top w:w="40" w:type="dxa"/>
              <w:left w:w="20" w:type="dxa"/>
              <w:bottom w:w="40" w:type="dxa"/>
              <w:right w:w="0" w:type="dxa"/>
            </w:tcMar>
            <w:vAlign w:val="bottom"/>
          </w:tcPr>
          <w:p w14:paraId="74DDBC18"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BC1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C1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C1B" w14:textId="77777777" w:rsidR="00584EC1" w:rsidRDefault="00871F8D">
            <w:pPr>
              <w:jc w:val="right"/>
              <w:textAlignment w:val="bottom"/>
            </w:pPr>
            <w:r>
              <w:rPr>
                <w:rFonts w:ascii="Arial" w:eastAsia="宋体" w:hAnsi="Arial" w:cs="Arial"/>
                <w:color w:val="000000"/>
                <w:sz w:val="14"/>
                <w:szCs w:val="14"/>
              </w:rPr>
              <w:t>239 </w:t>
            </w:r>
          </w:p>
        </w:tc>
        <w:tc>
          <w:tcPr>
            <w:tcW w:w="0" w:type="auto"/>
            <w:shd w:val="clear" w:color="auto" w:fill="FFFFFF"/>
            <w:tcMar>
              <w:top w:w="40" w:type="dxa"/>
              <w:left w:w="0" w:type="dxa"/>
              <w:bottom w:w="40" w:type="dxa"/>
              <w:right w:w="20" w:type="dxa"/>
            </w:tcMar>
            <w:vAlign w:val="bottom"/>
          </w:tcPr>
          <w:p w14:paraId="74DDBC1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C1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C1E"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BC1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C20"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C21"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C2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C23" w14:textId="77777777" w:rsidR="00584EC1" w:rsidRDefault="00871F8D">
            <w:pPr>
              <w:jc w:val="right"/>
              <w:textAlignment w:val="bottom"/>
            </w:pPr>
            <w:r>
              <w:rPr>
                <w:rFonts w:ascii="Arial" w:eastAsia="宋体" w:hAnsi="Arial" w:cs="Arial"/>
                <w:color w:val="000000"/>
                <w:sz w:val="14"/>
                <w:szCs w:val="14"/>
              </w:rPr>
              <w:t>239 </w:t>
            </w:r>
          </w:p>
        </w:tc>
        <w:tc>
          <w:tcPr>
            <w:tcW w:w="0" w:type="auto"/>
            <w:shd w:val="clear" w:color="auto" w:fill="FFFFFF"/>
            <w:tcMar>
              <w:top w:w="40" w:type="dxa"/>
              <w:left w:w="0" w:type="dxa"/>
              <w:bottom w:w="40" w:type="dxa"/>
              <w:right w:w="20" w:type="dxa"/>
            </w:tcMar>
            <w:vAlign w:val="bottom"/>
          </w:tcPr>
          <w:p w14:paraId="74DDBC24" w14:textId="77777777" w:rsidR="00584EC1" w:rsidRDefault="00584EC1">
            <w:pPr>
              <w:jc w:val="right"/>
              <w:rPr>
                <w:rFonts w:ascii="宋体"/>
              </w:rPr>
            </w:pPr>
          </w:p>
        </w:tc>
      </w:tr>
      <w:tr w:rsidR="00584EC1" w14:paraId="74DDBC34" w14:textId="77777777">
        <w:tc>
          <w:tcPr>
            <w:tcW w:w="0" w:type="auto"/>
            <w:gridSpan w:val="3"/>
            <w:shd w:val="clear" w:color="auto" w:fill="CCEEFF"/>
            <w:tcMar>
              <w:top w:w="40" w:type="dxa"/>
              <w:left w:w="245" w:type="dxa"/>
              <w:bottom w:w="40" w:type="dxa"/>
              <w:right w:w="20" w:type="dxa"/>
            </w:tcMar>
            <w:vAlign w:val="bottom"/>
          </w:tcPr>
          <w:p w14:paraId="74DDBC26" w14:textId="77777777" w:rsidR="00584EC1" w:rsidRDefault="00871F8D">
            <w:pPr>
              <w:textAlignment w:val="bottom"/>
            </w:pPr>
            <w:r>
              <w:rPr>
                <w:rFonts w:ascii="Arial" w:eastAsia="宋体" w:hAnsi="Arial" w:cs="Arial"/>
                <w:color w:val="000000"/>
                <w:sz w:val="15"/>
                <w:szCs w:val="15"/>
              </w:rPr>
              <w:t>Other</w:t>
            </w:r>
          </w:p>
        </w:tc>
        <w:tc>
          <w:tcPr>
            <w:tcW w:w="0" w:type="auto"/>
            <w:gridSpan w:val="2"/>
            <w:shd w:val="clear" w:color="auto" w:fill="CCEEFF"/>
            <w:tcMar>
              <w:top w:w="40" w:type="dxa"/>
              <w:left w:w="20" w:type="dxa"/>
              <w:bottom w:w="40" w:type="dxa"/>
              <w:right w:w="0" w:type="dxa"/>
            </w:tcMar>
            <w:vAlign w:val="bottom"/>
          </w:tcPr>
          <w:p w14:paraId="74DDBC27" w14:textId="77777777" w:rsidR="00584EC1" w:rsidRDefault="00871F8D">
            <w:pPr>
              <w:jc w:val="right"/>
              <w:textAlignment w:val="bottom"/>
            </w:pPr>
            <w:r>
              <w:rPr>
                <w:rFonts w:ascii="Arial" w:eastAsia="宋体" w:hAnsi="Arial" w:cs="Arial"/>
                <w:color w:val="000000"/>
                <w:sz w:val="14"/>
                <w:szCs w:val="14"/>
              </w:rPr>
              <w:t>17 </w:t>
            </w:r>
          </w:p>
        </w:tc>
        <w:tc>
          <w:tcPr>
            <w:tcW w:w="0" w:type="auto"/>
            <w:shd w:val="clear" w:color="auto" w:fill="CCEEFF"/>
            <w:tcMar>
              <w:top w:w="40" w:type="dxa"/>
              <w:left w:w="0" w:type="dxa"/>
              <w:bottom w:w="40" w:type="dxa"/>
              <w:right w:w="20" w:type="dxa"/>
            </w:tcMar>
            <w:vAlign w:val="bottom"/>
          </w:tcPr>
          <w:p w14:paraId="74DDBC2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C2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C2A" w14:textId="77777777" w:rsidR="00584EC1" w:rsidRDefault="00871F8D">
            <w:pPr>
              <w:jc w:val="right"/>
              <w:textAlignment w:val="bottom"/>
            </w:pPr>
            <w:r>
              <w:rPr>
                <w:rFonts w:ascii="Arial" w:eastAsia="宋体" w:hAnsi="Arial" w:cs="Arial"/>
                <w:color w:val="000000"/>
                <w:sz w:val="14"/>
                <w:szCs w:val="14"/>
              </w:rPr>
              <w:t>519 </w:t>
            </w:r>
          </w:p>
        </w:tc>
        <w:tc>
          <w:tcPr>
            <w:tcW w:w="0" w:type="auto"/>
            <w:shd w:val="clear" w:color="auto" w:fill="CCEEFF"/>
            <w:tcMar>
              <w:top w:w="40" w:type="dxa"/>
              <w:left w:w="0" w:type="dxa"/>
              <w:bottom w:w="40" w:type="dxa"/>
              <w:right w:w="20" w:type="dxa"/>
            </w:tcMar>
            <w:vAlign w:val="bottom"/>
          </w:tcPr>
          <w:p w14:paraId="74DDBC2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C2C"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C2D"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BC2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C2F"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C30"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C3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C32" w14:textId="77777777" w:rsidR="00584EC1" w:rsidRDefault="00871F8D">
            <w:pPr>
              <w:jc w:val="right"/>
              <w:textAlignment w:val="bottom"/>
            </w:pPr>
            <w:r>
              <w:rPr>
                <w:rFonts w:ascii="Arial" w:eastAsia="宋体" w:hAnsi="Arial" w:cs="Arial"/>
                <w:color w:val="000000"/>
                <w:sz w:val="14"/>
                <w:szCs w:val="14"/>
              </w:rPr>
              <w:t>536 </w:t>
            </w:r>
          </w:p>
        </w:tc>
        <w:tc>
          <w:tcPr>
            <w:tcW w:w="0" w:type="auto"/>
            <w:shd w:val="clear" w:color="auto" w:fill="CCEEFF"/>
            <w:tcMar>
              <w:top w:w="40" w:type="dxa"/>
              <w:left w:w="0" w:type="dxa"/>
              <w:bottom w:w="40" w:type="dxa"/>
              <w:right w:w="20" w:type="dxa"/>
            </w:tcMar>
            <w:vAlign w:val="bottom"/>
          </w:tcPr>
          <w:p w14:paraId="74DDBC33" w14:textId="77777777" w:rsidR="00584EC1" w:rsidRDefault="00584EC1">
            <w:pPr>
              <w:jc w:val="right"/>
              <w:rPr>
                <w:rFonts w:ascii="宋体"/>
              </w:rPr>
            </w:pPr>
          </w:p>
        </w:tc>
      </w:tr>
      <w:tr w:rsidR="00584EC1" w14:paraId="74DDBC43" w14:textId="77777777">
        <w:tc>
          <w:tcPr>
            <w:tcW w:w="0" w:type="auto"/>
            <w:gridSpan w:val="3"/>
            <w:shd w:val="clear" w:color="auto" w:fill="FFFFFF"/>
            <w:tcMar>
              <w:top w:w="40" w:type="dxa"/>
              <w:left w:w="740" w:type="dxa"/>
              <w:bottom w:w="40" w:type="dxa"/>
              <w:right w:w="20" w:type="dxa"/>
            </w:tcMar>
            <w:vAlign w:val="bottom"/>
          </w:tcPr>
          <w:p w14:paraId="74DDBC35" w14:textId="77777777" w:rsidR="00584EC1" w:rsidRDefault="00871F8D">
            <w:pPr>
              <w:textAlignment w:val="bottom"/>
            </w:pPr>
            <w:r>
              <w:rPr>
                <w:rFonts w:ascii="Arial" w:eastAsia="宋体" w:hAnsi="Arial" w:cs="Arial"/>
                <w:color w:val="000000"/>
                <w:sz w:val="15"/>
                <w:szCs w:val="15"/>
              </w:rPr>
              <w:t>Total trading account assets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BC36" w14:textId="77777777" w:rsidR="00584EC1" w:rsidRDefault="00871F8D">
            <w:pPr>
              <w:jc w:val="right"/>
              <w:textAlignment w:val="bottom"/>
            </w:pPr>
            <w:r>
              <w:rPr>
                <w:rFonts w:ascii="Arial" w:eastAsia="宋体" w:hAnsi="Arial" w:cs="Arial"/>
                <w:color w:val="000000"/>
                <w:sz w:val="14"/>
                <w:szCs w:val="14"/>
              </w:rPr>
              <w:t>57 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BC3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C38"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BC39" w14:textId="77777777" w:rsidR="00584EC1" w:rsidRDefault="00871F8D">
            <w:pPr>
              <w:jc w:val="right"/>
              <w:textAlignment w:val="bottom"/>
            </w:pPr>
            <w:r>
              <w:rPr>
                <w:rFonts w:ascii="Arial" w:eastAsia="宋体" w:hAnsi="Arial" w:cs="Arial"/>
                <w:color w:val="000000"/>
                <w:sz w:val="14"/>
                <w:szCs w:val="14"/>
              </w:rPr>
              <w:t>758 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BC3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C3B"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BC3C" w14:textId="77777777" w:rsidR="00584EC1" w:rsidRDefault="00871F8D">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BC3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C3E"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C3F"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C40"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BC41" w14:textId="77777777" w:rsidR="00584EC1" w:rsidRDefault="00871F8D">
            <w:pPr>
              <w:jc w:val="right"/>
              <w:textAlignment w:val="bottom"/>
            </w:pPr>
            <w:r>
              <w:rPr>
                <w:rFonts w:ascii="Arial" w:eastAsia="宋体" w:hAnsi="Arial" w:cs="Arial"/>
                <w:color w:val="000000"/>
                <w:sz w:val="14"/>
                <w:szCs w:val="14"/>
              </w:rPr>
              <w:t>815 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BC42" w14:textId="77777777" w:rsidR="00584EC1" w:rsidRDefault="00584EC1">
            <w:pPr>
              <w:jc w:val="right"/>
              <w:rPr>
                <w:rFonts w:ascii="宋体"/>
              </w:rPr>
            </w:pPr>
          </w:p>
        </w:tc>
      </w:tr>
      <w:tr w:rsidR="00584EC1" w14:paraId="74DDBC4E" w14:textId="77777777">
        <w:tc>
          <w:tcPr>
            <w:tcW w:w="0" w:type="auto"/>
            <w:gridSpan w:val="3"/>
            <w:shd w:val="clear" w:color="auto" w:fill="CCEEFF"/>
            <w:tcMar>
              <w:top w:w="40" w:type="dxa"/>
              <w:left w:w="20" w:type="dxa"/>
              <w:bottom w:w="40" w:type="dxa"/>
              <w:right w:w="20" w:type="dxa"/>
            </w:tcMar>
            <w:vAlign w:val="bottom"/>
          </w:tcPr>
          <w:p w14:paraId="74DDBC44" w14:textId="77777777" w:rsidR="00584EC1" w:rsidRDefault="00871F8D">
            <w:pPr>
              <w:textAlignment w:val="bottom"/>
            </w:pPr>
            <w:r>
              <w:rPr>
                <w:rFonts w:ascii="Arial" w:eastAsia="宋体" w:hAnsi="Arial" w:cs="Arial"/>
                <w:color w:val="000000"/>
                <w:sz w:val="15"/>
                <w:szCs w:val="15"/>
              </w:rPr>
              <w:t>Available-for-sale investment securities: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4DDBC45"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C46" w14:textId="77777777" w:rsidR="00584EC1" w:rsidRDefault="00584EC1">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4DDBC47"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C48" w14:textId="77777777" w:rsidR="00584EC1" w:rsidRDefault="00584EC1">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4DDBC49"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C4A"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C4B"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C4C" w14:textId="77777777" w:rsidR="00584EC1" w:rsidRDefault="00584EC1">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4DDBC4D" w14:textId="77777777" w:rsidR="00584EC1" w:rsidRDefault="00584EC1">
            <w:pPr>
              <w:rPr>
                <w:rFonts w:ascii="宋体"/>
              </w:rPr>
            </w:pPr>
          </w:p>
        </w:tc>
      </w:tr>
      <w:tr w:rsidR="00584EC1" w14:paraId="74DDBC59" w14:textId="77777777">
        <w:tc>
          <w:tcPr>
            <w:tcW w:w="0" w:type="auto"/>
            <w:gridSpan w:val="3"/>
            <w:shd w:val="clear" w:color="auto" w:fill="FFFFFF"/>
            <w:tcMar>
              <w:top w:w="40" w:type="dxa"/>
              <w:left w:w="245" w:type="dxa"/>
              <w:bottom w:w="40" w:type="dxa"/>
              <w:right w:w="20" w:type="dxa"/>
            </w:tcMar>
            <w:vAlign w:val="bottom"/>
          </w:tcPr>
          <w:p w14:paraId="74DDBC4F" w14:textId="77777777" w:rsidR="00584EC1" w:rsidRDefault="00871F8D">
            <w:pPr>
              <w:textAlignment w:val="bottom"/>
            </w:pPr>
            <w:r>
              <w:rPr>
                <w:rFonts w:ascii="Arial" w:eastAsia="宋体" w:hAnsi="Arial" w:cs="Arial"/>
                <w:color w:val="000000"/>
                <w:sz w:val="15"/>
                <w:szCs w:val="15"/>
              </w:rPr>
              <w:t xml:space="preserve">U.S. Treasury and federal </w:t>
            </w:r>
            <w:r>
              <w:rPr>
                <w:rFonts w:ascii="Arial" w:eastAsia="宋体" w:hAnsi="Arial" w:cs="Arial"/>
                <w:color w:val="000000"/>
                <w:sz w:val="15"/>
                <w:szCs w:val="15"/>
              </w:rPr>
              <w:t>agencies:</w:t>
            </w:r>
          </w:p>
        </w:tc>
        <w:tc>
          <w:tcPr>
            <w:tcW w:w="0" w:type="auto"/>
            <w:gridSpan w:val="3"/>
            <w:shd w:val="clear" w:color="auto" w:fill="FFFFFF"/>
            <w:tcMar>
              <w:top w:w="0" w:type="dxa"/>
              <w:left w:w="20" w:type="dxa"/>
              <w:bottom w:w="0" w:type="dxa"/>
              <w:right w:w="20" w:type="dxa"/>
            </w:tcMar>
            <w:vAlign w:val="bottom"/>
          </w:tcPr>
          <w:p w14:paraId="74DDBC50"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C51"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C5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C53"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C54"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C55"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C56"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C57"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C58" w14:textId="77777777" w:rsidR="00584EC1" w:rsidRDefault="00584EC1">
            <w:pPr>
              <w:rPr>
                <w:rFonts w:ascii="宋体"/>
              </w:rPr>
            </w:pPr>
          </w:p>
        </w:tc>
      </w:tr>
      <w:tr w:rsidR="00584EC1" w14:paraId="74DDBC68" w14:textId="77777777">
        <w:tc>
          <w:tcPr>
            <w:tcW w:w="0" w:type="auto"/>
            <w:gridSpan w:val="3"/>
            <w:shd w:val="clear" w:color="auto" w:fill="CCEEFF"/>
            <w:tcMar>
              <w:top w:w="40" w:type="dxa"/>
              <w:left w:w="515" w:type="dxa"/>
              <w:bottom w:w="40" w:type="dxa"/>
              <w:right w:w="20" w:type="dxa"/>
            </w:tcMar>
            <w:vAlign w:val="bottom"/>
          </w:tcPr>
          <w:p w14:paraId="74DDBC5A" w14:textId="77777777" w:rsidR="00584EC1" w:rsidRDefault="00871F8D">
            <w:pPr>
              <w:textAlignment w:val="bottom"/>
            </w:pPr>
            <w:r>
              <w:rPr>
                <w:rFonts w:ascii="Arial" w:eastAsia="宋体" w:hAnsi="Arial" w:cs="Arial"/>
                <w:color w:val="000000"/>
                <w:sz w:val="15"/>
                <w:szCs w:val="15"/>
              </w:rPr>
              <w:t>Direct obligations</w:t>
            </w:r>
          </w:p>
        </w:tc>
        <w:tc>
          <w:tcPr>
            <w:tcW w:w="0" w:type="auto"/>
            <w:gridSpan w:val="2"/>
            <w:shd w:val="clear" w:color="auto" w:fill="CCEEFF"/>
            <w:tcMar>
              <w:top w:w="40" w:type="dxa"/>
              <w:left w:w="20" w:type="dxa"/>
              <w:bottom w:w="40" w:type="dxa"/>
              <w:right w:w="0" w:type="dxa"/>
            </w:tcMar>
            <w:vAlign w:val="bottom"/>
          </w:tcPr>
          <w:p w14:paraId="74DDBC5B" w14:textId="77777777" w:rsidR="00584EC1" w:rsidRDefault="00871F8D">
            <w:pPr>
              <w:jc w:val="right"/>
              <w:textAlignment w:val="bottom"/>
            </w:pPr>
            <w:r>
              <w:rPr>
                <w:rFonts w:ascii="Arial" w:eastAsia="宋体" w:hAnsi="Arial" w:cs="Arial"/>
                <w:color w:val="000000"/>
                <w:sz w:val="14"/>
                <w:szCs w:val="14"/>
              </w:rPr>
              <w:t>6,575 </w:t>
            </w:r>
          </w:p>
        </w:tc>
        <w:tc>
          <w:tcPr>
            <w:tcW w:w="0" w:type="auto"/>
            <w:shd w:val="clear" w:color="auto" w:fill="CCEEFF"/>
            <w:tcMar>
              <w:top w:w="40" w:type="dxa"/>
              <w:left w:w="0" w:type="dxa"/>
              <w:bottom w:w="40" w:type="dxa"/>
              <w:right w:w="20" w:type="dxa"/>
            </w:tcMar>
            <w:vAlign w:val="bottom"/>
          </w:tcPr>
          <w:p w14:paraId="74DDBC5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C5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C5E"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BC5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C6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C61"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BC6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C63"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C64"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C6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C66" w14:textId="77777777" w:rsidR="00584EC1" w:rsidRDefault="00871F8D">
            <w:pPr>
              <w:jc w:val="right"/>
              <w:textAlignment w:val="bottom"/>
            </w:pPr>
            <w:r>
              <w:rPr>
                <w:rFonts w:ascii="Arial" w:eastAsia="宋体" w:hAnsi="Arial" w:cs="Arial"/>
                <w:color w:val="000000"/>
                <w:sz w:val="14"/>
                <w:szCs w:val="14"/>
              </w:rPr>
              <w:t>6,575 </w:t>
            </w:r>
          </w:p>
        </w:tc>
        <w:tc>
          <w:tcPr>
            <w:tcW w:w="0" w:type="auto"/>
            <w:shd w:val="clear" w:color="auto" w:fill="CCEEFF"/>
            <w:tcMar>
              <w:top w:w="40" w:type="dxa"/>
              <w:left w:w="0" w:type="dxa"/>
              <w:bottom w:w="40" w:type="dxa"/>
              <w:right w:w="20" w:type="dxa"/>
            </w:tcMar>
            <w:vAlign w:val="bottom"/>
          </w:tcPr>
          <w:p w14:paraId="74DDBC67" w14:textId="77777777" w:rsidR="00584EC1" w:rsidRDefault="00584EC1">
            <w:pPr>
              <w:jc w:val="right"/>
              <w:rPr>
                <w:rFonts w:ascii="宋体"/>
              </w:rPr>
            </w:pPr>
          </w:p>
        </w:tc>
      </w:tr>
      <w:tr w:rsidR="00584EC1" w14:paraId="74DDBC77" w14:textId="77777777">
        <w:tc>
          <w:tcPr>
            <w:tcW w:w="0" w:type="auto"/>
            <w:gridSpan w:val="3"/>
            <w:shd w:val="clear" w:color="auto" w:fill="FFFFFF"/>
            <w:tcMar>
              <w:top w:w="40" w:type="dxa"/>
              <w:left w:w="515" w:type="dxa"/>
              <w:bottom w:w="40" w:type="dxa"/>
              <w:right w:w="20" w:type="dxa"/>
            </w:tcMar>
            <w:vAlign w:val="bottom"/>
          </w:tcPr>
          <w:p w14:paraId="74DDBC69" w14:textId="77777777" w:rsidR="00584EC1" w:rsidRDefault="00871F8D">
            <w:pPr>
              <w:textAlignment w:val="bottom"/>
            </w:pPr>
            <w:r>
              <w:rPr>
                <w:rFonts w:ascii="Arial" w:eastAsia="宋体" w:hAnsi="Arial" w:cs="Arial"/>
                <w:color w:val="000000"/>
                <w:sz w:val="15"/>
                <w:szCs w:val="15"/>
              </w:rPr>
              <w:t>Mortgage-backed securities</w:t>
            </w:r>
          </w:p>
        </w:tc>
        <w:tc>
          <w:tcPr>
            <w:tcW w:w="0" w:type="auto"/>
            <w:gridSpan w:val="2"/>
            <w:shd w:val="clear" w:color="auto" w:fill="FFFFFF"/>
            <w:tcMar>
              <w:top w:w="40" w:type="dxa"/>
              <w:left w:w="20" w:type="dxa"/>
              <w:bottom w:w="40" w:type="dxa"/>
              <w:right w:w="0" w:type="dxa"/>
            </w:tcMar>
            <w:vAlign w:val="bottom"/>
          </w:tcPr>
          <w:p w14:paraId="74DDBC6A"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BC6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C6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C6D" w14:textId="77777777" w:rsidR="00584EC1" w:rsidRDefault="00871F8D">
            <w:pPr>
              <w:jc w:val="right"/>
              <w:textAlignment w:val="bottom"/>
            </w:pPr>
            <w:r>
              <w:rPr>
                <w:rFonts w:ascii="Arial" w:eastAsia="宋体" w:hAnsi="Arial" w:cs="Arial"/>
                <w:color w:val="000000"/>
                <w:sz w:val="14"/>
                <w:szCs w:val="14"/>
              </w:rPr>
              <w:t>14,305 </w:t>
            </w:r>
          </w:p>
        </w:tc>
        <w:tc>
          <w:tcPr>
            <w:tcW w:w="0" w:type="auto"/>
            <w:shd w:val="clear" w:color="auto" w:fill="FFFFFF"/>
            <w:tcMar>
              <w:top w:w="40" w:type="dxa"/>
              <w:left w:w="0" w:type="dxa"/>
              <w:bottom w:w="40" w:type="dxa"/>
              <w:right w:w="20" w:type="dxa"/>
            </w:tcMar>
            <w:vAlign w:val="bottom"/>
          </w:tcPr>
          <w:p w14:paraId="74DDBC6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C6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C70"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BC7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C7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C73"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C7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C75" w14:textId="77777777" w:rsidR="00584EC1" w:rsidRDefault="00871F8D">
            <w:pPr>
              <w:jc w:val="right"/>
              <w:textAlignment w:val="bottom"/>
            </w:pPr>
            <w:r>
              <w:rPr>
                <w:rFonts w:ascii="Arial" w:eastAsia="宋体" w:hAnsi="Arial" w:cs="Arial"/>
                <w:color w:val="000000"/>
                <w:sz w:val="14"/>
                <w:szCs w:val="14"/>
              </w:rPr>
              <w:t>14,305 </w:t>
            </w:r>
          </w:p>
        </w:tc>
        <w:tc>
          <w:tcPr>
            <w:tcW w:w="0" w:type="auto"/>
            <w:shd w:val="clear" w:color="auto" w:fill="FFFFFF"/>
            <w:tcMar>
              <w:top w:w="40" w:type="dxa"/>
              <w:left w:w="0" w:type="dxa"/>
              <w:bottom w:w="40" w:type="dxa"/>
              <w:right w:w="20" w:type="dxa"/>
            </w:tcMar>
            <w:vAlign w:val="bottom"/>
          </w:tcPr>
          <w:p w14:paraId="74DDBC76" w14:textId="77777777" w:rsidR="00584EC1" w:rsidRDefault="00584EC1">
            <w:pPr>
              <w:jc w:val="right"/>
              <w:rPr>
                <w:rFonts w:ascii="宋体"/>
              </w:rPr>
            </w:pPr>
          </w:p>
        </w:tc>
      </w:tr>
      <w:tr w:rsidR="00584EC1" w14:paraId="74DDBC86" w14:textId="77777777">
        <w:tc>
          <w:tcPr>
            <w:tcW w:w="0" w:type="auto"/>
            <w:gridSpan w:val="3"/>
            <w:shd w:val="clear" w:color="auto" w:fill="CCEEFF"/>
            <w:tcMar>
              <w:top w:w="40" w:type="dxa"/>
              <w:left w:w="740" w:type="dxa"/>
              <w:bottom w:w="40" w:type="dxa"/>
              <w:right w:w="20" w:type="dxa"/>
            </w:tcMar>
            <w:vAlign w:val="bottom"/>
          </w:tcPr>
          <w:p w14:paraId="74DDBC78" w14:textId="77777777" w:rsidR="00584EC1" w:rsidRDefault="00871F8D">
            <w:pPr>
              <w:textAlignment w:val="bottom"/>
            </w:pPr>
            <w:r>
              <w:rPr>
                <w:rFonts w:ascii="Arial" w:eastAsia="宋体" w:hAnsi="Arial" w:cs="Arial"/>
                <w:color w:val="000000"/>
                <w:sz w:val="15"/>
                <w:szCs w:val="15"/>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BC79" w14:textId="77777777" w:rsidR="00584EC1" w:rsidRDefault="00871F8D">
            <w:pPr>
              <w:jc w:val="right"/>
              <w:textAlignment w:val="bottom"/>
            </w:pPr>
            <w:r>
              <w:rPr>
                <w:rFonts w:ascii="Arial" w:eastAsia="宋体" w:hAnsi="Arial" w:cs="Arial"/>
                <w:color w:val="000000"/>
                <w:sz w:val="14"/>
                <w:szCs w:val="14"/>
              </w:rPr>
              <w:t>6,575 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BC7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C7B"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BC7C" w14:textId="77777777" w:rsidR="00584EC1" w:rsidRDefault="00871F8D">
            <w:pPr>
              <w:jc w:val="right"/>
              <w:textAlignment w:val="bottom"/>
            </w:pPr>
            <w:r>
              <w:rPr>
                <w:rFonts w:ascii="Arial" w:eastAsia="宋体" w:hAnsi="Arial" w:cs="Arial"/>
                <w:color w:val="000000"/>
                <w:sz w:val="14"/>
                <w:szCs w:val="14"/>
              </w:rPr>
              <w:t>14,305 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BC7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C7E"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BC7F" w14:textId="77777777" w:rsidR="00584EC1" w:rsidRDefault="00871F8D">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BC8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C81"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C82"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C83"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BC84" w14:textId="77777777" w:rsidR="00584EC1" w:rsidRDefault="00871F8D">
            <w:pPr>
              <w:jc w:val="right"/>
              <w:textAlignment w:val="bottom"/>
            </w:pPr>
            <w:r>
              <w:rPr>
                <w:rFonts w:ascii="Arial" w:eastAsia="宋体" w:hAnsi="Arial" w:cs="Arial"/>
                <w:color w:val="000000"/>
                <w:sz w:val="14"/>
                <w:szCs w:val="14"/>
              </w:rPr>
              <w:t>20,880 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BC85" w14:textId="77777777" w:rsidR="00584EC1" w:rsidRDefault="00584EC1">
            <w:pPr>
              <w:jc w:val="right"/>
              <w:rPr>
                <w:rFonts w:ascii="宋体"/>
              </w:rPr>
            </w:pPr>
          </w:p>
        </w:tc>
      </w:tr>
      <w:tr w:rsidR="00584EC1" w14:paraId="74DDBC91" w14:textId="77777777">
        <w:tc>
          <w:tcPr>
            <w:tcW w:w="0" w:type="auto"/>
            <w:gridSpan w:val="3"/>
            <w:shd w:val="clear" w:color="auto" w:fill="FFFFFF"/>
            <w:tcMar>
              <w:top w:w="40" w:type="dxa"/>
              <w:left w:w="245" w:type="dxa"/>
              <w:bottom w:w="40" w:type="dxa"/>
              <w:right w:w="20" w:type="dxa"/>
            </w:tcMar>
            <w:vAlign w:val="bottom"/>
          </w:tcPr>
          <w:p w14:paraId="74DDBC87" w14:textId="77777777" w:rsidR="00584EC1" w:rsidRDefault="00871F8D">
            <w:pPr>
              <w:textAlignment w:val="bottom"/>
            </w:pPr>
            <w:r>
              <w:rPr>
                <w:rFonts w:ascii="Arial" w:eastAsia="宋体" w:hAnsi="Arial" w:cs="Arial"/>
                <w:color w:val="000000"/>
                <w:sz w:val="15"/>
                <w:szCs w:val="15"/>
              </w:rPr>
              <w:t>Non-U.S. debt securities:</w:t>
            </w:r>
          </w:p>
        </w:tc>
        <w:tc>
          <w:tcPr>
            <w:tcW w:w="0" w:type="auto"/>
            <w:gridSpan w:val="3"/>
            <w:shd w:val="clear" w:color="auto" w:fill="FFFFFF"/>
            <w:tcMar>
              <w:top w:w="0" w:type="dxa"/>
              <w:left w:w="20" w:type="dxa"/>
              <w:bottom w:w="0" w:type="dxa"/>
              <w:right w:w="20" w:type="dxa"/>
            </w:tcMar>
            <w:vAlign w:val="bottom"/>
          </w:tcPr>
          <w:p w14:paraId="74DDBC88"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C89"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C8A"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C8B"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C8C"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C8D"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C8E"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C8F"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C90" w14:textId="77777777" w:rsidR="00584EC1" w:rsidRDefault="00584EC1">
            <w:pPr>
              <w:rPr>
                <w:rFonts w:ascii="宋体"/>
              </w:rPr>
            </w:pPr>
          </w:p>
        </w:tc>
      </w:tr>
      <w:tr w:rsidR="00584EC1" w14:paraId="74DDBCA0" w14:textId="77777777">
        <w:tc>
          <w:tcPr>
            <w:tcW w:w="0" w:type="auto"/>
            <w:gridSpan w:val="3"/>
            <w:shd w:val="clear" w:color="auto" w:fill="CCEEFF"/>
            <w:tcMar>
              <w:top w:w="40" w:type="dxa"/>
              <w:left w:w="515" w:type="dxa"/>
              <w:bottom w:w="40" w:type="dxa"/>
              <w:right w:w="20" w:type="dxa"/>
            </w:tcMar>
            <w:vAlign w:val="bottom"/>
          </w:tcPr>
          <w:p w14:paraId="74DDBC92" w14:textId="77777777" w:rsidR="00584EC1" w:rsidRDefault="00871F8D">
            <w:pPr>
              <w:textAlignment w:val="bottom"/>
            </w:pPr>
            <w:r>
              <w:rPr>
                <w:rFonts w:ascii="Arial" w:eastAsia="宋体" w:hAnsi="Arial" w:cs="Arial"/>
                <w:color w:val="000000"/>
                <w:sz w:val="15"/>
                <w:szCs w:val="15"/>
              </w:rPr>
              <w:t xml:space="preserve">Mortgage-backed </w:t>
            </w:r>
            <w:r>
              <w:rPr>
                <w:rFonts w:ascii="Arial" w:eastAsia="宋体" w:hAnsi="Arial" w:cs="Arial"/>
                <w:color w:val="000000"/>
                <w:sz w:val="15"/>
                <w:szCs w:val="15"/>
              </w:rPr>
              <w:t>securities</w:t>
            </w:r>
          </w:p>
        </w:tc>
        <w:tc>
          <w:tcPr>
            <w:tcW w:w="0" w:type="auto"/>
            <w:gridSpan w:val="2"/>
            <w:shd w:val="clear" w:color="auto" w:fill="CCEEFF"/>
            <w:tcMar>
              <w:top w:w="40" w:type="dxa"/>
              <w:left w:w="20" w:type="dxa"/>
              <w:bottom w:w="40" w:type="dxa"/>
              <w:right w:w="0" w:type="dxa"/>
            </w:tcMar>
            <w:vAlign w:val="bottom"/>
          </w:tcPr>
          <w:p w14:paraId="74DDBC93"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BC9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C9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C96" w14:textId="77777777" w:rsidR="00584EC1" w:rsidRDefault="00871F8D">
            <w:pPr>
              <w:jc w:val="right"/>
              <w:textAlignment w:val="bottom"/>
            </w:pPr>
            <w:r>
              <w:rPr>
                <w:rFonts w:ascii="Arial" w:eastAsia="宋体" w:hAnsi="Arial" w:cs="Arial"/>
                <w:color w:val="000000"/>
                <w:sz w:val="14"/>
                <w:szCs w:val="14"/>
              </w:rPr>
              <w:t>1,996 </w:t>
            </w:r>
          </w:p>
        </w:tc>
        <w:tc>
          <w:tcPr>
            <w:tcW w:w="0" w:type="auto"/>
            <w:shd w:val="clear" w:color="auto" w:fill="CCEEFF"/>
            <w:tcMar>
              <w:top w:w="40" w:type="dxa"/>
              <w:left w:w="0" w:type="dxa"/>
              <w:bottom w:w="40" w:type="dxa"/>
              <w:right w:w="20" w:type="dxa"/>
            </w:tcMar>
            <w:vAlign w:val="bottom"/>
          </w:tcPr>
          <w:p w14:paraId="74DDBC9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C98"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C99"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BC9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C9B"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C9C"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C9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C9E" w14:textId="77777777" w:rsidR="00584EC1" w:rsidRDefault="00871F8D">
            <w:pPr>
              <w:jc w:val="right"/>
              <w:textAlignment w:val="bottom"/>
            </w:pPr>
            <w:r>
              <w:rPr>
                <w:rFonts w:ascii="Arial" w:eastAsia="宋体" w:hAnsi="Arial" w:cs="Arial"/>
                <w:color w:val="000000"/>
                <w:sz w:val="14"/>
                <w:szCs w:val="14"/>
              </w:rPr>
              <w:t>1,996 </w:t>
            </w:r>
          </w:p>
        </w:tc>
        <w:tc>
          <w:tcPr>
            <w:tcW w:w="0" w:type="auto"/>
            <w:shd w:val="clear" w:color="auto" w:fill="CCEEFF"/>
            <w:tcMar>
              <w:top w:w="40" w:type="dxa"/>
              <w:left w:w="0" w:type="dxa"/>
              <w:bottom w:w="40" w:type="dxa"/>
              <w:right w:w="20" w:type="dxa"/>
            </w:tcMar>
            <w:vAlign w:val="bottom"/>
          </w:tcPr>
          <w:p w14:paraId="74DDBC9F" w14:textId="77777777" w:rsidR="00584EC1" w:rsidRDefault="00584EC1">
            <w:pPr>
              <w:jc w:val="right"/>
              <w:rPr>
                <w:rFonts w:ascii="宋体"/>
              </w:rPr>
            </w:pPr>
          </w:p>
        </w:tc>
      </w:tr>
      <w:tr w:rsidR="00584EC1" w14:paraId="74DDBCAF" w14:textId="77777777">
        <w:tc>
          <w:tcPr>
            <w:tcW w:w="0" w:type="auto"/>
            <w:gridSpan w:val="3"/>
            <w:shd w:val="clear" w:color="auto" w:fill="FFFFFF"/>
            <w:tcMar>
              <w:top w:w="40" w:type="dxa"/>
              <w:left w:w="515" w:type="dxa"/>
              <w:bottom w:w="40" w:type="dxa"/>
              <w:right w:w="20" w:type="dxa"/>
            </w:tcMar>
            <w:vAlign w:val="bottom"/>
          </w:tcPr>
          <w:p w14:paraId="74DDBCA1" w14:textId="77777777" w:rsidR="00584EC1" w:rsidRDefault="00871F8D">
            <w:pPr>
              <w:textAlignment w:val="bottom"/>
            </w:pPr>
            <w:r>
              <w:rPr>
                <w:rFonts w:ascii="Arial" w:eastAsia="宋体" w:hAnsi="Arial" w:cs="Arial"/>
                <w:color w:val="000000"/>
                <w:sz w:val="15"/>
                <w:szCs w:val="15"/>
              </w:rPr>
              <w:t>Asset-backed securities</w:t>
            </w:r>
          </w:p>
        </w:tc>
        <w:tc>
          <w:tcPr>
            <w:tcW w:w="0" w:type="auto"/>
            <w:gridSpan w:val="2"/>
            <w:shd w:val="clear" w:color="auto" w:fill="FFFFFF"/>
            <w:tcMar>
              <w:top w:w="40" w:type="dxa"/>
              <w:left w:w="20" w:type="dxa"/>
              <w:bottom w:w="40" w:type="dxa"/>
              <w:right w:w="0" w:type="dxa"/>
            </w:tcMar>
            <w:vAlign w:val="bottom"/>
          </w:tcPr>
          <w:p w14:paraId="74DDBCA2"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BCA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CA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CA5" w14:textId="77777777" w:rsidR="00584EC1" w:rsidRDefault="00871F8D">
            <w:pPr>
              <w:jc w:val="right"/>
              <w:textAlignment w:val="bottom"/>
            </w:pPr>
            <w:r>
              <w:rPr>
                <w:rFonts w:ascii="Arial" w:eastAsia="宋体" w:hAnsi="Arial" w:cs="Arial"/>
                <w:color w:val="000000"/>
                <w:sz w:val="14"/>
                <w:szCs w:val="14"/>
              </w:rPr>
              <w:t>2,291 </w:t>
            </w:r>
          </w:p>
        </w:tc>
        <w:tc>
          <w:tcPr>
            <w:tcW w:w="0" w:type="auto"/>
            <w:shd w:val="clear" w:color="auto" w:fill="FFFFFF"/>
            <w:tcMar>
              <w:top w:w="40" w:type="dxa"/>
              <w:left w:w="0" w:type="dxa"/>
              <w:bottom w:w="40" w:type="dxa"/>
              <w:right w:w="20" w:type="dxa"/>
            </w:tcMar>
            <w:vAlign w:val="bottom"/>
          </w:tcPr>
          <w:p w14:paraId="74DDBCA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CA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CA8"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BCA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CAA"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CAB"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CA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CAD" w14:textId="77777777" w:rsidR="00584EC1" w:rsidRDefault="00871F8D">
            <w:pPr>
              <w:jc w:val="right"/>
              <w:textAlignment w:val="bottom"/>
            </w:pPr>
            <w:r>
              <w:rPr>
                <w:rFonts w:ascii="Arial" w:eastAsia="宋体" w:hAnsi="Arial" w:cs="Arial"/>
                <w:color w:val="000000"/>
                <w:sz w:val="14"/>
                <w:szCs w:val="14"/>
              </w:rPr>
              <w:t>2,291 </w:t>
            </w:r>
          </w:p>
        </w:tc>
        <w:tc>
          <w:tcPr>
            <w:tcW w:w="0" w:type="auto"/>
            <w:shd w:val="clear" w:color="auto" w:fill="FFFFFF"/>
            <w:tcMar>
              <w:top w:w="40" w:type="dxa"/>
              <w:left w:w="0" w:type="dxa"/>
              <w:bottom w:w="40" w:type="dxa"/>
              <w:right w:w="20" w:type="dxa"/>
            </w:tcMar>
            <w:vAlign w:val="bottom"/>
          </w:tcPr>
          <w:p w14:paraId="74DDBCAE" w14:textId="77777777" w:rsidR="00584EC1" w:rsidRDefault="00584EC1">
            <w:pPr>
              <w:jc w:val="right"/>
              <w:rPr>
                <w:rFonts w:ascii="宋体"/>
              </w:rPr>
            </w:pPr>
          </w:p>
        </w:tc>
      </w:tr>
      <w:tr w:rsidR="00584EC1" w14:paraId="74DDBCBE" w14:textId="77777777">
        <w:tc>
          <w:tcPr>
            <w:tcW w:w="0" w:type="auto"/>
            <w:gridSpan w:val="3"/>
            <w:shd w:val="clear" w:color="auto" w:fill="CCEEFF"/>
            <w:tcMar>
              <w:top w:w="40" w:type="dxa"/>
              <w:left w:w="515" w:type="dxa"/>
              <w:bottom w:w="40" w:type="dxa"/>
              <w:right w:w="20" w:type="dxa"/>
            </w:tcMar>
            <w:vAlign w:val="bottom"/>
          </w:tcPr>
          <w:p w14:paraId="74DDBCB0" w14:textId="77777777" w:rsidR="00584EC1" w:rsidRDefault="00871F8D">
            <w:pPr>
              <w:textAlignment w:val="bottom"/>
            </w:pPr>
            <w:r>
              <w:rPr>
                <w:rFonts w:ascii="Arial" w:eastAsia="宋体" w:hAnsi="Arial" w:cs="Arial"/>
                <w:color w:val="000000"/>
                <w:sz w:val="15"/>
                <w:szCs w:val="15"/>
              </w:rPr>
              <w:t>Non-U.S. sovereign, supranational and non-U.S. agency</w:t>
            </w:r>
          </w:p>
        </w:tc>
        <w:tc>
          <w:tcPr>
            <w:tcW w:w="0" w:type="auto"/>
            <w:gridSpan w:val="2"/>
            <w:shd w:val="clear" w:color="auto" w:fill="CCEEFF"/>
            <w:tcMar>
              <w:top w:w="40" w:type="dxa"/>
              <w:left w:w="20" w:type="dxa"/>
              <w:bottom w:w="40" w:type="dxa"/>
              <w:right w:w="0" w:type="dxa"/>
            </w:tcMar>
            <w:vAlign w:val="bottom"/>
          </w:tcPr>
          <w:p w14:paraId="74DDBCB1"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BCB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CB3"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CB4" w14:textId="77777777" w:rsidR="00584EC1" w:rsidRDefault="00871F8D">
            <w:pPr>
              <w:jc w:val="right"/>
              <w:textAlignment w:val="bottom"/>
            </w:pPr>
            <w:r>
              <w:rPr>
                <w:rFonts w:ascii="Arial" w:eastAsia="宋体" w:hAnsi="Arial" w:cs="Arial"/>
                <w:color w:val="000000"/>
                <w:sz w:val="15"/>
                <w:szCs w:val="15"/>
              </w:rPr>
              <w:t>22,087 </w:t>
            </w:r>
          </w:p>
        </w:tc>
        <w:tc>
          <w:tcPr>
            <w:tcW w:w="0" w:type="auto"/>
            <w:shd w:val="clear" w:color="auto" w:fill="CCEEFF"/>
            <w:tcMar>
              <w:top w:w="40" w:type="dxa"/>
              <w:left w:w="0" w:type="dxa"/>
              <w:bottom w:w="40" w:type="dxa"/>
              <w:right w:w="20" w:type="dxa"/>
            </w:tcMar>
            <w:vAlign w:val="bottom"/>
          </w:tcPr>
          <w:p w14:paraId="74DDBCB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CB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CB7"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BCB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CB9"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CBA"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CB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CBC" w14:textId="77777777" w:rsidR="00584EC1" w:rsidRDefault="00871F8D">
            <w:pPr>
              <w:jc w:val="right"/>
              <w:textAlignment w:val="bottom"/>
            </w:pPr>
            <w:r>
              <w:rPr>
                <w:rFonts w:ascii="Arial" w:eastAsia="宋体" w:hAnsi="Arial" w:cs="Arial"/>
                <w:color w:val="000000"/>
                <w:sz w:val="14"/>
                <w:szCs w:val="14"/>
              </w:rPr>
              <w:t>22,087 </w:t>
            </w:r>
          </w:p>
        </w:tc>
        <w:tc>
          <w:tcPr>
            <w:tcW w:w="0" w:type="auto"/>
            <w:shd w:val="clear" w:color="auto" w:fill="CCEEFF"/>
            <w:tcMar>
              <w:top w:w="40" w:type="dxa"/>
              <w:left w:w="0" w:type="dxa"/>
              <w:bottom w:w="40" w:type="dxa"/>
              <w:right w:w="20" w:type="dxa"/>
            </w:tcMar>
            <w:vAlign w:val="bottom"/>
          </w:tcPr>
          <w:p w14:paraId="74DDBCBD" w14:textId="77777777" w:rsidR="00584EC1" w:rsidRDefault="00584EC1">
            <w:pPr>
              <w:jc w:val="right"/>
              <w:rPr>
                <w:rFonts w:ascii="宋体"/>
              </w:rPr>
            </w:pPr>
          </w:p>
        </w:tc>
      </w:tr>
      <w:tr w:rsidR="00584EC1" w14:paraId="74DDBCCD" w14:textId="77777777">
        <w:tc>
          <w:tcPr>
            <w:tcW w:w="0" w:type="auto"/>
            <w:gridSpan w:val="3"/>
            <w:shd w:val="clear" w:color="auto" w:fill="FFFFFF"/>
            <w:tcMar>
              <w:top w:w="40" w:type="dxa"/>
              <w:left w:w="515" w:type="dxa"/>
              <w:bottom w:w="40" w:type="dxa"/>
              <w:right w:w="20" w:type="dxa"/>
            </w:tcMar>
            <w:vAlign w:val="bottom"/>
          </w:tcPr>
          <w:p w14:paraId="74DDBCBF" w14:textId="77777777" w:rsidR="00584EC1" w:rsidRDefault="00871F8D">
            <w:pPr>
              <w:textAlignment w:val="bottom"/>
            </w:pPr>
            <w:r>
              <w:rPr>
                <w:rFonts w:ascii="Arial" w:eastAsia="宋体" w:hAnsi="Arial" w:cs="Arial"/>
                <w:color w:val="000000"/>
                <w:sz w:val="15"/>
                <w:szCs w:val="15"/>
              </w:rPr>
              <w:t>Other</w:t>
            </w:r>
          </w:p>
        </w:tc>
        <w:tc>
          <w:tcPr>
            <w:tcW w:w="0" w:type="auto"/>
            <w:gridSpan w:val="2"/>
            <w:shd w:val="clear" w:color="auto" w:fill="FFFFFF"/>
            <w:tcMar>
              <w:top w:w="40" w:type="dxa"/>
              <w:left w:w="20" w:type="dxa"/>
              <w:bottom w:w="40" w:type="dxa"/>
              <w:right w:w="0" w:type="dxa"/>
            </w:tcMar>
            <w:vAlign w:val="bottom"/>
          </w:tcPr>
          <w:p w14:paraId="74DDBCC0"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BCC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CC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CC3" w14:textId="77777777" w:rsidR="00584EC1" w:rsidRDefault="00871F8D">
            <w:pPr>
              <w:jc w:val="right"/>
              <w:textAlignment w:val="bottom"/>
            </w:pPr>
            <w:r>
              <w:rPr>
                <w:rFonts w:ascii="Arial" w:eastAsia="宋体" w:hAnsi="Arial" w:cs="Arial"/>
                <w:color w:val="000000"/>
                <w:sz w:val="15"/>
                <w:szCs w:val="15"/>
              </w:rPr>
              <w:t>3,355 </w:t>
            </w:r>
          </w:p>
        </w:tc>
        <w:tc>
          <w:tcPr>
            <w:tcW w:w="0" w:type="auto"/>
            <w:shd w:val="clear" w:color="auto" w:fill="FFFFFF"/>
            <w:tcMar>
              <w:top w:w="40" w:type="dxa"/>
              <w:left w:w="0" w:type="dxa"/>
              <w:bottom w:w="40" w:type="dxa"/>
              <w:right w:w="20" w:type="dxa"/>
            </w:tcMar>
            <w:vAlign w:val="bottom"/>
          </w:tcPr>
          <w:p w14:paraId="74DDBCC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CC5"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CC6"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BCC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CC8"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CC9"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CC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CCB" w14:textId="77777777" w:rsidR="00584EC1" w:rsidRDefault="00871F8D">
            <w:pPr>
              <w:jc w:val="right"/>
              <w:textAlignment w:val="bottom"/>
            </w:pPr>
            <w:r>
              <w:rPr>
                <w:rFonts w:ascii="Arial" w:eastAsia="宋体" w:hAnsi="Arial" w:cs="Arial"/>
                <w:color w:val="000000"/>
                <w:sz w:val="14"/>
                <w:szCs w:val="14"/>
              </w:rPr>
              <w:t>3,355 </w:t>
            </w:r>
          </w:p>
        </w:tc>
        <w:tc>
          <w:tcPr>
            <w:tcW w:w="0" w:type="auto"/>
            <w:shd w:val="clear" w:color="auto" w:fill="FFFFFF"/>
            <w:tcMar>
              <w:top w:w="40" w:type="dxa"/>
              <w:left w:w="0" w:type="dxa"/>
              <w:bottom w:w="40" w:type="dxa"/>
              <w:right w:w="20" w:type="dxa"/>
            </w:tcMar>
            <w:vAlign w:val="bottom"/>
          </w:tcPr>
          <w:p w14:paraId="74DDBCCC" w14:textId="77777777" w:rsidR="00584EC1" w:rsidRDefault="00584EC1">
            <w:pPr>
              <w:jc w:val="right"/>
              <w:rPr>
                <w:rFonts w:ascii="宋体"/>
              </w:rPr>
            </w:pPr>
          </w:p>
        </w:tc>
      </w:tr>
      <w:tr w:rsidR="00584EC1" w14:paraId="74DDBCDC" w14:textId="77777777">
        <w:tc>
          <w:tcPr>
            <w:tcW w:w="0" w:type="auto"/>
            <w:gridSpan w:val="3"/>
            <w:shd w:val="clear" w:color="auto" w:fill="CCEEFF"/>
            <w:tcMar>
              <w:top w:w="40" w:type="dxa"/>
              <w:left w:w="740" w:type="dxa"/>
              <w:bottom w:w="40" w:type="dxa"/>
              <w:right w:w="20" w:type="dxa"/>
            </w:tcMar>
            <w:vAlign w:val="bottom"/>
          </w:tcPr>
          <w:p w14:paraId="74DDBCCE" w14:textId="77777777" w:rsidR="00584EC1" w:rsidRDefault="00871F8D">
            <w:pPr>
              <w:textAlignment w:val="bottom"/>
            </w:pPr>
            <w:r>
              <w:rPr>
                <w:rFonts w:ascii="Arial" w:eastAsia="宋体" w:hAnsi="Arial" w:cs="Arial"/>
                <w:color w:val="000000"/>
                <w:sz w:val="15"/>
                <w:szCs w:val="15"/>
              </w:rPr>
              <w:t>Total non-U.S. debt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BCCF" w14:textId="77777777" w:rsidR="00584EC1" w:rsidRDefault="00871F8D">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BCD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CD1"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BCD2" w14:textId="77777777" w:rsidR="00584EC1" w:rsidRDefault="00871F8D">
            <w:pPr>
              <w:jc w:val="right"/>
              <w:textAlignment w:val="bottom"/>
            </w:pPr>
            <w:r>
              <w:rPr>
                <w:rFonts w:ascii="Arial" w:eastAsia="宋体" w:hAnsi="Arial" w:cs="Arial"/>
                <w:color w:val="000000"/>
                <w:sz w:val="14"/>
                <w:szCs w:val="14"/>
              </w:rPr>
              <w:t>29,729 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BCD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CD4"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BCD5" w14:textId="77777777" w:rsidR="00584EC1" w:rsidRDefault="00871F8D">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BCD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CD7"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CD8"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CD9"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BCDA" w14:textId="77777777" w:rsidR="00584EC1" w:rsidRDefault="00871F8D">
            <w:pPr>
              <w:jc w:val="right"/>
              <w:textAlignment w:val="bottom"/>
            </w:pPr>
            <w:r>
              <w:rPr>
                <w:rFonts w:ascii="Arial" w:eastAsia="宋体" w:hAnsi="Arial" w:cs="Arial"/>
                <w:color w:val="000000"/>
                <w:sz w:val="14"/>
                <w:szCs w:val="14"/>
              </w:rPr>
              <w:t>29,729 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BCDB" w14:textId="77777777" w:rsidR="00584EC1" w:rsidRDefault="00584EC1">
            <w:pPr>
              <w:jc w:val="right"/>
              <w:rPr>
                <w:rFonts w:ascii="宋体"/>
              </w:rPr>
            </w:pPr>
          </w:p>
        </w:tc>
      </w:tr>
      <w:tr w:rsidR="00584EC1" w14:paraId="74DDBCE7" w14:textId="77777777">
        <w:tc>
          <w:tcPr>
            <w:tcW w:w="0" w:type="auto"/>
            <w:gridSpan w:val="3"/>
            <w:shd w:val="clear" w:color="auto" w:fill="FFFFFF"/>
            <w:tcMar>
              <w:top w:w="40" w:type="dxa"/>
              <w:left w:w="245" w:type="dxa"/>
              <w:bottom w:w="40" w:type="dxa"/>
              <w:right w:w="20" w:type="dxa"/>
            </w:tcMar>
            <w:vAlign w:val="bottom"/>
          </w:tcPr>
          <w:p w14:paraId="74DDBCDD" w14:textId="77777777" w:rsidR="00584EC1" w:rsidRDefault="00871F8D">
            <w:pPr>
              <w:textAlignment w:val="bottom"/>
            </w:pPr>
            <w:r>
              <w:rPr>
                <w:rFonts w:ascii="Arial" w:eastAsia="宋体" w:hAnsi="Arial" w:cs="Arial"/>
                <w:color w:val="000000"/>
                <w:sz w:val="15"/>
                <w:szCs w:val="15"/>
              </w:rPr>
              <w:t>Asset-backed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BCDE"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CDF"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BCE0"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CE1"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BCE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CE3"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CE4"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CE5"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BCE6" w14:textId="77777777" w:rsidR="00584EC1" w:rsidRDefault="00584EC1">
            <w:pPr>
              <w:rPr>
                <w:rFonts w:ascii="宋体"/>
              </w:rPr>
            </w:pPr>
          </w:p>
        </w:tc>
      </w:tr>
      <w:tr w:rsidR="00584EC1" w14:paraId="74DDBCF6" w14:textId="77777777">
        <w:tc>
          <w:tcPr>
            <w:tcW w:w="0" w:type="auto"/>
            <w:gridSpan w:val="3"/>
            <w:shd w:val="clear" w:color="auto" w:fill="CCEEFF"/>
            <w:tcMar>
              <w:top w:w="40" w:type="dxa"/>
              <w:left w:w="515" w:type="dxa"/>
              <w:bottom w:w="40" w:type="dxa"/>
              <w:right w:w="20" w:type="dxa"/>
            </w:tcMar>
            <w:vAlign w:val="bottom"/>
          </w:tcPr>
          <w:p w14:paraId="74DDBCE8" w14:textId="77777777" w:rsidR="00584EC1" w:rsidRDefault="00871F8D">
            <w:pPr>
              <w:textAlignment w:val="bottom"/>
            </w:pPr>
            <w:r>
              <w:rPr>
                <w:rFonts w:ascii="Arial" w:eastAsia="宋体" w:hAnsi="Arial" w:cs="Arial"/>
                <w:color w:val="000000"/>
                <w:sz w:val="15"/>
                <w:szCs w:val="15"/>
              </w:rPr>
              <w:t>Student loans</w:t>
            </w:r>
          </w:p>
        </w:tc>
        <w:tc>
          <w:tcPr>
            <w:tcW w:w="0" w:type="auto"/>
            <w:gridSpan w:val="2"/>
            <w:shd w:val="clear" w:color="auto" w:fill="CCEEFF"/>
            <w:tcMar>
              <w:top w:w="40" w:type="dxa"/>
              <w:left w:w="20" w:type="dxa"/>
              <w:bottom w:w="40" w:type="dxa"/>
              <w:right w:w="0" w:type="dxa"/>
            </w:tcMar>
            <w:vAlign w:val="bottom"/>
          </w:tcPr>
          <w:p w14:paraId="74DDBCE9"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BCE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CE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CEC" w14:textId="77777777" w:rsidR="00584EC1" w:rsidRDefault="00871F8D">
            <w:pPr>
              <w:jc w:val="right"/>
              <w:textAlignment w:val="bottom"/>
            </w:pPr>
            <w:r>
              <w:rPr>
                <w:rFonts w:ascii="Arial" w:eastAsia="宋体" w:hAnsi="Arial" w:cs="Arial"/>
                <w:color w:val="000000"/>
                <w:sz w:val="14"/>
                <w:szCs w:val="14"/>
              </w:rPr>
              <w:t>314 </w:t>
            </w:r>
          </w:p>
        </w:tc>
        <w:tc>
          <w:tcPr>
            <w:tcW w:w="0" w:type="auto"/>
            <w:shd w:val="clear" w:color="auto" w:fill="CCEEFF"/>
            <w:tcMar>
              <w:top w:w="40" w:type="dxa"/>
              <w:left w:w="0" w:type="dxa"/>
              <w:bottom w:w="40" w:type="dxa"/>
              <w:right w:w="20" w:type="dxa"/>
            </w:tcMar>
            <w:vAlign w:val="bottom"/>
          </w:tcPr>
          <w:p w14:paraId="74DDBCE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CEE"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CEF"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BCF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CF1"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CF2"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CF3"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CF4" w14:textId="77777777" w:rsidR="00584EC1" w:rsidRDefault="00871F8D">
            <w:pPr>
              <w:jc w:val="right"/>
              <w:textAlignment w:val="bottom"/>
            </w:pPr>
            <w:r>
              <w:rPr>
                <w:rFonts w:ascii="Arial" w:eastAsia="宋体" w:hAnsi="Arial" w:cs="Arial"/>
                <w:color w:val="000000"/>
                <w:sz w:val="14"/>
                <w:szCs w:val="14"/>
              </w:rPr>
              <w:t>314 </w:t>
            </w:r>
          </w:p>
        </w:tc>
        <w:tc>
          <w:tcPr>
            <w:tcW w:w="0" w:type="auto"/>
            <w:shd w:val="clear" w:color="auto" w:fill="CCEEFF"/>
            <w:tcMar>
              <w:top w:w="40" w:type="dxa"/>
              <w:left w:w="0" w:type="dxa"/>
              <w:bottom w:w="40" w:type="dxa"/>
              <w:right w:w="20" w:type="dxa"/>
            </w:tcMar>
            <w:vAlign w:val="bottom"/>
          </w:tcPr>
          <w:p w14:paraId="74DDBCF5" w14:textId="77777777" w:rsidR="00584EC1" w:rsidRDefault="00584EC1">
            <w:pPr>
              <w:jc w:val="right"/>
              <w:rPr>
                <w:rFonts w:ascii="宋体"/>
              </w:rPr>
            </w:pPr>
          </w:p>
        </w:tc>
      </w:tr>
      <w:tr w:rsidR="00584EC1" w14:paraId="74DDBD01" w14:textId="77777777">
        <w:trPr>
          <w:hidden/>
        </w:trPr>
        <w:tc>
          <w:tcPr>
            <w:tcW w:w="0" w:type="auto"/>
            <w:gridSpan w:val="3"/>
            <w:shd w:val="clear" w:color="auto" w:fill="auto"/>
            <w:vAlign w:val="bottom"/>
          </w:tcPr>
          <w:p w14:paraId="74DDBCF7" w14:textId="77777777" w:rsidR="00584EC1" w:rsidRDefault="00584EC1">
            <w:pPr>
              <w:rPr>
                <w:rFonts w:ascii="宋体"/>
                <w:vanish/>
              </w:rPr>
            </w:pPr>
          </w:p>
        </w:tc>
        <w:tc>
          <w:tcPr>
            <w:tcW w:w="0" w:type="auto"/>
            <w:gridSpan w:val="3"/>
            <w:shd w:val="clear" w:color="auto" w:fill="auto"/>
            <w:vAlign w:val="bottom"/>
          </w:tcPr>
          <w:p w14:paraId="74DDBCF8" w14:textId="77777777" w:rsidR="00584EC1" w:rsidRDefault="00584EC1">
            <w:pPr>
              <w:rPr>
                <w:rFonts w:ascii="宋体"/>
                <w:vanish/>
              </w:rPr>
            </w:pPr>
          </w:p>
        </w:tc>
        <w:tc>
          <w:tcPr>
            <w:tcW w:w="0" w:type="auto"/>
            <w:gridSpan w:val="3"/>
            <w:shd w:val="clear" w:color="auto" w:fill="auto"/>
            <w:vAlign w:val="bottom"/>
          </w:tcPr>
          <w:p w14:paraId="74DDBCF9" w14:textId="77777777" w:rsidR="00584EC1" w:rsidRDefault="00584EC1">
            <w:pPr>
              <w:rPr>
                <w:rFonts w:ascii="宋体"/>
                <w:vanish/>
              </w:rPr>
            </w:pPr>
          </w:p>
        </w:tc>
        <w:tc>
          <w:tcPr>
            <w:tcW w:w="0" w:type="auto"/>
            <w:gridSpan w:val="3"/>
            <w:shd w:val="clear" w:color="auto" w:fill="auto"/>
            <w:vAlign w:val="bottom"/>
          </w:tcPr>
          <w:p w14:paraId="74DDBCFA" w14:textId="77777777" w:rsidR="00584EC1" w:rsidRDefault="00584EC1">
            <w:pPr>
              <w:rPr>
                <w:rFonts w:ascii="宋体"/>
                <w:vanish/>
              </w:rPr>
            </w:pPr>
          </w:p>
        </w:tc>
        <w:tc>
          <w:tcPr>
            <w:tcW w:w="0" w:type="auto"/>
            <w:gridSpan w:val="3"/>
            <w:shd w:val="clear" w:color="auto" w:fill="auto"/>
            <w:vAlign w:val="bottom"/>
          </w:tcPr>
          <w:p w14:paraId="74DDBCFB" w14:textId="77777777" w:rsidR="00584EC1" w:rsidRDefault="00584EC1">
            <w:pPr>
              <w:rPr>
                <w:rFonts w:ascii="宋体"/>
                <w:vanish/>
              </w:rPr>
            </w:pPr>
          </w:p>
        </w:tc>
        <w:tc>
          <w:tcPr>
            <w:tcW w:w="0" w:type="auto"/>
            <w:gridSpan w:val="3"/>
            <w:shd w:val="clear" w:color="auto" w:fill="auto"/>
            <w:vAlign w:val="bottom"/>
          </w:tcPr>
          <w:p w14:paraId="74DDBCFC" w14:textId="77777777" w:rsidR="00584EC1" w:rsidRDefault="00584EC1">
            <w:pPr>
              <w:rPr>
                <w:rFonts w:ascii="宋体"/>
                <w:vanish/>
              </w:rPr>
            </w:pPr>
          </w:p>
        </w:tc>
        <w:tc>
          <w:tcPr>
            <w:tcW w:w="0" w:type="auto"/>
            <w:gridSpan w:val="3"/>
            <w:shd w:val="clear" w:color="auto" w:fill="auto"/>
            <w:vAlign w:val="bottom"/>
          </w:tcPr>
          <w:p w14:paraId="74DDBCFD" w14:textId="77777777" w:rsidR="00584EC1" w:rsidRDefault="00584EC1">
            <w:pPr>
              <w:rPr>
                <w:rFonts w:ascii="宋体"/>
                <w:vanish/>
              </w:rPr>
            </w:pPr>
          </w:p>
        </w:tc>
        <w:tc>
          <w:tcPr>
            <w:tcW w:w="0" w:type="auto"/>
            <w:gridSpan w:val="3"/>
            <w:shd w:val="clear" w:color="auto" w:fill="auto"/>
            <w:vAlign w:val="bottom"/>
          </w:tcPr>
          <w:p w14:paraId="74DDBCFE" w14:textId="77777777" w:rsidR="00584EC1" w:rsidRDefault="00584EC1">
            <w:pPr>
              <w:rPr>
                <w:rFonts w:ascii="宋体"/>
                <w:vanish/>
              </w:rPr>
            </w:pPr>
          </w:p>
        </w:tc>
        <w:tc>
          <w:tcPr>
            <w:tcW w:w="0" w:type="auto"/>
            <w:gridSpan w:val="3"/>
            <w:shd w:val="clear" w:color="auto" w:fill="auto"/>
            <w:vAlign w:val="bottom"/>
          </w:tcPr>
          <w:p w14:paraId="74DDBCFF" w14:textId="77777777" w:rsidR="00584EC1" w:rsidRDefault="00584EC1">
            <w:pPr>
              <w:rPr>
                <w:rFonts w:ascii="宋体"/>
                <w:vanish/>
              </w:rPr>
            </w:pPr>
          </w:p>
        </w:tc>
        <w:tc>
          <w:tcPr>
            <w:tcW w:w="0" w:type="auto"/>
            <w:gridSpan w:val="3"/>
            <w:shd w:val="clear" w:color="auto" w:fill="auto"/>
            <w:vAlign w:val="bottom"/>
          </w:tcPr>
          <w:p w14:paraId="74DDBD00" w14:textId="77777777" w:rsidR="00584EC1" w:rsidRDefault="00584EC1">
            <w:pPr>
              <w:rPr>
                <w:rFonts w:ascii="宋体"/>
                <w:vanish/>
              </w:rPr>
            </w:pPr>
          </w:p>
        </w:tc>
      </w:tr>
      <w:tr w:rsidR="00584EC1" w14:paraId="74DDBD0C" w14:textId="77777777">
        <w:trPr>
          <w:hidden/>
        </w:trPr>
        <w:tc>
          <w:tcPr>
            <w:tcW w:w="0" w:type="auto"/>
            <w:gridSpan w:val="3"/>
            <w:shd w:val="clear" w:color="auto" w:fill="auto"/>
            <w:vAlign w:val="bottom"/>
          </w:tcPr>
          <w:p w14:paraId="74DDBD02" w14:textId="77777777" w:rsidR="00584EC1" w:rsidRDefault="00584EC1">
            <w:pPr>
              <w:rPr>
                <w:rFonts w:ascii="宋体"/>
                <w:vanish/>
              </w:rPr>
            </w:pPr>
          </w:p>
        </w:tc>
        <w:tc>
          <w:tcPr>
            <w:tcW w:w="0" w:type="auto"/>
            <w:gridSpan w:val="3"/>
            <w:shd w:val="clear" w:color="auto" w:fill="auto"/>
            <w:vAlign w:val="bottom"/>
          </w:tcPr>
          <w:p w14:paraId="74DDBD03" w14:textId="77777777" w:rsidR="00584EC1" w:rsidRDefault="00584EC1">
            <w:pPr>
              <w:rPr>
                <w:rFonts w:ascii="宋体"/>
                <w:vanish/>
              </w:rPr>
            </w:pPr>
          </w:p>
        </w:tc>
        <w:tc>
          <w:tcPr>
            <w:tcW w:w="0" w:type="auto"/>
            <w:gridSpan w:val="3"/>
            <w:shd w:val="clear" w:color="auto" w:fill="auto"/>
            <w:vAlign w:val="bottom"/>
          </w:tcPr>
          <w:p w14:paraId="74DDBD04" w14:textId="77777777" w:rsidR="00584EC1" w:rsidRDefault="00584EC1">
            <w:pPr>
              <w:rPr>
                <w:rFonts w:ascii="宋体"/>
                <w:vanish/>
              </w:rPr>
            </w:pPr>
          </w:p>
        </w:tc>
        <w:tc>
          <w:tcPr>
            <w:tcW w:w="0" w:type="auto"/>
            <w:gridSpan w:val="3"/>
            <w:shd w:val="clear" w:color="auto" w:fill="auto"/>
            <w:vAlign w:val="bottom"/>
          </w:tcPr>
          <w:p w14:paraId="74DDBD05" w14:textId="77777777" w:rsidR="00584EC1" w:rsidRDefault="00584EC1">
            <w:pPr>
              <w:rPr>
                <w:rFonts w:ascii="宋体"/>
                <w:vanish/>
              </w:rPr>
            </w:pPr>
          </w:p>
        </w:tc>
        <w:tc>
          <w:tcPr>
            <w:tcW w:w="0" w:type="auto"/>
            <w:gridSpan w:val="3"/>
            <w:shd w:val="clear" w:color="auto" w:fill="auto"/>
            <w:vAlign w:val="bottom"/>
          </w:tcPr>
          <w:p w14:paraId="74DDBD06" w14:textId="77777777" w:rsidR="00584EC1" w:rsidRDefault="00584EC1">
            <w:pPr>
              <w:rPr>
                <w:rFonts w:ascii="宋体"/>
                <w:vanish/>
              </w:rPr>
            </w:pPr>
          </w:p>
        </w:tc>
        <w:tc>
          <w:tcPr>
            <w:tcW w:w="0" w:type="auto"/>
            <w:gridSpan w:val="3"/>
            <w:shd w:val="clear" w:color="auto" w:fill="auto"/>
            <w:vAlign w:val="bottom"/>
          </w:tcPr>
          <w:p w14:paraId="74DDBD07" w14:textId="77777777" w:rsidR="00584EC1" w:rsidRDefault="00584EC1">
            <w:pPr>
              <w:rPr>
                <w:rFonts w:ascii="宋体"/>
                <w:vanish/>
              </w:rPr>
            </w:pPr>
          </w:p>
        </w:tc>
        <w:tc>
          <w:tcPr>
            <w:tcW w:w="0" w:type="auto"/>
            <w:gridSpan w:val="3"/>
            <w:shd w:val="clear" w:color="auto" w:fill="auto"/>
            <w:vAlign w:val="bottom"/>
          </w:tcPr>
          <w:p w14:paraId="74DDBD08" w14:textId="77777777" w:rsidR="00584EC1" w:rsidRDefault="00584EC1">
            <w:pPr>
              <w:rPr>
                <w:rFonts w:ascii="宋体"/>
                <w:vanish/>
              </w:rPr>
            </w:pPr>
          </w:p>
        </w:tc>
        <w:tc>
          <w:tcPr>
            <w:tcW w:w="0" w:type="auto"/>
            <w:gridSpan w:val="3"/>
            <w:shd w:val="clear" w:color="auto" w:fill="auto"/>
            <w:vAlign w:val="bottom"/>
          </w:tcPr>
          <w:p w14:paraId="74DDBD09" w14:textId="77777777" w:rsidR="00584EC1" w:rsidRDefault="00584EC1">
            <w:pPr>
              <w:rPr>
                <w:rFonts w:ascii="宋体"/>
                <w:vanish/>
              </w:rPr>
            </w:pPr>
          </w:p>
        </w:tc>
        <w:tc>
          <w:tcPr>
            <w:tcW w:w="0" w:type="auto"/>
            <w:gridSpan w:val="3"/>
            <w:shd w:val="clear" w:color="auto" w:fill="auto"/>
            <w:vAlign w:val="bottom"/>
          </w:tcPr>
          <w:p w14:paraId="74DDBD0A" w14:textId="77777777" w:rsidR="00584EC1" w:rsidRDefault="00584EC1">
            <w:pPr>
              <w:rPr>
                <w:rFonts w:ascii="宋体"/>
                <w:vanish/>
              </w:rPr>
            </w:pPr>
          </w:p>
        </w:tc>
        <w:tc>
          <w:tcPr>
            <w:tcW w:w="0" w:type="auto"/>
            <w:gridSpan w:val="3"/>
            <w:shd w:val="clear" w:color="auto" w:fill="auto"/>
            <w:vAlign w:val="bottom"/>
          </w:tcPr>
          <w:p w14:paraId="74DDBD0B" w14:textId="77777777" w:rsidR="00584EC1" w:rsidRDefault="00584EC1">
            <w:pPr>
              <w:rPr>
                <w:rFonts w:ascii="宋体"/>
                <w:vanish/>
              </w:rPr>
            </w:pPr>
          </w:p>
        </w:tc>
      </w:tr>
      <w:tr w:rsidR="00584EC1" w14:paraId="74DDBD1B" w14:textId="77777777">
        <w:tc>
          <w:tcPr>
            <w:tcW w:w="0" w:type="auto"/>
            <w:gridSpan w:val="3"/>
            <w:shd w:val="clear" w:color="auto" w:fill="FFFFFF"/>
            <w:tcMar>
              <w:top w:w="40" w:type="dxa"/>
              <w:left w:w="515" w:type="dxa"/>
              <w:bottom w:w="40" w:type="dxa"/>
              <w:right w:w="20" w:type="dxa"/>
            </w:tcMar>
            <w:vAlign w:val="bottom"/>
          </w:tcPr>
          <w:p w14:paraId="74DDBD0D" w14:textId="77777777" w:rsidR="00584EC1" w:rsidRDefault="00871F8D">
            <w:pPr>
              <w:textAlignment w:val="bottom"/>
            </w:pPr>
            <w:r>
              <w:rPr>
                <w:rFonts w:ascii="Arial" w:eastAsia="宋体" w:hAnsi="Arial" w:cs="Arial"/>
                <w:color w:val="000000"/>
                <w:sz w:val="15"/>
                <w:szCs w:val="15"/>
              </w:rPr>
              <w:t>Collateralized loan obligations</w:t>
            </w:r>
          </w:p>
        </w:tc>
        <w:tc>
          <w:tcPr>
            <w:tcW w:w="0" w:type="auto"/>
            <w:gridSpan w:val="2"/>
            <w:shd w:val="clear" w:color="auto" w:fill="FFFFFF"/>
            <w:tcMar>
              <w:top w:w="40" w:type="dxa"/>
              <w:left w:w="20" w:type="dxa"/>
              <w:bottom w:w="40" w:type="dxa"/>
              <w:right w:w="0" w:type="dxa"/>
            </w:tcMar>
            <w:vAlign w:val="bottom"/>
          </w:tcPr>
          <w:p w14:paraId="74DDBD0E"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BD0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D1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D11" w14:textId="77777777" w:rsidR="00584EC1" w:rsidRDefault="00871F8D">
            <w:pPr>
              <w:jc w:val="right"/>
              <w:textAlignment w:val="bottom"/>
            </w:pPr>
            <w:r>
              <w:rPr>
                <w:rFonts w:ascii="Arial" w:eastAsia="宋体" w:hAnsi="Arial" w:cs="Arial"/>
                <w:color w:val="000000"/>
                <w:sz w:val="14"/>
                <w:szCs w:val="14"/>
              </w:rPr>
              <w:t>2,952 </w:t>
            </w:r>
          </w:p>
        </w:tc>
        <w:tc>
          <w:tcPr>
            <w:tcW w:w="0" w:type="auto"/>
            <w:shd w:val="clear" w:color="auto" w:fill="FFFFFF"/>
            <w:tcMar>
              <w:top w:w="40" w:type="dxa"/>
              <w:left w:w="0" w:type="dxa"/>
              <w:bottom w:w="40" w:type="dxa"/>
              <w:right w:w="20" w:type="dxa"/>
            </w:tcMar>
            <w:vAlign w:val="bottom"/>
          </w:tcPr>
          <w:p w14:paraId="74DDBD1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D1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D14" w14:textId="77777777" w:rsidR="00584EC1" w:rsidRDefault="00871F8D">
            <w:pPr>
              <w:jc w:val="right"/>
              <w:textAlignment w:val="bottom"/>
            </w:pPr>
            <w:r>
              <w:rPr>
                <w:rFonts w:ascii="Arial" w:eastAsia="宋体" w:hAnsi="Arial" w:cs="Arial"/>
                <w:color w:val="000000"/>
                <w:sz w:val="14"/>
                <w:szCs w:val="14"/>
              </w:rPr>
              <w:t>14 </w:t>
            </w:r>
          </w:p>
        </w:tc>
        <w:tc>
          <w:tcPr>
            <w:tcW w:w="0" w:type="auto"/>
            <w:shd w:val="clear" w:color="auto" w:fill="FFFFFF"/>
            <w:tcMar>
              <w:top w:w="40" w:type="dxa"/>
              <w:left w:w="0" w:type="dxa"/>
              <w:bottom w:w="40" w:type="dxa"/>
              <w:right w:w="20" w:type="dxa"/>
            </w:tcMar>
            <w:vAlign w:val="bottom"/>
          </w:tcPr>
          <w:p w14:paraId="74DDBD1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D16"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D17"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D18"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D19" w14:textId="77777777" w:rsidR="00584EC1" w:rsidRDefault="00871F8D">
            <w:pPr>
              <w:jc w:val="right"/>
              <w:textAlignment w:val="bottom"/>
            </w:pPr>
            <w:r>
              <w:rPr>
                <w:rFonts w:ascii="Arial" w:eastAsia="宋体" w:hAnsi="Arial" w:cs="Arial"/>
                <w:color w:val="000000"/>
                <w:sz w:val="14"/>
                <w:szCs w:val="14"/>
              </w:rPr>
              <w:t>2,966 </w:t>
            </w:r>
          </w:p>
        </w:tc>
        <w:tc>
          <w:tcPr>
            <w:tcW w:w="0" w:type="auto"/>
            <w:shd w:val="clear" w:color="auto" w:fill="FFFFFF"/>
            <w:tcMar>
              <w:top w:w="40" w:type="dxa"/>
              <w:left w:w="0" w:type="dxa"/>
              <w:bottom w:w="40" w:type="dxa"/>
              <w:right w:w="20" w:type="dxa"/>
            </w:tcMar>
            <w:vAlign w:val="bottom"/>
          </w:tcPr>
          <w:p w14:paraId="74DDBD1A" w14:textId="77777777" w:rsidR="00584EC1" w:rsidRDefault="00584EC1">
            <w:pPr>
              <w:jc w:val="right"/>
              <w:rPr>
                <w:rFonts w:ascii="宋体"/>
              </w:rPr>
            </w:pPr>
          </w:p>
        </w:tc>
      </w:tr>
      <w:tr w:rsidR="00584EC1" w14:paraId="74DDBD2A" w14:textId="77777777">
        <w:tc>
          <w:tcPr>
            <w:tcW w:w="0" w:type="auto"/>
            <w:gridSpan w:val="3"/>
            <w:shd w:val="clear" w:color="auto" w:fill="CCEEFF"/>
            <w:tcMar>
              <w:top w:w="40" w:type="dxa"/>
              <w:left w:w="20" w:type="dxa"/>
              <w:bottom w:w="40" w:type="dxa"/>
              <w:right w:w="20" w:type="dxa"/>
            </w:tcMar>
            <w:vAlign w:val="bottom"/>
          </w:tcPr>
          <w:p w14:paraId="74DDBD1C" w14:textId="77777777" w:rsidR="00584EC1" w:rsidRDefault="00871F8D">
            <w:pPr>
              <w:textAlignment w:val="bottom"/>
            </w:pPr>
            <w:r>
              <w:rPr>
                <w:rFonts w:ascii="Arial" w:eastAsia="宋体" w:hAnsi="Arial" w:cs="Arial"/>
                <w:color w:val="000000"/>
                <w:sz w:val="15"/>
                <w:szCs w:val="15"/>
              </w:rPr>
              <w:t>Non-agency CMBS and RMBS</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74DDBD1D"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BD1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D1F"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D20" w14:textId="77777777" w:rsidR="00584EC1" w:rsidRDefault="00871F8D">
            <w:pPr>
              <w:jc w:val="right"/>
              <w:textAlignment w:val="bottom"/>
            </w:pPr>
            <w:r>
              <w:rPr>
                <w:rFonts w:ascii="Arial" w:eastAsia="宋体" w:hAnsi="Arial" w:cs="Arial"/>
                <w:color w:val="000000"/>
                <w:sz w:val="14"/>
                <w:szCs w:val="14"/>
              </w:rPr>
              <w:t>78 </w:t>
            </w:r>
          </w:p>
        </w:tc>
        <w:tc>
          <w:tcPr>
            <w:tcW w:w="0" w:type="auto"/>
            <w:shd w:val="clear" w:color="auto" w:fill="CCEEFF"/>
            <w:tcMar>
              <w:top w:w="40" w:type="dxa"/>
              <w:left w:w="0" w:type="dxa"/>
              <w:bottom w:w="40" w:type="dxa"/>
              <w:right w:w="20" w:type="dxa"/>
            </w:tcMar>
            <w:vAlign w:val="bottom"/>
          </w:tcPr>
          <w:p w14:paraId="74DDBD2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D22"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D23"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BD2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D25"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D26"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D2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D28" w14:textId="77777777" w:rsidR="00584EC1" w:rsidRDefault="00871F8D">
            <w:pPr>
              <w:jc w:val="right"/>
              <w:textAlignment w:val="bottom"/>
            </w:pPr>
            <w:r>
              <w:rPr>
                <w:rFonts w:ascii="Arial" w:eastAsia="宋体" w:hAnsi="Arial" w:cs="Arial"/>
                <w:color w:val="000000"/>
                <w:sz w:val="14"/>
                <w:szCs w:val="14"/>
              </w:rPr>
              <w:t>78 </w:t>
            </w:r>
          </w:p>
        </w:tc>
        <w:tc>
          <w:tcPr>
            <w:tcW w:w="0" w:type="auto"/>
            <w:shd w:val="clear" w:color="auto" w:fill="CCEEFF"/>
            <w:tcMar>
              <w:top w:w="40" w:type="dxa"/>
              <w:left w:w="0" w:type="dxa"/>
              <w:bottom w:w="40" w:type="dxa"/>
              <w:right w:w="20" w:type="dxa"/>
            </w:tcMar>
            <w:vAlign w:val="bottom"/>
          </w:tcPr>
          <w:p w14:paraId="74DDBD29" w14:textId="77777777" w:rsidR="00584EC1" w:rsidRDefault="00584EC1">
            <w:pPr>
              <w:jc w:val="right"/>
              <w:rPr>
                <w:rFonts w:ascii="宋体"/>
              </w:rPr>
            </w:pPr>
          </w:p>
        </w:tc>
      </w:tr>
      <w:tr w:rsidR="00584EC1" w14:paraId="74DDBD39" w14:textId="77777777">
        <w:tc>
          <w:tcPr>
            <w:tcW w:w="0" w:type="auto"/>
            <w:gridSpan w:val="3"/>
            <w:shd w:val="clear" w:color="auto" w:fill="FFFFFF"/>
            <w:tcMar>
              <w:top w:w="40" w:type="dxa"/>
              <w:left w:w="515" w:type="dxa"/>
              <w:bottom w:w="40" w:type="dxa"/>
              <w:right w:w="20" w:type="dxa"/>
            </w:tcMar>
            <w:vAlign w:val="bottom"/>
          </w:tcPr>
          <w:p w14:paraId="74DDBD2B" w14:textId="77777777" w:rsidR="00584EC1" w:rsidRDefault="00871F8D">
            <w:pPr>
              <w:textAlignment w:val="bottom"/>
            </w:pPr>
            <w:r>
              <w:rPr>
                <w:rFonts w:ascii="Arial" w:eastAsia="宋体" w:hAnsi="Arial" w:cs="Arial"/>
                <w:color w:val="000000"/>
                <w:sz w:val="15"/>
                <w:szCs w:val="15"/>
              </w:rPr>
              <w:t>Other</w:t>
            </w:r>
          </w:p>
        </w:tc>
        <w:tc>
          <w:tcPr>
            <w:tcW w:w="0" w:type="auto"/>
            <w:gridSpan w:val="2"/>
            <w:shd w:val="clear" w:color="auto" w:fill="FFFFFF"/>
            <w:tcMar>
              <w:top w:w="40" w:type="dxa"/>
              <w:left w:w="20" w:type="dxa"/>
              <w:bottom w:w="40" w:type="dxa"/>
              <w:right w:w="0" w:type="dxa"/>
            </w:tcMar>
            <w:vAlign w:val="bottom"/>
          </w:tcPr>
          <w:p w14:paraId="74DDBD2C"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BD2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D2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D2F" w14:textId="77777777" w:rsidR="00584EC1" w:rsidRDefault="00871F8D">
            <w:pPr>
              <w:jc w:val="right"/>
              <w:textAlignment w:val="bottom"/>
            </w:pPr>
            <w:r>
              <w:rPr>
                <w:rFonts w:ascii="Arial" w:eastAsia="宋体" w:hAnsi="Arial" w:cs="Arial"/>
                <w:color w:val="000000"/>
                <w:sz w:val="14"/>
                <w:szCs w:val="14"/>
              </w:rPr>
              <w:t>90 </w:t>
            </w:r>
          </w:p>
        </w:tc>
        <w:tc>
          <w:tcPr>
            <w:tcW w:w="0" w:type="auto"/>
            <w:shd w:val="clear" w:color="auto" w:fill="FFFFFF"/>
            <w:tcMar>
              <w:top w:w="40" w:type="dxa"/>
              <w:left w:w="0" w:type="dxa"/>
              <w:bottom w:w="40" w:type="dxa"/>
              <w:right w:w="20" w:type="dxa"/>
            </w:tcMar>
            <w:vAlign w:val="bottom"/>
          </w:tcPr>
          <w:p w14:paraId="74DDBD3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D3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D32"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BD3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D34"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D35"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D3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D37" w14:textId="77777777" w:rsidR="00584EC1" w:rsidRDefault="00871F8D">
            <w:pPr>
              <w:jc w:val="right"/>
              <w:textAlignment w:val="bottom"/>
            </w:pPr>
            <w:r>
              <w:rPr>
                <w:rFonts w:ascii="Arial" w:eastAsia="宋体" w:hAnsi="Arial" w:cs="Arial"/>
                <w:color w:val="000000"/>
                <w:sz w:val="14"/>
                <w:szCs w:val="14"/>
              </w:rPr>
              <w:t>90 </w:t>
            </w:r>
          </w:p>
        </w:tc>
        <w:tc>
          <w:tcPr>
            <w:tcW w:w="0" w:type="auto"/>
            <w:shd w:val="clear" w:color="auto" w:fill="FFFFFF"/>
            <w:tcMar>
              <w:top w:w="40" w:type="dxa"/>
              <w:left w:w="0" w:type="dxa"/>
              <w:bottom w:w="40" w:type="dxa"/>
              <w:right w:w="20" w:type="dxa"/>
            </w:tcMar>
            <w:vAlign w:val="bottom"/>
          </w:tcPr>
          <w:p w14:paraId="74DDBD38" w14:textId="77777777" w:rsidR="00584EC1" w:rsidRDefault="00584EC1">
            <w:pPr>
              <w:jc w:val="right"/>
              <w:rPr>
                <w:rFonts w:ascii="宋体"/>
              </w:rPr>
            </w:pPr>
          </w:p>
        </w:tc>
      </w:tr>
      <w:tr w:rsidR="00584EC1" w14:paraId="74DDBD48" w14:textId="77777777">
        <w:tc>
          <w:tcPr>
            <w:tcW w:w="0" w:type="auto"/>
            <w:gridSpan w:val="3"/>
            <w:shd w:val="clear" w:color="auto" w:fill="CCEEFF"/>
            <w:tcMar>
              <w:top w:w="40" w:type="dxa"/>
              <w:left w:w="740" w:type="dxa"/>
              <w:bottom w:w="40" w:type="dxa"/>
              <w:right w:w="20" w:type="dxa"/>
            </w:tcMar>
            <w:vAlign w:val="bottom"/>
          </w:tcPr>
          <w:p w14:paraId="74DDBD3A" w14:textId="77777777" w:rsidR="00584EC1" w:rsidRDefault="00871F8D">
            <w:pPr>
              <w:textAlignment w:val="bottom"/>
            </w:pPr>
            <w:r>
              <w:rPr>
                <w:rFonts w:ascii="Arial" w:eastAsia="宋体" w:hAnsi="Arial" w:cs="Arial"/>
                <w:color w:val="000000"/>
                <w:sz w:val="15"/>
                <w:szCs w:val="15"/>
              </w:rPr>
              <w:t>Total asset-backed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BD3B" w14:textId="77777777" w:rsidR="00584EC1" w:rsidRDefault="00871F8D">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BD3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D3D"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BD3E" w14:textId="77777777" w:rsidR="00584EC1" w:rsidRDefault="00871F8D">
            <w:pPr>
              <w:jc w:val="right"/>
              <w:textAlignment w:val="bottom"/>
            </w:pPr>
            <w:r>
              <w:rPr>
                <w:rFonts w:ascii="Arial" w:eastAsia="宋体" w:hAnsi="Arial" w:cs="Arial"/>
                <w:color w:val="000000"/>
                <w:sz w:val="14"/>
                <w:szCs w:val="14"/>
              </w:rPr>
              <w:t>3,434 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BD3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D40"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BD41" w14:textId="77777777" w:rsidR="00584EC1" w:rsidRDefault="00871F8D">
            <w:pPr>
              <w:jc w:val="right"/>
              <w:textAlignment w:val="bottom"/>
            </w:pPr>
            <w:r>
              <w:rPr>
                <w:rFonts w:ascii="Arial" w:eastAsia="宋体" w:hAnsi="Arial" w:cs="Arial"/>
                <w:color w:val="000000"/>
                <w:sz w:val="14"/>
                <w:szCs w:val="14"/>
              </w:rPr>
              <w:t>14 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BD4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D43"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D44"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D45"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BD46" w14:textId="77777777" w:rsidR="00584EC1" w:rsidRDefault="00871F8D">
            <w:pPr>
              <w:jc w:val="right"/>
              <w:textAlignment w:val="bottom"/>
            </w:pPr>
            <w:r>
              <w:rPr>
                <w:rFonts w:ascii="Arial" w:eastAsia="宋体" w:hAnsi="Arial" w:cs="Arial"/>
                <w:color w:val="000000"/>
                <w:sz w:val="14"/>
                <w:szCs w:val="14"/>
              </w:rPr>
              <w:t>3,448 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BD47" w14:textId="77777777" w:rsidR="00584EC1" w:rsidRDefault="00584EC1">
            <w:pPr>
              <w:jc w:val="right"/>
              <w:rPr>
                <w:rFonts w:ascii="宋体"/>
              </w:rPr>
            </w:pPr>
          </w:p>
        </w:tc>
      </w:tr>
      <w:tr w:rsidR="00584EC1" w14:paraId="74DDBD53" w14:textId="77777777">
        <w:trPr>
          <w:hidden/>
        </w:trPr>
        <w:tc>
          <w:tcPr>
            <w:tcW w:w="0" w:type="auto"/>
            <w:gridSpan w:val="3"/>
            <w:shd w:val="clear" w:color="auto" w:fill="auto"/>
            <w:vAlign w:val="bottom"/>
          </w:tcPr>
          <w:p w14:paraId="74DDBD49" w14:textId="77777777" w:rsidR="00584EC1" w:rsidRDefault="00584EC1">
            <w:pPr>
              <w:rPr>
                <w:rFonts w:ascii="宋体"/>
                <w:vanish/>
              </w:rPr>
            </w:pPr>
          </w:p>
        </w:tc>
        <w:tc>
          <w:tcPr>
            <w:tcW w:w="0" w:type="auto"/>
            <w:gridSpan w:val="3"/>
            <w:shd w:val="clear" w:color="auto" w:fill="auto"/>
            <w:vAlign w:val="bottom"/>
          </w:tcPr>
          <w:p w14:paraId="74DDBD4A" w14:textId="77777777" w:rsidR="00584EC1" w:rsidRDefault="00584EC1">
            <w:pPr>
              <w:rPr>
                <w:rFonts w:ascii="宋体"/>
                <w:vanish/>
              </w:rPr>
            </w:pPr>
          </w:p>
        </w:tc>
        <w:tc>
          <w:tcPr>
            <w:tcW w:w="0" w:type="auto"/>
            <w:gridSpan w:val="3"/>
            <w:shd w:val="clear" w:color="auto" w:fill="auto"/>
            <w:vAlign w:val="bottom"/>
          </w:tcPr>
          <w:p w14:paraId="74DDBD4B" w14:textId="77777777" w:rsidR="00584EC1" w:rsidRDefault="00584EC1">
            <w:pPr>
              <w:rPr>
                <w:rFonts w:ascii="宋体"/>
                <w:vanish/>
              </w:rPr>
            </w:pPr>
          </w:p>
        </w:tc>
        <w:tc>
          <w:tcPr>
            <w:tcW w:w="0" w:type="auto"/>
            <w:gridSpan w:val="3"/>
            <w:shd w:val="clear" w:color="auto" w:fill="auto"/>
            <w:vAlign w:val="bottom"/>
          </w:tcPr>
          <w:p w14:paraId="74DDBD4C" w14:textId="77777777" w:rsidR="00584EC1" w:rsidRDefault="00584EC1">
            <w:pPr>
              <w:rPr>
                <w:rFonts w:ascii="宋体"/>
                <w:vanish/>
              </w:rPr>
            </w:pPr>
          </w:p>
        </w:tc>
        <w:tc>
          <w:tcPr>
            <w:tcW w:w="0" w:type="auto"/>
            <w:gridSpan w:val="3"/>
            <w:shd w:val="clear" w:color="auto" w:fill="auto"/>
            <w:vAlign w:val="bottom"/>
          </w:tcPr>
          <w:p w14:paraId="74DDBD4D" w14:textId="77777777" w:rsidR="00584EC1" w:rsidRDefault="00584EC1">
            <w:pPr>
              <w:rPr>
                <w:rFonts w:ascii="宋体"/>
                <w:vanish/>
              </w:rPr>
            </w:pPr>
          </w:p>
        </w:tc>
        <w:tc>
          <w:tcPr>
            <w:tcW w:w="0" w:type="auto"/>
            <w:gridSpan w:val="3"/>
            <w:shd w:val="clear" w:color="auto" w:fill="auto"/>
            <w:vAlign w:val="bottom"/>
          </w:tcPr>
          <w:p w14:paraId="74DDBD4E" w14:textId="77777777" w:rsidR="00584EC1" w:rsidRDefault="00584EC1">
            <w:pPr>
              <w:rPr>
                <w:rFonts w:ascii="宋体"/>
                <w:vanish/>
              </w:rPr>
            </w:pPr>
          </w:p>
        </w:tc>
        <w:tc>
          <w:tcPr>
            <w:tcW w:w="0" w:type="auto"/>
            <w:gridSpan w:val="3"/>
            <w:shd w:val="clear" w:color="auto" w:fill="auto"/>
            <w:vAlign w:val="bottom"/>
          </w:tcPr>
          <w:p w14:paraId="74DDBD4F" w14:textId="77777777" w:rsidR="00584EC1" w:rsidRDefault="00584EC1">
            <w:pPr>
              <w:rPr>
                <w:rFonts w:ascii="宋体"/>
                <w:vanish/>
              </w:rPr>
            </w:pPr>
          </w:p>
        </w:tc>
        <w:tc>
          <w:tcPr>
            <w:tcW w:w="0" w:type="auto"/>
            <w:gridSpan w:val="3"/>
            <w:shd w:val="clear" w:color="auto" w:fill="auto"/>
            <w:vAlign w:val="bottom"/>
          </w:tcPr>
          <w:p w14:paraId="74DDBD50" w14:textId="77777777" w:rsidR="00584EC1" w:rsidRDefault="00584EC1">
            <w:pPr>
              <w:rPr>
                <w:rFonts w:ascii="宋体"/>
                <w:vanish/>
              </w:rPr>
            </w:pPr>
          </w:p>
        </w:tc>
        <w:tc>
          <w:tcPr>
            <w:tcW w:w="0" w:type="auto"/>
            <w:gridSpan w:val="3"/>
            <w:shd w:val="clear" w:color="auto" w:fill="auto"/>
            <w:vAlign w:val="bottom"/>
          </w:tcPr>
          <w:p w14:paraId="74DDBD51" w14:textId="77777777" w:rsidR="00584EC1" w:rsidRDefault="00584EC1">
            <w:pPr>
              <w:rPr>
                <w:rFonts w:ascii="宋体"/>
                <w:vanish/>
              </w:rPr>
            </w:pPr>
          </w:p>
        </w:tc>
        <w:tc>
          <w:tcPr>
            <w:tcW w:w="0" w:type="auto"/>
            <w:gridSpan w:val="3"/>
            <w:shd w:val="clear" w:color="auto" w:fill="auto"/>
            <w:vAlign w:val="bottom"/>
          </w:tcPr>
          <w:p w14:paraId="74DDBD52" w14:textId="77777777" w:rsidR="00584EC1" w:rsidRDefault="00584EC1">
            <w:pPr>
              <w:rPr>
                <w:rFonts w:ascii="宋体"/>
                <w:vanish/>
              </w:rPr>
            </w:pPr>
          </w:p>
        </w:tc>
      </w:tr>
      <w:tr w:rsidR="00584EC1" w14:paraId="74DDBD5E" w14:textId="77777777">
        <w:trPr>
          <w:hidden/>
        </w:trPr>
        <w:tc>
          <w:tcPr>
            <w:tcW w:w="0" w:type="auto"/>
            <w:gridSpan w:val="3"/>
            <w:shd w:val="clear" w:color="auto" w:fill="auto"/>
            <w:vAlign w:val="bottom"/>
          </w:tcPr>
          <w:p w14:paraId="74DDBD54" w14:textId="77777777" w:rsidR="00584EC1" w:rsidRDefault="00584EC1">
            <w:pPr>
              <w:rPr>
                <w:rFonts w:ascii="宋体"/>
                <w:vanish/>
              </w:rPr>
            </w:pPr>
          </w:p>
        </w:tc>
        <w:tc>
          <w:tcPr>
            <w:tcW w:w="0" w:type="auto"/>
            <w:gridSpan w:val="3"/>
            <w:shd w:val="clear" w:color="auto" w:fill="auto"/>
            <w:vAlign w:val="bottom"/>
          </w:tcPr>
          <w:p w14:paraId="74DDBD55" w14:textId="77777777" w:rsidR="00584EC1" w:rsidRDefault="00584EC1">
            <w:pPr>
              <w:rPr>
                <w:rFonts w:ascii="宋体"/>
                <w:vanish/>
              </w:rPr>
            </w:pPr>
          </w:p>
        </w:tc>
        <w:tc>
          <w:tcPr>
            <w:tcW w:w="0" w:type="auto"/>
            <w:gridSpan w:val="3"/>
            <w:shd w:val="clear" w:color="auto" w:fill="auto"/>
            <w:vAlign w:val="bottom"/>
          </w:tcPr>
          <w:p w14:paraId="74DDBD56" w14:textId="77777777" w:rsidR="00584EC1" w:rsidRDefault="00584EC1">
            <w:pPr>
              <w:rPr>
                <w:rFonts w:ascii="宋体"/>
                <w:vanish/>
              </w:rPr>
            </w:pPr>
          </w:p>
        </w:tc>
        <w:tc>
          <w:tcPr>
            <w:tcW w:w="0" w:type="auto"/>
            <w:gridSpan w:val="3"/>
            <w:shd w:val="clear" w:color="auto" w:fill="auto"/>
            <w:vAlign w:val="bottom"/>
          </w:tcPr>
          <w:p w14:paraId="74DDBD57" w14:textId="77777777" w:rsidR="00584EC1" w:rsidRDefault="00584EC1">
            <w:pPr>
              <w:rPr>
                <w:rFonts w:ascii="宋体"/>
                <w:vanish/>
              </w:rPr>
            </w:pPr>
          </w:p>
        </w:tc>
        <w:tc>
          <w:tcPr>
            <w:tcW w:w="0" w:type="auto"/>
            <w:gridSpan w:val="3"/>
            <w:shd w:val="clear" w:color="auto" w:fill="auto"/>
            <w:vAlign w:val="bottom"/>
          </w:tcPr>
          <w:p w14:paraId="74DDBD58" w14:textId="77777777" w:rsidR="00584EC1" w:rsidRDefault="00584EC1">
            <w:pPr>
              <w:rPr>
                <w:rFonts w:ascii="宋体"/>
                <w:vanish/>
              </w:rPr>
            </w:pPr>
          </w:p>
        </w:tc>
        <w:tc>
          <w:tcPr>
            <w:tcW w:w="0" w:type="auto"/>
            <w:gridSpan w:val="3"/>
            <w:shd w:val="clear" w:color="auto" w:fill="auto"/>
            <w:vAlign w:val="bottom"/>
          </w:tcPr>
          <w:p w14:paraId="74DDBD59" w14:textId="77777777" w:rsidR="00584EC1" w:rsidRDefault="00584EC1">
            <w:pPr>
              <w:rPr>
                <w:rFonts w:ascii="宋体"/>
                <w:vanish/>
              </w:rPr>
            </w:pPr>
          </w:p>
        </w:tc>
        <w:tc>
          <w:tcPr>
            <w:tcW w:w="0" w:type="auto"/>
            <w:gridSpan w:val="3"/>
            <w:shd w:val="clear" w:color="auto" w:fill="auto"/>
            <w:vAlign w:val="bottom"/>
          </w:tcPr>
          <w:p w14:paraId="74DDBD5A" w14:textId="77777777" w:rsidR="00584EC1" w:rsidRDefault="00584EC1">
            <w:pPr>
              <w:rPr>
                <w:rFonts w:ascii="宋体"/>
                <w:vanish/>
              </w:rPr>
            </w:pPr>
          </w:p>
        </w:tc>
        <w:tc>
          <w:tcPr>
            <w:tcW w:w="0" w:type="auto"/>
            <w:gridSpan w:val="3"/>
            <w:shd w:val="clear" w:color="auto" w:fill="auto"/>
            <w:vAlign w:val="bottom"/>
          </w:tcPr>
          <w:p w14:paraId="74DDBD5B" w14:textId="77777777" w:rsidR="00584EC1" w:rsidRDefault="00584EC1">
            <w:pPr>
              <w:rPr>
                <w:rFonts w:ascii="宋体"/>
                <w:vanish/>
              </w:rPr>
            </w:pPr>
          </w:p>
        </w:tc>
        <w:tc>
          <w:tcPr>
            <w:tcW w:w="0" w:type="auto"/>
            <w:gridSpan w:val="3"/>
            <w:shd w:val="clear" w:color="auto" w:fill="auto"/>
            <w:vAlign w:val="bottom"/>
          </w:tcPr>
          <w:p w14:paraId="74DDBD5C" w14:textId="77777777" w:rsidR="00584EC1" w:rsidRDefault="00584EC1">
            <w:pPr>
              <w:rPr>
                <w:rFonts w:ascii="宋体"/>
                <w:vanish/>
              </w:rPr>
            </w:pPr>
          </w:p>
        </w:tc>
        <w:tc>
          <w:tcPr>
            <w:tcW w:w="0" w:type="auto"/>
            <w:gridSpan w:val="3"/>
            <w:shd w:val="clear" w:color="auto" w:fill="auto"/>
            <w:vAlign w:val="bottom"/>
          </w:tcPr>
          <w:p w14:paraId="74DDBD5D" w14:textId="77777777" w:rsidR="00584EC1" w:rsidRDefault="00584EC1">
            <w:pPr>
              <w:rPr>
                <w:rFonts w:ascii="宋体"/>
                <w:vanish/>
              </w:rPr>
            </w:pPr>
          </w:p>
        </w:tc>
      </w:tr>
      <w:tr w:rsidR="00584EC1" w14:paraId="74DDBD69" w14:textId="77777777">
        <w:trPr>
          <w:hidden/>
        </w:trPr>
        <w:tc>
          <w:tcPr>
            <w:tcW w:w="0" w:type="auto"/>
            <w:gridSpan w:val="3"/>
            <w:shd w:val="clear" w:color="auto" w:fill="auto"/>
            <w:vAlign w:val="bottom"/>
          </w:tcPr>
          <w:p w14:paraId="74DDBD5F" w14:textId="77777777" w:rsidR="00584EC1" w:rsidRDefault="00584EC1">
            <w:pPr>
              <w:rPr>
                <w:rFonts w:ascii="宋体"/>
                <w:vanish/>
              </w:rPr>
            </w:pPr>
          </w:p>
        </w:tc>
        <w:tc>
          <w:tcPr>
            <w:tcW w:w="0" w:type="auto"/>
            <w:gridSpan w:val="3"/>
            <w:shd w:val="clear" w:color="auto" w:fill="auto"/>
            <w:vAlign w:val="bottom"/>
          </w:tcPr>
          <w:p w14:paraId="74DDBD60" w14:textId="77777777" w:rsidR="00584EC1" w:rsidRDefault="00584EC1">
            <w:pPr>
              <w:rPr>
                <w:rFonts w:ascii="宋体"/>
                <w:vanish/>
              </w:rPr>
            </w:pPr>
          </w:p>
        </w:tc>
        <w:tc>
          <w:tcPr>
            <w:tcW w:w="0" w:type="auto"/>
            <w:gridSpan w:val="3"/>
            <w:shd w:val="clear" w:color="auto" w:fill="auto"/>
            <w:vAlign w:val="bottom"/>
          </w:tcPr>
          <w:p w14:paraId="74DDBD61" w14:textId="77777777" w:rsidR="00584EC1" w:rsidRDefault="00584EC1">
            <w:pPr>
              <w:rPr>
                <w:rFonts w:ascii="宋体"/>
                <w:vanish/>
              </w:rPr>
            </w:pPr>
          </w:p>
        </w:tc>
        <w:tc>
          <w:tcPr>
            <w:tcW w:w="0" w:type="auto"/>
            <w:gridSpan w:val="3"/>
            <w:shd w:val="clear" w:color="auto" w:fill="auto"/>
            <w:vAlign w:val="bottom"/>
          </w:tcPr>
          <w:p w14:paraId="74DDBD62" w14:textId="77777777" w:rsidR="00584EC1" w:rsidRDefault="00584EC1">
            <w:pPr>
              <w:rPr>
                <w:rFonts w:ascii="宋体"/>
                <w:vanish/>
              </w:rPr>
            </w:pPr>
          </w:p>
        </w:tc>
        <w:tc>
          <w:tcPr>
            <w:tcW w:w="0" w:type="auto"/>
            <w:gridSpan w:val="3"/>
            <w:shd w:val="clear" w:color="auto" w:fill="auto"/>
            <w:vAlign w:val="bottom"/>
          </w:tcPr>
          <w:p w14:paraId="74DDBD63" w14:textId="77777777" w:rsidR="00584EC1" w:rsidRDefault="00584EC1">
            <w:pPr>
              <w:rPr>
                <w:rFonts w:ascii="宋体"/>
                <w:vanish/>
              </w:rPr>
            </w:pPr>
          </w:p>
        </w:tc>
        <w:tc>
          <w:tcPr>
            <w:tcW w:w="0" w:type="auto"/>
            <w:gridSpan w:val="3"/>
            <w:shd w:val="clear" w:color="auto" w:fill="auto"/>
            <w:vAlign w:val="bottom"/>
          </w:tcPr>
          <w:p w14:paraId="74DDBD64" w14:textId="77777777" w:rsidR="00584EC1" w:rsidRDefault="00584EC1">
            <w:pPr>
              <w:rPr>
                <w:rFonts w:ascii="宋体"/>
                <w:vanish/>
              </w:rPr>
            </w:pPr>
          </w:p>
        </w:tc>
        <w:tc>
          <w:tcPr>
            <w:tcW w:w="0" w:type="auto"/>
            <w:gridSpan w:val="3"/>
            <w:shd w:val="clear" w:color="auto" w:fill="auto"/>
            <w:vAlign w:val="bottom"/>
          </w:tcPr>
          <w:p w14:paraId="74DDBD65" w14:textId="77777777" w:rsidR="00584EC1" w:rsidRDefault="00584EC1">
            <w:pPr>
              <w:rPr>
                <w:rFonts w:ascii="宋体"/>
                <w:vanish/>
              </w:rPr>
            </w:pPr>
          </w:p>
        </w:tc>
        <w:tc>
          <w:tcPr>
            <w:tcW w:w="0" w:type="auto"/>
            <w:gridSpan w:val="3"/>
            <w:shd w:val="clear" w:color="auto" w:fill="auto"/>
            <w:vAlign w:val="bottom"/>
          </w:tcPr>
          <w:p w14:paraId="74DDBD66" w14:textId="77777777" w:rsidR="00584EC1" w:rsidRDefault="00584EC1">
            <w:pPr>
              <w:rPr>
                <w:rFonts w:ascii="宋体"/>
                <w:vanish/>
              </w:rPr>
            </w:pPr>
          </w:p>
        </w:tc>
        <w:tc>
          <w:tcPr>
            <w:tcW w:w="0" w:type="auto"/>
            <w:gridSpan w:val="3"/>
            <w:shd w:val="clear" w:color="auto" w:fill="auto"/>
            <w:vAlign w:val="bottom"/>
          </w:tcPr>
          <w:p w14:paraId="74DDBD67" w14:textId="77777777" w:rsidR="00584EC1" w:rsidRDefault="00584EC1">
            <w:pPr>
              <w:rPr>
                <w:rFonts w:ascii="宋体"/>
                <w:vanish/>
              </w:rPr>
            </w:pPr>
          </w:p>
        </w:tc>
        <w:tc>
          <w:tcPr>
            <w:tcW w:w="0" w:type="auto"/>
            <w:gridSpan w:val="3"/>
            <w:shd w:val="clear" w:color="auto" w:fill="auto"/>
            <w:vAlign w:val="bottom"/>
          </w:tcPr>
          <w:p w14:paraId="74DDBD68" w14:textId="77777777" w:rsidR="00584EC1" w:rsidRDefault="00584EC1">
            <w:pPr>
              <w:rPr>
                <w:rFonts w:ascii="宋体"/>
                <w:vanish/>
              </w:rPr>
            </w:pPr>
          </w:p>
        </w:tc>
      </w:tr>
      <w:tr w:rsidR="00584EC1" w14:paraId="74DDBD74" w14:textId="77777777">
        <w:trPr>
          <w:hidden/>
        </w:trPr>
        <w:tc>
          <w:tcPr>
            <w:tcW w:w="0" w:type="auto"/>
            <w:gridSpan w:val="3"/>
            <w:shd w:val="clear" w:color="auto" w:fill="auto"/>
            <w:vAlign w:val="bottom"/>
          </w:tcPr>
          <w:p w14:paraId="74DDBD6A" w14:textId="77777777" w:rsidR="00584EC1" w:rsidRDefault="00584EC1">
            <w:pPr>
              <w:rPr>
                <w:rFonts w:ascii="宋体"/>
                <w:vanish/>
              </w:rPr>
            </w:pPr>
          </w:p>
        </w:tc>
        <w:tc>
          <w:tcPr>
            <w:tcW w:w="0" w:type="auto"/>
            <w:gridSpan w:val="3"/>
            <w:shd w:val="clear" w:color="auto" w:fill="auto"/>
            <w:vAlign w:val="bottom"/>
          </w:tcPr>
          <w:p w14:paraId="74DDBD6B" w14:textId="77777777" w:rsidR="00584EC1" w:rsidRDefault="00584EC1">
            <w:pPr>
              <w:rPr>
                <w:rFonts w:ascii="宋体"/>
                <w:vanish/>
              </w:rPr>
            </w:pPr>
          </w:p>
        </w:tc>
        <w:tc>
          <w:tcPr>
            <w:tcW w:w="0" w:type="auto"/>
            <w:gridSpan w:val="3"/>
            <w:shd w:val="clear" w:color="auto" w:fill="auto"/>
            <w:vAlign w:val="bottom"/>
          </w:tcPr>
          <w:p w14:paraId="74DDBD6C" w14:textId="77777777" w:rsidR="00584EC1" w:rsidRDefault="00584EC1">
            <w:pPr>
              <w:rPr>
                <w:rFonts w:ascii="宋体"/>
                <w:vanish/>
              </w:rPr>
            </w:pPr>
          </w:p>
        </w:tc>
        <w:tc>
          <w:tcPr>
            <w:tcW w:w="0" w:type="auto"/>
            <w:gridSpan w:val="3"/>
            <w:shd w:val="clear" w:color="auto" w:fill="auto"/>
            <w:vAlign w:val="bottom"/>
          </w:tcPr>
          <w:p w14:paraId="74DDBD6D" w14:textId="77777777" w:rsidR="00584EC1" w:rsidRDefault="00584EC1">
            <w:pPr>
              <w:rPr>
                <w:rFonts w:ascii="宋体"/>
                <w:vanish/>
              </w:rPr>
            </w:pPr>
          </w:p>
        </w:tc>
        <w:tc>
          <w:tcPr>
            <w:tcW w:w="0" w:type="auto"/>
            <w:gridSpan w:val="3"/>
            <w:shd w:val="clear" w:color="auto" w:fill="auto"/>
            <w:vAlign w:val="bottom"/>
          </w:tcPr>
          <w:p w14:paraId="74DDBD6E" w14:textId="77777777" w:rsidR="00584EC1" w:rsidRDefault="00584EC1">
            <w:pPr>
              <w:rPr>
                <w:rFonts w:ascii="宋体"/>
                <w:vanish/>
              </w:rPr>
            </w:pPr>
          </w:p>
        </w:tc>
        <w:tc>
          <w:tcPr>
            <w:tcW w:w="0" w:type="auto"/>
            <w:gridSpan w:val="3"/>
            <w:shd w:val="clear" w:color="auto" w:fill="auto"/>
            <w:vAlign w:val="bottom"/>
          </w:tcPr>
          <w:p w14:paraId="74DDBD6F" w14:textId="77777777" w:rsidR="00584EC1" w:rsidRDefault="00584EC1">
            <w:pPr>
              <w:rPr>
                <w:rFonts w:ascii="宋体"/>
                <w:vanish/>
              </w:rPr>
            </w:pPr>
          </w:p>
        </w:tc>
        <w:tc>
          <w:tcPr>
            <w:tcW w:w="0" w:type="auto"/>
            <w:gridSpan w:val="3"/>
            <w:shd w:val="clear" w:color="auto" w:fill="auto"/>
            <w:vAlign w:val="bottom"/>
          </w:tcPr>
          <w:p w14:paraId="74DDBD70" w14:textId="77777777" w:rsidR="00584EC1" w:rsidRDefault="00584EC1">
            <w:pPr>
              <w:rPr>
                <w:rFonts w:ascii="宋体"/>
                <w:vanish/>
              </w:rPr>
            </w:pPr>
          </w:p>
        </w:tc>
        <w:tc>
          <w:tcPr>
            <w:tcW w:w="0" w:type="auto"/>
            <w:gridSpan w:val="3"/>
            <w:shd w:val="clear" w:color="auto" w:fill="auto"/>
            <w:vAlign w:val="bottom"/>
          </w:tcPr>
          <w:p w14:paraId="74DDBD71" w14:textId="77777777" w:rsidR="00584EC1" w:rsidRDefault="00584EC1">
            <w:pPr>
              <w:rPr>
                <w:rFonts w:ascii="宋体"/>
                <w:vanish/>
              </w:rPr>
            </w:pPr>
          </w:p>
        </w:tc>
        <w:tc>
          <w:tcPr>
            <w:tcW w:w="0" w:type="auto"/>
            <w:gridSpan w:val="3"/>
            <w:shd w:val="clear" w:color="auto" w:fill="auto"/>
            <w:vAlign w:val="bottom"/>
          </w:tcPr>
          <w:p w14:paraId="74DDBD72" w14:textId="77777777" w:rsidR="00584EC1" w:rsidRDefault="00584EC1">
            <w:pPr>
              <w:rPr>
                <w:rFonts w:ascii="宋体"/>
                <w:vanish/>
              </w:rPr>
            </w:pPr>
          </w:p>
        </w:tc>
        <w:tc>
          <w:tcPr>
            <w:tcW w:w="0" w:type="auto"/>
            <w:gridSpan w:val="3"/>
            <w:shd w:val="clear" w:color="auto" w:fill="auto"/>
            <w:vAlign w:val="bottom"/>
          </w:tcPr>
          <w:p w14:paraId="74DDBD73" w14:textId="77777777" w:rsidR="00584EC1" w:rsidRDefault="00584EC1">
            <w:pPr>
              <w:rPr>
                <w:rFonts w:ascii="宋体"/>
                <w:vanish/>
              </w:rPr>
            </w:pPr>
          </w:p>
        </w:tc>
      </w:tr>
      <w:tr w:rsidR="00584EC1" w14:paraId="74DDBD7F" w14:textId="77777777">
        <w:trPr>
          <w:hidden/>
        </w:trPr>
        <w:tc>
          <w:tcPr>
            <w:tcW w:w="0" w:type="auto"/>
            <w:gridSpan w:val="3"/>
            <w:shd w:val="clear" w:color="auto" w:fill="auto"/>
            <w:vAlign w:val="bottom"/>
          </w:tcPr>
          <w:p w14:paraId="74DDBD75" w14:textId="77777777" w:rsidR="00584EC1" w:rsidRDefault="00584EC1">
            <w:pPr>
              <w:rPr>
                <w:rFonts w:ascii="宋体"/>
                <w:vanish/>
              </w:rPr>
            </w:pPr>
          </w:p>
        </w:tc>
        <w:tc>
          <w:tcPr>
            <w:tcW w:w="0" w:type="auto"/>
            <w:gridSpan w:val="3"/>
            <w:shd w:val="clear" w:color="auto" w:fill="auto"/>
            <w:vAlign w:val="bottom"/>
          </w:tcPr>
          <w:p w14:paraId="74DDBD76" w14:textId="77777777" w:rsidR="00584EC1" w:rsidRDefault="00584EC1">
            <w:pPr>
              <w:rPr>
                <w:rFonts w:ascii="宋体"/>
                <w:vanish/>
              </w:rPr>
            </w:pPr>
          </w:p>
        </w:tc>
        <w:tc>
          <w:tcPr>
            <w:tcW w:w="0" w:type="auto"/>
            <w:gridSpan w:val="3"/>
            <w:shd w:val="clear" w:color="auto" w:fill="auto"/>
            <w:vAlign w:val="bottom"/>
          </w:tcPr>
          <w:p w14:paraId="74DDBD77" w14:textId="77777777" w:rsidR="00584EC1" w:rsidRDefault="00584EC1">
            <w:pPr>
              <w:rPr>
                <w:rFonts w:ascii="宋体"/>
                <w:vanish/>
              </w:rPr>
            </w:pPr>
          </w:p>
        </w:tc>
        <w:tc>
          <w:tcPr>
            <w:tcW w:w="0" w:type="auto"/>
            <w:gridSpan w:val="3"/>
            <w:shd w:val="clear" w:color="auto" w:fill="auto"/>
            <w:vAlign w:val="bottom"/>
          </w:tcPr>
          <w:p w14:paraId="74DDBD78" w14:textId="77777777" w:rsidR="00584EC1" w:rsidRDefault="00584EC1">
            <w:pPr>
              <w:rPr>
                <w:rFonts w:ascii="宋体"/>
                <w:vanish/>
              </w:rPr>
            </w:pPr>
          </w:p>
        </w:tc>
        <w:tc>
          <w:tcPr>
            <w:tcW w:w="0" w:type="auto"/>
            <w:gridSpan w:val="3"/>
            <w:shd w:val="clear" w:color="auto" w:fill="auto"/>
            <w:vAlign w:val="bottom"/>
          </w:tcPr>
          <w:p w14:paraId="74DDBD79" w14:textId="77777777" w:rsidR="00584EC1" w:rsidRDefault="00584EC1">
            <w:pPr>
              <w:rPr>
                <w:rFonts w:ascii="宋体"/>
                <w:vanish/>
              </w:rPr>
            </w:pPr>
          </w:p>
        </w:tc>
        <w:tc>
          <w:tcPr>
            <w:tcW w:w="0" w:type="auto"/>
            <w:gridSpan w:val="3"/>
            <w:shd w:val="clear" w:color="auto" w:fill="auto"/>
            <w:vAlign w:val="bottom"/>
          </w:tcPr>
          <w:p w14:paraId="74DDBD7A" w14:textId="77777777" w:rsidR="00584EC1" w:rsidRDefault="00584EC1">
            <w:pPr>
              <w:rPr>
                <w:rFonts w:ascii="宋体"/>
                <w:vanish/>
              </w:rPr>
            </w:pPr>
          </w:p>
        </w:tc>
        <w:tc>
          <w:tcPr>
            <w:tcW w:w="0" w:type="auto"/>
            <w:gridSpan w:val="3"/>
            <w:shd w:val="clear" w:color="auto" w:fill="auto"/>
            <w:vAlign w:val="bottom"/>
          </w:tcPr>
          <w:p w14:paraId="74DDBD7B" w14:textId="77777777" w:rsidR="00584EC1" w:rsidRDefault="00584EC1">
            <w:pPr>
              <w:rPr>
                <w:rFonts w:ascii="宋体"/>
                <w:vanish/>
              </w:rPr>
            </w:pPr>
          </w:p>
        </w:tc>
        <w:tc>
          <w:tcPr>
            <w:tcW w:w="0" w:type="auto"/>
            <w:gridSpan w:val="3"/>
            <w:shd w:val="clear" w:color="auto" w:fill="auto"/>
            <w:vAlign w:val="bottom"/>
          </w:tcPr>
          <w:p w14:paraId="74DDBD7C" w14:textId="77777777" w:rsidR="00584EC1" w:rsidRDefault="00584EC1">
            <w:pPr>
              <w:rPr>
                <w:rFonts w:ascii="宋体"/>
                <w:vanish/>
              </w:rPr>
            </w:pPr>
          </w:p>
        </w:tc>
        <w:tc>
          <w:tcPr>
            <w:tcW w:w="0" w:type="auto"/>
            <w:gridSpan w:val="3"/>
            <w:shd w:val="clear" w:color="auto" w:fill="auto"/>
            <w:vAlign w:val="bottom"/>
          </w:tcPr>
          <w:p w14:paraId="74DDBD7D" w14:textId="77777777" w:rsidR="00584EC1" w:rsidRDefault="00584EC1">
            <w:pPr>
              <w:rPr>
                <w:rFonts w:ascii="宋体"/>
                <w:vanish/>
              </w:rPr>
            </w:pPr>
          </w:p>
        </w:tc>
        <w:tc>
          <w:tcPr>
            <w:tcW w:w="0" w:type="auto"/>
            <w:gridSpan w:val="3"/>
            <w:shd w:val="clear" w:color="auto" w:fill="auto"/>
            <w:vAlign w:val="bottom"/>
          </w:tcPr>
          <w:p w14:paraId="74DDBD7E" w14:textId="77777777" w:rsidR="00584EC1" w:rsidRDefault="00584EC1">
            <w:pPr>
              <w:rPr>
                <w:rFonts w:ascii="宋体"/>
                <w:vanish/>
              </w:rPr>
            </w:pPr>
          </w:p>
        </w:tc>
      </w:tr>
      <w:tr w:rsidR="00584EC1" w14:paraId="74DDBD8A" w14:textId="77777777">
        <w:trPr>
          <w:hidden/>
        </w:trPr>
        <w:tc>
          <w:tcPr>
            <w:tcW w:w="0" w:type="auto"/>
            <w:gridSpan w:val="3"/>
            <w:shd w:val="clear" w:color="auto" w:fill="auto"/>
            <w:vAlign w:val="bottom"/>
          </w:tcPr>
          <w:p w14:paraId="74DDBD80" w14:textId="77777777" w:rsidR="00584EC1" w:rsidRDefault="00584EC1">
            <w:pPr>
              <w:rPr>
                <w:rFonts w:ascii="宋体"/>
                <w:vanish/>
              </w:rPr>
            </w:pPr>
          </w:p>
        </w:tc>
        <w:tc>
          <w:tcPr>
            <w:tcW w:w="0" w:type="auto"/>
            <w:gridSpan w:val="3"/>
            <w:shd w:val="clear" w:color="auto" w:fill="auto"/>
            <w:vAlign w:val="bottom"/>
          </w:tcPr>
          <w:p w14:paraId="74DDBD81" w14:textId="77777777" w:rsidR="00584EC1" w:rsidRDefault="00584EC1">
            <w:pPr>
              <w:rPr>
                <w:rFonts w:ascii="宋体"/>
                <w:vanish/>
              </w:rPr>
            </w:pPr>
          </w:p>
        </w:tc>
        <w:tc>
          <w:tcPr>
            <w:tcW w:w="0" w:type="auto"/>
            <w:gridSpan w:val="3"/>
            <w:shd w:val="clear" w:color="auto" w:fill="auto"/>
            <w:vAlign w:val="bottom"/>
          </w:tcPr>
          <w:p w14:paraId="74DDBD82" w14:textId="77777777" w:rsidR="00584EC1" w:rsidRDefault="00584EC1">
            <w:pPr>
              <w:rPr>
                <w:rFonts w:ascii="宋体"/>
                <w:vanish/>
              </w:rPr>
            </w:pPr>
          </w:p>
        </w:tc>
        <w:tc>
          <w:tcPr>
            <w:tcW w:w="0" w:type="auto"/>
            <w:gridSpan w:val="3"/>
            <w:shd w:val="clear" w:color="auto" w:fill="auto"/>
            <w:vAlign w:val="bottom"/>
          </w:tcPr>
          <w:p w14:paraId="74DDBD83" w14:textId="77777777" w:rsidR="00584EC1" w:rsidRDefault="00584EC1">
            <w:pPr>
              <w:rPr>
                <w:rFonts w:ascii="宋体"/>
                <w:vanish/>
              </w:rPr>
            </w:pPr>
          </w:p>
        </w:tc>
        <w:tc>
          <w:tcPr>
            <w:tcW w:w="0" w:type="auto"/>
            <w:gridSpan w:val="3"/>
            <w:shd w:val="clear" w:color="auto" w:fill="auto"/>
            <w:vAlign w:val="bottom"/>
          </w:tcPr>
          <w:p w14:paraId="74DDBD84" w14:textId="77777777" w:rsidR="00584EC1" w:rsidRDefault="00584EC1">
            <w:pPr>
              <w:rPr>
                <w:rFonts w:ascii="宋体"/>
                <w:vanish/>
              </w:rPr>
            </w:pPr>
          </w:p>
        </w:tc>
        <w:tc>
          <w:tcPr>
            <w:tcW w:w="0" w:type="auto"/>
            <w:gridSpan w:val="3"/>
            <w:shd w:val="clear" w:color="auto" w:fill="auto"/>
            <w:vAlign w:val="bottom"/>
          </w:tcPr>
          <w:p w14:paraId="74DDBD85" w14:textId="77777777" w:rsidR="00584EC1" w:rsidRDefault="00584EC1">
            <w:pPr>
              <w:rPr>
                <w:rFonts w:ascii="宋体"/>
                <w:vanish/>
              </w:rPr>
            </w:pPr>
          </w:p>
        </w:tc>
        <w:tc>
          <w:tcPr>
            <w:tcW w:w="0" w:type="auto"/>
            <w:gridSpan w:val="3"/>
            <w:shd w:val="clear" w:color="auto" w:fill="auto"/>
            <w:vAlign w:val="bottom"/>
          </w:tcPr>
          <w:p w14:paraId="74DDBD86" w14:textId="77777777" w:rsidR="00584EC1" w:rsidRDefault="00584EC1">
            <w:pPr>
              <w:rPr>
                <w:rFonts w:ascii="宋体"/>
                <w:vanish/>
              </w:rPr>
            </w:pPr>
          </w:p>
        </w:tc>
        <w:tc>
          <w:tcPr>
            <w:tcW w:w="0" w:type="auto"/>
            <w:gridSpan w:val="3"/>
            <w:shd w:val="clear" w:color="auto" w:fill="auto"/>
            <w:vAlign w:val="bottom"/>
          </w:tcPr>
          <w:p w14:paraId="74DDBD87" w14:textId="77777777" w:rsidR="00584EC1" w:rsidRDefault="00584EC1">
            <w:pPr>
              <w:rPr>
                <w:rFonts w:ascii="宋体"/>
                <w:vanish/>
              </w:rPr>
            </w:pPr>
          </w:p>
        </w:tc>
        <w:tc>
          <w:tcPr>
            <w:tcW w:w="0" w:type="auto"/>
            <w:gridSpan w:val="3"/>
            <w:shd w:val="clear" w:color="auto" w:fill="auto"/>
            <w:vAlign w:val="bottom"/>
          </w:tcPr>
          <w:p w14:paraId="74DDBD88" w14:textId="77777777" w:rsidR="00584EC1" w:rsidRDefault="00584EC1">
            <w:pPr>
              <w:rPr>
                <w:rFonts w:ascii="宋体"/>
                <w:vanish/>
              </w:rPr>
            </w:pPr>
          </w:p>
        </w:tc>
        <w:tc>
          <w:tcPr>
            <w:tcW w:w="0" w:type="auto"/>
            <w:gridSpan w:val="3"/>
            <w:shd w:val="clear" w:color="auto" w:fill="auto"/>
            <w:vAlign w:val="bottom"/>
          </w:tcPr>
          <w:p w14:paraId="74DDBD89" w14:textId="77777777" w:rsidR="00584EC1" w:rsidRDefault="00584EC1">
            <w:pPr>
              <w:rPr>
                <w:rFonts w:ascii="宋体"/>
                <w:vanish/>
              </w:rPr>
            </w:pPr>
          </w:p>
        </w:tc>
      </w:tr>
      <w:tr w:rsidR="00584EC1" w14:paraId="74DDBD99" w14:textId="77777777">
        <w:tc>
          <w:tcPr>
            <w:tcW w:w="0" w:type="auto"/>
            <w:gridSpan w:val="3"/>
            <w:shd w:val="clear" w:color="auto" w:fill="FFFFFF"/>
            <w:tcMar>
              <w:top w:w="40" w:type="dxa"/>
              <w:left w:w="245" w:type="dxa"/>
              <w:bottom w:w="40" w:type="dxa"/>
              <w:right w:w="20" w:type="dxa"/>
            </w:tcMar>
            <w:vAlign w:val="bottom"/>
          </w:tcPr>
          <w:p w14:paraId="74DDBD8B" w14:textId="77777777" w:rsidR="00584EC1" w:rsidRDefault="00871F8D">
            <w:pPr>
              <w:textAlignment w:val="bottom"/>
            </w:pPr>
            <w:r>
              <w:rPr>
                <w:rFonts w:ascii="Arial" w:eastAsia="宋体" w:hAnsi="Arial" w:cs="Arial"/>
                <w:color w:val="000000"/>
                <w:sz w:val="15"/>
                <w:szCs w:val="15"/>
              </w:rPr>
              <w:t>State and political subdivisions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BD8C" w14:textId="77777777" w:rsidR="00584EC1" w:rsidRDefault="00871F8D">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BD8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D8E"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BD8F" w14:textId="77777777" w:rsidR="00584EC1" w:rsidRDefault="00871F8D">
            <w:pPr>
              <w:jc w:val="right"/>
              <w:textAlignment w:val="bottom"/>
            </w:pPr>
            <w:r>
              <w:rPr>
                <w:rFonts w:ascii="Arial" w:eastAsia="宋体" w:hAnsi="Arial" w:cs="Arial"/>
                <w:color w:val="000000"/>
                <w:sz w:val="14"/>
                <w:szCs w:val="14"/>
              </w:rPr>
              <w:t>1,548 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BD9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D91"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BD92" w14:textId="77777777" w:rsidR="00584EC1" w:rsidRDefault="00871F8D">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BD9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D94"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D95"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D96"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BD97" w14:textId="77777777" w:rsidR="00584EC1" w:rsidRDefault="00871F8D">
            <w:pPr>
              <w:jc w:val="right"/>
              <w:textAlignment w:val="bottom"/>
            </w:pPr>
            <w:r>
              <w:rPr>
                <w:rFonts w:ascii="Arial" w:eastAsia="宋体" w:hAnsi="Arial" w:cs="Arial"/>
                <w:color w:val="000000"/>
                <w:sz w:val="14"/>
                <w:szCs w:val="14"/>
              </w:rPr>
              <w:t>1,548 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BD98" w14:textId="77777777" w:rsidR="00584EC1" w:rsidRDefault="00584EC1">
            <w:pPr>
              <w:jc w:val="right"/>
              <w:rPr>
                <w:rFonts w:ascii="宋体"/>
              </w:rPr>
            </w:pPr>
          </w:p>
        </w:tc>
      </w:tr>
      <w:tr w:rsidR="00584EC1" w14:paraId="74DDBDA4" w14:textId="77777777">
        <w:trPr>
          <w:hidden/>
        </w:trPr>
        <w:tc>
          <w:tcPr>
            <w:tcW w:w="0" w:type="auto"/>
            <w:gridSpan w:val="3"/>
            <w:shd w:val="clear" w:color="auto" w:fill="auto"/>
            <w:vAlign w:val="bottom"/>
          </w:tcPr>
          <w:p w14:paraId="74DDBD9A" w14:textId="77777777" w:rsidR="00584EC1" w:rsidRDefault="00584EC1">
            <w:pPr>
              <w:rPr>
                <w:rFonts w:ascii="宋体"/>
                <w:vanish/>
              </w:rPr>
            </w:pPr>
          </w:p>
        </w:tc>
        <w:tc>
          <w:tcPr>
            <w:tcW w:w="0" w:type="auto"/>
            <w:gridSpan w:val="3"/>
            <w:shd w:val="clear" w:color="auto" w:fill="auto"/>
            <w:vAlign w:val="bottom"/>
          </w:tcPr>
          <w:p w14:paraId="74DDBD9B" w14:textId="77777777" w:rsidR="00584EC1" w:rsidRDefault="00584EC1">
            <w:pPr>
              <w:rPr>
                <w:rFonts w:ascii="宋体"/>
                <w:vanish/>
              </w:rPr>
            </w:pPr>
          </w:p>
        </w:tc>
        <w:tc>
          <w:tcPr>
            <w:tcW w:w="0" w:type="auto"/>
            <w:gridSpan w:val="3"/>
            <w:shd w:val="clear" w:color="auto" w:fill="auto"/>
            <w:vAlign w:val="bottom"/>
          </w:tcPr>
          <w:p w14:paraId="74DDBD9C" w14:textId="77777777" w:rsidR="00584EC1" w:rsidRDefault="00584EC1">
            <w:pPr>
              <w:rPr>
                <w:rFonts w:ascii="宋体"/>
                <w:vanish/>
              </w:rPr>
            </w:pPr>
          </w:p>
        </w:tc>
        <w:tc>
          <w:tcPr>
            <w:tcW w:w="0" w:type="auto"/>
            <w:gridSpan w:val="3"/>
            <w:shd w:val="clear" w:color="auto" w:fill="auto"/>
            <w:vAlign w:val="bottom"/>
          </w:tcPr>
          <w:p w14:paraId="74DDBD9D" w14:textId="77777777" w:rsidR="00584EC1" w:rsidRDefault="00584EC1">
            <w:pPr>
              <w:rPr>
                <w:rFonts w:ascii="宋体"/>
                <w:vanish/>
              </w:rPr>
            </w:pPr>
          </w:p>
        </w:tc>
        <w:tc>
          <w:tcPr>
            <w:tcW w:w="0" w:type="auto"/>
            <w:gridSpan w:val="3"/>
            <w:shd w:val="clear" w:color="auto" w:fill="auto"/>
            <w:vAlign w:val="bottom"/>
          </w:tcPr>
          <w:p w14:paraId="74DDBD9E" w14:textId="77777777" w:rsidR="00584EC1" w:rsidRDefault="00584EC1">
            <w:pPr>
              <w:rPr>
                <w:rFonts w:ascii="宋体"/>
                <w:vanish/>
              </w:rPr>
            </w:pPr>
          </w:p>
        </w:tc>
        <w:tc>
          <w:tcPr>
            <w:tcW w:w="0" w:type="auto"/>
            <w:gridSpan w:val="3"/>
            <w:shd w:val="clear" w:color="auto" w:fill="auto"/>
            <w:vAlign w:val="bottom"/>
          </w:tcPr>
          <w:p w14:paraId="74DDBD9F" w14:textId="77777777" w:rsidR="00584EC1" w:rsidRDefault="00584EC1">
            <w:pPr>
              <w:rPr>
                <w:rFonts w:ascii="宋体"/>
                <w:vanish/>
              </w:rPr>
            </w:pPr>
          </w:p>
        </w:tc>
        <w:tc>
          <w:tcPr>
            <w:tcW w:w="0" w:type="auto"/>
            <w:gridSpan w:val="3"/>
            <w:shd w:val="clear" w:color="auto" w:fill="auto"/>
            <w:vAlign w:val="bottom"/>
          </w:tcPr>
          <w:p w14:paraId="74DDBDA0" w14:textId="77777777" w:rsidR="00584EC1" w:rsidRDefault="00584EC1">
            <w:pPr>
              <w:rPr>
                <w:rFonts w:ascii="宋体"/>
                <w:vanish/>
              </w:rPr>
            </w:pPr>
          </w:p>
        </w:tc>
        <w:tc>
          <w:tcPr>
            <w:tcW w:w="0" w:type="auto"/>
            <w:gridSpan w:val="3"/>
            <w:shd w:val="clear" w:color="auto" w:fill="auto"/>
            <w:vAlign w:val="bottom"/>
          </w:tcPr>
          <w:p w14:paraId="74DDBDA1" w14:textId="77777777" w:rsidR="00584EC1" w:rsidRDefault="00584EC1">
            <w:pPr>
              <w:rPr>
                <w:rFonts w:ascii="宋体"/>
                <w:vanish/>
              </w:rPr>
            </w:pPr>
          </w:p>
        </w:tc>
        <w:tc>
          <w:tcPr>
            <w:tcW w:w="0" w:type="auto"/>
            <w:gridSpan w:val="3"/>
            <w:shd w:val="clear" w:color="auto" w:fill="auto"/>
            <w:vAlign w:val="bottom"/>
          </w:tcPr>
          <w:p w14:paraId="74DDBDA2" w14:textId="77777777" w:rsidR="00584EC1" w:rsidRDefault="00584EC1">
            <w:pPr>
              <w:rPr>
                <w:rFonts w:ascii="宋体"/>
                <w:vanish/>
              </w:rPr>
            </w:pPr>
          </w:p>
        </w:tc>
        <w:tc>
          <w:tcPr>
            <w:tcW w:w="0" w:type="auto"/>
            <w:gridSpan w:val="3"/>
            <w:shd w:val="clear" w:color="auto" w:fill="auto"/>
            <w:vAlign w:val="bottom"/>
          </w:tcPr>
          <w:p w14:paraId="74DDBDA3" w14:textId="77777777" w:rsidR="00584EC1" w:rsidRDefault="00584EC1">
            <w:pPr>
              <w:rPr>
                <w:rFonts w:ascii="宋体"/>
                <w:vanish/>
              </w:rPr>
            </w:pPr>
          </w:p>
        </w:tc>
      </w:tr>
      <w:tr w:rsidR="00584EC1" w14:paraId="74DDBDB3" w14:textId="77777777">
        <w:tc>
          <w:tcPr>
            <w:tcW w:w="0" w:type="auto"/>
            <w:gridSpan w:val="3"/>
            <w:shd w:val="clear" w:color="auto" w:fill="CCEEFF"/>
            <w:tcMar>
              <w:top w:w="40" w:type="dxa"/>
              <w:left w:w="245" w:type="dxa"/>
              <w:bottom w:w="40" w:type="dxa"/>
              <w:right w:w="20" w:type="dxa"/>
            </w:tcMar>
            <w:vAlign w:val="bottom"/>
          </w:tcPr>
          <w:p w14:paraId="74DDBDA5" w14:textId="77777777" w:rsidR="00584EC1" w:rsidRDefault="00871F8D">
            <w:pPr>
              <w:textAlignment w:val="bottom"/>
            </w:pPr>
            <w:r>
              <w:rPr>
                <w:rFonts w:ascii="Arial" w:eastAsia="宋体" w:hAnsi="Arial" w:cs="Arial"/>
                <w:color w:val="000000"/>
                <w:sz w:val="15"/>
                <w:szCs w:val="15"/>
              </w:rPr>
              <w:t>Other U.S. debt securities</w:t>
            </w:r>
          </w:p>
        </w:tc>
        <w:tc>
          <w:tcPr>
            <w:tcW w:w="0" w:type="auto"/>
            <w:gridSpan w:val="2"/>
            <w:shd w:val="clear" w:color="auto" w:fill="CCEEFF"/>
            <w:tcMar>
              <w:top w:w="40" w:type="dxa"/>
              <w:left w:w="20" w:type="dxa"/>
              <w:bottom w:w="40" w:type="dxa"/>
              <w:right w:w="0" w:type="dxa"/>
            </w:tcMar>
            <w:vAlign w:val="bottom"/>
          </w:tcPr>
          <w:p w14:paraId="74DDBDA6"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BDA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DA8"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DA9" w14:textId="77777777" w:rsidR="00584EC1" w:rsidRDefault="00871F8D">
            <w:pPr>
              <w:jc w:val="right"/>
              <w:textAlignment w:val="bottom"/>
            </w:pPr>
            <w:r>
              <w:rPr>
                <w:rFonts w:ascii="Arial" w:eastAsia="宋体" w:hAnsi="Arial" w:cs="Arial"/>
                <w:color w:val="000000"/>
                <w:sz w:val="14"/>
                <w:szCs w:val="14"/>
              </w:rPr>
              <w:t>3,443 </w:t>
            </w:r>
          </w:p>
        </w:tc>
        <w:tc>
          <w:tcPr>
            <w:tcW w:w="0" w:type="auto"/>
            <w:shd w:val="clear" w:color="auto" w:fill="CCEEFF"/>
            <w:tcMar>
              <w:top w:w="40" w:type="dxa"/>
              <w:left w:w="0" w:type="dxa"/>
              <w:bottom w:w="40" w:type="dxa"/>
              <w:right w:w="20" w:type="dxa"/>
            </w:tcMar>
            <w:vAlign w:val="bottom"/>
          </w:tcPr>
          <w:p w14:paraId="74DDBDA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DA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DAC"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BDA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DAE"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DAF"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DB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DB1" w14:textId="77777777" w:rsidR="00584EC1" w:rsidRDefault="00871F8D">
            <w:pPr>
              <w:jc w:val="right"/>
              <w:textAlignment w:val="bottom"/>
            </w:pPr>
            <w:r>
              <w:rPr>
                <w:rFonts w:ascii="Arial" w:eastAsia="宋体" w:hAnsi="Arial" w:cs="Arial"/>
                <w:color w:val="000000"/>
                <w:sz w:val="14"/>
                <w:szCs w:val="14"/>
              </w:rPr>
              <w:t>3,443 </w:t>
            </w:r>
          </w:p>
        </w:tc>
        <w:tc>
          <w:tcPr>
            <w:tcW w:w="0" w:type="auto"/>
            <w:shd w:val="clear" w:color="auto" w:fill="CCEEFF"/>
            <w:tcMar>
              <w:top w:w="40" w:type="dxa"/>
              <w:left w:w="0" w:type="dxa"/>
              <w:bottom w:w="40" w:type="dxa"/>
              <w:right w:w="20" w:type="dxa"/>
            </w:tcMar>
            <w:vAlign w:val="bottom"/>
          </w:tcPr>
          <w:p w14:paraId="74DDBDB2" w14:textId="77777777" w:rsidR="00584EC1" w:rsidRDefault="00584EC1">
            <w:pPr>
              <w:jc w:val="right"/>
              <w:rPr>
                <w:rFonts w:ascii="宋体"/>
              </w:rPr>
            </w:pPr>
          </w:p>
        </w:tc>
      </w:tr>
      <w:tr w:rsidR="00584EC1" w14:paraId="74DDBDBE" w14:textId="77777777">
        <w:trPr>
          <w:hidden/>
        </w:trPr>
        <w:tc>
          <w:tcPr>
            <w:tcW w:w="0" w:type="auto"/>
            <w:gridSpan w:val="3"/>
            <w:shd w:val="clear" w:color="auto" w:fill="auto"/>
            <w:vAlign w:val="bottom"/>
          </w:tcPr>
          <w:p w14:paraId="74DDBDB4" w14:textId="77777777" w:rsidR="00584EC1" w:rsidRDefault="00584EC1">
            <w:pPr>
              <w:rPr>
                <w:rFonts w:ascii="宋体"/>
                <w:vanish/>
              </w:rPr>
            </w:pPr>
          </w:p>
        </w:tc>
        <w:tc>
          <w:tcPr>
            <w:tcW w:w="0" w:type="auto"/>
            <w:gridSpan w:val="3"/>
            <w:shd w:val="clear" w:color="auto" w:fill="auto"/>
            <w:vAlign w:val="bottom"/>
          </w:tcPr>
          <w:p w14:paraId="74DDBDB5" w14:textId="77777777" w:rsidR="00584EC1" w:rsidRDefault="00584EC1">
            <w:pPr>
              <w:rPr>
                <w:rFonts w:ascii="宋体"/>
                <w:vanish/>
              </w:rPr>
            </w:pPr>
          </w:p>
        </w:tc>
        <w:tc>
          <w:tcPr>
            <w:tcW w:w="0" w:type="auto"/>
            <w:gridSpan w:val="3"/>
            <w:shd w:val="clear" w:color="auto" w:fill="auto"/>
            <w:vAlign w:val="bottom"/>
          </w:tcPr>
          <w:p w14:paraId="74DDBDB6" w14:textId="77777777" w:rsidR="00584EC1" w:rsidRDefault="00584EC1">
            <w:pPr>
              <w:rPr>
                <w:rFonts w:ascii="宋体"/>
                <w:vanish/>
              </w:rPr>
            </w:pPr>
          </w:p>
        </w:tc>
        <w:tc>
          <w:tcPr>
            <w:tcW w:w="0" w:type="auto"/>
            <w:gridSpan w:val="3"/>
            <w:shd w:val="clear" w:color="auto" w:fill="auto"/>
            <w:vAlign w:val="bottom"/>
          </w:tcPr>
          <w:p w14:paraId="74DDBDB7" w14:textId="77777777" w:rsidR="00584EC1" w:rsidRDefault="00584EC1">
            <w:pPr>
              <w:rPr>
                <w:rFonts w:ascii="宋体"/>
                <w:vanish/>
              </w:rPr>
            </w:pPr>
          </w:p>
        </w:tc>
        <w:tc>
          <w:tcPr>
            <w:tcW w:w="0" w:type="auto"/>
            <w:gridSpan w:val="3"/>
            <w:shd w:val="clear" w:color="auto" w:fill="auto"/>
            <w:vAlign w:val="bottom"/>
          </w:tcPr>
          <w:p w14:paraId="74DDBDB8" w14:textId="77777777" w:rsidR="00584EC1" w:rsidRDefault="00584EC1">
            <w:pPr>
              <w:rPr>
                <w:rFonts w:ascii="宋体"/>
                <w:vanish/>
              </w:rPr>
            </w:pPr>
          </w:p>
        </w:tc>
        <w:tc>
          <w:tcPr>
            <w:tcW w:w="0" w:type="auto"/>
            <w:gridSpan w:val="3"/>
            <w:shd w:val="clear" w:color="auto" w:fill="auto"/>
            <w:vAlign w:val="bottom"/>
          </w:tcPr>
          <w:p w14:paraId="74DDBDB9" w14:textId="77777777" w:rsidR="00584EC1" w:rsidRDefault="00584EC1">
            <w:pPr>
              <w:rPr>
                <w:rFonts w:ascii="宋体"/>
                <w:vanish/>
              </w:rPr>
            </w:pPr>
          </w:p>
        </w:tc>
        <w:tc>
          <w:tcPr>
            <w:tcW w:w="0" w:type="auto"/>
            <w:gridSpan w:val="3"/>
            <w:shd w:val="clear" w:color="auto" w:fill="auto"/>
            <w:vAlign w:val="bottom"/>
          </w:tcPr>
          <w:p w14:paraId="74DDBDBA" w14:textId="77777777" w:rsidR="00584EC1" w:rsidRDefault="00584EC1">
            <w:pPr>
              <w:rPr>
                <w:rFonts w:ascii="宋体"/>
                <w:vanish/>
              </w:rPr>
            </w:pPr>
          </w:p>
        </w:tc>
        <w:tc>
          <w:tcPr>
            <w:tcW w:w="0" w:type="auto"/>
            <w:gridSpan w:val="3"/>
            <w:shd w:val="clear" w:color="auto" w:fill="auto"/>
            <w:vAlign w:val="bottom"/>
          </w:tcPr>
          <w:p w14:paraId="74DDBDBB" w14:textId="77777777" w:rsidR="00584EC1" w:rsidRDefault="00584EC1">
            <w:pPr>
              <w:rPr>
                <w:rFonts w:ascii="宋体"/>
                <w:vanish/>
              </w:rPr>
            </w:pPr>
          </w:p>
        </w:tc>
        <w:tc>
          <w:tcPr>
            <w:tcW w:w="0" w:type="auto"/>
            <w:gridSpan w:val="3"/>
            <w:shd w:val="clear" w:color="auto" w:fill="auto"/>
            <w:vAlign w:val="bottom"/>
          </w:tcPr>
          <w:p w14:paraId="74DDBDBC" w14:textId="77777777" w:rsidR="00584EC1" w:rsidRDefault="00584EC1">
            <w:pPr>
              <w:rPr>
                <w:rFonts w:ascii="宋体"/>
                <w:vanish/>
              </w:rPr>
            </w:pPr>
          </w:p>
        </w:tc>
        <w:tc>
          <w:tcPr>
            <w:tcW w:w="0" w:type="auto"/>
            <w:gridSpan w:val="3"/>
            <w:shd w:val="clear" w:color="auto" w:fill="auto"/>
            <w:vAlign w:val="bottom"/>
          </w:tcPr>
          <w:p w14:paraId="74DDBDBD" w14:textId="77777777" w:rsidR="00584EC1" w:rsidRDefault="00584EC1">
            <w:pPr>
              <w:rPr>
                <w:rFonts w:ascii="宋体"/>
                <w:vanish/>
              </w:rPr>
            </w:pPr>
          </w:p>
        </w:tc>
      </w:tr>
      <w:tr w:rsidR="00584EC1" w14:paraId="74DDBDC9" w14:textId="77777777">
        <w:trPr>
          <w:hidden/>
        </w:trPr>
        <w:tc>
          <w:tcPr>
            <w:tcW w:w="0" w:type="auto"/>
            <w:gridSpan w:val="3"/>
            <w:shd w:val="clear" w:color="auto" w:fill="auto"/>
            <w:vAlign w:val="bottom"/>
          </w:tcPr>
          <w:p w14:paraId="74DDBDBF" w14:textId="77777777" w:rsidR="00584EC1" w:rsidRDefault="00584EC1">
            <w:pPr>
              <w:rPr>
                <w:rFonts w:ascii="宋体"/>
                <w:vanish/>
              </w:rPr>
            </w:pPr>
          </w:p>
        </w:tc>
        <w:tc>
          <w:tcPr>
            <w:tcW w:w="0" w:type="auto"/>
            <w:gridSpan w:val="3"/>
            <w:shd w:val="clear" w:color="auto" w:fill="auto"/>
            <w:vAlign w:val="bottom"/>
          </w:tcPr>
          <w:p w14:paraId="74DDBDC0" w14:textId="77777777" w:rsidR="00584EC1" w:rsidRDefault="00584EC1">
            <w:pPr>
              <w:rPr>
                <w:rFonts w:ascii="宋体"/>
                <w:vanish/>
              </w:rPr>
            </w:pPr>
          </w:p>
        </w:tc>
        <w:tc>
          <w:tcPr>
            <w:tcW w:w="0" w:type="auto"/>
            <w:gridSpan w:val="3"/>
            <w:shd w:val="clear" w:color="auto" w:fill="auto"/>
            <w:vAlign w:val="bottom"/>
          </w:tcPr>
          <w:p w14:paraId="74DDBDC1" w14:textId="77777777" w:rsidR="00584EC1" w:rsidRDefault="00584EC1">
            <w:pPr>
              <w:rPr>
                <w:rFonts w:ascii="宋体"/>
                <w:vanish/>
              </w:rPr>
            </w:pPr>
          </w:p>
        </w:tc>
        <w:tc>
          <w:tcPr>
            <w:tcW w:w="0" w:type="auto"/>
            <w:gridSpan w:val="3"/>
            <w:shd w:val="clear" w:color="auto" w:fill="auto"/>
            <w:vAlign w:val="bottom"/>
          </w:tcPr>
          <w:p w14:paraId="74DDBDC2" w14:textId="77777777" w:rsidR="00584EC1" w:rsidRDefault="00584EC1">
            <w:pPr>
              <w:rPr>
                <w:rFonts w:ascii="宋体"/>
                <w:vanish/>
              </w:rPr>
            </w:pPr>
          </w:p>
        </w:tc>
        <w:tc>
          <w:tcPr>
            <w:tcW w:w="0" w:type="auto"/>
            <w:gridSpan w:val="3"/>
            <w:shd w:val="clear" w:color="auto" w:fill="auto"/>
            <w:vAlign w:val="bottom"/>
          </w:tcPr>
          <w:p w14:paraId="74DDBDC3" w14:textId="77777777" w:rsidR="00584EC1" w:rsidRDefault="00584EC1">
            <w:pPr>
              <w:rPr>
                <w:rFonts w:ascii="宋体"/>
                <w:vanish/>
              </w:rPr>
            </w:pPr>
          </w:p>
        </w:tc>
        <w:tc>
          <w:tcPr>
            <w:tcW w:w="0" w:type="auto"/>
            <w:gridSpan w:val="3"/>
            <w:shd w:val="clear" w:color="auto" w:fill="auto"/>
            <w:vAlign w:val="bottom"/>
          </w:tcPr>
          <w:p w14:paraId="74DDBDC4" w14:textId="77777777" w:rsidR="00584EC1" w:rsidRDefault="00584EC1">
            <w:pPr>
              <w:rPr>
                <w:rFonts w:ascii="宋体"/>
                <w:vanish/>
              </w:rPr>
            </w:pPr>
          </w:p>
        </w:tc>
        <w:tc>
          <w:tcPr>
            <w:tcW w:w="0" w:type="auto"/>
            <w:gridSpan w:val="3"/>
            <w:shd w:val="clear" w:color="auto" w:fill="auto"/>
            <w:vAlign w:val="bottom"/>
          </w:tcPr>
          <w:p w14:paraId="74DDBDC5" w14:textId="77777777" w:rsidR="00584EC1" w:rsidRDefault="00584EC1">
            <w:pPr>
              <w:rPr>
                <w:rFonts w:ascii="宋体"/>
                <w:vanish/>
              </w:rPr>
            </w:pPr>
          </w:p>
        </w:tc>
        <w:tc>
          <w:tcPr>
            <w:tcW w:w="0" w:type="auto"/>
            <w:gridSpan w:val="3"/>
            <w:shd w:val="clear" w:color="auto" w:fill="auto"/>
            <w:vAlign w:val="bottom"/>
          </w:tcPr>
          <w:p w14:paraId="74DDBDC6" w14:textId="77777777" w:rsidR="00584EC1" w:rsidRDefault="00584EC1">
            <w:pPr>
              <w:rPr>
                <w:rFonts w:ascii="宋体"/>
                <w:vanish/>
              </w:rPr>
            </w:pPr>
          </w:p>
        </w:tc>
        <w:tc>
          <w:tcPr>
            <w:tcW w:w="0" w:type="auto"/>
            <w:gridSpan w:val="3"/>
            <w:shd w:val="clear" w:color="auto" w:fill="auto"/>
            <w:vAlign w:val="bottom"/>
          </w:tcPr>
          <w:p w14:paraId="74DDBDC7" w14:textId="77777777" w:rsidR="00584EC1" w:rsidRDefault="00584EC1">
            <w:pPr>
              <w:rPr>
                <w:rFonts w:ascii="宋体"/>
                <w:vanish/>
              </w:rPr>
            </w:pPr>
          </w:p>
        </w:tc>
        <w:tc>
          <w:tcPr>
            <w:tcW w:w="0" w:type="auto"/>
            <w:gridSpan w:val="3"/>
            <w:shd w:val="clear" w:color="auto" w:fill="auto"/>
            <w:vAlign w:val="bottom"/>
          </w:tcPr>
          <w:p w14:paraId="74DDBDC8" w14:textId="77777777" w:rsidR="00584EC1" w:rsidRDefault="00584EC1">
            <w:pPr>
              <w:rPr>
                <w:rFonts w:ascii="宋体"/>
                <w:vanish/>
              </w:rPr>
            </w:pPr>
          </w:p>
        </w:tc>
      </w:tr>
      <w:tr w:rsidR="00584EC1" w14:paraId="74DDBDD4" w14:textId="77777777">
        <w:trPr>
          <w:hidden/>
        </w:trPr>
        <w:tc>
          <w:tcPr>
            <w:tcW w:w="0" w:type="auto"/>
            <w:gridSpan w:val="3"/>
            <w:shd w:val="clear" w:color="auto" w:fill="auto"/>
            <w:vAlign w:val="bottom"/>
          </w:tcPr>
          <w:p w14:paraId="74DDBDCA" w14:textId="77777777" w:rsidR="00584EC1" w:rsidRDefault="00584EC1">
            <w:pPr>
              <w:rPr>
                <w:rFonts w:ascii="宋体"/>
                <w:vanish/>
              </w:rPr>
            </w:pPr>
          </w:p>
        </w:tc>
        <w:tc>
          <w:tcPr>
            <w:tcW w:w="0" w:type="auto"/>
            <w:gridSpan w:val="3"/>
            <w:shd w:val="clear" w:color="auto" w:fill="auto"/>
            <w:vAlign w:val="bottom"/>
          </w:tcPr>
          <w:p w14:paraId="74DDBDCB" w14:textId="77777777" w:rsidR="00584EC1" w:rsidRDefault="00584EC1">
            <w:pPr>
              <w:rPr>
                <w:rFonts w:ascii="宋体"/>
                <w:vanish/>
              </w:rPr>
            </w:pPr>
          </w:p>
        </w:tc>
        <w:tc>
          <w:tcPr>
            <w:tcW w:w="0" w:type="auto"/>
            <w:gridSpan w:val="3"/>
            <w:shd w:val="clear" w:color="auto" w:fill="auto"/>
            <w:vAlign w:val="bottom"/>
          </w:tcPr>
          <w:p w14:paraId="74DDBDCC" w14:textId="77777777" w:rsidR="00584EC1" w:rsidRDefault="00584EC1">
            <w:pPr>
              <w:rPr>
                <w:rFonts w:ascii="宋体"/>
                <w:vanish/>
              </w:rPr>
            </w:pPr>
          </w:p>
        </w:tc>
        <w:tc>
          <w:tcPr>
            <w:tcW w:w="0" w:type="auto"/>
            <w:gridSpan w:val="3"/>
            <w:shd w:val="clear" w:color="auto" w:fill="auto"/>
            <w:vAlign w:val="bottom"/>
          </w:tcPr>
          <w:p w14:paraId="74DDBDCD" w14:textId="77777777" w:rsidR="00584EC1" w:rsidRDefault="00584EC1">
            <w:pPr>
              <w:rPr>
                <w:rFonts w:ascii="宋体"/>
                <w:vanish/>
              </w:rPr>
            </w:pPr>
          </w:p>
        </w:tc>
        <w:tc>
          <w:tcPr>
            <w:tcW w:w="0" w:type="auto"/>
            <w:gridSpan w:val="3"/>
            <w:shd w:val="clear" w:color="auto" w:fill="auto"/>
            <w:vAlign w:val="bottom"/>
          </w:tcPr>
          <w:p w14:paraId="74DDBDCE" w14:textId="77777777" w:rsidR="00584EC1" w:rsidRDefault="00584EC1">
            <w:pPr>
              <w:rPr>
                <w:rFonts w:ascii="宋体"/>
                <w:vanish/>
              </w:rPr>
            </w:pPr>
          </w:p>
        </w:tc>
        <w:tc>
          <w:tcPr>
            <w:tcW w:w="0" w:type="auto"/>
            <w:gridSpan w:val="3"/>
            <w:shd w:val="clear" w:color="auto" w:fill="auto"/>
            <w:vAlign w:val="bottom"/>
          </w:tcPr>
          <w:p w14:paraId="74DDBDCF" w14:textId="77777777" w:rsidR="00584EC1" w:rsidRDefault="00584EC1">
            <w:pPr>
              <w:rPr>
                <w:rFonts w:ascii="宋体"/>
                <w:vanish/>
              </w:rPr>
            </w:pPr>
          </w:p>
        </w:tc>
        <w:tc>
          <w:tcPr>
            <w:tcW w:w="0" w:type="auto"/>
            <w:gridSpan w:val="3"/>
            <w:shd w:val="clear" w:color="auto" w:fill="auto"/>
            <w:vAlign w:val="bottom"/>
          </w:tcPr>
          <w:p w14:paraId="74DDBDD0" w14:textId="77777777" w:rsidR="00584EC1" w:rsidRDefault="00584EC1">
            <w:pPr>
              <w:rPr>
                <w:rFonts w:ascii="宋体"/>
                <w:vanish/>
              </w:rPr>
            </w:pPr>
          </w:p>
        </w:tc>
        <w:tc>
          <w:tcPr>
            <w:tcW w:w="0" w:type="auto"/>
            <w:gridSpan w:val="3"/>
            <w:shd w:val="clear" w:color="auto" w:fill="auto"/>
            <w:vAlign w:val="bottom"/>
          </w:tcPr>
          <w:p w14:paraId="74DDBDD1" w14:textId="77777777" w:rsidR="00584EC1" w:rsidRDefault="00584EC1">
            <w:pPr>
              <w:rPr>
                <w:rFonts w:ascii="宋体"/>
                <w:vanish/>
              </w:rPr>
            </w:pPr>
          </w:p>
        </w:tc>
        <w:tc>
          <w:tcPr>
            <w:tcW w:w="0" w:type="auto"/>
            <w:gridSpan w:val="3"/>
            <w:shd w:val="clear" w:color="auto" w:fill="auto"/>
            <w:vAlign w:val="bottom"/>
          </w:tcPr>
          <w:p w14:paraId="74DDBDD2" w14:textId="77777777" w:rsidR="00584EC1" w:rsidRDefault="00584EC1">
            <w:pPr>
              <w:rPr>
                <w:rFonts w:ascii="宋体"/>
                <w:vanish/>
              </w:rPr>
            </w:pPr>
          </w:p>
        </w:tc>
        <w:tc>
          <w:tcPr>
            <w:tcW w:w="0" w:type="auto"/>
            <w:gridSpan w:val="3"/>
            <w:shd w:val="clear" w:color="auto" w:fill="auto"/>
            <w:vAlign w:val="bottom"/>
          </w:tcPr>
          <w:p w14:paraId="74DDBDD3" w14:textId="77777777" w:rsidR="00584EC1" w:rsidRDefault="00584EC1">
            <w:pPr>
              <w:rPr>
                <w:rFonts w:ascii="宋体"/>
                <w:vanish/>
              </w:rPr>
            </w:pPr>
          </w:p>
        </w:tc>
      </w:tr>
      <w:tr w:rsidR="00584EC1" w14:paraId="74DDBDDF" w14:textId="77777777">
        <w:trPr>
          <w:hidden/>
        </w:trPr>
        <w:tc>
          <w:tcPr>
            <w:tcW w:w="0" w:type="auto"/>
            <w:gridSpan w:val="3"/>
            <w:shd w:val="clear" w:color="auto" w:fill="auto"/>
            <w:vAlign w:val="bottom"/>
          </w:tcPr>
          <w:p w14:paraId="74DDBDD5" w14:textId="77777777" w:rsidR="00584EC1" w:rsidRDefault="00584EC1">
            <w:pPr>
              <w:rPr>
                <w:rFonts w:ascii="宋体"/>
                <w:vanish/>
              </w:rPr>
            </w:pPr>
          </w:p>
        </w:tc>
        <w:tc>
          <w:tcPr>
            <w:tcW w:w="0" w:type="auto"/>
            <w:gridSpan w:val="3"/>
            <w:shd w:val="clear" w:color="auto" w:fill="auto"/>
            <w:vAlign w:val="bottom"/>
          </w:tcPr>
          <w:p w14:paraId="74DDBDD6" w14:textId="77777777" w:rsidR="00584EC1" w:rsidRDefault="00584EC1">
            <w:pPr>
              <w:rPr>
                <w:rFonts w:ascii="宋体"/>
                <w:vanish/>
              </w:rPr>
            </w:pPr>
          </w:p>
        </w:tc>
        <w:tc>
          <w:tcPr>
            <w:tcW w:w="0" w:type="auto"/>
            <w:gridSpan w:val="3"/>
            <w:shd w:val="clear" w:color="auto" w:fill="auto"/>
            <w:vAlign w:val="bottom"/>
          </w:tcPr>
          <w:p w14:paraId="74DDBDD7" w14:textId="77777777" w:rsidR="00584EC1" w:rsidRDefault="00584EC1">
            <w:pPr>
              <w:rPr>
                <w:rFonts w:ascii="宋体"/>
                <w:vanish/>
              </w:rPr>
            </w:pPr>
          </w:p>
        </w:tc>
        <w:tc>
          <w:tcPr>
            <w:tcW w:w="0" w:type="auto"/>
            <w:gridSpan w:val="3"/>
            <w:shd w:val="clear" w:color="auto" w:fill="auto"/>
            <w:vAlign w:val="bottom"/>
          </w:tcPr>
          <w:p w14:paraId="74DDBDD8" w14:textId="77777777" w:rsidR="00584EC1" w:rsidRDefault="00584EC1">
            <w:pPr>
              <w:rPr>
                <w:rFonts w:ascii="宋体"/>
                <w:vanish/>
              </w:rPr>
            </w:pPr>
          </w:p>
        </w:tc>
        <w:tc>
          <w:tcPr>
            <w:tcW w:w="0" w:type="auto"/>
            <w:gridSpan w:val="3"/>
            <w:shd w:val="clear" w:color="auto" w:fill="auto"/>
            <w:vAlign w:val="bottom"/>
          </w:tcPr>
          <w:p w14:paraId="74DDBDD9" w14:textId="77777777" w:rsidR="00584EC1" w:rsidRDefault="00584EC1">
            <w:pPr>
              <w:rPr>
                <w:rFonts w:ascii="宋体"/>
                <w:vanish/>
              </w:rPr>
            </w:pPr>
          </w:p>
        </w:tc>
        <w:tc>
          <w:tcPr>
            <w:tcW w:w="0" w:type="auto"/>
            <w:gridSpan w:val="3"/>
            <w:shd w:val="clear" w:color="auto" w:fill="auto"/>
            <w:vAlign w:val="bottom"/>
          </w:tcPr>
          <w:p w14:paraId="74DDBDDA" w14:textId="77777777" w:rsidR="00584EC1" w:rsidRDefault="00584EC1">
            <w:pPr>
              <w:rPr>
                <w:rFonts w:ascii="宋体"/>
                <w:vanish/>
              </w:rPr>
            </w:pPr>
          </w:p>
        </w:tc>
        <w:tc>
          <w:tcPr>
            <w:tcW w:w="0" w:type="auto"/>
            <w:gridSpan w:val="3"/>
            <w:shd w:val="clear" w:color="auto" w:fill="auto"/>
            <w:vAlign w:val="bottom"/>
          </w:tcPr>
          <w:p w14:paraId="74DDBDDB" w14:textId="77777777" w:rsidR="00584EC1" w:rsidRDefault="00584EC1">
            <w:pPr>
              <w:rPr>
                <w:rFonts w:ascii="宋体"/>
                <w:vanish/>
              </w:rPr>
            </w:pPr>
          </w:p>
        </w:tc>
        <w:tc>
          <w:tcPr>
            <w:tcW w:w="0" w:type="auto"/>
            <w:gridSpan w:val="3"/>
            <w:shd w:val="clear" w:color="auto" w:fill="auto"/>
            <w:vAlign w:val="bottom"/>
          </w:tcPr>
          <w:p w14:paraId="74DDBDDC" w14:textId="77777777" w:rsidR="00584EC1" w:rsidRDefault="00584EC1">
            <w:pPr>
              <w:rPr>
                <w:rFonts w:ascii="宋体"/>
                <w:vanish/>
              </w:rPr>
            </w:pPr>
          </w:p>
        </w:tc>
        <w:tc>
          <w:tcPr>
            <w:tcW w:w="0" w:type="auto"/>
            <w:gridSpan w:val="3"/>
            <w:shd w:val="clear" w:color="auto" w:fill="auto"/>
            <w:vAlign w:val="bottom"/>
          </w:tcPr>
          <w:p w14:paraId="74DDBDDD" w14:textId="77777777" w:rsidR="00584EC1" w:rsidRDefault="00584EC1">
            <w:pPr>
              <w:rPr>
                <w:rFonts w:ascii="宋体"/>
                <w:vanish/>
              </w:rPr>
            </w:pPr>
          </w:p>
        </w:tc>
        <w:tc>
          <w:tcPr>
            <w:tcW w:w="0" w:type="auto"/>
            <w:gridSpan w:val="3"/>
            <w:shd w:val="clear" w:color="auto" w:fill="auto"/>
            <w:vAlign w:val="bottom"/>
          </w:tcPr>
          <w:p w14:paraId="74DDBDDE" w14:textId="77777777" w:rsidR="00584EC1" w:rsidRDefault="00584EC1">
            <w:pPr>
              <w:rPr>
                <w:rFonts w:ascii="宋体"/>
                <w:vanish/>
              </w:rPr>
            </w:pPr>
          </w:p>
        </w:tc>
      </w:tr>
      <w:tr w:rsidR="00584EC1" w14:paraId="74DDBDEE" w14:textId="77777777">
        <w:tc>
          <w:tcPr>
            <w:tcW w:w="0" w:type="auto"/>
            <w:gridSpan w:val="3"/>
            <w:shd w:val="clear" w:color="auto" w:fill="FFFFFF"/>
            <w:tcMar>
              <w:top w:w="40" w:type="dxa"/>
              <w:left w:w="740" w:type="dxa"/>
              <w:bottom w:w="40" w:type="dxa"/>
              <w:right w:w="20" w:type="dxa"/>
            </w:tcMar>
            <w:vAlign w:val="bottom"/>
          </w:tcPr>
          <w:p w14:paraId="74DDBDE0" w14:textId="77777777" w:rsidR="00584EC1" w:rsidRDefault="00871F8D">
            <w:pPr>
              <w:textAlignment w:val="bottom"/>
            </w:pPr>
            <w:r>
              <w:rPr>
                <w:rFonts w:ascii="Arial" w:eastAsia="宋体" w:hAnsi="Arial" w:cs="Arial"/>
                <w:color w:val="000000"/>
                <w:sz w:val="15"/>
                <w:szCs w:val="15"/>
              </w:rPr>
              <w:t>Total available-for-sale investment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BDE1" w14:textId="77777777" w:rsidR="00584EC1" w:rsidRDefault="00871F8D">
            <w:pPr>
              <w:jc w:val="right"/>
              <w:textAlignment w:val="bottom"/>
            </w:pPr>
            <w:r>
              <w:rPr>
                <w:rFonts w:ascii="Arial" w:eastAsia="宋体" w:hAnsi="Arial" w:cs="Arial"/>
                <w:color w:val="000000"/>
                <w:sz w:val="14"/>
                <w:szCs w:val="14"/>
              </w:rPr>
              <w:t>6,575 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BDE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DE3"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BDE4" w14:textId="77777777" w:rsidR="00584EC1" w:rsidRDefault="00871F8D">
            <w:pPr>
              <w:jc w:val="right"/>
              <w:textAlignment w:val="bottom"/>
            </w:pPr>
            <w:r>
              <w:rPr>
                <w:rFonts w:ascii="Arial" w:eastAsia="宋体" w:hAnsi="Arial" w:cs="Arial"/>
                <w:color w:val="000000"/>
                <w:sz w:val="14"/>
                <w:szCs w:val="14"/>
              </w:rPr>
              <w:t>52,459 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BDE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DE6"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BDE7" w14:textId="77777777" w:rsidR="00584EC1" w:rsidRDefault="00871F8D">
            <w:pPr>
              <w:jc w:val="right"/>
              <w:textAlignment w:val="bottom"/>
            </w:pPr>
            <w:r>
              <w:rPr>
                <w:rFonts w:ascii="Arial" w:eastAsia="宋体" w:hAnsi="Arial" w:cs="Arial"/>
                <w:color w:val="000000"/>
                <w:sz w:val="14"/>
                <w:szCs w:val="14"/>
              </w:rPr>
              <w:t>14 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BDE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DE9"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DEA"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DEB"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BDEC" w14:textId="77777777" w:rsidR="00584EC1" w:rsidRDefault="00871F8D">
            <w:pPr>
              <w:jc w:val="right"/>
              <w:textAlignment w:val="bottom"/>
            </w:pPr>
            <w:r>
              <w:rPr>
                <w:rFonts w:ascii="Arial" w:eastAsia="宋体" w:hAnsi="Arial" w:cs="Arial"/>
                <w:color w:val="000000"/>
                <w:sz w:val="14"/>
                <w:szCs w:val="14"/>
              </w:rPr>
              <w:t>59,048 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BDED" w14:textId="77777777" w:rsidR="00584EC1" w:rsidRDefault="00584EC1">
            <w:pPr>
              <w:jc w:val="right"/>
              <w:rPr>
                <w:rFonts w:ascii="宋体"/>
              </w:rPr>
            </w:pPr>
          </w:p>
        </w:tc>
      </w:tr>
      <w:tr w:rsidR="00584EC1" w14:paraId="74DDBDF9" w14:textId="77777777">
        <w:tc>
          <w:tcPr>
            <w:tcW w:w="0" w:type="auto"/>
            <w:gridSpan w:val="3"/>
            <w:shd w:val="clear" w:color="auto" w:fill="CCEEFF"/>
            <w:tcMar>
              <w:top w:w="40" w:type="dxa"/>
              <w:left w:w="20" w:type="dxa"/>
              <w:bottom w:w="40" w:type="dxa"/>
              <w:right w:w="20" w:type="dxa"/>
            </w:tcMar>
            <w:vAlign w:val="bottom"/>
          </w:tcPr>
          <w:p w14:paraId="74DDBDEF" w14:textId="77777777" w:rsidR="00584EC1" w:rsidRDefault="00871F8D">
            <w:pPr>
              <w:textAlignment w:val="bottom"/>
            </w:pPr>
            <w:r>
              <w:rPr>
                <w:rFonts w:ascii="Arial" w:eastAsia="宋体" w:hAnsi="Arial" w:cs="Arial"/>
                <w:color w:val="000000"/>
                <w:sz w:val="15"/>
                <w:szCs w:val="15"/>
              </w:rPr>
              <w:t>Other assets:</w:t>
            </w:r>
          </w:p>
        </w:tc>
        <w:tc>
          <w:tcPr>
            <w:tcW w:w="0" w:type="auto"/>
            <w:gridSpan w:val="3"/>
            <w:shd w:val="clear" w:color="auto" w:fill="CCEEFF"/>
            <w:tcMar>
              <w:top w:w="0" w:type="dxa"/>
              <w:left w:w="20" w:type="dxa"/>
              <w:bottom w:w="0" w:type="dxa"/>
              <w:right w:w="20" w:type="dxa"/>
            </w:tcMar>
            <w:vAlign w:val="bottom"/>
          </w:tcPr>
          <w:p w14:paraId="74DDBDF0"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DF1"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DF2"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DF3"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DF4"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DF5"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DF6"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DF7"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DF8" w14:textId="77777777" w:rsidR="00584EC1" w:rsidRDefault="00584EC1">
            <w:pPr>
              <w:rPr>
                <w:rFonts w:ascii="宋体"/>
              </w:rPr>
            </w:pPr>
          </w:p>
        </w:tc>
      </w:tr>
      <w:tr w:rsidR="00584EC1" w14:paraId="74DDBE04" w14:textId="77777777">
        <w:tc>
          <w:tcPr>
            <w:tcW w:w="0" w:type="auto"/>
            <w:gridSpan w:val="3"/>
            <w:shd w:val="clear" w:color="auto" w:fill="FFFFFF"/>
            <w:tcMar>
              <w:top w:w="40" w:type="dxa"/>
              <w:left w:w="245" w:type="dxa"/>
              <w:bottom w:w="40" w:type="dxa"/>
              <w:right w:w="20" w:type="dxa"/>
            </w:tcMar>
            <w:vAlign w:val="bottom"/>
          </w:tcPr>
          <w:p w14:paraId="74DDBDFA" w14:textId="77777777" w:rsidR="00584EC1" w:rsidRDefault="00871F8D">
            <w:pPr>
              <w:textAlignment w:val="bottom"/>
            </w:pPr>
            <w:r>
              <w:rPr>
                <w:rFonts w:ascii="Arial" w:eastAsia="宋体" w:hAnsi="Arial" w:cs="Arial"/>
                <w:color w:val="000000"/>
                <w:sz w:val="15"/>
                <w:szCs w:val="15"/>
              </w:rPr>
              <w:t>Derivative instruments:</w:t>
            </w:r>
          </w:p>
        </w:tc>
        <w:tc>
          <w:tcPr>
            <w:tcW w:w="0" w:type="auto"/>
            <w:gridSpan w:val="3"/>
            <w:shd w:val="clear" w:color="auto" w:fill="FFFFFF"/>
            <w:tcMar>
              <w:top w:w="0" w:type="dxa"/>
              <w:left w:w="20" w:type="dxa"/>
              <w:bottom w:w="0" w:type="dxa"/>
              <w:right w:w="20" w:type="dxa"/>
            </w:tcMar>
            <w:vAlign w:val="bottom"/>
          </w:tcPr>
          <w:p w14:paraId="74DDBDFB"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DFC"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DFD"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DFE"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DFF"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E00"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E01"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E0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E03" w14:textId="77777777" w:rsidR="00584EC1" w:rsidRDefault="00584EC1">
            <w:pPr>
              <w:rPr>
                <w:rFonts w:ascii="宋体"/>
              </w:rPr>
            </w:pPr>
          </w:p>
        </w:tc>
      </w:tr>
      <w:tr w:rsidR="00584EC1" w14:paraId="74DDBE15" w14:textId="77777777">
        <w:tc>
          <w:tcPr>
            <w:tcW w:w="0" w:type="auto"/>
            <w:gridSpan w:val="3"/>
            <w:shd w:val="clear" w:color="auto" w:fill="CCEEFF"/>
            <w:tcMar>
              <w:top w:w="40" w:type="dxa"/>
              <w:left w:w="515" w:type="dxa"/>
              <w:bottom w:w="40" w:type="dxa"/>
              <w:right w:w="20" w:type="dxa"/>
            </w:tcMar>
            <w:vAlign w:val="bottom"/>
          </w:tcPr>
          <w:p w14:paraId="74DDBE05" w14:textId="77777777" w:rsidR="00584EC1" w:rsidRDefault="00871F8D">
            <w:pPr>
              <w:textAlignment w:val="bottom"/>
            </w:pPr>
            <w:r>
              <w:rPr>
                <w:rFonts w:ascii="Arial" w:eastAsia="宋体" w:hAnsi="Arial" w:cs="Arial"/>
                <w:color w:val="000000"/>
                <w:sz w:val="15"/>
                <w:szCs w:val="15"/>
              </w:rPr>
              <w:t>Foreign exchange contracts</w:t>
            </w:r>
          </w:p>
        </w:tc>
        <w:tc>
          <w:tcPr>
            <w:tcW w:w="0" w:type="auto"/>
            <w:gridSpan w:val="2"/>
            <w:shd w:val="clear" w:color="auto" w:fill="CCEEFF"/>
            <w:tcMar>
              <w:top w:w="40" w:type="dxa"/>
              <w:left w:w="20" w:type="dxa"/>
              <w:bottom w:w="40" w:type="dxa"/>
              <w:right w:w="0" w:type="dxa"/>
            </w:tcMar>
            <w:vAlign w:val="bottom"/>
          </w:tcPr>
          <w:p w14:paraId="74DDBE06"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BE0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E08"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E09" w14:textId="77777777" w:rsidR="00584EC1" w:rsidRDefault="00871F8D">
            <w:pPr>
              <w:jc w:val="right"/>
              <w:textAlignment w:val="bottom"/>
            </w:pPr>
            <w:r>
              <w:rPr>
                <w:rFonts w:ascii="Arial" w:eastAsia="宋体" w:hAnsi="Arial" w:cs="Arial"/>
                <w:color w:val="000000"/>
                <w:sz w:val="14"/>
                <w:szCs w:val="14"/>
              </w:rPr>
              <w:t>25,941 </w:t>
            </w:r>
          </w:p>
        </w:tc>
        <w:tc>
          <w:tcPr>
            <w:tcW w:w="0" w:type="auto"/>
            <w:shd w:val="clear" w:color="auto" w:fill="CCEEFF"/>
            <w:tcMar>
              <w:top w:w="40" w:type="dxa"/>
              <w:left w:w="0" w:type="dxa"/>
              <w:bottom w:w="40" w:type="dxa"/>
              <w:right w:w="20" w:type="dxa"/>
            </w:tcMar>
            <w:vAlign w:val="bottom"/>
          </w:tcPr>
          <w:p w14:paraId="74DDBE0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E0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E0C" w14:textId="77777777" w:rsidR="00584EC1" w:rsidRDefault="00871F8D">
            <w:pPr>
              <w:jc w:val="right"/>
              <w:textAlignment w:val="bottom"/>
            </w:pPr>
            <w:r>
              <w:rPr>
                <w:rFonts w:ascii="Arial" w:eastAsia="宋体" w:hAnsi="Arial" w:cs="Arial"/>
                <w:color w:val="000000"/>
                <w:sz w:val="14"/>
                <w:szCs w:val="14"/>
              </w:rPr>
              <w:t>2 </w:t>
            </w:r>
          </w:p>
        </w:tc>
        <w:tc>
          <w:tcPr>
            <w:tcW w:w="0" w:type="auto"/>
            <w:shd w:val="clear" w:color="auto" w:fill="CCEEFF"/>
            <w:tcMar>
              <w:top w:w="40" w:type="dxa"/>
              <w:left w:w="0" w:type="dxa"/>
              <w:bottom w:w="40" w:type="dxa"/>
              <w:right w:w="20" w:type="dxa"/>
            </w:tcMar>
            <w:vAlign w:val="bottom"/>
          </w:tcPr>
          <w:p w14:paraId="74DDBE0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E0E"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BE0F"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BE10" w14:textId="77777777" w:rsidR="00584EC1" w:rsidRDefault="00871F8D">
            <w:pPr>
              <w:jc w:val="right"/>
              <w:textAlignment w:val="bottom"/>
            </w:pPr>
            <w:r>
              <w:rPr>
                <w:rFonts w:ascii="Arial" w:eastAsia="宋体" w:hAnsi="Arial" w:cs="Arial"/>
                <w:color w:val="000000"/>
                <w:sz w:val="14"/>
                <w:szCs w:val="14"/>
              </w:rPr>
              <w:t>(20,140)</w:t>
            </w:r>
          </w:p>
        </w:tc>
        <w:tc>
          <w:tcPr>
            <w:tcW w:w="0" w:type="auto"/>
            <w:shd w:val="clear" w:color="auto" w:fill="CCEEFF"/>
            <w:tcMar>
              <w:top w:w="40" w:type="dxa"/>
              <w:left w:w="0" w:type="dxa"/>
              <w:bottom w:w="40" w:type="dxa"/>
              <w:right w:w="20" w:type="dxa"/>
            </w:tcMar>
            <w:vAlign w:val="bottom"/>
          </w:tcPr>
          <w:p w14:paraId="74DDBE1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E12"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E13" w14:textId="77777777" w:rsidR="00584EC1" w:rsidRDefault="00871F8D">
            <w:pPr>
              <w:jc w:val="right"/>
              <w:textAlignment w:val="bottom"/>
            </w:pPr>
            <w:r>
              <w:rPr>
                <w:rFonts w:ascii="Arial" w:eastAsia="宋体" w:hAnsi="Arial" w:cs="Arial"/>
                <w:color w:val="000000"/>
                <w:sz w:val="14"/>
                <w:szCs w:val="14"/>
              </w:rPr>
              <w:t>5,803 </w:t>
            </w:r>
          </w:p>
        </w:tc>
        <w:tc>
          <w:tcPr>
            <w:tcW w:w="0" w:type="auto"/>
            <w:shd w:val="clear" w:color="auto" w:fill="CCEEFF"/>
            <w:tcMar>
              <w:top w:w="40" w:type="dxa"/>
              <w:left w:w="0" w:type="dxa"/>
              <w:bottom w:w="40" w:type="dxa"/>
              <w:right w:w="20" w:type="dxa"/>
            </w:tcMar>
            <w:vAlign w:val="bottom"/>
          </w:tcPr>
          <w:p w14:paraId="74DDBE14" w14:textId="77777777" w:rsidR="00584EC1" w:rsidRDefault="00584EC1">
            <w:pPr>
              <w:jc w:val="right"/>
              <w:rPr>
                <w:rFonts w:ascii="宋体"/>
              </w:rPr>
            </w:pPr>
          </w:p>
        </w:tc>
      </w:tr>
      <w:tr w:rsidR="00584EC1" w14:paraId="74DDBE25" w14:textId="77777777">
        <w:tc>
          <w:tcPr>
            <w:tcW w:w="0" w:type="auto"/>
            <w:gridSpan w:val="3"/>
            <w:shd w:val="clear" w:color="auto" w:fill="FFFFFF"/>
            <w:tcMar>
              <w:top w:w="40" w:type="dxa"/>
              <w:left w:w="515" w:type="dxa"/>
              <w:bottom w:w="40" w:type="dxa"/>
              <w:right w:w="20" w:type="dxa"/>
            </w:tcMar>
            <w:vAlign w:val="bottom"/>
          </w:tcPr>
          <w:p w14:paraId="74DDBE16" w14:textId="77777777" w:rsidR="00584EC1" w:rsidRDefault="00871F8D">
            <w:pPr>
              <w:textAlignment w:val="bottom"/>
            </w:pPr>
            <w:r>
              <w:rPr>
                <w:rFonts w:ascii="Arial" w:eastAsia="宋体" w:hAnsi="Arial" w:cs="Arial"/>
                <w:color w:val="000000"/>
                <w:sz w:val="15"/>
                <w:szCs w:val="15"/>
              </w:rPr>
              <w:t>Interest rate contracts</w:t>
            </w:r>
          </w:p>
        </w:tc>
        <w:tc>
          <w:tcPr>
            <w:tcW w:w="0" w:type="auto"/>
            <w:gridSpan w:val="2"/>
            <w:shd w:val="clear" w:color="auto" w:fill="FFFFFF"/>
            <w:tcMar>
              <w:top w:w="40" w:type="dxa"/>
              <w:left w:w="20" w:type="dxa"/>
              <w:bottom w:w="40" w:type="dxa"/>
              <w:right w:w="0" w:type="dxa"/>
            </w:tcMar>
            <w:vAlign w:val="bottom"/>
          </w:tcPr>
          <w:p w14:paraId="74DDBE17" w14:textId="77777777" w:rsidR="00584EC1" w:rsidRDefault="00871F8D">
            <w:pPr>
              <w:jc w:val="right"/>
              <w:textAlignment w:val="bottom"/>
            </w:pPr>
            <w:r>
              <w:rPr>
                <w:rFonts w:ascii="Arial" w:eastAsia="宋体" w:hAnsi="Arial" w:cs="Arial"/>
                <w:color w:val="000000"/>
                <w:sz w:val="14"/>
                <w:szCs w:val="14"/>
              </w:rPr>
              <w:t>1 </w:t>
            </w:r>
          </w:p>
        </w:tc>
        <w:tc>
          <w:tcPr>
            <w:tcW w:w="0" w:type="auto"/>
            <w:shd w:val="clear" w:color="auto" w:fill="FFFFFF"/>
            <w:tcMar>
              <w:top w:w="40" w:type="dxa"/>
              <w:left w:w="0" w:type="dxa"/>
              <w:bottom w:w="40" w:type="dxa"/>
              <w:right w:w="20" w:type="dxa"/>
            </w:tcMar>
            <w:vAlign w:val="bottom"/>
          </w:tcPr>
          <w:p w14:paraId="74DDBE1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E1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E1A"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BE1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E1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E1D"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BE1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E1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E20"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BE2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E2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E23" w14:textId="77777777" w:rsidR="00584EC1" w:rsidRDefault="00871F8D">
            <w:pPr>
              <w:jc w:val="right"/>
              <w:textAlignment w:val="bottom"/>
            </w:pPr>
            <w:r>
              <w:rPr>
                <w:rFonts w:ascii="Arial" w:eastAsia="宋体" w:hAnsi="Arial" w:cs="Arial"/>
                <w:color w:val="000000"/>
                <w:sz w:val="14"/>
                <w:szCs w:val="14"/>
              </w:rPr>
              <w:t>1 </w:t>
            </w:r>
          </w:p>
        </w:tc>
        <w:tc>
          <w:tcPr>
            <w:tcW w:w="0" w:type="auto"/>
            <w:shd w:val="clear" w:color="auto" w:fill="FFFFFF"/>
            <w:tcMar>
              <w:top w:w="40" w:type="dxa"/>
              <w:left w:w="0" w:type="dxa"/>
              <w:bottom w:w="40" w:type="dxa"/>
              <w:right w:w="20" w:type="dxa"/>
            </w:tcMar>
            <w:vAlign w:val="bottom"/>
          </w:tcPr>
          <w:p w14:paraId="74DDBE24" w14:textId="77777777" w:rsidR="00584EC1" w:rsidRDefault="00584EC1">
            <w:pPr>
              <w:jc w:val="right"/>
              <w:rPr>
                <w:rFonts w:ascii="宋体"/>
              </w:rPr>
            </w:pPr>
          </w:p>
        </w:tc>
      </w:tr>
      <w:tr w:rsidR="00584EC1" w14:paraId="74DDBE30" w14:textId="77777777">
        <w:trPr>
          <w:hidden/>
        </w:trPr>
        <w:tc>
          <w:tcPr>
            <w:tcW w:w="0" w:type="auto"/>
            <w:gridSpan w:val="3"/>
            <w:shd w:val="clear" w:color="auto" w:fill="auto"/>
            <w:vAlign w:val="bottom"/>
          </w:tcPr>
          <w:p w14:paraId="74DDBE26" w14:textId="77777777" w:rsidR="00584EC1" w:rsidRDefault="00584EC1">
            <w:pPr>
              <w:rPr>
                <w:rFonts w:ascii="宋体"/>
                <w:vanish/>
              </w:rPr>
            </w:pPr>
          </w:p>
        </w:tc>
        <w:tc>
          <w:tcPr>
            <w:tcW w:w="0" w:type="auto"/>
            <w:gridSpan w:val="3"/>
            <w:shd w:val="clear" w:color="auto" w:fill="auto"/>
            <w:vAlign w:val="bottom"/>
          </w:tcPr>
          <w:p w14:paraId="74DDBE27" w14:textId="77777777" w:rsidR="00584EC1" w:rsidRDefault="00584EC1">
            <w:pPr>
              <w:rPr>
                <w:rFonts w:ascii="宋体"/>
                <w:vanish/>
              </w:rPr>
            </w:pPr>
          </w:p>
        </w:tc>
        <w:tc>
          <w:tcPr>
            <w:tcW w:w="0" w:type="auto"/>
            <w:gridSpan w:val="3"/>
            <w:shd w:val="clear" w:color="auto" w:fill="auto"/>
            <w:vAlign w:val="bottom"/>
          </w:tcPr>
          <w:p w14:paraId="74DDBE28" w14:textId="77777777" w:rsidR="00584EC1" w:rsidRDefault="00584EC1">
            <w:pPr>
              <w:rPr>
                <w:rFonts w:ascii="宋体"/>
                <w:vanish/>
              </w:rPr>
            </w:pPr>
          </w:p>
        </w:tc>
        <w:tc>
          <w:tcPr>
            <w:tcW w:w="0" w:type="auto"/>
            <w:gridSpan w:val="3"/>
            <w:shd w:val="clear" w:color="auto" w:fill="auto"/>
            <w:vAlign w:val="bottom"/>
          </w:tcPr>
          <w:p w14:paraId="74DDBE29" w14:textId="77777777" w:rsidR="00584EC1" w:rsidRDefault="00584EC1">
            <w:pPr>
              <w:rPr>
                <w:rFonts w:ascii="宋体"/>
                <w:vanish/>
              </w:rPr>
            </w:pPr>
          </w:p>
        </w:tc>
        <w:tc>
          <w:tcPr>
            <w:tcW w:w="0" w:type="auto"/>
            <w:gridSpan w:val="3"/>
            <w:shd w:val="clear" w:color="auto" w:fill="auto"/>
            <w:vAlign w:val="bottom"/>
          </w:tcPr>
          <w:p w14:paraId="74DDBE2A" w14:textId="77777777" w:rsidR="00584EC1" w:rsidRDefault="00584EC1">
            <w:pPr>
              <w:rPr>
                <w:rFonts w:ascii="宋体"/>
                <w:vanish/>
              </w:rPr>
            </w:pPr>
          </w:p>
        </w:tc>
        <w:tc>
          <w:tcPr>
            <w:tcW w:w="0" w:type="auto"/>
            <w:gridSpan w:val="3"/>
            <w:shd w:val="clear" w:color="auto" w:fill="auto"/>
            <w:vAlign w:val="bottom"/>
          </w:tcPr>
          <w:p w14:paraId="74DDBE2B" w14:textId="77777777" w:rsidR="00584EC1" w:rsidRDefault="00584EC1">
            <w:pPr>
              <w:rPr>
                <w:rFonts w:ascii="宋体"/>
                <w:vanish/>
              </w:rPr>
            </w:pPr>
          </w:p>
        </w:tc>
        <w:tc>
          <w:tcPr>
            <w:tcW w:w="0" w:type="auto"/>
            <w:gridSpan w:val="3"/>
            <w:shd w:val="clear" w:color="auto" w:fill="auto"/>
            <w:vAlign w:val="bottom"/>
          </w:tcPr>
          <w:p w14:paraId="74DDBE2C" w14:textId="77777777" w:rsidR="00584EC1" w:rsidRDefault="00584EC1">
            <w:pPr>
              <w:rPr>
                <w:rFonts w:ascii="宋体"/>
                <w:vanish/>
              </w:rPr>
            </w:pPr>
          </w:p>
        </w:tc>
        <w:tc>
          <w:tcPr>
            <w:tcW w:w="0" w:type="auto"/>
            <w:gridSpan w:val="3"/>
            <w:shd w:val="clear" w:color="auto" w:fill="auto"/>
            <w:vAlign w:val="bottom"/>
          </w:tcPr>
          <w:p w14:paraId="74DDBE2D" w14:textId="77777777" w:rsidR="00584EC1" w:rsidRDefault="00584EC1">
            <w:pPr>
              <w:rPr>
                <w:rFonts w:ascii="宋体"/>
                <w:vanish/>
              </w:rPr>
            </w:pPr>
          </w:p>
        </w:tc>
        <w:tc>
          <w:tcPr>
            <w:tcW w:w="0" w:type="auto"/>
            <w:gridSpan w:val="3"/>
            <w:shd w:val="clear" w:color="auto" w:fill="auto"/>
            <w:vAlign w:val="bottom"/>
          </w:tcPr>
          <w:p w14:paraId="74DDBE2E" w14:textId="77777777" w:rsidR="00584EC1" w:rsidRDefault="00584EC1">
            <w:pPr>
              <w:rPr>
                <w:rFonts w:ascii="宋体"/>
                <w:vanish/>
              </w:rPr>
            </w:pPr>
          </w:p>
        </w:tc>
        <w:tc>
          <w:tcPr>
            <w:tcW w:w="0" w:type="auto"/>
            <w:gridSpan w:val="3"/>
            <w:shd w:val="clear" w:color="auto" w:fill="auto"/>
            <w:vAlign w:val="bottom"/>
          </w:tcPr>
          <w:p w14:paraId="74DDBE2F" w14:textId="77777777" w:rsidR="00584EC1" w:rsidRDefault="00584EC1">
            <w:pPr>
              <w:rPr>
                <w:rFonts w:ascii="宋体"/>
                <w:vanish/>
              </w:rPr>
            </w:pPr>
          </w:p>
        </w:tc>
      </w:tr>
      <w:tr w:rsidR="00584EC1" w14:paraId="74DDBE40" w14:textId="77777777">
        <w:tc>
          <w:tcPr>
            <w:tcW w:w="0" w:type="auto"/>
            <w:gridSpan w:val="3"/>
            <w:shd w:val="clear" w:color="auto" w:fill="CCEEFF"/>
            <w:tcMar>
              <w:top w:w="40" w:type="dxa"/>
              <w:left w:w="740" w:type="dxa"/>
              <w:bottom w:w="40" w:type="dxa"/>
              <w:right w:w="20" w:type="dxa"/>
            </w:tcMar>
            <w:vAlign w:val="bottom"/>
          </w:tcPr>
          <w:p w14:paraId="74DDBE31" w14:textId="77777777" w:rsidR="00584EC1" w:rsidRDefault="00871F8D">
            <w:pPr>
              <w:textAlignment w:val="bottom"/>
            </w:pPr>
            <w:r>
              <w:rPr>
                <w:rFonts w:ascii="Arial" w:eastAsia="宋体" w:hAnsi="Arial" w:cs="Arial"/>
                <w:color w:val="000000"/>
                <w:sz w:val="15"/>
                <w:szCs w:val="15"/>
              </w:rPr>
              <w:t>Total derivative instruments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BE32" w14:textId="77777777" w:rsidR="00584EC1" w:rsidRDefault="00871F8D">
            <w:pPr>
              <w:jc w:val="right"/>
              <w:textAlignment w:val="bottom"/>
            </w:pPr>
            <w:r>
              <w:rPr>
                <w:rFonts w:ascii="Arial" w:eastAsia="宋体" w:hAnsi="Arial" w:cs="Arial"/>
                <w:color w:val="000000"/>
                <w:sz w:val="14"/>
                <w:szCs w:val="14"/>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BE3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E34"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BE35" w14:textId="77777777" w:rsidR="00584EC1" w:rsidRDefault="00871F8D">
            <w:pPr>
              <w:jc w:val="right"/>
              <w:textAlignment w:val="bottom"/>
            </w:pPr>
            <w:r>
              <w:rPr>
                <w:rFonts w:ascii="Arial" w:eastAsia="宋体" w:hAnsi="Arial" w:cs="Arial"/>
                <w:color w:val="000000"/>
                <w:sz w:val="14"/>
                <w:szCs w:val="14"/>
              </w:rPr>
              <w:t>25,941 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BE3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E37"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BE38" w14:textId="77777777" w:rsidR="00584EC1" w:rsidRDefault="00871F8D">
            <w:pPr>
              <w:jc w:val="right"/>
              <w:textAlignment w:val="bottom"/>
            </w:pPr>
            <w:r>
              <w:rPr>
                <w:rFonts w:ascii="Arial" w:eastAsia="宋体" w:hAnsi="Arial" w:cs="Arial"/>
                <w:color w:val="000000"/>
                <w:sz w:val="14"/>
                <w:szCs w:val="14"/>
              </w:rPr>
              <w:t>2 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BE3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E3A"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BE3B" w14:textId="77777777" w:rsidR="00584EC1" w:rsidRDefault="00871F8D">
            <w:pPr>
              <w:jc w:val="right"/>
              <w:textAlignment w:val="bottom"/>
            </w:pPr>
            <w:r>
              <w:rPr>
                <w:rFonts w:ascii="Arial" w:eastAsia="宋体" w:hAnsi="Arial" w:cs="Arial"/>
                <w:color w:val="000000"/>
                <w:sz w:val="14"/>
                <w:szCs w:val="14"/>
              </w:rPr>
              <w:t>(20,140)</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BE3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E3D"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BE3E" w14:textId="77777777" w:rsidR="00584EC1" w:rsidRDefault="00871F8D">
            <w:pPr>
              <w:jc w:val="right"/>
              <w:textAlignment w:val="bottom"/>
            </w:pPr>
            <w:r>
              <w:rPr>
                <w:rFonts w:ascii="Arial" w:eastAsia="宋体" w:hAnsi="Arial" w:cs="Arial"/>
                <w:color w:val="000000"/>
                <w:sz w:val="14"/>
                <w:szCs w:val="14"/>
              </w:rPr>
              <w:t>5,804 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BE3F" w14:textId="77777777" w:rsidR="00584EC1" w:rsidRDefault="00584EC1">
            <w:pPr>
              <w:jc w:val="right"/>
              <w:rPr>
                <w:rFonts w:ascii="宋体"/>
              </w:rPr>
            </w:pPr>
          </w:p>
        </w:tc>
      </w:tr>
      <w:tr w:rsidR="00584EC1" w14:paraId="74DDBE50" w14:textId="77777777">
        <w:tc>
          <w:tcPr>
            <w:tcW w:w="0" w:type="auto"/>
            <w:gridSpan w:val="3"/>
            <w:shd w:val="clear" w:color="auto" w:fill="FFFFFF"/>
            <w:tcMar>
              <w:top w:w="40" w:type="dxa"/>
              <w:left w:w="245" w:type="dxa"/>
              <w:bottom w:w="40" w:type="dxa"/>
              <w:right w:w="20" w:type="dxa"/>
            </w:tcMar>
            <w:vAlign w:val="bottom"/>
          </w:tcPr>
          <w:p w14:paraId="74DDBE41" w14:textId="77777777" w:rsidR="00584EC1" w:rsidRDefault="00871F8D">
            <w:pPr>
              <w:textAlignment w:val="bottom"/>
            </w:pPr>
            <w:r>
              <w:rPr>
                <w:rFonts w:ascii="Arial" w:eastAsia="宋体" w:hAnsi="Arial" w:cs="Arial"/>
                <w:color w:val="000000"/>
                <w:sz w:val="15"/>
                <w:szCs w:val="15"/>
              </w:rPr>
              <w:t>Other</w:t>
            </w:r>
          </w:p>
        </w:tc>
        <w:tc>
          <w:tcPr>
            <w:tcW w:w="0" w:type="auto"/>
            <w:gridSpan w:val="2"/>
            <w:shd w:val="clear" w:color="auto" w:fill="FFFFFF"/>
            <w:tcMar>
              <w:top w:w="40" w:type="dxa"/>
              <w:left w:w="20" w:type="dxa"/>
              <w:bottom w:w="40" w:type="dxa"/>
              <w:right w:w="0" w:type="dxa"/>
            </w:tcMar>
            <w:vAlign w:val="bottom"/>
          </w:tcPr>
          <w:p w14:paraId="74DDBE42"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BE4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E4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E45" w14:textId="77777777" w:rsidR="00584EC1" w:rsidRDefault="00871F8D">
            <w:pPr>
              <w:jc w:val="right"/>
              <w:textAlignment w:val="bottom"/>
            </w:pPr>
            <w:r>
              <w:rPr>
                <w:rFonts w:ascii="Arial" w:eastAsia="宋体" w:hAnsi="Arial" w:cs="Arial"/>
                <w:color w:val="000000"/>
                <w:sz w:val="14"/>
                <w:szCs w:val="14"/>
              </w:rPr>
              <w:t>525 </w:t>
            </w:r>
          </w:p>
        </w:tc>
        <w:tc>
          <w:tcPr>
            <w:tcW w:w="0" w:type="auto"/>
            <w:shd w:val="clear" w:color="auto" w:fill="FFFFFF"/>
            <w:tcMar>
              <w:top w:w="40" w:type="dxa"/>
              <w:left w:w="0" w:type="dxa"/>
              <w:bottom w:w="40" w:type="dxa"/>
              <w:right w:w="20" w:type="dxa"/>
            </w:tcMar>
            <w:vAlign w:val="bottom"/>
          </w:tcPr>
          <w:p w14:paraId="74DDBE4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E4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E48"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BE4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E4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E4B"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BE4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E4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E4E" w14:textId="77777777" w:rsidR="00584EC1" w:rsidRDefault="00871F8D">
            <w:pPr>
              <w:jc w:val="right"/>
              <w:textAlignment w:val="bottom"/>
            </w:pPr>
            <w:r>
              <w:rPr>
                <w:rFonts w:ascii="Arial" w:eastAsia="宋体" w:hAnsi="Arial" w:cs="Arial"/>
                <w:color w:val="000000"/>
                <w:sz w:val="14"/>
                <w:szCs w:val="14"/>
              </w:rPr>
              <w:t>525 </w:t>
            </w:r>
          </w:p>
        </w:tc>
        <w:tc>
          <w:tcPr>
            <w:tcW w:w="0" w:type="auto"/>
            <w:shd w:val="clear" w:color="auto" w:fill="FFFFFF"/>
            <w:tcMar>
              <w:top w:w="40" w:type="dxa"/>
              <w:left w:w="0" w:type="dxa"/>
              <w:bottom w:w="40" w:type="dxa"/>
              <w:right w:w="20" w:type="dxa"/>
            </w:tcMar>
            <w:vAlign w:val="bottom"/>
          </w:tcPr>
          <w:p w14:paraId="74DDBE4F" w14:textId="77777777" w:rsidR="00584EC1" w:rsidRDefault="00584EC1">
            <w:pPr>
              <w:jc w:val="right"/>
              <w:rPr>
                <w:rFonts w:ascii="宋体"/>
              </w:rPr>
            </w:pPr>
          </w:p>
        </w:tc>
      </w:tr>
      <w:tr w:rsidR="00584EC1" w14:paraId="74DDBE65" w14:textId="77777777">
        <w:tc>
          <w:tcPr>
            <w:tcW w:w="0" w:type="auto"/>
            <w:gridSpan w:val="3"/>
            <w:shd w:val="clear" w:color="auto" w:fill="CCEEFF"/>
            <w:tcMar>
              <w:top w:w="40" w:type="dxa"/>
              <w:left w:w="245" w:type="dxa"/>
              <w:bottom w:w="40" w:type="dxa"/>
              <w:right w:w="20" w:type="dxa"/>
            </w:tcMar>
            <w:vAlign w:val="bottom"/>
          </w:tcPr>
          <w:p w14:paraId="74DDBE51" w14:textId="77777777" w:rsidR="00584EC1" w:rsidRDefault="00871F8D">
            <w:pPr>
              <w:textAlignment w:val="bottom"/>
            </w:pPr>
            <w:r>
              <w:rPr>
                <w:rFonts w:ascii="Arial" w:eastAsia="宋体" w:hAnsi="Arial" w:cs="Arial"/>
                <w:color w:val="000000"/>
                <w:sz w:val="15"/>
                <w:szCs w:val="15"/>
              </w:rPr>
              <w:t>Total assets carried at fair value</w:t>
            </w:r>
          </w:p>
        </w:tc>
        <w:tc>
          <w:tcPr>
            <w:tcW w:w="0" w:type="auto"/>
            <w:tcBorders>
              <w:top w:val="single" w:sz="8" w:space="0" w:color="000000"/>
            </w:tcBorders>
            <w:shd w:val="clear" w:color="auto" w:fill="CCEEFF"/>
            <w:tcMar>
              <w:top w:w="40" w:type="dxa"/>
              <w:left w:w="20" w:type="dxa"/>
              <w:bottom w:w="40" w:type="dxa"/>
              <w:right w:w="0" w:type="dxa"/>
            </w:tcMar>
            <w:vAlign w:val="bottom"/>
          </w:tcPr>
          <w:p w14:paraId="74DDBE52"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BE53" w14:textId="77777777" w:rsidR="00584EC1" w:rsidRDefault="00871F8D">
            <w:pPr>
              <w:jc w:val="right"/>
              <w:textAlignment w:val="bottom"/>
            </w:pPr>
            <w:r>
              <w:rPr>
                <w:rFonts w:ascii="Arial" w:eastAsia="宋体" w:hAnsi="Arial" w:cs="Arial"/>
                <w:color w:val="000000"/>
                <w:sz w:val="14"/>
                <w:szCs w:val="14"/>
              </w:rPr>
              <w:t>6,633 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BE5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E55"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BE56"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BE57" w14:textId="77777777" w:rsidR="00584EC1" w:rsidRDefault="00871F8D">
            <w:pPr>
              <w:jc w:val="right"/>
              <w:textAlignment w:val="bottom"/>
            </w:pPr>
            <w:r>
              <w:rPr>
                <w:rFonts w:ascii="Arial" w:eastAsia="宋体" w:hAnsi="Arial" w:cs="Arial"/>
                <w:color w:val="000000"/>
                <w:sz w:val="14"/>
                <w:szCs w:val="14"/>
              </w:rPr>
              <w:t>79,683 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BE5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E59"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BE5A"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BE5B" w14:textId="77777777" w:rsidR="00584EC1" w:rsidRDefault="00871F8D">
            <w:pPr>
              <w:jc w:val="right"/>
              <w:textAlignment w:val="bottom"/>
            </w:pPr>
            <w:r>
              <w:rPr>
                <w:rFonts w:ascii="Arial" w:eastAsia="宋体" w:hAnsi="Arial" w:cs="Arial"/>
                <w:color w:val="000000"/>
                <w:sz w:val="14"/>
                <w:szCs w:val="14"/>
              </w:rPr>
              <w:t>16 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BE5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E5D"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BE5E"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BE5F" w14:textId="77777777" w:rsidR="00584EC1" w:rsidRDefault="00871F8D">
            <w:pPr>
              <w:jc w:val="right"/>
              <w:textAlignment w:val="bottom"/>
            </w:pPr>
            <w:r>
              <w:rPr>
                <w:rFonts w:ascii="Arial" w:eastAsia="宋体" w:hAnsi="Arial" w:cs="Arial"/>
                <w:color w:val="000000"/>
                <w:sz w:val="14"/>
                <w:szCs w:val="14"/>
              </w:rPr>
              <w:t>(20,140)</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BE6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E61"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BE62"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BE63" w14:textId="77777777" w:rsidR="00584EC1" w:rsidRDefault="00871F8D">
            <w:pPr>
              <w:jc w:val="right"/>
              <w:textAlignment w:val="bottom"/>
            </w:pPr>
            <w:r>
              <w:rPr>
                <w:rFonts w:ascii="Arial" w:eastAsia="宋体" w:hAnsi="Arial" w:cs="Arial"/>
                <w:color w:val="000000"/>
                <w:sz w:val="14"/>
                <w:szCs w:val="14"/>
              </w:rPr>
              <w:t>66,192 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BE64" w14:textId="77777777" w:rsidR="00584EC1" w:rsidRDefault="00584EC1">
            <w:pPr>
              <w:jc w:val="right"/>
              <w:rPr>
                <w:rFonts w:ascii="宋体"/>
              </w:rPr>
            </w:pPr>
          </w:p>
        </w:tc>
      </w:tr>
      <w:tr w:rsidR="00584EC1" w14:paraId="74DDBE70" w14:textId="77777777">
        <w:tc>
          <w:tcPr>
            <w:tcW w:w="0" w:type="auto"/>
            <w:gridSpan w:val="3"/>
            <w:shd w:val="clear" w:color="auto" w:fill="FFFFFF"/>
            <w:tcMar>
              <w:top w:w="40" w:type="dxa"/>
              <w:left w:w="20" w:type="dxa"/>
              <w:bottom w:w="40" w:type="dxa"/>
              <w:right w:w="20" w:type="dxa"/>
            </w:tcMar>
            <w:vAlign w:val="bottom"/>
          </w:tcPr>
          <w:p w14:paraId="74DDBE66" w14:textId="77777777" w:rsidR="00584EC1" w:rsidRDefault="00871F8D">
            <w:pPr>
              <w:textAlignment w:val="bottom"/>
            </w:pPr>
            <w:r>
              <w:rPr>
                <w:rFonts w:ascii="Arial" w:eastAsia="宋体" w:hAnsi="Arial" w:cs="Arial"/>
                <w:b/>
                <w:bCs/>
                <w:color w:val="000000"/>
                <w:sz w:val="15"/>
                <w:szCs w:val="15"/>
              </w:rPr>
              <w:t>Liabilities:</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BE67"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E68"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BE69"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E6A"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BE6B"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E6C"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BE6D"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E6E"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BE6F" w14:textId="77777777" w:rsidR="00584EC1" w:rsidRDefault="00584EC1">
            <w:pPr>
              <w:rPr>
                <w:rFonts w:ascii="宋体"/>
              </w:rPr>
            </w:pPr>
          </w:p>
        </w:tc>
      </w:tr>
      <w:tr w:rsidR="00584EC1" w14:paraId="74DDBE7B" w14:textId="77777777">
        <w:tc>
          <w:tcPr>
            <w:tcW w:w="0" w:type="auto"/>
            <w:gridSpan w:val="3"/>
            <w:shd w:val="clear" w:color="auto" w:fill="CCEEFF"/>
            <w:tcMar>
              <w:top w:w="40" w:type="dxa"/>
              <w:left w:w="20" w:type="dxa"/>
              <w:bottom w:w="40" w:type="dxa"/>
              <w:right w:w="20" w:type="dxa"/>
            </w:tcMar>
            <w:vAlign w:val="bottom"/>
          </w:tcPr>
          <w:p w14:paraId="74DDBE71" w14:textId="77777777" w:rsidR="00584EC1" w:rsidRDefault="00871F8D">
            <w:pPr>
              <w:textAlignment w:val="bottom"/>
            </w:pPr>
            <w:r>
              <w:rPr>
                <w:rFonts w:ascii="Arial" w:eastAsia="宋体" w:hAnsi="Arial" w:cs="Arial"/>
                <w:color w:val="000000"/>
                <w:sz w:val="15"/>
                <w:szCs w:val="15"/>
              </w:rPr>
              <w:t>Accrued expenses and other liabilities:</w:t>
            </w:r>
          </w:p>
        </w:tc>
        <w:tc>
          <w:tcPr>
            <w:tcW w:w="0" w:type="auto"/>
            <w:gridSpan w:val="3"/>
            <w:shd w:val="clear" w:color="auto" w:fill="CCEEFF"/>
            <w:tcMar>
              <w:top w:w="0" w:type="dxa"/>
              <w:left w:w="20" w:type="dxa"/>
              <w:bottom w:w="0" w:type="dxa"/>
              <w:right w:w="20" w:type="dxa"/>
            </w:tcMar>
            <w:vAlign w:val="bottom"/>
          </w:tcPr>
          <w:p w14:paraId="74DDBE72"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E73"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E74"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E75"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E76"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E77"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E78"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E79"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BE7A" w14:textId="77777777" w:rsidR="00584EC1" w:rsidRDefault="00584EC1">
            <w:pPr>
              <w:rPr>
                <w:rFonts w:ascii="宋体"/>
              </w:rPr>
            </w:pPr>
          </w:p>
        </w:tc>
      </w:tr>
      <w:tr w:rsidR="00584EC1" w14:paraId="74DDBE86" w14:textId="77777777">
        <w:tc>
          <w:tcPr>
            <w:tcW w:w="0" w:type="auto"/>
            <w:gridSpan w:val="3"/>
            <w:shd w:val="clear" w:color="auto" w:fill="FFFFFF"/>
            <w:tcMar>
              <w:top w:w="40" w:type="dxa"/>
              <w:left w:w="245" w:type="dxa"/>
              <w:bottom w:w="40" w:type="dxa"/>
              <w:right w:w="20" w:type="dxa"/>
            </w:tcMar>
            <w:vAlign w:val="bottom"/>
          </w:tcPr>
          <w:p w14:paraId="74DDBE7C" w14:textId="77777777" w:rsidR="00584EC1" w:rsidRDefault="00871F8D">
            <w:pPr>
              <w:textAlignment w:val="bottom"/>
            </w:pPr>
            <w:r>
              <w:rPr>
                <w:rFonts w:ascii="Arial" w:eastAsia="宋体" w:hAnsi="Arial" w:cs="Arial"/>
                <w:color w:val="000000"/>
                <w:sz w:val="15"/>
                <w:szCs w:val="15"/>
              </w:rPr>
              <w:t>Trading account liabilities:</w:t>
            </w:r>
          </w:p>
        </w:tc>
        <w:tc>
          <w:tcPr>
            <w:tcW w:w="0" w:type="auto"/>
            <w:gridSpan w:val="3"/>
            <w:shd w:val="clear" w:color="auto" w:fill="FFFFFF"/>
            <w:tcMar>
              <w:top w:w="0" w:type="dxa"/>
              <w:left w:w="20" w:type="dxa"/>
              <w:bottom w:w="0" w:type="dxa"/>
              <w:right w:w="20" w:type="dxa"/>
            </w:tcMar>
            <w:vAlign w:val="bottom"/>
          </w:tcPr>
          <w:p w14:paraId="74DDBE7D"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E7E"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E7F"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E80"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E81"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E8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E83"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E84"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E85" w14:textId="77777777" w:rsidR="00584EC1" w:rsidRDefault="00584EC1">
            <w:pPr>
              <w:rPr>
                <w:rFonts w:ascii="宋体"/>
              </w:rPr>
            </w:pPr>
          </w:p>
        </w:tc>
      </w:tr>
      <w:tr w:rsidR="00584EC1" w14:paraId="74DDBE91" w14:textId="77777777">
        <w:trPr>
          <w:hidden/>
        </w:trPr>
        <w:tc>
          <w:tcPr>
            <w:tcW w:w="0" w:type="auto"/>
            <w:gridSpan w:val="3"/>
            <w:shd w:val="clear" w:color="auto" w:fill="auto"/>
            <w:vAlign w:val="bottom"/>
          </w:tcPr>
          <w:p w14:paraId="74DDBE87" w14:textId="77777777" w:rsidR="00584EC1" w:rsidRDefault="00584EC1">
            <w:pPr>
              <w:rPr>
                <w:rFonts w:ascii="宋体"/>
                <w:vanish/>
              </w:rPr>
            </w:pPr>
          </w:p>
        </w:tc>
        <w:tc>
          <w:tcPr>
            <w:tcW w:w="0" w:type="auto"/>
            <w:gridSpan w:val="3"/>
            <w:shd w:val="clear" w:color="auto" w:fill="auto"/>
            <w:vAlign w:val="bottom"/>
          </w:tcPr>
          <w:p w14:paraId="74DDBE88" w14:textId="77777777" w:rsidR="00584EC1" w:rsidRDefault="00584EC1">
            <w:pPr>
              <w:rPr>
                <w:rFonts w:ascii="宋体"/>
                <w:vanish/>
              </w:rPr>
            </w:pPr>
          </w:p>
        </w:tc>
        <w:tc>
          <w:tcPr>
            <w:tcW w:w="0" w:type="auto"/>
            <w:gridSpan w:val="3"/>
            <w:shd w:val="clear" w:color="auto" w:fill="auto"/>
            <w:vAlign w:val="bottom"/>
          </w:tcPr>
          <w:p w14:paraId="74DDBE89" w14:textId="77777777" w:rsidR="00584EC1" w:rsidRDefault="00584EC1">
            <w:pPr>
              <w:rPr>
                <w:rFonts w:ascii="宋体"/>
                <w:vanish/>
              </w:rPr>
            </w:pPr>
          </w:p>
        </w:tc>
        <w:tc>
          <w:tcPr>
            <w:tcW w:w="0" w:type="auto"/>
            <w:gridSpan w:val="3"/>
            <w:shd w:val="clear" w:color="auto" w:fill="auto"/>
            <w:vAlign w:val="bottom"/>
          </w:tcPr>
          <w:p w14:paraId="74DDBE8A" w14:textId="77777777" w:rsidR="00584EC1" w:rsidRDefault="00584EC1">
            <w:pPr>
              <w:rPr>
                <w:rFonts w:ascii="宋体"/>
                <w:vanish/>
              </w:rPr>
            </w:pPr>
          </w:p>
        </w:tc>
        <w:tc>
          <w:tcPr>
            <w:tcW w:w="0" w:type="auto"/>
            <w:gridSpan w:val="3"/>
            <w:shd w:val="clear" w:color="auto" w:fill="auto"/>
            <w:vAlign w:val="bottom"/>
          </w:tcPr>
          <w:p w14:paraId="74DDBE8B" w14:textId="77777777" w:rsidR="00584EC1" w:rsidRDefault="00584EC1">
            <w:pPr>
              <w:rPr>
                <w:rFonts w:ascii="宋体"/>
                <w:vanish/>
              </w:rPr>
            </w:pPr>
          </w:p>
        </w:tc>
        <w:tc>
          <w:tcPr>
            <w:tcW w:w="0" w:type="auto"/>
            <w:gridSpan w:val="3"/>
            <w:shd w:val="clear" w:color="auto" w:fill="auto"/>
            <w:vAlign w:val="bottom"/>
          </w:tcPr>
          <w:p w14:paraId="74DDBE8C" w14:textId="77777777" w:rsidR="00584EC1" w:rsidRDefault="00584EC1">
            <w:pPr>
              <w:rPr>
                <w:rFonts w:ascii="宋体"/>
                <w:vanish/>
              </w:rPr>
            </w:pPr>
          </w:p>
        </w:tc>
        <w:tc>
          <w:tcPr>
            <w:tcW w:w="0" w:type="auto"/>
            <w:gridSpan w:val="3"/>
            <w:shd w:val="clear" w:color="auto" w:fill="auto"/>
            <w:vAlign w:val="bottom"/>
          </w:tcPr>
          <w:p w14:paraId="74DDBE8D" w14:textId="77777777" w:rsidR="00584EC1" w:rsidRDefault="00584EC1">
            <w:pPr>
              <w:rPr>
                <w:rFonts w:ascii="宋体"/>
                <w:vanish/>
              </w:rPr>
            </w:pPr>
          </w:p>
        </w:tc>
        <w:tc>
          <w:tcPr>
            <w:tcW w:w="0" w:type="auto"/>
            <w:gridSpan w:val="3"/>
            <w:shd w:val="clear" w:color="auto" w:fill="auto"/>
            <w:vAlign w:val="bottom"/>
          </w:tcPr>
          <w:p w14:paraId="74DDBE8E" w14:textId="77777777" w:rsidR="00584EC1" w:rsidRDefault="00584EC1">
            <w:pPr>
              <w:rPr>
                <w:rFonts w:ascii="宋体"/>
                <w:vanish/>
              </w:rPr>
            </w:pPr>
          </w:p>
        </w:tc>
        <w:tc>
          <w:tcPr>
            <w:tcW w:w="0" w:type="auto"/>
            <w:gridSpan w:val="3"/>
            <w:shd w:val="clear" w:color="auto" w:fill="auto"/>
            <w:vAlign w:val="bottom"/>
          </w:tcPr>
          <w:p w14:paraId="74DDBE8F" w14:textId="77777777" w:rsidR="00584EC1" w:rsidRDefault="00584EC1">
            <w:pPr>
              <w:rPr>
                <w:rFonts w:ascii="宋体"/>
                <w:vanish/>
              </w:rPr>
            </w:pPr>
          </w:p>
        </w:tc>
        <w:tc>
          <w:tcPr>
            <w:tcW w:w="0" w:type="auto"/>
            <w:gridSpan w:val="3"/>
            <w:shd w:val="clear" w:color="auto" w:fill="auto"/>
            <w:vAlign w:val="bottom"/>
          </w:tcPr>
          <w:p w14:paraId="74DDBE90" w14:textId="77777777" w:rsidR="00584EC1" w:rsidRDefault="00584EC1">
            <w:pPr>
              <w:rPr>
                <w:rFonts w:ascii="宋体"/>
                <w:vanish/>
              </w:rPr>
            </w:pPr>
          </w:p>
        </w:tc>
      </w:tr>
      <w:tr w:rsidR="00584EC1" w14:paraId="74DDBE9C" w14:textId="77777777">
        <w:trPr>
          <w:hidden/>
        </w:trPr>
        <w:tc>
          <w:tcPr>
            <w:tcW w:w="0" w:type="auto"/>
            <w:gridSpan w:val="3"/>
            <w:shd w:val="clear" w:color="auto" w:fill="auto"/>
            <w:vAlign w:val="bottom"/>
          </w:tcPr>
          <w:p w14:paraId="74DDBE92" w14:textId="77777777" w:rsidR="00584EC1" w:rsidRDefault="00584EC1">
            <w:pPr>
              <w:rPr>
                <w:rFonts w:ascii="宋体"/>
                <w:vanish/>
              </w:rPr>
            </w:pPr>
          </w:p>
        </w:tc>
        <w:tc>
          <w:tcPr>
            <w:tcW w:w="0" w:type="auto"/>
            <w:gridSpan w:val="3"/>
            <w:shd w:val="clear" w:color="auto" w:fill="auto"/>
            <w:vAlign w:val="bottom"/>
          </w:tcPr>
          <w:p w14:paraId="74DDBE93" w14:textId="77777777" w:rsidR="00584EC1" w:rsidRDefault="00584EC1">
            <w:pPr>
              <w:rPr>
                <w:rFonts w:ascii="宋体"/>
                <w:vanish/>
              </w:rPr>
            </w:pPr>
          </w:p>
        </w:tc>
        <w:tc>
          <w:tcPr>
            <w:tcW w:w="0" w:type="auto"/>
            <w:gridSpan w:val="3"/>
            <w:shd w:val="clear" w:color="auto" w:fill="auto"/>
            <w:vAlign w:val="bottom"/>
          </w:tcPr>
          <w:p w14:paraId="74DDBE94" w14:textId="77777777" w:rsidR="00584EC1" w:rsidRDefault="00584EC1">
            <w:pPr>
              <w:rPr>
                <w:rFonts w:ascii="宋体"/>
                <w:vanish/>
              </w:rPr>
            </w:pPr>
          </w:p>
        </w:tc>
        <w:tc>
          <w:tcPr>
            <w:tcW w:w="0" w:type="auto"/>
            <w:gridSpan w:val="3"/>
            <w:shd w:val="clear" w:color="auto" w:fill="auto"/>
            <w:vAlign w:val="bottom"/>
          </w:tcPr>
          <w:p w14:paraId="74DDBE95" w14:textId="77777777" w:rsidR="00584EC1" w:rsidRDefault="00584EC1">
            <w:pPr>
              <w:rPr>
                <w:rFonts w:ascii="宋体"/>
                <w:vanish/>
              </w:rPr>
            </w:pPr>
          </w:p>
        </w:tc>
        <w:tc>
          <w:tcPr>
            <w:tcW w:w="0" w:type="auto"/>
            <w:gridSpan w:val="3"/>
            <w:shd w:val="clear" w:color="auto" w:fill="auto"/>
            <w:vAlign w:val="bottom"/>
          </w:tcPr>
          <w:p w14:paraId="74DDBE96" w14:textId="77777777" w:rsidR="00584EC1" w:rsidRDefault="00584EC1">
            <w:pPr>
              <w:rPr>
                <w:rFonts w:ascii="宋体"/>
                <w:vanish/>
              </w:rPr>
            </w:pPr>
          </w:p>
        </w:tc>
        <w:tc>
          <w:tcPr>
            <w:tcW w:w="0" w:type="auto"/>
            <w:gridSpan w:val="3"/>
            <w:shd w:val="clear" w:color="auto" w:fill="auto"/>
            <w:vAlign w:val="bottom"/>
          </w:tcPr>
          <w:p w14:paraId="74DDBE97" w14:textId="77777777" w:rsidR="00584EC1" w:rsidRDefault="00584EC1">
            <w:pPr>
              <w:rPr>
                <w:rFonts w:ascii="宋体"/>
                <w:vanish/>
              </w:rPr>
            </w:pPr>
          </w:p>
        </w:tc>
        <w:tc>
          <w:tcPr>
            <w:tcW w:w="0" w:type="auto"/>
            <w:gridSpan w:val="3"/>
            <w:shd w:val="clear" w:color="auto" w:fill="auto"/>
            <w:vAlign w:val="bottom"/>
          </w:tcPr>
          <w:p w14:paraId="74DDBE98" w14:textId="77777777" w:rsidR="00584EC1" w:rsidRDefault="00584EC1">
            <w:pPr>
              <w:rPr>
                <w:rFonts w:ascii="宋体"/>
                <w:vanish/>
              </w:rPr>
            </w:pPr>
          </w:p>
        </w:tc>
        <w:tc>
          <w:tcPr>
            <w:tcW w:w="0" w:type="auto"/>
            <w:gridSpan w:val="3"/>
            <w:shd w:val="clear" w:color="auto" w:fill="auto"/>
            <w:vAlign w:val="bottom"/>
          </w:tcPr>
          <w:p w14:paraId="74DDBE99" w14:textId="77777777" w:rsidR="00584EC1" w:rsidRDefault="00584EC1">
            <w:pPr>
              <w:rPr>
                <w:rFonts w:ascii="宋体"/>
                <w:vanish/>
              </w:rPr>
            </w:pPr>
          </w:p>
        </w:tc>
        <w:tc>
          <w:tcPr>
            <w:tcW w:w="0" w:type="auto"/>
            <w:gridSpan w:val="3"/>
            <w:shd w:val="clear" w:color="auto" w:fill="auto"/>
            <w:vAlign w:val="bottom"/>
          </w:tcPr>
          <w:p w14:paraId="74DDBE9A" w14:textId="77777777" w:rsidR="00584EC1" w:rsidRDefault="00584EC1">
            <w:pPr>
              <w:rPr>
                <w:rFonts w:ascii="宋体"/>
                <w:vanish/>
              </w:rPr>
            </w:pPr>
          </w:p>
        </w:tc>
        <w:tc>
          <w:tcPr>
            <w:tcW w:w="0" w:type="auto"/>
            <w:gridSpan w:val="3"/>
            <w:shd w:val="clear" w:color="auto" w:fill="auto"/>
            <w:vAlign w:val="bottom"/>
          </w:tcPr>
          <w:p w14:paraId="74DDBE9B" w14:textId="77777777" w:rsidR="00584EC1" w:rsidRDefault="00584EC1">
            <w:pPr>
              <w:rPr>
                <w:rFonts w:ascii="宋体"/>
                <w:vanish/>
              </w:rPr>
            </w:pPr>
          </w:p>
        </w:tc>
      </w:tr>
      <w:tr w:rsidR="00584EC1" w14:paraId="74DDBEB1" w14:textId="77777777">
        <w:tc>
          <w:tcPr>
            <w:tcW w:w="0" w:type="auto"/>
            <w:gridSpan w:val="3"/>
            <w:shd w:val="clear" w:color="auto" w:fill="CCEEFF"/>
            <w:tcMar>
              <w:top w:w="40" w:type="dxa"/>
              <w:left w:w="515" w:type="dxa"/>
              <w:bottom w:w="40" w:type="dxa"/>
              <w:right w:w="20" w:type="dxa"/>
            </w:tcMar>
            <w:vAlign w:val="bottom"/>
          </w:tcPr>
          <w:p w14:paraId="74DDBE9D" w14:textId="77777777" w:rsidR="00584EC1" w:rsidRDefault="00871F8D">
            <w:pPr>
              <w:textAlignment w:val="bottom"/>
            </w:pPr>
            <w:r>
              <w:rPr>
                <w:rFonts w:ascii="Arial" w:eastAsia="宋体" w:hAnsi="Arial" w:cs="Arial"/>
                <w:color w:val="000000"/>
                <w:sz w:val="15"/>
                <w:szCs w:val="15"/>
              </w:rPr>
              <w:t>Other</w:t>
            </w:r>
          </w:p>
        </w:tc>
        <w:tc>
          <w:tcPr>
            <w:tcW w:w="0" w:type="auto"/>
            <w:shd w:val="clear" w:color="auto" w:fill="CCEEFF"/>
            <w:tcMar>
              <w:top w:w="40" w:type="dxa"/>
              <w:left w:w="20" w:type="dxa"/>
              <w:bottom w:w="40" w:type="dxa"/>
              <w:right w:w="0" w:type="dxa"/>
            </w:tcMar>
            <w:vAlign w:val="bottom"/>
          </w:tcPr>
          <w:p w14:paraId="74DDBE9E"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BE9F" w14:textId="77777777" w:rsidR="00584EC1" w:rsidRDefault="00871F8D">
            <w:pPr>
              <w:jc w:val="right"/>
              <w:textAlignment w:val="bottom"/>
            </w:pPr>
            <w:r>
              <w:rPr>
                <w:rFonts w:ascii="Arial" w:eastAsia="宋体" w:hAnsi="Arial" w:cs="Arial"/>
                <w:color w:val="000000"/>
                <w:sz w:val="14"/>
                <w:szCs w:val="14"/>
              </w:rPr>
              <w:t>4 </w:t>
            </w:r>
          </w:p>
        </w:tc>
        <w:tc>
          <w:tcPr>
            <w:tcW w:w="0" w:type="auto"/>
            <w:shd w:val="clear" w:color="auto" w:fill="CCEEFF"/>
            <w:tcMar>
              <w:top w:w="40" w:type="dxa"/>
              <w:left w:w="0" w:type="dxa"/>
              <w:bottom w:w="40" w:type="dxa"/>
              <w:right w:w="20" w:type="dxa"/>
            </w:tcMar>
            <w:vAlign w:val="bottom"/>
          </w:tcPr>
          <w:p w14:paraId="74DDBEA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EA1"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BEA2"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BEA3"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BEA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EA5"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BEA6"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BEA7"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BEA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EA9"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BEAA"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BEAB"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BEA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EAD"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BEAE"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BEAF" w14:textId="77777777" w:rsidR="00584EC1" w:rsidRDefault="00871F8D">
            <w:pPr>
              <w:jc w:val="right"/>
              <w:textAlignment w:val="bottom"/>
            </w:pPr>
            <w:r>
              <w:rPr>
                <w:rFonts w:ascii="Arial" w:eastAsia="宋体" w:hAnsi="Arial" w:cs="Arial"/>
                <w:color w:val="000000"/>
                <w:sz w:val="14"/>
                <w:szCs w:val="14"/>
              </w:rPr>
              <w:t>4 </w:t>
            </w:r>
          </w:p>
        </w:tc>
        <w:tc>
          <w:tcPr>
            <w:tcW w:w="0" w:type="auto"/>
            <w:shd w:val="clear" w:color="auto" w:fill="CCEEFF"/>
            <w:tcMar>
              <w:top w:w="40" w:type="dxa"/>
              <w:left w:w="0" w:type="dxa"/>
              <w:bottom w:w="40" w:type="dxa"/>
              <w:right w:w="20" w:type="dxa"/>
            </w:tcMar>
            <w:vAlign w:val="bottom"/>
          </w:tcPr>
          <w:p w14:paraId="74DDBEB0" w14:textId="77777777" w:rsidR="00584EC1" w:rsidRDefault="00584EC1">
            <w:pPr>
              <w:jc w:val="right"/>
              <w:rPr>
                <w:rFonts w:ascii="宋体"/>
              </w:rPr>
            </w:pPr>
          </w:p>
        </w:tc>
      </w:tr>
      <w:tr w:rsidR="00584EC1" w14:paraId="74DDBEBC" w14:textId="77777777">
        <w:tc>
          <w:tcPr>
            <w:tcW w:w="0" w:type="auto"/>
            <w:gridSpan w:val="3"/>
            <w:shd w:val="clear" w:color="auto" w:fill="FFFFFF"/>
            <w:tcMar>
              <w:top w:w="40" w:type="dxa"/>
              <w:left w:w="245" w:type="dxa"/>
              <w:bottom w:w="40" w:type="dxa"/>
              <w:right w:w="20" w:type="dxa"/>
            </w:tcMar>
            <w:vAlign w:val="bottom"/>
          </w:tcPr>
          <w:p w14:paraId="74DDBEB2" w14:textId="77777777" w:rsidR="00584EC1" w:rsidRDefault="00871F8D">
            <w:pPr>
              <w:textAlignment w:val="bottom"/>
            </w:pPr>
            <w:r>
              <w:rPr>
                <w:rFonts w:ascii="Arial" w:eastAsia="宋体" w:hAnsi="Arial" w:cs="Arial"/>
                <w:color w:val="000000"/>
                <w:sz w:val="15"/>
                <w:szCs w:val="15"/>
              </w:rPr>
              <w:t>Derivative instruments:</w:t>
            </w:r>
          </w:p>
        </w:tc>
        <w:tc>
          <w:tcPr>
            <w:tcW w:w="0" w:type="auto"/>
            <w:gridSpan w:val="3"/>
            <w:shd w:val="clear" w:color="auto" w:fill="FFFFFF"/>
            <w:tcMar>
              <w:top w:w="0" w:type="dxa"/>
              <w:left w:w="20" w:type="dxa"/>
              <w:bottom w:w="0" w:type="dxa"/>
              <w:right w:w="20" w:type="dxa"/>
            </w:tcMar>
            <w:vAlign w:val="bottom"/>
          </w:tcPr>
          <w:p w14:paraId="74DDBEB3"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EB4"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EB5"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EB6"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EB7"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EB8"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EB9"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EBA"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BEBB" w14:textId="77777777" w:rsidR="00584EC1" w:rsidRDefault="00584EC1">
            <w:pPr>
              <w:rPr>
                <w:rFonts w:ascii="宋体"/>
              </w:rPr>
            </w:pPr>
          </w:p>
        </w:tc>
      </w:tr>
      <w:tr w:rsidR="00584EC1" w14:paraId="74DDBECC" w14:textId="77777777">
        <w:tc>
          <w:tcPr>
            <w:tcW w:w="0" w:type="auto"/>
            <w:gridSpan w:val="3"/>
            <w:shd w:val="clear" w:color="auto" w:fill="CCEEFF"/>
            <w:tcMar>
              <w:top w:w="40" w:type="dxa"/>
              <w:left w:w="515" w:type="dxa"/>
              <w:bottom w:w="40" w:type="dxa"/>
              <w:right w:w="20" w:type="dxa"/>
            </w:tcMar>
            <w:vAlign w:val="bottom"/>
          </w:tcPr>
          <w:p w14:paraId="74DDBEBD" w14:textId="77777777" w:rsidR="00584EC1" w:rsidRDefault="00871F8D">
            <w:pPr>
              <w:textAlignment w:val="bottom"/>
            </w:pPr>
            <w:r>
              <w:rPr>
                <w:rFonts w:ascii="Arial" w:eastAsia="宋体" w:hAnsi="Arial" w:cs="Arial"/>
                <w:color w:val="000000"/>
                <w:sz w:val="15"/>
                <w:szCs w:val="15"/>
              </w:rPr>
              <w:t>Foreign exchange contracts</w:t>
            </w:r>
          </w:p>
        </w:tc>
        <w:tc>
          <w:tcPr>
            <w:tcW w:w="0" w:type="auto"/>
            <w:gridSpan w:val="2"/>
            <w:shd w:val="clear" w:color="auto" w:fill="CCEEFF"/>
            <w:tcMar>
              <w:top w:w="40" w:type="dxa"/>
              <w:left w:w="20" w:type="dxa"/>
              <w:bottom w:w="40" w:type="dxa"/>
              <w:right w:w="0" w:type="dxa"/>
            </w:tcMar>
            <w:vAlign w:val="bottom"/>
          </w:tcPr>
          <w:p w14:paraId="74DDBEBE" w14:textId="77777777" w:rsidR="00584EC1" w:rsidRDefault="00871F8D">
            <w:pPr>
              <w:jc w:val="right"/>
              <w:textAlignment w:val="bottom"/>
            </w:pPr>
            <w:r>
              <w:rPr>
                <w:rFonts w:ascii="Arial" w:eastAsia="宋体" w:hAnsi="Arial" w:cs="Arial"/>
                <w:color w:val="000000"/>
                <w:sz w:val="14"/>
                <w:szCs w:val="14"/>
              </w:rPr>
              <w:t>1 </w:t>
            </w:r>
          </w:p>
        </w:tc>
        <w:tc>
          <w:tcPr>
            <w:tcW w:w="0" w:type="auto"/>
            <w:shd w:val="clear" w:color="auto" w:fill="CCEEFF"/>
            <w:tcMar>
              <w:top w:w="40" w:type="dxa"/>
              <w:left w:w="0" w:type="dxa"/>
              <w:bottom w:w="40" w:type="dxa"/>
              <w:right w:w="20" w:type="dxa"/>
            </w:tcMar>
            <w:vAlign w:val="bottom"/>
          </w:tcPr>
          <w:p w14:paraId="74DDBEB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EC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EC1" w14:textId="77777777" w:rsidR="00584EC1" w:rsidRDefault="00871F8D">
            <w:pPr>
              <w:jc w:val="right"/>
              <w:textAlignment w:val="bottom"/>
            </w:pPr>
            <w:r>
              <w:rPr>
                <w:rFonts w:ascii="Arial" w:eastAsia="宋体" w:hAnsi="Arial" w:cs="Arial"/>
                <w:color w:val="000000"/>
                <w:sz w:val="14"/>
                <w:szCs w:val="14"/>
              </w:rPr>
              <w:t>25,925 </w:t>
            </w:r>
          </w:p>
        </w:tc>
        <w:tc>
          <w:tcPr>
            <w:tcW w:w="0" w:type="auto"/>
            <w:shd w:val="clear" w:color="auto" w:fill="CCEEFF"/>
            <w:tcMar>
              <w:top w:w="40" w:type="dxa"/>
              <w:left w:w="0" w:type="dxa"/>
              <w:bottom w:w="40" w:type="dxa"/>
              <w:right w:w="20" w:type="dxa"/>
            </w:tcMar>
            <w:vAlign w:val="bottom"/>
          </w:tcPr>
          <w:p w14:paraId="74DDBEC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EC3"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EC4" w14:textId="77777777" w:rsidR="00584EC1" w:rsidRDefault="00871F8D">
            <w:pPr>
              <w:jc w:val="right"/>
              <w:textAlignment w:val="bottom"/>
            </w:pPr>
            <w:r>
              <w:rPr>
                <w:rFonts w:ascii="Arial" w:eastAsia="宋体" w:hAnsi="Arial" w:cs="Arial"/>
                <w:color w:val="000000"/>
                <w:sz w:val="14"/>
                <w:szCs w:val="14"/>
              </w:rPr>
              <w:t>1 </w:t>
            </w:r>
          </w:p>
        </w:tc>
        <w:tc>
          <w:tcPr>
            <w:tcW w:w="0" w:type="auto"/>
            <w:shd w:val="clear" w:color="auto" w:fill="CCEEFF"/>
            <w:tcMar>
              <w:top w:w="40" w:type="dxa"/>
              <w:left w:w="0" w:type="dxa"/>
              <w:bottom w:w="40" w:type="dxa"/>
              <w:right w:w="20" w:type="dxa"/>
            </w:tcMar>
            <w:vAlign w:val="bottom"/>
          </w:tcPr>
          <w:p w14:paraId="74DDBEC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EC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EC7" w14:textId="77777777" w:rsidR="00584EC1" w:rsidRDefault="00871F8D">
            <w:pPr>
              <w:jc w:val="right"/>
              <w:textAlignment w:val="bottom"/>
            </w:pPr>
            <w:r>
              <w:rPr>
                <w:rFonts w:ascii="Arial" w:eastAsia="宋体" w:hAnsi="Arial" w:cs="Arial"/>
                <w:color w:val="000000"/>
                <w:sz w:val="14"/>
                <w:szCs w:val="14"/>
              </w:rPr>
              <w:t>(15,558)</w:t>
            </w:r>
          </w:p>
        </w:tc>
        <w:tc>
          <w:tcPr>
            <w:tcW w:w="0" w:type="auto"/>
            <w:shd w:val="clear" w:color="auto" w:fill="CCEEFF"/>
            <w:tcMar>
              <w:top w:w="40" w:type="dxa"/>
              <w:left w:w="0" w:type="dxa"/>
              <w:bottom w:w="40" w:type="dxa"/>
              <w:right w:w="20" w:type="dxa"/>
            </w:tcMar>
            <w:vAlign w:val="bottom"/>
          </w:tcPr>
          <w:p w14:paraId="74DDBEC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EC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ECA" w14:textId="77777777" w:rsidR="00584EC1" w:rsidRDefault="00871F8D">
            <w:pPr>
              <w:jc w:val="right"/>
              <w:textAlignment w:val="bottom"/>
            </w:pPr>
            <w:r>
              <w:rPr>
                <w:rFonts w:ascii="Arial" w:eastAsia="宋体" w:hAnsi="Arial" w:cs="Arial"/>
                <w:color w:val="000000"/>
                <w:sz w:val="14"/>
                <w:szCs w:val="14"/>
              </w:rPr>
              <w:t>10,369 </w:t>
            </w:r>
          </w:p>
        </w:tc>
        <w:tc>
          <w:tcPr>
            <w:tcW w:w="0" w:type="auto"/>
            <w:shd w:val="clear" w:color="auto" w:fill="CCEEFF"/>
            <w:tcMar>
              <w:top w:w="40" w:type="dxa"/>
              <w:left w:w="0" w:type="dxa"/>
              <w:bottom w:w="40" w:type="dxa"/>
              <w:right w:w="20" w:type="dxa"/>
            </w:tcMar>
            <w:vAlign w:val="bottom"/>
          </w:tcPr>
          <w:p w14:paraId="74DDBECB" w14:textId="77777777" w:rsidR="00584EC1" w:rsidRDefault="00584EC1">
            <w:pPr>
              <w:jc w:val="right"/>
              <w:rPr>
                <w:rFonts w:ascii="宋体"/>
              </w:rPr>
            </w:pPr>
          </w:p>
        </w:tc>
      </w:tr>
      <w:tr w:rsidR="00584EC1" w14:paraId="74DDBEDC" w14:textId="77777777">
        <w:tc>
          <w:tcPr>
            <w:tcW w:w="0" w:type="auto"/>
            <w:gridSpan w:val="3"/>
            <w:shd w:val="clear" w:color="auto" w:fill="FFFFFF"/>
            <w:tcMar>
              <w:top w:w="40" w:type="dxa"/>
              <w:left w:w="515" w:type="dxa"/>
              <w:bottom w:w="40" w:type="dxa"/>
              <w:right w:w="20" w:type="dxa"/>
            </w:tcMar>
            <w:vAlign w:val="bottom"/>
          </w:tcPr>
          <w:p w14:paraId="74DDBECD" w14:textId="77777777" w:rsidR="00584EC1" w:rsidRDefault="00871F8D">
            <w:pPr>
              <w:textAlignment w:val="bottom"/>
            </w:pPr>
            <w:r>
              <w:rPr>
                <w:rFonts w:ascii="Arial" w:eastAsia="宋体" w:hAnsi="Arial" w:cs="Arial"/>
                <w:color w:val="000000"/>
                <w:sz w:val="15"/>
                <w:szCs w:val="15"/>
              </w:rPr>
              <w:t>Interest rate contracts</w:t>
            </w:r>
          </w:p>
        </w:tc>
        <w:tc>
          <w:tcPr>
            <w:tcW w:w="0" w:type="auto"/>
            <w:gridSpan w:val="2"/>
            <w:shd w:val="clear" w:color="auto" w:fill="FFFFFF"/>
            <w:tcMar>
              <w:top w:w="40" w:type="dxa"/>
              <w:left w:w="20" w:type="dxa"/>
              <w:bottom w:w="40" w:type="dxa"/>
              <w:right w:w="0" w:type="dxa"/>
            </w:tcMar>
            <w:vAlign w:val="bottom"/>
          </w:tcPr>
          <w:p w14:paraId="74DDBECE"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BEC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ED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ED1" w14:textId="77777777" w:rsidR="00584EC1" w:rsidRDefault="00871F8D">
            <w:pPr>
              <w:jc w:val="right"/>
              <w:textAlignment w:val="bottom"/>
            </w:pPr>
            <w:r>
              <w:rPr>
                <w:rFonts w:ascii="Arial" w:eastAsia="宋体" w:hAnsi="Arial" w:cs="Arial"/>
                <w:color w:val="000000"/>
                <w:sz w:val="14"/>
                <w:szCs w:val="14"/>
              </w:rPr>
              <w:t>42 </w:t>
            </w:r>
          </w:p>
        </w:tc>
        <w:tc>
          <w:tcPr>
            <w:tcW w:w="0" w:type="auto"/>
            <w:shd w:val="clear" w:color="auto" w:fill="FFFFFF"/>
            <w:tcMar>
              <w:top w:w="40" w:type="dxa"/>
              <w:left w:w="0" w:type="dxa"/>
              <w:bottom w:w="40" w:type="dxa"/>
              <w:right w:w="20" w:type="dxa"/>
            </w:tcMar>
            <w:vAlign w:val="bottom"/>
          </w:tcPr>
          <w:p w14:paraId="74DDBED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ED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ED4"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BED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ED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ED7"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BED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ED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BEDA" w14:textId="77777777" w:rsidR="00584EC1" w:rsidRDefault="00871F8D">
            <w:pPr>
              <w:jc w:val="right"/>
              <w:textAlignment w:val="bottom"/>
            </w:pPr>
            <w:r>
              <w:rPr>
                <w:rFonts w:ascii="Arial" w:eastAsia="宋体" w:hAnsi="Arial" w:cs="Arial"/>
                <w:color w:val="000000"/>
                <w:sz w:val="14"/>
                <w:szCs w:val="14"/>
              </w:rPr>
              <w:t>42 </w:t>
            </w:r>
          </w:p>
        </w:tc>
        <w:tc>
          <w:tcPr>
            <w:tcW w:w="0" w:type="auto"/>
            <w:shd w:val="clear" w:color="auto" w:fill="FFFFFF"/>
            <w:tcMar>
              <w:top w:w="40" w:type="dxa"/>
              <w:left w:w="0" w:type="dxa"/>
              <w:bottom w:w="40" w:type="dxa"/>
              <w:right w:w="20" w:type="dxa"/>
            </w:tcMar>
            <w:vAlign w:val="bottom"/>
          </w:tcPr>
          <w:p w14:paraId="74DDBEDB" w14:textId="77777777" w:rsidR="00584EC1" w:rsidRDefault="00584EC1">
            <w:pPr>
              <w:jc w:val="right"/>
              <w:rPr>
                <w:rFonts w:ascii="宋体"/>
              </w:rPr>
            </w:pPr>
          </w:p>
        </w:tc>
      </w:tr>
      <w:tr w:rsidR="00584EC1" w14:paraId="74DDBEEC" w14:textId="77777777">
        <w:tc>
          <w:tcPr>
            <w:tcW w:w="0" w:type="auto"/>
            <w:gridSpan w:val="3"/>
            <w:shd w:val="clear" w:color="auto" w:fill="CCEEFF"/>
            <w:tcMar>
              <w:top w:w="40" w:type="dxa"/>
              <w:left w:w="515" w:type="dxa"/>
              <w:bottom w:w="40" w:type="dxa"/>
              <w:right w:w="20" w:type="dxa"/>
            </w:tcMar>
            <w:vAlign w:val="bottom"/>
          </w:tcPr>
          <w:p w14:paraId="74DDBEDD" w14:textId="77777777" w:rsidR="00584EC1" w:rsidRDefault="00871F8D">
            <w:pPr>
              <w:textAlignment w:val="bottom"/>
            </w:pPr>
            <w:r>
              <w:rPr>
                <w:rFonts w:ascii="Arial" w:eastAsia="宋体" w:hAnsi="Arial" w:cs="Arial"/>
                <w:color w:val="000000"/>
                <w:sz w:val="15"/>
                <w:szCs w:val="15"/>
              </w:rPr>
              <w:t>Other derivative contracts</w:t>
            </w:r>
          </w:p>
        </w:tc>
        <w:tc>
          <w:tcPr>
            <w:tcW w:w="0" w:type="auto"/>
            <w:gridSpan w:val="2"/>
            <w:shd w:val="clear" w:color="auto" w:fill="CCEEFF"/>
            <w:tcMar>
              <w:top w:w="40" w:type="dxa"/>
              <w:left w:w="20" w:type="dxa"/>
              <w:bottom w:w="40" w:type="dxa"/>
              <w:right w:w="0" w:type="dxa"/>
            </w:tcMar>
            <w:vAlign w:val="bottom"/>
          </w:tcPr>
          <w:p w14:paraId="74DDBEDE"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BED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EE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EE1" w14:textId="77777777" w:rsidR="00584EC1" w:rsidRDefault="00871F8D">
            <w:pPr>
              <w:jc w:val="right"/>
              <w:textAlignment w:val="bottom"/>
            </w:pPr>
            <w:r>
              <w:rPr>
                <w:rFonts w:ascii="Arial" w:eastAsia="宋体" w:hAnsi="Arial" w:cs="Arial"/>
                <w:color w:val="000000"/>
                <w:sz w:val="14"/>
                <w:szCs w:val="14"/>
              </w:rPr>
              <w:t>157 </w:t>
            </w:r>
          </w:p>
        </w:tc>
        <w:tc>
          <w:tcPr>
            <w:tcW w:w="0" w:type="auto"/>
            <w:shd w:val="clear" w:color="auto" w:fill="CCEEFF"/>
            <w:tcMar>
              <w:top w:w="40" w:type="dxa"/>
              <w:left w:w="0" w:type="dxa"/>
              <w:bottom w:w="40" w:type="dxa"/>
              <w:right w:w="20" w:type="dxa"/>
            </w:tcMar>
            <w:vAlign w:val="bottom"/>
          </w:tcPr>
          <w:p w14:paraId="74DDBEE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EE3"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EE4"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BEE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EE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EE7"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BEE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EE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BEEA" w14:textId="77777777" w:rsidR="00584EC1" w:rsidRDefault="00871F8D">
            <w:pPr>
              <w:jc w:val="right"/>
              <w:textAlignment w:val="bottom"/>
            </w:pPr>
            <w:r>
              <w:rPr>
                <w:rFonts w:ascii="Arial" w:eastAsia="宋体" w:hAnsi="Arial" w:cs="Arial"/>
                <w:color w:val="000000"/>
                <w:sz w:val="14"/>
                <w:szCs w:val="14"/>
              </w:rPr>
              <w:t>157 </w:t>
            </w:r>
          </w:p>
        </w:tc>
        <w:tc>
          <w:tcPr>
            <w:tcW w:w="0" w:type="auto"/>
            <w:shd w:val="clear" w:color="auto" w:fill="CCEEFF"/>
            <w:tcMar>
              <w:top w:w="40" w:type="dxa"/>
              <w:left w:w="0" w:type="dxa"/>
              <w:bottom w:w="40" w:type="dxa"/>
              <w:right w:w="20" w:type="dxa"/>
            </w:tcMar>
            <w:vAlign w:val="bottom"/>
          </w:tcPr>
          <w:p w14:paraId="74DDBEEB" w14:textId="77777777" w:rsidR="00584EC1" w:rsidRDefault="00584EC1">
            <w:pPr>
              <w:jc w:val="right"/>
              <w:rPr>
                <w:rFonts w:ascii="宋体"/>
              </w:rPr>
            </w:pPr>
          </w:p>
        </w:tc>
      </w:tr>
      <w:tr w:rsidR="00584EC1" w14:paraId="74DDBEFC" w14:textId="77777777">
        <w:tc>
          <w:tcPr>
            <w:tcW w:w="0" w:type="auto"/>
            <w:gridSpan w:val="3"/>
            <w:shd w:val="clear" w:color="auto" w:fill="FFFFFF"/>
            <w:tcMar>
              <w:top w:w="40" w:type="dxa"/>
              <w:left w:w="740" w:type="dxa"/>
              <w:bottom w:w="40" w:type="dxa"/>
              <w:right w:w="20" w:type="dxa"/>
            </w:tcMar>
            <w:vAlign w:val="bottom"/>
          </w:tcPr>
          <w:p w14:paraId="74DDBEED" w14:textId="77777777" w:rsidR="00584EC1" w:rsidRDefault="00871F8D">
            <w:pPr>
              <w:textAlignment w:val="bottom"/>
            </w:pPr>
            <w:r>
              <w:rPr>
                <w:rFonts w:ascii="Arial" w:eastAsia="宋体" w:hAnsi="Arial" w:cs="Arial"/>
                <w:color w:val="000000"/>
                <w:sz w:val="15"/>
                <w:szCs w:val="15"/>
              </w:rPr>
              <w:t xml:space="preserve">Total derivative </w:t>
            </w:r>
            <w:r>
              <w:rPr>
                <w:rFonts w:ascii="Arial" w:eastAsia="宋体" w:hAnsi="Arial" w:cs="Arial"/>
                <w:color w:val="000000"/>
                <w:sz w:val="15"/>
                <w:szCs w:val="15"/>
              </w:rPr>
              <w:t>instruments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BEEE" w14:textId="77777777" w:rsidR="00584EC1" w:rsidRDefault="00871F8D">
            <w:pPr>
              <w:jc w:val="right"/>
              <w:textAlignment w:val="bottom"/>
            </w:pPr>
            <w:r>
              <w:rPr>
                <w:rFonts w:ascii="Arial" w:eastAsia="宋体" w:hAnsi="Arial" w:cs="Arial"/>
                <w:color w:val="000000"/>
                <w:sz w:val="14"/>
                <w:szCs w:val="14"/>
              </w:rPr>
              <w:t>1 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BEE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EF0"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BEF1" w14:textId="77777777" w:rsidR="00584EC1" w:rsidRDefault="00871F8D">
            <w:pPr>
              <w:jc w:val="right"/>
              <w:textAlignment w:val="bottom"/>
            </w:pPr>
            <w:r>
              <w:rPr>
                <w:rFonts w:ascii="Arial" w:eastAsia="宋体" w:hAnsi="Arial" w:cs="Arial"/>
                <w:color w:val="000000"/>
                <w:sz w:val="14"/>
                <w:szCs w:val="14"/>
              </w:rPr>
              <w:t>26,124 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BEF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EF3"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BEF4" w14:textId="77777777" w:rsidR="00584EC1" w:rsidRDefault="00871F8D">
            <w:pPr>
              <w:jc w:val="right"/>
              <w:textAlignment w:val="bottom"/>
            </w:pPr>
            <w:r>
              <w:rPr>
                <w:rFonts w:ascii="Arial" w:eastAsia="宋体" w:hAnsi="Arial" w:cs="Arial"/>
                <w:color w:val="000000"/>
                <w:sz w:val="14"/>
                <w:szCs w:val="14"/>
              </w:rPr>
              <w:t>1 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BEF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EF6"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BEF7" w14:textId="77777777" w:rsidR="00584EC1" w:rsidRDefault="00871F8D">
            <w:pPr>
              <w:jc w:val="right"/>
              <w:textAlignment w:val="bottom"/>
            </w:pPr>
            <w:r>
              <w:rPr>
                <w:rFonts w:ascii="Arial" w:eastAsia="宋体" w:hAnsi="Arial" w:cs="Arial"/>
                <w:color w:val="000000"/>
                <w:sz w:val="14"/>
                <w:szCs w:val="14"/>
              </w:rPr>
              <w:t>(15,558)</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BEF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BEF9"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BEFA" w14:textId="77777777" w:rsidR="00584EC1" w:rsidRDefault="00871F8D">
            <w:pPr>
              <w:jc w:val="right"/>
              <w:textAlignment w:val="bottom"/>
            </w:pPr>
            <w:r>
              <w:rPr>
                <w:rFonts w:ascii="Arial" w:eastAsia="宋体" w:hAnsi="Arial" w:cs="Arial"/>
                <w:color w:val="000000"/>
                <w:sz w:val="14"/>
                <w:szCs w:val="14"/>
              </w:rPr>
              <w:t>10,568 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BEFB" w14:textId="77777777" w:rsidR="00584EC1" w:rsidRDefault="00584EC1">
            <w:pPr>
              <w:jc w:val="right"/>
              <w:rPr>
                <w:rFonts w:ascii="宋体"/>
              </w:rPr>
            </w:pPr>
          </w:p>
        </w:tc>
      </w:tr>
      <w:tr w:rsidR="00584EC1" w14:paraId="74DDBF07" w14:textId="77777777">
        <w:trPr>
          <w:hidden/>
        </w:trPr>
        <w:tc>
          <w:tcPr>
            <w:tcW w:w="0" w:type="auto"/>
            <w:gridSpan w:val="3"/>
            <w:shd w:val="clear" w:color="auto" w:fill="auto"/>
            <w:vAlign w:val="bottom"/>
          </w:tcPr>
          <w:p w14:paraId="74DDBEFD" w14:textId="77777777" w:rsidR="00584EC1" w:rsidRDefault="00584EC1">
            <w:pPr>
              <w:rPr>
                <w:rFonts w:ascii="宋体"/>
                <w:vanish/>
              </w:rPr>
            </w:pPr>
          </w:p>
        </w:tc>
        <w:tc>
          <w:tcPr>
            <w:tcW w:w="0" w:type="auto"/>
            <w:gridSpan w:val="3"/>
            <w:shd w:val="clear" w:color="auto" w:fill="auto"/>
            <w:vAlign w:val="bottom"/>
          </w:tcPr>
          <w:p w14:paraId="74DDBEFE" w14:textId="77777777" w:rsidR="00584EC1" w:rsidRDefault="00584EC1">
            <w:pPr>
              <w:rPr>
                <w:rFonts w:ascii="宋体"/>
                <w:vanish/>
              </w:rPr>
            </w:pPr>
          </w:p>
        </w:tc>
        <w:tc>
          <w:tcPr>
            <w:tcW w:w="0" w:type="auto"/>
            <w:gridSpan w:val="3"/>
            <w:shd w:val="clear" w:color="auto" w:fill="auto"/>
            <w:vAlign w:val="bottom"/>
          </w:tcPr>
          <w:p w14:paraId="74DDBEFF" w14:textId="77777777" w:rsidR="00584EC1" w:rsidRDefault="00584EC1">
            <w:pPr>
              <w:rPr>
                <w:rFonts w:ascii="宋体"/>
                <w:vanish/>
              </w:rPr>
            </w:pPr>
          </w:p>
        </w:tc>
        <w:tc>
          <w:tcPr>
            <w:tcW w:w="0" w:type="auto"/>
            <w:gridSpan w:val="3"/>
            <w:shd w:val="clear" w:color="auto" w:fill="auto"/>
            <w:vAlign w:val="bottom"/>
          </w:tcPr>
          <w:p w14:paraId="74DDBF00" w14:textId="77777777" w:rsidR="00584EC1" w:rsidRDefault="00584EC1">
            <w:pPr>
              <w:rPr>
                <w:rFonts w:ascii="宋体"/>
                <w:vanish/>
              </w:rPr>
            </w:pPr>
          </w:p>
        </w:tc>
        <w:tc>
          <w:tcPr>
            <w:tcW w:w="0" w:type="auto"/>
            <w:gridSpan w:val="3"/>
            <w:shd w:val="clear" w:color="auto" w:fill="auto"/>
            <w:vAlign w:val="bottom"/>
          </w:tcPr>
          <w:p w14:paraId="74DDBF01" w14:textId="77777777" w:rsidR="00584EC1" w:rsidRDefault="00584EC1">
            <w:pPr>
              <w:rPr>
                <w:rFonts w:ascii="宋体"/>
                <w:vanish/>
              </w:rPr>
            </w:pPr>
          </w:p>
        </w:tc>
        <w:tc>
          <w:tcPr>
            <w:tcW w:w="0" w:type="auto"/>
            <w:gridSpan w:val="3"/>
            <w:shd w:val="clear" w:color="auto" w:fill="auto"/>
            <w:vAlign w:val="bottom"/>
          </w:tcPr>
          <w:p w14:paraId="74DDBF02" w14:textId="77777777" w:rsidR="00584EC1" w:rsidRDefault="00584EC1">
            <w:pPr>
              <w:rPr>
                <w:rFonts w:ascii="宋体"/>
                <w:vanish/>
              </w:rPr>
            </w:pPr>
          </w:p>
        </w:tc>
        <w:tc>
          <w:tcPr>
            <w:tcW w:w="0" w:type="auto"/>
            <w:gridSpan w:val="3"/>
            <w:shd w:val="clear" w:color="auto" w:fill="auto"/>
            <w:vAlign w:val="bottom"/>
          </w:tcPr>
          <w:p w14:paraId="74DDBF03" w14:textId="77777777" w:rsidR="00584EC1" w:rsidRDefault="00584EC1">
            <w:pPr>
              <w:rPr>
                <w:rFonts w:ascii="宋体"/>
                <w:vanish/>
              </w:rPr>
            </w:pPr>
          </w:p>
        </w:tc>
        <w:tc>
          <w:tcPr>
            <w:tcW w:w="0" w:type="auto"/>
            <w:gridSpan w:val="3"/>
            <w:shd w:val="clear" w:color="auto" w:fill="auto"/>
            <w:vAlign w:val="bottom"/>
          </w:tcPr>
          <w:p w14:paraId="74DDBF04" w14:textId="77777777" w:rsidR="00584EC1" w:rsidRDefault="00584EC1">
            <w:pPr>
              <w:rPr>
                <w:rFonts w:ascii="宋体"/>
                <w:vanish/>
              </w:rPr>
            </w:pPr>
          </w:p>
        </w:tc>
        <w:tc>
          <w:tcPr>
            <w:tcW w:w="0" w:type="auto"/>
            <w:gridSpan w:val="3"/>
            <w:shd w:val="clear" w:color="auto" w:fill="auto"/>
            <w:vAlign w:val="bottom"/>
          </w:tcPr>
          <w:p w14:paraId="74DDBF05" w14:textId="77777777" w:rsidR="00584EC1" w:rsidRDefault="00584EC1">
            <w:pPr>
              <w:rPr>
                <w:rFonts w:ascii="宋体"/>
                <w:vanish/>
              </w:rPr>
            </w:pPr>
          </w:p>
        </w:tc>
        <w:tc>
          <w:tcPr>
            <w:tcW w:w="0" w:type="auto"/>
            <w:gridSpan w:val="3"/>
            <w:shd w:val="clear" w:color="auto" w:fill="auto"/>
            <w:vAlign w:val="bottom"/>
          </w:tcPr>
          <w:p w14:paraId="74DDBF06" w14:textId="77777777" w:rsidR="00584EC1" w:rsidRDefault="00584EC1">
            <w:pPr>
              <w:rPr>
                <w:rFonts w:ascii="宋体"/>
                <w:vanish/>
              </w:rPr>
            </w:pPr>
          </w:p>
        </w:tc>
      </w:tr>
      <w:tr w:rsidR="00584EC1" w14:paraId="74DDBF1C" w14:textId="77777777">
        <w:tc>
          <w:tcPr>
            <w:tcW w:w="0" w:type="auto"/>
            <w:gridSpan w:val="3"/>
            <w:shd w:val="clear" w:color="auto" w:fill="CCEEFF"/>
            <w:tcMar>
              <w:top w:w="40" w:type="dxa"/>
              <w:left w:w="20" w:type="dxa"/>
              <w:bottom w:w="40" w:type="dxa"/>
              <w:right w:w="20" w:type="dxa"/>
            </w:tcMar>
            <w:vAlign w:val="bottom"/>
          </w:tcPr>
          <w:p w14:paraId="74DDBF08" w14:textId="77777777" w:rsidR="00584EC1" w:rsidRDefault="00871F8D">
            <w:pPr>
              <w:textAlignment w:val="bottom"/>
            </w:pPr>
            <w:r>
              <w:rPr>
                <w:rFonts w:ascii="Arial" w:eastAsia="宋体" w:hAnsi="Arial" w:cs="Arial"/>
                <w:color w:val="000000"/>
                <w:sz w:val="15"/>
                <w:szCs w:val="15"/>
              </w:rPr>
              <w:t>Total liabilities carried at fair value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BF09"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BF0A" w14:textId="77777777" w:rsidR="00584EC1" w:rsidRDefault="00871F8D">
            <w:pPr>
              <w:jc w:val="right"/>
              <w:textAlignment w:val="bottom"/>
            </w:pPr>
            <w:r>
              <w:rPr>
                <w:rFonts w:ascii="Arial" w:eastAsia="宋体" w:hAnsi="Arial" w:cs="Arial"/>
                <w:color w:val="000000"/>
                <w:sz w:val="14"/>
                <w:szCs w:val="14"/>
              </w:rPr>
              <w:t>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BF0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F0C"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BF0D"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BF0E" w14:textId="77777777" w:rsidR="00584EC1" w:rsidRDefault="00871F8D">
            <w:pPr>
              <w:jc w:val="right"/>
              <w:textAlignment w:val="bottom"/>
            </w:pPr>
            <w:r>
              <w:rPr>
                <w:rFonts w:ascii="Arial" w:eastAsia="宋体" w:hAnsi="Arial" w:cs="Arial"/>
                <w:color w:val="000000"/>
                <w:sz w:val="14"/>
                <w:szCs w:val="14"/>
              </w:rPr>
              <w:t>26,124 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BF0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F10"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BF11"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BF12" w14:textId="77777777" w:rsidR="00584EC1" w:rsidRDefault="00871F8D">
            <w:pPr>
              <w:jc w:val="right"/>
              <w:textAlignment w:val="bottom"/>
            </w:pPr>
            <w:r>
              <w:rPr>
                <w:rFonts w:ascii="Arial" w:eastAsia="宋体" w:hAnsi="Arial" w:cs="Arial"/>
                <w:color w:val="000000"/>
                <w:sz w:val="14"/>
                <w:szCs w:val="14"/>
              </w:rPr>
              <w:t>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BF1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F14"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BF15"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BF16" w14:textId="77777777" w:rsidR="00584EC1" w:rsidRDefault="00871F8D">
            <w:pPr>
              <w:jc w:val="right"/>
              <w:textAlignment w:val="bottom"/>
            </w:pPr>
            <w:r>
              <w:rPr>
                <w:rFonts w:ascii="Arial" w:eastAsia="宋体" w:hAnsi="Arial" w:cs="Arial"/>
                <w:color w:val="000000"/>
                <w:sz w:val="14"/>
                <w:szCs w:val="14"/>
              </w:rPr>
              <w:t>(15,558)</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BF1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BF18"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BF19"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BF1A" w14:textId="77777777" w:rsidR="00584EC1" w:rsidRDefault="00871F8D">
            <w:pPr>
              <w:jc w:val="right"/>
              <w:textAlignment w:val="bottom"/>
            </w:pPr>
            <w:r>
              <w:rPr>
                <w:rFonts w:ascii="Arial" w:eastAsia="宋体" w:hAnsi="Arial" w:cs="Arial"/>
                <w:color w:val="000000"/>
                <w:sz w:val="14"/>
                <w:szCs w:val="14"/>
              </w:rPr>
              <w:t>10,572 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BF1B" w14:textId="77777777" w:rsidR="00584EC1" w:rsidRDefault="00584EC1">
            <w:pPr>
              <w:jc w:val="right"/>
              <w:rPr>
                <w:rFonts w:ascii="宋体"/>
              </w:rPr>
            </w:pPr>
          </w:p>
        </w:tc>
      </w:tr>
    </w:tbl>
    <w:p w14:paraId="74DDBF1D" w14:textId="77777777" w:rsidR="00584EC1" w:rsidRDefault="00584E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173"/>
        <w:gridCol w:w="36"/>
        <w:gridCol w:w="69"/>
        <w:gridCol w:w="2625"/>
        <w:gridCol w:w="36"/>
        <w:gridCol w:w="69"/>
        <w:gridCol w:w="881"/>
        <w:gridCol w:w="36"/>
        <w:gridCol w:w="70"/>
        <w:gridCol w:w="614"/>
        <w:gridCol w:w="36"/>
        <w:gridCol w:w="70"/>
        <w:gridCol w:w="1516"/>
        <w:gridCol w:w="36"/>
      </w:tblGrid>
      <w:tr w:rsidR="00584EC1" w14:paraId="74DDBF2D" w14:textId="77777777">
        <w:tc>
          <w:tcPr>
            <w:tcW w:w="50" w:type="pct"/>
            <w:shd w:val="clear" w:color="auto" w:fill="auto"/>
            <w:vAlign w:val="bottom"/>
          </w:tcPr>
          <w:p w14:paraId="74DDBF1E" w14:textId="77777777" w:rsidR="00584EC1" w:rsidRDefault="00584EC1">
            <w:pPr>
              <w:rPr>
                <w:rFonts w:ascii="宋体"/>
              </w:rPr>
            </w:pPr>
          </w:p>
        </w:tc>
        <w:tc>
          <w:tcPr>
            <w:tcW w:w="1311" w:type="pct"/>
            <w:shd w:val="clear" w:color="auto" w:fill="auto"/>
            <w:vAlign w:val="bottom"/>
          </w:tcPr>
          <w:p w14:paraId="74DDBF1F" w14:textId="77777777" w:rsidR="00584EC1" w:rsidRDefault="00584EC1">
            <w:pPr>
              <w:rPr>
                <w:rFonts w:ascii="宋体"/>
              </w:rPr>
            </w:pPr>
          </w:p>
        </w:tc>
        <w:tc>
          <w:tcPr>
            <w:tcW w:w="5" w:type="pct"/>
            <w:shd w:val="clear" w:color="auto" w:fill="auto"/>
            <w:vAlign w:val="bottom"/>
          </w:tcPr>
          <w:p w14:paraId="74DDBF20" w14:textId="77777777" w:rsidR="00584EC1" w:rsidRDefault="00584EC1">
            <w:pPr>
              <w:rPr>
                <w:rFonts w:ascii="宋体"/>
              </w:rPr>
            </w:pPr>
          </w:p>
        </w:tc>
        <w:tc>
          <w:tcPr>
            <w:tcW w:w="50" w:type="pct"/>
            <w:shd w:val="clear" w:color="auto" w:fill="auto"/>
            <w:vAlign w:val="bottom"/>
          </w:tcPr>
          <w:p w14:paraId="74DDBF21" w14:textId="77777777" w:rsidR="00584EC1" w:rsidRDefault="00584EC1">
            <w:pPr>
              <w:rPr>
                <w:rFonts w:ascii="宋体"/>
              </w:rPr>
            </w:pPr>
          </w:p>
        </w:tc>
        <w:tc>
          <w:tcPr>
            <w:tcW w:w="1582" w:type="pct"/>
            <w:shd w:val="clear" w:color="auto" w:fill="auto"/>
            <w:vAlign w:val="bottom"/>
          </w:tcPr>
          <w:p w14:paraId="74DDBF22" w14:textId="77777777" w:rsidR="00584EC1" w:rsidRDefault="00584EC1">
            <w:pPr>
              <w:rPr>
                <w:rFonts w:ascii="宋体"/>
              </w:rPr>
            </w:pPr>
          </w:p>
        </w:tc>
        <w:tc>
          <w:tcPr>
            <w:tcW w:w="5" w:type="pct"/>
            <w:shd w:val="clear" w:color="auto" w:fill="auto"/>
            <w:vAlign w:val="bottom"/>
          </w:tcPr>
          <w:p w14:paraId="74DDBF23" w14:textId="77777777" w:rsidR="00584EC1" w:rsidRDefault="00584EC1">
            <w:pPr>
              <w:rPr>
                <w:rFonts w:ascii="宋体"/>
              </w:rPr>
            </w:pPr>
          </w:p>
        </w:tc>
        <w:tc>
          <w:tcPr>
            <w:tcW w:w="50" w:type="pct"/>
            <w:shd w:val="clear" w:color="auto" w:fill="auto"/>
            <w:vAlign w:val="bottom"/>
          </w:tcPr>
          <w:p w14:paraId="74DDBF24" w14:textId="77777777" w:rsidR="00584EC1" w:rsidRDefault="00584EC1">
            <w:pPr>
              <w:rPr>
                <w:rFonts w:ascii="宋体"/>
              </w:rPr>
            </w:pPr>
          </w:p>
        </w:tc>
        <w:tc>
          <w:tcPr>
            <w:tcW w:w="537" w:type="pct"/>
            <w:shd w:val="clear" w:color="auto" w:fill="auto"/>
            <w:vAlign w:val="bottom"/>
          </w:tcPr>
          <w:p w14:paraId="74DDBF25" w14:textId="77777777" w:rsidR="00584EC1" w:rsidRDefault="00584EC1">
            <w:pPr>
              <w:rPr>
                <w:rFonts w:ascii="宋体"/>
              </w:rPr>
            </w:pPr>
          </w:p>
        </w:tc>
        <w:tc>
          <w:tcPr>
            <w:tcW w:w="5" w:type="pct"/>
            <w:shd w:val="clear" w:color="auto" w:fill="auto"/>
            <w:vAlign w:val="bottom"/>
          </w:tcPr>
          <w:p w14:paraId="74DDBF26" w14:textId="77777777" w:rsidR="00584EC1" w:rsidRDefault="00584EC1">
            <w:pPr>
              <w:rPr>
                <w:rFonts w:ascii="宋体"/>
              </w:rPr>
            </w:pPr>
          </w:p>
        </w:tc>
        <w:tc>
          <w:tcPr>
            <w:tcW w:w="50" w:type="pct"/>
            <w:shd w:val="clear" w:color="auto" w:fill="auto"/>
            <w:vAlign w:val="bottom"/>
          </w:tcPr>
          <w:p w14:paraId="74DDBF27" w14:textId="77777777" w:rsidR="00584EC1" w:rsidRDefault="00584EC1">
            <w:pPr>
              <w:rPr>
                <w:rFonts w:ascii="宋体"/>
              </w:rPr>
            </w:pPr>
          </w:p>
        </w:tc>
        <w:tc>
          <w:tcPr>
            <w:tcW w:w="376" w:type="pct"/>
            <w:shd w:val="clear" w:color="auto" w:fill="auto"/>
            <w:vAlign w:val="bottom"/>
          </w:tcPr>
          <w:p w14:paraId="74DDBF28" w14:textId="77777777" w:rsidR="00584EC1" w:rsidRDefault="00584EC1">
            <w:pPr>
              <w:rPr>
                <w:rFonts w:ascii="宋体"/>
              </w:rPr>
            </w:pPr>
          </w:p>
        </w:tc>
        <w:tc>
          <w:tcPr>
            <w:tcW w:w="5" w:type="pct"/>
            <w:shd w:val="clear" w:color="auto" w:fill="auto"/>
            <w:vAlign w:val="bottom"/>
          </w:tcPr>
          <w:p w14:paraId="74DDBF29" w14:textId="77777777" w:rsidR="00584EC1" w:rsidRDefault="00584EC1">
            <w:pPr>
              <w:rPr>
                <w:rFonts w:ascii="宋体"/>
              </w:rPr>
            </w:pPr>
          </w:p>
        </w:tc>
        <w:tc>
          <w:tcPr>
            <w:tcW w:w="50" w:type="pct"/>
            <w:shd w:val="clear" w:color="auto" w:fill="auto"/>
            <w:vAlign w:val="bottom"/>
          </w:tcPr>
          <w:p w14:paraId="74DDBF2A" w14:textId="77777777" w:rsidR="00584EC1" w:rsidRDefault="00584EC1">
            <w:pPr>
              <w:rPr>
                <w:rFonts w:ascii="宋体"/>
              </w:rPr>
            </w:pPr>
          </w:p>
        </w:tc>
        <w:tc>
          <w:tcPr>
            <w:tcW w:w="917" w:type="pct"/>
            <w:shd w:val="clear" w:color="auto" w:fill="auto"/>
            <w:vAlign w:val="bottom"/>
          </w:tcPr>
          <w:p w14:paraId="74DDBF2B" w14:textId="77777777" w:rsidR="00584EC1" w:rsidRDefault="00584EC1">
            <w:pPr>
              <w:rPr>
                <w:rFonts w:ascii="宋体"/>
              </w:rPr>
            </w:pPr>
          </w:p>
        </w:tc>
        <w:tc>
          <w:tcPr>
            <w:tcW w:w="5" w:type="pct"/>
            <w:shd w:val="clear" w:color="auto" w:fill="auto"/>
            <w:vAlign w:val="bottom"/>
          </w:tcPr>
          <w:p w14:paraId="74DDBF2C" w14:textId="77777777" w:rsidR="00584EC1" w:rsidRDefault="00584EC1">
            <w:pPr>
              <w:rPr>
                <w:rFonts w:ascii="宋体"/>
              </w:rPr>
            </w:pPr>
          </w:p>
        </w:tc>
      </w:tr>
      <w:tr w:rsidR="00584EC1" w14:paraId="74DDBF33"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4DDBF2E"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BF2F"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BF30"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BF3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BF32" w14:textId="77777777" w:rsidR="00584EC1" w:rsidRDefault="00584EC1">
            <w:pPr>
              <w:rPr>
                <w:rFonts w:ascii="宋体"/>
              </w:rPr>
            </w:pPr>
          </w:p>
        </w:tc>
      </w:tr>
    </w:tbl>
    <w:p w14:paraId="74DDBF34" w14:textId="77777777" w:rsidR="00584EC1" w:rsidRDefault="00871F8D">
      <w:pPr>
        <w:jc w:val="both"/>
      </w:pPr>
      <w:r>
        <w:rPr>
          <w:rFonts w:ascii="Arial" w:eastAsia="宋体" w:hAnsi="Arial" w:cs="Arial"/>
          <w:color w:val="000000"/>
          <w:sz w:val="9"/>
          <w:szCs w:val="9"/>
        </w:rPr>
        <w:t xml:space="preserve">(1) </w:t>
      </w:r>
      <w:r>
        <w:rPr>
          <w:rFonts w:ascii="Arial" w:eastAsia="宋体" w:hAnsi="Arial" w:cs="Arial"/>
          <w:color w:val="000000"/>
          <w:sz w:val="14"/>
          <w:szCs w:val="14"/>
        </w:rPr>
        <w:t xml:space="preserve">Represents counterparty netting against level 2 financial assets and liabilities where a legally enforceable master netting agreement exists between us and the counterparty. Netting also reflects asset and liability reductions of $5.87 billion and </w:t>
      </w:r>
      <w:r>
        <w:rPr>
          <w:rFonts w:ascii="Arial" w:eastAsia="宋体" w:hAnsi="Arial" w:cs="Arial"/>
          <w:color w:val="000000"/>
          <w:sz w:val="14"/>
          <w:szCs w:val="14"/>
        </w:rPr>
        <w:t>$1.29 billion, respectively, for cash collateral received from and provided to derivative counterparties.</w:t>
      </w:r>
    </w:p>
    <w:p w14:paraId="74DDBF35" w14:textId="77777777" w:rsidR="00584EC1" w:rsidRDefault="00871F8D">
      <w:pPr>
        <w:spacing w:before="60"/>
        <w:jc w:val="both"/>
      </w:pPr>
      <w:r>
        <w:rPr>
          <w:rFonts w:ascii="Arial" w:eastAsia="宋体" w:hAnsi="Arial" w:cs="Arial"/>
          <w:color w:val="000000"/>
          <w:sz w:val="9"/>
          <w:szCs w:val="9"/>
        </w:rPr>
        <w:t xml:space="preserve">(2) </w:t>
      </w:r>
      <w:r>
        <w:rPr>
          <w:rFonts w:ascii="Arial" w:eastAsia="宋体" w:hAnsi="Arial" w:cs="Arial"/>
          <w:color w:val="000000"/>
          <w:sz w:val="14"/>
          <w:szCs w:val="14"/>
        </w:rPr>
        <w:t>Consists entirely of non-agency CMBS.</w:t>
      </w:r>
    </w:p>
    <w:p w14:paraId="74DDBF36" w14:textId="77777777" w:rsidR="00584EC1" w:rsidRDefault="00871F8D">
      <w:pPr>
        <w:ind w:firstLine="450"/>
        <w:jc w:val="right"/>
      </w:pPr>
      <w:r>
        <w:rPr>
          <w:rFonts w:ascii="Arial" w:eastAsia="宋体" w:hAnsi="Arial" w:cs="Arial"/>
          <w:color w:val="000000"/>
          <w:sz w:val="18"/>
          <w:szCs w:val="18"/>
        </w:rPr>
        <w:t>State Street Corporation | 61</w:t>
      </w:r>
    </w:p>
    <w:p w14:paraId="74DDBF37" w14:textId="77777777" w:rsidR="00584EC1" w:rsidRDefault="00584EC1">
      <w:pPr>
        <w:ind w:firstLine="450"/>
        <w:jc w:val="center"/>
      </w:pPr>
    </w:p>
    <w:p w14:paraId="74DDBF38" w14:textId="77777777" w:rsidR="00584EC1" w:rsidRDefault="00871F8D">
      <w:r>
        <w:pict w14:anchorId="74DE2A2B">
          <v:rect id="_x0000_i1085" style="width:415.3pt;height:1.5pt" o:hralign="center" o:hrstd="t" o:hr="t" fillcolor="#a0a0a0" stroked="f"/>
        </w:pict>
      </w:r>
    </w:p>
    <w:p w14:paraId="74DDBF39" w14:textId="77777777" w:rsidR="00584EC1" w:rsidRDefault="00871F8D">
      <w:pPr>
        <w:ind w:firstLine="450"/>
        <w:jc w:val="center"/>
      </w:pPr>
      <w:r>
        <w:rPr>
          <w:rFonts w:ascii="Arial" w:eastAsia="宋体" w:hAnsi="Arial" w:cs="Arial"/>
          <w:b/>
          <w:bCs/>
          <w:color w:val="000000"/>
          <w:sz w:val="20"/>
          <w:szCs w:val="20"/>
        </w:rPr>
        <w:t>STATE STREET CORPORATION</w:t>
      </w:r>
    </w:p>
    <w:p w14:paraId="74DDBF3A" w14:textId="77777777" w:rsidR="00584EC1" w:rsidRDefault="00871F8D">
      <w:pPr>
        <w:ind w:firstLine="450"/>
        <w:jc w:val="center"/>
      </w:pPr>
      <w:r>
        <w:rPr>
          <w:rFonts w:ascii="Arial" w:eastAsia="宋体" w:hAnsi="Arial" w:cs="Arial"/>
          <w:b/>
          <w:bCs/>
          <w:color w:val="000000"/>
          <w:sz w:val="20"/>
          <w:szCs w:val="20"/>
        </w:rPr>
        <w:t>CONDENSED NOTES TO CONSOLIDATED FINANCIAL STATEMEN</w:t>
      </w:r>
      <w:r>
        <w:rPr>
          <w:rFonts w:ascii="Arial" w:eastAsia="宋体" w:hAnsi="Arial" w:cs="Arial"/>
          <w:b/>
          <w:bCs/>
          <w:color w:val="000000"/>
          <w:sz w:val="20"/>
          <w:szCs w:val="20"/>
        </w:rPr>
        <w:t>TS</w:t>
      </w:r>
    </w:p>
    <w:p w14:paraId="74DDBF3B" w14:textId="77777777" w:rsidR="00584EC1" w:rsidRDefault="00871F8D">
      <w:pPr>
        <w:ind w:firstLine="450"/>
        <w:jc w:val="center"/>
      </w:pPr>
      <w:r>
        <w:rPr>
          <w:rFonts w:ascii="Arial" w:eastAsia="宋体" w:hAnsi="Arial" w:cs="Arial"/>
          <w:b/>
          <w:bCs/>
          <w:color w:val="000000"/>
          <w:sz w:val="20"/>
          <w:szCs w:val="20"/>
        </w:rPr>
        <w:t>(UNAUDITED)</w:t>
      </w:r>
    </w:p>
    <w:p w14:paraId="74DDBF3C" w14:textId="77777777" w:rsidR="00584EC1" w:rsidRDefault="00871F8D">
      <w:pPr>
        <w:spacing w:before="120"/>
        <w:ind w:firstLine="450"/>
        <w:jc w:val="both"/>
      </w:pPr>
      <w:r>
        <w:rPr>
          <w:rFonts w:ascii="Arial" w:eastAsia="宋体" w:hAnsi="Arial" w:cs="Arial"/>
          <w:color w:val="000000"/>
          <w:sz w:val="20"/>
          <w:szCs w:val="20"/>
        </w:rPr>
        <w:t xml:space="preserve">The following tables present activity related to our level 3 financial assets during the three and nine months ended September 30, 2021 and 2020, respectively. Transfers into and out of level 3 are reported as of the beginning of the </w:t>
      </w:r>
      <w:r>
        <w:rPr>
          <w:rFonts w:ascii="Arial" w:eastAsia="宋体" w:hAnsi="Arial" w:cs="Arial"/>
          <w:color w:val="000000"/>
          <w:sz w:val="20"/>
          <w:szCs w:val="20"/>
        </w:rPr>
        <w:t>period presented. During the three months ended September 30, 2021, there were no transfers into and out of level 3. During the nine months ended September 30, 2021, transfers into level 3 were primarily related to a U.S. corporate bond, for which fair val</w:t>
      </w:r>
      <w:r>
        <w:rPr>
          <w:rFonts w:ascii="Arial" w:eastAsia="宋体" w:hAnsi="Arial" w:cs="Arial"/>
          <w:color w:val="000000"/>
          <w:sz w:val="20"/>
          <w:szCs w:val="20"/>
        </w:rPr>
        <w:t xml:space="preserve">ue was measured using information obtained from third party sources, including non-binding broker/dealer quotes. During the nine months ended September 30, 2021, transfers out of level 3 were primarily related to collateralized loan obligations and a U.S. </w:t>
      </w:r>
      <w:r>
        <w:rPr>
          <w:rFonts w:ascii="Arial" w:eastAsia="宋体" w:hAnsi="Arial" w:cs="Arial"/>
          <w:color w:val="000000"/>
          <w:sz w:val="20"/>
          <w:szCs w:val="20"/>
        </w:rPr>
        <w:t>corporate bond, for which fair value was measured using prices for which observable market information became available. During the three and nine months ended September 30, 2020, transfers into level 3 were primarily related to collateralized loan obligat</w:t>
      </w:r>
      <w:r>
        <w:rPr>
          <w:rFonts w:ascii="Arial" w:eastAsia="宋体" w:hAnsi="Arial" w:cs="Arial"/>
          <w:color w:val="000000"/>
          <w:sz w:val="20"/>
          <w:szCs w:val="20"/>
        </w:rPr>
        <w:t>ions. During the three and nine months ended September 30, 2020, there were no transfers out of level 3.</w:t>
      </w:r>
    </w:p>
    <w:tbl>
      <w:tblPr>
        <w:tblW w:w="5000" w:type="pct"/>
        <w:tblCellMar>
          <w:top w:w="15" w:type="dxa"/>
          <w:left w:w="15" w:type="dxa"/>
          <w:bottom w:w="15" w:type="dxa"/>
          <w:right w:w="15" w:type="dxa"/>
        </w:tblCellMar>
        <w:tblLook w:val="04A0" w:firstRow="1" w:lastRow="0" w:firstColumn="1" w:lastColumn="0" w:noHBand="0" w:noVBand="1"/>
      </w:tblPr>
      <w:tblGrid>
        <w:gridCol w:w="42"/>
        <w:gridCol w:w="693"/>
        <w:gridCol w:w="37"/>
        <w:gridCol w:w="88"/>
        <w:gridCol w:w="308"/>
        <w:gridCol w:w="36"/>
        <w:gridCol w:w="36"/>
        <w:gridCol w:w="36"/>
        <w:gridCol w:w="36"/>
        <w:gridCol w:w="89"/>
        <w:gridCol w:w="562"/>
        <w:gridCol w:w="37"/>
        <w:gridCol w:w="37"/>
        <w:gridCol w:w="37"/>
        <w:gridCol w:w="37"/>
        <w:gridCol w:w="88"/>
        <w:gridCol w:w="819"/>
        <w:gridCol w:w="36"/>
        <w:gridCol w:w="36"/>
        <w:gridCol w:w="36"/>
        <w:gridCol w:w="36"/>
        <w:gridCol w:w="91"/>
        <w:gridCol w:w="548"/>
        <w:gridCol w:w="36"/>
        <w:gridCol w:w="36"/>
        <w:gridCol w:w="36"/>
        <w:gridCol w:w="36"/>
        <w:gridCol w:w="36"/>
        <w:gridCol w:w="36"/>
        <w:gridCol w:w="88"/>
        <w:gridCol w:w="278"/>
        <w:gridCol w:w="36"/>
        <w:gridCol w:w="36"/>
        <w:gridCol w:w="36"/>
        <w:gridCol w:w="36"/>
        <w:gridCol w:w="90"/>
        <w:gridCol w:w="623"/>
        <w:gridCol w:w="36"/>
        <w:gridCol w:w="36"/>
        <w:gridCol w:w="36"/>
        <w:gridCol w:w="36"/>
        <w:gridCol w:w="90"/>
        <w:gridCol w:w="489"/>
        <w:gridCol w:w="36"/>
        <w:gridCol w:w="36"/>
        <w:gridCol w:w="36"/>
        <w:gridCol w:w="36"/>
        <w:gridCol w:w="90"/>
        <w:gridCol w:w="489"/>
        <w:gridCol w:w="36"/>
        <w:gridCol w:w="36"/>
        <w:gridCol w:w="36"/>
        <w:gridCol w:w="36"/>
        <w:gridCol w:w="88"/>
        <w:gridCol w:w="583"/>
        <w:gridCol w:w="36"/>
        <w:gridCol w:w="36"/>
        <w:gridCol w:w="36"/>
        <w:gridCol w:w="727"/>
      </w:tblGrid>
      <w:tr w:rsidR="00584EC1" w14:paraId="74DDBF78" w14:textId="77777777">
        <w:tc>
          <w:tcPr>
            <w:tcW w:w="50" w:type="pct"/>
            <w:shd w:val="clear" w:color="auto" w:fill="auto"/>
            <w:vAlign w:val="bottom"/>
          </w:tcPr>
          <w:p w14:paraId="74DDBF3D" w14:textId="77777777" w:rsidR="00584EC1" w:rsidRDefault="00584EC1">
            <w:pPr>
              <w:rPr>
                <w:rFonts w:ascii="宋体"/>
              </w:rPr>
            </w:pPr>
          </w:p>
        </w:tc>
        <w:tc>
          <w:tcPr>
            <w:tcW w:w="785" w:type="pct"/>
            <w:shd w:val="clear" w:color="auto" w:fill="auto"/>
            <w:vAlign w:val="bottom"/>
          </w:tcPr>
          <w:p w14:paraId="74DDBF3E" w14:textId="77777777" w:rsidR="00584EC1" w:rsidRDefault="00584EC1">
            <w:pPr>
              <w:rPr>
                <w:rFonts w:ascii="宋体"/>
              </w:rPr>
            </w:pPr>
          </w:p>
        </w:tc>
        <w:tc>
          <w:tcPr>
            <w:tcW w:w="5" w:type="pct"/>
            <w:shd w:val="clear" w:color="auto" w:fill="auto"/>
            <w:vAlign w:val="bottom"/>
          </w:tcPr>
          <w:p w14:paraId="74DDBF3F" w14:textId="77777777" w:rsidR="00584EC1" w:rsidRDefault="00584EC1">
            <w:pPr>
              <w:rPr>
                <w:rFonts w:ascii="宋体"/>
              </w:rPr>
            </w:pPr>
          </w:p>
        </w:tc>
        <w:tc>
          <w:tcPr>
            <w:tcW w:w="50" w:type="pct"/>
            <w:shd w:val="clear" w:color="auto" w:fill="auto"/>
            <w:vAlign w:val="bottom"/>
          </w:tcPr>
          <w:p w14:paraId="74DDBF40" w14:textId="77777777" w:rsidR="00584EC1" w:rsidRDefault="00584EC1">
            <w:pPr>
              <w:rPr>
                <w:rFonts w:ascii="宋体"/>
              </w:rPr>
            </w:pPr>
          </w:p>
        </w:tc>
        <w:tc>
          <w:tcPr>
            <w:tcW w:w="317" w:type="pct"/>
            <w:shd w:val="clear" w:color="auto" w:fill="auto"/>
            <w:vAlign w:val="bottom"/>
          </w:tcPr>
          <w:p w14:paraId="74DDBF41" w14:textId="77777777" w:rsidR="00584EC1" w:rsidRDefault="00584EC1">
            <w:pPr>
              <w:rPr>
                <w:rFonts w:ascii="宋体"/>
              </w:rPr>
            </w:pPr>
          </w:p>
        </w:tc>
        <w:tc>
          <w:tcPr>
            <w:tcW w:w="5" w:type="pct"/>
            <w:shd w:val="clear" w:color="auto" w:fill="auto"/>
            <w:vAlign w:val="bottom"/>
          </w:tcPr>
          <w:p w14:paraId="74DDBF42" w14:textId="77777777" w:rsidR="00584EC1" w:rsidRDefault="00584EC1">
            <w:pPr>
              <w:rPr>
                <w:rFonts w:ascii="宋体"/>
              </w:rPr>
            </w:pPr>
          </w:p>
        </w:tc>
        <w:tc>
          <w:tcPr>
            <w:tcW w:w="5" w:type="pct"/>
            <w:shd w:val="clear" w:color="auto" w:fill="auto"/>
            <w:vAlign w:val="bottom"/>
          </w:tcPr>
          <w:p w14:paraId="74DDBF43" w14:textId="77777777" w:rsidR="00584EC1" w:rsidRDefault="00584EC1">
            <w:pPr>
              <w:rPr>
                <w:rFonts w:ascii="宋体"/>
              </w:rPr>
            </w:pPr>
          </w:p>
        </w:tc>
        <w:tc>
          <w:tcPr>
            <w:tcW w:w="19" w:type="pct"/>
            <w:shd w:val="clear" w:color="auto" w:fill="auto"/>
            <w:vAlign w:val="bottom"/>
          </w:tcPr>
          <w:p w14:paraId="74DDBF44" w14:textId="77777777" w:rsidR="00584EC1" w:rsidRDefault="00584EC1">
            <w:pPr>
              <w:rPr>
                <w:rFonts w:ascii="宋体"/>
              </w:rPr>
            </w:pPr>
          </w:p>
        </w:tc>
        <w:tc>
          <w:tcPr>
            <w:tcW w:w="5" w:type="pct"/>
            <w:shd w:val="clear" w:color="auto" w:fill="auto"/>
            <w:vAlign w:val="bottom"/>
          </w:tcPr>
          <w:p w14:paraId="74DDBF45" w14:textId="77777777" w:rsidR="00584EC1" w:rsidRDefault="00584EC1">
            <w:pPr>
              <w:rPr>
                <w:rFonts w:ascii="宋体"/>
              </w:rPr>
            </w:pPr>
          </w:p>
        </w:tc>
        <w:tc>
          <w:tcPr>
            <w:tcW w:w="50" w:type="pct"/>
            <w:shd w:val="clear" w:color="auto" w:fill="auto"/>
            <w:vAlign w:val="bottom"/>
          </w:tcPr>
          <w:p w14:paraId="74DDBF46" w14:textId="77777777" w:rsidR="00584EC1" w:rsidRDefault="00584EC1">
            <w:pPr>
              <w:rPr>
                <w:rFonts w:ascii="宋体"/>
              </w:rPr>
            </w:pPr>
          </w:p>
        </w:tc>
        <w:tc>
          <w:tcPr>
            <w:tcW w:w="317" w:type="pct"/>
            <w:shd w:val="clear" w:color="auto" w:fill="auto"/>
            <w:vAlign w:val="bottom"/>
          </w:tcPr>
          <w:p w14:paraId="74DDBF47" w14:textId="77777777" w:rsidR="00584EC1" w:rsidRDefault="00584EC1">
            <w:pPr>
              <w:rPr>
                <w:rFonts w:ascii="宋体"/>
              </w:rPr>
            </w:pPr>
          </w:p>
        </w:tc>
        <w:tc>
          <w:tcPr>
            <w:tcW w:w="5" w:type="pct"/>
            <w:shd w:val="clear" w:color="auto" w:fill="auto"/>
            <w:vAlign w:val="bottom"/>
          </w:tcPr>
          <w:p w14:paraId="74DDBF48" w14:textId="77777777" w:rsidR="00584EC1" w:rsidRDefault="00584EC1">
            <w:pPr>
              <w:rPr>
                <w:rFonts w:ascii="宋体"/>
              </w:rPr>
            </w:pPr>
          </w:p>
        </w:tc>
        <w:tc>
          <w:tcPr>
            <w:tcW w:w="5" w:type="pct"/>
            <w:shd w:val="clear" w:color="auto" w:fill="auto"/>
            <w:vAlign w:val="bottom"/>
          </w:tcPr>
          <w:p w14:paraId="74DDBF49" w14:textId="77777777" w:rsidR="00584EC1" w:rsidRDefault="00584EC1">
            <w:pPr>
              <w:rPr>
                <w:rFonts w:ascii="宋体"/>
              </w:rPr>
            </w:pPr>
          </w:p>
        </w:tc>
        <w:tc>
          <w:tcPr>
            <w:tcW w:w="19" w:type="pct"/>
            <w:shd w:val="clear" w:color="auto" w:fill="auto"/>
            <w:vAlign w:val="bottom"/>
          </w:tcPr>
          <w:p w14:paraId="74DDBF4A" w14:textId="77777777" w:rsidR="00584EC1" w:rsidRDefault="00584EC1">
            <w:pPr>
              <w:rPr>
                <w:rFonts w:ascii="宋体"/>
              </w:rPr>
            </w:pPr>
          </w:p>
        </w:tc>
        <w:tc>
          <w:tcPr>
            <w:tcW w:w="5" w:type="pct"/>
            <w:shd w:val="clear" w:color="auto" w:fill="auto"/>
            <w:vAlign w:val="bottom"/>
          </w:tcPr>
          <w:p w14:paraId="74DDBF4B" w14:textId="77777777" w:rsidR="00584EC1" w:rsidRDefault="00584EC1">
            <w:pPr>
              <w:rPr>
                <w:rFonts w:ascii="宋体"/>
              </w:rPr>
            </w:pPr>
          </w:p>
        </w:tc>
        <w:tc>
          <w:tcPr>
            <w:tcW w:w="50" w:type="pct"/>
            <w:shd w:val="clear" w:color="auto" w:fill="auto"/>
            <w:vAlign w:val="bottom"/>
          </w:tcPr>
          <w:p w14:paraId="74DDBF4C" w14:textId="77777777" w:rsidR="00584EC1" w:rsidRDefault="00584EC1">
            <w:pPr>
              <w:rPr>
                <w:rFonts w:ascii="宋体"/>
              </w:rPr>
            </w:pPr>
          </w:p>
        </w:tc>
        <w:tc>
          <w:tcPr>
            <w:tcW w:w="463" w:type="pct"/>
            <w:shd w:val="clear" w:color="auto" w:fill="auto"/>
            <w:vAlign w:val="bottom"/>
          </w:tcPr>
          <w:p w14:paraId="74DDBF4D" w14:textId="77777777" w:rsidR="00584EC1" w:rsidRDefault="00584EC1">
            <w:pPr>
              <w:rPr>
                <w:rFonts w:ascii="宋体"/>
              </w:rPr>
            </w:pPr>
          </w:p>
        </w:tc>
        <w:tc>
          <w:tcPr>
            <w:tcW w:w="5" w:type="pct"/>
            <w:shd w:val="clear" w:color="auto" w:fill="auto"/>
            <w:vAlign w:val="bottom"/>
          </w:tcPr>
          <w:p w14:paraId="74DDBF4E" w14:textId="77777777" w:rsidR="00584EC1" w:rsidRDefault="00584EC1">
            <w:pPr>
              <w:rPr>
                <w:rFonts w:ascii="宋体"/>
              </w:rPr>
            </w:pPr>
          </w:p>
        </w:tc>
        <w:tc>
          <w:tcPr>
            <w:tcW w:w="5" w:type="pct"/>
            <w:shd w:val="clear" w:color="auto" w:fill="auto"/>
            <w:vAlign w:val="bottom"/>
          </w:tcPr>
          <w:p w14:paraId="74DDBF4F" w14:textId="77777777" w:rsidR="00584EC1" w:rsidRDefault="00584EC1">
            <w:pPr>
              <w:rPr>
                <w:rFonts w:ascii="宋体"/>
              </w:rPr>
            </w:pPr>
          </w:p>
        </w:tc>
        <w:tc>
          <w:tcPr>
            <w:tcW w:w="19" w:type="pct"/>
            <w:shd w:val="clear" w:color="auto" w:fill="auto"/>
            <w:vAlign w:val="bottom"/>
          </w:tcPr>
          <w:p w14:paraId="74DDBF50" w14:textId="77777777" w:rsidR="00584EC1" w:rsidRDefault="00584EC1">
            <w:pPr>
              <w:rPr>
                <w:rFonts w:ascii="宋体"/>
              </w:rPr>
            </w:pPr>
          </w:p>
        </w:tc>
        <w:tc>
          <w:tcPr>
            <w:tcW w:w="5" w:type="pct"/>
            <w:shd w:val="clear" w:color="auto" w:fill="auto"/>
            <w:vAlign w:val="bottom"/>
          </w:tcPr>
          <w:p w14:paraId="74DDBF51" w14:textId="77777777" w:rsidR="00584EC1" w:rsidRDefault="00584EC1">
            <w:pPr>
              <w:rPr>
                <w:rFonts w:ascii="宋体"/>
              </w:rPr>
            </w:pPr>
          </w:p>
        </w:tc>
        <w:tc>
          <w:tcPr>
            <w:tcW w:w="50" w:type="pct"/>
            <w:shd w:val="clear" w:color="auto" w:fill="auto"/>
            <w:vAlign w:val="bottom"/>
          </w:tcPr>
          <w:p w14:paraId="74DDBF52" w14:textId="77777777" w:rsidR="00584EC1" w:rsidRDefault="00584EC1">
            <w:pPr>
              <w:rPr>
                <w:rFonts w:ascii="宋体"/>
              </w:rPr>
            </w:pPr>
          </w:p>
        </w:tc>
        <w:tc>
          <w:tcPr>
            <w:tcW w:w="303" w:type="pct"/>
            <w:shd w:val="clear" w:color="auto" w:fill="auto"/>
            <w:vAlign w:val="bottom"/>
          </w:tcPr>
          <w:p w14:paraId="74DDBF53" w14:textId="77777777" w:rsidR="00584EC1" w:rsidRDefault="00584EC1">
            <w:pPr>
              <w:rPr>
                <w:rFonts w:ascii="宋体"/>
              </w:rPr>
            </w:pPr>
          </w:p>
        </w:tc>
        <w:tc>
          <w:tcPr>
            <w:tcW w:w="5" w:type="pct"/>
            <w:shd w:val="clear" w:color="auto" w:fill="auto"/>
            <w:vAlign w:val="bottom"/>
          </w:tcPr>
          <w:p w14:paraId="74DDBF54" w14:textId="77777777" w:rsidR="00584EC1" w:rsidRDefault="00584EC1">
            <w:pPr>
              <w:rPr>
                <w:rFonts w:ascii="宋体"/>
              </w:rPr>
            </w:pPr>
          </w:p>
        </w:tc>
        <w:tc>
          <w:tcPr>
            <w:tcW w:w="5" w:type="pct"/>
            <w:shd w:val="clear" w:color="auto" w:fill="auto"/>
            <w:vAlign w:val="bottom"/>
          </w:tcPr>
          <w:p w14:paraId="74DDBF55" w14:textId="77777777" w:rsidR="00584EC1" w:rsidRDefault="00584EC1">
            <w:pPr>
              <w:rPr>
                <w:rFonts w:ascii="宋体"/>
              </w:rPr>
            </w:pPr>
          </w:p>
        </w:tc>
        <w:tc>
          <w:tcPr>
            <w:tcW w:w="19" w:type="pct"/>
            <w:shd w:val="clear" w:color="auto" w:fill="auto"/>
            <w:vAlign w:val="bottom"/>
          </w:tcPr>
          <w:p w14:paraId="74DDBF56" w14:textId="77777777" w:rsidR="00584EC1" w:rsidRDefault="00584EC1">
            <w:pPr>
              <w:rPr>
                <w:rFonts w:ascii="宋体"/>
              </w:rPr>
            </w:pPr>
          </w:p>
        </w:tc>
        <w:tc>
          <w:tcPr>
            <w:tcW w:w="5" w:type="pct"/>
            <w:shd w:val="clear" w:color="auto" w:fill="auto"/>
            <w:vAlign w:val="bottom"/>
          </w:tcPr>
          <w:p w14:paraId="74DDBF57" w14:textId="77777777" w:rsidR="00584EC1" w:rsidRDefault="00584EC1">
            <w:pPr>
              <w:rPr>
                <w:rFonts w:ascii="宋体"/>
              </w:rPr>
            </w:pPr>
          </w:p>
        </w:tc>
        <w:tc>
          <w:tcPr>
            <w:tcW w:w="0" w:type="auto"/>
            <w:shd w:val="clear" w:color="auto" w:fill="auto"/>
            <w:vAlign w:val="bottom"/>
          </w:tcPr>
          <w:p w14:paraId="74DDBF58" w14:textId="77777777" w:rsidR="00584EC1" w:rsidRDefault="00584EC1">
            <w:pPr>
              <w:rPr>
                <w:rFonts w:ascii="宋体"/>
                <w:vanish/>
              </w:rPr>
            </w:pPr>
          </w:p>
        </w:tc>
        <w:tc>
          <w:tcPr>
            <w:tcW w:w="0" w:type="auto"/>
            <w:shd w:val="clear" w:color="auto" w:fill="auto"/>
            <w:vAlign w:val="bottom"/>
          </w:tcPr>
          <w:p w14:paraId="74DDBF59" w14:textId="77777777" w:rsidR="00584EC1" w:rsidRDefault="00584EC1">
            <w:pPr>
              <w:rPr>
                <w:rFonts w:ascii="宋体"/>
                <w:vanish/>
              </w:rPr>
            </w:pPr>
          </w:p>
        </w:tc>
        <w:tc>
          <w:tcPr>
            <w:tcW w:w="50" w:type="pct"/>
            <w:shd w:val="clear" w:color="auto" w:fill="auto"/>
            <w:vAlign w:val="bottom"/>
          </w:tcPr>
          <w:p w14:paraId="74DDBF5A" w14:textId="77777777" w:rsidR="00584EC1" w:rsidRDefault="00584EC1">
            <w:pPr>
              <w:rPr>
                <w:rFonts w:ascii="宋体"/>
              </w:rPr>
            </w:pPr>
          </w:p>
        </w:tc>
        <w:tc>
          <w:tcPr>
            <w:tcW w:w="200" w:type="pct"/>
            <w:shd w:val="clear" w:color="auto" w:fill="auto"/>
            <w:vAlign w:val="bottom"/>
          </w:tcPr>
          <w:p w14:paraId="74DDBF5B" w14:textId="77777777" w:rsidR="00584EC1" w:rsidRDefault="00584EC1">
            <w:pPr>
              <w:rPr>
                <w:rFonts w:ascii="宋体"/>
              </w:rPr>
            </w:pPr>
          </w:p>
        </w:tc>
        <w:tc>
          <w:tcPr>
            <w:tcW w:w="5" w:type="pct"/>
            <w:shd w:val="clear" w:color="auto" w:fill="auto"/>
            <w:vAlign w:val="bottom"/>
          </w:tcPr>
          <w:p w14:paraId="74DDBF5C" w14:textId="77777777" w:rsidR="00584EC1" w:rsidRDefault="00584EC1">
            <w:pPr>
              <w:rPr>
                <w:rFonts w:ascii="宋体"/>
              </w:rPr>
            </w:pPr>
          </w:p>
        </w:tc>
        <w:tc>
          <w:tcPr>
            <w:tcW w:w="5" w:type="pct"/>
            <w:shd w:val="clear" w:color="auto" w:fill="auto"/>
            <w:vAlign w:val="bottom"/>
          </w:tcPr>
          <w:p w14:paraId="74DDBF5D" w14:textId="77777777" w:rsidR="00584EC1" w:rsidRDefault="00584EC1">
            <w:pPr>
              <w:rPr>
                <w:rFonts w:ascii="宋体"/>
              </w:rPr>
            </w:pPr>
          </w:p>
        </w:tc>
        <w:tc>
          <w:tcPr>
            <w:tcW w:w="19" w:type="pct"/>
            <w:shd w:val="clear" w:color="auto" w:fill="auto"/>
            <w:vAlign w:val="bottom"/>
          </w:tcPr>
          <w:p w14:paraId="74DDBF5E" w14:textId="77777777" w:rsidR="00584EC1" w:rsidRDefault="00584EC1">
            <w:pPr>
              <w:rPr>
                <w:rFonts w:ascii="宋体"/>
              </w:rPr>
            </w:pPr>
          </w:p>
        </w:tc>
        <w:tc>
          <w:tcPr>
            <w:tcW w:w="5" w:type="pct"/>
            <w:shd w:val="clear" w:color="auto" w:fill="auto"/>
            <w:vAlign w:val="bottom"/>
          </w:tcPr>
          <w:p w14:paraId="74DDBF5F" w14:textId="77777777" w:rsidR="00584EC1" w:rsidRDefault="00584EC1">
            <w:pPr>
              <w:rPr>
                <w:rFonts w:ascii="宋体"/>
              </w:rPr>
            </w:pPr>
          </w:p>
        </w:tc>
        <w:tc>
          <w:tcPr>
            <w:tcW w:w="50" w:type="pct"/>
            <w:shd w:val="clear" w:color="auto" w:fill="auto"/>
            <w:vAlign w:val="bottom"/>
          </w:tcPr>
          <w:p w14:paraId="74DDBF60" w14:textId="77777777" w:rsidR="00584EC1" w:rsidRDefault="00584EC1">
            <w:pPr>
              <w:rPr>
                <w:rFonts w:ascii="宋体"/>
              </w:rPr>
            </w:pPr>
          </w:p>
        </w:tc>
        <w:tc>
          <w:tcPr>
            <w:tcW w:w="347" w:type="pct"/>
            <w:shd w:val="clear" w:color="auto" w:fill="auto"/>
            <w:vAlign w:val="bottom"/>
          </w:tcPr>
          <w:p w14:paraId="74DDBF61" w14:textId="77777777" w:rsidR="00584EC1" w:rsidRDefault="00584EC1">
            <w:pPr>
              <w:rPr>
                <w:rFonts w:ascii="宋体"/>
              </w:rPr>
            </w:pPr>
          </w:p>
        </w:tc>
        <w:tc>
          <w:tcPr>
            <w:tcW w:w="5" w:type="pct"/>
            <w:shd w:val="clear" w:color="auto" w:fill="auto"/>
            <w:vAlign w:val="bottom"/>
          </w:tcPr>
          <w:p w14:paraId="74DDBF62" w14:textId="77777777" w:rsidR="00584EC1" w:rsidRDefault="00584EC1">
            <w:pPr>
              <w:rPr>
                <w:rFonts w:ascii="宋体"/>
              </w:rPr>
            </w:pPr>
          </w:p>
        </w:tc>
        <w:tc>
          <w:tcPr>
            <w:tcW w:w="5" w:type="pct"/>
            <w:shd w:val="clear" w:color="auto" w:fill="auto"/>
            <w:vAlign w:val="bottom"/>
          </w:tcPr>
          <w:p w14:paraId="74DDBF63" w14:textId="77777777" w:rsidR="00584EC1" w:rsidRDefault="00584EC1">
            <w:pPr>
              <w:rPr>
                <w:rFonts w:ascii="宋体"/>
              </w:rPr>
            </w:pPr>
          </w:p>
        </w:tc>
        <w:tc>
          <w:tcPr>
            <w:tcW w:w="19" w:type="pct"/>
            <w:shd w:val="clear" w:color="auto" w:fill="auto"/>
            <w:vAlign w:val="bottom"/>
          </w:tcPr>
          <w:p w14:paraId="74DDBF64" w14:textId="77777777" w:rsidR="00584EC1" w:rsidRDefault="00584EC1">
            <w:pPr>
              <w:rPr>
                <w:rFonts w:ascii="宋体"/>
              </w:rPr>
            </w:pPr>
          </w:p>
        </w:tc>
        <w:tc>
          <w:tcPr>
            <w:tcW w:w="5" w:type="pct"/>
            <w:shd w:val="clear" w:color="auto" w:fill="auto"/>
            <w:vAlign w:val="bottom"/>
          </w:tcPr>
          <w:p w14:paraId="74DDBF65" w14:textId="77777777" w:rsidR="00584EC1" w:rsidRDefault="00584EC1">
            <w:pPr>
              <w:rPr>
                <w:rFonts w:ascii="宋体"/>
              </w:rPr>
            </w:pPr>
          </w:p>
        </w:tc>
        <w:tc>
          <w:tcPr>
            <w:tcW w:w="50" w:type="pct"/>
            <w:shd w:val="clear" w:color="auto" w:fill="auto"/>
            <w:vAlign w:val="bottom"/>
          </w:tcPr>
          <w:p w14:paraId="74DDBF66" w14:textId="77777777" w:rsidR="00584EC1" w:rsidRDefault="00584EC1">
            <w:pPr>
              <w:rPr>
                <w:rFonts w:ascii="宋体"/>
              </w:rPr>
            </w:pPr>
          </w:p>
        </w:tc>
        <w:tc>
          <w:tcPr>
            <w:tcW w:w="273" w:type="pct"/>
            <w:shd w:val="clear" w:color="auto" w:fill="auto"/>
            <w:vAlign w:val="bottom"/>
          </w:tcPr>
          <w:p w14:paraId="74DDBF67" w14:textId="77777777" w:rsidR="00584EC1" w:rsidRDefault="00584EC1">
            <w:pPr>
              <w:rPr>
                <w:rFonts w:ascii="宋体"/>
              </w:rPr>
            </w:pPr>
          </w:p>
        </w:tc>
        <w:tc>
          <w:tcPr>
            <w:tcW w:w="5" w:type="pct"/>
            <w:shd w:val="clear" w:color="auto" w:fill="auto"/>
            <w:vAlign w:val="bottom"/>
          </w:tcPr>
          <w:p w14:paraId="74DDBF68" w14:textId="77777777" w:rsidR="00584EC1" w:rsidRDefault="00584EC1">
            <w:pPr>
              <w:rPr>
                <w:rFonts w:ascii="宋体"/>
              </w:rPr>
            </w:pPr>
          </w:p>
        </w:tc>
        <w:tc>
          <w:tcPr>
            <w:tcW w:w="5" w:type="pct"/>
            <w:shd w:val="clear" w:color="auto" w:fill="auto"/>
            <w:vAlign w:val="bottom"/>
          </w:tcPr>
          <w:p w14:paraId="74DDBF69" w14:textId="77777777" w:rsidR="00584EC1" w:rsidRDefault="00584EC1">
            <w:pPr>
              <w:rPr>
                <w:rFonts w:ascii="宋体"/>
              </w:rPr>
            </w:pPr>
          </w:p>
        </w:tc>
        <w:tc>
          <w:tcPr>
            <w:tcW w:w="19" w:type="pct"/>
            <w:shd w:val="clear" w:color="auto" w:fill="auto"/>
            <w:vAlign w:val="bottom"/>
          </w:tcPr>
          <w:p w14:paraId="74DDBF6A" w14:textId="77777777" w:rsidR="00584EC1" w:rsidRDefault="00584EC1">
            <w:pPr>
              <w:rPr>
                <w:rFonts w:ascii="宋体"/>
              </w:rPr>
            </w:pPr>
          </w:p>
        </w:tc>
        <w:tc>
          <w:tcPr>
            <w:tcW w:w="5" w:type="pct"/>
            <w:shd w:val="clear" w:color="auto" w:fill="auto"/>
            <w:vAlign w:val="bottom"/>
          </w:tcPr>
          <w:p w14:paraId="74DDBF6B" w14:textId="77777777" w:rsidR="00584EC1" w:rsidRDefault="00584EC1">
            <w:pPr>
              <w:rPr>
                <w:rFonts w:ascii="宋体"/>
              </w:rPr>
            </w:pPr>
          </w:p>
        </w:tc>
        <w:tc>
          <w:tcPr>
            <w:tcW w:w="50" w:type="pct"/>
            <w:shd w:val="clear" w:color="auto" w:fill="auto"/>
            <w:vAlign w:val="bottom"/>
          </w:tcPr>
          <w:p w14:paraId="74DDBF6C" w14:textId="77777777" w:rsidR="00584EC1" w:rsidRDefault="00584EC1">
            <w:pPr>
              <w:rPr>
                <w:rFonts w:ascii="宋体"/>
              </w:rPr>
            </w:pPr>
          </w:p>
        </w:tc>
        <w:tc>
          <w:tcPr>
            <w:tcW w:w="273" w:type="pct"/>
            <w:shd w:val="clear" w:color="auto" w:fill="auto"/>
            <w:vAlign w:val="bottom"/>
          </w:tcPr>
          <w:p w14:paraId="74DDBF6D" w14:textId="77777777" w:rsidR="00584EC1" w:rsidRDefault="00584EC1">
            <w:pPr>
              <w:rPr>
                <w:rFonts w:ascii="宋体"/>
              </w:rPr>
            </w:pPr>
          </w:p>
        </w:tc>
        <w:tc>
          <w:tcPr>
            <w:tcW w:w="5" w:type="pct"/>
            <w:shd w:val="clear" w:color="auto" w:fill="auto"/>
            <w:vAlign w:val="bottom"/>
          </w:tcPr>
          <w:p w14:paraId="74DDBF6E" w14:textId="77777777" w:rsidR="00584EC1" w:rsidRDefault="00584EC1">
            <w:pPr>
              <w:rPr>
                <w:rFonts w:ascii="宋体"/>
              </w:rPr>
            </w:pPr>
          </w:p>
        </w:tc>
        <w:tc>
          <w:tcPr>
            <w:tcW w:w="5" w:type="pct"/>
            <w:shd w:val="clear" w:color="auto" w:fill="auto"/>
            <w:vAlign w:val="bottom"/>
          </w:tcPr>
          <w:p w14:paraId="74DDBF6F" w14:textId="77777777" w:rsidR="00584EC1" w:rsidRDefault="00584EC1">
            <w:pPr>
              <w:rPr>
                <w:rFonts w:ascii="宋体"/>
              </w:rPr>
            </w:pPr>
          </w:p>
        </w:tc>
        <w:tc>
          <w:tcPr>
            <w:tcW w:w="19" w:type="pct"/>
            <w:shd w:val="clear" w:color="auto" w:fill="auto"/>
            <w:vAlign w:val="bottom"/>
          </w:tcPr>
          <w:p w14:paraId="74DDBF70" w14:textId="77777777" w:rsidR="00584EC1" w:rsidRDefault="00584EC1">
            <w:pPr>
              <w:rPr>
                <w:rFonts w:ascii="宋体"/>
              </w:rPr>
            </w:pPr>
          </w:p>
        </w:tc>
        <w:tc>
          <w:tcPr>
            <w:tcW w:w="5" w:type="pct"/>
            <w:shd w:val="clear" w:color="auto" w:fill="auto"/>
            <w:vAlign w:val="bottom"/>
          </w:tcPr>
          <w:p w14:paraId="74DDBF71" w14:textId="77777777" w:rsidR="00584EC1" w:rsidRDefault="00584EC1">
            <w:pPr>
              <w:rPr>
                <w:rFonts w:ascii="宋体"/>
              </w:rPr>
            </w:pPr>
          </w:p>
        </w:tc>
        <w:tc>
          <w:tcPr>
            <w:tcW w:w="50" w:type="pct"/>
            <w:shd w:val="clear" w:color="auto" w:fill="auto"/>
            <w:vAlign w:val="bottom"/>
          </w:tcPr>
          <w:p w14:paraId="74DDBF72" w14:textId="77777777" w:rsidR="00584EC1" w:rsidRDefault="00584EC1">
            <w:pPr>
              <w:rPr>
                <w:rFonts w:ascii="宋体"/>
              </w:rPr>
            </w:pPr>
          </w:p>
        </w:tc>
        <w:tc>
          <w:tcPr>
            <w:tcW w:w="412" w:type="pct"/>
            <w:shd w:val="clear" w:color="auto" w:fill="auto"/>
            <w:vAlign w:val="bottom"/>
          </w:tcPr>
          <w:p w14:paraId="74DDBF73" w14:textId="77777777" w:rsidR="00584EC1" w:rsidRDefault="00584EC1">
            <w:pPr>
              <w:rPr>
                <w:rFonts w:ascii="宋体"/>
              </w:rPr>
            </w:pPr>
          </w:p>
        </w:tc>
        <w:tc>
          <w:tcPr>
            <w:tcW w:w="5" w:type="pct"/>
            <w:shd w:val="clear" w:color="auto" w:fill="auto"/>
            <w:vAlign w:val="bottom"/>
          </w:tcPr>
          <w:p w14:paraId="74DDBF74" w14:textId="77777777" w:rsidR="00584EC1" w:rsidRDefault="00584EC1">
            <w:pPr>
              <w:rPr>
                <w:rFonts w:ascii="宋体"/>
              </w:rPr>
            </w:pPr>
          </w:p>
        </w:tc>
        <w:tc>
          <w:tcPr>
            <w:tcW w:w="5" w:type="pct"/>
            <w:shd w:val="clear" w:color="auto" w:fill="auto"/>
            <w:vAlign w:val="bottom"/>
          </w:tcPr>
          <w:p w14:paraId="74DDBF75" w14:textId="77777777" w:rsidR="00584EC1" w:rsidRDefault="00584EC1">
            <w:pPr>
              <w:rPr>
                <w:rFonts w:ascii="宋体"/>
              </w:rPr>
            </w:pPr>
          </w:p>
        </w:tc>
        <w:tc>
          <w:tcPr>
            <w:tcW w:w="19" w:type="pct"/>
            <w:shd w:val="clear" w:color="auto" w:fill="auto"/>
            <w:vAlign w:val="bottom"/>
          </w:tcPr>
          <w:p w14:paraId="74DDBF76" w14:textId="77777777" w:rsidR="00584EC1" w:rsidRDefault="00584EC1">
            <w:pPr>
              <w:rPr>
                <w:rFonts w:ascii="宋体"/>
              </w:rPr>
            </w:pPr>
          </w:p>
        </w:tc>
        <w:tc>
          <w:tcPr>
            <w:tcW w:w="5" w:type="pct"/>
            <w:shd w:val="clear" w:color="auto" w:fill="auto"/>
            <w:vAlign w:val="bottom"/>
          </w:tcPr>
          <w:p w14:paraId="74DDBF77" w14:textId="77777777" w:rsidR="00584EC1" w:rsidRDefault="00584EC1">
            <w:pPr>
              <w:rPr>
                <w:rFonts w:ascii="宋体"/>
              </w:rPr>
            </w:pPr>
          </w:p>
        </w:tc>
      </w:tr>
      <w:tr w:rsidR="00584EC1" w14:paraId="74DDBF7E" w14:textId="77777777">
        <w:tc>
          <w:tcPr>
            <w:tcW w:w="0" w:type="auto"/>
            <w:gridSpan w:val="3"/>
            <w:shd w:val="clear" w:color="auto" w:fill="auto"/>
            <w:tcMar>
              <w:top w:w="0" w:type="dxa"/>
              <w:left w:w="20" w:type="dxa"/>
              <w:bottom w:w="0" w:type="dxa"/>
              <w:right w:w="20" w:type="dxa"/>
            </w:tcMar>
            <w:vAlign w:val="bottom"/>
          </w:tcPr>
          <w:p w14:paraId="74DDBF79" w14:textId="77777777" w:rsidR="00584EC1" w:rsidRDefault="00584EC1">
            <w:pPr>
              <w:rPr>
                <w:rFonts w:ascii="宋体"/>
              </w:rPr>
            </w:pPr>
          </w:p>
        </w:tc>
        <w:tc>
          <w:tcPr>
            <w:tcW w:w="0" w:type="auto"/>
            <w:gridSpan w:val="53"/>
            <w:shd w:val="clear" w:color="auto" w:fill="auto"/>
            <w:tcMar>
              <w:top w:w="40" w:type="dxa"/>
              <w:left w:w="20" w:type="dxa"/>
              <w:bottom w:w="40" w:type="dxa"/>
              <w:right w:w="20" w:type="dxa"/>
            </w:tcMar>
            <w:vAlign w:val="bottom"/>
          </w:tcPr>
          <w:p w14:paraId="74DDBF7A" w14:textId="77777777" w:rsidR="00584EC1" w:rsidRDefault="00871F8D">
            <w:pPr>
              <w:jc w:val="center"/>
              <w:textAlignment w:val="bottom"/>
            </w:pPr>
            <w:r>
              <w:rPr>
                <w:rFonts w:ascii="Arial" w:eastAsia="宋体" w:hAnsi="Arial" w:cs="Arial"/>
                <w:b/>
                <w:bCs/>
                <w:color w:val="000000"/>
                <w:sz w:val="12"/>
                <w:szCs w:val="12"/>
              </w:rPr>
              <w:t>Fair Value Measurements Using Significant Unobservable Inputs</w:t>
            </w:r>
          </w:p>
        </w:tc>
        <w:tc>
          <w:tcPr>
            <w:tcW w:w="0" w:type="auto"/>
            <w:shd w:val="clear" w:color="auto" w:fill="auto"/>
            <w:vAlign w:val="bottom"/>
          </w:tcPr>
          <w:p w14:paraId="74DDBF7B" w14:textId="77777777" w:rsidR="00584EC1" w:rsidRDefault="00584EC1">
            <w:pPr>
              <w:rPr>
                <w:rFonts w:ascii="宋体"/>
              </w:rPr>
            </w:pPr>
          </w:p>
        </w:tc>
        <w:tc>
          <w:tcPr>
            <w:tcW w:w="0" w:type="auto"/>
            <w:shd w:val="clear" w:color="auto" w:fill="auto"/>
            <w:vAlign w:val="bottom"/>
          </w:tcPr>
          <w:p w14:paraId="74DDBF7C" w14:textId="77777777" w:rsidR="00584EC1" w:rsidRDefault="00584EC1">
            <w:pPr>
              <w:rPr>
                <w:rFonts w:ascii="宋体"/>
              </w:rPr>
            </w:pPr>
          </w:p>
        </w:tc>
        <w:tc>
          <w:tcPr>
            <w:tcW w:w="0" w:type="auto"/>
            <w:shd w:val="clear" w:color="auto" w:fill="auto"/>
            <w:vAlign w:val="bottom"/>
          </w:tcPr>
          <w:p w14:paraId="74DDBF7D" w14:textId="77777777" w:rsidR="00584EC1" w:rsidRDefault="00584EC1">
            <w:pPr>
              <w:rPr>
                <w:rFonts w:ascii="宋体"/>
              </w:rPr>
            </w:pPr>
          </w:p>
        </w:tc>
      </w:tr>
      <w:tr w:rsidR="00584EC1" w14:paraId="74DDBF84" w14:textId="77777777">
        <w:tc>
          <w:tcPr>
            <w:tcW w:w="0" w:type="auto"/>
            <w:gridSpan w:val="3"/>
            <w:shd w:val="clear" w:color="auto" w:fill="auto"/>
            <w:tcMar>
              <w:top w:w="40" w:type="dxa"/>
              <w:left w:w="20" w:type="dxa"/>
              <w:bottom w:w="40" w:type="dxa"/>
              <w:right w:w="20" w:type="dxa"/>
            </w:tcMar>
            <w:vAlign w:val="bottom"/>
          </w:tcPr>
          <w:p w14:paraId="74DDBF7F" w14:textId="77777777" w:rsidR="00584EC1" w:rsidRDefault="00871F8D">
            <w:pPr>
              <w:textAlignment w:val="bottom"/>
            </w:pPr>
            <w:r>
              <w:rPr>
                <w:rFonts w:ascii="Arial" w:eastAsia="宋体" w:hAnsi="Arial" w:cs="Arial"/>
                <w:color w:val="000000"/>
                <w:sz w:val="12"/>
                <w:szCs w:val="12"/>
              </w:rPr>
              <w:t> </w:t>
            </w:r>
          </w:p>
        </w:tc>
        <w:tc>
          <w:tcPr>
            <w:tcW w:w="0" w:type="auto"/>
            <w:gridSpan w:val="53"/>
            <w:shd w:val="clear" w:color="auto" w:fill="auto"/>
            <w:tcMar>
              <w:top w:w="40" w:type="dxa"/>
              <w:left w:w="20" w:type="dxa"/>
              <w:bottom w:w="40" w:type="dxa"/>
              <w:right w:w="20" w:type="dxa"/>
            </w:tcMar>
            <w:vAlign w:val="bottom"/>
          </w:tcPr>
          <w:p w14:paraId="74DDBF80" w14:textId="77777777" w:rsidR="00584EC1" w:rsidRDefault="00871F8D">
            <w:pPr>
              <w:jc w:val="center"/>
              <w:textAlignment w:val="bottom"/>
            </w:pPr>
            <w:r>
              <w:rPr>
                <w:rFonts w:ascii="Arial" w:eastAsia="宋体" w:hAnsi="Arial" w:cs="Arial"/>
                <w:b/>
                <w:bCs/>
                <w:color w:val="000000"/>
                <w:sz w:val="12"/>
                <w:szCs w:val="12"/>
              </w:rPr>
              <w:t>Three Months Ended September 30, 2021</w:t>
            </w:r>
          </w:p>
        </w:tc>
        <w:tc>
          <w:tcPr>
            <w:tcW w:w="0" w:type="auto"/>
            <w:shd w:val="clear" w:color="auto" w:fill="auto"/>
            <w:vAlign w:val="bottom"/>
          </w:tcPr>
          <w:p w14:paraId="74DDBF81" w14:textId="77777777" w:rsidR="00584EC1" w:rsidRDefault="00584EC1">
            <w:pPr>
              <w:rPr>
                <w:rFonts w:ascii="宋体"/>
              </w:rPr>
            </w:pPr>
          </w:p>
        </w:tc>
        <w:tc>
          <w:tcPr>
            <w:tcW w:w="0" w:type="auto"/>
            <w:shd w:val="clear" w:color="auto" w:fill="auto"/>
            <w:vAlign w:val="bottom"/>
          </w:tcPr>
          <w:p w14:paraId="74DDBF82" w14:textId="77777777" w:rsidR="00584EC1" w:rsidRDefault="00584EC1">
            <w:pPr>
              <w:rPr>
                <w:rFonts w:ascii="宋体"/>
              </w:rPr>
            </w:pPr>
          </w:p>
        </w:tc>
        <w:tc>
          <w:tcPr>
            <w:tcW w:w="0" w:type="auto"/>
            <w:shd w:val="clear" w:color="auto" w:fill="auto"/>
            <w:vAlign w:val="bottom"/>
          </w:tcPr>
          <w:p w14:paraId="74DDBF83" w14:textId="77777777" w:rsidR="00584EC1" w:rsidRDefault="00584EC1">
            <w:pPr>
              <w:rPr>
                <w:rFonts w:ascii="宋体"/>
              </w:rPr>
            </w:pPr>
          </w:p>
        </w:tc>
      </w:tr>
      <w:tr w:rsidR="00584EC1" w14:paraId="74DDBF9D" w14:textId="77777777">
        <w:trPr>
          <w:trHeight w:val="480"/>
        </w:trPr>
        <w:tc>
          <w:tcPr>
            <w:tcW w:w="0" w:type="auto"/>
            <w:gridSpan w:val="3"/>
            <w:shd w:val="clear" w:color="auto" w:fill="auto"/>
            <w:tcMar>
              <w:top w:w="40" w:type="dxa"/>
              <w:left w:w="20" w:type="dxa"/>
              <w:bottom w:w="40" w:type="dxa"/>
              <w:right w:w="20" w:type="dxa"/>
            </w:tcMar>
            <w:vAlign w:val="bottom"/>
          </w:tcPr>
          <w:p w14:paraId="74DDBF85" w14:textId="77777777" w:rsidR="00584EC1" w:rsidRDefault="00871F8D">
            <w:pPr>
              <w:textAlignment w:val="bottom"/>
            </w:pPr>
            <w:r>
              <w:rPr>
                <w:rFonts w:ascii="Arial" w:eastAsia="宋体" w:hAnsi="Arial" w:cs="Arial"/>
                <w:color w:val="000000"/>
                <w:sz w:val="12"/>
                <w:szCs w:val="12"/>
              </w:rPr>
              <w:t> </w:t>
            </w: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4DDBF86" w14:textId="77777777" w:rsidR="00584EC1" w:rsidRDefault="00871F8D">
            <w:pPr>
              <w:jc w:val="center"/>
              <w:textAlignment w:val="bottom"/>
            </w:pPr>
            <w:r>
              <w:rPr>
                <w:rFonts w:ascii="Arial" w:eastAsia="宋体" w:hAnsi="Arial" w:cs="Arial"/>
                <w:b/>
                <w:bCs/>
                <w:color w:val="000000"/>
                <w:sz w:val="12"/>
                <w:szCs w:val="12"/>
              </w:rPr>
              <w:t>Fair Value as of June 30,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BF87" w14:textId="77777777" w:rsidR="00584EC1" w:rsidRDefault="00584E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4DDBF88" w14:textId="77777777" w:rsidR="00584EC1" w:rsidRDefault="00871F8D">
            <w:pPr>
              <w:jc w:val="center"/>
              <w:textAlignment w:val="bottom"/>
            </w:pPr>
            <w:r>
              <w:rPr>
                <w:rFonts w:ascii="Arial" w:eastAsia="宋体" w:hAnsi="Arial" w:cs="Arial"/>
                <w:b/>
                <w:bCs/>
                <w:color w:val="000000"/>
                <w:sz w:val="12"/>
                <w:szCs w:val="12"/>
              </w:rPr>
              <w:t>Total Realized and</w:t>
            </w:r>
          </w:p>
          <w:p w14:paraId="74DDBF89" w14:textId="77777777" w:rsidR="00584EC1" w:rsidRDefault="00871F8D">
            <w:pPr>
              <w:jc w:val="center"/>
              <w:textAlignment w:val="bottom"/>
            </w:pPr>
            <w:r>
              <w:rPr>
                <w:rFonts w:ascii="Arial" w:eastAsia="宋体" w:hAnsi="Arial" w:cs="Arial"/>
                <w:b/>
                <w:bCs/>
                <w:color w:val="000000"/>
                <w:sz w:val="12"/>
                <w:szCs w:val="12"/>
              </w:rPr>
              <w:t>Unrealized Gains (Losses)</w:t>
            </w:r>
            <w:r>
              <w:rPr>
                <w:rFonts w:ascii="Arial" w:eastAsia="宋体" w:hAnsi="Arial" w:cs="Arial"/>
                <w:b/>
                <w:bCs/>
                <w:color w:val="000000"/>
                <w:sz w:val="7"/>
                <w:szCs w:val="7"/>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BF8A" w14:textId="77777777" w:rsidR="00584EC1" w:rsidRDefault="00584EC1">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4DDBF8B" w14:textId="77777777" w:rsidR="00584EC1" w:rsidRDefault="00871F8D">
            <w:pPr>
              <w:jc w:val="center"/>
              <w:textAlignment w:val="bottom"/>
            </w:pPr>
            <w:r>
              <w:rPr>
                <w:rFonts w:ascii="Arial" w:eastAsia="宋体" w:hAnsi="Arial" w:cs="Arial"/>
                <w:b/>
                <w:bCs/>
                <w:color w:val="000000"/>
                <w:sz w:val="12"/>
                <w:szCs w:val="12"/>
              </w:rPr>
              <w:t>Purchases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BF8C" w14:textId="77777777" w:rsidR="00584EC1" w:rsidRDefault="00584EC1">
            <w:pPr>
              <w:rPr>
                <w:rFonts w:ascii="宋体"/>
              </w:rPr>
            </w:pPr>
          </w:p>
        </w:tc>
        <w:tc>
          <w:tcPr>
            <w:tcW w:w="0" w:type="auto"/>
            <w:shd w:val="clear" w:color="auto" w:fill="auto"/>
            <w:vAlign w:val="bottom"/>
          </w:tcPr>
          <w:p w14:paraId="74DDBF8D" w14:textId="77777777" w:rsidR="00584EC1" w:rsidRDefault="00584EC1">
            <w:pPr>
              <w:rPr>
                <w:rFonts w:ascii="宋体"/>
                <w:vanish/>
              </w:rPr>
            </w:pPr>
          </w:p>
        </w:tc>
        <w:tc>
          <w:tcPr>
            <w:tcW w:w="0" w:type="auto"/>
            <w:shd w:val="clear" w:color="auto" w:fill="auto"/>
            <w:vAlign w:val="bottom"/>
          </w:tcPr>
          <w:p w14:paraId="74DDBF8E" w14:textId="77777777" w:rsidR="00584EC1" w:rsidRDefault="00584EC1">
            <w:pPr>
              <w:rPr>
                <w:rFonts w:ascii="宋体"/>
                <w:vanish/>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4DDBF8F" w14:textId="77777777" w:rsidR="00584EC1" w:rsidRDefault="00871F8D">
            <w:pPr>
              <w:jc w:val="center"/>
              <w:textAlignment w:val="bottom"/>
            </w:pPr>
            <w:r>
              <w:rPr>
                <w:rFonts w:ascii="Arial" w:eastAsia="宋体" w:hAnsi="Arial" w:cs="Arial"/>
                <w:b/>
                <w:bCs/>
                <w:color w:val="000000"/>
                <w:sz w:val="12"/>
                <w:szCs w:val="12"/>
              </w:rPr>
              <w:t>Sales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BF90" w14:textId="77777777" w:rsidR="00584EC1" w:rsidRDefault="00584EC1">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4DDBF91" w14:textId="77777777" w:rsidR="00584EC1" w:rsidRDefault="00871F8D">
            <w:pPr>
              <w:jc w:val="center"/>
              <w:textAlignment w:val="bottom"/>
            </w:pPr>
            <w:r>
              <w:rPr>
                <w:rFonts w:ascii="Arial" w:eastAsia="宋体" w:hAnsi="Arial" w:cs="Arial"/>
                <w:b/>
                <w:bCs/>
                <w:color w:val="000000"/>
                <w:sz w:val="12"/>
                <w:szCs w:val="12"/>
              </w:rPr>
              <w:t>Settlements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BF92" w14:textId="77777777" w:rsidR="00584EC1" w:rsidRDefault="00584EC1">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4DDBF93" w14:textId="77777777" w:rsidR="00584EC1" w:rsidRDefault="00871F8D">
            <w:pPr>
              <w:jc w:val="center"/>
              <w:textAlignment w:val="bottom"/>
            </w:pPr>
            <w:r>
              <w:rPr>
                <w:rFonts w:ascii="Arial" w:eastAsia="宋体" w:hAnsi="Arial" w:cs="Arial"/>
                <w:b/>
                <w:bCs/>
                <w:color w:val="000000"/>
                <w:sz w:val="12"/>
                <w:szCs w:val="12"/>
              </w:rPr>
              <w:t xml:space="preserve">Transfers into </w:t>
            </w:r>
          </w:p>
          <w:p w14:paraId="74DDBF94" w14:textId="77777777" w:rsidR="00584EC1" w:rsidRDefault="00871F8D">
            <w:pPr>
              <w:jc w:val="center"/>
              <w:textAlignment w:val="bottom"/>
            </w:pPr>
            <w:r>
              <w:rPr>
                <w:rFonts w:ascii="Arial" w:eastAsia="宋体" w:hAnsi="Arial" w:cs="Arial"/>
                <w:b/>
                <w:bCs/>
                <w:color w:val="000000"/>
                <w:sz w:val="12"/>
                <w:szCs w:val="12"/>
              </w:rPr>
              <w:t>Level 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BF95" w14:textId="77777777" w:rsidR="00584EC1" w:rsidRDefault="00584EC1">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4DDBF96" w14:textId="77777777" w:rsidR="00584EC1" w:rsidRDefault="00871F8D">
            <w:pPr>
              <w:jc w:val="center"/>
              <w:textAlignment w:val="bottom"/>
            </w:pPr>
            <w:r>
              <w:rPr>
                <w:rFonts w:ascii="Arial" w:eastAsia="宋体" w:hAnsi="Arial" w:cs="Arial"/>
                <w:b/>
                <w:bCs/>
                <w:color w:val="000000"/>
                <w:sz w:val="12"/>
                <w:szCs w:val="12"/>
              </w:rPr>
              <w:t xml:space="preserve">Transfers </w:t>
            </w:r>
          </w:p>
          <w:p w14:paraId="74DDBF97" w14:textId="77777777" w:rsidR="00584EC1" w:rsidRDefault="00871F8D">
            <w:pPr>
              <w:jc w:val="center"/>
              <w:textAlignment w:val="bottom"/>
            </w:pPr>
            <w:r>
              <w:rPr>
                <w:rFonts w:ascii="Arial" w:eastAsia="宋体" w:hAnsi="Arial" w:cs="Arial"/>
                <w:b/>
                <w:bCs/>
                <w:color w:val="000000"/>
                <w:sz w:val="12"/>
                <w:szCs w:val="12"/>
              </w:rPr>
              <w:t>out of Level 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BF98" w14:textId="77777777" w:rsidR="00584EC1" w:rsidRDefault="00584EC1">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4DDBF99" w14:textId="77777777" w:rsidR="00584EC1" w:rsidRDefault="00871F8D">
            <w:pPr>
              <w:jc w:val="center"/>
              <w:textAlignment w:val="bottom"/>
            </w:pPr>
            <w:r>
              <w:rPr>
                <w:rFonts w:ascii="Arial" w:eastAsia="宋体" w:hAnsi="Arial" w:cs="Arial"/>
                <w:b/>
                <w:bCs/>
                <w:color w:val="000000"/>
                <w:sz w:val="12"/>
                <w:szCs w:val="12"/>
              </w:rPr>
              <w:t>Fair Value </w:t>
            </w:r>
          </w:p>
          <w:p w14:paraId="74DDBF9A" w14:textId="77777777" w:rsidR="00584EC1" w:rsidRDefault="00871F8D">
            <w:pPr>
              <w:jc w:val="center"/>
              <w:textAlignment w:val="bottom"/>
            </w:pPr>
            <w:r>
              <w:rPr>
                <w:rFonts w:ascii="Arial" w:eastAsia="宋体" w:hAnsi="Arial" w:cs="Arial"/>
                <w:b/>
                <w:bCs/>
                <w:color w:val="000000"/>
                <w:sz w:val="12"/>
                <w:szCs w:val="12"/>
              </w:rPr>
              <w:t>as of September 30, 2021</w:t>
            </w:r>
            <w:r>
              <w:rPr>
                <w:rFonts w:ascii="Arial" w:eastAsia="宋体" w:hAnsi="Arial" w:cs="Arial"/>
                <w:b/>
                <w:bCs/>
                <w:color w:val="000000"/>
                <w:sz w:val="7"/>
                <w:szCs w:val="7"/>
              </w:rPr>
              <w:t>(1)</w:t>
            </w:r>
          </w:p>
        </w:tc>
        <w:tc>
          <w:tcPr>
            <w:tcW w:w="0" w:type="auto"/>
            <w:gridSpan w:val="2"/>
            <w:tcBorders>
              <w:top w:val="single" w:sz="8" w:space="0" w:color="000000"/>
            </w:tcBorders>
            <w:shd w:val="clear" w:color="auto" w:fill="auto"/>
            <w:tcMar>
              <w:top w:w="0" w:type="dxa"/>
              <w:left w:w="20" w:type="dxa"/>
              <w:bottom w:w="0" w:type="dxa"/>
              <w:right w:w="20" w:type="dxa"/>
            </w:tcMar>
            <w:vAlign w:val="bottom"/>
          </w:tcPr>
          <w:p w14:paraId="74DDBF9B" w14:textId="77777777" w:rsidR="00584EC1" w:rsidRDefault="00584EC1">
            <w:pPr>
              <w:rPr>
                <w:rFonts w:ascii="宋体"/>
              </w:rPr>
            </w:pPr>
          </w:p>
        </w:tc>
        <w:tc>
          <w:tcPr>
            <w:tcW w:w="0" w:type="auto"/>
            <w:vMerge w:val="restart"/>
            <w:tcBorders>
              <w:top w:val="single" w:sz="8" w:space="0" w:color="000000"/>
            </w:tcBorders>
            <w:shd w:val="clear" w:color="auto" w:fill="auto"/>
            <w:tcMar>
              <w:top w:w="40" w:type="dxa"/>
              <w:left w:w="20" w:type="dxa"/>
              <w:bottom w:w="40" w:type="dxa"/>
              <w:right w:w="20" w:type="dxa"/>
            </w:tcMar>
            <w:vAlign w:val="bottom"/>
          </w:tcPr>
          <w:p w14:paraId="74DDBF9C" w14:textId="77777777" w:rsidR="00584EC1" w:rsidRDefault="00871F8D">
            <w:pPr>
              <w:jc w:val="center"/>
              <w:textAlignment w:val="bottom"/>
            </w:pPr>
            <w:r>
              <w:rPr>
                <w:rFonts w:ascii="Arial" w:eastAsia="宋体" w:hAnsi="Arial" w:cs="Arial"/>
                <w:b/>
                <w:bCs/>
                <w:color w:val="000000"/>
                <w:sz w:val="12"/>
                <w:szCs w:val="12"/>
              </w:rPr>
              <w:t xml:space="preserve">Change in Unrealized Gains (Losses) Related to Financial Instruments </w:t>
            </w:r>
            <w:r>
              <w:rPr>
                <w:rFonts w:ascii="Arial" w:eastAsia="宋体" w:hAnsi="Arial" w:cs="Arial"/>
                <w:b/>
                <w:bCs/>
                <w:color w:val="000000"/>
                <w:sz w:val="12"/>
                <w:szCs w:val="12"/>
              </w:rPr>
              <w:br/>
              <w:t xml:space="preserve">Held as of </w:t>
            </w:r>
            <w:r>
              <w:rPr>
                <w:rFonts w:ascii="Arial" w:eastAsia="宋体" w:hAnsi="Arial" w:cs="Arial"/>
                <w:b/>
                <w:bCs/>
                <w:color w:val="000000"/>
                <w:sz w:val="12"/>
                <w:szCs w:val="12"/>
              </w:rPr>
              <w:br/>
              <w:t>September 30, 2021</w:t>
            </w:r>
          </w:p>
        </w:tc>
      </w:tr>
      <w:tr w:rsidR="00584EC1" w14:paraId="74DDBFB3" w14:textId="77777777">
        <w:trPr>
          <w:trHeight w:val="780"/>
        </w:trPr>
        <w:tc>
          <w:tcPr>
            <w:tcW w:w="0" w:type="auto"/>
            <w:gridSpan w:val="3"/>
            <w:shd w:val="clear" w:color="auto" w:fill="auto"/>
            <w:tcMar>
              <w:top w:w="40" w:type="dxa"/>
              <w:left w:w="20" w:type="dxa"/>
              <w:bottom w:w="40" w:type="dxa"/>
              <w:right w:w="20" w:type="dxa"/>
            </w:tcMar>
            <w:vAlign w:val="bottom"/>
          </w:tcPr>
          <w:p w14:paraId="74DDBF9E" w14:textId="77777777" w:rsidR="00584EC1" w:rsidRDefault="00871F8D">
            <w:pPr>
              <w:textAlignment w:val="bottom"/>
            </w:pPr>
            <w:r>
              <w:rPr>
                <w:rFonts w:ascii="Arial" w:eastAsia="宋体" w:hAnsi="Arial" w:cs="Arial"/>
                <w:b/>
                <w:bCs/>
                <w:color w:val="000000"/>
                <w:sz w:val="12"/>
                <w:szCs w:val="12"/>
              </w:rPr>
              <w:t>(In millions)</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4DDBF9F" w14:textId="77777777" w:rsidR="00584EC1" w:rsidRDefault="00584EC1">
            <w:pPr>
              <w:jc w:val="center"/>
              <w:rPr>
                <w:rFonts w:ascii="宋体"/>
              </w:rPr>
            </w:pPr>
          </w:p>
        </w:tc>
        <w:tc>
          <w:tcPr>
            <w:tcW w:w="0" w:type="auto"/>
            <w:gridSpan w:val="3"/>
            <w:shd w:val="clear" w:color="auto" w:fill="auto"/>
            <w:tcMar>
              <w:top w:w="0" w:type="dxa"/>
              <w:left w:w="20" w:type="dxa"/>
              <w:bottom w:w="0" w:type="dxa"/>
              <w:right w:w="20" w:type="dxa"/>
            </w:tcMar>
            <w:vAlign w:val="bottom"/>
          </w:tcPr>
          <w:p w14:paraId="74DDBFA0"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BFA1" w14:textId="77777777" w:rsidR="00584EC1" w:rsidRDefault="00871F8D">
            <w:pPr>
              <w:jc w:val="center"/>
              <w:textAlignment w:val="bottom"/>
            </w:pPr>
            <w:r>
              <w:rPr>
                <w:rFonts w:ascii="Arial" w:eastAsia="宋体" w:hAnsi="Arial" w:cs="Arial"/>
                <w:b/>
                <w:bCs/>
                <w:color w:val="000000"/>
                <w:sz w:val="12"/>
                <w:szCs w:val="12"/>
              </w:rPr>
              <w:t>Recorded i</w:t>
            </w:r>
            <w:r>
              <w:rPr>
                <w:rFonts w:ascii="Arial" w:eastAsia="宋体" w:hAnsi="Arial" w:cs="Arial"/>
                <w:b/>
                <w:bCs/>
                <w:color w:val="000000"/>
                <w:sz w:val="12"/>
                <w:szCs w:val="12"/>
              </w:rPr>
              <w:t>n Revenue</w:t>
            </w:r>
            <w:r>
              <w:rPr>
                <w:rFonts w:ascii="Arial" w:eastAsia="宋体" w:hAnsi="Arial" w:cs="Arial"/>
                <w:b/>
                <w:bCs/>
                <w:color w:val="000000"/>
                <w:sz w:val="7"/>
                <w:szCs w:val="7"/>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BFA2"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BFA3" w14:textId="77777777" w:rsidR="00584EC1" w:rsidRDefault="00871F8D">
            <w:pPr>
              <w:jc w:val="center"/>
              <w:textAlignment w:val="bottom"/>
            </w:pPr>
            <w:r>
              <w:rPr>
                <w:rFonts w:ascii="Arial" w:eastAsia="宋体" w:hAnsi="Arial" w:cs="Arial"/>
                <w:b/>
                <w:bCs/>
                <w:color w:val="000000"/>
                <w:sz w:val="12"/>
                <w:szCs w:val="12"/>
              </w:rPr>
              <w:t>Recorded in Other Comprehensive Income</w:t>
            </w:r>
            <w:r>
              <w:rPr>
                <w:rFonts w:ascii="Arial" w:eastAsia="宋体" w:hAnsi="Arial" w:cs="Arial"/>
                <w:b/>
                <w:bCs/>
                <w:color w:val="000000"/>
                <w:sz w:val="7"/>
                <w:szCs w:val="7"/>
              </w:rPr>
              <w:t>(1)</w:t>
            </w:r>
          </w:p>
        </w:tc>
        <w:tc>
          <w:tcPr>
            <w:tcW w:w="0" w:type="auto"/>
            <w:gridSpan w:val="3"/>
            <w:shd w:val="clear" w:color="auto" w:fill="auto"/>
            <w:tcMar>
              <w:top w:w="0" w:type="dxa"/>
              <w:left w:w="20" w:type="dxa"/>
              <w:bottom w:w="0" w:type="dxa"/>
              <w:right w:w="20" w:type="dxa"/>
            </w:tcMar>
            <w:vAlign w:val="bottom"/>
          </w:tcPr>
          <w:p w14:paraId="74DDBFA4" w14:textId="77777777" w:rsidR="00584EC1" w:rsidRDefault="00584EC1">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4DDBFA5" w14:textId="77777777" w:rsidR="00584EC1" w:rsidRDefault="00584EC1">
            <w:pPr>
              <w:jc w:val="center"/>
              <w:rPr>
                <w:rFonts w:ascii="宋体"/>
              </w:rPr>
            </w:pPr>
          </w:p>
        </w:tc>
        <w:tc>
          <w:tcPr>
            <w:tcW w:w="0" w:type="auto"/>
            <w:gridSpan w:val="3"/>
            <w:shd w:val="clear" w:color="auto" w:fill="auto"/>
            <w:tcMar>
              <w:top w:w="0" w:type="dxa"/>
              <w:left w:w="20" w:type="dxa"/>
              <w:bottom w:w="0" w:type="dxa"/>
              <w:right w:w="20" w:type="dxa"/>
            </w:tcMar>
            <w:vAlign w:val="bottom"/>
          </w:tcPr>
          <w:p w14:paraId="74DDBFA6" w14:textId="77777777" w:rsidR="00584EC1" w:rsidRDefault="00584EC1">
            <w:pPr>
              <w:rPr>
                <w:rFonts w:ascii="宋体"/>
              </w:rPr>
            </w:pPr>
          </w:p>
        </w:tc>
        <w:tc>
          <w:tcPr>
            <w:tcW w:w="0" w:type="auto"/>
            <w:shd w:val="clear" w:color="auto" w:fill="auto"/>
            <w:vAlign w:val="bottom"/>
          </w:tcPr>
          <w:p w14:paraId="74DDBFA7" w14:textId="77777777" w:rsidR="00584EC1" w:rsidRDefault="00584EC1">
            <w:pPr>
              <w:rPr>
                <w:rFonts w:ascii="宋体"/>
                <w:vanish/>
              </w:rPr>
            </w:pPr>
          </w:p>
        </w:tc>
        <w:tc>
          <w:tcPr>
            <w:tcW w:w="0" w:type="auto"/>
            <w:shd w:val="clear" w:color="auto" w:fill="auto"/>
            <w:vAlign w:val="bottom"/>
          </w:tcPr>
          <w:p w14:paraId="74DDBFA8" w14:textId="77777777" w:rsidR="00584EC1" w:rsidRDefault="00584EC1">
            <w:pPr>
              <w:rPr>
                <w:rFonts w:ascii="宋体"/>
                <w:vanish/>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4DDBFA9" w14:textId="77777777" w:rsidR="00584EC1" w:rsidRDefault="00584EC1">
            <w:pPr>
              <w:jc w:val="center"/>
              <w:rPr>
                <w:rFonts w:ascii="宋体"/>
              </w:rPr>
            </w:pPr>
          </w:p>
        </w:tc>
        <w:tc>
          <w:tcPr>
            <w:tcW w:w="0" w:type="auto"/>
            <w:gridSpan w:val="3"/>
            <w:shd w:val="clear" w:color="auto" w:fill="auto"/>
            <w:tcMar>
              <w:top w:w="0" w:type="dxa"/>
              <w:left w:w="20" w:type="dxa"/>
              <w:bottom w:w="0" w:type="dxa"/>
              <w:right w:w="20" w:type="dxa"/>
            </w:tcMar>
            <w:vAlign w:val="bottom"/>
          </w:tcPr>
          <w:p w14:paraId="74DDBFAA" w14:textId="77777777" w:rsidR="00584EC1" w:rsidRDefault="00584EC1">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4DDBFAB" w14:textId="77777777" w:rsidR="00584EC1" w:rsidRDefault="00584EC1">
            <w:pPr>
              <w:jc w:val="center"/>
              <w:rPr>
                <w:rFonts w:ascii="宋体"/>
              </w:rPr>
            </w:pPr>
          </w:p>
        </w:tc>
        <w:tc>
          <w:tcPr>
            <w:tcW w:w="0" w:type="auto"/>
            <w:gridSpan w:val="3"/>
            <w:shd w:val="clear" w:color="auto" w:fill="auto"/>
            <w:tcMar>
              <w:top w:w="0" w:type="dxa"/>
              <w:left w:w="20" w:type="dxa"/>
              <w:bottom w:w="0" w:type="dxa"/>
              <w:right w:w="20" w:type="dxa"/>
            </w:tcMar>
            <w:vAlign w:val="bottom"/>
          </w:tcPr>
          <w:p w14:paraId="74DDBFAC" w14:textId="77777777" w:rsidR="00584EC1" w:rsidRDefault="00584EC1">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4DDBFAD"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BFAE" w14:textId="77777777" w:rsidR="00584EC1" w:rsidRDefault="00584EC1">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4DDBFAF"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BFB0" w14:textId="77777777" w:rsidR="00584EC1" w:rsidRDefault="00584EC1">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4DDBFB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BFB2" w14:textId="77777777" w:rsidR="00584EC1" w:rsidRDefault="00584EC1">
            <w:pPr>
              <w:rPr>
                <w:rFonts w:ascii="宋体"/>
              </w:rPr>
            </w:pPr>
          </w:p>
        </w:tc>
      </w:tr>
      <w:tr w:rsidR="00584EC1" w14:paraId="74DDBFCA" w14:textId="77777777">
        <w:tc>
          <w:tcPr>
            <w:tcW w:w="0" w:type="auto"/>
            <w:gridSpan w:val="3"/>
            <w:shd w:val="clear" w:color="auto" w:fill="auto"/>
            <w:tcMar>
              <w:top w:w="40" w:type="dxa"/>
              <w:left w:w="20" w:type="dxa"/>
              <w:bottom w:w="40" w:type="dxa"/>
              <w:right w:w="20" w:type="dxa"/>
            </w:tcMar>
            <w:vAlign w:val="center"/>
          </w:tcPr>
          <w:p w14:paraId="74DDBFB4" w14:textId="77777777" w:rsidR="00584EC1" w:rsidRDefault="00871F8D">
            <w:pPr>
              <w:textAlignment w:val="center"/>
            </w:pPr>
            <w:r>
              <w:rPr>
                <w:rFonts w:ascii="Arial" w:eastAsia="宋体" w:hAnsi="Arial" w:cs="Arial"/>
                <w:b/>
                <w:bCs/>
                <w:color w:val="000000"/>
                <w:sz w:val="12"/>
                <w:szCs w:val="12"/>
              </w:rPr>
              <w:t>Assets: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BFB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BFB6"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BFB7"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BFB8"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BFB9"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BFBA"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BFBB"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BFBC" w14:textId="77777777" w:rsidR="00584EC1" w:rsidRDefault="00584EC1">
            <w:pPr>
              <w:rPr>
                <w:rFonts w:ascii="宋体"/>
              </w:rPr>
            </w:pPr>
          </w:p>
        </w:tc>
        <w:tc>
          <w:tcPr>
            <w:tcW w:w="0" w:type="auto"/>
            <w:shd w:val="clear" w:color="auto" w:fill="auto"/>
            <w:vAlign w:val="bottom"/>
          </w:tcPr>
          <w:p w14:paraId="74DDBFBD" w14:textId="77777777" w:rsidR="00584EC1" w:rsidRDefault="00584EC1">
            <w:pPr>
              <w:rPr>
                <w:rFonts w:ascii="宋体"/>
                <w:vanish/>
              </w:rPr>
            </w:pPr>
          </w:p>
        </w:tc>
        <w:tc>
          <w:tcPr>
            <w:tcW w:w="0" w:type="auto"/>
            <w:shd w:val="clear" w:color="auto" w:fill="auto"/>
            <w:vAlign w:val="bottom"/>
          </w:tcPr>
          <w:p w14:paraId="74DDBFBE" w14:textId="77777777" w:rsidR="00584EC1" w:rsidRDefault="00584EC1">
            <w:pPr>
              <w:rPr>
                <w:rFonts w:ascii="宋体"/>
                <w:vanish/>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BFBF"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BFC0"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BFC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BFC2"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BFC3"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BFC4"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BFC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BFC6"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BFC7" w14:textId="77777777" w:rsidR="00584EC1" w:rsidRDefault="00584EC1">
            <w:pPr>
              <w:rPr>
                <w:rFonts w:ascii="宋体"/>
              </w:rPr>
            </w:pPr>
          </w:p>
        </w:tc>
        <w:tc>
          <w:tcPr>
            <w:tcW w:w="0" w:type="auto"/>
            <w:gridSpan w:val="2"/>
            <w:shd w:val="clear" w:color="auto" w:fill="auto"/>
            <w:tcMar>
              <w:top w:w="0" w:type="dxa"/>
              <w:left w:w="20" w:type="dxa"/>
              <w:bottom w:w="0" w:type="dxa"/>
              <w:right w:w="20" w:type="dxa"/>
            </w:tcMar>
            <w:vAlign w:val="bottom"/>
          </w:tcPr>
          <w:p w14:paraId="74DDBFC8" w14:textId="77777777" w:rsidR="00584EC1" w:rsidRDefault="00584EC1">
            <w:pPr>
              <w:rPr>
                <w:rFonts w:ascii="宋体"/>
              </w:rPr>
            </w:pPr>
          </w:p>
        </w:tc>
        <w:tc>
          <w:tcPr>
            <w:tcW w:w="0" w:type="auto"/>
            <w:tcBorders>
              <w:top w:val="single" w:sz="8" w:space="0" w:color="000000"/>
            </w:tcBorders>
            <w:shd w:val="clear" w:color="auto" w:fill="auto"/>
            <w:tcMar>
              <w:top w:w="0" w:type="dxa"/>
              <w:left w:w="20" w:type="dxa"/>
              <w:bottom w:w="0" w:type="dxa"/>
              <w:right w:w="20" w:type="dxa"/>
            </w:tcMar>
            <w:vAlign w:val="bottom"/>
          </w:tcPr>
          <w:p w14:paraId="74DDBFC9" w14:textId="77777777" w:rsidR="00584EC1" w:rsidRDefault="00584EC1">
            <w:pPr>
              <w:rPr>
                <w:rFonts w:ascii="宋体"/>
              </w:rPr>
            </w:pPr>
          </w:p>
        </w:tc>
      </w:tr>
      <w:tr w:rsidR="00584EC1" w14:paraId="74DDBFE1" w14:textId="77777777">
        <w:trPr>
          <w:hidden/>
        </w:trPr>
        <w:tc>
          <w:tcPr>
            <w:tcW w:w="0" w:type="auto"/>
            <w:gridSpan w:val="3"/>
            <w:shd w:val="clear" w:color="auto" w:fill="auto"/>
            <w:vAlign w:val="bottom"/>
          </w:tcPr>
          <w:p w14:paraId="74DDBFCB" w14:textId="77777777" w:rsidR="00584EC1" w:rsidRDefault="00584EC1">
            <w:pPr>
              <w:rPr>
                <w:rFonts w:ascii="宋体"/>
                <w:vanish/>
              </w:rPr>
            </w:pPr>
          </w:p>
        </w:tc>
        <w:tc>
          <w:tcPr>
            <w:tcW w:w="0" w:type="auto"/>
            <w:gridSpan w:val="3"/>
            <w:shd w:val="clear" w:color="auto" w:fill="auto"/>
            <w:vAlign w:val="bottom"/>
          </w:tcPr>
          <w:p w14:paraId="74DDBFCC" w14:textId="77777777" w:rsidR="00584EC1" w:rsidRDefault="00584EC1">
            <w:pPr>
              <w:rPr>
                <w:rFonts w:ascii="宋体"/>
                <w:vanish/>
              </w:rPr>
            </w:pPr>
          </w:p>
        </w:tc>
        <w:tc>
          <w:tcPr>
            <w:tcW w:w="0" w:type="auto"/>
            <w:gridSpan w:val="3"/>
            <w:shd w:val="clear" w:color="auto" w:fill="auto"/>
            <w:vAlign w:val="bottom"/>
          </w:tcPr>
          <w:p w14:paraId="74DDBFCD" w14:textId="77777777" w:rsidR="00584EC1" w:rsidRDefault="00584EC1">
            <w:pPr>
              <w:rPr>
                <w:rFonts w:ascii="宋体"/>
                <w:vanish/>
              </w:rPr>
            </w:pPr>
          </w:p>
        </w:tc>
        <w:tc>
          <w:tcPr>
            <w:tcW w:w="0" w:type="auto"/>
            <w:gridSpan w:val="3"/>
            <w:shd w:val="clear" w:color="auto" w:fill="auto"/>
            <w:vAlign w:val="bottom"/>
          </w:tcPr>
          <w:p w14:paraId="74DDBFCE" w14:textId="77777777" w:rsidR="00584EC1" w:rsidRDefault="00584EC1">
            <w:pPr>
              <w:rPr>
                <w:rFonts w:ascii="宋体"/>
                <w:vanish/>
              </w:rPr>
            </w:pPr>
          </w:p>
        </w:tc>
        <w:tc>
          <w:tcPr>
            <w:tcW w:w="0" w:type="auto"/>
            <w:gridSpan w:val="3"/>
            <w:shd w:val="clear" w:color="auto" w:fill="auto"/>
            <w:vAlign w:val="bottom"/>
          </w:tcPr>
          <w:p w14:paraId="74DDBFCF" w14:textId="77777777" w:rsidR="00584EC1" w:rsidRDefault="00584EC1">
            <w:pPr>
              <w:rPr>
                <w:rFonts w:ascii="宋体"/>
                <w:vanish/>
              </w:rPr>
            </w:pPr>
          </w:p>
        </w:tc>
        <w:tc>
          <w:tcPr>
            <w:tcW w:w="0" w:type="auto"/>
            <w:gridSpan w:val="3"/>
            <w:shd w:val="clear" w:color="auto" w:fill="auto"/>
            <w:vAlign w:val="bottom"/>
          </w:tcPr>
          <w:p w14:paraId="74DDBFD0" w14:textId="77777777" w:rsidR="00584EC1" w:rsidRDefault="00584EC1">
            <w:pPr>
              <w:rPr>
                <w:rFonts w:ascii="宋体"/>
                <w:vanish/>
              </w:rPr>
            </w:pPr>
          </w:p>
        </w:tc>
        <w:tc>
          <w:tcPr>
            <w:tcW w:w="0" w:type="auto"/>
            <w:gridSpan w:val="3"/>
            <w:shd w:val="clear" w:color="auto" w:fill="auto"/>
            <w:vAlign w:val="bottom"/>
          </w:tcPr>
          <w:p w14:paraId="74DDBFD1" w14:textId="77777777" w:rsidR="00584EC1" w:rsidRDefault="00584EC1">
            <w:pPr>
              <w:rPr>
                <w:rFonts w:ascii="宋体"/>
                <w:vanish/>
              </w:rPr>
            </w:pPr>
          </w:p>
        </w:tc>
        <w:tc>
          <w:tcPr>
            <w:tcW w:w="0" w:type="auto"/>
            <w:gridSpan w:val="3"/>
            <w:shd w:val="clear" w:color="auto" w:fill="auto"/>
            <w:vAlign w:val="bottom"/>
          </w:tcPr>
          <w:p w14:paraId="74DDBFD2" w14:textId="77777777" w:rsidR="00584EC1" w:rsidRDefault="00584EC1">
            <w:pPr>
              <w:rPr>
                <w:rFonts w:ascii="宋体"/>
                <w:vanish/>
              </w:rPr>
            </w:pPr>
          </w:p>
        </w:tc>
        <w:tc>
          <w:tcPr>
            <w:tcW w:w="0" w:type="auto"/>
            <w:gridSpan w:val="3"/>
            <w:shd w:val="clear" w:color="auto" w:fill="auto"/>
            <w:vAlign w:val="bottom"/>
          </w:tcPr>
          <w:p w14:paraId="74DDBFD3" w14:textId="77777777" w:rsidR="00584EC1" w:rsidRDefault="00584EC1">
            <w:pPr>
              <w:rPr>
                <w:rFonts w:ascii="宋体"/>
                <w:vanish/>
              </w:rPr>
            </w:pPr>
          </w:p>
        </w:tc>
        <w:tc>
          <w:tcPr>
            <w:tcW w:w="0" w:type="auto"/>
            <w:shd w:val="clear" w:color="auto" w:fill="auto"/>
            <w:vAlign w:val="bottom"/>
          </w:tcPr>
          <w:p w14:paraId="74DDBFD4" w14:textId="77777777" w:rsidR="00584EC1" w:rsidRDefault="00584EC1">
            <w:pPr>
              <w:rPr>
                <w:rFonts w:ascii="宋体"/>
                <w:vanish/>
              </w:rPr>
            </w:pPr>
          </w:p>
        </w:tc>
        <w:tc>
          <w:tcPr>
            <w:tcW w:w="0" w:type="auto"/>
            <w:shd w:val="clear" w:color="auto" w:fill="auto"/>
            <w:vAlign w:val="bottom"/>
          </w:tcPr>
          <w:p w14:paraId="74DDBFD5" w14:textId="77777777" w:rsidR="00584EC1" w:rsidRDefault="00584EC1">
            <w:pPr>
              <w:rPr>
                <w:rFonts w:ascii="宋体"/>
                <w:vanish/>
              </w:rPr>
            </w:pPr>
          </w:p>
        </w:tc>
        <w:tc>
          <w:tcPr>
            <w:tcW w:w="0" w:type="auto"/>
            <w:gridSpan w:val="3"/>
            <w:shd w:val="clear" w:color="auto" w:fill="auto"/>
            <w:vAlign w:val="bottom"/>
          </w:tcPr>
          <w:p w14:paraId="74DDBFD6" w14:textId="77777777" w:rsidR="00584EC1" w:rsidRDefault="00584EC1">
            <w:pPr>
              <w:rPr>
                <w:rFonts w:ascii="宋体"/>
                <w:vanish/>
              </w:rPr>
            </w:pPr>
          </w:p>
        </w:tc>
        <w:tc>
          <w:tcPr>
            <w:tcW w:w="0" w:type="auto"/>
            <w:gridSpan w:val="3"/>
            <w:shd w:val="clear" w:color="auto" w:fill="auto"/>
            <w:vAlign w:val="bottom"/>
          </w:tcPr>
          <w:p w14:paraId="74DDBFD7" w14:textId="77777777" w:rsidR="00584EC1" w:rsidRDefault="00584EC1">
            <w:pPr>
              <w:rPr>
                <w:rFonts w:ascii="宋体"/>
                <w:vanish/>
              </w:rPr>
            </w:pPr>
          </w:p>
        </w:tc>
        <w:tc>
          <w:tcPr>
            <w:tcW w:w="0" w:type="auto"/>
            <w:gridSpan w:val="3"/>
            <w:shd w:val="clear" w:color="auto" w:fill="auto"/>
            <w:vAlign w:val="bottom"/>
          </w:tcPr>
          <w:p w14:paraId="74DDBFD8" w14:textId="77777777" w:rsidR="00584EC1" w:rsidRDefault="00584EC1">
            <w:pPr>
              <w:rPr>
                <w:rFonts w:ascii="宋体"/>
                <w:vanish/>
              </w:rPr>
            </w:pPr>
          </w:p>
        </w:tc>
        <w:tc>
          <w:tcPr>
            <w:tcW w:w="0" w:type="auto"/>
            <w:gridSpan w:val="3"/>
            <w:shd w:val="clear" w:color="auto" w:fill="auto"/>
            <w:vAlign w:val="bottom"/>
          </w:tcPr>
          <w:p w14:paraId="74DDBFD9" w14:textId="77777777" w:rsidR="00584EC1" w:rsidRDefault="00584EC1">
            <w:pPr>
              <w:rPr>
                <w:rFonts w:ascii="宋体"/>
                <w:vanish/>
              </w:rPr>
            </w:pPr>
          </w:p>
        </w:tc>
        <w:tc>
          <w:tcPr>
            <w:tcW w:w="0" w:type="auto"/>
            <w:gridSpan w:val="3"/>
            <w:shd w:val="clear" w:color="auto" w:fill="auto"/>
            <w:vAlign w:val="bottom"/>
          </w:tcPr>
          <w:p w14:paraId="74DDBFDA" w14:textId="77777777" w:rsidR="00584EC1" w:rsidRDefault="00584EC1">
            <w:pPr>
              <w:rPr>
                <w:rFonts w:ascii="宋体"/>
                <w:vanish/>
              </w:rPr>
            </w:pPr>
          </w:p>
        </w:tc>
        <w:tc>
          <w:tcPr>
            <w:tcW w:w="0" w:type="auto"/>
            <w:gridSpan w:val="3"/>
            <w:shd w:val="clear" w:color="auto" w:fill="auto"/>
            <w:vAlign w:val="bottom"/>
          </w:tcPr>
          <w:p w14:paraId="74DDBFDB" w14:textId="77777777" w:rsidR="00584EC1" w:rsidRDefault="00584EC1">
            <w:pPr>
              <w:rPr>
                <w:rFonts w:ascii="宋体"/>
                <w:vanish/>
              </w:rPr>
            </w:pPr>
          </w:p>
        </w:tc>
        <w:tc>
          <w:tcPr>
            <w:tcW w:w="0" w:type="auto"/>
            <w:gridSpan w:val="3"/>
            <w:shd w:val="clear" w:color="auto" w:fill="auto"/>
            <w:vAlign w:val="bottom"/>
          </w:tcPr>
          <w:p w14:paraId="74DDBFDC" w14:textId="77777777" w:rsidR="00584EC1" w:rsidRDefault="00584EC1">
            <w:pPr>
              <w:rPr>
                <w:rFonts w:ascii="宋体"/>
                <w:vanish/>
              </w:rPr>
            </w:pPr>
          </w:p>
        </w:tc>
        <w:tc>
          <w:tcPr>
            <w:tcW w:w="0" w:type="auto"/>
            <w:gridSpan w:val="3"/>
            <w:shd w:val="clear" w:color="auto" w:fill="auto"/>
            <w:vAlign w:val="bottom"/>
          </w:tcPr>
          <w:p w14:paraId="74DDBFDD" w14:textId="77777777" w:rsidR="00584EC1" w:rsidRDefault="00584EC1">
            <w:pPr>
              <w:rPr>
                <w:rFonts w:ascii="宋体"/>
                <w:vanish/>
              </w:rPr>
            </w:pPr>
          </w:p>
        </w:tc>
        <w:tc>
          <w:tcPr>
            <w:tcW w:w="0" w:type="auto"/>
            <w:gridSpan w:val="3"/>
            <w:shd w:val="clear" w:color="auto" w:fill="auto"/>
            <w:vAlign w:val="bottom"/>
          </w:tcPr>
          <w:p w14:paraId="74DDBFDE" w14:textId="77777777" w:rsidR="00584EC1" w:rsidRDefault="00584EC1">
            <w:pPr>
              <w:rPr>
                <w:rFonts w:ascii="宋体"/>
                <w:vanish/>
              </w:rPr>
            </w:pPr>
          </w:p>
        </w:tc>
        <w:tc>
          <w:tcPr>
            <w:tcW w:w="0" w:type="auto"/>
            <w:gridSpan w:val="2"/>
            <w:shd w:val="clear" w:color="auto" w:fill="auto"/>
            <w:vAlign w:val="bottom"/>
          </w:tcPr>
          <w:p w14:paraId="74DDBFDF" w14:textId="77777777" w:rsidR="00584EC1" w:rsidRDefault="00584EC1">
            <w:pPr>
              <w:rPr>
                <w:rFonts w:ascii="宋体"/>
                <w:vanish/>
              </w:rPr>
            </w:pPr>
          </w:p>
        </w:tc>
        <w:tc>
          <w:tcPr>
            <w:tcW w:w="0" w:type="auto"/>
            <w:shd w:val="clear" w:color="auto" w:fill="auto"/>
            <w:vAlign w:val="bottom"/>
          </w:tcPr>
          <w:p w14:paraId="74DDBFE0" w14:textId="77777777" w:rsidR="00584EC1" w:rsidRDefault="00584EC1">
            <w:pPr>
              <w:rPr>
                <w:rFonts w:ascii="宋体"/>
                <w:vanish/>
              </w:rPr>
            </w:pPr>
          </w:p>
        </w:tc>
      </w:tr>
      <w:tr w:rsidR="00584EC1" w14:paraId="74DDBFF8" w14:textId="77777777">
        <w:trPr>
          <w:hidden/>
        </w:trPr>
        <w:tc>
          <w:tcPr>
            <w:tcW w:w="0" w:type="auto"/>
            <w:gridSpan w:val="3"/>
            <w:shd w:val="clear" w:color="auto" w:fill="auto"/>
            <w:vAlign w:val="bottom"/>
          </w:tcPr>
          <w:p w14:paraId="74DDBFE2" w14:textId="77777777" w:rsidR="00584EC1" w:rsidRDefault="00584EC1">
            <w:pPr>
              <w:rPr>
                <w:rFonts w:ascii="宋体"/>
                <w:vanish/>
              </w:rPr>
            </w:pPr>
          </w:p>
        </w:tc>
        <w:tc>
          <w:tcPr>
            <w:tcW w:w="0" w:type="auto"/>
            <w:gridSpan w:val="3"/>
            <w:shd w:val="clear" w:color="auto" w:fill="auto"/>
            <w:vAlign w:val="bottom"/>
          </w:tcPr>
          <w:p w14:paraId="74DDBFE3" w14:textId="77777777" w:rsidR="00584EC1" w:rsidRDefault="00584EC1">
            <w:pPr>
              <w:rPr>
                <w:rFonts w:ascii="宋体"/>
                <w:vanish/>
              </w:rPr>
            </w:pPr>
          </w:p>
        </w:tc>
        <w:tc>
          <w:tcPr>
            <w:tcW w:w="0" w:type="auto"/>
            <w:gridSpan w:val="3"/>
            <w:shd w:val="clear" w:color="auto" w:fill="auto"/>
            <w:vAlign w:val="bottom"/>
          </w:tcPr>
          <w:p w14:paraId="74DDBFE4" w14:textId="77777777" w:rsidR="00584EC1" w:rsidRDefault="00584EC1">
            <w:pPr>
              <w:rPr>
                <w:rFonts w:ascii="宋体"/>
                <w:vanish/>
              </w:rPr>
            </w:pPr>
          </w:p>
        </w:tc>
        <w:tc>
          <w:tcPr>
            <w:tcW w:w="0" w:type="auto"/>
            <w:gridSpan w:val="3"/>
            <w:shd w:val="clear" w:color="auto" w:fill="auto"/>
            <w:vAlign w:val="bottom"/>
          </w:tcPr>
          <w:p w14:paraId="74DDBFE5" w14:textId="77777777" w:rsidR="00584EC1" w:rsidRDefault="00584EC1">
            <w:pPr>
              <w:rPr>
                <w:rFonts w:ascii="宋体"/>
                <w:vanish/>
              </w:rPr>
            </w:pPr>
          </w:p>
        </w:tc>
        <w:tc>
          <w:tcPr>
            <w:tcW w:w="0" w:type="auto"/>
            <w:gridSpan w:val="3"/>
            <w:shd w:val="clear" w:color="auto" w:fill="auto"/>
            <w:vAlign w:val="bottom"/>
          </w:tcPr>
          <w:p w14:paraId="74DDBFE6" w14:textId="77777777" w:rsidR="00584EC1" w:rsidRDefault="00584EC1">
            <w:pPr>
              <w:rPr>
                <w:rFonts w:ascii="宋体"/>
                <w:vanish/>
              </w:rPr>
            </w:pPr>
          </w:p>
        </w:tc>
        <w:tc>
          <w:tcPr>
            <w:tcW w:w="0" w:type="auto"/>
            <w:gridSpan w:val="3"/>
            <w:shd w:val="clear" w:color="auto" w:fill="auto"/>
            <w:vAlign w:val="bottom"/>
          </w:tcPr>
          <w:p w14:paraId="74DDBFE7" w14:textId="77777777" w:rsidR="00584EC1" w:rsidRDefault="00584EC1">
            <w:pPr>
              <w:rPr>
                <w:rFonts w:ascii="宋体"/>
                <w:vanish/>
              </w:rPr>
            </w:pPr>
          </w:p>
        </w:tc>
        <w:tc>
          <w:tcPr>
            <w:tcW w:w="0" w:type="auto"/>
            <w:gridSpan w:val="3"/>
            <w:shd w:val="clear" w:color="auto" w:fill="auto"/>
            <w:vAlign w:val="bottom"/>
          </w:tcPr>
          <w:p w14:paraId="74DDBFE8" w14:textId="77777777" w:rsidR="00584EC1" w:rsidRDefault="00584EC1">
            <w:pPr>
              <w:rPr>
                <w:rFonts w:ascii="宋体"/>
                <w:vanish/>
              </w:rPr>
            </w:pPr>
          </w:p>
        </w:tc>
        <w:tc>
          <w:tcPr>
            <w:tcW w:w="0" w:type="auto"/>
            <w:gridSpan w:val="3"/>
            <w:shd w:val="clear" w:color="auto" w:fill="auto"/>
            <w:vAlign w:val="bottom"/>
          </w:tcPr>
          <w:p w14:paraId="74DDBFE9" w14:textId="77777777" w:rsidR="00584EC1" w:rsidRDefault="00584EC1">
            <w:pPr>
              <w:rPr>
                <w:rFonts w:ascii="宋体"/>
                <w:vanish/>
              </w:rPr>
            </w:pPr>
          </w:p>
        </w:tc>
        <w:tc>
          <w:tcPr>
            <w:tcW w:w="0" w:type="auto"/>
            <w:gridSpan w:val="3"/>
            <w:shd w:val="clear" w:color="auto" w:fill="auto"/>
            <w:vAlign w:val="bottom"/>
          </w:tcPr>
          <w:p w14:paraId="74DDBFEA" w14:textId="77777777" w:rsidR="00584EC1" w:rsidRDefault="00584EC1">
            <w:pPr>
              <w:rPr>
                <w:rFonts w:ascii="宋体"/>
                <w:vanish/>
              </w:rPr>
            </w:pPr>
          </w:p>
        </w:tc>
        <w:tc>
          <w:tcPr>
            <w:tcW w:w="0" w:type="auto"/>
            <w:shd w:val="clear" w:color="auto" w:fill="auto"/>
            <w:vAlign w:val="bottom"/>
          </w:tcPr>
          <w:p w14:paraId="74DDBFEB" w14:textId="77777777" w:rsidR="00584EC1" w:rsidRDefault="00584EC1">
            <w:pPr>
              <w:rPr>
                <w:rFonts w:ascii="宋体"/>
                <w:vanish/>
              </w:rPr>
            </w:pPr>
          </w:p>
        </w:tc>
        <w:tc>
          <w:tcPr>
            <w:tcW w:w="0" w:type="auto"/>
            <w:shd w:val="clear" w:color="auto" w:fill="auto"/>
            <w:vAlign w:val="bottom"/>
          </w:tcPr>
          <w:p w14:paraId="74DDBFEC" w14:textId="77777777" w:rsidR="00584EC1" w:rsidRDefault="00584EC1">
            <w:pPr>
              <w:rPr>
                <w:rFonts w:ascii="宋体"/>
                <w:vanish/>
              </w:rPr>
            </w:pPr>
          </w:p>
        </w:tc>
        <w:tc>
          <w:tcPr>
            <w:tcW w:w="0" w:type="auto"/>
            <w:gridSpan w:val="3"/>
            <w:shd w:val="clear" w:color="auto" w:fill="auto"/>
            <w:vAlign w:val="bottom"/>
          </w:tcPr>
          <w:p w14:paraId="74DDBFED" w14:textId="77777777" w:rsidR="00584EC1" w:rsidRDefault="00584EC1">
            <w:pPr>
              <w:rPr>
                <w:rFonts w:ascii="宋体"/>
                <w:vanish/>
              </w:rPr>
            </w:pPr>
          </w:p>
        </w:tc>
        <w:tc>
          <w:tcPr>
            <w:tcW w:w="0" w:type="auto"/>
            <w:gridSpan w:val="3"/>
            <w:shd w:val="clear" w:color="auto" w:fill="auto"/>
            <w:vAlign w:val="bottom"/>
          </w:tcPr>
          <w:p w14:paraId="74DDBFEE" w14:textId="77777777" w:rsidR="00584EC1" w:rsidRDefault="00584EC1">
            <w:pPr>
              <w:rPr>
                <w:rFonts w:ascii="宋体"/>
                <w:vanish/>
              </w:rPr>
            </w:pPr>
          </w:p>
        </w:tc>
        <w:tc>
          <w:tcPr>
            <w:tcW w:w="0" w:type="auto"/>
            <w:gridSpan w:val="3"/>
            <w:shd w:val="clear" w:color="auto" w:fill="auto"/>
            <w:vAlign w:val="bottom"/>
          </w:tcPr>
          <w:p w14:paraId="74DDBFEF" w14:textId="77777777" w:rsidR="00584EC1" w:rsidRDefault="00584EC1">
            <w:pPr>
              <w:rPr>
                <w:rFonts w:ascii="宋体"/>
                <w:vanish/>
              </w:rPr>
            </w:pPr>
          </w:p>
        </w:tc>
        <w:tc>
          <w:tcPr>
            <w:tcW w:w="0" w:type="auto"/>
            <w:gridSpan w:val="3"/>
            <w:shd w:val="clear" w:color="auto" w:fill="auto"/>
            <w:vAlign w:val="bottom"/>
          </w:tcPr>
          <w:p w14:paraId="74DDBFF0" w14:textId="77777777" w:rsidR="00584EC1" w:rsidRDefault="00584EC1">
            <w:pPr>
              <w:rPr>
                <w:rFonts w:ascii="宋体"/>
                <w:vanish/>
              </w:rPr>
            </w:pPr>
          </w:p>
        </w:tc>
        <w:tc>
          <w:tcPr>
            <w:tcW w:w="0" w:type="auto"/>
            <w:gridSpan w:val="3"/>
            <w:shd w:val="clear" w:color="auto" w:fill="auto"/>
            <w:vAlign w:val="bottom"/>
          </w:tcPr>
          <w:p w14:paraId="74DDBFF1" w14:textId="77777777" w:rsidR="00584EC1" w:rsidRDefault="00584EC1">
            <w:pPr>
              <w:rPr>
                <w:rFonts w:ascii="宋体"/>
                <w:vanish/>
              </w:rPr>
            </w:pPr>
          </w:p>
        </w:tc>
        <w:tc>
          <w:tcPr>
            <w:tcW w:w="0" w:type="auto"/>
            <w:gridSpan w:val="3"/>
            <w:shd w:val="clear" w:color="auto" w:fill="auto"/>
            <w:vAlign w:val="bottom"/>
          </w:tcPr>
          <w:p w14:paraId="74DDBFF2" w14:textId="77777777" w:rsidR="00584EC1" w:rsidRDefault="00584EC1">
            <w:pPr>
              <w:rPr>
                <w:rFonts w:ascii="宋体"/>
                <w:vanish/>
              </w:rPr>
            </w:pPr>
          </w:p>
        </w:tc>
        <w:tc>
          <w:tcPr>
            <w:tcW w:w="0" w:type="auto"/>
            <w:gridSpan w:val="3"/>
            <w:shd w:val="clear" w:color="auto" w:fill="auto"/>
            <w:vAlign w:val="bottom"/>
          </w:tcPr>
          <w:p w14:paraId="74DDBFF3" w14:textId="77777777" w:rsidR="00584EC1" w:rsidRDefault="00584EC1">
            <w:pPr>
              <w:rPr>
                <w:rFonts w:ascii="宋体"/>
                <w:vanish/>
              </w:rPr>
            </w:pPr>
          </w:p>
        </w:tc>
        <w:tc>
          <w:tcPr>
            <w:tcW w:w="0" w:type="auto"/>
            <w:gridSpan w:val="3"/>
            <w:shd w:val="clear" w:color="auto" w:fill="auto"/>
            <w:vAlign w:val="bottom"/>
          </w:tcPr>
          <w:p w14:paraId="74DDBFF4" w14:textId="77777777" w:rsidR="00584EC1" w:rsidRDefault="00584EC1">
            <w:pPr>
              <w:rPr>
                <w:rFonts w:ascii="宋体"/>
                <w:vanish/>
              </w:rPr>
            </w:pPr>
          </w:p>
        </w:tc>
        <w:tc>
          <w:tcPr>
            <w:tcW w:w="0" w:type="auto"/>
            <w:gridSpan w:val="3"/>
            <w:shd w:val="clear" w:color="auto" w:fill="auto"/>
            <w:vAlign w:val="bottom"/>
          </w:tcPr>
          <w:p w14:paraId="74DDBFF5" w14:textId="77777777" w:rsidR="00584EC1" w:rsidRDefault="00584EC1">
            <w:pPr>
              <w:rPr>
                <w:rFonts w:ascii="宋体"/>
                <w:vanish/>
              </w:rPr>
            </w:pPr>
          </w:p>
        </w:tc>
        <w:tc>
          <w:tcPr>
            <w:tcW w:w="0" w:type="auto"/>
            <w:gridSpan w:val="2"/>
            <w:shd w:val="clear" w:color="auto" w:fill="auto"/>
            <w:vAlign w:val="bottom"/>
          </w:tcPr>
          <w:p w14:paraId="74DDBFF6" w14:textId="77777777" w:rsidR="00584EC1" w:rsidRDefault="00584EC1">
            <w:pPr>
              <w:rPr>
                <w:rFonts w:ascii="宋体"/>
                <w:vanish/>
              </w:rPr>
            </w:pPr>
          </w:p>
        </w:tc>
        <w:tc>
          <w:tcPr>
            <w:tcW w:w="0" w:type="auto"/>
            <w:shd w:val="clear" w:color="auto" w:fill="auto"/>
            <w:vAlign w:val="bottom"/>
          </w:tcPr>
          <w:p w14:paraId="74DDBFF7" w14:textId="77777777" w:rsidR="00584EC1" w:rsidRDefault="00584EC1">
            <w:pPr>
              <w:rPr>
                <w:rFonts w:ascii="宋体"/>
                <w:vanish/>
              </w:rPr>
            </w:pPr>
          </w:p>
        </w:tc>
      </w:tr>
      <w:tr w:rsidR="00584EC1" w14:paraId="74DDC00F" w14:textId="77777777">
        <w:trPr>
          <w:hidden/>
        </w:trPr>
        <w:tc>
          <w:tcPr>
            <w:tcW w:w="0" w:type="auto"/>
            <w:gridSpan w:val="3"/>
            <w:shd w:val="clear" w:color="auto" w:fill="auto"/>
            <w:vAlign w:val="bottom"/>
          </w:tcPr>
          <w:p w14:paraId="74DDBFF9" w14:textId="77777777" w:rsidR="00584EC1" w:rsidRDefault="00584EC1">
            <w:pPr>
              <w:rPr>
                <w:rFonts w:ascii="宋体"/>
                <w:vanish/>
              </w:rPr>
            </w:pPr>
          </w:p>
        </w:tc>
        <w:tc>
          <w:tcPr>
            <w:tcW w:w="0" w:type="auto"/>
            <w:gridSpan w:val="3"/>
            <w:shd w:val="clear" w:color="auto" w:fill="auto"/>
            <w:vAlign w:val="bottom"/>
          </w:tcPr>
          <w:p w14:paraId="74DDBFFA" w14:textId="77777777" w:rsidR="00584EC1" w:rsidRDefault="00584EC1">
            <w:pPr>
              <w:rPr>
                <w:rFonts w:ascii="宋体"/>
                <w:vanish/>
              </w:rPr>
            </w:pPr>
          </w:p>
        </w:tc>
        <w:tc>
          <w:tcPr>
            <w:tcW w:w="0" w:type="auto"/>
            <w:gridSpan w:val="3"/>
            <w:shd w:val="clear" w:color="auto" w:fill="auto"/>
            <w:vAlign w:val="bottom"/>
          </w:tcPr>
          <w:p w14:paraId="74DDBFFB" w14:textId="77777777" w:rsidR="00584EC1" w:rsidRDefault="00584EC1">
            <w:pPr>
              <w:rPr>
                <w:rFonts w:ascii="宋体"/>
                <w:vanish/>
              </w:rPr>
            </w:pPr>
          </w:p>
        </w:tc>
        <w:tc>
          <w:tcPr>
            <w:tcW w:w="0" w:type="auto"/>
            <w:gridSpan w:val="3"/>
            <w:shd w:val="clear" w:color="auto" w:fill="auto"/>
            <w:vAlign w:val="bottom"/>
          </w:tcPr>
          <w:p w14:paraId="74DDBFFC" w14:textId="77777777" w:rsidR="00584EC1" w:rsidRDefault="00584EC1">
            <w:pPr>
              <w:rPr>
                <w:rFonts w:ascii="宋体"/>
                <w:vanish/>
              </w:rPr>
            </w:pPr>
          </w:p>
        </w:tc>
        <w:tc>
          <w:tcPr>
            <w:tcW w:w="0" w:type="auto"/>
            <w:gridSpan w:val="3"/>
            <w:shd w:val="clear" w:color="auto" w:fill="auto"/>
            <w:vAlign w:val="bottom"/>
          </w:tcPr>
          <w:p w14:paraId="74DDBFFD" w14:textId="77777777" w:rsidR="00584EC1" w:rsidRDefault="00584EC1">
            <w:pPr>
              <w:rPr>
                <w:rFonts w:ascii="宋体"/>
                <w:vanish/>
              </w:rPr>
            </w:pPr>
          </w:p>
        </w:tc>
        <w:tc>
          <w:tcPr>
            <w:tcW w:w="0" w:type="auto"/>
            <w:gridSpan w:val="3"/>
            <w:shd w:val="clear" w:color="auto" w:fill="auto"/>
            <w:vAlign w:val="bottom"/>
          </w:tcPr>
          <w:p w14:paraId="74DDBFFE" w14:textId="77777777" w:rsidR="00584EC1" w:rsidRDefault="00584EC1">
            <w:pPr>
              <w:rPr>
                <w:rFonts w:ascii="宋体"/>
                <w:vanish/>
              </w:rPr>
            </w:pPr>
          </w:p>
        </w:tc>
        <w:tc>
          <w:tcPr>
            <w:tcW w:w="0" w:type="auto"/>
            <w:gridSpan w:val="3"/>
            <w:shd w:val="clear" w:color="auto" w:fill="auto"/>
            <w:vAlign w:val="bottom"/>
          </w:tcPr>
          <w:p w14:paraId="74DDBFFF" w14:textId="77777777" w:rsidR="00584EC1" w:rsidRDefault="00584EC1">
            <w:pPr>
              <w:rPr>
                <w:rFonts w:ascii="宋体"/>
                <w:vanish/>
              </w:rPr>
            </w:pPr>
          </w:p>
        </w:tc>
        <w:tc>
          <w:tcPr>
            <w:tcW w:w="0" w:type="auto"/>
            <w:gridSpan w:val="3"/>
            <w:shd w:val="clear" w:color="auto" w:fill="auto"/>
            <w:vAlign w:val="bottom"/>
          </w:tcPr>
          <w:p w14:paraId="74DDC000" w14:textId="77777777" w:rsidR="00584EC1" w:rsidRDefault="00584EC1">
            <w:pPr>
              <w:rPr>
                <w:rFonts w:ascii="宋体"/>
                <w:vanish/>
              </w:rPr>
            </w:pPr>
          </w:p>
        </w:tc>
        <w:tc>
          <w:tcPr>
            <w:tcW w:w="0" w:type="auto"/>
            <w:gridSpan w:val="3"/>
            <w:shd w:val="clear" w:color="auto" w:fill="auto"/>
            <w:vAlign w:val="bottom"/>
          </w:tcPr>
          <w:p w14:paraId="74DDC001" w14:textId="77777777" w:rsidR="00584EC1" w:rsidRDefault="00584EC1">
            <w:pPr>
              <w:rPr>
                <w:rFonts w:ascii="宋体"/>
                <w:vanish/>
              </w:rPr>
            </w:pPr>
          </w:p>
        </w:tc>
        <w:tc>
          <w:tcPr>
            <w:tcW w:w="0" w:type="auto"/>
            <w:shd w:val="clear" w:color="auto" w:fill="auto"/>
            <w:vAlign w:val="bottom"/>
          </w:tcPr>
          <w:p w14:paraId="74DDC002" w14:textId="77777777" w:rsidR="00584EC1" w:rsidRDefault="00584EC1">
            <w:pPr>
              <w:rPr>
                <w:rFonts w:ascii="宋体"/>
                <w:vanish/>
              </w:rPr>
            </w:pPr>
          </w:p>
        </w:tc>
        <w:tc>
          <w:tcPr>
            <w:tcW w:w="0" w:type="auto"/>
            <w:shd w:val="clear" w:color="auto" w:fill="auto"/>
            <w:vAlign w:val="bottom"/>
          </w:tcPr>
          <w:p w14:paraId="74DDC003" w14:textId="77777777" w:rsidR="00584EC1" w:rsidRDefault="00584EC1">
            <w:pPr>
              <w:rPr>
                <w:rFonts w:ascii="宋体"/>
                <w:vanish/>
              </w:rPr>
            </w:pPr>
          </w:p>
        </w:tc>
        <w:tc>
          <w:tcPr>
            <w:tcW w:w="0" w:type="auto"/>
            <w:gridSpan w:val="3"/>
            <w:shd w:val="clear" w:color="auto" w:fill="auto"/>
            <w:vAlign w:val="bottom"/>
          </w:tcPr>
          <w:p w14:paraId="74DDC004" w14:textId="77777777" w:rsidR="00584EC1" w:rsidRDefault="00584EC1">
            <w:pPr>
              <w:rPr>
                <w:rFonts w:ascii="宋体"/>
                <w:vanish/>
              </w:rPr>
            </w:pPr>
          </w:p>
        </w:tc>
        <w:tc>
          <w:tcPr>
            <w:tcW w:w="0" w:type="auto"/>
            <w:gridSpan w:val="3"/>
            <w:shd w:val="clear" w:color="auto" w:fill="auto"/>
            <w:vAlign w:val="bottom"/>
          </w:tcPr>
          <w:p w14:paraId="74DDC005" w14:textId="77777777" w:rsidR="00584EC1" w:rsidRDefault="00584EC1">
            <w:pPr>
              <w:rPr>
                <w:rFonts w:ascii="宋体"/>
                <w:vanish/>
              </w:rPr>
            </w:pPr>
          </w:p>
        </w:tc>
        <w:tc>
          <w:tcPr>
            <w:tcW w:w="0" w:type="auto"/>
            <w:gridSpan w:val="3"/>
            <w:shd w:val="clear" w:color="auto" w:fill="auto"/>
            <w:vAlign w:val="bottom"/>
          </w:tcPr>
          <w:p w14:paraId="74DDC006" w14:textId="77777777" w:rsidR="00584EC1" w:rsidRDefault="00584EC1">
            <w:pPr>
              <w:rPr>
                <w:rFonts w:ascii="宋体"/>
                <w:vanish/>
              </w:rPr>
            </w:pPr>
          </w:p>
        </w:tc>
        <w:tc>
          <w:tcPr>
            <w:tcW w:w="0" w:type="auto"/>
            <w:gridSpan w:val="3"/>
            <w:shd w:val="clear" w:color="auto" w:fill="auto"/>
            <w:vAlign w:val="bottom"/>
          </w:tcPr>
          <w:p w14:paraId="74DDC007" w14:textId="77777777" w:rsidR="00584EC1" w:rsidRDefault="00584EC1">
            <w:pPr>
              <w:rPr>
                <w:rFonts w:ascii="宋体"/>
                <w:vanish/>
              </w:rPr>
            </w:pPr>
          </w:p>
        </w:tc>
        <w:tc>
          <w:tcPr>
            <w:tcW w:w="0" w:type="auto"/>
            <w:gridSpan w:val="3"/>
            <w:shd w:val="clear" w:color="auto" w:fill="auto"/>
            <w:vAlign w:val="bottom"/>
          </w:tcPr>
          <w:p w14:paraId="74DDC008" w14:textId="77777777" w:rsidR="00584EC1" w:rsidRDefault="00584EC1">
            <w:pPr>
              <w:rPr>
                <w:rFonts w:ascii="宋体"/>
                <w:vanish/>
              </w:rPr>
            </w:pPr>
          </w:p>
        </w:tc>
        <w:tc>
          <w:tcPr>
            <w:tcW w:w="0" w:type="auto"/>
            <w:gridSpan w:val="3"/>
            <w:shd w:val="clear" w:color="auto" w:fill="auto"/>
            <w:vAlign w:val="bottom"/>
          </w:tcPr>
          <w:p w14:paraId="74DDC009" w14:textId="77777777" w:rsidR="00584EC1" w:rsidRDefault="00584EC1">
            <w:pPr>
              <w:rPr>
                <w:rFonts w:ascii="宋体"/>
                <w:vanish/>
              </w:rPr>
            </w:pPr>
          </w:p>
        </w:tc>
        <w:tc>
          <w:tcPr>
            <w:tcW w:w="0" w:type="auto"/>
            <w:gridSpan w:val="3"/>
            <w:shd w:val="clear" w:color="auto" w:fill="auto"/>
            <w:vAlign w:val="bottom"/>
          </w:tcPr>
          <w:p w14:paraId="74DDC00A" w14:textId="77777777" w:rsidR="00584EC1" w:rsidRDefault="00584EC1">
            <w:pPr>
              <w:rPr>
                <w:rFonts w:ascii="宋体"/>
                <w:vanish/>
              </w:rPr>
            </w:pPr>
          </w:p>
        </w:tc>
        <w:tc>
          <w:tcPr>
            <w:tcW w:w="0" w:type="auto"/>
            <w:gridSpan w:val="3"/>
            <w:shd w:val="clear" w:color="auto" w:fill="auto"/>
            <w:vAlign w:val="bottom"/>
          </w:tcPr>
          <w:p w14:paraId="74DDC00B" w14:textId="77777777" w:rsidR="00584EC1" w:rsidRDefault="00584EC1">
            <w:pPr>
              <w:rPr>
                <w:rFonts w:ascii="宋体"/>
                <w:vanish/>
              </w:rPr>
            </w:pPr>
          </w:p>
        </w:tc>
        <w:tc>
          <w:tcPr>
            <w:tcW w:w="0" w:type="auto"/>
            <w:gridSpan w:val="3"/>
            <w:shd w:val="clear" w:color="auto" w:fill="auto"/>
            <w:vAlign w:val="bottom"/>
          </w:tcPr>
          <w:p w14:paraId="74DDC00C" w14:textId="77777777" w:rsidR="00584EC1" w:rsidRDefault="00584EC1">
            <w:pPr>
              <w:rPr>
                <w:rFonts w:ascii="宋体"/>
                <w:vanish/>
              </w:rPr>
            </w:pPr>
          </w:p>
        </w:tc>
        <w:tc>
          <w:tcPr>
            <w:tcW w:w="0" w:type="auto"/>
            <w:gridSpan w:val="2"/>
            <w:shd w:val="clear" w:color="auto" w:fill="auto"/>
            <w:vAlign w:val="bottom"/>
          </w:tcPr>
          <w:p w14:paraId="74DDC00D" w14:textId="77777777" w:rsidR="00584EC1" w:rsidRDefault="00584EC1">
            <w:pPr>
              <w:rPr>
                <w:rFonts w:ascii="宋体"/>
                <w:vanish/>
              </w:rPr>
            </w:pPr>
          </w:p>
        </w:tc>
        <w:tc>
          <w:tcPr>
            <w:tcW w:w="0" w:type="auto"/>
            <w:shd w:val="clear" w:color="auto" w:fill="auto"/>
            <w:vAlign w:val="bottom"/>
          </w:tcPr>
          <w:p w14:paraId="74DDC00E" w14:textId="77777777" w:rsidR="00584EC1" w:rsidRDefault="00584EC1">
            <w:pPr>
              <w:rPr>
                <w:rFonts w:ascii="宋体"/>
                <w:vanish/>
              </w:rPr>
            </w:pPr>
          </w:p>
        </w:tc>
      </w:tr>
      <w:tr w:rsidR="00584EC1" w14:paraId="74DDC026" w14:textId="77777777">
        <w:trPr>
          <w:hidden/>
        </w:trPr>
        <w:tc>
          <w:tcPr>
            <w:tcW w:w="0" w:type="auto"/>
            <w:gridSpan w:val="3"/>
            <w:shd w:val="clear" w:color="auto" w:fill="auto"/>
            <w:vAlign w:val="bottom"/>
          </w:tcPr>
          <w:p w14:paraId="74DDC010" w14:textId="77777777" w:rsidR="00584EC1" w:rsidRDefault="00584EC1">
            <w:pPr>
              <w:rPr>
                <w:rFonts w:ascii="宋体"/>
                <w:vanish/>
              </w:rPr>
            </w:pPr>
          </w:p>
        </w:tc>
        <w:tc>
          <w:tcPr>
            <w:tcW w:w="0" w:type="auto"/>
            <w:gridSpan w:val="3"/>
            <w:shd w:val="clear" w:color="auto" w:fill="auto"/>
            <w:vAlign w:val="bottom"/>
          </w:tcPr>
          <w:p w14:paraId="74DDC011" w14:textId="77777777" w:rsidR="00584EC1" w:rsidRDefault="00584EC1">
            <w:pPr>
              <w:rPr>
                <w:rFonts w:ascii="宋体"/>
                <w:vanish/>
              </w:rPr>
            </w:pPr>
          </w:p>
        </w:tc>
        <w:tc>
          <w:tcPr>
            <w:tcW w:w="0" w:type="auto"/>
            <w:gridSpan w:val="3"/>
            <w:shd w:val="clear" w:color="auto" w:fill="auto"/>
            <w:vAlign w:val="bottom"/>
          </w:tcPr>
          <w:p w14:paraId="74DDC012" w14:textId="77777777" w:rsidR="00584EC1" w:rsidRDefault="00584EC1">
            <w:pPr>
              <w:rPr>
                <w:rFonts w:ascii="宋体"/>
                <w:vanish/>
              </w:rPr>
            </w:pPr>
          </w:p>
        </w:tc>
        <w:tc>
          <w:tcPr>
            <w:tcW w:w="0" w:type="auto"/>
            <w:gridSpan w:val="3"/>
            <w:shd w:val="clear" w:color="auto" w:fill="auto"/>
            <w:vAlign w:val="bottom"/>
          </w:tcPr>
          <w:p w14:paraId="74DDC013" w14:textId="77777777" w:rsidR="00584EC1" w:rsidRDefault="00584EC1">
            <w:pPr>
              <w:rPr>
                <w:rFonts w:ascii="宋体"/>
                <w:vanish/>
              </w:rPr>
            </w:pPr>
          </w:p>
        </w:tc>
        <w:tc>
          <w:tcPr>
            <w:tcW w:w="0" w:type="auto"/>
            <w:gridSpan w:val="3"/>
            <w:shd w:val="clear" w:color="auto" w:fill="auto"/>
            <w:vAlign w:val="bottom"/>
          </w:tcPr>
          <w:p w14:paraId="74DDC014" w14:textId="77777777" w:rsidR="00584EC1" w:rsidRDefault="00584EC1">
            <w:pPr>
              <w:rPr>
                <w:rFonts w:ascii="宋体"/>
                <w:vanish/>
              </w:rPr>
            </w:pPr>
          </w:p>
        </w:tc>
        <w:tc>
          <w:tcPr>
            <w:tcW w:w="0" w:type="auto"/>
            <w:gridSpan w:val="3"/>
            <w:shd w:val="clear" w:color="auto" w:fill="auto"/>
            <w:vAlign w:val="bottom"/>
          </w:tcPr>
          <w:p w14:paraId="74DDC015" w14:textId="77777777" w:rsidR="00584EC1" w:rsidRDefault="00584EC1">
            <w:pPr>
              <w:rPr>
                <w:rFonts w:ascii="宋体"/>
                <w:vanish/>
              </w:rPr>
            </w:pPr>
          </w:p>
        </w:tc>
        <w:tc>
          <w:tcPr>
            <w:tcW w:w="0" w:type="auto"/>
            <w:gridSpan w:val="3"/>
            <w:shd w:val="clear" w:color="auto" w:fill="auto"/>
            <w:vAlign w:val="bottom"/>
          </w:tcPr>
          <w:p w14:paraId="74DDC016" w14:textId="77777777" w:rsidR="00584EC1" w:rsidRDefault="00584EC1">
            <w:pPr>
              <w:rPr>
                <w:rFonts w:ascii="宋体"/>
                <w:vanish/>
              </w:rPr>
            </w:pPr>
          </w:p>
        </w:tc>
        <w:tc>
          <w:tcPr>
            <w:tcW w:w="0" w:type="auto"/>
            <w:gridSpan w:val="3"/>
            <w:shd w:val="clear" w:color="auto" w:fill="auto"/>
            <w:vAlign w:val="bottom"/>
          </w:tcPr>
          <w:p w14:paraId="74DDC017" w14:textId="77777777" w:rsidR="00584EC1" w:rsidRDefault="00584EC1">
            <w:pPr>
              <w:rPr>
                <w:rFonts w:ascii="宋体"/>
                <w:vanish/>
              </w:rPr>
            </w:pPr>
          </w:p>
        </w:tc>
        <w:tc>
          <w:tcPr>
            <w:tcW w:w="0" w:type="auto"/>
            <w:gridSpan w:val="3"/>
            <w:shd w:val="clear" w:color="auto" w:fill="auto"/>
            <w:vAlign w:val="bottom"/>
          </w:tcPr>
          <w:p w14:paraId="74DDC018" w14:textId="77777777" w:rsidR="00584EC1" w:rsidRDefault="00584EC1">
            <w:pPr>
              <w:rPr>
                <w:rFonts w:ascii="宋体"/>
                <w:vanish/>
              </w:rPr>
            </w:pPr>
          </w:p>
        </w:tc>
        <w:tc>
          <w:tcPr>
            <w:tcW w:w="0" w:type="auto"/>
            <w:shd w:val="clear" w:color="auto" w:fill="auto"/>
            <w:vAlign w:val="bottom"/>
          </w:tcPr>
          <w:p w14:paraId="74DDC019" w14:textId="77777777" w:rsidR="00584EC1" w:rsidRDefault="00584EC1">
            <w:pPr>
              <w:rPr>
                <w:rFonts w:ascii="宋体"/>
                <w:vanish/>
              </w:rPr>
            </w:pPr>
          </w:p>
        </w:tc>
        <w:tc>
          <w:tcPr>
            <w:tcW w:w="0" w:type="auto"/>
            <w:shd w:val="clear" w:color="auto" w:fill="auto"/>
            <w:vAlign w:val="bottom"/>
          </w:tcPr>
          <w:p w14:paraId="74DDC01A" w14:textId="77777777" w:rsidR="00584EC1" w:rsidRDefault="00584EC1">
            <w:pPr>
              <w:rPr>
                <w:rFonts w:ascii="宋体"/>
                <w:vanish/>
              </w:rPr>
            </w:pPr>
          </w:p>
        </w:tc>
        <w:tc>
          <w:tcPr>
            <w:tcW w:w="0" w:type="auto"/>
            <w:gridSpan w:val="3"/>
            <w:shd w:val="clear" w:color="auto" w:fill="auto"/>
            <w:vAlign w:val="bottom"/>
          </w:tcPr>
          <w:p w14:paraId="74DDC01B" w14:textId="77777777" w:rsidR="00584EC1" w:rsidRDefault="00584EC1">
            <w:pPr>
              <w:rPr>
                <w:rFonts w:ascii="宋体"/>
                <w:vanish/>
              </w:rPr>
            </w:pPr>
          </w:p>
        </w:tc>
        <w:tc>
          <w:tcPr>
            <w:tcW w:w="0" w:type="auto"/>
            <w:gridSpan w:val="3"/>
            <w:shd w:val="clear" w:color="auto" w:fill="auto"/>
            <w:vAlign w:val="bottom"/>
          </w:tcPr>
          <w:p w14:paraId="74DDC01C" w14:textId="77777777" w:rsidR="00584EC1" w:rsidRDefault="00584EC1">
            <w:pPr>
              <w:rPr>
                <w:rFonts w:ascii="宋体"/>
                <w:vanish/>
              </w:rPr>
            </w:pPr>
          </w:p>
        </w:tc>
        <w:tc>
          <w:tcPr>
            <w:tcW w:w="0" w:type="auto"/>
            <w:gridSpan w:val="3"/>
            <w:shd w:val="clear" w:color="auto" w:fill="auto"/>
            <w:vAlign w:val="bottom"/>
          </w:tcPr>
          <w:p w14:paraId="74DDC01D" w14:textId="77777777" w:rsidR="00584EC1" w:rsidRDefault="00584EC1">
            <w:pPr>
              <w:rPr>
                <w:rFonts w:ascii="宋体"/>
                <w:vanish/>
              </w:rPr>
            </w:pPr>
          </w:p>
        </w:tc>
        <w:tc>
          <w:tcPr>
            <w:tcW w:w="0" w:type="auto"/>
            <w:gridSpan w:val="3"/>
            <w:shd w:val="clear" w:color="auto" w:fill="auto"/>
            <w:vAlign w:val="bottom"/>
          </w:tcPr>
          <w:p w14:paraId="74DDC01E" w14:textId="77777777" w:rsidR="00584EC1" w:rsidRDefault="00584EC1">
            <w:pPr>
              <w:rPr>
                <w:rFonts w:ascii="宋体"/>
                <w:vanish/>
              </w:rPr>
            </w:pPr>
          </w:p>
        </w:tc>
        <w:tc>
          <w:tcPr>
            <w:tcW w:w="0" w:type="auto"/>
            <w:gridSpan w:val="3"/>
            <w:shd w:val="clear" w:color="auto" w:fill="auto"/>
            <w:vAlign w:val="bottom"/>
          </w:tcPr>
          <w:p w14:paraId="74DDC01F" w14:textId="77777777" w:rsidR="00584EC1" w:rsidRDefault="00584EC1">
            <w:pPr>
              <w:rPr>
                <w:rFonts w:ascii="宋体"/>
                <w:vanish/>
              </w:rPr>
            </w:pPr>
          </w:p>
        </w:tc>
        <w:tc>
          <w:tcPr>
            <w:tcW w:w="0" w:type="auto"/>
            <w:gridSpan w:val="3"/>
            <w:shd w:val="clear" w:color="auto" w:fill="auto"/>
            <w:vAlign w:val="bottom"/>
          </w:tcPr>
          <w:p w14:paraId="74DDC020" w14:textId="77777777" w:rsidR="00584EC1" w:rsidRDefault="00584EC1">
            <w:pPr>
              <w:rPr>
                <w:rFonts w:ascii="宋体"/>
                <w:vanish/>
              </w:rPr>
            </w:pPr>
          </w:p>
        </w:tc>
        <w:tc>
          <w:tcPr>
            <w:tcW w:w="0" w:type="auto"/>
            <w:gridSpan w:val="3"/>
            <w:shd w:val="clear" w:color="auto" w:fill="auto"/>
            <w:vAlign w:val="bottom"/>
          </w:tcPr>
          <w:p w14:paraId="74DDC021" w14:textId="77777777" w:rsidR="00584EC1" w:rsidRDefault="00584EC1">
            <w:pPr>
              <w:rPr>
                <w:rFonts w:ascii="宋体"/>
                <w:vanish/>
              </w:rPr>
            </w:pPr>
          </w:p>
        </w:tc>
        <w:tc>
          <w:tcPr>
            <w:tcW w:w="0" w:type="auto"/>
            <w:gridSpan w:val="3"/>
            <w:shd w:val="clear" w:color="auto" w:fill="auto"/>
            <w:vAlign w:val="bottom"/>
          </w:tcPr>
          <w:p w14:paraId="74DDC022" w14:textId="77777777" w:rsidR="00584EC1" w:rsidRDefault="00584EC1">
            <w:pPr>
              <w:rPr>
                <w:rFonts w:ascii="宋体"/>
                <w:vanish/>
              </w:rPr>
            </w:pPr>
          </w:p>
        </w:tc>
        <w:tc>
          <w:tcPr>
            <w:tcW w:w="0" w:type="auto"/>
            <w:gridSpan w:val="3"/>
            <w:shd w:val="clear" w:color="auto" w:fill="auto"/>
            <w:vAlign w:val="bottom"/>
          </w:tcPr>
          <w:p w14:paraId="74DDC023" w14:textId="77777777" w:rsidR="00584EC1" w:rsidRDefault="00584EC1">
            <w:pPr>
              <w:rPr>
                <w:rFonts w:ascii="宋体"/>
                <w:vanish/>
              </w:rPr>
            </w:pPr>
          </w:p>
        </w:tc>
        <w:tc>
          <w:tcPr>
            <w:tcW w:w="0" w:type="auto"/>
            <w:gridSpan w:val="2"/>
            <w:shd w:val="clear" w:color="auto" w:fill="auto"/>
            <w:vAlign w:val="bottom"/>
          </w:tcPr>
          <w:p w14:paraId="74DDC024" w14:textId="77777777" w:rsidR="00584EC1" w:rsidRDefault="00584EC1">
            <w:pPr>
              <w:rPr>
                <w:rFonts w:ascii="宋体"/>
                <w:vanish/>
              </w:rPr>
            </w:pPr>
          </w:p>
        </w:tc>
        <w:tc>
          <w:tcPr>
            <w:tcW w:w="0" w:type="auto"/>
            <w:shd w:val="clear" w:color="auto" w:fill="auto"/>
            <w:vAlign w:val="bottom"/>
          </w:tcPr>
          <w:p w14:paraId="74DDC025" w14:textId="77777777" w:rsidR="00584EC1" w:rsidRDefault="00584EC1">
            <w:pPr>
              <w:rPr>
                <w:rFonts w:ascii="宋体"/>
                <w:vanish/>
              </w:rPr>
            </w:pPr>
          </w:p>
        </w:tc>
      </w:tr>
      <w:tr w:rsidR="00584EC1" w14:paraId="74DDC03D" w14:textId="77777777">
        <w:trPr>
          <w:hidden/>
        </w:trPr>
        <w:tc>
          <w:tcPr>
            <w:tcW w:w="0" w:type="auto"/>
            <w:gridSpan w:val="3"/>
            <w:shd w:val="clear" w:color="auto" w:fill="auto"/>
            <w:vAlign w:val="bottom"/>
          </w:tcPr>
          <w:p w14:paraId="74DDC027" w14:textId="77777777" w:rsidR="00584EC1" w:rsidRDefault="00584EC1">
            <w:pPr>
              <w:rPr>
                <w:rFonts w:ascii="宋体"/>
                <w:vanish/>
              </w:rPr>
            </w:pPr>
          </w:p>
        </w:tc>
        <w:tc>
          <w:tcPr>
            <w:tcW w:w="0" w:type="auto"/>
            <w:gridSpan w:val="3"/>
            <w:shd w:val="clear" w:color="auto" w:fill="auto"/>
            <w:vAlign w:val="bottom"/>
          </w:tcPr>
          <w:p w14:paraId="74DDC028" w14:textId="77777777" w:rsidR="00584EC1" w:rsidRDefault="00584EC1">
            <w:pPr>
              <w:rPr>
                <w:rFonts w:ascii="宋体"/>
                <w:vanish/>
              </w:rPr>
            </w:pPr>
          </w:p>
        </w:tc>
        <w:tc>
          <w:tcPr>
            <w:tcW w:w="0" w:type="auto"/>
            <w:gridSpan w:val="3"/>
            <w:shd w:val="clear" w:color="auto" w:fill="auto"/>
            <w:vAlign w:val="bottom"/>
          </w:tcPr>
          <w:p w14:paraId="74DDC029" w14:textId="77777777" w:rsidR="00584EC1" w:rsidRDefault="00584EC1">
            <w:pPr>
              <w:rPr>
                <w:rFonts w:ascii="宋体"/>
                <w:vanish/>
              </w:rPr>
            </w:pPr>
          </w:p>
        </w:tc>
        <w:tc>
          <w:tcPr>
            <w:tcW w:w="0" w:type="auto"/>
            <w:gridSpan w:val="3"/>
            <w:shd w:val="clear" w:color="auto" w:fill="auto"/>
            <w:vAlign w:val="bottom"/>
          </w:tcPr>
          <w:p w14:paraId="74DDC02A" w14:textId="77777777" w:rsidR="00584EC1" w:rsidRDefault="00584EC1">
            <w:pPr>
              <w:rPr>
                <w:rFonts w:ascii="宋体"/>
                <w:vanish/>
              </w:rPr>
            </w:pPr>
          </w:p>
        </w:tc>
        <w:tc>
          <w:tcPr>
            <w:tcW w:w="0" w:type="auto"/>
            <w:gridSpan w:val="3"/>
            <w:shd w:val="clear" w:color="auto" w:fill="auto"/>
            <w:vAlign w:val="bottom"/>
          </w:tcPr>
          <w:p w14:paraId="74DDC02B" w14:textId="77777777" w:rsidR="00584EC1" w:rsidRDefault="00584EC1">
            <w:pPr>
              <w:rPr>
                <w:rFonts w:ascii="宋体"/>
                <w:vanish/>
              </w:rPr>
            </w:pPr>
          </w:p>
        </w:tc>
        <w:tc>
          <w:tcPr>
            <w:tcW w:w="0" w:type="auto"/>
            <w:gridSpan w:val="3"/>
            <w:shd w:val="clear" w:color="auto" w:fill="auto"/>
            <w:vAlign w:val="bottom"/>
          </w:tcPr>
          <w:p w14:paraId="74DDC02C" w14:textId="77777777" w:rsidR="00584EC1" w:rsidRDefault="00584EC1">
            <w:pPr>
              <w:rPr>
                <w:rFonts w:ascii="宋体"/>
                <w:vanish/>
              </w:rPr>
            </w:pPr>
          </w:p>
        </w:tc>
        <w:tc>
          <w:tcPr>
            <w:tcW w:w="0" w:type="auto"/>
            <w:gridSpan w:val="3"/>
            <w:shd w:val="clear" w:color="auto" w:fill="auto"/>
            <w:vAlign w:val="bottom"/>
          </w:tcPr>
          <w:p w14:paraId="74DDC02D" w14:textId="77777777" w:rsidR="00584EC1" w:rsidRDefault="00584EC1">
            <w:pPr>
              <w:rPr>
                <w:rFonts w:ascii="宋体"/>
                <w:vanish/>
              </w:rPr>
            </w:pPr>
          </w:p>
        </w:tc>
        <w:tc>
          <w:tcPr>
            <w:tcW w:w="0" w:type="auto"/>
            <w:gridSpan w:val="3"/>
            <w:shd w:val="clear" w:color="auto" w:fill="auto"/>
            <w:vAlign w:val="bottom"/>
          </w:tcPr>
          <w:p w14:paraId="74DDC02E" w14:textId="77777777" w:rsidR="00584EC1" w:rsidRDefault="00584EC1">
            <w:pPr>
              <w:rPr>
                <w:rFonts w:ascii="宋体"/>
                <w:vanish/>
              </w:rPr>
            </w:pPr>
          </w:p>
        </w:tc>
        <w:tc>
          <w:tcPr>
            <w:tcW w:w="0" w:type="auto"/>
            <w:gridSpan w:val="3"/>
            <w:shd w:val="clear" w:color="auto" w:fill="auto"/>
            <w:vAlign w:val="bottom"/>
          </w:tcPr>
          <w:p w14:paraId="74DDC02F" w14:textId="77777777" w:rsidR="00584EC1" w:rsidRDefault="00584EC1">
            <w:pPr>
              <w:rPr>
                <w:rFonts w:ascii="宋体"/>
                <w:vanish/>
              </w:rPr>
            </w:pPr>
          </w:p>
        </w:tc>
        <w:tc>
          <w:tcPr>
            <w:tcW w:w="0" w:type="auto"/>
            <w:shd w:val="clear" w:color="auto" w:fill="auto"/>
            <w:vAlign w:val="bottom"/>
          </w:tcPr>
          <w:p w14:paraId="74DDC030" w14:textId="77777777" w:rsidR="00584EC1" w:rsidRDefault="00584EC1">
            <w:pPr>
              <w:rPr>
                <w:rFonts w:ascii="宋体"/>
                <w:vanish/>
              </w:rPr>
            </w:pPr>
          </w:p>
        </w:tc>
        <w:tc>
          <w:tcPr>
            <w:tcW w:w="0" w:type="auto"/>
            <w:shd w:val="clear" w:color="auto" w:fill="auto"/>
            <w:vAlign w:val="bottom"/>
          </w:tcPr>
          <w:p w14:paraId="74DDC031" w14:textId="77777777" w:rsidR="00584EC1" w:rsidRDefault="00584EC1">
            <w:pPr>
              <w:rPr>
                <w:rFonts w:ascii="宋体"/>
                <w:vanish/>
              </w:rPr>
            </w:pPr>
          </w:p>
        </w:tc>
        <w:tc>
          <w:tcPr>
            <w:tcW w:w="0" w:type="auto"/>
            <w:gridSpan w:val="3"/>
            <w:shd w:val="clear" w:color="auto" w:fill="auto"/>
            <w:vAlign w:val="bottom"/>
          </w:tcPr>
          <w:p w14:paraId="74DDC032" w14:textId="77777777" w:rsidR="00584EC1" w:rsidRDefault="00584EC1">
            <w:pPr>
              <w:rPr>
                <w:rFonts w:ascii="宋体"/>
                <w:vanish/>
              </w:rPr>
            </w:pPr>
          </w:p>
        </w:tc>
        <w:tc>
          <w:tcPr>
            <w:tcW w:w="0" w:type="auto"/>
            <w:gridSpan w:val="3"/>
            <w:shd w:val="clear" w:color="auto" w:fill="auto"/>
            <w:vAlign w:val="bottom"/>
          </w:tcPr>
          <w:p w14:paraId="74DDC033" w14:textId="77777777" w:rsidR="00584EC1" w:rsidRDefault="00584EC1">
            <w:pPr>
              <w:rPr>
                <w:rFonts w:ascii="宋体"/>
                <w:vanish/>
              </w:rPr>
            </w:pPr>
          </w:p>
        </w:tc>
        <w:tc>
          <w:tcPr>
            <w:tcW w:w="0" w:type="auto"/>
            <w:gridSpan w:val="3"/>
            <w:shd w:val="clear" w:color="auto" w:fill="auto"/>
            <w:vAlign w:val="bottom"/>
          </w:tcPr>
          <w:p w14:paraId="74DDC034" w14:textId="77777777" w:rsidR="00584EC1" w:rsidRDefault="00584EC1">
            <w:pPr>
              <w:rPr>
                <w:rFonts w:ascii="宋体"/>
                <w:vanish/>
              </w:rPr>
            </w:pPr>
          </w:p>
        </w:tc>
        <w:tc>
          <w:tcPr>
            <w:tcW w:w="0" w:type="auto"/>
            <w:gridSpan w:val="3"/>
            <w:shd w:val="clear" w:color="auto" w:fill="auto"/>
            <w:vAlign w:val="bottom"/>
          </w:tcPr>
          <w:p w14:paraId="74DDC035" w14:textId="77777777" w:rsidR="00584EC1" w:rsidRDefault="00584EC1">
            <w:pPr>
              <w:rPr>
                <w:rFonts w:ascii="宋体"/>
                <w:vanish/>
              </w:rPr>
            </w:pPr>
          </w:p>
        </w:tc>
        <w:tc>
          <w:tcPr>
            <w:tcW w:w="0" w:type="auto"/>
            <w:gridSpan w:val="3"/>
            <w:shd w:val="clear" w:color="auto" w:fill="auto"/>
            <w:vAlign w:val="bottom"/>
          </w:tcPr>
          <w:p w14:paraId="74DDC036" w14:textId="77777777" w:rsidR="00584EC1" w:rsidRDefault="00584EC1">
            <w:pPr>
              <w:rPr>
                <w:rFonts w:ascii="宋体"/>
                <w:vanish/>
              </w:rPr>
            </w:pPr>
          </w:p>
        </w:tc>
        <w:tc>
          <w:tcPr>
            <w:tcW w:w="0" w:type="auto"/>
            <w:gridSpan w:val="3"/>
            <w:shd w:val="clear" w:color="auto" w:fill="auto"/>
            <w:vAlign w:val="bottom"/>
          </w:tcPr>
          <w:p w14:paraId="74DDC037" w14:textId="77777777" w:rsidR="00584EC1" w:rsidRDefault="00584EC1">
            <w:pPr>
              <w:rPr>
                <w:rFonts w:ascii="宋体"/>
                <w:vanish/>
              </w:rPr>
            </w:pPr>
          </w:p>
        </w:tc>
        <w:tc>
          <w:tcPr>
            <w:tcW w:w="0" w:type="auto"/>
            <w:gridSpan w:val="3"/>
            <w:shd w:val="clear" w:color="auto" w:fill="auto"/>
            <w:vAlign w:val="bottom"/>
          </w:tcPr>
          <w:p w14:paraId="74DDC038" w14:textId="77777777" w:rsidR="00584EC1" w:rsidRDefault="00584EC1">
            <w:pPr>
              <w:rPr>
                <w:rFonts w:ascii="宋体"/>
                <w:vanish/>
              </w:rPr>
            </w:pPr>
          </w:p>
        </w:tc>
        <w:tc>
          <w:tcPr>
            <w:tcW w:w="0" w:type="auto"/>
            <w:gridSpan w:val="3"/>
            <w:shd w:val="clear" w:color="auto" w:fill="auto"/>
            <w:vAlign w:val="bottom"/>
          </w:tcPr>
          <w:p w14:paraId="74DDC039" w14:textId="77777777" w:rsidR="00584EC1" w:rsidRDefault="00584EC1">
            <w:pPr>
              <w:rPr>
                <w:rFonts w:ascii="宋体"/>
                <w:vanish/>
              </w:rPr>
            </w:pPr>
          </w:p>
        </w:tc>
        <w:tc>
          <w:tcPr>
            <w:tcW w:w="0" w:type="auto"/>
            <w:gridSpan w:val="3"/>
            <w:shd w:val="clear" w:color="auto" w:fill="auto"/>
            <w:vAlign w:val="bottom"/>
          </w:tcPr>
          <w:p w14:paraId="74DDC03A" w14:textId="77777777" w:rsidR="00584EC1" w:rsidRDefault="00584EC1">
            <w:pPr>
              <w:rPr>
                <w:rFonts w:ascii="宋体"/>
                <w:vanish/>
              </w:rPr>
            </w:pPr>
          </w:p>
        </w:tc>
        <w:tc>
          <w:tcPr>
            <w:tcW w:w="0" w:type="auto"/>
            <w:gridSpan w:val="2"/>
            <w:shd w:val="clear" w:color="auto" w:fill="auto"/>
            <w:vAlign w:val="bottom"/>
          </w:tcPr>
          <w:p w14:paraId="74DDC03B" w14:textId="77777777" w:rsidR="00584EC1" w:rsidRDefault="00584EC1">
            <w:pPr>
              <w:rPr>
                <w:rFonts w:ascii="宋体"/>
                <w:vanish/>
              </w:rPr>
            </w:pPr>
          </w:p>
        </w:tc>
        <w:tc>
          <w:tcPr>
            <w:tcW w:w="0" w:type="auto"/>
            <w:shd w:val="clear" w:color="auto" w:fill="auto"/>
            <w:vAlign w:val="bottom"/>
          </w:tcPr>
          <w:p w14:paraId="74DDC03C" w14:textId="77777777" w:rsidR="00584EC1" w:rsidRDefault="00584EC1">
            <w:pPr>
              <w:rPr>
                <w:rFonts w:ascii="宋体"/>
                <w:vanish/>
              </w:rPr>
            </w:pPr>
          </w:p>
        </w:tc>
      </w:tr>
      <w:tr w:rsidR="00584EC1" w14:paraId="74DDC054" w14:textId="77777777">
        <w:trPr>
          <w:hidden/>
        </w:trPr>
        <w:tc>
          <w:tcPr>
            <w:tcW w:w="0" w:type="auto"/>
            <w:gridSpan w:val="3"/>
            <w:shd w:val="clear" w:color="auto" w:fill="auto"/>
            <w:vAlign w:val="bottom"/>
          </w:tcPr>
          <w:p w14:paraId="74DDC03E" w14:textId="77777777" w:rsidR="00584EC1" w:rsidRDefault="00584EC1">
            <w:pPr>
              <w:rPr>
                <w:rFonts w:ascii="宋体"/>
                <w:vanish/>
              </w:rPr>
            </w:pPr>
          </w:p>
        </w:tc>
        <w:tc>
          <w:tcPr>
            <w:tcW w:w="0" w:type="auto"/>
            <w:gridSpan w:val="3"/>
            <w:shd w:val="clear" w:color="auto" w:fill="auto"/>
            <w:vAlign w:val="bottom"/>
          </w:tcPr>
          <w:p w14:paraId="74DDC03F" w14:textId="77777777" w:rsidR="00584EC1" w:rsidRDefault="00584EC1">
            <w:pPr>
              <w:rPr>
                <w:rFonts w:ascii="宋体"/>
                <w:vanish/>
              </w:rPr>
            </w:pPr>
          </w:p>
        </w:tc>
        <w:tc>
          <w:tcPr>
            <w:tcW w:w="0" w:type="auto"/>
            <w:gridSpan w:val="3"/>
            <w:shd w:val="clear" w:color="auto" w:fill="auto"/>
            <w:vAlign w:val="bottom"/>
          </w:tcPr>
          <w:p w14:paraId="74DDC040" w14:textId="77777777" w:rsidR="00584EC1" w:rsidRDefault="00584EC1">
            <w:pPr>
              <w:rPr>
                <w:rFonts w:ascii="宋体"/>
                <w:vanish/>
              </w:rPr>
            </w:pPr>
          </w:p>
        </w:tc>
        <w:tc>
          <w:tcPr>
            <w:tcW w:w="0" w:type="auto"/>
            <w:gridSpan w:val="3"/>
            <w:shd w:val="clear" w:color="auto" w:fill="auto"/>
            <w:vAlign w:val="bottom"/>
          </w:tcPr>
          <w:p w14:paraId="74DDC041" w14:textId="77777777" w:rsidR="00584EC1" w:rsidRDefault="00584EC1">
            <w:pPr>
              <w:rPr>
                <w:rFonts w:ascii="宋体"/>
                <w:vanish/>
              </w:rPr>
            </w:pPr>
          </w:p>
        </w:tc>
        <w:tc>
          <w:tcPr>
            <w:tcW w:w="0" w:type="auto"/>
            <w:gridSpan w:val="3"/>
            <w:shd w:val="clear" w:color="auto" w:fill="auto"/>
            <w:vAlign w:val="bottom"/>
          </w:tcPr>
          <w:p w14:paraId="74DDC042" w14:textId="77777777" w:rsidR="00584EC1" w:rsidRDefault="00584EC1">
            <w:pPr>
              <w:rPr>
                <w:rFonts w:ascii="宋体"/>
                <w:vanish/>
              </w:rPr>
            </w:pPr>
          </w:p>
        </w:tc>
        <w:tc>
          <w:tcPr>
            <w:tcW w:w="0" w:type="auto"/>
            <w:gridSpan w:val="3"/>
            <w:shd w:val="clear" w:color="auto" w:fill="auto"/>
            <w:vAlign w:val="bottom"/>
          </w:tcPr>
          <w:p w14:paraId="74DDC043" w14:textId="77777777" w:rsidR="00584EC1" w:rsidRDefault="00584EC1">
            <w:pPr>
              <w:rPr>
                <w:rFonts w:ascii="宋体"/>
                <w:vanish/>
              </w:rPr>
            </w:pPr>
          </w:p>
        </w:tc>
        <w:tc>
          <w:tcPr>
            <w:tcW w:w="0" w:type="auto"/>
            <w:gridSpan w:val="3"/>
            <w:shd w:val="clear" w:color="auto" w:fill="auto"/>
            <w:vAlign w:val="bottom"/>
          </w:tcPr>
          <w:p w14:paraId="74DDC044" w14:textId="77777777" w:rsidR="00584EC1" w:rsidRDefault="00584EC1">
            <w:pPr>
              <w:rPr>
                <w:rFonts w:ascii="宋体"/>
                <w:vanish/>
              </w:rPr>
            </w:pPr>
          </w:p>
        </w:tc>
        <w:tc>
          <w:tcPr>
            <w:tcW w:w="0" w:type="auto"/>
            <w:gridSpan w:val="3"/>
            <w:shd w:val="clear" w:color="auto" w:fill="auto"/>
            <w:vAlign w:val="bottom"/>
          </w:tcPr>
          <w:p w14:paraId="74DDC045" w14:textId="77777777" w:rsidR="00584EC1" w:rsidRDefault="00584EC1">
            <w:pPr>
              <w:rPr>
                <w:rFonts w:ascii="宋体"/>
                <w:vanish/>
              </w:rPr>
            </w:pPr>
          </w:p>
        </w:tc>
        <w:tc>
          <w:tcPr>
            <w:tcW w:w="0" w:type="auto"/>
            <w:gridSpan w:val="3"/>
            <w:shd w:val="clear" w:color="auto" w:fill="auto"/>
            <w:vAlign w:val="bottom"/>
          </w:tcPr>
          <w:p w14:paraId="74DDC046" w14:textId="77777777" w:rsidR="00584EC1" w:rsidRDefault="00584EC1">
            <w:pPr>
              <w:rPr>
                <w:rFonts w:ascii="宋体"/>
                <w:vanish/>
              </w:rPr>
            </w:pPr>
          </w:p>
        </w:tc>
        <w:tc>
          <w:tcPr>
            <w:tcW w:w="0" w:type="auto"/>
            <w:shd w:val="clear" w:color="auto" w:fill="auto"/>
            <w:vAlign w:val="bottom"/>
          </w:tcPr>
          <w:p w14:paraId="74DDC047" w14:textId="77777777" w:rsidR="00584EC1" w:rsidRDefault="00584EC1">
            <w:pPr>
              <w:rPr>
                <w:rFonts w:ascii="宋体"/>
                <w:vanish/>
              </w:rPr>
            </w:pPr>
          </w:p>
        </w:tc>
        <w:tc>
          <w:tcPr>
            <w:tcW w:w="0" w:type="auto"/>
            <w:shd w:val="clear" w:color="auto" w:fill="auto"/>
            <w:vAlign w:val="bottom"/>
          </w:tcPr>
          <w:p w14:paraId="74DDC048" w14:textId="77777777" w:rsidR="00584EC1" w:rsidRDefault="00584EC1">
            <w:pPr>
              <w:rPr>
                <w:rFonts w:ascii="宋体"/>
                <w:vanish/>
              </w:rPr>
            </w:pPr>
          </w:p>
        </w:tc>
        <w:tc>
          <w:tcPr>
            <w:tcW w:w="0" w:type="auto"/>
            <w:gridSpan w:val="3"/>
            <w:shd w:val="clear" w:color="auto" w:fill="auto"/>
            <w:vAlign w:val="bottom"/>
          </w:tcPr>
          <w:p w14:paraId="74DDC049" w14:textId="77777777" w:rsidR="00584EC1" w:rsidRDefault="00584EC1">
            <w:pPr>
              <w:rPr>
                <w:rFonts w:ascii="宋体"/>
                <w:vanish/>
              </w:rPr>
            </w:pPr>
          </w:p>
        </w:tc>
        <w:tc>
          <w:tcPr>
            <w:tcW w:w="0" w:type="auto"/>
            <w:gridSpan w:val="3"/>
            <w:shd w:val="clear" w:color="auto" w:fill="auto"/>
            <w:vAlign w:val="bottom"/>
          </w:tcPr>
          <w:p w14:paraId="74DDC04A" w14:textId="77777777" w:rsidR="00584EC1" w:rsidRDefault="00584EC1">
            <w:pPr>
              <w:rPr>
                <w:rFonts w:ascii="宋体"/>
                <w:vanish/>
              </w:rPr>
            </w:pPr>
          </w:p>
        </w:tc>
        <w:tc>
          <w:tcPr>
            <w:tcW w:w="0" w:type="auto"/>
            <w:gridSpan w:val="3"/>
            <w:shd w:val="clear" w:color="auto" w:fill="auto"/>
            <w:vAlign w:val="bottom"/>
          </w:tcPr>
          <w:p w14:paraId="74DDC04B" w14:textId="77777777" w:rsidR="00584EC1" w:rsidRDefault="00584EC1">
            <w:pPr>
              <w:rPr>
                <w:rFonts w:ascii="宋体"/>
                <w:vanish/>
              </w:rPr>
            </w:pPr>
          </w:p>
        </w:tc>
        <w:tc>
          <w:tcPr>
            <w:tcW w:w="0" w:type="auto"/>
            <w:gridSpan w:val="3"/>
            <w:shd w:val="clear" w:color="auto" w:fill="auto"/>
            <w:vAlign w:val="bottom"/>
          </w:tcPr>
          <w:p w14:paraId="74DDC04C" w14:textId="77777777" w:rsidR="00584EC1" w:rsidRDefault="00584EC1">
            <w:pPr>
              <w:rPr>
                <w:rFonts w:ascii="宋体"/>
                <w:vanish/>
              </w:rPr>
            </w:pPr>
          </w:p>
        </w:tc>
        <w:tc>
          <w:tcPr>
            <w:tcW w:w="0" w:type="auto"/>
            <w:gridSpan w:val="3"/>
            <w:shd w:val="clear" w:color="auto" w:fill="auto"/>
            <w:vAlign w:val="bottom"/>
          </w:tcPr>
          <w:p w14:paraId="74DDC04D" w14:textId="77777777" w:rsidR="00584EC1" w:rsidRDefault="00584EC1">
            <w:pPr>
              <w:rPr>
                <w:rFonts w:ascii="宋体"/>
                <w:vanish/>
              </w:rPr>
            </w:pPr>
          </w:p>
        </w:tc>
        <w:tc>
          <w:tcPr>
            <w:tcW w:w="0" w:type="auto"/>
            <w:gridSpan w:val="3"/>
            <w:shd w:val="clear" w:color="auto" w:fill="auto"/>
            <w:vAlign w:val="bottom"/>
          </w:tcPr>
          <w:p w14:paraId="74DDC04E" w14:textId="77777777" w:rsidR="00584EC1" w:rsidRDefault="00584EC1">
            <w:pPr>
              <w:rPr>
                <w:rFonts w:ascii="宋体"/>
                <w:vanish/>
              </w:rPr>
            </w:pPr>
          </w:p>
        </w:tc>
        <w:tc>
          <w:tcPr>
            <w:tcW w:w="0" w:type="auto"/>
            <w:gridSpan w:val="3"/>
            <w:shd w:val="clear" w:color="auto" w:fill="auto"/>
            <w:vAlign w:val="bottom"/>
          </w:tcPr>
          <w:p w14:paraId="74DDC04F" w14:textId="77777777" w:rsidR="00584EC1" w:rsidRDefault="00584EC1">
            <w:pPr>
              <w:rPr>
                <w:rFonts w:ascii="宋体"/>
                <w:vanish/>
              </w:rPr>
            </w:pPr>
          </w:p>
        </w:tc>
        <w:tc>
          <w:tcPr>
            <w:tcW w:w="0" w:type="auto"/>
            <w:gridSpan w:val="3"/>
            <w:shd w:val="clear" w:color="auto" w:fill="auto"/>
            <w:vAlign w:val="bottom"/>
          </w:tcPr>
          <w:p w14:paraId="74DDC050" w14:textId="77777777" w:rsidR="00584EC1" w:rsidRDefault="00584EC1">
            <w:pPr>
              <w:rPr>
                <w:rFonts w:ascii="宋体"/>
                <w:vanish/>
              </w:rPr>
            </w:pPr>
          </w:p>
        </w:tc>
        <w:tc>
          <w:tcPr>
            <w:tcW w:w="0" w:type="auto"/>
            <w:gridSpan w:val="3"/>
            <w:shd w:val="clear" w:color="auto" w:fill="auto"/>
            <w:vAlign w:val="bottom"/>
          </w:tcPr>
          <w:p w14:paraId="74DDC051" w14:textId="77777777" w:rsidR="00584EC1" w:rsidRDefault="00584EC1">
            <w:pPr>
              <w:rPr>
                <w:rFonts w:ascii="宋体"/>
                <w:vanish/>
              </w:rPr>
            </w:pPr>
          </w:p>
        </w:tc>
        <w:tc>
          <w:tcPr>
            <w:tcW w:w="0" w:type="auto"/>
            <w:gridSpan w:val="2"/>
            <w:shd w:val="clear" w:color="auto" w:fill="auto"/>
            <w:vAlign w:val="bottom"/>
          </w:tcPr>
          <w:p w14:paraId="74DDC052" w14:textId="77777777" w:rsidR="00584EC1" w:rsidRDefault="00584EC1">
            <w:pPr>
              <w:rPr>
                <w:rFonts w:ascii="宋体"/>
                <w:vanish/>
              </w:rPr>
            </w:pPr>
          </w:p>
        </w:tc>
        <w:tc>
          <w:tcPr>
            <w:tcW w:w="0" w:type="auto"/>
            <w:shd w:val="clear" w:color="auto" w:fill="auto"/>
            <w:vAlign w:val="bottom"/>
          </w:tcPr>
          <w:p w14:paraId="74DDC053" w14:textId="77777777" w:rsidR="00584EC1" w:rsidRDefault="00584EC1">
            <w:pPr>
              <w:rPr>
                <w:rFonts w:ascii="宋体"/>
                <w:vanish/>
              </w:rPr>
            </w:pPr>
          </w:p>
        </w:tc>
      </w:tr>
      <w:tr w:rsidR="00584EC1" w14:paraId="74DDC06B" w14:textId="77777777">
        <w:trPr>
          <w:hidden/>
        </w:trPr>
        <w:tc>
          <w:tcPr>
            <w:tcW w:w="0" w:type="auto"/>
            <w:gridSpan w:val="3"/>
            <w:shd w:val="clear" w:color="auto" w:fill="auto"/>
            <w:vAlign w:val="bottom"/>
          </w:tcPr>
          <w:p w14:paraId="74DDC055" w14:textId="77777777" w:rsidR="00584EC1" w:rsidRDefault="00584EC1">
            <w:pPr>
              <w:rPr>
                <w:rFonts w:ascii="宋体"/>
                <w:vanish/>
              </w:rPr>
            </w:pPr>
          </w:p>
        </w:tc>
        <w:tc>
          <w:tcPr>
            <w:tcW w:w="0" w:type="auto"/>
            <w:gridSpan w:val="3"/>
            <w:shd w:val="clear" w:color="auto" w:fill="auto"/>
            <w:vAlign w:val="bottom"/>
          </w:tcPr>
          <w:p w14:paraId="74DDC056" w14:textId="77777777" w:rsidR="00584EC1" w:rsidRDefault="00584EC1">
            <w:pPr>
              <w:rPr>
                <w:rFonts w:ascii="宋体"/>
                <w:vanish/>
              </w:rPr>
            </w:pPr>
          </w:p>
        </w:tc>
        <w:tc>
          <w:tcPr>
            <w:tcW w:w="0" w:type="auto"/>
            <w:gridSpan w:val="3"/>
            <w:shd w:val="clear" w:color="auto" w:fill="auto"/>
            <w:vAlign w:val="bottom"/>
          </w:tcPr>
          <w:p w14:paraId="74DDC057" w14:textId="77777777" w:rsidR="00584EC1" w:rsidRDefault="00584EC1">
            <w:pPr>
              <w:rPr>
                <w:rFonts w:ascii="宋体"/>
                <w:vanish/>
              </w:rPr>
            </w:pPr>
          </w:p>
        </w:tc>
        <w:tc>
          <w:tcPr>
            <w:tcW w:w="0" w:type="auto"/>
            <w:gridSpan w:val="3"/>
            <w:shd w:val="clear" w:color="auto" w:fill="auto"/>
            <w:vAlign w:val="bottom"/>
          </w:tcPr>
          <w:p w14:paraId="74DDC058" w14:textId="77777777" w:rsidR="00584EC1" w:rsidRDefault="00584EC1">
            <w:pPr>
              <w:rPr>
                <w:rFonts w:ascii="宋体"/>
                <w:vanish/>
              </w:rPr>
            </w:pPr>
          </w:p>
        </w:tc>
        <w:tc>
          <w:tcPr>
            <w:tcW w:w="0" w:type="auto"/>
            <w:gridSpan w:val="3"/>
            <w:shd w:val="clear" w:color="auto" w:fill="auto"/>
            <w:vAlign w:val="bottom"/>
          </w:tcPr>
          <w:p w14:paraId="74DDC059" w14:textId="77777777" w:rsidR="00584EC1" w:rsidRDefault="00584EC1">
            <w:pPr>
              <w:rPr>
                <w:rFonts w:ascii="宋体"/>
                <w:vanish/>
              </w:rPr>
            </w:pPr>
          </w:p>
        </w:tc>
        <w:tc>
          <w:tcPr>
            <w:tcW w:w="0" w:type="auto"/>
            <w:gridSpan w:val="3"/>
            <w:shd w:val="clear" w:color="auto" w:fill="auto"/>
            <w:vAlign w:val="bottom"/>
          </w:tcPr>
          <w:p w14:paraId="74DDC05A" w14:textId="77777777" w:rsidR="00584EC1" w:rsidRDefault="00584EC1">
            <w:pPr>
              <w:rPr>
                <w:rFonts w:ascii="宋体"/>
                <w:vanish/>
              </w:rPr>
            </w:pPr>
          </w:p>
        </w:tc>
        <w:tc>
          <w:tcPr>
            <w:tcW w:w="0" w:type="auto"/>
            <w:gridSpan w:val="3"/>
            <w:shd w:val="clear" w:color="auto" w:fill="auto"/>
            <w:vAlign w:val="bottom"/>
          </w:tcPr>
          <w:p w14:paraId="74DDC05B" w14:textId="77777777" w:rsidR="00584EC1" w:rsidRDefault="00584EC1">
            <w:pPr>
              <w:rPr>
                <w:rFonts w:ascii="宋体"/>
                <w:vanish/>
              </w:rPr>
            </w:pPr>
          </w:p>
        </w:tc>
        <w:tc>
          <w:tcPr>
            <w:tcW w:w="0" w:type="auto"/>
            <w:gridSpan w:val="3"/>
            <w:shd w:val="clear" w:color="auto" w:fill="auto"/>
            <w:vAlign w:val="bottom"/>
          </w:tcPr>
          <w:p w14:paraId="74DDC05C" w14:textId="77777777" w:rsidR="00584EC1" w:rsidRDefault="00584EC1">
            <w:pPr>
              <w:rPr>
                <w:rFonts w:ascii="宋体"/>
                <w:vanish/>
              </w:rPr>
            </w:pPr>
          </w:p>
        </w:tc>
        <w:tc>
          <w:tcPr>
            <w:tcW w:w="0" w:type="auto"/>
            <w:gridSpan w:val="3"/>
            <w:shd w:val="clear" w:color="auto" w:fill="auto"/>
            <w:vAlign w:val="bottom"/>
          </w:tcPr>
          <w:p w14:paraId="74DDC05D" w14:textId="77777777" w:rsidR="00584EC1" w:rsidRDefault="00584EC1">
            <w:pPr>
              <w:rPr>
                <w:rFonts w:ascii="宋体"/>
                <w:vanish/>
              </w:rPr>
            </w:pPr>
          </w:p>
        </w:tc>
        <w:tc>
          <w:tcPr>
            <w:tcW w:w="0" w:type="auto"/>
            <w:shd w:val="clear" w:color="auto" w:fill="auto"/>
            <w:vAlign w:val="bottom"/>
          </w:tcPr>
          <w:p w14:paraId="74DDC05E" w14:textId="77777777" w:rsidR="00584EC1" w:rsidRDefault="00584EC1">
            <w:pPr>
              <w:rPr>
                <w:rFonts w:ascii="宋体"/>
                <w:vanish/>
              </w:rPr>
            </w:pPr>
          </w:p>
        </w:tc>
        <w:tc>
          <w:tcPr>
            <w:tcW w:w="0" w:type="auto"/>
            <w:shd w:val="clear" w:color="auto" w:fill="auto"/>
            <w:vAlign w:val="bottom"/>
          </w:tcPr>
          <w:p w14:paraId="74DDC05F" w14:textId="77777777" w:rsidR="00584EC1" w:rsidRDefault="00584EC1">
            <w:pPr>
              <w:rPr>
                <w:rFonts w:ascii="宋体"/>
                <w:vanish/>
              </w:rPr>
            </w:pPr>
          </w:p>
        </w:tc>
        <w:tc>
          <w:tcPr>
            <w:tcW w:w="0" w:type="auto"/>
            <w:gridSpan w:val="3"/>
            <w:shd w:val="clear" w:color="auto" w:fill="auto"/>
            <w:vAlign w:val="bottom"/>
          </w:tcPr>
          <w:p w14:paraId="74DDC060" w14:textId="77777777" w:rsidR="00584EC1" w:rsidRDefault="00584EC1">
            <w:pPr>
              <w:rPr>
                <w:rFonts w:ascii="宋体"/>
                <w:vanish/>
              </w:rPr>
            </w:pPr>
          </w:p>
        </w:tc>
        <w:tc>
          <w:tcPr>
            <w:tcW w:w="0" w:type="auto"/>
            <w:gridSpan w:val="3"/>
            <w:shd w:val="clear" w:color="auto" w:fill="auto"/>
            <w:vAlign w:val="bottom"/>
          </w:tcPr>
          <w:p w14:paraId="74DDC061" w14:textId="77777777" w:rsidR="00584EC1" w:rsidRDefault="00584EC1">
            <w:pPr>
              <w:rPr>
                <w:rFonts w:ascii="宋体"/>
                <w:vanish/>
              </w:rPr>
            </w:pPr>
          </w:p>
        </w:tc>
        <w:tc>
          <w:tcPr>
            <w:tcW w:w="0" w:type="auto"/>
            <w:gridSpan w:val="3"/>
            <w:shd w:val="clear" w:color="auto" w:fill="auto"/>
            <w:vAlign w:val="bottom"/>
          </w:tcPr>
          <w:p w14:paraId="74DDC062" w14:textId="77777777" w:rsidR="00584EC1" w:rsidRDefault="00584EC1">
            <w:pPr>
              <w:rPr>
                <w:rFonts w:ascii="宋体"/>
                <w:vanish/>
              </w:rPr>
            </w:pPr>
          </w:p>
        </w:tc>
        <w:tc>
          <w:tcPr>
            <w:tcW w:w="0" w:type="auto"/>
            <w:gridSpan w:val="3"/>
            <w:shd w:val="clear" w:color="auto" w:fill="auto"/>
            <w:vAlign w:val="bottom"/>
          </w:tcPr>
          <w:p w14:paraId="74DDC063" w14:textId="77777777" w:rsidR="00584EC1" w:rsidRDefault="00584EC1">
            <w:pPr>
              <w:rPr>
                <w:rFonts w:ascii="宋体"/>
                <w:vanish/>
              </w:rPr>
            </w:pPr>
          </w:p>
        </w:tc>
        <w:tc>
          <w:tcPr>
            <w:tcW w:w="0" w:type="auto"/>
            <w:gridSpan w:val="3"/>
            <w:shd w:val="clear" w:color="auto" w:fill="auto"/>
            <w:vAlign w:val="bottom"/>
          </w:tcPr>
          <w:p w14:paraId="74DDC064" w14:textId="77777777" w:rsidR="00584EC1" w:rsidRDefault="00584EC1">
            <w:pPr>
              <w:rPr>
                <w:rFonts w:ascii="宋体"/>
                <w:vanish/>
              </w:rPr>
            </w:pPr>
          </w:p>
        </w:tc>
        <w:tc>
          <w:tcPr>
            <w:tcW w:w="0" w:type="auto"/>
            <w:gridSpan w:val="3"/>
            <w:shd w:val="clear" w:color="auto" w:fill="auto"/>
            <w:vAlign w:val="bottom"/>
          </w:tcPr>
          <w:p w14:paraId="74DDC065" w14:textId="77777777" w:rsidR="00584EC1" w:rsidRDefault="00584EC1">
            <w:pPr>
              <w:rPr>
                <w:rFonts w:ascii="宋体"/>
                <w:vanish/>
              </w:rPr>
            </w:pPr>
          </w:p>
        </w:tc>
        <w:tc>
          <w:tcPr>
            <w:tcW w:w="0" w:type="auto"/>
            <w:gridSpan w:val="3"/>
            <w:shd w:val="clear" w:color="auto" w:fill="auto"/>
            <w:vAlign w:val="bottom"/>
          </w:tcPr>
          <w:p w14:paraId="74DDC066" w14:textId="77777777" w:rsidR="00584EC1" w:rsidRDefault="00584EC1">
            <w:pPr>
              <w:rPr>
                <w:rFonts w:ascii="宋体"/>
                <w:vanish/>
              </w:rPr>
            </w:pPr>
          </w:p>
        </w:tc>
        <w:tc>
          <w:tcPr>
            <w:tcW w:w="0" w:type="auto"/>
            <w:gridSpan w:val="3"/>
            <w:shd w:val="clear" w:color="auto" w:fill="auto"/>
            <w:vAlign w:val="bottom"/>
          </w:tcPr>
          <w:p w14:paraId="74DDC067" w14:textId="77777777" w:rsidR="00584EC1" w:rsidRDefault="00584EC1">
            <w:pPr>
              <w:rPr>
                <w:rFonts w:ascii="宋体"/>
                <w:vanish/>
              </w:rPr>
            </w:pPr>
          </w:p>
        </w:tc>
        <w:tc>
          <w:tcPr>
            <w:tcW w:w="0" w:type="auto"/>
            <w:gridSpan w:val="3"/>
            <w:shd w:val="clear" w:color="auto" w:fill="auto"/>
            <w:vAlign w:val="bottom"/>
          </w:tcPr>
          <w:p w14:paraId="74DDC068" w14:textId="77777777" w:rsidR="00584EC1" w:rsidRDefault="00584EC1">
            <w:pPr>
              <w:rPr>
                <w:rFonts w:ascii="宋体"/>
                <w:vanish/>
              </w:rPr>
            </w:pPr>
          </w:p>
        </w:tc>
        <w:tc>
          <w:tcPr>
            <w:tcW w:w="0" w:type="auto"/>
            <w:gridSpan w:val="2"/>
            <w:shd w:val="clear" w:color="auto" w:fill="auto"/>
            <w:vAlign w:val="bottom"/>
          </w:tcPr>
          <w:p w14:paraId="74DDC069" w14:textId="77777777" w:rsidR="00584EC1" w:rsidRDefault="00584EC1">
            <w:pPr>
              <w:rPr>
                <w:rFonts w:ascii="宋体"/>
                <w:vanish/>
              </w:rPr>
            </w:pPr>
          </w:p>
        </w:tc>
        <w:tc>
          <w:tcPr>
            <w:tcW w:w="0" w:type="auto"/>
            <w:shd w:val="clear" w:color="auto" w:fill="auto"/>
            <w:vAlign w:val="bottom"/>
          </w:tcPr>
          <w:p w14:paraId="74DDC06A" w14:textId="77777777" w:rsidR="00584EC1" w:rsidRDefault="00584EC1">
            <w:pPr>
              <w:rPr>
                <w:rFonts w:ascii="宋体"/>
                <w:vanish/>
              </w:rPr>
            </w:pPr>
          </w:p>
        </w:tc>
      </w:tr>
      <w:tr w:rsidR="00584EC1" w14:paraId="74DDC082" w14:textId="77777777">
        <w:trPr>
          <w:hidden/>
        </w:trPr>
        <w:tc>
          <w:tcPr>
            <w:tcW w:w="0" w:type="auto"/>
            <w:gridSpan w:val="3"/>
            <w:shd w:val="clear" w:color="auto" w:fill="auto"/>
            <w:vAlign w:val="bottom"/>
          </w:tcPr>
          <w:p w14:paraId="74DDC06C" w14:textId="77777777" w:rsidR="00584EC1" w:rsidRDefault="00584EC1">
            <w:pPr>
              <w:rPr>
                <w:rFonts w:ascii="宋体"/>
                <w:vanish/>
              </w:rPr>
            </w:pPr>
          </w:p>
        </w:tc>
        <w:tc>
          <w:tcPr>
            <w:tcW w:w="0" w:type="auto"/>
            <w:gridSpan w:val="3"/>
            <w:shd w:val="clear" w:color="auto" w:fill="auto"/>
            <w:vAlign w:val="bottom"/>
          </w:tcPr>
          <w:p w14:paraId="74DDC06D" w14:textId="77777777" w:rsidR="00584EC1" w:rsidRDefault="00584EC1">
            <w:pPr>
              <w:rPr>
                <w:rFonts w:ascii="宋体"/>
                <w:vanish/>
              </w:rPr>
            </w:pPr>
          </w:p>
        </w:tc>
        <w:tc>
          <w:tcPr>
            <w:tcW w:w="0" w:type="auto"/>
            <w:gridSpan w:val="3"/>
            <w:shd w:val="clear" w:color="auto" w:fill="auto"/>
            <w:vAlign w:val="bottom"/>
          </w:tcPr>
          <w:p w14:paraId="74DDC06E" w14:textId="77777777" w:rsidR="00584EC1" w:rsidRDefault="00584EC1">
            <w:pPr>
              <w:rPr>
                <w:rFonts w:ascii="宋体"/>
                <w:vanish/>
              </w:rPr>
            </w:pPr>
          </w:p>
        </w:tc>
        <w:tc>
          <w:tcPr>
            <w:tcW w:w="0" w:type="auto"/>
            <w:gridSpan w:val="3"/>
            <w:shd w:val="clear" w:color="auto" w:fill="auto"/>
            <w:vAlign w:val="bottom"/>
          </w:tcPr>
          <w:p w14:paraId="74DDC06F" w14:textId="77777777" w:rsidR="00584EC1" w:rsidRDefault="00584EC1">
            <w:pPr>
              <w:rPr>
                <w:rFonts w:ascii="宋体"/>
                <w:vanish/>
              </w:rPr>
            </w:pPr>
          </w:p>
        </w:tc>
        <w:tc>
          <w:tcPr>
            <w:tcW w:w="0" w:type="auto"/>
            <w:gridSpan w:val="3"/>
            <w:shd w:val="clear" w:color="auto" w:fill="auto"/>
            <w:vAlign w:val="bottom"/>
          </w:tcPr>
          <w:p w14:paraId="74DDC070" w14:textId="77777777" w:rsidR="00584EC1" w:rsidRDefault="00584EC1">
            <w:pPr>
              <w:rPr>
                <w:rFonts w:ascii="宋体"/>
                <w:vanish/>
              </w:rPr>
            </w:pPr>
          </w:p>
        </w:tc>
        <w:tc>
          <w:tcPr>
            <w:tcW w:w="0" w:type="auto"/>
            <w:gridSpan w:val="3"/>
            <w:shd w:val="clear" w:color="auto" w:fill="auto"/>
            <w:vAlign w:val="bottom"/>
          </w:tcPr>
          <w:p w14:paraId="74DDC071" w14:textId="77777777" w:rsidR="00584EC1" w:rsidRDefault="00584EC1">
            <w:pPr>
              <w:rPr>
                <w:rFonts w:ascii="宋体"/>
                <w:vanish/>
              </w:rPr>
            </w:pPr>
          </w:p>
        </w:tc>
        <w:tc>
          <w:tcPr>
            <w:tcW w:w="0" w:type="auto"/>
            <w:gridSpan w:val="3"/>
            <w:shd w:val="clear" w:color="auto" w:fill="auto"/>
            <w:vAlign w:val="bottom"/>
          </w:tcPr>
          <w:p w14:paraId="74DDC072" w14:textId="77777777" w:rsidR="00584EC1" w:rsidRDefault="00584EC1">
            <w:pPr>
              <w:rPr>
                <w:rFonts w:ascii="宋体"/>
                <w:vanish/>
              </w:rPr>
            </w:pPr>
          </w:p>
        </w:tc>
        <w:tc>
          <w:tcPr>
            <w:tcW w:w="0" w:type="auto"/>
            <w:gridSpan w:val="3"/>
            <w:shd w:val="clear" w:color="auto" w:fill="auto"/>
            <w:vAlign w:val="bottom"/>
          </w:tcPr>
          <w:p w14:paraId="74DDC073" w14:textId="77777777" w:rsidR="00584EC1" w:rsidRDefault="00584EC1">
            <w:pPr>
              <w:rPr>
                <w:rFonts w:ascii="宋体"/>
                <w:vanish/>
              </w:rPr>
            </w:pPr>
          </w:p>
        </w:tc>
        <w:tc>
          <w:tcPr>
            <w:tcW w:w="0" w:type="auto"/>
            <w:gridSpan w:val="3"/>
            <w:shd w:val="clear" w:color="auto" w:fill="auto"/>
            <w:vAlign w:val="bottom"/>
          </w:tcPr>
          <w:p w14:paraId="74DDC074" w14:textId="77777777" w:rsidR="00584EC1" w:rsidRDefault="00584EC1">
            <w:pPr>
              <w:rPr>
                <w:rFonts w:ascii="宋体"/>
                <w:vanish/>
              </w:rPr>
            </w:pPr>
          </w:p>
        </w:tc>
        <w:tc>
          <w:tcPr>
            <w:tcW w:w="0" w:type="auto"/>
            <w:shd w:val="clear" w:color="auto" w:fill="auto"/>
            <w:vAlign w:val="bottom"/>
          </w:tcPr>
          <w:p w14:paraId="74DDC075" w14:textId="77777777" w:rsidR="00584EC1" w:rsidRDefault="00584EC1">
            <w:pPr>
              <w:rPr>
                <w:rFonts w:ascii="宋体"/>
                <w:vanish/>
              </w:rPr>
            </w:pPr>
          </w:p>
        </w:tc>
        <w:tc>
          <w:tcPr>
            <w:tcW w:w="0" w:type="auto"/>
            <w:shd w:val="clear" w:color="auto" w:fill="auto"/>
            <w:vAlign w:val="bottom"/>
          </w:tcPr>
          <w:p w14:paraId="74DDC076" w14:textId="77777777" w:rsidR="00584EC1" w:rsidRDefault="00584EC1">
            <w:pPr>
              <w:rPr>
                <w:rFonts w:ascii="宋体"/>
                <w:vanish/>
              </w:rPr>
            </w:pPr>
          </w:p>
        </w:tc>
        <w:tc>
          <w:tcPr>
            <w:tcW w:w="0" w:type="auto"/>
            <w:gridSpan w:val="3"/>
            <w:shd w:val="clear" w:color="auto" w:fill="auto"/>
            <w:vAlign w:val="bottom"/>
          </w:tcPr>
          <w:p w14:paraId="74DDC077" w14:textId="77777777" w:rsidR="00584EC1" w:rsidRDefault="00584EC1">
            <w:pPr>
              <w:rPr>
                <w:rFonts w:ascii="宋体"/>
                <w:vanish/>
              </w:rPr>
            </w:pPr>
          </w:p>
        </w:tc>
        <w:tc>
          <w:tcPr>
            <w:tcW w:w="0" w:type="auto"/>
            <w:gridSpan w:val="3"/>
            <w:shd w:val="clear" w:color="auto" w:fill="auto"/>
            <w:vAlign w:val="bottom"/>
          </w:tcPr>
          <w:p w14:paraId="74DDC078" w14:textId="77777777" w:rsidR="00584EC1" w:rsidRDefault="00584EC1">
            <w:pPr>
              <w:rPr>
                <w:rFonts w:ascii="宋体"/>
                <w:vanish/>
              </w:rPr>
            </w:pPr>
          </w:p>
        </w:tc>
        <w:tc>
          <w:tcPr>
            <w:tcW w:w="0" w:type="auto"/>
            <w:gridSpan w:val="3"/>
            <w:shd w:val="clear" w:color="auto" w:fill="auto"/>
            <w:vAlign w:val="bottom"/>
          </w:tcPr>
          <w:p w14:paraId="74DDC079" w14:textId="77777777" w:rsidR="00584EC1" w:rsidRDefault="00584EC1">
            <w:pPr>
              <w:rPr>
                <w:rFonts w:ascii="宋体"/>
                <w:vanish/>
              </w:rPr>
            </w:pPr>
          </w:p>
        </w:tc>
        <w:tc>
          <w:tcPr>
            <w:tcW w:w="0" w:type="auto"/>
            <w:gridSpan w:val="3"/>
            <w:shd w:val="clear" w:color="auto" w:fill="auto"/>
            <w:vAlign w:val="bottom"/>
          </w:tcPr>
          <w:p w14:paraId="74DDC07A" w14:textId="77777777" w:rsidR="00584EC1" w:rsidRDefault="00584EC1">
            <w:pPr>
              <w:rPr>
                <w:rFonts w:ascii="宋体"/>
                <w:vanish/>
              </w:rPr>
            </w:pPr>
          </w:p>
        </w:tc>
        <w:tc>
          <w:tcPr>
            <w:tcW w:w="0" w:type="auto"/>
            <w:gridSpan w:val="3"/>
            <w:shd w:val="clear" w:color="auto" w:fill="auto"/>
            <w:vAlign w:val="bottom"/>
          </w:tcPr>
          <w:p w14:paraId="74DDC07B" w14:textId="77777777" w:rsidR="00584EC1" w:rsidRDefault="00584EC1">
            <w:pPr>
              <w:rPr>
                <w:rFonts w:ascii="宋体"/>
                <w:vanish/>
              </w:rPr>
            </w:pPr>
          </w:p>
        </w:tc>
        <w:tc>
          <w:tcPr>
            <w:tcW w:w="0" w:type="auto"/>
            <w:gridSpan w:val="3"/>
            <w:shd w:val="clear" w:color="auto" w:fill="auto"/>
            <w:vAlign w:val="bottom"/>
          </w:tcPr>
          <w:p w14:paraId="74DDC07C" w14:textId="77777777" w:rsidR="00584EC1" w:rsidRDefault="00584EC1">
            <w:pPr>
              <w:rPr>
                <w:rFonts w:ascii="宋体"/>
                <w:vanish/>
              </w:rPr>
            </w:pPr>
          </w:p>
        </w:tc>
        <w:tc>
          <w:tcPr>
            <w:tcW w:w="0" w:type="auto"/>
            <w:gridSpan w:val="3"/>
            <w:shd w:val="clear" w:color="auto" w:fill="auto"/>
            <w:vAlign w:val="bottom"/>
          </w:tcPr>
          <w:p w14:paraId="74DDC07D" w14:textId="77777777" w:rsidR="00584EC1" w:rsidRDefault="00584EC1">
            <w:pPr>
              <w:rPr>
                <w:rFonts w:ascii="宋体"/>
                <w:vanish/>
              </w:rPr>
            </w:pPr>
          </w:p>
        </w:tc>
        <w:tc>
          <w:tcPr>
            <w:tcW w:w="0" w:type="auto"/>
            <w:gridSpan w:val="3"/>
            <w:shd w:val="clear" w:color="auto" w:fill="auto"/>
            <w:vAlign w:val="bottom"/>
          </w:tcPr>
          <w:p w14:paraId="74DDC07E" w14:textId="77777777" w:rsidR="00584EC1" w:rsidRDefault="00584EC1">
            <w:pPr>
              <w:rPr>
                <w:rFonts w:ascii="宋体"/>
                <w:vanish/>
              </w:rPr>
            </w:pPr>
          </w:p>
        </w:tc>
        <w:tc>
          <w:tcPr>
            <w:tcW w:w="0" w:type="auto"/>
            <w:gridSpan w:val="3"/>
            <w:shd w:val="clear" w:color="auto" w:fill="auto"/>
            <w:vAlign w:val="bottom"/>
          </w:tcPr>
          <w:p w14:paraId="74DDC07F" w14:textId="77777777" w:rsidR="00584EC1" w:rsidRDefault="00584EC1">
            <w:pPr>
              <w:rPr>
                <w:rFonts w:ascii="宋体"/>
                <w:vanish/>
              </w:rPr>
            </w:pPr>
          </w:p>
        </w:tc>
        <w:tc>
          <w:tcPr>
            <w:tcW w:w="0" w:type="auto"/>
            <w:gridSpan w:val="2"/>
            <w:shd w:val="clear" w:color="auto" w:fill="auto"/>
            <w:vAlign w:val="bottom"/>
          </w:tcPr>
          <w:p w14:paraId="74DDC080" w14:textId="77777777" w:rsidR="00584EC1" w:rsidRDefault="00584EC1">
            <w:pPr>
              <w:rPr>
                <w:rFonts w:ascii="宋体"/>
                <w:vanish/>
              </w:rPr>
            </w:pPr>
          </w:p>
        </w:tc>
        <w:tc>
          <w:tcPr>
            <w:tcW w:w="0" w:type="auto"/>
            <w:shd w:val="clear" w:color="auto" w:fill="auto"/>
            <w:vAlign w:val="bottom"/>
          </w:tcPr>
          <w:p w14:paraId="74DDC081" w14:textId="77777777" w:rsidR="00584EC1" w:rsidRDefault="00584EC1">
            <w:pPr>
              <w:rPr>
                <w:rFonts w:ascii="宋体"/>
                <w:vanish/>
              </w:rPr>
            </w:pPr>
          </w:p>
        </w:tc>
      </w:tr>
      <w:tr w:rsidR="00584EC1" w14:paraId="74DDC099" w14:textId="77777777">
        <w:trPr>
          <w:hidden/>
        </w:trPr>
        <w:tc>
          <w:tcPr>
            <w:tcW w:w="0" w:type="auto"/>
            <w:gridSpan w:val="3"/>
            <w:shd w:val="clear" w:color="auto" w:fill="auto"/>
            <w:vAlign w:val="bottom"/>
          </w:tcPr>
          <w:p w14:paraId="74DDC083" w14:textId="77777777" w:rsidR="00584EC1" w:rsidRDefault="00584EC1">
            <w:pPr>
              <w:rPr>
                <w:rFonts w:ascii="宋体"/>
                <w:vanish/>
              </w:rPr>
            </w:pPr>
          </w:p>
        </w:tc>
        <w:tc>
          <w:tcPr>
            <w:tcW w:w="0" w:type="auto"/>
            <w:gridSpan w:val="3"/>
            <w:shd w:val="clear" w:color="auto" w:fill="auto"/>
            <w:vAlign w:val="bottom"/>
          </w:tcPr>
          <w:p w14:paraId="74DDC084" w14:textId="77777777" w:rsidR="00584EC1" w:rsidRDefault="00584EC1">
            <w:pPr>
              <w:rPr>
                <w:rFonts w:ascii="宋体"/>
                <w:vanish/>
              </w:rPr>
            </w:pPr>
          </w:p>
        </w:tc>
        <w:tc>
          <w:tcPr>
            <w:tcW w:w="0" w:type="auto"/>
            <w:gridSpan w:val="3"/>
            <w:shd w:val="clear" w:color="auto" w:fill="auto"/>
            <w:vAlign w:val="bottom"/>
          </w:tcPr>
          <w:p w14:paraId="74DDC085" w14:textId="77777777" w:rsidR="00584EC1" w:rsidRDefault="00584EC1">
            <w:pPr>
              <w:rPr>
                <w:rFonts w:ascii="宋体"/>
                <w:vanish/>
              </w:rPr>
            </w:pPr>
          </w:p>
        </w:tc>
        <w:tc>
          <w:tcPr>
            <w:tcW w:w="0" w:type="auto"/>
            <w:gridSpan w:val="3"/>
            <w:shd w:val="clear" w:color="auto" w:fill="auto"/>
            <w:vAlign w:val="bottom"/>
          </w:tcPr>
          <w:p w14:paraId="74DDC086" w14:textId="77777777" w:rsidR="00584EC1" w:rsidRDefault="00584EC1">
            <w:pPr>
              <w:rPr>
                <w:rFonts w:ascii="宋体"/>
                <w:vanish/>
              </w:rPr>
            </w:pPr>
          </w:p>
        </w:tc>
        <w:tc>
          <w:tcPr>
            <w:tcW w:w="0" w:type="auto"/>
            <w:gridSpan w:val="3"/>
            <w:shd w:val="clear" w:color="auto" w:fill="auto"/>
            <w:vAlign w:val="bottom"/>
          </w:tcPr>
          <w:p w14:paraId="74DDC087" w14:textId="77777777" w:rsidR="00584EC1" w:rsidRDefault="00584EC1">
            <w:pPr>
              <w:rPr>
                <w:rFonts w:ascii="宋体"/>
                <w:vanish/>
              </w:rPr>
            </w:pPr>
          </w:p>
        </w:tc>
        <w:tc>
          <w:tcPr>
            <w:tcW w:w="0" w:type="auto"/>
            <w:gridSpan w:val="3"/>
            <w:shd w:val="clear" w:color="auto" w:fill="auto"/>
            <w:vAlign w:val="bottom"/>
          </w:tcPr>
          <w:p w14:paraId="74DDC088" w14:textId="77777777" w:rsidR="00584EC1" w:rsidRDefault="00584EC1">
            <w:pPr>
              <w:rPr>
                <w:rFonts w:ascii="宋体"/>
                <w:vanish/>
              </w:rPr>
            </w:pPr>
          </w:p>
        </w:tc>
        <w:tc>
          <w:tcPr>
            <w:tcW w:w="0" w:type="auto"/>
            <w:gridSpan w:val="3"/>
            <w:shd w:val="clear" w:color="auto" w:fill="auto"/>
            <w:vAlign w:val="bottom"/>
          </w:tcPr>
          <w:p w14:paraId="74DDC089" w14:textId="77777777" w:rsidR="00584EC1" w:rsidRDefault="00584EC1">
            <w:pPr>
              <w:rPr>
                <w:rFonts w:ascii="宋体"/>
                <w:vanish/>
              </w:rPr>
            </w:pPr>
          </w:p>
        </w:tc>
        <w:tc>
          <w:tcPr>
            <w:tcW w:w="0" w:type="auto"/>
            <w:gridSpan w:val="3"/>
            <w:shd w:val="clear" w:color="auto" w:fill="auto"/>
            <w:vAlign w:val="bottom"/>
          </w:tcPr>
          <w:p w14:paraId="74DDC08A" w14:textId="77777777" w:rsidR="00584EC1" w:rsidRDefault="00584EC1">
            <w:pPr>
              <w:rPr>
                <w:rFonts w:ascii="宋体"/>
                <w:vanish/>
              </w:rPr>
            </w:pPr>
          </w:p>
        </w:tc>
        <w:tc>
          <w:tcPr>
            <w:tcW w:w="0" w:type="auto"/>
            <w:gridSpan w:val="3"/>
            <w:shd w:val="clear" w:color="auto" w:fill="auto"/>
            <w:vAlign w:val="bottom"/>
          </w:tcPr>
          <w:p w14:paraId="74DDC08B" w14:textId="77777777" w:rsidR="00584EC1" w:rsidRDefault="00584EC1">
            <w:pPr>
              <w:rPr>
                <w:rFonts w:ascii="宋体"/>
                <w:vanish/>
              </w:rPr>
            </w:pPr>
          </w:p>
        </w:tc>
        <w:tc>
          <w:tcPr>
            <w:tcW w:w="0" w:type="auto"/>
            <w:shd w:val="clear" w:color="auto" w:fill="auto"/>
            <w:vAlign w:val="bottom"/>
          </w:tcPr>
          <w:p w14:paraId="74DDC08C" w14:textId="77777777" w:rsidR="00584EC1" w:rsidRDefault="00584EC1">
            <w:pPr>
              <w:rPr>
                <w:rFonts w:ascii="宋体"/>
                <w:vanish/>
              </w:rPr>
            </w:pPr>
          </w:p>
        </w:tc>
        <w:tc>
          <w:tcPr>
            <w:tcW w:w="0" w:type="auto"/>
            <w:shd w:val="clear" w:color="auto" w:fill="auto"/>
            <w:vAlign w:val="bottom"/>
          </w:tcPr>
          <w:p w14:paraId="74DDC08D" w14:textId="77777777" w:rsidR="00584EC1" w:rsidRDefault="00584EC1">
            <w:pPr>
              <w:rPr>
                <w:rFonts w:ascii="宋体"/>
                <w:vanish/>
              </w:rPr>
            </w:pPr>
          </w:p>
        </w:tc>
        <w:tc>
          <w:tcPr>
            <w:tcW w:w="0" w:type="auto"/>
            <w:gridSpan w:val="3"/>
            <w:shd w:val="clear" w:color="auto" w:fill="auto"/>
            <w:vAlign w:val="bottom"/>
          </w:tcPr>
          <w:p w14:paraId="74DDC08E" w14:textId="77777777" w:rsidR="00584EC1" w:rsidRDefault="00584EC1">
            <w:pPr>
              <w:rPr>
                <w:rFonts w:ascii="宋体"/>
                <w:vanish/>
              </w:rPr>
            </w:pPr>
          </w:p>
        </w:tc>
        <w:tc>
          <w:tcPr>
            <w:tcW w:w="0" w:type="auto"/>
            <w:gridSpan w:val="3"/>
            <w:shd w:val="clear" w:color="auto" w:fill="auto"/>
            <w:vAlign w:val="bottom"/>
          </w:tcPr>
          <w:p w14:paraId="74DDC08F" w14:textId="77777777" w:rsidR="00584EC1" w:rsidRDefault="00584EC1">
            <w:pPr>
              <w:rPr>
                <w:rFonts w:ascii="宋体"/>
                <w:vanish/>
              </w:rPr>
            </w:pPr>
          </w:p>
        </w:tc>
        <w:tc>
          <w:tcPr>
            <w:tcW w:w="0" w:type="auto"/>
            <w:gridSpan w:val="3"/>
            <w:shd w:val="clear" w:color="auto" w:fill="auto"/>
            <w:vAlign w:val="bottom"/>
          </w:tcPr>
          <w:p w14:paraId="74DDC090" w14:textId="77777777" w:rsidR="00584EC1" w:rsidRDefault="00584EC1">
            <w:pPr>
              <w:rPr>
                <w:rFonts w:ascii="宋体"/>
                <w:vanish/>
              </w:rPr>
            </w:pPr>
          </w:p>
        </w:tc>
        <w:tc>
          <w:tcPr>
            <w:tcW w:w="0" w:type="auto"/>
            <w:gridSpan w:val="3"/>
            <w:shd w:val="clear" w:color="auto" w:fill="auto"/>
            <w:vAlign w:val="bottom"/>
          </w:tcPr>
          <w:p w14:paraId="74DDC091" w14:textId="77777777" w:rsidR="00584EC1" w:rsidRDefault="00584EC1">
            <w:pPr>
              <w:rPr>
                <w:rFonts w:ascii="宋体"/>
                <w:vanish/>
              </w:rPr>
            </w:pPr>
          </w:p>
        </w:tc>
        <w:tc>
          <w:tcPr>
            <w:tcW w:w="0" w:type="auto"/>
            <w:gridSpan w:val="3"/>
            <w:shd w:val="clear" w:color="auto" w:fill="auto"/>
            <w:vAlign w:val="bottom"/>
          </w:tcPr>
          <w:p w14:paraId="74DDC092" w14:textId="77777777" w:rsidR="00584EC1" w:rsidRDefault="00584EC1">
            <w:pPr>
              <w:rPr>
                <w:rFonts w:ascii="宋体"/>
                <w:vanish/>
              </w:rPr>
            </w:pPr>
          </w:p>
        </w:tc>
        <w:tc>
          <w:tcPr>
            <w:tcW w:w="0" w:type="auto"/>
            <w:gridSpan w:val="3"/>
            <w:shd w:val="clear" w:color="auto" w:fill="auto"/>
            <w:vAlign w:val="bottom"/>
          </w:tcPr>
          <w:p w14:paraId="74DDC093" w14:textId="77777777" w:rsidR="00584EC1" w:rsidRDefault="00584EC1">
            <w:pPr>
              <w:rPr>
                <w:rFonts w:ascii="宋体"/>
                <w:vanish/>
              </w:rPr>
            </w:pPr>
          </w:p>
        </w:tc>
        <w:tc>
          <w:tcPr>
            <w:tcW w:w="0" w:type="auto"/>
            <w:gridSpan w:val="3"/>
            <w:shd w:val="clear" w:color="auto" w:fill="auto"/>
            <w:vAlign w:val="bottom"/>
          </w:tcPr>
          <w:p w14:paraId="74DDC094" w14:textId="77777777" w:rsidR="00584EC1" w:rsidRDefault="00584EC1">
            <w:pPr>
              <w:rPr>
                <w:rFonts w:ascii="宋体"/>
                <w:vanish/>
              </w:rPr>
            </w:pPr>
          </w:p>
        </w:tc>
        <w:tc>
          <w:tcPr>
            <w:tcW w:w="0" w:type="auto"/>
            <w:gridSpan w:val="3"/>
            <w:shd w:val="clear" w:color="auto" w:fill="auto"/>
            <w:vAlign w:val="bottom"/>
          </w:tcPr>
          <w:p w14:paraId="74DDC095" w14:textId="77777777" w:rsidR="00584EC1" w:rsidRDefault="00584EC1">
            <w:pPr>
              <w:rPr>
                <w:rFonts w:ascii="宋体"/>
                <w:vanish/>
              </w:rPr>
            </w:pPr>
          </w:p>
        </w:tc>
        <w:tc>
          <w:tcPr>
            <w:tcW w:w="0" w:type="auto"/>
            <w:gridSpan w:val="3"/>
            <w:shd w:val="clear" w:color="auto" w:fill="auto"/>
            <w:vAlign w:val="bottom"/>
          </w:tcPr>
          <w:p w14:paraId="74DDC096" w14:textId="77777777" w:rsidR="00584EC1" w:rsidRDefault="00584EC1">
            <w:pPr>
              <w:rPr>
                <w:rFonts w:ascii="宋体"/>
                <w:vanish/>
              </w:rPr>
            </w:pPr>
          </w:p>
        </w:tc>
        <w:tc>
          <w:tcPr>
            <w:tcW w:w="0" w:type="auto"/>
            <w:gridSpan w:val="2"/>
            <w:shd w:val="clear" w:color="auto" w:fill="auto"/>
            <w:vAlign w:val="bottom"/>
          </w:tcPr>
          <w:p w14:paraId="74DDC097" w14:textId="77777777" w:rsidR="00584EC1" w:rsidRDefault="00584EC1">
            <w:pPr>
              <w:rPr>
                <w:rFonts w:ascii="宋体"/>
                <w:vanish/>
              </w:rPr>
            </w:pPr>
          </w:p>
        </w:tc>
        <w:tc>
          <w:tcPr>
            <w:tcW w:w="0" w:type="auto"/>
            <w:shd w:val="clear" w:color="auto" w:fill="auto"/>
            <w:vAlign w:val="bottom"/>
          </w:tcPr>
          <w:p w14:paraId="74DDC098" w14:textId="77777777" w:rsidR="00584EC1" w:rsidRDefault="00584EC1">
            <w:pPr>
              <w:rPr>
                <w:rFonts w:ascii="宋体"/>
                <w:vanish/>
              </w:rPr>
            </w:pPr>
          </w:p>
        </w:tc>
      </w:tr>
      <w:tr w:rsidR="00584EC1" w14:paraId="74DDC0B0" w14:textId="77777777">
        <w:trPr>
          <w:hidden/>
        </w:trPr>
        <w:tc>
          <w:tcPr>
            <w:tcW w:w="0" w:type="auto"/>
            <w:gridSpan w:val="3"/>
            <w:shd w:val="clear" w:color="auto" w:fill="auto"/>
            <w:vAlign w:val="bottom"/>
          </w:tcPr>
          <w:p w14:paraId="74DDC09A" w14:textId="77777777" w:rsidR="00584EC1" w:rsidRDefault="00584EC1">
            <w:pPr>
              <w:rPr>
                <w:rFonts w:ascii="宋体"/>
                <w:vanish/>
              </w:rPr>
            </w:pPr>
          </w:p>
        </w:tc>
        <w:tc>
          <w:tcPr>
            <w:tcW w:w="0" w:type="auto"/>
            <w:gridSpan w:val="3"/>
            <w:shd w:val="clear" w:color="auto" w:fill="auto"/>
            <w:vAlign w:val="bottom"/>
          </w:tcPr>
          <w:p w14:paraId="74DDC09B" w14:textId="77777777" w:rsidR="00584EC1" w:rsidRDefault="00584EC1">
            <w:pPr>
              <w:rPr>
                <w:rFonts w:ascii="宋体"/>
                <w:vanish/>
              </w:rPr>
            </w:pPr>
          </w:p>
        </w:tc>
        <w:tc>
          <w:tcPr>
            <w:tcW w:w="0" w:type="auto"/>
            <w:gridSpan w:val="3"/>
            <w:shd w:val="clear" w:color="auto" w:fill="auto"/>
            <w:vAlign w:val="bottom"/>
          </w:tcPr>
          <w:p w14:paraId="74DDC09C" w14:textId="77777777" w:rsidR="00584EC1" w:rsidRDefault="00584EC1">
            <w:pPr>
              <w:rPr>
                <w:rFonts w:ascii="宋体"/>
                <w:vanish/>
              </w:rPr>
            </w:pPr>
          </w:p>
        </w:tc>
        <w:tc>
          <w:tcPr>
            <w:tcW w:w="0" w:type="auto"/>
            <w:gridSpan w:val="3"/>
            <w:shd w:val="clear" w:color="auto" w:fill="auto"/>
            <w:vAlign w:val="bottom"/>
          </w:tcPr>
          <w:p w14:paraId="74DDC09D" w14:textId="77777777" w:rsidR="00584EC1" w:rsidRDefault="00584EC1">
            <w:pPr>
              <w:rPr>
                <w:rFonts w:ascii="宋体"/>
                <w:vanish/>
              </w:rPr>
            </w:pPr>
          </w:p>
        </w:tc>
        <w:tc>
          <w:tcPr>
            <w:tcW w:w="0" w:type="auto"/>
            <w:gridSpan w:val="3"/>
            <w:shd w:val="clear" w:color="auto" w:fill="auto"/>
            <w:vAlign w:val="bottom"/>
          </w:tcPr>
          <w:p w14:paraId="74DDC09E" w14:textId="77777777" w:rsidR="00584EC1" w:rsidRDefault="00584EC1">
            <w:pPr>
              <w:rPr>
                <w:rFonts w:ascii="宋体"/>
                <w:vanish/>
              </w:rPr>
            </w:pPr>
          </w:p>
        </w:tc>
        <w:tc>
          <w:tcPr>
            <w:tcW w:w="0" w:type="auto"/>
            <w:gridSpan w:val="3"/>
            <w:shd w:val="clear" w:color="auto" w:fill="auto"/>
            <w:vAlign w:val="bottom"/>
          </w:tcPr>
          <w:p w14:paraId="74DDC09F" w14:textId="77777777" w:rsidR="00584EC1" w:rsidRDefault="00584EC1">
            <w:pPr>
              <w:rPr>
                <w:rFonts w:ascii="宋体"/>
                <w:vanish/>
              </w:rPr>
            </w:pPr>
          </w:p>
        </w:tc>
        <w:tc>
          <w:tcPr>
            <w:tcW w:w="0" w:type="auto"/>
            <w:gridSpan w:val="3"/>
            <w:shd w:val="clear" w:color="auto" w:fill="auto"/>
            <w:vAlign w:val="bottom"/>
          </w:tcPr>
          <w:p w14:paraId="74DDC0A0" w14:textId="77777777" w:rsidR="00584EC1" w:rsidRDefault="00584EC1">
            <w:pPr>
              <w:rPr>
                <w:rFonts w:ascii="宋体"/>
                <w:vanish/>
              </w:rPr>
            </w:pPr>
          </w:p>
        </w:tc>
        <w:tc>
          <w:tcPr>
            <w:tcW w:w="0" w:type="auto"/>
            <w:gridSpan w:val="3"/>
            <w:shd w:val="clear" w:color="auto" w:fill="auto"/>
            <w:vAlign w:val="bottom"/>
          </w:tcPr>
          <w:p w14:paraId="74DDC0A1" w14:textId="77777777" w:rsidR="00584EC1" w:rsidRDefault="00584EC1">
            <w:pPr>
              <w:rPr>
                <w:rFonts w:ascii="宋体"/>
                <w:vanish/>
              </w:rPr>
            </w:pPr>
          </w:p>
        </w:tc>
        <w:tc>
          <w:tcPr>
            <w:tcW w:w="0" w:type="auto"/>
            <w:gridSpan w:val="3"/>
            <w:shd w:val="clear" w:color="auto" w:fill="auto"/>
            <w:vAlign w:val="bottom"/>
          </w:tcPr>
          <w:p w14:paraId="74DDC0A2" w14:textId="77777777" w:rsidR="00584EC1" w:rsidRDefault="00584EC1">
            <w:pPr>
              <w:rPr>
                <w:rFonts w:ascii="宋体"/>
                <w:vanish/>
              </w:rPr>
            </w:pPr>
          </w:p>
        </w:tc>
        <w:tc>
          <w:tcPr>
            <w:tcW w:w="0" w:type="auto"/>
            <w:shd w:val="clear" w:color="auto" w:fill="auto"/>
            <w:vAlign w:val="bottom"/>
          </w:tcPr>
          <w:p w14:paraId="74DDC0A3" w14:textId="77777777" w:rsidR="00584EC1" w:rsidRDefault="00584EC1">
            <w:pPr>
              <w:rPr>
                <w:rFonts w:ascii="宋体"/>
                <w:vanish/>
              </w:rPr>
            </w:pPr>
          </w:p>
        </w:tc>
        <w:tc>
          <w:tcPr>
            <w:tcW w:w="0" w:type="auto"/>
            <w:shd w:val="clear" w:color="auto" w:fill="auto"/>
            <w:vAlign w:val="bottom"/>
          </w:tcPr>
          <w:p w14:paraId="74DDC0A4" w14:textId="77777777" w:rsidR="00584EC1" w:rsidRDefault="00584EC1">
            <w:pPr>
              <w:rPr>
                <w:rFonts w:ascii="宋体"/>
                <w:vanish/>
              </w:rPr>
            </w:pPr>
          </w:p>
        </w:tc>
        <w:tc>
          <w:tcPr>
            <w:tcW w:w="0" w:type="auto"/>
            <w:gridSpan w:val="3"/>
            <w:shd w:val="clear" w:color="auto" w:fill="auto"/>
            <w:vAlign w:val="bottom"/>
          </w:tcPr>
          <w:p w14:paraId="74DDC0A5" w14:textId="77777777" w:rsidR="00584EC1" w:rsidRDefault="00584EC1">
            <w:pPr>
              <w:rPr>
                <w:rFonts w:ascii="宋体"/>
                <w:vanish/>
              </w:rPr>
            </w:pPr>
          </w:p>
        </w:tc>
        <w:tc>
          <w:tcPr>
            <w:tcW w:w="0" w:type="auto"/>
            <w:gridSpan w:val="3"/>
            <w:shd w:val="clear" w:color="auto" w:fill="auto"/>
            <w:vAlign w:val="bottom"/>
          </w:tcPr>
          <w:p w14:paraId="74DDC0A6" w14:textId="77777777" w:rsidR="00584EC1" w:rsidRDefault="00584EC1">
            <w:pPr>
              <w:rPr>
                <w:rFonts w:ascii="宋体"/>
                <w:vanish/>
              </w:rPr>
            </w:pPr>
          </w:p>
        </w:tc>
        <w:tc>
          <w:tcPr>
            <w:tcW w:w="0" w:type="auto"/>
            <w:gridSpan w:val="3"/>
            <w:shd w:val="clear" w:color="auto" w:fill="auto"/>
            <w:vAlign w:val="bottom"/>
          </w:tcPr>
          <w:p w14:paraId="74DDC0A7" w14:textId="77777777" w:rsidR="00584EC1" w:rsidRDefault="00584EC1">
            <w:pPr>
              <w:rPr>
                <w:rFonts w:ascii="宋体"/>
                <w:vanish/>
              </w:rPr>
            </w:pPr>
          </w:p>
        </w:tc>
        <w:tc>
          <w:tcPr>
            <w:tcW w:w="0" w:type="auto"/>
            <w:gridSpan w:val="3"/>
            <w:shd w:val="clear" w:color="auto" w:fill="auto"/>
            <w:vAlign w:val="bottom"/>
          </w:tcPr>
          <w:p w14:paraId="74DDC0A8" w14:textId="77777777" w:rsidR="00584EC1" w:rsidRDefault="00584EC1">
            <w:pPr>
              <w:rPr>
                <w:rFonts w:ascii="宋体"/>
                <w:vanish/>
              </w:rPr>
            </w:pPr>
          </w:p>
        </w:tc>
        <w:tc>
          <w:tcPr>
            <w:tcW w:w="0" w:type="auto"/>
            <w:gridSpan w:val="3"/>
            <w:shd w:val="clear" w:color="auto" w:fill="auto"/>
            <w:vAlign w:val="bottom"/>
          </w:tcPr>
          <w:p w14:paraId="74DDC0A9" w14:textId="77777777" w:rsidR="00584EC1" w:rsidRDefault="00584EC1">
            <w:pPr>
              <w:rPr>
                <w:rFonts w:ascii="宋体"/>
                <w:vanish/>
              </w:rPr>
            </w:pPr>
          </w:p>
        </w:tc>
        <w:tc>
          <w:tcPr>
            <w:tcW w:w="0" w:type="auto"/>
            <w:gridSpan w:val="3"/>
            <w:shd w:val="clear" w:color="auto" w:fill="auto"/>
            <w:vAlign w:val="bottom"/>
          </w:tcPr>
          <w:p w14:paraId="74DDC0AA" w14:textId="77777777" w:rsidR="00584EC1" w:rsidRDefault="00584EC1">
            <w:pPr>
              <w:rPr>
                <w:rFonts w:ascii="宋体"/>
                <w:vanish/>
              </w:rPr>
            </w:pPr>
          </w:p>
        </w:tc>
        <w:tc>
          <w:tcPr>
            <w:tcW w:w="0" w:type="auto"/>
            <w:gridSpan w:val="3"/>
            <w:shd w:val="clear" w:color="auto" w:fill="auto"/>
            <w:vAlign w:val="bottom"/>
          </w:tcPr>
          <w:p w14:paraId="74DDC0AB" w14:textId="77777777" w:rsidR="00584EC1" w:rsidRDefault="00584EC1">
            <w:pPr>
              <w:rPr>
                <w:rFonts w:ascii="宋体"/>
                <w:vanish/>
              </w:rPr>
            </w:pPr>
          </w:p>
        </w:tc>
        <w:tc>
          <w:tcPr>
            <w:tcW w:w="0" w:type="auto"/>
            <w:gridSpan w:val="3"/>
            <w:shd w:val="clear" w:color="auto" w:fill="auto"/>
            <w:vAlign w:val="bottom"/>
          </w:tcPr>
          <w:p w14:paraId="74DDC0AC" w14:textId="77777777" w:rsidR="00584EC1" w:rsidRDefault="00584EC1">
            <w:pPr>
              <w:rPr>
                <w:rFonts w:ascii="宋体"/>
                <w:vanish/>
              </w:rPr>
            </w:pPr>
          </w:p>
        </w:tc>
        <w:tc>
          <w:tcPr>
            <w:tcW w:w="0" w:type="auto"/>
            <w:gridSpan w:val="3"/>
            <w:shd w:val="clear" w:color="auto" w:fill="auto"/>
            <w:vAlign w:val="bottom"/>
          </w:tcPr>
          <w:p w14:paraId="74DDC0AD" w14:textId="77777777" w:rsidR="00584EC1" w:rsidRDefault="00584EC1">
            <w:pPr>
              <w:rPr>
                <w:rFonts w:ascii="宋体"/>
                <w:vanish/>
              </w:rPr>
            </w:pPr>
          </w:p>
        </w:tc>
        <w:tc>
          <w:tcPr>
            <w:tcW w:w="0" w:type="auto"/>
            <w:gridSpan w:val="2"/>
            <w:shd w:val="clear" w:color="auto" w:fill="auto"/>
            <w:vAlign w:val="bottom"/>
          </w:tcPr>
          <w:p w14:paraId="74DDC0AE" w14:textId="77777777" w:rsidR="00584EC1" w:rsidRDefault="00584EC1">
            <w:pPr>
              <w:rPr>
                <w:rFonts w:ascii="宋体"/>
                <w:vanish/>
              </w:rPr>
            </w:pPr>
          </w:p>
        </w:tc>
        <w:tc>
          <w:tcPr>
            <w:tcW w:w="0" w:type="auto"/>
            <w:shd w:val="clear" w:color="auto" w:fill="auto"/>
            <w:vAlign w:val="bottom"/>
          </w:tcPr>
          <w:p w14:paraId="74DDC0AF" w14:textId="77777777" w:rsidR="00584EC1" w:rsidRDefault="00584EC1">
            <w:pPr>
              <w:rPr>
                <w:rFonts w:ascii="宋体"/>
                <w:vanish/>
              </w:rPr>
            </w:pPr>
          </w:p>
        </w:tc>
      </w:tr>
      <w:tr w:rsidR="00584EC1" w14:paraId="74DDC0C7" w14:textId="77777777">
        <w:trPr>
          <w:hidden/>
        </w:trPr>
        <w:tc>
          <w:tcPr>
            <w:tcW w:w="0" w:type="auto"/>
            <w:gridSpan w:val="3"/>
            <w:shd w:val="clear" w:color="auto" w:fill="auto"/>
            <w:vAlign w:val="bottom"/>
          </w:tcPr>
          <w:p w14:paraId="74DDC0B1" w14:textId="77777777" w:rsidR="00584EC1" w:rsidRDefault="00584EC1">
            <w:pPr>
              <w:rPr>
                <w:rFonts w:ascii="宋体"/>
                <w:vanish/>
              </w:rPr>
            </w:pPr>
          </w:p>
        </w:tc>
        <w:tc>
          <w:tcPr>
            <w:tcW w:w="0" w:type="auto"/>
            <w:gridSpan w:val="3"/>
            <w:shd w:val="clear" w:color="auto" w:fill="auto"/>
            <w:vAlign w:val="bottom"/>
          </w:tcPr>
          <w:p w14:paraId="74DDC0B2" w14:textId="77777777" w:rsidR="00584EC1" w:rsidRDefault="00584EC1">
            <w:pPr>
              <w:rPr>
                <w:rFonts w:ascii="宋体"/>
                <w:vanish/>
              </w:rPr>
            </w:pPr>
          </w:p>
        </w:tc>
        <w:tc>
          <w:tcPr>
            <w:tcW w:w="0" w:type="auto"/>
            <w:gridSpan w:val="3"/>
            <w:shd w:val="clear" w:color="auto" w:fill="auto"/>
            <w:vAlign w:val="bottom"/>
          </w:tcPr>
          <w:p w14:paraId="74DDC0B3" w14:textId="77777777" w:rsidR="00584EC1" w:rsidRDefault="00584EC1">
            <w:pPr>
              <w:rPr>
                <w:rFonts w:ascii="宋体"/>
                <w:vanish/>
              </w:rPr>
            </w:pPr>
          </w:p>
        </w:tc>
        <w:tc>
          <w:tcPr>
            <w:tcW w:w="0" w:type="auto"/>
            <w:gridSpan w:val="3"/>
            <w:shd w:val="clear" w:color="auto" w:fill="auto"/>
            <w:vAlign w:val="bottom"/>
          </w:tcPr>
          <w:p w14:paraId="74DDC0B4" w14:textId="77777777" w:rsidR="00584EC1" w:rsidRDefault="00584EC1">
            <w:pPr>
              <w:rPr>
                <w:rFonts w:ascii="宋体"/>
                <w:vanish/>
              </w:rPr>
            </w:pPr>
          </w:p>
        </w:tc>
        <w:tc>
          <w:tcPr>
            <w:tcW w:w="0" w:type="auto"/>
            <w:gridSpan w:val="3"/>
            <w:shd w:val="clear" w:color="auto" w:fill="auto"/>
            <w:vAlign w:val="bottom"/>
          </w:tcPr>
          <w:p w14:paraId="74DDC0B5" w14:textId="77777777" w:rsidR="00584EC1" w:rsidRDefault="00584EC1">
            <w:pPr>
              <w:rPr>
                <w:rFonts w:ascii="宋体"/>
                <w:vanish/>
              </w:rPr>
            </w:pPr>
          </w:p>
        </w:tc>
        <w:tc>
          <w:tcPr>
            <w:tcW w:w="0" w:type="auto"/>
            <w:gridSpan w:val="3"/>
            <w:shd w:val="clear" w:color="auto" w:fill="auto"/>
            <w:vAlign w:val="bottom"/>
          </w:tcPr>
          <w:p w14:paraId="74DDC0B6" w14:textId="77777777" w:rsidR="00584EC1" w:rsidRDefault="00584EC1">
            <w:pPr>
              <w:rPr>
                <w:rFonts w:ascii="宋体"/>
                <w:vanish/>
              </w:rPr>
            </w:pPr>
          </w:p>
        </w:tc>
        <w:tc>
          <w:tcPr>
            <w:tcW w:w="0" w:type="auto"/>
            <w:gridSpan w:val="3"/>
            <w:shd w:val="clear" w:color="auto" w:fill="auto"/>
            <w:vAlign w:val="bottom"/>
          </w:tcPr>
          <w:p w14:paraId="74DDC0B7" w14:textId="77777777" w:rsidR="00584EC1" w:rsidRDefault="00584EC1">
            <w:pPr>
              <w:rPr>
                <w:rFonts w:ascii="宋体"/>
                <w:vanish/>
              </w:rPr>
            </w:pPr>
          </w:p>
        </w:tc>
        <w:tc>
          <w:tcPr>
            <w:tcW w:w="0" w:type="auto"/>
            <w:gridSpan w:val="3"/>
            <w:shd w:val="clear" w:color="auto" w:fill="auto"/>
            <w:vAlign w:val="bottom"/>
          </w:tcPr>
          <w:p w14:paraId="74DDC0B8" w14:textId="77777777" w:rsidR="00584EC1" w:rsidRDefault="00584EC1">
            <w:pPr>
              <w:rPr>
                <w:rFonts w:ascii="宋体"/>
                <w:vanish/>
              </w:rPr>
            </w:pPr>
          </w:p>
        </w:tc>
        <w:tc>
          <w:tcPr>
            <w:tcW w:w="0" w:type="auto"/>
            <w:gridSpan w:val="3"/>
            <w:shd w:val="clear" w:color="auto" w:fill="auto"/>
            <w:vAlign w:val="bottom"/>
          </w:tcPr>
          <w:p w14:paraId="74DDC0B9" w14:textId="77777777" w:rsidR="00584EC1" w:rsidRDefault="00584EC1">
            <w:pPr>
              <w:rPr>
                <w:rFonts w:ascii="宋体"/>
                <w:vanish/>
              </w:rPr>
            </w:pPr>
          </w:p>
        </w:tc>
        <w:tc>
          <w:tcPr>
            <w:tcW w:w="0" w:type="auto"/>
            <w:shd w:val="clear" w:color="auto" w:fill="auto"/>
            <w:vAlign w:val="bottom"/>
          </w:tcPr>
          <w:p w14:paraId="74DDC0BA" w14:textId="77777777" w:rsidR="00584EC1" w:rsidRDefault="00584EC1">
            <w:pPr>
              <w:rPr>
                <w:rFonts w:ascii="宋体"/>
                <w:vanish/>
              </w:rPr>
            </w:pPr>
          </w:p>
        </w:tc>
        <w:tc>
          <w:tcPr>
            <w:tcW w:w="0" w:type="auto"/>
            <w:shd w:val="clear" w:color="auto" w:fill="auto"/>
            <w:vAlign w:val="bottom"/>
          </w:tcPr>
          <w:p w14:paraId="74DDC0BB" w14:textId="77777777" w:rsidR="00584EC1" w:rsidRDefault="00584EC1">
            <w:pPr>
              <w:rPr>
                <w:rFonts w:ascii="宋体"/>
                <w:vanish/>
              </w:rPr>
            </w:pPr>
          </w:p>
        </w:tc>
        <w:tc>
          <w:tcPr>
            <w:tcW w:w="0" w:type="auto"/>
            <w:gridSpan w:val="3"/>
            <w:shd w:val="clear" w:color="auto" w:fill="auto"/>
            <w:vAlign w:val="bottom"/>
          </w:tcPr>
          <w:p w14:paraId="74DDC0BC" w14:textId="77777777" w:rsidR="00584EC1" w:rsidRDefault="00584EC1">
            <w:pPr>
              <w:rPr>
                <w:rFonts w:ascii="宋体"/>
                <w:vanish/>
              </w:rPr>
            </w:pPr>
          </w:p>
        </w:tc>
        <w:tc>
          <w:tcPr>
            <w:tcW w:w="0" w:type="auto"/>
            <w:gridSpan w:val="3"/>
            <w:shd w:val="clear" w:color="auto" w:fill="auto"/>
            <w:vAlign w:val="bottom"/>
          </w:tcPr>
          <w:p w14:paraId="74DDC0BD" w14:textId="77777777" w:rsidR="00584EC1" w:rsidRDefault="00584EC1">
            <w:pPr>
              <w:rPr>
                <w:rFonts w:ascii="宋体"/>
                <w:vanish/>
              </w:rPr>
            </w:pPr>
          </w:p>
        </w:tc>
        <w:tc>
          <w:tcPr>
            <w:tcW w:w="0" w:type="auto"/>
            <w:gridSpan w:val="3"/>
            <w:shd w:val="clear" w:color="auto" w:fill="auto"/>
            <w:vAlign w:val="bottom"/>
          </w:tcPr>
          <w:p w14:paraId="74DDC0BE" w14:textId="77777777" w:rsidR="00584EC1" w:rsidRDefault="00584EC1">
            <w:pPr>
              <w:rPr>
                <w:rFonts w:ascii="宋体"/>
                <w:vanish/>
              </w:rPr>
            </w:pPr>
          </w:p>
        </w:tc>
        <w:tc>
          <w:tcPr>
            <w:tcW w:w="0" w:type="auto"/>
            <w:gridSpan w:val="3"/>
            <w:shd w:val="clear" w:color="auto" w:fill="auto"/>
            <w:vAlign w:val="bottom"/>
          </w:tcPr>
          <w:p w14:paraId="74DDC0BF" w14:textId="77777777" w:rsidR="00584EC1" w:rsidRDefault="00584EC1">
            <w:pPr>
              <w:rPr>
                <w:rFonts w:ascii="宋体"/>
                <w:vanish/>
              </w:rPr>
            </w:pPr>
          </w:p>
        </w:tc>
        <w:tc>
          <w:tcPr>
            <w:tcW w:w="0" w:type="auto"/>
            <w:gridSpan w:val="3"/>
            <w:shd w:val="clear" w:color="auto" w:fill="auto"/>
            <w:vAlign w:val="bottom"/>
          </w:tcPr>
          <w:p w14:paraId="74DDC0C0" w14:textId="77777777" w:rsidR="00584EC1" w:rsidRDefault="00584EC1">
            <w:pPr>
              <w:rPr>
                <w:rFonts w:ascii="宋体"/>
                <w:vanish/>
              </w:rPr>
            </w:pPr>
          </w:p>
        </w:tc>
        <w:tc>
          <w:tcPr>
            <w:tcW w:w="0" w:type="auto"/>
            <w:gridSpan w:val="3"/>
            <w:shd w:val="clear" w:color="auto" w:fill="auto"/>
            <w:vAlign w:val="bottom"/>
          </w:tcPr>
          <w:p w14:paraId="74DDC0C1" w14:textId="77777777" w:rsidR="00584EC1" w:rsidRDefault="00584EC1">
            <w:pPr>
              <w:rPr>
                <w:rFonts w:ascii="宋体"/>
                <w:vanish/>
              </w:rPr>
            </w:pPr>
          </w:p>
        </w:tc>
        <w:tc>
          <w:tcPr>
            <w:tcW w:w="0" w:type="auto"/>
            <w:gridSpan w:val="3"/>
            <w:shd w:val="clear" w:color="auto" w:fill="auto"/>
            <w:vAlign w:val="bottom"/>
          </w:tcPr>
          <w:p w14:paraId="74DDC0C2" w14:textId="77777777" w:rsidR="00584EC1" w:rsidRDefault="00584EC1">
            <w:pPr>
              <w:rPr>
                <w:rFonts w:ascii="宋体"/>
                <w:vanish/>
              </w:rPr>
            </w:pPr>
          </w:p>
        </w:tc>
        <w:tc>
          <w:tcPr>
            <w:tcW w:w="0" w:type="auto"/>
            <w:gridSpan w:val="3"/>
            <w:shd w:val="clear" w:color="auto" w:fill="auto"/>
            <w:vAlign w:val="bottom"/>
          </w:tcPr>
          <w:p w14:paraId="74DDC0C3" w14:textId="77777777" w:rsidR="00584EC1" w:rsidRDefault="00584EC1">
            <w:pPr>
              <w:rPr>
                <w:rFonts w:ascii="宋体"/>
                <w:vanish/>
              </w:rPr>
            </w:pPr>
          </w:p>
        </w:tc>
        <w:tc>
          <w:tcPr>
            <w:tcW w:w="0" w:type="auto"/>
            <w:gridSpan w:val="3"/>
            <w:shd w:val="clear" w:color="auto" w:fill="auto"/>
            <w:vAlign w:val="bottom"/>
          </w:tcPr>
          <w:p w14:paraId="74DDC0C4" w14:textId="77777777" w:rsidR="00584EC1" w:rsidRDefault="00584EC1">
            <w:pPr>
              <w:rPr>
                <w:rFonts w:ascii="宋体"/>
                <w:vanish/>
              </w:rPr>
            </w:pPr>
          </w:p>
        </w:tc>
        <w:tc>
          <w:tcPr>
            <w:tcW w:w="0" w:type="auto"/>
            <w:gridSpan w:val="2"/>
            <w:shd w:val="clear" w:color="auto" w:fill="auto"/>
            <w:vAlign w:val="bottom"/>
          </w:tcPr>
          <w:p w14:paraId="74DDC0C5" w14:textId="77777777" w:rsidR="00584EC1" w:rsidRDefault="00584EC1">
            <w:pPr>
              <w:rPr>
                <w:rFonts w:ascii="宋体"/>
                <w:vanish/>
              </w:rPr>
            </w:pPr>
          </w:p>
        </w:tc>
        <w:tc>
          <w:tcPr>
            <w:tcW w:w="0" w:type="auto"/>
            <w:shd w:val="clear" w:color="auto" w:fill="auto"/>
            <w:vAlign w:val="bottom"/>
          </w:tcPr>
          <w:p w14:paraId="74DDC0C6" w14:textId="77777777" w:rsidR="00584EC1" w:rsidRDefault="00584EC1">
            <w:pPr>
              <w:rPr>
                <w:rFonts w:ascii="宋体"/>
                <w:vanish/>
              </w:rPr>
            </w:pPr>
          </w:p>
        </w:tc>
      </w:tr>
      <w:tr w:rsidR="00584EC1" w14:paraId="74DDC0DE" w14:textId="77777777">
        <w:trPr>
          <w:hidden/>
        </w:trPr>
        <w:tc>
          <w:tcPr>
            <w:tcW w:w="0" w:type="auto"/>
            <w:gridSpan w:val="3"/>
            <w:shd w:val="clear" w:color="auto" w:fill="auto"/>
            <w:vAlign w:val="bottom"/>
          </w:tcPr>
          <w:p w14:paraId="74DDC0C8" w14:textId="77777777" w:rsidR="00584EC1" w:rsidRDefault="00584EC1">
            <w:pPr>
              <w:rPr>
                <w:rFonts w:ascii="宋体"/>
                <w:vanish/>
              </w:rPr>
            </w:pPr>
          </w:p>
        </w:tc>
        <w:tc>
          <w:tcPr>
            <w:tcW w:w="0" w:type="auto"/>
            <w:gridSpan w:val="3"/>
            <w:shd w:val="clear" w:color="auto" w:fill="auto"/>
            <w:vAlign w:val="bottom"/>
          </w:tcPr>
          <w:p w14:paraId="74DDC0C9" w14:textId="77777777" w:rsidR="00584EC1" w:rsidRDefault="00584EC1">
            <w:pPr>
              <w:rPr>
                <w:rFonts w:ascii="宋体"/>
                <w:vanish/>
              </w:rPr>
            </w:pPr>
          </w:p>
        </w:tc>
        <w:tc>
          <w:tcPr>
            <w:tcW w:w="0" w:type="auto"/>
            <w:gridSpan w:val="3"/>
            <w:shd w:val="clear" w:color="auto" w:fill="auto"/>
            <w:vAlign w:val="bottom"/>
          </w:tcPr>
          <w:p w14:paraId="74DDC0CA" w14:textId="77777777" w:rsidR="00584EC1" w:rsidRDefault="00584EC1">
            <w:pPr>
              <w:rPr>
                <w:rFonts w:ascii="宋体"/>
                <w:vanish/>
              </w:rPr>
            </w:pPr>
          </w:p>
        </w:tc>
        <w:tc>
          <w:tcPr>
            <w:tcW w:w="0" w:type="auto"/>
            <w:gridSpan w:val="3"/>
            <w:shd w:val="clear" w:color="auto" w:fill="auto"/>
            <w:vAlign w:val="bottom"/>
          </w:tcPr>
          <w:p w14:paraId="74DDC0CB" w14:textId="77777777" w:rsidR="00584EC1" w:rsidRDefault="00584EC1">
            <w:pPr>
              <w:rPr>
                <w:rFonts w:ascii="宋体"/>
                <w:vanish/>
              </w:rPr>
            </w:pPr>
          </w:p>
        </w:tc>
        <w:tc>
          <w:tcPr>
            <w:tcW w:w="0" w:type="auto"/>
            <w:gridSpan w:val="3"/>
            <w:shd w:val="clear" w:color="auto" w:fill="auto"/>
            <w:vAlign w:val="bottom"/>
          </w:tcPr>
          <w:p w14:paraId="74DDC0CC" w14:textId="77777777" w:rsidR="00584EC1" w:rsidRDefault="00584EC1">
            <w:pPr>
              <w:rPr>
                <w:rFonts w:ascii="宋体"/>
                <w:vanish/>
              </w:rPr>
            </w:pPr>
          </w:p>
        </w:tc>
        <w:tc>
          <w:tcPr>
            <w:tcW w:w="0" w:type="auto"/>
            <w:gridSpan w:val="3"/>
            <w:shd w:val="clear" w:color="auto" w:fill="auto"/>
            <w:vAlign w:val="bottom"/>
          </w:tcPr>
          <w:p w14:paraId="74DDC0CD" w14:textId="77777777" w:rsidR="00584EC1" w:rsidRDefault="00584EC1">
            <w:pPr>
              <w:rPr>
                <w:rFonts w:ascii="宋体"/>
                <w:vanish/>
              </w:rPr>
            </w:pPr>
          </w:p>
        </w:tc>
        <w:tc>
          <w:tcPr>
            <w:tcW w:w="0" w:type="auto"/>
            <w:gridSpan w:val="3"/>
            <w:shd w:val="clear" w:color="auto" w:fill="auto"/>
            <w:vAlign w:val="bottom"/>
          </w:tcPr>
          <w:p w14:paraId="74DDC0CE" w14:textId="77777777" w:rsidR="00584EC1" w:rsidRDefault="00584EC1">
            <w:pPr>
              <w:rPr>
                <w:rFonts w:ascii="宋体"/>
                <w:vanish/>
              </w:rPr>
            </w:pPr>
          </w:p>
        </w:tc>
        <w:tc>
          <w:tcPr>
            <w:tcW w:w="0" w:type="auto"/>
            <w:gridSpan w:val="3"/>
            <w:shd w:val="clear" w:color="auto" w:fill="auto"/>
            <w:vAlign w:val="bottom"/>
          </w:tcPr>
          <w:p w14:paraId="74DDC0CF" w14:textId="77777777" w:rsidR="00584EC1" w:rsidRDefault="00584EC1">
            <w:pPr>
              <w:rPr>
                <w:rFonts w:ascii="宋体"/>
                <w:vanish/>
              </w:rPr>
            </w:pPr>
          </w:p>
        </w:tc>
        <w:tc>
          <w:tcPr>
            <w:tcW w:w="0" w:type="auto"/>
            <w:gridSpan w:val="3"/>
            <w:shd w:val="clear" w:color="auto" w:fill="auto"/>
            <w:vAlign w:val="bottom"/>
          </w:tcPr>
          <w:p w14:paraId="74DDC0D0" w14:textId="77777777" w:rsidR="00584EC1" w:rsidRDefault="00584EC1">
            <w:pPr>
              <w:rPr>
                <w:rFonts w:ascii="宋体"/>
                <w:vanish/>
              </w:rPr>
            </w:pPr>
          </w:p>
        </w:tc>
        <w:tc>
          <w:tcPr>
            <w:tcW w:w="0" w:type="auto"/>
            <w:shd w:val="clear" w:color="auto" w:fill="auto"/>
            <w:vAlign w:val="bottom"/>
          </w:tcPr>
          <w:p w14:paraId="74DDC0D1" w14:textId="77777777" w:rsidR="00584EC1" w:rsidRDefault="00584EC1">
            <w:pPr>
              <w:rPr>
                <w:rFonts w:ascii="宋体"/>
                <w:vanish/>
              </w:rPr>
            </w:pPr>
          </w:p>
        </w:tc>
        <w:tc>
          <w:tcPr>
            <w:tcW w:w="0" w:type="auto"/>
            <w:shd w:val="clear" w:color="auto" w:fill="auto"/>
            <w:vAlign w:val="bottom"/>
          </w:tcPr>
          <w:p w14:paraId="74DDC0D2" w14:textId="77777777" w:rsidR="00584EC1" w:rsidRDefault="00584EC1">
            <w:pPr>
              <w:rPr>
                <w:rFonts w:ascii="宋体"/>
                <w:vanish/>
              </w:rPr>
            </w:pPr>
          </w:p>
        </w:tc>
        <w:tc>
          <w:tcPr>
            <w:tcW w:w="0" w:type="auto"/>
            <w:gridSpan w:val="3"/>
            <w:shd w:val="clear" w:color="auto" w:fill="auto"/>
            <w:vAlign w:val="bottom"/>
          </w:tcPr>
          <w:p w14:paraId="74DDC0D3" w14:textId="77777777" w:rsidR="00584EC1" w:rsidRDefault="00584EC1">
            <w:pPr>
              <w:rPr>
                <w:rFonts w:ascii="宋体"/>
                <w:vanish/>
              </w:rPr>
            </w:pPr>
          </w:p>
        </w:tc>
        <w:tc>
          <w:tcPr>
            <w:tcW w:w="0" w:type="auto"/>
            <w:gridSpan w:val="3"/>
            <w:shd w:val="clear" w:color="auto" w:fill="auto"/>
            <w:vAlign w:val="bottom"/>
          </w:tcPr>
          <w:p w14:paraId="74DDC0D4" w14:textId="77777777" w:rsidR="00584EC1" w:rsidRDefault="00584EC1">
            <w:pPr>
              <w:rPr>
                <w:rFonts w:ascii="宋体"/>
                <w:vanish/>
              </w:rPr>
            </w:pPr>
          </w:p>
        </w:tc>
        <w:tc>
          <w:tcPr>
            <w:tcW w:w="0" w:type="auto"/>
            <w:gridSpan w:val="3"/>
            <w:shd w:val="clear" w:color="auto" w:fill="auto"/>
            <w:vAlign w:val="bottom"/>
          </w:tcPr>
          <w:p w14:paraId="74DDC0D5" w14:textId="77777777" w:rsidR="00584EC1" w:rsidRDefault="00584EC1">
            <w:pPr>
              <w:rPr>
                <w:rFonts w:ascii="宋体"/>
                <w:vanish/>
              </w:rPr>
            </w:pPr>
          </w:p>
        </w:tc>
        <w:tc>
          <w:tcPr>
            <w:tcW w:w="0" w:type="auto"/>
            <w:gridSpan w:val="3"/>
            <w:shd w:val="clear" w:color="auto" w:fill="auto"/>
            <w:vAlign w:val="bottom"/>
          </w:tcPr>
          <w:p w14:paraId="74DDC0D6" w14:textId="77777777" w:rsidR="00584EC1" w:rsidRDefault="00584EC1">
            <w:pPr>
              <w:rPr>
                <w:rFonts w:ascii="宋体"/>
                <w:vanish/>
              </w:rPr>
            </w:pPr>
          </w:p>
        </w:tc>
        <w:tc>
          <w:tcPr>
            <w:tcW w:w="0" w:type="auto"/>
            <w:gridSpan w:val="3"/>
            <w:shd w:val="clear" w:color="auto" w:fill="auto"/>
            <w:vAlign w:val="bottom"/>
          </w:tcPr>
          <w:p w14:paraId="74DDC0D7" w14:textId="77777777" w:rsidR="00584EC1" w:rsidRDefault="00584EC1">
            <w:pPr>
              <w:rPr>
                <w:rFonts w:ascii="宋体"/>
                <w:vanish/>
              </w:rPr>
            </w:pPr>
          </w:p>
        </w:tc>
        <w:tc>
          <w:tcPr>
            <w:tcW w:w="0" w:type="auto"/>
            <w:gridSpan w:val="3"/>
            <w:shd w:val="clear" w:color="auto" w:fill="auto"/>
            <w:vAlign w:val="bottom"/>
          </w:tcPr>
          <w:p w14:paraId="74DDC0D8" w14:textId="77777777" w:rsidR="00584EC1" w:rsidRDefault="00584EC1">
            <w:pPr>
              <w:rPr>
                <w:rFonts w:ascii="宋体"/>
                <w:vanish/>
              </w:rPr>
            </w:pPr>
          </w:p>
        </w:tc>
        <w:tc>
          <w:tcPr>
            <w:tcW w:w="0" w:type="auto"/>
            <w:gridSpan w:val="3"/>
            <w:shd w:val="clear" w:color="auto" w:fill="auto"/>
            <w:vAlign w:val="bottom"/>
          </w:tcPr>
          <w:p w14:paraId="74DDC0D9" w14:textId="77777777" w:rsidR="00584EC1" w:rsidRDefault="00584EC1">
            <w:pPr>
              <w:rPr>
                <w:rFonts w:ascii="宋体"/>
                <w:vanish/>
              </w:rPr>
            </w:pPr>
          </w:p>
        </w:tc>
        <w:tc>
          <w:tcPr>
            <w:tcW w:w="0" w:type="auto"/>
            <w:gridSpan w:val="3"/>
            <w:shd w:val="clear" w:color="auto" w:fill="auto"/>
            <w:vAlign w:val="bottom"/>
          </w:tcPr>
          <w:p w14:paraId="74DDC0DA" w14:textId="77777777" w:rsidR="00584EC1" w:rsidRDefault="00584EC1">
            <w:pPr>
              <w:rPr>
                <w:rFonts w:ascii="宋体"/>
                <w:vanish/>
              </w:rPr>
            </w:pPr>
          </w:p>
        </w:tc>
        <w:tc>
          <w:tcPr>
            <w:tcW w:w="0" w:type="auto"/>
            <w:gridSpan w:val="3"/>
            <w:shd w:val="clear" w:color="auto" w:fill="auto"/>
            <w:vAlign w:val="bottom"/>
          </w:tcPr>
          <w:p w14:paraId="74DDC0DB" w14:textId="77777777" w:rsidR="00584EC1" w:rsidRDefault="00584EC1">
            <w:pPr>
              <w:rPr>
                <w:rFonts w:ascii="宋体"/>
                <w:vanish/>
              </w:rPr>
            </w:pPr>
          </w:p>
        </w:tc>
        <w:tc>
          <w:tcPr>
            <w:tcW w:w="0" w:type="auto"/>
            <w:gridSpan w:val="2"/>
            <w:shd w:val="clear" w:color="auto" w:fill="auto"/>
            <w:vAlign w:val="bottom"/>
          </w:tcPr>
          <w:p w14:paraId="74DDC0DC" w14:textId="77777777" w:rsidR="00584EC1" w:rsidRDefault="00584EC1">
            <w:pPr>
              <w:rPr>
                <w:rFonts w:ascii="宋体"/>
                <w:vanish/>
              </w:rPr>
            </w:pPr>
          </w:p>
        </w:tc>
        <w:tc>
          <w:tcPr>
            <w:tcW w:w="0" w:type="auto"/>
            <w:shd w:val="clear" w:color="auto" w:fill="auto"/>
            <w:vAlign w:val="bottom"/>
          </w:tcPr>
          <w:p w14:paraId="74DDC0DD" w14:textId="77777777" w:rsidR="00584EC1" w:rsidRDefault="00584EC1">
            <w:pPr>
              <w:rPr>
                <w:rFonts w:ascii="宋体"/>
                <w:vanish/>
              </w:rPr>
            </w:pPr>
          </w:p>
        </w:tc>
      </w:tr>
      <w:tr w:rsidR="00584EC1" w14:paraId="74DDC0F5" w14:textId="77777777">
        <w:trPr>
          <w:hidden/>
        </w:trPr>
        <w:tc>
          <w:tcPr>
            <w:tcW w:w="0" w:type="auto"/>
            <w:gridSpan w:val="3"/>
            <w:shd w:val="clear" w:color="auto" w:fill="auto"/>
            <w:vAlign w:val="bottom"/>
          </w:tcPr>
          <w:p w14:paraId="74DDC0DF" w14:textId="77777777" w:rsidR="00584EC1" w:rsidRDefault="00584EC1">
            <w:pPr>
              <w:rPr>
                <w:rFonts w:ascii="宋体"/>
                <w:vanish/>
              </w:rPr>
            </w:pPr>
          </w:p>
        </w:tc>
        <w:tc>
          <w:tcPr>
            <w:tcW w:w="0" w:type="auto"/>
            <w:gridSpan w:val="3"/>
            <w:shd w:val="clear" w:color="auto" w:fill="auto"/>
            <w:vAlign w:val="bottom"/>
          </w:tcPr>
          <w:p w14:paraId="74DDC0E0" w14:textId="77777777" w:rsidR="00584EC1" w:rsidRDefault="00584EC1">
            <w:pPr>
              <w:rPr>
                <w:rFonts w:ascii="宋体"/>
                <w:vanish/>
              </w:rPr>
            </w:pPr>
          </w:p>
        </w:tc>
        <w:tc>
          <w:tcPr>
            <w:tcW w:w="0" w:type="auto"/>
            <w:gridSpan w:val="3"/>
            <w:shd w:val="clear" w:color="auto" w:fill="auto"/>
            <w:vAlign w:val="bottom"/>
          </w:tcPr>
          <w:p w14:paraId="74DDC0E1" w14:textId="77777777" w:rsidR="00584EC1" w:rsidRDefault="00584EC1">
            <w:pPr>
              <w:rPr>
                <w:rFonts w:ascii="宋体"/>
                <w:vanish/>
              </w:rPr>
            </w:pPr>
          </w:p>
        </w:tc>
        <w:tc>
          <w:tcPr>
            <w:tcW w:w="0" w:type="auto"/>
            <w:gridSpan w:val="3"/>
            <w:shd w:val="clear" w:color="auto" w:fill="auto"/>
            <w:vAlign w:val="bottom"/>
          </w:tcPr>
          <w:p w14:paraId="74DDC0E2" w14:textId="77777777" w:rsidR="00584EC1" w:rsidRDefault="00584EC1">
            <w:pPr>
              <w:rPr>
                <w:rFonts w:ascii="宋体"/>
                <w:vanish/>
              </w:rPr>
            </w:pPr>
          </w:p>
        </w:tc>
        <w:tc>
          <w:tcPr>
            <w:tcW w:w="0" w:type="auto"/>
            <w:gridSpan w:val="3"/>
            <w:shd w:val="clear" w:color="auto" w:fill="auto"/>
            <w:vAlign w:val="bottom"/>
          </w:tcPr>
          <w:p w14:paraId="74DDC0E3" w14:textId="77777777" w:rsidR="00584EC1" w:rsidRDefault="00584EC1">
            <w:pPr>
              <w:rPr>
                <w:rFonts w:ascii="宋体"/>
                <w:vanish/>
              </w:rPr>
            </w:pPr>
          </w:p>
        </w:tc>
        <w:tc>
          <w:tcPr>
            <w:tcW w:w="0" w:type="auto"/>
            <w:gridSpan w:val="3"/>
            <w:shd w:val="clear" w:color="auto" w:fill="auto"/>
            <w:vAlign w:val="bottom"/>
          </w:tcPr>
          <w:p w14:paraId="74DDC0E4" w14:textId="77777777" w:rsidR="00584EC1" w:rsidRDefault="00584EC1">
            <w:pPr>
              <w:rPr>
                <w:rFonts w:ascii="宋体"/>
                <w:vanish/>
              </w:rPr>
            </w:pPr>
          </w:p>
        </w:tc>
        <w:tc>
          <w:tcPr>
            <w:tcW w:w="0" w:type="auto"/>
            <w:gridSpan w:val="3"/>
            <w:shd w:val="clear" w:color="auto" w:fill="auto"/>
            <w:vAlign w:val="bottom"/>
          </w:tcPr>
          <w:p w14:paraId="74DDC0E5" w14:textId="77777777" w:rsidR="00584EC1" w:rsidRDefault="00584EC1">
            <w:pPr>
              <w:rPr>
                <w:rFonts w:ascii="宋体"/>
                <w:vanish/>
              </w:rPr>
            </w:pPr>
          </w:p>
        </w:tc>
        <w:tc>
          <w:tcPr>
            <w:tcW w:w="0" w:type="auto"/>
            <w:gridSpan w:val="3"/>
            <w:shd w:val="clear" w:color="auto" w:fill="auto"/>
            <w:vAlign w:val="bottom"/>
          </w:tcPr>
          <w:p w14:paraId="74DDC0E6" w14:textId="77777777" w:rsidR="00584EC1" w:rsidRDefault="00584EC1">
            <w:pPr>
              <w:rPr>
                <w:rFonts w:ascii="宋体"/>
                <w:vanish/>
              </w:rPr>
            </w:pPr>
          </w:p>
        </w:tc>
        <w:tc>
          <w:tcPr>
            <w:tcW w:w="0" w:type="auto"/>
            <w:gridSpan w:val="3"/>
            <w:shd w:val="clear" w:color="auto" w:fill="auto"/>
            <w:vAlign w:val="bottom"/>
          </w:tcPr>
          <w:p w14:paraId="74DDC0E7" w14:textId="77777777" w:rsidR="00584EC1" w:rsidRDefault="00584EC1">
            <w:pPr>
              <w:rPr>
                <w:rFonts w:ascii="宋体"/>
                <w:vanish/>
              </w:rPr>
            </w:pPr>
          </w:p>
        </w:tc>
        <w:tc>
          <w:tcPr>
            <w:tcW w:w="0" w:type="auto"/>
            <w:shd w:val="clear" w:color="auto" w:fill="auto"/>
            <w:vAlign w:val="bottom"/>
          </w:tcPr>
          <w:p w14:paraId="74DDC0E8" w14:textId="77777777" w:rsidR="00584EC1" w:rsidRDefault="00584EC1">
            <w:pPr>
              <w:rPr>
                <w:rFonts w:ascii="宋体"/>
                <w:vanish/>
              </w:rPr>
            </w:pPr>
          </w:p>
        </w:tc>
        <w:tc>
          <w:tcPr>
            <w:tcW w:w="0" w:type="auto"/>
            <w:shd w:val="clear" w:color="auto" w:fill="auto"/>
            <w:vAlign w:val="bottom"/>
          </w:tcPr>
          <w:p w14:paraId="74DDC0E9" w14:textId="77777777" w:rsidR="00584EC1" w:rsidRDefault="00584EC1">
            <w:pPr>
              <w:rPr>
                <w:rFonts w:ascii="宋体"/>
                <w:vanish/>
              </w:rPr>
            </w:pPr>
          </w:p>
        </w:tc>
        <w:tc>
          <w:tcPr>
            <w:tcW w:w="0" w:type="auto"/>
            <w:gridSpan w:val="3"/>
            <w:shd w:val="clear" w:color="auto" w:fill="auto"/>
            <w:vAlign w:val="bottom"/>
          </w:tcPr>
          <w:p w14:paraId="74DDC0EA" w14:textId="77777777" w:rsidR="00584EC1" w:rsidRDefault="00584EC1">
            <w:pPr>
              <w:rPr>
                <w:rFonts w:ascii="宋体"/>
                <w:vanish/>
              </w:rPr>
            </w:pPr>
          </w:p>
        </w:tc>
        <w:tc>
          <w:tcPr>
            <w:tcW w:w="0" w:type="auto"/>
            <w:gridSpan w:val="3"/>
            <w:shd w:val="clear" w:color="auto" w:fill="auto"/>
            <w:vAlign w:val="bottom"/>
          </w:tcPr>
          <w:p w14:paraId="74DDC0EB" w14:textId="77777777" w:rsidR="00584EC1" w:rsidRDefault="00584EC1">
            <w:pPr>
              <w:rPr>
                <w:rFonts w:ascii="宋体"/>
                <w:vanish/>
              </w:rPr>
            </w:pPr>
          </w:p>
        </w:tc>
        <w:tc>
          <w:tcPr>
            <w:tcW w:w="0" w:type="auto"/>
            <w:gridSpan w:val="3"/>
            <w:shd w:val="clear" w:color="auto" w:fill="auto"/>
            <w:vAlign w:val="bottom"/>
          </w:tcPr>
          <w:p w14:paraId="74DDC0EC" w14:textId="77777777" w:rsidR="00584EC1" w:rsidRDefault="00584EC1">
            <w:pPr>
              <w:rPr>
                <w:rFonts w:ascii="宋体"/>
                <w:vanish/>
              </w:rPr>
            </w:pPr>
          </w:p>
        </w:tc>
        <w:tc>
          <w:tcPr>
            <w:tcW w:w="0" w:type="auto"/>
            <w:gridSpan w:val="3"/>
            <w:shd w:val="clear" w:color="auto" w:fill="auto"/>
            <w:vAlign w:val="bottom"/>
          </w:tcPr>
          <w:p w14:paraId="74DDC0ED" w14:textId="77777777" w:rsidR="00584EC1" w:rsidRDefault="00584EC1">
            <w:pPr>
              <w:rPr>
                <w:rFonts w:ascii="宋体"/>
                <w:vanish/>
              </w:rPr>
            </w:pPr>
          </w:p>
        </w:tc>
        <w:tc>
          <w:tcPr>
            <w:tcW w:w="0" w:type="auto"/>
            <w:gridSpan w:val="3"/>
            <w:shd w:val="clear" w:color="auto" w:fill="auto"/>
            <w:vAlign w:val="bottom"/>
          </w:tcPr>
          <w:p w14:paraId="74DDC0EE" w14:textId="77777777" w:rsidR="00584EC1" w:rsidRDefault="00584EC1">
            <w:pPr>
              <w:rPr>
                <w:rFonts w:ascii="宋体"/>
                <w:vanish/>
              </w:rPr>
            </w:pPr>
          </w:p>
        </w:tc>
        <w:tc>
          <w:tcPr>
            <w:tcW w:w="0" w:type="auto"/>
            <w:gridSpan w:val="3"/>
            <w:shd w:val="clear" w:color="auto" w:fill="auto"/>
            <w:vAlign w:val="bottom"/>
          </w:tcPr>
          <w:p w14:paraId="74DDC0EF" w14:textId="77777777" w:rsidR="00584EC1" w:rsidRDefault="00584EC1">
            <w:pPr>
              <w:rPr>
                <w:rFonts w:ascii="宋体"/>
                <w:vanish/>
              </w:rPr>
            </w:pPr>
          </w:p>
        </w:tc>
        <w:tc>
          <w:tcPr>
            <w:tcW w:w="0" w:type="auto"/>
            <w:gridSpan w:val="3"/>
            <w:shd w:val="clear" w:color="auto" w:fill="auto"/>
            <w:vAlign w:val="bottom"/>
          </w:tcPr>
          <w:p w14:paraId="74DDC0F0" w14:textId="77777777" w:rsidR="00584EC1" w:rsidRDefault="00584EC1">
            <w:pPr>
              <w:rPr>
                <w:rFonts w:ascii="宋体"/>
                <w:vanish/>
              </w:rPr>
            </w:pPr>
          </w:p>
        </w:tc>
        <w:tc>
          <w:tcPr>
            <w:tcW w:w="0" w:type="auto"/>
            <w:gridSpan w:val="3"/>
            <w:shd w:val="clear" w:color="auto" w:fill="auto"/>
            <w:vAlign w:val="bottom"/>
          </w:tcPr>
          <w:p w14:paraId="74DDC0F1" w14:textId="77777777" w:rsidR="00584EC1" w:rsidRDefault="00584EC1">
            <w:pPr>
              <w:rPr>
                <w:rFonts w:ascii="宋体"/>
                <w:vanish/>
              </w:rPr>
            </w:pPr>
          </w:p>
        </w:tc>
        <w:tc>
          <w:tcPr>
            <w:tcW w:w="0" w:type="auto"/>
            <w:gridSpan w:val="3"/>
            <w:shd w:val="clear" w:color="auto" w:fill="auto"/>
            <w:vAlign w:val="bottom"/>
          </w:tcPr>
          <w:p w14:paraId="74DDC0F2" w14:textId="77777777" w:rsidR="00584EC1" w:rsidRDefault="00584EC1">
            <w:pPr>
              <w:rPr>
                <w:rFonts w:ascii="宋体"/>
                <w:vanish/>
              </w:rPr>
            </w:pPr>
          </w:p>
        </w:tc>
        <w:tc>
          <w:tcPr>
            <w:tcW w:w="0" w:type="auto"/>
            <w:gridSpan w:val="2"/>
            <w:shd w:val="clear" w:color="auto" w:fill="auto"/>
            <w:vAlign w:val="bottom"/>
          </w:tcPr>
          <w:p w14:paraId="74DDC0F3" w14:textId="77777777" w:rsidR="00584EC1" w:rsidRDefault="00584EC1">
            <w:pPr>
              <w:rPr>
                <w:rFonts w:ascii="宋体"/>
                <w:vanish/>
              </w:rPr>
            </w:pPr>
          </w:p>
        </w:tc>
        <w:tc>
          <w:tcPr>
            <w:tcW w:w="0" w:type="auto"/>
            <w:shd w:val="clear" w:color="auto" w:fill="auto"/>
            <w:vAlign w:val="bottom"/>
          </w:tcPr>
          <w:p w14:paraId="74DDC0F4" w14:textId="77777777" w:rsidR="00584EC1" w:rsidRDefault="00584EC1">
            <w:pPr>
              <w:rPr>
                <w:rFonts w:ascii="宋体"/>
                <w:vanish/>
              </w:rPr>
            </w:pPr>
          </w:p>
        </w:tc>
      </w:tr>
      <w:tr w:rsidR="00584EC1" w14:paraId="74DDC10C" w14:textId="77777777">
        <w:trPr>
          <w:hidden/>
        </w:trPr>
        <w:tc>
          <w:tcPr>
            <w:tcW w:w="0" w:type="auto"/>
            <w:gridSpan w:val="3"/>
            <w:shd w:val="clear" w:color="auto" w:fill="auto"/>
            <w:vAlign w:val="bottom"/>
          </w:tcPr>
          <w:p w14:paraId="74DDC0F6" w14:textId="77777777" w:rsidR="00584EC1" w:rsidRDefault="00584EC1">
            <w:pPr>
              <w:rPr>
                <w:rFonts w:ascii="宋体"/>
                <w:vanish/>
              </w:rPr>
            </w:pPr>
          </w:p>
        </w:tc>
        <w:tc>
          <w:tcPr>
            <w:tcW w:w="0" w:type="auto"/>
            <w:gridSpan w:val="3"/>
            <w:shd w:val="clear" w:color="auto" w:fill="auto"/>
            <w:vAlign w:val="bottom"/>
          </w:tcPr>
          <w:p w14:paraId="74DDC0F7" w14:textId="77777777" w:rsidR="00584EC1" w:rsidRDefault="00584EC1">
            <w:pPr>
              <w:rPr>
                <w:rFonts w:ascii="宋体"/>
                <w:vanish/>
              </w:rPr>
            </w:pPr>
          </w:p>
        </w:tc>
        <w:tc>
          <w:tcPr>
            <w:tcW w:w="0" w:type="auto"/>
            <w:gridSpan w:val="3"/>
            <w:shd w:val="clear" w:color="auto" w:fill="auto"/>
            <w:vAlign w:val="bottom"/>
          </w:tcPr>
          <w:p w14:paraId="74DDC0F8" w14:textId="77777777" w:rsidR="00584EC1" w:rsidRDefault="00584EC1">
            <w:pPr>
              <w:rPr>
                <w:rFonts w:ascii="宋体"/>
                <w:vanish/>
              </w:rPr>
            </w:pPr>
          </w:p>
        </w:tc>
        <w:tc>
          <w:tcPr>
            <w:tcW w:w="0" w:type="auto"/>
            <w:gridSpan w:val="3"/>
            <w:shd w:val="clear" w:color="auto" w:fill="auto"/>
            <w:vAlign w:val="bottom"/>
          </w:tcPr>
          <w:p w14:paraId="74DDC0F9" w14:textId="77777777" w:rsidR="00584EC1" w:rsidRDefault="00584EC1">
            <w:pPr>
              <w:rPr>
                <w:rFonts w:ascii="宋体"/>
                <w:vanish/>
              </w:rPr>
            </w:pPr>
          </w:p>
        </w:tc>
        <w:tc>
          <w:tcPr>
            <w:tcW w:w="0" w:type="auto"/>
            <w:gridSpan w:val="3"/>
            <w:shd w:val="clear" w:color="auto" w:fill="auto"/>
            <w:vAlign w:val="bottom"/>
          </w:tcPr>
          <w:p w14:paraId="74DDC0FA" w14:textId="77777777" w:rsidR="00584EC1" w:rsidRDefault="00584EC1">
            <w:pPr>
              <w:rPr>
                <w:rFonts w:ascii="宋体"/>
                <w:vanish/>
              </w:rPr>
            </w:pPr>
          </w:p>
        </w:tc>
        <w:tc>
          <w:tcPr>
            <w:tcW w:w="0" w:type="auto"/>
            <w:gridSpan w:val="3"/>
            <w:shd w:val="clear" w:color="auto" w:fill="auto"/>
            <w:vAlign w:val="bottom"/>
          </w:tcPr>
          <w:p w14:paraId="74DDC0FB" w14:textId="77777777" w:rsidR="00584EC1" w:rsidRDefault="00584EC1">
            <w:pPr>
              <w:rPr>
                <w:rFonts w:ascii="宋体"/>
                <w:vanish/>
              </w:rPr>
            </w:pPr>
          </w:p>
        </w:tc>
        <w:tc>
          <w:tcPr>
            <w:tcW w:w="0" w:type="auto"/>
            <w:gridSpan w:val="3"/>
            <w:shd w:val="clear" w:color="auto" w:fill="auto"/>
            <w:vAlign w:val="bottom"/>
          </w:tcPr>
          <w:p w14:paraId="74DDC0FC" w14:textId="77777777" w:rsidR="00584EC1" w:rsidRDefault="00584EC1">
            <w:pPr>
              <w:rPr>
                <w:rFonts w:ascii="宋体"/>
                <w:vanish/>
              </w:rPr>
            </w:pPr>
          </w:p>
        </w:tc>
        <w:tc>
          <w:tcPr>
            <w:tcW w:w="0" w:type="auto"/>
            <w:gridSpan w:val="3"/>
            <w:shd w:val="clear" w:color="auto" w:fill="auto"/>
            <w:vAlign w:val="bottom"/>
          </w:tcPr>
          <w:p w14:paraId="74DDC0FD" w14:textId="77777777" w:rsidR="00584EC1" w:rsidRDefault="00584EC1">
            <w:pPr>
              <w:rPr>
                <w:rFonts w:ascii="宋体"/>
                <w:vanish/>
              </w:rPr>
            </w:pPr>
          </w:p>
        </w:tc>
        <w:tc>
          <w:tcPr>
            <w:tcW w:w="0" w:type="auto"/>
            <w:gridSpan w:val="3"/>
            <w:shd w:val="clear" w:color="auto" w:fill="auto"/>
            <w:vAlign w:val="bottom"/>
          </w:tcPr>
          <w:p w14:paraId="74DDC0FE" w14:textId="77777777" w:rsidR="00584EC1" w:rsidRDefault="00584EC1">
            <w:pPr>
              <w:rPr>
                <w:rFonts w:ascii="宋体"/>
                <w:vanish/>
              </w:rPr>
            </w:pPr>
          </w:p>
        </w:tc>
        <w:tc>
          <w:tcPr>
            <w:tcW w:w="0" w:type="auto"/>
            <w:shd w:val="clear" w:color="auto" w:fill="auto"/>
            <w:vAlign w:val="bottom"/>
          </w:tcPr>
          <w:p w14:paraId="74DDC0FF" w14:textId="77777777" w:rsidR="00584EC1" w:rsidRDefault="00584EC1">
            <w:pPr>
              <w:rPr>
                <w:rFonts w:ascii="宋体"/>
                <w:vanish/>
              </w:rPr>
            </w:pPr>
          </w:p>
        </w:tc>
        <w:tc>
          <w:tcPr>
            <w:tcW w:w="0" w:type="auto"/>
            <w:shd w:val="clear" w:color="auto" w:fill="auto"/>
            <w:vAlign w:val="bottom"/>
          </w:tcPr>
          <w:p w14:paraId="74DDC100" w14:textId="77777777" w:rsidR="00584EC1" w:rsidRDefault="00584EC1">
            <w:pPr>
              <w:rPr>
                <w:rFonts w:ascii="宋体"/>
                <w:vanish/>
              </w:rPr>
            </w:pPr>
          </w:p>
        </w:tc>
        <w:tc>
          <w:tcPr>
            <w:tcW w:w="0" w:type="auto"/>
            <w:gridSpan w:val="3"/>
            <w:shd w:val="clear" w:color="auto" w:fill="auto"/>
            <w:vAlign w:val="bottom"/>
          </w:tcPr>
          <w:p w14:paraId="74DDC101" w14:textId="77777777" w:rsidR="00584EC1" w:rsidRDefault="00584EC1">
            <w:pPr>
              <w:rPr>
                <w:rFonts w:ascii="宋体"/>
                <w:vanish/>
              </w:rPr>
            </w:pPr>
          </w:p>
        </w:tc>
        <w:tc>
          <w:tcPr>
            <w:tcW w:w="0" w:type="auto"/>
            <w:gridSpan w:val="3"/>
            <w:shd w:val="clear" w:color="auto" w:fill="auto"/>
            <w:vAlign w:val="bottom"/>
          </w:tcPr>
          <w:p w14:paraId="74DDC102" w14:textId="77777777" w:rsidR="00584EC1" w:rsidRDefault="00584EC1">
            <w:pPr>
              <w:rPr>
                <w:rFonts w:ascii="宋体"/>
                <w:vanish/>
              </w:rPr>
            </w:pPr>
          </w:p>
        </w:tc>
        <w:tc>
          <w:tcPr>
            <w:tcW w:w="0" w:type="auto"/>
            <w:gridSpan w:val="3"/>
            <w:shd w:val="clear" w:color="auto" w:fill="auto"/>
            <w:vAlign w:val="bottom"/>
          </w:tcPr>
          <w:p w14:paraId="74DDC103" w14:textId="77777777" w:rsidR="00584EC1" w:rsidRDefault="00584EC1">
            <w:pPr>
              <w:rPr>
                <w:rFonts w:ascii="宋体"/>
                <w:vanish/>
              </w:rPr>
            </w:pPr>
          </w:p>
        </w:tc>
        <w:tc>
          <w:tcPr>
            <w:tcW w:w="0" w:type="auto"/>
            <w:gridSpan w:val="3"/>
            <w:shd w:val="clear" w:color="auto" w:fill="auto"/>
            <w:vAlign w:val="bottom"/>
          </w:tcPr>
          <w:p w14:paraId="74DDC104" w14:textId="77777777" w:rsidR="00584EC1" w:rsidRDefault="00584EC1">
            <w:pPr>
              <w:rPr>
                <w:rFonts w:ascii="宋体"/>
                <w:vanish/>
              </w:rPr>
            </w:pPr>
          </w:p>
        </w:tc>
        <w:tc>
          <w:tcPr>
            <w:tcW w:w="0" w:type="auto"/>
            <w:gridSpan w:val="3"/>
            <w:shd w:val="clear" w:color="auto" w:fill="auto"/>
            <w:vAlign w:val="bottom"/>
          </w:tcPr>
          <w:p w14:paraId="74DDC105" w14:textId="77777777" w:rsidR="00584EC1" w:rsidRDefault="00584EC1">
            <w:pPr>
              <w:rPr>
                <w:rFonts w:ascii="宋体"/>
                <w:vanish/>
              </w:rPr>
            </w:pPr>
          </w:p>
        </w:tc>
        <w:tc>
          <w:tcPr>
            <w:tcW w:w="0" w:type="auto"/>
            <w:gridSpan w:val="3"/>
            <w:shd w:val="clear" w:color="auto" w:fill="auto"/>
            <w:vAlign w:val="bottom"/>
          </w:tcPr>
          <w:p w14:paraId="74DDC106" w14:textId="77777777" w:rsidR="00584EC1" w:rsidRDefault="00584EC1">
            <w:pPr>
              <w:rPr>
                <w:rFonts w:ascii="宋体"/>
                <w:vanish/>
              </w:rPr>
            </w:pPr>
          </w:p>
        </w:tc>
        <w:tc>
          <w:tcPr>
            <w:tcW w:w="0" w:type="auto"/>
            <w:gridSpan w:val="3"/>
            <w:shd w:val="clear" w:color="auto" w:fill="auto"/>
            <w:vAlign w:val="bottom"/>
          </w:tcPr>
          <w:p w14:paraId="74DDC107" w14:textId="77777777" w:rsidR="00584EC1" w:rsidRDefault="00584EC1">
            <w:pPr>
              <w:rPr>
                <w:rFonts w:ascii="宋体"/>
                <w:vanish/>
              </w:rPr>
            </w:pPr>
          </w:p>
        </w:tc>
        <w:tc>
          <w:tcPr>
            <w:tcW w:w="0" w:type="auto"/>
            <w:gridSpan w:val="3"/>
            <w:shd w:val="clear" w:color="auto" w:fill="auto"/>
            <w:vAlign w:val="bottom"/>
          </w:tcPr>
          <w:p w14:paraId="74DDC108" w14:textId="77777777" w:rsidR="00584EC1" w:rsidRDefault="00584EC1">
            <w:pPr>
              <w:rPr>
                <w:rFonts w:ascii="宋体"/>
                <w:vanish/>
              </w:rPr>
            </w:pPr>
          </w:p>
        </w:tc>
        <w:tc>
          <w:tcPr>
            <w:tcW w:w="0" w:type="auto"/>
            <w:gridSpan w:val="3"/>
            <w:shd w:val="clear" w:color="auto" w:fill="auto"/>
            <w:vAlign w:val="bottom"/>
          </w:tcPr>
          <w:p w14:paraId="74DDC109" w14:textId="77777777" w:rsidR="00584EC1" w:rsidRDefault="00584EC1">
            <w:pPr>
              <w:rPr>
                <w:rFonts w:ascii="宋体"/>
                <w:vanish/>
              </w:rPr>
            </w:pPr>
          </w:p>
        </w:tc>
        <w:tc>
          <w:tcPr>
            <w:tcW w:w="0" w:type="auto"/>
            <w:gridSpan w:val="2"/>
            <w:shd w:val="clear" w:color="auto" w:fill="auto"/>
            <w:vAlign w:val="bottom"/>
          </w:tcPr>
          <w:p w14:paraId="74DDC10A" w14:textId="77777777" w:rsidR="00584EC1" w:rsidRDefault="00584EC1">
            <w:pPr>
              <w:rPr>
                <w:rFonts w:ascii="宋体"/>
                <w:vanish/>
              </w:rPr>
            </w:pPr>
          </w:p>
        </w:tc>
        <w:tc>
          <w:tcPr>
            <w:tcW w:w="0" w:type="auto"/>
            <w:shd w:val="clear" w:color="auto" w:fill="auto"/>
            <w:vAlign w:val="bottom"/>
          </w:tcPr>
          <w:p w14:paraId="74DDC10B" w14:textId="77777777" w:rsidR="00584EC1" w:rsidRDefault="00584EC1">
            <w:pPr>
              <w:rPr>
                <w:rFonts w:ascii="宋体"/>
                <w:vanish/>
              </w:rPr>
            </w:pPr>
          </w:p>
        </w:tc>
      </w:tr>
      <w:tr w:rsidR="00584EC1" w14:paraId="74DDC123" w14:textId="77777777">
        <w:trPr>
          <w:hidden/>
        </w:trPr>
        <w:tc>
          <w:tcPr>
            <w:tcW w:w="0" w:type="auto"/>
            <w:gridSpan w:val="3"/>
            <w:shd w:val="clear" w:color="auto" w:fill="auto"/>
            <w:vAlign w:val="bottom"/>
          </w:tcPr>
          <w:p w14:paraId="74DDC10D" w14:textId="77777777" w:rsidR="00584EC1" w:rsidRDefault="00584EC1">
            <w:pPr>
              <w:rPr>
                <w:rFonts w:ascii="宋体"/>
                <w:vanish/>
              </w:rPr>
            </w:pPr>
          </w:p>
        </w:tc>
        <w:tc>
          <w:tcPr>
            <w:tcW w:w="0" w:type="auto"/>
            <w:gridSpan w:val="3"/>
            <w:shd w:val="clear" w:color="auto" w:fill="auto"/>
            <w:vAlign w:val="bottom"/>
          </w:tcPr>
          <w:p w14:paraId="74DDC10E" w14:textId="77777777" w:rsidR="00584EC1" w:rsidRDefault="00584EC1">
            <w:pPr>
              <w:rPr>
                <w:rFonts w:ascii="宋体"/>
                <w:vanish/>
              </w:rPr>
            </w:pPr>
          </w:p>
        </w:tc>
        <w:tc>
          <w:tcPr>
            <w:tcW w:w="0" w:type="auto"/>
            <w:gridSpan w:val="3"/>
            <w:shd w:val="clear" w:color="auto" w:fill="auto"/>
            <w:vAlign w:val="bottom"/>
          </w:tcPr>
          <w:p w14:paraId="74DDC10F" w14:textId="77777777" w:rsidR="00584EC1" w:rsidRDefault="00584EC1">
            <w:pPr>
              <w:rPr>
                <w:rFonts w:ascii="宋体"/>
                <w:vanish/>
              </w:rPr>
            </w:pPr>
          </w:p>
        </w:tc>
        <w:tc>
          <w:tcPr>
            <w:tcW w:w="0" w:type="auto"/>
            <w:gridSpan w:val="3"/>
            <w:shd w:val="clear" w:color="auto" w:fill="auto"/>
            <w:vAlign w:val="bottom"/>
          </w:tcPr>
          <w:p w14:paraId="74DDC110" w14:textId="77777777" w:rsidR="00584EC1" w:rsidRDefault="00584EC1">
            <w:pPr>
              <w:rPr>
                <w:rFonts w:ascii="宋体"/>
                <w:vanish/>
              </w:rPr>
            </w:pPr>
          </w:p>
        </w:tc>
        <w:tc>
          <w:tcPr>
            <w:tcW w:w="0" w:type="auto"/>
            <w:gridSpan w:val="3"/>
            <w:shd w:val="clear" w:color="auto" w:fill="auto"/>
            <w:vAlign w:val="bottom"/>
          </w:tcPr>
          <w:p w14:paraId="74DDC111" w14:textId="77777777" w:rsidR="00584EC1" w:rsidRDefault="00584EC1">
            <w:pPr>
              <w:rPr>
                <w:rFonts w:ascii="宋体"/>
                <w:vanish/>
              </w:rPr>
            </w:pPr>
          </w:p>
        </w:tc>
        <w:tc>
          <w:tcPr>
            <w:tcW w:w="0" w:type="auto"/>
            <w:gridSpan w:val="3"/>
            <w:shd w:val="clear" w:color="auto" w:fill="auto"/>
            <w:vAlign w:val="bottom"/>
          </w:tcPr>
          <w:p w14:paraId="74DDC112" w14:textId="77777777" w:rsidR="00584EC1" w:rsidRDefault="00584EC1">
            <w:pPr>
              <w:rPr>
                <w:rFonts w:ascii="宋体"/>
                <w:vanish/>
              </w:rPr>
            </w:pPr>
          </w:p>
        </w:tc>
        <w:tc>
          <w:tcPr>
            <w:tcW w:w="0" w:type="auto"/>
            <w:gridSpan w:val="3"/>
            <w:shd w:val="clear" w:color="auto" w:fill="auto"/>
            <w:vAlign w:val="bottom"/>
          </w:tcPr>
          <w:p w14:paraId="74DDC113" w14:textId="77777777" w:rsidR="00584EC1" w:rsidRDefault="00584EC1">
            <w:pPr>
              <w:rPr>
                <w:rFonts w:ascii="宋体"/>
                <w:vanish/>
              </w:rPr>
            </w:pPr>
          </w:p>
        </w:tc>
        <w:tc>
          <w:tcPr>
            <w:tcW w:w="0" w:type="auto"/>
            <w:gridSpan w:val="3"/>
            <w:shd w:val="clear" w:color="auto" w:fill="auto"/>
            <w:vAlign w:val="bottom"/>
          </w:tcPr>
          <w:p w14:paraId="74DDC114" w14:textId="77777777" w:rsidR="00584EC1" w:rsidRDefault="00584EC1">
            <w:pPr>
              <w:rPr>
                <w:rFonts w:ascii="宋体"/>
                <w:vanish/>
              </w:rPr>
            </w:pPr>
          </w:p>
        </w:tc>
        <w:tc>
          <w:tcPr>
            <w:tcW w:w="0" w:type="auto"/>
            <w:gridSpan w:val="3"/>
            <w:shd w:val="clear" w:color="auto" w:fill="auto"/>
            <w:vAlign w:val="bottom"/>
          </w:tcPr>
          <w:p w14:paraId="74DDC115" w14:textId="77777777" w:rsidR="00584EC1" w:rsidRDefault="00584EC1">
            <w:pPr>
              <w:rPr>
                <w:rFonts w:ascii="宋体"/>
                <w:vanish/>
              </w:rPr>
            </w:pPr>
          </w:p>
        </w:tc>
        <w:tc>
          <w:tcPr>
            <w:tcW w:w="0" w:type="auto"/>
            <w:shd w:val="clear" w:color="auto" w:fill="auto"/>
            <w:vAlign w:val="bottom"/>
          </w:tcPr>
          <w:p w14:paraId="74DDC116" w14:textId="77777777" w:rsidR="00584EC1" w:rsidRDefault="00584EC1">
            <w:pPr>
              <w:rPr>
                <w:rFonts w:ascii="宋体"/>
                <w:vanish/>
              </w:rPr>
            </w:pPr>
          </w:p>
        </w:tc>
        <w:tc>
          <w:tcPr>
            <w:tcW w:w="0" w:type="auto"/>
            <w:shd w:val="clear" w:color="auto" w:fill="auto"/>
            <w:vAlign w:val="bottom"/>
          </w:tcPr>
          <w:p w14:paraId="74DDC117" w14:textId="77777777" w:rsidR="00584EC1" w:rsidRDefault="00584EC1">
            <w:pPr>
              <w:rPr>
                <w:rFonts w:ascii="宋体"/>
                <w:vanish/>
              </w:rPr>
            </w:pPr>
          </w:p>
        </w:tc>
        <w:tc>
          <w:tcPr>
            <w:tcW w:w="0" w:type="auto"/>
            <w:gridSpan w:val="3"/>
            <w:shd w:val="clear" w:color="auto" w:fill="auto"/>
            <w:vAlign w:val="bottom"/>
          </w:tcPr>
          <w:p w14:paraId="74DDC118" w14:textId="77777777" w:rsidR="00584EC1" w:rsidRDefault="00584EC1">
            <w:pPr>
              <w:rPr>
                <w:rFonts w:ascii="宋体"/>
                <w:vanish/>
              </w:rPr>
            </w:pPr>
          </w:p>
        </w:tc>
        <w:tc>
          <w:tcPr>
            <w:tcW w:w="0" w:type="auto"/>
            <w:gridSpan w:val="3"/>
            <w:shd w:val="clear" w:color="auto" w:fill="auto"/>
            <w:vAlign w:val="bottom"/>
          </w:tcPr>
          <w:p w14:paraId="74DDC119" w14:textId="77777777" w:rsidR="00584EC1" w:rsidRDefault="00584EC1">
            <w:pPr>
              <w:rPr>
                <w:rFonts w:ascii="宋体"/>
                <w:vanish/>
              </w:rPr>
            </w:pPr>
          </w:p>
        </w:tc>
        <w:tc>
          <w:tcPr>
            <w:tcW w:w="0" w:type="auto"/>
            <w:gridSpan w:val="3"/>
            <w:shd w:val="clear" w:color="auto" w:fill="auto"/>
            <w:vAlign w:val="bottom"/>
          </w:tcPr>
          <w:p w14:paraId="74DDC11A" w14:textId="77777777" w:rsidR="00584EC1" w:rsidRDefault="00584EC1">
            <w:pPr>
              <w:rPr>
                <w:rFonts w:ascii="宋体"/>
                <w:vanish/>
              </w:rPr>
            </w:pPr>
          </w:p>
        </w:tc>
        <w:tc>
          <w:tcPr>
            <w:tcW w:w="0" w:type="auto"/>
            <w:gridSpan w:val="3"/>
            <w:shd w:val="clear" w:color="auto" w:fill="auto"/>
            <w:vAlign w:val="bottom"/>
          </w:tcPr>
          <w:p w14:paraId="74DDC11B" w14:textId="77777777" w:rsidR="00584EC1" w:rsidRDefault="00584EC1">
            <w:pPr>
              <w:rPr>
                <w:rFonts w:ascii="宋体"/>
                <w:vanish/>
              </w:rPr>
            </w:pPr>
          </w:p>
        </w:tc>
        <w:tc>
          <w:tcPr>
            <w:tcW w:w="0" w:type="auto"/>
            <w:gridSpan w:val="3"/>
            <w:shd w:val="clear" w:color="auto" w:fill="auto"/>
            <w:vAlign w:val="bottom"/>
          </w:tcPr>
          <w:p w14:paraId="74DDC11C" w14:textId="77777777" w:rsidR="00584EC1" w:rsidRDefault="00584EC1">
            <w:pPr>
              <w:rPr>
                <w:rFonts w:ascii="宋体"/>
                <w:vanish/>
              </w:rPr>
            </w:pPr>
          </w:p>
        </w:tc>
        <w:tc>
          <w:tcPr>
            <w:tcW w:w="0" w:type="auto"/>
            <w:gridSpan w:val="3"/>
            <w:shd w:val="clear" w:color="auto" w:fill="auto"/>
            <w:vAlign w:val="bottom"/>
          </w:tcPr>
          <w:p w14:paraId="74DDC11D" w14:textId="77777777" w:rsidR="00584EC1" w:rsidRDefault="00584EC1">
            <w:pPr>
              <w:rPr>
                <w:rFonts w:ascii="宋体"/>
                <w:vanish/>
              </w:rPr>
            </w:pPr>
          </w:p>
        </w:tc>
        <w:tc>
          <w:tcPr>
            <w:tcW w:w="0" w:type="auto"/>
            <w:gridSpan w:val="3"/>
            <w:shd w:val="clear" w:color="auto" w:fill="auto"/>
            <w:vAlign w:val="bottom"/>
          </w:tcPr>
          <w:p w14:paraId="74DDC11E" w14:textId="77777777" w:rsidR="00584EC1" w:rsidRDefault="00584EC1">
            <w:pPr>
              <w:rPr>
                <w:rFonts w:ascii="宋体"/>
                <w:vanish/>
              </w:rPr>
            </w:pPr>
          </w:p>
        </w:tc>
        <w:tc>
          <w:tcPr>
            <w:tcW w:w="0" w:type="auto"/>
            <w:gridSpan w:val="3"/>
            <w:shd w:val="clear" w:color="auto" w:fill="auto"/>
            <w:vAlign w:val="bottom"/>
          </w:tcPr>
          <w:p w14:paraId="74DDC11F" w14:textId="77777777" w:rsidR="00584EC1" w:rsidRDefault="00584EC1">
            <w:pPr>
              <w:rPr>
                <w:rFonts w:ascii="宋体"/>
                <w:vanish/>
              </w:rPr>
            </w:pPr>
          </w:p>
        </w:tc>
        <w:tc>
          <w:tcPr>
            <w:tcW w:w="0" w:type="auto"/>
            <w:gridSpan w:val="3"/>
            <w:shd w:val="clear" w:color="auto" w:fill="auto"/>
            <w:vAlign w:val="bottom"/>
          </w:tcPr>
          <w:p w14:paraId="74DDC120" w14:textId="77777777" w:rsidR="00584EC1" w:rsidRDefault="00584EC1">
            <w:pPr>
              <w:rPr>
                <w:rFonts w:ascii="宋体"/>
                <w:vanish/>
              </w:rPr>
            </w:pPr>
          </w:p>
        </w:tc>
        <w:tc>
          <w:tcPr>
            <w:tcW w:w="0" w:type="auto"/>
            <w:gridSpan w:val="2"/>
            <w:shd w:val="clear" w:color="auto" w:fill="auto"/>
            <w:vAlign w:val="bottom"/>
          </w:tcPr>
          <w:p w14:paraId="74DDC121" w14:textId="77777777" w:rsidR="00584EC1" w:rsidRDefault="00584EC1">
            <w:pPr>
              <w:rPr>
                <w:rFonts w:ascii="宋体"/>
                <w:vanish/>
              </w:rPr>
            </w:pPr>
          </w:p>
        </w:tc>
        <w:tc>
          <w:tcPr>
            <w:tcW w:w="0" w:type="auto"/>
            <w:shd w:val="clear" w:color="auto" w:fill="auto"/>
            <w:vAlign w:val="bottom"/>
          </w:tcPr>
          <w:p w14:paraId="74DDC122" w14:textId="77777777" w:rsidR="00584EC1" w:rsidRDefault="00584EC1">
            <w:pPr>
              <w:rPr>
                <w:rFonts w:ascii="宋体"/>
                <w:vanish/>
              </w:rPr>
            </w:pPr>
          </w:p>
        </w:tc>
      </w:tr>
      <w:tr w:rsidR="00584EC1" w14:paraId="74DDC13A" w14:textId="77777777">
        <w:tc>
          <w:tcPr>
            <w:tcW w:w="0" w:type="auto"/>
            <w:gridSpan w:val="3"/>
            <w:shd w:val="clear" w:color="auto" w:fill="CCEEFF"/>
            <w:tcMar>
              <w:top w:w="40" w:type="dxa"/>
              <w:left w:w="20" w:type="dxa"/>
              <w:bottom w:w="40" w:type="dxa"/>
              <w:right w:w="20" w:type="dxa"/>
            </w:tcMar>
            <w:vAlign w:val="center"/>
          </w:tcPr>
          <w:p w14:paraId="74DDC124" w14:textId="77777777" w:rsidR="00584EC1" w:rsidRDefault="00871F8D">
            <w:pPr>
              <w:textAlignment w:val="center"/>
            </w:pPr>
            <w:r>
              <w:rPr>
                <w:rFonts w:ascii="Arial" w:eastAsia="宋体" w:hAnsi="Arial" w:cs="Arial"/>
                <w:color w:val="000000"/>
                <w:sz w:val="12"/>
                <w:szCs w:val="12"/>
              </w:rPr>
              <w:t>Other assets:</w:t>
            </w:r>
          </w:p>
        </w:tc>
        <w:tc>
          <w:tcPr>
            <w:tcW w:w="0" w:type="auto"/>
            <w:gridSpan w:val="3"/>
            <w:shd w:val="clear" w:color="auto" w:fill="CCEEFF"/>
            <w:tcMar>
              <w:top w:w="0" w:type="dxa"/>
              <w:left w:w="20" w:type="dxa"/>
              <w:bottom w:w="0" w:type="dxa"/>
              <w:right w:w="20" w:type="dxa"/>
            </w:tcMar>
            <w:vAlign w:val="bottom"/>
          </w:tcPr>
          <w:p w14:paraId="74DDC125"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126"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127"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128"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129"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12A"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12B"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12C" w14:textId="77777777" w:rsidR="00584EC1" w:rsidRDefault="00584EC1">
            <w:pPr>
              <w:rPr>
                <w:rFonts w:ascii="宋体"/>
              </w:rPr>
            </w:pPr>
          </w:p>
        </w:tc>
        <w:tc>
          <w:tcPr>
            <w:tcW w:w="0" w:type="auto"/>
            <w:shd w:val="clear" w:color="auto" w:fill="auto"/>
            <w:vAlign w:val="bottom"/>
          </w:tcPr>
          <w:p w14:paraId="74DDC12D" w14:textId="77777777" w:rsidR="00584EC1" w:rsidRDefault="00584EC1">
            <w:pPr>
              <w:rPr>
                <w:rFonts w:ascii="宋体"/>
                <w:vanish/>
              </w:rPr>
            </w:pPr>
          </w:p>
        </w:tc>
        <w:tc>
          <w:tcPr>
            <w:tcW w:w="0" w:type="auto"/>
            <w:shd w:val="clear" w:color="auto" w:fill="auto"/>
            <w:vAlign w:val="bottom"/>
          </w:tcPr>
          <w:p w14:paraId="74DDC12E" w14:textId="77777777" w:rsidR="00584EC1" w:rsidRDefault="00584EC1">
            <w:pPr>
              <w:rPr>
                <w:rFonts w:ascii="宋体"/>
                <w:vanish/>
              </w:rPr>
            </w:pPr>
          </w:p>
        </w:tc>
        <w:tc>
          <w:tcPr>
            <w:tcW w:w="0" w:type="auto"/>
            <w:gridSpan w:val="3"/>
            <w:shd w:val="clear" w:color="auto" w:fill="CCEEFF"/>
            <w:tcMar>
              <w:top w:w="0" w:type="dxa"/>
              <w:left w:w="20" w:type="dxa"/>
              <w:bottom w:w="0" w:type="dxa"/>
              <w:right w:w="20" w:type="dxa"/>
            </w:tcMar>
            <w:vAlign w:val="bottom"/>
          </w:tcPr>
          <w:p w14:paraId="74DDC12F"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130"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131"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132"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133"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134"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135"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136"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137" w14:textId="77777777" w:rsidR="00584EC1" w:rsidRDefault="00584EC1">
            <w:pPr>
              <w:rPr>
                <w:rFonts w:ascii="宋体"/>
              </w:rPr>
            </w:pPr>
          </w:p>
        </w:tc>
        <w:tc>
          <w:tcPr>
            <w:tcW w:w="0" w:type="auto"/>
            <w:gridSpan w:val="2"/>
            <w:shd w:val="clear" w:color="auto" w:fill="CCEEFF"/>
            <w:tcMar>
              <w:top w:w="0" w:type="dxa"/>
              <w:left w:w="20" w:type="dxa"/>
              <w:bottom w:w="0" w:type="dxa"/>
              <w:right w:w="20" w:type="dxa"/>
            </w:tcMar>
            <w:vAlign w:val="bottom"/>
          </w:tcPr>
          <w:p w14:paraId="74DDC138" w14:textId="77777777" w:rsidR="00584EC1" w:rsidRDefault="00584EC1">
            <w:pPr>
              <w:rPr>
                <w:rFonts w:ascii="宋体"/>
              </w:rPr>
            </w:pPr>
          </w:p>
        </w:tc>
        <w:tc>
          <w:tcPr>
            <w:tcW w:w="0" w:type="auto"/>
            <w:shd w:val="clear" w:color="auto" w:fill="CCEEFF"/>
            <w:tcMar>
              <w:top w:w="0" w:type="dxa"/>
              <w:left w:w="20" w:type="dxa"/>
              <w:bottom w:w="0" w:type="dxa"/>
              <w:right w:w="20" w:type="dxa"/>
            </w:tcMar>
            <w:vAlign w:val="bottom"/>
          </w:tcPr>
          <w:p w14:paraId="74DDC139" w14:textId="77777777" w:rsidR="00584EC1" w:rsidRDefault="00584EC1">
            <w:pPr>
              <w:rPr>
                <w:rFonts w:ascii="宋体"/>
              </w:rPr>
            </w:pPr>
          </w:p>
        </w:tc>
      </w:tr>
      <w:tr w:rsidR="00584EC1" w14:paraId="74DDC151" w14:textId="77777777">
        <w:tc>
          <w:tcPr>
            <w:tcW w:w="0" w:type="auto"/>
            <w:gridSpan w:val="3"/>
            <w:shd w:val="clear" w:color="auto" w:fill="FFFFFF"/>
            <w:tcMar>
              <w:top w:w="40" w:type="dxa"/>
              <w:left w:w="20" w:type="dxa"/>
              <w:bottom w:w="40" w:type="dxa"/>
              <w:right w:w="20" w:type="dxa"/>
            </w:tcMar>
            <w:vAlign w:val="center"/>
          </w:tcPr>
          <w:p w14:paraId="74DDC13B" w14:textId="77777777" w:rsidR="00584EC1" w:rsidRDefault="00871F8D">
            <w:pPr>
              <w:textAlignment w:val="center"/>
            </w:pPr>
            <w:r>
              <w:rPr>
                <w:rFonts w:ascii="Arial" w:eastAsia="宋体" w:hAnsi="Arial" w:cs="Arial"/>
                <w:color w:val="000000"/>
                <w:sz w:val="12"/>
                <w:szCs w:val="12"/>
              </w:rPr>
              <w:t>Derivative instruments:</w:t>
            </w:r>
          </w:p>
        </w:tc>
        <w:tc>
          <w:tcPr>
            <w:tcW w:w="0" w:type="auto"/>
            <w:gridSpan w:val="3"/>
            <w:shd w:val="clear" w:color="auto" w:fill="FFFFFF"/>
            <w:tcMar>
              <w:top w:w="0" w:type="dxa"/>
              <w:left w:w="20" w:type="dxa"/>
              <w:bottom w:w="0" w:type="dxa"/>
              <w:right w:w="20" w:type="dxa"/>
            </w:tcMar>
            <w:vAlign w:val="bottom"/>
          </w:tcPr>
          <w:p w14:paraId="74DDC13C"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13D"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13E"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13F"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140"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141"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14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143" w14:textId="77777777" w:rsidR="00584EC1" w:rsidRDefault="00584EC1">
            <w:pPr>
              <w:rPr>
                <w:rFonts w:ascii="宋体"/>
              </w:rPr>
            </w:pPr>
          </w:p>
        </w:tc>
        <w:tc>
          <w:tcPr>
            <w:tcW w:w="0" w:type="auto"/>
            <w:shd w:val="clear" w:color="auto" w:fill="auto"/>
            <w:vAlign w:val="bottom"/>
          </w:tcPr>
          <w:p w14:paraId="74DDC144" w14:textId="77777777" w:rsidR="00584EC1" w:rsidRDefault="00584EC1">
            <w:pPr>
              <w:rPr>
                <w:rFonts w:ascii="宋体"/>
                <w:vanish/>
              </w:rPr>
            </w:pPr>
          </w:p>
        </w:tc>
        <w:tc>
          <w:tcPr>
            <w:tcW w:w="0" w:type="auto"/>
            <w:shd w:val="clear" w:color="auto" w:fill="auto"/>
            <w:vAlign w:val="bottom"/>
          </w:tcPr>
          <w:p w14:paraId="74DDC145" w14:textId="77777777" w:rsidR="00584EC1" w:rsidRDefault="00584EC1">
            <w:pPr>
              <w:rPr>
                <w:rFonts w:ascii="宋体"/>
                <w:vanish/>
              </w:rPr>
            </w:pPr>
          </w:p>
        </w:tc>
        <w:tc>
          <w:tcPr>
            <w:tcW w:w="0" w:type="auto"/>
            <w:gridSpan w:val="3"/>
            <w:shd w:val="clear" w:color="auto" w:fill="FFFFFF"/>
            <w:tcMar>
              <w:top w:w="0" w:type="dxa"/>
              <w:left w:w="20" w:type="dxa"/>
              <w:bottom w:w="0" w:type="dxa"/>
              <w:right w:w="20" w:type="dxa"/>
            </w:tcMar>
            <w:vAlign w:val="bottom"/>
          </w:tcPr>
          <w:p w14:paraId="74DDC146"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147"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148"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149"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14A"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14B"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14C"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14D"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14E" w14:textId="77777777" w:rsidR="00584EC1" w:rsidRDefault="00584EC1">
            <w:pPr>
              <w:rPr>
                <w:rFonts w:ascii="宋体"/>
              </w:rPr>
            </w:pPr>
          </w:p>
        </w:tc>
        <w:tc>
          <w:tcPr>
            <w:tcW w:w="0" w:type="auto"/>
            <w:gridSpan w:val="2"/>
            <w:shd w:val="clear" w:color="auto" w:fill="FFFFFF"/>
            <w:tcMar>
              <w:top w:w="0" w:type="dxa"/>
              <w:left w:w="20" w:type="dxa"/>
              <w:bottom w:w="0" w:type="dxa"/>
              <w:right w:w="20" w:type="dxa"/>
            </w:tcMar>
            <w:vAlign w:val="bottom"/>
          </w:tcPr>
          <w:p w14:paraId="74DDC14F" w14:textId="77777777" w:rsidR="00584EC1" w:rsidRDefault="00584EC1">
            <w:pPr>
              <w:rPr>
                <w:rFonts w:ascii="宋体"/>
              </w:rPr>
            </w:pPr>
          </w:p>
        </w:tc>
        <w:tc>
          <w:tcPr>
            <w:tcW w:w="0" w:type="auto"/>
            <w:shd w:val="clear" w:color="auto" w:fill="FFFFFF"/>
            <w:tcMar>
              <w:top w:w="0" w:type="dxa"/>
              <w:left w:w="20" w:type="dxa"/>
              <w:bottom w:w="0" w:type="dxa"/>
              <w:right w:w="20" w:type="dxa"/>
            </w:tcMar>
            <w:vAlign w:val="bottom"/>
          </w:tcPr>
          <w:p w14:paraId="74DDC150" w14:textId="77777777" w:rsidR="00584EC1" w:rsidRDefault="00584EC1">
            <w:pPr>
              <w:rPr>
                <w:rFonts w:ascii="宋体"/>
              </w:rPr>
            </w:pPr>
          </w:p>
        </w:tc>
      </w:tr>
      <w:tr w:rsidR="00871F8D" w14:paraId="74DDC17B" w14:textId="77777777">
        <w:tc>
          <w:tcPr>
            <w:tcW w:w="0" w:type="auto"/>
            <w:gridSpan w:val="3"/>
            <w:shd w:val="clear" w:color="auto" w:fill="CCEEFF"/>
            <w:tcMar>
              <w:top w:w="40" w:type="dxa"/>
              <w:left w:w="155" w:type="dxa"/>
              <w:bottom w:w="40" w:type="dxa"/>
              <w:right w:w="20" w:type="dxa"/>
            </w:tcMar>
            <w:vAlign w:val="center"/>
          </w:tcPr>
          <w:p w14:paraId="74DDC152" w14:textId="77777777" w:rsidR="00584EC1" w:rsidRDefault="00871F8D">
            <w:pPr>
              <w:textAlignment w:val="center"/>
            </w:pPr>
            <w:r>
              <w:rPr>
                <w:rFonts w:ascii="Arial" w:eastAsia="宋体" w:hAnsi="Arial" w:cs="Arial"/>
                <w:color w:val="000000"/>
                <w:sz w:val="12"/>
                <w:szCs w:val="12"/>
              </w:rPr>
              <w:t xml:space="preserve">Foreign exchange </w:t>
            </w:r>
            <w:r>
              <w:rPr>
                <w:rFonts w:ascii="Arial" w:eastAsia="宋体" w:hAnsi="Arial" w:cs="Arial"/>
                <w:color w:val="000000"/>
                <w:sz w:val="12"/>
                <w:szCs w:val="12"/>
              </w:rPr>
              <w:t>contracts</w:t>
            </w:r>
          </w:p>
        </w:tc>
        <w:tc>
          <w:tcPr>
            <w:tcW w:w="0" w:type="auto"/>
            <w:shd w:val="clear" w:color="auto" w:fill="CCEEFF"/>
            <w:tcMar>
              <w:top w:w="40" w:type="dxa"/>
              <w:left w:w="20" w:type="dxa"/>
              <w:bottom w:w="40" w:type="dxa"/>
              <w:right w:w="0" w:type="dxa"/>
            </w:tcMar>
            <w:vAlign w:val="center"/>
          </w:tcPr>
          <w:p w14:paraId="74DDC153" w14:textId="77777777" w:rsidR="00584EC1" w:rsidRDefault="00871F8D">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74DDC154" w14:textId="77777777" w:rsidR="00584EC1" w:rsidRDefault="00871F8D">
            <w:pPr>
              <w:jc w:val="right"/>
              <w:textAlignment w:val="center"/>
            </w:pPr>
            <w:r>
              <w:rPr>
                <w:rFonts w:ascii="Arial" w:eastAsia="宋体" w:hAnsi="Arial" w:cs="Arial"/>
                <w:b/>
                <w:bCs/>
                <w:color w:val="000000"/>
                <w:sz w:val="12"/>
                <w:szCs w:val="12"/>
              </w:rPr>
              <w:t>2</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4DDC15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156" w14:textId="77777777" w:rsidR="00584EC1" w:rsidRDefault="00584EC1">
            <w:pPr>
              <w:rPr>
                <w:rFonts w:ascii="宋体"/>
              </w:rPr>
            </w:pPr>
          </w:p>
        </w:tc>
        <w:tc>
          <w:tcPr>
            <w:tcW w:w="0" w:type="auto"/>
            <w:shd w:val="clear" w:color="auto" w:fill="CCEEFF"/>
            <w:tcMar>
              <w:top w:w="40" w:type="dxa"/>
              <w:left w:w="20" w:type="dxa"/>
              <w:bottom w:w="40" w:type="dxa"/>
              <w:right w:w="0" w:type="dxa"/>
            </w:tcMar>
            <w:vAlign w:val="center"/>
          </w:tcPr>
          <w:p w14:paraId="74DDC157" w14:textId="77777777" w:rsidR="00584EC1" w:rsidRDefault="00871F8D">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74DDC158" w14:textId="77777777" w:rsidR="00584EC1" w:rsidRDefault="00871F8D">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4DDC15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15A" w14:textId="77777777" w:rsidR="00584EC1" w:rsidRDefault="00584EC1">
            <w:pPr>
              <w:rPr>
                <w:rFonts w:ascii="宋体"/>
              </w:rPr>
            </w:pPr>
          </w:p>
        </w:tc>
        <w:tc>
          <w:tcPr>
            <w:tcW w:w="0" w:type="auto"/>
            <w:shd w:val="clear" w:color="auto" w:fill="CCEEFF"/>
            <w:tcMar>
              <w:top w:w="40" w:type="dxa"/>
              <w:left w:w="20" w:type="dxa"/>
              <w:bottom w:w="40" w:type="dxa"/>
              <w:right w:w="0" w:type="dxa"/>
            </w:tcMar>
            <w:vAlign w:val="center"/>
          </w:tcPr>
          <w:p w14:paraId="74DDC15B" w14:textId="77777777" w:rsidR="00584EC1" w:rsidRDefault="00871F8D">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74DDC15C" w14:textId="77777777" w:rsidR="00584EC1" w:rsidRDefault="00871F8D">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4DDC15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15E" w14:textId="77777777" w:rsidR="00584EC1" w:rsidRDefault="00584EC1">
            <w:pPr>
              <w:rPr>
                <w:rFonts w:ascii="宋体"/>
              </w:rPr>
            </w:pPr>
          </w:p>
        </w:tc>
        <w:tc>
          <w:tcPr>
            <w:tcW w:w="0" w:type="auto"/>
            <w:shd w:val="clear" w:color="auto" w:fill="CCEEFF"/>
            <w:tcMar>
              <w:top w:w="40" w:type="dxa"/>
              <w:left w:w="20" w:type="dxa"/>
              <w:bottom w:w="40" w:type="dxa"/>
              <w:right w:w="0" w:type="dxa"/>
            </w:tcMar>
            <w:vAlign w:val="center"/>
          </w:tcPr>
          <w:p w14:paraId="74DDC15F" w14:textId="77777777" w:rsidR="00584EC1" w:rsidRDefault="00871F8D">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74DDC160" w14:textId="77777777" w:rsidR="00584EC1" w:rsidRDefault="00871F8D">
            <w:pPr>
              <w:jc w:val="right"/>
              <w:textAlignment w:val="center"/>
            </w:pPr>
            <w:r>
              <w:rPr>
                <w:rFonts w:ascii="Arial" w:eastAsia="宋体" w:hAnsi="Arial" w:cs="Arial"/>
                <w:b/>
                <w:bCs/>
                <w:color w:val="000000"/>
                <w:sz w:val="12"/>
                <w:szCs w:val="12"/>
              </w:rPr>
              <w:t>1</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4DDC16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162" w14:textId="77777777" w:rsidR="00584EC1" w:rsidRDefault="00584EC1">
            <w:pPr>
              <w:rPr>
                <w:rFonts w:ascii="宋体"/>
              </w:rPr>
            </w:pPr>
          </w:p>
        </w:tc>
        <w:tc>
          <w:tcPr>
            <w:tcW w:w="0" w:type="auto"/>
            <w:shd w:val="clear" w:color="auto" w:fill="auto"/>
            <w:vAlign w:val="bottom"/>
          </w:tcPr>
          <w:p w14:paraId="74DDC163" w14:textId="77777777" w:rsidR="00584EC1" w:rsidRDefault="00584EC1">
            <w:pPr>
              <w:rPr>
                <w:rFonts w:ascii="宋体"/>
                <w:vanish/>
              </w:rPr>
            </w:pPr>
          </w:p>
        </w:tc>
        <w:tc>
          <w:tcPr>
            <w:tcW w:w="0" w:type="auto"/>
            <w:shd w:val="clear" w:color="auto" w:fill="auto"/>
            <w:vAlign w:val="bottom"/>
          </w:tcPr>
          <w:p w14:paraId="74DDC164" w14:textId="77777777" w:rsidR="00584EC1" w:rsidRDefault="00584EC1">
            <w:pPr>
              <w:rPr>
                <w:rFonts w:ascii="宋体"/>
                <w:vanish/>
              </w:rPr>
            </w:pPr>
          </w:p>
        </w:tc>
        <w:tc>
          <w:tcPr>
            <w:tcW w:w="0" w:type="auto"/>
            <w:shd w:val="clear" w:color="auto" w:fill="CCEEFF"/>
            <w:tcMar>
              <w:top w:w="40" w:type="dxa"/>
              <w:left w:w="20" w:type="dxa"/>
              <w:bottom w:w="40" w:type="dxa"/>
              <w:right w:w="0" w:type="dxa"/>
            </w:tcMar>
            <w:vAlign w:val="center"/>
          </w:tcPr>
          <w:p w14:paraId="74DDC165" w14:textId="77777777" w:rsidR="00584EC1" w:rsidRDefault="00871F8D">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74DDC166" w14:textId="77777777" w:rsidR="00584EC1" w:rsidRDefault="00871F8D">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4DDC16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168" w14:textId="77777777" w:rsidR="00584EC1" w:rsidRDefault="00584EC1">
            <w:pPr>
              <w:rPr>
                <w:rFonts w:ascii="宋体"/>
              </w:rPr>
            </w:pPr>
          </w:p>
        </w:tc>
        <w:tc>
          <w:tcPr>
            <w:tcW w:w="0" w:type="auto"/>
            <w:shd w:val="clear" w:color="auto" w:fill="CCEEFF"/>
            <w:tcMar>
              <w:top w:w="40" w:type="dxa"/>
              <w:left w:w="20" w:type="dxa"/>
              <w:bottom w:w="40" w:type="dxa"/>
              <w:right w:w="0" w:type="dxa"/>
            </w:tcMar>
            <w:vAlign w:val="center"/>
          </w:tcPr>
          <w:p w14:paraId="74DDC169" w14:textId="77777777" w:rsidR="00584EC1" w:rsidRDefault="00871F8D">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74DDC16A" w14:textId="77777777" w:rsidR="00584EC1" w:rsidRDefault="00871F8D">
            <w:pPr>
              <w:jc w:val="right"/>
              <w:textAlignment w:val="center"/>
            </w:pPr>
            <w:r>
              <w:rPr>
                <w:rFonts w:ascii="Arial" w:eastAsia="宋体" w:hAnsi="Arial" w:cs="Arial"/>
                <w:b/>
                <w:bCs/>
                <w:color w:val="000000"/>
                <w:sz w:val="12"/>
                <w:szCs w:val="12"/>
              </w:rPr>
              <w:t>(1)</w:t>
            </w:r>
          </w:p>
        </w:tc>
        <w:tc>
          <w:tcPr>
            <w:tcW w:w="0" w:type="auto"/>
            <w:shd w:val="clear" w:color="auto" w:fill="CCEEFF"/>
            <w:tcMar>
              <w:top w:w="40" w:type="dxa"/>
              <w:left w:w="0" w:type="dxa"/>
              <w:bottom w:w="40" w:type="dxa"/>
              <w:right w:w="20" w:type="dxa"/>
            </w:tcMar>
            <w:vAlign w:val="center"/>
          </w:tcPr>
          <w:p w14:paraId="74DDC16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16C" w14:textId="77777777" w:rsidR="00584EC1" w:rsidRDefault="00584EC1">
            <w:pPr>
              <w:rPr>
                <w:rFonts w:ascii="宋体"/>
              </w:rPr>
            </w:pPr>
          </w:p>
        </w:tc>
        <w:tc>
          <w:tcPr>
            <w:tcW w:w="0" w:type="auto"/>
            <w:shd w:val="clear" w:color="auto" w:fill="CCEEFF"/>
            <w:tcMar>
              <w:top w:w="40" w:type="dxa"/>
              <w:left w:w="20" w:type="dxa"/>
              <w:bottom w:w="40" w:type="dxa"/>
              <w:right w:w="0" w:type="dxa"/>
            </w:tcMar>
            <w:vAlign w:val="center"/>
          </w:tcPr>
          <w:p w14:paraId="74DDC16D" w14:textId="77777777" w:rsidR="00584EC1" w:rsidRDefault="00871F8D">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74DDC16E" w14:textId="77777777" w:rsidR="00584EC1" w:rsidRDefault="00871F8D">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4DDC16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170" w14:textId="77777777" w:rsidR="00584EC1" w:rsidRDefault="00584EC1">
            <w:pPr>
              <w:rPr>
                <w:rFonts w:ascii="宋体"/>
              </w:rPr>
            </w:pPr>
          </w:p>
        </w:tc>
        <w:tc>
          <w:tcPr>
            <w:tcW w:w="0" w:type="auto"/>
            <w:shd w:val="clear" w:color="auto" w:fill="CCEEFF"/>
            <w:tcMar>
              <w:top w:w="40" w:type="dxa"/>
              <w:left w:w="20" w:type="dxa"/>
              <w:bottom w:w="40" w:type="dxa"/>
              <w:right w:w="0" w:type="dxa"/>
            </w:tcMar>
            <w:vAlign w:val="center"/>
          </w:tcPr>
          <w:p w14:paraId="74DDC171" w14:textId="77777777" w:rsidR="00584EC1" w:rsidRDefault="00871F8D">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74DDC172" w14:textId="77777777" w:rsidR="00584EC1" w:rsidRDefault="00871F8D">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4DDC17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174" w14:textId="77777777" w:rsidR="00584EC1" w:rsidRDefault="00584EC1">
            <w:pPr>
              <w:rPr>
                <w:rFonts w:ascii="宋体"/>
              </w:rPr>
            </w:pPr>
          </w:p>
        </w:tc>
        <w:tc>
          <w:tcPr>
            <w:tcW w:w="0" w:type="auto"/>
            <w:shd w:val="clear" w:color="auto" w:fill="CCEEFF"/>
            <w:tcMar>
              <w:top w:w="40" w:type="dxa"/>
              <w:left w:w="20" w:type="dxa"/>
              <w:bottom w:w="40" w:type="dxa"/>
              <w:right w:w="0" w:type="dxa"/>
            </w:tcMar>
            <w:vAlign w:val="center"/>
          </w:tcPr>
          <w:p w14:paraId="74DDC175" w14:textId="77777777" w:rsidR="00584EC1" w:rsidRDefault="00871F8D">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74DDC176" w14:textId="77777777" w:rsidR="00584EC1" w:rsidRDefault="00871F8D">
            <w:pPr>
              <w:jc w:val="right"/>
              <w:textAlignment w:val="center"/>
            </w:pPr>
            <w:r>
              <w:rPr>
                <w:rFonts w:ascii="Arial" w:eastAsia="宋体" w:hAnsi="Arial" w:cs="Arial"/>
                <w:b/>
                <w:bCs/>
                <w:color w:val="000000"/>
                <w:sz w:val="12"/>
                <w:szCs w:val="12"/>
              </w:rPr>
              <w:t>2</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4DDC177" w14:textId="77777777" w:rsidR="00584EC1" w:rsidRDefault="00584EC1">
            <w:pPr>
              <w:jc w:val="right"/>
              <w:rPr>
                <w:rFonts w:ascii="宋体"/>
              </w:rPr>
            </w:pPr>
          </w:p>
        </w:tc>
        <w:tc>
          <w:tcPr>
            <w:tcW w:w="0" w:type="auto"/>
            <w:gridSpan w:val="2"/>
            <w:shd w:val="clear" w:color="auto" w:fill="CCEEFF"/>
            <w:tcMar>
              <w:top w:w="0" w:type="dxa"/>
              <w:left w:w="20" w:type="dxa"/>
              <w:bottom w:w="0" w:type="dxa"/>
              <w:right w:w="20" w:type="dxa"/>
            </w:tcMar>
            <w:vAlign w:val="bottom"/>
          </w:tcPr>
          <w:p w14:paraId="74DDC178" w14:textId="77777777" w:rsidR="00584EC1" w:rsidRDefault="00584EC1">
            <w:pPr>
              <w:rPr>
                <w:rFonts w:ascii="宋体"/>
              </w:rPr>
            </w:pPr>
          </w:p>
        </w:tc>
        <w:tc>
          <w:tcPr>
            <w:tcW w:w="0" w:type="auto"/>
            <w:shd w:val="clear" w:color="auto" w:fill="CCEEFF"/>
            <w:tcMar>
              <w:top w:w="40" w:type="dxa"/>
              <w:left w:w="20" w:type="dxa"/>
              <w:bottom w:w="40" w:type="dxa"/>
              <w:right w:w="0" w:type="dxa"/>
            </w:tcMar>
            <w:vAlign w:val="center"/>
          </w:tcPr>
          <w:p w14:paraId="74DDC179" w14:textId="77777777" w:rsidR="00584EC1" w:rsidRDefault="00871F8D">
            <w:pPr>
              <w:textAlignment w:val="center"/>
            </w:pPr>
            <w:r>
              <w:rPr>
                <w:rFonts w:ascii="Arial" w:eastAsia="宋体" w:hAnsi="Arial" w:cs="Arial"/>
                <w:b/>
                <w:bCs/>
                <w:color w:val="000000"/>
                <w:sz w:val="12"/>
                <w:szCs w:val="12"/>
              </w:rPr>
              <w:t>$</w:t>
            </w:r>
          </w:p>
          <w:p w14:paraId="74DDC17A" w14:textId="77777777" w:rsidR="00584EC1" w:rsidRDefault="00871F8D">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r>
      <w:tr w:rsidR="00584EC1" w14:paraId="74DDC192" w14:textId="77777777">
        <w:trPr>
          <w:hidden/>
        </w:trPr>
        <w:tc>
          <w:tcPr>
            <w:tcW w:w="0" w:type="auto"/>
            <w:gridSpan w:val="3"/>
            <w:shd w:val="clear" w:color="auto" w:fill="auto"/>
            <w:vAlign w:val="bottom"/>
          </w:tcPr>
          <w:p w14:paraId="74DDC17C" w14:textId="77777777" w:rsidR="00584EC1" w:rsidRDefault="00584EC1">
            <w:pPr>
              <w:rPr>
                <w:rFonts w:ascii="宋体"/>
                <w:vanish/>
              </w:rPr>
            </w:pPr>
          </w:p>
        </w:tc>
        <w:tc>
          <w:tcPr>
            <w:tcW w:w="0" w:type="auto"/>
            <w:gridSpan w:val="3"/>
            <w:shd w:val="clear" w:color="auto" w:fill="auto"/>
            <w:vAlign w:val="bottom"/>
          </w:tcPr>
          <w:p w14:paraId="74DDC17D" w14:textId="77777777" w:rsidR="00584EC1" w:rsidRDefault="00584EC1">
            <w:pPr>
              <w:rPr>
                <w:rFonts w:ascii="宋体"/>
                <w:vanish/>
              </w:rPr>
            </w:pPr>
          </w:p>
        </w:tc>
        <w:tc>
          <w:tcPr>
            <w:tcW w:w="0" w:type="auto"/>
            <w:gridSpan w:val="3"/>
            <w:shd w:val="clear" w:color="auto" w:fill="auto"/>
            <w:vAlign w:val="bottom"/>
          </w:tcPr>
          <w:p w14:paraId="74DDC17E" w14:textId="77777777" w:rsidR="00584EC1" w:rsidRDefault="00584EC1">
            <w:pPr>
              <w:rPr>
                <w:rFonts w:ascii="宋体"/>
                <w:vanish/>
              </w:rPr>
            </w:pPr>
          </w:p>
        </w:tc>
        <w:tc>
          <w:tcPr>
            <w:tcW w:w="0" w:type="auto"/>
            <w:gridSpan w:val="3"/>
            <w:shd w:val="clear" w:color="auto" w:fill="auto"/>
            <w:vAlign w:val="bottom"/>
          </w:tcPr>
          <w:p w14:paraId="74DDC17F" w14:textId="77777777" w:rsidR="00584EC1" w:rsidRDefault="00584EC1">
            <w:pPr>
              <w:rPr>
                <w:rFonts w:ascii="宋体"/>
                <w:vanish/>
              </w:rPr>
            </w:pPr>
          </w:p>
        </w:tc>
        <w:tc>
          <w:tcPr>
            <w:tcW w:w="0" w:type="auto"/>
            <w:gridSpan w:val="3"/>
            <w:shd w:val="clear" w:color="auto" w:fill="auto"/>
            <w:vAlign w:val="bottom"/>
          </w:tcPr>
          <w:p w14:paraId="74DDC180" w14:textId="77777777" w:rsidR="00584EC1" w:rsidRDefault="00584EC1">
            <w:pPr>
              <w:rPr>
                <w:rFonts w:ascii="宋体"/>
                <w:vanish/>
              </w:rPr>
            </w:pPr>
          </w:p>
        </w:tc>
        <w:tc>
          <w:tcPr>
            <w:tcW w:w="0" w:type="auto"/>
            <w:gridSpan w:val="3"/>
            <w:shd w:val="clear" w:color="auto" w:fill="auto"/>
            <w:vAlign w:val="bottom"/>
          </w:tcPr>
          <w:p w14:paraId="74DDC181" w14:textId="77777777" w:rsidR="00584EC1" w:rsidRDefault="00584EC1">
            <w:pPr>
              <w:rPr>
                <w:rFonts w:ascii="宋体"/>
                <w:vanish/>
              </w:rPr>
            </w:pPr>
          </w:p>
        </w:tc>
        <w:tc>
          <w:tcPr>
            <w:tcW w:w="0" w:type="auto"/>
            <w:gridSpan w:val="3"/>
            <w:shd w:val="clear" w:color="auto" w:fill="auto"/>
            <w:vAlign w:val="bottom"/>
          </w:tcPr>
          <w:p w14:paraId="74DDC182" w14:textId="77777777" w:rsidR="00584EC1" w:rsidRDefault="00584EC1">
            <w:pPr>
              <w:rPr>
                <w:rFonts w:ascii="宋体"/>
                <w:vanish/>
              </w:rPr>
            </w:pPr>
          </w:p>
        </w:tc>
        <w:tc>
          <w:tcPr>
            <w:tcW w:w="0" w:type="auto"/>
            <w:gridSpan w:val="3"/>
            <w:shd w:val="clear" w:color="auto" w:fill="auto"/>
            <w:vAlign w:val="bottom"/>
          </w:tcPr>
          <w:p w14:paraId="74DDC183" w14:textId="77777777" w:rsidR="00584EC1" w:rsidRDefault="00584EC1">
            <w:pPr>
              <w:rPr>
                <w:rFonts w:ascii="宋体"/>
                <w:vanish/>
              </w:rPr>
            </w:pPr>
          </w:p>
        </w:tc>
        <w:tc>
          <w:tcPr>
            <w:tcW w:w="0" w:type="auto"/>
            <w:gridSpan w:val="3"/>
            <w:shd w:val="clear" w:color="auto" w:fill="auto"/>
            <w:vAlign w:val="bottom"/>
          </w:tcPr>
          <w:p w14:paraId="74DDC184" w14:textId="77777777" w:rsidR="00584EC1" w:rsidRDefault="00584EC1">
            <w:pPr>
              <w:rPr>
                <w:rFonts w:ascii="宋体"/>
                <w:vanish/>
              </w:rPr>
            </w:pPr>
          </w:p>
        </w:tc>
        <w:tc>
          <w:tcPr>
            <w:tcW w:w="0" w:type="auto"/>
            <w:shd w:val="clear" w:color="auto" w:fill="auto"/>
            <w:vAlign w:val="bottom"/>
          </w:tcPr>
          <w:p w14:paraId="74DDC185" w14:textId="77777777" w:rsidR="00584EC1" w:rsidRDefault="00584EC1">
            <w:pPr>
              <w:rPr>
                <w:rFonts w:ascii="宋体"/>
                <w:vanish/>
              </w:rPr>
            </w:pPr>
          </w:p>
        </w:tc>
        <w:tc>
          <w:tcPr>
            <w:tcW w:w="0" w:type="auto"/>
            <w:shd w:val="clear" w:color="auto" w:fill="auto"/>
            <w:vAlign w:val="bottom"/>
          </w:tcPr>
          <w:p w14:paraId="74DDC186" w14:textId="77777777" w:rsidR="00584EC1" w:rsidRDefault="00584EC1">
            <w:pPr>
              <w:rPr>
                <w:rFonts w:ascii="宋体"/>
                <w:vanish/>
              </w:rPr>
            </w:pPr>
          </w:p>
        </w:tc>
        <w:tc>
          <w:tcPr>
            <w:tcW w:w="0" w:type="auto"/>
            <w:gridSpan w:val="3"/>
            <w:shd w:val="clear" w:color="auto" w:fill="auto"/>
            <w:vAlign w:val="bottom"/>
          </w:tcPr>
          <w:p w14:paraId="74DDC187" w14:textId="77777777" w:rsidR="00584EC1" w:rsidRDefault="00584EC1">
            <w:pPr>
              <w:rPr>
                <w:rFonts w:ascii="宋体"/>
                <w:vanish/>
              </w:rPr>
            </w:pPr>
          </w:p>
        </w:tc>
        <w:tc>
          <w:tcPr>
            <w:tcW w:w="0" w:type="auto"/>
            <w:gridSpan w:val="3"/>
            <w:shd w:val="clear" w:color="auto" w:fill="auto"/>
            <w:vAlign w:val="bottom"/>
          </w:tcPr>
          <w:p w14:paraId="74DDC188" w14:textId="77777777" w:rsidR="00584EC1" w:rsidRDefault="00584EC1">
            <w:pPr>
              <w:rPr>
                <w:rFonts w:ascii="宋体"/>
                <w:vanish/>
              </w:rPr>
            </w:pPr>
          </w:p>
        </w:tc>
        <w:tc>
          <w:tcPr>
            <w:tcW w:w="0" w:type="auto"/>
            <w:gridSpan w:val="3"/>
            <w:shd w:val="clear" w:color="auto" w:fill="auto"/>
            <w:vAlign w:val="bottom"/>
          </w:tcPr>
          <w:p w14:paraId="74DDC189" w14:textId="77777777" w:rsidR="00584EC1" w:rsidRDefault="00584EC1">
            <w:pPr>
              <w:rPr>
                <w:rFonts w:ascii="宋体"/>
                <w:vanish/>
              </w:rPr>
            </w:pPr>
          </w:p>
        </w:tc>
        <w:tc>
          <w:tcPr>
            <w:tcW w:w="0" w:type="auto"/>
            <w:gridSpan w:val="3"/>
            <w:shd w:val="clear" w:color="auto" w:fill="auto"/>
            <w:vAlign w:val="bottom"/>
          </w:tcPr>
          <w:p w14:paraId="74DDC18A" w14:textId="77777777" w:rsidR="00584EC1" w:rsidRDefault="00584EC1">
            <w:pPr>
              <w:rPr>
                <w:rFonts w:ascii="宋体"/>
                <w:vanish/>
              </w:rPr>
            </w:pPr>
          </w:p>
        </w:tc>
        <w:tc>
          <w:tcPr>
            <w:tcW w:w="0" w:type="auto"/>
            <w:gridSpan w:val="3"/>
            <w:shd w:val="clear" w:color="auto" w:fill="auto"/>
            <w:vAlign w:val="bottom"/>
          </w:tcPr>
          <w:p w14:paraId="74DDC18B" w14:textId="77777777" w:rsidR="00584EC1" w:rsidRDefault="00584EC1">
            <w:pPr>
              <w:rPr>
                <w:rFonts w:ascii="宋体"/>
                <w:vanish/>
              </w:rPr>
            </w:pPr>
          </w:p>
        </w:tc>
        <w:tc>
          <w:tcPr>
            <w:tcW w:w="0" w:type="auto"/>
            <w:gridSpan w:val="3"/>
            <w:shd w:val="clear" w:color="auto" w:fill="auto"/>
            <w:vAlign w:val="bottom"/>
          </w:tcPr>
          <w:p w14:paraId="74DDC18C" w14:textId="77777777" w:rsidR="00584EC1" w:rsidRDefault="00584EC1">
            <w:pPr>
              <w:rPr>
                <w:rFonts w:ascii="宋体"/>
                <w:vanish/>
              </w:rPr>
            </w:pPr>
          </w:p>
        </w:tc>
        <w:tc>
          <w:tcPr>
            <w:tcW w:w="0" w:type="auto"/>
            <w:gridSpan w:val="3"/>
            <w:shd w:val="clear" w:color="auto" w:fill="auto"/>
            <w:vAlign w:val="bottom"/>
          </w:tcPr>
          <w:p w14:paraId="74DDC18D" w14:textId="77777777" w:rsidR="00584EC1" w:rsidRDefault="00584EC1">
            <w:pPr>
              <w:rPr>
                <w:rFonts w:ascii="宋体"/>
                <w:vanish/>
              </w:rPr>
            </w:pPr>
          </w:p>
        </w:tc>
        <w:tc>
          <w:tcPr>
            <w:tcW w:w="0" w:type="auto"/>
            <w:gridSpan w:val="3"/>
            <w:shd w:val="clear" w:color="auto" w:fill="auto"/>
            <w:vAlign w:val="bottom"/>
          </w:tcPr>
          <w:p w14:paraId="74DDC18E" w14:textId="77777777" w:rsidR="00584EC1" w:rsidRDefault="00584EC1">
            <w:pPr>
              <w:rPr>
                <w:rFonts w:ascii="宋体"/>
                <w:vanish/>
              </w:rPr>
            </w:pPr>
          </w:p>
        </w:tc>
        <w:tc>
          <w:tcPr>
            <w:tcW w:w="0" w:type="auto"/>
            <w:gridSpan w:val="3"/>
            <w:shd w:val="clear" w:color="auto" w:fill="auto"/>
            <w:vAlign w:val="bottom"/>
          </w:tcPr>
          <w:p w14:paraId="74DDC18F" w14:textId="77777777" w:rsidR="00584EC1" w:rsidRDefault="00584EC1">
            <w:pPr>
              <w:rPr>
                <w:rFonts w:ascii="宋体"/>
                <w:vanish/>
              </w:rPr>
            </w:pPr>
          </w:p>
        </w:tc>
        <w:tc>
          <w:tcPr>
            <w:tcW w:w="0" w:type="auto"/>
            <w:gridSpan w:val="2"/>
            <w:shd w:val="clear" w:color="auto" w:fill="auto"/>
            <w:vAlign w:val="bottom"/>
          </w:tcPr>
          <w:p w14:paraId="74DDC190" w14:textId="77777777" w:rsidR="00584EC1" w:rsidRDefault="00584EC1">
            <w:pPr>
              <w:rPr>
                <w:rFonts w:ascii="宋体"/>
                <w:vanish/>
              </w:rPr>
            </w:pPr>
          </w:p>
        </w:tc>
        <w:tc>
          <w:tcPr>
            <w:tcW w:w="0" w:type="auto"/>
            <w:shd w:val="clear" w:color="auto" w:fill="auto"/>
            <w:vAlign w:val="bottom"/>
          </w:tcPr>
          <w:p w14:paraId="74DDC191" w14:textId="77777777" w:rsidR="00584EC1" w:rsidRDefault="00584EC1">
            <w:pPr>
              <w:rPr>
                <w:rFonts w:ascii="宋体"/>
                <w:vanish/>
              </w:rPr>
            </w:pPr>
          </w:p>
        </w:tc>
      </w:tr>
      <w:tr w:rsidR="00584EC1" w14:paraId="74DDC1A9" w14:textId="77777777">
        <w:trPr>
          <w:hidden/>
        </w:trPr>
        <w:tc>
          <w:tcPr>
            <w:tcW w:w="0" w:type="auto"/>
            <w:gridSpan w:val="3"/>
            <w:shd w:val="clear" w:color="auto" w:fill="auto"/>
            <w:vAlign w:val="bottom"/>
          </w:tcPr>
          <w:p w14:paraId="74DDC193" w14:textId="77777777" w:rsidR="00584EC1" w:rsidRDefault="00584EC1">
            <w:pPr>
              <w:rPr>
                <w:rFonts w:ascii="宋体"/>
                <w:vanish/>
              </w:rPr>
            </w:pPr>
          </w:p>
        </w:tc>
        <w:tc>
          <w:tcPr>
            <w:tcW w:w="0" w:type="auto"/>
            <w:gridSpan w:val="3"/>
            <w:shd w:val="clear" w:color="auto" w:fill="auto"/>
            <w:vAlign w:val="bottom"/>
          </w:tcPr>
          <w:p w14:paraId="74DDC194" w14:textId="77777777" w:rsidR="00584EC1" w:rsidRDefault="00584EC1">
            <w:pPr>
              <w:rPr>
                <w:rFonts w:ascii="宋体"/>
                <w:vanish/>
              </w:rPr>
            </w:pPr>
          </w:p>
        </w:tc>
        <w:tc>
          <w:tcPr>
            <w:tcW w:w="0" w:type="auto"/>
            <w:gridSpan w:val="3"/>
            <w:shd w:val="clear" w:color="auto" w:fill="auto"/>
            <w:vAlign w:val="bottom"/>
          </w:tcPr>
          <w:p w14:paraId="74DDC195" w14:textId="77777777" w:rsidR="00584EC1" w:rsidRDefault="00584EC1">
            <w:pPr>
              <w:rPr>
                <w:rFonts w:ascii="宋体"/>
                <w:vanish/>
              </w:rPr>
            </w:pPr>
          </w:p>
        </w:tc>
        <w:tc>
          <w:tcPr>
            <w:tcW w:w="0" w:type="auto"/>
            <w:gridSpan w:val="3"/>
            <w:shd w:val="clear" w:color="auto" w:fill="auto"/>
            <w:vAlign w:val="bottom"/>
          </w:tcPr>
          <w:p w14:paraId="74DDC196" w14:textId="77777777" w:rsidR="00584EC1" w:rsidRDefault="00584EC1">
            <w:pPr>
              <w:rPr>
                <w:rFonts w:ascii="宋体"/>
                <w:vanish/>
              </w:rPr>
            </w:pPr>
          </w:p>
        </w:tc>
        <w:tc>
          <w:tcPr>
            <w:tcW w:w="0" w:type="auto"/>
            <w:gridSpan w:val="3"/>
            <w:shd w:val="clear" w:color="auto" w:fill="auto"/>
            <w:vAlign w:val="bottom"/>
          </w:tcPr>
          <w:p w14:paraId="74DDC197" w14:textId="77777777" w:rsidR="00584EC1" w:rsidRDefault="00584EC1">
            <w:pPr>
              <w:rPr>
                <w:rFonts w:ascii="宋体"/>
                <w:vanish/>
              </w:rPr>
            </w:pPr>
          </w:p>
        </w:tc>
        <w:tc>
          <w:tcPr>
            <w:tcW w:w="0" w:type="auto"/>
            <w:gridSpan w:val="3"/>
            <w:shd w:val="clear" w:color="auto" w:fill="auto"/>
            <w:vAlign w:val="bottom"/>
          </w:tcPr>
          <w:p w14:paraId="74DDC198" w14:textId="77777777" w:rsidR="00584EC1" w:rsidRDefault="00584EC1">
            <w:pPr>
              <w:rPr>
                <w:rFonts w:ascii="宋体"/>
                <w:vanish/>
              </w:rPr>
            </w:pPr>
          </w:p>
        </w:tc>
        <w:tc>
          <w:tcPr>
            <w:tcW w:w="0" w:type="auto"/>
            <w:gridSpan w:val="3"/>
            <w:shd w:val="clear" w:color="auto" w:fill="auto"/>
            <w:vAlign w:val="bottom"/>
          </w:tcPr>
          <w:p w14:paraId="74DDC199" w14:textId="77777777" w:rsidR="00584EC1" w:rsidRDefault="00584EC1">
            <w:pPr>
              <w:rPr>
                <w:rFonts w:ascii="宋体"/>
                <w:vanish/>
              </w:rPr>
            </w:pPr>
          </w:p>
        </w:tc>
        <w:tc>
          <w:tcPr>
            <w:tcW w:w="0" w:type="auto"/>
            <w:gridSpan w:val="3"/>
            <w:shd w:val="clear" w:color="auto" w:fill="auto"/>
            <w:vAlign w:val="bottom"/>
          </w:tcPr>
          <w:p w14:paraId="74DDC19A" w14:textId="77777777" w:rsidR="00584EC1" w:rsidRDefault="00584EC1">
            <w:pPr>
              <w:rPr>
                <w:rFonts w:ascii="宋体"/>
                <w:vanish/>
              </w:rPr>
            </w:pPr>
          </w:p>
        </w:tc>
        <w:tc>
          <w:tcPr>
            <w:tcW w:w="0" w:type="auto"/>
            <w:gridSpan w:val="3"/>
            <w:shd w:val="clear" w:color="auto" w:fill="auto"/>
            <w:vAlign w:val="bottom"/>
          </w:tcPr>
          <w:p w14:paraId="74DDC19B" w14:textId="77777777" w:rsidR="00584EC1" w:rsidRDefault="00584EC1">
            <w:pPr>
              <w:rPr>
                <w:rFonts w:ascii="宋体"/>
                <w:vanish/>
              </w:rPr>
            </w:pPr>
          </w:p>
        </w:tc>
        <w:tc>
          <w:tcPr>
            <w:tcW w:w="0" w:type="auto"/>
            <w:shd w:val="clear" w:color="auto" w:fill="auto"/>
            <w:vAlign w:val="bottom"/>
          </w:tcPr>
          <w:p w14:paraId="74DDC19C" w14:textId="77777777" w:rsidR="00584EC1" w:rsidRDefault="00584EC1">
            <w:pPr>
              <w:rPr>
                <w:rFonts w:ascii="宋体"/>
                <w:vanish/>
              </w:rPr>
            </w:pPr>
          </w:p>
        </w:tc>
        <w:tc>
          <w:tcPr>
            <w:tcW w:w="0" w:type="auto"/>
            <w:shd w:val="clear" w:color="auto" w:fill="auto"/>
            <w:vAlign w:val="bottom"/>
          </w:tcPr>
          <w:p w14:paraId="74DDC19D" w14:textId="77777777" w:rsidR="00584EC1" w:rsidRDefault="00584EC1">
            <w:pPr>
              <w:rPr>
                <w:rFonts w:ascii="宋体"/>
                <w:vanish/>
              </w:rPr>
            </w:pPr>
          </w:p>
        </w:tc>
        <w:tc>
          <w:tcPr>
            <w:tcW w:w="0" w:type="auto"/>
            <w:gridSpan w:val="3"/>
            <w:shd w:val="clear" w:color="auto" w:fill="auto"/>
            <w:vAlign w:val="bottom"/>
          </w:tcPr>
          <w:p w14:paraId="74DDC19E" w14:textId="77777777" w:rsidR="00584EC1" w:rsidRDefault="00584EC1">
            <w:pPr>
              <w:rPr>
                <w:rFonts w:ascii="宋体"/>
                <w:vanish/>
              </w:rPr>
            </w:pPr>
          </w:p>
        </w:tc>
        <w:tc>
          <w:tcPr>
            <w:tcW w:w="0" w:type="auto"/>
            <w:gridSpan w:val="3"/>
            <w:shd w:val="clear" w:color="auto" w:fill="auto"/>
            <w:vAlign w:val="bottom"/>
          </w:tcPr>
          <w:p w14:paraId="74DDC19F" w14:textId="77777777" w:rsidR="00584EC1" w:rsidRDefault="00584EC1">
            <w:pPr>
              <w:rPr>
                <w:rFonts w:ascii="宋体"/>
                <w:vanish/>
              </w:rPr>
            </w:pPr>
          </w:p>
        </w:tc>
        <w:tc>
          <w:tcPr>
            <w:tcW w:w="0" w:type="auto"/>
            <w:gridSpan w:val="3"/>
            <w:shd w:val="clear" w:color="auto" w:fill="auto"/>
            <w:vAlign w:val="bottom"/>
          </w:tcPr>
          <w:p w14:paraId="74DDC1A0" w14:textId="77777777" w:rsidR="00584EC1" w:rsidRDefault="00584EC1">
            <w:pPr>
              <w:rPr>
                <w:rFonts w:ascii="宋体"/>
                <w:vanish/>
              </w:rPr>
            </w:pPr>
          </w:p>
        </w:tc>
        <w:tc>
          <w:tcPr>
            <w:tcW w:w="0" w:type="auto"/>
            <w:gridSpan w:val="3"/>
            <w:shd w:val="clear" w:color="auto" w:fill="auto"/>
            <w:vAlign w:val="bottom"/>
          </w:tcPr>
          <w:p w14:paraId="74DDC1A1" w14:textId="77777777" w:rsidR="00584EC1" w:rsidRDefault="00584EC1">
            <w:pPr>
              <w:rPr>
                <w:rFonts w:ascii="宋体"/>
                <w:vanish/>
              </w:rPr>
            </w:pPr>
          </w:p>
        </w:tc>
        <w:tc>
          <w:tcPr>
            <w:tcW w:w="0" w:type="auto"/>
            <w:gridSpan w:val="3"/>
            <w:shd w:val="clear" w:color="auto" w:fill="auto"/>
            <w:vAlign w:val="bottom"/>
          </w:tcPr>
          <w:p w14:paraId="74DDC1A2" w14:textId="77777777" w:rsidR="00584EC1" w:rsidRDefault="00584EC1">
            <w:pPr>
              <w:rPr>
                <w:rFonts w:ascii="宋体"/>
                <w:vanish/>
              </w:rPr>
            </w:pPr>
          </w:p>
        </w:tc>
        <w:tc>
          <w:tcPr>
            <w:tcW w:w="0" w:type="auto"/>
            <w:gridSpan w:val="3"/>
            <w:shd w:val="clear" w:color="auto" w:fill="auto"/>
            <w:vAlign w:val="bottom"/>
          </w:tcPr>
          <w:p w14:paraId="74DDC1A3" w14:textId="77777777" w:rsidR="00584EC1" w:rsidRDefault="00584EC1">
            <w:pPr>
              <w:rPr>
                <w:rFonts w:ascii="宋体"/>
                <w:vanish/>
              </w:rPr>
            </w:pPr>
          </w:p>
        </w:tc>
        <w:tc>
          <w:tcPr>
            <w:tcW w:w="0" w:type="auto"/>
            <w:gridSpan w:val="3"/>
            <w:shd w:val="clear" w:color="auto" w:fill="auto"/>
            <w:vAlign w:val="bottom"/>
          </w:tcPr>
          <w:p w14:paraId="74DDC1A4" w14:textId="77777777" w:rsidR="00584EC1" w:rsidRDefault="00584EC1">
            <w:pPr>
              <w:rPr>
                <w:rFonts w:ascii="宋体"/>
                <w:vanish/>
              </w:rPr>
            </w:pPr>
          </w:p>
        </w:tc>
        <w:tc>
          <w:tcPr>
            <w:tcW w:w="0" w:type="auto"/>
            <w:gridSpan w:val="3"/>
            <w:shd w:val="clear" w:color="auto" w:fill="auto"/>
            <w:vAlign w:val="bottom"/>
          </w:tcPr>
          <w:p w14:paraId="74DDC1A5" w14:textId="77777777" w:rsidR="00584EC1" w:rsidRDefault="00584EC1">
            <w:pPr>
              <w:rPr>
                <w:rFonts w:ascii="宋体"/>
                <w:vanish/>
              </w:rPr>
            </w:pPr>
          </w:p>
        </w:tc>
        <w:tc>
          <w:tcPr>
            <w:tcW w:w="0" w:type="auto"/>
            <w:gridSpan w:val="3"/>
            <w:shd w:val="clear" w:color="auto" w:fill="auto"/>
            <w:vAlign w:val="bottom"/>
          </w:tcPr>
          <w:p w14:paraId="74DDC1A6" w14:textId="77777777" w:rsidR="00584EC1" w:rsidRDefault="00584EC1">
            <w:pPr>
              <w:rPr>
                <w:rFonts w:ascii="宋体"/>
                <w:vanish/>
              </w:rPr>
            </w:pPr>
          </w:p>
        </w:tc>
        <w:tc>
          <w:tcPr>
            <w:tcW w:w="0" w:type="auto"/>
            <w:gridSpan w:val="2"/>
            <w:shd w:val="clear" w:color="auto" w:fill="auto"/>
            <w:vAlign w:val="bottom"/>
          </w:tcPr>
          <w:p w14:paraId="74DDC1A7" w14:textId="77777777" w:rsidR="00584EC1" w:rsidRDefault="00584EC1">
            <w:pPr>
              <w:rPr>
                <w:rFonts w:ascii="宋体"/>
                <w:vanish/>
              </w:rPr>
            </w:pPr>
          </w:p>
        </w:tc>
        <w:tc>
          <w:tcPr>
            <w:tcW w:w="0" w:type="auto"/>
            <w:shd w:val="clear" w:color="auto" w:fill="auto"/>
            <w:vAlign w:val="bottom"/>
          </w:tcPr>
          <w:p w14:paraId="74DDC1A8" w14:textId="77777777" w:rsidR="00584EC1" w:rsidRDefault="00584EC1">
            <w:pPr>
              <w:rPr>
                <w:rFonts w:ascii="宋体"/>
                <w:vanish/>
              </w:rPr>
            </w:pPr>
          </w:p>
        </w:tc>
      </w:tr>
      <w:tr w:rsidR="00584EC1" w14:paraId="74DDC1C9" w14:textId="77777777">
        <w:tc>
          <w:tcPr>
            <w:tcW w:w="0" w:type="auto"/>
            <w:gridSpan w:val="3"/>
            <w:shd w:val="clear" w:color="auto" w:fill="FFFFFF"/>
            <w:tcMar>
              <w:top w:w="40" w:type="dxa"/>
              <w:left w:w="20" w:type="dxa"/>
              <w:bottom w:w="40" w:type="dxa"/>
              <w:right w:w="20" w:type="dxa"/>
            </w:tcMar>
            <w:vAlign w:val="center"/>
          </w:tcPr>
          <w:p w14:paraId="74DDC1AA" w14:textId="77777777" w:rsidR="00584EC1" w:rsidRDefault="00871F8D">
            <w:pPr>
              <w:textAlignment w:val="center"/>
            </w:pPr>
            <w:r>
              <w:rPr>
                <w:rFonts w:ascii="Arial" w:eastAsia="宋体" w:hAnsi="Arial" w:cs="Arial"/>
                <w:color w:val="000000"/>
                <w:sz w:val="12"/>
                <w:szCs w:val="12"/>
              </w:rPr>
              <w:t>Total derivative instruments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4DDC1AB" w14:textId="77777777" w:rsidR="00584EC1" w:rsidRDefault="00871F8D">
            <w:pPr>
              <w:jc w:val="right"/>
              <w:textAlignment w:val="center"/>
            </w:pPr>
            <w:r>
              <w:rPr>
                <w:rFonts w:ascii="Arial" w:eastAsia="宋体" w:hAnsi="Arial" w:cs="Arial"/>
                <w:b/>
                <w:bCs/>
                <w:color w:val="000000"/>
                <w:sz w:val="12"/>
                <w:szCs w:val="12"/>
              </w:rPr>
              <w:t>2</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4DDC1A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1AD"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4DDC1AE" w14:textId="77777777" w:rsidR="00584EC1" w:rsidRDefault="00871F8D">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4DDC1A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1B0"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4DDC1B1" w14:textId="77777777" w:rsidR="00584EC1" w:rsidRDefault="00871F8D">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4DDC1B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1B3"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4DDC1B4" w14:textId="77777777" w:rsidR="00584EC1" w:rsidRDefault="00871F8D">
            <w:pPr>
              <w:jc w:val="right"/>
              <w:textAlignment w:val="center"/>
            </w:pPr>
            <w:r>
              <w:rPr>
                <w:rFonts w:ascii="Arial" w:eastAsia="宋体" w:hAnsi="Arial" w:cs="Arial"/>
                <w:b/>
                <w:bCs/>
                <w:color w:val="000000"/>
                <w:sz w:val="12"/>
                <w:szCs w:val="12"/>
              </w:rPr>
              <w:t>1</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4DDC1B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1B6" w14:textId="77777777" w:rsidR="00584EC1" w:rsidRDefault="00584EC1">
            <w:pPr>
              <w:rPr>
                <w:rFonts w:ascii="宋体"/>
              </w:rPr>
            </w:pPr>
          </w:p>
        </w:tc>
        <w:tc>
          <w:tcPr>
            <w:tcW w:w="0" w:type="auto"/>
            <w:shd w:val="clear" w:color="auto" w:fill="auto"/>
            <w:vAlign w:val="bottom"/>
          </w:tcPr>
          <w:p w14:paraId="74DDC1B7" w14:textId="77777777" w:rsidR="00584EC1" w:rsidRDefault="00584EC1">
            <w:pPr>
              <w:rPr>
                <w:rFonts w:ascii="宋体"/>
                <w:vanish/>
              </w:rPr>
            </w:pPr>
          </w:p>
        </w:tc>
        <w:tc>
          <w:tcPr>
            <w:tcW w:w="0" w:type="auto"/>
            <w:shd w:val="clear" w:color="auto" w:fill="auto"/>
            <w:vAlign w:val="bottom"/>
          </w:tcPr>
          <w:p w14:paraId="74DDC1B8" w14:textId="77777777" w:rsidR="00584EC1" w:rsidRDefault="00584EC1">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4DDC1B9" w14:textId="77777777" w:rsidR="00584EC1" w:rsidRDefault="00871F8D">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4DDC1B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1BB"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4DDC1BC" w14:textId="77777777" w:rsidR="00584EC1" w:rsidRDefault="00871F8D">
            <w:pPr>
              <w:jc w:val="right"/>
              <w:textAlignment w:val="center"/>
            </w:pPr>
            <w:r>
              <w:rPr>
                <w:rFonts w:ascii="Arial" w:eastAsia="宋体" w:hAnsi="Arial" w:cs="Arial"/>
                <w:b/>
                <w:bCs/>
                <w:color w:val="000000"/>
                <w:sz w:val="12"/>
                <w:szCs w:val="12"/>
              </w:rPr>
              <w:t>(1)</w:t>
            </w:r>
          </w:p>
        </w:tc>
        <w:tc>
          <w:tcPr>
            <w:tcW w:w="0" w:type="auto"/>
            <w:tcBorders>
              <w:top w:val="single" w:sz="8" w:space="0" w:color="000000"/>
            </w:tcBorders>
            <w:shd w:val="clear" w:color="auto" w:fill="FFFFFF"/>
            <w:tcMar>
              <w:top w:w="40" w:type="dxa"/>
              <w:left w:w="0" w:type="dxa"/>
              <w:bottom w:w="40" w:type="dxa"/>
              <w:right w:w="20" w:type="dxa"/>
            </w:tcMar>
            <w:vAlign w:val="center"/>
          </w:tcPr>
          <w:p w14:paraId="74DDC1B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1BE"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4DDC1BF" w14:textId="77777777" w:rsidR="00584EC1" w:rsidRDefault="00871F8D">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4DDC1C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1C1"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4DDC1C2" w14:textId="77777777" w:rsidR="00584EC1" w:rsidRDefault="00871F8D">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4DDC1C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1C4"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4DDC1C5" w14:textId="77777777" w:rsidR="00584EC1" w:rsidRDefault="00871F8D">
            <w:pPr>
              <w:jc w:val="right"/>
              <w:textAlignment w:val="center"/>
            </w:pPr>
            <w:r>
              <w:rPr>
                <w:rFonts w:ascii="Arial" w:eastAsia="宋体" w:hAnsi="Arial" w:cs="Arial"/>
                <w:b/>
                <w:bCs/>
                <w:color w:val="000000"/>
                <w:sz w:val="12"/>
                <w:szCs w:val="12"/>
              </w:rPr>
              <w:t>2</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4DDC1C6" w14:textId="77777777" w:rsidR="00584EC1" w:rsidRDefault="00584EC1">
            <w:pPr>
              <w:jc w:val="right"/>
              <w:rPr>
                <w:rFonts w:ascii="宋体"/>
              </w:rPr>
            </w:pPr>
          </w:p>
        </w:tc>
        <w:tc>
          <w:tcPr>
            <w:tcW w:w="0" w:type="auto"/>
            <w:gridSpan w:val="2"/>
            <w:shd w:val="clear" w:color="auto" w:fill="FFFFFF"/>
            <w:tcMar>
              <w:top w:w="0" w:type="dxa"/>
              <w:left w:w="20" w:type="dxa"/>
              <w:bottom w:w="0" w:type="dxa"/>
              <w:right w:w="20" w:type="dxa"/>
            </w:tcMar>
            <w:vAlign w:val="bottom"/>
          </w:tcPr>
          <w:p w14:paraId="74DDC1C7"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4DDC1C8" w14:textId="77777777" w:rsidR="00584EC1" w:rsidRDefault="00871F8D">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r>
      <w:tr w:rsidR="00871F8D" w14:paraId="74DDC1F3" w14:textId="77777777">
        <w:tc>
          <w:tcPr>
            <w:tcW w:w="0" w:type="auto"/>
            <w:gridSpan w:val="3"/>
            <w:shd w:val="clear" w:color="auto" w:fill="CCEEFF"/>
            <w:tcMar>
              <w:top w:w="40" w:type="dxa"/>
              <w:left w:w="20" w:type="dxa"/>
              <w:bottom w:w="40" w:type="dxa"/>
              <w:right w:w="20" w:type="dxa"/>
            </w:tcMar>
            <w:vAlign w:val="center"/>
          </w:tcPr>
          <w:p w14:paraId="74DDC1CA" w14:textId="77777777" w:rsidR="00584EC1" w:rsidRDefault="00871F8D">
            <w:pPr>
              <w:textAlignment w:val="center"/>
            </w:pPr>
            <w:r>
              <w:rPr>
                <w:rFonts w:ascii="Arial" w:eastAsia="宋体" w:hAnsi="Arial" w:cs="Arial"/>
                <w:color w:val="000000"/>
                <w:sz w:val="12"/>
                <w:szCs w:val="12"/>
              </w:rPr>
              <w:t>Total assets c</w:t>
            </w:r>
            <w:r>
              <w:rPr>
                <w:rFonts w:ascii="Arial" w:eastAsia="宋体" w:hAnsi="Arial" w:cs="Arial"/>
                <w:color w:val="000000"/>
                <w:sz w:val="12"/>
                <w:szCs w:val="12"/>
              </w:rPr>
              <w:t>arried at fair value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4DDC1CB" w14:textId="77777777" w:rsidR="00584EC1" w:rsidRDefault="00871F8D">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4DDC1CC" w14:textId="77777777" w:rsidR="00584EC1" w:rsidRDefault="00871F8D">
            <w:pPr>
              <w:jc w:val="right"/>
              <w:textAlignment w:val="center"/>
            </w:pPr>
            <w:r>
              <w:rPr>
                <w:rFonts w:ascii="Arial" w:eastAsia="宋体" w:hAnsi="Arial" w:cs="Arial"/>
                <w:b/>
                <w:bCs/>
                <w:color w:val="000000"/>
                <w:sz w:val="12"/>
                <w:szCs w:val="12"/>
              </w:rPr>
              <w:t>2</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4DDC1C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1CE"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4DDC1CF" w14:textId="77777777" w:rsidR="00584EC1" w:rsidRDefault="00871F8D">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4DDC1D0" w14:textId="77777777" w:rsidR="00584EC1" w:rsidRDefault="00871F8D">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4DDC1D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1D2"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4DDC1D3" w14:textId="77777777" w:rsidR="00584EC1" w:rsidRDefault="00871F8D">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4DDC1D4" w14:textId="77777777" w:rsidR="00584EC1" w:rsidRDefault="00871F8D">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4DDC1D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1D6"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4DDC1D7" w14:textId="77777777" w:rsidR="00584EC1" w:rsidRDefault="00871F8D">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4DDC1D8" w14:textId="77777777" w:rsidR="00584EC1" w:rsidRDefault="00871F8D">
            <w:pPr>
              <w:jc w:val="right"/>
              <w:textAlignment w:val="center"/>
            </w:pPr>
            <w:r>
              <w:rPr>
                <w:rFonts w:ascii="Arial" w:eastAsia="宋体" w:hAnsi="Arial" w:cs="Arial"/>
                <w:b/>
                <w:bCs/>
                <w:color w:val="000000"/>
                <w:sz w:val="12"/>
                <w:szCs w:val="12"/>
              </w:rPr>
              <w:t>1</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4DDC1D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1DA" w14:textId="77777777" w:rsidR="00584EC1" w:rsidRDefault="00584EC1">
            <w:pPr>
              <w:rPr>
                <w:rFonts w:ascii="宋体"/>
              </w:rPr>
            </w:pPr>
          </w:p>
        </w:tc>
        <w:tc>
          <w:tcPr>
            <w:tcW w:w="0" w:type="auto"/>
            <w:shd w:val="clear" w:color="auto" w:fill="auto"/>
            <w:vAlign w:val="bottom"/>
          </w:tcPr>
          <w:p w14:paraId="74DDC1DB" w14:textId="77777777" w:rsidR="00584EC1" w:rsidRDefault="00584EC1">
            <w:pPr>
              <w:rPr>
                <w:rFonts w:ascii="宋体"/>
                <w:vanish/>
              </w:rPr>
            </w:pPr>
          </w:p>
        </w:tc>
        <w:tc>
          <w:tcPr>
            <w:tcW w:w="0" w:type="auto"/>
            <w:shd w:val="clear" w:color="auto" w:fill="auto"/>
            <w:vAlign w:val="bottom"/>
          </w:tcPr>
          <w:p w14:paraId="74DDC1DC" w14:textId="77777777" w:rsidR="00584EC1" w:rsidRDefault="00584EC1">
            <w:pPr>
              <w:rPr>
                <w:rFonts w:ascii="宋体"/>
                <w:vanish/>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4DDC1DD" w14:textId="77777777" w:rsidR="00584EC1" w:rsidRDefault="00871F8D">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4DDC1DE" w14:textId="77777777" w:rsidR="00584EC1" w:rsidRDefault="00871F8D">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4DDC1D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1E0"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4DDC1E1" w14:textId="77777777" w:rsidR="00584EC1" w:rsidRDefault="00871F8D">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4DDC1E2" w14:textId="77777777" w:rsidR="00584EC1" w:rsidRDefault="00871F8D">
            <w:pPr>
              <w:jc w:val="right"/>
              <w:textAlignment w:val="center"/>
            </w:pPr>
            <w:r>
              <w:rPr>
                <w:rFonts w:ascii="Arial" w:eastAsia="宋体" w:hAnsi="Arial" w:cs="Arial"/>
                <w:b/>
                <w:bCs/>
                <w:color w:val="000000"/>
                <w:sz w:val="12"/>
                <w:szCs w:val="12"/>
              </w:rPr>
              <w:t>(1)</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4DDC1E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1E4"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4DDC1E5" w14:textId="77777777" w:rsidR="00584EC1" w:rsidRDefault="00871F8D">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4DDC1E6" w14:textId="77777777" w:rsidR="00584EC1" w:rsidRDefault="00871F8D">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4DDC1E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1E8"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4DDC1E9" w14:textId="77777777" w:rsidR="00584EC1" w:rsidRDefault="00871F8D">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4DDC1EA" w14:textId="77777777" w:rsidR="00584EC1" w:rsidRDefault="00871F8D">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4DDC1E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1EC"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4DDC1ED" w14:textId="77777777" w:rsidR="00584EC1" w:rsidRDefault="00871F8D">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4DDC1EE" w14:textId="77777777" w:rsidR="00584EC1" w:rsidRDefault="00871F8D">
            <w:pPr>
              <w:jc w:val="right"/>
              <w:textAlignment w:val="center"/>
            </w:pPr>
            <w:r>
              <w:rPr>
                <w:rFonts w:ascii="Arial" w:eastAsia="宋体" w:hAnsi="Arial" w:cs="Arial"/>
                <w:b/>
                <w:bCs/>
                <w:color w:val="000000"/>
                <w:sz w:val="12"/>
                <w:szCs w:val="12"/>
              </w:rPr>
              <w:t>2</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4DDC1EF" w14:textId="77777777" w:rsidR="00584EC1" w:rsidRDefault="00584EC1">
            <w:pPr>
              <w:jc w:val="right"/>
              <w:rPr>
                <w:rFonts w:ascii="宋体"/>
              </w:rPr>
            </w:pPr>
          </w:p>
        </w:tc>
        <w:tc>
          <w:tcPr>
            <w:tcW w:w="0" w:type="auto"/>
            <w:gridSpan w:val="2"/>
            <w:shd w:val="clear" w:color="auto" w:fill="CCEEFF"/>
            <w:tcMar>
              <w:top w:w="0" w:type="dxa"/>
              <w:left w:w="20" w:type="dxa"/>
              <w:bottom w:w="0" w:type="dxa"/>
              <w:right w:w="20" w:type="dxa"/>
            </w:tcMar>
            <w:vAlign w:val="bottom"/>
          </w:tcPr>
          <w:p w14:paraId="74DDC1F0"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4DDC1F1" w14:textId="77777777" w:rsidR="00584EC1" w:rsidRDefault="00871F8D">
            <w:pPr>
              <w:textAlignment w:val="center"/>
            </w:pPr>
            <w:r>
              <w:rPr>
                <w:rFonts w:ascii="Arial" w:eastAsia="宋体" w:hAnsi="Arial" w:cs="Arial"/>
                <w:b/>
                <w:bCs/>
                <w:color w:val="000000"/>
                <w:sz w:val="12"/>
                <w:szCs w:val="12"/>
              </w:rPr>
              <w:t>$</w:t>
            </w:r>
          </w:p>
          <w:p w14:paraId="74DDC1F2" w14:textId="77777777" w:rsidR="00584EC1" w:rsidRDefault="00871F8D">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r>
    </w:tbl>
    <w:p w14:paraId="74DDC1F4" w14:textId="77777777" w:rsidR="00584EC1" w:rsidRDefault="00584E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100"/>
        <w:gridCol w:w="36"/>
        <w:gridCol w:w="69"/>
        <w:gridCol w:w="1504"/>
        <w:gridCol w:w="36"/>
        <w:gridCol w:w="70"/>
        <w:gridCol w:w="3076"/>
        <w:gridCol w:w="36"/>
      </w:tblGrid>
      <w:tr w:rsidR="00584EC1" w14:paraId="74DDC201" w14:textId="77777777">
        <w:tc>
          <w:tcPr>
            <w:tcW w:w="50" w:type="pct"/>
            <w:shd w:val="clear" w:color="auto" w:fill="auto"/>
            <w:vAlign w:val="bottom"/>
          </w:tcPr>
          <w:p w14:paraId="74DDC1F5" w14:textId="77777777" w:rsidR="00584EC1" w:rsidRDefault="00584EC1">
            <w:pPr>
              <w:rPr>
                <w:rFonts w:ascii="宋体"/>
              </w:rPr>
            </w:pPr>
          </w:p>
        </w:tc>
        <w:tc>
          <w:tcPr>
            <w:tcW w:w="1348" w:type="pct"/>
            <w:shd w:val="clear" w:color="auto" w:fill="auto"/>
            <w:vAlign w:val="bottom"/>
          </w:tcPr>
          <w:p w14:paraId="74DDC1F6" w14:textId="77777777" w:rsidR="00584EC1" w:rsidRDefault="00584EC1">
            <w:pPr>
              <w:rPr>
                <w:rFonts w:ascii="宋体"/>
              </w:rPr>
            </w:pPr>
          </w:p>
        </w:tc>
        <w:tc>
          <w:tcPr>
            <w:tcW w:w="5" w:type="pct"/>
            <w:shd w:val="clear" w:color="auto" w:fill="auto"/>
            <w:vAlign w:val="bottom"/>
          </w:tcPr>
          <w:p w14:paraId="74DDC1F7" w14:textId="77777777" w:rsidR="00584EC1" w:rsidRDefault="00584EC1">
            <w:pPr>
              <w:rPr>
                <w:rFonts w:ascii="宋体"/>
              </w:rPr>
            </w:pPr>
          </w:p>
        </w:tc>
        <w:tc>
          <w:tcPr>
            <w:tcW w:w="50" w:type="pct"/>
            <w:shd w:val="clear" w:color="auto" w:fill="auto"/>
            <w:vAlign w:val="bottom"/>
          </w:tcPr>
          <w:p w14:paraId="74DDC1F8" w14:textId="77777777" w:rsidR="00584EC1" w:rsidRDefault="00584EC1">
            <w:pPr>
              <w:rPr>
                <w:rFonts w:ascii="宋体"/>
              </w:rPr>
            </w:pPr>
          </w:p>
        </w:tc>
        <w:tc>
          <w:tcPr>
            <w:tcW w:w="668" w:type="pct"/>
            <w:shd w:val="clear" w:color="auto" w:fill="auto"/>
            <w:vAlign w:val="bottom"/>
          </w:tcPr>
          <w:p w14:paraId="74DDC1F9" w14:textId="77777777" w:rsidR="00584EC1" w:rsidRDefault="00584EC1">
            <w:pPr>
              <w:rPr>
                <w:rFonts w:ascii="宋体"/>
              </w:rPr>
            </w:pPr>
          </w:p>
        </w:tc>
        <w:tc>
          <w:tcPr>
            <w:tcW w:w="5" w:type="pct"/>
            <w:shd w:val="clear" w:color="auto" w:fill="auto"/>
            <w:vAlign w:val="bottom"/>
          </w:tcPr>
          <w:p w14:paraId="74DDC1FA" w14:textId="77777777" w:rsidR="00584EC1" w:rsidRDefault="00584EC1">
            <w:pPr>
              <w:rPr>
                <w:rFonts w:ascii="宋体"/>
              </w:rPr>
            </w:pPr>
          </w:p>
        </w:tc>
        <w:tc>
          <w:tcPr>
            <w:tcW w:w="50" w:type="pct"/>
            <w:shd w:val="clear" w:color="auto" w:fill="auto"/>
            <w:vAlign w:val="bottom"/>
          </w:tcPr>
          <w:p w14:paraId="74DDC1FB" w14:textId="77777777" w:rsidR="00584EC1" w:rsidRDefault="00584EC1">
            <w:pPr>
              <w:rPr>
                <w:rFonts w:ascii="宋体"/>
              </w:rPr>
            </w:pPr>
          </w:p>
        </w:tc>
        <w:tc>
          <w:tcPr>
            <w:tcW w:w="909" w:type="pct"/>
            <w:shd w:val="clear" w:color="auto" w:fill="auto"/>
            <w:vAlign w:val="bottom"/>
          </w:tcPr>
          <w:p w14:paraId="74DDC1FC" w14:textId="77777777" w:rsidR="00584EC1" w:rsidRDefault="00584EC1">
            <w:pPr>
              <w:rPr>
                <w:rFonts w:ascii="宋体"/>
              </w:rPr>
            </w:pPr>
          </w:p>
        </w:tc>
        <w:tc>
          <w:tcPr>
            <w:tcW w:w="5" w:type="pct"/>
            <w:shd w:val="clear" w:color="auto" w:fill="auto"/>
            <w:vAlign w:val="bottom"/>
          </w:tcPr>
          <w:p w14:paraId="74DDC1FD" w14:textId="77777777" w:rsidR="00584EC1" w:rsidRDefault="00584EC1">
            <w:pPr>
              <w:rPr>
                <w:rFonts w:ascii="宋体"/>
              </w:rPr>
            </w:pPr>
          </w:p>
        </w:tc>
        <w:tc>
          <w:tcPr>
            <w:tcW w:w="50" w:type="pct"/>
            <w:shd w:val="clear" w:color="auto" w:fill="auto"/>
            <w:vAlign w:val="bottom"/>
          </w:tcPr>
          <w:p w14:paraId="74DDC1FE" w14:textId="77777777" w:rsidR="00584EC1" w:rsidRDefault="00584EC1">
            <w:pPr>
              <w:rPr>
                <w:rFonts w:ascii="宋体"/>
              </w:rPr>
            </w:pPr>
          </w:p>
        </w:tc>
        <w:tc>
          <w:tcPr>
            <w:tcW w:w="1852" w:type="pct"/>
            <w:shd w:val="clear" w:color="auto" w:fill="auto"/>
            <w:vAlign w:val="bottom"/>
          </w:tcPr>
          <w:p w14:paraId="74DDC1FF" w14:textId="77777777" w:rsidR="00584EC1" w:rsidRDefault="00584EC1">
            <w:pPr>
              <w:rPr>
                <w:rFonts w:ascii="宋体"/>
              </w:rPr>
            </w:pPr>
          </w:p>
        </w:tc>
        <w:tc>
          <w:tcPr>
            <w:tcW w:w="5" w:type="pct"/>
            <w:shd w:val="clear" w:color="auto" w:fill="auto"/>
            <w:vAlign w:val="bottom"/>
          </w:tcPr>
          <w:p w14:paraId="74DDC200" w14:textId="77777777" w:rsidR="00584EC1" w:rsidRDefault="00584EC1">
            <w:pPr>
              <w:rPr>
                <w:rFonts w:ascii="宋体"/>
              </w:rPr>
            </w:pPr>
          </w:p>
        </w:tc>
      </w:tr>
      <w:tr w:rsidR="00584EC1" w14:paraId="74DDC206"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4DDC20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203"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204"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205" w14:textId="77777777" w:rsidR="00584EC1" w:rsidRDefault="00584EC1">
            <w:pPr>
              <w:rPr>
                <w:rFonts w:ascii="宋体"/>
              </w:rPr>
            </w:pPr>
          </w:p>
        </w:tc>
      </w:tr>
    </w:tbl>
    <w:p w14:paraId="74DDC207" w14:textId="77777777" w:rsidR="00584EC1" w:rsidRDefault="00871F8D">
      <w:pPr>
        <w:jc w:val="both"/>
      </w:pPr>
      <w:r>
        <w:rPr>
          <w:rFonts w:ascii="Arial" w:eastAsia="宋体" w:hAnsi="Arial" w:cs="Arial"/>
          <w:color w:val="000000"/>
          <w:sz w:val="7"/>
          <w:szCs w:val="7"/>
        </w:rPr>
        <w:t>(1)</w:t>
      </w:r>
      <w:r>
        <w:rPr>
          <w:rFonts w:ascii="Arial" w:eastAsia="宋体" w:hAnsi="Arial" w:cs="Arial"/>
          <w:color w:val="000000"/>
          <w:sz w:val="12"/>
          <w:szCs w:val="12"/>
        </w:rPr>
        <w:t xml:space="preserve"> Total realized and unrealized gains (losses) on derivative instruments are included within foreign exchange trading services.</w:t>
      </w:r>
    </w:p>
    <w:tbl>
      <w:tblPr>
        <w:tblW w:w="5000" w:type="pct"/>
        <w:tblCellMar>
          <w:top w:w="15" w:type="dxa"/>
          <w:left w:w="15" w:type="dxa"/>
          <w:bottom w:w="15" w:type="dxa"/>
          <w:right w:w="15" w:type="dxa"/>
        </w:tblCellMar>
        <w:tblLook w:val="04A0" w:firstRow="1" w:lastRow="0" w:firstColumn="1" w:lastColumn="0" w:noHBand="0" w:noVBand="1"/>
      </w:tblPr>
      <w:tblGrid>
        <w:gridCol w:w="67"/>
        <w:gridCol w:w="840"/>
        <w:gridCol w:w="35"/>
        <w:gridCol w:w="84"/>
        <w:gridCol w:w="505"/>
        <w:gridCol w:w="35"/>
        <w:gridCol w:w="36"/>
        <w:gridCol w:w="35"/>
        <w:gridCol w:w="35"/>
        <w:gridCol w:w="88"/>
        <w:gridCol w:w="523"/>
        <w:gridCol w:w="36"/>
        <w:gridCol w:w="37"/>
        <w:gridCol w:w="36"/>
        <w:gridCol w:w="36"/>
        <w:gridCol w:w="93"/>
        <w:gridCol w:w="777"/>
        <w:gridCol w:w="36"/>
        <w:gridCol w:w="36"/>
        <w:gridCol w:w="36"/>
        <w:gridCol w:w="36"/>
        <w:gridCol w:w="89"/>
        <w:gridCol w:w="509"/>
        <w:gridCol w:w="36"/>
        <w:gridCol w:w="36"/>
        <w:gridCol w:w="36"/>
        <w:gridCol w:w="36"/>
        <w:gridCol w:w="36"/>
        <w:gridCol w:w="36"/>
        <w:gridCol w:w="85"/>
        <w:gridCol w:w="260"/>
        <w:gridCol w:w="36"/>
        <w:gridCol w:w="36"/>
        <w:gridCol w:w="36"/>
        <w:gridCol w:w="36"/>
        <w:gridCol w:w="90"/>
        <w:gridCol w:w="575"/>
        <w:gridCol w:w="36"/>
        <w:gridCol w:w="36"/>
        <w:gridCol w:w="36"/>
        <w:gridCol w:w="36"/>
        <w:gridCol w:w="88"/>
        <w:gridCol w:w="453"/>
        <w:gridCol w:w="36"/>
        <w:gridCol w:w="36"/>
        <w:gridCol w:w="36"/>
        <w:gridCol w:w="36"/>
        <w:gridCol w:w="88"/>
        <w:gridCol w:w="453"/>
        <w:gridCol w:w="36"/>
        <w:gridCol w:w="36"/>
        <w:gridCol w:w="36"/>
        <w:gridCol w:w="36"/>
        <w:gridCol w:w="85"/>
        <w:gridCol w:w="542"/>
        <w:gridCol w:w="36"/>
        <w:gridCol w:w="36"/>
        <w:gridCol w:w="36"/>
        <w:gridCol w:w="677"/>
      </w:tblGrid>
      <w:tr w:rsidR="00584EC1" w14:paraId="74DDC243" w14:textId="77777777">
        <w:tc>
          <w:tcPr>
            <w:tcW w:w="50" w:type="pct"/>
            <w:shd w:val="clear" w:color="auto" w:fill="auto"/>
            <w:vAlign w:val="bottom"/>
          </w:tcPr>
          <w:p w14:paraId="74DDC208" w14:textId="77777777" w:rsidR="00584EC1" w:rsidRDefault="00584EC1">
            <w:pPr>
              <w:rPr>
                <w:rFonts w:ascii="宋体"/>
              </w:rPr>
            </w:pPr>
          </w:p>
        </w:tc>
        <w:tc>
          <w:tcPr>
            <w:tcW w:w="771" w:type="pct"/>
            <w:shd w:val="clear" w:color="auto" w:fill="auto"/>
            <w:vAlign w:val="bottom"/>
          </w:tcPr>
          <w:p w14:paraId="74DDC209" w14:textId="77777777" w:rsidR="00584EC1" w:rsidRDefault="00584EC1">
            <w:pPr>
              <w:rPr>
                <w:rFonts w:ascii="宋体"/>
              </w:rPr>
            </w:pPr>
          </w:p>
        </w:tc>
        <w:tc>
          <w:tcPr>
            <w:tcW w:w="5" w:type="pct"/>
            <w:shd w:val="clear" w:color="auto" w:fill="auto"/>
            <w:vAlign w:val="bottom"/>
          </w:tcPr>
          <w:p w14:paraId="74DDC20A" w14:textId="77777777" w:rsidR="00584EC1" w:rsidRDefault="00584EC1">
            <w:pPr>
              <w:rPr>
                <w:rFonts w:ascii="宋体"/>
              </w:rPr>
            </w:pPr>
          </w:p>
        </w:tc>
        <w:tc>
          <w:tcPr>
            <w:tcW w:w="50" w:type="pct"/>
            <w:shd w:val="clear" w:color="auto" w:fill="auto"/>
            <w:vAlign w:val="bottom"/>
          </w:tcPr>
          <w:p w14:paraId="74DDC20B" w14:textId="77777777" w:rsidR="00584EC1" w:rsidRDefault="00584EC1">
            <w:pPr>
              <w:rPr>
                <w:rFonts w:ascii="宋体"/>
              </w:rPr>
            </w:pPr>
          </w:p>
        </w:tc>
        <w:tc>
          <w:tcPr>
            <w:tcW w:w="383" w:type="pct"/>
            <w:shd w:val="clear" w:color="auto" w:fill="auto"/>
            <w:vAlign w:val="bottom"/>
          </w:tcPr>
          <w:p w14:paraId="74DDC20C" w14:textId="77777777" w:rsidR="00584EC1" w:rsidRDefault="00584EC1">
            <w:pPr>
              <w:rPr>
                <w:rFonts w:ascii="宋体"/>
              </w:rPr>
            </w:pPr>
          </w:p>
        </w:tc>
        <w:tc>
          <w:tcPr>
            <w:tcW w:w="5" w:type="pct"/>
            <w:shd w:val="clear" w:color="auto" w:fill="auto"/>
            <w:vAlign w:val="bottom"/>
          </w:tcPr>
          <w:p w14:paraId="74DDC20D" w14:textId="77777777" w:rsidR="00584EC1" w:rsidRDefault="00584EC1">
            <w:pPr>
              <w:rPr>
                <w:rFonts w:ascii="宋体"/>
              </w:rPr>
            </w:pPr>
          </w:p>
        </w:tc>
        <w:tc>
          <w:tcPr>
            <w:tcW w:w="5" w:type="pct"/>
            <w:shd w:val="clear" w:color="auto" w:fill="auto"/>
            <w:vAlign w:val="bottom"/>
          </w:tcPr>
          <w:p w14:paraId="74DDC20E" w14:textId="77777777" w:rsidR="00584EC1" w:rsidRDefault="00584EC1">
            <w:pPr>
              <w:rPr>
                <w:rFonts w:ascii="宋体"/>
              </w:rPr>
            </w:pPr>
          </w:p>
        </w:tc>
        <w:tc>
          <w:tcPr>
            <w:tcW w:w="19" w:type="pct"/>
            <w:shd w:val="clear" w:color="auto" w:fill="auto"/>
            <w:vAlign w:val="bottom"/>
          </w:tcPr>
          <w:p w14:paraId="74DDC20F" w14:textId="77777777" w:rsidR="00584EC1" w:rsidRDefault="00584EC1">
            <w:pPr>
              <w:rPr>
                <w:rFonts w:ascii="宋体"/>
              </w:rPr>
            </w:pPr>
          </w:p>
        </w:tc>
        <w:tc>
          <w:tcPr>
            <w:tcW w:w="5" w:type="pct"/>
            <w:shd w:val="clear" w:color="auto" w:fill="auto"/>
            <w:vAlign w:val="bottom"/>
          </w:tcPr>
          <w:p w14:paraId="74DDC210" w14:textId="77777777" w:rsidR="00584EC1" w:rsidRDefault="00584EC1">
            <w:pPr>
              <w:rPr>
                <w:rFonts w:ascii="宋体"/>
              </w:rPr>
            </w:pPr>
          </w:p>
        </w:tc>
        <w:tc>
          <w:tcPr>
            <w:tcW w:w="50" w:type="pct"/>
            <w:shd w:val="clear" w:color="auto" w:fill="auto"/>
            <w:vAlign w:val="bottom"/>
          </w:tcPr>
          <w:p w14:paraId="74DDC211" w14:textId="77777777" w:rsidR="00584EC1" w:rsidRDefault="00584EC1">
            <w:pPr>
              <w:rPr>
                <w:rFonts w:ascii="宋体"/>
              </w:rPr>
            </w:pPr>
          </w:p>
        </w:tc>
        <w:tc>
          <w:tcPr>
            <w:tcW w:w="303" w:type="pct"/>
            <w:shd w:val="clear" w:color="auto" w:fill="auto"/>
            <w:vAlign w:val="bottom"/>
          </w:tcPr>
          <w:p w14:paraId="74DDC212" w14:textId="77777777" w:rsidR="00584EC1" w:rsidRDefault="00584EC1">
            <w:pPr>
              <w:rPr>
                <w:rFonts w:ascii="宋体"/>
              </w:rPr>
            </w:pPr>
          </w:p>
        </w:tc>
        <w:tc>
          <w:tcPr>
            <w:tcW w:w="5" w:type="pct"/>
            <w:shd w:val="clear" w:color="auto" w:fill="auto"/>
            <w:vAlign w:val="bottom"/>
          </w:tcPr>
          <w:p w14:paraId="74DDC213" w14:textId="77777777" w:rsidR="00584EC1" w:rsidRDefault="00584EC1">
            <w:pPr>
              <w:rPr>
                <w:rFonts w:ascii="宋体"/>
              </w:rPr>
            </w:pPr>
          </w:p>
        </w:tc>
        <w:tc>
          <w:tcPr>
            <w:tcW w:w="5" w:type="pct"/>
            <w:shd w:val="clear" w:color="auto" w:fill="auto"/>
            <w:vAlign w:val="bottom"/>
          </w:tcPr>
          <w:p w14:paraId="74DDC214" w14:textId="77777777" w:rsidR="00584EC1" w:rsidRDefault="00584EC1">
            <w:pPr>
              <w:rPr>
                <w:rFonts w:ascii="宋体"/>
              </w:rPr>
            </w:pPr>
          </w:p>
        </w:tc>
        <w:tc>
          <w:tcPr>
            <w:tcW w:w="19" w:type="pct"/>
            <w:shd w:val="clear" w:color="auto" w:fill="auto"/>
            <w:vAlign w:val="bottom"/>
          </w:tcPr>
          <w:p w14:paraId="74DDC215" w14:textId="77777777" w:rsidR="00584EC1" w:rsidRDefault="00584EC1">
            <w:pPr>
              <w:rPr>
                <w:rFonts w:ascii="宋体"/>
              </w:rPr>
            </w:pPr>
          </w:p>
        </w:tc>
        <w:tc>
          <w:tcPr>
            <w:tcW w:w="5" w:type="pct"/>
            <w:shd w:val="clear" w:color="auto" w:fill="auto"/>
            <w:vAlign w:val="bottom"/>
          </w:tcPr>
          <w:p w14:paraId="74DDC216" w14:textId="77777777" w:rsidR="00584EC1" w:rsidRDefault="00584EC1">
            <w:pPr>
              <w:rPr>
                <w:rFonts w:ascii="宋体"/>
              </w:rPr>
            </w:pPr>
          </w:p>
        </w:tc>
        <w:tc>
          <w:tcPr>
            <w:tcW w:w="50" w:type="pct"/>
            <w:shd w:val="clear" w:color="auto" w:fill="auto"/>
            <w:vAlign w:val="bottom"/>
          </w:tcPr>
          <w:p w14:paraId="74DDC217" w14:textId="77777777" w:rsidR="00584EC1" w:rsidRDefault="00584EC1">
            <w:pPr>
              <w:rPr>
                <w:rFonts w:ascii="宋体"/>
              </w:rPr>
            </w:pPr>
          </w:p>
        </w:tc>
        <w:tc>
          <w:tcPr>
            <w:tcW w:w="434" w:type="pct"/>
            <w:shd w:val="clear" w:color="auto" w:fill="auto"/>
            <w:vAlign w:val="bottom"/>
          </w:tcPr>
          <w:p w14:paraId="74DDC218" w14:textId="77777777" w:rsidR="00584EC1" w:rsidRDefault="00584EC1">
            <w:pPr>
              <w:rPr>
                <w:rFonts w:ascii="宋体"/>
              </w:rPr>
            </w:pPr>
          </w:p>
        </w:tc>
        <w:tc>
          <w:tcPr>
            <w:tcW w:w="5" w:type="pct"/>
            <w:shd w:val="clear" w:color="auto" w:fill="auto"/>
            <w:vAlign w:val="bottom"/>
          </w:tcPr>
          <w:p w14:paraId="74DDC219" w14:textId="77777777" w:rsidR="00584EC1" w:rsidRDefault="00584EC1">
            <w:pPr>
              <w:rPr>
                <w:rFonts w:ascii="宋体"/>
              </w:rPr>
            </w:pPr>
          </w:p>
        </w:tc>
        <w:tc>
          <w:tcPr>
            <w:tcW w:w="5" w:type="pct"/>
            <w:shd w:val="clear" w:color="auto" w:fill="auto"/>
            <w:vAlign w:val="bottom"/>
          </w:tcPr>
          <w:p w14:paraId="74DDC21A" w14:textId="77777777" w:rsidR="00584EC1" w:rsidRDefault="00584EC1">
            <w:pPr>
              <w:rPr>
                <w:rFonts w:ascii="宋体"/>
              </w:rPr>
            </w:pPr>
          </w:p>
        </w:tc>
        <w:tc>
          <w:tcPr>
            <w:tcW w:w="19" w:type="pct"/>
            <w:shd w:val="clear" w:color="auto" w:fill="auto"/>
            <w:vAlign w:val="bottom"/>
          </w:tcPr>
          <w:p w14:paraId="74DDC21B" w14:textId="77777777" w:rsidR="00584EC1" w:rsidRDefault="00584EC1">
            <w:pPr>
              <w:rPr>
                <w:rFonts w:ascii="宋体"/>
              </w:rPr>
            </w:pPr>
          </w:p>
        </w:tc>
        <w:tc>
          <w:tcPr>
            <w:tcW w:w="5" w:type="pct"/>
            <w:shd w:val="clear" w:color="auto" w:fill="auto"/>
            <w:vAlign w:val="bottom"/>
          </w:tcPr>
          <w:p w14:paraId="74DDC21C" w14:textId="77777777" w:rsidR="00584EC1" w:rsidRDefault="00584EC1">
            <w:pPr>
              <w:rPr>
                <w:rFonts w:ascii="宋体"/>
              </w:rPr>
            </w:pPr>
          </w:p>
        </w:tc>
        <w:tc>
          <w:tcPr>
            <w:tcW w:w="50" w:type="pct"/>
            <w:shd w:val="clear" w:color="auto" w:fill="auto"/>
            <w:vAlign w:val="bottom"/>
          </w:tcPr>
          <w:p w14:paraId="74DDC21D" w14:textId="77777777" w:rsidR="00584EC1" w:rsidRDefault="00584EC1">
            <w:pPr>
              <w:rPr>
                <w:rFonts w:ascii="宋体"/>
              </w:rPr>
            </w:pPr>
          </w:p>
        </w:tc>
        <w:tc>
          <w:tcPr>
            <w:tcW w:w="295" w:type="pct"/>
            <w:shd w:val="clear" w:color="auto" w:fill="auto"/>
            <w:vAlign w:val="bottom"/>
          </w:tcPr>
          <w:p w14:paraId="74DDC21E" w14:textId="77777777" w:rsidR="00584EC1" w:rsidRDefault="00584EC1">
            <w:pPr>
              <w:rPr>
                <w:rFonts w:ascii="宋体"/>
              </w:rPr>
            </w:pPr>
          </w:p>
        </w:tc>
        <w:tc>
          <w:tcPr>
            <w:tcW w:w="5" w:type="pct"/>
            <w:shd w:val="clear" w:color="auto" w:fill="auto"/>
            <w:vAlign w:val="bottom"/>
          </w:tcPr>
          <w:p w14:paraId="74DDC21F" w14:textId="77777777" w:rsidR="00584EC1" w:rsidRDefault="00584EC1">
            <w:pPr>
              <w:rPr>
                <w:rFonts w:ascii="宋体"/>
              </w:rPr>
            </w:pPr>
          </w:p>
        </w:tc>
        <w:tc>
          <w:tcPr>
            <w:tcW w:w="5" w:type="pct"/>
            <w:shd w:val="clear" w:color="auto" w:fill="auto"/>
            <w:vAlign w:val="bottom"/>
          </w:tcPr>
          <w:p w14:paraId="74DDC220" w14:textId="77777777" w:rsidR="00584EC1" w:rsidRDefault="00584EC1">
            <w:pPr>
              <w:rPr>
                <w:rFonts w:ascii="宋体"/>
              </w:rPr>
            </w:pPr>
          </w:p>
        </w:tc>
        <w:tc>
          <w:tcPr>
            <w:tcW w:w="19" w:type="pct"/>
            <w:shd w:val="clear" w:color="auto" w:fill="auto"/>
            <w:vAlign w:val="bottom"/>
          </w:tcPr>
          <w:p w14:paraId="74DDC221" w14:textId="77777777" w:rsidR="00584EC1" w:rsidRDefault="00584EC1">
            <w:pPr>
              <w:rPr>
                <w:rFonts w:ascii="宋体"/>
              </w:rPr>
            </w:pPr>
          </w:p>
        </w:tc>
        <w:tc>
          <w:tcPr>
            <w:tcW w:w="5" w:type="pct"/>
            <w:shd w:val="clear" w:color="auto" w:fill="auto"/>
            <w:vAlign w:val="bottom"/>
          </w:tcPr>
          <w:p w14:paraId="74DDC222" w14:textId="77777777" w:rsidR="00584EC1" w:rsidRDefault="00584EC1">
            <w:pPr>
              <w:rPr>
                <w:rFonts w:ascii="宋体"/>
              </w:rPr>
            </w:pPr>
          </w:p>
        </w:tc>
        <w:tc>
          <w:tcPr>
            <w:tcW w:w="0" w:type="auto"/>
            <w:shd w:val="clear" w:color="auto" w:fill="auto"/>
            <w:vAlign w:val="bottom"/>
          </w:tcPr>
          <w:p w14:paraId="74DDC223" w14:textId="77777777" w:rsidR="00584EC1" w:rsidRDefault="00584EC1">
            <w:pPr>
              <w:rPr>
                <w:rFonts w:ascii="宋体"/>
                <w:vanish/>
              </w:rPr>
            </w:pPr>
          </w:p>
        </w:tc>
        <w:tc>
          <w:tcPr>
            <w:tcW w:w="0" w:type="auto"/>
            <w:shd w:val="clear" w:color="auto" w:fill="auto"/>
            <w:vAlign w:val="bottom"/>
          </w:tcPr>
          <w:p w14:paraId="74DDC224" w14:textId="77777777" w:rsidR="00584EC1" w:rsidRDefault="00584EC1">
            <w:pPr>
              <w:rPr>
                <w:rFonts w:ascii="宋体"/>
                <w:vanish/>
              </w:rPr>
            </w:pPr>
          </w:p>
        </w:tc>
        <w:tc>
          <w:tcPr>
            <w:tcW w:w="50" w:type="pct"/>
            <w:shd w:val="clear" w:color="auto" w:fill="auto"/>
            <w:vAlign w:val="bottom"/>
          </w:tcPr>
          <w:p w14:paraId="74DDC225" w14:textId="77777777" w:rsidR="00584EC1" w:rsidRDefault="00584EC1">
            <w:pPr>
              <w:rPr>
                <w:rFonts w:ascii="宋体"/>
              </w:rPr>
            </w:pPr>
          </w:p>
        </w:tc>
        <w:tc>
          <w:tcPr>
            <w:tcW w:w="200" w:type="pct"/>
            <w:shd w:val="clear" w:color="auto" w:fill="auto"/>
            <w:vAlign w:val="bottom"/>
          </w:tcPr>
          <w:p w14:paraId="74DDC226" w14:textId="77777777" w:rsidR="00584EC1" w:rsidRDefault="00584EC1">
            <w:pPr>
              <w:rPr>
                <w:rFonts w:ascii="宋体"/>
              </w:rPr>
            </w:pPr>
          </w:p>
        </w:tc>
        <w:tc>
          <w:tcPr>
            <w:tcW w:w="5" w:type="pct"/>
            <w:shd w:val="clear" w:color="auto" w:fill="auto"/>
            <w:vAlign w:val="bottom"/>
          </w:tcPr>
          <w:p w14:paraId="74DDC227" w14:textId="77777777" w:rsidR="00584EC1" w:rsidRDefault="00584EC1">
            <w:pPr>
              <w:rPr>
                <w:rFonts w:ascii="宋体"/>
              </w:rPr>
            </w:pPr>
          </w:p>
        </w:tc>
        <w:tc>
          <w:tcPr>
            <w:tcW w:w="5" w:type="pct"/>
            <w:shd w:val="clear" w:color="auto" w:fill="auto"/>
            <w:vAlign w:val="bottom"/>
          </w:tcPr>
          <w:p w14:paraId="74DDC228" w14:textId="77777777" w:rsidR="00584EC1" w:rsidRDefault="00584EC1">
            <w:pPr>
              <w:rPr>
                <w:rFonts w:ascii="宋体"/>
              </w:rPr>
            </w:pPr>
          </w:p>
        </w:tc>
        <w:tc>
          <w:tcPr>
            <w:tcW w:w="19" w:type="pct"/>
            <w:shd w:val="clear" w:color="auto" w:fill="auto"/>
            <w:vAlign w:val="bottom"/>
          </w:tcPr>
          <w:p w14:paraId="74DDC229" w14:textId="77777777" w:rsidR="00584EC1" w:rsidRDefault="00584EC1">
            <w:pPr>
              <w:rPr>
                <w:rFonts w:ascii="宋体"/>
              </w:rPr>
            </w:pPr>
          </w:p>
        </w:tc>
        <w:tc>
          <w:tcPr>
            <w:tcW w:w="5" w:type="pct"/>
            <w:shd w:val="clear" w:color="auto" w:fill="auto"/>
            <w:vAlign w:val="bottom"/>
          </w:tcPr>
          <w:p w14:paraId="74DDC22A" w14:textId="77777777" w:rsidR="00584EC1" w:rsidRDefault="00584EC1">
            <w:pPr>
              <w:rPr>
                <w:rFonts w:ascii="宋体"/>
              </w:rPr>
            </w:pPr>
          </w:p>
        </w:tc>
        <w:tc>
          <w:tcPr>
            <w:tcW w:w="50" w:type="pct"/>
            <w:shd w:val="clear" w:color="auto" w:fill="auto"/>
            <w:vAlign w:val="bottom"/>
          </w:tcPr>
          <w:p w14:paraId="74DDC22B" w14:textId="77777777" w:rsidR="00584EC1" w:rsidRDefault="00584EC1">
            <w:pPr>
              <w:rPr>
                <w:rFonts w:ascii="宋体"/>
              </w:rPr>
            </w:pPr>
          </w:p>
        </w:tc>
        <w:tc>
          <w:tcPr>
            <w:tcW w:w="332" w:type="pct"/>
            <w:shd w:val="clear" w:color="auto" w:fill="auto"/>
            <w:vAlign w:val="bottom"/>
          </w:tcPr>
          <w:p w14:paraId="74DDC22C" w14:textId="77777777" w:rsidR="00584EC1" w:rsidRDefault="00584EC1">
            <w:pPr>
              <w:rPr>
                <w:rFonts w:ascii="宋体"/>
              </w:rPr>
            </w:pPr>
          </w:p>
        </w:tc>
        <w:tc>
          <w:tcPr>
            <w:tcW w:w="5" w:type="pct"/>
            <w:shd w:val="clear" w:color="auto" w:fill="auto"/>
            <w:vAlign w:val="bottom"/>
          </w:tcPr>
          <w:p w14:paraId="74DDC22D" w14:textId="77777777" w:rsidR="00584EC1" w:rsidRDefault="00584EC1">
            <w:pPr>
              <w:rPr>
                <w:rFonts w:ascii="宋体"/>
              </w:rPr>
            </w:pPr>
          </w:p>
        </w:tc>
        <w:tc>
          <w:tcPr>
            <w:tcW w:w="5" w:type="pct"/>
            <w:shd w:val="clear" w:color="auto" w:fill="auto"/>
            <w:vAlign w:val="bottom"/>
          </w:tcPr>
          <w:p w14:paraId="74DDC22E" w14:textId="77777777" w:rsidR="00584EC1" w:rsidRDefault="00584EC1">
            <w:pPr>
              <w:rPr>
                <w:rFonts w:ascii="宋体"/>
              </w:rPr>
            </w:pPr>
          </w:p>
        </w:tc>
        <w:tc>
          <w:tcPr>
            <w:tcW w:w="19" w:type="pct"/>
            <w:shd w:val="clear" w:color="auto" w:fill="auto"/>
            <w:vAlign w:val="bottom"/>
          </w:tcPr>
          <w:p w14:paraId="74DDC22F" w14:textId="77777777" w:rsidR="00584EC1" w:rsidRDefault="00584EC1">
            <w:pPr>
              <w:rPr>
                <w:rFonts w:ascii="宋体"/>
              </w:rPr>
            </w:pPr>
          </w:p>
        </w:tc>
        <w:tc>
          <w:tcPr>
            <w:tcW w:w="5" w:type="pct"/>
            <w:shd w:val="clear" w:color="auto" w:fill="auto"/>
            <w:vAlign w:val="bottom"/>
          </w:tcPr>
          <w:p w14:paraId="74DDC230" w14:textId="77777777" w:rsidR="00584EC1" w:rsidRDefault="00584EC1">
            <w:pPr>
              <w:rPr>
                <w:rFonts w:ascii="宋体"/>
              </w:rPr>
            </w:pPr>
          </w:p>
        </w:tc>
        <w:tc>
          <w:tcPr>
            <w:tcW w:w="50" w:type="pct"/>
            <w:shd w:val="clear" w:color="auto" w:fill="auto"/>
            <w:vAlign w:val="bottom"/>
          </w:tcPr>
          <w:p w14:paraId="74DDC231" w14:textId="77777777" w:rsidR="00584EC1" w:rsidRDefault="00584EC1">
            <w:pPr>
              <w:rPr>
                <w:rFonts w:ascii="宋体"/>
              </w:rPr>
            </w:pPr>
          </w:p>
        </w:tc>
        <w:tc>
          <w:tcPr>
            <w:tcW w:w="266" w:type="pct"/>
            <w:shd w:val="clear" w:color="auto" w:fill="auto"/>
            <w:vAlign w:val="bottom"/>
          </w:tcPr>
          <w:p w14:paraId="74DDC232" w14:textId="77777777" w:rsidR="00584EC1" w:rsidRDefault="00584EC1">
            <w:pPr>
              <w:rPr>
                <w:rFonts w:ascii="宋体"/>
              </w:rPr>
            </w:pPr>
          </w:p>
        </w:tc>
        <w:tc>
          <w:tcPr>
            <w:tcW w:w="5" w:type="pct"/>
            <w:shd w:val="clear" w:color="auto" w:fill="auto"/>
            <w:vAlign w:val="bottom"/>
          </w:tcPr>
          <w:p w14:paraId="74DDC233" w14:textId="77777777" w:rsidR="00584EC1" w:rsidRDefault="00584EC1">
            <w:pPr>
              <w:rPr>
                <w:rFonts w:ascii="宋体"/>
              </w:rPr>
            </w:pPr>
          </w:p>
        </w:tc>
        <w:tc>
          <w:tcPr>
            <w:tcW w:w="5" w:type="pct"/>
            <w:shd w:val="clear" w:color="auto" w:fill="auto"/>
            <w:vAlign w:val="bottom"/>
          </w:tcPr>
          <w:p w14:paraId="74DDC234" w14:textId="77777777" w:rsidR="00584EC1" w:rsidRDefault="00584EC1">
            <w:pPr>
              <w:rPr>
                <w:rFonts w:ascii="宋体"/>
              </w:rPr>
            </w:pPr>
          </w:p>
        </w:tc>
        <w:tc>
          <w:tcPr>
            <w:tcW w:w="19" w:type="pct"/>
            <w:shd w:val="clear" w:color="auto" w:fill="auto"/>
            <w:vAlign w:val="bottom"/>
          </w:tcPr>
          <w:p w14:paraId="74DDC235" w14:textId="77777777" w:rsidR="00584EC1" w:rsidRDefault="00584EC1">
            <w:pPr>
              <w:rPr>
                <w:rFonts w:ascii="宋体"/>
              </w:rPr>
            </w:pPr>
          </w:p>
        </w:tc>
        <w:tc>
          <w:tcPr>
            <w:tcW w:w="5" w:type="pct"/>
            <w:shd w:val="clear" w:color="auto" w:fill="auto"/>
            <w:vAlign w:val="bottom"/>
          </w:tcPr>
          <w:p w14:paraId="74DDC236" w14:textId="77777777" w:rsidR="00584EC1" w:rsidRDefault="00584EC1">
            <w:pPr>
              <w:rPr>
                <w:rFonts w:ascii="宋体"/>
              </w:rPr>
            </w:pPr>
          </w:p>
        </w:tc>
        <w:tc>
          <w:tcPr>
            <w:tcW w:w="50" w:type="pct"/>
            <w:shd w:val="clear" w:color="auto" w:fill="auto"/>
            <w:vAlign w:val="bottom"/>
          </w:tcPr>
          <w:p w14:paraId="74DDC237" w14:textId="77777777" w:rsidR="00584EC1" w:rsidRDefault="00584EC1">
            <w:pPr>
              <w:rPr>
                <w:rFonts w:ascii="宋体"/>
              </w:rPr>
            </w:pPr>
          </w:p>
        </w:tc>
        <w:tc>
          <w:tcPr>
            <w:tcW w:w="266" w:type="pct"/>
            <w:shd w:val="clear" w:color="auto" w:fill="auto"/>
            <w:vAlign w:val="bottom"/>
          </w:tcPr>
          <w:p w14:paraId="74DDC238" w14:textId="77777777" w:rsidR="00584EC1" w:rsidRDefault="00584EC1">
            <w:pPr>
              <w:rPr>
                <w:rFonts w:ascii="宋体"/>
              </w:rPr>
            </w:pPr>
          </w:p>
        </w:tc>
        <w:tc>
          <w:tcPr>
            <w:tcW w:w="5" w:type="pct"/>
            <w:shd w:val="clear" w:color="auto" w:fill="auto"/>
            <w:vAlign w:val="bottom"/>
          </w:tcPr>
          <w:p w14:paraId="74DDC239" w14:textId="77777777" w:rsidR="00584EC1" w:rsidRDefault="00584EC1">
            <w:pPr>
              <w:rPr>
                <w:rFonts w:ascii="宋体"/>
              </w:rPr>
            </w:pPr>
          </w:p>
        </w:tc>
        <w:tc>
          <w:tcPr>
            <w:tcW w:w="5" w:type="pct"/>
            <w:shd w:val="clear" w:color="auto" w:fill="auto"/>
            <w:vAlign w:val="bottom"/>
          </w:tcPr>
          <w:p w14:paraId="74DDC23A" w14:textId="77777777" w:rsidR="00584EC1" w:rsidRDefault="00584EC1">
            <w:pPr>
              <w:rPr>
                <w:rFonts w:ascii="宋体"/>
              </w:rPr>
            </w:pPr>
          </w:p>
        </w:tc>
        <w:tc>
          <w:tcPr>
            <w:tcW w:w="19" w:type="pct"/>
            <w:shd w:val="clear" w:color="auto" w:fill="auto"/>
            <w:vAlign w:val="bottom"/>
          </w:tcPr>
          <w:p w14:paraId="74DDC23B" w14:textId="77777777" w:rsidR="00584EC1" w:rsidRDefault="00584EC1">
            <w:pPr>
              <w:rPr>
                <w:rFonts w:ascii="宋体"/>
              </w:rPr>
            </w:pPr>
          </w:p>
        </w:tc>
        <w:tc>
          <w:tcPr>
            <w:tcW w:w="5" w:type="pct"/>
            <w:shd w:val="clear" w:color="auto" w:fill="auto"/>
            <w:vAlign w:val="bottom"/>
          </w:tcPr>
          <w:p w14:paraId="74DDC23C" w14:textId="77777777" w:rsidR="00584EC1" w:rsidRDefault="00584EC1">
            <w:pPr>
              <w:rPr>
                <w:rFonts w:ascii="宋体"/>
              </w:rPr>
            </w:pPr>
          </w:p>
        </w:tc>
        <w:tc>
          <w:tcPr>
            <w:tcW w:w="50" w:type="pct"/>
            <w:shd w:val="clear" w:color="auto" w:fill="auto"/>
            <w:vAlign w:val="bottom"/>
          </w:tcPr>
          <w:p w14:paraId="74DDC23D" w14:textId="77777777" w:rsidR="00584EC1" w:rsidRDefault="00584EC1">
            <w:pPr>
              <w:rPr>
                <w:rFonts w:ascii="宋体"/>
              </w:rPr>
            </w:pPr>
          </w:p>
        </w:tc>
        <w:tc>
          <w:tcPr>
            <w:tcW w:w="405" w:type="pct"/>
            <w:shd w:val="clear" w:color="auto" w:fill="auto"/>
            <w:vAlign w:val="bottom"/>
          </w:tcPr>
          <w:p w14:paraId="74DDC23E" w14:textId="77777777" w:rsidR="00584EC1" w:rsidRDefault="00584EC1">
            <w:pPr>
              <w:rPr>
                <w:rFonts w:ascii="宋体"/>
              </w:rPr>
            </w:pPr>
          </w:p>
        </w:tc>
        <w:tc>
          <w:tcPr>
            <w:tcW w:w="5" w:type="pct"/>
            <w:shd w:val="clear" w:color="auto" w:fill="auto"/>
            <w:vAlign w:val="bottom"/>
          </w:tcPr>
          <w:p w14:paraId="74DDC23F" w14:textId="77777777" w:rsidR="00584EC1" w:rsidRDefault="00584EC1">
            <w:pPr>
              <w:rPr>
                <w:rFonts w:ascii="宋体"/>
              </w:rPr>
            </w:pPr>
          </w:p>
        </w:tc>
        <w:tc>
          <w:tcPr>
            <w:tcW w:w="5" w:type="pct"/>
            <w:shd w:val="clear" w:color="auto" w:fill="auto"/>
            <w:vAlign w:val="bottom"/>
          </w:tcPr>
          <w:p w14:paraId="74DDC240" w14:textId="77777777" w:rsidR="00584EC1" w:rsidRDefault="00584EC1">
            <w:pPr>
              <w:rPr>
                <w:rFonts w:ascii="宋体"/>
              </w:rPr>
            </w:pPr>
          </w:p>
        </w:tc>
        <w:tc>
          <w:tcPr>
            <w:tcW w:w="19" w:type="pct"/>
            <w:shd w:val="clear" w:color="auto" w:fill="auto"/>
            <w:vAlign w:val="bottom"/>
          </w:tcPr>
          <w:p w14:paraId="74DDC241" w14:textId="77777777" w:rsidR="00584EC1" w:rsidRDefault="00584EC1">
            <w:pPr>
              <w:rPr>
                <w:rFonts w:ascii="宋体"/>
              </w:rPr>
            </w:pPr>
          </w:p>
        </w:tc>
        <w:tc>
          <w:tcPr>
            <w:tcW w:w="5" w:type="pct"/>
            <w:shd w:val="clear" w:color="auto" w:fill="auto"/>
            <w:vAlign w:val="bottom"/>
          </w:tcPr>
          <w:p w14:paraId="74DDC242" w14:textId="77777777" w:rsidR="00584EC1" w:rsidRDefault="00584EC1">
            <w:pPr>
              <w:rPr>
                <w:rFonts w:ascii="宋体"/>
              </w:rPr>
            </w:pPr>
          </w:p>
        </w:tc>
      </w:tr>
      <w:tr w:rsidR="00584EC1" w14:paraId="74DDC249" w14:textId="77777777">
        <w:tc>
          <w:tcPr>
            <w:tcW w:w="0" w:type="auto"/>
            <w:gridSpan w:val="3"/>
            <w:shd w:val="clear" w:color="auto" w:fill="auto"/>
            <w:tcMar>
              <w:top w:w="0" w:type="dxa"/>
              <w:left w:w="20" w:type="dxa"/>
              <w:bottom w:w="0" w:type="dxa"/>
              <w:right w:w="20" w:type="dxa"/>
            </w:tcMar>
            <w:vAlign w:val="bottom"/>
          </w:tcPr>
          <w:p w14:paraId="74DDC244" w14:textId="77777777" w:rsidR="00584EC1" w:rsidRDefault="00584EC1">
            <w:pPr>
              <w:rPr>
                <w:rFonts w:ascii="宋体"/>
              </w:rPr>
            </w:pPr>
          </w:p>
        </w:tc>
        <w:tc>
          <w:tcPr>
            <w:tcW w:w="0" w:type="auto"/>
            <w:gridSpan w:val="53"/>
            <w:shd w:val="clear" w:color="auto" w:fill="auto"/>
            <w:tcMar>
              <w:top w:w="40" w:type="dxa"/>
              <w:left w:w="20" w:type="dxa"/>
              <w:bottom w:w="40" w:type="dxa"/>
              <w:right w:w="20" w:type="dxa"/>
            </w:tcMar>
            <w:vAlign w:val="bottom"/>
          </w:tcPr>
          <w:p w14:paraId="74DDC245" w14:textId="77777777" w:rsidR="00584EC1" w:rsidRDefault="00871F8D">
            <w:pPr>
              <w:jc w:val="center"/>
              <w:textAlignment w:val="bottom"/>
            </w:pPr>
            <w:r>
              <w:rPr>
                <w:rFonts w:ascii="Arial" w:eastAsia="宋体" w:hAnsi="Arial" w:cs="Arial"/>
                <w:b/>
                <w:bCs/>
                <w:color w:val="000000"/>
                <w:sz w:val="12"/>
                <w:szCs w:val="12"/>
              </w:rPr>
              <w:t>Fair Value Measurements Using Significant Unobservable Inputs</w:t>
            </w:r>
          </w:p>
        </w:tc>
        <w:tc>
          <w:tcPr>
            <w:tcW w:w="0" w:type="auto"/>
            <w:shd w:val="clear" w:color="auto" w:fill="auto"/>
            <w:vAlign w:val="bottom"/>
          </w:tcPr>
          <w:p w14:paraId="74DDC246" w14:textId="77777777" w:rsidR="00584EC1" w:rsidRDefault="00584EC1">
            <w:pPr>
              <w:rPr>
                <w:rFonts w:ascii="宋体"/>
              </w:rPr>
            </w:pPr>
          </w:p>
        </w:tc>
        <w:tc>
          <w:tcPr>
            <w:tcW w:w="0" w:type="auto"/>
            <w:shd w:val="clear" w:color="auto" w:fill="auto"/>
            <w:vAlign w:val="bottom"/>
          </w:tcPr>
          <w:p w14:paraId="74DDC247" w14:textId="77777777" w:rsidR="00584EC1" w:rsidRDefault="00584EC1">
            <w:pPr>
              <w:rPr>
                <w:rFonts w:ascii="宋体"/>
              </w:rPr>
            </w:pPr>
          </w:p>
        </w:tc>
        <w:tc>
          <w:tcPr>
            <w:tcW w:w="0" w:type="auto"/>
            <w:shd w:val="clear" w:color="auto" w:fill="auto"/>
            <w:vAlign w:val="bottom"/>
          </w:tcPr>
          <w:p w14:paraId="74DDC248" w14:textId="77777777" w:rsidR="00584EC1" w:rsidRDefault="00584EC1">
            <w:pPr>
              <w:rPr>
                <w:rFonts w:ascii="宋体"/>
              </w:rPr>
            </w:pPr>
          </w:p>
        </w:tc>
      </w:tr>
      <w:tr w:rsidR="00584EC1" w14:paraId="74DDC24F" w14:textId="77777777">
        <w:tc>
          <w:tcPr>
            <w:tcW w:w="0" w:type="auto"/>
            <w:gridSpan w:val="3"/>
            <w:shd w:val="clear" w:color="auto" w:fill="auto"/>
            <w:tcMar>
              <w:top w:w="40" w:type="dxa"/>
              <w:left w:w="20" w:type="dxa"/>
              <w:bottom w:w="40" w:type="dxa"/>
              <w:right w:w="20" w:type="dxa"/>
            </w:tcMar>
            <w:vAlign w:val="bottom"/>
          </w:tcPr>
          <w:p w14:paraId="74DDC24A" w14:textId="77777777" w:rsidR="00584EC1" w:rsidRDefault="00871F8D">
            <w:pPr>
              <w:textAlignment w:val="bottom"/>
            </w:pPr>
            <w:r>
              <w:rPr>
                <w:rFonts w:ascii="Arial" w:eastAsia="宋体" w:hAnsi="Arial" w:cs="Arial"/>
                <w:color w:val="000000"/>
                <w:sz w:val="12"/>
                <w:szCs w:val="12"/>
              </w:rPr>
              <w:t> </w:t>
            </w:r>
          </w:p>
        </w:tc>
        <w:tc>
          <w:tcPr>
            <w:tcW w:w="0" w:type="auto"/>
            <w:gridSpan w:val="53"/>
            <w:shd w:val="clear" w:color="auto" w:fill="auto"/>
            <w:tcMar>
              <w:top w:w="40" w:type="dxa"/>
              <w:left w:w="20" w:type="dxa"/>
              <w:bottom w:w="40" w:type="dxa"/>
              <w:right w:w="20" w:type="dxa"/>
            </w:tcMar>
            <w:vAlign w:val="bottom"/>
          </w:tcPr>
          <w:p w14:paraId="74DDC24B" w14:textId="77777777" w:rsidR="00584EC1" w:rsidRDefault="00871F8D">
            <w:pPr>
              <w:jc w:val="center"/>
              <w:textAlignment w:val="bottom"/>
            </w:pPr>
            <w:r>
              <w:rPr>
                <w:rFonts w:ascii="Arial" w:eastAsia="宋体" w:hAnsi="Arial" w:cs="Arial"/>
                <w:b/>
                <w:bCs/>
                <w:color w:val="000000"/>
                <w:sz w:val="12"/>
                <w:szCs w:val="12"/>
              </w:rPr>
              <w:t>Nine Months Ended September 30, 2021</w:t>
            </w:r>
          </w:p>
        </w:tc>
        <w:tc>
          <w:tcPr>
            <w:tcW w:w="0" w:type="auto"/>
            <w:shd w:val="clear" w:color="auto" w:fill="auto"/>
            <w:vAlign w:val="bottom"/>
          </w:tcPr>
          <w:p w14:paraId="74DDC24C" w14:textId="77777777" w:rsidR="00584EC1" w:rsidRDefault="00584EC1">
            <w:pPr>
              <w:rPr>
                <w:rFonts w:ascii="宋体"/>
              </w:rPr>
            </w:pPr>
          </w:p>
        </w:tc>
        <w:tc>
          <w:tcPr>
            <w:tcW w:w="0" w:type="auto"/>
            <w:shd w:val="clear" w:color="auto" w:fill="auto"/>
            <w:vAlign w:val="bottom"/>
          </w:tcPr>
          <w:p w14:paraId="74DDC24D" w14:textId="77777777" w:rsidR="00584EC1" w:rsidRDefault="00584EC1">
            <w:pPr>
              <w:rPr>
                <w:rFonts w:ascii="宋体"/>
              </w:rPr>
            </w:pPr>
          </w:p>
        </w:tc>
        <w:tc>
          <w:tcPr>
            <w:tcW w:w="0" w:type="auto"/>
            <w:shd w:val="clear" w:color="auto" w:fill="auto"/>
            <w:vAlign w:val="bottom"/>
          </w:tcPr>
          <w:p w14:paraId="74DDC24E" w14:textId="77777777" w:rsidR="00584EC1" w:rsidRDefault="00584EC1">
            <w:pPr>
              <w:rPr>
                <w:rFonts w:ascii="宋体"/>
              </w:rPr>
            </w:pPr>
          </w:p>
        </w:tc>
      </w:tr>
      <w:tr w:rsidR="00584EC1" w14:paraId="74DDC268" w14:textId="77777777">
        <w:trPr>
          <w:trHeight w:val="480"/>
        </w:trPr>
        <w:tc>
          <w:tcPr>
            <w:tcW w:w="0" w:type="auto"/>
            <w:gridSpan w:val="3"/>
            <w:shd w:val="clear" w:color="auto" w:fill="auto"/>
            <w:tcMar>
              <w:top w:w="40" w:type="dxa"/>
              <w:left w:w="20" w:type="dxa"/>
              <w:bottom w:w="40" w:type="dxa"/>
              <w:right w:w="20" w:type="dxa"/>
            </w:tcMar>
            <w:vAlign w:val="bottom"/>
          </w:tcPr>
          <w:p w14:paraId="74DDC250" w14:textId="77777777" w:rsidR="00584EC1" w:rsidRDefault="00871F8D">
            <w:pPr>
              <w:textAlignment w:val="bottom"/>
            </w:pPr>
            <w:r>
              <w:rPr>
                <w:rFonts w:ascii="Arial" w:eastAsia="宋体" w:hAnsi="Arial" w:cs="Arial"/>
                <w:color w:val="000000"/>
                <w:sz w:val="12"/>
                <w:szCs w:val="12"/>
              </w:rPr>
              <w:t> </w:t>
            </w: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4DDC251" w14:textId="77777777" w:rsidR="00584EC1" w:rsidRDefault="00871F8D">
            <w:pPr>
              <w:jc w:val="center"/>
              <w:textAlignment w:val="bottom"/>
            </w:pPr>
            <w:r>
              <w:rPr>
                <w:rFonts w:ascii="Arial" w:eastAsia="宋体" w:hAnsi="Arial" w:cs="Arial"/>
                <w:b/>
                <w:bCs/>
                <w:color w:val="000000"/>
                <w:sz w:val="12"/>
                <w:szCs w:val="12"/>
              </w:rPr>
              <w:t>Fair Value as of</w:t>
            </w:r>
            <w:r>
              <w:rPr>
                <w:rFonts w:ascii="Arial" w:eastAsia="宋体" w:hAnsi="Arial" w:cs="Arial"/>
                <w:b/>
                <w:bCs/>
                <w:color w:val="000000"/>
                <w:sz w:val="12"/>
                <w:szCs w:val="12"/>
              </w:rPr>
              <w:br/>
              <w:t>December 31,</w:t>
            </w:r>
            <w:r>
              <w:rPr>
                <w:rFonts w:ascii="Arial" w:eastAsia="宋体" w:hAnsi="Arial" w:cs="Arial"/>
                <w:b/>
                <w:bCs/>
                <w:color w:val="000000"/>
                <w:sz w:val="12"/>
                <w:szCs w:val="12"/>
              </w:rPr>
              <w:br/>
            </w:r>
            <w:r>
              <w:rPr>
                <w:rFonts w:ascii="Arial" w:eastAsia="宋体" w:hAnsi="Arial" w:cs="Arial"/>
                <w:b/>
                <w:bCs/>
                <w:color w:val="000000"/>
                <w:sz w:val="12"/>
                <w:szCs w:val="12"/>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252" w14:textId="77777777" w:rsidR="00584EC1" w:rsidRDefault="00584E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4DDC253" w14:textId="77777777" w:rsidR="00584EC1" w:rsidRDefault="00871F8D">
            <w:pPr>
              <w:jc w:val="center"/>
              <w:textAlignment w:val="bottom"/>
            </w:pPr>
            <w:r>
              <w:rPr>
                <w:rFonts w:ascii="Arial" w:eastAsia="宋体" w:hAnsi="Arial" w:cs="Arial"/>
                <w:b/>
                <w:bCs/>
                <w:color w:val="000000"/>
                <w:sz w:val="12"/>
                <w:szCs w:val="12"/>
              </w:rPr>
              <w:t>Total Realized and</w:t>
            </w:r>
          </w:p>
          <w:p w14:paraId="74DDC254" w14:textId="77777777" w:rsidR="00584EC1" w:rsidRDefault="00871F8D">
            <w:pPr>
              <w:jc w:val="center"/>
              <w:textAlignment w:val="bottom"/>
            </w:pPr>
            <w:r>
              <w:rPr>
                <w:rFonts w:ascii="Arial" w:eastAsia="宋体" w:hAnsi="Arial" w:cs="Arial"/>
                <w:b/>
                <w:bCs/>
                <w:color w:val="000000"/>
                <w:sz w:val="12"/>
                <w:szCs w:val="12"/>
              </w:rPr>
              <w:t>Unrealized Gains (Losses)</w:t>
            </w:r>
            <w:r>
              <w:rPr>
                <w:rFonts w:ascii="Arial" w:eastAsia="宋体" w:hAnsi="Arial" w:cs="Arial"/>
                <w:b/>
                <w:bCs/>
                <w:color w:val="000000"/>
                <w:sz w:val="7"/>
                <w:szCs w:val="7"/>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255" w14:textId="77777777" w:rsidR="00584EC1" w:rsidRDefault="00584EC1">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4DDC256" w14:textId="77777777" w:rsidR="00584EC1" w:rsidRDefault="00871F8D">
            <w:pPr>
              <w:jc w:val="center"/>
              <w:textAlignment w:val="bottom"/>
            </w:pPr>
            <w:r>
              <w:rPr>
                <w:rFonts w:ascii="Arial" w:eastAsia="宋体" w:hAnsi="Arial" w:cs="Arial"/>
                <w:b/>
                <w:bCs/>
                <w:color w:val="000000"/>
                <w:sz w:val="12"/>
                <w:szCs w:val="12"/>
              </w:rPr>
              <w:t>Purchases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257" w14:textId="77777777" w:rsidR="00584EC1" w:rsidRDefault="00584EC1">
            <w:pPr>
              <w:rPr>
                <w:rFonts w:ascii="宋体"/>
              </w:rPr>
            </w:pPr>
          </w:p>
        </w:tc>
        <w:tc>
          <w:tcPr>
            <w:tcW w:w="0" w:type="auto"/>
            <w:shd w:val="clear" w:color="auto" w:fill="auto"/>
            <w:vAlign w:val="bottom"/>
          </w:tcPr>
          <w:p w14:paraId="74DDC258" w14:textId="77777777" w:rsidR="00584EC1" w:rsidRDefault="00584EC1">
            <w:pPr>
              <w:rPr>
                <w:rFonts w:ascii="宋体"/>
                <w:vanish/>
              </w:rPr>
            </w:pPr>
          </w:p>
        </w:tc>
        <w:tc>
          <w:tcPr>
            <w:tcW w:w="0" w:type="auto"/>
            <w:shd w:val="clear" w:color="auto" w:fill="auto"/>
            <w:vAlign w:val="bottom"/>
          </w:tcPr>
          <w:p w14:paraId="74DDC259" w14:textId="77777777" w:rsidR="00584EC1" w:rsidRDefault="00584EC1">
            <w:pPr>
              <w:rPr>
                <w:rFonts w:ascii="宋体"/>
                <w:vanish/>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4DDC25A" w14:textId="77777777" w:rsidR="00584EC1" w:rsidRDefault="00871F8D">
            <w:pPr>
              <w:jc w:val="center"/>
              <w:textAlignment w:val="bottom"/>
            </w:pPr>
            <w:r>
              <w:rPr>
                <w:rFonts w:ascii="Arial" w:eastAsia="宋体" w:hAnsi="Arial" w:cs="Arial"/>
                <w:b/>
                <w:bCs/>
                <w:color w:val="000000"/>
                <w:sz w:val="12"/>
                <w:szCs w:val="12"/>
              </w:rPr>
              <w:t>Sales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25B" w14:textId="77777777" w:rsidR="00584EC1" w:rsidRDefault="00584EC1">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4DDC25C" w14:textId="77777777" w:rsidR="00584EC1" w:rsidRDefault="00871F8D">
            <w:pPr>
              <w:jc w:val="center"/>
              <w:textAlignment w:val="bottom"/>
            </w:pPr>
            <w:r>
              <w:rPr>
                <w:rFonts w:ascii="Arial" w:eastAsia="宋体" w:hAnsi="Arial" w:cs="Arial"/>
                <w:b/>
                <w:bCs/>
                <w:color w:val="000000"/>
                <w:sz w:val="12"/>
                <w:szCs w:val="12"/>
              </w:rPr>
              <w:t>Settlements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25D" w14:textId="77777777" w:rsidR="00584EC1" w:rsidRDefault="00584EC1">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4DDC25E" w14:textId="77777777" w:rsidR="00584EC1" w:rsidRDefault="00871F8D">
            <w:pPr>
              <w:jc w:val="center"/>
              <w:textAlignment w:val="bottom"/>
            </w:pPr>
            <w:r>
              <w:rPr>
                <w:rFonts w:ascii="Arial" w:eastAsia="宋体" w:hAnsi="Arial" w:cs="Arial"/>
                <w:b/>
                <w:bCs/>
                <w:color w:val="000000"/>
                <w:sz w:val="12"/>
                <w:szCs w:val="12"/>
              </w:rPr>
              <w:t xml:space="preserve">Transfers into </w:t>
            </w:r>
          </w:p>
          <w:p w14:paraId="74DDC25F" w14:textId="77777777" w:rsidR="00584EC1" w:rsidRDefault="00871F8D">
            <w:pPr>
              <w:jc w:val="center"/>
              <w:textAlignment w:val="bottom"/>
            </w:pPr>
            <w:r>
              <w:rPr>
                <w:rFonts w:ascii="Arial" w:eastAsia="宋体" w:hAnsi="Arial" w:cs="Arial"/>
                <w:b/>
                <w:bCs/>
                <w:color w:val="000000"/>
                <w:sz w:val="12"/>
                <w:szCs w:val="12"/>
              </w:rPr>
              <w:t>Level 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260" w14:textId="77777777" w:rsidR="00584EC1" w:rsidRDefault="00584EC1">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4DDC261" w14:textId="77777777" w:rsidR="00584EC1" w:rsidRDefault="00871F8D">
            <w:pPr>
              <w:jc w:val="center"/>
              <w:textAlignment w:val="bottom"/>
            </w:pPr>
            <w:r>
              <w:rPr>
                <w:rFonts w:ascii="Arial" w:eastAsia="宋体" w:hAnsi="Arial" w:cs="Arial"/>
                <w:b/>
                <w:bCs/>
                <w:color w:val="000000"/>
                <w:sz w:val="12"/>
                <w:szCs w:val="12"/>
              </w:rPr>
              <w:t xml:space="preserve">Transfers </w:t>
            </w:r>
          </w:p>
          <w:p w14:paraId="74DDC262" w14:textId="77777777" w:rsidR="00584EC1" w:rsidRDefault="00871F8D">
            <w:pPr>
              <w:jc w:val="center"/>
              <w:textAlignment w:val="bottom"/>
            </w:pPr>
            <w:r>
              <w:rPr>
                <w:rFonts w:ascii="Arial" w:eastAsia="宋体" w:hAnsi="Arial" w:cs="Arial"/>
                <w:b/>
                <w:bCs/>
                <w:color w:val="000000"/>
                <w:sz w:val="12"/>
                <w:szCs w:val="12"/>
              </w:rPr>
              <w:t>out of Level 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263" w14:textId="77777777" w:rsidR="00584EC1" w:rsidRDefault="00584EC1">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4DDC264" w14:textId="77777777" w:rsidR="00584EC1" w:rsidRDefault="00871F8D">
            <w:pPr>
              <w:jc w:val="center"/>
              <w:textAlignment w:val="bottom"/>
            </w:pPr>
            <w:r>
              <w:rPr>
                <w:rFonts w:ascii="Arial" w:eastAsia="宋体" w:hAnsi="Arial" w:cs="Arial"/>
                <w:b/>
                <w:bCs/>
                <w:color w:val="000000"/>
                <w:sz w:val="12"/>
                <w:szCs w:val="12"/>
              </w:rPr>
              <w:t>Fair Value </w:t>
            </w:r>
          </w:p>
          <w:p w14:paraId="74DDC265" w14:textId="77777777" w:rsidR="00584EC1" w:rsidRDefault="00871F8D">
            <w:pPr>
              <w:jc w:val="center"/>
              <w:textAlignment w:val="bottom"/>
            </w:pPr>
            <w:r>
              <w:rPr>
                <w:rFonts w:ascii="Arial" w:eastAsia="宋体" w:hAnsi="Arial" w:cs="Arial"/>
                <w:b/>
                <w:bCs/>
                <w:color w:val="000000"/>
                <w:sz w:val="12"/>
                <w:szCs w:val="12"/>
              </w:rPr>
              <w:t>as of September 30, 2021</w:t>
            </w:r>
            <w:r>
              <w:rPr>
                <w:rFonts w:ascii="Arial" w:eastAsia="宋体" w:hAnsi="Arial" w:cs="Arial"/>
                <w:b/>
                <w:bCs/>
                <w:color w:val="000000"/>
                <w:sz w:val="7"/>
                <w:szCs w:val="7"/>
              </w:rPr>
              <w:t>(1)</w:t>
            </w:r>
          </w:p>
        </w:tc>
        <w:tc>
          <w:tcPr>
            <w:tcW w:w="0" w:type="auto"/>
            <w:gridSpan w:val="2"/>
            <w:tcBorders>
              <w:top w:val="single" w:sz="8" w:space="0" w:color="000000"/>
            </w:tcBorders>
            <w:shd w:val="clear" w:color="auto" w:fill="auto"/>
            <w:tcMar>
              <w:top w:w="0" w:type="dxa"/>
              <w:left w:w="20" w:type="dxa"/>
              <w:bottom w:w="0" w:type="dxa"/>
              <w:right w:w="20" w:type="dxa"/>
            </w:tcMar>
            <w:vAlign w:val="bottom"/>
          </w:tcPr>
          <w:p w14:paraId="74DDC266" w14:textId="77777777" w:rsidR="00584EC1" w:rsidRDefault="00584EC1">
            <w:pPr>
              <w:rPr>
                <w:rFonts w:ascii="宋体"/>
              </w:rPr>
            </w:pPr>
          </w:p>
        </w:tc>
        <w:tc>
          <w:tcPr>
            <w:tcW w:w="0" w:type="auto"/>
            <w:vMerge w:val="restart"/>
            <w:tcBorders>
              <w:top w:val="single" w:sz="8" w:space="0" w:color="000000"/>
            </w:tcBorders>
            <w:shd w:val="clear" w:color="auto" w:fill="auto"/>
            <w:tcMar>
              <w:top w:w="40" w:type="dxa"/>
              <w:left w:w="20" w:type="dxa"/>
              <w:bottom w:w="40" w:type="dxa"/>
              <w:right w:w="20" w:type="dxa"/>
            </w:tcMar>
            <w:vAlign w:val="bottom"/>
          </w:tcPr>
          <w:p w14:paraId="74DDC267" w14:textId="77777777" w:rsidR="00584EC1" w:rsidRDefault="00871F8D">
            <w:pPr>
              <w:jc w:val="center"/>
              <w:textAlignment w:val="bottom"/>
            </w:pPr>
            <w:r>
              <w:rPr>
                <w:rFonts w:ascii="Arial" w:eastAsia="宋体" w:hAnsi="Arial" w:cs="Arial"/>
                <w:b/>
                <w:bCs/>
                <w:color w:val="000000"/>
                <w:sz w:val="12"/>
                <w:szCs w:val="12"/>
              </w:rPr>
              <w:t xml:space="preserve">Change in Unrealized Gains (Losses) Related to Financial Instruments </w:t>
            </w:r>
            <w:r>
              <w:rPr>
                <w:rFonts w:ascii="Arial" w:eastAsia="宋体" w:hAnsi="Arial" w:cs="Arial"/>
                <w:b/>
                <w:bCs/>
                <w:color w:val="000000"/>
                <w:sz w:val="12"/>
                <w:szCs w:val="12"/>
              </w:rPr>
              <w:br/>
              <w:t xml:space="preserve">Held as of </w:t>
            </w:r>
            <w:r>
              <w:rPr>
                <w:rFonts w:ascii="Arial" w:eastAsia="宋体" w:hAnsi="Arial" w:cs="Arial"/>
                <w:b/>
                <w:bCs/>
                <w:color w:val="000000"/>
                <w:sz w:val="12"/>
                <w:szCs w:val="12"/>
              </w:rPr>
              <w:br/>
              <w:t>September 30, 2021</w:t>
            </w:r>
          </w:p>
        </w:tc>
      </w:tr>
      <w:tr w:rsidR="00584EC1" w14:paraId="74DDC27E" w14:textId="77777777">
        <w:trPr>
          <w:trHeight w:val="780"/>
        </w:trPr>
        <w:tc>
          <w:tcPr>
            <w:tcW w:w="0" w:type="auto"/>
            <w:gridSpan w:val="3"/>
            <w:shd w:val="clear" w:color="auto" w:fill="auto"/>
            <w:tcMar>
              <w:top w:w="40" w:type="dxa"/>
              <w:left w:w="20" w:type="dxa"/>
              <w:bottom w:w="40" w:type="dxa"/>
              <w:right w:w="20" w:type="dxa"/>
            </w:tcMar>
            <w:vAlign w:val="bottom"/>
          </w:tcPr>
          <w:p w14:paraId="74DDC269" w14:textId="77777777" w:rsidR="00584EC1" w:rsidRDefault="00871F8D">
            <w:pPr>
              <w:textAlignment w:val="bottom"/>
            </w:pPr>
            <w:r>
              <w:rPr>
                <w:rFonts w:ascii="Arial" w:eastAsia="宋体" w:hAnsi="Arial" w:cs="Arial"/>
                <w:b/>
                <w:bCs/>
                <w:color w:val="000000"/>
                <w:sz w:val="12"/>
                <w:szCs w:val="12"/>
              </w:rPr>
              <w:t>(In millions)</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4DDC26A" w14:textId="77777777" w:rsidR="00584EC1" w:rsidRDefault="00584EC1">
            <w:pPr>
              <w:jc w:val="center"/>
              <w:rPr>
                <w:rFonts w:ascii="宋体"/>
              </w:rPr>
            </w:pPr>
          </w:p>
        </w:tc>
        <w:tc>
          <w:tcPr>
            <w:tcW w:w="0" w:type="auto"/>
            <w:gridSpan w:val="3"/>
            <w:shd w:val="clear" w:color="auto" w:fill="auto"/>
            <w:tcMar>
              <w:top w:w="0" w:type="dxa"/>
              <w:left w:w="20" w:type="dxa"/>
              <w:bottom w:w="0" w:type="dxa"/>
              <w:right w:w="20" w:type="dxa"/>
            </w:tcMar>
            <w:vAlign w:val="bottom"/>
          </w:tcPr>
          <w:p w14:paraId="74DDC26B"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C26C" w14:textId="77777777" w:rsidR="00584EC1" w:rsidRDefault="00871F8D">
            <w:pPr>
              <w:jc w:val="center"/>
              <w:textAlignment w:val="bottom"/>
            </w:pPr>
            <w:r>
              <w:rPr>
                <w:rFonts w:ascii="Arial" w:eastAsia="宋体" w:hAnsi="Arial" w:cs="Arial"/>
                <w:b/>
                <w:bCs/>
                <w:color w:val="000000"/>
                <w:sz w:val="12"/>
                <w:szCs w:val="12"/>
              </w:rPr>
              <w:t>Recorded i</w:t>
            </w:r>
            <w:r>
              <w:rPr>
                <w:rFonts w:ascii="Arial" w:eastAsia="宋体" w:hAnsi="Arial" w:cs="Arial"/>
                <w:b/>
                <w:bCs/>
                <w:color w:val="000000"/>
                <w:sz w:val="12"/>
                <w:szCs w:val="12"/>
              </w:rPr>
              <w:t>n Revenue</w:t>
            </w:r>
            <w:r>
              <w:rPr>
                <w:rFonts w:ascii="Arial" w:eastAsia="宋体" w:hAnsi="Arial" w:cs="Arial"/>
                <w:b/>
                <w:bCs/>
                <w:color w:val="000000"/>
                <w:sz w:val="7"/>
                <w:szCs w:val="7"/>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26D"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C26E" w14:textId="77777777" w:rsidR="00584EC1" w:rsidRDefault="00871F8D">
            <w:pPr>
              <w:jc w:val="center"/>
              <w:textAlignment w:val="bottom"/>
            </w:pPr>
            <w:r>
              <w:rPr>
                <w:rFonts w:ascii="Arial" w:eastAsia="宋体" w:hAnsi="Arial" w:cs="Arial"/>
                <w:b/>
                <w:bCs/>
                <w:color w:val="000000"/>
                <w:sz w:val="12"/>
                <w:szCs w:val="12"/>
              </w:rPr>
              <w:t>Recorded in Other Comprehensive Income</w:t>
            </w:r>
            <w:r>
              <w:rPr>
                <w:rFonts w:ascii="Arial" w:eastAsia="宋体" w:hAnsi="Arial" w:cs="Arial"/>
                <w:b/>
                <w:bCs/>
                <w:color w:val="000000"/>
                <w:sz w:val="7"/>
                <w:szCs w:val="7"/>
              </w:rPr>
              <w:t>(1)</w:t>
            </w:r>
          </w:p>
        </w:tc>
        <w:tc>
          <w:tcPr>
            <w:tcW w:w="0" w:type="auto"/>
            <w:gridSpan w:val="3"/>
            <w:shd w:val="clear" w:color="auto" w:fill="auto"/>
            <w:tcMar>
              <w:top w:w="0" w:type="dxa"/>
              <w:left w:w="20" w:type="dxa"/>
              <w:bottom w:w="0" w:type="dxa"/>
              <w:right w:w="20" w:type="dxa"/>
            </w:tcMar>
            <w:vAlign w:val="bottom"/>
          </w:tcPr>
          <w:p w14:paraId="74DDC26F" w14:textId="77777777" w:rsidR="00584EC1" w:rsidRDefault="00584EC1">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4DDC270" w14:textId="77777777" w:rsidR="00584EC1" w:rsidRDefault="00584EC1">
            <w:pPr>
              <w:jc w:val="center"/>
              <w:rPr>
                <w:rFonts w:ascii="宋体"/>
              </w:rPr>
            </w:pPr>
          </w:p>
        </w:tc>
        <w:tc>
          <w:tcPr>
            <w:tcW w:w="0" w:type="auto"/>
            <w:gridSpan w:val="3"/>
            <w:shd w:val="clear" w:color="auto" w:fill="auto"/>
            <w:tcMar>
              <w:top w:w="0" w:type="dxa"/>
              <w:left w:w="20" w:type="dxa"/>
              <w:bottom w:w="0" w:type="dxa"/>
              <w:right w:w="20" w:type="dxa"/>
            </w:tcMar>
            <w:vAlign w:val="bottom"/>
          </w:tcPr>
          <w:p w14:paraId="74DDC271" w14:textId="77777777" w:rsidR="00584EC1" w:rsidRDefault="00584EC1">
            <w:pPr>
              <w:rPr>
                <w:rFonts w:ascii="宋体"/>
              </w:rPr>
            </w:pPr>
          </w:p>
        </w:tc>
        <w:tc>
          <w:tcPr>
            <w:tcW w:w="0" w:type="auto"/>
            <w:shd w:val="clear" w:color="auto" w:fill="auto"/>
            <w:vAlign w:val="bottom"/>
          </w:tcPr>
          <w:p w14:paraId="74DDC272" w14:textId="77777777" w:rsidR="00584EC1" w:rsidRDefault="00584EC1">
            <w:pPr>
              <w:rPr>
                <w:rFonts w:ascii="宋体"/>
                <w:vanish/>
              </w:rPr>
            </w:pPr>
          </w:p>
        </w:tc>
        <w:tc>
          <w:tcPr>
            <w:tcW w:w="0" w:type="auto"/>
            <w:shd w:val="clear" w:color="auto" w:fill="auto"/>
            <w:vAlign w:val="bottom"/>
          </w:tcPr>
          <w:p w14:paraId="74DDC273" w14:textId="77777777" w:rsidR="00584EC1" w:rsidRDefault="00584EC1">
            <w:pPr>
              <w:rPr>
                <w:rFonts w:ascii="宋体"/>
                <w:vanish/>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4DDC274" w14:textId="77777777" w:rsidR="00584EC1" w:rsidRDefault="00584EC1">
            <w:pPr>
              <w:jc w:val="center"/>
              <w:rPr>
                <w:rFonts w:ascii="宋体"/>
              </w:rPr>
            </w:pPr>
          </w:p>
        </w:tc>
        <w:tc>
          <w:tcPr>
            <w:tcW w:w="0" w:type="auto"/>
            <w:gridSpan w:val="3"/>
            <w:shd w:val="clear" w:color="auto" w:fill="auto"/>
            <w:tcMar>
              <w:top w:w="0" w:type="dxa"/>
              <w:left w:w="20" w:type="dxa"/>
              <w:bottom w:w="0" w:type="dxa"/>
              <w:right w:w="20" w:type="dxa"/>
            </w:tcMar>
            <w:vAlign w:val="bottom"/>
          </w:tcPr>
          <w:p w14:paraId="74DDC275" w14:textId="77777777" w:rsidR="00584EC1" w:rsidRDefault="00584EC1">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4DDC276" w14:textId="77777777" w:rsidR="00584EC1" w:rsidRDefault="00584EC1">
            <w:pPr>
              <w:jc w:val="center"/>
              <w:rPr>
                <w:rFonts w:ascii="宋体"/>
              </w:rPr>
            </w:pPr>
          </w:p>
        </w:tc>
        <w:tc>
          <w:tcPr>
            <w:tcW w:w="0" w:type="auto"/>
            <w:gridSpan w:val="3"/>
            <w:shd w:val="clear" w:color="auto" w:fill="auto"/>
            <w:tcMar>
              <w:top w:w="0" w:type="dxa"/>
              <w:left w:w="20" w:type="dxa"/>
              <w:bottom w:w="0" w:type="dxa"/>
              <w:right w:w="20" w:type="dxa"/>
            </w:tcMar>
            <w:vAlign w:val="bottom"/>
          </w:tcPr>
          <w:p w14:paraId="74DDC277" w14:textId="77777777" w:rsidR="00584EC1" w:rsidRDefault="00584EC1">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4DDC278"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279" w14:textId="77777777" w:rsidR="00584EC1" w:rsidRDefault="00584EC1">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4DDC27A"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27B" w14:textId="77777777" w:rsidR="00584EC1" w:rsidRDefault="00584EC1">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4DDC27C"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27D" w14:textId="77777777" w:rsidR="00584EC1" w:rsidRDefault="00584EC1">
            <w:pPr>
              <w:rPr>
                <w:rFonts w:ascii="宋体"/>
              </w:rPr>
            </w:pPr>
          </w:p>
        </w:tc>
      </w:tr>
      <w:tr w:rsidR="00584EC1" w14:paraId="74DDC295" w14:textId="77777777">
        <w:tc>
          <w:tcPr>
            <w:tcW w:w="0" w:type="auto"/>
            <w:gridSpan w:val="3"/>
            <w:shd w:val="clear" w:color="auto" w:fill="auto"/>
            <w:tcMar>
              <w:top w:w="40" w:type="dxa"/>
              <w:left w:w="20" w:type="dxa"/>
              <w:bottom w:w="40" w:type="dxa"/>
              <w:right w:w="20" w:type="dxa"/>
            </w:tcMar>
            <w:vAlign w:val="center"/>
          </w:tcPr>
          <w:p w14:paraId="74DDC27F" w14:textId="77777777" w:rsidR="00584EC1" w:rsidRDefault="00871F8D">
            <w:pPr>
              <w:textAlignment w:val="center"/>
            </w:pPr>
            <w:r>
              <w:rPr>
                <w:rFonts w:ascii="Arial" w:eastAsia="宋体" w:hAnsi="Arial" w:cs="Arial"/>
                <w:b/>
                <w:bCs/>
                <w:color w:val="000000"/>
                <w:sz w:val="12"/>
                <w:szCs w:val="12"/>
              </w:rPr>
              <w:t>Assets: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280"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281"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28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283"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284"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285"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286"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287" w14:textId="77777777" w:rsidR="00584EC1" w:rsidRDefault="00584EC1">
            <w:pPr>
              <w:rPr>
                <w:rFonts w:ascii="宋体"/>
              </w:rPr>
            </w:pPr>
          </w:p>
        </w:tc>
        <w:tc>
          <w:tcPr>
            <w:tcW w:w="0" w:type="auto"/>
            <w:shd w:val="clear" w:color="auto" w:fill="auto"/>
            <w:vAlign w:val="bottom"/>
          </w:tcPr>
          <w:p w14:paraId="74DDC288" w14:textId="77777777" w:rsidR="00584EC1" w:rsidRDefault="00584EC1">
            <w:pPr>
              <w:rPr>
                <w:rFonts w:ascii="宋体"/>
                <w:vanish/>
              </w:rPr>
            </w:pPr>
          </w:p>
        </w:tc>
        <w:tc>
          <w:tcPr>
            <w:tcW w:w="0" w:type="auto"/>
            <w:shd w:val="clear" w:color="auto" w:fill="auto"/>
            <w:vAlign w:val="bottom"/>
          </w:tcPr>
          <w:p w14:paraId="74DDC289" w14:textId="77777777" w:rsidR="00584EC1" w:rsidRDefault="00584EC1">
            <w:pPr>
              <w:rPr>
                <w:rFonts w:ascii="宋体"/>
                <w:vanish/>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28A"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28B"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28C"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28D"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28E"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28F"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290"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291"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292" w14:textId="77777777" w:rsidR="00584EC1" w:rsidRDefault="00584EC1">
            <w:pPr>
              <w:rPr>
                <w:rFonts w:ascii="宋体"/>
              </w:rPr>
            </w:pPr>
          </w:p>
        </w:tc>
        <w:tc>
          <w:tcPr>
            <w:tcW w:w="0" w:type="auto"/>
            <w:gridSpan w:val="2"/>
            <w:shd w:val="clear" w:color="auto" w:fill="auto"/>
            <w:tcMar>
              <w:top w:w="0" w:type="dxa"/>
              <w:left w:w="20" w:type="dxa"/>
              <w:bottom w:w="0" w:type="dxa"/>
              <w:right w:w="20" w:type="dxa"/>
            </w:tcMar>
            <w:vAlign w:val="bottom"/>
          </w:tcPr>
          <w:p w14:paraId="74DDC293" w14:textId="77777777" w:rsidR="00584EC1" w:rsidRDefault="00584EC1">
            <w:pPr>
              <w:rPr>
                <w:rFonts w:ascii="宋体"/>
              </w:rPr>
            </w:pPr>
          </w:p>
        </w:tc>
        <w:tc>
          <w:tcPr>
            <w:tcW w:w="0" w:type="auto"/>
            <w:tcBorders>
              <w:top w:val="single" w:sz="8" w:space="0" w:color="000000"/>
            </w:tcBorders>
            <w:shd w:val="clear" w:color="auto" w:fill="auto"/>
            <w:tcMar>
              <w:top w:w="0" w:type="dxa"/>
              <w:left w:w="20" w:type="dxa"/>
              <w:bottom w:w="0" w:type="dxa"/>
              <w:right w:w="20" w:type="dxa"/>
            </w:tcMar>
            <w:vAlign w:val="bottom"/>
          </w:tcPr>
          <w:p w14:paraId="74DDC294" w14:textId="77777777" w:rsidR="00584EC1" w:rsidRDefault="00584EC1">
            <w:pPr>
              <w:rPr>
                <w:rFonts w:ascii="宋体"/>
              </w:rPr>
            </w:pPr>
          </w:p>
        </w:tc>
      </w:tr>
      <w:tr w:rsidR="00584EC1" w14:paraId="74DDC2AC" w14:textId="77777777">
        <w:tc>
          <w:tcPr>
            <w:tcW w:w="0" w:type="auto"/>
            <w:gridSpan w:val="3"/>
            <w:shd w:val="clear" w:color="auto" w:fill="auto"/>
            <w:tcMar>
              <w:top w:w="40" w:type="dxa"/>
              <w:left w:w="20" w:type="dxa"/>
              <w:bottom w:w="40" w:type="dxa"/>
              <w:right w:w="20" w:type="dxa"/>
            </w:tcMar>
            <w:vAlign w:val="center"/>
          </w:tcPr>
          <w:p w14:paraId="74DDC296" w14:textId="77777777" w:rsidR="00584EC1" w:rsidRDefault="00871F8D">
            <w:pPr>
              <w:textAlignment w:val="center"/>
            </w:pPr>
            <w:r>
              <w:rPr>
                <w:rFonts w:ascii="Arial" w:eastAsia="宋体" w:hAnsi="Arial" w:cs="Arial"/>
                <w:color w:val="000000"/>
                <w:sz w:val="12"/>
                <w:szCs w:val="12"/>
              </w:rPr>
              <w:t>Available-for-sale Investment securities:</w:t>
            </w:r>
          </w:p>
        </w:tc>
        <w:tc>
          <w:tcPr>
            <w:tcW w:w="0" w:type="auto"/>
            <w:gridSpan w:val="3"/>
            <w:shd w:val="clear" w:color="auto" w:fill="auto"/>
            <w:tcMar>
              <w:top w:w="0" w:type="dxa"/>
              <w:left w:w="20" w:type="dxa"/>
              <w:bottom w:w="0" w:type="dxa"/>
              <w:right w:w="20" w:type="dxa"/>
            </w:tcMar>
            <w:vAlign w:val="bottom"/>
          </w:tcPr>
          <w:p w14:paraId="74DDC297"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298"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299"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29A"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29B"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29C"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29D"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29E" w14:textId="77777777" w:rsidR="00584EC1" w:rsidRDefault="00584EC1">
            <w:pPr>
              <w:rPr>
                <w:rFonts w:ascii="宋体"/>
              </w:rPr>
            </w:pPr>
          </w:p>
        </w:tc>
        <w:tc>
          <w:tcPr>
            <w:tcW w:w="0" w:type="auto"/>
            <w:shd w:val="clear" w:color="auto" w:fill="auto"/>
            <w:vAlign w:val="bottom"/>
          </w:tcPr>
          <w:p w14:paraId="74DDC29F" w14:textId="77777777" w:rsidR="00584EC1" w:rsidRDefault="00584EC1">
            <w:pPr>
              <w:rPr>
                <w:rFonts w:ascii="宋体"/>
                <w:vanish/>
              </w:rPr>
            </w:pPr>
          </w:p>
        </w:tc>
        <w:tc>
          <w:tcPr>
            <w:tcW w:w="0" w:type="auto"/>
            <w:shd w:val="clear" w:color="auto" w:fill="auto"/>
            <w:vAlign w:val="bottom"/>
          </w:tcPr>
          <w:p w14:paraId="74DDC2A0" w14:textId="77777777" w:rsidR="00584EC1" w:rsidRDefault="00584EC1">
            <w:pPr>
              <w:rPr>
                <w:rFonts w:ascii="宋体"/>
                <w:vanish/>
              </w:rPr>
            </w:pPr>
          </w:p>
        </w:tc>
        <w:tc>
          <w:tcPr>
            <w:tcW w:w="0" w:type="auto"/>
            <w:gridSpan w:val="3"/>
            <w:shd w:val="clear" w:color="auto" w:fill="auto"/>
            <w:tcMar>
              <w:top w:w="0" w:type="dxa"/>
              <w:left w:w="20" w:type="dxa"/>
              <w:bottom w:w="0" w:type="dxa"/>
              <w:right w:w="20" w:type="dxa"/>
            </w:tcMar>
            <w:vAlign w:val="bottom"/>
          </w:tcPr>
          <w:p w14:paraId="74DDC2A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2A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2A3"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2A4"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2A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2A6"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2A7"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2A8"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2A9" w14:textId="77777777" w:rsidR="00584EC1" w:rsidRDefault="00584EC1">
            <w:pPr>
              <w:rPr>
                <w:rFonts w:ascii="宋体"/>
              </w:rPr>
            </w:pPr>
          </w:p>
        </w:tc>
        <w:tc>
          <w:tcPr>
            <w:tcW w:w="0" w:type="auto"/>
            <w:gridSpan w:val="2"/>
            <w:shd w:val="clear" w:color="auto" w:fill="auto"/>
            <w:tcMar>
              <w:top w:w="0" w:type="dxa"/>
              <w:left w:w="20" w:type="dxa"/>
              <w:bottom w:w="0" w:type="dxa"/>
              <w:right w:w="20" w:type="dxa"/>
            </w:tcMar>
            <w:vAlign w:val="bottom"/>
          </w:tcPr>
          <w:p w14:paraId="74DDC2AA" w14:textId="77777777" w:rsidR="00584EC1" w:rsidRDefault="00584EC1">
            <w:pPr>
              <w:rPr>
                <w:rFonts w:ascii="宋体"/>
              </w:rPr>
            </w:pPr>
          </w:p>
        </w:tc>
        <w:tc>
          <w:tcPr>
            <w:tcW w:w="0" w:type="auto"/>
            <w:shd w:val="clear" w:color="auto" w:fill="auto"/>
            <w:tcMar>
              <w:top w:w="0" w:type="dxa"/>
              <w:left w:w="20" w:type="dxa"/>
              <w:bottom w:w="0" w:type="dxa"/>
              <w:right w:w="20" w:type="dxa"/>
            </w:tcMar>
            <w:vAlign w:val="bottom"/>
          </w:tcPr>
          <w:p w14:paraId="74DDC2AB" w14:textId="77777777" w:rsidR="00584EC1" w:rsidRDefault="00584EC1">
            <w:pPr>
              <w:rPr>
                <w:rFonts w:ascii="宋体"/>
              </w:rPr>
            </w:pPr>
          </w:p>
        </w:tc>
      </w:tr>
      <w:tr w:rsidR="00584EC1" w14:paraId="74DDC2C3" w14:textId="77777777">
        <w:trPr>
          <w:hidden/>
        </w:trPr>
        <w:tc>
          <w:tcPr>
            <w:tcW w:w="0" w:type="auto"/>
            <w:gridSpan w:val="3"/>
            <w:shd w:val="clear" w:color="auto" w:fill="auto"/>
            <w:vAlign w:val="bottom"/>
          </w:tcPr>
          <w:p w14:paraId="74DDC2AD" w14:textId="77777777" w:rsidR="00584EC1" w:rsidRDefault="00584EC1">
            <w:pPr>
              <w:rPr>
                <w:rFonts w:ascii="宋体"/>
                <w:vanish/>
              </w:rPr>
            </w:pPr>
          </w:p>
        </w:tc>
        <w:tc>
          <w:tcPr>
            <w:tcW w:w="0" w:type="auto"/>
            <w:gridSpan w:val="3"/>
            <w:shd w:val="clear" w:color="auto" w:fill="auto"/>
            <w:vAlign w:val="bottom"/>
          </w:tcPr>
          <w:p w14:paraId="74DDC2AE" w14:textId="77777777" w:rsidR="00584EC1" w:rsidRDefault="00584EC1">
            <w:pPr>
              <w:rPr>
                <w:rFonts w:ascii="宋体"/>
                <w:vanish/>
              </w:rPr>
            </w:pPr>
          </w:p>
        </w:tc>
        <w:tc>
          <w:tcPr>
            <w:tcW w:w="0" w:type="auto"/>
            <w:gridSpan w:val="3"/>
            <w:shd w:val="clear" w:color="auto" w:fill="auto"/>
            <w:vAlign w:val="bottom"/>
          </w:tcPr>
          <w:p w14:paraId="74DDC2AF" w14:textId="77777777" w:rsidR="00584EC1" w:rsidRDefault="00584EC1">
            <w:pPr>
              <w:rPr>
                <w:rFonts w:ascii="宋体"/>
                <w:vanish/>
              </w:rPr>
            </w:pPr>
          </w:p>
        </w:tc>
        <w:tc>
          <w:tcPr>
            <w:tcW w:w="0" w:type="auto"/>
            <w:gridSpan w:val="3"/>
            <w:shd w:val="clear" w:color="auto" w:fill="auto"/>
            <w:vAlign w:val="bottom"/>
          </w:tcPr>
          <w:p w14:paraId="74DDC2B0" w14:textId="77777777" w:rsidR="00584EC1" w:rsidRDefault="00584EC1">
            <w:pPr>
              <w:rPr>
                <w:rFonts w:ascii="宋体"/>
                <w:vanish/>
              </w:rPr>
            </w:pPr>
          </w:p>
        </w:tc>
        <w:tc>
          <w:tcPr>
            <w:tcW w:w="0" w:type="auto"/>
            <w:gridSpan w:val="3"/>
            <w:shd w:val="clear" w:color="auto" w:fill="auto"/>
            <w:vAlign w:val="bottom"/>
          </w:tcPr>
          <w:p w14:paraId="74DDC2B1" w14:textId="77777777" w:rsidR="00584EC1" w:rsidRDefault="00584EC1">
            <w:pPr>
              <w:rPr>
                <w:rFonts w:ascii="宋体"/>
                <w:vanish/>
              </w:rPr>
            </w:pPr>
          </w:p>
        </w:tc>
        <w:tc>
          <w:tcPr>
            <w:tcW w:w="0" w:type="auto"/>
            <w:gridSpan w:val="3"/>
            <w:shd w:val="clear" w:color="auto" w:fill="auto"/>
            <w:vAlign w:val="bottom"/>
          </w:tcPr>
          <w:p w14:paraId="74DDC2B2" w14:textId="77777777" w:rsidR="00584EC1" w:rsidRDefault="00584EC1">
            <w:pPr>
              <w:rPr>
                <w:rFonts w:ascii="宋体"/>
                <w:vanish/>
              </w:rPr>
            </w:pPr>
          </w:p>
        </w:tc>
        <w:tc>
          <w:tcPr>
            <w:tcW w:w="0" w:type="auto"/>
            <w:gridSpan w:val="3"/>
            <w:shd w:val="clear" w:color="auto" w:fill="auto"/>
            <w:vAlign w:val="bottom"/>
          </w:tcPr>
          <w:p w14:paraId="74DDC2B3" w14:textId="77777777" w:rsidR="00584EC1" w:rsidRDefault="00584EC1">
            <w:pPr>
              <w:rPr>
                <w:rFonts w:ascii="宋体"/>
                <w:vanish/>
              </w:rPr>
            </w:pPr>
          </w:p>
        </w:tc>
        <w:tc>
          <w:tcPr>
            <w:tcW w:w="0" w:type="auto"/>
            <w:gridSpan w:val="3"/>
            <w:shd w:val="clear" w:color="auto" w:fill="auto"/>
            <w:vAlign w:val="bottom"/>
          </w:tcPr>
          <w:p w14:paraId="74DDC2B4" w14:textId="77777777" w:rsidR="00584EC1" w:rsidRDefault="00584EC1">
            <w:pPr>
              <w:rPr>
                <w:rFonts w:ascii="宋体"/>
                <w:vanish/>
              </w:rPr>
            </w:pPr>
          </w:p>
        </w:tc>
        <w:tc>
          <w:tcPr>
            <w:tcW w:w="0" w:type="auto"/>
            <w:gridSpan w:val="3"/>
            <w:shd w:val="clear" w:color="auto" w:fill="auto"/>
            <w:vAlign w:val="bottom"/>
          </w:tcPr>
          <w:p w14:paraId="74DDC2B5" w14:textId="77777777" w:rsidR="00584EC1" w:rsidRDefault="00584EC1">
            <w:pPr>
              <w:rPr>
                <w:rFonts w:ascii="宋体"/>
                <w:vanish/>
              </w:rPr>
            </w:pPr>
          </w:p>
        </w:tc>
        <w:tc>
          <w:tcPr>
            <w:tcW w:w="0" w:type="auto"/>
            <w:shd w:val="clear" w:color="auto" w:fill="auto"/>
            <w:vAlign w:val="bottom"/>
          </w:tcPr>
          <w:p w14:paraId="74DDC2B6" w14:textId="77777777" w:rsidR="00584EC1" w:rsidRDefault="00584EC1">
            <w:pPr>
              <w:rPr>
                <w:rFonts w:ascii="宋体"/>
                <w:vanish/>
              </w:rPr>
            </w:pPr>
          </w:p>
        </w:tc>
        <w:tc>
          <w:tcPr>
            <w:tcW w:w="0" w:type="auto"/>
            <w:shd w:val="clear" w:color="auto" w:fill="auto"/>
            <w:vAlign w:val="bottom"/>
          </w:tcPr>
          <w:p w14:paraId="74DDC2B7" w14:textId="77777777" w:rsidR="00584EC1" w:rsidRDefault="00584EC1">
            <w:pPr>
              <w:rPr>
                <w:rFonts w:ascii="宋体"/>
                <w:vanish/>
              </w:rPr>
            </w:pPr>
          </w:p>
        </w:tc>
        <w:tc>
          <w:tcPr>
            <w:tcW w:w="0" w:type="auto"/>
            <w:gridSpan w:val="3"/>
            <w:shd w:val="clear" w:color="auto" w:fill="auto"/>
            <w:vAlign w:val="bottom"/>
          </w:tcPr>
          <w:p w14:paraId="74DDC2B8" w14:textId="77777777" w:rsidR="00584EC1" w:rsidRDefault="00584EC1">
            <w:pPr>
              <w:rPr>
                <w:rFonts w:ascii="宋体"/>
                <w:vanish/>
              </w:rPr>
            </w:pPr>
          </w:p>
        </w:tc>
        <w:tc>
          <w:tcPr>
            <w:tcW w:w="0" w:type="auto"/>
            <w:gridSpan w:val="3"/>
            <w:shd w:val="clear" w:color="auto" w:fill="auto"/>
            <w:vAlign w:val="bottom"/>
          </w:tcPr>
          <w:p w14:paraId="74DDC2B9" w14:textId="77777777" w:rsidR="00584EC1" w:rsidRDefault="00584EC1">
            <w:pPr>
              <w:rPr>
                <w:rFonts w:ascii="宋体"/>
                <w:vanish/>
              </w:rPr>
            </w:pPr>
          </w:p>
        </w:tc>
        <w:tc>
          <w:tcPr>
            <w:tcW w:w="0" w:type="auto"/>
            <w:gridSpan w:val="3"/>
            <w:shd w:val="clear" w:color="auto" w:fill="auto"/>
            <w:vAlign w:val="bottom"/>
          </w:tcPr>
          <w:p w14:paraId="74DDC2BA" w14:textId="77777777" w:rsidR="00584EC1" w:rsidRDefault="00584EC1">
            <w:pPr>
              <w:rPr>
                <w:rFonts w:ascii="宋体"/>
                <w:vanish/>
              </w:rPr>
            </w:pPr>
          </w:p>
        </w:tc>
        <w:tc>
          <w:tcPr>
            <w:tcW w:w="0" w:type="auto"/>
            <w:gridSpan w:val="3"/>
            <w:shd w:val="clear" w:color="auto" w:fill="auto"/>
            <w:vAlign w:val="bottom"/>
          </w:tcPr>
          <w:p w14:paraId="74DDC2BB" w14:textId="77777777" w:rsidR="00584EC1" w:rsidRDefault="00584EC1">
            <w:pPr>
              <w:rPr>
                <w:rFonts w:ascii="宋体"/>
                <w:vanish/>
              </w:rPr>
            </w:pPr>
          </w:p>
        </w:tc>
        <w:tc>
          <w:tcPr>
            <w:tcW w:w="0" w:type="auto"/>
            <w:gridSpan w:val="3"/>
            <w:shd w:val="clear" w:color="auto" w:fill="auto"/>
            <w:vAlign w:val="bottom"/>
          </w:tcPr>
          <w:p w14:paraId="74DDC2BC" w14:textId="77777777" w:rsidR="00584EC1" w:rsidRDefault="00584EC1">
            <w:pPr>
              <w:rPr>
                <w:rFonts w:ascii="宋体"/>
                <w:vanish/>
              </w:rPr>
            </w:pPr>
          </w:p>
        </w:tc>
        <w:tc>
          <w:tcPr>
            <w:tcW w:w="0" w:type="auto"/>
            <w:gridSpan w:val="3"/>
            <w:shd w:val="clear" w:color="auto" w:fill="auto"/>
            <w:vAlign w:val="bottom"/>
          </w:tcPr>
          <w:p w14:paraId="74DDC2BD" w14:textId="77777777" w:rsidR="00584EC1" w:rsidRDefault="00584EC1">
            <w:pPr>
              <w:rPr>
                <w:rFonts w:ascii="宋体"/>
                <w:vanish/>
              </w:rPr>
            </w:pPr>
          </w:p>
        </w:tc>
        <w:tc>
          <w:tcPr>
            <w:tcW w:w="0" w:type="auto"/>
            <w:gridSpan w:val="3"/>
            <w:shd w:val="clear" w:color="auto" w:fill="auto"/>
            <w:vAlign w:val="bottom"/>
          </w:tcPr>
          <w:p w14:paraId="74DDC2BE" w14:textId="77777777" w:rsidR="00584EC1" w:rsidRDefault="00584EC1">
            <w:pPr>
              <w:rPr>
                <w:rFonts w:ascii="宋体"/>
                <w:vanish/>
              </w:rPr>
            </w:pPr>
          </w:p>
        </w:tc>
        <w:tc>
          <w:tcPr>
            <w:tcW w:w="0" w:type="auto"/>
            <w:gridSpan w:val="3"/>
            <w:shd w:val="clear" w:color="auto" w:fill="auto"/>
            <w:vAlign w:val="bottom"/>
          </w:tcPr>
          <w:p w14:paraId="74DDC2BF" w14:textId="77777777" w:rsidR="00584EC1" w:rsidRDefault="00584EC1">
            <w:pPr>
              <w:rPr>
                <w:rFonts w:ascii="宋体"/>
                <w:vanish/>
              </w:rPr>
            </w:pPr>
          </w:p>
        </w:tc>
        <w:tc>
          <w:tcPr>
            <w:tcW w:w="0" w:type="auto"/>
            <w:gridSpan w:val="3"/>
            <w:shd w:val="clear" w:color="auto" w:fill="auto"/>
            <w:vAlign w:val="bottom"/>
          </w:tcPr>
          <w:p w14:paraId="74DDC2C0" w14:textId="77777777" w:rsidR="00584EC1" w:rsidRDefault="00584EC1">
            <w:pPr>
              <w:rPr>
                <w:rFonts w:ascii="宋体"/>
                <w:vanish/>
              </w:rPr>
            </w:pPr>
          </w:p>
        </w:tc>
        <w:tc>
          <w:tcPr>
            <w:tcW w:w="0" w:type="auto"/>
            <w:gridSpan w:val="2"/>
            <w:shd w:val="clear" w:color="auto" w:fill="auto"/>
            <w:vAlign w:val="bottom"/>
          </w:tcPr>
          <w:p w14:paraId="74DDC2C1" w14:textId="77777777" w:rsidR="00584EC1" w:rsidRDefault="00584EC1">
            <w:pPr>
              <w:rPr>
                <w:rFonts w:ascii="宋体"/>
                <w:vanish/>
              </w:rPr>
            </w:pPr>
          </w:p>
        </w:tc>
        <w:tc>
          <w:tcPr>
            <w:tcW w:w="0" w:type="auto"/>
            <w:shd w:val="clear" w:color="auto" w:fill="auto"/>
            <w:vAlign w:val="bottom"/>
          </w:tcPr>
          <w:p w14:paraId="74DDC2C2" w14:textId="77777777" w:rsidR="00584EC1" w:rsidRDefault="00584EC1">
            <w:pPr>
              <w:rPr>
                <w:rFonts w:ascii="宋体"/>
                <w:vanish/>
              </w:rPr>
            </w:pPr>
          </w:p>
        </w:tc>
      </w:tr>
      <w:tr w:rsidR="00584EC1" w14:paraId="74DDC2DA" w14:textId="77777777">
        <w:trPr>
          <w:hidden/>
        </w:trPr>
        <w:tc>
          <w:tcPr>
            <w:tcW w:w="0" w:type="auto"/>
            <w:gridSpan w:val="3"/>
            <w:shd w:val="clear" w:color="auto" w:fill="auto"/>
            <w:vAlign w:val="bottom"/>
          </w:tcPr>
          <w:p w14:paraId="74DDC2C4" w14:textId="77777777" w:rsidR="00584EC1" w:rsidRDefault="00584EC1">
            <w:pPr>
              <w:rPr>
                <w:rFonts w:ascii="宋体"/>
                <w:vanish/>
              </w:rPr>
            </w:pPr>
          </w:p>
        </w:tc>
        <w:tc>
          <w:tcPr>
            <w:tcW w:w="0" w:type="auto"/>
            <w:gridSpan w:val="3"/>
            <w:shd w:val="clear" w:color="auto" w:fill="auto"/>
            <w:vAlign w:val="bottom"/>
          </w:tcPr>
          <w:p w14:paraId="74DDC2C5" w14:textId="77777777" w:rsidR="00584EC1" w:rsidRDefault="00584EC1">
            <w:pPr>
              <w:rPr>
                <w:rFonts w:ascii="宋体"/>
                <w:vanish/>
              </w:rPr>
            </w:pPr>
          </w:p>
        </w:tc>
        <w:tc>
          <w:tcPr>
            <w:tcW w:w="0" w:type="auto"/>
            <w:gridSpan w:val="3"/>
            <w:shd w:val="clear" w:color="auto" w:fill="auto"/>
            <w:vAlign w:val="bottom"/>
          </w:tcPr>
          <w:p w14:paraId="74DDC2C6" w14:textId="77777777" w:rsidR="00584EC1" w:rsidRDefault="00584EC1">
            <w:pPr>
              <w:rPr>
                <w:rFonts w:ascii="宋体"/>
                <w:vanish/>
              </w:rPr>
            </w:pPr>
          </w:p>
        </w:tc>
        <w:tc>
          <w:tcPr>
            <w:tcW w:w="0" w:type="auto"/>
            <w:gridSpan w:val="3"/>
            <w:shd w:val="clear" w:color="auto" w:fill="auto"/>
            <w:vAlign w:val="bottom"/>
          </w:tcPr>
          <w:p w14:paraId="74DDC2C7" w14:textId="77777777" w:rsidR="00584EC1" w:rsidRDefault="00584EC1">
            <w:pPr>
              <w:rPr>
                <w:rFonts w:ascii="宋体"/>
                <w:vanish/>
              </w:rPr>
            </w:pPr>
          </w:p>
        </w:tc>
        <w:tc>
          <w:tcPr>
            <w:tcW w:w="0" w:type="auto"/>
            <w:gridSpan w:val="3"/>
            <w:shd w:val="clear" w:color="auto" w:fill="auto"/>
            <w:vAlign w:val="bottom"/>
          </w:tcPr>
          <w:p w14:paraId="74DDC2C8" w14:textId="77777777" w:rsidR="00584EC1" w:rsidRDefault="00584EC1">
            <w:pPr>
              <w:rPr>
                <w:rFonts w:ascii="宋体"/>
                <w:vanish/>
              </w:rPr>
            </w:pPr>
          </w:p>
        </w:tc>
        <w:tc>
          <w:tcPr>
            <w:tcW w:w="0" w:type="auto"/>
            <w:gridSpan w:val="3"/>
            <w:shd w:val="clear" w:color="auto" w:fill="auto"/>
            <w:vAlign w:val="bottom"/>
          </w:tcPr>
          <w:p w14:paraId="74DDC2C9" w14:textId="77777777" w:rsidR="00584EC1" w:rsidRDefault="00584EC1">
            <w:pPr>
              <w:rPr>
                <w:rFonts w:ascii="宋体"/>
                <w:vanish/>
              </w:rPr>
            </w:pPr>
          </w:p>
        </w:tc>
        <w:tc>
          <w:tcPr>
            <w:tcW w:w="0" w:type="auto"/>
            <w:gridSpan w:val="3"/>
            <w:shd w:val="clear" w:color="auto" w:fill="auto"/>
            <w:vAlign w:val="bottom"/>
          </w:tcPr>
          <w:p w14:paraId="74DDC2CA" w14:textId="77777777" w:rsidR="00584EC1" w:rsidRDefault="00584EC1">
            <w:pPr>
              <w:rPr>
                <w:rFonts w:ascii="宋体"/>
                <w:vanish/>
              </w:rPr>
            </w:pPr>
          </w:p>
        </w:tc>
        <w:tc>
          <w:tcPr>
            <w:tcW w:w="0" w:type="auto"/>
            <w:gridSpan w:val="3"/>
            <w:shd w:val="clear" w:color="auto" w:fill="auto"/>
            <w:vAlign w:val="bottom"/>
          </w:tcPr>
          <w:p w14:paraId="74DDC2CB" w14:textId="77777777" w:rsidR="00584EC1" w:rsidRDefault="00584EC1">
            <w:pPr>
              <w:rPr>
                <w:rFonts w:ascii="宋体"/>
                <w:vanish/>
              </w:rPr>
            </w:pPr>
          </w:p>
        </w:tc>
        <w:tc>
          <w:tcPr>
            <w:tcW w:w="0" w:type="auto"/>
            <w:gridSpan w:val="3"/>
            <w:shd w:val="clear" w:color="auto" w:fill="auto"/>
            <w:vAlign w:val="bottom"/>
          </w:tcPr>
          <w:p w14:paraId="74DDC2CC" w14:textId="77777777" w:rsidR="00584EC1" w:rsidRDefault="00584EC1">
            <w:pPr>
              <w:rPr>
                <w:rFonts w:ascii="宋体"/>
                <w:vanish/>
              </w:rPr>
            </w:pPr>
          </w:p>
        </w:tc>
        <w:tc>
          <w:tcPr>
            <w:tcW w:w="0" w:type="auto"/>
            <w:shd w:val="clear" w:color="auto" w:fill="auto"/>
            <w:vAlign w:val="bottom"/>
          </w:tcPr>
          <w:p w14:paraId="74DDC2CD" w14:textId="77777777" w:rsidR="00584EC1" w:rsidRDefault="00584EC1">
            <w:pPr>
              <w:rPr>
                <w:rFonts w:ascii="宋体"/>
                <w:vanish/>
              </w:rPr>
            </w:pPr>
          </w:p>
        </w:tc>
        <w:tc>
          <w:tcPr>
            <w:tcW w:w="0" w:type="auto"/>
            <w:shd w:val="clear" w:color="auto" w:fill="auto"/>
            <w:vAlign w:val="bottom"/>
          </w:tcPr>
          <w:p w14:paraId="74DDC2CE" w14:textId="77777777" w:rsidR="00584EC1" w:rsidRDefault="00584EC1">
            <w:pPr>
              <w:rPr>
                <w:rFonts w:ascii="宋体"/>
                <w:vanish/>
              </w:rPr>
            </w:pPr>
          </w:p>
        </w:tc>
        <w:tc>
          <w:tcPr>
            <w:tcW w:w="0" w:type="auto"/>
            <w:gridSpan w:val="3"/>
            <w:shd w:val="clear" w:color="auto" w:fill="auto"/>
            <w:vAlign w:val="bottom"/>
          </w:tcPr>
          <w:p w14:paraId="74DDC2CF" w14:textId="77777777" w:rsidR="00584EC1" w:rsidRDefault="00584EC1">
            <w:pPr>
              <w:rPr>
                <w:rFonts w:ascii="宋体"/>
                <w:vanish/>
              </w:rPr>
            </w:pPr>
          </w:p>
        </w:tc>
        <w:tc>
          <w:tcPr>
            <w:tcW w:w="0" w:type="auto"/>
            <w:gridSpan w:val="3"/>
            <w:shd w:val="clear" w:color="auto" w:fill="auto"/>
            <w:vAlign w:val="bottom"/>
          </w:tcPr>
          <w:p w14:paraId="74DDC2D0" w14:textId="77777777" w:rsidR="00584EC1" w:rsidRDefault="00584EC1">
            <w:pPr>
              <w:rPr>
                <w:rFonts w:ascii="宋体"/>
                <w:vanish/>
              </w:rPr>
            </w:pPr>
          </w:p>
        </w:tc>
        <w:tc>
          <w:tcPr>
            <w:tcW w:w="0" w:type="auto"/>
            <w:gridSpan w:val="3"/>
            <w:shd w:val="clear" w:color="auto" w:fill="auto"/>
            <w:vAlign w:val="bottom"/>
          </w:tcPr>
          <w:p w14:paraId="74DDC2D1" w14:textId="77777777" w:rsidR="00584EC1" w:rsidRDefault="00584EC1">
            <w:pPr>
              <w:rPr>
                <w:rFonts w:ascii="宋体"/>
                <w:vanish/>
              </w:rPr>
            </w:pPr>
          </w:p>
        </w:tc>
        <w:tc>
          <w:tcPr>
            <w:tcW w:w="0" w:type="auto"/>
            <w:gridSpan w:val="3"/>
            <w:shd w:val="clear" w:color="auto" w:fill="auto"/>
            <w:vAlign w:val="bottom"/>
          </w:tcPr>
          <w:p w14:paraId="74DDC2D2" w14:textId="77777777" w:rsidR="00584EC1" w:rsidRDefault="00584EC1">
            <w:pPr>
              <w:rPr>
                <w:rFonts w:ascii="宋体"/>
                <w:vanish/>
              </w:rPr>
            </w:pPr>
          </w:p>
        </w:tc>
        <w:tc>
          <w:tcPr>
            <w:tcW w:w="0" w:type="auto"/>
            <w:gridSpan w:val="3"/>
            <w:shd w:val="clear" w:color="auto" w:fill="auto"/>
            <w:vAlign w:val="bottom"/>
          </w:tcPr>
          <w:p w14:paraId="74DDC2D3" w14:textId="77777777" w:rsidR="00584EC1" w:rsidRDefault="00584EC1">
            <w:pPr>
              <w:rPr>
                <w:rFonts w:ascii="宋体"/>
                <w:vanish/>
              </w:rPr>
            </w:pPr>
          </w:p>
        </w:tc>
        <w:tc>
          <w:tcPr>
            <w:tcW w:w="0" w:type="auto"/>
            <w:gridSpan w:val="3"/>
            <w:shd w:val="clear" w:color="auto" w:fill="auto"/>
            <w:vAlign w:val="bottom"/>
          </w:tcPr>
          <w:p w14:paraId="74DDC2D4" w14:textId="77777777" w:rsidR="00584EC1" w:rsidRDefault="00584EC1">
            <w:pPr>
              <w:rPr>
                <w:rFonts w:ascii="宋体"/>
                <w:vanish/>
              </w:rPr>
            </w:pPr>
          </w:p>
        </w:tc>
        <w:tc>
          <w:tcPr>
            <w:tcW w:w="0" w:type="auto"/>
            <w:gridSpan w:val="3"/>
            <w:shd w:val="clear" w:color="auto" w:fill="auto"/>
            <w:vAlign w:val="bottom"/>
          </w:tcPr>
          <w:p w14:paraId="74DDC2D5" w14:textId="77777777" w:rsidR="00584EC1" w:rsidRDefault="00584EC1">
            <w:pPr>
              <w:rPr>
                <w:rFonts w:ascii="宋体"/>
                <w:vanish/>
              </w:rPr>
            </w:pPr>
          </w:p>
        </w:tc>
        <w:tc>
          <w:tcPr>
            <w:tcW w:w="0" w:type="auto"/>
            <w:gridSpan w:val="3"/>
            <w:shd w:val="clear" w:color="auto" w:fill="auto"/>
            <w:vAlign w:val="bottom"/>
          </w:tcPr>
          <w:p w14:paraId="74DDC2D6" w14:textId="77777777" w:rsidR="00584EC1" w:rsidRDefault="00584EC1">
            <w:pPr>
              <w:rPr>
                <w:rFonts w:ascii="宋体"/>
                <w:vanish/>
              </w:rPr>
            </w:pPr>
          </w:p>
        </w:tc>
        <w:tc>
          <w:tcPr>
            <w:tcW w:w="0" w:type="auto"/>
            <w:gridSpan w:val="3"/>
            <w:shd w:val="clear" w:color="auto" w:fill="auto"/>
            <w:vAlign w:val="bottom"/>
          </w:tcPr>
          <w:p w14:paraId="74DDC2D7" w14:textId="77777777" w:rsidR="00584EC1" w:rsidRDefault="00584EC1">
            <w:pPr>
              <w:rPr>
                <w:rFonts w:ascii="宋体"/>
                <w:vanish/>
              </w:rPr>
            </w:pPr>
          </w:p>
        </w:tc>
        <w:tc>
          <w:tcPr>
            <w:tcW w:w="0" w:type="auto"/>
            <w:gridSpan w:val="2"/>
            <w:shd w:val="clear" w:color="auto" w:fill="auto"/>
            <w:vAlign w:val="bottom"/>
          </w:tcPr>
          <w:p w14:paraId="74DDC2D8" w14:textId="77777777" w:rsidR="00584EC1" w:rsidRDefault="00584EC1">
            <w:pPr>
              <w:rPr>
                <w:rFonts w:ascii="宋体"/>
                <w:vanish/>
              </w:rPr>
            </w:pPr>
          </w:p>
        </w:tc>
        <w:tc>
          <w:tcPr>
            <w:tcW w:w="0" w:type="auto"/>
            <w:shd w:val="clear" w:color="auto" w:fill="auto"/>
            <w:vAlign w:val="bottom"/>
          </w:tcPr>
          <w:p w14:paraId="74DDC2D9" w14:textId="77777777" w:rsidR="00584EC1" w:rsidRDefault="00584EC1">
            <w:pPr>
              <w:rPr>
                <w:rFonts w:ascii="宋体"/>
                <w:vanish/>
              </w:rPr>
            </w:pPr>
          </w:p>
        </w:tc>
      </w:tr>
      <w:tr w:rsidR="00584EC1" w14:paraId="74DDC2F1" w14:textId="77777777">
        <w:tc>
          <w:tcPr>
            <w:tcW w:w="0" w:type="auto"/>
            <w:gridSpan w:val="3"/>
            <w:shd w:val="clear" w:color="auto" w:fill="auto"/>
            <w:tcMar>
              <w:top w:w="40" w:type="dxa"/>
              <w:left w:w="20" w:type="dxa"/>
              <w:bottom w:w="40" w:type="dxa"/>
              <w:right w:w="20" w:type="dxa"/>
            </w:tcMar>
            <w:vAlign w:val="center"/>
          </w:tcPr>
          <w:p w14:paraId="74DDC2DB" w14:textId="77777777" w:rsidR="00584EC1" w:rsidRDefault="00871F8D">
            <w:pPr>
              <w:textAlignment w:val="center"/>
            </w:pPr>
            <w:r>
              <w:rPr>
                <w:rFonts w:ascii="Arial" w:eastAsia="宋体" w:hAnsi="Arial" w:cs="Arial"/>
                <w:color w:val="000000"/>
                <w:sz w:val="12"/>
                <w:szCs w:val="12"/>
              </w:rPr>
              <w:t>Asset-backed securities:</w:t>
            </w:r>
          </w:p>
        </w:tc>
        <w:tc>
          <w:tcPr>
            <w:tcW w:w="0" w:type="auto"/>
            <w:gridSpan w:val="3"/>
            <w:shd w:val="clear" w:color="auto" w:fill="auto"/>
            <w:tcMar>
              <w:top w:w="0" w:type="dxa"/>
              <w:left w:w="20" w:type="dxa"/>
              <w:bottom w:w="0" w:type="dxa"/>
              <w:right w:w="20" w:type="dxa"/>
            </w:tcMar>
            <w:vAlign w:val="bottom"/>
          </w:tcPr>
          <w:p w14:paraId="74DDC2DC"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2DD"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2DE"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2DF"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2E0"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2E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2E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2E3" w14:textId="77777777" w:rsidR="00584EC1" w:rsidRDefault="00584EC1">
            <w:pPr>
              <w:rPr>
                <w:rFonts w:ascii="宋体"/>
              </w:rPr>
            </w:pPr>
          </w:p>
        </w:tc>
        <w:tc>
          <w:tcPr>
            <w:tcW w:w="0" w:type="auto"/>
            <w:shd w:val="clear" w:color="auto" w:fill="auto"/>
            <w:vAlign w:val="bottom"/>
          </w:tcPr>
          <w:p w14:paraId="74DDC2E4" w14:textId="77777777" w:rsidR="00584EC1" w:rsidRDefault="00584EC1">
            <w:pPr>
              <w:rPr>
                <w:rFonts w:ascii="宋体"/>
                <w:vanish/>
              </w:rPr>
            </w:pPr>
          </w:p>
        </w:tc>
        <w:tc>
          <w:tcPr>
            <w:tcW w:w="0" w:type="auto"/>
            <w:shd w:val="clear" w:color="auto" w:fill="auto"/>
            <w:vAlign w:val="bottom"/>
          </w:tcPr>
          <w:p w14:paraId="74DDC2E5" w14:textId="77777777" w:rsidR="00584EC1" w:rsidRDefault="00584EC1">
            <w:pPr>
              <w:rPr>
                <w:rFonts w:ascii="宋体"/>
                <w:vanish/>
              </w:rPr>
            </w:pPr>
          </w:p>
        </w:tc>
        <w:tc>
          <w:tcPr>
            <w:tcW w:w="0" w:type="auto"/>
            <w:gridSpan w:val="3"/>
            <w:shd w:val="clear" w:color="auto" w:fill="auto"/>
            <w:tcMar>
              <w:top w:w="0" w:type="dxa"/>
              <w:left w:w="20" w:type="dxa"/>
              <w:bottom w:w="0" w:type="dxa"/>
              <w:right w:w="20" w:type="dxa"/>
            </w:tcMar>
            <w:vAlign w:val="bottom"/>
          </w:tcPr>
          <w:p w14:paraId="74DDC2E6"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2E7"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2E8"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2E9"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2EA"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2EB"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2EC"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2ED"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2EE" w14:textId="77777777" w:rsidR="00584EC1" w:rsidRDefault="00584EC1">
            <w:pPr>
              <w:rPr>
                <w:rFonts w:ascii="宋体"/>
              </w:rPr>
            </w:pPr>
          </w:p>
        </w:tc>
        <w:tc>
          <w:tcPr>
            <w:tcW w:w="0" w:type="auto"/>
            <w:gridSpan w:val="2"/>
            <w:shd w:val="clear" w:color="auto" w:fill="auto"/>
            <w:tcMar>
              <w:top w:w="0" w:type="dxa"/>
              <w:left w:w="20" w:type="dxa"/>
              <w:bottom w:w="0" w:type="dxa"/>
              <w:right w:w="20" w:type="dxa"/>
            </w:tcMar>
            <w:vAlign w:val="bottom"/>
          </w:tcPr>
          <w:p w14:paraId="74DDC2EF" w14:textId="77777777" w:rsidR="00584EC1" w:rsidRDefault="00584EC1">
            <w:pPr>
              <w:rPr>
                <w:rFonts w:ascii="宋体"/>
              </w:rPr>
            </w:pPr>
          </w:p>
        </w:tc>
        <w:tc>
          <w:tcPr>
            <w:tcW w:w="0" w:type="auto"/>
            <w:shd w:val="clear" w:color="auto" w:fill="auto"/>
            <w:tcMar>
              <w:top w:w="0" w:type="dxa"/>
              <w:left w:w="20" w:type="dxa"/>
              <w:bottom w:w="0" w:type="dxa"/>
              <w:right w:w="20" w:type="dxa"/>
            </w:tcMar>
            <w:vAlign w:val="bottom"/>
          </w:tcPr>
          <w:p w14:paraId="74DDC2F0" w14:textId="77777777" w:rsidR="00584EC1" w:rsidRDefault="00584EC1">
            <w:pPr>
              <w:rPr>
                <w:rFonts w:ascii="宋体"/>
              </w:rPr>
            </w:pPr>
          </w:p>
        </w:tc>
      </w:tr>
      <w:tr w:rsidR="00871F8D" w14:paraId="74DDC31A" w14:textId="77777777">
        <w:tc>
          <w:tcPr>
            <w:tcW w:w="0" w:type="auto"/>
            <w:gridSpan w:val="3"/>
            <w:shd w:val="clear" w:color="auto" w:fill="CCEEFF"/>
            <w:tcMar>
              <w:top w:w="40" w:type="dxa"/>
              <w:left w:w="155" w:type="dxa"/>
              <w:bottom w:w="40" w:type="dxa"/>
              <w:right w:w="20" w:type="dxa"/>
            </w:tcMar>
            <w:vAlign w:val="center"/>
          </w:tcPr>
          <w:p w14:paraId="74DDC2F2" w14:textId="77777777" w:rsidR="00584EC1" w:rsidRDefault="00871F8D">
            <w:pPr>
              <w:textAlignment w:val="center"/>
            </w:pPr>
            <w:r>
              <w:rPr>
                <w:rFonts w:ascii="Arial" w:eastAsia="宋体" w:hAnsi="Arial" w:cs="Arial"/>
                <w:color w:val="000000"/>
                <w:sz w:val="12"/>
                <w:szCs w:val="12"/>
              </w:rPr>
              <w:t>Collateralized loan obligations</w:t>
            </w:r>
          </w:p>
        </w:tc>
        <w:tc>
          <w:tcPr>
            <w:tcW w:w="0" w:type="auto"/>
            <w:shd w:val="clear" w:color="auto" w:fill="CCEEFF"/>
            <w:tcMar>
              <w:top w:w="40" w:type="dxa"/>
              <w:left w:w="20" w:type="dxa"/>
              <w:bottom w:w="40" w:type="dxa"/>
              <w:right w:w="0" w:type="dxa"/>
            </w:tcMar>
            <w:vAlign w:val="center"/>
          </w:tcPr>
          <w:p w14:paraId="74DDC2F3" w14:textId="77777777" w:rsidR="00584EC1" w:rsidRDefault="00871F8D">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74DDC2F4" w14:textId="77777777" w:rsidR="00584EC1" w:rsidRDefault="00871F8D">
            <w:pPr>
              <w:jc w:val="right"/>
              <w:textAlignment w:val="center"/>
            </w:pPr>
            <w:r>
              <w:rPr>
                <w:rFonts w:ascii="Arial" w:eastAsia="宋体" w:hAnsi="Arial" w:cs="Arial"/>
                <w:b/>
                <w:bCs/>
                <w:color w:val="000000"/>
                <w:sz w:val="12"/>
                <w:szCs w:val="12"/>
              </w:rPr>
              <w:t>14</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4DDC2F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2F6" w14:textId="77777777" w:rsidR="00584EC1" w:rsidRDefault="00584EC1">
            <w:pPr>
              <w:rPr>
                <w:rFonts w:ascii="宋体"/>
              </w:rPr>
            </w:pPr>
          </w:p>
        </w:tc>
        <w:tc>
          <w:tcPr>
            <w:tcW w:w="0" w:type="auto"/>
            <w:shd w:val="clear" w:color="auto" w:fill="CCEEFF"/>
            <w:tcMar>
              <w:top w:w="40" w:type="dxa"/>
              <w:left w:w="20" w:type="dxa"/>
              <w:bottom w:w="40" w:type="dxa"/>
              <w:right w:w="0" w:type="dxa"/>
            </w:tcMar>
            <w:vAlign w:val="center"/>
          </w:tcPr>
          <w:p w14:paraId="74DDC2F7" w14:textId="77777777" w:rsidR="00584EC1" w:rsidRDefault="00871F8D">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74DDC2F8" w14:textId="77777777" w:rsidR="00584EC1" w:rsidRDefault="00871F8D">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4DDC2F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2FA" w14:textId="77777777" w:rsidR="00584EC1" w:rsidRDefault="00584EC1">
            <w:pPr>
              <w:rPr>
                <w:rFonts w:ascii="宋体"/>
              </w:rPr>
            </w:pPr>
          </w:p>
        </w:tc>
        <w:tc>
          <w:tcPr>
            <w:tcW w:w="0" w:type="auto"/>
            <w:shd w:val="clear" w:color="auto" w:fill="CCEEFF"/>
            <w:tcMar>
              <w:top w:w="40" w:type="dxa"/>
              <w:left w:w="20" w:type="dxa"/>
              <w:bottom w:w="40" w:type="dxa"/>
              <w:right w:w="0" w:type="dxa"/>
            </w:tcMar>
            <w:vAlign w:val="center"/>
          </w:tcPr>
          <w:p w14:paraId="74DDC2FB" w14:textId="77777777" w:rsidR="00584EC1" w:rsidRDefault="00871F8D">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74DDC2FC" w14:textId="77777777" w:rsidR="00584EC1" w:rsidRDefault="00871F8D">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4DDC2F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2FE" w14:textId="77777777" w:rsidR="00584EC1" w:rsidRDefault="00584EC1">
            <w:pPr>
              <w:rPr>
                <w:rFonts w:ascii="宋体"/>
              </w:rPr>
            </w:pPr>
          </w:p>
        </w:tc>
        <w:tc>
          <w:tcPr>
            <w:tcW w:w="0" w:type="auto"/>
            <w:shd w:val="clear" w:color="auto" w:fill="CCEEFF"/>
            <w:tcMar>
              <w:top w:w="40" w:type="dxa"/>
              <w:left w:w="20" w:type="dxa"/>
              <w:bottom w:w="40" w:type="dxa"/>
              <w:right w:w="0" w:type="dxa"/>
            </w:tcMar>
            <w:vAlign w:val="center"/>
          </w:tcPr>
          <w:p w14:paraId="74DDC2FF" w14:textId="77777777" w:rsidR="00584EC1" w:rsidRDefault="00871F8D">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74DDC300" w14:textId="77777777" w:rsidR="00584EC1" w:rsidRDefault="00871F8D">
            <w:pPr>
              <w:jc w:val="right"/>
              <w:textAlignment w:val="center"/>
            </w:pPr>
            <w:r>
              <w:rPr>
                <w:rFonts w:ascii="Arial" w:eastAsia="宋体" w:hAnsi="Arial" w:cs="Arial"/>
                <w:b/>
                <w:bCs/>
                <w:color w:val="000000"/>
                <w:sz w:val="12"/>
                <w:szCs w:val="12"/>
              </w:rPr>
              <w:t>106</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4DDC30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302" w14:textId="77777777" w:rsidR="00584EC1" w:rsidRDefault="00584EC1">
            <w:pPr>
              <w:rPr>
                <w:rFonts w:ascii="宋体"/>
              </w:rPr>
            </w:pPr>
          </w:p>
        </w:tc>
        <w:tc>
          <w:tcPr>
            <w:tcW w:w="0" w:type="auto"/>
            <w:shd w:val="clear" w:color="auto" w:fill="auto"/>
            <w:vAlign w:val="bottom"/>
          </w:tcPr>
          <w:p w14:paraId="74DDC303" w14:textId="77777777" w:rsidR="00584EC1" w:rsidRDefault="00584EC1">
            <w:pPr>
              <w:rPr>
                <w:rFonts w:ascii="宋体"/>
                <w:vanish/>
              </w:rPr>
            </w:pPr>
          </w:p>
        </w:tc>
        <w:tc>
          <w:tcPr>
            <w:tcW w:w="0" w:type="auto"/>
            <w:shd w:val="clear" w:color="auto" w:fill="auto"/>
            <w:vAlign w:val="bottom"/>
          </w:tcPr>
          <w:p w14:paraId="74DDC304" w14:textId="77777777" w:rsidR="00584EC1" w:rsidRDefault="00584EC1">
            <w:pPr>
              <w:rPr>
                <w:rFonts w:ascii="宋体"/>
                <w:vanish/>
              </w:rPr>
            </w:pPr>
          </w:p>
        </w:tc>
        <w:tc>
          <w:tcPr>
            <w:tcW w:w="0" w:type="auto"/>
            <w:shd w:val="clear" w:color="auto" w:fill="CCEEFF"/>
            <w:tcMar>
              <w:top w:w="40" w:type="dxa"/>
              <w:left w:w="20" w:type="dxa"/>
              <w:bottom w:w="40" w:type="dxa"/>
              <w:right w:w="0" w:type="dxa"/>
            </w:tcMar>
            <w:vAlign w:val="center"/>
          </w:tcPr>
          <w:p w14:paraId="74DDC305" w14:textId="77777777" w:rsidR="00584EC1" w:rsidRDefault="00871F8D">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74DDC306" w14:textId="77777777" w:rsidR="00584EC1" w:rsidRDefault="00871F8D">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4DDC30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308" w14:textId="77777777" w:rsidR="00584EC1" w:rsidRDefault="00584EC1">
            <w:pPr>
              <w:rPr>
                <w:rFonts w:ascii="宋体"/>
              </w:rPr>
            </w:pPr>
          </w:p>
        </w:tc>
        <w:tc>
          <w:tcPr>
            <w:tcW w:w="0" w:type="auto"/>
            <w:shd w:val="clear" w:color="auto" w:fill="CCEEFF"/>
            <w:tcMar>
              <w:top w:w="40" w:type="dxa"/>
              <w:left w:w="20" w:type="dxa"/>
              <w:bottom w:w="40" w:type="dxa"/>
              <w:right w:w="0" w:type="dxa"/>
            </w:tcMar>
            <w:vAlign w:val="center"/>
          </w:tcPr>
          <w:p w14:paraId="74DDC309" w14:textId="77777777" w:rsidR="00584EC1" w:rsidRDefault="00871F8D">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74DDC30A" w14:textId="77777777" w:rsidR="00584EC1" w:rsidRDefault="00871F8D">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4DDC30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30C" w14:textId="77777777" w:rsidR="00584EC1" w:rsidRDefault="00584EC1">
            <w:pPr>
              <w:rPr>
                <w:rFonts w:ascii="宋体"/>
              </w:rPr>
            </w:pPr>
          </w:p>
        </w:tc>
        <w:tc>
          <w:tcPr>
            <w:tcW w:w="0" w:type="auto"/>
            <w:shd w:val="clear" w:color="auto" w:fill="CCEEFF"/>
            <w:tcMar>
              <w:top w:w="40" w:type="dxa"/>
              <w:left w:w="20" w:type="dxa"/>
              <w:bottom w:w="40" w:type="dxa"/>
              <w:right w:w="0" w:type="dxa"/>
            </w:tcMar>
            <w:vAlign w:val="center"/>
          </w:tcPr>
          <w:p w14:paraId="74DDC30D" w14:textId="77777777" w:rsidR="00584EC1" w:rsidRDefault="00871F8D">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74DDC30E" w14:textId="77777777" w:rsidR="00584EC1" w:rsidRDefault="00871F8D">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4DDC30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310" w14:textId="77777777" w:rsidR="00584EC1" w:rsidRDefault="00584EC1">
            <w:pPr>
              <w:rPr>
                <w:rFonts w:ascii="宋体"/>
              </w:rPr>
            </w:pPr>
          </w:p>
        </w:tc>
        <w:tc>
          <w:tcPr>
            <w:tcW w:w="0" w:type="auto"/>
            <w:shd w:val="clear" w:color="auto" w:fill="CCEEFF"/>
            <w:tcMar>
              <w:top w:w="40" w:type="dxa"/>
              <w:left w:w="20" w:type="dxa"/>
              <w:bottom w:w="40" w:type="dxa"/>
              <w:right w:w="0" w:type="dxa"/>
            </w:tcMar>
            <w:vAlign w:val="center"/>
          </w:tcPr>
          <w:p w14:paraId="74DDC311" w14:textId="77777777" w:rsidR="00584EC1" w:rsidRDefault="00871F8D">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74DDC312" w14:textId="77777777" w:rsidR="00584EC1" w:rsidRDefault="00871F8D">
            <w:pPr>
              <w:jc w:val="right"/>
              <w:textAlignment w:val="center"/>
            </w:pPr>
            <w:r>
              <w:rPr>
                <w:rFonts w:ascii="Arial" w:eastAsia="宋体" w:hAnsi="Arial" w:cs="Arial"/>
                <w:b/>
                <w:bCs/>
                <w:color w:val="000000"/>
                <w:sz w:val="12"/>
                <w:szCs w:val="12"/>
              </w:rPr>
              <w:t>(120)</w:t>
            </w:r>
          </w:p>
        </w:tc>
        <w:tc>
          <w:tcPr>
            <w:tcW w:w="0" w:type="auto"/>
            <w:shd w:val="clear" w:color="auto" w:fill="CCEEFF"/>
            <w:tcMar>
              <w:top w:w="40" w:type="dxa"/>
              <w:left w:w="0" w:type="dxa"/>
              <w:bottom w:w="40" w:type="dxa"/>
              <w:right w:w="20" w:type="dxa"/>
            </w:tcMar>
            <w:vAlign w:val="center"/>
          </w:tcPr>
          <w:p w14:paraId="74DDC31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314" w14:textId="77777777" w:rsidR="00584EC1" w:rsidRDefault="00584EC1">
            <w:pPr>
              <w:rPr>
                <w:rFonts w:ascii="宋体"/>
              </w:rPr>
            </w:pPr>
          </w:p>
        </w:tc>
        <w:tc>
          <w:tcPr>
            <w:tcW w:w="0" w:type="auto"/>
            <w:shd w:val="clear" w:color="auto" w:fill="CCEEFF"/>
            <w:tcMar>
              <w:top w:w="40" w:type="dxa"/>
              <w:left w:w="20" w:type="dxa"/>
              <w:bottom w:w="40" w:type="dxa"/>
              <w:right w:w="0" w:type="dxa"/>
            </w:tcMar>
            <w:vAlign w:val="center"/>
          </w:tcPr>
          <w:p w14:paraId="74DDC315" w14:textId="77777777" w:rsidR="00584EC1" w:rsidRDefault="00871F8D">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74DDC316" w14:textId="77777777" w:rsidR="00584EC1" w:rsidRDefault="00871F8D">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4DDC317" w14:textId="77777777" w:rsidR="00584EC1" w:rsidRDefault="00584EC1">
            <w:pPr>
              <w:jc w:val="right"/>
              <w:rPr>
                <w:rFonts w:ascii="宋体"/>
              </w:rPr>
            </w:pPr>
          </w:p>
        </w:tc>
        <w:tc>
          <w:tcPr>
            <w:tcW w:w="0" w:type="auto"/>
            <w:gridSpan w:val="2"/>
            <w:shd w:val="clear" w:color="auto" w:fill="CCEEFF"/>
            <w:tcMar>
              <w:top w:w="0" w:type="dxa"/>
              <w:left w:w="20" w:type="dxa"/>
              <w:bottom w:w="0" w:type="dxa"/>
              <w:right w:w="20" w:type="dxa"/>
            </w:tcMar>
            <w:vAlign w:val="bottom"/>
          </w:tcPr>
          <w:p w14:paraId="74DDC318" w14:textId="77777777" w:rsidR="00584EC1" w:rsidRDefault="00584EC1">
            <w:pPr>
              <w:rPr>
                <w:rFonts w:ascii="宋体"/>
              </w:rPr>
            </w:pPr>
          </w:p>
        </w:tc>
        <w:tc>
          <w:tcPr>
            <w:tcW w:w="0" w:type="auto"/>
            <w:shd w:val="clear" w:color="auto" w:fill="CCEEFF"/>
            <w:tcMar>
              <w:top w:w="0" w:type="dxa"/>
              <w:left w:w="20" w:type="dxa"/>
              <w:bottom w:w="0" w:type="dxa"/>
              <w:right w:w="20" w:type="dxa"/>
            </w:tcMar>
            <w:vAlign w:val="bottom"/>
          </w:tcPr>
          <w:p w14:paraId="74DDC319" w14:textId="77777777" w:rsidR="00584EC1" w:rsidRDefault="00584EC1">
            <w:pPr>
              <w:rPr>
                <w:rFonts w:ascii="宋体"/>
              </w:rPr>
            </w:pPr>
          </w:p>
        </w:tc>
      </w:tr>
      <w:tr w:rsidR="00584EC1" w14:paraId="74DDC33A" w14:textId="77777777">
        <w:tc>
          <w:tcPr>
            <w:tcW w:w="0" w:type="auto"/>
            <w:gridSpan w:val="3"/>
            <w:shd w:val="clear" w:color="auto" w:fill="FFFFFF"/>
            <w:tcMar>
              <w:top w:w="40" w:type="dxa"/>
              <w:left w:w="20" w:type="dxa"/>
              <w:bottom w:w="40" w:type="dxa"/>
              <w:right w:w="20" w:type="dxa"/>
            </w:tcMar>
            <w:vAlign w:val="center"/>
          </w:tcPr>
          <w:p w14:paraId="74DDC31B" w14:textId="77777777" w:rsidR="00584EC1" w:rsidRDefault="00871F8D">
            <w:pPr>
              <w:textAlignment w:val="center"/>
            </w:pPr>
            <w:r>
              <w:rPr>
                <w:rFonts w:ascii="Arial" w:eastAsia="宋体" w:hAnsi="Arial" w:cs="Arial"/>
                <w:color w:val="000000"/>
                <w:sz w:val="12"/>
                <w:szCs w:val="12"/>
              </w:rPr>
              <w:t>Total asset-backed securities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4DDC31C" w14:textId="77777777" w:rsidR="00584EC1" w:rsidRDefault="00871F8D">
            <w:pPr>
              <w:jc w:val="right"/>
              <w:textAlignment w:val="center"/>
            </w:pPr>
            <w:r>
              <w:rPr>
                <w:rFonts w:ascii="Arial" w:eastAsia="宋体" w:hAnsi="Arial" w:cs="Arial"/>
                <w:b/>
                <w:bCs/>
                <w:color w:val="000000"/>
                <w:sz w:val="12"/>
                <w:szCs w:val="12"/>
              </w:rPr>
              <w:t>14</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4DDC31D" w14:textId="77777777" w:rsidR="00584EC1" w:rsidRDefault="00584EC1">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C31E"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4DDC31F" w14:textId="77777777" w:rsidR="00584EC1" w:rsidRDefault="00871F8D">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4DDC32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321"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4DDC322" w14:textId="77777777" w:rsidR="00584EC1" w:rsidRDefault="00871F8D">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4DDC32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324"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4DDC325" w14:textId="77777777" w:rsidR="00584EC1" w:rsidRDefault="00871F8D">
            <w:pPr>
              <w:jc w:val="right"/>
              <w:textAlignment w:val="center"/>
            </w:pPr>
            <w:r>
              <w:rPr>
                <w:rFonts w:ascii="Arial" w:eastAsia="宋体" w:hAnsi="Arial" w:cs="Arial"/>
                <w:b/>
                <w:bCs/>
                <w:color w:val="000000"/>
                <w:sz w:val="12"/>
                <w:szCs w:val="12"/>
              </w:rPr>
              <w:t>106</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4DDC326" w14:textId="77777777" w:rsidR="00584EC1" w:rsidRDefault="00584EC1">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C327" w14:textId="77777777" w:rsidR="00584EC1" w:rsidRDefault="00584EC1">
            <w:pPr>
              <w:rPr>
                <w:rFonts w:ascii="宋体"/>
              </w:rPr>
            </w:pPr>
          </w:p>
        </w:tc>
        <w:tc>
          <w:tcPr>
            <w:tcW w:w="0" w:type="auto"/>
            <w:shd w:val="clear" w:color="auto" w:fill="auto"/>
            <w:vAlign w:val="bottom"/>
          </w:tcPr>
          <w:p w14:paraId="74DDC328" w14:textId="77777777" w:rsidR="00584EC1" w:rsidRDefault="00584EC1">
            <w:pPr>
              <w:rPr>
                <w:rFonts w:ascii="宋体"/>
                <w:vanish/>
              </w:rPr>
            </w:pPr>
          </w:p>
        </w:tc>
        <w:tc>
          <w:tcPr>
            <w:tcW w:w="0" w:type="auto"/>
            <w:shd w:val="clear" w:color="auto" w:fill="auto"/>
            <w:vAlign w:val="bottom"/>
          </w:tcPr>
          <w:p w14:paraId="74DDC329" w14:textId="77777777" w:rsidR="00584EC1" w:rsidRDefault="00584EC1">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4DDC32A" w14:textId="77777777" w:rsidR="00584EC1" w:rsidRDefault="00871F8D">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4DDC32B" w14:textId="77777777" w:rsidR="00584EC1" w:rsidRDefault="00584EC1">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C32C"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4DDC32D" w14:textId="77777777" w:rsidR="00584EC1" w:rsidRDefault="00871F8D">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4DDC32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32F"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4DDC330" w14:textId="77777777" w:rsidR="00584EC1" w:rsidRDefault="00871F8D">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4DDC331" w14:textId="77777777" w:rsidR="00584EC1" w:rsidRDefault="00584EC1">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C332"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4DDC333" w14:textId="77777777" w:rsidR="00584EC1" w:rsidRDefault="00871F8D">
            <w:pPr>
              <w:jc w:val="right"/>
              <w:textAlignment w:val="center"/>
            </w:pPr>
            <w:r>
              <w:rPr>
                <w:rFonts w:ascii="Arial" w:eastAsia="宋体" w:hAnsi="Arial" w:cs="Arial"/>
                <w:b/>
                <w:bCs/>
                <w:color w:val="000000"/>
                <w:sz w:val="12"/>
                <w:szCs w:val="12"/>
              </w:rPr>
              <w:t>(120)</w:t>
            </w:r>
          </w:p>
        </w:tc>
        <w:tc>
          <w:tcPr>
            <w:tcW w:w="0" w:type="auto"/>
            <w:tcBorders>
              <w:top w:val="single" w:sz="8" w:space="0" w:color="000000"/>
            </w:tcBorders>
            <w:shd w:val="clear" w:color="auto" w:fill="FFFFFF"/>
            <w:tcMar>
              <w:top w:w="40" w:type="dxa"/>
              <w:left w:w="0" w:type="dxa"/>
              <w:bottom w:w="40" w:type="dxa"/>
              <w:right w:w="20" w:type="dxa"/>
            </w:tcMar>
            <w:vAlign w:val="center"/>
          </w:tcPr>
          <w:p w14:paraId="74DDC33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335"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4DDC336" w14:textId="77777777" w:rsidR="00584EC1" w:rsidRDefault="00871F8D">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4DDC337" w14:textId="77777777" w:rsidR="00584EC1" w:rsidRDefault="00584EC1">
            <w:pPr>
              <w:jc w:val="right"/>
              <w:rPr>
                <w:rFonts w:ascii="宋体"/>
              </w:rPr>
            </w:pPr>
          </w:p>
        </w:tc>
        <w:tc>
          <w:tcPr>
            <w:tcW w:w="0" w:type="auto"/>
            <w:gridSpan w:val="2"/>
            <w:shd w:val="clear" w:color="auto" w:fill="FFFFFF"/>
            <w:tcMar>
              <w:top w:w="0" w:type="dxa"/>
              <w:left w:w="20" w:type="dxa"/>
              <w:bottom w:w="0" w:type="dxa"/>
              <w:right w:w="20" w:type="dxa"/>
            </w:tcMar>
            <w:vAlign w:val="bottom"/>
          </w:tcPr>
          <w:p w14:paraId="74DDC338" w14:textId="77777777" w:rsidR="00584EC1" w:rsidRDefault="00584EC1">
            <w:pPr>
              <w:rPr>
                <w:rFonts w:ascii="宋体"/>
              </w:rPr>
            </w:pPr>
          </w:p>
        </w:tc>
        <w:tc>
          <w:tcPr>
            <w:tcW w:w="0" w:type="auto"/>
            <w:shd w:val="clear" w:color="auto" w:fill="FFFFFF"/>
            <w:tcMar>
              <w:top w:w="0" w:type="dxa"/>
              <w:left w:w="20" w:type="dxa"/>
              <w:bottom w:w="0" w:type="dxa"/>
              <w:right w:w="20" w:type="dxa"/>
            </w:tcMar>
            <w:vAlign w:val="bottom"/>
          </w:tcPr>
          <w:p w14:paraId="74DDC339" w14:textId="77777777" w:rsidR="00584EC1" w:rsidRDefault="00584EC1">
            <w:pPr>
              <w:rPr>
                <w:rFonts w:ascii="宋体"/>
              </w:rPr>
            </w:pPr>
          </w:p>
        </w:tc>
      </w:tr>
      <w:tr w:rsidR="00584EC1" w14:paraId="74DDC351" w14:textId="77777777">
        <w:trPr>
          <w:hidden/>
        </w:trPr>
        <w:tc>
          <w:tcPr>
            <w:tcW w:w="0" w:type="auto"/>
            <w:gridSpan w:val="3"/>
            <w:shd w:val="clear" w:color="auto" w:fill="auto"/>
            <w:vAlign w:val="bottom"/>
          </w:tcPr>
          <w:p w14:paraId="74DDC33B" w14:textId="77777777" w:rsidR="00584EC1" w:rsidRDefault="00584EC1">
            <w:pPr>
              <w:rPr>
                <w:rFonts w:ascii="宋体"/>
                <w:vanish/>
              </w:rPr>
            </w:pPr>
          </w:p>
        </w:tc>
        <w:tc>
          <w:tcPr>
            <w:tcW w:w="0" w:type="auto"/>
            <w:gridSpan w:val="3"/>
            <w:shd w:val="clear" w:color="auto" w:fill="auto"/>
            <w:vAlign w:val="bottom"/>
          </w:tcPr>
          <w:p w14:paraId="74DDC33C" w14:textId="77777777" w:rsidR="00584EC1" w:rsidRDefault="00584EC1">
            <w:pPr>
              <w:rPr>
                <w:rFonts w:ascii="宋体"/>
                <w:vanish/>
              </w:rPr>
            </w:pPr>
          </w:p>
        </w:tc>
        <w:tc>
          <w:tcPr>
            <w:tcW w:w="0" w:type="auto"/>
            <w:gridSpan w:val="3"/>
            <w:shd w:val="clear" w:color="auto" w:fill="auto"/>
            <w:vAlign w:val="bottom"/>
          </w:tcPr>
          <w:p w14:paraId="74DDC33D" w14:textId="77777777" w:rsidR="00584EC1" w:rsidRDefault="00584EC1">
            <w:pPr>
              <w:rPr>
                <w:rFonts w:ascii="宋体"/>
                <w:vanish/>
              </w:rPr>
            </w:pPr>
          </w:p>
        </w:tc>
        <w:tc>
          <w:tcPr>
            <w:tcW w:w="0" w:type="auto"/>
            <w:gridSpan w:val="3"/>
            <w:shd w:val="clear" w:color="auto" w:fill="auto"/>
            <w:vAlign w:val="bottom"/>
          </w:tcPr>
          <w:p w14:paraId="74DDC33E" w14:textId="77777777" w:rsidR="00584EC1" w:rsidRDefault="00584EC1">
            <w:pPr>
              <w:rPr>
                <w:rFonts w:ascii="宋体"/>
                <w:vanish/>
              </w:rPr>
            </w:pPr>
          </w:p>
        </w:tc>
        <w:tc>
          <w:tcPr>
            <w:tcW w:w="0" w:type="auto"/>
            <w:gridSpan w:val="3"/>
            <w:shd w:val="clear" w:color="auto" w:fill="auto"/>
            <w:vAlign w:val="bottom"/>
          </w:tcPr>
          <w:p w14:paraId="74DDC33F" w14:textId="77777777" w:rsidR="00584EC1" w:rsidRDefault="00584EC1">
            <w:pPr>
              <w:rPr>
                <w:rFonts w:ascii="宋体"/>
                <w:vanish/>
              </w:rPr>
            </w:pPr>
          </w:p>
        </w:tc>
        <w:tc>
          <w:tcPr>
            <w:tcW w:w="0" w:type="auto"/>
            <w:gridSpan w:val="3"/>
            <w:shd w:val="clear" w:color="auto" w:fill="auto"/>
            <w:vAlign w:val="bottom"/>
          </w:tcPr>
          <w:p w14:paraId="74DDC340" w14:textId="77777777" w:rsidR="00584EC1" w:rsidRDefault="00584EC1">
            <w:pPr>
              <w:rPr>
                <w:rFonts w:ascii="宋体"/>
                <w:vanish/>
              </w:rPr>
            </w:pPr>
          </w:p>
        </w:tc>
        <w:tc>
          <w:tcPr>
            <w:tcW w:w="0" w:type="auto"/>
            <w:gridSpan w:val="3"/>
            <w:shd w:val="clear" w:color="auto" w:fill="auto"/>
            <w:vAlign w:val="bottom"/>
          </w:tcPr>
          <w:p w14:paraId="74DDC341" w14:textId="77777777" w:rsidR="00584EC1" w:rsidRDefault="00584EC1">
            <w:pPr>
              <w:rPr>
                <w:rFonts w:ascii="宋体"/>
                <w:vanish/>
              </w:rPr>
            </w:pPr>
          </w:p>
        </w:tc>
        <w:tc>
          <w:tcPr>
            <w:tcW w:w="0" w:type="auto"/>
            <w:gridSpan w:val="3"/>
            <w:shd w:val="clear" w:color="auto" w:fill="auto"/>
            <w:vAlign w:val="bottom"/>
          </w:tcPr>
          <w:p w14:paraId="74DDC342" w14:textId="77777777" w:rsidR="00584EC1" w:rsidRDefault="00584EC1">
            <w:pPr>
              <w:rPr>
                <w:rFonts w:ascii="宋体"/>
                <w:vanish/>
              </w:rPr>
            </w:pPr>
          </w:p>
        </w:tc>
        <w:tc>
          <w:tcPr>
            <w:tcW w:w="0" w:type="auto"/>
            <w:gridSpan w:val="3"/>
            <w:shd w:val="clear" w:color="auto" w:fill="auto"/>
            <w:vAlign w:val="bottom"/>
          </w:tcPr>
          <w:p w14:paraId="74DDC343" w14:textId="77777777" w:rsidR="00584EC1" w:rsidRDefault="00584EC1">
            <w:pPr>
              <w:rPr>
                <w:rFonts w:ascii="宋体"/>
                <w:vanish/>
              </w:rPr>
            </w:pPr>
          </w:p>
        </w:tc>
        <w:tc>
          <w:tcPr>
            <w:tcW w:w="0" w:type="auto"/>
            <w:shd w:val="clear" w:color="auto" w:fill="auto"/>
            <w:vAlign w:val="bottom"/>
          </w:tcPr>
          <w:p w14:paraId="74DDC344" w14:textId="77777777" w:rsidR="00584EC1" w:rsidRDefault="00584EC1">
            <w:pPr>
              <w:rPr>
                <w:rFonts w:ascii="宋体"/>
                <w:vanish/>
              </w:rPr>
            </w:pPr>
          </w:p>
        </w:tc>
        <w:tc>
          <w:tcPr>
            <w:tcW w:w="0" w:type="auto"/>
            <w:shd w:val="clear" w:color="auto" w:fill="auto"/>
            <w:vAlign w:val="bottom"/>
          </w:tcPr>
          <w:p w14:paraId="74DDC345" w14:textId="77777777" w:rsidR="00584EC1" w:rsidRDefault="00584EC1">
            <w:pPr>
              <w:rPr>
                <w:rFonts w:ascii="宋体"/>
                <w:vanish/>
              </w:rPr>
            </w:pPr>
          </w:p>
        </w:tc>
        <w:tc>
          <w:tcPr>
            <w:tcW w:w="0" w:type="auto"/>
            <w:gridSpan w:val="3"/>
            <w:shd w:val="clear" w:color="auto" w:fill="auto"/>
            <w:vAlign w:val="bottom"/>
          </w:tcPr>
          <w:p w14:paraId="74DDC346" w14:textId="77777777" w:rsidR="00584EC1" w:rsidRDefault="00584EC1">
            <w:pPr>
              <w:rPr>
                <w:rFonts w:ascii="宋体"/>
                <w:vanish/>
              </w:rPr>
            </w:pPr>
          </w:p>
        </w:tc>
        <w:tc>
          <w:tcPr>
            <w:tcW w:w="0" w:type="auto"/>
            <w:gridSpan w:val="3"/>
            <w:shd w:val="clear" w:color="auto" w:fill="auto"/>
            <w:vAlign w:val="bottom"/>
          </w:tcPr>
          <w:p w14:paraId="74DDC347" w14:textId="77777777" w:rsidR="00584EC1" w:rsidRDefault="00584EC1">
            <w:pPr>
              <w:rPr>
                <w:rFonts w:ascii="宋体"/>
                <w:vanish/>
              </w:rPr>
            </w:pPr>
          </w:p>
        </w:tc>
        <w:tc>
          <w:tcPr>
            <w:tcW w:w="0" w:type="auto"/>
            <w:gridSpan w:val="3"/>
            <w:shd w:val="clear" w:color="auto" w:fill="auto"/>
            <w:vAlign w:val="bottom"/>
          </w:tcPr>
          <w:p w14:paraId="74DDC348" w14:textId="77777777" w:rsidR="00584EC1" w:rsidRDefault="00584EC1">
            <w:pPr>
              <w:rPr>
                <w:rFonts w:ascii="宋体"/>
                <w:vanish/>
              </w:rPr>
            </w:pPr>
          </w:p>
        </w:tc>
        <w:tc>
          <w:tcPr>
            <w:tcW w:w="0" w:type="auto"/>
            <w:gridSpan w:val="3"/>
            <w:shd w:val="clear" w:color="auto" w:fill="auto"/>
            <w:vAlign w:val="bottom"/>
          </w:tcPr>
          <w:p w14:paraId="74DDC349" w14:textId="77777777" w:rsidR="00584EC1" w:rsidRDefault="00584EC1">
            <w:pPr>
              <w:rPr>
                <w:rFonts w:ascii="宋体"/>
                <w:vanish/>
              </w:rPr>
            </w:pPr>
          </w:p>
        </w:tc>
        <w:tc>
          <w:tcPr>
            <w:tcW w:w="0" w:type="auto"/>
            <w:gridSpan w:val="3"/>
            <w:shd w:val="clear" w:color="auto" w:fill="auto"/>
            <w:vAlign w:val="bottom"/>
          </w:tcPr>
          <w:p w14:paraId="74DDC34A" w14:textId="77777777" w:rsidR="00584EC1" w:rsidRDefault="00584EC1">
            <w:pPr>
              <w:rPr>
                <w:rFonts w:ascii="宋体"/>
                <w:vanish/>
              </w:rPr>
            </w:pPr>
          </w:p>
        </w:tc>
        <w:tc>
          <w:tcPr>
            <w:tcW w:w="0" w:type="auto"/>
            <w:gridSpan w:val="3"/>
            <w:shd w:val="clear" w:color="auto" w:fill="auto"/>
            <w:vAlign w:val="bottom"/>
          </w:tcPr>
          <w:p w14:paraId="74DDC34B" w14:textId="77777777" w:rsidR="00584EC1" w:rsidRDefault="00584EC1">
            <w:pPr>
              <w:rPr>
                <w:rFonts w:ascii="宋体"/>
                <w:vanish/>
              </w:rPr>
            </w:pPr>
          </w:p>
        </w:tc>
        <w:tc>
          <w:tcPr>
            <w:tcW w:w="0" w:type="auto"/>
            <w:gridSpan w:val="3"/>
            <w:shd w:val="clear" w:color="auto" w:fill="auto"/>
            <w:vAlign w:val="bottom"/>
          </w:tcPr>
          <w:p w14:paraId="74DDC34C" w14:textId="77777777" w:rsidR="00584EC1" w:rsidRDefault="00584EC1">
            <w:pPr>
              <w:rPr>
                <w:rFonts w:ascii="宋体"/>
                <w:vanish/>
              </w:rPr>
            </w:pPr>
          </w:p>
        </w:tc>
        <w:tc>
          <w:tcPr>
            <w:tcW w:w="0" w:type="auto"/>
            <w:gridSpan w:val="3"/>
            <w:shd w:val="clear" w:color="auto" w:fill="auto"/>
            <w:vAlign w:val="bottom"/>
          </w:tcPr>
          <w:p w14:paraId="74DDC34D" w14:textId="77777777" w:rsidR="00584EC1" w:rsidRDefault="00584EC1">
            <w:pPr>
              <w:rPr>
                <w:rFonts w:ascii="宋体"/>
                <w:vanish/>
              </w:rPr>
            </w:pPr>
          </w:p>
        </w:tc>
        <w:tc>
          <w:tcPr>
            <w:tcW w:w="0" w:type="auto"/>
            <w:gridSpan w:val="3"/>
            <w:shd w:val="clear" w:color="auto" w:fill="auto"/>
            <w:vAlign w:val="bottom"/>
          </w:tcPr>
          <w:p w14:paraId="74DDC34E" w14:textId="77777777" w:rsidR="00584EC1" w:rsidRDefault="00584EC1">
            <w:pPr>
              <w:rPr>
                <w:rFonts w:ascii="宋体"/>
                <w:vanish/>
              </w:rPr>
            </w:pPr>
          </w:p>
        </w:tc>
        <w:tc>
          <w:tcPr>
            <w:tcW w:w="0" w:type="auto"/>
            <w:gridSpan w:val="2"/>
            <w:shd w:val="clear" w:color="auto" w:fill="auto"/>
            <w:vAlign w:val="bottom"/>
          </w:tcPr>
          <w:p w14:paraId="74DDC34F" w14:textId="77777777" w:rsidR="00584EC1" w:rsidRDefault="00584EC1">
            <w:pPr>
              <w:rPr>
                <w:rFonts w:ascii="宋体"/>
                <w:vanish/>
              </w:rPr>
            </w:pPr>
          </w:p>
        </w:tc>
        <w:tc>
          <w:tcPr>
            <w:tcW w:w="0" w:type="auto"/>
            <w:shd w:val="clear" w:color="auto" w:fill="auto"/>
            <w:vAlign w:val="bottom"/>
          </w:tcPr>
          <w:p w14:paraId="74DDC350" w14:textId="77777777" w:rsidR="00584EC1" w:rsidRDefault="00584EC1">
            <w:pPr>
              <w:rPr>
                <w:rFonts w:ascii="宋体"/>
                <w:vanish/>
              </w:rPr>
            </w:pPr>
          </w:p>
        </w:tc>
      </w:tr>
      <w:tr w:rsidR="00584EC1" w14:paraId="74DDC368" w14:textId="77777777">
        <w:trPr>
          <w:hidden/>
        </w:trPr>
        <w:tc>
          <w:tcPr>
            <w:tcW w:w="0" w:type="auto"/>
            <w:gridSpan w:val="3"/>
            <w:shd w:val="clear" w:color="auto" w:fill="auto"/>
            <w:vAlign w:val="bottom"/>
          </w:tcPr>
          <w:p w14:paraId="74DDC352" w14:textId="77777777" w:rsidR="00584EC1" w:rsidRDefault="00584EC1">
            <w:pPr>
              <w:rPr>
                <w:rFonts w:ascii="宋体"/>
                <w:vanish/>
              </w:rPr>
            </w:pPr>
          </w:p>
        </w:tc>
        <w:tc>
          <w:tcPr>
            <w:tcW w:w="0" w:type="auto"/>
            <w:gridSpan w:val="3"/>
            <w:shd w:val="clear" w:color="auto" w:fill="auto"/>
            <w:vAlign w:val="bottom"/>
          </w:tcPr>
          <w:p w14:paraId="74DDC353" w14:textId="77777777" w:rsidR="00584EC1" w:rsidRDefault="00584EC1">
            <w:pPr>
              <w:rPr>
                <w:rFonts w:ascii="宋体"/>
                <w:vanish/>
              </w:rPr>
            </w:pPr>
          </w:p>
        </w:tc>
        <w:tc>
          <w:tcPr>
            <w:tcW w:w="0" w:type="auto"/>
            <w:gridSpan w:val="3"/>
            <w:shd w:val="clear" w:color="auto" w:fill="auto"/>
            <w:vAlign w:val="bottom"/>
          </w:tcPr>
          <w:p w14:paraId="74DDC354" w14:textId="77777777" w:rsidR="00584EC1" w:rsidRDefault="00584EC1">
            <w:pPr>
              <w:rPr>
                <w:rFonts w:ascii="宋体"/>
                <w:vanish/>
              </w:rPr>
            </w:pPr>
          </w:p>
        </w:tc>
        <w:tc>
          <w:tcPr>
            <w:tcW w:w="0" w:type="auto"/>
            <w:gridSpan w:val="3"/>
            <w:shd w:val="clear" w:color="auto" w:fill="auto"/>
            <w:vAlign w:val="bottom"/>
          </w:tcPr>
          <w:p w14:paraId="74DDC355" w14:textId="77777777" w:rsidR="00584EC1" w:rsidRDefault="00584EC1">
            <w:pPr>
              <w:rPr>
                <w:rFonts w:ascii="宋体"/>
                <w:vanish/>
              </w:rPr>
            </w:pPr>
          </w:p>
        </w:tc>
        <w:tc>
          <w:tcPr>
            <w:tcW w:w="0" w:type="auto"/>
            <w:gridSpan w:val="3"/>
            <w:shd w:val="clear" w:color="auto" w:fill="auto"/>
            <w:vAlign w:val="bottom"/>
          </w:tcPr>
          <w:p w14:paraId="74DDC356" w14:textId="77777777" w:rsidR="00584EC1" w:rsidRDefault="00584EC1">
            <w:pPr>
              <w:rPr>
                <w:rFonts w:ascii="宋体"/>
                <w:vanish/>
              </w:rPr>
            </w:pPr>
          </w:p>
        </w:tc>
        <w:tc>
          <w:tcPr>
            <w:tcW w:w="0" w:type="auto"/>
            <w:gridSpan w:val="3"/>
            <w:shd w:val="clear" w:color="auto" w:fill="auto"/>
            <w:vAlign w:val="bottom"/>
          </w:tcPr>
          <w:p w14:paraId="74DDC357" w14:textId="77777777" w:rsidR="00584EC1" w:rsidRDefault="00584EC1">
            <w:pPr>
              <w:rPr>
                <w:rFonts w:ascii="宋体"/>
                <w:vanish/>
              </w:rPr>
            </w:pPr>
          </w:p>
        </w:tc>
        <w:tc>
          <w:tcPr>
            <w:tcW w:w="0" w:type="auto"/>
            <w:gridSpan w:val="3"/>
            <w:shd w:val="clear" w:color="auto" w:fill="auto"/>
            <w:vAlign w:val="bottom"/>
          </w:tcPr>
          <w:p w14:paraId="74DDC358" w14:textId="77777777" w:rsidR="00584EC1" w:rsidRDefault="00584EC1">
            <w:pPr>
              <w:rPr>
                <w:rFonts w:ascii="宋体"/>
                <w:vanish/>
              </w:rPr>
            </w:pPr>
          </w:p>
        </w:tc>
        <w:tc>
          <w:tcPr>
            <w:tcW w:w="0" w:type="auto"/>
            <w:gridSpan w:val="3"/>
            <w:shd w:val="clear" w:color="auto" w:fill="auto"/>
            <w:vAlign w:val="bottom"/>
          </w:tcPr>
          <w:p w14:paraId="74DDC359" w14:textId="77777777" w:rsidR="00584EC1" w:rsidRDefault="00584EC1">
            <w:pPr>
              <w:rPr>
                <w:rFonts w:ascii="宋体"/>
                <w:vanish/>
              </w:rPr>
            </w:pPr>
          </w:p>
        </w:tc>
        <w:tc>
          <w:tcPr>
            <w:tcW w:w="0" w:type="auto"/>
            <w:gridSpan w:val="3"/>
            <w:shd w:val="clear" w:color="auto" w:fill="auto"/>
            <w:vAlign w:val="bottom"/>
          </w:tcPr>
          <w:p w14:paraId="74DDC35A" w14:textId="77777777" w:rsidR="00584EC1" w:rsidRDefault="00584EC1">
            <w:pPr>
              <w:rPr>
                <w:rFonts w:ascii="宋体"/>
                <w:vanish/>
              </w:rPr>
            </w:pPr>
          </w:p>
        </w:tc>
        <w:tc>
          <w:tcPr>
            <w:tcW w:w="0" w:type="auto"/>
            <w:shd w:val="clear" w:color="auto" w:fill="auto"/>
            <w:vAlign w:val="bottom"/>
          </w:tcPr>
          <w:p w14:paraId="74DDC35B" w14:textId="77777777" w:rsidR="00584EC1" w:rsidRDefault="00584EC1">
            <w:pPr>
              <w:rPr>
                <w:rFonts w:ascii="宋体"/>
                <w:vanish/>
              </w:rPr>
            </w:pPr>
          </w:p>
        </w:tc>
        <w:tc>
          <w:tcPr>
            <w:tcW w:w="0" w:type="auto"/>
            <w:shd w:val="clear" w:color="auto" w:fill="auto"/>
            <w:vAlign w:val="bottom"/>
          </w:tcPr>
          <w:p w14:paraId="74DDC35C" w14:textId="77777777" w:rsidR="00584EC1" w:rsidRDefault="00584EC1">
            <w:pPr>
              <w:rPr>
                <w:rFonts w:ascii="宋体"/>
                <w:vanish/>
              </w:rPr>
            </w:pPr>
          </w:p>
        </w:tc>
        <w:tc>
          <w:tcPr>
            <w:tcW w:w="0" w:type="auto"/>
            <w:gridSpan w:val="3"/>
            <w:shd w:val="clear" w:color="auto" w:fill="auto"/>
            <w:vAlign w:val="bottom"/>
          </w:tcPr>
          <w:p w14:paraId="74DDC35D" w14:textId="77777777" w:rsidR="00584EC1" w:rsidRDefault="00584EC1">
            <w:pPr>
              <w:rPr>
                <w:rFonts w:ascii="宋体"/>
                <w:vanish/>
              </w:rPr>
            </w:pPr>
          </w:p>
        </w:tc>
        <w:tc>
          <w:tcPr>
            <w:tcW w:w="0" w:type="auto"/>
            <w:gridSpan w:val="3"/>
            <w:shd w:val="clear" w:color="auto" w:fill="auto"/>
            <w:vAlign w:val="bottom"/>
          </w:tcPr>
          <w:p w14:paraId="74DDC35E" w14:textId="77777777" w:rsidR="00584EC1" w:rsidRDefault="00584EC1">
            <w:pPr>
              <w:rPr>
                <w:rFonts w:ascii="宋体"/>
                <w:vanish/>
              </w:rPr>
            </w:pPr>
          </w:p>
        </w:tc>
        <w:tc>
          <w:tcPr>
            <w:tcW w:w="0" w:type="auto"/>
            <w:gridSpan w:val="3"/>
            <w:shd w:val="clear" w:color="auto" w:fill="auto"/>
            <w:vAlign w:val="bottom"/>
          </w:tcPr>
          <w:p w14:paraId="74DDC35F" w14:textId="77777777" w:rsidR="00584EC1" w:rsidRDefault="00584EC1">
            <w:pPr>
              <w:rPr>
                <w:rFonts w:ascii="宋体"/>
                <w:vanish/>
              </w:rPr>
            </w:pPr>
          </w:p>
        </w:tc>
        <w:tc>
          <w:tcPr>
            <w:tcW w:w="0" w:type="auto"/>
            <w:gridSpan w:val="3"/>
            <w:shd w:val="clear" w:color="auto" w:fill="auto"/>
            <w:vAlign w:val="bottom"/>
          </w:tcPr>
          <w:p w14:paraId="74DDC360" w14:textId="77777777" w:rsidR="00584EC1" w:rsidRDefault="00584EC1">
            <w:pPr>
              <w:rPr>
                <w:rFonts w:ascii="宋体"/>
                <w:vanish/>
              </w:rPr>
            </w:pPr>
          </w:p>
        </w:tc>
        <w:tc>
          <w:tcPr>
            <w:tcW w:w="0" w:type="auto"/>
            <w:gridSpan w:val="3"/>
            <w:shd w:val="clear" w:color="auto" w:fill="auto"/>
            <w:vAlign w:val="bottom"/>
          </w:tcPr>
          <w:p w14:paraId="74DDC361" w14:textId="77777777" w:rsidR="00584EC1" w:rsidRDefault="00584EC1">
            <w:pPr>
              <w:rPr>
                <w:rFonts w:ascii="宋体"/>
                <w:vanish/>
              </w:rPr>
            </w:pPr>
          </w:p>
        </w:tc>
        <w:tc>
          <w:tcPr>
            <w:tcW w:w="0" w:type="auto"/>
            <w:gridSpan w:val="3"/>
            <w:shd w:val="clear" w:color="auto" w:fill="auto"/>
            <w:vAlign w:val="bottom"/>
          </w:tcPr>
          <w:p w14:paraId="74DDC362" w14:textId="77777777" w:rsidR="00584EC1" w:rsidRDefault="00584EC1">
            <w:pPr>
              <w:rPr>
                <w:rFonts w:ascii="宋体"/>
                <w:vanish/>
              </w:rPr>
            </w:pPr>
          </w:p>
        </w:tc>
        <w:tc>
          <w:tcPr>
            <w:tcW w:w="0" w:type="auto"/>
            <w:gridSpan w:val="3"/>
            <w:shd w:val="clear" w:color="auto" w:fill="auto"/>
            <w:vAlign w:val="bottom"/>
          </w:tcPr>
          <w:p w14:paraId="74DDC363" w14:textId="77777777" w:rsidR="00584EC1" w:rsidRDefault="00584EC1">
            <w:pPr>
              <w:rPr>
                <w:rFonts w:ascii="宋体"/>
                <w:vanish/>
              </w:rPr>
            </w:pPr>
          </w:p>
        </w:tc>
        <w:tc>
          <w:tcPr>
            <w:tcW w:w="0" w:type="auto"/>
            <w:gridSpan w:val="3"/>
            <w:shd w:val="clear" w:color="auto" w:fill="auto"/>
            <w:vAlign w:val="bottom"/>
          </w:tcPr>
          <w:p w14:paraId="74DDC364" w14:textId="77777777" w:rsidR="00584EC1" w:rsidRDefault="00584EC1">
            <w:pPr>
              <w:rPr>
                <w:rFonts w:ascii="宋体"/>
                <w:vanish/>
              </w:rPr>
            </w:pPr>
          </w:p>
        </w:tc>
        <w:tc>
          <w:tcPr>
            <w:tcW w:w="0" w:type="auto"/>
            <w:gridSpan w:val="3"/>
            <w:shd w:val="clear" w:color="auto" w:fill="auto"/>
            <w:vAlign w:val="bottom"/>
          </w:tcPr>
          <w:p w14:paraId="74DDC365" w14:textId="77777777" w:rsidR="00584EC1" w:rsidRDefault="00584EC1">
            <w:pPr>
              <w:rPr>
                <w:rFonts w:ascii="宋体"/>
                <w:vanish/>
              </w:rPr>
            </w:pPr>
          </w:p>
        </w:tc>
        <w:tc>
          <w:tcPr>
            <w:tcW w:w="0" w:type="auto"/>
            <w:gridSpan w:val="2"/>
            <w:shd w:val="clear" w:color="auto" w:fill="auto"/>
            <w:vAlign w:val="bottom"/>
          </w:tcPr>
          <w:p w14:paraId="74DDC366" w14:textId="77777777" w:rsidR="00584EC1" w:rsidRDefault="00584EC1">
            <w:pPr>
              <w:rPr>
                <w:rFonts w:ascii="宋体"/>
                <w:vanish/>
              </w:rPr>
            </w:pPr>
          </w:p>
        </w:tc>
        <w:tc>
          <w:tcPr>
            <w:tcW w:w="0" w:type="auto"/>
            <w:shd w:val="clear" w:color="auto" w:fill="auto"/>
            <w:vAlign w:val="bottom"/>
          </w:tcPr>
          <w:p w14:paraId="74DDC367" w14:textId="77777777" w:rsidR="00584EC1" w:rsidRDefault="00584EC1">
            <w:pPr>
              <w:rPr>
                <w:rFonts w:ascii="宋体"/>
                <w:vanish/>
              </w:rPr>
            </w:pPr>
          </w:p>
        </w:tc>
      </w:tr>
      <w:tr w:rsidR="00584EC1" w14:paraId="74DDC37F" w14:textId="77777777">
        <w:trPr>
          <w:hidden/>
        </w:trPr>
        <w:tc>
          <w:tcPr>
            <w:tcW w:w="0" w:type="auto"/>
            <w:gridSpan w:val="3"/>
            <w:shd w:val="clear" w:color="auto" w:fill="auto"/>
            <w:vAlign w:val="bottom"/>
          </w:tcPr>
          <w:p w14:paraId="74DDC369" w14:textId="77777777" w:rsidR="00584EC1" w:rsidRDefault="00584EC1">
            <w:pPr>
              <w:rPr>
                <w:rFonts w:ascii="宋体"/>
                <w:vanish/>
              </w:rPr>
            </w:pPr>
          </w:p>
        </w:tc>
        <w:tc>
          <w:tcPr>
            <w:tcW w:w="0" w:type="auto"/>
            <w:gridSpan w:val="3"/>
            <w:shd w:val="clear" w:color="auto" w:fill="auto"/>
            <w:vAlign w:val="bottom"/>
          </w:tcPr>
          <w:p w14:paraId="74DDC36A" w14:textId="77777777" w:rsidR="00584EC1" w:rsidRDefault="00584EC1">
            <w:pPr>
              <w:rPr>
                <w:rFonts w:ascii="宋体"/>
                <w:vanish/>
              </w:rPr>
            </w:pPr>
          </w:p>
        </w:tc>
        <w:tc>
          <w:tcPr>
            <w:tcW w:w="0" w:type="auto"/>
            <w:gridSpan w:val="3"/>
            <w:shd w:val="clear" w:color="auto" w:fill="auto"/>
            <w:vAlign w:val="bottom"/>
          </w:tcPr>
          <w:p w14:paraId="74DDC36B" w14:textId="77777777" w:rsidR="00584EC1" w:rsidRDefault="00584EC1">
            <w:pPr>
              <w:rPr>
                <w:rFonts w:ascii="宋体"/>
                <w:vanish/>
              </w:rPr>
            </w:pPr>
          </w:p>
        </w:tc>
        <w:tc>
          <w:tcPr>
            <w:tcW w:w="0" w:type="auto"/>
            <w:gridSpan w:val="3"/>
            <w:shd w:val="clear" w:color="auto" w:fill="auto"/>
            <w:vAlign w:val="bottom"/>
          </w:tcPr>
          <w:p w14:paraId="74DDC36C" w14:textId="77777777" w:rsidR="00584EC1" w:rsidRDefault="00584EC1">
            <w:pPr>
              <w:rPr>
                <w:rFonts w:ascii="宋体"/>
                <w:vanish/>
              </w:rPr>
            </w:pPr>
          </w:p>
        </w:tc>
        <w:tc>
          <w:tcPr>
            <w:tcW w:w="0" w:type="auto"/>
            <w:gridSpan w:val="3"/>
            <w:shd w:val="clear" w:color="auto" w:fill="auto"/>
            <w:vAlign w:val="bottom"/>
          </w:tcPr>
          <w:p w14:paraId="74DDC36D" w14:textId="77777777" w:rsidR="00584EC1" w:rsidRDefault="00584EC1">
            <w:pPr>
              <w:rPr>
                <w:rFonts w:ascii="宋体"/>
                <w:vanish/>
              </w:rPr>
            </w:pPr>
          </w:p>
        </w:tc>
        <w:tc>
          <w:tcPr>
            <w:tcW w:w="0" w:type="auto"/>
            <w:gridSpan w:val="3"/>
            <w:shd w:val="clear" w:color="auto" w:fill="auto"/>
            <w:vAlign w:val="bottom"/>
          </w:tcPr>
          <w:p w14:paraId="74DDC36E" w14:textId="77777777" w:rsidR="00584EC1" w:rsidRDefault="00584EC1">
            <w:pPr>
              <w:rPr>
                <w:rFonts w:ascii="宋体"/>
                <w:vanish/>
              </w:rPr>
            </w:pPr>
          </w:p>
        </w:tc>
        <w:tc>
          <w:tcPr>
            <w:tcW w:w="0" w:type="auto"/>
            <w:gridSpan w:val="3"/>
            <w:shd w:val="clear" w:color="auto" w:fill="auto"/>
            <w:vAlign w:val="bottom"/>
          </w:tcPr>
          <w:p w14:paraId="74DDC36F" w14:textId="77777777" w:rsidR="00584EC1" w:rsidRDefault="00584EC1">
            <w:pPr>
              <w:rPr>
                <w:rFonts w:ascii="宋体"/>
                <w:vanish/>
              </w:rPr>
            </w:pPr>
          </w:p>
        </w:tc>
        <w:tc>
          <w:tcPr>
            <w:tcW w:w="0" w:type="auto"/>
            <w:gridSpan w:val="3"/>
            <w:shd w:val="clear" w:color="auto" w:fill="auto"/>
            <w:vAlign w:val="bottom"/>
          </w:tcPr>
          <w:p w14:paraId="74DDC370" w14:textId="77777777" w:rsidR="00584EC1" w:rsidRDefault="00584EC1">
            <w:pPr>
              <w:rPr>
                <w:rFonts w:ascii="宋体"/>
                <w:vanish/>
              </w:rPr>
            </w:pPr>
          </w:p>
        </w:tc>
        <w:tc>
          <w:tcPr>
            <w:tcW w:w="0" w:type="auto"/>
            <w:gridSpan w:val="3"/>
            <w:shd w:val="clear" w:color="auto" w:fill="auto"/>
            <w:vAlign w:val="bottom"/>
          </w:tcPr>
          <w:p w14:paraId="74DDC371" w14:textId="77777777" w:rsidR="00584EC1" w:rsidRDefault="00584EC1">
            <w:pPr>
              <w:rPr>
                <w:rFonts w:ascii="宋体"/>
                <w:vanish/>
              </w:rPr>
            </w:pPr>
          </w:p>
        </w:tc>
        <w:tc>
          <w:tcPr>
            <w:tcW w:w="0" w:type="auto"/>
            <w:shd w:val="clear" w:color="auto" w:fill="auto"/>
            <w:vAlign w:val="bottom"/>
          </w:tcPr>
          <w:p w14:paraId="74DDC372" w14:textId="77777777" w:rsidR="00584EC1" w:rsidRDefault="00584EC1">
            <w:pPr>
              <w:rPr>
                <w:rFonts w:ascii="宋体"/>
                <w:vanish/>
              </w:rPr>
            </w:pPr>
          </w:p>
        </w:tc>
        <w:tc>
          <w:tcPr>
            <w:tcW w:w="0" w:type="auto"/>
            <w:shd w:val="clear" w:color="auto" w:fill="auto"/>
            <w:vAlign w:val="bottom"/>
          </w:tcPr>
          <w:p w14:paraId="74DDC373" w14:textId="77777777" w:rsidR="00584EC1" w:rsidRDefault="00584EC1">
            <w:pPr>
              <w:rPr>
                <w:rFonts w:ascii="宋体"/>
                <w:vanish/>
              </w:rPr>
            </w:pPr>
          </w:p>
        </w:tc>
        <w:tc>
          <w:tcPr>
            <w:tcW w:w="0" w:type="auto"/>
            <w:gridSpan w:val="3"/>
            <w:shd w:val="clear" w:color="auto" w:fill="auto"/>
            <w:vAlign w:val="bottom"/>
          </w:tcPr>
          <w:p w14:paraId="74DDC374" w14:textId="77777777" w:rsidR="00584EC1" w:rsidRDefault="00584EC1">
            <w:pPr>
              <w:rPr>
                <w:rFonts w:ascii="宋体"/>
                <w:vanish/>
              </w:rPr>
            </w:pPr>
          </w:p>
        </w:tc>
        <w:tc>
          <w:tcPr>
            <w:tcW w:w="0" w:type="auto"/>
            <w:gridSpan w:val="3"/>
            <w:shd w:val="clear" w:color="auto" w:fill="auto"/>
            <w:vAlign w:val="bottom"/>
          </w:tcPr>
          <w:p w14:paraId="74DDC375" w14:textId="77777777" w:rsidR="00584EC1" w:rsidRDefault="00584EC1">
            <w:pPr>
              <w:rPr>
                <w:rFonts w:ascii="宋体"/>
                <w:vanish/>
              </w:rPr>
            </w:pPr>
          </w:p>
        </w:tc>
        <w:tc>
          <w:tcPr>
            <w:tcW w:w="0" w:type="auto"/>
            <w:gridSpan w:val="3"/>
            <w:shd w:val="clear" w:color="auto" w:fill="auto"/>
            <w:vAlign w:val="bottom"/>
          </w:tcPr>
          <w:p w14:paraId="74DDC376" w14:textId="77777777" w:rsidR="00584EC1" w:rsidRDefault="00584EC1">
            <w:pPr>
              <w:rPr>
                <w:rFonts w:ascii="宋体"/>
                <w:vanish/>
              </w:rPr>
            </w:pPr>
          </w:p>
        </w:tc>
        <w:tc>
          <w:tcPr>
            <w:tcW w:w="0" w:type="auto"/>
            <w:gridSpan w:val="3"/>
            <w:shd w:val="clear" w:color="auto" w:fill="auto"/>
            <w:vAlign w:val="bottom"/>
          </w:tcPr>
          <w:p w14:paraId="74DDC377" w14:textId="77777777" w:rsidR="00584EC1" w:rsidRDefault="00584EC1">
            <w:pPr>
              <w:rPr>
                <w:rFonts w:ascii="宋体"/>
                <w:vanish/>
              </w:rPr>
            </w:pPr>
          </w:p>
        </w:tc>
        <w:tc>
          <w:tcPr>
            <w:tcW w:w="0" w:type="auto"/>
            <w:gridSpan w:val="3"/>
            <w:shd w:val="clear" w:color="auto" w:fill="auto"/>
            <w:vAlign w:val="bottom"/>
          </w:tcPr>
          <w:p w14:paraId="74DDC378" w14:textId="77777777" w:rsidR="00584EC1" w:rsidRDefault="00584EC1">
            <w:pPr>
              <w:rPr>
                <w:rFonts w:ascii="宋体"/>
                <w:vanish/>
              </w:rPr>
            </w:pPr>
          </w:p>
        </w:tc>
        <w:tc>
          <w:tcPr>
            <w:tcW w:w="0" w:type="auto"/>
            <w:gridSpan w:val="3"/>
            <w:shd w:val="clear" w:color="auto" w:fill="auto"/>
            <w:vAlign w:val="bottom"/>
          </w:tcPr>
          <w:p w14:paraId="74DDC379" w14:textId="77777777" w:rsidR="00584EC1" w:rsidRDefault="00584EC1">
            <w:pPr>
              <w:rPr>
                <w:rFonts w:ascii="宋体"/>
                <w:vanish/>
              </w:rPr>
            </w:pPr>
          </w:p>
        </w:tc>
        <w:tc>
          <w:tcPr>
            <w:tcW w:w="0" w:type="auto"/>
            <w:gridSpan w:val="3"/>
            <w:shd w:val="clear" w:color="auto" w:fill="auto"/>
            <w:vAlign w:val="bottom"/>
          </w:tcPr>
          <w:p w14:paraId="74DDC37A" w14:textId="77777777" w:rsidR="00584EC1" w:rsidRDefault="00584EC1">
            <w:pPr>
              <w:rPr>
                <w:rFonts w:ascii="宋体"/>
                <w:vanish/>
              </w:rPr>
            </w:pPr>
          </w:p>
        </w:tc>
        <w:tc>
          <w:tcPr>
            <w:tcW w:w="0" w:type="auto"/>
            <w:gridSpan w:val="3"/>
            <w:shd w:val="clear" w:color="auto" w:fill="auto"/>
            <w:vAlign w:val="bottom"/>
          </w:tcPr>
          <w:p w14:paraId="74DDC37B" w14:textId="77777777" w:rsidR="00584EC1" w:rsidRDefault="00584EC1">
            <w:pPr>
              <w:rPr>
                <w:rFonts w:ascii="宋体"/>
                <w:vanish/>
              </w:rPr>
            </w:pPr>
          </w:p>
        </w:tc>
        <w:tc>
          <w:tcPr>
            <w:tcW w:w="0" w:type="auto"/>
            <w:gridSpan w:val="3"/>
            <w:shd w:val="clear" w:color="auto" w:fill="auto"/>
            <w:vAlign w:val="bottom"/>
          </w:tcPr>
          <w:p w14:paraId="74DDC37C" w14:textId="77777777" w:rsidR="00584EC1" w:rsidRDefault="00584EC1">
            <w:pPr>
              <w:rPr>
                <w:rFonts w:ascii="宋体"/>
                <w:vanish/>
              </w:rPr>
            </w:pPr>
          </w:p>
        </w:tc>
        <w:tc>
          <w:tcPr>
            <w:tcW w:w="0" w:type="auto"/>
            <w:gridSpan w:val="2"/>
            <w:shd w:val="clear" w:color="auto" w:fill="auto"/>
            <w:vAlign w:val="bottom"/>
          </w:tcPr>
          <w:p w14:paraId="74DDC37D" w14:textId="77777777" w:rsidR="00584EC1" w:rsidRDefault="00584EC1">
            <w:pPr>
              <w:rPr>
                <w:rFonts w:ascii="宋体"/>
                <w:vanish/>
              </w:rPr>
            </w:pPr>
          </w:p>
        </w:tc>
        <w:tc>
          <w:tcPr>
            <w:tcW w:w="0" w:type="auto"/>
            <w:shd w:val="clear" w:color="auto" w:fill="auto"/>
            <w:vAlign w:val="bottom"/>
          </w:tcPr>
          <w:p w14:paraId="74DDC37E" w14:textId="77777777" w:rsidR="00584EC1" w:rsidRDefault="00584EC1">
            <w:pPr>
              <w:rPr>
                <w:rFonts w:ascii="宋体"/>
                <w:vanish/>
              </w:rPr>
            </w:pPr>
          </w:p>
        </w:tc>
      </w:tr>
      <w:tr w:rsidR="00584EC1" w14:paraId="74DDC396" w14:textId="77777777">
        <w:trPr>
          <w:hidden/>
        </w:trPr>
        <w:tc>
          <w:tcPr>
            <w:tcW w:w="0" w:type="auto"/>
            <w:gridSpan w:val="3"/>
            <w:shd w:val="clear" w:color="auto" w:fill="auto"/>
            <w:vAlign w:val="bottom"/>
          </w:tcPr>
          <w:p w14:paraId="74DDC380" w14:textId="77777777" w:rsidR="00584EC1" w:rsidRDefault="00584EC1">
            <w:pPr>
              <w:rPr>
                <w:rFonts w:ascii="宋体"/>
                <w:vanish/>
              </w:rPr>
            </w:pPr>
          </w:p>
        </w:tc>
        <w:tc>
          <w:tcPr>
            <w:tcW w:w="0" w:type="auto"/>
            <w:gridSpan w:val="3"/>
            <w:shd w:val="clear" w:color="auto" w:fill="auto"/>
            <w:vAlign w:val="bottom"/>
          </w:tcPr>
          <w:p w14:paraId="74DDC381" w14:textId="77777777" w:rsidR="00584EC1" w:rsidRDefault="00584EC1">
            <w:pPr>
              <w:rPr>
                <w:rFonts w:ascii="宋体"/>
                <w:vanish/>
              </w:rPr>
            </w:pPr>
          </w:p>
        </w:tc>
        <w:tc>
          <w:tcPr>
            <w:tcW w:w="0" w:type="auto"/>
            <w:gridSpan w:val="3"/>
            <w:shd w:val="clear" w:color="auto" w:fill="auto"/>
            <w:vAlign w:val="bottom"/>
          </w:tcPr>
          <w:p w14:paraId="74DDC382" w14:textId="77777777" w:rsidR="00584EC1" w:rsidRDefault="00584EC1">
            <w:pPr>
              <w:rPr>
                <w:rFonts w:ascii="宋体"/>
                <w:vanish/>
              </w:rPr>
            </w:pPr>
          </w:p>
        </w:tc>
        <w:tc>
          <w:tcPr>
            <w:tcW w:w="0" w:type="auto"/>
            <w:gridSpan w:val="3"/>
            <w:shd w:val="clear" w:color="auto" w:fill="auto"/>
            <w:vAlign w:val="bottom"/>
          </w:tcPr>
          <w:p w14:paraId="74DDC383" w14:textId="77777777" w:rsidR="00584EC1" w:rsidRDefault="00584EC1">
            <w:pPr>
              <w:rPr>
                <w:rFonts w:ascii="宋体"/>
                <w:vanish/>
              </w:rPr>
            </w:pPr>
          </w:p>
        </w:tc>
        <w:tc>
          <w:tcPr>
            <w:tcW w:w="0" w:type="auto"/>
            <w:gridSpan w:val="3"/>
            <w:shd w:val="clear" w:color="auto" w:fill="auto"/>
            <w:vAlign w:val="bottom"/>
          </w:tcPr>
          <w:p w14:paraId="74DDC384" w14:textId="77777777" w:rsidR="00584EC1" w:rsidRDefault="00584EC1">
            <w:pPr>
              <w:rPr>
                <w:rFonts w:ascii="宋体"/>
                <w:vanish/>
              </w:rPr>
            </w:pPr>
          </w:p>
        </w:tc>
        <w:tc>
          <w:tcPr>
            <w:tcW w:w="0" w:type="auto"/>
            <w:gridSpan w:val="3"/>
            <w:shd w:val="clear" w:color="auto" w:fill="auto"/>
            <w:vAlign w:val="bottom"/>
          </w:tcPr>
          <w:p w14:paraId="74DDC385" w14:textId="77777777" w:rsidR="00584EC1" w:rsidRDefault="00584EC1">
            <w:pPr>
              <w:rPr>
                <w:rFonts w:ascii="宋体"/>
                <w:vanish/>
              </w:rPr>
            </w:pPr>
          </w:p>
        </w:tc>
        <w:tc>
          <w:tcPr>
            <w:tcW w:w="0" w:type="auto"/>
            <w:gridSpan w:val="3"/>
            <w:shd w:val="clear" w:color="auto" w:fill="auto"/>
            <w:vAlign w:val="bottom"/>
          </w:tcPr>
          <w:p w14:paraId="74DDC386" w14:textId="77777777" w:rsidR="00584EC1" w:rsidRDefault="00584EC1">
            <w:pPr>
              <w:rPr>
                <w:rFonts w:ascii="宋体"/>
                <w:vanish/>
              </w:rPr>
            </w:pPr>
          </w:p>
        </w:tc>
        <w:tc>
          <w:tcPr>
            <w:tcW w:w="0" w:type="auto"/>
            <w:gridSpan w:val="3"/>
            <w:shd w:val="clear" w:color="auto" w:fill="auto"/>
            <w:vAlign w:val="bottom"/>
          </w:tcPr>
          <w:p w14:paraId="74DDC387" w14:textId="77777777" w:rsidR="00584EC1" w:rsidRDefault="00584EC1">
            <w:pPr>
              <w:rPr>
                <w:rFonts w:ascii="宋体"/>
                <w:vanish/>
              </w:rPr>
            </w:pPr>
          </w:p>
        </w:tc>
        <w:tc>
          <w:tcPr>
            <w:tcW w:w="0" w:type="auto"/>
            <w:gridSpan w:val="3"/>
            <w:shd w:val="clear" w:color="auto" w:fill="auto"/>
            <w:vAlign w:val="bottom"/>
          </w:tcPr>
          <w:p w14:paraId="74DDC388" w14:textId="77777777" w:rsidR="00584EC1" w:rsidRDefault="00584EC1">
            <w:pPr>
              <w:rPr>
                <w:rFonts w:ascii="宋体"/>
                <w:vanish/>
              </w:rPr>
            </w:pPr>
          </w:p>
        </w:tc>
        <w:tc>
          <w:tcPr>
            <w:tcW w:w="0" w:type="auto"/>
            <w:shd w:val="clear" w:color="auto" w:fill="auto"/>
            <w:vAlign w:val="bottom"/>
          </w:tcPr>
          <w:p w14:paraId="74DDC389" w14:textId="77777777" w:rsidR="00584EC1" w:rsidRDefault="00584EC1">
            <w:pPr>
              <w:rPr>
                <w:rFonts w:ascii="宋体"/>
                <w:vanish/>
              </w:rPr>
            </w:pPr>
          </w:p>
        </w:tc>
        <w:tc>
          <w:tcPr>
            <w:tcW w:w="0" w:type="auto"/>
            <w:shd w:val="clear" w:color="auto" w:fill="auto"/>
            <w:vAlign w:val="bottom"/>
          </w:tcPr>
          <w:p w14:paraId="74DDC38A" w14:textId="77777777" w:rsidR="00584EC1" w:rsidRDefault="00584EC1">
            <w:pPr>
              <w:rPr>
                <w:rFonts w:ascii="宋体"/>
                <w:vanish/>
              </w:rPr>
            </w:pPr>
          </w:p>
        </w:tc>
        <w:tc>
          <w:tcPr>
            <w:tcW w:w="0" w:type="auto"/>
            <w:gridSpan w:val="3"/>
            <w:shd w:val="clear" w:color="auto" w:fill="auto"/>
            <w:vAlign w:val="bottom"/>
          </w:tcPr>
          <w:p w14:paraId="74DDC38B" w14:textId="77777777" w:rsidR="00584EC1" w:rsidRDefault="00584EC1">
            <w:pPr>
              <w:rPr>
                <w:rFonts w:ascii="宋体"/>
                <w:vanish/>
              </w:rPr>
            </w:pPr>
          </w:p>
        </w:tc>
        <w:tc>
          <w:tcPr>
            <w:tcW w:w="0" w:type="auto"/>
            <w:gridSpan w:val="3"/>
            <w:shd w:val="clear" w:color="auto" w:fill="auto"/>
            <w:vAlign w:val="bottom"/>
          </w:tcPr>
          <w:p w14:paraId="74DDC38C" w14:textId="77777777" w:rsidR="00584EC1" w:rsidRDefault="00584EC1">
            <w:pPr>
              <w:rPr>
                <w:rFonts w:ascii="宋体"/>
                <w:vanish/>
              </w:rPr>
            </w:pPr>
          </w:p>
        </w:tc>
        <w:tc>
          <w:tcPr>
            <w:tcW w:w="0" w:type="auto"/>
            <w:gridSpan w:val="3"/>
            <w:shd w:val="clear" w:color="auto" w:fill="auto"/>
            <w:vAlign w:val="bottom"/>
          </w:tcPr>
          <w:p w14:paraId="74DDC38D" w14:textId="77777777" w:rsidR="00584EC1" w:rsidRDefault="00584EC1">
            <w:pPr>
              <w:rPr>
                <w:rFonts w:ascii="宋体"/>
                <w:vanish/>
              </w:rPr>
            </w:pPr>
          </w:p>
        </w:tc>
        <w:tc>
          <w:tcPr>
            <w:tcW w:w="0" w:type="auto"/>
            <w:gridSpan w:val="3"/>
            <w:shd w:val="clear" w:color="auto" w:fill="auto"/>
            <w:vAlign w:val="bottom"/>
          </w:tcPr>
          <w:p w14:paraId="74DDC38E" w14:textId="77777777" w:rsidR="00584EC1" w:rsidRDefault="00584EC1">
            <w:pPr>
              <w:rPr>
                <w:rFonts w:ascii="宋体"/>
                <w:vanish/>
              </w:rPr>
            </w:pPr>
          </w:p>
        </w:tc>
        <w:tc>
          <w:tcPr>
            <w:tcW w:w="0" w:type="auto"/>
            <w:gridSpan w:val="3"/>
            <w:shd w:val="clear" w:color="auto" w:fill="auto"/>
            <w:vAlign w:val="bottom"/>
          </w:tcPr>
          <w:p w14:paraId="74DDC38F" w14:textId="77777777" w:rsidR="00584EC1" w:rsidRDefault="00584EC1">
            <w:pPr>
              <w:rPr>
                <w:rFonts w:ascii="宋体"/>
                <w:vanish/>
              </w:rPr>
            </w:pPr>
          </w:p>
        </w:tc>
        <w:tc>
          <w:tcPr>
            <w:tcW w:w="0" w:type="auto"/>
            <w:gridSpan w:val="3"/>
            <w:shd w:val="clear" w:color="auto" w:fill="auto"/>
            <w:vAlign w:val="bottom"/>
          </w:tcPr>
          <w:p w14:paraId="74DDC390" w14:textId="77777777" w:rsidR="00584EC1" w:rsidRDefault="00584EC1">
            <w:pPr>
              <w:rPr>
                <w:rFonts w:ascii="宋体"/>
                <w:vanish/>
              </w:rPr>
            </w:pPr>
          </w:p>
        </w:tc>
        <w:tc>
          <w:tcPr>
            <w:tcW w:w="0" w:type="auto"/>
            <w:gridSpan w:val="3"/>
            <w:shd w:val="clear" w:color="auto" w:fill="auto"/>
            <w:vAlign w:val="bottom"/>
          </w:tcPr>
          <w:p w14:paraId="74DDC391" w14:textId="77777777" w:rsidR="00584EC1" w:rsidRDefault="00584EC1">
            <w:pPr>
              <w:rPr>
                <w:rFonts w:ascii="宋体"/>
                <w:vanish/>
              </w:rPr>
            </w:pPr>
          </w:p>
        </w:tc>
        <w:tc>
          <w:tcPr>
            <w:tcW w:w="0" w:type="auto"/>
            <w:gridSpan w:val="3"/>
            <w:shd w:val="clear" w:color="auto" w:fill="auto"/>
            <w:vAlign w:val="bottom"/>
          </w:tcPr>
          <w:p w14:paraId="74DDC392" w14:textId="77777777" w:rsidR="00584EC1" w:rsidRDefault="00584EC1">
            <w:pPr>
              <w:rPr>
                <w:rFonts w:ascii="宋体"/>
                <w:vanish/>
              </w:rPr>
            </w:pPr>
          </w:p>
        </w:tc>
        <w:tc>
          <w:tcPr>
            <w:tcW w:w="0" w:type="auto"/>
            <w:gridSpan w:val="3"/>
            <w:shd w:val="clear" w:color="auto" w:fill="auto"/>
            <w:vAlign w:val="bottom"/>
          </w:tcPr>
          <w:p w14:paraId="74DDC393" w14:textId="77777777" w:rsidR="00584EC1" w:rsidRDefault="00584EC1">
            <w:pPr>
              <w:rPr>
                <w:rFonts w:ascii="宋体"/>
                <w:vanish/>
              </w:rPr>
            </w:pPr>
          </w:p>
        </w:tc>
        <w:tc>
          <w:tcPr>
            <w:tcW w:w="0" w:type="auto"/>
            <w:gridSpan w:val="2"/>
            <w:shd w:val="clear" w:color="auto" w:fill="auto"/>
            <w:vAlign w:val="bottom"/>
          </w:tcPr>
          <w:p w14:paraId="74DDC394" w14:textId="77777777" w:rsidR="00584EC1" w:rsidRDefault="00584EC1">
            <w:pPr>
              <w:rPr>
                <w:rFonts w:ascii="宋体"/>
                <w:vanish/>
              </w:rPr>
            </w:pPr>
          </w:p>
        </w:tc>
        <w:tc>
          <w:tcPr>
            <w:tcW w:w="0" w:type="auto"/>
            <w:shd w:val="clear" w:color="auto" w:fill="auto"/>
            <w:vAlign w:val="bottom"/>
          </w:tcPr>
          <w:p w14:paraId="74DDC395" w14:textId="77777777" w:rsidR="00584EC1" w:rsidRDefault="00584EC1">
            <w:pPr>
              <w:rPr>
                <w:rFonts w:ascii="宋体"/>
                <w:vanish/>
              </w:rPr>
            </w:pPr>
          </w:p>
        </w:tc>
      </w:tr>
      <w:tr w:rsidR="00584EC1" w14:paraId="74DDC3AD" w14:textId="77777777">
        <w:trPr>
          <w:hidden/>
        </w:trPr>
        <w:tc>
          <w:tcPr>
            <w:tcW w:w="0" w:type="auto"/>
            <w:gridSpan w:val="3"/>
            <w:shd w:val="clear" w:color="auto" w:fill="auto"/>
            <w:vAlign w:val="bottom"/>
          </w:tcPr>
          <w:p w14:paraId="74DDC397" w14:textId="77777777" w:rsidR="00584EC1" w:rsidRDefault="00584EC1">
            <w:pPr>
              <w:rPr>
                <w:rFonts w:ascii="宋体"/>
                <w:vanish/>
              </w:rPr>
            </w:pPr>
          </w:p>
        </w:tc>
        <w:tc>
          <w:tcPr>
            <w:tcW w:w="0" w:type="auto"/>
            <w:gridSpan w:val="3"/>
            <w:shd w:val="clear" w:color="auto" w:fill="auto"/>
            <w:vAlign w:val="bottom"/>
          </w:tcPr>
          <w:p w14:paraId="74DDC398" w14:textId="77777777" w:rsidR="00584EC1" w:rsidRDefault="00584EC1">
            <w:pPr>
              <w:rPr>
                <w:rFonts w:ascii="宋体"/>
                <w:vanish/>
              </w:rPr>
            </w:pPr>
          </w:p>
        </w:tc>
        <w:tc>
          <w:tcPr>
            <w:tcW w:w="0" w:type="auto"/>
            <w:gridSpan w:val="3"/>
            <w:shd w:val="clear" w:color="auto" w:fill="auto"/>
            <w:vAlign w:val="bottom"/>
          </w:tcPr>
          <w:p w14:paraId="74DDC399" w14:textId="77777777" w:rsidR="00584EC1" w:rsidRDefault="00584EC1">
            <w:pPr>
              <w:rPr>
                <w:rFonts w:ascii="宋体"/>
                <w:vanish/>
              </w:rPr>
            </w:pPr>
          </w:p>
        </w:tc>
        <w:tc>
          <w:tcPr>
            <w:tcW w:w="0" w:type="auto"/>
            <w:gridSpan w:val="3"/>
            <w:shd w:val="clear" w:color="auto" w:fill="auto"/>
            <w:vAlign w:val="bottom"/>
          </w:tcPr>
          <w:p w14:paraId="74DDC39A" w14:textId="77777777" w:rsidR="00584EC1" w:rsidRDefault="00584EC1">
            <w:pPr>
              <w:rPr>
                <w:rFonts w:ascii="宋体"/>
                <w:vanish/>
              </w:rPr>
            </w:pPr>
          </w:p>
        </w:tc>
        <w:tc>
          <w:tcPr>
            <w:tcW w:w="0" w:type="auto"/>
            <w:gridSpan w:val="3"/>
            <w:shd w:val="clear" w:color="auto" w:fill="auto"/>
            <w:vAlign w:val="bottom"/>
          </w:tcPr>
          <w:p w14:paraId="74DDC39B" w14:textId="77777777" w:rsidR="00584EC1" w:rsidRDefault="00584EC1">
            <w:pPr>
              <w:rPr>
                <w:rFonts w:ascii="宋体"/>
                <w:vanish/>
              </w:rPr>
            </w:pPr>
          </w:p>
        </w:tc>
        <w:tc>
          <w:tcPr>
            <w:tcW w:w="0" w:type="auto"/>
            <w:gridSpan w:val="3"/>
            <w:shd w:val="clear" w:color="auto" w:fill="auto"/>
            <w:vAlign w:val="bottom"/>
          </w:tcPr>
          <w:p w14:paraId="74DDC39C" w14:textId="77777777" w:rsidR="00584EC1" w:rsidRDefault="00584EC1">
            <w:pPr>
              <w:rPr>
                <w:rFonts w:ascii="宋体"/>
                <w:vanish/>
              </w:rPr>
            </w:pPr>
          </w:p>
        </w:tc>
        <w:tc>
          <w:tcPr>
            <w:tcW w:w="0" w:type="auto"/>
            <w:gridSpan w:val="3"/>
            <w:shd w:val="clear" w:color="auto" w:fill="auto"/>
            <w:vAlign w:val="bottom"/>
          </w:tcPr>
          <w:p w14:paraId="74DDC39D" w14:textId="77777777" w:rsidR="00584EC1" w:rsidRDefault="00584EC1">
            <w:pPr>
              <w:rPr>
                <w:rFonts w:ascii="宋体"/>
                <w:vanish/>
              </w:rPr>
            </w:pPr>
          </w:p>
        </w:tc>
        <w:tc>
          <w:tcPr>
            <w:tcW w:w="0" w:type="auto"/>
            <w:gridSpan w:val="3"/>
            <w:shd w:val="clear" w:color="auto" w:fill="auto"/>
            <w:vAlign w:val="bottom"/>
          </w:tcPr>
          <w:p w14:paraId="74DDC39E" w14:textId="77777777" w:rsidR="00584EC1" w:rsidRDefault="00584EC1">
            <w:pPr>
              <w:rPr>
                <w:rFonts w:ascii="宋体"/>
                <w:vanish/>
              </w:rPr>
            </w:pPr>
          </w:p>
        </w:tc>
        <w:tc>
          <w:tcPr>
            <w:tcW w:w="0" w:type="auto"/>
            <w:gridSpan w:val="3"/>
            <w:shd w:val="clear" w:color="auto" w:fill="auto"/>
            <w:vAlign w:val="bottom"/>
          </w:tcPr>
          <w:p w14:paraId="74DDC39F" w14:textId="77777777" w:rsidR="00584EC1" w:rsidRDefault="00584EC1">
            <w:pPr>
              <w:rPr>
                <w:rFonts w:ascii="宋体"/>
                <w:vanish/>
              </w:rPr>
            </w:pPr>
          </w:p>
        </w:tc>
        <w:tc>
          <w:tcPr>
            <w:tcW w:w="0" w:type="auto"/>
            <w:shd w:val="clear" w:color="auto" w:fill="auto"/>
            <w:vAlign w:val="bottom"/>
          </w:tcPr>
          <w:p w14:paraId="74DDC3A0" w14:textId="77777777" w:rsidR="00584EC1" w:rsidRDefault="00584EC1">
            <w:pPr>
              <w:rPr>
                <w:rFonts w:ascii="宋体"/>
                <w:vanish/>
              </w:rPr>
            </w:pPr>
          </w:p>
        </w:tc>
        <w:tc>
          <w:tcPr>
            <w:tcW w:w="0" w:type="auto"/>
            <w:shd w:val="clear" w:color="auto" w:fill="auto"/>
            <w:vAlign w:val="bottom"/>
          </w:tcPr>
          <w:p w14:paraId="74DDC3A1" w14:textId="77777777" w:rsidR="00584EC1" w:rsidRDefault="00584EC1">
            <w:pPr>
              <w:rPr>
                <w:rFonts w:ascii="宋体"/>
                <w:vanish/>
              </w:rPr>
            </w:pPr>
          </w:p>
        </w:tc>
        <w:tc>
          <w:tcPr>
            <w:tcW w:w="0" w:type="auto"/>
            <w:gridSpan w:val="3"/>
            <w:shd w:val="clear" w:color="auto" w:fill="auto"/>
            <w:vAlign w:val="bottom"/>
          </w:tcPr>
          <w:p w14:paraId="74DDC3A2" w14:textId="77777777" w:rsidR="00584EC1" w:rsidRDefault="00584EC1">
            <w:pPr>
              <w:rPr>
                <w:rFonts w:ascii="宋体"/>
                <w:vanish/>
              </w:rPr>
            </w:pPr>
          </w:p>
        </w:tc>
        <w:tc>
          <w:tcPr>
            <w:tcW w:w="0" w:type="auto"/>
            <w:gridSpan w:val="3"/>
            <w:shd w:val="clear" w:color="auto" w:fill="auto"/>
            <w:vAlign w:val="bottom"/>
          </w:tcPr>
          <w:p w14:paraId="74DDC3A3" w14:textId="77777777" w:rsidR="00584EC1" w:rsidRDefault="00584EC1">
            <w:pPr>
              <w:rPr>
                <w:rFonts w:ascii="宋体"/>
                <w:vanish/>
              </w:rPr>
            </w:pPr>
          </w:p>
        </w:tc>
        <w:tc>
          <w:tcPr>
            <w:tcW w:w="0" w:type="auto"/>
            <w:gridSpan w:val="3"/>
            <w:shd w:val="clear" w:color="auto" w:fill="auto"/>
            <w:vAlign w:val="bottom"/>
          </w:tcPr>
          <w:p w14:paraId="74DDC3A4" w14:textId="77777777" w:rsidR="00584EC1" w:rsidRDefault="00584EC1">
            <w:pPr>
              <w:rPr>
                <w:rFonts w:ascii="宋体"/>
                <w:vanish/>
              </w:rPr>
            </w:pPr>
          </w:p>
        </w:tc>
        <w:tc>
          <w:tcPr>
            <w:tcW w:w="0" w:type="auto"/>
            <w:gridSpan w:val="3"/>
            <w:shd w:val="clear" w:color="auto" w:fill="auto"/>
            <w:vAlign w:val="bottom"/>
          </w:tcPr>
          <w:p w14:paraId="74DDC3A5" w14:textId="77777777" w:rsidR="00584EC1" w:rsidRDefault="00584EC1">
            <w:pPr>
              <w:rPr>
                <w:rFonts w:ascii="宋体"/>
                <w:vanish/>
              </w:rPr>
            </w:pPr>
          </w:p>
        </w:tc>
        <w:tc>
          <w:tcPr>
            <w:tcW w:w="0" w:type="auto"/>
            <w:gridSpan w:val="3"/>
            <w:shd w:val="clear" w:color="auto" w:fill="auto"/>
            <w:vAlign w:val="bottom"/>
          </w:tcPr>
          <w:p w14:paraId="74DDC3A6" w14:textId="77777777" w:rsidR="00584EC1" w:rsidRDefault="00584EC1">
            <w:pPr>
              <w:rPr>
                <w:rFonts w:ascii="宋体"/>
                <w:vanish/>
              </w:rPr>
            </w:pPr>
          </w:p>
        </w:tc>
        <w:tc>
          <w:tcPr>
            <w:tcW w:w="0" w:type="auto"/>
            <w:gridSpan w:val="3"/>
            <w:shd w:val="clear" w:color="auto" w:fill="auto"/>
            <w:vAlign w:val="bottom"/>
          </w:tcPr>
          <w:p w14:paraId="74DDC3A7" w14:textId="77777777" w:rsidR="00584EC1" w:rsidRDefault="00584EC1">
            <w:pPr>
              <w:rPr>
                <w:rFonts w:ascii="宋体"/>
                <w:vanish/>
              </w:rPr>
            </w:pPr>
          </w:p>
        </w:tc>
        <w:tc>
          <w:tcPr>
            <w:tcW w:w="0" w:type="auto"/>
            <w:gridSpan w:val="3"/>
            <w:shd w:val="clear" w:color="auto" w:fill="auto"/>
            <w:vAlign w:val="bottom"/>
          </w:tcPr>
          <w:p w14:paraId="74DDC3A8" w14:textId="77777777" w:rsidR="00584EC1" w:rsidRDefault="00584EC1">
            <w:pPr>
              <w:rPr>
                <w:rFonts w:ascii="宋体"/>
                <w:vanish/>
              </w:rPr>
            </w:pPr>
          </w:p>
        </w:tc>
        <w:tc>
          <w:tcPr>
            <w:tcW w:w="0" w:type="auto"/>
            <w:gridSpan w:val="3"/>
            <w:shd w:val="clear" w:color="auto" w:fill="auto"/>
            <w:vAlign w:val="bottom"/>
          </w:tcPr>
          <w:p w14:paraId="74DDC3A9" w14:textId="77777777" w:rsidR="00584EC1" w:rsidRDefault="00584EC1">
            <w:pPr>
              <w:rPr>
                <w:rFonts w:ascii="宋体"/>
                <w:vanish/>
              </w:rPr>
            </w:pPr>
          </w:p>
        </w:tc>
        <w:tc>
          <w:tcPr>
            <w:tcW w:w="0" w:type="auto"/>
            <w:gridSpan w:val="3"/>
            <w:shd w:val="clear" w:color="auto" w:fill="auto"/>
            <w:vAlign w:val="bottom"/>
          </w:tcPr>
          <w:p w14:paraId="74DDC3AA" w14:textId="77777777" w:rsidR="00584EC1" w:rsidRDefault="00584EC1">
            <w:pPr>
              <w:rPr>
                <w:rFonts w:ascii="宋体"/>
                <w:vanish/>
              </w:rPr>
            </w:pPr>
          </w:p>
        </w:tc>
        <w:tc>
          <w:tcPr>
            <w:tcW w:w="0" w:type="auto"/>
            <w:gridSpan w:val="2"/>
            <w:shd w:val="clear" w:color="auto" w:fill="auto"/>
            <w:vAlign w:val="bottom"/>
          </w:tcPr>
          <w:p w14:paraId="74DDC3AB" w14:textId="77777777" w:rsidR="00584EC1" w:rsidRDefault="00584EC1">
            <w:pPr>
              <w:rPr>
                <w:rFonts w:ascii="宋体"/>
                <w:vanish/>
              </w:rPr>
            </w:pPr>
          </w:p>
        </w:tc>
        <w:tc>
          <w:tcPr>
            <w:tcW w:w="0" w:type="auto"/>
            <w:shd w:val="clear" w:color="auto" w:fill="auto"/>
            <w:vAlign w:val="bottom"/>
          </w:tcPr>
          <w:p w14:paraId="74DDC3AC" w14:textId="77777777" w:rsidR="00584EC1" w:rsidRDefault="00584EC1">
            <w:pPr>
              <w:rPr>
                <w:rFonts w:ascii="宋体"/>
                <w:vanish/>
              </w:rPr>
            </w:pPr>
          </w:p>
        </w:tc>
      </w:tr>
      <w:tr w:rsidR="00584EC1" w14:paraId="74DDC3C4" w14:textId="77777777">
        <w:trPr>
          <w:hidden/>
        </w:trPr>
        <w:tc>
          <w:tcPr>
            <w:tcW w:w="0" w:type="auto"/>
            <w:gridSpan w:val="3"/>
            <w:shd w:val="clear" w:color="auto" w:fill="auto"/>
            <w:vAlign w:val="bottom"/>
          </w:tcPr>
          <w:p w14:paraId="74DDC3AE" w14:textId="77777777" w:rsidR="00584EC1" w:rsidRDefault="00584EC1">
            <w:pPr>
              <w:rPr>
                <w:rFonts w:ascii="宋体"/>
                <w:vanish/>
              </w:rPr>
            </w:pPr>
          </w:p>
        </w:tc>
        <w:tc>
          <w:tcPr>
            <w:tcW w:w="0" w:type="auto"/>
            <w:gridSpan w:val="3"/>
            <w:shd w:val="clear" w:color="auto" w:fill="auto"/>
            <w:vAlign w:val="bottom"/>
          </w:tcPr>
          <w:p w14:paraId="74DDC3AF" w14:textId="77777777" w:rsidR="00584EC1" w:rsidRDefault="00584EC1">
            <w:pPr>
              <w:rPr>
                <w:rFonts w:ascii="宋体"/>
                <w:vanish/>
              </w:rPr>
            </w:pPr>
          </w:p>
        </w:tc>
        <w:tc>
          <w:tcPr>
            <w:tcW w:w="0" w:type="auto"/>
            <w:gridSpan w:val="3"/>
            <w:shd w:val="clear" w:color="auto" w:fill="auto"/>
            <w:vAlign w:val="bottom"/>
          </w:tcPr>
          <w:p w14:paraId="74DDC3B0" w14:textId="77777777" w:rsidR="00584EC1" w:rsidRDefault="00584EC1">
            <w:pPr>
              <w:rPr>
                <w:rFonts w:ascii="宋体"/>
                <w:vanish/>
              </w:rPr>
            </w:pPr>
          </w:p>
        </w:tc>
        <w:tc>
          <w:tcPr>
            <w:tcW w:w="0" w:type="auto"/>
            <w:gridSpan w:val="3"/>
            <w:shd w:val="clear" w:color="auto" w:fill="auto"/>
            <w:vAlign w:val="bottom"/>
          </w:tcPr>
          <w:p w14:paraId="74DDC3B1" w14:textId="77777777" w:rsidR="00584EC1" w:rsidRDefault="00584EC1">
            <w:pPr>
              <w:rPr>
                <w:rFonts w:ascii="宋体"/>
                <w:vanish/>
              </w:rPr>
            </w:pPr>
          </w:p>
        </w:tc>
        <w:tc>
          <w:tcPr>
            <w:tcW w:w="0" w:type="auto"/>
            <w:gridSpan w:val="3"/>
            <w:shd w:val="clear" w:color="auto" w:fill="auto"/>
            <w:vAlign w:val="bottom"/>
          </w:tcPr>
          <w:p w14:paraId="74DDC3B2" w14:textId="77777777" w:rsidR="00584EC1" w:rsidRDefault="00584EC1">
            <w:pPr>
              <w:rPr>
                <w:rFonts w:ascii="宋体"/>
                <w:vanish/>
              </w:rPr>
            </w:pPr>
          </w:p>
        </w:tc>
        <w:tc>
          <w:tcPr>
            <w:tcW w:w="0" w:type="auto"/>
            <w:gridSpan w:val="3"/>
            <w:shd w:val="clear" w:color="auto" w:fill="auto"/>
            <w:vAlign w:val="bottom"/>
          </w:tcPr>
          <w:p w14:paraId="74DDC3B3" w14:textId="77777777" w:rsidR="00584EC1" w:rsidRDefault="00584EC1">
            <w:pPr>
              <w:rPr>
                <w:rFonts w:ascii="宋体"/>
                <w:vanish/>
              </w:rPr>
            </w:pPr>
          </w:p>
        </w:tc>
        <w:tc>
          <w:tcPr>
            <w:tcW w:w="0" w:type="auto"/>
            <w:gridSpan w:val="3"/>
            <w:shd w:val="clear" w:color="auto" w:fill="auto"/>
            <w:vAlign w:val="bottom"/>
          </w:tcPr>
          <w:p w14:paraId="74DDC3B4" w14:textId="77777777" w:rsidR="00584EC1" w:rsidRDefault="00584EC1">
            <w:pPr>
              <w:rPr>
                <w:rFonts w:ascii="宋体"/>
                <w:vanish/>
              </w:rPr>
            </w:pPr>
          </w:p>
        </w:tc>
        <w:tc>
          <w:tcPr>
            <w:tcW w:w="0" w:type="auto"/>
            <w:gridSpan w:val="3"/>
            <w:shd w:val="clear" w:color="auto" w:fill="auto"/>
            <w:vAlign w:val="bottom"/>
          </w:tcPr>
          <w:p w14:paraId="74DDC3B5" w14:textId="77777777" w:rsidR="00584EC1" w:rsidRDefault="00584EC1">
            <w:pPr>
              <w:rPr>
                <w:rFonts w:ascii="宋体"/>
                <w:vanish/>
              </w:rPr>
            </w:pPr>
          </w:p>
        </w:tc>
        <w:tc>
          <w:tcPr>
            <w:tcW w:w="0" w:type="auto"/>
            <w:gridSpan w:val="3"/>
            <w:shd w:val="clear" w:color="auto" w:fill="auto"/>
            <w:vAlign w:val="bottom"/>
          </w:tcPr>
          <w:p w14:paraId="74DDC3B6" w14:textId="77777777" w:rsidR="00584EC1" w:rsidRDefault="00584EC1">
            <w:pPr>
              <w:rPr>
                <w:rFonts w:ascii="宋体"/>
                <w:vanish/>
              </w:rPr>
            </w:pPr>
          </w:p>
        </w:tc>
        <w:tc>
          <w:tcPr>
            <w:tcW w:w="0" w:type="auto"/>
            <w:shd w:val="clear" w:color="auto" w:fill="auto"/>
            <w:vAlign w:val="bottom"/>
          </w:tcPr>
          <w:p w14:paraId="74DDC3B7" w14:textId="77777777" w:rsidR="00584EC1" w:rsidRDefault="00584EC1">
            <w:pPr>
              <w:rPr>
                <w:rFonts w:ascii="宋体"/>
                <w:vanish/>
              </w:rPr>
            </w:pPr>
          </w:p>
        </w:tc>
        <w:tc>
          <w:tcPr>
            <w:tcW w:w="0" w:type="auto"/>
            <w:shd w:val="clear" w:color="auto" w:fill="auto"/>
            <w:vAlign w:val="bottom"/>
          </w:tcPr>
          <w:p w14:paraId="74DDC3B8" w14:textId="77777777" w:rsidR="00584EC1" w:rsidRDefault="00584EC1">
            <w:pPr>
              <w:rPr>
                <w:rFonts w:ascii="宋体"/>
                <w:vanish/>
              </w:rPr>
            </w:pPr>
          </w:p>
        </w:tc>
        <w:tc>
          <w:tcPr>
            <w:tcW w:w="0" w:type="auto"/>
            <w:gridSpan w:val="3"/>
            <w:shd w:val="clear" w:color="auto" w:fill="auto"/>
            <w:vAlign w:val="bottom"/>
          </w:tcPr>
          <w:p w14:paraId="74DDC3B9" w14:textId="77777777" w:rsidR="00584EC1" w:rsidRDefault="00584EC1">
            <w:pPr>
              <w:rPr>
                <w:rFonts w:ascii="宋体"/>
                <w:vanish/>
              </w:rPr>
            </w:pPr>
          </w:p>
        </w:tc>
        <w:tc>
          <w:tcPr>
            <w:tcW w:w="0" w:type="auto"/>
            <w:gridSpan w:val="3"/>
            <w:shd w:val="clear" w:color="auto" w:fill="auto"/>
            <w:vAlign w:val="bottom"/>
          </w:tcPr>
          <w:p w14:paraId="74DDC3BA" w14:textId="77777777" w:rsidR="00584EC1" w:rsidRDefault="00584EC1">
            <w:pPr>
              <w:rPr>
                <w:rFonts w:ascii="宋体"/>
                <w:vanish/>
              </w:rPr>
            </w:pPr>
          </w:p>
        </w:tc>
        <w:tc>
          <w:tcPr>
            <w:tcW w:w="0" w:type="auto"/>
            <w:gridSpan w:val="3"/>
            <w:shd w:val="clear" w:color="auto" w:fill="auto"/>
            <w:vAlign w:val="bottom"/>
          </w:tcPr>
          <w:p w14:paraId="74DDC3BB" w14:textId="77777777" w:rsidR="00584EC1" w:rsidRDefault="00584EC1">
            <w:pPr>
              <w:rPr>
                <w:rFonts w:ascii="宋体"/>
                <w:vanish/>
              </w:rPr>
            </w:pPr>
          </w:p>
        </w:tc>
        <w:tc>
          <w:tcPr>
            <w:tcW w:w="0" w:type="auto"/>
            <w:gridSpan w:val="3"/>
            <w:shd w:val="clear" w:color="auto" w:fill="auto"/>
            <w:vAlign w:val="bottom"/>
          </w:tcPr>
          <w:p w14:paraId="74DDC3BC" w14:textId="77777777" w:rsidR="00584EC1" w:rsidRDefault="00584EC1">
            <w:pPr>
              <w:rPr>
                <w:rFonts w:ascii="宋体"/>
                <w:vanish/>
              </w:rPr>
            </w:pPr>
          </w:p>
        </w:tc>
        <w:tc>
          <w:tcPr>
            <w:tcW w:w="0" w:type="auto"/>
            <w:gridSpan w:val="3"/>
            <w:shd w:val="clear" w:color="auto" w:fill="auto"/>
            <w:vAlign w:val="bottom"/>
          </w:tcPr>
          <w:p w14:paraId="74DDC3BD" w14:textId="77777777" w:rsidR="00584EC1" w:rsidRDefault="00584EC1">
            <w:pPr>
              <w:rPr>
                <w:rFonts w:ascii="宋体"/>
                <w:vanish/>
              </w:rPr>
            </w:pPr>
          </w:p>
        </w:tc>
        <w:tc>
          <w:tcPr>
            <w:tcW w:w="0" w:type="auto"/>
            <w:gridSpan w:val="3"/>
            <w:shd w:val="clear" w:color="auto" w:fill="auto"/>
            <w:vAlign w:val="bottom"/>
          </w:tcPr>
          <w:p w14:paraId="74DDC3BE" w14:textId="77777777" w:rsidR="00584EC1" w:rsidRDefault="00584EC1">
            <w:pPr>
              <w:rPr>
                <w:rFonts w:ascii="宋体"/>
                <w:vanish/>
              </w:rPr>
            </w:pPr>
          </w:p>
        </w:tc>
        <w:tc>
          <w:tcPr>
            <w:tcW w:w="0" w:type="auto"/>
            <w:gridSpan w:val="3"/>
            <w:shd w:val="clear" w:color="auto" w:fill="auto"/>
            <w:vAlign w:val="bottom"/>
          </w:tcPr>
          <w:p w14:paraId="74DDC3BF" w14:textId="77777777" w:rsidR="00584EC1" w:rsidRDefault="00584EC1">
            <w:pPr>
              <w:rPr>
                <w:rFonts w:ascii="宋体"/>
                <w:vanish/>
              </w:rPr>
            </w:pPr>
          </w:p>
        </w:tc>
        <w:tc>
          <w:tcPr>
            <w:tcW w:w="0" w:type="auto"/>
            <w:gridSpan w:val="3"/>
            <w:shd w:val="clear" w:color="auto" w:fill="auto"/>
            <w:vAlign w:val="bottom"/>
          </w:tcPr>
          <w:p w14:paraId="74DDC3C0" w14:textId="77777777" w:rsidR="00584EC1" w:rsidRDefault="00584EC1">
            <w:pPr>
              <w:rPr>
                <w:rFonts w:ascii="宋体"/>
                <w:vanish/>
              </w:rPr>
            </w:pPr>
          </w:p>
        </w:tc>
        <w:tc>
          <w:tcPr>
            <w:tcW w:w="0" w:type="auto"/>
            <w:gridSpan w:val="3"/>
            <w:shd w:val="clear" w:color="auto" w:fill="auto"/>
            <w:vAlign w:val="bottom"/>
          </w:tcPr>
          <w:p w14:paraId="74DDC3C1" w14:textId="77777777" w:rsidR="00584EC1" w:rsidRDefault="00584EC1">
            <w:pPr>
              <w:rPr>
                <w:rFonts w:ascii="宋体"/>
                <w:vanish/>
              </w:rPr>
            </w:pPr>
          </w:p>
        </w:tc>
        <w:tc>
          <w:tcPr>
            <w:tcW w:w="0" w:type="auto"/>
            <w:gridSpan w:val="2"/>
            <w:shd w:val="clear" w:color="auto" w:fill="auto"/>
            <w:vAlign w:val="bottom"/>
          </w:tcPr>
          <w:p w14:paraId="74DDC3C2" w14:textId="77777777" w:rsidR="00584EC1" w:rsidRDefault="00584EC1">
            <w:pPr>
              <w:rPr>
                <w:rFonts w:ascii="宋体"/>
                <w:vanish/>
              </w:rPr>
            </w:pPr>
          </w:p>
        </w:tc>
        <w:tc>
          <w:tcPr>
            <w:tcW w:w="0" w:type="auto"/>
            <w:shd w:val="clear" w:color="auto" w:fill="auto"/>
            <w:vAlign w:val="bottom"/>
          </w:tcPr>
          <w:p w14:paraId="74DDC3C3" w14:textId="77777777" w:rsidR="00584EC1" w:rsidRDefault="00584EC1">
            <w:pPr>
              <w:rPr>
                <w:rFonts w:ascii="宋体"/>
                <w:vanish/>
              </w:rPr>
            </w:pPr>
          </w:p>
        </w:tc>
      </w:tr>
      <w:tr w:rsidR="00584EC1" w14:paraId="74DDC3DB" w14:textId="77777777">
        <w:trPr>
          <w:hidden/>
        </w:trPr>
        <w:tc>
          <w:tcPr>
            <w:tcW w:w="0" w:type="auto"/>
            <w:gridSpan w:val="3"/>
            <w:shd w:val="clear" w:color="auto" w:fill="auto"/>
            <w:vAlign w:val="bottom"/>
          </w:tcPr>
          <w:p w14:paraId="74DDC3C5" w14:textId="77777777" w:rsidR="00584EC1" w:rsidRDefault="00584EC1">
            <w:pPr>
              <w:rPr>
                <w:rFonts w:ascii="宋体"/>
                <w:vanish/>
              </w:rPr>
            </w:pPr>
          </w:p>
        </w:tc>
        <w:tc>
          <w:tcPr>
            <w:tcW w:w="0" w:type="auto"/>
            <w:gridSpan w:val="3"/>
            <w:shd w:val="clear" w:color="auto" w:fill="auto"/>
            <w:vAlign w:val="bottom"/>
          </w:tcPr>
          <w:p w14:paraId="74DDC3C6" w14:textId="77777777" w:rsidR="00584EC1" w:rsidRDefault="00584EC1">
            <w:pPr>
              <w:rPr>
                <w:rFonts w:ascii="宋体"/>
                <w:vanish/>
              </w:rPr>
            </w:pPr>
          </w:p>
        </w:tc>
        <w:tc>
          <w:tcPr>
            <w:tcW w:w="0" w:type="auto"/>
            <w:gridSpan w:val="3"/>
            <w:shd w:val="clear" w:color="auto" w:fill="auto"/>
            <w:vAlign w:val="bottom"/>
          </w:tcPr>
          <w:p w14:paraId="74DDC3C7" w14:textId="77777777" w:rsidR="00584EC1" w:rsidRDefault="00584EC1">
            <w:pPr>
              <w:rPr>
                <w:rFonts w:ascii="宋体"/>
                <w:vanish/>
              </w:rPr>
            </w:pPr>
          </w:p>
        </w:tc>
        <w:tc>
          <w:tcPr>
            <w:tcW w:w="0" w:type="auto"/>
            <w:gridSpan w:val="3"/>
            <w:shd w:val="clear" w:color="auto" w:fill="auto"/>
            <w:vAlign w:val="bottom"/>
          </w:tcPr>
          <w:p w14:paraId="74DDC3C8" w14:textId="77777777" w:rsidR="00584EC1" w:rsidRDefault="00584EC1">
            <w:pPr>
              <w:rPr>
                <w:rFonts w:ascii="宋体"/>
                <w:vanish/>
              </w:rPr>
            </w:pPr>
          </w:p>
        </w:tc>
        <w:tc>
          <w:tcPr>
            <w:tcW w:w="0" w:type="auto"/>
            <w:gridSpan w:val="3"/>
            <w:shd w:val="clear" w:color="auto" w:fill="auto"/>
            <w:vAlign w:val="bottom"/>
          </w:tcPr>
          <w:p w14:paraId="74DDC3C9" w14:textId="77777777" w:rsidR="00584EC1" w:rsidRDefault="00584EC1">
            <w:pPr>
              <w:rPr>
                <w:rFonts w:ascii="宋体"/>
                <w:vanish/>
              </w:rPr>
            </w:pPr>
          </w:p>
        </w:tc>
        <w:tc>
          <w:tcPr>
            <w:tcW w:w="0" w:type="auto"/>
            <w:gridSpan w:val="3"/>
            <w:shd w:val="clear" w:color="auto" w:fill="auto"/>
            <w:vAlign w:val="bottom"/>
          </w:tcPr>
          <w:p w14:paraId="74DDC3CA" w14:textId="77777777" w:rsidR="00584EC1" w:rsidRDefault="00584EC1">
            <w:pPr>
              <w:rPr>
                <w:rFonts w:ascii="宋体"/>
                <w:vanish/>
              </w:rPr>
            </w:pPr>
          </w:p>
        </w:tc>
        <w:tc>
          <w:tcPr>
            <w:tcW w:w="0" w:type="auto"/>
            <w:gridSpan w:val="3"/>
            <w:shd w:val="clear" w:color="auto" w:fill="auto"/>
            <w:vAlign w:val="bottom"/>
          </w:tcPr>
          <w:p w14:paraId="74DDC3CB" w14:textId="77777777" w:rsidR="00584EC1" w:rsidRDefault="00584EC1">
            <w:pPr>
              <w:rPr>
                <w:rFonts w:ascii="宋体"/>
                <w:vanish/>
              </w:rPr>
            </w:pPr>
          </w:p>
        </w:tc>
        <w:tc>
          <w:tcPr>
            <w:tcW w:w="0" w:type="auto"/>
            <w:gridSpan w:val="3"/>
            <w:shd w:val="clear" w:color="auto" w:fill="auto"/>
            <w:vAlign w:val="bottom"/>
          </w:tcPr>
          <w:p w14:paraId="74DDC3CC" w14:textId="77777777" w:rsidR="00584EC1" w:rsidRDefault="00584EC1">
            <w:pPr>
              <w:rPr>
                <w:rFonts w:ascii="宋体"/>
                <w:vanish/>
              </w:rPr>
            </w:pPr>
          </w:p>
        </w:tc>
        <w:tc>
          <w:tcPr>
            <w:tcW w:w="0" w:type="auto"/>
            <w:gridSpan w:val="3"/>
            <w:shd w:val="clear" w:color="auto" w:fill="auto"/>
            <w:vAlign w:val="bottom"/>
          </w:tcPr>
          <w:p w14:paraId="74DDC3CD" w14:textId="77777777" w:rsidR="00584EC1" w:rsidRDefault="00584EC1">
            <w:pPr>
              <w:rPr>
                <w:rFonts w:ascii="宋体"/>
                <w:vanish/>
              </w:rPr>
            </w:pPr>
          </w:p>
        </w:tc>
        <w:tc>
          <w:tcPr>
            <w:tcW w:w="0" w:type="auto"/>
            <w:shd w:val="clear" w:color="auto" w:fill="auto"/>
            <w:vAlign w:val="bottom"/>
          </w:tcPr>
          <w:p w14:paraId="74DDC3CE" w14:textId="77777777" w:rsidR="00584EC1" w:rsidRDefault="00584EC1">
            <w:pPr>
              <w:rPr>
                <w:rFonts w:ascii="宋体"/>
                <w:vanish/>
              </w:rPr>
            </w:pPr>
          </w:p>
        </w:tc>
        <w:tc>
          <w:tcPr>
            <w:tcW w:w="0" w:type="auto"/>
            <w:shd w:val="clear" w:color="auto" w:fill="auto"/>
            <w:vAlign w:val="bottom"/>
          </w:tcPr>
          <w:p w14:paraId="74DDC3CF" w14:textId="77777777" w:rsidR="00584EC1" w:rsidRDefault="00584EC1">
            <w:pPr>
              <w:rPr>
                <w:rFonts w:ascii="宋体"/>
                <w:vanish/>
              </w:rPr>
            </w:pPr>
          </w:p>
        </w:tc>
        <w:tc>
          <w:tcPr>
            <w:tcW w:w="0" w:type="auto"/>
            <w:gridSpan w:val="3"/>
            <w:shd w:val="clear" w:color="auto" w:fill="auto"/>
            <w:vAlign w:val="bottom"/>
          </w:tcPr>
          <w:p w14:paraId="74DDC3D0" w14:textId="77777777" w:rsidR="00584EC1" w:rsidRDefault="00584EC1">
            <w:pPr>
              <w:rPr>
                <w:rFonts w:ascii="宋体"/>
                <w:vanish/>
              </w:rPr>
            </w:pPr>
          </w:p>
        </w:tc>
        <w:tc>
          <w:tcPr>
            <w:tcW w:w="0" w:type="auto"/>
            <w:gridSpan w:val="3"/>
            <w:shd w:val="clear" w:color="auto" w:fill="auto"/>
            <w:vAlign w:val="bottom"/>
          </w:tcPr>
          <w:p w14:paraId="74DDC3D1" w14:textId="77777777" w:rsidR="00584EC1" w:rsidRDefault="00584EC1">
            <w:pPr>
              <w:rPr>
                <w:rFonts w:ascii="宋体"/>
                <w:vanish/>
              </w:rPr>
            </w:pPr>
          </w:p>
        </w:tc>
        <w:tc>
          <w:tcPr>
            <w:tcW w:w="0" w:type="auto"/>
            <w:gridSpan w:val="3"/>
            <w:shd w:val="clear" w:color="auto" w:fill="auto"/>
            <w:vAlign w:val="bottom"/>
          </w:tcPr>
          <w:p w14:paraId="74DDC3D2" w14:textId="77777777" w:rsidR="00584EC1" w:rsidRDefault="00584EC1">
            <w:pPr>
              <w:rPr>
                <w:rFonts w:ascii="宋体"/>
                <w:vanish/>
              </w:rPr>
            </w:pPr>
          </w:p>
        </w:tc>
        <w:tc>
          <w:tcPr>
            <w:tcW w:w="0" w:type="auto"/>
            <w:gridSpan w:val="3"/>
            <w:shd w:val="clear" w:color="auto" w:fill="auto"/>
            <w:vAlign w:val="bottom"/>
          </w:tcPr>
          <w:p w14:paraId="74DDC3D3" w14:textId="77777777" w:rsidR="00584EC1" w:rsidRDefault="00584EC1">
            <w:pPr>
              <w:rPr>
                <w:rFonts w:ascii="宋体"/>
                <w:vanish/>
              </w:rPr>
            </w:pPr>
          </w:p>
        </w:tc>
        <w:tc>
          <w:tcPr>
            <w:tcW w:w="0" w:type="auto"/>
            <w:gridSpan w:val="3"/>
            <w:shd w:val="clear" w:color="auto" w:fill="auto"/>
            <w:vAlign w:val="bottom"/>
          </w:tcPr>
          <w:p w14:paraId="74DDC3D4" w14:textId="77777777" w:rsidR="00584EC1" w:rsidRDefault="00584EC1">
            <w:pPr>
              <w:rPr>
                <w:rFonts w:ascii="宋体"/>
                <w:vanish/>
              </w:rPr>
            </w:pPr>
          </w:p>
        </w:tc>
        <w:tc>
          <w:tcPr>
            <w:tcW w:w="0" w:type="auto"/>
            <w:gridSpan w:val="3"/>
            <w:shd w:val="clear" w:color="auto" w:fill="auto"/>
            <w:vAlign w:val="bottom"/>
          </w:tcPr>
          <w:p w14:paraId="74DDC3D5" w14:textId="77777777" w:rsidR="00584EC1" w:rsidRDefault="00584EC1">
            <w:pPr>
              <w:rPr>
                <w:rFonts w:ascii="宋体"/>
                <w:vanish/>
              </w:rPr>
            </w:pPr>
          </w:p>
        </w:tc>
        <w:tc>
          <w:tcPr>
            <w:tcW w:w="0" w:type="auto"/>
            <w:gridSpan w:val="3"/>
            <w:shd w:val="clear" w:color="auto" w:fill="auto"/>
            <w:vAlign w:val="bottom"/>
          </w:tcPr>
          <w:p w14:paraId="74DDC3D6" w14:textId="77777777" w:rsidR="00584EC1" w:rsidRDefault="00584EC1">
            <w:pPr>
              <w:rPr>
                <w:rFonts w:ascii="宋体"/>
                <w:vanish/>
              </w:rPr>
            </w:pPr>
          </w:p>
        </w:tc>
        <w:tc>
          <w:tcPr>
            <w:tcW w:w="0" w:type="auto"/>
            <w:gridSpan w:val="3"/>
            <w:shd w:val="clear" w:color="auto" w:fill="auto"/>
            <w:vAlign w:val="bottom"/>
          </w:tcPr>
          <w:p w14:paraId="74DDC3D7" w14:textId="77777777" w:rsidR="00584EC1" w:rsidRDefault="00584EC1">
            <w:pPr>
              <w:rPr>
                <w:rFonts w:ascii="宋体"/>
                <w:vanish/>
              </w:rPr>
            </w:pPr>
          </w:p>
        </w:tc>
        <w:tc>
          <w:tcPr>
            <w:tcW w:w="0" w:type="auto"/>
            <w:gridSpan w:val="3"/>
            <w:shd w:val="clear" w:color="auto" w:fill="auto"/>
            <w:vAlign w:val="bottom"/>
          </w:tcPr>
          <w:p w14:paraId="74DDC3D8" w14:textId="77777777" w:rsidR="00584EC1" w:rsidRDefault="00584EC1">
            <w:pPr>
              <w:rPr>
                <w:rFonts w:ascii="宋体"/>
                <w:vanish/>
              </w:rPr>
            </w:pPr>
          </w:p>
        </w:tc>
        <w:tc>
          <w:tcPr>
            <w:tcW w:w="0" w:type="auto"/>
            <w:gridSpan w:val="2"/>
            <w:shd w:val="clear" w:color="auto" w:fill="auto"/>
            <w:vAlign w:val="bottom"/>
          </w:tcPr>
          <w:p w14:paraId="74DDC3D9" w14:textId="77777777" w:rsidR="00584EC1" w:rsidRDefault="00584EC1">
            <w:pPr>
              <w:rPr>
                <w:rFonts w:ascii="宋体"/>
                <w:vanish/>
              </w:rPr>
            </w:pPr>
          </w:p>
        </w:tc>
        <w:tc>
          <w:tcPr>
            <w:tcW w:w="0" w:type="auto"/>
            <w:shd w:val="clear" w:color="auto" w:fill="auto"/>
            <w:vAlign w:val="bottom"/>
          </w:tcPr>
          <w:p w14:paraId="74DDC3DA" w14:textId="77777777" w:rsidR="00584EC1" w:rsidRDefault="00584EC1">
            <w:pPr>
              <w:rPr>
                <w:rFonts w:ascii="宋体"/>
                <w:vanish/>
              </w:rPr>
            </w:pPr>
          </w:p>
        </w:tc>
      </w:tr>
      <w:tr w:rsidR="00584EC1" w14:paraId="74DDC3FB" w14:textId="77777777">
        <w:tc>
          <w:tcPr>
            <w:tcW w:w="0" w:type="auto"/>
            <w:gridSpan w:val="3"/>
            <w:shd w:val="clear" w:color="auto" w:fill="CCEEFF"/>
            <w:tcMar>
              <w:top w:w="40" w:type="dxa"/>
              <w:left w:w="20" w:type="dxa"/>
              <w:bottom w:w="40" w:type="dxa"/>
              <w:right w:w="20" w:type="dxa"/>
            </w:tcMar>
            <w:vAlign w:val="center"/>
          </w:tcPr>
          <w:p w14:paraId="74DDC3DC" w14:textId="77777777" w:rsidR="00584EC1" w:rsidRDefault="00871F8D">
            <w:pPr>
              <w:textAlignment w:val="center"/>
            </w:pPr>
            <w:r>
              <w:rPr>
                <w:rFonts w:ascii="Arial" w:eastAsia="宋体" w:hAnsi="Arial" w:cs="Arial"/>
                <w:color w:val="000000"/>
                <w:sz w:val="12"/>
                <w:szCs w:val="12"/>
              </w:rPr>
              <w:t>Other U.S. debt securities</w:t>
            </w:r>
          </w:p>
        </w:tc>
        <w:tc>
          <w:tcPr>
            <w:tcW w:w="0" w:type="auto"/>
            <w:gridSpan w:val="2"/>
            <w:shd w:val="clear" w:color="auto" w:fill="CCEEFF"/>
            <w:tcMar>
              <w:top w:w="40" w:type="dxa"/>
              <w:left w:w="20" w:type="dxa"/>
              <w:bottom w:w="40" w:type="dxa"/>
              <w:right w:w="0" w:type="dxa"/>
            </w:tcMar>
            <w:vAlign w:val="center"/>
          </w:tcPr>
          <w:p w14:paraId="74DDC3DD" w14:textId="77777777" w:rsidR="00584EC1" w:rsidRDefault="00871F8D">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4DDC3D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3DF"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center"/>
          </w:tcPr>
          <w:p w14:paraId="74DDC3E0" w14:textId="77777777" w:rsidR="00584EC1" w:rsidRDefault="00871F8D">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4DDC3E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3E2"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center"/>
          </w:tcPr>
          <w:p w14:paraId="74DDC3E3" w14:textId="77777777" w:rsidR="00584EC1" w:rsidRDefault="00871F8D">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4DDC3E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3E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center"/>
          </w:tcPr>
          <w:p w14:paraId="74DDC3E6" w14:textId="77777777" w:rsidR="00584EC1" w:rsidRDefault="00871F8D">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4DDC3E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3E8" w14:textId="77777777" w:rsidR="00584EC1" w:rsidRDefault="00584EC1">
            <w:pPr>
              <w:rPr>
                <w:rFonts w:ascii="宋体"/>
              </w:rPr>
            </w:pPr>
          </w:p>
        </w:tc>
        <w:tc>
          <w:tcPr>
            <w:tcW w:w="0" w:type="auto"/>
            <w:shd w:val="clear" w:color="auto" w:fill="auto"/>
            <w:vAlign w:val="bottom"/>
          </w:tcPr>
          <w:p w14:paraId="74DDC3E9" w14:textId="77777777" w:rsidR="00584EC1" w:rsidRDefault="00584EC1">
            <w:pPr>
              <w:rPr>
                <w:rFonts w:ascii="宋体"/>
                <w:vanish/>
              </w:rPr>
            </w:pPr>
          </w:p>
        </w:tc>
        <w:tc>
          <w:tcPr>
            <w:tcW w:w="0" w:type="auto"/>
            <w:shd w:val="clear" w:color="auto" w:fill="auto"/>
            <w:vAlign w:val="bottom"/>
          </w:tcPr>
          <w:p w14:paraId="74DDC3EA" w14:textId="77777777" w:rsidR="00584EC1" w:rsidRDefault="00584EC1">
            <w:pPr>
              <w:rPr>
                <w:rFonts w:ascii="宋体"/>
                <w:vanish/>
              </w:rPr>
            </w:pPr>
          </w:p>
        </w:tc>
        <w:tc>
          <w:tcPr>
            <w:tcW w:w="0" w:type="auto"/>
            <w:gridSpan w:val="2"/>
            <w:shd w:val="clear" w:color="auto" w:fill="CCEEFF"/>
            <w:tcMar>
              <w:top w:w="40" w:type="dxa"/>
              <w:left w:w="20" w:type="dxa"/>
              <w:bottom w:w="40" w:type="dxa"/>
              <w:right w:w="0" w:type="dxa"/>
            </w:tcMar>
            <w:vAlign w:val="center"/>
          </w:tcPr>
          <w:p w14:paraId="74DDC3EB" w14:textId="77777777" w:rsidR="00584EC1" w:rsidRDefault="00871F8D">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4DDC3E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3E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center"/>
          </w:tcPr>
          <w:p w14:paraId="74DDC3EE" w14:textId="77777777" w:rsidR="00584EC1" w:rsidRDefault="00871F8D">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4DDC3E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3F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center"/>
          </w:tcPr>
          <w:p w14:paraId="74DDC3F1" w14:textId="77777777" w:rsidR="00584EC1" w:rsidRDefault="00871F8D">
            <w:pPr>
              <w:jc w:val="right"/>
              <w:textAlignment w:val="center"/>
            </w:pPr>
            <w:r>
              <w:rPr>
                <w:rFonts w:ascii="Arial" w:eastAsia="宋体" w:hAnsi="Arial" w:cs="Arial"/>
                <w:b/>
                <w:bCs/>
                <w:color w:val="000000"/>
                <w:sz w:val="12"/>
                <w:szCs w:val="12"/>
              </w:rPr>
              <w:t>15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4DDC3F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3F3"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center"/>
          </w:tcPr>
          <w:p w14:paraId="74DDC3F4" w14:textId="77777777" w:rsidR="00584EC1" w:rsidRDefault="00871F8D">
            <w:pPr>
              <w:jc w:val="right"/>
              <w:textAlignment w:val="center"/>
            </w:pPr>
            <w:r>
              <w:rPr>
                <w:rFonts w:ascii="Arial" w:eastAsia="宋体" w:hAnsi="Arial" w:cs="Arial"/>
                <w:b/>
                <w:bCs/>
                <w:color w:val="000000"/>
                <w:sz w:val="12"/>
                <w:szCs w:val="12"/>
              </w:rPr>
              <w:t>(15)</w:t>
            </w:r>
          </w:p>
        </w:tc>
        <w:tc>
          <w:tcPr>
            <w:tcW w:w="0" w:type="auto"/>
            <w:shd w:val="clear" w:color="auto" w:fill="CCEEFF"/>
            <w:tcMar>
              <w:top w:w="40" w:type="dxa"/>
              <w:left w:w="0" w:type="dxa"/>
              <w:bottom w:w="40" w:type="dxa"/>
              <w:right w:w="20" w:type="dxa"/>
            </w:tcMar>
            <w:vAlign w:val="center"/>
          </w:tcPr>
          <w:p w14:paraId="74DDC3F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3F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center"/>
          </w:tcPr>
          <w:p w14:paraId="74DDC3F7" w14:textId="77777777" w:rsidR="00584EC1" w:rsidRDefault="00871F8D">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4DDC3F8" w14:textId="77777777" w:rsidR="00584EC1" w:rsidRDefault="00584EC1">
            <w:pPr>
              <w:jc w:val="right"/>
              <w:rPr>
                <w:rFonts w:ascii="宋体"/>
              </w:rPr>
            </w:pPr>
          </w:p>
        </w:tc>
        <w:tc>
          <w:tcPr>
            <w:tcW w:w="0" w:type="auto"/>
            <w:gridSpan w:val="2"/>
            <w:shd w:val="clear" w:color="auto" w:fill="CCEEFF"/>
            <w:tcMar>
              <w:top w:w="0" w:type="dxa"/>
              <w:left w:w="20" w:type="dxa"/>
              <w:bottom w:w="0" w:type="dxa"/>
              <w:right w:w="20" w:type="dxa"/>
            </w:tcMar>
            <w:vAlign w:val="bottom"/>
          </w:tcPr>
          <w:p w14:paraId="74DDC3F9" w14:textId="77777777" w:rsidR="00584EC1" w:rsidRDefault="00584EC1">
            <w:pPr>
              <w:rPr>
                <w:rFonts w:ascii="宋体"/>
              </w:rPr>
            </w:pPr>
          </w:p>
        </w:tc>
        <w:tc>
          <w:tcPr>
            <w:tcW w:w="0" w:type="auto"/>
            <w:shd w:val="clear" w:color="auto" w:fill="CCEEFF"/>
            <w:tcMar>
              <w:top w:w="0" w:type="dxa"/>
              <w:left w:w="20" w:type="dxa"/>
              <w:bottom w:w="0" w:type="dxa"/>
              <w:right w:w="20" w:type="dxa"/>
            </w:tcMar>
            <w:vAlign w:val="bottom"/>
          </w:tcPr>
          <w:p w14:paraId="74DDC3FA" w14:textId="77777777" w:rsidR="00584EC1" w:rsidRDefault="00584EC1">
            <w:pPr>
              <w:rPr>
                <w:rFonts w:ascii="宋体"/>
              </w:rPr>
            </w:pPr>
          </w:p>
        </w:tc>
      </w:tr>
      <w:tr w:rsidR="00584EC1" w14:paraId="74DDC41B" w14:textId="77777777">
        <w:tc>
          <w:tcPr>
            <w:tcW w:w="0" w:type="auto"/>
            <w:gridSpan w:val="3"/>
            <w:shd w:val="clear" w:color="auto" w:fill="FFFFFF"/>
            <w:tcMar>
              <w:top w:w="40" w:type="dxa"/>
              <w:left w:w="20" w:type="dxa"/>
              <w:bottom w:w="40" w:type="dxa"/>
              <w:right w:w="20" w:type="dxa"/>
            </w:tcMar>
            <w:vAlign w:val="center"/>
          </w:tcPr>
          <w:p w14:paraId="74DDC3FC" w14:textId="77777777" w:rsidR="00584EC1" w:rsidRDefault="00871F8D">
            <w:pPr>
              <w:textAlignment w:val="center"/>
            </w:pPr>
            <w:r>
              <w:rPr>
                <w:rFonts w:ascii="Arial" w:eastAsia="宋体" w:hAnsi="Arial" w:cs="Arial"/>
                <w:color w:val="000000"/>
                <w:sz w:val="12"/>
                <w:szCs w:val="12"/>
              </w:rPr>
              <w:t>Total available-for-sale investment securities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4DDC3FD" w14:textId="77777777" w:rsidR="00584EC1" w:rsidRDefault="00871F8D">
            <w:pPr>
              <w:jc w:val="right"/>
              <w:textAlignment w:val="center"/>
            </w:pPr>
            <w:r>
              <w:rPr>
                <w:rFonts w:ascii="Arial" w:eastAsia="宋体" w:hAnsi="Arial" w:cs="Arial"/>
                <w:b/>
                <w:bCs/>
                <w:color w:val="000000"/>
                <w:sz w:val="12"/>
                <w:szCs w:val="12"/>
              </w:rPr>
              <w:t>14</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4DDC3FE" w14:textId="77777777" w:rsidR="00584EC1" w:rsidRDefault="00584EC1">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C3FF"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4DDC400" w14:textId="77777777" w:rsidR="00584EC1" w:rsidRDefault="00871F8D">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4DDC40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402"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4DDC403" w14:textId="77777777" w:rsidR="00584EC1" w:rsidRDefault="00871F8D">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4DDC40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405"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4DDC406" w14:textId="77777777" w:rsidR="00584EC1" w:rsidRDefault="00871F8D">
            <w:pPr>
              <w:jc w:val="right"/>
              <w:textAlignment w:val="center"/>
            </w:pPr>
            <w:r>
              <w:rPr>
                <w:rFonts w:ascii="Arial" w:eastAsia="宋体" w:hAnsi="Arial" w:cs="Arial"/>
                <w:b/>
                <w:bCs/>
                <w:color w:val="000000"/>
                <w:sz w:val="12"/>
                <w:szCs w:val="12"/>
              </w:rPr>
              <w:t>106</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4DDC407" w14:textId="77777777" w:rsidR="00584EC1" w:rsidRDefault="00584EC1">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C408" w14:textId="77777777" w:rsidR="00584EC1" w:rsidRDefault="00584EC1">
            <w:pPr>
              <w:rPr>
                <w:rFonts w:ascii="宋体"/>
              </w:rPr>
            </w:pPr>
          </w:p>
        </w:tc>
        <w:tc>
          <w:tcPr>
            <w:tcW w:w="0" w:type="auto"/>
            <w:shd w:val="clear" w:color="auto" w:fill="auto"/>
            <w:vAlign w:val="bottom"/>
          </w:tcPr>
          <w:p w14:paraId="74DDC409" w14:textId="77777777" w:rsidR="00584EC1" w:rsidRDefault="00584EC1">
            <w:pPr>
              <w:rPr>
                <w:rFonts w:ascii="宋体"/>
                <w:vanish/>
              </w:rPr>
            </w:pPr>
          </w:p>
        </w:tc>
        <w:tc>
          <w:tcPr>
            <w:tcW w:w="0" w:type="auto"/>
            <w:shd w:val="clear" w:color="auto" w:fill="auto"/>
            <w:vAlign w:val="bottom"/>
          </w:tcPr>
          <w:p w14:paraId="74DDC40A" w14:textId="77777777" w:rsidR="00584EC1" w:rsidRDefault="00584EC1">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4DDC40B" w14:textId="77777777" w:rsidR="00584EC1" w:rsidRDefault="00871F8D">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4DDC40C" w14:textId="77777777" w:rsidR="00584EC1" w:rsidRDefault="00584EC1">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C40D"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4DDC40E" w14:textId="77777777" w:rsidR="00584EC1" w:rsidRDefault="00871F8D">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4DDC40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410"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4DDC411" w14:textId="77777777" w:rsidR="00584EC1" w:rsidRDefault="00871F8D">
            <w:pPr>
              <w:jc w:val="right"/>
              <w:textAlignment w:val="center"/>
            </w:pPr>
            <w:r>
              <w:rPr>
                <w:rFonts w:ascii="Arial" w:eastAsia="宋体" w:hAnsi="Arial" w:cs="Arial"/>
                <w:b/>
                <w:bCs/>
                <w:color w:val="000000"/>
                <w:sz w:val="12"/>
                <w:szCs w:val="12"/>
              </w:rPr>
              <w:t>15</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4DDC412" w14:textId="77777777" w:rsidR="00584EC1" w:rsidRDefault="00584EC1">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C413"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4DDC414" w14:textId="77777777" w:rsidR="00584EC1" w:rsidRDefault="00871F8D">
            <w:pPr>
              <w:jc w:val="right"/>
              <w:textAlignment w:val="center"/>
            </w:pPr>
            <w:r>
              <w:rPr>
                <w:rFonts w:ascii="Arial" w:eastAsia="宋体" w:hAnsi="Arial" w:cs="Arial"/>
                <w:b/>
                <w:bCs/>
                <w:color w:val="000000"/>
                <w:sz w:val="12"/>
                <w:szCs w:val="12"/>
              </w:rPr>
              <w:t>(135)</w:t>
            </w:r>
          </w:p>
        </w:tc>
        <w:tc>
          <w:tcPr>
            <w:tcW w:w="0" w:type="auto"/>
            <w:tcBorders>
              <w:top w:val="single" w:sz="8" w:space="0" w:color="000000"/>
            </w:tcBorders>
            <w:shd w:val="clear" w:color="auto" w:fill="FFFFFF"/>
            <w:tcMar>
              <w:top w:w="40" w:type="dxa"/>
              <w:left w:w="0" w:type="dxa"/>
              <w:bottom w:w="40" w:type="dxa"/>
              <w:right w:w="20" w:type="dxa"/>
            </w:tcMar>
            <w:vAlign w:val="center"/>
          </w:tcPr>
          <w:p w14:paraId="74DDC41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416"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4DDC417" w14:textId="77777777" w:rsidR="00584EC1" w:rsidRDefault="00871F8D">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4DDC418" w14:textId="77777777" w:rsidR="00584EC1" w:rsidRDefault="00584EC1">
            <w:pPr>
              <w:jc w:val="right"/>
              <w:rPr>
                <w:rFonts w:ascii="宋体"/>
              </w:rPr>
            </w:pPr>
          </w:p>
        </w:tc>
        <w:tc>
          <w:tcPr>
            <w:tcW w:w="0" w:type="auto"/>
            <w:gridSpan w:val="2"/>
            <w:shd w:val="clear" w:color="auto" w:fill="FFFFFF"/>
            <w:tcMar>
              <w:top w:w="0" w:type="dxa"/>
              <w:left w:w="20" w:type="dxa"/>
              <w:bottom w:w="0" w:type="dxa"/>
              <w:right w:w="20" w:type="dxa"/>
            </w:tcMar>
            <w:vAlign w:val="bottom"/>
          </w:tcPr>
          <w:p w14:paraId="74DDC419" w14:textId="77777777" w:rsidR="00584EC1" w:rsidRDefault="00584EC1">
            <w:pPr>
              <w:rPr>
                <w:rFonts w:ascii="宋体"/>
              </w:rPr>
            </w:pPr>
          </w:p>
        </w:tc>
        <w:tc>
          <w:tcPr>
            <w:tcW w:w="0" w:type="auto"/>
            <w:shd w:val="clear" w:color="auto" w:fill="FFFFFF"/>
            <w:tcMar>
              <w:top w:w="0" w:type="dxa"/>
              <w:left w:w="20" w:type="dxa"/>
              <w:bottom w:w="0" w:type="dxa"/>
              <w:right w:w="20" w:type="dxa"/>
            </w:tcMar>
            <w:vAlign w:val="bottom"/>
          </w:tcPr>
          <w:p w14:paraId="74DDC41A" w14:textId="77777777" w:rsidR="00584EC1" w:rsidRDefault="00584EC1">
            <w:pPr>
              <w:rPr>
                <w:rFonts w:ascii="宋体"/>
              </w:rPr>
            </w:pPr>
          </w:p>
        </w:tc>
      </w:tr>
      <w:tr w:rsidR="00584EC1" w14:paraId="74DDC432" w14:textId="77777777">
        <w:tc>
          <w:tcPr>
            <w:tcW w:w="0" w:type="auto"/>
            <w:gridSpan w:val="3"/>
            <w:shd w:val="clear" w:color="auto" w:fill="CCEEFF"/>
            <w:tcMar>
              <w:top w:w="40" w:type="dxa"/>
              <w:left w:w="20" w:type="dxa"/>
              <w:bottom w:w="40" w:type="dxa"/>
              <w:right w:w="20" w:type="dxa"/>
            </w:tcMar>
            <w:vAlign w:val="center"/>
          </w:tcPr>
          <w:p w14:paraId="74DDC41C" w14:textId="77777777" w:rsidR="00584EC1" w:rsidRDefault="00871F8D">
            <w:pPr>
              <w:textAlignment w:val="center"/>
            </w:pPr>
            <w:r>
              <w:rPr>
                <w:rFonts w:ascii="Arial" w:eastAsia="宋体" w:hAnsi="Arial" w:cs="Arial"/>
                <w:color w:val="000000"/>
                <w:sz w:val="12"/>
                <w:szCs w:val="12"/>
              </w:rPr>
              <w:t>Other assets:</w:t>
            </w:r>
          </w:p>
        </w:tc>
        <w:tc>
          <w:tcPr>
            <w:tcW w:w="0" w:type="auto"/>
            <w:gridSpan w:val="3"/>
            <w:shd w:val="clear" w:color="auto" w:fill="CCEEFF"/>
            <w:tcMar>
              <w:top w:w="0" w:type="dxa"/>
              <w:left w:w="20" w:type="dxa"/>
              <w:bottom w:w="0" w:type="dxa"/>
              <w:right w:w="20" w:type="dxa"/>
            </w:tcMar>
            <w:vAlign w:val="bottom"/>
          </w:tcPr>
          <w:p w14:paraId="74DDC41D"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41E"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41F"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420"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421"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422"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423"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424" w14:textId="77777777" w:rsidR="00584EC1" w:rsidRDefault="00584EC1">
            <w:pPr>
              <w:rPr>
                <w:rFonts w:ascii="宋体"/>
              </w:rPr>
            </w:pPr>
          </w:p>
        </w:tc>
        <w:tc>
          <w:tcPr>
            <w:tcW w:w="0" w:type="auto"/>
            <w:shd w:val="clear" w:color="auto" w:fill="auto"/>
            <w:vAlign w:val="bottom"/>
          </w:tcPr>
          <w:p w14:paraId="74DDC425" w14:textId="77777777" w:rsidR="00584EC1" w:rsidRDefault="00584EC1">
            <w:pPr>
              <w:rPr>
                <w:rFonts w:ascii="宋体"/>
                <w:vanish/>
              </w:rPr>
            </w:pPr>
          </w:p>
        </w:tc>
        <w:tc>
          <w:tcPr>
            <w:tcW w:w="0" w:type="auto"/>
            <w:shd w:val="clear" w:color="auto" w:fill="auto"/>
            <w:vAlign w:val="bottom"/>
          </w:tcPr>
          <w:p w14:paraId="74DDC426" w14:textId="77777777" w:rsidR="00584EC1" w:rsidRDefault="00584EC1">
            <w:pPr>
              <w:rPr>
                <w:rFonts w:ascii="宋体"/>
                <w:vanish/>
              </w:rPr>
            </w:pPr>
          </w:p>
        </w:tc>
        <w:tc>
          <w:tcPr>
            <w:tcW w:w="0" w:type="auto"/>
            <w:gridSpan w:val="3"/>
            <w:shd w:val="clear" w:color="auto" w:fill="CCEEFF"/>
            <w:tcMar>
              <w:top w:w="0" w:type="dxa"/>
              <w:left w:w="20" w:type="dxa"/>
              <w:bottom w:w="0" w:type="dxa"/>
              <w:right w:w="20" w:type="dxa"/>
            </w:tcMar>
            <w:vAlign w:val="bottom"/>
          </w:tcPr>
          <w:p w14:paraId="74DDC427"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428"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429"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42A"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42B"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42C"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42D"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42E"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42F" w14:textId="77777777" w:rsidR="00584EC1" w:rsidRDefault="00584EC1">
            <w:pPr>
              <w:rPr>
                <w:rFonts w:ascii="宋体"/>
              </w:rPr>
            </w:pPr>
          </w:p>
        </w:tc>
        <w:tc>
          <w:tcPr>
            <w:tcW w:w="0" w:type="auto"/>
            <w:gridSpan w:val="2"/>
            <w:shd w:val="clear" w:color="auto" w:fill="CCEEFF"/>
            <w:tcMar>
              <w:top w:w="0" w:type="dxa"/>
              <w:left w:w="20" w:type="dxa"/>
              <w:bottom w:w="0" w:type="dxa"/>
              <w:right w:w="20" w:type="dxa"/>
            </w:tcMar>
            <w:vAlign w:val="bottom"/>
          </w:tcPr>
          <w:p w14:paraId="74DDC430" w14:textId="77777777" w:rsidR="00584EC1" w:rsidRDefault="00584EC1">
            <w:pPr>
              <w:rPr>
                <w:rFonts w:ascii="宋体"/>
              </w:rPr>
            </w:pPr>
          </w:p>
        </w:tc>
        <w:tc>
          <w:tcPr>
            <w:tcW w:w="0" w:type="auto"/>
            <w:shd w:val="clear" w:color="auto" w:fill="CCEEFF"/>
            <w:tcMar>
              <w:top w:w="0" w:type="dxa"/>
              <w:left w:w="20" w:type="dxa"/>
              <w:bottom w:w="0" w:type="dxa"/>
              <w:right w:w="20" w:type="dxa"/>
            </w:tcMar>
            <w:vAlign w:val="bottom"/>
          </w:tcPr>
          <w:p w14:paraId="74DDC431" w14:textId="77777777" w:rsidR="00584EC1" w:rsidRDefault="00584EC1">
            <w:pPr>
              <w:rPr>
                <w:rFonts w:ascii="宋体"/>
              </w:rPr>
            </w:pPr>
          </w:p>
        </w:tc>
      </w:tr>
      <w:tr w:rsidR="00584EC1" w14:paraId="74DDC449" w14:textId="77777777">
        <w:tc>
          <w:tcPr>
            <w:tcW w:w="0" w:type="auto"/>
            <w:gridSpan w:val="3"/>
            <w:shd w:val="clear" w:color="auto" w:fill="FFFFFF"/>
            <w:tcMar>
              <w:top w:w="40" w:type="dxa"/>
              <w:left w:w="20" w:type="dxa"/>
              <w:bottom w:w="40" w:type="dxa"/>
              <w:right w:w="20" w:type="dxa"/>
            </w:tcMar>
            <w:vAlign w:val="center"/>
          </w:tcPr>
          <w:p w14:paraId="74DDC433" w14:textId="77777777" w:rsidR="00584EC1" w:rsidRDefault="00871F8D">
            <w:pPr>
              <w:textAlignment w:val="center"/>
            </w:pPr>
            <w:r>
              <w:rPr>
                <w:rFonts w:ascii="Arial" w:eastAsia="宋体" w:hAnsi="Arial" w:cs="Arial"/>
                <w:color w:val="000000"/>
                <w:sz w:val="12"/>
                <w:szCs w:val="12"/>
              </w:rPr>
              <w:t>Derivative instruments:</w:t>
            </w:r>
          </w:p>
        </w:tc>
        <w:tc>
          <w:tcPr>
            <w:tcW w:w="0" w:type="auto"/>
            <w:gridSpan w:val="3"/>
            <w:shd w:val="clear" w:color="auto" w:fill="FFFFFF"/>
            <w:tcMar>
              <w:top w:w="0" w:type="dxa"/>
              <w:left w:w="20" w:type="dxa"/>
              <w:bottom w:w="0" w:type="dxa"/>
              <w:right w:w="20" w:type="dxa"/>
            </w:tcMar>
            <w:vAlign w:val="bottom"/>
          </w:tcPr>
          <w:p w14:paraId="74DDC434"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435"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436"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437"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438"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439"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43A"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43B" w14:textId="77777777" w:rsidR="00584EC1" w:rsidRDefault="00584EC1">
            <w:pPr>
              <w:rPr>
                <w:rFonts w:ascii="宋体"/>
              </w:rPr>
            </w:pPr>
          </w:p>
        </w:tc>
        <w:tc>
          <w:tcPr>
            <w:tcW w:w="0" w:type="auto"/>
            <w:shd w:val="clear" w:color="auto" w:fill="auto"/>
            <w:vAlign w:val="bottom"/>
          </w:tcPr>
          <w:p w14:paraId="74DDC43C" w14:textId="77777777" w:rsidR="00584EC1" w:rsidRDefault="00584EC1">
            <w:pPr>
              <w:rPr>
                <w:rFonts w:ascii="宋体"/>
                <w:vanish/>
              </w:rPr>
            </w:pPr>
          </w:p>
        </w:tc>
        <w:tc>
          <w:tcPr>
            <w:tcW w:w="0" w:type="auto"/>
            <w:shd w:val="clear" w:color="auto" w:fill="auto"/>
            <w:vAlign w:val="bottom"/>
          </w:tcPr>
          <w:p w14:paraId="74DDC43D" w14:textId="77777777" w:rsidR="00584EC1" w:rsidRDefault="00584EC1">
            <w:pPr>
              <w:rPr>
                <w:rFonts w:ascii="宋体"/>
                <w:vanish/>
              </w:rPr>
            </w:pPr>
          </w:p>
        </w:tc>
        <w:tc>
          <w:tcPr>
            <w:tcW w:w="0" w:type="auto"/>
            <w:gridSpan w:val="3"/>
            <w:shd w:val="clear" w:color="auto" w:fill="FFFFFF"/>
            <w:tcMar>
              <w:top w:w="0" w:type="dxa"/>
              <w:left w:w="20" w:type="dxa"/>
              <w:bottom w:w="0" w:type="dxa"/>
              <w:right w:w="20" w:type="dxa"/>
            </w:tcMar>
            <w:vAlign w:val="bottom"/>
          </w:tcPr>
          <w:p w14:paraId="74DDC43E"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43F"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440"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441"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44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443"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444"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445"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446" w14:textId="77777777" w:rsidR="00584EC1" w:rsidRDefault="00584EC1">
            <w:pPr>
              <w:rPr>
                <w:rFonts w:ascii="宋体"/>
              </w:rPr>
            </w:pPr>
          </w:p>
        </w:tc>
        <w:tc>
          <w:tcPr>
            <w:tcW w:w="0" w:type="auto"/>
            <w:gridSpan w:val="2"/>
            <w:shd w:val="clear" w:color="auto" w:fill="FFFFFF"/>
            <w:tcMar>
              <w:top w:w="0" w:type="dxa"/>
              <w:left w:w="20" w:type="dxa"/>
              <w:bottom w:w="0" w:type="dxa"/>
              <w:right w:w="20" w:type="dxa"/>
            </w:tcMar>
            <w:vAlign w:val="bottom"/>
          </w:tcPr>
          <w:p w14:paraId="74DDC447" w14:textId="77777777" w:rsidR="00584EC1" w:rsidRDefault="00584EC1">
            <w:pPr>
              <w:rPr>
                <w:rFonts w:ascii="宋体"/>
              </w:rPr>
            </w:pPr>
          </w:p>
        </w:tc>
        <w:tc>
          <w:tcPr>
            <w:tcW w:w="0" w:type="auto"/>
            <w:shd w:val="clear" w:color="auto" w:fill="FFFFFF"/>
            <w:tcMar>
              <w:top w:w="0" w:type="dxa"/>
              <w:left w:w="20" w:type="dxa"/>
              <w:bottom w:w="0" w:type="dxa"/>
              <w:right w:w="20" w:type="dxa"/>
            </w:tcMar>
            <w:vAlign w:val="bottom"/>
          </w:tcPr>
          <w:p w14:paraId="74DDC448" w14:textId="77777777" w:rsidR="00584EC1" w:rsidRDefault="00584EC1">
            <w:pPr>
              <w:rPr>
                <w:rFonts w:ascii="宋体"/>
              </w:rPr>
            </w:pPr>
          </w:p>
        </w:tc>
      </w:tr>
      <w:tr w:rsidR="00584EC1" w14:paraId="74DDC46A" w14:textId="77777777">
        <w:tc>
          <w:tcPr>
            <w:tcW w:w="0" w:type="auto"/>
            <w:gridSpan w:val="3"/>
            <w:shd w:val="clear" w:color="auto" w:fill="CCEEFF"/>
            <w:tcMar>
              <w:top w:w="40" w:type="dxa"/>
              <w:left w:w="155" w:type="dxa"/>
              <w:bottom w:w="40" w:type="dxa"/>
              <w:right w:w="20" w:type="dxa"/>
            </w:tcMar>
            <w:vAlign w:val="center"/>
          </w:tcPr>
          <w:p w14:paraId="74DDC44A" w14:textId="77777777" w:rsidR="00584EC1" w:rsidRDefault="00871F8D">
            <w:pPr>
              <w:textAlignment w:val="center"/>
            </w:pPr>
            <w:r>
              <w:rPr>
                <w:rFonts w:ascii="Arial" w:eastAsia="宋体" w:hAnsi="Arial" w:cs="Arial"/>
                <w:color w:val="000000"/>
                <w:sz w:val="12"/>
                <w:szCs w:val="12"/>
              </w:rPr>
              <w:t>Foreign exchange contracts</w:t>
            </w:r>
          </w:p>
        </w:tc>
        <w:tc>
          <w:tcPr>
            <w:tcW w:w="0" w:type="auto"/>
            <w:gridSpan w:val="2"/>
            <w:shd w:val="clear" w:color="auto" w:fill="CCEEFF"/>
            <w:tcMar>
              <w:top w:w="40" w:type="dxa"/>
              <w:left w:w="20" w:type="dxa"/>
              <w:bottom w:w="40" w:type="dxa"/>
              <w:right w:w="0" w:type="dxa"/>
            </w:tcMar>
            <w:vAlign w:val="center"/>
          </w:tcPr>
          <w:p w14:paraId="74DDC44B" w14:textId="77777777" w:rsidR="00584EC1" w:rsidRDefault="00871F8D">
            <w:pPr>
              <w:jc w:val="right"/>
              <w:textAlignment w:val="center"/>
            </w:pPr>
            <w:r>
              <w:rPr>
                <w:rFonts w:ascii="Arial" w:eastAsia="宋体" w:hAnsi="Arial" w:cs="Arial"/>
                <w:b/>
                <w:bCs/>
                <w:color w:val="000000"/>
                <w:sz w:val="12"/>
                <w:szCs w:val="12"/>
              </w:rPr>
              <w:t>2</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4DDC44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44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center"/>
          </w:tcPr>
          <w:p w14:paraId="74DDC44E" w14:textId="77777777" w:rsidR="00584EC1" w:rsidRDefault="00871F8D">
            <w:pPr>
              <w:jc w:val="right"/>
              <w:textAlignment w:val="center"/>
            </w:pPr>
            <w:r>
              <w:rPr>
                <w:rFonts w:ascii="Arial" w:eastAsia="宋体" w:hAnsi="Arial" w:cs="Arial"/>
                <w:b/>
                <w:bCs/>
                <w:color w:val="000000"/>
                <w:sz w:val="12"/>
                <w:szCs w:val="12"/>
              </w:rPr>
              <w:t>(3)</w:t>
            </w:r>
          </w:p>
        </w:tc>
        <w:tc>
          <w:tcPr>
            <w:tcW w:w="0" w:type="auto"/>
            <w:shd w:val="clear" w:color="auto" w:fill="CCEEFF"/>
            <w:tcMar>
              <w:top w:w="40" w:type="dxa"/>
              <w:left w:w="0" w:type="dxa"/>
              <w:bottom w:w="40" w:type="dxa"/>
              <w:right w:w="20" w:type="dxa"/>
            </w:tcMar>
            <w:vAlign w:val="center"/>
          </w:tcPr>
          <w:p w14:paraId="74DDC44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45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center"/>
          </w:tcPr>
          <w:p w14:paraId="74DDC451" w14:textId="77777777" w:rsidR="00584EC1" w:rsidRDefault="00871F8D">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4DDC45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453"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center"/>
          </w:tcPr>
          <w:p w14:paraId="74DDC454" w14:textId="77777777" w:rsidR="00584EC1" w:rsidRDefault="00871F8D">
            <w:pPr>
              <w:jc w:val="right"/>
              <w:textAlignment w:val="center"/>
            </w:pPr>
            <w:r>
              <w:rPr>
                <w:rFonts w:ascii="Arial" w:eastAsia="宋体" w:hAnsi="Arial" w:cs="Arial"/>
                <w:b/>
                <w:bCs/>
                <w:color w:val="000000"/>
                <w:sz w:val="12"/>
                <w:szCs w:val="12"/>
              </w:rPr>
              <w:t>4</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4DDC45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456" w14:textId="77777777" w:rsidR="00584EC1" w:rsidRDefault="00584EC1">
            <w:pPr>
              <w:rPr>
                <w:rFonts w:ascii="宋体"/>
              </w:rPr>
            </w:pPr>
          </w:p>
        </w:tc>
        <w:tc>
          <w:tcPr>
            <w:tcW w:w="0" w:type="auto"/>
            <w:shd w:val="clear" w:color="auto" w:fill="auto"/>
            <w:vAlign w:val="bottom"/>
          </w:tcPr>
          <w:p w14:paraId="74DDC457" w14:textId="77777777" w:rsidR="00584EC1" w:rsidRDefault="00584EC1">
            <w:pPr>
              <w:rPr>
                <w:rFonts w:ascii="宋体"/>
                <w:vanish/>
              </w:rPr>
            </w:pPr>
          </w:p>
        </w:tc>
        <w:tc>
          <w:tcPr>
            <w:tcW w:w="0" w:type="auto"/>
            <w:shd w:val="clear" w:color="auto" w:fill="auto"/>
            <w:vAlign w:val="bottom"/>
          </w:tcPr>
          <w:p w14:paraId="74DDC458" w14:textId="77777777" w:rsidR="00584EC1" w:rsidRDefault="00584EC1">
            <w:pPr>
              <w:rPr>
                <w:rFonts w:ascii="宋体"/>
                <w:vanish/>
              </w:rPr>
            </w:pPr>
          </w:p>
        </w:tc>
        <w:tc>
          <w:tcPr>
            <w:tcW w:w="0" w:type="auto"/>
            <w:gridSpan w:val="2"/>
            <w:shd w:val="clear" w:color="auto" w:fill="CCEEFF"/>
            <w:tcMar>
              <w:top w:w="40" w:type="dxa"/>
              <w:left w:w="20" w:type="dxa"/>
              <w:bottom w:w="40" w:type="dxa"/>
              <w:right w:w="0" w:type="dxa"/>
            </w:tcMar>
            <w:vAlign w:val="center"/>
          </w:tcPr>
          <w:p w14:paraId="74DDC459" w14:textId="77777777" w:rsidR="00584EC1" w:rsidRDefault="00871F8D">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4DDC45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45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center"/>
          </w:tcPr>
          <w:p w14:paraId="74DDC45C" w14:textId="77777777" w:rsidR="00584EC1" w:rsidRDefault="00871F8D">
            <w:pPr>
              <w:jc w:val="right"/>
              <w:textAlignment w:val="center"/>
            </w:pPr>
            <w:r>
              <w:rPr>
                <w:rFonts w:ascii="Arial" w:eastAsia="宋体" w:hAnsi="Arial" w:cs="Arial"/>
                <w:b/>
                <w:bCs/>
                <w:color w:val="000000"/>
                <w:sz w:val="12"/>
                <w:szCs w:val="12"/>
              </w:rPr>
              <w:t>(1)</w:t>
            </w:r>
          </w:p>
        </w:tc>
        <w:tc>
          <w:tcPr>
            <w:tcW w:w="0" w:type="auto"/>
            <w:shd w:val="clear" w:color="auto" w:fill="CCEEFF"/>
            <w:tcMar>
              <w:top w:w="40" w:type="dxa"/>
              <w:left w:w="0" w:type="dxa"/>
              <w:bottom w:w="40" w:type="dxa"/>
              <w:right w:w="20" w:type="dxa"/>
            </w:tcMar>
            <w:vAlign w:val="center"/>
          </w:tcPr>
          <w:p w14:paraId="74DDC45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45E"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center"/>
          </w:tcPr>
          <w:p w14:paraId="74DDC45F" w14:textId="77777777" w:rsidR="00584EC1" w:rsidRDefault="00871F8D">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4DDC46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46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center"/>
          </w:tcPr>
          <w:p w14:paraId="74DDC462" w14:textId="77777777" w:rsidR="00584EC1" w:rsidRDefault="00871F8D">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4DDC46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464"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center"/>
          </w:tcPr>
          <w:p w14:paraId="74DDC465" w14:textId="77777777" w:rsidR="00584EC1" w:rsidRDefault="00871F8D">
            <w:pPr>
              <w:jc w:val="right"/>
              <w:textAlignment w:val="center"/>
            </w:pPr>
            <w:r>
              <w:rPr>
                <w:rFonts w:ascii="Arial" w:eastAsia="宋体" w:hAnsi="Arial" w:cs="Arial"/>
                <w:b/>
                <w:bCs/>
                <w:color w:val="000000"/>
                <w:sz w:val="12"/>
                <w:szCs w:val="12"/>
              </w:rPr>
              <w:t>2</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4DDC466" w14:textId="77777777" w:rsidR="00584EC1" w:rsidRDefault="00584EC1">
            <w:pPr>
              <w:jc w:val="right"/>
              <w:rPr>
                <w:rFonts w:ascii="宋体"/>
              </w:rPr>
            </w:pPr>
          </w:p>
        </w:tc>
        <w:tc>
          <w:tcPr>
            <w:tcW w:w="0" w:type="auto"/>
            <w:gridSpan w:val="2"/>
            <w:shd w:val="clear" w:color="auto" w:fill="CCEEFF"/>
            <w:tcMar>
              <w:top w:w="0" w:type="dxa"/>
              <w:left w:w="20" w:type="dxa"/>
              <w:bottom w:w="0" w:type="dxa"/>
              <w:right w:w="20" w:type="dxa"/>
            </w:tcMar>
            <w:vAlign w:val="bottom"/>
          </w:tcPr>
          <w:p w14:paraId="74DDC467" w14:textId="77777777" w:rsidR="00584EC1" w:rsidRDefault="00584EC1">
            <w:pPr>
              <w:rPr>
                <w:rFonts w:ascii="宋体"/>
              </w:rPr>
            </w:pPr>
          </w:p>
        </w:tc>
        <w:tc>
          <w:tcPr>
            <w:tcW w:w="0" w:type="auto"/>
            <w:shd w:val="clear" w:color="auto" w:fill="CCEEFF"/>
            <w:tcMar>
              <w:top w:w="40" w:type="dxa"/>
              <w:left w:w="20" w:type="dxa"/>
              <w:bottom w:w="40" w:type="dxa"/>
              <w:right w:w="0" w:type="dxa"/>
            </w:tcMar>
            <w:vAlign w:val="center"/>
          </w:tcPr>
          <w:p w14:paraId="74DDC468" w14:textId="77777777" w:rsidR="00584EC1" w:rsidRDefault="00871F8D">
            <w:pPr>
              <w:textAlignment w:val="center"/>
            </w:pPr>
            <w:r>
              <w:rPr>
                <w:rFonts w:ascii="Arial" w:eastAsia="宋体" w:hAnsi="Arial" w:cs="Arial"/>
                <w:b/>
                <w:bCs/>
                <w:color w:val="000000"/>
                <w:sz w:val="12"/>
                <w:szCs w:val="12"/>
              </w:rPr>
              <w:t>$</w:t>
            </w:r>
          </w:p>
          <w:p w14:paraId="74DDC469" w14:textId="77777777" w:rsidR="00584EC1" w:rsidRDefault="00871F8D">
            <w:pPr>
              <w:jc w:val="right"/>
              <w:textAlignment w:val="center"/>
            </w:pPr>
            <w:r>
              <w:rPr>
                <w:rFonts w:ascii="Arial" w:eastAsia="宋体" w:hAnsi="Arial" w:cs="Arial"/>
                <w:b/>
                <w:bCs/>
                <w:color w:val="000000"/>
                <w:sz w:val="12"/>
                <w:szCs w:val="12"/>
              </w:rPr>
              <w:t>(1)</w:t>
            </w:r>
          </w:p>
        </w:tc>
      </w:tr>
      <w:tr w:rsidR="00584EC1" w14:paraId="74DDC481" w14:textId="77777777">
        <w:trPr>
          <w:hidden/>
        </w:trPr>
        <w:tc>
          <w:tcPr>
            <w:tcW w:w="0" w:type="auto"/>
            <w:gridSpan w:val="3"/>
            <w:shd w:val="clear" w:color="auto" w:fill="auto"/>
            <w:vAlign w:val="bottom"/>
          </w:tcPr>
          <w:p w14:paraId="74DDC46B" w14:textId="77777777" w:rsidR="00584EC1" w:rsidRDefault="00584EC1">
            <w:pPr>
              <w:rPr>
                <w:rFonts w:ascii="宋体"/>
                <w:vanish/>
              </w:rPr>
            </w:pPr>
          </w:p>
        </w:tc>
        <w:tc>
          <w:tcPr>
            <w:tcW w:w="0" w:type="auto"/>
            <w:gridSpan w:val="3"/>
            <w:shd w:val="clear" w:color="auto" w:fill="auto"/>
            <w:vAlign w:val="bottom"/>
          </w:tcPr>
          <w:p w14:paraId="74DDC46C" w14:textId="77777777" w:rsidR="00584EC1" w:rsidRDefault="00584EC1">
            <w:pPr>
              <w:rPr>
                <w:rFonts w:ascii="宋体"/>
                <w:vanish/>
              </w:rPr>
            </w:pPr>
          </w:p>
        </w:tc>
        <w:tc>
          <w:tcPr>
            <w:tcW w:w="0" w:type="auto"/>
            <w:gridSpan w:val="3"/>
            <w:shd w:val="clear" w:color="auto" w:fill="auto"/>
            <w:vAlign w:val="bottom"/>
          </w:tcPr>
          <w:p w14:paraId="74DDC46D" w14:textId="77777777" w:rsidR="00584EC1" w:rsidRDefault="00584EC1">
            <w:pPr>
              <w:rPr>
                <w:rFonts w:ascii="宋体"/>
                <w:vanish/>
              </w:rPr>
            </w:pPr>
          </w:p>
        </w:tc>
        <w:tc>
          <w:tcPr>
            <w:tcW w:w="0" w:type="auto"/>
            <w:gridSpan w:val="3"/>
            <w:shd w:val="clear" w:color="auto" w:fill="auto"/>
            <w:vAlign w:val="bottom"/>
          </w:tcPr>
          <w:p w14:paraId="74DDC46E" w14:textId="77777777" w:rsidR="00584EC1" w:rsidRDefault="00584EC1">
            <w:pPr>
              <w:rPr>
                <w:rFonts w:ascii="宋体"/>
                <w:vanish/>
              </w:rPr>
            </w:pPr>
          </w:p>
        </w:tc>
        <w:tc>
          <w:tcPr>
            <w:tcW w:w="0" w:type="auto"/>
            <w:gridSpan w:val="3"/>
            <w:shd w:val="clear" w:color="auto" w:fill="auto"/>
            <w:vAlign w:val="bottom"/>
          </w:tcPr>
          <w:p w14:paraId="74DDC46F" w14:textId="77777777" w:rsidR="00584EC1" w:rsidRDefault="00584EC1">
            <w:pPr>
              <w:rPr>
                <w:rFonts w:ascii="宋体"/>
                <w:vanish/>
              </w:rPr>
            </w:pPr>
          </w:p>
        </w:tc>
        <w:tc>
          <w:tcPr>
            <w:tcW w:w="0" w:type="auto"/>
            <w:gridSpan w:val="3"/>
            <w:shd w:val="clear" w:color="auto" w:fill="auto"/>
            <w:vAlign w:val="bottom"/>
          </w:tcPr>
          <w:p w14:paraId="74DDC470" w14:textId="77777777" w:rsidR="00584EC1" w:rsidRDefault="00584EC1">
            <w:pPr>
              <w:rPr>
                <w:rFonts w:ascii="宋体"/>
                <w:vanish/>
              </w:rPr>
            </w:pPr>
          </w:p>
        </w:tc>
        <w:tc>
          <w:tcPr>
            <w:tcW w:w="0" w:type="auto"/>
            <w:gridSpan w:val="3"/>
            <w:shd w:val="clear" w:color="auto" w:fill="auto"/>
            <w:vAlign w:val="bottom"/>
          </w:tcPr>
          <w:p w14:paraId="74DDC471" w14:textId="77777777" w:rsidR="00584EC1" w:rsidRDefault="00584EC1">
            <w:pPr>
              <w:rPr>
                <w:rFonts w:ascii="宋体"/>
                <w:vanish/>
              </w:rPr>
            </w:pPr>
          </w:p>
        </w:tc>
        <w:tc>
          <w:tcPr>
            <w:tcW w:w="0" w:type="auto"/>
            <w:gridSpan w:val="3"/>
            <w:shd w:val="clear" w:color="auto" w:fill="auto"/>
            <w:vAlign w:val="bottom"/>
          </w:tcPr>
          <w:p w14:paraId="74DDC472" w14:textId="77777777" w:rsidR="00584EC1" w:rsidRDefault="00584EC1">
            <w:pPr>
              <w:rPr>
                <w:rFonts w:ascii="宋体"/>
                <w:vanish/>
              </w:rPr>
            </w:pPr>
          </w:p>
        </w:tc>
        <w:tc>
          <w:tcPr>
            <w:tcW w:w="0" w:type="auto"/>
            <w:gridSpan w:val="3"/>
            <w:shd w:val="clear" w:color="auto" w:fill="auto"/>
            <w:vAlign w:val="bottom"/>
          </w:tcPr>
          <w:p w14:paraId="74DDC473" w14:textId="77777777" w:rsidR="00584EC1" w:rsidRDefault="00584EC1">
            <w:pPr>
              <w:rPr>
                <w:rFonts w:ascii="宋体"/>
                <w:vanish/>
              </w:rPr>
            </w:pPr>
          </w:p>
        </w:tc>
        <w:tc>
          <w:tcPr>
            <w:tcW w:w="0" w:type="auto"/>
            <w:shd w:val="clear" w:color="auto" w:fill="auto"/>
            <w:vAlign w:val="bottom"/>
          </w:tcPr>
          <w:p w14:paraId="74DDC474" w14:textId="77777777" w:rsidR="00584EC1" w:rsidRDefault="00584EC1">
            <w:pPr>
              <w:rPr>
                <w:rFonts w:ascii="宋体"/>
                <w:vanish/>
              </w:rPr>
            </w:pPr>
          </w:p>
        </w:tc>
        <w:tc>
          <w:tcPr>
            <w:tcW w:w="0" w:type="auto"/>
            <w:shd w:val="clear" w:color="auto" w:fill="auto"/>
            <w:vAlign w:val="bottom"/>
          </w:tcPr>
          <w:p w14:paraId="74DDC475" w14:textId="77777777" w:rsidR="00584EC1" w:rsidRDefault="00584EC1">
            <w:pPr>
              <w:rPr>
                <w:rFonts w:ascii="宋体"/>
                <w:vanish/>
              </w:rPr>
            </w:pPr>
          </w:p>
        </w:tc>
        <w:tc>
          <w:tcPr>
            <w:tcW w:w="0" w:type="auto"/>
            <w:gridSpan w:val="3"/>
            <w:shd w:val="clear" w:color="auto" w:fill="auto"/>
            <w:vAlign w:val="bottom"/>
          </w:tcPr>
          <w:p w14:paraId="74DDC476" w14:textId="77777777" w:rsidR="00584EC1" w:rsidRDefault="00584EC1">
            <w:pPr>
              <w:rPr>
                <w:rFonts w:ascii="宋体"/>
                <w:vanish/>
              </w:rPr>
            </w:pPr>
          </w:p>
        </w:tc>
        <w:tc>
          <w:tcPr>
            <w:tcW w:w="0" w:type="auto"/>
            <w:gridSpan w:val="3"/>
            <w:shd w:val="clear" w:color="auto" w:fill="auto"/>
            <w:vAlign w:val="bottom"/>
          </w:tcPr>
          <w:p w14:paraId="74DDC477" w14:textId="77777777" w:rsidR="00584EC1" w:rsidRDefault="00584EC1">
            <w:pPr>
              <w:rPr>
                <w:rFonts w:ascii="宋体"/>
                <w:vanish/>
              </w:rPr>
            </w:pPr>
          </w:p>
        </w:tc>
        <w:tc>
          <w:tcPr>
            <w:tcW w:w="0" w:type="auto"/>
            <w:gridSpan w:val="3"/>
            <w:shd w:val="clear" w:color="auto" w:fill="auto"/>
            <w:vAlign w:val="bottom"/>
          </w:tcPr>
          <w:p w14:paraId="74DDC478" w14:textId="77777777" w:rsidR="00584EC1" w:rsidRDefault="00584EC1">
            <w:pPr>
              <w:rPr>
                <w:rFonts w:ascii="宋体"/>
                <w:vanish/>
              </w:rPr>
            </w:pPr>
          </w:p>
        </w:tc>
        <w:tc>
          <w:tcPr>
            <w:tcW w:w="0" w:type="auto"/>
            <w:gridSpan w:val="3"/>
            <w:shd w:val="clear" w:color="auto" w:fill="auto"/>
            <w:vAlign w:val="bottom"/>
          </w:tcPr>
          <w:p w14:paraId="74DDC479" w14:textId="77777777" w:rsidR="00584EC1" w:rsidRDefault="00584EC1">
            <w:pPr>
              <w:rPr>
                <w:rFonts w:ascii="宋体"/>
                <w:vanish/>
              </w:rPr>
            </w:pPr>
          </w:p>
        </w:tc>
        <w:tc>
          <w:tcPr>
            <w:tcW w:w="0" w:type="auto"/>
            <w:gridSpan w:val="3"/>
            <w:shd w:val="clear" w:color="auto" w:fill="auto"/>
            <w:vAlign w:val="bottom"/>
          </w:tcPr>
          <w:p w14:paraId="74DDC47A" w14:textId="77777777" w:rsidR="00584EC1" w:rsidRDefault="00584EC1">
            <w:pPr>
              <w:rPr>
                <w:rFonts w:ascii="宋体"/>
                <w:vanish/>
              </w:rPr>
            </w:pPr>
          </w:p>
        </w:tc>
        <w:tc>
          <w:tcPr>
            <w:tcW w:w="0" w:type="auto"/>
            <w:gridSpan w:val="3"/>
            <w:shd w:val="clear" w:color="auto" w:fill="auto"/>
            <w:vAlign w:val="bottom"/>
          </w:tcPr>
          <w:p w14:paraId="74DDC47B" w14:textId="77777777" w:rsidR="00584EC1" w:rsidRDefault="00584EC1">
            <w:pPr>
              <w:rPr>
                <w:rFonts w:ascii="宋体"/>
                <w:vanish/>
              </w:rPr>
            </w:pPr>
          </w:p>
        </w:tc>
        <w:tc>
          <w:tcPr>
            <w:tcW w:w="0" w:type="auto"/>
            <w:gridSpan w:val="3"/>
            <w:shd w:val="clear" w:color="auto" w:fill="auto"/>
            <w:vAlign w:val="bottom"/>
          </w:tcPr>
          <w:p w14:paraId="74DDC47C" w14:textId="77777777" w:rsidR="00584EC1" w:rsidRDefault="00584EC1">
            <w:pPr>
              <w:rPr>
                <w:rFonts w:ascii="宋体"/>
                <w:vanish/>
              </w:rPr>
            </w:pPr>
          </w:p>
        </w:tc>
        <w:tc>
          <w:tcPr>
            <w:tcW w:w="0" w:type="auto"/>
            <w:gridSpan w:val="3"/>
            <w:shd w:val="clear" w:color="auto" w:fill="auto"/>
            <w:vAlign w:val="bottom"/>
          </w:tcPr>
          <w:p w14:paraId="74DDC47D" w14:textId="77777777" w:rsidR="00584EC1" w:rsidRDefault="00584EC1">
            <w:pPr>
              <w:rPr>
                <w:rFonts w:ascii="宋体"/>
                <w:vanish/>
              </w:rPr>
            </w:pPr>
          </w:p>
        </w:tc>
        <w:tc>
          <w:tcPr>
            <w:tcW w:w="0" w:type="auto"/>
            <w:gridSpan w:val="3"/>
            <w:shd w:val="clear" w:color="auto" w:fill="auto"/>
            <w:vAlign w:val="bottom"/>
          </w:tcPr>
          <w:p w14:paraId="74DDC47E" w14:textId="77777777" w:rsidR="00584EC1" w:rsidRDefault="00584EC1">
            <w:pPr>
              <w:rPr>
                <w:rFonts w:ascii="宋体"/>
                <w:vanish/>
              </w:rPr>
            </w:pPr>
          </w:p>
        </w:tc>
        <w:tc>
          <w:tcPr>
            <w:tcW w:w="0" w:type="auto"/>
            <w:gridSpan w:val="2"/>
            <w:shd w:val="clear" w:color="auto" w:fill="auto"/>
            <w:vAlign w:val="bottom"/>
          </w:tcPr>
          <w:p w14:paraId="74DDC47F" w14:textId="77777777" w:rsidR="00584EC1" w:rsidRDefault="00584EC1">
            <w:pPr>
              <w:rPr>
                <w:rFonts w:ascii="宋体"/>
                <w:vanish/>
              </w:rPr>
            </w:pPr>
          </w:p>
        </w:tc>
        <w:tc>
          <w:tcPr>
            <w:tcW w:w="0" w:type="auto"/>
            <w:shd w:val="clear" w:color="auto" w:fill="auto"/>
            <w:vAlign w:val="bottom"/>
          </w:tcPr>
          <w:p w14:paraId="74DDC480" w14:textId="77777777" w:rsidR="00584EC1" w:rsidRDefault="00584EC1">
            <w:pPr>
              <w:rPr>
                <w:rFonts w:ascii="宋体"/>
                <w:vanish/>
              </w:rPr>
            </w:pPr>
          </w:p>
        </w:tc>
      </w:tr>
      <w:tr w:rsidR="00584EC1" w14:paraId="74DDC498" w14:textId="77777777">
        <w:trPr>
          <w:hidden/>
        </w:trPr>
        <w:tc>
          <w:tcPr>
            <w:tcW w:w="0" w:type="auto"/>
            <w:gridSpan w:val="3"/>
            <w:shd w:val="clear" w:color="auto" w:fill="auto"/>
            <w:vAlign w:val="bottom"/>
          </w:tcPr>
          <w:p w14:paraId="74DDC482" w14:textId="77777777" w:rsidR="00584EC1" w:rsidRDefault="00584EC1">
            <w:pPr>
              <w:rPr>
                <w:rFonts w:ascii="宋体"/>
                <w:vanish/>
              </w:rPr>
            </w:pPr>
          </w:p>
        </w:tc>
        <w:tc>
          <w:tcPr>
            <w:tcW w:w="0" w:type="auto"/>
            <w:gridSpan w:val="3"/>
            <w:shd w:val="clear" w:color="auto" w:fill="auto"/>
            <w:vAlign w:val="bottom"/>
          </w:tcPr>
          <w:p w14:paraId="74DDC483" w14:textId="77777777" w:rsidR="00584EC1" w:rsidRDefault="00584EC1">
            <w:pPr>
              <w:rPr>
                <w:rFonts w:ascii="宋体"/>
                <w:vanish/>
              </w:rPr>
            </w:pPr>
          </w:p>
        </w:tc>
        <w:tc>
          <w:tcPr>
            <w:tcW w:w="0" w:type="auto"/>
            <w:gridSpan w:val="3"/>
            <w:shd w:val="clear" w:color="auto" w:fill="auto"/>
            <w:vAlign w:val="bottom"/>
          </w:tcPr>
          <w:p w14:paraId="74DDC484" w14:textId="77777777" w:rsidR="00584EC1" w:rsidRDefault="00584EC1">
            <w:pPr>
              <w:rPr>
                <w:rFonts w:ascii="宋体"/>
                <w:vanish/>
              </w:rPr>
            </w:pPr>
          </w:p>
        </w:tc>
        <w:tc>
          <w:tcPr>
            <w:tcW w:w="0" w:type="auto"/>
            <w:gridSpan w:val="3"/>
            <w:shd w:val="clear" w:color="auto" w:fill="auto"/>
            <w:vAlign w:val="bottom"/>
          </w:tcPr>
          <w:p w14:paraId="74DDC485" w14:textId="77777777" w:rsidR="00584EC1" w:rsidRDefault="00584EC1">
            <w:pPr>
              <w:rPr>
                <w:rFonts w:ascii="宋体"/>
                <w:vanish/>
              </w:rPr>
            </w:pPr>
          </w:p>
        </w:tc>
        <w:tc>
          <w:tcPr>
            <w:tcW w:w="0" w:type="auto"/>
            <w:gridSpan w:val="3"/>
            <w:shd w:val="clear" w:color="auto" w:fill="auto"/>
            <w:vAlign w:val="bottom"/>
          </w:tcPr>
          <w:p w14:paraId="74DDC486" w14:textId="77777777" w:rsidR="00584EC1" w:rsidRDefault="00584EC1">
            <w:pPr>
              <w:rPr>
                <w:rFonts w:ascii="宋体"/>
                <w:vanish/>
              </w:rPr>
            </w:pPr>
          </w:p>
        </w:tc>
        <w:tc>
          <w:tcPr>
            <w:tcW w:w="0" w:type="auto"/>
            <w:gridSpan w:val="3"/>
            <w:shd w:val="clear" w:color="auto" w:fill="auto"/>
            <w:vAlign w:val="bottom"/>
          </w:tcPr>
          <w:p w14:paraId="74DDC487" w14:textId="77777777" w:rsidR="00584EC1" w:rsidRDefault="00584EC1">
            <w:pPr>
              <w:rPr>
                <w:rFonts w:ascii="宋体"/>
                <w:vanish/>
              </w:rPr>
            </w:pPr>
          </w:p>
        </w:tc>
        <w:tc>
          <w:tcPr>
            <w:tcW w:w="0" w:type="auto"/>
            <w:gridSpan w:val="3"/>
            <w:shd w:val="clear" w:color="auto" w:fill="auto"/>
            <w:vAlign w:val="bottom"/>
          </w:tcPr>
          <w:p w14:paraId="74DDC488" w14:textId="77777777" w:rsidR="00584EC1" w:rsidRDefault="00584EC1">
            <w:pPr>
              <w:rPr>
                <w:rFonts w:ascii="宋体"/>
                <w:vanish/>
              </w:rPr>
            </w:pPr>
          </w:p>
        </w:tc>
        <w:tc>
          <w:tcPr>
            <w:tcW w:w="0" w:type="auto"/>
            <w:gridSpan w:val="3"/>
            <w:shd w:val="clear" w:color="auto" w:fill="auto"/>
            <w:vAlign w:val="bottom"/>
          </w:tcPr>
          <w:p w14:paraId="74DDC489" w14:textId="77777777" w:rsidR="00584EC1" w:rsidRDefault="00584EC1">
            <w:pPr>
              <w:rPr>
                <w:rFonts w:ascii="宋体"/>
                <w:vanish/>
              </w:rPr>
            </w:pPr>
          </w:p>
        </w:tc>
        <w:tc>
          <w:tcPr>
            <w:tcW w:w="0" w:type="auto"/>
            <w:gridSpan w:val="3"/>
            <w:shd w:val="clear" w:color="auto" w:fill="auto"/>
            <w:vAlign w:val="bottom"/>
          </w:tcPr>
          <w:p w14:paraId="74DDC48A" w14:textId="77777777" w:rsidR="00584EC1" w:rsidRDefault="00584EC1">
            <w:pPr>
              <w:rPr>
                <w:rFonts w:ascii="宋体"/>
                <w:vanish/>
              </w:rPr>
            </w:pPr>
          </w:p>
        </w:tc>
        <w:tc>
          <w:tcPr>
            <w:tcW w:w="0" w:type="auto"/>
            <w:shd w:val="clear" w:color="auto" w:fill="auto"/>
            <w:vAlign w:val="bottom"/>
          </w:tcPr>
          <w:p w14:paraId="74DDC48B" w14:textId="77777777" w:rsidR="00584EC1" w:rsidRDefault="00584EC1">
            <w:pPr>
              <w:rPr>
                <w:rFonts w:ascii="宋体"/>
                <w:vanish/>
              </w:rPr>
            </w:pPr>
          </w:p>
        </w:tc>
        <w:tc>
          <w:tcPr>
            <w:tcW w:w="0" w:type="auto"/>
            <w:shd w:val="clear" w:color="auto" w:fill="auto"/>
            <w:vAlign w:val="bottom"/>
          </w:tcPr>
          <w:p w14:paraId="74DDC48C" w14:textId="77777777" w:rsidR="00584EC1" w:rsidRDefault="00584EC1">
            <w:pPr>
              <w:rPr>
                <w:rFonts w:ascii="宋体"/>
                <w:vanish/>
              </w:rPr>
            </w:pPr>
          </w:p>
        </w:tc>
        <w:tc>
          <w:tcPr>
            <w:tcW w:w="0" w:type="auto"/>
            <w:gridSpan w:val="3"/>
            <w:shd w:val="clear" w:color="auto" w:fill="auto"/>
            <w:vAlign w:val="bottom"/>
          </w:tcPr>
          <w:p w14:paraId="74DDC48D" w14:textId="77777777" w:rsidR="00584EC1" w:rsidRDefault="00584EC1">
            <w:pPr>
              <w:rPr>
                <w:rFonts w:ascii="宋体"/>
                <w:vanish/>
              </w:rPr>
            </w:pPr>
          </w:p>
        </w:tc>
        <w:tc>
          <w:tcPr>
            <w:tcW w:w="0" w:type="auto"/>
            <w:gridSpan w:val="3"/>
            <w:shd w:val="clear" w:color="auto" w:fill="auto"/>
            <w:vAlign w:val="bottom"/>
          </w:tcPr>
          <w:p w14:paraId="74DDC48E" w14:textId="77777777" w:rsidR="00584EC1" w:rsidRDefault="00584EC1">
            <w:pPr>
              <w:rPr>
                <w:rFonts w:ascii="宋体"/>
                <w:vanish/>
              </w:rPr>
            </w:pPr>
          </w:p>
        </w:tc>
        <w:tc>
          <w:tcPr>
            <w:tcW w:w="0" w:type="auto"/>
            <w:gridSpan w:val="3"/>
            <w:shd w:val="clear" w:color="auto" w:fill="auto"/>
            <w:vAlign w:val="bottom"/>
          </w:tcPr>
          <w:p w14:paraId="74DDC48F" w14:textId="77777777" w:rsidR="00584EC1" w:rsidRDefault="00584EC1">
            <w:pPr>
              <w:rPr>
                <w:rFonts w:ascii="宋体"/>
                <w:vanish/>
              </w:rPr>
            </w:pPr>
          </w:p>
        </w:tc>
        <w:tc>
          <w:tcPr>
            <w:tcW w:w="0" w:type="auto"/>
            <w:gridSpan w:val="3"/>
            <w:shd w:val="clear" w:color="auto" w:fill="auto"/>
            <w:vAlign w:val="bottom"/>
          </w:tcPr>
          <w:p w14:paraId="74DDC490" w14:textId="77777777" w:rsidR="00584EC1" w:rsidRDefault="00584EC1">
            <w:pPr>
              <w:rPr>
                <w:rFonts w:ascii="宋体"/>
                <w:vanish/>
              </w:rPr>
            </w:pPr>
          </w:p>
        </w:tc>
        <w:tc>
          <w:tcPr>
            <w:tcW w:w="0" w:type="auto"/>
            <w:gridSpan w:val="3"/>
            <w:shd w:val="clear" w:color="auto" w:fill="auto"/>
            <w:vAlign w:val="bottom"/>
          </w:tcPr>
          <w:p w14:paraId="74DDC491" w14:textId="77777777" w:rsidR="00584EC1" w:rsidRDefault="00584EC1">
            <w:pPr>
              <w:rPr>
                <w:rFonts w:ascii="宋体"/>
                <w:vanish/>
              </w:rPr>
            </w:pPr>
          </w:p>
        </w:tc>
        <w:tc>
          <w:tcPr>
            <w:tcW w:w="0" w:type="auto"/>
            <w:gridSpan w:val="3"/>
            <w:shd w:val="clear" w:color="auto" w:fill="auto"/>
            <w:vAlign w:val="bottom"/>
          </w:tcPr>
          <w:p w14:paraId="74DDC492" w14:textId="77777777" w:rsidR="00584EC1" w:rsidRDefault="00584EC1">
            <w:pPr>
              <w:rPr>
                <w:rFonts w:ascii="宋体"/>
                <w:vanish/>
              </w:rPr>
            </w:pPr>
          </w:p>
        </w:tc>
        <w:tc>
          <w:tcPr>
            <w:tcW w:w="0" w:type="auto"/>
            <w:gridSpan w:val="3"/>
            <w:shd w:val="clear" w:color="auto" w:fill="auto"/>
            <w:vAlign w:val="bottom"/>
          </w:tcPr>
          <w:p w14:paraId="74DDC493" w14:textId="77777777" w:rsidR="00584EC1" w:rsidRDefault="00584EC1">
            <w:pPr>
              <w:rPr>
                <w:rFonts w:ascii="宋体"/>
                <w:vanish/>
              </w:rPr>
            </w:pPr>
          </w:p>
        </w:tc>
        <w:tc>
          <w:tcPr>
            <w:tcW w:w="0" w:type="auto"/>
            <w:gridSpan w:val="3"/>
            <w:shd w:val="clear" w:color="auto" w:fill="auto"/>
            <w:vAlign w:val="bottom"/>
          </w:tcPr>
          <w:p w14:paraId="74DDC494" w14:textId="77777777" w:rsidR="00584EC1" w:rsidRDefault="00584EC1">
            <w:pPr>
              <w:rPr>
                <w:rFonts w:ascii="宋体"/>
                <w:vanish/>
              </w:rPr>
            </w:pPr>
          </w:p>
        </w:tc>
        <w:tc>
          <w:tcPr>
            <w:tcW w:w="0" w:type="auto"/>
            <w:gridSpan w:val="3"/>
            <w:shd w:val="clear" w:color="auto" w:fill="auto"/>
            <w:vAlign w:val="bottom"/>
          </w:tcPr>
          <w:p w14:paraId="74DDC495" w14:textId="77777777" w:rsidR="00584EC1" w:rsidRDefault="00584EC1">
            <w:pPr>
              <w:rPr>
                <w:rFonts w:ascii="宋体"/>
                <w:vanish/>
              </w:rPr>
            </w:pPr>
          </w:p>
        </w:tc>
        <w:tc>
          <w:tcPr>
            <w:tcW w:w="0" w:type="auto"/>
            <w:gridSpan w:val="2"/>
            <w:shd w:val="clear" w:color="auto" w:fill="auto"/>
            <w:vAlign w:val="bottom"/>
          </w:tcPr>
          <w:p w14:paraId="74DDC496" w14:textId="77777777" w:rsidR="00584EC1" w:rsidRDefault="00584EC1">
            <w:pPr>
              <w:rPr>
                <w:rFonts w:ascii="宋体"/>
                <w:vanish/>
              </w:rPr>
            </w:pPr>
          </w:p>
        </w:tc>
        <w:tc>
          <w:tcPr>
            <w:tcW w:w="0" w:type="auto"/>
            <w:shd w:val="clear" w:color="auto" w:fill="auto"/>
            <w:vAlign w:val="bottom"/>
          </w:tcPr>
          <w:p w14:paraId="74DDC497" w14:textId="77777777" w:rsidR="00584EC1" w:rsidRDefault="00584EC1">
            <w:pPr>
              <w:rPr>
                <w:rFonts w:ascii="宋体"/>
                <w:vanish/>
              </w:rPr>
            </w:pPr>
          </w:p>
        </w:tc>
      </w:tr>
      <w:tr w:rsidR="00584EC1" w14:paraId="74DDC4B8" w14:textId="77777777">
        <w:tc>
          <w:tcPr>
            <w:tcW w:w="0" w:type="auto"/>
            <w:gridSpan w:val="3"/>
            <w:shd w:val="clear" w:color="auto" w:fill="FFFFFF"/>
            <w:tcMar>
              <w:top w:w="40" w:type="dxa"/>
              <w:left w:w="20" w:type="dxa"/>
              <w:bottom w:w="40" w:type="dxa"/>
              <w:right w:w="20" w:type="dxa"/>
            </w:tcMar>
            <w:vAlign w:val="center"/>
          </w:tcPr>
          <w:p w14:paraId="74DDC499" w14:textId="77777777" w:rsidR="00584EC1" w:rsidRDefault="00871F8D">
            <w:pPr>
              <w:textAlignment w:val="center"/>
            </w:pPr>
            <w:r>
              <w:rPr>
                <w:rFonts w:ascii="Arial" w:eastAsia="宋体" w:hAnsi="Arial" w:cs="Arial"/>
                <w:color w:val="000000"/>
                <w:sz w:val="12"/>
                <w:szCs w:val="12"/>
              </w:rPr>
              <w:t xml:space="preserve">Total derivative </w:t>
            </w:r>
            <w:r>
              <w:rPr>
                <w:rFonts w:ascii="Arial" w:eastAsia="宋体" w:hAnsi="Arial" w:cs="Arial"/>
                <w:color w:val="000000"/>
                <w:sz w:val="12"/>
                <w:szCs w:val="12"/>
              </w:rPr>
              <w:t>instruments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4DDC49A" w14:textId="77777777" w:rsidR="00584EC1" w:rsidRDefault="00871F8D">
            <w:pPr>
              <w:jc w:val="right"/>
              <w:textAlignment w:val="center"/>
            </w:pPr>
            <w:r>
              <w:rPr>
                <w:rFonts w:ascii="Arial" w:eastAsia="宋体" w:hAnsi="Arial" w:cs="Arial"/>
                <w:b/>
                <w:bCs/>
                <w:color w:val="000000"/>
                <w:sz w:val="12"/>
                <w:szCs w:val="12"/>
              </w:rPr>
              <w:t>2</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4DDC49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49C"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4DDC49D" w14:textId="77777777" w:rsidR="00584EC1" w:rsidRDefault="00871F8D">
            <w:pPr>
              <w:jc w:val="right"/>
              <w:textAlignment w:val="center"/>
            </w:pPr>
            <w:r>
              <w:rPr>
                <w:rFonts w:ascii="Arial" w:eastAsia="宋体" w:hAnsi="Arial" w:cs="Arial"/>
                <w:b/>
                <w:bCs/>
                <w:color w:val="000000"/>
                <w:sz w:val="12"/>
                <w:szCs w:val="12"/>
              </w:rPr>
              <w:t>(3)</w:t>
            </w:r>
          </w:p>
        </w:tc>
        <w:tc>
          <w:tcPr>
            <w:tcW w:w="0" w:type="auto"/>
            <w:tcBorders>
              <w:top w:val="single" w:sz="8" w:space="0" w:color="000000"/>
            </w:tcBorders>
            <w:shd w:val="clear" w:color="auto" w:fill="FFFFFF"/>
            <w:tcMar>
              <w:top w:w="40" w:type="dxa"/>
              <w:left w:w="0" w:type="dxa"/>
              <w:bottom w:w="40" w:type="dxa"/>
              <w:right w:w="20" w:type="dxa"/>
            </w:tcMar>
            <w:vAlign w:val="center"/>
          </w:tcPr>
          <w:p w14:paraId="74DDC49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49F"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4DDC4A0" w14:textId="77777777" w:rsidR="00584EC1" w:rsidRDefault="00871F8D">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4DDC4A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4A2"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4DDC4A3" w14:textId="77777777" w:rsidR="00584EC1" w:rsidRDefault="00871F8D">
            <w:pPr>
              <w:jc w:val="right"/>
              <w:textAlignment w:val="center"/>
            </w:pPr>
            <w:r>
              <w:rPr>
                <w:rFonts w:ascii="Arial" w:eastAsia="宋体" w:hAnsi="Arial" w:cs="Arial"/>
                <w:b/>
                <w:bCs/>
                <w:color w:val="000000"/>
                <w:sz w:val="12"/>
                <w:szCs w:val="12"/>
              </w:rPr>
              <w:t>4</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4DDC4A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4A5" w14:textId="77777777" w:rsidR="00584EC1" w:rsidRDefault="00584EC1">
            <w:pPr>
              <w:rPr>
                <w:rFonts w:ascii="宋体"/>
              </w:rPr>
            </w:pPr>
          </w:p>
        </w:tc>
        <w:tc>
          <w:tcPr>
            <w:tcW w:w="0" w:type="auto"/>
            <w:shd w:val="clear" w:color="auto" w:fill="auto"/>
            <w:vAlign w:val="bottom"/>
          </w:tcPr>
          <w:p w14:paraId="74DDC4A6" w14:textId="77777777" w:rsidR="00584EC1" w:rsidRDefault="00584EC1">
            <w:pPr>
              <w:rPr>
                <w:rFonts w:ascii="宋体"/>
                <w:vanish/>
              </w:rPr>
            </w:pPr>
          </w:p>
        </w:tc>
        <w:tc>
          <w:tcPr>
            <w:tcW w:w="0" w:type="auto"/>
            <w:shd w:val="clear" w:color="auto" w:fill="auto"/>
            <w:vAlign w:val="bottom"/>
          </w:tcPr>
          <w:p w14:paraId="74DDC4A7" w14:textId="77777777" w:rsidR="00584EC1" w:rsidRDefault="00584EC1">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4DDC4A8" w14:textId="77777777" w:rsidR="00584EC1" w:rsidRDefault="00871F8D">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4DDC4A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4AA"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4DDC4AB" w14:textId="77777777" w:rsidR="00584EC1" w:rsidRDefault="00871F8D">
            <w:pPr>
              <w:jc w:val="right"/>
              <w:textAlignment w:val="center"/>
            </w:pPr>
            <w:r>
              <w:rPr>
                <w:rFonts w:ascii="Arial" w:eastAsia="宋体" w:hAnsi="Arial" w:cs="Arial"/>
                <w:b/>
                <w:bCs/>
                <w:color w:val="000000"/>
                <w:sz w:val="12"/>
                <w:szCs w:val="12"/>
              </w:rPr>
              <w:t>(1)</w:t>
            </w:r>
          </w:p>
        </w:tc>
        <w:tc>
          <w:tcPr>
            <w:tcW w:w="0" w:type="auto"/>
            <w:tcBorders>
              <w:top w:val="single" w:sz="8" w:space="0" w:color="000000"/>
            </w:tcBorders>
            <w:shd w:val="clear" w:color="auto" w:fill="FFFFFF"/>
            <w:tcMar>
              <w:top w:w="40" w:type="dxa"/>
              <w:left w:w="0" w:type="dxa"/>
              <w:bottom w:w="40" w:type="dxa"/>
              <w:right w:w="20" w:type="dxa"/>
            </w:tcMar>
            <w:vAlign w:val="center"/>
          </w:tcPr>
          <w:p w14:paraId="74DDC4A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4AD"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4DDC4AE" w14:textId="77777777" w:rsidR="00584EC1" w:rsidRDefault="00871F8D">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4DDC4A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4B0"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4DDC4B1" w14:textId="77777777" w:rsidR="00584EC1" w:rsidRDefault="00871F8D">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4DDC4B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4B3"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4DDC4B4" w14:textId="77777777" w:rsidR="00584EC1" w:rsidRDefault="00871F8D">
            <w:pPr>
              <w:jc w:val="right"/>
              <w:textAlignment w:val="center"/>
            </w:pPr>
            <w:r>
              <w:rPr>
                <w:rFonts w:ascii="Arial" w:eastAsia="宋体" w:hAnsi="Arial" w:cs="Arial"/>
                <w:b/>
                <w:bCs/>
                <w:color w:val="000000"/>
                <w:sz w:val="12"/>
                <w:szCs w:val="12"/>
              </w:rPr>
              <w:t>2</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4DDC4B5" w14:textId="77777777" w:rsidR="00584EC1" w:rsidRDefault="00584EC1">
            <w:pPr>
              <w:jc w:val="right"/>
              <w:rPr>
                <w:rFonts w:ascii="宋体"/>
              </w:rPr>
            </w:pPr>
          </w:p>
        </w:tc>
        <w:tc>
          <w:tcPr>
            <w:tcW w:w="0" w:type="auto"/>
            <w:gridSpan w:val="2"/>
            <w:shd w:val="clear" w:color="auto" w:fill="FFFFFF"/>
            <w:tcMar>
              <w:top w:w="0" w:type="dxa"/>
              <w:left w:w="20" w:type="dxa"/>
              <w:bottom w:w="0" w:type="dxa"/>
              <w:right w:w="20" w:type="dxa"/>
            </w:tcMar>
            <w:vAlign w:val="bottom"/>
          </w:tcPr>
          <w:p w14:paraId="74DDC4B6"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4DDC4B7" w14:textId="77777777" w:rsidR="00584EC1" w:rsidRDefault="00871F8D">
            <w:pPr>
              <w:jc w:val="right"/>
              <w:textAlignment w:val="center"/>
            </w:pPr>
            <w:r>
              <w:rPr>
                <w:rFonts w:ascii="Arial" w:eastAsia="宋体" w:hAnsi="Arial" w:cs="Arial"/>
                <w:b/>
                <w:bCs/>
                <w:color w:val="000000"/>
                <w:sz w:val="12"/>
                <w:szCs w:val="12"/>
              </w:rPr>
              <w:t>(1)</w:t>
            </w:r>
          </w:p>
        </w:tc>
      </w:tr>
      <w:tr w:rsidR="00871F8D" w14:paraId="74DDC4E2" w14:textId="77777777">
        <w:tc>
          <w:tcPr>
            <w:tcW w:w="0" w:type="auto"/>
            <w:gridSpan w:val="3"/>
            <w:shd w:val="clear" w:color="auto" w:fill="CCEEFF"/>
            <w:tcMar>
              <w:top w:w="40" w:type="dxa"/>
              <w:left w:w="20" w:type="dxa"/>
              <w:bottom w:w="40" w:type="dxa"/>
              <w:right w:w="20" w:type="dxa"/>
            </w:tcMar>
            <w:vAlign w:val="center"/>
          </w:tcPr>
          <w:p w14:paraId="74DDC4B9" w14:textId="77777777" w:rsidR="00584EC1" w:rsidRDefault="00871F8D">
            <w:pPr>
              <w:textAlignment w:val="center"/>
            </w:pPr>
            <w:r>
              <w:rPr>
                <w:rFonts w:ascii="Arial" w:eastAsia="宋体" w:hAnsi="Arial" w:cs="Arial"/>
                <w:color w:val="000000"/>
                <w:sz w:val="12"/>
                <w:szCs w:val="12"/>
              </w:rPr>
              <w:t>Total assets c</w:t>
            </w:r>
            <w:r>
              <w:rPr>
                <w:rFonts w:ascii="Arial" w:eastAsia="宋体" w:hAnsi="Arial" w:cs="Arial"/>
                <w:color w:val="000000"/>
                <w:sz w:val="12"/>
                <w:szCs w:val="12"/>
              </w:rPr>
              <w:t>arried at fair value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4DDC4BA" w14:textId="77777777" w:rsidR="00584EC1" w:rsidRDefault="00871F8D">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4DDC4BB" w14:textId="77777777" w:rsidR="00584EC1" w:rsidRDefault="00871F8D">
            <w:pPr>
              <w:jc w:val="right"/>
              <w:textAlignment w:val="center"/>
            </w:pPr>
            <w:r>
              <w:rPr>
                <w:rFonts w:ascii="Arial" w:eastAsia="宋体" w:hAnsi="Arial" w:cs="Arial"/>
                <w:b/>
                <w:bCs/>
                <w:color w:val="000000"/>
                <w:sz w:val="12"/>
                <w:szCs w:val="12"/>
              </w:rPr>
              <w:t>16</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4DDC4B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4BD"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4DDC4BE" w14:textId="77777777" w:rsidR="00584EC1" w:rsidRDefault="00871F8D">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4DDC4BF" w14:textId="77777777" w:rsidR="00584EC1" w:rsidRDefault="00871F8D">
            <w:pPr>
              <w:jc w:val="right"/>
              <w:textAlignment w:val="center"/>
            </w:pPr>
            <w:r>
              <w:rPr>
                <w:rFonts w:ascii="Arial" w:eastAsia="宋体" w:hAnsi="Arial" w:cs="Arial"/>
                <w:b/>
                <w:bCs/>
                <w:color w:val="000000"/>
                <w:sz w:val="12"/>
                <w:szCs w:val="12"/>
              </w:rPr>
              <w:t>(3)</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4DDC4C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4C1"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4DDC4C2" w14:textId="77777777" w:rsidR="00584EC1" w:rsidRDefault="00871F8D">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4DDC4C3" w14:textId="77777777" w:rsidR="00584EC1" w:rsidRDefault="00871F8D">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4DDC4C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4C5"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4DDC4C6" w14:textId="77777777" w:rsidR="00584EC1" w:rsidRDefault="00871F8D">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4DDC4C7" w14:textId="77777777" w:rsidR="00584EC1" w:rsidRDefault="00871F8D">
            <w:pPr>
              <w:jc w:val="right"/>
              <w:textAlignment w:val="center"/>
            </w:pPr>
            <w:r>
              <w:rPr>
                <w:rFonts w:ascii="Arial" w:eastAsia="宋体" w:hAnsi="Arial" w:cs="Arial"/>
                <w:b/>
                <w:bCs/>
                <w:color w:val="000000"/>
                <w:sz w:val="12"/>
                <w:szCs w:val="12"/>
              </w:rPr>
              <w:t>110</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4DDC4C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4C9" w14:textId="77777777" w:rsidR="00584EC1" w:rsidRDefault="00584EC1">
            <w:pPr>
              <w:rPr>
                <w:rFonts w:ascii="宋体"/>
              </w:rPr>
            </w:pPr>
          </w:p>
        </w:tc>
        <w:tc>
          <w:tcPr>
            <w:tcW w:w="0" w:type="auto"/>
            <w:shd w:val="clear" w:color="auto" w:fill="auto"/>
            <w:vAlign w:val="bottom"/>
          </w:tcPr>
          <w:p w14:paraId="74DDC4CA" w14:textId="77777777" w:rsidR="00584EC1" w:rsidRDefault="00584EC1">
            <w:pPr>
              <w:rPr>
                <w:rFonts w:ascii="宋体"/>
                <w:vanish/>
              </w:rPr>
            </w:pPr>
          </w:p>
        </w:tc>
        <w:tc>
          <w:tcPr>
            <w:tcW w:w="0" w:type="auto"/>
            <w:shd w:val="clear" w:color="auto" w:fill="auto"/>
            <w:vAlign w:val="bottom"/>
          </w:tcPr>
          <w:p w14:paraId="74DDC4CB" w14:textId="77777777" w:rsidR="00584EC1" w:rsidRDefault="00584EC1">
            <w:pPr>
              <w:rPr>
                <w:rFonts w:ascii="宋体"/>
                <w:vanish/>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4DDC4CC" w14:textId="77777777" w:rsidR="00584EC1" w:rsidRDefault="00871F8D">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4DDC4CD" w14:textId="77777777" w:rsidR="00584EC1" w:rsidRDefault="00871F8D">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4DDC4C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4CF"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4DDC4D0" w14:textId="77777777" w:rsidR="00584EC1" w:rsidRDefault="00871F8D">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4DDC4D1" w14:textId="77777777" w:rsidR="00584EC1" w:rsidRDefault="00871F8D">
            <w:pPr>
              <w:jc w:val="right"/>
              <w:textAlignment w:val="center"/>
            </w:pPr>
            <w:r>
              <w:rPr>
                <w:rFonts w:ascii="Arial" w:eastAsia="宋体" w:hAnsi="Arial" w:cs="Arial"/>
                <w:b/>
                <w:bCs/>
                <w:color w:val="000000"/>
                <w:sz w:val="12"/>
                <w:szCs w:val="12"/>
              </w:rPr>
              <w:t>(1)</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4DDC4D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4D3"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4DDC4D4" w14:textId="77777777" w:rsidR="00584EC1" w:rsidRDefault="00871F8D">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4DDC4D5" w14:textId="77777777" w:rsidR="00584EC1" w:rsidRDefault="00871F8D">
            <w:pPr>
              <w:jc w:val="right"/>
              <w:textAlignment w:val="center"/>
            </w:pPr>
            <w:r>
              <w:rPr>
                <w:rFonts w:ascii="Arial" w:eastAsia="宋体" w:hAnsi="Arial" w:cs="Arial"/>
                <w:b/>
                <w:bCs/>
                <w:color w:val="000000"/>
                <w:sz w:val="12"/>
                <w:szCs w:val="12"/>
              </w:rPr>
              <w:t>15</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4DDC4D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4D7"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4DDC4D8" w14:textId="77777777" w:rsidR="00584EC1" w:rsidRDefault="00871F8D">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4DDC4D9" w14:textId="77777777" w:rsidR="00584EC1" w:rsidRDefault="00871F8D">
            <w:pPr>
              <w:jc w:val="right"/>
              <w:textAlignment w:val="center"/>
            </w:pPr>
            <w:r>
              <w:rPr>
                <w:rFonts w:ascii="Arial" w:eastAsia="宋体" w:hAnsi="Arial" w:cs="Arial"/>
                <w:b/>
                <w:bCs/>
                <w:color w:val="000000"/>
                <w:sz w:val="12"/>
                <w:szCs w:val="12"/>
              </w:rPr>
              <w:t>(135)</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4DDC4D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4DB"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4DDC4DC" w14:textId="77777777" w:rsidR="00584EC1" w:rsidRDefault="00871F8D">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4DDC4DD" w14:textId="77777777" w:rsidR="00584EC1" w:rsidRDefault="00871F8D">
            <w:pPr>
              <w:jc w:val="right"/>
              <w:textAlignment w:val="center"/>
            </w:pPr>
            <w:r>
              <w:rPr>
                <w:rFonts w:ascii="Arial" w:eastAsia="宋体" w:hAnsi="Arial" w:cs="Arial"/>
                <w:b/>
                <w:bCs/>
                <w:color w:val="000000"/>
                <w:sz w:val="12"/>
                <w:szCs w:val="12"/>
              </w:rPr>
              <w:t>2</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4DDC4DE" w14:textId="77777777" w:rsidR="00584EC1" w:rsidRDefault="00584EC1">
            <w:pPr>
              <w:jc w:val="right"/>
              <w:rPr>
                <w:rFonts w:ascii="宋体"/>
              </w:rPr>
            </w:pPr>
          </w:p>
        </w:tc>
        <w:tc>
          <w:tcPr>
            <w:tcW w:w="0" w:type="auto"/>
            <w:gridSpan w:val="2"/>
            <w:shd w:val="clear" w:color="auto" w:fill="CCEEFF"/>
            <w:tcMar>
              <w:top w:w="0" w:type="dxa"/>
              <w:left w:w="20" w:type="dxa"/>
              <w:bottom w:w="0" w:type="dxa"/>
              <w:right w:w="20" w:type="dxa"/>
            </w:tcMar>
            <w:vAlign w:val="bottom"/>
          </w:tcPr>
          <w:p w14:paraId="74DDC4DF"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4DDC4E0" w14:textId="77777777" w:rsidR="00584EC1" w:rsidRDefault="00871F8D">
            <w:pPr>
              <w:textAlignment w:val="center"/>
            </w:pPr>
            <w:r>
              <w:rPr>
                <w:rFonts w:ascii="Arial" w:eastAsia="宋体" w:hAnsi="Arial" w:cs="Arial"/>
                <w:b/>
                <w:bCs/>
                <w:color w:val="000000"/>
                <w:sz w:val="12"/>
                <w:szCs w:val="12"/>
              </w:rPr>
              <w:t>$</w:t>
            </w:r>
          </w:p>
          <w:p w14:paraId="74DDC4E1" w14:textId="77777777" w:rsidR="00584EC1" w:rsidRDefault="00871F8D">
            <w:pPr>
              <w:jc w:val="right"/>
              <w:textAlignment w:val="center"/>
            </w:pPr>
            <w:r>
              <w:rPr>
                <w:rFonts w:ascii="Arial" w:eastAsia="宋体" w:hAnsi="Arial" w:cs="Arial"/>
                <w:b/>
                <w:bCs/>
                <w:color w:val="000000"/>
                <w:sz w:val="12"/>
                <w:szCs w:val="12"/>
              </w:rPr>
              <w:t>(1)</w:t>
            </w:r>
          </w:p>
        </w:tc>
      </w:tr>
    </w:tbl>
    <w:p w14:paraId="74DDC4E3" w14:textId="77777777" w:rsidR="00584EC1" w:rsidRDefault="00584E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100"/>
        <w:gridCol w:w="36"/>
        <w:gridCol w:w="69"/>
        <w:gridCol w:w="1504"/>
        <w:gridCol w:w="36"/>
        <w:gridCol w:w="70"/>
        <w:gridCol w:w="3076"/>
        <w:gridCol w:w="36"/>
      </w:tblGrid>
      <w:tr w:rsidR="00584EC1" w14:paraId="74DDC4F0" w14:textId="77777777">
        <w:tc>
          <w:tcPr>
            <w:tcW w:w="50" w:type="pct"/>
            <w:shd w:val="clear" w:color="auto" w:fill="auto"/>
            <w:vAlign w:val="bottom"/>
          </w:tcPr>
          <w:p w14:paraId="74DDC4E4" w14:textId="77777777" w:rsidR="00584EC1" w:rsidRDefault="00584EC1">
            <w:pPr>
              <w:rPr>
                <w:rFonts w:ascii="宋体"/>
              </w:rPr>
            </w:pPr>
          </w:p>
        </w:tc>
        <w:tc>
          <w:tcPr>
            <w:tcW w:w="1348" w:type="pct"/>
            <w:shd w:val="clear" w:color="auto" w:fill="auto"/>
            <w:vAlign w:val="bottom"/>
          </w:tcPr>
          <w:p w14:paraId="74DDC4E5" w14:textId="77777777" w:rsidR="00584EC1" w:rsidRDefault="00584EC1">
            <w:pPr>
              <w:rPr>
                <w:rFonts w:ascii="宋体"/>
              </w:rPr>
            </w:pPr>
          </w:p>
        </w:tc>
        <w:tc>
          <w:tcPr>
            <w:tcW w:w="5" w:type="pct"/>
            <w:shd w:val="clear" w:color="auto" w:fill="auto"/>
            <w:vAlign w:val="bottom"/>
          </w:tcPr>
          <w:p w14:paraId="74DDC4E6" w14:textId="77777777" w:rsidR="00584EC1" w:rsidRDefault="00584EC1">
            <w:pPr>
              <w:rPr>
                <w:rFonts w:ascii="宋体"/>
              </w:rPr>
            </w:pPr>
          </w:p>
        </w:tc>
        <w:tc>
          <w:tcPr>
            <w:tcW w:w="50" w:type="pct"/>
            <w:shd w:val="clear" w:color="auto" w:fill="auto"/>
            <w:vAlign w:val="bottom"/>
          </w:tcPr>
          <w:p w14:paraId="74DDC4E7" w14:textId="77777777" w:rsidR="00584EC1" w:rsidRDefault="00584EC1">
            <w:pPr>
              <w:rPr>
                <w:rFonts w:ascii="宋体"/>
              </w:rPr>
            </w:pPr>
          </w:p>
        </w:tc>
        <w:tc>
          <w:tcPr>
            <w:tcW w:w="668" w:type="pct"/>
            <w:shd w:val="clear" w:color="auto" w:fill="auto"/>
            <w:vAlign w:val="bottom"/>
          </w:tcPr>
          <w:p w14:paraId="74DDC4E8" w14:textId="77777777" w:rsidR="00584EC1" w:rsidRDefault="00584EC1">
            <w:pPr>
              <w:rPr>
                <w:rFonts w:ascii="宋体"/>
              </w:rPr>
            </w:pPr>
          </w:p>
        </w:tc>
        <w:tc>
          <w:tcPr>
            <w:tcW w:w="5" w:type="pct"/>
            <w:shd w:val="clear" w:color="auto" w:fill="auto"/>
            <w:vAlign w:val="bottom"/>
          </w:tcPr>
          <w:p w14:paraId="74DDC4E9" w14:textId="77777777" w:rsidR="00584EC1" w:rsidRDefault="00584EC1">
            <w:pPr>
              <w:rPr>
                <w:rFonts w:ascii="宋体"/>
              </w:rPr>
            </w:pPr>
          </w:p>
        </w:tc>
        <w:tc>
          <w:tcPr>
            <w:tcW w:w="50" w:type="pct"/>
            <w:shd w:val="clear" w:color="auto" w:fill="auto"/>
            <w:vAlign w:val="bottom"/>
          </w:tcPr>
          <w:p w14:paraId="74DDC4EA" w14:textId="77777777" w:rsidR="00584EC1" w:rsidRDefault="00584EC1">
            <w:pPr>
              <w:rPr>
                <w:rFonts w:ascii="宋体"/>
              </w:rPr>
            </w:pPr>
          </w:p>
        </w:tc>
        <w:tc>
          <w:tcPr>
            <w:tcW w:w="909" w:type="pct"/>
            <w:shd w:val="clear" w:color="auto" w:fill="auto"/>
            <w:vAlign w:val="bottom"/>
          </w:tcPr>
          <w:p w14:paraId="74DDC4EB" w14:textId="77777777" w:rsidR="00584EC1" w:rsidRDefault="00584EC1">
            <w:pPr>
              <w:rPr>
                <w:rFonts w:ascii="宋体"/>
              </w:rPr>
            </w:pPr>
          </w:p>
        </w:tc>
        <w:tc>
          <w:tcPr>
            <w:tcW w:w="5" w:type="pct"/>
            <w:shd w:val="clear" w:color="auto" w:fill="auto"/>
            <w:vAlign w:val="bottom"/>
          </w:tcPr>
          <w:p w14:paraId="74DDC4EC" w14:textId="77777777" w:rsidR="00584EC1" w:rsidRDefault="00584EC1">
            <w:pPr>
              <w:rPr>
                <w:rFonts w:ascii="宋体"/>
              </w:rPr>
            </w:pPr>
          </w:p>
        </w:tc>
        <w:tc>
          <w:tcPr>
            <w:tcW w:w="50" w:type="pct"/>
            <w:shd w:val="clear" w:color="auto" w:fill="auto"/>
            <w:vAlign w:val="bottom"/>
          </w:tcPr>
          <w:p w14:paraId="74DDC4ED" w14:textId="77777777" w:rsidR="00584EC1" w:rsidRDefault="00584EC1">
            <w:pPr>
              <w:rPr>
                <w:rFonts w:ascii="宋体"/>
              </w:rPr>
            </w:pPr>
          </w:p>
        </w:tc>
        <w:tc>
          <w:tcPr>
            <w:tcW w:w="1852" w:type="pct"/>
            <w:shd w:val="clear" w:color="auto" w:fill="auto"/>
            <w:vAlign w:val="bottom"/>
          </w:tcPr>
          <w:p w14:paraId="74DDC4EE" w14:textId="77777777" w:rsidR="00584EC1" w:rsidRDefault="00584EC1">
            <w:pPr>
              <w:rPr>
                <w:rFonts w:ascii="宋体"/>
              </w:rPr>
            </w:pPr>
          </w:p>
        </w:tc>
        <w:tc>
          <w:tcPr>
            <w:tcW w:w="5" w:type="pct"/>
            <w:shd w:val="clear" w:color="auto" w:fill="auto"/>
            <w:vAlign w:val="bottom"/>
          </w:tcPr>
          <w:p w14:paraId="74DDC4EF" w14:textId="77777777" w:rsidR="00584EC1" w:rsidRDefault="00584EC1">
            <w:pPr>
              <w:rPr>
                <w:rFonts w:ascii="宋体"/>
              </w:rPr>
            </w:pPr>
          </w:p>
        </w:tc>
      </w:tr>
      <w:tr w:rsidR="00584EC1" w14:paraId="74DDC4F5"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4DDC4F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4F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4F3"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4F4" w14:textId="77777777" w:rsidR="00584EC1" w:rsidRDefault="00584EC1">
            <w:pPr>
              <w:rPr>
                <w:rFonts w:ascii="宋体"/>
              </w:rPr>
            </w:pPr>
          </w:p>
        </w:tc>
      </w:tr>
    </w:tbl>
    <w:p w14:paraId="74DDC4F6" w14:textId="77777777" w:rsidR="00584EC1" w:rsidRDefault="00871F8D">
      <w:pPr>
        <w:jc w:val="both"/>
      </w:pPr>
      <w:r>
        <w:rPr>
          <w:rFonts w:ascii="Arial" w:eastAsia="宋体" w:hAnsi="Arial" w:cs="Arial"/>
          <w:color w:val="000000"/>
          <w:sz w:val="7"/>
          <w:szCs w:val="7"/>
        </w:rPr>
        <w:t>(1)</w:t>
      </w:r>
      <w:r>
        <w:rPr>
          <w:rFonts w:ascii="Arial" w:eastAsia="宋体" w:hAnsi="Arial" w:cs="Arial"/>
          <w:color w:val="000000"/>
          <w:sz w:val="12"/>
          <w:szCs w:val="12"/>
        </w:rPr>
        <w:t xml:space="preserve"> Total realized and unrealized gains (losses) on AFS investment securities are included within gains (losses) related to investment securities, net. Total realized and unrealized gains (losses) on derivative instruments are included within foreign exchange</w:t>
      </w:r>
      <w:r>
        <w:rPr>
          <w:rFonts w:ascii="Arial" w:eastAsia="宋体" w:hAnsi="Arial" w:cs="Arial"/>
          <w:color w:val="000000"/>
          <w:sz w:val="12"/>
          <w:szCs w:val="12"/>
        </w:rPr>
        <w:t xml:space="preserve"> trading services.</w:t>
      </w:r>
    </w:p>
    <w:p w14:paraId="74DDC4F7" w14:textId="77777777" w:rsidR="00584EC1" w:rsidRDefault="00871F8D">
      <w:pPr>
        <w:ind w:firstLine="450"/>
        <w:jc w:val="right"/>
      </w:pPr>
      <w:r>
        <w:rPr>
          <w:rFonts w:ascii="Arial" w:eastAsia="宋体" w:hAnsi="Arial" w:cs="Arial"/>
          <w:color w:val="000000"/>
          <w:sz w:val="18"/>
          <w:szCs w:val="18"/>
        </w:rPr>
        <w:t>State Street Corporation | 62</w:t>
      </w:r>
    </w:p>
    <w:p w14:paraId="74DDC4F8" w14:textId="77777777" w:rsidR="00584EC1" w:rsidRDefault="00584EC1">
      <w:pPr>
        <w:ind w:firstLine="450"/>
        <w:jc w:val="center"/>
      </w:pPr>
    </w:p>
    <w:p w14:paraId="74DDC4F9" w14:textId="77777777" w:rsidR="00584EC1" w:rsidRDefault="00871F8D">
      <w:r>
        <w:pict w14:anchorId="74DE2A2C">
          <v:rect id="_x0000_i1086" style="width:415.3pt;height:1.5pt" o:hralign="center" o:hrstd="t" o:hr="t" fillcolor="#a0a0a0" stroked="f"/>
        </w:pict>
      </w:r>
    </w:p>
    <w:p w14:paraId="74DDC4FA" w14:textId="77777777" w:rsidR="00584EC1" w:rsidRDefault="00871F8D">
      <w:pPr>
        <w:ind w:firstLine="450"/>
        <w:jc w:val="center"/>
      </w:pPr>
      <w:r>
        <w:rPr>
          <w:rFonts w:ascii="Arial" w:eastAsia="宋体" w:hAnsi="Arial" w:cs="Arial"/>
          <w:b/>
          <w:bCs/>
          <w:color w:val="000000"/>
          <w:sz w:val="20"/>
          <w:szCs w:val="20"/>
        </w:rPr>
        <w:t>STATE STREET CORPORATION</w:t>
      </w:r>
    </w:p>
    <w:p w14:paraId="74DDC4FB" w14:textId="77777777" w:rsidR="00584EC1" w:rsidRDefault="00871F8D">
      <w:pPr>
        <w:ind w:firstLine="450"/>
        <w:jc w:val="center"/>
      </w:pPr>
      <w:r>
        <w:rPr>
          <w:rFonts w:ascii="Arial" w:eastAsia="宋体" w:hAnsi="Arial" w:cs="Arial"/>
          <w:b/>
          <w:bCs/>
          <w:color w:val="000000"/>
          <w:sz w:val="20"/>
          <w:szCs w:val="20"/>
        </w:rPr>
        <w:t>CONDENSED NOTES TO CONSOLIDATED FINANCIAL STATEMENTS</w:t>
      </w:r>
    </w:p>
    <w:p w14:paraId="74DDC4FC" w14:textId="77777777" w:rsidR="00584EC1" w:rsidRDefault="00871F8D">
      <w:pPr>
        <w:ind w:firstLine="450"/>
        <w:jc w:val="center"/>
      </w:pPr>
      <w:r>
        <w:rPr>
          <w:rFonts w:ascii="Arial" w:eastAsia="宋体" w:hAnsi="Arial" w:cs="Arial"/>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70"/>
        <w:gridCol w:w="836"/>
        <w:gridCol w:w="35"/>
        <w:gridCol w:w="84"/>
        <w:gridCol w:w="494"/>
        <w:gridCol w:w="35"/>
        <w:gridCol w:w="36"/>
        <w:gridCol w:w="35"/>
        <w:gridCol w:w="35"/>
        <w:gridCol w:w="86"/>
        <w:gridCol w:w="531"/>
        <w:gridCol w:w="36"/>
        <w:gridCol w:w="37"/>
        <w:gridCol w:w="36"/>
        <w:gridCol w:w="36"/>
        <w:gridCol w:w="90"/>
        <w:gridCol w:w="780"/>
        <w:gridCol w:w="36"/>
        <w:gridCol w:w="36"/>
        <w:gridCol w:w="36"/>
        <w:gridCol w:w="36"/>
        <w:gridCol w:w="87"/>
        <w:gridCol w:w="511"/>
        <w:gridCol w:w="36"/>
        <w:gridCol w:w="36"/>
        <w:gridCol w:w="36"/>
        <w:gridCol w:w="36"/>
        <w:gridCol w:w="36"/>
        <w:gridCol w:w="36"/>
        <w:gridCol w:w="85"/>
        <w:gridCol w:w="260"/>
        <w:gridCol w:w="36"/>
        <w:gridCol w:w="36"/>
        <w:gridCol w:w="36"/>
        <w:gridCol w:w="36"/>
        <w:gridCol w:w="86"/>
        <w:gridCol w:w="580"/>
        <w:gridCol w:w="36"/>
        <w:gridCol w:w="36"/>
        <w:gridCol w:w="36"/>
        <w:gridCol w:w="36"/>
        <w:gridCol w:w="86"/>
        <w:gridCol w:w="456"/>
        <w:gridCol w:w="36"/>
        <w:gridCol w:w="36"/>
        <w:gridCol w:w="36"/>
        <w:gridCol w:w="36"/>
        <w:gridCol w:w="86"/>
        <w:gridCol w:w="456"/>
        <w:gridCol w:w="36"/>
        <w:gridCol w:w="36"/>
        <w:gridCol w:w="36"/>
        <w:gridCol w:w="36"/>
        <w:gridCol w:w="85"/>
        <w:gridCol w:w="545"/>
        <w:gridCol w:w="36"/>
        <w:gridCol w:w="36"/>
        <w:gridCol w:w="36"/>
        <w:gridCol w:w="677"/>
      </w:tblGrid>
      <w:tr w:rsidR="00584EC1" w14:paraId="74DDC538" w14:textId="77777777">
        <w:tc>
          <w:tcPr>
            <w:tcW w:w="50" w:type="pct"/>
            <w:shd w:val="clear" w:color="auto" w:fill="auto"/>
            <w:vAlign w:val="bottom"/>
          </w:tcPr>
          <w:p w14:paraId="74DDC4FD" w14:textId="77777777" w:rsidR="00584EC1" w:rsidRDefault="00584EC1">
            <w:pPr>
              <w:rPr>
                <w:rFonts w:ascii="宋体"/>
              </w:rPr>
            </w:pPr>
          </w:p>
        </w:tc>
        <w:tc>
          <w:tcPr>
            <w:tcW w:w="734" w:type="pct"/>
            <w:shd w:val="clear" w:color="auto" w:fill="auto"/>
            <w:vAlign w:val="bottom"/>
          </w:tcPr>
          <w:p w14:paraId="74DDC4FE" w14:textId="77777777" w:rsidR="00584EC1" w:rsidRDefault="00584EC1">
            <w:pPr>
              <w:rPr>
                <w:rFonts w:ascii="宋体"/>
              </w:rPr>
            </w:pPr>
          </w:p>
        </w:tc>
        <w:tc>
          <w:tcPr>
            <w:tcW w:w="5" w:type="pct"/>
            <w:shd w:val="clear" w:color="auto" w:fill="auto"/>
            <w:vAlign w:val="bottom"/>
          </w:tcPr>
          <w:p w14:paraId="74DDC4FF" w14:textId="77777777" w:rsidR="00584EC1" w:rsidRDefault="00584EC1">
            <w:pPr>
              <w:rPr>
                <w:rFonts w:ascii="宋体"/>
              </w:rPr>
            </w:pPr>
          </w:p>
        </w:tc>
        <w:tc>
          <w:tcPr>
            <w:tcW w:w="50" w:type="pct"/>
            <w:shd w:val="clear" w:color="auto" w:fill="auto"/>
            <w:vAlign w:val="bottom"/>
          </w:tcPr>
          <w:p w14:paraId="74DDC500" w14:textId="77777777" w:rsidR="00584EC1" w:rsidRDefault="00584EC1">
            <w:pPr>
              <w:rPr>
                <w:rFonts w:ascii="宋体"/>
              </w:rPr>
            </w:pPr>
          </w:p>
        </w:tc>
        <w:tc>
          <w:tcPr>
            <w:tcW w:w="354" w:type="pct"/>
            <w:shd w:val="clear" w:color="auto" w:fill="auto"/>
            <w:vAlign w:val="bottom"/>
          </w:tcPr>
          <w:p w14:paraId="74DDC501" w14:textId="77777777" w:rsidR="00584EC1" w:rsidRDefault="00584EC1">
            <w:pPr>
              <w:rPr>
                <w:rFonts w:ascii="宋体"/>
              </w:rPr>
            </w:pPr>
          </w:p>
        </w:tc>
        <w:tc>
          <w:tcPr>
            <w:tcW w:w="5" w:type="pct"/>
            <w:shd w:val="clear" w:color="auto" w:fill="auto"/>
            <w:vAlign w:val="bottom"/>
          </w:tcPr>
          <w:p w14:paraId="74DDC502" w14:textId="77777777" w:rsidR="00584EC1" w:rsidRDefault="00584EC1">
            <w:pPr>
              <w:rPr>
                <w:rFonts w:ascii="宋体"/>
              </w:rPr>
            </w:pPr>
          </w:p>
        </w:tc>
        <w:tc>
          <w:tcPr>
            <w:tcW w:w="5" w:type="pct"/>
            <w:shd w:val="clear" w:color="auto" w:fill="auto"/>
            <w:vAlign w:val="bottom"/>
          </w:tcPr>
          <w:p w14:paraId="74DDC503" w14:textId="77777777" w:rsidR="00584EC1" w:rsidRDefault="00584EC1">
            <w:pPr>
              <w:rPr>
                <w:rFonts w:ascii="宋体"/>
              </w:rPr>
            </w:pPr>
          </w:p>
        </w:tc>
        <w:tc>
          <w:tcPr>
            <w:tcW w:w="19" w:type="pct"/>
            <w:shd w:val="clear" w:color="auto" w:fill="auto"/>
            <w:vAlign w:val="bottom"/>
          </w:tcPr>
          <w:p w14:paraId="74DDC504" w14:textId="77777777" w:rsidR="00584EC1" w:rsidRDefault="00584EC1">
            <w:pPr>
              <w:rPr>
                <w:rFonts w:ascii="宋体"/>
              </w:rPr>
            </w:pPr>
          </w:p>
        </w:tc>
        <w:tc>
          <w:tcPr>
            <w:tcW w:w="5" w:type="pct"/>
            <w:shd w:val="clear" w:color="auto" w:fill="auto"/>
            <w:vAlign w:val="bottom"/>
          </w:tcPr>
          <w:p w14:paraId="74DDC505" w14:textId="77777777" w:rsidR="00584EC1" w:rsidRDefault="00584EC1">
            <w:pPr>
              <w:rPr>
                <w:rFonts w:ascii="宋体"/>
              </w:rPr>
            </w:pPr>
          </w:p>
        </w:tc>
        <w:tc>
          <w:tcPr>
            <w:tcW w:w="50" w:type="pct"/>
            <w:shd w:val="clear" w:color="auto" w:fill="auto"/>
            <w:vAlign w:val="bottom"/>
          </w:tcPr>
          <w:p w14:paraId="74DDC506" w14:textId="77777777" w:rsidR="00584EC1" w:rsidRDefault="00584EC1">
            <w:pPr>
              <w:rPr>
                <w:rFonts w:ascii="宋体"/>
              </w:rPr>
            </w:pPr>
          </w:p>
        </w:tc>
        <w:tc>
          <w:tcPr>
            <w:tcW w:w="317" w:type="pct"/>
            <w:shd w:val="clear" w:color="auto" w:fill="auto"/>
            <w:vAlign w:val="bottom"/>
          </w:tcPr>
          <w:p w14:paraId="74DDC507" w14:textId="77777777" w:rsidR="00584EC1" w:rsidRDefault="00584EC1">
            <w:pPr>
              <w:rPr>
                <w:rFonts w:ascii="宋体"/>
              </w:rPr>
            </w:pPr>
          </w:p>
        </w:tc>
        <w:tc>
          <w:tcPr>
            <w:tcW w:w="5" w:type="pct"/>
            <w:shd w:val="clear" w:color="auto" w:fill="auto"/>
            <w:vAlign w:val="bottom"/>
          </w:tcPr>
          <w:p w14:paraId="74DDC508" w14:textId="77777777" w:rsidR="00584EC1" w:rsidRDefault="00584EC1">
            <w:pPr>
              <w:rPr>
                <w:rFonts w:ascii="宋体"/>
              </w:rPr>
            </w:pPr>
          </w:p>
        </w:tc>
        <w:tc>
          <w:tcPr>
            <w:tcW w:w="5" w:type="pct"/>
            <w:shd w:val="clear" w:color="auto" w:fill="auto"/>
            <w:vAlign w:val="bottom"/>
          </w:tcPr>
          <w:p w14:paraId="74DDC509" w14:textId="77777777" w:rsidR="00584EC1" w:rsidRDefault="00584EC1">
            <w:pPr>
              <w:rPr>
                <w:rFonts w:ascii="宋体"/>
              </w:rPr>
            </w:pPr>
          </w:p>
        </w:tc>
        <w:tc>
          <w:tcPr>
            <w:tcW w:w="19" w:type="pct"/>
            <w:shd w:val="clear" w:color="auto" w:fill="auto"/>
            <w:vAlign w:val="bottom"/>
          </w:tcPr>
          <w:p w14:paraId="74DDC50A" w14:textId="77777777" w:rsidR="00584EC1" w:rsidRDefault="00584EC1">
            <w:pPr>
              <w:rPr>
                <w:rFonts w:ascii="宋体"/>
              </w:rPr>
            </w:pPr>
          </w:p>
        </w:tc>
        <w:tc>
          <w:tcPr>
            <w:tcW w:w="5" w:type="pct"/>
            <w:shd w:val="clear" w:color="auto" w:fill="auto"/>
            <w:vAlign w:val="bottom"/>
          </w:tcPr>
          <w:p w14:paraId="74DDC50B" w14:textId="77777777" w:rsidR="00584EC1" w:rsidRDefault="00584EC1">
            <w:pPr>
              <w:rPr>
                <w:rFonts w:ascii="宋体"/>
              </w:rPr>
            </w:pPr>
          </w:p>
        </w:tc>
        <w:tc>
          <w:tcPr>
            <w:tcW w:w="50" w:type="pct"/>
            <w:shd w:val="clear" w:color="auto" w:fill="auto"/>
            <w:vAlign w:val="bottom"/>
          </w:tcPr>
          <w:p w14:paraId="74DDC50C" w14:textId="77777777" w:rsidR="00584EC1" w:rsidRDefault="00584EC1">
            <w:pPr>
              <w:rPr>
                <w:rFonts w:ascii="宋体"/>
              </w:rPr>
            </w:pPr>
          </w:p>
        </w:tc>
        <w:tc>
          <w:tcPr>
            <w:tcW w:w="449" w:type="pct"/>
            <w:shd w:val="clear" w:color="auto" w:fill="auto"/>
            <w:vAlign w:val="bottom"/>
          </w:tcPr>
          <w:p w14:paraId="74DDC50D" w14:textId="77777777" w:rsidR="00584EC1" w:rsidRDefault="00584EC1">
            <w:pPr>
              <w:rPr>
                <w:rFonts w:ascii="宋体"/>
              </w:rPr>
            </w:pPr>
          </w:p>
        </w:tc>
        <w:tc>
          <w:tcPr>
            <w:tcW w:w="5" w:type="pct"/>
            <w:shd w:val="clear" w:color="auto" w:fill="auto"/>
            <w:vAlign w:val="bottom"/>
          </w:tcPr>
          <w:p w14:paraId="74DDC50E" w14:textId="77777777" w:rsidR="00584EC1" w:rsidRDefault="00584EC1">
            <w:pPr>
              <w:rPr>
                <w:rFonts w:ascii="宋体"/>
              </w:rPr>
            </w:pPr>
          </w:p>
        </w:tc>
        <w:tc>
          <w:tcPr>
            <w:tcW w:w="5" w:type="pct"/>
            <w:shd w:val="clear" w:color="auto" w:fill="auto"/>
            <w:vAlign w:val="bottom"/>
          </w:tcPr>
          <w:p w14:paraId="74DDC50F" w14:textId="77777777" w:rsidR="00584EC1" w:rsidRDefault="00584EC1">
            <w:pPr>
              <w:rPr>
                <w:rFonts w:ascii="宋体"/>
              </w:rPr>
            </w:pPr>
          </w:p>
        </w:tc>
        <w:tc>
          <w:tcPr>
            <w:tcW w:w="19" w:type="pct"/>
            <w:shd w:val="clear" w:color="auto" w:fill="auto"/>
            <w:vAlign w:val="bottom"/>
          </w:tcPr>
          <w:p w14:paraId="74DDC510" w14:textId="77777777" w:rsidR="00584EC1" w:rsidRDefault="00584EC1">
            <w:pPr>
              <w:rPr>
                <w:rFonts w:ascii="宋体"/>
              </w:rPr>
            </w:pPr>
          </w:p>
        </w:tc>
        <w:tc>
          <w:tcPr>
            <w:tcW w:w="5" w:type="pct"/>
            <w:shd w:val="clear" w:color="auto" w:fill="auto"/>
            <w:vAlign w:val="bottom"/>
          </w:tcPr>
          <w:p w14:paraId="74DDC511" w14:textId="77777777" w:rsidR="00584EC1" w:rsidRDefault="00584EC1">
            <w:pPr>
              <w:rPr>
                <w:rFonts w:ascii="宋体"/>
              </w:rPr>
            </w:pPr>
          </w:p>
        </w:tc>
        <w:tc>
          <w:tcPr>
            <w:tcW w:w="50" w:type="pct"/>
            <w:shd w:val="clear" w:color="auto" w:fill="auto"/>
            <w:vAlign w:val="bottom"/>
          </w:tcPr>
          <w:p w14:paraId="74DDC512" w14:textId="77777777" w:rsidR="00584EC1" w:rsidRDefault="00584EC1">
            <w:pPr>
              <w:rPr>
                <w:rFonts w:ascii="宋体"/>
              </w:rPr>
            </w:pPr>
          </w:p>
        </w:tc>
        <w:tc>
          <w:tcPr>
            <w:tcW w:w="303" w:type="pct"/>
            <w:shd w:val="clear" w:color="auto" w:fill="auto"/>
            <w:vAlign w:val="bottom"/>
          </w:tcPr>
          <w:p w14:paraId="74DDC513" w14:textId="77777777" w:rsidR="00584EC1" w:rsidRDefault="00584EC1">
            <w:pPr>
              <w:rPr>
                <w:rFonts w:ascii="宋体"/>
              </w:rPr>
            </w:pPr>
          </w:p>
        </w:tc>
        <w:tc>
          <w:tcPr>
            <w:tcW w:w="5" w:type="pct"/>
            <w:shd w:val="clear" w:color="auto" w:fill="auto"/>
            <w:vAlign w:val="bottom"/>
          </w:tcPr>
          <w:p w14:paraId="74DDC514" w14:textId="77777777" w:rsidR="00584EC1" w:rsidRDefault="00584EC1">
            <w:pPr>
              <w:rPr>
                <w:rFonts w:ascii="宋体"/>
              </w:rPr>
            </w:pPr>
          </w:p>
        </w:tc>
        <w:tc>
          <w:tcPr>
            <w:tcW w:w="0" w:type="auto"/>
            <w:shd w:val="clear" w:color="auto" w:fill="auto"/>
            <w:vAlign w:val="bottom"/>
          </w:tcPr>
          <w:p w14:paraId="74DDC515" w14:textId="77777777" w:rsidR="00584EC1" w:rsidRDefault="00584EC1">
            <w:pPr>
              <w:rPr>
                <w:rFonts w:ascii="宋体"/>
                <w:vanish/>
              </w:rPr>
            </w:pPr>
          </w:p>
        </w:tc>
        <w:tc>
          <w:tcPr>
            <w:tcW w:w="0" w:type="auto"/>
            <w:shd w:val="clear" w:color="auto" w:fill="auto"/>
            <w:vAlign w:val="bottom"/>
          </w:tcPr>
          <w:p w14:paraId="74DDC516" w14:textId="77777777" w:rsidR="00584EC1" w:rsidRDefault="00584EC1">
            <w:pPr>
              <w:rPr>
                <w:rFonts w:ascii="宋体"/>
                <w:vanish/>
              </w:rPr>
            </w:pPr>
          </w:p>
        </w:tc>
        <w:tc>
          <w:tcPr>
            <w:tcW w:w="5" w:type="pct"/>
            <w:shd w:val="clear" w:color="auto" w:fill="auto"/>
            <w:vAlign w:val="bottom"/>
          </w:tcPr>
          <w:p w14:paraId="74DDC517" w14:textId="77777777" w:rsidR="00584EC1" w:rsidRDefault="00584EC1">
            <w:pPr>
              <w:rPr>
                <w:rFonts w:ascii="宋体"/>
              </w:rPr>
            </w:pPr>
          </w:p>
        </w:tc>
        <w:tc>
          <w:tcPr>
            <w:tcW w:w="19" w:type="pct"/>
            <w:shd w:val="clear" w:color="auto" w:fill="auto"/>
            <w:vAlign w:val="bottom"/>
          </w:tcPr>
          <w:p w14:paraId="74DDC518" w14:textId="77777777" w:rsidR="00584EC1" w:rsidRDefault="00584EC1">
            <w:pPr>
              <w:rPr>
                <w:rFonts w:ascii="宋体"/>
              </w:rPr>
            </w:pPr>
          </w:p>
        </w:tc>
        <w:tc>
          <w:tcPr>
            <w:tcW w:w="5" w:type="pct"/>
            <w:shd w:val="clear" w:color="auto" w:fill="auto"/>
            <w:vAlign w:val="bottom"/>
          </w:tcPr>
          <w:p w14:paraId="74DDC519" w14:textId="77777777" w:rsidR="00584EC1" w:rsidRDefault="00584EC1">
            <w:pPr>
              <w:rPr>
                <w:rFonts w:ascii="宋体"/>
              </w:rPr>
            </w:pPr>
          </w:p>
        </w:tc>
        <w:tc>
          <w:tcPr>
            <w:tcW w:w="50" w:type="pct"/>
            <w:shd w:val="clear" w:color="auto" w:fill="auto"/>
            <w:vAlign w:val="bottom"/>
          </w:tcPr>
          <w:p w14:paraId="74DDC51A" w14:textId="77777777" w:rsidR="00584EC1" w:rsidRDefault="00584EC1">
            <w:pPr>
              <w:rPr>
                <w:rFonts w:ascii="宋体"/>
              </w:rPr>
            </w:pPr>
          </w:p>
        </w:tc>
        <w:tc>
          <w:tcPr>
            <w:tcW w:w="200" w:type="pct"/>
            <w:shd w:val="clear" w:color="auto" w:fill="auto"/>
            <w:vAlign w:val="bottom"/>
          </w:tcPr>
          <w:p w14:paraId="74DDC51B" w14:textId="77777777" w:rsidR="00584EC1" w:rsidRDefault="00584EC1">
            <w:pPr>
              <w:rPr>
                <w:rFonts w:ascii="宋体"/>
              </w:rPr>
            </w:pPr>
          </w:p>
        </w:tc>
        <w:tc>
          <w:tcPr>
            <w:tcW w:w="5" w:type="pct"/>
            <w:shd w:val="clear" w:color="auto" w:fill="auto"/>
            <w:vAlign w:val="bottom"/>
          </w:tcPr>
          <w:p w14:paraId="74DDC51C" w14:textId="77777777" w:rsidR="00584EC1" w:rsidRDefault="00584EC1">
            <w:pPr>
              <w:rPr>
                <w:rFonts w:ascii="宋体"/>
              </w:rPr>
            </w:pPr>
          </w:p>
        </w:tc>
        <w:tc>
          <w:tcPr>
            <w:tcW w:w="5" w:type="pct"/>
            <w:shd w:val="clear" w:color="auto" w:fill="auto"/>
            <w:vAlign w:val="bottom"/>
          </w:tcPr>
          <w:p w14:paraId="74DDC51D" w14:textId="77777777" w:rsidR="00584EC1" w:rsidRDefault="00584EC1">
            <w:pPr>
              <w:rPr>
                <w:rFonts w:ascii="宋体"/>
              </w:rPr>
            </w:pPr>
          </w:p>
        </w:tc>
        <w:tc>
          <w:tcPr>
            <w:tcW w:w="19" w:type="pct"/>
            <w:shd w:val="clear" w:color="auto" w:fill="auto"/>
            <w:vAlign w:val="bottom"/>
          </w:tcPr>
          <w:p w14:paraId="74DDC51E" w14:textId="77777777" w:rsidR="00584EC1" w:rsidRDefault="00584EC1">
            <w:pPr>
              <w:rPr>
                <w:rFonts w:ascii="宋体"/>
              </w:rPr>
            </w:pPr>
          </w:p>
        </w:tc>
        <w:tc>
          <w:tcPr>
            <w:tcW w:w="5" w:type="pct"/>
            <w:shd w:val="clear" w:color="auto" w:fill="auto"/>
            <w:vAlign w:val="bottom"/>
          </w:tcPr>
          <w:p w14:paraId="74DDC51F" w14:textId="77777777" w:rsidR="00584EC1" w:rsidRDefault="00584EC1">
            <w:pPr>
              <w:rPr>
                <w:rFonts w:ascii="宋体"/>
              </w:rPr>
            </w:pPr>
          </w:p>
        </w:tc>
        <w:tc>
          <w:tcPr>
            <w:tcW w:w="50" w:type="pct"/>
            <w:shd w:val="clear" w:color="auto" w:fill="auto"/>
            <w:vAlign w:val="bottom"/>
          </w:tcPr>
          <w:p w14:paraId="74DDC520" w14:textId="77777777" w:rsidR="00584EC1" w:rsidRDefault="00584EC1">
            <w:pPr>
              <w:rPr>
                <w:rFonts w:ascii="宋体"/>
              </w:rPr>
            </w:pPr>
          </w:p>
        </w:tc>
        <w:tc>
          <w:tcPr>
            <w:tcW w:w="347" w:type="pct"/>
            <w:shd w:val="clear" w:color="auto" w:fill="auto"/>
            <w:vAlign w:val="bottom"/>
          </w:tcPr>
          <w:p w14:paraId="74DDC521" w14:textId="77777777" w:rsidR="00584EC1" w:rsidRDefault="00584EC1">
            <w:pPr>
              <w:rPr>
                <w:rFonts w:ascii="宋体"/>
              </w:rPr>
            </w:pPr>
          </w:p>
        </w:tc>
        <w:tc>
          <w:tcPr>
            <w:tcW w:w="5" w:type="pct"/>
            <w:shd w:val="clear" w:color="auto" w:fill="auto"/>
            <w:vAlign w:val="bottom"/>
          </w:tcPr>
          <w:p w14:paraId="74DDC522" w14:textId="77777777" w:rsidR="00584EC1" w:rsidRDefault="00584EC1">
            <w:pPr>
              <w:rPr>
                <w:rFonts w:ascii="宋体"/>
              </w:rPr>
            </w:pPr>
          </w:p>
        </w:tc>
        <w:tc>
          <w:tcPr>
            <w:tcW w:w="5" w:type="pct"/>
            <w:shd w:val="clear" w:color="auto" w:fill="auto"/>
            <w:vAlign w:val="bottom"/>
          </w:tcPr>
          <w:p w14:paraId="74DDC523" w14:textId="77777777" w:rsidR="00584EC1" w:rsidRDefault="00584EC1">
            <w:pPr>
              <w:rPr>
                <w:rFonts w:ascii="宋体"/>
              </w:rPr>
            </w:pPr>
          </w:p>
        </w:tc>
        <w:tc>
          <w:tcPr>
            <w:tcW w:w="19" w:type="pct"/>
            <w:shd w:val="clear" w:color="auto" w:fill="auto"/>
            <w:vAlign w:val="bottom"/>
          </w:tcPr>
          <w:p w14:paraId="74DDC524" w14:textId="77777777" w:rsidR="00584EC1" w:rsidRDefault="00584EC1">
            <w:pPr>
              <w:rPr>
                <w:rFonts w:ascii="宋体"/>
              </w:rPr>
            </w:pPr>
          </w:p>
        </w:tc>
        <w:tc>
          <w:tcPr>
            <w:tcW w:w="5" w:type="pct"/>
            <w:shd w:val="clear" w:color="auto" w:fill="auto"/>
            <w:vAlign w:val="bottom"/>
          </w:tcPr>
          <w:p w14:paraId="74DDC525" w14:textId="77777777" w:rsidR="00584EC1" w:rsidRDefault="00584EC1">
            <w:pPr>
              <w:rPr>
                <w:rFonts w:ascii="宋体"/>
              </w:rPr>
            </w:pPr>
          </w:p>
        </w:tc>
        <w:tc>
          <w:tcPr>
            <w:tcW w:w="50" w:type="pct"/>
            <w:shd w:val="clear" w:color="auto" w:fill="auto"/>
            <w:vAlign w:val="bottom"/>
          </w:tcPr>
          <w:p w14:paraId="74DDC526" w14:textId="77777777" w:rsidR="00584EC1" w:rsidRDefault="00584EC1">
            <w:pPr>
              <w:rPr>
                <w:rFonts w:ascii="宋体"/>
              </w:rPr>
            </w:pPr>
          </w:p>
        </w:tc>
        <w:tc>
          <w:tcPr>
            <w:tcW w:w="273" w:type="pct"/>
            <w:shd w:val="clear" w:color="auto" w:fill="auto"/>
            <w:vAlign w:val="bottom"/>
          </w:tcPr>
          <w:p w14:paraId="74DDC527" w14:textId="77777777" w:rsidR="00584EC1" w:rsidRDefault="00584EC1">
            <w:pPr>
              <w:rPr>
                <w:rFonts w:ascii="宋体"/>
              </w:rPr>
            </w:pPr>
          </w:p>
        </w:tc>
        <w:tc>
          <w:tcPr>
            <w:tcW w:w="5" w:type="pct"/>
            <w:shd w:val="clear" w:color="auto" w:fill="auto"/>
            <w:vAlign w:val="bottom"/>
          </w:tcPr>
          <w:p w14:paraId="74DDC528" w14:textId="77777777" w:rsidR="00584EC1" w:rsidRDefault="00584EC1">
            <w:pPr>
              <w:rPr>
                <w:rFonts w:ascii="宋体"/>
              </w:rPr>
            </w:pPr>
          </w:p>
        </w:tc>
        <w:tc>
          <w:tcPr>
            <w:tcW w:w="5" w:type="pct"/>
            <w:shd w:val="clear" w:color="auto" w:fill="auto"/>
            <w:vAlign w:val="bottom"/>
          </w:tcPr>
          <w:p w14:paraId="74DDC529" w14:textId="77777777" w:rsidR="00584EC1" w:rsidRDefault="00584EC1">
            <w:pPr>
              <w:rPr>
                <w:rFonts w:ascii="宋体"/>
              </w:rPr>
            </w:pPr>
          </w:p>
        </w:tc>
        <w:tc>
          <w:tcPr>
            <w:tcW w:w="19" w:type="pct"/>
            <w:shd w:val="clear" w:color="auto" w:fill="auto"/>
            <w:vAlign w:val="bottom"/>
          </w:tcPr>
          <w:p w14:paraId="74DDC52A" w14:textId="77777777" w:rsidR="00584EC1" w:rsidRDefault="00584EC1">
            <w:pPr>
              <w:rPr>
                <w:rFonts w:ascii="宋体"/>
              </w:rPr>
            </w:pPr>
          </w:p>
        </w:tc>
        <w:tc>
          <w:tcPr>
            <w:tcW w:w="5" w:type="pct"/>
            <w:shd w:val="clear" w:color="auto" w:fill="auto"/>
            <w:vAlign w:val="bottom"/>
          </w:tcPr>
          <w:p w14:paraId="74DDC52B" w14:textId="77777777" w:rsidR="00584EC1" w:rsidRDefault="00584EC1">
            <w:pPr>
              <w:rPr>
                <w:rFonts w:ascii="宋体"/>
              </w:rPr>
            </w:pPr>
          </w:p>
        </w:tc>
        <w:tc>
          <w:tcPr>
            <w:tcW w:w="50" w:type="pct"/>
            <w:shd w:val="clear" w:color="auto" w:fill="auto"/>
            <w:vAlign w:val="bottom"/>
          </w:tcPr>
          <w:p w14:paraId="74DDC52C" w14:textId="77777777" w:rsidR="00584EC1" w:rsidRDefault="00584EC1">
            <w:pPr>
              <w:rPr>
                <w:rFonts w:ascii="宋体"/>
              </w:rPr>
            </w:pPr>
          </w:p>
        </w:tc>
        <w:tc>
          <w:tcPr>
            <w:tcW w:w="273" w:type="pct"/>
            <w:shd w:val="clear" w:color="auto" w:fill="auto"/>
            <w:vAlign w:val="bottom"/>
          </w:tcPr>
          <w:p w14:paraId="74DDC52D" w14:textId="77777777" w:rsidR="00584EC1" w:rsidRDefault="00584EC1">
            <w:pPr>
              <w:rPr>
                <w:rFonts w:ascii="宋体"/>
              </w:rPr>
            </w:pPr>
          </w:p>
        </w:tc>
        <w:tc>
          <w:tcPr>
            <w:tcW w:w="5" w:type="pct"/>
            <w:shd w:val="clear" w:color="auto" w:fill="auto"/>
            <w:vAlign w:val="bottom"/>
          </w:tcPr>
          <w:p w14:paraId="74DDC52E" w14:textId="77777777" w:rsidR="00584EC1" w:rsidRDefault="00584EC1">
            <w:pPr>
              <w:rPr>
                <w:rFonts w:ascii="宋体"/>
              </w:rPr>
            </w:pPr>
          </w:p>
        </w:tc>
        <w:tc>
          <w:tcPr>
            <w:tcW w:w="5" w:type="pct"/>
            <w:shd w:val="clear" w:color="auto" w:fill="auto"/>
            <w:vAlign w:val="bottom"/>
          </w:tcPr>
          <w:p w14:paraId="74DDC52F" w14:textId="77777777" w:rsidR="00584EC1" w:rsidRDefault="00584EC1">
            <w:pPr>
              <w:rPr>
                <w:rFonts w:ascii="宋体"/>
              </w:rPr>
            </w:pPr>
          </w:p>
        </w:tc>
        <w:tc>
          <w:tcPr>
            <w:tcW w:w="19" w:type="pct"/>
            <w:shd w:val="clear" w:color="auto" w:fill="auto"/>
            <w:vAlign w:val="bottom"/>
          </w:tcPr>
          <w:p w14:paraId="74DDC530" w14:textId="77777777" w:rsidR="00584EC1" w:rsidRDefault="00584EC1">
            <w:pPr>
              <w:rPr>
                <w:rFonts w:ascii="宋体"/>
              </w:rPr>
            </w:pPr>
          </w:p>
        </w:tc>
        <w:tc>
          <w:tcPr>
            <w:tcW w:w="5" w:type="pct"/>
            <w:shd w:val="clear" w:color="auto" w:fill="auto"/>
            <w:vAlign w:val="bottom"/>
          </w:tcPr>
          <w:p w14:paraId="74DDC531" w14:textId="77777777" w:rsidR="00584EC1" w:rsidRDefault="00584EC1">
            <w:pPr>
              <w:rPr>
                <w:rFonts w:ascii="宋体"/>
              </w:rPr>
            </w:pPr>
          </w:p>
        </w:tc>
        <w:tc>
          <w:tcPr>
            <w:tcW w:w="50" w:type="pct"/>
            <w:shd w:val="clear" w:color="auto" w:fill="auto"/>
            <w:vAlign w:val="bottom"/>
          </w:tcPr>
          <w:p w14:paraId="74DDC532" w14:textId="77777777" w:rsidR="00584EC1" w:rsidRDefault="00584EC1">
            <w:pPr>
              <w:rPr>
                <w:rFonts w:ascii="宋体"/>
              </w:rPr>
            </w:pPr>
          </w:p>
        </w:tc>
        <w:tc>
          <w:tcPr>
            <w:tcW w:w="420" w:type="pct"/>
            <w:shd w:val="clear" w:color="auto" w:fill="auto"/>
            <w:vAlign w:val="bottom"/>
          </w:tcPr>
          <w:p w14:paraId="74DDC533" w14:textId="77777777" w:rsidR="00584EC1" w:rsidRDefault="00584EC1">
            <w:pPr>
              <w:rPr>
                <w:rFonts w:ascii="宋体"/>
              </w:rPr>
            </w:pPr>
          </w:p>
        </w:tc>
        <w:tc>
          <w:tcPr>
            <w:tcW w:w="5" w:type="pct"/>
            <w:shd w:val="clear" w:color="auto" w:fill="auto"/>
            <w:vAlign w:val="bottom"/>
          </w:tcPr>
          <w:p w14:paraId="74DDC534" w14:textId="77777777" w:rsidR="00584EC1" w:rsidRDefault="00584EC1">
            <w:pPr>
              <w:rPr>
                <w:rFonts w:ascii="宋体"/>
              </w:rPr>
            </w:pPr>
          </w:p>
        </w:tc>
        <w:tc>
          <w:tcPr>
            <w:tcW w:w="5" w:type="pct"/>
            <w:shd w:val="clear" w:color="auto" w:fill="auto"/>
            <w:vAlign w:val="bottom"/>
          </w:tcPr>
          <w:p w14:paraId="74DDC535" w14:textId="77777777" w:rsidR="00584EC1" w:rsidRDefault="00584EC1">
            <w:pPr>
              <w:rPr>
                <w:rFonts w:ascii="宋体"/>
              </w:rPr>
            </w:pPr>
          </w:p>
        </w:tc>
        <w:tc>
          <w:tcPr>
            <w:tcW w:w="19" w:type="pct"/>
            <w:shd w:val="clear" w:color="auto" w:fill="auto"/>
            <w:vAlign w:val="bottom"/>
          </w:tcPr>
          <w:p w14:paraId="74DDC536" w14:textId="77777777" w:rsidR="00584EC1" w:rsidRDefault="00584EC1">
            <w:pPr>
              <w:rPr>
                <w:rFonts w:ascii="宋体"/>
              </w:rPr>
            </w:pPr>
          </w:p>
        </w:tc>
        <w:tc>
          <w:tcPr>
            <w:tcW w:w="5" w:type="pct"/>
            <w:shd w:val="clear" w:color="auto" w:fill="auto"/>
            <w:vAlign w:val="bottom"/>
          </w:tcPr>
          <w:p w14:paraId="74DDC537" w14:textId="77777777" w:rsidR="00584EC1" w:rsidRDefault="00584EC1">
            <w:pPr>
              <w:rPr>
                <w:rFonts w:ascii="宋体"/>
              </w:rPr>
            </w:pPr>
          </w:p>
        </w:tc>
      </w:tr>
      <w:tr w:rsidR="00584EC1" w14:paraId="74DDC53E" w14:textId="77777777">
        <w:tc>
          <w:tcPr>
            <w:tcW w:w="0" w:type="auto"/>
            <w:gridSpan w:val="3"/>
            <w:shd w:val="clear" w:color="auto" w:fill="auto"/>
            <w:tcMar>
              <w:top w:w="0" w:type="dxa"/>
              <w:left w:w="20" w:type="dxa"/>
              <w:bottom w:w="0" w:type="dxa"/>
              <w:right w:w="20" w:type="dxa"/>
            </w:tcMar>
            <w:vAlign w:val="bottom"/>
          </w:tcPr>
          <w:p w14:paraId="74DDC539" w14:textId="77777777" w:rsidR="00584EC1" w:rsidRDefault="00584EC1">
            <w:pPr>
              <w:rPr>
                <w:rFonts w:ascii="宋体"/>
              </w:rPr>
            </w:pPr>
          </w:p>
        </w:tc>
        <w:tc>
          <w:tcPr>
            <w:tcW w:w="0" w:type="auto"/>
            <w:gridSpan w:val="53"/>
            <w:shd w:val="clear" w:color="auto" w:fill="auto"/>
            <w:tcMar>
              <w:top w:w="40" w:type="dxa"/>
              <w:left w:w="20" w:type="dxa"/>
              <w:bottom w:w="40" w:type="dxa"/>
              <w:right w:w="20" w:type="dxa"/>
            </w:tcMar>
            <w:vAlign w:val="bottom"/>
          </w:tcPr>
          <w:p w14:paraId="74DDC53A" w14:textId="77777777" w:rsidR="00584EC1" w:rsidRDefault="00871F8D">
            <w:pPr>
              <w:jc w:val="center"/>
              <w:textAlignment w:val="bottom"/>
            </w:pPr>
            <w:r>
              <w:rPr>
                <w:rFonts w:ascii="Arial" w:eastAsia="宋体" w:hAnsi="Arial" w:cs="Arial"/>
                <w:b/>
                <w:bCs/>
                <w:color w:val="000000"/>
                <w:sz w:val="12"/>
                <w:szCs w:val="12"/>
              </w:rPr>
              <w:t>Fair Value Measurements Using Significant Unobservable Inputs</w:t>
            </w:r>
          </w:p>
        </w:tc>
        <w:tc>
          <w:tcPr>
            <w:tcW w:w="0" w:type="auto"/>
            <w:shd w:val="clear" w:color="auto" w:fill="auto"/>
            <w:vAlign w:val="bottom"/>
          </w:tcPr>
          <w:p w14:paraId="74DDC53B" w14:textId="77777777" w:rsidR="00584EC1" w:rsidRDefault="00584EC1">
            <w:pPr>
              <w:rPr>
                <w:rFonts w:ascii="宋体"/>
              </w:rPr>
            </w:pPr>
          </w:p>
        </w:tc>
        <w:tc>
          <w:tcPr>
            <w:tcW w:w="0" w:type="auto"/>
            <w:shd w:val="clear" w:color="auto" w:fill="auto"/>
            <w:vAlign w:val="bottom"/>
          </w:tcPr>
          <w:p w14:paraId="74DDC53C" w14:textId="77777777" w:rsidR="00584EC1" w:rsidRDefault="00584EC1">
            <w:pPr>
              <w:rPr>
                <w:rFonts w:ascii="宋体"/>
              </w:rPr>
            </w:pPr>
          </w:p>
        </w:tc>
        <w:tc>
          <w:tcPr>
            <w:tcW w:w="0" w:type="auto"/>
            <w:shd w:val="clear" w:color="auto" w:fill="auto"/>
            <w:vAlign w:val="bottom"/>
          </w:tcPr>
          <w:p w14:paraId="74DDC53D" w14:textId="77777777" w:rsidR="00584EC1" w:rsidRDefault="00584EC1">
            <w:pPr>
              <w:rPr>
                <w:rFonts w:ascii="宋体"/>
              </w:rPr>
            </w:pPr>
          </w:p>
        </w:tc>
      </w:tr>
      <w:tr w:rsidR="00584EC1" w14:paraId="74DDC544" w14:textId="77777777">
        <w:tc>
          <w:tcPr>
            <w:tcW w:w="0" w:type="auto"/>
            <w:gridSpan w:val="3"/>
            <w:shd w:val="clear" w:color="auto" w:fill="auto"/>
            <w:tcMar>
              <w:top w:w="40" w:type="dxa"/>
              <w:left w:w="20" w:type="dxa"/>
              <w:bottom w:w="40" w:type="dxa"/>
              <w:right w:w="20" w:type="dxa"/>
            </w:tcMar>
          </w:tcPr>
          <w:p w14:paraId="74DDC53F" w14:textId="77777777" w:rsidR="00584EC1" w:rsidRDefault="00871F8D">
            <w:pPr>
              <w:textAlignment w:val="top"/>
            </w:pPr>
            <w:r>
              <w:rPr>
                <w:rFonts w:ascii="Arial" w:eastAsia="宋体" w:hAnsi="Arial" w:cs="Arial"/>
                <w:color w:val="000000"/>
                <w:sz w:val="12"/>
                <w:szCs w:val="12"/>
              </w:rPr>
              <w:t> </w:t>
            </w:r>
          </w:p>
        </w:tc>
        <w:tc>
          <w:tcPr>
            <w:tcW w:w="0" w:type="auto"/>
            <w:gridSpan w:val="53"/>
            <w:shd w:val="clear" w:color="auto" w:fill="auto"/>
            <w:tcMar>
              <w:top w:w="40" w:type="dxa"/>
              <w:left w:w="20" w:type="dxa"/>
              <w:bottom w:w="40" w:type="dxa"/>
              <w:right w:w="20" w:type="dxa"/>
            </w:tcMar>
            <w:vAlign w:val="bottom"/>
          </w:tcPr>
          <w:p w14:paraId="74DDC540" w14:textId="77777777" w:rsidR="00584EC1" w:rsidRDefault="00871F8D">
            <w:pPr>
              <w:jc w:val="center"/>
              <w:textAlignment w:val="bottom"/>
            </w:pPr>
            <w:r>
              <w:rPr>
                <w:rFonts w:ascii="Arial" w:eastAsia="宋体" w:hAnsi="Arial" w:cs="Arial"/>
                <w:b/>
                <w:bCs/>
                <w:color w:val="000000"/>
                <w:sz w:val="12"/>
                <w:szCs w:val="12"/>
              </w:rPr>
              <w:t>Three Months Ended September 30, 2020</w:t>
            </w:r>
          </w:p>
        </w:tc>
        <w:tc>
          <w:tcPr>
            <w:tcW w:w="0" w:type="auto"/>
            <w:shd w:val="clear" w:color="auto" w:fill="auto"/>
            <w:vAlign w:val="bottom"/>
          </w:tcPr>
          <w:p w14:paraId="74DDC541" w14:textId="77777777" w:rsidR="00584EC1" w:rsidRDefault="00584EC1">
            <w:pPr>
              <w:rPr>
                <w:rFonts w:ascii="宋体"/>
              </w:rPr>
            </w:pPr>
          </w:p>
        </w:tc>
        <w:tc>
          <w:tcPr>
            <w:tcW w:w="0" w:type="auto"/>
            <w:shd w:val="clear" w:color="auto" w:fill="auto"/>
            <w:vAlign w:val="bottom"/>
          </w:tcPr>
          <w:p w14:paraId="74DDC542" w14:textId="77777777" w:rsidR="00584EC1" w:rsidRDefault="00584EC1">
            <w:pPr>
              <w:rPr>
                <w:rFonts w:ascii="宋体"/>
              </w:rPr>
            </w:pPr>
          </w:p>
        </w:tc>
        <w:tc>
          <w:tcPr>
            <w:tcW w:w="0" w:type="auto"/>
            <w:shd w:val="clear" w:color="auto" w:fill="auto"/>
            <w:vAlign w:val="bottom"/>
          </w:tcPr>
          <w:p w14:paraId="74DDC543" w14:textId="77777777" w:rsidR="00584EC1" w:rsidRDefault="00584EC1">
            <w:pPr>
              <w:rPr>
                <w:rFonts w:ascii="宋体"/>
              </w:rPr>
            </w:pPr>
          </w:p>
        </w:tc>
      </w:tr>
      <w:tr w:rsidR="00584EC1" w14:paraId="74DDC55B" w14:textId="77777777">
        <w:trPr>
          <w:trHeight w:val="600"/>
        </w:trPr>
        <w:tc>
          <w:tcPr>
            <w:tcW w:w="0" w:type="auto"/>
            <w:gridSpan w:val="3"/>
            <w:shd w:val="clear" w:color="auto" w:fill="auto"/>
            <w:tcMar>
              <w:top w:w="40" w:type="dxa"/>
              <w:left w:w="20" w:type="dxa"/>
              <w:bottom w:w="40" w:type="dxa"/>
              <w:right w:w="20" w:type="dxa"/>
            </w:tcMar>
          </w:tcPr>
          <w:p w14:paraId="74DDC545" w14:textId="77777777" w:rsidR="00584EC1" w:rsidRDefault="00871F8D">
            <w:pPr>
              <w:textAlignment w:val="top"/>
            </w:pPr>
            <w:r>
              <w:rPr>
                <w:rFonts w:ascii="Arial" w:eastAsia="宋体" w:hAnsi="Arial" w:cs="Arial"/>
                <w:color w:val="000000"/>
                <w:sz w:val="12"/>
                <w:szCs w:val="12"/>
              </w:rPr>
              <w:t> </w:t>
            </w: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4DDC546" w14:textId="77777777" w:rsidR="00584EC1" w:rsidRDefault="00871F8D">
            <w:pPr>
              <w:jc w:val="center"/>
              <w:textAlignment w:val="bottom"/>
            </w:pPr>
            <w:r>
              <w:rPr>
                <w:rFonts w:ascii="Arial" w:eastAsia="宋体" w:hAnsi="Arial" w:cs="Arial"/>
                <w:b/>
                <w:bCs/>
                <w:color w:val="000000"/>
                <w:sz w:val="12"/>
                <w:szCs w:val="12"/>
              </w:rPr>
              <w:t xml:space="preserve">Fair Value </w:t>
            </w:r>
            <w:r>
              <w:rPr>
                <w:rFonts w:ascii="Arial" w:eastAsia="宋体" w:hAnsi="Arial" w:cs="Arial"/>
                <w:b/>
                <w:bCs/>
                <w:color w:val="000000"/>
                <w:sz w:val="12"/>
                <w:szCs w:val="12"/>
              </w:rPr>
              <w:br/>
              <w:t xml:space="preserve">as of </w:t>
            </w:r>
            <w:r>
              <w:rPr>
                <w:rFonts w:ascii="Arial" w:eastAsia="宋体" w:hAnsi="Arial" w:cs="Arial"/>
                <w:b/>
                <w:bCs/>
                <w:color w:val="000000"/>
                <w:sz w:val="12"/>
                <w:szCs w:val="12"/>
              </w:rPr>
              <w:br/>
            </w:r>
            <w:r>
              <w:rPr>
                <w:rFonts w:ascii="Arial" w:eastAsia="宋体" w:hAnsi="Arial" w:cs="Arial"/>
                <w:b/>
                <w:bCs/>
                <w:color w:val="000000"/>
                <w:sz w:val="12"/>
                <w:szCs w:val="12"/>
              </w:rPr>
              <w:t xml:space="preserve">June 30, </w:t>
            </w:r>
            <w:r>
              <w:rPr>
                <w:rFonts w:ascii="Arial" w:eastAsia="宋体" w:hAnsi="Arial" w:cs="Arial"/>
                <w:b/>
                <w:bCs/>
                <w:color w:val="000000"/>
                <w:sz w:val="12"/>
                <w:szCs w:val="12"/>
              </w:rPr>
              <w:b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547" w14:textId="77777777" w:rsidR="00584EC1" w:rsidRDefault="00584E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4DDC548" w14:textId="77777777" w:rsidR="00584EC1" w:rsidRDefault="00871F8D">
            <w:pPr>
              <w:jc w:val="center"/>
              <w:textAlignment w:val="bottom"/>
            </w:pPr>
            <w:r>
              <w:rPr>
                <w:rFonts w:ascii="Arial" w:eastAsia="宋体" w:hAnsi="Arial" w:cs="Arial"/>
                <w:b/>
                <w:bCs/>
                <w:color w:val="000000"/>
                <w:sz w:val="12"/>
                <w:szCs w:val="12"/>
              </w:rPr>
              <w:t>Total Realized and</w:t>
            </w:r>
          </w:p>
          <w:p w14:paraId="74DDC549" w14:textId="77777777" w:rsidR="00584EC1" w:rsidRDefault="00871F8D">
            <w:pPr>
              <w:jc w:val="center"/>
              <w:textAlignment w:val="bottom"/>
            </w:pPr>
            <w:r>
              <w:rPr>
                <w:rFonts w:ascii="Arial" w:eastAsia="宋体" w:hAnsi="Arial" w:cs="Arial"/>
                <w:b/>
                <w:bCs/>
                <w:color w:val="000000"/>
                <w:sz w:val="12"/>
                <w:szCs w:val="12"/>
              </w:rPr>
              <w:t>Unrealized Gains (Losses)</w:t>
            </w:r>
            <w:r>
              <w:rPr>
                <w:rFonts w:ascii="Arial" w:eastAsia="宋体" w:hAnsi="Arial" w:cs="Arial"/>
                <w:b/>
                <w:bCs/>
                <w:color w:val="000000"/>
                <w:sz w:val="7"/>
                <w:szCs w:val="7"/>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54A" w14:textId="77777777" w:rsidR="00584EC1" w:rsidRDefault="00584EC1">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4DDC54B" w14:textId="77777777" w:rsidR="00584EC1" w:rsidRDefault="00871F8D">
            <w:pPr>
              <w:jc w:val="center"/>
              <w:textAlignment w:val="bottom"/>
            </w:pPr>
            <w:r>
              <w:rPr>
                <w:rFonts w:ascii="Arial" w:eastAsia="宋体" w:hAnsi="Arial" w:cs="Arial"/>
                <w:b/>
                <w:bCs/>
                <w:color w:val="000000"/>
                <w:sz w:val="12"/>
                <w:szCs w:val="12"/>
              </w:rPr>
              <w:t>Purchases</w:t>
            </w:r>
          </w:p>
        </w:tc>
        <w:tc>
          <w:tcPr>
            <w:tcW w:w="0" w:type="auto"/>
            <w:shd w:val="clear" w:color="auto" w:fill="auto"/>
            <w:vAlign w:val="bottom"/>
          </w:tcPr>
          <w:p w14:paraId="74DDC54C" w14:textId="77777777" w:rsidR="00584EC1" w:rsidRDefault="00584EC1">
            <w:pPr>
              <w:rPr>
                <w:rFonts w:ascii="宋体"/>
                <w:vanish/>
              </w:rPr>
            </w:pPr>
          </w:p>
        </w:tc>
        <w:tc>
          <w:tcPr>
            <w:tcW w:w="0" w:type="auto"/>
            <w:shd w:val="clear" w:color="auto" w:fill="auto"/>
            <w:vAlign w:val="bottom"/>
          </w:tcPr>
          <w:p w14:paraId="74DDC54D" w14:textId="77777777" w:rsidR="00584EC1" w:rsidRDefault="00584EC1">
            <w:pPr>
              <w:rPr>
                <w:rFonts w:ascii="宋体"/>
                <w:vanish/>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54E" w14:textId="77777777" w:rsidR="00584EC1" w:rsidRDefault="00584EC1">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4DDC54F" w14:textId="77777777" w:rsidR="00584EC1" w:rsidRDefault="00871F8D">
            <w:pPr>
              <w:jc w:val="center"/>
              <w:textAlignment w:val="bottom"/>
            </w:pPr>
            <w:r>
              <w:rPr>
                <w:rFonts w:ascii="Arial" w:eastAsia="宋体" w:hAnsi="Arial" w:cs="Arial"/>
                <w:b/>
                <w:bCs/>
                <w:color w:val="000000"/>
                <w:sz w:val="12"/>
                <w:szCs w:val="12"/>
              </w:rPr>
              <w:t>Sales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550" w14:textId="77777777" w:rsidR="00584EC1" w:rsidRDefault="00584EC1">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4DDC551" w14:textId="77777777" w:rsidR="00584EC1" w:rsidRDefault="00871F8D">
            <w:pPr>
              <w:jc w:val="center"/>
              <w:textAlignment w:val="bottom"/>
            </w:pPr>
            <w:r>
              <w:rPr>
                <w:rFonts w:ascii="Arial" w:eastAsia="宋体" w:hAnsi="Arial" w:cs="Arial"/>
                <w:b/>
                <w:bCs/>
                <w:color w:val="000000"/>
                <w:sz w:val="12"/>
                <w:szCs w:val="12"/>
              </w:rPr>
              <w:t>Settlements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552" w14:textId="77777777" w:rsidR="00584EC1" w:rsidRDefault="00584EC1">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4DDC553" w14:textId="77777777" w:rsidR="00584EC1" w:rsidRDefault="00871F8D">
            <w:pPr>
              <w:jc w:val="center"/>
              <w:textAlignment w:val="bottom"/>
            </w:pPr>
            <w:r>
              <w:rPr>
                <w:rFonts w:ascii="Arial" w:eastAsia="宋体" w:hAnsi="Arial" w:cs="Arial"/>
                <w:b/>
                <w:bCs/>
                <w:color w:val="000000"/>
                <w:sz w:val="12"/>
                <w:szCs w:val="12"/>
              </w:rPr>
              <w:t>Transfers</w:t>
            </w:r>
            <w:r>
              <w:rPr>
                <w:rFonts w:ascii="Arial" w:eastAsia="宋体" w:hAnsi="Arial" w:cs="Arial"/>
                <w:b/>
                <w:bCs/>
                <w:color w:val="000000"/>
                <w:sz w:val="12"/>
                <w:szCs w:val="12"/>
              </w:rPr>
              <w:br/>
              <w:t>into</w:t>
            </w:r>
            <w:r>
              <w:rPr>
                <w:rFonts w:ascii="Arial" w:eastAsia="宋体" w:hAnsi="Arial" w:cs="Arial"/>
                <w:b/>
                <w:bCs/>
                <w:color w:val="000000"/>
                <w:sz w:val="12"/>
                <w:szCs w:val="12"/>
              </w:rPr>
              <w:br/>
              <w:t>Level 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554" w14:textId="77777777" w:rsidR="00584EC1" w:rsidRDefault="00584EC1">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4DDC555" w14:textId="77777777" w:rsidR="00584EC1" w:rsidRDefault="00871F8D">
            <w:pPr>
              <w:jc w:val="center"/>
              <w:textAlignment w:val="bottom"/>
            </w:pPr>
            <w:r>
              <w:rPr>
                <w:rFonts w:ascii="Arial" w:eastAsia="宋体" w:hAnsi="Arial" w:cs="Arial"/>
                <w:b/>
                <w:bCs/>
                <w:color w:val="000000"/>
                <w:sz w:val="12"/>
                <w:szCs w:val="12"/>
              </w:rPr>
              <w:t>Transfers</w:t>
            </w:r>
            <w:r>
              <w:rPr>
                <w:rFonts w:ascii="Arial" w:eastAsia="宋体" w:hAnsi="Arial" w:cs="Arial"/>
                <w:b/>
                <w:bCs/>
                <w:color w:val="000000"/>
                <w:sz w:val="12"/>
                <w:szCs w:val="12"/>
              </w:rPr>
              <w:br/>
              <w:t>out of</w:t>
            </w:r>
            <w:r>
              <w:rPr>
                <w:rFonts w:ascii="Arial" w:eastAsia="宋体" w:hAnsi="Arial" w:cs="Arial"/>
                <w:b/>
                <w:bCs/>
                <w:color w:val="000000"/>
                <w:sz w:val="12"/>
                <w:szCs w:val="12"/>
              </w:rPr>
              <w:br/>
              <w:t>Level 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556" w14:textId="77777777" w:rsidR="00584EC1" w:rsidRDefault="00584EC1">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4DDC557" w14:textId="77777777" w:rsidR="00584EC1" w:rsidRDefault="00871F8D">
            <w:pPr>
              <w:jc w:val="center"/>
              <w:textAlignment w:val="bottom"/>
            </w:pPr>
            <w:r>
              <w:rPr>
                <w:rFonts w:ascii="Arial" w:eastAsia="宋体" w:hAnsi="Arial" w:cs="Arial"/>
                <w:b/>
                <w:bCs/>
                <w:color w:val="000000"/>
                <w:sz w:val="12"/>
                <w:szCs w:val="12"/>
              </w:rPr>
              <w:t>Fair Value </w:t>
            </w:r>
          </w:p>
          <w:p w14:paraId="74DDC558" w14:textId="77777777" w:rsidR="00584EC1" w:rsidRDefault="00871F8D">
            <w:pPr>
              <w:jc w:val="center"/>
              <w:textAlignment w:val="bottom"/>
            </w:pPr>
            <w:r>
              <w:rPr>
                <w:rFonts w:ascii="Arial" w:eastAsia="宋体" w:hAnsi="Arial" w:cs="Arial"/>
                <w:b/>
                <w:bCs/>
                <w:color w:val="000000"/>
                <w:sz w:val="12"/>
                <w:szCs w:val="12"/>
              </w:rPr>
              <w:t>as of September 30, 2020</w:t>
            </w:r>
            <w:r>
              <w:rPr>
                <w:rFonts w:ascii="Arial" w:eastAsia="宋体" w:hAnsi="Arial" w:cs="Arial"/>
                <w:b/>
                <w:bCs/>
                <w:color w:val="000000"/>
                <w:sz w:val="7"/>
                <w:szCs w:val="7"/>
              </w:rPr>
              <w:t>(1)</w:t>
            </w:r>
          </w:p>
        </w:tc>
        <w:tc>
          <w:tcPr>
            <w:tcW w:w="0" w:type="auto"/>
            <w:gridSpan w:val="2"/>
            <w:tcBorders>
              <w:top w:val="single" w:sz="8" w:space="0" w:color="000000"/>
            </w:tcBorders>
            <w:shd w:val="clear" w:color="auto" w:fill="auto"/>
            <w:tcMar>
              <w:top w:w="0" w:type="dxa"/>
              <w:left w:w="20" w:type="dxa"/>
              <w:bottom w:w="0" w:type="dxa"/>
              <w:right w:w="20" w:type="dxa"/>
            </w:tcMar>
            <w:vAlign w:val="bottom"/>
          </w:tcPr>
          <w:p w14:paraId="74DDC559" w14:textId="77777777" w:rsidR="00584EC1" w:rsidRDefault="00584EC1">
            <w:pPr>
              <w:rPr>
                <w:rFonts w:ascii="宋体"/>
              </w:rPr>
            </w:pPr>
          </w:p>
        </w:tc>
        <w:tc>
          <w:tcPr>
            <w:tcW w:w="0" w:type="auto"/>
            <w:vMerge w:val="restart"/>
            <w:tcBorders>
              <w:top w:val="single" w:sz="8" w:space="0" w:color="000000"/>
            </w:tcBorders>
            <w:shd w:val="clear" w:color="auto" w:fill="auto"/>
            <w:tcMar>
              <w:top w:w="40" w:type="dxa"/>
              <w:left w:w="20" w:type="dxa"/>
              <w:bottom w:w="40" w:type="dxa"/>
              <w:right w:w="20" w:type="dxa"/>
            </w:tcMar>
            <w:vAlign w:val="bottom"/>
          </w:tcPr>
          <w:p w14:paraId="74DDC55A" w14:textId="77777777" w:rsidR="00584EC1" w:rsidRDefault="00871F8D">
            <w:pPr>
              <w:jc w:val="center"/>
              <w:textAlignment w:val="bottom"/>
            </w:pPr>
            <w:r>
              <w:rPr>
                <w:rFonts w:ascii="Arial" w:eastAsia="宋体" w:hAnsi="Arial" w:cs="Arial"/>
                <w:b/>
                <w:bCs/>
                <w:color w:val="000000"/>
                <w:sz w:val="12"/>
                <w:szCs w:val="12"/>
              </w:rPr>
              <w:t xml:space="preserve">Change in Unrealized Gains (Losses) Related to Financial Instruments </w:t>
            </w:r>
            <w:r>
              <w:rPr>
                <w:rFonts w:ascii="Arial" w:eastAsia="宋体" w:hAnsi="Arial" w:cs="Arial"/>
                <w:b/>
                <w:bCs/>
                <w:color w:val="000000"/>
                <w:sz w:val="12"/>
                <w:szCs w:val="12"/>
              </w:rPr>
              <w:br/>
              <w:t xml:space="preserve">Held as of </w:t>
            </w:r>
            <w:r>
              <w:rPr>
                <w:rFonts w:ascii="Arial" w:eastAsia="宋体" w:hAnsi="Arial" w:cs="Arial"/>
                <w:b/>
                <w:bCs/>
                <w:color w:val="000000"/>
                <w:sz w:val="12"/>
                <w:szCs w:val="12"/>
              </w:rPr>
              <w:br/>
              <w:t>September 30, 2020</w:t>
            </w:r>
          </w:p>
        </w:tc>
      </w:tr>
      <w:tr w:rsidR="00584EC1" w14:paraId="74DDC571" w14:textId="77777777">
        <w:trPr>
          <w:trHeight w:val="580"/>
        </w:trPr>
        <w:tc>
          <w:tcPr>
            <w:tcW w:w="0" w:type="auto"/>
            <w:gridSpan w:val="3"/>
            <w:shd w:val="clear" w:color="auto" w:fill="auto"/>
            <w:tcMar>
              <w:top w:w="40" w:type="dxa"/>
              <w:left w:w="20" w:type="dxa"/>
              <w:bottom w:w="40" w:type="dxa"/>
              <w:right w:w="20" w:type="dxa"/>
            </w:tcMar>
            <w:vAlign w:val="bottom"/>
          </w:tcPr>
          <w:p w14:paraId="74DDC55C" w14:textId="77777777" w:rsidR="00584EC1" w:rsidRDefault="00871F8D">
            <w:pPr>
              <w:textAlignment w:val="bottom"/>
            </w:pPr>
            <w:r>
              <w:rPr>
                <w:rFonts w:ascii="Arial" w:eastAsia="宋体" w:hAnsi="Arial" w:cs="Arial"/>
                <w:b/>
                <w:bCs/>
                <w:color w:val="000000"/>
                <w:sz w:val="12"/>
                <w:szCs w:val="12"/>
              </w:rPr>
              <w:t>(In millions)</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4DDC55D" w14:textId="77777777" w:rsidR="00584EC1" w:rsidRDefault="00584EC1">
            <w:pPr>
              <w:jc w:val="center"/>
              <w:rPr>
                <w:rFonts w:ascii="宋体"/>
              </w:rPr>
            </w:pPr>
          </w:p>
        </w:tc>
        <w:tc>
          <w:tcPr>
            <w:tcW w:w="0" w:type="auto"/>
            <w:gridSpan w:val="3"/>
            <w:shd w:val="clear" w:color="auto" w:fill="auto"/>
            <w:tcMar>
              <w:top w:w="0" w:type="dxa"/>
              <w:left w:w="20" w:type="dxa"/>
              <w:bottom w:w="0" w:type="dxa"/>
              <w:right w:w="20" w:type="dxa"/>
            </w:tcMar>
            <w:vAlign w:val="bottom"/>
          </w:tcPr>
          <w:p w14:paraId="74DDC55E"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C55F" w14:textId="77777777" w:rsidR="00584EC1" w:rsidRDefault="00871F8D">
            <w:pPr>
              <w:jc w:val="center"/>
              <w:textAlignment w:val="bottom"/>
            </w:pPr>
            <w:r>
              <w:rPr>
                <w:rFonts w:ascii="Arial" w:eastAsia="宋体" w:hAnsi="Arial" w:cs="Arial"/>
                <w:b/>
                <w:bCs/>
                <w:color w:val="000000"/>
                <w:sz w:val="12"/>
                <w:szCs w:val="12"/>
              </w:rPr>
              <w:t>Recorded</w:t>
            </w:r>
            <w:r>
              <w:rPr>
                <w:rFonts w:ascii="Arial" w:eastAsia="宋体" w:hAnsi="Arial" w:cs="Arial"/>
                <w:b/>
                <w:bCs/>
                <w:color w:val="000000"/>
                <w:sz w:val="12"/>
                <w:szCs w:val="12"/>
              </w:rPr>
              <w:br/>
              <w:t>in</w:t>
            </w:r>
            <w:r>
              <w:rPr>
                <w:rFonts w:ascii="Arial" w:eastAsia="宋体" w:hAnsi="Arial" w:cs="Arial"/>
                <w:b/>
                <w:bCs/>
                <w:color w:val="000000"/>
                <w:sz w:val="12"/>
                <w:szCs w:val="12"/>
              </w:rPr>
              <w:br/>
              <w:t>Revenue</w:t>
            </w:r>
            <w:r>
              <w:rPr>
                <w:rFonts w:ascii="Arial" w:eastAsia="宋体" w:hAnsi="Arial" w:cs="Arial"/>
                <w:b/>
                <w:bCs/>
                <w:color w:val="000000"/>
                <w:sz w:val="7"/>
                <w:szCs w:val="7"/>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560"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C561" w14:textId="77777777" w:rsidR="00584EC1" w:rsidRDefault="00871F8D">
            <w:pPr>
              <w:jc w:val="center"/>
              <w:textAlignment w:val="bottom"/>
            </w:pPr>
            <w:r>
              <w:rPr>
                <w:rFonts w:ascii="Arial" w:eastAsia="宋体" w:hAnsi="Arial" w:cs="Arial"/>
                <w:b/>
                <w:bCs/>
                <w:color w:val="000000"/>
                <w:sz w:val="12"/>
                <w:szCs w:val="12"/>
              </w:rPr>
              <w:t>Recorded</w:t>
            </w:r>
            <w:r>
              <w:rPr>
                <w:rFonts w:ascii="Arial" w:eastAsia="宋体" w:hAnsi="Arial" w:cs="Arial"/>
                <w:b/>
                <w:bCs/>
                <w:color w:val="000000"/>
                <w:sz w:val="12"/>
                <w:szCs w:val="12"/>
              </w:rPr>
              <w:br/>
              <w:t>in Other</w:t>
            </w:r>
            <w:r>
              <w:rPr>
                <w:rFonts w:ascii="Arial" w:eastAsia="宋体" w:hAnsi="Arial" w:cs="Arial"/>
                <w:b/>
                <w:bCs/>
                <w:color w:val="000000"/>
                <w:sz w:val="12"/>
                <w:szCs w:val="12"/>
              </w:rPr>
              <w:br/>
              <w:t>Comprehensive</w:t>
            </w:r>
            <w:r>
              <w:rPr>
                <w:rFonts w:ascii="Arial" w:eastAsia="宋体" w:hAnsi="Arial" w:cs="Arial"/>
                <w:b/>
                <w:bCs/>
                <w:color w:val="000000"/>
                <w:sz w:val="12"/>
                <w:szCs w:val="12"/>
              </w:rPr>
              <w:br/>
              <w:t>Income</w:t>
            </w:r>
            <w:r>
              <w:rPr>
                <w:rFonts w:ascii="Arial" w:eastAsia="宋体" w:hAnsi="Arial" w:cs="Arial"/>
                <w:b/>
                <w:bCs/>
                <w:color w:val="000000"/>
                <w:sz w:val="7"/>
                <w:szCs w:val="7"/>
              </w:rPr>
              <w:t>(1)</w:t>
            </w:r>
          </w:p>
        </w:tc>
        <w:tc>
          <w:tcPr>
            <w:tcW w:w="0" w:type="auto"/>
            <w:gridSpan w:val="3"/>
            <w:shd w:val="clear" w:color="auto" w:fill="auto"/>
            <w:tcMar>
              <w:top w:w="0" w:type="dxa"/>
              <w:left w:w="20" w:type="dxa"/>
              <w:bottom w:w="0" w:type="dxa"/>
              <w:right w:w="20" w:type="dxa"/>
            </w:tcMar>
            <w:vAlign w:val="bottom"/>
          </w:tcPr>
          <w:p w14:paraId="74DDC562" w14:textId="77777777" w:rsidR="00584EC1" w:rsidRDefault="00584EC1">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4DDC563" w14:textId="77777777" w:rsidR="00584EC1" w:rsidRDefault="00584EC1">
            <w:pPr>
              <w:jc w:val="center"/>
              <w:rPr>
                <w:rFonts w:ascii="宋体"/>
              </w:rPr>
            </w:pPr>
          </w:p>
        </w:tc>
        <w:tc>
          <w:tcPr>
            <w:tcW w:w="0" w:type="auto"/>
            <w:shd w:val="clear" w:color="auto" w:fill="auto"/>
            <w:vAlign w:val="bottom"/>
          </w:tcPr>
          <w:p w14:paraId="74DDC564" w14:textId="77777777" w:rsidR="00584EC1" w:rsidRDefault="00584EC1">
            <w:pPr>
              <w:rPr>
                <w:rFonts w:ascii="宋体"/>
                <w:vanish/>
              </w:rPr>
            </w:pPr>
          </w:p>
        </w:tc>
        <w:tc>
          <w:tcPr>
            <w:tcW w:w="0" w:type="auto"/>
            <w:shd w:val="clear" w:color="auto" w:fill="auto"/>
            <w:vAlign w:val="bottom"/>
          </w:tcPr>
          <w:p w14:paraId="74DDC565" w14:textId="77777777" w:rsidR="00584EC1" w:rsidRDefault="00584EC1">
            <w:pPr>
              <w:rPr>
                <w:rFonts w:ascii="宋体"/>
                <w:vanish/>
              </w:rPr>
            </w:pPr>
          </w:p>
        </w:tc>
        <w:tc>
          <w:tcPr>
            <w:tcW w:w="0" w:type="auto"/>
            <w:gridSpan w:val="3"/>
            <w:shd w:val="clear" w:color="auto" w:fill="auto"/>
            <w:tcMar>
              <w:top w:w="0" w:type="dxa"/>
              <w:left w:w="20" w:type="dxa"/>
              <w:bottom w:w="0" w:type="dxa"/>
              <w:right w:w="20" w:type="dxa"/>
            </w:tcMar>
            <w:vAlign w:val="bottom"/>
          </w:tcPr>
          <w:p w14:paraId="74DDC566" w14:textId="77777777" w:rsidR="00584EC1" w:rsidRDefault="00584EC1">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4DDC567" w14:textId="77777777" w:rsidR="00584EC1" w:rsidRDefault="00584EC1">
            <w:pPr>
              <w:jc w:val="center"/>
              <w:rPr>
                <w:rFonts w:ascii="宋体"/>
              </w:rPr>
            </w:pPr>
          </w:p>
        </w:tc>
        <w:tc>
          <w:tcPr>
            <w:tcW w:w="0" w:type="auto"/>
            <w:gridSpan w:val="3"/>
            <w:shd w:val="clear" w:color="auto" w:fill="auto"/>
            <w:tcMar>
              <w:top w:w="0" w:type="dxa"/>
              <w:left w:w="20" w:type="dxa"/>
              <w:bottom w:w="0" w:type="dxa"/>
              <w:right w:w="20" w:type="dxa"/>
            </w:tcMar>
            <w:vAlign w:val="bottom"/>
          </w:tcPr>
          <w:p w14:paraId="74DDC568" w14:textId="77777777" w:rsidR="00584EC1" w:rsidRDefault="00584EC1">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4DDC569" w14:textId="77777777" w:rsidR="00584EC1" w:rsidRDefault="00584EC1">
            <w:pPr>
              <w:jc w:val="center"/>
              <w:rPr>
                <w:rFonts w:ascii="宋体"/>
              </w:rPr>
            </w:pPr>
          </w:p>
        </w:tc>
        <w:tc>
          <w:tcPr>
            <w:tcW w:w="0" w:type="auto"/>
            <w:gridSpan w:val="3"/>
            <w:shd w:val="clear" w:color="auto" w:fill="auto"/>
            <w:tcMar>
              <w:top w:w="0" w:type="dxa"/>
              <w:left w:w="20" w:type="dxa"/>
              <w:bottom w:w="0" w:type="dxa"/>
              <w:right w:w="20" w:type="dxa"/>
            </w:tcMar>
            <w:vAlign w:val="bottom"/>
          </w:tcPr>
          <w:p w14:paraId="74DDC56A" w14:textId="77777777" w:rsidR="00584EC1" w:rsidRDefault="00584EC1">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4DDC56B" w14:textId="77777777" w:rsidR="00584EC1" w:rsidRDefault="00584EC1">
            <w:pPr>
              <w:jc w:val="center"/>
              <w:rPr>
                <w:rFonts w:ascii="宋体"/>
              </w:rPr>
            </w:pPr>
          </w:p>
        </w:tc>
        <w:tc>
          <w:tcPr>
            <w:tcW w:w="0" w:type="auto"/>
            <w:gridSpan w:val="3"/>
            <w:shd w:val="clear" w:color="auto" w:fill="auto"/>
            <w:tcMar>
              <w:top w:w="0" w:type="dxa"/>
              <w:left w:w="20" w:type="dxa"/>
              <w:bottom w:w="0" w:type="dxa"/>
              <w:right w:w="20" w:type="dxa"/>
            </w:tcMar>
            <w:vAlign w:val="bottom"/>
          </w:tcPr>
          <w:p w14:paraId="74DDC56C" w14:textId="77777777" w:rsidR="00584EC1" w:rsidRDefault="00584EC1">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4DDC56D" w14:textId="77777777" w:rsidR="00584EC1" w:rsidRDefault="00584EC1">
            <w:pPr>
              <w:jc w:val="center"/>
              <w:rPr>
                <w:rFonts w:ascii="宋体"/>
              </w:rPr>
            </w:pPr>
          </w:p>
        </w:tc>
        <w:tc>
          <w:tcPr>
            <w:tcW w:w="0" w:type="auto"/>
            <w:gridSpan w:val="3"/>
            <w:shd w:val="clear" w:color="auto" w:fill="auto"/>
            <w:tcMar>
              <w:top w:w="0" w:type="dxa"/>
              <w:left w:w="20" w:type="dxa"/>
              <w:bottom w:w="0" w:type="dxa"/>
              <w:right w:w="20" w:type="dxa"/>
            </w:tcMar>
            <w:vAlign w:val="bottom"/>
          </w:tcPr>
          <w:p w14:paraId="74DDC56E" w14:textId="77777777" w:rsidR="00584EC1" w:rsidRDefault="00584EC1">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4DDC56F"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570" w14:textId="77777777" w:rsidR="00584EC1" w:rsidRDefault="00584EC1">
            <w:pPr>
              <w:rPr>
                <w:rFonts w:ascii="宋体"/>
              </w:rPr>
            </w:pPr>
          </w:p>
        </w:tc>
      </w:tr>
      <w:tr w:rsidR="00584EC1" w14:paraId="74DDC588" w14:textId="77777777">
        <w:tc>
          <w:tcPr>
            <w:tcW w:w="0" w:type="auto"/>
            <w:gridSpan w:val="3"/>
            <w:shd w:val="clear" w:color="auto" w:fill="auto"/>
            <w:tcMar>
              <w:top w:w="40" w:type="dxa"/>
              <w:left w:w="20" w:type="dxa"/>
              <w:bottom w:w="40" w:type="dxa"/>
              <w:right w:w="20" w:type="dxa"/>
            </w:tcMar>
            <w:vAlign w:val="center"/>
          </w:tcPr>
          <w:p w14:paraId="74DDC572" w14:textId="77777777" w:rsidR="00584EC1" w:rsidRDefault="00871F8D">
            <w:pPr>
              <w:textAlignment w:val="center"/>
            </w:pPr>
            <w:r>
              <w:rPr>
                <w:rFonts w:ascii="Arial" w:eastAsia="宋体" w:hAnsi="Arial" w:cs="Arial"/>
                <w:b/>
                <w:bCs/>
                <w:color w:val="000000"/>
                <w:sz w:val="12"/>
                <w:szCs w:val="12"/>
              </w:rPr>
              <w:t>Assets: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573"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574"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57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576"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577"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578"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579" w14:textId="77777777" w:rsidR="00584EC1" w:rsidRDefault="00584EC1">
            <w:pPr>
              <w:rPr>
                <w:rFonts w:ascii="宋体"/>
              </w:rPr>
            </w:pPr>
          </w:p>
        </w:tc>
        <w:tc>
          <w:tcPr>
            <w:tcW w:w="0" w:type="auto"/>
            <w:shd w:val="clear" w:color="auto" w:fill="auto"/>
            <w:vAlign w:val="bottom"/>
          </w:tcPr>
          <w:p w14:paraId="74DDC57A" w14:textId="77777777" w:rsidR="00584EC1" w:rsidRDefault="00584EC1">
            <w:pPr>
              <w:rPr>
                <w:rFonts w:ascii="宋体"/>
                <w:vanish/>
              </w:rPr>
            </w:pPr>
          </w:p>
        </w:tc>
        <w:tc>
          <w:tcPr>
            <w:tcW w:w="0" w:type="auto"/>
            <w:shd w:val="clear" w:color="auto" w:fill="auto"/>
            <w:vAlign w:val="bottom"/>
          </w:tcPr>
          <w:p w14:paraId="74DDC57B" w14:textId="77777777" w:rsidR="00584EC1" w:rsidRDefault="00584EC1">
            <w:pPr>
              <w:rPr>
                <w:rFonts w:ascii="宋体"/>
                <w:vanish/>
              </w:rPr>
            </w:pPr>
          </w:p>
        </w:tc>
        <w:tc>
          <w:tcPr>
            <w:tcW w:w="0" w:type="auto"/>
            <w:gridSpan w:val="3"/>
            <w:shd w:val="clear" w:color="auto" w:fill="auto"/>
            <w:tcMar>
              <w:top w:w="0" w:type="dxa"/>
              <w:left w:w="20" w:type="dxa"/>
              <w:bottom w:w="0" w:type="dxa"/>
              <w:right w:w="20" w:type="dxa"/>
            </w:tcMar>
            <w:vAlign w:val="bottom"/>
          </w:tcPr>
          <w:p w14:paraId="74DDC57C"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57D"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57E"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57F"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580"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58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582"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583"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584"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585" w14:textId="77777777" w:rsidR="00584EC1" w:rsidRDefault="00584EC1">
            <w:pPr>
              <w:rPr>
                <w:rFonts w:ascii="宋体"/>
              </w:rPr>
            </w:pPr>
          </w:p>
        </w:tc>
        <w:tc>
          <w:tcPr>
            <w:tcW w:w="0" w:type="auto"/>
            <w:gridSpan w:val="2"/>
            <w:shd w:val="clear" w:color="auto" w:fill="auto"/>
            <w:tcMar>
              <w:top w:w="0" w:type="dxa"/>
              <w:left w:w="20" w:type="dxa"/>
              <w:bottom w:w="0" w:type="dxa"/>
              <w:right w:w="20" w:type="dxa"/>
            </w:tcMar>
            <w:vAlign w:val="bottom"/>
          </w:tcPr>
          <w:p w14:paraId="74DDC586" w14:textId="77777777" w:rsidR="00584EC1" w:rsidRDefault="00584EC1">
            <w:pPr>
              <w:rPr>
                <w:rFonts w:ascii="宋体"/>
              </w:rPr>
            </w:pPr>
          </w:p>
        </w:tc>
        <w:tc>
          <w:tcPr>
            <w:tcW w:w="0" w:type="auto"/>
            <w:tcBorders>
              <w:top w:val="single" w:sz="8" w:space="0" w:color="000000"/>
            </w:tcBorders>
            <w:shd w:val="clear" w:color="auto" w:fill="auto"/>
            <w:tcMar>
              <w:top w:w="0" w:type="dxa"/>
              <w:left w:w="20" w:type="dxa"/>
              <w:bottom w:w="0" w:type="dxa"/>
              <w:right w:w="20" w:type="dxa"/>
            </w:tcMar>
            <w:vAlign w:val="bottom"/>
          </w:tcPr>
          <w:p w14:paraId="74DDC587" w14:textId="77777777" w:rsidR="00584EC1" w:rsidRDefault="00584EC1">
            <w:pPr>
              <w:rPr>
                <w:rFonts w:ascii="宋体"/>
              </w:rPr>
            </w:pPr>
          </w:p>
        </w:tc>
      </w:tr>
      <w:tr w:rsidR="00584EC1" w14:paraId="74DDC59F" w14:textId="77777777">
        <w:tc>
          <w:tcPr>
            <w:tcW w:w="0" w:type="auto"/>
            <w:gridSpan w:val="3"/>
            <w:shd w:val="clear" w:color="auto" w:fill="auto"/>
            <w:tcMar>
              <w:top w:w="40" w:type="dxa"/>
              <w:left w:w="20" w:type="dxa"/>
              <w:bottom w:w="40" w:type="dxa"/>
              <w:right w:w="20" w:type="dxa"/>
            </w:tcMar>
            <w:vAlign w:val="center"/>
          </w:tcPr>
          <w:p w14:paraId="74DDC589" w14:textId="77777777" w:rsidR="00584EC1" w:rsidRDefault="00871F8D">
            <w:pPr>
              <w:textAlignment w:val="center"/>
            </w:pPr>
            <w:r>
              <w:rPr>
                <w:rFonts w:ascii="Arial" w:eastAsia="宋体" w:hAnsi="Arial" w:cs="Arial"/>
                <w:color w:val="000000"/>
                <w:sz w:val="12"/>
                <w:szCs w:val="12"/>
              </w:rPr>
              <w:t>Available-for-sale Investment securities:</w:t>
            </w:r>
          </w:p>
        </w:tc>
        <w:tc>
          <w:tcPr>
            <w:tcW w:w="0" w:type="auto"/>
            <w:gridSpan w:val="3"/>
            <w:shd w:val="clear" w:color="auto" w:fill="auto"/>
            <w:tcMar>
              <w:top w:w="0" w:type="dxa"/>
              <w:left w:w="20" w:type="dxa"/>
              <w:bottom w:w="0" w:type="dxa"/>
              <w:right w:w="20" w:type="dxa"/>
            </w:tcMar>
            <w:vAlign w:val="bottom"/>
          </w:tcPr>
          <w:p w14:paraId="74DDC58A"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58B"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58C"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58D"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58E"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58F"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590" w14:textId="77777777" w:rsidR="00584EC1" w:rsidRDefault="00584EC1">
            <w:pPr>
              <w:rPr>
                <w:rFonts w:ascii="宋体"/>
              </w:rPr>
            </w:pPr>
          </w:p>
        </w:tc>
        <w:tc>
          <w:tcPr>
            <w:tcW w:w="0" w:type="auto"/>
            <w:shd w:val="clear" w:color="auto" w:fill="auto"/>
            <w:vAlign w:val="bottom"/>
          </w:tcPr>
          <w:p w14:paraId="74DDC591" w14:textId="77777777" w:rsidR="00584EC1" w:rsidRDefault="00584EC1">
            <w:pPr>
              <w:rPr>
                <w:rFonts w:ascii="宋体"/>
                <w:vanish/>
              </w:rPr>
            </w:pPr>
          </w:p>
        </w:tc>
        <w:tc>
          <w:tcPr>
            <w:tcW w:w="0" w:type="auto"/>
            <w:shd w:val="clear" w:color="auto" w:fill="auto"/>
            <w:vAlign w:val="bottom"/>
          </w:tcPr>
          <w:p w14:paraId="74DDC592" w14:textId="77777777" w:rsidR="00584EC1" w:rsidRDefault="00584EC1">
            <w:pPr>
              <w:rPr>
                <w:rFonts w:ascii="宋体"/>
                <w:vanish/>
              </w:rPr>
            </w:pPr>
          </w:p>
        </w:tc>
        <w:tc>
          <w:tcPr>
            <w:tcW w:w="0" w:type="auto"/>
            <w:gridSpan w:val="3"/>
            <w:shd w:val="clear" w:color="auto" w:fill="auto"/>
            <w:tcMar>
              <w:top w:w="0" w:type="dxa"/>
              <w:left w:w="20" w:type="dxa"/>
              <w:bottom w:w="0" w:type="dxa"/>
              <w:right w:w="20" w:type="dxa"/>
            </w:tcMar>
            <w:vAlign w:val="bottom"/>
          </w:tcPr>
          <w:p w14:paraId="74DDC593"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594"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59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596"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597"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598"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599"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59A"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59B"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59C" w14:textId="77777777" w:rsidR="00584EC1" w:rsidRDefault="00584EC1">
            <w:pPr>
              <w:rPr>
                <w:rFonts w:ascii="宋体"/>
              </w:rPr>
            </w:pPr>
          </w:p>
        </w:tc>
        <w:tc>
          <w:tcPr>
            <w:tcW w:w="0" w:type="auto"/>
            <w:gridSpan w:val="2"/>
            <w:shd w:val="clear" w:color="auto" w:fill="auto"/>
            <w:tcMar>
              <w:top w:w="0" w:type="dxa"/>
              <w:left w:w="20" w:type="dxa"/>
              <w:bottom w:w="0" w:type="dxa"/>
              <w:right w:w="20" w:type="dxa"/>
            </w:tcMar>
            <w:vAlign w:val="bottom"/>
          </w:tcPr>
          <w:p w14:paraId="74DDC59D" w14:textId="77777777" w:rsidR="00584EC1" w:rsidRDefault="00584EC1">
            <w:pPr>
              <w:rPr>
                <w:rFonts w:ascii="宋体"/>
              </w:rPr>
            </w:pPr>
          </w:p>
        </w:tc>
        <w:tc>
          <w:tcPr>
            <w:tcW w:w="0" w:type="auto"/>
            <w:shd w:val="clear" w:color="auto" w:fill="auto"/>
            <w:tcMar>
              <w:top w:w="0" w:type="dxa"/>
              <w:left w:w="20" w:type="dxa"/>
              <w:bottom w:w="0" w:type="dxa"/>
              <w:right w:w="20" w:type="dxa"/>
            </w:tcMar>
            <w:vAlign w:val="bottom"/>
          </w:tcPr>
          <w:p w14:paraId="74DDC59E" w14:textId="77777777" w:rsidR="00584EC1" w:rsidRDefault="00584EC1">
            <w:pPr>
              <w:rPr>
                <w:rFonts w:ascii="宋体"/>
              </w:rPr>
            </w:pPr>
          </w:p>
        </w:tc>
      </w:tr>
      <w:tr w:rsidR="00584EC1" w14:paraId="74DDC5B6" w14:textId="77777777">
        <w:trPr>
          <w:hidden/>
        </w:trPr>
        <w:tc>
          <w:tcPr>
            <w:tcW w:w="0" w:type="auto"/>
            <w:gridSpan w:val="3"/>
            <w:shd w:val="clear" w:color="auto" w:fill="auto"/>
            <w:vAlign w:val="bottom"/>
          </w:tcPr>
          <w:p w14:paraId="74DDC5A0" w14:textId="77777777" w:rsidR="00584EC1" w:rsidRDefault="00584EC1">
            <w:pPr>
              <w:rPr>
                <w:rFonts w:ascii="宋体"/>
                <w:vanish/>
              </w:rPr>
            </w:pPr>
          </w:p>
        </w:tc>
        <w:tc>
          <w:tcPr>
            <w:tcW w:w="0" w:type="auto"/>
            <w:gridSpan w:val="3"/>
            <w:shd w:val="clear" w:color="auto" w:fill="auto"/>
            <w:vAlign w:val="bottom"/>
          </w:tcPr>
          <w:p w14:paraId="74DDC5A1" w14:textId="77777777" w:rsidR="00584EC1" w:rsidRDefault="00584EC1">
            <w:pPr>
              <w:rPr>
                <w:rFonts w:ascii="宋体"/>
                <w:vanish/>
              </w:rPr>
            </w:pPr>
          </w:p>
        </w:tc>
        <w:tc>
          <w:tcPr>
            <w:tcW w:w="0" w:type="auto"/>
            <w:gridSpan w:val="3"/>
            <w:shd w:val="clear" w:color="auto" w:fill="auto"/>
            <w:vAlign w:val="bottom"/>
          </w:tcPr>
          <w:p w14:paraId="74DDC5A2" w14:textId="77777777" w:rsidR="00584EC1" w:rsidRDefault="00584EC1">
            <w:pPr>
              <w:rPr>
                <w:rFonts w:ascii="宋体"/>
                <w:vanish/>
              </w:rPr>
            </w:pPr>
          </w:p>
        </w:tc>
        <w:tc>
          <w:tcPr>
            <w:tcW w:w="0" w:type="auto"/>
            <w:gridSpan w:val="3"/>
            <w:shd w:val="clear" w:color="auto" w:fill="auto"/>
            <w:vAlign w:val="bottom"/>
          </w:tcPr>
          <w:p w14:paraId="74DDC5A3" w14:textId="77777777" w:rsidR="00584EC1" w:rsidRDefault="00584EC1">
            <w:pPr>
              <w:rPr>
                <w:rFonts w:ascii="宋体"/>
                <w:vanish/>
              </w:rPr>
            </w:pPr>
          </w:p>
        </w:tc>
        <w:tc>
          <w:tcPr>
            <w:tcW w:w="0" w:type="auto"/>
            <w:gridSpan w:val="3"/>
            <w:shd w:val="clear" w:color="auto" w:fill="auto"/>
            <w:vAlign w:val="bottom"/>
          </w:tcPr>
          <w:p w14:paraId="74DDC5A4" w14:textId="77777777" w:rsidR="00584EC1" w:rsidRDefault="00584EC1">
            <w:pPr>
              <w:rPr>
                <w:rFonts w:ascii="宋体"/>
                <w:vanish/>
              </w:rPr>
            </w:pPr>
          </w:p>
        </w:tc>
        <w:tc>
          <w:tcPr>
            <w:tcW w:w="0" w:type="auto"/>
            <w:gridSpan w:val="3"/>
            <w:shd w:val="clear" w:color="auto" w:fill="auto"/>
            <w:vAlign w:val="bottom"/>
          </w:tcPr>
          <w:p w14:paraId="74DDC5A5" w14:textId="77777777" w:rsidR="00584EC1" w:rsidRDefault="00584EC1">
            <w:pPr>
              <w:rPr>
                <w:rFonts w:ascii="宋体"/>
                <w:vanish/>
              </w:rPr>
            </w:pPr>
          </w:p>
        </w:tc>
        <w:tc>
          <w:tcPr>
            <w:tcW w:w="0" w:type="auto"/>
            <w:gridSpan w:val="3"/>
            <w:shd w:val="clear" w:color="auto" w:fill="auto"/>
            <w:vAlign w:val="bottom"/>
          </w:tcPr>
          <w:p w14:paraId="74DDC5A6" w14:textId="77777777" w:rsidR="00584EC1" w:rsidRDefault="00584EC1">
            <w:pPr>
              <w:rPr>
                <w:rFonts w:ascii="宋体"/>
                <w:vanish/>
              </w:rPr>
            </w:pPr>
          </w:p>
        </w:tc>
        <w:tc>
          <w:tcPr>
            <w:tcW w:w="0" w:type="auto"/>
            <w:gridSpan w:val="3"/>
            <w:shd w:val="clear" w:color="auto" w:fill="auto"/>
            <w:vAlign w:val="bottom"/>
          </w:tcPr>
          <w:p w14:paraId="74DDC5A7" w14:textId="77777777" w:rsidR="00584EC1" w:rsidRDefault="00584EC1">
            <w:pPr>
              <w:rPr>
                <w:rFonts w:ascii="宋体"/>
                <w:vanish/>
              </w:rPr>
            </w:pPr>
          </w:p>
        </w:tc>
        <w:tc>
          <w:tcPr>
            <w:tcW w:w="0" w:type="auto"/>
            <w:shd w:val="clear" w:color="auto" w:fill="auto"/>
            <w:vAlign w:val="bottom"/>
          </w:tcPr>
          <w:p w14:paraId="74DDC5A8" w14:textId="77777777" w:rsidR="00584EC1" w:rsidRDefault="00584EC1">
            <w:pPr>
              <w:rPr>
                <w:rFonts w:ascii="宋体"/>
                <w:vanish/>
              </w:rPr>
            </w:pPr>
          </w:p>
        </w:tc>
        <w:tc>
          <w:tcPr>
            <w:tcW w:w="0" w:type="auto"/>
            <w:shd w:val="clear" w:color="auto" w:fill="auto"/>
            <w:vAlign w:val="bottom"/>
          </w:tcPr>
          <w:p w14:paraId="74DDC5A9" w14:textId="77777777" w:rsidR="00584EC1" w:rsidRDefault="00584EC1">
            <w:pPr>
              <w:rPr>
                <w:rFonts w:ascii="宋体"/>
                <w:vanish/>
              </w:rPr>
            </w:pPr>
          </w:p>
        </w:tc>
        <w:tc>
          <w:tcPr>
            <w:tcW w:w="0" w:type="auto"/>
            <w:gridSpan w:val="3"/>
            <w:shd w:val="clear" w:color="auto" w:fill="auto"/>
            <w:vAlign w:val="bottom"/>
          </w:tcPr>
          <w:p w14:paraId="74DDC5AA" w14:textId="77777777" w:rsidR="00584EC1" w:rsidRDefault="00584EC1">
            <w:pPr>
              <w:rPr>
                <w:rFonts w:ascii="宋体"/>
                <w:vanish/>
              </w:rPr>
            </w:pPr>
          </w:p>
        </w:tc>
        <w:tc>
          <w:tcPr>
            <w:tcW w:w="0" w:type="auto"/>
            <w:gridSpan w:val="3"/>
            <w:shd w:val="clear" w:color="auto" w:fill="auto"/>
            <w:vAlign w:val="bottom"/>
          </w:tcPr>
          <w:p w14:paraId="74DDC5AB" w14:textId="77777777" w:rsidR="00584EC1" w:rsidRDefault="00584EC1">
            <w:pPr>
              <w:rPr>
                <w:rFonts w:ascii="宋体"/>
                <w:vanish/>
              </w:rPr>
            </w:pPr>
          </w:p>
        </w:tc>
        <w:tc>
          <w:tcPr>
            <w:tcW w:w="0" w:type="auto"/>
            <w:gridSpan w:val="3"/>
            <w:shd w:val="clear" w:color="auto" w:fill="auto"/>
            <w:vAlign w:val="bottom"/>
          </w:tcPr>
          <w:p w14:paraId="74DDC5AC" w14:textId="77777777" w:rsidR="00584EC1" w:rsidRDefault="00584EC1">
            <w:pPr>
              <w:rPr>
                <w:rFonts w:ascii="宋体"/>
                <w:vanish/>
              </w:rPr>
            </w:pPr>
          </w:p>
        </w:tc>
        <w:tc>
          <w:tcPr>
            <w:tcW w:w="0" w:type="auto"/>
            <w:gridSpan w:val="3"/>
            <w:shd w:val="clear" w:color="auto" w:fill="auto"/>
            <w:vAlign w:val="bottom"/>
          </w:tcPr>
          <w:p w14:paraId="74DDC5AD" w14:textId="77777777" w:rsidR="00584EC1" w:rsidRDefault="00584EC1">
            <w:pPr>
              <w:rPr>
                <w:rFonts w:ascii="宋体"/>
                <w:vanish/>
              </w:rPr>
            </w:pPr>
          </w:p>
        </w:tc>
        <w:tc>
          <w:tcPr>
            <w:tcW w:w="0" w:type="auto"/>
            <w:gridSpan w:val="3"/>
            <w:shd w:val="clear" w:color="auto" w:fill="auto"/>
            <w:vAlign w:val="bottom"/>
          </w:tcPr>
          <w:p w14:paraId="74DDC5AE" w14:textId="77777777" w:rsidR="00584EC1" w:rsidRDefault="00584EC1">
            <w:pPr>
              <w:rPr>
                <w:rFonts w:ascii="宋体"/>
                <w:vanish/>
              </w:rPr>
            </w:pPr>
          </w:p>
        </w:tc>
        <w:tc>
          <w:tcPr>
            <w:tcW w:w="0" w:type="auto"/>
            <w:gridSpan w:val="3"/>
            <w:shd w:val="clear" w:color="auto" w:fill="auto"/>
            <w:vAlign w:val="bottom"/>
          </w:tcPr>
          <w:p w14:paraId="74DDC5AF" w14:textId="77777777" w:rsidR="00584EC1" w:rsidRDefault="00584EC1">
            <w:pPr>
              <w:rPr>
                <w:rFonts w:ascii="宋体"/>
                <w:vanish/>
              </w:rPr>
            </w:pPr>
          </w:p>
        </w:tc>
        <w:tc>
          <w:tcPr>
            <w:tcW w:w="0" w:type="auto"/>
            <w:gridSpan w:val="3"/>
            <w:shd w:val="clear" w:color="auto" w:fill="auto"/>
            <w:vAlign w:val="bottom"/>
          </w:tcPr>
          <w:p w14:paraId="74DDC5B0" w14:textId="77777777" w:rsidR="00584EC1" w:rsidRDefault="00584EC1">
            <w:pPr>
              <w:rPr>
                <w:rFonts w:ascii="宋体"/>
                <w:vanish/>
              </w:rPr>
            </w:pPr>
          </w:p>
        </w:tc>
        <w:tc>
          <w:tcPr>
            <w:tcW w:w="0" w:type="auto"/>
            <w:gridSpan w:val="3"/>
            <w:shd w:val="clear" w:color="auto" w:fill="auto"/>
            <w:vAlign w:val="bottom"/>
          </w:tcPr>
          <w:p w14:paraId="74DDC5B1" w14:textId="77777777" w:rsidR="00584EC1" w:rsidRDefault="00584EC1">
            <w:pPr>
              <w:rPr>
                <w:rFonts w:ascii="宋体"/>
                <w:vanish/>
              </w:rPr>
            </w:pPr>
          </w:p>
        </w:tc>
        <w:tc>
          <w:tcPr>
            <w:tcW w:w="0" w:type="auto"/>
            <w:gridSpan w:val="3"/>
            <w:shd w:val="clear" w:color="auto" w:fill="auto"/>
            <w:vAlign w:val="bottom"/>
          </w:tcPr>
          <w:p w14:paraId="74DDC5B2" w14:textId="77777777" w:rsidR="00584EC1" w:rsidRDefault="00584EC1">
            <w:pPr>
              <w:rPr>
                <w:rFonts w:ascii="宋体"/>
                <w:vanish/>
              </w:rPr>
            </w:pPr>
          </w:p>
        </w:tc>
        <w:tc>
          <w:tcPr>
            <w:tcW w:w="0" w:type="auto"/>
            <w:gridSpan w:val="3"/>
            <w:shd w:val="clear" w:color="auto" w:fill="auto"/>
            <w:vAlign w:val="bottom"/>
          </w:tcPr>
          <w:p w14:paraId="74DDC5B3" w14:textId="77777777" w:rsidR="00584EC1" w:rsidRDefault="00584EC1">
            <w:pPr>
              <w:rPr>
                <w:rFonts w:ascii="宋体"/>
                <w:vanish/>
              </w:rPr>
            </w:pPr>
          </w:p>
        </w:tc>
        <w:tc>
          <w:tcPr>
            <w:tcW w:w="0" w:type="auto"/>
            <w:gridSpan w:val="2"/>
            <w:shd w:val="clear" w:color="auto" w:fill="auto"/>
            <w:vAlign w:val="bottom"/>
          </w:tcPr>
          <w:p w14:paraId="74DDC5B4" w14:textId="77777777" w:rsidR="00584EC1" w:rsidRDefault="00584EC1">
            <w:pPr>
              <w:rPr>
                <w:rFonts w:ascii="宋体"/>
                <w:vanish/>
              </w:rPr>
            </w:pPr>
          </w:p>
        </w:tc>
        <w:tc>
          <w:tcPr>
            <w:tcW w:w="0" w:type="auto"/>
            <w:shd w:val="clear" w:color="auto" w:fill="auto"/>
            <w:vAlign w:val="bottom"/>
          </w:tcPr>
          <w:p w14:paraId="74DDC5B5" w14:textId="77777777" w:rsidR="00584EC1" w:rsidRDefault="00584EC1">
            <w:pPr>
              <w:rPr>
                <w:rFonts w:ascii="宋体"/>
                <w:vanish/>
              </w:rPr>
            </w:pPr>
          </w:p>
        </w:tc>
      </w:tr>
      <w:tr w:rsidR="00584EC1" w14:paraId="74DDC5CD" w14:textId="77777777">
        <w:tc>
          <w:tcPr>
            <w:tcW w:w="0" w:type="auto"/>
            <w:gridSpan w:val="3"/>
            <w:shd w:val="clear" w:color="auto" w:fill="auto"/>
            <w:tcMar>
              <w:top w:w="40" w:type="dxa"/>
              <w:left w:w="20" w:type="dxa"/>
              <w:bottom w:w="40" w:type="dxa"/>
              <w:right w:w="20" w:type="dxa"/>
            </w:tcMar>
            <w:vAlign w:val="center"/>
          </w:tcPr>
          <w:p w14:paraId="74DDC5B7" w14:textId="77777777" w:rsidR="00584EC1" w:rsidRDefault="00871F8D">
            <w:pPr>
              <w:textAlignment w:val="center"/>
            </w:pPr>
            <w:r>
              <w:rPr>
                <w:rFonts w:ascii="Arial" w:eastAsia="宋体" w:hAnsi="Arial" w:cs="Arial"/>
                <w:color w:val="000000"/>
                <w:sz w:val="12"/>
                <w:szCs w:val="12"/>
              </w:rPr>
              <w:t>Asset-backed securities:</w:t>
            </w:r>
          </w:p>
        </w:tc>
        <w:tc>
          <w:tcPr>
            <w:tcW w:w="0" w:type="auto"/>
            <w:gridSpan w:val="3"/>
            <w:shd w:val="clear" w:color="auto" w:fill="auto"/>
            <w:tcMar>
              <w:top w:w="0" w:type="dxa"/>
              <w:left w:w="20" w:type="dxa"/>
              <w:bottom w:w="0" w:type="dxa"/>
              <w:right w:w="20" w:type="dxa"/>
            </w:tcMar>
            <w:vAlign w:val="bottom"/>
          </w:tcPr>
          <w:p w14:paraId="74DDC5B8"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5B9"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5BA"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5BB"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5BC"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5BD"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5BE" w14:textId="77777777" w:rsidR="00584EC1" w:rsidRDefault="00584EC1">
            <w:pPr>
              <w:rPr>
                <w:rFonts w:ascii="宋体"/>
              </w:rPr>
            </w:pPr>
          </w:p>
        </w:tc>
        <w:tc>
          <w:tcPr>
            <w:tcW w:w="0" w:type="auto"/>
            <w:shd w:val="clear" w:color="auto" w:fill="auto"/>
            <w:vAlign w:val="bottom"/>
          </w:tcPr>
          <w:p w14:paraId="74DDC5BF" w14:textId="77777777" w:rsidR="00584EC1" w:rsidRDefault="00584EC1">
            <w:pPr>
              <w:rPr>
                <w:rFonts w:ascii="宋体"/>
                <w:vanish/>
              </w:rPr>
            </w:pPr>
          </w:p>
        </w:tc>
        <w:tc>
          <w:tcPr>
            <w:tcW w:w="0" w:type="auto"/>
            <w:shd w:val="clear" w:color="auto" w:fill="auto"/>
            <w:vAlign w:val="bottom"/>
          </w:tcPr>
          <w:p w14:paraId="74DDC5C0" w14:textId="77777777" w:rsidR="00584EC1" w:rsidRDefault="00584EC1">
            <w:pPr>
              <w:rPr>
                <w:rFonts w:ascii="宋体"/>
                <w:vanish/>
              </w:rPr>
            </w:pPr>
          </w:p>
        </w:tc>
        <w:tc>
          <w:tcPr>
            <w:tcW w:w="0" w:type="auto"/>
            <w:gridSpan w:val="3"/>
            <w:shd w:val="clear" w:color="auto" w:fill="auto"/>
            <w:tcMar>
              <w:top w:w="0" w:type="dxa"/>
              <w:left w:w="20" w:type="dxa"/>
              <w:bottom w:w="0" w:type="dxa"/>
              <w:right w:w="20" w:type="dxa"/>
            </w:tcMar>
            <w:vAlign w:val="bottom"/>
          </w:tcPr>
          <w:p w14:paraId="74DDC5C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5C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5C3"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5C4"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5C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5C6"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5C7"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5C8"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5C9"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5CA" w14:textId="77777777" w:rsidR="00584EC1" w:rsidRDefault="00584EC1">
            <w:pPr>
              <w:rPr>
                <w:rFonts w:ascii="宋体"/>
              </w:rPr>
            </w:pPr>
          </w:p>
        </w:tc>
        <w:tc>
          <w:tcPr>
            <w:tcW w:w="0" w:type="auto"/>
            <w:gridSpan w:val="2"/>
            <w:shd w:val="clear" w:color="auto" w:fill="auto"/>
            <w:tcMar>
              <w:top w:w="0" w:type="dxa"/>
              <w:left w:w="20" w:type="dxa"/>
              <w:bottom w:w="0" w:type="dxa"/>
              <w:right w:w="20" w:type="dxa"/>
            </w:tcMar>
            <w:vAlign w:val="bottom"/>
          </w:tcPr>
          <w:p w14:paraId="74DDC5CB" w14:textId="77777777" w:rsidR="00584EC1" w:rsidRDefault="00584EC1">
            <w:pPr>
              <w:rPr>
                <w:rFonts w:ascii="宋体"/>
              </w:rPr>
            </w:pPr>
          </w:p>
        </w:tc>
        <w:tc>
          <w:tcPr>
            <w:tcW w:w="0" w:type="auto"/>
            <w:shd w:val="clear" w:color="auto" w:fill="auto"/>
            <w:tcMar>
              <w:top w:w="0" w:type="dxa"/>
              <w:left w:w="20" w:type="dxa"/>
              <w:bottom w:w="0" w:type="dxa"/>
              <w:right w:w="20" w:type="dxa"/>
            </w:tcMar>
            <w:vAlign w:val="bottom"/>
          </w:tcPr>
          <w:p w14:paraId="74DDC5CC" w14:textId="77777777" w:rsidR="00584EC1" w:rsidRDefault="00584EC1">
            <w:pPr>
              <w:rPr>
                <w:rFonts w:ascii="宋体"/>
              </w:rPr>
            </w:pPr>
          </w:p>
        </w:tc>
      </w:tr>
      <w:tr w:rsidR="00871F8D" w14:paraId="74DDC5F6" w14:textId="77777777">
        <w:tc>
          <w:tcPr>
            <w:tcW w:w="0" w:type="auto"/>
            <w:gridSpan w:val="3"/>
            <w:shd w:val="clear" w:color="auto" w:fill="CCEEFF"/>
            <w:tcMar>
              <w:top w:w="40" w:type="dxa"/>
              <w:left w:w="155" w:type="dxa"/>
              <w:bottom w:w="40" w:type="dxa"/>
              <w:right w:w="20" w:type="dxa"/>
            </w:tcMar>
            <w:vAlign w:val="center"/>
          </w:tcPr>
          <w:p w14:paraId="74DDC5CE" w14:textId="77777777" w:rsidR="00584EC1" w:rsidRDefault="00871F8D">
            <w:pPr>
              <w:textAlignment w:val="center"/>
            </w:pPr>
            <w:r>
              <w:rPr>
                <w:rFonts w:ascii="Arial" w:eastAsia="宋体" w:hAnsi="Arial" w:cs="Arial"/>
                <w:color w:val="000000"/>
                <w:sz w:val="12"/>
                <w:szCs w:val="12"/>
              </w:rPr>
              <w:t>Collateralized loan obligations</w:t>
            </w:r>
          </w:p>
        </w:tc>
        <w:tc>
          <w:tcPr>
            <w:tcW w:w="0" w:type="auto"/>
            <w:shd w:val="clear" w:color="auto" w:fill="CCEEFF"/>
            <w:tcMar>
              <w:top w:w="40" w:type="dxa"/>
              <w:left w:w="20" w:type="dxa"/>
              <w:bottom w:w="40" w:type="dxa"/>
              <w:right w:w="0" w:type="dxa"/>
            </w:tcMar>
            <w:vAlign w:val="center"/>
          </w:tcPr>
          <w:p w14:paraId="74DDC5CF" w14:textId="77777777" w:rsidR="00584EC1" w:rsidRDefault="00871F8D">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74DDC5D0" w14:textId="77777777" w:rsidR="00584EC1" w:rsidRDefault="00871F8D">
            <w:pPr>
              <w:jc w:val="right"/>
              <w:textAlignment w:val="center"/>
            </w:pPr>
            <w:r>
              <w:rPr>
                <w:rFonts w:ascii="Arial" w:eastAsia="宋体" w:hAnsi="Arial" w:cs="Arial"/>
                <w:color w:val="000000"/>
                <w:sz w:val="12"/>
                <w:szCs w:val="12"/>
              </w:rPr>
              <w:t>1,869 </w:t>
            </w:r>
          </w:p>
        </w:tc>
        <w:tc>
          <w:tcPr>
            <w:tcW w:w="0" w:type="auto"/>
            <w:shd w:val="clear" w:color="auto" w:fill="CCEEFF"/>
            <w:tcMar>
              <w:top w:w="40" w:type="dxa"/>
              <w:left w:w="0" w:type="dxa"/>
              <w:bottom w:w="40" w:type="dxa"/>
              <w:right w:w="20" w:type="dxa"/>
            </w:tcMar>
            <w:vAlign w:val="center"/>
          </w:tcPr>
          <w:p w14:paraId="74DDC5D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5D2" w14:textId="77777777" w:rsidR="00584EC1" w:rsidRDefault="00584EC1">
            <w:pPr>
              <w:rPr>
                <w:rFonts w:ascii="宋体"/>
              </w:rPr>
            </w:pPr>
          </w:p>
        </w:tc>
        <w:tc>
          <w:tcPr>
            <w:tcW w:w="0" w:type="auto"/>
            <w:shd w:val="clear" w:color="auto" w:fill="CCEEFF"/>
            <w:tcMar>
              <w:top w:w="40" w:type="dxa"/>
              <w:left w:w="20" w:type="dxa"/>
              <w:bottom w:w="40" w:type="dxa"/>
              <w:right w:w="0" w:type="dxa"/>
            </w:tcMar>
            <w:vAlign w:val="center"/>
          </w:tcPr>
          <w:p w14:paraId="74DDC5D3" w14:textId="77777777" w:rsidR="00584EC1" w:rsidRDefault="00871F8D">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74DDC5D4" w14:textId="77777777" w:rsidR="00584EC1" w:rsidRDefault="00871F8D">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4DDC5D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5D6" w14:textId="77777777" w:rsidR="00584EC1" w:rsidRDefault="00584EC1">
            <w:pPr>
              <w:rPr>
                <w:rFonts w:ascii="宋体"/>
              </w:rPr>
            </w:pPr>
          </w:p>
        </w:tc>
        <w:tc>
          <w:tcPr>
            <w:tcW w:w="0" w:type="auto"/>
            <w:shd w:val="clear" w:color="auto" w:fill="CCEEFF"/>
            <w:tcMar>
              <w:top w:w="40" w:type="dxa"/>
              <w:left w:w="20" w:type="dxa"/>
              <w:bottom w:w="40" w:type="dxa"/>
              <w:right w:w="0" w:type="dxa"/>
            </w:tcMar>
            <w:vAlign w:val="center"/>
          </w:tcPr>
          <w:p w14:paraId="74DDC5D7" w14:textId="77777777" w:rsidR="00584EC1" w:rsidRDefault="00871F8D">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74DDC5D8" w14:textId="77777777" w:rsidR="00584EC1" w:rsidRDefault="00871F8D">
            <w:pPr>
              <w:jc w:val="right"/>
              <w:textAlignment w:val="center"/>
            </w:pPr>
            <w:r>
              <w:rPr>
                <w:rFonts w:ascii="Arial" w:eastAsia="宋体" w:hAnsi="Arial" w:cs="Arial"/>
                <w:color w:val="000000"/>
                <w:sz w:val="12"/>
                <w:szCs w:val="12"/>
              </w:rPr>
              <w:t>14 </w:t>
            </w:r>
          </w:p>
        </w:tc>
        <w:tc>
          <w:tcPr>
            <w:tcW w:w="0" w:type="auto"/>
            <w:shd w:val="clear" w:color="auto" w:fill="CCEEFF"/>
            <w:tcMar>
              <w:top w:w="40" w:type="dxa"/>
              <w:left w:w="0" w:type="dxa"/>
              <w:bottom w:w="40" w:type="dxa"/>
              <w:right w:w="20" w:type="dxa"/>
            </w:tcMar>
            <w:vAlign w:val="center"/>
          </w:tcPr>
          <w:p w14:paraId="74DDC5D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5DA" w14:textId="77777777" w:rsidR="00584EC1" w:rsidRDefault="00584EC1">
            <w:pPr>
              <w:rPr>
                <w:rFonts w:ascii="宋体"/>
              </w:rPr>
            </w:pPr>
          </w:p>
        </w:tc>
        <w:tc>
          <w:tcPr>
            <w:tcW w:w="0" w:type="auto"/>
            <w:shd w:val="clear" w:color="auto" w:fill="CCEEFF"/>
            <w:tcMar>
              <w:top w:w="40" w:type="dxa"/>
              <w:left w:w="20" w:type="dxa"/>
              <w:bottom w:w="40" w:type="dxa"/>
              <w:right w:w="0" w:type="dxa"/>
            </w:tcMar>
            <w:vAlign w:val="center"/>
          </w:tcPr>
          <w:p w14:paraId="74DDC5DB" w14:textId="77777777" w:rsidR="00584EC1" w:rsidRDefault="00871F8D">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74DDC5DC" w14:textId="77777777" w:rsidR="00584EC1" w:rsidRDefault="00871F8D">
            <w:pPr>
              <w:jc w:val="right"/>
              <w:textAlignment w:val="center"/>
            </w:pPr>
            <w:r>
              <w:rPr>
                <w:rFonts w:ascii="Arial" w:eastAsia="宋体" w:hAnsi="Arial" w:cs="Arial"/>
                <w:color w:val="000000"/>
                <w:sz w:val="12"/>
                <w:szCs w:val="12"/>
              </w:rPr>
              <w:t>663 </w:t>
            </w:r>
          </w:p>
        </w:tc>
        <w:tc>
          <w:tcPr>
            <w:tcW w:w="0" w:type="auto"/>
            <w:shd w:val="clear" w:color="auto" w:fill="CCEEFF"/>
            <w:tcMar>
              <w:top w:w="40" w:type="dxa"/>
              <w:left w:w="0" w:type="dxa"/>
              <w:bottom w:w="40" w:type="dxa"/>
              <w:right w:w="20" w:type="dxa"/>
            </w:tcMar>
            <w:vAlign w:val="center"/>
          </w:tcPr>
          <w:p w14:paraId="74DDC5DD" w14:textId="77777777" w:rsidR="00584EC1" w:rsidRDefault="00584EC1">
            <w:pPr>
              <w:jc w:val="right"/>
              <w:rPr>
                <w:rFonts w:ascii="宋体"/>
              </w:rPr>
            </w:pPr>
          </w:p>
        </w:tc>
        <w:tc>
          <w:tcPr>
            <w:tcW w:w="0" w:type="auto"/>
            <w:shd w:val="clear" w:color="auto" w:fill="auto"/>
            <w:vAlign w:val="bottom"/>
          </w:tcPr>
          <w:p w14:paraId="74DDC5DE" w14:textId="77777777" w:rsidR="00584EC1" w:rsidRDefault="00584EC1">
            <w:pPr>
              <w:rPr>
                <w:rFonts w:ascii="宋体"/>
                <w:vanish/>
              </w:rPr>
            </w:pPr>
          </w:p>
        </w:tc>
        <w:tc>
          <w:tcPr>
            <w:tcW w:w="0" w:type="auto"/>
            <w:shd w:val="clear" w:color="auto" w:fill="auto"/>
            <w:vAlign w:val="bottom"/>
          </w:tcPr>
          <w:p w14:paraId="74DDC5DF" w14:textId="77777777" w:rsidR="00584EC1" w:rsidRDefault="00584EC1">
            <w:pPr>
              <w:rPr>
                <w:rFonts w:ascii="宋体"/>
                <w:vanish/>
              </w:rPr>
            </w:pPr>
          </w:p>
        </w:tc>
        <w:tc>
          <w:tcPr>
            <w:tcW w:w="0" w:type="auto"/>
            <w:gridSpan w:val="3"/>
            <w:shd w:val="clear" w:color="auto" w:fill="CCEEFF"/>
            <w:tcMar>
              <w:top w:w="0" w:type="dxa"/>
              <w:left w:w="20" w:type="dxa"/>
              <w:bottom w:w="0" w:type="dxa"/>
              <w:right w:w="20" w:type="dxa"/>
            </w:tcMar>
            <w:vAlign w:val="bottom"/>
          </w:tcPr>
          <w:p w14:paraId="74DDC5E0" w14:textId="77777777" w:rsidR="00584EC1" w:rsidRDefault="00584EC1">
            <w:pPr>
              <w:rPr>
                <w:rFonts w:ascii="宋体"/>
              </w:rPr>
            </w:pPr>
          </w:p>
        </w:tc>
        <w:tc>
          <w:tcPr>
            <w:tcW w:w="0" w:type="auto"/>
            <w:shd w:val="clear" w:color="auto" w:fill="CCEEFF"/>
            <w:tcMar>
              <w:top w:w="40" w:type="dxa"/>
              <w:left w:w="20" w:type="dxa"/>
              <w:bottom w:w="40" w:type="dxa"/>
              <w:right w:w="0" w:type="dxa"/>
            </w:tcMar>
            <w:vAlign w:val="center"/>
          </w:tcPr>
          <w:p w14:paraId="74DDC5E1" w14:textId="77777777" w:rsidR="00584EC1" w:rsidRDefault="00871F8D">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74DDC5E2" w14:textId="77777777" w:rsidR="00584EC1" w:rsidRDefault="00871F8D">
            <w:pPr>
              <w:jc w:val="right"/>
              <w:textAlignment w:val="center"/>
            </w:pPr>
            <w:r>
              <w:rPr>
                <w:rFonts w:ascii="Arial" w:eastAsia="宋体" w:hAnsi="Arial" w:cs="Arial"/>
                <w:color w:val="000000"/>
                <w:sz w:val="12"/>
                <w:szCs w:val="12"/>
              </w:rPr>
              <w:t>(34)</w:t>
            </w:r>
          </w:p>
        </w:tc>
        <w:tc>
          <w:tcPr>
            <w:tcW w:w="0" w:type="auto"/>
            <w:shd w:val="clear" w:color="auto" w:fill="CCEEFF"/>
            <w:tcMar>
              <w:top w:w="40" w:type="dxa"/>
              <w:left w:w="0" w:type="dxa"/>
              <w:bottom w:w="40" w:type="dxa"/>
              <w:right w:w="20" w:type="dxa"/>
            </w:tcMar>
            <w:vAlign w:val="center"/>
          </w:tcPr>
          <w:p w14:paraId="74DDC5E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5E4" w14:textId="77777777" w:rsidR="00584EC1" w:rsidRDefault="00584EC1">
            <w:pPr>
              <w:rPr>
                <w:rFonts w:ascii="宋体"/>
              </w:rPr>
            </w:pPr>
          </w:p>
        </w:tc>
        <w:tc>
          <w:tcPr>
            <w:tcW w:w="0" w:type="auto"/>
            <w:shd w:val="clear" w:color="auto" w:fill="CCEEFF"/>
            <w:tcMar>
              <w:top w:w="40" w:type="dxa"/>
              <w:left w:w="20" w:type="dxa"/>
              <w:bottom w:w="40" w:type="dxa"/>
              <w:right w:w="0" w:type="dxa"/>
            </w:tcMar>
            <w:vAlign w:val="center"/>
          </w:tcPr>
          <w:p w14:paraId="74DDC5E5" w14:textId="77777777" w:rsidR="00584EC1" w:rsidRDefault="00871F8D">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74DDC5E6" w14:textId="77777777" w:rsidR="00584EC1" w:rsidRDefault="00871F8D">
            <w:pPr>
              <w:jc w:val="right"/>
              <w:textAlignment w:val="center"/>
            </w:pPr>
            <w:r>
              <w:rPr>
                <w:rFonts w:ascii="Arial" w:eastAsia="宋体" w:hAnsi="Arial" w:cs="Arial"/>
                <w:color w:val="000000"/>
                <w:sz w:val="12"/>
                <w:szCs w:val="12"/>
              </w:rPr>
              <w:t>(24)</w:t>
            </w:r>
          </w:p>
        </w:tc>
        <w:tc>
          <w:tcPr>
            <w:tcW w:w="0" w:type="auto"/>
            <w:shd w:val="clear" w:color="auto" w:fill="CCEEFF"/>
            <w:tcMar>
              <w:top w:w="40" w:type="dxa"/>
              <w:left w:w="0" w:type="dxa"/>
              <w:bottom w:w="40" w:type="dxa"/>
              <w:right w:w="20" w:type="dxa"/>
            </w:tcMar>
            <w:vAlign w:val="center"/>
          </w:tcPr>
          <w:p w14:paraId="74DDC5E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5E8" w14:textId="77777777" w:rsidR="00584EC1" w:rsidRDefault="00584EC1">
            <w:pPr>
              <w:rPr>
                <w:rFonts w:ascii="宋体"/>
              </w:rPr>
            </w:pPr>
          </w:p>
        </w:tc>
        <w:tc>
          <w:tcPr>
            <w:tcW w:w="0" w:type="auto"/>
            <w:shd w:val="clear" w:color="auto" w:fill="CCEEFF"/>
            <w:tcMar>
              <w:top w:w="40" w:type="dxa"/>
              <w:left w:w="20" w:type="dxa"/>
              <w:bottom w:w="40" w:type="dxa"/>
              <w:right w:w="0" w:type="dxa"/>
            </w:tcMar>
            <w:vAlign w:val="center"/>
          </w:tcPr>
          <w:p w14:paraId="74DDC5E9" w14:textId="77777777" w:rsidR="00584EC1" w:rsidRDefault="00871F8D">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74DDC5EA" w14:textId="77777777" w:rsidR="00584EC1" w:rsidRDefault="00871F8D">
            <w:pPr>
              <w:jc w:val="right"/>
              <w:textAlignment w:val="center"/>
            </w:pPr>
            <w:r>
              <w:rPr>
                <w:rFonts w:ascii="Arial" w:eastAsia="宋体" w:hAnsi="Arial" w:cs="Arial"/>
                <w:color w:val="000000"/>
                <w:sz w:val="12"/>
                <w:szCs w:val="12"/>
              </w:rPr>
              <w:t>50 </w:t>
            </w:r>
          </w:p>
        </w:tc>
        <w:tc>
          <w:tcPr>
            <w:tcW w:w="0" w:type="auto"/>
            <w:shd w:val="clear" w:color="auto" w:fill="CCEEFF"/>
            <w:tcMar>
              <w:top w:w="40" w:type="dxa"/>
              <w:left w:w="0" w:type="dxa"/>
              <w:bottom w:w="40" w:type="dxa"/>
              <w:right w:w="20" w:type="dxa"/>
            </w:tcMar>
            <w:vAlign w:val="center"/>
          </w:tcPr>
          <w:p w14:paraId="74DDC5E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5EC" w14:textId="77777777" w:rsidR="00584EC1" w:rsidRDefault="00584EC1">
            <w:pPr>
              <w:rPr>
                <w:rFonts w:ascii="宋体"/>
              </w:rPr>
            </w:pPr>
          </w:p>
        </w:tc>
        <w:tc>
          <w:tcPr>
            <w:tcW w:w="0" w:type="auto"/>
            <w:shd w:val="clear" w:color="auto" w:fill="CCEEFF"/>
            <w:tcMar>
              <w:top w:w="40" w:type="dxa"/>
              <w:left w:w="20" w:type="dxa"/>
              <w:bottom w:w="40" w:type="dxa"/>
              <w:right w:w="0" w:type="dxa"/>
            </w:tcMar>
            <w:vAlign w:val="center"/>
          </w:tcPr>
          <w:p w14:paraId="74DDC5ED" w14:textId="77777777" w:rsidR="00584EC1" w:rsidRDefault="00871F8D">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74DDC5EE" w14:textId="77777777" w:rsidR="00584EC1" w:rsidRDefault="00871F8D">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4DDC5E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5F0" w14:textId="77777777" w:rsidR="00584EC1" w:rsidRDefault="00584EC1">
            <w:pPr>
              <w:rPr>
                <w:rFonts w:ascii="宋体"/>
              </w:rPr>
            </w:pPr>
          </w:p>
        </w:tc>
        <w:tc>
          <w:tcPr>
            <w:tcW w:w="0" w:type="auto"/>
            <w:shd w:val="clear" w:color="auto" w:fill="CCEEFF"/>
            <w:tcMar>
              <w:top w:w="40" w:type="dxa"/>
              <w:left w:w="20" w:type="dxa"/>
              <w:bottom w:w="40" w:type="dxa"/>
              <w:right w:w="0" w:type="dxa"/>
            </w:tcMar>
            <w:vAlign w:val="center"/>
          </w:tcPr>
          <w:p w14:paraId="74DDC5F1" w14:textId="77777777" w:rsidR="00584EC1" w:rsidRDefault="00871F8D">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74DDC5F2" w14:textId="77777777" w:rsidR="00584EC1" w:rsidRDefault="00871F8D">
            <w:pPr>
              <w:jc w:val="right"/>
              <w:textAlignment w:val="center"/>
            </w:pPr>
            <w:r>
              <w:rPr>
                <w:rFonts w:ascii="Arial" w:eastAsia="宋体" w:hAnsi="Arial" w:cs="Arial"/>
                <w:color w:val="000000"/>
                <w:sz w:val="12"/>
                <w:szCs w:val="12"/>
              </w:rPr>
              <w:t>2,538 </w:t>
            </w:r>
          </w:p>
        </w:tc>
        <w:tc>
          <w:tcPr>
            <w:tcW w:w="0" w:type="auto"/>
            <w:shd w:val="clear" w:color="auto" w:fill="CCEEFF"/>
            <w:tcMar>
              <w:top w:w="40" w:type="dxa"/>
              <w:left w:w="0" w:type="dxa"/>
              <w:bottom w:w="40" w:type="dxa"/>
              <w:right w:w="20" w:type="dxa"/>
            </w:tcMar>
            <w:vAlign w:val="center"/>
          </w:tcPr>
          <w:p w14:paraId="74DDC5F3" w14:textId="77777777" w:rsidR="00584EC1" w:rsidRDefault="00584EC1">
            <w:pPr>
              <w:jc w:val="right"/>
              <w:rPr>
                <w:rFonts w:ascii="宋体"/>
              </w:rPr>
            </w:pPr>
          </w:p>
        </w:tc>
        <w:tc>
          <w:tcPr>
            <w:tcW w:w="0" w:type="auto"/>
            <w:gridSpan w:val="2"/>
            <w:shd w:val="clear" w:color="auto" w:fill="CCEEFF"/>
            <w:tcMar>
              <w:top w:w="0" w:type="dxa"/>
              <w:left w:w="20" w:type="dxa"/>
              <w:bottom w:w="0" w:type="dxa"/>
              <w:right w:w="20" w:type="dxa"/>
            </w:tcMar>
            <w:vAlign w:val="bottom"/>
          </w:tcPr>
          <w:p w14:paraId="74DDC5F4" w14:textId="77777777" w:rsidR="00584EC1" w:rsidRDefault="00584EC1">
            <w:pPr>
              <w:rPr>
                <w:rFonts w:ascii="宋体"/>
              </w:rPr>
            </w:pPr>
          </w:p>
        </w:tc>
        <w:tc>
          <w:tcPr>
            <w:tcW w:w="0" w:type="auto"/>
            <w:shd w:val="clear" w:color="auto" w:fill="CCEEFF"/>
            <w:tcMar>
              <w:top w:w="0" w:type="dxa"/>
              <w:left w:w="20" w:type="dxa"/>
              <w:bottom w:w="0" w:type="dxa"/>
              <w:right w:w="20" w:type="dxa"/>
            </w:tcMar>
            <w:vAlign w:val="bottom"/>
          </w:tcPr>
          <w:p w14:paraId="74DDC5F5" w14:textId="77777777" w:rsidR="00584EC1" w:rsidRDefault="00584EC1">
            <w:pPr>
              <w:rPr>
                <w:rFonts w:ascii="宋体"/>
              </w:rPr>
            </w:pPr>
          </w:p>
        </w:tc>
      </w:tr>
      <w:tr w:rsidR="00584EC1" w14:paraId="74DDC60D" w14:textId="77777777">
        <w:trPr>
          <w:hidden/>
        </w:trPr>
        <w:tc>
          <w:tcPr>
            <w:tcW w:w="0" w:type="auto"/>
            <w:gridSpan w:val="3"/>
            <w:shd w:val="clear" w:color="auto" w:fill="auto"/>
            <w:vAlign w:val="bottom"/>
          </w:tcPr>
          <w:p w14:paraId="74DDC5F7" w14:textId="77777777" w:rsidR="00584EC1" w:rsidRDefault="00584EC1">
            <w:pPr>
              <w:rPr>
                <w:rFonts w:ascii="宋体"/>
                <w:vanish/>
              </w:rPr>
            </w:pPr>
          </w:p>
        </w:tc>
        <w:tc>
          <w:tcPr>
            <w:tcW w:w="0" w:type="auto"/>
            <w:gridSpan w:val="3"/>
            <w:shd w:val="clear" w:color="auto" w:fill="auto"/>
            <w:vAlign w:val="bottom"/>
          </w:tcPr>
          <w:p w14:paraId="74DDC5F8" w14:textId="77777777" w:rsidR="00584EC1" w:rsidRDefault="00584EC1">
            <w:pPr>
              <w:rPr>
                <w:rFonts w:ascii="宋体"/>
                <w:vanish/>
              </w:rPr>
            </w:pPr>
          </w:p>
        </w:tc>
        <w:tc>
          <w:tcPr>
            <w:tcW w:w="0" w:type="auto"/>
            <w:gridSpan w:val="3"/>
            <w:shd w:val="clear" w:color="auto" w:fill="auto"/>
            <w:vAlign w:val="bottom"/>
          </w:tcPr>
          <w:p w14:paraId="74DDC5F9" w14:textId="77777777" w:rsidR="00584EC1" w:rsidRDefault="00584EC1">
            <w:pPr>
              <w:rPr>
                <w:rFonts w:ascii="宋体"/>
                <w:vanish/>
              </w:rPr>
            </w:pPr>
          </w:p>
        </w:tc>
        <w:tc>
          <w:tcPr>
            <w:tcW w:w="0" w:type="auto"/>
            <w:gridSpan w:val="3"/>
            <w:shd w:val="clear" w:color="auto" w:fill="auto"/>
            <w:vAlign w:val="bottom"/>
          </w:tcPr>
          <w:p w14:paraId="74DDC5FA" w14:textId="77777777" w:rsidR="00584EC1" w:rsidRDefault="00584EC1">
            <w:pPr>
              <w:rPr>
                <w:rFonts w:ascii="宋体"/>
                <w:vanish/>
              </w:rPr>
            </w:pPr>
          </w:p>
        </w:tc>
        <w:tc>
          <w:tcPr>
            <w:tcW w:w="0" w:type="auto"/>
            <w:gridSpan w:val="3"/>
            <w:shd w:val="clear" w:color="auto" w:fill="auto"/>
            <w:vAlign w:val="bottom"/>
          </w:tcPr>
          <w:p w14:paraId="74DDC5FB" w14:textId="77777777" w:rsidR="00584EC1" w:rsidRDefault="00584EC1">
            <w:pPr>
              <w:rPr>
                <w:rFonts w:ascii="宋体"/>
                <w:vanish/>
              </w:rPr>
            </w:pPr>
          </w:p>
        </w:tc>
        <w:tc>
          <w:tcPr>
            <w:tcW w:w="0" w:type="auto"/>
            <w:gridSpan w:val="3"/>
            <w:shd w:val="clear" w:color="auto" w:fill="auto"/>
            <w:vAlign w:val="bottom"/>
          </w:tcPr>
          <w:p w14:paraId="74DDC5FC" w14:textId="77777777" w:rsidR="00584EC1" w:rsidRDefault="00584EC1">
            <w:pPr>
              <w:rPr>
                <w:rFonts w:ascii="宋体"/>
                <w:vanish/>
              </w:rPr>
            </w:pPr>
          </w:p>
        </w:tc>
        <w:tc>
          <w:tcPr>
            <w:tcW w:w="0" w:type="auto"/>
            <w:gridSpan w:val="3"/>
            <w:shd w:val="clear" w:color="auto" w:fill="auto"/>
            <w:vAlign w:val="bottom"/>
          </w:tcPr>
          <w:p w14:paraId="74DDC5FD" w14:textId="77777777" w:rsidR="00584EC1" w:rsidRDefault="00584EC1">
            <w:pPr>
              <w:rPr>
                <w:rFonts w:ascii="宋体"/>
                <w:vanish/>
              </w:rPr>
            </w:pPr>
          </w:p>
        </w:tc>
        <w:tc>
          <w:tcPr>
            <w:tcW w:w="0" w:type="auto"/>
            <w:gridSpan w:val="3"/>
            <w:shd w:val="clear" w:color="auto" w:fill="auto"/>
            <w:vAlign w:val="bottom"/>
          </w:tcPr>
          <w:p w14:paraId="74DDC5FE" w14:textId="77777777" w:rsidR="00584EC1" w:rsidRDefault="00584EC1">
            <w:pPr>
              <w:rPr>
                <w:rFonts w:ascii="宋体"/>
                <w:vanish/>
              </w:rPr>
            </w:pPr>
          </w:p>
        </w:tc>
        <w:tc>
          <w:tcPr>
            <w:tcW w:w="0" w:type="auto"/>
            <w:shd w:val="clear" w:color="auto" w:fill="auto"/>
            <w:vAlign w:val="bottom"/>
          </w:tcPr>
          <w:p w14:paraId="74DDC5FF" w14:textId="77777777" w:rsidR="00584EC1" w:rsidRDefault="00584EC1">
            <w:pPr>
              <w:rPr>
                <w:rFonts w:ascii="宋体"/>
                <w:vanish/>
              </w:rPr>
            </w:pPr>
          </w:p>
        </w:tc>
        <w:tc>
          <w:tcPr>
            <w:tcW w:w="0" w:type="auto"/>
            <w:shd w:val="clear" w:color="auto" w:fill="auto"/>
            <w:vAlign w:val="bottom"/>
          </w:tcPr>
          <w:p w14:paraId="74DDC600" w14:textId="77777777" w:rsidR="00584EC1" w:rsidRDefault="00584EC1">
            <w:pPr>
              <w:rPr>
                <w:rFonts w:ascii="宋体"/>
                <w:vanish/>
              </w:rPr>
            </w:pPr>
          </w:p>
        </w:tc>
        <w:tc>
          <w:tcPr>
            <w:tcW w:w="0" w:type="auto"/>
            <w:gridSpan w:val="3"/>
            <w:shd w:val="clear" w:color="auto" w:fill="auto"/>
            <w:vAlign w:val="bottom"/>
          </w:tcPr>
          <w:p w14:paraId="74DDC601" w14:textId="77777777" w:rsidR="00584EC1" w:rsidRDefault="00584EC1">
            <w:pPr>
              <w:rPr>
                <w:rFonts w:ascii="宋体"/>
                <w:vanish/>
              </w:rPr>
            </w:pPr>
          </w:p>
        </w:tc>
        <w:tc>
          <w:tcPr>
            <w:tcW w:w="0" w:type="auto"/>
            <w:gridSpan w:val="3"/>
            <w:shd w:val="clear" w:color="auto" w:fill="auto"/>
            <w:vAlign w:val="bottom"/>
          </w:tcPr>
          <w:p w14:paraId="74DDC602" w14:textId="77777777" w:rsidR="00584EC1" w:rsidRDefault="00584EC1">
            <w:pPr>
              <w:rPr>
                <w:rFonts w:ascii="宋体"/>
                <w:vanish/>
              </w:rPr>
            </w:pPr>
          </w:p>
        </w:tc>
        <w:tc>
          <w:tcPr>
            <w:tcW w:w="0" w:type="auto"/>
            <w:gridSpan w:val="3"/>
            <w:shd w:val="clear" w:color="auto" w:fill="auto"/>
            <w:vAlign w:val="bottom"/>
          </w:tcPr>
          <w:p w14:paraId="74DDC603" w14:textId="77777777" w:rsidR="00584EC1" w:rsidRDefault="00584EC1">
            <w:pPr>
              <w:rPr>
                <w:rFonts w:ascii="宋体"/>
                <w:vanish/>
              </w:rPr>
            </w:pPr>
          </w:p>
        </w:tc>
        <w:tc>
          <w:tcPr>
            <w:tcW w:w="0" w:type="auto"/>
            <w:gridSpan w:val="3"/>
            <w:shd w:val="clear" w:color="auto" w:fill="auto"/>
            <w:vAlign w:val="bottom"/>
          </w:tcPr>
          <w:p w14:paraId="74DDC604" w14:textId="77777777" w:rsidR="00584EC1" w:rsidRDefault="00584EC1">
            <w:pPr>
              <w:rPr>
                <w:rFonts w:ascii="宋体"/>
                <w:vanish/>
              </w:rPr>
            </w:pPr>
          </w:p>
        </w:tc>
        <w:tc>
          <w:tcPr>
            <w:tcW w:w="0" w:type="auto"/>
            <w:gridSpan w:val="3"/>
            <w:shd w:val="clear" w:color="auto" w:fill="auto"/>
            <w:vAlign w:val="bottom"/>
          </w:tcPr>
          <w:p w14:paraId="74DDC605" w14:textId="77777777" w:rsidR="00584EC1" w:rsidRDefault="00584EC1">
            <w:pPr>
              <w:rPr>
                <w:rFonts w:ascii="宋体"/>
                <w:vanish/>
              </w:rPr>
            </w:pPr>
          </w:p>
        </w:tc>
        <w:tc>
          <w:tcPr>
            <w:tcW w:w="0" w:type="auto"/>
            <w:gridSpan w:val="3"/>
            <w:shd w:val="clear" w:color="auto" w:fill="auto"/>
            <w:vAlign w:val="bottom"/>
          </w:tcPr>
          <w:p w14:paraId="74DDC606" w14:textId="77777777" w:rsidR="00584EC1" w:rsidRDefault="00584EC1">
            <w:pPr>
              <w:rPr>
                <w:rFonts w:ascii="宋体"/>
                <w:vanish/>
              </w:rPr>
            </w:pPr>
          </w:p>
        </w:tc>
        <w:tc>
          <w:tcPr>
            <w:tcW w:w="0" w:type="auto"/>
            <w:gridSpan w:val="3"/>
            <w:shd w:val="clear" w:color="auto" w:fill="auto"/>
            <w:vAlign w:val="bottom"/>
          </w:tcPr>
          <w:p w14:paraId="74DDC607" w14:textId="77777777" w:rsidR="00584EC1" w:rsidRDefault="00584EC1">
            <w:pPr>
              <w:rPr>
                <w:rFonts w:ascii="宋体"/>
                <w:vanish/>
              </w:rPr>
            </w:pPr>
          </w:p>
        </w:tc>
        <w:tc>
          <w:tcPr>
            <w:tcW w:w="0" w:type="auto"/>
            <w:gridSpan w:val="3"/>
            <w:shd w:val="clear" w:color="auto" w:fill="auto"/>
            <w:vAlign w:val="bottom"/>
          </w:tcPr>
          <w:p w14:paraId="74DDC608" w14:textId="77777777" w:rsidR="00584EC1" w:rsidRDefault="00584EC1">
            <w:pPr>
              <w:rPr>
                <w:rFonts w:ascii="宋体"/>
                <w:vanish/>
              </w:rPr>
            </w:pPr>
          </w:p>
        </w:tc>
        <w:tc>
          <w:tcPr>
            <w:tcW w:w="0" w:type="auto"/>
            <w:gridSpan w:val="3"/>
            <w:shd w:val="clear" w:color="auto" w:fill="auto"/>
            <w:vAlign w:val="bottom"/>
          </w:tcPr>
          <w:p w14:paraId="74DDC609" w14:textId="77777777" w:rsidR="00584EC1" w:rsidRDefault="00584EC1">
            <w:pPr>
              <w:rPr>
                <w:rFonts w:ascii="宋体"/>
                <w:vanish/>
              </w:rPr>
            </w:pPr>
          </w:p>
        </w:tc>
        <w:tc>
          <w:tcPr>
            <w:tcW w:w="0" w:type="auto"/>
            <w:gridSpan w:val="3"/>
            <w:shd w:val="clear" w:color="auto" w:fill="auto"/>
            <w:vAlign w:val="bottom"/>
          </w:tcPr>
          <w:p w14:paraId="74DDC60A" w14:textId="77777777" w:rsidR="00584EC1" w:rsidRDefault="00584EC1">
            <w:pPr>
              <w:rPr>
                <w:rFonts w:ascii="宋体"/>
                <w:vanish/>
              </w:rPr>
            </w:pPr>
          </w:p>
        </w:tc>
        <w:tc>
          <w:tcPr>
            <w:tcW w:w="0" w:type="auto"/>
            <w:gridSpan w:val="2"/>
            <w:shd w:val="clear" w:color="auto" w:fill="auto"/>
            <w:vAlign w:val="bottom"/>
          </w:tcPr>
          <w:p w14:paraId="74DDC60B" w14:textId="77777777" w:rsidR="00584EC1" w:rsidRDefault="00584EC1">
            <w:pPr>
              <w:rPr>
                <w:rFonts w:ascii="宋体"/>
                <w:vanish/>
              </w:rPr>
            </w:pPr>
          </w:p>
        </w:tc>
        <w:tc>
          <w:tcPr>
            <w:tcW w:w="0" w:type="auto"/>
            <w:shd w:val="clear" w:color="auto" w:fill="auto"/>
            <w:vAlign w:val="bottom"/>
          </w:tcPr>
          <w:p w14:paraId="74DDC60C" w14:textId="77777777" w:rsidR="00584EC1" w:rsidRDefault="00584EC1">
            <w:pPr>
              <w:rPr>
                <w:rFonts w:ascii="宋体"/>
                <w:vanish/>
              </w:rPr>
            </w:pPr>
          </w:p>
        </w:tc>
      </w:tr>
      <w:tr w:rsidR="00584EC1" w14:paraId="74DDC62D" w14:textId="77777777">
        <w:tc>
          <w:tcPr>
            <w:tcW w:w="0" w:type="auto"/>
            <w:gridSpan w:val="3"/>
            <w:shd w:val="clear" w:color="auto" w:fill="FFFFFF"/>
            <w:tcMar>
              <w:top w:w="40" w:type="dxa"/>
              <w:left w:w="20" w:type="dxa"/>
              <w:bottom w:w="40" w:type="dxa"/>
              <w:right w:w="20" w:type="dxa"/>
            </w:tcMar>
            <w:vAlign w:val="center"/>
          </w:tcPr>
          <w:p w14:paraId="74DDC60E" w14:textId="77777777" w:rsidR="00584EC1" w:rsidRDefault="00871F8D">
            <w:pPr>
              <w:textAlignment w:val="center"/>
            </w:pPr>
            <w:r>
              <w:rPr>
                <w:rFonts w:ascii="Arial" w:eastAsia="宋体" w:hAnsi="Arial" w:cs="Arial"/>
                <w:color w:val="000000"/>
                <w:sz w:val="12"/>
                <w:szCs w:val="12"/>
              </w:rPr>
              <w:t>Total asset-backed securities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4DDC60F" w14:textId="77777777" w:rsidR="00584EC1" w:rsidRDefault="00871F8D">
            <w:pPr>
              <w:jc w:val="right"/>
              <w:textAlignment w:val="center"/>
            </w:pPr>
            <w:r>
              <w:rPr>
                <w:rFonts w:ascii="Arial" w:eastAsia="宋体" w:hAnsi="Arial" w:cs="Arial"/>
                <w:color w:val="000000"/>
                <w:sz w:val="12"/>
                <w:szCs w:val="12"/>
              </w:rPr>
              <w:t>1,869 </w:t>
            </w:r>
          </w:p>
        </w:tc>
        <w:tc>
          <w:tcPr>
            <w:tcW w:w="0" w:type="auto"/>
            <w:tcBorders>
              <w:top w:val="single" w:sz="8" w:space="0" w:color="000000"/>
            </w:tcBorders>
            <w:shd w:val="clear" w:color="auto" w:fill="FFFFFF"/>
            <w:tcMar>
              <w:top w:w="40" w:type="dxa"/>
              <w:left w:w="0" w:type="dxa"/>
              <w:bottom w:w="40" w:type="dxa"/>
              <w:right w:w="20" w:type="dxa"/>
            </w:tcMar>
            <w:vAlign w:val="center"/>
          </w:tcPr>
          <w:p w14:paraId="74DDC61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611"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4DDC612" w14:textId="77777777" w:rsidR="00584EC1" w:rsidRDefault="00871F8D">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4DDC61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614"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4DDC615" w14:textId="77777777" w:rsidR="00584EC1" w:rsidRDefault="00871F8D">
            <w:pPr>
              <w:jc w:val="right"/>
              <w:textAlignment w:val="center"/>
            </w:pPr>
            <w:r>
              <w:rPr>
                <w:rFonts w:ascii="Arial" w:eastAsia="宋体" w:hAnsi="Arial" w:cs="Arial"/>
                <w:color w:val="000000"/>
                <w:sz w:val="12"/>
                <w:szCs w:val="12"/>
              </w:rPr>
              <w:t>14 </w:t>
            </w:r>
          </w:p>
        </w:tc>
        <w:tc>
          <w:tcPr>
            <w:tcW w:w="0" w:type="auto"/>
            <w:tcBorders>
              <w:top w:val="single" w:sz="8" w:space="0" w:color="000000"/>
            </w:tcBorders>
            <w:shd w:val="clear" w:color="auto" w:fill="FFFFFF"/>
            <w:tcMar>
              <w:top w:w="40" w:type="dxa"/>
              <w:left w:w="0" w:type="dxa"/>
              <w:bottom w:w="40" w:type="dxa"/>
              <w:right w:w="20" w:type="dxa"/>
            </w:tcMar>
            <w:vAlign w:val="center"/>
          </w:tcPr>
          <w:p w14:paraId="74DDC61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617"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4DDC618" w14:textId="77777777" w:rsidR="00584EC1" w:rsidRDefault="00871F8D">
            <w:pPr>
              <w:jc w:val="right"/>
              <w:textAlignment w:val="center"/>
            </w:pPr>
            <w:r>
              <w:rPr>
                <w:rFonts w:ascii="Arial" w:eastAsia="宋体" w:hAnsi="Arial" w:cs="Arial"/>
                <w:color w:val="000000"/>
                <w:sz w:val="12"/>
                <w:szCs w:val="12"/>
              </w:rPr>
              <w:t>663 </w:t>
            </w:r>
          </w:p>
        </w:tc>
        <w:tc>
          <w:tcPr>
            <w:tcW w:w="0" w:type="auto"/>
            <w:tcBorders>
              <w:top w:val="single" w:sz="8" w:space="0" w:color="000000"/>
            </w:tcBorders>
            <w:shd w:val="clear" w:color="auto" w:fill="FFFFFF"/>
            <w:tcMar>
              <w:top w:w="40" w:type="dxa"/>
              <w:left w:w="0" w:type="dxa"/>
              <w:bottom w:w="40" w:type="dxa"/>
              <w:right w:w="20" w:type="dxa"/>
            </w:tcMar>
            <w:vAlign w:val="center"/>
          </w:tcPr>
          <w:p w14:paraId="74DDC619" w14:textId="77777777" w:rsidR="00584EC1" w:rsidRDefault="00584EC1">
            <w:pPr>
              <w:jc w:val="right"/>
              <w:rPr>
                <w:rFonts w:ascii="宋体"/>
              </w:rPr>
            </w:pPr>
          </w:p>
        </w:tc>
        <w:tc>
          <w:tcPr>
            <w:tcW w:w="0" w:type="auto"/>
            <w:shd w:val="clear" w:color="auto" w:fill="auto"/>
            <w:vAlign w:val="bottom"/>
          </w:tcPr>
          <w:p w14:paraId="74DDC61A" w14:textId="77777777" w:rsidR="00584EC1" w:rsidRDefault="00584EC1">
            <w:pPr>
              <w:rPr>
                <w:rFonts w:ascii="宋体"/>
                <w:vanish/>
              </w:rPr>
            </w:pPr>
          </w:p>
        </w:tc>
        <w:tc>
          <w:tcPr>
            <w:tcW w:w="0" w:type="auto"/>
            <w:shd w:val="clear" w:color="auto" w:fill="auto"/>
            <w:vAlign w:val="bottom"/>
          </w:tcPr>
          <w:p w14:paraId="74DDC61B" w14:textId="77777777" w:rsidR="00584EC1" w:rsidRDefault="00584EC1">
            <w:pPr>
              <w:rPr>
                <w:rFonts w:ascii="宋体"/>
                <w:vanish/>
              </w:rPr>
            </w:pPr>
          </w:p>
        </w:tc>
        <w:tc>
          <w:tcPr>
            <w:tcW w:w="0" w:type="auto"/>
            <w:gridSpan w:val="3"/>
            <w:shd w:val="clear" w:color="auto" w:fill="FFFFFF"/>
            <w:tcMar>
              <w:top w:w="0" w:type="dxa"/>
              <w:left w:w="20" w:type="dxa"/>
              <w:bottom w:w="0" w:type="dxa"/>
              <w:right w:w="20" w:type="dxa"/>
            </w:tcMar>
            <w:vAlign w:val="bottom"/>
          </w:tcPr>
          <w:p w14:paraId="74DDC61C"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4DDC61D" w14:textId="77777777" w:rsidR="00584EC1" w:rsidRDefault="00871F8D">
            <w:pPr>
              <w:jc w:val="right"/>
              <w:textAlignment w:val="center"/>
            </w:pPr>
            <w:r>
              <w:rPr>
                <w:rFonts w:ascii="Arial" w:eastAsia="宋体" w:hAnsi="Arial" w:cs="Arial"/>
                <w:color w:val="000000"/>
                <w:sz w:val="12"/>
                <w:szCs w:val="12"/>
              </w:rPr>
              <w:t>(34)</w:t>
            </w:r>
          </w:p>
        </w:tc>
        <w:tc>
          <w:tcPr>
            <w:tcW w:w="0" w:type="auto"/>
            <w:tcBorders>
              <w:top w:val="single" w:sz="8" w:space="0" w:color="000000"/>
            </w:tcBorders>
            <w:shd w:val="clear" w:color="auto" w:fill="FFFFFF"/>
            <w:tcMar>
              <w:top w:w="40" w:type="dxa"/>
              <w:left w:w="0" w:type="dxa"/>
              <w:bottom w:w="40" w:type="dxa"/>
              <w:right w:w="20" w:type="dxa"/>
            </w:tcMar>
            <w:vAlign w:val="center"/>
          </w:tcPr>
          <w:p w14:paraId="74DDC61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61F"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4DDC620" w14:textId="77777777" w:rsidR="00584EC1" w:rsidRDefault="00871F8D">
            <w:pPr>
              <w:jc w:val="right"/>
              <w:textAlignment w:val="center"/>
            </w:pPr>
            <w:r>
              <w:rPr>
                <w:rFonts w:ascii="Arial" w:eastAsia="宋体" w:hAnsi="Arial" w:cs="Arial"/>
                <w:color w:val="000000"/>
                <w:sz w:val="12"/>
                <w:szCs w:val="12"/>
              </w:rPr>
              <w:t>(24)</w:t>
            </w:r>
          </w:p>
        </w:tc>
        <w:tc>
          <w:tcPr>
            <w:tcW w:w="0" w:type="auto"/>
            <w:tcBorders>
              <w:top w:val="single" w:sz="8" w:space="0" w:color="000000"/>
            </w:tcBorders>
            <w:shd w:val="clear" w:color="auto" w:fill="FFFFFF"/>
            <w:tcMar>
              <w:top w:w="40" w:type="dxa"/>
              <w:left w:w="0" w:type="dxa"/>
              <w:bottom w:w="40" w:type="dxa"/>
              <w:right w:w="20" w:type="dxa"/>
            </w:tcMar>
            <w:vAlign w:val="center"/>
          </w:tcPr>
          <w:p w14:paraId="74DDC62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622"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4DDC623" w14:textId="77777777" w:rsidR="00584EC1" w:rsidRDefault="00871F8D">
            <w:pPr>
              <w:jc w:val="right"/>
              <w:textAlignment w:val="center"/>
            </w:pPr>
            <w:r>
              <w:rPr>
                <w:rFonts w:ascii="Arial" w:eastAsia="宋体" w:hAnsi="Arial" w:cs="Arial"/>
                <w:color w:val="000000"/>
                <w:sz w:val="12"/>
                <w:szCs w:val="12"/>
              </w:rPr>
              <w:t>50 </w:t>
            </w:r>
          </w:p>
        </w:tc>
        <w:tc>
          <w:tcPr>
            <w:tcW w:w="0" w:type="auto"/>
            <w:tcBorders>
              <w:top w:val="single" w:sz="8" w:space="0" w:color="000000"/>
            </w:tcBorders>
            <w:shd w:val="clear" w:color="auto" w:fill="FFFFFF"/>
            <w:tcMar>
              <w:top w:w="40" w:type="dxa"/>
              <w:left w:w="0" w:type="dxa"/>
              <w:bottom w:w="40" w:type="dxa"/>
              <w:right w:w="20" w:type="dxa"/>
            </w:tcMar>
            <w:vAlign w:val="center"/>
          </w:tcPr>
          <w:p w14:paraId="74DDC62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625"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4DDC626" w14:textId="77777777" w:rsidR="00584EC1" w:rsidRDefault="00871F8D">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4DDC62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628"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4DDC629" w14:textId="77777777" w:rsidR="00584EC1" w:rsidRDefault="00871F8D">
            <w:pPr>
              <w:jc w:val="right"/>
              <w:textAlignment w:val="center"/>
            </w:pPr>
            <w:r>
              <w:rPr>
                <w:rFonts w:ascii="Arial" w:eastAsia="宋体" w:hAnsi="Arial" w:cs="Arial"/>
                <w:color w:val="000000"/>
                <w:sz w:val="12"/>
                <w:szCs w:val="12"/>
              </w:rPr>
              <w:t>2,538 </w:t>
            </w:r>
          </w:p>
        </w:tc>
        <w:tc>
          <w:tcPr>
            <w:tcW w:w="0" w:type="auto"/>
            <w:tcBorders>
              <w:top w:val="single" w:sz="8" w:space="0" w:color="000000"/>
            </w:tcBorders>
            <w:shd w:val="clear" w:color="auto" w:fill="FFFFFF"/>
            <w:tcMar>
              <w:top w:w="40" w:type="dxa"/>
              <w:left w:w="0" w:type="dxa"/>
              <w:bottom w:w="40" w:type="dxa"/>
              <w:right w:w="20" w:type="dxa"/>
            </w:tcMar>
            <w:vAlign w:val="center"/>
          </w:tcPr>
          <w:p w14:paraId="74DDC62A" w14:textId="77777777" w:rsidR="00584EC1" w:rsidRDefault="00584EC1">
            <w:pPr>
              <w:jc w:val="right"/>
              <w:rPr>
                <w:rFonts w:ascii="宋体"/>
              </w:rPr>
            </w:pPr>
          </w:p>
        </w:tc>
        <w:tc>
          <w:tcPr>
            <w:tcW w:w="0" w:type="auto"/>
            <w:gridSpan w:val="2"/>
            <w:shd w:val="clear" w:color="auto" w:fill="FFFFFF"/>
            <w:tcMar>
              <w:top w:w="0" w:type="dxa"/>
              <w:left w:w="20" w:type="dxa"/>
              <w:bottom w:w="0" w:type="dxa"/>
              <w:right w:w="20" w:type="dxa"/>
            </w:tcMar>
            <w:vAlign w:val="bottom"/>
          </w:tcPr>
          <w:p w14:paraId="74DDC62B" w14:textId="77777777" w:rsidR="00584EC1" w:rsidRDefault="00584EC1">
            <w:pPr>
              <w:rPr>
                <w:rFonts w:ascii="宋体"/>
              </w:rPr>
            </w:pPr>
          </w:p>
        </w:tc>
        <w:tc>
          <w:tcPr>
            <w:tcW w:w="0" w:type="auto"/>
            <w:shd w:val="clear" w:color="auto" w:fill="FFFFFF"/>
            <w:tcMar>
              <w:top w:w="0" w:type="dxa"/>
              <w:left w:w="20" w:type="dxa"/>
              <w:bottom w:w="0" w:type="dxa"/>
              <w:right w:w="20" w:type="dxa"/>
            </w:tcMar>
            <w:vAlign w:val="bottom"/>
          </w:tcPr>
          <w:p w14:paraId="74DDC62C" w14:textId="77777777" w:rsidR="00584EC1" w:rsidRDefault="00584EC1">
            <w:pPr>
              <w:rPr>
                <w:rFonts w:ascii="宋体"/>
              </w:rPr>
            </w:pPr>
          </w:p>
        </w:tc>
      </w:tr>
      <w:tr w:rsidR="00584EC1" w14:paraId="74DDC644" w14:textId="77777777">
        <w:tc>
          <w:tcPr>
            <w:tcW w:w="0" w:type="auto"/>
            <w:gridSpan w:val="3"/>
            <w:shd w:val="clear" w:color="auto" w:fill="CCEEFF"/>
            <w:tcMar>
              <w:top w:w="40" w:type="dxa"/>
              <w:left w:w="20" w:type="dxa"/>
              <w:bottom w:w="40" w:type="dxa"/>
              <w:right w:w="20" w:type="dxa"/>
            </w:tcMar>
            <w:vAlign w:val="center"/>
          </w:tcPr>
          <w:p w14:paraId="74DDC62E" w14:textId="77777777" w:rsidR="00584EC1" w:rsidRDefault="00871F8D">
            <w:pPr>
              <w:textAlignment w:val="center"/>
            </w:pPr>
            <w:r>
              <w:rPr>
                <w:rFonts w:ascii="Arial" w:eastAsia="宋体" w:hAnsi="Arial" w:cs="Arial"/>
                <w:color w:val="000000"/>
                <w:sz w:val="12"/>
                <w:szCs w:val="12"/>
              </w:rPr>
              <w:t>Non-U.S. debt securities:</w:t>
            </w:r>
          </w:p>
        </w:tc>
        <w:tc>
          <w:tcPr>
            <w:tcW w:w="0" w:type="auto"/>
            <w:gridSpan w:val="3"/>
            <w:shd w:val="clear" w:color="auto" w:fill="CCEEFF"/>
            <w:tcMar>
              <w:top w:w="0" w:type="dxa"/>
              <w:left w:w="20" w:type="dxa"/>
              <w:bottom w:w="0" w:type="dxa"/>
              <w:right w:w="20" w:type="dxa"/>
            </w:tcMar>
            <w:vAlign w:val="bottom"/>
          </w:tcPr>
          <w:p w14:paraId="74DDC62F"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630"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631"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632"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633"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634"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635" w14:textId="77777777" w:rsidR="00584EC1" w:rsidRDefault="00584EC1">
            <w:pPr>
              <w:rPr>
                <w:rFonts w:ascii="宋体"/>
              </w:rPr>
            </w:pPr>
          </w:p>
        </w:tc>
        <w:tc>
          <w:tcPr>
            <w:tcW w:w="0" w:type="auto"/>
            <w:shd w:val="clear" w:color="auto" w:fill="auto"/>
            <w:vAlign w:val="bottom"/>
          </w:tcPr>
          <w:p w14:paraId="74DDC636" w14:textId="77777777" w:rsidR="00584EC1" w:rsidRDefault="00584EC1">
            <w:pPr>
              <w:rPr>
                <w:rFonts w:ascii="宋体"/>
                <w:vanish/>
              </w:rPr>
            </w:pPr>
          </w:p>
        </w:tc>
        <w:tc>
          <w:tcPr>
            <w:tcW w:w="0" w:type="auto"/>
            <w:shd w:val="clear" w:color="auto" w:fill="auto"/>
            <w:vAlign w:val="bottom"/>
          </w:tcPr>
          <w:p w14:paraId="74DDC637" w14:textId="77777777" w:rsidR="00584EC1" w:rsidRDefault="00584EC1">
            <w:pPr>
              <w:rPr>
                <w:rFonts w:ascii="宋体"/>
                <w:vanish/>
              </w:rPr>
            </w:pPr>
          </w:p>
        </w:tc>
        <w:tc>
          <w:tcPr>
            <w:tcW w:w="0" w:type="auto"/>
            <w:gridSpan w:val="3"/>
            <w:shd w:val="clear" w:color="auto" w:fill="CCEEFF"/>
            <w:tcMar>
              <w:top w:w="0" w:type="dxa"/>
              <w:left w:w="20" w:type="dxa"/>
              <w:bottom w:w="0" w:type="dxa"/>
              <w:right w:w="20" w:type="dxa"/>
            </w:tcMar>
            <w:vAlign w:val="bottom"/>
          </w:tcPr>
          <w:p w14:paraId="74DDC638"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639"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63A"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63B"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63C"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63D"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63E"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63F"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640"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641" w14:textId="77777777" w:rsidR="00584EC1" w:rsidRDefault="00584EC1">
            <w:pPr>
              <w:rPr>
                <w:rFonts w:ascii="宋体"/>
              </w:rPr>
            </w:pPr>
          </w:p>
        </w:tc>
        <w:tc>
          <w:tcPr>
            <w:tcW w:w="0" w:type="auto"/>
            <w:gridSpan w:val="2"/>
            <w:shd w:val="clear" w:color="auto" w:fill="CCEEFF"/>
            <w:tcMar>
              <w:top w:w="0" w:type="dxa"/>
              <w:left w:w="20" w:type="dxa"/>
              <w:bottom w:w="0" w:type="dxa"/>
              <w:right w:w="20" w:type="dxa"/>
            </w:tcMar>
            <w:vAlign w:val="bottom"/>
          </w:tcPr>
          <w:p w14:paraId="74DDC642" w14:textId="77777777" w:rsidR="00584EC1" w:rsidRDefault="00584EC1">
            <w:pPr>
              <w:rPr>
                <w:rFonts w:ascii="宋体"/>
              </w:rPr>
            </w:pPr>
          </w:p>
        </w:tc>
        <w:tc>
          <w:tcPr>
            <w:tcW w:w="0" w:type="auto"/>
            <w:shd w:val="clear" w:color="auto" w:fill="CCEEFF"/>
            <w:tcMar>
              <w:top w:w="0" w:type="dxa"/>
              <w:left w:w="20" w:type="dxa"/>
              <w:bottom w:w="0" w:type="dxa"/>
              <w:right w:w="20" w:type="dxa"/>
            </w:tcMar>
            <w:vAlign w:val="bottom"/>
          </w:tcPr>
          <w:p w14:paraId="74DDC643" w14:textId="77777777" w:rsidR="00584EC1" w:rsidRDefault="00584EC1">
            <w:pPr>
              <w:rPr>
                <w:rFonts w:ascii="宋体"/>
              </w:rPr>
            </w:pPr>
          </w:p>
        </w:tc>
      </w:tr>
      <w:tr w:rsidR="00584EC1" w14:paraId="74DDC65B" w14:textId="77777777">
        <w:trPr>
          <w:hidden/>
        </w:trPr>
        <w:tc>
          <w:tcPr>
            <w:tcW w:w="0" w:type="auto"/>
            <w:gridSpan w:val="3"/>
            <w:shd w:val="clear" w:color="auto" w:fill="auto"/>
            <w:vAlign w:val="bottom"/>
          </w:tcPr>
          <w:p w14:paraId="74DDC645" w14:textId="77777777" w:rsidR="00584EC1" w:rsidRDefault="00584EC1">
            <w:pPr>
              <w:rPr>
                <w:rFonts w:ascii="宋体"/>
                <w:vanish/>
              </w:rPr>
            </w:pPr>
          </w:p>
        </w:tc>
        <w:tc>
          <w:tcPr>
            <w:tcW w:w="0" w:type="auto"/>
            <w:gridSpan w:val="3"/>
            <w:shd w:val="clear" w:color="auto" w:fill="auto"/>
            <w:vAlign w:val="bottom"/>
          </w:tcPr>
          <w:p w14:paraId="74DDC646" w14:textId="77777777" w:rsidR="00584EC1" w:rsidRDefault="00584EC1">
            <w:pPr>
              <w:rPr>
                <w:rFonts w:ascii="宋体"/>
                <w:vanish/>
              </w:rPr>
            </w:pPr>
          </w:p>
        </w:tc>
        <w:tc>
          <w:tcPr>
            <w:tcW w:w="0" w:type="auto"/>
            <w:gridSpan w:val="3"/>
            <w:shd w:val="clear" w:color="auto" w:fill="auto"/>
            <w:vAlign w:val="bottom"/>
          </w:tcPr>
          <w:p w14:paraId="74DDC647" w14:textId="77777777" w:rsidR="00584EC1" w:rsidRDefault="00584EC1">
            <w:pPr>
              <w:rPr>
                <w:rFonts w:ascii="宋体"/>
                <w:vanish/>
              </w:rPr>
            </w:pPr>
          </w:p>
        </w:tc>
        <w:tc>
          <w:tcPr>
            <w:tcW w:w="0" w:type="auto"/>
            <w:gridSpan w:val="3"/>
            <w:shd w:val="clear" w:color="auto" w:fill="auto"/>
            <w:vAlign w:val="bottom"/>
          </w:tcPr>
          <w:p w14:paraId="74DDC648" w14:textId="77777777" w:rsidR="00584EC1" w:rsidRDefault="00584EC1">
            <w:pPr>
              <w:rPr>
                <w:rFonts w:ascii="宋体"/>
                <w:vanish/>
              </w:rPr>
            </w:pPr>
          </w:p>
        </w:tc>
        <w:tc>
          <w:tcPr>
            <w:tcW w:w="0" w:type="auto"/>
            <w:gridSpan w:val="3"/>
            <w:shd w:val="clear" w:color="auto" w:fill="auto"/>
            <w:vAlign w:val="bottom"/>
          </w:tcPr>
          <w:p w14:paraId="74DDC649" w14:textId="77777777" w:rsidR="00584EC1" w:rsidRDefault="00584EC1">
            <w:pPr>
              <w:rPr>
                <w:rFonts w:ascii="宋体"/>
                <w:vanish/>
              </w:rPr>
            </w:pPr>
          </w:p>
        </w:tc>
        <w:tc>
          <w:tcPr>
            <w:tcW w:w="0" w:type="auto"/>
            <w:gridSpan w:val="3"/>
            <w:shd w:val="clear" w:color="auto" w:fill="auto"/>
            <w:vAlign w:val="bottom"/>
          </w:tcPr>
          <w:p w14:paraId="74DDC64A" w14:textId="77777777" w:rsidR="00584EC1" w:rsidRDefault="00584EC1">
            <w:pPr>
              <w:rPr>
                <w:rFonts w:ascii="宋体"/>
                <w:vanish/>
              </w:rPr>
            </w:pPr>
          </w:p>
        </w:tc>
        <w:tc>
          <w:tcPr>
            <w:tcW w:w="0" w:type="auto"/>
            <w:gridSpan w:val="3"/>
            <w:shd w:val="clear" w:color="auto" w:fill="auto"/>
            <w:vAlign w:val="bottom"/>
          </w:tcPr>
          <w:p w14:paraId="74DDC64B" w14:textId="77777777" w:rsidR="00584EC1" w:rsidRDefault="00584EC1">
            <w:pPr>
              <w:rPr>
                <w:rFonts w:ascii="宋体"/>
                <w:vanish/>
              </w:rPr>
            </w:pPr>
          </w:p>
        </w:tc>
        <w:tc>
          <w:tcPr>
            <w:tcW w:w="0" w:type="auto"/>
            <w:gridSpan w:val="3"/>
            <w:shd w:val="clear" w:color="auto" w:fill="auto"/>
            <w:vAlign w:val="bottom"/>
          </w:tcPr>
          <w:p w14:paraId="74DDC64C" w14:textId="77777777" w:rsidR="00584EC1" w:rsidRDefault="00584EC1">
            <w:pPr>
              <w:rPr>
                <w:rFonts w:ascii="宋体"/>
                <w:vanish/>
              </w:rPr>
            </w:pPr>
          </w:p>
        </w:tc>
        <w:tc>
          <w:tcPr>
            <w:tcW w:w="0" w:type="auto"/>
            <w:shd w:val="clear" w:color="auto" w:fill="auto"/>
            <w:vAlign w:val="bottom"/>
          </w:tcPr>
          <w:p w14:paraId="74DDC64D" w14:textId="77777777" w:rsidR="00584EC1" w:rsidRDefault="00584EC1">
            <w:pPr>
              <w:rPr>
                <w:rFonts w:ascii="宋体"/>
                <w:vanish/>
              </w:rPr>
            </w:pPr>
          </w:p>
        </w:tc>
        <w:tc>
          <w:tcPr>
            <w:tcW w:w="0" w:type="auto"/>
            <w:shd w:val="clear" w:color="auto" w:fill="auto"/>
            <w:vAlign w:val="bottom"/>
          </w:tcPr>
          <w:p w14:paraId="74DDC64E" w14:textId="77777777" w:rsidR="00584EC1" w:rsidRDefault="00584EC1">
            <w:pPr>
              <w:rPr>
                <w:rFonts w:ascii="宋体"/>
                <w:vanish/>
              </w:rPr>
            </w:pPr>
          </w:p>
        </w:tc>
        <w:tc>
          <w:tcPr>
            <w:tcW w:w="0" w:type="auto"/>
            <w:gridSpan w:val="3"/>
            <w:shd w:val="clear" w:color="auto" w:fill="auto"/>
            <w:vAlign w:val="bottom"/>
          </w:tcPr>
          <w:p w14:paraId="74DDC64F" w14:textId="77777777" w:rsidR="00584EC1" w:rsidRDefault="00584EC1">
            <w:pPr>
              <w:rPr>
                <w:rFonts w:ascii="宋体"/>
                <w:vanish/>
              </w:rPr>
            </w:pPr>
          </w:p>
        </w:tc>
        <w:tc>
          <w:tcPr>
            <w:tcW w:w="0" w:type="auto"/>
            <w:gridSpan w:val="3"/>
            <w:shd w:val="clear" w:color="auto" w:fill="auto"/>
            <w:vAlign w:val="bottom"/>
          </w:tcPr>
          <w:p w14:paraId="74DDC650" w14:textId="77777777" w:rsidR="00584EC1" w:rsidRDefault="00584EC1">
            <w:pPr>
              <w:rPr>
                <w:rFonts w:ascii="宋体"/>
                <w:vanish/>
              </w:rPr>
            </w:pPr>
          </w:p>
        </w:tc>
        <w:tc>
          <w:tcPr>
            <w:tcW w:w="0" w:type="auto"/>
            <w:gridSpan w:val="3"/>
            <w:shd w:val="clear" w:color="auto" w:fill="auto"/>
            <w:vAlign w:val="bottom"/>
          </w:tcPr>
          <w:p w14:paraId="74DDC651" w14:textId="77777777" w:rsidR="00584EC1" w:rsidRDefault="00584EC1">
            <w:pPr>
              <w:rPr>
                <w:rFonts w:ascii="宋体"/>
                <w:vanish/>
              </w:rPr>
            </w:pPr>
          </w:p>
        </w:tc>
        <w:tc>
          <w:tcPr>
            <w:tcW w:w="0" w:type="auto"/>
            <w:gridSpan w:val="3"/>
            <w:shd w:val="clear" w:color="auto" w:fill="auto"/>
            <w:vAlign w:val="bottom"/>
          </w:tcPr>
          <w:p w14:paraId="74DDC652" w14:textId="77777777" w:rsidR="00584EC1" w:rsidRDefault="00584EC1">
            <w:pPr>
              <w:rPr>
                <w:rFonts w:ascii="宋体"/>
                <w:vanish/>
              </w:rPr>
            </w:pPr>
          </w:p>
        </w:tc>
        <w:tc>
          <w:tcPr>
            <w:tcW w:w="0" w:type="auto"/>
            <w:gridSpan w:val="3"/>
            <w:shd w:val="clear" w:color="auto" w:fill="auto"/>
            <w:vAlign w:val="bottom"/>
          </w:tcPr>
          <w:p w14:paraId="74DDC653" w14:textId="77777777" w:rsidR="00584EC1" w:rsidRDefault="00584EC1">
            <w:pPr>
              <w:rPr>
                <w:rFonts w:ascii="宋体"/>
                <w:vanish/>
              </w:rPr>
            </w:pPr>
          </w:p>
        </w:tc>
        <w:tc>
          <w:tcPr>
            <w:tcW w:w="0" w:type="auto"/>
            <w:gridSpan w:val="3"/>
            <w:shd w:val="clear" w:color="auto" w:fill="auto"/>
            <w:vAlign w:val="bottom"/>
          </w:tcPr>
          <w:p w14:paraId="74DDC654" w14:textId="77777777" w:rsidR="00584EC1" w:rsidRDefault="00584EC1">
            <w:pPr>
              <w:rPr>
                <w:rFonts w:ascii="宋体"/>
                <w:vanish/>
              </w:rPr>
            </w:pPr>
          </w:p>
        </w:tc>
        <w:tc>
          <w:tcPr>
            <w:tcW w:w="0" w:type="auto"/>
            <w:gridSpan w:val="3"/>
            <w:shd w:val="clear" w:color="auto" w:fill="auto"/>
            <w:vAlign w:val="bottom"/>
          </w:tcPr>
          <w:p w14:paraId="74DDC655" w14:textId="77777777" w:rsidR="00584EC1" w:rsidRDefault="00584EC1">
            <w:pPr>
              <w:rPr>
                <w:rFonts w:ascii="宋体"/>
                <w:vanish/>
              </w:rPr>
            </w:pPr>
          </w:p>
        </w:tc>
        <w:tc>
          <w:tcPr>
            <w:tcW w:w="0" w:type="auto"/>
            <w:gridSpan w:val="3"/>
            <w:shd w:val="clear" w:color="auto" w:fill="auto"/>
            <w:vAlign w:val="bottom"/>
          </w:tcPr>
          <w:p w14:paraId="74DDC656" w14:textId="77777777" w:rsidR="00584EC1" w:rsidRDefault="00584EC1">
            <w:pPr>
              <w:rPr>
                <w:rFonts w:ascii="宋体"/>
                <w:vanish/>
              </w:rPr>
            </w:pPr>
          </w:p>
        </w:tc>
        <w:tc>
          <w:tcPr>
            <w:tcW w:w="0" w:type="auto"/>
            <w:gridSpan w:val="3"/>
            <w:shd w:val="clear" w:color="auto" w:fill="auto"/>
            <w:vAlign w:val="bottom"/>
          </w:tcPr>
          <w:p w14:paraId="74DDC657" w14:textId="77777777" w:rsidR="00584EC1" w:rsidRDefault="00584EC1">
            <w:pPr>
              <w:rPr>
                <w:rFonts w:ascii="宋体"/>
                <w:vanish/>
              </w:rPr>
            </w:pPr>
          </w:p>
        </w:tc>
        <w:tc>
          <w:tcPr>
            <w:tcW w:w="0" w:type="auto"/>
            <w:gridSpan w:val="3"/>
            <w:shd w:val="clear" w:color="auto" w:fill="auto"/>
            <w:vAlign w:val="bottom"/>
          </w:tcPr>
          <w:p w14:paraId="74DDC658" w14:textId="77777777" w:rsidR="00584EC1" w:rsidRDefault="00584EC1">
            <w:pPr>
              <w:rPr>
                <w:rFonts w:ascii="宋体"/>
                <w:vanish/>
              </w:rPr>
            </w:pPr>
          </w:p>
        </w:tc>
        <w:tc>
          <w:tcPr>
            <w:tcW w:w="0" w:type="auto"/>
            <w:gridSpan w:val="2"/>
            <w:shd w:val="clear" w:color="auto" w:fill="auto"/>
            <w:vAlign w:val="bottom"/>
          </w:tcPr>
          <w:p w14:paraId="74DDC659" w14:textId="77777777" w:rsidR="00584EC1" w:rsidRDefault="00584EC1">
            <w:pPr>
              <w:rPr>
                <w:rFonts w:ascii="宋体"/>
                <w:vanish/>
              </w:rPr>
            </w:pPr>
          </w:p>
        </w:tc>
        <w:tc>
          <w:tcPr>
            <w:tcW w:w="0" w:type="auto"/>
            <w:shd w:val="clear" w:color="auto" w:fill="auto"/>
            <w:vAlign w:val="bottom"/>
          </w:tcPr>
          <w:p w14:paraId="74DDC65A" w14:textId="77777777" w:rsidR="00584EC1" w:rsidRDefault="00584EC1">
            <w:pPr>
              <w:rPr>
                <w:rFonts w:ascii="宋体"/>
                <w:vanish/>
              </w:rPr>
            </w:pPr>
          </w:p>
        </w:tc>
      </w:tr>
      <w:tr w:rsidR="00584EC1" w14:paraId="74DDC67B" w14:textId="77777777">
        <w:tc>
          <w:tcPr>
            <w:tcW w:w="0" w:type="auto"/>
            <w:gridSpan w:val="3"/>
            <w:shd w:val="clear" w:color="auto" w:fill="FFFFFF"/>
            <w:tcMar>
              <w:top w:w="40" w:type="dxa"/>
              <w:left w:w="155" w:type="dxa"/>
              <w:bottom w:w="40" w:type="dxa"/>
              <w:right w:w="20" w:type="dxa"/>
            </w:tcMar>
            <w:vAlign w:val="center"/>
          </w:tcPr>
          <w:p w14:paraId="74DDC65C" w14:textId="77777777" w:rsidR="00584EC1" w:rsidRDefault="00871F8D">
            <w:pPr>
              <w:textAlignment w:val="center"/>
            </w:pPr>
            <w:r>
              <w:rPr>
                <w:rFonts w:ascii="Arial" w:eastAsia="宋体" w:hAnsi="Arial" w:cs="Arial"/>
                <w:color w:val="000000"/>
                <w:sz w:val="12"/>
                <w:szCs w:val="12"/>
              </w:rPr>
              <w:t>Asset-backed securities</w:t>
            </w:r>
          </w:p>
        </w:tc>
        <w:tc>
          <w:tcPr>
            <w:tcW w:w="0" w:type="auto"/>
            <w:gridSpan w:val="2"/>
            <w:shd w:val="clear" w:color="auto" w:fill="FFFFFF"/>
            <w:tcMar>
              <w:top w:w="40" w:type="dxa"/>
              <w:left w:w="20" w:type="dxa"/>
              <w:bottom w:w="40" w:type="dxa"/>
              <w:right w:w="0" w:type="dxa"/>
            </w:tcMar>
            <w:vAlign w:val="center"/>
          </w:tcPr>
          <w:p w14:paraId="74DDC65D" w14:textId="77777777" w:rsidR="00584EC1" w:rsidRDefault="00871F8D">
            <w:pPr>
              <w:jc w:val="right"/>
              <w:textAlignment w:val="center"/>
            </w:pPr>
            <w:r>
              <w:rPr>
                <w:rFonts w:ascii="Arial" w:eastAsia="宋体" w:hAnsi="Arial" w:cs="Arial"/>
                <w:color w:val="000000"/>
                <w:sz w:val="12"/>
                <w:szCs w:val="12"/>
              </w:rPr>
              <w:t>876 </w:t>
            </w:r>
          </w:p>
        </w:tc>
        <w:tc>
          <w:tcPr>
            <w:tcW w:w="0" w:type="auto"/>
            <w:shd w:val="clear" w:color="auto" w:fill="FFFFFF"/>
            <w:tcMar>
              <w:top w:w="40" w:type="dxa"/>
              <w:left w:w="0" w:type="dxa"/>
              <w:bottom w:w="40" w:type="dxa"/>
              <w:right w:w="20" w:type="dxa"/>
            </w:tcMar>
            <w:vAlign w:val="center"/>
          </w:tcPr>
          <w:p w14:paraId="74DDC65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65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center"/>
          </w:tcPr>
          <w:p w14:paraId="74DDC660" w14:textId="77777777" w:rsidR="00584EC1" w:rsidRDefault="00871F8D">
            <w:pPr>
              <w:jc w:val="right"/>
              <w:textAlignment w:val="center"/>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74DDC66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66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center"/>
          </w:tcPr>
          <w:p w14:paraId="74DDC663" w14:textId="77777777" w:rsidR="00584EC1" w:rsidRDefault="00871F8D">
            <w:pPr>
              <w:jc w:val="right"/>
              <w:textAlignment w:val="center"/>
            </w:pPr>
            <w:r>
              <w:rPr>
                <w:rFonts w:ascii="Arial" w:eastAsia="宋体" w:hAnsi="Arial" w:cs="Arial"/>
                <w:color w:val="000000"/>
                <w:sz w:val="12"/>
                <w:szCs w:val="12"/>
              </w:rPr>
              <w:t>45 </w:t>
            </w:r>
          </w:p>
        </w:tc>
        <w:tc>
          <w:tcPr>
            <w:tcW w:w="0" w:type="auto"/>
            <w:shd w:val="clear" w:color="auto" w:fill="FFFFFF"/>
            <w:tcMar>
              <w:top w:w="40" w:type="dxa"/>
              <w:left w:w="0" w:type="dxa"/>
              <w:bottom w:w="40" w:type="dxa"/>
              <w:right w:w="20" w:type="dxa"/>
            </w:tcMar>
            <w:vAlign w:val="center"/>
          </w:tcPr>
          <w:p w14:paraId="74DDC66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665"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center"/>
          </w:tcPr>
          <w:p w14:paraId="74DDC666" w14:textId="77777777" w:rsidR="00584EC1" w:rsidRDefault="00871F8D">
            <w:pPr>
              <w:jc w:val="right"/>
              <w:textAlignment w:val="center"/>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74DDC667" w14:textId="77777777" w:rsidR="00584EC1" w:rsidRDefault="00584EC1">
            <w:pPr>
              <w:jc w:val="right"/>
              <w:rPr>
                <w:rFonts w:ascii="宋体"/>
              </w:rPr>
            </w:pPr>
          </w:p>
        </w:tc>
        <w:tc>
          <w:tcPr>
            <w:tcW w:w="0" w:type="auto"/>
            <w:shd w:val="clear" w:color="auto" w:fill="auto"/>
            <w:vAlign w:val="bottom"/>
          </w:tcPr>
          <w:p w14:paraId="74DDC668" w14:textId="77777777" w:rsidR="00584EC1" w:rsidRDefault="00584EC1">
            <w:pPr>
              <w:rPr>
                <w:rFonts w:ascii="宋体"/>
                <w:vanish/>
              </w:rPr>
            </w:pPr>
          </w:p>
        </w:tc>
        <w:tc>
          <w:tcPr>
            <w:tcW w:w="0" w:type="auto"/>
            <w:shd w:val="clear" w:color="auto" w:fill="auto"/>
            <w:vAlign w:val="bottom"/>
          </w:tcPr>
          <w:p w14:paraId="74DDC669" w14:textId="77777777" w:rsidR="00584EC1" w:rsidRDefault="00584EC1">
            <w:pPr>
              <w:rPr>
                <w:rFonts w:ascii="宋体"/>
                <w:vanish/>
              </w:rPr>
            </w:pPr>
          </w:p>
        </w:tc>
        <w:tc>
          <w:tcPr>
            <w:tcW w:w="0" w:type="auto"/>
            <w:gridSpan w:val="3"/>
            <w:shd w:val="clear" w:color="auto" w:fill="FFFFFF"/>
            <w:tcMar>
              <w:top w:w="0" w:type="dxa"/>
              <w:left w:w="20" w:type="dxa"/>
              <w:bottom w:w="0" w:type="dxa"/>
              <w:right w:w="20" w:type="dxa"/>
            </w:tcMar>
            <w:vAlign w:val="bottom"/>
          </w:tcPr>
          <w:p w14:paraId="74DDC66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center"/>
          </w:tcPr>
          <w:p w14:paraId="74DDC66B" w14:textId="77777777" w:rsidR="00584EC1" w:rsidRDefault="00871F8D">
            <w:pPr>
              <w:jc w:val="right"/>
              <w:textAlignment w:val="center"/>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74DDC66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66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center"/>
          </w:tcPr>
          <w:p w14:paraId="74DDC66E" w14:textId="77777777" w:rsidR="00584EC1" w:rsidRDefault="00871F8D">
            <w:pPr>
              <w:jc w:val="right"/>
              <w:textAlignment w:val="center"/>
            </w:pPr>
            <w:r>
              <w:rPr>
                <w:rFonts w:ascii="Arial" w:eastAsia="宋体" w:hAnsi="Arial" w:cs="Arial"/>
                <w:color w:val="000000"/>
                <w:sz w:val="12"/>
                <w:szCs w:val="12"/>
              </w:rPr>
              <w:t>(3)</w:t>
            </w:r>
          </w:p>
        </w:tc>
        <w:tc>
          <w:tcPr>
            <w:tcW w:w="0" w:type="auto"/>
            <w:shd w:val="clear" w:color="auto" w:fill="FFFFFF"/>
            <w:tcMar>
              <w:top w:w="40" w:type="dxa"/>
              <w:left w:w="0" w:type="dxa"/>
              <w:bottom w:w="40" w:type="dxa"/>
              <w:right w:w="20" w:type="dxa"/>
            </w:tcMar>
            <w:vAlign w:val="center"/>
          </w:tcPr>
          <w:p w14:paraId="74DDC66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67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center"/>
          </w:tcPr>
          <w:p w14:paraId="74DDC671" w14:textId="77777777" w:rsidR="00584EC1" w:rsidRDefault="00871F8D">
            <w:pPr>
              <w:jc w:val="right"/>
              <w:textAlignment w:val="center"/>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74DDC67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67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center"/>
          </w:tcPr>
          <w:p w14:paraId="74DDC674" w14:textId="77777777" w:rsidR="00584EC1" w:rsidRDefault="00871F8D">
            <w:pPr>
              <w:jc w:val="right"/>
              <w:textAlignment w:val="center"/>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74DDC67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67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center"/>
          </w:tcPr>
          <w:p w14:paraId="74DDC677" w14:textId="77777777" w:rsidR="00584EC1" w:rsidRDefault="00871F8D">
            <w:pPr>
              <w:jc w:val="right"/>
              <w:textAlignment w:val="center"/>
            </w:pPr>
            <w:r>
              <w:rPr>
                <w:rFonts w:ascii="Arial" w:eastAsia="宋体" w:hAnsi="Arial" w:cs="Arial"/>
                <w:color w:val="000000"/>
                <w:sz w:val="12"/>
                <w:szCs w:val="12"/>
              </w:rPr>
              <w:t>918 </w:t>
            </w:r>
          </w:p>
        </w:tc>
        <w:tc>
          <w:tcPr>
            <w:tcW w:w="0" w:type="auto"/>
            <w:shd w:val="clear" w:color="auto" w:fill="FFFFFF"/>
            <w:tcMar>
              <w:top w:w="40" w:type="dxa"/>
              <w:left w:w="0" w:type="dxa"/>
              <w:bottom w:w="40" w:type="dxa"/>
              <w:right w:w="20" w:type="dxa"/>
            </w:tcMar>
            <w:vAlign w:val="center"/>
          </w:tcPr>
          <w:p w14:paraId="74DDC678" w14:textId="77777777" w:rsidR="00584EC1" w:rsidRDefault="00584EC1">
            <w:pPr>
              <w:jc w:val="right"/>
              <w:rPr>
                <w:rFonts w:ascii="宋体"/>
              </w:rPr>
            </w:pPr>
          </w:p>
        </w:tc>
        <w:tc>
          <w:tcPr>
            <w:tcW w:w="0" w:type="auto"/>
            <w:gridSpan w:val="2"/>
            <w:shd w:val="clear" w:color="auto" w:fill="FFFFFF"/>
            <w:tcMar>
              <w:top w:w="0" w:type="dxa"/>
              <w:left w:w="20" w:type="dxa"/>
              <w:bottom w:w="0" w:type="dxa"/>
              <w:right w:w="20" w:type="dxa"/>
            </w:tcMar>
            <w:vAlign w:val="bottom"/>
          </w:tcPr>
          <w:p w14:paraId="74DDC679" w14:textId="77777777" w:rsidR="00584EC1" w:rsidRDefault="00584EC1">
            <w:pPr>
              <w:rPr>
                <w:rFonts w:ascii="宋体"/>
              </w:rPr>
            </w:pPr>
          </w:p>
        </w:tc>
        <w:tc>
          <w:tcPr>
            <w:tcW w:w="0" w:type="auto"/>
            <w:shd w:val="clear" w:color="auto" w:fill="FFFFFF"/>
            <w:tcMar>
              <w:top w:w="0" w:type="dxa"/>
              <w:left w:w="20" w:type="dxa"/>
              <w:bottom w:w="0" w:type="dxa"/>
              <w:right w:w="20" w:type="dxa"/>
            </w:tcMar>
            <w:vAlign w:val="bottom"/>
          </w:tcPr>
          <w:p w14:paraId="74DDC67A" w14:textId="77777777" w:rsidR="00584EC1" w:rsidRDefault="00584EC1">
            <w:pPr>
              <w:rPr>
                <w:rFonts w:ascii="宋体"/>
              </w:rPr>
            </w:pPr>
          </w:p>
        </w:tc>
      </w:tr>
      <w:tr w:rsidR="00584EC1" w14:paraId="74DDC692" w14:textId="77777777">
        <w:trPr>
          <w:hidden/>
        </w:trPr>
        <w:tc>
          <w:tcPr>
            <w:tcW w:w="0" w:type="auto"/>
            <w:gridSpan w:val="3"/>
            <w:shd w:val="clear" w:color="auto" w:fill="auto"/>
            <w:vAlign w:val="bottom"/>
          </w:tcPr>
          <w:p w14:paraId="74DDC67C" w14:textId="77777777" w:rsidR="00584EC1" w:rsidRDefault="00584EC1">
            <w:pPr>
              <w:rPr>
                <w:rFonts w:ascii="宋体"/>
                <w:vanish/>
              </w:rPr>
            </w:pPr>
          </w:p>
        </w:tc>
        <w:tc>
          <w:tcPr>
            <w:tcW w:w="0" w:type="auto"/>
            <w:gridSpan w:val="3"/>
            <w:shd w:val="clear" w:color="auto" w:fill="auto"/>
            <w:vAlign w:val="bottom"/>
          </w:tcPr>
          <w:p w14:paraId="74DDC67D" w14:textId="77777777" w:rsidR="00584EC1" w:rsidRDefault="00584EC1">
            <w:pPr>
              <w:rPr>
                <w:rFonts w:ascii="宋体"/>
                <w:vanish/>
              </w:rPr>
            </w:pPr>
          </w:p>
        </w:tc>
        <w:tc>
          <w:tcPr>
            <w:tcW w:w="0" w:type="auto"/>
            <w:gridSpan w:val="3"/>
            <w:shd w:val="clear" w:color="auto" w:fill="auto"/>
            <w:vAlign w:val="bottom"/>
          </w:tcPr>
          <w:p w14:paraId="74DDC67E" w14:textId="77777777" w:rsidR="00584EC1" w:rsidRDefault="00584EC1">
            <w:pPr>
              <w:rPr>
                <w:rFonts w:ascii="宋体"/>
                <w:vanish/>
              </w:rPr>
            </w:pPr>
          </w:p>
        </w:tc>
        <w:tc>
          <w:tcPr>
            <w:tcW w:w="0" w:type="auto"/>
            <w:gridSpan w:val="3"/>
            <w:shd w:val="clear" w:color="auto" w:fill="auto"/>
            <w:vAlign w:val="bottom"/>
          </w:tcPr>
          <w:p w14:paraId="74DDC67F" w14:textId="77777777" w:rsidR="00584EC1" w:rsidRDefault="00584EC1">
            <w:pPr>
              <w:rPr>
                <w:rFonts w:ascii="宋体"/>
                <w:vanish/>
              </w:rPr>
            </w:pPr>
          </w:p>
        </w:tc>
        <w:tc>
          <w:tcPr>
            <w:tcW w:w="0" w:type="auto"/>
            <w:gridSpan w:val="3"/>
            <w:shd w:val="clear" w:color="auto" w:fill="auto"/>
            <w:vAlign w:val="bottom"/>
          </w:tcPr>
          <w:p w14:paraId="74DDC680" w14:textId="77777777" w:rsidR="00584EC1" w:rsidRDefault="00584EC1">
            <w:pPr>
              <w:rPr>
                <w:rFonts w:ascii="宋体"/>
                <w:vanish/>
              </w:rPr>
            </w:pPr>
          </w:p>
        </w:tc>
        <w:tc>
          <w:tcPr>
            <w:tcW w:w="0" w:type="auto"/>
            <w:gridSpan w:val="3"/>
            <w:shd w:val="clear" w:color="auto" w:fill="auto"/>
            <w:vAlign w:val="bottom"/>
          </w:tcPr>
          <w:p w14:paraId="74DDC681" w14:textId="77777777" w:rsidR="00584EC1" w:rsidRDefault="00584EC1">
            <w:pPr>
              <w:rPr>
                <w:rFonts w:ascii="宋体"/>
                <w:vanish/>
              </w:rPr>
            </w:pPr>
          </w:p>
        </w:tc>
        <w:tc>
          <w:tcPr>
            <w:tcW w:w="0" w:type="auto"/>
            <w:gridSpan w:val="3"/>
            <w:shd w:val="clear" w:color="auto" w:fill="auto"/>
            <w:vAlign w:val="bottom"/>
          </w:tcPr>
          <w:p w14:paraId="74DDC682" w14:textId="77777777" w:rsidR="00584EC1" w:rsidRDefault="00584EC1">
            <w:pPr>
              <w:rPr>
                <w:rFonts w:ascii="宋体"/>
                <w:vanish/>
              </w:rPr>
            </w:pPr>
          </w:p>
        </w:tc>
        <w:tc>
          <w:tcPr>
            <w:tcW w:w="0" w:type="auto"/>
            <w:gridSpan w:val="3"/>
            <w:shd w:val="clear" w:color="auto" w:fill="auto"/>
            <w:vAlign w:val="bottom"/>
          </w:tcPr>
          <w:p w14:paraId="74DDC683" w14:textId="77777777" w:rsidR="00584EC1" w:rsidRDefault="00584EC1">
            <w:pPr>
              <w:rPr>
                <w:rFonts w:ascii="宋体"/>
                <w:vanish/>
              </w:rPr>
            </w:pPr>
          </w:p>
        </w:tc>
        <w:tc>
          <w:tcPr>
            <w:tcW w:w="0" w:type="auto"/>
            <w:shd w:val="clear" w:color="auto" w:fill="auto"/>
            <w:vAlign w:val="bottom"/>
          </w:tcPr>
          <w:p w14:paraId="74DDC684" w14:textId="77777777" w:rsidR="00584EC1" w:rsidRDefault="00584EC1">
            <w:pPr>
              <w:rPr>
                <w:rFonts w:ascii="宋体"/>
                <w:vanish/>
              </w:rPr>
            </w:pPr>
          </w:p>
        </w:tc>
        <w:tc>
          <w:tcPr>
            <w:tcW w:w="0" w:type="auto"/>
            <w:shd w:val="clear" w:color="auto" w:fill="auto"/>
            <w:vAlign w:val="bottom"/>
          </w:tcPr>
          <w:p w14:paraId="74DDC685" w14:textId="77777777" w:rsidR="00584EC1" w:rsidRDefault="00584EC1">
            <w:pPr>
              <w:rPr>
                <w:rFonts w:ascii="宋体"/>
                <w:vanish/>
              </w:rPr>
            </w:pPr>
          </w:p>
        </w:tc>
        <w:tc>
          <w:tcPr>
            <w:tcW w:w="0" w:type="auto"/>
            <w:gridSpan w:val="3"/>
            <w:shd w:val="clear" w:color="auto" w:fill="auto"/>
            <w:vAlign w:val="bottom"/>
          </w:tcPr>
          <w:p w14:paraId="74DDC686" w14:textId="77777777" w:rsidR="00584EC1" w:rsidRDefault="00584EC1">
            <w:pPr>
              <w:rPr>
                <w:rFonts w:ascii="宋体"/>
                <w:vanish/>
              </w:rPr>
            </w:pPr>
          </w:p>
        </w:tc>
        <w:tc>
          <w:tcPr>
            <w:tcW w:w="0" w:type="auto"/>
            <w:gridSpan w:val="3"/>
            <w:shd w:val="clear" w:color="auto" w:fill="auto"/>
            <w:vAlign w:val="bottom"/>
          </w:tcPr>
          <w:p w14:paraId="74DDC687" w14:textId="77777777" w:rsidR="00584EC1" w:rsidRDefault="00584EC1">
            <w:pPr>
              <w:rPr>
                <w:rFonts w:ascii="宋体"/>
                <w:vanish/>
              </w:rPr>
            </w:pPr>
          </w:p>
        </w:tc>
        <w:tc>
          <w:tcPr>
            <w:tcW w:w="0" w:type="auto"/>
            <w:gridSpan w:val="3"/>
            <w:shd w:val="clear" w:color="auto" w:fill="auto"/>
            <w:vAlign w:val="bottom"/>
          </w:tcPr>
          <w:p w14:paraId="74DDC688" w14:textId="77777777" w:rsidR="00584EC1" w:rsidRDefault="00584EC1">
            <w:pPr>
              <w:rPr>
                <w:rFonts w:ascii="宋体"/>
                <w:vanish/>
              </w:rPr>
            </w:pPr>
          </w:p>
        </w:tc>
        <w:tc>
          <w:tcPr>
            <w:tcW w:w="0" w:type="auto"/>
            <w:gridSpan w:val="3"/>
            <w:shd w:val="clear" w:color="auto" w:fill="auto"/>
            <w:vAlign w:val="bottom"/>
          </w:tcPr>
          <w:p w14:paraId="74DDC689" w14:textId="77777777" w:rsidR="00584EC1" w:rsidRDefault="00584EC1">
            <w:pPr>
              <w:rPr>
                <w:rFonts w:ascii="宋体"/>
                <w:vanish/>
              </w:rPr>
            </w:pPr>
          </w:p>
        </w:tc>
        <w:tc>
          <w:tcPr>
            <w:tcW w:w="0" w:type="auto"/>
            <w:gridSpan w:val="3"/>
            <w:shd w:val="clear" w:color="auto" w:fill="auto"/>
            <w:vAlign w:val="bottom"/>
          </w:tcPr>
          <w:p w14:paraId="74DDC68A" w14:textId="77777777" w:rsidR="00584EC1" w:rsidRDefault="00584EC1">
            <w:pPr>
              <w:rPr>
                <w:rFonts w:ascii="宋体"/>
                <w:vanish/>
              </w:rPr>
            </w:pPr>
          </w:p>
        </w:tc>
        <w:tc>
          <w:tcPr>
            <w:tcW w:w="0" w:type="auto"/>
            <w:gridSpan w:val="3"/>
            <w:shd w:val="clear" w:color="auto" w:fill="auto"/>
            <w:vAlign w:val="bottom"/>
          </w:tcPr>
          <w:p w14:paraId="74DDC68B" w14:textId="77777777" w:rsidR="00584EC1" w:rsidRDefault="00584EC1">
            <w:pPr>
              <w:rPr>
                <w:rFonts w:ascii="宋体"/>
                <w:vanish/>
              </w:rPr>
            </w:pPr>
          </w:p>
        </w:tc>
        <w:tc>
          <w:tcPr>
            <w:tcW w:w="0" w:type="auto"/>
            <w:gridSpan w:val="3"/>
            <w:shd w:val="clear" w:color="auto" w:fill="auto"/>
            <w:vAlign w:val="bottom"/>
          </w:tcPr>
          <w:p w14:paraId="74DDC68C" w14:textId="77777777" w:rsidR="00584EC1" w:rsidRDefault="00584EC1">
            <w:pPr>
              <w:rPr>
                <w:rFonts w:ascii="宋体"/>
                <w:vanish/>
              </w:rPr>
            </w:pPr>
          </w:p>
        </w:tc>
        <w:tc>
          <w:tcPr>
            <w:tcW w:w="0" w:type="auto"/>
            <w:gridSpan w:val="3"/>
            <w:shd w:val="clear" w:color="auto" w:fill="auto"/>
            <w:vAlign w:val="bottom"/>
          </w:tcPr>
          <w:p w14:paraId="74DDC68D" w14:textId="77777777" w:rsidR="00584EC1" w:rsidRDefault="00584EC1">
            <w:pPr>
              <w:rPr>
                <w:rFonts w:ascii="宋体"/>
                <w:vanish/>
              </w:rPr>
            </w:pPr>
          </w:p>
        </w:tc>
        <w:tc>
          <w:tcPr>
            <w:tcW w:w="0" w:type="auto"/>
            <w:gridSpan w:val="3"/>
            <w:shd w:val="clear" w:color="auto" w:fill="auto"/>
            <w:vAlign w:val="bottom"/>
          </w:tcPr>
          <w:p w14:paraId="74DDC68E" w14:textId="77777777" w:rsidR="00584EC1" w:rsidRDefault="00584EC1">
            <w:pPr>
              <w:rPr>
                <w:rFonts w:ascii="宋体"/>
                <w:vanish/>
              </w:rPr>
            </w:pPr>
          </w:p>
        </w:tc>
        <w:tc>
          <w:tcPr>
            <w:tcW w:w="0" w:type="auto"/>
            <w:gridSpan w:val="3"/>
            <w:shd w:val="clear" w:color="auto" w:fill="auto"/>
            <w:vAlign w:val="bottom"/>
          </w:tcPr>
          <w:p w14:paraId="74DDC68F" w14:textId="77777777" w:rsidR="00584EC1" w:rsidRDefault="00584EC1">
            <w:pPr>
              <w:rPr>
                <w:rFonts w:ascii="宋体"/>
                <w:vanish/>
              </w:rPr>
            </w:pPr>
          </w:p>
        </w:tc>
        <w:tc>
          <w:tcPr>
            <w:tcW w:w="0" w:type="auto"/>
            <w:gridSpan w:val="2"/>
            <w:shd w:val="clear" w:color="auto" w:fill="auto"/>
            <w:vAlign w:val="bottom"/>
          </w:tcPr>
          <w:p w14:paraId="74DDC690" w14:textId="77777777" w:rsidR="00584EC1" w:rsidRDefault="00584EC1">
            <w:pPr>
              <w:rPr>
                <w:rFonts w:ascii="宋体"/>
                <w:vanish/>
              </w:rPr>
            </w:pPr>
          </w:p>
        </w:tc>
        <w:tc>
          <w:tcPr>
            <w:tcW w:w="0" w:type="auto"/>
            <w:shd w:val="clear" w:color="auto" w:fill="auto"/>
            <w:vAlign w:val="bottom"/>
          </w:tcPr>
          <w:p w14:paraId="74DDC691" w14:textId="77777777" w:rsidR="00584EC1" w:rsidRDefault="00584EC1">
            <w:pPr>
              <w:rPr>
                <w:rFonts w:ascii="宋体"/>
                <w:vanish/>
              </w:rPr>
            </w:pPr>
          </w:p>
        </w:tc>
      </w:tr>
      <w:tr w:rsidR="00584EC1" w14:paraId="74DDC6B2" w14:textId="77777777">
        <w:tc>
          <w:tcPr>
            <w:tcW w:w="0" w:type="auto"/>
            <w:gridSpan w:val="3"/>
            <w:shd w:val="clear" w:color="auto" w:fill="CCEEFF"/>
            <w:tcMar>
              <w:top w:w="40" w:type="dxa"/>
              <w:left w:w="155" w:type="dxa"/>
              <w:bottom w:w="40" w:type="dxa"/>
              <w:right w:w="20" w:type="dxa"/>
            </w:tcMar>
            <w:vAlign w:val="center"/>
          </w:tcPr>
          <w:p w14:paraId="74DDC693" w14:textId="77777777" w:rsidR="00584EC1" w:rsidRDefault="00871F8D">
            <w:pPr>
              <w:textAlignment w:val="center"/>
            </w:pPr>
            <w:r>
              <w:rPr>
                <w:rFonts w:ascii="Arial" w:eastAsia="宋体" w:hAnsi="Arial" w:cs="Arial"/>
                <w:color w:val="000000"/>
                <w:sz w:val="12"/>
                <w:szCs w:val="12"/>
              </w:rPr>
              <w:t>Other</w:t>
            </w:r>
          </w:p>
        </w:tc>
        <w:tc>
          <w:tcPr>
            <w:tcW w:w="0" w:type="auto"/>
            <w:gridSpan w:val="2"/>
            <w:shd w:val="clear" w:color="auto" w:fill="CCEEFF"/>
            <w:tcMar>
              <w:top w:w="40" w:type="dxa"/>
              <w:left w:w="20" w:type="dxa"/>
              <w:bottom w:w="40" w:type="dxa"/>
              <w:right w:w="0" w:type="dxa"/>
            </w:tcMar>
            <w:vAlign w:val="center"/>
          </w:tcPr>
          <w:p w14:paraId="74DDC694" w14:textId="77777777" w:rsidR="00584EC1" w:rsidRDefault="00871F8D">
            <w:pPr>
              <w:jc w:val="right"/>
              <w:textAlignment w:val="center"/>
            </w:pPr>
            <w:r>
              <w:rPr>
                <w:rFonts w:ascii="Arial" w:eastAsia="宋体" w:hAnsi="Arial" w:cs="Arial"/>
                <w:color w:val="000000"/>
                <w:sz w:val="12"/>
                <w:szCs w:val="12"/>
              </w:rPr>
              <w:t>45 </w:t>
            </w:r>
          </w:p>
        </w:tc>
        <w:tc>
          <w:tcPr>
            <w:tcW w:w="0" w:type="auto"/>
            <w:shd w:val="clear" w:color="auto" w:fill="CCEEFF"/>
            <w:tcMar>
              <w:top w:w="40" w:type="dxa"/>
              <w:left w:w="0" w:type="dxa"/>
              <w:bottom w:w="40" w:type="dxa"/>
              <w:right w:w="20" w:type="dxa"/>
            </w:tcMar>
            <w:vAlign w:val="center"/>
          </w:tcPr>
          <w:p w14:paraId="74DDC69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69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center"/>
          </w:tcPr>
          <w:p w14:paraId="74DDC697" w14:textId="77777777" w:rsidR="00584EC1" w:rsidRDefault="00871F8D">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4DDC69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69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center"/>
          </w:tcPr>
          <w:p w14:paraId="74DDC69A" w14:textId="77777777" w:rsidR="00584EC1" w:rsidRDefault="00871F8D">
            <w:pPr>
              <w:jc w:val="right"/>
              <w:textAlignment w:val="center"/>
            </w:pPr>
            <w:r>
              <w:rPr>
                <w:rFonts w:ascii="Arial" w:eastAsia="宋体" w:hAnsi="Arial" w:cs="Arial"/>
                <w:color w:val="000000"/>
                <w:sz w:val="12"/>
                <w:szCs w:val="12"/>
              </w:rPr>
              <w:t>2 </w:t>
            </w:r>
          </w:p>
        </w:tc>
        <w:tc>
          <w:tcPr>
            <w:tcW w:w="0" w:type="auto"/>
            <w:shd w:val="clear" w:color="auto" w:fill="CCEEFF"/>
            <w:tcMar>
              <w:top w:w="40" w:type="dxa"/>
              <w:left w:w="0" w:type="dxa"/>
              <w:bottom w:w="40" w:type="dxa"/>
              <w:right w:w="20" w:type="dxa"/>
            </w:tcMar>
            <w:vAlign w:val="center"/>
          </w:tcPr>
          <w:p w14:paraId="74DDC69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69C"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center"/>
          </w:tcPr>
          <w:p w14:paraId="74DDC69D" w14:textId="77777777" w:rsidR="00584EC1" w:rsidRDefault="00871F8D">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4DDC69E" w14:textId="77777777" w:rsidR="00584EC1" w:rsidRDefault="00584EC1">
            <w:pPr>
              <w:jc w:val="right"/>
              <w:rPr>
                <w:rFonts w:ascii="宋体"/>
              </w:rPr>
            </w:pPr>
          </w:p>
        </w:tc>
        <w:tc>
          <w:tcPr>
            <w:tcW w:w="0" w:type="auto"/>
            <w:shd w:val="clear" w:color="auto" w:fill="auto"/>
            <w:vAlign w:val="bottom"/>
          </w:tcPr>
          <w:p w14:paraId="74DDC69F" w14:textId="77777777" w:rsidR="00584EC1" w:rsidRDefault="00584EC1">
            <w:pPr>
              <w:rPr>
                <w:rFonts w:ascii="宋体"/>
                <w:vanish/>
              </w:rPr>
            </w:pPr>
          </w:p>
        </w:tc>
        <w:tc>
          <w:tcPr>
            <w:tcW w:w="0" w:type="auto"/>
            <w:shd w:val="clear" w:color="auto" w:fill="auto"/>
            <w:vAlign w:val="bottom"/>
          </w:tcPr>
          <w:p w14:paraId="74DDC6A0" w14:textId="77777777" w:rsidR="00584EC1" w:rsidRDefault="00584EC1">
            <w:pPr>
              <w:rPr>
                <w:rFonts w:ascii="宋体"/>
                <w:vanish/>
              </w:rPr>
            </w:pPr>
          </w:p>
        </w:tc>
        <w:tc>
          <w:tcPr>
            <w:tcW w:w="0" w:type="auto"/>
            <w:gridSpan w:val="3"/>
            <w:shd w:val="clear" w:color="auto" w:fill="CCEEFF"/>
            <w:tcMar>
              <w:top w:w="0" w:type="dxa"/>
              <w:left w:w="20" w:type="dxa"/>
              <w:bottom w:w="0" w:type="dxa"/>
              <w:right w:w="20" w:type="dxa"/>
            </w:tcMar>
            <w:vAlign w:val="bottom"/>
          </w:tcPr>
          <w:p w14:paraId="74DDC6A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center"/>
          </w:tcPr>
          <w:p w14:paraId="74DDC6A2" w14:textId="77777777" w:rsidR="00584EC1" w:rsidRDefault="00871F8D">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4DDC6A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6A4"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center"/>
          </w:tcPr>
          <w:p w14:paraId="74DDC6A5" w14:textId="77777777" w:rsidR="00584EC1" w:rsidRDefault="00871F8D">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4DDC6A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6A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center"/>
          </w:tcPr>
          <w:p w14:paraId="74DDC6A8" w14:textId="77777777" w:rsidR="00584EC1" w:rsidRDefault="00871F8D">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4DDC6A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6AA"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center"/>
          </w:tcPr>
          <w:p w14:paraId="74DDC6AB" w14:textId="77777777" w:rsidR="00584EC1" w:rsidRDefault="00871F8D">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4DDC6A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6A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center"/>
          </w:tcPr>
          <w:p w14:paraId="74DDC6AE" w14:textId="77777777" w:rsidR="00584EC1" w:rsidRDefault="00871F8D">
            <w:pPr>
              <w:jc w:val="right"/>
              <w:textAlignment w:val="center"/>
            </w:pPr>
            <w:r>
              <w:rPr>
                <w:rFonts w:ascii="Arial" w:eastAsia="宋体" w:hAnsi="Arial" w:cs="Arial"/>
                <w:color w:val="000000"/>
                <w:sz w:val="12"/>
                <w:szCs w:val="12"/>
              </w:rPr>
              <w:t>47 </w:t>
            </w:r>
          </w:p>
        </w:tc>
        <w:tc>
          <w:tcPr>
            <w:tcW w:w="0" w:type="auto"/>
            <w:shd w:val="clear" w:color="auto" w:fill="CCEEFF"/>
            <w:tcMar>
              <w:top w:w="40" w:type="dxa"/>
              <w:left w:w="0" w:type="dxa"/>
              <w:bottom w:w="40" w:type="dxa"/>
              <w:right w:w="20" w:type="dxa"/>
            </w:tcMar>
            <w:vAlign w:val="center"/>
          </w:tcPr>
          <w:p w14:paraId="74DDC6AF" w14:textId="77777777" w:rsidR="00584EC1" w:rsidRDefault="00584EC1">
            <w:pPr>
              <w:jc w:val="right"/>
              <w:rPr>
                <w:rFonts w:ascii="宋体"/>
              </w:rPr>
            </w:pPr>
          </w:p>
        </w:tc>
        <w:tc>
          <w:tcPr>
            <w:tcW w:w="0" w:type="auto"/>
            <w:gridSpan w:val="2"/>
            <w:shd w:val="clear" w:color="auto" w:fill="CCEEFF"/>
            <w:tcMar>
              <w:top w:w="0" w:type="dxa"/>
              <w:left w:w="20" w:type="dxa"/>
              <w:bottom w:w="0" w:type="dxa"/>
              <w:right w:w="20" w:type="dxa"/>
            </w:tcMar>
            <w:vAlign w:val="bottom"/>
          </w:tcPr>
          <w:p w14:paraId="74DDC6B0" w14:textId="77777777" w:rsidR="00584EC1" w:rsidRDefault="00584EC1">
            <w:pPr>
              <w:rPr>
                <w:rFonts w:ascii="宋体"/>
              </w:rPr>
            </w:pPr>
          </w:p>
        </w:tc>
        <w:tc>
          <w:tcPr>
            <w:tcW w:w="0" w:type="auto"/>
            <w:shd w:val="clear" w:color="auto" w:fill="CCEEFF"/>
            <w:tcMar>
              <w:top w:w="0" w:type="dxa"/>
              <w:left w:w="20" w:type="dxa"/>
              <w:bottom w:w="0" w:type="dxa"/>
              <w:right w:w="20" w:type="dxa"/>
            </w:tcMar>
            <w:vAlign w:val="bottom"/>
          </w:tcPr>
          <w:p w14:paraId="74DDC6B1" w14:textId="77777777" w:rsidR="00584EC1" w:rsidRDefault="00584EC1">
            <w:pPr>
              <w:rPr>
                <w:rFonts w:ascii="宋体"/>
              </w:rPr>
            </w:pPr>
          </w:p>
        </w:tc>
      </w:tr>
      <w:tr w:rsidR="00584EC1" w14:paraId="74DDC6D2" w14:textId="77777777">
        <w:tc>
          <w:tcPr>
            <w:tcW w:w="0" w:type="auto"/>
            <w:gridSpan w:val="3"/>
            <w:shd w:val="clear" w:color="auto" w:fill="FFFFFF"/>
            <w:tcMar>
              <w:top w:w="40" w:type="dxa"/>
              <w:left w:w="20" w:type="dxa"/>
              <w:bottom w:w="40" w:type="dxa"/>
              <w:right w:w="20" w:type="dxa"/>
            </w:tcMar>
            <w:vAlign w:val="center"/>
          </w:tcPr>
          <w:p w14:paraId="74DDC6B3" w14:textId="77777777" w:rsidR="00584EC1" w:rsidRDefault="00871F8D">
            <w:pPr>
              <w:textAlignment w:val="center"/>
            </w:pPr>
            <w:r>
              <w:rPr>
                <w:rFonts w:ascii="Arial" w:eastAsia="宋体" w:hAnsi="Arial" w:cs="Arial"/>
                <w:color w:val="000000"/>
                <w:sz w:val="12"/>
                <w:szCs w:val="12"/>
              </w:rPr>
              <w:t>Total non-U.S. debt securities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4DDC6B4" w14:textId="77777777" w:rsidR="00584EC1" w:rsidRDefault="00871F8D">
            <w:pPr>
              <w:jc w:val="right"/>
              <w:textAlignment w:val="center"/>
            </w:pPr>
            <w:r>
              <w:rPr>
                <w:rFonts w:ascii="Arial" w:eastAsia="宋体" w:hAnsi="Arial" w:cs="Arial"/>
                <w:color w:val="000000"/>
                <w:sz w:val="12"/>
                <w:szCs w:val="12"/>
              </w:rPr>
              <w:t>921 </w:t>
            </w:r>
          </w:p>
        </w:tc>
        <w:tc>
          <w:tcPr>
            <w:tcW w:w="0" w:type="auto"/>
            <w:tcBorders>
              <w:top w:val="single" w:sz="8" w:space="0" w:color="000000"/>
            </w:tcBorders>
            <w:shd w:val="clear" w:color="auto" w:fill="FFFFFF"/>
            <w:tcMar>
              <w:top w:w="40" w:type="dxa"/>
              <w:left w:w="0" w:type="dxa"/>
              <w:bottom w:w="40" w:type="dxa"/>
              <w:right w:w="20" w:type="dxa"/>
            </w:tcMar>
            <w:vAlign w:val="center"/>
          </w:tcPr>
          <w:p w14:paraId="74DDC6B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6B6"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4DDC6B7" w14:textId="77777777" w:rsidR="00584EC1" w:rsidRDefault="00871F8D">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4DDC6B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6B9"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4DDC6BA" w14:textId="77777777" w:rsidR="00584EC1" w:rsidRDefault="00871F8D">
            <w:pPr>
              <w:jc w:val="right"/>
              <w:textAlignment w:val="center"/>
            </w:pPr>
            <w:r>
              <w:rPr>
                <w:rFonts w:ascii="Arial" w:eastAsia="宋体" w:hAnsi="Arial" w:cs="Arial"/>
                <w:color w:val="000000"/>
                <w:sz w:val="12"/>
                <w:szCs w:val="12"/>
              </w:rPr>
              <w:t>47 </w:t>
            </w:r>
          </w:p>
        </w:tc>
        <w:tc>
          <w:tcPr>
            <w:tcW w:w="0" w:type="auto"/>
            <w:tcBorders>
              <w:top w:val="single" w:sz="8" w:space="0" w:color="000000"/>
            </w:tcBorders>
            <w:shd w:val="clear" w:color="auto" w:fill="FFFFFF"/>
            <w:tcMar>
              <w:top w:w="40" w:type="dxa"/>
              <w:left w:w="0" w:type="dxa"/>
              <w:bottom w:w="40" w:type="dxa"/>
              <w:right w:w="20" w:type="dxa"/>
            </w:tcMar>
            <w:vAlign w:val="center"/>
          </w:tcPr>
          <w:p w14:paraId="74DDC6B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6BC"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4DDC6BD" w14:textId="77777777" w:rsidR="00584EC1" w:rsidRDefault="00871F8D">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4DDC6BE" w14:textId="77777777" w:rsidR="00584EC1" w:rsidRDefault="00584EC1">
            <w:pPr>
              <w:jc w:val="right"/>
              <w:rPr>
                <w:rFonts w:ascii="宋体"/>
              </w:rPr>
            </w:pPr>
          </w:p>
        </w:tc>
        <w:tc>
          <w:tcPr>
            <w:tcW w:w="0" w:type="auto"/>
            <w:shd w:val="clear" w:color="auto" w:fill="auto"/>
            <w:vAlign w:val="bottom"/>
          </w:tcPr>
          <w:p w14:paraId="74DDC6BF" w14:textId="77777777" w:rsidR="00584EC1" w:rsidRDefault="00584EC1">
            <w:pPr>
              <w:rPr>
                <w:rFonts w:ascii="宋体"/>
                <w:vanish/>
              </w:rPr>
            </w:pPr>
          </w:p>
        </w:tc>
        <w:tc>
          <w:tcPr>
            <w:tcW w:w="0" w:type="auto"/>
            <w:shd w:val="clear" w:color="auto" w:fill="auto"/>
            <w:vAlign w:val="bottom"/>
          </w:tcPr>
          <w:p w14:paraId="74DDC6C0" w14:textId="77777777" w:rsidR="00584EC1" w:rsidRDefault="00584EC1">
            <w:pPr>
              <w:rPr>
                <w:rFonts w:ascii="宋体"/>
                <w:vanish/>
              </w:rPr>
            </w:pPr>
          </w:p>
        </w:tc>
        <w:tc>
          <w:tcPr>
            <w:tcW w:w="0" w:type="auto"/>
            <w:gridSpan w:val="3"/>
            <w:shd w:val="clear" w:color="auto" w:fill="FFFFFF"/>
            <w:tcMar>
              <w:top w:w="0" w:type="dxa"/>
              <w:left w:w="20" w:type="dxa"/>
              <w:bottom w:w="0" w:type="dxa"/>
              <w:right w:w="20" w:type="dxa"/>
            </w:tcMar>
            <w:vAlign w:val="bottom"/>
          </w:tcPr>
          <w:p w14:paraId="74DDC6C1"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4DDC6C2" w14:textId="77777777" w:rsidR="00584EC1" w:rsidRDefault="00871F8D">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4DDC6C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6C4"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4DDC6C5" w14:textId="77777777" w:rsidR="00584EC1" w:rsidRDefault="00871F8D">
            <w:pPr>
              <w:jc w:val="right"/>
              <w:textAlignment w:val="center"/>
            </w:pPr>
            <w:r>
              <w:rPr>
                <w:rFonts w:ascii="Arial" w:eastAsia="宋体" w:hAnsi="Arial" w:cs="Arial"/>
                <w:color w:val="000000"/>
                <w:sz w:val="12"/>
                <w:szCs w:val="12"/>
              </w:rPr>
              <w:t>(3)</w:t>
            </w:r>
          </w:p>
        </w:tc>
        <w:tc>
          <w:tcPr>
            <w:tcW w:w="0" w:type="auto"/>
            <w:tcBorders>
              <w:top w:val="single" w:sz="8" w:space="0" w:color="000000"/>
            </w:tcBorders>
            <w:shd w:val="clear" w:color="auto" w:fill="FFFFFF"/>
            <w:tcMar>
              <w:top w:w="40" w:type="dxa"/>
              <w:left w:w="0" w:type="dxa"/>
              <w:bottom w:w="40" w:type="dxa"/>
              <w:right w:w="20" w:type="dxa"/>
            </w:tcMar>
            <w:vAlign w:val="center"/>
          </w:tcPr>
          <w:p w14:paraId="74DDC6C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6C7"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4DDC6C8" w14:textId="77777777" w:rsidR="00584EC1" w:rsidRDefault="00871F8D">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4DDC6C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6CA"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4DDC6CB" w14:textId="77777777" w:rsidR="00584EC1" w:rsidRDefault="00871F8D">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4DDC6C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6CD"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4DDC6CE" w14:textId="77777777" w:rsidR="00584EC1" w:rsidRDefault="00871F8D">
            <w:pPr>
              <w:jc w:val="right"/>
              <w:textAlignment w:val="center"/>
            </w:pPr>
            <w:r>
              <w:rPr>
                <w:rFonts w:ascii="Arial" w:eastAsia="宋体" w:hAnsi="Arial" w:cs="Arial"/>
                <w:color w:val="000000"/>
                <w:sz w:val="12"/>
                <w:szCs w:val="12"/>
              </w:rPr>
              <w:t>965 </w:t>
            </w:r>
          </w:p>
        </w:tc>
        <w:tc>
          <w:tcPr>
            <w:tcW w:w="0" w:type="auto"/>
            <w:tcBorders>
              <w:top w:val="single" w:sz="8" w:space="0" w:color="000000"/>
            </w:tcBorders>
            <w:shd w:val="clear" w:color="auto" w:fill="FFFFFF"/>
            <w:tcMar>
              <w:top w:w="40" w:type="dxa"/>
              <w:left w:w="0" w:type="dxa"/>
              <w:bottom w:w="40" w:type="dxa"/>
              <w:right w:w="20" w:type="dxa"/>
            </w:tcMar>
            <w:vAlign w:val="center"/>
          </w:tcPr>
          <w:p w14:paraId="74DDC6CF" w14:textId="77777777" w:rsidR="00584EC1" w:rsidRDefault="00584EC1">
            <w:pPr>
              <w:jc w:val="right"/>
              <w:rPr>
                <w:rFonts w:ascii="宋体"/>
              </w:rPr>
            </w:pPr>
          </w:p>
        </w:tc>
        <w:tc>
          <w:tcPr>
            <w:tcW w:w="0" w:type="auto"/>
            <w:gridSpan w:val="2"/>
            <w:shd w:val="clear" w:color="auto" w:fill="FFFFFF"/>
            <w:tcMar>
              <w:top w:w="0" w:type="dxa"/>
              <w:left w:w="20" w:type="dxa"/>
              <w:bottom w:w="0" w:type="dxa"/>
              <w:right w:w="20" w:type="dxa"/>
            </w:tcMar>
            <w:vAlign w:val="bottom"/>
          </w:tcPr>
          <w:p w14:paraId="74DDC6D0" w14:textId="77777777" w:rsidR="00584EC1" w:rsidRDefault="00584EC1">
            <w:pPr>
              <w:rPr>
                <w:rFonts w:ascii="宋体"/>
              </w:rPr>
            </w:pPr>
          </w:p>
        </w:tc>
        <w:tc>
          <w:tcPr>
            <w:tcW w:w="0" w:type="auto"/>
            <w:shd w:val="clear" w:color="auto" w:fill="FFFFFF"/>
            <w:tcMar>
              <w:top w:w="0" w:type="dxa"/>
              <w:left w:w="20" w:type="dxa"/>
              <w:bottom w:w="0" w:type="dxa"/>
              <w:right w:w="20" w:type="dxa"/>
            </w:tcMar>
            <w:vAlign w:val="bottom"/>
          </w:tcPr>
          <w:p w14:paraId="74DDC6D1" w14:textId="77777777" w:rsidR="00584EC1" w:rsidRDefault="00584EC1">
            <w:pPr>
              <w:rPr>
                <w:rFonts w:ascii="宋体"/>
              </w:rPr>
            </w:pPr>
          </w:p>
        </w:tc>
      </w:tr>
      <w:tr w:rsidR="00584EC1" w14:paraId="74DDC6E9" w14:textId="77777777">
        <w:trPr>
          <w:hidden/>
        </w:trPr>
        <w:tc>
          <w:tcPr>
            <w:tcW w:w="0" w:type="auto"/>
            <w:gridSpan w:val="3"/>
            <w:shd w:val="clear" w:color="auto" w:fill="auto"/>
            <w:vAlign w:val="bottom"/>
          </w:tcPr>
          <w:p w14:paraId="74DDC6D3" w14:textId="77777777" w:rsidR="00584EC1" w:rsidRDefault="00584EC1">
            <w:pPr>
              <w:rPr>
                <w:rFonts w:ascii="宋体"/>
                <w:vanish/>
              </w:rPr>
            </w:pPr>
          </w:p>
        </w:tc>
        <w:tc>
          <w:tcPr>
            <w:tcW w:w="0" w:type="auto"/>
            <w:gridSpan w:val="3"/>
            <w:shd w:val="clear" w:color="auto" w:fill="auto"/>
            <w:vAlign w:val="bottom"/>
          </w:tcPr>
          <w:p w14:paraId="74DDC6D4" w14:textId="77777777" w:rsidR="00584EC1" w:rsidRDefault="00584EC1">
            <w:pPr>
              <w:rPr>
                <w:rFonts w:ascii="宋体"/>
                <w:vanish/>
              </w:rPr>
            </w:pPr>
          </w:p>
        </w:tc>
        <w:tc>
          <w:tcPr>
            <w:tcW w:w="0" w:type="auto"/>
            <w:gridSpan w:val="3"/>
            <w:shd w:val="clear" w:color="auto" w:fill="auto"/>
            <w:vAlign w:val="bottom"/>
          </w:tcPr>
          <w:p w14:paraId="74DDC6D5" w14:textId="77777777" w:rsidR="00584EC1" w:rsidRDefault="00584EC1">
            <w:pPr>
              <w:rPr>
                <w:rFonts w:ascii="宋体"/>
                <w:vanish/>
              </w:rPr>
            </w:pPr>
          </w:p>
        </w:tc>
        <w:tc>
          <w:tcPr>
            <w:tcW w:w="0" w:type="auto"/>
            <w:gridSpan w:val="3"/>
            <w:shd w:val="clear" w:color="auto" w:fill="auto"/>
            <w:vAlign w:val="bottom"/>
          </w:tcPr>
          <w:p w14:paraId="74DDC6D6" w14:textId="77777777" w:rsidR="00584EC1" w:rsidRDefault="00584EC1">
            <w:pPr>
              <w:rPr>
                <w:rFonts w:ascii="宋体"/>
                <w:vanish/>
              </w:rPr>
            </w:pPr>
          </w:p>
        </w:tc>
        <w:tc>
          <w:tcPr>
            <w:tcW w:w="0" w:type="auto"/>
            <w:gridSpan w:val="3"/>
            <w:shd w:val="clear" w:color="auto" w:fill="auto"/>
            <w:vAlign w:val="bottom"/>
          </w:tcPr>
          <w:p w14:paraId="74DDC6D7" w14:textId="77777777" w:rsidR="00584EC1" w:rsidRDefault="00584EC1">
            <w:pPr>
              <w:rPr>
                <w:rFonts w:ascii="宋体"/>
                <w:vanish/>
              </w:rPr>
            </w:pPr>
          </w:p>
        </w:tc>
        <w:tc>
          <w:tcPr>
            <w:tcW w:w="0" w:type="auto"/>
            <w:gridSpan w:val="3"/>
            <w:shd w:val="clear" w:color="auto" w:fill="auto"/>
            <w:vAlign w:val="bottom"/>
          </w:tcPr>
          <w:p w14:paraId="74DDC6D8" w14:textId="77777777" w:rsidR="00584EC1" w:rsidRDefault="00584EC1">
            <w:pPr>
              <w:rPr>
                <w:rFonts w:ascii="宋体"/>
                <w:vanish/>
              </w:rPr>
            </w:pPr>
          </w:p>
        </w:tc>
        <w:tc>
          <w:tcPr>
            <w:tcW w:w="0" w:type="auto"/>
            <w:gridSpan w:val="3"/>
            <w:shd w:val="clear" w:color="auto" w:fill="auto"/>
            <w:vAlign w:val="bottom"/>
          </w:tcPr>
          <w:p w14:paraId="74DDC6D9" w14:textId="77777777" w:rsidR="00584EC1" w:rsidRDefault="00584EC1">
            <w:pPr>
              <w:rPr>
                <w:rFonts w:ascii="宋体"/>
                <w:vanish/>
              </w:rPr>
            </w:pPr>
          </w:p>
        </w:tc>
        <w:tc>
          <w:tcPr>
            <w:tcW w:w="0" w:type="auto"/>
            <w:gridSpan w:val="3"/>
            <w:shd w:val="clear" w:color="auto" w:fill="auto"/>
            <w:vAlign w:val="bottom"/>
          </w:tcPr>
          <w:p w14:paraId="74DDC6DA" w14:textId="77777777" w:rsidR="00584EC1" w:rsidRDefault="00584EC1">
            <w:pPr>
              <w:rPr>
                <w:rFonts w:ascii="宋体"/>
                <w:vanish/>
              </w:rPr>
            </w:pPr>
          </w:p>
        </w:tc>
        <w:tc>
          <w:tcPr>
            <w:tcW w:w="0" w:type="auto"/>
            <w:shd w:val="clear" w:color="auto" w:fill="auto"/>
            <w:vAlign w:val="bottom"/>
          </w:tcPr>
          <w:p w14:paraId="74DDC6DB" w14:textId="77777777" w:rsidR="00584EC1" w:rsidRDefault="00584EC1">
            <w:pPr>
              <w:rPr>
                <w:rFonts w:ascii="宋体"/>
                <w:vanish/>
              </w:rPr>
            </w:pPr>
          </w:p>
        </w:tc>
        <w:tc>
          <w:tcPr>
            <w:tcW w:w="0" w:type="auto"/>
            <w:shd w:val="clear" w:color="auto" w:fill="auto"/>
            <w:vAlign w:val="bottom"/>
          </w:tcPr>
          <w:p w14:paraId="74DDC6DC" w14:textId="77777777" w:rsidR="00584EC1" w:rsidRDefault="00584EC1">
            <w:pPr>
              <w:rPr>
                <w:rFonts w:ascii="宋体"/>
                <w:vanish/>
              </w:rPr>
            </w:pPr>
          </w:p>
        </w:tc>
        <w:tc>
          <w:tcPr>
            <w:tcW w:w="0" w:type="auto"/>
            <w:gridSpan w:val="3"/>
            <w:shd w:val="clear" w:color="auto" w:fill="auto"/>
            <w:vAlign w:val="bottom"/>
          </w:tcPr>
          <w:p w14:paraId="74DDC6DD" w14:textId="77777777" w:rsidR="00584EC1" w:rsidRDefault="00584EC1">
            <w:pPr>
              <w:rPr>
                <w:rFonts w:ascii="宋体"/>
                <w:vanish/>
              </w:rPr>
            </w:pPr>
          </w:p>
        </w:tc>
        <w:tc>
          <w:tcPr>
            <w:tcW w:w="0" w:type="auto"/>
            <w:gridSpan w:val="3"/>
            <w:shd w:val="clear" w:color="auto" w:fill="auto"/>
            <w:vAlign w:val="bottom"/>
          </w:tcPr>
          <w:p w14:paraId="74DDC6DE" w14:textId="77777777" w:rsidR="00584EC1" w:rsidRDefault="00584EC1">
            <w:pPr>
              <w:rPr>
                <w:rFonts w:ascii="宋体"/>
                <w:vanish/>
              </w:rPr>
            </w:pPr>
          </w:p>
        </w:tc>
        <w:tc>
          <w:tcPr>
            <w:tcW w:w="0" w:type="auto"/>
            <w:gridSpan w:val="3"/>
            <w:shd w:val="clear" w:color="auto" w:fill="auto"/>
            <w:vAlign w:val="bottom"/>
          </w:tcPr>
          <w:p w14:paraId="74DDC6DF" w14:textId="77777777" w:rsidR="00584EC1" w:rsidRDefault="00584EC1">
            <w:pPr>
              <w:rPr>
                <w:rFonts w:ascii="宋体"/>
                <w:vanish/>
              </w:rPr>
            </w:pPr>
          </w:p>
        </w:tc>
        <w:tc>
          <w:tcPr>
            <w:tcW w:w="0" w:type="auto"/>
            <w:gridSpan w:val="3"/>
            <w:shd w:val="clear" w:color="auto" w:fill="auto"/>
            <w:vAlign w:val="bottom"/>
          </w:tcPr>
          <w:p w14:paraId="74DDC6E0" w14:textId="77777777" w:rsidR="00584EC1" w:rsidRDefault="00584EC1">
            <w:pPr>
              <w:rPr>
                <w:rFonts w:ascii="宋体"/>
                <w:vanish/>
              </w:rPr>
            </w:pPr>
          </w:p>
        </w:tc>
        <w:tc>
          <w:tcPr>
            <w:tcW w:w="0" w:type="auto"/>
            <w:gridSpan w:val="3"/>
            <w:shd w:val="clear" w:color="auto" w:fill="auto"/>
            <w:vAlign w:val="bottom"/>
          </w:tcPr>
          <w:p w14:paraId="74DDC6E1" w14:textId="77777777" w:rsidR="00584EC1" w:rsidRDefault="00584EC1">
            <w:pPr>
              <w:rPr>
                <w:rFonts w:ascii="宋体"/>
                <w:vanish/>
              </w:rPr>
            </w:pPr>
          </w:p>
        </w:tc>
        <w:tc>
          <w:tcPr>
            <w:tcW w:w="0" w:type="auto"/>
            <w:gridSpan w:val="3"/>
            <w:shd w:val="clear" w:color="auto" w:fill="auto"/>
            <w:vAlign w:val="bottom"/>
          </w:tcPr>
          <w:p w14:paraId="74DDC6E2" w14:textId="77777777" w:rsidR="00584EC1" w:rsidRDefault="00584EC1">
            <w:pPr>
              <w:rPr>
                <w:rFonts w:ascii="宋体"/>
                <w:vanish/>
              </w:rPr>
            </w:pPr>
          </w:p>
        </w:tc>
        <w:tc>
          <w:tcPr>
            <w:tcW w:w="0" w:type="auto"/>
            <w:gridSpan w:val="3"/>
            <w:shd w:val="clear" w:color="auto" w:fill="auto"/>
            <w:vAlign w:val="bottom"/>
          </w:tcPr>
          <w:p w14:paraId="74DDC6E3" w14:textId="77777777" w:rsidR="00584EC1" w:rsidRDefault="00584EC1">
            <w:pPr>
              <w:rPr>
                <w:rFonts w:ascii="宋体"/>
                <w:vanish/>
              </w:rPr>
            </w:pPr>
          </w:p>
        </w:tc>
        <w:tc>
          <w:tcPr>
            <w:tcW w:w="0" w:type="auto"/>
            <w:gridSpan w:val="3"/>
            <w:shd w:val="clear" w:color="auto" w:fill="auto"/>
            <w:vAlign w:val="bottom"/>
          </w:tcPr>
          <w:p w14:paraId="74DDC6E4" w14:textId="77777777" w:rsidR="00584EC1" w:rsidRDefault="00584EC1">
            <w:pPr>
              <w:rPr>
                <w:rFonts w:ascii="宋体"/>
                <w:vanish/>
              </w:rPr>
            </w:pPr>
          </w:p>
        </w:tc>
        <w:tc>
          <w:tcPr>
            <w:tcW w:w="0" w:type="auto"/>
            <w:gridSpan w:val="3"/>
            <w:shd w:val="clear" w:color="auto" w:fill="auto"/>
            <w:vAlign w:val="bottom"/>
          </w:tcPr>
          <w:p w14:paraId="74DDC6E5" w14:textId="77777777" w:rsidR="00584EC1" w:rsidRDefault="00584EC1">
            <w:pPr>
              <w:rPr>
                <w:rFonts w:ascii="宋体"/>
                <w:vanish/>
              </w:rPr>
            </w:pPr>
          </w:p>
        </w:tc>
        <w:tc>
          <w:tcPr>
            <w:tcW w:w="0" w:type="auto"/>
            <w:gridSpan w:val="3"/>
            <w:shd w:val="clear" w:color="auto" w:fill="auto"/>
            <w:vAlign w:val="bottom"/>
          </w:tcPr>
          <w:p w14:paraId="74DDC6E6" w14:textId="77777777" w:rsidR="00584EC1" w:rsidRDefault="00584EC1">
            <w:pPr>
              <w:rPr>
                <w:rFonts w:ascii="宋体"/>
                <w:vanish/>
              </w:rPr>
            </w:pPr>
          </w:p>
        </w:tc>
        <w:tc>
          <w:tcPr>
            <w:tcW w:w="0" w:type="auto"/>
            <w:gridSpan w:val="2"/>
            <w:shd w:val="clear" w:color="auto" w:fill="auto"/>
            <w:vAlign w:val="bottom"/>
          </w:tcPr>
          <w:p w14:paraId="74DDC6E7" w14:textId="77777777" w:rsidR="00584EC1" w:rsidRDefault="00584EC1">
            <w:pPr>
              <w:rPr>
                <w:rFonts w:ascii="宋体"/>
                <w:vanish/>
              </w:rPr>
            </w:pPr>
          </w:p>
        </w:tc>
        <w:tc>
          <w:tcPr>
            <w:tcW w:w="0" w:type="auto"/>
            <w:shd w:val="clear" w:color="auto" w:fill="auto"/>
            <w:vAlign w:val="bottom"/>
          </w:tcPr>
          <w:p w14:paraId="74DDC6E8" w14:textId="77777777" w:rsidR="00584EC1" w:rsidRDefault="00584EC1">
            <w:pPr>
              <w:rPr>
                <w:rFonts w:ascii="宋体"/>
                <w:vanish/>
              </w:rPr>
            </w:pPr>
          </w:p>
        </w:tc>
      </w:tr>
      <w:tr w:rsidR="00584EC1" w14:paraId="74DDC700" w14:textId="77777777">
        <w:trPr>
          <w:hidden/>
        </w:trPr>
        <w:tc>
          <w:tcPr>
            <w:tcW w:w="0" w:type="auto"/>
            <w:gridSpan w:val="3"/>
            <w:shd w:val="clear" w:color="auto" w:fill="auto"/>
            <w:vAlign w:val="bottom"/>
          </w:tcPr>
          <w:p w14:paraId="74DDC6EA" w14:textId="77777777" w:rsidR="00584EC1" w:rsidRDefault="00584EC1">
            <w:pPr>
              <w:rPr>
                <w:rFonts w:ascii="宋体"/>
                <w:vanish/>
              </w:rPr>
            </w:pPr>
          </w:p>
        </w:tc>
        <w:tc>
          <w:tcPr>
            <w:tcW w:w="0" w:type="auto"/>
            <w:gridSpan w:val="3"/>
            <w:shd w:val="clear" w:color="auto" w:fill="auto"/>
            <w:vAlign w:val="bottom"/>
          </w:tcPr>
          <w:p w14:paraId="74DDC6EB" w14:textId="77777777" w:rsidR="00584EC1" w:rsidRDefault="00584EC1">
            <w:pPr>
              <w:rPr>
                <w:rFonts w:ascii="宋体"/>
                <w:vanish/>
              </w:rPr>
            </w:pPr>
          </w:p>
        </w:tc>
        <w:tc>
          <w:tcPr>
            <w:tcW w:w="0" w:type="auto"/>
            <w:gridSpan w:val="3"/>
            <w:shd w:val="clear" w:color="auto" w:fill="auto"/>
            <w:vAlign w:val="bottom"/>
          </w:tcPr>
          <w:p w14:paraId="74DDC6EC" w14:textId="77777777" w:rsidR="00584EC1" w:rsidRDefault="00584EC1">
            <w:pPr>
              <w:rPr>
                <w:rFonts w:ascii="宋体"/>
                <w:vanish/>
              </w:rPr>
            </w:pPr>
          </w:p>
        </w:tc>
        <w:tc>
          <w:tcPr>
            <w:tcW w:w="0" w:type="auto"/>
            <w:gridSpan w:val="3"/>
            <w:shd w:val="clear" w:color="auto" w:fill="auto"/>
            <w:vAlign w:val="bottom"/>
          </w:tcPr>
          <w:p w14:paraId="74DDC6ED" w14:textId="77777777" w:rsidR="00584EC1" w:rsidRDefault="00584EC1">
            <w:pPr>
              <w:rPr>
                <w:rFonts w:ascii="宋体"/>
                <w:vanish/>
              </w:rPr>
            </w:pPr>
          </w:p>
        </w:tc>
        <w:tc>
          <w:tcPr>
            <w:tcW w:w="0" w:type="auto"/>
            <w:gridSpan w:val="3"/>
            <w:shd w:val="clear" w:color="auto" w:fill="auto"/>
            <w:vAlign w:val="bottom"/>
          </w:tcPr>
          <w:p w14:paraId="74DDC6EE" w14:textId="77777777" w:rsidR="00584EC1" w:rsidRDefault="00584EC1">
            <w:pPr>
              <w:rPr>
                <w:rFonts w:ascii="宋体"/>
                <w:vanish/>
              </w:rPr>
            </w:pPr>
          </w:p>
        </w:tc>
        <w:tc>
          <w:tcPr>
            <w:tcW w:w="0" w:type="auto"/>
            <w:gridSpan w:val="3"/>
            <w:shd w:val="clear" w:color="auto" w:fill="auto"/>
            <w:vAlign w:val="bottom"/>
          </w:tcPr>
          <w:p w14:paraId="74DDC6EF" w14:textId="77777777" w:rsidR="00584EC1" w:rsidRDefault="00584EC1">
            <w:pPr>
              <w:rPr>
                <w:rFonts w:ascii="宋体"/>
                <w:vanish/>
              </w:rPr>
            </w:pPr>
          </w:p>
        </w:tc>
        <w:tc>
          <w:tcPr>
            <w:tcW w:w="0" w:type="auto"/>
            <w:gridSpan w:val="3"/>
            <w:shd w:val="clear" w:color="auto" w:fill="auto"/>
            <w:vAlign w:val="bottom"/>
          </w:tcPr>
          <w:p w14:paraId="74DDC6F0" w14:textId="77777777" w:rsidR="00584EC1" w:rsidRDefault="00584EC1">
            <w:pPr>
              <w:rPr>
                <w:rFonts w:ascii="宋体"/>
                <w:vanish/>
              </w:rPr>
            </w:pPr>
          </w:p>
        </w:tc>
        <w:tc>
          <w:tcPr>
            <w:tcW w:w="0" w:type="auto"/>
            <w:gridSpan w:val="3"/>
            <w:shd w:val="clear" w:color="auto" w:fill="auto"/>
            <w:vAlign w:val="bottom"/>
          </w:tcPr>
          <w:p w14:paraId="74DDC6F1" w14:textId="77777777" w:rsidR="00584EC1" w:rsidRDefault="00584EC1">
            <w:pPr>
              <w:rPr>
                <w:rFonts w:ascii="宋体"/>
                <w:vanish/>
              </w:rPr>
            </w:pPr>
          </w:p>
        </w:tc>
        <w:tc>
          <w:tcPr>
            <w:tcW w:w="0" w:type="auto"/>
            <w:shd w:val="clear" w:color="auto" w:fill="auto"/>
            <w:vAlign w:val="bottom"/>
          </w:tcPr>
          <w:p w14:paraId="74DDC6F2" w14:textId="77777777" w:rsidR="00584EC1" w:rsidRDefault="00584EC1">
            <w:pPr>
              <w:rPr>
                <w:rFonts w:ascii="宋体"/>
                <w:vanish/>
              </w:rPr>
            </w:pPr>
          </w:p>
        </w:tc>
        <w:tc>
          <w:tcPr>
            <w:tcW w:w="0" w:type="auto"/>
            <w:shd w:val="clear" w:color="auto" w:fill="auto"/>
            <w:vAlign w:val="bottom"/>
          </w:tcPr>
          <w:p w14:paraId="74DDC6F3" w14:textId="77777777" w:rsidR="00584EC1" w:rsidRDefault="00584EC1">
            <w:pPr>
              <w:rPr>
                <w:rFonts w:ascii="宋体"/>
                <w:vanish/>
              </w:rPr>
            </w:pPr>
          </w:p>
        </w:tc>
        <w:tc>
          <w:tcPr>
            <w:tcW w:w="0" w:type="auto"/>
            <w:gridSpan w:val="3"/>
            <w:shd w:val="clear" w:color="auto" w:fill="auto"/>
            <w:vAlign w:val="bottom"/>
          </w:tcPr>
          <w:p w14:paraId="74DDC6F4" w14:textId="77777777" w:rsidR="00584EC1" w:rsidRDefault="00584EC1">
            <w:pPr>
              <w:rPr>
                <w:rFonts w:ascii="宋体"/>
                <w:vanish/>
              </w:rPr>
            </w:pPr>
          </w:p>
        </w:tc>
        <w:tc>
          <w:tcPr>
            <w:tcW w:w="0" w:type="auto"/>
            <w:gridSpan w:val="3"/>
            <w:shd w:val="clear" w:color="auto" w:fill="auto"/>
            <w:vAlign w:val="bottom"/>
          </w:tcPr>
          <w:p w14:paraId="74DDC6F5" w14:textId="77777777" w:rsidR="00584EC1" w:rsidRDefault="00584EC1">
            <w:pPr>
              <w:rPr>
                <w:rFonts w:ascii="宋体"/>
                <w:vanish/>
              </w:rPr>
            </w:pPr>
          </w:p>
        </w:tc>
        <w:tc>
          <w:tcPr>
            <w:tcW w:w="0" w:type="auto"/>
            <w:gridSpan w:val="3"/>
            <w:shd w:val="clear" w:color="auto" w:fill="auto"/>
            <w:vAlign w:val="bottom"/>
          </w:tcPr>
          <w:p w14:paraId="74DDC6F6" w14:textId="77777777" w:rsidR="00584EC1" w:rsidRDefault="00584EC1">
            <w:pPr>
              <w:rPr>
                <w:rFonts w:ascii="宋体"/>
                <w:vanish/>
              </w:rPr>
            </w:pPr>
          </w:p>
        </w:tc>
        <w:tc>
          <w:tcPr>
            <w:tcW w:w="0" w:type="auto"/>
            <w:gridSpan w:val="3"/>
            <w:shd w:val="clear" w:color="auto" w:fill="auto"/>
            <w:vAlign w:val="bottom"/>
          </w:tcPr>
          <w:p w14:paraId="74DDC6F7" w14:textId="77777777" w:rsidR="00584EC1" w:rsidRDefault="00584EC1">
            <w:pPr>
              <w:rPr>
                <w:rFonts w:ascii="宋体"/>
                <w:vanish/>
              </w:rPr>
            </w:pPr>
          </w:p>
        </w:tc>
        <w:tc>
          <w:tcPr>
            <w:tcW w:w="0" w:type="auto"/>
            <w:gridSpan w:val="3"/>
            <w:shd w:val="clear" w:color="auto" w:fill="auto"/>
            <w:vAlign w:val="bottom"/>
          </w:tcPr>
          <w:p w14:paraId="74DDC6F8" w14:textId="77777777" w:rsidR="00584EC1" w:rsidRDefault="00584EC1">
            <w:pPr>
              <w:rPr>
                <w:rFonts w:ascii="宋体"/>
                <w:vanish/>
              </w:rPr>
            </w:pPr>
          </w:p>
        </w:tc>
        <w:tc>
          <w:tcPr>
            <w:tcW w:w="0" w:type="auto"/>
            <w:gridSpan w:val="3"/>
            <w:shd w:val="clear" w:color="auto" w:fill="auto"/>
            <w:vAlign w:val="bottom"/>
          </w:tcPr>
          <w:p w14:paraId="74DDC6F9" w14:textId="77777777" w:rsidR="00584EC1" w:rsidRDefault="00584EC1">
            <w:pPr>
              <w:rPr>
                <w:rFonts w:ascii="宋体"/>
                <w:vanish/>
              </w:rPr>
            </w:pPr>
          </w:p>
        </w:tc>
        <w:tc>
          <w:tcPr>
            <w:tcW w:w="0" w:type="auto"/>
            <w:gridSpan w:val="3"/>
            <w:shd w:val="clear" w:color="auto" w:fill="auto"/>
            <w:vAlign w:val="bottom"/>
          </w:tcPr>
          <w:p w14:paraId="74DDC6FA" w14:textId="77777777" w:rsidR="00584EC1" w:rsidRDefault="00584EC1">
            <w:pPr>
              <w:rPr>
                <w:rFonts w:ascii="宋体"/>
                <w:vanish/>
              </w:rPr>
            </w:pPr>
          </w:p>
        </w:tc>
        <w:tc>
          <w:tcPr>
            <w:tcW w:w="0" w:type="auto"/>
            <w:gridSpan w:val="3"/>
            <w:shd w:val="clear" w:color="auto" w:fill="auto"/>
            <w:vAlign w:val="bottom"/>
          </w:tcPr>
          <w:p w14:paraId="74DDC6FB" w14:textId="77777777" w:rsidR="00584EC1" w:rsidRDefault="00584EC1">
            <w:pPr>
              <w:rPr>
                <w:rFonts w:ascii="宋体"/>
                <w:vanish/>
              </w:rPr>
            </w:pPr>
          </w:p>
        </w:tc>
        <w:tc>
          <w:tcPr>
            <w:tcW w:w="0" w:type="auto"/>
            <w:gridSpan w:val="3"/>
            <w:shd w:val="clear" w:color="auto" w:fill="auto"/>
            <w:vAlign w:val="bottom"/>
          </w:tcPr>
          <w:p w14:paraId="74DDC6FC" w14:textId="77777777" w:rsidR="00584EC1" w:rsidRDefault="00584EC1">
            <w:pPr>
              <w:rPr>
                <w:rFonts w:ascii="宋体"/>
                <w:vanish/>
              </w:rPr>
            </w:pPr>
          </w:p>
        </w:tc>
        <w:tc>
          <w:tcPr>
            <w:tcW w:w="0" w:type="auto"/>
            <w:gridSpan w:val="3"/>
            <w:shd w:val="clear" w:color="auto" w:fill="auto"/>
            <w:vAlign w:val="bottom"/>
          </w:tcPr>
          <w:p w14:paraId="74DDC6FD" w14:textId="77777777" w:rsidR="00584EC1" w:rsidRDefault="00584EC1">
            <w:pPr>
              <w:rPr>
                <w:rFonts w:ascii="宋体"/>
                <w:vanish/>
              </w:rPr>
            </w:pPr>
          </w:p>
        </w:tc>
        <w:tc>
          <w:tcPr>
            <w:tcW w:w="0" w:type="auto"/>
            <w:gridSpan w:val="2"/>
            <w:shd w:val="clear" w:color="auto" w:fill="auto"/>
            <w:vAlign w:val="bottom"/>
          </w:tcPr>
          <w:p w14:paraId="74DDC6FE" w14:textId="77777777" w:rsidR="00584EC1" w:rsidRDefault="00584EC1">
            <w:pPr>
              <w:rPr>
                <w:rFonts w:ascii="宋体"/>
                <w:vanish/>
              </w:rPr>
            </w:pPr>
          </w:p>
        </w:tc>
        <w:tc>
          <w:tcPr>
            <w:tcW w:w="0" w:type="auto"/>
            <w:shd w:val="clear" w:color="auto" w:fill="auto"/>
            <w:vAlign w:val="bottom"/>
          </w:tcPr>
          <w:p w14:paraId="74DDC6FF" w14:textId="77777777" w:rsidR="00584EC1" w:rsidRDefault="00584EC1">
            <w:pPr>
              <w:rPr>
                <w:rFonts w:ascii="宋体"/>
                <w:vanish/>
              </w:rPr>
            </w:pPr>
          </w:p>
        </w:tc>
      </w:tr>
      <w:tr w:rsidR="00584EC1" w14:paraId="74DDC717" w14:textId="77777777">
        <w:trPr>
          <w:hidden/>
        </w:trPr>
        <w:tc>
          <w:tcPr>
            <w:tcW w:w="0" w:type="auto"/>
            <w:gridSpan w:val="3"/>
            <w:shd w:val="clear" w:color="auto" w:fill="auto"/>
            <w:vAlign w:val="bottom"/>
          </w:tcPr>
          <w:p w14:paraId="74DDC701" w14:textId="77777777" w:rsidR="00584EC1" w:rsidRDefault="00584EC1">
            <w:pPr>
              <w:rPr>
                <w:rFonts w:ascii="宋体"/>
                <w:vanish/>
              </w:rPr>
            </w:pPr>
          </w:p>
        </w:tc>
        <w:tc>
          <w:tcPr>
            <w:tcW w:w="0" w:type="auto"/>
            <w:gridSpan w:val="3"/>
            <w:shd w:val="clear" w:color="auto" w:fill="auto"/>
            <w:vAlign w:val="bottom"/>
          </w:tcPr>
          <w:p w14:paraId="74DDC702" w14:textId="77777777" w:rsidR="00584EC1" w:rsidRDefault="00584EC1">
            <w:pPr>
              <w:rPr>
                <w:rFonts w:ascii="宋体"/>
                <w:vanish/>
              </w:rPr>
            </w:pPr>
          </w:p>
        </w:tc>
        <w:tc>
          <w:tcPr>
            <w:tcW w:w="0" w:type="auto"/>
            <w:gridSpan w:val="3"/>
            <w:shd w:val="clear" w:color="auto" w:fill="auto"/>
            <w:vAlign w:val="bottom"/>
          </w:tcPr>
          <w:p w14:paraId="74DDC703" w14:textId="77777777" w:rsidR="00584EC1" w:rsidRDefault="00584EC1">
            <w:pPr>
              <w:rPr>
                <w:rFonts w:ascii="宋体"/>
                <w:vanish/>
              </w:rPr>
            </w:pPr>
          </w:p>
        </w:tc>
        <w:tc>
          <w:tcPr>
            <w:tcW w:w="0" w:type="auto"/>
            <w:gridSpan w:val="3"/>
            <w:shd w:val="clear" w:color="auto" w:fill="auto"/>
            <w:vAlign w:val="bottom"/>
          </w:tcPr>
          <w:p w14:paraId="74DDC704" w14:textId="77777777" w:rsidR="00584EC1" w:rsidRDefault="00584EC1">
            <w:pPr>
              <w:rPr>
                <w:rFonts w:ascii="宋体"/>
                <w:vanish/>
              </w:rPr>
            </w:pPr>
          </w:p>
        </w:tc>
        <w:tc>
          <w:tcPr>
            <w:tcW w:w="0" w:type="auto"/>
            <w:gridSpan w:val="3"/>
            <w:shd w:val="clear" w:color="auto" w:fill="auto"/>
            <w:vAlign w:val="bottom"/>
          </w:tcPr>
          <w:p w14:paraId="74DDC705" w14:textId="77777777" w:rsidR="00584EC1" w:rsidRDefault="00584EC1">
            <w:pPr>
              <w:rPr>
                <w:rFonts w:ascii="宋体"/>
                <w:vanish/>
              </w:rPr>
            </w:pPr>
          </w:p>
        </w:tc>
        <w:tc>
          <w:tcPr>
            <w:tcW w:w="0" w:type="auto"/>
            <w:gridSpan w:val="3"/>
            <w:shd w:val="clear" w:color="auto" w:fill="auto"/>
            <w:vAlign w:val="bottom"/>
          </w:tcPr>
          <w:p w14:paraId="74DDC706" w14:textId="77777777" w:rsidR="00584EC1" w:rsidRDefault="00584EC1">
            <w:pPr>
              <w:rPr>
                <w:rFonts w:ascii="宋体"/>
                <w:vanish/>
              </w:rPr>
            </w:pPr>
          </w:p>
        </w:tc>
        <w:tc>
          <w:tcPr>
            <w:tcW w:w="0" w:type="auto"/>
            <w:gridSpan w:val="3"/>
            <w:shd w:val="clear" w:color="auto" w:fill="auto"/>
            <w:vAlign w:val="bottom"/>
          </w:tcPr>
          <w:p w14:paraId="74DDC707" w14:textId="77777777" w:rsidR="00584EC1" w:rsidRDefault="00584EC1">
            <w:pPr>
              <w:rPr>
                <w:rFonts w:ascii="宋体"/>
                <w:vanish/>
              </w:rPr>
            </w:pPr>
          </w:p>
        </w:tc>
        <w:tc>
          <w:tcPr>
            <w:tcW w:w="0" w:type="auto"/>
            <w:gridSpan w:val="3"/>
            <w:shd w:val="clear" w:color="auto" w:fill="auto"/>
            <w:vAlign w:val="bottom"/>
          </w:tcPr>
          <w:p w14:paraId="74DDC708" w14:textId="77777777" w:rsidR="00584EC1" w:rsidRDefault="00584EC1">
            <w:pPr>
              <w:rPr>
                <w:rFonts w:ascii="宋体"/>
                <w:vanish/>
              </w:rPr>
            </w:pPr>
          </w:p>
        </w:tc>
        <w:tc>
          <w:tcPr>
            <w:tcW w:w="0" w:type="auto"/>
            <w:shd w:val="clear" w:color="auto" w:fill="auto"/>
            <w:vAlign w:val="bottom"/>
          </w:tcPr>
          <w:p w14:paraId="74DDC709" w14:textId="77777777" w:rsidR="00584EC1" w:rsidRDefault="00584EC1">
            <w:pPr>
              <w:rPr>
                <w:rFonts w:ascii="宋体"/>
                <w:vanish/>
              </w:rPr>
            </w:pPr>
          </w:p>
        </w:tc>
        <w:tc>
          <w:tcPr>
            <w:tcW w:w="0" w:type="auto"/>
            <w:shd w:val="clear" w:color="auto" w:fill="auto"/>
            <w:vAlign w:val="bottom"/>
          </w:tcPr>
          <w:p w14:paraId="74DDC70A" w14:textId="77777777" w:rsidR="00584EC1" w:rsidRDefault="00584EC1">
            <w:pPr>
              <w:rPr>
                <w:rFonts w:ascii="宋体"/>
                <w:vanish/>
              </w:rPr>
            </w:pPr>
          </w:p>
        </w:tc>
        <w:tc>
          <w:tcPr>
            <w:tcW w:w="0" w:type="auto"/>
            <w:gridSpan w:val="3"/>
            <w:shd w:val="clear" w:color="auto" w:fill="auto"/>
            <w:vAlign w:val="bottom"/>
          </w:tcPr>
          <w:p w14:paraId="74DDC70B" w14:textId="77777777" w:rsidR="00584EC1" w:rsidRDefault="00584EC1">
            <w:pPr>
              <w:rPr>
                <w:rFonts w:ascii="宋体"/>
                <w:vanish/>
              </w:rPr>
            </w:pPr>
          </w:p>
        </w:tc>
        <w:tc>
          <w:tcPr>
            <w:tcW w:w="0" w:type="auto"/>
            <w:gridSpan w:val="3"/>
            <w:shd w:val="clear" w:color="auto" w:fill="auto"/>
            <w:vAlign w:val="bottom"/>
          </w:tcPr>
          <w:p w14:paraId="74DDC70C" w14:textId="77777777" w:rsidR="00584EC1" w:rsidRDefault="00584EC1">
            <w:pPr>
              <w:rPr>
                <w:rFonts w:ascii="宋体"/>
                <w:vanish/>
              </w:rPr>
            </w:pPr>
          </w:p>
        </w:tc>
        <w:tc>
          <w:tcPr>
            <w:tcW w:w="0" w:type="auto"/>
            <w:gridSpan w:val="3"/>
            <w:shd w:val="clear" w:color="auto" w:fill="auto"/>
            <w:vAlign w:val="bottom"/>
          </w:tcPr>
          <w:p w14:paraId="74DDC70D" w14:textId="77777777" w:rsidR="00584EC1" w:rsidRDefault="00584EC1">
            <w:pPr>
              <w:rPr>
                <w:rFonts w:ascii="宋体"/>
                <w:vanish/>
              </w:rPr>
            </w:pPr>
          </w:p>
        </w:tc>
        <w:tc>
          <w:tcPr>
            <w:tcW w:w="0" w:type="auto"/>
            <w:gridSpan w:val="3"/>
            <w:shd w:val="clear" w:color="auto" w:fill="auto"/>
            <w:vAlign w:val="bottom"/>
          </w:tcPr>
          <w:p w14:paraId="74DDC70E" w14:textId="77777777" w:rsidR="00584EC1" w:rsidRDefault="00584EC1">
            <w:pPr>
              <w:rPr>
                <w:rFonts w:ascii="宋体"/>
                <w:vanish/>
              </w:rPr>
            </w:pPr>
          </w:p>
        </w:tc>
        <w:tc>
          <w:tcPr>
            <w:tcW w:w="0" w:type="auto"/>
            <w:gridSpan w:val="3"/>
            <w:shd w:val="clear" w:color="auto" w:fill="auto"/>
            <w:vAlign w:val="bottom"/>
          </w:tcPr>
          <w:p w14:paraId="74DDC70F" w14:textId="77777777" w:rsidR="00584EC1" w:rsidRDefault="00584EC1">
            <w:pPr>
              <w:rPr>
                <w:rFonts w:ascii="宋体"/>
                <w:vanish/>
              </w:rPr>
            </w:pPr>
          </w:p>
        </w:tc>
        <w:tc>
          <w:tcPr>
            <w:tcW w:w="0" w:type="auto"/>
            <w:gridSpan w:val="3"/>
            <w:shd w:val="clear" w:color="auto" w:fill="auto"/>
            <w:vAlign w:val="bottom"/>
          </w:tcPr>
          <w:p w14:paraId="74DDC710" w14:textId="77777777" w:rsidR="00584EC1" w:rsidRDefault="00584EC1">
            <w:pPr>
              <w:rPr>
                <w:rFonts w:ascii="宋体"/>
                <w:vanish/>
              </w:rPr>
            </w:pPr>
          </w:p>
        </w:tc>
        <w:tc>
          <w:tcPr>
            <w:tcW w:w="0" w:type="auto"/>
            <w:gridSpan w:val="3"/>
            <w:shd w:val="clear" w:color="auto" w:fill="auto"/>
            <w:vAlign w:val="bottom"/>
          </w:tcPr>
          <w:p w14:paraId="74DDC711" w14:textId="77777777" w:rsidR="00584EC1" w:rsidRDefault="00584EC1">
            <w:pPr>
              <w:rPr>
                <w:rFonts w:ascii="宋体"/>
                <w:vanish/>
              </w:rPr>
            </w:pPr>
          </w:p>
        </w:tc>
        <w:tc>
          <w:tcPr>
            <w:tcW w:w="0" w:type="auto"/>
            <w:gridSpan w:val="3"/>
            <w:shd w:val="clear" w:color="auto" w:fill="auto"/>
            <w:vAlign w:val="bottom"/>
          </w:tcPr>
          <w:p w14:paraId="74DDC712" w14:textId="77777777" w:rsidR="00584EC1" w:rsidRDefault="00584EC1">
            <w:pPr>
              <w:rPr>
                <w:rFonts w:ascii="宋体"/>
                <w:vanish/>
              </w:rPr>
            </w:pPr>
          </w:p>
        </w:tc>
        <w:tc>
          <w:tcPr>
            <w:tcW w:w="0" w:type="auto"/>
            <w:gridSpan w:val="3"/>
            <w:shd w:val="clear" w:color="auto" w:fill="auto"/>
            <w:vAlign w:val="bottom"/>
          </w:tcPr>
          <w:p w14:paraId="74DDC713" w14:textId="77777777" w:rsidR="00584EC1" w:rsidRDefault="00584EC1">
            <w:pPr>
              <w:rPr>
                <w:rFonts w:ascii="宋体"/>
                <w:vanish/>
              </w:rPr>
            </w:pPr>
          </w:p>
        </w:tc>
        <w:tc>
          <w:tcPr>
            <w:tcW w:w="0" w:type="auto"/>
            <w:gridSpan w:val="3"/>
            <w:shd w:val="clear" w:color="auto" w:fill="auto"/>
            <w:vAlign w:val="bottom"/>
          </w:tcPr>
          <w:p w14:paraId="74DDC714" w14:textId="77777777" w:rsidR="00584EC1" w:rsidRDefault="00584EC1">
            <w:pPr>
              <w:rPr>
                <w:rFonts w:ascii="宋体"/>
                <w:vanish/>
              </w:rPr>
            </w:pPr>
          </w:p>
        </w:tc>
        <w:tc>
          <w:tcPr>
            <w:tcW w:w="0" w:type="auto"/>
            <w:gridSpan w:val="2"/>
            <w:shd w:val="clear" w:color="auto" w:fill="auto"/>
            <w:vAlign w:val="bottom"/>
          </w:tcPr>
          <w:p w14:paraId="74DDC715" w14:textId="77777777" w:rsidR="00584EC1" w:rsidRDefault="00584EC1">
            <w:pPr>
              <w:rPr>
                <w:rFonts w:ascii="宋体"/>
                <w:vanish/>
              </w:rPr>
            </w:pPr>
          </w:p>
        </w:tc>
        <w:tc>
          <w:tcPr>
            <w:tcW w:w="0" w:type="auto"/>
            <w:shd w:val="clear" w:color="auto" w:fill="auto"/>
            <w:vAlign w:val="bottom"/>
          </w:tcPr>
          <w:p w14:paraId="74DDC716" w14:textId="77777777" w:rsidR="00584EC1" w:rsidRDefault="00584EC1">
            <w:pPr>
              <w:rPr>
                <w:rFonts w:ascii="宋体"/>
                <w:vanish/>
              </w:rPr>
            </w:pPr>
          </w:p>
        </w:tc>
      </w:tr>
      <w:tr w:rsidR="00584EC1" w14:paraId="74DDC737" w14:textId="77777777">
        <w:tc>
          <w:tcPr>
            <w:tcW w:w="0" w:type="auto"/>
            <w:gridSpan w:val="3"/>
            <w:shd w:val="clear" w:color="auto" w:fill="CCEEFF"/>
            <w:tcMar>
              <w:top w:w="40" w:type="dxa"/>
              <w:left w:w="20" w:type="dxa"/>
              <w:bottom w:w="40" w:type="dxa"/>
              <w:right w:w="20" w:type="dxa"/>
            </w:tcMar>
            <w:vAlign w:val="center"/>
          </w:tcPr>
          <w:p w14:paraId="74DDC718" w14:textId="77777777" w:rsidR="00584EC1" w:rsidRDefault="00871F8D">
            <w:pPr>
              <w:textAlignment w:val="center"/>
            </w:pPr>
            <w:r>
              <w:rPr>
                <w:rFonts w:ascii="Arial" w:eastAsia="宋体" w:hAnsi="Arial" w:cs="Arial"/>
                <w:color w:val="000000"/>
                <w:sz w:val="12"/>
                <w:szCs w:val="12"/>
              </w:rPr>
              <w:t>Total available-for-sale investment securities</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4DDC719" w14:textId="77777777" w:rsidR="00584EC1" w:rsidRDefault="00871F8D">
            <w:pPr>
              <w:jc w:val="right"/>
              <w:textAlignment w:val="center"/>
            </w:pPr>
            <w:r>
              <w:rPr>
                <w:rFonts w:ascii="Arial" w:eastAsia="宋体" w:hAnsi="Arial" w:cs="Arial"/>
                <w:color w:val="000000"/>
                <w:sz w:val="12"/>
                <w:szCs w:val="12"/>
              </w:rPr>
              <w:t>2,790 </w:t>
            </w:r>
          </w:p>
        </w:tc>
        <w:tc>
          <w:tcPr>
            <w:tcW w:w="0" w:type="auto"/>
            <w:tcBorders>
              <w:top w:val="single" w:sz="8" w:space="0" w:color="000000"/>
            </w:tcBorders>
            <w:shd w:val="clear" w:color="auto" w:fill="CCEEFF"/>
            <w:tcMar>
              <w:top w:w="40" w:type="dxa"/>
              <w:left w:w="0" w:type="dxa"/>
              <w:bottom w:w="40" w:type="dxa"/>
              <w:right w:w="20" w:type="dxa"/>
            </w:tcMar>
            <w:vAlign w:val="center"/>
          </w:tcPr>
          <w:p w14:paraId="74DDC71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71B"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4DDC71C" w14:textId="77777777" w:rsidR="00584EC1" w:rsidRDefault="00871F8D">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74DDC71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71E"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4DDC71F" w14:textId="77777777" w:rsidR="00584EC1" w:rsidRDefault="00871F8D">
            <w:pPr>
              <w:jc w:val="right"/>
              <w:textAlignment w:val="center"/>
            </w:pPr>
            <w:r>
              <w:rPr>
                <w:rFonts w:ascii="Arial" w:eastAsia="宋体" w:hAnsi="Arial" w:cs="Arial"/>
                <w:color w:val="000000"/>
                <w:sz w:val="12"/>
                <w:szCs w:val="12"/>
              </w:rPr>
              <w:t>61 </w:t>
            </w:r>
          </w:p>
        </w:tc>
        <w:tc>
          <w:tcPr>
            <w:tcW w:w="0" w:type="auto"/>
            <w:tcBorders>
              <w:top w:val="single" w:sz="8" w:space="0" w:color="000000"/>
            </w:tcBorders>
            <w:shd w:val="clear" w:color="auto" w:fill="CCEEFF"/>
            <w:tcMar>
              <w:top w:w="40" w:type="dxa"/>
              <w:left w:w="0" w:type="dxa"/>
              <w:bottom w:w="40" w:type="dxa"/>
              <w:right w:w="20" w:type="dxa"/>
            </w:tcMar>
            <w:vAlign w:val="center"/>
          </w:tcPr>
          <w:p w14:paraId="74DDC72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721"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4DDC722" w14:textId="77777777" w:rsidR="00584EC1" w:rsidRDefault="00871F8D">
            <w:pPr>
              <w:jc w:val="right"/>
              <w:textAlignment w:val="center"/>
            </w:pPr>
            <w:r>
              <w:rPr>
                <w:rFonts w:ascii="Arial" w:eastAsia="宋体" w:hAnsi="Arial" w:cs="Arial"/>
                <w:color w:val="000000"/>
                <w:sz w:val="12"/>
                <w:szCs w:val="12"/>
              </w:rPr>
              <w:t>663 </w:t>
            </w:r>
          </w:p>
        </w:tc>
        <w:tc>
          <w:tcPr>
            <w:tcW w:w="0" w:type="auto"/>
            <w:tcBorders>
              <w:top w:val="single" w:sz="8" w:space="0" w:color="000000"/>
            </w:tcBorders>
            <w:shd w:val="clear" w:color="auto" w:fill="CCEEFF"/>
            <w:tcMar>
              <w:top w:w="40" w:type="dxa"/>
              <w:left w:w="0" w:type="dxa"/>
              <w:bottom w:w="40" w:type="dxa"/>
              <w:right w:w="20" w:type="dxa"/>
            </w:tcMar>
            <w:vAlign w:val="center"/>
          </w:tcPr>
          <w:p w14:paraId="74DDC723" w14:textId="77777777" w:rsidR="00584EC1" w:rsidRDefault="00584EC1">
            <w:pPr>
              <w:jc w:val="right"/>
              <w:rPr>
                <w:rFonts w:ascii="宋体"/>
              </w:rPr>
            </w:pPr>
          </w:p>
        </w:tc>
        <w:tc>
          <w:tcPr>
            <w:tcW w:w="0" w:type="auto"/>
            <w:shd w:val="clear" w:color="auto" w:fill="auto"/>
            <w:vAlign w:val="bottom"/>
          </w:tcPr>
          <w:p w14:paraId="74DDC724" w14:textId="77777777" w:rsidR="00584EC1" w:rsidRDefault="00584EC1">
            <w:pPr>
              <w:rPr>
                <w:rFonts w:ascii="宋体"/>
                <w:vanish/>
              </w:rPr>
            </w:pPr>
          </w:p>
        </w:tc>
        <w:tc>
          <w:tcPr>
            <w:tcW w:w="0" w:type="auto"/>
            <w:shd w:val="clear" w:color="auto" w:fill="auto"/>
            <w:vAlign w:val="bottom"/>
          </w:tcPr>
          <w:p w14:paraId="74DDC725" w14:textId="77777777" w:rsidR="00584EC1" w:rsidRDefault="00584EC1">
            <w:pPr>
              <w:rPr>
                <w:rFonts w:ascii="宋体"/>
                <w:vanish/>
              </w:rPr>
            </w:pPr>
          </w:p>
        </w:tc>
        <w:tc>
          <w:tcPr>
            <w:tcW w:w="0" w:type="auto"/>
            <w:gridSpan w:val="3"/>
            <w:shd w:val="clear" w:color="auto" w:fill="CCEEFF"/>
            <w:tcMar>
              <w:top w:w="0" w:type="dxa"/>
              <w:left w:w="20" w:type="dxa"/>
              <w:bottom w:w="0" w:type="dxa"/>
              <w:right w:w="20" w:type="dxa"/>
            </w:tcMar>
            <w:vAlign w:val="bottom"/>
          </w:tcPr>
          <w:p w14:paraId="74DDC726"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4DDC727" w14:textId="77777777" w:rsidR="00584EC1" w:rsidRDefault="00871F8D">
            <w:pPr>
              <w:jc w:val="right"/>
              <w:textAlignment w:val="center"/>
            </w:pPr>
            <w:r>
              <w:rPr>
                <w:rFonts w:ascii="Arial" w:eastAsia="宋体" w:hAnsi="Arial" w:cs="Arial"/>
                <w:color w:val="000000"/>
                <w:sz w:val="12"/>
                <w:szCs w:val="12"/>
              </w:rPr>
              <w:t>(34)</w:t>
            </w:r>
          </w:p>
        </w:tc>
        <w:tc>
          <w:tcPr>
            <w:tcW w:w="0" w:type="auto"/>
            <w:tcBorders>
              <w:top w:val="single" w:sz="8" w:space="0" w:color="000000"/>
            </w:tcBorders>
            <w:shd w:val="clear" w:color="auto" w:fill="CCEEFF"/>
            <w:tcMar>
              <w:top w:w="40" w:type="dxa"/>
              <w:left w:w="0" w:type="dxa"/>
              <w:bottom w:w="40" w:type="dxa"/>
              <w:right w:w="20" w:type="dxa"/>
            </w:tcMar>
            <w:vAlign w:val="center"/>
          </w:tcPr>
          <w:p w14:paraId="74DDC72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729"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4DDC72A" w14:textId="77777777" w:rsidR="00584EC1" w:rsidRDefault="00871F8D">
            <w:pPr>
              <w:jc w:val="right"/>
              <w:textAlignment w:val="center"/>
            </w:pPr>
            <w:r>
              <w:rPr>
                <w:rFonts w:ascii="Arial" w:eastAsia="宋体" w:hAnsi="Arial" w:cs="Arial"/>
                <w:color w:val="000000"/>
                <w:sz w:val="12"/>
                <w:szCs w:val="12"/>
              </w:rPr>
              <w:t>(27)</w:t>
            </w:r>
          </w:p>
        </w:tc>
        <w:tc>
          <w:tcPr>
            <w:tcW w:w="0" w:type="auto"/>
            <w:tcBorders>
              <w:top w:val="single" w:sz="8" w:space="0" w:color="000000"/>
            </w:tcBorders>
            <w:shd w:val="clear" w:color="auto" w:fill="CCEEFF"/>
            <w:tcMar>
              <w:top w:w="40" w:type="dxa"/>
              <w:left w:w="0" w:type="dxa"/>
              <w:bottom w:w="40" w:type="dxa"/>
              <w:right w:w="20" w:type="dxa"/>
            </w:tcMar>
            <w:vAlign w:val="center"/>
          </w:tcPr>
          <w:p w14:paraId="74DDC72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72C"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4DDC72D" w14:textId="77777777" w:rsidR="00584EC1" w:rsidRDefault="00871F8D">
            <w:pPr>
              <w:jc w:val="right"/>
              <w:textAlignment w:val="center"/>
            </w:pPr>
            <w:r>
              <w:rPr>
                <w:rFonts w:ascii="Arial" w:eastAsia="宋体" w:hAnsi="Arial" w:cs="Arial"/>
                <w:color w:val="000000"/>
                <w:sz w:val="12"/>
                <w:szCs w:val="12"/>
              </w:rPr>
              <w:t>50 </w:t>
            </w:r>
          </w:p>
        </w:tc>
        <w:tc>
          <w:tcPr>
            <w:tcW w:w="0" w:type="auto"/>
            <w:tcBorders>
              <w:top w:val="single" w:sz="8" w:space="0" w:color="000000"/>
            </w:tcBorders>
            <w:shd w:val="clear" w:color="auto" w:fill="CCEEFF"/>
            <w:tcMar>
              <w:top w:w="40" w:type="dxa"/>
              <w:left w:w="0" w:type="dxa"/>
              <w:bottom w:w="40" w:type="dxa"/>
              <w:right w:w="20" w:type="dxa"/>
            </w:tcMar>
            <w:vAlign w:val="center"/>
          </w:tcPr>
          <w:p w14:paraId="74DDC72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72F"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4DDC730" w14:textId="77777777" w:rsidR="00584EC1" w:rsidRDefault="00871F8D">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74DDC73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732"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4DDC733" w14:textId="77777777" w:rsidR="00584EC1" w:rsidRDefault="00871F8D">
            <w:pPr>
              <w:jc w:val="right"/>
              <w:textAlignment w:val="center"/>
            </w:pPr>
            <w:r>
              <w:rPr>
                <w:rFonts w:ascii="Arial" w:eastAsia="宋体" w:hAnsi="Arial" w:cs="Arial"/>
                <w:color w:val="000000"/>
                <w:sz w:val="12"/>
                <w:szCs w:val="12"/>
              </w:rPr>
              <w:t>3,503 </w:t>
            </w:r>
          </w:p>
        </w:tc>
        <w:tc>
          <w:tcPr>
            <w:tcW w:w="0" w:type="auto"/>
            <w:tcBorders>
              <w:top w:val="single" w:sz="8" w:space="0" w:color="000000"/>
            </w:tcBorders>
            <w:shd w:val="clear" w:color="auto" w:fill="CCEEFF"/>
            <w:tcMar>
              <w:top w:w="40" w:type="dxa"/>
              <w:left w:w="0" w:type="dxa"/>
              <w:bottom w:w="40" w:type="dxa"/>
              <w:right w:w="20" w:type="dxa"/>
            </w:tcMar>
            <w:vAlign w:val="center"/>
          </w:tcPr>
          <w:p w14:paraId="74DDC734" w14:textId="77777777" w:rsidR="00584EC1" w:rsidRDefault="00584EC1">
            <w:pPr>
              <w:jc w:val="right"/>
              <w:rPr>
                <w:rFonts w:ascii="宋体"/>
              </w:rPr>
            </w:pPr>
          </w:p>
        </w:tc>
        <w:tc>
          <w:tcPr>
            <w:tcW w:w="0" w:type="auto"/>
            <w:gridSpan w:val="2"/>
            <w:shd w:val="clear" w:color="auto" w:fill="CCEEFF"/>
            <w:tcMar>
              <w:top w:w="0" w:type="dxa"/>
              <w:left w:w="20" w:type="dxa"/>
              <w:bottom w:w="0" w:type="dxa"/>
              <w:right w:w="20" w:type="dxa"/>
            </w:tcMar>
            <w:vAlign w:val="bottom"/>
          </w:tcPr>
          <w:p w14:paraId="74DDC735" w14:textId="77777777" w:rsidR="00584EC1" w:rsidRDefault="00584EC1">
            <w:pPr>
              <w:rPr>
                <w:rFonts w:ascii="宋体"/>
              </w:rPr>
            </w:pPr>
          </w:p>
        </w:tc>
        <w:tc>
          <w:tcPr>
            <w:tcW w:w="0" w:type="auto"/>
            <w:shd w:val="clear" w:color="auto" w:fill="CCEEFF"/>
            <w:tcMar>
              <w:top w:w="0" w:type="dxa"/>
              <w:left w:w="20" w:type="dxa"/>
              <w:bottom w:w="0" w:type="dxa"/>
              <w:right w:w="20" w:type="dxa"/>
            </w:tcMar>
            <w:vAlign w:val="bottom"/>
          </w:tcPr>
          <w:p w14:paraId="74DDC736" w14:textId="77777777" w:rsidR="00584EC1" w:rsidRDefault="00584EC1">
            <w:pPr>
              <w:rPr>
                <w:rFonts w:ascii="宋体"/>
              </w:rPr>
            </w:pPr>
          </w:p>
        </w:tc>
      </w:tr>
      <w:tr w:rsidR="00584EC1" w14:paraId="74DDC74E" w14:textId="77777777">
        <w:tc>
          <w:tcPr>
            <w:tcW w:w="0" w:type="auto"/>
            <w:gridSpan w:val="3"/>
            <w:shd w:val="clear" w:color="auto" w:fill="FFFFFF"/>
            <w:tcMar>
              <w:top w:w="40" w:type="dxa"/>
              <w:left w:w="20" w:type="dxa"/>
              <w:bottom w:w="40" w:type="dxa"/>
              <w:right w:w="20" w:type="dxa"/>
            </w:tcMar>
            <w:vAlign w:val="center"/>
          </w:tcPr>
          <w:p w14:paraId="74DDC738" w14:textId="77777777" w:rsidR="00584EC1" w:rsidRDefault="00871F8D">
            <w:pPr>
              <w:textAlignment w:val="center"/>
            </w:pPr>
            <w:r>
              <w:rPr>
                <w:rFonts w:ascii="Arial" w:eastAsia="宋体" w:hAnsi="Arial" w:cs="Arial"/>
                <w:color w:val="000000"/>
                <w:sz w:val="12"/>
                <w:szCs w:val="12"/>
              </w:rPr>
              <w:t>Other assets:</w:t>
            </w:r>
          </w:p>
        </w:tc>
        <w:tc>
          <w:tcPr>
            <w:tcW w:w="0" w:type="auto"/>
            <w:gridSpan w:val="3"/>
            <w:shd w:val="clear" w:color="auto" w:fill="FFFFFF"/>
            <w:tcMar>
              <w:top w:w="0" w:type="dxa"/>
              <w:left w:w="20" w:type="dxa"/>
              <w:bottom w:w="0" w:type="dxa"/>
              <w:right w:w="20" w:type="dxa"/>
            </w:tcMar>
            <w:vAlign w:val="bottom"/>
          </w:tcPr>
          <w:p w14:paraId="74DDC739"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73A"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73B"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73C"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73D"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73E"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73F" w14:textId="77777777" w:rsidR="00584EC1" w:rsidRDefault="00584EC1">
            <w:pPr>
              <w:rPr>
                <w:rFonts w:ascii="宋体"/>
              </w:rPr>
            </w:pPr>
          </w:p>
        </w:tc>
        <w:tc>
          <w:tcPr>
            <w:tcW w:w="0" w:type="auto"/>
            <w:shd w:val="clear" w:color="auto" w:fill="auto"/>
            <w:vAlign w:val="bottom"/>
          </w:tcPr>
          <w:p w14:paraId="74DDC740" w14:textId="77777777" w:rsidR="00584EC1" w:rsidRDefault="00584EC1">
            <w:pPr>
              <w:rPr>
                <w:rFonts w:ascii="宋体"/>
                <w:vanish/>
              </w:rPr>
            </w:pPr>
          </w:p>
        </w:tc>
        <w:tc>
          <w:tcPr>
            <w:tcW w:w="0" w:type="auto"/>
            <w:shd w:val="clear" w:color="auto" w:fill="auto"/>
            <w:vAlign w:val="bottom"/>
          </w:tcPr>
          <w:p w14:paraId="74DDC741" w14:textId="77777777" w:rsidR="00584EC1" w:rsidRDefault="00584EC1">
            <w:pPr>
              <w:rPr>
                <w:rFonts w:ascii="宋体"/>
                <w:vanish/>
              </w:rPr>
            </w:pPr>
          </w:p>
        </w:tc>
        <w:tc>
          <w:tcPr>
            <w:tcW w:w="0" w:type="auto"/>
            <w:gridSpan w:val="3"/>
            <w:shd w:val="clear" w:color="auto" w:fill="FFFFFF"/>
            <w:tcMar>
              <w:top w:w="0" w:type="dxa"/>
              <w:left w:w="20" w:type="dxa"/>
              <w:bottom w:w="0" w:type="dxa"/>
              <w:right w:w="20" w:type="dxa"/>
            </w:tcMar>
            <w:vAlign w:val="bottom"/>
          </w:tcPr>
          <w:p w14:paraId="74DDC74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743"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744"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745"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746"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747"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748"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749"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74A"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74B" w14:textId="77777777" w:rsidR="00584EC1" w:rsidRDefault="00584EC1">
            <w:pPr>
              <w:rPr>
                <w:rFonts w:ascii="宋体"/>
              </w:rPr>
            </w:pPr>
          </w:p>
        </w:tc>
        <w:tc>
          <w:tcPr>
            <w:tcW w:w="0" w:type="auto"/>
            <w:gridSpan w:val="2"/>
            <w:shd w:val="clear" w:color="auto" w:fill="FFFFFF"/>
            <w:tcMar>
              <w:top w:w="0" w:type="dxa"/>
              <w:left w:w="20" w:type="dxa"/>
              <w:bottom w:w="0" w:type="dxa"/>
              <w:right w:w="20" w:type="dxa"/>
            </w:tcMar>
            <w:vAlign w:val="bottom"/>
          </w:tcPr>
          <w:p w14:paraId="74DDC74C" w14:textId="77777777" w:rsidR="00584EC1" w:rsidRDefault="00584EC1">
            <w:pPr>
              <w:rPr>
                <w:rFonts w:ascii="宋体"/>
              </w:rPr>
            </w:pPr>
          </w:p>
        </w:tc>
        <w:tc>
          <w:tcPr>
            <w:tcW w:w="0" w:type="auto"/>
            <w:shd w:val="clear" w:color="auto" w:fill="FFFFFF"/>
            <w:tcMar>
              <w:top w:w="0" w:type="dxa"/>
              <w:left w:w="20" w:type="dxa"/>
              <w:bottom w:w="0" w:type="dxa"/>
              <w:right w:w="20" w:type="dxa"/>
            </w:tcMar>
            <w:vAlign w:val="bottom"/>
          </w:tcPr>
          <w:p w14:paraId="74DDC74D" w14:textId="77777777" w:rsidR="00584EC1" w:rsidRDefault="00584EC1">
            <w:pPr>
              <w:rPr>
                <w:rFonts w:ascii="宋体"/>
              </w:rPr>
            </w:pPr>
          </w:p>
        </w:tc>
      </w:tr>
      <w:tr w:rsidR="00584EC1" w14:paraId="74DDC765" w14:textId="77777777">
        <w:tc>
          <w:tcPr>
            <w:tcW w:w="0" w:type="auto"/>
            <w:gridSpan w:val="3"/>
            <w:shd w:val="clear" w:color="auto" w:fill="CCEEFF"/>
            <w:tcMar>
              <w:top w:w="40" w:type="dxa"/>
              <w:left w:w="20" w:type="dxa"/>
              <w:bottom w:w="40" w:type="dxa"/>
              <w:right w:w="20" w:type="dxa"/>
            </w:tcMar>
            <w:vAlign w:val="center"/>
          </w:tcPr>
          <w:p w14:paraId="74DDC74F" w14:textId="77777777" w:rsidR="00584EC1" w:rsidRDefault="00871F8D">
            <w:pPr>
              <w:textAlignment w:val="center"/>
            </w:pPr>
            <w:r>
              <w:rPr>
                <w:rFonts w:ascii="Arial" w:eastAsia="宋体" w:hAnsi="Arial" w:cs="Arial"/>
                <w:color w:val="000000"/>
                <w:sz w:val="12"/>
                <w:szCs w:val="12"/>
              </w:rPr>
              <w:t>Derivative instruments:</w:t>
            </w:r>
          </w:p>
        </w:tc>
        <w:tc>
          <w:tcPr>
            <w:tcW w:w="0" w:type="auto"/>
            <w:gridSpan w:val="3"/>
            <w:shd w:val="clear" w:color="auto" w:fill="CCEEFF"/>
            <w:tcMar>
              <w:top w:w="0" w:type="dxa"/>
              <w:left w:w="20" w:type="dxa"/>
              <w:bottom w:w="0" w:type="dxa"/>
              <w:right w:w="20" w:type="dxa"/>
            </w:tcMar>
            <w:vAlign w:val="bottom"/>
          </w:tcPr>
          <w:p w14:paraId="74DDC750"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751"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752"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753"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754"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755"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756" w14:textId="77777777" w:rsidR="00584EC1" w:rsidRDefault="00584EC1">
            <w:pPr>
              <w:rPr>
                <w:rFonts w:ascii="宋体"/>
              </w:rPr>
            </w:pPr>
          </w:p>
        </w:tc>
        <w:tc>
          <w:tcPr>
            <w:tcW w:w="0" w:type="auto"/>
            <w:shd w:val="clear" w:color="auto" w:fill="auto"/>
            <w:vAlign w:val="bottom"/>
          </w:tcPr>
          <w:p w14:paraId="74DDC757" w14:textId="77777777" w:rsidR="00584EC1" w:rsidRDefault="00584EC1">
            <w:pPr>
              <w:rPr>
                <w:rFonts w:ascii="宋体"/>
                <w:vanish/>
              </w:rPr>
            </w:pPr>
          </w:p>
        </w:tc>
        <w:tc>
          <w:tcPr>
            <w:tcW w:w="0" w:type="auto"/>
            <w:shd w:val="clear" w:color="auto" w:fill="auto"/>
            <w:vAlign w:val="bottom"/>
          </w:tcPr>
          <w:p w14:paraId="74DDC758" w14:textId="77777777" w:rsidR="00584EC1" w:rsidRDefault="00584EC1">
            <w:pPr>
              <w:rPr>
                <w:rFonts w:ascii="宋体"/>
                <w:vanish/>
              </w:rPr>
            </w:pPr>
          </w:p>
        </w:tc>
        <w:tc>
          <w:tcPr>
            <w:tcW w:w="0" w:type="auto"/>
            <w:gridSpan w:val="3"/>
            <w:shd w:val="clear" w:color="auto" w:fill="CCEEFF"/>
            <w:tcMar>
              <w:top w:w="0" w:type="dxa"/>
              <w:left w:w="20" w:type="dxa"/>
              <w:bottom w:w="0" w:type="dxa"/>
              <w:right w:w="20" w:type="dxa"/>
            </w:tcMar>
            <w:vAlign w:val="bottom"/>
          </w:tcPr>
          <w:p w14:paraId="74DDC759"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75A"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75B"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75C"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75D"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75E"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75F"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760"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761"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762" w14:textId="77777777" w:rsidR="00584EC1" w:rsidRDefault="00584EC1">
            <w:pPr>
              <w:rPr>
                <w:rFonts w:ascii="宋体"/>
              </w:rPr>
            </w:pPr>
          </w:p>
        </w:tc>
        <w:tc>
          <w:tcPr>
            <w:tcW w:w="0" w:type="auto"/>
            <w:gridSpan w:val="2"/>
            <w:shd w:val="clear" w:color="auto" w:fill="CCEEFF"/>
            <w:tcMar>
              <w:top w:w="0" w:type="dxa"/>
              <w:left w:w="20" w:type="dxa"/>
              <w:bottom w:w="0" w:type="dxa"/>
              <w:right w:w="20" w:type="dxa"/>
            </w:tcMar>
            <w:vAlign w:val="bottom"/>
          </w:tcPr>
          <w:p w14:paraId="74DDC763" w14:textId="77777777" w:rsidR="00584EC1" w:rsidRDefault="00584EC1">
            <w:pPr>
              <w:rPr>
                <w:rFonts w:ascii="宋体"/>
              </w:rPr>
            </w:pPr>
          </w:p>
        </w:tc>
        <w:tc>
          <w:tcPr>
            <w:tcW w:w="0" w:type="auto"/>
            <w:shd w:val="clear" w:color="auto" w:fill="CCEEFF"/>
            <w:tcMar>
              <w:top w:w="0" w:type="dxa"/>
              <w:left w:w="20" w:type="dxa"/>
              <w:bottom w:w="0" w:type="dxa"/>
              <w:right w:w="20" w:type="dxa"/>
            </w:tcMar>
            <w:vAlign w:val="bottom"/>
          </w:tcPr>
          <w:p w14:paraId="74DDC764" w14:textId="77777777" w:rsidR="00584EC1" w:rsidRDefault="00584EC1">
            <w:pPr>
              <w:rPr>
                <w:rFonts w:ascii="宋体"/>
              </w:rPr>
            </w:pPr>
          </w:p>
        </w:tc>
      </w:tr>
      <w:tr w:rsidR="00584EC1" w14:paraId="74DDC786" w14:textId="77777777">
        <w:tc>
          <w:tcPr>
            <w:tcW w:w="0" w:type="auto"/>
            <w:gridSpan w:val="3"/>
            <w:shd w:val="clear" w:color="auto" w:fill="FFFFFF"/>
            <w:tcMar>
              <w:top w:w="40" w:type="dxa"/>
              <w:left w:w="155" w:type="dxa"/>
              <w:bottom w:w="40" w:type="dxa"/>
              <w:right w:w="20" w:type="dxa"/>
            </w:tcMar>
            <w:vAlign w:val="center"/>
          </w:tcPr>
          <w:p w14:paraId="74DDC766" w14:textId="77777777" w:rsidR="00584EC1" w:rsidRDefault="00871F8D">
            <w:pPr>
              <w:textAlignment w:val="center"/>
            </w:pPr>
            <w:r>
              <w:rPr>
                <w:rFonts w:ascii="Arial" w:eastAsia="宋体" w:hAnsi="Arial" w:cs="Arial"/>
                <w:color w:val="000000"/>
                <w:sz w:val="12"/>
                <w:szCs w:val="12"/>
              </w:rPr>
              <w:t>Foreign exchange contracts</w:t>
            </w:r>
          </w:p>
        </w:tc>
        <w:tc>
          <w:tcPr>
            <w:tcW w:w="0" w:type="auto"/>
            <w:gridSpan w:val="2"/>
            <w:shd w:val="clear" w:color="auto" w:fill="FFFFFF"/>
            <w:tcMar>
              <w:top w:w="40" w:type="dxa"/>
              <w:left w:w="20" w:type="dxa"/>
              <w:bottom w:w="40" w:type="dxa"/>
              <w:right w:w="0" w:type="dxa"/>
            </w:tcMar>
            <w:vAlign w:val="center"/>
          </w:tcPr>
          <w:p w14:paraId="74DDC767" w14:textId="77777777" w:rsidR="00584EC1" w:rsidRDefault="00871F8D">
            <w:pPr>
              <w:jc w:val="right"/>
              <w:textAlignment w:val="center"/>
            </w:pPr>
            <w:r>
              <w:rPr>
                <w:rFonts w:ascii="Arial" w:eastAsia="宋体" w:hAnsi="Arial" w:cs="Arial"/>
                <w:color w:val="000000"/>
                <w:sz w:val="12"/>
                <w:szCs w:val="12"/>
              </w:rPr>
              <w:t>2 </w:t>
            </w:r>
          </w:p>
        </w:tc>
        <w:tc>
          <w:tcPr>
            <w:tcW w:w="0" w:type="auto"/>
            <w:shd w:val="clear" w:color="auto" w:fill="FFFFFF"/>
            <w:tcMar>
              <w:top w:w="40" w:type="dxa"/>
              <w:left w:w="0" w:type="dxa"/>
              <w:bottom w:w="40" w:type="dxa"/>
              <w:right w:w="20" w:type="dxa"/>
            </w:tcMar>
            <w:vAlign w:val="center"/>
          </w:tcPr>
          <w:p w14:paraId="74DDC76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76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center"/>
          </w:tcPr>
          <w:p w14:paraId="74DDC76A" w14:textId="77777777" w:rsidR="00584EC1" w:rsidRDefault="00871F8D">
            <w:pPr>
              <w:jc w:val="right"/>
              <w:textAlignment w:val="center"/>
            </w:pPr>
            <w:r>
              <w:rPr>
                <w:rFonts w:ascii="Arial" w:eastAsia="宋体" w:hAnsi="Arial" w:cs="Arial"/>
                <w:color w:val="000000"/>
                <w:sz w:val="12"/>
                <w:szCs w:val="12"/>
              </w:rPr>
              <w:t>(2)</w:t>
            </w:r>
          </w:p>
        </w:tc>
        <w:tc>
          <w:tcPr>
            <w:tcW w:w="0" w:type="auto"/>
            <w:shd w:val="clear" w:color="auto" w:fill="FFFFFF"/>
            <w:tcMar>
              <w:top w:w="40" w:type="dxa"/>
              <w:left w:w="0" w:type="dxa"/>
              <w:bottom w:w="40" w:type="dxa"/>
              <w:right w:w="20" w:type="dxa"/>
            </w:tcMar>
            <w:vAlign w:val="center"/>
          </w:tcPr>
          <w:p w14:paraId="74DDC76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76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center"/>
          </w:tcPr>
          <w:p w14:paraId="74DDC76D" w14:textId="77777777" w:rsidR="00584EC1" w:rsidRDefault="00871F8D">
            <w:pPr>
              <w:jc w:val="right"/>
              <w:textAlignment w:val="center"/>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74DDC76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76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center"/>
          </w:tcPr>
          <w:p w14:paraId="74DDC770" w14:textId="77777777" w:rsidR="00584EC1" w:rsidRDefault="00871F8D">
            <w:pPr>
              <w:jc w:val="right"/>
              <w:textAlignment w:val="center"/>
            </w:pPr>
            <w:r>
              <w:rPr>
                <w:rFonts w:ascii="Arial" w:eastAsia="宋体" w:hAnsi="Arial" w:cs="Arial"/>
                <w:color w:val="000000"/>
                <w:sz w:val="12"/>
                <w:szCs w:val="12"/>
              </w:rPr>
              <w:t>9 </w:t>
            </w:r>
          </w:p>
        </w:tc>
        <w:tc>
          <w:tcPr>
            <w:tcW w:w="0" w:type="auto"/>
            <w:shd w:val="clear" w:color="auto" w:fill="FFFFFF"/>
            <w:tcMar>
              <w:top w:w="40" w:type="dxa"/>
              <w:left w:w="0" w:type="dxa"/>
              <w:bottom w:w="40" w:type="dxa"/>
              <w:right w:w="20" w:type="dxa"/>
            </w:tcMar>
            <w:vAlign w:val="center"/>
          </w:tcPr>
          <w:p w14:paraId="74DDC771" w14:textId="77777777" w:rsidR="00584EC1" w:rsidRDefault="00584EC1">
            <w:pPr>
              <w:jc w:val="right"/>
              <w:rPr>
                <w:rFonts w:ascii="宋体"/>
              </w:rPr>
            </w:pPr>
          </w:p>
        </w:tc>
        <w:tc>
          <w:tcPr>
            <w:tcW w:w="0" w:type="auto"/>
            <w:shd w:val="clear" w:color="auto" w:fill="auto"/>
            <w:vAlign w:val="bottom"/>
          </w:tcPr>
          <w:p w14:paraId="74DDC772" w14:textId="77777777" w:rsidR="00584EC1" w:rsidRDefault="00584EC1">
            <w:pPr>
              <w:rPr>
                <w:rFonts w:ascii="宋体"/>
                <w:vanish/>
              </w:rPr>
            </w:pPr>
          </w:p>
        </w:tc>
        <w:tc>
          <w:tcPr>
            <w:tcW w:w="0" w:type="auto"/>
            <w:shd w:val="clear" w:color="auto" w:fill="auto"/>
            <w:vAlign w:val="bottom"/>
          </w:tcPr>
          <w:p w14:paraId="74DDC773" w14:textId="77777777" w:rsidR="00584EC1" w:rsidRDefault="00584EC1">
            <w:pPr>
              <w:rPr>
                <w:rFonts w:ascii="宋体"/>
                <w:vanish/>
              </w:rPr>
            </w:pPr>
          </w:p>
        </w:tc>
        <w:tc>
          <w:tcPr>
            <w:tcW w:w="0" w:type="auto"/>
            <w:gridSpan w:val="3"/>
            <w:shd w:val="clear" w:color="auto" w:fill="FFFFFF"/>
            <w:tcMar>
              <w:top w:w="0" w:type="dxa"/>
              <w:left w:w="20" w:type="dxa"/>
              <w:bottom w:w="0" w:type="dxa"/>
              <w:right w:w="20" w:type="dxa"/>
            </w:tcMar>
            <w:vAlign w:val="bottom"/>
          </w:tcPr>
          <w:p w14:paraId="74DDC77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center"/>
          </w:tcPr>
          <w:p w14:paraId="74DDC775" w14:textId="77777777" w:rsidR="00584EC1" w:rsidRDefault="00871F8D">
            <w:pPr>
              <w:jc w:val="right"/>
              <w:textAlignment w:val="center"/>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74DDC77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77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center"/>
          </w:tcPr>
          <w:p w14:paraId="74DDC778" w14:textId="77777777" w:rsidR="00584EC1" w:rsidRDefault="00871F8D">
            <w:pPr>
              <w:jc w:val="right"/>
              <w:textAlignment w:val="center"/>
            </w:pPr>
            <w:r>
              <w:rPr>
                <w:rFonts w:ascii="Arial" w:eastAsia="宋体" w:hAnsi="Arial" w:cs="Arial"/>
                <w:color w:val="000000"/>
                <w:sz w:val="12"/>
                <w:szCs w:val="12"/>
              </w:rPr>
              <w:t>(3)</w:t>
            </w:r>
          </w:p>
        </w:tc>
        <w:tc>
          <w:tcPr>
            <w:tcW w:w="0" w:type="auto"/>
            <w:shd w:val="clear" w:color="auto" w:fill="FFFFFF"/>
            <w:tcMar>
              <w:top w:w="40" w:type="dxa"/>
              <w:left w:w="0" w:type="dxa"/>
              <w:bottom w:w="40" w:type="dxa"/>
              <w:right w:w="20" w:type="dxa"/>
            </w:tcMar>
            <w:vAlign w:val="center"/>
          </w:tcPr>
          <w:p w14:paraId="74DDC77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77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center"/>
          </w:tcPr>
          <w:p w14:paraId="74DDC77B" w14:textId="77777777" w:rsidR="00584EC1" w:rsidRDefault="00871F8D">
            <w:pPr>
              <w:jc w:val="right"/>
              <w:textAlignment w:val="center"/>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74DDC77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77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center"/>
          </w:tcPr>
          <w:p w14:paraId="74DDC77E" w14:textId="77777777" w:rsidR="00584EC1" w:rsidRDefault="00871F8D">
            <w:pPr>
              <w:jc w:val="right"/>
              <w:textAlignment w:val="center"/>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74DDC77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78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center"/>
          </w:tcPr>
          <w:p w14:paraId="74DDC781" w14:textId="77777777" w:rsidR="00584EC1" w:rsidRDefault="00871F8D">
            <w:pPr>
              <w:jc w:val="right"/>
              <w:textAlignment w:val="center"/>
            </w:pPr>
            <w:r>
              <w:rPr>
                <w:rFonts w:ascii="Arial" w:eastAsia="宋体" w:hAnsi="Arial" w:cs="Arial"/>
                <w:color w:val="000000"/>
                <w:sz w:val="12"/>
                <w:szCs w:val="12"/>
              </w:rPr>
              <w:t>6 </w:t>
            </w:r>
          </w:p>
        </w:tc>
        <w:tc>
          <w:tcPr>
            <w:tcW w:w="0" w:type="auto"/>
            <w:shd w:val="clear" w:color="auto" w:fill="FFFFFF"/>
            <w:tcMar>
              <w:top w:w="40" w:type="dxa"/>
              <w:left w:w="0" w:type="dxa"/>
              <w:bottom w:w="40" w:type="dxa"/>
              <w:right w:w="20" w:type="dxa"/>
            </w:tcMar>
            <w:vAlign w:val="center"/>
          </w:tcPr>
          <w:p w14:paraId="74DDC782" w14:textId="77777777" w:rsidR="00584EC1" w:rsidRDefault="00584EC1">
            <w:pPr>
              <w:jc w:val="right"/>
              <w:rPr>
                <w:rFonts w:ascii="宋体"/>
              </w:rPr>
            </w:pPr>
          </w:p>
        </w:tc>
        <w:tc>
          <w:tcPr>
            <w:tcW w:w="0" w:type="auto"/>
            <w:gridSpan w:val="2"/>
            <w:shd w:val="clear" w:color="auto" w:fill="FFFFFF"/>
            <w:tcMar>
              <w:top w:w="0" w:type="dxa"/>
              <w:left w:w="20" w:type="dxa"/>
              <w:bottom w:w="0" w:type="dxa"/>
              <w:right w:w="20" w:type="dxa"/>
            </w:tcMar>
            <w:vAlign w:val="bottom"/>
          </w:tcPr>
          <w:p w14:paraId="74DDC783" w14:textId="77777777" w:rsidR="00584EC1" w:rsidRDefault="00584EC1">
            <w:pPr>
              <w:rPr>
                <w:rFonts w:ascii="宋体"/>
              </w:rPr>
            </w:pPr>
          </w:p>
        </w:tc>
        <w:tc>
          <w:tcPr>
            <w:tcW w:w="0" w:type="auto"/>
            <w:shd w:val="clear" w:color="auto" w:fill="FFFFFF"/>
            <w:tcMar>
              <w:top w:w="40" w:type="dxa"/>
              <w:left w:w="20" w:type="dxa"/>
              <w:bottom w:w="40" w:type="dxa"/>
              <w:right w:w="0" w:type="dxa"/>
            </w:tcMar>
            <w:vAlign w:val="center"/>
          </w:tcPr>
          <w:p w14:paraId="74DDC784" w14:textId="77777777" w:rsidR="00584EC1" w:rsidRDefault="00871F8D">
            <w:pPr>
              <w:textAlignment w:val="center"/>
            </w:pPr>
            <w:r>
              <w:rPr>
                <w:rFonts w:ascii="Arial" w:eastAsia="宋体" w:hAnsi="Arial" w:cs="Arial"/>
                <w:color w:val="000000"/>
                <w:sz w:val="12"/>
                <w:szCs w:val="12"/>
              </w:rPr>
              <w:t>$</w:t>
            </w:r>
          </w:p>
          <w:p w14:paraId="74DDC785" w14:textId="77777777" w:rsidR="00584EC1" w:rsidRDefault="00871F8D">
            <w:pPr>
              <w:jc w:val="right"/>
              <w:textAlignment w:val="center"/>
            </w:pPr>
            <w:r>
              <w:rPr>
                <w:rFonts w:ascii="Arial" w:eastAsia="宋体" w:hAnsi="Arial" w:cs="Arial"/>
                <w:color w:val="000000"/>
                <w:sz w:val="12"/>
                <w:szCs w:val="12"/>
              </w:rPr>
              <w:t>(4)</w:t>
            </w:r>
          </w:p>
        </w:tc>
      </w:tr>
      <w:tr w:rsidR="00584EC1" w14:paraId="74DDC7A6" w14:textId="77777777">
        <w:tc>
          <w:tcPr>
            <w:tcW w:w="0" w:type="auto"/>
            <w:gridSpan w:val="3"/>
            <w:shd w:val="clear" w:color="auto" w:fill="CCEEFF"/>
            <w:tcMar>
              <w:top w:w="40" w:type="dxa"/>
              <w:left w:w="20" w:type="dxa"/>
              <w:bottom w:w="40" w:type="dxa"/>
              <w:right w:w="20" w:type="dxa"/>
            </w:tcMar>
            <w:vAlign w:val="center"/>
          </w:tcPr>
          <w:p w14:paraId="74DDC787" w14:textId="77777777" w:rsidR="00584EC1" w:rsidRDefault="00871F8D">
            <w:pPr>
              <w:textAlignment w:val="center"/>
            </w:pPr>
            <w:r>
              <w:rPr>
                <w:rFonts w:ascii="Arial" w:eastAsia="宋体" w:hAnsi="Arial" w:cs="Arial"/>
                <w:color w:val="000000"/>
                <w:sz w:val="12"/>
                <w:szCs w:val="12"/>
              </w:rPr>
              <w:t>Total derivative instruments</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4DDC788" w14:textId="77777777" w:rsidR="00584EC1" w:rsidRDefault="00871F8D">
            <w:pPr>
              <w:jc w:val="right"/>
              <w:textAlignment w:val="center"/>
            </w:pPr>
            <w:r>
              <w:rPr>
                <w:rFonts w:ascii="Arial" w:eastAsia="宋体" w:hAnsi="Arial" w:cs="Arial"/>
                <w:color w:val="000000"/>
                <w:sz w:val="12"/>
                <w:szCs w:val="12"/>
              </w:rPr>
              <w:t>2 </w:t>
            </w:r>
          </w:p>
        </w:tc>
        <w:tc>
          <w:tcPr>
            <w:tcW w:w="0" w:type="auto"/>
            <w:tcBorders>
              <w:top w:val="single" w:sz="8" w:space="0" w:color="000000"/>
            </w:tcBorders>
            <w:shd w:val="clear" w:color="auto" w:fill="CCEEFF"/>
            <w:tcMar>
              <w:top w:w="40" w:type="dxa"/>
              <w:left w:w="0" w:type="dxa"/>
              <w:bottom w:w="40" w:type="dxa"/>
              <w:right w:w="20" w:type="dxa"/>
            </w:tcMar>
            <w:vAlign w:val="center"/>
          </w:tcPr>
          <w:p w14:paraId="74DDC78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78A"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4DDC78B" w14:textId="77777777" w:rsidR="00584EC1" w:rsidRDefault="00871F8D">
            <w:pPr>
              <w:jc w:val="right"/>
              <w:textAlignment w:val="center"/>
            </w:pPr>
            <w:r>
              <w:rPr>
                <w:rFonts w:ascii="Arial" w:eastAsia="宋体" w:hAnsi="Arial" w:cs="Arial"/>
                <w:color w:val="000000"/>
                <w:sz w:val="12"/>
                <w:szCs w:val="12"/>
              </w:rPr>
              <w:t>(2)</w:t>
            </w:r>
          </w:p>
        </w:tc>
        <w:tc>
          <w:tcPr>
            <w:tcW w:w="0" w:type="auto"/>
            <w:tcBorders>
              <w:top w:val="single" w:sz="8" w:space="0" w:color="000000"/>
            </w:tcBorders>
            <w:shd w:val="clear" w:color="auto" w:fill="CCEEFF"/>
            <w:tcMar>
              <w:top w:w="40" w:type="dxa"/>
              <w:left w:w="0" w:type="dxa"/>
              <w:bottom w:w="40" w:type="dxa"/>
              <w:right w:w="20" w:type="dxa"/>
            </w:tcMar>
            <w:vAlign w:val="center"/>
          </w:tcPr>
          <w:p w14:paraId="74DDC78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78D"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4DDC78E" w14:textId="77777777" w:rsidR="00584EC1" w:rsidRDefault="00871F8D">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74DDC78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790"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4DDC791" w14:textId="77777777" w:rsidR="00584EC1" w:rsidRDefault="00871F8D">
            <w:pPr>
              <w:jc w:val="right"/>
              <w:textAlignment w:val="center"/>
            </w:pPr>
            <w:r>
              <w:rPr>
                <w:rFonts w:ascii="Arial" w:eastAsia="宋体" w:hAnsi="Arial" w:cs="Arial"/>
                <w:color w:val="000000"/>
                <w:sz w:val="12"/>
                <w:szCs w:val="12"/>
              </w:rPr>
              <w:t>9 </w:t>
            </w:r>
          </w:p>
        </w:tc>
        <w:tc>
          <w:tcPr>
            <w:tcW w:w="0" w:type="auto"/>
            <w:tcBorders>
              <w:top w:val="single" w:sz="8" w:space="0" w:color="000000"/>
            </w:tcBorders>
            <w:shd w:val="clear" w:color="auto" w:fill="CCEEFF"/>
            <w:tcMar>
              <w:top w:w="40" w:type="dxa"/>
              <w:left w:w="0" w:type="dxa"/>
              <w:bottom w:w="40" w:type="dxa"/>
              <w:right w:w="20" w:type="dxa"/>
            </w:tcMar>
            <w:vAlign w:val="center"/>
          </w:tcPr>
          <w:p w14:paraId="74DDC792" w14:textId="77777777" w:rsidR="00584EC1" w:rsidRDefault="00584EC1">
            <w:pPr>
              <w:jc w:val="right"/>
              <w:rPr>
                <w:rFonts w:ascii="宋体"/>
              </w:rPr>
            </w:pPr>
          </w:p>
        </w:tc>
        <w:tc>
          <w:tcPr>
            <w:tcW w:w="0" w:type="auto"/>
            <w:shd w:val="clear" w:color="auto" w:fill="auto"/>
            <w:vAlign w:val="bottom"/>
          </w:tcPr>
          <w:p w14:paraId="74DDC793" w14:textId="77777777" w:rsidR="00584EC1" w:rsidRDefault="00584EC1">
            <w:pPr>
              <w:rPr>
                <w:rFonts w:ascii="宋体"/>
                <w:vanish/>
              </w:rPr>
            </w:pPr>
          </w:p>
        </w:tc>
        <w:tc>
          <w:tcPr>
            <w:tcW w:w="0" w:type="auto"/>
            <w:shd w:val="clear" w:color="auto" w:fill="auto"/>
            <w:vAlign w:val="bottom"/>
          </w:tcPr>
          <w:p w14:paraId="74DDC794" w14:textId="77777777" w:rsidR="00584EC1" w:rsidRDefault="00584EC1">
            <w:pPr>
              <w:rPr>
                <w:rFonts w:ascii="宋体"/>
                <w:vanish/>
              </w:rPr>
            </w:pPr>
          </w:p>
        </w:tc>
        <w:tc>
          <w:tcPr>
            <w:tcW w:w="0" w:type="auto"/>
            <w:gridSpan w:val="3"/>
            <w:shd w:val="clear" w:color="auto" w:fill="CCEEFF"/>
            <w:tcMar>
              <w:top w:w="0" w:type="dxa"/>
              <w:left w:w="20" w:type="dxa"/>
              <w:bottom w:w="0" w:type="dxa"/>
              <w:right w:w="20" w:type="dxa"/>
            </w:tcMar>
            <w:vAlign w:val="bottom"/>
          </w:tcPr>
          <w:p w14:paraId="74DDC795"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4DDC796" w14:textId="77777777" w:rsidR="00584EC1" w:rsidRDefault="00871F8D">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74DDC79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798"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4DDC799" w14:textId="77777777" w:rsidR="00584EC1" w:rsidRDefault="00871F8D">
            <w:pPr>
              <w:jc w:val="right"/>
              <w:textAlignment w:val="center"/>
            </w:pPr>
            <w:r>
              <w:rPr>
                <w:rFonts w:ascii="Arial" w:eastAsia="宋体" w:hAnsi="Arial" w:cs="Arial"/>
                <w:color w:val="000000"/>
                <w:sz w:val="12"/>
                <w:szCs w:val="12"/>
              </w:rPr>
              <w:t>(3)</w:t>
            </w:r>
          </w:p>
        </w:tc>
        <w:tc>
          <w:tcPr>
            <w:tcW w:w="0" w:type="auto"/>
            <w:tcBorders>
              <w:top w:val="single" w:sz="8" w:space="0" w:color="000000"/>
            </w:tcBorders>
            <w:shd w:val="clear" w:color="auto" w:fill="CCEEFF"/>
            <w:tcMar>
              <w:top w:w="40" w:type="dxa"/>
              <w:left w:w="0" w:type="dxa"/>
              <w:bottom w:w="40" w:type="dxa"/>
              <w:right w:w="20" w:type="dxa"/>
            </w:tcMar>
            <w:vAlign w:val="center"/>
          </w:tcPr>
          <w:p w14:paraId="74DDC79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79B"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4DDC79C" w14:textId="77777777" w:rsidR="00584EC1" w:rsidRDefault="00871F8D">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74DDC79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79E"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4DDC79F" w14:textId="77777777" w:rsidR="00584EC1" w:rsidRDefault="00871F8D">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74DDC7A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7A1"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4DDC7A2" w14:textId="77777777" w:rsidR="00584EC1" w:rsidRDefault="00871F8D">
            <w:pPr>
              <w:jc w:val="right"/>
              <w:textAlignment w:val="center"/>
            </w:pPr>
            <w:r>
              <w:rPr>
                <w:rFonts w:ascii="Arial" w:eastAsia="宋体" w:hAnsi="Arial" w:cs="Arial"/>
                <w:color w:val="000000"/>
                <w:sz w:val="12"/>
                <w:szCs w:val="12"/>
              </w:rPr>
              <w:t>6 </w:t>
            </w:r>
          </w:p>
        </w:tc>
        <w:tc>
          <w:tcPr>
            <w:tcW w:w="0" w:type="auto"/>
            <w:tcBorders>
              <w:top w:val="single" w:sz="8" w:space="0" w:color="000000"/>
            </w:tcBorders>
            <w:shd w:val="clear" w:color="auto" w:fill="CCEEFF"/>
            <w:tcMar>
              <w:top w:w="40" w:type="dxa"/>
              <w:left w:w="0" w:type="dxa"/>
              <w:bottom w:w="40" w:type="dxa"/>
              <w:right w:w="20" w:type="dxa"/>
            </w:tcMar>
            <w:vAlign w:val="center"/>
          </w:tcPr>
          <w:p w14:paraId="74DDC7A3" w14:textId="77777777" w:rsidR="00584EC1" w:rsidRDefault="00584EC1">
            <w:pPr>
              <w:jc w:val="right"/>
              <w:rPr>
                <w:rFonts w:ascii="宋体"/>
              </w:rPr>
            </w:pPr>
          </w:p>
        </w:tc>
        <w:tc>
          <w:tcPr>
            <w:tcW w:w="0" w:type="auto"/>
            <w:gridSpan w:val="2"/>
            <w:shd w:val="clear" w:color="auto" w:fill="CCEEFF"/>
            <w:tcMar>
              <w:top w:w="0" w:type="dxa"/>
              <w:left w:w="20" w:type="dxa"/>
              <w:bottom w:w="0" w:type="dxa"/>
              <w:right w:w="20" w:type="dxa"/>
            </w:tcMar>
            <w:vAlign w:val="bottom"/>
          </w:tcPr>
          <w:p w14:paraId="74DDC7A4"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4DDC7A5" w14:textId="77777777" w:rsidR="00584EC1" w:rsidRDefault="00871F8D">
            <w:pPr>
              <w:jc w:val="right"/>
              <w:textAlignment w:val="center"/>
            </w:pPr>
            <w:r>
              <w:rPr>
                <w:rFonts w:ascii="Arial" w:eastAsia="宋体" w:hAnsi="Arial" w:cs="Arial"/>
                <w:color w:val="000000"/>
                <w:sz w:val="12"/>
                <w:szCs w:val="12"/>
              </w:rPr>
              <w:t>(4)</w:t>
            </w:r>
          </w:p>
        </w:tc>
      </w:tr>
      <w:tr w:rsidR="00871F8D" w14:paraId="74DDC7D0" w14:textId="77777777">
        <w:tc>
          <w:tcPr>
            <w:tcW w:w="0" w:type="auto"/>
            <w:gridSpan w:val="3"/>
            <w:shd w:val="clear" w:color="auto" w:fill="FFFFFF"/>
            <w:tcMar>
              <w:top w:w="40" w:type="dxa"/>
              <w:left w:w="20" w:type="dxa"/>
              <w:bottom w:w="40" w:type="dxa"/>
              <w:right w:w="20" w:type="dxa"/>
            </w:tcMar>
            <w:vAlign w:val="center"/>
          </w:tcPr>
          <w:p w14:paraId="74DDC7A7" w14:textId="77777777" w:rsidR="00584EC1" w:rsidRDefault="00871F8D">
            <w:pPr>
              <w:textAlignment w:val="center"/>
            </w:pPr>
            <w:r>
              <w:rPr>
                <w:rFonts w:ascii="Arial" w:eastAsia="宋体" w:hAnsi="Arial" w:cs="Arial"/>
                <w:color w:val="000000"/>
                <w:sz w:val="12"/>
                <w:szCs w:val="12"/>
              </w:rPr>
              <w:t xml:space="preserve">Total assets </w:t>
            </w:r>
            <w:r>
              <w:rPr>
                <w:rFonts w:ascii="Arial" w:eastAsia="宋体" w:hAnsi="Arial" w:cs="Arial"/>
                <w:color w:val="000000"/>
                <w:sz w:val="12"/>
                <w:szCs w:val="12"/>
              </w:rPr>
              <w:t>carried at fair value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4DDC7A8" w14:textId="77777777" w:rsidR="00584EC1" w:rsidRDefault="00871F8D">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4DDC7A9" w14:textId="77777777" w:rsidR="00584EC1" w:rsidRDefault="00871F8D">
            <w:pPr>
              <w:jc w:val="right"/>
              <w:textAlignment w:val="center"/>
            </w:pPr>
            <w:r>
              <w:rPr>
                <w:rFonts w:ascii="Arial" w:eastAsia="宋体" w:hAnsi="Arial" w:cs="Arial"/>
                <w:color w:val="000000"/>
                <w:sz w:val="12"/>
                <w:szCs w:val="12"/>
              </w:rPr>
              <w:t>2,792 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4DDC7A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7AB"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4DDC7AC" w14:textId="77777777" w:rsidR="00584EC1" w:rsidRDefault="00871F8D">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4DDC7AD" w14:textId="77777777" w:rsidR="00584EC1" w:rsidRDefault="00871F8D">
            <w:pPr>
              <w:jc w:val="right"/>
              <w:textAlignment w:val="center"/>
            </w:pPr>
            <w:r>
              <w:rPr>
                <w:rFonts w:ascii="Arial" w:eastAsia="宋体" w:hAnsi="Arial" w:cs="Arial"/>
                <w:color w:val="000000"/>
                <w:sz w:val="12"/>
                <w:szCs w:val="12"/>
              </w:rPr>
              <w:t>(2)</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4DDC7A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7AF"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4DDC7B0" w14:textId="77777777" w:rsidR="00584EC1" w:rsidRDefault="00871F8D">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4DDC7B1" w14:textId="77777777" w:rsidR="00584EC1" w:rsidRDefault="00871F8D">
            <w:pPr>
              <w:jc w:val="right"/>
              <w:textAlignment w:val="center"/>
            </w:pPr>
            <w:r>
              <w:rPr>
                <w:rFonts w:ascii="Arial" w:eastAsia="宋体" w:hAnsi="Arial" w:cs="Arial"/>
                <w:color w:val="000000"/>
                <w:sz w:val="12"/>
                <w:szCs w:val="12"/>
              </w:rPr>
              <w:t>61 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4DDC7B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7B3"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4DDC7B4" w14:textId="77777777" w:rsidR="00584EC1" w:rsidRDefault="00871F8D">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4DDC7B5" w14:textId="77777777" w:rsidR="00584EC1" w:rsidRDefault="00871F8D">
            <w:pPr>
              <w:jc w:val="right"/>
              <w:textAlignment w:val="center"/>
            </w:pPr>
            <w:r>
              <w:rPr>
                <w:rFonts w:ascii="Arial" w:eastAsia="宋体" w:hAnsi="Arial" w:cs="Arial"/>
                <w:color w:val="000000"/>
                <w:sz w:val="12"/>
                <w:szCs w:val="12"/>
              </w:rPr>
              <w:t>672 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4DDC7B6" w14:textId="77777777" w:rsidR="00584EC1" w:rsidRDefault="00584EC1">
            <w:pPr>
              <w:jc w:val="right"/>
              <w:rPr>
                <w:rFonts w:ascii="宋体"/>
              </w:rPr>
            </w:pPr>
          </w:p>
        </w:tc>
        <w:tc>
          <w:tcPr>
            <w:tcW w:w="0" w:type="auto"/>
            <w:shd w:val="clear" w:color="auto" w:fill="auto"/>
            <w:vAlign w:val="bottom"/>
          </w:tcPr>
          <w:p w14:paraId="74DDC7B7" w14:textId="77777777" w:rsidR="00584EC1" w:rsidRDefault="00584EC1">
            <w:pPr>
              <w:rPr>
                <w:rFonts w:ascii="宋体"/>
                <w:vanish/>
              </w:rPr>
            </w:pPr>
          </w:p>
        </w:tc>
        <w:tc>
          <w:tcPr>
            <w:tcW w:w="0" w:type="auto"/>
            <w:shd w:val="clear" w:color="auto" w:fill="auto"/>
            <w:vAlign w:val="bottom"/>
          </w:tcPr>
          <w:p w14:paraId="74DDC7B8" w14:textId="77777777" w:rsidR="00584EC1" w:rsidRDefault="00584EC1">
            <w:pPr>
              <w:rPr>
                <w:rFonts w:ascii="宋体"/>
                <w:vanish/>
              </w:rPr>
            </w:pPr>
          </w:p>
        </w:tc>
        <w:tc>
          <w:tcPr>
            <w:tcW w:w="0" w:type="auto"/>
            <w:gridSpan w:val="3"/>
            <w:shd w:val="clear" w:color="auto" w:fill="FFFFFF"/>
            <w:tcMar>
              <w:top w:w="0" w:type="dxa"/>
              <w:left w:w="20" w:type="dxa"/>
              <w:bottom w:w="0" w:type="dxa"/>
              <w:right w:w="20" w:type="dxa"/>
            </w:tcMar>
            <w:vAlign w:val="bottom"/>
          </w:tcPr>
          <w:p w14:paraId="74DDC7B9"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4DDC7BA" w14:textId="77777777" w:rsidR="00584EC1" w:rsidRDefault="00871F8D">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4DDC7BB" w14:textId="77777777" w:rsidR="00584EC1" w:rsidRDefault="00871F8D">
            <w:pPr>
              <w:jc w:val="right"/>
              <w:textAlignment w:val="center"/>
            </w:pPr>
            <w:r>
              <w:rPr>
                <w:rFonts w:ascii="Arial" w:eastAsia="宋体" w:hAnsi="Arial" w:cs="Arial"/>
                <w:color w:val="000000"/>
                <w:sz w:val="12"/>
                <w:szCs w:val="12"/>
              </w:rPr>
              <w:t>(34)</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4DDC7B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7BD"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4DDC7BE" w14:textId="77777777" w:rsidR="00584EC1" w:rsidRDefault="00871F8D">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4DDC7BF" w14:textId="77777777" w:rsidR="00584EC1" w:rsidRDefault="00871F8D">
            <w:pPr>
              <w:jc w:val="right"/>
              <w:textAlignment w:val="center"/>
            </w:pPr>
            <w:r>
              <w:rPr>
                <w:rFonts w:ascii="Arial" w:eastAsia="宋体" w:hAnsi="Arial" w:cs="Arial"/>
                <w:color w:val="000000"/>
                <w:sz w:val="12"/>
                <w:szCs w:val="12"/>
              </w:rPr>
              <w:t>(30)</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4DDC7C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7C1"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4DDC7C2" w14:textId="77777777" w:rsidR="00584EC1" w:rsidRDefault="00871F8D">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4DDC7C3" w14:textId="77777777" w:rsidR="00584EC1" w:rsidRDefault="00871F8D">
            <w:pPr>
              <w:jc w:val="right"/>
              <w:textAlignment w:val="center"/>
            </w:pPr>
            <w:r>
              <w:rPr>
                <w:rFonts w:ascii="Arial" w:eastAsia="宋体" w:hAnsi="Arial" w:cs="Arial"/>
                <w:color w:val="000000"/>
                <w:sz w:val="12"/>
                <w:szCs w:val="12"/>
              </w:rPr>
              <w:t>50 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4DDC7C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7C5"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4DDC7C6" w14:textId="77777777" w:rsidR="00584EC1" w:rsidRDefault="00871F8D">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4DDC7C7" w14:textId="77777777" w:rsidR="00584EC1" w:rsidRDefault="00871F8D">
            <w:pPr>
              <w:jc w:val="right"/>
              <w:textAlignment w:val="center"/>
            </w:pP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4DDC7C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7C9"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4DDC7CA" w14:textId="77777777" w:rsidR="00584EC1" w:rsidRDefault="00871F8D">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4DDC7CB" w14:textId="77777777" w:rsidR="00584EC1" w:rsidRDefault="00871F8D">
            <w:pPr>
              <w:jc w:val="right"/>
              <w:textAlignment w:val="center"/>
            </w:pPr>
            <w:r>
              <w:rPr>
                <w:rFonts w:ascii="Arial" w:eastAsia="宋体" w:hAnsi="Arial" w:cs="Arial"/>
                <w:color w:val="000000"/>
                <w:sz w:val="12"/>
                <w:szCs w:val="12"/>
              </w:rPr>
              <w:t>3,509 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4DDC7CC" w14:textId="77777777" w:rsidR="00584EC1" w:rsidRDefault="00584EC1">
            <w:pPr>
              <w:jc w:val="right"/>
              <w:rPr>
                <w:rFonts w:ascii="宋体"/>
              </w:rPr>
            </w:pPr>
          </w:p>
        </w:tc>
        <w:tc>
          <w:tcPr>
            <w:tcW w:w="0" w:type="auto"/>
            <w:gridSpan w:val="2"/>
            <w:shd w:val="clear" w:color="auto" w:fill="FFFFFF"/>
            <w:tcMar>
              <w:top w:w="0" w:type="dxa"/>
              <w:left w:w="20" w:type="dxa"/>
              <w:bottom w:w="0" w:type="dxa"/>
              <w:right w:w="20" w:type="dxa"/>
            </w:tcMar>
            <w:vAlign w:val="bottom"/>
          </w:tcPr>
          <w:p w14:paraId="74DDC7CD"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4DDC7CE" w14:textId="77777777" w:rsidR="00584EC1" w:rsidRDefault="00871F8D">
            <w:pPr>
              <w:textAlignment w:val="center"/>
            </w:pPr>
            <w:r>
              <w:rPr>
                <w:rFonts w:ascii="Arial" w:eastAsia="宋体" w:hAnsi="Arial" w:cs="Arial"/>
                <w:color w:val="000000"/>
                <w:sz w:val="12"/>
                <w:szCs w:val="12"/>
              </w:rPr>
              <w:t>$</w:t>
            </w:r>
          </w:p>
          <w:p w14:paraId="74DDC7CF" w14:textId="77777777" w:rsidR="00584EC1" w:rsidRDefault="00871F8D">
            <w:pPr>
              <w:jc w:val="right"/>
              <w:textAlignment w:val="center"/>
            </w:pPr>
            <w:r>
              <w:rPr>
                <w:rFonts w:ascii="Arial" w:eastAsia="宋体" w:hAnsi="Arial" w:cs="Arial"/>
                <w:color w:val="000000"/>
                <w:sz w:val="12"/>
                <w:szCs w:val="12"/>
              </w:rPr>
              <w:t>(4)</w:t>
            </w:r>
          </w:p>
        </w:tc>
      </w:tr>
    </w:tbl>
    <w:p w14:paraId="74DDC7D1" w14:textId="77777777" w:rsidR="00584EC1" w:rsidRDefault="00584EC1">
      <w:pPr>
        <w:rPr>
          <w:vanish/>
        </w:rPr>
      </w:pPr>
    </w:p>
    <w:tbl>
      <w:tblPr>
        <w:tblW w:w="4993" w:type="pct"/>
        <w:tblCellMar>
          <w:top w:w="15" w:type="dxa"/>
          <w:left w:w="15" w:type="dxa"/>
          <w:bottom w:w="15" w:type="dxa"/>
          <w:right w:w="15" w:type="dxa"/>
        </w:tblCellMar>
        <w:tblLook w:val="04A0" w:firstRow="1" w:lastRow="0" w:firstColumn="1" w:lastColumn="0" w:noHBand="0" w:noVBand="1"/>
      </w:tblPr>
      <w:tblGrid>
        <w:gridCol w:w="62"/>
        <w:gridCol w:w="2228"/>
        <w:gridCol w:w="36"/>
        <w:gridCol w:w="62"/>
        <w:gridCol w:w="1498"/>
        <w:gridCol w:w="36"/>
        <w:gridCol w:w="64"/>
        <w:gridCol w:w="2583"/>
        <w:gridCol w:w="36"/>
        <w:gridCol w:w="64"/>
        <w:gridCol w:w="1511"/>
        <w:gridCol w:w="36"/>
        <w:gridCol w:w="36"/>
        <w:gridCol w:w="36"/>
        <w:gridCol w:w="36"/>
      </w:tblGrid>
      <w:tr w:rsidR="00584EC1" w14:paraId="74DDC7E1" w14:textId="77777777">
        <w:tc>
          <w:tcPr>
            <w:tcW w:w="50" w:type="pct"/>
            <w:shd w:val="clear" w:color="auto" w:fill="auto"/>
            <w:vAlign w:val="bottom"/>
          </w:tcPr>
          <w:p w14:paraId="74DDC7D2" w14:textId="77777777" w:rsidR="00584EC1" w:rsidRDefault="00584EC1">
            <w:pPr>
              <w:rPr>
                <w:rFonts w:ascii="宋体"/>
              </w:rPr>
            </w:pPr>
          </w:p>
        </w:tc>
        <w:tc>
          <w:tcPr>
            <w:tcW w:w="1350" w:type="pct"/>
            <w:shd w:val="clear" w:color="auto" w:fill="auto"/>
            <w:vAlign w:val="bottom"/>
          </w:tcPr>
          <w:p w14:paraId="74DDC7D3" w14:textId="77777777" w:rsidR="00584EC1" w:rsidRDefault="00584EC1">
            <w:pPr>
              <w:rPr>
                <w:rFonts w:ascii="宋体"/>
              </w:rPr>
            </w:pPr>
          </w:p>
        </w:tc>
        <w:tc>
          <w:tcPr>
            <w:tcW w:w="5" w:type="pct"/>
            <w:shd w:val="clear" w:color="auto" w:fill="auto"/>
            <w:vAlign w:val="bottom"/>
          </w:tcPr>
          <w:p w14:paraId="74DDC7D4" w14:textId="77777777" w:rsidR="00584EC1" w:rsidRDefault="00584EC1">
            <w:pPr>
              <w:rPr>
                <w:rFonts w:ascii="宋体"/>
              </w:rPr>
            </w:pPr>
          </w:p>
        </w:tc>
        <w:tc>
          <w:tcPr>
            <w:tcW w:w="50" w:type="pct"/>
            <w:shd w:val="clear" w:color="auto" w:fill="auto"/>
            <w:vAlign w:val="bottom"/>
          </w:tcPr>
          <w:p w14:paraId="74DDC7D5" w14:textId="77777777" w:rsidR="00584EC1" w:rsidRDefault="00584EC1">
            <w:pPr>
              <w:rPr>
                <w:rFonts w:ascii="宋体"/>
              </w:rPr>
            </w:pPr>
          </w:p>
        </w:tc>
        <w:tc>
          <w:tcPr>
            <w:tcW w:w="911" w:type="pct"/>
            <w:shd w:val="clear" w:color="auto" w:fill="auto"/>
            <w:vAlign w:val="bottom"/>
          </w:tcPr>
          <w:p w14:paraId="74DDC7D6" w14:textId="77777777" w:rsidR="00584EC1" w:rsidRDefault="00584EC1">
            <w:pPr>
              <w:rPr>
                <w:rFonts w:ascii="宋体"/>
              </w:rPr>
            </w:pPr>
          </w:p>
        </w:tc>
        <w:tc>
          <w:tcPr>
            <w:tcW w:w="5" w:type="pct"/>
            <w:shd w:val="clear" w:color="auto" w:fill="auto"/>
            <w:vAlign w:val="bottom"/>
          </w:tcPr>
          <w:p w14:paraId="74DDC7D7" w14:textId="77777777" w:rsidR="00584EC1" w:rsidRDefault="00584EC1">
            <w:pPr>
              <w:rPr>
                <w:rFonts w:ascii="宋体"/>
              </w:rPr>
            </w:pPr>
          </w:p>
        </w:tc>
        <w:tc>
          <w:tcPr>
            <w:tcW w:w="50" w:type="pct"/>
            <w:shd w:val="clear" w:color="auto" w:fill="auto"/>
            <w:vAlign w:val="bottom"/>
          </w:tcPr>
          <w:p w14:paraId="74DDC7D8" w14:textId="77777777" w:rsidR="00584EC1" w:rsidRDefault="00584EC1">
            <w:pPr>
              <w:rPr>
                <w:rFonts w:ascii="宋体"/>
              </w:rPr>
            </w:pPr>
          </w:p>
        </w:tc>
        <w:tc>
          <w:tcPr>
            <w:tcW w:w="1562" w:type="pct"/>
            <w:shd w:val="clear" w:color="auto" w:fill="auto"/>
            <w:vAlign w:val="bottom"/>
          </w:tcPr>
          <w:p w14:paraId="74DDC7D9" w14:textId="77777777" w:rsidR="00584EC1" w:rsidRDefault="00584EC1">
            <w:pPr>
              <w:rPr>
                <w:rFonts w:ascii="宋体"/>
              </w:rPr>
            </w:pPr>
          </w:p>
        </w:tc>
        <w:tc>
          <w:tcPr>
            <w:tcW w:w="5" w:type="pct"/>
            <w:shd w:val="clear" w:color="auto" w:fill="auto"/>
            <w:vAlign w:val="bottom"/>
          </w:tcPr>
          <w:p w14:paraId="74DDC7DA" w14:textId="77777777" w:rsidR="00584EC1" w:rsidRDefault="00584EC1">
            <w:pPr>
              <w:rPr>
                <w:rFonts w:ascii="宋体"/>
              </w:rPr>
            </w:pPr>
          </w:p>
        </w:tc>
        <w:tc>
          <w:tcPr>
            <w:tcW w:w="50" w:type="pct"/>
            <w:shd w:val="clear" w:color="auto" w:fill="auto"/>
            <w:vAlign w:val="bottom"/>
          </w:tcPr>
          <w:p w14:paraId="74DDC7DB" w14:textId="77777777" w:rsidR="00584EC1" w:rsidRDefault="00584EC1">
            <w:pPr>
              <w:rPr>
                <w:rFonts w:ascii="宋体"/>
              </w:rPr>
            </w:pPr>
          </w:p>
        </w:tc>
        <w:tc>
          <w:tcPr>
            <w:tcW w:w="918" w:type="pct"/>
            <w:shd w:val="clear" w:color="auto" w:fill="auto"/>
            <w:vAlign w:val="bottom"/>
          </w:tcPr>
          <w:p w14:paraId="74DDC7DC" w14:textId="77777777" w:rsidR="00584EC1" w:rsidRDefault="00584EC1">
            <w:pPr>
              <w:rPr>
                <w:rFonts w:ascii="宋体"/>
              </w:rPr>
            </w:pPr>
          </w:p>
        </w:tc>
        <w:tc>
          <w:tcPr>
            <w:tcW w:w="5" w:type="pct"/>
            <w:shd w:val="clear" w:color="auto" w:fill="auto"/>
            <w:vAlign w:val="bottom"/>
          </w:tcPr>
          <w:p w14:paraId="74DDC7DD" w14:textId="77777777" w:rsidR="00584EC1" w:rsidRDefault="00584EC1">
            <w:pPr>
              <w:rPr>
                <w:rFonts w:ascii="宋体"/>
              </w:rPr>
            </w:pPr>
          </w:p>
        </w:tc>
        <w:tc>
          <w:tcPr>
            <w:tcW w:w="5" w:type="pct"/>
            <w:shd w:val="clear" w:color="auto" w:fill="auto"/>
            <w:vAlign w:val="bottom"/>
          </w:tcPr>
          <w:p w14:paraId="74DDC7DE" w14:textId="77777777" w:rsidR="00584EC1" w:rsidRDefault="00584EC1">
            <w:pPr>
              <w:rPr>
                <w:rFonts w:ascii="宋体"/>
              </w:rPr>
            </w:pPr>
          </w:p>
        </w:tc>
        <w:tc>
          <w:tcPr>
            <w:tcW w:w="26" w:type="pct"/>
            <w:shd w:val="clear" w:color="auto" w:fill="auto"/>
            <w:vAlign w:val="bottom"/>
          </w:tcPr>
          <w:p w14:paraId="74DDC7DF" w14:textId="77777777" w:rsidR="00584EC1" w:rsidRDefault="00584EC1">
            <w:pPr>
              <w:rPr>
                <w:rFonts w:ascii="宋体"/>
              </w:rPr>
            </w:pPr>
          </w:p>
        </w:tc>
        <w:tc>
          <w:tcPr>
            <w:tcW w:w="5" w:type="pct"/>
            <w:shd w:val="clear" w:color="auto" w:fill="auto"/>
            <w:vAlign w:val="bottom"/>
          </w:tcPr>
          <w:p w14:paraId="74DDC7E0" w14:textId="77777777" w:rsidR="00584EC1" w:rsidRDefault="00584EC1">
            <w:pPr>
              <w:rPr>
                <w:rFonts w:ascii="宋体"/>
              </w:rPr>
            </w:pPr>
          </w:p>
        </w:tc>
      </w:tr>
      <w:tr w:rsidR="00584EC1" w14:paraId="74DDC7E7"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4DDC7E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7E3"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7E4"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7E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7E6" w14:textId="77777777" w:rsidR="00584EC1" w:rsidRDefault="00584EC1">
            <w:pPr>
              <w:rPr>
                <w:rFonts w:ascii="宋体"/>
              </w:rPr>
            </w:pPr>
          </w:p>
        </w:tc>
      </w:tr>
    </w:tbl>
    <w:p w14:paraId="74DDC7E8" w14:textId="77777777" w:rsidR="00584EC1" w:rsidRDefault="00871F8D">
      <w:r>
        <w:rPr>
          <w:rFonts w:ascii="Arial" w:eastAsia="宋体" w:hAnsi="Arial" w:cs="Arial"/>
          <w:color w:val="000000"/>
          <w:sz w:val="8"/>
          <w:szCs w:val="8"/>
        </w:rPr>
        <w:t>(</w:t>
      </w:r>
      <w:r>
        <w:rPr>
          <w:rFonts w:ascii="Arial" w:eastAsia="宋体" w:hAnsi="Arial" w:cs="Arial"/>
          <w:color w:val="000000"/>
          <w:sz w:val="7"/>
          <w:szCs w:val="7"/>
        </w:rPr>
        <w:t>1)</w:t>
      </w:r>
      <w:r>
        <w:rPr>
          <w:rFonts w:ascii="Arial" w:eastAsia="宋体" w:hAnsi="Arial" w:cs="Arial"/>
          <w:color w:val="000000"/>
          <w:sz w:val="12"/>
          <w:szCs w:val="12"/>
        </w:rPr>
        <w:t xml:space="preserve"> Total realized and unrealized gains (losses) on AFS investment securities are included within gains (losses) related to investment securities, net. Total realized and unrealized gains (losses) on derivative instruments are included within foreign exchange</w:t>
      </w:r>
      <w:r>
        <w:rPr>
          <w:rFonts w:ascii="Arial" w:eastAsia="宋体" w:hAnsi="Arial" w:cs="Arial"/>
          <w:color w:val="000000"/>
          <w:sz w:val="12"/>
          <w:szCs w:val="12"/>
        </w:rPr>
        <w:t xml:space="preserve"> trading services.</w:t>
      </w:r>
    </w:p>
    <w:tbl>
      <w:tblPr>
        <w:tblW w:w="5000" w:type="pct"/>
        <w:tblCellMar>
          <w:top w:w="15" w:type="dxa"/>
          <w:left w:w="15" w:type="dxa"/>
          <w:bottom w:w="15" w:type="dxa"/>
          <w:right w:w="15" w:type="dxa"/>
        </w:tblCellMar>
        <w:tblLook w:val="04A0" w:firstRow="1" w:lastRow="0" w:firstColumn="1" w:lastColumn="0" w:noHBand="0" w:noVBand="1"/>
      </w:tblPr>
      <w:tblGrid>
        <w:gridCol w:w="70"/>
        <w:gridCol w:w="835"/>
        <w:gridCol w:w="35"/>
        <w:gridCol w:w="83"/>
        <w:gridCol w:w="502"/>
        <w:gridCol w:w="35"/>
        <w:gridCol w:w="36"/>
        <w:gridCol w:w="35"/>
        <w:gridCol w:w="35"/>
        <w:gridCol w:w="87"/>
        <w:gridCol w:w="538"/>
        <w:gridCol w:w="36"/>
        <w:gridCol w:w="36"/>
        <w:gridCol w:w="36"/>
        <w:gridCol w:w="36"/>
        <w:gridCol w:w="93"/>
        <w:gridCol w:w="775"/>
        <w:gridCol w:w="36"/>
        <w:gridCol w:w="36"/>
        <w:gridCol w:w="36"/>
        <w:gridCol w:w="36"/>
        <w:gridCol w:w="87"/>
        <w:gridCol w:w="509"/>
        <w:gridCol w:w="36"/>
        <w:gridCol w:w="36"/>
        <w:gridCol w:w="36"/>
        <w:gridCol w:w="36"/>
        <w:gridCol w:w="36"/>
        <w:gridCol w:w="36"/>
        <w:gridCol w:w="84"/>
        <w:gridCol w:w="259"/>
        <w:gridCol w:w="36"/>
        <w:gridCol w:w="36"/>
        <w:gridCol w:w="36"/>
        <w:gridCol w:w="36"/>
        <w:gridCol w:w="86"/>
        <w:gridCol w:w="579"/>
        <w:gridCol w:w="36"/>
        <w:gridCol w:w="36"/>
        <w:gridCol w:w="36"/>
        <w:gridCol w:w="36"/>
        <w:gridCol w:w="86"/>
        <w:gridCol w:w="455"/>
        <w:gridCol w:w="36"/>
        <w:gridCol w:w="36"/>
        <w:gridCol w:w="36"/>
        <w:gridCol w:w="36"/>
        <w:gridCol w:w="86"/>
        <w:gridCol w:w="455"/>
        <w:gridCol w:w="36"/>
        <w:gridCol w:w="36"/>
        <w:gridCol w:w="36"/>
        <w:gridCol w:w="36"/>
        <w:gridCol w:w="84"/>
        <w:gridCol w:w="543"/>
        <w:gridCol w:w="36"/>
        <w:gridCol w:w="36"/>
        <w:gridCol w:w="36"/>
        <w:gridCol w:w="676"/>
      </w:tblGrid>
      <w:tr w:rsidR="00584EC1" w14:paraId="74DDC824" w14:textId="77777777">
        <w:tc>
          <w:tcPr>
            <w:tcW w:w="50" w:type="pct"/>
            <w:shd w:val="clear" w:color="auto" w:fill="auto"/>
            <w:vAlign w:val="bottom"/>
          </w:tcPr>
          <w:p w14:paraId="74DDC7E9" w14:textId="77777777" w:rsidR="00584EC1" w:rsidRDefault="00584EC1">
            <w:pPr>
              <w:rPr>
                <w:rFonts w:ascii="宋体"/>
              </w:rPr>
            </w:pPr>
          </w:p>
        </w:tc>
        <w:tc>
          <w:tcPr>
            <w:tcW w:w="741" w:type="pct"/>
            <w:shd w:val="clear" w:color="auto" w:fill="auto"/>
            <w:vAlign w:val="bottom"/>
          </w:tcPr>
          <w:p w14:paraId="74DDC7EA" w14:textId="77777777" w:rsidR="00584EC1" w:rsidRDefault="00584EC1">
            <w:pPr>
              <w:rPr>
                <w:rFonts w:ascii="宋体"/>
              </w:rPr>
            </w:pPr>
          </w:p>
        </w:tc>
        <w:tc>
          <w:tcPr>
            <w:tcW w:w="5" w:type="pct"/>
            <w:shd w:val="clear" w:color="auto" w:fill="auto"/>
            <w:vAlign w:val="bottom"/>
          </w:tcPr>
          <w:p w14:paraId="74DDC7EB" w14:textId="77777777" w:rsidR="00584EC1" w:rsidRDefault="00584EC1">
            <w:pPr>
              <w:rPr>
                <w:rFonts w:ascii="宋体"/>
              </w:rPr>
            </w:pPr>
          </w:p>
        </w:tc>
        <w:tc>
          <w:tcPr>
            <w:tcW w:w="50" w:type="pct"/>
            <w:shd w:val="clear" w:color="auto" w:fill="auto"/>
            <w:vAlign w:val="bottom"/>
          </w:tcPr>
          <w:p w14:paraId="74DDC7EC" w14:textId="77777777" w:rsidR="00584EC1" w:rsidRDefault="00584EC1">
            <w:pPr>
              <w:rPr>
                <w:rFonts w:ascii="宋体"/>
              </w:rPr>
            </w:pPr>
          </w:p>
        </w:tc>
        <w:tc>
          <w:tcPr>
            <w:tcW w:w="376" w:type="pct"/>
            <w:shd w:val="clear" w:color="auto" w:fill="auto"/>
            <w:vAlign w:val="bottom"/>
          </w:tcPr>
          <w:p w14:paraId="74DDC7ED" w14:textId="77777777" w:rsidR="00584EC1" w:rsidRDefault="00584EC1">
            <w:pPr>
              <w:rPr>
                <w:rFonts w:ascii="宋体"/>
              </w:rPr>
            </w:pPr>
          </w:p>
        </w:tc>
        <w:tc>
          <w:tcPr>
            <w:tcW w:w="5" w:type="pct"/>
            <w:shd w:val="clear" w:color="auto" w:fill="auto"/>
            <w:vAlign w:val="bottom"/>
          </w:tcPr>
          <w:p w14:paraId="74DDC7EE" w14:textId="77777777" w:rsidR="00584EC1" w:rsidRDefault="00584EC1">
            <w:pPr>
              <w:rPr>
                <w:rFonts w:ascii="宋体"/>
              </w:rPr>
            </w:pPr>
          </w:p>
        </w:tc>
        <w:tc>
          <w:tcPr>
            <w:tcW w:w="5" w:type="pct"/>
            <w:shd w:val="clear" w:color="auto" w:fill="auto"/>
            <w:vAlign w:val="bottom"/>
          </w:tcPr>
          <w:p w14:paraId="74DDC7EF" w14:textId="77777777" w:rsidR="00584EC1" w:rsidRDefault="00584EC1">
            <w:pPr>
              <w:rPr>
                <w:rFonts w:ascii="宋体"/>
              </w:rPr>
            </w:pPr>
          </w:p>
        </w:tc>
        <w:tc>
          <w:tcPr>
            <w:tcW w:w="19" w:type="pct"/>
            <w:shd w:val="clear" w:color="auto" w:fill="auto"/>
            <w:vAlign w:val="bottom"/>
          </w:tcPr>
          <w:p w14:paraId="74DDC7F0" w14:textId="77777777" w:rsidR="00584EC1" w:rsidRDefault="00584EC1">
            <w:pPr>
              <w:rPr>
                <w:rFonts w:ascii="宋体"/>
              </w:rPr>
            </w:pPr>
          </w:p>
        </w:tc>
        <w:tc>
          <w:tcPr>
            <w:tcW w:w="5" w:type="pct"/>
            <w:shd w:val="clear" w:color="auto" w:fill="auto"/>
            <w:vAlign w:val="bottom"/>
          </w:tcPr>
          <w:p w14:paraId="74DDC7F1" w14:textId="77777777" w:rsidR="00584EC1" w:rsidRDefault="00584EC1">
            <w:pPr>
              <w:rPr>
                <w:rFonts w:ascii="宋体"/>
              </w:rPr>
            </w:pPr>
          </w:p>
        </w:tc>
        <w:tc>
          <w:tcPr>
            <w:tcW w:w="50" w:type="pct"/>
            <w:shd w:val="clear" w:color="auto" w:fill="auto"/>
            <w:vAlign w:val="bottom"/>
          </w:tcPr>
          <w:p w14:paraId="74DDC7F2" w14:textId="77777777" w:rsidR="00584EC1" w:rsidRDefault="00584EC1">
            <w:pPr>
              <w:rPr>
                <w:rFonts w:ascii="宋体"/>
              </w:rPr>
            </w:pPr>
          </w:p>
        </w:tc>
        <w:tc>
          <w:tcPr>
            <w:tcW w:w="317" w:type="pct"/>
            <w:shd w:val="clear" w:color="auto" w:fill="auto"/>
            <w:vAlign w:val="bottom"/>
          </w:tcPr>
          <w:p w14:paraId="74DDC7F3" w14:textId="77777777" w:rsidR="00584EC1" w:rsidRDefault="00584EC1">
            <w:pPr>
              <w:rPr>
                <w:rFonts w:ascii="宋体"/>
              </w:rPr>
            </w:pPr>
          </w:p>
        </w:tc>
        <w:tc>
          <w:tcPr>
            <w:tcW w:w="5" w:type="pct"/>
            <w:shd w:val="clear" w:color="auto" w:fill="auto"/>
            <w:vAlign w:val="bottom"/>
          </w:tcPr>
          <w:p w14:paraId="74DDC7F4" w14:textId="77777777" w:rsidR="00584EC1" w:rsidRDefault="00584EC1">
            <w:pPr>
              <w:rPr>
                <w:rFonts w:ascii="宋体"/>
              </w:rPr>
            </w:pPr>
          </w:p>
        </w:tc>
        <w:tc>
          <w:tcPr>
            <w:tcW w:w="5" w:type="pct"/>
            <w:shd w:val="clear" w:color="auto" w:fill="auto"/>
            <w:vAlign w:val="bottom"/>
          </w:tcPr>
          <w:p w14:paraId="74DDC7F5" w14:textId="77777777" w:rsidR="00584EC1" w:rsidRDefault="00584EC1">
            <w:pPr>
              <w:rPr>
                <w:rFonts w:ascii="宋体"/>
              </w:rPr>
            </w:pPr>
          </w:p>
        </w:tc>
        <w:tc>
          <w:tcPr>
            <w:tcW w:w="19" w:type="pct"/>
            <w:shd w:val="clear" w:color="auto" w:fill="auto"/>
            <w:vAlign w:val="bottom"/>
          </w:tcPr>
          <w:p w14:paraId="74DDC7F6" w14:textId="77777777" w:rsidR="00584EC1" w:rsidRDefault="00584EC1">
            <w:pPr>
              <w:rPr>
                <w:rFonts w:ascii="宋体"/>
              </w:rPr>
            </w:pPr>
          </w:p>
        </w:tc>
        <w:tc>
          <w:tcPr>
            <w:tcW w:w="5" w:type="pct"/>
            <w:shd w:val="clear" w:color="auto" w:fill="auto"/>
            <w:vAlign w:val="bottom"/>
          </w:tcPr>
          <w:p w14:paraId="74DDC7F7" w14:textId="77777777" w:rsidR="00584EC1" w:rsidRDefault="00584EC1">
            <w:pPr>
              <w:rPr>
                <w:rFonts w:ascii="宋体"/>
              </w:rPr>
            </w:pPr>
          </w:p>
        </w:tc>
        <w:tc>
          <w:tcPr>
            <w:tcW w:w="50" w:type="pct"/>
            <w:shd w:val="clear" w:color="auto" w:fill="auto"/>
            <w:vAlign w:val="bottom"/>
          </w:tcPr>
          <w:p w14:paraId="74DDC7F8" w14:textId="77777777" w:rsidR="00584EC1" w:rsidRDefault="00584EC1">
            <w:pPr>
              <w:rPr>
                <w:rFonts w:ascii="宋体"/>
              </w:rPr>
            </w:pPr>
          </w:p>
        </w:tc>
        <w:tc>
          <w:tcPr>
            <w:tcW w:w="434" w:type="pct"/>
            <w:shd w:val="clear" w:color="auto" w:fill="auto"/>
            <w:vAlign w:val="bottom"/>
          </w:tcPr>
          <w:p w14:paraId="74DDC7F9" w14:textId="77777777" w:rsidR="00584EC1" w:rsidRDefault="00584EC1">
            <w:pPr>
              <w:rPr>
                <w:rFonts w:ascii="宋体"/>
              </w:rPr>
            </w:pPr>
          </w:p>
        </w:tc>
        <w:tc>
          <w:tcPr>
            <w:tcW w:w="5" w:type="pct"/>
            <w:shd w:val="clear" w:color="auto" w:fill="auto"/>
            <w:vAlign w:val="bottom"/>
          </w:tcPr>
          <w:p w14:paraId="74DDC7FA" w14:textId="77777777" w:rsidR="00584EC1" w:rsidRDefault="00584EC1">
            <w:pPr>
              <w:rPr>
                <w:rFonts w:ascii="宋体"/>
              </w:rPr>
            </w:pPr>
          </w:p>
        </w:tc>
        <w:tc>
          <w:tcPr>
            <w:tcW w:w="5" w:type="pct"/>
            <w:shd w:val="clear" w:color="auto" w:fill="auto"/>
            <w:vAlign w:val="bottom"/>
          </w:tcPr>
          <w:p w14:paraId="74DDC7FB" w14:textId="77777777" w:rsidR="00584EC1" w:rsidRDefault="00584EC1">
            <w:pPr>
              <w:rPr>
                <w:rFonts w:ascii="宋体"/>
              </w:rPr>
            </w:pPr>
          </w:p>
        </w:tc>
        <w:tc>
          <w:tcPr>
            <w:tcW w:w="19" w:type="pct"/>
            <w:shd w:val="clear" w:color="auto" w:fill="auto"/>
            <w:vAlign w:val="bottom"/>
          </w:tcPr>
          <w:p w14:paraId="74DDC7FC" w14:textId="77777777" w:rsidR="00584EC1" w:rsidRDefault="00584EC1">
            <w:pPr>
              <w:rPr>
                <w:rFonts w:ascii="宋体"/>
              </w:rPr>
            </w:pPr>
          </w:p>
        </w:tc>
        <w:tc>
          <w:tcPr>
            <w:tcW w:w="5" w:type="pct"/>
            <w:shd w:val="clear" w:color="auto" w:fill="auto"/>
            <w:vAlign w:val="bottom"/>
          </w:tcPr>
          <w:p w14:paraId="74DDC7FD" w14:textId="77777777" w:rsidR="00584EC1" w:rsidRDefault="00584EC1">
            <w:pPr>
              <w:rPr>
                <w:rFonts w:ascii="宋体"/>
              </w:rPr>
            </w:pPr>
          </w:p>
        </w:tc>
        <w:tc>
          <w:tcPr>
            <w:tcW w:w="50" w:type="pct"/>
            <w:shd w:val="clear" w:color="auto" w:fill="auto"/>
            <w:vAlign w:val="bottom"/>
          </w:tcPr>
          <w:p w14:paraId="74DDC7FE" w14:textId="77777777" w:rsidR="00584EC1" w:rsidRDefault="00584EC1">
            <w:pPr>
              <w:rPr>
                <w:rFonts w:ascii="宋体"/>
              </w:rPr>
            </w:pPr>
          </w:p>
        </w:tc>
        <w:tc>
          <w:tcPr>
            <w:tcW w:w="303" w:type="pct"/>
            <w:shd w:val="clear" w:color="auto" w:fill="auto"/>
            <w:vAlign w:val="bottom"/>
          </w:tcPr>
          <w:p w14:paraId="74DDC7FF" w14:textId="77777777" w:rsidR="00584EC1" w:rsidRDefault="00584EC1">
            <w:pPr>
              <w:rPr>
                <w:rFonts w:ascii="宋体"/>
              </w:rPr>
            </w:pPr>
          </w:p>
        </w:tc>
        <w:tc>
          <w:tcPr>
            <w:tcW w:w="5" w:type="pct"/>
            <w:shd w:val="clear" w:color="auto" w:fill="auto"/>
            <w:vAlign w:val="bottom"/>
          </w:tcPr>
          <w:p w14:paraId="74DDC800" w14:textId="77777777" w:rsidR="00584EC1" w:rsidRDefault="00584EC1">
            <w:pPr>
              <w:rPr>
                <w:rFonts w:ascii="宋体"/>
              </w:rPr>
            </w:pPr>
          </w:p>
        </w:tc>
        <w:tc>
          <w:tcPr>
            <w:tcW w:w="0" w:type="auto"/>
            <w:shd w:val="clear" w:color="auto" w:fill="auto"/>
            <w:vAlign w:val="bottom"/>
          </w:tcPr>
          <w:p w14:paraId="74DDC801" w14:textId="77777777" w:rsidR="00584EC1" w:rsidRDefault="00584EC1">
            <w:pPr>
              <w:rPr>
                <w:rFonts w:ascii="宋体"/>
                <w:vanish/>
              </w:rPr>
            </w:pPr>
          </w:p>
        </w:tc>
        <w:tc>
          <w:tcPr>
            <w:tcW w:w="0" w:type="auto"/>
            <w:shd w:val="clear" w:color="auto" w:fill="auto"/>
            <w:vAlign w:val="bottom"/>
          </w:tcPr>
          <w:p w14:paraId="74DDC802" w14:textId="77777777" w:rsidR="00584EC1" w:rsidRDefault="00584EC1">
            <w:pPr>
              <w:rPr>
                <w:rFonts w:ascii="宋体"/>
                <w:vanish/>
              </w:rPr>
            </w:pPr>
          </w:p>
        </w:tc>
        <w:tc>
          <w:tcPr>
            <w:tcW w:w="5" w:type="pct"/>
            <w:shd w:val="clear" w:color="auto" w:fill="auto"/>
            <w:vAlign w:val="bottom"/>
          </w:tcPr>
          <w:p w14:paraId="74DDC803" w14:textId="77777777" w:rsidR="00584EC1" w:rsidRDefault="00584EC1">
            <w:pPr>
              <w:rPr>
                <w:rFonts w:ascii="宋体"/>
              </w:rPr>
            </w:pPr>
          </w:p>
        </w:tc>
        <w:tc>
          <w:tcPr>
            <w:tcW w:w="19" w:type="pct"/>
            <w:shd w:val="clear" w:color="auto" w:fill="auto"/>
            <w:vAlign w:val="bottom"/>
          </w:tcPr>
          <w:p w14:paraId="74DDC804" w14:textId="77777777" w:rsidR="00584EC1" w:rsidRDefault="00584EC1">
            <w:pPr>
              <w:rPr>
                <w:rFonts w:ascii="宋体"/>
              </w:rPr>
            </w:pPr>
          </w:p>
        </w:tc>
        <w:tc>
          <w:tcPr>
            <w:tcW w:w="5" w:type="pct"/>
            <w:shd w:val="clear" w:color="auto" w:fill="auto"/>
            <w:vAlign w:val="bottom"/>
          </w:tcPr>
          <w:p w14:paraId="74DDC805" w14:textId="77777777" w:rsidR="00584EC1" w:rsidRDefault="00584EC1">
            <w:pPr>
              <w:rPr>
                <w:rFonts w:ascii="宋体"/>
              </w:rPr>
            </w:pPr>
          </w:p>
        </w:tc>
        <w:tc>
          <w:tcPr>
            <w:tcW w:w="50" w:type="pct"/>
            <w:shd w:val="clear" w:color="auto" w:fill="auto"/>
            <w:vAlign w:val="bottom"/>
          </w:tcPr>
          <w:p w14:paraId="74DDC806" w14:textId="77777777" w:rsidR="00584EC1" w:rsidRDefault="00584EC1">
            <w:pPr>
              <w:rPr>
                <w:rFonts w:ascii="宋体"/>
              </w:rPr>
            </w:pPr>
          </w:p>
        </w:tc>
        <w:tc>
          <w:tcPr>
            <w:tcW w:w="200" w:type="pct"/>
            <w:shd w:val="clear" w:color="auto" w:fill="auto"/>
            <w:vAlign w:val="bottom"/>
          </w:tcPr>
          <w:p w14:paraId="74DDC807" w14:textId="77777777" w:rsidR="00584EC1" w:rsidRDefault="00584EC1">
            <w:pPr>
              <w:rPr>
                <w:rFonts w:ascii="宋体"/>
              </w:rPr>
            </w:pPr>
          </w:p>
        </w:tc>
        <w:tc>
          <w:tcPr>
            <w:tcW w:w="5" w:type="pct"/>
            <w:shd w:val="clear" w:color="auto" w:fill="auto"/>
            <w:vAlign w:val="bottom"/>
          </w:tcPr>
          <w:p w14:paraId="74DDC808" w14:textId="77777777" w:rsidR="00584EC1" w:rsidRDefault="00584EC1">
            <w:pPr>
              <w:rPr>
                <w:rFonts w:ascii="宋体"/>
              </w:rPr>
            </w:pPr>
          </w:p>
        </w:tc>
        <w:tc>
          <w:tcPr>
            <w:tcW w:w="5" w:type="pct"/>
            <w:shd w:val="clear" w:color="auto" w:fill="auto"/>
            <w:vAlign w:val="bottom"/>
          </w:tcPr>
          <w:p w14:paraId="74DDC809" w14:textId="77777777" w:rsidR="00584EC1" w:rsidRDefault="00584EC1">
            <w:pPr>
              <w:rPr>
                <w:rFonts w:ascii="宋体"/>
              </w:rPr>
            </w:pPr>
          </w:p>
        </w:tc>
        <w:tc>
          <w:tcPr>
            <w:tcW w:w="19" w:type="pct"/>
            <w:shd w:val="clear" w:color="auto" w:fill="auto"/>
            <w:vAlign w:val="bottom"/>
          </w:tcPr>
          <w:p w14:paraId="74DDC80A" w14:textId="77777777" w:rsidR="00584EC1" w:rsidRDefault="00584EC1">
            <w:pPr>
              <w:rPr>
                <w:rFonts w:ascii="宋体"/>
              </w:rPr>
            </w:pPr>
          </w:p>
        </w:tc>
        <w:tc>
          <w:tcPr>
            <w:tcW w:w="5" w:type="pct"/>
            <w:shd w:val="clear" w:color="auto" w:fill="auto"/>
            <w:vAlign w:val="bottom"/>
          </w:tcPr>
          <w:p w14:paraId="74DDC80B" w14:textId="77777777" w:rsidR="00584EC1" w:rsidRDefault="00584EC1">
            <w:pPr>
              <w:rPr>
                <w:rFonts w:ascii="宋体"/>
              </w:rPr>
            </w:pPr>
          </w:p>
        </w:tc>
        <w:tc>
          <w:tcPr>
            <w:tcW w:w="50" w:type="pct"/>
            <w:shd w:val="clear" w:color="auto" w:fill="auto"/>
            <w:vAlign w:val="bottom"/>
          </w:tcPr>
          <w:p w14:paraId="74DDC80C" w14:textId="77777777" w:rsidR="00584EC1" w:rsidRDefault="00584EC1">
            <w:pPr>
              <w:rPr>
                <w:rFonts w:ascii="宋体"/>
              </w:rPr>
            </w:pPr>
          </w:p>
        </w:tc>
        <w:tc>
          <w:tcPr>
            <w:tcW w:w="347" w:type="pct"/>
            <w:shd w:val="clear" w:color="auto" w:fill="auto"/>
            <w:vAlign w:val="bottom"/>
          </w:tcPr>
          <w:p w14:paraId="74DDC80D" w14:textId="77777777" w:rsidR="00584EC1" w:rsidRDefault="00584EC1">
            <w:pPr>
              <w:rPr>
                <w:rFonts w:ascii="宋体"/>
              </w:rPr>
            </w:pPr>
          </w:p>
        </w:tc>
        <w:tc>
          <w:tcPr>
            <w:tcW w:w="5" w:type="pct"/>
            <w:shd w:val="clear" w:color="auto" w:fill="auto"/>
            <w:vAlign w:val="bottom"/>
          </w:tcPr>
          <w:p w14:paraId="74DDC80E" w14:textId="77777777" w:rsidR="00584EC1" w:rsidRDefault="00584EC1">
            <w:pPr>
              <w:rPr>
                <w:rFonts w:ascii="宋体"/>
              </w:rPr>
            </w:pPr>
          </w:p>
        </w:tc>
        <w:tc>
          <w:tcPr>
            <w:tcW w:w="5" w:type="pct"/>
            <w:shd w:val="clear" w:color="auto" w:fill="auto"/>
            <w:vAlign w:val="bottom"/>
          </w:tcPr>
          <w:p w14:paraId="74DDC80F" w14:textId="77777777" w:rsidR="00584EC1" w:rsidRDefault="00584EC1">
            <w:pPr>
              <w:rPr>
                <w:rFonts w:ascii="宋体"/>
              </w:rPr>
            </w:pPr>
          </w:p>
        </w:tc>
        <w:tc>
          <w:tcPr>
            <w:tcW w:w="19" w:type="pct"/>
            <w:shd w:val="clear" w:color="auto" w:fill="auto"/>
            <w:vAlign w:val="bottom"/>
          </w:tcPr>
          <w:p w14:paraId="74DDC810" w14:textId="77777777" w:rsidR="00584EC1" w:rsidRDefault="00584EC1">
            <w:pPr>
              <w:rPr>
                <w:rFonts w:ascii="宋体"/>
              </w:rPr>
            </w:pPr>
          </w:p>
        </w:tc>
        <w:tc>
          <w:tcPr>
            <w:tcW w:w="5" w:type="pct"/>
            <w:shd w:val="clear" w:color="auto" w:fill="auto"/>
            <w:vAlign w:val="bottom"/>
          </w:tcPr>
          <w:p w14:paraId="74DDC811" w14:textId="77777777" w:rsidR="00584EC1" w:rsidRDefault="00584EC1">
            <w:pPr>
              <w:rPr>
                <w:rFonts w:ascii="宋体"/>
              </w:rPr>
            </w:pPr>
          </w:p>
        </w:tc>
        <w:tc>
          <w:tcPr>
            <w:tcW w:w="50" w:type="pct"/>
            <w:shd w:val="clear" w:color="auto" w:fill="auto"/>
            <w:vAlign w:val="bottom"/>
          </w:tcPr>
          <w:p w14:paraId="74DDC812" w14:textId="77777777" w:rsidR="00584EC1" w:rsidRDefault="00584EC1">
            <w:pPr>
              <w:rPr>
                <w:rFonts w:ascii="宋体"/>
              </w:rPr>
            </w:pPr>
          </w:p>
        </w:tc>
        <w:tc>
          <w:tcPr>
            <w:tcW w:w="273" w:type="pct"/>
            <w:shd w:val="clear" w:color="auto" w:fill="auto"/>
            <w:vAlign w:val="bottom"/>
          </w:tcPr>
          <w:p w14:paraId="74DDC813" w14:textId="77777777" w:rsidR="00584EC1" w:rsidRDefault="00584EC1">
            <w:pPr>
              <w:rPr>
                <w:rFonts w:ascii="宋体"/>
              </w:rPr>
            </w:pPr>
          </w:p>
        </w:tc>
        <w:tc>
          <w:tcPr>
            <w:tcW w:w="5" w:type="pct"/>
            <w:shd w:val="clear" w:color="auto" w:fill="auto"/>
            <w:vAlign w:val="bottom"/>
          </w:tcPr>
          <w:p w14:paraId="74DDC814" w14:textId="77777777" w:rsidR="00584EC1" w:rsidRDefault="00584EC1">
            <w:pPr>
              <w:rPr>
                <w:rFonts w:ascii="宋体"/>
              </w:rPr>
            </w:pPr>
          </w:p>
        </w:tc>
        <w:tc>
          <w:tcPr>
            <w:tcW w:w="5" w:type="pct"/>
            <w:shd w:val="clear" w:color="auto" w:fill="auto"/>
            <w:vAlign w:val="bottom"/>
          </w:tcPr>
          <w:p w14:paraId="74DDC815" w14:textId="77777777" w:rsidR="00584EC1" w:rsidRDefault="00584EC1">
            <w:pPr>
              <w:rPr>
                <w:rFonts w:ascii="宋体"/>
              </w:rPr>
            </w:pPr>
          </w:p>
        </w:tc>
        <w:tc>
          <w:tcPr>
            <w:tcW w:w="19" w:type="pct"/>
            <w:shd w:val="clear" w:color="auto" w:fill="auto"/>
            <w:vAlign w:val="bottom"/>
          </w:tcPr>
          <w:p w14:paraId="74DDC816" w14:textId="77777777" w:rsidR="00584EC1" w:rsidRDefault="00584EC1">
            <w:pPr>
              <w:rPr>
                <w:rFonts w:ascii="宋体"/>
              </w:rPr>
            </w:pPr>
          </w:p>
        </w:tc>
        <w:tc>
          <w:tcPr>
            <w:tcW w:w="5" w:type="pct"/>
            <w:shd w:val="clear" w:color="auto" w:fill="auto"/>
            <w:vAlign w:val="bottom"/>
          </w:tcPr>
          <w:p w14:paraId="74DDC817" w14:textId="77777777" w:rsidR="00584EC1" w:rsidRDefault="00584EC1">
            <w:pPr>
              <w:rPr>
                <w:rFonts w:ascii="宋体"/>
              </w:rPr>
            </w:pPr>
          </w:p>
        </w:tc>
        <w:tc>
          <w:tcPr>
            <w:tcW w:w="50" w:type="pct"/>
            <w:shd w:val="clear" w:color="auto" w:fill="auto"/>
            <w:vAlign w:val="bottom"/>
          </w:tcPr>
          <w:p w14:paraId="74DDC818" w14:textId="77777777" w:rsidR="00584EC1" w:rsidRDefault="00584EC1">
            <w:pPr>
              <w:rPr>
                <w:rFonts w:ascii="宋体"/>
              </w:rPr>
            </w:pPr>
          </w:p>
        </w:tc>
        <w:tc>
          <w:tcPr>
            <w:tcW w:w="273" w:type="pct"/>
            <w:shd w:val="clear" w:color="auto" w:fill="auto"/>
            <w:vAlign w:val="bottom"/>
          </w:tcPr>
          <w:p w14:paraId="74DDC819" w14:textId="77777777" w:rsidR="00584EC1" w:rsidRDefault="00584EC1">
            <w:pPr>
              <w:rPr>
                <w:rFonts w:ascii="宋体"/>
              </w:rPr>
            </w:pPr>
          </w:p>
        </w:tc>
        <w:tc>
          <w:tcPr>
            <w:tcW w:w="5" w:type="pct"/>
            <w:shd w:val="clear" w:color="auto" w:fill="auto"/>
            <w:vAlign w:val="bottom"/>
          </w:tcPr>
          <w:p w14:paraId="74DDC81A" w14:textId="77777777" w:rsidR="00584EC1" w:rsidRDefault="00584EC1">
            <w:pPr>
              <w:rPr>
                <w:rFonts w:ascii="宋体"/>
              </w:rPr>
            </w:pPr>
          </w:p>
        </w:tc>
        <w:tc>
          <w:tcPr>
            <w:tcW w:w="5" w:type="pct"/>
            <w:shd w:val="clear" w:color="auto" w:fill="auto"/>
            <w:vAlign w:val="bottom"/>
          </w:tcPr>
          <w:p w14:paraId="74DDC81B" w14:textId="77777777" w:rsidR="00584EC1" w:rsidRDefault="00584EC1">
            <w:pPr>
              <w:rPr>
                <w:rFonts w:ascii="宋体"/>
              </w:rPr>
            </w:pPr>
          </w:p>
        </w:tc>
        <w:tc>
          <w:tcPr>
            <w:tcW w:w="19" w:type="pct"/>
            <w:shd w:val="clear" w:color="auto" w:fill="auto"/>
            <w:vAlign w:val="bottom"/>
          </w:tcPr>
          <w:p w14:paraId="74DDC81C" w14:textId="77777777" w:rsidR="00584EC1" w:rsidRDefault="00584EC1">
            <w:pPr>
              <w:rPr>
                <w:rFonts w:ascii="宋体"/>
              </w:rPr>
            </w:pPr>
          </w:p>
        </w:tc>
        <w:tc>
          <w:tcPr>
            <w:tcW w:w="5" w:type="pct"/>
            <w:shd w:val="clear" w:color="auto" w:fill="auto"/>
            <w:vAlign w:val="bottom"/>
          </w:tcPr>
          <w:p w14:paraId="74DDC81D" w14:textId="77777777" w:rsidR="00584EC1" w:rsidRDefault="00584EC1">
            <w:pPr>
              <w:rPr>
                <w:rFonts w:ascii="宋体"/>
              </w:rPr>
            </w:pPr>
          </w:p>
        </w:tc>
        <w:tc>
          <w:tcPr>
            <w:tcW w:w="50" w:type="pct"/>
            <w:shd w:val="clear" w:color="auto" w:fill="auto"/>
            <w:vAlign w:val="bottom"/>
          </w:tcPr>
          <w:p w14:paraId="74DDC81E" w14:textId="77777777" w:rsidR="00584EC1" w:rsidRDefault="00584EC1">
            <w:pPr>
              <w:rPr>
                <w:rFonts w:ascii="宋体"/>
              </w:rPr>
            </w:pPr>
          </w:p>
        </w:tc>
        <w:tc>
          <w:tcPr>
            <w:tcW w:w="420" w:type="pct"/>
            <w:shd w:val="clear" w:color="auto" w:fill="auto"/>
            <w:vAlign w:val="bottom"/>
          </w:tcPr>
          <w:p w14:paraId="74DDC81F" w14:textId="77777777" w:rsidR="00584EC1" w:rsidRDefault="00584EC1">
            <w:pPr>
              <w:rPr>
                <w:rFonts w:ascii="宋体"/>
              </w:rPr>
            </w:pPr>
          </w:p>
        </w:tc>
        <w:tc>
          <w:tcPr>
            <w:tcW w:w="5" w:type="pct"/>
            <w:shd w:val="clear" w:color="auto" w:fill="auto"/>
            <w:vAlign w:val="bottom"/>
          </w:tcPr>
          <w:p w14:paraId="74DDC820" w14:textId="77777777" w:rsidR="00584EC1" w:rsidRDefault="00584EC1">
            <w:pPr>
              <w:rPr>
                <w:rFonts w:ascii="宋体"/>
              </w:rPr>
            </w:pPr>
          </w:p>
        </w:tc>
        <w:tc>
          <w:tcPr>
            <w:tcW w:w="5" w:type="pct"/>
            <w:shd w:val="clear" w:color="auto" w:fill="auto"/>
            <w:vAlign w:val="bottom"/>
          </w:tcPr>
          <w:p w14:paraId="74DDC821" w14:textId="77777777" w:rsidR="00584EC1" w:rsidRDefault="00584EC1">
            <w:pPr>
              <w:rPr>
                <w:rFonts w:ascii="宋体"/>
              </w:rPr>
            </w:pPr>
          </w:p>
        </w:tc>
        <w:tc>
          <w:tcPr>
            <w:tcW w:w="19" w:type="pct"/>
            <w:shd w:val="clear" w:color="auto" w:fill="auto"/>
            <w:vAlign w:val="bottom"/>
          </w:tcPr>
          <w:p w14:paraId="74DDC822" w14:textId="77777777" w:rsidR="00584EC1" w:rsidRDefault="00584EC1">
            <w:pPr>
              <w:rPr>
                <w:rFonts w:ascii="宋体"/>
              </w:rPr>
            </w:pPr>
          </w:p>
        </w:tc>
        <w:tc>
          <w:tcPr>
            <w:tcW w:w="5" w:type="pct"/>
            <w:shd w:val="clear" w:color="auto" w:fill="auto"/>
            <w:vAlign w:val="bottom"/>
          </w:tcPr>
          <w:p w14:paraId="74DDC823" w14:textId="77777777" w:rsidR="00584EC1" w:rsidRDefault="00584EC1">
            <w:pPr>
              <w:rPr>
                <w:rFonts w:ascii="宋体"/>
              </w:rPr>
            </w:pPr>
          </w:p>
        </w:tc>
      </w:tr>
      <w:tr w:rsidR="00584EC1" w14:paraId="74DDC82A" w14:textId="77777777">
        <w:tc>
          <w:tcPr>
            <w:tcW w:w="0" w:type="auto"/>
            <w:gridSpan w:val="3"/>
            <w:shd w:val="clear" w:color="auto" w:fill="auto"/>
            <w:tcMar>
              <w:top w:w="0" w:type="dxa"/>
              <w:left w:w="20" w:type="dxa"/>
              <w:bottom w:w="0" w:type="dxa"/>
              <w:right w:w="20" w:type="dxa"/>
            </w:tcMar>
            <w:vAlign w:val="bottom"/>
          </w:tcPr>
          <w:p w14:paraId="74DDC825" w14:textId="77777777" w:rsidR="00584EC1" w:rsidRDefault="00584EC1">
            <w:pPr>
              <w:rPr>
                <w:rFonts w:ascii="宋体"/>
              </w:rPr>
            </w:pPr>
          </w:p>
        </w:tc>
        <w:tc>
          <w:tcPr>
            <w:tcW w:w="0" w:type="auto"/>
            <w:gridSpan w:val="53"/>
            <w:shd w:val="clear" w:color="auto" w:fill="auto"/>
            <w:tcMar>
              <w:top w:w="40" w:type="dxa"/>
              <w:left w:w="20" w:type="dxa"/>
              <w:bottom w:w="40" w:type="dxa"/>
              <w:right w:w="20" w:type="dxa"/>
            </w:tcMar>
            <w:vAlign w:val="bottom"/>
          </w:tcPr>
          <w:p w14:paraId="74DDC826" w14:textId="77777777" w:rsidR="00584EC1" w:rsidRDefault="00871F8D">
            <w:pPr>
              <w:jc w:val="center"/>
              <w:textAlignment w:val="bottom"/>
            </w:pPr>
            <w:r>
              <w:rPr>
                <w:rFonts w:ascii="Arial" w:eastAsia="宋体" w:hAnsi="Arial" w:cs="Arial"/>
                <w:b/>
                <w:bCs/>
                <w:color w:val="000000"/>
                <w:sz w:val="12"/>
                <w:szCs w:val="12"/>
              </w:rPr>
              <w:t>Fair Value Measurements Using Significant Unobservable Inputs</w:t>
            </w:r>
          </w:p>
        </w:tc>
        <w:tc>
          <w:tcPr>
            <w:tcW w:w="0" w:type="auto"/>
            <w:shd w:val="clear" w:color="auto" w:fill="auto"/>
            <w:vAlign w:val="bottom"/>
          </w:tcPr>
          <w:p w14:paraId="74DDC827" w14:textId="77777777" w:rsidR="00584EC1" w:rsidRDefault="00584EC1">
            <w:pPr>
              <w:rPr>
                <w:rFonts w:ascii="宋体"/>
              </w:rPr>
            </w:pPr>
          </w:p>
        </w:tc>
        <w:tc>
          <w:tcPr>
            <w:tcW w:w="0" w:type="auto"/>
            <w:shd w:val="clear" w:color="auto" w:fill="auto"/>
            <w:vAlign w:val="bottom"/>
          </w:tcPr>
          <w:p w14:paraId="74DDC828" w14:textId="77777777" w:rsidR="00584EC1" w:rsidRDefault="00584EC1">
            <w:pPr>
              <w:rPr>
                <w:rFonts w:ascii="宋体"/>
              </w:rPr>
            </w:pPr>
          </w:p>
        </w:tc>
        <w:tc>
          <w:tcPr>
            <w:tcW w:w="0" w:type="auto"/>
            <w:shd w:val="clear" w:color="auto" w:fill="auto"/>
            <w:vAlign w:val="bottom"/>
          </w:tcPr>
          <w:p w14:paraId="74DDC829" w14:textId="77777777" w:rsidR="00584EC1" w:rsidRDefault="00584EC1">
            <w:pPr>
              <w:rPr>
                <w:rFonts w:ascii="宋体"/>
              </w:rPr>
            </w:pPr>
          </w:p>
        </w:tc>
      </w:tr>
      <w:tr w:rsidR="00584EC1" w14:paraId="74DDC830" w14:textId="77777777">
        <w:tc>
          <w:tcPr>
            <w:tcW w:w="0" w:type="auto"/>
            <w:gridSpan w:val="3"/>
            <w:shd w:val="clear" w:color="auto" w:fill="auto"/>
            <w:tcMar>
              <w:top w:w="40" w:type="dxa"/>
              <w:left w:w="20" w:type="dxa"/>
              <w:bottom w:w="40" w:type="dxa"/>
              <w:right w:w="20" w:type="dxa"/>
            </w:tcMar>
          </w:tcPr>
          <w:p w14:paraId="74DDC82B" w14:textId="77777777" w:rsidR="00584EC1" w:rsidRDefault="00871F8D">
            <w:pPr>
              <w:textAlignment w:val="top"/>
            </w:pPr>
            <w:r>
              <w:rPr>
                <w:rFonts w:ascii="Arial" w:eastAsia="宋体" w:hAnsi="Arial" w:cs="Arial"/>
                <w:color w:val="000000"/>
                <w:sz w:val="12"/>
                <w:szCs w:val="12"/>
              </w:rPr>
              <w:t> </w:t>
            </w:r>
          </w:p>
        </w:tc>
        <w:tc>
          <w:tcPr>
            <w:tcW w:w="0" w:type="auto"/>
            <w:gridSpan w:val="53"/>
            <w:shd w:val="clear" w:color="auto" w:fill="auto"/>
            <w:tcMar>
              <w:top w:w="40" w:type="dxa"/>
              <w:left w:w="20" w:type="dxa"/>
              <w:bottom w:w="40" w:type="dxa"/>
              <w:right w:w="20" w:type="dxa"/>
            </w:tcMar>
            <w:vAlign w:val="bottom"/>
          </w:tcPr>
          <w:p w14:paraId="74DDC82C" w14:textId="77777777" w:rsidR="00584EC1" w:rsidRDefault="00871F8D">
            <w:pPr>
              <w:jc w:val="center"/>
              <w:textAlignment w:val="bottom"/>
            </w:pPr>
            <w:r>
              <w:rPr>
                <w:rFonts w:ascii="Arial" w:eastAsia="宋体" w:hAnsi="Arial" w:cs="Arial"/>
                <w:b/>
                <w:bCs/>
                <w:color w:val="000000"/>
                <w:sz w:val="12"/>
                <w:szCs w:val="12"/>
              </w:rPr>
              <w:t>Nine Months Ended September 30, 2020</w:t>
            </w:r>
          </w:p>
        </w:tc>
        <w:tc>
          <w:tcPr>
            <w:tcW w:w="0" w:type="auto"/>
            <w:shd w:val="clear" w:color="auto" w:fill="auto"/>
            <w:vAlign w:val="bottom"/>
          </w:tcPr>
          <w:p w14:paraId="74DDC82D" w14:textId="77777777" w:rsidR="00584EC1" w:rsidRDefault="00584EC1">
            <w:pPr>
              <w:rPr>
                <w:rFonts w:ascii="宋体"/>
              </w:rPr>
            </w:pPr>
          </w:p>
        </w:tc>
        <w:tc>
          <w:tcPr>
            <w:tcW w:w="0" w:type="auto"/>
            <w:shd w:val="clear" w:color="auto" w:fill="auto"/>
            <w:vAlign w:val="bottom"/>
          </w:tcPr>
          <w:p w14:paraId="74DDC82E" w14:textId="77777777" w:rsidR="00584EC1" w:rsidRDefault="00584EC1">
            <w:pPr>
              <w:rPr>
                <w:rFonts w:ascii="宋体"/>
              </w:rPr>
            </w:pPr>
          </w:p>
        </w:tc>
        <w:tc>
          <w:tcPr>
            <w:tcW w:w="0" w:type="auto"/>
            <w:shd w:val="clear" w:color="auto" w:fill="auto"/>
            <w:vAlign w:val="bottom"/>
          </w:tcPr>
          <w:p w14:paraId="74DDC82F" w14:textId="77777777" w:rsidR="00584EC1" w:rsidRDefault="00584EC1">
            <w:pPr>
              <w:rPr>
                <w:rFonts w:ascii="宋体"/>
              </w:rPr>
            </w:pPr>
          </w:p>
        </w:tc>
      </w:tr>
      <w:tr w:rsidR="00584EC1" w14:paraId="74DDC847" w14:textId="77777777">
        <w:trPr>
          <w:trHeight w:val="480"/>
        </w:trPr>
        <w:tc>
          <w:tcPr>
            <w:tcW w:w="0" w:type="auto"/>
            <w:gridSpan w:val="3"/>
            <w:shd w:val="clear" w:color="auto" w:fill="auto"/>
            <w:tcMar>
              <w:top w:w="40" w:type="dxa"/>
              <w:left w:w="20" w:type="dxa"/>
              <w:bottom w:w="40" w:type="dxa"/>
              <w:right w:w="20" w:type="dxa"/>
            </w:tcMar>
          </w:tcPr>
          <w:p w14:paraId="74DDC831" w14:textId="77777777" w:rsidR="00584EC1" w:rsidRDefault="00871F8D">
            <w:pPr>
              <w:textAlignment w:val="top"/>
            </w:pPr>
            <w:r>
              <w:rPr>
                <w:rFonts w:ascii="Arial" w:eastAsia="宋体" w:hAnsi="Arial" w:cs="Arial"/>
                <w:color w:val="000000"/>
                <w:sz w:val="12"/>
                <w:szCs w:val="12"/>
              </w:rPr>
              <w:t> </w:t>
            </w: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4DDC832" w14:textId="77777777" w:rsidR="00584EC1" w:rsidRDefault="00871F8D">
            <w:pPr>
              <w:jc w:val="center"/>
              <w:textAlignment w:val="bottom"/>
            </w:pPr>
            <w:r>
              <w:rPr>
                <w:rFonts w:ascii="Arial" w:eastAsia="宋体" w:hAnsi="Arial" w:cs="Arial"/>
                <w:b/>
                <w:bCs/>
                <w:color w:val="000000"/>
                <w:sz w:val="12"/>
                <w:szCs w:val="12"/>
              </w:rPr>
              <w:t xml:space="preserve">Fair Value </w:t>
            </w:r>
            <w:r>
              <w:rPr>
                <w:rFonts w:ascii="Arial" w:eastAsia="宋体" w:hAnsi="Arial" w:cs="Arial"/>
                <w:b/>
                <w:bCs/>
                <w:color w:val="000000"/>
                <w:sz w:val="12"/>
                <w:szCs w:val="12"/>
              </w:rPr>
              <w:br/>
              <w:t xml:space="preserve">as of </w:t>
            </w:r>
            <w:r>
              <w:rPr>
                <w:rFonts w:ascii="Arial" w:eastAsia="宋体" w:hAnsi="Arial" w:cs="Arial"/>
                <w:b/>
                <w:bCs/>
                <w:color w:val="000000"/>
                <w:sz w:val="12"/>
                <w:szCs w:val="12"/>
              </w:rPr>
              <w:br/>
            </w:r>
            <w:r>
              <w:rPr>
                <w:rFonts w:ascii="Arial" w:eastAsia="宋体" w:hAnsi="Arial" w:cs="Arial"/>
                <w:b/>
                <w:bCs/>
                <w:color w:val="000000"/>
                <w:sz w:val="12"/>
                <w:szCs w:val="12"/>
              </w:rPr>
              <w:t xml:space="preserve">December 31, </w:t>
            </w:r>
            <w:r>
              <w:rPr>
                <w:rFonts w:ascii="Arial" w:eastAsia="宋体" w:hAnsi="Arial" w:cs="Arial"/>
                <w:b/>
                <w:bCs/>
                <w:color w:val="000000"/>
                <w:sz w:val="12"/>
                <w:szCs w:val="12"/>
              </w:rPr>
              <w:br/>
              <w:t>2019</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833" w14:textId="77777777" w:rsidR="00584EC1" w:rsidRDefault="00584E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4DDC834" w14:textId="77777777" w:rsidR="00584EC1" w:rsidRDefault="00871F8D">
            <w:pPr>
              <w:jc w:val="center"/>
              <w:textAlignment w:val="bottom"/>
            </w:pPr>
            <w:r>
              <w:rPr>
                <w:rFonts w:ascii="Arial" w:eastAsia="宋体" w:hAnsi="Arial" w:cs="Arial"/>
                <w:b/>
                <w:bCs/>
                <w:color w:val="000000"/>
                <w:sz w:val="12"/>
                <w:szCs w:val="12"/>
              </w:rPr>
              <w:t>Total Realized and</w:t>
            </w:r>
          </w:p>
          <w:p w14:paraId="74DDC835" w14:textId="77777777" w:rsidR="00584EC1" w:rsidRDefault="00871F8D">
            <w:pPr>
              <w:jc w:val="center"/>
              <w:textAlignment w:val="bottom"/>
            </w:pPr>
            <w:r>
              <w:rPr>
                <w:rFonts w:ascii="Arial" w:eastAsia="宋体" w:hAnsi="Arial" w:cs="Arial"/>
                <w:b/>
                <w:bCs/>
                <w:color w:val="000000"/>
                <w:sz w:val="12"/>
                <w:szCs w:val="12"/>
              </w:rPr>
              <w:t>Unrealized Gains (Losses)</w:t>
            </w:r>
            <w:r>
              <w:rPr>
                <w:rFonts w:ascii="Arial" w:eastAsia="宋体" w:hAnsi="Arial" w:cs="Arial"/>
                <w:b/>
                <w:bCs/>
                <w:color w:val="000000"/>
                <w:sz w:val="7"/>
                <w:szCs w:val="7"/>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836" w14:textId="77777777" w:rsidR="00584EC1" w:rsidRDefault="00584EC1">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4DDC837" w14:textId="77777777" w:rsidR="00584EC1" w:rsidRDefault="00871F8D">
            <w:pPr>
              <w:jc w:val="center"/>
              <w:textAlignment w:val="bottom"/>
            </w:pPr>
            <w:r>
              <w:rPr>
                <w:rFonts w:ascii="Arial" w:eastAsia="宋体" w:hAnsi="Arial" w:cs="Arial"/>
                <w:b/>
                <w:bCs/>
                <w:color w:val="000000"/>
                <w:sz w:val="12"/>
                <w:szCs w:val="12"/>
              </w:rPr>
              <w:t>Purchases</w:t>
            </w:r>
          </w:p>
        </w:tc>
        <w:tc>
          <w:tcPr>
            <w:tcW w:w="0" w:type="auto"/>
            <w:shd w:val="clear" w:color="auto" w:fill="auto"/>
            <w:vAlign w:val="bottom"/>
          </w:tcPr>
          <w:p w14:paraId="74DDC838" w14:textId="77777777" w:rsidR="00584EC1" w:rsidRDefault="00584EC1">
            <w:pPr>
              <w:rPr>
                <w:rFonts w:ascii="宋体"/>
                <w:vanish/>
              </w:rPr>
            </w:pPr>
          </w:p>
        </w:tc>
        <w:tc>
          <w:tcPr>
            <w:tcW w:w="0" w:type="auto"/>
            <w:shd w:val="clear" w:color="auto" w:fill="auto"/>
            <w:vAlign w:val="bottom"/>
          </w:tcPr>
          <w:p w14:paraId="74DDC839" w14:textId="77777777" w:rsidR="00584EC1" w:rsidRDefault="00584EC1">
            <w:pPr>
              <w:rPr>
                <w:rFonts w:ascii="宋体"/>
                <w:vanish/>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83A" w14:textId="77777777" w:rsidR="00584EC1" w:rsidRDefault="00584EC1">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4DDC83B" w14:textId="77777777" w:rsidR="00584EC1" w:rsidRDefault="00871F8D">
            <w:pPr>
              <w:jc w:val="center"/>
              <w:textAlignment w:val="bottom"/>
            </w:pPr>
            <w:r>
              <w:rPr>
                <w:rFonts w:ascii="Arial" w:eastAsia="宋体" w:hAnsi="Arial" w:cs="Arial"/>
                <w:b/>
                <w:bCs/>
                <w:color w:val="000000"/>
                <w:sz w:val="12"/>
                <w:szCs w:val="12"/>
              </w:rPr>
              <w:t>Sales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83C" w14:textId="77777777" w:rsidR="00584EC1" w:rsidRDefault="00584EC1">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4DDC83D" w14:textId="77777777" w:rsidR="00584EC1" w:rsidRDefault="00871F8D">
            <w:pPr>
              <w:jc w:val="center"/>
              <w:textAlignment w:val="bottom"/>
            </w:pPr>
            <w:r>
              <w:rPr>
                <w:rFonts w:ascii="Arial" w:eastAsia="宋体" w:hAnsi="Arial" w:cs="Arial"/>
                <w:b/>
                <w:bCs/>
                <w:color w:val="000000"/>
                <w:sz w:val="12"/>
                <w:szCs w:val="12"/>
              </w:rPr>
              <w:t>Settlements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83E" w14:textId="77777777" w:rsidR="00584EC1" w:rsidRDefault="00584EC1">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4DDC83F" w14:textId="77777777" w:rsidR="00584EC1" w:rsidRDefault="00871F8D">
            <w:pPr>
              <w:jc w:val="center"/>
              <w:textAlignment w:val="bottom"/>
            </w:pPr>
            <w:r>
              <w:rPr>
                <w:rFonts w:ascii="Arial" w:eastAsia="宋体" w:hAnsi="Arial" w:cs="Arial"/>
                <w:b/>
                <w:bCs/>
                <w:color w:val="000000"/>
                <w:sz w:val="12"/>
                <w:szCs w:val="12"/>
              </w:rPr>
              <w:t>Transfers</w:t>
            </w:r>
            <w:r>
              <w:rPr>
                <w:rFonts w:ascii="Arial" w:eastAsia="宋体" w:hAnsi="Arial" w:cs="Arial"/>
                <w:b/>
                <w:bCs/>
                <w:color w:val="000000"/>
                <w:sz w:val="12"/>
                <w:szCs w:val="12"/>
              </w:rPr>
              <w:br/>
              <w:t>into</w:t>
            </w:r>
            <w:r>
              <w:rPr>
                <w:rFonts w:ascii="Arial" w:eastAsia="宋体" w:hAnsi="Arial" w:cs="Arial"/>
                <w:b/>
                <w:bCs/>
                <w:color w:val="000000"/>
                <w:sz w:val="12"/>
                <w:szCs w:val="12"/>
              </w:rPr>
              <w:br/>
              <w:t>Level 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840" w14:textId="77777777" w:rsidR="00584EC1" w:rsidRDefault="00584EC1">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4DDC841" w14:textId="77777777" w:rsidR="00584EC1" w:rsidRDefault="00871F8D">
            <w:pPr>
              <w:jc w:val="center"/>
              <w:textAlignment w:val="bottom"/>
            </w:pPr>
            <w:r>
              <w:rPr>
                <w:rFonts w:ascii="Arial" w:eastAsia="宋体" w:hAnsi="Arial" w:cs="Arial"/>
                <w:b/>
                <w:bCs/>
                <w:color w:val="000000"/>
                <w:sz w:val="12"/>
                <w:szCs w:val="12"/>
              </w:rPr>
              <w:t>Transfers</w:t>
            </w:r>
            <w:r>
              <w:rPr>
                <w:rFonts w:ascii="Arial" w:eastAsia="宋体" w:hAnsi="Arial" w:cs="Arial"/>
                <w:b/>
                <w:bCs/>
                <w:color w:val="000000"/>
                <w:sz w:val="12"/>
                <w:szCs w:val="12"/>
              </w:rPr>
              <w:br/>
              <w:t>out of</w:t>
            </w:r>
            <w:r>
              <w:rPr>
                <w:rFonts w:ascii="Arial" w:eastAsia="宋体" w:hAnsi="Arial" w:cs="Arial"/>
                <w:b/>
                <w:bCs/>
                <w:color w:val="000000"/>
                <w:sz w:val="12"/>
                <w:szCs w:val="12"/>
              </w:rPr>
              <w:br/>
              <w:t>Level 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842" w14:textId="77777777" w:rsidR="00584EC1" w:rsidRDefault="00584EC1">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4DDC843" w14:textId="77777777" w:rsidR="00584EC1" w:rsidRDefault="00871F8D">
            <w:pPr>
              <w:jc w:val="center"/>
              <w:textAlignment w:val="bottom"/>
            </w:pPr>
            <w:r>
              <w:rPr>
                <w:rFonts w:ascii="Arial" w:eastAsia="宋体" w:hAnsi="Arial" w:cs="Arial"/>
                <w:b/>
                <w:bCs/>
                <w:color w:val="000000"/>
                <w:sz w:val="12"/>
                <w:szCs w:val="12"/>
              </w:rPr>
              <w:t>Fair Value </w:t>
            </w:r>
          </w:p>
          <w:p w14:paraId="74DDC844" w14:textId="77777777" w:rsidR="00584EC1" w:rsidRDefault="00871F8D">
            <w:pPr>
              <w:jc w:val="center"/>
              <w:textAlignment w:val="bottom"/>
            </w:pPr>
            <w:r>
              <w:rPr>
                <w:rFonts w:ascii="Arial" w:eastAsia="宋体" w:hAnsi="Arial" w:cs="Arial"/>
                <w:b/>
                <w:bCs/>
                <w:color w:val="000000"/>
                <w:sz w:val="12"/>
                <w:szCs w:val="12"/>
              </w:rPr>
              <w:t>as of September 30, 2020</w:t>
            </w:r>
            <w:r>
              <w:rPr>
                <w:rFonts w:ascii="Arial" w:eastAsia="宋体" w:hAnsi="Arial" w:cs="Arial"/>
                <w:b/>
                <w:bCs/>
                <w:color w:val="000000"/>
                <w:sz w:val="7"/>
                <w:szCs w:val="7"/>
              </w:rPr>
              <w:t>(1)</w:t>
            </w:r>
          </w:p>
        </w:tc>
        <w:tc>
          <w:tcPr>
            <w:tcW w:w="0" w:type="auto"/>
            <w:gridSpan w:val="2"/>
            <w:tcBorders>
              <w:top w:val="single" w:sz="8" w:space="0" w:color="000000"/>
            </w:tcBorders>
            <w:shd w:val="clear" w:color="auto" w:fill="auto"/>
            <w:tcMar>
              <w:top w:w="0" w:type="dxa"/>
              <w:left w:w="20" w:type="dxa"/>
              <w:bottom w:w="0" w:type="dxa"/>
              <w:right w:w="20" w:type="dxa"/>
            </w:tcMar>
            <w:vAlign w:val="bottom"/>
          </w:tcPr>
          <w:p w14:paraId="74DDC845" w14:textId="77777777" w:rsidR="00584EC1" w:rsidRDefault="00584EC1">
            <w:pPr>
              <w:rPr>
                <w:rFonts w:ascii="宋体"/>
              </w:rPr>
            </w:pPr>
          </w:p>
        </w:tc>
        <w:tc>
          <w:tcPr>
            <w:tcW w:w="0" w:type="auto"/>
            <w:vMerge w:val="restart"/>
            <w:tcBorders>
              <w:top w:val="single" w:sz="8" w:space="0" w:color="000000"/>
            </w:tcBorders>
            <w:shd w:val="clear" w:color="auto" w:fill="auto"/>
            <w:tcMar>
              <w:top w:w="40" w:type="dxa"/>
              <w:left w:w="20" w:type="dxa"/>
              <w:bottom w:w="40" w:type="dxa"/>
              <w:right w:w="20" w:type="dxa"/>
            </w:tcMar>
            <w:vAlign w:val="bottom"/>
          </w:tcPr>
          <w:p w14:paraId="74DDC846" w14:textId="77777777" w:rsidR="00584EC1" w:rsidRDefault="00871F8D">
            <w:pPr>
              <w:jc w:val="center"/>
              <w:textAlignment w:val="bottom"/>
            </w:pPr>
            <w:r>
              <w:rPr>
                <w:rFonts w:ascii="Arial" w:eastAsia="宋体" w:hAnsi="Arial" w:cs="Arial"/>
                <w:b/>
                <w:bCs/>
                <w:color w:val="000000"/>
                <w:sz w:val="12"/>
                <w:szCs w:val="12"/>
              </w:rPr>
              <w:t xml:space="preserve">Change in Unrealized Gains (Losses) Related to Financial Instruments </w:t>
            </w:r>
            <w:r>
              <w:rPr>
                <w:rFonts w:ascii="Arial" w:eastAsia="宋体" w:hAnsi="Arial" w:cs="Arial"/>
                <w:b/>
                <w:bCs/>
                <w:color w:val="000000"/>
                <w:sz w:val="12"/>
                <w:szCs w:val="12"/>
              </w:rPr>
              <w:br/>
              <w:t xml:space="preserve">Held as of </w:t>
            </w:r>
            <w:r>
              <w:rPr>
                <w:rFonts w:ascii="Arial" w:eastAsia="宋体" w:hAnsi="Arial" w:cs="Arial"/>
                <w:b/>
                <w:bCs/>
                <w:color w:val="000000"/>
                <w:sz w:val="12"/>
                <w:szCs w:val="12"/>
              </w:rPr>
              <w:br/>
              <w:t>September 30, 2020</w:t>
            </w:r>
          </w:p>
        </w:tc>
      </w:tr>
      <w:tr w:rsidR="00584EC1" w14:paraId="74DDC85D" w14:textId="77777777">
        <w:trPr>
          <w:trHeight w:val="780"/>
        </w:trPr>
        <w:tc>
          <w:tcPr>
            <w:tcW w:w="0" w:type="auto"/>
            <w:gridSpan w:val="3"/>
            <w:shd w:val="clear" w:color="auto" w:fill="auto"/>
            <w:tcMar>
              <w:top w:w="40" w:type="dxa"/>
              <w:left w:w="20" w:type="dxa"/>
              <w:bottom w:w="40" w:type="dxa"/>
              <w:right w:w="20" w:type="dxa"/>
            </w:tcMar>
            <w:vAlign w:val="bottom"/>
          </w:tcPr>
          <w:p w14:paraId="74DDC848" w14:textId="77777777" w:rsidR="00584EC1" w:rsidRDefault="00871F8D">
            <w:pPr>
              <w:textAlignment w:val="bottom"/>
            </w:pPr>
            <w:r>
              <w:rPr>
                <w:rFonts w:ascii="Arial" w:eastAsia="宋体" w:hAnsi="Arial" w:cs="Arial"/>
                <w:b/>
                <w:bCs/>
                <w:color w:val="000000"/>
                <w:sz w:val="12"/>
                <w:szCs w:val="12"/>
              </w:rPr>
              <w:t>(In millions)</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4DDC849" w14:textId="77777777" w:rsidR="00584EC1" w:rsidRDefault="00584EC1">
            <w:pPr>
              <w:jc w:val="center"/>
              <w:rPr>
                <w:rFonts w:ascii="宋体"/>
              </w:rPr>
            </w:pPr>
          </w:p>
        </w:tc>
        <w:tc>
          <w:tcPr>
            <w:tcW w:w="0" w:type="auto"/>
            <w:gridSpan w:val="3"/>
            <w:shd w:val="clear" w:color="auto" w:fill="auto"/>
            <w:tcMar>
              <w:top w:w="0" w:type="dxa"/>
              <w:left w:w="20" w:type="dxa"/>
              <w:bottom w:w="0" w:type="dxa"/>
              <w:right w:w="20" w:type="dxa"/>
            </w:tcMar>
            <w:vAlign w:val="bottom"/>
          </w:tcPr>
          <w:p w14:paraId="74DDC84A"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C84B" w14:textId="77777777" w:rsidR="00584EC1" w:rsidRDefault="00871F8D">
            <w:pPr>
              <w:jc w:val="center"/>
              <w:textAlignment w:val="bottom"/>
            </w:pPr>
            <w:r>
              <w:rPr>
                <w:rFonts w:ascii="Arial" w:eastAsia="宋体" w:hAnsi="Arial" w:cs="Arial"/>
                <w:b/>
                <w:bCs/>
                <w:color w:val="000000"/>
                <w:sz w:val="12"/>
                <w:szCs w:val="12"/>
              </w:rPr>
              <w:t>Recorded</w:t>
            </w:r>
            <w:r>
              <w:rPr>
                <w:rFonts w:ascii="Arial" w:eastAsia="宋体" w:hAnsi="Arial" w:cs="Arial"/>
                <w:b/>
                <w:bCs/>
                <w:color w:val="000000"/>
                <w:sz w:val="12"/>
                <w:szCs w:val="12"/>
              </w:rPr>
              <w:br/>
              <w:t>in</w:t>
            </w:r>
            <w:r>
              <w:rPr>
                <w:rFonts w:ascii="Arial" w:eastAsia="宋体" w:hAnsi="Arial" w:cs="Arial"/>
                <w:b/>
                <w:bCs/>
                <w:color w:val="000000"/>
                <w:sz w:val="12"/>
                <w:szCs w:val="12"/>
              </w:rPr>
              <w:br/>
              <w:t>Revenue</w:t>
            </w:r>
            <w:r>
              <w:rPr>
                <w:rFonts w:ascii="Arial" w:eastAsia="宋体" w:hAnsi="Arial" w:cs="Arial"/>
                <w:b/>
                <w:bCs/>
                <w:color w:val="000000"/>
                <w:sz w:val="7"/>
                <w:szCs w:val="7"/>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84C"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C84D" w14:textId="77777777" w:rsidR="00584EC1" w:rsidRDefault="00871F8D">
            <w:pPr>
              <w:jc w:val="center"/>
              <w:textAlignment w:val="bottom"/>
            </w:pPr>
            <w:r>
              <w:rPr>
                <w:rFonts w:ascii="Arial" w:eastAsia="宋体" w:hAnsi="Arial" w:cs="Arial"/>
                <w:b/>
                <w:bCs/>
                <w:color w:val="000000"/>
                <w:sz w:val="12"/>
                <w:szCs w:val="12"/>
              </w:rPr>
              <w:t>Recorded</w:t>
            </w:r>
            <w:r>
              <w:rPr>
                <w:rFonts w:ascii="Arial" w:eastAsia="宋体" w:hAnsi="Arial" w:cs="Arial"/>
                <w:b/>
                <w:bCs/>
                <w:color w:val="000000"/>
                <w:sz w:val="12"/>
                <w:szCs w:val="12"/>
              </w:rPr>
              <w:br/>
              <w:t>in Other</w:t>
            </w:r>
            <w:r>
              <w:rPr>
                <w:rFonts w:ascii="Arial" w:eastAsia="宋体" w:hAnsi="Arial" w:cs="Arial"/>
                <w:b/>
                <w:bCs/>
                <w:color w:val="000000"/>
                <w:sz w:val="12"/>
                <w:szCs w:val="12"/>
              </w:rPr>
              <w:br/>
              <w:t>Comprehensive</w:t>
            </w:r>
            <w:r>
              <w:rPr>
                <w:rFonts w:ascii="Arial" w:eastAsia="宋体" w:hAnsi="Arial" w:cs="Arial"/>
                <w:b/>
                <w:bCs/>
                <w:color w:val="000000"/>
                <w:sz w:val="12"/>
                <w:szCs w:val="12"/>
              </w:rPr>
              <w:br/>
              <w:t>Income</w:t>
            </w:r>
            <w:r>
              <w:rPr>
                <w:rFonts w:ascii="Arial" w:eastAsia="宋体" w:hAnsi="Arial" w:cs="Arial"/>
                <w:b/>
                <w:bCs/>
                <w:color w:val="000000"/>
                <w:sz w:val="7"/>
                <w:szCs w:val="7"/>
              </w:rPr>
              <w:t>(1)</w:t>
            </w:r>
          </w:p>
        </w:tc>
        <w:tc>
          <w:tcPr>
            <w:tcW w:w="0" w:type="auto"/>
            <w:gridSpan w:val="3"/>
            <w:shd w:val="clear" w:color="auto" w:fill="auto"/>
            <w:tcMar>
              <w:top w:w="0" w:type="dxa"/>
              <w:left w:w="20" w:type="dxa"/>
              <w:bottom w:w="0" w:type="dxa"/>
              <w:right w:w="20" w:type="dxa"/>
            </w:tcMar>
            <w:vAlign w:val="bottom"/>
          </w:tcPr>
          <w:p w14:paraId="74DDC84E" w14:textId="77777777" w:rsidR="00584EC1" w:rsidRDefault="00584EC1">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4DDC84F" w14:textId="77777777" w:rsidR="00584EC1" w:rsidRDefault="00584EC1">
            <w:pPr>
              <w:jc w:val="center"/>
              <w:rPr>
                <w:rFonts w:ascii="宋体"/>
              </w:rPr>
            </w:pPr>
          </w:p>
        </w:tc>
        <w:tc>
          <w:tcPr>
            <w:tcW w:w="0" w:type="auto"/>
            <w:shd w:val="clear" w:color="auto" w:fill="auto"/>
            <w:vAlign w:val="bottom"/>
          </w:tcPr>
          <w:p w14:paraId="74DDC850" w14:textId="77777777" w:rsidR="00584EC1" w:rsidRDefault="00584EC1">
            <w:pPr>
              <w:rPr>
                <w:rFonts w:ascii="宋体"/>
                <w:vanish/>
              </w:rPr>
            </w:pPr>
          </w:p>
        </w:tc>
        <w:tc>
          <w:tcPr>
            <w:tcW w:w="0" w:type="auto"/>
            <w:shd w:val="clear" w:color="auto" w:fill="auto"/>
            <w:vAlign w:val="bottom"/>
          </w:tcPr>
          <w:p w14:paraId="74DDC851" w14:textId="77777777" w:rsidR="00584EC1" w:rsidRDefault="00584EC1">
            <w:pPr>
              <w:rPr>
                <w:rFonts w:ascii="宋体"/>
                <w:vanish/>
              </w:rPr>
            </w:pPr>
          </w:p>
        </w:tc>
        <w:tc>
          <w:tcPr>
            <w:tcW w:w="0" w:type="auto"/>
            <w:gridSpan w:val="3"/>
            <w:shd w:val="clear" w:color="auto" w:fill="auto"/>
            <w:tcMar>
              <w:top w:w="0" w:type="dxa"/>
              <w:left w:w="20" w:type="dxa"/>
              <w:bottom w:w="0" w:type="dxa"/>
              <w:right w:w="20" w:type="dxa"/>
            </w:tcMar>
            <w:vAlign w:val="bottom"/>
          </w:tcPr>
          <w:p w14:paraId="74DDC852" w14:textId="77777777" w:rsidR="00584EC1" w:rsidRDefault="00584EC1">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4DDC853" w14:textId="77777777" w:rsidR="00584EC1" w:rsidRDefault="00584EC1">
            <w:pPr>
              <w:jc w:val="center"/>
              <w:rPr>
                <w:rFonts w:ascii="宋体"/>
              </w:rPr>
            </w:pPr>
          </w:p>
        </w:tc>
        <w:tc>
          <w:tcPr>
            <w:tcW w:w="0" w:type="auto"/>
            <w:gridSpan w:val="3"/>
            <w:shd w:val="clear" w:color="auto" w:fill="auto"/>
            <w:tcMar>
              <w:top w:w="0" w:type="dxa"/>
              <w:left w:w="20" w:type="dxa"/>
              <w:bottom w:w="0" w:type="dxa"/>
              <w:right w:w="20" w:type="dxa"/>
            </w:tcMar>
            <w:vAlign w:val="bottom"/>
          </w:tcPr>
          <w:p w14:paraId="74DDC854" w14:textId="77777777" w:rsidR="00584EC1" w:rsidRDefault="00584EC1">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4DDC855" w14:textId="77777777" w:rsidR="00584EC1" w:rsidRDefault="00584EC1">
            <w:pPr>
              <w:jc w:val="center"/>
              <w:rPr>
                <w:rFonts w:ascii="宋体"/>
              </w:rPr>
            </w:pPr>
          </w:p>
        </w:tc>
        <w:tc>
          <w:tcPr>
            <w:tcW w:w="0" w:type="auto"/>
            <w:gridSpan w:val="3"/>
            <w:shd w:val="clear" w:color="auto" w:fill="auto"/>
            <w:tcMar>
              <w:top w:w="0" w:type="dxa"/>
              <w:left w:w="20" w:type="dxa"/>
              <w:bottom w:w="0" w:type="dxa"/>
              <w:right w:w="20" w:type="dxa"/>
            </w:tcMar>
            <w:vAlign w:val="bottom"/>
          </w:tcPr>
          <w:p w14:paraId="74DDC856" w14:textId="77777777" w:rsidR="00584EC1" w:rsidRDefault="00584EC1">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4DDC857" w14:textId="77777777" w:rsidR="00584EC1" w:rsidRDefault="00584EC1">
            <w:pPr>
              <w:jc w:val="center"/>
              <w:rPr>
                <w:rFonts w:ascii="宋体"/>
              </w:rPr>
            </w:pPr>
          </w:p>
        </w:tc>
        <w:tc>
          <w:tcPr>
            <w:tcW w:w="0" w:type="auto"/>
            <w:gridSpan w:val="3"/>
            <w:shd w:val="clear" w:color="auto" w:fill="auto"/>
            <w:tcMar>
              <w:top w:w="0" w:type="dxa"/>
              <w:left w:w="20" w:type="dxa"/>
              <w:bottom w:w="0" w:type="dxa"/>
              <w:right w:w="20" w:type="dxa"/>
            </w:tcMar>
            <w:vAlign w:val="bottom"/>
          </w:tcPr>
          <w:p w14:paraId="74DDC858" w14:textId="77777777" w:rsidR="00584EC1" w:rsidRDefault="00584EC1">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4DDC859" w14:textId="77777777" w:rsidR="00584EC1" w:rsidRDefault="00584EC1">
            <w:pPr>
              <w:jc w:val="center"/>
              <w:rPr>
                <w:rFonts w:ascii="宋体"/>
              </w:rPr>
            </w:pPr>
          </w:p>
        </w:tc>
        <w:tc>
          <w:tcPr>
            <w:tcW w:w="0" w:type="auto"/>
            <w:gridSpan w:val="3"/>
            <w:shd w:val="clear" w:color="auto" w:fill="auto"/>
            <w:tcMar>
              <w:top w:w="0" w:type="dxa"/>
              <w:left w:w="20" w:type="dxa"/>
              <w:bottom w:w="0" w:type="dxa"/>
              <w:right w:w="20" w:type="dxa"/>
            </w:tcMar>
            <w:vAlign w:val="bottom"/>
          </w:tcPr>
          <w:p w14:paraId="74DDC85A" w14:textId="77777777" w:rsidR="00584EC1" w:rsidRDefault="00584EC1">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4DDC85B"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85C" w14:textId="77777777" w:rsidR="00584EC1" w:rsidRDefault="00584EC1">
            <w:pPr>
              <w:rPr>
                <w:rFonts w:ascii="宋体"/>
              </w:rPr>
            </w:pPr>
          </w:p>
        </w:tc>
      </w:tr>
      <w:tr w:rsidR="00584EC1" w14:paraId="74DDC874" w14:textId="77777777">
        <w:tc>
          <w:tcPr>
            <w:tcW w:w="0" w:type="auto"/>
            <w:gridSpan w:val="3"/>
            <w:shd w:val="clear" w:color="auto" w:fill="auto"/>
            <w:tcMar>
              <w:top w:w="40" w:type="dxa"/>
              <w:left w:w="20" w:type="dxa"/>
              <w:bottom w:w="40" w:type="dxa"/>
              <w:right w:w="20" w:type="dxa"/>
            </w:tcMar>
            <w:vAlign w:val="center"/>
          </w:tcPr>
          <w:p w14:paraId="74DDC85E" w14:textId="77777777" w:rsidR="00584EC1" w:rsidRDefault="00871F8D">
            <w:pPr>
              <w:textAlignment w:val="center"/>
            </w:pPr>
            <w:r>
              <w:rPr>
                <w:rFonts w:ascii="Arial" w:eastAsia="宋体" w:hAnsi="Arial" w:cs="Arial"/>
                <w:b/>
                <w:bCs/>
                <w:color w:val="000000"/>
                <w:sz w:val="12"/>
                <w:szCs w:val="12"/>
              </w:rPr>
              <w:t>Assets: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85F"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860"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86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862"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863"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864"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865" w14:textId="77777777" w:rsidR="00584EC1" w:rsidRDefault="00584EC1">
            <w:pPr>
              <w:rPr>
                <w:rFonts w:ascii="宋体"/>
              </w:rPr>
            </w:pPr>
          </w:p>
        </w:tc>
        <w:tc>
          <w:tcPr>
            <w:tcW w:w="0" w:type="auto"/>
            <w:shd w:val="clear" w:color="auto" w:fill="auto"/>
            <w:vAlign w:val="bottom"/>
          </w:tcPr>
          <w:p w14:paraId="74DDC866" w14:textId="77777777" w:rsidR="00584EC1" w:rsidRDefault="00584EC1">
            <w:pPr>
              <w:rPr>
                <w:rFonts w:ascii="宋体"/>
                <w:vanish/>
              </w:rPr>
            </w:pPr>
          </w:p>
        </w:tc>
        <w:tc>
          <w:tcPr>
            <w:tcW w:w="0" w:type="auto"/>
            <w:shd w:val="clear" w:color="auto" w:fill="auto"/>
            <w:vAlign w:val="bottom"/>
          </w:tcPr>
          <w:p w14:paraId="74DDC867" w14:textId="77777777" w:rsidR="00584EC1" w:rsidRDefault="00584EC1">
            <w:pPr>
              <w:rPr>
                <w:rFonts w:ascii="宋体"/>
                <w:vanish/>
              </w:rPr>
            </w:pPr>
          </w:p>
        </w:tc>
        <w:tc>
          <w:tcPr>
            <w:tcW w:w="0" w:type="auto"/>
            <w:gridSpan w:val="3"/>
            <w:shd w:val="clear" w:color="auto" w:fill="auto"/>
            <w:tcMar>
              <w:top w:w="0" w:type="dxa"/>
              <w:left w:w="20" w:type="dxa"/>
              <w:bottom w:w="0" w:type="dxa"/>
              <w:right w:w="20" w:type="dxa"/>
            </w:tcMar>
            <w:vAlign w:val="bottom"/>
          </w:tcPr>
          <w:p w14:paraId="74DDC868"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869"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86A"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86B"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86C"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86D"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86E"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86F"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870"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871" w14:textId="77777777" w:rsidR="00584EC1" w:rsidRDefault="00584EC1">
            <w:pPr>
              <w:rPr>
                <w:rFonts w:ascii="宋体"/>
              </w:rPr>
            </w:pPr>
          </w:p>
        </w:tc>
        <w:tc>
          <w:tcPr>
            <w:tcW w:w="0" w:type="auto"/>
            <w:gridSpan w:val="2"/>
            <w:shd w:val="clear" w:color="auto" w:fill="auto"/>
            <w:tcMar>
              <w:top w:w="0" w:type="dxa"/>
              <w:left w:w="20" w:type="dxa"/>
              <w:bottom w:w="0" w:type="dxa"/>
              <w:right w:w="20" w:type="dxa"/>
            </w:tcMar>
            <w:vAlign w:val="bottom"/>
          </w:tcPr>
          <w:p w14:paraId="74DDC872" w14:textId="77777777" w:rsidR="00584EC1" w:rsidRDefault="00584EC1">
            <w:pPr>
              <w:rPr>
                <w:rFonts w:ascii="宋体"/>
              </w:rPr>
            </w:pPr>
          </w:p>
        </w:tc>
        <w:tc>
          <w:tcPr>
            <w:tcW w:w="0" w:type="auto"/>
            <w:tcBorders>
              <w:top w:val="single" w:sz="8" w:space="0" w:color="000000"/>
            </w:tcBorders>
            <w:shd w:val="clear" w:color="auto" w:fill="auto"/>
            <w:tcMar>
              <w:top w:w="0" w:type="dxa"/>
              <w:left w:w="20" w:type="dxa"/>
              <w:bottom w:w="0" w:type="dxa"/>
              <w:right w:w="20" w:type="dxa"/>
            </w:tcMar>
            <w:vAlign w:val="bottom"/>
          </w:tcPr>
          <w:p w14:paraId="74DDC873" w14:textId="77777777" w:rsidR="00584EC1" w:rsidRDefault="00584EC1">
            <w:pPr>
              <w:rPr>
                <w:rFonts w:ascii="宋体"/>
              </w:rPr>
            </w:pPr>
          </w:p>
        </w:tc>
      </w:tr>
      <w:tr w:rsidR="00584EC1" w14:paraId="74DDC88B" w14:textId="77777777">
        <w:tc>
          <w:tcPr>
            <w:tcW w:w="0" w:type="auto"/>
            <w:gridSpan w:val="3"/>
            <w:shd w:val="clear" w:color="auto" w:fill="auto"/>
            <w:tcMar>
              <w:top w:w="40" w:type="dxa"/>
              <w:left w:w="20" w:type="dxa"/>
              <w:bottom w:w="40" w:type="dxa"/>
              <w:right w:w="20" w:type="dxa"/>
            </w:tcMar>
            <w:vAlign w:val="center"/>
          </w:tcPr>
          <w:p w14:paraId="74DDC875" w14:textId="77777777" w:rsidR="00584EC1" w:rsidRDefault="00871F8D">
            <w:pPr>
              <w:textAlignment w:val="center"/>
            </w:pPr>
            <w:r>
              <w:rPr>
                <w:rFonts w:ascii="Arial" w:eastAsia="宋体" w:hAnsi="Arial" w:cs="Arial"/>
                <w:color w:val="000000"/>
                <w:sz w:val="12"/>
                <w:szCs w:val="12"/>
              </w:rPr>
              <w:t>Available-for-sale Investment securities:</w:t>
            </w:r>
          </w:p>
        </w:tc>
        <w:tc>
          <w:tcPr>
            <w:tcW w:w="0" w:type="auto"/>
            <w:gridSpan w:val="3"/>
            <w:shd w:val="clear" w:color="auto" w:fill="auto"/>
            <w:tcMar>
              <w:top w:w="0" w:type="dxa"/>
              <w:left w:w="20" w:type="dxa"/>
              <w:bottom w:w="0" w:type="dxa"/>
              <w:right w:w="20" w:type="dxa"/>
            </w:tcMar>
            <w:vAlign w:val="bottom"/>
          </w:tcPr>
          <w:p w14:paraId="74DDC876"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877"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878"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879"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87A"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87B"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87C" w14:textId="77777777" w:rsidR="00584EC1" w:rsidRDefault="00584EC1">
            <w:pPr>
              <w:rPr>
                <w:rFonts w:ascii="宋体"/>
              </w:rPr>
            </w:pPr>
          </w:p>
        </w:tc>
        <w:tc>
          <w:tcPr>
            <w:tcW w:w="0" w:type="auto"/>
            <w:shd w:val="clear" w:color="auto" w:fill="auto"/>
            <w:vAlign w:val="bottom"/>
          </w:tcPr>
          <w:p w14:paraId="74DDC87D" w14:textId="77777777" w:rsidR="00584EC1" w:rsidRDefault="00584EC1">
            <w:pPr>
              <w:rPr>
                <w:rFonts w:ascii="宋体"/>
                <w:vanish/>
              </w:rPr>
            </w:pPr>
          </w:p>
        </w:tc>
        <w:tc>
          <w:tcPr>
            <w:tcW w:w="0" w:type="auto"/>
            <w:shd w:val="clear" w:color="auto" w:fill="auto"/>
            <w:vAlign w:val="bottom"/>
          </w:tcPr>
          <w:p w14:paraId="74DDC87E" w14:textId="77777777" w:rsidR="00584EC1" w:rsidRDefault="00584EC1">
            <w:pPr>
              <w:rPr>
                <w:rFonts w:ascii="宋体"/>
                <w:vanish/>
              </w:rPr>
            </w:pPr>
          </w:p>
        </w:tc>
        <w:tc>
          <w:tcPr>
            <w:tcW w:w="0" w:type="auto"/>
            <w:gridSpan w:val="3"/>
            <w:shd w:val="clear" w:color="auto" w:fill="auto"/>
            <w:tcMar>
              <w:top w:w="0" w:type="dxa"/>
              <w:left w:w="20" w:type="dxa"/>
              <w:bottom w:w="0" w:type="dxa"/>
              <w:right w:w="20" w:type="dxa"/>
            </w:tcMar>
            <w:vAlign w:val="bottom"/>
          </w:tcPr>
          <w:p w14:paraId="74DDC87F"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880"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88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88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883"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884"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88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886"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887"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888" w14:textId="77777777" w:rsidR="00584EC1" w:rsidRDefault="00584EC1">
            <w:pPr>
              <w:rPr>
                <w:rFonts w:ascii="宋体"/>
              </w:rPr>
            </w:pPr>
          </w:p>
        </w:tc>
        <w:tc>
          <w:tcPr>
            <w:tcW w:w="0" w:type="auto"/>
            <w:gridSpan w:val="2"/>
            <w:shd w:val="clear" w:color="auto" w:fill="auto"/>
            <w:tcMar>
              <w:top w:w="0" w:type="dxa"/>
              <w:left w:w="20" w:type="dxa"/>
              <w:bottom w:w="0" w:type="dxa"/>
              <w:right w:w="20" w:type="dxa"/>
            </w:tcMar>
            <w:vAlign w:val="bottom"/>
          </w:tcPr>
          <w:p w14:paraId="74DDC889" w14:textId="77777777" w:rsidR="00584EC1" w:rsidRDefault="00584EC1">
            <w:pPr>
              <w:rPr>
                <w:rFonts w:ascii="宋体"/>
              </w:rPr>
            </w:pPr>
          </w:p>
        </w:tc>
        <w:tc>
          <w:tcPr>
            <w:tcW w:w="0" w:type="auto"/>
            <w:shd w:val="clear" w:color="auto" w:fill="auto"/>
            <w:tcMar>
              <w:top w:w="0" w:type="dxa"/>
              <w:left w:w="20" w:type="dxa"/>
              <w:bottom w:w="0" w:type="dxa"/>
              <w:right w:w="20" w:type="dxa"/>
            </w:tcMar>
            <w:vAlign w:val="bottom"/>
          </w:tcPr>
          <w:p w14:paraId="74DDC88A" w14:textId="77777777" w:rsidR="00584EC1" w:rsidRDefault="00584EC1">
            <w:pPr>
              <w:rPr>
                <w:rFonts w:ascii="宋体"/>
              </w:rPr>
            </w:pPr>
          </w:p>
        </w:tc>
      </w:tr>
      <w:tr w:rsidR="00584EC1" w14:paraId="74DDC8A2" w14:textId="77777777">
        <w:trPr>
          <w:hidden/>
        </w:trPr>
        <w:tc>
          <w:tcPr>
            <w:tcW w:w="0" w:type="auto"/>
            <w:gridSpan w:val="3"/>
            <w:shd w:val="clear" w:color="auto" w:fill="auto"/>
            <w:vAlign w:val="bottom"/>
          </w:tcPr>
          <w:p w14:paraId="74DDC88C" w14:textId="77777777" w:rsidR="00584EC1" w:rsidRDefault="00584EC1">
            <w:pPr>
              <w:rPr>
                <w:rFonts w:ascii="宋体"/>
                <w:vanish/>
              </w:rPr>
            </w:pPr>
          </w:p>
        </w:tc>
        <w:tc>
          <w:tcPr>
            <w:tcW w:w="0" w:type="auto"/>
            <w:gridSpan w:val="3"/>
            <w:shd w:val="clear" w:color="auto" w:fill="auto"/>
            <w:vAlign w:val="bottom"/>
          </w:tcPr>
          <w:p w14:paraId="74DDC88D" w14:textId="77777777" w:rsidR="00584EC1" w:rsidRDefault="00584EC1">
            <w:pPr>
              <w:rPr>
                <w:rFonts w:ascii="宋体"/>
                <w:vanish/>
              </w:rPr>
            </w:pPr>
          </w:p>
        </w:tc>
        <w:tc>
          <w:tcPr>
            <w:tcW w:w="0" w:type="auto"/>
            <w:gridSpan w:val="3"/>
            <w:shd w:val="clear" w:color="auto" w:fill="auto"/>
            <w:vAlign w:val="bottom"/>
          </w:tcPr>
          <w:p w14:paraId="74DDC88E" w14:textId="77777777" w:rsidR="00584EC1" w:rsidRDefault="00584EC1">
            <w:pPr>
              <w:rPr>
                <w:rFonts w:ascii="宋体"/>
                <w:vanish/>
              </w:rPr>
            </w:pPr>
          </w:p>
        </w:tc>
        <w:tc>
          <w:tcPr>
            <w:tcW w:w="0" w:type="auto"/>
            <w:gridSpan w:val="3"/>
            <w:shd w:val="clear" w:color="auto" w:fill="auto"/>
            <w:vAlign w:val="bottom"/>
          </w:tcPr>
          <w:p w14:paraId="74DDC88F" w14:textId="77777777" w:rsidR="00584EC1" w:rsidRDefault="00584EC1">
            <w:pPr>
              <w:rPr>
                <w:rFonts w:ascii="宋体"/>
                <w:vanish/>
              </w:rPr>
            </w:pPr>
          </w:p>
        </w:tc>
        <w:tc>
          <w:tcPr>
            <w:tcW w:w="0" w:type="auto"/>
            <w:gridSpan w:val="3"/>
            <w:shd w:val="clear" w:color="auto" w:fill="auto"/>
            <w:vAlign w:val="bottom"/>
          </w:tcPr>
          <w:p w14:paraId="74DDC890" w14:textId="77777777" w:rsidR="00584EC1" w:rsidRDefault="00584EC1">
            <w:pPr>
              <w:rPr>
                <w:rFonts w:ascii="宋体"/>
                <w:vanish/>
              </w:rPr>
            </w:pPr>
          </w:p>
        </w:tc>
        <w:tc>
          <w:tcPr>
            <w:tcW w:w="0" w:type="auto"/>
            <w:gridSpan w:val="3"/>
            <w:shd w:val="clear" w:color="auto" w:fill="auto"/>
            <w:vAlign w:val="bottom"/>
          </w:tcPr>
          <w:p w14:paraId="74DDC891" w14:textId="77777777" w:rsidR="00584EC1" w:rsidRDefault="00584EC1">
            <w:pPr>
              <w:rPr>
                <w:rFonts w:ascii="宋体"/>
                <w:vanish/>
              </w:rPr>
            </w:pPr>
          </w:p>
        </w:tc>
        <w:tc>
          <w:tcPr>
            <w:tcW w:w="0" w:type="auto"/>
            <w:gridSpan w:val="3"/>
            <w:shd w:val="clear" w:color="auto" w:fill="auto"/>
            <w:vAlign w:val="bottom"/>
          </w:tcPr>
          <w:p w14:paraId="74DDC892" w14:textId="77777777" w:rsidR="00584EC1" w:rsidRDefault="00584EC1">
            <w:pPr>
              <w:rPr>
                <w:rFonts w:ascii="宋体"/>
                <w:vanish/>
              </w:rPr>
            </w:pPr>
          </w:p>
        </w:tc>
        <w:tc>
          <w:tcPr>
            <w:tcW w:w="0" w:type="auto"/>
            <w:gridSpan w:val="3"/>
            <w:shd w:val="clear" w:color="auto" w:fill="auto"/>
            <w:vAlign w:val="bottom"/>
          </w:tcPr>
          <w:p w14:paraId="74DDC893" w14:textId="77777777" w:rsidR="00584EC1" w:rsidRDefault="00584EC1">
            <w:pPr>
              <w:rPr>
                <w:rFonts w:ascii="宋体"/>
                <w:vanish/>
              </w:rPr>
            </w:pPr>
          </w:p>
        </w:tc>
        <w:tc>
          <w:tcPr>
            <w:tcW w:w="0" w:type="auto"/>
            <w:shd w:val="clear" w:color="auto" w:fill="auto"/>
            <w:vAlign w:val="bottom"/>
          </w:tcPr>
          <w:p w14:paraId="74DDC894" w14:textId="77777777" w:rsidR="00584EC1" w:rsidRDefault="00584EC1">
            <w:pPr>
              <w:rPr>
                <w:rFonts w:ascii="宋体"/>
                <w:vanish/>
              </w:rPr>
            </w:pPr>
          </w:p>
        </w:tc>
        <w:tc>
          <w:tcPr>
            <w:tcW w:w="0" w:type="auto"/>
            <w:shd w:val="clear" w:color="auto" w:fill="auto"/>
            <w:vAlign w:val="bottom"/>
          </w:tcPr>
          <w:p w14:paraId="74DDC895" w14:textId="77777777" w:rsidR="00584EC1" w:rsidRDefault="00584EC1">
            <w:pPr>
              <w:rPr>
                <w:rFonts w:ascii="宋体"/>
                <w:vanish/>
              </w:rPr>
            </w:pPr>
          </w:p>
        </w:tc>
        <w:tc>
          <w:tcPr>
            <w:tcW w:w="0" w:type="auto"/>
            <w:gridSpan w:val="3"/>
            <w:shd w:val="clear" w:color="auto" w:fill="auto"/>
            <w:vAlign w:val="bottom"/>
          </w:tcPr>
          <w:p w14:paraId="74DDC896" w14:textId="77777777" w:rsidR="00584EC1" w:rsidRDefault="00584EC1">
            <w:pPr>
              <w:rPr>
                <w:rFonts w:ascii="宋体"/>
                <w:vanish/>
              </w:rPr>
            </w:pPr>
          </w:p>
        </w:tc>
        <w:tc>
          <w:tcPr>
            <w:tcW w:w="0" w:type="auto"/>
            <w:gridSpan w:val="3"/>
            <w:shd w:val="clear" w:color="auto" w:fill="auto"/>
            <w:vAlign w:val="bottom"/>
          </w:tcPr>
          <w:p w14:paraId="74DDC897" w14:textId="77777777" w:rsidR="00584EC1" w:rsidRDefault="00584EC1">
            <w:pPr>
              <w:rPr>
                <w:rFonts w:ascii="宋体"/>
                <w:vanish/>
              </w:rPr>
            </w:pPr>
          </w:p>
        </w:tc>
        <w:tc>
          <w:tcPr>
            <w:tcW w:w="0" w:type="auto"/>
            <w:gridSpan w:val="3"/>
            <w:shd w:val="clear" w:color="auto" w:fill="auto"/>
            <w:vAlign w:val="bottom"/>
          </w:tcPr>
          <w:p w14:paraId="74DDC898" w14:textId="77777777" w:rsidR="00584EC1" w:rsidRDefault="00584EC1">
            <w:pPr>
              <w:rPr>
                <w:rFonts w:ascii="宋体"/>
                <w:vanish/>
              </w:rPr>
            </w:pPr>
          </w:p>
        </w:tc>
        <w:tc>
          <w:tcPr>
            <w:tcW w:w="0" w:type="auto"/>
            <w:gridSpan w:val="3"/>
            <w:shd w:val="clear" w:color="auto" w:fill="auto"/>
            <w:vAlign w:val="bottom"/>
          </w:tcPr>
          <w:p w14:paraId="74DDC899" w14:textId="77777777" w:rsidR="00584EC1" w:rsidRDefault="00584EC1">
            <w:pPr>
              <w:rPr>
                <w:rFonts w:ascii="宋体"/>
                <w:vanish/>
              </w:rPr>
            </w:pPr>
          </w:p>
        </w:tc>
        <w:tc>
          <w:tcPr>
            <w:tcW w:w="0" w:type="auto"/>
            <w:gridSpan w:val="3"/>
            <w:shd w:val="clear" w:color="auto" w:fill="auto"/>
            <w:vAlign w:val="bottom"/>
          </w:tcPr>
          <w:p w14:paraId="74DDC89A" w14:textId="77777777" w:rsidR="00584EC1" w:rsidRDefault="00584EC1">
            <w:pPr>
              <w:rPr>
                <w:rFonts w:ascii="宋体"/>
                <w:vanish/>
              </w:rPr>
            </w:pPr>
          </w:p>
        </w:tc>
        <w:tc>
          <w:tcPr>
            <w:tcW w:w="0" w:type="auto"/>
            <w:gridSpan w:val="3"/>
            <w:shd w:val="clear" w:color="auto" w:fill="auto"/>
            <w:vAlign w:val="bottom"/>
          </w:tcPr>
          <w:p w14:paraId="74DDC89B" w14:textId="77777777" w:rsidR="00584EC1" w:rsidRDefault="00584EC1">
            <w:pPr>
              <w:rPr>
                <w:rFonts w:ascii="宋体"/>
                <w:vanish/>
              </w:rPr>
            </w:pPr>
          </w:p>
        </w:tc>
        <w:tc>
          <w:tcPr>
            <w:tcW w:w="0" w:type="auto"/>
            <w:gridSpan w:val="3"/>
            <w:shd w:val="clear" w:color="auto" w:fill="auto"/>
            <w:vAlign w:val="bottom"/>
          </w:tcPr>
          <w:p w14:paraId="74DDC89C" w14:textId="77777777" w:rsidR="00584EC1" w:rsidRDefault="00584EC1">
            <w:pPr>
              <w:rPr>
                <w:rFonts w:ascii="宋体"/>
                <w:vanish/>
              </w:rPr>
            </w:pPr>
          </w:p>
        </w:tc>
        <w:tc>
          <w:tcPr>
            <w:tcW w:w="0" w:type="auto"/>
            <w:gridSpan w:val="3"/>
            <w:shd w:val="clear" w:color="auto" w:fill="auto"/>
            <w:vAlign w:val="bottom"/>
          </w:tcPr>
          <w:p w14:paraId="74DDC89D" w14:textId="77777777" w:rsidR="00584EC1" w:rsidRDefault="00584EC1">
            <w:pPr>
              <w:rPr>
                <w:rFonts w:ascii="宋体"/>
                <w:vanish/>
              </w:rPr>
            </w:pPr>
          </w:p>
        </w:tc>
        <w:tc>
          <w:tcPr>
            <w:tcW w:w="0" w:type="auto"/>
            <w:gridSpan w:val="3"/>
            <w:shd w:val="clear" w:color="auto" w:fill="auto"/>
            <w:vAlign w:val="bottom"/>
          </w:tcPr>
          <w:p w14:paraId="74DDC89E" w14:textId="77777777" w:rsidR="00584EC1" w:rsidRDefault="00584EC1">
            <w:pPr>
              <w:rPr>
                <w:rFonts w:ascii="宋体"/>
                <w:vanish/>
              </w:rPr>
            </w:pPr>
          </w:p>
        </w:tc>
        <w:tc>
          <w:tcPr>
            <w:tcW w:w="0" w:type="auto"/>
            <w:gridSpan w:val="3"/>
            <w:shd w:val="clear" w:color="auto" w:fill="auto"/>
            <w:vAlign w:val="bottom"/>
          </w:tcPr>
          <w:p w14:paraId="74DDC89F" w14:textId="77777777" w:rsidR="00584EC1" w:rsidRDefault="00584EC1">
            <w:pPr>
              <w:rPr>
                <w:rFonts w:ascii="宋体"/>
                <w:vanish/>
              </w:rPr>
            </w:pPr>
          </w:p>
        </w:tc>
        <w:tc>
          <w:tcPr>
            <w:tcW w:w="0" w:type="auto"/>
            <w:gridSpan w:val="2"/>
            <w:shd w:val="clear" w:color="auto" w:fill="auto"/>
            <w:vAlign w:val="bottom"/>
          </w:tcPr>
          <w:p w14:paraId="74DDC8A0" w14:textId="77777777" w:rsidR="00584EC1" w:rsidRDefault="00584EC1">
            <w:pPr>
              <w:rPr>
                <w:rFonts w:ascii="宋体"/>
                <w:vanish/>
              </w:rPr>
            </w:pPr>
          </w:p>
        </w:tc>
        <w:tc>
          <w:tcPr>
            <w:tcW w:w="0" w:type="auto"/>
            <w:shd w:val="clear" w:color="auto" w:fill="auto"/>
            <w:vAlign w:val="bottom"/>
          </w:tcPr>
          <w:p w14:paraId="74DDC8A1" w14:textId="77777777" w:rsidR="00584EC1" w:rsidRDefault="00584EC1">
            <w:pPr>
              <w:rPr>
                <w:rFonts w:ascii="宋体"/>
                <w:vanish/>
              </w:rPr>
            </w:pPr>
          </w:p>
        </w:tc>
      </w:tr>
      <w:tr w:rsidR="00584EC1" w14:paraId="74DDC8B9" w14:textId="77777777">
        <w:tc>
          <w:tcPr>
            <w:tcW w:w="0" w:type="auto"/>
            <w:gridSpan w:val="3"/>
            <w:shd w:val="clear" w:color="auto" w:fill="auto"/>
            <w:tcMar>
              <w:top w:w="40" w:type="dxa"/>
              <w:left w:w="20" w:type="dxa"/>
              <w:bottom w:w="40" w:type="dxa"/>
              <w:right w:w="20" w:type="dxa"/>
            </w:tcMar>
            <w:vAlign w:val="center"/>
          </w:tcPr>
          <w:p w14:paraId="74DDC8A3" w14:textId="77777777" w:rsidR="00584EC1" w:rsidRDefault="00871F8D">
            <w:pPr>
              <w:textAlignment w:val="center"/>
            </w:pPr>
            <w:r>
              <w:rPr>
                <w:rFonts w:ascii="Arial" w:eastAsia="宋体" w:hAnsi="Arial" w:cs="Arial"/>
                <w:color w:val="000000"/>
                <w:sz w:val="12"/>
                <w:szCs w:val="12"/>
              </w:rPr>
              <w:t>Asset-backed securities:</w:t>
            </w:r>
          </w:p>
        </w:tc>
        <w:tc>
          <w:tcPr>
            <w:tcW w:w="0" w:type="auto"/>
            <w:gridSpan w:val="3"/>
            <w:shd w:val="clear" w:color="auto" w:fill="auto"/>
            <w:tcMar>
              <w:top w:w="0" w:type="dxa"/>
              <w:left w:w="20" w:type="dxa"/>
              <w:bottom w:w="0" w:type="dxa"/>
              <w:right w:w="20" w:type="dxa"/>
            </w:tcMar>
            <w:vAlign w:val="bottom"/>
          </w:tcPr>
          <w:p w14:paraId="74DDC8A4"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8A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8A6"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8A7"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8A8"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8A9"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8AA" w14:textId="77777777" w:rsidR="00584EC1" w:rsidRDefault="00584EC1">
            <w:pPr>
              <w:rPr>
                <w:rFonts w:ascii="宋体"/>
              </w:rPr>
            </w:pPr>
          </w:p>
        </w:tc>
        <w:tc>
          <w:tcPr>
            <w:tcW w:w="0" w:type="auto"/>
            <w:shd w:val="clear" w:color="auto" w:fill="auto"/>
            <w:vAlign w:val="bottom"/>
          </w:tcPr>
          <w:p w14:paraId="74DDC8AB" w14:textId="77777777" w:rsidR="00584EC1" w:rsidRDefault="00584EC1">
            <w:pPr>
              <w:rPr>
                <w:rFonts w:ascii="宋体"/>
                <w:vanish/>
              </w:rPr>
            </w:pPr>
          </w:p>
        </w:tc>
        <w:tc>
          <w:tcPr>
            <w:tcW w:w="0" w:type="auto"/>
            <w:shd w:val="clear" w:color="auto" w:fill="auto"/>
            <w:vAlign w:val="bottom"/>
          </w:tcPr>
          <w:p w14:paraId="74DDC8AC" w14:textId="77777777" w:rsidR="00584EC1" w:rsidRDefault="00584EC1">
            <w:pPr>
              <w:rPr>
                <w:rFonts w:ascii="宋体"/>
                <w:vanish/>
              </w:rPr>
            </w:pPr>
          </w:p>
        </w:tc>
        <w:tc>
          <w:tcPr>
            <w:tcW w:w="0" w:type="auto"/>
            <w:gridSpan w:val="3"/>
            <w:shd w:val="clear" w:color="auto" w:fill="auto"/>
            <w:tcMar>
              <w:top w:w="0" w:type="dxa"/>
              <w:left w:w="20" w:type="dxa"/>
              <w:bottom w:w="0" w:type="dxa"/>
              <w:right w:w="20" w:type="dxa"/>
            </w:tcMar>
            <w:vAlign w:val="bottom"/>
          </w:tcPr>
          <w:p w14:paraId="74DDC8AD"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8AE"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8AF"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8B0"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8B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8B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8B3"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8B4"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8B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8B6" w14:textId="77777777" w:rsidR="00584EC1" w:rsidRDefault="00584EC1">
            <w:pPr>
              <w:rPr>
                <w:rFonts w:ascii="宋体"/>
              </w:rPr>
            </w:pPr>
          </w:p>
        </w:tc>
        <w:tc>
          <w:tcPr>
            <w:tcW w:w="0" w:type="auto"/>
            <w:gridSpan w:val="2"/>
            <w:shd w:val="clear" w:color="auto" w:fill="auto"/>
            <w:tcMar>
              <w:top w:w="0" w:type="dxa"/>
              <w:left w:w="20" w:type="dxa"/>
              <w:bottom w:w="0" w:type="dxa"/>
              <w:right w:w="20" w:type="dxa"/>
            </w:tcMar>
            <w:vAlign w:val="bottom"/>
          </w:tcPr>
          <w:p w14:paraId="74DDC8B7" w14:textId="77777777" w:rsidR="00584EC1" w:rsidRDefault="00584EC1">
            <w:pPr>
              <w:rPr>
                <w:rFonts w:ascii="宋体"/>
              </w:rPr>
            </w:pPr>
          </w:p>
        </w:tc>
        <w:tc>
          <w:tcPr>
            <w:tcW w:w="0" w:type="auto"/>
            <w:shd w:val="clear" w:color="auto" w:fill="auto"/>
            <w:tcMar>
              <w:top w:w="0" w:type="dxa"/>
              <w:left w:w="20" w:type="dxa"/>
              <w:bottom w:w="0" w:type="dxa"/>
              <w:right w:w="20" w:type="dxa"/>
            </w:tcMar>
            <w:vAlign w:val="bottom"/>
          </w:tcPr>
          <w:p w14:paraId="74DDC8B8" w14:textId="77777777" w:rsidR="00584EC1" w:rsidRDefault="00584EC1">
            <w:pPr>
              <w:rPr>
                <w:rFonts w:ascii="宋体"/>
              </w:rPr>
            </w:pPr>
          </w:p>
        </w:tc>
      </w:tr>
      <w:tr w:rsidR="00871F8D" w14:paraId="74DDC8E2" w14:textId="77777777">
        <w:tc>
          <w:tcPr>
            <w:tcW w:w="0" w:type="auto"/>
            <w:gridSpan w:val="3"/>
            <w:shd w:val="clear" w:color="auto" w:fill="CCEEFF"/>
            <w:tcMar>
              <w:top w:w="40" w:type="dxa"/>
              <w:left w:w="155" w:type="dxa"/>
              <w:bottom w:w="40" w:type="dxa"/>
              <w:right w:w="20" w:type="dxa"/>
            </w:tcMar>
            <w:vAlign w:val="center"/>
          </w:tcPr>
          <w:p w14:paraId="74DDC8BA" w14:textId="77777777" w:rsidR="00584EC1" w:rsidRDefault="00871F8D">
            <w:pPr>
              <w:textAlignment w:val="center"/>
            </w:pPr>
            <w:r>
              <w:rPr>
                <w:rFonts w:ascii="Arial" w:eastAsia="宋体" w:hAnsi="Arial" w:cs="Arial"/>
                <w:color w:val="000000"/>
                <w:sz w:val="12"/>
                <w:szCs w:val="12"/>
              </w:rPr>
              <w:t>Collateralized loan obligations</w:t>
            </w:r>
          </w:p>
        </w:tc>
        <w:tc>
          <w:tcPr>
            <w:tcW w:w="0" w:type="auto"/>
            <w:shd w:val="clear" w:color="auto" w:fill="CCEEFF"/>
            <w:tcMar>
              <w:top w:w="40" w:type="dxa"/>
              <w:left w:w="20" w:type="dxa"/>
              <w:bottom w:w="40" w:type="dxa"/>
              <w:right w:w="0" w:type="dxa"/>
            </w:tcMar>
            <w:vAlign w:val="center"/>
          </w:tcPr>
          <w:p w14:paraId="74DDC8BB" w14:textId="77777777" w:rsidR="00584EC1" w:rsidRDefault="00871F8D">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74DDC8BC" w14:textId="77777777" w:rsidR="00584EC1" w:rsidRDefault="00871F8D">
            <w:pPr>
              <w:jc w:val="right"/>
              <w:textAlignment w:val="center"/>
            </w:pPr>
            <w:r>
              <w:rPr>
                <w:rFonts w:ascii="Arial" w:eastAsia="宋体" w:hAnsi="Arial" w:cs="Arial"/>
                <w:color w:val="000000"/>
                <w:sz w:val="12"/>
                <w:szCs w:val="12"/>
              </w:rPr>
              <w:t>1,820 </w:t>
            </w:r>
          </w:p>
        </w:tc>
        <w:tc>
          <w:tcPr>
            <w:tcW w:w="0" w:type="auto"/>
            <w:shd w:val="clear" w:color="auto" w:fill="CCEEFF"/>
            <w:tcMar>
              <w:top w:w="40" w:type="dxa"/>
              <w:left w:w="0" w:type="dxa"/>
              <w:bottom w:w="40" w:type="dxa"/>
              <w:right w:w="20" w:type="dxa"/>
            </w:tcMar>
            <w:vAlign w:val="center"/>
          </w:tcPr>
          <w:p w14:paraId="74DDC8B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8BE" w14:textId="77777777" w:rsidR="00584EC1" w:rsidRDefault="00584EC1">
            <w:pPr>
              <w:rPr>
                <w:rFonts w:ascii="宋体"/>
              </w:rPr>
            </w:pPr>
          </w:p>
        </w:tc>
        <w:tc>
          <w:tcPr>
            <w:tcW w:w="0" w:type="auto"/>
            <w:shd w:val="clear" w:color="auto" w:fill="CCEEFF"/>
            <w:tcMar>
              <w:top w:w="40" w:type="dxa"/>
              <w:left w:w="20" w:type="dxa"/>
              <w:bottom w:w="40" w:type="dxa"/>
              <w:right w:w="0" w:type="dxa"/>
            </w:tcMar>
            <w:vAlign w:val="center"/>
          </w:tcPr>
          <w:p w14:paraId="74DDC8BF" w14:textId="77777777" w:rsidR="00584EC1" w:rsidRDefault="00871F8D">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74DDC8C0" w14:textId="77777777" w:rsidR="00584EC1" w:rsidRDefault="00871F8D">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4DDC8C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8C2" w14:textId="77777777" w:rsidR="00584EC1" w:rsidRDefault="00584EC1">
            <w:pPr>
              <w:rPr>
                <w:rFonts w:ascii="宋体"/>
              </w:rPr>
            </w:pPr>
          </w:p>
        </w:tc>
        <w:tc>
          <w:tcPr>
            <w:tcW w:w="0" w:type="auto"/>
            <w:shd w:val="clear" w:color="auto" w:fill="CCEEFF"/>
            <w:tcMar>
              <w:top w:w="40" w:type="dxa"/>
              <w:left w:w="20" w:type="dxa"/>
              <w:bottom w:w="40" w:type="dxa"/>
              <w:right w:w="0" w:type="dxa"/>
            </w:tcMar>
            <w:vAlign w:val="center"/>
          </w:tcPr>
          <w:p w14:paraId="74DDC8C3" w14:textId="77777777" w:rsidR="00584EC1" w:rsidRDefault="00871F8D">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74DDC8C4" w14:textId="77777777" w:rsidR="00584EC1" w:rsidRDefault="00871F8D">
            <w:pPr>
              <w:jc w:val="right"/>
              <w:textAlignment w:val="center"/>
            </w:pPr>
            <w:r>
              <w:rPr>
                <w:rFonts w:ascii="Arial" w:eastAsia="宋体" w:hAnsi="Arial" w:cs="Arial"/>
                <w:color w:val="000000"/>
                <w:sz w:val="12"/>
                <w:szCs w:val="12"/>
              </w:rPr>
              <w:t>(10)</w:t>
            </w:r>
          </w:p>
        </w:tc>
        <w:tc>
          <w:tcPr>
            <w:tcW w:w="0" w:type="auto"/>
            <w:shd w:val="clear" w:color="auto" w:fill="CCEEFF"/>
            <w:tcMar>
              <w:top w:w="40" w:type="dxa"/>
              <w:left w:w="0" w:type="dxa"/>
              <w:bottom w:w="40" w:type="dxa"/>
              <w:right w:w="20" w:type="dxa"/>
            </w:tcMar>
            <w:vAlign w:val="center"/>
          </w:tcPr>
          <w:p w14:paraId="74DDC8C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8C6" w14:textId="77777777" w:rsidR="00584EC1" w:rsidRDefault="00584EC1">
            <w:pPr>
              <w:rPr>
                <w:rFonts w:ascii="宋体"/>
              </w:rPr>
            </w:pPr>
          </w:p>
        </w:tc>
        <w:tc>
          <w:tcPr>
            <w:tcW w:w="0" w:type="auto"/>
            <w:shd w:val="clear" w:color="auto" w:fill="CCEEFF"/>
            <w:tcMar>
              <w:top w:w="40" w:type="dxa"/>
              <w:left w:w="20" w:type="dxa"/>
              <w:bottom w:w="40" w:type="dxa"/>
              <w:right w:w="0" w:type="dxa"/>
            </w:tcMar>
            <w:vAlign w:val="center"/>
          </w:tcPr>
          <w:p w14:paraId="74DDC8C7" w14:textId="77777777" w:rsidR="00584EC1" w:rsidRDefault="00871F8D">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74DDC8C8" w14:textId="77777777" w:rsidR="00584EC1" w:rsidRDefault="00871F8D">
            <w:pPr>
              <w:jc w:val="right"/>
              <w:textAlignment w:val="center"/>
            </w:pPr>
            <w:r>
              <w:rPr>
                <w:rFonts w:ascii="Arial" w:eastAsia="宋体" w:hAnsi="Arial" w:cs="Arial"/>
                <w:color w:val="000000"/>
                <w:sz w:val="12"/>
                <w:szCs w:val="12"/>
              </w:rPr>
              <w:t>850 </w:t>
            </w:r>
          </w:p>
        </w:tc>
        <w:tc>
          <w:tcPr>
            <w:tcW w:w="0" w:type="auto"/>
            <w:shd w:val="clear" w:color="auto" w:fill="CCEEFF"/>
            <w:tcMar>
              <w:top w:w="40" w:type="dxa"/>
              <w:left w:w="0" w:type="dxa"/>
              <w:bottom w:w="40" w:type="dxa"/>
              <w:right w:w="20" w:type="dxa"/>
            </w:tcMar>
            <w:vAlign w:val="center"/>
          </w:tcPr>
          <w:p w14:paraId="74DDC8C9" w14:textId="77777777" w:rsidR="00584EC1" w:rsidRDefault="00584EC1">
            <w:pPr>
              <w:jc w:val="right"/>
              <w:rPr>
                <w:rFonts w:ascii="宋体"/>
              </w:rPr>
            </w:pPr>
          </w:p>
        </w:tc>
        <w:tc>
          <w:tcPr>
            <w:tcW w:w="0" w:type="auto"/>
            <w:shd w:val="clear" w:color="auto" w:fill="auto"/>
            <w:vAlign w:val="bottom"/>
          </w:tcPr>
          <w:p w14:paraId="74DDC8CA" w14:textId="77777777" w:rsidR="00584EC1" w:rsidRDefault="00584EC1">
            <w:pPr>
              <w:rPr>
                <w:rFonts w:ascii="宋体"/>
                <w:vanish/>
              </w:rPr>
            </w:pPr>
          </w:p>
        </w:tc>
        <w:tc>
          <w:tcPr>
            <w:tcW w:w="0" w:type="auto"/>
            <w:shd w:val="clear" w:color="auto" w:fill="auto"/>
            <w:vAlign w:val="bottom"/>
          </w:tcPr>
          <w:p w14:paraId="74DDC8CB" w14:textId="77777777" w:rsidR="00584EC1" w:rsidRDefault="00584EC1">
            <w:pPr>
              <w:rPr>
                <w:rFonts w:ascii="宋体"/>
                <w:vanish/>
              </w:rPr>
            </w:pPr>
          </w:p>
        </w:tc>
        <w:tc>
          <w:tcPr>
            <w:tcW w:w="0" w:type="auto"/>
            <w:gridSpan w:val="3"/>
            <w:shd w:val="clear" w:color="auto" w:fill="CCEEFF"/>
            <w:tcMar>
              <w:top w:w="0" w:type="dxa"/>
              <w:left w:w="20" w:type="dxa"/>
              <w:bottom w:w="0" w:type="dxa"/>
              <w:right w:w="20" w:type="dxa"/>
            </w:tcMar>
            <w:vAlign w:val="bottom"/>
          </w:tcPr>
          <w:p w14:paraId="74DDC8CC" w14:textId="77777777" w:rsidR="00584EC1" w:rsidRDefault="00584EC1">
            <w:pPr>
              <w:rPr>
                <w:rFonts w:ascii="宋体"/>
              </w:rPr>
            </w:pPr>
          </w:p>
        </w:tc>
        <w:tc>
          <w:tcPr>
            <w:tcW w:w="0" w:type="auto"/>
            <w:shd w:val="clear" w:color="auto" w:fill="CCEEFF"/>
            <w:tcMar>
              <w:top w:w="40" w:type="dxa"/>
              <w:left w:w="20" w:type="dxa"/>
              <w:bottom w:w="40" w:type="dxa"/>
              <w:right w:w="0" w:type="dxa"/>
            </w:tcMar>
            <w:vAlign w:val="center"/>
          </w:tcPr>
          <w:p w14:paraId="74DDC8CD" w14:textId="77777777" w:rsidR="00584EC1" w:rsidRDefault="00871F8D">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74DDC8CE" w14:textId="77777777" w:rsidR="00584EC1" w:rsidRDefault="00871F8D">
            <w:pPr>
              <w:jc w:val="right"/>
              <w:textAlignment w:val="center"/>
            </w:pPr>
            <w:r>
              <w:rPr>
                <w:rFonts w:ascii="Arial" w:eastAsia="宋体" w:hAnsi="Arial" w:cs="Arial"/>
                <w:color w:val="000000"/>
                <w:sz w:val="12"/>
                <w:szCs w:val="12"/>
              </w:rPr>
              <w:t>(95)</w:t>
            </w:r>
          </w:p>
        </w:tc>
        <w:tc>
          <w:tcPr>
            <w:tcW w:w="0" w:type="auto"/>
            <w:shd w:val="clear" w:color="auto" w:fill="CCEEFF"/>
            <w:tcMar>
              <w:top w:w="40" w:type="dxa"/>
              <w:left w:w="0" w:type="dxa"/>
              <w:bottom w:w="40" w:type="dxa"/>
              <w:right w:w="20" w:type="dxa"/>
            </w:tcMar>
            <w:vAlign w:val="center"/>
          </w:tcPr>
          <w:p w14:paraId="74DDC8C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8D0" w14:textId="77777777" w:rsidR="00584EC1" w:rsidRDefault="00584EC1">
            <w:pPr>
              <w:rPr>
                <w:rFonts w:ascii="宋体"/>
              </w:rPr>
            </w:pPr>
          </w:p>
        </w:tc>
        <w:tc>
          <w:tcPr>
            <w:tcW w:w="0" w:type="auto"/>
            <w:shd w:val="clear" w:color="auto" w:fill="CCEEFF"/>
            <w:tcMar>
              <w:top w:w="40" w:type="dxa"/>
              <w:left w:w="20" w:type="dxa"/>
              <w:bottom w:w="40" w:type="dxa"/>
              <w:right w:w="0" w:type="dxa"/>
            </w:tcMar>
            <w:vAlign w:val="center"/>
          </w:tcPr>
          <w:p w14:paraId="74DDC8D1" w14:textId="77777777" w:rsidR="00584EC1" w:rsidRDefault="00871F8D">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74DDC8D2" w14:textId="77777777" w:rsidR="00584EC1" w:rsidRDefault="00871F8D">
            <w:pPr>
              <w:jc w:val="right"/>
              <w:textAlignment w:val="center"/>
            </w:pPr>
            <w:r>
              <w:rPr>
                <w:rFonts w:ascii="Arial" w:eastAsia="宋体" w:hAnsi="Arial" w:cs="Arial"/>
                <w:color w:val="000000"/>
                <w:sz w:val="12"/>
                <w:szCs w:val="12"/>
              </w:rPr>
              <w:t>(77)</w:t>
            </w:r>
          </w:p>
        </w:tc>
        <w:tc>
          <w:tcPr>
            <w:tcW w:w="0" w:type="auto"/>
            <w:shd w:val="clear" w:color="auto" w:fill="CCEEFF"/>
            <w:tcMar>
              <w:top w:w="40" w:type="dxa"/>
              <w:left w:w="0" w:type="dxa"/>
              <w:bottom w:w="40" w:type="dxa"/>
              <w:right w:w="20" w:type="dxa"/>
            </w:tcMar>
            <w:vAlign w:val="center"/>
          </w:tcPr>
          <w:p w14:paraId="74DDC8D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8D4" w14:textId="77777777" w:rsidR="00584EC1" w:rsidRDefault="00584EC1">
            <w:pPr>
              <w:rPr>
                <w:rFonts w:ascii="宋体"/>
              </w:rPr>
            </w:pPr>
          </w:p>
        </w:tc>
        <w:tc>
          <w:tcPr>
            <w:tcW w:w="0" w:type="auto"/>
            <w:shd w:val="clear" w:color="auto" w:fill="CCEEFF"/>
            <w:tcMar>
              <w:top w:w="40" w:type="dxa"/>
              <w:left w:w="20" w:type="dxa"/>
              <w:bottom w:w="40" w:type="dxa"/>
              <w:right w:w="0" w:type="dxa"/>
            </w:tcMar>
            <w:vAlign w:val="center"/>
          </w:tcPr>
          <w:p w14:paraId="74DDC8D5" w14:textId="77777777" w:rsidR="00584EC1" w:rsidRDefault="00871F8D">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74DDC8D6" w14:textId="77777777" w:rsidR="00584EC1" w:rsidRDefault="00871F8D">
            <w:pPr>
              <w:jc w:val="right"/>
              <w:textAlignment w:val="center"/>
            </w:pPr>
            <w:r>
              <w:rPr>
                <w:rFonts w:ascii="Arial" w:eastAsia="宋体" w:hAnsi="Arial" w:cs="Arial"/>
                <w:color w:val="000000"/>
                <w:sz w:val="12"/>
                <w:szCs w:val="12"/>
              </w:rPr>
              <w:t>50 </w:t>
            </w:r>
          </w:p>
        </w:tc>
        <w:tc>
          <w:tcPr>
            <w:tcW w:w="0" w:type="auto"/>
            <w:shd w:val="clear" w:color="auto" w:fill="CCEEFF"/>
            <w:tcMar>
              <w:top w:w="40" w:type="dxa"/>
              <w:left w:w="0" w:type="dxa"/>
              <w:bottom w:w="40" w:type="dxa"/>
              <w:right w:w="20" w:type="dxa"/>
            </w:tcMar>
            <w:vAlign w:val="center"/>
          </w:tcPr>
          <w:p w14:paraId="74DDC8D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8D8" w14:textId="77777777" w:rsidR="00584EC1" w:rsidRDefault="00584EC1">
            <w:pPr>
              <w:rPr>
                <w:rFonts w:ascii="宋体"/>
              </w:rPr>
            </w:pPr>
          </w:p>
        </w:tc>
        <w:tc>
          <w:tcPr>
            <w:tcW w:w="0" w:type="auto"/>
            <w:shd w:val="clear" w:color="auto" w:fill="CCEEFF"/>
            <w:tcMar>
              <w:top w:w="40" w:type="dxa"/>
              <w:left w:w="20" w:type="dxa"/>
              <w:bottom w:w="40" w:type="dxa"/>
              <w:right w:w="0" w:type="dxa"/>
            </w:tcMar>
            <w:vAlign w:val="center"/>
          </w:tcPr>
          <w:p w14:paraId="74DDC8D9" w14:textId="77777777" w:rsidR="00584EC1" w:rsidRDefault="00871F8D">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74DDC8DA" w14:textId="77777777" w:rsidR="00584EC1" w:rsidRDefault="00871F8D">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4DDC8D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8DC" w14:textId="77777777" w:rsidR="00584EC1" w:rsidRDefault="00584EC1">
            <w:pPr>
              <w:rPr>
                <w:rFonts w:ascii="宋体"/>
              </w:rPr>
            </w:pPr>
          </w:p>
        </w:tc>
        <w:tc>
          <w:tcPr>
            <w:tcW w:w="0" w:type="auto"/>
            <w:shd w:val="clear" w:color="auto" w:fill="CCEEFF"/>
            <w:tcMar>
              <w:top w:w="40" w:type="dxa"/>
              <w:left w:w="20" w:type="dxa"/>
              <w:bottom w:w="40" w:type="dxa"/>
              <w:right w:w="0" w:type="dxa"/>
            </w:tcMar>
            <w:vAlign w:val="center"/>
          </w:tcPr>
          <w:p w14:paraId="74DDC8DD" w14:textId="77777777" w:rsidR="00584EC1" w:rsidRDefault="00871F8D">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74DDC8DE" w14:textId="77777777" w:rsidR="00584EC1" w:rsidRDefault="00871F8D">
            <w:pPr>
              <w:jc w:val="right"/>
              <w:textAlignment w:val="center"/>
            </w:pPr>
            <w:r>
              <w:rPr>
                <w:rFonts w:ascii="Arial" w:eastAsia="宋体" w:hAnsi="Arial" w:cs="Arial"/>
                <w:color w:val="000000"/>
                <w:sz w:val="12"/>
                <w:szCs w:val="12"/>
              </w:rPr>
              <w:t>2,538 </w:t>
            </w:r>
          </w:p>
        </w:tc>
        <w:tc>
          <w:tcPr>
            <w:tcW w:w="0" w:type="auto"/>
            <w:shd w:val="clear" w:color="auto" w:fill="CCEEFF"/>
            <w:tcMar>
              <w:top w:w="40" w:type="dxa"/>
              <w:left w:w="0" w:type="dxa"/>
              <w:bottom w:w="40" w:type="dxa"/>
              <w:right w:w="20" w:type="dxa"/>
            </w:tcMar>
            <w:vAlign w:val="center"/>
          </w:tcPr>
          <w:p w14:paraId="74DDC8DF" w14:textId="77777777" w:rsidR="00584EC1" w:rsidRDefault="00584EC1">
            <w:pPr>
              <w:jc w:val="right"/>
              <w:rPr>
                <w:rFonts w:ascii="宋体"/>
              </w:rPr>
            </w:pPr>
          </w:p>
        </w:tc>
        <w:tc>
          <w:tcPr>
            <w:tcW w:w="0" w:type="auto"/>
            <w:gridSpan w:val="2"/>
            <w:shd w:val="clear" w:color="auto" w:fill="CCEEFF"/>
            <w:tcMar>
              <w:top w:w="0" w:type="dxa"/>
              <w:left w:w="20" w:type="dxa"/>
              <w:bottom w:w="0" w:type="dxa"/>
              <w:right w:w="20" w:type="dxa"/>
            </w:tcMar>
            <w:vAlign w:val="bottom"/>
          </w:tcPr>
          <w:p w14:paraId="74DDC8E0" w14:textId="77777777" w:rsidR="00584EC1" w:rsidRDefault="00584EC1">
            <w:pPr>
              <w:rPr>
                <w:rFonts w:ascii="宋体"/>
              </w:rPr>
            </w:pPr>
          </w:p>
        </w:tc>
        <w:tc>
          <w:tcPr>
            <w:tcW w:w="0" w:type="auto"/>
            <w:shd w:val="clear" w:color="auto" w:fill="CCEEFF"/>
            <w:tcMar>
              <w:top w:w="0" w:type="dxa"/>
              <w:left w:w="20" w:type="dxa"/>
              <w:bottom w:w="0" w:type="dxa"/>
              <w:right w:w="20" w:type="dxa"/>
            </w:tcMar>
            <w:vAlign w:val="bottom"/>
          </w:tcPr>
          <w:p w14:paraId="74DDC8E1" w14:textId="77777777" w:rsidR="00584EC1" w:rsidRDefault="00584EC1">
            <w:pPr>
              <w:rPr>
                <w:rFonts w:ascii="宋体"/>
              </w:rPr>
            </w:pPr>
          </w:p>
        </w:tc>
      </w:tr>
      <w:tr w:rsidR="00584EC1" w14:paraId="74DDC8F9" w14:textId="77777777">
        <w:trPr>
          <w:hidden/>
        </w:trPr>
        <w:tc>
          <w:tcPr>
            <w:tcW w:w="0" w:type="auto"/>
            <w:gridSpan w:val="3"/>
            <w:shd w:val="clear" w:color="auto" w:fill="auto"/>
            <w:vAlign w:val="bottom"/>
          </w:tcPr>
          <w:p w14:paraId="74DDC8E3" w14:textId="77777777" w:rsidR="00584EC1" w:rsidRDefault="00584EC1">
            <w:pPr>
              <w:rPr>
                <w:rFonts w:ascii="宋体"/>
                <w:vanish/>
              </w:rPr>
            </w:pPr>
          </w:p>
        </w:tc>
        <w:tc>
          <w:tcPr>
            <w:tcW w:w="0" w:type="auto"/>
            <w:gridSpan w:val="3"/>
            <w:shd w:val="clear" w:color="auto" w:fill="auto"/>
            <w:vAlign w:val="bottom"/>
          </w:tcPr>
          <w:p w14:paraId="74DDC8E4" w14:textId="77777777" w:rsidR="00584EC1" w:rsidRDefault="00584EC1">
            <w:pPr>
              <w:rPr>
                <w:rFonts w:ascii="宋体"/>
                <w:vanish/>
              </w:rPr>
            </w:pPr>
          </w:p>
        </w:tc>
        <w:tc>
          <w:tcPr>
            <w:tcW w:w="0" w:type="auto"/>
            <w:gridSpan w:val="3"/>
            <w:shd w:val="clear" w:color="auto" w:fill="auto"/>
            <w:vAlign w:val="bottom"/>
          </w:tcPr>
          <w:p w14:paraId="74DDC8E5" w14:textId="77777777" w:rsidR="00584EC1" w:rsidRDefault="00584EC1">
            <w:pPr>
              <w:rPr>
                <w:rFonts w:ascii="宋体"/>
                <w:vanish/>
              </w:rPr>
            </w:pPr>
          </w:p>
        </w:tc>
        <w:tc>
          <w:tcPr>
            <w:tcW w:w="0" w:type="auto"/>
            <w:gridSpan w:val="3"/>
            <w:shd w:val="clear" w:color="auto" w:fill="auto"/>
            <w:vAlign w:val="bottom"/>
          </w:tcPr>
          <w:p w14:paraId="74DDC8E6" w14:textId="77777777" w:rsidR="00584EC1" w:rsidRDefault="00584EC1">
            <w:pPr>
              <w:rPr>
                <w:rFonts w:ascii="宋体"/>
                <w:vanish/>
              </w:rPr>
            </w:pPr>
          </w:p>
        </w:tc>
        <w:tc>
          <w:tcPr>
            <w:tcW w:w="0" w:type="auto"/>
            <w:gridSpan w:val="3"/>
            <w:shd w:val="clear" w:color="auto" w:fill="auto"/>
            <w:vAlign w:val="bottom"/>
          </w:tcPr>
          <w:p w14:paraId="74DDC8E7" w14:textId="77777777" w:rsidR="00584EC1" w:rsidRDefault="00584EC1">
            <w:pPr>
              <w:rPr>
                <w:rFonts w:ascii="宋体"/>
                <w:vanish/>
              </w:rPr>
            </w:pPr>
          </w:p>
        </w:tc>
        <w:tc>
          <w:tcPr>
            <w:tcW w:w="0" w:type="auto"/>
            <w:gridSpan w:val="3"/>
            <w:shd w:val="clear" w:color="auto" w:fill="auto"/>
            <w:vAlign w:val="bottom"/>
          </w:tcPr>
          <w:p w14:paraId="74DDC8E8" w14:textId="77777777" w:rsidR="00584EC1" w:rsidRDefault="00584EC1">
            <w:pPr>
              <w:rPr>
                <w:rFonts w:ascii="宋体"/>
                <w:vanish/>
              </w:rPr>
            </w:pPr>
          </w:p>
        </w:tc>
        <w:tc>
          <w:tcPr>
            <w:tcW w:w="0" w:type="auto"/>
            <w:gridSpan w:val="3"/>
            <w:shd w:val="clear" w:color="auto" w:fill="auto"/>
            <w:vAlign w:val="bottom"/>
          </w:tcPr>
          <w:p w14:paraId="74DDC8E9" w14:textId="77777777" w:rsidR="00584EC1" w:rsidRDefault="00584EC1">
            <w:pPr>
              <w:rPr>
                <w:rFonts w:ascii="宋体"/>
                <w:vanish/>
              </w:rPr>
            </w:pPr>
          </w:p>
        </w:tc>
        <w:tc>
          <w:tcPr>
            <w:tcW w:w="0" w:type="auto"/>
            <w:gridSpan w:val="3"/>
            <w:shd w:val="clear" w:color="auto" w:fill="auto"/>
            <w:vAlign w:val="bottom"/>
          </w:tcPr>
          <w:p w14:paraId="74DDC8EA" w14:textId="77777777" w:rsidR="00584EC1" w:rsidRDefault="00584EC1">
            <w:pPr>
              <w:rPr>
                <w:rFonts w:ascii="宋体"/>
                <w:vanish/>
              </w:rPr>
            </w:pPr>
          </w:p>
        </w:tc>
        <w:tc>
          <w:tcPr>
            <w:tcW w:w="0" w:type="auto"/>
            <w:shd w:val="clear" w:color="auto" w:fill="auto"/>
            <w:vAlign w:val="bottom"/>
          </w:tcPr>
          <w:p w14:paraId="74DDC8EB" w14:textId="77777777" w:rsidR="00584EC1" w:rsidRDefault="00584EC1">
            <w:pPr>
              <w:rPr>
                <w:rFonts w:ascii="宋体"/>
                <w:vanish/>
              </w:rPr>
            </w:pPr>
          </w:p>
        </w:tc>
        <w:tc>
          <w:tcPr>
            <w:tcW w:w="0" w:type="auto"/>
            <w:shd w:val="clear" w:color="auto" w:fill="auto"/>
            <w:vAlign w:val="bottom"/>
          </w:tcPr>
          <w:p w14:paraId="74DDC8EC" w14:textId="77777777" w:rsidR="00584EC1" w:rsidRDefault="00584EC1">
            <w:pPr>
              <w:rPr>
                <w:rFonts w:ascii="宋体"/>
                <w:vanish/>
              </w:rPr>
            </w:pPr>
          </w:p>
        </w:tc>
        <w:tc>
          <w:tcPr>
            <w:tcW w:w="0" w:type="auto"/>
            <w:gridSpan w:val="3"/>
            <w:shd w:val="clear" w:color="auto" w:fill="auto"/>
            <w:vAlign w:val="bottom"/>
          </w:tcPr>
          <w:p w14:paraId="74DDC8ED" w14:textId="77777777" w:rsidR="00584EC1" w:rsidRDefault="00584EC1">
            <w:pPr>
              <w:rPr>
                <w:rFonts w:ascii="宋体"/>
                <w:vanish/>
              </w:rPr>
            </w:pPr>
          </w:p>
        </w:tc>
        <w:tc>
          <w:tcPr>
            <w:tcW w:w="0" w:type="auto"/>
            <w:gridSpan w:val="3"/>
            <w:shd w:val="clear" w:color="auto" w:fill="auto"/>
            <w:vAlign w:val="bottom"/>
          </w:tcPr>
          <w:p w14:paraId="74DDC8EE" w14:textId="77777777" w:rsidR="00584EC1" w:rsidRDefault="00584EC1">
            <w:pPr>
              <w:rPr>
                <w:rFonts w:ascii="宋体"/>
                <w:vanish/>
              </w:rPr>
            </w:pPr>
          </w:p>
        </w:tc>
        <w:tc>
          <w:tcPr>
            <w:tcW w:w="0" w:type="auto"/>
            <w:gridSpan w:val="3"/>
            <w:shd w:val="clear" w:color="auto" w:fill="auto"/>
            <w:vAlign w:val="bottom"/>
          </w:tcPr>
          <w:p w14:paraId="74DDC8EF" w14:textId="77777777" w:rsidR="00584EC1" w:rsidRDefault="00584EC1">
            <w:pPr>
              <w:rPr>
                <w:rFonts w:ascii="宋体"/>
                <w:vanish/>
              </w:rPr>
            </w:pPr>
          </w:p>
        </w:tc>
        <w:tc>
          <w:tcPr>
            <w:tcW w:w="0" w:type="auto"/>
            <w:gridSpan w:val="3"/>
            <w:shd w:val="clear" w:color="auto" w:fill="auto"/>
            <w:vAlign w:val="bottom"/>
          </w:tcPr>
          <w:p w14:paraId="74DDC8F0" w14:textId="77777777" w:rsidR="00584EC1" w:rsidRDefault="00584EC1">
            <w:pPr>
              <w:rPr>
                <w:rFonts w:ascii="宋体"/>
                <w:vanish/>
              </w:rPr>
            </w:pPr>
          </w:p>
        </w:tc>
        <w:tc>
          <w:tcPr>
            <w:tcW w:w="0" w:type="auto"/>
            <w:gridSpan w:val="3"/>
            <w:shd w:val="clear" w:color="auto" w:fill="auto"/>
            <w:vAlign w:val="bottom"/>
          </w:tcPr>
          <w:p w14:paraId="74DDC8F1" w14:textId="77777777" w:rsidR="00584EC1" w:rsidRDefault="00584EC1">
            <w:pPr>
              <w:rPr>
                <w:rFonts w:ascii="宋体"/>
                <w:vanish/>
              </w:rPr>
            </w:pPr>
          </w:p>
        </w:tc>
        <w:tc>
          <w:tcPr>
            <w:tcW w:w="0" w:type="auto"/>
            <w:gridSpan w:val="3"/>
            <w:shd w:val="clear" w:color="auto" w:fill="auto"/>
            <w:vAlign w:val="bottom"/>
          </w:tcPr>
          <w:p w14:paraId="74DDC8F2" w14:textId="77777777" w:rsidR="00584EC1" w:rsidRDefault="00584EC1">
            <w:pPr>
              <w:rPr>
                <w:rFonts w:ascii="宋体"/>
                <w:vanish/>
              </w:rPr>
            </w:pPr>
          </w:p>
        </w:tc>
        <w:tc>
          <w:tcPr>
            <w:tcW w:w="0" w:type="auto"/>
            <w:gridSpan w:val="3"/>
            <w:shd w:val="clear" w:color="auto" w:fill="auto"/>
            <w:vAlign w:val="bottom"/>
          </w:tcPr>
          <w:p w14:paraId="74DDC8F3" w14:textId="77777777" w:rsidR="00584EC1" w:rsidRDefault="00584EC1">
            <w:pPr>
              <w:rPr>
                <w:rFonts w:ascii="宋体"/>
                <w:vanish/>
              </w:rPr>
            </w:pPr>
          </w:p>
        </w:tc>
        <w:tc>
          <w:tcPr>
            <w:tcW w:w="0" w:type="auto"/>
            <w:gridSpan w:val="3"/>
            <w:shd w:val="clear" w:color="auto" w:fill="auto"/>
            <w:vAlign w:val="bottom"/>
          </w:tcPr>
          <w:p w14:paraId="74DDC8F4" w14:textId="77777777" w:rsidR="00584EC1" w:rsidRDefault="00584EC1">
            <w:pPr>
              <w:rPr>
                <w:rFonts w:ascii="宋体"/>
                <w:vanish/>
              </w:rPr>
            </w:pPr>
          </w:p>
        </w:tc>
        <w:tc>
          <w:tcPr>
            <w:tcW w:w="0" w:type="auto"/>
            <w:gridSpan w:val="3"/>
            <w:shd w:val="clear" w:color="auto" w:fill="auto"/>
            <w:vAlign w:val="bottom"/>
          </w:tcPr>
          <w:p w14:paraId="74DDC8F5" w14:textId="77777777" w:rsidR="00584EC1" w:rsidRDefault="00584EC1">
            <w:pPr>
              <w:rPr>
                <w:rFonts w:ascii="宋体"/>
                <w:vanish/>
              </w:rPr>
            </w:pPr>
          </w:p>
        </w:tc>
        <w:tc>
          <w:tcPr>
            <w:tcW w:w="0" w:type="auto"/>
            <w:gridSpan w:val="3"/>
            <w:shd w:val="clear" w:color="auto" w:fill="auto"/>
            <w:vAlign w:val="bottom"/>
          </w:tcPr>
          <w:p w14:paraId="74DDC8F6" w14:textId="77777777" w:rsidR="00584EC1" w:rsidRDefault="00584EC1">
            <w:pPr>
              <w:rPr>
                <w:rFonts w:ascii="宋体"/>
                <w:vanish/>
              </w:rPr>
            </w:pPr>
          </w:p>
        </w:tc>
        <w:tc>
          <w:tcPr>
            <w:tcW w:w="0" w:type="auto"/>
            <w:gridSpan w:val="2"/>
            <w:shd w:val="clear" w:color="auto" w:fill="auto"/>
            <w:vAlign w:val="bottom"/>
          </w:tcPr>
          <w:p w14:paraId="74DDC8F7" w14:textId="77777777" w:rsidR="00584EC1" w:rsidRDefault="00584EC1">
            <w:pPr>
              <w:rPr>
                <w:rFonts w:ascii="宋体"/>
                <w:vanish/>
              </w:rPr>
            </w:pPr>
          </w:p>
        </w:tc>
        <w:tc>
          <w:tcPr>
            <w:tcW w:w="0" w:type="auto"/>
            <w:shd w:val="clear" w:color="auto" w:fill="auto"/>
            <w:vAlign w:val="bottom"/>
          </w:tcPr>
          <w:p w14:paraId="74DDC8F8" w14:textId="77777777" w:rsidR="00584EC1" w:rsidRDefault="00584EC1">
            <w:pPr>
              <w:rPr>
                <w:rFonts w:ascii="宋体"/>
                <w:vanish/>
              </w:rPr>
            </w:pPr>
          </w:p>
        </w:tc>
      </w:tr>
      <w:tr w:rsidR="00584EC1" w14:paraId="74DDC919" w14:textId="77777777">
        <w:tc>
          <w:tcPr>
            <w:tcW w:w="0" w:type="auto"/>
            <w:gridSpan w:val="3"/>
            <w:shd w:val="clear" w:color="auto" w:fill="FFFFFF"/>
            <w:tcMar>
              <w:top w:w="40" w:type="dxa"/>
              <w:left w:w="20" w:type="dxa"/>
              <w:bottom w:w="40" w:type="dxa"/>
              <w:right w:w="20" w:type="dxa"/>
            </w:tcMar>
            <w:vAlign w:val="center"/>
          </w:tcPr>
          <w:p w14:paraId="74DDC8FA" w14:textId="77777777" w:rsidR="00584EC1" w:rsidRDefault="00871F8D">
            <w:pPr>
              <w:textAlignment w:val="center"/>
            </w:pPr>
            <w:r>
              <w:rPr>
                <w:rFonts w:ascii="Arial" w:eastAsia="宋体" w:hAnsi="Arial" w:cs="Arial"/>
                <w:color w:val="000000"/>
                <w:sz w:val="12"/>
                <w:szCs w:val="12"/>
              </w:rPr>
              <w:t>Total asset-backed securities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4DDC8FB" w14:textId="77777777" w:rsidR="00584EC1" w:rsidRDefault="00871F8D">
            <w:pPr>
              <w:jc w:val="right"/>
              <w:textAlignment w:val="center"/>
            </w:pPr>
            <w:r>
              <w:rPr>
                <w:rFonts w:ascii="Arial" w:eastAsia="宋体" w:hAnsi="Arial" w:cs="Arial"/>
                <w:color w:val="000000"/>
                <w:sz w:val="12"/>
                <w:szCs w:val="12"/>
              </w:rPr>
              <w:t>1,820 </w:t>
            </w:r>
          </w:p>
        </w:tc>
        <w:tc>
          <w:tcPr>
            <w:tcW w:w="0" w:type="auto"/>
            <w:tcBorders>
              <w:top w:val="single" w:sz="8" w:space="0" w:color="000000"/>
            </w:tcBorders>
            <w:shd w:val="clear" w:color="auto" w:fill="FFFFFF"/>
            <w:tcMar>
              <w:top w:w="40" w:type="dxa"/>
              <w:left w:w="0" w:type="dxa"/>
              <w:bottom w:w="40" w:type="dxa"/>
              <w:right w:w="20" w:type="dxa"/>
            </w:tcMar>
            <w:vAlign w:val="center"/>
          </w:tcPr>
          <w:p w14:paraId="74DDC8F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8FD"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4DDC8FE" w14:textId="77777777" w:rsidR="00584EC1" w:rsidRDefault="00871F8D">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4DDC8F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900"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4DDC901" w14:textId="77777777" w:rsidR="00584EC1" w:rsidRDefault="00871F8D">
            <w:pPr>
              <w:jc w:val="right"/>
              <w:textAlignment w:val="center"/>
            </w:pPr>
            <w:r>
              <w:rPr>
                <w:rFonts w:ascii="Arial" w:eastAsia="宋体" w:hAnsi="Arial" w:cs="Arial"/>
                <w:color w:val="000000"/>
                <w:sz w:val="12"/>
                <w:szCs w:val="12"/>
              </w:rPr>
              <w:t>(10)</w:t>
            </w:r>
          </w:p>
        </w:tc>
        <w:tc>
          <w:tcPr>
            <w:tcW w:w="0" w:type="auto"/>
            <w:tcBorders>
              <w:top w:val="single" w:sz="8" w:space="0" w:color="000000"/>
            </w:tcBorders>
            <w:shd w:val="clear" w:color="auto" w:fill="FFFFFF"/>
            <w:tcMar>
              <w:top w:w="40" w:type="dxa"/>
              <w:left w:w="0" w:type="dxa"/>
              <w:bottom w:w="40" w:type="dxa"/>
              <w:right w:w="20" w:type="dxa"/>
            </w:tcMar>
            <w:vAlign w:val="center"/>
          </w:tcPr>
          <w:p w14:paraId="74DDC90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903"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4DDC904" w14:textId="77777777" w:rsidR="00584EC1" w:rsidRDefault="00871F8D">
            <w:pPr>
              <w:jc w:val="right"/>
              <w:textAlignment w:val="center"/>
            </w:pPr>
            <w:r>
              <w:rPr>
                <w:rFonts w:ascii="Arial" w:eastAsia="宋体" w:hAnsi="Arial" w:cs="Arial"/>
                <w:color w:val="000000"/>
                <w:sz w:val="12"/>
                <w:szCs w:val="12"/>
              </w:rPr>
              <w:t>850 </w:t>
            </w:r>
          </w:p>
        </w:tc>
        <w:tc>
          <w:tcPr>
            <w:tcW w:w="0" w:type="auto"/>
            <w:tcBorders>
              <w:top w:val="single" w:sz="8" w:space="0" w:color="000000"/>
            </w:tcBorders>
            <w:shd w:val="clear" w:color="auto" w:fill="FFFFFF"/>
            <w:tcMar>
              <w:top w:w="40" w:type="dxa"/>
              <w:left w:w="0" w:type="dxa"/>
              <w:bottom w:w="40" w:type="dxa"/>
              <w:right w:w="20" w:type="dxa"/>
            </w:tcMar>
            <w:vAlign w:val="center"/>
          </w:tcPr>
          <w:p w14:paraId="74DDC905" w14:textId="77777777" w:rsidR="00584EC1" w:rsidRDefault="00584EC1">
            <w:pPr>
              <w:jc w:val="right"/>
              <w:rPr>
                <w:rFonts w:ascii="宋体"/>
              </w:rPr>
            </w:pPr>
          </w:p>
        </w:tc>
        <w:tc>
          <w:tcPr>
            <w:tcW w:w="0" w:type="auto"/>
            <w:shd w:val="clear" w:color="auto" w:fill="auto"/>
            <w:vAlign w:val="bottom"/>
          </w:tcPr>
          <w:p w14:paraId="74DDC906" w14:textId="77777777" w:rsidR="00584EC1" w:rsidRDefault="00584EC1">
            <w:pPr>
              <w:rPr>
                <w:rFonts w:ascii="宋体"/>
                <w:vanish/>
              </w:rPr>
            </w:pPr>
          </w:p>
        </w:tc>
        <w:tc>
          <w:tcPr>
            <w:tcW w:w="0" w:type="auto"/>
            <w:shd w:val="clear" w:color="auto" w:fill="auto"/>
            <w:vAlign w:val="bottom"/>
          </w:tcPr>
          <w:p w14:paraId="74DDC907" w14:textId="77777777" w:rsidR="00584EC1" w:rsidRDefault="00584EC1">
            <w:pPr>
              <w:rPr>
                <w:rFonts w:ascii="宋体"/>
                <w:vanish/>
              </w:rPr>
            </w:pPr>
          </w:p>
        </w:tc>
        <w:tc>
          <w:tcPr>
            <w:tcW w:w="0" w:type="auto"/>
            <w:gridSpan w:val="3"/>
            <w:shd w:val="clear" w:color="auto" w:fill="FFFFFF"/>
            <w:tcMar>
              <w:top w:w="0" w:type="dxa"/>
              <w:left w:w="20" w:type="dxa"/>
              <w:bottom w:w="0" w:type="dxa"/>
              <w:right w:w="20" w:type="dxa"/>
            </w:tcMar>
            <w:vAlign w:val="bottom"/>
          </w:tcPr>
          <w:p w14:paraId="74DDC908"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4DDC909" w14:textId="77777777" w:rsidR="00584EC1" w:rsidRDefault="00871F8D">
            <w:pPr>
              <w:jc w:val="right"/>
              <w:textAlignment w:val="center"/>
            </w:pPr>
            <w:r>
              <w:rPr>
                <w:rFonts w:ascii="Arial" w:eastAsia="宋体" w:hAnsi="Arial" w:cs="Arial"/>
                <w:color w:val="000000"/>
                <w:sz w:val="12"/>
                <w:szCs w:val="12"/>
              </w:rPr>
              <w:t>(95)</w:t>
            </w:r>
          </w:p>
        </w:tc>
        <w:tc>
          <w:tcPr>
            <w:tcW w:w="0" w:type="auto"/>
            <w:tcBorders>
              <w:top w:val="single" w:sz="8" w:space="0" w:color="000000"/>
            </w:tcBorders>
            <w:shd w:val="clear" w:color="auto" w:fill="FFFFFF"/>
            <w:tcMar>
              <w:top w:w="40" w:type="dxa"/>
              <w:left w:w="0" w:type="dxa"/>
              <w:bottom w:w="40" w:type="dxa"/>
              <w:right w:w="20" w:type="dxa"/>
            </w:tcMar>
            <w:vAlign w:val="center"/>
          </w:tcPr>
          <w:p w14:paraId="74DDC90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90B"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4DDC90C" w14:textId="77777777" w:rsidR="00584EC1" w:rsidRDefault="00871F8D">
            <w:pPr>
              <w:jc w:val="right"/>
              <w:textAlignment w:val="center"/>
            </w:pPr>
            <w:r>
              <w:rPr>
                <w:rFonts w:ascii="Arial" w:eastAsia="宋体" w:hAnsi="Arial" w:cs="Arial"/>
                <w:color w:val="000000"/>
                <w:sz w:val="12"/>
                <w:szCs w:val="12"/>
              </w:rPr>
              <w:t>(77)</w:t>
            </w:r>
          </w:p>
        </w:tc>
        <w:tc>
          <w:tcPr>
            <w:tcW w:w="0" w:type="auto"/>
            <w:tcBorders>
              <w:top w:val="single" w:sz="8" w:space="0" w:color="000000"/>
            </w:tcBorders>
            <w:shd w:val="clear" w:color="auto" w:fill="FFFFFF"/>
            <w:tcMar>
              <w:top w:w="40" w:type="dxa"/>
              <w:left w:w="0" w:type="dxa"/>
              <w:bottom w:w="40" w:type="dxa"/>
              <w:right w:w="20" w:type="dxa"/>
            </w:tcMar>
            <w:vAlign w:val="center"/>
          </w:tcPr>
          <w:p w14:paraId="74DDC90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90E"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4DDC90F" w14:textId="77777777" w:rsidR="00584EC1" w:rsidRDefault="00871F8D">
            <w:pPr>
              <w:jc w:val="right"/>
              <w:textAlignment w:val="center"/>
            </w:pPr>
            <w:r>
              <w:rPr>
                <w:rFonts w:ascii="Arial" w:eastAsia="宋体" w:hAnsi="Arial" w:cs="Arial"/>
                <w:color w:val="000000"/>
                <w:sz w:val="12"/>
                <w:szCs w:val="12"/>
              </w:rPr>
              <w:t>50 </w:t>
            </w:r>
          </w:p>
        </w:tc>
        <w:tc>
          <w:tcPr>
            <w:tcW w:w="0" w:type="auto"/>
            <w:tcBorders>
              <w:top w:val="single" w:sz="8" w:space="0" w:color="000000"/>
            </w:tcBorders>
            <w:shd w:val="clear" w:color="auto" w:fill="FFFFFF"/>
            <w:tcMar>
              <w:top w:w="40" w:type="dxa"/>
              <w:left w:w="0" w:type="dxa"/>
              <w:bottom w:w="40" w:type="dxa"/>
              <w:right w:w="20" w:type="dxa"/>
            </w:tcMar>
            <w:vAlign w:val="center"/>
          </w:tcPr>
          <w:p w14:paraId="74DDC91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911"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4DDC912" w14:textId="77777777" w:rsidR="00584EC1" w:rsidRDefault="00871F8D">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4DDC91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914"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4DDC915" w14:textId="77777777" w:rsidR="00584EC1" w:rsidRDefault="00871F8D">
            <w:pPr>
              <w:jc w:val="right"/>
              <w:textAlignment w:val="center"/>
            </w:pPr>
            <w:r>
              <w:rPr>
                <w:rFonts w:ascii="Arial" w:eastAsia="宋体" w:hAnsi="Arial" w:cs="Arial"/>
                <w:color w:val="000000"/>
                <w:sz w:val="12"/>
                <w:szCs w:val="12"/>
              </w:rPr>
              <w:t>2,538 </w:t>
            </w:r>
          </w:p>
        </w:tc>
        <w:tc>
          <w:tcPr>
            <w:tcW w:w="0" w:type="auto"/>
            <w:tcBorders>
              <w:top w:val="single" w:sz="8" w:space="0" w:color="000000"/>
            </w:tcBorders>
            <w:shd w:val="clear" w:color="auto" w:fill="FFFFFF"/>
            <w:tcMar>
              <w:top w:w="40" w:type="dxa"/>
              <w:left w:w="0" w:type="dxa"/>
              <w:bottom w:w="40" w:type="dxa"/>
              <w:right w:w="20" w:type="dxa"/>
            </w:tcMar>
            <w:vAlign w:val="center"/>
          </w:tcPr>
          <w:p w14:paraId="74DDC916" w14:textId="77777777" w:rsidR="00584EC1" w:rsidRDefault="00584EC1">
            <w:pPr>
              <w:jc w:val="right"/>
              <w:rPr>
                <w:rFonts w:ascii="宋体"/>
              </w:rPr>
            </w:pPr>
          </w:p>
        </w:tc>
        <w:tc>
          <w:tcPr>
            <w:tcW w:w="0" w:type="auto"/>
            <w:gridSpan w:val="2"/>
            <w:shd w:val="clear" w:color="auto" w:fill="FFFFFF"/>
            <w:tcMar>
              <w:top w:w="0" w:type="dxa"/>
              <w:left w:w="20" w:type="dxa"/>
              <w:bottom w:w="0" w:type="dxa"/>
              <w:right w:w="20" w:type="dxa"/>
            </w:tcMar>
            <w:vAlign w:val="bottom"/>
          </w:tcPr>
          <w:p w14:paraId="74DDC917" w14:textId="77777777" w:rsidR="00584EC1" w:rsidRDefault="00584EC1">
            <w:pPr>
              <w:rPr>
                <w:rFonts w:ascii="宋体"/>
              </w:rPr>
            </w:pPr>
          </w:p>
        </w:tc>
        <w:tc>
          <w:tcPr>
            <w:tcW w:w="0" w:type="auto"/>
            <w:shd w:val="clear" w:color="auto" w:fill="FFFFFF"/>
            <w:tcMar>
              <w:top w:w="0" w:type="dxa"/>
              <w:left w:w="20" w:type="dxa"/>
              <w:bottom w:w="0" w:type="dxa"/>
              <w:right w:w="20" w:type="dxa"/>
            </w:tcMar>
            <w:vAlign w:val="bottom"/>
          </w:tcPr>
          <w:p w14:paraId="74DDC918" w14:textId="77777777" w:rsidR="00584EC1" w:rsidRDefault="00584EC1">
            <w:pPr>
              <w:rPr>
                <w:rFonts w:ascii="宋体"/>
              </w:rPr>
            </w:pPr>
          </w:p>
        </w:tc>
      </w:tr>
      <w:tr w:rsidR="00584EC1" w14:paraId="74DDC930" w14:textId="77777777">
        <w:tc>
          <w:tcPr>
            <w:tcW w:w="0" w:type="auto"/>
            <w:gridSpan w:val="3"/>
            <w:shd w:val="clear" w:color="auto" w:fill="CCEEFF"/>
            <w:tcMar>
              <w:top w:w="40" w:type="dxa"/>
              <w:left w:w="20" w:type="dxa"/>
              <w:bottom w:w="40" w:type="dxa"/>
              <w:right w:w="20" w:type="dxa"/>
            </w:tcMar>
            <w:vAlign w:val="center"/>
          </w:tcPr>
          <w:p w14:paraId="74DDC91A" w14:textId="77777777" w:rsidR="00584EC1" w:rsidRDefault="00871F8D">
            <w:pPr>
              <w:textAlignment w:val="center"/>
            </w:pPr>
            <w:r>
              <w:rPr>
                <w:rFonts w:ascii="Arial" w:eastAsia="宋体" w:hAnsi="Arial" w:cs="Arial"/>
                <w:color w:val="000000"/>
                <w:sz w:val="12"/>
                <w:szCs w:val="12"/>
              </w:rPr>
              <w:t>Non-U.S. debt securities:</w:t>
            </w:r>
          </w:p>
        </w:tc>
        <w:tc>
          <w:tcPr>
            <w:tcW w:w="0" w:type="auto"/>
            <w:gridSpan w:val="3"/>
            <w:shd w:val="clear" w:color="auto" w:fill="CCEEFF"/>
            <w:tcMar>
              <w:top w:w="0" w:type="dxa"/>
              <w:left w:w="20" w:type="dxa"/>
              <w:bottom w:w="0" w:type="dxa"/>
              <w:right w:w="20" w:type="dxa"/>
            </w:tcMar>
            <w:vAlign w:val="bottom"/>
          </w:tcPr>
          <w:p w14:paraId="74DDC91B"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91C"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91D"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91E"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91F"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920"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921" w14:textId="77777777" w:rsidR="00584EC1" w:rsidRDefault="00584EC1">
            <w:pPr>
              <w:rPr>
                <w:rFonts w:ascii="宋体"/>
              </w:rPr>
            </w:pPr>
          </w:p>
        </w:tc>
        <w:tc>
          <w:tcPr>
            <w:tcW w:w="0" w:type="auto"/>
            <w:shd w:val="clear" w:color="auto" w:fill="auto"/>
            <w:vAlign w:val="bottom"/>
          </w:tcPr>
          <w:p w14:paraId="74DDC922" w14:textId="77777777" w:rsidR="00584EC1" w:rsidRDefault="00584EC1">
            <w:pPr>
              <w:rPr>
                <w:rFonts w:ascii="宋体"/>
                <w:vanish/>
              </w:rPr>
            </w:pPr>
          </w:p>
        </w:tc>
        <w:tc>
          <w:tcPr>
            <w:tcW w:w="0" w:type="auto"/>
            <w:shd w:val="clear" w:color="auto" w:fill="auto"/>
            <w:vAlign w:val="bottom"/>
          </w:tcPr>
          <w:p w14:paraId="74DDC923" w14:textId="77777777" w:rsidR="00584EC1" w:rsidRDefault="00584EC1">
            <w:pPr>
              <w:rPr>
                <w:rFonts w:ascii="宋体"/>
                <w:vanish/>
              </w:rPr>
            </w:pPr>
          </w:p>
        </w:tc>
        <w:tc>
          <w:tcPr>
            <w:tcW w:w="0" w:type="auto"/>
            <w:gridSpan w:val="3"/>
            <w:shd w:val="clear" w:color="auto" w:fill="CCEEFF"/>
            <w:tcMar>
              <w:top w:w="0" w:type="dxa"/>
              <w:left w:w="20" w:type="dxa"/>
              <w:bottom w:w="0" w:type="dxa"/>
              <w:right w:w="20" w:type="dxa"/>
            </w:tcMar>
            <w:vAlign w:val="bottom"/>
          </w:tcPr>
          <w:p w14:paraId="74DDC924"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925"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926"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927"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928"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929"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92A"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92B"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92C"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92D" w14:textId="77777777" w:rsidR="00584EC1" w:rsidRDefault="00584EC1">
            <w:pPr>
              <w:rPr>
                <w:rFonts w:ascii="宋体"/>
              </w:rPr>
            </w:pPr>
          </w:p>
        </w:tc>
        <w:tc>
          <w:tcPr>
            <w:tcW w:w="0" w:type="auto"/>
            <w:gridSpan w:val="2"/>
            <w:shd w:val="clear" w:color="auto" w:fill="CCEEFF"/>
            <w:tcMar>
              <w:top w:w="0" w:type="dxa"/>
              <w:left w:w="20" w:type="dxa"/>
              <w:bottom w:w="0" w:type="dxa"/>
              <w:right w:w="20" w:type="dxa"/>
            </w:tcMar>
            <w:vAlign w:val="bottom"/>
          </w:tcPr>
          <w:p w14:paraId="74DDC92E" w14:textId="77777777" w:rsidR="00584EC1" w:rsidRDefault="00584EC1">
            <w:pPr>
              <w:rPr>
                <w:rFonts w:ascii="宋体"/>
              </w:rPr>
            </w:pPr>
          </w:p>
        </w:tc>
        <w:tc>
          <w:tcPr>
            <w:tcW w:w="0" w:type="auto"/>
            <w:shd w:val="clear" w:color="auto" w:fill="CCEEFF"/>
            <w:tcMar>
              <w:top w:w="0" w:type="dxa"/>
              <w:left w:w="20" w:type="dxa"/>
              <w:bottom w:w="0" w:type="dxa"/>
              <w:right w:w="20" w:type="dxa"/>
            </w:tcMar>
            <w:vAlign w:val="bottom"/>
          </w:tcPr>
          <w:p w14:paraId="74DDC92F" w14:textId="77777777" w:rsidR="00584EC1" w:rsidRDefault="00584EC1">
            <w:pPr>
              <w:rPr>
                <w:rFonts w:ascii="宋体"/>
              </w:rPr>
            </w:pPr>
          </w:p>
        </w:tc>
      </w:tr>
      <w:tr w:rsidR="00584EC1" w14:paraId="74DDC947" w14:textId="77777777">
        <w:trPr>
          <w:hidden/>
        </w:trPr>
        <w:tc>
          <w:tcPr>
            <w:tcW w:w="0" w:type="auto"/>
            <w:gridSpan w:val="3"/>
            <w:shd w:val="clear" w:color="auto" w:fill="auto"/>
            <w:vAlign w:val="bottom"/>
          </w:tcPr>
          <w:p w14:paraId="74DDC931" w14:textId="77777777" w:rsidR="00584EC1" w:rsidRDefault="00584EC1">
            <w:pPr>
              <w:rPr>
                <w:rFonts w:ascii="宋体"/>
                <w:vanish/>
              </w:rPr>
            </w:pPr>
          </w:p>
        </w:tc>
        <w:tc>
          <w:tcPr>
            <w:tcW w:w="0" w:type="auto"/>
            <w:gridSpan w:val="3"/>
            <w:shd w:val="clear" w:color="auto" w:fill="auto"/>
            <w:vAlign w:val="bottom"/>
          </w:tcPr>
          <w:p w14:paraId="74DDC932" w14:textId="77777777" w:rsidR="00584EC1" w:rsidRDefault="00584EC1">
            <w:pPr>
              <w:rPr>
                <w:rFonts w:ascii="宋体"/>
                <w:vanish/>
              </w:rPr>
            </w:pPr>
          </w:p>
        </w:tc>
        <w:tc>
          <w:tcPr>
            <w:tcW w:w="0" w:type="auto"/>
            <w:gridSpan w:val="3"/>
            <w:shd w:val="clear" w:color="auto" w:fill="auto"/>
            <w:vAlign w:val="bottom"/>
          </w:tcPr>
          <w:p w14:paraId="74DDC933" w14:textId="77777777" w:rsidR="00584EC1" w:rsidRDefault="00584EC1">
            <w:pPr>
              <w:rPr>
                <w:rFonts w:ascii="宋体"/>
                <w:vanish/>
              </w:rPr>
            </w:pPr>
          </w:p>
        </w:tc>
        <w:tc>
          <w:tcPr>
            <w:tcW w:w="0" w:type="auto"/>
            <w:gridSpan w:val="3"/>
            <w:shd w:val="clear" w:color="auto" w:fill="auto"/>
            <w:vAlign w:val="bottom"/>
          </w:tcPr>
          <w:p w14:paraId="74DDC934" w14:textId="77777777" w:rsidR="00584EC1" w:rsidRDefault="00584EC1">
            <w:pPr>
              <w:rPr>
                <w:rFonts w:ascii="宋体"/>
                <w:vanish/>
              </w:rPr>
            </w:pPr>
          </w:p>
        </w:tc>
        <w:tc>
          <w:tcPr>
            <w:tcW w:w="0" w:type="auto"/>
            <w:gridSpan w:val="3"/>
            <w:shd w:val="clear" w:color="auto" w:fill="auto"/>
            <w:vAlign w:val="bottom"/>
          </w:tcPr>
          <w:p w14:paraId="74DDC935" w14:textId="77777777" w:rsidR="00584EC1" w:rsidRDefault="00584EC1">
            <w:pPr>
              <w:rPr>
                <w:rFonts w:ascii="宋体"/>
                <w:vanish/>
              </w:rPr>
            </w:pPr>
          </w:p>
        </w:tc>
        <w:tc>
          <w:tcPr>
            <w:tcW w:w="0" w:type="auto"/>
            <w:gridSpan w:val="3"/>
            <w:shd w:val="clear" w:color="auto" w:fill="auto"/>
            <w:vAlign w:val="bottom"/>
          </w:tcPr>
          <w:p w14:paraId="74DDC936" w14:textId="77777777" w:rsidR="00584EC1" w:rsidRDefault="00584EC1">
            <w:pPr>
              <w:rPr>
                <w:rFonts w:ascii="宋体"/>
                <w:vanish/>
              </w:rPr>
            </w:pPr>
          </w:p>
        </w:tc>
        <w:tc>
          <w:tcPr>
            <w:tcW w:w="0" w:type="auto"/>
            <w:gridSpan w:val="3"/>
            <w:shd w:val="clear" w:color="auto" w:fill="auto"/>
            <w:vAlign w:val="bottom"/>
          </w:tcPr>
          <w:p w14:paraId="74DDC937" w14:textId="77777777" w:rsidR="00584EC1" w:rsidRDefault="00584EC1">
            <w:pPr>
              <w:rPr>
                <w:rFonts w:ascii="宋体"/>
                <w:vanish/>
              </w:rPr>
            </w:pPr>
          </w:p>
        </w:tc>
        <w:tc>
          <w:tcPr>
            <w:tcW w:w="0" w:type="auto"/>
            <w:gridSpan w:val="3"/>
            <w:shd w:val="clear" w:color="auto" w:fill="auto"/>
            <w:vAlign w:val="bottom"/>
          </w:tcPr>
          <w:p w14:paraId="74DDC938" w14:textId="77777777" w:rsidR="00584EC1" w:rsidRDefault="00584EC1">
            <w:pPr>
              <w:rPr>
                <w:rFonts w:ascii="宋体"/>
                <w:vanish/>
              </w:rPr>
            </w:pPr>
          </w:p>
        </w:tc>
        <w:tc>
          <w:tcPr>
            <w:tcW w:w="0" w:type="auto"/>
            <w:shd w:val="clear" w:color="auto" w:fill="auto"/>
            <w:vAlign w:val="bottom"/>
          </w:tcPr>
          <w:p w14:paraId="74DDC939" w14:textId="77777777" w:rsidR="00584EC1" w:rsidRDefault="00584EC1">
            <w:pPr>
              <w:rPr>
                <w:rFonts w:ascii="宋体"/>
                <w:vanish/>
              </w:rPr>
            </w:pPr>
          </w:p>
        </w:tc>
        <w:tc>
          <w:tcPr>
            <w:tcW w:w="0" w:type="auto"/>
            <w:shd w:val="clear" w:color="auto" w:fill="auto"/>
            <w:vAlign w:val="bottom"/>
          </w:tcPr>
          <w:p w14:paraId="74DDC93A" w14:textId="77777777" w:rsidR="00584EC1" w:rsidRDefault="00584EC1">
            <w:pPr>
              <w:rPr>
                <w:rFonts w:ascii="宋体"/>
                <w:vanish/>
              </w:rPr>
            </w:pPr>
          </w:p>
        </w:tc>
        <w:tc>
          <w:tcPr>
            <w:tcW w:w="0" w:type="auto"/>
            <w:gridSpan w:val="3"/>
            <w:shd w:val="clear" w:color="auto" w:fill="auto"/>
            <w:vAlign w:val="bottom"/>
          </w:tcPr>
          <w:p w14:paraId="74DDC93B" w14:textId="77777777" w:rsidR="00584EC1" w:rsidRDefault="00584EC1">
            <w:pPr>
              <w:rPr>
                <w:rFonts w:ascii="宋体"/>
                <w:vanish/>
              </w:rPr>
            </w:pPr>
          </w:p>
        </w:tc>
        <w:tc>
          <w:tcPr>
            <w:tcW w:w="0" w:type="auto"/>
            <w:gridSpan w:val="3"/>
            <w:shd w:val="clear" w:color="auto" w:fill="auto"/>
            <w:vAlign w:val="bottom"/>
          </w:tcPr>
          <w:p w14:paraId="74DDC93C" w14:textId="77777777" w:rsidR="00584EC1" w:rsidRDefault="00584EC1">
            <w:pPr>
              <w:rPr>
                <w:rFonts w:ascii="宋体"/>
                <w:vanish/>
              </w:rPr>
            </w:pPr>
          </w:p>
        </w:tc>
        <w:tc>
          <w:tcPr>
            <w:tcW w:w="0" w:type="auto"/>
            <w:gridSpan w:val="3"/>
            <w:shd w:val="clear" w:color="auto" w:fill="auto"/>
            <w:vAlign w:val="bottom"/>
          </w:tcPr>
          <w:p w14:paraId="74DDC93D" w14:textId="77777777" w:rsidR="00584EC1" w:rsidRDefault="00584EC1">
            <w:pPr>
              <w:rPr>
                <w:rFonts w:ascii="宋体"/>
                <w:vanish/>
              </w:rPr>
            </w:pPr>
          </w:p>
        </w:tc>
        <w:tc>
          <w:tcPr>
            <w:tcW w:w="0" w:type="auto"/>
            <w:gridSpan w:val="3"/>
            <w:shd w:val="clear" w:color="auto" w:fill="auto"/>
            <w:vAlign w:val="bottom"/>
          </w:tcPr>
          <w:p w14:paraId="74DDC93E" w14:textId="77777777" w:rsidR="00584EC1" w:rsidRDefault="00584EC1">
            <w:pPr>
              <w:rPr>
                <w:rFonts w:ascii="宋体"/>
                <w:vanish/>
              </w:rPr>
            </w:pPr>
          </w:p>
        </w:tc>
        <w:tc>
          <w:tcPr>
            <w:tcW w:w="0" w:type="auto"/>
            <w:gridSpan w:val="3"/>
            <w:shd w:val="clear" w:color="auto" w:fill="auto"/>
            <w:vAlign w:val="bottom"/>
          </w:tcPr>
          <w:p w14:paraId="74DDC93F" w14:textId="77777777" w:rsidR="00584EC1" w:rsidRDefault="00584EC1">
            <w:pPr>
              <w:rPr>
                <w:rFonts w:ascii="宋体"/>
                <w:vanish/>
              </w:rPr>
            </w:pPr>
          </w:p>
        </w:tc>
        <w:tc>
          <w:tcPr>
            <w:tcW w:w="0" w:type="auto"/>
            <w:gridSpan w:val="3"/>
            <w:shd w:val="clear" w:color="auto" w:fill="auto"/>
            <w:vAlign w:val="bottom"/>
          </w:tcPr>
          <w:p w14:paraId="74DDC940" w14:textId="77777777" w:rsidR="00584EC1" w:rsidRDefault="00584EC1">
            <w:pPr>
              <w:rPr>
                <w:rFonts w:ascii="宋体"/>
                <w:vanish/>
              </w:rPr>
            </w:pPr>
          </w:p>
        </w:tc>
        <w:tc>
          <w:tcPr>
            <w:tcW w:w="0" w:type="auto"/>
            <w:gridSpan w:val="3"/>
            <w:shd w:val="clear" w:color="auto" w:fill="auto"/>
            <w:vAlign w:val="bottom"/>
          </w:tcPr>
          <w:p w14:paraId="74DDC941" w14:textId="77777777" w:rsidR="00584EC1" w:rsidRDefault="00584EC1">
            <w:pPr>
              <w:rPr>
                <w:rFonts w:ascii="宋体"/>
                <w:vanish/>
              </w:rPr>
            </w:pPr>
          </w:p>
        </w:tc>
        <w:tc>
          <w:tcPr>
            <w:tcW w:w="0" w:type="auto"/>
            <w:gridSpan w:val="3"/>
            <w:shd w:val="clear" w:color="auto" w:fill="auto"/>
            <w:vAlign w:val="bottom"/>
          </w:tcPr>
          <w:p w14:paraId="74DDC942" w14:textId="77777777" w:rsidR="00584EC1" w:rsidRDefault="00584EC1">
            <w:pPr>
              <w:rPr>
                <w:rFonts w:ascii="宋体"/>
                <w:vanish/>
              </w:rPr>
            </w:pPr>
          </w:p>
        </w:tc>
        <w:tc>
          <w:tcPr>
            <w:tcW w:w="0" w:type="auto"/>
            <w:gridSpan w:val="3"/>
            <w:shd w:val="clear" w:color="auto" w:fill="auto"/>
            <w:vAlign w:val="bottom"/>
          </w:tcPr>
          <w:p w14:paraId="74DDC943" w14:textId="77777777" w:rsidR="00584EC1" w:rsidRDefault="00584EC1">
            <w:pPr>
              <w:rPr>
                <w:rFonts w:ascii="宋体"/>
                <w:vanish/>
              </w:rPr>
            </w:pPr>
          </w:p>
        </w:tc>
        <w:tc>
          <w:tcPr>
            <w:tcW w:w="0" w:type="auto"/>
            <w:gridSpan w:val="3"/>
            <w:shd w:val="clear" w:color="auto" w:fill="auto"/>
            <w:vAlign w:val="bottom"/>
          </w:tcPr>
          <w:p w14:paraId="74DDC944" w14:textId="77777777" w:rsidR="00584EC1" w:rsidRDefault="00584EC1">
            <w:pPr>
              <w:rPr>
                <w:rFonts w:ascii="宋体"/>
                <w:vanish/>
              </w:rPr>
            </w:pPr>
          </w:p>
        </w:tc>
        <w:tc>
          <w:tcPr>
            <w:tcW w:w="0" w:type="auto"/>
            <w:gridSpan w:val="2"/>
            <w:shd w:val="clear" w:color="auto" w:fill="auto"/>
            <w:vAlign w:val="bottom"/>
          </w:tcPr>
          <w:p w14:paraId="74DDC945" w14:textId="77777777" w:rsidR="00584EC1" w:rsidRDefault="00584EC1">
            <w:pPr>
              <w:rPr>
                <w:rFonts w:ascii="宋体"/>
                <w:vanish/>
              </w:rPr>
            </w:pPr>
          </w:p>
        </w:tc>
        <w:tc>
          <w:tcPr>
            <w:tcW w:w="0" w:type="auto"/>
            <w:shd w:val="clear" w:color="auto" w:fill="auto"/>
            <w:vAlign w:val="bottom"/>
          </w:tcPr>
          <w:p w14:paraId="74DDC946" w14:textId="77777777" w:rsidR="00584EC1" w:rsidRDefault="00584EC1">
            <w:pPr>
              <w:rPr>
                <w:rFonts w:ascii="宋体"/>
                <w:vanish/>
              </w:rPr>
            </w:pPr>
          </w:p>
        </w:tc>
      </w:tr>
      <w:tr w:rsidR="00584EC1" w14:paraId="74DDC967" w14:textId="77777777">
        <w:tc>
          <w:tcPr>
            <w:tcW w:w="0" w:type="auto"/>
            <w:gridSpan w:val="3"/>
            <w:shd w:val="clear" w:color="auto" w:fill="FFFFFF"/>
            <w:tcMar>
              <w:top w:w="40" w:type="dxa"/>
              <w:left w:w="155" w:type="dxa"/>
              <w:bottom w:w="40" w:type="dxa"/>
              <w:right w:w="20" w:type="dxa"/>
            </w:tcMar>
            <w:vAlign w:val="center"/>
          </w:tcPr>
          <w:p w14:paraId="74DDC948" w14:textId="77777777" w:rsidR="00584EC1" w:rsidRDefault="00871F8D">
            <w:pPr>
              <w:textAlignment w:val="center"/>
            </w:pPr>
            <w:r>
              <w:rPr>
                <w:rFonts w:ascii="Arial" w:eastAsia="宋体" w:hAnsi="Arial" w:cs="Arial"/>
                <w:color w:val="000000"/>
                <w:sz w:val="12"/>
                <w:szCs w:val="12"/>
              </w:rPr>
              <w:t>Asset-backed securities</w:t>
            </w:r>
          </w:p>
        </w:tc>
        <w:tc>
          <w:tcPr>
            <w:tcW w:w="0" w:type="auto"/>
            <w:gridSpan w:val="2"/>
            <w:shd w:val="clear" w:color="auto" w:fill="FFFFFF"/>
            <w:tcMar>
              <w:top w:w="40" w:type="dxa"/>
              <w:left w:w="20" w:type="dxa"/>
              <w:bottom w:w="40" w:type="dxa"/>
              <w:right w:w="0" w:type="dxa"/>
            </w:tcMar>
            <w:vAlign w:val="center"/>
          </w:tcPr>
          <w:p w14:paraId="74DDC949" w14:textId="77777777" w:rsidR="00584EC1" w:rsidRDefault="00871F8D">
            <w:pPr>
              <w:jc w:val="right"/>
              <w:textAlignment w:val="center"/>
            </w:pPr>
            <w:r>
              <w:rPr>
                <w:rFonts w:ascii="Arial" w:eastAsia="宋体" w:hAnsi="Arial" w:cs="Arial"/>
                <w:color w:val="000000"/>
                <w:sz w:val="12"/>
                <w:szCs w:val="12"/>
              </w:rPr>
              <w:t>887 </w:t>
            </w:r>
          </w:p>
        </w:tc>
        <w:tc>
          <w:tcPr>
            <w:tcW w:w="0" w:type="auto"/>
            <w:shd w:val="clear" w:color="auto" w:fill="FFFFFF"/>
            <w:tcMar>
              <w:top w:w="40" w:type="dxa"/>
              <w:left w:w="0" w:type="dxa"/>
              <w:bottom w:w="40" w:type="dxa"/>
              <w:right w:w="20" w:type="dxa"/>
            </w:tcMar>
            <w:vAlign w:val="center"/>
          </w:tcPr>
          <w:p w14:paraId="74DDC94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94B"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center"/>
          </w:tcPr>
          <w:p w14:paraId="74DDC94C" w14:textId="77777777" w:rsidR="00584EC1" w:rsidRDefault="00871F8D">
            <w:pPr>
              <w:jc w:val="right"/>
              <w:textAlignment w:val="center"/>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74DDC94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94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center"/>
          </w:tcPr>
          <w:p w14:paraId="74DDC94F" w14:textId="77777777" w:rsidR="00584EC1" w:rsidRDefault="00871F8D">
            <w:pPr>
              <w:jc w:val="right"/>
              <w:textAlignment w:val="center"/>
            </w:pPr>
            <w:r>
              <w:rPr>
                <w:rFonts w:ascii="Arial" w:eastAsia="宋体" w:hAnsi="Arial" w:cs="Arial"/>
                <w:color w:val="000000"/>
                <w:sz w:val="12"/>
                <w:szCs w:val="12"/>
              </w:rPr>
              <w:t>35 </w:t>
            </w:r>
          </w:p>
        </w:tc>
        <w:tc>
          <w:tcPr>
            <w:tcW w:w="0" w:type="auto"/>
            <w:shd w:val="clear" w:color="auto" w:fill="FFFFFF"/>
            <w:tcMar>
              <w:top w:w="40" w:type="dxa"/>
              <w:left w:w="0" w:type="dxa"/>
              <w:bottom w:w="40" w:type="dxa"/>
              <w:right w:w="20" w:type="dxa"/>
            </w:tcMar>
            <w:vAlign w:val="center"/>
          </w:tcPr>
          <w:p w14:paraId="74DDC95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95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center"/>
          </w:tcPr>
          <w:p w14:paraId="74DDC952" w14:textId="77777777" w:rsidR="00584EC1" w:rsidRDefault="00871F8D">
            <w:pPr>
              <w:jc w:val="right"/>
              <w:textAlignment w:val="center"/>
            </w:pPr>
            <w:r>
              <w:rPr>
                <w:rFonts w:ascii="Arial" w:eastAsia="宋体" w:hAnsi="Arial" w:cs="Arial"/>
                <w:color w:val="000000"/>
                <w:sz w:val="12"/>
                <w:szCs w:val="12"/>
              </w:rPr>
              <w:t>1 </w:t>
            </w:r>
          </w:p>
        </w:tc>
        <w:tc>
          <w:tcPr>
            <w:tcW w:w="0" w:type="auto"/>
            <w:shd w:val="clear" w:color="auto" w:fill="FFFFFF"/>
            <w:tcMar>
              <w:top w:w="40" w:type="dxa"/>
              <w:left w:w="0" w:type="dxa"/>
              <w:bottom w:w="40" w:type="dxa"/>
              <w:right w:w="20" w:type="dxa"/>
            </w:tcMar>
            <w:vAlign w:val="center"/>
          </w:tcPr>
          <w:p w14:paraId="74DDC953" w14:textId="77777777" w:rsidR="00584EC1" w:rsidRDefault="00584EC1">
            <w:pPr>
              <w:jc w:val="right"/>
              <w:rPr>
                <w:rFonts w:ascii="宋体"/>
              </w:rPr>
            </w:pPr>
          </w:p>
        </w:tc>
        <w:tc>
          <w:tcPr>
            <w:tcW w:w="0" w:type="auto"/>
            <w:shd w:val="clear" w:color="auto" w:fill="auto"/>
            <w:vAlign w:val="bottom"/>
          </w:tcPr>
          <w:p w14:paraId="74DDC954" w14:textId="77777777" w:rsidR="00584EC1" w:rsidRDefault="00584EC1">
            <w:pPr>
              <w:rPr>
                <w:rFonts w:ascii="宋体"/>
                <w:vanish/>
              </w:rPr>
            </w:pPr>
          </w:p>
        </w:tc>
        <w:tc>
          <w:tcPr>
            <w:tcW w:w="0" w:type="auto"/>
            <w:shd w:val="clear" w:color="auto" w:fill="auto"/>
            <w:vAlign w:val="bottom"/>
          </w:tcPr>
          <w:p w14:paraId="74DDC955" w14:textId="77777777" w:rsidR="00584EC1" w:rsidRDefault="00584EC1">
            <w:pPr>
              <w:rPr>
                <w:rFonts w:ascii="宋体"/>
                <w:vanish/>
              </w:rPr>
            </w:pPr>
          </w:p>
        </w:tc>
        <w:tc>
          <w:tcPr>
            <w:tcW w:w="0" w:type="auto"/>
            <w:gridSpan w:val="3"/>
            <w:shd w:val="clear" w:color="auto" w:fill="FFFFFF"/>
            <w:tcMar>
              <w:top w:w="0" w:type="dxa"/>
              <w:left w:w="20" w:type="dxa"/>
              <w:bottom w:w="0" w:type="dxa"/>
              <w:right w:w="20" w:type="dxa"/>
            </w:tcMar>
            <w:vAlign w:val="bottom"/>
          </w:tcPr>
          <w:p w14:paraId="74DDC95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center"/>
          </w:tcPr>
          <w:p w14:paraId="74DDC957" w14:textId="77777777" w:rsidR="00584EC1" w:rsidRDefault="00871F8D">
            <w:pPr>
              <w:jc w:val="right"/>
              <w:textAlignment w:val="center"/>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74DDC95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95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center"/>
          </w:tcPr>
          <w:p w14:paraId="74DDC95A" w14:textId="77777777" w:rsidR="00584EC1" w:rsidRDefault="00871F8D">
            <w:pPr>
              <w:jc w:val="right"/>
              <w:textAlignment w:val="center"/>
            </w:pPr>
            <w:r>
              <w:rPr>
                <w:rFonts w:ascii="Arial" w:eastAsia="宋体" w:hAnsi="Arial" w:cs="Arial"/>
                <w:color w:val="000000"/>
                <w:sz w:val="12"/>
                <w:szCs w:val="12"/>
              </w:rPr>
              <w:t>(5)</w:t>
            </w:r>
          </w:p>
        </w:tc>
        <w:tc>
          <w:tcPr>
            <w:tcW w:w="0" w:type="auto"/>
            <w:shd w:val="clear" w:color="auto" w:fill="FFFFFF"/>
            <w:tcMar>
              <w:top w:w="40" w:type="dxa"/>
              <w:left w:w="0" w:type="dxa"/>
              <w:bottom w:w="40" w:type="dxa"/>
              <w:right w:w="20" w:type="dxa"/>
            </w:tcMar>
            <w:vAlign w:val="center"/>
          </w:tcPr>
          <w:p w14:paraId="74DDC95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95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center"/>
          </w:tcPr>
          <w:p w14:paraId="74DDC95D" w14:textId="77777777" w:rsidR="00584EC1" w:rsidRDefault="00871F8D">
            <w:pPr>
              <w:jc w:val="right"/>
              <w:textAlignment w:val="center"/>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74DDC95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95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center"/>
          </w:tcPr>
          <w:p w14:paraId="74DDC960" w14:textId="77777777" w:rsidR="00584EC1" w:rsidRDefault="00871F8D">
            <w:pPr>
              <w:jc w:val="right"/>
              <w:textAlignment w:val="center"/>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74DDC96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96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center"/>
          </w:tcPr>
          <w:p w14:paraId="74DDC963" w14:textId="77777777" w:rsidR="00584EC1" w:rsidRDefault="00871F8D">
            <w:pPr>
              <w:jc w:val="right"/>
              <w:textAlignment w:val="center"/>
            </w:pPr>
            <w:r>
              <w:rPr>
                <w:rFonts w:ascii="Arial" w:eastAsia="宋体" w:hAnsi="Arial" w:cs="Arial"/>
                <w:color w:val="000000"/>
                <w:sz w:val="12"/>
                <w:szCs w:val="12"/>
              </w:rPr>
              <w:t>918 </w:t>
            </w:r>
          </w:p>
        </w:tc>
        <w:tc>
          <w:tcPr>
            <w:tcW w:w="0" w:type="auto"/>
            <w:shd w:val="clear" w:color="auto" w:fill="FFFFFF"/>
            <w:tcMar>
              <w:top w:w="40" w:type="dxa"/>
              <w:left w:w="0" w:type="dxa"/>
              <w:bottom w:w="40" w:type="dxa"/>
              <w:right w:w="20" w:type="dxa"/>
            </w:tcMar>
            <w:vAlign w:val="center"/>
          </w:tcPr>
          <w:p w14:paraId="74DDC964" w14:textId="77777777" w:rsidR="00584EC1" w:rsidRDefault="00584EC1">
            <w:pPr>
              <w:jc w:val="right"/>
              <w:rPr>
                <w:rFonts w:ascii="宋体"/>
              </w:rPr>
            </w:pPr>
          </w:p>
        </w:tc>
        <w:tc>
          <w:tcPr>
            <w:tcW w:w="0" w:type="auto"/>
            <w:gridSpan w:val="2"/>
            <w:shd w:val="clear" w:color="auto" w:fill="FFFFFF"/>
            <w:tcMar>
              <w:top w:w="0" w:type="dxa"/>
              <w:left w:w="20" w:type="dxa"/>
              <w:bottom w:w="0" w:type="dxa"/>
              <w:right w:w="20" w:type="dxa"/>
            </w:tcMar>
            <w:vAlign w:val="bottom"/>
          </w:tcPr>
          <w:p w14:paraId="74DDC965" w14:textId="77777777" w:rsidR="00584EC1" w:rsidRDefault="00584EC1">
            <w:pPr>
              <w:rPr>
                <w:rFonts w:ascii="宋体"/>
              </w:rPr>
            </w:pPr>
          </w:p>
        </w:tc>
        <w:tc>
          <w:tcPr>
            <w:tcW w:w="0" w:type="auto"/>
            <w:shd w:val="clear" w:color="auto" w:fill="FFFFFF"/>
            <w:tcMar>
              <w:top w:w="0" w:type="dxa"/>
              <w:left w:w="20" w:type="dxa"/>
              <w:bottom w:w="0" w:type="dxa"/>
              <w:right w:w="20" w:type="dxa"/>
            </w:tcMar>
            <w:vAlign w:val="bottom"/>
          </w:tcPr>
          <w:p w14:paraId="74DDC966" w14:textId="77777777" w:rsidR="00584EC1" w:rsidRDefault="00584EC1">
            <w:pPr>
              <w:rPr>
                <w:rFonts w:ascii="宋体"/>
              </w:rPr>
            </w:pPr>
          </w:p>
        </w:tc>
      </w:tr>
      <w:tr w:rsidR="00584EC1" w14:paraId="74DDC97E" w14:textId="77777777">
        <w:trPr>
          <w:hidden/>
        </w:trPr>
        <w:tc>
          <w:tcPr>
            <w:tcW w:w="0" w:type="auto"/>
            <w:gridSpan w:val="3"/>
            <w:shd w:val="clear" w:color="auto" w:fill="auto"/>
            <w:vAlign w:val="bottom"/>
          </w:tcPr>
          <w:p w14:paraId="74DDC968" w14:textId="77777777" w:rsidR="00584EC1" w:rsidRDefault="00584EC1">
            <w:pPr>
              <w:rPr>
                <w:rFonts w:ascii="宋体"/>
                <w:vanish/>
              </w:rPr>
            </w:pPr>
          </w:p>
        </w:tc>
        <w:tc>
          <w:tcPr>
            <w:tcW w:w="0" w:type="auto"/>
            <w:gridSpan w:val="3"/>
            <w:shd w:val="clear" w:color="auto" w:fill="auto"/>
            <w:vAlign w:val="bottom"/>
          </w:tcPr>
          <w:p w14:paraId="74DDC969" w14:textId="77777777" w:rsidR="00584EC1" w:rsidRDefault="00584EC1">
            <w:pPr>
              <w:rPr>
                <w:rFonts w:ascii="宋体"/>
                <w:vanish/>
              </w:rPr>
            </w:pPr>
          </w:p>
        </w:tc>
        <w:tc>
          <w:tcPr>
            <w:tcW w:w="0" w:type="auto"/>
            <w:gridSpan w:val="3"/>
            <w:shd w:val="clear" w:color="auto" w:fill="auto"/>
            <w:vAlign w:val="bottom"/>
          </w:tcPr>
          <w:p w14:paraId="74DDC96A" w14:textId="77777777" w:rsidR="00584EC1" w:rsidRDefault="00584EC1">
            <w:pPr>
              <w:rPr>
                <w:rFonts w:ascii="宋体"/>
                <w:vanish/>
              </w:rPr>
            </w:pPr>
          </w:p>
        </w:tc>
        <w:tc>
          <w:tcPr>
            <w:tcW w:w="0" w:type="auto"/>
            <w:gridSpan w:val="3"/>
            <w:shd w:val="clear" w:color="auto" w:fill="auto"/>
            <w:vAlign w:val="bottom"/>
          </w:tcPr>
          <w:p w14:paraId="74DDC96B" w14:textId="77777777" w:rsidR="00584EC1" w:rsidRDefault="00584EC1">
            <w:pPr>
              <w:rPr>
                <w:rFonts w:ascii="宋体"/>
                <w:vanish/>
              </w:rPr>
            </w:pPr>
          </w:p>
        </w:tc>
        <w:tc>
          <w:tcPr>
            <w:tcW w:w="0" w:type="auto"/>
            <w:gridSpan w:val="3"/>
            <w:shd w:val="clear" w:color="auto" w:fill="auto"/>
            <w:vAlign w:val="bottom"/>
          </w:tcPr>
          <w:p w14:paraId="74DDC96C" w14:textId="77777777" w:rsidR="00584EC1" w:rsidRDefault="00584EC1">
            <w:pPr>
              <w:rPr>
                <w:rFonts w:ascii="宋体"/>
                <w:vanish/>
              </w:rPr>
            </w:pPr>
          </w:p>
        </w:tc>
        <w:tc>
          <w:tcPr>
            <w:tcW w:w="0" w:type="auto"/>
            <w:gridSpan w:val="3"/>
            <w:shd w:val="clear" w:color="auto" w:fill="auto"/>
            <w:vAlign w:val="bottom"/>
          </w:tcPr>
          <w:p w14:paraId="74DDC96D" w14:textId="77777777" w:rsidR="00584EC1" w:rsidRDefault="00584EC1">
            <w:pPr>
              <w:rPr>
                <w:rFonts w:ascii="宋体"/>
                <w:vanish/>
              </w:rPr>
            </w:pPr>
          </w:p>
        </w:tc>
        <w:tc>
          <w:tcPr>
            <w:tcW w:w="0" w:type="auto"/>
            <w:gridSpan w:val="3"/>
            <w:shd w:val="clear" w:color="auto" w:fill="auto"/>
            <w:vAlign w:val="bottom"/>
          </w:tcPr>
          <w:p w14:paraId="74DDC96E" w14:textId="77777777" w:rsidR="00584EC1" w:rsidRDefault="00584EC1">
            <w:pPr>
              <w:rPr>
                <w:rFonts w:ascii="宋体"/>
                <w:vanish/>
              </w:rPr>
            </w:pPr>
          </w:p>
        </w:tc>
        <w:tc>
          <w:tcPr>
            <w:tcW w:w="0" w:type="auto"/>
            <w:gridSpan w:val="3"/>
            <w:shd w:val="clear" w:color="auto" w:fill="auto"/>
            <w:vAlign w:val="bottom"/>
          </w:tcPr>
          <w:p w14:paraId="74DDC96F" w14:textId="77777777" w:rsidR="00584EC1" w:rsidRDefault="00584EC1">
            <w:pPr>
              <w:rPr>
                <w:rFonts w:ascii="宋体"/>
                <w:vanish/>
              </w:rPr>
            </w:pPr>
          </w:p>
        </w:tc>
        <w:tc>
          <w:tcPr>
            <w:tcW w:w="0" w:type="auto"/>
            <w:shd w:val="clear" w:color="auto" w:fill="auto"/>
            <w:vAlign w:val="bottom"/>
          </w:tcPr>
          <w:p w14:paraId="74DDC970" w14:textId="77777777" w:rsidR="00584EC1" w:rsidRDefault="00584EC1">
            <w:pPr>
              <w:rPr>
                <w:rFonts w:ascii="宋体"/>
                <w:vanish/>
              </w:rPr>
            </w:pPr>
          </w:p>
        </w:tc>
        <w:tc>
          <w:tcPr>
            <w:tcW w:w="0" w:type="auto"/>
            <w:shd w:val="clear" w:color="auto" w:fill="auto"/>
            <w:vAlign w:val="bottom"/>
          </w:tcPr>
          <w:p w14:paraId="74DDC971" w14:textId="77777777" w:rsidR="00584EC1" w:rsidRDefault="00584EC1">
            <w:pPr>
              <w:rPr>
                <w:rFonts w:ascii="宋体"/>
                <w:vanish/>
              </w:rPr>
            </w:pPr>
          </w:p>
        </w:tc>
        <w:tc>
          <w:tcPr>
            <w:tcW w:w="0" w:type="auto"/>
            <w:gridSpan w:val="3"/>
            <w:shd w:val="clear" w:color="auto" w:fill="auto"/>
            <w:vAlign w:val="bottom"/>
          </w:tcPr>
          <w:p w14:paraId="74DDC972" w14:textId="77777777" w:rsidR="00584EC1" w:rsidRDefault="00584EC1">
            <w:pPr>
              <w:rPr>
                <w:rFonts w:ascii="宋体"/>
                <w:vanish/>
              </w:rPr>
            </w:pPr>
          </w:p>
        </w:tc>
        <w:tc>
          <w:tcPr>
            <w:tcW w:w="0" w:type="auto"/>
            <w:gridSpan w:val="3"/>
            <w:shd w:val="clear" w:color="auto" w:fill="auto"/>
            <w:vAlign w:val="bottom"/>
          </w:tcPr>
          <w:p w14:paraId="74DDC973" w14:textId="77777777" w:rsidR="00584EC1" w:rsidRDefault="00584EC1">
            <w:pPr>
              <w:rPr>
                <w:rFonts w:ascii="宋体"/>
                <w:vanish/>
              </w:rPr>
            </w:pPr>
          </w:p>
        </w:tc>
        <w:tc>
          <w:tcPr>
            <w:tcW w:w="0" w:type="auto"/>
            <w:gridSpan w:val="3"/>
            <w:shd w:val="clear" w:color="auto" w:fill="auto"/>
            <w:vAlign w:val="bottom"/>
          </w:tcPr>
          <w:p w14:paraId="74DDC974" w14:textId="77777777" w:rsidR="00584EC1" w:rsidRDefault="00584EC1">
            <w:pPr>
              <w:rPr>
                <w:rFonts w:ascii="宋体"/>
                <w:vanish/>
              </w:rPr>
            </w:pPr>
          </w:p>
        </w:tc>
        <w:tc>
          <w:tcPr>
            <w:tcW w:w="0" w:type="auto"/>
            <w:gridSpan w:val="3"/>
            <w:shd w:val="clear" w:color="auto" w:fill="auto"/>
            <w:vAlign w:val="bottom"/>
          </w:tcPr>
          <w:p w14:paraId="74DDC975" w14:textId="77777777" w:rsidR="00584EC1" w:rsidRDefault="00584EC1">
            <w:pPr>
              <w:rPr>
                <w:rFonts w:ascii="宋体"/>
                <w:vanish/>
              </w:rPr>
            </w:pPr>
          </w:p>
        </w:tc>
        <w:tc>
          <w:tcPr>
            <w:tcW w:w="0" w:type="auto"/>
            <w:gridSpan w:val="3"/>
            <w:shd w:val="clear" w:color="auto" w:fill="auto"/>
            <w:vAlign w:val="bottom"/>
          </w:tcPr>
          <w:p w14:paraId="74DDC976" w14:textId="77777777" w:rsidR="00584EC1" w:rsidRDefault="00584EC1">
            <w:pPr>
              <w:rPr>
                <w:rFonts w:ascii="宋体"/>
                <w:vanish/>
              </w:rPr>
            </w:pPr>
          </w:p>
        </w:tc>
        <w:tc>
          <w:tcPr>
            <w:tcW w:w="0" w:type="auto"/>
            <w:gridSpan w:val="3"/>
            <w:shd w:val="clear" w:color="auto" w:fill="auto"/>
            <w:vAlign w:val="bottom"/>
          </w:tcPr>
          <w:p w14:paraId="74DDC977" w14:textId="77777777" w:rsidR="00584EC1" w:rsidRDefault="00584EC1">
            <w:pPr>
              <w:rPr>
                <w:rFonts w:ascii="宋体"/>
                <w:vanish/>
              </w:rPr>
            </w:pPr>
          </w:p>
        </w:tc>
        <w:tc>
          <w:tcPr>
            <w:tcW w:w="0" w:type="auto"/>
            <w:gridSpan w:val="3"/>
            <w:shd w:val="clear" w:color="auto" w:fill="auto"/>
            <w:vAlign w:val="bottom"/>
          </w:tcPr>
          <w:p w14:paraId="74DDC978" w14:textId="77777777" w:rsidR="00584EC1" w:rsidRDefault="00584EC1">
            <w:pPr>
              <w:rPr>
                <w:rFonts w:ascii="宋体"/>
                <w:vanish/>
              </w:rPr>
            </w:pPr>
          </w:p>
        </w:tc>
        <w:tc>
          <w:tcPr>
            <w:tcW w:w="0" w:type="auto"/>
            <w:gridSpan w:val="3"/>
            <w:shd w:val="clear" w:color="auto" w:fill="auto"/>
            <w:vAlign w:val="bottom"/>
          </w:tcPr>
          <w:p w14:paraId="74DDC979" w14:textId="77777777" w:rsidR="00584EC1" w:rsidRDefault="00584EC1">
            <w:pPr>
              <w:rPr>
                <w:rFonts w:ascii="宋体"/>
                <w:vanish/>
              </w:rPr>
            </w:pPr>
          </w:p>
        </w:tc>
        <w:tc>
          <w:tcPr>
            <w:tcW w:w="0" w:type="auto"/>
            <w:gridSpan w:val="3"/>
            <w:shd w:val="clear" w:color="auto" w:fill="auto"/>
            <w:vAlign w:val="bottom"/>
          </w:tcPr>
          <w:p w14:paraId="74DDC97A" w14:textId="77777777" w:rsidR="00584EC1" w:rsidRDefault="00584EC1">
            <w:pPr>
              <w:rPr>
                <w:rFonts w:ascii="宋体"/>
                <w:vanish/>
              </w:rPr>
            </w:pPr>
          </w:p>
        </w:tc>
        <w:tc>
          <w:tcPr>
            <w:tcW w:w="0" w:type="auto"/>
            <w:gridSpan w:val="3"/>
            <w:shd w:val="clear" w:color="auto" w:fill="auto"/>
            <w:vAlign w:val="bottom"/>
          </w:tcPr>
          <w:p w14:paraId="74DDC97B" w14:textId="77777777" w:rsidR="00584EC1" w:rsidRDefault="00584EC1">
            <w:pPr>
              <w:rPr>
                <w:rFonts w:ascii="宋体"/>
                <w:vanish/>
              </w:rPr>
            </w:pPr>
          </w:p>
        </w:tc>
        <w:tc>
          <w:tcPr>
            <w:tcW w:w="0" w:type="auto"/>
            <w:gridSpan w:val="2"/>
            <w:shd w:val="clear" w:color="auto" w:fill="auto"/>
            <w:vAlign w:val="bottom"/>
          </w:tcPr>
          <w:p w14:paraId="74DDC97C" w14:textId="77777777" w:rsidR="00584EC1" w:rsidRDefault="00584EC1">
            <w:pPr>
              <w:rPr>
                <w:rFonts w:ascii="宋体"/>
                <w:vanish/>
              </w:rPr>
            </w:pPr>
          </w:p>
        </w:tc>
        <w:tc>
          <w:tcPr>
            <w:tcW w:w="0" w:type="auto"/>
            <w:shd w:val="clear" w:color="auto" w:fill="auto"/>
            <w:vAlign w:val="bottom"/>
          </w:tcPr>
          <w:p w14:paraId="74DDC97D" w14:textId="77777777" w:rsidR="00584EC1" w:rsidRDefault="00584EC1">
            <w:pPr>
              <w:rPr>
                <w:rFonts w:ascii="宋体"/>
                <w:vanish/>
              </w:rPr>
            </w:pPr>
          </w:p>
        </w:tc>
      </w:tr>
      <w:tr w:rsidR="00584EC1" w14:paraId="74DDC99E" w14:textId="77777777">
        <w:tc>
          <w:tcPr>
            <w:tcW w:w="0" w:type="auto"/>
            <w:gridSpan w:val="3"/>
            <w:shd w:val="clear" w:color="auto" w:fill="CCEEFF"/>
            <w:tcMar>
              <w:top w:w="40" w:type="dxa"/>
              <w:left w:w="155" w:type="dxa"/>
              <w:bottom w:w="40" w:type="dxa"/>
              <w:right w:w="20" w:type="dxa"/>
            </w:tcMar>
            <w:vAlign w:val="center"/>
          </w:tcPr>
          <w:p w14:paraId="74DDC97F" w14:textId="77777777" w:rsidR="00584EC1" w:rsidRDefault="00871F8D">
            <w:pPr>
              <w:textAlignment w:val="center"/>
            </w:pPr>
            <w:r>
              <w:rPr>
                <w:rFonts w:ascii="Arial" w:eastAsia="宋体" w:hAnsi="Arial" w:cs="Arial"/>
                <w:color w:val="000000"/>
                <w:sz w:val="12"/>
                <w:szCs w:val="12"/>
              </w:rPr>
              <w:t>Other</w:t>
            </w:r>
          </w:p>
        </w:tc>
        <w:tc>
          <w:tcPr>
            <w:tcW w:w="0" w:type="auto"/>
            <w:gridSpan w:val="2"/>
            <w:shd w:val="clear" w:color="auto" w:fill="CCEEFF"/>
            <w:tcMar>
              <w:top w:w="40" w:type="dxa"/>
              <w:left w:w="20" w:type="dxa"/>
              <w:bottom w:w="40" w:type="dxa"/>
              <w:right w:w="0" w:type="dxa"/>
            </w:tcMar>
            <w:vAlign w:val="center"/>
          </w:tcPr>
          <w:p w14:paraId="74DDC980" w14:textId="77777777" w:rsidR="00584EC1" w:rsidRDefault="00871F8D">
            <w:pPr>
              <w:jc w:val="right"/>
              <w:textAlignment w:val="center"/>
            </w:pPr>
            <w:r>
              <w:rPr>
                <w:rFonts w:ascii="Arial" w:eastAsia="宋体" w:hAnsi="Arial" w:cs="Arial"/>
                <w:color w:val="000000"/>
                <w:sz w:val="12"/>
                <w:szCs w:val="12"/>
              </w:rPr>
              <w:t>45 </w:t>
            </w:r>
          </w:p>
        </w:tc>
        <w:tc>
          <w:tcPr>
            <w:tcW w:w="0" w:type="auto"/>
            <w:shd w:val="clear" w:color="auto" w:fill="CCEEFF"/>
            <w:tcMar>
              <w:top w:w="40" w:type="dxa"/>
              <w:left w:w="0" w:type="dxa"/>
              <w:bottom w:w="40" w:type="dxa"/>
              <w:right w:w="20" w:type="dxa"/>
            </w:tcMar>
            <w:vAlign w:val="center"/>
          </w:tcPr>
          <w:p w14:paraId="74DDC98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982"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center"/>
          </w:tcPr>
          <w:p w14:paraId="74DDC983" w14:textId="77777777" w:rsidR="00584EC1" w:rsidRDefault="00871F8D">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4DDC98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98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center"/>
          </w:tcPr>
          <w:p w14:paraId="74DDC986" w14:textId="77777777" w:rsidR="00584EC1" w:rsidRDefault="00871F8D">
            <w:pPr>
              <w:jc w:val="right"/>
              <w:textAlignment w:val="center"/>
            </w:pPr>
            <w:r>
              <w:rPr>
                <w:rFonts w:ascii="Arial" w:eastAsia="宋体" w:hAnsi="Arial" w:cs="Arial"/>
                <w:color w:val="000000"/>
                <w:sz w:val="12"/>
                <w:szCs w:val="12"/>
              </w:rPr>
              <w:t>2 </w:t>
            </w:r>
          </w:p>
        </w:tc>
        <w:tc>
          <w:tcPr>
            <w:tcW w:w="0" w:type="auto"/>
            <w:shd w:val="clear" w:color="auto" w:fill="CCEEFF"/>
            <w:tcMar>
              <w:top w:w="40" w:type="dxa"/>
              <w:left w:w="0" w:type="dxa"/>
              <w:bottom w:w="40" w:type="dxa"/>
              <w:right w:w="20" w:type="dxa"/>
            </w:tcMar>
            <w:vAlign w:val="center"/>
          </w:tcPr>
          <w:p w14:paraId="74DDC98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988"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center"/>
          </w:tcPr>
          <w:p w14:paraId="74DDC989" w14:textId="77777777" w:rsidR="00584EC1" w:rsidRDefault="00871F8D">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4DDC98A" w14:textId="77777777" w:rsidR="00584EC1" w:rsidRDefault="00584EC1">
            <w:pPr>
              <w:jc w:val="right"/>
              <w:rPr>
                <w:rFonts w:ascii="宋体"/>
              </w:rPr>
            </w:pPr>
          </w:p>
        </w:tc>
        <w:tc>
          <w:tcPr>
            <w:tcW w:w="0" w:type="auto"/>
            <w:shd w:val="clear" w:color="auto" w:fill="auto"/>
            <w:vAlign w:val="bottom"/>
          </w:tcPr>
          <w:p w14:paraId="74DDC98B" w14:textId="77777777" w:rsidR="00584EC1" w:rsidRDefault="00584EC1">
            <w:pPr>
              <w:rPr>
                <w:rFonts w:ascii="宋体"/>
                <w:vanish/>
              </w:rPr>
            </w:pPr>
          </w:p>
        </w:tc>
        <w:tc>
          <w:tcPr>
            <w:tcW w:w="0" w:type="auto"/>
            <w:shd w:val="clear" w:color="auto" w:fill="auto"/>
            <w:vAlign w:val="bottom"/>
          </w:tcPr>
          <w:p w14:paraId="74DDC98C" w14:textId="77777777" w:rsidR="00584EC1" w:rsidRDefault="00584EC1">
            <w:pPr>
              <w:rPr>
                <w:rFonts w:ascii="宋体"/>
                <w:vanish/>
              </w:rPr>
            </w:pPr>
          </w:p>
        </w:tc>
        <w:tc>
          <w:tcPr>
            <w:tcW w:w="0" w:type="auto"/>
            <w:gridSpan w:val="3"/>
            <w:shd w:val="clear" w:color="auto" w:fill="CCEEFF"/>
            <w:tcMar>
              <w:top w:w="0" w:type="dxa"/>
              <w:left w:w="20" w:type="dxa"/>
              <w:bottom w:w="0" w:type="dxa"/>
              <w:right w:w="20" w:type="dxa"/>
            </w:tcMar>
            <w:vAlign w:val="bottom"/>
          </w:tcPr>
          <w:p w14:paraId="74DDC98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center"/>
          </w:tcPr>
          <w:p w14:paraId="74DDC98E" w14:textId="77777777" w:rsidR="00584EC1" w:rsidRDefault="00871F8D">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4DDC98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99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center"/>
          </w:tcPr>
          <w:p w14:paraId="74DDC991" w14:textId="77777777" w:rsidR="00584EC1" w:rsidRDefault="00871F8D">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4DDC99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993"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center"/>
          </w:tcPr>
          <w:p w14:paraId="74DDC994" w14:textId="77777777" w:rsidR="00584EC1" w:rsidRDefault="00871F8D">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4DDC99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99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center"/>
          </w:tcPr>
          <w:p w14:paraId="74DDC997" w14:textId="77777777" w:rsidR="00584EC1" w:rsidRDefault="00871F8D">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4DDC99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99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center"/>
          </w:tcPr>
          <w:p w14:paraId="74DDC99A" w14:textId="77777777" w:rsidR="00584EC1" w:rsidRDefault="00871F8D">
            <w:pPr>
              <w:jc w:val="right"/>
              <w:textAlignment w:val="center"/>
            </w:pPr>
            <w:r>
              <w:rPr>
                <w:rFonts w:ascii="Arial" w:eastAsia="宋体" w:hAnsi="Arial" w:cs="Arial"/>
                <w:color w:val="000000"/>
                <w:sz w:val="12"/>
                <w:szCs w:val="12"/>
              </w:rPr>
              <w:t>47 </w:t>
            </w:r>
          </w:p>
        </w:tc>
        <w:tc>
          <w:tcPr>
            <w:tcW w:w="0" w:type="auto"/>
            <w:shd w:val="clear" w:color="auto" w:fill="CCEEFF"/>
            <w:tcMar>
              <w:top w:w="40" w:type="dxa"/>
              <w:left w:w="0" w:type="dxa"/>
              <w:bottom w:w="40" w:type="dxa"/>
              <w:right w:w="20" w:type="dxa"/>
            </w:tcMar>
            <w:vAlign w:val="center"/>
          </w:tcPr>
          <w:p w14:paraId="74DDC99B" w14:textId="77777777" w:rsidR="00584EC1" w:rsidRDefault="00584EC1">
            <w:pPr>
              <w:jc w:val="right"/>
              <w:rPr>
                <w:rFonts w:ascii="宋体"/>
              </w:rPr>
            </w:pPr>
          </w:p>
        </w:tc>
        <w:tc>
          <w:tcPr>
            <w:tcW w:w="0" w:type="auto"/>
            <w:gridSpan w:val="2"/>
            <w:shd w:val="clear" w:color="auto" w:fill="CCEEFF"/>
            <w:tcMar>
              <w:top w:w="0" w:type="dxa"/>
              <w:left w:w="20" w:type="dxa"/>
              <w:bottom w:w="0" w:type="dxa"/>
              <w:right w:w="20" w:type="dxa"/>
            </w:tcMar>
            <w:vAlign w:val="bottom"/>
          </w:tcPr>
          <w:p w14:paraId="74DDC99C" w14:textId="77777777" w:rsidR="00584EC1" w:rsidRDefault="00584EC1">
            <w:pPr>
              <w:rPr>
                <w:rFonts w:ascii="宋体"/>
              </w:rPr>
            </w:pPr>
          </w:p>
        </w:tc>
        <w:tc>
          <w:tcPr>
            <w:tcW w:w="0" w:type="auto"/>
            <w:shd w:val="clear" w:color="auto" w:fill="CCEEFF"/>
            <w:tcMar>
              <w:top w:w="0" w:type="dxa"/>
              <w:left w:w="20" w:type="dxa"/>
              <w:bottom w:w="0" w:type="dxa"/>
              <w:right w:w="20" w:type="dxa"/>
            </w:tcMar>
            <w:vAlign w:val="bottom"/>
          </w:tcPr>
          <w:p w14:paraId="74DDC99D" w14:textId="77777777" w:rsidR="00584EC1" w:rsidRDefault="00584EC1">
            <w:pPr>
              <w:rPr>
                <w:rFonts w:ascii="宋体"/>
              </w:rPr>
            </w:pPr>
          </w:p>
        </w:tc>
      </w:tr>
      <w:tr w:rsidR="00584EC1" w14:paraId="74DDC9BE" w14:textId="77777777">
        <w:tc>
          <w:tcPr>
            <w:tcW w:w="0" w:type="auto"/>
            <w:gridSpan w:val="3"/>
            <w:shd w:val="clear" w:color="auto" w:fill="FFFFFF"/>
            <w:tcMar>
              <w:top w:w="40" w:type="dxa"/>
              <w:left w:w="20" w:type="dxa"/>
              <w:bottom w:w="40" w:type="dxa"/>
              <w:right w:w="20" w:type="dxa"/>
            </w:tcMar>
            <w:vAlign w:val="center"/>
          </w:tcPr>
          <w:p w14:paraId="74DDC99F" w14:textId="77777777" w:rsidR="00584EC1" w:rsidRDefault="00871F8D">
            <w:pPr>
              <w:textAlignment w:val="center"/>
            </w:pPr>
            <w:r>
              <w:rPr>
                <w:rFonts w:ascii="Arial" w:eastAsia="宋体" w:hAnsi="Arial" w:cs="Arial"/>
                <w:color w:val="000000"/>
                <w:sz w:val="12"/>
                <w:szCs w:val="12"/>
              </w:rPr>
              <w:t>Total non-U.S. debt securities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4DDC9A0" w14:textId="77777777" w:rsidR="00584EC1" w:rsidRDefault="00871F8D">
            <w:pPr>
              <w:jc w:val="right"/>
              <w:textAlignment w:val="center"/>
            </w:pPr>
            <w:r>
              <w:rPr>
                <w:rFonts w:ascii="Arial" w:eastAsia="宋体" w:hAnsi="Arial" w:cs="Arial"/>
                <w:color w:val="000000"/>
                <w:sz w:val="12"/>
                <w:szCs w:val="12"/>
              </w:rPr>
              <w:t>932 </w:t>
            </w:r>
          </w:p>
        </w:tc>
        <w:tc>
          <w:tcPr>
            <w:tcW w:w="0" w:type="auto"/>
            <w:tcBorders>
              <w:top w:val="single" w:sz="8" w:space="0" w:color="000000"/>
            </w:tcBorders>
            <w:shd w:val="clear" w:color="auto" w:fill="FFFFFF"/>
            <w:tcMar>
              <w:top w:w="40" w:type="dxa"/>
              <w:left w:w="0" w:type="dxa"/>
              <w:bottom w:w="40" w:type="dxa"/>
              <w:right w:w="20" w:type="dxa"/>
            </w:tcMar>
            <w:vAlign w:val="center"/>
          </w:tcPr>
          <w:p w14:paraId="74DDC9A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9A2"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4DDC9A3" w14:textId="77777777" w:rsidR="00584EC1" w:rsidRDefault="00871F8D">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4DDC9A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9A5"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4DDC9A6" w14:textId="77777777" w:rsidR="00584EC1" w:rsidRDefault="00871F8D">
            <w:pPr>
              <w:jc w:val="right"/>
              <w:textAlignment w:val="center"/>
            </w:pPr>
            <w:r>
              <w:rPr>
                <w:rFonts w:ascii="Arial" w:eastAsia="宋体" w:hAnsi="Arial" w:cs="Arial"/>
                <w:color w:val="000000"/>
                <w:sz w:val="12"/>
                <w:szCs w:val="12"/>
              </w:rPr>
              <w:t>37 </w:t>
            </w:r>
          </w:p>
        </w:tc>
        <w:tc>
          <w:tcPr>
            <w:tcW w:w="0" w:type="auto"/>
            <w:tcBorders>
              <w:top w:val="single" w:sz="8" w:space="0" w:color="000000"/>
            </w:tcBorders>
            <w:shd w:val="clear" w:color="auto" w:fill="FFFFFF"/>
            <w:tcMar>
              <w:top w:w="40" w:type="dxa"/>
              <w:left w:w="0" w:type="dxa"/>
              <w:bottom w:w="40" w:type="dxa"/>
              <w:right w:w="20" w:type="dxa"/>
            </w:tcMar>
            <w:vAlign w:val="center"/>
          </w:tcPr>
          <w:p w14:paraId="74DDC9A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9A8"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4DDC9A9" w14:textId="77777777" w:rsidR="00584EC1" w:rsidRDefault="00871F8D">
            <w:pPr>
              <w:jc w:val="right"/>
              <w:textAlignment w:val="center"/>
            </w:pPr>
            <w:r>
              <w:rPr>
                <w:rFonts w:ascii="Arial" w:eastAsia="宋体" w:hAnsi="Arial" w:cs="Arial"/>
                <w:color w:val="000000"/>
                <w:sz w:val="12"/>
                <w:szCs w:val="12"/>
              </w:rPr>
              <w:t>1 </w:t>
            </w:r>
          </w:p>
        </w:tc>
        <w:tc>
          <w:tcPr>
            <w:tcW w:w="0" w:type="auto"/>
            <w:tcBorders>
              <w:top w:val="single" w:sz="8" w:space="0" w:color="000000"/>
            </w:tcBorders>
            <w:shd w:val="clear" w:color="auto" w:fill="FFFFFF"/>
            <w:tcMar>
              <w:top w:w="40" w:type="dxa"/>
              <w:left w:w="0" w:type="dxa"/>
              <w:bottom w:w="40" w:type="dxa"/>
              <w:right w:w="20" w:type="dxa"/>
            </w:tcMar>
            <w:vAlign w:val="center"/>
          </w:tcPr>
          <w:p w14:paraId="74DDC9AA" w14:textId="77777777" w:rsidR="00584EC1" w:rsidRDefault="00584EC1">
            <w:pPr>
              <w:jc w:val="right"/>
              <w:rPr>
                <w:rFonts w:ascii="宋体"/>
              </w:rPr>
            </w:pPr>
          </w:p>
        </w:tc>
        <w:tc>
          <w:tcPr>
            <w:tcW w:w="0" w:type="auto"/>
            <w:shd w:val="clear" w:color="auto" w:fill="auto"/>
            <w:vAlign w:val="bottom"/>
          </w:tcPr>
          <w:p w14:paraId="74DDC9AB" w14:textId="77777777" w:rsidR="00584EC1" w:rsidRDefault="00584EC1">
            <w:pPr>
              <w:rPr>
                <w:rFonts w:ascii="宋体"/>
                <w:vanish/>
              </w:rPr>
            </w:pPr>
          </w:p>
        </w:tc>
        <w:tc>
          <w:tcPr>
            <w:tcW w:w="0" w:type="auto"/>
            <w:shd w:val="clear" w:color="auto" w:fill="auto"/>
            <w:vAlign w:val="bottom"/>
          </w:tcPr>
          <w:p w14:paraId="74DDC9AC" w14:textId="77777777" w:rsidR="00584EC1" w:rsidRDefault="00584EC1">
            <w:pPr>
              <w:rPr>
                <w:rFonts w:ascii="宋体"/>
                <w:vanish/>
              </w:rPr>
            </w:pPr>
          </w:p>
        </w:tc>
        <w:tc>
          <w:tcPr>
            <w:tcW w:w="0" w:type="auto"/>
            <w:gridSpan w:val="3"/>
            <w:shd w:val="clear" w:color="auto" w:fill="FFFFFF"/>
            <w:tcMar>
              <w:top w:w="0" w:type="dxa"/>
              <w:left w:w="20" w:type="dxa"/>
              <w:bottom w:w="0" w:type="dxa"/>
              <w:right w:w="20" w:type="dxa"/>
            </w:tcMar>
            <w:vAlign w:val="bottom"/>
          </w:tcPr>
          <w:p w14:paraId="74DDC9AD"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4DDC9AE" w14:textId="77777777" w:rsidR="00584EC1" w:rsidRDefault="00871F8D">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4DDC9A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9B0"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4DDC9B1" w14:textId="77777777" w:rsidR="00584EC1" w:rsidRDefault="00871F8D">
            <w:pPr>
              <w:jc w:val="right"/>
              <w:textAlignment w:val="center"/>
            </w:pPr>
            <w:r>
              <w:rPr>
                <w:rFonts w:ascii="Arial" w:eastAsia="宋体" w:hAnsi="Arial" w:cs="Arial"/>
                <w:color w:val="000000"/>
                <w:sz w:val="12"/>
                <w:szCs w:val="12"/>
              </w:rPr>
              <w:t>(5)</w:t>
            </w:r>
          </w:p>
        </w:tc>
        <w:tc>
          <w:tcPr>
            <w:tcW w:w="0" w:type="auto"/>
            <w:tcBorders>
              <w:top w:val="single" w:sz="8" w:space="0" w:color="000000"/>
            </w:tcBorders>
            <w:shd w:val="clear" w:color="auto" w:fill="FFFFFF"/>
            <w:tcMar>
              <w:top w:w="40" w:type="dxa"/>
              <w:left w:w="0" w:type="dxa"/>
              <w:bottom w:w="40" w:type="dxa"/>
              <w:right w:w="20" w:type="dxa"/>
            </w:tcMar>
            <w:vAlign w:val="center"/>
          </w:tcPr>
          <w:p w14:paraId="74DDC9B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9B3"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4DDC9B4" w14:textId="77777777" w:rsidR="00584EC1" w:rsidRDefault="00871F8D">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4DDC9B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9B6"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4DDC9B7" w14:textId="77777777" w:rsidR="00584EC1" w:rsidRDefault="00871F8D">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4DDC9B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9B9"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4DDC9BA" w14:textId="77777777" w:rsidR="00584EC1" w:rsidRDefault="00871F8D">
            <w:pPr>
              <w:jc w:val="right"/>
              <w:textAlignment w:val="center"/>
            </w:pPr>
            <w:r>
              <w:rPr>
                <w:rFonts w:ascii="Arial" w:eastAsia="宋体" w:hAnsi="Arial" w:cs="Arial"/>
                <w:color w:val="000000"/>
                <w:sz w:val="12"/>
                <w:szCs w:val="12"/>
              </w:rPr>
              <w:t>965 </w:t>
            </w:r>
          </w:p>
        </w:tc>
        <w:tc>
          <w:tcPr>
            <w:tcW w:w="0" w:type="auto"/>
            <w:tcBorders>
              <w:top w:val="single" w:sz="8" w:space="0" w:color="000000"/>
            </w:tcBorders>
            <w:shd w:val="clear" w:color="auto" w:fill="FFFFFF"/>
            <w:tcMar>
              <w:top w:w="40" w:type="dxa"/>
              <w:left w:w="0" w:type="dxa"/>
              <w:bottom w:w="40" w:type="dxa"/>
              <w:right w:w="20" w:type="dxa"/>
            </w:tcMar>
            <w:vAlign w:val="center"/>
          </w:tcPr>
          <w:p w14:paraId="74DDC9BB" w14:textId="77777777" w:rsidR="00584EC1" w:rsidRDefault="00584EC1">
            <w:pPr>
              <w:jc w:val="right"/>
              <w:rPr>
                <w:rFonts w:ascii="宋体"/>
              </w:rPr>
            </w:pPr>
          </w:p>
        </w:tc>
        <w:tc>
          <w:tcPr>
            <w:tcW w:w="0" w:type="auto"/>
            <w:gridSpan w:val="2"/>
            <w:shd w:val="clear" w:color="auto" w:fill="FFFFFF"/>
            <w:tcMar>
              <w:top w:w="0" w:type="dxa"/>
              <w:left w:w="20" w:type="dxa"/>
              <w:bottom w:w="0" w:type="dxa"/>
              <w:right w:w="20" w:type="dxa"/>
            </w:tcMar>
            <w:vAlign w:val="bottom"/>
          </w:tcPr>
          <w:p w14:paraId="74DDC9BC" w14:textId="77777777" w:rsidR="00584EC1" w:rsidRDefault="00584EC1">
            <w:pPr>
              <w:rPr>
                <w:rFonts w:ascii="宋体"/>
              </w:rPr>
            </w:pPr>
          </w:p>
        </w:tc>
        <w:tc>
          <w:tcPr>
            <w:tcW w:w="0" w:type="auto"/>
            <w:shd w:val="clear" w:color="auto" w:fill="FFFFFF"/>
            <w:tcMar>
              <w:top w:w="0" w:type="dxa"/>
              <w:left w:w="20" w:type="dxa"/>
              <w:bottom w:w="0" w:type="dxa"/>
              <w:right w:w="20" w:type="dxa"/>
            </w:tcMar>
            <w:vAlign w:val="bottom"/>
          </w:tcPr>
          <w:p w14:paraId="74DDC9BD" w14:textId="77777777" w:rsidR="00584EC1" w:rsidRDefault="00584EC1">
            <w:pPr>
              <w:rPr>
                <w:rFonts w:ascii="宋体"/>
              </w:rPr>
            </w:pPr>
          </w:p>
        </w:tc>
      </w:tr>
      <w:tr w:rsidR="00584EC1" w14:paraId="74DDC9D5" w14:textId="77777777">
        <w:trPr>
          <w:hidden/>
        </w:trPr>
        <w:tc>
          <w:tcPr>
            <w:tcW w:w="0" w:type="auto"/>
            <w:gridSpan w:val="3"/>
            <w:shd w:val="clear" w:color="auto" w:fill="auto"/>
            <w:vAlign w:val="bottom"/>
          </w:tcPr>
          <w:p w14:paraId="74DDC9BF" w14:textId="77777777" w:rsidR="00584EC1" w:rsidRDefault="00584EC1">
            <w:pPr>
              <w:rPr>
                <w:rFonts w:ascii="宋体"/>
                <w:vanish/>
              </w:rPr>
            </w:pPr>
          </w:p>
        </w:tc>
        <w:tc>
          <w:tcPr>
            <w:tcW w:w="0" w:type="auto"/>
            <w:gridSpan w:val="3"/>
            <w:shd w:val="clear" w:color="auto" w:fill="auto"/>
            <w:vAlign w:val="bottom"/>
          </w:tcPr>
          <w:p w14:paraId="74DDC9C0" w14:textId="77777777" w:rsidR="00584EC1" w:rsidRDefault="00584EC1">
            <w:pPr>
              <w:rPr>
                <w:rFonts w:ascii="宋体"/>
                <w:vanish/>
              </w:rPr>
            </w:pPr>
          </w:p>
        </w:tc>
        <w:tc>
          <w:tcPr>
            <w:tcW w:w="0" w:type="auto"/>
            <w:gridSpan w:val="3"/>
            <w:shd w:val="clear" w:color="auto" w:fill="auto"/>
            <w:vAlign w:val="bottom"/>
          </w:tcPr>
          <w:p w14:paraId="74DDC9C1" w14:textId="77777777" w:rsidR="00584EC1" w:rsidRDefault="00584EC1">
            <w:pPr>
              <w:rPr>
                <w:rFonts w:ascii="宋体"/>
                <w:vanish/>
              </w:rPr>
            </w:pPr>
          </w:p>
        </w:tc>
        <w:tc>
          <w:tcPr>
            <w:tcW w:w="0" w:type="auto"/>
            <w:gridSpan w:val="3"/>
            <w:shd w:val="clear" w:color="auto" w:fill="auto"/>
            <w:vAlign w:val="bottom"/>
          </w:tcPr>
          <w:p w14:paraId="74DDC9C2" w14:textId="77777777" w:rsidR="00584EC1" w:rsidRDefault="00584EC1">
            <w:pPr>
              <w:rPr>
                <w:rFonts w:ascii="宋体"/>
                <w:vanish/>
              </w:rPr>
            </w:pPr>
          </w:p>
        </w:tc>
        <w:tc>
          <w:tcPr>
            <w:tcW w:w="0" w:type="auto"/>
            <w:gridSpan w:val="3"/>
            <w:shd w:val="clear" w:color="auto" w:fill="auto"/>
            <w:vAlign w:val="bottom"/>
          </w:tcPr>
          <w:p w14:paraId="74DDC9C3" w14:textId="77777777" w:rsidR="00584EC1" w:rsidRDefault="00584EC1">
            <w:pPr>
              <w:rPr>
                <w:rFonts w:ascii="宋体"/>
                <w:vanish/>
              </w:rPr>
            </w:pPr>
          </w:p>
        </w:tc>
        <w:tc>
          <w:tcPr>
            <w:tcW w:w="0" w:type="auto"/>
            <w:gridSpan w:val="3"/>
            <w:shd w:val="clear" w:color="auto" w:fill="auto"/>
            <w:vAlign w:val="bottom"/>
          </w:tcPr>
          <w:p w14:paraId="74DDC9C4" w14:textId="77777777" w:rsidR="00584EC1" w:rsidRDefault="00584EC1">
            <w:pPr>
              <w:rPr>
                <w:rFonts w:ascii="宋体"/>
                <w:vanish/>
              </w:rPr>
            </w:pPr>
          </w:p>
        </w:tc>
        <w:tc>
          <w:tcPr>
            <w:tcW w:w="0" w:type="auto"/>
            <w:gridSpan w:val="3"/>
            <w:shd w:val="clear" w:color="auto" w:fill="auto"/>
            <w:vAlign w:val="bottom"/>
          </w:tcPr>
          <w:p w14:paraId="74DDC9C5" w14:textId="77777777" w:rsidR="00584EC1" w:rsidRDefault="00584EC1">
            <w:pPr>
              <w:rPr>
                <w:rFonts w:ascii="宋体"/>
                <w:vanish/>
              </w:rPr>
            </w:pPr>
          </w:p>
        </w:tc>
        <w:tc>
          <w:tcPr>
            <w:tcW w:w="0" w:type="auto"/>
            <w:gridSpan w:val="3"/>
            <w:shd w:val="clear" w:color="auto" w:fill="auto"/>
            <w:vAlign w:val="bottom"/>
          </w:tcPr>
          <w:p w14:paraId="74DDC9C6" w14:textId="77777777" w:rsidR="00584EC1" w:rsidRDefault="00584EC1">
            <w:pPr>
              <w:rPr>
                <w:rFonts w:ascii="宋体"/>
                <w:vanish/>
              </w:rPr>
            </w:pPr>
          </w:p>
        </w:tc>
        <w:tc>
          <w:tcPr>
            <w:tcW w:w="0" w:type="auto"/>
            <w:shd w:val="clear" w:color="auto" w:fill="auto"/>
            <w:vAlign w:val="bottom"/>
          </w:tcPr>
          <w:p w14:paraId="74DDC9C7" w14:textId="77777777" w:rsidR="00584EC1" w:rsidRDefault="00584EC1">
            <w:pPr>
              <w:rPr>
                <w:rFonts w:ascii="宋体"/>
                <w:vanish/>
              </w:rPr>
            </w:pPr>
          </w:p>
        </w:tc>
        <w:tc>
          <w:tcPr>
            <w:tcW w:w="0" w:type="auto"/>
            <w:shd w:val="clear" w:color="auto" w:fill="auto"/>
            <w:vAlign w:val="bottom"/>
          </w:tcPr>
          <w:p w14:paraId="74DDC9C8" w14:textId="77777777" w:rsidR="00584EC1" w:rsidRDefault="00584EC1">
            <w:pPr>
              <w:rPr>
                <w:rFonts w:ascii="宋体"/>
                <w:vanish/>
              </w:rPr>
            </w:pPr>
          </w:p>
        </w:tc>
        <w:tc>
          <w:tcPr>
            <w:tcW w:w="0" w:type="auto"/>
            <w:gridSpan w:val="3"/>
            <w:shd w:val="clear" w:color="auto" w:fill="auto"/>
            <w:vAlign w:val="bottom"/>
          </w:tcPr>
          <w:p w14:paraId="74DDC9C9" w14:textId="77777777" w:rsidR="00584EC1" w:rsidRDefault="00584EC1">
            <w:pPr>
              <w:rPr>
                <w:rFonts w:ascii="宋体"/>
                <w:vanish/>
              </w:rPr>
            </w:pPr>
          </w:p>
        </w:tc>
        <w:tc>
          <w:tcPr>
            <w:tcW w:w="0" w:type="auto"/>
            <w:gridSpan w:val="3"/>
            <w:shd w:val="clear" w:color="auto" w:fill="auto"/>
            <w:vAlign w:val="bottom"/>
          </w:tcPr>
          <w:p w14:paraId="74DDC9CA" w14:textId="77777777" w:rsidR="00584EC1" w:rsidRDefault="00584EC1">
            <w:pPr>
              <w:rPr>
                <w:rFonts w:ascii="宋体"/>
                <w:vanish/>
              </w:rPr>
            </w:pPr>
          </w:p>
        </w:tc>
        <w:tc>
          <w:tcPr>
            <w:tcW w:w="0" w:type="auto"/>
            <w:gridSpan w:val="3"/>
            <w:shd w:val="clear" w:color="auto" w:fill="auto"/>
            <w:vAlign w:val="bottom"/>
          </w:tcPr>
          <w:p w14:paraId="74DDC9CB" w14:textId="77777777" w:rsidR="00584EC1" w:rsidRDefault="00584EC1">
            <w:pPr>
              <w:rPr>
                <w:rFonts w:ascii="宋体"/>
                <w:vanish/>
              </w:rPr>
            </w:pPr>
          </w:p>
        </w:tc>
        <w:tc>
          <w:tcPr>
            <w:tcW w:w="0" w:type="auto"/>
            <w:gridSpan w:val="3"/>
            <w:shd w:val="clear" w:color="auto" w:fill="auto"/>
            <w:vAlign w:val="bottom"/>
          </w:tcPr>
          <w:p w14:paraId="74DDC9CC" w14:textId="77777777" w:rsidR="00584EC1" w:rsidRDefault="00584EC1">
            <w:pPr>
              <w:rPr>
                <w:rFonts w:ascii="宋体"/>
                <w:vanish/>
              </w:rPr>
            </w:pPr>
          </w:p>
        </w:tc>
        <w:tc>
          <w:tcPr>
            <w:tcW w:w="0" w:type="auto"/>
            <w:gridSpan w:val="3"/>
            <w:shd w:val="clear" w:color="auto" w:fill="auto"/>
            <w:vAlign w:val="bottom"/>
          </w:tcPr>
          <w:p w14:paraId="74DDC9CD" w14:textId="77777777" w:rsidR="00584EC1" w:rsidRDefault="00584EC1">
            <w:pPr>
              <w:rPr>
                <w:rFonts w:ascii="宋体"/>
                <w:vanish/>
              </w:rPr>
            </w:pPr>
          </w:p>
        </w:tc>
        <w:tc>
          <w:tcPr>
            <w:tcW w:w="0" w:type="auto"/>
            <w:gridSpan w:val="3"/>
            <w:shd w:val="clear" w:color="auto" w:fill="auto"/>
            <w:vAlign w:val="bottom"/>
          </w:tcPr>
          <w:p w14:paraId="74DDC9CE" w14:textId="77777777" w:rsidR="00584EC1" w:rsidRDefault="00584EC1">
            <w:pPr>
              <w:rPr>
                <w:rFonts w:ascii="宋体"/>
                <w:vanish/>
              </w:rPr>
            </w:pPr>
          </w:p>
        </w:tc>
        <w:tc>
          <w:tcPr>
            <w:tcW w:w="0" w:type="auto"/>
            <w:gridSpan w:val="3"/>
            <w:shd w:val="clear" w:color="auto" w:fill="auto"/>
            <w:vAlign w:val="bottom"/>
          </w:tcPr>
          <w:p w14:paraId="74DDC9CF" w14:textId="77777777" w:rsidR="00584EC1" w:rsidRDefault="00584EC1">
            <w:pPr>
              <w:rPr>
                <w:rFonts w:ascii="宋体"/>
                <w:vanish/>
              </w:rPr>
            </w:pPr>
          </w:p>
        </w:tc>
        <w:tc>
          <w:tcPr>
            <w:tcW w:w="0" w:type="auto"/>
            <w:gridSpan w:val="3"/>
            <w:shd w:val="clear" w:color="auto" w:fill="auto"/>
            <w:vAlign w:val="bottom"/>
          </w:tcPr>
          <w:p w14:paraId="74DDC9D0" w14:textId="77777777" w:rsidR="00584EC1" w:rsidRDefault="00584EC1">
            <w:pPr>
              <w:rPr>
                <w:rFonts w:ascii="宋体"/>
                <w:vanish/>
              </w:rPr>
            </w:pPr>
          </w:p>
        </w:tc>
        <w:tc>
          <w:tcPr>
            <w:tcW w:w="0" w:type="auto"/>
            <w:gridSpan w:val="3"/>
            <w:shd w:val="clear" w:color="auto" w:fill="auto"/>
            <w:vAlign w:val="bottom"/>
          </w:tcPr>
          <w:p w14:paraId="74DDC9D1" w14:textId="77777777" w:rsidR="00584EC1" w:rsidRDefault="00584EC1">
            <w:pPr>
              <w:rPr>
                <w:rFonts w:ascii="宋体"/>
                <w:vanish/>
              </w:rPr>
            </w:pPr>
          </w:p>
        </w:tc>
        <w:tc>
          <w:tcPr>
            <w:tcW w:w="0" w:type="auto"/>
            <w:gridSpan w:val="3"/>
            <w:shd w:val="clear" w:color="auto" w:fill="auto"/>
            <w:vAlign w:val="bottom"/>
          </w:tcPr>
          <w:p w14:paraId="74DDC9D2" w14:textId="77777777" w:rsidR="00584EC1" w:rsidRDefault="00584EC1">
            <w:pPr>
              <w:rPr>
                <w:rFonts w:ascii="宋体"/>
                <w:vanish/>
              </w:rPr>
            </w:pPr>
          </w:p>
        </w:tc>
        <w:tc>
          <w:tcPr>
            <w:tcW w:w="0" w:type="auto"/>
            <w:gridSpan w:val="2"/>
            <w:shd w:val="clear" w:color="auto" w:fill="auto"/>
            <w:vAlign w:val="bottom"/>
          </w:tcPr>
          <w:p w14:paraId="74DDC9D3" w14:textId="77777777" w:rsidR="00584EC1" w:rsidRDefault="00584EC1">
            <w:pPr>
              <w:rPr>
                <w:rFonts w:ascii="宋体"/>
                <w:vanish/>
              </w:rPr>
            </w:pPr>
          </w:p>
        </w:tc>
        <w:tc>
          <w:tcPr>
            <w:tcW w:w="0" w:type="auto"/>
            <w:shd w:val="clear" w:color="auto" w:fill="auto"/>
            <w:vAlign w:val="bottom"/>
          </w:tcPr>
          <w:p w14:paraId="74DDC9D4" w14:textId="77777777" w:rsidR="00584EC1" w:rsidRDefault="00584EC1">
            <w:pPr>
              <w:rPr>
                <w:rFonts w:ascii="宋体"/>
                <w:vanish/>
              </w:rPr>
            </w:pPr>
          </w:p>
        </w:tc>
      </w:tr>
      <w:tr w:rsidR="00584EC1" w14:paraId="74DDC9EC" w14:textId="77777777">
        <w:trPr>
          <w:hidden/>
        </w:trPr>
        <w:tc>
          <w:tcPr>
            <w:tcW w:w="0" w:type="auto"/>
            <w:gridSpan w:val="3"/>
            <w:shd w:val="clear" w:color="auto" w:fill="auto"/>
            <w:vAlign w:val="bottom"/>
          </w:tcPr>
          <w:p w14:paraId="74DDC9D6" w14:textId="77777777" w:rsidR="00584EC1" w:rsidRDefault="00584EC1">
            <w:pPr>
              <w:rPr>
                <w:rFonts w:ascii="宋体"/>
                <w:vanish/>
              </w:rPr>
            </w:pPr>
          </w:p>
        </w:tc>
        <w:tc>
          <w:tcPr>
            <w:tcW w:w="0" w:type="auto"/>
            <w:gridSpan w:val="3"/>
            <w:shd w:val="clear" w:color="auto" w:fill="auto"/>
            <w:vAlign w:val="bottom"/>
          </w:tcPr>
          <w:p w14:paraId="74DDC9D7" w14:textId="77777777" w:rsidR="00584EC1" w:rsidRDefault="00584EC1">
            <w:pPr>
              <w:rPr>
                <w:rFonts w:ascii="宋体"/>
                <w:vanish/>
              </w:rPr>
            </w:pPr>
          </w:p>
        </w:tc>
        <w:tc>
          <w:tcPr>
            <w:tcW w:w="0" w:type="auto"/>
            <w:gridSpan w:val="3"/>
            <w:shd w:val="clear" w:color="auto" w:fill="auto"/>
            <w:vAlign w:val="bottom"/>
          </w:tcPr>
          <w:p w14:paraId="74DDC9D8" w14:textId="77777777" w:rsidR="00584EC1" w:rsidRDefault="00584EC1">
            <w:pPr>
              <w:rPr>
                <w:rFonts w:ascii="宋体"/>
                <w:vanish/>
              </w:rPr>
            </w:pPr>
          </w:p>
        </w:tc>
        <w:tc>
          <w:tcPr>
            <w:tcW w:w="0" w:type="auto"/>
            <w:gridSpan w:val="3"/>
            <w:shd w:val="clear" w:color="auto" w:fill="auto"/>
            <w:vAlign w:val="bottom"/>
          </w:tcPr>
          <w:p w14:paraId="74DDC9D9" w14:textId="77777777" w:rsidR="00584EC1" w:rsidRDefault="00584EC1">
            <w:pPr>
              <w:rPr>
                <w:rFonts w:ascii="宋体"/>
                <w:vanish/>
              </w:rPr>
            </w:pPr>
          </w:p>
        </w:tc>
        <w:tc>
          <w:tcPr>
            <w:tcW w:w="0" w:type="auto"/>
            <w:gridSpan w:val="3"/>
            <w:shd w:val="clear" w:color="auto" w:fill="auto"/>
            <w:vAlign w:val="bottom"/>
          </w:tcPr>
          <w:p w14:paraId="74DDC9DA" w14:textId="77777777" w:rsidR="00584EC1" w:rsidRDefault="00584EC1">
            <w:pPr>
              <w:rPr>
                <w:rFonts w:ascii="宋体"/>
                <w:vanish/>
              </w:rPr>
            </w:pPr>
          </w:p>
        </w:tc>
        <w:tc>
          <w:tcPr>
            <w:tcW w:w="0" w:type="auto"/>
            <w:gridSpan w:val="3"/>
            <w:shd w:val="clear" w:color="auto" w:fill="auto"/>
            <w:vAlign w:val="bottom"/>
          </w:tcPr>
          <w:p w14:paraId="74DDC9DB" w14:textId="77777777" w:rsidR="00584EC1" w:rsidRDefault="00584EC1">
            <w:pPr>
              <w:rPr>
                <w:rFonts w:ascii="宋体"/>
                <w:vanish/>
              </w:rPr>
            </w:pPr>
          </w:p>
        </w:tc>
        <w:tc>
          <w:tcPr>
            <w:tcW w:w="0" w:type="auto"/>
            <w:gridSpan w:val="3"/>
            <w:shd w:val="clear" w:color="auto" w:fill="auto"/>
            <w:vAlign w:val="bottom"/>
          </w:tcPr>
          <w:p w14:paraId="74DDC9DC" w14:textId="77777777" w:rsidR="00584EC1" w:rsidRDefault="00584EC1">
            <w:pPr>
              <w:rPr>
                <w:rFonts w:ascii="宋体"/>
                <w:vanish/>
              </w:rPr>
            </w:pPr>
          </w:p>
        </w:tc>
        <w:tc>
          <w:tcPr>
            <w:tcW w:w="0" w:type="auto"/>
            <w:gridSpan w:val="3"/>
            <w:shd w:val="clear" w:color="auto" w:fill="auto"/>
            <w:vAlign w:val="bottom"/>
          </w:tcPr>
          <w:p w14:paraId="74DDC9DD" w14:textId="77777777" w:rsidR="00584EC1" w:rsidRDefault="00584EC1">
            <w:pPr>
              <w:rPr>
                <w:rFonts w:ascii="宋体"/>
                <w:vanish/>
              </w:rPr>
            </w:pPr>
          </w:p>
        </w:tc>
        <w:tc>
          <w:tcPr>
            <w:tcW w:w="0" w:type="auto"/>
            <w:shd w:val="clear" w:color="auto" w:fill="auto"/>
            <w:vAlign w:val="bottom"/>
          </w:tcPr>
          <w:p w14:paraId="74DDC9DE" w14:textId="77777777" w:rsidR="00584EC1" w:rsidRDefault="00584EC1">
            <w:pPr>
              <w:rPr>
                <w:rFonts w:ascii="宋体"/>
                <w:vanish/>
              </w:rPr>
            </w:pPr>
          </w:p>
        </w:tc>
        <w:tc>
          <w:tcPr>
            <w:tcW w:w="0" w:type="auto"/>
            <w:shd w:val="clear" w:color="auto" w:fill="auto"/>
            <w:vAlign w:val="bottom"/>
          </w:tcPr>
          <w:p w14:paraId="74DDC9DF" w14:textId="77777777" w:rsidR="00584EC1" w:rsidRDefault="00584EC1">
            <w:pPr>
              <w:rPr>
                <w:rFonts w:ascii="宋体"/>
                <w:vanish/>
              </w:rPr>
            </w:pPr>
          </w:p>
        </w:tc>
        <w:tc>
          <w:tcPr>
            <w:tcW w:w="0" w:type="auto"/>
            <w:gridSpan w:val="3"/>
            <w:shd w:val="clear" w:color="auto" w:fill="auto"/>
            <w:vAlign w:val="bottom"/>
          </w:tcPr>
          <w:p w14:paraId="74DDC9E0" w14:textId="77777777" w:rsidR="00584EC1" w:rsidRDefault="00584EC1">
            <w:pPr>
              <w:rPr>
                <w:rFonts w:ascii="宋体"/>
                <w:vanish/>
              </w:rPr>
            </w:pPr>
          </w:p>
        </w:tc>
        <w:tc>
          <w:tcPr>
            <w:tcW w:w="0" w:type="auto"/>
            <w:gridSpan w:val="3"/>
            <w:shd w:val="clear" w:color="auto" w:fill="auto"/>
            <w:vAlign w:val="bottom"/>
          </w:tcPr>
          <w:p w14:paraId="74DDC9E1" w14:textId="77777777" w:rsidR="00584EC1" w:rsidRDefault="00584EC1">
            <w:pPr>
              <w:rPr>
                <w:rFonts w:ascii="宋体"/>
                <w:vanish/>
              </w:rPr>
            </w:pPr>
          </w:p>
        </w:tc>
        <w:tc>
          <w:tcPr>
            <w:tcW w:w="0" w:type="auto"/>
            <w:gridSpan w:val="3"/>
            <w:shd w:val="clear" w:color="auto" w:fill="auto"/>
            <w:vAlign w:val="bottom"/>
          </w:tcPr>
          <w:p w14:paraId="74DDC9E2" w14:textId="77777777" w:rsidR="00584EC1" w:rsidRDefault="00584EC1">
            <w:pPr>
              <w:rPr>
                <w:rFonts w:ascii="宋体"/>
                <w:vanish/>
              </w:rPr>
            </w:pPr>
          </w:p>
        </w:tc>
        <w:tc>
          <w:tcPr>
            <w:tcW w:w="0" w:type="auto"/>
            <w:gridSpan w:val="3"/>
            <w:shd w:val="clear" w:color="auto" w:fill="auto"/>
            <w:vAlign w:val="bottom"/>
          </w:tcPr>
          <w:p w14:paraId="74DDC9E3" w14:textId="77777777" w:rsidR="00584EC1" w:rsidRDefault="00584EC1">
            <w:pPr>
              <w:rPr>
                <w:rFonts w:ascii="宋体"/>
                <w:vanish/>
              </w:rPr>
            </w:pPr>
          </w:p>
        </w:tc>
        <w:tc>
          <w:tcPr>
            <w:tcW w:w="0" w:type="auto"/>
            <w:gridSpan w:val="3"/>
            <w:shd w:val="clear" w:color="auto" w:fill="auto"/>
            <w:vAlign w:val="bottom"/>
          </w:tcPr>
          <w:p w14:paraId="74DDC9E4" w14:textId="77777777" w:rsidR="00584EC1" w:rsidRDefault="00584EC1">
            <w:pPr>
              <w:rPr>
                <w:rFonts w:ascii="宋体"/>
                <w:vanish/>
              </w:rPr>
            </w:pPr>
          </w:p>
        </w:tc>
        <w:tc>
          <w:tcPr>
            <w:tcW w:w="0" w:type="auto"/>
            <w:gridSpan w:val="3"/>
            <w:shd w:val="clear" w:color="auto" w:fill="auto"/>
            <w:vAlign w:val="bottom"/>
          </w:tcPr>
          <w:p w14:paraId="74DDC9E5" w14:textId="77777777" w:rsidR="00584EC1" w:rsidRDefault="00584EC1">
            <w:pPr>
              <w:rPr>
                <w:rFonts w:ascii="宋体"/>
                <w:vanish/>
              </w:rPr>
            </w:pPr>
          </w:p>
        </w:tc>
        <w:tc>
          <w:tcPr>
            <w:tcW w:w="0" w:type="auto"/>
            <w:gridSpan w:val="3"/>
            <w:shd w:val="clear" w:color="auto" w:fill="auto"/>
            <w:vAlign w:val="bottom"/>
          </w:tcPr>
          <w:p w14:paraId="74DDC9E6" w14:textId="77777777" w:rsidR="00584EC1" w:rsidRDefault="00584EC1">
            <w:pPr>
              <w:rPr>
                <w:rFonts w:ascii="宋体"/>
                <w:vanish/>
              </w:rPr>
            </w:pPr>
          </w:p>
        </w:tc>
        <w:tc>
          <w:tcPr>
            <w:tcW w:w="0" w:type="auto"/>
            <w:gridSpan w:val="3"/>
            <w:shd w:val="clear" w:color="auto" w:fill="auto"/>
            <w:vAlign w:val="bottom"/>
          </w:tcPr>
          <w:p w14:paraId="74DDC9E7" w14:textId="77777777" w:rsidR="00584EC1" w:rsidRDefault="00584EC1">
            <w:pPr>
              <w:rPr>
                <w:rFonts w:ascii="宋体"/>
                <w:vanish/>
              </w:rPr>
            </w:pPr>
          </w:p>
        </w:tc>
        <w:tc>
          <w:tcPr>
            <w:tcW w:w="0" w:type="auto"/>
            <w:gridSpan w:val="3"/>
            <w:shd w:val="clear" w:color="auto" w:fill="auto"/>
            <w:vAlign w:val="bottom"/>
          </w:tcPr>
          <w:p w14:paraId="74DDC9E8" w14:textId="77777777" w:rsidR="00584EC1" w:rsidRDefault="00584EC1">
            <w:pPr>
              <w:rPr>
                <w:rFonts w:ascii="宋体"/>
                <w:vanish/>
              </w:rPr>
            </w:pPr>
          </w:p>
        </w:tc>
        <w:tc>
          <w:tcPr>
            <w:tcW w:w="0" w:type="auto"/>
            <w:gridSpan w:val="3"/>
            <w:shd w:val="clear" w:color="auto" w:fill="auto"/>
            <w:vAlign w:val="bottom"/>
          </w:tcPr>
          <w:p w14:paraId="74DDC9E9" w14:textId="77777777" w:rsidR="00584EC1" w:rsidRDefault="00584EC1">
            <w:pPr>
              <w:rPr>
                <w:rFonts w:ascii="宋体"/>
                <w:vanish/>
              </w:rPr>
            </w:pPr>
          </w:p>
        </w:tc>
        <w:tc>
          <w:tcPr>
            <w:tcW w:w="0" w:type="auto"/>
            <w:gridSpan w:val="2"/>
            <w:shd w:val="clear" w:color="auto" w:fill="auto"/>
            <w:vAlign w:val="bottom"/>
          </w:tcPr>
          <w:p w14:paraId="74DDC9EA" w14:textId="77777777" w:rsidR="00584EC1" w:rsidRDefault="00584EC1">
            <w:pPr>
              <w:rPr>
                <w:rFonts w:ascii="宋体"/>
                <w:vanish/>
              </w:rPr>
            </w:pPr>
          </w:p>
        </w:tc>
        <w:tc>
          <w:tcPr>
            <w:tcW w:w="0" w:type="auto"/>
            <w:shd w:val="clear" w:color="auto" w:fill="auto"/>
            <w:vAlign w:val="bottom"/>
          </w:tcPr>
          <w:p w14:paraId="74DDC9EB" w14:textId="77777777" w:rsidR="00584EC1" w:rsidRDefault="00584EC1">
            <w:pPr>
              <w:rPr>
                <w:rFonts w:ascii="宋体"/>
                <w:vanish/>
              </w:rPr>
            </w:pPr>
          </w:p>
        </w:tc>
      </w:tr>
      <w:tr w:rsidR="00584EC1" w14:paraId="74DDCA03" w14:textId="77777777">
        <w:trPr>
          <w:hidden/>
        </w:trPr>
        <w:tc>
          <w:tcPr>
            <w:tcW w:w="0" w:type="auto"/>
            <w:gridSpan w:val="3"/>
            <w:shd w:val="clear" w:color="auto" w:fill="auto"/>
            <w:vAlign w:val="bottom"/>
          </w:tcPr>
          <w:p w14:paraId="74DDC9ED" w14:textId="77777777" w:rsidR="00584EC1" w:rsidRDefault="00584EC1">
            <w:pPr>
              <w:rPr>
                <w:rFonts w:ascii="宋体"/>
                <w:vanish/>
              </w:rPr>
            </w:pPr>
          </w:p>
        </w:tc>
        <w:tc>
          <w:tcPr>
            <w:tcW w:w="0" w:type="auto"/>
            <w:gridSpan w:val="3"/>
            <w:shd w:val="clear" w:color="auto" w:fill="auto"/>
            <w:vAlign w:val="bottom"/>
          </w:tcPr>
          <w:p w14:paraId="74DDC9EE" w14:textId="77777777" w:rsidR="00584EC1" w:rsidRDefault="00584EC1">
            <w:pPr>
              <w:rPr>
                <w:rFonts w:ascii="宋体"/>
                <w:vanish/>
              </w:rPr>
            </w:pPr>
          </w:p>
        </w:tc>
        <w:tc>
          <w:tcPr>
            <w:tcW w:w="0" w:type="auto"/>
            <w:gridSpan w:val="3"/>
            <w:shd w:val="clear" w:color="auto" w:fill="auto"/>
            <w:vAlign w:val="bottom"/>
          </w:tcPr>
          <w:p w14:paraId="74DDC9EF" w14:textId="77777777" w:rsidR="00584EC1" w:rsidRDefault="00584EC1">
            <w:pPr>
              <w:rPr>
                <w:rFonts w:ascii="宋体"/>
                <w:vanish/>
              </w:rPr>
            </w:pPr>
          </w:p>
        </w:tc>
        <w:tc>
          <w:tcPr>
            <w:tcW w:w="0" w:type="auto"/>
            <w:gridSpan w:val="3"/>
            <w:shd w:val="clear" w:color="auto" w:fill="auto"/>
            <w:vAlign w:val="bottom"/>
          </w:tcPr>
          <w:p w14:paraId="74DDC9F0" w14:textId="77777777" w:rsidR="00584EC1" w:rsidRDefault="00584EC1">
            <w:pPr>
              <w:rPr>
                <w:rFonts w:ascii="宋体"/>
                <w:vanish/>
              </w:rPr>
            </w:pPr>
          </w:p>
        </w:tc>
        <w:tc>
          <w:tcPr>
            <w:tcW w:w="0" w:type="auto"/>
            <w:gridSpan w:val="3"/>
            <w:shd w:val="clear" w:color="auto" w:fill="auto"/>
            <w:vAlign w:val="bottom"/>
          </w:tcPr>
          <w:p w14:paraId="74DDC9F1" w14:textId="77777777" w:rsidR="00584EC1" w:rsidRDefault="00584EC1">
            <w:pPr>
              <w:rPr>
                <w:rFonts w:ascii="宋体"/>
                <w:vanish/>
              </w:rPr>
            </w:pPr>
          </w:p>
        </w:tc>
        <w:tc>
          <w:tcPr>
            <w:tcW w:w="0" w:type="auto"/>
            <w:gridSpan w:val="3"/>
            <w:shd w:val="clear" w:color="auto" w:fill="auto"/>
            <w:vAlign w:val="bottom"/>
          </w:tcPr>
          <w:p w14:paraId="74DDC9F2" w14:textId="77777777" w:rsidR="00584EC1" w:rsidRDefault="00584EC1">
            <w:pPr>
              <w:rPr>
                <w:rFonts w:ascii="宋体"/>
                <w:vanish/>
              </w:rPr>
            </w:pPr>
          </w:p>
        </w:tc>
        <w:tc>
          <w:tcPr>
            <w:tcW w:w="0" w:type="auto"/>
            <w:gridSpan w:val="3"/>
            <w:shd w:val="clear" w:color="auto" w:fill="auto"/>
            <w:vAlign w:val="bottom"/>
          </w:tcPr>
          <w:p w14:paraId="74DDC9F3" w14:textId="77777777" w:rsidR="00584EC1" w:rsidRDefault="00584EC1">
            <w:pPr>
              <w:rPr>
                <w:rFonts w:ascii="宋体"/>
                <w:vanish/>
              </w:rPr>
            </w:pPr>
          </w:p>
        </w:tc>
        <w:tc>
          <w:tcPr>
            <w:tcW w:w="0" w:type="auto"/>
            <w:gridSpan w:val="3"/>
            <w:shd w:val="clear" w:color="auto" w:fill="auto"/>
            <w:vAlign w:val="bottom"/>
          </w:tcPr>
          <w:p w14:paraId="74DDC9F4" w14:textId="77777777" w:rsidR="00584EC1" w:rsidRDefault="00584EC1">
            <w:pPr>
              <w:rPr>
                <w:rFonts w:ascii="宋体"/>
                <w:vanish/>
              </w:rPr>
            </w:pPr>
          </w:p>
        </w:tc>
        <w:tc>
          <w:tcPr>
            <w:tcW w:w="0" w:type="auto"/>
            <w:shd w:val="clear" w:color="auto" w:fill="auto"/>
            <w:vAlign w:val="bottom"/>
          </w:tcPr>
          <w:p w14:paraId="74DDC9F5" w14:textId="77777777" w:rsidR="00584EC1" w:rsidRDefault="00584EC1">
            <w:pPr>
              <w:rPr>
                <w:rFonts w:ascii="宋体"/>
                <w:vanish/>
              </w:rPr>
            </w:pPr>
          </w:p>
        </w:tc>
        <w:tc>
          <w:tcPr>
            <w:tcW w:w="0" w:type="auto"/>
            <w:shd w:val="clear" w:color="auto" w:fill="auto"/>
            <w:vAlign w:val="bottom"/>
          </w:tcPr>
          <w:p w14:paraId="74DDC9F6" w14:textId="77777777" w:rsidR="00584EC1" w:rsidRDefault="00584EC1">
            <w:pPr>
              <w:rPr>
                <w:rFonts w:ascii="宋体"/>
                <w:vanish/>
              </w:rPr>
            </w:pPr>
          </w:p>
        </w:tc>
        <w:tc>
          <w:tcPr>
            <w:tcW w:w="0" w:type="auto"/>
            <w:gridSpan w:val="3"/>
            <w:shd w:val="clear" w:color="auto" w:fill="auto"/>
            <w:vAlign w:val="bottom"/>
          </w:tcPr>
          <w:p w14:paraId="74DDC9F7" w14:textId="77777777" w:rsidR="00584EC1" w:rsidRDefault="00584EC1">
            <w:pPr>
              <w:rPr>
                <w:rFonts w:ascii="宋体"/>
                <w:vanish/>
              </w:rPr>
            </w:pPr>
          </w:p>
        </w:tc>
        <w:tc>
          <w:tcPr>
            <w:tcW w:w="0" w:type="auto"/>
            <w:gridSpan w:val="3"/>
            <w:shd w:val="clear" w:color="auto" w:fill="auto"/>
            <w:vAlign w:val="bottom"/>
          </w:tcPr>
          <w:p w14:paraId="74DDC9F8" w14:textId="77777777" w:rsidR="00584EC1" w:rsidRDefault="00584EC1">
            <w:pPr>
              <w:rPr>
                <w:rFonts w:ascii="宋体"/>
                <w:vanish/>
              </w:rPr>
            </w:pPr>
          </w:p>
        </w:tc>
        <w:tc>
          <w:tcPr>
            <w:tcW w:w="0" w:type="auto"/>
            <w:gridSpan w:val="3"/>
            <w:shd w:val="clear" w:color="auto" w:fill="auto"/>
            <w:vAlign w:val="bottom"/>
          </w:tcPr>
          <w:p w14:paraId="74DDC9F9" w14:textId="77777777" w:rsidR="00584EC1" w:rsidRDefault="00584EC1">
            <w:pPr>
              <w:rPr>
                <w:rFonts w:ascii="宋体"/>
                <w:vanish/>
              </w:rPr>
            </w:pPr>
          </w:p>
        </w:tc>
        <w:tc>
          <w:tcPr>
            <w:tcW w:w="0" w:type="auto"/>
            <w:gridSpan w:val="3"/>
            <w:shd w:val="clear" w:color="auto" w:fill="auto"/>
            <w:vAlign w:val="bottom"/>
          </w:tcPr>
          <w:p w14:paraId="74DDC9FA" w14:textId="77777777" w:rsidR="00584EC1" w:rsidRDefault="00584EC1">
            <w:pPr>
              <w:rPr>
                <w:rFonts w:ascii="宋体"/>
                <w:vanish/>
              </w:rPr>
            </w:pPr>
          </w:p>
        </w:tc>
        <w:tc>
          <w:tcPr>
            <w:tcW w:w="0" w:type="auto"/>
            <w:gridSpan w:val="3"/>
            <w:shd w:val="clear" w:color="auto" w:fill="auto"/>
            <w:vAlign w:val="bottom"/>
          </w:tcPr>
          <w:p w14:paraId="74DDC9FB" w14:textId="77777777" w:rsidR="00584EC1" w:rsidRDefault="00584EC1">
            <w:pPr>
              <w:rPr>
                <w:rFonts w:ascii="宋体"/>
                <w:vanish/>
              </w:rPr>
            </w:pPr>
          </w:p>
        </w:tc>
        <w:tc>
          <w:tcPr>
            <w:tcW w:w="0" w:type="auto"/>
            <w:gridSpan w:val="3"/>
            <w:shd w:val="clear" w:color="auto" w:fill="auto"/>
            <w:vAlign w:val="bottom"/>
          </w:tcPr>
          <w:p w14:paraId="74DDC9FC" w14:textId="77777777" w:rsidR="00584EC1" w:rsidRDefault="00584EC1">
            <w:pPr>
              <w:rPr>
                <w:rFonts w:ascii="宋体"/>
                <w:vanish/>
              </w:rPr>
            </w:pPr>
          </w:p>
        </w:tc>
        <w:tc>
          <w:tcPr>
            <w:tcW w:w="0" w:type="auto"/>
            <w:gridSpan w:val="3"/>
            <w:shd w:val="clear" w:color="auto" w:fill="auto"/>
            <w:vAlign w:val="bottom"/>
          </w:tcPr>
          <w:p w14:paraId="74DDC9FD" w14:textId="77777777" w:rsidR="00584EC1" w:rsidRDefault="00584EC1">
            <w:pPr>
              <w:rPr>
                <w:rFonts w:ascii="宋体"/>
                <w:vanish/>
              </w:rPr>
            </w:pPr>
          </w:p>
        </w:tc>
        <w:tc>
          <w:tcPr>
            <w:tcW w:w="0" w:type="auto"/>
            <w:gridSpan w:val="3"/>
            <w:shd w:val="clear" w:color="auto" w:fill="auto"/>
            <w:vAlign w:val="bottom"/>
          </w:tcPr>
          <w:p w14:paraId="74DDC9FE" w14:textId="77777777" w:rsidR="00584EC1" w:rsidRDefault="00584EC1">
            <w:pPr>
              <w:rPr>
                <w:rFonts w:ascii="宋体"/>
                <w:vanish/>
              </w:rPr>
            </w:pPr>
          </w:p>
        </w:tc>
        <w:tc>
          <w:tcPr>
            <w:tcW w:w="0" w:type="auto"/>
            <w:gridSpan w:val="3"/>
            <w:shd w:val="clear" w:color="auto" w:fill="auto"/>
            <w:vAlign w:val="bottom"/>
          </w:tcPr>
          <w:p w14:paraId="74DDC9FF" w14:textId="77777777" w:rsidR="00584EC1" w:rsidRDefault="00584EC1">
            <w:pPr>
              <w:rPr>
                <w:rFonts w:ascii="宋体"/>
                <w:vanish/>
              </w:rPr>
            </w:pPr>
          </w:p>
        </w:tc>
        <w:tc>
          <w:tcPr>
            <w:tcW w:w="0" w:type="auto"/>
            <w:gridSpan w:val="3"/>
            <w:shd w:val="clear" w:color="auto" w:fill="auto"/>
            <w:vAlign w:val="bottom"/>
          </w:tcPr>
          <w:p w14:paraId="74DDCA00" w14:textId="77777777" w:rsidR="00584EC1" w:rsidRDefault="00584EC1">
            <w:pPr>
              <w:rPr>
                <w:rFonts w:ascii="宋体"/>
                <w:vanish/>
              </w:rPr>
            </w:pPr>
          </w:p>
        </w:tc>
        <w:tc>
          <w:tcPr>
            <w:tcW w:w="0" w:type="auto"/>
            <w:gridSpan w:val="2"/>
            <w:shd w:val="clear" w:color="auto" w:fill="auto"/>
            <w:vAlign w:val="bottom"/>
          </w:tcPr>
          <w:p w14:paraId="74DDCA01" w14:textId="77777777" w:rsidR="00584EC1" w:rsidRDefault="00584EC1">
            <w:pPr>
              <w:rPr>
                <w:rFonts w:ascii="宋体"/>
                <w:vanish/>
              </w:rPr>
            </w:pPr>
          </w:p>
        </w:tc>
        <w:tc>
          <w:tcPr>
            <w:tcW w:w="0" w:type="auto"/>
            <w:shd w:val="clear" w:color="auto" w:fill="auto"/>
            <w:vAlign w:val="bottom"/>
          </w:tcPr>
          <w:p w14:paraId="74DDCA02" w14:textId="77777777" w:rsidR="00584EC1" w:rsidRDefault="00584EC1">
            <w:pPr>
              <w:rPr>
                <w:rFonts w:ascii="宋体"/>
                <w:vanish/>
              </w:rPr>
            </w:pPr>
          </w:p>
        </w:tc>
      </w:tr>
      <w:tr w:rsidR="00584EC1" w14:paraId="74DDCA23" w14:textId="77777777">
        <w:tc>
          <w:tcPr>
            <w:tcW w:w="0" w:type="auto"/>
            <w:gridSpan w:val="3"/>
            <w:shd w:val="clear" w:color="auto" w:fill="CCEEFF"/>
            <w:tcMar>
              <w:top w:w="40" w:type="dxa"/>
              <w:left w:w="20" w:type="dxa"/>
              <w:bottom w:w="40" w:type="dxa"/>
              <w:right w:w="20" w:type="dxa"/>
            </w:tcMar>
            <w:vAlign w:val="center"/>
          </w:tcPr>
          <w:p w14:paraId="74DDCA04" w14:textId="77777777" w:rsidR="00584EC1" w:rsidRDefault="00871F8D">
            <w:pPr>
              <w:textAlignment w:val="center"/>
            </w:pPr>
            <w:r>
              <w:rPr>
                <w:rFonts w:ascii="Arial" w:eastAsia="宋体" w:hAnsi="Arial" w:cs="Arial"/>
                <w:color w:val="000000"/>
                <w:sz w:val="12"/>
                <w:szCs w:val="12"/>
              </w:rPr>
              <w:t>Total available-for-sale investment securities</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4DDCA05" w14:textId="77777777" w:rsidR="00584EC1" w:rsidRDefault="00871F8D">
            <w:pPr>
              <w:jc w:val="right"/>
              <w:textAlignment w:val="center"/>
            </w:pPr>
            <w:r>
              <w:rPr>
                <w:rFonts w:ascii="Arial" w:eastAsia="宋体" w:hAnsi="Arial" w:cs="Arial"/>
                <w:color w:val="000000"/>
                <w:sz w:val="12"/>
                <w:szCs w:val="12"/>
              </w:rPr>
              <w:t>2,752 </w:t>
            </w:r>
          </w:p>
        </w:tc>
        <w:tc>
          <w:tcPr>
            <w:tcW w:w="0" w:type="auto"/>
            <w:tcBorders>
              <w:top w:val="single" w:sz="8" w:space="0" w:color="000000"/>
            </w:tcBorders>
            <w:shd w:val="clear" w:color="auto" w:fill="CCEEFF"/>
            <w:tcMar>
              <w:top w:w="40" w:type="dxa"/>
              <w:left w:w="0" w:type="dxa"/>
              <w:bottom w:w="40" w:type="dxa"/>
              <w:right w:w="20" w:type="dxa"/>
            </w:tcMar>
            <w:vAlign w:val="center"/>
          </w:tcPr>
          <w:p w14:paraId="74DDCA0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A07"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4DDCA08" w14:textId="77777777" w:rsidR="00584EC1" w:rsidRDefault="00871F8D">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74DDCA0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A0A"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4DDCA0B" w14:textId="77777777" w:rsidR="00584EC1" w:rsidRDefault="00871F8D">
            <w:pPr>
              <w:jc w:val="right"/>
              <w:textAlignment w:val="center"/>
            </w:pPr>
            <w:r>
              <w:rPr>
                <w:rFonts w:ascii="Arial" w:eastAsia="宋体" w:hAnsi="Arial" w:cs="Arial"/>
                <w:color w:val="000000"/>
                <w:sz w:val="12"/>
                <w:szCs w:val="12"/>
              </w:rPr>
              <w:t>27 </w:t>
            </w:r>
          </w:p>
        </w:tc>
        <w:tc>
          <w:tcPr>
            <w:tcW w:w="0" w:type="auto"/>
            <w:tcBorders>
              <w:top w:val="single" w:sz="8" w:space="0" w:color="000000"/>
            </w:tcBorders>
            <w:shd w:val="clear" w:color="auto" w:fill="CCEEFF"/>
            <w:tcMar>
              <w:top w:w="40" w:type="dxa"/>
              <w:left w:w="0" w:type="dxa"/>
              <w:bottom w:w="40" w:type="dxa"/>
              <w:right w:w="20" w:type="dxa"/>
            </w:tcMar>
            <w:vAlign w:val="center"/>
          </w:tcPr>
          <w:p w14:paraId="74DDCA0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A0D"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4DDCA0E" w14:textId="77777777" w:rsidR="00584EC1" w:rsidRDefault="00871F8D">
            <w:pPr>
              <w:jc w:val="right"/>
              <w:textAlignment w:val="center"/>
            </w:pPr>
            <w:r>
              <w:rPr>
                <w:rFonts w:ascii="Arial" w:eastAsia="宋体" w:hAnsi="Arial" w:cs="Arial"/>
                <w:color w:val="000000"/>
                <w:sz w:val="12"/>
                <w:szCs w:val="12"/>
              </w:rPr>
              <w:t>851 </w:t>
            </w:r>
          </w:p>
        </w:tc>
        <w:tc>
          <w:tcPr>
            <w:tcW w:w="0" w:type="auto"/>
            <w:tcBorders>
              <w:top w:val="single" w:sz="8" w:space="0" w:color="000000"/>
            </w:tcBorders>
            <w:shd w:val="clear" w:color="auto" w:fill="CCEEFF"/>
            <w:tcMar>
              <w:top w:w="40" w:type="dxa"/>
              <w:left w:w="0" w:type="dxa"/>
              <w:bottom w:w="40" w:type="dxa"/>
              <w:right w:w="20" w:type="dxa"/>
            </w:tcMar>
            <w:vAlign w:val="center"/>
          </w:tcPr>
          <w:p w14:paraId="74DDCA0F" w14:textId="77777777" w:rsidR="00584EC1" w:rsidRDefault="00584EC1">
            <w:pPr>
              <w:jc w:val="right"/>
              <w:rPr>
                <w:rFonts w:ascii="宋体"/>
              </w:rPr>
            </w:pPr>
          </w:p>
        </w:tc>
        <w:tc>
          <w:tcPr>
            <w:tcW w:w="0" w:type="auto"/>
            <w:shd w:val="clear" w:color="auto" w:fill="auto"/>
            <w:vAlign w:val="bottom"/>
          </w:tcPr>
          <w:p w14:paraId="74DDCA10" w14:textId="77777777" w:rsidR="00584EC1" w:rsidRDefault="00584EC1">
            <w:pPr>
              <w:rPr>
                <w:rFonts w:ascii="宋体"/>
                <w:vanish/>
              </w:rPr>
            </w:pPr>
          </w:p>
        </w:tc>
        <w:tc>
          <w:tcPr>
            <w:tcW w:w="0" w:type="auto"/>
            <w:shd w:val="clear" w:color="auto" w:fill="auto"/>
            <w:vAlign w:val="bottom"/>
          </w:tcPr>
          <w:p w14:paraId="74DDCA11" w14:textId="77777777" w:rsidR="00584EC1" w:rsidRDefault="00584EC1">
            <w:pPr>
              <w:rPr>
                <w:rFonts w:ascii="宋体"/>
                <w:vanish/>
              </w:rPr>
            </w:pPr>
          </w:p>
        </w:tc>
        <w:tc>
          <w:tcPr>
            <w:tcW w:w="0" w:type="auto"/>
            <w:gridSpan w:val="3"/>
            <w:shd w:val="clear" w:color="auto" w:fill="CCEEFF"/>
            <w:tcMar>
              <w:top w:w="0" w:type="dxa"/>
              <w:left w:w="20" w:type="dxa"/>
              <w:bottom w:w="0" w:type="dxa"/>
              <w:right w:w="20" w:type="dxa"/>
            </w:tcMar>
            <w:vAlign w:val="bottom"/>
          </w:tcPr>
          <w:p w14:paraId="74DDCA12"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4DDCA13" w14:textId="77777777" w:rsidR="00584EC1" w:rsidRDefault="00871F8D">
            <w:pPr>
              <w:jc w:val="right"/>
              <w:textAlignment w:val="center"/>
            </w:pPr>
            <w:r>
              <w:rPr>
                <w:rFonts w:ascii="Arial" w:eastAsia="宋体" w:hAnsi="Arial" w:cs="Arial"/>
                <w:color w:val="000000"/>
                <w:sz w:val="12"/>
                <w:szCs w:val="12"/>
              </w:rPr>
              <w:t>(95)</w:t>
            </w:r>
          </w:p>
        </w:tc>
        <w:tc>
          <w:tcPr>
            <w:tcW w:w="0" w:type="auto"/>
            <w:tcBorders>
              <w:top w:val="single" w:sz="8" w:space="0" w:color="000000"/>
            </w:tcBorders>
            <w:shd w:val="clear" w:color="auto" w:fill="CCEEFF"/>
            <w:tcMar>
              <w:top w:w="40" w:type="dxa"/>
              <w:left w:w="0" w:type="dxa"/>
              <w:bottom w:w="40" w:type="dxa"/>
              <w:right w:w="20" w:type="dxa"/>
            </w:tcMar>
            <w:vAlign w:val="center"/>
          </w:tcPr>
          <w:p w14:paraId="74DDCA1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A15"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4DDCA16" w14:textId="77777777" w:rsidR="00584EC1" w:rsidRDefault="00871F8D">
            <w:pPr>
              <w:jc w:val="right"/>
              <w:textAlignment w:val="center"/>
            </w:pPr>
            <w:r>
              <w:rPr>
                <w:rFonts w:ascii="Arial" w:eastAsia="宋体" w:hAnsi="Arial" w:cs="Arial"/>
                <w:color w:val="000000"/>
                <w:sz w:val="12"/>
                <w:szCs w:val="12"/>
              </w:rPr>
              <w:t>(82)</w:t>
            </w:r>
          </w:p>
        </w:tc>
        <w:tc>
          <w:tcPr>
            <w:tcW w:w="0" w:type="auto"/>
            <w:tcBorders>
              <w:top w:val="single" w:sz="8" w:space="0" w:color="000000"/>
            </w:tcBorders>
            <w:shd w:val="clear" w:color="auto" w:fill="CCEEFF"/>
            <w:tcMar>
              <w:top w:w="40" w:type="dxa"/>
              <w:left w:w="0" w:type="dxa"/>
              <w:bottom w:w="40" w:type="dxa"/>
              <w:right w:w="20" w:type="dxa"/>
            </w:tcMar>
            <w:vAlign w:val="center"/>
          </w:tcPr>
          <w:p w14:paraId="74DDCA1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A18"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4DDCA19" w14:textId="77777777" w:rsidR="00584EC1" w:rsidRDefault="00871F8D">
            <w:pPr>
              <w:jc w:val="right"/>
              <w:textAlignment w:val="center"/>
            </w:pPr>
            <w:r>
              <w:rPr>
                <w:rFonts w:ascii="Arial" w:eastAsia="宋体" w:hAnsi="Arial" w:cs="Arial"/>
                <w:color w:val="000000"/>
                <w:sz w:val="12"/>
                <w:szCs w:val="12"/>
              </w:rPr>
              <w:t>50 </w:t>
            </w:r>
          </w:p>
        </w:tc>
        <w:tc>
          <w:tcPr>
            <w:tcW w:w="0" w:type="auto"/>
            <w:tcBorders>
              <w:top w:val="single" w:sz="8" w:space="0" w:color="000000"/>
            </w:tcBorders>
            <w:shd w:val="clear" w:color="auto" w:fill="CCEEFF"/>
            <w:tcMar>
              <w:top w:w="40" w:type="dxa"/>
              <w:left w:w="0" w:type="dxa"/>
              <w:bottom w:w="40" w:type="dxa"/>
              <w:right w:w="20" w:type="dxa"/>
            </w:tcMar>
            <w:vAlign w:val="center"/>
          </w:tcPr>
          <w:p w14:paraId="74DDCA1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A1B"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4DDCA1C" w14:textId="77777777" w:rsidR="00584EC1" w:rsidRDefault="00871F8D">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74DDCA1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A1E"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4DDCA1F" w14:textId="77777777" w:rsidR="00584EC1" w:rsidRDefault="00871F8D">
            <w:pPr>
              <w:jc w:val="right"/>
              <w:textAlignment w:val="center"/>
            </w:pPr>
            <w:r>
              <w:rPr>
                <w:rFonts w:ascii="Arial" w:eastAsia="宋体" w:hAnsi="Arial" w:cs="Arial"/>
                <w:color w:val="000000"/>
                <w:sz w:val="12"/>
                <w:szCs w:val="12"/>
              </w:rPr>
              <w:t>3,503 </w:t>
            </w:r>
          </w:p>
        </w:tc>
        <w:tc>
          <w:tcPr>
            <w:tcW w:w="0" w:type="auto"/>
            <w:tcBorders>
              <w:top w:val="single" w:sz="8" w:space="0" w:color="000000"/>
            </w:tcBorders>
            <w:shd w:val="clear" w:color="auto" w:fill="CCEEFF"/>
            <w:tcMar>
              <w:top w:w="40" w:type="dxa"/>
              <w:left w:w="0" w:type="dxa"/>
              <w:bottom w:w="40" w:type="dxa"/>
              <w:right w:w="20" w:type="dxa"/>
            </w:tcMar>
            <w:vAlign w:val="center"/>
          </w:tcPr>
          <w:p w14:paraId="74DDCA20" w14:textId="77777777" w:rsidR="00584EC1" w:rsidRDefault="00584EC1">
            <w:pPr>
              <w:jc w:val="right"/>
              <w:rPr>
                <w:rFonts w:ascii="宋体"/>
              </w:rPr>
            </w:pPr>
          </w:p>
        </w:tc>
        <w:tc>
          <w:tcPr>
            <w:tcW w:w="0" w:type="auto"/>
            <w:gridSpan w:val="2"/>
            <w:shd w:val="clear" w:color="auto" w:fill="CCEEFF"/>
            <w:tcMar>
              <w:top w:w="0" w:type="dxa"/>
              <w:left w:w="20" w:type="dxa"/>
              <w:bottom w:w="0" w:type="dxa"/>
              <w:right w:w="20" w:type="dxa"/>
            </w:tcMar>
            <w:vAlign w:val="bottom"/>
          </w:tcPr>
          <w:p w14:paraId="74DDCA21" w14:textId="77777777" w:rsidR="00584EC1" w:rsidRDefault="00584EC1">
            <w:pPr>
              <w:rPr>
                <w:rFonts w:ascii="宋体"/>
              </w:rPr>
            </w:pPr>
          </w:p>
        </w:tc>
        <w:tc>
          <w:tcPr>
            <w:tcW w:w="0" w:type="auto"/>
            <w:shd w:val="clear" w:color="auto" w:fill="CCEEFF"/>
            <w:tcMar>
              <w:top w:w="0" w:type="dxa"/>
              <w:left w:w="20" w:type="dxa"/>
              <w:bottom w:w="0" w:type="dxa"/>
              <w:right w:w="20" w:type="dxa"/>
            </w:tcMar>
            <w:vAlign w:val="bottom"/>
          </w:tcPr>
          <w:p w14:paraId="74DDCA22" w14:textId="77777777" w:rsidR="00584EC1" w:rsidRDefault="00584EC1">
            <w:pPr>
              <w:rPr>
                <w:rFonts w:ascii="宋体"/>
              </w:rPr>
            </w:pPr>
          </w:p>
        </w:tc>
      </w:tr>
      <w:tr w:rsidR="00584EC1" w14:paraId="74DDCA3A" w14:textId="77777777">
        <w:tc>
          <w:tcPr>
            <w:tcW w:w="0" w:type="auto"/>
            <w:gridSpan w:val="3"/>
            <w:shd w:val="clear" w:color="auto" w:fill="FFFFFF"/>
            <w:tcMar>
              <w:top w:w="40" w:type="dxa"/>
              <w:left w:w="20" w:type="dxa"/>
              <w:bottom w:w="40" w:type="dxa"/>
              <w:right w:w="20" w:type="dxa"/>
            </w:tcMar>
            <w:vAlign w:val="center"/>
          </w:tcPr>
          <w:p w14:paraId="74DDCA24" w14:textId="77777777" w:rsidR="00584EC1" w:rsidRDefault="00871F8D">
            <w:pPr>
              <w:textAlignment w:val="center"/>
            </w:pPr>
            <w:r>
              <w:rPr>
                <w:rFonts w:ascii="Arial" w:eastAsia="宋体" w:hAnsi="Arial" w:cs="Arial"/>
                <w:color w:val="000000"/>
                <w:sz w:val="12"/>
                <w:szCs w:val="12"/>
              </w:rPr>
              <w:t>Other assets:</w:t>
            </w:r>
          </w:p>
        </w:tc>
        <w:tc>
          <w:tcPr>
            <w:tcW w:w="0" w:type="auto"/>
            <w:gridSpan w:val="3"/>
            <w:shd w:val="clear" w:color="auto" w:fill="FFFFFF"/>
            <w:tcMar>
              <w:top w:w="0" w:type="dxa"/>
              <w:left w:w="20" w:type="dxa"/>
              <w:bottom w:w="0" w:type="dxa"/>
              <w:right w:w="20" w:type="dxa"/>
            </w:tcMar>
            <w:vAlign w:val="bottom"/>
          </w:tcPr>
          <w:p w14:paraId="74DDCA25"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A26"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A27"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A28"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A29"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A2A"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A2B" w14:textId="77777777" w:rsidR="00584EC1" w:rsidRDefault="00584EC1">
            <w:pPr>
              <w:rPr>
                <w:rFonts w:ascii="宋体"/>
              </w:rPr>
            </w:pPr>
          </w:p>
        </w:tc>
        <w:tc>
          <w:tcPr>
            <w:tcW w:w="0" w:type="auto"/>
            <w:shd w:val="clear" w:color="auto" w:fill="auto"/>
            <w:vAlign w:val="bottom"/>
          </w:tcPr>
          <w:p w14:paraId="74DDCA2C" w14:textId="77777777" w:rsidR="00584EC1" w:rsidRDefault="00584EC1">
            <w:pPr>
              <w:rPr>
                <w:rFonts w:ascii="宋体"/>
                <w:vanish/>
              </w:rPr>
            </w:pPr>
          </w:p>
        </w:tc>
        <w:tc>
          <w:tcPr>
            <w:tcW w:w="0" w:type="auto"/>
            <w:shd w:val="clear" w:color="auto" w:fill="auto"/>
            <w:vAlign w:val="bottom"/>
          </w:tcPr>
          <w:p w14:paraId="74DDCA2D" w14:textId="77777777" w:rsidR="00584EC1" w:rsidRDefault="00584EC1">
            <w:pPr>
              <w:rPr>
                <w:rFonts w:ascii="宋体"/>
                <w:vanish/>
              </w:rPr>
            </w:pPr>
          </w:p>
        </w:tc>
        <w:tc>
          <w:tcPr>
            <w:tcW w:w="0" w:type="auto"/>
            <w:gridSpan w:val="3"/>
            <w:shd w:val="clear" w:color="auto" w:fill="FFFFFF"/>
            <w:tcMar>
              <w:top w:w="0" w:type="dxa"/>
              <w:left w:w="20" w:type="dxa"/>
              <w:bottom w:w="0" w:type="dxa"/>
              <w:right w:w="20" w:type="dxa"/>
            </w:tcMar>
            <w:vAlign w:val="bottom"/>
          </w:tcPr>
          <w:p w14:paraId="74DDCA2E"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A2F"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A30"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A31"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A3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A33"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A34"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A35"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A36"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A37" w14:textId="77777777" w:rsidR="00584EC1" w:rsidRDefault="00584EC1">
            <w:pPr>
              <w:rPr>
                <w:rFonts w:ascii="宋体"/>
              </w:rPr>
            </w:pPr>
          </w:p>
        </w:tc>
        <w:tc>
          <w:tcPr>
            <w:tcW w:w="0" w:type="auto"/>
            <w:gridSpan w:val="2"/>
            <w:shd w:val="clear" w:color="auto" w:fill="FFFFFF"/>
            <w:tcMar>
              <w:top w:w="0" w:type="dxa"/>
              <w:left w:w="20" w:type="dxa"/>
              <w:bottom w:w="0" w:type="dxa"/>
              <w:right w:w="20" w:type="dxa"/>
            </w:tcMar>
            <w:vAlign w:val="bottom"/>
          </w:tcPr>
          <w:p w14:paraId="74DDCA38" w14:textId="77777777" w:rsidR="00584EC1" w:rsidRDefault="00584EC1">
            <w:pPr>
              <w:rPr>
                <w:rFonts w:ascii="宋体"/>
              </w:rPr>
            </w:pPr>
          </w:p>
        </w:tc>
        <w:tc>
          <w:tcPr>
            <w:tcW w:w="0" w:type="auto"/>
            <w:shd w:val="clear" w:color="auto" w:fill="FFFFFF"/>
            <w:tcMar>
              <w:top w:w="0" w:type="dxa"/>
              <w:left w:w="20" w:type="dxa"/>
              <w:bottom w:w="0" w:type="dxa"/>
              <w:right w:w="20" w:type="dxa"/>
            </w:tcMar>
            <w:vAlign w:val="bottom"/>
          </w:tcPr>
          <w:p w14:paraId="74DDCA39" w14:textId="77777777" w:rsidR="00584EC1" w:rsidRDefault="00584EC1">
            <w:pPr>
              <w:rPr>
                <w:rFonts w:ascii="宋体"/>
              </w:rPr>
            </w:pPr>
          </w:p>
        </w:tc>
      </w:tr>
      <w:tr w:rsidR="00584EC1" w14:paraId="74DDCA51" w14:textId="77777777">
        <w:tc>
          <w:tcPr>
            <w:tcW w:w="0" w:type="auto"/>
            <w:gridSpan w:val="3"/>
            <w:shd w:val="clear" w:color="auto" w:fill="CCEEFF"/>
            <w:tcMar>
              <w:top w:w="40" w:type="dxa"/>
              <w:left w:w="20" w:type="dxa"/>
              <w:bottom w:w="40" w:type="dxa"/>
              <w:right w:w="20" w:type="dxa"/>
            </w:tcMar>
            <w:vAlign w:val="center"/>
          </w:tcPr>
          <w:p w14:paraId="74DDCA3B" w14:textId="77777777" w:rsidR="00584EC1" w:rsidRDefault="00871F8D">
            <w:pPr>
              <w:textAlignment w:val="center"/>
            </w:pPr>
            <w:r>
              <w:rPr>
                <w:rFonts w:ascii="Arial" w:eastAsia="宋体" w:hAnsi="Arial" w:cs="Arial"/>
                <w:color w:val="000000"/>
                <w:sz w:val="12"/>
                <w:szCs w:val="12"/>
              </w:rPr>
              <w:t>Derivative instruments:</w:t>
            </w:r>
          </w:p>
        </w:tc>
        <w:tc>
          <w:tcPr>
            <w:tcW w:w="0" w:type="auto"/>
            <w:gridSpan w:val="3"/>
            <w:shd w:val="clear" w:color="auto" w:fill="CCEEFF"/>
            <w:tcMar>
              <w:top w:w="0" w:type="dxa"/>
              <w:left w:w="20" w:type="dxa"/>
              <w:bottom w:w="0" w:type="dxa"/>
              <w:right w:w="20" w:type="dxa"/>
            </w:tcMar>
            <w:vAlign w:val="bottom"/>
          </w:tcPr>
          <w:p w14:paraId="74DDCA3C"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A3D"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A3E"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A3F"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A40"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A41"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A42" w14:textId="77777777" w:rsidR="00584EC1" w:rsidRDefault="00584EC1">
            <w:pPr>
              <w:rPr>
                <w:rFonts w:ascii="宋体"/>
              </w:rPr>
            </w:pPr>
          </w:p>
        </w:tc>
        <w:tc>
          <w:tcPr>
            <w:tcW w:w="0" w:type="auto"/>
            <w:shd w:val="clear" w:color="auto" w:fill="auto"/>
            <w:vAlign w:val="bottom"/>
          </w:tcPr>
          <w:p w14:paraId="74DDCA43" w14:textId="77777777" w:rsidR="00584EC1" w:rsidRDefault="00584EC1">
            <w:pPr>
              <w:rPr>
                <w:rFonts w:ascii="宋体"/>
                <w:vanish/>
              </w:rPr>
            </w:pPr>
          </w:p>
        </w:tc>
        <w:tc>
          <w:tcPr>
            <w:tcW w:w="0" w:type="auto"/>
            <w:shd w:val="clear" w:color="auto" w:fill="auto"/>
            <w:vAlign w:val="bottom"/>
          </w:tcPr>
          <w:p w14:paraId="74DDCA44" w14:textId="77777777" w:rsidR="00584EC1" w:rsidRDefault="00584EC1">
            <w:pPr>
              <w:rPr>
                <w:rFonts w:ascii="宋体"/>
                <w:vanish/>
              </w:rPr>
            </w:pPr>
          </w:p>
        </w:tc>
        <w:tc>
          <w:tcPr>
            <w:tcW w:w="0" w:type="auto"/>
            <w:gridSpan w:val="3"/>
            <w:shd w:val="clear" w:color="auto" w:fill="CCEEFF"/>
            <w:tcMar>
              <w:top w:w="0" w:type="dxa"/>
              <w:left w:w="20" w:type="dxa"/>
              <w:bottom w:w="0" w:type="dxa"/>
              <w:right w:w="20" w:type="dxa"/>
            </w:tcMar>
            <w:vAlign w:val="bottom"/>
          </w:tcPr>
          <w:p w14:paraId="74DDCA45"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A46"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A47"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A48"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A49"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A4A"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A4B"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A4C"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A4D"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A4E" w14:textId="77777777" w:rsidR="00584EC1" w:rsidRDefault="00584EC1">
            <w:pPr>
              <w:rPr>
                <w:rFonts w:ascii="宋体"/>
              </w:rPr>
            </w:pPr>
          </w:p>
        </w:tc>
        <w:tc>
          <w:tcPr>
            <w:tcW w:w="0" w:type="auto"/>
            <w:gridSpan w:val="2"/>
            <w:shd w:val="clear" w:color="auto" w:fill="CCEEFF"/>
            <w:tcMar>
              <w:top w:w="0" w:type="dxa"/>
              <w:left w:w="20" w:type="dxa"/>
              <w:bottom w:w="0" w:type="dxa"/>
              <w:right w:w="20" w:type="dxa"/>
            </w:tcMar>
            <w:vAlign w:val="bottom"/>
          </w:tcPr>
          <w:p w14:paraId="74DDCA4F" w14:textId="77777777" w:rsidR="00584EC1" w:rsidRDefault="00584EC1">
            <w:pPr>
              <w:rPr>
                <w:rFonts w:ascii="宋体"/>
              </w:rPr>
            </w:pPr>
          </w:p>
        </w:tc>
        <w:tc>
          <w:tcPr>
            <w:tcW w:w="0" w:type="auto"/>
            <w:shd w:val="clear" w:color="auto" w:fill="CCEEFF"/>
            <w:tcMar>
              <w:top w:w="0" w:type="dxa"/>
              <w:left w:w="20" w:type="dxa"/>
              <w:bottom w:w="0" w:type="dxa"/>
              <w:right w:w="20" w:type="dxa"/>
            </w:tcMar>
            <w:vAlign w:val="bottom"/>
          </w:tcPr>
          <w:p w14:paraId="74DDCA50" w14:textId="77777777" w:rsidR="00584EC1" w:rsidRDefault="00584EC1">
            <w:pPr>
              <w:rPr>
                <w:rFonts w:ascii="宋体"/>
              </w:rPr>
            </w:pPr>
          </w:p>
        </w:tc>
      </w:tr>
      <w:tr w:rsidR="00584EC1" w14:paraId="74DDCA72" w14:textId="77777777">
        <w:tc>
          <w:tcPr>
            <w:tcW w:w="0" w:type="auto"/>
            <w:gridSpan w:val="3"/>
            <w:shd w:val="clear" w:color="auto" w:fill="FFFFFF"/>
            <w:tcMar>
              <w:top w:w="40" w:type="dxa"/>
              <w:left w:w="155" w:type="dxa"/>
              <w:bottom w:w="40" w:type="dxa"/>
              <w:right w:w="20" w:type="dxa"/>
            </w:tcMar>
            <w:vAlign w:val="center"/>
          </w:tcPr>
          <w:p w14:paraId="74DDCA52" w14:textId="77777777" w:rsidR="00584EC1" w:rsidRDefault="00871F8D">
            <w:pPr>
              <w:textAlignment w:val="center"/>
            </w:pPr>
            <w:r>
              <w:rPr>
                <w:rFonts w:ascii="Arial" w:eastAsia="宋体" w:hAnsi="Arial" w:cs="Arial"/>
                <w:color w:val="000000"/>
                <w:sz w:val="12"/>
                <w:szCs w:val="12"/>
              </w:rPr>
              <w:t>Foreign exchange contracts</w:t>
            </w:r>
          </w:p>
        </w:tc>
        <w:tc>
          <w:tcPr>
            <w:tcW w:w="0" w:type="auto"/>
            <w:gridSpan w:val="2"/>
            <w:shd w:val="clear" w:color="auto" w:fill="FFFFFF"/>
            <w:tcMar>
              <w:top w:w="40" w:type="dxa"/>
              <w:left w:w="20" w:type="dxa"/>
              <w:bottom w:w="40" w:type="dxa"/>
              <w:right w:w="0" w:type="dxa"/>
            </w:tcMar>
            <w:vAlign w:val="center"/>
          </w:tcPr>
          <w:p w14:paraId="74DDCA53" w14:textId="77777777" w:rsidR="00584EC1" w:rsidRDefault="00871F8D">
            <w:pPr>
              <w:jc w:val="right"/>
              <w:textAlignment w:val="center"/>
            </w:pPr>
            <w:r>
              <w:rPr>
                <w:rFonts w:ascii="Arial" w:eastAsia="宋体" w:hAnsi="Arial" w:cs="Arial"/>
                <w:color w:val="000000"/>
                <w:sz w:val="12"/>
                <w:szCs w:val="12"/>
              </w:rPr>
              <w:t>4 </w:t>
            </w:r>
          </w:p>
        </w:tc>
        <w:tc>
          <w:tcPr>
            <w:tcW w:w="0" w:type="auto"/>
            <w:shd w:val="clear" w:color="auto" w:fill="FFFFFF"/>
            <w:tcMar>
              <w:top w:w="40" w:type="dxa"/>
              <w:left w:w="0" w:type="dxa"/>
              <w:bottom w:w="40" w:type="dxa"/>
              <w:right w:w="20" w:type="dxa"/>
            </w:tcMar>
            <w:vAlign w:val="center"/>
          </w:tcPr>
          <w:p w14:paraId="74DDCA5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A55"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center"/>
          </w:tcPr>
          <w:p w14:paraId="74DDCA56" w14:textId="77777777" w:rsidR="00584EC1" w:rsidRDefault="00871F8D">
            <w:pPr>
              <w:jc w:val="right"/>
              <w:textAlignment w:val="center"/>
            </w:pPr>
            <w:r>
              <w:rPr>
                <w:rFonts w:ascii="Arial" w:eastAsia="宋体" w:hAnsi="Arial" w:cs="Arial"/>
                <w:color w:val="000000"/>
                <w:sz w:val="12"/>
                <w:szCs w:val="12"/>
              </w:rPr>
              <w:t>(7)</w:t>
            </w:r>
          </w:p>
        </w:tc>
        <w:tc>
          <w:tcPr>
            <w:tcW w:w="0" w:type="auto"/>
            <w:shd w:val="clear" w:color="auto" w:fill="FFFFFF"/>
            <w:tcMar>
              <w:top w:w="40" w:type="dxa"/>
              <w:left w:w="0" w:type="dxa"/>
              <w:bottom w:w="40" w:type="dxa"/>
              <w:right w:w="20" w:type="dxa"/>
            </w:tcMar>
            <w:vAlign w:val="center"/>
          </w:tcPr>
          <w:p w14:paraId="74DDCA5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A58"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center"/>
          </w:tcPr>
          <w:p w14:paraId="74DDCA59" w14:textId="77777777" w:rsidR="00584EC1" w:rsidRDefault="00871F8D">
            <w:pPr>
              <w:jc w:val="right"/>
              <w:textAlignment w:val="center"/>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74DDCA5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A5B"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center"/>
          </w:tcPr>
          <w:p w14:paraId="74DDCA5C" w14:textId="77777777" w:rsidR="00584EC1" w:rsidRDefault="00871F8D">
            <w:pPr>
              <w:jc w:val="right"/>
              <w:textAlignment w:val="center"/>
            </w:pPr>
            <w:r>
              <w:rPr>
                <w:rFonts w:ascii="Arial" w:eastAsia="宋体" w:hAnsi="Arial" w:cs="Arial"/>
                <w:color w:val="000000"/>
                <w:sz w:val="12"/>
                <w:szCs w:val="12"/>
              </w:rPr>
              <w:t>10 </w:t>
            </w:r>
          </w:p>
        </w:tc>
        <w:tc>
          <w:tcPr>
            <w:tcW w:w="0" w:type="auto"/>
            <w:shd w:val="clear" w:color="auto" w:fill="FFFFFF"/>
            <w:tcMar>
              <w:top w:w="40" w:type="dxa"/>
              <w:left w:w="0" w:type="dxa"/>
              <w:bottom w:w="40" w:type="dxa"/>
              <w:right w:w="20" w:type="dxa"/>
            </w:tcMar>
            <w:vAlign w:val="center"/>
          </w:tcPr>
          <w:p w14:paraId="74DDCA5D" w14:textId="77777777" w:rsidR="00584EC1" w:rsidRDefault="00584EC1">
            <w:pPr>
              <w:jc w:val="right"/>
              <w:rPr>
                <w:rFonts w:ascii="宋体"/>
              </w:rPr>
            </w:pPr>
          </w:p>
        </w:tc>
        <w:tc>
          <w:tcPr>
            <w:tcW w:w="0" w:type="auto"/>
            <w:shd w:val="clear" w:color="auto" w:fill="auto"/>
            <w:vAlign w:val="bottom"/>
          </w:tcPr>
          <w:p w14:paraId="74DDCA5E" w14:textId="77777777" w:rsidR="00584EC1" w:rsidRDefault="00584EC1">
            <w:pPr>
              <w:rPr>
                <w:rFonts w:ascii="宋体"/>
                <w:vanish/>
              </w:rPr>
            </w:pPr>
          </w:p>
        </w:tc>
        <w:tc>
          <w:tcPr>
            <w:tcW w:w="0" w:type="auto"/>
            <w:shd w:val="clear" w:color="auto" w:fill="auto"/>
            <w:vAlign w:val="bottom"/>
          </w:tcPr>
          <w:p w14:paraId="74DDCA5F" w14:textId="77777777" w:rsidR="00584EC1" w:rsidRDefault="00584EC1">
            <w:pPr>
              <w:rPr>
                <w:rFonts w:ascii="宋体"/>
                <w:vanish/>
              </w:rPr>
            </w:pPr>
          </w:p>
        </w:tc>
        <w:tc>
          <w:tcPr>
            <w:tcW w:w="0" w:type="auto"/>
            <w:gridSpan w:val="3"/>
            <w:shd w:val="clear" w:color="auto" w:fill="FFFFFF"/>
            <w:tcMar>
              <w:top w:w="0" w:type="dxa"/>
              <w:left w:w="20" w:type="dxa"/>
              <w:bottom w:w="0" w:type="dxa"/>
              <w:right w:w="20" w:type="dxa"/>
            </w:tcMar>
            <w:vAlign w:val="bottom"/>
          </w:tcPr>
          <w:p w14:paraId="74DDCA6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center"/>
          </w:tcPr>
          <w:p w14:paraId="74DDCA61" w14:textId="77777777" w:rsidR="00584EC1" w:rsidRDefault="00871F8D">
            <w:pPr>
              <w:jc w:val="right"/>
              <w:textAlignment w:val="center"/>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74DDCA6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A6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center"/>
          </w:tcPr>
          <w:p w14:paraId="74DDCA64" w14:textId="77777777" w:rsidR="00584EC1" w:rsidRDefault="00871F8D">
            <w:pPr>
              <w:jc w:val="right"/>
              <w:textAlignment w:val="center"/>
            </w:pPr>
            <w:r>
              <w:rPr>
                <w:rFonts w:ascii="Arial" w:eastAsia="宋体" w:hAnsi="Arial" w:cs="Arial"/>
                <w:color w:val="000000"/>
                <w:sz w:val="12"/>
                <w:szCs w:val="12"/>
              </w:rPr>
              <w:t>(1)</w:t>
            </w:r>
          </w:p>
        </w:tc>
        <w:tc>
          <w:tcPr>
            <w:tcW w:w="0" w:type="auto"/>
            <w:shd w:val="clear" w:color="auto" w:fill="FFFFFF"/>
            <w:tcMar>
              <w:top w:w="40" w:type="dxa"/>
              <w:left w:w="0" w:type="dxa"/>
              <w:bottom w:w="40" w:type="dxa"/>
              <w:right w:w="20" w:type="dxa"/>
            </w:tcMar>
            <w:vAlign w:val="center"/>
          </w:tcPr>
          <w:p w14:paraId="74DDCA6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A6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center"/>
          </w:tcPr>
          <w:p w14:paraId="74DDCA67" w14:textId="77777777" w:rsidR="00584EC1" w:rsidRDefault="00871F8D">
            <w:pPr>
              <w:jc w:val="right"/>
              <w:textAlignment w:val="center"/>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74DDCA6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A6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center"/>
          </w:tcPr>
          <w:p w14:paraId="74DDCA6A" w14:textId="77777777" w:rsidR="00584EC1" w:rsidRDefault="00871F8D">
            <w:pPr>
              <w:jc w:val="right"/>
              <w:textAlignment w:val="center"/>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74DDCA6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A6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center"/>
          </w:tcPr>
          <w:p w14:paraId="74DDCA6D" w14:textId="77777777" w:rsidR="00584EC1" w:rsidRDefault="00871F8D">
            <w:pPr>
              <w:jc w:val="right"/>
              <w:textAlignment w:val="center"/>
            </w:pPr>
            <w:r>
              <w:rPr>
                <w:rFonts w:ascii="Arial" w:eastAsia="宋体" w:hAnsi="Arial" w:cs="Arial"/>
                <w:color w:val="000000"/>
                <w:sz w:val="12"/>
                <w:szCs w:val="12"/>
              </w:rPr>
              <w:t>6 </w:t>
            </w:r>
          </w:p>
        </w:tc>
        <w:tc>
          <w:tcPr>
            <w:tcW w:w="0" w:type="auto"/>
            <w:shd w:val="clear" w:color="auto" w:fill="FFFFFF"/>
            <w:tcMar>
              <w:top w:w="40" w:type="dxa"/>
              <w:left w:w="0" w:type="dxa"/>
              <w:bottom w:w="40" w:type="dxa"/>
              <w:right w:w="20" w:type="dxa"/>
            </w:tcMar>
            <w:vAlign w:val="center"/>
          </w:tcPr>
          <w:p w14:paraId="74DDCA6E" w14:textId="77777777" w:rsidR="00584EC1" w:rsidRDefault="00584EC1">
            <w:pPr>
              <w:jc w:val="right"/>
              <w:rPr>
                <w:rFonts w:ascii="宋体"/>
              </w:rPr>
            </w:pPr>
          </w:p>
        </w:tc>
        <w:tc>
          <w:tcPr>
            <w:tcW w:w="0" w:type="auto"/>
            <w:gridSpan w:val="2"/>
            <w:shd w:val="clear" w:color="auto" w:fill="FFFFFF"/>
            <w:tcMar>
              <w:top w:w="0" w:type="dxa"/>
              <w:left w:w="20" w:type="dxa"/>
              <w:bottom w:w="0" w:type="dxa"/>
              <w:right w:w="20" w:type="dxa"/>
            </w:tcMar>
            <w:vAlign w:val="bottom"/>
          </w:tcPr>
          <w:p w14:paraId="74DDCA6F" w14:textId="77777777" w:rsidR="00584EC1" w:rsidRDefault="00584EC1">
            <w:pPr>
              <w:rPr>
                <w:rFonts w:ascii="宋体"/>
              </w:rPr>
            </w:pPr>
          </w:p>
        </w:tc>
        <w:tc>
          <w:tcPr>
            <w:tcW w:w="0" w:type="auto"/>
            <w:shd w:val="clear" w:color="auto" w:fill="FFFFFF"/>
            <w:tcMar>
              <w:top w:w="40" w:type="dxa"/>
              <w:left w:w="20" w:type="dxa"/>
              <w:bottom w:w="40" w:type="dxa"/>
              <w:right w:w="0" w:type="dxa"/>
            </w:tcMar>
            <w:vAlign w:val="center"/>
          </w:tcPr>
          <w:p w14:paraId="74DDCA70" w14:textId="77777777" w:rsidR="00584EC1" w:rsidRDefault="00871F8D">
            <w:pPr>
              <w:textAlignment w:val="center"/>
            </w:pPr>
            <w:r>
              <w:rPr>
                <w:rFonts w:ascii="Arial" w:eastAsia="宋体" w:hAnsi="Arial" w:cs="Arial"/>
                <w:color w:val="000000"/>
                <w:sz w:val="12"/>
                <w:szCs w:val="12"/>
              </w:rPr>
              <w:t>$</w:t>
            </w:r>
          </w:p>
          <w:p w14:paraId="74DDCA71" w14:textId="77777777" w:rsidR="00584EC1" w:rsidRDefault="00871F8D">
            <w:pPr>
              <w:jc w:val="right"/>
              <w:textAlignment w:val="center"/>
            </w:pPr>
            <w:r>
              <w:rPr>
                <w:rFonts w:ascii="Arial" w:eastAsia="宋体" w:hAnsi="Arial" w:cs="Arial"/>
                <w:color w:val="000000"/>
                <w:sz w:val="12"/>
                <w:szCs w:val="12"/>
              </w:rPr>
              <w:t>(4)</w:t>
            </w:r>
          </w:p>
        </w:tc>
      </w:tr>
      <w:tr w:rsidR="00584EC1" w14:paraId="74DDCA92" w14:textId="77777777">
        <w:tc>
          <w:tcPr>
            <w:tcW w:w="0" w:type="auto"/>
            <w:gridSpan w:val="3"/>
            <w:shd w:val="clear" w:color="auto" w:fill="CCEEFF"/>
            <w:tcMar>
              <w:top w:w="40" w:type="dxa"/>
              <w:left w:w="20" w:type="dxa"/>
              <w:bottom w:w="40" w:type="dxa"/>
              <w:right w:w="20" w:type="dxa"/>
            </w:tcMar>
            <w:vAlign w:val="center"/>
          </w:tcPr>
          <w:p w14:paraId="74DDCA73" w14:textId="77777777" w:rsidR="00584EC1" w:rsidRDefault="00871F8D">
            <w:pPr>
              <w:textAlignment w:val="center"/>
            </w:pPr>
            <w:r>
              <w:rPr>
                <w:rFonts w:ascii="Arial" w:eastAsia="宋体" w:hAnsi="Arial" w:cs="Arial"/>
                <w:color w:val="000000"/>
                <w:sz w:val="12"/>
                <w:szCs w:val="12"/>
              </w:rPr>
              <w:t>Total derivative instruments</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4DDCA74" w14:textId="77777777" w:rsidR="00584EC1" w:rsidRDefault="00871F8D">
            <w:pPr>
              <w:jc w:val="right"/>
              <w:textAlignment w:val="center"/>
            </w:pPr>
            <w:r>
              <w:rPr>
                <w:rFonts w:ascii="Arial" w:eastAsia="宋体" w:hAnsi="Arial" w:cs="Arial"/>
                <w:color w:val="000000"/>
                <w:sz w:val="12"/>
                <w:szCs w:val="12"/>
              </w:rPr>
              <w:t>4 </w:t>
            </w:r>
          </w:p>
        </w:tc>
        <w:tc>
          <w:tcPr>
            <w:tcW w:w="0" w:type="auto"/>
            <w:tcBorders>
              <w:top w:val="single" w:sz="8" w:space="0" w:color="000000"/>
            </w:tcBorders>
            <w:shd w:val="clear" w:color="auto" w:fill="CCEEFF"/>
            <w:tcMar>
              <w:top w:w="40" w:type="dxa"/>
              <w:left w:w="0" w:type="dxa"/>
              <w:bottom w:w="40" w:type="dxa"/>
              <w:right w:w="20" w:type="dxa"/>
            </w:tcMar>
            <w:vAlign w:val="center"/>
          </w:tcPr>
          <w:p w14:paraId="74DDCA7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A76"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4DDCA77" w14:textId="77777777" w:rsidR="00584EC1" w:rsidRDefault="00871F8D">
            <w:pPr>
              <w:jc w:val="right"/>
              <w:textAlignment w:val="center"/>
            </w:pPr>
            <w:r>
              <w:rPr>
                <w:rFonts w:ascii="Arial" w:eastAsia="宋体" w:hAnsi="Arial" w:cs="Arial"/>
                <w:color w:val="000000"/>
                <w:sz w:val="12"/>
                <w:szCs w:val="12"/>
              </w:rPr>
              <w:t>(7)</w:t>
            </w:r>
          </w:p>
        </w:tc>
        <w:tc>
          <w:tcPr>
            <w:tcW w:w="0" w:type="auto"/>
            <w:tcBorders>
              <w:top w:val="single" w:sz="8" w:space="0" w:color="000000"/>
            </w:tcBorders>
            <w:shd w:val="clear" w:color="auto" w:fill="CCEEFF"/>
            <w:tcMar>
              <w:top w:w="40" w:type="dxa"/>
              <w:left w:w="0" w:type="dxa"/>
              <w:bottom w:w="40" w:type="dxa"/>
              <w:right w:w="20" w:type="dxa"/>
            </w:tcMar>
            <w:vAlign w:val="center"/>
          </w:tcPr>
          <w:p w14:paraId="74DDCA7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A79"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4DDCA7A" w14:textId="77777777" w:rsidR="00584EC1" w:rsidRDefault="00871F8D">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74DDCA7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A7C"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4DDCA7D" w14:textId="77777777" w:rsidR="00584EC1" w:rsidRDefault="00871F8D">
            <w:pPr>
              <w:jc w:val="right"/>
              <w:textAlignment w:val="center"/>
            </w:pPr>
            <w:r>
              <w:rPr>
                <w:rFonts w:ascii="Arial" w:eastAsia="宋体" w:hAnsi="Arial" w:cs="Arial"/>
                <w:color w:val="000000"/>
                <w:sz w:val="12"/>
                <w:szCs w:val="12"/>
              </w:rPr>
              <w:t>10 </w:t>
            </w:r>
          </w:p>
        </w:tc>
        <w:tc>
          <w:tcPr>
            <w:tcW w:w="0" w:type="auto"/>
            <w:tcBorders>
              <w:top w:val="single" w:sz="8" w:space="0" w:color="000000"/>
            </w:tcBorders>
            <w:shd w:val="clear" w:color="auto" w:fill="CCEEFF"/>
            <w:tcMar>
              <w:top w:w="40" w:type="dxa"/>
              <w:left w:w="0" w:type="dxa"/>
              <w:bottom w:w="40" w:type="dxa"/>
              <w:right w:w="20" w:type="dxa"/>
            </w:tcMar>
            <w:vAlign w:val="center"/>
          </w:tcPr>
          <w:p w14:paraId="74DDCA7E" w14:textId="77777777" w:rsidR="00584EC1" w:rsidRDefault="00584EC1">
            <w:pPr>
              <w:jc w:val="right"/>
              <w:rPr>
                <w:rFonts w:ascii="宋体"/>
              </w:rPr>
            </w:pPr>
          </w:p>
        </w:tc>
        <w:tc>
          <w:tcPr>
            <w:tcW w:w="0" w:type="auto"/>
            <w:shd w:val="clear" w:color="auto" w:fill="auto"/>
            <w:vAlign w:val="bottom"/>
          </w:tcPr>
          <w:p w14:paraId="74DDCA7F" w14:textId="77777777" w:rsidR="00584EC1" w:rsidRDefault="00584EC1">
            <w:pPr>
              <w:rPr>
                <w:rFonts w:ascii="宋体"/>
                <w:vanish/>
              </w:rPr>
            </w:pPr>
          </w:p>
        </w:tc>
        <w:tc>
          <w:tcPr>
            <w:tcW w:w="0" w:type="auto"/>
            <w:shd w:val="clear" w:color="auto" w:fill="auto"/>
            <w:vAlign w:val="bottom"/>
          </w:tcPr>
          <w:p w14:paraId="74DDCA80" w14:textId="77777777" w:rsidR="00584EC1" w:rsidRDefault="00584EC1">
            <w:pPr>
              <w:rPr>
                <w:rFonts w:ascii="宋体"/>
                <w:vanish/>
              </w:rPr>
            </w:pPr>
          </w:p>
        </w:tc>
        <w:tc>
          <w:tcPr>
            <w:tcW w:w="0" w:type="auto"/>
            <w:gridSpan w:val="3"/>
            <w:shd w:val="clear" w:color="auto" w:fill="CCEEFF"/>
            <w:tcMar>
              <w:top w:w="0" w:type="dxa"/>
              <w:left w:w="20" w:type="dxa"/>
              <w:bottom w:w="0" w:type="dxa"/>
              <w:right w:w="20" w:type="dxa"/>
            </w:tcMar>
            <w:vAlign w:val="bottom"/>
          </w:tcPr>
          <w:p w14:paraId="74DDCA81"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4DDCA82" w14:textId="77777777" w:rsidR="00584EC1" w:rsidRDefault="00871F8D">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74DDCA8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A84"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4DDCA85" w14:textId="77777777" w:rsidR="00584EC1" w:rsidRDefault="00871F8D">
            <w:pPr>
              <w:jc w:val="right"/>
              <w:textAlignment w:val="center"/>
            </w:pPr>
            <w:r>
              <w:rPr>
                <w:rFonts w:ascii="Arial" w:eastAsia="宋体" w:hAnsi="Arial" w:cs="Arial"/>
                <w:color w:val="000000"/>
                <w:sz w:val="12"/>
                <w:szCs w:val="12"/>
              </w:rPr>
              <w:t>(1)</w:t>
            </w:r>
          </w:p>
        </w:tc>
        <w:tc>
          <w:tcPr>
            <w:tcW w:w="0" w:type="auto"/>
            <w:tcBorders>
              <w:top w:val="single" w:sz="8" w:space="0" w:color="000000"/>
            </w:tcBorders>
            <w:shd w:val="clear" w:color="auto" w:fill="CCEEFF"/>
            <w:tcMar>
              <w:top w:w="40" w:type="dxa"/>
              <w:left w:w="0" w:type="dxa"/>
              <w:bottom w:w="40" w:type="dxa"/>
              <w:right w:w="20" w:type="dxa"/>
            </w:tcMar>
            <w:vAlign w:val="center"/>
          </w:tcPr>
          <w:p w14:paraId="74DDCA8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A87"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4DDCA88" w14:textId="77777777" w:rsidR="00584EC1" w:rsidRDefault="00871F8D">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74DDCA8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A8A"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4DDCA8B" w14:textId="77777777" w:rsidR="00584EC1" w:rsidRDefault="00871F8D">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74DDCA8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A8D"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4DDCA8E" w14:textId="77777777" w:rsidR="00584EC1" w:rsidRDefault="00871F8D">
            <w:pPr>
              <w:jc w:val="right"/>
              <w:textAlignment w:val="center"/>
            </w:pPr>
            <w:r>
              <w:rPr>
                <w:rFonts w:ascii="Arial" w:eastAsia="宋体" w:hAnsi="Arial" w:cs="Arial"/>
                <w:color w:val="000000"/>
                <w:sz w:val="12"/>
                <w:szCs w:val="12"/>
              </w:rPr>
              <w:t>6 </w:t>
            </w:r>
          </w:p>
        </w:tc>
        <w:tc>
          <w:tcPr>
            <w:tcW w:w="0" w:type="auto"/>
            <w:tcBorders>
              <w:top w:val="single" w:sz="8" w:space="0" w:color="000000"/>
            </w:tcBorders>
            <w:shd w:val="clear" w:color="auto" w:fill="CCEEFF"/>
            <w:tcMar>
              <w:top w:w="40" w:type="dxa"/>
              <w:left w:w="0" w:type="dxa"/>
              <w:bottom w:w="40" w:type="dxa"/>
              <w:right w:w="20" w:type="dxa"/>
            </w:tcMar>
            <w:vAlign w:val="center"/>
          </w:tcPr>
          <w:p w14:paraId="74DDCA8F" w14:textId="77777777" w:rsidR="00584EC1" w:rsidRDefault="00584EC1">
            <w:pPr>
              <w:jc w:val="right"/>
              <w:rPr>
                <w:rFonts w:ascii="宋体"/>
              </w:rPr>
            </w:pPr>
          </w:p>
        </w:tc>
        <w:tc>
          <w:tcPr>
            <w:tcW w:w="0" w:type="auto"/>
            <w:gridSpan w:val="2"/>
            <w:shd w:val="clear" w:color="auto" w:fill="CCEEFF"/>
            <w:tcMar>
              <w:top w:w="0" w:type="dxa"/>
              <w:left w:w="20" w:type="dxa"/>
              <w:bottom w:w="0" w:type="dxa"/>
              <w:right w:w="20" w:type="dxa"/>
            </w:tcMar>
            <w:vAlign w:val="bottom"/>
          </w:tcPr>
          <w:p w14:paraId="74DDCA90"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4DDCA91" w14:textId="77777777" w:rsidR="00584EC1" w:rsidRDefault="00871F8D">
            <w:pPr>
              <w:jc w:val="right"/>
              <w:textAlignment w:val="center"/>
            </w:pPr>
            <w:r>
              <w:rPr>
                <w:rFonts w:ascii="Arial" w:eastAsia="宋体" w:hAnsi="Arial" w:cs="Arial"/>
                <w:color w:val="000000"/>
                <w:sz w:val="12"/>
                <w:szCs w:val="12"/>
              </w:rPr>
              <w:t>(4)</w:t>
            </w:r>
          </w:p>
        </w:tc>
      </w:tr>
      <w:tr w:rsidR="00871F8D" w14:paraId="74DDCABC" w14:textId="77777777">
        <w:tc>
          <w:tcPr>
            <w:tcW w:w="0" w:type="auto"/>
            <w:gridSpan w:val="3"/>
            <w:shd w:val="clear" w:color="auto" w:fill="FFFFFF"/>
            <w:tcMar>
              <w:top w:w="40" w:type="dxa"/>
              <w:left w:w="20" w:type="dxa"/>
              <w:bottom w:w="40" w:type="dxa"/>
              <w:right w:w="20" w:type="dxa"/>
            </w:tcMar>
            <w:vAlign w:val="center"/>
          </w:tcPr>
          <w:p w14:paraId="74DDCA93" w14:textId="77777777" w:rsidR="00584EC1" w:rsidRDefault="00871F8D">
            <w:pPr>
              <w:textAlignment w:val="center"/>
            </w:pPr>
            <w:r>
              <w:rPr>
                <w:rFonts w:ascii="Arial" w:eastAsia="宋体" w:hAnsi="Arial" w:cs="Arial"/>
                <w:color w:val="000000"/>
                <w:sz w:val="12"/>
                <w:szCs w:val="12"/>
              </w:rPr>
              <w:t xml:space="preserve">Total assets </w:t>
            </w:r>
            <w:r>
              <w:rPr>
                <w:rFonts w:ascii="Arial" w:eastAsia="宋体" w:hAnsi="Arial" w:cs="Arial"/>
                <w:color w:val="000000"/>
                <w:sz w:val="12"/>
                <w:szCs w:val="12"/>
              </w:rPr>
              <w:t>carried at fair value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4DDCA94" w14:textId="77777777" w:rsidR="00584EC1" w:rsidRDefault="00871F8D">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4DDCA95" w14:textId="77777777" w:rsidR="00584EC1" w:rsidRDefault="00871F8D">
            <w:pPr>
              <w:jc w:val="right"/>
              <w:textAlignment w:val="center"/>
            </w:pPr>
            <w:r>
              <w:rPr>
                <w:rFonts w:ascii="Arial" w:eastAsia="宋体" w:hAnsi="Arial" w:cs="Arial"/>
                <w:color w:val="000000"/>
                <w:sz w:val="12"/>
                <w:szCs w:val="12"/>
              </w:rPr>
              <w:t>2,756 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4DDCA9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A97"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4DDCA98" w14:textId="77777777" w:rsidR="00584EC1" w:rsidRDefault="00871F8D">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4DDCA99" w14:textId="77777777" w:rsidR="00584EC1" w:rsidRDefault="00871F8D">
            <w:pPr>
              <w:jc w:val="right"/>
              <w:textAlignment w:val="center"/>
            </w:pPr>
            <w:r>
              <w:rPr>
                <w:rFonts w:ascii="Arial" w:eastAsia="宋体" w:hAnsi="Arial" w:cs="Arial"/>
                <w:color w:val="000000"/>
                <w:sz w:val="12"/>
                <w:szCs w:val="12"/>
              </w:rPr>
              <w:t>(7)</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4DDCA9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A9B"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4DDCA9C" w14:textId="77777777" w:rsidR="00584EC1" w:rsidRDefault="00871F8D">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4DDCA9D" w14:textId="77777777" w:rsidR="00584EC1" w:rsidRDefault="00871F8D">
            <w:pPr>
              <w:jc w:val="right"/>
              <w:textAlignment w:val="center"/>
            </w:pPr>
            <w:r>
              <w:rPr>
                <w:rFonts w:ascii="Arial" w:eastAsia="宋体" w:hAnsi="Arial" w:cs="Arial"/>
                <w:color w:val="000000"/>
                <w:sz w:val="12"/>
                <w:szCs w:val="12"/>
              </w:rPr>
              <w:t>27 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4DDCA9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A9F"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4DDCAA0" w14:textId="77777777" w:rsidR="00584EC1" w:rsidRDefault="00871F8D">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4DDCAA1" w14:textId="77777777" w:rsidR="00584EC1" w:rsidRDefault="00871F8D">
            <w:pPr>
              <w:jc w:val="right"/>
              <w:textAlignment w:val="center"/>
            </w:pPr>
            <w:r>
              <w:rPr>
                <w:rFonts w:ascii="Arial" w:eastAsia="宋体" w:hAnsi="Arial" w:cs="Arial"/>
                <w:color w:val="000000"/>
                <w:sz w:val="12"/>
                <w:szCs w:val="12"/>
              </w:rPr>
              <w:t>861 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4DDCAA2" w14:textId="77777777" w:rsidR="00584EC1" w:rsidRDefault="00584EC1">
            <w:pPr>
              <w:jc w:val="right"/>
              <w:rPr>
                <w:rFonts w:ascii="宋体"/>
              </w:rPr>
            </w:pPr>
          </w:p>
        </w:tc>
        <w:tc>
          <w:tcPr>
            <w:tcW w:w="0" w:type="auto"/>
            <w:shd w:val="clear" w:color="auto" w:fill="auto"/>
            <w:vAlign w:val="bottom"/>
          </w:tcPr>
          <w:p w14:paraId="74DDCAA3" w14:textId="77777777" w:rsidR="00584EC1" w:rsidRDefault="00584EC1">
            <w:pPr>
              <w:rPr>
                <w:rFonts w:ascii="宋体"/>
                <w:vanish/>
              </w:rPr>
            </w:pPr>
          </w:p>
        </w:tc>
        <w:tc>
          <w:tcPr>
            <w:tcW w:w="0" w:type="auto"/>
            <w:shd w:val="clear" w:color="auto" w:fill="auto"/>
            <w:vAlign w:val="bottom"/>
          </w:tcPr>
          <w:p w14:paraId="74DDCAA4" w14:textId="77777777" w:rsidR="00584EC1" w:rsidRDefault="00584EC1">
            <w:pPr>
              <w:rPr>
                <w:rFonts w:ascii="宋体"/>
                <w:vanish/>
              </w:rPr>
            </w:pPr>
          </w:p>
        </w:tc>
        <w:tc>
          <w:tcPr>
            <w:tcW w:w="0" w:type="auto"/>
            <w:gridSpan w:val="3"/>
            <w:shd w:val="clear" w:color="auto" w:fill="FFFFFF"/>
            <w:tcMar>
              <w:top w:w="0" w:type="dxa"/>
              <w:left w:w="20" w:type="dxa"/>
              <w:bottom w:w="0" w:type="dxa"/>
              <w:right w:w="20" w:type="dxa"/>
            </w:tcMar>
            <w:vAlign w:val="bottom"/>
          </w:tcPr>
          <w:p w14:paraId="74DDCAA5"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4DDCAA6" w14:textId="77777777" w:rsidR="00584EC1" w:rsidRDefault="00871F8D">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4DDCAA7" w14:textId="77777777" w:rsidR="00584EC1" w:rsidRDefault="00871F8D">
            <w:pPr>
              <w:jc w:val="right"/>
              <w:textAlignment w:val="center"/>
            </w:pPr>
            <w:r>
              <w:rPr>
                <w:rFonts w:ascii="Arial" w:eastAsia="宋体" w:hAnsi="Arial" w:cs="Arial"/>
                <w:color w:val="000000"/>
                <w:sz w:val="12"/>
                <w:szCs w:val="12"/>
              </w:rPr>
              <w:t>(95)</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4DDCAA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AA9"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4DDCAAA" w14:textId="77777777" w:rsidR="00584EC1" w:rsidRDefault="00871F8D">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4DDCAAB" w14:textId="77777777" w:rsidR="00584EC1" w:rsidRDefault="00871F8D">
            <w:pPr>
              <w:jc w:val="right"/>
              <w:textAlignment w:val="center"/>
            </w:pPr>
            <w:r>
              <w:rPr>
                <w:rFonts w:ascii="Arial" w:eastAsia="宋体" w:hAnsi="Arial" w:cs="Arial"/>
                <w:color w:val="000000"/>
                <w:sz w:val="12"/>
                <w:szCs w:val="12"/>
              </w:rPr>
              <w:t>(83)</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4DDCAA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AAD"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4DDCAAE" w14:textId="77777777" w:rsidR="00584EC1" w:rsidRDefault="00871F8D">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4DDCAAF" w14:textId="77777777" w:rsidR="00584EC1" w:rsidRDefault="00871F8D">
            <w:pPr>
              <w:jc w:val="right"/>
              <w:textAlignment w:val="center"/>
            </w:pPr>
            <w:r>
              <w:rPr>
                <w:rFonts w:ascii="Arial" w:eastAsia="宋体" w:hAnsi="Arial" w:cs="Arial"/>
                <w:color w:val="000000"/>
                <w:sz w:val="12"/>
                <w:szCs w:val="12"/>
              </w:rPr>
              <w:t>50 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4DDCAB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AB1"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4DDCAB2" w14:textId="77777777" w:rsidR="00584EC1" w:rsidRDefault="00871F8D">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4DDCAB3" w14:textId="77777777" w:rsidR="00584EC1" w:rsidRDefault="00871F8D">
            <w:pPr>
              <w:jc w:val="right"/>
              <w:textAlignment w:val="center"/>
            </w:pP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4DDCAB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AB5"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4DDCAB6" w14:textId="77777777" w:rsidR="00584EC1" w:rsidRDefault="00871F8D">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4DDCAB7" w14:textId="77777777" w:rsidR="00584EC1" w:rsidRDefault="00871F8D">
            <w:pPr>
              <w:jc w:val="right"/>
              <w:textAlignment w:val="center"/>
            </w:pPr>
            <w:r>
              <w:rPr>
                <w:rFonts w:ascii="Arial" w:eastAsia="宋体" w:hAnsi="Arial" w:cs="Arial"/>
                <w:color w:val="000000"/>
                <w:sz w:val="12"/>
                <w:szCs w:val="12"/>
              </w:rPr>
              <w:t>3,509 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4DDCAB8" w14:textId="77777777" w:rsidR="00584EC1" w:rsidRDefault="00584EC1">
            <w:pPr>
              <w:jc w:val="right"/>
              <w:rPr>
                <w:rFonts w:ascii="宋体"/>
              </w:rPr>
            </w:pPr>
          </w:p>
        </w:tc>
        <w:tc>
          <w:tcPr>
            <w:tcW w:w="0" w:type="auto"/>
            <w:gridSpan w:val="2"/>
            <w:shd w:val="clear" w:color="auto" w:fill="FFFFFF"/>
            <w:tcMar>
              <w:top w:w="0" w:type="dxa"/>
              <w:left w:w="20" w:type="dxa"/>
              <w:bottom w:w="0" w:type="dxa"/>
              <w:right w:w="20" w:type="dxa"/>
            </w:tcMar>
            <w:vAlign w:val="bottom"/>
          </w:tcPr>
          <w:p w14:paraId="74DDCAB9"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4DDCABA" w14:textId="77777777" w:rsidR="00584EC1" w:rsidRDefault="00871F8D">
            <w:pPr>
              <w:textAlignment w:val="center"/>
            </w:pPr>
            <w:r>
              <w:rPr>
                <w:rFonts w:ascii="Arial" w:eastAsia="宋体" w:hAnsi="Arial" w:cs="Arial"/>
                <w:color w:val="000000"/>
                <w:sz w:val="12"/>
                <w:szCs w:val="12"/>
              </w:rPr>
              <w:t>$</w:t>
            </w:r>
          </w:p>
          <w:p w14:paraId="74DDCABB" w14:textId="77777777" w:rsidR="00584EC1" w:rsidRDefault="00871F8D">
            <w:pPr>
              <w:jc w:val="right"/>
              <w:textAlignment w:val="center"/>
            </w:pPr>
            <w:r>
              <w:rPr>
                <w:rFonts w:ascii="Arial" w:eastAsia="宋体" w:hAnsi="Arial" w:cs="Arial"/>
                <w:color w:val="000000"/>
                <w:sz w:val="12"/>
                <w:szCs w:val="12"/>
              </w:rPr>
              <w:t>(4)</w:t>
            </w:r>
          </w:p>
        </w:tc>
      </w:tr>
    </w:tbl>
    <w:p w14:paraId="74DDCABD" w14:textId="77777777" w:rsidR="00584EC1" w:rsidRDefault="00584EC1">
      <w:pPr>
        <w:rPr>
          <w:vanish/>
        </w:rPr>
      </w:pPr>
    </w:p>
    <w:tbl>
      <w:tblPr>
        <w:tblW w:w="4993" w:type="pct"/>
        <w:tblCellMar>
          <w:top w:w="15" w:type="dxa"/>
          <w:left w:w="15" w:type="dxa"/>
          <w:bottom w:w="15" w:type="dxa"/>
          <w:right w:w="15" w:type="dxa"/>
        </w:tblCellMar>
        <w:tblLook w:val="04A0" w:firstRow="1" w:lastRow="0" w:firstColumn="1" w:lastColumn="0" w:noHBand="0" w:noVBand="1"/>
      </w:tblPr>
      <w:tblGrid>
        <w:gridCol w:w="62"/>
        <w:gridCol w:w="2228"/>
        <w:gridCol w:w="36"/>
        <w:gridCol w:w="62"/>
        <w:gridCol w:w="1498"/>
        <w:gridCol w:w="36"/>
        <w:gridCol w:w="64"/>
        <w:gridCol w:w="2583"/>
        <w:gridCol w:w="36"/>
        <w:gridCol w:w="64"/>
        <w:gridCol w:w="1511"/>
        <w:gridCol w:w="36"/>
        <w:gridCol w:w="36"/>
        <w:gridCol w:w="36"/>
        <w:gridCol w:w="36"/>
      </w:tblGrid>
      <w:tr w:rsidR="00584EC1" w14:paraId="74DDCACD" w14:textId="77777777">
        <w:tc>
          <w:tcPr>
            <w:tcW w:w="50" w:type="pct"/>
            <w:shd w:val="clear" w:color="auto" w:fill="auto"/>
            <w:vAlign w:val="bottom"/>
          </w:tcPr>
          <w:p w14:paraId="74DDCABE" w14:textId="77777777" w:rsidR="00584EC1" w:rsidRDefault="00584EC1">
            <w:pPr>
              <w:rPr>
                <w:rFonts w:ascii="宋体"/>
              </w:rPr>
            </w:pPr>
          </w:p>
        </w:tc>
        <w:tc>
          <w:tcPr>
            <w:tcW w:w="1350" w:type="pct"/>
            <w:shd w:val="clear" w:color="auto" w:fill="auto"/>
            <w:vAlign w:val="bottom"/>
          </w:tcPr>
          <w:p w14:paraId="74DDCABF" w14:textId="77777777" w:rsidR="00584EC1" w:rsidRDefault="00584EC1">
            <w:pPr>
              <w:rPr>
                <w:rFonts w:ascii="宋体"/>
              </w:rPr>
            </w:pPr>
          </w:p>
        </w:tc>
        <w:tc>
          <w:tcPr>
            <w:tcW w:w="5" w:type="pct"/>
            <w:shd w:val="clear" w:color="auto" w:fill="auto"/>
            <w:vAlign w:val="bottom"/>
          </w:tcPr>
          <w:p w14:paraId="74DDCAC0" w14:textId="77777777" w:rsidR="00584EC1" w:rsidRDefault="00584EC1">
            <w:pPr>
              <w:rPr>
                <w:rFonts w:ascii="宋体"/>
              </w:rPr>
            </w:pPr>
          </w:p>
        </w:tc>
        <w:tc>
          <w:tcPr>
            <w:tcW w:w="50" w:type="pct"/>
            <w:shd w:val="clear" w:color="auto" w:fill="auto"/>
            <w:vAlign w:val="bottom"/>
          </w:tcPr>
          <w:p w14:paraId="74DDCAC1" w14:textId="77777777" w:rsidR="00584EC1" w:rsidRDefault="00584EC1">
            <w:pPr>
              <w:rPr>
                <w:rFonts w:ascii="宋体"/>
              </w:rPr>
            </w:pPr>
          </w:p>
        </w:tc>
        <w:tc>
          <w:tcPr>
            <w:tcW w:w="911" w:type="pct"/>
            <w:shd w:val="clear" w:color="auto" w:fill="auto"/>
            <w:vAlign w:val="bottom"/>
          </w:tcPr>
          <w:p w14:paraId="74DDCAC2" w14:textId="77777777" w:rsidR="00584EC1" w:rsidRDefault="00584EC1">
            <w:pPr>
              <w:rPr>
                <w:rFonts w:ascii="宋体"/>
              </w:rPr>
            </w:pPr>
          </w:p>
        </w:tc>
        <w:tc>
          <w:tcPr>
            <w:tcW w:w="5" w:type="pct"/>
            <w:shd w:val="clear" w:color="auto" w:fill="auto"/>
            <w:vAlign w:val="bottom"/>
          </w:tcPr>
          <w:p w14:paraId="74DDCAC3" w14:textId="77777777" w:rsidR="00584EC1" w:rsidRDefault="00584EC1">
            <w:pPr>
              <w:rPr>
                <w:rFonts w:ascii="宋体"/>
              </w:rPr>
            </w:pPr>
          </w:p>
        </w:tc>
        <w:tc>
          <w:tcPr>
            <w:tcW w:w="50" w:type="pct"/>
            <w:shd w:val="clear" w:color="auto" w:fill="auto"/>
            <w:vAlign w:val="bottom"/>
          </w:tcPr>
          <w:p w14:paraId="74DDCAC4" w14:textId="77777777" w:rsidR="00584EC1" w:rsidRDefault="00584EC1">
            <w:pPr>
              <w:rPr>
                <w:rFonts w:ascii="宋体"/>
              </w:rPr>
            </w:pPr>
          </w:p>
        </w:tc>
        <w:tc>
          <w:tcPr>
            <w:tcW w:w="1562" w:type="pct"/>
            <w:shd w:val="clear" w:color="auto" w:fill="auto"/>
            <w:vAlign w:val="bottom"/>
          </w:tcPr>
          <w:p w14:paraId="74DDCAC5" w14:textId="77777777" w:rsidR="00584EC1" w:rsidRDefault="00584EC1">
            <w:pPr>
              <w:rPr>
                <w:rFonts w:ascii="宋体"/>
              </w:rPr>
            </w:pPr>
          </w:p>
        </w:tc>
        <w:tc>
          <w:tcPr>
            <w:tcW w:w="5" w:type="pct"/>
            <w:shd w:val="clear" w:color="auto" w:fill="auto"/>
            <w:vAlign w:val="bottom"/>
          </w:tcPr>
          <w:p w14:paraId="74DDCAC6" w14:textId="77777777" w:rsidR="00584EC1" w:rsidRDefault="00584EC1">
            <w:pPr>
              <w:rPr>
                <w:rFonts w:ascii="宋体"/>
              </w:rPr>
            </w:pPr>
          </w:p>
        </w:tc>
        <w:tc>
          <w:tcPr>
            <w:tcW w:w="50" w:type="pct"/>
            <w:shd w:val="clear" w:color="auto" w:fill="auto"/>
            <w:vAlign w:val="bottom"/>
          </w:tcPr>
          <w:p w14:paraId="74DDCAC7" w14:textId="77777777" w:rsidR="00584EC1" w:rsidRDefault="00584EC1">
            <w:pPr>
              <w:rPr>
                <w:rFonts w:ascii="宋体"/>
              </w:rPr>
            </w:pPr>
          </w:p>
        </w:tc>
        <w:tc>
          <w:tcPr>
            <w:tcW w:w="918" w:type="pct"/>
            <w:shd w:val="clear" w:color="auto" w:fill="auto"/>
            <w:vAlign w:val="bottom"/>
          </w:tcPr>
          <w:p w14:paraId="74DDCAC8" w14:textId="77777777" w:rsidR="00584EC1" w:rsidRDefault="00584EC1">
            <w:pPr>
              <w:rPr>
                <w:rFonts w:ascii="宋体"/>
              </w:rPr>
            </w:pPr>
          </w:p>
        </w:tc>
        <w:tc>
          <w:tcPr>
            <w:tcW w:w="5" w:type="pct"/>
            <w:shd w:val="clear" w:color="auto" w:fill="auto"/>
            <w:vAlign w:val="bottom"/>
          </w:tcPr>
          <w:p w14:paraId="74DDCAC9" w14:textId="77777777" w:rsidR="00584EC1" w:rsidRDefault="00584EC1">
            <w:pPr>
              <w:rPr>
                <w:rFonts w:ascii="宋体"/>
              </w:rPr>
            </w:pPr>
          </w:p>
        </w:tc>
        <w:tc>
          <w:tcPr>
            <w:tcW w:w="5" w:type="pct"/>
            <w:shd w:val="clear" w:color="auto" w:fill="auto"/>
            <w:vAlign w:val="bottom"/>
          </w:tcPr>
          <w:p w14:paraId="74DDCACA" w14:textId="77777777" w:rsidR="00584EC1" w:rsidRDefault="00584EC1">
            <w:pPr>
              <w:rPr>
                <w:rFonts w:ascii="宋体"/>
              </w:rPr>
            </w:pPr>
          </w:p>
        </w:tc>
        <w:tc>
          <w:tcPr>
            <w:tcW w:w="26" w:type="pct"/>
            <w:shd w:val="clear" w:color="auto" w:fill="auto"/>
            <w:vAlign w:val="bottom"/>
          </w:tcPr>
          <w:p w14:paraId="74DDCACB" w14:textId="77777777" w:rsidR="00584EC1" w:rsidRDefault="00584EC1">
            <w:pPr>
              <w:rPr>
                <w:rFonts w:ascii="宋体"/>
              </w:rPr>
            </w:pPr>
          </w:p>
        </w:tc>
        <w:tc>
          <w:tcPr>
            <w:tcW w:w="5" w:type="pct"/>
            <w:shd w:val="clear" w:color="auto" w:fill="auto"/>
            <w:vAlign w:val="bottom"/>
          </w:tcPr>
          <w:p w14:paraId="74DDCACC" w14:textId="77777777" w:rsidR="00584EC1" w:rsidRDefault="00584EC1">
            <w:pPr>
              <w:rPr>
                <w:rFonts w:ascii="宋体"/>
              </w:rPr>
            </w:pPr>
          </w:p>
        </w:tc>
      </w:tr>
      <w:tr w:rsidR="00584EC1" w14:paraId="74DDCAD3"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4DDCACE"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ACF"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AD0"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AD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AD2" w14:textId="77777777" w:rsidR="00584EC1" w:rsidRDefault="00584EC1">
            <w:pPr>
              <w:rPr>
                <w:rFonts w:ascii="宋体"/>
              </w:rPr>
            </w:pPr>
          </w:p>
        </w:tc>
      </w:tr>
    </w:tbl>
    <w:p w14:paraId="74DDCAD4" w14:textId="77777777" w:rsidR="00584EC1" w:rsidRDefault="00871F8D">
      <w:r>
        <w:rPr>
          <w:rFonts w:ascii="Arial" w:eastAsia="宋体" w:hAnsi="Arial" w:cs="Arial"/>
          <w:color w:val="000000"/>
          <w:sz w:val="8"/>
          <w:szCs w:val="8"/>
        </w:rPr>
        <w:t>(</w:t>
      </w:r>
      <w:r>
        <w:rPr>
          <w:rFonts w:ascii="Arial" w:eastAsia="宋体" w:hAnsi="Arial" w:cs="Arial"/>
          <w:color w:val="000000"/>
          <w:sz w:val="7"/>
          <w:szCs w:val="7"/>
        </w:rPr>
        <w:t>1)</w:t>
      </w:r>
      <w:r>
        <w:rPr>
          <w:rFonts w:ascii="Arial" w:eastAsia="宋体" w:hAnsi="Arial" w:cs="Arial"/>
          <w:color w:val="000000"/>
          <w:sz w:val="12"/>
          <w:szCs w:val="12"/>
        </w:rPr>
        <w:t xml:space="preserve"> Total realized and unrealized gains (losses) on AFS investment securities are included within gains (losses) related to investment securities, net. Total realized and unrealized gains (losses) on derivative instruments are included within foreign exchange</w:t>
      </w:r>
      <w:r>
        <w:rPr>
          <w:rFonts w:ascii="Arial" w:eastAsia="宋体" w:hAnsi="Arial" w:cs="Arial"/>
          <w:color w:val="000000"/>
          <w:sz w:val="12"/>
          <w:szCs w:val="12"/>
        </w:rPr>
        <w:t xml:space="preserve"> trading services.</w:t>
      </w:r>
    </w:p>
    <w:p w14:paraId="74DDCAD5" w14:textId="77777777" w:rsidR="00584EC1" w:rsidRDefault="00871F8D">
      <w:pPr>
        <w:ind w:firstLine="450"/>
        <w:jc w:val="right"/>
      </w:pPr>
      <w:r>
        <w:rPr>
          <w:rFonts w:ascii="Arial" w:eastAsia="宋体" w:hAnsi="Arial" w:cs="Arial"/>
          <w:color w:val="000000"/>
          <w:sz w:val="18"/>
          <w:szCs w:val="18"/>
        </w:rPr>
        <w:t>State Street Corporation | 63</w:t>
      </w:r>
    </w:p>
    <w:p w14:paraId="74DDCAD6" w14:textId="77777777" w:rsidR="00584EC1" w:rsidRDefault="00584EC1">
      <w:pPr>
        <w:ind w:firstLine="450"/>
        <w:jc w:val="center"/>
      </w:pPr>
    </w:p>
    <w:p w14:paraId="74DDCAD7" w14:textId="77777777" w:rsidR="00584EC1" w:rsidRDefault="00871F8D">
      <w:r>
        <w:pict w14:anchorId="74DE2A2D">
          <v:rect id="_x0000_i1087" style="width:415.3pt;height:1.5pt" o:hralign="center" o:hrstd="t" o:hr="t" fillcolor="#a0a0a0" stroked="f"/>
        </w:pict>
      </w:r>
    </w:p>
    <w:p w14:paraId="74DDCAD8" w14:textId="77777777" w:rsidR="00584EC1" w:rsidRDefault="00871F8D">
      <w:pPr>
        <w:ind w:firstLine="450"/>
        <w:jc w:val="center"/>
      </w:pPr>
      <w:r>
        <w:rPr>
          <w:rFonts w:ascii="Arial" w:eastAsia="宋体" w:hAnsi="Arial" w:cs="Arial"/>
          <w:b/>
          <w:bCs/>
          <w:color w:val="000000"/>
          <w:sz w:val="20"/>
          <w:szCs w:val="20"/>
        </w:rPr>
        <w:t>STATE STREET CORPORATION</w:t>
      </w:r>
    </w:p>
    <w:p w14:paraId="74DDCAD9" w14:textId="77777777" w:rsidR="00584EC1" w:rsidRDefault="00871F8D">
      <w:pPr>
        <w:ind w:firstLine="450"/>
        <w:jc w:val="center"/>
      </w:pPr>
      <w:r>
        <w:rPr>
          <w:rFonts w:ascii="Arial" w:eastAsia="宋体" w:hAnsi="Arial" w:cs="Arial"/>
          <w:b/>
          <w:bCs/>
          <w:color w:val="000000"/>
          <w:sz w:val="20"/>
          <w:szCs w:val="20"/>
        </w:rPr>
        <w:t>CONDENSED NOTES TO CONSOLIDATED FINANCIAL STATEMENTS</w:t>
      </w:r>
    </w:p>
    <w:p w14:paraId="74DDCADA" w14:textId="77777777" w:rsidR="00584EC1" w:rsidRDefault="00871F8D">
      <w:pPr>
        <w:ind w:firstLine="450"/>
        <w:jc w:val="center"/>
      </w:pPr>
      <w:r>
        <w:rPr>
          <w:rFonts w:ascii="Arial" w:eastAsia="宋体" w:hAnsi="Arial" w:cs="Arial"/>
          <w:b/>
          <w:bCs/>
          <w:color w:val="000000"/>
          <w:sz w:val="20"/>
          <w:szCs w:val="20"/>
        </w:rPr>
        <w:t>(UNAUDITED)</w:t>
      </w:r>
    </w:p>
    <w:p w14:paraId="74DDCADB" w14:textId="77777777" w:rsidR="00584EC1" w:rsidRDefault="00871F8D">
      <w:pPr>
        <w:spacing w:before="60"/>
        <w:ind w:firstLine="450"/>
        <w:jc w:val="both"/>
      </w:pPr>
      <w:r>
        <w:rPr>
          <w:rFonts w:ascii="Arial" w:eastAsia="宋体" w:hAnsi="Arial" w:cs="Arial"/>
          <w:color w:val="000000"/>
          <w:sz w:val="20"/>
          <w:szCs w:val="20"/>
        </w:rPr>
        <w:t>The following table presents quantitative information, as of the dates indicated, about the valuation techniques a</w:t>
      </w:r>
      <w:r>
        <w:rPr>
          <w:rFonts w:ascii="Arial" w:eastAsia="宋体" w:hAnsi="Arial" w:cs="Arial"/>
          <w:color w:val="000000"/>
          <w:sz w:val="20"/>
          <w:szCs w:val="20"/>
        </w:rPr>
        <w:t>nd significant unobservable inputs used in the valuation of our level 3 financial assets and liabilities measured at fair value on a recurring basis for which we use internally-developed pricing models. The significant unobservable inputs for our level 3 f</w:t>
      </w:r>
      <w:r>
        <w:rPr>
          <w:rFonts w:ascii="Arial" w:eastAsia="宋体" w:hAnsi="Arial" w:cs="Arial"/>
          <w:color w:val="000000"/>
          <w:sz w:val="20"/>
          <w:szCs w:val="20"/>
        </w:rPr>
        <w:t>inancial assets and liabilities whose fair value is measured using pricing information from non-binding broker/dealer quotes are not included in the table, as the specific inputs applied are not provided by the broker/dealer.</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1744"/>
        <w:gridCol w:w="37"/>
        <w:gridCol w:w="94"/>
        <w:gridCol w:w="641"/>
        <w:gridCol w:w="36"/>
        <w:gridCol w:w="36"/>
        <w:gridCol w:w="36"/>
        <w:gridCol w:w="36"/>
        <w:gridCol w:w="94"/>
        <w:gridCol w:w="825"/>
        <w:gridCol w:w="36"/>
        <w:gridCol w:w="36"/>
        <w:gridCol w:w="36"/>
        <w:gridCol w:w="36"/>
        <w:gridCol w:w="75"/>
        <w:gridCol w:w="559"/>
        <w:gridCol w:w="36"/>
        <w:gridCol w:w="36"/>
        <w:gridCol w:w="36"/>
        <w:gridCol w:w="36"/>
        <w:gridCol w:w="96"/>
        <w:gridCol w:w="729"/>
        <w:gridCol w:w="36"/>
        <w:gridCol w:w="36"/>
        <w:gridCol w:w="36"/>
        <w:gridCol w:w="36"/>
        <w:gridCol w:w="99"/>
        <w:gridCol w:w="350"/>
        <w:gridCol w:w="39"/>
        <w:gridCol w:w="38"/>
        <w:gridCol w:w="53"/>
        <w:gridCol w:w="38"/>
        <w:gridCol w:w="88"/>
        <w:gridCol w:w="313"/>
        <w:gridCol w:w="39"/>
        <w:gridCol w:w="36"/>
        <w:gridCol w:w="36"/>
        <w:gridCol w:w="36"/>
        <w:gridCol w:w="66"/>
        <w:gridCol w:w="588"/>
        <w:gridCol w:w="138"/>
        <w:gridCol w:w="36"/>
        <w:gridCol w:w="36"/>
        <w:gridCol w:w="36"/>
        <w:gridCol w:w="51"/>
        <w:gridCol w:w="576"/>
        <w:gridCol w:w="136"/>
      </w:tblGrid>
      <w:tr w:rsidR="00584EC1" w14:paraId="74DDCB0C" w14:textId="77777777">
        <w:trPr>
          <w:jc w:val="center"/>
        </w:trPr>
        <w:tc>
          <w:tcPr>
            <w:tcW w:w="50" w:type="pct"/>
            <w:shd w:val="clear" w:color="auto" w:fill="auto"/>
            <w:vAlign w:val="bottom"/>
          </w:tcPr>
          <w:p w14:paraId="74DDCADC" w14:textId="77777777" w:rsidR="00584EC1" w:rsidRDefault="00584EC1">
            <w:pPr>
              <w:rPr>
                <w:rFonts w:ascii="宋体"/>
              </w:rPr>
            </w:pPr>
          </w:p>
        </w:tc>
        <w:tc>
          <w:tcPr>
            <w:tcW w:w="1143" w:type="pct"/>
            <w:shd w:val="clear" w:color="auto" w:fill="auto"/>
            <w:vAlign w:val="bottom"/>
          </w:tcPr>
          <w:p w14:paraId="74DDCADD" w14:textId="77777777" w:rsidR="00584EC1" w:rsidRDefault="00584EC1">
            <w:pPr>
              <w:rPr>
                <w:rFonts w:ascii="宋体"/>
              </w:rPr>
            </w:pPr>
          </w:p>
        </w:tc>
        <w:tc>
          <w:tcPr>
            <w:tcW w:w="5" w:type="pct"/>
            <w:shd w:val="clear" w:color="auto" w:fill="auto"/>
            <w:vAlign w:val="bottom"/>
          </w:tcPr>
          <w:p w14:paraId="74DDCADE" w14:textId="77777777" w:rsidR="00584EC1" w:rsidRDefault="00584EC1">
            <w:pPr>
              <w:rPr>
                <w:rFonts w:ascii="宋体"/>
              </w:rPr>
            </w:pPr>
          </w:p>
        </w:tc>
        <w:tc>
          <w:tcPr>
            <w:tcW w:w="50" w:type="pct"/>
            <w:shd w:val="clear" w:color="auto" w:fill="auto"/>
            <w:vAlign w:val="bottom"/>
          </w:tcPr>
          <w:p w14:paraId="74DDCADF" w14:textId="77777777" w:rsidR="00584EC1" w:rsidRDefault="00584EC1">
            <w:pPr>
              <w:rPr>
                <w:rFonts w:ascii="宋体"/>
              </w:rPr>
            </w:pPr>
          </w:p>
        </w:tc>
        <w:tc>
          <w:tcPr>
            <w:tcW w:w="449" w:type="pct"/>
            <w:shd w:val="clear" w:color="auto" w:fill="auto"/>
            <w:vAlign w:val="bottom"/>
          </w:tcPr>
          <w:p w14:paraId="74DDCAE0" w14:textId="77777777" w:rsidR="00584EC1" w:rsidRDefault="00584EC1">
            <w:pPr>
              <w:rPr>
                <w:rFonts w:ascii="宋体"/>
              </w:rPr>
            </w:pPr>
          </w:p>
        </w:tc>
        <w:tc>
          <w:tcPr>
            <w:tcW w:w="5" w:type="pct"/>
            <w:shd w:val="clear" w:color="auto" w:fill="auto"/>
            <w:vAlign w:val="bottom"/>
          </w:tcPr>
          <w:p w14:paraId="74DDCAE1" w14:textId="77777777" w:rsidR="00584EC1" w:rsidRDefault="00584EC1">
            <w:pPr>
              <w:rPr>
                <w:rFonts w:ascii="宋体"/>
              </w:rPr>
            </w:pPr>
          </w:p>
        </w:tc>
        <w:tc>
          <w:tcPr>
            <w:tcW w:w="5" w:type="pct"/>
            <w:shd w:val="clear" w:color="auto" w:fill="auto"/>
            <w:vAlign w:val="bottom"/>
          </w:tcPr>
          <w:p w14:paraId="74DDCAE2" w14:textId="77777777" w:rsidR="00584EC1" w:rsidRDefault="00584EC1">
            <w:pPr>
              <w:rPr>
                <w:rFonts w:ascii="宋体"/>
              </w:rPr>
            </w:pPr>
          </w:p>
        </w:tc>
        <w:tc>
          <w:tcPr>
            <w:tcW w:w="19" w:type="pct"/>
            <w:shd w:val="clear" w:color="auto" w:fill="auto"/>
            <w:vAlign w:val="bottom"/>
          </w:tcPr>
          <w:p w14:paraId="74DDCAE3" w14:textId="77777777" w:rsidR="00584EC1" w:rsidRDefault="00584EC1">
            <w:pPr>
              <w:rPr>
                <w:rFonts w:ascii="宋体"/>
              </w:rPr>
            </w:pPr>
          </w:p>
        </w:tc>
        <w:tc>
          <w:tcPr>
            <w:tcW w:w="5" w:type="pct"/>
            <w:shd w:val="clear" w:color="auto" w:fill="auto"/>
            <w:vAlign w:val="bottom"/>
          </w:tcPr>
          <w:p w14:paraId="74DDCAE4" w14:textId="77777777" w:rsidR="00584EC1" w:rsidRDefault="00584EC1">
            <w:pPr>
              <w:rPr>
                <w:rFonts w:ascii="宋体"/>
              </w:rPr>
            </w:pPr>
          </w:p>
        </w:tc>
        <w:tc>
          <w:tcPr>
            <w:tcW w:w="50" w:type="pct"/>
            <w:shd w:val="clear" w:color="auto" w:fill="auto"/>
            <w:vAlign w:val="bottom"/>
          </w:tcPr>
          <w:p w14:paraId="74DDCAE5" w14:textId="77777777" w:rsidR="00584EC1" w:rsidRDefault="00584EC1">
            <w:pPr>
              <w:rPr>
                <w:rFonts w:ascii="宋体"/>
              </w:rPr>
            </w:pPr>
          </w:p>
        </w:tc>
        <w:tc>
          <w:tcPr>
            <w:tcW w:w="559" w:type="pct"/>
            <w:shd w:val="clear" w:color="auto" w:fill="auto"/>
            <w:vAlign w:val="bottom"/>
          </w:tcPr>
          <w:p w14:paraId="74DDCAE6" w14:textId="77777777" w:rsidR="00584EC1" w:rsidRDefault="00584EC1">
            <w:pPr>
              <w:rPr>
                <w:rFonts w:ascii="宋体"/>
              </w:rPr>
            </w:pPr>
          </w:p>
        </w:tc>
        <w:tc>
          <w:tcPr>
            <w:tcW w:w="5" w:type="pct"/>
            <w:shd w:val="clear" w:color="auto" w:fill="auto"/>
            <w:vAlign w:val="bottom"/>
          </w:tcPr>
          <w:p w14:paraId="74DDCAE7" w14:textId="77777777" w:rsidR="00584EC1" w:rsidRDefault="00584EC1">
            <w:pPr>
              <w:rPr>
                <w:rFonts w:ascii="宋体"/>
              </w:rPr>
            </w:pPr>
          </w:p>
        </w:tc>
        <w:tc>
          <w:tcPr>
            <w:tcW w:w="5" w:type="pct"/>
            <w:shd w:val="clear" w:color="auto" w:fill="auto"/>
            <w:vAlign w:val="bottom"/>
          </w:tcPr>
          <w:p w14:paraId="74DDCAE8" w14:textId="77777777" w:rsidR="00584EC1" w:rsidRDefault="00584EC1">
            <w:pPr>
              <w:rPr>
                <w:rFonts w:ascii="宋体"/>
              </w:rPr>
            </w:pPr>
          </w:p>
        </w:tc>
        <w:tc>
          <w:tcPr>
            <w:tcW w:w="19" w:type="pct"/>
            <w:shd w:val="clear" w:color="auto" w:fill="auto"/>
            <w:vAlign w:val="bottom"/>
          </w:tcPr>
          <w:p w14:paraId="74DDCAE9" w14:textId="77777777" w:rsidR="00584EC1" w:rsidRDefault="00584EC1">
            <w:pPr>
              <w:rPr>
                <w:rFonts w:ascii="宋体"/>
              </w:rPr>
            </w:pPr>
          </w:p>
        </w:tc>
        <w:tc>
          <w:tcPr>
            <w:tcW w:w="5" w:type="pct"/>
            <w:shd w:val="clear" w:color="auto" w:fill="auto"/>
            <w:vAlign w:val="bottom"/>
          </w:tcPr>
          <w:p w14:paraId="74DDCAEA" w14:textId="77777777" w:rsidR="00584EC1" w:rsidRDefault="00584EC1">
            <w:pPr>
              <w:rPr>
                <w:rFonts w:ascii="宋体"/>
              </w:rPr>
            </w:pPr>
          </w:p>
        </w:tc>
        <w:tc>
          <w:tcPr>
            <w:tcW w:w="50" w:type="pct"/>
            <w:shd w:val="clear" w:color="auto" w:fill="auto"/>
            <w:vAlign w:val="bottom"/>
          </w:tcPr>
          <w:p w14:paraId="74DDCAEB" w14:textId="77777777" w:rsidR="00584EC1" w:rsidRDefault="00584EC1">
            <w:pPr>
              <w:rPr>
                <w:rFonts w:ascii="宋体"/>
              </w:rPr>
            </w:pPr>
          </w:p>
        </w:tc>
        <w:tc>
          <w:tcPr>
            <w:tcW w:w="376" w:type="pct"/>
            <w:shd w:val="clear" w:color="auto" w:fill="auto"/>
            <w:vAlign w:val="bottom"/>
          </w:tcPr>
          <w:p w14:paraId="74DDCAEC" w14:textId="77777777" w:rsidR="00584EC1" w:rsidRDefault="00584EC1">
            <w:pPr>
              <w:rPr>
                <w:rFonts w:ascii="宋体"/>
              </w:rPr>
            </w:pPr>
          </w:p>
        </w:tc>
        <w:tc>
          <w:tcPr>
            <w:tcW w:w="5" w:type="pct"/>
            <w:shd w:val="clear" w:color="auto" w:fill="auto"/>
            <w:vAlign w:val="bottom"/>
          </w:tcPr>
          <w:p w14:paraId="74DDCAED" w14:textId="77777777" w:rsidR="00584EC1" w:rsidRDefault="00584EC1">
            <w:pPr>
              <w:rPr>
                <w:rFonts w:ascii="宋体"/>
              </w:rPr>
            </w:pPr>
          </w:p>
        </w:tc>
        <w:tc>
          <w:tcPr>
            <w:tcW w:w="5" w:type="pct"/>
            <w:shd w:val="clear" w:color="auto" w:fill="auto"/>
            <w:vAlign w:val="bottom"/>
          </w:tcPr>
          <w:p w14:paraId="74DDCAEE" w14:textId="77777777" w:rsidR="00584EC1" w:rsidRDefault="00584EC1">
            <w:pPr>
              <w:rPr>
                <w:rFonts w:ascii="宋体"/>
              </w:rPr>
            </w:pPr>
          </w:p>
        </w:tc>
        <w:tc>
          <w:tcPr>
            <w:tcW w:w="19" w:type="pct"/>
            <w:shd w:val="clear" w:color="auto" w:fill="auto"/>
            <w:vAlign w:val="bottom"/>
          </w:tcPr>
          <w:p w14:paraId="74DDCAEF" w14:textId="77777777" w:rsidR="00584EC1" w:rsidRDefault="00584EC1">
            <w:pPr>
              <w:rPr>
                <w:rFonts w:ascii="宋体"/>
              </w:rPr>
            </w:pPr>
          </w:p>
        </w:tc>
        <w:tc>
          <w:tcPr>
            <w:tcW w:w="5" w:type="pct"/>
            <w:shd w:val="clear" w:color="auto" w:fill="auto"/>
            <w:vAlign w:val="bottom"/>
          </w:tcPr>
          <w:p w14:paraId="74DDCAF0" w14:textId="77777777" w:rsidR="00584EC1" w:rsidRDefault="00584EC1">
            <w:pPr>
              <w:rPr>
                <w:rFonts w:ascii="宋体"/>
              </w:rPr>
            </w:pPr>
          </w:p>
        </w:tc>
        <w:tc>
          <w:tcPr>
            <w:tcW w:w="50" w:type="pct"/>
            <w:shd w:val="clear" w:color="auto" w:fill="auto"/>
            <w:vAlign w:val="bottom"/>
          </w:tcPr>
          <w:p w14:paraId="74DDCAF1" w14:textId="77777777" w:rsidR="00584EC1" w:rsidRDefault="00584EC1">
            <w:pPr>
              <w:rPr>
                <w:rFonts w:ascii="宋体"/>
              </w:rPr>
            </w:pPr>
          </w:p>
        </w:tc>
        <w:tc>
          <w:tcPr>
            <w:tcW w:w="383" w:type="pct"/>
            <w:shd w:val="clear" w:color="auto" w:fill="auto"/>
            <w:vAlign w:val="bottom"/>
          </w:tcPr>
          <w:p w14:paraId="74DDCAF2" w14:textId="77777777" w:rsidR="00584EC1" w:rsidRDefault="00584EC1">
            <w:pPr>
              <w:rPr>
                <w:rFonts w:ascii="宋体"/>
              </w:rPr>
            </w:pPr>
          </w:p>
        </w:tc>
        <w:tc>
          <w:tcPr>
            <w:tcW w:w="5" w:type="pct"/>
            <w:shd w:val="clear" w:color="auto" w:fill="auto"/>
            <w:vAlign w:val="bottom"/>
          </w:tcPr>
          <w:p w14:paraId="74DDCAF3" w14:textId="77777777" w:rsidR="00584EC1" w:rsidRDefault="00584EC1">
            <w:pPr>
              <w:rPr>
                <w:rFonts w:ascii="宋体"/>
              </w:rPr>
            </w:pPr>
          </w:p>
        </w:tc>
        <w:tc>
          <w:tcPr>
            <w:tcW w:w="5" w:type="pct"/>
            <w:shd w:val="clear" w:color="auto" w:fill="auto"/>
            <w:vAlign w:val="bottom"/>
          </w:tcPr>
          <w:p w14:paraId="74DDCAF4" w14:textId="77777777" w:rsidR="00584EC1" w:rsidRDefault="00584EC1">
            <w:pPr>
              <w:rPr>
                <w:rFonts w:ascii="宋体"/>
              </w:rPr>
            </w:pPr>
          </w:p>
        </w:tc>
        <w:tc>
          <w:tcPr>
            <w:tcW w:w="19" w:type="pct"/>
            <w:shd w:val="clear" w:color="auto" w:fill="auto"/>
            <w:vAlign w:val="bottom"/>
          </w:tcPr>
          <w:p w14:paraId="74DDCAF5" w14:textId="77777777" w:rsidR="00584EC1" w:rsidRDefault="00584EC1">
            <w:pPr>
              <w:rPr>
                <w:rFonts w:ascii="宋体"/>
              </w:rPr>
            </w:pPr>
          </w:p>
        </w:tc>
        <w:tc>
          <w:tcPr>
            <w:tcW w:w="5" w:type="pct"/>
            <w:shd w:val="clear" w:color="auto" w:fill="auto"/>
            <w:vAlign w:val="bottom"/>
          </w:tcPr>
          <w:p w14:paraId="74DDCAF6" w14:textId="77777777" w:rsidR="00584EC1" w:rsidRDefault="00584EC1">
            <w:pPr>
              <w:rPr>
                <w:rFonts w:ascii="宋体"/>
              </w:rPr>
            </w:pPr>
          </w:p>
        </w:tc>
        <w:tc>
          <w:tcPr>
            <w:tcW w:w="50" w:type="pct"/>
            <w:shd w:val="clear" w:color="auto" w:fill="auto"/>
            <w:vAlign w:val="bottom"/>
          </w:tcPr>
          <w:p w14:paraId="74DDCAF7" w14:textId="77777777" w:rsidR="00584EC1" w:rsidRDefault="00584EC1">
            <w:pPr>
              <w:rPr>
                <w:rFonts w:ascii="宋体"/>
              </w:rPr>
            </w:pPr>
          </w:p>
        </w:tc>
        <w:tc>
          <w:tcPr>
            <w:tcW w:w="178" w:type="pct"/>
            <w:shd w:val="clear" w:color="auto" w:fill="auto"/>
            <w:vAlign w:val="bottom"/>
          </w:tcPr>
          <w:p w14:paraId="74DDCAF8" w14:textId="77777777" w:rsidR="00584EC1" w:rsidRDefault="00584EC1">
            <w:pPr>
              <w:rPr>
                <w:rFonts w:ascii="宋体"/>
              </w:rPr>
            </w:pPr>
          </w:p>
        </w:tc>
        <w:tc>
          <w:tcPr>
            <w:tcW w:w="5" w:type="pct"/>
            <w:shd w:val="clear" w:color="auto" w:fill="auto"/>
            <w:vAlign w:val="bottom"/>
          </w:tcPr>
          <w:p w14:paraId="74DDCAF9" w14:textId="77777777" w:rsidR="00584EC1" w:rsidRDefault="00584EC1">
            <w:pPr>
              <w:rPr>
                <w:rFonts w:ascii="宋体"/>
              </w:rPr>
            </w:pPr>
          </w:p>
        </w:tc>
        <w:tc>
          <w:tcPr>
            <w:tcW w:w="5" w:type="pct"/>
            <w:shd w:val="clear" w:color="auto" w:fill="auto"/>
            <w:vAlign w:val="bottom"/>
          </w:tcPr>
          <w:p w14:paraId="74DDCAFA" w14:textId="77777777" w:rsidR="00584EC1" w:rsidRDefault="00584EC1">
            <w:pPr>
              <w:rPr>
                <w:rFonts w:ascii="宋体"/>
              </w:rPr>
            </w:pPr>
          </w:p>
        </w:tc>
        <w:tc>
          <w:tcPr>
            <w:tcW w:w="41" w:type="pct"/>
            <w:shd w:val="clear" w:color="auto" w:fill="auto"/>
            <w:vAlign w:val="bottom"/>
          </w:tcPr>
          <w:p w14:paraId="74DDCAFB" w14:textId="77777777" w:rsidR="00584EC1" w:rsidRDefault="00584EC1">
            <w:pPr>
              <w:rPr>
                <w:rFonts w:ascii="宋体"/>
              </w:rPr>
            </w:pPr>
          </w:p>
        </w:tc>
        <w:tc>
          <w:tcPr>
            <w:tcW w:w="5" w:type="pct"/>
            <w:shd w:val="clear" w:color="auto" w:fill="auto"/>
            <w:vAlign w:val="bottom"/>
          </w:tcPr>
          <w:p w14:paraId="74DDCAFC" w14:textId="77777777" w:rsidR="00584EC1" w:rsidRDefault="00584EC1">
            <w:pPr>
              <w:rPr>
                <w:rFonts w:ascii="宋体"/>
              </w:rPr>
            </w:pPr>
          </w:p>
        </w:tc>
        <w:tc>
          <w:tcPr>
            <w:tcW w:w="50" w:type="pct"/>
            <w:shd w:val="clear" w:color="auto" w:fill="auto"/>
            <w:vAlign w:val="bottom"/>
          </w:tcPr>
          <w:p w14:paraId="74DDCAFD" w14:textId="77777777" w:rsidR="00584EC1" w:rsidRDefault="00584EC1">
            <w:pPr>
              <w:rPr>
                <w:rFonts w:ascii="宋体"/>
              </w:rPr>
            </w:pPr>
          </w:p>
        </w:tc>
        <w:tc>
          <w:tcPr>
            <w:tcW w:w="178" w:type="pct"/>
            <w:shd w:val="clear" w:color="auto" w:fill="auto"/>
            <w:vAlign w:val="bottom"/>
          </w:tcPr>
          <w:p w14:paraId="74DDCAFE" w14:textId="77777777" w:rsidR="00584EC1" w:rsidRDefault="00584EC1">
            <w:pPr>
              <w:rPr>
                <w:rFonts w:ascii="宋体"/>
              </w:rPr>
            </w:pPr>
          </w:p>
        </w:tc>
        <w:tc>
          <w:tcPr>
            <w:tcW w:w="5" w:type="pct"/>
            <w:shd w:val="clear" w:color="auto" w:fill="auto"/>
            <w:vAlign w:val="bottom"/>
          </w:tcPr>
          <w:p w14:paraId="74DDCAFF" w14:textId="77777777" w:rsidR="00584EC1" w:rsidRDefault="00584EC1">
            <w:pPr>
              <w:rPr>
                <w:rFonts w:ascii="宋体"/>
              </w:rPr>
            </w:pPr>
          </w:p>
        </w:tc>
        <w:tc>
          <w:tcPr>
            <w:tcW w:w="5" w:type="pct"/>
            <w:shd w:val="clear" w:color="auto" w:fill="auto"/>
            <w:vAlign w:val="bottom"/>
          </w:tcPr>
          <w:p w14:paraId="74DDCB00" w14:textId="77777777" w:rsidR="00584EC1" w:rsidRDefault="00584EC1">
            <w:pPr>
              <w:rPr>
                <w:rFonts w:ascii="宋体"/>
              </w:rPr>
            </w:pPr>
          </w:p>
        </w:tc>
        <w:tc>
          <w:tcPr>
            <w:tcW w:w="19" w:type="pct"/>
            <w:shd w:val="clear" w:color="auto" w:fill="auto"/>
            <w:vAlign w:val="bottom"/>
          </w:tcPr>
          <w:p w14:paraId="74DDCB01" w14:textId="77777777" w:rsidR="00584EC1" w:rsidRDefault="00584EC1">
            <w:pPr>
              <w:rPr>
                <w:rFonts w:ascii="宋体"/>
              </w:rPr>
            </w:pPr>
          </w:p>
        </w:tc>
        <w:tc>
          <w:tcPr>
            <w:tcW w:w="5" w:type="pct"/>
            <w:shd w:val="clear" w:color="auto" w:fill="auto"/>
            <w:vAlign w:val="bottom"/>
          </w:tcPr>
          <w:p w14:paraId="74DDCB02" w14:textId="77777777" w:rsidR="00584EC1" w:rsidRDefault="00584EC1">
            <w:pPr>
              <w:rPr>
                <w:rFonts w:ascii="宋体"/>
              </w:rPr>
            </w:pPr>
          </w:p>
        </w:tc>
        <w:tc>
          <w:tcPr>
            <w:tcW w:w="50" w:type="pct"/>
            <w:shd w:val="clear" w:color="auto" w:fill="auto"/>
            <w:vAlign w:val="bottom"/>
          </w:tcPr>
          <w:p w14:paraId="74DDCB03" w14:textId="77777777" w:rsidR="00584EC1" w:rsidRDefault="00584EC1">
            <w:pPr>
              <w:rPr>
                <w:rFonts w:ascii="宋体"/>
              </w:rPr>
            </w:pPr>
          </w:p>
        </w:tc>
        <w:tc>
          <w:tcPr>
            <w:tcW w:w="449" w:type="pct"/>
            <w:shd w:val="clear" w:color="auto" w:fill="auto"/>
            <w:vAlign w:val="bottom"/>
          </w:tcPr>
          <w:p w14:paraId="74DDCB04" w14:textId="77777777" w:rsidR="00584EC1" w:rsidRDefault="00584EC1">
            <w:pPr>
              <w:rPr>
                <w:rFonts w:ascii="宋体"/>
              </w:rPr>
            </w:pPr>
          </w:p>
        </w:tc>
        <w:tc>
          <w:tcPr>
            <w:tcW w:w="5" w:type="pct"/>
            <w:shd w:val="clear" w:color="auto" w:fill="auto"/>
            <w:vAlign w:val="bottom"/>
          </w:tcPr>
          <w:p w14:paraId="74DDCB05" w14:textId="77777777" w:rsidR="00584EC1" w:rsidRDefault="00584EC1">
            <w:pPr>
              <w:rPr>
                <w:rFonts w:ascii="宋体"/>
              </w:rPr>
            </w:pPr>
          </w:p>
        </w:tc>
        <w:tc>
          <w:tcPr>
            <w:tcW w:w="5" w:type="pct"/>
            <w:shd w:val="clear" w:color="auto" w:fill="auto"/>
            <w:vAlign w:val="bottom"/>
          </w:tcPr>
          <w:p w14:paraId="74DDCB06" w14:textId="77777777" w:rsidR="00584EC1" w:rsidRDefault="00584EC1">
            <w:pPr>
              <w:rPr>
                <w:rFonts w:ascii="宋体"/>
              </w:rPr>
            </w:pPr>
          </w:p>
        </w:tc>
        <w:tc>
          <w:tcPr>
            <w:tcW w:w="19" w:type="pct"/>
            <w:shd w:val="clear" w:color="auto" w:fill="auto"/>
            <w:vAlign w:val="bottom"/>
          </w:tcPr>
          <w:p w14:paraId="74DDCB07" w14:textId="77777777" w:rsidR="00584EC1" w:rsidRDefault="00584EC1">
            <w:pPr>
              <w:rPr>
                <w:rFonts w:ascii="宋体"/>
              </w:rPr>
            </w:pPr>
          </w:p>
        </w:tc>
        <w:tc>
          <w:tcPr>
            <w:tcW w:w="5" w:type="pct"/>
            <w:shd w:val="clear" w:color="auto" w:fill="auto"/>
            <w:vAlign w:val="bottom"/>
          </w:tcPr>
          <w:p w14:paraId="74DDCB08" w14:textId="77777777" w:rsidR="00584EC1" w:rsidRDefault="00584EC1">
            <w:pPr>
              <w:rPr>
                <w:rFonts w:ascii="宋体"/>
              </w:rPr>
            </w:pPr>
          </w:p>
        </w:tc>
        <w:tc>
          <w:tcPr>
            <w:tcW w:w="50" w:type="pct"/>
            <w:shd w:val="clear" w:color="auto" w:fill="auto"/>
            <w:vAlign w:val="bottom"/>
          </w:tcPr>
          <w:p w14:paraId="74DDCB09" w14:textId="77777777" w:rsidR="00584EC1" w:rsidRDefault="00584EC1">
            <w:pPr>
              <w:rPr>
                <w:rFonts w:ascii="宋体"/>
              </w:rPr>
            </w:pPr>
          </w:p>
        </w:tc>
        <w:tc>
          <w:tcPr>
            <w:tcW w:w="559" w:type="pct"/>
            <w:shd w:val="clear" w:color="auto" w:fill="auto"/>
            <w:vAlign w:val="bottom"/>
          </w:tcPr>
          <w:p w14:paraId="74DDCB0A" w14:textId="77777777" w:rsidR="00584EC1" w:rsidRDefault="00584EC1">
            <w:pPr>
              <w:rPr>
                <w:rFonts w:ascii="宋体"/>
              </w:rPr>
            </w:pPr>
          </w:p>
        </w:tc>
        <w:tc>
          <w:tcPr>
            <w:tcW w:w="5" w:type="pct"/>
            <w:shd w:val="clear" w:color="auto" w:fill="auto"/>
            <w:vAlign w:val="bottom"/>
          </w:tcPr>
          <w:p w14:paraId="74DDCB0B" w14:textId="77777777" w:rsidR="00584EC1" w:rsidRDefault="00584EC1">
            <w:pPr>
              <w:rPr>
                <w:rFonts w:ascii="宋体"/>
              </w:rPr>
            </w:pPr>
          </w:p>
        </w:tc>
      </w:tr>
      <w:tr w:rsidR="00584EC1" w14:paraId="74DDCB0F" w14:textId="77777777">
        <w:trPr>
          <w:jc w:val="center"/>
        </w:trPr>
        <w:tc>
          <w:tcPr>
            <w:tcW w:w="0" w:type="auto"/>
            <w:gridSpan w:val="3"/>
            <w:shd w:val="clear" w:color="auto" w:fill="auto"/>
            <w:tcMar>
              <w:top w:w="0" w:type="dxa"/>
              <w:left w:w="20" w:type="dxa"/>
              <w:bottom w:w="0" w:type="dxa"/>
              <w:right w:w="20" w:type="dxa"/>
            </w:tcMar>
            <w:vAlign w:val="bottom"/>
          </w:tcPr>
          <w:p w14:paraId="74DDCB0D" w14:textId="77777777" w:rsidR="00584EC1" w:rsidRDefault="00584EC1">
            <w:pPr>
              <w:rPr>
                <w:rFonts w:ascii="宋体"/>
              </w:rPr>
            </w:pPr>
          </w:p>
        </w:tc>
        <w:tc>
          <w:tcPr>
            <w:tcW w:w="0" w:type="auto"/>
            <w:gridSpan w:val="45"/>
            <w:tcBorders>
              <w:bottom w:val="single" w:sz="8" w:space="0" w:color="000000"/>
            </w:tcBorders>
            <w:shd w:val="clear" w:color="auto" w:fill="auto"/>
            <w:tcMar>
              <w:top w:w="40" w:type="dxa"/>
              <w:left w:w="20" w:type="dxa"/>
              <w:bottom w:w="40" w:type="dxa"/>
              <w:right w:w="20" w:type="dxa"/>
            </w:tcMar>
            <w:vAlign w:val="bottom"/>
          </w:tcPr>
          <w:p w14:paraId="74DDCB0E" w14:textId="77777777" w:rsidR="00584EC1" w:rsidRDefault="00871F8D">
            <w:pPr>
              <w:jc w:val="center"/>
              <w:textAlignment w:val="bottom"/>
            </w:pPr>
            <w:r>
              <w:rPr>
                <w:rFonts w:ascii="Arial" w:eastAsia="宋体" w:hAnsi="Arial" w:cs="Arial"/>
                <w:b/>
                <w:bCs/>
                <w:color w:val="000000"/>
                <w:sz w:val="14"/>
                <w:szCs w:val="14"/>
              </w:rPr>
              <w:t>Quantitative Information about Level 3 Fair Value Measurements</w:t>
            </w:r>
          </w:p>
        </w:tc>
      </w:tr>
      <w:tr w:rsidR="00584EC1" w14:paraId="74DDCB1A" w14:textId="77777777">
        <w:trPr>
          <w:jc w:val="center"/>
        </w:trPr>
        <w:tc>
          <w:tcPr>
            <w:tcW w:w="0" w:type="auto"/>
            <w:gridSpan w:val="3"/>
            <w:shd w:val="clear" w:color="auto" w:fill="auto"/>
            <w:tcMar>
              <w:top w:w="0" w:type="dxa"/>
              <w:left w:w="20" w:type="dxa"/>
              <w:bottom w:w="0" w:type="dxa"/>
              <w:right w:w="20" w:type="dxa"/>
            </w:tcMar>
            <w:vAlign w:val="bottom"/>
          </w:tcPr>
          <w:p w14:paraId="74DDCB10" w14:textId="77777777" w:rsidR="00584EC1" w:rsidRDefault="00584E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4DDCB11" w14:textId="77777777" w:rsidR="00584EC1" w:rsidRDefault="00871F8D">
            <w:pPr>
              <w:jc w:val="center"/>
              <w:textAlignment w:val="bottom"/>
            </w:pPr>
            <w:r>
              <w:rPr>
                <w:rFonts w:ascii="Arial" w:eastAsia="宋体" w:hAnsi="Arial" w:cs="Arial"/>
                <w:b/>
                <w:bCs/>
                <w:color w:val="000000"/>
                <w:sz w:val="13"/>
                <w:szCs w:val="13"/>
              </w:rPr>
              <w:t>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B12"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B13"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B14"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B15"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B16" w14:textId="77777777" w:rsidR="00584EC1" w:rsidRDefault="00584EC1">
            <w:pPr>
              <w:rPr>
                <w:rFonts w:ascii="宋体"/>
              </w:rPr>
            </w:pPr>
          </w:p>
        </w:tc>
        <w:tc>
          <w:tcPr>
            <w:tcW w:w="0" w:type="auto"/>
            <w:gridSpan w:val="9"/>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4DDCB17" w14:textId="77777777" w:rsidR="00584EC1" w:rsidRDefault="00871F8D">
            <w:pPr>
              <w:jc w:val="center"/>
              <w:textAlignment w:val="bottom"/>
            </w:pPr>
            <w:r>
              <w:rPr>
                <w:rFonts w:ascii="Arial" w:eastAsia="宋体" w:hAnsi="Arial" w:cs="Arial"/>
                <w:b/>
                <w:bCs/>
                <w:color w:val="000000"/>
                <w:sz w:val="13"/>
                <w:szCs w:val="13"/>
              </w:rPr>
              <w:t>Range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B18" w14:textId="77777777" w:rsidR="00584EC1" w:rsidRDefault="00584E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4DDCB19" w14:textId="77777777" w:rsidR="00584EC1" w:rsidRDefault="00871F8D">
            <w:pPr>
              <w:jc w:val="center"/>
              <w:textAlignment w:val="bottom"/>
            </w:pPr>
            <w:r>
              <w:rPr>
                <w:rFonts w:ascii="Arial" w:eastAsia="宋体" w:hAnsi="Arial" w:cs="Arial"/>
                <w:b/>
                <w:bCs/>
                <w:color w:val="000000"/>
                <w:sz w:val="13"/>
                <w:szCs w:val="13"/>
              </w:rPr>
              <w:t>Weighted-Average</w:t>
            </w:r>
          </w:p>
        </w:tc>
      </w:tr>
      <w:tr w:rsidR="00584EC1" w14:paraId="74DDCB29" w14:textId="77777777">
        <w:trPr>
          <w:jc w:val="center"/>
        </w:trPr>
        <w:tc>
          <w:tcPr>
            <w:tcW w:w="0" w:type="auto"/>
            <w:gridSpan w:val="3"/>
            <w:shd w:val="clear" w:color="auto" w:fill="auto"/>
            <w:tcMar>
              <w:top w:w="40" w:type="dxa"/>
              <w:left w:w="20" w:type="dxa"/>
              <w:bottom w:w="40" w:type="dxa"/>
              <w:right w:w="20" w:type="dxa"/>
            </w:tcMar>
            <w:vAlign w:val="bottom"/>
          </w:tcPr>
          <w:p w14:paraId="74DDCB1B" w14:textId="77777777" w:rsidR="00584EC1" w:rsidRDefault="00871F8D">
            <w:pPr>
              <w:textAlignment w:val="bottom"/>
            </w:pPr>
            <w:r>
              <w:rPr>
                <w:rFonts w:ascii="Arial" w:eastAsia="宋体" w:hAnsi="Arial" w:cs="Arial"/>
                <w:b/>
                <w:bCs/>
                <w:color w:val="000000"/>
                <w:sz w:val="13"/>
                <w:szCs w:val="13"/>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CB1C" w14:textId="77777777" w:rsidR="00584EC1" w:rsidRDefault="00871F8D">
            <w:pPr>
              <w:jc w:val="center"/>
              <w:textAlignment w:val="bottom"/>
            </w:pPr>
            <w:r>
              <w:rPr>
                <w:rFonts w:ascii="Arial" w:eastAsia="宋体" w:hAnsi="Arial" w:cs="Arial"/>
                <w:b/>
                <w:bCs/>
                <w:color w:val="000000"/>
                <w:sz w:val="12"/>
                <w:szCs w:val="12"/>
              </w:rPr>
              <w:t>As of September 30,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B1D"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CB1E" w14:textId="77777777" w:rsidR="00584EC1" w:rsidRDefault="00871F8D">
            <w:pPr>
              <w:jc w:val="center"/>
              <w:textAlignment w:val="bottom"/>
            </w:pPr>
            <w:r>
              <w:rPr>
                <w:rFonts w:ascii="Arial" w:eastAsia="宋体" w:hAnsi="Arial" w:cs="Arial"/>
                <w:b/>
                <w:bCs/>
                <w:color w:val="000000"/>
                <w:sz w:val="12"/>
                <w:szCs w:val="12"/>
              </w:rPr>
              <w:t>As of December 31, 2020</w:t>
            </w:r>
          </w:p>
        </w:tc>
        <w:tc>
          <w:tcPr>
            <w:tcW w:w="0" w:type="auto"/>
            <w:gridSpan w:val="3"/>
            <w:shd w:val="clear" w:color="auto" w:fill="auto"/>
            <w:tcMar>
              <w:top w:w="0" w:type="dxa"/>
              <w:left w:w="20" w:type="dxa"/>
              <w:bottom w:w="0" w:type="dxa"/>
              <w:right w:w="20" w:type="dxa"/>
            </w:tcMar>
            <w:vAlign w:val="bottom"/>
          </w:tcPr>
          <w:p w14:paraId="74DDCB1F"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CB20" w14:textId="77777777" w:rsidR="00584EC1" w:rsidRDefault="00871F8D">
            <w:pPr>
              <w:jc w:val="center"/>
              <w:textAlignment w:val="bottom"/>
            </w:pPr>
            <w:r>
              <w:rPr>
                <w:rFonts w:ascii="Arial" w:eastAsia="宋体" w:hAnsi="Arial" w:cs="Arial"/>
                <w:b/>
                <w:bCs/>
                <w:color w:val="000000"/>
                <w:sz w:val="12"/>
                <w:szCs w:val="12"/>
              </w:rPr>
              <w:t>Valuation Technique</w:t>
            </w:r>
          </w:p>
        </w:tc>
        <w:tc>
          <w:tcPr>
            <w:tcW w:w="0" w:type="auto"/>
            <w:gridSpan w:val="3"/>
            <w:shd w:val="clear" w:color="auto" w:fill="auto"/>
            <w:tcMar>
              <w:top w:w="0" w:type="dxa"/>
              <w:left w:w="20" w:type="dxa"/>
              <w:bottom w:w="0" w:type="dxa"/>
              <w:right w:w="20" w:type="dxa"/>
            </w:tcMar>
            <w:vAlign w:val="bottom"/>
          </w:tcPr>
          <w:p w14:paraId="74DDCB21"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CB22" w14:textId="77777777" w:rsidR="00584EC1" w:rsidRDefault="00871F8D">
            <w:pPr>
              <w:jc w:val="center"/>
              <w:textAlignment w:val="bottom"/>
            </w:pPr>
            <w:r>
              <w:rPr>
                <w:rFonts w:ascii="Arial" w:eastAsia="宋体" w:hAnsi="Arial" w:cs="Arial"/>
                <w:b/>
                <w:bCs/>
                <w:color w:val="000000"/>
                <w:sz w:val="12"/>
                <w:szCs w:val="12"/>
              </w:rPr>
              <w:t xml:space="preserve">Significant </w:t>
            </w:r>
            <w:r>
              <w:rPr>
                <w:rFonts w:ascii="Arial" w:eastAsia="宋体" w:hAnsi="Arial" w:cs="Arial"/>
                <w:b/>
                <w:bCs/>
                <w:color w:val="000000"/>
                <w:sz w:val="12"/>
                <w:szCs w:val="12"/>
              </w:rPr>
              <w:t>Unobservable Input</w:t>
            </w:r>
            <w:r>
              <w:rPr>
                <w:rFonts w:ascii="Arial" w:eastAsia="宋体" w:hAnsi="Arial" w:cs="Arial"/>
                <w:b/>
                <w:bCs/>
                <w:color w:val="000000"/>
                <w:sz w:val="7"/>
                <w:szCs w:val="7"/>
              </w:rPr>
              <w:t>(1)</w:t>
            </w:r>
          </w:p>
        </w:tc>
        <w:tc>
          <w:tcPr>
            <w:tcW w:w="0" w:type="auto"/>
            <w:gridSpan w:val="3"/>
            <w:shd w:val="clear" w:color="auto" w:fill="auto"/>
            <w:tcMar>
              <w:top w:w="0" w:type="dxa"/>
              <w:left w:w="20" w:type="dxa"/>
              <w:bottom w:w="0" w:type="dxa"/>
              <w:right w:w="20" w:type="dxa"/>
            </w:tcMar>
            <w:vAlign w:val="bottom"/>
          </w:tcPr>
          <w:p w14:paraId="74DDCB23" w14:textId="77777777" w:rsidR="00584EC1" w:rsidRDefault="00584E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4DDCB24" w14:textId="77777777" w:rsidR="00584EC1" w:rsidRDefault="00871F8D">
            <w:pPr>
              <w:jc w:val="center"/>
              <w:textAlignment w:val="bottom"/>
            </w:pPr>
            <w:r>
              <w:rPr>
                <w:rFonts w:ascii="Arial" w:eastAsia="宋体" w:hAnsi="Arial" w:cs="Arial"/>
                <w:b/>
                <w:bCs/>
                <w:color w:val="000000"/>
                <w:sz w:val="12"/>
                <w:szCs w:val="12"/>
              </w:rPr>
              <w:t>As of September 30, 2021</w:t>
            </w:r>
          </w:p>
        </w:tc>
        <w:tc>
          <w:tcPr>
            <w:tcW w:w="0" w:type="auto"/>
            <w:gridSpan w:val="3"/>
            <w:shd w:val="clear" w:color="auto" w:fill="auto"/>
            <w:tcMar>
              <w:top w:w="0" w:type="dxa"/>
              <w:left w:w="20" w:type="dxa"/>
              <w:bottom w:w="0" w:type="dxa"/>
              <w:right w:w="20" w:type="dxa"/>
            </w:tcMar>
            <w:vAlign w:val="bottom"/>
          </w:tcPr>
          <w:p w14:paraId="74DDCB25"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CB26" w14:textId="77777777" w:rsidR="00584EC1" w:rsidRDefault="00871F8D">
            <w:pPr>
              <w:jc w:val="center"/>
              <w:textAlignment w:val="bottom"/>
            </w:pPr>
            <w:r>
              <w:rPr>
                <w:rFonts w:ascii="Arial" w:eastAsia="宋体" w:hAnsi="Arial" w:cs="Arial"/>
                <w:b/>
                <w:bCs/>
                <w:color w:val="000000"/>
                <w:sz w:val="12"/>
                <w:szCs w:val="12"/>
              </w:rPr>
              <w:t>As of September 30,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B27"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CB28" w14:textId="77777777" w:rsidR="00584EC1" w:rsidRDefault="00871F8D">
            <w:pPr>
              <w:jc w:val="center"/>
              <w:textAlignment w:val="bottom"/>
            </w:pPr>
            <w:r>
              <w:rPr>
                <w:rFonts w:ascii="Arial" w:eastAsia="宋体" w:hAnsi="Arial" w:cs="Arial"/>
                <w:b/>
                <w:bCs/>
                <w:color w:val="000000"/>
                <w:sz w:val="12"/>
                <w:szCs w:val="12"/>
              </w:rPr>
              <w:t>As of December 31, 2020</w:t>
            </w:r>
          </w:p>
        </w:tc>
      </w:tr>
      <w:tr w:rsidR="00584EC1" w14:paraId="74DDCB3A" w14:textId="77777777">
        <w:trPr>
          <w:jc w:val="center"/>
        </w:trPr>
        <w:tc>
          <w:tcPr>
            <w:tcW w:w="0" w:type="auto"/>
            <w:gridSpan w:val="3"/>
            <w:shd w:val="clear" w:color="auto" w:fill="auto"/>
            <w:tcMar>
              <w:top w:w="40" w:type="dxa"/>
              <w:left w:w="20" w:type="dxa"/>
              <w:bottom w:w="40" w:type="dxa"/>
              <w:right w:w="20" w:type="dxa"/>
            </w:tcMar>
            <w:vAlign w:val="bottom"/>
          </w:tcPr>
          <w:p w14:paraId="74DDCB2A" w14:textId="77777777" w:rsidR="00584EC1" w:rsidRDefault="00871F8D">
            <w:pPr>
              <w:textAlignment w:val="bottom"/>
            </w:pPr>
            <w:r>
              <w:rPr>
                <w:rFonts w:ascii="Arial" w:eastAsia="宋体" w:hAnsi="Arial" w:cs="Arial"/>
                <w:b/>
                <w:bCs/>
                <w:color w:val="000000"/>
                <w:sz w:val="13"/>
                <w:szCs w:val="13"/>
              </w:rPr>
              <w:t>Significant unobservable inputs readily available to State Street: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B2B"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B2C"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CB2D" w14:textId="77777777" w:rsidR="00584EC1" w:rsidRDefault="00871F8D">
            <w:pPr>
              <w:textAlignment w:val="bottom"/>
            </w:pPr>
            <w:r>
              <w:rPr>
                <w:rFonts w:ascii="Arial" w:eastAsia="宋体" w:hAnsi="Arial" w:cs="Arial"/>
                <w:b/>
                <w:bCs/>
                <w:color w:val="000000"/>
                <w:sz w:val="13"/>
                <w:szCs w:val="13"/>
              </w:rPr>
              <w:t> </w:t>
            </w:r>
          </w:p>
        </w:tc>
        <w:tc>
          <w:tcPr>
            <w:tcW w:w="0" w:type="auto"/>
            <w:gridSpan w:val="3"/>
            <w:shd w:val="clear" w:color="auto" w:fill="auto"/>
            <w:tcMar>
              <w:top w:w="0" w:type="dxa"/>
              <w:left w:w="20" w:type="dxa"/>
              <w:bottom w:w="0" w:type="dxa"/>
              <w:right w:w="20" w:type="dxa"/>
            </w:tcMar>
            <w:vAlign w:val="bottom"/>
          </w:tcPr>
          <w:p w14:paraId="74DDCB2E"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B2F"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B30"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B3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B32"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B33"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B34"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B3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B36"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B37"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B38"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B39" w14:textId="77777777" w:rsidR="00584EC1" w:rsidRDefault="00584EC1">
            <w:pPr>
              <w:rPr>
                <w:rFonts w:ascii="宋体"/>
              </w:rPr>
            </w:pPr>
          </w:p>
        </w:tc>
      </w:tr>
      <w:tr w:rsidR="00584EC1" w14:paraId="74DDCB4B" w14:textId="77777777">
        <w:trPr>
          <w:jc w:val="center"/>
        </w:trPr>
        <w:tc>
          <w:tcPr>
            <w:tcW w:w="0" w:type="auto"/>
            <w:gridSpan w:val="3"/>
            <w:shd w:val="clear" w:color="auto" w:fill="auto"/>
            <w:tcMar>
              <w:top w:w="40" w:type="dxa"/>
              <w:left w:w="20" w:type="dxa"/>
              <w:bottom w:w="40" w:type="dxa"/>
              <w:right w:w="20" w:type="dxa"/>
            </w:tcMar>
            <w:vAlign w:val="bottom"/>
          </w:tcPr>
          <w:p w14:paraId="74DDCB3B" w14:textId="77777777" w:rsidR="00584EC1" w:rsidRDefault="00871F8D">
            <w:pPr>
              <w:textAlignment w:val="bottom"/>
            </w:pPr>
            <w:r>
              <w:rPr>
                <w:rFonts w:ascii="Arial" w:eastAsia="宋体" w:hAnsi="Arial" w:cs="Arial"/>
                <w:b/>
                <w:bCs/>
                <w:color w:val="000000"/>
                <w:sz w:val="13"/>
                <w:szCs w:val="13"/>
              </w:rPr>
              <w:t>Asse</w:t>
            </w:r>
            <w:r>
              <w:rPr>
                <w:rFonts w:ascii="Arial" w:eastAsia="宋体" w:hAnsi="Arial" w:cs="Arial"/>
                <w:b/>
                <w:bCs/>
                <w:color w:val="000000"/>
                <w:sz w:val="13"/>
                <w:szCs w:val="13"/>
              </w:rPr>
              <w:t>ts:</w:t>
            </w:r>
          </w:p>
        </w:tc>
        <w:tc>
          <w:tcPr>
            <w:tcW w:w="0" w:type="auto"/>
            <w:gridSpan w:val="3"/>
            <w:shd w:val="clear" w:color="auto" w:fill="auto"/>
            <w:tcMar>
              <w:top w:w="0" w:type="dxa"/>
              <w:left w:w="20" w:type="dxa"/>
              <w:bottom w:w="0" w:type="dxa"/>
              <w:right w:w="20" w:type="dxa"/>
            </w:tcMar>
            <w:vAlign w:val="bottom"/>
          </w:tcPr>
          <w:p w14:paraId="74DDCB3C"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B3D"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B3E"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B3F"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B40"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B4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B4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B43"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B44"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B4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B46"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B47"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B48"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B49"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B4A" w14:textId="77777777" w:rsidR="00584EC1" w:rsidRDefault="00584EC1">
            <w:pPr>
              <w:rPr>
                <w:rFonts w:ascii="宋体"/>
              </w:rPr>
            </w:pPr>
          </w:p>
        </w:tc>
      </w:tr>
      <w:tr w:rsidR="00584EC1" w14:paraId="74DDCB62" w14:textId="77777777">
        <w:trPr>
          <w:jc w:val="center"/>
        </w:trPr>
        <w:tc>
          <w:tcPr>
            <w:tcW w:w="0" w:type="auto"/>
            <w:gridSpan w:val="3"/>
            <w:shd w:val="clear" w:color="auto" w:fill="CCEEFF"/>
            <w:tcMar>
              <w:top w:w="40" w:type="dxa"/>
              <w:left w:w="20" w:type="dxa"/>
              <w:bottom w:w="40" w:type="dxa"/>
              <w:right w:w="20" w:type="dxa"/>
            </w:tcMar>
            <w:vAlign w:val="bottom"/>
          </w:tcPr>
          <w:p w14:paraId="74DDCB4C" w14:textId="77777777" w:rsidR="00584EC1" w:rsidRDefault="00871F8D">
            <w:pPr>
              <w:textAlignment w:val="bottom"/>
            </w:pPr>
            <w:r>
              <w:rPr>
                <w:rFonts w:ascii="Arial" w:eastAsia="宋体" w:hAnsi="Arial" w:cs="Arial"/>
                <w:color w:val="000000"/>
                <w:sz w:val="13"/>
                <w:szCs w:val="13"/>
              </w:rPr>
              <w:t>Derivative Instruments, foreign exchange contracts</w:t>
            </w:r>
          </w:p>
        </w:tc>
        <w:tc>
          <w:tcPr>
            <w:tcW w:w="0" w:type="auto"/>
            <w:shd w:val="clear" w:color="auto" w:fill="CCEEFF"/>
            <w:tcMar>
              <w:top w:w="40" w:type="dxa"/>
              <w:left w:w="20" w:type="dxa"/>
              <w:bottom w:w="40" w:type="dxa"/>
              <w:right w:w="0" w:type="dxa"/>
            </w:tcMar>
            <w:vAlign w:val="bottom"/>
          </w:tcPr>
          <w:p w14:paraId="74DDCB4D" w14:textId="77777777" w:rsidR="00584EC1" w:rsidRDefault="00871F8D">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4DDCB4E" w14:textId="77777777" w:rsidR="00584EC1" w:rsidRDefault="00871F8D">
            <w:pPr>
              <w:jc w:val="right"/>
              <w:textAlignment w:val="bottom"/>
            </w:pPr>
            <w:r>
              <w:rPr>
                <w:rFonts w:ascii="Arial" w:eastAsia="宋体" w:hAnsi="Arial" w:cs="Arial"/>
                <w:b/>
                <w:bCs/>
                <w:color w:val="000000"/>
                <w:sz w:val="13"/>
                <w:szCs w:val="13"/>
              </w:rPr>
              <w:t>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CB4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B50"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CB51" w14:textId="77777777" w:rsidR="00584EC1" w:rsidRDefault="00871F8D">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74DDCB52" w14:textId="77777777" w:rsidR="00584EC1" w:rsidRDefault="00871F8D">
            <w:pPr>
              <w:jc w:val="right"/>
              <w:textAlignment w:val="bottom"/>
            </w:pPr>
            <w:r>
              <w:rPr>
                <w:rFonts w:ascii="Arial" w:eastAsia="宋体" w:hAnsi="Arial" w:cs="Arial"/>
                <w:color w:val="000000"/>
                <w:sz w:val="13"/>
                <w:szCs w:val="13"/>
              </w:rPr>
              <w:t>2 </w:t>
            </w:r>
          </w:p>
        </w:tc>
        <w:tc>
          <w:tcPr>
            <w:tcW w:w="0" w:type="auto"/>
            <w:shd w:val="clear" w:color="auto" w:fill="CCEEFF"/>
            <w:tcMar>
              <w:top w:w="40" w:type="dxa"/>
              <w:left w:w="0" w:type="dxa"/>
              <w:bottom w:w="40" w:type="dxa"/>
              <w:right w:w="20" w:type="dxa"/>
            </w:tcMar>
            <w:vAlign w:val="bottom"/>
          </w:tcPr>
          <w:p w14:paraId="74DDCB5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B54" w14:textId="77777777" w:rsidR="00584EC1" w:rsidRDefault="00584EC1">
            <w:pPr>
              <w:rPr>
                <w:rFonts w:ascii="宋体"/>
              </w:rPr>
            </w:pPr>
          </w:p>
        </w:tc>
        <w:tc>
          <w:tcPr>
            <w:tcW w:w="0" w:type="auto"/>
            <w:gridSpan w:val="3"/>
            <w:shd w:val="clear" w:color="auto" w:fill="CCEEFF"/>
            <w:tcMar>
              <w:top w:w="40" w:type="dxa"/>
              <w:left w:w="20" w:type="dxa"/>
              <w:bottom w:w="40" w:type="dxa"/>
              <w:right w:w="20" w:type="dxa"/>
            </w:tcMar>
            <w:vAlign w:val="bottom"/>
          </w:tcPr>
          <w:p w14:paraId="74DDCB55" w14:textId="77777777" w:rsidR="00584EC1" w:rsidRDefault="00871F8D">
            <w:pPr>
              <w:textAlignment w:val="bottom"/>
            </w:pPr>
            <w:r>
              <w:rPr>
                <w:rFonts w:ascii="Arial" w:eastAsia="宋体" w:hAnsi="Arial" w:cs="Arial"/>
                <w:color w:val="000000"/>
                <w:sz w:val="13"/>
                <w:szCs w:val="13"/>
              </w:rPr>
              <w:t>Option model</w:t>
            </w:r>
          </w:p>
        </w:tc>
        <w:tc>
          <w:tcPr>
            <w:tcW w:w="0" w:type="auto"/>
            <w:gridSpan w:val="3"/>
            <w:shd w:val="clear" w:color="auto" w:fill="CCEEFF"/>
            <w:tcMar>
              <w:top w:w="0" w:type="dxa"/>
              <w:left w:w="20" w:type="dxa"/>
              <w:bottom w:w="0" w:type="dxa"/>
              <w:right w:w="20" w:type="dxa"/>
            </w:tcMar>
            <w:vAlign w:val="bottom"/>
          </w:tcPr>
          <w:p w14:paraId="74DDCB56" w14:textId="77777777" w:rsidR="00584EC1" w:rsidRDefault="00584EC1">
            <w:pPr>
              <w:rPr>
                <w:rFonts w:ascii="宋体"/>
              </w:rPr>
            </w:pPr>
          </w:p>
        </w:tc>
        <w:tc>
          <w:tcPr>
            <w:tcW w:w="0" w:type="auto"/>
            <w:gridSpan w:val="3"/>
            <w:shd w:val="clear" w:color="auto" w:fill="CCEEFF"/>
            <w:tcMar>
              <w:top w:w="40" w:type="dxa"/>
              <w:left w:w="20" w:type="dxa"/>
              <w:bottom w:w="40" w:type="dxa"/>
              <w:right w:w="20" w:type="dxa"/>
            </w:tcMar>
            <w:vAlign w:val="bottom"/>
          </w:tcPr>
          <w:p w14:paraId="74DDCB57" w14:textId="77777777" w:rsidR="00584EC1" w:rsidRDefault="00871F8D">
            <w:pPr>
              <w:textAlignment w:val="bottom"/>
            </w:pPr>
            <w:r>
              <w:rPr>
                <w:rFonts w:ascii="Arial" w:eastAsia="宋体" w:hAnsi="Arial" w:cs="Arial"/>
                <w:color w:val="000000"/>
                <w:sz w:val="13"/>
                <w:szCs w:val="13"/>
              </w:rPr>
              <w:t>Volatility</w:t>
            </w:r>
          </w:p>
        </w:tc>
        <w:tc>
          <w:tcPr>
            <w:tcW w:w="0" w:type="auto"/>
            <w:gridSpan w:val="3"/>
            <w:shd w:val="clear" w:color="auto" w:fill="CCEEFF"/>
            <w:tcMar>
              <w:top w:w="0" w:type="dxa"/>
              <w:left w:w="20" w:type="dxa"/>
              <w:bottom w:w="0" w:type="dxa"/>
              <w:right w:w="20" w:type="dxa"/>
            </w:tcMar>
            <w:vAlign w:val="bottom"/>
          </w:tcPr>
          <w:p w14:paraId="74DDCB58" w14:textId="77777777" w:rsidR="00584EC1" w:rsidRDefault="00584EC1">
            <w:pPr>
              <w:rPr>
                <w:rFonts w:ascii="宋体"/>
              </w:rPr>
            </w:pPr>
          </w:p>
        </w:tc>
        <w:tc>
          <w:tcPr>
            <w:tcW w:w="0" w:type="auto"/>
            <w:gridSpan w:val="3"/>
            <w:shd w:val="clear" w:color="auto" w:fill="CCEEFF"/>
            <w:tcMar>
              <w:top w:w="40" w:type="dxa"/>
              <w:left w:w="20" w:type="dxa"/>
              <w:bottom w:w="40" w:type="dxa"/>
              <w:right w:w="140" w:type="dxa"/>
            </w:tcMar>
            <w:vAlign w:val="bottom"/>
          </w:tcPr>
          <w:p w14:paraId="74DDCB59" w14:textId="77777777" w:rsidR="00584EC1" w:rsidRDefault="00871F8D">
            <w:pPr>
              <w:jc w:val="right"/>
              <w:textAlignment w:val="bottom"/>
            </w:pPr>
            <w:r>
              <w:rPr>
                <w:rFonts w:ascii="Arial" w:eastAsia="宋体" w:hAnsi="Arial" w:cs="Arial"/>
                <w:b/>
                <w:bCs/>
                <w:color w:val="000000"/>
                <w:sz w:val="13"/>
                <w:szCs w:val="13"/>
              </w:rPr>
              <w:t>5.0%</w:t>
            </w:r>
          </w:p>
        </w:tc>
        <w:tc>
          <w:tcPr>
            <w:tcW w:w="0" w:type="auto"/>
            <w:gridSpan w:val="3"/>
            <w:shd w:val="clear" w:color="auto" w:fill="CCEEFF"/>
            <w:tcMar>
              <w:top w:w="40" w:type="dxa"/>
              <w:left w:w="20" w:type="dxa"/>
              <w:bottom w:w="40" w:type="dxa"/>
              <w:right w:w="20" w:type="dxa"/>
            </w:tcMar>
            <w:vAlign w:val="bottom"/>
          </w:tcPr>
          <w:p w14:paraId="74DDCB5A" w14:textId="77777777" w:rsidR="00584EC1" w:rsidRDefault="00871F8D">
            <w:pPr>
              <w:jc w:val="center"/>
              <w:textAlignment w:val="bottom"/>
            </w:pPr>
            <w:r>
              <w:rPr>
                <w:rFonts w:ascii="Arial" w:eastAsia="宋体" w:hAnsi="Arial" w:cs="Arial"/>
                <w:b/>
                <w:bCs/>
                <w:color w:val="000000"/>
                <w:sz w:val="13"/>
                <w:szCs w:val="13"/>
              </w:rPr>
              <w:t>-</w:t>
            </w:r>
          </w:p>
        </w:tc>
        <w:tc>
          <w:tcPr>
            <w:tcW w:w="0" w:type="auto"/>
            <w:gridSpan w:val="3"/>
            <w:shd w:val="clear" w:color="auto" w:fill="CCEEFF"/>
            <w:tcMar>
              <w:top w:w="40" w:type="dxa"/>
              <w:left w:w="20" w:type="dxa"/>
              <w:bottom w:w="40" w:type="dxa"/>
              <w:right w:w="20" w:type="dxa"/>
            </w:tcMar>
            <w:vAlign w:val="bottom"/>
          </w:tcPr>
          <w:p w14:paraId="74DDCB5B" w14:textId="77777777" w:rsidR="00584EC1" w:rsidRDefault="00871F8D">
            <w:pPr>
              <w:textAlignment w:val="bottom"/>
            </w:pPr>
            <w:r>
              <w:rPr>
                <w:rFonts w:ascii="Arial" w:eastAsia="宋体" w:hAnsi="Arial" w:cs="Arial"/>
                <w:b/>
                <w:bCs/>
                <w:color w:val="000000"/>
                <w:sz w:val="13"/>
                <w:szCs w:val="13"/>
              </w:rPr>
              <w:t>12.6%</w:t>
            </w:r>
          </w:p>
        </w:tc>
        <w:tc>
          <w:tcPr>
            <w:tcW w:w="0" w:type="auto"/>
            <w:gridSpan w:val="3"/>
            <w:shd w:val="clear" w:color="auto" w:fill="CCEEFF"/>
            <w:tcMar>
              <w:top w:w="0" w:type="dxa"/>
              <w:left w:w="20" w:type="dxa"/>
              <w:bottom w:w="0" w:type="dxa"/>
              <w:right w:w="20" w:type="dxa"/>
            </w:tcMar>
            <w:vAlign w:val="bottom"/>
          </w:tcPr>
          <w:p w14:paraId="74DDCB5C"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CB5D" w14:textId="77777777" w:rsidR="00584EC1" w:rsidRDefault="00871F8D">
            <w:pPr>
              <w:jc w:val="right"/>
              <w:textAlignment w:val="bottom"/>
            </w:pPr>
            <w:r>
              <w:rPr>
                <w:rFonts w:ascii="Arial" w:eastAsia="宋体" w:hAnsi="Arial" w:cs="Arial"/>
                <w:b/>
                <w:bCs/>
                <w:color w:val="000000"/>
                <w:sz w:val="13"/>
                <w:szCs w:val="13"/>
              </w:rPr>
              <w:t>7.6</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CB5E" w14:textId="77777777" w:rsidR="00584EC1" w:rsidRDefault="00871F8D">
            <w:pPr>
              <w:jc w:val="right"/>
              <w:textAlignment w:val="bottom"/>
            </w:pPr>
            <w:r>
              <w:rPr>
                <w:rFonts w:ascii="Arial" w:eastAsia="宋体" w:hAnsi="Arial" w:cs="Arial"/>
                <w:b/>
                <w:bCs/>
                <w:color w:val="000000"/>
                <w:sz w:val="13"/>
                <w:szCs w:val="13"/>
              </w:rPr>
              <w:t>%</w:t>
            </w:r>
          </w:p>
        </w:tc>
        <w:tc>
          <w:tcPr>
            <w:tcW w:w="0" w:type="auto"/>
            <w:gridSpan w:val="3"/>
            <w:shd w:val="clear" w:color="auto" w:fill="CCEEFF"/>
            <w:tcMar>
              <w:top w:w="0" w:type="dxa"/>
              <w:left w:w="20" w:type="dxa"/>
              <w:bottom w:w="0" w:type="dxa"/>
              <w:right w:w="20" w:type="dxa"/>
            </w:tcMar>
            <w:vAlign w:val="bottom"/>
          </w:tcPr>
          <w:p w14:paraId="74DDCB5F"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CB60" w14:textId="77777777" w:rsidR="00584EC1" w:rsidRDefault="00871F8D">
            <w:pPr>
              <w:jc w:val="right"/>
              <w:textAlignment w:val="bottom"/>
            </w:pPr>
            <w:r>
              <w:rPr>
                <w:rFonts w:ascii="Arial" w:eastAsia="宋体" w:hAnsi="Arial" w:cs="Arial"/>
                <w:color w:val="000000"/>
                <w:sz w:val="13"/>
                <w:szCs w:val="13"/>
              </w:rPr>
              <w:t>7.9 </w:t>
            </w:r>
          </w:p>
        </w:tc>
        <w:tc>
          <w:tcPr>
            <w:tcW w:w="0" w:type="auto"/>
            <w:shd w:val="clear" w:color="auto" w:fill="CCEEFF"/>
            <w:tcMar>
              <w:top w:w="40" w:type="dxa"/>
              <w:left w:w="0" w:type="dxa"/>
              <w:bottom w:w="40" w:type="dxa"/>
              <w:right w:w="20" w:type="dxa"/>
            </w:tcMar>
            <w:vAlign w:val="bottom"/>
          </w:tcPr>
          <w:p w14:paraId="74DDCB61" w14:textId="77777777" w:rsidR="00584EC1" w:rsidRDefault="00871F8D">
            <w:pPr>
              <w:jc w:val="right"/>
              <w:textAlignment w:val="bottom"/>
            </w:pPr>
            <w:r>
              <w:rPr>
                <w:rFonts w:ascii="Arial" w:eastAsia="宋体" w:hAnsi="Arial" w:cs="Arial"/>
                <w:color w:val="000000"/>
                <w:sz w:val="13"/>
                <w:szCs w:val="13"/>
              </w:rPr>
              <w:t>%</w:t>
            </w:r>
          </w:p>
        </w:tc>
      </w:tr>
      <w:tr w:rsidR="00584EC1" w14:paraId="74DDCB77" w14:textId="77777777">
        <w:trPr>
          <w:jc w:val="center"/>
        </w:trPr>
        <w:tc>
          <w:tcPr>
            <w:tcW w:w="0" w:type="auto"/>
            <w:gridSpan w:val="3"/>
            <w:shd w:val="clear" w:color="auto" w:fill="FFFFFF"/>
            <w:tcMar>
              <w:top w:w="40" w:type="dxa"/>
              <w:left w:w="155" w:type="dxa"/>
              <w:bottom w:w="40" w:type="dxa"/>
              <w:right w:w="20" w:type="dxa"/>
            </w:tcMar>
            <w:vAlign w:val="bottom"/>
          </w:tcPr>
          <w:p w14:paraId="74DDCB63" w14:textId="77777777" w:rsidR="00584EC1" w:rsidRDefault="00871F8D">
            <w:pPr>
              <w:textAlignment w:val="bottom"/>
            </w:pPr>
            <w:r>
              <w:rPr>
                <w:rFonts w:ascii="Arial" w:eastAsia="宋体" w:hAnsi="Arial" w:cs="Arial"/>
                <w:color w:val="000000"/>
                <w:sz w:val="13"/>
                <w:szCs w:val="13"/>
              </w:rPr>
              <w:t>Total</w:t>
            </w:r>
          </w:p>
        </w:tc>
        <w:tc>
          <w:tcPr>
            <w:tcW w:w="0" w:type="auto"/>
            <w:tcBorders>
              <w:top w:val="single" w:sz="8" w:space="0" w:color="000000"/>
            </w:tcBorders>
            <w:shd w:val="clear" w:color="auto" w:fill="FFFFFF"/>
            <w:tcMar>
              <w:top w:w="40" w:type="dxa"/>
              <w:left w:w="20" w:type="dxa"/>
              <w:bottom w:w="40" w:type="dxa"/>
              <w:right w:w="0" w:type="dxa"/>
            </w:tcMar>
            <w:vAlign w:val="bottom"/>
          </w:tcPr>
          <w:p w14:paraId="74DDCB64" w14:textId="77777777" w:rsidR="00584EC1" w:rsidRDefault="00871F8D">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CB65" w14:textId="77777777" w:rsidR="00584EC1" w:rsidRDefault="00871F8D">
            <w:pPr>
              <w:jc w:val="right"/>
              <w:textAlignment w:val="bottom"/>
            </w:pPr>
            <w:r>
              <w:rPr>
                <w:rFonts w:ascii="Arial" w:eastAsia="宋体" w:hAnsi="Arial" w:cs="Arial"/>
                <w:b/>
                <w:bCs/>
                <w:color w:val="000000"/>
                <w:sz w:val="13"/>
                <w:szCs w:val="13"/>
              </w:rPr>
              <w:t>2</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CB6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B67"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CB68" w14:textId="77777777" w:rsidR="00584EC1" w:rsidRDefault="00871F8D">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CB69" w14:textId="77777777" w:rsidR="00584EC1" w:rsidRDefault="00871F8D">
            <w:pPr>
              <w:jc w:val="right"/>
              <w:textAlignment w:val="bottom"/>
            </w:pPr>
            <w:r>
              <w:rPr>
                <w:rFonts w:ascii="Arial" w:eastAsia="宋体" w:hAnsi="Arial" w:cs="Arial"/>
                <w:color w:val="000000"/>
                <w:sz w:val="13"/>
                <w:szCs w:val="13"/>
              </w:rPr>
              <w:t>2 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CB6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B6B"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B6C"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B6D"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B6E"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B6F"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B70"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B71"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B7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B73"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B74"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B75"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B76" w14:textId="77777777" w:rsidR="00584EC1" w:rsidRDefault="00584EC1">
            <w:pPr>
              <w:rPr>
                <w:rFonts w:ascii="宋体"/>
              </w:rPr>
            </w:pPr>
          </w:p>
        </w:tc>
      </w:tr>
      <w:tr w:rsidR="00584EC1" w14:paraId="74DDCB88" w14:textId="77777777">
        <w:trPr>
          <w:jc w:val="center"/>
        </w:trPr>
        <w:tc>
          <w:tcPr>
            <w:tcW w:w="0" w:type="auto"/>
            <w:gridSpan w:val="3"/>
            <w:shd w:val="clear" w:color="auto" w:fill="CCEEFF"/>
            <w:tcMar>
              <w:top w:w="40" w:type="dxa"/>
              <w:left w:w="20" w:type="dxa"/>
              <w:bottom w:w="40" w:type="dxa"/>
              <w:right w:w="20" w:type="dxa"/>
            </w:tcMar>
            <w:vAlign w:val="bottom"/>
          </w:tcPr>
          <w:p w14:paraId="74DDCB78" w14:textId="77777777" w:rsidR="00584EC1" w:rsidRDefault="00871F8D">
            <w:pPr>
              <w:textAlignment w:val="bottom"/>
            </w:pPr>
            <w:r>
              <w:rPr>
                <w:rFonts w:ascii="Arial" w:eastAsia="宋体" w:hAnsi="Arial" w:cs="Arial"/>
                <w:b/>
                <w:bCs/>
                <w:color w:val="000000"/>
                <w:sz w:val="13"/>
                <w:szCs w:val="13"/>
              </w:rPr>
              <w:t>Liabilities:</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4DDCB79"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B7A" w14:textId="77777777" w:rsidR="00584EC1" w:rsidRDefault="00584EC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4DDCB7B"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B7C"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B7D"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B7E"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B7F"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B80"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B81"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B82"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B83"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B84"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B85"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B86"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B87" w14:textId="77777777" w:rsidR="00584EC1" w:rsidRDefault="00584EC1">
            <w:pPr>
              <w:rPr>
                <w:rFonts w:ascii="宋体"/>
              </w:rPr>
            </w:pPr>
          </w:p>
        </w:tc>
      </w:tr>
      <w:tr w:rsidR="00584EC1" w14:paraId="74DDCB9F" w14:textId="77777777">
        <w:trPr>
          <w:jc w:val="center"/>
        </w:trPr>
        <w:tc>
          <w:tcPr>
            <w:tcW w:w="0" w:type="auto"/>
            <w:gridSpan w:val="3"/>
            <w:shd w:val="clear" w:color="auto" w:fill="FFFFFF"/>
            <w:tcMar>
              <w:top w:w="40" w:type="dxa"/>
              <w:left w:w="20" w:type="dxa"/>
              <w:bottom w:w="40" w:type="dxa"/>
              <w:right w:w="20" w:type="dxa"/>
            </w:tcMar>
            <w:vAlign w:val="bottom"/>
          </w:tcPr>
          <w:p w14:paraId="74DDCB89" w14:textId="77777777" w:rsidR="00584EC1" w:rsidRDefault="00871F8D">
            <w:pPr>
              <w:textAlignment w:val="bottom"/>
            </w:pPr>
            <w:r>
              <w:rPr>
                <w:rFonts w:ascii="Arial" w:eastAsia="宋体" w:hAnsi="Arial" w:cs="Arial"/>
                <w:color w:val="000000"/>
                <w:sz w:val="13"/>
                <w:szCs w:val="13"/>
              </w:rPr>
              <w:t>Derivative instruments, foreign exchange contracts</w:t>
            </w:r>
          </w:p>
        </w:tc>
        <w:tc>
          <w:tcPr>
            <w:tcW w:w="0" w:type="auto"/>
            <w:shd w:val="clear" w:color="auto" w:fill="auto"/>
            <w:tcMar>
              <w:top w:w="40" w:type="dxa"/>
              <w:left w:w="20" w:type="dxa"/>
              <w:bottom w:w="40" w:type="dxa"/>
              <w:right w:w="0" w:type="dxa"/>
            </w:tcMar>
            <w:vAlign w:val="bottom"/>
          </w:tcPr>
          <w:p w14:paraId="74DDCB8A" w14:textId="77777777" w:rsidR="00584EC1" w:rsidRDefault="00871F8D">
            <w:pPr>
              <w:textAlignment w:val="bottom"/>
            </w:pPr>
            <w:r>
              <w:rPr>
                <w:rFonts w:ascii="Arial" w:eastAsia="宋体" w:hAnsi="Arial" w:cs="Arial"/>
                <w:b/>
                <w:bCs/>
                <w:color w:val="000000"/>
                <w:sz w:val="13"/>
                <w:szCs w:val="13"/>
              </w:rPr>
              <w:t>$</w:t>
            </w:r>
          </w:p>
        </w:tc>
        <w:tc>
          <w:tcPr>
            <w:tcW w:w="0" w:type="auto"/>
            <w:shd w:val="clear" w:color="auto" w:fill="auto"/>
            <w:tcMar>
              <w:top w:w="40" w:type="dxa"/>
              <w:left w:w="0" w:type="dxa"/>
              <w:bottom w:w="40" w:type="dxa"/>
              <w:right w:w="0" w:type="dxa"/>
            </w:tcMar>
            <w:vAlign w:val="bottom"/>
          </w:tcPr>
          <w:p w14:paraId="74DDCB8B" w14:textId="77777777" w:rsidR="00584EC1" w:rsidRDefault="00871F8D">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auto"/>
            <w:tcMar>
              <w:top w:w="40" w:type="dxa"/>
              <w:left w:w="0" w:type="dxa"/>
              <w:bottom w:w="40" w:type="dxa"/>
              <w:right w:w="20" w:type="dxa"/>
            </w:tcMar>
            <w:vAlign w:val="bottom"/>
          </w:tcPr>
          <w:p w14:paraId="74DDCB8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B8D" w14:textId="77777777" w:rsidR="00584EC1" w:rsidRDefault="00584EC1">
            <w:pPr>
              <w:rPr>
                <w:rFonts w:ascii="宋体"/>
              </w:rPr>
            </w:pPr>
          </w:p>
        </w:tc>
        <w:tc>
          <w:tcPr>
            <w:tcW w:w="0" w:type="auto"/>
            <w:shd w:val="clear" w:color="auto" w:fill="FFFFFF"/>
            <w:tcMar>
              <w:top w:w="40" w:type="dxa"/>
              <w:left w:w="20" w:type="dxa"/>
              <w:bottom w:w="40" w:type="dxa"/>
              <w:right w:w="0" w:type="dxa"/>
            </w:tcMar>
            <w:vAlign w:val="bottom"/>
          </w:tcPr>
          <w:p w14:paraId="74DDCB8E" w14:textId="77777777" w:rsidR="00584EC1" w:rsidRDefault="00871F8D">
            <w:pPr>
              <w:textAlignment w:val="bottom"/>
            </w:pPr>
            <w:r>
              <w:rPr>
                <w:rFonts w:ascii="Arial" w:eastAsia="宋体" w:hAnsi="Arial" w:cs="Arial"/>
                <w:color w:val="000000"/>
                <w:sz w:val="13"/>
                <w:szCs w:val="13"/>
              </w:rPr>
              <w:t>$</w:t>
            </w:r>
          </w:p>
        </w:tc>
        <w:tc>
          <w:tcPr>
            <w:tcW w:w="0" w:type="auto"/>
            <w:shd w:val="clear" w:color="auto" w:fill="FFFFFF"/>
            <w:tcMar>
              <w:top w:w="40" w:type="dxa"/>
              <w:left w:w="0" w:type="dxa"/>
              <w:bottom w:w="40" w:type="dxa"/>
              <w:right w:w="0" w:type="dxa"/>
            </w:tcMar>
            <w:vAlign w:val="bottom"/>
          </w:tcPr>
          <w:p w14:paraId="74DDCB8F" w14:textId="77777777" w:rsidR="00584EC1" w:rsidRDefault="00871F8D">
            <w:pPr>
              <w:jc w:val="right"/>
              <w:textAlignment w:val="bottom"/>
            </w:pPr>
            <w:r>
              <w:rPr>
                <w:rFonts w:ascii="Arial" w:eastAsia="宋体" w:hAnsi="Arial" w:cs="Arial"/>
                <w:color w:val="000000"/>
                <w:sz w:val="13"/>
                <w:szCs w:val="13"/>
              </w:rPr>
              <w:t>1 </w:t>
            </w:r>
          </w:p>
        </w:tc>
        <w:tc>
          <w:tcPr>
            <w:tcW w:w="0" w:type="auto"/>
            <w:shd w:val="clear" w:color="auto" w:fill="FFFFFF"/>
            <w:tcMar>
              <w:top w:w="40" w:type="dxa"/>
              <w:left w:w="0" w:type="dxa"/>
              <w:bottom w:w="40" w:type="dxa"/>
              <w:right w:w="20" w:type="dxa"/>
            </w:tcMar>
            <w:vAlign w:val="bottom"/>
          </w:tcPr>
          <w:p w14:paraId="74DDCB9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B91" w14:textId="77777777" w:rsidR="00584EC1" w:rsidRDefault="00584EC1">
            <w:pPr>
              <w:rPr>
                <w:rFonts w:ascii="宋体"/>
              </w:rPr>
            </w:pPr>
          </w:p>
        </w:tc>
        <w:tc>
          <w:tcPr>
            <w:tcW w:w="0" w:type="auto"/>
            <w:gridSpan w:val="3"/>
            <w:shd w:val="clear" w:color="auto" w:fill="FFFFFF"/>
            <w:tcMar>
              <w:top w:w="40" w:type="dxa"/>
              <w:left w:w="20" w:type="dxa"/>
              <w:bottom w:w="40" w:type="dxa"/>
              <w:right w:w="20" w:type="dxa"/>
            </w:tcMar>
            <w:vAlign w:val="bottom"/>
          </w:tcPr>
          <w:p w14:paraId="74DDCB92" w14:textId="77777777" w:rsidR="00584EC1" w:rsidRDefault="00871F8D">
            <w:pPr>
              <w:textAlignment w:val="bottom"/>
            </w:pPr>
            <w:r>
              <w:rPr>
                <w:rFonts w:ascii="Arial" w:eastAsia="宋体" w:hAnsi="Arial" w:cs="Arial"/>
                <w:color w:val="000000"/>
                <w:sz w:val="13"/>
                <w:szCs w:val="13"/>
              </w:rPr>
              <w:t>Option model</w:t>
            </w:r>
          </w:p>
        </w:tc>
        <w:tc>
          <w:tcPr>
            <w:tcW w:w="0" w:type="auto"/>
            <w:gridSpan w:val="3"/>
            <w:shd w:val="clear" w:color="auto" w:fill="FFFFFF"/>
            <w:tcMar>
              <w:top w:w="0" w:type="dxa"/>
              <w:left w:w="20" w:type="dxa"/>
              <w:bottom w:w="0" w:type="dxa"/>
              <w:right w:w="20" w:type="dxa"/>
            </w:tcMar>
            <w:vAlign w:val="bottom"/>
          </w:tcPr>
          <w:p w14:paraId="74DDCB93" w14:textId="77777777" w:rsidR="00584EC1" w:rsidRDefault="00584EC1">
            <w:pPr>
              <w:rPr>
                <w:rFonts w:ascii="宋体"/>
              </w:rPr>
            </w:pPr>
          </w:p>
        </w:tc>
        <w:tc>
          <w:tcPr>
            <w:tcW w:w="0" w:type="auto"/>
            <w:gridSpan w:val="3"/>
            <w:shd w:val="clear" w:color="auto" w:fill="FFFFFF"/>
            <w:tcMar>
              <w:top w:w="40" w:type="dxa"/>
              <w:left w:w="20" w:type="dxa"/>
              <w:bottom w:w="40" w:type="dxa"/>
              <w:right w:w="20" w:type="dxa"/>
            </w:tcMar>
            <w:vAlign w:val="bottom"/>
          </w:tcPr>
          <w:p w14:paraId="74DDCB94" w14:textId="77777777" w:rsidR="00584EC1" w:rsidRDefault="00871F8D">
            <w:pPr>
              <w:textAlignment w:val="bottom"/>
            </w:pPr>
            <w:r>
              <w:rPr>
                <w:rFonts w:ascii="Arial" w:eastAsia="宋体" w:hAnsi="Arial" w:cs="Arial"/>
                <w:color w:val="000000"/>
                <w:sz w:val="13"/>
                <w:szCs w:val="13"/>
              </w:rPr>
              <w:t>Volatility</w:t>
            </w:r>
          </w:p>
        </w:tc>
        <w:tc>
          <w:tcPr>
            <w:tcW w:w="0" w:type="auto"/>
            <w:gridSpan w:val="3"/>
            <w:shd w:val="clear" w:color="auto" w:fill="FFFFFF"/>
            <w:tcMar>
              <w:top w:w="0" w:type="dxa"/>
              <w:left w:w="20" w:type="dxa"/>
              <w:bottom w:w="0" w:type="dxa"/>
              <w:right w:w="20" w:type="dxa"/>
            </w:tcMar>
            <w:vAlign w:val="bottom"/>
          </w:tcPr>
          <w:p w14:paraId="74DDCB95" w14:textId="77777777" w:rsidR="00584EC1" w:rsidRDefault="00584EC1">
            <w:pPr>
              <w:rPr>
                <w:rFonts w:ascii="宋体"/>
              </w:rPr>
            </w:pPr>
          </w:p>
        </w:tc>
        <w:tc>
          <w:tcPr>
            <w:tcW w:w="0" w:type="auto"/>
            <w:gridSpan w:val="3"/>
            <w:shd w:val="clear" w:color="auto" w:fill="FFFFFF"/>
            <w:tcMar>
              <w:top w:w="40" w:type="dxa"/>
              <w:left w:w="20" w:type="dxa"/>
              <w:bottom w:w="40" w:type="dxa"/>
              <w:right w:w="140" w:type="dxa"/>
            </w:tcMar>
            <w:vAlign w:val="bottom"/>
          </w:tcPr>
          <w:p w14:paraId="74DDCB96" w14:textId="77777777" w:rsidR="00584EC1" w:rsidRDefault="00871F8D">
            <w:pPr>
              <w:jc w:val="right"/>
              <w:textAlignment w:val="bottom"/>
            </w:pPr>
            <w:r>
              <w:rPr>
                <w:rFonts w:ascii="Arial" w:eastAsia="宋体" w:hAnsi="Arial" w:cs="Arial"/>
                <w:b/>
                <w:bCs/>
                <w:color w:val="000000"/>
                <w:sz w:val="13"/>
                <w:szCs w:val="13"/>
              </w:rPr>
              <w:t>6.9%</w:t>
            </w:r>
          </w:p>
        </w:tc>
        <w:tc>
          <w:tcPr>
            <w:tcW w:w="0" w:type="auto"/>
            <w:gridSpan w:val="3"/>
            <w:shd w:val="clear" w:color="auto" w:fill="FFFFFF"/>
            <w:tcMar>
              <w:top w:w="40" w:type="dxa"/>
              <w:left w:w="20" w:type="dxa"/>
              <w:bottom w:w="40" w:type="dxa"/>
              <w:right w:w="20" w:type="dxa"/>
            </w:tcMar>
            <w:vAlign w:val="bottom"/>
          </w:tcPr>
          <w:p w14:paraId="74DDCB97" w14:textId="77777777" w:rsidR="00584EC1" w:rsidRDefault="00871F8D">
            <w:pPr>
              <w:jc w:val="center"/>
              <w:textAlignment w:val="bottom"/>
            </w:pPr>
            <w:r>
              <w:rPr>
                <w:rFonts w:ascii="Arial" w:eastAsia="宋体" w:hAnsi="Arial" w:cs="Arial"/>
                <w:b/>
                <w:bCs/>
                <w:color w:val="000000"/>
                <w:sz w:val="13"/>
                <w:szCs w:val="13"/>
              </w:rPr>
              <w:t>-</w:t>
            </w:r>
          </w:p>
        </w:tc>
        <w:tc>
          <w:tcPr>
            <w:tcW w:w="0" w:type="auto"/>
            <w:gridSpan w:val="3"/>
            <w:shd w:val="clear" w:color="auto" w:fill="FFFFFF"/>
            <w:tcMar>
              <w:top w:w="40" w:type="dxa"/>
              <w:left w:w="20" w:type="dxa"/>
              <w:bottom w:w="40" w:type="dxa"/>
              <w:right w:w="20" w:type="dxa"/>
            </w:tcMar>
            <w:vAlign w:val="bottom"/>
          </w:tcPr>
          <w:p w14:paraId="74DDCB98" w14:textId="77777777" w:rsidR="00584EC1" w:rsidRDefault="00871F8D">
            <w:pPr>
              <w:textAlignment w:val="bottom"/>
            </w:pPr>
            <w:r>
              <w:rPr>
                <w:rFonts w:ascii="Arial" w:eastAsia="宋体" w:hAnsi="Arial" w:cs="Arial"/>
                <w:b/>
                <w:bCs/>
                <w:color w:val="000000"/>
                <w:sz w:val="13"/>
                <w:szCs w:val="13"/>
              </w:rPr>
              <w:t>8.0%</w:t>
            </w:r>
          </w:p>
        </w:tc>
        <w:tc>
          <w:tcPr>
            <w:tcW w:w="0" w:type="auto"/>
            <w:gridSpan w:val="3"/>
            <w:shd w:val="clear" w:color="auto" w:fill="FFFFFF"/>
            <w:tcMar>
              <w:top w:w="0" w:type="dxa"/>
              <w:left w:w="20" w:type="dxa"/>
              <w:bottom w:w="0" w:type="dxa"/>
              <w:right w:w="20" w:type="dxa"/>
            </w:tcMar>
            <w:vAlign w:val="bottom"/>
          </w:tcPr>
          <w:p w14:paraId="74DDCB9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CB9A" w14:textId="77777777" w:rsidR="00584EC1" w:rsidRDefault="00871F8D">
            <w:pPr>
              <w:jc w:val="right"/>
              <w:textAlignment w:val="bottom"/>
            </w:pPr>
            <w:r>
              <w:rPr>
                <w:rFonts w:ascii="Arial" w:eastAsia="宋体" w:hAnsi="Arial" w:cs="Arial"/>
                <w:b/>
                <w:bCs/>
                <w:color w:val="000000"/>
                <w:sz w:val="13"/>
                <w:szCs w:val="13"/>
              </w:rPr>
              <w:t>7.4</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CB9B" w14:textId="77777777" w:rsidR="00584EC1" w:rsidRDefault="00871F8D">
            <w:pPr>
              <w:jc w:val="right"/>
              <w:textAlignment w:val="bottom"/>
            </w:pPr>
            <w:r>
              <w:rPr>
                <w:rFonts w:ascii="Arial" w:eastAsia="宋体" w:hAnsi="Arial" w:cs="Arial"/>
                <w:b/>
                <w:bCs/>
                <w:color w:val="000000"/>
                <w:sz w:val="13"/>
                <w:szCs w:val="13"/>
              </w:rPr>
              <w:t>%</w:t>
            </w:r>
          </w:p>
        </w:tc>
        <w:tc>
          <w:tcPr>
            <w:tcW w:w="0" w:type="auto"/>
            <w:gridSpan w:val="3"/>
            <w:shd w:val="clear" w:color="auto" w:fill="FFFFFF"/>
            <w:tcMar>
              <w:top w:w="0" w:type="dxa"/>
              <w:left w:w="20" w:type="dxa"/>
              <w:bottom w:w="0" w:type="dxa"/>
              <w:right w:w="20" w:type="dxa"/>
            </w:tcMar>
            <w:vAlign w:val="bottom"/>
          </w:tcPr>
          <w:p w14:paraId="74DDCB9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CB9D" w14:textId="77777777" w:rsidR="00584EC1" w:rsidRDefault="00871F8D">
            <w:pPr>
              <w:jc w:val="right"/>
              <w:textAlignment w:val="bottom"/>
            </w:pPr>
            <w:r>
              <w:rPr>
                <w:rFonts w:ascii="Arial" w:eastAsia="宋体" w:hAnsi="Arial" w:cs="Arial"/>
                <w:color w:val="000000"/>
                <w:sz w:val="13"/>
                <w:szCs w:val="13"/>
              </w:rPr>
              <w:t>7.7 </w:t>
            </w:r>
          </w:p>
        </w:tc>
        <w:tc>
          <w:tcPr>
            <w:tcW w:w="0" w:type="auto"/>
            <w:shd w:val="clear" w:color="auto" w:fill="FFFFFF"/>
            <w:tcMar>
              <w:top w:w="40" w:type="dxa"/>
              <w:left w:w="0" w:type="dxa"/>
              <w:bottom w:w="40" w:type="dxa"/>
              <w:right w:w="20" w:type="dxa"/>
            </w:tcMar>
            <w:vAlign w:val="bottom"/>
          </w:tcPr>
          <w:p w14:paraId="74DDCB9E" w14:textId="77777777" w:rsidR="00584EC1" w:rsidRDefault="00871F8D">
            <w:pPr>
              <w:jc w:val="right"/>
              <w:textAlignment w:val="bottom"/>
            </w:pPr>
            <w:r>
              <w:rPr>
                <w:rFonts w:ascii="Arial" w:eastAsia="宋体" w:hAnsi="Arial" w:cs="Arial"/>
                <w:color w:val="000000"/>
                <w:sz w:val="13"/>
                <w:szCs w:val="13"/>
              </w:rPr>
              <w:t>%</w:t>
            </w:r>
          </w:p>
        </w:tc>
      </w:tr>
      <w:tr w:rsidR="00584EC1" w14:paraId="74DDCBB4" w14:textId="77777777">
        <w:trPr>
          <w:jc w:val="center"/>
        </w:trPr>
        <w:tc>
          <w:tcPr>
            <w:tcW w:w="0" w:type="auto"/>
            <w:gridSpan w:val="3"/>
            <w:shd w:val="clear" w:color="auto" w:fill="CCEEFF"/>
            <w:tcMar>
              <w:top w:w="40" w:type="dxa"/>
              <w:left w:w="155" w:type="dxa"/>
              <w:bottom w:w="40" w:type="dxa"/>
              <w:right w:w="20" w:type="dxa"/>
            </w:tcMar>
            <w:vAlign w:val="bottom"/>
          </w:tcPr>
          <w:p w14:paraId="74DDCBA0" w14:textId="77777777" w:rsidR="00584EC1" w:rsidRDefault="00871F8D">
            <w:pPr>
              <w:textAlignment w:val="bottom"/>
            </w:pPr>
            <w:r>
              <w:rPr>
                <w:rFonts w:ascii="Arial" w:eastAsia="宋体" w:hAnsi="Arial" w:cs="Arial"/>
                <w:color w:val="000000"/>
                <w:sz w:val="13"/>
                <w:szCs w:val="13"/>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CBA1" w14:textId="77777777" w:rsidR="00584EC1" w:rsidRDefault="00871F8D">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CBA2" w14:textId="77777777" w:rsidR="00584EC1" w:rsidRDefault="00871F8D">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CBA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BA4"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CBA5" w14:textId="77777777" w:rsidR="00584EC1" w:rsidRDefault="00871F8D">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CBA6" w14:textId="77777777" w:rsidR="00584EC1" w:rsidRDefault="00871F8D">
            <w:pPr>
              <w:jc w:val="right"/>
              <w:textAlignment w:val="bottom"/>
            </w:pPr>
            <w:r>
              <w:rPr>
                <w:rFonts w:ascii="Arial" w:eastAsia="宋体" w:hAnsi="Arial" w:cs="Arial"/>
                <w:color w:val="000000"/>
                <w:sz w:val="13"/>
                <w:szCs w:val="13"/>
              </w:rPr>
              <w:t>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CBA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BA8"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BA9"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BAA"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BAB"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BAC"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BAD"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BAE"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BAF"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BB0"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BB1"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BB2"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BB3" w14:textId="77777777" w:rsidR="00584EC1" w:rsidRDefault="00584EC1">
            <w:pPr>
              <w:rPr>
                <w:rFonts w:ascii="宋体"/>
              </w:rPr>
            </w:pPr>
          </w:p>
        </w:tc>
      </w:tr>
    </w:tbl>
    <w:p w14:paraId="74DDCBB5" w14:textId="77777777" w:rsidR="00584EC1" w:rsidRDefault="00584EC1">
      <w:pPr>
        <w:rPr>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235"/>
        <w:gridCol w:w="36"/>
        <w:gridCol w:w="69"/>
        <w:gridCol w:w="1100"/>
        <w:gridCol w:w="36"/>
        <w:gridCol w:w="69"/>
        <w:gridCol w:w="1504"/>
        <w:gridCol w:w="36"/>
        <w:gridCol w:w="70"/>
        <w:gridCol w:w="3076"/>
        <w:gridCol w:w="36"/>
      </w:tblGrid>
      <w:tr w:rsidR="00584EC1" w14:paraId="74DDCBC2" w14:textId="77777777">
        <w:trPr>
          <w:jc w:val="center"/>
        </w:trPr>
        <w:tc>
          <w:tcPr>
            <w:tcW w:w="50" w:type="pct"/>
            <w:shd w:val="clear" w:color="auto" w:fill="auto"/>
            <w:vAlign w:val="bottom"/>
          </w:tcPr>
          <w:p w14:paraId="74DDCBB6" w14:textId="77777777" w:rsidR="00584EC1" w:rsidRDefault="00584EC1">
            <w:pPr>
              <w:rPr>
                <w:rFonts w:ascii="宋体"/>
              </w:rPr>
            </w:pPr>
          </w:p>
        </w:tc>
        <w:tc>
          <w:tcPr>
            <w:tcW w:w="1348" w:type="pct"/>
            <w:shd w:val="clear" w:color="auto" w:fill="auto"/>
            <w:vAlign w:val="bottom"/>
          </w:tcPr>
          <w:p w14:paraId="74DDCBB7" w14:textId="77777777" w:rsidR="00584EC1" w:rsidRDefault="00584EC1">
            <w:pPr>
              <w:rPr>
                <w:rFonts w:ascii="宋体"/>
              </w:rPr>
            </w:pPr>
          </w:p>
        </w:tc>
        <w:tc>
          <w:tcPr>
            <w:tcW w:w="5" w:type="pct"/>
            <w:shd w:val="clear" w:color="auto" w:fill="auto"/>
            <w:vAlign w:val="bottom"/>
          </w:tcPr>
          <w:p w14:paraId="74DDCBB8" w14:textId="77777777" w:rsidR="00584EC1" w:rsidRDefault="00584EC1">
            <w:pPr>
              <w:rPr>
                <w:rFonts w:ascii="宋体"/>
              </w:rPr>
            </w:pPr>
          </w:p>
        </w:tc>
        <w:tc>
          <w:tcPr>
            <w:tcW w:w="50" w:type="pct"/>
            <w:shd w:val="clear" w:color="auto" w:fill="auto"/>
            <w:vAlign w:val="bottom"/>
          </w:tcPr>
          <w:p w14:paraId="74DDCBB9" w14:textId="77777777" w:rsidR="00584EC1" w:rsidRDefault="00584EC1">
            <w:pPr>
              <w:rPr>
                <w:rFonts w:ascii="宋体"/>
              </w:rPr>
            </w:pPr>
          </w:p>
        </w:tc>
        <w:tc>
          <w:tcPr>
            <w:tcW w:w="668" w:type="pct"/>
            <w:shd w:val="clear" w:color="auto" w:fill="auto"/>
            <w:vAlign w:val="bottom"/>
          </w:tcPr>
          <w:p w14:paraId="74DDCBBA" w14:textId="77777777" w:rsidR="00584EC1" w:rsidRDefault="00584EC1">
            <w:pPr>
              <w:rPr>
                <w:rFonts w:ascii="宋体"/>
              </w:rPr>
            </w:pPr>
          </w:p>
        </w:tc>
        <w:tc>
          <w:tcPr>
            <w:tcW w:w="5" w:type="pct"/>
            <w:shd w:val="clear" w:color="auto" w:fill="auto"/>
            <w:vAlign w:val="bottom"/>
          </w:tcPr>
          <w:p w14:paraId="74DDCBBB" w14:textId="77777777" w:rsidR="00584EC1" w:rsidRDefault="00584EC1">
            <w:pPr>
              <w:rPr>
                <w:rFonts w:ascii="宋体"/>
              </w:rPr>
            </w:pPr>
          </w:p>
        </w:tc>
        <w:tc>
          <w:tcPr>
            <w:tcW w:w="50" w:type="pct"/>
            <w:shd w:val="clear" w:color="auto" w:fill="auto"/>
            <w:vAlign w:val="bottom"/>
          </w:tcPr>
          <w:p w14:paraId="74DDCBBC" w14:textId="77777777" w:rsidR="00584EC1" w:rsidRDefault="00584EC1">
            <w:pPr>
              <w:rPr>
                <w:rFonts w:ascii="宋体"/>
              </w:rPr>
            </w:pPr>
          </w:p>
        </w:tc>
        <w:tc>
          <w:tcPr>
            <w:tcW w:w="909" w:type="pct"/>
            <w:shd w:val="clear" w:color="auto" w:fill="auto"/>
            <w:vAlign w:val="bottom"/>
          </w:tcPr>
          <w:p w14:paraId="74DDCBBD" w14:textId="77777777" w:rsidR="00584EC1" w:rsidRDefault="00584EC1">
            <w:pPr>
              <w:rPr>
                <w:rFonts w:ascii="宋体"/>
              </w:rPr>
            </w:pPr>
          </w:p>
        </w:tc>
        <w:tc>
          <w:tcPr>
            <w:tcW w:w="5" w:type="pct"/>
            <w:shd w:val="clear" w:color="auto" w:fill="auto"/>
            <w:vAlign w:val="bottom"/>
          </w:tcPr>
          <w:p w14:paraId="74DDCBBE" w14:textId="77777777" w:rsidR="00584EC1" w:rsidRDefault="00584EC1">
            <w:pPr>
              <w:rPr>
                <w:rFonts w:ascii="宋体"/>
              </w:rPr>
            </w:pPr>
          </w:p>
        </w:tc>
        <w:tc>
          <w:tcPr>
            <w:tcW w:w="50" w:type="pct"/>
            <w:shd w:val="clear" w:color="auto" w:fill="auto"/>
            <w:vAlign w:val="bottom"/>
          </w:tcPr>
          <w:p w14:paraId="74DDCBBF" w14:textId="77777777" w:rsidR="00584EC1" w:rsidRDefault="00584EC1">
            <w:pPr>
              <w:rPr>
                <w:rFonts w:ascii="宋体"/>
              </w:rPr>
            </w:pPr>
          </w:p>
        </w:tc>
        <w:tc>
          <w:tcPr>
            <w:tcW w:w="1852" w:type="pct"/>
            <w:shd w:val="clear" w:color="auto" w:fill="auto"/>
            <w:vAlign w:val="bottom"/>
          </w:tcPr>
          <w:p w14:paraId="74DDCBC0" w14:textId="77777777" w:rsidR="00584EC1" w:rsidRDefault="00584EC1">
            <w:pPr>
              <w:rPr>
                <w:rFonts w:ascii="宋体"/>
              </w:rPr>
            </w:pPr>
          </w:p>
        </w:tc>
        <w:tc>
          <w:tcPr>
            <w:tcW w:w="5" w:type="pct"/>
            <w:shd w:val="clear" w:color="auto" w:fill="auto"/>
            <w:vAlign w:val="bottom"/>
          </w:tcPr>
          <w:p w14:paraId="74DDCBC1" w14:textId="77777777" w:rsidR="00584EC1" w:rsidRDefault="00584EC1">
            <w:pPr>
              <w:rPr>
                <w:rFonts w:ascii="宋体"/>
              </w:rPr>
            </w:pPr>
          </w:p>
        </w:tc>
      </w:tr>
      <w:tr w:rsidR="00584EC1" w14:paraId="74DDCBC7" w14:textId="77777777">
        <w:trPr>
          <w:trHeight w:val="60"/>
          <w:jc w:val="center"/>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4DDCBC3"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BC4"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BC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BC6" w14:textId="77777777" w:rsidR="00584EC1" w:rsidRDefault="00584EC1">
            <w:pPr>
              <w:rPr>
                <w:rFonts w:ascii="宋体"/>
              </w:rPr>
            </w:pPr>
          </w:p>
        </w:tc>
      </w:tr>
    </w:tbl>
    <w:p w14:paraId="74DDCBC8" w14:textId="77777777" w:rsidR="00584EC1" w:rsidRDefault="00871F8D">
      <w:pPr>
        <w:spacing w:after="120"/>
      </w:pPr>
      <w:r>
        <w:rPr>
          <w:rFonts w:ascii="Arial" w:eastAsia="宋体" w:hAnsi="Arial" w:cs="Arial"/>
          <w:color w:val="000000"/>
          <w:sz w:val="8"/>
          <w:szCs w:val="8"/>
        </w:rPr>
        <w:t xml:space="preserve">(1) </w:t>
      </w:r>
      <w:r>
        <w:rPr>
          <w:rFonts w:ascii="Arial" w:eastAsia="宋体" w:hAnsi="Arial" w:cs="Arial"/>
          <w:color w:val="000000"/>
          <w:sz w:val="13"/>
          <w:szCs w:val="13"/>
        </w:rPr>
        <w:t>Significant changes in these unobservable inputs may result in significant changes in fair value measurement of the derivative instrument.</w:t>
      </w:r>
    </w:p>
    <w:p w14:paraId="74DDCBC9" w14:textId="77777777" w:rsidR="00584EC1" w:rsidRDefault="00871F8D">
      <w:pPr>
        <w:spacing w:before="60"/>
      </w:pPr>
      <w:r>
        <w:rPr>
          <w:rFonts w:ascii="Arial" w:eastAsia="宋体" w:hAnsi="Arial" w:cs="Arial"/>
          <w:b/>
          <w:bCs/>
          <w:i/>
          <w:iCs/>
          <w:color w:val="000000"/>
          <w:sz w:val="20"/>
          <w:szCs w:val="20"/>
        </w:rPr>
        <w:t xml:space="preserve">Fair Value </w:t>
      </w:r>
      <w:r>
        <w:rPr>
          <w:rFonts w:ascii="Arial" w:eastAsia="宋体" w:hAnsi="Arial" w:cs="Arial"/>
          <w:b/>
          <w:bCs/>
          <w:i/>
          <w:iCs/>
          <w:color w:val="000000"/>
          <w:sz w:val="20"/>
          <w:szCs w:val="20"/>
        </w:rPr>
        <w:t>Estimates</w:t>
      </w:r>
    </w:p>
    <w:p w14:paraId="74DDCBCA" w14:textId="77777777" w:rsidR="00584EC1" w:rsidRDefault="00871F8D">
      <w:pPr>
        <w:spacing w:before="60"/>
        <w:ind w:firstLine="450"/>
        <w:jc w:val="both"/>
      </w:pPr>
      <w:r>
        <w:rPr>
          <w:rFonts w:ascii="Arial" w:eastAsia="宋体" w:hAnsi="Arial" w:cs="Arial"/>
          <w:color w:val="000000"/>
          <w:sz w:val="20"/>
          <w:szCs w:val="20"/>
        </w:rPr>
        <w:t>Estimates of fair value for financial instruments not carried at fair value in our consolidated statement of condition are generally subjective in nature, and are determined as of a specific point in time based on the characteristics of the finan</w:t>
      </w:r>
      <w:r>
        <w:rPr>
          <w:rFonts w:ascii="Arial" w:eastAsia="宋体" w:hAnsi="Arial" w:cs="Arial"/>
          <w:color w:val="000000"/>
          <w:sz w:val="20"/>
          <w:szCs w:val="20"/>
        </w:rPr>
        <w:t xml:space="preserve">cial instruments and relevant market information. </w:t>
      </w:r>
    </w:p>
    <w:p w14:paraId="74DDCBCB" w14:textId="77777777" w:rsidR="00584EC1" w:rsidRDefault="00871F8D">
      <w:pPr>
        <w:spacing w:before="60"/>
        <w:ind w:firstLine="450"/>
        <w:jc w:val="both"/>
      </w:pPr>
      <w:r>
        <w:rPr>
          <w:rFonts w:ascii="Arial" w:eastAsia="宋体" w:hAnsi="Arial" w:cs="Arial"/>
          <w:color w:val="000000"/>
          <w:sz w:val="20"/>
          <w:szCs w:val="20"/>
        </w:rPr>
        <w:t xml:space="preserve">The following tables present the reported amounts and estimated fair values of the financial assets and liabilities not carried at fair value, as they would be categorized within the fair value hierarchy, </w:t>
      </w:r>
      <w:r>
        <w:rPr>
          <w:rFonts w:ascii="Arial" w:eastAsia="宋体" w:hAnsi="Arial" w:cs="Arial"/>
          <w:color w:val="000000"/>
          <w:sz w:val="20"/>
          <w:szCs w:val="20"/>
        </w:rPr>
        <w:t>as of the dates indicated:</w:t>
      </w:r>
    </w:p>
    <w:tbl>
      <w:tblPr>
        <w:tblW w:w="4985" w:type="pct"/>
        <w:tblCellMar>
          <w:top w:w="15" w:type="dxa"/>
          <w:left w:w="15" w:type="dxa"/>
          <w:bottom w:w="15" w:type="dxa"/>
          <w:right w:w="15" w:type="dxa"/>
        </w:tblCellMar>
        <w:tblLook w:val="04A0" w:firstRow="1" w:lastRow="0" w:firstColumn="1" w:lastColumn="0" w:noHBand="0" w:noVBand="1"/>
      </w:tblPr>
      <w:tblGrid>
        <w:gridCol w:w="45"/>
        <w:gridCol w:w="2320"/>
        <w:gridCol w:w="39"/>
        <w:gridCol w:w="94"/>
        <w:gridCol w:w="726"/>
        <w:gridCol w:w="36"/>
        <w:gridCol w:w="36"/>
        <w:gridCol w:w="36"/>
        <w:gridCol w:w="36"/>
        <w:gridCol w:w="94"/>
        <w:gridCol w:w="666"/>
        <w:gridCol w:w="36"/>
        <w:gridCol w:w="36"/>
        <w:gridCol w:w="36"/>
        <w:gridCol w:w="36"/>
        <w:gridCol w:w="94"/>
        <w:gridCol w:w="1058"/>
        <w:gridCol w:w="36"/>
        <w:gridCol w:w="36"/>
        <w:gridCol w:w="36"/>
        <w:gridCol w:w="36"/>
        <w:gridCol w:w="94"/>
        <w:gridCol w:w="1117"/>
        <w:gridCol w:w="36"/>
        <w:gridCol w:w="36"/>
        <w:gridCol w:w="36"/>
        <w:gridCol w:w="36"/>
        <w:gridCol w:w="94"/>
        <w:gridCol w:w="1258"/>
        <w:gridCol w:w="36"/>
      </w:tblGrid>
      <w:tr w:rsidR="00584EC1" w14:paraId="74DDCBEA" w14:textId="77777777">
        <w:tc>
          <w:tcPr>
            <w:tcW w:w="50" w:type="pct"/>
            <w:shd w:val="clear" w:color="auto" w:fill="auto"/>
            <w:vAlign w:val="bottom"/>
          </w:tcPr>
          <w:p w14:paraId="74DDCBCC" w14:textId="77777777" w:rsidR="00584EC1" w:rsidRDefault="00584EC1">
            <w:pPr>
              <w:rPr>
                <w:rFonts w:ascii="宋体"/>
              </w:rPr>
            </w:pPr>
          </w:p>
        </w:tc>
        <w:tc>
          <w:tcPr>
            <w:tcW w:w="1447" w:type="pct"/>
            <w:shd w:val="clear" w:color="auto" w:fill="auto"/>
            <w:vAlign w:val="bottom"/>
          </w:tcPr>
          <w:p w14:paraId="74DDCBCD" w14:textId="77777777" w:rsidR="00584EC1" w:rsidRDefault="00584EC1">
            <w:pPr>
              <w:rPr>
                <w:rFonts w:ascii="宋体"/>
              </w:rPr>
            </w:pPr>
          </w:p>
        </w:tc>
        <w:tc>
          <w:tcPr>
            <w:tcW w:w="5" w:type="pct"/>
            <w:shd w:val="clear" w:color="auto" w:fill="auto"/>
            <w:vAlign w:val="bottom"/>
          </w:tcPr>
          <w:p w14:paraId="74DDCBCE" w14:textId="77777777" w:rsidR="00584EC1" w:rsidRDefault="00584EC1">
            <w:pPr>
              <w:rPr>
                <w:rFonts w:ascii="宋体"/>
              </w:rPr>
            </w:pPr>
          </w:p>
        </w:tc>
        <w:tc>
          <w:tcPr>
            <w:tcW w:w="50" w:type="pct"/>
            <w:shd w:val="clear" w:color="auto" w:fill="auto"/>
            <w:vAlign w:val="bottom"/>
          </w:tcPr>
          <w:p w14:paraId="74DDCBCF" w14:textId="77777777" w:rsidR="00584EC1" w:rsidRDefault="00584EC1">
            <w:pPr>
              <w:rPr>
                <w:rFonts w:ascii="宋体"/>
              </w:rPr>
            </w:pPr>
          </w:p>
        </w:tc>
        <w:tc>
          <w:tcPr>
            <w:tcW w:w="480" w:type="pct"/>
            <w:shd w:val="clear" w:color="auto" w:fill="auto"/>
            <w:vAlign w:val="bottom"/>
          </w:tcPr>
          <w:p w14:paraId="74DDCBD0" w14:textId="77777777" w:rsidR="00584EC1" w:rsidRDefault="00584EC1">
            <w:pPr>
              <w:rPr>
                <w:rFonts w:ascii="宋体"/>
              </w:rPr>
            </w:pPr>
          </w:p>
        </w:tc>
        <w:tc>
          <w:tcPr>
            <w:tcW w:w="5" w:type="pct"/>
            <w:shd w:val="clear" w:color="auto" w:fill="auto"/>
            <w:vAlign w:val="bottom"/>
          </w:tcPr>
          <w:p w14:paraId="74DDCBD1" w14:textId="77777777" w:rsidR="00584EC1" w:rsidRDefault="00584EC1">
            <w:pPr>
              <w:rPr>
                <w:rFonts w:ascii="宋体"/>
              </w:rPr>
            </w:pPr>
          </w:p>
        </w:tc>
        <w:tc>
          <w:tcPr>
            <w:tcW w:w="5" w:type="pct"/>
            <w:shd w:val="clear" w:color="auto" w:fill="auto"/>
            <w:vAlign w:val="bottom"/>
          </w:tcPr>
          <w:p w14:paraId="74DDCBD2" w14:textId="77777777" w:rsidR="00584EC1" w:rsidRDefault="00584EC1">
            <w:pPr>
              <w:rPr>
                <w:rFonts w:ascii="宋体"/>
              </w:rPr>
            </w:pPr>
          </w:p>
        </w:tc>
        <w:tc>
          <w:tcPr>
            <w:tcW w:w="26" w:type="pct"/>
            <w:shd w:val="clear" w:color="auto" w:fill="auto"/>
            <w:vAlign w:val="bottom"/>
          </w:tcPr>
          <w:p w14:paraId="74DDCBD3" w14:textId="77777777" w:rsidR="00584EC1" w:rsidRDefault="00584EC1">
            <w:pPr>
              <w:rPr>
                <w:rFonts w:ascii="宋体"/>
              </w:rPr>
            </w:pPr>
          </w:p>
        </w:tc>
        <w:tc>
          <w:tcPr>
            <w:tcW w:w="5" w:type="pct"/>
            <w:shd w:val="clear" w:color="auto" w:fill="auto"/>
            <w:vAlign w:val="bottom"/>
          </w:tcPr>
          <w:p w14:paraId="74DDCBD4" w14:textId="77777777" w:rsidR="00584EC1" w:rsidRDefault="00584EC1">
            <w:pPr>
              <w:rPr>
                <w:rFonts w:ascii="宋体"/>
              </w:rPr>
            </w:pPr>
          </w:p>
        </w:tc>
        <w:tc>
          <w:tcPr>
            <w:tcW w:w="50" w:type="pct"/>
            <w:shd w:val="clear" w:color="auto" w:fill="auto"/>
            <w:vAlign w:val="bottom"/>
          </w:tcPr>
          <w:p w14:paraId="74DDCBD5" w14:textId="77777777" w:rsidR="00584EC1" w:rsidRDefault="00584EC1">
            <w:pPr>
              <w:rPr>
                <w:rFonts w:ascii="宋体"/>
              </w:rPr>
            </w:pPr>
          </w:p>
        </w:tc>
        <w:tc>
          <w:tcPr>
            <w:tcW w:w="472" w:type="pct"/>
            <w:shd w:val="clear" w:color="auto" w:fill="auto"/>
            <w:vAlign w:val="bottom"/>
          </w:tcPr>
          <w:p w14:paraId="74DDCBD6" w14:textId="77777777" w:rsidR="00584EC1" w:rsidRDefault="00584EC1">
            <w:pPr>
              <w:rPr>
                <w:rFonts w:ascii="宋体"/>
              </w:rPr>
            </w:pPr>
          </w:p>
        </w:tc>
        <w:tc>
          <w:tcPr>
            <w:tcW w:w="5" w:type="pct"/>
            <w:shd w:val="clear" w:color="auto" w:fill="auto"/>
            <w:vAlign w:val="bottom"/>
          </w:tcPr>
          <w:p w14:paraId="74DDCBD7" w14:textId="77777777" w:rsidR="00584EC1" w:rsidRDefault="00584EC1">
            <w:pPr>
              <w:rPr>
                <w:rFonts w:ascii="宋体"/>
              </w:rPr>
            </w:pPr>
          </w:p>
        </w:tc>
        <w:tc>
          <w:tcPr>
            <w:tcW w:w="5" w:type="pct"/>
            <w:shd w:val="clear" w:color="auto" w:fill="auto"/>
            <w:vAlign w:val="bottom"/>
          </w:tcPr>
          <w:p w14:paraId="74DDCBD8" w14:textId="77777777" w:rsidR="00584EC1" w:rsidRDefault="00584EC1">
            <w:pPr>
              <w:rPr>
                <w:rFonts w:ascii="宋体"/>
              </w:rPr>
            </w:pPr>
          </w:p>
        </w:tc>
        <w:tc>
          <w:tcPr>
            <w:tcW w:w="26" w:type="pct"/>
            <w:shd w:val="clear" w:color="auto" w:fill="auto"/>
            <w:vAlign w:val="bottom"/>
          </w:tcPr>
          <w:p w14:paraId="74DDCBD9" w14:textId="77777777" w:rsidR="00584EC1" w:rsidRDefault="00584EC1">
            <w:pPr>
              <w:rPr>
                <w:rFonts w:ascii="宋体"/>
              </w:rPr>
            </w:pPr>
          </w:p>
        </w:tc>
        <w:tc>
          <w:tcPr>
            <w:tcW w:w="5" w:type="pct"/>
            <w:shd w:val="clear" w:color="auto" w:fill="auto"/>
            <w:vAlign w:val="bottom"/>
          </w:tcPr>
          <w:p w14:paraId="74DDCBDA" w14:textId="77777777" w:rsidR="00584EC1" w:rsidRDefault="00584EC1">
            <w:pPr>
              <w:rPr>
                <w:rFonts w:ascii="宋体"/>
              </w:rPr>
            </w:pPr>
          </w:p>
        </w:tc>
        <w:tc>
          <w:tcPr>
            <w:tcW w:w="50" w:type="pct"/>
            <w:shd w:val="clear" w:color="auto" w:fill="auto"/>
            <w:vAlign w:val="bottom"/>
          </w:tcPr>
          <w:p w14:paraId="74DDCBDB" w14:textId="77777777" w:rsidR="00584EC1" w:rsidRDefault="00584EC1">
            <w:pPr>
              <w:rPr>
                <w:rFonts w:ascii="宋体"/>
              </w:rPr>
            </w:pPr>
          </w:p>
        </w:tc>
        <w:tc>
          <w:tcPr>
            <w:tcW w:w="707" w:type="pct"/>
            <w:shd w:val="clear" w:color="auto" w:fill="auto"/>
            <w:vAlign w:val="bottom"/>
          </w:tcPr>
          <w:p w14:paraId="74DDCBDC" w14:textId="77777777" w:rsidR="00584EC1" w:rsidRDefault="00584EC1">
            <w:pPr>
              <w:rPr>
                <w:rFonts w:ascii="宋体"/>
              </w:rPr>
            </w:pPr>
          </w:p>
        </w:tc>
        <w:tc>
          <w:tcPr>
            <w:tcW w:w="5" w:type="pct"/>
            <w:shd w:val="clear" w:color="auto" w:fill="auto"/>
            <w:vAlign w:val="bottom"/>
          </w:tcPr>
          <w:p w14:paraId="74DDCBDD" w14:textId="77777777" w:rsidR="00584EC1" w:rsidRDefault="00584EC1">
            <w:pPr>
              <w:rPr>
                <w:rFonts w:ascii="宋体"/>
              </w:rPr>
            </w:pPr>
          </w:p>
        </w:tc>
        <w:tc>
          <w:tcPr>
            <w:tcW w:w="5" w:type="pct"/>
            <w:shd w:val="clear" w:color="auto" w:fill="auto"/>
            <w:vAlign w:val="bottom"/>
          </w:tcPr>
          <w:p w14:paraId="74DDCBDE" w14:textId="77777777" w:rsidR="00584EC1" w:rsidRDefault="00584EC1">
            <w:pPr>
              <w:rPr>
                <w:rFonts w:ascii="宋体"/>
              </w:rPr>
            </w:pPr>
          </w:p>
        </w:tc>
        <w:tc>
          <w:tcPr>
            <w:tcW w:w="26" w:type="pct"/>
            <w:shd w:val="clear" w:color="auto" w:fill="auto"/>
            <w:vAlign w:val="bottom"/>
          </w:tcPr>
          <w:p w14:paraId="74DDCBDF" w14:textId="77777777" w:rsidR="00584EC1" w:rsidRDefault="00584EC1">
            <w:pPr>
              <w:rPr>
                <w:rFonts w:ascii="宋体"/>
              </w:rPr>
            </w:pPr>
          </w:p>
        </w:tc>
        <w:tc>
          <w:tcPr>
            <w:tcW w:w="5" w:type="pct"/>
            <w:shd w:val="clear" w:color="auto" w:fill="auto"/>
            <w:vAlign w:val="bottom"/>
          </w:tcPr>
          <w:p w14:paraId="74DDCBE0" w14:textId="77777777" w:rsidR="00584EC1" w:rsidRDefault="00584EC1">
            <w:pPr>
              <w:rPr>
                <w:rFonts w:ascii="宋体"/>
              </w:rPr>
            </w:pPr>
          </w:p>
        </w:tc>
        <w:tc>
          <w:tcPr>
            <w:tcW w:w="50" w:type="pct"/>
            <w:shd w:val="clear" w:color="auto" w:fill="auto"/>
            <w:vAlign w:val="bottom"/>
          </w:tcPr>
          <w:p w14:paraId="74DDCBE1" w14:textId="77777777" w:rsidR="00584EC1" w:rsidRDefault="00584EC1">
            <w:pPr>
              <w:rPr>
                <w:rFonts w:ascii="宋体"/>
              </w:rPr>
            </w:pPr>
          </w:p>
        </w:tc>
        <w:tc>
          <w:tcPr>
            <w:tcW w:w="707" w:type="pct"/>
            <w:shd w:val="clear" w:color="auto" w:fill="auto"/>
            <w:vAlign w:val="bottom"/>
          </w:tcPr>
          <w:p w14:paraId="74DDCBE2" w14:textId="77777777" w:rsidR="00584EC1" w:rsidRDefault="00584EC1">
            <w:pPr>
              <w:rPr>
                <w:rFonts w:ascii="宋体"/>
              </w:rPr>
            </w:pPr>
          </w:p>
        </w:tc>
        <w:tc>
          <w:tcPr>
            <w:tcW w:w="5" w:type="pct"/>
            <w:shd w:val="clear" w:color="auto" w:fill="auto"/>
            <w:vAlign w:val="bottom"/>
          </w:tcPr>
          <w:p w14:paraId="74DDCBE3" w14:textId="77777777" w:rsidR="00584EC1" w:rsidRDefault="00584EC1">
            <w:pPr>
              <w:rPr>
                <w:rFonts w:ascii="宋体"/>
              </w:rPr>
            </w:pPr>
          </w:p>
        </w:tc>
        <w:tc>
          <w:tcPr>
            <w:tcW w:w="5" w:type="pct"/>
            <w:shd w:val="clear" w:color="auto" w:fill="auto"/>
            <w:vAlign w:val="bottom"/>
          </w:tcPr>
          <w:p w14:paraId="74DDCBE4" w14:textId="77777777" w:rsidR="00584EC1" w:rsidRDefault="00584EC1">
            <w:pPr>
              <w:rPr>
                <w:rFonts w:ascii="宋体"/>
              </w:rPr>
            </w:pPr>
          </w:p>
        </w:tc>
        <w:tc>
          <w:tcPr>
            <w:tcW w:w="26" w:type="pct"/>
            <w:shd w:val="clear" w:color="auto" w:fill="auto"/>
            <w:vAlign w:val="bottom"/>
          </w:tcPr>
          <w:p w14:paraId="74DDCBE5" w14:textId="77777777" w:rsidR="00584EC1" w:rsidRDefault="00584EC1">
            <w:pPr>
              <w:rPr>
                <w:rFonts w:ascii="宋体"/>
              </w:rPr>
            </w:pPr>
          </w:p>
        </w:tc>
        <w:tc>
          <w:tcPr>
            <w:tcW w:w="5" w:type="pct"/>
            <w:shd w:val="clear" w:color="auto" w:fill="auto"/>
            <w:vAlign w:val="bottom"/>
          </w:tcPr>
          <w:p w14:paraId="74DDCBE6" w14:textId="77777777" w:rsidR="00584EC1" w:rsidRDefault="00584EC1">
            <w:pPr>
              <w:rPr>
                <w:rFonts w:ascii="宋体"/>
              </w:rPr>
            </w:pPr>
          </w:p>
        </w:tc>
        <w:tc>
          <w:tcPr>
            <w:tcW w:w="50" w:type="pct"/>
            <w:shd w:val="clear" w:color="auto" w:fill="auto"/>
            <w:vAlign w:val="bottom"/>
          </w:tcPr>
          <w:p w14:paraId="74DDCBE7" w14:textId="77777777" w:rsidR="00584EC1" w:rsidRDefault="00584EC1">
            <w:pPr>
              <w:rPr>
                <w:rFonts w:ascii="宋体"/>
              </w:rPr>
            </w:pPr>
          </w:p>
        </w:tc>
        <w:tc>
          <w:tcPr>
            <w:tcW w:w="707" w:type="pct"/>
            <w:shd w:val="clear" w:color="auto" w:fill="auto"/>
            <w:vAlign w:val="bottom"/>
          </w:tcPr>
          <w:p w14:paraId="74DDCBE8" w14:textId="77777777" w:rsidR="00584EC1" w:rsidRDefault="00584EC1">
            <w:pPr>
              <w:rPr>
                <w:rFonts w:ascii="宋体"/>
              </w:rPr>
            </w:pPr>
          </w:p>
        </w:tc>
        <w:tc>
          <w:tcPr>
            <w:tcW w:w="5" w:type="pct"/>
            <w:shd w:val="clear" w:color="auto" w:fill="auto"/>
            <w:vAlign w:val="bottom"/>
          </w:tcPr>
          <w:p w14:paraId="74DDCBE9" w14:textId="77777777" w:rsidR="00584EC1" w:rsidRDefault="00584EC1">
            <w:pPr>
              <w:rPr>
                <w:rFonts w:ascii="宋体"/>
              </w:rPr>
            </w:pPr>
          </w:p>
        </w:tc>
      </w:tr>
      <w:tr w:rsidR="00584EC1" w14:paraId="74DDCBF1" w14:textId="77777777">
        <w:tc>
          <w:tcPr>
            <w:tcW w:w="0" w:type="auto"/>
            <w:gridSpan w:val="3"/>
            <w:shd w:val="clear" w:color="auto" w:fill="auto"/>
            <w:tcMar>
              <w:top w:w="40" w:type="dxa"/>
              <w:left w:w="20" w:type="dxa"/>
              <w:bottom w:w="40" w:type="dxa"/>
              <w:right w:w="20" w:type="dxa"/>
            </w:tcMar>
            <w:vAlign w:val="bottom"/>
          </w:tcPr>
          <w:p w14:paraId="74DDCBEB" w14:textId="77777777" w:rsidR="00584EC1" w:rsidRDefault="00871F8D">
            <w:pPr>
              <w:textAlignment w:val="bottom"/>
            </w:pPr>
            <w:r>
              <w:rPr>
                <w:rFonts w:ascii="Arial" w:eastAsia="宋体" w:hAnsi="Arial" w:cs="Arial"/>
                <w:color w:val="000000"/>
                <w:sz w:val="13"/>
                <w:szCs w:val="13"/>
              </w:rPr>
              <w:t> </w:t>
            </w:r>
          </w:p>
        </w:tc>
        <w:tc>
          <w:tcPr>
            <w:tcW w:w="0" w:type="auto"/>
            <w:gridSpan w:val="3"/>
            <w:shd w:val="clear" w:color="auto" w:fill="auto"/>
            <w:tcMar>
              <w:top w:w="0" w:type="dxa"/>
              <w:left w:w="20" w:type="dxa"/>
              <w:bottom w:w="0" w:type="dxa"/>
              <w:right w:w="20" w:type="dxa"/>
            </w:tcMar>
            <w:vAlign w:val="bottom"/>
          </w:tcPr>
          <w:p w14:paraId="74DDCBEC"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BED"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BEE"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BEF" w14:textId="77777777" w:rsidR="00584EC1" w:rsidRDefault="00584EC1">
            <w:pPr>
              <w:rPr>
                <w:rFonts w:ascii="宋体"/>
              </w:rPr>
            </w:pPr>
          </w:p>
        </w:tc>
        <w:tc>
          <w:tcPr>
            <w:tcW w:w="0" w:type="auto"/>
            <w:gridSpan w:val="15"/>
            <w:shd w:val="clear" w:color="auto" w:fill="auto"/>
            <w:tcMar>
              <w:top w:w="40" w:type="dxa"/>
              <w:left w:w="20" w:type="dxa"/>
              <w:bottom w:w="40" w:type="dxa"/>
              <w:right w:w="20" w:type="dxa"/>
            </w:tcMar>
            <w:vAlign w:val="bottom"/>
          </w:tcPr>
          <w:p w14:paraId="74DDCBF0" w14:textId="77777777" w:rsidR="00584EC1" w:rsidRDefault="00871F8D">
            <w:pPr>
              <w:jc w:val="center"/>
              <w:textAlignment w:val="bottom"/>
            </w:pPr>
            <w:r>
              <w:rPr>
                <w:rFonts w:ascii="Arial" w:eastAsia="宋体" w:hAnsi="Arial" w:cs="Arial"/>
                <w:b/>
                <w:bCs/>
                <w:color w:val="000000"/>
                <w:sz w:val="13"/>
                <w:szCs w:val="13"/>
              </w:rPr>
              <w:t>Fair Value Hierarchy</w:t>
            </w:r>
          </w:p>
        </w:tc>
      </w:tr>
      <w:tr w:rsidR="00584EC1" w14:paraId="74DDCBFC" w14:textId="77777777">
        <w:tc>
          <w:tcPr>
            <w:tcW w:w="0" w:type="auto"/>
            <w:gridSpan w:val="3"/>
            <w:shd w:val="clear" w:color="auto" w:fill="auto"/>
            <w:tcMar>
              <w:top w:w="40" w:type="dxa"/>
              <w:left w:w="20" w:type="dxa"/>
              <w:bottom w:w="40" w:type="dxa"/>
              <w:right w:w="20" w:type="dxa"/>
            </w:tcMar>
            <w:vAlign w:val="bottom"/>
          </w:tcPr>
          <w:p w14:paraId="74DDCBF2" w14:textId="77777777" w:rsidR="00584EC1" w:rsidRDefault="00871F8D">
            <w:pPr>
              <w:textAlignment w:val="bottom"/>
            </w:pPr>
            <w:r>
              <w:rPr>
                <w:rFonts w:ascii="Arial" w:eastAsia="宋体" w:hAnsi="Arial" w:cs="Arial"/>
                <w:b/>
                <w:bCs/>
                <w:color w:val="000000"/>
                <w:sz w:val="13"/>
                <w:szCs w:val="13"/>
              </w:rPr>
              <w:t>(In millions)</w:t>
            </w:r>
          </w:p>
        </w:tc>
        <w:tc>
          <w:tcPr>
            <w:tcW w:w="0" w:type="auto"/>
            <w:gridSpan w:val="3"/>
            <w:shd w:val="clear" w:color="auto" w:fill="auto"/>
            <w:tcMar>
              <w:top w:w="40" w:type="dxa"/>
              <w:left w:w="20" w:type="dxa"/>
              <w:bottom w:w="40" w:type="dxa"/>
              <w:right w:w="20" w:type="dxa"/>
            </w:tcMar>
            <w:vAlign w:val="bottom"/>
          </w:tcPr>
          <w:p w14:paraId="74DDCBF3" w14:textId="77777777" w:rsidR="00584EC1" w:rsidRDefault="00871F8D">
            <w:pPr>
              <w:jc w:val="center"/>
              <w:textAlignment w:val="bottom"/>
            </w:pPr>
            <w:r>
              <w:rPr>
                <w:rFonts w:ascii="Arial" w:eastAsia="宋体" w:hAnsi="Arial" w:cs="Arial"/>
                <w:b/>
                <w:bCs/>
                <w:color w:val="000000"/>
                <w:sz w:val="13"/>
                <w:szCs w:val="13"/>
              </w:rPr>
              <w:t>Reported Amount </w:t>
            </w:r>
          </w:p>
        </w:tc>
        <w:tc>
          <w:tcPr>
            <w:tcW w:w="0" w:type="auto"/>
            <w:gridSpan w:val="3"/>
            <w:shd w:val="clear" w:color="auto" w:fill="auto"/>
            <w:tcMar>
              <w:top w:w="0" w:type="dxa"/>
              <w:left w:w="20" w:type="dxa"/>
              <w:bottom w:w="0" w:type="dxa"/>
              <w:right w:w="20" w:type="dxa"/>
            </w:tcMar>
            <w:vAlign w:val="bottom"/>
          </w:tcPr>
          <w:p w14:paraId="74DDCBF4"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CBF5" w14:textId="77777777" w:rsidR="00584EC1" w:rsidRDefault="00871F8D">
            <w:pPr>
              <w:jc w:val="center"/>
              <w:textAlignment w:val="bottom"/>
            </w:pPr>
            <w:r>
              <w:rPr>
                <w:rFonts w:ascii="Arial" w:eastAsia="宋体" w:hAnsi="Arial" w:cs="Arial"/>
                <w:b/>
                <w:bCs/>
                <w:color w:val="000000"/>
                <w:sz w:val="13"/>
                <w:szCs w:val="13"/>
              </w:rPr>
              <w:t>Estimated Fair Value</w:t>
            </w:r>
          </w:p>
        </w:tc>
        <w:tc>
          <w:tcPr>
            <w:tcW w:w="0" w:type="auto"/>
            <w:gridSpan w:val="3"/>
            <w:shd w:val="clear" w:color="auto" w:fill="auto"/>
            <w:tcMar>
              <w:top w:w="0" w:type="dxa"/>
              <w:left w:w="20" w:type="dxa"/>
              <w:bottom w:w="0" w:type="dxa"/>
              <w:right w:w="20" w:type="dxa"/>
            </w:tcMar>
            <w:vAlign w:val="bottom"/>
          </w:tcPr>
          <w:p w14:paraId="74DDCBF6"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CBF7" w14:textId="77777777" w:rsidR="00584EC1" w:rsidRDefault="00871F8D">
            <w:pPr>
              <w:jc w:val="center"/>
              <w:textAlignment w:val="bottom"/>
            </w:pPr>
            <w:r>
              <w:rPr>
                <w:rFonts w:ascii="Arial" w:eastAsia="宋体" w:hAnsi="Arial" w:cs="Arial"/>
                <w:b/>
                <w:bCs/>
                <w:color w:val="000000"/>
                <w:sz w:val="13"/>
                <w:szCs w:val="13"/>
              </w:rPr>
              <w:t>Quoted Market Prices in Active Markets (Level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BF8"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CBF9" w14:textId="77777777" w:rsidR="00584EC1" w:rsidRDefault="00871F8D">
            <w:pPr>
              <w:jc w:val="center"/>
              <w:textAlignment w:val="bottom"/>
            </w:pPr>
            <w:r>
              <w:rPr>
                <w:rFonts w:ascii="Arial" w:eastAsia="宋体" w:hAnsi="Arial" w:cs="Arial"/>
                <w:b/>
                <w:bCs/>
                <w:color w:val="000000"/>
                <w:sz w:val="13"/>
                <w:szCs w:val="13"/>
              </w:rPr>
              <w:t xml:space="preserve">Pricing Methods with </w:t>
            </w:r>
            <w:r>
              <w:rPr>
                <w:rFonts w:ascii="Arial" w:eastAsia="宋体" w:hAnsi="Arial" w:cs="Arial"/>
                <w:b/>
                <w:bCs/>
                <w:color w:val="000000"/>
                <w:sz w:val="13"/>
                <w:szCs w:val="13"/>
              </w:rPr>
              <w:t>Significant Observable Market Inputs (Level 2) </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BFA"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CBFB" w14:textId="77777777" w:rsidR="00584EC1" w:rsidRDefault="00871F8D">
            <w:pPr>
              <w:jc w:val="center"/>
              <w:textAlignment w:val="bottom"/>
            </w:pPr>
            <w:r>
              <w:rPr>
                <w:rFonts w:ascii="Arial" w:eastAsia="宋体" w:hAnsi="Arial" w:cs="Arial"/>
                <w:b/>
                <w:bCs/>
                <w:color w:val="000000"/>
                <w:sz w:val="13"/>
                <w:szCs w:val="13"/>
              </w:rPr>
              <w:t>Pricing Methods with Significant Unobservable Market Inputs (Level 3)</w:t>
            </w:r>
          </w:p>
        </w:tc>
      </w:tr>
      <w:tr w:rsidR="00584EC1" w14:paraId="74DDCC07" w14:textId="77777777">
        <w:tc>
          <w:tcPr>
            <w:tcW w:w="0" w:type="auto"/>
            <w:gridSpan w:val="3"/>
            <w:shd w:val="clear" w:color="auto" w:fill="auto"/>
            <w:tcMar>
              <w:top w:w="40" w:type="dxa"/>
              <w:left w:w="20" w:type="dxa"/>
              <w:bottom w:w="40" w:type="dxa"/>
              <w:right w:w="20" w:type="dxa"/>
            </w:tcMar>
            <w:vAlign w:val="bottom"/>
          </w:tcPr>
          <w:p w14:paraId="74DDCBFD" w14:textId="77777777" w:rsidR="00584EC1" w:rsidRDefault="00871F8D">
            <w:pPr>
              <w:textAlignment w:val="bottom"/>
            </w:pPr>
            <w:r>
              <w:rPr>
                <w:rFonts w:ascii="Arial" w:eastAsia="宋体" w:hAnsi="Arial" w:cs="Arial"/>
                <w:b/>
                <w:bCs/>
                <w:color w:val="000000"/>
                <w:sz w:val="13"/>
                <w:szCs w:val="13"/>
              </w:rPr>
              <w:t>September 30,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BFE"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BFF"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C00"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C01"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C0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C03"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C04"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C05"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C06" w14:textId="77777777" w:rsidR="00584EC1" w:rsidRDefault="00584EC1">
            <w:pPr>
              <w:rPr>
                <w:rFonts w:ascii="宋体"/>
              </w:rPr>
            </w:pPr>
          </w:p>
        </w:tc>
      </w:tr>
      <w:tr w:rsidR="00584EC1" w14:paraId="74DDCC12" w14:textId="77777777">
        <w:tc>
          <w:tcPr>
            <w:tcW w:w="0" w:type="auto"/>
            <w:gridSpan w:val="3"/>
            <w:shd w:val="clear" w:color="auto" w:fill="auto"/>
            <w:tcMar>
              <w:top w:w="40" w:type="dxa"/>
              <w:left w:w="20" w:type="dxa"/>
              <w:bottom w:w="40" w:type="dxa"/>
              <w:right w:w="20" w:type="dxa"/>
            </w:tcMar>
            <w:vAlign w:val="bottom"/>
          </w:tcPr>
          <w:p w14:paraId="74DDCC08" w14:textId="77777777" w:rsidR="00584EC1" w:rsidRDefault="00871F8D">
            <w:pPr>
              <w:textAlignment w:val="bottom"/>
            </w:pPr>
            <w:r>
              <w:rPr>
                <w:rFonts w:ascii="Arial" w:eastAsia="宋体" w:hAnsi="Arial" w:cs="Arial"/>
                <w:b/>
                <w:bCs/>
                <w:color w:val="000000"/>
                <w:sz w:val="13"/>
                <w:szCs w:val="13"/>
              </w:rPr>
              <w:t>Financial Assets:</w:t>
            </w:r>
          </w:p>
        </w:tc>
        <w:tc>
          <w:tcPr>
            <w:tcW w:w="0" w:type="auto"/>
            <w:gridSpan w:val="3"/>
            <w:shd w:val="clear" w:color="auto" w:fill="FFFFFF"/>
            <w:tcMar>
              <w:top w:w="40" w:type="dxa"/>
              <w:left w:w="20" w:type="dxa"/>
              <w:bottom w:w="40" w:type="dxa"/>
              <w:right w:w="20" w:type="dxa"/>
            </w:tcMar>
            <w:vAlign w:val="bottom"/>
          </w:tcPr>
          <w:p w14:paraId="74DDCC09" w14:textId="77777777" w:rsidR="00584EC1" w:rsidRDefault="00871F8D">
            <w:pPr>
              <w:jc w:val="right"/>
              <w:textAlignment w:val="bottom"/>
            </w:pPr>
            <w:r>
              <w:rPr>
                <w:rFonts w:ascii="Arial" w:eastAsia="宋体" w:hAnsi="Arial" w:cs="Arial"/>
                <w:color w:val="000000"/>
                <w:sz w:val="13"/>
                <w:szCs w:val="13"/>
              </w:rPr>
              <w:t> </w:t>
            </w:r>
          </w:p>
        </w:tc>
        <w:tc>
          <w:tcPr>
            <w:tcW w:w="0" w:type="auto"/>
            <w:gridSpan w:val="3"/>
            <w:shd w:val="clear" w:color="auto" w:fill="auto"/>
            <w:tcMar>
              <w:top w:w="0" w:type="dxa"/>
              <w:left w:w="20" w:type="dxa"/>
              <w:bottom w:w="0" w:type="dxa"/>
              <w:right w:w="20" w:type="dxa"/>
            </w:tcMar>
            <w:vAlign w:val="bottom"/>
          </w:tcPr>
          <w:p w14:paraId="74DDCC0A"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CC0B" w14:textId="77777777" w:rsidR="00584EC1" w:rsidRDefault="00871F8D">
            <w:pPr>
              <w:textAlignment w:val="bottom"/>
            </w:pPr>
            <w:r>
              <w:rPr>
                <w:rFonts w:ascii="Arial" w:eastAsia="宋体" w:hAnsi="Arial" w:cs="Arial"/>
                <w:color w:val="000000"/>
                <w:sz w:val="13"/>
                <w:szCs w:val="13"/>
              </w:rPr>
              <w:t> </w:t>
            </w:r>
          </w:p>
        </w:tc>
        <w:tc>
          <w:tcPr>
            <w:tcW w:w="0" w:type="auto"/>
            <w:gridSpan w:val="3"/>
            <w:shd w:val="clear" w:color="auto" w:fill="auto"/>
            <w:tcMar>
              <w:top w:w="0" w:type="dxa"/>
              <w:left w:w="20" w:type="dxa"/>
              <w:bottom w:w="0" w:type="dxa"/>
              <w:right w:w="20" w:type="dxa"/>
            </w:tcMar>
            <w:vAlign w:val="bottom"/>
          </w:tcPr>
          <w:p w14:paraId="74DDCC0C"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CC0D" w14:textId="77777777" w:rsidR="00584EC1" w:rsidRDefault="00871F8D">
            <w:pPr>
              <w:textAlignment w:val="bottom"/>
            </w:pPr>
            <w:r>
              <w:rPr>
                <w:rFonts w:ascii="Arial" w:eastAsia="宋体" w:hAnsi="Arial" w:cs="Arial"/>
                <w:color w:val="000000"/>
                <w:sz w:val="13"/>
                <w:szCs w:val="13"/>
              </w:rPr>
              <w:t> </w:t>
            </w:r>
          </w:p>
        </w:tc>
        <w:tc>
          <w:tcPr>
            <w:tcW w:w="0" w:type="auto"/>
            <w:gridSpan w:val="3"/>
            <w:shd w:val="clear" w:color="auto" w:fill="auto"/>
            <w:tcMar>
              <w:top w:w="0" w:type="dxa"/>
              <w:left w:w="20" w:type="dxa"/>
              <w:bottom w:w="0" w:type="dxa"/>
              <w:right w:w="20" w:type="dxa"/>
            </w:tcMar>
            <w:vAlign w:val="bottom"/>
          </w:tcPr>
          <w:p w14:paraId="74DDCC0E"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CC0F" w14:textId="77777777" w:rsidR="00584EC1" w:rsidRDefault="00871F8D">
            <w:pPr>
              <w:textAlignment w:val="bottom"/>
            </w:pPr>
            <w:r>
              <w:rPr>
                <w:rFonts w:ascii="Arial" w:eastAsia="宋体" w:hAnsi="Arial" w:cs="Arial"/>
                <w:color w:val="000000"/>
                <w:sz w:val="13"/>
                <w:szCs w:val="13"/>
              </w:rPr>
              <w:t> </w:t>
            </w:r>
          </w:p>
        </w:tc>
        <w:tc>
          <w:tcPr>
            <w:tcW w:w="0" w:type="auto"/>
            <w:gridSpan w:val="3"/>
            <w:shd w:val="clear" w:color="auto" w:fill="auto"/>
            <w:tcMar>
              <w:top w:w="0" w:type="dxa"/>
              <w:left w:w="20" w:type="dxa"/>
              <w:bottom w:w="0" w:type="dxa"/>
              <w:right w:w="20" w:type="dxa"/>
            </w:tcMar>
            <w:vAlign w:val="bottom"/>
          </w:tcPr>
          <w:p w14:paraId="74DDCC10"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C11" w14:textId="77777777" w:rsidR="00584EC1" w:rsidRDefault="00584EC1">
            <w:pPr>
              <w:rPr>
                <w:rFonts w:ascii="宋体"/>
              </w:rPr>
            </w:pPr>
          </w:p>
        </w:tc>
      </w:tr>
      <w:tr w:rsidR="00584EC1" w14:paraId="74DDCC26" w14:textId="77777777">
        <w:tc>
          <w:tcPr>
            <w:tcW w:w="0" w:type="auto"/>
            <w:gridSpan w:val="3"/>
            <w:shd w:val="clear" w:color="auto" w:fill="CCEEFF"/>
            <w:tcMar>
              <w:top w:w="40" w:type="dxa"/>
              <w:left w:w="20" w:type="dxa"/>
              <w:bottom w:w="40" w:type="dxa"/>
              <w:right w:w="20" w:type="dxa"/>
            </w:tcMar>
            <w:vAlign w:val="bottom"/>
          </w:tcPr>
          <w:p w14:paraId="74DDCC13" w14:textId="77777777" w:rsidR="00584EC1" w:rsidRDefault="00871F8D">
            <w:pPr>
              <w:textAlignment w:val="bottom"/>
            </w:pPr>
            <w:r>
              <w:rPr>
                <w:rFonts w:ascii="Arial" w:eastAsia="宋体" w:hAnsi="Arial" w:cs="Arial"/>
                <w:color w:val="000000"/>
                <w:sz w:val="13"/>
                <w:szCs w:val="13"/>
              </w:rPr>
              <w:t>Cash and due from banks</w:t>
            </w:r>
          </w:p>
        </w:tc>
        <w:tc>
          <w:tcPr>
            <w:tcW w:w="0" w:type="auto"/>
            <w:shd w:val="clear" w:color="auto" w:fill="CCEEFF"/>
            <w:tcMar>
              <w:top w:w="40" w:type="dxa"/>
              <w:left w:w="20" w:type="dxa"/>
              <w:bottom w:w="40" w:type="dxa"/>
              <w:right w:w="0" w:type="dxa"/>
            </w:tcMar>
            <w:vAlign w:val="bottom"/>
          </w:tcPr>
          <w:p w14:paraId="74DDCC14" w14:textId="77777777" w:rsidR="00584EC1" w:rsidRDefault="00871F8D">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4DDCC15" w14:textId="77777777" w:rsidR="00584EC1" w:rsidRDefault="00871F8D">
            <w:pPr>
              <w:jc w:val="right"/>
              <w:textAlignment w:val="bottom"/>
            </w:pPr>
            <w:r>
              <w:rPr>
                <w:rFonts w:ascii="Arial" w:eastAsia="宋体" w:hAnsi="Arial" w:cs="Arial"/>
                <w:b/>
                <w:bCs/>
                <w:color w:val="000000"/>
                <w:sz w:val="13"/>
                <w:szCs w:val="13"/>
              </w:rPr>
              <w:t>4,606</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CC1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C1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CC18" w14:textId="77777777" w:rsidR="00584EC1" w:rsidRDefault="00871F8D">
            <w:pPr>
              <w:jc w:val="right"/>
              <w:textAlignment w:val="bottom"/>
            </w:pPr>
            <w:r>
              <w:rPr>
                <w:rFonts w:ascii="Arial" w:eastAsia="宋体" w:hAnsi="Arial" w:cs="Arial"/>
                <w:b/>
                <w:bCs/>
                <w:color w:val="000000"/>
                <w:sz w:val="13"/>
                <w:szCs w:val="13"/>
              </w:rPr>
              <w:t>4,606</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CC1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C1A"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CC1B" w14:textId="77777777" w:rsidR="00584EC1" w:rsidRDefault="00871F8D">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4DDCC1C" w14:textId="77777777" w:rsidR="00584EC1" w:rsidRDefault="00871F8D">
            <w:pPr>
              <w:jc w:val="right"/>
              <w:textAlignment w:val="bottom"/>
            </w:pPr>
            <w:r>
              <w:rPr>
                <w:rFonts w:ascii="Arial" w:eastAsia="宋体" w:hAnsi="Arial" w:cs="Arial"/>
                <w:b/>
                <w:bCs/>
                <w:color w:val="000000"/>
                <w:sz w:val="13"/>
                <w:szCs w:val="13"/>
              </w:rPr>
              <w:t>4,606</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CC1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C1E"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CC1F" w14:textId="77777777" w:rsidR="00584EC1" w:rsidRDefault="00871F8D">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4DDCC20" w14:textId="77777777" w:rsidR="00584EC1" w:rsidRDefault="00871F8D">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CC2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C22"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CC23" w14:textId="77777777" w:rsidR="00584EC1" w:rsidRDefault="00871F8D">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4DDCC24" w14:textId="77777777" w:rsidR="00584EC1" w:rsidRDefault="00871F8D">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CC25" w14:textId="77777777" w:rsidR="00584EC1" w:rsidRDefault="00584EC1">
            <w:pPr>
              <w:jc w:val="right"/>
              <w:rPr>
                <w:rFonts w:ascii="宋体"/>
              </w:rPr>
            </w:pPr>
          </w:p>
        </w:tc>
      </w:tr>
      <w:tr w:rsidR="00584EC1" w14:paraId="74DDCC36" w14:textId="77777777">
        <w:tc>
          <w:tcPr>
            <w:tcW w:w="0" w:type="auto"/>
            <w:gridSpan w:val="3"/>
            <w:shd w:val="clear" w:color="auto" w:fill="FFFFFF"/>
            <w:tcMar>
              <w:top w:w="40" w:type="dxa"/>
              <w:left w:w="20" w:type="dxa"/>
              <w:bottom w:w="40" w:type="dxa"/>
              <w:right w:w="20" w:type="dxa"/>
            </w:tcMar>
            <w:vAlign w:val="bottom"/>
          </w:tcPr>
          <w:p w14:paraId="74DDCC27" w14:textId="77777777" w:rsidR="00584EC1" w:rsidRDefault="00871F8D">
            <w:pPr>
              <w:textAlignment w:val="bottom"/>
            </w:pPr>
            <w:r>
              <w:rPr>
                <w:rFonts w:ascii="Arial" w:eastAsia="宋体" w:hAnsi="Arial" w:cs="Arial"/>
                <w:color w:val="000000"/>
                <w:sz w:val="13"/>
                <w:szCs w:val="13"/>
              </w:rPr>
              <w:t>Interest-bearing deposits with banks</w:t>
            </w:r>
          </w:p>
        </w:tc>
        <w:tc>
          <w:tcPr>
            <w:tcW w:w="0" w:type="auto"/>
            <w:gridSpan w:val="2"/>
            <w:shd w:val="clear" w:color="auto" w:fill="FFFFFF"/>
            <w:tcMar>
              <w:top w:w="40" w:type="dxa"/>
              <w:left w:w="20" w:type="dxa"/>
              <w:bottom w:w="40" w:type="dxa"/>
              <w:right w:w="0" w:type="dxa"/>
            </w:tcMar>
            <w:vAlign w:val="bottom"/>
          </w:tcPr>
          <w:p w14:paraId="74DDCC28" w14:textId="77777777" w:rsidR="00584EC1" w:rsidRDefault="00871F8D">
            <w:pPr>
              <w:jc w:val="right"/>
              <w:textAlignment w:val="bottom"/>
            </w:pPr>
            <w:r>
              <w:rPr>
                <w:rFonts w:ascii="Arial" w:eastAsia="宋体" w:hAnsi="Arial" w:cs="Arial"/>
                <w:b/>
                <w:bCs/>
                <w:color w:val="000000"/>
                <w:sz w:val="13"/>
                <w:szCs w:val="13"/>
              </w:rPr>
              <w:t>107,553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CC2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C2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CC2B" w14:textId="77777777" w:rsidR="00584EC1" w:rsidRDefault="00871F8D">
            <w:pPr>
              <w:jc w:val="right"/>
              <w:textAlignment w:val="bottom"/>
            </w:pPr>
            <w:r>
              <w:rPr>
                <w:rFonts w:ascii="Arial" w:eastAsia="宋体" w:hAnsi="Arial" w:cs="Arial"/>
                <w:b/>
                <w:bCs/>
                <w:color w:val="000000"/>
                <w:sz w:val="13"/>
                <w:szCs w:val="13"/>
              </w:rPr>
              <w:t>107,553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CC2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C2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CC2E" w14:textId="77777777" w:rsidR="00584EC1" w:rsidRDefault="00871F8D">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CC2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C3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CC31" w14:textId="77777777" w:rsidR="00584EC1" w:rsidRDefault="00871F8D">
            <w:pPr>
              <w:jc w:val="right"/>
              <w:textAlignment w:val="bottom"/>
            </w:pPr>
            <w:r>
              <w:rPr>
                <w:rFonts w:ascii="Arial" w:eastAsia="宋体" w:hAnsi="Arial" w:cs="Arial"/>
                <w:b/>
                <w:bCs/>
                <w:color w:val="000000"/>
                <w:sz w:val="13"/>
                <w:szCs w:val="13"/>
              </w:rPr>
              <w:t>107,553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CC3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C3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CC34" w14:textId="77777777" w:rsidR="00584EC1" w:rsidRDefault="00871F8D">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CC35" w14:textId="77777777" w:rsidR="00584EC1" w:rsidRDefault="00584EC1">
            <w:pPr>
              <w:jc w:val="right"/>
              <w:rPr>
                <w:rFonts w:ascii="宋体"/>
              </w:rPr>
            </w:pPr>
          </w:p>
        </w:tc>
      </w:tr>
      <w:tr w:rsidR="00584EC1" w14:paraId="74DDCC46" w14:textId="77777777">
        <w:tc>
          <w:tcPr>
            <w:tcW w:w="0" w:type="auto"/>
            <w:gridSpan w:val="3"/>
            <w:shd w:val="clear" w:color="auto" w:fill="CCEEFF"/>
            <w:tcMar>
              <w:top w:w="40" w:type="dxa"/>
              <w:left w:w="20" w:type="dxa"/>
              <w:bottom w:w="40" w:type="dxa"/>
              <w:right w:w="20" w:type="dxa"/>
            </w:tcMar>
            <w:vAlign w:val="bottom"/>
          </w:tcPr>
          <w:p w14:paraId="74DDCC37" w14:textId="77777777" w:rsidR="00584EC1" w:rsidRDefault="00871F8D">
            <w:pPr>
              <w:textAlignment w:val="bottom"/>
            </w:pPr>
            <w:r>
              <w:rPr>
                <w:rFonts w:ascii="Arial" w:eastAsia="宋体" w:hAnsi="Arial" w:cs="Arial"/>
                <w:color w:val="000000"/>
                <w:sz w:val="13"/>
                <w:szCs w:val="13"/>
              </w:rPr>
              <w:t>Securities purchased under resale agreements</w:t>
            </w:r>
          </w:p>
        </w:tc>
        <w:tc>
          <w:tcPr>
            <w:tcW w:w="0" w:type="auto"/>
            <w:gridSpan w:val="2"/>
            <w:shd w:val="clear" w:color="auto" w:fill="CCEEFF"/>
            <w:tcMar>
              <w:top w:w="40" w:type="dxa"/>
              <w:left w:w="20" w:type="dxa"/>
              <w:bottom w:w="40" w:type="dxa"/>
              <w:right w:w="0" w:type="dxa"/>
            </w:tcMar>
            <w:vAlign w:val="bottom"/>
          </w:tcPr>
          <w:p w14:paraId="74DDCC38" w14:textId="77777777" w:rsidR="00584EC1" w:rsidRDefault="00871F8D">
            <w:pPr>
              <w:jc w:val="right"/>
              <w:textAlignment w:val="bottom"/>
            </w:pPr>
            <w:r>
              <w:rPr>
                <w:rFonts w:ascii="Arial" w:eastAsia="宋体" w:hAnsi="Arial" w:cs="Arial"/>
                <w:b/>
                <w:bCs/>
                <w:color w:val="000000"/>
                <w:sz w:val="13"/>
                <w:szCs w:val="13"/>
              </w:rPr>
              <w:t>2,847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CC3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C3A"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CC3B" w14:textId="77777777" w:rsidR="00584EC1" w:rsidRDefault="00871F8D">
            <w:pPr>
              <w:jc w:val="right"/>
              <w:textAlignment w:val="bottom"/>
            </w:pPr>
            <w:r>
              <w:rPr>
                <w:rFonts w:ascii="Arial" w:eastAsia="宋体" w:hAnsi="Arial" w:cs="Arial"/>
                <w:b/>
                <w:bCs/>
                <w:color w:val="000000"/>
                <w:sz w:val="13"/>
                <w:szCs w:val="13"/>
              </w:rPr>
              <w:t>2,847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CC3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C3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CC3E" w14:textId="77777777" w:rsidR="00584EC1" w:rsidRDefault="00871F8D">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CC3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C4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CC41" w14:textId="77777777" w:rsidR="00584EC1" w:rsidRDefault="00871F8D">
            <w:pPr>
              <w:jc w:val="right"/>
              <w:textAlignment w:val="bottom"/>
            </w:pPr>
            <w:r>
              <w:rPr>
                <w:rFonts w:ascii="Arial" w:eastAsia="宋体" w:hAnsi="Arial" w:cs="Arial"/>
                <w:b/>
                <w:bCs/>
                <w:color w:val="000000"/>
                <w:sz w:val="13"/>
                <w:szCs w:val="13"/>
              </w:rPr>
              <w:t>2,847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CC4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C43"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CC44" w14:textId="77777777" w:rsidR="00584EC1" w:rsidRDefault="00871F8D">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CC45" w14:textId="77777777" w:rsidR="00584EC1" w:rsidRDefault="00584EC1">
            <w:pPr>
              <w:jc w:val="right"/>
              <w:rPr>
                <w:rFonts w:ascii="宋体"/>
              </w:rPr>
            </w:pPr>
          </w:p>
        </w:tc>
      </w:tr>
      <w:tr w:rsidR="00584EC1" w14:paraId="74DDCC51" w14:textId="77777777">
        <w:trPr>
          <w:hidden/>
        </w:trPr>
        <w:tc>
          <w:tcPr>
            <w:tcW w:w="0" w:type="auto"/>
            <w:gridSpan w:val="3"/>
            <w:shd w:val="clear" w:color="auto" w:fill="auto"/>
            <w:vAlign w:val="bottom"/>
          </w:tcPr>
          <w:p w14:paraId="74DDCC47" w14:textId="77777777" w:rsidR="00584EC1" w:rsidRDefault="00584EC1">
            <w:pPr>
              <w:rPr>
                <w:rFonts w:ascii="宋体"/>
                <w:vanish/>
              </w:rPr>
            </w:pPr>
          </w:p>
        </w:tc>
        <w:tc>
          <w:tcPr>
            <w:tcW w:w="0" w:type="auto"/>
            <w:gridSpan w:val="3"/>
            <w:shd w:val="clear" w:color="auto" w:fill="auto"/>
            <w:vAlign w:val="bottom"/>
          </w:tcPr>
          <w:p w14:paraId="74DDCC48" w14:textId="77777777" w:rsidR="00584EC1" w:rsidRDefault="00584EC1">
            <w:pPr>
              <w:rPr>
                <w:rFonts w:ascii="宋体"/>
                <w:vanish/>
              </w:rPr>
            </w:pPr>
          </w:p>
        </w:tc>
        <w:tc>
          <w:tcPr>
            <w:tcW w:w="0" w:type="auto"/>
            <w:gridSpan w:val="3"/>
            <w:shd w:val="clear" w:color="auto" w:fill="auto"/>
            <w:vAlign w:val="bottom"/>
          </w:tcPr>
          <w:p w14:paraId="74DDCC49" w14:textId="77777777" w:rsidR="00584EC1" w:rsidRDefault="00584EC1">
            <w:pPr>
              <w:rPr>
                <w:rFonts w:ascii="宋体"/>
                <w:vanish/>
              </w:rPr>
            </w:pPr>
          </w:p>
        </w:tc>
        <w:tc>
          <w:tcPr>
            <w:tcW w:w="0" w:type="auto"/>
            <w:gridSpan w:val="3"/>
            <w:shd w:val="clear" w:color="auto" w:fill="auto"/>
            <w:vAlign w:val="bottom"/>
          </w:tcPr>
          <w:p w14:paraId="74DDCC4A" w14:textId="77777777" w:rsidR="00584EC1" w:rsidRDefault="00584EC1">
            <w:pPr>
              <w:rPr>
                <w:rFonts w:ascii="宋体"/>
                <w:vanish/>
              </w:rPr>
            </w:pPr>
          </w:p>
        </w:tc>
        <w:tc>
          <w:tcPr>
            <w:tcW w:w="0" w:type="auto"/>
            <w:gridSpan w:val="3"/>
            <w:shd w:val="clear" w:color="auto" w:fill="auto"/>
            <w:vAlign w:val="bottom"/>
          </w:tcPr>
          <w:p w14:paraId="74DDCC4B" w14:textId="77777777" w:rsidR="00584EC1" w:rsidRDefault="00584EC1">
            <w:pPr>
              <w:rPr>
                <w:rFonts w:ascii="宋体"/>
                <w:vanish/>
              </w:rPr>
            </w:pPr>
          </w:p>
        </w:tc>
        <w:tc>
          <w:tcPr>
            <w:tcW w:w="0" w:type="auto"/>
            <w:gridSpan w:val="3"/>
            <w:shd w:val="clear" w:color="auto" w:fill="auto"/>
            <w:vAlign w:val="bottom"/>
          </w:tcPr>
          <w:p w14:paraId="74DDCC4C" w14:textId="77777777" w:rsidR="00584EC1" w:rsidRDefault="00584EC1">
            <w:pPr>
              <w:rPr>
                <w:rFonts w:ascii="宋体"/>
                <w:vanish/>
              </w:rPr>
            </w:pPr>
          </w:p>
        </w:tc>
        <w:tc>
          <w:tcPr>
            <w:tcW w:w="0" w:type="auto"/>
            <w:gridSpan w:val="3"/>
            <w:shd w:val="clear" w:color="auto" w:fill="auto"/>
            <w:vAlign w:val="bottom"/>
          </w:tcPr>
          <w:p w14:paraId="74DDCC4D" w14:textId="77777777" w:rsidR="00584EC1" w:rsidRDefault="00584EC1">
            <w:pPr>
              <w:rPr>
                <w:rFonts w:ascii="宋体"/>
                <w:vanish/>
              </w:rPr>
            </w:pPr>
          </w:p>
        </w:tc>
        <w:tc>
          <w:tcPr>
            <w:tcW w:w="0" w:type="auto"/>
            <w:gridSpan w:val="3"/>
            <w:shd w:val="clear" w:color="auto" w:fill="auto"/>
            <w:vAlign w:val="bottom"/>
          </w:tcPr>
          <w:p w14:paraId="74DDCC4E" w14:textId="77777777" w:rsidR="00584EC1" w:rsidRDefault="00584EC1">
            <w:pPr>
              <w:rPr>
                <w:rFonts w:ascii="宋体"/>
                <w:vanish/>
              </w:rPr>
            </w:pPr>
          </w:p>
        </w:tc>
        <w:tc>
          <w:tcPr>
            <w:tcW w:w="0" w:type="auto"/>
            <w:gridSpan w:val="3"/>
            <w:shd w:val="clear" w:color="auto" w:fill="auto"/>
            <w:vAlign w:val="bottom"/>
          </w:tcPr>
          <w:p w14:paraId="74DDCC4F" w14:textId="77777777" w:rsidR="00584EC1" w:rsidRDefault="00584EC1">
            <w:pPr>
              <w:rPr>
                <w:rFonts w:ascii="宋体"/>
                <w:vanish/>
              </w:rPr>
            </w:pPr>
          </w:p>
        </w:tc>
        <w:tc>
          <w:tcPr>
            <w:tcW w:w="0" w:type="auto"/>
            <w:gridSpan w:val="3"/>
            <w:shd w:val="clear" w:color="auto" w:fill="auto"/>
            <w:vAlign w:val="bottom"/>
          </w:tcPr>
          <w:p w14:paraId="74DDCC50" w14:textId="77777777" w:rsidR="00584EC1" w:rsidRDefault="00584EC1">
            <w:pPr>
              <w:rPr>
                <w:rFonts w:ascii="宋体"/>
                <w:vanish/>
              </w:rPr>
            </w:pPr>
          </w:p>
        </w:tc>
      </w:tr>
      <w:tr w:rsidR="00584EC1" w14:paraId="74DDCC61" w14:textId="77777777">
        <w:tc>
          <w:tcPr>
            <w:tcW w:w="0" w:type="auto"/>
            <w:gridSpan w:val="3"/>
            <w:shd w:val="clear" w:color="auto" w:fill="FFFFFF"/>
            <w:tcMar>
              <w:top w:w="40" w:type="dxa"/>
              <w:left w:w="20" w:type="dxa"/>
              <w:bottom w:w="40" w:type="dxa"/>
              <w:right w:w="20" w:type="dxa"/>
            </w:tcMar>
            <w:vAlign w:val="bottom"/>
          </w:tcPr>
          <w:p w14:paraId="74DDCC52" w14:textId="77777777" w:rsidR="00584EC1" w:rsidRDefault="00871F8D">
            <w:pPr>
              <w:textAlignment w:val="bottom"/>
            </w:pPr>
            <w:r>
              <w:rPr>
                <w:rFonts w:ascii="Arial" w:eastAsia="宋体" w:hAnsi="Arial" w:cs="Arial"/>
                <w:color w:val="000000"/>
                <w:sz w:val="13"/>
                <w:szCs w:val="13"/>
              </w:rPr>
              <w:t>Investment securities held-to-maturity</w:t>
            </w:r>
          </w:p>
        </w:tc>
        <w:tc>
          <w:tcPr>
            <w:tcW w:w="0" w:type="auto"/>
            <w:gridSpan w:val="2"/>
            <w:shd w:val="clear" w:color="auto" w:fill="FFFFFF"/>
            <w:tcMar>
              <w:top w:w="40" w:type="dxa"/>
              <w:left w:w="20" w:type="dxa"/>
              <w:bottom w:w="40" w:type="dxa"/>
              <w:right w:w="0" w:type="dxa"/>
            </w:tcMar>
            <w:vAlign w:val="bottom"/>
          </w:tcPr>
          <w:p w14:paraId="74DDCC53" w14:textId="77777777" w:rsidR="00584EC1" w:rsidRDefault="00871F8D">
            <w:pPr>
              <w:jc w:val="right"/>
              <w:textAlignment w:val="bottom"/>
            </w:pPr>
            <w:r>
              <w:rPr>
                <w:rFonts w:ascii="Arial" w:eastAsia="宋体" w:hAnsi="Arial" w:cs="Arial"/>
                <w:b/>
                <w:bCs/>
                <w:color w:val="000000"/>
                <w:sz w:val="13"/>
                <w:szCs w:val="13"/>
              </w:rPr>
              <w:t>43,346</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CC5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C55"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CC56" w14:textId="77777777" w:rsidR="00584EC1" w:rsidRDefault="00871F8D">
            <w:pPr>
              <w:jc w:val="right"/>
              <w:textAlignment w:val="bottom"/>
            </w:pPr>
            <w:r>
              <w:rPr>
                <w:rFonts w:ascii="Arial" w:eastAsia="宋体" w:hAnsi="Arial" w:cs="Arial"/>
                <w:b/>
                <w:bCs/>
                <w:color w:val="000000"/>
                <w:sz w:val="13"/>
                <w:szCs w:val="13"/>
              </w:rPr>
              <w:t>43,728</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CC5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C58"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CC59" w14:textId="77777777" w:rsidR="00584EC1" w:rsidRDefault="00871F8D">
            <w:pPr>
              <w:jc w:val="right"/>
              <w:textAlignment w:val="bottom"/>
            </w:pPr>
            <w:r>
              <w:rPr>
                <w:rFonts w:ascii="Arial" w:eastAsia="宋体" w:hAnsi="Arial" w:cs="Arial"/>
                <w:b/>
                <w:bCs/>
                <w:color w:val="000000"/>
                <w:sz w:val="13"/>
                <w:szCs w:val="13"/>
              </w:rPr>
              <w:t>2,708</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CC5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C5B"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CC5C" w14:textId="77777777" w:rsidR="00584EC1" w:rsidRDefault="00871F8D">
            <w:pPr>
              <w:jc w:val="right"/>
              <w:textAlignment w:val="bottom"/>
            </w:pPr>
            <w:r>
              <w:rPr>
                <w:rFonts w:ascii="Arial" w:eastAsia="宋体" w:hAnsi="Arial" w:cs="Arial"/>
                <w:b/>
                <w:bCs/>
                <w:color w:val="000000"/>
                <w:sz w:val="13"/>
                <w:szCs w:val="13"/>
              </w:rPr>
              <w:t>41,020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CC5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C5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CC5F" w14:textId="77777777" w:rsidR="00584EC1" w:rsidRDefault="00871F8D">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CC60" w14:textId="77777777" w:rsidR="00584EC1" w:rsidRDefault="00584EC1">
            <w:pPr>
              <w:jc w:val="right"/>
              <w:rPr>
                <w:rFonts w:ascii="宋体"/>
              </w:rPr>
            </w:pPr>
          </w:p>
        </w:tc>
      </w:tr>
      <w:tr w:rsidR="00584EC1" w14:paraId="74DDCC71" w14:textId="77777777">
        <w:tc>
          <w:tcPr>
            <w:tcW w:w="0" w:type="auto"/>
            <w:gridSpan w:val="3"/>
            <w:shd w:val="clear" w:color="auto" w:fill="CCEEFF"/>
            <w:tcMar>
              <w:top w:w="40" w:type="dxa"/>
              <w:left w:w="20" w:type="dxa"/>
              <w:bottom w:w="40" w:type="dxa"/>
              <w:right w:w="20" w:type="dxa"/>
            </w:tcMar>
            <w:vAlign w:val="bottom"/>
          </w:tcPr>
          <w:p w14:paraId="74DDCC62" w14:textId="77777777" w:rsidR="00584EC1" w:rsidRDefault="00871F8D">
            <w:pPr>
              <w:textAlignment w:val="bottom"/>
            </w:pPr>
            <w:r>
              <w:rPr>
                <w:rFonts w:ascii="Arial" w:eastAsia="宋体" w:hAnsi="Arial" w:cs="Arial"/>
                <w:color w:val="000000"/>
                <w:sz w:val="13"/>
                <w:szCs w:val="13"/>
              </w:rPr>
              <w:t>Net loans</w:t>
            </w:r>
            <w:r>
              <w:rPr>
                <w:rFonts w:ascii="Arial" w:eastAsia="宋体" w:hAnsi="Arial" w:cs="Arial"/>
                <w:color w:val="000000"/>
                <w:sz w:val="8"/>
                <w:szCs w:val="8"/>
              </w:rPr>
              <w:t>(1)</w:t>
            </w:r>
          </w:p>
        </w:tc>
        <w:tc>
          <w:tcPr>
            <w:tcW w:w="0" w:type="auto"/>
            <w:gridSpan w:val="2"/>
            <w:shd w:val="clear" w:color="auto" w:fill="CCEEFF"/>
            <w:tcMar>
              <w:top w:w="40" w:type="dxa"/>
              <w:left w:w="20" w:type="dxa"/>
              <w:bottom w:w="40" w:type="dxa"/>
              <w:right w:w="0" w:type="dxa"/>
            </w:tcMar>
            <w:vAlign w:val="bottom"/>
          </w:tcPr>
          <w:p w14:paraId="74DDCC63" w14:textId="77777777" w:rsidR="00584EC1" w:rsidRDefault="00871F8D">
            <w:pPr>
              <w:jc w:val="right"/>
              <w:textAlignment w:val="bottom"/>
            </w:pPr>
            <w:r>
              <w:rPr>
                <w:rFonts w:ascii="Arial" w:eastAsia="宋体" w:hAnsi="Arial" w:cs="Arial"/>
                <w:b/>
                <w:bCs/>
                <w:color w:val="000000"/>
                <w:sz w:val="13"/>
                <w:szCs w:val="13"/>
              </w:rPr>
              <w:t>32,702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CC6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C6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CC66" w14:textId="77777777" w:rsidR="00584EC1" w:rsidRDefault="00871F8D">
            <w:pPr>
              <w:jc w:val="right"/>
              <w:textAlignment w:val="bottom"/>
            </w:pPr>
            <w:r>
              <w:rPr>
                <w:rFonts w:ascii="Arial" w:eastAsia="宋体" w:hAnsi="Arial" w:cs="Arial"/>
                <w:b/>
                <w:bCs/>
                <w:color w:val="000000"/>
                <w:sz w:val="13"/>
                <w:szCs w:val="13"/>
              </w:rPr>
              <w:t>32,806</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CC6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C68"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CC69" w14:textId="77777777" w:rsidR="00584EC1" w:rsidRDefault="00871F8D">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CC6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C6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CC6C" w14:textId="77777777" w:rsidR="00584EC1" w:rsidRDefault="00871F8D">
            <w:pPr>
              <w:jc w:val="right"/>
              <w:textAlignment w:val="bottom"/>
            </w:pPr>
            <w:r>
              <w:rPr>
                <w:rFonts w:ascii="Arial" w:eastAsia="宋体" w:hAnsi="Arial" w:cs="Arial"/>
                <w:b/>
                <w:bCs/>
                <w:color w:val="000000"/>
                <w:sz w:val="13"/>
                <w:szCs w:val="13"/>
              </w:rPr>
              <w:t>30,292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CC6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C6E"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CC6F" w14:textId="77777777" w:rsidR="00584EC1" w:rsidRDefault="00871F8D">
            <w:pPr>
              <w:jc w:val="right"/>
              <w:textAlignment w:val="bottom"/>
            </w:pPr>
            <w:r>
              <w:rPr>
                <w:rFonts w:ascii="Arial" w:eastAsia="宋体" w:hAnsi="Arial" w:cs="Arial"/>
                <w:b/>
                <w:bCs/>
                <w:color w:val="000000"/>
                <w:sz w:val="13"/>
                <w:szCs w:val="13"/>
              </w:rPr>
              <w:t>2,514</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CC70" w14:textId="77777777" w:rsidR="00584EC1" w:rsidRDefault="00584EC1">
            <w:pPr>
              <w:jc w:val="right"/>
              <w:rPr>
                <w:rFonts w:ascii="宋体"/>
              </w:rPr>
            </w:pPr>
          </w:p>
        </w:tc>
      </w:tr>
      <w:tr w:rsidR="00584EC1" w14:paraId="74DDCC7C" w14:textId="77777777">
        <w:trPr>
          <w:hidden/>
        </w:trPr>
        <w:tc>
          <w:tcPr>
            <w:tcW w:w="0" w:type="auto"/>
            <w:gridSpan w:val="3"/>
            <w:shd w:val="clear" w:color="auto" w:fill="auto"/>
            <w:vAlign w:val="bottom"/>
          </w:tcPr>
          <w:p w14:paraId="74DDCC72" w14:textId="77777777" w:rsidR="00584EC1" w:rsidRDefault="00584EC1">
            <w:pPr>
              <w:rPr>
                <w:rFonts w:ascii="宋体"/>
                <w:vanish/>
              </w:rPr>
            </w:pPr>
          </w:p>
        </w:tc>
        <w:tc>
          <w:tcPr>
            <w:tcW w:w="0" w:type="auto"/>
            <w:gridSpan w:val="3"/>
            <w:shd w:val="clear" w:color="auto" w:fill="auto"/>
            <w:vAlign w:val="bottom"/>
          </w:tcPr>
          <w:p w14:paraId="74DDCC73" w14:textId="77777777" w:rsidR="00584EC1" w:rsidRDefault="00584EC1">
            <w:pPr>
              <w:rPr>
                <w:rFonts w:ascii="宋体"/>
                <w:vanish/>
              </w:rPr>
            </w:pPr>
          </w:p>
        </w:tc>
        <w:tc>
          <w:tcPr>
            <w:tcW w:w="0" w:type="auto"/>
            <w:gridSpan w:val="3"/>
            <w:shd w:val="clear" w:color="auto" w:fill="auto"/>
            <w:vAlign w:val="bottom"/>
          </w:tcPr>
          <w:p w14:paraId="74DDCC74" w14:textId="77777777" w:rsidR="00584EC1" w:rsidRDefault="00584EC1">
            <w:pPr>
              <w:rPr>
                <w:rFonts w:ascii="宋体"/>
                <w:vanish/>
              </w:rPr>
            </w:pPr>
          </w:p>
        </w:tc>
        <w:tc>
          <w:tcPr>
            <w:tcW w:w="0" w:type="auto"/>
            <w:gridSpan w:val="3"/>
            <w:shd w:val="clear" w:color="auto" w:fill="auto"/>
            <w:vAlign w:val="bottom"/>
          </w:tcPr>
          <w:p w14:paraId="74DDCC75" w14:textId="77777777" w:rsidR="00584EC1" w:rsidRDefault="00584EC1">
            <w:pPr>
              <w:rPr>
                <w:rFonts w:ascii="宋体"/>
                <w:vanish/>
              </w:rPr>
            </w:pPr>
          </w:p>
        </w:tc>
        <w:tc>
          <w:tcPr>
            <w:tcW w:w="0" w:type="auto"/>
            <w:gridSpan w:val="3"/>
            <w:shd w:val="clear" w:color="auto" w:fill="auto"/>
            <w:vAlign w:val="bottom"/>
          </w:tcPr>
          <w:p w14:paraId="74DDCC76" w14:textId="77777777" w:rsidR="00584EC1" w:rsidRDefault="00584EC1">
            <w:pPr>
              <w:rPr>
                <w:rFonts w:ascii="宋体"/>
                <w:vanish/>
              </w:rPr>
            </w:pPr>
          </w:p>
        </w:tc>
        <w:tc>
          <w:tcPr>
            <w:tcW w:w="0" w:type="auto"/>
            <w:gridSpan w:val="3"/>
            <w:shd w:val="clear" w:color="auto" w:fill="auto"/>
            <w:vAlign w:val="bottom"/>
          </w:tcPr>
          <w:p w14:paraId="74DDCC77" w14:textId="77777777" w:rsidR="00584EC1" w:rsidRDefault="00584EC1">
            <w:pPr>
              <w:rPr>
                <w:rFonts w:ascii="宋体"/>
                <w:vanish/>
              </w:rPr>
            </w:pPr>
          </w:p>
        </w:tc>
        <w:tc>
          <w:tcPr>
            <w:tcW w:w="0" w:type="auto"/>
            <w:gridSpan w:val="3"/>
            <w:shd w:val="clear" w:color="auto" w:fill="auto"/>
            <w:vAlign w:val="bottom"/>
          </w:tcPr>
          <w:p w14:paraId="74DDCC78" w14:textId="77777777" w:rsidR="00584EC1" w:rsidRDefault="00584EC1">
            <w:pPr>
              <w:rPr>
                <w:rFonts w:ascii="宋体"/>
                <w:vanish/>
              </w:rPr>
            </w:pPr>
          </w:p>
        </w:tc>
        <w:tc>
          <w:tcPr>
            <w:tcW w:w="0" w:type="auto"/>
            <w:gridSpan w:val="3"/>
            <w:shd w:val="clear" w:color="auto" w:fill="auto"/>
            <w:vAlign w:val="bottom"/>
          </w:tcPr>
          <w:p w14:paraId="74DDCC79" w14:textId="77777777" w:rsidR="00584EC1" w:rsidRDefault="00584EC1">
            <w:pPr>
              <w:rPr>
                <w:rFonts w:ascii="宋体"/>
                <w:vanish/>
              </w:rPr>
            </w:pPr>
          </w:p>
        </w:tc>
        <w:tc>
          <w:tcPr>
            <w:tcW w:w="0" w:type="auto"/>
            <w:gridSpan w:val="3"/>
            <w:shd w:val="clear" w:color="auto" w:fill="auto"/>
            <w:vAlign w:val="bottom"/>
          </w:tcPr>
          <w:p w14:paraId="74DDCC7A" w14:textId="77777777" w:rsidR="00584EC1" w:rsidRDefault="00584EC1">
            <w:pPr>
              <w:rPr>
                <w:rFonts w:ascii="宋体"/>
                <w:vanish/>
              </w:rPr>
            </w:pPr>
          </w:p>
        </w:tc>
        <w:tc>
          <w:tcPr>
            <w:tcW w:w="0" w:type="auto"/>
            <w:gridSpan w:val="3"/>
            <w:shd w:val="clear" w:color="auto" w:fill="auto"/>
            <w:vAlign w:val="bottom"/>
          </w:tcPr>
          <w:p w14:paraId="74DDCC7B" w14:textId="77777777" w:rsidR="00584EC1" w:rsidRDefault="00584EC1">
            <w:pPr>
              <w:rPr>
                <w:rFonts w:ascii="宋体"/>
                <w:vanish/>
              </w:rPr>
            </w:pPr>
          </w:p>
        </w:tc>
      </w:tr>
      <w:tr w:rsidR="00584EC1" w14:paraId="74DDCC87" w14:textId="77777777">
        <w:tc>
          <w:tcPr>
            <w:tcW w:w="0" w:type="auto"/>
            <w:gridSpan w:val="3"/>
            <w:shd w:val="clear" w:color="auto" w:fill="FFFFFF"/>
            <w:tcMar>
              <w:top w:w="40" w:type="dxa"/>
              <w:left w:w="20" w:type="dxa"/>
              <w:bottom w:w="40" w:type="dxa"/>
              <w:right w:w="20" w:type="dxa"/>
            </w:tcMar>
            <w:vAlign w:val="bottom"/>
          </w:tcPr>
          <w:p w14:paraId="74DDCC7D" w14:textId="77777777" w:rsidR="00584EC1" w:rsidRDefault="00871F8D">
            <w:pPr>
              <w:textAlignment w:val="bottom"/>
            </w:pPr>
            <w:r>
              <w:rPr>
                <w:rFonts w:ascii="Arial" w:eastAsia="宋体" w:hAnsi="Arial" w:cs="Arial"/>
                <w:b/>
                <w:bCs/>
                <w:color w:val="000000"/>
                <w:sz w:val="13"/>
                <w:szCs w:val="13"/>
              </w:rPr>
              <w:t>Financial Liabilities:</w:t>
            </w:r>
          </w:p>
        </w:tc>
        <w:tc>
          <w:tcPr>
            <w:tcW w:w="0" w:type="auto"/>
            <w:gridSpan w:val="3"/>
            <w:shd w:val="clear" w:color="auto" w:fill="FFFFFF"/>
            <w:tcMar>
              <w:top w:w="0" w:type="dxa"/>
              <w:left w:w="20" w:type="dxa"/>
              <w:bottom w:w="0" w:type="dxa"/>
              <w:right w:w="20" w:type="dxa"/>
            </w:tcMar>
            <w:vAlign w:val="bottom"/>
          </w:tcPr>
          <w:p w14:paraId="74DDCC7E"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C7F"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C80"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C81"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C8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C83"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C84"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C85"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C86" w14:textId="77777777" w:rsidR="00584EC1" w:rsidRDefault="00584EC1">
            <w:pPr>
              <w:rPr>
                <w:rFonts w:ascii="宋体"/>
              </w:rPr>
            </w:pPr>
          </w:p>
        </w:tc>
      </w:tr>
      <w:tr w:rsidR="00584EC1" w14:paraId="74DDCC92" w14:textId="77777777">
        <w:tc>
          <w:tcPr>
            <w:tcW w:w="0" w:type="auto"/>
            <w:gridSpan w:val="3"/>
            <w:shd w:val="clear" w:color="auto" w:fill="CCEEFF"/>
            <w:tcMar>
              <w:top w:w="40" w:type="dxa"/>
              <w:left w:w="20" w:type="dxa"/>
              <w:bottom w:w="40" w:type="dxa"/>
              <w:right w:w="20" w:type="dxa"/>
            </w:tcMar>
            <w:vAlign w:val="bottom"/>
          </w:tcPr>
          <w:p w14:paraId="74DDCC88" w14:textId="77777777" w:rsidR="00584EC1" w:rsidRDefault="00871F8D">
            <w:pPr>
              <w:textAlignment w:val="bottom"/>
            </w:pPr>
            <w:r>
              <w:rPr>
                <w:rFonts w:ascii="Arial" w:eastAsia="宋体" w:hAnsi="Arial" w:cs="Arial"/>
                <w:color w:val="000000"/>
                <w:sz w:val="13"/>
                <w:szCs w:val="13"/>
              </w:rPr>
              <w:t>Deposits:</w:t>
            </w:r>
          </w:p>
        </w:tc>
        <w:tc>
          <w:tcPr>
            <w:tcW w:w="0" w:type="auto"/>
            <w:gridSpan w:val="3"/>
            <w:shd w:val="clear" w:color="auto" w:fill="CCEEFF"/>
            <w:tcMar>
              <w:top w:w="0" w:type="dxa"/>
              <w:left w:w="20" w:type="dxa"/>
              <w:bottom w:w="0" w:type="dxa"/>
              <w:right w:w="20" w:type="dxa"/>
            </w:tcMar>
            <w:vAlign w:val="bottom"/>
          </w:tcPr>
          <w:p w14:paraId="74DDCC89"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C8A"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C8B"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C8C"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C8D"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C8E"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C8F"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C90"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C91" w14:textId="77777777" w:rsidR="00584EC1" w:rsidRDefault="00584EC1">
            <w:pPr>
              <w:rPr>
                <w:rFonts w:ascii="宋体"/>
              </w:rPr>
            </w:pPr>
          </w:p>
        </w:tc>
      </w:tr>
      <w:tr w:rsidR="00584EC1" w14:paraId="74DDCCA7" w14:textId="77777777">
        <w:tc>
          <w:tcPr>
            <w:tcW w:w="0" w:type="auto"/>
            <w:gridSpan w:val="3"/>
            <w:shd w:val="clear" w:color="auto" w:fill="FFFFFF"/>
            <w:tcMar>
              <w:top w:w="40" w:type="dxa"/>
              <w:left w:w="20" w:type="dxa"/>
              <w:bottom w:w="40" w:type="dxa"/>
              <w:right w:w="20" w:type="dxa"/>
            </w:tcMar>
            <w:vAlign w:val="bottom"/>
          </w:tcPr>
          <w:p w14:paraId="74DDCC93" w14:textId="77777777" w:rsidR="00584EC1" w:rsidRDefault="00871F8D">
            <w:pPr>
              <w:textAlignment w:val="bottom"/>
            </w:pPr>
            <w:r>
              <w:rPr>
                <w:rFonts w:ascii="Arial" w:eastAsia="宋体" w:hAnsi="Arial" w:cs="Arial"/>
                <w:color w:val="000000"/>
                <w:sz w:val="13"/>
                <w:szCs w:val="13"/>
              </w:rPr>
              <w:t>   Non-interest-bearing</w:t>
            </w:r>
          </w:p>
        </w:tc>
        <w:tc>
          <w:tcPr>
            <w:tcW w:w="0" w:type="auto"/>
            <w:shd w:val="clear" w:color="auto" w:fill="FFFFFF"/>
            <w:tcMar>
              <w:top w:w="40" w:type="dxa"/>
              <w:left w:w="20" w:type="dxa"/>
              <w:bottom w:w="40" w:type="dxa"/>
              <w:right w:w="0" w:type="dxa"/>
            </w:tcMar>
            <w:vAlign w:val="bottom"/>
          </w:tcPr>
          <w:p w14:paraId="74DDCC94" w14:textId="77777777" w:rsidR="00584EC1" w:rsidRDefault="00871F8D">
            <w:pPr>
              <w:textAlignment w:val="bottom"/>
            </w:pPr>
            <w:r>
              <w:rPr>
                <w:rFonts w:ascii="Arial" w:eastAsia="宋体" w:hAnsi="Arial" w:cs="Arial"/>
                <w:b/>
                <w:bCs/>
                <w:color w:val="000000"/>
                <w:sz w:val="13"/>
                <w:szCs w:val="13"/>
              </w:rPr>
              <w:t>$</w:t>
            </w:r>
          </w:p>
        </w:tc>
        <w:tc>
          <w:tcPr>
            <w:tcW w:w="0" w:type="auto"/>
            <w:shd w:val="clear" w:color="auto" w:fill="FFFFFF"/>
            <w:tcMar>
              <w:top w:w="40" w:type="dxa"/>
              <w:left w:w="0" w:type="dxa"/>
              <w:bottom w:w="40" w:type="dxa"/>
              <w:right w:w="0" w:type="dxa"/>
            </w:tcMar>
            <w:vAlign w:val="bottom"/>
          </w:tcPr>
          <w:p w14:paraId="74DDCC95" w14:textId="77777777" w:rsidR="00584EC1" w:rsidRDefault="00871F8D">
            <w:pPr>
              <w:jc w:val="right"/>
              <w:textAlignment w:val="bottom"/>
            </w:pPr>
            <w:r>
              <w:rPr>
                <w:rFonts w:ascii="Arial" w:eastAsia="宋体" w:hAnsi="Arial" w:cs="Arial"/>
                <w:b/>
                <w:bCs/>
                <w:color w:val="000000"/>
                <w:sz w:val="13"/>
                <w:szCs w:val="13"/>
              </w:rPr>
              <w:t>64,885</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CC9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C97" w14:textId="77777777" w:rsidR="00584EC1" w:rsidRDefault="00584EC1">
            <w:pPr>
              <w:rPr>
                <w:rFonts w:ascii="宋体"/>
              </w:rPr>
            </w:pPr>
          </w:p>
        </w:tc>
        <w:tc>
          <w:tcPr>
            <w:tcW w:w="0" w:type="auto"/>
            <w:shd w:val="clear" w:color="auto" w:fill="FFFFFF"/>
            <w:tcMar>
              <w:top w:w="40" w:type="dxa"/>
              <w:left w:w="20" w:type="dxa"/>
              <w:bottom w:w="40" w:type="dxa"/>
              <w:right w:w="0" w:type="dxa"/>
            </w:tcMar>
            <w:vAlign w:val="bottom"/>
          </w:tcPr>
          <w:p w14:paraId="74DDCC98" w14:textId="77777777" w:rsidR="00584EC1" w:rsidRDefault="00871F8D">
            <w:pPr>
              <w:textAlignment w:val="bottom"/>
            </w:pPr>
            <w:r>
              <w:rPr>
                <w:rFonts w:ascii="Arial" w:eastAsia="宋体" w:hAnsi="Arial" w:cs="Arial"/>
                <w:b/>
                <w:bCs/>
                <w:color w:val="000000"/>
                <w:sz w:val="13"/>
                <w:szCs w:val="13"/>
              </w:rPr>
              <w:t>$</w:t>
            </w:r>
          </w:p>
        </w:tc>
        <w:tc>
          <w:tcPr>
            <w:tcW w:w="0" w:type="auto"/>
            <w:shd w:val="clear" w:color="auto" w:fill="FFFFFF"/>
            <w:tcMar>
              <w:top w:w="40" w:type="dxa"/>
              <w:left w:w="0" w:type="dxa"/>
              <w:bottom w:w="40" w:type="dxa"/>
              <w:right w:w="0" w:type="dxa"/>
            </w:tcMar>
            <w:vAlign w:val="bottom"/>
          </w:tcPr>
          <w:p w14:paraId="74DDCC99" w14:textId="77777777" w:rsidR="00584EC1" w:rsidRDefault="00871F8D">
            <w:pPr>
              <w:jc w:val="right"/>
              <w:textAlignment w:val="bottom"/>
            </w:pPr>
            <w:r>
              <w:rPr>
                <w:rFonts w:ascii="Arial" w:eastAsia="宋体" w:hAnsi="Arial" w:cs="Arial"/>
                <w:b/>
                <w:bCs/>
                <w:color w:val="000000"/>
                <w:sz w:val="13"/>
                <w:szCs w:val="13"/>
              </w:rPr>
              <w:t>64,885</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CC9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C9B" w14:textId="77777777" w:rsidR="00584EC1" w:rsidRDefault="00584EC1">
            <w:pPr>
              <w:rPr>
                <w:rFonts w:ascii="宋体"/>
              </w:rPr>
            </w:pPr>
          </w:p>
        </w:tc>
        <w:tc>
          <w:tcPr>
            <w:tcW w:w="0" w:type="auto"/>
            <w:shd w:val="clear" w:color="auto" w:fill="FFFFFF"/>
            <w:tcMar>
              <w:top w:w="40" w:type="dxa"/>
              <w:left w:w="20" w:type="dxa"/>
              <w:bottom w:w="40" w:type="dxa"/>
              <w:right w:w="0" w:type="dxa"/>
            </w:tcMar>
            <w:vAlign w:val="bottom"/>
          </w:tcPr>
          <w:p w14:paraId="74DDCC9C" w14:textId="77777777" w:rsidR="00584EC1" w:rsidRDefault="00871F8D">
            <w:pPr>
              <w:textAlignment w:val="bottom"/>
            </w:pPr>
            <w:r>
              <w:rPr>
                <w:rFonts w:ascii="Arial" w:eastAsia="宋体" w:hAnsi="Arial" w:cs="Arial"/>
                <w:b/>
                <w:bCs/>
                <w:color w:val="000000"/>
                <w:sz w:val="13"/>
                <w:szCs w:val="13"/>
              </w:rPr>
              <w:t>$</w:t>
            </w:r>
          </w:p>
        </w:tc>
        <w:tc>
          <w:tcPr>
            <w:tcW w:w="0" w:type="auto"/>
            <w:shd w:val="clear" w:color="auto" w:fill="FFFFFF"/>
            <w:tcMar>
              <w:top w:w="40" w:type="dxa"/>
              <w:left w:w="0" w:type="dxa"/>
              <w:bottom w:w="40" w:type="dxa"/>
              <w:right w:w="0" w:type="dxa"/>
            </w:tcMar>
            <w:vAlign w:val="bottom"/>
          </w:tcPr>
          <w:p w14:paraId="74DDCC9D" w14:textId="77777777" w:rsidR="00584EC1" w:rsidRDefault="00871F8D">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CC9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C9F" w14:textId="77777777" w:rsidR="00584EC1" w:rsidRDefault="00584EC1">
            <w:pPr>
              <w:rPr>
                <w:rFonts w:ascii="宋体"/>
              </w:rPr>
            </w:pPr>
          </w:p>
        </w:tc>
        <w:tc>
          <w:tcPr>
            <w:tcW w:w="0" w:type="auto"/>
            <w:shd w:val="clear" w:color="auto" w:fill="FFFFFF"/>
            <w:tcMar>
              <w:top w:w="40" w:type="dxa"/>
              <w:left w:w="20" w:type="dxa"/>
              <w:bottom w:w="40" w:type="dxa"/>
              <w:right w:w="0" w:type="dxa"/>
            </w:tcMar>
            <w:vAlign w:val="bottom"/>
          </w:tcPr>
          <w:p w14:paraId="74DDCCA0" w14:textId="77777777" w:rsidR="00584EC1" w:rsidRDefault="00871F8D">
            <w:pPr>
              <w:textAlignment w:val="bottom"/>
            </w:pPr>
            <w:r>
              <w:rPr>
                <w:rFonts w:ascii="Arial" w:eastAsia="宋体" w:hAnsi="Arial" w:cs="Arial"/>
                <w:b/>
                <w:bCs/>
                <w:color w:val="000000"/>
                <w:sz w:val="13"/>
                <w:szCs w:val="13"/>
              </w:rPr>
              <w:t>$</w:t>
            </w:r>
          </w:p>
        </w:tc>
        <w:tc>
          <w:tcPr>
            <w:tcW w:w="0" w:type="auto"/>
            <w:shd w:val="clear" w:color="auto" w:fill="FFFFFF"/>
            <w:tcMar>
              <w:top w:w="40" w:type="dxa"/>
              <w:left w:w="0" w:type="dxa"/>
              <w:bottom w:w="40" w:type="dxa"/>
              <w:right w:w="0" w:type="dxa"/>
            </w:tcMar>
            <w:vAlign w:val="bottom"/>
          </w:tcPr>
          <w:p w14:paraId="74DDCCA1" w14:textId="77777777" w:rsidR="00584EC1" w:rsidRDefault="00871F8D">
            <w:pPr>
              <w:jc w:val="right"/>
              <w:textAlignment w:val="bottom"/>
            </w:pPr>
            <w:r>
              <w:rPr>
                <w:rFonts w:ascii="Arial" w:eastAsia="宋体" w:hAnsi="Arial" w:cs="Arial"/>
                <w:b/>
                <w:bCs/>
                <w:color w:val="000000"/>
                <w:sz w:val="13"/>
                <w:szCs w:val="13"/>
              </w:rPr>
              <w:t>64,885</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CCA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CA3" w14:textId="77777777" w:rsidR="00584EC1" w:rsidRDefault="00584EC1">
            <w:pPr>
              <w:rPr>
                <w:rFonts w:ascii="宋体"/>
              </w:rPr>
            </w:pPr>
          </w:p>
        </w:tc>
        <w:tc>
          <w:tcPr>
            <w:tcW w:w="0" w:type="auto"/>
            <w:shd w:val="clear" w:color="auto" w:fill="FFFFFF"/>
            <w:tcMar>
              <w:top w:w="40" w:type="dxa"/>
              <w:left w:w="20" w:type="dxa"/>
              <w:bottom w:w="40" w:type="dxa"/>
              <w:right w:w="0" w:type="dxa"/>
            </w:tcMar>
            <w:vAlign w:val="bottom"/>
          </w:tcPr>
          <w:p w14:paraId="74DDCCA4" w14:textId="77777777" w:rsidR="00584EC1" w:rsidRDefault="00871F8D">
            <w:pPr>
              <w:textAlignment w:val="bottom"/>
            </w:pPr>
            <w:r>
              <w:rPr>
                <w:rFonts w:ascii="Arial" w:eastAsia="宋体" w:hAnsi="Arial" w:cs="Arial"/>
                <w:b/>
                <w:bCs/>
                <w:color w:val="000000"/>
                <w:sz w:val="13"/>
                <w:szCs w:val="13"/>
              </w:rPr>
              <w:t>$</w:t>
            </w:r>
          </w:p>
        </w:tc>
        <w:tc>
          <w:tcPr>
            <w:tcW w:w="0" w:type="auto"/>
            <w:shd w:val="clear" w:color="auto" w:fill="FFFFFF"/>
            <w:tcMar>
              <w:top w:w="40" w:type="dxa"/>
              <w:left w:w="0" w:type="dxa"/>
              <w:bottom w:w="40" w:type="dxa"/>
              <w:right w:w="0" w:type="dxa"/>
            </w:tcMar>
            <w:vAlign w:val="bottom"/>
          </w:tcPr>
          <w:p w14:paraId="74DDCCA5" w14:textId="77777777" w:rsidR="00584EC1" w:rsidRDefault="00871F8D">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CCA6" w14:textId="77777777" w:rsidR="00584EC1" w:rsidRDefault="00584EC1">
            <w:pPr>
              <w:jc w:val="right"/>
              <w:rPr>
                <w:rFonts w:ascii="宋体"/>
              </w:rPr>
            </w:pPr>
          </w:p>
        </w:tc>
      </w:tr>
      <w:tr w:rsidR="00584EC1" w14:paraId="74DDCCB7" w14:textId="77777777">
        <w:tc>
          <w:tcPr>
            <w:tcW w:w="0" w:type="auto"/>
            <w:gridSpan w:val="3"/>
            <w:shd w:val="clear" w:color="auto" w:fill="CCEEFF"/>
            <w:tcMar>
              <w:top w:w="40" w:type="dxa"/>
              <w:left w:w="20" w:type="dxa"/>
              <w:bottom w:w="40" w:type="dxa"/>
              <w:right w:w="20" w:type="dxa"/>
            </w:tcMar>
            <w:vAlign w:val="bottom"/>
          </w:tcPr>
          <w:p w14:paraId="74DDCCA8" w14:textId="77777777" w:rsidR="00584EC1" w:rsidRDefault="00871F8D">
            <w:pPr>
              <w:textAlignment w:val="bottom"/>
            </w:pPr>
            <w:r>
              <w:rPr>
                <w:rFonts w:ascii="Arial" w:eastAsia="宋体" w:hAnsi="Arial" w:cs="Arial"/>
                <w:color w:val="000000"/>
                <w:sz w:val="13"/>
                <w:szCs w:val="13"/>
              </w:rPr>
              <w:t>   Interest-bearing - U.S.</w:t>
            </w:r>
          </w:p>
        </w:tc>
        <w:tc>
          <w:tcPr>
            <w:tcW w:w="0" w:type="auto"/>
            <w:gridSpan w:val="2"/>
            <w:shd w:val="clear" w:color="auto" w:fill="CCEEFF"/>
            <w:tcMar>
              <w:top w:w="40" w:type="dxa"/>
              <w:left w:w="20" w:type="dxa"/>
              <w:bottom w:w="40" w:type="dxa"/>
              <w:right w:w="0" w:type="dxa"/>
            </w:tcMar>
            <w:vAlign w:val="bottom"/>
          </w:tcPr>
          <w:p w14:paraId="74DDCCA9" w14:textId="77777777" w:rsidR="00584EC1" w:rsidRDefault="00871F8D">
            <w:pPr>
              <w:jc w:val="right"/>
              <w:textAlignment w:val="bottom"/>
            </w:pPr>
            <w:r>
              <w:rPr>
                <w:rFonts w:ascii="Arial" w:eastAsia="宋体" w:hAnsi="Arial" w:cs="Arial"/>
                <w:b/>
                <w:bCs/>
                <w:color w:val="000000"/>
                <w:sz w:val="13"/>
                <w:szCs w:val="13"/>
              </w:rPr>
              <w:t>108,909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CCA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CA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CCAC" w14:textId="77777777" w:rsidR="00584EC1" w:rsidRDefault="00871F8D">
            <w:pPr>
              <w:jc w:val="right"/>
              <w:textAlignment w:val="bottom"/>
            </w:pPr>
            <w:r>
              <w:rPr>
                <w:rFonts w:ascii="Arial" w:eastAsia="宋体" w:hAnsi="Arial" w:cs="Arial"/>
                <w:b/>
                <w:bCs/>
                <w:color w:val="000000"/>
                <w:sz w:val="13"/>
                <w:szCs w:val="13"/>
              </w:rPr>
              <w:t>108,909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CCA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CAE"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CCAF" w14:textId="77777777" w:rsidR="00584EC1" w:rsidRDefault="00871F8D">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CCB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CB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CCB2" w14:textId="77777777" w:rsidR="00584EC1" w:rsidRDefault="00871F8D">
            <w:pPr>
              <w:jc w:val="right"/>
              <w:textAlignment w:val="bottom"/>
            </w:pPr>
            <w:r>
              <w:rPr>
                <w:rFonts w:ascii="Arial" w:eastAsia="宋体" w:hAnsi="Arial" w:cs="Arial"/>
                <w:b/>
                <w:bCs/>
                <w:color w:val="000000"/>
                <w:sz w:val="13"/>
                <w:szCs w:val="13"/>
              </w:rPr>
              <w:t>108,909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CCB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CB4"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CCB5" w14:textId="77777777" w:rsidR="00584EC1" w:rsidRDefault="00871F8D">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CCB6" w14:textId="77777777" w:rsidR="00584EC1" w:rsidRDefault="00584EC1">
            <w:pPr>
              <w:jc w:val="right"/>
              <w:rPr>
                <w:rFonts w:ascii="宋体"/>
              </w:rPr>
            </w:pPr>
          </w:p>
        </w:tc>
      </w:tr>
      <w:tr w:rsidR="00584EC1" w14:paraId="74DDCCC7" w14:textId="77777777">
        <w:tc>
          <w:tcPr>
            <w:tcW w:w="0" w:type="auto"/>
            <w:gridSpan w:val="3"/>
            <w:shd w:val="clear" w:color="auto" w:fill="FFFFFF"/>
            <w:tcMar>
              <w:top w:w="40" w:type="dxa"/>
              <w:left w:w="20" w:type="dxa"/>
              <w:bottom w:w="40" w:type="dxa"/>
              <w:right w:w="20" w:type="dxa"/>
            </w:tcMar>
            <w:vAlign w:val="bottom"/>
          </w:tcPr>
          <w:p w14:paraId="74DDCCB8" w14:textId="77777777" w:rsidR="00584EC1" w:rsidRDefault="00871F8D">
            <w:pPr>
              <w:textAlignment w:val="bottom"/>
            </w:pPr>
            <w:r>
              <w:rPr>
                <w:rFonts w:ascii="Arial" w:eastAsia="宋体" w:hAnsi="Arial" w:cs="Arial"/>
                <w:color w:val="000000"/>
                <w:sz w:val="13"/>
                <w:szCs w:val="13"/>
              </w:rPr>
              <w:t>   Interest-bearing - non-U.S.</w:t>
            </w:r>
          </w:p>
        </w:tc>
        <w:tc>
          <w:tcPr>
            <w:tcW w:w="0" w:type="auto"/>
            <w:gridSpan w:val="2"/>
            <w:shd w:val="clear" w:color="auto" w:fill="FFFFFF"/>
            <w:tcMar>
              <w:top w:w="40" w:type="dxa"/>
              <w:left w:w="20" w:type="dxa"/>
              <w:bottom w:w="40" w:type="dxa"/>
              <w:right w:w="0" w:type="dxa"/>
            </w:tcMar>
            <w:vAlign w:val="bottom"/>
          </w:tcPr>
          <w:p w14:paraId="74DDCCB9" w14:textId="77777777" w:rsidR="00584EC1" w:rsidRDefault="00871F8D">
            <w:pPr>
              <w:jc w:val="right"/>
              <w:textAlignment w:val="bottom"/>
            </w:pPr>
            <w:r>
              <w:rPr>
                <w:rFonts w:ascii="Arial" w:eastAsia="宋体" w:hAnsi="Arial" w:cs="Arial"/>
                <w:b/>
                <w:bCs/>
                <w:color w:val="000000"/>
                <w:sz w:val="13"/>
                <w:szCs w:val="13"/>
              </w:rPr>
              <w:t>85,579</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CCB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CBB"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CCBC" w14:textId="77777777" w:rsidR="00584EC1" w:rsidRDefault="00871F8D">
            <w:pPr>
              <w:jc w:val="right"/>
              <w:textAlignment w:val="bottom"/>
            </w:pPr>
            <w:r>
              <w:rPr>
                <w:rFonts w:ascii="Arial" w:eastAsia="宋体" w:hAnsi="Arial" w:cs="Arial"/>
                <w:b/>
                <w:bCs/>
                <w:color w:val="000000"/>
                <w:sz w:val="13"/>
                <w:szCs w:val="13"/>
              </w:rPr>
              <w:t>85,579</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CCB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CB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CCBF" w14:textId="77777777" w:rsidR="00584EC1" w:rsidRDefault="00871F8D">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CCC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CC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CCC2" w14:textId="77777777" w:rsidR="00584EC1" w:rsidRDefault="00871F8D">
            <w:pPr>
              <w:jc w:val="right"/>
              <w:textAlignment w:val="bottom"/>
            </w:pPr>
            <w:r>
              <w:rPr>
                <w:rFonts w:ascii="Arial" w:eastAsia="宋体" w:hAnsi="Arial" w:cs="Arial"/>
                <w:b/>
                <w:bCs/>
                <w:color w:val="000000"/>
                <w:sz w:val="13"/>
                <w:szCs w:val="13"/>
              </w:rPr>
              <w:t>85,579</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CCC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CC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CCC5" w14:textId="77777777" w:rsidR="00584EC1" w:rsidRDefault="00871F8D">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CCC6" w14:textId="77777777" w:rsidR="00584EC1" w:rsidRDefault="00584EC1">
            <w:pPr>
              <w:jc w:val="right"/>
              <w:rPr>
                <w:rFonts w:ascii="宋体"/>
              </w:rPr>
            </w:pPr>
          </w:p>
        </w:tc>
      </w:tr>
      <w:tr w:rsidR="00584EC1" w14:paraId="74DDCCD7" w14:textId="77777777">
        <w:tc>
          <w:tcPr>
            <w:tcW w:w="0" w:type="auto"/>
            <w:gridSpan w:val="3"/>
            <w:shd w:val="clear" w:color="auto" w:fill="CCEEFF"/>
            <w:tcMar>
              <w:top w:w="40" w:type="dxa"/>
              <w:left w:w="20" w:type="dxa"/>
              <w:bottom w:w="40" w:type="dxa"/>
              <w:right w:w="20" w:type="dxa"/>
            </w:tcMar>
            <w:vAlign w:val="bottom"/>
          </w:tcPr>
          <w:p w14:paraId="74DDCCC8" w14:textId="77777777" w:rsidR="00584EC1" w:rsidRDefault="00871F8D">
            <w:pPr>
              <w:textAlignment w:val="bottom"/>
            </w:pPr>
            <w:r>
              <w:rPr>
                <w:rFonts w:ascii="Arial" w:eastAsia="宋体" w:hAnsi="Arial" w:cs="Arial"/>
                <w:color w:val="000000"/>
                <w:sz w:val="13"/>
                <w:szCs w:val="13"/>
              </w:rPr>
              <w:t>Securities sold under repurchase agreements</w:t>
            </w:r>
          </w:p>
        </w:tc>
        <w:tc>
          <w:tcPr>
            <w:tcW w:w="0" w:type="auto"/>
            <w:gridSpan w:val="2"/>
            <w:shd w:val="clear" w:color="auto" w:fill="CCEEFF"/>
            <w:tcMar>
              <w:top w:w="40" w:type="dxa"/>
              <w:left w:w="20" w:type="dxa"/>
              <w:bottom w:w="40" w:type="dxa"/>
              <w:right w:w="0" w:type="dxa"/>
            </w:tcMar>
            <w:vAlign w:val="bottom"/>
          </w:tcPr>
          <w:p w14:paraId="74DDCCC9" w14:textId="77777777" w:rsidR="00584EC1" w:rsidRDefault="00871F8D">
            <w:pPr>
              <w:jc w:val="right"/>
              <w:textAlignment w:val="bottom"/>
            </w:pPr>
            <w:r>
              <w:rPr>
                <w:rFonts w:ascii="Arial" w:eastAsia="宋体" w:hAnsi="Arial" w:cs="Arial"/>
                <w:b/>
                <w:bCs/>
                <w:color w:val="000000"/>
                <w:sz w:val="13"/>
                <w:szCs w:val="13"/>
              </w:rPr>
              <w:t>637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CCC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CC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CCCC" w14:textId="77777777" w:rsidR="00584EC1" w:rsidRDefault="00871F8D">
            <w:pPr>
              <w:jc w:val="right"/>
              <w:textAlignment w:val="bottom"/>
            </w:pPr>
            <w:r>
              <w:rPr>
                <w:rFonts w:ascii="Arial" w:eastAsia="宋体" w:hAnsi="Arial" w:cs="Arial"/>
                <w:b/>
                <w:bCs/>
                <w:color w:val="000000"/>
                <w:sz w:val="13"/>
                <w:szCs w:val="13"/>
              </w:rPr>
              <w:t>637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CCC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CCE"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CCCF" w14:textId="77777777" w:rsidR="00584EC1" w:rsidRDefault="00871F8D">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CCD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CD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CCD2" w14:textId="77777777" w:rsidR="00584EC1" w:rsidRDefault="00871F8D">
            <w:pPr>
              <w:jc w:val="right"/>
              <w:textAlignment w:val="bottom"/>
            </w:pPr>
            <w:r>
              <w:rPr>
                <w:rFonts w:ascii="Arial" w:eastAsia="宋体" w:hAnsi="Arial" w:cs="Arial"/>
                <w:b/>
                <w:bCs/>
                <w:color w:val="000000"/>
                <w:sz w:val="13"/>
                <w:szCs w:val="13"/>
              </w:rPr>
              <w:t>637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CCD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CD4"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CCD5" w14:textId="77777777" w:rsidR="00584EC1" w:rsidRDefault="00871F8D">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CCD6" w14:textId="77777777" w:rsidR="00584EC1" w:rsidRDefault="00584EC1">
            <w:pPr>
              <w:jc w:val="right"/>
              <w:rPr>
                <w:rFonts w:ascii="宋体"/>
              </w:rPr>
            </w:pPr>
          </w:p>
        </w:tc>
      </w:tr>
      <w:tr w:rsidR="00584EC1" w14:paraId="74DDCCE2" w14:textId="77777777">
        <w:trPr>
          <w:hidden/>
        </w:trPr>
        <w:tc>
          <w:tcPr>
            <w:tcW w:w="0" w:type="auto"/>
            <w:gridSpan w:val="3"/>
            <w:shd w:val="clear" w:color="auto" w:fill="auto"/>
            <w:vAlign w:val="bottom"/>
          </w:tcPr>
          <w:p w14:paraId="74DDCCD8" w14:textId="77777777" w:rsidR="00584EC1" w:rsidRDefault="00584EC1">
            <w:pPr>
              <w:rPr>
                <w:rFonts w:ascii="宋体"/>
                <w:vanish/>
              </w:rPr>
            </w:pPr>
          </w:p>
        </w:tc>
        <w:tc>
          <w:tcPr>
            <w:tcW w:w="0" w:type="auto"/>
            <w:gridSpan w:val="3"/>
            <w:shd w:val="clear" w:color="auto" w:fill="auto"/>
            <w:vAlign w:val="bottom"/>
          </w:tcPr>
          <w:p w14:paraId="74DDCCD9" w14:textId="77777777" w:rsidR="00584EC1" w:rsidRDefault="00584EC1">
            <w:pPr>
              <w:rPr>
                <w:rFonts w:ascii="宋体"/>
                <w:vanish/>
              </w:rPr>
            </w:pPr>
          </w:p>
        </w:tc>
        <w:tc>
          <w:tcPr>
            <w:tcW w:w="0" w:type="auto"/>
            <w:gridSpan w:val="3"/>
            <w:shd w:val="clear" w:color="auto" w:fill="auto"/>
            <w:vAlign w:val="bottom"/>
          </w:tcPr>
          <w:p w14:paraId="74DDCCDA" w14:textId="77777777" w:rsidR="00584EC1" w:rsidRDefault="00584EC1">
            <w:pPr>
              <w:rPr>
                <w:rFonts w:ascii="宋体"/>
                <w:vanish/>
              </w:rPr>
            </w:pPr>
          </w:p>
        </w:tc>
        <w:tc>
          <w:tcPr>
            <w:tcW w:w="0" w:type="auto"/>
            <w:gridSpan w:val="3"/>
            <w:shd w:val="clear" w:color="auto" w:fill="auto"/>
            <w:vAlign w:val="bottom"/>
          </w:tcPr>
          <w:p w14:paraId="74DDCCDB" w14:textId="77777777" w:rsidR="00584EC1" w:rsidRDefault="00584EC1">
            <w:pPr>
              <w:rPr>
                <w:rFonts w:ascii="宋体"/>
                <w:vanish/>
              </w:rPr>
            </w:pPr>
          </w:p>
        </w:tc>
        <w:tc>
          <w:tcPr>
            <w:tcW w:w="0" w:type="auto"/>
            <w:gridSpan w:val="3"/>
            <w:shd w:val="clear" w:color="auto" w:fill="auto"/>
            <w:vAlign w:val="bottom"/>
          </w:tcPr>
          <w:p w14:paraId="74DDCCDC" w14:textId="77777777" w:rsidR="00584EC1" w:rsidRDefault="00584EC1">
            <w:pPr>
              <w:rPr>
                <w:rFonts w:ascii="宋体"/>
                <w:vanish/>
              </w:rPr>
            </w:pPr>
          </w:p>
        </w:tc>
        <w:tc>
          <w:tcPr>
            <w:tcW w:w="0" w:type="auto"/>
            <w:gridSpan w:val="3"/>
            <w:shd w:val="clear" w:color="auto" w:fill="auto"/>
            <w:vAlign w:val="bottom"/>
          </w:tcPr>
          <w:p w14:paraId="74DDCCDD" w14:textId="77777777" w:rsidR="00584EC1" w:rsidRDefault="00584EC1">
            <w:pPr>
              <w:rPr>
                <w:rFonts w:ascii="宋体"/>
                <w:vanish/>
              </w:rPr>
            </w:pPr>
          </w:p>
        </w:tc>
        <w:tc>
          <w:tcPr>
            <w:tcW w:w="0" w:type="auto"/>
            <w:gridSpan w:val="3"/>
            <w:shd w:val="clear" w:color="auto" w:fill="auto"/>
            <w:vAlign w:val="bottom"/>
          </w:tcPr>
          <w:p w14:paraId="74DDCCDE" w14:textId="77777777" w:rsidR="00584EC1" w:rsidRDefault="00584EC1">
            <w:pPr>
              <w:rPr>
                <w:rFonts w:ascii="宋体"/>
                <w:vanish/>
              </w:rPr>
            </w:pPr>
          </w:p>
        </w:tc>
        <w:tc>
          <w:tcPr>
            <w:tcW w:w="0" w:type="auto"/>
            <w:gridSpan w:val="3"/>
            <w:shd w:val="clear" w:color="auto" w:fill="auto"/>
            <w:vAlign w:val="bottom"/>
          </w:tcPr>
          <w:p w14:paraId="74DDCCDF" w14:textId="77777777" w:rsidR="00584EC1" w:rsidRDefault="00584EC1">
            <w:pPr>
              <w:rPr>
                <w:rFonts w:ascii="宋体"/>
                <w:vanish/>
              </w:rPr>
            </w:pPr>
          </w:p>
        </w:tc>
        <w:tc>
          <w:tcPr>
            <w:tcW w:w="0" w:type="auto"/>
            <w:gridSpan w:val="3"/>
            <w:shd w:val="clear" w:color="auto" w:fill="auto"/>
            <w:vAlign w:val="bottom"/>
          </w:tcPr>
          <w:p w14:paraId="74DDCCE0" w14:textId="77777777" w:rsidR="00584EC1" w:rsidRDefault="00584EC1">
            <w:pPr>
              <w:rPr>
                <w:rFonts w:ascii="宋体"/>
                <w:vanish/>
              </w:rPr>
            </w:pPr>
          </w:p>
        </w:tc>
        <w:tc>
          <w:tcPr>
            <w:tcW w:w="0" w:type="auto"/>
            <w:gridSpan w:val="3"/>
            <w:shd w:val="clear" w:color="auto" w:fill="auto"/>
            <w:vAlign w:val="bottom"/>
          </w:tcPr>
          <w:p w14:paraId="74DDCCE1" w14:textId="77777777" w:rsidR="00584EC1" w:rsidRDefault="00584EC1">
            <w:pPr>
              <w:rPr>
                <w:rFonts w:ascii="宋体"/>
                <w:vanish/>
              </w:rPr>
            </w:pPr>
          </w:p>
        </w:tc>
      </w:tr>
      <w:tr w:rsidR="00584EC1" w14:paraId="74DDCCF2" w14:textId="77777777">
        <w:tc>
          <w:tcPr>
            <w:tcW w:w="0" w:type="auto"/>
            <w:gridSpan w:val="3"/>
            <w:shd w:val="clear" w:color="auto" w:fill="FFFFFF"/>
            <w:tcMar>
              <w:top w:w="40" w:type="dxa"/>
              <w:left w:w="20" w:type="dxa"/>
              <w:bottom w:w="40" w:type="dxa"/>
              <w:right w:w="20" w:type="dxa"/>
            </w:tcMar>
            <w:vAlign w:val="bottom"/>
          </w:tcPr>
          <w:p w14:paraId="74DDCCE3" w14:textId="77777777" w:rsidR="00584EC1" w:rsidRDefault="00871F8D">
            <w:pPr>
              <w:textAlignment w:val="bottom"/>
            </w:pPr>
            <w:r>
              <w:rPr>
                <w:rFonts w:ascii="Arial" w:eastAsia="宋体" w:hAnsi="Arial" w:cs="Arial"/>
                <w:color w:val="000000"/>
                <w:sz w:val="13"/>
                <w:szCs w:val="13"/>
              </w:rPr>
              <w:t>Other short-term borrowings</w:t>
            </w:r>
          </w:p>
        </w:tc>
        <w:tc>
          <w:tcPr>
            <w:tcW w:w="0" w:type="auto"/>
            <w:gridSpan w:val="2"/>
            <w:shd w:val="clear" w:color="auto" w:fill="FFFFFF"/>
            <w:tcMar>
              <w:top w:w="40" w:type="dxa"/>
              <w:left w:w="20" w:type="dxa"/>
              <w:bottom w:w="40" w:type="dxa"/>
              <w:right w:w="0" w:type="dxa"/>
            </w:tcMar>
            <w:vAlign w:val="bottom"/>
          </w:tcPr>
          <w:p w14:paraId="74DDCCE4" w14:textId="77777777" w:rsidR="00584EC1" w:rsidRDefault="00871F8D">
            <w:pPr>
              <w:jc w:val="right"/>
              <w:textAlignment w:val="bottom"/>
            </w:pPr>
            <w:r>
              <w:rPr>
                <w:rFonts w:ascii="Arial" w:eastAsia="宋体" w:hAnsi="Arial" w:cs="Arial"/>
                <w:b/>
                <w:bCs/>
                <w:color w:val="000000"/>
                <w:sz w:val="13"/>
                <w:szCs w:val="13"/>
              </w:rPr>
              <w:t>549</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CCE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CE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CCE7" w14:textId="77777777" w:rsidR="00584EC1" w:rsidRDefault="00871F8D">
            <w:pPr>
              <w:jc w:val="right"/>
              <w:textAlignment w:val="bottom"/>
            </w:pPr>
            <w:r>
              <w:rPr>
                <w:rFonts w:ascii="Arial" w:eastAsia="宋体" w:hAnsi="Arial" w:cs="Arial"/>
                <w:b/>
                <w:bCs/>
                <w:color w:val="000000"/>
                <w:sz w:val="13"/>
                <w:szCs w:val="13"/>
              </w:rPr>
              <w:t>549</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CCE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CE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CCEA" w14:textId="77777777" w:rsidR="00584EC1" w:rsidRDefault="00871F8D">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CCE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CE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CCED" w14:textId="77777777" w:rsidR="00584EC1" w:rsidRDefault="00871F8D">
            <w:pPr>
              <w:jc w:val="right"/>
              <w:textAlignment w:val="bottom"/>
            </w:pPr>
            <w:r>
              <w:rPr>
                <w:rFonts w:ascii="Arial" w:eastAsia="宋体" w:hAnsi="Arial" w:cs="Arial"/>
                <w:b/>
                <w:bCs/>
                <w:color w:val="000000"/>
                <w:sz w:val="13"/>
                <w:szCs w:val="13"/>
              </w:rPr>
              <w:t>549</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CCE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CE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CCF0" w14:textId="77777777" w:rsidR="00584EC1" w:rsidRDefault="00871F8D">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CCF1" w14:textId="77777777" w:rsidR="00584EC1" w:rsidRDefault="00584EC1">
            <w:pPr>
              <w:jc w:val="right"/>
              <w:rPr>
                <w:rFonts w:ascii="宋体"/>
              </w:rPr>
            </w:pPr>
          </w:p>
        </w:tc>
      </w:tr>
      <w:tr w:rsidR="00584EC1" w14:paraId="74DDCCFD" w14:textId="77777777">
        <w:trPr>
          <w:hidden/>
        </w:trPr>
        <w:tc>
          <w:tcPr>
            <w:tcW w:w="0" w:type="auto"/>
            <w:gridSpan w:val="3"/>
            <w:shd w:val="clear" w:color="auto" w:fill="auto"/>
            <w:vAlign w:val="bottom"/>
          </w:tcPr>
          <w:p w14:paraId="74DDCCF3" w14:textId="77777777" w:rsidR="00584EC1" w:rsidRDefault="00584EC1">
            <w:pPr>
              <w:rPr>
                <w:rFonts w:ascii="宋体"/>
                <w:vanish/>
              </w:rPr>
            </w:pPr>
          </w:p>
        </w:tc>
        <w:tc>
          <w:tcPr>
            <w:tcW w:w="0" w:type="auto"/>
            <w:gridSpan w:val="3"/>
            <w:shd w:val="clear" w:color="auto" w:fill="auto"/>
            <w:vAlign w:val="bottom"/>
          </w:tcPr>
          <w:p w14:paraId="74DDCCF4" w14:textId="77777777" w:rsidR="00584EC1" w:rsidRDefault="00584EC1">
            <w:pPr>
              <w:rPr>
                <w:rFonts w:ascii="宋体"/>
                <w:vanish/>
              </w:rPr>
            </w:pPr>
          </w:p>
        </w:tc>
        <w:tc>
          <w:tcPr>
            <w:tcW w:w="0" w:type="auto"/>
            <w:gridSpan w:val="3"/>
            <w:shd w:val="clear" w:color="auto" w:fill="auto"/>
            <w:vAlign w:val="bottom"/>
          </w:tcPr>
          <w:p w14:paraId="74DDCCF5" w14:textId="77777777" w:rsidR="00584EC1" w:rsidRDefault="00584EC1">
            <w:pPr>
              <w:rPr>
                <w:rFonts w:ascii="宋体"/>
                <w:vanish/>
              </w:rPr>
            </w:pPr>
          </w:p>
        </w:tc>
        <w:tc>
          <w:tcPr>
            <w:tcW w:w="0" w:type="auto"/>
            <w:gridSpan w:val="3"/>
            <w:shd w:val="clear" w:color="auto" w:fill="auto"/>
            <w:vAlign w:val="bottom"/>
          </w:tcPr>
          <w:p w14:paraId="74DDCCF6" w14:textId="77777777" w:rsidR="00584EC1" w:rsidRDefault="00584EC1">
            <w:pPr>
              <w:rPr>
                <w:rFonts w:ascii="宋体"/>
                <w:vanish/>
              </w:rPr>
            </w:pPr>
          </w:p>
        </w:tc>
        <w:tc>
          <w:tcPr>
            <w:tcW w:w="0" w:type="auto"/>
            <w:gridSpan w:val="3"/>
            <w:shd w:val="clear" w:color="auto" w:fill="auto"/>
            <w:vAlign w:val="bottom"/>
          </w:tcPr>
          <w:p w14:paraId="74DDCCF7" w14:textId="77777777" w:rsidR="00584EC1" w:rsidRDefault="00584EC1">
            <w:pPr>
              <w:rPr>
                <w:rFonts w:ascii="宋体"/>
                <w:vanish/>
              </w:rPr>
            </w:pPr>
          </w:p>
        </w:tc>
        <w:tc>
          <w:tcPr>
            <w:tcW w:w="0" w:type="auto"/>
            <w:gridSpan w:val="3"/>
            <w:shd w:val="clear" w:color="auto" w:fill="auto"/>
            <w:vAlign w:val="bottom"/>
          </w:tcPr>
          <w:p w14:paraId="74DDCCF8" w14:textId="77777777" w:rsidR="00584EC1" w:rsidRDefault="00584EC1">
            <w:pPr>
              <w:rPr>
                <w:rFonts w:ascii="宋体"/>
                <w:vanish/>
              </w:rPr>
            </w:pPr>
          </w:p>
        </w:tc>
        <w:tc>
          <w:tcPr>
            <w:tcW w:w="0" w:type="auto"/>
            <w:gridSpan w:val="3"/>
            <w:shd w:val="clear" w:color="auto" w:fill="auto"/>
            <w:vAlign w:val="bottom"/>
          </w:tcPr>
          <w:p w14:paraId="74DDCCF9" w14:textId="77777777" w:rsidR="00584EC1" w:rsidRDefault="00584EC1">
            <w:pPr>
              <w:rPr>
                <w:rFonts w:ascii="宋体"/>
                <w:vanish/>
              </w:rPr>
            </w:pPr>
          </w:p>
        </w:tc>
        <w:tc>
          <w:tcPr>
            <w:tcW w:w="0" w:type="auto"/>
            <w:gridSpan w:val="3"/>
            <w:shd w:val="clear" w:color="auto" w:fill="auto"/>
            <w:vAlign w:val="bottom"/>
          </w:tcPr>
          <w:p w14:paraId="74DDCCFA" w14:textId="77777777" w:rsidR="00584EC1" w:rsidRDefault="00584EC1">
            <w:pPr>
              <w:rPr>
                <w:rFonts w:ascii="宋体"/>
                <w:vanish/>
              </w:rPr>
            </w:pPr>
          </w:p>
        </w:tc>
        <w:tc>
          <w:tcPr>
            <w:tcW w:w="0" w:type="auto"/>
            <w:gridSpan w:val="3"/>
            <w:shd w:val="clear" w:color="auto" w:fill="auto"/>
            <w:vAlign w:val="bottom"/>
          </w:tcPr>
          <w:p w14:paraId="74DDCCFB" w14:textId="77777777" w:rsidR="00584EC1" w:rsidRDefault="00584EC1">
            <w:pPr>
              <w:rPr>
                <w:rFonts w:ascii="宋体"/>
                <w:vanish/>
              </w:rPr>
            </w:pPr>
          </w:p>
        </w:tc>
        <w:tc>
          <w:tcPr>
            <w:tcW w:w="0" w:type="auto"/>
            <w:gridSpan w:val="3"/>
            <w:shd w:val="clear" w:color="auto" w:fill="auto"/>
            <w:vAlign w:val="bottom"/>
          </w:tcPr>
          <w:p w14:paraId="74DDCCFC" w14:textId="77777777" w:rsidR="00584EC1" w:rsidRDefault="00584EC1">
            <w:pPr>
              <w:rPr>
                <w:rFonts w:ascii="宋体"/>
                <w:vanish/>
              </w:rPr>
            </w:pPr>
          </w:p>
        </w:tc>
      </w:tr>
      <w:tr w:rsidR="00584EC1" w14:paraId="74DDCD0D" w14:textId="77777777">
        <w:tc>
          <w:tcPr>
            <w:tcW w:w="0" w:type="auto"/>
            <w:gridSpan w:val="3"/>
            <w:shd w:val="clear" w:color="auto" w:fill="CCEEFF"/>
            <w:tcMar>
              <w:top w:w="40" w:type="dxa"/>
              <w:left w:w="20" w:type="dxa"/>
              <w:bottom w:w="40" w:type="dxa"/>
              <w:right w:w="20" w:type="dxa"/>
            </w:tcMar>
            <w:vAlign w:val="bottom"/>
          </w:tcPr>
          <w:p w14:paraId="74DDCCFE" w14:textId="77777777" w:rsidR="00584EC1" w:rsidRDefault="00871F8D">
            <w:pPr>
              <w:textAlignment w:val="bottom"/>
            </w:pPr>
            <w:r>
              <w:rPr>
                <w:rFonts w:ascii="Arial" w:eastAsia="宋体" w:hAnsi="Arial" w:cs="Arial"/>
                <w:color w:val="000000"/>
                <w:sz w:val="13"/>
                <w:szCs w:val="13"/>
              </w:rPr>
              <w:t>Long-term debt</w:t>
            </w:r>
          </w:p>
        </w:tc>
        <w:tc>
          <w:tcPr>
            <w:tcW w:w="0" w:type="auto"/>
            <w:gridSpan w:val="2"/>
            <w:shd w:val="clear" w:color="auto" w:fill="CCEEFF"/>
            <w:tcMar>
              <w:top w:w="40" w:type="dxa"/>
              <w:left w:w="20" w:type="dxa"/>
              <w:bottom w:w="40" w:type="dxa"/>
              <w:right w:w="0" w:type="dxa"/>
            </w:tcMar>
            <w:vAlign w:val="bottom"/>
          </w:tcPr>
          <w:p w14:paraId="74DDCCFF" w14:textId="77777777" w:rsidR="00584EC1" w:rsidRDefault="00871F8D">
            <w:pPr>
              <w:jc w:val="right"/>
              <w:textAlignment w:val="bottom"/>
            </w:pPr>
            <w:r>
              <w:rPr>
                <w:rFonts w:ascii="Arial" w:eastAsia="宋体" w:hAnsi="Arial" w:cs="Arial"/>
                <w:b/>
                <w:bCs/>
                <w:color w:val="000000"/>
                <w:sz w:val="13"/>
                <w:szCs w:val="13"/>
              </w:rPr>
              <w:t>12,978</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CD0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D0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CD02" w14:textId="77777777" w:rsidR="00584EC1" w:rsidRDefault="00871F8D">
            <w:pPr>
              <w:jc w:val="right"/>
              <w:textAlignment w:val="bottom"/>
            </w:pPr>
            <w:r>
              <w:rPr>
                <w:rFonts w:ascii="Arial" w:eastAsia="宋体" w:hAnsi="Arial" w:cs="Arial"/>
                <w:b/>
                <w:bCs/>
                <w:color w:val="000000"/>
                <w:sz w:val="13"/>
                <w:szCs w:val="13"/>
              </w:rPr>
              <w:t>13,151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CD0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D04"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CD05" w14:textId="77777777" w:rsidR="00584EC1" w:rsidRDefault="00871F8D">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CD0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D0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CD08" w14:textId="77777777" w:rsidR="00584EC1" w:rsidRDefault="00871F8D">
            <w:pPr>
              <w:jc w:val="right"/>
              <w:textAlignment w:val="bottom"/>
            </w:pPr>
            <w:r>
              <w:rPr>
                <w:rFonts w:ascii="Arial" w:eastAsia="宋体" w:hAnsi="Arial" w:cs="Arial"/>
                <w:b/>
                <w:bCs/>
                <w:color w:val="000000"/>
                <w:sz w:val="13"/>
                <w:szCs w:val="13"/>
              </w:rPr>
              <w:t>13,069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CD0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D0A"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CD0B" w14:textId="77777777" w:rsidR="00584EC1" w:rsidRDefault="00871F8D">
            <w:pPr>
              <w:jc w:val="right"/>
              <w:textAlignment w:val="bottom"/>
            </w:pPr>
            <w:r>
              <w:rPr>
                <w:rFonts w:ascii="Arial" w:eastAsia="宋体" w:hAnsi="Arial" w:cs="Arial"/>
                <w:b/>
                <w:bCs/>
                <w:color w:val="000000"/>
                <w:sz w:val="13"/>
                <w:szCs w:val="13"/>
              </w:rPr>
              <w:t>82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CD0C" w14:textId="77777777" w:rsidR="00584EC1" w:rsidRDefault="00584EC1">
            <w:pPr>
              <w:jc w:val="right"/>
              <w:rPr>
                <w:rFonts w:ascii="宋体"/>
              </w:rPr>
            </w:pPr>
          </w:p>
        </w:tc>
      </w:tr>
      <w:tr w:rsidR="00584EC1" w14:paraId="74DDCD18" w14:textId="77777777">
        <w:trPr>
          <w:hidden/>
        </w:trPr>
        <w:tc>
          <w:tcPr>
            <w:tcW w:w="0" w:type="auto"/>
            <w:gridSpan w:val="3"/>
            <w:shd w:val="clear" w:color="auto" w:fill="auto"/>
            <w:vAlign w:val="bottom"/>
          </w:tcPr>
          <w:p w14:paraId="74DDCD0E" w14:textId="77777777" w:rsidR="00584EC1" w:rsidRDefault="00584EC1">
            <w:pPr>
              <w:rPr>
                <w:rFonts w:ascii="宋体"/>
                <w:vanish/>
              </w:rPr>
            </w:pPr>
          </w:p>
        </w:tc>
        <w:tc>
          <w:tcPr>
            <w:tcW w:w="0" w:type="auto"/>
            <w:gridSpan w:val="3"/>
            <w:shd w:val="clear" w:color="auto" w:fill="auto"/>
            <w:vAlign w:val="bottom"/>
          </w:tcPr>
          <w:p w14:paraId="74DDCD0F" w14:textId="77777777" w:rsidR="00584EC1" w:rsidRDefault="00584EC1">
            <w:pPr>
              <w:rPr>
                <w:rFonts w:ascii="宋体"/>
                <w:vanish/>
              </w:rPr>
            </w:pPr>
          </w:p>
        </w:tc>
        <w:tc>
          <w:tcPr>
            <w:tcW w:w="0" w:type="auto"/>
            <w:gridSpan w:val="3"/>
            <w:shd w:val="clear" w:color="auto" w:fill="auto"/>
            <w:vAlign w:val="bottom"/>
          </w:tcPr>
          <w:p w14:paraId="74DDCD10" w14:textId="77777777" w:rsidR="00584EC1" w:rsidRDefault="00584EC1">
            <w:pPr>
              <w:rPr>
                <w:rFonts w:ascii="宋体"/>
                <w:vanish/>
              </w:rPr>
            </w:pPr>
          </w:p>
        </w:tc>
        <w:tc>
          <w:tcPr>
            <w:tcW w:w="0" w:type="auto"/>
            <w:gridSpan w:val="3"/>
            <w:shd w:val="clear" w:color="auto" w:fill="auto"/>
            <w:vAlign w:val="bottom"/>
          </w:tcPr>
          <w:p w14:paraId="74DDCD11" w14:textId="77777777" w:rsidR="00584EC1" w:rsidRDefault="00584EC1">
            <w:pPr>
              <w:rPr>
                <w:rFonts w:ascii="宋体"/>
                <w:vanish/>
              </w:rPr>
            </w:pPr>
          </w:p>
        </w:tc>
        <w:tc>
          <w:tcPr>
            <w:tcW w:w="0" w:type="auto"/>
            <w:gridSpan w:val="3"/>
            <w:shd w:val="clear" w:color="auto" w:fill="auto"/>
            <w:vAlign w:val="bottom"/>
          </w:tcPr>
          <w:p w14:paraId="74DDCD12" w14:textId="77777777" w:rsidR="00584EC1" w:rsidRDefault="00584EC1">
            <w:pPr>
              <w:rPr>
                <w:rFonts w:ascii="宋体"/>
                <w:vanish/>
              </w:rPr>
            </w:pPr>
          </w:p>
        </w:tc>
        <w:tc>
          <w:tcPr>
            <w:tcW w:w="0" w:type="auto"/>
            <w:gridSpan w:val="3"/>
            <w:shd w:val="clear" w:color="auto" w:fill="auto"/>
            <w:vAlign w:val="bottom"/>
          </w:tcPr>
          <w:p w14:paraId="74DDCD13" w14:textId="77777777" w:rsidR="00584EC1" w:rsidRDefault="00584EC1">
            <w:pPr>
              <w:rPr>
                <w:rFonts w:ascii="宋体"/>
                <w:vanish/>
              </w:rPr>
            </w:pPr>
          </w:p>
        </w:tc>
        <w:tc>
          <w:tcPr>
            <w:tcW w:w="0" w:type="auto"/>
            <w:gridSpan w:val="3"/>
            <w:shd w:val="clear" w:color="auto" w:fill="auto"/>
            <w:vAlign w:val="bottom"/>
          </w:tcPr>
          <w:p w14:paraId="74DDCD14" w14:textId="77777777" w:rsidR="00584EC1" w:rsidRDefault="00584EC1">
            <w:pPr>
              <w:rPr>
                <w:rFonts w:ascii="宋体"/>
                <w:vanish/>
              </w:rPr>
            </w:pPr>
          </w:p>
        </w:tc>
        <w:tc>
          <w:tcPr>
            <w:tcW w:w="0" w:type="auto"/>
            <w:gridSpan w:val="3"/>
            <w:shd w:val="clear" w:color="auto" w:fill="auto"/>
            <w:vAlign w:val="bottom"/>
          </w:tcPr>
          <w:p w14:paraId="74DDCD15" w14:textId="77777777" w:rsidR="00584EC1" w:rsidRDefault="00584EC1">
            <w:pPr>
              <w:rPr>
                <w:rFonts w:ascii="宋体"/>
                <w:vanish/>
              </w:rPr>
            </w:pPr>
          </w:p>
        </w:tc>
        <w:tc>
          <w:tcPr>
            <w:tcW w:w="0" w:type="auto"/>
            <w:gridSpan w:val="3"/>
            <w:shd w:val="clear" w:color="auto" w:fill="auto"/>
            <w:vAlign w:val="bottom"/>
          </w:tcPr>
          <w:p w14:paraId="74DDCD16" w14:textId="77777777" w:rsidR="00584EC1" w:rsidRDefault="00584EC1">
            <w:pPr>
              <w:rPr>
                <w:rFonts w:ascii="宋体"/>
                <w:vanish/>
              </w:rPr>
            </w:pPr>
          </w:p>
        </w:tc>
        <w:tc>
          <w:tcPr>
            <w:tcW w:w="0" w:type="auto"/>
            <w:gridSpan w:val="3"/>
            <w:shd w:val="clear" w:color="auto" w:fill="auto"/>
            <w:vAlign w:val="bottom"/>
          </w:tcPr>
          <w:p w14:paraId="74DDCD17" w14:textId="77777777" w:rsidR="00584EC1" w:rsidRDefault="00584EC1">
            <w:pPr>
              <w:rPr>
                <w:rFonts w:ascii="宋体"/>
                <w:vanish/>
              </w:rPr>
            </w:pPr>
          </w:p>
        </w:tc>
      </w:tr>
    </w:tbl>
    <w:p w14:paraId="74DDCD19" w14:textId="77777777" w:rsidR="00584EC1" w:rsidRDefault="00584E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600"/>
        <w:gridCol w:w="36"/>
        <w:gridCol w:w="69"/>
        <w:gridCol w:w="1417"/>
        <w:gridCol w:w="36"/>
        <w:gridCol w:w="70"/>
        <w:gridCol w:w="2663"/>
        <w:gridCol w:w="36"/>
      </w:tblGrid>
      <w:tr w:rsidR="00584EC1" w14:paraId="74DDCD26" w14:textId="77777777">
        <w:tc>
          <w:tcPr>
            <w:tcW w:w="50" w:type="pct"/>
            <w:shd w:val="clear" w:color="auto" w:fill="auto"/>
            <w:vAlign w:val="bottom"/>
          </w:tcPr>
          <w:p w14:paraId="74DDCD1A" w14:textId="77777777" w:rsidR="00584EC1" w:rsidRDefault="00584EC1">
            <w:pPr>
              <w:rPr>
                <w:rFonts w:ascii="宋体"/>
              </w:rPr>
            </w:pPr>
          </w:p>
        </w:tc>
        <w:tc>
          <w:tcPr>
            <w:tcW w:w="1348" w:type="pct"/>
            <w:shd w:val="clear" w:color="auto" w:fill="auto"/>
            <w:vAlign w:val="bottom"/>
          </w:tcPr>
          <w:p w14:paraId="74DDCD1B" w14:textId="77777777" w:rsidR="00584EC1" w:rsidRDefault="00584EC1">
            <w:pPr>
              <w:rPr>
                <w:rFonts w:ascii="宋体"/>
              </w:rPr>
            </w:pPr>
          </w:p>
        </w:tc>
        <w:tc>
          <w:tcPr>
            <w:tcW w:w="5" w:type="pct"/>
            <w:shd w:val="clear" w:color="auto" w:fill="auto"/>
            <w:vAlign w:val="bottom"/>
          </w:tcPr>
          <w:p w14:paraId="74DDCD1C" w14:textId="77777777" w:rsidR="00584EC1" w:rsidRDefault="00584EC1">
            <w:pPr>
              <w:rPr>
                <w:rFonts w:ascii="宋体"/>
              </w:rPr>
            </w:pPr>
          </w:p>
        </w:tc>
        <w:tc>
          <w:tcPr>
            <w:tcW w:w="50" w:type="pct"/>
            <w:shd w:val="clear" w:color="auto" w:fill="auto"/>
            <w:vAlign w:val="bottom"/>
          </w:tcPr>
          <w:p w14:paraId="74DDCD1D" w14:textId="77777777" w:rsidR="00584EC1" w:rsidRDefault="00584EC1">
            <w:pPr>
              <w:rPr>
                <w:rFonts w:ascii="宋体"/>
              </w:rPr>
            </w:pPr>
          </w:p>
        </w:tc>
        <w:tc>
          <w:tcPr>
            <w:tcW w:w="968" w:type="pct"/>
            <w:shd w:val="clear" w:color="auto" w:fill="auto"/>
            <w:vAlign w:val="bottom"/>
          </w:tcPr>
          <w:p w14:paraId="74DDCD1E" w14:textId="77777777" w:rsidR="00584EC1" w:rsidRDefault="00584EC1">
            <w:pPr>
              <w:rPr>
                <w:rFonts w:ascii="宋体"/>
              </w:rPr>
            </w:pPr>
          </w:p>
        </w:tc>
        <w:tc>
          <w:tcPr>
            <w:tcW w:w="5" w:type="pct"/>
            <w:shd w:val="clear" w:color="auto" w:fill="auto"/>
            <w:vAlign w:val="bottom"/>
          </w:tcPr>
          <w:p w14:paraId="74DDCD1F" w14:textId="77777777" w:rsidR="00584EC1" w:rsidRDefault="00584EC1">
            <w:pPr>
              <w:rPr>
                <w:rFonts w:ascii="宋体"/>
              </w:rPr>
            </w:pPr>
          </w:p>
        </w:tc>
        <w:tc>
          <w:tcPr>
            <w:tcW w:w="50" w:type="pct"/>
            <w:shd w:val="clear" w:color="auto" w:fill="auto"/>
            <w:vAlign w:val="bottom"/>
          </w:tcPr>
          <w:p w14:paraId="74DDCD20" w14:textId="77777777" w:rsidR="00584EC1" w:rsidRDefault="00584EC1">
            <w:pPr>
              <w:rPr>
                <w:rFonts w:ascii="宋体"/>
              </w:rPr>
            </w:pPr>
          </w:p>
        </w:tc>
        <w:tc>
          <w:tcPr>
            <w:tcW w:w="858" w:type="pct"/>
            <w:shd w:val="clear" w:color="auto" w:fill="auto"/>
            <w:vAlign w:val="bottom"/>
          </w:tcPr>
          <w:p w14:paraId="74DDCD21" w14:textId="77777777" w:rsidR="00584EC1" w:rsidRDefault="00584EC1">
            <w:pPr>
              <w:rPr>
                <w:rFonts w:ascii="宋体"/>
              </w:rPr>
            </w:pPr>
          </w:p>
        </w:tc>
        <w:tc>
          <w:tcPr>
            <w:tcW w:w="5" w:type="pct"/>
            <w:shd w:val="clear" w:color="auto" w:fill="auto"/>
            <w:vAlign w:val="bottom"/>
          </w:tcPr>
          <w:p w14:paraId="74DDCD22" w14:textId="77777777" w:rsidR="00584EC1" w:rsidRDefault="00584EC1">
            <w:pPr>
              <w:rPr>
                <w:rFonts w:ascii="宋体"/>
              </w:rPr>
            </w:pPr>
          </w:p>
        </w:tc>
        <w:tc>
          <w:tcPr>
            <w:tcW w:w="50" w:type="pct"/>
            <w:shd w:val="clear" w:color="auto" w:fill="auto"/>
            <w:vAlign w:val="bottom"/>
          </w:tcPr>
          <w:p w14:paraId="74DDCD23" w14:textId="77777777" w:rsidR="00584EC1" w:rsidRDefault="00584EC1">
            <w:pPr>
              <w:rPr>
                <w:rFonts w:ascii="宋体"/>
              </w:rPr>
            </w:pPr>
          </w:p>
        </w:tc>
        <w:tc>
          <w:tcPr>
            <w:tcW w:w="1604" w:type="pct"/>
            <w:shd w:val="clear" w:color="auto" w:fill="auto"/>
            <w:vAlign w:val="bottom"/>
          </w:tcPr>
          <w:p w14:paraId="74DDCD24" w14:textId="77777777" w:rsidR="00584EC1" w:rsidRDefault="00584EC1">
            <w:pPr>
              <w:rPr>
                <w:rFonts w:ascii="宋体"/>
              </w:rPr>
            </w:pPr>
          </w:p>
        </w:tc>
        <w:tc>
          <w:tcPr>
            <w:tcW w:w="5" w:type="pct"/>
            <w:shd w:val="clear" w:color="auto" w:fill="auto"/>
            <w:vAlign w:val="bottom"/>
          </w:tcPr>
          <w:p w14:paraId="74DDCD25" w14:textId="77777777" w:rsidR="00584EC1" w:rsidRDefault="00584EC1">
            <w:pPr>
              <w:rPr>
                <w:rFonts w:ascii="宋体"/>
              </w:rPr>
            </w:pPr>
          </w:p>
        </w:tc>
      </w:tr>
      <w:tr w:rsidR="00584EC1" w14:paraId="74DDCD2B"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4DDCD27"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D28"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D29"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D2A" w14:textId="77777777" w:rsidR="00584EC1" w:rsidRDefault="00584EC1">
            <w:pPr>
              <w:rPr>
                <w:rFonts w:ascii="宋体"/>
              </w:rPr>
            </w:pPr>
          </w:p>
        </w:tc>
      </w:tr>
    </w:tbl>
    <w:p w14:paraId="74DDCD2C" w14:textId="77777777" w:rsidR="00584EC1" w:rsidRDefault="00871F8D">
      <w:r>
        <w:rPr>
          <w:rFonts w:ascii="Arial" w:eastAsia="宋体" w:hAnsi="Arial" w:cs="Arial"/>
          <w:color w:val="000000"/>
          <w:sz w:val="7"/>
          <w:szCs w:val="7"/>
        </w:rPr>
        <w:t>(1)</w:t>
      </w:r>
      <w:r>
        <w:rPr>
          <w:rFonts w:ascii="Arial" w:eastAsia="宋体" w:hAnsi="Arial" w:cs="Arial"/>
          <w:color w:val="000000"/>
          <w:sz w:val="12"/>
          <w:szCs w:val="12"/>
        </w:rPr>
        <w:t xml:space="preserve"> Includes $61 million of loans classified as held-for-sale that were measured at fair value in level 2 as of September 30, 2021.</w:t>
      </w:r>
    </w:p>
    <w:p w14:paraId="74DDCD2D" w14:textId="77777777" w:rsidR="00584EC1" w:rsidRDefault="00871F8D">
      <w:pPr>
        <w:ind w:firstLine="450"/>
        <w:jc w:val="right"/>
      </w:pPr>
      <w:r>
        <w:rPr>
          <w:rFonts w:ascii="Arial" w:eastAsia="宋体" w:hAnsi="Arial" w:cs="Arial"/>
          <w:color w:val="000000"/>
          <w:sz w:val="18"/>
          <w:szCs w:val="18"/>
        </w:rPr>
        <w:t>State Street Corporation | 64</w:t>
      </w:r>
    </w:p>
    <w:p w14:paraId="74DDCD2E" w14:textId="77777777" w:rsidR="00584EC1" w:rsidRDefault="00584EC1">
      <w:pPr>
        <w:ind w:firstLine="450"/>
        <w:jc w:val="center"/>
      </w:pPr>
    </w:p>
    <w:p w14:paraId="74DDCD2F" w14:textId="77777777" w:rsidR="00584EC1" w:rsidRDefault="00871F8D">
      <w:r>
        <w:pict w14:anchorId="74DE2A2E">
          <v:rect id="_x0000_i1088" style="width:415.3pt;height:1.5pt" o:hralign="center" o:hrstd="t" o:hr="t" fillcolor="#a0a0a0" stroked="f"/>
        </w:pict>
      </w:r>
    </w:p>
    <w:p w14:paraId="74DDCD30" w14:textId="77777777" w:rsidR="00584EC1" w:rsidRDefault="00871F8D">
      <w:pPr>
        <w:ind w:firstLine="450"/>
        <w:jc w:val="center"/>
      </w:pPr>
      <w:r>
        <w:rPr>
          <w:rFonts w:ascii="Arial" w:eastAsia="宋体" w:hAnsi="Arial" w:cs="Arial"/>
          <w:b/>
          <w:bCs/>
          <w:color w:val="000000"/>
          <w:sz w:val="20"/>
          <w:szCs w:val="20"/>
        </w:rPr>
        <w:t>STATE STREET CORPORATION</w:t>
      </w:r>
    </w:p>
    <w:p w14:paraId="74DDCD31" w14:textId="77777777" w:rsidR="00584EC1" w:rsidRDefault="00871F8D">
      <w:pPr>
        <w:ind w:firstLine="450"/>
        <w:jc w:val="center"/>
      </w:pPr>
      <w:r>
        <w:rPr>
          <w:rFonts w:ascii="Arial" w:eastAsia="宋体" w:hAnsi="Arial" w:cs="Arial"/>
          <w:b/>
          <w:bCs/>
          <w:color w:val="000000"/>
          <w:sz w:val="20"/>
          <w:szCs w:val="20"/>
        </w:rPr>
        <w:t>CONDENSED NOTES TO CONSOLIDATED FINANCIAL STATEMENTS</w:t>
      </w:r>
    </w:p>
    <w:p w14:paraId="74DDCD32" w14:textId="77777777" w:rsidR="00584EC1" w:rsidRDefault="00871F8D">
      <w:pPr>
        <w:ind w:firstLine="450"/>
        <w:jc w:val="center"/>
      </w:pPr>
      <w:r>
        <w:rPr>
          <w:rFonts w:ascii="Arial" w:eastAsia="宋体" w:hAnsi="Arial" w:cs="Arial"/>
          <w:b/>
          <w:bCs/>
          <w:color w:val="000000"/>
          <w:sz w:val="20"/>
          <w:szCs w:val="20"/>
        </w:rPr>
        <w:t>(UNAUDITED)</w:t>
      </w:r>
    </w:p>
    <w:tbl>
      <w:tblPr>
        <w:tblW w:w="4985" w:type="pct"/>
        <w:tblCellMar>
          <w:top w:w="15" w:type="dxa"/>
          <w:left w:w="15" w:type="dxa"/>
          <w:bottom w:w="15" w:type="dxa"/>
          <w:right w:w="15" w:type="dxa"/>
        </w:tblCellMar>
        <w:tblLook w:val="04A0" w:firstRow="1" w:lastRow="0" w:firstColumn="1" w:lastColumn="0" w:noHBand="0" w:noVBand="1"/>
      </w:tblPr>
      <w:tblGrid>
        <w:gridCol w:w="41"/>
        <w:gridCol w:w="2324"/>
        <w:gridCol w:w="39"/>
        <w:gridCol w:w="94"/>
        <w:gridCol w:w="726"/>
        <w:gridCol w:w="36"/>
        <w:gridCol w:w="36"/>
        <w:gridCol w:w="36"/>
        <w:gridCol w:w="36"/>
        <w:gridCol w:w="94"/>
        <w:gridCol w:w="666"/>
        <w:gridCol w:w="36"/>
        <w:gridCol w:w="36"/>
        <w:gridCol w:w="36"/>
        <w:gridCol w:w="36"/>
        <w:gridCol w:w="94"/>
        <w:gridCol w:w="1058"/>
        <w:gridCol w:w="36"/>
        <w:gridCol w:w="36"/>
        <w:gridCol w:w="36"/>
        <w:gridCol w:w="36"/>
        <w:gridCol w:w="94"/>
        <w:gridCol w:w="1117"/>
        <w:gridCol w:w="36"/>
        <w:gridCol w:w="36"/>
        <w:gridCol w:w="36"/>
        <w:gridCol w:w="36"/>
        <w:gridCol w:w="94"/>
        <w:gridCol w:w="1258"/>
        <w:gridCol w:w="36"/>
      </w:tblGrid>
      <w:tr w:rsidR="00584EC1" w14:paraId="74DDCD51" w14:textId="77777777">
        <w:tc>
          <w:tcPr>
            <w:tcW w:w="50" w:type="pct"/>
            <w:shd w:val="clear" w:color="auto" w:fill="auto"/>
            <w:vAlign w:val="bottom"/>
          </w:tcPr>
          <w:p w14:paraId="74DDCD33" w14:textId="77777777" w:rsidR="00584EC1" w:rsidRDefault="00584EC1">
            <w:pPr>
              <w:rPr>
                <w:rFonts w:ascii="宋体"/>
              </w:rPr>
            </w:pPr>
          </w:p>
        </w:tc>
        <w:tc>
          <w:tcPr>
            <w:tcW w:w="1447" w:type="pct"/>
            <w:shd w:val="clear" w:color="auto" w:fill="auto"/>
            <w:vAlign w:val="bottom"/>
          </w:tcPr>
          <w:p w14:paraId="74DDCD34" w14:textId="77777777" w:rsidR="00584EC1" w:rsidRDefault="00584EC1">
            <w:pPr>
              <w:rPr>
                <w:rFonts w:ascii="宋体"/>
              </w:rPr>
            </w:pPr>
          </w:p>
        </w:tc>
        <w:tc>
          <w:tcPr>
            <w:tcW w:w="5" w:type="pct"/>
            <w:shd w:val="clear" w:color="auto" w:fill="auto"/>
            <w:vAlign w:val="bottom"/>
          </w:tcPr>
          <w:p w14:paraId="74DDCD35" w14:textId="77777777" w:rsidR="00584EC1" w:rsidRDefault="00584EC1">
            <w:pPr>
              <w:rPr>
                <w:rFonts w:ascii="宋体"/>
              </w:rPr>
            </w:pPr>
          </w:p>
        </w:tc>
        <w:tc>
          <w:tcPr>
            <w:tcW w:w="50" w:type="pct"/>
            <w:shd w:val="clear" w:color="auto" w:fill="auto"/>
            <w:vAlign w:val="bottom"/>
          </w:tcPr>
          <w:p w14:paraId="74DDCD36" w14:textId="77777777" w:rsidR="00584EC1" w:rsidRDefault="00584EC1">
            <w:pPr>
              <w:rPr>
                <w:rFonts w:ascii="宋体"/>
              </w:rPr>
            </w:pPr>
          </w:p>
        </w:tc>
        <w:tc>
          <w:tcPr>
            <w:tcW w:w="480" w:type="pct"/>
            <w:shd w:val="clear" w:color="auto" w:fill="auto"/>
            <w:vAlign w:val="bottom"/>
          </w:tcPr>
          <w:p w14:paraId="74DDCD37" w14:textId="77777777" w:rsidR="00584EC1" w:rsidRDefault="00584EC1">
            <w:pPr>
              <w:rPr>
                <w:rFonts w:ascii="宋体"/>
              </w:rPr>
            </w:pPr>
          </w:p>
        </w:tc>
        <w:tc>
          <w:tcPr>
            <w:tcW w:w="5" w:type="pct"/>
            <w:shd w:val="clear" w:color="auto" w:fill="auto"/>
            <w:vAlign w:val="bottom"/>
          </w:tcPr>
          <w:p w14:paraId="74DDCD38" w14:textId="77777777" w:rsidR="00584EC1" w:rsidRDefault="00584EC1">
            <w:pPr>
              <w:rPr>
                <w:rFonts w:ascii="宋体"/>
              </w:rPr>
            </w:pPr>
          </w:p>
        </w:tc>
        <w:tc>
          <w:tcPr>
            <w:tcW w:w="5" w:type="pct"/>
            <w:shd w:val="clear" w:color="auto" w:fill="auto"/>
            <w:vAlign w:val="bottom"/>
          </w:tcPr>
          <w:p w14:paraId="74DDCD39" w14:textId="77777777" w:rsidR="00584EC1" w:rsidRDefault="00584EC1">
            <w:pPr>
              <w:rPr>
                <w:rFonts w:ascii="宋体"/>
              </w:rPr>
            </w:pPr>
          </w:p>
        </w:tc>
        <w:tc>
          <w:tcPr>
            <w:tcW w:w="26" w:type="pct"/>
            <w:shd w:val="clear" w:color="auto" w:fill="auto"/>
            <w:vAlign w:val="bottom"/>
          </w:tcPr>
          <w:p w14:paraId="74DDCD3A" w14:textId="77777777" w:rsidR="00584EC1" w:rsidRDefault="00584EC1">
            <w:pPr>
              <w:rPr>
                <w:rFonts w:ascii="宋体"/>
              </w:rPr>
            </w:pPr>
          </w:p>
        </w:tc>
        <w:tc>
          <w:tcPr>
            <w:tcW w:w="5" w:type="pct"/>
            <w:shd w:val="clear" w:color="auto" w:fill="auto"/>
            <w:vAlign w:val="bottom"/>
          </w:tcPr>
          <w:p w14:paraId="74DDCD3B" w14:textId="77777777" w:rsidR="00584EC1" w:rsidRDefault="00584EC1">
            <w:pPr>
              <w:rPr>
                <w:rFonts w:ascii="宋体"/>
              </w:rPr>
            </w:pPr>
          </w:p>
        </w:tc>
        <w:tc>
          <w:tcPr>
            <w:tcW w:w="50" w:type="pct"/>
            <w:shd w:val="clear" w:color="auto" w:fill="auto"/>
            <w:vAlign w:val="bottom"/>
          </w:tcPr>
          <w:p w14:paraId="74DDCD3C" w14:textId="77777777" w:rsidR="00584EC1" w:rsidRDefault="00584EC1">
            <w:pPr>
              <w:rPr>
                <w:rFonts w:ascii="宋体"/>
              </w:rPr>
            </w:pPr>
          </w:p>
        </w:tc>
        <w:tc>
          <w:tcPr>
            <w:tcW w:w="472" w:type="pct"/>
            <w:shd w:val="clear" w:color="auto" w:fill="auto"/>
            <w:vAlign w:val="bottom"/>
          </w:tcPr>
          <w:p w14:paraId="74DDCD3D" w14:textId="77777777" w:rsidR="00584EC1" w:rsidRDefault="00584EC1">
            <w:pPr>
              <w:rPr>
                <w:rFonts w:ascii="宋体"/>
              </w:rPr>
            </w:pPr>
          </w:p>
        </w:tc>
        <w:tc>
          <w:tcPr>
            <w:tcW w:w="5" w:type="pct"/>
            <w:shd w:val="clear" w:color="auto" w:fill="auto"/>
            <w:vAlign w:val="bottom"/>
          </w:tcPr>
          <w:p w14:paraId="74DDCD3E" w14:textId="77777777" w:rsidR="00584EC1" w:rsidRDefault="00584EC1">
            <w:pPr>
              <w:rPr>
                <w:rFonts w:ascii="宋体"/>
              </w:rPr>
            </w:pPr>
          </w:p>
        </w:tc>
        <w:tc>
          <w:tcPr>
            <w:tcW w:w="5" w:type="pct"/>
            <w:shd w:val="clear" w:color="auto" w:fill="auto"/>
            <w:vAlign w:val="bottom"/>
          </w:tcPr>
          <w:p w14:paraId="74DDCD3F" w14:textId="77777777" w:rsidR="00584EC1" w:rsidRDefault="00584EC1">
            <w:pPr>
              <w:rPr>
                <w:rFonts w:ascii="宋体"/>
              </w:rPr>
            </w:pPr>
          </w:p>
        </w:tc>
        <w:tc>
          <w:tcPr>
            <w:tcW w:w="26" w:type="pct"/>
            <w:shd w:val="clear" w:color="auto" w:fill="auto"/>
            <w:vAlign w:val="bottom"/>
          </w:tcPr>
          <w:p w14:paraId="74DDCD40" w14:textId="77777777" w:rsidR="00584EC1" w:rsidRDefault="00584EC1">
            <w:pPr>
              <w:rPr>
                <w:rFonts w:ascii="宋体"/>
              </w:rPr>
            </w:pPr>
          </w:p>
        </w:tc>
        <w:tc>
          <w:tcPr>
            <w:tcW w:w="5" w:type="pct"/>
            <w:shd w:val="clear" w:color="auto" w:fill="auto"/>
            <w:vAlign w:val="bottom"/>
          </w:tcPr>
          <w:p w14:paraId="74DDCD41" w14:textId="77777777" w:rsidR="00584EC1" w:rsidRDefault="00584EC1">
            <w:pPr>
              <w:rPr>
                <w:rFonts w:ascii="宋体"/>
              </w:rPr>
            </w:pPr>
          </w:p>
        </w:tc>
        <w:tc>
          <w:tcPr>
            <w:tcW w:w="50" w:type="pct"/>
            <w:shd w:val="clear" w:color="auto" w:fill="auto"/>
            <w:vAlign w:val="bottom"/>
          </w:tcPr>
          <w:p w14:paraId="74DDCD42" w14:textId="77777777" w:rsidR="00584EC1" w:rsidRDefault="00584EC1">
            <w:pPr>
              <w:rPr>
                <w:rFonts w:ascii="宋体"/>
              </w:rPr>
            </w:pPr>
          </w:p>
        </w:tc>
        <w:tc>
          <w:tcPr>
            <w:tcW w:w="707" w:type="pct"/>
            <w:shd w:val="clear" w:color="auto" w:fill="auto"/>
            <w:vAlign w:val="bottom"/>
          </w:tcPr>
          <w:p w14:paraId="74DDCD43" w14:textId="77777777" w:rsidR="00584EC1" w:rsidRDefault="00584EC1">
            <w:pPr>
              <w:rPr>
                <w:rFonts w:ascii="宋体"/>
              </w:rPr>
            </w:pPr>
          </w:p>
        </w:tc>
        <w:tc>
          <w:tcPr>
            <w:tcW w:w="5" w:type="pct"/>
            <w:shd w:val="clear" w:color="auto" w:fill="auto"/>
            <w:vAlign w:val="bottom"/>
          </w:tcPr>
          <w:p w14:paraId="74DDCD44" w14:textId="77777777" w:rsidR="00584EC1" w:rsidRDefault="00584EC1">
            <w:pPr>
              <w:rPr>
                <w:rFonts w:ascii="宋体"/>
              </w:rPr>
            </w:pPr>
          </w:p>
        </w:tc>
        <w:tc>
          <w:tcPr>
            <w:tcW w:w="5" w:type="pct"/>
            <w:shd w:val="clear" w:color="auto" w:fill="auto"/>
            <w:vAlign w:val="bottom"/>
          </w:tcPr>
          <w:p w14:paraId="74DDCD45" w14:textId="77777777" w:rsidR="00584EC1" w:rsidRDefault="00584EC1">
            <w:pPr>
              <w:rPr>
                <w:rFonts w:ascii="宋体"/>
              </w:rPr>
            </w:pPr>
          </w:p>
        </w:tc>
        <w:tc>
          <w:tcPr>
            <w:tcW w:w="26" w:type="pct"/>
            <w:shd w:val="clear" w:color="auto" w:fill="auto"/>
            <w:vAlign w:val="bottom"/>
          </w:tcPr>
          <w:p w14:paraId="74DDCD46" w14:textId="77777777" w:rsidR="00584EC1" w:rsidRDefault="00584EC1">
            <w:pPr>
              <w:rPr>
                <w:rFonts w:ascii="宋体"/>
              </w:rPr>
            </w:pPr>
          </w:p>
        </w:tc>
        <w:tc>
          <w:tcPr>
            <w:tcW w:w="5" w:type="pct"/>
            <w:shd w:val="clear" w:color="auto" w:fill="auto"/>
            <w:vAlign w:val="bottom"/>
          </w:tcPr>
          <w:p w14:paraId="74DDCD47" w14:textId="77777777" w:rsidR="00584EC1" w:rsidRDefault="00584EC1">
            <w:pPr>
              <w:rPr>
                <w:rFonts w:ascii="宋体"/>
              </w:rPr>
            </w:pPr>
          </w:p>
        </w:tc>
        <w:tc>
          <w:tcPr>
            <w:tcW w:w="50" w:type="pct"/>
            <w:shd w:val="clear" w:color="auto" w:fill="auto"/>
            <w:vAlign w:val="bottom"/>
          </w:tcPr>
          <w:p w14:paraId="74DDCD48" w14:textId="77777777" w:rsidR="00584EC1" w:rsidRDefault="00584EC1">
            <w:pPr>
              <w:rPr>
                <w:rFonts w:ascii="宋体"/>
              </w:rPr>
            </w:pPr>
          </w:p>
        </w:tc>
        <w:tc>
          <w:tcPr>
            <w:tcW w:w="707" w:type="pct"/>
            <w:shd w:val="clear" w:color="auto" w:fill="auto"/>
            <w:vAlign w:val="bottom"/>
          </w:tcPr>
          <w:p w14:paraId="74DDCD49" w14:textId="77777777" w:rsidR="00584EC1" w:rsidRDefault="00584EC1">
            <w:pPr>
              <w:rPr>
                <w:rFonts w:ascii="宋体"/>
              </w:rPr>
            </w:pPr>
          </w:p>
        </w:tc>
        <w:tc>
          <w:tcPr>
            <w:tcW w:w="5" w:type="pct"/>
            <w:shd w:val="clear" w:color="auto" w:fill="auto"/>
            <w:vAlign w:val="bottom"/>
          </w:tcPr>
          <w:p w14:paraId="74DDCD4A" w14:textId="77777777" w:rsidR="00584EC1" w:rsidRDefault="00584EC1">
            <w:pPr>
              <w:rPr>
                <w:rFonts w:ascii="宋体"/>
              </w:rPr>
            </w:pPr>
          </w:p>
        </w:tc>
        <w:tc>
          <w:tcPr>
            <w:tcW w:w="5" w:type="pct"/>
            <w:shd w:val="clear" w:color="auto" w:fill="auto"/>
            <w:vAlign w:val="bottom"/>
          </w:tcPr>
          <w:p w14:paraId="74DDCD4B" w14:textId="77777777" w:rsidR="00584EC1" w:rsidRDefault="00584EC1">
            <w:pPr>
              <w:rPr>
                <w:rFonts w:ascii="宋体"/>
              </w:rPr>
            </w:pPr>
          </w:p>
        </w:tc>
        <w:tc>
          <w:tcPr>
            <w:tcW w:w="26" w:type="pct"/>
            <w:shd w:val="clear" w:color="auto" w:fill="auto"/>
            <w:vAlign w:val="bottom"/>
          </w:tcPr>
          <w:p w14:paraId="74DDCD4C" w14:textId="77777777" w:rsidR="00584EC1" w:rsidRDefault="00584EC1">
            <w:pPr>
              <w:rPr>
                <w:rFonts w:ascii="宋体"/>
              </w:rPr>
            </w:pPr>
          </w:p>
        </w:tc>
        <w:tc>
          <w:tcPr>
            <w:tcW w:w="5" w:type="pct"/>
            <w:shd w:val="clear" w:color="auto" w:fill="auto"/>
            <w:vAlign w:val="bottom"/>
          </w:tcPr>
          <w:p w14:paraId="74DDCD4D" w14:textId="77777777" w:rsidR="00584EC1" w:rsidRDefault="00584EC1">
            <w:pPr>
              <w:rPr>
                <w:rFonts w:ascii="宋体"/>
              </w:rPr>
            </w:pPr>
          </w:p>
        </w:tc>
        <w:tc>
          <w:tcPr>
            <w:tcW w:w="50" w:type="pct"/>
            <w:shd w:val="clear" w:color="auto" w:fill="auto"/>
            <w:vAlign w:val="bottom"/>
          </w:tcPr>
          <w:p w14:paraId="74DDCD4E" w14:textId="77777777" w:rsidR="00584EC1" w:rsidRDefault="00584EC1">
            <w:pPr>
              <w:rPr>
                <w:rFonts w:ascii="宋体"/>
              </w:rPr>
            </w:pPr>
          </w:p>
        </w:tc>
        <w:tc>
          <w:tcPr>
            <w:tcW w:w="707" w:type="pct"/>
            <w:shd w:val="clear" w:color="auto" w:fill="auto"/>
            <w:vAlign w:val="bottom"/>
          </w:tcPr>
          <w:p w14:paraId="74DDCD4F" w14:textId="77777777" w:rsidR="00584EC1" w:rsidRDefault="00584EC1">
            <w:pPr>
              <w:rPr>
                <w:rFonts w:ascii="宋体"/>
              </w:rPr>
            </w:pPr>
          </w:p>
        </w:tc>
        <w:tc>
          <w:tcPr>
            <w:tcW w:w="5" w:type="pct"/>
            <w:shd w:val="clear" w:color="auto" w:fill="auto"/>
            <w:vAlign w:val="bottom"/>
          </w:tcPr>
          <w:p w14:paraId="74DDCD50" w14:textId="77777777" w:rsidR="00584EC1" w:rsidRDefault="00584EC1">
            <w:pPr>
              <w:rPr>
                <w:rFonts w:ascii="宋体"/>
              </w:rPr>
            </w:pPr>
          </w:p>
        </w:tc>
      </w:tr>
      <w:tr w:rsidR="00584EC1" w14:paraId="74DDCD58" w14:textId="77777777">
        <w:tc>
          <w:tcPr>
            <w:tcW w:w="0" w:type="auto"/>
            <w:gridSpan w:val="3"/>
            <w:shd w:val="clear" w:color="auto" w:fill="auto"/>
            <w:tcMar>
              <w:top w:w="0" w:type="dxa"/>
              <w:left w:w="20" w:type="dxa"/>
              <w:bottom w:w="0" w:type="dxa"/>
              <w:right w:w="20" w:type="dxa"/>
            </w:tcMar>
            <w:vAlign w:val="bottom"/>
          </w:tcPr>
          <w:p w14:paraId="74DDCD5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D53"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D54"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D5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D56" w14:textId="77777777" w:rsidR="00584EC1" w:rsidRDefault="00584EC1">
            <w:pPr>
              <w:rPr>
                <w:rFonts w:ascii="宋体"/>
              </w:rPr>
            </w:pPr>
          </w:p>
        </w:tc>
        <w:tc>
          <w:tcPr>
            <w:tcW w:w="0" w:type="auto"/>
            <w:gridSpan w:val="15"/>
            <w:shd w:val="clear" w:color="auto" w:fill="auto"/>
            <w:tcMar>
              <w:top w:w="40" w:type="dxa"/>
              <w:left w:w="20" w:type="dxa"/>
              <w:bottom w:w="40" w:type="dxa"/>
              <w:right w:w="20" w:type="dxa"/>
            </w:tcMar>
            <w:vAlign w:val="bottom"/>
          </w:tcPr>
          <w:p w14:paraId="74DDCD57" w14:textId="77777777" w:rsidR="00584EC1" w:rsidRDefault="00871F8D">
            <w:pPr>
              <w:jc w:val="center"/>
              <w:textAlignment w:val="bottom"/>
            </w:pPr>
            <w:r>
              <w:rPr>
                <w:rFonts w:ascii="Arial" w:eastAsia="宋体" w:hAnsi="Arial" w:cs="Arial"/>
                <w:b/>
                <w:bCs/>
                <w:color w:val="000000"/>
                <w:sz w:val="13"/>
                <w:szCs w:val="13"/>
              </w:rPr>
              <w:t>Fair Value Hierarchy</w:t>
            </w:r>
          </w:p>
        </w:tc>
      </w:tr>
      <w:tr w:rsidR="00584EC1" w14:paraId="74DDCD63" w14:textId="77777777">
        <w:tc>
          <w:tcPr>
            <w:tcW w:w="0" w:type="auto"/>
            <w:gridSpan w:val="3"/>
            <w:shd w:val="clear" w:color="auto" w:fill="auto"/>
            <w:tcMar>
              <w:top w:w="40" w:type="dxa"/>
              <w:left w:w="20" w:type="dxa"/>
              <w:bottom w:w="40" w:type="dxa"/>
              <w:right w:w="20" w:type="dxa"/>
            </w:tcMar>
            <w:vAlign w:val="bottom"/>
          </w:tcPr>
          <w:p w14:paraId="74DDCD59" w14:textId="77777777" w:rsidR="00584EC1" w:rsidRDefault="00871F8D">
            <w:pPr>
              <w:textAlignment w:val="bottom"/>
            </w:pPr>
            <w:r>
              <w:rPr>
                <w:rFonts w:ascii="Arial" w:eastAsia="宋体" w:hAnsi="Arial" w:cs="Arial"/>
                <w:b/>
                <w:bCs/>
                <w:color w:val="000000"/>
                <w:sz w:val="13"/>
                <w:szCs w:val="13"/>
              </w:rPr>
              <w:t>(In millions)</w:t>
            </w:r>
          </w:p>
        </w:tc>
        <w:tc>
          <w:tcPr>
            <w:tcW w:w="0" w:type="auto"/>
            <w:gridSpan w:val="3"/>
            <w:shd w:val="clear" w:color="auto" w:fill="auto"/>
            <w:tcMar>
              <w:top w:w="40" w:type="dxa"/>
              <w:left w:w="20" w:type="dxa"/>
              <w:bottom w:w="40" w:type="dxa"/>
              <w:right w:w="20" w:type="dxa"/>
            </w:tcMar>
            <w:vAlign w:val="bottom"/>
          </w:tcPr>
          <w:p w14:paraId="74DDCD5A" w14:textId="77777777" w:rsidR="00584EC1" w:rsidRDefault="00871F8D">
            <w:pPr>
              <w:jc w:val="center"/>
              <w:textAlignment w:val="bottom"/>
            </w:pPr>
            <w:r>
              <w:rPr>
                <w:rFonts w:ascii="Arial" w:eastAsia="宋体" w:hAnsi="Arial" w:cs="Arial"/>
                <w:b/>
                <w:bCs/>
                <w:color w:val="000000"/>
                <w:sz w:val="13"/>
                <w:szCs w:val="13"/>
              </w:rPr>
              <w:t>Reported Amount </w:t>
            </w:r>
          </w:p>
        </w:tc>
        <w:tc>
          <w:tcPr>
            <w:tcW w:w="0" w:type="auto"/>
            <w:gridSpan w:val="3"/>
            <w:shd w:val="clear" w:color="auto" w:fill="auto"/>
            <w:tcMar>
              <w:top w:w="0" w:type="dxa"/>
              <w:left w:w="20" w:type="dxa"/>
              <w:bottom w:w="0" w:type="dxa"/>
              <w:right w:w="20" w:type="dxa"/>
            </w:tcMar>
            <w:vAlign w:val="bottom"/>
          </w:tcPr>
          <w:p w14:paraId="74DDCD5B"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CD5C" w14:textId="77777777" w:rsidR="00584EC1" w:rsidRDefault="00871F8D">
            <w:pPr>
              <w:jc w:val="center"/>
              <w:textAlignment w:val="bottom"/>
            </w:pPr>
            <w:r>
              <w:rPr>
                <w:rFonts w:ascii="Arial" w:eastAsia="宋体" w:hAnsi="Arial" w:cs="Arial"/>
                <w:b/>
                <w:bCs/>
                <w:color w:val="000000"/>
                <w:sz w:val="13"/>
                <w:szCs w:val="13"/>
              </w:rPr>
              <w:t>Estimated Fair Value</w:t>
            </w:r>
          </w:p>
        </w:tc>
        <w:tc>
          <w:tcPr>
            <w:tcW w:w="0" w:type="auto"/>
            <w:gridSpan w:val="3"/>
            <w:shd w:val="clear" w:color="auto" w:fill="auto"/>
            <w:tcMar>
              <w:top w:w="0" w:type="dxa"/>
              <w:left w:w="20" w:type="dxa"/>
              <w:bottom w:w="0" w:type="dxa"/>
              <w:right w:w="20" w:type="dxa"/>
            </w:tcMar>
            <w:vAlign w:val="bottom"/>
          </w:tcPr>
          <w:p w14:paraId="74DDCD5D"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CD5E" w14:textId="77777777" w:rsidR="00584EC1" w:rsidRDefault="00871F8D">
            <w:pPr>
              <w:jc w:val="center"/>
              <w:textAlignment w:val="bottom"/>
            </w:pPr>
            <w:r>
              <w:rPr>
                <w:rFonts w:ascii="Arial" w:eastAsia="宋体" w:hAnsi="Arial" w:cs="Arial"/>
                <w:b/>
                <w:bCs/>
                <w:color w:val="000000"/>
                <w:sz w:val="13"/>
                <w:szCs w:val="13"/>
              </w:rPr>
              <w:t>Quoted Market Prices in Active Markets (Level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D5F"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CD60" w14:textId="77777777" w:rsidR="00584EC1" w:rsidRDefault="00871F8D">
            <w:pPr>
              <w:jc w:val="center"/>
              <w:textAlignment w:val="bottom"/>
            </w:pPr>
            <w:r>
              <w:rPr>
                <w:rFonts w:ascii="Arial" w:eastAsia="宋体" w:hAnsi="Arial" w:cs="Arial"/>
                <w:b/>
                <w:bCs/>
                <w:color w:val="000000"/>
                <w:sz w:val="13"/>
                <w:szCs w:val="13"/>
              </w:rPr>
              <w:t xml:space="preserve">Pricing Methods with </w:t>
            </w:r>
            <w:r>
              <w:rPr>
                <w:rFonts w:ascii="Arial" w:eastAsia="宋体" w:hAnsi="Arial" w:cs="Arial"/>
                <w:b/>
                <w:bCs/>
                <w:color w:val="000000"/>
                <w:sz w:val="13"/>
                <w:szCs w:val="13"/>
              </w:rPr>
              <w:t>Significant Observable Market Inputs (Level 2) </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D61"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CD62" w14:textId="77777777" w:rsidR="00584EC1" w:rsidRDefault="00871F8D">
            <w:pPr>
              <w:jc w:val="center"/>
              <w:textAlignment w:val="bottom"/>
            </w:pPr>
            <w:r>
              <w:rPr>
                <w:rFonts w:ascii="Arial" w:eastAsia="宋体" w:hAnsi="Arial" w:cs="Arial"/>
                <w:b/>
                <w:bCs/>
                <w:color w:val="000000"/>
                <w:sz w:val="13"/>
                <w:szCs w:val="13"/>
              </w:rPr>
              <w:t>Pricing Methods with Significant Unobservable Market Inputs (Level 3)</w:t>
            </w:r>
          </w:p>
        </w:tc>
      </w:tr>
      <w:tr w:rsidR="00584EC1" w14:paraId="74DDCD6E" w14:textId="77777777">
        <w:tc>
          <w:tcPr>
            <w:tcW w:w="0" w:type="auto"/>
            <w:gridSpan w:val="3"/>
            <w:shd w:val="clear" w:color="auto" w:fill="auto"/>
            <w:tcMar>
              <w:top w:w="40" w:type="dxa"/>
              <w:left w:w="20" w:type="dxa"/>
              <w:bottom w:w="40" w:type="dxa"/>
              <w:right w:w="20" w:type="dxa"/>
            </w:tcMar>
            <w:vAlign w:val="bottom"/>
          </w:tcPr>
          <w:p w14:paraId="74DDCD64" w14:textId="77777777" w:rsidR="00584EC1" w:rsidRDefault="00871F8D">
            <w:pPr>
              <w:textAlignment w:val="bottom"/>
            </w:pPr>
            <w:r>
              <w:rPr>
                <w:rFonts w:ascii="Arial" w:eastAsia="宋体" w:hAnsi="Arial" w:cs="Arial"/>
                <w:b/>
                <w:bCs/>
                <w:color w:val="000000"/>
                <w:sz w:val="13"/>
                <w:szCs w:val="13"/>
              </w:rPr>
              <w:t>December 31, 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D6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D66"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D67"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D68"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D69"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D6A"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D6B"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D6C"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D6D" w14:textId="77777777" w:rsidR="00584EC1" w:rsidRDefault="00584EC1">
            <w:pPr>
              <w:rPr>
                <w:rFonts w:ascii="宋体"/>
              </w:rPr>
            </w:pPr>
          </w:p>
        </w:tc>
      </w:tr>
      <w:tr w:rsidR="00584EC1" w14:paraId="74DDCD79" w14:textId="77777777">
        <w:tc>
          <w:tcPr>
            <w:tcW w:w="0" w:type="auto"/>
            <w:gridSpan w:val="3"/>
            <w:shd w:val="clear" w:color="auto" w:fill="auto"/>
            <w:tcMar>
              <w:top w:w="40" w:type="dxa"/>
              <w:left w:w="20" w:type="dxa"/>
              <w:bottom w:w="40" w:type="dxa"/>
              <w:right w:w="20" w:type="dxa"/>
            </w:tcMar>
            <w:vAlign w:val="bottom"/>
          </w:tcPr>
          <w:p w14:paraId="74DDCD6F" w14:textId="77777777" w:rsidR="00584EC1" w:rsidRDefault="00871F8D">
            <w:pPr>
              <w:textAlignment w:val="bottom"/>
            </w:pPr>
            <w:r>
              <w:rPr>
                <w:rFonts w:ascii="Arial" w:eastAsia="宋体" w:hAnsi="Arial" w:cs="Arial"/>
                <w:b/>
                <w:bCs/>
                <w:color w:val="000000"/>
                <w:sz w:val="13"/>
                <w:szCs w:val="13"/>
              </w:rPr>
              <w:t>Financial Assets:</w:t>
            </w:r>
          </w:p>
        </w:tc>
        <w:tc>
          <w:tcPr>
            <w:tcW w:w="0" w:type="auto"/>
            <w:gridSpan w:val="3"/>
            <w:shd w:val="clear" w:color="auto" w:fill="auto"/>
            <w:tcMar>
              <w:top w:w="0" w:type="dxa"/>
              <w:left w:w="20" w:type="dxa"/>
              <w:bottom w:w="0" w:type="dxa"/>
              <w:right w:w="20" w:type="dxa"/>
            </w:tcMar>
            <w:vAlign w:val="bottom"/>
          </w:tcPr>
          <w:p w14:paraId="74DDCD70"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D7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D7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D73"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D74"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D7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D76"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D77"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D78" w14:textId="77777777" w:rsidR="00584EC1" w:rsidRDefault="00584EC1">
            <w:pPr>
              <w:rPr>
                <w:rFonts w:ascii="宋体"/>
              </w:rPr>
            </w:pPr>
          </w:p>
        </w:tc>
      </w:tr>
      <w:tr w:rsidR="00584EC1" w14:paraId="74DDCD8E" w14:textId="77777777">
        <w:tc>
          <w:tcPr>
            <w:tcW w:w="0" w:type="auto"/>
            <w:gridSpan w:val="3"/>
            <w:shd w:val="clear" w:color="auto" w:fill="CCEEFF"/>
            <w:tcMar>
              <w:top w:w="40" w:type="dxa"/>
              <w:left w:w="20" w:type="dxa"/>
              <w:bottom w:w="40" w:type="dxa"/>
              <w:right w:w="20" w:type="dxa"/>
            </w:tcMar>
            <w:vAlign w:val="bottom"/>
          </w:tcPr>
          <w:p w14:paraId="74DDCD7A" w14:textId="77777777" w:rsidR="00584EC1" w:rsidRDefault="00871F8D">
            <w:pPr>
              <w:textAlignment w:val="bottom"/>
            </w:pPr>
            <w:r>
              <w:rPr>
                <w:rFonts w:ascii="Arial" w:eastAsia="宋体" w:hAnsi="Arial" w:cs="Arial"/>
                <w:color w:val="000000"/>
                <w:sz w:val="13"/>
                <w:szCs w:val="13"/>
              </w:rPr>
              <w:t>Cash and due from banks</w:t>
            </w:r>
          </w:p>
        </w:tc>
        <w:tc>
          <w:tcPr>
            <w:tcW w:w="0" w:type="auto"/>
            <w:shd w:val="clear" w:color="auto" w:fill="CCEEFF"/>
            <w:tcMar>
              <w:top w:w="40" w:type="dxa"/>
              <w:left w:w="20" w:type="dxa"/>
              <w:bottom w:w="40" w:type="dxa"/>
              <w:right w:w="0" w:type="dxa"/>
            </w:tcMar>
            <w:vAlign w:val="bottom"/>
          </w:tcPr>
          <w:p w14:paraId="74DDCD7B" w14:textId="77777777" w:rsidR="00584EC1" w:rsidRDefault="00871F8D">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74DDCD7C" w14:textId="77777777" w:rsidR="00584EC1" w:rsidRDefault="00871F8D">
            <w:pPr>
              <w:jc w:val="right"/>
              <w:textAlignment w:val="bottom"/>
            </w:pPr>
            <w:r>
              <w:rPr>
                <w:rFonts w:ascii="Arial" w:eastAsia="宋体" w:hAnsi="Arial" w:cs="Arial"/>
                <w:color w:val="000000"/>
                <w:sz w:val="13"/>
                <w:szCs w:val="13"/>
              </w:rPr>
              <w:t>3,467 </w:t>
            </w:r>
          </w:p>
        </w:tc>
        <w:tc>
          <w:tcPr>
            <w:tcW w:w="0" w:type="auto"/>
            <w:shd w:val="clear" w:color="auto" w:fill="CCEEFF"/>
            <w:tcMar>
              <w:top w:w="40" w:type="dxa"/>
              <w:left w:w="0" w:type="dxa"/>
              <w:bottom w:w="40" w:type="dxa"/>
              <w:right w:w="20" w:type="dxa"/>
            </w:tcMar>
            <w:vAlign w:val="bottom"/>
          </w:tcPr>
          <w:p w14:paraId="74DDCD7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D7E"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CD7F" w14:textId="77777777" w:rsidR="00584EC1" w:rsidRDefault="00871F8D">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74DDCD80" w14:textId="77777777" w:rsidR="00584EC1" w:rsidRDefault="00871F8D">
            <w:pPr>
              <w:jc w:val="right"/>
              <w:textAlignment w:val="bottom"/>
            </w:pPr>
            <w:r>
              <w:rPr>
                <w:rFonts w:ascii="Arial" w:eastAsia="宋体" w:hAnsi="Arial" w:cs="Arial"/>
                <w:color w:val="000000"/>
                <w:sz w:val="13"/>
                <w:szCs w:val="13"/>
              </w:rPr>
              <w:t>3,467 </w:t>
            </w:r>
          </w:p>
        </w:tc>
        <w:tc>
          <w:tcPr>
            <w:tcW w:w="0" w:type="auto"/>
            <w:shd w:val="clear" w:color="auto" w:fill="CCEEFF"/>
            <w:tcMar>
              <w:top w:w="40" w:type="dxa"/>
              <w:left w:w="0" w:type="dxa"/>
              <w:bottom w:w="40" w:type="dxa"/>
              <w:right w:w="20" w:type="dxa"/>
            </w:tcMar>
            <w:vAlign w:val="bottom"/>
          </w:tcPr>
          <w:p w14:paraId="74DDCD8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D82"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CD83" w14:textId="77777777" w:rsidR="00584EC1" w:rsidRDefault="00871F8D">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74DDCD84" w14:textId="77777777" w:rsidR="00584EC1" w:rsidRDefault="00871F8D">
            <w:pPr>
              <w:jc w:val="right"/>
              <w:textAlignment w:val="bottom"/>
            </w:pPr>
            <w:r>
              <w:rPr>
                <w:rFonts w:ascii="Arial" w:eastAsia="宋体" w:hAnsi="Arial" w:cs="Arial"/>
                <w:color w:val="000000"/>
                <w:sz w:val="13"/>
                <w:szCs w:val="13"/>
              </w:rPr>
              <w:t>3,467 </w:t>
            </w:r>
          </w:p>
        </w:tc>
        <w:tc>
          <w:tcPr>
            <w:tcW w:w="0" w:type="auto"/>
            <w:shd w:val="clear" w:color="auto" w:fill="CCEEFF"/>
            <w:tcMar>
              <w:top w:w="40" w:type="dxa"/>
              <w:left w:w="0" w:type="dxa"/>
              <w:bottom w:w="40" w:type="dxa"/>
              <w:right w:w="20" w:type="dxa"/>
            </w:tcMar>
            <w:vAlign w:val="bottom"/>
          </w:tcPr>
          <w:p w14:paraId="74DDCD8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D86"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CD87" w14:textId="77777777" w:rsidR="00584EC1" w:rsidRDefault="00871F8D">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74DDCD88" w14:textId="77777777" w:rsidR="00584EC1" w:rsidRDefault="00871F8D">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CD8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D8A"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CD8B" w14:textId="77777777" w:rsidR="00584EC1" w:rsidRDefault="00871F8D">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74DDCD8C" w14:textId="77777777" w:rsidR="00584EC1" w:rsidRDefault="00871F8D">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CD8D" w14:textId="77777777" w:rsidR="00584EC1" w:rsidRDefault="00584EC1">
            <w:pPr>
              <w:jc w:val="right"/>
              <w:rPr>
                <w:rFonts w:ascii="宋体"/>
              </w:rPr>
            </w:pPr>
          </w:p>
        </w:tc>
      </w:tr>
      <w:tr w:rsidR="00584EC1" w14:paraId="74DDCD9E" w14:textId="77777777">
        <w:tc>
          <w:tcPr>
            <w:tcW w:w="0" w:type="auto"/>
            <w:gridSpan w:val="3"/>
            <w:shd w:val="clear" w:color="auto" w:fill="FFFFFF"/>
            <w:tcMar>
              <w:top w:w="40" w:type="dxa"/>
              <w:left w:w="20" w:type="dxa"/>
              <w:bottom w:w="40" w:type="dxa"/>
              <w:right w:w="20" w:type="dxa"/>
            </w:tcMar>
            <w:vAlign w:val="bottom"/>
          </w:tcPr>
          <w:p w14:paraId="74DDCD8F" w14:textId="77777777" w:rsidR="00584EC1" w:rsidRDefault="00871F8D">
            <w:pPr>
              <w:textAlignment w:val="bottom"/>
            </w:pPr>
            <w:r>
              <w:rPr>
                <w:rFonts w:ascii="Arial" w:eastAsia="宋体" w:hAnsi="Arial" w:cs="Arial"/>
                <w:color w:val="000000"/>
                <w:sz w:val="13"/>
                <w:szCs w:val="13"/>
              </w:rPr>
              <w:t>Interest-bearing deposits with banks</w:t>
            </w:r>
          </w:p>
        </w:tc>
        <w:tc>
          <w:tcPr>
            <w:tcW w:w="0" w:type="auto"/>
            <w:gridSpan w:val="2"/>
            <w:shd w:val="clear" w:color="auto" w:fill="FFFFFF"/>
            <w:tcMar>
              <w:top w:w="40" w:type="dxa"/>
              <w:left w:w="20" w:type="dxa"/>
              <w:bottom w:w="40" w:type="dxa"/>
              <w:right w:w="0" w:type="dxa"/>
            </w:tcMar>
            <w:vAlign w:val="bottom"/>
          </w:tcPr>
          <w:p w14:paraId="74DDCD90" w14:textId="77777777" w:rsidR="00584EC1" w:rsidRDefault="00871F8D">
            <w:pPr>
              <w:jc w:val="right"/>
              <w:textAlignment w:val="bottom"/>
            </w:pPr>
            <w:r>
              <w:rPr>
                <w:rFonts w:ascii="Arial" w:eastAsia="宋体" w:hAnsi="Arial" w:cs="Arial"/>
                <w:color w:val="000000"/>
                <w:sz w:val="13"/>
                <w:szCs w:val="13"/>
              </w:rPr>
              <w:t>116,960 </w:t>
            </w:r>
          </w:p>
        </w:tc>
        <w:tc>
          <w:tcPr>
            <w:tcW w:w="0" w:type="auto"/>
            <w:shd w:val="clear" w:color="auto" w:fill="FFFFFF"/>
            <w:tcMar>
              <w:top w:w="40" w:type="dxa"/>
              <w:left w:w="0" w:type="dxa"/>
              <w:bottom w:w="40" w:type="dxa"/>
              <w:right w:w="20" w:type="dxa"/>
            </w:tcMar>
            <w:vAlign w:val="bottom"/>
          </w:tcPr>
          <w:p w14:paraId="74DDCD9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D9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CD93" w14:textId="77777777" w:rsidR="00584EC1" w:rsidRDefault="00871F8D">
            <w:pPr>
              <w:jc w:val="right"/>
              <w:textAlignment w:val="bottom"/>
            </w:pPr>
            <w:r>
              <w:rPr>
                <w:rFonts w:ascii="Arial" w:eastAsia="宋体" w:hAnsi="Arial" w:cs="Arial"/>
                <w:color w:val="000000"/>
                <w:sz w:val="13"/>
                <w:szCs w:val="13"/>
              </w:rPr>
              <w:t>116,960 </w:t>
            </w:r>
          </w:p>
        </w:tc>
        <w:tc>
          <w:tcPr>
            <w:tcW w:w="0" w:type="auto"/>
            <w:shd w:val="clear" w:color="auto" w:fill="FFFFFF"/>
            <w:tcMar>
              <w:top w:w="40" w:type="dxa"/>
              <w:left w:w="0" w:type="dxa"/>
              <w:bottom w:w="40" w:type="dxa"/>
              <w:right w:w="20" w:type="dxa"/>
            </w:tcMar>
            <w:vAlign w:val="bottom"/>
          </w:tcPr>
          <w:p w14:paraId="74DDCD9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D95"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CD96" w14:textId="77777777" w:rsidR="00584EC1" w:rsidRDefault="00871F8D">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CD9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D98"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CD99" w14:textId="77777777" w:rsidR="00584EC1" w:rsidRDefault="00871F8D">
            <w:pPr>
              <w:jc w:val="right"/>
              <w:textAlignment w:val="bottom"/>
            </w:pPr>
            <w:r>
              <w:rPr>
                <w:rFonts w:ascii="Arial" w:eastAsia="宋体" w:hAnsi="Arial" w:cs="Arial"/>
                <w:color w:val="000000"/>
                <w:sz w:val="13"/>
                <w:szCs w:val="13"/>
              </w:rPr>
              <w:t>116,960 </w:t>
            </w:r>
          </w:p>
        </w:tc>
        <w:tc>
          <w:tcPr>
            <w:tcW w:w="0" w:type="auto"/>
            <w:shd w:val="clear" w:color="auto" w:fill="FFFFFF"/>
            <w:tcMar>
              <w:top w:w="40" w:type="dxa"/>
              <w:left w:w="0" w:type="dxa"/>
              <w:bottom w:w="40" w:type="dxa"/>
              <w:right w:w="20" w:type="dxa"/>
            </w:tcMar>
            <w:vAlign w:val="bottom"/>
          </w:tcPr>
          <w:p w14:paraId="74DDCD9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D9B"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CD9C" w14:textId="77777777" w:rsidR="00584EC1" w:rsidRDefault="00871F8D">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CD9D" w14:textId="77777777" w:rsidR="00584EC1" w:rsidRDefault="00584EC1">
            <w:pPr>
              <w:jc w:val="right"/>
              <w:rPr>
                <w:rFonts w:ascii="宋体"/>
              </w:rPr>
            </w:pPr>
          </w:p>
        </w:tc>
      </w:tr>
      <w:tr w:rsidR="00584EC1" w14:paraId="74DDCDAE" w14:textId="77777777">
        <w:tc>
          <w:tcPr>
            <w:tcW w:w="0" w:type="auto"/>
            <w:gridSpan w:val="3"/>
            <w:shd w:val="clear" w:color="auto" w:fill="CCEEFF"/>
            <w:tcMar>
              <w:top w:w="40" w:type="dxa"/>
              <w:left w:w="20" w:type="dxa"/>
              <w:bottom w:w="40" w:type="dxa"/>
              <w:right w:w="20" w:type="dxa"/>
            </w:tcMar>
            <w:vAlign w:val="bottom"/>
          </w:tcPr>
          <w:p w14:paraId="74DDCD9F" w14:textId="77777777" w:rsidR="00584EC1" w:rsidRDefault="00871F8D">
            <w:pPr>
              <w:textAlignment w:val="bottom"/>
            </w:pPr>
            <w:r>
              <w:rPr>
                <w:rFonts w:ascii="Arial" w:eastAsia="宋体" w:hAnsi="Arial" w:cs="Arial"/>
                <w:color w:val="000000"/>
                <w:sz w:val="13"/>
                <w:szCs w:val="13"/>
              </w:rPr>
              <w:t>Securities purchased under resale agreements</w:t>
            </w:r>
          </w:p>
        </w:tc>
        <w:tc>
          <w:tcPr>
            <w:tcW w:w="0" w:type="auto"/>
            <w:gridSpan w:val="2"/>
            <w:shd w:val="clear" w:color="auto" w:fill="CCEEFF"/>
            <w:tcMar>
              <w:top w:w="40" w:type="dxa"/>
              <w:left w:w="20" w:type="dxa"/>
              <w:bottom w:w="40" w:type="dxa"/>
              <w:right w:w="0" w:type="dxa"/>
            </w:tcMar>
            <w:vAlign w:val="bottom"/>
          </w:tcPr>
          <w:p w14:paraId="74DDCDA0" w14:textId="77777777" w:rsidR="00584EC1" w:rsidRDefault="00871F8D">
            <w:pPr>
              <w:jc w:val="right"/>
              <w:textAlignment w:val="bottom"/>
            </w:pPr>
            <w:r>
              <w:rPr>
                <w:rFonts w:ascii="Arial" w:eastAsia="宋体" w:hAnsi="Arial" w:cs="Arial"/>
                <w:color w:val="000000"/>
                <w:sz w:val="13"/>
                <w:szCs w:val="13"/>
              </w:rPr>
              <w:t>3,106 </w:t>
            </w:r>
          </w:p>
        </w:tc>
        <w:tc>
          <w:tcPr>
            <w:tcW w:w="0" w:type="auto"/>
            <w:shd w:val="clear" w:color="auto" w:fill="CCEEFF"/>
            <w:tcMar>
              <w:top w:w="40" w:type="dxa"/>
              <w:left w:w="0" w:type="dxa"/>
              <w:bottom w:w="40" w:type="dxa"/>
              <w:right w:w="20" w:type="dxa"/>
            </w:tcMar>
            <w:vAlign w:val="bottom"/>
          </w:tcPr>
          <w:p w14:paraId="74DDCDA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DA2"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CDA3" w14:textId="77777777" w:rsidR="00584EC1" w:rsidRDefault="00871F8D">
            <w:pPr>
              <w:jc w:val="right"/>
              <w:textAlignment w:val="bottom"/>
            </w:pPr>
            <w:r>
              <w:rPr>
                <w:rFonts w:ascii="Arial" w:eastAsia="宋体" w:hAnsi="Arial" w:cs="Arial"/>
                <w:color w:val="000000"/>
                <w:sz w:val="13"/>
                <w:szCs w:val="13"/>
              </w:rPr>
              <w:t>3,106 </w:t>
            </w:r>
          </w:p>
        </w:tc>
        <w:tc>
          <w:tcPr>
            <w:tcW w:w="0" w:type="auto"/>
            <w:shd w:val="clear" w:color="auto" w:fill="CCEEFF"/>
            <w:tcMar>
              <w:top w:w="40" w:type="dxa"/>
              <w:left w:w="0" w:type="dxa"/>
              <w:bottom w:w="40" w:type="dxa"/>
              <w:right w:w="20" w:type="dxa"/>
            </w:tcMar>
            <w:vAlign w:val="bottom"/>
          </w:tcPr>
          <w:p w14:paraId="74DDCDA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DA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CDA6" w14:textId="77777777" w:rsidR="00584EC1" w:rsidRDefault="00871F8D">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CDA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DA8"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CDA9" w14:textId="77777777" w:rsidR="00584EC1" w:rsidRDefault="00871F8D">
            <w:pPr>
              <w:jc w:val="right"/>
              <w:textAlignment w:val="bottom"/>
            </w:pPr>
            <w:r>
              <w:rPr>
                <w:rFonts w:ascii="Arial" w:eastAsia="宋体" w:hAnsi="Arial" w:cs="Arial"/>
                <w:color w:val="000000"/>
                <w:sz w:val="13"/>
                <w:szCs w:val="13"/>
              </w:rPr>
              <w:t>3,106 </w:t>
            </w:r>
          </w:p>
        </w:tc>
        <w:tc>
          <w:tcPr>
            <w:tcW w:w="0" w:type="auto"/>
            <w:shd w:val="clear" w:color="auto" w:fill="CCEEFF"/>
            <w:tcMar>
              <w:top w:w="40" w:type="dxa"/>
              <w:left w:w="0" w:type="dxa"/>
              <w:bottom w:w="40" w:type="dxa"/>
              <w:right w:w="20" w:type="dxa"/>
            </w:tcMar>
            <w:vAlign w:val="bottom"/>
          </w:tcPr>
          <w:p w14:paraId="74DDCDA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DA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CDAC" w14:textId="77777777" w:rsidR="00584EC1" w:rsidRDefault="00871F8D">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CDAD" w14:textId="77777777" w:rsidR="00584EC1" w:rsidRDefault="00584EC1">
            <w:pPr>
              <w:jc w:val="right"/>
              <w:rPr>
                <w:rFonts w:ascii="宋体"/>
              </w:rPr>
            </w:pPr>
          </w:p>
        </w:tc>
      </w:tr>
      <w:tr w:rsidR="00584EC1" w14:paraId="74DDCDBE" w14:textId="77777777">
        <w:tc>
          <w:tcPr>
            <w:tcW w:w="0" w:type="auto"/>
            <w:gridSpan w:val="3"/>
            <w:shd w:val="clear" w:color="auto" w:fill="FFFFFF"/>
            <w:tcMar>
              <w:top w:w="40" w:type="dxa"/>
              <w:left w:w="20" w:type="dxa"/>
              <w:bottom w:w="40" w:type="dxa"/>
              <w:right w:w="20" w:type="dxa"/>
            </w:tcMar>
            <w:vAlign w:val="bottom"/>
          </w:tcPr>
          <w:p w14:paraId="74DDCDAF" w14:textId="77777777" w:rsidR="00584EC1" w:rsidRDefault="00871F8D">
            <w:pPr>
              <w:textAlignment w:val="bottom"/>
            </w:pPr>
            <w:r>
              <w:rPr>
                <w:rFonts w:ascii="Arial" w:eastAsia="宋体" w:hAnsi="Arial" w:cs="Arial"/>
                <w:color w:val="000000"/>
                <w:sz w:val="13"/>
                <w:szCs w:val="13"/>
              </w:rPr>
              <w:t>HTM securities purchased under the MMLF</w:t>
            </w:r>
            <w:r>
              <w:rPr>
                <w:rFonts w:ascii="Arial" w:eastAsia="宋体" w:hAnsi="Arial" w:cs="Arial"/>
                <w:color w:val="000000"/>
                <w:sz w:val="13"/>
                <w:szCs w:val="13"/>
              </w:rPr>
              <w:br/>
              <w:t>program</w:t>
            </w:r>
          </w:p>
        </w:tc>
        <w:tc>
          <w:tcPr>
            <w:tcW w:w="0" w:type="auto"/>
            <w:gridSpan w:val="2"/>
            <w:shd w:val="clear" w:color="auto" w:fill="FFFFFF"/>
            <w:tcMar>
              <w:top w:w="40" w:type="dxa"/>
              <w:left w:w="20" w:type="dxa"/>
              <w:bottom w:w="40" w:type="dxa"/>
              <w:right w:w="0" w:type="dxa"/>
            </w:tcMar>
            <w:vAlign w:val="bottom"/>
          </w:tcPr>
          <w:p w14:paraId="74DDCDB0" w14:textId="77777777" w:rsidR="00584EC1" w:rsidRDefault="00871F8D">
            <w:pPr>
              <w:jc w:val="right"/>
              <w:textAlignment w:val="bottom"/>
            </w:pPr>
            <w:r>
              <w:rPr>
                <w:rFonts w:ascii="Arial" w:eastAsia="宋体" w:hAnsi="Arial" w:cs="Arial"/>
                <w:color w:val="000000"/>
                <w:sz w:val="13"/>
                <w:szCs w:val="13"/>
              </w:rPr>
              <w:t>3,299 </w:t>
            </w:r>
          </w:p>
        </w:tc>
        <w:tc>
          <w:tcPr>
            <w:tcW w:w="0" w:type="auto"/>
            <w:shd w:val="clear" w:color="auto" w:fill="FFFFFF"/>
            <w:tcMar>
              <w:top w:w="40" w:type="dxa"/>
              <w:left w:w="0" w:type="dxa"/>
              <w:bottom w:w="40" w:type="dxa"/>
              <w:right w:w="20" w:type="dxa"/>
            </w:tcMar>
            <w:vAlign w:val="bottom"/>
          </w:tcPr>
          <w:p w14:paraId="74DDCDB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DB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CDB3" w14:textId="77777777" w:rsidR="00584EC1" w:rsidRDefault="00871F8D">
            <w:pPr>
              <w:jc w:val="right"/>
              <w:textAlignment w:val="bottom"/>
            </w:pPr>
            <w:r>
              <w:rPr>
                <w:rFonts w:ascii="Arial" w:eastAsia="宋体" w:hAnsi="Arial" w:cs="Arial"/>
                <w:color w:val="000000"/>
                <w:sz w:val="13"/>
                <w:szCs w:val="13"/>
              </w:rPr>
              <w:t>3,304 </w:t>
            </w:r>
          </w:p>
        </w:tc>
        <w:tc>
          <w:tcPr>
            <w:tcW w:w="0" w:type="auto"/>
            <w:shd w:val="clear" w:color="auto" w:fill="FFFFFF"/>
            <w:tcMar>
              <w:top w:w="40" w:type="dxa"/>
              <w:left w:w="0" w:type="dxa"/>
              <w:bottom w:w="40" w:type="dxa"/>
              <w:right w:w="20" w:type="dxa"/>
            </w:tcMar>
            <w:vAlign w:val="bottom"/>
          </w:tcPr>
          <w:p w14:paraId="74DDCDB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DB5"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CDB6" w14:textId="77777777" w:rsidR="00584EC1" w:rsidRDefault="00871F8D">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CDB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DB8"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CDB9" w14:textId="77777777" w:rsidR="00584EC1" w:rsidRDefault="00871F8D">
            <w:pPr>
              <w:jc w:val="right"/>
              <w:textAlignment w:val="bottom"/>
            </w:pPr>
            <w:r>
              <w:rPr>
                <w:rFonts w:ascii="Arial" w:eastAsia="宋体" w:hAnsi="Arial" w:cs="Arial"/>
                <w:color w:val="000000"/>
                <w:sz w:val="13"/>
                <w:szCs w:val="13"/>
              </w:rPr>
              <w:t>3,304 </w:t>
            </w:r>
          </w:p>
        </w:tc>
        <w:tc>
          <w:tcPr>
            <w:tcW w:w="0" w:type="auto"/>
            <w:shd w:val="clear" w:color="auto" w:fill="FFFFFF"/>
            <w:tcMar>
              <w:top w:w="40" w:type="dxa"/>
              <w:left w:w="0" w:type="dxa"/>
              <w:bottom w:w="40" w:type="dxa"/>
              <w:right w:w="20" w:type="dxa"/>
            </w:tcMar>
            <w:vAlign w:val="bottom"/>
          </w:tcPr>
          <w:p w14:paraId="74DDCDB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DBB"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CDBC" w14:textId="77777777" w:rsidR="00584EC1" w:rsidRDefault="00871F8D">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CDBD" w14:textId="77777777" w:rsidR="00584EC1" w:rsidRDefault="00584EC1">
            <w:pPr>
              <w:jc w:val="right"/>
              <w:rPr>
                <w:rFonts w:ascii="宋体"/>
              </w:rPr>
            </w:pPr>
          </w:p>
        </w:tc>
      </w:tr>
      <w:tr w:rsidR="00584EC1" w14:paraId="74DDCDCE" w14:textId="77777777">
        <w:tc>
          <w:tcPr>
            <w:tcW w:w="0" w:type="auto"/>
            <w:gridSpan w:val="3"/>
            <w:shd w:val="clear" w:color="auto" w:fill="CCEEFF"/>
            <w:tcMar>
              <w:top w:w="40" w:type="dxa"/>
              <w:left w:w="20" w:type="dxa"/>
              <w:bottom w:w="40" w:type="dxa"/>
              <w:right w:w="20" w:type="dxa"/>
            </w:tcMar>
            <w:vAlign w:val="bottom"/>
          </w:tcPr>
          <w:p w14:paraId="74DDCDBF" w14:textId="77777777" w:rsidR="00584EC1" w:rsidRDefault="00871F8D">
            <w:pPr>
              <w:textAlignment w:val="bottom"/>
            </w:pPr>
            <w:r>
              <w:rPr>
                <w:rFonts w:ascii="Arial" w:eastAsia="宋体" w:hAnsi="Arial" w:cs="Arial"/>
                <w:color w:val="000000"/>
                <w:sz w:val="13"/>
                <w:szCs w:val="13"/>
              </w:rPr>
              <w:t>Investment securities held-to-maturity</w:t>
            </w:r>
          </w:p>
        </w:tc>
        <w:tc>
          <w:tcPr>
            <w:tcW w:w="0" w:type="auto"/>
            <w:gridSpan w:val="2"/>
            <w:shd w:val="clear" w:color="auto" w:fill="CCEEFF"/>
            <w:tcMar>
              <w:top w:w="40" w:type="dxa"/>
              <w:left w:w="20" w:type="dxa"/>
              <w:bottom w:w="40" w:type="dxa"/>
              <w:right w:w="0" w:type="dxa"/>
            </w:tcMar>
            <w:vAlign w:val="bottom"/>
          </w:tcPr>
          <w:p w14:paraId="74DDCDC0" w14:textId="77777777" w:rsidR="00584EC1" w:rsidRDefault="00871F8D">
            <w:pPr>
              <w:jc w:val="right"/>
              <w:textAlignment w:val="bottom"/>
            </w:pPr>
            <w:r>
              <w:rPr>
                <w:rFonts w:ascii="Arial" w:eastAsia="宋体" w:hAnsi="Arial" w:cs="Arial"/>
                <w:color w:val="000000"/>
                <w:sz w:val="13"/>
                <w:szCs w:val="13"/>
              </w:rPr>
              <w:t>48,929 </w:t>
            </w:r>
          </w:p>
        </w:tc>
        <w:tc>
          <w:tcPr>
            <w:tcW w:w="0" w:type="auto"/>
            <w:shd w:val="clear" w:color="auto" w:fill="CCEEFF"/>
            <w:tcMar>
              <w:top w:w="40" w:type="dxa"/>
              <w:left w:w="0" w:type="dxa"/>
              <w:bottom w:w="40" w:type="dxa"/>
              <w:right w:w="20" w:type="dxa"/>
            </w:tcMar>
            <w:vAlign w:val="bottom"/>
          </w:tcPr>
          <w:p w14:paraId="74DDCDC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DC2"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CDC3" w14:textId="77777777" w:rsidR="00584EC1" w:rsidRDefault="00871F8D">
            <w:pPr>
              <w:jc w:val="right"/>
              <w:textAlignment w:val="bottom"/>
            </w:pPr>
            <w:r>
              <w:rPr>
                <w:rFonts w:ascii="Arial" w:eastAsia="宋体" w:hAnsi="Arial" w:cs="Arial"/>
                <w:color w:val="000000"/>
                <w:sz w:val="13"/>
                <w:szCs w:val="13"/>
              </w:rPr>
              <w:t>50,003 </w:t>
            </w:r>
          </w:p>
        </w:tc>
        <w:tc>
          <w:tcPr>
            <w:tcW w:w="0" w:type="auto"/>
            <w:shd w:val="clear" w:color="auto" w:fill="CCEEFF"/>
            <w:tcMar>
              <w:top w:w="40" w:type="dxa"/>
              <w:left w:w="0" w:type="dxa"/>
              <w:bottom w:w="40" w:type="dxa"/>
              <w:right w:w="20" w:type="dxa"/>
            </w:tcMar>
            <w:vAlign w:val="bottom"/>
          </w:tcPr>
          <w:p w14:paraId="74DDCDC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DC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CDC6" w14:textId="77777777" w:rsidR="00584EC1" w:rsidRDefault="00871F8D">
            <w:pPr>
              <w:jc w:val="right"/>
              <w:textAlignment w:val="bottom"/>
            </w:pPr>
            <w:r>
              <w:rPr>
                <w:rFonts w:ascii="Arial" w:eastAsia="宋体" w:hAnsi="Arial" w:cs="Arial"/>
                <w:color w:val="000000"/>
                <w:sz w:val="13"/>
                <w:szCs w:val="13"/>
              </w:rPr>
              <w:t>6,115 </w:t>
            </w:r>
          </w:p>
        </w:tc>
        <w:tc>
          <w:tcPr>
            <w:tcW w:w="0" w:type="auto"/>
            <w:shd w:val="clear" w:color="auto" w:fill="CCEEFF"/>
            <w:tcMar>
              <w:top w:w="40" w:type="dxa"/>
              <w:left w:w="0" w:type="dxa"/>
              <w:bottom w:w="40" w:type="dxa"/>
              <w:right w:w="20" w:type="dxa"/>
            </w:tcMar>
            <w:vAlign w:val="bottom"/>
          </w:tcPr>
          <w:p w14:paraId="74DDCDC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DC8"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CDC9" w14:textId="77777777" w:rsidR="00584EC1" w:rsidRDefault="00871F8D">
            <w:pPr>
              <w:jc w:val="right"/>
              <w:textAlignment w:val="bottom"/>
            </w:pPr>
            <w:r>
              <w:rPr>
                <w:rFonts w:ascii="Arial" w:eastAsia="宋体" w:hAnsi="Arial" w:cs="Arial"/>
                <w:color w:val="000000"/>
                <w:sz w:val="13"/>
                <w:szCs w:val="13"/>
              </w:rPr>
              <w:t>43,888 </w:t>
            </w:r>
          </w:p>
        </w:tc>
        <w:tc>
          <w:tcPr>
            <w:tcW w:w="0" w:type="auto"/>
            <w:shd w:val="clear" w:color="auto" w:fill="CCEEFF"/>
            <w:tcMar>
              <w:top w:w="40" w:type="dxa"/>
              <w:left w:w="0" w:type="dxa"/>
              <w:bottom w:w="40" w:type="dxa"/>
              <w:right w:w="20" w:type="dxa"/>
            </w:tcMar>
            <w:vAlign w:val="bottom"/>
          </w:tcPr>
          <w:p w14:paraId="74DDCDC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DC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CDCC" w14:textId="77777777" w:rsidR="00584EC1" w:rsidRDefault="00871F8D">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CDCD" w14:textId="77777777" w:rsidR="00584EC1" w:rsidRDefault="00584EC1">
            <w:pPr>
              <w:jc w:val="right"/>
              <w:rPr>
                <w:rFonts w:ascii="宋体"/>
              </w:rPr>
            </w:pPr>
          </w:p>
        </w:tc>
      </w:tr>
      <w:tr w:rsidR="00584EC1" w14:paraId="74DDCDDE" w14:textId="77777777">
        <w:tc>
          <w:tcPr>
            <w:tcW w:w="0" w:type="auto"/>
            <w:gridSpan w:val="3"/>
            <w:shd w:val="clear" w:color="auto" w:fill="FFFFFF"/>
            <w:tcMar>
              <w:top w:w="40" w:type="dxa"/>
              <w:left w:w="20" w:type="dxa"/>
              <w:bottom w:w="40" w:type="dxa"/>
              <w:right w:w="20" w:type="dxa"/>
            </w:tcMar>
            <w:vAlign w:val="bottom"/>
          </w:tcPr>
          <w:p w14:paraId="74DDCDCF" w14:textId="77777777" w:rsidR="00584EC1" w:rsidRDefault="00871F8D">
            <w:pPr>
              <w:textAlignment w:val="bottom"/>
            </w:pPr>
            <w:r>
              <w:rPr>
                <w:rFonts w:ascii="Arial" w:eastAsia="宋体" w:hAnsi="Arial" w:cs="Arial"/>
                <w:color w:val="000000"/>
                <w:sz w:val="13"/>
                <w:szCs w:val="13"/>
              </w:rPr>
              <w:t>Net loans</w:t>
            </w:r>
          </w:p>
        </w:tc>
        <w:tc>
          <w:tcPr>
            <w:tcW w:w="0" w:type="auto"/>
            <w:gridSpan w:val="2"/>
            <w:shd w:val="clear" w:color="auto" w:fill="auto"/>
            <w:tcMar>
              <w:top w:w="40" w:type="dxa"/>
              <w:left w:w="20" w:type="dxa"/>
              <w:bottom w:w="40" w:type="dxa"/>
              <w:right w:w="0" w:type="dxa"/>
            </w:tcMar>
            <w:vAlign w:val="bottom"/>
          </w:tcPr>
          <w:p w14:paraId="74DDCDD0" w14:textId="77777777" w:rsidR="00584EC1" w:rsidRDefault="00871F8D">
            <w:pPr>
              <w:jc w:val="right"/>
              <w:textAlignment w:val="bottom"/>
            </w:pPr>
            <w:r>
              <w:rPr>
                <w:rFonts w:ascii="Arial" w:eastAsia="宋体" w:hAnsi="Arial" w:cs="Arial"/>
                <w:color w:val="000000"/>
                <w:sz w:val="13"/>
                <w:szCs w:val="13"/>
              </w:rPr>
              <w:t>27,803 </w:t>
            </w:r>
          </w:p>
        </w:tc>
        <w:tc>
          <w:tcPr>
            <w:tcW w:w="0" w:type="auto"/>
            <w:shd w:val="clear" w:color="auto" w:fill="auto"/>
            <w:tcMar>
              <w:top w:w="40" w:type="dxa"/>
              <w:left w:w="0" w:type="dxa"/>
              <w:bottom w:w="40" w:type="dxa"/>
              <w:right w:w="20" w:type="dxa"/>
            </w:tcMar>
            <w:vAlign w:val="bottom"/>
          </w:tcPr>
          <w:p w14:paraId="74DDCDD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DD2" w14:textId="77777777" w:rsidR="00584EC1" w:rsidRDefault="00584EC1">
            <w:pPr>
              <w:rPr>
                <w:rFonts w:ascii="宋体"/>
              </w:rPr>
            </w:pPr>
          </w:p>
        </w:tc>
        <w:tc>
          <w:tcPr>
            <w:tcW w:w="0" w:type="auto"/>
            <w:gridSpan w:val="2"/>
            <w:shd w:val="clear" w:color="auto" w:fill="auto"/>
            <w:tcMar>
              <w:top w:w="40" w:type="dxa"/>
              <w:left w:w="20" w:type="dxa"/>
              <w:bottom w:w="40" w:type="dxa"/>
              <w:right w:w="0" w:type="dxa"/>
            </w:tcMar>
            <w:vAlign w:val="bottom"/>
          </w:tcPr>
          <w:p w14:paraId="74DDCDD3" w14:textId="77777777" w:rsidR="00584EC1" w:rsidRDefault="00871F8D">
            <w:pPr>
              <w:jc w:val="right"/>
              <w:textAlignment w:val="bottom"/>
            </w:pPr>
            <w:r>
              <w:rPr>
                <w:rFonts w:ascii="Arial" w:eastAsia="宋体" w:hAnsi="Arial" w:cs="Arial"/>
                <w:color w:val="000000"/>
                <w:sz w:val="13"/>
                <w:szCs w:val="13"/>
              </w:rPr>
              <w:t>27,884 </w:t>
            </w:r>
          </w:p>
        </w:tc>
        <w:tc>
          <w:tcPr>
            <w:tcW w:w="0" w:type="auto"/>
            <w:shd w:val="clear" w:color="auto" w:fill="auto"/>
            <w:tcMar>
              <w:top w:w="40" w:type="dxa"/>
              <w:left w:w="0" w:type="dxa"/>
              <w:bottom w:w="40" w:type="dxa"/>
              <w:right w:w="20" w:type="dxa"/>
            </w:tcMar>
            <w:vAlign w:val="bottom"/>
          </w:tcPr>
          <w:p w14:paraId="74DDCDD4" w14:textId="77777777" w:rsidR="00584EC1" w:rsidRDefault="00584EC1">
            <w:pPr>
              <w:jc w:val="right"/>
              <w:rPr>
                <w:rFonts w:ascii="宋体"/>
              </w:rPr>
            </w:pPr>
          </w:p>
        </w:tc>
        <w:tc>
          <w:tcPr>
            <w:tcW w:w="0" w:type="auto"/>
            <w:gridSpan w:val="3"/>
            <w:shd w:val="clear" w:color="auto" w:fill="auto"/>
            <w:tcMar>
              <w:top w:w="0" w:type="dxa"/>
              <w:left w:w="20" w:type="dxa"/>
              <w:bottom w:w="0" w:type="dxa"/>
              <w:right w:w="20" w:type="dxa"/>
            </w:tcMar>
            <w:vAlign w:val="bottom"/>
          </w:tcPr>
          <w:p w14:paraId="74DDCDD5" w14:textId="77777777" w:rsidR="00584EC1" w:rsidRDefault="00584EC1">
            <w:pPr>
              <w:rPr>
                <w:rFonts w:ascii="宋体"/>
              </w:rPr>
            </w:pPr>
          </w:p>
        </w:tc>
        <w:tc>
          <w:tcPr>
            <w:tcW w:w="0" w:type="auto"/>
            <w:gridSpan w:val="2"/>
            <w:shd w:val="clear" w:color="auto" w:fill="auto"/>
            <w:tcMar>
              <w:top w:w="40" w:type="dxa"/>
              <w:left w:w="20" w:type="dxa"/>
              <w:bottom w:w="40" w:type="dxa"/>
              <w:right w:w="0" w:type="dxa"/>
            </w:tcMar>
            <w:vAlign w:val="bottom"/>
          </w:tcPr>
          <w:p w14:paraId="74DDCDD6" w14:textId="77777777" w:rsidR="00584EC1" w:rsidRDefault="00871F8D">
            <w:pPr>
              <w:jc w:val="right"/>
              <w:textAlignment w:val="bottom"/>
            </w:pPr>
            <w:r>
              <w:rPr>
                <w:rFonts w:ascii="Arial" w:eastAsia="宋体" w:hAnsi="Arial" w:cs="Arial"/>
                <w:color w:val="000000"/>
                <w:sz w:val="13"/>
                <w:szCs w:val="13"/>
              </w:rPr>
              <w:t>— </w:t>
            </w:r>
          </w:p>
        </w:tc>
        <w:tc>
          <w:tcPr>
            <w:tcW w:w="0" w:type="auto"/>
            <w:shd w:val="clear" w:color="auto" w:fill="auto"/>
            <w:tcMar>
              <w:top w:w="40" w:type="dxa"/>
              <w:left w:w="0" w:type="dxa"/>
              <w:bottom w:w="40" w:type="dxa"/>
              <w:right w:w="20" w:type="dxa"/>
            </w:tcMar>
            <w:vAlign w:val="bottom"/>
          </w:tcPr>
          <w:p w14:paraId="74DDCDD7" w14:textId="77777777" w:rsidR="00584EC1" w:rsidRDefault="00584EC1">
            <w:pPr>
              <w:jc w:val="right"/>
              <w:rPr>
                <w:rFonts w:ascii="宋体"/>
              </w:rPr>
            </w:pPr>
          </w:p>
        </w:tc>
        <w:tc>
          <w:tcPr>
            <w:tcW w:w="0" w:type="auto"/>
            <w:gridSpan w:val="3"/>
            <w:shd w:val="clear" w:color="auto" w:fill="auto"/>
            <w:tcMar>
              <w:top w:w="0" w:type="dxa"/>
              <w:left w:w="20" w:type="dxa"/>
              <w:bottom w:w="0" w:type="dxa"/>
              <w:right w:w="20" w:type="dxa"/>
            </w:tcMar>
            <w:vAlign w:val="bottom"/>
          </w:tcPr>
          <w:p w14:paraId="74DDCDD8" w14:textId="77777777" w:rsidR="00584EC1" w:rsidRDefault="00584EC1">
            <w:pPr>
              <w:rPr>
                <w:rFonts w:ascii="宋体"/>
              </w:rPr>
            </w:pPr>
          </w:p>
        </w:tc>
        <w:tc>
          <w:tcPr>
            <w:tcW w:w="0" w:type="auto"/>
            <w:gridSpan w:val="2"/>
            <w:shd w:val="clear" w:color="auto" w:fill="auto"/>
            <w:tcMar>
              <w:top w:w="40" w:type="dxa"/>
              <w:left w:w="20" w:type="dxa"/>
              <w:bottom w:w="40" w:type="dxa"/>
              <w:right w:w="0" w:type="dxa"/>
            </w:tcMar>
            <w:vAlign w:val="bottom"/>
          </w:tcPr>
          <w:p w14:paraId="74DDCDD9" w14:textId="77777777" w:rsidR="00584EC1" w:rsidRDefault="00871F8D">
            <w:pPr>
              <w:jc w:val="right"/>
              <w:textAlignment w:val="bottom"/>
            </w:pPr>
            <w:r>
              <w:rPr>
                <w:rFonts w:ascii="Arial" w:eastAsia="宋体" w:hAnsi="Arial" w:cs="Arial"/>
                <w:color w:val="000000"/>
                <w:sz w:val="13"/>
                <w:szCs w:val="13"/>
              </w:rPr>
              <w:t>25,668 </w:t>
            </w:r>
          </w:p>
        </w:tc>
        <w:tc>
          <w:tcPr>
            <w:tcW w:w="0" w:type="auto"/>
            <w:shd w:val="clear" w:color="auto" w:fill="auto"/>
            <w:tcMar>
              <w:top w:w="40" w:type="dxa"/>
              <w:left w:w="0" w:type="dxa"/>
              <w:bottom w:w="40" w:type="dxa"/>
              <w:right w:w="20" w:type="dxa"/>
            </w:tcMar>
            <w:vAlign w:val="bottom"/>
          </w:tcPr>
          <w:p w14:paraId="74DDCDDA" w14:textId="77777777" w:rsidR="00584EC1" w:rsidRDefault="00584EC1">
            <w:pPr>
              <w:jc w:val="right"/>
              <w:rPr>
                <w:rFonts w:ascii="宋体"/>
              </w:rPr>
            </w:pPr>
          </w:p>
        </w:tc>
        <w:tc>
          <w:tcPr>
            <w:tcW w:w="0" w:type="auto"/>
            <w:gridSpan w:val="3"/>
            <w:shd w:val="clear" w:color="auto" w:fill="auto"/>
            <w:tcMar>
              <w:top w:w="0" w:type="dxa"/>
              <w:left w:w="20" w:type="dxa"/>
              <w:bottom w:w="0" w:type="dxa"/>
              <w:right w:w="20" w:type="dxa"/>
            </w:tcMar>
            <w:vAlign w:val="bottom"/>
          </w:tcPr>
          <w:p w14:paraId="74DDCDDB" w14:textId="77777777" w:rsidR="00584EC1" w:rsidRDefault="00584EC1">
            <w:pPr>
              <w:rPr>
                <w:rFonts w:ascii="宋体"/>
              </w:rPr>
            </w:pPr>
          </w:p>
        </w:tc>
        <w:tc>
          <w:tcPr>
            <w:tcW w:w="0" w:type="auto"/>
            <w:gridSpan w:val="2"/>
            <w:shd w:val="clear" w:color="auto" w:fill="auto"/>
            <w:tcMar>
              <w:top w:w="40" w:type="dxa"/>
              <w:left w:w="20" w:type="dxa"/>
              <w:bottom w:w="40" w:type="dxa"/>
              <w:right w:w="0" w:type="dxa"/>
            </w:tcMar>
            <w:vAlign w:val="bottom"/>
          </w:tcPr>
          <w:p w14:paraId="74DDCDDC" w14:textId="77777777" w:rsidR="00584EC1" w:rsidRDefault="00871F8D">
            <w:pPr>
              <w:jc w:val="right"/>
              <w:textAlignment w:val="bottom"/>
            </w:pPr>
            <w:r>
              <w:rPr>
                <w:rFonts w:ascii="Arial" w:eastAsia="宋体" w:hAnsi="Arial" w:cs="Arial"/>
                <w:color w:val="000000"/>
                <w:sz w:val="13"/>
                <w:szCs w:val="13"/>
              </w:rPr>
              <w:t>2,216 </w:t>
            </w:r>
          </w:p>
        </w:tc>
        <w:tc>
          <w:tcPr>
            <w:tcW w:w="0" w:type="auto"/>
            <w:shd w:val="clear" w:color="auto" w:fill="auto"/>
            <w:tcMar>
              <w:top w:w="40" w:type="dxa"/>
              <w:left w:w="0" w:type="dxa"/>
              <w:bottom w:w="40" w:type="dxa"/>
              <w:right w:w="20" w:type="dxa"/>
            </w:tcMar>
            <w:vAlign w:val="bottom"/>
          </w:tcPr>
          <w:p w14:paraId="74DDCDDD" w14:textId="77777777" w:rsidR="00584EC1" w:rsidRDefault="00584EC1">
            <w:pPr>
              <w:jc w:val="right"/>
              <w:rPr>
                <w:rFonts w:ascii="宋体"/>
              </w:rPr>
            </w:pPr>
          </w:p>
        </w:tc>
      </w:tr>
      <w:tr w:rsidR="00584EC1" w14:paraId="74DDCDEE" w14:textId="77777777">
        <w:tc>
          <w:tcPr>
            <w:tcW w:w="0" w:type="auto"/>
            <w:gridSpan w:val="3"/>
            <w:shd w:val="clear" w:color="auto" w:fill="CCEEFF"/>
            <w:tcMar>
              <w:top w:w="40" w:type="dxa"/>
              <w:left w:w="20" w:type="dxa"/>
              <w:bottom w:w="40" w:type="dxa"/>
              <w:right w:w="20" w:type="dxa"/>
            </w:tcMar>
            <w:vAlign w:val="bottom"/>
          </w:tcPr>
          <w:p w14:paraId="74DDCDDF" w14:textId="77777777" w:rsidR="00584EC1" w:rsidRDefault="00871F8D">
            <w:pPr>
              <w:textAlignment w:val="bottom"/>
            </w:pPr>
            <w:r>
              <w:rPr>
                <w:rFonts w:ascii="Arial" w:eastAsia="宋体" w:hAnsi="Arial" w:cs="Arial"/>
                <w:color w:val="000000"/>
                <w:sz w:val="13"/>
                <w:szCs w:val="13"/>
              </w:rPr>
              <w:t>Other</w:t>
            </w:r>
            <w:r>
              <w:rPr>
                <w:rFonts w:ascii="Arial" w:eastAsia="宋体" w:hAnsi="Arial" w:cs="Arial"/>
                <w:color w:val="000000"/>
                <w:sz w:val="8"/>
                <w:szCs w:val="8"/>
              </w:rPr>
              <w:t>(1)</w:t>
            </w:r>
          </w:p>
        </w:tc>
        <w:tc>
          <w:tcPr>
            <w:tcW w:w="0" w:type="auto"/>
            <w:gridSpan w:val="2"/>
            <w:shd w:val="clear" w:color="auto" w:fill="CCEEFF"/>
            <w:tcMar>
              <w:top w:w="40" w:type="dxa"/>
              <w:left w:w="20" w:type="dxa"/>
              <w:bottom w:w="40" w:type="dxa"/>
              <w:right w:w="0" w:type="dxa"/>
            </w:tcMar>
            <w:vAlign w:val="bottom"/>
          </w:tcPr>
          <w:p w14:paraId="74DDCDE0" w14:textId="77777777" w:rsidR="00584EC1" w:rsidRDefault="00871F8D">
            <w:pPr>
              <w:jc w:val="right"/>
              <w:textAlignment w:val="bottom"/>
            </w:pPr>
            <w:r>
              <w:rPr>
                <w:rFonts w:ascii="Arial" w:eastAsia="宋体" w:hAnsi="Arial" w:cs="Arial"/>
                <w:color w:val="000000"/>
                <w:sz w:val="13"/>
                <w:szCs w:val="13"/>
              </w:rPr>
              <w:t>4,753 </w:t>
            </w:r>
          </w:p>
        </w:tc>
        <w:tc>
          <w:tcPr>
            <w:tcW w:w="0" w:type="auto"/>
            <w:shd w:val="clear" w:color="auto" w:fill="CCEEFF"/>
            <w:tcMar>
              <w:top w:w="40" w:type="dxa"/>
              <w:left w:w="0" w:type="dxa"/>
              <w:bottom w:w="40" w:type="dxa"/>
              <w:right w:w="20" w:type="dxa"/>
            </w:tcMar>
            <w:vAlign w:val="bottom"/>
          </w:tcPr>
          <w:p w14:paraId="74DDCDE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DE2"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CDE3" w14:textId="77777777" w:rsidR="00584EC1" w:rsidRDefault="00871F8D">
            <w:pPr>
              <w:jc w:val="right"/>
              <w:textAlignment w:val="bottom"/>
            </w:pPr>
            <w:r>
              <w:rPr>
                <w:rFonts w:ascii="Arial" w:eastAsia="宋体" w:hAnsi="Arial" w:cs="Arial"/>
                <w:color w:val="000000"/>
                <w:sz w:val="13"/>
                <w:szCs w:val="13"/>
              </w:rPr>
              <w:t>4,753 </w:t>
            </w:r>
          </w:p>
        </w:tc>
        <w:tc>
          <w:tcPr>
            <w:tcW w:w="0" w:type="auto"/>
            <w:shd w:val="clear" w:color="auto" w:fill="CCEEFF"/>
            <w:tcMar>
              <w:top w:w="40" w:type="dxa"/>
              <w:left w:w="0" w:type="dxa"/>
              <w:bottom w:w="40" w:type="dxa"/>
              <w:right w:w="20" w:type="dxa"/>
            </w:tcMar>
            <w:vAlign w:val="bottom"/>
          </w:tcPr>
          <w:p w14:paraId="74DDCDE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DE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CDE6" w14:textId="77777777" w:rsidR="00584EC1" w:rsidRDefault="00871F8D">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CDE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DE8"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CDE9" w14:textId="77777777" w:rsidR="00584EC1" w:rsidRDefault="00871F8D">
            <w:pPr>
              <w:jc w:val="right"/>
              <w:textAlignment w:val="bottom"/>
            </w:pPr>
            <w:r>
              <w:rPr>
                <w:rFonts w:ascii="Arial" w:eastAsia="宋体" w:hAnsi="Arial" w:cs="Arial"/>
                <w:color w:val="000000"/>
                <w:sz w:val="13"/>
                <w:szCs w:val="13"/>
              </w:rPr>
              <w:t>4,753 </w:t>
            </w:r>
          </w:p>
        </w:tc>
        <w:tc>
          <w:tcPr>
            <w:tcW w:w="0" w:type="auto"/>
            <w:shd w:val="clear" w:color="auto" w:fill="CCEEFF"/>
            <w:tcMar>
              <w:top w:w="40" w:type="dxa"/>
              <w:left w:w="0" w:type="dxa"/>
              <w:bottom w:w="40" w:type="dxa"/>
              <w:right w:w="20" w:type="dxa"/>
            </w:tcMar>
            <w:vAlign w:val="bottom"/>
          </w:tcPr>
          <w:p w14:paraId="74DDCDE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DE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CDEC" w14:textId="77777777" w:rsidR="00584EC1" w:rsidRDefault="00871F8D">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CDED" w14:textId="77777777" w:rsidR="00584EC1" w:rsidRDefault="00584EC1">
            <w:pPr>
              <w:jc w:val="right"/>
              <w:rPr>
                <w:rFonts w:ascii="宋体"/>
              </w:rPr>
            </w:pPr>
          </w:p>
        </w:tc>
      </w:tr>
      <w:tr w:rsidR="00584EC1" w14:paraId="74DDCDF9" w14:textId="77777777">
        <w:tc>
          <w:tcPr>
            <w:tcW w:w="0" w:type="auto"/>
            <w:gridSpan w:val="3"/>
            <w:shd w:val="clear" w:color="auto" w:fill="FFFFFF"/>
            <w:tcMar>
              <w:top w:w="40" w:type="dxa"/>
              <w:left w:w="20" w:type="dxa"/>
              <w:bottom w:w="40" w:type="dxa"/>
              <w:right w:w="20" w:type="dxa"/>
            </w:tcMar>
            <w:vAlign w:val="bottom"/>
          </w:tcPr>
          <w:p w14:paraId="74DDCDEF" w14:textId="77777777" w:rsidR="00584EC1" w:rsidRDefault="00871F8D">
            <w:pPr>
              <w:textAlignment w:val="bottom"/>
            </w:pPr>
            <w:r>
              <w:rPr>
                <w:rFonts w:ascii="Arial" w:eastAsia="宋体" w:hAnsi="Arial" w:cs="Arial"/>
                <w:b/>
                <w:bCs/>
                <w:color w:val="000000"/>
                <w:sz w:val="13"/>
                <w:szCs w:val="13"/>
              </w:rPr>
              <w:t>Financial Liabilities:</w:t>
            </w:r>
          </w:p>
        </w:tc>
        <w:tc>
          <w:tcPr>
            <w:tcW w:w="0" w:type="auto"/>
            <w:gridSpan w:val="3"/>
            <w:shd w:val="clear" w:color="auto" w:fill="FFFFFF"/>
            <w:tcMar>
              <w:top w:w="0" w:type="dxa"/>
              <w:left w:w="20" w:type="dxa"/>
              <w:bottom w:w="0" w:type="dxa"/>
              <w:right w:w="20" w:type="dxa"/>
            </w:tcMar>
            <w:vAlign w:val="bottom"/>
          </w:tcPr>
          <w:p w14:paraId="74DDCDF0"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DF1"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DF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DF3"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DF4"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DF5"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DF6"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DF7"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DF8" w14:textId="77777777" w:rsidR="00584EC1" w:rsidRDefault="00584EC1">
            <w:pPr>
              <w:rPr>
                <w:rFonts w:ascii="宋体"/>
              </w:rPr>
            </w:pPr>
          </w:p>
        </w:tc>
      </w:tr>
      <w:tr w:rsidR="00584EC1" w14:paraId="74DDCE04" w14:textId="77777777">
        <w:tc>
          <w:tcPr>
            <w:tcW w:w="0" w:type="auto"/>
            <w:gridSpan w:val="3"/>
            <w:shd w:val="clear" w:color="auto" w:fill="CCEEFF"/>
            <w:tcMar>
              <w:top w:w="40" w:type="dxa"/>
              <w:left w:w="20" w:type="dxa"/>
              <w:bottom w:w="40" w:type="dxa"/>
              <w:right w:w="20" w:type="dxa"/>
            </w:tcMar>
            <w:vAlign w:val="bottom"/>
          </w:tcPr>
          <w:p w14:paraId="74DDCDFA" w14:textId="77777777" w:rsidR="00584EC1" w:rsidRDefault="00871F8D">
            <w:pPr>
              <w:textAlignment w:val="bottom"/>
            </w:pPr>
            <w:r>
              <w:rPr>
                <w:rFonts w:ascii="Arial" w:eastAsia="宋体" w:hAnsi="Arial" w:cs="Arial"/>
                <w:color w:val="000000"/>
                <w:sz w:val="13"/>
                <w:szCs w:val="13"/>
              </w:rPr>
              <w:t>Deposits:</w:t>
            </w:r>
          </w:p>
        </w:tc>
        <w:tc>
          <w:tcPr>
            <w:tcW w:w="0" w:type="auto"/>
            <w:gridSpan w:val="3"/>
            <w:shd w:val="clear" w:color="auto" w:fill="CCEEFF"/>
            <w:tcMar>
              <w:top w:w="0" w:type="dxa"/>
              <w:left w:w="20" w:type="dxa"/>
              <w:bottom w:w="0" w:type="dxa"/>
              <w:right w:w="20" w:type="dxa"/>
            </w:tcMar>
            <w:vAlign w:val="bottom"/>
          </w:tcPr>
          <w:p w14:paraId="74DDCDFB"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DFC"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DFD"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DFE"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DFF"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E00"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E01"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E02"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CE03" w14:textId="77777777" w:rsidR="00584EC1" w:rsidRDefault="00584EC1">
            <w:pPr>
              <w:rPr>
                <w:rFonts w:ascii="宋体"/>
              </w:rPr>
            </w:pPr>
          </w:p>
        </w:tc>
      </w:tr>
      <w:tr w:rsidR="00584EC1" w14:paraId="74DDCE19" w14:textId="77777777">
        <w:tc>
          <w:tcPr>
            <w:tcW w:w="0" w:type="auto"/>
            <w:gridSpan w:val="3"/>
            <w:shd w:val="clear" w:color="auto" w:fill="FFFFFF"/>
            <w:tcMar>
              <w:top w:w="40" w:type="dxa"/>
              <w:left w:w="20" w:type="dxa"/>
              <w:bottom w:w="40" w:type="dxa"/>
              <w:right w:w="20" w:type="dxa"/>
            </w:tcMar>
            <w:vAlign w:val="bottom"/>
          </w:tcPr>
          <w:p w14:paraId="74DDCE05" w14:textId="77777777" w:rsidR="00584EC1" w:rsidRDefault="00871F8D">
            <w:pPr>
              <w:textAlignment w:val="bottom"/>
            </w:pPr>
            <w:r>
              <w:rPr>
                <w:rFonts w:ascii="Arial" w:eastAsia="宋体" w:hAnsi="Arial" w:cs="Arial"/>
                <w:color w:val="000000"/>
                <w:sz w:val="13"/>
                <w:szCs w:val="13"/>
              </w:rPr>
              <w:t>Non-interest-bearing</w:t>
            </w:r>
          </w:p>
        </w:tc>
        <w:tc>
          <w:tcPr>
            <w:tcW w:w="0" w:type="auto"/>
            <w:shd w:val="clear" w:color="auto" w:fill="FFFFFF"/>
            <w:tcMar>
              <w:top w:w="40" w:type="dxa"/>
              <w:left w:w="20" w:type="dxa"/>
              <w:bottom w:w="40" w:type="dxa"/>
              <w:right w:w="0" w:type="dxa"/>
            </w:tcMar>
            <w:vAlign w:val="bottom"/>
          </w:tcPr>
          <w:p w14:paraId="74DDCE06" w14:textId="77777777" w:rsidR="00584EC1" w:rsidRDefault="00871F8D">
            <w:pPr>
              <w:textAlignment w:val="bottom"/>
            </w:pPr>
            <w:r>
              <w:rPr>
                <w:rFonts w:ascii="Arial" w:eastAsia="宋体" w:hAnsi="Arial" w:cs="Arial"/>
                <w:color w:val="000000"/>
                <w:sz w:val="13"/>
                <w:szCs w:val="13"/>
              </w:rPr>
              <w:t>$</w:t>
            </w:r>
          </w:p>
        </w:tc>
        <w:tc>
          <w:tcPr>
            <w:tcW w:w="0" w:type="auto"/>
            <w:shd w:val="clear" w:color="auto" w:fill="FFFFFF"/>
            <w:tcMar>
              <w:top w:w="40" w:type="dxa"/>
              <w:left w:w="0" w:type="dxa"/>
              <w:bottom w:w="40" w:type="dxa"/>
              <w:right w:w="0" w:type="dxa"/>
            </w:tcMar>
            <w:vAlign w:val="bottom"/>
          </w:tcPr>
          <w:p w14:paraId="74DDCE07" w14:textId="77777777" w:rsidR="00584EC1" w:rsidRDefault="00871F8D">
            <w:pPr>
              <w:jc w:val="right"/>
              <w:textAlignment w:val="bottom"/>
            </w:pPr>
            <w:r>
              <w:rPr>
                <w:rFonts w:ascii="Arial" w:eastAsia="宋体" w:hAnsi="Arial" w:cs="Arial"/>
                <w:color w:val="000000"/>
                <w:sz w:val="13"/>
                <w:szCs w:val="13"/>
              </w:rPr>
              <w:t>49,439 </w:t>
            </w:r>
          </w:p>
        </w:tc>
        <w:tc>
          <w:tcPr>
            <w:tcW w:w="0" w:type="auto"/>
            <w:shd w:val="clear" w:color="auto" w:fill="FFFFFF"/>
            <w:tcMar>
              <w:top w:w="40" w:type="dxa"/>
              <w:left w:w="0" w:type="dxa"/>
              <w:bottom w:w="40" w:type="dxa"/>
              <w:right w:w="20" w:type="dxa"/>
            </w:tcMar>
            <w:vAlign w:val="bottom"/>
          </w:tcPr>
          <w:p w14:paraId="74DDCE0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E09" w14:textId="77777777" w:rsidR="00584EC1" w:rsidRDefault="00584EC1">
            <w:pPr>
              <w:rPr>
                <w:rFonts w:ascii="宋体"/>
              </w:rPr>
            </w:pPr>
          </w:p>
        </w:tc>
        <w:tc>
          <w:tcPr>
            <w:tcW w:w="0" w:type="auto"/>
            <w:shd w:val="clear" w:color="auto" w:fill="FFFFFF"/>
            <w:tcMar>
              <w:top w:w="40" w:type="dxa"/>
              <w:left w:w="20" w:type="dxa"/>
              <w:bottom w:w="40" w:type="dxa"/>
              <w:right w:w="0" w:type="dxa"/>
            </w:tcMar>
            <w:vAlign w:val="bottom"/>
          </w:tcPr>
          <w:p w14:paraId="74DDCE0A" w14:textId="77777777" w:rsidR="00584EC1" w:rsidRDefault="00871F8D">
            <w:pPr>
              <w:textAlignment w:val="bottom"/>
            </w:pPr>
            <w:r>
              <w:rPr>
                <w:rFonts w:ascii="Arial" w:eastAsia="宋体" w:hAnsi="Arial" w:cs="Arial"/>
                <w:color w:val="000000"/>
                <w:sz w:val="13"/>
                <w:szCs w:val="13"/>
              </w:rPr>
              <w:t>$</w:t>
            </w:r>
          </w:p>
        </w:tc>
        <w:tc>
          <w:tcPr>
            <w:tcW w:w="0" w:type="auto"/>
            <w:shd w:val="clear" w:color="auto" w:fill="FFFFFF"/>
            <w:tcMar>
              <w:top w:w="40" w:type="dxa"/>
              <w:left w:w="0" w:type="dxa"/>
              <w:bottom w:w="40" w:type="dxa"/>
              <w:right w:w="0" w:type="dxa"/>
            </w:tcMar>
            <w:vAlign w:val="bottom"/>
          </w:tcPr>
          <w:p w14:paraId="74DDCE0B" w14:textId="77777777" w:rsidR="00584EC1" w:rsidRDefault="00871F8D">
            <w:pPr>
              <w:jc w:val="right"/>
              <w:textAlignment w:val="bottom"/>
            </w:pPr>
            <w:r>
              <w:rPr>
                <w:rFonts w:ascii="Arial" w:eastAsia="宋体" w:hAnsi="Arial" w:cs="Arial"/>
                <w:color w:val="000000"/>
                <w:sz w:val="13"/>
                <w:szCs w:val="13"/>
              </w:rPr>
              <w:t>49,439 </w:t>
            </w:r>
          </w:p>
        </w:tc>
        <w:tc>
          <w:tcPr>
            <w:tcW w:w="0" w:type="auto"/>
            <w:shd w:val="clear" w:color="auto" w:fill="FFFFFF"/>
            <w:tcMar>
              <w:top w:w="40" w:type="dxa"/>
              <w:left w:w="0" w:type="dxa"/>
              <w:bottom w:w="40" w:type="dxa"/>
              <w:right w:w="20" w:type="dxa"/>
            </w:tcMar>
            <w:vAlign w:val="bottom"/>
          </w:tcPr>
          <w:p w14:paraId="74DDCE0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E0D" w14:textId="77777777" w:rsidR="00584EC1" w:rsidRDefault="00584EC1">
            <w:pPr>
              <w:rPr>
                <w:rFonts w:ascii="宋体"/>
              </w:rPr>
            </w:pPr>
          </w:p>
        </w:tc>
        <w:tc>
          <w:tcPr>
            <w:tcW w:w="0" w:type="auto"/>
            <w:shd w:val="clear" w:color="auto" w:fill="FFFFFF"/>
            <w:tcMar>
              <w:top w:w="40" w:type="dxa"/>
              <w:left w:w="20" w:type="dxa"/>
              <w:bottom w:w="40" w:type="dxa"/>
              <w:right w:w="0" w:type="dxa"/>
            </w:tcMar>
            <w:vAlign w:val="bottom"/>
          </w:tcPr>
          <w:p w14:paraId="74DDCE0E" w14:textId="77777777" w:rsidR="00584EC1" w:rsidRDefault="00871F8D">
            <w:pPr>
              <w:textAlignment w:val="bottom"/>
            </w:pPr>
            <w:r>
              <w:rPr>
                <w:rFonts w:ascii="Arial" w:eastAsia="宋体" w:hAnsi="Arial" w:cs="Arial"/>
                <w:color w:val="000000"/>
                <w:sz w:val="13"/>
                <w:szCs w:val="13"/>
              </w:rPr>
              <w:t>$</w:t>
            </w:r>
          </w:p>
        </w:tc>
        <w:tc>
          <w:tcPr>
            <w:tcW w:w="0" w:type="auto"/>
            <w:shd w:val="clear" w:color="auto" w:fill="FFFFFF"/>
            <w:tcMar>
              <w:top w:w="40" w:type="dxa"/>
              <w:left w:w="0" w:type="dxa"/>
              <w:bottom w:w="40" w:type="dxa"/>
              <w:right w:w="0" w:type="dxa"/>
            </w:tcMar>
            <w:vAlign w:val="bottom"/>
          </w:tcPr>
          <w:p w14:paraId="74DDCE0F" w14:textId="77777777" w:rsidR="00584EC1" w:rsidRDefault="00871F8D">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CE1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E11" w14:textId="77777777" w:rsidR="00584EC1" w:rsidRDefault="00584EC1">
            <w:pPr>
              <w:rPr>
                <w:rFonts w:ascii="宋体"/>
              </w:rPr>
            </w:pPr>
          </w:p>
        </w:tc>
        <w:tc>
          <w:tcPr>
            <w:tcW w:w="0" w:type="auto"/>
            <w:shd w:val="clear" w:color="auto" w:fill="FFFFFF"/>
            <w:tcMar>
              <w:top w:w="40" w:type="dxa"/>
              <w:left w:w="20" w:type="dxa"/>
              <w:bottom w:w="40" w:type="dxa"/>
              <w:right w:w="0" w:type="dxa"/>
            </w:tcMar>
            <w:vAlign w:val="bottom"/>
          </w:tcPr>
          <w:p w14:paraId="74DDCE12" w14:textId="77777777" w:rsidR="00584EC1" w:rsidRDefault="00871F8D">
            <w:pPr>
              <w:textAlignment w:val="bottom"/>
            </w:pPr>
            <w:r>
              <w:rPr>
                <w:rFonts w:ascii="Arial" w:eastAsia="宋体" w:hAnsi="Arial" w:cs="Arial"/>
                <w:color w:val="000000"/>
                <w:sz w:val="13"/>
                <w:szCs w:val="13"/>
              </w:rPr>
              <w:t>$</w:t>
            </w:r>
          </w:p>
        </w:tc>
        <w:tc>
          <w:tcPr>
            <w:tcW w:w="0" w:type="auto"/>
            <w:shd w:val="clear" w:color="auto" w:fill="FFFFFF"/>
            <w:tcMar>
              <w:top w:w="40" w:type="dxa"/>
              <w:left w:w="0" w:type="dxa"/>
              <w:bottom w:w="40" w:type="dxa"/>
              <w:right w:w="0" w:type="dxa"/>
            </w:tcMar>
            <w:vAlign w:val="bottom"/>
          </w:tcPr>
          <w:p w14:paraId="74DDCE13" w14:textId="77777777" w:rsidR="00584EC1" w:rsidRDefault="00871F8D">
            <w:pPr>
              <w:jc w:val="right"/>
              <w:textAlignment w:val="bottom"/>
            </w:pPr>
            <w:r>
              <w:rPr>
                <w:rFonts w:ascii="Arial" w:eastAsia="宋体" w:hAnsi="Arial" w:cs="Arial"/>
                <w:color w:val="000000"/>
                <w:sz w:val="13"/>
                <w:szCs w:val="13"/>
              </w:rPr>
              <w:t>49,439 </w:t>
            </w:r>
          </w:p>
        </w:tc>
        <w:tc>
          <w:tcPr>
            <w:tcW w:w="0" w:type="auto"/>
            <w:shd w:val="clear" w:color="auto" w:fill="FFFFFF"/>
            <w:tcMar>
              <w:top w:w="40" w:type="dxa"/>
              <w:left w:w="0" w:type="dxa"/>
              <w:bottom w:w="40" w:type="dxa"/>
              <w:right w:w="20" w:type="dxa"/>
            </w:tcMar>
            <w:vAlign w:val="bottom"/>
          </w:tcPr>
          <w:p w14:paraId="74DDCE1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E15" w14:textId="77777777" w:rsidR="00584EC1" w:rsidRDefault="00584EC1">
            <w:pPr>
              <w:rPr>
                <w:rFonts w:ascii="宋体"/>
              </w:rPr>
            </w:pPr>
          </w:p>
        </w:tc>
        <w:tc>
          <w:tcPr>
            <w:tcW w:w="0" w:type="auto"/>
            <w:shd w:val="clear" w:color="auto" w:fill="FFFFFF"/>
            <w:tcMar>
              <w:top w:w="40" w:type="dxa"/>
              <w:left w:w="20" w:type="dxa"/>
              <w:bottom w:w="40" w:type="dxa"/>
              <w:right w:w="0" w:type="dxa"/>
            </w:tcMar>
            <w:vAlign w:val="bottom"/>
          </w:tcPr>
          <w:p w14:paraId="74DDCE16" w14:textId="77777777" w:rsidR="00584EC1" w:rsidRDefault="00871F8D">
            <w:pPr>
              <w:textAlignment w:val="bottom"/>
            </w:pPr>
            <w:r>
              <w:rPr>
                <w:rFonts w:ascii="Arial" w:eastAsia="宋体" w:hAnsi="Arial" w:cs="Arial"/>
                <w:color w:val="000000"/>
                <w:sz w:val="13"/>
                <w:szCs w:val="13"/>
              </w:rPr>
              <w:t>$</w:t>
            </w:r>
          </w:p>
        </w:tc>
        <w:tc>
          <w:tcPr>
            <w:tcW w:w="0" w:type="auto"/>
            <w:shd w:val="clear" w:color="auto" w:fill="FFFFFF"/>
            <w:tcMar>
              <w:top w:w="40" w:type="dxa"/>
              <w:left w:w="0" w:type="dxa"/>
              <w:bottom w:w="40" w:type="dxa"/>
              <w:right w:w="0" w:type="dxa"/>
            </w:tcMar>
            <w:vAlign w:val="bottom"/>
          </w:tcPr>
          <w:p w14:paraId="74DDCE17" w14:textId="77777777" w:rsidR="00584EC1" w:rsidRDefault="00871F8D">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CE18" w14:textId="77777777" w:rsidR="00584EC1" w:rsidRDefault="00584EC1">
            <w:pPr>
              <w:jc w:val="right"/>
              <w:rPr>
                <w:rFonts w:ascii="宋体"/>
              </w:rPr>
            </w:pPr>
          </w:p>
        </w:tc>
      </w:tr>
      <w:tr w:rsidR="00584EC1" w14:paraId="74DDCE29" w14:textId="77777777">
        <w:tc>
          <w:tcPr>
            <w:tcW w:w="0" w:type="auto"/>
            <w:gridSpan w:val="3"/>
            <w:shd w:val="clear" w:color="auto" w:fill="CCEEFF"/>
            <w:tcMar>
              <w:top w:w="40" w:type="dxa"/>
              <w:left w:w="20" w:type="dxa"/>
              <w:bottom w:w="40" w:type="dxa"/>
              <w:right w:w="20" w:type="dxa"/>
            </w:tcMar>
            <w:vAlign w:val="bottom"/>
          </w:tcPr>
          <w:p w14:paraId="74DDCE1A" w14:textId="77777777" w:rsidR="00584EC1" w:rsidRDefault="00871F8D">
            <w:pPr>
              <w:textAlignment w:val="bottom"/>
            </w:pPr>
            <w:r>
              <w:rPr>
                <w:rFonts w:ascii="Arial" w:eastAsia="宋体" w:hAnsi="Arial" w:cs="Arial"/>
                <w:color w:val="000000"/>
                <w:sz w:val="13"/>
                <w:szCs w:val="13"/>
              </w:rPr>
              <w:t>Interest-bearing - U.S.</w:t>
            </w:r>
          </w:p>
        </w:tc>
        <w:tc>
          <w:tcPr>
            <w:tcW w:w="0" w:type="auto"/>
            <w:gridSpan w:val="2"/>
            <w:shd w:val="clear" w:color="auto" w:fill="CCEEFF"/>
            <w:tcMar>
              <w:top w:w="40" w:type="dxa"/>
              <w:left w:w="20" w:type="dxa"/>
              <w:bottom w:w="40" w:type="dxa"/>
              <w:right w:w="0" w:type="dxa"/>
            </w:tcMar>
            <w:vAlign w:val="bottom"/>
          </w:tcPr>
          <w:p w14:paraId="74DDCE1B" w14:textId="77777777" w:rsidR="00584EC1" w:rsidRDefault="00871F8D">
            <w:pPr>
              <w:jc w:val="right"/>
              <w:textAlignment w:val="bottom"/>
            </w:pPr>
            <w:r>
              <w:rPr>
                <w:rFonts w:ascii="Arial" w:eastAsia="宋体" w:hAnsi="Arial" w:cs="Arial"/>
                <w:color w:val="000000"/>
                <w:sz w:val="13"/>
                <w:szCs w:val="13"/>
              </w:rPr>
              <w:t>102,331 </w:t>
            </w:r>
          </w:p>
        </w:tc>
        <w:tc>
          <w:tcPr>
            <w:tcW w:w="0" w:type="auto"/>
            <w:shd w:val="clear" w:color="auto" w:fill="CCEEFF"/>
            <w:tcMar>
              <w:top w:w="40" w:type="dxa"/>
              <w:left w:w="0" w:type="dxa"/>
              <w:bottom w:w="40" w:type="dxa"/>
              <w:right w:w="20" w:type="dxa"/>
            </w:tcMar>
            <w:vAlign w:val="bottom"/>
          </w:tcPr>
          <w:p w14:paraId="74DDCE1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E1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CE1E" w14:textId="77777777" w:rsidR="00584EC1" w:rsidRDefault="00871F8D">
            <w:pPr>
              <w:jc w:val="right"/>
              <w:textAlignment w:val="bottom"/>
            </w:pPr>
            <w:r>
              <w:rPr>
                <w:rFonts w:ascii="Arial" w:eastAsia="宋体" w:hAnsi="Arial" w:cs="Arial"/>
                <w:color w:val="000000"/>
                <w:sz w:val="13"/>
                <w:szCs w:val="13"/>
              </w:rPr>
              <w:t>102,331 </w:t>
            </w:r>
          </w:p>
        </w:tc>
        <w:tc>
          <w:tcPr>
            <w:tcW w:w="0" w:type="auto"/>
            <w:shd w:val="clear" w:color="auto" w:fill="CCEEFF"/>
            <w:tcMar>
              <w:top w:w="40" w:type="dxa"/>
              <w:left w:w="0" w:type="dxa"/>
              <w:bottom w:w="40" w:type="dxa"/>
              <w:right w:w="20" w:type="dxa"/>
            </w:tcMar>
            <w:vAlign w:val="bottom"/>
          </w:tcPr>
          <w:p w14:paraId="74DDCE1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E2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CE21" w14:textId="77777777" w:rsidR="00584EC1" w:rsidRDefault="00871F8D">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CE2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E23"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CE24" w14:textId="77777777" w:rsidR="00584EC1" w:rsidRDefault="00871F8D">
            <w:pPr>
              <w:jc w:val="right"/>
              <w:textAlignment w:val="bottom"/>
            </w:pPr>
            <w:r>
              <w:rPr>
                <w:rFonts w:ascii="Arial" w:eastAsia="宋体" w:hAnsi="Arial" w:cs="Arial"/>
                <w:color w:val="000000"/>
                <w:sz w:val="13"/>
                <w:szCs w:val="13"/>
              </w:rPr>
              <w:t>102,331 </w:t>
            </w:r>
          </w:p>
        </w:tc>
        <w:tc>
          <w:tcPr>
            <w:tcW w:w="0" w:type="auto"/>
            <w:shd w:val="clear" w:color="auto" w:fill="CCEEFF"/>
            <w:tcMar>
              <w:top w:w="40" w:type="dxa"/>
              <w:left w:w="0" w:type="dxa"/>
              <w:bottom w:w="40" w:type="dxa"/>
              <w:right w:w="20" w:type="dxa"/>
            </w:tcMar>
            <w:vAlign w:val="bottom"/>
          </w:tcPr>
          <w:p w14:paraId="74DDCE2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E2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CE27" w14:textId="77777777" w:rsidR="00584EC1" w:rsidRDefault="00871F8D">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CE28" w14:textId="77777777" w:rsidR="00584EC1" w:rsidRDefault="00584EC1">
            <w:pPr>
              <w:jc w:val="right"/>
              <w:rPr>
                <w:rFonts w:ascii="宋体"/>
              </w:rPr>
            </w:pPr>
          </w:p>
        </w:tc>
      </w:tr>
      <w:tr w:rsidR="00584EC1" w14:paraId="74DDCE39" w14:textId="77777777">
        <w:tc>
          <w:tcPr>
            <w:tcW w:w="0" w:type="auto"/>
            <w:gridSpan w:val="3"/>
            <w:shd w:val="clear" w:color="auto" w:fill="FFFFFF"/>
            <w:tcMar>
              <w:top w:w="40" w:type="dxa"/>
              <w:left w:w="20" w:type="dxa"/>
              <w:bottom w:w="40" w:type="dxa"/>
              <w:right w:w="20" w:type="dxa"/>
            </w:tcMar>
            <w:vAlign w:val="bottom"/>
          </w:tcPr>
          <w:p w14:paraId="74DDCE2A" w14:textId="77777777" w:rsidR="00584EC1" w:rsidRDefault="00871F8D">
            <w:pPr>
              <w:textAlignment w:val="bottom"/>
            </w:pPr>
            <w:r>
              <w:rPr>
                <w:rFonts w:ascii="Arial" w:eastAsia="宋体" w:hAnsi="Arial" w:cs="Arial"/>
                <w:color w:val="000000"/>
                <w:sz w:val="13"/>
                <w:szCs w:val="13"/>
              </w:rPr>
              <w:t>Interest-bearing - non-U.S.</w:t>
            </w:r>
          </w:p>
        </w:tc>
        <w:tc>
          <w:tcPr>
            <w:tcW w:w="0" w:type="auto"/>
            <w:gridSpan w:val="2"/>
            <w:shd w:val="clear" w:color="auto" w:fill="FFFFFF"/>
            <w:tcMar>
              <w:top w:w="40" w:type="dxa"/>
              <w:left w:w="20" w:type="dxa"/>
              <w:bottom w:w="40" w:type="dxa"/>
              <w:right w:w="0" w:type="dxa"/>
            </w:tcMar>
            <w:vAlign w:val="bottom"/>
          </w:tcPr>
          <w:p w14:paraId="74DDCE2B" w14:textId="77777777" w:rsidR="00584EC1" w:rsidRDefault="00871F8D">
            <w:pPr>
              <w:jc w:val="right"/>
              <w:textAlignment w:val="bottom"/>
            </w:pPr>
            <w:r>
              <w:rPr>
                <w:rFonts w:ascii="Arial" w:eastAsia="宋体" w:hAnsi="Arial" w:cs="Arial"/>
                <w:color w:val="000000"/>
                <w:sz w:val="13"/>
                <w:szCs w:val="13"/>
              </w:rPr>
              <w:t>88,028 </w:t>
            </w:r>
          </w:p>
        </w:tc>
        <w:tc>
          <w:tcPr>
            <w:tcW w:w="0" w:type="auto"/>
            <w:shd w:val="clear" w:color="auto" w:fill="FFFFFF"/>
            <w:tcMar>
              <w:top w:w="40" w:type="dxa"/>
              <w:left w:w="0" w:type="dxa"/>
              <w:bottom w:w="40" w:type="dxa"/>
              <w:right w:w="20" w:type="dxa"/>
            </w:tcMar>
            <w:vAlign w:val="bottom"/>
          </w:tcPr>
          <w:p w14:paraId="74DDCE2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E2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CE2E" w14:textId="77777777" w:rsidR="00584EC1" w:rsidRDefault="00871F8D">
            <w:pPr>
              <w:jc w:val="right"/>
              <w:textAlignment w:val="bottom"/>
            </w:pPr>
            <w:r>
              <w:rPr>
                <w:rFonts w:ascii="Arial" w:eastAsia="宋体" w:hAnsi="Arial" w:cs="Arial"/>
                <w:color w:val="000000"/>
                <w:sz w:val="13"/>
                <w:szCs w:val="13"/>
              </w:rPr>
              <w:t>88,028 </w:t>
            </w:r>
          </w:p>
        </w:tc>
        <w:tc>
          <w:tcPr>
            <w:tcW w:w="0" w:type="auto"/>
            <w:shd w:val="clear" w:color="auto" w:fill="FFFFFF"/>
            <w:tcMar>
              <w:top w:w="40" w:type="dxa"/>
              <w:left w:w="0" w:type="dxa"/>
              <w:bottom w:w="40" w:type="dxa"/>
              <w:right w:w="20" w:type="dxa"/>
            </w:tcMar>
            <w:vAlign w:val="bottom"/>
          </w:tcPr>
          <w:p w14:paraId="74DDCE2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E3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CE31" w14:textId="77777777" w:rsidR="00584EC1" w:rsidRDefault="00871F8D">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CE3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E3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CE34" w14:textId="77777777" w:rsidR="00584EC1" w:rsidRDefault="00871F8D">
            <w:pPr>
              <w:jc w:val="right"/>
              <w:textAlignment w:val="bottom"/>
            </w:pPr>
            <w:r>
              <w:rPr>
                <w:rFonts w:ascii="Arial" w:eastAsia="宋体" w:hAnsi="Arial" w:cs="Arial"/>
                <w:color w:val="000000"/>
                <w:sz w:val="13"/>
                <w:szCs w:val="13"/>
              </w:rPr>
              <w:t>88,028 </w:t>
            </w:r>
          </w:p>
        </w:tc>
        <w:tc>
          <w:tcPr>
            <w:tcW w:w="0" w:type="auto"/>
            <w:shd w:val="clear" w:color="auto" w:fill="FFFFFF"/>
            <w:tcMar>
              <w:top w:w="40" w:type="dxa"/>
              <w:left w:w="0" w:type="dxa"/>
              <w:bottom w:w="40" w:type="dxa"/>
              <w:right w:w="20" w:type="dxa"/>
            </w:tcMar>
            <w:vAlign w:val="bottom"/>
          </w:tcPr>
          <w:p w14:paraId="74DDCE3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E3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CE37" w14:textId="77777777" w:rsidR="00584EC1" w:rsidRDefault="00871F8D">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CE38" w14:textId="77777777" w:rsidR="00584EC1" w:rsidRDefault="00584EC1">
            <w:pPr>
              <w:jc w:val="right"/>
              <w:rPr>
                <w:rFonts w:ascii="宋体"/>
              </w:rPr>
            </w:pPr>
          </w:p>
        </w:tc>
      </w:tr>
      <w:tr w:rsidR="00584EC1" w14:paraId="74DDCE49" w14:textId="77777777">
        <w:tc>
          <w:tcPr>
            <w:tcW w:w="0" w:type="auto"/>
            <w:gridSpan w:val="3"/>
            <w:shd w:val="clear" w:color="auto" w:fill="CCEEFF"/>
            <w:tcMar>
              <w:top w:w="40" w:type="dxa"/>
              <w:left w:w="20" w:type="dxa"/>
              <w:bottom w:w="40" w:type="dxa"/>
              <w:right w:w="20" w:type="dxa"/>
            </w:tcMar>
            <w:vAlign w:val="bottom"/>
          </w:tcPr>
          <w:p w14:paraId="74DDCE3A" w14:textId="77777777" w:rsidR="00584EC1" w:rsidRDefault="00871F8D">
            <w:pPr>
              <w:textAlignment w:val="bottom"/>
            </w:pPr>
            <w:r>
              <w:rPr>
                <w:rFonts w:ascii="Arial" w:eastAsia="宋体" w:hAnsi="Arial" w:cs="Arial"/>
                <w:color w:val="000000"/>
                <w:sz w:val="13"/>
                <w:szCs w:val="13"/>
              </w:rPr>
              <w:t>Securities sold under repurchase agreements</w:t>
            </w:r>
          </w:p>
        </w:tc>
        <w:tc>
          <w:tcPr>
            <w:tcW w:w="0" w:type="auto"/>
            <w:gridSpan w:val="2"/>
            <w:shd w:val="clear" w:color="auto" w:fill="CCEEFF"/>
            <w:tcMar>
              <w:top w:w="40" w:type="dxa"/>
              <w:left w:w="20" w:type="dxa"/>
              <w:bottom w:w="40" w:type="dxa"/>
              <w:right w:w="0" w:type="dxa"/>
            </w:tcMar>
            <w:vAlign w:val="bottom"/>
          </w:tcPr>
          <w:p w14:paraId="74DDCE3B" w14:textId="77777777" w:rsidR="00584EC1" w:rsidRDefault="00871F8D">
            <w:pPr>
              <w:jc w:val="right"/>
              <w:textAlignment w:val="bottom"/>
            </w:pPr>
            <w:r>
              <w:rPr>
                <w:rFonts w:ascii="Arial" w:eastAsia="宋体" w:hAnsi="Arial" w:cs="Arial"/>
                <w:color w:val="000000"/>
                <w:sz w:val="13"/>
                <w:szCs w:val="13"/>
              </w:rPr>
              <w:t>3,413 </w:t>
            </w:r>
          </w:p>
        </w:tc>
        <w:tc>
          <w:tcPr>
            <w:tcW w:w="0" w:type="auto"/>
            <w:shd w:val="clear" w:color="auto" w:fill="CCEEFF"/>
            <w:tcMar>
              <w:top w:w="40" w:type="dxa"/>
              <w:left w:w="0" w:type="dxa"/>
              <w:bottom w:w="40" w:type="dxa"/>
              <w:right w:w="20" w:type="dxa"/>
            </w:tcMar>
            <w:vAlign w:val="bottom"/>
          </w:tcPr>
          <w:p w14:paraId="74DDCE3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E3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CE3E" w14:textId="77777777" w:rsidR="00584EC1" w:rsidRDefault="00871F8D">
            <w:pPr>
              <w:jc w:val="right"/>
              <w:textAlignment w:val="bottom"/>
            </w:pPr>
            <w:r>
              <w:rPr>
                <w:rFonts w:ascii="Arial" w:eastAsia="宋体" w:hAnsi="Arial" w:cs="Arial"/>
                <w:color w:val="000000"/>
                <w:sz w:val="13"/>
                <w:szCs w:val="13"/>
              </w:rPr>
              <w:t>3,413 </w:t>
            </w:r>
          </w:p>
        </w:tc>
        <w:tc>
          <w:tcPr>
            <w:tcW w:w="0" w:type="auto"/>
            <w:shd w:val="clear" w:color="auto" w:fill="CCEEFF"/>
            <w:tcMar>
              <w:top w:w="40" w:type="dxa"/>
              <w:left w:w="0" w:type="dxa"/>
              <w:bottom w:w="40" w:type="dxa"/>
              <w:right w:w="20" w:type="dxa"/>
            </w:tcMar>
            <w:vAlign w:val="bottom"/>
          </w:tcPr>
          <w:p w14:paraId="74DDCE3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E4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CE41" w14:textId="77777777" w:rsidR="00584EC1" w:rsidRDefault="00871F8D">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CE4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E43"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CE44" w14:textId="77777777" w:rsidR="00584EC1" w:rsidRDefault="00871F8D">
            <w:pPr>
              <w:jc w:val="right"/>
              <w:textAlignment w:val="bottom"/>
            </w:pPr>
            <w:r>
              <w:rPr>
                <w:rFonts w:ascii="Arial" w:eastAsia="宋体" w:hAnsi="Arial" w:cs="Arial"/>
                <w:color w:val="000000"/>
                <w:sz w:val="13"/>
                <w:szCs w:val="13"/>
              </w:rPr>
              <w:t>3,413 </w:t>
            </w:r>
          </w:p>
        </w:tc>
        <w:tc>
          <w:tcPr>
            <w:tcW w:w="0" w:type="auto"/>
            <w:shd w:val="clear" w:color="auto" w:fill="CCEEFF"/>
            <w:tcMar>
              <w:top w:w="40" w:type="dxa"/>
              <w:left w:w="0" w:type="dxa"/>
              <w:bottom w:w="40" w:type="dxa"/>
              <w:right w:w="20" w:type="dxa"/>
            </w:tcMar>
            <w:vAlign w:val="bottom"/>
          </w:tcPr>
          <w:p w14:paraId="74DDCE4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E4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CE47" w14:textId="77777777" w:rsidR="00584EC1" w:rsidRDefault="00871F8D">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CE48" w14:textId="77777777" w:rsidR="00584EC1" w:rsidRDefault="00584EC1">
            <w:pPr>
              <w:jc w:val="right"/>
              <w:rPr>
                <w:rFonts w:ascii="宋体"/>
              </w:rPr>
            </w:pPr>
          </w:p>
        </w:tc>
      </w:tr>
      <w:tr w:rsidR="00584EC1" w14:paraId="74DDCE59" w14:textId="77777777">
        <w:tc>
          <w:tcPr>
            <w:tcW w:w="0" w:type="auto"/>
            <w:gridSpan w:val="3"/>
            <w:shd w:val="clear" w:color="auto" w:fill="FFFFFF"/>
            <w:tcMar>
              <w:top w:w="40" w:type="dxa"/>
              <w:left w:w="20" w:type="dxa"/>
              <w:bottom w:w="40" w:type="dxa"/>
              <w:right w:w="20" w:type="dxa"/>
            </w:tcMar>
            <w:vAlign w:val="bottom"/>
          </w:tcPr>
          <w:p w14:paraId="74DDCE4A" w14:textId="77777777" w:rsidR="00584EC1" w:rsidRDefault="00871F8D">
            <w:pPr>
              <w:textAlignment w:val="bottom"/>
            </w:pPr>
            <w:r>
              <w:rPr>
                <w:rFonts w:ascii="Arial" w:eastAsia="宋体" w:hAnsi="Arial" w:cs="Arial"/>
                <w:color w:val="000000"/>
                <w:sz w:val="13"/>
                <w:szCs w:val="13"/>
              </w:rPr>
              <w:t>Short-term bor</w:t>
            </w:r>
            <w:r>
              <w:rPr>
                <w:rFonts w:ascii="Arial" w:eastAsia="宋体" w:hAnsi="Arial" w:cs="Arial"/>
                <w:color w:val="000000"/>
                <w:sz w:val="13"/>
                <w:szCs w:val="13"/>
              </w:rPr>
              <w:t>rowings under the MMLF</w:t>
            </w:r>
            <w:r>
              <w:rPr>
                <w:rFonts w:ascii="Arial" w:eastAsia="宋体" w:hAnsi="Arial" w:cs="Arial"/>
                <w:color w:val="000000"/>
                <w:sz w:val="13"/>
                <w:szCs w:val="13"/>
              </w:rPr>
              <w:br/>
              <w:t>program</w:t>
            </w:r>
          </w:p>
        </w:tc>
        <w:tc>
          <w:tcPr>
            <w:tcW w:w="0" w:type="auto"/>
            <w:gridSpan w:val="2"/>
            <w:shd w:val="clear" w:color="auto" w:fill="FFFFFF"/>
            <w:tcMar>
              <w:top w:w="40" w:type="dxa"/>
              <w:left w:w="20" w:type="dxa"/>
              <w:bottom w:w="40" w:type="dxa"/>
              <w:right w:w="0" w:type="dxa"/>
            </w:tcMar>
            <w:vAlign w:val="bottom"/>
          </w:tcPr>
          <w:p w14:paraId="74DDCE4B" w14:textId="77777777" w:rsidR="00584EC1" w:rsidRDefault="00871F8D">
            <w:pPr>
              <w:jc w:val="right"/>
              <w:textAlignment w:val="bottom"/>
            </w:pPr>
            <w:r>
              <w:rPr>
                <w:rFonts w:ascii="Arial" w:eastAsia="宋体" w:hAnsi="Arial" w:cs="Arial"/>
                <w:color w:val="000000"/>
                <w:sz w:val="13"/>
                <w:szCs w:val="13"/>
              </w:rPr>
              <w:t>3,302 </w:t>
            </w:r>
          </w:p>
        </w:tc>
        <w:tc>
          <w:tcPr>
            <w:tcW w:w="0" w:type="auto"/>
            <w:shd w:val="clear" w:color="auto" w:fill="FFFFFF"/>
            <w:tcMar>
              <w:top w:w="40" w:type="dxa"/>
              <w:left w:w="0" w:type="dxa"/>
              <w:bottom w:w="40" w:type="dxa"/>
              <w:right w:w="20" w:type="dxa"/>
            </w:tcMar>
            <w:vAlign w:val="bottom"/>
          </w:tcPr>
          <w:p w14:paraId="74DDCE4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E4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CE4E" w14:textId="77777777" w:rsidR="00584EC1" w:rsidRDefault="00871F8D">
            <w:pPr>
              <w:jc w:val="right"/>
              <w:textAlignment w:val="bottom"/>
            </w:pPr>
            <w:r>
              <w:rPr>
                <w:rFonts w:ascii="Arial" w:eastAsia="宋体" w:hAnsi="Arial" w:cs="Arial"/>
                <w:color w:val="000000"/>
                <w:sz w:val="13"/>
                <w:szCs w:val="13"/>
              </w:rPr>
              <w:t>3,302 </w:t>
            </w:r>
          </w:p>
        </w:tc>
        <w:tc>
          <w:tcPr>
            <w:tcW w:w="0" w:type="auto"/>
            <w:shd w:val="clear" w:color="auto" w:fill="FFFFFF"/>
            <w:tcMar>
              <w:top w:w="40" w:type="dxa"/>
              <w:left w:w="0" w:type="dxa"/>
              <w:bottom w:w="40" w:type="dxa"/>
              <w:right w:w="20" w:type="dxa"/>
            </w:tcMar>
            <w:vAlign w:val="bottom"/>
          </w:tcPr>
          <w:p w14:paraId="74DDCE4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E5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CE51" w14:textId="77777777" w:rsidR="00584EC1" w:rsidRDefault="00871F8D">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CE5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E5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CE54" w14:textId="77777777" w:rsidR="00584EC1" w:rsidRDefault="00871F8D">
            <w:pPr>
              <w:jc w:val="right"/>
              <w:textAlignment w:val="bottom"/>
            </w:pPr>
            <w:r>
              <w:rPr>
                <w:rFonts w:ascii="Arial" w:eastAsia="宋体" w:hAnsi="Arial" w:cs="Arial"/>
                <w:color w:val="000000"/>
                <w:sz w:val="13"/>
                <w:szCs w:val="13"/>
              </w:rPr>
              <w:t>3,302 </w:t>
            </w:r>
          </w:p>
        </w:tc>
        <w:tc>
          <w:tcPr>
            <w:tcW w:w="0" w:type="auto"/>
            <w:shd w:val="clear" w:color="auto" w:fill="FFFFFF"/>
            <w:tcMar>
              <w:top w:w="40" w:type="dxa"/>
              <w:left w:w="0" w:type="dxa"/>
              <w:bottom w:w="40" w:type="dxa"/>
              <w:right w:w="20" w:type="dxa"/>
            </w:tcMar>
            <w:vAlign w:val="bottom"/>
          </w:tcPr>
          <w:p w14:paraId="74DDCE5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E5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CE57" w14:textId="77777777" w:rsidR="00584EC1" w:rsidRDefault="00871F8D">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CE58" w14:textId="77777777" w:rsidR="00584EC1" w:rsidRDefault="00584EC1">
            <w:pPr>
              <w:jc w:val="right"/>
              <w:rPr>
                <w:rFonts w:ascii="宋体"/>
              </w:rPr>
            </w:pPr>
          </w:p>
        </w:tc>
      </w:tr>
      <w:tr w:rsidR="00584EC1" w14:paraId="74DDCE69" w14:textId="77777777">
        <w:tc>
          <w:tcPr>
            <w:tcW w:w="0" w:type="auto"/>
            <w:gridSpan w:val="3"/>
            <w:shd w:val="clear" w:color="auto" w:fill="CCEEFF"/>
            <w:tcMar>
              <w:top w:w="40" w:type="dxa"/>
              <w:left w:w="20" w:type="dxa"/>
              <w:bottom w:w="40" w:type="dxa"/>
              <w:right w:w="20" w:type="dxa"/>
            </w:tcMar>
            <w:vAlign w:val="bottom"/>
          </w:tcPr>
          <w:p w14:paraId="74DDCE5A" w14:textId="77777777" w:rsidR="00584EC1" w:rsidRDefault="00871F8D">
            <w:pPr>
              <w:textAlignment w:val="bottom"/>
            </w:pPr>
            <w:r>
              <w:rPr>
                <w:rFonts w:ascii="Arial" w:eastAsia="宋体" w:hAnsi="Arial" w:cs="Arial"/>
                <w:color w:val="000000"/>
                <w:sz w:val="13"/>
                <w:szCs w:val="13"/>
              </w:rPr>
              <w:t>Other short-term borrowings</w:t>
            </w:r>
          </w:p>
        </w:tc>
        <w:tc>
          <w:tcPr>
            <w:tcW w:w="0" w:type="auto"/>
            <w:gridSpan w:val="2"/>
            <w:shd w:val="clear" w:color="auto" w:fill="CCEEFF"/>
            <w:tcMar>
              <w:top w:w="40" w:type="dxa"/>
              <w:left w:w="20" w:type="dxa"/>
              <w:bottom w:w="40" w:type="dxa"/>
              <w:right w:w="0" w:type="dxa"/>
            </w:tcMar>
            <w:vAlign w:val="bottom"/>
          </w:tcPr>
          <w:p w14:paraId="74DDCE5B" w14:textId="77777777" w:rsidR="00584EC1" w:rsidRDefault="00871F8D">
            <w:pPr>
              <w:jc w:val="right"/>
              <w:textAlignment w:val="bottom"/>
            </w:pPr>
            <w:r>
              <w:rPr>
                <w:rFonts w:ascii="Arial" w:eastAsia="宋体" w:hAnsi="Arial" w:cs="Arial"/>
                <w:color w:val="000000"/>
                <w:sz w:val="13"/>
                <w:szCs w:val="13"/>
              </w:rPr>
              <w:t>685 </w:t>
            </w:r>
          </w:p>
        </w:tc>
        <w:tc>
          <w:tcPr>
            <w:tcW w:w="0" w:type="auto"/>
            <w:shd w:val="clear" w:color="auto" w:fill="CCEEFF"/>
            <w:tcMar>
              <w:top w:w="40" w:type="dxa"/>
              <w:left w:w="0" w:type="dxa"/>
              <w:bottom w:w="40" w:type="dxa"/>
              <w:right w:w="20" w:type="dxa"/>
            </w:tcMar>
            <w:vAlign w:val="bottom"/>
          </w:tcPr>
          <w:p w14:paraId="74DDCE5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E5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CE5E" w14:textId="77777777" w:rsidR="00584EC1" w:rsidRDefault="00871F8D">
            <w:pPr>
              <w:jc w:val="right"/>
              <w:textAlignment w:val="bottom"/>
            </w:pPr>
            <w:r>
              <w:rPr>
                <w:rFonts w:ascii="Arial" w:eastAsia="宋体" w:hAnsi="Arial" w:cs="Arial"/>
                <w:color w:val="000000"/>
                <w:sz w:val="13"/>
                <w:szCs w:val="13"/>
              </w:rPr>
              <w:t>685 </w:t>
            </w:r>
          </w:p>
        </w:tc>
        <w:tc>
          <w:tcPr>
            <w:tcW w:w="0" w:type="auto"/>
            <w:shd w:val="clear" w:color="auto" w:fill="CCEEFF"/>
            <w:tcMar>
              <w:top w:w="40" w:type="dxa"/>
              <w:left w:w="0" w:type="dxa"/>
              <w:bottom w:w="40" w:type="dxa"/>
              <w:right w:w="20" w:type="dxa"/>
            </w:tcMar>
            <w:vAlign w:val="bottom"/>
          </w:tcPr>
          <w:p w14:paraId="74DDCE5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E6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CE61" w14:textId="77777777" w:rsidR="00584EC1" w:rsidRDefault="00871F8D">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CE6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E63"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CE64" w14:textId="77777777" w:rsidR="00584EC1" w:rsidRDefault="00871F8D">
            <w:pPr>
              <w:jc w:val="right"/>
              <w:textAlignment w:val="bottom"/>
            </w:pPr>
            <w:r>
              <w:rPr>
                <w:rFonts w:ascii="Arial" w:eastAsia="宋体" w:hAnsi="Arial" w:cs="Arial"/>
                <w:color w:val="000000"/>
                <w:sz w:val="13"/>
                <w:szCs w:val="13"/>
              </w:rPr>
              <w:t>685 </w:t>
            </w:r>
          </w:p>
        </w:tc>
        <w:tc>
          <w:tcPr>
            <w:tcW w:w="0" w:type="auto"/>
            <w:shd w:val="clear" w:color="auto" w:fill="CCEEFF"/>
            <w:tcMar>
              <w:top w:w="40" w:type="dxa"/>
              <w:left w:w="0" w:type="dxa"/>
              <w:bottom w:w="40" w:type="dxa"/>
              <w:right w:w="20" w:type="dxa"/>
            </w:tcMar>
            <w:vAlign w:val="bottom"/>
          </w:tcPr>
          <w:p w14:paraId="74DDCE6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E6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CE67" w14:textId="77777777" w:rsidR="00584EC1" w:rsidRDefault="00871F8D">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CE68" w14:textId="77777777" w:rsidR="00584EC1" w:rsidRDefault="00584EC1">
            <w:pPr>
              <w:jc w:val="right"/>
              <w:rPr>
                <w:rFonts w:ascii="宋体"/>
              </w:rPr>
            </w:pPr>
          </w:p>
        </w:tc>
      </w:tr>
      <w:tr w:rsidR="00584EC1" w14:paraId="74DDCE79" w14:textId="77777777">
        <w:tc>
          <w:tcPr>
            <w:tcW w:w="0" w:type="auto"/>
            <w:gridSpan w:val="3"/>
            <w:shd w:val="clear" w:color="auto" w:fill="FFFFFF"/>
            <w:tcMar>
              <w:top w:w="40" w:type="dxa"/>
              <w:left w:w="20" w:type="dxa"/>
              <w:bottom w:w="40" w:type="dxa"/>
              <w:right w:w="20" w:type="dxa"/>
            </w:tcMar>
            <w:vAlign w:val="bottom"/>
          </w:tcPr>
          <w:p w14:paraId="74DDCE6A" w14:textId="77777777" w:rsidR="00584EC1" w:rsidRDefault="00871F8D">
            <w:pPr>
              <w:textAlignment w:val="bottom"/>
            </w:pPr>
            <w:r>
              <w:rPr>
                <w:rFonts w:ascii="Arial" w:eastAsia="宋体" w:hAnsi="Arial" w:cs="Arial"/>
                <w:color w:val="000000"/>
                <w:sz w:val="13"/>
                <w:szCs w:val="13"/>
              </w:rPr>
              <w:t>Long-term debt</w:t>
            </w:r>
          </w:p>
        </w:tc>
        <w:tc>
          <w:tcPr>
            <w:tcW w:w="0" w:type="auto"/>
            <w:gridSpan w:val="2"/>
            <w:shd w:val="clear" w:color="auto" w:fill="auto"/>
            <w:tcMar>
              <w:top w:w="40" w:type="dxa"/>
              <w:left w:w="20" w:type="dxa"/>
              <w:bottom w:w="40" w:type="dxa"/>
              <w:right w:w="0" w:type="dxa"/>
            </w:tcMar>
            <w:vAlign w:val="bottom"/>
          </w:tcPr>
          <w:p w14:paraId="74DDCE6B" w14:textId="77777777" w:rsidR="00584EC1" w:rsidRDefault="00871F8D">
            <w:pPr>
              <w:jc w:val="right"/>
              <w:textAlignment w:val="bottom"/>
            </w:pPr>
            <w:r>
              <w:rPr>
                <w:rFonts w:ascii="Arial" w:eastAsia="宋体" w:hAnsi="Arial" w:cs="Arial"/>
                <w:color w:val="000000"/>
                <w:sz w:val="13"/>
                <w:szCs w:val="13"/>
              </w:rPr>
              <w:t>13,805 </w:t>
            </w:r>
          </w:p>
        </w:tc>
        <w:tc>
          <w:tcPr>
            <w:tcW w:w="0" w:type="auto"/>
            <w:shd w:val="clear" w:color="auto" w:fill="auto"/>
            <w:tcMar>
              <w:top w:w="40" w:type="dxa"/>
              <w:left w:w="0" w:type="dxa"/>
              <w:bottom w:w="40" w:type="dxa"/>
              <w:right w:w="20" w:type="dxa"/>
            </w:tcMar>
            <w:vAlign w:val="bottom"/>
          </w:tcPr>
          <w:p w14:paraId="74DDCE6C" w14:textId="77777777" w:rsidR="00584EC1" w:rsidRDefault="00584EC1">
            <w:pPr>
              <w:jc w:val="right"/>
              <w:rPr>
                <w:rFonts w:ascii="宋体"/>
              </w:rPr>
            </w:pPr>
          </w:p>
        </w:tc>
        <w:tc>
          <w:tcPr>
            <w:tcW w:w="0" w:type="auto"/>
            <w:gridSpan w:val="3"/>
            <w:shd w:val="clear" w:color="auto" w:fill="auto"/>
            <w:tcMar>
              <w:top w:w="0" w:type="dxa"/>
              <w:left w:w="20" w:type="dxa"/>
              <w:bottom w:w="0" w:type="dxa"/>
              <w:right w:w="20" w:type="dxa"/>
            </w:tcMar>
            <w:vAlign w:val="bottom"/>
          </w:tcPr>
          <w:p w14:paraId="74DDCE6D" w14:textId="77777777" w:rsidR="00584EC1" w:rsidRDefault="00584EC1">
            <w:pPr>
              <w:rPr>
                <w:rFonts w:ascii="宋体"/>
              </w:rPr>
            </w:pPr>
          </w:p>
        </w:tc>
        <w:tc>
          <w:tcPr>
            <w:tcW w:w="0" w:type="auto"/>
            <w:gridSpan w:val="2"/>
            <w:shd w:val="clear" w:color="auto" w:fill="auto"/>
            <w:tcMar>
              <w:top w:w="40" w:type="dxa"/>
              <w:left w:w="20" w:type="dxa"/>
              <w:bottom w:w="40" w:type="dxa"/>
              <w:right w:w="0" w:type="dxa"/>
            </w:tcMar>
            <w:vAlign w:val="bottom"/>
          </w:tcPr>
          <w:p w14:paraId="74DDCE6E" w14:textId="77777777" w:rsidR="00584EC1" w:rsidRDefault="00871F8D">
            <w:pPr>
              <w:jc w:val="right"/>
              <w:textAlignment w:val="bottom"/>
            </w:pPr>
            <w:r>
              <w:rPr>
                <w:rFonts w:ascii="Arial" w:eastAsia="宋体" w:hAnsi="Arial" w:cs="Arial"/>
                <w:color w:val="000000"/>
                <w:sz w:val="13"/>
                <w:szCs w:val="13"/>
              </w:rPr>
              <w:t>14,162 </w:t>
            </w:r>
          </w:p>
        </w:tc>
        <w:tc>
          <w:tcPr>
            <w:tcW w:w="0" w:type="auto"/>
            <w:shd w:val="clear" w:color="auto" w:fill="auto"/>
            <w:tcMar>
              <w:top w:w="40" w:type="dxa"/>
              <w:left w:w="0" w:type="dxa"/>
              <w:bottom w:w="40" w:type="dxa"/>
              <w:right w:w="20" w:type="dxa"/>
            </w:tcMar>
            <w:vAlign w:val="bottom"/>
          </w:tcPr>
          <w:p w14:paraId="74DDCE6F" w14:textId="77777777" w:rsidR="00584EC1" w:rsidRDefault="00584EC1">
            <w:pPr>
              <w:jc w:val="right"/>
              <w:rPr>
                <w:rFonts w:ascii="宋体"/>
              </w:rPr>
            </w:pPr>
          </w:p>
        </w:tc>
        <w:tc>
          <w:tcPr>
            <w:tcW w:w="0" w:type="auto"/>
            <w:gridSpan w:val="3"/>
            <w:shd w:val="clear" w:color="auto" w:fill="auto"/>
            <w:tcMar>
              <w:top w:w="0" w:type="dxa"/>
              <w:left w:w="20" w:type="dxa"/>
              <w:bottom w:w="0" w:type="dxa"/>
              <w:right w:w="20" w:type="dxa"/>
            </w:tcMar>
            <w:vAlign w:val="bottom"/>
          </w:tcPr>
          <w:p w14:paraId="74DDCE70" w14:textId="77777777" w:rsidR="00584EC1" w:rsidRDefault="00584EC1">
            <w:pPr>
              <w:rPr>
                <w:rFonts w:ascii="宋体"/>
              </w:rPr>
            </w:pPr>
          </w:p>
        </w:tc>
        <w:tc>
          <w:tcPr>
            <w:tcW w:w="0" w:type="auto"/>
            <w:gridSpan w:val="2"/>
            <w:shd w:val="clear" w:color="auto" w:fill="auto"/>
            <w:tcMar>
              <w:top w:w="40" w:type="dxa"/>
              <w:left w:w="20" w:type="dxa"/>
              <w:bottom w:w="40" w:type="dxa"/>
              <w:right w:w="0" w:type="dxa"/>
            </w:tcMar>
            <w:vAlign w:val="bottom"/>
          </w:tcPr>
          <w:p w14:paraId="74DDCE71" w14:textId="77777777" w:rsidR="00584EC1" w:rsidRDefault="00871F8D">
            <w:pPr>
              <w:jc w:val="right"/>
              <w:textAlignment w:val="bottom"/>
            </w:pPr>
            <w:r>
              <w:rPr>
                <w:rFonts w:ascii="Arial" w:eastAsia="宋体" w:hAnsi="Arial" w:cs="Arial"/>
                <w:color w:val="000000"/>
                <w:sz w:val="13"/>
                <w:szCs w:val="13"/>
              </w:rPr>
              <w:t>— </w:t>
            </w:r>
          </w:p>
        </w:tc>
        <w:tc>
          <w:tcPr>
            <w:tcW w:w="0" w:type="auto"/>
            <w:shd w:val="clear" w:color="auto" w:fill="auto"/>
            <w:tcMar>
              <w:top w:w="40" w:type="dxa"/>
              <w:left w:w="0" w:type="dxa"/>
              <w:bottom w:w="40" w:type="dxa"/>
              <w:right w:w="20" w:type="dxa"/>
            </w:tcMar>
            <w:vAlign w:val="bottom"/>
          </w:tcPr>
          <w:p w14:paraId="74DDCE72" w14:textId="77777777" w:rsidR="00584EC1" w:rsidRDefault="00584EC1">
            <w:pPr>
              <w:jc w:val="right"/>
              <w:rPr>
                <w:rFonts w:ascii="宋体"/>
              </w:rPr>
            </w:pPr>
          </w:p>
        </w:tc>
        <w:tc>
          <w:tcPr>
            <w:tcW w:w="0" w:type="auto"/>
            <w:gridSpan w:val="3"/>
            <w:shd w:val="clear" w:color="auto" w:fill="auto"/>
            <w:tcMar>
              <w:top w:w="0" w:type="dxa"/>
              <w:left w:w="20" w:type="dxa"/>
              <w:bottom w:w="0" w:type="dxa"/>
              <w:right w:w="20" w:type="dxa"/>
            </w:tcMar>
            <w:vAlign w:val="bottom"/>
          </w:tcPr>
          <w:p w14:paraId="74DDCE73" w14:textId="77777777" w:rsidR="00584EC1" w:rsidRDefault="00584EC1">
            <w:pPr>
              <w:rPr>
                <w:rFonts w:ascii="宋体"/>
              </w:rPr>
            </w:pPr>
          </w:p>
        </w:tc>
        <w:tc>
          <w:tcPr>
            <w:tcW w:w="0" w:type="auto"/>
            <w:gridSpan w:val="2"/>
            <w:shd w:val="clear" w:color="auto" w:fill="auto"/>
            <w:tcMar>
              <w:top w:w="40" w:type="dxa"/>
              <w:left w:w="20" w:type="dxa"/>
              <w:bottom w:w="40" w:type="dxa"/>
              <w:right w:w="0" w:type="dxa"/>
            </w:tcMar>
            <w:vAlign w:val="bottom"/>
          </w:tcPr>
          <w:p w14:paraId="74DDCE74" w14:textId="77777777" w:rsidR="00584EC1" w:rsidRDefault="00871F8D">
            <w:pPr>
              <w:jc w:val="right"/>
              <w:textAlignment w:val="bottom"/>
            </w:pPr>
            <w:r>
              <w:rPr>
                <w:rFonts w:ascii="Arial" w:eastAsia="宋体" w:hAnsi="Arial" w:cs="Arial"/>
                <w:color w:val="000000"/>
                <w:sz w:val="13"/>
                <w:szCs w:val="13"/>
              </w:rPr>
              <w:t>14,049 </w:t>
            </w:r>
          </w:p>
        </w:tc>
        <w:tc>
          <w:tcPr>
            <w:tcW w:w="0" w:type="auto"/>
            <w:shd w:val="clear" w:color="auto" w:fill="auto"/>
            <w:tcMar>
              <w:top w:w="40" w:type="dxa"/>
              <w:left w:w="0" w:type="dxa"/>
              <w:bottom w:w="40" w:type="dxa"/>
              <w:right w:w="20" w:type="dxa"/>
            </w:tcMar>
            <w:vAlign w:val="bottom"/>
          </w:tcPr>
          <w:p w14:paraId="74DDCE75" w14:textId="77777777" w:rsidR="00584EC1" w:rsidRDefault="00584EC1">
            <w:pPr>
              <w:jc w:val="right"/>
              <w:rPr>
                <w:rFonts w:ascii="宋体"/>
              </w:rPr>
            </w:pPr>
          </w:p>
        </w:tc>
        <w:tc>
          <w:tcPr>
            <w:tcW w:w="0" w:type="auto"/>
            <w:gridSpan w:val="3"/>
            <w:shd w:val="clear" w:color="auto" w:fill="auto"/>
            <w:tcMar>
              <w:top w:w="0" w:type="dxa"/>
              <w:left w:w="20" w:type="dxa"/>
              <w:bottom w:w="0" w:type="dxa"/>
              <w:right w:w="20" w:type="dxa"/>
            </w:tcMar>
            <w:vAlign w:val="bottom"/>
          </w:tcPr>
          <w:p w14:paraId="74DDCE76" w14:textId="77777777" w:rsidR="00584EC1" w:rsidRDefault="00584EC1">
            <w:pPr>
              <w:rPr>
                <w:rFonts w:ascii="宋体"/>
              </w:rPr>
            </w:pPr>
          </w:p>
        </w:tc>
        <w:tc>
          <w:tcPr>
            <w:tcW w:w="0" w:type="auto"/>
            <w:gridSpan w:val="2"/>
            <w:shd w:val="clear" w:color="auto" w:fill="auto"/>
            <w:tcMar>
              <w:top w:w="40" w:type="dxa"/>
              <w:left w:w="20" w:type="dxa"/>
              <w:bottom w:w="40" w:type="dxa"/>
              <w:right w:w="0" w:type="dxa"/>
            </w:tcMar>
            <w:vAlign w:val="bottom"/>
          </w:tcPr>
          <w:p w14:paraId="74DDCE77" w14:textId="77777777" w:rsidR="00584EC1" w:rsidRDefault="00871F8D">
            <w:pPr>
              <w:jc w:val="right"/>
              <w:textAlignment w:val="bottom"/>
            </w:pPr>
            <w:r>
              <w:rPr>
                <w:rFonts w:ascii="Arial" w:eastAsia="宋体" w:hAnsi="Arial" w:cs="Arial"/>
                <w:color w:val="000000"/>
                <w:sz w:val="13"/>
                <w:szCs w:val="13"/>
              </w:rPr>
              <w:t>113 </w:t>
            </w:r>
          </w:p>
        </w:tc>
        <w:tc>
          <w:tcPr>
            <w:tcW w:w="0" w:type="auto"/>
            <w:shd w:val="clear" w:color="auto" w:fill="auto"/>
            <w:tcMar>
              <w:top w:w="40" w:type="dxa"/>
              <w:left w:w="0" w:type="dxa"/>
              <w:bottom w:w="40" w:type="dxa"/>
              <w:right w:w="20" w:type="dxa"/>
            </w:tcMar>
            <w:vAlign w:val="bottom"/>
          </w:tcPr>
          <w:p w14:paraId="74DDCE78" w14:textId="77777777" w:rsidR="00584EC1" w:rsidRDefault="00584EC1">
            <w:pPr>
              <w:jc w:val="right"/>
              <w:rPr>
                <w:rFonts w:ascii="宋体"/>
              </w:rPr>
            </w:pPr>
          </w:p>
        </w:tc>
      </w:tr>
      <w:tr w:rsidR="00584EC1" w14:paraId="74DDCE89" w14:textId="77777777">
        <w:tc>
          <w:tcPr>
            <w:tcW w:w="0" w:type="auto"/>
            <w:gridSpan w:val="3"/>
            <w:shd w:val="clear" w:color="auto" w:fill="CCEEFF"/>
            <w:tcMar>
              <w:top w:w="40" w:type="dxa"/>
              <w:left w:w="20" w:type="dxa"/>
              <w:bottom w:w="40" w:type="dxa"/>
              <w:right w:w="20" w:type="dxa"/>
            </w:tcMar>
            <w:vAlign w:val="bottom"/>
          </w:tcPr>
          <w:p w14:paraId="74DDCE7A" w14:textId="77777777" w:rsidR="00584EC1" w:rsidRDefault="00871F8D">
            <w:pPr>
              <w:textAlignment w:val="bottom"/>
            </w:pPr>
            <w:r>
              <w:rPr>
                <w:rFonts w:ascii="Arial" w:eastAsia="宋体" w:hAnsi="Arial" w:cs="Arial"/>
                <w:color w:val="000000"/>
                <w:sz w:val="13"/>
                <w:szCs w:val="13"/>
              </w:rPr>
              <w:t>Other</w:t>
            </w:r>
            <w:r>
              <w:rPr>
                <w:rFonts w:ascii="Arial" w:eastAsia="宋体" w:hAnsi="Arial" w:cs="Arial"/>
                <w:color w:val="000000"/>
                <w:sz w:val="8"/>
                <w:szCs w:val="8"/>
              </w:rPr>
              <w:t>(1)</w:t>
            </w:r>
          </w:p>
        </w:tc>
        <w:tc>
          <w:tcPr>
            <w:tcW w:w="0" w:type="auto"/>
            <w:gridSpan w:val="2"/>
            <w:shd w:val="clear" w:color="auto" w:fill="CCEEFF"/>
            <w:tcMar>
              <w:top w:w="40" w:type="dxa"/>
              <w:left w:w="20" w:type="dxa"/>
              <w:bottom w:w="40" w:type="dxa"/>
              <w:right w:w="0" w:type="dxa"/>
            </w:tcMar>
            <w:vAlign w:val="bottom"/>
          </w:tcPr>
          <w:p w14:paraId="74DDCE7B" w14:textId="77777777" w:rsidR="00584EC1" w:rsidRDefault="00871F8D">
            <w:pPr>
              <w:jc w:val="right"/>
              <w:textAlignment w:val="bottom"/>
            </w:pPr>
            <w:r>
              <w:rPr>
                <w:rFonts w:ascii="Arial" w:eastAsia="宋体" w:hAnsi="Arial" w:cs="Arial"/>
                <w:color w:val="000000"/>
                <w:sz w:val="13"/>
                <w:szCs w:val="13"/>
              </w:rPr>
              <w:t>4,753 </w:t>
            </w:r>
          </w:p>
        </w:tc>
        <w:tc>
          <w:tcPr>
            <w:tcW w:w="0" w:type="auto"/>
            <w:shd w:val="clear" w:color="auto" w:fill="CCEEFF"/>
            <w:tcMar>
              <w:top w:w="40" w:type="dxa"/>
              <w:left w:w="0" w:type="dxa"/>
              <w:bottom w:w="40" w:type="dxa"/>
              <w:right w:w="20" w:type="dxa"/>
            </w:tcMar>
            <w:vAlign w:val="bottom"/>
          </w:tcPr>
          <w:p w14:paraId="74DDCE7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E7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CE7E" w14:textId="77777777" w:rsidR="00584EC1" w:rsidRDefault="00871F8D">
            <w:pPr>
              <w:jc w:val="right"/>
              <w:textAlignment w:val="bottom"/>
            </w:pPr>
            <w:r>
              <w:rPr>
                <w:rFonts w:ascii="Arial" w:eastAsia="宋体" w:hAnsi="Arial" w:cs="Arial"/>
                <w:color w:val="000000"/>
                <w:sz w:val="13"/>
                <w:szCs w:val="13"/>
              </w:rPr>
              <w:t>4,753 </w:t>
            </w:r>
          </w:p>
        </w:tc>
        <w:tc>
          <w:tcPr>
            <w:tcW w:w="0" w:type="auto"/>
            <w:shd w:val="clear" w:color="auto" w:fill="CCEEFF"/>
            <w:tcMar>
              <w:top w:w="40" w:type="dxa"/>
              <w:left w:w="0" w:type="dxa"/>
              <w:bottom w:w="40" w:type="dxa"/>
              <w:right w:w="20" w:type="dxa"/>
            </w:tcMar>
            <w:vAlign w:val="bottom"/>
          </w:tcPr>
          <w:p w14:paraId="74DDCE7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E8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CE81" w14:textId="77777777" w:rsidR="00584EC1" w:rsidRDefault="00871F8D">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CE8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E83"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CE84" w14:textId="77777777" w:rsidR="00584EC1" w:rsidRDefault="00871F8D">
            <w:pPr>
              <w:jc w:val="right"/>
              <w:textAlignment w:val="bottom"/>
            </w:pPr>
            <w:r>
              <w:rPr>
                <w:rFonts w:ascii="Arial" w:eastAsia="宋体" w:hAnsi="Arial" w:cs="Arial"/>
                <w:color w:val="000000"/>
                <w:sz w:val="13"/>
                <w:szCs w:val="13"/>
              </w:rPr>
              <w:t>4,753 </w:t>
            </w:r>
          </w:p>
        </w:tc>
        <w:tc>
          <w:tcPr>
            <w:tcW w:w="0" w:type="auto"/>
            <w:shd w:val="clear" w:color="auto" w:fill="CCEEFF"/>
            <w:tcMar>
              <w:top w:w="40" w:type="dxa"/>
              <w:left w:w="0" w:type="dxa"/>
              <w:bottom w:w="40" w:type="dxa"/>
              <w:right w:w="20" w:type="dxa"/>
            </w:tcMar>
            <w:vAlign w:val="bottom"/>
          </w:tcPr>
          <w:p w14:paraId="74DDCE8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E8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CE87" w14:textId="77777777" w:rsidR="00584EC1" w:rsidRDefault="00871F8D">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CE88" w14:textId="77777777" w:rsidR="00584EC1" w:rsidRDefault="00584EC1">
            <w:pPr>
              <w:jc w:val="right"/>
              <w:rPr>
                <w:rFonts w:ascii="宋体"/>
              </w:rPr>
            </w:pPr>
          </w:p>
        </w:tc>
      </w:tr>
    </w:tbl>
    <w:p w14:paraId="74DDCE8A" w14:textId="77777777" w:rsidR="00584EC1" w:rsidRDefault="00584E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600"/>
        <w:gridCol w:w="36"/>
        <w:gridCol w:w="69"/>
        <w:gridCol w:w="1417"/>
        <w:gridCol w:w="36"/>
        <w:gridCol w:w="70"/>
        <w:gridCol w:w="2663"/>
        <w:gridCol w:w="36"/>
      </w:tblGrid>
      <w:tr w:rsidR="00584EC1" w14:paraId="74DDCE97" w14:textId="77777777">
        <w:tc>
          <w:tcPr>
            <w:tcW w:w="50" w:type="pct"/>
            <w:shd w:val="clear" w:color="auto" w:fill="auto"/>
            <w:vAlign w:val="bottom"/>
          </w:tcPr>
          <w:p w14:paraId="74DDCE8B" w14:textId="77777777" w:rsidR="00584EC1" w:rsidRDefault="00584EC1">
            <w:pPr>
              <w:rPr>
                <w:rFonts w:ascii="宋体"/>
              </w:rPr>
            </w:pPr>
          </w:p>
        </w:tc>
        <w:tc>
          <w:tcPr>
            <w:tcW w:w="1348" w:type="pct"/>
            <w:shd w:val="clear" w:color="auto" w:fill="auto"/>
            <w:vAlign w:val="bottom"/>
          </w:tcPr>
          <w:p w14:paraId="74DDCE8C" w14:textId="77777777" w:rsidR="00584EC1" w:rsidRDefault="00584EC1">
            <w:pPr>
              <w:rPr>
                <w:rFonts w:ascii="宋体"/>
              </w:rPr>
            </w:pPr>
          </w:p>
        </w:tc>
        <w:tc>
          <w:tcPr>
            <w:tcW w:w="5" w:type="pct"/>
            <w:shd w:val="clear" w:color="auto" w:fill="auto"/>
            <w:vAlign w:val="bottom"/>
          </w:tcPr>
          <w:p w14:paraId="74DDCE8D" w14:textId="77777777" w:rsidR="00584EC1" w:rsidRDefault="00584EC1">
            <w:pPr>
              <w:rPr>
                <w:rFonts w:ascii="宋体"/>
              </w:rPr>
            </w:pPr>
          </w:p>
        </w:tc>
        <w:tc>
          <w:tcPr>
            <w:tcW w:w="50" w:type="pct"/>
            <w:shd w:val="clear" w:color="auto" w:fill="auto"/>
            <w:vAlign w:val="bottom"/>
          </w:tcPr>
          <w:p w14:paraId="74DDCE8E" w14:textId="77777777" w:rsidR="00584EC1" w:rsidRDefault="00584EC1">
            <w:pPr>
              <w:rPr>
                <w:rFonts w:ascii="宋体"/>
              </w:rPr>
            </w:pPr>
          </w:p>
        </w:tc>
        <w:tc>
          <w:tcPr>
            <w:tcW w:w="968" w:type="pct"/>
            <w:shd w:val="clear" w:color="auto" w:fill="auto"/>
            <w:vAlign w:val="bottom"/>
          </w:tcPr>
          <w:p w14:paraId="74DDCE8F" w14:textId="77777777" w:rsidR="00584EC1" w:rsidRDefault="00584EC1">
            <w:pPr>
              <w:rPr>
                <w:rFonts w:ascii="宋体"/>
              </w:rPr>
            </w:pPr>
          </w:p>
        </w:tc>
        <w:tc>
          <w:tcPr>
            <w:tcW w:w="5" w:type="pct"/>
            <w:shd w:val="clear" w:color="auto" w:fill="auto"/>
            <w:vAlign w:val="bottom"/>
          </w:tcPr>
          <w:p w14:paraId="74DDCE90" w14:textId="77777777" w:rsidR="00584EC1" w:rsidRDefault="00584EC1">
            <w:pPr>
              <w:rPr>
                <w:rFonts w:ascii="宋体"/>
              </w:rPr>
            </w:pPr>
          </w:p>
        </w:tc>
        <w:tc>
          <w:tcPr>
            <w:tcW w:w="50" w:type="pct"/>
            <w:shd w:val="clear" w:color="auto" w:fill="auto"/>
            <w:vAlign w:val="bottom"/>
          </w:tcPr>
          <w:p w14:paraId="74DDCE91" w14:textId="77777777" w:rsidR="00584EC1" w:rsidRDefault="00584EC1">
            <w:pPr>
              <w:rPr>
                <w:rFonts w:ascii="宋体"/>
              </w:rPr>
            </w:pPr>
          </w:p>
        </w:tc>
        <w:tc>
          <w:tcPr>
            <w:tcW w:w="858" w:type="pct"/>
            <w:shd w:val="clear" w:color="auto" w:fill="auto"/>
            <w:vAlign w:val="bottom"/>
          </w:tcPr>
          <w:p w14:paraId="74DDCE92" w14:textId="77777777" w:rsidR="00584EC1" w:rsidRDefault="00584EC1">
            <w:pPr>
              <w:rPr>
                <w:rFonts w:ascii="宋体"/>
              </w:rPr>
            </w:pPr>
          </w:p>
        </w:tc>
        <w:tc>
          <w:tcPr>
            <w:tcW w:w="5" w:type="pct"/>
            <w:shd w:val="clear" w:color="auto" w:fill="auto"/>
            <w:vAlign w:val="bottom"/>
          </w:tcPr>
          <w:p w14:paraId="74DDCE93" w14:textId="77777777" w:rsidR="00584EC1" w:rsidRDefault="00584EC1">
            <w:pPr>
              <w:rPr>
                <w:rFonts w:ascii="宋体"/>
              </w:rPr>
            </w:pPr>
          </w:p>
        </w:tc>
        <w:tc>
          <w:tcPr>
            <w:tcW w:w="50" w:type="pct"/>
            <w:shd w:val="clear" w:color="auto" w:fill="auto"/>
            <w:vAlign w:val="bottom"/>
          </w:tcPr>
          <w:p w14:paraId="74DDCE94" w14:textId="77777777" w:rsidR="00584EC1" w:rsidRDefault="00584EC1">
            <w:pPr>
              <w:rPr>
                <w:rFonts w:ascii="宋体"/>
              </w:rPr>
            </w:pPr>
          </w:p>
        </w:tc>
        <w:tc>
          <w:tcPr>
            <w:tcW w:w="1604" w:type="pct"/>
            <w:shd w:val="clear" w:color="auto" w:fill="auto"/>
            <w:vAlign w:val="bottom"/>
          </w:tcPr>
          <w:p w14:paraId="74DDCE95" w14:textId="77777777" w:rsidR="00584EC1" w:rsidRDefault="00584EC1">
            <w:pPr>
              <w:rPr>
                <w:rFonts w:ascii="宋体"/>
              </w:rPr>
            </w:pPr>
          </w:p>
        </w:tc>
        <w:tc>
          <w:tcPr>
            <w:tcW w:w="5" w:type="pct"/>
            <w:shd w:val="clear" w:color="auto" w:fill="auto"/>
            <w:vAlign w:val="bottom"/>
          </w:tcPr>
          <w:p w14:paraId="74DDCE96" w14:textId="77777777" w:rsidR="00584EC1" w:rsidRDefault="00584EC1">
            <w:pPr>
              <w:rPr>
                <w:rFonts w:ascii="宋体"/>
              </w:rPr>
            </w:pPr>
          </w:p>
        </w:tc>
      </w:tr>
      <w:tr w:rsidR="00584EC1" w14:paraId="74DDCE9C"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4DDCE98"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E99"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E9A"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E9B" w14:textId="77777777" w:rsidR="00584EC1" w:rsidRDefault="00584EC1">
            <w:pPr>
              <w:rPr>
                <w:rFonts w:ascii="宋体"/>
              </w:rPr>
            </w:pPr>
          </w:p>
        </w:tc>
      </w:tr>
    </w:tbl>
    <w:p w14:paraId="74DDCE9D" w14:textId="77777777" w:rsidR="00584EC1" w:rsidRDefault="00871F8D">
      <w:r>
        <w:rPr>
          <w:rFonts w:ascii="Arial" w:eastAsia="宋体" w:hAnsi="Arial" w:cs="Arial"/>
          <w:color w:val="000000"/>
          <w:sz w:val="7"/>
          <w:szCs w:val="7"/>
        </w:rPr>
        <w:t>(1)</w:t>
      </w:r>
      <w:r>
        <w:rPr>
          <w:rFonts w:ascii="Arial" w:eastAsia="宋体" w:hAnsi="Arial" w:cs="Arial"/>
          <w:color w:val="000000"/>
          <w:sz w:val="12"/>
          <w:szCs w:val="12"/>
        </w:rPr>
        <w:t xml:space="preserve"> Represents a portion of underlying client assets related to our enhanced custody business, which clients have allowed us to transfer and re-pledge.</w:t>
      </w:r>
    </w:p>
    <w:p w14:paraId="74DDCE9E" w14:textId="77777777" w:rsidR="00584EC1" w:rsidRDefault="00584EC1">
      <w:pPr>
        <w:spacing w:before="60"/>
      </w:pPr>
    </w:p>
    <w:p w14:paraId="74DDCE9F" w14:textId="77777777" w:rsidR="00584EC1" w:rsidRDefault="00871F8D">
      <w:pPr>
        <w:spacing w:before="60"/>
        <w:jc w:val="both"/>
      </w:pPr>
      <w:r>
        <w:rPr>
          <w:rFonts w:ascii="Arial" w:eastAsia="宋体" w:hAnsi="Arial" w:cs="Arial"/>
          <w:b/>
          <w:bCs/>
          <w:color w:val="000000"/>
          <w:sz w:val="20"/>
          <w:szCs w:val="20"/>
        </w:rPr>
        <w:t>Note 3.    Investment Securities</w:t>
      </w:r>
    </w:p>
    <w:p w14:paraId="74DDCEA0" w14:textId="77777777" w:rsidR="00584EC1" w:rsidRDefault="00871F8D">
      <w:pPr>
        <w:spacing w:before="60"/>
        <w:ind w:firstLine="450"/>
        <w:jc w:val="both"/>
      </w:pPr>
      <w:r>
        <w:rPr>
          <w:rFonts w:ascii="Arial" w:eastAsia="宋体" w:hAnsi="Arial" w:cs="Arial"/>
          <w:color w:val="000000"/>
          <w:sz w:val="20"/>
          <w:szCs w:val="20"/>
        </w:rPr>
        <w:t>Investment securities held by us are classified as either trading account</w:t>
      </w:r>
      <w:r>
        <w:rPr>
          <w:rFonts w:ascii="Arial" w:eastAsia="宋体" w:hAnsi="Arial" w:cs="Arial"/>
          <w:color w:val="000000"/>
          <w:sz w:val="20"/>
          <w:szCs w:val="20"/>
        </w:rPr>
        <w:t xml:space="preserve"> assets, AFS, HTM or equity securities held at fair value at the time of purchase and reassessed periodically, based on management’s intent. For additional information on our accounting for investment securities, refer to page 143 in Note 3 to the consolid</w:t>
      </w:r>
      <w:r>
        <w:rPr>
          <w:rFonts w:ascii="Arial" w:eastAsia="宋体" w:hAnsi="Arial" w:cs="Arial"/>
          <w:color w:val="000000"/>
          <w:sz w:val="20"/>
          <w:szCs w:val="20"/>
        </w:rPr>
        <w:t>ated financial statements included under Item 8, Financial Statements and Supplementary Data, in our 2020 Form 10-K.</w:t>
      </w:r>
    </w:p>
    <w:p w14:paraId="74DDCEA1" w14:textId="77777777" w:rsidR="00584EC1" w:rsidRDefault="00871F8D">
      <w:pPr>
        <w:spacing w:before="60"/>
        <w:ind w:firstLine="450"/>
        <w:jc w:val="both"/>
      </w:pPr>
      <w:r>
        <w:rPr>
          <w:rFonts w:ascii="Arial" w:eastAsia="宋体" w:hAnsi="Arial" w:cs="Arial"/>
          <w:color w:val="000000"/>
          <w:sz w:val="20"/>
          <w:szCs w:val="20"/>
        </w:rPr>
        <w:t xml:space="preserve">Trading assets are carried at fair value. Both realized and unrealized gains and losses on trading assets are recorded in foreign exchange </w:t>
      </w:r>
      <w:r>
        <w:rPr>
          <w:rFonts w:ascii="Arial" w:eastAsia="宋体" w:hAnsi="Arial" w:cs="Arial"/>
          <w:color w:val="000000"/>
          <w:sz w:val="20"/>
          <w:szCs w:val="20"/>
        </w:rPr>
        <w:t>trading services revenue in our consolidated statement of income. AFS securities are carried at fair value, with any allowance for credit losses recorded through the consolidated statement of income and after-tax net unrealized gains and losses are recorde</w:t>
      </w:r>
      <w:r>
        <w:rPr>
          <w:rFonts w:ascii="Arial" w:eastAsia="宋体" w:hAnsi="Arial" w:cs="Arial"/>
          <w:color w:val="000000"/>
          <w:sz w:val="20"/>
          <w:szCs w:val="20"/>
        </w:rPr>
        <w:t xml:space="preserve">d in AOCI. Gains or losses realized on sales of AFS investment securities are computed using the specific identification method and are recorded in gains (losses) related to investment securities, net, in our consolidated statement of income. </w:t>
      </w:r>
    </w:p>
    <w:p w14:paraId="74DDCEA2" w14:textId="77777777" w:rsidR="00584EC1" w:rsidRDefault="00871F8D">
      <w:pPr>
        <w:spacing w:before="60"/>
        <w:ind w:firstLine="450"/>
        <w:jc w:val="both"/>
      </w:pPr>
      <w:r>
        <w:rPr>
          <w:rFonts w:ascii="Arial" w:eastAsia="宋体" w:hAnsi="Arial" w:cs="Arial"/>
          <w:color w:val="000000"/>
          <w:sz w:val="20"/>
          <w:szCs w:val="20"/>
        </w:rPr>
        <w:t>HTM investme</w:t>
      </w:r>
      <w:r>
        <w:rPr>
          <w:rFonts w:ascii="Arial" w:eastAsia="宋体" w:hAnsi="Arial" w:cs="Arial"/>
          <w:color w:val="000000"/>
          <w:sz w:val="20"/>
          <w:szCs w:val="20"/>
        </w:rPr>
        <w:t>nt securities are carried at cost, adjusted for amortization of premiums and accretion of discounts, with any allowance for credit losses recorded through the consolidated statement of income. As of September 30, 2021, we recognized an allowance for credit</w:t>
      </w:r>
      <w:r>
        <w:rPr>
          <w:rFonts w:ascii="Arial" w:eastAsia="宋体" w:hAnsi="Arial" w:cs="Arial"/>
          <w:color w:val="000000"/>
          <w:sz w:val="20"/>
          <w:szCs w:val="20"/>
        </w:rPr>
        <w:t xml:space="preserve"> losses on HTM investment securities of $2 million.</w:t>
      </w:r>
    </w:p>
    <w:p w14:paraId="74DDCEA3" w14:textId="77777777" w:rsidR="00584EC1" w:rsidRDefault="00584EC1">
      <w:pPr>
        <w:spacing w:before="60"/>
        <w:ind w:firstLine="450"/>
        <w:jc w:val="both"/>
      </w:pPr>
    </w:p>
    <w:p w14:paraId="74DDCEA4" w14:textId="77777777" w:rsidR="00584EC1" w:rsidRDefault="00871F8D">
      <w:pPr>
        <w:ind w:firstLine="450"/>
        <w:jc w:val="right"/>
      </w:pPr>
      <w:r>
        <w:rPr>
          <w:rFonts w:ascii="Arial" w:eastAsia="宋体" w:hAnsi="Arial" w:cs="Arial"/>
          <w:color w:val="000000"/>
          <w:sz w:val="18"/>
          <w:szCs w:val="18"/>
        </w:rPr>
        <w:t>State Street Corporation | 65</w:t>
      </w:r>
    </w:p>
    <w:p w14:paraId="74DDCEA5" w14:textId="77777777" w:rsidR="00584EC1" w:rsidRDefault="00584EC1">
      <w:pPr>
        <w:ind w:firstLine="450"/>
        <w:jc w:val="center"/>
      </w:pPr>
    </w:p>
    <w:p w14:paraId="74DDCEA6" w14:textId="77777777" w:rsidR="00584EC1" w:rsidRDefault="00871F8D">
      <w:r>
        <w:pict w14:anchorId="74DE2A2F">
          <v:rect id="_x0000_i1089" style="width:415.3pt;height:1.5pt" o:hralign="center" o:hrstd="t" o:hr="t" fillcolor="#a0a0a0" stroked="f"/>
        </w:pict>
      </w:r>
    </w:p>
    <w:p w14:paraId="74DDCEA7" w14:textId="77777777" w:rsidR="00584EC1" w:rsidRDefault="00871F8D">
      <w:pPr>
        <w:ind w:firstLine="450"/>
        <w:jc w:val="center"/>
      </w:pPr>
      <w:r>
        <w:rPr>
          <w:rFonts w:ascii="Arial" w:eastAsia="宋体" w:hAnsi="Arial" w:cs="Arial"/>
          <w:b/>
          <w:bCs/>
          <w:color w:val="000000"/>
          <w:sz w:val="20"/>
          <w:szCs w:val="20"/>
        </w:rPr>
        <w:t>STATE STREET CORPORATION</w:t>
      </w:r>
    </w:p>
    <w:p w14:paraId="74DDCEA8" w14:textId="77777777" w:rsidR="00584EC1" w:rsidRDefault="00871F8D">
      <w:pPr>
        <w:ind w:firstLine="450"/>
        <w:jc w:val="center"/>
      </w:pPr>
      <w:r>
        <w:rPr>
          <w:rFonts w:ascii="Arial" w:eastAsia="宋体" w:hAnsi="Arial" w:cs="Arial"/>
          <w:b/>
          <w:bCs/>
          <w:color w:val="000000"/>
          <w:sz w:val="20"/>
          <w:szCs w:val="20"/>
        </w:rPr>
        <w:t>CONDENSED NOTES TO CONSOLIDATED FINANCIAL STATEMENTS</w:t>
      </w:r>
    </w:p>
    <w:p w14:paraId="74DDCEA9" w14:textId="77777777" w:rsidR="00584EC1" w:rsidRDefault="00871F8D">
      <w:pPr>
        <w:ind w:firstLine="450"/>
        <w:jc w:val="center"/>
      </w:pPr>
      <w:r>
        <w:rPr>
          <w:rFonts w:ascii="Arial" w:eastAsia="宋体" w:hAnsi="Arial" w:cs="Arial"/>
          <w:b/>
          <w:bCs/>
          <w:color w:val="000000"/>
          <w:sz w:val="20"/>
          <w:szCs w:val="20"/>
        </w:rPr>
        <w:t>(UNAUDITED)</w:t>
      </w:r>
    </w:p>
    <w:p w14:paraId="74DDCEAA" w14:textId="77777777" w:rsidR="00584EC1" w:rsidRDefault="00871F8D">
      <w:pPr>
        <w:spacing w:before="60"/>
        <w:ind w:firstLine="450"/>
        <w:jc w:val="both"/>
      </w:pPr>
      <w:r>
        <w:rPr>
          <w:rFonts w:ascii="Arial" w:eastAsia="宋体" w:hAnsi="Arial" w:cs="Arial"/>
          <w:color w:val="000000"/>
          <w:sz w:val="20"/>
          <w:szCs w:val="20"/>
        </w:rPr>
        <w:t xml:space="preserve">The following table presents the amortized cost, fair value and </w:t>
      </w:r>
      <w:r>
        <w:rPr>
          <w:rFonts w:ascii="Arial" w:eastAsia="宋体" w:hAnsi="Arial" w:cs="Arial"/>
          <w:color w:val="000000"/>
          <w:sz w:val="20"/>
          <w:szCs w:val="20"/>
        </w:rPr>
        <w:t>associated unrealized gains and losses of AFS and HTM investment securities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2"/>
        <w:gridCol w:w="2293"/>
        <w:gridCol w:w="37"/>
        <w:gridCol w:w="105"/>
        <w:gridCol w:w="679"/>
        <w:gridCol w:w="36"/>
        <w:gridCol w:w="36"/>
        <w:gridCol w:w="36"/>
        <w:gridCol w:w="36"/>
        <w:gridCol w:w="105"/>
        <w:gridCol w:w="377"/>
        <w:gridCol w:w="36"/>
        <w:gridCol w:w="36"/>
        <w:gridCol w:w="36"/>
        <w:gridCol w:w="36"/>
        <w:gridCol w:w="105"/>
        <w:gridCol w:w="464"/>
        <w:gridCol w:w="36"/>
        <w:gridCol w:w="36"/>
        <w:gridCol w:w="36"/>
        <w:gridCol w:w="36"/>
        <w:gridCol w:w="104"/>
        <w:gridCol w:w="501"/>
        <w:gridCol w:w="36"/>
        <w:gridCol w:w="36"/>
        <w:gridCol w:w="36"/>
        <w:gridCol w:w="36"/>
        <w:gridCol w:w="105"/>
        <w:gridCol w:w="679"/>
        <w:gridCol w:w="36"/>
        <w:gridCol w:w="36"/>
        <w:gridCol w:w="36"/>
        <w:gridCol w:w="36"/>
        <w:gridCol w:w="104"/>
        <w:gridCol w:w="418"/>
        <w:gridCol w:w="36"/>
        <w:gridCol w:w="36"/>
        <w:gridCol w:w="36"/>
        <w:gridCol w:w="36"/>
        <w:gridCol w:w="105"/>
        <w:gridCol w:w="464"/>
        <w:gridCol w:w="36"/>
        <w:gridCol w:w="36"/>
        <w:gridCol w:w="36"/>
        <w:gridCol w:w="36"/>
        <w:gridCol w:w="104"/>
        <w:gridCol w:w="501"/>
        <w:gridCol w:w="36"/>
      </w:tblGrid>
      <w:tr w:rsidR="00584EC1" w14:paraId="74DDCEDB" w14:textId="77777777">
        <w:tc>
          <w:tcPr>
            <w:tcW w:w="50" w:type="pct"/>
            <w:shd w:val="clear" w:color="auto" w:fill="auto"/>
            <w:vAlign w:val="bottom"/>
          </w:tcPr>
          <w:p w14:paraId="74DDCEAB" w14:textId="77777777" w:rsidR="00584EC1" w:rsidRDefault="00584EC1">
            <w:pPr>
              <w:rPr>
                <w:rFonts w:ascii="宋体"/>
              </w:rPr>
            </w:pPr>
          </w:p>
        </w:tc>
        <w:tc>
          <w:tcPr>
            <w:tcW w:w="1655" w:type="pct"/>
            <w:shd w:val="clear" w:color="auto" w:fill="auto"/>
            <w:vAlign w:val="bottom"/>
          </w:tcPr>
          <w:p w14:paraId="74DDCEAC" w14:textId="77777777" w:rsidR="00584EC1" w:rsidRDefault="00584EC1">
            <w:pPr>
              <w:rPr>
                <w:rFonts w:ascii="宋体"/>
              </w:rPr>
            </w:pPr>
          </w:p>
        </w:tc>
        <w:tc>
          <w:tcPr>
            <w:tcW w:w="5" w:type="pct"/>
            <w:shd w:val="clear" w:color="auto" w:fill="auto"/>
            <w:vAlign w:val="bottom"/>
          </w:tcPr>
          <w:p w14:paraId="74DDCEAD" w14:textId="77777777" w:rsidR="00584EC1" w:rsidRDefault="00584EC1">
            <w:pPr>
              <w:rPr>
                <w:rFonts w:ascii="宋体"/>
              </w:rPr>
            </w:pPr>
          </w:p>
        </w:tc>
        <w:tc>
          <w:tcPr>
            <w:tcW w:w="50" w:type="pct"/>
            <w:shd w:val="clear" w:color="auto" w:fill="auto"/>
            <w:vAlign w:val="bottom"/>
          </w:tcPr>
          <w:p w14:paraId="74DDCEAE" w14:textId="77777777" w:rsidR="00584EC1" w:rsidRDefault="00584EC1">
            <w:pPr>
              <w:rPr>
                <w:rFonts w:ascii="宋体"/>
              </w:rPr>
            </w:pPr>
          </w:p>
        </w:tc>
        <w:tc>
          <w:tcPr>
            <w:tcW w:w="390" w:type="pct"/>
            <w:shd w:val="clear" w:color="auto" w:fill="auto"/>
            <w:vAlign w:val="bottom"/>
          </w:tcPr>
          <w:p w14:paraId="74DDCEAF" w14:textId="77777777" w:rsidR="00584EC1" w:rsidRDefault="00584EC1">
            <w:pPr>
              <w:rPr>
                <w:rFonts w:ascii="宋体"/>
              </w:rPr>
            </w:pPr>
          </w:p>
        </w:tc>
        <w:tc>
          <w:tcPr>
            <w:tcW w:w="5" w:type="pct"/>
            <w:shd w:val="clear" w:color="auto" w:fill="auto"/>
            <w:vAlign w:val="bottom"/>
          </w:tcPr>
          <w:p w14:paraId="74DDCEB0" w14:textId="77777777" w:rsidR="00584EC1" w:rsidRDefault="00584EC1">
            <w:pPr>
              <w:rPr>
                <w:rFonts w:ascii="宋体"/>
              </w:rPr>
            </w:pPr>
          </w:p>
        </w:tc>
        <w:tc>
          <w:tcPr>
            <w:tcW w:w="5" w:type="pct"/>
            <w:shd w:val="clear" w:color="auto" w:fill="auto"/>
            <w:vAlign w:val="bottom"/>
          </w:tcPr>
          <w:p w14:paraId="74DDCEB1" w14:textId="77777777" w:rsidR="00584EC1" w:rsidRDefault="00584EC1">
            <w:pPr>
              <w:rPr>
                <w:rFonts w:ascii="宋体"/>
              </w:rPr>
            </w:pPr>
          </w:p>
        </w:tc>
        <w:tc>
          <w:tcPr>
            <w:tcW w:w="26" w:type="pct"/>
            <w:shd w:val="clear" w:color="auto" w:fill="auto"/>
            <w:vAlign w:val="bottom"/>
          </w:tcPr>
          <w:p w14:paraId="74DDCEB2" w14:textId="77777777" w:rsidR="00584EC1" w:rsidRDefault="00584EC1">
            <w:pPr>
              <w:rPr>
                <w:rFonts w:ascii="宋体"/>
              </w:rPr>
            </w:pPr>
          </w:p>
        </w:tc>
        <w:tc>
          <w:tcPr>
            <w:tcW w:w="5" w:type="pct"/>
            <w:shd w:val="clear" w:color="auto" w:fill="auto"/>
            <w:vAlign w:val="bottom"/>
          </w:tcPr>
          <w:p w14:paraId="74DDCEB3" w14:textId="77777777" w:rsidR="00584EC1" w:rsidRDefault="00584EC1">
            <w:pPr>
              <w:rPr>
                <w:rFonts w:ascii="宋体"/>
              </w:rPr>
            </w:pPr>
          </w:p>
        </w:tc>
        <w:tc>
          <w:tcPr>
            <w:tcW w:w="50" w:type="pct"/>
            <w:shd w:val="clear" w:color="auto" w:fill="auto"/>
            <w:vAlign w:val="bottom"/>
          </w:tcPr>
          <w:p w14:paraId="74DDCEB4" w14:textId="77777777" w:rsidR="00584EC1" w:rsidRDefault="00584EC1">
            <w:pPr>
              <w:rPr>
                <w:rFonts w:ascii="宋体"/>
              </w:rPr>
            </w:pPr>
          </w:p>
        </w:tc>
        <w:tc>
          <w:tcPr>
            <w:tcW w:w="259" w:type="pct"/>
            <w:shd w:val="clear" w:color="auto" w:fill="auto"/>
            <w:vAlign w:val="bottom"/>
          </w:tcPr>
          <w:p w14:paraId="74DDCEB5" w14:textId="77777777" w:rsidR="00584EC1" w:rsidRDefault="00584EC1">
            <w:pPr>
              <w:rPr>
                <w:rFonts w:ascii="宋体"/>
              </w:rPr>
            </w:pPr>
          </w:p>
        </w:tc>
        <w:tc>
          <w:tcPr>
            <w:tcW w:w="5" w:type="pct"/>
            <w:shd w:val="clear" w:color="auto" w:fill="auto"/>
            <w:vAlign w:val="bottom"/>
          </w:tcPr>
          <w:p w14:paraId="74DDCEB6" w14:textId="77777777" w:rsidR="00584EC1" w:rsidRDefault="00584EC1">
            <w:pPr>
              <w:rPr>
                <w:rFonts w:ascii="宋体"/>
              </w:rPr>
            </w:pPr>
          </w:p>
        </w:tc>
        <w:tc>
          <w:tcPr>
            <w:tcW w:w="5" w:type="pct"/>
            <w:shd w:val="clear" w:color="auto" w:fill="auto"/>
            <w:vAlign w:val="bottom"/>
          </w:tcPr>
          <w:p w14:paraId="74DDCEB7" w14:textId="77777777" w:rsidR="00584EC1" w:rsidRDefault="00584EC1">
            <w:pPr>
              <w:rPr>
                <w:rFonts w:ascii="宋体"/>
              </w:rPr>
            </w:pPr>
          </w:p>
        </w:tc>
        <w:tc>
          <w:tcPr>
            <w:tcW w:w="26" w:type="pct"/>
            <w:shd w:val="clear" w:color="auto" w:fill="auto"/>
            <w:vAlign w:val="bottom"/>
          </w:tcPr>
          <w:p w14:paraId="74DDCEB8" w14:textId="77777777" w:rsidR="00584EC1" w:rsidRDefault="00584EC1">
            <w:pPr>
              <w:rPr>
                <w:rFonts w:ascii="宋体"/>
              </w:rPr>
            </w:pPr>
          </w:p>
        </w:tc>
        <w:tc>
          <w:tcPr>
            <w:tcW w:w="5" w:type="pct"/>
            <w:shd w:val="clear" w:color="auto" w:fill="auto"/>
            <w:vAlign w:val="bottom"/>
          </w:tcPr>
          <w:p w14:paraId="74DDCEB9" w14:textId="77777777" w:rsidR="00584EC1" w:rsidRDefault="00584EC1">
            <w:pPr>
              <w:rPr>
                <w:rFonts w:ascii="宋体"/>
              </w:rPr>
            </w:pPr>
          </w:p>
        </w:tc>
        <w:tc>
          <w:tcPr>
            <w:tcW w:w="50" w:type="pct"/>
            <w:shd w:val="clear" w:color="auto" w:fill="auto"/>
            <w:vAlign w:val="bottom"/>
          </w:tcPr>
          <w:p w14:paraId="74DDCEBA" w14:textId="77777777" w:rsidR="00584EC1" w:rsidRDefault="00584EC1">
            <w:pPr>
              <w:rPr>
                <w:rFonts w:ascii="宋体"/>
              </w:rPr>
            </w:pPr>
          </w:p>
        </w:tc>
        <w:tc>
          <w:tcPr>
            <w:tcW w:w="273" w:type="pct"/>
            <w:shd w:val="clear" w:color="auto" w:fill="auto"/>
            <w:vAlign w:val="bottom"/>
          </w:tcPr>
          <w:p w14:paraId="74DDCEBB" w14:textId="77777777" w:rsidR="00584EC1" w:rsidRDefault="00584EC1">
            <w:pPr>
              <w:rPr>
                <w:rFonts w:ascii="宋体"/>
              </w:rPr>
            </w:pPr>
          </w:p>
        </w:tc>
        <w:tc>
          <w:tcPr>
            <w:tcW w:w="5" w:type="pct"/>
            <w:shd w:val="clear" w:color="auto" w:fill="auto"/>
            <w:vAlign w:val="bottom"/>
          </w:tcPr>
          <w:p w14:paraId="74DDCEBC" w14:textId="77777777" w:rsidR="00584EC1" w:rsidRDefault="00584EC1">
            <w:pPr>
              <w:rPr>
                <w:rFonts w:ascii="宋体"/>
              </w:rPr>
            </w:pPr>
          </w:p>
        </w:tc>
        <w:tc>
          <w:tcPr>
            <w:tcW w:w="5" w:type="pct"/>
            <w:shd w:val="clear" w:color="auto" w:fill="auto"/>
            <w:vAlign w:val="bottom"/>
          </w:tcPr>
          <w:p w14:paraId="74DDCEBD" w14:textId="77777777" w:rsidR="00584EC1" w:rsidRDefault="00584EC1">
            <w:pPr>
              <w:rPr>
                <w:rFonts w:ascii="宋体"/>
              </w:rPr>
            </w:pPr>
          </w:p>
        </w:tc>
        <w:tc>
          <w:tcPr>
            <w:tcW w:w="26" w:type="pct"/>
            <w:shd w:val="clear" w:color="auto" w:fill="auto"/>
            <w:vAlign w:val="bottom"/>
          </w:tcPr>
          <w:p w14:paraId="74DDCEBE" w14:textId="77777777" w:rsidR="00584EC1" w:rsidRDefault="00584EC1">
            <w:pPr>
              <w:rPr>
                <w:rFonts w:ascii="宋体"/>
              </w:rPr>
            </w:pPr>
          </w:p>
        </w:tc>
        <w:tc>
          <w:tcPr>
            <w:tcW w:w="5" w:type="pct"/>
            <w:shd w:val="clear" w:color="auto" w:fill="auto"/>
            <w:vAlign w:val="bottom"/>
          </w:tcPr>
          <w:p w14:paraId="74DDCEBF" w14:textId="77777777" w:rsidR="00584EC1" w:rsidRDefault="00584EC1">
            <w:pPr>
              <w:rPr>
                <w:rFonts w:ascii="宋体"/>
              </w:rPr>
            </w:pPr>
          </w:p>
        </w:tc>
        <w:tc>
          <w:tcPr>
            <w:tcW w:w="50" w:type="pct"/>
            <w:shd w:val="clear" w:color="auto" w:fill="auto"/>
            <w:vAlign w:val="bottom"/>
          </w:tcPr>
          <w:p w14:paraId="74DDCEC0" w14:textId="77777777" w:rsidR="00584EC1" w:rsidRDefault="00584EC1">
            <w:pPr>
              <w:rPr>
                <w:rFonts w:ascii="宋体"/>
              </w:rPr>
            </w:pPr>
          </w:p>
        </w:tc>
        <w:tc>
          <w:tcPr>
            <w:tcW w:w="376" w:type="pct"/>
            <w:shd w:val="clear" w:color="auto" w:fill="auto"/>
            <w:vAlign w:val="bottom"/>
          </w:tcPr>
          <w:p w14:paraId="74DDCEC1" w14:textId="77777777" w:rsidR="00584EC1" w:rsidRDefault="00584EC1">
            <w:pPr>
              <w:rPr>
                <w:rFonts w:ascii="宋体"/>
              </w:rPr>
            </w:pPr>
          </w:p>
        </w:tc>
        <w:tc>
          <w:tcPr>
            <w:tcW w:w="5" w:type="pct"/>
            <w:shd w:val="clear" w:color="auto" w:fill="auto"/>
            <w:vAlign w:val="bottom"/>
          </w:tcPr>
          <w:p w14:paraId="74DDCEC2" w14:textId="77777777" w:rsidR="00584EC1" w:rsidRDefault="00584EC1">
            <w:pPr>
              <w:rPr>
                <w:rFonts w:ascii="宋体"/>
              </w:rPr>
            </w:pPr>
          </w:p>
        </w:tc>
        <w:tc>
          <w:tcPr>
            <w:tcW w:w="5" w:type="pct"/>
            <w:shd w:val="clear" w:color="auto" w:fill="auto"/>
            <w:vAlign w:val="bottom"/>
          </w:tcPr>
          <w:p w14:paraId="74DDCEC3" w14:textId="77777777" w:rsidR="00584EC1" w:rsidRDefault="00584EC1">
            <w:pPr>
              <w:rPr>
                <w:rFonts w:ascii="宋体"/>
              </w:rPr>
            </w:pPr>
          </w:p>
        </w:tc>
        <w:tc>
          <w:tcPr>
            <w:tcW w:w="26" w:type="pct"/>
            <w:shd w:val="clear" w:color="auto" w:fill="auto"/>
            <w:vAlign w:val="bottom"/>
          </w:tcPr>
          <w:p w14:paraId="74DDCEC4" w14:textId="77777777" w:rsidR="00584EC1" w:rsidRDefault="00584EC1">
            <w:pPr>
              <w:rPr>
                <w:rFonts w:ascii="宋体"/>
              </w:rPr>
            </w:pPr>
          </w:p>
        </w:tc>
        <w:tc>
          <w:tcPr>
            <w:tcW w:w="5" w:type="pct"/>
            <w:shd w:val="clear" w:color="auto" w:fill="auto"/>
            <w:vAlign w:val="bottom"/>
          </w:tcPr>
          <w:p w14:paraId="74DDCEC5" w14:textId="77777777" w:rsidR="00584EC1" w:rsidRDefault="00584EC1">
            <w:pPr>
              <w:rPr>
                <w:rFonts w:ascii="宋体"/>
              </w:rPr>
            </w:pPr>
          </w:p>
        </w:tc>
        <w:tc>
          <w:tcPr>
            <w:tcW w:w="50" w:type="pct"/>
            <w:shd w:val="clear" w:color="auto" w:fill="auto"/>
            <w:vAlign w:val="bottom"/>
          </w:tcPr>
          <w:p w14:paraId="74DDCEC6" w14:textId="77777777" w:rsidR="00584EC1" w:rsidRDefault="00584EC1">
            <w:pPr>
              <w:rPr>
                <w:rFonts w:ascii="宋体"/>
              </w:rPr>
            </w:pPr>
          </w:p>
        </w:tc>
        <w:tc>
          <w:tcPr>
            <w:tcW w:w="390" w:type="pct"/>
            <w:shd w:val="clear" w:color="auto" w:fill="auto"/>
            <w:vAlign w:val="bottom"/>
          </w:tcPr>
          <w:p w14:paraId="74DDCEC7" w14:textId="77777777" w:rsidR="00584EC1" w:rsidRDefault="00584EC1">
            <w:pPr>
              <w:rPr>
                <w:rFonts w:ascii="宋体"/>
              </w:rPr>
            </w:pPr>
          </w:p>
        </w:tc>
        <w:tc>
          <w:tcPr>
            <w:tcW w:w="5" w:type="pct"/>
            <w:shd w:val="clear" w:color="auto" w:fill="auto"/>
            <w:vAlign w:val="bottom"/>
          </w:tcPr>
          <w:p w14:paraId="74DDCEC8" w14:textId="77777777" w:rsidR="00584EC1" w:rsidRDefault="00584EC1">
            <w:pPr>
              <w:rPr>
                <w:rFonts w:ascii="宋体"/>
              </w:rPr>
            </w:pPr>
          </w:p>
        </w:tc>
        <w:tc>
          <w:tcPr>
            <w:tcW w:w="5" w:type="pct"/>
            <w:shd w:val="clear" w:color="auto" w:fill="auto"/>
            <w:vAlign w:val="bottom"/>
          </w:tcPr>
          <w:p w14:paraId="74DDCEC9" w14:textId="77777777" w:rsidR="00584EC1" w:rsidRDefault="00584EC1">
            <w:pPr>
              <w:rPr>
                <w:rFonts w:ascii="宋体"/>
              </w:rPr>
            </w:pPr>
          </w:p>
        </w:tc>
        <w:tc>
          <w:tcPr>
            <w:tcW w:w="26" w:type="pct"/>
            <w:shd w:val="clear" w:color="auto" w:fill="auto"/>
            <w:vAlign w:val="bottom"/>
          </w:tcPr>
          <w:p w14:paraId="74DDCECA" w14:textId="77777777" w:rsidR="00584EC1" w:rsidRDefault="00584EC1">
            <w:pPr>
              <w:rPr>
                <w:rFonts w:ascii="宋体"/>
              </w:rPr>
            </w:pPr>
          </w:p>
        </w:tc>
        <w:tc>
          <w:tcPr>
            <w:tcW w:w="5" w:type="pct"/>
            <w:shd w:val="clear" w:color="auto" w:fill="auto"/>
            <w:vAlign w:val="bottom"/>
          </w:tcPr>
          <w:p w14:paraId="74DDCECB" w14:textId="77777777" w:rsidR="00584EC1" w:rsidRDefault="00584EC1">
            <w:pPr>
              <w:rPr>
                <w:rFonts w:ascii="宋体"/>
              </w:rPr>
            </w:pPr>
          </w:p>
        </w:tc>
        <w:tc>
          <w:tcPr>
            <w:tcW w:w="50" w:type="pct"/>
            <w:shd w:val="clear" w:color="auto" w:fill="auto"/>
            <w:vAlign w:val="bottom"/>
          </w:tcPr>
          <w:p w14:paraId="74DDCECC" w14:textId="77777777" w:rsidR="00584EC1" w:rsidRDefault="00584EC1">
            <w:pPr>
              <w:rPr>
                <w:rFonts w:ascii="宋体"/>
              </w:rPr>
            </w:pPr>
          </w:p>
        </w:tc>
        <w:tc>
          <w:tcPr>
            <w:tcW w:w="273" w:type="pct"/>
            <w:shd w:val="clear" w:color="auto" w:fill="auto"/>
            <w:vAlign w:val="bottom"/>
          </w:tcPr>
          <w:p w14:paraId="74DDCECD" w14:textId="77777777" w:rsidR="00584EC1" w:rsidRDefault="00584EC1">
            <w:pPr>
              <w:rPr>
                <w:rFonts w:ascii="宋体"/>
              </w:rPr>
            </w:pPr>
          </w:p>
        </w:tc>
        <w:tc>
          <w:tcPr>
            <w:tcW w:w="5" w:type="pct"/>
            <w:shd w:val="clear" w:color="auto" w:fill="auto"/>
            <w:vAlign w:val="bottom"/>
          </w:tcPr>
          <w:p w14:paraId="74DDCECE" w14:textId="77777777" w:rsidR="00584EC1" w:rsidRDefault="00584EC1">
            <w:pPr>
              <w:rPr>
                <w:rFonts w:ascii="宋体"/>
              </w:rPr>
            </w:pPr>
          </w:p>
        </w:tc>
        <w:tc>
          <w:tcPr>
            <w:tcW w:w="5" w:type="pct"/>
            <w:shd w:val="clear" w:color="auto" w:fill="auto"/>
            <w:vAlign w:val="bottom"/>
          </w:tcPr>
          <w:p w14:paraId="74DDCECF" w14:textId="77777777" w:rsidR="00584EC1" w:rsidRDefault="00584EC1">
            <w:pPr>
              <w:rPr>
                <w:rFonts w:ascii="宋体"/>
              </w:rPr>
            </w:pPr>
          </w:p>
        </w:tc>
        <w:tc>
          <w:tcPr>
            <w:tcW w:w="26" w:type="pct"/>
            <w:shd w:val="clear" w:color="auto" w:fill="auto"/>
            <w:vAlign w:val="bottom"/>
          </w:tcPr>
          <w:p w14:paraId="74DDCED0" w14:textId="77777777" w:rsidR="00584EC1" w:rsidRDefault="00584EC1">
            <w:pPr>
              <w:rPr>
                <w:rFonts w:ascii="宋体"/>
              </w:rPr>
            </w:pPr>
          </w:p>
        </w:tc>
        <w:tc>
          <w:tcPr>
            <w:tcW w:w="5" w:type="pct"/>
            <w:shd w:val="clear" w:color="auto" w:fill="auto"/>
            <w:vAlign w:val="bottom"/>
          </w:tcPr>
          <w:p w14:paraId="74DDCED1" w14:textId="77777777" w:rsidR="00584EC1" w:rsidRDefault="00584EC1">
            <w:pPr>
              <w:rPr>
                <w:rFonts w:ascii="宋体"/>
              </w:rPr>
            </w:pPr>
          </w:p>
        </w:tc>
        <w:tc>
          <w:tcPr>
            <w:tcW w:w="50" w:type="pct"/>
            <w:shd w:val="clear" w:color="auto" w:fill="auto"/>
            <w:vAlign w:val="bottom"/>
          </w:tcPr>
          <w:p w14:paraId="74DDCED2" w14:textId="77777777" w:rsidR="00584EC1" w:rsidRDefault="00584EC1">
            <w:pPr>
              <w:rPr>
                <w:rFonts w:ascii="宋体"/>
              </w:rPr>
            </w:pPr>
          </w:p>
        </w:tc>
        <w:tc>
          <w:tcPr>
            <w:tcW w:w="273" w:type="pct"/>
            <w:shd w:val="clear" w:color="auto" w:fill="auto"/>
            <w:vAlign w:val="bottom"/>
          </w:tcPr>
          <w:p w14:paraId="74DDCED3" w14:textId="77777777" w:rsidR="00584EC1" w:rsidRDefault="00584EC1">
            <w:pPr>
              <w:rPr>
                <w:rFonts w:ascii="宋体"/>
              </w:rPr>
            </w:pPr>
          </w:p>
        </w:tc>
        <w:tc>
          <w:tcPr>
            <w:tcW w:w="5" w:type="pct"/>
            <w:shd w:val="clear" w:color="auto" w:fill="auto"/>
            <w:vAlign w:val="bottom"/>
          </w:tcPr>
          <w:p w14:paraId="74DDCED4" w14:textId="77777777" w:rsidR="00584EC1" w:rsidRDefault="00584EC1">
            <w:pPr>
              <w:rPr>
                <w:rFonts w:ascii="宋体"/>
              </w:rPr>
            </w:pPr>
          </w:p>
        </w:tc>
        <w:tc>
          <w:tcPr>
            <w:tcW w:w="5" w:type="pct"/>
            <w:shd w:val="clear" w:color="auto" w:fill="auto"/>
            <w:vAlign w:val="bottom"/>
          </w:tcPr>
          <w:p w14:paraId="74DDCED5" w14:textId="77777777" w:rsidR="00584EC1" w:rsidRDefault="00584EC1">
            <w:pPr>
              <w:rPr>
                <w:rFonts w:ascii="宋体"/>
              </w:rPr>
            </w:pPr>
          </w:p>
        </w:tc>
        <w:tc>
          <w:tcPr>
            <w:tcW w:w="26" w:type="pct"/>
            <w:shd w:val="clear" w:color="auto" w:fill="auto"/>
            <w:vAlign w:val="bottom"/>
          </w:tcPr>
          <w:p w14:paraId="74DDCED6" w14:textId="77777777" w:rsidR="00584EC1" w:rsidRDefault="00584EC1">
            <w:pPr>
              <w:rPr>
                <w:rFonts w:ascii="宋体"/>
              </w:rPr>
            </w:pPr>
          </w:p>
        </w:tc>
        <w:tc>
          <w:tcPr>
            <w:tcW w:w="5" w:type="pct"/>
            <w:shd w:val="clear" w:color="auto" w:fill="auto"/>
            <w:vAlign w:val="bottom"/>
          </w:tcPr>
          <w:p w14:paraId="74DDCED7" w14:textId="77777777" w:rsidR="00584EC1" w:rsidRDefault="00584EC1">
            <w:pPr>
              <w:rPr>
                <w:rFonts w:ascii="宋体"/>
              </w:rPr>
            </w:pPr>
          </w:p>
        </w:tc>
        <w:tc>
          <w:tcPr>
            <w:tcW w:w="50" w:type="pct"/>
            <w:shd w:val="clear" w:color="auto" w:fill="auto"/>
            <w:vAlign w:val="bottom"/>
          </w:tcPr>
          <w:p w14:paraId="74DDCED8" w14:textId="77777777" w:rsidR="00584EC1" w:rsidRDefault="00584EC1">
            <w:pPr>
              <w:rPr>
                <w:rFonts w:ascii="宋体"/>
              </w:rPr>
            </w:pPr>
          </w:p>
        </w:tc>
        <w:tc>
          <w:tcPr>
            <w:tcW w:w="354" w:type="pct"/>
            <w:shd w:val="clear" w:color="auto" w:fill="auto"/>
            <w:vAlign w:val="bottom"/>
          </w:tcPr>
          <w:p w14:paraId="74DDCED9" w14:textId="77777777" w:rsidR="00584EC1" w:rsidRDefault="00584EC1">
            <w:pPr>
              <w:rPr>
                <w:rFonts w:ascii="宋体"/>
              </w:rPr>
            </w:pPr>
          </w:p>
        </w:tc>
        <w:tc>
          <w:tcPr>
            <w:tcW w:w="5" w:type="pct"/>
            <w:shd w:val="clear" w:color="auto" w:fill="auto"/>
            <w:vAlign w:val="bottom"/>
          </w:tcPr>
          <w:p w14:paraId="74DDCEDA" w14:textId="77777777" w:rsidR="00584EC1" w:rsidRDefault="00584EC1">
            <w:pPr>
              <w:rPr>
                <w:rFonts w:ascii="宋体"/>
              </w:rPr>
            </w:pPr>
          </w:p>
        </w:tc>
      </w:tr>
      <w:tr w:rsidR="00584EC1" w14:paraId="74DDCEE0" w14:textId="77777777">
        <w:tc>
          <w:tcPr>
            <w:tcW w:w="0" w:type="auto"/>
            <w:gridSpan w:val="3"/>
            <w:shd w:val="clear" w:color="auto" w:fill="auto"/>
            <w:tcMar>
              <w:top w:w="40" w:type="dxa"/>
              <w:left w:w="20" w:type="dxa"/>
              <w:bottom w:w="40" w:type="dxa"/>
              <w:right w:w="20" w:type="dxa"/>
            </w:tcMar>
            <w:vAlign w:val="bottom"/>
          </w:tcPr>
          <w:p w14:paraId="74DDCEDC" w14:textId="77777777" w:rsidR="00584EC1" w:rsidRDefault="00871F8D">
            <w:pPr>
              <w:textAlignment w:val="bottom"/>
            </w:pPr>
            <w:r>
              <w:rPr>
                <w:rFonts w:ascii="Arial" w:eastAsia="宋体" w:hAnsi="Arial" w:cs="Arial"/>
                <w:color w:val="000000"/>
                <w:sz w:val="15"/>
                <w:szCs w:val="15"/>
              </w:rPr>
              <w:t> </w:t>
            </w:r>
          </w:p>
        </w:tc>
        <w:tc>
          <w:tcPr>
            <w:tcW w:w="0" w:type="auto"/>
            <w:gridSpan w:val="21"/>
            <w:shd w:val="clear" w:color="auto" w:fill="auto"/>
            <w:tcMar>
              <w:top w:w="40" w:type="dxa"/>
              <w:left w:w="20" w:type="dxa"/>
              <w:bottom w:w="40" w:type="dxa"/>
              <w:right w:w="20" w:type="dxa"/>
            </w:tcMar>
            <w:vAlign w:val="bottom"/>
          </w:tcPr>
          <w:p w14:paraId="74DDCEDD" w14:textId="77777777" w:rsidR="00584EC1" w:rsidRDefault="00871F8D">
            <w:pPr>
              <w:jc w:val="center"/>
              <w:textAlignment w:val="bottom"/>
            </w:pPr>
            <w:r>
              <w:rPr>
                <w:rFonts w:ascii="Arial" w:eastAsia="宋体" w:hAnsi="Arial" w:cs="Arial"/>
                <w:b/>
                <w:bCs/>
                <w:color w:val="000000"/>
                <w:sz w:val="15"/>
                <w:szCs w:val="15"/>
              </w:rPr>
              <w:t>September 30, 2021</w:t>
            </w:r>
          </w:p>
        </w:tc>
        <w:tc>
          <w:tcPr>
            <w:tcW w:w="0" w:type="auto"/>
            <w:gridSpan w:val="3"/>
            <w:shd w:val="clear" w:color="auto" w:fill="auto"/>
            <w:tcMar>
              <w:top w:w="0" w:type="dxa"/>
              <w:left w:w="20" w:type="dxa"/>
              <w:bottom w:w="0" w:type="dxa"/>
              <w:right w:w="20" w:type="dxa"/>
            </w:tcMar>
            <w:vAlign w:val="bottom"/>
          </w:tcPr>
          <w:p w14:paraId="74DDCEDE" w14:textId="77777777" w:rsidR="00584EC1" w:rsidRDefault="00584EC1">
            <w:pPr>
              <w:rPr>
                <w:rFonts w:ascii="宋体"/>
              </w:rPr>
            </w:pPr>
          </w:p>
        </w:tc>
        <w:tc>
          <w:tcPr>
            <w:tcW w:w="0" w:type="auto"/>
            <w:gridSpan w:val="21"/>
            <w:shd w:val="clear" w:color="auto" w:fill="auto"/>
            <w:tcMar>
              <w:top w:w="40" w:type="dxa"/>
              <w:left w:w="20" w:type="dxa"/>
              <w:bottom w:w="40" w:type="dxa"/>
              <w:right w:w="20" w:type="dxa"/>
            </w:tcMar>
            <w:vAlign w:val="bottom"/>
          </w:tcPr>
          <w:p w14:paraId="74DDCEDF" w14:textId="77777777" w:rsidR="00584EC1" w:rsidRDefault="00871F8D">
            <w:pPr>
              <w:jc w:val="center"/>
              <w:textAlignment w:val="bottom"/>
            </w:pPr>
            <w:r>
              <w:rPr>
                <w:rFonts w:ascii="Arial" w:eastAsia="宋体" w:hAnsi="Arial" w:cs="Arial"/>
                <w:b/>
                <w:bCs/>
                <w:color w:val="000000"/>
                <w:sz w:val="15"/>
                <w:szCs w:val="15"/>
              </w:rPr>
              <w:t>December 31, 2020</w:t>
            </w:r>
          </w:p>
        </w:tc>
      </w:tr>
      <w:tr w:rsidR="00584EC1" w14:paraId="74DDCEF3" w14:textId="77777777">
        <w:trPr>
          <w:trHeight w:val="400"/>
        </w:trPr>
        <w:tc>
          <w:tcPr>
            <w:tcW w:w="0" w:type="auto"/>
            <w:gridSpan w:val="3"/>
            <w:shd w:val="clear" w:color="auto" w:fill="auto"/>
            <w:tcMar>
              <w:top w:w="40" w:type="dxa"/>
              <w:left w:w="20" w:type="dxa"/>
              <w:bottom w:w="40" w:type="dxa"/>
              <w:right w:w="20" w:type="dxa"/>
            </w:tcMar>
            <w:vAlign w:val="bottom"/>
          </w:tcPr>
          <w:p w14:paraId="74DDCEE1" w14:textId="77777777" w:rsidR="00584EC1" w:rsidRDefault="00871F8D">
            <w:pPr>
              <w:textAlignment w:val="bottom"/>
            </w:pPr>
            <w:r>
              <w:rPr>
                <w:rFonts w:ascii="Arial" w:eastAsia="宋体" w:hAnsi="Arial" w:cs="Arial"/>
                <w:color w:val="000000"/>
                <w:sz w:val="15"/>
                <w:szCs w:val="15"/>
              </w:rPr>
              <w:t> </w:t>
            </w: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4DDCEE2" w14:textId="77777777" w:rsidR="00584EC1" w:rsidRDefault="00871F8D">
            <w:pPr>
              <w:jc w:val="center"/>
              <w:textAlignment w:val="bottom"/>
            </w:pPr>
            <w:r>
              <w:rPr>
                <w:rFonts w:ascii="Arial" w:eastAsia="宋体" w:hAnsi="Arial" w:cs="Arial"/>
                <w:b/>
                <w:bCs/>
                <w:color w:val="000000"/>
                <w:sz w:val="15"/>
                <w:szCs w:val="15"/>
              </w:rPr>
              <w:t>Amortized</w:t>
            </w:r>
          </w:p>
          <w:p w14:paraId="74DDCEE3" w14:textId="77777777" w:rsidR="00584EC1" w:rsidRDefault="00871F8D">
            <w:pPr>
              <w:jc w:val="center"/>
              <w:textAlignment w:val="bottom"/>
            </w:pPr>
            <w:r>
              <w:rPr>
                <w:rFonts w:ascii="Arial" w:eastAsia="宋体" w:hAnsi="Arial" w:cs="Arial"/>
                <w:b/>
                <w:bCs/>
                <w:color w:val="000000"/>
                <w:sz w:val="15"/>
                <w:szCs w:val="15"/>
              </w:rPr>
              <w:t>Cost</w:t>
            </w:r>
          </w:p>
        </w:tc>
        <w:tc>
          <w:tcPr>
            <w:tcW w:w="0" w:type="auto"/>
            <w:gridSpan w:val="3"/>
            <w:vMerge w:val="restart"/>
            <w:tcBorders>
              <w:top w:val="single" w:sz="8" w:space="0" w:color="000000"/>
            </w:tcBorders>
            <w:shd w:val="clear" w:color="auto" w:fill="auto"/>
            <w:tcMar>
              <w:top w:w="0" w:type="dxa"/>
              <w:left w:w="20" w:type="dxa"/>
              <w:bottom w:w="0" w:type="dxa"/>
              <w:right w:w="20" w:type="dxa"/>
            </w:tcMar>
            <w:vAlign w:val="bottom"/>
          </w:tcPr>
          <w:p w14:paraId="74DDCEE4" w14:textId="77777777" w:rsidR="00584EC1" w:rsidRDefault="00584E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4DDCEE5" w14:textId="77777777" w:rsidR="00584EC1" w:rsidRDefault="00871F8D">
            <w:pPr>
              <w:jc w:val="center"/>
              <w:textAlignment w:val="bottom"/>
            </w:pPr>
            <w:r>
              <w:rPr>
                <w:rFonts w:ascii="Arial" w:eastAsia="宋体" w:hAnsi="Arial" w:cs="Arial"/>
                <w:b/>
                <w:bCs/>
                <w:color w:val="000000"/>
                <w:sz w:val="15"/>
                <w:szCs w:val="15"/>
              </w:rPr>
              <w:t>Gross</w:t>
            </w:r>
          </w:p>
          <w:p w14:paraId="74DDCEE6" w14:textId="77777777" w:rsidR="00584EC1" w:rsidRDefault="00871F8D">
            <w:pPr>
              <w:jc w:val="center"/>
              <w:textAlignment w:val="bottom"/>
            </w:pPr>
            <w:r>
              <w:rPr>
                <w:rFonts w:ascii="Arial" w:eastAsia="宋体" w:hAnsi="Arial" w:cs="Arial"/>
                <w:b/>
                <w:bCs/>
                <w:color w:val="000000"/>
                <w:sz w:val="15"/>
                <w:szCs w:val="15"/>
              </w:rPr>
              <w:t>Unrealized</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EE7" w14:textId="77777777" w:rsidR="00584EC1" w:rsidRDefault="00584EC1">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4DDCEE8" w14:textId="77777777" w:rsidR="00584EC1" w:rsidRDefault="00871F8D">
            <w:pPr>
              <w:jc w:val="center"/>
              <w:textAlignment w:val="bottom"/>
            </w:pPr>
            <w:r>
              <w:rPr>
                <w:rFonts w:ascii="Arial" w:eastAsia="宋体" w:hAnsi="Arial" w:cs="Arial"/>
                <w:b/>
                <w:bCs/>
                <w:color w:val="000000"/>
                <w:sz w:val="15"/>
                <w:szCs w:val="15"/>
              </w:rPr>
              <w:t>Fair</w:t>
            </w:r>
          </w:p>
          <w:p w14:paraId="74DDCEE9" w14:textId="77777777" w:rsidR="00584EC1" w:rsidRDefault="00871F8D">
            <w:pPr>
              <w:jc w:val="center"/>
              <w:textAlignment w:val="bottom"/>
            </w:pPr>
            <w:r>
              <w:rPr>
                <w:rFonts w:ascii="Arial" w:eastAsia="宋体" w:hAnsi="Arial" w:cs="Arial"/>
                <w:b/>
                <w:bCs/>
                <w:color w:val="000000"/>
                <w:sz w:val="15"/>
                <w:szCs w:val="15"/>
              </w:rPr>
              <w:t>Value</w:t>
            </w:r>
          </w:p>
        </w:tc>
        <w:tc>
          <w:tcPr>
            <w:tcW w:w="0" w:type="auto"/>
            <w:gridSpan w:val="3"/>
            <w:vMerge w:val="restart"/>
            <w:shd w:val="clear" w:color="auto" w:fill="auto"/>
            <w:tcMar>
              <w:top w:w="0" w:type="dxa"/>
              <w:left w:w="20" w:type="dxa"/>
              <w:bottom w:w="0" w:type="dxa"/>
              <w:right w:w="20" w:type="dxa"/>
            </w:tcMar>
            <w:vAlign w:val="bottom"/>
          </w:tcPr>
          <w:p w14:paraId="74DDCEEA" w14:textId="77777777" w:rsidR="00584EC1" w:rsidRDefault="00584EC1">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4DDCEEB" w14:textId="77777777" w:rsidR="00584EC1" w:rsidRDefault="00871F8D">
            <w:pPr>
              <w:jc w:val="center"/>
              <w:textAlignment w:val="bottom"/>
            </w:pPr>
            <w:r>
              <w:rPr>
                <w:rFonts w:ascii="Arial" w:eastAsia="宋体" w:hAnsi="Arial" w:cs="Arial"/>
                <w:b/>
                <w:bCs/>
                <w:color w:val="000000"/>
                <w:sz w:val="15"/>
                <w:szCs w:val="15"/>
              </w:rPr>
              <w:t>Amortized</w:t>
            </w:r>
          </w:p>
          <w:p w14:paraId="74DDCEEC" w14:textId="77777777" w:rsidR="00584EC1" w:rsidRDefault="00871F8D">
            <w:pPr>
              <w:jc w:val="center"/>
              <w:textAlignment w:val="bottom"/>
            </w:pPr>
            <w:r>
              <w:rPr>
                <w:rFonts w:ascii="Arial" w:eastAsia="宋体" w:hAnsi="Arial" w:cs="Arial"/>
                <w:b/>
                <w:bCs/>
                <w:color w:val="000000"/>
                <w:sz w:val="15"/>
                <w:szCs w:val="15"/>
              </w:rPr>
              <w:t>Cost</w:t>
            </w:r>
          </w:p>
        </w:tc>
        <w:tc>
          <w:tcPr>
            <w:tcW w:w="0" w:type="auto"/>
            <w:gridSpan w:val="3"/>
            <w:vMerge w:val="restart"/>
            <w:tcBorders>
              <w:top w:val="single" w:sz="8" w:space="0" w:color="000000"/>
            </w:tcBorders>
            <w:shd w:val="clear" w:color="auto" w:fill="auto"/>
            <w:tcMar>
              <w:top w:w="0" w:type="dxa"/>
              <w:left w:w="20" w:type="dxa"/>
              <w:bottom w:w="0" w:type="dxa"/>
              <w:right w:w="20" w:type="dxa"/>
            </w:tcMar>
            <w:vAlign w:val="bottom"/>
          </w:tcPr>
          <w:p w14:paraId="74DDCEED" w14:textId="77777777" w:rsidR="00584EC1" w:rsidRDefault="00584E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4DDCEEE" w14:textId="77777777" w:rsidR="00584EC1" w:rsidRDefault="00871F8D">
            <w:pPr>
              <w:jc w:val="center"/>
              <w:textAlignment w:val="bottom"/>
            </w:pPr>
            <w:r>
              <w:rPr>
                <w:rFonts w:ascii="Arial" w:eastAsia="宋体" w:hAnsi="Arial" w:cs="Arial"/>
                <w:b/>
                <w:bCs/>
                <w:color w:val="000000"/>
                <w:sz w:val="15"/>
                <w:szCs w:val="15"/>
              </w:rPr>
              <w:t>Gross</w:t>
            </w:r>
          </w:p>
          <w:p w14:paraId="74DDCEEF" w14:textId="77777777" w:rsidR="00584EC1" w:rsidRDefault="00871F8D">
            <w:pPr>
              <w:jc w:val="center"/>
              <w:textAlignment w:val="bottom"/>
            </w:pPr>
            <w:r>
              <w:rPr>
                <w:rFonts w:ascii="Arial" w:eastAsia="宋体" w:hAnsi="Arial" w:cs="Arial"/>
                <w:b/>
                <w:bCs/>
                <w:color w:val="000000"/>
                <w:sz w:val="15"/>
                <w:szCs w:val="15"/>
              </w:rPr>
              <w:t>Unrealized</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EF0" w14:textId="77777777" w:rsidR="00584EC1" w:rsidRDefault="00584EC1">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4DDCEF1" w14:textId="77777777" w:rsidR="00584EC1" w:rsidRDefault="00871F8D">
            <w:pPr>
              <w:jc w:val="center"/>
              <w:textAlignment w:val="bottom"/>
            </w:pPr>
            <w:r>
              <w:rPr>
                <w:rFonts w:ascii="Arial" w:eastAsia="宋体" w:hAnsi="Arial" w:cs="Arial"/>
                <w:b/>
                <w:bCs/>
                <w:color w:val="000000"/>
                <w:sz w:val="15"/>
                <w:szCs w:val="15"/>
              </w:rPr>
              <w:t>Fair</w:t>
            </w:r>
          </w:p>
          <w:p w14:paraId="74DDCEF2" w14:textId="77777777" w:rsidR="00584EC1" w:rsidRDefault="00871F8D">
            <w:pPr>
              <w:jc w:val="center"/>
              <w:textAlignment w:val="bottom"/>
            </w:pPr>
            <w:r>
              <w:rPr>
                <w:rFonts w:ascii="Arial" w:eastAsia="宋体" w:hAnsi="Arial" w:cs="Arial"/>
                <w:b/>
                <w:bCs/>
                <w:color w:val="000000"/>
                <w:sz w:val="15"/>
                <w:szCs w:val="15"/>
              </w:rPr>
              <w:t>Value</w:t>
            </w:r>
          </w:p>
        </w:tc>
      </w:tr>
      <w:tr w:rsidR="00584EC1" w14:paraId="74DDCF04" w14:textId="77777777">
        <w:trPr>
          <w:trHeight w:val="240"/>
        </w:trPr>
        <w:tc>
          <w:tcPr>
            <w:tcW w:w="0" w:type="auto"/>
            <w:gridSpan w:val="3"/>
            <w:shd w:val="clear" w:color="auto" w:fill="auto"/>
            <w:tcMar>
              <w:top w:w="40" w:type="dxa"/>
              <w:left w:w="20" w:type="dxa"/>
              <w:bottom w:w="40" w:type="dxa"/>
              <w:right w:w="20" w:type="dxa"/>
            </w:tcMar>
            <w:vAlign w:val="bottom"/>
          </w:tcPr>
          <w:p w14:paraId="74DDCEF4" w14:textId="77777777" w:rsidR="00584EC1" w:rsidRDefault="00871F8D">
            <w:pPr>
              <w:textAlignment w:val="bottom"/>
            </w:pPr>
            <w:r>
              <w:rPr>
                <w:rFonts w:ascii="Arial" w:eastAsia="宋体" w:hAnsi="Arial" w:cs="Arial"/>
                <w:b/>
                <w:bCs/>
                <w:color w:val="000000"/>
                <w:sz w:val="15"/>
                <w:szCs w:val="15"/>
              </w:rPr>
              <w:t>(In millions)</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4DDCEF5" w14:textId="77777777" w:rsidR="00584EC1" w:rsidRDefault="00584EC1">
            <w:pPr>
              <w:rPr>
                <w:rFonts w:ascii="宋体"/>
              </w:rPr>
            </w:pPr>
          </w:p>
        </w:tc>
        <w:tc>
          <w:tcPr>
            <w:tcW w:w="0" w:type="auto"/>
            <w:gridSpan w:val="3"/>
            <w:vMerge/>
            <w:tcBorders>
              <w:top w:val="single" w:sz="8" w:space="0" w:color="000000"/>
            </w:tcBorders>
            <w:shd w:val="clear" w:color="auto" w:fill="auto"/>
            <w:tcMar>
              <w:top w:w="0" w:type="dxa"/>
              <w:left w:w="20" w:type="dxa"/>
              <w:bottom w:w="0" w:type="dxa"/>
              <w:right w:w="20" w:type="dxa"/>
            </w:tcMar>
            <w:vAlign w:val="bottom"/>
          </w:tcPr>
          <w:p w14:paraId="74DDCEF6"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CEF7" w14:textId="77777777" w:rsidR="00584EC1" w:rsidRDefault="00871F8D">
            <w:pPr>
              <w:jc w:val="center"/>
              <w:textAlignment w:val="bottom"/>
            </w:pPr>
            <w:r>
              <w:rPr>
                <w:rFonts w:ascii="Arial" w:eastAsia="宋体" w:hAnsi="Arial" w:cs="Arial"/>
                <w:b/>
                <w:bCs/>
                <w:color w:val="000000"/>
                <w:sz w:val="15"/>
                <w:szCs w:val="15"/>
              </w:rPr>
              <w:t>Gains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EF8"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CEF9" w14:textId="77777777" w:rsidR="00584EC1" w:rsidRDefault="00871F8D">
            <w:pPr>
              <w:jc w:val="center"/>
              <w:textAlignment w:val="bottom"/>
            </w:pPr>
            <w:r>
              <w:rPr>
                <w:rFonts w:ascii="Arial" w:eastAsia="宋体" w:hAnsi="Arial" w:cs="Arial"/>
                <w:b/>
                <w:bCs/>
                <w:color w:val="000000"/>
                <w:sz w:val="15"/>
                <w:szCs w:val="15"/>
              </w:rPr>
              <w:t>Losses</w:t>
            </w:r>
          </w:p>
        </w:tc>
        <w:tc>
          <w:tcPr>
            <w:tcW w:w="0" w:type="auto"/>
            <w:gridSpan w:val="3"/>
            <w:shd w:val="clear" w:color="auto" w:fill="auto"/>
            <w:tcMar>
              <w:top w:w="0" w:type="dxa"/>
              <w:left w:w="20" w:type="dxa"/>
              <w:bottom w:w="0" w:type="dxa"/>
              <w:right w:w="20" w:type="dxa"/>
            </w:tcMar>
            <w:vAlign w:val="bottom"/>
          </w:tcPr>
          <w:p w14:paraId="74DDCEFA" w14:textId="77777777" w:rsidR="00584EC1" w:rsidRDefault="00584EC1">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4DDCEFB" w14:textId="77777777" w:rsidR="00584EC1" w:rsidRDefault="00584EC1">
            <w:pPr>
              <w:rPr>
                <w:rFonts w:ascii="宋体"/>
              </w:rPr>
            </w:pPr>
          </w:p>
        </w:tc>
        <w:tc>
          <w:tcPr>
            <w:tcW w:w="0" w:type="auto"/>
            <w:gridSpan w:val="3"/>
            <w:vMerge/>
            <w:shd w:val="clear" w:color="auto" w:fill="auto"/>
            <w:tcMar>
              <w:top w:w="0" w:type="dxa"/>
              <w:left w:w="20" w:type="dxa"/>
              <w:bottom w:w="0" w:type="dxa"/>
              <w:right w:w="20" w:type="dxa"/>
            </w:tcMar>
            <w:vAlign w:val="bottom"/>
          </w:tcPr>
          <w:p w14:paraId="74DDCEFC" w14:textId="77777777" w:rsidR="00584EC1" w:rsidRDefault="00584EC1">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4DDCEFD" w14:textId="77777777" w:rsidR="00584EC1" w:rsidRDefault="00584EC1">
            <w:pPr>
              <w:rPr>
                <w:rFonts w:ascii="宋体"/>
              </w:rPr>
            </w:pPr>
          </w:p>
        </w:tc>
        <w:tc>
          <w:tcPr>
            <w:tcW w:w="0" w:type="auto"/>
            <w:gridSpan w:val="3"/>
            <w:vMerge/>
            <w:tcBorders>
              <w:top w:val="single" w:sz="8" w:space="0" w:color="000000"/>
            </w:tcBorders>
            <w:shd w:val="clear" w:color="auto" w:fill="auto"/>
            <w:tcMar>
              <w:top w:w="0" w:type="dxa"/>
              <w:left w:w="20" w:type="dxa"/>
              <w:bottom w:w="0" w:type="dxa"/>
              <w:right w:w="20" w:type="dxa"/>
            </w:tcMar>
            <w:vAlign w:val="bottom"/>
          </w:tcPr>
          <w:p w14:paraId="74DDCEFE"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CEFF" w14:textId="77777777" w:rsidR="00584EC1" w:rsidRDefault="00871F8D">
            <w:pPr>
              <w:jc w:val="center"/>
              <w:textAlignment w:val="bottom"/>
            </w:pPr>
            <w:r>
              <w:rPr>
                <w:rFonts w:ascii="Arial" w:eastAsia="宋体" w:hAnsi="Arial" w:cs="Arial"/>
                <w:b/>
                <w:bCs/>
                <w:color w:val="000000"/>
                <w:sz w:val="15"/>
                <w:szCs w:val="15"/>
              </w:rPr>
              <w:t>Gains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F00"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CF01" w14:textId="77777777" w:rsidR="00584EC1" w:rsidRDefault="00871F8D">
            <w:pPr>
              <w:jc w:val="center"/>
              <w:textAlignment w:val="bottom"/>
            </w:pPr>
            <w:r>
              <w:rPr>
                <w:rFonts w:ascii="Arial" w:eastAsia="宋体" w:hAnsi="Arial" w:cs="Arial"/>
                <w:b/>
                <w:bCs/>
                <w:color w:val="000000"/>
                <w:sz w:val="15"/>
                <w:szCs w:val="15"/>
              </w:rPr>
              <w:t>Losses</w:t>
            </w:r>
          </w:p>
        </w:tc>
        <w:tc>
          <w:tcPr>
            <w:tcW w:w="0" w:type="auto"/>
            <w:gridSpan w:val="3"/>
            <w:shd w:val="clear" w:color="auto" w:fill="auto"/>
            <w:tcMar>
              <w:top w:w="0" w:type="dxa"/>
              <w:left w:w="20" w:type="dxa"/>
              <w:bottom w:w="0" w:type="dxa"/>
              <w:right w:w="20" w:type="dxa"/>
            </w:tcMar>
            <w:vAlign w:val="bottom"/>
          </w:tcPr>
          <w:p w14:paraId="74DDCF02" w14:textId="77777777" w:rsidR="00584EC1" w:rsidRDefault="00584EC1">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4DDCF03" w14:textId="77777777" w:rsidR="00584EC1" w:rsidRDefault="00584EC1">
            <w:pPr>
              <w:rPr>
                <w:rFonts w:ascii="宋体"/>
              </w:rPr>
            </w:pPr>
          </w:p>
        </w:tc>
      </w:tr>
      <w:tr w:rsidR="00584EC1" w14:paraId="74DDCF15" w14:textId="77777777">
        <w:tc>
          <w:tcPr>
            <w:tcW w:w="0" w:type="auto"/>
            <w:gridSpan w:val="3"/>
            <w:shd w:val="clear" w:color="auto" w:fill="auto"/>
            <w:tcMar>
              <w:top w:w="40" w:type="dxa"/>
              <w:left w:w="20" w:type="dxa"/>
              <w:bottom w:w="40" w:type="dxa"/>
              <w:right w:w="20" w:type="dxa"/>
            </w:tcMar>
            <w:vAlign w:val="bottom"/>
          </w:tcPr>
          <w:p w14:paraId="74DDCF05" w14:textId="77777777" w:rsidR="00584EC1" w:rsidRDefault="00871F8D">
            <w:pPr>
              <w:textAlignment w:val="bottom"/>
            </w:pPr>
            <w:r>
              <w:rPr>
                <w:rFonts w:ascii="Arial" w:eastAsia="宋体" w:hAnsi="Arial" w:cs="Arial"/>
                <w:b/>
                <w:bCs/>
                <w:color w:val="000000"/>
                <w:sz w:val="15"/>
                <w:szCs w:val="15"/>
              </w:rPr>
              <w:t>Available-for-sale: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F06"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F07"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F08"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F09"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F0A"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F0B"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F0C"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F0D"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F0E"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F0F"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F10"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F11"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F1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F13"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CF14" w14:textId="77777777" w:rsidR="00584EC1" w:rsidRDefault="00584EC1">
            <w:pPr>
              <w:rPr>
                <w:rFonts w:ascii="宋体"/>
              </w:rPr>
            </w:pPr>
          </w:p>
        </w:tc>
      </w:tr>
      <w:tr w:rsidR="00584EC1" w14:paraId="74DDCF26" w14:textId="77777777">
        <w:tc>
          <w:tcPr>
            <w:tcW w:w="0" w:type="auto"/>
            <w:gridSpan w:val="3"/>
            <w:shd w:val="clear" w:color="auto" w:fill="auto"/>
            <w:tcMar>
              <w:top w:w="40" w:type="dxa"/>
              <w:left w:w="20" w:type="dxa"/>
              <w:bottom w:w="40" w:type="dxa"/>
              <w:right w:w="20" w:type="dxa"/>
            </w:tcMar>
            <w:vAlign w:val="bottom"/>
          </w:tcPr>
          <w:p w14:paraId="74DDCF16" w14:textId="77777777" w:rsidR="00584EC1" w:rsidRDefault="00871F8D">
            <w:pPr>
              <w:textAlignment w:val="bottom"/>
            </w:pPr>
            <w:r>
              <w:rPr>
                <w:rFonts w:ascii="Arial" w:eastAsia="宋体" w:hAnsi="Arial" w:cs="Arial"/>
                <w:color w:val="000000"/>
                <w:sz w:val="15"/>
                <w:szCs w:val="15"/>
              </w:rPr>
              <w:t>U.S. Treasury and federal agencies:</w:t>
            </w:r>
          </w:p>
        </w:tc>
        <w:tc>
          <w:tcPr>
            <w:tcW w:w="0" w:type="auto"/>
            <w:gridSpan w:val="3"/>
            <w:shd w:val="clear" w:color="auto" w:fill="auto"/>
            <w:tcMar>
              <w:top w:w="0" w:type="dxa"/>
              <w:left w:w="20" w:type="dxa"/>
              <w:bottom w:w="0" w:type="dxa"/>
              <w:right w:w="20" w:type="dxa"/>
            </w:tcMar>
            <w:vAlign w:val="bottom"/>
          </w:tcPr>
          <w:p w14:paraId="74DDCF17"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F18"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F19"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F1A"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F1B"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F1C"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F1D"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F1E"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F1F"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F20"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F2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F2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F23"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F24"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CF25" w14:textId="77777777" w:rsidR="00584EC1" w:rsidRDefault="00584EC1">
            <w:pPr>
              <w:rPr>
                <w:rFonts w:ascii="宋体"/>
              </w:rPr>
            </w:pPr>
          </w:p>
        </w:tc>
      </w:tr>
      <w:tr w:rsidR="00871F8D" w14:paraId="74DDCF47" w14:textId="77777777">
        <w:tc>
          <w:tcPr>
            <w:tcW w:w="0" w:type="auto"/>
            <w:gridSpan w:val="3"/>
            <w:shd w:val="clear" w:color="auto" w:fill="CCEEFF"/>
            <w:tcMar>
              <w:top w:w="40" w:type="dxa"/>
              <w:left w:w="245" w:type="dxa"/>
              <w:bottom w:w="40" w:type="dxa"/>
              <w:right w:w="20" w:type="dxa"/>
            </w:tcMar>
            <w:vAlign w:val="bottom"/>
          </w:tcPr>
          <w:p w14:paraId="74DDCF27" w14:textId="77777777" w:rsidR="00584EC1" w:rsidRDefault="00871F8D">
            <w:pPr>
              <w:textAlignment w:val="bottom"/>
            </w:pPr>
            <w:r>
              <w:rPr>
                <w:rFonts w:ascii="Arial" w:eastAsia="宋体" w:hAnsi="Arial" w:cs="Arial"/>
                <w:color w:val="000000"/>
                <w:sz w:val="15"/>
                <w:szCs w:val="15"/>
              </w:rPr>
              <w:t>Direct obligations</w:t>
            </w:r>
          </w:p>
        </w:tc>
        <w:tc>
          <w:tcPr>
            <w:tcW w:w="0" w:type="auto"/>
            <w:shd w:val="clear" w:color="auto" w:fill="CCEEFF"/>
            <w:tcMar>
              <w:top w:w="40" w:type="dxa"/>
              <w:left w:w="20" w:type="dxa"/>
              <w:bottom w:w="40" w:type="dxa"/>
              <w:right w:w="0" w:type="dxa"/>
            </w:tcMar>
            <w:vAlign w:val="bottom"/>
          </w:tcPr>
          <w:p w14:paraId="74DDCF28" w14:textId="77777777" w:rsidR="00584EC1" w:rsidRDefault="00871F8D">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4DDCF29" w14:textId="77777777" w:rsidR="00584EC1" w:rsidRDefault="00871F8D">
            <w:pPr>
              <w:jc w:val="right"/>
              <w:textAlignment w:val="bottom"/>
            </w:pPr>
            <w:r>
              <w:rPr>
                <w:rFonts w:ascii="Arial" w:eastAsia="宋体" w:hAnsi="Arial" w:cs="Arial"/>
                <w:b/>
                <w:bCs/>
                <w:color w:val="000000"/>
                <w:sz w:val="15"/>
                <w:szCs w:val="15"/>
              </w:rPr>
              <w:t>14,372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CF2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F2B"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CF2C" w14:textId="77777777" w:rsidR="00584EC1" w:rsidRDefault="00871F8D">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4DDCF2D" w14:textId="77777777" w:rsidR="00584EC1" w:rsidRDefault="00871F8D">
            <w:pPr>
              <w:jc w:val="right"/>
              <w:textAlignment w:val="bottom"/>
            </w:pPr>
            <w:r>
              <w:rPr>
                <w:rFonts w:ascii="Arial" w:eastAsia="宋体" w:hAnsi="Arial" w:cs="Arial"/>
                <w:b/>
                <w:bCs/>
                <w:color w:val="000000"/>
                <w:sz w:val="15"/>
                <w:szCs w:val="15"/>
              </w:rPr>
              <w:t>30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CF2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F2F"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CF30" w14:textId="77777777" w:rsidR="00584EC1" w:rsidRDefault="00871F8D">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4DDCF31" w14:textId="77777777" w:rsidR="00584EC1" w:rsidRDefault="00871F8D">
            <w:pPr>
              <w:jc w:val="right"/>
              <w:textAlignment w:val="bottom"/>
            </w:pPr>
            <w:r>
              <w:rPr>
                <w:rFonts w:ascii="Arial" w:eastAsia="宋体" w:hAnsi="Arial" w:cs="Arial"/>
                <w:b/>
                <w:bCs/>
                <w:color w:val="000000"/>
                <w:sz w:val="15"/>
                <w:szCs w:val="15"/>
              </w:rPr>
              <w:t>63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CF3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F33"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CF34" w14:textId="77777777" w:rsidR="00584EC1" w:rsidRDefault="00871F8D">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4DDCF35" w14:textId="77777777" w:rsidR="00584EC1" w:rsidRDefault="00871F8D">
            <w:pPr>
              <w:jc w:val="right"/>
              <w:textAlignment w:val="bottom"/>
            </w:pPr>
            <w:r>
              <w:rPr>
                <w:rFonts w:ascii="Arial" w:eastAsia="宋体" w:hAnsi="Arial" w:cs="Arial"/>
                <w:b/>
                <w:bCs/>
                <w:color w:val="000000"/>
                <w:sz w:val="15"/>
                <w:szCs w:val="15"/>
              </w:rPr>
              <w:t>14,339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CF3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F37"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CF38" w14:textId="77777777" w:rsidR="00584EC1" w:rsidRDefault="00871F8D">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4DDCF39" w14:textId="77777777" w:rsidR="00584EC1" w:rsidRDefault="00871F8D">
            <w:pPr>
              <w:jc w:val="right"/>
              <w:textAlignment w:val="bottom"/>
            </w:pPr>
            <w:r>
              <w:rPr>
                <w:rFonts w:ascii="Arial" w:eastAsia="宋体" w:hAnsi="Arial" w:cs="Arial"/>
                <w:color w:val="000000"/>
                <w:sz w:val="15"/>
                <w:szCs w:val="15"/>
              </w:rPr>
              <w:t>6,453 </w:t>
            </w:r>
          </w:p>
        </w:tc>
        <w:tc>
          <w:tcPr>
            <w:tcW w:w="0" w:type="auto"/>
            <w:shd w:val="clear" w:color="auto" w:fill="CCEEFF"/>
            <w:tcMar>
              <w:top w:w="40" w:type="dxa"/>
              <w:left w:w="0" w:type="dxa"/>
              <w:bottom w:w="40" w:type="dxa"/>
              <w:right w:w="20" w:type="dxa"/>
            </w:tcMar>
            <w:vAlign w:val="bottom"/>
          </w:tcPr>
          <w:p w14:paraId="74DDCF3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F3B"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CF3C" w14:textId="77777777" w:rsidR="00584EC1" w:rsidRDefault="00871F8D">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4DDCF3D" w14:textId="77777777" w:rsidR="00584EC1" w:rsidRDefault="00871F8D">
            <w:pPr>
              <w:jc w:val="right"/>
              <w:textAlignment w:val="bottom"/>
            </w:pPr>
            <w:r>
              <w:rPr>
                <w:rFonts w:ascii="Arial" w:eastAsia="宋体" w:hAnsi="Arial" w:cs="Arial"/>
                <w:color w:val="000000"/>
                <w:sz w:val="15"/>
                <w:szCs w:val="15"/>
              </w:rPr>
              <w:t>123 </w:t>
            </w:r>
          </w:p>
        </w:tc>
        <w:tc>
          <w:tcPr>
            <w:tcW w:w="0" w:type="auto"/>
            <w:shd w:val="clear" w:color="auto" w:fill="CCEEFF"/>
            <w:tcMar>
              <w:top w:w="40" w:type="dxa"/>
              <w:left w:w="0" w:type="dxa"/>
              <w:bottom w:w="40" w:type="dxa"/>
              <w:right w:w="20" w:type="dxa"/>
            </w:tcMar>
            <w:vAlign w:val="bottom"/>
          </w:tcPr>
          <w:p w14:paraId="74DDCF3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F3F"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CF40" w14:textId="77777777" w:rsidR="00584EC1" w:rsidRDefault="00871F8D">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4DDCF41" w14:textId="77777777" w:rsidR="00584EC1" w:rsidRDefault="00871F8D">
            <w:pPr>
              <w:jc w:val="right"/>
              <w:textAlignment w:val="bottom"/>
            </w:pPr>
            <w:r>
              <w:rPr>
                <w:rFonts w:ascii="Arial" w:eastAsia="宋体" w:hAnsi="Arial" w:cs="Arial"/>
                <w:color w:val="000000"/>
                <w:sz w:val="15"/>
                <w:szCs w:val="15"/>
              </w:rPr>
              <w:t>1 </w:t>
            </w:r>
          </w:p>
        </w:tc>
        <w:tc>
          <w:tcPr>
            <w:tcW w:w="0" w:type="auto"/>
            <w:shd w:val="clear" w:color="auto" w:fill="CCEEFF"/>
            <w:tcMar>
              <w:top w:w="40" w:type="dxa"/>
              <w:left w:w="0" w:type="dxa"/>
              <w:bottom w:w="40" w:type="dxa"/>
              <w:right w:w="20" w:type="dxa"/>
            </w:tcMar>
            <w:vAlign w:val="bottom"/>
          </w:tcPr>
          <w:p w14:paraId="74DDCF4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F43"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CF44" w14:textId="77777777" w:rsidR="00584EC1" w:rsidRDefault="00871F8D">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4DDCF45" w14:textId="77777777" w:rsidR="00584EC1" w:rsidRDefault="00871F8D">
            <w:pPr>
              <w:jc w:val="right"/>
              <w:textAlignment w:val="bottom"/>
            </w:pPr>
            <w:r>
              <w:rPr>
                <w:rFonts w:ascii="Arial" w:eastAsia="宋体" w:hAnsi="Arial" w:cs="Arial"/>
                <w:color w:val="000000"/>
                <w:sz w:val="15"/>
                <w:szCs w:val="15"/>
              </w:rPr>
              <w:t>6,575 </w:t>
            </w:r>
          </w:p>
        </w:tc>
        <w:tc>
          <w:tcPr>
            <w:tcW w:w="0" w:type="auto"/>
            <w:shd w:val="clear" w:color="auto" w:fill="CCEEFF"/>
            <w:tcMar>
              <w:top w:w="40" w:type="dxa"/>
              <w:left w:w="0" w:type="dxa"/>
              <w:bottom w:w="40" w:type="dxa"/>
              <w:right w:w="20" w:type="dxa"/>
            </w:tcMar>
            <w:vAlign w:val="bottom"/>
          </w:tcPr>
          <w:p w14:paraId="74DDCF46" w14:textId="77777777" w:rsidR="00584EC1" w:rsidRDefault="00584EC1">
            <w:pPr>
              <w:jc w:val="right"/>
              <w:rPr>
                <w:rFonts w:ascii="宋体"/>
              </w:rPr>
            </w:pPr>
          </w:p>
        </w:tc>
      </w:tr>
      <w:tr w:rsidR="00584EC1" w14:paraId="74DDCF60" w14:textId="77777777">
        <w:tc>
          <w:tcPr>
            <w:tcW w:w="0" w:type="auto"/>
            <w:gridSpan w:val="3"/>
            <w:shd w:val="clear" w:color="auto" w:fill="FFFFFF"/>
            <w:tcMar>
              <w:top w:w="40" w:type="dxa"/>
              <w:left w:w="245" w:type="dxa"/>
              <w:bottom w:w="40" w:type="dxa"/>
              <w:right w:w="20" w:type="dxa"/>
            </w:tcMar>
            <w:vAlign w:val="bottom"/>
          </w:tcPr>
          <w:p w14:paraId="74DDCF48" w14:textId="77777777" w:rsidR="00584EC1" w:rsidRDefault="00871F8D">
            <w:pPr>
              <w:textAlignment w:val="bottom"/>
            </w:pPr>
            <w:r>
              <w:rPr>
                <w:rFonts w:ascii="Arial" w:eastAsia="宋体" w:hAnsi="Arial" w:cs="Arial"/>
                <w:color w:val="000000"/>
                <w:sz w:val="15"/>
                <w:szCs w:val="15"/>
              </w:rPr>
              <w:t>Mortgage-backed securities</w:t>
            </w:r>
          </w:p>
        </w:tc>
        <w:tc>
          <w:tcPr>
            <w:tcW w:w="0" w:type="auto"/>
            <w:gridSpan w:val="2"/>
            <w:shd w:val="clear" w:color="auto" w:fill="FFFFFF"/>
            <w:tcMar>
              <w:top w:w="40" w:type="dxa"/>
              <w:left w:w="20" w:type="dxa"/>
              <w:bottom w:w="40" w:type="dxa"/>
              <w:right w:w="0" w:type="dxa"/>
            </w:tcMar>
            <w:vAlign w:val="bottom"/>
          </w:tcPr>
          <w:p w14:paraId="74DDCF49" w14:textId="77777777" w:rsidR="00584EC1" w:rsidRDefault="00871F8D">
            <w:pPr>
              <w:jc w:val="right"/>
              <w:textAlignment w:val="bottom"/>
            </w:pPr>
            <w:r>
              <w:rPr>
                <w:rFonts w:ascii="Arial" w:eastAsia="宋体" w:hAnsi="Arial" w:cs="Arial"/>
                <w:b/>
                <w:bCs/>
                <w:color w:val="000000"/>
                <w:sz w:val="15"/>
                <w:szCs w:val="15"/>
              </w:rPr>
              <w:t>16,051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CF4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F4B"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CF4C" w14:textId="77777777" w:rsidR="00584EC1" w:rsidRDefault="00871F8D">
            <w:pPr>
              <w:jc w:val="right"/>
              <w:textAlignment w:val="bottom"/>
            </w:pPr>
            <w:r>
              <w:rPr>
                <w:rFonts w:ascii="Arial" w:eastAsia="宋体" w:hAnsi="Arial" w:cs="Arial"/>
                <w:b/>
                <w:bCs/>
                <w:color w:val="000000"/>
                <w:sz w:val="15"/>
                <w:szCs w:val="15"/>
              </w:rPr>
              <w:t>215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CF4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F4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CF4F" w14:textId="77777777" w:rsidR="00584EC1" w:rsidRDefault="00871F8D">
            <w:pPr>
              <w:jc w:val="right"/>
              <w:textAlignment w:val="bottom"/>
            </w:pPr>
            <w:r>
              <w:rPr>
                <w:rFonts w:ascii="Arial" w:eastAsia="宋体" w:hAnsi="Arial" w:cs="Arial"/>
                <w:b/>
                <w:bCs/>
                <w:color w:val="000000"/>
                <w:sz w:val="15"/>
                <w:szCs w:val="15"/>
              </w:rPr>
              <w:t>43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CF5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F5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CF52" w14:textId="77777777" w:rsidR="00584EC1" w:rsidRDefault="00871F8D">
            <w:pPr>
              <w:jc w:val="right"/>
              <w:textAlignment w:val="bottom"/>
            </w:pPr>
            <w:r>
              <w:rPr>
                <w:rFonts w:ascii="Arial" w:eastAsia="宋体" w:hAnsi="Arial" w:cs="Arial"/>
                <w:b/>
                <w:bCs/>
                <w:color w:val="000000"/>
                <w:sz w:val="15"/>
                <w:szCs w:val="15"/>
              </w:rPr>
              <w:t>16,223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CF5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F5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CF55" w14:textId="77777777" w:rsidR="00584EC1" w:rsidRDefault="00871F8D">
            <w:pPr>
              <w:jc w:val="right"/>
              <w:textAlignment w:val="bottom"/>
            </w:pPr>
            <w:r>
              <w:rPr>
                <w:rFonts w:ascii="Arial" w:eastAsia="宋体" w:hAnsi="Arial" w:cs="Arial"/>
                <w:color w:val="000000"/>
                <w:sz w:val="15"/>
                <w:szCs w:val="15"/>
              </w:rPr>
              <w:t>13,891 </w:t>
            </w:r>
          </w:p>
        </w:tc>
        <w:tc>
          <w:tcPr>
            <w:tcW w:w="0" w:type="auto"/>
            <w:shd w:val="clear" w:color="auto" w:fill="FFFFFF"/>
            <w:tcMar>
              <w:top w:w="40" w:type="dxa"/>
              <w:left w:w="0" w:type="dxa"/>
              <w:bottom w:w="40" w:type="dxa"/>
              <w:right w:w="20" w:type="dxa"/>
            </w:tcMar>
            <w:vAlign w:val="bottom"/>
          </w:tcPr>
          <w:p w14:paraId="74DDCF5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F5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CF58" w14:textId="77777777" w:rsidR="00584EC1" w:rsidRDefault="00871F8D">
            <w:pPr>
              <w:jc w:val="right"/>
              <w:textAlignment w:val="bottom"/>
            </w:pPr>
            <w:r>
              <w:rPr>
                <w:rFonts w:ascii="Arial" w:eastAsia="宋体" w:hAnsi="Arial" w:cs="Arial"/>
                <w:color w:val="000000"/>
                <w:sz w:val="15"/>
                <w:szCs w:val="15"/>
              </w:rPr>
              <w:t>421 </w:t>
            </w:r>
          </w:p>
        </w:tc>
        <w:tc>
          <w:tcPr>
            <w:tcW w:w="0" w:type="auto"/>
            <w:shd w:val="clear" w:color="auto" w:fill="FFFFFF"/>
            <w:tcMar>
              <w:top w:w="40" w:type="dxa"/>
              <w:left w:w="0" w:type="dxa"/>
              <w:bottom w:w="40" w:type="dxa"/>
              <w:right w:w="20" w:type="dxa"/>
            </w:tcMar>
            <w:vAlign w:val="bottom"/>
          </w:tcPr>
          <w:p w14:paraId="74DDCF5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F5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CF5B" w14:textId="77777777" w:rsidR="00584EC1" w:rsidRDefault="00871F8D">
            <w:pPr>
              <w:jc w:val="right"/>
              <w:textAlignment w:val="bottom"/>
            </w:pPr>
            <w:r>
              <w:rPr>
                <w:rFonts w:ascii="Arial" w:eastAsia="宋体" w:hAnsi="Arial" w:cs="Arial"/>
                <w:color w:val="000000"/>
                <w:sz w:val="15"/>
                <w:szCs w:val="15"/>
              </w:rPr>
              <w:t>7 </w:t>
            </w:r>
          </w:p>
        </w:tc>
        <w:tc>
          <w:tcPr>
            <w:tcW w:w="0" w:type="auto"/>
            <w:shd w:val="clear" w:color="auto" w:fill="FFFFFF"/>
            <w:tcMar>
              <w:top w:w="40" w:type="dxa"/>
              <w:left w:w="0" w:type="dxa"/>
              <w:bottom w:w="40" w:type="dxa"/>
              <w:right w:w="20" w:type="dxa"/>
            </w:tcMar>
            <w:vAlign w:val="bottom"/>
          </w:tcPr>
          <w:p w14:paraId="74DDCF5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F5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CF5E" w14:textId="77777777" w:rsidR="00584EC1" w:rsidRDefault="00871F8D">
            <w:pPr>
              <w:jc w:val="right"/>
              <w:textAlignment w:val="bottom"/>
            </w:pPr>
            <w:r>
              <w:rPr>
                <w:rFonts w:ascii="Arial" w:eastAsia="宋体" w:hAnsi="Arial" w:cs="Arial"/>
                <w:color w:val="000000"/>
                <w:sz w:val="15"/>
                <w:szCs w:val="15"/>
              </w:rPr>
              <w:t>14,305 </w:t>
            </w:r>
          </w:p>
        </w:tc>
        <w:tc>
          <w:tcPr>
            <w:tcW w:w="0" w:type="auto"/>
            <w:shd w:val="clear" w:color="auto" w:fill="FFFFFF"/>
            <w:tcMar>
              <w:top w:w="40" w:type="dxa"/>
              <w:left w:w="0" w:type="dxa"/>
              <w:bottom w:w="40" w:type="dxa"/>
              <w:right w:w="20" w:type="dxa"/>
            </w:tcMar>
            <w:vAlign w:val="bottom"/>
          </w:tcPr>
          <w:p w14:paraId="74DDCF5F" w14:textId="77777777" w:rsidR="00584EC1" w:rsidRDefault="00584EC1">
            <w:pPr>
              <w:jc w:val="right"/>
              <w:rPr>
                <w:rFonts w:ascii="宋体"/>
              </w:rPr>
            </w:pPr>
          </w:p>
        </w:tc>
      </w:tr>
      <w:tr w:rsidR="00584EC1" w14:paraId="74DDCF79" w14:textId="77777777">
        <w:tc>
          <w:tcPr>
            <w:tcW w:w="0" w:type="auto"/>
            <w:gridSpan w:val="3"/>
            <w:shd w:val="clear" w:color="auto" w:fill="CCEEFF"/>
            <w:tcMar>
              <w:top w:w="40" w:type="dxa"/>
              <w:left w:w="380" w:type="dxa"/>
              <w:bottom w:w="40" w:type="dxa"/>
              <w:right w:w="20" w:type="dxa"/>
            </w:tcMar>
            <w:vAlign w:val="bottom"/>
          </w:tcPr>
          <w:p w14:paraId="74DDCF61" w14:textId="77777777" w:rsidR="00584EC1" w:rsidRDefault="00871F8D">
            <w:pPr>
              <w:textAlignment w:val="bottom"/>
            </w:pPr>
            <w:r>
              <w:rPr>
                <w:rFonts w:ascii="Arial" w:eastAsia="宋体" w:hAnsi="Arial" w:cs="Arial"/>
                <w:color w:val="000000"/>
                <w:sz w:val="15"/>
                <w:szCs w:val="15"/>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CF62" w14:textId="77777777" w:rsidR="00584EC1" w:rsidRDefault="00871F8D">
            <w:pPr>
              <w:jc w:val="right"/>
              <w:textAlignment w:val="bottom"/>
            </w:pPr>
            <w:r>
              <w:rPr>
                <w:rFonts w:ascii="Arial" w:eastAsia="宋体" w:hAnsi="Arial" w:cs="Arial"/>
                <w:b/>
                <w:bCs/>
                <w:color w:val="000000"/>
                <w:sz w:val="15"/>
                <w:szCs w:val="15"/>
              </w:rPr>
              <w:t>30,423</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CF6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F64"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CF65" w14:textId="77777777" w:rsidR="00584EC1" w:rsidRDefault="00871F8D">
            <w:pPr>
              <w:jc w:val="right"/>
              <w:textAlignment w:val="bottom"/>
            </w:pPr>
            <w:r>
              <w:rPr>
                <w:rFonts w:ascii="Arial" w:eastAsia="宋体" w:hAnsi="Arial" w:cs="Arial"/>
                <w:b/>
                <w:bCs/>
                <w:color w:val="000000"/>
                <w:sz w:val="15"/>
                <w:szCs w:val="15"/>
              </w:rPr>
              <w:t>245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CF6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F67"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CF68" w14:textId="77777777" w:rsidR="00584EC1" w:rsidRDefault="00871F8D">
            <w:pPr>
              <w:jc w:val="right"/>
              <w:textAlignment w:val="bottom"/>
            </w:pPr>
            <w:r>
              <w:rPr>
                <w:rFonts w:ascii="Arial" w:eastAsia="宋体" w:hAnsi="Arial" w:cs="Arial"/>
                <w:b/>
                <w:bCs/>
                <w:color w:val="000000"/>
                <w:sz w:val="15"/>
                <w:szCs w:val="15"/>
              </w:rPr>
              <w:t>106</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CF6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F6A"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CF6B" w14:textId="77777777" w:rsidR="00584EC1" w:rsidRDefault="00871F8D">
            <w:pPr>
              <w:jc w:val="right"/>
              <w:textAlignment w:val="bottom"/>
            </w:pPr>
            <w:r>
              <w:rPr>
                <w:rFonts w:ascii="Arial" w:eastAsia="宋体" w:hAnsi="Arial" w:cs="Arial"/>
                <w:b/>
                <w:bCs/>
                <w:color w:val="000000"/>
                <w:sz w:val="15"/>
                <w:szCs w:val="15"/>
              </w:rPr>
              <w:t>30,562</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CF6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F6D"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CF6E" w14:textId="77777777" w:rsidR="00584EC1" w:rsidRDefault="00871F8D">
            <w:pPr>
              <w:jc w:val="right"/>
              <w:textAlignment w:val="bottom"/>
            </w:pPr>
            <w:r>
              <w:rPr>
                <w:rFonts w:ascii="Arial" w:eastAsia="宋体" w:hAnsi="Arial" w:cs="Arial"/>
                <w:color w:val="000000"/>
                <w:sz w:val="15"/>
                <w:szCs w:val="15"/>
              </w:rPr>
              <w:t>20,344 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CF6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F70"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CF71" w14:textId="77777777" w:rsidR="00584EC1" w:rsidRDefault="00871F8D">
            <w:pPr>
              <w:jc w:val="right"/>
              <w:textAlignment w:val="bottom"/>
            </w:pPr>
            <w:r>
              <w:rPr>
                <w:rFonts w:ascii="Arial" w:eastAsia="宋体" w:hAnsi="Arial" w:cs="Arial"/>
                <w:color w:val="000000"/>
                <w:sz w:val="15"/>
                <w:szCs w:val="15"/>
              </w:rPr>
              <w:t>544 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CF7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F73"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CF74" w14:textId="77777777" w:rsidR="00584EC1" w:rsidRDefault="00871F8D">
            <w:pPr>
              <w:jc w:val="right"/>
              <w:textAlignment w:val="bottom"/>
            </w:pPr>
            <w:r>
              <w:rPr>
                <w:rFonts w:ascii="Arial" w:eastAsia="宋体" w:hAnsi="Arial" w:cs="Arial"/>
                <w:color w:val="000000"/>
                <w:sz w:val="15"/>
                <w:szCs w:val="15"/>
              </w:rPr>
              <w:t>8 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CF7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F76"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CF77" w14:textId="77777777" w:rsidR="00584EC1" w:rsidRDefault="00871F8D">
            <w:pPr>
              <w:jc w:val="right"/>
              <w:textAlignment w:val="bottom"/>
            </w:pPr>
            <w:r>
              <w:rPr>
                <w:rFonts w:ascii="Arial" w:eastAsia="宋体" w:hAnsi="Arial" w:cs="Arial"/>
                <w:color w:val="000000"/>
                <w:sz w:val="15"/>
                <w:szCs w:val="15"/>
              </w:rPr>
              <w:t>20,880 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CF78" w14:textId="77777777" w:rsidR="00584EC1" w:rsidRDefault="00584EC1">
            <w:pPr>
              <w:jc w:val="right"/>
              <w:rPr>
                <w:rFonts w:ascii="宋体"/>
              </w:rPr>
            </w:pPr>
          </w:p>
        </w:tc>
      </w:tr>
      <w:tr w:rsidR="00584EC1" w14:paraId="74DDCF8A" w14:textId="77777777">
        <w:tc>
          <w:tcPr>
            <w:tcW w:w="0" w:type="auto"/>
            <w:gridSpan w:val="3"/>
            <w:shd w:val="clear" w:color="auto" w:fill="FFFFFF"/>
            <w:tcMar>
              <w:top w:w="40" w:type="dxa"/>
              <w:left w:w="20" w:type="dxa"/>
              <w:bottom w:w="40" w:type="dxa"/>
              <w:right w:w="20" w:type="dxa"/>
            </w:tcMar>
            <w:vAlign w:val="bottom"/>
          </w:tcPr>
          <w:p w14:paraId="74DDCF7A" w14:textId="77777777" w:rsidR="00584EC1" w:rsidRDefault="00871F8D">
            <w:pPr>
              <w:textAlignment w:val="bottom"/>
            </w:pPr>
            <w:r>
              <w:rPr>
                <w:rFonts w:ascii="Arial" w:eastAsia="宋体" w:hAnsi="Arial" w:cs="Arial"/>
                <w:color w:val="000000"/>
                <w:sz w:val="15"/>
                <w:szCs w:val="15"/>
              </w:rPr>
              <w:t>Non-U.S. debt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CF7B"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F7C"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CF7D"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F7E"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CF7F"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F80"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CF81"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F82"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CF83"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F84"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CF85"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F86"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CF87"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CF88"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CF89" w14:textId="77777777" w:rsidR="00584EC1" w:rsidRDefault="00584EC1">
            <w:pPr>
              <w:rPr>
                <w:rFonts w:ascii="宋体"/>
              </w:rPr>
            </w:pPr>
          </w:p>
        </w:tc>
      </w:tr>
      <w:tr w:rsidR="00584EC1" w14:paraId="74DDCFA3" w14:textId="77777777">
        <w:tc>
          <w:tcPr>
            <w:tcW w:w="0" w:type="auto"/>
            <w:gridSpan w:val="3"/>
            <w:shd w:val="clear" w:color="auto" w:fill="CCEEFF"/>
            <w:tcMar>
              <w:top w:w="40" w:type="dxa"/>
              <w:left w:w="245" w:type="dxa"/>
              <w:bottom w:w="40" w:type="dxa"/>
              <w:right w:w="20" w:type="dxa"/>
            </w:tcMar>
            <w:vAlign w:val="bottom"/>
          </w:tcPr>
          <w:p w14:paraId="74DDCF8B" w14:textId="77777777" w:rsidR="00584EC1" w:rsidRDefault="00871F8D">
            <w:pPr>
              <w:textAlignment w:val="bottom"/>
            </w:pPr>
            <w:r>
              <w:rPr>
                <w:rFonts w:ascii="Arial" w:eastAsia="宋体" w:hAnsi="Arial" w:cs="Arial"/>
                <w:color w:val="000000"/>
                <w:sz w:val="15"/>
                <w:szCs w:val="15"/>
              </w:rPr>
              <w:t>Mortgage-backed securities</w:t>
            </w:r>
          </w:p>
        </w:tc>
        <w:tc>
          <w:tcPr>
            <w:tcW w:w="0" w:type="auto"/>
            <w:gridSpan w:val="2"/>
            <w:shd w:val="clear" w:color="auto" w:fill="CCEEFF"/>
            <w:tcMar>
              <w:top w:w="40" w:type="dxa"/>
              <w:left w:w="20" w:type="dxa"/>
              <w:bottom w:w="40" w:type="dxa"/>
              <w:right w:w="0" w:type="dxa"/>
            </w:tcMar>
            <w:vAlign w:val="bottom"/>
          </w:tcPr>
          <w:p w14:paraId="74DDCF8C" w14:textId="77777777" w:rsidR="00584EC1" w:rsidRDefault="00871F8D">
            <w:pPr>
              <w:jc w:val="right"/>
              <w:textAlignment w:val="bottom"/>
            </w:pPr>
            <w:r>
              <w:rPr>
                <w:rFonts w:ascii="Arial" w:eastAsia="宋体" w:hAnsi="Arial" w:cs="Arial"/>
                <w:b/>
                <w:bCs/>
                <w:color w:val="000000"/>
                <w:sz w:val="15"/>
                <w:szCs w:val="15"/>
              </w:rPr>
              <w:t>2,130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CF8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F8E"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CF8F" w14:textId="77777777" w:rsidR="00584EC1" w:rsidRDefault="00871F8D">
            <w:pPr>
              <w:jc w:val="right"/>
              <w:textAlignment w:val="bottom"/>
            </w:pPr>
            <w:r>
              <w:rPr>
                <w:rFonts w:ascii="Arial" w:eastAsia="宋体" w:hAnsi="Arial" w:cs="Arial"/>
                <w:b/>
                <w:bCs/>
                <w:color w:val="000000"/>
                <w:sz w:val="15"/>
                <w:szCs w:val="15"/>
              </w:rPr>
              <w:t>12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CF9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F9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CF92" w14:textId="77777777" w:rsidR="00584EC1" w:rsidRDefault="00871F8D">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CF9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F94"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CF95" w14:textId="77777777" w:rsidR="00584EC1" w:rsidRDefault="00871F8D">
            <w:pPr>
              <w:jc w:val="right"/>
              <w:textAlignment w:val="bottom"/>
            </w:pPr>
            <w:r>
              <w:rPr>
                <w:rFonts w:ascii="Arial" w:eastAsia="宋体" w:hAnsi="Arial" w:cs="Arial"/>
                <w:b/>
                <w:bCs/>
                <w:color w:val="000000"/>
                <w:sz w:val="15"/>
                <w:szCs w:val="15"/>
              </w:rPr>
              <w:t>2,141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CF9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F9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CF98" w14:textId="77777777" w:rsidR="00584EC1" w:rsidRDefault="00871F8D">
            <w:pPr>
              <w:jc w:val="right"/>
              <w:textAlignment w:val="bottom"/>
            </w:pPr>
            <w:r>
              <w:rPr>
                <w:rFonts w:ascii="Arial" w:eastAsia="宋体" w:hAnsi="Arial" w:cs="Arial"/>
                <w:color w:val="000000"/>
                <w:sz w:val="15"/>
                <w:szCs w:val="15"/>
              </w:rPr>
              <w:t>1,994 </w:t>
            </w:r>
          </w:p>
        </w:tc>
        <w:tc>
          <w:tcPr>
            <w:tcW w:w="0" w:type="auto"/>
            <w:shd w:val="clear" w:color="auto" w:fill="CCEEFF"/>
            <w:tcMar>
              <w:top w:w="40" w:type="dxa"/>
              <w:left w:w="0" w:type="dxa"/>
              <w:bottom w:w="40" w:type="dxa"/>
              <w:right w:w="20" w:type="dxa"/>
            </w:tcMar>
            <w:vAlign w:val="bottom"/>
          </w:tcPr>
          <w:p w14:paraId="74DDCF9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F9A"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CF9B" w14:textId="77777777" w:rsidR="00584EC1" w:rsidRDefault="00871F8D">
            <w:pPr>
              <w:jc w:val="right"/>
              <w:textAlignment w:val="bottom"/>
            </w:pPr>
            <w:r>
              <w:rPr>
                <w:rFonts w:ascii="Arial" w:eastAsia="宋体" w:hAnsi="Arial" w:cs="Arial"/>
                <w:color w:val="000000"/>
                <w:sz w:val="15"/>
                <w:szCs w:val="15"/>
              </w:rPr>
              <w:t>4 </w:t>
            </w:r>
          </w:p>
        </w:tc>
        <w:tc>
          <w:tcPr>
            <w:tcW w:w="0" w:type="auto"/>
            <w:shd w:val="clear" w:color="auto" w:fill="CCEEFF"/>
            <w:tcMar>
              <w:top w:w="40" w:type="dxa"/>
              <w:left w:w="0" w:type="dxa"/>
              <w:bottom w:w="40" w:type="dxa"/>
              <w:right w:w="20" w:type="dxa"/>
            </w:tcMar>
            <w:vAlign w:val="bottom"/>
          </w:tcPr>
          <w:p w14:paraId="74DDCF9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F9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CF9E" w14:textId="77777777" w:rsidR="00584EC1" w:rsidRDefault="00871F8D">
            <w:pPr>
              <w:jc w:val="right"/>
              <w:textAlignment w:val="bottom"/>
            </w:pPr>
            <w:r>
              <w:rPr>
                <w:rFonts w:ascii="Arial" w:eastAsia="宋体" w:hAnsi="Arial" w:cs="Arial"/>
                <w:color w:val="000000"/>
                <w:sz w:val="15"/>
                <w:szCs w:val="15"/>
              </w:rPr>
              <w:t>2 </w:t>
            </w:r>
          </w:p>
        </w:tc>
        <w:tc>
          <w:tcPr>
            <w:tcW w:w="0" w:type="auto"/>
            <w:shd w:val="clear" w:color="auto" w:fill="CCEEFF"/>
            <w:tcMar>
              <w:top w:w="40" w:type="dxa"/>
              <w:left w:w="0" w:type="dxa"/>
              <w:bottom w:w="40" w:type="dxa"/>
              <w:right w:w="20" w:type="dxa"/>
            </w:tcMar>
            <w:vAlign w:val="bottom"/>
          </w:tcPr>
          <w:p w14:paraId="74DDCF9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FA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CFA1" w14:textId="77777777" w:rsidR="00584EC1" w:rsidRDefault="00871F8D">
            <w:pPr>
              <w:jc w:val="right"/>
              <w:textAlignment w:val="bottom"/>
            </w:pPr>
            <w:r>
              <w:rPr>
                <w:rFonts w:ascii="Arial" w:eastAsia="宋体" w:hAnsi="Arial" w:cs="Arial"/>
                <w:color w:val="000000"/>
                <w:sz w:val="15"/>
                <w:szCs w:val="15"/>
              </w:rPr>
              <w:t>1,996 </w:t>
            </w:r>
          </w:p>
        </w:tc>
        <w:tc>
          <w:tcPr>
            <w:tcW w:w="0" w:type="auto"/>
            <w:shd w:val="clear" w:color="auto" w:fill="CCEEFF"/>
            <w:tcMar>
              <w:top w:w="40" w:type="dxa"/>
              <w:left w:w="0" w:type="dxa"/>
              <w:bottom w:w="40" w:type="dxa"/>
              <w:right w:w="20" w:type="dxa"/>
            </w:tcMar>
            <w:vAlign w:val="bottom"/>
          </w:tcPr>
          <w:p w14:paraId="74DDCFA2" w14:textId="77777777" w:rsidR="00584EC1" w:rsidRDefault="00584EC1">
            <w:pPr>
              <w:jc w:val="right"/>
              <w:rPr>
                <w:rFonts w:ascii="宋体"/>
              </w:rPr>
            </w:pPr>
          </w:p>
        </w:tc>
      </w:tr>
      <w:tr w:rsidR="00584EC1" w14:paraId="74DDCFBC" w14:textId="77777777">
        <w:tc>
          <w:tcPr>
            <w:tcW w:w="0" w:type="auto"/>
            <w:gridSpan w:val="3"/>
            <w:shd w:val="clear" w:color="auto" w:fill="FFFFFF"/>
            <w:tcMar>
              <w:top w:w="40" w:type="dxa"/>
              <w:left w:w="245" w:type="dxa"/>
              <w:bottom w:w="40" w:type="dxa"/>
              <w:right w:w="20" w:type="dxa"/>
            </w:tcMar>
            <w:vAlign w:val="bottom"/>
          </w:tcPr>
          <w:p w14:paraId="74DDCFA4" w14:textId="77777777" w:rsidR="00584EC1" w:rsidRDefault="00871F8D">
            <w:pPr>
              <w:textAlignment w:val="bottom"/>
            </w:pPr>
            <w:r>
              <w:rPr>
                <w:rFonts w:ascii="Arial" w:eastAsia="宋体" w:hAnsi="Arial" w:cs="Arial"/>
                <w:color w:val="000000"/>
                <w:sz w:val="15"/>
                <w:szCs w:val="15"/>
              </w:rPr>
              <w:t>Asset-backed securities</w:t>
            </w:r>
          </w:p>
        </w:tc>
        <w:tc>
          <w:tcPr>
            <w:tcW w:w="0" w:type="auto"/>
            <w:gridSpan w:val="2"/>
            <w:shd w:val="clear" w:color="auto" w:fill="FFFFFF"/>
            <w:tcMar>
              <w:top w:w="40" w:type="dxa"/>
              <w:left w:w="20" w:type="dxa"/>
              <w:bottom w:w="40" w:type="dxa"/>
              <w:right w:w="0" w:type="dxa"/>
            </w:tcMar>
            <w:vAlign w:val="bottom"/>
          </w:tcPr>
          <w:p w14:paraId="74DDCFA5" w14:textId="77777777" w:rsidR="00584EC1" w:rsidRDefault="00871F8D">
            <w:pPr>
              <w:jc w:val="right"/>
              <w:textAlignment w:val="bottom"/>
            </w:pPr>
            <w:r>
              <w:rPr>
                <w:rFonts w:ascii="Arial" w:eastAsia="宋体" w:hAnsi="Arial" w:cs="Arial"/>
                <w:b/>
                <w:bCs/>
                <w:color w:val="000000"/>
                <w:sz w:val="15"/>
                <w:szCs w:val="15"/>
              </w:rPr>
              <w:t>2,365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CFA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FA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CFA8" w14:textId="77777777" w:rsidR="00584EC1" w:rsidRDefault="00871F8D">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CFA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FA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CFAB" w14:textId="77777777" w:rsidR="00584EC1" w:rsidRDefault="00871F8D">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CFA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FA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CFAE" w14:textId="77777777" w:rsidR="00584EC1" w:rsidRDefault="00871F8D">
            <w:pPr>
              <w:jc w:val="right"/>
              <w:textAlignment w:val="bottom"/>
            </w:pPr>
            <w:r>
              <w:rPr>
                <w:rFonts w:ascii="Arial" w:eastAsia="宋体" w:hAnsi="Arial" w:cs="Arial"/>
                <w:b/>
                <w:bCs/>
                <w:color w:val="000000"/>
                <w:sz w:val="15"/>
                <w:szCs w:val="15"/>
              </w:rPr>
              <w:t>2,365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CFA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FB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CFB1" w14:textId="77777777" w:rsidR="00584EC1" w:rsidRDefault="00871F8D">
            <w:pPr>
              <w:jc w:val="right"/>
              <w:textAlignment w:val="bottom"/>
            </w:pPr>
            <w:r>
              <w:rPr>
                <w:rFonts w:ascii="Arial" w:eastAsia="宋体" w:hAnsi="Arial" w:cs="Arial"/>
                <w:color w:val="000000"/>
                <w:sz w:val="15"/>
                <w:szCs w:val="15"/>
              </w:rPr>
              <w:t>2,294 </w:t>
            </w:r>
          </w:p>
        </w:tc>
        <w:tc>
          <w:tcPr>
            <w:tcW w:w="0" w:type="auto"/>
            <w:shd w:val="clear" w:color="auto" w:fill="FFFFFF"/>
            <w:tcMar>
              <w:top w:w="40" w:type="dxa"/>
              <w:left w:w="0" w:type="dxa"/>
              <w:bottom w:w="40" w:type="dxa"/>
              <w:right w:w="20" w:type="dxa"/>
            </w:tcMar>
            <w:vAlign w:val="bottom"/>
          </w:tcPr>
          <w:p w14:paraId="74DDCFB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FB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CFB4" w14:textId="77777777" w:rsidR="00584EC1" w:rsidRDefault="00871F8D">
            <w:pPr>
              <w:jc w:val="right"/>
              <w:textAlignment w:val="bottom"/>
            </w:pPr>
            <w:r>
              <w:rPr>
                <w:rFonts w:ascii="Arial" w:eastAsia="宋体" w:hAnsi="Arial" w:cs="Arial"/>
                <w:color w:val="000000"/>
                <w:sz w:val="15"/>
                <w:szCs w:val="15"/>
              </w:rPr>
              <w:t>1 </w:t>
            </w:r>
          </w:p>
        </w:tc>
        <w:tc>
          <w:tcPr>
            <w:tcW w:w="0" w:type="auto"/>
            <w:shd w:val="clear" w:color="auto" w:fill="FFFFFF"/>
            <w:tcMar>
              <w:top w:w="40" w:type="dxa"/>
              <w:left w:w="0" w:type="dxa"/>
              <w:bottom w:w="40" w:type="dxa"/>
              <w:right w:w="20" w:type="dxa"/>
            </w:tcMar>
            <w:vAlign w:val="bottom"/>
          </w:tcPr>
          <w:p w14:paraId="74DDCFB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FB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CFB7" w14:textId="77777777" w:rsidR="00584EC1" w:rsidRDefault="00871F8D">
            <w:pPr>
              <w:jc w:val="right"/>
              <w:textAlignment w:val="bottom"/>
            </w:pPr>
            <w:r>
              <w:rPr>
                <w:rFonts w:ascii="Arial" w:eastAsia="宋体" w:hAnsi="Arial" w:cs="Arial"/>
                <w:color w:val="000000"/>
                <w:sz w:val="15"/>
                <w:szCs w:val="15"/>
              </w:rPr>
              <w:t>4 </w:t>
            </w:r>
          </w:p>
        </w:tc>
        <w:tc>
          <w:tcPr>
            <w:tcW w:w="0" w:type="auto"/>
            <w:shd w:val="clear" w:color="auto" w:fill="FFFFFF"/>
            <w:tcMar>
              <w:top w:w="40" w:type="dxa"/>
              <w:left w:w="0" w:type="dxa"/>
              <w:bottom w:w="40" w:type="dxa"/>
              <w:right w:w="20" w:type="dxa"/>
            </w:tcMar>
            <w:vAlign w:val="bottom"/>
          </w:tcPr>
          <w:p w14:paraId="74DDCFB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FB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CFBA" w14:textId="77777777" w:rsidR="00584EC1" w:rsidRDefault="00871F8D">
            <w:pPr>
              <w:jc w:val="right"/>
              <w:textAlignment w:val="bottom"/>
            </w:pPr>
            <w:r>
              <w:rPr>
                <w:rFonts w:ascii="Arial" w:eastAsia="宋体" w:hAnsi="Arial" w:cs="Arial"/>
                <w:color w:val="000000"/>
                <w:sz w:val="15"/>
                <w:szCs w:val="15"/>
              </w:rPr>
              <w:t>2,291 </w:t>
            </w:r>
          </w:p>
        </w:tc>
        <w:tc>
          <w:tcPr>
            <w:tcW w:w="0" w:type="auto"/>
            <w:shd w:val="clear" w:color="auto" w:fill="FFFFFF"/>
            <w:tcMar>
              <w:top w:w="40" w:type="dxa"/>
              <w:left w:w="0" w:type="dxa"/>
              <w:bottom w:w="40" w:type="dxa"/>
              <w:right w:w="20" w:type="dxa"/>
            </w:tcMar>
            <w:vAlign w:val="bottom"/>
          </w:tcPr>
          <w:p w14:paraId="74DDCFBB" w14:textId="77777777" w:rsidR="00584EC1" w:rsidRDefault="00584EC1">
            <w:pPr>
              <w:jc w:val="right"/>
              <w:rPr>
                <w:rFonts w:ascii="宋体"/>
              </w:rPr>
            </w:pPr>
          </w:p>
        </w:tc>
      </w:tr>
      <w:tr w:rsidR="00584EC1" w14:paraId="74DDCFD5" w14:textId="77777777">
        <w:tc>
          <w:tcPr>
            <w:tcW w:w="0" w:type="auto"/>
            <w:gridSpan w:val="3"/>
            <w:shd w:val="clear" w:color="auto" w:fill="CCEEFF"/>
            <w:tcMar>
              <w:top w:w="40" w:type="dxa"/>
              <w:left w:w="245" w:type="dxa"/>
              <w:bottom w:w="40" w:type="dxa"/>
              <w:right w:w="20" w:type="dxa"/>
            </w:tcMar>
            <w:vAlign w:val="bottom"/>
          </w:tcPr>
          <w:p w14:paraId="74DDCFBD" w14:textId="77777777" w:rsidR="00584EC1" w:rsidRDefault="00871F8D">
            <w:pPr>
              <w:textAlignment w:val="bottom"/>
            </w:pPr>
            <w:r>
              <w:rPr>
                <w:rFonts w:ascii="Arial" w:eastAsia="宋体" w:hAnsi="Arial" w:cs="Arial"/>
                <w:color w:val="000000"/>
                <w:sz w:val="15"/>
                <w:szCs w:val="15"/>
              </w:rPr>
              <w:t>Non-U.S. sovereign, supranational and non-U.S. agency</w:t>
            </w:r>
          </w:p>
        </w:tc>
        <w:tc>
          <w:tcPr>
            <w:tcW w:w="0" w:type="auto"/>
            <w:gridSpan w:val="2"/>
            <w:shd w:val="clear" w:color="auto" w:fill="CCEEFF"/>
            <w:tcMar>
              <w:top w:w="40" w:type="dxa"/>
              <w:left w:w="20" w:type="dxa"/>
              <w:bottom w:w="40" w:type="dxa"/>
              <w:right w:w="0" w:type="dxa"/>
            </w:tcMar>
            <w:vAlign w:val="bottom"/>
          </w:tcPr>
          <w:p w14:paraId="74DDCFBE" w14:textId="77777777" w:rsidR="00584EC1" w:rsidRDefault="00871F8D">
            <w:pPr>
              <w:jc w:val="right"/>
              <w:textAlignment w:val="bottom"/>
            </w:pPr>
            <w:r>
              <w:rPr>
                <w:rFonts w:ascii="Arial" w:eastAsia="宋体" w:hAnsi="Arial" w:cs="Arial"/>
                <w:b/>
                <w:bCs/>
                <w:color w:val="000000"/>
                <w:sz w:val="15"/>
                <w:szCs w:val="15"/>
              </w:rPr>
              <w:t>22,747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CFB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FC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CFC1" w14:textId="77777777" w:rsidR="00584EC1" w:rsidRDefault="00871F8D">
            <w:pPr>
              <w:jc w:val="right"/>
              <w:textAlignment w:val="bottom"/>
            </w:pPr>
            <w:r>
              <w:rPr>
                <w:rFonts w:ascii="Arial" w:eastAsia="宋体" w:hAnsi="Arial" w:cs="Arial"/>
                <w:b/>
                <w:bCs/>
                <w:color w:val="000000"/>
                <w:sz w:val="15"/>
                <w:szCs w:val="15"/>
              </w:rPr>
              <w:t>150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CFC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FC3"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CFC4" w14:textId="77777777" w:rsidR="00584EC1" w:rsidRDefault="00871F8D">
            <w:pPr>
              <w:jc w:val="right"/>
              <w:textAlignment w:val="bottom"/>
            </w:pPr>
            <w:r>
              <w:rPr>
                <w:rFonts w:ascii="Arial" w:eastAsia="宋体" w:hAnsi="Arial" w:cs="Arial"/>
                <w:b/>
                <w:bCs/>
                <w:color w:val="000000"/>
                <w:sz w:val="15"/>
                <w:szCs w:val="15"/>
              </w:rPr>
              <w:t>43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CFC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FC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CFC7" w14:textId="77777777" w:rsidR="00584EC1" w:rsidRDefault="00871F8D">
            <w:pPr>
              <w:jc w:val="right"/>
              <w:textAlignment w:val="bottom"/>
            </w:pPr>
            <w:r>
              <w:rPr>
                <w:rFonts w:ascii="Arial" w:eastAsia="宋体" w:hAnsi="Arial" w:cs="Arial"/>
                <w:b/>
                <w:bCs/>
                <w:color w:val="000000"/>
                <w:sz w:val="15"/>
                <w:szCs w:val="15"/>
              </w:rPr>
              <w:t>22,854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CFC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FC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CFCA" w14:textId="77777777" w:rsidR="00584EC1" w:rsidRDefault="00871F8D">
            <w:pPr>
              <w:jc w:val="right"/>
              <w:textAlignment w:val="bottom"/>
            </w:pPr>
            <w:r>
              <w:rPr>
                <w:rFonts w:ascii="Arial" w:eastAsia="宋体" w:hAnsi="Arial" w:cs="Arial"/>
                <w:color w:val="000000"/>
                <w:sz w:val="15"/>
                <w:szCs w:val="15"/>
              </w:rPr>
              <w:t>21,769 </w:t>
            </w:r>
          </w:p>
        </w:tc>
        <w:tc>
          <w:tcPr>
            <w:tcW w:w="0" w:type="auto"/>
            <w:shd w:val="clear" w:color="auto" w:fill="CCEEFF"/>
            <w:tcMar>
              <w:top w:w="40" w:type="dxa"/>
              <w:left w:w="0" w:type="dxa"/>
              <w:bottom w:w="40" w:type="dxa"/>
              <w:right w:w="20" w:type="dxa"/>
            </w:tcMar>
            <w:vAlign w:val="bottom"/>
          </w:tcPr>
          <w:p w14:paraId="74DDCFC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FCC"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CFCD" w14:textId="77777777" w:rsidR="00584EC1" w:rsidRDefault="00871F8D">
            <w:pPr>
              <w:jc w:val="right"/>
              <w:textAlignment w:val="bottom"/>
            </w:pPr>
            <w:r>
              <w:rPr>
                <w:rFonts w:ascii="Arial" w:eastAsia="宋体" w:hAnsi="Arial" w:cs="Arial"/>
                <w:color w:val="000000"/>
                <w:sz w:val="15"/>
                <w:szCs w:val="15"/>
              </w:rPr>
              <w:t>321 </w:t>
            </w:r>
          </w:p>
        </w:tc>
        <w:tc>
          <w:tcPr>
            <w:tcW w:w="0" w:type="auto"/>
            <w:shd w:val="clear" w:color="auto" w:fill="CCEEFF"/>
            <w:tcMar>
              <w:top w:w="40" w:type="dxa"/>
              <w:left w:w="0" w:type="dxa"/>
              <w:bottom w:w="40" w:type="dxa"/>
              <w:right w:w="20" w:type="dxa"/>
            </w:tcMar>
            <w:vAlign w:val="bottom"/>
          </w:tcPr>
          <w:p w14:paraId="74DDCFC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FCF"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CFD0" w14:textId="77777777" w:rsidR="00584EC1" w:rsidRDefault="00871F8D">
            <w:pPr>
              <w:jc w:val="right"/>
              <w:textAlignment w:val="bottom"/>
            </w:pPr>
            <w:r>
              <w:rPr>
                <w:rFonts w:ascii="Arial" w:eastAsia="宋体" w:hAnsi="Arial" w:cs="Arial"/>
                <w:color w:val="000000"/>
                <w:sz w:val="15"/>
                <w:szCs w:val="15"/>
              </w:rPr>
              <w:t>3 </w:t>
            </w:r>
          </w:p>
        </w:tc>
        <w:tc>
          <w:tcPr>
            <w:tcW w:w="0" w:type="auto"/>
            <w:shd w:val="clear" w:color="auto" w:fill="CCEEFF"/>
            <w:tcMar>
              <w:top w:w="40" w:type="dxa"/>
              <w:left w:w="0" w:type="dxa"/>
              <w:bottom w:w="40" w:type="dxa"/>
              <w:right w:w="20" w:type="dxa"/>
            </w:tcMar>
            <w:vAlign w:val="bottom"/>
          </w:tcPr>
          <w:p w14:paraId="74DDCFD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FD2"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CFD3" w14:textId="77777777" w:rsidR="00584EC1" w:rsidRDefault="00871F8D">
            <w:pPr>
              <w:jc w:val="right"/>
              <w:textAlignment w:val="bottom"/>
            </w:pPr>
            <w:r>
              <w:rPr>
                <w:rFonts w:ascii="Arial" w:eastAsia="宋体" w:hAnsi="Arial" w:cs="Arial"/>
                <w:color w:val="000000"/>
                <w:sz w:val="15"/>
                <w:szCs w:val="15"/>
              </w:rPr>
              <w:t>22,087 </w:t>
            </w:r>
          </w:p>
        </w:tc>
        <w:tc>
          <w:tcPr>
            <w:tcW w:w="0" w:type="auto"/>
            <w:shd w:val="clear" w:color="auto" w:fill="CCEEFF"/>
            <w:tcMar>
              <w:top w:w="40" w:type="dxa"/>
              <w:left w:w="0" w:type="dxa"/>
              <w:bottom w:w="40" w:type="dxa"/>
              <w:right w:w="20" w:type="dxa"/>
            </w:tcMar>
            <w:vAlign w:val="bottom"/>
          </w:tcPr>
          <w:p w14:paraId="74DDCFD4" w14:textId="77777777" w:rsidR="00584EC1" w:rsidRDefault="00584EC1">
            <w:pPr>
              <w:jc w:val="right"/>
              <w:rPr>
                <w:rFonts w:ascii="宋体"/>
              </w:rPr>
            </w:pPr>
          </w:p>
        </w:tc>
      </w:tr>
      <w:tr w:rsidR="00584EC1" w14:paraId="74DDCFEE" w14:textId="77777777">
        <w:tc>
          <w:tcPr>
            <w:tcW w:w="0" w:type="auto"/>
            <w:gridSpan w:val="3"/>
            <w:shd w:val="clear" w:color="auto" w:fill="FFFFFF"/>
            <w:tcMar>
              <w:top w:w="40" w:type="dxa"/>
              <w:left w:w="20" w:type="dxa"/>
              <w:bottom w:w="40" w:type="dxa"/>
              <w:right w:w="20" w:type="dxa"/>
            </w:tcMar>
            <w:vAlign w:val="bottom"/>
          </w:tcPr>
          <w:p w14:paraId="74DDCFD6" w14:textId="77777777" w:rsidR="00584EC1" w:rsidRDefault="00871F8D">
            <w:pPr>
              <w:textAlignment w:val="bottom"/>
            </w:pPr>
            <w:r>
              <w:rPr>
                <w:rFonts w:ascii="Arial" w:eastAsia="宋体" w:hAnsi="Arial" w:cs="Arial"/>
                <w:color w:val="000000"/>
                <w:sz w:val="15"/>
                <w:szCs w:val="15"/>
              </w:rPr>
              <w:t>Other</w:t>
            </w:r>
            <w:r>
              <w:rPr>
                <w:rFonts w:ascii="Arial" w:eastAsia="宋体" w:hAnsi="Arial" w:cs="Arial"/>
                <w:color w:val="000000"/>
                <w:sz w:val="9"/>
                <w:szCs w:val="9"/>
              </w:rPr>
              <w:t>(1)</w:t>
            </w:r>
          </w:p>
        </w:tc>
        <w:tc>
          <w:tcPr>
            <w:tcW w:w="0" w:type="auto"/>
            <w:gridSpan w:val="2"/>
            <w:shd w:val="clear" w:color="auto" w:fill="FFFFFF"/>
            <w:tcMar>
              <w:top w:w="40" w:type="dxa"/>
              <w:left w:w="20" w:type="dxa"/>
              <w:bottom w:w="40" w:type="dxa"/>
              <w:right w:w="0" w:type="dxa"/>
            </w:tcMar>
            <w:vAlign w:val="bottom"/>
          </w:tcPr>
          <w:p w14:paraId="74DDCFD7" w14:textId="77777777" w:rsidR="00584EC1" w:rsidRDefault="00871F8D">
            <w:pPr>
              <w:jc w:val="right"/>
              <w:textAlignment w:val="bottom"/>
            </w:pPr>
            <w:r>
              <w:rPr>
                <w:rFonts w:ascii="Arial" w:eastAsia="宋体" w:hAnsi="Arial" w:cs="Arial"/>
                <w:b/>
                <w:bCs/>
                <w:color w:val="000000"/>
                <w:sz w:val="15"/>
                <w:szCs w:val="15"/>
              </w:rPr>
              <w:t>3,294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CFD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FD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CFDA" w14:textId="77777777" w:rsidR="00584EC1" w:rsidRDefault="00871F8D">
            <w:pPr>
              <w:jc w:val="right"/>
              <w:textAlignment w:val="bottom"/>
            </w:pPr>
            <w:r>
              <w:rPr>
                <w:rFonts w:ascii="Arial" w:eastAsia="宋体" w:hAnsi="Arial" w:cs="Arial"/>
                <w:b/>
                <w:bCs/>
                <w:color w:val="000000"/>
                <w:sz w:val="15"/>
                <w:szCs w:val="15"/>
              </w:rPr>
              <w:t>29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CFD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FD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CFDD" w14:textId="77777777" w:rsidR="00584EC1" w:rsidRDefault="00871F8D">
            <w:pPr>
              <w:jc w:val="right"/>
              <w:textAlignment w:val="bottom"/>
            </w:pPr>
            <w:r>
              <w:rPr>
                <w:rFonts w:ascii="Arial" w:eastAsia="宋体" w:hAnsi="Arial" w:cs="Arial"/>
                <w:b/>
                <w:bCs/>
                <w:color w:val="000000"/>
                <w:sz w:val="15"/>
                <w:szCs w:val="15"/>
              </w:rPr>
              <w:t>17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CFD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FD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CFE0" w14:textId="77777777" w:rsidR="00584EC1" w:rsidRDefault="00871F8D">
            <w:pPr>
              <w:jc w:val="right"/>
              <w:textAlignment w:val="bottom"/>
            </w:pPr>
            <w:r>
              <w:rPr>
                <w:rFonts w:ascii="Arial" w:eastAsia="宋体" w:hAnsi="Arial" w:cs="Arial"/>
                <w:b/>
                <w:bCs/>
                <w:color w:val="000000"/>
                <w:sz w:val="15"/>
                <w:szCs w:val="15"/>
              </w:rPr>
              <w:t>3,306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CFE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FE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CFE3" w14:textId="77777777" w:rsidR="00584EC1" w:rsidRDefault="00871F8D">
            <w:pPr>
              <w:jc w:val="right"/>
              <w:textAlignment w:val="bottom"/>
            </w:pPr>
            <w:r>
              <w:rPr>
                <w:rFonts w:ascii="Arial" w:eastAsia="宋体" w:hAnsi="Arial" w:cs="Arial"/>
                <w:color w:val="000000"/>
                <w:sz w:val="15"/>
                <w:szCs w:val="15"/>
              </w:rPr>
              <w:t>3,297 </w:t>
            </w:r>
          </w:p>
        </w:tc>
        <w:tc>
          <w:tcPr>
            <w:tcW w:w="0" w:type="auto"/>
            <w:shd w:val="clear" w:color="auto" w:fill="FFFFFF"/>
            <w:tcMar>
              <w:top w:w="40" w:type="dxa"/>
              <w:left w:w="0" w:type="dxa"/>
              <w:bottom w:w="40" w:type="dxa"/>
              <w:right w:w="20" w:type="dxa"/>
            </w:tcMar>
            <w:vAlign w:val="bottom"/>
          </w:tcPr>
          <w:p w14:paraId="74DDCFE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FE5"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CFE6" w14:textId="77777777" w:rsidR="00584EC1" w:rsidRDefault="00871F8D">
            <w:pPr>
              <w:jc w:val="right"/>
              <w:textAlignment w:val="bottom"/>
            </w:pPr>
            <w:r>
              <w:rPr>
                <w:rFonts w:ascii="Arial" w:eastAsia="宋体" w:hAnsi="Arial" w:cs="Arial"/>
                <w:color w:val="000000"/>
                <w:sz w:val="15"/>
                <w:szCs w:val="15"/>
              </w:rPr>
              <w:t>58 </w:t>
            </w:r>
          </w:p>
        </w:tc>
        <w:tc>
          <w:tcPr>
            <w:tcW w:w="0" w:type="auto"/>
            <w:shd w:val="clear" w:color="auto" w:fill="FFFFFF"/>
            <w:tcMar>
              <w:top w:w="40" w:type="dxa"/>
              <w:left w:w="0" w:type="dxa"/>
              <w:bottom w:w="40" w:type="dxa"/>
              <w:right w:w="20" w:type="dxa"/>
            </w:tcMar>
            <w:vAlign w:val="bottom"/>
          </w:tcPr>
          <w:p w14:paraId="74DDCFE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FE8"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CFE9"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CFE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CFEB"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CFEC" w14:textId="77777777" w:rsidR="00584EC1" w:rsidRDefault="00871F8D">
            <w:pPr>
              <w:jc w:val="right"/>
              <w:textAlignment w:val="bottom"/>
            </w:pPr>
            <w:r>
              <w:rPr>
                <w:rFonts w:ascii="Arial" w:eastAsia="宋体" w:hAnsi="Arial" w:cs="Arial"/>
                <w:color w:val="000000"/>
                <w:sz w:val="15"/>
                <w:szCs w:val="15"/>
              </w:rPr>
              <w:t>3,355 </w:t>
            </w:r>
          </w:p>
        </w:tc>
        <w:tc>
          <w:tcPr>
            <w:tcW w:w="0" w:type="auto"/>
            <w:shd w:val="clear" w:color="auto" w:fill="FFFFFF"/>
            <w:tcMar>
              <w:top w:w="40" w:type="dxa"/>
              <w:left w:w="0" w:type="dxa"/>
              <w:bottom w:w="40" w:type="dxa"/>
              <w:right w:w="20" w:type="dxa"/>
            </w:tcMar>
            <w:vAlign w:val="bottom"/>
          </w:tcPr>
          <w:p w14:paraId="74DDCFED" w14:textId="77777777" w:rsidR="00584EC1" w:rsidRDefault="00584EC1">
            <w:pPr>
              <w:jc w:val="right"/>
              <w:rPr>
                <w:rFonts w:ascii="宋体"/>
              </w:rPr>
            </w:pPr>
          </w:p>
        </w:tc>
      </w:tr>
      <w:tr w:rsidR="00584EC1" w14:paraId="74DDD007" w14:textId="77777777">
        <w:tc>
          <w:tcPr>
            <w:tcW w:w="0" w:type="auto"/>
            <w:gridSpan w:val="3"/>
            <w:shd w:val="clear" w:color="auto" w:fill="CCEEFF"/>
            <w:tcMar>
              <w:top w:w="40" w:type="dxa"/>
              <w:left w:w="380" w:type="dxa"/>
              <w:bottom w:w="40" w:type="dxa"/>
              <w:right w:w="20" w:type="dxa"/>
            </w:tcMar>
            <w:vAlign w:val="bottom"/>
          </w:tcPr>
          <w:p w14:paraId="74DDCFEF" w14:textId="77777777" w:rsidR="00584EC1" w:rsidRDefault="00871F8D">
            <w:pPr>
              <w:textAlignment w:val="bottom"/>
            </w:pPr>
            <w:r>
              <w:rPr>
                <w:rFonts w:ascii="Arial" w:eastAsia="宋体" w:hAnsi="Arial" w:cs="Arial"/>
                <w:color w:val="000000"/>
                <w:sz w:val="15"/>
                <w:szCs w:val="15"/>
              </w:rPr>
              <w:t>Total non-U.S. debt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CFF0" w14:textId="77777777" w:rsidR="00584EC1" w:rsidRDefault="00871F8D">
            <w:pPr>
              <w:jc w:val="right"/>
              <w:textAlignment w:val="bottom"/>
            </w:pPr>
            <w:r>
              <w:rPr>
                <w:rFonts w:ascii="Arial" w:eastAsia="宋体" w:hAnsi="Arial" w:cs="Arial"/>
                <w:b/>
                <w:bCs/>
                <w:color w:val="000000"/>
                <w:sz w:val="15"/>
                <w:szCs w:val="15"/>
              </w:rPr>
              <w:t>30,536</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CFF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FF2"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CFF3" w14:textId="77777777" w:rsidR="00584EC1" w:rsidRDefault="00871F8D">
            <w:pPr>
              <w:jc w:val="right"/>
              <w:textAlignment w:val="bottom"/>
            </w:pPr>
            <w:r>
              <w:rPr>
                <w:rFonts w:ascii="Arial" w:eastAsia="宋体" w:hAnsi="Arial" w:cs="Arial"/>
                <w:b/>
                <w:bCs/>
                <w:color w:val="000000"/>
                <w:sz w:val="15"/>
                <w:szCs w:val="15"/>
              </w:rPr>
              <w:t>193</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CFF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FF5"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CFF6" w14:textId="77777777" w:rsidR="00584EC1" w:rsidRDefault="00871F8D">
            <w:pPr>
              <w:jc w:val="right"/>
              <w:textAlignment w:val="bottom"/>
            </w:pPr>
            <w:r>
              <w:rPr>
                <w:rFonts w:ascii="Arial" w:eastAsia="宋体" w:hAnsi="Arial" w:cs="Arial"/>
                <w:b/>
                <w:bCs/>
                <w:color w:val="000000"/>
                <w:sz w:val="15"/>
                <w:szCs w:val="15"/>
              </w:rPr>
              <w:t>63</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CFF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FF8"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CFF9" w14:textId="77777777" w:rsidR="00584EC1" w:rsidRDefault="00871F8D">
            <w:pPr>
              <w:jc w:val="right"/>
              <w:textAlignment w:val="bottom"/>
            </w:pPr>
            <w:r>
              <w:rPr>
                <w:rFonts w:ascii="Arial" w:eastAsia="宋体" w:hAnsi="Arial" w:cs="Arial"/>
                <w:b/>
                <w:bCs/>
                <w:color w:val="000000"/>
                <w:sz w:val="15"/>
                <w:szCs w:val="15"/>
              </w:rPr>
              <w:t>30,666</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CFF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FFB"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CFFC" w14:textId="77777777" w:rsidR="00584EC1" w:rsidRDefault="00871F8D">
            <w:pPr>
              <w:jc w:val="right"/>
              <w:textAlignment w:val="bottom"/>
            </w:pPr>
            <w:r>
              <w:rPr>
                <w:rFonts w:ascii="Arial" w:eastAsia="宋体" w:hAnsi="Arial" w:cs="Arial"/>
                <w:color w:val="000000"/>
                <w:sz w:val="15"/>
                <w:szCs w:val="15"/>
              </w:rPr>
              <w:t>29,354 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CFF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CFFE"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CFFF" w14:textId="77777777" w:rsidR="00584EC1" w:rsidRDefault="00871F8D">
            <w:pPr>
              <w:jc w:val="right"/>
              <w:textAlignment w:val="bottom"/>
            </w:pPr>
            <w:r>
              <w:rPr>
                <w:rFonts w:ascii="Arial" w:eastAsia="宋体" w:hAnsi="Arial" w:cs="Arial"/>
                <w:color w:val="000000"/>
                <w:sz w:val="15"/>
                <w:szCs w:val="15"/>
              </w:rPr>
              <w:t>384 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00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001"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002" w14:textId="77777777" w:rsidR="00584EC1" w:rsidRDefault="00871F8D">
            <w:pPr>
              <w:jc w:val="right"/>
              <w:textAlignment w:val="bottom"/>
            </w:pPr>
            <w:r>
              <w:rPr>
                <w:rFonts w:ascii="Arial" w:eastAsia="宋体" w:hAnsi="Arial" w:cs="Arial"/>
                <w:color w:val="000000"/>
                <w:sz w:val="15"/>
                <w:szCs w:val="15"/>
              </w:rPr>
              <w:t>9 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00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004"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005" w14:textId="77777777" w:rsidR="00584EC1" w:rsidRDefault="00871F8D">
            <w:pPr>
              <w:jc w:val="right"/>
              <w:textAlignment w:val="bottom"/>
            </w:pPr>
            <w:r>
              <w:rPr>
                <w:rFonts w:ascii="Arial" w:eastAsia="宋体" w:hAnsi="Arial" w:cs="Arial"/>
                <w:color w:val="000000"/>
                <w:sz w:val="15"/>
                <w:szCs w:val="15"/>
              </w:rPr>
              <w:t>29,729 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006" w14:textId="77777777" w:rsidR="00584EC1" w:rsidRDefault="00584EC1">
            <w:pPr>
              <w:jc w:val="right"/>
              <w:rPr>
                <w:rFonts w:ascii="宋体"/>
              </w:rPr>
            </w:pPr>
          </w:p>
        </w:tc>
      </w:tr>
      <w:tr w:rsidR="00584EC1" w14:paraId="74DDD018" w14:textId="77777777">
        <w:tc>
          <w:tcPr>
            <w:tcW w:w="0" w:type="auto"/>
            <w:gridSpan w:val="3"/>
            <w:shd w:val="clear" w:color="auto" w:fill="FFFFFF"/>
            <w:tcMar>
              <w:top w:w="40" w:type="dxa"/>
              <w:left w:w="20" w:type="dxa"/>
              <w:bottom w:w="40" w:type="dxa"/>
              <w:right w:w="20" w:type="dxa"/>
            </w:tcMar>
            <w:vAlign w:val="bottom"/>
          </w:tcPr>
          <w:p w14:paraId="74DDD008" w14:textId="77777777" w:rsidR="00584EC1" w:rsidRDefault="00871F8D">
            <w:pPr>
              <w:textAlignment w:val="bottom"/>
            </w:pPr>
            <w:r>
              <w:rPr>
                <w:rFonts w:ascii="Arial" w:eastAsia="宋体" w:hAnsi="Arial" w:cs="Arial"/>
                <w:color w:val="000000"/>
                <w:sz w:val="15"/>
                <w:szCs w:val="15"/>
              </w:rPr>
              <w:t>Asset-backed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D009"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00A"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D00B"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00C"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D00D"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00E"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D00F"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010"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D011"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012"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D013"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014"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D015"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016"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D017" w14:textId="77777777" w:rsidR="00584EC1" w:rsidRDefault="00584EC1">
            <w:pPr>
              <w:rPr>
                <w:rFonts w:ascii="宋体"/>
              </w:rPr>
            </w:pPr>
          </w:p>
        </w:tc>
      </w:tr>
      <w:tr w:rsidR="00584EC1" w14:paraId="74DDD031" w14:textId="77777777">
        <w:tc>
          <w:tcPr>
            <w:tcW w:w="0" w:type="auto"/>
            <w:gridSpan w:val="3"/>
            <w:shd w:val="clear" w:color="auto" w:fill="CCEEFF"/>
            <w:tcMar>
              <w:top w:w="40" w:type="dxa"/>
              <w:left w:w="20" w:type="dxa"/>
              <w:bottom w:w="40" w:type="dxa"/>
              <w:right w:w="20" w:type="dxa"/>
            </w:tcMar>
            <w:vAlign w:val="bottom"/>
          </w:tcPr>
          <w:p w14:paraId="74DDD019" w14:textId="77777777" w:rsidR="00584EC1" w:rsidRDefault="00871F8D">
            <w:pPr>
              <w:textAlignment w:val="bottom"/>
            </w:pPr>
            <w:r>
              <w:rPr>
                <w:rFonts w:ascii="Arial" w:eastAsia="宋体" w:hAnsi="Arial" w:cs="Arial"/>
                <w:color w:val="000000"/>
                <w:sz w:val="15"/>
                <w:szCs w:val="15"/>
              </w:rPr>
              <w:t>Student loans</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74DDD01A" w14:textId="77777777" w:rsidR="00584EC1" w:rsidRDefault="00871F8D">
            <w:pPr>
              <w:jc w:val="right"/>
              <w:textAlignment w:val="bottom"/>
            </w:pPr>
            <w:r>
              <w:rPr>
                <w:rFonts w:ascii="Arial" w:eastAsia="宋体" w:hAnsi="Arial" w:cs="Arial"/>
                <w:b/>
                <w:bCs/>
                <w:color w:val="000000"/>
                <w:sz w:val="15"/>
                <w:szCs w:val="15"/>
              </w:rPr>
              <w:t>228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D01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01C"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01D" w14:textId="77777777" w:rsidR="00584EC1" w:rsidRDefault="00871F8D">
            <w:pPr>
              <w:jc w:val="right"/>
              <w:textAlignment w:val="bottom"/>
            </w:pPr>
            <w:r>
              <w:rPr>
                <w:rFonts w:ascii="Arial" w:eastAsia="宋体" w:hAnsi="Arial" w:cs="Arial"/>
                <w:b/>
                <w:bCs/>
                <w:color w:val="000000"/>
                <w:sz w:val="15"/>
                <w:szCs w:val="15"/>
              </w:rPr>
              <w:t>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D01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01F"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020"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D02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022"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023" w14:textId="77777777" w:rsidR="00584EC1" w:rsidRDefault="00871F8D">
            <w:pPr>
              <w:jc w:val="right"/>
              <w:textAlignment w:val="bottom"/>
            </w:pPr>
            <w:r>
              <w:rPr>
                <w:rFonts w:ascii="Arial" w:eastAsia="宋体" w:hAnsi="Arial" w:cs="Arial"/>
                <w:b/>
                <w:bCs/>
                <w:color w:val="000000"/>
                <w:sz w:val="15"/>
                <w:szCs w:val="15"/>
              </w:rPr>
              <w:t>231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D02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02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026" w14:textId="77777777" w:rsidR="00584EC1" w:rsidRDefault="00871F8D">
            <w:pPr>
              <w:jc w:val="right"/>
              <w:textAlignment w:val="bottom"/>
            </w:pPr>
            <w:r>
              <w:rPr>
                <w:rFonts w:ascii="Arial" w:eastAsia="宋体" w:hAnsi="Arial" w:cs="Arial"/>
                <w:color w:val="000000"/>
                <w:sz w:val="15"/>
                <w:szCs w:val="15"/>
              </w:rPr>
              <w:t>313 </w:t>
            </w:r>
          </w:p>
        </w:tc>
        <w:tc>
          <w:tcPr>
            <w:tcW w:w="0" w:type="auto"/>
            <w:shd w:val="clear" w:color="auto" w:fill="CCEEFF"/>
            <w:tcMar>
              <w:top w:w="40" w:type="dxa"/>
              <w:left w:w="0" w:type="dxa"/>
              <w:bottom w:w="40" w:type="dxa"/>
              <w:right w:w="20" w:type="dxa"/>
            </w:tcMar>
            <w:vAlign w:val="bottom"/>
          </w:tcPr>
          <w:p w14:paraId="74DDD02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028"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029" w14:textId="77777777" w:rsidR="00584EC1" w:rsidRDefault="00871F8D">
            <w:pPr>
              <w:jc w:val="right"/>
              <w:textAlignment w:val="bottom"/>
            </w:pPr>
            <w:r>
              <w:rPr>
                <w:rFonts w:ascii="Arial" w:eastAsia="宋体" w:hAnsi="Arial" w:cs="Arial"/>
                <w:color w:val="000000"/>
                <w:sz w:val="15"/>
                <w:szCs w:val="15"/>
              </w:rPr>
              <w:t>2 </w:t>
            </w:r>
          </w:p>
        </w:tc>
        <w:tc>
          <w:tcPr>
            <w:tcW w:w="0" w:type="auto"/>
            <w:shd w:val="clear" w:color="auto" w:fill="CCEEFF"/>
            <w:tcMar>
              <w:top w:w="40" w:type="dxa"/>
              <w:left w:w="0" w:type="dxa"/>
              <w:bottom w:w="40" w:type="dxa"/>
              <w:right w:w="20" w:type="dxa"/>
            </w:tcMar>
            <w:vAlign w:val="bottom"/>
          </w:tcPr>
          <w:p w14:paraId="74DDD02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02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02C" w14:textId="77777777" w:rsidR="00584EC1" w:rsidRDefault="00871F8D">
            <w:pPr>
              <w:jc w:val="right"/>
              <w:textAlignment w:val="bottom"/>
            </w:pPr>
            <w:r>
              <w:rPr>
                <w:rFonts w:ascii="Arial" w:eastAsia="宋体" w:hAnsi="Arial" w:cs="Arial"/>
                <w:color w:val="000000"/>
                <w:sz w:val="15"/>
                <w:szCs w:val="15"/>
              </w:rPr>
              <w:t>1 </w:t>
            </w:r>
          </w:p>
        </w:tc>
        <w:tc>
          <w:tcPr>
            <w:tcW w:w="0" w:type="auto"/>
            <w:shd w:val="clear" w:color="auto" w:fill="CCEEFF"/>
            <w:tcMar>
              <w:top w:w="40" w:type="dxa"/>
              <w:left w:w="0" w:type="dxa"/>
              <w:bottom w:w="40" w:type="dxa"/>
              <w:right w:w="20" w:type="dxa"/>
            </w:tcMar>
            <w:vAlign w:val="bottom"/>
          </w:tcPr>
          <w:p w14:paraId="74DDD02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02E"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02F" w14:textId="77777777" w:rsidR="00584EC1" w:rsidRDefault="00871F8D">
            <w:pPr>
              <w:jc w:val="right"/>
              <w:textAlignment w:val="bottom"/>
            </w:pPr>
            <w:r>
              <w:rPr>
                <w:rFonts w:ascii="Arial" w:eastAsia="宋体" w:hAnsi="Arial" w:cs="Arial"/>
                <w:color w:val="000000"/>
                <w:sz w:val="15"/>
                <w:szCs w:val="15"/>
              </w:rPr>
              <w:t>314 </w:t>
            </w:r>
          </w:p>
        </w:tc>
        <w:tc>
          <w:tcPr>
            <w:tcW w:w="0" w:type="auto"/>
            <w:shd w:val="clear" w:color="auto" w:fill="CCEEFF"/>
            <w:tcMar>
              <w:top w:w="40" w:type="dxa"/>
              <w:left w:w="0" w:type="dxa"/>
              <w:bottom w:w="40" w:type="dxa"/>
              <w:right w:w="20" w:type="dxa"/>
            </w:tcMar>
            <w:vAlign w:val="bottom"/>
          </w:tcPr>
          <w:p w14:paraId="74DDD030" w14:textId="77777777" w:rsidR="00584EC1" w:rsidRDefault="00584EC1">
            <w:pPr>
              <w:jc w:val="right"/>
              <w:rPr>
                <w:rFonts w:ascii="宋体"/>
              </w:rPr>
            </w:pPr>
          </w:p>
        </w:tc>
      </w:tr>
      <w:tr w:rsidR="00584EC1" w14:paraId="74DDD042" w14:textId="77777777">
        <w:trPr>
          <w:hidden/>
        </w:trPr>
        <w:tc>
          <w:tcPr>
            <w:tcW w:w="0" w:type="auto"/>
            <w:gridSpan w:val="3"/>
            <w:shd w:val="clear" w:color="auto" w:fill="auto"/>
            <w:vAlign w:val="bottom"/>
          </w:tcPr>
          <w:p w14:paraId="74DDD032" w14:textId="77777777" w:rsidR="00584EC1" w:rsidRDefault="00584EC1">
            <w:pPr>
              <w:rPr>
                <w:rFonts w:ascii="宋体"/>
                <w:vanish/>
              </w:rPr>
            </w:pPr>
          </w:p>
        </w:tc>
        <w:tc>
          <w:tcPr>
            <w:tcW w:w="0" w:type="auto"/>
            <w:gridSpan w:val="3"/>
            <w:shd w:val="clear" w:color="auto" w:fill="auto"/>
            <w:vAlign w:val="bottom"/>
          </w:tcPr>
          <w:p w14:paraId="74DDD033" w14:textId="77777777" w:rsidR="00584EC1" w:rsidRDefault="00584EC1">
            <w:pPr>
              <w:rPr>
                <w:rFonts w:ascii="宋体"/>
                <w:vanish/>
              </w:rPr>
            </w:pPr>
          </w:p>
        </w:tc>
        <w:tc>
          <w:tcPr>
            <w:tcW w:w="0" w:type="auto"/>
            <w:gridSpan w:val="3"/>
            <w:shd w:val="clear" w:color="auto" w:fill="auto"/>
            <w:vAlign w:val="bottom"/>
          </w:tcPr>
          <w:p w14:paraId="74DDD034" w14:textId="77777777" w:rsidR="00584EC1" w:rsidRDefault="00584EC1">
            <w:pPr>
              <w:rPr>
                <w:rFonts w:ascii="宋体"/>
                <w:vanish/>
              </w:rPr>
            </w:pPr>
          </w:p>
        </w:tc>
        <w:tc>
          <w:tcPr>
            <w:tcW w:w="0" w:type="auto"/>
            <w:gridSpan w:val="3"/>
            <w:shd w:val="clear" w:color="auto" w:fill="auto"/>
            <w:vAlign w:val="bottom"/>
          </w:tcPr>
          <w:p w14:paraId="74DDD035" w14:textId="77777777" w:rsidR="00584EC1" w:rsidRDefault="00584EC1">
            <w:pPr>
              <w:rPr>
                <w:rFonts w:ascii="宋体"/>
                <w:vanish/>
              </w:rPr>
            </w:pPr>
          </w:p>
        </w:tc>
        <w:tc>
          <w:tcPr>
            <w:tcW w:w="0" w:type="auto"/>
            <w:gridSpan w:val="3"/>
            <w:shd w:val="clear" w:color="auto" w:fill="auto"/>
            <w:vAlign w:val="bottom"/>
          </w:tcPr>
          <w:p w14:paraId="74DDD036" w14:textId="77777777" w:rsidR="00584EC1" w:rsidRDefault="00584EC1">
            <w:pPr>
              <w:rPr>
                <w:rFonts w:ascii="宋体"/>
                <w:vanish/>
              </w:rPr>
            </w:pPr>
          </w:p>
        </w:tc>
        <w:tc>
          <w:tcPr>
            <w:tcW w:w="0" w:type="auto"/>
            <w:gridSpan w:val="3"/>
            <w:shd w:val="clear" w:color="auto" w:fill="auto"/>
            <w:vAlign w:val="bottom"/>
          </w:tcPr>
          <w:p w14:paraId="74DDD037" w14:textId="77777777" w:rsidR="00584EC1" w:rsidRDefault="00584EC1">
            <w:pPr>
              <w:rPr>
                <w:rFonts w:ascii="宋体"/>
                <w:vanish/>
              </w:rPr>
            </w:pPr>
          </w:p>
        </w:tc>
        <w:tc>
          <w:tcPr>
            <w:tcW w:w="0" w:type="auto"/>
            <w:gridSpan w:val="3"/>
            <w:shd w:val="clear" w:color="auto" w:fill="auto"/>
            <w:vAlign w:val="bottom"/>
          </w:tcPr>
          <w:p w14:paraId="74DDD038" w14:textId="77777777" w:rsidR="00584EC1" w:rsidRDefault="00584EC1">
            <w:pPr>
              <w:rPr>
                <w:rFonts w:ascii="宋体"/>
                <w:vanish/>
              </w:rPr>
            </w:pPr>
          </w:p>
        </w:tc>
        <w:tc>
          <w:tcPr>
            <w:tcW w:w="0" w:type="auto"/>
            <w:gridSpan w:val="3"/>
            <w:shd w:val="clear" w:color="auto" w:fill="auto"/>
            <w:vAlign w:val="bottom"/>
          </w:tcPr>
          <w:p w14:paraId="74DDD039" w14:textId="77777777" w:rsidR="00584EC1" w:rsidRDefault="00584EC1">
            <w:pPr>
              <w:rPr>
                <w:rFonts w:ascii="宋体"/>
                <w:vanish/>
              </w:rPr>
            </w:pPr>
          </w:p>
        </w:tc>
        <w:tc>
          <w:tcPr>
            <w:tcW w:w="0" w:type="auto"/>
            <w:gridSpan w:val="3"/>
            <w:shd w:val="clear" w:color="auto" w:fill="auto"/>
            <w:vAlign w:val="bottom"/>
          </w:tcPr>
          <w:p w14:paraId="74DDD03A" w14:textId="77777777" w:rsidR="00584EC1" w:rsidRDefault="00584EC1">
            <w:pPr>
              <w:rPr>
                <w:rFonts w:ascii="宋体"/>
                <w:vanish/>
              </w:rPr>
            </w:pPr>
          </w:p>
        </w:tc>
        <w:tc>
          <w:tcPr>
            <w:tcW w:w="0" w:type="auto"/>
            <w:gridSpan w:val="3"/>
            <w:shd w:val="clear" w:color="auto" w:fill="auto"/>
            <w:vAlign w:val="bottom"/>
          </w:tcPr>
          <w:p w14:paraId="74DDD03B" w14:textId="77777777" w:rsidR="00584EC1" w:rsidRDefault="00584EC1">
            <w:pPr>
              <w:rPr>
                <w:rFonts w:ascii="宋体"/>
                <w:vanish/>
              </w:rPr>
            </w:pPr>
          </w:p>
        </w:tc>
        <w:tc>
          <w:tcPr>
            <w:tcW w:w="0" w:type="auto"/>
            <w:gridSpan w:val="3"/>
            <w:shd w:val="clear" w:color="auto" w:fill="auto"/>
            <w:vAlign w:val="bottom"/>
          </w:tcPr>
          <w:p w14:paraId="74DDD03C" w14:textId="77777777" w:rsidR="00584EC1" w:rsidRDefault="00584EC1">
            <w:pPr>
              <w:rPr>
                <w:rFonts w:ascii="宋体"/>
                <w:vanish/>
              </w:rPr>
            </w:pPr>
          </w:p>
        </w:tc>
        <w:tc>
          <w:tcPr>
            <w:tcW w:w="0" w:type="auto"/>
            <w:gridSpan w:val="3"/>
            <w:shd w:val="clear" w:color="auto" w:fill="auto"/>
            <w:vAlign w:val="bottom"/>
          </w:tcPr>
          <w:p w14:paraId="74DDD03D" w14:textId="77777777" w:rsidR="00584EC1" w:rsidRDefault="00584EC1">
            <w:pPr>
              <w:rPr>
                <w:rFonts w:ascii="宋体"/>
                <w:vanish/>
              </w:rPr>
            </w:pPr>
          </w:p>
        </w:tc>
        <w:tc>
          <w:tcPr>
            <w:tcW w:w="0" w:type="auto"/>
            <w:gridSpan w:val="3"/>
            <w:shd w:val="clear" w:color="auto" w:fill="auto"/>
            <w:vAlign w:val="bottom"/>
          </w:tcPr>
          <w:p w14:paraId="74DDD03E" w14:textId="77777777" w:rsidR="00584EC1" w:rsidRDefault="00584EC1">
            <w:pPr>
              <w:rPr>
                <w:rFonts w:ascii="宋体"/>
                <w:vanish/>
              </w:rPr>
            </w:pPr>
          </w:p>
        </w:tc>
        <w:tc>
          <w:tcPr>
            <w:tcW w:w="0" w:type="auto"/>
            <w:gridSpan w:val="3"/>
            <w:shd w:val="clear" w:color="auto" w:fill="auto"/>
            <w:vAlign w:val="bottom"/>
          </w:tcPr>
          <w:p w14:paraId="74DDD03F" w14:textId="77777777" w:rsidR="00584EC1" w:rsidRDefault="00584EC1">
            <w:pPr>
              <w:rPr>
                <w:rFonts w:ascii="宋体"/>
                <w:vanish/>
              </w:rPr>
            </w:pPr>
          </w:p>
        </w:tc>
        <w:tc>
          <w:tcPr>
            <w:tcW w:w="0" w:type="auto"/>
            <w:gridSpan w:val="3"/>
            <w:shd w:val="clear" w:color="auto" w:fill="auto"/>
            <w:vAlign w:val="bottom"/>
          </w:tcPr>
          <w:p w14:paraId="74DDD040" w14:textId="77777777" w:rsidR="00584EC1" w:rsidRDefault="00584EC1">
            <w:pPr>
              <w:rPr>
                <w:rFonts w:ascii="宋体"/>
                <w:vanish/>
              </w:rPr>
            </w:pPr>
          </w:p>
        </w:tc>
        <w:tc>
          <w:tcPr>
            <w:tcW w:w="0" w:type="auto"/>
            <w:gridSpan w:val="3"/>
            <w:shd w:val="clear" w:color="auto" w:fill="auto"/>
            <w:vAlign w:val="bottom"/>
          </w:tcPr>
          <w:p w14:paraId="74DDD041" w14:textId="77777777" w:rsidR="00584EC1" w:rsidRDefault="00584EC1">
            <w:pPr>
              <w:rPr>
                <w:rFonts w:ascii="宋体"/>
                <w:vanish/>
              </w:rPr>
            </w:pPr>
          </w:p>
        </w:tc>
      </w:tr>
      <w:tr w:rsidR="00584EC1" w14:paraId="74DDD053" w14:textId="77777777">
        <w:trPr>
          <w:hidden/>
        </w:trPr>
        <w:tc>
          <w:tcPr>
            <w:tcW w:w="0" w:type="auto"/>
            <w:gridSpan w:val="3"/>
            <w:shd w:val="clear" w:color="auto" w:fill="auto"/>
            <w:vAlign w:val="bottom"/>
          </w:tcPr>
          <w:p w14:paraId="74DDD043" w14:textId="77777777" w:rsidR="00584EC1" w:rsidRDefault="00584EC1">
            <w:pPr>
              <w:rPr>
                <w:rFonts w:ascii="宋体"/>
                <w:vanish/>
              </w:rPr>
            </w:pPr>
          </w:p>
        </w:tc>
        <w:tc>
          <w:tcPr>
            <w:tcW w:w="0" w:type="auto"/>
            <w:gridSpan w:val="3"/>
            <w:shd w:val="clear" w:color="auto" w:fill="auto"/>
            <w:vAlign w:val="bottom"/>
          </w:tcPr>
          <w:p w14:paraId="74DDD044" w14:textId="77777777" w:rsidR="00584EC1" w:rsidRDefault="00584EC1">
            <w:pPr>
              <w:rPr>
                <w:rFonts w:ascii="宋体"/>
                <w:vanish/>
              </w:rPr>
            </w:pPr>
          </w:p>
        </w:tc>
        <w:tc>
          <w:tcPr>
            <w:tcW w:w="0" w:type="auto"/>
            <w:gridSpan w:val="3"/>
            <w:shd w:val="clear" w:color="auto" w:fill="auto"/>
            <w:vAlign w:val="bottom"/>
          </w:tcPr>
          <w:p w14:paraId="74DDD045" w14:textId="77777777" w:rsidR="00584EC1" w:rsidRDefault="00584EC1">
            <w:pPr>
              <w:rPr>
                <w:rFonts w:ascii="宋体"/>
                <w:vanish/>
              </w:rPr>
            </w:pPr>
          </w:p>
        </w:tc>
        <w:tc>
          <w:tcPr>
            <w:tcW w:w="0" w:type="auto"/>
            <w:gridSpan w:val="3"/>
            <w:shd w:val="clear" w:color="auto" w:fill="auto"/>
            <w:vAlign w:val="bottom"/>
          </w:tcPr>
          <w:p w14:paraId="74DDD046" w14:textId="77777777" w:rsidR="00584EC1" w:rsidRDefault="00584EC1">
            <w:pPr>
              <w:rPr>
                <w:rFonts w:ascii="宋体"/>
                <w:vanish/>
              </w:rPr>
            </w:pPr>
          </w:p>
        </w:tc>
        <w:tc>
          <w:tcPr>
            <w:tcW w:w="0" w:type="auto"/>
            <w:gridSpan w:val="3"/>
            <w:shd w:val="clear" w:color="auto" w:fill="auto"/>
            <w:vAlign w:val="bottom"/>
          </w:tcPr>
          <w:p w14:paraId="74DDD047" w14:textId="77777777" w:rsidR="00584EC1" w:rsidRDefault="00584EC1">
            <w:pPr>
              <w:rPr>
                <w:rFonts w:ascii="宋体"/>
                <w:vanish/>
              </w:rPr>
            </w:pPr>
          </w:p>
        </w:tc>
        <w:tc>
          <w:tcPr>
            <w:tcW w:w="0" w:type="auto"/>
            <w:gridSpan w:val="3"/>
            <w:shd w:val="clear" w:color="auto" w:fill="auto"/>
            <w:vAlign w:val="bottom"/>
          </w:tcPr>
          <w:p w14:paraId="74DDD048" w14:textId="77777777" w:rsidR="00584EC1" w:rsidRDefault="00584EC1">
            <w:pPr>
              <w:rPr>
                <w:rFonts w:ascii="宋体"/>
                <w:vanish/>
              </w:rPr>
            </w:pPr>
          </w:p>
        </w:tc>
        <w:tc>
          <w:tcPr>
            <w:tcW w:w="0" w:type="auto"/>
            <w:gridSpan w:val="3"/>
            <w:shd w:val="clear" w:color="auto" w:fill="auto"/>
            <w:vAlign w:val="bottom"/>
          </w:tcPr>
          <w:p w14:paraId="74DDD049" w14:textId="77777777" w:rsidR="00584EC1" w:rsidRDefault="00584EC1">
            <w:pPr>
              <w:rPr>
                <w:rFonts w:ascii="宋体"/>
                <w:vanish/>
              </w:rPr>
            </w:pPr>
          </w:p>
        </w:tc>
        <w:tc>
          <w:tcPr>
            <w:tcW w:w="0" w:type="auto"/>
            <w:gridSpan w:val="3"/>
            <w:shd w:val="clear" w:color="auto" w:fill="auto"/>
            <w:vAlign w:val="bottom"/>
          </w:tcPr>
          <w:p w14:paraId="74DDD04A" w14:textId="77777777" w:rsidR="00584EC1" w:rsidRDefault="00584EC1">
            <w:pPr>
              <w:rPr>
                <w:rFonts w:ascii="宋体"/>
                <w:vanish/>
              </w:rPr>
            </w:pPr>
          </w:p>
        </w:tc>
        <w:tc>
          <w:tcPr>
            <w:tcW w:w="0" w:type="auto"/>
            <w:gridSpan w:val="3"/>
            <w:shd w:val="clear" w:color="auto" w:fill="auto"/>
            <w:vAlign w:val="bottom"/>
          </w:tcPr>
          <w:p w14:paraId="74DDD04B" w14:textId="77777777" w:rsidR="00584EC1" w:rsidRDefault="00584EC1">
            <w:pPr>
              <w:rPr>
                <w:rFonts w:ascii="宋体"/>
                <w:vanish/>
              </w:rPr>
            </w:pPr>
          </w:p>
        </w:tc>
        <w:tc>
          <w:tcPr>
            <w:tcW w:w="0" w:type="auto"/>
            <w:gridSpan w:val="3"/>
            <w:shd w:val="clear" w:color="auto" w:fill="auto"/>
            <w:vAlign w:val="bottom"/>
          </w:tcPr>
          <w:p w14:paraId="74DDD04C" w14:textId="77777777" w:rsidR="00584EC1" w:rsidRDefault="00584EC1">
            <w:pPr>
              <w:rPr>
                <w:rFonts w:ascii="宋体"/>
                <w:vanish/>
              </w:rPr>
            </w:pPr>
          </w:p>
        </w:tc>
        <w:tc>
          <w:tcPr>
            <w:tcW w:w="0" w:type="auto"/>
            <w:gridSpan w:val="3"/>
            <w:shd w:val="clear" w:color="auto" w:fill="auto"/>
            <w:vAlign w:val="bottom"/>
          </w:tcPr>
          <w:p w14:paraId="74DDD04D" w14:textId="77777777" w:rsidR="00584EC1" w:rsidRDefault="00584EC1">
            <w:pPr>
              <w:rPr>
                <w:rFonts w:ascii="宋体"/>
                <w:vanish/>
              </w:rPr>
            </w:pPr>
          </w:p>
        </w:tc>
        <w:tc>
          <w:tcPr>
            <w:tcW w:w="0" w:type="auto"/>
            <w:gridSpan w:val="3"/>
            <w:shd w:val="clear" w:color="auto" w:fill="auto"/>
            <w:vAlign w:val="bottom"/>
          </w:tcPr>
          <w:p w14:paraId="74DDD04E" w14:textId="77777777" w:rsidR="00584EC1" w:rsidRDefault="00584EC1">
            <w:pPr>
              <w:rPr>
                <w:rFonts w:ascii="宋体"/>
                <w:vanish/>
              </w:rPr>
            </w:pPr>
          </w:p>
        </w:tc>
        <w:tc>
          <w:tcPr>
            <w:tcW w:w="0" w:type="auto"/>
            <w:gridSpan w:val="3"/>
            <w:shd w:val="clear" w:color="auto" w:fill="auto"/>
            <w:vAlign w:val="bottom"/>
          </w:tcPr>
          <w:p w14:paraId="74DDD04F" w14:textId="77777777" w:rsidR="00584EC1" w:rsidRDefault="00584EC1">
            <w:pPr>
              <w:rPr>
                <w:rFonts w:ascii="宋体"/>
                <w:vanish/>
              </w:rPr>
            </w:pPr>
          </w:p>
        </w:tc>
        <w:tc>
          <w:tcPr>
            <w:tcW w:w="0" w:type="auto"/>
            <w:gridSpan w:val="3"/>
            <w:shd w:val="clear" w:color="auto" w:fill="auto"/>
            <w:vAlign w:val="bottom"/>
          </w:tcPr>
          <w:p w14:paraId="74DDD050" w14:textId="77777777" w:rsidR="00584EC1" w:rsidRDefault="00584EC1">
            <w:pPr>
              <w:rPr>
                <w:rFonts w:ascii="宋体"/>
                <w:vanish/>
              </w:rPr>
            </w:pPr>
          </w:p>
        </w:tc>
        <w:tc>
          <w:tcPr>
            <w:tcW w:w="0" w:type="auto"/>
            <w:gridSpan w:val="3"/>
            <w:shd w:val="clear" w:color="auto" w:fill="auto"/>
            <w:vAlign w:val="bottom"/>
          </w:tcPr>
          <w:p w14:paraId="74DDD051" w14:textId="77777777" w:rsidR="00584EC1" w:rsidRDefault="00584EC1">
            <w:pPr>
              <w:rPr>
                <w:rFonts w:ascii="宋体"/>
                <w:vanish/>
              </w:rPr>
            </w:pPr>
          </w:p>
        </w:tc>
        <w:tc>
          <w:tcPr>
            <w:tcW w:w="0" w:type="auto"/>
            <w:gridSpan w:val="3"/>
            <w:shd w:val="clear" w:color="auto" w:fill="auto"/>
            <w:vAlign w:val="bottom"/>
          </w:tcPr>
          <w:p w14:paraId="74DDD052" w14:textId="77777777" w:rsidR="00584EC1" w:rsidRDefault="00584EC1">
            <w:pPr>
              <w:rPr>
                <w:rFonts w:ascii="宋体"/>
                <w:vanish/>
              </w:rPr>
            </w:pPr>
          </w:p>
        </w:tc>
      </w:tr>
      <w:tr w:rsidR="00584EC1" w14:paraId="74DDD06C" w14:textId="77777777">
        <w:tc>
          <w:tcPr>
            <w:tcW w:w="0" w:type="auto"/>
            <w:gridSpan w:val="3"/>
            <w:shd w:val="clear" w:color="auto" w:fill="FFFFFF"/>
            <w:tcMar>
              <w:top w:w="40" w:type="dxa"/>
              <w:left w:w="20" w:type="dxa"/>
              <w:bottom w:w="40" w:type="dxa"/>
              <w:right w:w="20" w:type="dxa"/>
            </w:tcMar>
            <w:vAlign w:val="bottom"/>
          </w:tcPr>
          <w:p w14:paraId="74DDD054" w14:textId="77777777" w:rsidR="00584EC1" w:rsidRDefault="00871F8D">
            <w:pPr>
              <w:textAlignment w:val="bottom"/>
            </w:pPr>
            <w:r>
              <w:rPr>
                <w:rFonts w:ascii="Arial" w:eastAsia="宋体" w:hAnsi="Arial" w:cs="Arial"/>
                <w:color w:val="000000"/>
                <w:sz w:val="15"/>
                <w:szCs w:val="15"/>
              </w:rPr>
              <w:t>Collateralized loan obligations</w:t>
            </w:r>
            <w:r>
              <w:rPr>
                <w:rFonts w:ascii="Arial" w:eastAsia="宋体" w:hAnsi="Arial" w:cs="Arial"/>
                <w:color w:val="000000"/>
                <w:sz w:val="9"/>
                <w:szCs w:val="9"/>
              </w:rPr>
              <w:t>(3)</w:t>
            </w:r>
          </w:p>
        </w:tc>
        <w:tc>
          <w:tcPr>
            <w:tcW w:w="0" w:type="auto"/>
            <w:gridSpan w:val="2"/>
            <w:shd w:val="clear" w:color="auto" w:fill="FFFFFF"/>
            <w:tcMar>
              <w:top w:w="40" w:type="dxa"/>
              <w:left w:w="20" w:type="dxa"/>
              <w:bottom w:w="40" w:type="dxa"/>
              <w:right w:w="0" w:type="dxa"/>
            </w:tcMar>
            <w:vAlign w:val="bottom"/>
          </w:tcPr>
          <w:p w14:paraId="74DDD055" w14:textId="77777777" w:rsidR="00584EC1" w:rsidRDefault="00871F8D">
            <w:pPr>
              <w:jc w:val="right"/>
              <w:textAlignment w:val="bottom"/>
            </w:pPr>
            <w:r>
              <w:rPr>
                <w:rFonts w:ascii="Arial" w:eastAsia="宋体" w:hAnsi="Arial" w:cs="Arial"/>
                <w:b/>
                <w:bCs/>
                <w:color w:val="000000"/>
                <w:sz w:val="15"/>
                <w:szCs w:val="15"/>
              </w:rPr>
              <w:t>4,293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D05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05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058" w14:textId="77777777" w:rsidR="00584EC1" w:rsidRDefault="00871F8D">
            <w:pPr>
              <w:jc w:val="right"/>
              <w:textAlignment w:val="bottom"/>
            </w:pPr>
            <w:r>
              <w:rPr>
                <w:rFonts w:ascii="Arial" w:eastAsia="宋体" w:hAnsi="Arial" w:cs="Arial"/>
                <w:b/>
                <w:bCs/>
                <w:color w:val="000000"/>
                <w:sz w:val="15"/>
                <w:szCs w:val="15"/>
              </w:rPr>
              <w:t>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D05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05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05B" w14:textId="77777777" w:rsidR="00584EC1" w:rsidRDefault="00871F8D">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D05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05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05E" w14:textId="77777777" w:rsidR="00584EC1" w:rsidRDefault="00871F8D">
            <w:pPr>
              <w:jc w:val="right"/>
              <w:textAlignment w:val="bottom"/>
            </w:pPr>
            <w:r>
              <w:rPr>
                <w:rFonts w:ascii="Arial" w:eastAsia="宋体" w:hAnsi="Arial" w:cs="Arial"/>
                <w:b/>
                <w:bCs/>
                <w:color w:val="000000"/>
                <w:sz w:val="15"/>
                <w:szCs w:val="15"/>
              </w:rPr>
              <w:t>4,296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D05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06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061" w14:textId="77777777" w:rsidR="00584EC1" w:rsidRDefault="00871F8D">
            <w:pPr>
              <w:jc w:val="right"/>
              <w:textAlignment w:val="bottom"/>
            </w:pPr>
            <w:r>
              <w:rPr>
                <w:rFonts w:ascii="Arial" w:eastAsia="宋体" w:hAnsi="Arial" w:cs="Arial"/>
                <w:color w:val="000000"/>
                <w:sz w:val="15"/>
                <w:szCs w:val="15"/>
              </w:rPr>
              <w:t>2,969 </w:t>
            </w:r>
          </w:p>
        </w:tc>
        <w:tc>
          <w:tcPr>
            <w:tcW w:w="0" w:type="auto"/>
            <w:shd w:val="clear" w:color="auto" w:fill="FFFFFF"/>
            <w:tcMar>
              <w:top w:w="40" w:type="dxa"/>
              <w:left w:w="0" w:type="dxa"/>
              <w:bottom w:w="40" w:type="dxa"/>
              <w:right w:w="20" w:type="dxa"/>
            </w:tcMar>
            <w:vAlign w:val="bottom"/>
          </w:tcPr>
          <w:p w14:paraId="74DDD06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06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064" w14:textId="77777777" w:rsidR="00584EC1" w:rsidRDefault="00871F8D">
            <w:pPr>
              <w:jc w:val="right"/>
              <w:textAlignment w:val="bottom"/>
            </w:pPr>
            <w:r>
              <w:rPr>
                <w:rFonts w:ascii="Arial" w:eastAsia="宋体" w:hAnsi="Arial" w:cs="Arial"/>
                <w:color w:val="000000"/>
                <w:sz w:val="15"/>
                <w:szCs w:val="15"/>
              </w:rPr>
              <w:t>3 </w:t>
            </w:r>
          </w:p>
        </w:tc>
        <w:tc>
          <w:tcPr>
            <w:tcW w:w="0" w:type="auto"/>
            <w:shd w:val="clear" w:color="auto" w:fill="FFFFFF"/>
            <w:tcMar>
              <w:top w:w="40" w:type="dxa"/>
              <w:left w:w="0" w:type="dxa"/>
              <w:bottom w:w="40" w:type="dxa"/>
              <w:right w:w="20" w:type="dxa"/>
            </w:tcMar>
            <w:vAlign w:val="bottom"/>
          </w:tcPr>
          <w:p w14:paraId="74DDD06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06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067" w14:textId="77777777" w:rsidR="00584EC1" w:rsidRDefault="00871F8D">
            <w:pPr>
              <w:jc w:val="right"/>
              <w:textAlignment w:val="bottom"/>
            </w:pPr>
            <w:r>
              <w:rPr>
                <w:rFonts w:ascii="Arial" w:eastAsia="宋体" w:hAnsi="Arial" w:cs="Arial"/>
                <w:color w:val="000000"/>
                <w:sz w:val="15"/>
                <w:szCs w:val="15"/>
              </w:rPr>
              <w:t>6 </w:t>
            </w:r>
          </w:p>
        </w:tc>
        <w:tc>
          <w:tcPr>
            <w:tcW w:w="0" w:type="auto"/>
            <w:shd w:val="clear" w:color="auto" w:fill="FFFFFF"/>
            <w:tcMar>
              <w:top w:w="40" w:type="dxa"/>
              <w:left w:w="0" w:type="dxa"/>
              <w:bottom w:w="40" w:type="dxa"/>
              <w:right w:w="20" w:type="dxa"/>
            </w:tcMar>
            <w:vAlign w:val="bottom"/>
          </w:tcPr>
          <w:p w14:paraId="74DDD06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06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06A" w14:textId="77777777" w:rsidR="00584EC1" w:rsidRDefault="00871F8D">
            <w:pPr>
              <w:jc w:val="right"/>
              <w:textAlignment w:val="bottom"/>
            </w:pPr>
            <w:r>
              <w:rPr>
                <w:rFonts w:ascii="Arial" w:eastAsia="宋体" w:hAnsi="Arial" w:cs="Arial"/>
                <w:color w:val="000000"/>
                <w:sz w:val="15"/>
                <w:szCs w:val="15"/>
              </w:rPr>
              <w:t>2,966 </w:t>
            </w:r>
          </w:p>
        </w:tc>
        <w:tc>
          <w:tcPr>
            <w:tcW w:w="0" w:type="auto"/>
            <w:shd w:val="clear" w:color="auto" w:fill="FFFFFF"/>
            <w:tcMar>
              <w:top w:w="40" w:type="dxa"/>
              <w:left w:w="0" w:type="dxa"/>
              <w:bottom w:w="40" w:type="dxa"/>
              <w:right w:w="20" w:type="dxa"/>
            </w:tcMar>
            <w:vAlign w:val="bottom"/>
          </w:tcPr>
          <w:p w14:paraId="74DDD06B" w14:textId="77777777" w:rsidR="00584EC1" w:rsidRDefault="00584EC1">
            <w:pPr>
              <w:jc w:val="right"/>
              <w:rPr>
                <w:rFonts w:ascii="宋体"/>
              </w:rPr>
            </w:pPr>
          </w:p>
        </w:tc>
      </w:tr>
      <w:tr w:rsidR="00584EC1" w14:paraId="74DDD085" w14:textId="77777777">
        <w:tc>
          <w:tcPr>
            <w:tcW w:w="0" w:type="auto"/>
            <w:gridSpan w:val="3"/>
            <w:shd w:val="clear" w:color="auto" w:fill="CCEEFF"/>
            <w:tcMar>
              <w:top w:w="40" w:type="dxa"/>
              <w:left w:w="20" w:type="dxa"/>
              <w:bottom w:w="40" w:type="dxa"/>
              <w:right w:w="20" w:type="dxa"/>
            </w:tcMar>
            <w:vAlign w:val="bottom"/>
          </w:tcPr>
          <w:p w14:paraId="74DDD06D" w14:textId="77777777" w:rsidR="00584EC1" w:rsidRDefault="00871F8D">
            <w:pPr>
              <w:textAlignment w:val="bottom"/>
            </w:pPr>
            <w:r>
              <w:rPr>
                <w:rFonts w:ascii="Arial" w:eastAsia="宋体" w:hAnsi="Arial" w:cs="Arial"/>
                <w:color w:val="000000"/>
                <w:sz w:val="15"/>
                <w:szCs w:val="15"/>
              </w:rPr>
              <w:t>Non-agency CMBS and RMBS</w:t>
            </w:r>
            <w:r>
              <w:rPr>
                <w:rFonts w:ascii="Arial" w:eastAsia="宋体" w:hAnsi="Arial" w:cs="Arial"/>
                <w:color w:val="000000"/>
                <w:sz w:val="9"/>
                <w:szCs w:val="9"/>
              </w:rPr>
              <w:t>(4)</w:t>
            </w:r>
          </w:p>
        </w:tc>
        <w:tc>
          <w:tcPr>
            <w:tcW w:w="0" w:type="auto"/>
            <w:gridSpan w:val="2"/>
            <w:shd w:val="clear" w:color="auto" w:fill="CCEEFF"/>
            <w:tcMar>
              <w:top w:w="40" w:type="dxa"/>
              <w:left w:w="20" w:type="dxa"/>
              <w:bottom w:w="40" w:type="dxa"/>
              <w:right w:w="0" w:type="dxa"/>
            </w:tcMar>
            <w:vAlign w:val="bottom"/>
          </w:tcPr>
          <w:p w14:paraId="74DDD06E" w14:textId="77777777" w:rsidR="00584EC1" w:rsidRDefault="00871F8D">
            <w:pPr>
              <w:jc w:val="right"/>
              <w:textAlignment w:val="bottom"/>
            </w:pPr>
            <w:r>
              <w:rPr>
                <w:rFonts w:ascii="Arial" w:eastAsia="宋体" w:hAnsi="Arial" w:cs="Arial"/>
                <w:b/>
                <w:bCs/>
                <w:color w:val="000000"/>
                <w:sz w:val="15"/>
                <w:szCs w:val="15"/>
              </w:rPr>
              <w:t>58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D06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07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071" w14:textId="77777777" w:rsidR="00584EC1" w:rsidRDefault="00871F8D">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D07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073"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074"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D07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07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077" w14:textId="77777777" w:rsidR="00584EC1" w:rsidRDefault="00871F8D">
            <w:pPr>
              <w:jc w:val="right"/>
              <w:textAlignment w:val="bottom"/>
            </w:pPr>
            <w:r>
              <w:rPr>
                <w:rFonts w:ascii="Arial" w:eastAsia="宋体" w:hAnsi="Arial" w:cs="Arial"/>
                <w:b/>
                <w:bCs/>
                <w:color w:val="000000"/>
                <w:sz w:val="15"/>
                <w:szCs w:val="15"/>
              </w:rPr>
              <w:t>59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D07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07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07A" w14:textId="77777777" w:rsidR="00584EC1" w:rsidRDefault="00871F8D">
            <w:pPr>
              <w:jc w:val="right"/>
              <w:textAlignment w:val="bottom"/>
            </w:pPr>
            <w:r>
              <w:rPr>
                <w:rFonts w:ascii="Arial" w:eastAsia="宋体" w:hAnsi="Arial" w:cs="Arial"/>
                <w:color w:val="000000"/>
                <w:sz w:val="15"/>
                <w:szCs w:val="15"/>
              </w:rPr>
              <w:t>76 </w:t>
            </w:r>
          </w:p>
        </w:tc>
        <w:tc>
          <w:tcPr>
            <w:tcW w:w="0" w:type="auto"/>
            <w:shd w:val="clear" w:color="auto" w:fill="CCEEFF"/>
            <w:tcMar>
              <w:top w:w="40" w:type="dxa"/>
              <w:left w:w="0" w:type="dxa"/>
              <w:bottom w:w="40" w:type="dxa"/>
              <w:right w:w="20" w:type="dxa"/>
            </w:tcMar>
            <w:vAlign w:val="bottom"/>
          </w:tcPr>
          <w:p w14:paraId="74DDD07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07C"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07D" w14:textId="77777777" w:rsidR="00584EC1" w:rsidRDefault="00871F8D">
            <w:pPr>
              <w:jc w:val="right"/>
              <w:textAlignment w:val="bottom"/>
            </w:pPr>
            <w:r>
              <w:rPr>
                <w:rFonts w:ascii="Arial" w:eastAsia="宋体" w:hAnsi="Arial" w:cs="Arial"/>
                <w:color w:val="000000"/>
                <w:sz w:val="15"/>
                <w:szCs w:val="15"/>
              </w:rPr>
              <w:t>2 </w:t>
            </w:r>
          </w:p>
        </w:tc>
        <w:tc>
          <w:tcPr>
            <w:tcW w:w="0" w:type="auto"/>
            <w:shd w:val="clear" w:color="auto" w:fill="CCEEFF"/>
            <w:tcMar>
              <w:top w:w="40" w:type="dxa"/>
              <w:left w:w="0" w:type="dxa"/>
              <w:bottom w:w="40" w:type="dxa"/>
              <w:right w:w="20" w:type="dxa"/>
            </w:tcMar>
            <w:vAlign w:val="bottom"/>
          </w:tcPr>
          <w:p w14:paraId="74DDD07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07F"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080"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D08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082"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083" w14:textId="77777777" w:rsidR="00584EC1" w:rsidRDefault="00871F8D">
            <w:pPr>
              <w:jc w:val="right"/>
              <w:textAlignment w:val="bottom"/>
            </w:pPr>
            <w:r>
              <w:rPr>
                <w:rFonts w:ascii="Arial" w:eastAsia="宋体" w:hAnsi="Arial" w:cs="Arial"/>
                <w:color w:val="000000"/>
                <w:sz w:val="15"/>
                <w:szCs w:val="15"/>
              </w:rPr>
              <w:t>78 </w:t>
            </w:r>
          </w:p>
        </w:tc>
        <w:tc>
          <w:tcPr>
            <w:tcW w:w="0" w:type="auto"/>
            <w:shd w:val="clear" w:color="auto" w:fill="CCEEFF"/>
            <w:tcMar>
              <w:top w:w="40" w:type="dxa"/>
              <w:left w:w="0" w:type="dxa"/>
              <w:bottom w:w="40" w:type="dxa"/>
              <w:right w:w="20" w:type="dxa"/>
            </w:tcMar>
            <w:vAlign w:val="bottom"/>
          </w:tcPr>
          <w:p w14:paraId="74DDD084" w14:textId="77777777" w:rsidR="00584EC1" w:rsidRDefault="00584EC1">
            <w:pPr>
              <w:jc w:val="right"/>
              <w:rPr>
                <w:rFonts w:ascii="宋体"/>
              </w:rPr>
            </w:pPr>
          </w:p>
        </w:tc>
      </w:tr>
      <w:tr w:rsidR="00584EC1" w14:paraId="74DDD09E" w14:textId="77777777">
        <w:tc>
          <w:tcPr>
            <w:tcW w:w="0" w:type="auto"/>
            <w:gridSpan w:val="3"/>
            <w:shd w:val="clear" w:color="auto" w:fill="FFFFFF"/>
            <w:tcMar>
              <w:top w:w="40" w:type="dxa"/>
              <w:left w:w="245" w:type="dxa"/>
              <w:bottom w:w="40" w:type="dxa"/>
              <w:right w:w="20" w:type="dxa"/>
            </w:tcMar>
            <w:vAlign w:val="bottom"/>
          </w:tcPr>
          <w:p w14:paraId="74DDD086" w14:textId="77777777" w:rsidR="00584EC1" w:rsidRDefault="00871F8D">
            <w:pPr>
              <w:textAlignment w:val="bottom"/>
            </w:pPr>
            <w:r>
              <w:rPr>
                <w:rFonts w:ascii="Arial" w:eastAsia="宋体" w:hAnsi="Arial" w:cs="Arial"/>
                <w:color w:val="000000"/>
                <w:sz w:val="15"/>
                <w:szCs w:val="15"/>
              </w:rPr>
              <w:t>Other</w:t>
            </w:r>
          </w:p>
        </w:tc>
        <w:tc>
          <w:tcPr>
            <w:tcW w:w="0" w:type="auto"/>
            <w:gridSpan w:val="2"/>
            <w:shd w:val="clear" w:color="auto" w:fill="FFFFFF"/>
            <w:tcMar>
              <w:top w:w="40" w:type="dxa"/>
              <w:left w:w="20" w:type="dxa"/>
              <w:bottom w:w="40" w:type="dxa"/>
              <w:right w:w="0" w:type="dxa"/>
            </w:tcMar>
            <w:vAlign w:val="bottom"/>
          </w:tcPr>
          <w:p w14:paraId="74DDD087" w14:textId="77777777" w:rsidR="00584EC1" w:rsidRDefault="00871F8D">
            <w:pPr>
              <w:jc w:val="right"/>
              <w:textAlignment w:val="bottom"/>
            </w:pPr>
            <w:r>
              <w:rPr>
                <w:rFonts w:ascii="Arial" w:eastAsia="宋体" w:hAnsi="Arial" w:cs="Arial"/>
                <w:b/>
                <w:bCs/>
                <w:color w:val="000000"/>
                <w:sz w:val="15"/>
                <w:szCs w:val="15"/>
              </w:rPr>
              <w:t>90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D08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08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08A" w14:textId="77777777" w:rsidR="00584EC1" w:rsidRDefault="00871F8D">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D08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08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08D"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D08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08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090" w14:textId="77777777" w:rsidR="00584EC1" w:rsidRDefault="00871F8D">
            <w:pPr>
              <w:jc w:val="right"/>
              <w:textAlignment w:val="bottom"/>
            </w:pPr>
            <w:r>
              <w:rPr>
                <w:rFonts w:ascii="Arial" w:eastAsia="宋体" w:hAnsi="Arial" w:cs="Arial"/>
                <w:b/>
                <w:bCs/>
                <w:color w:val="000000"/>
                <w:sz w:val="15"/>
                <w:szCs w:val="15"/>
              </w:rPr>
              <w:t>92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D09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09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093" w14:textId="77777777" w:rsidR="00584EC1" w:rsidRDefault="00871F8D">
            <w:pPr>
              <w:jc w:val="right"/>
              <w:textAlignment w:val="bottom"/>
            </w:pPr>
            <w:r>
              <w:rPr>
                <w:rFonts w:ascii="Arial" w:eastAsia="宋体" w:hAnsi="Arial" w:cs="Arial"/>
                <w:color w:val="000000"/>
                <w:sz w:val="15"/>
                <w:szCs w:val="15"/>
              </w:rPr>
              <w:t>90 </w:t>
            </w:r>
          </w:p>
        </w:tc>
        <w:tc>
          <w:tcPr>
            <w:tcW w:w="0" w:type="auto"/>
            <w:shd w:val="clear" w:color="auto" w:fill="FFFFFF"/>
            <w:tcMar>
              <w:top w:w="40" w:type="dxa"/>
              <w:left w:w="0" w:type="dxa"/>
              <w:bottom w:w="40" w:type="dxa"/>
              <w:right w:w="20" w:type="dxa"/>
            </w:tcMar>
            <w:vAlign w:val="bottom"/>
          </w:tcPr>
          <w:p w14:paraId="74DDD09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095"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096"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D09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098"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099"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D09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09B"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09C" w14:textId="77777777" w:rsidR="00584EC1" w:rsidRDefault="00871F8D">
            <w:pPr>
              <w:jc w:val="right"/>
              <w:textAlignment w:val="bottom"/>
            </w:pPr>
            <w:r>
              <w:rPr>
                <w:rFonts w:ascii="Arial" w:eastAsia="宋体" w:hAnsi="Arial" w:cs="Arial"/>
                <w:color w:val="000000"/>
                <w:sz w:val="15"/>
                <w:szCs w:val="15"/>
              </w:rPr>
              <w:t>90 </w:t>
            </w:r>
          </w:p>
        </w:tc>
        <w:tc>
          <w:tcPr>
            <w:tcW w:w="0" w:type="auto"/>
            <w:shd w:val="clear" w:color="auto" w:fill="FFFFFF"/>
            <w:tcMar>
              <w:top w:w="40" w:type="dxa"/>
              <w:left w:w="0" w:type="dxa"/>
              <w:bottom w:w="40" w:type="dxa"/>
              <w:right w:w="20" w:type="dxa"/>
            </w:tcMar>
            <w:vAlign w:val="bottom"/>
          </w:tcPr>
          <w:p w14:paraId="74DDD09D" w14:textId="77777777" w:rsidR="00584EC1" w:rsidRDefault="00584EC1">
            <w:pPr>
              <w:jc w:val="right"/>
              <w:rPr>
                <w:rFonts w:ascii="宋体"/>
              </w:rPr>
            </w:pPr>
          </w:p>
        </w:tc>
      </w:tr>
      <w:tr w:rsidR="00584EC1" w14:paraId="74DDD0B7" w14:textId="77777777">
        <w:tc>
          <w:tcPr>
            <w:tcW w:w="0" w:type="auto"/>
            <w:gridSpan w:val="3"/>
            <w:shd w:val="clear" w:color="auto" w:fill="CCEEFF"/>
            <w:tcMar>
              <w:top w:w="40" w:type="dxa"/>
              <w:left w:w="380" w:type="dxa"/>
              <w:bottom w:w="40" w:type="dxa"/>
              <w:right w:w="20" w:type="dxa"/>
            </w:tcMar>
            <w:vAlign w:val="bottom"/>
          </w:tcPr>
          <w:p w14:paraId="74DDD09F" w14:textId="77777777" w:rsidR="00584EC1" w:rsidRDefault="00871F8D">
            <w:pPr>
              <w:textAlignment w:val="bottom"/>
            </w:pPr>
            <w:r>
              <w:rPr>
                <w:rFonts w:ascii="Arial" w:eastAsia="宋体" w:hAnsi="Arial" w:cs="Arial"/>
                <w:color w:val="000000"/>
                <w:sz w:val="15"/>
                <w:szCs w:val="15"/>
              </w:rPr>
              <w:t>Total asset-backed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0A0" w14:textId="77777777" w:rsidR="00584EC1" w:rsidRDefault="00871F8D">
            <w:pPr>
              <w:jc w:val="right"/>
              <w:textAlignment w:val="bottom"/>
            </w:pPr>
            <w:r>
              <w:rPr>
                <w:rFonts w:ascii="Arial" w:eastAsia="宋体" w:hAnsi="Arial" w:cs="Arial"/>
                <w:b/>
                <w:bCs/>
                <w:color w:val="000000"/>
                <w:sz w:val="15"/>
                <w:szCs w:val="15"/>
              </w:rPr>
              <w:t>4,669</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0A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0A2"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0A3" w14:textId="77777777" w:rsidR="00584EC1" w:rsidRDefault="00871F8D">
            <w:pPr>
              <w:jc w:val="right"/>
              <w:textAlignment w:val="bottom"/>
            </w:pPr>
            <w:r>
              <w:rPr>
                <w:rFonts w:ascii="Arial" w:eastAsia="宋体" w:hAnsi="Arial" w:cs="Arial"/>
                <w:b/>
                <w:bCs/>
                <w:color w:val="000000"/>
                <w:sz w:val="15"/>
                <w:szCs w:val="15"/>
              </w:rPr>
              <w:t>10</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0A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0A5"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0A6" w14:textId="77777777" w:rsidR="00584EC1" w:rsidRDefault="00871F8D">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0A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0A8"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0A9" w14:textId="77777777" w:rsidR="00584EC1" w:rsidRDefault="00871F8D">
            <w:pPr>
              <w:jc w:val="right"/>
              <w:textAlignment w:val="bottom"/>
            </w:pPr>
            <w:r>
              <w:rPr>
                <w:rFonts w:ascii="Arial" w:eastAsia="宋体" w:hAnsi="Arial" w:cs="Arial"/>
                <w:b/>
                <w:bCs/>
                <w:color w:val="000000"/>
                <w:sz w:val="15"/>
                <w:szCs w:val="15"/>
              </w:rPr>
              <w:t>4,678</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0A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0AB"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0AC" w14:textId="77777777" w:rsidR="00584EC1" w:rsidRDefault="00871F8D">
            <w:pPr>
              <w:jc w:val="right"/>
              <w:textAlignment w:val="bottom"/>
            </w:pPr>
            <w:r>
              <w:rPr>
                <w:rFonts w:ascii="Arial" w:eastAsia="宋体" w:hAnsi="Arial" w:cs="Arial"/>
                <w:color w:val="000000"/>
                <w:sz w:val="15"/>
                <w:szCs w:val="15"/>
              </w:rPr>
              <w:t>3,448 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0A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0AE"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0AF" w14:textId="77777777" w:rsidR="00584EC1" w:rsidRDefault="00871F8D">
            <w:pPr>
              <w:jc w:val="right"/>
              <w:textAlignment w:val="bottom"/>
            </w:pPr>
            <w:r>
              <w:rPr>
                <w:rFonts w:ascii="Arial" w:eastAsia="宋体" w:hAnsi="Arial" w:cs="Arial"/>
                <w:color w:val="000000"/>
                <w:sz w:val="15"/>
                <w:szCs w:val="15"/>
              </w:rPr>
              <w:t>7 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0B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0B1"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0B2" w14:textId="77777777" w:rsidR="00584EC1" w:rsidRDefault="00871F8D">
            <w:pPr>
              <w:jc w:val="right"/>
              <w:textAlignment w:val="bottom"/>
            </w:pPr>
            <w:r>
              <w:rPr>
                <w:rFonts w:ascii="Arial" w:eastAsia="宋体" w:hAnsi="Arial" w:cs="Arial"/>
                <w:color w:val="000000"/>
                <w:sz w:val="15"/>
                <w:szCs w:val="15"/>
              </w:rPr>
              <w:t>7 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0B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0B4"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0B5" w14:textId="77777777" w:rsidR="00584EC1" w:rsidRDefault="00871F8D">
            <w:pPr>
              <w:jc w:val="right"/>
              <w:textAlignment w:val="bottom"/>
            </w:pPr>
            <w:r>
              <w:rPr>
                <w:rFonts w:ascii="Arial" w:eastAsia="宋体" w:hAnsi="Arial" w:cs="Arial"/>
                <w:color w:val="000000"/>
                <w:sz w:val="15"/>
                <w:szCs w:val="15"/>
              </w:rPr>
              <w:t>3,448 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0B6" w14:textId="77777777" w:rsidR="00584EC1" w:rsidRDefault="00584EC1">
            <w:pPr>
              <w:jc w:val="right"/>
              <w:rPr>
                <w:rFonts w:ascii="宋体"/>
              </w:rPr>
            </w:pPr>
          </w:p>
        </w:tc>
      </w:tr>
      <w:tr w:rsidR="00584EC1" w14:paraId="74DDD0C8" w14:textId="77777777">
        <w:trPr>
          <w:hidden/>
        </w:trPr>
        <w:tc>
          <w:tcPr>
            <w:tcW w:w="0" w:type="auto"/>
            <w:gridSpan w:val="3"/>
            <w:shd w:val="clear" w:color="auto" w:fill="auto"/>
            <w:vAlign w:val="bottom"/>
          </w:tcPr>
          <w:p w14:paraId="74DDD0B8" w14:textId="77777777" w:rsidR="00584EC1" w:rsidRDefault="00584EC1">
            <w:pPr>
              <w:rPr>
                <w:rFonts w:ascii="宋体"/>
                <w:vanish/>
              </w:rPr>
            </w:pPr>
          </w:p>
        </w:tc>
        <w:tc>
          <w:tcPr>
            <w:tcW w:w="0" w:type="auto"/>
            <w:gridSpan w:val="3"/>
            <w:shd w:val="clear" w:color="auto" w:fill="auto"/>
            <w:vAlign w:val="bottom"/>
          </w:tcPr>
          <w:p w14:paraId="74DDD0B9" w14:textId="77777777" w:rsidR="00584EC1" w:rsidRDefault="00584EC1">
            <w:pPr>
              <w:rPr>
                <w:rFonts w:ascii="宋体"/>
                <w:vanish/>
              </w:rPr>
            </w:pPr>
          </w:p>
        </w:tc>
        <w:tc>
          <w:tcPr>
            <w:tcW w:w="0" w:type="auto"/>
            <w:gridSpan w:val="3"/>
            <w:shd w:val="clear" w:color="auto" w:fill="auto"/>
            <w:vAlign w:val="bottom"/>
          </w:tcPr>
          <w:p w14:paraId="74DDD0BA" w14:textId="77777777" w:rsidR="00584EC1" w:rsidRDefault="00584EC1">
            <w:pPr>
              <w:rPr>
                <w:rFonts w:ascii="宋体"/>
                <w:vanish/>
              </w:rPr>
            </w:pPr>
          </w:p>
        </w:tc>
        <w:tc>
          <w:tcPr>
            <w:tcW w:w="0" w:type="auto"/>
            <w:gridSpan w:val="3"/>
            <w:shd w:val="clear" w:color="auto" w:fill="auto"/>
            <w:vAlign w:val="bottom"/>
          </w:tcPr>
          <w:p w14:paraId="74DDD0BB" w14:textId="77777777" w:rsidR="00584EC1" w:rsidRDefault="00584EC1">
            <w:pPr>
              <w:rPr>
                <w:rFonts w:ascii="宋体"/>
                <w:vanish/>
              </w:rPr>
            </w:pPr>
          </w:p>
        </w:tc>
        <w:tc>
          <w:tcPr>
            <w:tcW w:w="0" w:type="auto"/>
            <w:gridSpan w:val="3"/>
            <w:shd w:val="clear" w:color="auto" w:fill="auto"/>
            <w:vAlign w:val="bottom"/>
          </w:tcPr>
          <w:p w14:paraId="74DDD0BC" w14:textId="77777777" w:rsidR="00584EC1" w:rsidRDefault="00584EC1">
            <w:pPr>
              <w:rPr>
                <w:rFonts w:ascii="宋体"/>
                <w:vanish/>
              </w:rPr>
            </w:pPr>
          </w:p>
        </w:tc>
        <w:tc>
          <w:tcPr>
            <w:tcW w:w="0" w:type="auto"/>
            <w:gridSpan w:val="3"/>
            <w:shd w:val="clear" w:color="auto" w:fill="auto"/>
            <w:vAlign w:val="bottom"/>
          </w:tcPr>
          <w:p w14:paraId="74DDD0BD" w14:textId="77777777" w:rsidR="00584EC1" w:rsidRDefault="00584EC1">
            <w:pPr>
              <w:rPr>
                <w:rFonts w:ascii="宋体"/>
                <w:vanish/>
              </w:rPr>
            </w:pPr>
          </w:p>
        </w:tc>
        <w:tc>
          <w:tcPr>
            <w:tcW w:w="0" w:type="auto"/>
            <w:gridSpan w:val="3"/>
            <w:shd w:val="clear" w:color="auto" w:fill="auto"/>
            <w:vAlign w:val="bottom"/>
          </w:tcPr>
          <w:p w14:paraId="74DDD0BE" w14:textId="77777777" w:rsidR="00584EC1" w:rsidRDefault="00584EC1">
            <w:pPr>
              <w:rPr>
                <w:rFonts w:ascii="宋体"/>
                <w:vanish/>
              </w:rPr>
            </w:pPr>
          </w:p>
        </w:tc>
        <w:tc>
          <w:tcPr>
            <w:tcW w:w="0" w:type="auto"/>
            <w:gridSpan w:val="3"/>
            <w:shd w:val="clear" w:color="auto" w:fill="auto"/>
            <w:vAlign w:val="bottom"/>
          </w:tcPr>
          <w:p w14:paraId="74DDD0BF" w14:textId="77777777" w:rsidR="00584EC1" w:rsidRDefault="00584EC1">
            <w:pPr>
              <w:rPr>
                <w:rFonts w:ascii="宋体"/>
                <w:vanish/>
              </w:rPr>
            </w:pPr>
          </w:p>
        </w:tc>
        <w:tc>
          <w:tcPr>
            <w:tcW w:w="0" w:type="auto"/>
            <w:gridSpan w:val="3"/>
            <w:shd w:val="clear" w:color="auto" w:fill="auto"/>
            <w:vAlign w:val="bottom"/>
          </w:tcPr>
          <w:p w14:paraId="74DDD0C0" w14:textId="77777777" w:rsidR="00584EC1" w:rsidRDefault="00584EC1">
            <w:pPr>
              <w:rPr>
                <w:rFonts w:ascii="宋体"/>
                <w:vanish/>
              </w:rPr>
            </w:pPr>
          </w:p>
        </w:tc>
        <w:tc>
          <w:tcPr>
            <w:tcW w:w="0" w:type="auto"/>
            <w:gridSpan w:val="3"/>
            <w:shd w:val="clear" w:color="auto" w:fill="auto"/>
            <w:vAlign w:val="bottom"/>
          </w:tcPr>
          <w:p w14:paraId="74DDD0C1" w14:textId="77777777" w:rsidR="00584EC1" w:rsidRDefault="00584EC1">
            <w:pPr>
              <w:rPr>
                <w:rFonts w:ascii="宋体"/>
                <w:vanish/>
              </w:rPr>
            </w:pPr>
          </w:p>
        </w:tc>
        <w:tc>
          <w:tcPr>
            <w:tcW w:w="0" w:type="auto"/>
            <w:gridSpan w:val="3"/>
            <w:shd w:val="clear" w:color="auto" w:fill="auto"/>
            <w:vAlign w:val="bottom"/>
          </w:tcPr>
          <w:p w14:paraId="74DDD0C2" w14:textId="77777777" w:rsidR="00584EC1" w:rsidRDefault="00584EC1">
            <w:pPr>
              <w:rPr>
                <w:rFonts w:ascii="宋体"/>
                <w:vanish/>
              </w:rPr>
            </w:pPr>
          </w:p>
        </w:tc>
        <w:tc>
          <w:tcPr>
            <w:tcW w:w="0" w:type="auto"/>
            <w:gridSpan w:val="3"/>
            <w:shd w:val="clear" w:color="auto" w:fill="auto"/>
            <w:vAlign w:val="bottom"/>
          </w:tcPr>
          <w:p w14:paraId="74DDD0C3" w14:textId="77777777" w:rsidR="00584EC1" w:rsidRDefault="00584EC1">
            <w:pPr>
              <w:rPr>
                <w:rFonts w:ascii="宋体"/>
                <w:vanish/>
              </w:rPr>
            </w:pPr>
          </w:p>
        </w:tc>
        <w:tc>
          <w:tcPr>
            <w:tcW w:w="0" w:type="auto"/>
            <w:gridSpan w:val="3"/>
            <w:shd w:val="clear" w:color="auto" w:fill="auto"/>
            <w:vAlign w:val="bottom"/>
          </w:tcPr>
          <w:p w14:paraId="74DDD0C4" w14:textId="77777777" w:rsidR="00584EC1" w:rsidRDefault="00584EC1">
            <w:pPr>
              <w:rPr>
                <w:rFonts w:ascii="宋体"/>
                <w:vanish/>
              </w:rPr>
            </w:pPr>
          </w:p>
        </w:tc>
        <w:tc>
          <w:tcPr>
            <w:tcW w:w="0" w:type="auto"/>
            <w:gridSpan w:val="3"/>
            <w:shd w:val="clear" w:color="auto" w:fill="auto"/>
            <w:vAlign w:val="bottom"/>
          </w:tcPr>
          <w:p w14:paraId="74DDD0C5" w14:textId="77777777" w:rsidR="00584EC1" w:rsidRDefault="00584EC1">
            <w:pPr>
              <w:rPr>
                <w:rFonts w:ascii="宋体"/>
                <w:vanish/>
              </w:rPr>
            </w:pPr>
          </w:p>
        </w:tc>
        <w:tc>
          <w:tcPr>
            <w:tcW w:w="0" w:type="auto"/>
            <w:gridSpan w:val="3"/>
            <w:shd w:val="clear" w:color="auto" w:fill="auto"/>
            <w:vAlign w:val="bottom"/>
          </w:tcPr>
          <w:p w14:paraId="74DDD0C6" w14:textId="77777777" w:rsidR="00584EC1" w:rsidRDefault="00584EC1">
            <w:pPr>
              <w:rPr>
                <w:rFonts w:ascii="宋体"/>
                <w:vanish/>
              </w:rPr>
            </w:pPr>
          </w:p>
        </w:tc>
        <w:tc>
          <w:tcPr>
            <w:tcW w:w="0" w:type="auto"/>
            <w:gridSpan w:val="3"/>
            <w:shd w:val="clear" w:color="auto" w:fill="auto"/>
            <w:vAlign w:val="bottom"/>
          </w:tcPr>
          <w:p w14:paraId="74DDD0C7" w14:textId="77777777" w:rsidR="00584EC1" w:rsidRDefault="00584EC1">
            <w:pPr>
              <w:rPr>
                <w:rFonts w:ascii="宋体"/>
                <w:vanish/>
              </w:rPr>
            </w:pPr>
          </w:p>
        </w:tc>
      </w:tr>
      <w:tr w:rsidR="00584EC1" w14:paraId="74DDD0D9" w14:textId="77777777">
        <w:trPr>
          <w:hidden/>
        </w:trPr>
        <w:tc>
          <w:tcPr>
            <w:tcW w:w="0" w:type="auto"/>
            <w:gridSpan w:val="3"/>
            <w:shd w:val="clear" w:color="auto" w:fill="auto"/>
            <w:vAlign w:val="bottom"/>
          </w:tcPr>
          <w:p w14:paraId="74DDD0C9" w14:textId="77777777" w:rsidR="00584EC1" w:rsidRDefault="00584EC1">
            <w:pPr>
              <w:rPr>
                <w:rFonts w:ascii="宋体"/>
                <w:vanish/>
              </w:rPr>
            </w:pPr>
          </w:p>
        </w:tc>
        <w:tc>
          <w:tcPr>
            <w:tcW w:w="0" w:type="auto"/>
            <w:gridSpan w:val="3"/>
            <w:shd w:val="clear" w:color="auto" w:fill="auto"/>
            <w:vAlign w:val="bottom"/>
          </w:tcPr>
          <w:p w14:paraId="74DDD0CA" w14:textId="77777777" w:rsidR="00584EC1" w:rsidRDefault="00584EC1">
            <w:pPr>
              <w:rPr>
                <w:rFonts w:ascii="宋体"/>
                <w:vanish/>
              </w:rPr>
            </w:pPr>
          </w:p>
        </w:tc>
        <w:tc>
          <w:tcPr>
            <w:tcW w:w="0" w:type="auto"/>
            <w:gridSpan w:val="3"/>
            <w:shd w:val="clear" w:color="auto" w:fill="auto"/>
            <w:vAlign w:val="bottom"/>
          </w:tcPr>
          <w:p w14:paraId="74DDD0CB" w14:textId="77777777" w:rsidR="00584EC1" w:rsidRDefault="00584EC1">
            <w:pPr>
              <w:rPr>
                <w:rFonts w:ascii="宋体"/>
                <w:vanish/>
              </w:rPr>
            </w:pPr>
          </w:p>
        </w:tc>
        <w:tc>
          <w:tcPr>
            <w:tcW w:w="0" w:type="auto"/>
            <w:gridSpan w:val="3"/>
            <w:shd w:val="clear" w:color="auto" w:fill="auto"/>
            <w:vAlign w:val="bottom"/>
          </w:tcPr>
          <w:p w14:paraId="74DDD0CC" w14:textId="77777777" w:rsidR="00584EC1" w:rsidRDefault="00584EC1">
            <w:pPr>
              <w:rPr>
                <w:rFonts w:ascii="宋体"/>
                <w:vanish/>
              </w:rPr>
            </w:pPr>
          </w:p>
        </w:tc>
        <w:tc>
          <w:tcPr>
            <w:tcW w:w="0" w:type="auto"/>
            <w:gridSpan w:val="3"/>
            <w:shd w:val="clear" w:color="auto" w:fill="auto"/>
            <w:vAlign w:val="bottom"/>
          </w:tcPr>
          <w:p w14:paraId="74DDD0CD" w14:textId="77777777" w:rsidR="00584EC1" w:rsidRDefault="00584EC1">
            <w:pPr>
              <w:rPr>
                <w:rFonts w:ascii="宋体"/>
                <w:vanish/>
              </w:rPr>
            </w:pPr>
          </w:p>
        </w:tc>
        <w:tc>
          <w:tcPr>
            <w:tcW w:w="0" w:type="auto"/>
            <w:gridSpan w:val="3"/>
            <w:shd w:val="clear" w:color="auto" w:fill="auto"/>
            <w:vAlign w:val="bottom"/>
          </w:tcPr>
          <w:p w14:paraId="74DDD0CE" w14:textId="77777777" w:rsidR="00584EC1" w:rsidRDefault="00584EC1">
            <w:pPr>
              <w:rPr>
                <w:rFonts w:ascii="宋体"/>
                <w:vanish/>
              </w:rPr>
            </w:pPr>
          </w:p>
        </w:tc>
        <w:tc>
          <w:tcPr>
            <w:tcW w:w="0" w:type="auto"/>
            <w:gridSpan w:val="3"/>
            <w:shd w:val="clear" w:color="auto" w:fill="auto"/>
            <w:vAlign w:val="bottom"/>
          </w:tcPr>
          <w:p w14:paraId="74DDD0CF" w14:textId="77777777" w:rsidR="00584EC1" w:rsidRDefault="00584EC1">
            <w:pPr>
              <w:rPr>
                <w:rFonts w:ascii="宋体"/>
                <w:vanish/>
              </w:rPr>
            </w:pPr>
          </w:p>
        </w:tc>
        <w:tc>
          <w:tcPr>
            <w:tcW w:w="0" w:type="auto"/>
            <w:gridSpan w:val="3"/>
            <w:shd w:val="clear" w:color="auto" w:fill="auto"/>
            <w:vAlign w:val="bottom"/>
          </w:tcPr>
          <w:p w14:paraId="74DDD0D0" w14:textId="77777777" w:rsidR="00584EC1" w:rsidRDefault="00584EC1">
            <w:pPr>
              <w:rPr>
                <w:rFonts w:ascii="宋体"/>
                <w:vanish/>
              </w:rPr>
            </w:pPr>
          </w:p>
        </w:tc>
        <w:tc>
          <w:tcPr>
            <w:tcW w:w="0" w:type="auto"/>
            <w:gridSpan w:val="3"/>
            <w:shd w:val="clear" w:color="auto" w:fill="auto"/>
            <w:vAlign w:val="bottom"/>
          </w:tcPr>
          <w:p w14:paraId="74DDD0D1" w14:textId="77777777" w:rsidR="00584EC1" w:rsidRDefault="00584EC1">
            <w:pPr>
              <w:rPr>
                <w:rFonts w:ascii="宋体"/>
                <w:vanish/>
              </w:rPr>
            </w:pPr>
          </w:p>
        </w:tc>
        <w:tc>
          <w:tcPr>
            <w:tcW w:w="0" w:type="auto"/>
            <w:gridSpan w:val="3"/>
            <w:shd w:val="clear" w:color="auto" w:fill="auto"/>
            <w:vAlign w:val="bottom"/>
          </w:tcPr>
          <w:p w14:paraId="74DDD0D2" w14:textId="77777777" w:rsidR="00584EC1" w:rsidRDefault="00584EC1">
            <w:pPr>
              <w:rPr>
                <w:rFonts w:ascii="宋体"/>
                <w:vanish/>
              </w:rPr>
            </w:pPr>
          </w:p>
        </w:tc>
        <w:tc>
          <w:tcPr>
            <w:tcW w:w="0" w:type="auto"/>
            <w:gridSpan w:val="3"/>
            <w:shd w:val="clear" w:color="auto" w:fill="auto"/>
            <w:vAlign w:val="bottom"/>
          </w:tcPr>
          <w:p w14:paraId="74DDD0D3" w14:textId="77777777" w:rsidR="00584EC1" w:rsidRDefault="00584EC1">
            <w:pPr>
              <w:rPr>
                <w:rFonts w:ascii="宋体"/>
                <w:vanish/>
              </w:rPr>
            </w:pPr>
          </w:p>
        </w:tc>
        <w:tc>
          <w:tcPr>
            <w:tcW w:w="0" w:type="auto"/>
            <w:gridSpan w:val="3"/>
            <w:shd w:val="clear" w:color="auto" w:fill="auto"/>
            <w:vAlign w:val="bottom"/>
          </w:tcPr>
          <w:p w14:paraId="74DDD0D4" w14:textId="77777777" w:rsidR="00584EC1" w:rsidRDefault="00584EC1">
            <w:pPr>
              <w:rPr>
                <w:rFonts w:ascii="宋体"/>
                <w:vanish/>
              </w:rPr>
            </w:pPr>
          </w:p>
        </w:tc>
        <w:tc>
          <w:tcPr>
            <w:tcW w:w="0" w:type="auto"/>
            <w:gridSpan w:val="3"/>
            <w:shd w:val="clear" w:color="auto" w:fill="auto"/>
            <w:vAlign w:val="bottom"/>
          </w:tcPr>
          <w:p w14:paraId="74DDD0D5" w14:textId="77777777" w:rsidR="00584EC1" w:rsidRDefault="00584EC1">
            <w:pPr>
              <w:rPr>
                <w:rFonts w:ascii="宋体"/>
                <w:vanish/>
              </w:rPr>
            </w:pPr>
          </w:p>
        </w:tc>
        <w:tc>
          <w:tcPr>
            <w:tcW w:w="0" w:type="auto"/>
            <w:gridSpan w:val="3"/>
            <w:shd w:val="clear" w:color="auto" w:fill="auto"/>
            <w:vAlign w:val="bottom"/>
          </w:tcPr>
          <w:p w14:paraId="74DDD0D6" w14:textId="77777777" w:rsidR="00584EC1" w:rsidRDefault="00584EC1">
            <w:pPr>
              <w:rPr>
                <w:rFonts w:ascii="宋体"/>
                <w:vanish/>
              </w:rPr>
            </w:pPr>
          </w:p>
        </w:tc>
        <w:tc>
          <w:tcPr>
            <w:tcW w:w="0" w:type="auto"/>
            <w:gridSpan w:val="3"/>
            <w:shd w:val="clear" w:color="auto" w:fill="auto"/>
            <w:vAlign w:val="bottom"/>
          </w:tcPr>
          <w:p w14:paraId="74DDD0D7" w14:textId="77777777" w:rsidR="00584EC1" w:rsidRDefault="00584EC1">
            <w:pPr>
              <w:rPr>
                <w:rFonts w:ascii="宋体"/>
                <w:vanish/>
              </w:rPr>
            </w:pPr>
          </w:p>
        </w:tc>
        <w:tc>
          <w:tcPr>
            <w:tcW w:w="0" w:type="auto"/>
            <w:gridSpan w:val="3"/>
            <w:shd w:val="clear" w:color="auto" w:fill="auto"/>
            <w:vAlign w:val="bottom"/>
          </w:tcPr>
          <w:p w14:paraId="74DDD0D8" w14:textId="77777777" w:rsidR="00584EC1" w:rsidRDefault="00584EC1">
            <w:pPr>
              <w:rPr>
                <w:rFonts w:ascii="宋体"/>
                <w:vanish/>
              </w:rPr>
            </w:pPr>
          </w:p>
        </w:tc>
      </w:tr>
      <w:tr w:rsidR="00584EC1" w14:paraId="74DDD0EA" w14:textId="77777777">
        <w:trPr>
          <w:hidden/>
        </w:trPr>
        <w:tc>
          <w:tcPr>
            <w:tcW w:w="0" w:type="auto"/>
            <w:gridSpan w:val="3"/>
            <w:shd w:val="clear" w:color="auto" w:fill="auto"/>
            <w:vAlign w:val="bottom"/>
          </w:tcPr>
          <w:p w14:paraId="74DDD0DA" w14:textId="77777777" w:rsidR="00584EC1" w:rsidRDefault="00584EC1">
            <w:pPr>
              <w:rPr>
                <w:rFonts w:ascii="宋体"/>
                <w:vanish/>
              </w:rPr>
            </w:pPr>
          </w:p>
        </w:tc>
        <w:tc>
          <w:tcPr>
            <w:tcW w:w="0" w:type="auto"/>
            <w:gridSpan w:val="3"/>
            <w:shd w:val="clear" w:color="auto" w:fill="auto"/>
            <w:vAlign w:val="bottom"/>
          </w:tcPr>
          <w:p w14:paraId="74DDD0DB" w14:textId="77777777" w:rsidR="00584EC1" w:rsidRDefault="00584EC1">
            <w:pPr>
              <w:rPr>
                <w:rFonts w:ascii="宋体"/>
                <w:vanish/>
              </w:rPr>
            </w:pPr>
          </w:p>
        </w:tc>
        <w:tc>
          <w:tcPr>
            <w:tcW w:w="0" w:type="auto"/>
            <w:gridSpan w:val="3"/>
            <w:shd w:val="clear" w:color="auto" w:fill="auto"/>
            <w:vAlign w:val="bottom"/>
          </w:tcPr>
          <w:p w14:paraId="74DDD0DC" w14:textId="77777777" w:rsidR="00584EC1" w:rsidRDefault="00584EC1">
            <w:pPr>
              <w:rPr>
                <w:rFonts w:ascii="宋体"/>
                <w:vanish/>
              </w:rPr>
            </w:pPr>
          </w:p>
        </w:tc>
        <w:tc>
          <w:tcPr>
            <w:tcW w:w="0" w:type="auto"/>
            <w:gridSpan w:val="3"/>
            <w:shd w:val="clear" w:color="auto" w:fill="auto"/>
            <w:vAlign w:val="bottom"/>
          </w:tcPr>
          <w:p w14:paraId="74DDD0DD" w14:textId="77777777" w:rsidR="00584EC1" w:rsidRDefault="00584EC1">
            <w:pPr>
              <w:rPr>
                <w:rFonts w:ascii="宋体"/>
                <w:vanish/>
              </w:rPr>
            </w:pPr>
          </w:p>
        </w:tc>
        <w:tc>
          <w:tcPr>
            <w:tcW w:w="0" w:type="auto"/>
            <w:gridSpan w:val="3"/>
            <w:shd w:val="clear" w:color="auto" w:fill="auto"/>
            <w:vAlign w:val="bottom"/>
          </w:tcPr>
          <w:p w14:paraId="74DDD0DE" w14:textId="77777777" w:rsidR="00584EC1" w:rsidRDefault="00584EC1">
            <w:pPr>
              <w:rPr>
                <w:rFonts w:ascii="宋体"/>
                <w:vanish/>
              </w:rPr>
            </w:pPr>
          </w:p>
        </w:tc>
        <w:tc>
          <w:tcPr>
            <w:tcW w:w="0" w:type="auto"/>
            <w:gridSpan w:val="3"/>
            <w:shd w:val="clear" w:color="auto" w:fill="auto"/>
            <w:vAlign w:val="bottom"/>
          </w:tcPr>
          <w:p w14:paraId="74DDD0DF" w14:textId="77777777" w:rsidR="00584EC1" w:rsidRDefault="00584EC1">
            <w:pPr>
              <w:rPr>
                <w:rFonts w:ascii="宋体"/>
                <w:vanish/>
              </w:rPr>
            </w:pPr>
          </w:p>
        </w:tc>
        <w:tc>
          <w:tcPr>
            <w:tcW w:w="0" w:type="auto"/>
            <w:gridSpan w:val="3"/>
            <w:shd w:val="clear" w:color="auto" w:fill="auto"/>
            <w:vAlign w:val="bottom"/>
          </w:tcPr>
          <w:p w14:paraId="74DDD0E0" w14:textId="77777777" w:rsidR="00584EC1" w:rsidRDefault="00584EC1">
            <w:pPr>
              <w:rPr>
                <w:rFonts w:ascii="宋体"/>
                <w:vanish/>
              </w:rPr>
            </w:pPr>
          </w:p>
        </w:tc>
        <w:tc>
          <w:tcPr>
            <w:tcW w:w="0" w:type="auto"/>
            <w:gridSpan w:val="3"/>
            <w:shd w:val="clear" w:color="auto" w:fill="auto"/>
            <w:vAlign w:val="bottom"/>
          </w:tcPr>
          <w:p w14:paraId="74DDD0E1" w14:textId="77777777" w:rsidR="00584EC1" w:rsidRDefault="00584EC1">
            <w:pPr>
              <w:rPr>
                <w:rFonts w:ascii="宋体"/>
                <w:vanish/>
              </w:rPr>
            </w:pPr>
          </w:p>
        </w:tc>
        <w:tc>
          <w:tcPr>
            <w:tcW w:w="0" w:type="auto"/>
            <w:gridSpan w:val="3"/>
            <w:shd w:val="clear" w:color="auto" w:fill="auto"/>
            <w:vAlign w:val="bottom"/>
          </w:tcPr>
          <w:p w14:paraId="74DDD0E2" w14:textId="77777777" w:rsidR="00584EC1" w:rsidRDefault="00584EC1">
            <w:pPr>
              <w:rPr>
                <w:rFonts w:ascii="宋体"/>
                <w:vanish/>
              </w:rPr>
            </w:pPr>
          </w:p>
        </w:tc>
        <w:tc>
          <w:tcPr>
            <w:tcW w:w="0" w:type="auto"/>
            <w:gridSpan w:val="3"/>
            <w:shd w:val="clear" w:color="auto" w:fill="auto"/>
            <w:vAlign w:val="bottom"/>
          </w:tcPr>
          <w:p w14:paraId="74DDD0E3" w14:textId="77777777" w:rsidR="00584EC1" w:rsidRDefault="00584EC1">
            <w:pPr>
              <w:rPr>
                <w:rFonts w:ascii="宋体"/>
                <w:vanish/>
              </w:rPr>
            </w:pPr>
          </w:p>
        </w:tc>
        <w:tc>
          <w:tcPr>
            <w:tcW w:w="0" w:type="auto"/>
            <w:gridSpan w:val="3"/>
            <w:shd w:val="clear" w:color="auto" w:fill="auto"/>
            <w:vAlign w:val="bottom"/>
          </w:tcPr>
          <w:p w14:paraId="74DDD0E4" w14:textId="77777777" w:rsidR="00584EC1" w:rsidRDefault="00584EC1">
            <w:pPr>
              <w:rPr>
                <w:rFonts w:ascii="宋体"/>
                <w:vanish/>
              </w:rPr>
            </w:pPr>
          </w:p>
        </w:tc>
        <w:tc>
          <w:tcPr>
            <w:tcW w:w="0" w:type="auto"/>
            <w:gridSpan w:val="3"/>
            <w:shd w:val="clear" w:color="auto" w:fill="auto"/>
            <w:vAlign w:val="bottom"/>
          </w:tcPr>
          <w:p w14:paraId="74DDD0E5" w14:textId="77777777" w:rsidR="00584EC1" w:rsidRDefault="00584EC1">
            <w:pPr>
              <w:rPr>
                <w:rFonts w:ascii="宋体"/>
                <w:vanish/>
              </w:rPr>
            </w:pPr>
          </w:p>
        </w:tc>
        <w:tc>
          <w:tcPr>
            <w:tcW w:w="0" w:type="auto"/>
            <w:gridSpan w:val="3"/>
            <w:shd w:val="clear" w:color="auto" w:fill="auto"/>
            <w:vAlign w:val="bottom"/>
          </w:tcPr>
          <w:p w14:paraId="74DDD0E6" w14:textId="77777777" w:rsidR="00584EC1" w:rsidRDefault="00584EC1">
            <w:pPr>
              <w:rPr>
                <w:rFonts w:ascii="宋体"/>
                <w:vanish/>
              </w:rPr>
            </w:pPr>
          </w:p>
        </w:tc>
        <w:tc>
          <w:tcPr>
            <w:tcW w:w="0" w:type="auto"/>
            <w:gridSpan w:val="3"/>
            <w:shd w:val="clear" w:color="auto" w:fill="auto"/>
            <w:vAlign w:val="bottom"/>
          </w:tcPr>
          <w:p w14:paraId="74DDD0E7" w14:textId="77777777" w:rsidR="00584EC1" w:rsidRDefault="00584EC1">
            <w:pPr>
              <w:rPr>
                <w:rFonts w:ascii="宋体"/>
                <w:vanish/>
              </w:rPr>
            </w:pPr>
          </w:p>
        </w:tc>
        <w:tc>
          <w:tcPr>
            <w:tcW w:w="0" w:type="auto"/>
            <w:gridSpan w:val="3"/>
            <w:shd w:val="clear" w:color="auto" w:fill="auto"/>
            <w:vAlign w:val="bottom"/>
          </w:tcPr>
          <w:p w14:paraId="74DDD0E8" w14:textId="77777777" w:rsidR="00584EC1" w:rsidRDefault="00584EC1">
            <w:pPr>
              <w:rPr>
                <w:rFonts w:ascii="宋体"/>
                <w:vanish/>
              </w:rPr>
            </w:pPr>
          </w:p>
        </w:tc>
        <w:tc>
          <w:tcPr>
            <w:tcW w:w="0" w:type="auto"/>
            <w:gridSpan w:val="3"/>
            <w:shd w:val="clear" w:color="auto" w:fill="auto"/>
            <w:vAlign w:val="bottom"/>
          </w:tcPr>
          <w:p w14:paraId="74DDD0E9" w14:textId="77777777" w:rsidR="00584EC1" w:rsidRDefault="00584EC1">
            <w:pPr>
              <w:rPr>
                <w:rFonts w:ascii="宋体"/>
                <w:vanish/>
              </w:rPr>
            </w:pPr>
          </w:p>
        </w:tc>
      </w:tr>
      <w:tr w:rsidR="00584EC1" w14:paraId="74DDD0FB" w14:textId="77777777">
        <w:trPr>
          <w:hidden/>
        </w:trPr>
        <w:tc>
          <w:tcPr>
            <w:tcW w:w="0" w:type="auto"/>
            <w:gridSpan w:val="3"/>
            <w:shd w:val="clear" w:color="auto" w:fill="auto"/>
            <w:vAlign w:val="bottom"/>
          </w:tcPr>
          <w:p w14:paraId="74DDD0EB" w14:textId="77777777" w:rsidR="00584EC1" w:rsidRDefault="00584EC1">
            <w:pPr>
              <w:rPr>
                <w:rFonts w:ascii="宋体"/>
                <w:vanish/>
              </w:rPr>
            </w:pPr>
          </w:p>
        </w:tc>
        <w:tc>
          <w:tcPr>
            <w:tcW w:w="0" w:type="auto"/>
            <w:gridSpan w:val="3"/>
            <w:shd w:val="clear" w:color="auto" w:fill="auto"/>
            <w:vAlign w:val="bottom"/>
          </w:tcPr>
          <w:p w14:paraId="74DDD0EC" w14:textId="77777777" w:rsidR="00584EC1" w:rsidRDefault="00584EC1">
            <w:pPr>
              <w:rPr>
                <w:rFonts w:ascii="宋体"/>
                <w:vanish/>
              </w:rPr>
            </w:pPr>
          </w:p>
        </w:tc>
        <w:tc>
          <w:tcPr>
            <w:tcW w:w="0" w:type="auto"/>
            <w:gridSpan w:val="3"/>
            <w:shd w:val="clear" w:color="auto" w:fill="auto"/>
            <w:vAlign w:val="bottom"/>
          </w:tcPr>
          <w:p w14:paraId="74DDD0ED" w14:textId="77777777" w:rsidR="00584EC1" w:rsidRDefault="00584EC1">
            <w:pPr>
              <w:rPr>
                <w:rFonts w:ascii="宋体"/>
                <w:vanish/>
              </w:rPr>
            </w:pPr>
          </w:p>
        </w:tc>
        <w:tc>
          <w:tcPr>
            <w:tcW w:w="0" w:type="auto"/>
            <w:gridSpan w:val="3"/>
            <w:shd w:val="clear" w:color="auto" w:fill="auto"/>
            <w:vAlign w:val="bottom"/>
          </w:tcPr>
          <w:p w14:paraId="74DDD0EE" w14:textId="77777777" w:rsidR="00584EC1" w:rsidRDefault="00584EC1">
            <w:pPr>
              <w:rPr>
                <w:rFonts w:ascii="宋体"/>
                <w:vanish/>
              </w:rPr>
            </w:pPr>
          </w:p>
        </w:tc>
        <w:tc>
          <w:tcPr>
            <w:tcW w:w="0" w:type="auto"/>
            <w:gridSpan w:val="3"/>
            <w:shd w:val="clear" w:color="auto" w:fill="auto"/>
            <w:vAlign w:val="bottom"/>
          </w:tcPr>
          <w:p w14:paraId="74DDD0EF" w14:textId="77777777" w:rsidR="00584EC1" w:rsidRDefault="00584EC1">
            <w:pPr>
              <w:rPr>
                <w:rFonts w:ascii="宋体"/>
                <w:vanish/>
              </w:rPr>
            </w:pPr>
          </w:p>
        </w:tc>
        <w:tc>
          <w:tcPr>
            <w:tcW w:w="0" w:type="auto"/>
            <w:gridSpan w:val="3"/>
            <w:shd w:val="clear" w:color="auto" w:fill="auto"/>
            <w:vAlign w:val="bottom"/>
          </w:tcPr>
          <w:p w14:paraId="74DDD0F0" w14:textId="77777777" w:rsidR="00584EC1" w:rsidRDefault="00584EC1">
            <w:pPr>
              <w:rPr>
                <w:rFonts w:ascii="宋体"/>
                <w:vanish/>
              </w:rPr>
            </w:pPr>
          </w:p>
        </w:tc>
        <w:tc>
          <w:tcPr>
            <w:tcW w:w="0" w:type="auto"/>
            <w:gridSpan w:val="3"/>
            <w:shd w:val="clear" w:color="auto" w:fill="auto"/>
            <w:vAlign w:val="bottom"/>
          </w:tcPr>
          <w:p w14:paraId="74DDD0F1" w14:textId="77777777" w:rsidR="00584EC1" w:rsidRDefault="00584EC1">
            <w:pPr>
              <w:rPr>
                <w:rFonts w:ascii="宋体"/>
                <w:vanish/>
              </w:rPr>
            </w:pPr>
          </w:p>
        </w:tc>
        <w:tc>
          <w:tcPr>
            <w:tcW w:w="0" w:type="auto"/>
            <w:gridSpan w:val="3"/>
            <w:shd w:val="clear" w:color="auto" w:fill="auto"/>
            <w:vAlign w:val="bottom"/>
          </w:tcPr>
          <w:p w14:paraId="74DDD0F2" w14:textId="77777777" w:rsidR="00584EC1" w:rsidRDefault="00584EC1">
            <w:pPr>
              <w:rPr>
                <w:rFonts w:ascii="宋体"/>
                <w:vanish/>
              </w:rPr>
            </w:pPr>
          </w:p>
        </w:tc>
        <w:tc>
          <w:tcPr>
            <w:tcW w:w="0" w:type="auto"/>
            <w:gridSpan w:val="3"/>
            <w:shd w:val="clear" w:color="auto" w:fill="auto"/>
            <w:vAlign w:val="bottom"/>
          </w:tcPr>
          <w:p w14:paraId="74DDD0F3" w14:textId="77777777" w:rsidR="00584EC1" w:rsidRDefault="00584EC1">
            <w:pPr>
              <w:rPr>
                <w:rFonts w:ascii="宋体"/>
                <w:vanish/>
              </w:rPr>
            </w:pPr>
          </w:p>
        </w:tc>
        <w:tc>
          <w:tcPr>
            <w:tcW w:w="0" w:type="auto"/>
            <w:gridSpan w:val="3"/>
            <w:shd w:val="clear" w:color="auto" w:fill="auto"/>
            <w:vAlign w:val="bottom"/>
          </w:tcPr>
          <w:p w14:paraId="74DDD0F4" w14:textId="77777777" w:rsidR="00584EC1" w:rsidRDefault="00584EC1">
            <w:pPr>
              <w:rPr>
                <w:rFonts w:ascii="宋体"/>
                <w:vanish/>
              </w:rPr>
            </w:pPr>
          </w:p>
        </w:tc>
        <w:tc>
          <w:tcPr>
            <w:tcW w:w="0" w:type="auto"/>
            <w:gridSpan w:val="3"/>
            <w:shd w:val="clear" w:color="auto" w:fill="auto"/>
            <w:vAlign w:val="bottom"/>
          </w:tcPr>
          <w:p w14:paraId="74DDD0F5" w14:textId="77777777" w:rsidR="00584EC1" w:rsidRDefault="00584EC1">
            <w:pPr>
              <w:rPr>
                <w:rFonts w:ascii="宋体"/>
                <w:vanish/>
              </w:rPr>
            </w:pPr>
          </w:p>
        </w:tc>
        <w:tc>
          <w:tcPr>
            <w:tcW w:w="0" w:type="auto"/>
            <w:gridSpan w:val="3"/>
            <w:shd w:val="clear" w:color="auto" w:fill="auto"/>
            <w:vAlign w:val="bottom"/>
          </w:tcPr>
          <w:p w14:paraId="74DDD0F6" w14:textId="77777777" w:rsidR="00584EC1" w:rsidRDefault="00584EC1">
            <w:pPr>
              <w:rPr>
                <w:rFonts w:ascii="宋体"/>
                <w:vanish/>
              </w:rPr>
            </w:pPr>
          </w:p>
        </w:tc>
        <w:tc>
          <w:tcPr>
            <w:tcW w:w="0" w:type="auto"/>
            <w:gridSpan w:val="3"/>
            <w:shd w:val="clear" w:color="auto" w:fill="auto"/>
            <w:vAlign w:val="bottom"/>
          </w:tcPr>
          <w:p w14:paraId="74DDD0F7" w14:textId="77777777" w:rsidR="00584EC1" w:rsidRDefault="00584EC1">
            <w:pPr>
              <w:rPr>
                <w:rFonts w:ascii="宋体"/>
                <w:vanish/>
              </w:rPr>
            </w:pPr>
          </w:p>
        </w:tc>
        <w:tc>
          <w:tcPr>
            <w:tcW w:w="0" w:type="auto"/>
            <w:gridSpan w:val="3"/>
            <w:shd w:val="clear" w:color="auto" w:fill="auto"/>
            <w:vAlign w:val="bottom"/>
          </w:tcPr>
          <w:p w14:paraId="74DDD0F8" w14:textId="77777777" w:rsidR="00584EC1" w:rsidRDefault="00584EC1">
            <w:pPr>
              <w:rPr>
                <w:rFonts w:ascii="宋体"/>
                <w:vanish/>
              </w:rPr>
            </w:pPr>
          </w:p>
        </w:tc>
        <w:tc>
          <w:tcPr>
            <w:tcW w:w="0" w:type="auto"/>
            <w:gridSpan w:val="3"/>
            <w:shd w:val="clear" w:color="auto" w:fill="auto"/>
            <w:vAlign w:val="bottom"/>
          </w:tcPr>
          <w:p w14:paraId="74DDD0F9" w14:textId="77777777" w:rsidR="00584EC1" w:rsidRDefault="00584EC1">
            <w:pPr>
              <w:rPr>
                <w:rFonts w:ascii="宋体"/>
                <w:vanish/>
              </w:rPr>
            </w:pPr>
          </w:p>
        </w:tc>
        <w:tc>
          <w:tcPr>
            <w:tcW w:w="0" w:type="auto"/>
            <w:gridSpan w:val="3"/>
            <w:shd w:val="clear" w:color="auto" w:fill="auto"/>
            <w:vAlign w:val="bottom"/>
          </w:tcPr>
          <w:p w14:paraId="74DDD0FA" w14:textId="77777777" w:rsidR="00584EC1" w:rsidRDefault="00584EC1">
            <w:pPr>
              <w:rPr>
                <w:rFonts w:ascii="宋体"/>
                <w:vanish/>
              </w:rPr>
            </w:pPr>
          </w:p>
        </w:tc>
      </w:tr>
      <w:tr w:rsidR="00584EC1" w14:paraId="74DDD10C" w14:textId="77777777">
        <w:trPr>
          <w:hidden/>
        </w:trPr>
        <w:tc>
          <w:tcPr>
            <w:tcW w:w="0" w:type="auto"/>
            <w:gridSpan w:val="3"/>
            <w:shd w:val="clear" w:color="auto" w:fill="auto"/>
            <w:vAlign w:val="bottom"/>
          </w:tcPr>
          <w:p w14:paraId="74DDD0FC" w14:textId="77777777" w:rsidR="00584EC1" w:rsidRDefault="00584EC1">
            <w:pPr>
              <w:rPr>
                <w:rFonts w:ascii="宋体"/>
                <w:vanish/>
              </w:rPr>
            </w:pPr>
          </w:p>
        </w:tc>
        <w:tc>
          <w:tcPr>
            <w:tcW w:w="0" w:type="auto"/>
            <w:gridSpan w:val="3"/>
            <w:shd w:val="clear" w:color="auto" w:fill="auto"/>
            <w:vAlign w:val="bottom"/>
          </w:tcPr>
          <w:p w14:paraId="74DDD0FD" w14:textId="77777777" w:rsidR="00584EC1" w:rsidRDefault="00584EC1">
            <w:pPr>
              <w:rPr>
                <w:rFonts w:ascii="宋体"/>
                <w:vanish/>
              </w:rPr>
            </w:pPr>
          </w:p>
        </w:tc>
        <w:tc>
          <w:tcPr>
            <w:tcW w:w="0" w:type="auto"/>
            <w:gridSpan w:val="3"/>
            <w:shd w:val="clear" w:color="auto" w:fill="auto"/>
            <w:vAlign w:val="bottom"/>
          </w:tcPr>
          <w:p w14:paraId="74DDD0FE" w14:textId="77777777" w:rsidR="00584EC1" w:rsidRDefault="00584EC1">
            <w:pPr>
              <w:rPr>
                <w:rFonts w:ascii="宋体"/>
                <w:vanish/>
              </w:rPr>
            </w:pPr>
          </w:p>
        </w:tc>
        <w:tc>
          <w:tcPr>
            <w:tcW w:w="0" w:type="auto"/>
            <w:gridSpan w:val="3"/>
            <w:shd w:val="clear" w:color="auto" w:fill="auto"/>
            <w:vAlign w:val="bottom"/>
          </w:tcPr>
          <w:p w14:paraId="74DDD0FF" w14:textId="77777777" w:rsidR="00584EC1" w:rsidRDefault="00584EC1">
            <w:pPr>
              <w:rPr>
                <w:rFonts w:ascii="宋体"/>
                <w:vanish/>
              </w:rPr>
            </w:pPr>
          </w:p>
        </w:tc>
        <w:tc>
          <w:tcPr>
            <w:tcW w:w="0" w:type="auto"/>
            <w:gridSpan w:val="3"/>
            <w:shd w:val="clear" w:color="auto" w:fill="auto"/>
            <w:vAlign w:val="bottom"/>
          </w:tcPr>
          <w:p w14:paraId="74DDD100" w14:textId="77777777" w:rsidR="00584EC1" w:rsidRDefault="00584EC1">
            <w:pPr>
              <w:rPr>
                <w:rFonts w:ascii="宋体"/>
                <w:vanish/>
              </w:rPr>
            </w:pPr>
          </w:p>
        </w:tc>
        <w:tc>
          <w:tcPr>
            <w:tcW w:w="0" w:type="auto"/>
            <w:gridSpan w:val="3"/>
            <w:shd w:val="clear" w:color="auto" w:fill="auto"/>
            <w:vAlign w:val="bottom"/>
          </w:tcPr>
          <w:p w14:paraId="74DDD101" w14:textId="77777777" w:rsidR="00584EC1" w:rsidRDefault="00584EC1">
            <w:pPr>
              <w:rPr>
                <w:rFonts w:ascii="宋体"/>
                <w:vanish/>
              </w:rPr>
            </w:pPr>
          </w:p>
        </w:tc>
        <w:tc>
          <w:tcPr>
            <w:tcW w:w="0" w:type="auto"/>
            <w:gridSpan w:val="3"/>
            <w:shd w:val="clear" w:color="auto" w:fill="auto"/>
            <w:vAlign w:val="bottom"/>
          </w:tcPr>
          <w:p w14:paraId="74DDD102" w14:textId="77777777" w:rsidR="00584EC1" w:rsidRDefault="00584EC1">
            <w:pPr>
              <w:rPr>
                <w:rFonts w:ascii="宋体"/>
                <w:vanish/>
              </w:rPr>
            </w:pPr>
          </w:p>
        </w:tc>
        <w:tc>
          <w:tcPr>
            <w:tcW w:w="0" w:type="auto"/>
            <w:gridSpan w:val="3"/>
            <w:shd w:val="clear" w:color="auto" w:fill="auto"/>
            <w:vAlign w:val="bottom"/>
          </w:tcPr>
          <w:p w14:paraId="74DDD103" w14:textId="77777777" w:rsidR="00584EC1" w:rsidRDefault="00584EC1">
            <w:pPr>
              <w:rPr>
                <w:rFonts w:ascii="宋体"/>
                <w:vanish/>
              </w:rPr>
            </w:pPr>
          </w:p>
        </w:tc>
        <w:tc>
          <w:tcPr>
            <w:tcW w:w="0" w:type="auto"/>
            <w:gridSpan w:val="3"/>
            <w:shd w:val="clear" w:color="auto" w:fill="auto"/>
            <w:vAlign w:val="bottom"/>
          </w:tcPr>
          <w:p w14:paraId="74DDD104" w14:textId="77777777" w:rsidR="00584EC1" w:rsidRDefault="00584EC1">
            <w:pPr>
              <w:rPr>
                <w:rFonts w:ascii="宋体"/>
                <w:vanish/>
              </w:rPr>
            </w:pPr>
          </w:p>
        </w:tc>
        <w:tc>
          <w:tcPr>
            <w:tcW w:w="0" w:type="auto"/>
            <w:gridSpan w:val="3"/>
            <w:shd w:val="clear" w:color="auto" w:fill="auto"/>
            <w:vAlign w:val="bottom"/>
          </w:tcPr>
          <w:p w14:paraId="74DDD105" w14:textId="77777777" w:rsidR="00584EC1" w:rsidRDefault="00584EC1">
            <w:pPr>
              <w:rPr>
                <w:rFonts w:ascii="宋体"/>
                <w:vanish/>
              </w:rPr>
            </w:pPr>
          </w:p>
        </w:tc>
        <w:tc>
          <w:tcPr>
            <w:tcW w:w="0" w:type="auto"/>
            <w:gridSpan w:val="3"/>
            <w:shd w:val="clear" w:color="auto" w:fill="auto"/>
            <w:vAlign w:val="bottom"/>
          </w:tcPr>
          <w:p w14:paraId="74DDD106" w14:textId="77777777" w:rsidR="00584EC1" w:rsidRDefault="00584EC1">
            <w:pPr>
              <w:rPr>
                <w:rFonts w:ascii="宋体"/>
                <w:vanish/>
              </w:rPr>
            </w:pPr>
          </w:p>
        </w:tc>
        <w:tc>
          <w:tcPr>
            <w:tcW w:w="0" w:type="auto"/>
            <w:gridSpan w:val="3"/>
            <w:shd w:val="clear" w:color="auto" w:fill="auto"/>
            <w:vAlign w:val="bottom"/>
          </w:tcPr>
          <w:p w14:paraId="74DDD107" w14:textId="77777777" w:rsidR="00584EC1" w:rsidRDefault="00584EC1">
            <w:pPr>
              <w:rPr>
                <w:rFonts w:ascii="宋体"/>
                <w:vanish/>
              </w:rPr>
            </w:pPr>
          </w:p>
        </w:tc>
        <w:tc>
          <w:tcPr>
            <w:tcW w:w="0" w:type="auto"/>
            <w:gridSpan w:val="3"/>
            <w:shd w:val="clear" w:color="auto" w:fill="auto"/>
            <w:vAlign w:val="bottom"/>
          </w:tcPr>
          <w:p w14:paraId="74DDD108" w14:textId="77777777" w:rsidR="00584EC1" w:rsidRDefault="00584EC1">
            <w:pPr>
              <w:rPr>
                <w:rFonts w:ascii="宋体"/>
                <w:vanish/>
              </w:rPr>
            </w:pPr>
          </w:p>
        </w:tc>
        <w:tc>
          <w:tcPr>
            <w:tcW w:w="0" w:type="auto"/>
            <w:gridSpan w:val="3"/>
            <w:shd w:val="clear" w:color="auto" w:fill="auto"/>
            <w:vAlign w:val="bottom"/>
          </w:tcPr>
          <w:p w14:paraId="74DDD109" w14:textId="77777777" w:rsidR="00584EC1" w:rsidRDefault="00584EC1">
            <w:pPr>
              <w:rPr>
                <w:rFonts w:ascii="宋体"/>
                <w:vanish/>
              </w:rPr>
            </w:pPr>
          </w:p>
        </w:tc>
        <w:tc>
          <w:tcPr>
            <w:tcW w:w="0" w:type="auto"/>
            <w:gridSpan w:val="3"/>
            <w:shd w:val="clear" w:color="auto" w:fill="auto"/>
            <w:vAlign w:val="bottom"/>
          </w:tcPr>
          <w:p w14:paraId="74DDD10A" w14:textId="77777777" w:rsidR="00584EC1" w:rsidRDefault="00584EC1">
            <w:pPr>
              <w:rPr>
                <w:rFonts w:ascii="宋体"/>
                <w:vanish/>
              </w:rPr>
            </w:pPr>
          </w:p>
        </w:tc>
        <w:tc>
          <w:tcPr>
            <w:tcW w:w="0" w:type="auto"/>
            <w:gridSpan w:val="3"/>
            <w:shd w:val="clear" w:color="auto" w:fill="auto"/>
            <w:vAlign w:val="bottom"/>
          </w:tcPr>
          <w:p w14:paraId="74DDD10B" w14:textId="77777777" w:rsidR="00584EC1" w:rsidRDefault="00584EC1">
            <w:pPr>
              <w:rPr>
                <w:rFonts w:ascii="宋体"/>
                <w:vanish/>
              </w:rPr>
            </w:pPr>
          </w:p>
        </w:tc>
      </w:tr>
      <w:tr w:rsidR="00584EC1" w14:paraId="74DDD11D" w14:textId="77777777">
        <w:trPr>
          <w:hidden/>
        </w:trPr>
        <w:tc>
          <w:tcPr>
            <w:tcW w:w="0" w:type="auto"/>
            <w:gridSpan w:val="3"/>
            <w:shd w:val="clear" w:color="auto" w:fill="auto"/>
            <w:vAlign w:val="bottom"/>
          </w:tcPr>
          <w:p w14:paraId="74DDD10D" w14:textId="77777777" w:rsidR="00584EC1" w:rsidRDefault="00584EC1">
            <w:pPr>
              <w:rPr>
                <w:rFonts w:ascii="宋体"/>
                <w:vanish/>
              </w:rPr>
            </w:pPr>
          </w:p>
        </w:tc>
        <w:tc>
          <w:tcPr>
            <w:tcW w:w="0" w:type="auto"/>
            <w:gridSpan w:val="3"/>
            <w:shd w:val="clear" w:color="auto" w:fill="auto"/>
            <w:vAlign w:val="bottom"/>
          </w:tcPr>
          <w:p w14:paraId="74DDD10E" w14:textId="77777777" w:rsidR="00584EC1" w:rsidRDefault="00584EC1">
            <w:pPr>
              <w:rPr>
                <w:rFonts w:ascii="宋体"/>
                <w:vanish/>
              </w:rPr>
            </w:pPr>
          </w:p>
        </w:tc>
        <w:tc>
          <w:tcPr>
            <w:tcW w:w="0" w:type="auto"/>
            <w:gridSpan w:val="3"/>
            <w:shd w:val="clear" w:color="auto" w:fill="auto"/>
            <w:vAlign w:val="bottom"/>
          </w:tcPr>
          <w:p w14:paraId="74DDD10F" w14:textId="77777777" w:rsidR="00584EC1" w:rsidRDefault="00584EC1">
            <w:pPr>
              <w:rPr>
                <w:rFonts w:ascii="宋体"/>
                <w:vanish/>
              </w:rPr>
            </w:pPr>
          </w:p>
        </w:tc>
        <w:tc>
          <w:tcPr>
            <w:tcW w:w="0" w:type="auto"/>
            <w:gridSpan w:val="3"/>
            <w:shd w:val="clear" w:color="auto" w:fill="auto"/>
            <w:vAlign w:val="bottom"/>
          </w:tcPr>
          <w:p w14:paraId="74DDD110" w14:textId="77777777" w:rsidR="00584EC1" w:rsidRDefault="00584EC1">
            <w:pPr>
              <w:rPr>
                <w:rFonts w:ascii="宋体"/>
                <w:vanish/>
              </w:rPr>
            </w:pPr>
          </w:p>
        </w:tc>
        <w:tc>
          <w:tcPr>
            <w:tcW w:w="0" w:type="auto"/>
            <w:gridSpan w:val="3"/>
            <w:shd w:val="clear" w:color="auto" w:fill="auto"/>
            <w:vAlign w:val="bottom"/>
          </w:tcPr>
          <w:p w14:paraId="74DDD111" w14:textId="77777777" w:rsidR="00584EC1" w:rsidRDefault="00584EC1">
            <w:pPr>
              <w:rPr>
                <w:rFonts w:ascii="宋体"/>
                <w:vanish/>
              </w:rPr>
            </w:pPr>
          </w:p>
        </w:tc>
        <w:tc>
          <w:tcPr>
            <w:tcW w:w="0" w:type="auto"/>
            <w:gridSpan w:val="3"/>
            <w:shd w:val="clear" w:color="auto" w:fill="auto"/>
            <w:vAlign w:val="bottom"/>
          </w:tcPr>
          <w:p w14:paraId="74DDD112" w14:textId="77777777" w:rsidR="00584EC1" w:rsidRDefault="00584EC1">
            <w:pPr>
              <w:rPr>
                <w:rFonts w:ascii="宋体"/>
                <w:vanish/>
              </w:rPr>
            </w:pPr>
          </w:p>
        </w:tc>
        <w:tc>
          <w:tcPr>
            <w:tcW w:w="0" w:type="auto"/>
            <w:gridSpan w:val="3"/>
            <w:shd w:val="clear" w:color="auto" w:fill="auto"/>
            <w:vAlign w:val="bottom"/>
          </w:tcPr>
          <w:p w14:paraId="74DDD113" w14:textId="77777777" w:rsidR="00584EC1" w:rsidRDefault="00584EC1">
            <w:pPr>
              <w:rPr>
                <w:rFonts w:ascii="宋体"/>
                <w:vanish/>
              </w:rPr>
            </w:pPr>
          </w:p>
        </w:tc>
        <w:tc>
          <w:tcPr>
            <w:tcW w:w="0" w:type="auto"/>
            <w:gridSpan w:val="3"/>
            <w:shd w:val="clear" w:color="auto" w:fill="auto"/>
            <w:vAlign w:val="bottom"/>
          </w:tcPr>
          <w:p w14:paraId="74DDD114" w14:textId="77777777" w:rsidR="00584EC1" w:rsidRDefault="00584EC1">
            <w:pPr>
              <w:rPr>
                <w:rFonts w:ascii="宋体"/>
                <w:vanish/>
              </w:rPr>
            </w:pPr>
          </w:p>
        </w:tc>
        <w:tc>
          <w:tcPr>
            <w:tcW w:w="0" w:type="auto"/>
            <w:gridSpan w:val="3"/>
            <w:shd w:val="clear" w:color="auto" w:fill="auto"/>
            <w:vAlign w:val="bottom"/>
          </w:tcPr>
          <w:p w14:paraId="74DDD115" w14:textId="77777777" w:rsidR="00584EC1" w:rsidRDefault="00584EC1">
            <w:pPr>
              <w:rPr>
                <w:rFonts w:ascii="宋体"/>
                <w:vanish/>
              </w:rPr>
            </w:pPr>
          </w:p>
        </w:tc>
        <w:tc>
          <w:tcPr>
            <w:tcW w:w="0" w:type="auto"/>
            <w:gridSpan w:val="3"/>
            <w:shd w:val="clear" w:color="auto" w:fill="auto"/>
            <w:vAlign w:val="bottom"/>
          </w:tcPr>
          <w:p w14:paraId="74DDD116" w14:textId="77777777" w:rsidR="00584EC1" w:rsidRDefault="00584EC1">
            <w:pPr>
              <w:rPr>
                <w:rFonts w:ascii="宋体"/>
                <w:vanish/>
              </w:rPr>
            </w:pPr>
          </w:p>
        </w:tc>
        <w:tc>
          <w:tcPr>
            <w:tcW w:w="0" w:type="auto"/>
            <w:gridSpan w:val="3"/>
            <w:shd w:val="clear" w:color="auto" w:fill="auto"/>
            <w:vAlign w:val="bottom"/>
          </w:tcPr>
          <w:p w14:paraId="74DDD117" w14:textId="77777777" w:rsidR="00584EC1" w:rsidRDefault="00584EC1">
            <w:pPr>
              <w:rPr>
                <w:rFonts w:ascii="宋体"/>
                <w:vanish/>
              </w:rPr>
            </w:pPr>
          </w:p>
        </w:tc>
        <w:tc>
          <w:tcPr>
            <w:tcW w:w="0" w:type="auto"/>
            <w:gridSpan w:val="3"/>
            <w:shd w:val="clear" w:color="auto" w:fill="auto"/>
            <w:vAlign w:val="bottom"/>
          </w:tcPr>
          <w:p w14:paraId="74DDD118" w14:textId="77777777" w:rsidR="00584EC1" w:rsidRDefault="00584EC1">
            <w:pPr>
              <w:rPr>
                <w:rFonts w:ascii="宋体"/>
                <w:vanish/>
              </w:rPr>
            </w:pPr>
          </w:p>
        </w:tc>
        <w:tc>
          <w:tcPr>
            <w:tcW w:w="0" w:type="auto"/>
            <w:gridSpan w:val="3"/>
            <w:shd w:val="clear" w:color="auto" w:fill="auto"/>
            <w:vAlign w:val="bottom"/>
          </w:tcPr>
          <w:p w14:paraId="74DDD119" w14:textId="77777777" w:rsidR="00584EC1" w:rsidRDefault="00584EC1">
            <w:pPr>
              <w:rPr>
                <w:rFonts w:ascii="宋体"/>
                <w:vanish/>
              </w:rPr>
            </w:pPr>
          </w:p>
        </w:tc>
        <w:tc>
          <w:tcPr>
            <w:tcW w:w="0" w:type="auto"/>
            <w:gridSpan w:val="3"/>
            <w:shd w:val="clear" w:color="auto" w:fill="auto"/>
            <w:vAlign w:val="bottom"/>
          </w:tcPr>
          <w:p w14:paraId="74DDD11A" w14:textId="77777777" w:rsidR="00584EC1" w:rsidRDefault="00584EC1">
            <w:pPr>
              <w:rPr>
                <w:rFonts w:ascii="宋体"/>
                <w:vanish/>
              </w:rPr>
            </w:pPr>
          </w:p>
        </w:tc>
        <w:tc>
          <w:tcPr>
            <w:tcW w:w="0" w:type="auto"/>
            <w:gridSpan w:val="3"/>
            <w:shd w:val="clear" w:color="auto" w:fill="auto"/>
            <w:vAlign w:val="bottom"/>
          </w:tcPr>
          <w:p w14:paraId="74DDD11B" w14:textId="77777777" w:rsidR="00584EC1" w:rsidRDefault="00584EC1">
            <w:pPr>
              <w:rPr>
                <w:rFonts w:ascii="宋体"/>
                <w:vanish/>
              </w:rPr>
            </w:pPr>
          </w:p>
        </w:tc>
        <w:tc>
          <w:tcPr>
            <w:tcW w:w="0" w:type="auto"/>
            <w:gridSpan w:val="3"/>
            <w:shd w:val="clear" w:color="auto" w:fill="auto"/>
            <w:vAlign w:val="bottom"/>
          </w:tcPr>
          <w:p w14:paraId="74DDD11C" w14:textId="77777777" w:rsidR="00584EC1" w:rsidRDefault="00584EC1">
            <w:pPr>
              <w:rPr>
                <w:rFonts w:ascii="宋体"/>
                <w:vanish/>
              </w:rPr>
            </w:pPr>
          </w:p>
        </w:tc>
      </w:tr>
      <w:tr w:rsidR="00584EC1" w14:paraId="74DDD136" w14:textId="77777777">
        <w:tc>
          <w:tcPr>
            <w:tcW w:w="0" w:type="auto"/>
            <w:gridSpan w:val="3"/>
            <w:shd w:val="clear" w:color="auto" w:fill="FFFFFF"/>
            <w:tcMar>
              <w:top w:w="40" w:type="dxa"/>
              <w:left w:w="20" w:type="dxa"/>
              <w:bottom w:w="40" w:type="dxa"/>
              <w:right w:w="20" w:type="dxa"/>
            </w:tcMar>
            <w:vAlign w:val="bottom"/>
          </w:tcPr>
          <w:p w14:paraId="74DDD11E" w14:textId="77777777" w:rsidR="00584EC1" w:rsidRDefault="00871F8D">
            <w:pPr>
              <w:textAlignment w:val="bottom"/>
            </w:pPr>
            <w:r>
              <w:rPr>
                <w:rFonts w:ascii="Arial" w:eastAsia="宋体" w:hAnsi="Arial" w:cs="Arial"/>
                <w:color w:val="000000"/>
                <w:sz w:val="15"/>
                <w:szCs w:val="15"/>
              </w:rPr>
              <w:t>State and political subdivisions</w:t>
            </w:r>
            <w:r>
              <w:rPr>
                <w:rFonts w:ascii="Arial" w:eastAsia="宋体" w:hAnsi="Arial" w:cs="Arial"/>
                <w:color w:val="000000"/>
                <w:sz w:val="9"/>
                <w:szCs w:val="9"/>
              </w:rPr>
              <w:t>(5)</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D11F" w14:textId="77777777" w:rsidR="00584EC1" w:rsidRDefault="00871F8D">
            <w:pPr>
              <w:jc w:val="right"/>
              <w:textAlignment w:val="bottom"/>
            </w:pPr>
            <w:r>
              <w:rPr>
                <w:rFonts w:ascii="Arial" w:eastAsia="宋体" w:hAnsi="Arial" w:cs="Arial"/>
                <w:b/>
                <w:bCs/>
                <w:color w:val="000000"/>
                <w:sz w:val="15"/>
                <w:szCs w:val="15"/>
              </w:rPr>
              <w:t>1,336</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D12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121"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D122" w14:textId="77777777" w:rsidR="00584EC1" w:rsidRDefault="00871F8D">
            <w:pPr>
              <w:jc w:val="right"/>
              <w:textAlignment w:val="bottom"/>
            </w:pPr>
            <w:r>
              <w:rPr>
                <w:rFonts w:ascii="Arial" w:eastAsia="宋体" w:hAnsi="Arial" w:cs="Arial"/>
                <w:b/>
                <w:bCs/>
                <w:color w:val="000000"/>
                <w:sz w:val="15"/>
                <w:szCs w:val="15"/>
              </w:rPr>
              <w:t>63</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D12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124"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D125" w14:textId="77777777" w:rsidR="00584EC1" w:rsidRDefault="00871F8D">
            <w:pPr>
              <w:jc w:val="right"/>
              <w:textAlignment w:val="bottom"/>
            </w:pPr>
            <w:r>
              <w:rPr>
                <w:rFonts w:ascii="Arial" w:eastAsia="宋体" w:hAnsi="Arial" w:cs="Arial"/>
                <w:b/>
                <w:bCs/>
                <w:color w:val="000000"/>
                <w:sz w:val="15"/>
                <w:szCs w:val="15"/>
              </w:rPr>
              <w:t>3</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D12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127"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D128" w14:textId="77777777" w:rsidR="00584EC1" w:rsidRDefault="00871F8D">
            <w:pPr>
              <w:jc w:val="right"/>
              <w:textAlignment w:val="bottom"/>
            </w:pPr>
            <w:r>
              <w:rPr>
                <w:rFonts w:ascii="Arial" w:eastAsia="宋体" w:hAnsi="Arial" w:cs="Arial"/>
                <w:b/>
                <w:bCs/>
                <w:color w:val="000000"/>
                <w:sz w:val="15"/>
                <w:szCs w:val="15"/>
              </w:rPr>
              <w:t>1,396</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D12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12A"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D12B" w14:textId="77777777" w:rsidR="00584EC1" w:rsidRDefault="00871F8D">
            <w:pPr>
              <w:jc w:val="right"/>
              <w:textAlignment w:val="bottom"/>
            </w:pPr>
            <w:r>
              <w:rPr>
                <w:rFonts w:ascii="Arial" w:eastAsia="宋体" w:hAnsi="Arial" w:cs="Arial"/>
                <w:color w:val="000000"/>
                <w:sz w:val="15"/>
                <w:szCs w:val="15"/>
              </w:rPr>
              <w:t>1,470 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D12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12D"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D12E" w14:textId="77777777" w:rsidR="00584EC1" w:rsidRDefault="00871F8D">
            <w:pPr>
              <w:jc w:val="right"/>
              <w:textAlignment w:val="bottom"/>
            </w:pPr>
            <w:r>
              <w:rPr>
                <w:rFonts w:ascii="Arial" w:eastAsia="宋体" w:hAnsi="Arial" w:cs="Arial"/>
                <w:color w:val="000000"/>
                <w:sz w:val="15"/>
                <w:szCs w:val="15"/>
              </w:rPr>
              <w:t>80 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D12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130"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D131" w14:textId="77777777" w:rsidR="00584EC1" w:rsidRDefault="00871F8D">
            <w:pPr>
              <w:jc w:val="right"/>
              <w:textAlignment w:val="bottom"/>
            </w:pPr>
            <w:r>
              <w:rPr>
                <w:rFonts w:ascii="Arial" w:eastAsia="宋体" w:hAnsi="Arial" w:cs="Arial"/>
                <w:color w:val="000000"/>
                <w:sz w:val="15"/>
                <w:szCs w:val="15"/>
              </w:rPr>
              <w:t>2 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D13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133"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D134" w14:textId="77777777" w:rsidR="00584EC1" w:rsidRDefault="00871F8D">
            <w:pPr>
              <w:jc w:val="right"/>
              <w:textAlignment w:val="bottom"/>
            </w:pPr>
            <w:r>
              <w:rPr>
                <w:rFonts w:ascii="Arial" w:eastAsia="宋体" w:hAnsi="Arial" w:cs="Arial"/>
                <w:color w:val="000000"/>
                <w:sz w:val="15"/>
                <w:szCs w:val="15"/>
              </w:rPr>
              <w:t>1,548 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D135" w14:textId="77777777" w:rsidR="00584EC1" w:rsidRDefault="00584EC1">
            <w:pPr>
              <w:jc w:val="right"/>
              <w:rPr>
                <w:rFonts w:ascii="宋体"/>
              </w:rPr>
            </w:pPr>
          </w:p>
        </w:tc>
      </w:tr>
      <w:tr w:rsidR="00584EC1" w14:paraId="74DDD147" w14:textId="77777777">
        <w:trPr>
          <w:hidden/>
        </w:trPr>
        <w:tc>
          <w:tcPr>
            <w:tcW w:w="0" w:type="auto"/>
            <w:gridSpan w:val="3"/>
            <w:shd w:val="clear" w:color="auto" w:fill="auto"/>
            <w:vAlign w:val="bottom"/>
          </w:tcPr>
          <w:p w14:paraId="74DDD137" w14:textId="77777777" w:rsidR="00584EC1" w:rsidRDefault="00584EC1">
            <w:pPr>
              <w:rPr>
                <w:rFonts w:ascii="宋体"/>
                <w:vanish/>
              </w:rPr>
            </w:pPr>
          </w:p>
        </w:tc>
        <w:tc>
          <w:tcPr>
            <w:tcW w:w="0" w:type="auto"/>
            <w:gridSpan w:val="3"/>
            <w:shd w:val="clear" w:color="auto" w:fill="auto"/>
            <w:vAlign w:val="bottom"/>
          </w:tcPr>
          <w:p w14:paraId="74DDD138" w14:textId="77777777" w:rsidR="00584EC1" w:rsidRDefault="00584EC1">
            <w:pPr>
              <w:rPr>
                <w:rFonts w:ascii="宋体"/>
                <w:vanish/>
              </w:rPr>
            </w:pPr>
          </w:p>
        </w:tc>
        <w:tc>
          <w:tcPr>
            <w:tcW w:w="0" w:type="auto"/>
            <w:gridSpan w:val="3"/>
            <w:shd w:val="clear" w:color="auto" w:fill="auto"/>
            <w:vAlign w:val="bottom"/>
          </w:tcPr>
          <w:p w14:paraId="74DDD139" w14:textId="77777777" w:rsidR="00584EC1" w:rsidRDefault="00584EC1">
            <w:pPr>
              <w:rPr>
                <w:rFonts w:ascii="宋体"/>
                <w:vanish/>
              </w:rPr>
            </w:pPr>
          </w:p>
        </w:tc>
        <w:tc>
          <w:tcPr>
            <w:tcW w:w="0" w:type="auto"/>
            <w:gridSpan w:val="3"/>
            <w:shd w:val="clear" w:color="auto" w:fill="auto"/>
            <w:vAlign w:val="bottom"/>
          </w:tcPr>
          <w:p w14:paraId="74DDD13A" w14:textId="77777777" w:rsidR="00584EC1" w:rsidRDefault="00584EC1">
            <w:pPr>
              <w:rPr>
                <w:rFonts w:ascii="宋体"/>
                <w:vanish/>
              </w:rPr>
            </w:pPr>
          </w:p>
        </w:tc>
        <w:tc>
          <w:tcPr>
            <w:tcW w:w="0" w:type="auto"/>
            <w:gridSpan w:val="3"/>
            <w:shd w:val="clear" w:color="auto" w:fill="auto"/>
            <w:vAlign w:val="bottom"/>
          </w:tcPr>
          <w:p w14:paraId="74DDD13B" w14:textId="77777777" w:rsidR="00584EC1" w:rsidRDefault="00584EC1">
            <w:pPr>
              <w:rPr>
                <w:rFonts w:ascii="宋体"/>
                <w:vanish/>
              </w:rPr>
            </w:pPr>
          </w:p>
        </w:tc>
        <w:tc>
          <w:tcPr>
            <w:tcW w:w="0" w:type="auto"/>
            <w:gridSpan w:val="3"/>
            <w:shd w:val="clear" w:color="auto" w:fill="auto"/>
            <w:vAlign w:val="bottom"/>
          </w:tcPr>
          <w:p w14:paraId="74DDD13C" w14:textId="77777777" w:rsidR="00584EC1" w:rsidRDefault="00584EC1">
            <w:pPr>
              <w:rPr>
                <w:rFonts w:ascii="宋体"/>
                <w:vanish/>
              </w:rPr>
            </w:pPr>
          </w:p>
        </w:tc>
        <w:tc>
          <w:tcPr>
            <w:tcW w:w="0" w:type="auto"/>
            <w:gridSpan w:val="3"/>
            <w:shd w:val="clear" w:color="auto" w:fill="auto"/>
            <w:vAlign w:val="bottom"/>
          </w:tcPr>
          <w:p w14:paraId="74DDD13D" w14:textId="77777777" w:rsidR="00584EC1" w:rsidRDefault="00584EC1">
            <w:pPr>
              <w:rPr>
                <w:rFonts w:ascii="宋体"/>
                <w:vanish/>
              </w:rPr>
            </w:pPr>
          </w:p>
        </w:tc>
        <w:tc>
          <w:tcPr>
            <w:tcW w:w="0" w:type="auto"/>
            <w:gridSpan w:val="3"/>
            <w:shd w:val="clear" w:color="auto" w:fill="auto"/>
            <w:vAlign w:val="bottom"/>
          </w:tcPr>
          <w:p w14:paraId="74DDD13E" w14:textId="77777777" w:rsidR="00584EC1" w:rsidRDefault="00584EC1">
            <w:pPr>
              <w:rPr>
                <w:rFonts w:ascii="宋体"/>
                <w:vanish/>
              </w:rPr>
            </w:pPr>
          </w:p>
        </w:tc>
        <w:tc>
          <w:tcPr>
            <w:tcW w:w="0" w:type="auto"/>
            <w:gridSpan w:val="3"/>
            <w:shd w:val="clear" w:color="auto" w:fill="auto"/>
            <w:vAlign w:val="bottom"/>
          </w:tcPr>
          <w:p w14:paraId="74DDD13F" w14:textId="77777777" w:rsidR="00584EC1" w:rsidRDefault="00584EC1">
            <w:pPr>
              <w:rPr>
                <w:rFonts w:ascii="宋体"/>
                <w:vanish/>
              </w:rPr>
            </w:pPr>
          </w:p>
        </w:tc>
        <w:tc>
          <w:tcPr>
            <w:tcW w:w="0" w:type="auto"/>
            <w:gridSpan w:val="3"/>
            <w:shd w:val="clear" w:color="auto" w:fill="auto"/>
            <w:vAlign w:val="bottom"/>
          </w:tcPr>
          <w:p w14:paraId="74DDD140" w14:textId="77777777" w:rsidR="00584EC1" w:rsidRDefault="00584EC1">
            <w:pPr>
              <w:rPr>
                <w:rFonts w:ascii="宋体"/>
                <w:vanish/>
              </w:rPr>
            </w:pPr>
          </w:p>
        </w:tc>
        <w:tc>
          <w:tcPr>
            <w:tcW w:w="0" w:type="auto"/>
            <w:gridSpan w:val="3"/>
            <w:shd w:val="clear" w:color="auto" w:fill="auto"/>
            <w:vAlign w:val="bottom"/>
          </w:tcPr>
          <w:p w14:paraId="74DDD141" w14:textId="77777777" w:rsidR="00584EC1" w:rsidRDefault="00584EC1">
            <w:pPr>
              <w:rPr>
                <w:rFonts w:ascii="宋体"/>
                <w:vanish/>
              </w:rPr>
            </w:pPr>
          </w:p>
        </w:tc>
        <w:tc>
          <w:tcPr>
            <w:tcW w:w="0" w:type="auto"/>
            <w:gridSpan w:val="3"/>
            <w:shd w:val="clear" w:color="auto" w:fill="auto"/>
            <w:vAlign w:val="bottom"/>
          </w:tcPr>
          <w:p w14:paraId="74DDD142" w14:textId="77777777" w:rsidR="00584EC1" w:rsidRDefault="00584EC1">
            <w:pPr>
              <w:rPr>
                <w:rFonts w:ascii="宋体"/>
                <w:vanish/>
              </w:rPr>
            </w:pPr>
          </w:p>
        </w:tc>
        <w:tc>
          <w:tcPr>
            <w:tcW w:w="0" w:type="auto"/>
            <w:gridSpan w:val="3"/>
            <w:shd w:val="clear" w:color="auto" w:fill="auto"/>
            <w:vAlign w:val="bottom"/>
          </w:tcPr>
          <w:p w14:paraId="74DDD143" w14:textId="77777777" w:rsidR="00584EC1" w:rsidRDefault="00584EC1">
            <w:pPr>
              <w:rPr>
                <w:rFonts w:ascii="宋体"/>
                <w:vanish/>
              </w:rPr>
            </w:pPr>
          </w:p>
        </w:tc>
        <w:tc>
          <w:tcPr>
            <w:tcW w:w="0" w:type="auto"/>
            <w:gridSpan w:val="3"/>
            <w:shd w:val="clear" w:color="auto" w:fill="auto"/>
            <w:vAlign w:val="bottom"/>
          </w:tcPr>
          <w:p w14:paraId="74DDD144" w14:textId="77777777" w:rsidR="00584EC1" w:rsidRDefault="00584EC1">
            <w:pPr>
              <w:rPr>
                <w:rFonts w:ascii="宋体"/>
                <w:vanish/>
              </w:rPr>
            </w:pPr>
          </w:p>
        </w:tc>
        <w:tc>
          <w:tcPr>
            <w:tcW w:w="0" w:type="auto"/>
            <w:gridSpan w:val="3"/>
            <w:shd w:val="clear" w:color="auto" w:fill="auto"/>
            <w:vAlign w:val="bottom"/>
          </w:tcPr>
          <w:p w14:paraId="74DDD145" w14:textId="77777777" w:rsidR="00584EC1" w:rsidRDefault="00584EC1">
            <w:pPr>
              <w:rPr>
                <w:rFonts w:ascii="宋体"/>
                <w:vanish/>
              </w:rPr>
            </w:pPr>
          </w:p>
        </w:tc>
        <w:tc>
          <w:tcPr>
            <w:tcW w:w="0" w:type="auto"/>
            <w:gridSpan w:val="3"/>
            <w:shd w:val="clear" w:color="auto" w:fill="auto"/>
            <w:vAlign w:val="bottom"/>
          </w:tcPr>
          <w:p w14:paraId="74DDD146" w14:textId="77777777" w:rsidR="00584EC1" w:rsidRDefault="00584EC1">
            <w:pPr>
              <w:rPr>
                <w:rFonts w:ascii="宋体"/>
                <w:vanish/>
              </w:rPr>
            </w:pPr>
          </w:p>
        </w:tc>
      </w:tr>
      <w:tr w:rsidR="00584EC1" w14:paraId="74DDD160" w14:textId="77777777">
        <w:tc>
          <w:tcPr>
            <w:tcW w:w="0" w:type="auto"/>
            <w:gridSpan w:val="3"/>
            <w:shd w:val="clear" w:color="auto" w:fill="CCEEFF"/>
            <w:tcMar>
              <w:top w:w="40" w:type="dxa"/>
              <w:left w:w="20" w:type="dxa"/>
              <w:bottom w:w="40" w:type="dxa"/>
              <w:right w:w="20" w:type="dxa"/>
            </w:tcMar>
            <w:vAlign w:val="bottom"/>
          </w:tcPr>
          <w:p w14:paraId="74DDD148" w14:textId="77777777" w:rsidR="00584EC1" w:rsidRDefault="00871F8D">
            <w:pPr>
              <w:textAlignment w:val="bottom"/>
            </w:pPr>
            <w:r>
              <w:rPr>
                <w:rFonts w:ascii="Arial" w:eastAsia="宋体" w:hAnsi="Arial" w:cs="Arial"/>
                <w:color w:val="000000"/>
                <w:sz w:val="15"/>
                <w:szCs w:val="15"/>
              </w:rPr>
              <w:t>Other U.S. debt securities</w:t>
            </w:r>
            <w:r>
              <w:rPr>
                <w:rFonts w:ascii="Arial" w:eastAsia="宋体" w:hAnsi="Arial" w:cs="Arial"/>
                <w:color w:val="000000"/>
                <w:sz w:val="9"/>
                <w:szCs w:val="9"/>
              </w:rPr>
              <w:t>(6)</w:t>
            </w:r>
          </w:p>
        </w:tc>
        <w:tc>
          <w:tcPr>
            <w:tcW w:w="0" w:type="auto"/>
            <w:gridSpan w:val="2"/>
            <w:shd w:val="clear" w:color="auto" w:fill="CCEEFF"/>
            <w:tcMar>
              <w:top w:w="40" w:type="dxa"/>
              <w:left w:w="20" w:type="dxa"/>
              <w:bottom w:w="40" w:type="dxa"/>
              <w:right w:w="0" w:type="dxa"/>
            </w:tcMar>
            <w:vAlign w:val="bottom"/>
          </w:tcPr>
          <w:p w14:paraId="74DDD149" w14:textId="77777777" w:rsidR="00584EC1" w:rsidRDefault="00871F8D">
            <w:pPr>
              <w:jc w:val="right"/>
              <w:textAlignment w:val="bottom"/>
            </w:pPr>
            <w:r>
              <w:rPr>
                <w:rFonts w:ascii="Arial" w:eastAsia="宋体" w:hAnsi="Arial" w:cs="Arial"/>
                <w:b/>
                <w:bCs/>
                <w:color w:val="000000"/>
                <w:sz w:val="15"/>
                <w:szCs w:val="15"/>
              </w:rPr>
              <w:t>2,943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D14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14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14C" w14:textId="77777777" w:rsidR="00584EC1" w:rsidRDefault="00871F8D">
            <w:pPr>
              <w:jc w:val="right"/>
              <w:textAlignment w:val="bottom"/>
            </w:pPr>
            <w:r>
              <w:rPr>
                <w:rFonts w:ascii="Arial" w:eastAsia="宋体" w:hAnsi="Arial" w:cs="Arial"/>
                <w:b/>
                <w:bCs/>
                <w:color w:val="000000"/>
                <w:sz w:val="15"/>
                <w:szCs w:val="15"/>
              </w:rPr>
              <w:t>39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D14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14E"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14F" w14:textId="77777777" w:rsidR="00584EC1" w:rsidRDefault="00871F8D">
            <w:pPr>
              <w:jc w:val="right"/>
              <w:textAlignment w:val="bottom"/>
            </w:pPr>
            <w:r>
              <w:rPr>
                <w:rFonts w:ascii="Arial" w:eastAsia="宋体" w:hAnsi="Arial" w:cs="Arial"/>
                <w:b/>
                <w:bCs/>
                <w:color w:val="000000"/>
                <w:sz w:val="15"/>
                <w:szCs w:val="15"/>
              </w:rPr>
              <w:t>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D15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15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152" w14:textId="77777777" w:rsidR="00584EC1" w:rsidRDefault="00871F8D">
            <w:pPr>
              <w:jc w:val="right"/>
              <w:textAlignment w:val="bottom"/>
            </w:pPr>
            <w:r>
              <w:rPr>
                <w:rFonts w:ascii="Arial" w:eastAsia="宋体" w:hAnsi="Arial" w:cs="Arial"/>
                <w:b/>
                <w:bCs/>
                <w:color w:val="000000"/>
                <w:sz w:val="15"/>
                <w:szCs w:val="15"/>
              </w:rPr>
              <w:t>2,977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D15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154"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155" w14:textId="77777777" w:rsidR="00584EC1" w:rsidRDefault="00871F8D">
            <w:pPr>
              <w:jc w:val="right"/>
              <w:textAlignment w:val="bottom"/>
            </w:pPr>
            <w:r>
              <w:rPr>
                <w:rFonts w:ascii="Arial" w:eastAsia="宋体" w:hAnsi="Arial" w:cs="Arial"/>
                <w:color w:val="000000"/>
                <w:sz w:val="15"/>
                <w:szCs w:val="15"/>
              </w:rPr>
              <w:t>3,371 </w:t>
            </w:r>
          </w:p>
        </w:tc>
        <w:tc>
          <w:tcPr>
            <w:tcW w:w="0" w:type="auto"/>
            <w:shd w:val="clear" w:color="auto" w:fill="CCEEFF"/>
            <w:tcMar>
              <w:top w:w="40" w:type="dxa"/>
              <w:left w:w="0" w:type="dxa"/>
              <w:bottom w:w="40" w:type="dxa"/>
              <w:right w:w="20" w:type="dxa"/>
            </w:tcMar>
            <w:vAlign w:val="bottom"/>
          </w:tcPr>
          <w:p w14:paraId="74DDD15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15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158" w14:textId="77777777" w:rsidR="00584EC1" w:rsidRDefault="00871F8D">
            <w:pPr>
              <w:jc w:val="right"/>
              <w:textAlignment w:val="bottom"/>
            </w:pPr>
            <w:r>
              <w:rPr>
                <w:rFonts w:ascii="Arial" w:eastAsia="宋体" w:hAnsi="Arial" w:cs="Arial"/>
                <w:color w:val="000000"/>
                <w:sz w:val="15"/>
                <w:szCs w:val="15"/>
              </w:rPr>
              <w:t>72 </w:t>
            </w:r>
          </w:p>
        </w:tc>
        <w:tc>
          <w:tcPr>
            <w:tcW w:w="0" w:type="auto"/>
            <w:shd w:val="clear" w:color="auto" w:fill="CCEEFF"/>
            <w:tcMar>
              <w:top w:w="40" w:type="dxa"/>
              <w:left w:w="0" w:type="dxa"/>
              <w:bottom w:w="40" w:type="dxa"/>
              <w:right w:w="20" w:type="dxa"/>
            </w:tcMar>
            <w:vAlign w:val="bottom"/>
          </w:tcPr>
          <w:p w14:paraId="74DDD15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15A"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15B"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D15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15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15E" w14:textId="77777777" w:rsidR="00584EC1" w:rsidRDefault="00871F8D">
            <w:pPr>
              <w:jc w:val="right"/>
              <w:textAlignment w:val="bottom"/>
            </w:pPr>
            <w:r>
              <w:rPr>
                <w:rFonts w:ascii="Arial" w:eastAsia="宋体" w:hAnsi="Arial" w:cs="Arial"/>
                <w:color w:val="000000"/>
                <w:sz w:val="15"/>
                <w:szCs w:val="15"/>
              </w:rPr>
              <w:t>3,443 </w:t>
            </w:r>
          </w:p>
        </w:tc>
        <w:tc>
          <w:tcPr>
            <w:tcW w:w="0" w:type="auto"/>
            <w:shd w:val="clear" w:color="auto" w:fill="CCEEFF"/>
            <w:tcMar>
              <w:top w:w="40" w:type="dxa"/>
              <w:left w:w="0" w:type="dxa"/>
              <w:bottom w:w="40" w:type="dxa"/>
              <w:right w:w="20" w:type="dxa"/>
            </w:tcMar>
            <w:vAlign w:val="bottom"/>
          </w:tcPr>
          <w:p w14:paraId="74DDD15F" w14:textId="77777777" w:rsidR="00584EC1" w:rsidRDefault="00584EC1">
            <w:pPr>
              <w:jc w:val="right"/>
              <w:rPr>
                <w:rFonts w:ascii="宋体"/>
              </w:rPr>
            </w:pPr>
          </w:p>
        </w:tc>
      </w:tr>
      <w:tr w:rsidR="00584EC1" w14:paraId="74DDD171" w14:textId="77777777">
        <w:trPr>
          <w:hidden/>
        </w:trPr>
        <w:tc>
          <w:tcPr>
            <w:tcW w:w="0" w:type="auto"/>
            <w:gridSpan w:val="3"/>
            <w:shd w:val="clear" w:color="auto" w:fill="auto"/>
            <w:vAlign w:val="bottom"/>
          </w:tcPr>
          <w:p w14:paraId="74DDD161" w14:textId="77777777" w:rsidR="00584EC1" w:rsidRDefault="00584EC1">
            <w:pPr>
              <w:rPr>
                <w:rFonts w:ascii="宋体"/>
                <w:vanish/>
              </w:rPr>
            </w:pPr>
          </w:p>
        </w:tc>
        <w:tc>
          <w:tcPr>
            <w:tcW w:w="0" w:type="auto"/>
            <w:gridSpan w:val="3"/>
            <w:shd w:val="clear" w:color="auto" w:fill="auto"/>
            <w:vAlign w:val="bottom"/>
          </w:tcPr>
          <w:p w14:paraId="74DDD162" w14:textId="77777777" w:rsidR="00584EC1" w:rsidRDefault="00584EC1">
            <w:pPr>
              <w:rPr>
                <w:rFonts w:ascii="宋体"/>
                <w:vanish/>
              </w:rPr>
            </w:pPr>
          </w:p>
        </w:tc>
        <w:tc>
          <w:tcPr>
            <w:tcW w:w="0" w:type="auto"/>
            <w:gridSpan w:val="3"/>
            <w:shd w:val="clear" w:color="auto" w:fill="auto"/>
            <w:vAlign w:val="bottom"/>
          </w:tcPr>
          <w:p w14:paraId="74DDD163" w14:textId="77777777" w:rsidR="00584EC1" w:rsidRDefault="00584EC1">
            <w:pPr>
              <w:rPr>
                <w:rFonts w:ascii="宋体"/>
                <w:vanish/>
              </w:rPr>
            </w:pPr>
          </w:p>
        </w:tc>
        <w:tc>
          <w:tcPr>
            <w:tcW w:w="0" w:type="auto"/>
            <w:gridSpan w:val="3"/>
            <w:shd w:val="clear" w:color="auto" w:fill="auto"/>
            <w:vAlign w:val="bottom"/>
          </w:tcPr>
          <w:p w14:paraId="74DDD164" w14:textId="77777777" w:rsidR="00584EC1" w:rsidRDefault="00584EC1">
            <w:pPr>
              <w:rPr>
                <w:rFonts w:ascii="宋体"/>
                <w:vanish/>
              </w:rPr>
            </w:pPr>
          </w:p>
        </w:tc>
        <w:tc>
          <w:tcPr>
            <w:tcW w:w="0" w:type="auto"/>
            <w:gridSpan w:val="3"/>
            <w:shd w:val="clear" w:color="auto" w:fill="auto"/>
            <w:vAlign w:val="bottom"/>
          </w:tcPr>
          <w:p w14:paraId="74DDD165" w14:textId="77777777" w:rsidR="00584EC1" w:rsidRDefault="00584EC1">
            <w:pPr>
              <w:rPr>
                <w:rFonts w:ascii="宋体"/>
                <w:vanish/>
              </w:rPr>
            </w:pPr>
          </w:p>
        </w:tc>
        <w:tc>
          <w:tcPr>
            <w:tcW w:w="0" w:type="auto"/>
            <w:gridSpan w:val="3"/>
            <w:shd w:val="clear" w:color="auto" w:fill="auto"/>
            <w:vAlign w:val="bottom"/>
          </w:tcPr>
          <w:p w14:paraId="74DDD166" w14:textId="77777777" w:rsidR="00584EC1" w:rsidRDefault="00584EC1">
            <w:pPr>
              <w:rPr>
                <w:rFonts w:ascii="宋体"/>
                <w:vanish/>
              </w:rPr>
            </w:pPr>
          </w:p>
        </w:tc>
        <w:tc>
          <w:tcPr>
            <w:tcW w:w="0" w:type="auto"/>
            <w:gridSpan w:val="3"/>
            <w:shd w:val="clear" w:color="auto" w:fill="auto"/>
            <w:vAlign w:val="bottom"/>
          </w:tcPr>
          <w:p w14:paraId="74DDD167" w14:textId="77777777" w:rsidR="00584EC1" w:rsidRDefault="00584EC1">
            <w:pPr>
              <w:rPr>
                <w:rFonts w:ascii="宋体"/>
                <w:vanish/>
              </w:rPr>
            </w:pPr>
          </w:p>
        </w:tc>
        <w:tc>
          <w:tcPr>
            <w:tcW w:w="0" w:type="auto"/>
            <w:gridSpan w:val="3"/>
            <w:shd w:val="clear" w:color="auto" w:fill="auto"/>
            <w:vAlign w:val="bottom"/>
          </w:tcPr>
          <w:p w14:paraId="74DDD168" w14:textId="77777777" w:rsidR="00584EC1" w:rsidRDefault="00584EC1">
            <w:pPr>
              <w:rPr>
                <w:rFonts w:ascii="宋体"/>
                <w:vanish/>
              </w:rPr>
            </w:pPr>
          </w:p>
        </w:tc>
        <w:tc>
          <w:tcPr>
            <w:tcW w:w="0" w:type="auto"/>
            <w:gridSpan w:val="3"/>
            <w:shd w:val="clear" w:color="auto" w:fill="auto"/>
            <w:vAlign w:val="bottom"/>
          </w:tcPr>
          <w:p w14:paraId="74DDD169" w14:textId="77777777" w:rsidR="00584EC1" w:rsidRDefault="00584EC1">
            <w:pPr>
              <w:rPr>
                <w:rFonts w:ascii="宋体"/>
                <w:vanish/>
              </w:rPr>
            </w:pPr>
          </w:p>
        </w:tc>
        <w:tc>
          <w:tcPr>
            <w:tcW w:w="0" w:type="auto"/>
            <w:gridSpan w:val="3"/>
            <w:shd w:val="clear" w:color="auto" w:fill="auto"/>
            <w:vAlign w:val="bottom"/>
          </w:tcPr>
          <w:p w14:paraId="74DDD16A" w14:textId="77777777" w:rsidR="00584EC1" w:rsidRDefault="00584EC1">
            <w:pPr>
              <w:rPr>
                <w:rFonts w:ascii="宋体"/>
                <w:vanish/>
              </w:rPr>
            </w:pPr>
          </w:p>
        </w:tc>
        <w:tc>
          <w:tcPr>
            <w:tcW w:w="0" w:type="auto"/>
            <w:gridSpan w:val="3"/>
            <w:shd w:val="clear" w:color="auto" w:fill="auto"/>
            <w:vAlign w:val="bottom"/>
          </w:tcPr>
          <w:p w14:paraId="74DDD16B" w14:textId="77777777" w:rsidR="00584EC1" w:rsidRDefault="00584EC1">
            <w:pPr>
              <w:rPr>
                <w:rFonts w:ascii="宋体"/>
                <w:vanish/>
              </w:rPr>
            </w:pPr>
          </w:p>
        </w:tc>
        <w:tc>
          <w:tcPr>
            <w:tcW w:w="0" w:type="auto"/>
            <w:gridSpan w:val="3"/>
            <w:shd w:val="clear" w:color="auto" w:fill="auto"/>
            <w:vAlign w:val="bottom"/>
          </w:tcPr>
          <w:p w14:paraId="74DDD16C" w14:textId="77777777" w:rsidR="00584EC1" w:rsidRDefault="00584EC1">
            <w:pPr>
              <w:rPr>
                <w:rFonts w:ascii="宋体"/>
                <w:vanish/>
              </w:rPr>
            </w:pPr>
          </w:p>
        </w:tc>
        <w:tc>
          <w:tcPr>
            <w:tcW w:w="0" w:type="auto"/>
            <w:gridSpan w:val="3"/>
            <w:shd w:val="clear" w:color="auto" w:fill="auto"/>
            <w:vAlign w:val="bottom"/>
          </w:tcPr>
          <w:p w14:paraId="74DDD16D" w14:textId="77777777" w:rsidR="00584EC1" w:rsidRDefault="00584EC1">
            <w:pPr>
              <w:rPr>
                <w:rFonts w:ascii="宋体"/>
                <w:vanish/>
              </w:rPr>
            </w:pPr>
          </w:p>
        </w:tc>
        <w:tc>
          <w:tcPr>
            <w:tcW w:w="0" w:type="auto"/>
            <w:gridSpan w:val="3"/>
            <w:shd w:val="clear" w:color="auto" w:fill="auto"/>
            <w:vAlign w:val="bottom"/>
          </w:tcPr>
          <w:p w14:paraId="74DDD16E" w14:textId="77777777" w:rsidR="00584EC1" w:rsidRDefault="00584EC1">
            <w:pPr>
              <w:rPr>
                <w:rFonts w:ascii="宋体"/>
                <w:vanish/>
              </w:rPr>
            </w:pPr>
          </w:p>
        </w:tc>
        <w:tc>
          <w:tcPr>
            <w:tcW w:w="0" w:type="auto"/>
            <w:gridSpan w:val="3"/>
            <w:shd w:val="clear" w:color="auto" w:fill="auto"/>
            <w:vAlign w:val="bottom"/>
          </w:tcPr>
          <w:p w14:paraId="74DDD16F" w14:textId="77777777" w:rsidR="00584EC1" w:rsidRDefault="00584EC1">
            <w:pPr>
              <w:rPr>
                <w:rFonts w:ascii="宋体"/>
                <w:vanish/>
              </w:rPr>
            </w:pPr>
          </w:p>
        </w:tc>
        <w:tc>
          <w:tcPr>
            <w:tcW w:w="0" w:type="auto"/>
            <w:gridSpan w:val="3"/>
            <w:shd w:val="clear" w:color="auto" w:fill="auto"/>
            <w:vAlign w:val="bottom"/>
          </w:tcPr>
          <w:p w14:paraId="74DDD170" w14:textId="77777777" w:rsidR="00584EC1" w:rsidRDefault="00584EC1">
            <w:pPr>
              <w:rPr>
                <w:rFonts w:ascii="宋体"/>
                <w:vanish/>
              </w:rPr>
            </w:pPr>
          </w:p>
        </w:tc>
      </w:tr>
      <w:tr w:rsidR="00584EC1" w14:paraId="74DDD182" w14:textId="77777777">
        <w:trPr>
          <w:hidden/>
        </w:trPr>
        <w:tc>
          <w:tcPr>
            <w:tcW w:w="0" w:type="auto"/>
            <w:gridSpan w:val="3"/>
            <w:shd w:val="clear" w:color="auto" w:fill="auto"/>
            <w:vAlign w:val="bottom"/>
          </w:tcPr>
          <w:p w14:paraId="74DDD172" w14:textId="77777777" w:rsidR="00584EC1" w:rsidRDefault="00584EC1">
            <w:pPr>
              <w:rPr>
                <w:rFonts w:ascii="宋体"/>
                <w:vanish/>
              </w:rPr>
            </w:pPr>
          </w:p>
        </w:tc>
        <w:tc>
          <w:tcPr>
            <w:tcW w:w="0" w:type="auto"/>
            <w:gridSpan w:val="3"/>
            <w:shd w:val="clear" w:color="auto" w:fill="auto"/>
            <w:vAlign w:val="bottom"/>
          </w:tcPr>
          <w:p w14:paraId="74DDD173" w14:textId="77777777" w:rsidR="00584EC1" w:rsidRDefault="00584EC1">
            <w:pPr>
              <w:rPr>
                <w:rFonts w:ascii="宋体"/>
                <w:vanish/>
              </w:rPr>
            </w:pPr>
          </w:p>
        </w:tc>
        <w:tc>
          <w:tcPr>
            <w:tcW w:w="0" w:type="auto"/>
            <w:gridSpan w:val="3"/>
            <w:shd w:val="clear" w:color="auto" w:fill="auto"/>
            <w:vAlign w:val="bottom"/>
          </w:tcPr>
          <w:p w14:paraId="74DDD174" w14:textId="77777777" w:rsidR="00584EC1" w:rsidRDefault="00584EC1">
            <w:pPr>
              <w:rPr>
                <w:rFonts w:ascii="宋体"/>
                <w:vanish/>
              </w:rPr>
            </w:pPr>
          </w:p>
        </w:tc>
        <w:tc>
          <w:tcPr>
            <w:tcW w:w="0" w:type="auto"/>
            <w:gridSpan w:val="3"/>
            <w:shd w:val="clear" w:color="auto" w:fill="auto"/>
            <w:vAlign w:val="bottom"/>
          </w:tcPr>
          <w:p w14:paraId="74DDD175" w14:textId="77777777" w:rsidR="00584EC1" w:rsidRDefault="00584EC1">
            <w:pPr>
              <w:rPr>
                <w:rFonts w:ascii="宋体"/>
                <w:vanish/>
              </w:rPr>
            </w:pPr>
          </w:p>
        </w:tc>
        <w:tc>
          <w:tcPr>
            <w:tcW w:w="0" w:type="auto"/>
            <w:gridSpan w:val="3"/>
            <w:shd w:val="clear" w:color="auto" w:fill="auto"/>
            <w:vAlign w:val="bottom"/>
          </w:tcPr>
          <w:p w14:paraId="74DDD176" w14:textId="77777777" w:rsidR="00584EC1" w:rsidRDefault="00584EC1">
            <w:pPr>
              <w:rPr>
                <w:rFonts w:ascii="宋体"/>
                <w:vanish/>
              </w:rPr>
            </w:pPr>
          </w:p>
        </w:tc>
        <w:tc>
          <w:tcPr>
            <w:tcW w:w="0" w:type="auto"/>
            <w:gridSpan w:val="3"/>
            <w:shd w:val="clear" w:color="auto" w:fill="auto"/>
            <w:vAlign w:val="bottom"/>
          </w:tcPr>
          <w:p w14:paraId="74DDD177" w14:textId="77777777" w:rsidR="00584EC1" w:rsidRDefault="00584EC1">
            <w:pPr>
              <w:rPr>
                <w:rFonts w:ascii="宋体"/>
                <w:vanish/>
              </w:rPr>
            </w:pPr>
          </w:p>
        </w:tc>
        <w:tc>
          <w:tcPr>
            <w:tcW w:w="0" w:type="auto"/>
            <w:gridSpan w:val="3"/>
            <w:shd w:val="clear" w:color="auto" w:fill="auto"/>
            <w:vAlign w:val="bottom"/>
          </w:tcPr>
          <w:p w14:paraId="74DDD178" w14:textId="77777777" w:rsidR="00584EC1" w:rsidRDefault="00584EC1">
            <w:pPr>
              <w:rPr>
                <w:rFonts w:ascii="宋体"/>
                <w:vanish/>
              </w:rPr>
            </w:pPr>
          </w:p>
        </w:tc>
        <w:tc>
          <w:tcPr>
            <w:tcW w:w="0" w:type="auto"/>
            <w:gridSpan w:val="3"/>
            <w:shd w:val="clear" w:color="auto" w:fill="auto"/>
            <w:vAlign w:val="bottom"/>
          </w:tcPr>
          <w:p w14:paraId="74DDD179" w14:textId="77777777" w:rsidR="00584EC1" w:rsidRDefault="00584EC1">
            <w:pPr>
              <w:rPr>
                <w:rFonts w:ascii="宋体"/>
                <w:vanish/>
              </w:rPr>
            </w:pPr>
          </w:p>
        </w:tc>
        <w:tc>
          <w:tcPr>
            <w:tcW w:w="0" w:type="auto"/>
            <w:gridSpan w:val="3"/>
            <w:shd w:val="clear" w:color="auto" w:fill="auto"/>
            <w:vAlign w:val="bottom"/>
          </w:tcPr>
          <w:p w14:paraId="74DDD17A" w14:textId="77777777" w:rsidR="00584EC1" w:rsidRDefault="00584EC1">
            <w:pPr>
              <w:rPr>
                <w:rFonts w:ascii="宋体"/>
                <w:vanish/>
              </w:rPr>
            </w:pPr>
          </w:p>
        </w:tc>
        <w:tc>
          <w:tcPr>
            <w:tcW w:w="0" w:type="auto"/>
            <w:gridSpan w:val="3"/>
            <w:shd w:val="clear" w:color="auto" w:fill="auto"/>
            <w:vAlign w:val="bottom"/>
          </w:tcPr>
          <w:p w14:paraId="74DDD17B" w14:textId="77777777" w:rsidR="00584EC1" w:rsidRDefault="00584EC1">
            <w:pPr>
              <w:rPr>
                <w:rFonts w:ascii="宋体"/>
                <w:vanish/>
              </w:rPr>
            </w:pPr>
          </w:p>
        </w:tc>
        <w:tc>
          <w:tcPr>
            <w:tcW w:w="0" w:type="auto"/>
            <w:gridSpan w:val="3"/>
            <w:shd w:val="clear" w:color="auto" w:fill="auto"/>
            <w:vAlign w:val="bottom"/>
          </w:tcPr>
          <w:p w14:paraId="74DDD17C" w14:textId="77777777" w:rsidR="00584EC1" w:rsidRDefault="00584EC1">
            <w:pPr>
              <w:rPr>
                <w:rFonts w:ascii="宋体"/>
                <w:vanish/>
              </w:rPr>
            </w:pPr>
          </w:p>
        </w:tc>
        <w:tc>
          <w:tcPr>
            <w:tcW w:w="0" w:type="auto"/>
            <w:gridSpan w:val="3"/>
            <w:shd w:val="clear" w:color="auto" w:fill="auto"/>
            <w:vAlign w:val="bottom"/>
          </w:tcPr>
          <w:p w14:paraId="74DDD17D" w14:textId="77777777" w:rsidR="00584EC1" w:rsidRDefault="00584EC1">
            <w:pPr>
              <w:rPr>
                <w:rFonts w:ascii="宋体"/>
                <w:vanish/>
              </w:rPr>
            </w:pPr>
          </w:p>
        </w:tc>
        <w:tc>
          <w:tcPr>
            <w:tcW w:w="0" w:type="auto"/>
            <w:gridSpan w:val="3"/>
            <w:shd w:val="clear" w:color="auto" w:fill="auto"/>
            <w:vAlign w:val="bottom"/>
          </w:tcPr>
          <w:p w14:paraId="74DDD17E" w14:textId="77777777" w:rsidR="00584EC1" w:rsidRDefault="00584EC1">
            <w:pPr>
              <w:rPr>
                <w:rFonts w:ascii="宋体"/>
                <w:vanish/>
              </w:rPr>
            </w:pPr>
          </w:p>
        </w:tc>
        <w:tc>
          <w:tcPr>
            <w:tcW w:w="0" w:type="auto"/>
            <w:gridSpan w:val="3"/>
            <w:shd w:val="clear" w:color="auto" w:fill="auto"/>
            <w:vAlign w:val="bottom"/>
          </w:tcPr>
          <w:p w14:paraId="74DDD17F" w14:textId="77777777" w:rsidR="00584EC1" w:rsidRDefault="00584EC1">
            <w:pPr>
              <w:rPr>
                <w:rFonts w:ascii="宋体"/>
                <w:vanish/>
              </w:rPr>
            </w:pPr>
          </w:p>
        </w:tc>
        <w:tc>
          <w:tcPr>
            <w:tcW w:w="0" w:type="auto"/>
            <w:gridSpan w:val="3"/>
            <w:shd w:val="clear" w:color="auto" w:fill="auto"/>
            <w:vAlign w:val="bottom"/>
          </w:tcPr>
          <w:p w14:paraId="74DDD180" w14:textId="77777777" w:rsidR="00584EC1" w:rsidRDefault="00584EC1">
            <w:pPr>
              <w:rPr>
                <w:rFonts w:ascii="宋体"/>
                <w:vanish/>
              </w:rPr>
            </w:pPr>
          </w:p>
        </w:tc>
        <w:tc>
          <w:tcPr>
            <w:tcW w:w="0" w:type="auto"/>
            <w:gridSpan w:val="3"/>
            <w:shd w:val="clear" w:color="auto" w:fill="auto"/>
            <w:vAlign w:val="bottom"/>
          </w:tcPr>
          <w:p w14:paraId="74DDD181" w14:textId="77777777" w:rsidR="00584EC1" w:rsidRDefault="00584EC1">
            <w:pPr>
              <w:rPr>
                <w:rFonts w:ascii="宋体"/>
                <w:vanish/>
              </w:rPr>
            </w:pPr>
          </w:p>
        </w:tc>
      </w:tr>
      <w:tr w:rsidR="00584EC1" w14:paraId="74DDD193" w14:textId="77777777">
        <w:trPr>
          <w:hidden/>
        </w:trPr>
        <w:tc>
          <w:tcPr>
            <w:tcW w:w="0" w:type="auto"/>
            <w:gridSpan w:val="3"/>
            <w:shd w:val="clear" w:color="auto" w:fill="auto"/>
            <w:vAlign w:val="bottom"/>
          </w:tcPr>
          <w:p w14:paraId="74DDD183" w14:textId="77777777" w:rsidR="00584EC1" w:rsidRDefault="00584EC1">
            <w:pPr>
              <w:rPr>
                <w:rFonts w:ascii="宋体"/>
                <w:vanish/>
              </w:rPr>
            </w:pPr>
          </w:p>
        </w:tc>
        <w:tc>
          <w:tcPr>
            <w:tcW w:w="0" w:type="auto"/>
            <w:gridSpan w:val="3"/>
            <w:shd w:val="clear" w:color="auto" w:fill="auto"/>
            <w:vAlign w:val="bottom"/>
          </w:tcPr>
          <w:p w14:paraId="74DDD184" w14:textId="77777777" w:rsidR="00584EC1" w:rsidRDefault="00584EC1">
            <w:pPr>
              <w:rPr>
                <w:rFonts w:ascii="宋体"/>
                <w:vanish/>
              </w:rPr>
            </w:pPr>
          </w:p>
        </w:tc>
        <w:tc>
          <w:tcPr>
            <w:tcW w:w="0" w:type="auto"/>
            <w:gridSpan w:val="3"/>
            <w:shd w:val="clear" w:color="auto" w:fill="auto"/>
            <w:vAlign w:val="bottom"/>
          </w:tcPr>
          <w:p w14:paraId="74DDD185" w14:textId="77777777" w:rsidR="00584EC1" w:rsidRDefault="00584EC1">
            <w:pPr>
              <w:rPr>
                <w:rFonts w:ascii="宋体"/>
                <w:vanish/>
              </w:rPr>
            </w:pPr>
          </w:p>
        </w:tc>
        <w:tc>
          <w:tcPr>
            <w:tcW w:w="0" w:type="auto"/>
            <w:gridSpan w:val="3"/>
            <w:shd w:val="clear" w:color="auto" w:fill="auto"/>
            <w:vAlign w:val="bottom"/>
          </w:tcPr>
          <w:p w14:paraId="74DDD186" w14:textId="77777777" w:rsidR="00584EC1" w:rsidRDefault="00584EC1">
            <w:pPr>
              <w:rPr>
                <w:rFonts w:ascii="宋体"/>
                <w:vanish/>
              </w:rPr>
            </w:pPr>
          </w:p>
        </w:tc>
        <w:tc>
          <w:tcPr>
            <w:tcW w:w="0" w:type="auto"/>
            <w:gridSpan w:val="3"/>
            <w:shd w:val="clear" w:color="auto" w:fill="auto"/>
            <w:vAlign w:val="bottom"/>
          </w:tcPr>
          <w:p w14:paraId="74DDD187" w14:textId="77777777" w:rsidR="00584EC1" w:rsidRDefault="00584EC1">
            <w:pPr>
              <w:rPr>
                <w:rFonts w:ascii="宋体"/>
                <w:vanish/>
              </w:rPr>
            </w:pPr>
          </w:p>
        </w:tc>
        <w:tc>
          <w:tcPr>
            <w:tcW w:w="0" w:type="auto"/>
            <w:gridSpan w:val="3"/>
            <w:shd w:val="clear" w:color="auto" w:fill="auto"/>
            <w:vAlign w:val="bottom"/>
          </w:tcPr>
          <w:p w14:paraId="74DDD188" w14:textId="77777777" w:rsidR="00584EC1" w:rsidRDefault="00584EC1">
            <w:pPr>
              <w:rPr>
                <w:rFonts w:ascii="宋体"/>
                <w:vanish/>
              </w:rPr>
            </w:pPr>
          </w:p>
        </w:tc>
        <w:tc>
          <w:tcPr>
            <w:tcW w:w="0" w:type="auto"/>
            <w:gridSpan w:val="3"/>
            <w:shd w:val="clear" w:color="auto" w:fill="auto"/>
            <w:vAlign w:val="bottom"/>
          </w:tcPr>
          <w:p w14:paraId="74DDD189" w14:textId="77777777" w:rsidR="00584EC1" w:rsidRDefault="00584EC1">
            <w:pPr>
              <w:rPr>
                <w:rFonts w:ascii="宋体"/>
                <w:vanish/>
              </w:rPr>
            </w:pPr>
          </w:p>
        </w:tc>
        <w:tc>
          <w:tcPr>
            <w:tcW w:w="0" w:type="auto"/>
            <w:gridSpan w:val="3"/>
            <w:shd w:val="clear" w:color="auto" w:fill="auto"/>
            <w:vAlign w:val="bottom"/>
          </w:tcPr>
          <w:p w14:paraId="74DDD18A" w14:textId="77777777" w:rsidR="00584EC1" w:rsidRDefault="00584EC1">
            <w:pPr>
              <w:rPr>
                <w:rFonts w:ascii="宋体"/>
                <w:vanish/>
              </w:rPr>
            </w:pPr>
          </w:p>
        </w:tc>
        <w:tc>
          <w:tcPr>
            <w:tcW w:w="0" w:type="auto"/>
            <w:gridSpan w:val="3"/>
            <w:shd w:val="clear" w:color="auto" w:fill="auto"/>
            <w:vAlign w:val="bottom"/>
          </w:tcPr>
          <w:p w14:paraId="74DDD18B" w14:textId="77777777" w:rsidR="00584EC1" w:rsidRDefault="00584EC1">
            <w:pPr>
              <w:rPr>
                <w:rFonts w:ascii="宋体"/>
                <w:vanish/>
              </w:rPr>
            </w:pPr>
          </w:p>
        </w:tc>
        <w:tc>
          <w:tcPr>
            <w:tcW w:w="0" w:type="auto"/>
            <w:gridSpan w:val="3"/>
            <w:shd w:val="clear" w:color="auto" w:fill="auto"/>
            <w:vAlign w:val="bottom"/>
          </w:tcPr>
          <w:p w14:paraId="74DDD18C" w14:textId="77777777" w:rsidR="00584EC1" w:rsidRDefault="00584EC1">
            <w:pPr>
              <w:rPr>
                <w:rFonts w:ascii="宋体"/>
                <w:vanish/>
              </w:rPr>
            </w:pPr>
          </w:p>
        </w:tc>
        <w:tc>
          <w:tcPr>
            <w:tcW w:w="0" w:type="auto"/>
            <w:gridSpan w:val="3"/>
            <w:shd w:val="clear" w:color="auto" w:fill="auto"/>
            <w:vAlign w:val="bottom"/>
          </w:tcPr>
          <w:p w14:paraId="74DDD18D" w14:textId="77777777" w:rsidR="00584EC1" w:rsidRDefault="00584EC1">
            <w:pPr>
              <w:rPr>
                <w:rFonts w:ascii="宋体"/>
                <w:vanish/>
              </w:rPr>
            </w:pPr>
          </w:p>
        </w:tc>
        <w:tc>
          <w:tcPr>
            <w:tcW w:w="0" w:type="auto"/>
            <w:gridSpan w:val="3"/>
            <w:shd w:val="clear" w:color="auto" w:fill="auto"/>
            <w:vAlign w:val="bottom"/>
          </w:tcPr>
          <w:p w14:paraId="74DDD18E" w14:textId="77777777" w:rsidR="00584EC1" w:rsidRDefault="00584EC1">
            <w:pPr>
              <w:rPr>
                <w:rFonts w:ascii="宋体"/>
                <w:vanish/>
              </w:rPr>
            </w:pPr>
          </w:p>
        </w:tc>
        <w:tc>
          <w:tcPr>
            <w:tcW w:w="0" w:type="auto"/>
            <w:gridSpan w:val="3"/>
            <w:shd w:val="clear" w:color="auto" w:fill="auto"/>
            <w:vAlign w:val="bottom"/>
          </w:tcPr>
          <w:p w14:paraId="74DDD18F" w14:textId="77777777" w:rsidR="00584EC1" w:rsidRDefault="00584EC1">
            <w:pPr>
              <w:rPr>
                <w:rFonts w:ascii="宋体"/>
                <w:vanish/>
              </w:rPr>
            </w:pPr>
          </w:p>
        </w:tc>
        <w:tc>
          <w:tcPr>
            <w:tcW w:w="0" w:type="auto"/>
            <w:gridSpan w:val="3"/>
            <w:shd w:val="clear" w:color="auto" w:fill="auto"/>
            <w:vAlign w:val="bottom"/>
          </w:tcPr>
          <w:p w14:paraId="74DDD190" w14:textId="77777777" w:rsidR="00584EC1" w:rsidRDefault="00584EC1">
            <w:pPr>
              <w:rPr>
                <w:rFonts w:ascii="宋体"/>
                <w:vanish/>
              </w:rPr>
            </w:pPr>
          </w:p>
        </w:tc>
        <w:tc>
          <w:tcPr>
            <w:tcW w:w="0" w:type="auto"/>
            <w:gridSpan w:val="3"/>
            <w:shd w:val="clear" w:color="auto" w:fill="auto"/>
            <w:vAlign w:val="bottom"/>
          </w:tcPr>
          <w:p w14:paraId="74DDD191" w14:textId="77777777" w:rsidR="00584EC1" w:rsidRDefault="00584EC1">
            <w:pPr>
              <w:rPr>
                <w:rFonts w:ascii="宋体"/>
                <w:vanish/>
              </w:rPr>
            </w:pPr>
          </w:p>
        </w:tc>
        <w:tc>
          <w:tcPr>
            <w:tcW w:w="0" w:type="auto"/>
            <w:gridSpan w:val="3"/>
            <w:shd w:val="clear" w:color="auto" w:fill="auto"/>
            <w:vAlign w:val="bottom"/>
          </w:tcPr>
          <w:p w14:paraId="74DDD192" w14:textId="77777777" w:rsidR="00584EC1" w:rsidRDefault="00584EC1">
            <w:pPr>
              <w:rPr>
                <w:rFonts w:ascii="宋体"/>
                <w:vanish/>
              </w:rPr>
            </w:pPr>
          </w:p>
        </w:tc>
      </w:tr>
      <w:tr w:rsidR="00584EC1" w14:paraId="74DDD1A4" w14:textId="77777777">
        <w:trPr>
          <w:hidden/>
        </w:trPr>
        <w:tc>
          <w:tcPr>
            <w:tcW w:w="0" w:type="auto"/>
            <w:gridSpan w:val="3"/>
            <w:shd w:val="clear" w:color="auto" w:fill="auto"/>
            <w:vAlign w:val="bottom"/>
          </w:tcPr>
          <w:p w14:paraId="74DDD194" w14:textId="77777777" w:rsidR="00584EC1" w:rsidRDefault="00584EC1">
            <w:pPr>
              <w:rPr>
                <w:rFonts w:ascii="宋体"/>
                <w:vanish/>
              </w:rPr>
            </w:pPr>
          </w:p>
        </w:tc>
        <w:tc>
          <w:tcPr>
            <w:tcW w:w="0" w:type="auto"/>
            <w:gridSpan w:val="3"/>
            <w:shd w:val="clear" w:color="auto" w:fill="auto"/>
            <w:vAlign w:val="bottom"/>
          </w:tcPr>
          <w:p w14:paraId="74DDD195" w14:textId="77777777" w:rsidR="00584EC1" w:rsidRDefault="00584EC1">
            <w:pPr>
              <w:rPr>
                <w:rFonts w:ascii="宋体"/>
                <w:vanish/>
              </w:rPr>
            </w:pPr>
          </w:p>
        </w:tc>
        <w:tc>
          <w:tcPr>
            <w:tcW w:w="0" w:type="auto"/>
            <w:gridSpan w:val="3"/>
            <w:shd w:val="clear" w:color="auto" w:fill="auto"/>
            <w:vAlign w:val="bottom"/>
          </w:tcPr>
          <w:p w14:paraId="74DDD196" w14:textId="77777777" w:rsidR="00584EC1" w:rsidRDefault="00584EC1">
            <w:pPr>
              <w:rPr>
                <w:rFonts w:ascii="宋体"/>
                <w:vanish/>
              </w:rPr>
            </w:pPr>
          </w:p>
        </w:tc>
        <w:tc>
          <w:tcPr>
            <w:tcW w:w="0" w:type="auto"/>
            <w:gridSpan w:val="3"/>
            <w:shd w:val="clear" w:color="auto" w:fill="auto"/>
            <w:vAlign w:val="bottom"/>
          </w:tcPr>
          <w:p w14:paraId="74DDD197" w14:textId="77777777" w:rsidR="00584EC1" w:rsidRDefault="00584EC1">
            <w:pPr>
              <w:rPr>
                <w:rFonts w:ascii="宋体"/>
                <w:vanish/>
              </w:rPr>
            </w:pPr>
          </w:p>
        </w:tc>
        <w:tc>
          <w:tcPr>
            <w:tcW w:w="0" w:type="auto"/>
            <w:gridSpan w:val="3"/>
            <w:shd w:val="clear" w:color="auto" w:fill="auto"/>
            <w:vAlign w:val="bottom"/>
          </w:tcPr>
          <w:p w14:paraId="74DDD198" w14:textId="77777777" w:rsidR="00584EC1" w:rsidRDefault="00584EC1">
            <w:pPr>
              <w:rPr>
                <w:rFonts w:ascii="宋体"/>
                <w:vanish/>
              </w:rPr>
            </w:pPr>
          </w:p>
        </w:tc>
        <w:tc>
          <w:tcPr>
            <w:tcW w:w="0" w:type="auto"/>
            <w:gridSpan w:val="3"/>
            <w:shd w:val="clear" w:color="auto" w:fill="auto"/>
            <w:vAlign w:val="bottom"/>
          </w:tcPr>
          <w:p w14:paraId="74DDD199" w14:textId="77777777" w:rsidR="00584EC1" w:rsidRDefault="00584EC1">
            <w:pPr>
              <w:rPr>
                <w:rFonts w:ascii="宋体"/>
                <w:vanish/>
              </w:rPr>
            </w:pPr>
          </w:p>
        </w:tc>
        <w:tc>
          <w:tcPr>
            <w:tcW w:w="0" w:type="auto"/>
            <w:gridSpan w:val="3"/>
            <w:shd w:val="clear" w:color="auto" w:fill="auto"/>
            <w:vAlign w:val="bottom"/>
          </w:tcPr>
          <w:p w14:paraId="74DDD19A" w14:textId="77777777" w:rsidR="00584EC1" w:rsidRDefault="00584EC1">
            <w:pPr>
              <w:rPr>
                <w:rFonts w:ascii="宋体"/>
                <w:vanish/>
              </w:rPr>
            </w:pPr>
          </w:p>
        </w:tc>
        <w:tc>
          <w:tcPr>
            <w:tcW w:w="0" w:type="auto"/>
            <w:gridSpan w:val="3"/>
            <w:shd w:val="clear" w:color="auto" w:fill="auto"/>
            <w:vAlign w:val="bottom"/>
          </w:tcPr>
          <w:p w14:paraId="74DDD19B" w14:textId="77777777" w:rsidR="00584EC1" w:rsidRDefault="00584EC1">
            <w:pPr>
              <w:rPr>
                <w:rFonts w:ascii="宋体"/>
                <w:vanish/>
              </w:rPr>
            </w:pPr>
          </w:p>
        </w:tc>
        <w:tc>
          <w:tcPr>
            <w:tcW w:w="0" w:type="auto"/>
            <w:gridSpan w:val="3"/>
            <w:shd w:val="clear" w:color="auto" w:fill="auto"/>
            <w:vAlign w:val="bottom"/>
          </w:tcPr>
          <w:p w14:paraId="74DDD19C" w14:textId="77777777" w:rsidR="00584EC1" w:rsidRDefault="00584EC1">
            <w:pPr>
              <w:rPr>
                <w:rFonts w:ascii="宋体"/>
                <w:vanish/>
              </w:rPr>
            </w:pPr>
          </w:p>
        </w:tc>
        <w:tc>
          <w:tcPr>
            <w:tcW w:w="0" w:type="auto"/>
            <w:gridSpan w:val="3"/>
            <w:shd w:val="clear" w:color="auto" w:fill="auto"/>
            <w:vAlign w:val="bottom"/>
          </w:tcPr>
          <w:p w14:paraId="74DDD19D" w14:textId="77777777" w:rsidR="00584EC1" w:rsidRDefault="00584EC1">
            <w:pPr>
              <w:rPr>
                <w:rFonts w:ascii="宋体"/>
                <w:vanish/>
              </w:rPr>
            </w:pPr>
          </w:p>
        </w:tc>
        <w:tc>
          <w:tcPr>
            <w:tcW w:w="0" w:type="auto"/>
            <w:gridSpan w:val="3"/>
            <w:shd w:val="clear" w:color="auto" w:fill="auto"/>
            <w:vAlign w:val="bottom"/>
          </w:tcPr>
          <w:p w14:paraId="74DDD19E" w14:textId="77777777" w:rsidR="00584EC1" w:rsidRDefault="00584EC1">
            <w:pPr>
              <w:rPr>
                <w:rFonts w:ascii="宋体"/>
                <w:vanish/>
              </w:rPr>
            </w:pPr>
          </w:p>
        </w:tc>
        <w:tc>
          <w:tcPr>
            <w:tcW w:w="0" w:type="auto"/>
            <w:gridSpan w:val="3"/>
            <w:shd w:val="clear" w:color="auto" w:fill="auto"/>
            <w:vAlign w:val="bottom"/>
          </w:tcPr>
          <w:p w14:paraId="74DDD19F" w14:textId="77777777" w:rsidR="00584EC1" w:rsidRDefault="00584EC1">
            <w:pPr>
              <w:rPr>
                <w:rFonts w:ascii="宋体"/>
                <w:vanish/>
              </w:rPr>
            </w:pPr>
          </w:p>
        </w:tc>
        <w:tc>
          <w:tcPr>
            <w:tcW w:w="0" w:type="auto"/>
            <w:gridSpan w:val="3"/>
            <w:shd w:val="clear" w:color="auto" w:fill="auto"/>
            <w:vAlign w:val="bottom"/>
          </w:tcPr>
          <w:p w14:paraId="74DDD1A0" w14:textId="77777777" w:rsidR="00584EC1" w:rsidRDefault="00584EC1">
            <w:pPr>
              <w:rPr>
                <w:rFonts w:ascii="宋体"/>
                <w:vanish/>
              </w:rPr>
            </w:pPr>
          </w:p>
        </w:tc>
        <w:tc>
          <w:tcPr>
            <w:tcW w:w="0" w:type="auto"/>
            <w:gridSpan w:val="3"/>
            <w:shd w:val="clear" w:color="auto" w:fill="auto"/>
            <w:vAlign w:val="bottom"/>
          </w:tcPr>
          <w:p w14:paraId="74DDD1A1" w14:textId="77777777" w:rsidR="00584EC1" w:rsidRDefault="00584EC1">
            <w:pPr>
              <w:rPr>
                <w:rFonts w:ascii="宋体"/>
                <w:vanish/>
              </w:rPr>
            </w:pPr>
          </w:p>
        </w:tc>
        <w:tc>
          <w:tcPr>
            <w:tcW w:w="0" w:type="auto"/>
            <w:gridSpan w:val="3"/>
            <w:shd w:val="clear" w:color="auto" w:fill="auto"/>
            <w:vAlign w:val="bottom"/>
          </w:tcPr>
          <w:p w14:paraId="74DDD1A2" w14:textId="77777777" w:rsidR="00584EC1" w:rsidRDefault="00584EC1">
            <w:pPr>
              <w:rPr>
                <w:rFonts w:ascii="宋体"/>
                <w:vanish/>
              </w:rPr>
            </w:pPr>
          </w:p>
        </w:tc>
        <w:tc>
          <w:tcPr>
            <w:tcW w:w="0" w:type="auto"/>
            <w:gridSpan w:val="3"/>
            <w:shd w:val="clear" w:color="auto" w:fill="auto"/>
            <w:vAlign w:val="bottom"/>
          </w:tcPr>
          <w:p w14:paraId="74DDD1A3" w14:textId="77777777" w:rsidR="00584EC1" w:rsidRDefault="00584EC1">
            <w:pPr>
              <w:rPr>
                <w:rFonts w:ascii="宋体"/>
                <w:vanish/>
              </w:rPr>
            </w:pPr>
          </w:p>
        </w:tc>
      </w:tr>
      <w:tr w:rsidR="00871F8D" w14:paraId="74DDD1C5" w14:textId="77777777">
        <w:tc>
          <w:tcPr>
            <w:tcW w:w="0" w:type="auto"/>
            <w:gridSpan w:val="3"/>
            <w:shd w:val="clear" w:color="auto" w:fill="FFFFFF"/>
            <w:tcMar>
              <w:top w:w="40" w:type="dxa"/>
              <w:left w:w="20" w:type="dxa"/>
              <w:bottom w:w="40" w:type="dxa"/>
              <w:right w:w="20" w:type="dxa"/>
            </w:tcMar>
            <w:vAlign w:val="bottom"/>
          </w:tcPr>
          <w:p w14:paraId="74DDD1A5" w14:textId="77777777" w:rsidR="00584EC1" w:rsidRDefault="00871F8D">
            <w:pPr>
              <w:textAlignment w:val="bottom"/>
            </w:pPr>
            <w:r>
              <w:rPr>
                <w:rFonts w:ascii="Arial" w:eastAsia="宋体" w:hAnsi="Arial" w:cs="Arial"/>
                <w:color w:val="000000"/>
                <w:sz w:val="15"/>
                <w:szCs w:val="15"/>
              </w:rPr>
              <w:t>Total available-for-sale securities</w:t>
            </w:r>
            <w:r>
              <w:rPr>
                <w:rFonts w:ascii="Arial" w:eastAsia="宋体" w:hAnsi="Arial" w:cs="Arial"/>
                <w:color w:val="000000"/>
                <w:sz w:val="9"/>
                <w:szCs w:val="9"/>
              </w:rPr>
              <w:t>(7)</w:t>
            </w:r>
          </w:p>
        </w:tc>
        <w:tc>
          <w:tcPr>
            <w:tcW w:w="0" w:type="auto"/>
            <w:tcBorders>
              <w:top w:val="single" w:sz="8" w:space="0" w:color="000000"/>
            </w:tcBorders>
            <w:shd w:val="clear" w:color="auto" w:fill="FFFFFF"/>
            <w:tcMar>
              <w:top w:w="40" w:type="dxa"/>
              <w:left w:w="20" w:type="dxa"/>
              <w:bottom w:w="40" w:type="dxa"/>
              <w:right w:w="0" w:type="dxa"/>
            </w:tcMar>
            <w:vAlign w:val="bottom"/>
          </w:tcPr>
          <w:p w14:paraId="74DDD1A6" w14:textId="77777777" w:rsidR="00584EC1" w:rsidRDefault="00871F8D">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D1A7" w14:textId="77777777" w:rsidR="00584EC1" w:rsidRDefault="00871F8D">
            <w:pPr>
              <w:jc w:val="right"/>
              <w:textAlignment w:val="bottom"/>
            </w:pPr>
            <w:r>
              <w:rPr>
                <w:rFonts w:ascii="Arial" w:eastAsia="宋体" w:hAnsi="Arial" w:cs="Arial"/>
                <w:b/>
                <w:bCs/>
                <w:color w:val="000000"/>
                <w:sz w:val="15"/>
                <w:szCs w:val="15"/>
              </w:rPr>
              <w:t>69,907</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D1A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1A9"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D1AA" w14:textId="77777777" w:rsidR="00584EC1" w:rsidRDefault="00871F8D">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D1AB" w14:textId="77777777" w:rsidR="00584EC1" w:rsidRDefault="00871F8D">
            <w:pPr>
              <w:jc w:val="right"/>
              <w:textAlignment w:val="bottom"/>
            </w:pPr>
            <w:r>
              <w:rPr>
                <w:rFonts w:ascii="Arial" w:eastAsia="宋体" w:hAnsi="Arial" w:cs="Arial"/>
                <w:b/>
                <w:bCs/>
                <w:color w:val="000000"/>
                <w:sz w:val="15"/>
                <w:szCs w:val="15"/>
              </w:rPr>
              <w:t>550</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D1A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1AD"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D1AE" w14:textId="77777777" w:rsidR="00584EC1" w:rsidRDefault="00871F8D">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D1AF" w14:textId="77777777" w:rsidR="00584EC1" w:rsidRDefault="00871F8D">
            <w:pPr>
              <w:jc w:val="right"/>
              <w:textAlignment w:val="bottom"/>
            </w:pPr>
            <w:r>
              <w:rPr>
                <w:rFonts w:ascii="Arial" w:eastAsia="宋体" w:hAnsi="Arial" w:cs="Arial"/>
                <w:b/>
                <w:bCs/>
                <w:color w:val="000000"/>
                <w:sz w:val="15"/>
                <w:szCs w:val="15"/>
              </w:rPr>
              <w:t>178</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D1B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1B1"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D1B2" w14:textId="77777777" w:rsidR="00584EC1" w:rsidRDefault="00871F8D">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D1B3" w14:textId="77777777" w:rsidR="00584EC1" w:rsidRDefault="00871F8D">
            <w:pPr>
              <w:jc w:val="right"/>
              <w:textAlignment w:val="bottom"/>
            </w:pPr>
            <w:r>
              <w:rPr>
                <w:rFonts w:ascii="Arial" w:eastAsia="宋体" w:hAnsi="Arial" w:cs="Arial"/>
                <w:b/>
                <w:bCs/>
                <w:color w:val="000000"/>
                <w:sz w:val="15"/>
                <w:szCs w:val="15"/>
              </w:rPr>
              <w:t>70,279</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D1B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1B5"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D1B6"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D1B7" w14:textId="77777777" w:rsidR="00584EC1" w:rsidRDefault="00871F8D">
            <w:pPr>
              <w:jc w:val="right"/>
              <w:textAlignment w:val="bottom"/>
            </w:pPr>
            <w:r>
              <w:rPr>
                <w:rFonts w:ascii="Arial" w:eastAsia="宋体" w:hAnsi="Arial" w:cs="Arial"/>
                <w:color w:val="000000"/>
                <w:sz w:val="15"/>
                <w:szCs w:val="15"/>
              </w:rPr>
              <w:t>57,987 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D1B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1B9"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D1BA"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D1BB" w14:textId="77777777" w:rsidR="00584EC1" w:rsidRDefault="00871F8D">
            <w:pPr>
              <w:jc w:val="right"/>
              <w:textAlignment w:val="bottom"/>
            </w:pPr>
            <w:r>
              <w:rPr>
                <w:rFonts w:ascii="Arial" w:eastAsia="宋体" w:hAnsi="Arial" w:cs="Arial"/>
                <w:color w:val="000000"/>
                <w:sz w:val="15"/>
                <w:szCs w:val="15"/>
              </w:rPr>
              <w:t>1,087 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D1B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1BD"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D1BE"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D1BF" w14:textId="77777777" w:rsidR="00584EC1" w:rsidRDefault="00871F8D">
            <w:pPr>
              <w:jc w:val="right"/>
              <w:textAlignment w:val="bottom"/>
            </w:pPr>
            <w:r>
              <w:rPr>
                <w:rFonts w:ascii="Arial" w:eastAsia="宋体" w:hAnsi="Arial" w:cs="Arial"/>
                <w:color w:val="000000"/>
                <w:sz w:val="15"/>
                <w:szCs w:val="15"/>
              </w:rPr>
              <w:t>26 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D1C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1C1"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D1C2"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D1C3" w14:textId="77777777" w:rsidR="00584EC1" w:rsidRDefault="00871F8D">
            <w:pPr>
              <w:jc w:val="right"/>
              <w:textAlignment w:val="bottom"/>
            </w:pPr>
            <w:r>
              <w:rPr>
                <w:rFonts w:ascii="Arial" w:eastAsia="宋体" w:hAnsi="Arial" w:cs="Arial"/>
                <w:color w:val="000000"/>
                <w:sz w:val="15"/>
                <w:szCs w:val="15"/>
              </w:rPr>
              <w:t>59,048 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D1C4" w14:textId="77777777" w:rsidR="00584EC1" w:rsidRDefault="00584EC1">
            <w:pPr>
              <w:jc w:val="right"/>
              <w:rPr>
                <w:rFonts w:ascii="宋体"/>
              </w:rPr>
            </w:pPr>
          </w:p>
        </w:tc>
      </w:tr>
      <w:tr w:rsidR="00584EC1" w14:paraId="74DDD1D6" w14:textId="77777777">
        <w:tc>
          <w:tcPr>
            <w:tcW w:w="0" w:type="auto"/>
            <w:gridSpan w:val="3"/>
            <w:shd w:val="clear" w:color="auto" w:fill="CCEEFF"/>
            <w:tcMar>
              <w:top w:w="40" w:type="dxa"/>
              <w:left w:w="20" w:type="dxa"/>
              <w:bottom w:w="40" w:type="dxa"/>
              <w:right w:w="20" w:type="dxa"/>
            </w:tcMar>
            <w:vAlign w:val="bottom"/>
          </w:tcPr>
          <w:p w14:paraId="74DDD1C6" w14:textId="77777777" w:rsidR="00584EC1" w:rsidRDefault="00871F8D">
            <w:pPr>
              <w:textAlignment w:val="bottom"/>
            </w:pPr>
            <w:r>
              <w:rPr>
                <w:rFonts w:ascii="Arial" w:eastAsia="宋体" w:hAnsi="Arial" w:cs="Arial"/>
                <w:b/>
                <w:bCs/>
                <w:color w:val="000000"/>
                <w:sz w:val="15"/>
                <w:szCs w:val="15"/>
              </w:rPr>
              <w:t>Held-to-maturity:</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4DDD1C7"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D1C8" w14:textId="77777777" w:rsidR="00584EC1" w:rsidRDefault="00584EC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4DDD1C9"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D1CA" w14:textId="77777777" w:rsidR="00584EC1" w:rsidRDefault="00584EC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4DDD1CB"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D1CC" w14:textId="77777777" w:rsidR="00584EC1" w:rsidRDefault="00584EC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4DDD1CD"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D1CE" w14:textId="77777777" w:rsidR="00584EC1" w:rsidRDefault="00584EC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4DDD1CF"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D1D0" w14:textId="77777777" w:rsidR="00584EC1" w:rsidRDefault="00584EC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4DDD1D1"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D1D2" w14:textId="77777777" w:rsidR="00584EC1" w:rsidRDefault="00584EC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4DDD1D3"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D1D4" w14:textId="77777777" w:rsidR="00584EC1" w:rsidRDefault="00584EC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4DDD1D5" w14:textId="77777777" w:rsidR="00584EC1" w:rsidRDefault="00584EC1">
            <w:pPr>
              <w:rPr>
                <w:rFonts w:ascii="宋体"/>
              </w:rPr>
            </w:pPr>
          </w:p>
        </w:tc>
      </w:tr>
      <w:tr w:rsidR="00584EC1" w14:paraId="74DDD1E7" w14:textId="77777777">
        <w:tc>
          <w:tcPr>
            <w:tcW w:w="0" w:type="auto"/>
            <w:gridSpan w:val="3"/>
            <w:shd w:val="clear" w:color="auto" w:fill="FFFFFF"/>
            <w:tcMar>
              <w:top w:w="40" w:type="dxa"/>
              <w:left w:w="20" w:type="dxa"/>
              <w:bottom w:w="40" w:type="dxa"/>
              <w:right w:w="20" w:type="dxa"/>
            </w:tcMar>
            <w:vAlign w:val="bottom"/>
          </w:tcPr>
          <w:p w14:paraId="74DDD1D7" w14:textId="77777777" w:rsidR="00584EC1" w:rsidRDefault="00871F8D">
            <w:pPr>
              <w:textAlignment w:val="bottom"/>
            </w:pPr>
            <w:r>
              <w:rPr>
                <w:rFonts w:ascii="Arial" w:eastAsia="宋体" w:hAnsi="Arial" w:cs="Arial"/>
                <w:color w:val="000000"/>
                <w:sz w:val="15"/>
                <w:szCs w:val="15"/>
              </w:rPr>
              <w:t xml:space="preserve">U.S. Treasury and </w:t>
            </w:r>
            <w:r>
              <w:rPr>
                <w:rFonts w:ascii="Arial" w:eastAsia="宋体" w:hAnsi="Arial" w:cs="Arial"/>
                <w:color w:val="000000"/>
                <w:sz w:val="15"/>
                <w:szCs w:val="15"/>
              </w:rPr>
              <w:t>federal agencies:</w:t>
            </w:r>
          </w:p>
        </w:tc>
        <w:tc>
          <w:tcPr>
            <w:tcW w:w="0" w:type="auto"/>
            <w:gridSpan w:val="3"/>
            <w:shd w:val="clear" w:color="auto" w:fill="FFFFFF"/>
            <w:tcMar>
              <w:top w:w="0" w:type="dxa"/>
              <w:left w:w="20" w:type="dxa"/>
              <w:bottom w:w="0" w:type="dxa"/>
              <w:right w:w="20" w:type="dxa"/>
            </w:tcMar>
            <w:vAlign w:val="bottom"/>
          </w:tcPr>
          <w:p w14:paraId="74DDD1D8"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1D9"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1DA"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1DB"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1DC"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1DD"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1DE"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1DF"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1E0"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1E1"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1E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1E3"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1E4"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1E5"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1E6" w14:textId="77777777" w:rsidR="00584EC1" w:rsidRDefault="00584EC1">
            <w:pPr>
              <w:rPr>
                <w:rFonts w:ascii="宋体"/>
              </w:rPr>
            </w:pPr>
          </w:p>
        </w:tc>
      </w:tr>
      <w:tr w:rsidR="00871F8D" w14:paraId="74DDD208" w14:textId="77777777">
        <w:tc>
          <w:tcPr>
            <w:tcW w:w="0" w:type="auto"/>
            <w:gridSpan w:val="3"/>
            <w:shd w:val="clear" w:color="auto" w:fill="CCEEFF"/>
            <w:tcMar>
              <w:top w:w="40" w:type="dxa"/>
              <w:left w:w="245" w:type="dxa"/>
              <w:bottom w:w="40" w:type="dxa"/>
              <w:right w:w="20" w:type="dxa"/>
            </w:tcMar>
            <w:vAlign w:val="bottom"/>
          </w:tcPr>
          <w:p w14:paraId="74DDD1E8" w14:textId="77777777" w:rsidR="00584EC1" w:rsidRDefault="00871F8D">
            <w:pPr>
              <w:textAlignment w:val="bottom"/>
            </w:pPr>
            <w:r>
              <w:rPr>
                <w:rFonts w:ascii="Arial" w:eastAsia="宋体" w:hAnsi="Arial" w:cs="Arial"/>
                <w:color w:val="000000"/>
                <w:sz w:val="15"/>
                <w:szCs w:val="15"/>
              </w:rPr>
              <w:t>Direct obligations</w:t>
            </w:r>
          </w:p>
        </w:tc>
        <w:tc>
          <w:tcPr>
            <w:tcW w:w="0" w:type="auto"/>
            <w:shd w:val="clear" w:color="auto" w:fill="CCEEFF"/>
            <w:tcMar>
              <w:top w:w="40" w:type="dxa"/>
              <w:left w:w="20" w:type="dxa"/>
              <w:bottom w:w="40" w:type="dxa"/>
              <w:right w:w="0" w:type="dxa"/>
            </w:tcMar>
            <w:vAlign w:val="bottom"/>
          </w:tcPr>
          <w:p w14:paraId="74DDD1E9" w14:textId="77777777" w:rsidR="00584EC1" w:rsidRDefault="00871F8D">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4DDD1EA" w14:textId="77777777" w:rsidR="00584EC1" w:rsidRDefault="00871F8D">
            <w:pPr>
              <w:jc w:val="right"/>
              <w:textAlignment w:val="bottom"/>
            </w:pPr>
            <w:r>
              <w:rPr>
                <w:rFonts w:ascii="Arial" w:eastAsia="宋体" w:hAnsi="Arial" w:cs="Arial"/>
                <w:b/>
                <w:bCs/>
                <w:color w:val="000000"/>
                <w:sz w:val="15"/>
                <w:szCs w:val="15"/>
              </w:rPr>
              <w:t>2,709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D1E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1EC"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D1ED" w14:textId="77777777" w:rsidR="00584EC1" w:rsidRDefault="00871F8D">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4DDD1EE" w14:textId="77777777" w:rsidR="00584EC1" w:rsidRDefault="00871F8D">
            <w:pPr>
              <w:jc w:val="right"/>
              <w:textAlignment w:val="bottom"/>
            </w:pPr>
            <w:r>
              <w:rPr>
                <w:rFonts w:ascii="Arial" w:eastAsia="宋体" w:hAnsi="Arial" w:cs="Arial"/>
                <w:b/>
                <w:bCs/>
                <w:color w:val="000000"/>
                <w:sz w:val="15"/>
                <w:szCs w:val="15"/>
              </w:rPr>
              <w:t>22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D1E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1F0"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D1F1" w14:textId="77777777" w:rsidR="00584EC1" w:rsidRDefault="00871F8D">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4DDD1F2"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D1F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1F4"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D1F5" w14:textId="77777777" w:rsidR="00584EC1" w:rsidRDefault="00871F8D">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4DDD1F6" w14:textId="77777777" w:rsidR="00584EC1" w:rsidRDefault="00871F8D">
            <w:pPr>
              <w:jc w:val="right"/>
              <w:textAlignment w:val="bottom"/>
            </w:pPr>
            <w:r>
              <w:rPr>
                <w:rFonts w:ascii="Arial" w:eastAsia="宋体" w:hAnsi="Arial" w:cs="Arial"/>
                <w:b/>
                <w:bCs/>
                <w:color w:val="000000"/>
                <w:sz w:val="15"/>
                <w:szCs w:val="15"/>
              </w:rPr>
              <w:t>2,731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D1F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1F8"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D1F9" w14:textId="77777777" w:rsidR="00584EC1" w:rsidRDefault="00871F8D">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4DDD1FA" w14:textId="77777777" w:rsidR="00584EC1" w:rsidRDefault="00871F8D">
            <w:pPr>
              <w:jc w:val="right"/>
              <w:textAlignment w:val="bottom"/>
            </w:pPr>
            <w:r>
              <w:rPr>
                <w:rFonts w:ascii="Arial" w:eastAsia="宋体" w:hAnsi="Arial" w:cs="Arial"/>
                <w:color w:val="000000"/>
                <w:sz w:val="15"/>
                <w:szCs w:val="15"/>
              </w:rPr>
              <w:t>6,057 </w:t>
            </w:r>
          </w:p>
        </w:tc>
        <w:tc>
          <w:tcPr>
            <w:tcW w:w="0" w:type="auto"/>
            <w:shd w:val="clear" w:color="auto" w:fill="CCEEFF"/>
            <w:tcMar>
              <w:top w:w="40" w:type="dxa"/>
              <w:left w:w="0" w:type="dxa"/>
              <w:bottom w:w="40" w:type="dxa"/>
              <w:right w:w="20" w:type="dxa"/>
            </w:tcMar>
            <w:vAlign w:val="bottom"/>
          </w:tcPr>
          <w:p w14:paraId="74DDD1F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1FC"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D1FD" w14:textId="77777777" w:rsidR="00584EC1" w:rsidRDefault="00871F8D">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4DDD1FE" w14:textId="77777777" w:rsidR="00584EC1" w:rsidRDefault="00871F8D">
            <w:pPr>
              <w:jc w:val="right"/>
              <w:textAlignment w:val="bottom"/>
            </w:pPr>
            <w:r>
              <w:rPr>
                <w:rFonts w:ascii="Arial" w:eastAsia="宋体" w:hAnsi="Arial" w:cs="Arial"/>
                <w:color w:val="000000"/>
                <w:sz w:val="15"/>
                <w:szCs w:val="15"/>
              </w:rPr>
              <w:t>83 </w:t>
            </w:r>
          </w:p>
        </w:tc>
        <w:tc>
          <w:tcPr>
            <w:tcW w:w="0" w:type="auto"/>
            <w:shd w:val="clear" w:color="auto" w:fill="CCEEFF"/>
            <w:tcMar>
              <w:top w:w="40" w:type="dxa"/>
              <w:left w:w="0" w:type="dxa"/>
              <w:bottom w:w="40" w:type="dxa"/>
              <w:right w:w="20" w:type="dxa"/>
            </w:tcMar>
            <w:vAlign w:val="bottom"/>
          </w:tcPr>
          <w:p w14:paraId="74DDD1F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200"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D201" w14:textId="77777777" w:rsidR="00584EC1" w:rsidRDefault="00871F8D">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4DDD202"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D20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204"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D205" w14:textId="77777777" w:rsidR="00584EC1" w:rsidRDefault="00871F8D">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4DDD206" w14:textId="77777777" w:rsidR="00584EC1" w:rsidRDefault="00871F8D">
            <w:pPr>
              <w:jc w:val="right"/>
              <w:textAlignment w:val="bottom"/>
            </w:pPr>
            <w:r>
              <w:rPr>
                <w:rFonts w:ascii="Arial" w:eastAsia="宋体" w:hAnsi="Arial" w:cs="Arial"/>
                <w:color w:val="000000"/>
                <w:sz w:val="15"/>
                <w:szCs w:val="15"/>
              </w:rPr>
              <w:t>6,140 </w:t>
            </w:r>
          </w:p>
        </w:tc>
        <w:tc>
          <w:tcPr>
            <w:tcW w:w="0" w:type="auto"/>
            <w:shd w:val="clear" w:color="auto" w:fill="CCEEFF"/>
            <w:tcMar>
              <w:top w:w="40" w:type="dxa"/>
              <w:left w:w="0" w:type="dxa"/>
              <w:bottom w:w="40" w:type="dxa"/>
              <w:right w:w="20" w:type="dxa"/>
            </w:tcMar>
            <w:vAlign w:val="bottom"/>
          </w:tcPr>
          <w:p w14:paraId="74DDD207" w14:textId="77777777" w:rsidR="00584EC1" w:rsidRDefault="00584EC1">
            <w:pPr>
              <w:jc w:val="right"/>
              <w:rPr>
                <w:rFonts w:ascii="宋体"/>
              </w:rPr>
            </w:pPr>
          </w:p>
        </w:tc>
      </w:tr>
      <w:tr w:rsidR="00584EC1" w14:paraId="74DDD221" w14:textId="77777777">
        <w:tc>
          <w:tcPr>
            <w:tcW w:w="0" w:type="auto"/>
            <w:gridSpan w:val="3"/>
            <w:shd w:val="clear" w:color="auto" w:fill="FFFFFF"/>
            <w:tcMar>
              <w:top w:w="40" w:type="dxa"/>
              <w:left w:w="245" w:type="dxa"/>
              <w:bottom w:w="40" w:type="dxa"/>
              <w:right w:w="20" w:type="dxa"/>
            </w:tcMar>
            <w:vAlign w:val="bottom"/>
          </w:tcPr>
          <w:p w14:paraId="74DDD209" w14:textId="77777777" w:rsidR="00584EC1" w:rsidRDefault="00871F8D">
            <w:pPr>
              <w:textAlignment w:val="bottom"/>
            </w:pPr>
            <w:r>
              <w:rPr>
                <w:rFonts w:ascii="Arial" w:eastAsia="宋体" w:hAnsi="Arial" w:cs="Arial"/>
                <w:color w:val="000000"/>
                <w:sz w:val="15"/>
                <w:szCs w:val="15"/>
              </w:rPr>
              <w:t>Mortgage-backed securities</w:t>
            </w:r>
          </w:p>
        </w:tc>
        <w:tc>
          <w:tcPr>
            <w:tcW w:w="0" w:type="auto"/>
            <w:gridSpan w:val="2"/>
            <w:shd w:val="clear" w:color="auto" w:fill="FFFFFF"/>
            <w:tcMar>
              <w:top w:w="40" w:type="dxa"/>
              <w:left w:w="20" w:type="dxa"/>
              <w:bottom w:w="40" w:type="dxa"/>
              <w:right w:w="0" w:type="dxa"/>
            </w:tcMar>
            <w:vAlign w:val="bottom"/>
          </w:tcPr>
          <w:p w14:paraId="74DDD20A" w14:textId="77777777" w:rsidR="00584EC1" w:rsidRDefault="00871F8D">
            <w:pPr>
              <w:jc w:val="right"/>
              <w:textAlignment w:val="bottom"/>
            </w:pPr>
            <w:r>
              <w:rPr>
                <w:rFonts w:ascii="Arial" w:eastAsia="宋体" w:hAnsi="Arial" w:cs="Arial"/>
                <w:b/>
                <w:bCs/>
                <w:color w:val="000000"/>
                <w:sz w:val="15"/>
                <w:szCs w:val="15"/>
              </w:rPr>
              <w:t>33,525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D20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20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20D" w14:textId="77777777" w:rsidR="00584EC1" w:rsidRDefault="00871F8D">
            <w:pPr>
              <w:jc w:val="right"/>
              <w:textAlignment w:val="bottom"/>
            </w:pPr>
            <w:r>
              <w:rPr>
                <w:rFonts w:ascii="Arial" w:eastAsia="宋体" w:hAnsi="Arial" w:cs="Arial"/>
                <w:b/>
                <w:bCs/>
                <w:color w:val="000000"/>
                <w:sz w:val="15"/>
                <w:szCs w:val="15"/>
              </w:rPr>
              <w:t>525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D20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20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210" w14:textId="77777777" w:rsidR="00584EC1" w:rsidRDefault="00871F8D">
            <w:pPr>
              <w:jc w:val="right"/>
              <w:textAlignment w:val="bottom"/>
            </w:pPr>
            <w:r>
              <w:rPr>
                <w:rFonts w:ascii="Arial" w:eastAsia="宋体" w:hAnsi="Arial" w:cs="Arial"/>
                <w:b/>
                <w:bCs/>
                <w:color w:val="000000"/>
                <w:sz w:val="15"/>
                <w:szCs w:val="15"/>
              </w:rPr>
              <w:t>309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D21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21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213" w14:textId="77777777" w:rsidR="00584EC1" w:rsidRDefault="00871F8D">
            <w:pPr>
              <w:jc w:val="right"/>
              <w:textAlignment w:val="bottom"/>
            </w:pPr>
            <w:r>
              <w:rPr>
                <w:rFonts w:ascii="Arial" w:eastAsia="宋体" w:hAnsi="Arial" w:cs="Arial"/>
                <w:b/>
                <w:bCs/>
                <w:color w:val="000000"/>
                <w:sz w:val="15"/>
                <w:szCs w:val="15"/>
              </w:rPr>
              <w:t>33,741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D21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215"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216" w14:textId="77777777" w:rsidR="00584EC1" w:rsidRDefault="00871F8D">
            <w:pPr>
              <w:jc w:val="right"/>
              <w:textAlignment w:val="bottom"/>
            </w:pPr>
            <w:r>
              <w:rPr>
                <w:rFonts w:ascii="Arial" w:eastAsia="宋体" w:hAnsi="Arial" w:cs="Arial"/>
                <w:color w:val="000000"/>
                <w:sz w:val="15"/>
                <w:szCs w:val="15"/>
              </w:rPr>
              <w:t>36,901 </w:t>
            </w:r>
          </w:p>
        </w:tc>
        <w:tc>
          <w:tcPr>
            <w:tcW w:w="0" w:type="auto"/>
            <w:shd w:val="clear" w:color="auto" w:fill="FFFFFF"/>
            <w:tcMar>
              <w:top w:w="40" w:type="dxa"/>
              <w:left w:w="0" w:type="dxa"/>
              <w:bottom w:w="40" w:type="dxa"/>
              <w:right w:w="20" w:type="dxa"/>
            </w:tcMar>
            <w:vAlign w:val="bottom"/>
          </w:tcPr>
          <w:p w14:paraId="74DDD21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218"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219" w14:textId="77777777" w:rsidR="00584EC1" w:rsidRDefault="00871F8D">
            <w:pPr>
              <w:jc w:val="right"/>
              <w:textAlignment w:val="bottom"/>
            </w:pPr>
            <w:r>
              <w:rPr>
                <w:rFonts w:ascii="Arial" w:eastAsia="宋体" w:hAnsi="Arial" w:cs="Arial"/>
                <w:color w:val="000000"/>
                <w:sz w:val="15"/>
                <w:szCs w:val="15"/>
              </w:rPr>
              <w:t>955 </w:t>
            </w:r>
          </w:p>
        </w:tc>
        <w:tc>
          <w:tcPr>
            <w:tcW w:w="0" w:type="auto"/>
            <w:shd w:val="clear" w:color="auto" w:fill="FFFFFF"/>
            <w:tcMar>
              <w:top w:w="40" w:type="dxa"/>
              <w:left w:w="0" w:type="dxa"/>
              <w:bottom w:w="40" w:type="dxa"/>
              <w:right w:w="20" w:type="dxa"/>
            </w:tcMar>
            <w:vAlign w:val="bottom"/>
          </w:tcPr>
          <w:p w14:paraId="74DDD21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21B"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21C" w14:textId="77777777" w:rsidR="00584EC1" w:rsidRDefault="00871F8D">
            <w:pPr>
              <w:jc w:val="right"/>
              <w:textAlignment w:val="bottom"/>
            </w:pPr>
            <w:r>
              <w:rPr>
                <w:rFonts w:ascii="Arial" w:eastAsia="宋体" w:hAnsi="Arial" w:cs="Arial"/>
                <w:color w:val="000000"/>
                <w:sz w:val="15"/>
                <w:szCs w:val="15"/>
              </w:rPr>
              <w:t>67 </w:t>
            </w:r>
          </w:p>
        </w:tc>
        <w:tc>
          <w:tcPr>
            <w:tcW w:w="0" w:type="auto"/>
            <w:shd w:val="clear" w:color="auto" w:fill="FFFFFF"/>
            <w:tcMar>
              <w:top w:w="40" w:type="dxa"/>
              <w:left w:w="0" w:type="dxa"/>
              <w:bottom w:w="40" w:type="dxa"/>
              <w:right w:w="20" w:type="dxa"/>
            </w:tcMar>
            <w:vAlign w:val="bottom"/>
          </w:tcPr>
          <w:p w14:paraId="74DDD21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21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21F" w14:textId="77777777" w:rsidR="00584EC1" w:rsidRDefault="00871F8D">
            <w:pPr>
              <w:jc w:val="right"/>
              <w:textAlignment w:val="bottom"/>
            </w:pPr>
            <w:r>
              <w:rPr>
                <w:rFonts w:ascii="Arial" w:eastAsia="宋体" w:hAnsi="Arial" w:cs="Arial"/>
                <w:color w:val="000000"/>
                <w:sz w:val="15"/>
                <w:szCs w:val="15"/>
              </w:rPr>
              <w:t>37,789 </w:t>
            </w:r>
          </w:p>
        </w:tc>
        <w:tc>
          <w:tcPr>
            <w:tcW w:w="0" w:type="auto"/>
            <w:shd w:val="clear" w:color="auto" w:fill="FFFFFF"/>
            <w:tcMar>
              <w:top w:w="40" w:type="dxa"/>
              <w:left w:w="0" w:type="dxa"/>
              <w:bottom w:w="40" w:type="dxa"/>
              <w:right w:w="20" w:type="dxa"/>
            </w:tcMar>
            <w:vAlign w:val="bottom"/>
          </w:tcPr>
          <w:p w14:paraId="74DDD220" w14:textId="77777777" w:rsidR="00584EC1" w:rsidRDefault="00584EC1">
            <w:pPr>
              <w:jc w:val="right"/>
              <w:rPr>
                <w:rFonts w:ascii="宋体"/>
              </w:rPr>
            </w:pPr>
          </w:p>
        </w:tc>
      </w:tr>
      <w:tr w:rsidR="00584EC1" w14:paraId="74DDD23A" w14:textId="77777777">
        <w:tc>
          <w:tcPr>
            <w:tcW w:w="0" w:type="auto"/>
            <w:gridSpan w:val="3"/>
            <w:shd w:val="clear" w:color="auto" w:fill="CCEEFF"/>
            <w:tcMar>
              <w:top w:w="40" w:type="dxa"/>
              <w:left w:w="380" w:type="dxa"/>
              <w:bottom w:w="40" w:type="dxa"/>
              <w:right w:w="20" w:type="dxa"/>
            </w:tcMar>
            <w:vAlign w:val="bottom"/>
          </w:tcPr>
          <w:p w14:paraId="74DDD222" w14:textId="77777777" w:rsidR="00584EC1" w:rsidRDefault="00871F8D">
            <w:pPr>
              <w:textAlignment w:val="bottom"/>
            </w:pPr>
            <w:r>
              <w:rPr>
                <w:rFonts w:ascii="Arial" w:eastAsia="宋体" w:hAnsi="Arial" w:cs="Arial"/>
                <w:color w:val="000000"/>
                <w:sz w:val="15"/>
                <w:szCs w:val="15"/>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223" w14:textId="77777777" w:rsidR="00584EC1" w:rsidRDefault="00871F8D">
            <w:pPr>
              <w:jc w:val="right"/>
              <w:textAlignment w:val="bottom"/>
            </w:pPr>
            <w:r>
              <w:rPr>
                <w:rFonts w:ascii="Arial" w:eastAsia="宋体" w:hAnsi="Arial" w:cs="Arial"/>
                <w:b/>
                <w:bCs/>
                <w:color w:val="000000"/>
                <w:sz w:val="15"/>
                <w:szCs w:val="15"/>
              </w:rPr>
              <w:t>36,234</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22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225"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226" w14:textId="77777777" w:rsidR="00584EC1" w:rsidRDefault="00871F8D">
            <w:pPr>
              <w:jc w:val="right"/>
              <w:textAlignment w:val="bottom"/>
            </w:pPr>
            <w:r>
              <w:rPr>
                <w:rFonts w:ascii="Arial" w:eastAsia="宋体" w:hAnsi="Arial" w:cs="Arial"/>
                <w:b/>
                <w:bCs/>
                <w:color w:val="000000"/>
                <w:sz w:val="15"/>
                <w:szCs w:val="15"/>
              </w:rPr>
              <w:t>547</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22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228"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229" w14:textId="77777777" w:rsidR="00584EC1" w:rsidRDefault="00871F8D">
            <w:pPr>
              <w:jc w:val="right"/>
              <w:textAlignment w:val="bottom"/>
            </w:pPr>
            <w:r>
              <w:rPr>
                <w:rFonts w:ascii="Arial" w:eastAsia="宋体" w:hAnsi="Arial" w:cs="Arial"/>
                <w:b/>
                <w:bCs/>
                <w:color w:val="000000"/>
                <w:sz w:val="15"/>
                <w:szCs w:val="15"/>
              </w:rPr>
              <w:t>309</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22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22B"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22C" w14:textId="77777777" w:rsidR="00584EC1" w:rsidRDefault="00871F8D">
            <w:pPr>
              <w:jc w:val="right"/>
              <w:textAlignment w:val="bottom"/>
            </w:pPr>
            <w:r>
              <w:rPr>
                <w:rFonts w:ascii="Arial" w:eastAsia="宋体" w:hAnsi="Arial" w:cs="Arial"/>
                <w:b/>
                <w:bCs/>
                <w:color w:val="000000"/>
                <w:sz w:val="15"/>
                <w:szCs w:val="15"/>
              </w:rPr>
              <w:t>36,472</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22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22E"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22F" w14:textId="77777777" w:rsidR="00584EC1" w:rsidRDefault="00871F8D">
            <w:pPr>
              <w:jc w:val="right"/>
              <w:textAlignment w:val="bottom"/>
            </w:pPr>
            <w:r>
              <w:rPr>
                <w:rFonts w:ascii="Arial" w:eastAsia="宋体" w:hAnsi="Arial" w:cs="Arial"/>
                <w:color w:val="000000"/>
                <w:sz w:val="15"/>
                <w:szCs w:val="15"/>
              </w:rPr>
              <w:t>42,958 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23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231"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232" w14:textId="77777777" w:rsidR="00584EC1" w:rsidRDefault="00871F8D">
            <w:pPr>
              <w:jc w:val="right"/>
              <w:textAlignment w:val="bottom"/>
            </w:pPr>
            <w:r>
              <w:rPr>
                <w:rFonts w:ascii="Arial" w:eastAsia="宋体" w:hAnsi="Arial" w:cs="Arial"/>
                <w:color w:val="000000"/>
                <w:sz w:val="15"/>
                <w:szCs w:val="15"/>
              </w:rPr>
              <w:t>1,038 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23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234"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235" w14:textId="77777777" w:rsidR="00584EC1" w:rsidRDefault="00871F8D">
            <w:pPr>
              <w:jc w:val="right"/>
              <w:textAlignment w:val="bottom"/>
            </w:pPr>
            <w:r>
              <w:rPr>
                <w:rFonts w:ascii="Arial" w:eastAsia="宋体" w:hAnsi="Arial" w:cs="Arial"/>
                <w:color w:val="000000"/>
                <w:sz w:val="15"/>
                <w:szCs w:val="15"/>
              </w:rPr>
              <w:t>67 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23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237"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238" w14:textId="77777777" w:rsidR="00584EC1" w:rsidRDefault="00871F8D">
            <w:pPr>
              <w:jc w:val="right"/>
              <w:textAlignment w:val="bottom"/>
            </w:pPr>
            <w:r>
              <w:rPr>
                <w:rFonts w:ascii="Arial" w:eastAsia="宋体" w:hAnsi="Arial" w:cs="Arial"/>
                <w:color w:val="000000"/>
                <w:sz w:val="15"/>
                <w:szCs w:val="15"/>
              </w:rPr>
              <w:t>43,929 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239" w14:textId="77777777" w:rsidR="00584EC1" w:rsidRDefault="00584EC1">
            <w:pPr>
              <w:jc w:val="right"/>
              <w:rPr>
                <w:rFonts w:ascii="宋体"/>
              </w:rPr>
            </w:pPr>
          </w:p>
        </w:tc>
      </w:tr>
      <w:tr w:rsidR="00584EC1" w14:paraId="74DDD24B" w14:textId="77777777">
        <w:tc>
          <w:tcPr>
            <w:tcW w:w="0" w:type="auto"/>
            <w:gridSpan w:val="3"/>
            <w:shd w:val="clear" w:color="auto" w:fill="FFFFFF"/>
            <w:tcMar>
              <w:top w:w="40" w:type="dxa"/>
              <w:left w:w="20" w:type="dxa"/>
              <w:bottom w:w="40" w:type="dxa"/>
              <w:right w:w="20" w:type="dxa"/>
            </w:tcMar>
            <w:vAlign w:val="bottom"/>
          </w:tcPr>
          <w:p w14:paraId="74DDD23B" w14:textId="77777777" w:rsidR="00584EC1" w:rsidRDefault="00871F8D">
            <w:pPr>
              <w:textAlignment w:val="bottom"/>
            </w:pPr>
            <w:r>
              <w:rPr>
                <w:rFonts w:ascii="Arial" w:eastAsia="宋体" w:hAnsi="Arial" w:cs="Arial"/>
                <w:color w:val="000000"/>
                <w:sz w:val="15"/>
                <w:szCs w:val="15"/>
              </w:rPr>
              <w:t>Non-U.S. debt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D23C"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23D"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D23E"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23F"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D240"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241"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D24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243"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D244"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245"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D246"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247"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D248"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249"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D24A" w14:textId="77777777" w:rsidR="00584EC1" w:rsidRDefault="00584EC1">
            <w:pPr>
              <w:rPr>
                <w:rFonts w:ascii="宋体"/>
              </w:rPr>
            </w:pPr>
          </w:p>
        </w:tc>
      </w:tr>
      <w:tr w:rsidR="00584EC1" w14:paraId="74DDD264" w14:textId="77777777">
        <w:tc>
          <w:tcPr>
            <w:tcW w:w="0" w:type="auto"/>
            <w:gridSpan w:val="3"/>
            <w:shd w:val="clear" w:color="auto" w:fill="CCEEFF"/>
            <w:tcMar>
              <w:top w:w="40" w:type="dxa"/>
              <w:left w:w="245" w:type="dxa"/>
              <w:bottom w:w="40" w:type="dxa"/>
              <w:right w:w="20" w:type="dxa"/>
            </w:tcMar>
            <w:vAlign w:val="bottom"/>
          </w:tcPr>
          <w:p w14:paraId="74DDD24C" w14:textId="77777777" w:rsidR="00584EC1" w:rsidRDefault="00871F8D">
            <w:pPr>
              <w:textAlignment w:val="bottom"/>
            </w:pPr>
            <w:r>
              <w:rPr>
                <w:rFonts w:ascii="Arial" w:eastAsia="宋体" w:hAnsi="Arial" w:cs="Arial"/>
                <w:color w:val="000000"/>
                <w:sz w:val="15"/>
                <w:szCs w:val="15"/>
              </w:rPr>
              <w:t>Mortgage-backed securities</w:t>
            </w:r>
          </w:p>
        </w:tc>
        <w:tc>
          <w:tcPr>
            <w:tcW w:w="0" w:type="auto"/>
            <w:gridSpan w:val="2"/>
            <w:shd w:val="clear" w:color="auto" w:fill="CCEEFF"/>
            <w:tcMar>
              <w:top w:w="40" w:type="dxa"/>
              <w:left w:w="20" w:type="dxa"/>
              <w:bottom w:w="40" w:type="dxa"/>
              <w:right w:w="0" w:type="dxa"/>
            </w:tcMar>
            <w:vAlign w:val="bottom"/>
          </w:tcPr>
          <w:p w14:paraId="74DDD24D" w14:textId="77777777" w:rsidR="00584EC1" w:rsidRDefault="00871F8D">
            <w:pPr>
              <w:jc w:val="right"/>
              <w:textAlignment w:val="bottom"/>
            </w:pPr>
            <w:r>
              <w:rPr>
                <w:rFonts w:ascii="Arial" w:eastAsia="宋体" w:hAnsi="Arial" w:cs="Arial"/>
                <w:b/>
                <w:bCs/>
                <w:color w:val="000000"/>
                <w:sz w:val="15"/>
                <w:szCs w:val="15"/>
              </w:rPr>
              <w:t>209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D24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24F"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250" w14:textId="77777777" w:rsidR="00584EC1" w:rsidRDefault="00871F8D">
            <w:pPr>
              <w:jc w:val="right"/>
              <w:textAlignment w:val="bottom"/>
            </w:pPr>
            <w:r>
              <w:rPr>
                <w:rFonts w:ascii="Arial" w:eastAsia="宋体" w:hAnsi="Arial" w:cs="Arial"/>
                <w:b/>
                <w:bCs/>
                <w:color w:val="000000"/>
                <w:sz w:val="15"/>
                <w:szCs w:val="15"/>
              </w:rPr>
              <w:t>65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D25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252"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253" w14:textId="77777777" w:rsidR="00584EC1" w:rsidRDefault="00871F8D">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D25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25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256" w14:textId="77777777" w:rsidR="00584EC1" w:rsidRDefault="00871F8D">
            <w:pPr>
              <w:jc w:val="right"/>
              <w:textAlignment w:val="bottom"/>
            </w:pPr>
            <w:r>
              <w:rPr>
                <w:rFonts w:ascii="Arial" w:eastAsia="宋体" w:hAnsi="Arial" w:cs="Arial"/>
                <w:b/>
                <w:bCs/>
                <w:color w:val="000000"/>
                <w:sz w:val="15"/>
                <w:szCs w:val="15"/>
              </w:rPr>
              <w:t>272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D25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258"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259" w14:textId="77777777" w:rsidR="00584EC1" w:rsidRDefault="00871F8D">
            <w:pPr>
              <w:jc w:val="right"/>
              <w:textAlignment w:val="bottom"/>
            </w:pPr>
            <w:r>
              <w:rPr>
                <w:rFonts w:ascii="Arial" w:eastAsia="宋体" w:hAnsi="Arial" w:cs="Arial"/>
                <w:color w:val="000000"/>
                <w:sz w:val="15"/>
                <w:szCs w:val="15"/>
              </w:rPr>
              <w:t>303 </w:t>
            </w:r>
          </w:p>
        </w:tc>
        <w:tc>
          <w:tcPr>
            <w:tcW w:w="0" w:type="auto"/>
            <w:shd w:val="clear" w:color="auto" w:fill="CCEEFF"/>
            <w:tcMar>
              <w:top w:w="40" w:type="dxa"/>
              <w:left w:w="0" w:type="dxa"/>
              <w:bottom w:w="40" w:type="dxa"/>
              <w:right w:w="20" w:type="dxa"/>
            </w:tcMar>
            <w:vAlign w:val="bottom"/>
          </w:tcPr>
          <w:p w14:paraId="74DDD25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25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25C" w14:textId="77777777" w:rsidR="00584EC1" w:rsidRDefault="00871F8D">
            <w:pPr>
              <w:jc w:val="right"/>
              <w:textAlignment w:val="bottom"/>
            </w:pPr>
            <w:r>
              <w:rPr>
                <w:rFonts w:ascii="Arial" w:eastAsia="宋体" w:hAnsi="Arial" w:cs="Arial"/>
                <w:color w:val="000000"/>
                <w:sz w:val="15"/>
                <w:szCs w:val="15"/>
              </w:rPr>
              <w:t>68 </w:t>
            </w:r>
          </w:p>
        </w:tc>
        <w:tc>
          <w:tcPr>
            <w:tcW w:w="0" w:type="auto"/>
            <w:shd w:val="clear" w:color="auto" w:fill="CCEEFF"/>
            <w:tcMar>
              <w:top w:w="40" w:type="dxa"/>
              <w:left w:w="0" w:type="dxa"/>
              <w:bottom w:w="40" w:type="dxa"/>
              <w:right w:w="20" w:type="dxa"/>
            </w:tcMar>
            <w:vAlign w:val="bottom"/>
          </w:tcPr>
          <w:p w14:paraId="74DDD25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25E"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25F" w14:textId="77777777" w:rsidR="00584EC1" w:rsidRDefault="00871F8D">
            <w:pPr>
              <w:jc w:val="right"/>
              <w:textAlignment w:val="bottom"/>
            </w:pPr>
            <w:r>
              <w:rPr>
                <w:rFonts w:ascii="Arial" w:eastAsia="宋体" w:hAnsi="Arial" w:cs="Arial"/>
                <w:color w:val="000000"/>
                <w:sz w:val="15"/>
                <w:szCs w:val="15"/>
              </w:rPr>
              <w:t>4 </w:t>
            </w:r>
          </w:p>
        </w:tc>
        <w:tc>
          <w:tcPr>
            <w:tcW w:w="0" w:type="auto"/>
            <w:shd w:val="clear" w:color="auto" w:fill="CCEEFF"/>
            <w:tcMar>
              <w:top w:w="40" w:type="dxa"/>
              <w:left w:w="0" w:type="dxa"/>
              <w:bottom w:w="40" w:type="dxa"/>
              <w:right w:w="20" w:type="dxa"/>
            </w:tcMar>
            <w:vAlign w:val="bottom"/>
          </w:tcPr>
          <w:p w14:paraId="74DDD26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26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262" w14:textId="77777777" w:rsidR="00584EC1" w:rsidRDefault="00871F8D">
            <w:pPr>
              <w:jc w:val="right"/>
              <w:textAlignment w:val="bottom"/>
            </w:pPr>
            <w:r>
              <w:rPr>
                <w:rFonts w:ascii="Arial" w:eastAsia="宋体" w:hAnsi="Arial" w:cs="Arial"/>
                <w:color w:val="000000"/>
                <w:sz w:val="15"/>
                <w:szCs w:val="15"/>
              </w:rPr>
              <w:t>367 </w:t>
            </w:r>
          </w:p>
        </w:tc>
        <w:tc>
          <w:tcPr>
            <w:tcW w:w="0" w:type="auto"/>
            <w:shd w:val="clear" w:color="auto" w:fill="CCEEFF"/>
            <w:tcMar>
              <w:top w:w="40" w:type="dxa"/>
              <w:left w:w="0" w:type="dxa"/>
              <w:bottom w:w="40" w:type="dxa"/>
              <w:right w:w="20" w:type="dxa"/>
            </w:tcMar>
            <w:vAlign w:val="bottom"/>
          </w:tcPr>
          <w:p w14:paraId="74DDD263" w14:textId="77777777" w:rsidR="00584EC1" w:rsidRDefault="00584EC1">
            <w:pPr>
              <w:jc w:val="right"/>
              <w:rPr>
                <w:rFonts w:ascii="宋体"/>
              </w:rPr>
            </w:pPr>
          </w:p>
        </w:tc>
      </w:tr>
      <w:tr w:rsidR="00584EC1" w14:paraId="74DDD275" w14:textId="77777777">
        <w:trPr>
          <w:hidden/>
        </w:trPr>
        <w:tc>
          <w:tcPr>
            <w:tcW w:w="0" w:type="auto"/>
            <w:gridSpan w:val="3"/>
            <w:shd w:val="clear" w:color="auto" w:fill="auto"/>
            <w:vAlign w:val="bottom"/>
          </w:tcPr>
          <w:p w14:paraId="74DDD265" w14:textId="77777777" w:rsidR="00584EC1" w:rsidRDefault="00584EC1">
            <w:pPr>
              <w:rPr>
                <w:rFonts w:ascii="宋体"/>
                <w:vanish/>
              </w:rPr>
            </w:pPr>
          </w:p>
        </w:tc>
        <w:tc>
          <w:tcPr>
            <w:tcW w:w="0" w:type="auto"/>
            <w:gridSpan w:val="3"/>
            <w:shd w:val="clear" w:color="auto" w:fill="auto"/>
            <w:vAlign w:val="bottom"/>
          </w:tcPr>
          <w:p w14:paraId="74DDD266" w14:textId="77777777" w:rsidR="00584EC1" w:rsidRDefault="00584EC1">
            <w:pPr>
              <w:rPr>
                <w:rFonts w:ascii="宋体"/>
                <w:vanish/>
              </w:rPr>
            </w:pPr>
          </w:p>
        </w:tc>
        <w:tc>
          <w:tcPr>
            <w:tcW w:w="0" w:type="auto"/>
            <w:gridSpan w:val="3"/>
            <w:shd w:val="clear" w:color="auto" w:fill="auto"/>
            <w:vAlign w:val="bottom"/>
          </w:tcPr>
          <w:p w14:paraId="74DDD267" w14:textId="77777777" w:rsidR="00584EC1" w:rsidRDefault="00584EC1">
            <w:pPr>
              <w:rPr>
                <w:rFonts w:ascii="宋体"/>
                <w:vanish/>
              </w:rPr>
            </w:pPr>
          </w:p>
        </w:tc>
        <w:tc>
          <w:tcPr>
            <w:tcW w:w="0" w:type="auto"/>
            <w:gridSpan w:val="3"/>
            <w:shd w:val="clear" w:color="auto" w:fill="auto"/>
            <w:vAlign w:val="bottom"/>
          </w:tcPr>
          <w:p w14:paraId="74DDD268" w14:textId="77777777" w:rsidR="00584EC1" w:rsidRDefault="00584EC1">
            <w:pPr>
              <w:rPr>
                <w:rFonts w:ascii="宋体"/>
                <w:vanish/>
              </w:rPr>
            </w:pPr>
          </w:p>
        </w:tc>
        <w:tc>
          <w:tcPr>
            <w:tcW w:w="0" w:type="auto"/>
            <w:gridSpan w:val="3"/>
            <w:shd w:val="clear" w:color="auto" w:fill="auto"/>
            <w:vAlign w:val="bottom"/>
          </w:tcPr>
          <w:p w14:paraId="74DDD269" w14:textId="77777777" w:rsidR="00584EC1" w:rsidRDefault="00584EC1">
            <w:pPr>
              <w:rPr>
                <w:rFonts w:ascii="宋体"/>
                <w:vanish/>
              </w:rPr>
            </w:pPr>
          </w:p>
        </w:tc>
        <w:tc>
          <w:tcPr>
            <w:tcW w:w="0" w:type="auto"/>
            <w:gridSpan w:val="3"/>
            <w:shd w:val="clear" w:color="auto" w:fill="auto"/>
            <w:vAlign w:val="bottom"/>
          </w:tcPr>
          <w:p w14:paraId="74DDD26A" w14:textId="77777777" w:rsidR="00584EC1" w:rsidRDefault="00584EC1">
            <w:pPr>
              <w:rPr>
                <w:rFonts w:ascii="宋体"/>
                <w:vanish/>
              </w:rPr>
            </w:pPr>
          </w:p>
        </w:tc>
        <w:tc>
          <w:tcPr>
            <w:tcW w:w="0" w:type="auto"/>
            <w:gridSpan w:val="3"/>
            <w:shd w:val="clear" w:color="auto" w:fill="auto"/>
            <w:vAlign w:val="bottom"/>
          </w:tcPr>
          <w:p w14:paraId="74DDD26B" w14:textId="77777777" w:rsidR="00584EC1" w:rsidRDefault="00584EC1">
            <w:pPr>
              <w:rPr>
                <w:rFonts w:ascii="宋体"/>
                <w:vanish/>
              </w:rPr>
            </w:pPr>
          </w:p>
        </w:tc>
        <w:tc>
          <w:tcPr>
            <w:tcW w:w="0" w:type="auto"/>
            <w:gridSpan w:val="3"/>
            <w:shd w:val="clear" w:color="auto" w:fill="auto"/>
            <w:vAlign w:val="bottom"/>
          </w:tcPr>
          <w:p w14:paraId="74DDD26C" w14:textId="77777777" w:rsidR="00584EC1" w:rsidRDefault="00584EC1">
            <w:pPr>
              <w:rPr>
                <w:rFonts w:ascii="宋体"/>
                <w:vanish/>
              </w:rPr>
            </w:pPr>
          </w:p>
        </w:tc>
        <w:tc>
          <w:tcPr>
            <w:tcW w:w="0" w:type="auto"/>
            <w:gridSpan w:val="3"/>
            <w:shd w:val="clear" w:color="auto" w:fill="auto"/>
            <w:vAlign w:val="bottom"/>
          </w:tcPr>
          <w:p w14:paraId="74DDD26D" w14:textId="77777777" w:rsidR="00584EC1" w:rsidRDefault="00584EC1">
            <w:pPr>
              <w:rPr>
                <w:rFonts w:ascii="宋体"/>
                <w:vanish/>
              </w:rPr>
            </w:pPr>
          </w:p>
        </w:tc>
        <w:tc>
          <w:tcPr>
            <w:tcW w:w="0" w:type="auto"/>
            <w:gridSpan w:val="3"/>
            <w:shd w:val="clear" w:color="auto" w:fill="auto"/>
            <w:vAlign w:val="bottom"/>
          </w:tcPr>
          <w:p w14:paraId="74DDD26E" w14:textId="77777777" w:rsidR="00584EC1" w:rsidRDefault="00584EC1">
            <w:pPr>
              <w:rPr>
                <w:rFonts w:ascii="宋体"/>
                <w:vanish/>
              </w:rPr>
            </w:pPr>
          </w:p>
        </w:tc>
        <w:tc>
          <w:tcPr>
            <w:tcW w:w="0" w:type="auto"/>
            <w:gridSpan w:val="3"/>
            <w:shd w:val="clear" w:color="auto" w:fill="auto"/>
            <w:vAlign w:val="bottom"/>
          </w:tcPr>
          <w:p w14:paraId="74DDD26F" w14:textId="77777777" w:rsidR="00584EC1" w:rsidRDefault="00584EC1">
            <w:pPr>
              <w:rPr>
                <w:rFonts w:ascii="宋体"/>
                <w:vanish/>
              </w:rPr>
            </w:pPr>
          </w:p>
        </w:tc>
        <w:tc>
          <w:tcPr>
            <w:tcW w:w="0" w:type="auto"/>
            <w:gridSpan w:val="3"/>
            <w:shd w:val="clear" w:color="auto" w:fill="auto"/>
            <w:vAlign w:val="bottom"/>
          </w:tcPr>
          <w:p w14:paraId="74DDD270" w14:textId="77777777" w:rsidR="00584EC1" w:rsidRDefault="00584EC1">
            <w:pPr>
              <w:rPr>
                <w:rFonts w:ascii="宋体"/>
                <w:vanish/>
              </w:rPr>
            </w:pPr>
          </w:p>
        </w:tc>
        <w:tc>
          <w:tcPr>
            <w:tcW w:w="0" w:type="auto"/>
            <w:gridSpan w:val="3"/>
            <w:shd w:val="clear" w:color="auto" w:fill="auto"/>
            <w:vAlign w:val="bottom"/>
          </w:tcPr>
          <w:p w14:paraId="74DDD271" w14:textId="77777777" w:rsidR="00584EC1" w:rsidRDefault="00584EC1">
            <w:pPr>
              <w:rPr>
                <w:rFonts w:ascii="宋体"/>
                <w:vanish/>
              </w:rPr>
            </w:pPr>
          </w:p>
        </w:tc>
        <w:tc>
          <w:tcPr>
            <w:tcW w:w="0" w:type="auto"/>
            <w:gridSpan w:val="3"/>
            <w:shd w:val="clear" w:color="auto" w:fill="auto"/>
            <w:vAlign w:val="bottom"/>
          </w:tcPr>
          <w:p w14:paraId="74DDD272" w14:textId="77777777" w:rsidR="00584EC1" w:rsidRDefault="00584EC1">
            <w:pPr>
              <w:rPr>
                <w:rFonts w:ascii="宋体"/>
                <w:vanish/>
              </w:rPr>
            </w:pPr>
          </w:p>
        </w:tc>
        <w:tc>
          <w:tcPr>
            <w:tcW w:w="0" w:type="auto"/>
            <w:gridSpan w:val="3"/>
            <w:shd w:val="clear" w:color="auto" w:fill="auto"/>
            <w:vAlign w:val="bottom"/>
          </w:tcPr>
          <w:p w14:paraId="74DDD273" w14:textId="77777777" w:rsidR="00584EC1" w:rsidRDefault="00584EC1">
            <w:pPr>
              <w:rPr>
                <w:rFonts w:ascii="宋体"/>
                <w:vanish/>
              </w:rPr>
            </w:pPr>
          </w:p>
        </w:tc>
        <w:tc>
          <w:tcPr>
            <w:tcW w:w="0" w:type="auto"/>
            <w:gridSpan w:val="3"/>
            <w:shd w:val="clear" w:color="auto" w:fill="auto"/>
            <w:vAlign w:val="bottom"/>
          </w:tcPr>
          <w:p w14:paraId="74DDD274" w14:textId="77777777" w:rsidR="00584EC1" w:rsidRDefault="00584EC1">
            <w:pPr>
              <w:rPr>
                <w:rFonts w:ascii="宋体"/>
                <w:vanish/>
              </w:rPr>
            </w:pPr>
          </w:p>
        </w:tc>
      </w:tr>
      <w:tr w:rsidR="00584EC1" w14:paraId="74DDD28E" w14:textId="77777777">
        <w:tc>
          <w:tcPr>
            <w:tcW w:w="0" w:type="auto"/>
            <w:gridSpan w:val="3"/>
            <w:shd w:val="clear" w:color="auto" w:fill="FFFFFF"/>
            <w:tcMar>
              <w:top w:w="40" w:type="dxa"/>
              <w:left w:w="245" w:type="dxa"/>
              <w:bottom w:w="40" w:type="dxa"/>
              <w:right w:w="20" w:type="dxa"/>
            </w:tcMar>
            <w:vAlign w:val="bottom"/>
          </w:tcPr>
          <w:p w14:paraId="74DDD276" w14:textId="77777777" w:rsidR="00584EC1" w:rsidRDefault="00871F8D">
            <w:pPr>
              <w:textAlignment w:val="bottom"/>
            </w:pPr>
            <w:r>
              <w:rPr>
                <w:rFonts w:ascii="Arial" w:eastAsia="宋体" w:hAnsi="Arial" w:cs="Arial"/>
                <w:color w:val="000000"/>
                <w:sz w:val="15"/>
                <w:szCs w:val="15"/>
              </w:rPr>
              <w:t>Non-U.S. sovereign, supranational and non-U.S. agency</w:t>
            </w:r>
          </w:p>
        </w:tc>
        <w:tc>
          <w:tcPr>
            <w:tcW w:w="0" w:type="auto"/>
            <w:gridSpan w:val="2"/>
            <w:shd w:val="clear" w:color="auto" w:fill="FFFFFF"/>
            <w:tcMar>
              <w:top w:w="40" w:type="dxa"/>
              <w:left w:w="20" w:type="dxa"/>
              <w:bottom w:w="40" w:type="dxa"/>
              <w:right w:w="0" w:type="dxa"/>
            </w:tcMar>
            <w:vAlign w:val="bottom"/>
          </w:tcPr>
          <w:p w14:paraId="74DDD277" w14:textId="77777777" w:rsidR="00584EC1" w:rsidRDefault="00871F8D">
            <w:pPr>
              <w:jc w:val="right"/>
              <w:textAlignment w:val="bottom"/>
            </w:pPr>
            <w:r>
              <w:rPr>
                <w:rFonts w:ascii="Arial" w:eastAsia="宋体" w:hAnsi="Arial" w:cs="Arial"/>
                <w:b/>
                <w:bCs/>
                <w:color w:val="000000"/>
                <w:sz w:val="15"/>
                <w:szCs w:val="15"/>
              </w:rPr>
              <w:t>1,508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D27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27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27A"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D27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27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27D" w14:textId="77777777" w:rsidR="00584EC1" w:rsidRDefault="00871F8D">
            <w:pPr>
              <w:jc w:val="right"/>
              <w:textAlignment w:val="bottom"/>
            </w:pPr>
            <w:r>
              <w:rPr>
                <w:rFonts w:ascii="Arial" w:eastAsia="宋体" w:hAnsi="Arial" w:cs="Arial"/>
                <w:b/>
                <w:bCs/>
                <w:color w:val="000000"/>
                <w:sz w:val="15"/>
                <w:szCs w:val="15"/>
              </w:rPr>
              <w:t>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D27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27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280" w14:textId="77777777" w:rsidR="00584EC1" w:rsidRDefault="00871F8D">
            <w:pPr>
              <w:jc w:val="right"/>
              <w:textAlignment w:val="bottom"/>
            </w:pPr>
            <w:r>
              <w:rPr>
                <w:rFonts w:ascii="Arial" w:eastAsia="宋体" w:hAnsi="Arial" w:cs="Arial"/>
                <w:b/>
                <w:bCs/>
                <w:color w:val="000000"/>
                <w:sz w:val="15"/>
                <w:szCs w:val="15"/>
              </w:rPr>
              <w:t>1,505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D28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28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283" w14:textId="77777777" w:rsidR="00584EC1" w:rsidRDefault="00871F8D">
            <w:pPr>
              <w:jc w:val="right"/>
              <w:textAlignment w:val="bottom"/>
            </w:pPr>
            <w:r>
              <w:rPr>
                <w:rFonts w:ascii="Arial" w:eastAsia="宋体" w:hAnsi="Arial" w:cs="Arial"/>
                <w:color w:val="000000"/>
                <w:sz w:val="15"/>
                <w:szCs w:val="15"/>
              </w:rPr>
              <w:t>342 </w:t>
            </w:r>
          </w:p>
        </w:tc>
        <w:tc>
          <w:tcPr>
            <w:tcW w:w="0" w:type="auto"/>
            <w:shd w:val="clear" w:color="auto" w:fill="FFFFFF"/>
            <w:tcMar>
              <w:top w:w="40" w:type="dxa"/>
              <w:left w:w="0" w:type="dxa"/>
              <w:bottom w:w="40" w:type="dxa"/>
              <w:right w:w="20" w:type="dxa"/>
            </w:tcMar>
            <w:vAlign w:val="bottom"/>
          </w:tcPr>
          <w:p w14:paraId="74DDD28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285"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286"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D28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288"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289"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D28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28B"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28C" w14:textId="77777777" w:rsidR="00584EC1" w:rsidRDefault="00871F8D">
            <w:pPr>
              <w:jc w:val="right"/>
              <w:textAlignment w:val="bottom"/>
            </w:pPr>
            <w:r>
              <w:rPr>
                <w:rFonts w:ascii="Arial" w:eastAsia="宋体" w:hAnsi="Arial" w:cs="Arial"/>
                <w:color w:val="000000"/>
                <w:sz w:val="15"/>
                <w:szCs w:val="15"/>
              </w:rPr>
              <w:t>342 </w:t>
            </w:r>
          </w:p>
        </w:tc>
        <w:tc>
          <w:tcPr>
            <w:tcW w:w="0" w:type="auto"/>
            <w:shd w:val="clear" w:color="auto" w:fill="FFFFFF"/>
            <w:tcMar>
              <w:top w:w="40" w:type="dxa"/>
              <w:left w:w="0" w:type="dxa"/>
              <w:bottom w:w="40" w:type="dxa"/>
              <w:right w:w="20" w:type="dxa"/>
            </w:tcMar>
            <w:vAlign w:val="bottom"/>
          </w:tcPr>
          <w:p w14:paraId="74DDD28D" w14:textId="77777777" w:rsidR="00584EC1" w:rsidRDefault="00584EC1">
            <w:pPr>
              <w:jc w:val="right"/>
              <w:rPr>
                <w:rFonts w:ascii="宋体"/>
              </w:rPr>
            </w:pPr>
          </w:p>
        </w:tc>
      </w:tr>
      <w:tr w:rsidR="00584EC1" w14:paraId="74DDD29F" w14:textId="77777777">
        <w:trPr>
          <w:hidden/>
        </w:trPr>
        <w:tc>
          <w:tcPr>
            <w:tcW w:w="0" w:type="auto"/>
            <w:gridSpan w:val="3"/>
            <w:shd w:val="clear" w:color="auto" w:fill="auto"/>
            <w:vAlign w:val="bottom"/>
          </w:tcPr>
          <w:p w14:paraId="74DDD28F" w14:textId="77777777" w:rsidR="00584EC1" w:rsidRDefault="00584EC1">
            <w:pPr>
              <w:rPr>
                <w:rFonts w:ascii="宋体"/>
                <w:vanish/>
              </w:rPr>
            </w:pPr>
          </w:p>
        </w:tc>
        <w:tc>
          <w:tcPr>
            <w:tcW w:w="0" w:type="auto"/>
            <w:gridSpan w:val="3"/>
            <w:shd w:val="clear" w:color="auto" w:fill="auto"/>
            <w:vAlign w:val="bottom"/>
          </w:tcPr>
          <w:p w14:paraId="74DDD290" w14:textId="77777777" w:rsidR="00584EC1" w:rsidRDefault="00584EC1">
            <w:pPr>
              <w:rPr>
                <w:rFonts w:ascii="宋体"/>
                <w:vanish/>
              </w:rPr>
            </w:pPr>
          </w:p>
        </w:tc>
        <w:tc>
          <w:tcPr>
            <w:tcW w:w="0" w:type="auto"/>
            <w:gridSpan w:val="3"/>
            <w:shd w:val="clear" w:color="auto" w:fill="auto"/>
            <w:vAlign w:val="bottom"/>
          </w:tcPr>
          <w:p w14:paraId="74DDD291" w14:textId="77777777" w:rsidR="00584EC1" w:rsidRDefault="00584EC1">
            <w:pPr>
              <w:rPr>
                <w:rFonts w:ascii="宋体"/>
                <w:vanish/>
              </w:rPr>
            </w:pPr>
          </w:p>
        </w:tc>
        <w:tc>
          <w:tcPr>
            <w:tcW w:w="0" w:type="auto"/>
            <w:gridSpan w:val="3"/>
            <w:shd w:val="clear" w:color="auto" w:fill="auto"/>
            <w:vAlign w:val="bottom"/>
          </w:tcPr>
          <w:p w14:paraId="74DDD292" w14:textId="77777777" w:rsidR="00584EC1" w:rsidRDefault="00584EC1">
            <w:pPr>
              <w:rPr>
                <w:rFonts w:ascii="宋体"/>
                <w:vanish/>
              </w:rPr>
            </w:pPr>
          </w:p>
        </w:tc>
        <w:tc>
          <w:tcPr>
            <w:tcW w:w="0" w:type="auto"/>
            <w:gridSpan w:val="3"/>
            <w:shd w:val="clear" w:color="auto" w:fill="auto"/>
            <w:vAlign w:val="bottom"/>
          </w:tcPr>
          <w:p w14:paraId="74DDD293" w14:textId="77777777" w:rsidR="00584EC1" w:rsidRDefault="00584EC1">
            <w:pPr>
              <w:rPr>
                <w:rFonts w:ascii="宋体"/>
                <w:vanish/>
              </w:rPr>
            </w:pPr>
          </w:p>
        </w:tc>
        <w:tc>
          <w:tcPr>
            <w:tcW w:w="0" w:type="auto"/>
            <w:gridSpan w:val="3"/>
            <w:shd w:val="clear" w:color="auto" w:fill="auto"/>
            <w:vAlign w:val="bottom"/>
          </w:tcPr>
          <w:p w14:paraId="74DDD294" w14:textId="77777777" w:rsidR="00584EC1" w:rsidRDefault="00584EC1">
            <w:pPr>
              <w:rPr>
                <w:rFonts w:ascii="宋体"/>
                <w:vanish/>
              </w:rPr>
            </w:pPr>
          </w:p>
        </w:tc>
        <w:tc>
          <w:tcPr>
            <w:tcW w:w="0" w:type="auto"/>
            <w:gridSpan w:val="3"/>
            <w:shd w:val="clear" w:color="auto" w:fill="auto"/>
            <w:vAlign w:val="bottom"/>
          </w:tcPr>
          <w:p w14:paraId="74DDD295" w14:textId="77777777" w:rsidR="00584EC1" w:rsidRDefault="00584EC1">
            <w:pPr>
              <w:rPr>
                <w:rFonts w:ascii="宋体"/>
                <w:vanish/>
              </w:rPr>
            </w:pPr>
          </w:p>
        </w:tc>
        <w:tc>
          <w:tcPr>
            <w:tcW w:w="0" w:type="auto"/>
            <w:gridSpan w:val="3"/>
            <w:shd w:val="clear" w:color="auto" w:fill="auto"/>
            <w:vAlign w:val="bottom"/>
          </w:tcPr>
          <w:p w14:paraId="74DDD296" w14:textId="77777777" w:rsidR="00584EC1" w:rsidRDefault="00584EC1">
            <w:pPr>
              <w:rPr>
                <w:rFonts w:ascii="宋体"/>
                <w:vanish/>
              </w:rPr>
            </w:pPr>
          </w:p>
        </w:tc>
        <w:tc>
          <w:tcPr>
            <w:tcW w:w="0" w:type="auto"/>
            <w:gridSpan w:val="3"/>
            <w:shd w:val="clear" w:color="auto" w:fill="auto"/>
            <w:vAlign w:val="bottom"/>
          </w:tcPr>
          <w:p w14:paraId="74DDD297" w14:textId="77777777" w:rsidR="00584EC1" w:rsidRDefault="00584EC1">
            <w:pPr>
              <w:rPr>
                <w:rFonts w:ascii="宋体"/>
                <w:vanish/>
              </w:rPr>
            </w:pPr>
          </w:p>
        </w:tc>
        <w:tc>
          <w:tcPr>
            <w:tcW w:w="0" w:type="auto"/>
            <w:gridSpan w:val="3"/>
            <w:shd w:val="clear" w:color="auto" w:fill="auto"/>
            <w:vAlign w:val="bottom"/>
          </w:tcPr>
          <w:p w14:paraId="74DDD298" w14:textId="77777777" w:rsidR="00584EC1" w:rsidRDefault="00584EC1">
            <w:pPr>
              <w:rPr>
                <w:rFonts w:ascii="宋体"/>
                <w:vanish/>
              </w:rPr>
            </w:pPr>
          </w:p>
        </w:tc>
        <w:tc>
          <w:tcPr>
            <w:tcW w:w="0" w:type="auto"/>
            <w:gridSpan w:val="3"/>
            <w:shd w:val="clear" w:color="auto" w:fill="auto"/>
            <w:vAlign w:val="bottom"/>
          </w:tcPr>
          <w:p w14:paraId="74DDD299" w14:textId="77777777" w:rsidR="00584EC1" w:rsidRDefault="00584EC1">
            <w:pPr>
              <w:rPr>
                <w:rFonts w:ascii="宋体"/>
                <w:vanish/>
              </w:rPr>
            </w:pPr>
          </w:p>
        </w:tc>
        <w:tc>
          <w:tcPr>
            <w:tcW w:w="0" w:type="auto"/>
            <w:gridSpan w:val="3"/>
            <w:shd w:val="clear" w:color="auto" w:fill="auto"/>
            <w:vAlign w:val="bottom"/>
          </w:tcPr>
          <w:p w14:paraId="74DDD29A" w14:textId="77777777" w:rsidR="00584EC1" w:rsidRDefault="00584EC1">
            <w:pPr>
              <w:rPr>
                <w:rFonts w:ascii="宋体"/>
                <w:vanish/>
              </w:rPr>
            </w:pPr>
          </w:p>
        </w:tc>
        <w:tc>
          <w:tcPr>
            <w:tcW w:w="0" w:type="auto"/>
            <w:gridSpan w:val="3"/>
            <w:shd w:val="clear" w:color="auto" w:fill="auto"/>
            <w:vAlign w:val="bottom"/>
          </w:tcPr>
          <w:p w14:paraId="74DDD29B" w14:textId="77777777" w:rsidR="00584EC1" w:rsidRDefault="00584EC1">
            <w:pPr>
              <w:rPr>
                <w:rFonts w:ascii="宋体"/>
                <w:vanish/>
              </w:rPr>
            </w:pPr>
          </w:p>
        </w:tc>
        <w:tc>
          <w:tcPr>
            <w:tcW w:w="0" w:type="auto"/>
            <w:gridSpan w:val="3"/>
            <w:shd w:val="clear" w:color="auto" w:fill="auto"/>
            <w:vAlign w:val="bottom"/>
          </w:tcPr>
          <w:p w14:paraId="74DDD29C" w14:textId="77777777" w:rsidR="00584EC1" w:rsidRDefault="00584EC1">
            <w:pPr>
              <w:rPr>
                <w:rFonts w:ascii="宋体"/>
                <w:vanish/>
              </w:rPr>
            </w:pPr>
          </w:p>
        </w:tc>
        <w:tc>
          <w:tcPr>
            <w:tcW w:w="0" w:type="auto"/>
            <w:gridSpan w:val="3"/>
            <w:shd w:val="clear" w:color="auto" w:fill="auto"/>
            <w:vAlign w:val="bottom"/>
          </w:tcPr>
          <w:p w14:paraId="74DDD29D" w14:textId="77777777" w:rsidR="00584EC1" w:rsidRDefault="00584EC1">
            <w:pPr>
              <w:rPr>
                <w:rFonts w:ascii="宋体"/>
                <w:vanish/>
              </w:rPr>
            </w:pPr>
          </w:p>
        </w:tc>
        <w:tc>
          <w:tcPr>
            <w:tcW w:w="0" w:type="auto"/>
            <w:gridSpan w:val="3"/>
            <w:shd w:val="clear" w:color="auto" w:fill="auto"/>
            <w:vAlign w:val="bottom"/>
          </w:tcPr>
          <w:p w14:paraId="74DDD29E" w14:textId="77777777" w:rsidR="00584EC1" w:rsidRDefault="00584EC1">
            <w:pPr>
              <w:rPr>
                <w:rFonts w:ascii="宋体"/>
                <w:vanish/>
              </w:rPr>
            </w:pPr>
          </w:p>
        </w:tc>
      </w:tr>
      <w:tr w:rsidR="00584EC1" w14:paraId="74DDD2B8" w14:textId="77777777">
        <w:tc>
          <w:tcPr>
            <w:tcW w:w="0" w:type="auto"/>
            <w:gridSpan w:val="3"/>
            <w:shd w:val="clear" w:color="auto" w:fill="CCEEFF"/>
            <w:tcMar>
              <w:top w:w="40" w:type="dxa"/>
              <w:left w:w="380" w:type="dxa"/>
              <w:bottom w:w="40" w:type="dxa"/>
              <w:right w:w="20" w:type="dxa"/>
            </w:tcMar>
            <w:vAlign w:val="bottom"/>
          </w:tcPr>
          <w:p w14:paraId="74DDD2A0" w14:textId="77777777" w:rsidR="00584EC1" w:rsidRDefault="00871F8D">
            <w:pPr>
              <w:textAlignment w:val="bottom"/>
            </w:pPr>
            <w:r>
              <w:rPr>
                <w:rFonts w:ascii="Arial" w:eastAsia="宋体" w:hAnsi="Arial" w:cs="Arial"/>
                <w:color w:val="000000"/>
                <w:sz w:val="15"/>
                <w:szCs w:val="15"/>
              </w:rPr>
              <w:t>Total non-U.S. debt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2A1" w14:textId="77777777" w:rsidR="00584EC1" w:rsidRDefault="00871F8D">
            <w:pPr>
              <w:jc w:val="right"/>
              <w:textAlignment w:val="bottom"/>
            </w:pPr>
            <w:r>
              <w:rPr>
                <w:rFonts w:ascii="Arial" w:eastAsia="宋体" w:hAnsi="Arial" w:cs="Arial"/>
                <w:b/>
                <w:bCs/>
                <w:color w:val="000000"/>
                <w:sz w:val="15"/>
                <w:szCs w:val="15"/>
              </w:rPr>
              <w:t>1,717</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2A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2A3"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2A4" w14:textId="77777777" w:rsidR="00584EC1" w:rsidRDefault="00871F8D">
            <w:pPr>
              <w:jc w:val="right"/>
              <w:textAlignment w:val="bottom"/>
            </w:pPr>
            <w:r>
              <w:rPr>
                <w:rFonts w:ascii="Arial" w:eastAsia="宋体" w:hAnsi="Arial" w:cs="Arial"/>
                <w:b/>
                <w:bCs/>
                <w:color w:val="000000"/>
                <w:sz w:val="15"/>
                <w:szCs w:val="15"/>
              </w:rPr>
              <w:t>65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2A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2A6"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2A7" w14:textId="77777777" w:rsidR="00584EC1" w:rsidRDefault="00871F8D">
            <w:pPr>
              <w:jc w:val="right"/>
              <w:textAlignment w:val="bottom"/>
            </w:pPr>
            <w:r>
              <w:rPr>
                <w:rFonts w:ascii="Arial" w:eastAsia="宋体" w:hAnsi="Arial" w:cs="Arial"/>
                <w:b/>
                <w:bCs/>
                <w:color w:val="000000"/>
                <w:sz w:val="15"/>
                <w:szCs w:val="15"/>
              </w:rPr>
              <w:t>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2A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2A9"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2AA" w14:textId="77777777" w:rsidR="00584EC1" w:rsidRDefault="00871F8D">
            <w:pPr>
              <w:jc w:val="right"/>
              <w:textAlignment w:val="bottom"/>
            </w:pPr>
            <w:r>
              <w:rPr>
                <w:rFonts w:ascii="Arial" w:eastAsia="宋体" w:hAnsi="Arial" w:cs="Arial"/>
                <w:b/>
                <w:bCs/>
                <w:color w:val="000000"/>
                <w:sz w:val="15"/>
                <w:szCs w:val="15"/>
              </w:rPr>
              <w:t>1,777</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2A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2AC"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2AD" w14:textId="77777777" w:rsidR="00584EC1" w:rsidRDefault="00871F8D">
            <w:pPr>
              <w:jc w:val="right"/>
              <w:textAlignment w:val="bottom"/>
            </w:pPr>
            <w:r>
              <w:rPr>
                <w:rFonts w:ascii="Arial" w:eastAsia="宋体" w:hAnsi="Arial" w:cs="Arial"/>
                <w:color w:val="000000"/>
                <w:sz w:val="15"/>
                <w:szCs w:val="15"/>
              </w:rPr>
              <w:t>645 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2A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2AF"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2B0" w14:textId="77777777" w:rsidR="00584EC1" w:rsidRDefault="00871F8D">
            <w:pPr>
              <w:jc w:val="right"/>
              <w:textAlignment w:val="bottom"/>
            </w:pPr>
            <w:r>
              <w:rPr>
                <w:rFonts w:ascii="Arial" w:eastAsia="宋体" w:hAnsi="Arial" w:cs="Arial"/>
                <w:color w:val="000000"/>
                <w:sz w:val="15"/>
                <w:szCs w:val="15"/>
              </w:rPr>
              <w:t>68 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2B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2B2"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2B3" w14:textId="77777777" w:rsidR="00584EC1" w:rsidRDefault="00871F8D">
            <w:pPr>
              <w:jc w:val="right"/>
              <w:textAlignment w:val="bottom"/>
            </w:pPr>
            <w:r>
              <w:rPr>
                <w:rFonts w:ascii="Arial" w:eastAsia="宋体" w:hAnsi="Arial" w:cs="Arial"/>
                <w:color w:val="000000"/>
                <w:sz w:val="15"/>
                <w:szCs w:val="15"/>
              </w:rPr>
              <w:t>4 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2B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2B5"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2B6" w14:textId="77777777" w:rsidR="00584EC1" w:rsidRDefault="00871F8D">
            <w:pPr>
              <w:jc w:val="right"/>
              <w:textAlignment w:val="bottom"/>
            </w:pPr>
            <w:r>
              <w:rPr>
                <w:rFonts w:ascii="Arial" w:eastAsia="宋体" w:hAnsi="Arial" w:cs="Arial"/>
                <w:color w:val="000000"/>
                <w:sz w:val="15"/>
                <w:szCs w:val="15"/>
              </w:rPr>
              <w:t>709 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2B7" w14:textId="77777777" w:rsidR="00584EC1" w:rsidRDefault="00584EC1">
            <w:pPr>
              <w:jc w:val="right"/>
              <w:rPr>
                <w:rFonts w:ascii="宋体"/>
              </w:rPr>
            </w:pPr>
          </w:p>
        </w:tc>
      </w:tr>
      <w:tr w:rsidR="00584EC1" w14:paraId="74DDD2C9" w14:textId="77777777">
        <w:tc>
          <w:tcPr>
            <w:tcW w:w="0" w:type="auto"/>
            <w:gridSpan w:val="3"/>
            <w:shd w:val="clear" w:color="auto" w:fill="FFFFFF"/>
            <w:tcMar>
              <w:top w:w="40" w:type="dxa"/>
              <w:left w:w="20" w:type="dxa"/>
              <w:bottom w:w="40" w:type="dxa"/>
              <w:right w:w="20" w:type="dxa"/>
            </w:tcMar>
            <w:vAlign w:val="bottom"/>
          </w:tcPr>
          <w:p w14:paraId="74DDD2B9" w14:textId="77777777" w:rsidR="00584EC1" w:rsidRDefault="00871F8D">
            <w:pPr>
              <w:textAlignment w:val="bottom"/>
            </w:pPr>
            <w:r>
              <w:rPr>
                <w:rFonts w:ascii="Arial" w:eastAsia="宋体" w:hAnsi="Arial" w:cs="Arial"/>
                <w:color w:val="000000"/>
                <w:sz w:val="15"/>
                <w:szCs w:val="15"/>
              </w:rPr>
              <w:t>Asset-backed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D2BA"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2BB"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D2BC"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2BD"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D2BE"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2BF"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D2C0"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2C1"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D2C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2C3"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D2C4"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2C5"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D2C6"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2C7"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D2C8" w14:textId="77777777" w:rsidR="00584EC1" w:rsidRDefault="00584EC1">
            <w:pPr>
              <w:rPr>
                <w:rFonts w:ascii="宋体"/>
              </w:rPr>
            </w:pPr>
          </w:p>
        </w:tc>
      </w:tr>
      <w:tr w:rsidR="00584EC1" w14:paraId="74DDD2E2" w14:textId="77777777">
        <w:tc>
          <w:tcPr>
            <w:tcW w:w="0" w:type="auto"/>
            <w:gridSpan w:val="3"/>
            <w:shd w:val="clear" w:color="auto" w:fill="CCEEFF"/>
            <w:tcMar>
              <w:top w:w="40" w:type="dxa"/>
              <w:left w:w="20" w:type="dxa"/>
              <w:bottom w:w="40" w:type="dxa"/>
              <w:right w:w="20" w:type="dxa"/>
            </w:tcMar>
            <w:vAlign w:val="bottom"/>
          </w:tcPr>
          <w:p w14:paraId="74DDD2CA" w14:textId="77777777" w:rsidR="00584EC1" w:rsidRDefault="00871F8D">
            <w:pPr>
              <w:textAlignment w:val="bottom"/>
            </w:pPr>
            <w:r>
              <w:rPr>
                <w:rFonts w:ascii="Arial" w:eastAsia="宋体" w:hAnsi="Arial" w:cs="Arial"/>
                <w:color w:val="000000"/>
                <w:sz w:val="15"/>
                <w:szCs w:val="15"/>
              </w:rPr>
              <w:t>Student loans</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74DDD2CB" w14:textId="77777777" w:rsidR="00584EC1" w:rsidRDefault="00871F8D">
            <w:pPr>
              <w:jc w:val="right"/>
              <w:textAlignment w:val="bottom"/>
            </w:pPr>
            <w:r>
              <w:rPr>
                <w:rFonts w:ascii="Arial" w:eastAsia="宋体" w:hAnsi="Arial" w:cs="Arial"/>
                <w:b/>
                <w:bCs/>
                <w:color w:val="000000"/>
                <w:sz w:val="15"/>
                <w:szCs w:val="15"/>
              </w:rPr>
              <w:t>5,017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D2C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2C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2CE" w14:textId="77777777" w:rsidR="00584EC1" w:rsidRDefault="00871F8D">
            <w:pPr>
              <w:jc w:val="right"/>
              <w:textAlignment w:val="bottom"/>
            </w:pPr>
            <w:r>
              <w:rPr>
                <w:rFonts w:ascii="Arial" w:eastAsia="宋体" w:hAnsi="Arial" w:cs="Arial"/>
                <w:b/>
                <w:bCs/>
                <w:color w:val="000000"/>
                <w:sz w:val="15"/>
                <w:szCs w:val="15"/>
              </w:rPr>
              <w:t>64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D2C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2D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2D1" w14:textId="77777777" w:rsidR="00584EC1" w:rsidRDefault="00871F8D">
            <w:pPr>
              <w:jc w:val="right"/>
              <w:textAlignment w:val="bottom"/>
            </w:pPr>
            <w:r>
              <w:rPr>
                <w:rFonts w:ascii="Arial" w:eastAsia="宋体" w:hAnsi="Arial" w:cs="Arial"/>
                <w:b/>
                <w:bCs/>
                <w:color w:val="000000"/>
                <w:sz w:val="15"/>
                <w:szCs w:val="15"/>
              </w:rPr>
              <w:t>13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D2D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2D3"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2D4" w14:textId="77777777" w:rsidR="00584EC1" w:rsidRDefault="00871F8D">
            <w:pPr>
              <w:jc w:val="right"/>
              <w:textAlignment w:val="bottom"/>
            </w:pPr>
            <w:r>
              <w:rPr>
                <w:rFonts w:ascii="Arial" w:eastAsia="宋体" w:hAnsi="Arial" w:cs="Arial"/>
                <w:b/>
                <w:bCs/>
                <w:color w:val="000000"/>
                <w:sz w:val="15"/>
                <w:szCs w:val="15"/>
              </w:rPr>
              <w:t>5,068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D2D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2D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2D7" w14:textId="77777777" w:rsidR="00584EC1" w:rsidRDefault="00871F8D">
            <w:pPr>
              <w:jc w:val="right"/>
              <w:textAlignment w:val="bottom"/>
            </w:pPr>
            <w:r>
              <w:rPr>
                <w:rFonts w:ascii="Arial" w:eastAsia="宋体" w:hAnsi="Arial" w:cs="Arial"/>
                <w:color w:val="000000"/>
                <w:sz w:val="15"/>
                <w:szCs w:val="15"/>
              </w:rPr>
              <w:t>4,774 </w:t>
            </w:r>
          </w:p>
        </w:tc>
        <w:tc>
          <w:tcPr>
            <w:tcW w:w="0" w:type="auto"/>
            <w:shd w:val="clear" w:color="auto" w:fill="CCEEFF"/>
            <w:tcMar>
              <w:top w:w="40" w:type="dxa"/>
              <w:left w:w="0" w:type="dxa"/>
              <w:bottom w:w="40" w:type="dxa"/>
              <w:right w:w="20" w:type="dxa"/>
            </w:tcMar>
            <w:vAlign w:val="bottom"/>
          </w:tcPr>
          <w:p w14:paraId="74DDD2D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2D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2DA" w14:textId="77777777" w:rsidR="00584EC1" w:rsidRDefault="00871F8D">
            <w:pPr>
              <w:jc w:val="right"/>
              <w:textAlignment w:val="bottom"/>
            </w:pPr>
            <w:r>
              <w:rPr>
                <w:rFonts w:ascii="Arial" w:eastAsia="宋体" w:hAnsi="Arial" w:cs="Arial"/>
                <w:color w:val="000000"/>
                <w:sz w:val="15"/>
                <w:szCs w:val="15"/>
              </w:rPr>
              <w:t>33 </w:t>
            </w:r>
          </w:p>
        </w:tc>
        <w:tc>
          <w:tcPr>
            <w:tcW w:w="0" w:type="auto"/>
            <w:shd w:val="clear" w:color="auto" w:fill="CCEEFF"/>
            <w:tcMar>
              <w:top w:w="40" w:type="dxa"/>
              <w:left w:w="0" w:type="dxa"/>
              <w:bottom w:w="40" w:type="dxa"/>
              <w:right w:w="20" w:type="dxa"/>
            </w:tcMar>
            <w:vAlign w:val="bottom"/>
          </w:tcPr>
          <w:p w14:paraId="74DDD2D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2DC"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2DD" w14:textId="77777777" w:rsidR="00584EC1" w:rsidRDefault="00871F8D">
            <w:pPr>
              <w:jc w:val="right"/>
              <w:textAlignment w:val="bottom"/>
            </w:pPr>
            <w:r>
              <w:rPr>
                <w:rFonts w:ascii="Arial" w:eastAsia="宋体" w:hAnsi="Arial" w:cs="Arial"/>
                <w:color w:val="000000"/>
                <w:sz w:val="15"/>
                <w:szCs w:val="15"/>
              </w:rPr>
              <w:t>25 </w:t>
            </w:r>
          </w:p>
        </w:tc>
        <w:tc>
          <w:tcPr>
            <w:tcW w:w="0" w:type="auto"/>
            <w:shd w:val="clear" w:color="auto" w:fill="CCEEFF"/>
            <w:tcMar>
              <w:top w:w="40" w:type="dxa"/>
              <w:left w:w="0" w:type="dxa"/>
              <w:bottom w:w="40" w:type="dxa"/>
              <w:right w:w="20" w:type="dxa"/>
            </w:tcMar>
            <w:vAlign w:val="bottom"/>
          </w:tcPr>
          <w:p w14:paraId="74DDD2D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2DF"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2E0" w14:textId="77777777" w:rsidR="00584EC1" w:rsidRDefault="00871F8D">
            <w:pPr>
              <w:jc w:val="right"/>
              <w:textAlignment w:val="bottom"/>
            </w:pPr>
            <w:r>
              <w:rPr>
                <w:rFonts w:ascii="Arial" w:eastAsia="宋体" w:hAnsi="Arial" w:cs="Arial"/>
                <w:color w:val="000000"/>
                <w:sz w:val="15"/>
                <w:szCs w:val="15"/>
              </w:rPr>
              <w:t>4,782 </w:t>
            </w:r>
          </w:p>
        </w:tc>
        <w:tc>
          <w:tcPr>
            <w:tcW w:w="0" w:type="auto"/>
            <w:shd w:val="clear" w:color="auto" w:fill="CCEEFF"/>
            <w:tcMar>
              <w:top w:w="40" w:type="dxa"/>
              <w:left w:w="0" w:type="dxa"/>
              <w:bottom w:w="40" w:type="dxa"/>
              <w:right w:w="20" w:type="dxa"/>
            </w:tcMar>
            <w:vAlign w:val="bottom"/>
          </w:tcPr>
          <w:p w14:paraId="74DDD2E1" w14:textId="77777777" w:rsidR="00584EC1" w:rsidRDefault="00584EC1">
            <w:pPr>
              <w:jc w:val="right"/>
              <w:rPr>
                <w:rFonts w:ascii="宋体"/>
              </w:rPr>
            </w:pPr>
          </w:p>
        </w:tc>
      </w:tr>
      <w:tr w:rsidR="00584EC1" w14:paraId="74DDD2F3" w14:textId="77777777">
        <w:trPr>
          <w:hidden/>
        </w:trPr>
        <w:tc>
          <w:tcPr>
            <w:tcW w:w="0" w:type="auto"/>
            <w:gridSpan w:val="3"/>
            <w:shd w:val="clear" w:color="auto" w:fill="auto"/>
            <w:vAlign w:val="bottom"/>
          </w:tcPr>
          <w:p w14:paraId="74DDD2E3" w14:textId="77777777" w:rsidR="00584EC1" w:rsidRDefault="00584EC1">
            <w:pPr>
              <w:rPr>
                <w:rFonts w:ascii="宋体"/>
                <w:vanish/>
              </w:rPr>
            </w:pPr>
          </w:p>
        </w:tc>
        <w:tc>
          <w:tcPr>
            <w:tcW w:w="0" w:type="auto"/>
            <w:gridSpan w:val="3"/>
            <w:shd w:val="clear" w:color="auto" w:fill="auto"/>
            <w:vAlign w:val="bottom"/>
          </w:tcPr>
          <w:p w14:paraId="74DDD2E4" w14:textId="77777777" w:rsidR="00584EC1" w:rsidRDefault="00584EC1">
            <w:pPr>
              <w:rPr>
                <w:rFonts w:ascii="宋体"/>
                <w:vanish/>
              </w:rPr>
            </w:pPr>
          </w:p>
        </w:tc>
        <w:tc>
          <w:tcPr>
            <w:tcW w:w="0" w:type="auto"/>
            <w:gridSpan w:val="3"/>
            <w:shd w:val="clear" w:color="auto" w:fill="auto"/>
            <w:vAlign w:val="bottom"/>
          </w:tcPr>
          <w:p w14:paraId="74DDD2E5" w14:textId="77777777" w:rsidR="00584EC1" w:rsidRDefault="00584EC1">
            <w:pPr>
              <w:rPr>
                <w:rFonts w:ascii="宋体"/>
                <w:vanish/>
              </w:rPr>
            </w:pPr>
          </w:p>
        </w:tc>
        <w:tc>
          <w:tcPr>
            <w:tcW w:w="0" w:type="auto"/>
            <w:gridSpan w:val="3"/>
            <w:shd w:val="clear" w:color="auto" w:fill="auto"/>
            <w:vAlign w:val="bottom"/>
          </w:tcPr>
          <w:p w14:paraId="74DDD2E6" w14:textId="77777777" w:rsidR="00584EC1" w:rsidRDefault="00584EC1">
            <w:pPr>
              <w:rPr>
                <w:rFonts w:ascii="宋体"/>
                <w:vanish/>
              </w:rPr>
            </w:pPr>
          </w:p>
        </w:tc>
        <w:tc>
          <w:tcPr>
            <w:tcW w:w="0" w:type="auto"/>
            <w:gridSpan w:val="3"/>
            <w:shd w:val="clear" w:color="auto" w:fill="auto"/>
            <w:vAlign w:val="bottom"/>
          </w:tcPr>
          <w:p w14:paraId="74DDD2E7" w14:textId="77777777" w:rsidR="00584EC1" w:rsidRDefault="00584EC1">
            <w:pPr>
              <w:rPr>
                <w:rFonts w:ascii="宋体"/>
                <w:vanish/>
              </w:rPr>
            </w:pPr>
          </w:p>
        </w:tc>
        <w:tc>
          <w:tcPr>
            <w:tcW w:w="0" w:type="auto"/>
            <w:gridSpan w:val="3"/>
            <w:shd w:val="clear" w:color="auto" w:fill="auto"/>
            <w:vAlign w:val="bottom"/>
          </w:tcPr>
          <w:p w14:paraId="74DDD2E8" w14:textId="77777777" w:rsidR="00584EC1" w:rsidRDefault="00584EC1">
            <w:pPr>
              <w:rPr>
                <w:rFonts w:ascii="宋体"/>
                <w:vanish/>
              </w:rPr>
            </w:pPr>
          </w:p>
        </w:tc>
        <w:tc>
          <w:tcPr>
            <w:tcW w:w="0" w:type="auto"/>
            <w:gridSpan w:val="3"/>
            <w:shd w:val="clear" w:color="auto" w:fill="auto"/>
            <w:vAlign w:val="bottom"/>
          </w:tcPr>
          <w:p w14:paraId="74DDD2E9" w14:textId="77777777" w:rsidR="00584EC1" w:rsidRDefault="00584EC1">
            <w:pPr>
              <w:rPr>
                <w:rFonts w:ascii="宋体"/>
                <w:vanish/>
              </w:rPr>
            </w:pPr>
          </w:p>
        </w:tc>
        <w:tc>
          <w:tcPr>
            <w:tcW w:w="0" w:type="auto"/>
            <w:gridSpan w:val="3"/>
            <w:shd w:val="clear" w:color="auto" w:fill="auto"/>
            <w:vAlign w:val="bottom"/>
          </w:tcPr>
          <w:p w14:paraId="74DDD2EA" w14:textId="77777777" w:rsidR="00584EC1" w:rsidRDefault="00584EC1">
            <w:pPr>
              <w:rPr>
                <w:rFonts w:ascii="宋体"/>
                <w:vanish/>
              </w:rPr>
            </w:pPr>
          </w:p>
        </w:tc>
        <w:tc>
          <w:tcPr>
            <w:tcW w:w="0" w:type="auto"/>
            <w:gridSpan w:val="3"/>
            <w:shd w:val="clear" w:color="auto" w:fill="auto"/>
            <w:vAlign w:val="bottom"/>
          </w:tcPr>
          <w:p w14:paraId="74DDD2EB" w14:textId="77777777" w:rsidR="00584EC1" w:rsidRDefault="00584EC1">
            <w:pPr>
              <w:rPr>
                <w:rFonts w:ascii="宋体"/>
                <w:vanish/>
              </w:rPr>
            </w:pPr>
          </w:p>
        </w:tc>
        <w:tc>
          <w:tcPr>
            <w:tcW w:w="0" w:type="auto"/>
            <w:gridSpan w:val="3"/>
            <w:shd w:val="clear" w:color="auto" w:fill="auto"/>
            <w:vAlign w:val="bottom"/>
          </w:tcPr>
          <w:p w14:paraId="74DDD2EC" w14:textId="77777777" w:rsidR="00584EC1" w:rsidRDefault="00584EC1">
            <w:pPr>
              <w:rPr>
                <w:rFonts w:ascii="宋体"/>
                <w:vanish/>
              </w:rPr>
            </w:pPr>
          </w:p>
        </w:tc>
        <w:tc>
          <w:tcPr>
            <w:tcW w:w="0" w:type="auto"/>
            <w:gridSpan w:val="3"/>
            <w:shd w:val="clear" w:color="auto" w:fill="auto"/>
            <w:vAlign w:val="bottom"/>
          </w:tcPr>
          <w:p w14:paraId="74DDD2ED" w14:textId="77777777" w:rsidR="00584EC1" w:rsidRDefault="00584EC1">
            <w:pPr>
              <w:rPr>
                <w:rFonts w:ascii="宋体"/>
                <w:vanish/>
              </w:rPr>
            </w:pPr>
          </w:p>
        </w:tc>
        <w:tc>
          <w:tcPr>
            <w:tcW w:w="0" w:type="auto"/>
            <w:gridSpan w:val="3"/>
            <w:shd w:val="clear" w:color="auto" w:fill="auto"/>
            <w:vAlign w:val="bottom"/>
          </w:tcPr>
          <w:p w14:paraId="74DDD2EE" w14:textId="77777777" w:rsidR="00584EC1" w:rsidRDefault="00584EC1">
            <w:pPr>
              <w:rPr>
                <w:rFonts w:ascii="宋体"/>
                <w:vanish/>
              </w:rPr>
            </w:pPr>
          </w:p>
        </w:tc>
        <w:tc>
          <w:tcPr>
            <w:tcW w:w="0" w:type="auto"/>
            <w:gridSpan w:val="3"/>
            <w:shd w:val="clear" w:color="auto" w:fill="auto"/>
            <w:vAlign w:val="bottom"/>
          </w:tcPr>
          <w:p w14:paraId="74DDD2EF" w14:textId="77777777" w:rsidR="00584EC1" w:rsidRDefault="00584EC1">
            <w:pPr>
              <w:rPr>
                <w:rFonts w:ascii="宋体"/>
                <w:vanish/>
              </w:rPr>
            </w:pPr>
          </w:p>
        </w:tc>
        <w:tc>
          <w:tcPr>
            <w:tcW w:w="0" w:type="auto"/>
            <w:gridSpan w:val="3"/>
            <w:shd w:val="clear" w:color="auto" w:fill="auto"/>
            <w:vAlign w:val="bottom"/>
          </w:tcPr>
          <w:p w14:paraId="74DDD2F0" w14:textId="77777777" w:rsidR="00584EC1" w:rsidRDefault="00584EC1">
            <w:pPr>
              <w:rPr>
                <w:rFonts w:ascii="宋体"/>
                <w:vanish/>
              </w:rPr>
            </w:pPr>
          </w:p>
        </w:tc>
        <w:tc>
          <w:tcPr>
            <w:tcW w:w="0" w:type="auto"/>
            <w:gridSpan w:val="3"/>
            <w:shd w:val="clear" w:color="auto" w:fill="auto"/>
            <w:vAlign w:val="bottom"/>
          </w:tcPr>
          <w:p w14:paraId="74DDD2F1" w14:textId="77777777" w:rsidR="00584EC1" w:rsidRDefault="00584EC1">
            <w:pPr>
              <w:rPr>
                <w:rFonts w:ascii="宋体"/>
                <w:vanish/>
              </w:rPr>
            </w:pPr>
          </w:p>
        </w:tc>
        <w:tc>
          <w:tcPr>
            <w:tcW w:w="0" w:type="auto"/>
            <w:gridSpan w:val="3"/>
            <w:shd w:val="clear" w:color="auto" w:fill="auto"/>
            <w:vAlign w:val="bottom"/>
          </w:tcPr>
          <w:p w14:paraId="74DDD2F2" w14:textId="77777777" w:rsidR="00584EC1" w:rsidRDefault="00584EC1">
            <w:pPr>
              <w:rPr>
                <w:rFonts w:ascii="宋体"/>
                <w:vanish/>
              </w:rPr>
            </w:pPr>
          </w:p>
        </w:tc>
      </w:tr>
      <w:tr w:rsidR="00584EC1" w14:paraId="74DDD304" w14:textId="77777777">
        <w:trPr>
          <w:hidden/>
        </w:trPr>
        <w:tc>
          <w:tcPr>
            <w:tcW w:w="0" w:type="auto"/>
            <w:gridSpan w:val="3"/>
            <w:shd w:val="clear" w:color="auto" w:fill="auto"/>
            <w:vAlign w:val="bottom"/>
          </w:tcPr>
          <w:p w14:paraId="74DDD2F4" w14:textId="77777777" w:rsidR="00584EC1" w:rsidRDefault="00584EC1">
            <w:pPr>
              <w:rPr>
                <w:rFonts w:ascii="宋体"/>
                <w:vanish/>
              </w:rPr>
            </w:pPr>
          </w:p>
        </w:tc>
        <w:tc>
          <w:tcPr>
            <w:tcW w:w="0" w:type="auto"/>
            <w:gridSpan w:val="3"/>
            <w:shd w:val="clear" w:color="auto" w:fill="auto"/>
            <w:vAlign w:val="bottom"/>
          </w:tcPr>
          <w:p w14:paraId="74DDD2F5" w14:textId="77777777" w:rsidR="00584EC1" w:rsidRDefault="00584EC1">
            <w:pPr>
              <w:rPr>
                <w:rFonts w:ascii="宋体"/>
                <w:vanish/>
              </w:rPr>
            </w:pPr>
          </w:p>
        </w:tc>
        <w:tc>
          <w:tcPr>
            <w:tcW w:w="0" w:type="auto"/>
            <w:gridSpan w:val="3"/>
            <w:shd w:val="clear" w:color="auto" w:fill="auto"/>
            <w:vAlign w:val="bottom"/>
          </w:tcPr>
          <w:p w14:paraId="74DDD2F6" w14:textId="77777777" w:rsidR="00584EC1" w:rsidRDefault="00584EC1">
            <w:pPr>
              <w:rPr>
                <w:rFonts w:ascii="宋体"/>
                <w:vanish/>
              </w:rPr>
            </w:pPr>
          </w:p>
        </w:tc>
        <w:tc>
          <w:tcPr>
            <w:tcW w:w="0" w:type="auto"/>
            <w:gridSpan w:val="3"/>
            <w:shd w:val="clear" w:color="auto" w:fill="auto"/>
            <w:vAlign w:val="bottom"/>
          </w:tcPr>
          <w:p w14:paraId="74DDD2F7" w14:textId="77777777" w:rsidR="00584EC1" w:rsidRDefault="00584EC1">
            <w:pPr>
              <w:rPr>
                <w:rFonts w:ascii="宋体"/>
                <w:vanish/>
              </w:rPr>
            </w:pPr>
          </w:p>
        </w:tc>
        <w:tc>
          <w:tcPr>
            <w:tcW w:w="0" w:type="auto"/>
            <w:gridSpan w:val="3"/>
            <w:shd w:val="clear" w:color="auto" w:fill="auto"/>
            <w:vAlign w:val="bottom"/>
          </w:tcPr>
          <w:p w14:paraId="74DDD2F8" w14:textId="77777777" w:rsidR="00584EC1" w:rsidRDefault="00584EC1">
            <w:pPr>
              <w:rPr>
                <w:rFonts w:ascii="宋体"/>
                <w:vanish/>
              </w:rPr>
            </w:pPr>
          </w:p>
        </w:tc>
        <w:tc>
          <w:tcPr>
            <w:tcW w:w="0" w:type="auto"/>
            <w:gridSpan w:val="3"/>
            <w:shd w:val="clear" w:color="auto" w:fill="auto"/>
            <w:vAlign w:val="bottom"/>
          </w:tcPr>
          <w:p w14:paraId="74DDD2F9" w14:textId="77777777" w:rsidR="00584EC1" w:rsidRDefault="00584EC1">
            <w:pPr>
              <w:rPr>
                <w:rFonts w:ascii="宋体"/>
                <w:vanish/>
              </w:rPr>
            </w:pPr>
          </w:p>
        </w:tc>
        <w:tc>
          <w:tcPr>
            <w:tcW w:w="0" w:type="auto"/>
            <w:gridSpan w:val="3"/>
            <w:shd w:val="clear" w:color="auto" w:fill="auto"/>
            <w:vAlign w:val="bottom"/>
          </w:tcPr>
          <w:p w14:paraId="74DDD2FA" w14:textId="77777777" w:rsidR="00584EC1" w:rsidRDefault="00584EC1">
            <w:pPr>
              <w:rPr>
                <w:rFonts w:ascii="宋体"/>
                <w:vanish/>
              </w:rPr>
            </w:pPr>
          </w:p>
        </w:tc>
        <w:tc>
          <w:tcPr>
            <w:tcW w:w="0" w:type="auto"/>
            <w:gridSpan w:val="3"/>
            <w:shd w:val="clear" w:color="auto" w:fill="auto"/>
            <w:vAlign w:val="bottom"/>
          </w:tcPr>
          <w:p w14:paraId="74DDD2FB" w14:textId="77777777" w:rsidR="00584EC1" w:rsidRDefault="00584EC1">
            <w:pPr>
              <w:rPr>
                <w:rFonts w:ascii="宋体"/>
                <w:vanish/>
              </w:rPr>
            </w:pPr>
          </w:p>
        </w:tc>
        <w:tc>
          <w:tcPr>
            <w:tcW w:w="0" w:type="auto"/>
            <w:gridSpan w:val="3"/>
            <w:shd w:val="clear" w:color="auto" w:fill="auto"/>
            <w:vAlign w:val="bottom"/>
          </w:tcPr>
          <w:p w14:paraId="74DDD2FC" w14:textId="77777777" w:rsidR="00584EC1" w:rsidRDefault="00584EC1">
            <w:pPr>
              <w:rPr>
                <w:rFonts w:ascii="宋体"/>
                <w:vanish/>
              </w:rPr>
            </w:pPr>
          </w:p>
        </w:tc>
        <w:tc>
          <w:tcPr>
            <w:tcW w:w="0" w:type="auto"/>
            <w:gridSpan w:val="3"/>
            <w:shd w:val="clear" w:color="auto" w:fill="auto"/>
            <w:vAlign w:val="bottom"/>
          </w:tcPr>
          <w:p w14:paraId="74DDD2FD" w14:textId="77777777" w:rsidR="00584EC1" w:rsidRDefault="00584EC1">
            <w:pPr>
              <w:rPr>
                <w:rFonts w:ascii="宋体"/>
                <w:vanish/>
              </w:rPr>
            </w:pPr>
          </w:p>
        </w:tc>
        <w:tc>
          <w:tcPr>
            <w:tcW w:w="0" w:type="auto"/>
            <w:gridSpan w:val="3"/>
            <w:shd w:val="clear" w:color="auto" w:fill="auto"/>
            <w:vAlign w:val="bottom"/>
          </w:tcPr>
          <w:p w14:paraId="74DDD2FE" w14:textId="77777777" w:rsidR="00584EC1" w:rsidRDefault="00584EC1">
            <w:pPr>
              <w:rPr>
                <w:rFonts w:ascii="宋体"/>
                <w:vanish/>
              </w:rPr>
            </w:pPr>
          </w:p>
        </w:tc>
        <w:tc>
          <w:tcPr>
            <w:tcW w:w="0" w:type="auto"/>
            <w:gridSpan w:val="3"/>
            <w:shd w:val="clear" w:color="auto" w:fill="auto"/>
            <w:vAlign w:val="bottom"/>
          </w:tcPr>
          <w:p w14:paraId="74DDD2FF" w14:textId="77777777" w:rsidR="00584EC1" w:rsidRDefault="00584EC1">
            <w:pPr>
              <w:rPr>
                <w:rFonts w:ascii="宋体"/>
                <w:vanish/>
              </w:rPr>
            </w:pPr>
          </w:p>
        </w:tc>
        <w:tc>
          <w:tcPr>
            <w:tcW w:w="0" w:type="auto"/>
            <w:gridSpan w:val="3"/>
            <w:shd w:val="clear" w:color="auto" w:fill="auto"/>
            <w:vAlign w:val="bottom"/>
          </w:tcPr>
          <w:p w14:paraId="74DDD300" w14:textId="77777777" w:rsidR="00584EC1" w:rsidRDefault="00584EC1">
            <w:pPr>
              <w:rPr>
                <w:rFonts w:ascii="宋体"/>
                <w:vanish/>
              </w:rPr>
            </w:pPr>
          </w:p>
        </w:tc>
        <w:tc>
          <w:tcPr>
            <w:tcW w:w="0" w:type="auto"/>
            <w:gridSpan w:val="3"/>
            <w:shd w:val="clear" w:color="auto" w:fill="auto"/>
            <w:vAlign w:val="bottom"/>
          </w:tcPr>
          <w:p w14:paraId="74DDD301" w14:textId="77777777" w:rsidR="00584EC1" w:rsidRDefault="00584EC1">
            <w:pPr>
              <w:rPr>
                <w:rFonts w:ascii="宋体"/>
                <w:vanish/>
              </w:rPr>
            </w:pPr>
          </w:p>
        </w:tc>
        <w:tc>
          <w:tcPr>
            <w:tcW w:w="0" w:type="auto"/>
            <w:gridSpan w:val="3"/>
            <w:shd w:val="clear" w:color="auto" w:fill="auto"/>
            <w:vAlign w:val="bottom"/>
          </w:tcPr>
          <w:p w14:paraId="74DDD302" w14:textId="77777777" w:rsidR="00584EC1" w:rsidRDefault="00584EC1">
            <w:pPr>
              <w:rPr>
                <w:rFonts w:ascii="宋体"/>
                <w:vanish/>
              </w:rPr>
            </w:pPr>
          </w:p>
        </w:tc>
        <w:tc>
          <w:tcPr>
            <w:tcW w:w="0" w:type="auto"/>
            <w:gridSpan w:val="3"/>
            <w:shd w:val="clear" w:color="auto" w:fill="auto"/>
            <w:vAlign w:val="bottom"/>
          </w:tcPr>
          <w:p w14:paraId="74DDD303" w14:textId="77777777" w:rsidR="00584EC1" w:rsidRDefault="00584EC1">
            <w:pPr>
              <w:rPr>
                <w:rFonts w:ascii="宋体"/>
                <w:vanish/>
              </w:rPr>
            </w:pPr>
          </w:p>
        </w:tc>
      </w:tr>
      <w:tr w:rsidR="00584EC1" w14:paraId="74DDD31D" w14:textId="77777777">
        <w:tc>
          <w:tcPr>
            <w:tcW w:w="0" w:type="auto"/>
            <w:gridSpan w:val="3"/>
            <w:shd w:val="clear" w:color="auto" w:fill="FFFFFF"/>
            <w:tcMar>
              <w:top w:w="40" w:type="dxa"/>
              <w:left w:w="20" w:type="dxa"/>
              <w:bottom w:w="40" w:type="dxa"/>
              <w:right w:w="20" w:type="dxa"/>
            </w:tcMar>
            <w:vAlign w:val="bottom"/>
          </w:tcPr>
          <w:p w14:paraId="74DDD305" w14:textId="77777777" w:rsidR="00584EC1" w:rsidRDefault="00871F8D">
            <w:pPr>
              <w:textAlignment w:val="bottom"/>
            </w:pPr>
            <w:r>
              <w:rPr>
                <w:rFonts w:ascii="Arial" w:eastAsia="宋体" w:hAnsi="Arial" w:cs="Arial"/>
                <w:color w:val="000000"/>
                <w:sz w:val="15"/>
                <w:szCs w:val="15"/>
              </w:rPr>
              <w:t>Non-agency CMBS and RMBS</w:t>
            </w:r>
            <w:r>
              <w:rPr>
                <w:rFonts w:ascii="Arial" w:eastAsia="宋体" w:hAnsi="Arial" w:cs="Arial"/>
                <w:color w:val="000000"/>
                <w:sz w:val="9"/>
                <w:szCs w:val="9"/>
              </w:rPr>
              <w:t>(8)</w:t>
            </w:r>
          </w:p>
        </w:tc>
        <w:tc>
          <w:tcPr>
            <w:tcW w:w="0" w:type="auto"/>
            <w:gridSpan w:val="2"/>
            <w:shd w:val="clear" w:color="auto" w:fill="FFFFFF"/>
            <w:tcMar>
              <w:top w:w="40" w:type="dxa"/>
              <w:left w:w="20" w:type="dxa"/>
              <w:bottom w:w="40" w:type="dxa"/>
              <w:right w:w="0" w:type="dxa"/>
            </w:tcMar>
            <w:vAlign w:val="bottom"/>
          </w:tcPr>
          <w:p w14:paraId="74DDD306" w14:textId="77777777" w:rsidR="00584EC1" w:rsidRDefault="00871F8D">
            <w:pPr>
              <w:jc w:val="right"/>
              <w:textAlignment w:val="bottom"/>
            </w:pPr>
            <w:r>
              <w:rPr>
                <w:rFonts w:ascii="Arial" w:eastAsia="宋体" w:hAnsi="Arial" w:cs="Arial"/>
                <w:b/>
                <w:bCs/>
                <w:color w:val="000000"/>
                <w:sz w:val="15"/>
                <w:szCs w:val="15"/>
              </w:rPr>
              <w:t>380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D30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308"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309" w14:textId="77777777" w:rsidR="00584EC1" w:rsidRDefault="00871F8D">
            <w:pPr>
              <w:jc w:val="right"/>
              <w:textAlignment w:val="bottom"/>
            </w:pPr>
            <w:r>
              <w:rPr>
                <w:rFonts w:ascii="Arial" w:eastAsia="宋体" w:hAnsi="Arial" w:cs="Arial"/>
                <w:b/>
                <w:bCs/>
                <w:color w:val="000000"/>
                <w:sz w:val="15"/>
                <w:szCs w:val="15"/>
              </w:rPr>
              <w:t>31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D30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30B"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30C"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D30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30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30F" w14:textId="77777777" w:rsidR="00584EC1" w:rsidRDefault="00871F8D">
            <w:pPr>
              <w:jc w:val="right"/>
              <w:textAlignment w:val="bottom"/>
            </w:pPr>
            <w:r>
              <w:rPr>
                <w:rFonts w:ascii="Arial" w:eastAsia="宋体" w:hAnsi="Arial" w:cs="Arial"/>
                <w:b/>
                <w:bCs/>
                <w:color w:val="000000"/>
                <w:sz w:val="15"/>
                <w:szCs w:val="15"/>
              </w:rPr>
              <w:t>411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D31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31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312" w14:textId="77777777" w:rsidR="00584EC1" w:rsidRDefault="00871F8D">
            <w:pPr>
              <w:jc w:val="right"/>
              <w:textAlignment w:val="bottom"/>
            </w:pPr>
            <w:r>
              <w:rPr>
                <w:rFonts w:ascii="Arial" w:eastAsia="宋体" w:hAnsi="Arial" w:cs="Arial"/>
                <w:color w:val="000000"/>
                <w:sz w:val="15"/>
                <w:szCs w:val="15"/>
              </w:rPr>
              <w:t>554 </w:t>
            </w:r>
          </w:p>
        </w:tc>
        <w:tc>
          <w:tcPr>
            <w:tcW w:w="0" w:type="auto"/>
            <w:shd w:val="clear" w:color="auto" w:fill="FFFFFF"/>
            <w:tcMar>
              <w:top w:w="40" w:type="dxa"/>
              <w:left w:w="0" w:type="dxa"/>
              <w:bottom w:w="40" w:type="dxa"/>
              <w:right w:w="20" w:type="dxa"/>
            </w:tcMar>
            <w:vAlign w:val="bottom"/>
          </w:tcPr>
          <w:p w14:paraId="74DDD31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31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315" w14:textId="77777777" w:rsidR="00584EC1" w:rsidRDefault="00871F8D">
            <w:pPr>
              <w:jc w:val="right"/>
              <w:textAlignment w:val="bottom"/>
            </w:pPr>
            <w:r>
              <w:rPr>
                <w:rFonts w:ascii="Arial" w:eastAsia="宋体" w:hAnsi="Arial" w:cs="Arial"/>
                <w:color w:val="000000"/>
                <w:sz w:val="15"/>
                <w:szCs w:val="15"/>
              </w:rPr>
              <w:t>30 </w:t>
            </w:r>
          </w:p>
        </w:tc>
        <w:tc>
          <w:tcPr>
            <w:tcW w:w="0" w:type="auto"/>
            <w:shd w:val="clear" w:color="auto" w:fill="FFFFFF"/>
            <w:tcMar>
              <w:top w:w="40" w:type="dxa"/>
              <w:left w:w="0" w:type="dxa"/>
              <w:bottom w:w="40" w:type="dxa"/>
              <w:right w:w="20" w:type="dxa"/>
            </w:tcMar>
            <w:vAlign w:val="bottom"/>
          </w:tcPr>
          <w:p w14:paraId="74DDD31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31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318" w14:textId="77777777" w:rsidR="00584EC1" w:rsidRDefault="00871F8D">
            <w:pPr>
              <w:jc w:val="right"/>
              <w:textAlignment w:val="bottom"/>
            </w:pPr>
            <w:r>
              <w:rPr>
                <w:rFonts w:ascii="Arial" w:eastAsia="宋体" w:hAnsi="Arial" w:cs="Arial"/>
                <w:color w:val="000000"/>
                <w:sz w:val="15"/>
                <w:szCs w:val="15"/>
              </w:rPr>
              <w:t>1 </w:t>
            </w:r>
          </w:p>
        </w:tc>
        <w:tc>
          <w:tcPr>
            <w:tcW w:w="0" w:type="auto"/>
            <w:shd w:val="clear" w:color="auto" w:fill="FFFFFF"/>
            <w:tcMar>
              <w:top w:w="40" w:type="dxa"/>
              <w:left w:w="0" w:type="dxa"/>
              <w:bottom w:w="40" w:type="dxa"/>
              <w:right w:w="20" w:type="dxa"/>
            </w:tcMar>
            <w:vAlign w:val="bottom"/>
          </w:tcPr>
          <w:p w14:paraId="74DDD31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31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31B" w14:textId="77777777" w:rsidR="00584EC1" w:rsidRDefault="00871F8D">
            <w:pPr>
              <w:jc w:val="right"/>
              <w:textAlignment w:val="bottom"/>
            </w:pPr>
            <w:r>
              <w:rPr>
                <w:rFonts w:ascii="Arial" w:eastAsia="宋体" w:hAnsi="Arial" w:cs="Arial"/>
                <w:color w:val="000000"/>
                <w:sz w:val="15"/>
                <w:szCs w:val="15"/>
              </w:rPr>
              <w:t>583 </w:t>
            </w:r>
          </w:p>
        </w:tc>
        <w:tc>
          <w:tcPr>
            <w:tcW w:w="0" w:type="auto"/>
            <w:shd w:val="clear" w:color="auto" w:fill="FFFFFF"/>
            <w:tcMar>
              <w:top w:w="40" w:type="dxa"/>
              <w:left w:w="0" w:type="dxa"/>
              <w:bottom w:w="40" w:type="dxa"/>
              <w:right w:w="20" w:type="dxa"/>
            </w:tcMar>
            <w:vAlign w:val="bottom"/>
          </w:tcPr>
          <w:p w14:paraId="74DDD31C" w14:textId="77777777" w:rsidR="00584EC1" w:rsidRDefault="00584EC1">
            <w:pPr>
              <w:jc w:val="right"/>
              <w:rPr>
                <w:rFonts w:ascii="宋体"/>
              </w:rPr>
            </w:pPr>
          </w:p>
        </w:tc>
      </w:tr>
      <w:tr w:rsidR="00584EC1" w14:paraId="74DDD32E" w14:textId="77777777">
        <w:trPr>
          <w:hidden/>
        </w:trPr>
        <w:tc>
          <w:tcPr>
            <w:tcW w:w="0" w:type="auto"/>
            <w:gridSpan w:val="3"/>
            <w:shd w:val="clear" w:color="auto" w:fill="auto"/>
            <w:vAlign w:val="bottom"/>
          </w:tcPr>
          <w:p w14:paraId="74DDD31E" w14:textId="77777777" w:rsidR="00584EC1" w:rsidRDefault="00584EC1">
            <w:pPr>
              <w:rPr>
                <w:rFonts w:ascii="宋体"/>
                <w:vanish/>
              </w:rPr>
            </w:pPr>
          </w:p>
        </w:tc>
        <w:tc>
          <w:tcPr>
            <w:tcW w:w="0" w:type="auto"/>
            <w:gridSpan w:val="3"/>
            <w:shd w:val="clear" w:color="auto" w:fill="auto"/>
            <w:vAlign w:val="bottom"/>
          </w:tcPr>
          <w:p w14:paraId="74DDD31F" w14:textId="77777777" w:rsidR="00584EC1" w:rsidRDefault="00584EC1">
            <w:pPr>
              <w:rPr>
                <w:rFonts w:ascii="宋体"/>
                <w:vanish/>
              </w:rPr>
            </w:pPr>
          </w:p>
        </w:tc>
        <w:tc>
          <w:tcPr>
            <w:tcW w:w="0" w:type="auto"/>
            <w:gridSpan w:val="3"/>
            <w:shd w:val="clear" w:color="auto" w:fill="auto"/>
            <w:vAlign w:val="bottom"/>
          </w:tcPr>
          <w:p w14:paraId="74DDD320" w14:textId="77777777" w:rsidR="00584EC1" w:rsidRDefault="00584EC1">
            <w:pPr>
              <w:rPr>
                <w:rFonts w:ascii="宋体"/>
                <w:vanish/>
              </w:rPr>
            </w:pPr>
          </w:p>
        </w:tc>
        <w:tc>
          <w:tcPr>
            <w:tcW w:w="0" w:type="auto"/>
            <w:gridSpan w:val="3"/>
            <w:shd w:val="clear" w:color="auto" w:fill="auto"/>
            <w:vAlign w:val="bottom"/>
          </w:tcPr>
          <w:p w14:paraId="74DDD321" w14:textId="77777777" w:rsidR="00584EC1" w:rsidRDefault="00584EC1">
            <w:pPr>
              <w:rPr>
                <w:rFonts w:ascii="宋体"/>
                <w:vanish/>
              </w:rPr>
            </w:pPr>
          </w:p>
        </w:tc>
        <w:tc>
          <w:tcPr>
            <w:tcW w:w="0" w:type="auto"/>
            <w:gridSpan w:val="3"/>
            <w:shd w:val="clear" w:color="auto" w:fill="auto"/>
            <w:vAlign w:val="bottom"/>
          </w:tcPr>
          <w:p w14:paraId="74DDD322" w14:textId="77777777" w:rsidR="00584EC1" w:rsidRDefault="00584EC1">
            <w:pPr>
              <w:rPr>
                <w:rFonts w:ascii="宋体"/>
                <w:vanish/>
              </w:rPr>
            </w:pPr>
          </w:p>
        </w:tc>
        <w:tc>
          <w:tcPr>
            <w:tcW w:w="0" w:type="auto"/>
            <w:gridSpan w:val="3"/>
            <w:shd w:val="clear" w:color="auto" w:fill="auto"/>
            <w:vAlign w:val="bottom"/>
          </w:tcPr>
          <w:p w14:paraId="74DDD323" w14:textId="77777777" w:rsidR="00584EC1" w:rsidRDefault="00584EC1">
            <w:pPr>
              <w:rPr>
                <w:rFonts w:ascii="宋体"/>
                <w:vanish/>
              </w:rPr>
            </w:pPr>
          </w:p>
        </w:tc>
        <w:tc>
          <w:tcPr>
            <w:tcW w:w="0" w:type="auto"/>
            <w:gridSpan w:val="3"/>
            <w:shd w:val="clear" w:color="auto" w:fill="auto"/>
            <w:vAlign w:val="bottom"/>
          </w:tcPr>
          <w:p w14:paraId="74DDD324" w14:textId="77777777" w:rsidR="00584EC1" w:rsidRDefault="00584EC1">
            <w:pPr>
              <w:rPr>
                <w:rFonts w:ascii="宋体"/>
                <w:vanish/>
              </w:rPr>
            </w:pPr>
          </w:p>
        </w:tc>
        <w:tc>
          <w:tcPr>
            <w:tcW w:w="0" w:type="auto"/>
            <w:gridSpan w:val="3"/>
            <w:shd w:val="clear" w:color="auto" w:fill="auto"/>
            <w:vAlign w:val="bottom"/>
          </w:tcPr>
          <w:p w14:paraId="74DDD325" w14:textId="77777777" w:rsidR="00584EC1" w:rsidRDefault="00584EC1">
            <w:pPr>
              <w:rPr>
                <w:rFonts w:ascii="宋体"/>
                <w:vanish/>
              </w:rPr>
            </w:pPr>
          </w:p>
        </w:tc>
        <w:tc>
          <w:tcPr>
            <w:tcW w:w="0" w:type="auto"/>
            <w:gridSpan w:val="3"/>
            <w:shd w:val="clear" w:color="auto" w:fill="auto"/>
            <w:vAlign w:val="bottom"/>
          </w:tcPr>
          <w:p w14:paraId="74DDD326" w14:textId="77777777" w:rsidR="00584EC1" w:rsidRDefault="00584EC1">
            <w:pPr>
              <w:rPr>
                <w:rFonts w:ascii="宋体"/>
                <w:vanish/>
              </w:rPr>
            </w:pPr>
          </w:p>
        </w:tc>
        <w:tc>
          <w:tcPr>
            <w:tcW w:w="0" w:type="auto"/>
            <w:gridSpan w:val="3"/>
            <w:shd w:val="clear" w:color="auto" w:fill="auto"/>
            <w:vAlign w:val="bottom"/>
          </w:tcPr>
          <w:p w14:paraId="74DDD327" w14:textId="77777777" w:rsidR="00584EC1" w:rsidRDefault="00584EC1">
            <w:pPr>
              <w:rPr>
                <w:rFonts w:ascii="宋体"/>
                <w:vanish/>
              </w:rPr>
            </w:pPr>
          </w:p>
        </w:tc>
        <w:tc>
          <w:tcPr>
            <w:tcW w:w="0" w:type="auto"/>
            <w:gridSpan w:val="3"/>
            <w:shd w:val="clear" w:color="auto" w:fill="auto"/>
            <w:vAlign w:val="bottom"/>
          </w:tcPr>
          <w:p w14:paraId="74DDD328" w14:textId="77777777" w:rsidR="00584EC1" w:rsidRDefault="00584EC1">
            <w:pPr>
              <w:rPr>
                <w:rFonts w:ascii="宋体"/>
                <w:vanish/>
              </w:rPr>
            </w:pPr>
          </w:p>
        </w:tc>
        <w:tc>
          <w:tcPr>
            <w:tcW w:w="0" w:type="auto"/>
            <w:gridSpan w:val="3"/>
            <w:shd w:val="clear" w:color="auto" w:fill="auto"/>
            <w:vAlign w:val="bottom"/>
          </w:tcPr>
          <w:p w14:paraId="74DDD329" w14:textId="77777777" w:rsidR="00584EC1" w:rsidRDefault="00584EC1">
            <w:pPr>
              <w:rPr>
                <w:rFonts w:ascii="宋体"/>
                <w:vanish/>
              </w:rPr>
            </w:pPr>
          </w:p>
        </w:tc>
        <w:tc>
          <w:tcPr>
            <w:tcW w:w="0" w:type="auto"/>
            <w:gridSpan w:val="3"/>
            <w:shd w:val="clear" w:color="auto" w:fill="auto"/>
            <w:vAlign w:val="bottom"/>
          </w:tcPr>
          <w:p w14:paraId="74DDD32A" w14:textId="77777777" w:rsidR="00584EC1" w:rsidRDefault="00584EC1">
            <w:pPr>
              <w:rPr>
                <w:rFonts w:ascii="宋体"/>
                <w:vanish/>
              </w:rPr>
            </w:pPr>
          </w:p>
        </w:tc>
        <w:tc>
          <w:tcPr>
            <w:tcW w:w="0" w:type="auto"/>
            <w:gridSpan w:val="3"/>
            <w:shd w:val="clear" w:color="auto" w:fill="auto"/>
            <w:vAlign w:val="bottom"/>
          </w:tcPr>
          <w:p w14:paraId="74DDD32B" w14:textId="77777777" w:rsidR="00584EC1" w:rsidRDefault="00584EC1">
            <w:pPr>
              <w:rPr>
                <w:rFonts w:ascii="宋体"/>
                <w:vanish/>
              </w:rPr>
            </w:pPr>
          </w:p>
        </w:tc>
        <w:tc>
          <w:tcPr>
            <w:tcW w:w="0" w:type="auto"/>
            <w:gridSpan w:val="3"/>
            <w:shd w:val="clear" w:color="auto" w:fill="auto"/>
            <w:vAlign w:val="bottom"/>
          </w:tcPr>
          <w:p w14:paraId="74DDD32C" w14:textId="77777777" w:rsidR="00584EC1" w:rsidRDefault="00584EC1">
            <w:pPr>
              <w:rPr>
                <w:rFonts w:ascii="宋体"/>
                <w:vanish/>
              </w:rPr>
            </w:pPr>
          </w:p>
        </w:tc>
        <w:tc>
          <w:tcPr>
            <w:tcW w:w="0" w:type="auto"/>
            <w:gridSpan w:val="3"/>
            <w:shd w:val="clear" w:color="auto" w:fill="auto"/>
            <w:vAlign w:val="bottom"/>
          </w:tcPr>
          <w:p w14:paraId="74DDD32D" w14:textId="77777777" w:rsidR="00584EC1" w:rsidRDefault="00584EC1">
            <w:pPr>
              <w:rPr>
                <w:rFonts w:ascii="宋体"/>
                <w:vanish/>
              </w:rPr>
            </w:pPr>
          </w:p>
        </w:tc>
      </w:tr>
      <w:tr w:rsidR="00584EC1" w14:paraId="74DDD347" w14:textId="77777777">
        <w:tc>
          <w:tcPr>
            <w:tcW w:w="0" w:type="auto"/>
            <w:gridSpan w:val="3"/>
            <w:shd w:val="clear" w:color="auto" w:fill="CCEEFF"/>
            <w:tcMar>
              <w:top w:w="40" w:type="dxa"/>
              <w:left w:w="380" w:type="dxa"/>
              <w:bottom w:w="40" w:type="dxa"/>
              <w:right w:w="20" w:type="dxa"/>
            </w:tcMar>
            <w:vAlign w:val="bottom"/>
          </w:tcPr>
          <w:p w14:paraId="74DDD32F" w14:textId="77777777" w:rsidR="00584EC1" w:rsidRDefault="00871F8D">
            <w:pPr>
              <w:textAlignment w:val="bottom"/>
            </w:pPr>
            <w:r>
              <w:rPr>
                <w:rFonts w:ascii="Arial" w:eastAsia="宋体" w:hAnsi="Arial" w:cs="Arial"/>
                <w:color w:val="000000"/>
                <w:sz w:val="15"/>
                <w:szCs w:val="15"/>
              </w:rPr>
              <w:t>Total asset-backed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330" w14:textId="77777777" w:rsidR="00584EC1" w:rsidRDefault="00871F8D">
            <w:pPr>
              <w:jc w:val="right"/>
              <w:textAlignment w:val="bottom"/>
            </w:pPr>
            <w:r>
              <w:rPr>
                <w:rFonts w:ascii="Arial" w:eastAsia="宋体" w:hAnsi="Arial" w:cs="Arial"/>
                <w:b/>
                <w:bCs/>
                <w:color w:val="000000"/>
                <w:sz w:val="15"/>
                <w:szCs w:val="15"/>
              </w:rPr>
              <w:t>5,397</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33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332"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333" w14:textId="77777777" w:rsidR="00584EC1" w:rsidRDefault="00871F8D">
            <w:pPr>
              <w:jc w:val="right"/>
              <w:textAlignment w:val="bottom"/>
            </w:pPr>
            <w:r>
              <w:rPr>
                <w:rFonts w:ascii="Arial" w:eastAsia="宋体" w:hAnsi="Arial" w:cs="Arial"/>
                <w:b/>
                <w:bCs/>
                <w:color w:val="000000"/>
                <w:sz w:val="15"/>
                <w:szCs w:val="15"/>
              </w:rPr>
              <w:t>95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33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335"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336" w14:textId="77777777" w:rsidR="00584EC1" w:rsidRDefault="00871F8D">
            <w:pPr>
              <w:jc w:val="right"/>
              <w:textAlignment w:val="bottom"/>
            </w:pPr>
            <w:r>
              <w:rPr>
                <w:rFonts w:ascii="Arial" w:eastAsia="宋体" w:hAnsi="Arial" w:cs="Arial"/>
                <w:b/>
                <w:bCs/>
                <w:color w:val="000000"/>
                <w:sz w:val="15"/>
                <w:szCs w:val="15"/>
              </w:rPr>
              <w:t>13</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33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338"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339" w14:textId="77777777" w:rsidR="00584EC1" w:rsidRDefault="00871F8D">
            <w:pPr>
              <w:jc w:val="right"/>
              <w:textAlignment w:val="bottom"/>
            </w:pPr>
            <w:r>
              <w:rPr>
                <w:rFonts w:ascii="Arial" w:eastAsia="宋体" w:hAnsi="Arial" w:cs="Arial"/>
                <w:b/>
                <w:bCs/>
                <w:color w:val="000000"/>
                <w:sz w:val="15"/>
                <w:szCs w:val="15"/>
              </w:rPr>
              <w:t>5,479</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33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33B"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33C" w14:textId="77777777" w:rsidR="00584EC1" w:rsidRDefault="00871F8D">
            <w:pPr>
              <w:jc w:val="right"/>
              <w:textAlignment w:val="bottom"/>
            </w:pPr>
            <w:r>
              <w:rPr>
                <w:rFonts w:ascii="Arial" w:eastAsia="宋体" w:hAnsi="Arial" w:cs="Arial"/>
                <w:color w:val="000000"/>
                <w:sz w:val="15"/>
                <w:szCs w:val="15"/>
              </w:rPr>
              <w:t>5,328 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33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33E"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33F" w14:textId="77777777" w:rsidR="00584EC1" w:rsidRDefault="00871F8D">
            <w:pPr>
              <w:jc w:val="right"/>
              <w:textAlignment w:val="bottom"/>
            </w:pPr>
            <w:r>
              <w:rPr>
                <w:rFonts w:ascii="Arial" w:eastAsia="宋体" w:hAnsi="Arial" w:cs="Arial"/>
                <w:color w:val="000000"/>
                <w:sz w:val="15"/>
                <w:szCs w:val="15"/>
              </w:rPr>
              <w:t>63 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34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341"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342" w14:textId="77777777" w:rsidR="00584EC1" w:rsidRDefault="00871F8D">
            <w:pPr>
              <w:jc w:val="right"/>
              <w:textAlignment w:val="bottom"/>
            </w:pPr>
            <w:r>
              <w:rPr>
                <w:rFonts w:ascii="Arial" w:eastAsia="宋体" w:hAnsi="Arial" w:cs="Arial"/>
                <w:color w:val="000000"/>
                <w:sz w:val="15"/>
                <w:szCs w:val="15"/>
              </w:rPr>
              <w:t>26 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34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344"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345" w14:textId="77777777" w:rsidR="00584EC1" w:rsidRDefault="00871F8D">
            <w:pPr>
              <w:jc w:val="right"/>
              <w:textAlignment w:val="bottom"/>
            </w:pPr>
            <w:r>
              <w:rPr>
                <w:rFonts w:ascii="Arial" w:eastAsia="宋体" w:hAnsi="Arial" w:cs="Arial"/>
                <w:color w:val="000000"/>
                <w:sz w:val="15"/>
                <w:szCs w:val="15"/>
              </w:rPr>
              <w:t>5,365 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346" w14:textId="77777777" w:rsidR="00584EC1" w:rsidRDefault="00584EC1">
            <w:pPr>
              <w:jc w:val="right"/>
              <w:rPr>
                <w:rFonts w:ascii="宋体"/>
              </w:rPr>
            </w:pPr>
          </w:p>
        </w:tc>
      </w:tr>
      <w:tr w:rsidR="00584EC1" w14:paraId="74DDD358" w14:textId="77777777">
        <w:trPr>
          <w:hidden/>
        </w:trPr>
        <w:tc>
          <w:tcPr>
            <w:tcW w:w="0" w:type="auto"/>
            <w:gridSpan w:val="3"/>
            <w:shd w:val="clear" w:color="auto" w:fill="auto"/>
            <w:vAlign w:val="bottom"/>
          </w:tcPr>
          <w:p w14:paraId="74DDD348" w14:textId="77777777" w:rsidR="00584EC1" w:rsidRDefault="00584EC1">
            <w:pPr>
              <w:rPr>
                <w:rFonts w:ascii="宋体"/>
                <w:vanish/>
              </w:rPr>
            </w:pPr>
          </w:p>
        </w:tc>
        <w:tc>
          <w:tcPr>
            <w:tcW w:w="0" w:type="auto"/>
            <w:gridSpan w:val="3"/>
            <w:shd w:val="clear" w:color="auto" w:fill="auto"/>
            <w:vAlign w:val="bottom"/>
          </w:tcPr>
          <w:p w14:paraId="74DDD349" w14:textId="77777777" w:rsidR="00584EC1" w:rsidRDefault="00584EC1">
            <w:pPr>
              <w:rPr>
                <w:rFonts w:ascii="宋体"/>
                <w:vanish/>
              </w:rPr>
            </w:pPr>
          </w:p>
        </w:tc>
        <w:tc>
          <w:tcPr>
            <w:tcW w:w="0" w:type="auto"/>
            <w:gridSpan w:val="3"/>
            <w:shd w:val="clear" w:color="auto" w:fill="auto"/>
            <w:vAlign w:val="bottom"/>
          </w:tcPr>
          <w:p w14:paraId="74DDD34A" w14:textId="77777777" w:rsidR="00584EC1" w:rsidRDefault="00584EC1">
            <w:pPr>
              <w:rPr>
                <w:rFonts w:ascii="宋体"/>
                <w:vanish/>
              </w:rPr>
            </w:pPr>
          </w:p>
        </w:tc>
        <w:tc>
          <w:tcPr>
            <w:tcW w:w="0" w:type="auto"/>
            <w:gridSpan w:val="3"/>
            <w:shd w:val="clear" w:color="auto" w:fill="auto"/>
            <w:vAlign w:val="bottom"/>
          </w:tcPr>
          <w:p w14:paraId="74DDD34B" w14:textId="77777777" w:rsidR="00584EC1" w:rsidRDefault="00584EC1">
            <w:pPr>
              <w:rPr>
                <w:rFonts w:ascii="宋体"/>
                <w:vanish/>
              </w:rPr>
            </w:pPr>
          </w:p>
        </w:tc>
        <w:tc>
          <w:tcPr>
            <w:tcW w:w="0" w:type="auto"/>
            <w:gridSpan w:val="3"/>
            <w:shd w:val="clear" w:color="auto" w:fill="auto"/>
            <w:vAlign w:val="bottom"/>
          </w:tcPr>
          <w:p w14:paraId="74DDD34C" w14:textId="77777777" w:rsidR="00584EC1" w:rsidRDefault="00584EC1">
            <w:pPr>
              <w:rPr>
                <w:rFonts w:ascii="宋体"/>
                <w:vanish/>
              </w:rPr>
            </w:pPr>
          </w:p>
        </w:tc>
        <w:tc>
          <w:tcPr>
            <w:tcW w:w="0" w:type="auto"/>
            <w:gridSpan w:val="3"/>
            <w:shd w:val="clear" w:color="auto" w:fill="auto"/>
            <w:vAlign w:val="bottom"/>
          </w:tcPr>
          <w:p w14:paraId="74DDD34D" w14:textId="77777777" w:rsidR="00584EC1" w:rsidRDefault="00584EC1">
            <w:pPr>
              <w:rPr>
                <w:rFonts w:ascii="宋体"/>
                <w:vanish/>
              </w:rPr>
            </w:pPr>
          </w:p>
        </w:tc>
        <w:tc>
          <w:tcPr>
            <w:tcW w:w="0" w:type="auto"/>
            <w:gridSpan w:val="3"/>
            <w:shd w:val="clear" w:color="auto" w:fill="auto"/>
            <w:vAlign w:val="bottom"/>
          </w:tcPr>
          <w:p w14:paraId="74DDD34E" w14:textId="77777777" w:rsidR="00584EC1" w:rsidRDefault="00584EC1">
            <w:pPr>
              <w:rPr>
                <w:rFonts w:ascii="宋体"/>
                <w:vanish/>
              </w:rPr>
            </w:pPr>
          </w:p>
        </w:tc>
        <w:tc>
          <w:tcPr>
            <w:tcW w:w="0" w:type="auto"/>
            <w:gridSpan w:val="3"/>
            <w:shd w:val="clear" w:color="auto" w:fill="auto"/>
            <w:vAlign w:val="bottom"/>
          </w:tcPr>
          <w:p w14:paraId="74DDD34F" w14:textId="77777777" w:rsidR="00584EC1" w:rsidRDefault="00584EC1">
            <w:pPr>
              <w:rPr>
                <w:rFonts w:ascii="宋体"/>
                <w:vanish/>
              </w:rPr>
            </w:pPr>
          </w:p>
        </w:tc>
        <w:tc>
          <w:tcPr>
            <w:tcW w:w="0" w:type="auto"/>
            <w:gridSpan w:val="3"/>
            <w:shd w:val="clear" w:color="auto" w:fill="auto"/>
            <w:vAlign w:val="bottom"/>
          </w:tcPr>
          <w:p w14:paraId="74DDD350" w14:textId="77777777" w:rsidR="00584EC1" w:rsidRDefault="00584EC1">
            <w:pPr>
              <w:rPr>
                <w:rFonts w:ascii="宋体"/>
                <w:vanish/>
              </w:rPr>
            </w:pPr>
          </w:p>
        </w:tc>
        <w:tc>
          <w:tcPr>
            <w:tcW w:w="0" w:type="auto"/>
            <w:gridSpan w:val="3"/>
            <w:shd w:val="clear" w:color="auto" w:fill="auto"/>
            <w:vAlign w:val="bottom"/>
          </w:tcPr>
          <w:p w14:paraId="74DDD351" w14:textId="77777777" w:rsidR="00584EC1" w:rsidRDefault="00584EC1">
            <w:pPr>
              <w:rPr>
                <w:rFonts w:ascii="宋体"/>
                <w:vanish/>
              </w:rPr>
            </w:pPr>
          </w:p>
        </w:tc>
        <w:tc>
          <w:tcPr>
            <w:tcW w:w="0" w:type="auto"/>
            <w:gridSpan w:val="3"/>
            <w:shd w:val="clear" w:color="auto" w:fill="auto"/>
            <w:vAlign w:val="bottom"/>
          </w:tcPr>
          <w:p w14:paraId="74DDD352" w14:textId="77777777" w:rsidR="00584EC1" w:rsidRDefault="00584EC1">
            <w:pPr>
              <w:rPr>
                <w:rFonts w:ascii="宋体"/>
                <w:vanish/>
              </w:rPr>
            </w:pPr>
          </w:p>
        </w:tc>
        <w:tc>
          <w:tcPr>
            <w:tcW w:w="0" w:type="auto"/>
            <w:gridSpan w:val="3"/>
            <w:shd w:val="clear" w:color="auto" w:fill="auto"/>
            <w:vAlign w:val="bottom"/>
          </w:tcPr>
          <w:p w14:paraId="74DDD353" w14:textId="77777777" w:rsidR="00584EC1" w:rsidRDefault="00584EC1">
            <w:pPr>
              <w:rPr>
                <w:rFonts w:ascii="宋体"/>
                <w:vanish/>
              </w:rPr>
            </w:pPr>
          </w:p>
        </w:tc>
        <w:tc>
          <w:tcPr>
            <w:tcW w:w="0" w:type="auto"/>
            <w:gridSpan w:val="3"/>
            <w:shd w:val="clear" w:color="auto" w:fill="auto"/>
            <w:vAlign w:val="bottom"/>
          </w:tcPr>
          <w:p w14:paraId="74DDD354" w14:textId="77777777" w:rsidR="00584EC1" w:rsidRDefault="00584EC1">
            <w:pPr>
              <w:rPr>
                <w:rFonts w:ascii="宋体"/>
                <w:vanish/>
              </w:rPr>
            </w:pPr>
          </w:p>
        </w:tc>
        <w:tc>
          <w:tcPr>
            <w:tcW w:w="0" w:type="auto"/>
            <w:gridSpan w:val="3"/>
            <w:shd w:val="clear" w:color="auto" w:fill="auto"/>
            <w:vAlign w:val="bottom"/>
          </w:tcPr>
          <w:p w14:paraId="74DDD355" w14:textId="77777777" w:rsidR="00584EC1" w:rsidRDefault="00584EC1">
            <w:pPr>
              <w:rPr>
                <w:rFonts w:ascii="宋体"/>
                <w:vanish/>
              </w:rPr>
            </w:pPr>
          </w:p>
        </w:tc>
        <w:tc>
          <w:tcPr>
            <w:tcW w:w="0" w:type="auto"/>
            <w:gridSpan w:val="3"/>
            <w:shd w:val="clear" w:color="auto" w:fill="auto"/>
            <w:vAlign w:val="bottom"/>
          </w:tcPr>
          <w:p w14:paraId="74DDD356" w14:textId="77777777" w:rsidR="00584EC1" w:rsidRDefault="00584EC1">
            <w:pPr>
              <w:rPr>
                <w:rFonts w:ascii="宋体"/>
                <w:vanish/>
              </w:rPr>
            </w:pPr>
          </w:p>
        </w:tc>
        <w:tc>
          <w:tcPr>
            <w:tcW w:w="0" w:type="auto"/>
            <w:gridSpan w:val="3"/>
            <w:shd w:val="clear" w:color="auto" w:fill="auto"/>
            <w:vAlign w:val="bottom"/>
          </w:tcPr>
          <w:p w14:paraId="74DDD357" w14:textId="77777777" w:rsidR="00584EC1" w:rsidRDefault="00584EC1">
            <w:pPr>
              <w:rPr>
                <w:rFonts w:ascii="宋体"/>
                <w:vanish/>
              </w:rPr>
            </w:pPr>
          </w:p>
        </w:tc>
      </w:tr>
      <w:tr w:rsidR="00584EC1" w14:paraId="74DDD369" w14:textId="77777777">
        <w:trPr>
          <w:hidden/>
        </w:trPr>
        <w:tc>
          <w:tcPr>
            <w:tcW w:w="0" w:type="auto"/>
            <w:gridSpan w:val="3"/>
            <w:shd w:val="clear" w:color="auto" w:fill="auto"/>
            <w:vAlign w:val="bottom"/>
          </w:tcPr>
          <w:p w14:paraId="74DDD359" w14:textId="77777777" w:rsidR="00584EC1" w:rsidRDefault="00584EC1">
            <w:pPr>
              <w:rPr>
                <w:rFonts w:ascii="宋体"/>
                <w:vanish/>
              </w:rPr>
            </w:pPr>
          </w:p>
        </w:tc>
        <w:tc>
          <w:tcPr>
            <w:tcW w:w="0" w:type="auto"/>
            <w:gridSpan w:val="3"/>
            <w:shd w:val="clear" w:color="auto" w:fill="auto"/>
            <w:vAlign w:val="bottom"/>
          </w:tcPr>
          <w:p w14:paraId="74DDD35A" w14:textId="77777777" w:rsidR="00584EC1" w:rsidRDefault="00584EC1">
            <w:pPr>
              <w:rPr>
                <w:rFonts w:ascii="宋体"/>
                <w:vanish/>
              </w:rPr>
            </w:pPr>
          </w:p>
        </w:tc>
        <w:tc>
          <w:tcPr>
            <w:tcW w:w="0" w:type="auto"/>
            <w:gridSpan w:val="3"/>
            <w:shd w:val="clear" w:color="auto" w:fill="auto"/>
            <w:vAlign w:val="bottom"/>
          </w:tcPr>
          <w:p w14:paraId="74DDD35B" w14:textId="77777777" w:rsidR="00584EC1" w:rsidRDefault="00584EC1">
            <w:pPr>
              <w:rPr>
                <w:rFonts w:ascii="宋体"/>
                <w:vanish/>
              </w:rPr>
            </w:pPr>
          </w:p>
        </w:tc>
        <w:tc>
          <w:tcPr>
            <w:tcW w:w="0" w:type="auto"/>
            <w:gridSpan w:val="3"/>
            <w:shd w:val="clear" w:color="auto" w:fill="auto"/>
            <w:vAlign w:val="bottom"/>
          </w:tcPr>
          <w:p w14:paraId="74DDD35C" w14:textId="77777777" w:rsidR="00584EC1" w:rsidRDefault="00584EC1">
            <w:pPr>
              <w:rPr>
                <w:rFonts w:ascii="宋体"/>
                <w:vanish/>
              </w:rPr>
            </w:pPr>
          </w:p>
        </w:tc>
        <w:tc>
          <w:tcPr>
            <w:tcW w:w="0" w:type="auto"/>
            <w:gridSpan w:val="3"/>
            <w:shd w:val="clear" w:color="auto" w:fill="auto"/>
            <w:vAlign w:val="bottom"/>
          </w:tcPr>
          <w:p w14:paraId="74DDD35D" w14:textId="77777777" w:rsidR="00584EC1" w:rsidRDefault="00584EC1">
            <w:pPr>
              <w:rPr>
                <w:rFonts w:ascii="宋体"/>
                <w:vanish/>
              </w:rPr>
            </w:pPr>
          </w:p>
        </w:tc>
        <w:tc>
          <w:tcPr>
            <w:tcW w:w="0" w:type="auto"/>
            <w:gridSpan w:val="3"/>
            <w:shd w:val="clear" w:color="auto" w:fill="auto"/>
            <w:vAlign w:val="bottom"/>
          </w:tcPr>
          <w:p w14:paraId="74DDD35E" w14:textId="77777777" w:rsidR="00584EC1" w:rsidRDefault="00584EC1">
            <w:pPr>
              <w:rPr>
                <w:rFonts w:ascii="宋体"/>
                <w:vanish/>
              </w:rPr>
            </w:pPr>
          </w:p>
        </w:tc>
        <w:tc>
          <w:tcPr>
            <w:tcW w:w="0" w:type="auto"/>
            <w:gridSpan w:val="3"/>
            <w:shd w:val="clear" w:color="auto" w:fill="auto"/>
            <w:vAlign w:val="bottom"/>
          </w:tcPr>
          <w:p w14:paraId="74DDD35F" w14:textId="77777777" w:rsidR="00584EC1" w:rsidRDefault="00584EC1">
            <w:pPr>
              <w:rPr>
                <w:rFonts w:ascii="宋体"/>
                <w:vanish/>
              </w:rPr>
            </w:pPr>
          </w:p>
        </w:tc>
        <w:tc>
          <w:tcPr>
            <w:tcW w:w="0" w:type="auto"/>
            <w:gridSpan w:val="3"/>
            <w:shd w:val="clear" w:color="auto" w:fill="auto"/>
            <w:vAlign w:val="bottom"/>
          </w:tcPr>
          <w:p w14:paraId="74DDD360" w14:textId="77777777" w:rsidR="00584EC1" w:rsidRDefault="00584EC1">
            <w:pPr>
              <w:rPr>
                <w:rFonts w:ascii="宋体"/>
                <w:vanish/>
              </w:rPr>
            </w:pPr>
          </w:p>
        </w:tc>
        <w:tc>
          <w:tcPr>
            <w:tcW w:w="0" w:type="auto"/>
            <w:gridSpan w:val="3"/>
            <w:shd w:val="clear" w:color="auto" w:fill="auto"/>
            <w:vAlign w:val="bottom"/>
          </w:tcPr>
          <w:p w14:paraId="74DDD361" w14:textId="77777777" w:rsidR="00584EC1" w:rsidRDefault="00584EC1">
            <w:pPr>
              <w:rPr>
                <w:rFonts w:ascii="宋体"/>
                <w:vanish/>
              </w:rPr>
            </w:pPr>
          </w:p>
        </w:tc>
        <w:tc>
          <w:tcPr>
            <w:tcW w:w="0" w:type="auto"/>
            <w:gridSpan w:val="3"/>
            <w:shd w:val="clear" w:color="auto" w:fill="auto"/>
            <w:vAlign w:val="bottom"/>
          </w:tcPr>
          <w:p w14:paraId="74DDD362" w14:textId="77777777" w:rsidR="00584EC1" w:rsidRDefault="00584EC1">
            <w:pPr>
              <w:rPr>
                <w:rFonts w:ascii="宋体"/>
                <w:vanish/>
              </w:rPr>
            </w:pPr>
          </w:p>
        </w:tc>
        <w:tc>
          <w:tcPr>
            <w:tcW w:w="0" w:type="auto"/>
            <w:gridSpan w:val="3"/>
            <w:shd w:val="clear" w:color="auto" w:fill="auto"/>
            <w:vAlign w:val="bottom"/>
          </w:tcPr>
          <w:p w14:paraId="74DDD363" w14:textId="77777777" w:rsidR="00584EC1" w:rsidRDefault="00584EC1">
            <w:pPr>
              <w:rPr>
                <w:rFonts w:ascii="宋体"/>
                <w:vanish/>
              </w:rPr>
            </w:pPr>
          </w:p>
        </w:tc>
        <w:tc>
          <w:tcPr>
            <w:tcW w:w="0" w:type="auto"/>
            <w:gridSpan w:val="3"/>
            <w:shd w:val="clear" w:color="auto" w:fill="auto"/>
            <w:vAlign w:val="bottom"/>
          </w:tcPr>
          <w:p w14:paraId="74DDD364" w14:textId="77777777" w:rsidR="00584EC1" w:rsidRDefault="00584EC1">
            <w:pPr>
              <w:rPr>
                <w:rFonts w:ascii="宋体"/>
                <w:vanish/>
              </w:rPr>
            </w:pPr>
          </w:p>
        </w:tc>
        <w:tc>
          <w:tcPr>
            <w:tcW w:w="0" w:type="auto"/>
            <w:gridSpan w:val="3"/>
            <w:shd w:val="clear" w:color="auto" w:fill="auto"/>
            <w:vAlign w:val="bottom"/>
          </w:tcPr>
          <w:p w14:paraId="74DDD365" w14:textId="77777777" w:rsidR="00584EC1" w:rsidRDefault="00584EC1">
            <w:pPr>
              <w:rPr>
                <w:rFonts w:ascii="宋体"/>
                <w:vanish/>
              </w:rPr>
            </w:pPr>
          </w:p>
        </w:tc>
        <w:tc>
          <w:tcPr>
            <w:tcW w:w="0" w:type="auto"/>
            <w:gridSpan w:val="3"/>
            <w:shd w:val="clear" w:color="auto" w:fill="auto"/>
            <w:vAlign w:val="bottom"/>
          </w:tcPr>
          <w:p w14:paraId="74DDD366" w14:textId="77777777" w:rsidR="00584EC1" w:rsidRDefault="00584EC1">
            <w:pPr>
              <w:rPr>
                <w:rFonts w:ascii="宋体"/>
                <w:vanish/>
              </w:rPr>
            </w:pPr>
          </w:p>
        </w:tc>
        <w:tc>
          <w:tcPr>
            <w:tcW w:w="0" w:type="auto"/>
            <w:gridSpan w:val="3"/>
            <w:shd w:val="clear" w:color="auto" w:fill="auto"/>
            <w:vAlign w:val="bottom"/>
          </w:tcPr>
          <w:p w14:paraId="74DDD367" w14:textId="77777777" w:rsidR="00584EC1" w:rsidRDefault="00584EC1">
            <w:pPr>
              <w:rPr>
                <w:rFonts w:ascii="宋体"/>
                <w:vanish/>
              </w:rPr>
            </w:pPr>
          </w:p>
        </w:tc>
        <w:tc>
          <w:tcPr>
            <w:tcW w:w="0" w:type="auto"/>
            <w:gridSpan w:val="3"/>
            <w:shd w:val="clear" w:color="auto" w:fill="auto"/>
            <w:vAlign w:val="bottom"/>
          </w:tcPr>
          <w:p w14:paraId="74DDD368" w14:textId="77777777" w:rsidR="00584EC1" w:rsidRDefault="00584EC1">
            <w:pPr>
              <w:rPr>
                <w:rFonts w:ascii="宋体"/>
                <w:vanish/>
              </w:rPr>
            </w:pPr>
          </w:p>
        </w:tc>
      </w:tr>
      <w:tr w:rsidR="00584EC1" w14:paraId="74DDD37A" w14:textId="77777777">
        <w:trPr>
          <w:hidden/>
        </w:trPr>
        <w:tc>
          <w:tcPr>
            <w:tcW w:w="0" w:type="auto"/>
            <w:gridSpan w:val="3"/>
            <w:shd w:val="clear" w:color="auto" w:fill="auto"/>
            <w:vAlign w:val="bottom"/>
          </w:tcPr>
          <w:p w14:paraId="74DDD36A" w14:textId="77777777" w:rsidR="00584EC1" w:rsidRDefault="00584EC1">
            <w:pPr>
              <w:rPr>
                <w:rFonts w:ascii="宋体"/>
                <w:vanish/>
              </w:rPr>
            </w:pPr>
          </w:p>
        </w:tc>
        <w:tc>
          <w:tcPr>
            <w:tcW w:w="0" w:type="auto"/>
            <w:gridSpan w:val="3"/>
            <w:shd w:val="clear" w:color="auto" w:fill="auto"/>
            <w:vAlign w:val="bottom"/>
          </w:tcPr>
          <w:p w14:paraId="74DDD36B" w14:textId="77777777" w:rsidR="00584EC1" w:rsidRDefault="00584EC1">
            <w:pPr>
              <w:rPr>
                <w:rFonts w:ascii="宋体"/>
                <w:vanish/>
              </w:rPr>
            </w:pPr>
          </w:p>
        </w:tc>
        <w:tc>
          <w:tcPr>
            <w:tcW w:w="0" w:type="auto"/>
            <w:gridSpan w:val="3"/>
            <w:shd w:val="clear" w:color="auto" w:fill="auto"/>
            <w:vAlign w:val="bottom"/>
          </w:tcPr>
          <w:p w14:paraId="74DDD36C" w14:textId="77777777" w:rsidR="00584EC1" w:rsidRDefault="00584EC1">
            <w:pPr>
              <w:rPr>
                <w:rFonts w:ascii="宋体"/>
                <w:vanish/>
              </w:rPr>
            </w:pPr>
          </w:p>
        </w:tc>
        <w:tc>
          <w:tcPr>
            <w:tcW w:w="0" w:type="auto"/>
            <w:gridSpan w:val="3"/>
            <w:shd w:val="clear" w:color="auto" w:fill="auto"/>
            <w:vAlign w:val="bottom"/>
          </w:tcPr>
          <w:p w14:paraId="74DDD36D" w14:textId="77777777" w:rsidR="00584EC1" w:rsidRDefault="00584EC1">
            <w:pPr>
              <w:rPr>
                <w:rFonts w:ascii="宋体"/>
                <w:vanish/>
              </w:rPr>
            </w:pPr>
          </w:p>
        </w:tc>
        <w:tc>
          <w:tcPr>
            <w:tcW w:w="0" w:type="auto"/>
            <w:gridSpan w:val="3"/>
            <w:shd w:val="clear" w:color="auto" w:fill="auto"/>
            <w:vAlign w:val="bottom"/>
          </w:tcPr>
          <w:p w14:paraId="74DDD36E" w14:textId="77777777" w:rsidR="00584EC1" w:rsidRDefault="00584EC1">
            <w:pPr>
              <w:rPr>
                <w:rFonts w:ascii="宋体"/>
                <w:vanish/>
              </w:rPr>
            </w:pPr>
          </w:p>
        </w:tc>
        <w:tc>
          <w:tcPr>
            <w:tcW w:w="0" w:type="auto"/>
            <w:gridSpan w:val="3"/>
            <w:shd w:val="clear" w:color="auto" w:fill="auto"/>
            <w:vAlign w:val="bottom"/>
          </w:tcPr>
          <w:p w14:paraId="74DDD36F" w14:textId="77777777" w:rsidR="00584EC1" w:rsidRDefault="00584EC1">
            <w:pPr>
              <w:rPr>
                <w:rFonts w:ascii="宋体"/>
                <w:vanish/>
              </w:rPr>
            </w:pPr>
          </w:p>
        </w:tc>
        <w:tc>
          <w:tcPr>
            <w:tcW w:w="0" w:type="auto"/>
            <w:gridSpan w:val="3"/>
            <w:shd w:val="clear" w:color="auto" w:fill="auto"/>
            <w:vAlign w:val="bottom"/>
          </w:tcPr>
          <w:p w14:paraId="74DDD370" w14:textId="77777777" w:rsidR="00584EC1" w:rsidRDefault="00584EC1">
            <w:pPr>
              <w:rPr>
                <w:rFonts w:ascii="宋体"/>
                <w:vanish/>
              </w:rPr>
            </w:pPr>
          </w:p>
        </w:tc>
        <w:tc>
          <w:tcPr>
            <w:tcW w:w="0" w:type="auto"/>
            <w:gridSpan w:val="3"/>
            <w:shd w:val="clear" w:color="auto" w:fill="auto"/>
            <w:vAlign w:val="bottom"/>
          </w:tcPr>
          <w:p w14:paraId="74DDD371" w14:textId="77777777" w:rsidR="00584EC1" w:rsidRDefault="00584EC1">
            <w:pPr>
              <w:rPr>
                <w:rFonts w:ascii="宋体"/>
                <w:vanish/>
              </w:rPr>
            </w:pPr>
          </w:p>
        </w:tc>
        <w:tc>
          <w:tcPr>
            <w:tcW w:w="0" w:type="auto"/>
            <w:gridSpan w:val="3"/>
            <w:shd w:val="clear" w:color="auto" w:fill="auto"/>
            <w:vAlign w:val="bottom"/>
          </w:tcPr>
          <w:p w14:paraId="74DDD372" w14:textId="77777777" w:rsidR="00584EC1" w:rsidRDefault="00584EC1">
            <w:pPr>
              <w:rPr>
                <w:rFonts w:ascii="宋体"/>
                <w:vanish/>
              </w:rPr>
            </w:pPr>
          </w:p>
        </w:tc>
        <w:tc>
          <w:tcPr>
            <w:tcW w:w="0" w:type="auto"/>
            <w:gridSpan w:val="3"/>
            <w:shd w:val="clear" w:color="auto" w:fill="auto"/>
            <w:vAlign w:val="bottom"/>
          </w:tcPr>
          <w:p w14:paraId="74DDD373" w14:textId="77777777" w:rsidR="00584EC1" w:rsidRDefault="00584EC1">
            <w:pPr>
              <w:rPr>
                <w:rFonts w:ascii="宋体"/>
                <w:vanish/>
              </w:rPr>
            </w:pPr>
          </w:p>
        </w:tc>
        <w:tc>
          <w:tcPr>
            <w:tcW w:w="0" w:type="auto"/>
            <w:gridSpan w:val="3"/>
            <w:shd w:val="clear" w:color="auto" w:fill="auto"/>
            <w:vAlign w:val="bottom"/>
          </w:tcPr>
          <w:p w14:paraId="74DDD374" w14:textId="77777777" w:rsidR="00584EC1" w:rsidRDefault="00584EC1">
            <w:pPr>
              <w:rPr>
                <w:rFonts w:ascii="宋体"/>
                <w:vanish/>
              </w:rPr>
            </w:pPr>
          </w:p>
        </w:tc>
        <w:tc>
          <w:tcPr>
            <w:tcW w:w="0" w:type="auto"/>
            <w:gridSpan w:val="3"/>
            <w:shd w:val="clear" w:color="auto" w:fill="auto"/>
            <w:vAlign w:val="bottom"/>
          </w:tcPr>
          <w:p w14:paraId="74DDD375" w14:textId="77777777" w:rsidR="00584EC1" w:rsidRDefault="00584EC1">
            <w:pPr>
              <w:rPr>
                <w:rFonts w:ascii="宋体"/>
                <w:vanish/>
              </w:rPr>
            </w:pPr>
          </w:p>
        </w:tc>
        <w:tc>
          <w:tcPr>
            <w:tcW w:w="0" w:type="auto"/>
            <w:gridSpan w:val="3"/>
            <w:shd w:val="clear" w:color="auto" w:fill="auto"/>
            <w:vAlign w:val="bottom"/>
          </w:tcPr>
          <w:p w14:paraId="74DDD376" w14:textId="77777777" w:rsidR="00584EC1" w:rsidRDefault="00584EC1">
            <w:pPr>
              <w:rPr>
                <w:rFonts w:ascii="宋体"/>
                <w:vanish/>
              </w:rPr>
            </w:pPr>
          </w:p>
        </w:tc>
        <w:tc>
          <w:tcPr>
            <w:tcW w:w="0" w:type="auto"/>
            <w:gridSpan w:val="3"/>
            <w:shd w:val="clear" w:color="auto" w:fill="auto"/>
            <w:vAlign w:val="bottom"/>
          </w:tcPr>
          <w:p w14:paraId="74DDD377" w14:textId="77777777" w:rsidR="00584EC1" w:rsidRDefault="00584EC1">
            <w:pPr>
              <w:rPr>
                <w:rFonts w:ascii="宋体"/>
                <w:vanish/>
              </w:rPr>
            </w:pPr>
          </w:p>
        </w:tc>
        <w:tc>
          <w:tcPr>
            <w:tcW w:w="0" w:type="auto"/>
            <w:gridSpan w:val="3"/>
            <w:shd w:val="clear" w:color="auto" w:fill="auto"/>
            <w:vAlign w:val="bottom"/>
          </w:tcPr>
          <w:p w14:paraId="74DDD378" w14:textId="77777777" w:rsidR="00584EC1" w:rsidRDefault="00584EC1">
            <w:pPr>
              <w:rPr>
                <w:rFonts w:ascii="宋体"/>
                <w:vanish/>
              </w:rPr>
            </w:pPr>
          </w:p>
        </w:tc>
        <w:tc>
          <w:tcPr>
            <w:tcW w:w="0" w:type="auto"/>
            <w:gridSpan w:val="3"/>
            <w:shd w:val="clear" w:color="auto" w:fill="auto"/>
            <w:vAlign w:val="bottom"/>
          </w:tcPr>
          <w:p w14:paraId="74DDD379" w14:textId="77777777" w:rsidR="00584EC1" w:rsidRDefault="00584EC1">
            <w:pPr>
              <w:rPr>
                <w:rFonts w:ascii="宋体"/>
                <w:vanish/>
              </w:rPr>
            </w:pPr>
          </w:p>
        </w:tc>
      </w:tr>
      <w:tr w:rsidR="00584EC1" w14:paraId="74DDD38B" w14:textId="77777777">
        <w:trPr>
          <w:hidden/>
        </w:trPr>
        <w:tc>
          <w:tcPr>
            <w:tcW w:w="0" w:type="auto"/>
            <w:gridSpan w:val="3"/>
            <w:shd w:val="clear" w:color="auto" w:fill="auto"/>
            <w:vAlign w:val="bottom"/>
          </w:tcPr>
          <w:p w14:paraId="74DDD37B" w14:textId="77777777" w:rsidR="00584EC1" w:rsidRDefault="00584EC1">
            <w:pPr>
              <w:rPr>
                <w:rFonts w:ascii="宋体"/>
                <w:vanish/>
              </w:rPr>
            </w:pPr>
          </w:p>
        </w:tc>
        <w:tc>
          <w:tcPr>
            <w:tcW w:w="0" w:type="auto"/>
            <w:gridSpan w:val="3"/>
            <w:shd w:val="clear" w:color="auto" w:fill="auto"/>
            <w:vAlign w:val="bottom"/>
          </w:tcPr>
          <w:p w14:paraId="74DDD37C" w14:textId="77777777" w:rsidR="00584EC1" w:rsidRDefault="00584EC1">
            <w:pPr>
              <w:rPr>
                <w:rFonts w:ascii="宋体"/>
                <w:vanish/>
              </w:rPr>
            </w:pPr>
          </w:p>
        </w:tc>
        <w:tc>
          <w:tcPr>
            <w:tcW w:w="0" w:type="auto"/>
            <w:gridSpan w:val="3"/>
            <w:shd w:val="clear" w:color="auto" w:fill="auto"/>
            <w:vAlign w:val="bottom"/>
          </w:tcPr>
          <w:p w14:paraId="74DDD37D" w14:textId="77777777" w:rsidR="00584EC1" w:rsidRDefault="00584EC1">
            <w:pPr>
              <w:rPr>
                <w:rFonts w:ascii="宋体"/>
                <w:vanish/>
              </w:rPr>
            </w:pPr>
          </w:p>
        </w:tc>
        <w:tc>
          <w:tcPr>
            <w:tcW w:w="0" w:type="auto"/>
            <w:gridSpan w:val="3"/>
            <w:shd w:val="clear" w:color="auto" w:fill="auto"/>
            <w:vAlign w:val="bottom"/>
          </w:tcPr>
          <w:p w14:paraId="74DDD37E" w14:textId="77777777" w:rsidR="00584EC1" w:rsidRDefault="00584EC1">
            <w:pPr>
              <w:rPr>
                <w:rFonts w:ascii="宋体"/>
                <w:vanish/>
              </w:rPr>
            </w:pPr>
          </w:p>
        </w:tc>
        <w:tc>
          <w:tcPr>
            <w:tcW w:w="0" w:type="auto"/>
            <w:gridSpan w:val="3"/>
            <w:shd w:val="clear" w:color="auto" w:fill="auto"/>
            <w:vAlign w:val="bottom"/>
          </w:tcPr>
          <w:p w14:paraId="74DDD37F" w14:textId="77777777" w:rsidR="00584EC1" w:rsidRDefault="00584EC1">
            <w:pPr>
              <w:rPr>
                <w:rFonts w:ascii="宋体"/>
                <w:vanish/>
              </w:rPr>
            </w:pPr>
          </w:p>
        </w:tc>
        <w:tc>
          <w:tcPr>
            <w:tcW w:w="0" w:type="auto"/>
            <w:gridSpan w:val="3"/>
            <w:shd w:val="clear" w:color="auto" w:fill="auto"/>
            <w:vAlign w:val="bottom"/>
          </w:tcPr>
          <w:p w14:paraId="74DDD380" w14:textId="77777777" w:rsidR="00584EC1" w:rsidRDefault="00584EC1">
            <w:pPr>
              <w:rPr>
                <w:rFonts w:ascii="宋体"/>
                <w:vanish/>
              </w:rPr>
            </w:pPr>
          </w:p>
        </w:tc>
        <w:tc>
          <w:tcPr>
            <w:tcW w:w="0" w:type="auto"/>
            <w:gridSpan w:val="3"/>
            <w:shd w:val="clear" w:color="auto" w:fill="auto"/>
            <w:vAlign w:val="bottom"/>
          </w:tcPr>
          <w:p w14:paraId="74DDD381" w14:textId="77777777" w:rsidR="00584EC1" w:rsidRDefault="00584EC1">
            <w:pPr>
              <w:rPr>
                <w:rFonts w:ascii="宋体"/>
                <w:vanish/>
              </w:rPr>
            </w:pPr>
          </w:p>
        </w:tc>
        <w:tc>
          <w:tcPr>
            <w:tcW w:w="0" w:type="auto"/>
            <w:gridSpan w:val="3"/>
            <w:shd w:val="clear" w:color="auto" w:fill="auto"/>
            <w:vAlign w:val="bottom"/>
          </w:tcPr>
          <w:p w14:paraId="74DDD382" w14:textId="77777777" w:rsidR="00584EC1" w:rsidRDefault="00584EC1">
            <w:pPr>
              <w:rPr>
                <w:rFonts w:ascii="宋体"/>
                <w:vanish/>
              </w:rPr>
            </w:pPr>
          </w:p>
        </w:tc>
        <w:tc>
          <w:tcPr>
            <w:tcW w:w="0" w:type="auto"/>
            <w:gridSpan w:val="3"/>
            <w:shd w:val="clear" w:color="auto" w:fill="auto"/>
            <w:vAlign w:val="bottom"/>
          </w:tcPr>
          <w:p w14:paraId="74DDD383" w14:textId="77777777" w:rsidR="00584EC1" w:rsidRDefault="00584EC1">
            <w:pPr>
              <w:rPr>
                <w:rFonts w:ascii="宋体"/>
                <w:vanish/>
              </w:rPr>
            </w:pPr>
          </w:p>
        </w:tc>
        <w:tc>
          <w:tcPr>
            <w:tcW w:w="0" w:type="auto"/>
            <w:gridSpan w:val="3"/>
            <w:shd w:val="clear" w:color="auto" w:fill="auto"/>
            <w:vAlign w:val="bottom"/>
          </w:tcPr>
          <w:p w14:paraId="74DDD384" w14:textId="77777777" w:rsidR="00584EC1" w:rsidRDefault="00584EC1">
            <w:pPr>
              <w:rPr>
                <w:rFonts w:ascii="宋体"/>
                <w:vanish/>
              </w:rPr>
            </w:pPr>
          </w:p>
        </w:tc>
        <w:tc>
          <w:tcPr>
            <w:tcW w:w="0" w:type="auto"/>
            <w:gridSpan w:val="3"/>
            <w:shd w:val="clear" w:color="auto" w:fill="auto"/>
            <w:vAlign w:val="bottom"/>
          </w:tcPr>
          <w:p w14:paraId="74DDD385" w14:textId="77777777" w:rsidR="00584EC1" w:rsidRDefault="00584EC1">
            <w:pPr>
              <w:rPr>
                <w:rFonts w:ascii="宋体"/>
                <w:vanish/>
              </w:rPr>
            </w:pPr>
          </w:p>
        </w:tc>
        <w:tc>
          <w:tcPr>
            <w:tcW w:w="0" w:type="auto"/>
            <w:gridSpan w:val="3"/>
            <w:shd w:val="clear" w:color="auto" w:fill="auto"/>
            <w:vAlign w:val="bottom"/>
          </w:tcPr>
          <w:p w14:paraId="74DDD386" w14:textId="77777777" w:rsidR="00584EC1" w:rsidRDefault="00584EC1">
            <w:pPr>
              <w:rPr>
                <w:rFonts w:ascii="宋体"/>
                <w:vanish/>
              </w:rPr>
            </w:pPr>
          </w:p>
        </w:tc>
        <w:tc>
          <w:tcPr>
            <w:tcW w:w="0" w:type="auto"/>
            <w:gridSpan w:val="3"/>
            <w:shd w:val="clear" w:color="auto" w:fill="auto"/>
            <w:vAlign w:val="bottom"/>
          </w:tcPr>
          <w:p w14:paraId="74DDD387" w14:textId="77777777" w:rsidR="00584EC1" w:rsidRDefault="00584EC1">
            <w:pPr>
              <w:rPr>
                <w:rFonts w:ascii="宋体"/>
                <w:vanish/>
              </w:rPr>
            </w:pPr>
          </w:p>
        </w:tc>
        <w:tc>
          <w:tcPr>
            <w:tcW w:w="0" w:type="auto"/>
            <w:gridSpan w:val="3"/>
            <w:shd w:val="clear" w:color="auto" w:fill="auto"/>
            <w:vAlign w:val="bottom"/>
          </w:tcPr>
          <w:p w14:paraId="74DDD388" w14:textId="77777777" w:rsidR="00584EC1" w:rsidRDefault="00584EC1">
            <w:pPr>
              <w:rPr>
                <w:rFonts w:ascii="宋体"/>
                <w:vanish/>
              </w:rPr>
            </w:pPr>
          </w:p>
        </w:tc>
        <w:tc>
          <w:tcPr>
            <w:tcW w:w="0" w:type="auto"/>
            <w:gridSpan w:val="3"/>
            <w:shd w:val="clear" w:color="auto" w:fill="auto"/>
            <w:vAlign w:val="bottom"/>
          </w:tcPr>
          <w:p w14:paraId="74DDD389" w14:textId="77777777" w:rsidR="00584EC1" w:rsidRDefault="00584EC1">
            <w:pPr>
              <w:rPr>
                <w:rFonts w:ascii="宋体"/>
                <w:vanish/>
              </w:rPr>
            </w:pPr>
          </w:p>
        </w:tc>
        <w:tc>
          <w:tcPr>
            <w:tcW w:w="0" w:type="auto"/>
            <w:gridSpan w:val="3"/>
            <w:shd w:val="clear" w:color="auto" w:fill="auto"/>
            <w:vAlign w:val="bottom"/>
          </w:tcPr>
          <w:p w14:paraId="74DDD38A" w14:textId="77777777" w:rsidR="00584EC1" w:rsidRDefault="00584EC1">
            <w:pPr>
              <w:rPr>
                <w:rFonts w:ascii="宋体"/>
                <w:vanish/>
              </w:rPr>
            </w:pPr>
          </w:p>
        </w:tc>
      </w:tr>
      <w:tr w:rsidR="00584EC1" w14:paraId="74DDD39C" w14:textId="77777777">
        <w:trPr>
          <w:hidden/>
        </w:trPr>
        <w:tc>
          <w:tcPr>
            <w:tcW w:w="0" w:type="auto"/>
            <w:gridSpan w:val="3"/>
            <w:shd w:val="clear" w:color="auto" w:fill="auto"/>
            <w:vAlign w:val="bottom"/>
          </w:tcPr>
          <w:p w14:paraId="74DDD38C" w14:textId="77777777" w:rsidR="00584EC1" w:rsidRDefault="00584EC1">
            <w:pPr>
              <w:rPr>
                <w:rFonts w:ascii="宋体"/>
                <w:vanish/>
              </w:rPr>
            </w:pPr>
          </w:p>
        </w:tc>
        <w:tc>
          <w:tcPr>
            <w:tcW w:w="0" w:type="auto"/>
            <w:gridSpan w:val="3"/>
            <w:shd w:val="clear" w:color="auto" w:fill="auto"/>
            <w:vAlign w:val="bottom"/>
          </w:tcPr>
          <w:p w14:paraId="74DDD38D" w14:textId="77777777" w:rsidR="00584EC1" w:rsidRDefault="00584EC1">
            <w:pPr>
              <w:rPr>
                <w:rFonts w:ascii="宋体"/>
                <w:vanish/>
              </w:rPr>
            </w:pPr>
          </w:p>
        </w:tc>
        <w:tc>
          <w:tcPr>
            <w:tcW w:w="0" w:type="auto"/>
            <w:gridSpan w:val="3"/>
            <w:shd w:val="clear" w:color="auto" w:fill="auto"/>
            <w:vAlign w:val="bottom"/>
          </w:tcPr>
          <w:p w14:paraId="74DDD38E" w14:textId="77777777" w:rsidR="00584EC1" w:rsidRDefault="00584EC1">
            <w:pPr>
              <w:rPr>
                <w:rFonts w:ascii="宋体"/>
                <w:vanish/>
              </w:rPr>
            </w:pPr>
          </w:p>
        </w:tc>
        <w:tc>
          <w:tcPr>
            <w:tcW w:w="0" w:type="auto"/>
            <w:gridSpan w:val="3"/>
            <w:shd w:val="clear" w:color="auto" w:fill="auto"/>
            <w:vAlign w:val="bottom"/>
          </w:tcPr>
          <w:p w14:paraId="74DDD38F" w14:textId="77777777" w:rsidR="00584EC1" w:rsidRDefault="00584EC1">
            <w:pPr>
              <w:rPr>
                <w:rFonts w:ascii="宋体"/>
                <w:vanish/>
              </w:rPr>
            </w:pPr>
          </w:p>
        </w:tc>
        <w:tc>
          <w:tcPr>
            <w:tcW w:w="0" w:type="auto"/>
            <w:gridSpan w:val="3"/>
            <w:shd w:val="clear" w:color="auto" w:fill="auto"/>
            <w:vAlign w:val="bottom"/>
          </w:tcPr>
          <w:p w14:paraId="74DDD390" w14:textId="77777777" w:rsidR="00584EC1" w:rsidRDefault="00584EC1">
            <w:pPr>
              <w:rPr>
                <w:rFonts w:ascii="宋体"/>
                <w:vanish/>
              </w:rPr>
            </w:pPr>
          </w:p>
        </w:tc>
        <w:tc>
          <w:tcPr>
            <w:tcW w:w="0" w:type="auto"/>
            <w:gridSpan w:val="3"/>
            <w:shd w:val="clear" w:color="auto" w:fill="auto"/>
            <w:vAlign w:val="bottom"/>
          </w:tcPr>
          <w:p w14:paraId="74DDD391" w14:textId="77777777" w:rsidR="00584EC1" w:rsidRDefault="00584EC1">
            <w:pPr>
              <w:rPr>
                <w:rFonts w:ascii="宋体"/>
                <w:vanish/>
              </w:rPr>
            </w:pPr>
          </w:p>
        </w:tc>
        <w:tc>
          <w:tcPr>
            <w:tcW w:w="0" w:type="auto"/>
            <w:gridSpan w:val="3"/>
            <w:shd w:val="clear" w:color="auto" w:fill="auto"/>
            <w:vAlign w:val="bottom"/>
          </w:tcPr>
          <w:p w14:paraId="74DDD392" w14:textId="77777777" w:rsidR="00584EC1" w:rsidRDefault="00584EC1">
            <w:pPr>
              <w:rPr>
                <w:rFonts w:ascii="宋体"/>
                <w:vanish/>
              </w:rPr>
            </w:pPr>
          </w:p>
        </w:tc>
        <w:tc>
          <w:tcPr>
            <w:tcW w:w="0" w:type="auto"/>
            <w:gridSpan w:val="3"/>
            <w:shd w:val="clear" w:color="auto" w:fill="auto"/>
            <w:vAlign w:val="bottom"/>
          </w:tcPr>
          <w:p w14:paraId="74DDD393" w14:textId="77777777" w:rsidR="00584EC1" w:rsidRDefault="00584EC1">
            <w:pPr>
              <w:rPr>
                <w:rFonts w:ascii="宋体"/>
                <w:vanish/>
              </w:rPr>
            </w:pPr>
          </w:p>
        </w:tc>
        <w:tc>
          <w:tcPr>
            <w:tcW w:w="0" w:type="auto"/>
            <w:gridSpan w:val="3"/>
            <w:shd w:val="clear" w:color="auto" w:fill="auto"/>
            <w:vAlign w:val="bottom"/>
          </w:tcPr>
          <w:p w14:paraId="74DDD394" w14:textId="77777777" w:rsidR="00584EC1" w:rsidRDefault="00584EC1">
            <w:pPr>
              <w:rPr>
                <w:rFonts w:ascii="宋体"/>
                <w:vanish/>
              </w:rPr>
            </w:pPr>
          </w:p>
        </w:tc>
        <w:tc>
          <w:tcPr>
            <w:tcW w:w="0" w:type="auto"/>
            <w:gridSpan w:val="3"/>
            <w:shd w:val="clear" w:color="auto" w:fill="auto"/>
            <w:vAlign w:val="bottom"/>
          </w:tcPr>
          <w:p w14:paraId="74DDD395" w14:textId="77777777" w:rsidR="00584EC1" w:rsidRDefault="00584EC1">
            <w:pPr>
              <w:rPr>
                <w:rFonts w:ascii="宋体"/>
                <w:vanish/>
              </w:rPr>
            </w:pPr>
          </w:p>
        </w:tc>
        <w:tc>
          <w:tcPr>
            <w:tcW w:w="0" w:type="auto"/>
            <w:gridSpan w:val="3"/>
            <w:shd w:val="clear" w:color="auto" w:fill="auto"/>
            <w:vAlign w:val="bottom"/>
          </w:tcPr>
          <w:p w14:paraId="74DDD396" w14:textId="77777777" w:rsidR="00584EC1" w:rsidRDefault="00584EC1">
            <w:pPr>
              <w:rPr>
                <w:rFonts w:ascii="宋体"/>
                <w:vanish/>
              </w:rPr>
            </w:pPr>
          </w:p>
        </w:tc>
        <w:tc>
          <w:tcPr>
            <w:tcW w:w="0" w:type="auto"/>
            <w:gridSpan w:val="3"/>
            <w:shd w:val="clear" w:color="auto" w:fill="auto"/>
            <w:vAlign w:val="bottom"/>
          </w:tcPr>
          <w:p w14:paraId="74DDD397" w14:textId="77777777" w:rsidR="00584EC1" w:rsidRDefault="00584EC1">
            <w:pPr>
              <w:rPr>
                <w:rFonts w:ascii="宋体"/>
                <w:vanish/>
              </w:rPr>
            </w:pPr>
          </w:p>
        </w:tc>
        <w:tc>
          <w:tcPr>
            <w:tcW w:w="0" w:type="auto"/>
            <w:gridSpan w:val="3"/>
            <w:shd w:val="clear" w:color="auto" w:fill="auto"/>
            <w:vAlign w:val="bottom"/>
          </w:tcPr>
          <w:p w14:paraId="74DDD398" w14:textId="77777777" w:rsidR="00584EC1" w:rsidRDefault="00584EC1">
            <w:pPr>
              <w:rPr>
                <w:rFonts w:ascii="宋体"/>
                <w:vanish/>
              </w:rPr>
            </w:pPr>
          </w:p>
        </w:tc>
        <w:tc>
          <w:tcPr>
            <w:tcW w:w="0" w:type="auto"/>
            <w:gridSpan w:val="3"/>
            <w:shd w:val="clear" w:color="auto" w:fill="auto"/>
            <w:vAlign w:val="bottom"/>
          </w:tcPr>
          <w:p w14:paraId="74DDD399" w14:textId="77777777" w:rsidR="00584EC1" w:rsidRDefault="00584EC1">
            <w:pPr>
              <w:rPr>
                <w:rFonts w:ascii="宋体"/>
                <w:vanish/>
              </w:rPr>
            </w:pPr>
          </w:p>
        </w:tc>
        <w:tc>
          <w:tcPr>
            <w:tcW w:w="0" w:type="auto"/>
            <w:gridSpan w:val="3"/>
            <w:shd w:val="clear" w:color="auto" w:fill="auto"/>
            <w:vAlign w:val="bottom"/>
          </w:tcPr>
          <w:p w14:paraId="74DDD39A" w14:textId="77777777" w:rsidR="00584EC1" w:rsidRDefault="00584EC1">
            <w:pPr>
              <w:rPr>
                <w:rFonts w:ascii="宋体"/>
                <w:vanish/>
              </w:rPr>
            </w:pPr>
          </w:p>
        </w:tc>
        <w:tc>
          <w:tcPr>
            <w:tcW w:w="0" w:type="auto"/>
            <w:gridSpan w:val="3"/>
            <w:shd w:val="clear" w:color="auto" w:fill="auto"/>
            <w:vAlign w:val="bottom"/>
          </w:tcPr>
          <w:p w14:paraId="74DDD39B" w14:textId="77777777" w:rsidR="00584EC1" w:rsidRDefault="00584EC1">
            <w:pPr>
              <w:rPr>
                <w:rFonts w:ascii="宋体"/>
                <w:vanish/>
              </w:rPr>
            </w:pPr>
          </w:p>
        </w:tc>
      </w:tr>
      <w:tr w:rsidR="00584EC1" w14:paraId="74DDD3AD" w14:textId="77777777">
        <w:trPr>
          <w:hidden/>
        </w:trPr>
        <w:tc>
          <w:tcPr>
            <w:tcW w:w="0" w:type="auto"/>
            <w:gridSpan w:val="3"/>
            <w:shd w:val="clear" w:color="auto" w:fill="auto"/>
            <w:vAlign w:val="bottom"/>
          </w:tcPr>
          <w:p w14:paraId="74DDD39D" w14:textId="77777777" w:rsidR="00584EC1" w:rsidRDefault="00584EC1">
            <w:pPr>
              <w:rPr>
                <w:rFonts w:ascii="宋体"/>
                <w:vanish/>
              </w:rPr>
            </w:pPr>
          </w:p>
        </w:tc>
        <w:tc>
          <w:tcPr>
            <w:tcW w:w="0" w:type="auto"/>
            <w:gridSpan w:val="3"/>
            <w:shd w:val="clear" w:color="auto" w:fill="auto"/>
            <w:vAlign w:val="bottom"/>
          </w:tcPr>
          <w:p w14:paraId="74DDD39E" w14:textId="77777777" w:rsidR="00584EC1" w:rsidRDefault="00584EC1">
            <w:pPr>
              <w:rPr>
                <w:rFonts w:ascii="宋体"/>
                <w:vanish/>
              </w:rPr>
            </w:pPr>
          </w:p>
        </w:tc>
        <w:tc>
          <w:tcPr>
            <w:tcW w:w="0" w:type="auto"/>
            <w:gridSpan w:val="3"/>
            <w:shd w:val="clear" w:color="auto" w:fill="auto"/>
            <w:vAlign w:val="bottom"/>
          </w:tcPr>
          <w:p w14:paraId="74DDD39F" w14:textId="77777777" w:rsidR="00584EC1" w:rsidRDefault="00584EC1">
            <w:pPr>
              <w:rPr>
                <w:rFonts w:ascii="宋体"/>
                <w:vanish/>
              </w:rPr>
            </w:pPr>
          </w:p>
        </w:tc>
        <w:tc>
          <w:tcPr>
            <w:tcW w:w="0" w:type="auto"/>
            <w:gridSpan w:val="3"/>
            <w:shd w:val="clear" w:color="auto" w:fill="auto"/>
            <w:vAlign w:val="bottom"/>
          </w:tcPr>
          <w:p w14:paraId="74DDD3A0" w14:textId="77777777" w:rsidR="00584EC1" w:rsidRDefault="00584EC1">
            <w:pPr>
              <w:rPr>
                <w:rFonts w:ascii="宋体"/>
                <w:vanish/>
              </w:rPr>
            </w:pPr>
          </w:p>
        </w:tc>
        <w:tc>
          <w:tcPr>
            <w:tcW w:w="0" w:type="auto"/>
            <w:gridSpan w:val="3"/>
            <w:shd w:val="clear" w:color="auto" w:fill="auto"/>
            <w:vAlign w:val="bottom"/>
          </w:tcPr>
          <w:p w14:paraId="74DDD3A1" w14:textId="77777777" w:rsidR="00584EC1" w:rsidRDefault="00584EC1">
            <w:pPr>
              <w:rPr>
                <w:rFonts w:ascii="宋体"/>
                <w:vanish/>
              </w:rPr>
            </w:pPr>
          </w:p>
        </w:tc>
        <w:tc>
          <w:tcPr>
            <w:tcW w:w="0" w:type="auto"/>
            <w:gridSpan w:val="3"/>
            <w:shd w:val="clear" w:color="auto" w:fill="auto"/>
            <w:vAlign w:val="bottom"/>
          </w:tcPr>
          <w:p w14:paraId="74DDD3A2" w14:textId="77777777" w:rsidR="00584EC1" w:rsidRDefault="00584EC1">
            <w:pPr>
              <w:rPr>
                <w:rFonts w:ascii="宋体"/>
                <w:vanish/>
              </w:rPr>
            </w:pPr>
          </w:p>
        </w:tc>
        <w:tc>
          <w:tcPr>
            <w:tcW w:w="0" w:type="auto"/>
            <w:gridSpan w:val="3"/>
            <w:shd w:val="clear" w:color="auto" w:fill="auto"/>
            <w:vAlign w:val="bottom"/>
          </w:tcPr>
          <w:p w14:paraId="74DDD3A3" w14:textId="77777777" w:rsidR="00584EC1" w:rsidRDefault="00584EC1">
            <w:pPr>
              <w:rPr>
                <w:rFonts w:ascii="宋体"/>
                <w:vanish/>
              </w:rPr>
            </w:pPr>
          </w:p>
        </w:tc>
        <w:tc>
          <w:tcPr>
            <w:tcW w:w="0" w:type="auto"/>
            <w:gridSpan w:val="3"/>
            <w:shd w:val="clear" w:color="auto" w:fill="auto"/>
            <w:vAlign w:val="bottom"/>
          </w:tcPr>
          <w:p w14:paraId="74DDD3A4" w14:textId="77777777" w:rsidR="00584EC1" w:rsidRDefault="00584EC1">
            <w:pPr>
              <w:rPr>
                <w:rFonts w:ascii="宋体"/>
                <w:vanish/>
              </w:rPr>
            </w:pPr>
          </w:p>
        </w:tc>
        <w:tc>
          <w:tcPr>
            <w:tcW w:w="0" w:type="auto"/>
            <w:gridSpan w:val="3"/>
            <w:shd w:val="clear" w:color="auto" w:fill="auto"/>
            <w:vAlign w:val="bottom"/>
          </w:tcPr>
          <w:p w14:paraId="74DDD3A5" w14:textId="77777777" w:rsidR="00584EC1" w:rsidRDefault="00584EC1">
            <w:pPr>
              <w:rPr>
                <w:rFonts w:ascii="宋体"/>
                <w:vanish/>
              </w:rPr>
            </w:pPr>
          </w:p>
        </w:tc>
        <w:tc>
          <w:tcPr>
            <w:tcW w:w="0" w:type="auto"/>
            <w:gridSpan w:val="3"/>
            <w:shd w:val="clear" w:color="auto" w:fill="auto"/>
            <w:vAlign w:val="bottom"/>
          </w:tcPr>
          <w:p w14:paraId="74DDD3A6" w14:textId="77777777" w:rsidR="00584EC1" w:rsidRDefault="00584EC1">
            <w:pPr>
              <w:rPr>
                <w:rFonts w:ascii="宋体"/>
                <w:vanish/>
              </w:rPr>
            </w:pPr>
          </w:p>
        </w:tc>
        <w:tc>
          <w:tcPr>
            <w:tcW w:w="0" w:type="auto"/>
            <w:gridSpan w:val="3"/>
            <w:shd w:val="clear" w:color="auto" w:fill="auto"/>
            <w:vAlign w:val="bottom"/>
          </w:tcPr>
          <w:p w14:paraId="74DDD3A7" w14:textId="77777777" w:rsidR="00584EC1" w:rsidRDefault="00584EC1">
            <w:pPr>
              <w:rPr>
                <w:rFonts w:ascii="宋体"/>
                <w:vanish/>
              </w:rPr>
            </w:pPr>
          </w:p>
        </w:tc>
        <w:tc>
          <w:tcPr>
            <w:tcW w:w="0" w:type="auto"/>
            <w:gridSpan w:val="3"/>
            <w:shd w:val="clear" w:color="auto" w:fill="auto"/>
            <w:vAlign w:val="bottom"/>
          </w:tcPr>
          <w:p w14:paraId="74DDD3A8" w14:textId="77777777" w:rsidR="00584EC1" w:rsidRDefault="00584EC1">
            <w:pPr>
              <w:rPr>
                <w:rFonts w:ascii="宋体"/>
                <w:vanish/>
              </w:rPr>
            </w:pPr>
          </w:p>
        </w:tc>
        <w:tc>
          <w:tcPr>
            <w:tcW w:w="0" w:type="auto"/>
            <w:gridSpan w:val="3"/>
            <w:shd w:val="clear" w:color="auto" w:fill="auto"/>
            <w:vAlign w:val="bottom"/>
          </w:tcPr>
          <w:p w14:paraId="74DDD3A9" w14:textId="77777777" w:rsidR="00584EC1" w:rsidRDefault="00584EC1">
            <w:pPr>
              <w:rPr>
                <w:rFonts w:ascii="宋体"/>
                <w:vanish/>
              </w:rPr>
            </w:pPr>
          </w:p>
        </w:tc>
        <w:tc>
          <w:tcPr>
            <w:tcW w:w="0" w:type="auto"/>
            <w:gridSpan w:val="3"/>
            <w:shd w:val="clear" w:color="auto" w:fill="auto"/>
            <w:vAlign w:val="bottom"/>
          </w:tcPr>
          <w:p w14:paraId="74DDD3AA" w14:textId="77777777" w:rsidR="00584EC1" w:rsidRDefault="00584EC1">
            <w:pPr>
              <w:rPr>
                <w:rFonts w:ascii="宋体"/>
                <w:vanish/>
              </w:rPr>
            </w:pPr>
          </w:p>
        </w:tc>
        <w:tc>
          <w:tcPr>
            <w:tcW w:w="0" w:type="auto"/>
            <w:gridSpan w:val="3"/>
            <w:shd w:val="clear" w:color="auto" w:fill="auto"/>
            <w:vAlign w:val="bottom"/>
          </w:tcPr>
          <w:p w14:paraId="74DDD3AB" w14:textId="77777777" w:rsidR="00584EC1" w:rsidRDefault="00584EC1">
            <w:pPr>
              <w:rPr>
                <w:rFonts w:ascii="宋体"/>
                <w:vanish/>
              </w:rPr>
            </w:pPr>
          </w:p>
        </w:tc>
        <w:tc>
          <w:tcPr>
            <w:tcW w:w="0" w:type="auto"/>
            <w:gridSpan w:val="3"/>
            <w:shd w:val="clear" w:color="auto" w:fill="auto"/>
            <w:vAlign w:val="bottom"/>
          </w:tcPr>
          <w:p w14:paraId="74DDD3AC" w14:textId="77777777" w:rsidR="00584EC1" w:rsidRDefault="00584EC1">
            <w:pPr>
              <w:rPr>
                <w:rFonts w:ascii="宋体"/>
                <w:vanish/>
              </w:rPr>
            </w:pPr>
          </w:p>
        </w:tc>
      </w:tr>
      <w:tr w:rsidR="00584EC1" w14:paraId="74DDD3BE" w14:textId="77777777">
        <w:trPr>
          <w:hidden/>
        </w:trPr>
        <w:tc>
          <w:tcPr>
            <w:tcW w:w="0" w:type="auto"/>
            <w:gridSpan w:val="3"/>
            <w:shd w:val="clear" w:color="auto" w:fill="auto"/>
            <w:vAlign w:val="bottom"/>
          </w:tcPr>
          <w:p w14:paraId="74DDD3AE" w14:textId="77777777" w:rsidR="00584EC1" w:rsidRDefault="00584EC1">
            <w:pPr>
              <w:rPr>
                <w:rFonts w:ascii="宋体"/>
                <w:vanish/>
              </w:rPr>
            </w:pPr>
          </w:p>
        </w:tc>
        <w:tc>
          <w:tcPr>
            <w:tcW w:w="0" w:type="auto"/>
            <w:gridSpan w:val="3"/>
            <w:shd w:val="clear" w:color="auto" w:fill="auto"/>
            <w:vAlign w:val="bottom"/>
          </w:tcPr>
          <w:p w14:paraId="74DDD3AF" w14:textId="77777777" w:rsidR="00584EC1" w:rsidRDefault="00584EC1">
            <w:pPr>
              <w:rPr>
                <w:rFonts w:ascii="宋体"/>
                <w:vanish/>
              </w:rPr>
            </w:pPr>
          </w:p>
        </w:tc>
        <w:tc>
          <w:tcPr>
            <w:tcW w:w="0" w:type="auto"/>
            <w:gridSpan w:val="3"/>
            <w:shd w:val="clear" w:color="auto" w:fill="auto"/>
            <w:vAlign w:val="bottom"/>
          </w:tcPr>
          <w:p w14:paraId="74DDD3B0" w14:textId="77777777" w:rsidR="00584EC1" w:rsidRDefault="00584EC1">
            <w:pPr>
              <w:rPr>
                <w:rFonts w:ascii="宋体"/>
                <w:vanish/>
              </w:rPr>
            </w:pPr>
          </w:p>
        </w:tc>
        <w:tc>
          <w:tcPr>
            <w:tcW w:w="0" w:type="auto"/>
            <w:gridSpan w:val="3"/>
            <w:shd w:val="clear" w:color="auto" w:fill="auto"/>
            <w:vAlign w:val="bottom"/>
          </w:tcPr>
          <w:p w14:paraId="74DDD3B1" w14:textId="77777777" w:rsidR="00584EC1" w:rsidRDefault="00584EC1">
            <w:pPr>
              <w:rPr>
                <w:rFonts w:ascii="宋体"/>
                <w:vanish/>
              </w:rPr>
            </w:pPr>
          </w:p>
        </w:tc>
        <w:tc>
          <w:tcPr>
            <w:tcW w:w="0" w:type="auto"/>
            <w:gridSpan w:val="3"/>
            <w:shd w:val="clear" w:color="auto" w:fill="auto"/>
            <w:vAlign w:val="bottom"/>
          </w:tcPr>
          <w:p w14:paraId="74DDD3B2" w14:textId="77777777" w:rsidR="00584EC1" w:rsidRDefault="00584EC1">
            <w:pPr>
              <w:rPr>
                <w:rFonts w:ascii="宋体"/>
                <w:vanish/>
              </w:rPr>
            </w:pPr>
          </w:p>
        </w:tc>
        <w:tc>
          <w:tcPr>
            <w:tcW w:w="0" w:type="auto"/>
            <w:gridSpan w:val="3"/>
            <w:shd w:val="clear" w:color="auto" w:fill="auto"/>
            <w:vAlign w:val="bottom"/>
          </w:tcPr>
          <w:p w14:paraId="74DDD3B3" w14:textId="77777777" w:rsidR="00584EC1" w:rsidRDefault="00584EC1">
            <w:pPr>
              <w:rPr>
                <w:rFonts w:ascii="宋体"/>
                <w:vanish/>
              </w:rPr>
            </w:pPr>
          </w:p>
        </w:tc>
        <w:tc>
          <w:tcPr>
            <w:tcW w:w="0" w:type="auto"/>
            <w:gridSpan w:val="3"/>
            <w:shd w:val="clear" w:color="auto" w:fill="auto"/>
            <w:vAlign w:val="bottom"/>
          </w:tcPr>
          <w:p w14:paraId="74DDD3B4" w14:textId="77777777" w:rsidR="00584EC1" w:rsidRDefault="00584EC1">
            <w:pPr>
              <w:rPr>
                <w:rFonts w:ascii="宋体"/>
                <w:vanish/>
              </w:rPr>
            </w:pPr>
          </w:p>
        </w:tc>
        <w:tc>
          <w:tcPr>
            <w:tcW w:w="0" w:type="auto"/>
            <w:gridSpan w:val="3"/>
            <w:shd w:val="clear" w:color="auto" w:fill="auto"/>
            <w:vAlign w:val="bottom"/>
          </w:tcPr>
          <w:p w14:paraId="74DDD3B5" w14:textId="77777777" w:rsidR="00584EC1" w:rsidRDefault="00584EC1">
            <w:pPr>
              <w:rPr>
                <w:rFonts w:ascii="宋体"/>
                <w:vanish/>
              </w:rPr>
            </w:pPr>
          </w:p>
        </w:tc>
        <w:tc>
          <w:tcPr>
            <w:tcW w:w="0" w:type="auto"/>
            <w:gridSpan w:val="3"/>
            <w:shd w:val="clear" w:color="auto" w:fill="auto"/>
            <w:vAlign w:val="bottom"/>
          </w:tcPr>
          <w:p w14:paraId="74DDD3B6" w14:textId="77777777" w:rsidR="00584EC1" w:rsidRDefault="00584EC1">
            <w:pPr>
              <w:rPr>
                <w:rFonts w:ascii="宋体"/>
                <w:vanish/>
              </w:rPr>
            </w:pPr>
          </w:p>
        </w:tc>
        <w:tc>
          <w:tcPr>
            <w:tcW w:w="0" w:type="auto"/>
            <w:gridSpan w:val="3"/>
            <w:shd w:val="clear" w:color="auto" w:fill="auto"/>
            <w:vAlign w:val="bottom"/>
          </w:tcPr>
          <w:p w14:paraId="74DDD3B7" w14:textId="77777777" w:rsidR="00584EC1" w:rsidRDefault="00584EC1">
            <w:pPr>
              <w:rPr>
                <w:rFonts w:ascii="宋体"/>
                <w:vanish/>
              </w:rPr>
            </w:pPr>
          </w:p>
        </w:tc>
        <w:tc>
          <w:tcPr>
            <w:tcW w:w="0" w:type="auto"/>
            <w:gridSpan w:val="3"/>
            <w:shd w:val="clear" w:color="auto" w:fill="auto"/>
            <w:vAlign w:val="bottom"/>
          </w:tcPr>
          <w:p w14:paraId="74DDD3B8" w14:textId="77777777" w:rsidR="00584EC1" w:rsidRDefault="00584EC1">
            <w:pPr>
              <w:rPr>
                <w:rFonts w:ascii="宋体"/>
                <w:vanish/>
              </w:rPr>
            </w:pPr>
          </w:p>
        </w:tc>
        <w:tc>
          <w:tcPr>
            <w:tcW w:w="0" w:type="auto"/>
            <w:gridSpan w:val="3"/>
            <w:shd w:val="clear" w:color="auto" w:fill="auto"/>
            <w:vAlign w:val="bottom"/>
          </w:tcPr>
          <w:p w14:paraId="74DDD3B9" w14:textId="77777777" w:rsidR="00584EC1" w:rsidRDefault="00584EC1">
            <w:pPr>
              <w:rPr>
                <w:rFonts w:ascii="宋体"/>
                <w:vanish/>
              </w:rPr>
            </w:pPr>
          </w:p>
        </w:tc>
        <w:tc>
          <w:tcPr>
            <w:tcW w:w="0" w:type="auto"/>
            <w:gridSpan w:val="3"/>
            <w:shd w:val="clear" w:color="auto" w:fill="auto"/>
            <w:vAlign w:val="bottom"/>
          </w:tcPr>
          <w:p w14:paraId="74DDD3BA" w14:textId="77777777" w:rsidR="00584EC1" w:rsidRDefault="00584EC1">
            <w:pPr>
              <w:rPr>
                <w:rFonts w:ascii="宋体"/>
                <w:vanish/>
              </w:rPr>
            </w:pPr>
          </w:p>
        </w:tc>
        <w:tc>
          <w:tcPr>
            <w:tcW w:w="0" w:type="auto"/>
            <w:gridSpan w:val="3"/>
            <w:shd w:val="clear" w:color="auto" w:fill="auto"/>
            <w:vAlign w:val="bottom"/>
          </w:tcPr>
          <w:p w14:paraId="74DDD3BB" w14:textId="77777777" w:rsidR="00584EC1" w:rsidRDefault="00584EC1">
            <w:pPr>
              <w:rPr>
                <w:rFonts w:ascii="宋体"/>
                <w:vanish/>
              </w:rPr>
            </w:pPr>
          </w:p>
        </w:tc>
        <w:tc>
          <w:tcPr>
            <w:tcW w:w="0" w:type="auto"/>
            <w:gridSpan w:val="3"/>
            <w:shd w:val="clear" w:color="auto" w:fill="auto"/>
            <w:vAlign w:val="bottom"/>
          </w:tcPr>
          <w:p w14:paraId="74DDD3BC" w14:textId="77777777" w:rsidR="00584EC1" w:rsidRDefault="00584EC1">
            <w:pPr>
              <w:rPr>
                <w:rFonts w:ascii="宋体"/>
                <w:vanish/>
              </w:rPr>
            </w:pPr>
          </w:p>
        </w:tc>
        <w:tc>
          <w:tcPr>
            <w:tcW w:w="0" w:type="auto"/>
            <w:gridSpan w:val="3"/>
            <w:shd w:val="clear" w:color="auto" w:fill="auto"/>
            <w:vAlign w:val="bottom"/>
          </w:tcPr>
          <w:p w14:paraId="74DDD3BD" w14:textId="77777777" w:rsidR="00584EC1" w:rsidRDefault="00584EC1">
            <w:pPr>
              <w:rPr>
                <w:rFonts w:ascii="宋体"/>
                <w:vanish/>
              </w:rPr>
            </w:pPr>
          </w:p>
        </w:tc>
      </w:tr>
      <w:tr w:rsidR="00584EC1" w14:paraId="74DDD3CF" w14:textId="77777777">
        <w:trPr>
          <w:hidden/>
        </w:trPr>
        <w:tc>
          <w:tcPr>
            <w:tcW w:w="0" w:type="auto"/>
            <w:gridSpan w:val="3"/>
            <w:shd w:val="clear" w:color="auto" w:fill="auto"/>
            <w:vAlign w:val="bottom"/>
          </w:tcPr>
          <w:p w14:paraId="74DDD3BF" w14:textId="77777777" w:rsidR="00584EC1" w:rsidRDefault="00584EC1">
            <w:pPr>
              <w:rPr>
                <w:rFonts w:ascii="宋体"/>
                <w:vanish/>
              </w:rPr>
            </w:pPr>
          </w:p>
        </w:tc>
        <w:tc>
          <w:tcPr>
            <w:tcW w:w="0" w:type="auto"/>
            <w:gridSpan w:val="3"/>
            <w:shd w:val="clear" w:color="auto" w:fill="auto"/>
            <w:vAlign w:val="bottom"/>
          </w:tcPr>
          <w:p w14:paraId="74DDD3C0" w14:textId="77777777" w:rsidR="00584EC1" w:rsidRDefault="00584EC1">
            <w:pPr>
              <w:rPr>
                <w:rFonts w:ascii="宋体"/>
                <w:vanish/>
              </w:rPr>
            </w:pPr>
          </w:p>
        </w:tc>
        <w:tc>
          <w:tcPr>
            <w:tcW w:w="0" w:type="auto"/>
            <w:gridSpan w:val="3"/>
            <w:shd w:val="clear" w:color="auto" w:fill="auto"/>
            <w:vAlign w:val="bottom"/>
          </w:tcPr>
          <w:p w14:paraId="74DDD3C1" w14:textId="77777777" w:rsidR="00584EC1" w:rsidRDefault="00584EC1">
            <w:pPr>
              <w:rPr>
                <w:rFonts w:ascii="宋体"/>
                <w:vanish/>
              </w:rPr>
            </w:pPr>
          </w:p>
        </w:tc>
        <w:tc>
          <w:tcPr>
            <w:tcW w:w="0" w:type="auto"/>
            <w:gridSpan w:val="3"/>
            <w:shd w:val="clear" w:color="auto" w:fill="auto"/>
            <w:vAlign w:val="bottom"/>
          </w:tcPr>
          <w:p w14:paraId="74DDD3C2" w14:textId="77777777" w:rsidR="00584EC1" w:rsidRDefault="00584EC1">
            <w:pPr>
              <w:rPr>
                <w:rFonts w:ascii="宋体"/>
                <w:vanish/>
              </w:rPr>
            </w:pPr>
          </w:p>
        </w:tc>
        <w:tc>
          <w:tcPr>
            <w:tcW w:w="0" w:type="auto"/>
            <w:gridSpan w:val="3"/>
            <w:shd w:val="clear" w:color="auto" w:fill="auto"/>
            <w:vAlign w:val="bottom"/>
          </w:tcPr>
          <w:p w14:paraId="74DDD3C3" w14:textId="77777777" w:rsidR="00584EC1" w:rsidRDefault="00584EC1">
            <w:pPr>
              <w:rPr>
                <w:rFonts w:ascii="宋体"/>
                <w:vanish/>
              </w:rPr>
            </w:pPr>
          </w:p>
        </w:tc>
        <w:tc>
          <w:tcPr>
            <w:tcW w:w="0" w:type="auto"/>
            <w:gridSpan w:val="3"/>
            <w:shd w:val="clear" w:color="auto" w:fill="auto"/>
            <w:vAlign w:val="bottom"/>
          </w:tcPr>
          <w:p w14:paraId="74DDD3C4" w14:textId="77777777" w:rsidR="00584EC1" w:rsidRDefault="00584EC1">
            <w:pPr>
              <w:rPr>
                <w:rFonts w:ascii="宋体"/>
                <w:vanish/>
              </w:rPr>
            </w:pPr>
          </w:p>
        </w:tc>
        <w:tc>
          <w:tcPr>
            <w:tcW w:w="0" w:type="auto"/>
            <w:gridSpan w:val="3"/>
            <w:shd w:val="clear" w:color="auto" w:fill="auto"/>
            <w:vAlign w:val="bottom"/>
          </w:tcPr>
          <w:p w14:paraId="74DDD3C5" w14:textId="77777777" w:rsidR="00584EC1" w:rsidRDefault="00584EC1">
            <w:pPr>
              <w:rPr>
                <w:rFonts w:ascii="宋体"/>
                <w:vanish/>
              </w:rPr>
            </w:pPr>
          </w:p>
        </w:tc>
        <w:tc>
          <w:tcPr>
            <w:tcW w:w="0" w:type="auto"/>
            <w:gridSpan w:val="3"/>
            <w:shd w:val="clear" w:color="auto" w:fill="auto"/>
            <w:vAlign w:val="bottom"/>
          </w:tcPr>
          <w:p w14:paraId="74DDD3C6" w14:textId="77777777" w:rsidR="00584EC1" w:rsidRDefault="00584EC1">
            <w:pPr>
              <w:rPr>
                <w:rFonts w:ascii="宋体"/>
                <w:vanish/>
              </w:rPr>
            </w:pPr>
          </w:p>
        </w:tc>
        <w:tc>
          <w:tcPr>
            <w:tcW w:w="0" w:type="auto"/>
            <w:gridSpan w:val="3"/>
            <w:shd w:val="clear" w:color="auto" w:fill="auto"/>
            <w:vAlign w:val="bottom"/>
          </w:tcPr>
          <w:p w14:paraId="74DDD3C7" w14:textId="77777777" w:rsidR="00584EC1" w:rsidRDefault="00584EC1">
            <w:pPr>
              <w:rPr>
                <w:rFonts w:ascii="宋体"/>
                <w:vanish/>
              </w:rPr>
            </w:pPr>
          </w:p>
        </w:tc>
        <w:tc>
          <w:tcPr>
            <w:tcW w:w="0" w:type="auto"/>
            <w:gridSpan w:val="3"/>
            <w:shd w:val="clear" w:color="auto" w:fill="auto"/>
            <w:vAlign w:val="bottom"/>
          </w:tcPr>
          <w:p w14:paraId="74DDD3C8" w14:textId="77777777" w:rsidR="00584EC1" w:rsidRDefault="00584EC1">
            <w:pPr>
              <w:rPr>
                <w:rFonts w:ascii="宋体"/>
                <w:vanish/>
              </w:rPr>
            </w:pPr>
          </w:p>
        </w:tc>
        <w:tc>
          <w:tcPr>
            <w:tcW w:w="0" w:type="auto"/>
            <w:gridSpan w:val="3"/>
            <w:shd w:val="clear" w:color="auto" w:fill="auto"/>
            <w:vAlign w:val="bottom"/>
          </w:tcPr>
          <w:p w14:paraId="74DDD3C9" w14:textId="77777777" w:rsidR="00584EC1" w:rsidRDefault="00584EC1">
            <w:pPr>
              <w:rPr>
                <w:rFonts w:ascii="宋体"/>
                <w:vanish/>
              </w:rPr>
            </w:pPr>
          </w:p>
        </w:tc>
        <w:tc>
          <w:tcPr>
            <w:tcW w:w="0" w:type="auto"/>
            <w:gridSpan w:val="3"/>
            <w:shd w:val="clear" w:color="auto" w:fill="auto"/>
            <w:vAlign w:val="bottom"/>
          </w:tcPr>
          <w:p w14:paraId="74DDD3CA" w14:textId="77777777" w:rsidR="00584EC1" w:rsidRDefault="00584EC1">
            <w:pPr>
              <w:rPr>
                <w:rFonts w:ascii="宋体"/>
                <w:vanish/>
              </w:rPr>
            </w:pPr>
          </w:p>
        </w:tc>
        <w:tc>
          <w:tcPr>
            <w:tcW w:w="0" w:type="auto"/>
            <w:gridSpan w:val="3"/>
            <w:shd w:val="clear" w:color="auto" w:fill="auto"/>
            <w:vAlign w:val="bottom"/>
          </w:tcPr>
          <w:p w14:paraId="74DDD3CB" w14:textId="77777777" w:rsidR="00584EC1" w:rsidRDefault="00584EC1">
            <w:pPr>
              <w:rPr>
                <w:rFonts w:ascii="宋体"/>
                <w:vanish/>
              </w:rPr>
            </w:pPr>
          </w:p>
        </w:tc>
        <w:tc>
          <w:tcPr>
            <w:tcW w:w="0" w:type="auto"/>
            <w:gridSpan w:val="3"/>
            <w:shd w:val="clear" w:color="auto" w:fill="auto"/>
            <w:vAlign w:val="bottom"/>
          </w:tcPr>
          <w:p w14:paraId="74DDD3CC" w14:textId="77777777" w:rsidR="00584EC1" w:rsidRDefault="00584EC1">
            <w:pPr>
              <w:rPr>
                <w:rFonts w:ascii="宋体"/>
                <w:vanish/>
              </w:rPr>
            </w:pPr>
          </w:p>
        </w:tc>
        <w:tc>
          <w:tcPr>
            <w:tcW w:w="0" w:type="auto"/>
            <w:gridSpan w:val="3"/>
            <w:shd w:val="clear" w:color="auto" w:fill="auto"/>
            <w:vAlign w:val="bottom"/>
          </w:tcPr>
          <w:p w14:paraId="74DDD3CD" w14:textId="77777777" w:rsidR="00584EC1" w:rsidRDefault="00584EC1">
            <w:pPr>
              <w:rPr>
                <w:rFonts w:ascii="宋体"/>
                <w:vanish/>
              </w:rPr>
            </w:pPr>
          </w:p>
        </w:tc>
        <w:tc>
          <w:tcPr>
            <w:tcW w:w="0" w:type="auto"/>
            <w:gridSpan w:val="3"/>
            <w:shd w:val="clear" w:color="auto" w:fill="auto"/>
            <w:vAlign w:val="bottom"/>
          </w:tcPr>
          <w:p w14:paraId="74DDD3CE" w14:textId="77777777" w:rsidR="00584EC1" w:rsidRDefault="00584EC1">
            <w:pPr>
              <w:rPr>
                <w:rFonts w:ascii="宋体"/>
                <w:vanish/>
              </w:rPr>
            </w:pPr>
          </w:p>
        </w:tc>
      </w:tr>
      <w:tr w:rsidR="00584EC1" w14:paraId="74DDD3E8" w14:textId="77777777">
        <w:tc>
          <w:tcPr>
            <w:tcW w:w="0" w:type="auto"/>
            <w:gridSpan w:val="3"/>
            <w:shd w:val="clear" w:color="auto" w:fill="FFFFFF"/>
            <w:tcMar>
              <w:top w:w="40" w:type="dxa"/>
              <w:left w:w="20" w:type="dxa"/>
              <w:bottom w:w="40" w:type="dxa"/>
              <w:right w:w="20" w:type="dxa"/>
            </w:tcMar>
            <w:vAlign w:val="bottom"/>
          </w:tcPr>
          <w:p w14:paraId="74DDD3D0" w14:textId="77777777" w:rsidR="00584EC1" w:rsidRDefault="00871F8D">
            <w:pPr>
              <w:textAlignment w:val="bottom"/>
            </w:pPr>
            <w:r>
              <w:rPr>
                <w:rFonts w:ascii="Arial" w:eastAsia="宋体" w:hAnsi="Arial" w:cs="Arial"/>
                <w:color w:val="000000"/>
                <w:sz w:val="15"/>
                <w:szCs w:val="15"/>
              </w:rPr>
              <w:t>Total</w:t>
            </w:r>
            <w:r>
              <w:rPr>
                <w:rFonts w:ascii="Arial" w:eastAsia="宋体" w:hAnsi="Arial" w:cs="Arial"/>
                <w:color w:val="000000"/>
                <w:sz w:val="9"/>
                <w:szCs w:val="9"/>
              </w:rPr>
              <w:t>(7)(9)</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D3D1" w14:textId="77777777" w:rsidR="00584EC1" w:rsidRDefault="00871F8D">
            <w:pPr>
              <w:jc w:val="right"/>
              <w:textAlignment w:val="bottom"/>
            </w:pPr>
            <w:r>
              <w:rPr>
                <w:rFonts w:ascii="Arial" w:eastAsia="宋体" w:hAnsi="Arial" w:cs="Arial"/>
                <w:b/>
                <w:bCs/>
                <w:color w:val="000000"/>
                <w:sz w:val="15"/>
                <w:szCs w:val="15"/>
              </w:rPr>
              <w:t>43,348</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D3D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3D3"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D3D4" w14:textId="77777777" w:rsidR="00584EC1" w:rsidRDefault="00871F8D">
            <w:pPr>
              <w:jc w:val="right"/>
              <w:textAlignment w:val="bottom"/>
            </w:pPr>
            <w:r>
              <w:rPr>
                <w:rFonts w:ascii="Arial" w:eastAsia="宋体" w:hAnsi="Arial" w:cs="Arial"/>
                <w:b/>
                <w:bCs/>
                <w:color w:val="000000"/>
                <w:sz w:val="15"/>
                <w:szCs w:val="15"/>
              </w:rPr>
              <w:t>707</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D3D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3D6"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D3D7" w14:textId="77777777" w:rsidR="00584EC1" w:rsidRDefault="00871F8D">
            <w:pPr>
              <w:jc w:val="right"/>
              <w:textAlignment w:val="bottom"/>
            </w:pPr>
            <w:r>
              <w:rPr>
                <w:rFonts w:ascii="Arial" w:eastAsia="宋体" w:hAnsi="Arial" w:cs="Arial"/>
                <w:b/>
                <w:bCs/>
                <w:color w:val="000000"/>
                <w:sz w:val="15"/>
                <w:szCs w:val="15"/>
              </w:rPr>
              <w:t>327</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D3D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3D9"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D3DA" w14:textId="77777777" w:rsidR="00584EC1" w:rsidRDefault="00871F8D">
            <w:pPr>
              <w:jc w:val="right"/>
              <w:textAlignment w:val="bottom"/>
            </w:pPr>
            <w:r>
              <w:rPr>
                <w:rFonts w:ascii="Arial" w:eastAsia="宋体" w:hAnsi="Arial" w:cs="Arial"/>
                <w:b/>
                <w:bCs/>
                <w:color w:val="000000"/>
                <w:sz w:val="15"/>
                <w:szCs w:val="15"/>
              </w:rPr>
              <w:t>43,728</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D3D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3DC"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D3DD" w14:textId="77777777" w:rsidR="00584EC1" w:rsidRDefault="00871F8D">
            <w:pPr>
              <w:jc w:val="right"/>
              <w:textAlignment w:val="bottom"/>
            </w:pPr>
            <w:r>
              <w:rPr>
                <w:rFonts w:ascii="Arial" w:eastAsia="宋体" w:hAnsi="Arial" w:cs="Arial"/>
                <w:color w:val="000000"/>
                <w:sz w:val="15"/>
                <w:szCs w:val="15"/>
              </w:rPr>
              <w:t>48,931 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D3D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3DF"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D3E0" w14:textId="77777777" w:rsidR="00584EC1" w:rsidRDefault="00871F8D">
            <w:pPr>
              <w:jc w:val="right"/>
              <w:textAlignment w:val="bottom"/>
            </w:pPr>
            <w:r>
              <w:rPr>
                <w:rFonts w:ascii="Arial" w:eastAsia="宋体" w:hAnsi="Arial" w:cs="Arial"/>
                <w:color w:val="000000"/>
                <w:sz w:val="15"/>
                <w:szCs w:val="15"/>
              </w:rPr>
              <w:t>1,169 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D3E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3E2"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D3E3" w14:textId="77777777" w:rsidR="00584EC1" w:rsidRDefault="00871F8D">
            <w:pPr>
              <w:jc w:val="right"/>
              <w:textAlignment w:val="bottom"/>
            </w:pPr>
            <w:r>
              <w:rPr>
                <w:rFonts w:ascii="Arial" w:eastAsia="宋体" w:hAnsi="Arial" w:cs="Arial"/>
                <w:color w:val="000000"/>
                <w:sz w:val="15"/>
                <w:szCs w:val="15"/>
              </w:rPr>
              <w:t>97 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D3E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3E5"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D3E6" w14:textId="77777777" w:rsidR="00584EC1" w:rsidRDefault="00871F8D">
            <w:pPr>
              <w:jc w:val="right"/>
              <w:textAlignment w:val="bottom"/>
            </w:pPr>
            <w:r>
              <w:rPr>
                <w:rFonts w:ascii="Arial" w:eastAsia="宋体" w:hAnsi="Arial" w:cs="Arial"/>
                <w:color w:val="000000"/>
                <w:sz w:val="15"/>
                <w:szCs w:val="15"/>
              </w:rPr>
              <w:t>50,003 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D3E7" w14:textId="77777777" w:rsidR="00584EC1" w:rsidRDefault="00584EC1">
            <w:pPr>
              <w:jc w:val="right"/>
              <w:rPr>
                <w:rFonts w:ascii="宋体"/>
              </w:rPr>
            </w:pPr>
          </w:p>
        </w:tc>
      </w:tr>
      <w:tr w:rsidR="00584EC1" w14:paraId="74DDD401" w14:textId="77777777">
        <w:tc>
          <w:tcPr>
            <w:tcW w:w="0" w:type="auto"/>
            <w:gridSpan w:val="3"/>
            <w:shd w:val="clear" w:color="auto" w:fill="CCEEFF"/>
            <w:tcMar>
              <w:top w:w="40" w:type="dxa"/>
              <w:left w:w="20" w:type="dxa"/>
              <w:bottom w:w="40" w:type="dxa"/>
              <w:right w:w="20" w:type="dxa"/>
            </w:tcMar>
            <w:vAlign w:val="bottom"/>
          </w:tcPr>
          <w:p w14:paraId="74DDD3E9" w14:textId="77777777" w:rsidR="00584EC1" w:rsidRDefault="00871F8D">
            <w:pPr>
              <w:textAlignment w:val="bottom"/>
            </w:pPr>
            <w:r>
              <w:rPr>
                <w:rFonts w:ascii="Arial" w:eastAsia="宋体" w:hAnsi="Arial" w:cs="Arial"/>
                <w:color w:val="000000"/>
                <w:sz w:val="15"/>
                <w:szCs w:val="15"/>
              </w:rPr>
              <w:t>Held-to-maturity under money market mutual fund liquidity facility</w:t>
            </w:r>
          </w:p>
        </w:tc>
        <w:tc>
          <w:tcPr>
            <w:tcW w:w="0" w:type="auto"/>
            <w:gridSpan w:val="2"/>
            <w:shd w:val="clear" w:color="auto" w:fill="CCEEFF"/>
            <w:tcMar>
              <w:top w:w="40" w:type="dxa"/>
              <w:left w:w="20" w:type="dxa"/>
              <w:bottom w:w="40" w:type="dxa"/>
              <w:right w:w="0" w:type="dxa"/>
            </w:tcMar>
            <w:vAlign w:val="bottom"/>
          </w:tcPr>
          <w:p w14:paraId="74DDD3EA"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D3E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3EC"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3ED"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D3E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3EF"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3F0"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D3F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3F2"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3F3"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D3F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3F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3F6" w14:textId="77777777" w:rsidR="00584EC1" w:rsidRDefault="00871F8D">
            <w:pPr>
              <w:jc w:val="right"/>
              <w:textAlignment w:val="bottom"/>
            </w:pPr>
            <w:r>
              <w:rPr>
                <w:rFonts w:ascii="Arial" w:eastAsia="宋体" w:hAnsi="Arial" w:cs="Arial"/>
                <w:color w:val="000000"/>
                <w:sz w:val="15"/>
                <w:szCs w:val="15"/>
              </w:rPr>
              <w:t>3,300 </w:t>
            </w:r>
          </w:p>
        </w:tc>
        <w:tc>
          <w:tcPr>
            <w:tcW w:w="0" w:type="auto"/>
            <w:shd w:val="clear" w:color="auto" w:fill="CCEEFF"/>
            <w:tcMar>
              <w:top w:w="40" w:type="dxa"/>
              <w:left w:w="0" w:type="dxa"/>
              <w:bottom w:w="40" w:type="dxa"/>
              <w:right w:w="20" w:type="dxa"/>
            </w:tcMar>
            <w:vAlign w:val="bottom"/>
          </w:tcPr>
          <w:p w14:paraId="74DDD3F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3F8"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3F9" w14:textId="77777777" w:rsidR="00584EC1" w:rsidRDefault="00871F8D">
            <w:pPr>
              <w:jc w:val="right"/>
              <w:textAlignment w:val="bottom"/>
            </w:pPr>
            <w:r>
              <w:rPr>
                <w:rFonts w:ascii="Arial" w:eastAsia="宋体" w:hAnsi="Arial" w:cs="Arial"/>
                <w:color w:val="000000"/>
                <w:sz w:val="15"/>
                <w:szCs w:val="15"/>
              </w:rPr>
              <w:t>4 </w:t>
            </w:r>
          </w:p>
        </w:tc>
        <w:tc>
          <w:tcPr>
            <w:tcW w:w="0" w:type="auto"/>
            <w:shd w:val="clear" w:color="auto" w:fill="CCEEFF"/>
            <w:tcMar>
              <w:top w:w="40" w:type="dxa"/>
              <w:left w:w="0" w:type="dxa"/>
              <w:bottom w:w="40" w:type="dxa"/>
              <w:right w:w="20" w:type="dxa"/>
            </w:tcMar>
            <w:vAlign w:val="bottom"/>
          </w:tcPr>
          <w:p w14:paraId="74DDD3F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3F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3FC"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D3F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3FE"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3FF" w14:textId="77777777" w:rsidR="00584EC1" w:rsidRDefault="00871F8D">
            <w:pPr>
              <w:jc w:val="right"/>
              <w:textAlignment w:val="bottom"/>
            </w:pPr>
            <w:r>
              <w:rPr>
                <w:rFonts w:ascii="Arial" w:eastAsia="宋体" w:hAnsi="Arial" w:cs="Arial"/>
                <w:color w:val="000000"/>
                <w:sz w:val="15"/>
                <w:szCs w:val="15"/>
              </w:rPr>
              <w:t>3,304 </w:t>
            </w:r>
          </w:p>
        </w:tc>
        <w:tc>
          <w:tcPr>
            <w:tcW w:w="0" w:type="auto"/>
            <w:shd w:val="clear" w:color="auto" w:fill="CCEEFF"/>
            <w:tcMar>
              <w:top w:w="40" w:type="dxa"/>
              <w:left w:w="0" w:type="dxa"/>
              <w:bottom w:w="40" w:type="dxa"/>
              <w:right w:w="20" w:type="dxa"/>
            </w:tcMar>
            <w:vAlign w:val="bottom"/>
          </w:tcPr>
          <w:p w14:paraId="74DDD400" w14:textId="77777777" w:rsidR="00584EC1" w:rsidRDefault="00584EC1">
            <w:pPr>
              <w:jc w:val="right"/>
              <w:rPr>
                <w:rFonts w:ascii="宋体"/>
              </w:rPr>
            </w:pPr>
          </w:p>
        </w:tc>
      </w:tr>
      <w:tr w:rsidR="00871F8D" w14:paraId="74DDD422" w14:textId="77777777">
        <w:tc>
          <w:tcPr>
            <w:tcW w:w="0" w:type="auto"/>
            <w:gridSpan w:val="3"/>
            <w:shd w:val="clear" w:color="auto" w:fill="FFFFFF"/>
            <w:tcMar>
              <w:top w:w="40" w:type="dxa"/>
              <w:left w:w="20" w:type="dxa"/>
              <w:bottom w:w="40" w:type="dxa"/>
              <w:right w:w="20" w:type="dxa"/>
            </w:tcMar>
            <w:vAlign w:val="bottom"/>
          </w:tcPr>
          <w:p w14:paraId="74DDD402" w14:textId="77777777" w:rsidR="00584EC1" w:rsidRDefault="00871F8D">
            <w:pPr>
              <w:textAlignment w:val="bottom"/>
            </w:pPr>
            <w:r>
              <w:rPr>
                <w:rFonts w:ascii="Arial" w:eastAsia="宋体" w:hAnsi="Arial" w:cs="Arial"/>
                <w:color w:val="000000"/>
                <w:sz w:val="15"/>
                <w:szCs w:val="15"/>
              </w:rPr>
              <w:t>Total held-to-maturity securities</w:t>
            </w:r>
            <w:r>
              <w:rPr>
                <w:rFonts w:ascii="Arial" w:eastAsia="宋体" w:hAnsi="Arial" w:cs="Arial"/>
                <w:color w:val="000000"/>
                <w:sz w:val="9"/>
                <w:szCs w:val="9"/>
              </w:rPr>
              <w:t>(7)</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D403" w14:textId="77777777" w:rsidR="00584EC1" w:rsidRDefault="00871F8D">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D404" w14:textId="77777777" w:rsidR="00584EC1" w:rsidRDefault="00871F8D">
            <w:pPr>
              <w:jc w:val="right"/>
              <w:textAlignment w:val="bottom"/>
            </w:pPr>
            <w:r>
              <w:rPr>
                <w:rFonts w:ascii="Arial" w:eastAsia="宋体" w:hAnsi="Arial" w:cs="Arial"/>
                <w:b/>
                <w:bCs/>
                <w:color w:val="000000"/>
                <w:sz w:val="15"/>
                <w:szCs w:val="15"/>
              </w:rPr>
              <w:t>43,348</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D40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406"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D407" w14:textId="77777777" w:rsidR="00584EC1" w:rsidRDefault="00871F8D">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D408" w14:textId="77777777" w:rsidR="00584EC1" w:rsidRDefault="00871F8D">
            <w:pPr>
              <w:jc w:val="right"/>
              <w:textAlignment w:val="bottom"/>
            </w:pPr>
            <w:r>
              <w:rPr>
                <w:rFonts w:ascii="Arial" w:eastAsia="宋体" w:hAnsi="Arial" w:cs="Arial"/>
                <w:b/>
                <w:bCs/>
                <w:color w:val="000000"/>
                <w:sz w:val="15"/>
                <w:szCs w:val="15"/>
              </w:rPr>
              <w:t>707</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D40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40A"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D40B" w14:textId="77777777" w:rsidR="00584EC1" w:rsidRDefault="00871F8D">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D40C" w14:textId="77777777" w:rsidR="00584EC1" w:rsidRDefault="00871F8D">
            <w:pPr>
              <w:jc w:val="right"/>
              <w:textAlignment w:val="bottom"/>
            </w:pPr>
            <w:r>
              <w:rPr>
                <w:rFonts w:ascii="Arial" w:eastAsia="宋体" w:hAnsi="Arial" w:cs="Arial"/>
                <w:b/>
                <w:bCs/>
                <w:color w:val="000000"/>
                <w:sz w:val="15"/>
                <w:szCs w:val="15"/>
              </w:rPr>
              <w:t>327</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D40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40E"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D40F" w14:textId="77777777" w:rsidR="00584EC1" w:rsidRDefault="00871F8D">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D410" w14:textId="77777777" w:rsidR="00584EC1" w:rsidRDefault="00871F8D">
            <w:pPr>
              <w:jc w:val="right"/>
              <w:textAlignment w:val="bottom"/>
            </w:pPr>
            <w:r>
              <w:rPr>
                <w:rFonts w:ascii="Arial" w:eastAsia="宋体" w:hAnsi="Arial" w:cs="Arial"/>
                <w:b/>
                <w:bCs/>
                <w:color w:val="000000"/>
                <w:sz w:val="15"/>
                <w:szCs w:val="15"/>
              </w:rPr>
              <w:t>43,728</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D41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412"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D413"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D414" w14:textId="77777777" w:rsidR="00584EC1" w:rsidRDefault="00871F8D">
            <w:pPr>
              <w:jc w:val="right"/>
              <w:textAlignment w:val="bottom"/>
            </w:pPr>
            <w:r>
              <w:rPr>
                <w:rFonts w:ascii="Arial" w:eastAsia="宋体" w:hAnsi="Arial" w:cs="Arial"/>
                <w:color w:val="000000"/>
                <w:sz w:val="15"/>
                <w:szCs w:val="15"/>
              </w:rPr>
              <w:t>52,231 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D41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416"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D417"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D418" w14:textId="77777777" w:rsidR="00584EC1" w:rsidRDefault="00871F8D">
            <w:pPr>
              <w:jc w:val="right"/>
              <w:textAlignment w:val="bottom"/>
            </w:pPr>
            <w:r>
              <w:rPr>
                <w:rFonts w:ascii="Arial" w:eastAsia="宋体" w:hAnsi="Arial" w:cs="Arial"/>
                <w:color w:val="000000"/>
                <w:sz w:val="15"/>
                <w:szCs w:val="15"/>
              </w:rPr>
              <w:t>1,173 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D41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41A"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D41B"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D41C" w14:textId="77777777" w:rsidR="00584EC1" w:rsidRDefault="00871F8D">
            <w:pPr>
              <w:jc w:val="right"/>
              <w:textAlignment w:val="bottom"/>
            </w:pPr>
            <w:r>
              <w:rPr>
                <w:rFonts w:ascii="Arial" w:eastAsia="宋体" w:hAnsi="Arial" w:cs="Arial"/>
                <w:color w:val="000000"/>
                <w:sz w:val="15"/>
                <w:szCs w:val="15"/>
              </w:rPr>
              <w:t>97 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D41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41E"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D41F"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D420" w14:textId="77777777" w:rsidR="00584EC1" w:rsidRDefault="00871F8D">
            <w:pPr>
              <w:jc w:val="right"/>
              <w:textAlignment w:val="bottom"/>
            </w:pPr>
            <w:r>
              <w:rPr>
                <w:rFonts w:ascii="Arial" w:eastAsia="宋体" w:hAnsi="Arial" w:cs="Arial"/>
                <w:color w:val="000000"/>
                <w:sz w:val="15"/>
                <w:szCs w:val="15"/>
              </w:rPr>
              <w:t>53,307 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D421" w14:textId="77777777" w:rsidR="00584EC1" w:rsidRDefault="00584EC1">
            <w:pPr>
              <w:jc w:val="right"/>
              <w:rPr>
                <w:rFonts w:ascii="宋体"/>
              </w:rPr>
            </w:pPr>
          </w:p>
        </w:tc>
      </w:tr>
    </w:tbl>
    <w:p w14:paraId="74DDD423" w14:textId="77777777" w:rsidR="00584EC1" w:rsidRDefault="00584EC1">
      <w:pPr>
        <w:rPr>
          <w:vanish/>
        </w:rPr>
      </w:pPr>
    </w:p>
    <w:tbl>
      <w:tblPr>
        <w:tblW w:w="4993"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514"/>
        <w:gridCol w:w="36"/>
        <w:gridCol w:w="69"/>
        <w:gridCol w:w="1515"/>
        <w:gridCol w:w="36"/>
        <w:gridCol w:w="70"/>
        <w:gridCol w:w="2639"/>
        <w:gridCol w:w="36"/>
      </w:tblGrid>
      <w:tr w:rsidR="00584EC1" w14:paraId="74DDD430" w14:textId="77777777">
        <w:tc>
          <w:tcPr>
            <w:tcW w:w="50" w:type="pct"/>
            <w:shd w:val="clear" w:color="auto" w:fill="auto"/>
            <w:vAlign w:val="bottom"/>
          </w:tcPr>
          <w:p w14:paraId="74DDD424" w14:textId="77777777" w:rsidR="00584EC1" w:rsidRDefault="00584EC1">
            <w:pPr>
              <w:rPr>
                <w:rFonts w:ascii="宋体"/>
              </w:rPr>
            </w:pPr>
          </w:p>
        </w:tc>
        <w:tc>
          <w:tcPr>
            <w:tcW w:w="1350" w:type="pct"/>
            <w:shd w:val="clear" w:color="auto" w:fill="auto"/>
            <w:vAlign w:val="bottom"/>
          </w:tcPr>
          <w:p w14:paraId="74DDD425" w14:textId="77777777" w:rsidR="00584EC1" w:rsidRDefault="00584EC1">
            <w:pPr>
              <w:rPr>
                <w:rFonts w:ascii="宋体"/>
              </w:rPr>
            </w:pPr>
          </w:p>
        </w:tc>
        <w:tc>
          <w:tcPr>
            <w:tcW w:w="5" w:type="pct"/>
            <w:shd w:val="clear" w:color="auto" w:fill="auto"/>
            <w:vAlign w:val="bottom"/>
          </w:tcPr>
          <w:p w14:paraId="74DDD426" w14:textId="77777777" w:rsidR="00584EC1" w:rsidRDefault="00584EC1">
            <w:pPr>
              <w:rPr>
                <w:rFonts w:ascii="宋体"/>
              </w:rPr>
            </w:pPr>
          </w:p>
        </w:tc>
        <w:tc>
          <w:tcPr>
            <w:tcW w:w="50" w:type="pct"/>
            <w:shd w:val="clear" w:color="auto" w:fill="auto"/>
            <w:vAlign w:val="bottom"/>
          </w:tcPr>
          <w:p w14:paraId="74DDD427" w14:textId="77777777" w:rsidR="00584EC1" w:rsidRDefault="00584EC1">
            <w:pPr>
              <w:rPr>
                <w:rFonts w:ascii="宋体"/>
              </w:rPr>
            </w:pPr>
          </w:p>
        </w:tc>
        <w:tc>
          <w:tcPr>
            <w:tcW w:w="918" w:type="pct"/>
            <w:shd w:val="clear" w:color="auto" w:fill="auto"/>
            <w:vAlign w:val="bottom"/>
          </w:tcPr>
          <w:p w14:paraId="74DDD428" w14:textId="77777777" w:rsidR="00584EC1" w:rsidRDefault="00584EC1">
            <w:pPr>
              <w:rPr>
                <w:rFonts w:ascii="宋体"/>
              </w:rPr>
            </w:pPr>
          </w:p>
        </w:tc>
        <w:tc>
          <w:tcPr>
            <w:tcW w:w="5" w:type="pct"/>
            <w:shd w:val="clear" w:color="auto" w:fill="auto"/>
            <w:vAlign w:val="bottom"/>
          </w:tcPr>
          <w:p w14:paraId="74DDD429" w14:textId="77777777" w:rsidR="00584EC1" w:rsidRDefault="00584EC1">
            <w:pPr>
              <w:rPr>
                <w:rFonts w:ascii="宋体"/>
              </w:rPr>
            </w:pPr>
          </w:p>
        </w:tc>
        <w:tc>
          <w:tcPr>
            <w:tcW w:w="50" w:type="pct"/>
            <w:shd w:val="clear" w:color="auto" w:fill="auto"/>
            <w:vAlign w:val="bottom"/>
          </w:tcPr>
          <w:p w14:paraId="74DDD42A" w14:textId="77777777" w:rsidR="00584EC1" w:rsidRDefault="00584EC1">
            <w:pPr>
              <w:rPr>
                <w:rFonts w:ascii="宋体"/>
              </w:rPr>
            </w:pPr>
          </w:p>
        </w:tc>
        <w:tc>
          <w:tcPr>
            <w:tcW w:w="918" w:type="pct"/>
            <w:shd w:val="clear" w:color="auto" w:fill="auto"/>
            <w:vAlign w:val="bottom"/>
          </w:tcPr>
          <w:p w14:paraId="74DDD42B" w14:textId="77777777" w:rsidR="00584EC1" w:rsidRDefault="00584EC1">
            <w:pPr>
              <w:rPr>
                <w:rFonts w:ascii="宋体"/>
              </w:rPr>
            </w:pPr>
          </w:p>
        </w:tc>
        <w:tc>
          <w:tcPr>
            <w:tcW w:w="5" w:type="pct"/>
            <w:shd w:val="clear" w:color="auto" w:fill="auto"/>
            <w:vAlign w:val="bottom"/>
          </w:tcPr>
          <w:p w14:paraId="74DDD42C" w14:textId="77777777" w:rsidR="00584EC1" w:rsidRDefault="00584EC1">
            <w:pPr>
              <w:rPr>
                <w:rFonts w:ascii="宋体"/>
              </w:rPr>
            </w:pPr>
          </w:p>
        </w:tc>
        <w:tc>
          <w:tcPr>
            <w:tcW w:w="50" w:type="pct"/>
            <w:shd w:val="clear" w:color="auto" w:fill="auto"/>
            <w:vAlign w:val="bottom"/>
          </w:tcPr>
          <w:p w14:paraId="74DDD42D" w14:textId="77777777" w:rsidR="00584EC1" w:rsidRDefault="00584EC1">
            <w:pPr>
              <w:rPr>
                <w:rFonts w:ascii="宋体"/>
              </w:rPr>
            </w:pPr>
          </w:p>
        </w:tc>
        <w:tc>
          <w:tcPr>
            <w:tcW w:w="1592" w:type="pct"/>
            <w:shd w:val="clear" w:color="auto" w:fill="auto"/>
            <w:vAlign w:val="bottom"/>
          </w:tcPr>
          <w:p w14:paraId="74DDD42E" w14:textId="77777777" w:rsidR="00584EC1" w:rsidRDefault="00584EC1">
            <w:pPr>
              <w:rPr>
                <w:rFonts w:ascii="宋体"/>
              </w:rPr>
            </w:pPr>
          </w:p>
        </w:tc>
        <w:tc>
          <w:tcPr>
            <w:tcW w:w="5" w:type="pct"/>
            <w:shd w:val="clear" w:color="auto" w:fill="auto"/>
            <w:vAlign w:val="bottom"/>
          </w:tcPr>
          <w:p w14:paraId="74DDD42F" w14:textId="77777777" w:rsidR="00584EC1" w:rsidRDefault="00584EC1">
            <w:pPr>
              <w:rPr>
                <w:rFonts w:ascii="宋体"/>
              </w:rPr>
            </w:pPr>
          </w:p>
        </w:tc>
      </w:tr>
      <w:tr w:rsidR="00584EC1" w14:paraId="74DDD435"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4DDD43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D43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D433"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D434" w14:textId="77777777" w:rsidR="00584EC1" w:rsidRDefault="00584EC1">
            <w:pPr>
              <w:rPr>
                <w:rFonts w:ascii="宋体"/>
              </w:rPr>
            </w:pPr>
          </w:p>
        </w:tc>
      </w:tr>
    </w:tbl>
    <w:p w14:paraId="74DDD436" w14:textId="77777777" w:rsidR="00584EC1" w:rsidRDefault="00871F8D">
      <w:pPr>
        <w:spacing w:before="20"/>
        <w:jc w:val="both"/>
      </w:pPr>
      <w:r>
        <w:rPr>
          <w:rFonts w:ascii="Arial" w:eastAsia="宋体" w:hAnsi="Arial" w:cs="Arial"/>
          <w:color w:val="000000"/>
          <w:sz w:val="8"/>
          <w:szCs w:val="8"/>
        </w:rPr>
        <w:t>(1)</w:t>
      </w:r>
      <w:r>
        <w:rPr>
          <w:rFonts w:ascii="Arial" w:eastAsia="宋体" w:hAnsi="Arial" w:cs="Arial"/>
          <w:color w:val="000000"/>
          <w:sz w:val="13"/>
          <w:szCs w:val="13"/>
        </w:rPr>
        <w:t xml:space="preserve"> As of September 30, 2021 and December 31, 2020, the fair value includes non-U.S. corporate bonds of $1.76 billion and $1.88 billion, respectively, and non-U.S. collateralized loan obligations of $0.88 billion and $0.96 billion, respectively. </w:t>
      </w:r>
    </w:p>
    <w:p w14:paraId="74DDD437" w14:textId="77777777" w:rsidR="00584EC1" w:rsidRDefault="00871F8D">
      <w:pPr>
        <w:spacing w:before="20"/>
        <w:jc w:val="both"/>
      </w:pPr>
      <w:r>
        <w:rPr>
          <w:rFonts w:ascii="Arial" w:eastAsia="宋体" w:hAnsi="Arial" w:cs="Arial"/>
          <w:color w:val="000000"/>
          <w:sz w:val="8"/>
          <w:szCs w:val="8"/>
        </w:rPr>
        <w:t>(2)</w:t>
      </w:r>
      <w:r>
        <w:rPr>
          <w:rFonts w:ascii="Arial" w:eastAsia="宋体" w:hAnsi="Arial" w:cs="Arial"/>
          <w:color w:val="000000"/>
          <w:sz w:val="13"/>
          <w:szCs w:val="13"/>
        </w:rPr>
        <w:t xml:space="preserve"> Primaril</w:t>
      </w:r>
      <w:r>
        <w:rPr>
          <w:rFonts w:ascii="Arial" w:eastAsia="宋体" w:hAnsi="Arial" w:cs="Arial"/>
          <w:color w:val="000000"/>
          <w:sz w:val="13"/>
          <w:szCs w:val="13"/>
        </w:rPr>
        <w:t>y comprised of securities guaranteed by the federal government with respect to at least 97% of defaulted principal and accrued interest on the underlying loans.</w:t>
      </w:r>
    </w:p>
    <w:p w14:paraId="74DDD438" w14:textId="77777777" w:rsidR="00584EC1" w:rsidRDefault="00871F8D">
      <w:pPr>
        <w:spacing w:before="20"/>
        <w:jc w:val="both"/>
      </w:pPr>
      <w:r>
        <w:rPr>
          <w:rFonts w:ascii="Arial" w:eastAsia="宋体" w:hAnsi="Arial" w:cs="Arial"/>
          <w:color w:val="000000"/>
          <w:sz w:val="8"/>
          <w:szCs w:val="8"/>
        </w:rPr>
        <w:t>(3)</w:t>
      </w:r>
      <w:r>
        <w:rPr>
          <w:rFonts w:ascii="Arial" w:eastAsia="宋体" w:hAnsi="Arial" w:cs="Arial"/>
          <w:color w:val="000000"/>
          <w:sz w:val="13"/>
          <w:szCs w:val="13"/>
        </w:rPr>
        <w:t xml:space="preserve"> Excludes collateralized loan obligations in loan form. Refer to Note 4 for additional infor</w:t>
      </w:r>
      <w:r>
        <w:rPr>
          <w:rFonts w:ascii="Arial" w:eastAsia="宋体" w:hAnsi="Arial" w:cs="Arial"/>
          <w:color w:val="000000"/>
          <w:sz w:val="13"/>
          <w:szCs w:val="13"/>
        </w:rPr>
        <w:t xml:space="preserve">mation. </w:t>
      </w:r>
    </w:p>
    <w:p w14:paraId="74DDD439" w14:textId="77777777" w:rsidR="00584EC1" w:rsidRDefault="00871F8D">
      <w:pPr>
        <w:spacing w:before="20"/>
        <w:jc w:val="both"/>
      </w:pPr>
      <w:r>
        <w:rPr>
          <w:rFonts w:ascii="Arial" w:eastAsia="宋体" w:hAnsi="Arial" w:cs="Arial"/>
          <w:color w:val="000000"/>
          <w:sz w:val="8"/>
          <w:szCs w:val="8"/>
        </w:rPr>
        <w:t>(4)</w:t>
      </w:r>
      <w:r>
        <w:rPr>
          <w:rFonts w:ascii="Arial" w:eastAsia="宋体" w:hAnsi="Arial" w:cs="Arial"/>
          <w:color w:val="000000"/>
          <w:sz w:val="13"/>
          <w:szCs w:val="13"/>
        </w:rPr>
        <w:t xml:space="preserve"> Consists entirely of non-agency CMBS as of both September 30, 2021 and December 31, 2020.</w:t>
      </w:r>
    </w:p>
    <w:p w14:paraId="74DDD43A" w14:textId="77777777" w:rsidR="00584EC1" w:rsidRDefault="00871F8D">
      <w:pPr>
        <w:spacing w:before="20"/>
        <w:jc w:val="both"/>
      </w:pPr>
      <w:r>
        <w:rPr>
          <w:rFonts w:ascii="Arial" w:eastAsia="宋体" w:hAnsi="Arial" w:cs="Arial"/>
          <w:color w:val="000000"/>
          <w:sz w:val="8"/>
          <w:szCs w:val="8"/>
        </w:rPr>
        <w:t>(5)</w:t>
      </w:r>
      <w:r>
        <w:rPr>
          <w:rFonts w:ascii="Arial" w:eastAsia="宋体" w:hAnsi="Arial" w:cs="Arial"/>
          <w:color w:val="000000"/>
          <w:sz w:val="13"/>
          <w:szCs w:val="13"/>
        </w:rPr>
        <w:t xml:space="preserve"> As of September 30, 2021 and December 31, 2020, the fair value of state and political subdivisions includes securities in trusts of $0.61 billion and</w:t>
      </w:r>
      <w:r>
        <w:rPr>
          <w:rFonts w:ascii="Arial" w:eastAsia="宋体" w:hAnsi="Arial" w:cs="Arial"/>
          <w:color w:val="000000"/>
          <w:sz w:val="13"/>
          <w:szCs w:val="13"/>
        </w:rPr>
        <w:t xml:space="preserve"> $0.70 billion, respectively. Additional information about these trusts is provided in Note 11.</w:t>
      </w:r>
    </w:p>
    <w:p w14:paraId="74DDD43B" w14:textId="77777777" w:rsidR="00584EC1" w:rsidRDefault="00871F8D">
      <w:pPr>
        <w:spacing w:before="20"/>
        <w:jc w:val="both"/>
      </w:pPr>
      <w:r>
        <w:rPr>
          <w:rFonts w:ascii="Arial" w:eastAsia="宋体" w:hAnsi="Arial" w:cs="Arial"/>
          <w:color w:val="000000"/>
          <w:sz w:val="8"/>
          <w:szCs w:val="8"/>
        </w:rPr>
        <w:t>(6)</w:t>
      </w:r>
      <w:r>
        <w:rPr>
          <w:rFonts w:ascii="Arial" w:eastAsia="宋体" w:hAnsi="Arial" w:cs="Arial"/>
          <w:color w:val="000000"/>
          <w:sz w:val="13"/>
          <w:szCs w:val="13"/>
        </w:rPr>
        <w:t xml:space="preserve"> As of September 30, 2021 and December 31, 2020, the fair value of U.S. corporate bonds was $2.98 billion and $3.44 billion, respectively. </w:t>
      </w:r>
    </w:p>
    <w:p w14:paraId="74DDD43C" w14:textId="77777777" w:rsidR="00584EC1" w:rsidRDefault="00871F8D">
      <w:pPr>
        <w:spacing w:before="20"/>
        <w:jc w:val="both"/>
      </w:pPr>
      <w:r>
        <w:rPr>
          <w:rFonts w:ascii="Arial" w:eastAsia="宋体" w:hAnsi="Arial" w:cs="Arial"/>
          <w:color w:val="000000"/>
          <w:sz w:val="8"/>
          <w:szCs w:val="8"/>
        </w:rPr>
        <w:t>(7)</w:t>
      </w:r>
      <w:r>
        <w:rPr>
          <w:rFonts w:ascii="Arial" w:eastAsia="宋体" w:hAnsi="Arial" w:cs="Arial"/>
          <w:color w:val="000000"/>
          <w:sz w:val="13"/>
          <w:szCs w:val="13"/>
        </w:rPr>
        <w:t xml:space="preserve"> An immaterial</w:t>
      </w:r>
      <w:r>
        <w:rPr>
          <w:rFonts w:ascii="Arial" w:eastAsia="宋体" w:hAnsi="Arial" w:cs="Arial"/>
          <w:color w:val="000000"/>
          <w:sz w:val="13"/>
          <w:szCs w:val="13"/>
        </w:rPr>
        <w:t xml:space="preserve"> amount of accrued interest related to HTM and AFS investment securities was excluded from the amortized cost basis for the period ended September 30, 2021.</w:t>
      </w:r>
    </w:p>
    <w:p w14:paraId="74DDD43D" w14:textId="77777777" w:rsidR="00584EC1" w:rsidRDefault="00871F8D">
      <w:pPr>
        <w:spacing w:before="20"/>
        <w:jc w:val="both"/>
      </w:pPr>
      <w:r>
        <w:rPr>
          <w:rFonts w:ascii="Arial" w:eastAsia="宋体" w:hAnsi="Arial" w:cs="Arial"/>
          <w:color w:val="000000"/>
          <w:sz w:val="8"/>
          <w:szCs w:val="8"/>
        </w:rPr>
        <w:t>(8)</w:t>
      </w:r>
      <w:r>
        <w:rPr>
          <w:rFonts w:ascii="Arial" w:eastAsia="宋体" w:hAnsi="Arial" w:cs="Arial"/>
          <w:color w:val="000000"/>
          <w:sz w:val="13"/>
          <w:szCs w:val="13"/>
        </w:rPr>
        <w:t xml:space="preserve"> As of September 30, 2021 and December 31, 2020, the total amortized cost included $315 million </w:t>
      </w:r>
      <w:r>
        <w:rPr>
          <w:rFonts w:ascii="Arial" w:eastAsia="宋体" w:hAnsi="Arial" w:cs="Arial"/>
          <w:color w:val="000000"/>
          <w:sz w:val="13"/>
          <w:szCs w:val="13"/>
        </w:rPr>
        <w:t xml:space="preserve">and $464 million, respectively, of non-agency CMBS and $65 million and $90 million of non-agency RMBS, respectively. </w:t>
      </w:r>
    </w:p>
    <w:p w14:paraId="74DDD43E" w14:textId="77777777" w:rsidR="00584EC1" w:rsidRDefault="00871F8D">
      <w:pPr>
        <w:spacing w:before="20"/>
        <w:jc w:val="both"/>
      </w:pPr>
      <w:r>
        <w:rPr>
          <w:rFonts w:ascii="Arial" w:eastAsia="宋体" w:hAnsi="Arial" w:cs="Arial"/>
          <w:color w:val="000000"/>
          <w:sz w:val="8"/>
          <w:szCs w:val="8"/>
        </w:rPr>
        <w:t>(9)</w:t>
      </w:r>
      <w:r>
        <w:rPr>
          <w:rFonts w:ascii="Arial" w:eastAsia="宋体" w:hAnsi="Arial" w:cs="Arial"/>
          <w:color w:val="000000"/>
          <w:sz w:val="13"/>
          <w:szCs w:val="13"/>
        </w:rPr>
        <w:t xml:space="preserve"> As of September 30, 2021, we recognized an allowance for credit losses of $2 million on HTM investment securities.</w:t>
      </w:r>
    </w:p>
    <w:p w14:paraId="74DDD43F" w14:textId="77777777" w:rsidR="00584EC1" w:rsidRDefault="00871F8D">
      <w:pPr>
        <w:ind w:firstLine="450"/>
        <w:jc w:val="right"/>
      </w:pPr>
      <w:r>
        <w:rPr>
          <w:rFonts w:ascii="Arial" w:eastAsia="宋体" w:hAnsi="Arial" w:cs="Arial"/>
          <w:color w:val="000000"/>
          <w:sz w:val="18"/>
          <w:szCs w:val="18"/>
        </w:rPr>
        <w:t>State Street Corpor</w:t>
      </w:r>
      <w:r>
        <w:rPr>
          <w:rFonts w:ascii="Arial" w:eastAsia="宋体" w:hAnsi="Arial" w:cs="Arial"/>
          <w:color w:val="000000"/>
          <w:sz w:val="18"/>
          <w:szCs w:val="18"/>
        </w:rPr>
        <w:t>ation | 66</w:t>
      </w:r>
    </w:p>
    <w:p w14:paraId="74DDD440" w14:textId="77777777" w:rsidR="00584EC1" w:rsidRDefault="00584EC1">
      <w:pPr>
        <w:ind w:firstLine="450"/>
        <w:jc w:val="center"/>
      </w:pPr>
    </w:p>
    <w:p w14:paraId="74DDD441" w14:textId="77777777" w:rsidR="00584EC1" w:rsidRDefault="00871F8D">
      <w:r>
        <w:pict w14:anchorId="74DE2A30">
          <v:rect id="_x0000_i1090" style="width:415.3pt;height:1.5pt" o:hralign="center" o:hrstd="t" o:hr="t" fillcolor="#a0a0a0" stroked="f"/>
        </w:pict>
      </w:r>
    </w:p>
    <w:p w14:paraId="74DDD442" w14:textId="77777777" w:rsidR="00584EC1" w:rsidRDefault="00871F8D">
      <w:pPr>
        <w:ind w:firstLine="450"/>
        <w:jc w:val="center"/>
      </w:pPr>
      <w:r>
        <w:rPr>
          <w:rFonts w:ascii="Arial" w:eastAsia="宋体" w:hAnsi="Arial" w:cs="Arial"/>
          <w:b/>
          <w:bCs/>
          <w:color w:val="000000"/>
          <w:sz w:val="20"/>
          <w:szCs w:val="20"/>
        </w:rPr>
        <w:t>STATE STREET CORPORATION</w:t>
      </w:r>
    </w:p>
    <w:p w14:paraId="74DDD443" w14:textId="77777777" w:rsidR="00584EC1" w:rsidRDefault="00871F8D">
      <w:pPr>
        <w:ind w:firstLine="450"/>
        <w:jc w:val="center"/>
      </w:pPr>
      <w:r>
        <w:rPr>
          <w:rFonts w:ascii="Arial" w:eastAsia="宋体" w:hAnsi="Arial" w:cs="Arial"/>
          <w:b/>
          <w:bCs/>
          <w:color w:val="000000"/>
          <w:sz w:val="20"/>
          <w:szCs w:val="20"/>
        </w:rPr>
        <w:t>CONDENSED NOTES TO CONSOLIDATED FINANCIAL STATEMENTS</w:t>
      </w:r>
    </w:p>
    <w:p w14:paraId="74DDD444" w14:textId="77777777" w:rsidR="00584EC1" w:rsidRDefault="00871F8D">
      <w:pPr>
        <w:ind w:firstLine="450"/>
        <w:jc w:val="center"/>
      </w:pPr>
      <w:r>
        <w:rPr>
          <w:rFonts w:ascii="Arial" w:eastAsia="宋体" w:hAnsi="Arial" w:cs="Arial"/>
          <w:b/>
          <w:bCs/>
          <w:color w:val="000000"/>
          <w:sz w:val="20"/>
          <w:szCs w:val="20"/>
        </w:rPr>
        <w:t>(UNAUDITED)</w:t>
      </w:r>
    </w:p>
    <w:p w14:paraId="74DDD445" w14:textId="77777777" w:rsidR="00584EC1" w:rsidRDefault="00871F8D">
      <w:pPr>
        <w:spacing w:before="60"/>
        <w:ind w:firstLine="450"/>
        <w:jc w:val="both"/>
      </w:pPr>
      <w:r>
        <w:rPr>
          <w:rFonts w:ascii="Arial" w:eastAsia="宋体" w:hAnsi="Arial" w:cs="Arial"/>
          <w:color w:val="000000"/>
          <w:sz w:val="20"/>
          <w:szCs w:val="20"/>
        </w:rPr>
        <w:t xml:space="preserve">Aggregate investment securities with carrying values of approximately $77.85 billion and $70.57 billion as of September 30, 2021 and </w:t>
      </w:r>
      <w:r>
        <w:rPr>
          <w:rFonts w:ascii="Arial" w:eastAsia="宋体" w:hAnsi="Arial" w:cs="Arial"/>
          <w:color w:val="000000"/>
          <w:sz w:val="20"/>
          <w:szCs w:val="20"/>
        </w:rPr>
        <w:t>December 31, 2020, respectively, were designated as pledged for public and trust deposits, short-term borrowings and for other purposes as provided by law.</w:t>
      </w:r>
    </w:p>
    <w:p w14:paraId="74DDD446" w14:textId="77777777" w:rsidR="00584EC1" w:rsidRDefault="00871F8D">
      <w:pPr>
        <w:spacing w:before="60"/>
        <w:ind w:firstLine="450"/>
        <w:jc w:val="both"/>
      </w:pPr>
      <w:r>
        <w:rPr>
          <w:rFonts w:ascii="Arial" w:eastAsia="宋体" w:hAnsi="Arial" w:cs="Arial"/>
          <w:color w:val="000000"/>
          <w:sz w:val="20"/>
          <w:szCs w:val="20"/>
        </w:rPr>
        <w:t xml:space="preserve">The following tables present the aggregate fair values of AFS investment securities that have </w:t>
      </w:r>
      <w:r>
        <w:rPr>
          <w:rFonts w:ascii="Arial" w:eastAsia="宋体" w:hAnsi="Arial" w:cs="Arial"/>
          <w:color w:val="000000"/>
          <w:sz w:val="20"/>
          <w:szCs w:val="20"/>
        </w:rPr>
        <w:t>been in a continuous unrealized loss position for less than 12 months, and those that have been in a continuous unrealized loss position for 12 months or longer, as of the dates indicated:</w:t>
      </w:r>
    </w:p>
    <w:tbl>
      <w:tblPr>
        <w:tblW w:w="4993" w:type="pct"/>
        <w:tblCellMar>
          <w:top w:w="15" w:type="dxa"/>
          <w:left w:w="15" w:type="dxa"/>
          <w:bottom w:w="15" w:type="dxa"/>
          <w:right w:w="15" w:type="dxa"/>
        </w:tblCellMar>
        <w:tblLook w:val="04A0" w:firstRow="1" w:lastRow="0" w:firstColumn="1" w:lastColumn="0" w:noHBand="0" w:noVBand="1"/>
      </w:tblPr>
      <w:tblGrid>
        <w:gridCol w:w="38"/>
        <w:gridCol w:w="3272"/>
        <w:gridCol w:w="36"/>
        <w:gridCol w:w="98"/>
        <w:gridCol w:w="629"/>
        <w:gridCol w:w="36"/>
        <w:gridCol w:w="36"/>
        <w:gridCol w:w="36"/>
        <w:gridCol w:w="36"/>
        <w:gridCol w:w="99"/>
        <w:gridCol w:w="664"/>
        <w:gridCol w:w="36"/>
        <w:gridCol w:w="36"/>
        <w:gridCol w:w="36"/>
        <w:gridCol w:w="36"/>
        <w:gridCol w:w="99"/>
        <w:gridCol w:w="504"/>
        <w:gridCol w:w="37"/>
        <w:gridCol w:w="36"/>
        <w:gridCol w:w="36"/>
        <w:gridCol w:w="36"/>
        <w:gridCol w:w="99"/>
        <w:gridCol w:w="664"/>
        <w:gridCol w:w="36"/>
        <w:gridCol w:w="36"/>
        <w:gridCol w:w="36"/>
        <w:gridCol w:w="36"/>
        <w:gridCol w:w="98"/>
        <w:gridCol w:w="504"/>
        <w:gridCol w:w="36"/>
        <w:gridCol w:w="36"/>
        <w:gridCol w:w="36"/>
        <w:gridCol w:w="36"/>
        <w:gridCol w:w="99"/>
        <w:gridCol w:w="664"/>
        <w:gridCol w:w="36"/>
      </w:tblGrid>
      <w:tr w:rsidR="00584EC1" w14:paraId="74DDD46B" w14:textId="77777777">
        <w:tc>
          <w:tcPr>
            <w:tcW w:w="50" w:type="pct"/>
            <w:shd w:val="clear" w:color="auto" w:fill="auto"/>
            <w:vAlign w:val="bottom"/>
          </w:tcPr>
          <w:p w14:paraId="74DDD447" w14:textId="77777777" w:rsidR="00584EC1" w:rsidRDefault="00584EC1">
            <w:pPr>
              <w:rPr>
                <w:rFonts w:ascii="宋体"/>
              </w:rPr>
            </w:pPr>
          </w:p>
        </w:tc>
        <w:tc>
          <w:tcPr>
            <w:tcW w:w="1994" w:type="pct"/>
            <w:shd w:val="clear" w:color="auto" w:fill="auto"/>
            <w:vAlign w:val="bottom"/>
          </w:tcPr>
          <w:p w14:paraId="74DDD448" w14:textId="77777777" w:rsidR="00584EC1" w:rsidRDefault="00584EC1">
            <w:pPr>
              <w:rPr>
                <w:rFonts w:ascii="宋体"/>
              </w:rPr>
            </w:pPr>
          </w:p>
        </w:tc>
        <w:tc>
          <w:tcPr>
            <w:tcW w:w="5" w:type="pct"/>
            <w:shd w:val="clear" w:color="auto" w:fill="auto"/>
            <w:vAlign w:val="bottom"/>
          </w:tcPr>
          <w:p w14:paraId="74DDD449" w14:textId="77777777" w:rsidR="00584EC1" w:rsidRDefault="00584EC1">
            <w:pPr>
              <w:rPr>
                <w:rFonts w:ascii="宋体"/>
              </w:rPr>
            </w:pPr>
          </w:p>
        </w:tc>
        <w:tc>
          <w:tcPr>
            <w:tcW w:w="50" w:type="pct"/>
            <w:shd w:val="clear" w:color="auto" w:fill="auto"/>
            <w:vAlign w:val="bottom"/>
          </w:tcPr>
          <w:p w14:paraId="74DDD44A" w14:textId="77777777" w:rsidR="00584EC1" w:rsidRDefault="00584EC1">
            <w:pPr>
              <w:rPr>
                <w:rFonts w:ascii="宋体"/>
              </w:rPr>
            </w:pPr>
          </w:p>
        </w:tc>
        <w:tc>
          <w:tcPr>
            <w:tcW w:w="406" w:type="pct"/>
            <w:shd w:val="clear" w:color="auto" w:fill="auto"/>
            <w:vAlign w:val="bottom"/>
          </w:tcPr>
          <w:p w14:paraId="74DDD44B" w14:textId="77777777" w:rsidR="00584EC1" w:rsidRDefault="00584EC1">
            <w:pPr>
              <w:rPr>
                <w:rFonts w:ascii="宋体"/>
              </w:rPr>
            </w:pPr>
          </w:p>
        </w:tc>
        <w:tc>
          <w:tcPr>
            <w:tcW w:w="5" w:type="pct"/>
            <w:shd w:val="clear" w:color="auto" w:fill="auto"/>
            <w:vAlign w:val="bottom"/>
          </w:tcPr>
          <w:p w14:paraId="74DDD44C" w14:textId="77777777" w:rsidR="00584EC1" w:rsidRDefault="00584EC1">
            <w:pPr>
              <w:rPr>
                <w:rFonts w:ascii="宋体"/>
              </w:rPr>
            </w:pPr>
          </w:p>
        </w:tc>
        <w:tc>
          <w:tcPr>
            <w:tcW w:w="5" w:type="pct"/>
            <w:shd w:val="clear" w:color="auto" w:fill="auto"/>
            <w:vAlign w:val="bottom"/>
          </w:tcPr>
          <w:p w14:paraId="74DDD44D" w14:textId="77777777" w:rsidR="00584EC1" w:rsidRDefault="00584EC1">
            <w:pPr>
              <w:rPr>
                <w:rFonts w:ascii="宋体"/>
              </w:rPr>
            </w:pPr>
          </w:p>
        </w:tc>
        <w:tc>
          <w:tcPr>
            <w:tcW w:w="26" w:type="pct"/>
            <w:shd w:val="clear" w:color="auto" w:fill="auto"/>
            <w:vAlign w:val="bottom"/>
          </w:tcPr>
          <w:p w14:paraId="74DDD44E" w14:textId="77777777" w:rsidR="00584EC1" w:rsidRDefault="00584EC1">
            <w:pPr>
              <w:rPr>
                <w:rFonts w:ascii="宋体"/>
              </w:rPr>
            </w:pPr>
          </w:p>
        </w:tc>
        <w:tc>
          <w:tcPr>
            <w:tcW w:w="5" w:type="pct"/>
            <w:shd w:val="clear" w:color="auto" w:fill="auto"/>
            <w:vAlign w:val="bottom"/>
          </w:tcPr>
          <w:p w14:paraId="74DDD44F" w14:textId="77777777" w:rsidR="00584EC1" w:rsidRDefault="00584EC1">
            <w:pPr>
              <w:rPr>
                <w:rFonts w:ascii="宋体"/>
              </w:rPr>
            </w:pPr>
          </w:p>
        </w:tc>
        <w:tc>
          <w:tcPr>
            <w:tcW w:w="50" w:type="pct"/>
            <w:shd w:val="clear" w:color="auto" w:fill="auto"/>
            <w:vAlign w:val="bottom"/>
          </w:tcPr>
          <w:p w14:paraId="74DDD450" w14:textId="77777777" w:rsidR="00584EC1" w:rsidRDefault="00584EC1">
            <w:pPr>
              <w:rPr>
                <w:rFonts w:ascii="宋体"/>
              </w:rPr>
            </w:pPr>
          </w:p>
        </w:tc>
        <w:tc>
          <w:tcPr>
            <w:tcW w:w="435" w:type="pct"/>
            <w:shd w:val="clear" w:color="auto" w:fill="auto"/>
            <w:vAlign w:val="bottom"/>
          </w:tcPr>
          <w:p w14:paraId="74DDD451" w14:textId="77777777" w:rsidR="00584EC1" w:rsidRDefault="00584EC1">
            <w:pPr>
              <w:rPr>
                <w:rFonts w:ascii="宋体"/>
              </w:rPr>
            </w:pPr>
          </w:p>
        </w:tc>
        <w:tc>
          <w:tcPr>
            <w:tcW w:w="5" w:type="pct"/>
            <w:shd w:val="clear" w:color="auto" w:fill="auto"/>
            <w:vAlign w:val="bottom"/>
          </w:tcPr>
          <w:p w14:paraId="74DDD452" w14:textId="77777777" w:rsidR="00584EC1" w:rsidRDefault="00584EC1">
            <w:pPr>
              <w:rPr>
                <w:rFonts w:ascii="宋体"/>
              </w:rPr>
            </w:pPr>
          </w:p>
        </w:tc>
        <w:tc>
          <w:tcPr>
            <w:tcW w:w="5" w:type="pct"/>
            <w:shd w:val="clear" w:color="auto" w:fill="auto"/>
            <w:vAlign w:val="bottom"/>
          </w:tcPr>
          <w:p w14:paraId="74DDD453" w14:textId="77777777" w:rsidR="00584EC1" w:rsidRDefault="00584EC1">
            <w:pPr>
              <w:rPr>
                <w:rFonts w:ascii="宋体"/>
              </w:rPr>
            </w:pPr>
          </w:p>
        </w:tc>
        <w:tc>
          <w:tcPr>
            <w:tcW w:w="26" w:type="pct"/>
            <w:shd w:val="clear" w:color="auto" w:fill="auto"/>
            <w:vAlign w:val="bottom"/>
          </w:tcPr>
          <w:p w14:paraId="74DDD454" w14:textId="77777777" w:rsidR="00584EC1" w:rsidRDefault="00584EC1">
            <w:pPr>
              <w:rPr>
                <w:rFonts w:ascii="宋体"/>
              </w:rPr>
            </w:pPr>
          </w:p>
        </w:tc>
        <w:tc>
          <w:tcPr>
            <w:tcW w:w="5" w:type="pct"/>
            <w:shd w:val="clear" w:color="auto" w:fill="auto"/>
            <w:vAlign w:val="bottom"/>
          </w:tcPr>
          <w:p w14:paraId="74DDD455" w14:textId="77777777" w:rsidR="00584EC1" w:rsidRDefault="00584EC1">
            <w:pPr>
              <w:rPr>
                <w:rFonts w:ascii="宋体"/>
              </w:rPr>
            </w:pPr>
          </w:p>
        </w:tc>
        <w:tc>
          <w:tcPr>
            <w:tcW w:w="50" w:type="pct"/>
            <w:shd w:val="clear" w:color="auto" w:fill="auto"/>
            <w:vAlign w:val="bottom"/>
          </w:tcPr>
          <w:p w14:paraId="74DDD456" w14:textId="77777777" w:rsidR="00584EC1" w:rsidRDefault="00584EC1">
            <w:pPr>
              <w:rPr>
                <w:rFonts w:ascii="宋体"/>
              </w:rPr>
            </w:pPr>
          </w:p>
        </w:tc>
        <w:tc>
          <w:tcPr>
            <w:tcW w:w="362" w:type="pct"/>
            <w:shd w:val="clear" w:color="auto" w:fill="auto"/>
            <w:vAlign w:val="bottom"/>
          </w:tcPr>
          <w:p w14:paraId="74DDD457" w14:textId="77777777" w:rsidR="00584EC1" w:rsidRDefault="00584EC1">
            <w:pPr>
              <w:rPr>
                <w:rFonts w:ascii="宋体"/>
              </w:rPr>
            </w:pPr>
          </w:p>
        </w:tc>
        <w:tc>
          <w:tcPr>
            <w:tcW w:w="5" w:type="pct"/>
            <w:shd w:val="clear" w:color="auto" w:fill="auto"/>
            <w:vAlign w:val="bottom"/>
          </w:tcPr>
          <w:p w14:paraId="74DDD458" w14:textId="77777777" w:rsidR="00584EC1" w:rsidRDefault="00584EC1">
            <w:pPr>
              <w:rPr>
                <w:rFonts w:ascii="宋体"/>
              </w:rPr>
            </w:pPr>
          </w:p>
        </w:tc>
        <w:tc>
          <w:tcPr>
            <w:tcW w:w="5" w:type="pct"/>
            <w:shd w:val="clear" w:color="auto" w:fill="auto"/>
            <w:vAlign w:val="bottom"/>
          </w:tcPr>
          <w:p w14:paraId="74DDD459" w14:textId="77777777" w:rsidR="00584EC1" w:rsidRDefault="00584EC1">
            <w:pPr>
              <w:rPr>
                <w:rFonts w:ascii="宋体"/>
              </w:rPr>
            </w:pPr>
          </w:p>
        </w:tc>
        <w:tc>
          <w:tcPr>
            <w:tcW w:w="26" w:type="pct"/>
            <w:shd w:val="clear" w:color="auto" w:fill="auto"/>
            <w:vAlign w:val="bottom"/>
          </w:tcPr>
          <w:p w14:paraId="74DDD45A" w14:textId="77777777" w:rsidR="00584EC1" w:rsidRDefault="00584EC1">
            <w:pPr>
              <w:rPr>
                <w:rFonts w:ascii="宋体"/>
              </w:rPr>
            </w:pPr>
          </w:p>
        </w:tc>
        <w:tc>
          <w:tcPr>
            <w:tcW w:w="5" w:type="pct"/>
            <w:shd w:val="clear" w:color="auto" w:fill="auto"/>
            <w:vAlign w:val="bottom"/>
          </w:tcPr>
          <w:p w14:paraId="74DDD45B" w14:textId="77777777" w:rsidR="00584EC1" w:rsidRDefault="00584EC1">
            <w:pPr>
              <w:rPr>
                <w:rFonts w:ascii="宋体"/>
              </w:rPr>
            </w:pPr>
          </w:p>
        </w:tc>
        <w:tc>
          <w:tcPr>
            <w:tcW w:w="50" w:type="pct"/>
            <w:shd w:val="clear" w:color="auto" w:fill="auto"/>
            <w:vAlign w:val="bottom"/>
          </w:tcPr>
          <w:p w14:paraId="74DDD45C" w14:textId="77777777" w:rsidR="00584EC1" w:rsidRDefault="00584EC1">
            <w:pPr>
              <w:rPr>
                <w:rFonts w:ascii="宋体"/>
              </w:rPr>
            </w:pPr>
          </w:p>
        </w:tc>
        <w:tc>
          <w:tcPr>
            <w:tcW w:w="435" w:type="pct"/>
            <w:shd w:val="clear" w:color="auto" w:fill="auto"/>
            <w:vAlign w:val="bottom"/>
          </w:tcPr>
          <w:p w14:paraId="74DDD45D" w14:textId="77777777" w:rsidR="00584EC1" w:rsidRDefault="00584EC1">
            <w:pPr>
              <w:rPr>
                <w:rFonts w:ascii="宋体"/>
              </w:rPr>
            </w:pPr>
          </w:p>
        </w:tc>
        <w:tc>
          <w:tcPr>
            <w:tcW w:w="5" w:type="pct"/>
            <w:shd w:val="clear" w:color="auto" w:fill="auto"/>
            <w:vAlign w:val="bottom"/>
          </w:tcPr>
          <w:p w14:paraId="74DDD45E" w14:textId="77777777" w:rsidR="00584EC1" w:rsidRDefault="00584EC1">
            <w:pPr>
              <w:rPr>
                <w:rFonts w:ascii="宋体"/>
              </w:rPr>
            </w:pPr>
          </w:p>
        </w:tc>
        <w:tc>
          <w:tcPr>
            <w:tcW w:w="5" w:type="pct"/>
            <w:shd w:val="clear" w:color="auto" w:fill="auto"/>
            <w:vAlign w:val="bottom"/>
          </w:tcPr>
          <w:p w14:paraId="74DDD45F" w14:textId="77777777" w:rsidR="00584EC1" w:rsidRDefault="00584EC1">
            <w:pPr>
              <w:rPr>
                <w:rFonts w:ascii="宋体"/>
              </w:rPr>
            </w:pPr>
          </w:p>
        </w:tc>
        <w:tc>
          <w:tcPr>
            <w:tcW w:w="26" w:type="pct"/>
            <w:shd w:val="clear" w:color="auto" w:fill="auto"/>
            <w:vAlign w:val="bottom"/>
          </w:tcPr>
          <w:p w14:paraId="74DDD460" w14:textId="77777777" w:rsidR="00584EC1" w:rsidRDefault="00584EC1">
            <w:pPr>
              <w:rPr>
                <w:rFonts w:ascii="宋体"/>
              </w:rPr>
            </w:pPr>
          </w:p>
        </w:tc>
        <w:tc>
          <w:tcPr>
            <w:tcW w:w="5" w:type="pct"/>
            <w:shd w:val="clear" w:color="auto" w:fill="auto"/>
            <w:vAlign w:val="bottom"/>
          </w:tcPr>
          <w:p w14:paraId="74DDD461" w14:textId="77777777" w:rsidR="00584EC1" w:rsidRDefault="00584EC1">
            <w:pPr>
              <w:rPr>
                <w:rFonts w:ascii="宋体"/>
              </w:rPr>
            </w:pPr>
          </w:p>
        </w:tc>
        <w:tc>
          <w:tcPr>
            <w:tcW w:w="50" w:type="pct"/>
            <w:shd w:val="clear" w:color="auto" w:fill="auto"/>
            <w:vAlign w:val="bottom"/>
          </w:tcPr>
          <w:p w14:paraId="74DDD462" w14:textId="77777777" w:rsidR="00584EC1" w:rsidRDefault="00584EC1">
            <w:pPr>
              <w:rPr>
                <w:rFonts w:ascii="宋体"/>
              </w:rPr>
            </w:pPr>
          </w:p>
        </w:tc>
        <w:tc>
          <w:tcPr>
            <w:tcW w:w="362" w:type="pct"/>
            <w:shd w:val="clear" w:color="auto" w:fill="auto"/>
            <w:vAlign w:val="bottom"/>
          </w:tcPr>
          <w:p w14:paraId="74DDD463" w14:textId="77777777" w:rsidR="00584EC1" w:rsidRDefault="00584EC1">
            <w:pPr>
              <w:rPr>
                <w:rFonts w:ascii="宋体"/>
              </w:rPr>
            </w:pPr>
          </w:p>
        </w:tc>
        <w:tc>
          <w:tcPr>
            <w:tcW w:w="5" w:type="pct"/>
            <w:shd w:val="clear" w:color="auto" w:fill="auto"/>
            <w:vAlign w:val="bottom"/>
          </w:tcPr>
          <w:p w14:paraId="74DDD464" w14:textId="77777777" w:rsidR="00584EC1" w:rsidRDefault="00584EC1">
            <w:pPr>
              <w:rPr>
                <w:rFonts w:ascii="宋体"/>
              </w:rPr>
            </w:pPr>
          </w:p>
        </w:tc>
        <w:tc>
          <w:tcPr>
            <w:tcW w:w="5" w:type="pct"/>
            <w:shd w:val="clear" w:color="auto" w:fill="auto"/>
            <w:vAlign w:val="bottom"/>
          </w:tcPr>
          <w:p w14:paraId="74DDD465" w14:textId="77777777" w:rsidR="00584EC1" w:rsidRDefault="00584EC1">
            <w:pPr>
              <w:rPr>
                <w:rFonts w:ascii="宋体"/>
              </w:rPr>
            </w:pPr>
          </w:p>
        </w:tc>
        <w:tc>
          <w:tcPr>
            <w:tcW w:w="26" w:type="pct"/>
            <w:shd w:val="clear" w:color="auto" w:fill="auto"/>
            <w:vAlign w:val="bottom"/>
          </w:tcPr>
          <w:p w14:paraId="74DDD466" w14:textId="77777777" w:rsidR="00584EC1" w:rsidRDefault="00584EC1">
            <w:pPr>
              <w:rPr>
                <w:rFonts w:ascii="宋体"/>
              </w:rPr>
            </w:pPr>
          </w:p>
        </w:tc>
        <w:tc>
          <w:tcPr>
            <w:tcW w:w="5" w:type="pct"/>
            <w:shd w:val="clear" w:color="auto" w:fill="auto"/>
            <w:vAlign w:val="bottom"/>
          </w:tcPr>
          <w:p w14:paraId="74DDD467" w14:textId="77777777" w:rsidR="00584EC1" w:rsidRDefault="00584EC1">
            <w:pPr>
              <w:rPr>
                <w:rFonts w:ascii="宋体"/>
              </w:rPr>
            </w:pPr>
          </w:p>
        </w:tc>
        <w:tc>
          <w:tcPr>
            <w:tcW w:w="50" w:type="pct"/>
            <w:shd w:val="clear" w:color="auto" w:fill="auto"/>
            <w:vAlign w:val="bottom"/>
          </w:tcPr>
          <w:p w14:paraId="74DDD468" w14:textId="77777777" w:rsidR="00584EC1" w:rsidRDefault="00584EC1">
            <w:pPr>
              <w:rPr>
                <w:rFonts w:ascii="宋体"/>
              </w:rPr>
            </w:pPr>
          </w:p>
        </w:tc>
        <w:tc>
          <w:tcPr>
            <w:tcW w:w="435" w:type="pct"/>
            <w:shd w:val="clear" w:color="auto" w:fill="auto"/>
            <w:vAlign w:val="bottom"/>
          </w:tcPr>
          <w:p w14:paraId="74DDD469" w14:textId="77777777" w:rsidR="00584EC1" w:rsidRDefault="00584EC1">
            <w:pPr>
              <w:rPr>
                <w:rFonts w:ascii="宋体"/>
              </w:rPr>
            </w:pPr>
          </w:p>
        </w:tc>
        <w:tc>
          <w:tcPr>
            <w:tcW w:w="5" w:type="pct"/>
            <w:shd w:val="clear" w:color="auto" w:fill="auto"/>
            <w:vAlign w:val="bottom"/>
          </w:tcPr>
          <w:p w14:paraId="74DDD46A" w14:textId="77777777" w:rsidR="00584EC1" w:rsidRDefault="00584EC1">
            <w:pPr>
              <w:rPr>
                <w:rFonts w:ascii="宋体"/>
              </w:rPr>
            </w:pPr>
          </w:p>
        </w:tc>
      </w:tr>
      <w:tr w:rsidR="00584EC1" w14:paraId="74DDD46E" w14:textId="77777777">
        <w:tc>
          <w:tcPr>
            <w:tcW w:w="0" w:type="auto"/>
            <w:gridSpan w:val="3"/>
            <w:shd w:val="clear" w:color="auto" w:fill="auto"/>
            <w:tcMar>
              <w:top w:w="0" w:type="dxa"/>
              <w:left w:w="20" w:type="dxa"/>
              <w:bottom w:w="0" w:type="dxa"/>
              <w:right w:w="20" w:type="dxa"/>
            </w:tcMar>
            <w:vAlign w:val="bottom"/>
          </w:tcPr>
          <w:p w14:paraId="74DDD46C" w14:textId="77777777" w:rsidR="00584EC1" w:rsidRDefault="00584EC1">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74DDD46D" w14:textId="77777777" w:rsidR="00584EC1" w:rsidRDefault="00871F8D">
            <w:pPr>
              <w:jc w:val="center"/>
              <w:textAlignment w:val="bottom"/>
            </w:pPr>
            <w:r>
              <w:rPr>
                <w:rFonts w:ascii="Arial" w:eastAsia="宋体" w:hAnsi="Arial" w:cs="Arial"/>
                <w:b/>
                <w:bCs/>
                <w:color w:val="000000"/>
                <w:sz w:val="14"/>
                <w:szCs w:val="14"/>
              </w:rPr>
              <w:t>As of September 30, 2021</w:t>
            </w:r>
          </w:p>
        </w:tc>
      </w:tr>
      <w:tr w:rsidR="00584EC1" w14:paraId="74DDD475" w14:textId="77777777">
        <w:tc>
          <w:tcPr>
            <w:tcW w:w="0" w:type="auto"/>
            <w:gridSpan w:val="3"/>
            <w:shd w:val="clear" w:color="auto" w:fill="auto"/>
            <w:tcMar>
              <w:top w:w="0" w:type="dxa"/>
              <w:left w:w="20" w:type="dxa"/>
              <w:bottom w:w="0" w:type="dxa"/>
              <w:right w:w="20" w:type="dxa"/>
            </w:tcMar>
            <w:vAlign w:val="bottom"/>
          </w:tcPr>
          <w:p w14:paraId="74DDD46F" w14:textId="77777777" w:rsidR="00584EC1" w:rsidRDefault="00584E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4DDD470" w14:textId="77777777" w:rsidR="00584EC1" w:rsidRDefault="00871F8D">
            <w:pPr>
              <w:jc w:val="center"/>
              <w:textAlignment w:val="bottom"/>
            </w:pPr>
            <w:r>
              <w:rPr>
                <w:rFonts w:ascii="Arial" w:eastAsia="宋体" w:hAnsi="Arial" w:cs="Arial"/>
                <w:b/>
                <w:bCs/>
                <w:color w:val="000000"/>
                <w:sz w:val="14"/>
                <w:szCs w:val="14"/>
              </w:rPr>
              <w:t>Less than 12 months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D471" w14:textId="77777777" w:rsidR="00584EC1" w:rsidRDefault="00584E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4DDD472" w14:textId="77777777" w:rsidR="00584EC1" w:rsidRDefault="00871F8D">
            <w:pPr>
              <w:jc w:val="center"/>
              <w:textAlignment w:val="bottom"/>
            </w:pPr>
            <w:r>
              <w:rPr>
                <w:rFonts w:ascii="Arial" w:eastAsia="宋体" w:hAnsi="Arial" w:cs="Arial"/>
                <w:b/>
                <w:bCs/>
                <w:color w:val="000000"/>
                <w:sz w:val="14"/>
                <w:szCs w:val="14"/>
              </w:rPr>
              <w:t>12 months or longer</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D473" w14:textId="77777777" w:rsidR="00584EC1" w:rsidRDefault="00584E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4DDD474" w14:textId="77777777" w:rsidR="00584EC1" w:rsidRDefault="00871F8D">
            <w:pPr>
              <w:jc w:val="center"/>
              <w:textAlignment w:val="bottom"/>
            </w:pPr>
            <w:r>
              <w:rPr>
                <w:rFonts w:ascii="Arial" w:eastAsia="宋体" w:hAnsi="Arial" w:cs="Arial"/>
                <w:b/>
                <w:bCs/>
                <w:color w:val="000000"/>
                <w:sz w:val="14"/>
                <w:szCs w:val="14"/>
              </w:rPr>
              <w:t>Total</w:t>
            </w:r>
          </w:p>
        </w:tc>
      </w:tr>
      <w:tr w:rsidR="00584EC1" w14:paraId="74DDD482" w14:textId="77777777">
        <w:tc>
          <w:tcPr>
            <w:tcW w:w="0" w:type="auto"/>
            <w:gridSpan w:val="3"/>
            <w:shd w:val="clear" w:color="auto" w:fill="auto"/>
            <w:tcMar>
              <w:top w:w="40" w:type="dxa"/>
              <w:left w:w="20" w:type="dxa"/>
              <w:bottom w:w="40" w:type="dxa"/>
              <w:right w:w="20" w:type="dxa"/>
            </w:tcMar>
            <w:vAlign w:val="bottom"/>
          </w:tcPr>
          <w:p w14:paraId="74DDD476" w14:textId="77777777" w:rsidR="00584EC1" w:rsidRDefault="00871F8D">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D477" w14:textId="77777777" w:rsidR="00584EC1" w:rsidRDefault="00871F8D">
            <w:pPr>
              <w:jc w:val="center"/>
              <w:textAlignment w:val="bottom"/>
            </w:pPr>
            <w:r>
              <w:rPr>
                <w:rFonts w:ascii="Arial" w:eastAsia="宋体" w:hAnsi="Arial" w:cs="Arial"/>
                <w:b/>
                <w:bCs/>
                <w:color w:val="000000"/>
                <w:sz w:val="14"/>
                <w:szCs w:val="14"/>
              </w:rPr>
              <w:t>Fair</w:t>
            </w:r>
            <w:r>
              <w:rPr>
                <w:rFonts w:ascii="Arial" w:eastAsia="宋体" w:hAnsi="Arial" w:cs="Arial"/>
                <w:b/>
                <w:bCs/>
                <w:color w:val="000000"/>
                <w:sz w:val="14"/>
                <w:szCs w:val="14"/>
              </w:rPr>
              <w:br/>
              <w:t>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D478"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D479" w14:textId="77777777" w:rsidR="00584EC1" w:rsidRDefault="00871F8D">
            <w:pPr>
              <w:jc w:val="center"/>
              <w:textAlignment w:val="bottom"/>
            </w:pPr>
            <w:r>
              <w:rPr>
                <w:rFonts w:ascii="Arial" w:eastAsia="宋体" w:hAnsi="Arial" w:cs="Arial"/>
                <w:b/>
                <w:bCs/>
                <w:color w:val="000000"/>
                <w:sz w:val="14"/>
                <w:szCs w:val="14"/>
              </w:rPr>
              <w:t>Gross</w:t>
            </w:r>
            <w:r>
              <w:rPr>
                <w:rFonts w:ascii="Arial" w:eastAsia="宋体" w:hAnsi="Arial" w:cs="Arial"/>
                <w:b/>
                <w:bCs/>
                <w:color w:val="000000"/>
                <w:sz w:val="14"/>
                <w:szCs w:val="14"/>
              </w:rPr>
              <w:br/>
              <w:t>Unrealized</w:t>
            </w:r>
            <w:r>
              <w:rPr>
                <w:rFonts w:ascii="Arial" w:eastAsia="宋体" w:hAnsi="Arial" w:cs="Arial"/>
                <w:b/>
                <w:bCs/>
                <w:color w:val="000000"/>
                <w:sz w:val="14"/>
                <w:szCs w:val="14"/>
              </w:rPr>
              <w:br/>
              <w:t>Losses</w:t>
            </w:r>
          </w:p>
        </w:tc>
        <w:tc>
          <w:tcPr>
            <w:tcW w:w="0" w:type="auto"/>
            <w:gridSpan w:val="3"/>
            <w:shd w:val="clear" w:color="auto" w:fill="auto"/>
            <w:tcMar>
              <w:top w:w="0" w:type="dxa"/>
              <w:left w:w="20" w:type="dxa"/>
              <w:bottom w:w="0" w:type="dxa"/>
              <w:right w:w="20" w:type="dxa"/>
            </w:tcMar>
            <w:vAlign w:val="bottom"/>
          </w:tcPr>
          <w:p w14:paraId="74DDD47A"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D47B" w14:textId="77777777" w:rsidR="00584EC1" w:rsidRDefault="00871F8D">
            <w:pPr>
              <w:jc w:val="center"/>
              <w:textAlignment w:val="bottom"/>
            </w:pPr>
            <w:r>
              <w:rPr>
                <w:rFonts w:ascii="Arial" w:eastAsia="宋体" w:hAnsi="Arial" w:cs="Arial"/>
                <w:b/>
                <w:bCs/>
                <w:color w:val="000000"/>
                <w:sz w:val="14"/>
                <w:szCs w:val="14"/>
              </w:rPr>
              <w:t>Fair</w:t>
            </w:r>
            <w:r>
              <w:rPr>
                <w:rFonts w:ascii="Arial" w:eastAsia="宋体" w:hAnsi="Arial" w:cs="Arial"/>
                <w:b/>
                <w:bCs/>
                <w:color w:val="000000"/>
                <w:sz w:val="14"/>
                <w:szCs w:val="14"/>
              </w:rPr>
              <w:br/>
              <w:t>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D47C"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D47D" w14:textId="77777777" w:rsidR="00584EC1" w:rsidRDefault="00871F8D">
            <w:pPr>
              <w:jc w:val="center"/>
              <w:textAlignment w:val="bottom"/>
            </w:pPr>
            <w:r>
              <w:rPr>
                <w:rFonts w:ascii="Arial" w:eastAsia="宋体" w:hAnsi="Arial" w:cs="Arial"/>
                <w:b/>
                <w:bCs/>
                <w:color w:val="000000"/>
                <w:sz w:val="14"/>
                <w:szCs w:val="14"/>
              </w:rPr>
              <w:t>Gross</w:t>
            </w:r>
            <w:r>
              <w:rPr>
                <w:rFonts w:ascii="Arial" w:eastAsia="宋体" w:hAnsi="Arial" w:cs="Arial"/>
                <w:b/>
                <w:bCs/>
                <w:color w:val="000000"/>
                <w:sz w:val="14"/>
                <w:szCs w:val="14"/>
              </w:rPr>
              <w:br/>
              <w:t>Unrealized</w:t>
            </w:r>
            <w:r>
              <w:rPr>
                <w:rFonts w:ascii="Arial" w:eastAsia="宋体" w:hAnsi="Arial" w:cs="Arial"/>
                <w:b/>
                <w:bCs/>
                <w:color w:val="000000"/>
                <w:sz w:val="14"/>
                <w:szCs w:val="14"/>
              </w:rPr>
              <w:br/>
              <w:t>Losses</w:t>
            </w:r>
          </w:p>
        </w:tc>
        <w:tc>
          <w:tcPr>
            <w:tcW w:w="0" w:type="auto"/>
            <w:gridSpan w:val="3"/>
            <w:shd w:val="clear" w:color="auto" w:fill="auto"/>
            <w:tcMar>
              <w:top w:w="0" w:type="dxa"/>
              <w:left w:w="20" w:type="dxa"/>
              <w:bottom w:w="0" w:type="dxa"/>
              <w:right w:w="20" w:type="dxa"/>
            </w:tcMar>
            <w:vAlign w:val="bottom"/>
          </w:tcPr>
          <w:p w14:paraId="74DDD47E"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D47F" w14:textId="77777777" w:rsidR="00584EC1" w:rsidRDefault="00871F8D">
            <w:pPr>
              <w:jc w:val="center"/>
              <w:textAlignment w:val="bottom"/>
            </w:pPr>
            <w:r>
              <w:rPr>
                <w:rFonts w:ascii="Arial" w:eastAsia="宋体" w:hAnsi="Arial" w:cs="Arial"/>
                <w:b/>
                <w:bCs/>
                <w:color w:val="000000"/>
                <w:sz w:val="14"/>
                <w:szCs w:val="14"/>
              </w:rPr>
              <w:t>Fair</w:t>
            </w:r>
            <w:r>
              <w:rPr>
                <w:rFonts w:ascii="Arial" w:eastAsia="宋体" w:hAnsi="Arial" w:cs="Arial"/>
                <w:b/>
                <w:bCs/>
                <w:color w:val="000000"/>
                <w:sz w:val="14"/>
                <w:szCs w:val="14"/>
              </w:rPr>
              <w:br/>
              <w:t>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D480"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D481" w14:textId="77777777" w:rsidR="00584EC1" w:rsidRDefault="00871F8D">
            <w:pPr>
              <w:jc w:val="center"/>
              <w:textAlignment w:val="bottom"/>
            </w:pPr>
            <w:r>
              <w:rPr>
                <w:rFonts w:ascii="Arial" w:eastAsia="宋体" w:hAnsi="Arial" w:cs="Arial"/>
                <w:b/>
                <w:bCs/>
                <w:color w:val="000000"/>
                <w:sz w:val="14"/>
                <w:szCs w:val="14"/>
              </w:rPr>
              <w:t>Gross</w:t>
            </w:r>
            <w:r>
              <w:rPr>
                <w:rFonts w:ascii="Arial" w:eastAsia="宋体" w:hAnsi="Arial" w:cs="Arial"/>
                <w:b/>
                <w:bCs/>
                <w:color w:val="000000"/>
                <w:sz w:val="14"/>
                <w:szCs w:val="14"/>
              </w:rPr>
              <w:br/>
              <w:t>Unrealized</w:t>
            </w:r>
            <w:r>
              <w:rPr>
                <w:rFonts w:ascii="Arial" w:eastAsia="宋体" w:hAnsi="Arial" w:cs="Arial"/>
                <w:b/>
                <w:bCs/>
                <w:color w:val="000000"/>
                <w:sz w:val="14"/>
                <w:szCs w:val="14"/>
              </w:rPr>
              <w:br/>
              <w:t>Losses</w:t>
            </w:r>
          </w:p>
        </w:tc>
      </w:tr>
      <w:tr w:rsidR="00584EC1" w14:paraId="74DDD48F" w14:textId="77777777">
        <w:tc>
          <w:tcPr>
            <w:tcW w:w="0" w:type="auto"/>
            <w:gridSpan w:val="3"/>
            <w:shd w:val="clear" w:color="auto" w:fill="auto"/>
            <w:tcMar>
              <w:top w:w="40" w:type="dxa"/>
              <w:left w:w="20" w:type="dxa"/>
              <w:bottom w:w="40" w:type="dxa"/>
              <w:right w:w="20" w:type="dxa"/>
            </w:tcMar>
            <w:vAlign w:val="bottom"/>
          </w:tcPr>
          <w:p w14:paraId="74DDD483" w14:textId="77777777" w:rsidR="00584EC1" w:rsidRDefault="00871F8D">
            <w:pPr>
              <w:textAlignment w:val="bottom"/>
            </w:pPr>
            <w:r>
              <w:rPr>
                <w:rFonts w:ascii="Arial" w:eastAsia="宋体" w:hAnsi="Arial" w:cs="Arial"/>
                <w:b/>
                <w:bCs/>
                <w:color w:val="000000"/>
                <w:sz w:val="14"/>
                <w:szCs w:val="14"/>
              </w:rPr>
              <w:t>Available-for-sale: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D484"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D485"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D486"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D487"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D488"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D489"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D48A"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D48B"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D48C"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D48D"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D48E" w14:textId="77777777" w:rsidR="00584EC1" w:rsidRDefault="00584EC1">
            <w:pPr>
              <w:rPr>
                <w:rFonts w:ascii="宋体"/>
              </w:rPr>
            </w:pPr>
          </w:p>
        </w:tc>
      </w:tr>
      <w:tr w:rsidR="00584EC1" w14:paraId="74DDD49C" w14:textId="77777777">
        <w:tc>
          <w:tcPr>
            <w:tcW w:w="0" w:type="auto"/>
            <w:gridSpan w:val="3"/>
            <w:shd w:val="clear" w:color="auto" w:fill="auto"/>
            <w:tcMar>
              <w:top w:w="40" w:type="dxa"/>
              <w:left w:w="20" w:type="dxa"/>
              <w:bottom w:w="40" w:type="dxa"/>
              <w:right w:w="20" w:type="dxa"/>
            </w:tcMar>
            <w:vAlign w:val="bottom"/>
          </w:tcPr>
          <w:p w14:paraId="74DDD490" w14:textId="77777777" w:rsidR="00584EC1" w:rsidRDefault="00871F8D">
            <w:pPr>
              <w:textAlignment w:val="bottom"/>
            </w:pPr>
            <w:r>
              <w:rPr>
                <w:rFonts w:ascii="Arial" w:eastAsia="宋体" w:hAnsi="Arial" w:cs="Arial"/>
                <w:color w:val="000000"/>
                <w:sz w:val="14"/>
                <w:szCs w:val="14"/>
              </w:rPr>
              <w:t>U.S. Treasury and federal agencies:</w:t>
            </w:r>
          </w:p>
        </w:tc>
        <w:tc>
          <w:tcPr>
            <w:tcW w:w="0" w:type="auto"/>
            <w:gridSpan w:val="3"/>
            <w:shd w:val="clear" w:color="auto" w:fill="auto"/>
            <w:tcMar>
              <w:top w:w="0" w:type="dxa"/>
              <w:left w:w="20" w:type="dxa"/>
              <w:bottom w:w="0" w:type="dxa"/>
              <w:right w:w="20" w:type="dxa"/>
            </w:tcMar>
            <w:vAlign w:val="bottom"/>
          </w:tcPr>
          <w:p w14:paraId="74DDD49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D49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D493"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D494"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D49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D496"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D497"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D498"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D499"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D49A"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D49B" w14:textId="77777777" w:rsidR="00584EC1" w:rsidRDefault="00584EC1">
            <w:pPr>
              <w:rPr>
                <w:rFonts w:ascii="宋体"/>
              </w:rPr>
            </w:pPr>
          </w:p>
        </w:tc>
      </w:tr>
      <w:tr w:rsidR="00584EC1" w14:paraId="74DDD4B5" w14:textId="77777777">
        <w:tc>
          <w:tcPr>
            <w:tcW w:w="0" w:type="auto"/>
            <w:gridSpan w:val="3"/>
            <w:shd w:val="clear" w:color="auto" w:fill="CCEEFF"/>
            <w:tcMar>
              <w:top w:w="40" w:type="dxa"/>
              <w:left w:w="155" w:type="dxa"/>
              <w:bottom w:w="40" w:type="dxa"/>
              <w:right w:w="20" w:type="dxa"/>
            </w:tcMar>
            <w:vAlign w:val="bottom"/>
          </w:tcPr>
          <w:p w14:paraId="74DDD49D" w14:textId="77777777" w:rsidR="00584EC1" w:rsidRDefault="00871F8D">
            <w:pPr>
              <w:textAlignment w:val="bottom"/>
            </w:pPr>
            <w:r>
              <w:rPr>
                <w:rFonts w:ascii="Arial" w:eastAsia="宋体" w:hAnsi="Arial" w:cs="Arial"/>
                <w:color w:val="000000"/>
                <w:sz w:val="14"/>
                <w:szCs w:val="14"/>
              </w:rPr>
              <w:t>Direct obligations</w:t>
            </w:r>
          </w:p>
        </w:tc>
        <w:tc>
          <w:tcPr>
            <w:tcW w:w="0" w:type="auto"/>
            <w:shd w:val="clear" w:color="auto" w:fill="CCEEFF"/>
            <w:tcMar>
              <w:top w:w="40" w:type="dxa"/>
              <w:left w:w="20" w:type="dxa"/>
              <w:bottom w:w="40" w:type="dxa"/>
              <w:right w:w="0" w:type="dxa"/>
            </w:tcMar>
            <w:vAlign w:val="bottom"/>
          </w:tcPr>
          <w:p w14:paraId="74DDD49E" w14:textId="77777777" w:rsidR="00584EC1" w:rsidRDefault="00871F8D">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4DDD49F" w14:textId="77777777" w:rsidR="00584EC1" w:rsidRDefault="00871F8D">
            <w:pPr>
              <w:jc w:val="right"/>
              <w:textAlignment w:val="bottom"/>
            </w:pPr>
            <w:r>
              <w:rPr>
                <w:rFonts w:ascii="Arial" w:eastAsia="宋体" w:hAnsi="Arial" w:cs="Arial"/>
                <w:b/>
                <w:bCs/>
                <w:color w:val="000000"/>
                <w:sz w:val="14"/>
                <w:szCs w:val="14"/>
              </w:rPr>
              <w:t>11,538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D4A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4A1"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D4A2" w14:textId="77777777" w:rsidR="00584EC1" w:rsidRDefault="00871F8D">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4DDD4A3" w14:textId="77777777" w:rsidR="00584EC1" w:rsidRDefault="00871F8D">
            <w:pPr>
              <w:jc w:val="right"/>
              <w:textAlignment w:val="bottom"/>
            </w:pPr>
            <w:r>
              <w:rPr>
                <w:rFonts w:ascii="Arial" w:eastAsia="宋体" w:hAnsi="Arial" w:cs="Arial"/>
                <w:b/>
                <w:bCs/>
                <w:color w:val="000000"/>
                <w:sz w:val="14"/>
                <w:szCs w:val="14"/>
              </w:rPr>
              <w:t>63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D4A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4A5"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D4A6" w14:textId="77777777" w:rsidR="00584EC1" w:rsidRDefault="00871F8D">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4DDD4A7"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D4A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4A9"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D4AA" w14:textId="77777777" w:rsidR="00584EC1" w:rsidRDefault="00871F8D">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4DDD4AB"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D4A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4AD"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D4AE" w14:textId="77777777" w:rsidR="00584EC1" w:rsidRDefault="00871F8D">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4DDD4AF" w14:textId="77777777" w:rsidR="00584EC1" w:rsidRDefault="00871F8D">
            <w:pPr>
              <w:jc w:val="right"/>
              <w:textAlignment w:val="bottom"/>
            </w:pPr>
            <w:r>
              <w:rPr>
                <w:rFonts w:ascii="Arial" w:eastAsia="宋体" w:hAnsi="Arial" w:cs="Arial"/>
                <w:b/>
                <w:bCs/>
                <w:color w:val="000000"/>
                <w:sz w:val="14"/>
                <w:szCs w:val="14"/>
              </w:rPr>
              <w:t>11,538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D4B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4B1"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D4B2" w14:textId="77777777" w:rsidR="00584EC1" w:rsidRDefault="00871F8D">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4DDD4B3" w14:textId="77777777" w:rsidR="00584EC1" w:rsidRDefault="00871F8D">
            <w:pPr>
              <w:jc w:val="right"/>
              <w:textAlignment w:val="bottom"/>
            </w:pPr>
            <w:r>
              <w:rPr>
                <w:rFonts w:ascii="Arial" w:eastAsia="宋体" w:hAnsi="Arial" w:cs="Arial"/>
                <w:b/>
                <w:bCs/>
                <w:color w:val="000000"/>
                <w:sz w:val="14"/>
                <w:szCs w:val="14"/>
              </w:rPr>
              <w:t>63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D4B4" w14:textId="77777777" w:rsidR="00584EC1" w:rsidRDefault="00584EC1">
            <w:pPr>
              <w:jc w:val="right"/>
              <w:rPr>
                <w:rFonts w:ascii="宋体"/>
              </w:rPr>
            </w:pPr>
          </w:p>
        </w:tc>
      </w:tr>
      <w:tr w:rsidR="00584EC1" w14:paraId="74DDD4C8" w14:textId="77777777">
        <w:tc>
          <w:tcPr>
            <w:tcW w:w="0" w:type="auto"/>
            <w:gridSpan w:val="3"/>
            <w:shd w:val="clear" w:color="auto" w:fill="FFFFFF"/>
            <w:tcMar>
              <w:top w:w="40" w:type="dxa"/>
              <w:left w:w="155" w:type="dxa"/>
              <w:bottom w:w="40" w:type="dxa"/>
              <w:right w:w="20" w:type="dxa"/>
            </w:tcMar>
            <w:vAlign w:val="bottom"/>
          </w:tcPr>
          <w:p w14:paraId="74DDD4B6" w14:textId="77777777" w:rsidR="00584EC1" w:rsidRDefault="00871F8D">
            <w:pPr>
              <w:textAlignment w:val="bottom"/>
            </w:pPr>
            <w:r>
              <w:rPr>
                <w:rFonts w:ascii="Arial" w:eastAsia="宋体" w:hAnsi="Arial" w:cs="Arial"/>
                <w:color w:val="000000"/>
                <w:sz w:val="14"/>
                <w:szCs w:val="14"/>
              </w:rPr>
              <w:t>Mortgag</w:t>
            </w:r>
            <w:r>
              <w:rPr>
                <w:rFonts w:ascii="Arial" w:eastAsia="宋体" w:hAnsi="Arial" w:cs="Arial"/>
                <w:color w:val="000000"/>
                <w:sz w:val="14"/>
                <w:szCs w:val="14"/>
              </w:rPr>
              <w:t>e-backed securities</w:t>
            </w:r>
          </w:p>
        </w:tc>
        <w:tc>
          <w:tcPr>
            <w:tcW w:w="0" w:type="auto"/>
            <w:gridSpan w:val="2"/>
            <w:shd w:val="clear" w:color="auto" w:fill="FFFFFF"/>
            <w:tcMar>
              <w:top w:w="40" w:type="dxa"/>
              <w:left w:w="20" w:type="dxa"/>
              <w:bottom w:w="40" w:type="dxa"/>
              <w:right w:w="0" w:type="dxa"/>
            </w:tcMar>
            <w:vAlign w:val="bottom"/>
          </w:tcPr>
          <w:p w14:paraId="74DDD4B7" w14:textId="77777777" w:rsidR="00584EC1" w:rsidRDefault="00871F8D">
            <w:pPr>
              <w:jc w:val="right"/>
              <w:textAlignment w:val="bottom"/>
            </w:pPr>
            <w:r>
              <w:rPr>
                <w:rFonts w:ascii="Arial" w:eastAsia="宋体" w:hAnsi="Arial" w:cs="Arial"/>
                <w:b/>
                <w:bCs/>
                <w:color w:val="000000"/>
                <w:sz w:val="14"/>
                <w:szCs w:val="14"/>
              </w:rPr>
              <w:t>3,847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D4B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4B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4BA" w14:textId="77777777" w:rsidR="00584EC1" w:rsidRDefault="00871F8D">
            <w:pPr>
              <w:jc w:val="right"/>
              <w:textAlignment w:val="bottom"/>
            </w:pPr>
            <w:r>
              <w:rPr>
                <w:rFonts w:ascii="Arial" w:eastAsia="宋体" w:hAnsi="Arial" w:cs="Arial"/>
                <w:b/>
                <w:bCs/>
                <w:color w:val="000000"/>
                <w:sz w:val="14"/>
                <w:szCs w:val="14"/>
              </w:rPr>
              <w:t>41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D4B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4B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4BD" w14:textId="77777777" w:rsidR="00584EC1" w:rsidRDefault="00871F8D">
            <w:pPr>
              <w:jc w:val="right"/>
              <w:textAlignment w:val="bottom"/>
            </w:pPr>
            <w:r>
              <w:rPr>
                <w:rFonts w:ascii="Arial" w:eastAsia="宋体" w:hAnsi="Arial" w:cs="Arial"/>
                <w:b/>
                <w:bCs/>
                <w:color w:val="000000"/>
                <w:sz w:val="14"/>
                <w:szCs w:val="14"/>
              </w:rPr>
              <w:t>162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D4B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4B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4C0" w14:textId="77777777" w:rsidR="00584EC1" w:rsidRDefault="00871F8D">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D4C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4C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4C3" w14:textId="77777777" w:rsidR="00584EC1" w:rsidRDefault="00871F8D">
            <w:pPr>
              <w:jc w:val="right"/>
              <w:textAlignment w:val="bottom"/>
            </w:pPr>
            <w:r>
              <w:rPr>
                <w:rFonts w:ascii="Arial" w:eastAsia="宋体" w:hAnsi="Arial" w:cs="Arial"/>
                <w:b/>
                <w:bCs/>
                <w:color w:val="000000"/>
                <w:sz w:val="14"/>
                <w:szCs w:val="14"/>
              </w:rPr>
              <w:t>4,009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D4C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4C5"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4C6" w14:textId="77777777" w:rsidR="00584EC1" w:rsidRDefault="00871F8D">
            <w:pPr>
              <w:jc w:val="right"/>
              <w:textAlignment w:val="bottom"/>
            </w:pPr>
            <w:r>
              <w:rPr>
                <w:rFonts w:ascii="Arial" w:eastAsia="宋体" w:hAnsi="Arial" w:cs="Arial"/>
                <w:b/>
                <w:bCs/>
                <w:color w:val="000000"/>
                <w:sz w:val="14"/>
                <w:szCs w:val="14"/>
              </w:rPr>
              <w:t>43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D4C7" w14:textId="77777777" w:rsidR="00584EC1" w:rsidRDefault="00584EC1">
            <w:pPr>
              <w:jc w:val="right"/>
              <w:rPr>
                <w:rFonts w:ascii="宋体"/>
              </w:rPr>
            </w:pPr>
          </w:p>
        </w:tc>
      </w:tr>
      <w:tr w:rsidR="00584EC1" w14:paraId="74DDD4DB" w14:textId="77777777">
        <w:tc>
          <w:tcPr>
            <w:tcW w:w="0" w:type="auto"/>
            <w:gridSpan w:val="3"/>
            <w:shd w:val="clear" w:color="auto" w:fill="CCEEFF"/>
            <w:tcMar>
              <w:top w:w="40" w:type="dxa"/>
              <w:left w:w="245" w:type="dxa"/>
              <w:bottom w:w="40" w:type="dxa"/>
              <w:right w:w="20" w:type="dxa"/>
            </w:tcMar>
            <w:vAlign w:val="bottom"/>
          </w:tcPr>
          <w:p w14:paraId="74DDD4C9" w14:textId="77777777" w:rsidR="00584EC1" w:rsidRDefault="00871F8D">
            <w:pPr>
              <w:textAlignment w:val="bottom"/>
            </w:pPr>
            <w:r>
              <w:rPr>
                <w:rFonts w:ascii="Arial" w:eastAsia="宋体" w:hAnsi="Arial" w:cs="Arial"/>
                <w:color w:val="000000"/>
                <w:sz w:val="14"/>
                <w:szCs w:val="14"/>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4CA" w14:textId="77777777" w:rsidR="00584EC1" w:rsidRDefault="00871F8D">
            <w:pPr>
              <w:jc w:val="right"/>
              <w:textAlignment w:val="bottom"/>
            </w:pPr>
            <w:r>
              <w:rPr>
                <w:rFonts w:ascii="Arial" w:eastAsia="宋体" w:hAnsi="Arial" w:cs="Arial"/>
                <w:b/>
                <w:bCs/>
                <w:color w:val="000000"/>
                <w:sz w:val="14"/>
                <w:szCs w:val="14"/>
              </w:rPr>
              <w:t>15,385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4C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4CC"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4CD" w14:textId="77777777" w:rsidR="00584EC1" w:rsidRDefault="00871F8D">
            <w:pPr>
              <w:jc w:val="right"/>
              <w:textAlignment w:val="bottom"/>
            </w:pPr>
            <w:r>
              <w:rPr>
                <w:rFonts w:ascii="Arial" w:eastAsia="宋体" w:hAnsi="Arial" w:cs="Arial"/>
                <w:b/>
                <w:bCs/>
                <w:color w:val="000000"/>
                <w:sz w:val="14"/>
                <w:szCs w:val="14"/>
              </w:rPr>
              <w:t>104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4C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4CF"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4D0" w14:textId="77777777" w:rsidR="00584EC1" w:rsidRDefault="00871F8D">
            <w:pPr>
              <w:jc w:val="right"/>
              <w:textAlignment w:val="bottom"/>
            </w:pPr>
            <w:r>
              <w:rPr>
                <w:rFonts w:ascii="Arial" w:eastAsia="宋体" w:hAnsi="Arial" w:cs="Arial"/>
                <w:b/>
                <w:bCs/>
                <w:color w:val="000000"/>
                <w:sz w:val="14"/>
                <w:szCs w:val="14"/>
              </w:rPr>
              <w:t>162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4D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4D2"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4D3" w14:textId="77777777" w:rsidR="00584EC1" w:rsidRDefault="00871F8D">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4D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4D5"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4D6" w14:textId="77777777" w:rsidR="00584EC1" w:rsidRDefault="00871F8D">
            <w:pPr>
              <w:jc w:val="right"/>
              <w:textAlignment w:val="bottom"/>
            </w:pPr>
            <w:r>
              <w:rPr>
                <w:rFonts w:ascii="Arial" w:eastAsia="宋体" w:hAnsi="Arial" w:cs="Arial"/>
                <w:b/>
                <w:bCs/>
                <w:color w:val="000000"/>
                <w:sz w:val="14"/>
                <w:szCs w:val="14"/>
              </w:rPr>
              <w:t>15,547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4D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4D8"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4D9" w14:textId="77777777" w:rsidR="00584EC1" w:rsidRDefault="00871F8D">
            <w:pPr>
              <w:jc w:val="right"/>
              <w:textAlignment w:val="bottom"/>
            </w:pPr>
            <w:r>
              <w:rPr>
                <w:rFonts w:ascii="Arial" w:eastAsia="宋体" w:hAnsi="Arial" w:cs="Arial"/>
                <w:b/>
                <w:bCs/>
                <w:color w:val="000000"/>
                <w:sz w:val="14"/>
                <w:szCs w:val="14"/>
              </w:rPr>
              <w:t>106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4DA" w14:textId="77777777" w:rsidR="00584EC1" w:rsidRDefault="00584EC1">
            <w:pPr>
              <w:jc w:val="right"/>
              <w:rPr>
                <w:rFonts w:ascii="宋体"/>
              </w:rPr>
            </w:pPr>
          </w:p>
        </w:tc>
      </w:tr>
      <w:tr w:rsidR="00584EC1" w14:paraId="74DDD4E8" w14:textId="77777777">
        <w:tc>
          <w:tcPr>
            <w:tcW w:w="0" w:type="auto"/>
            <w:gridSpan w:val="3"/>
            <w:shd w:val="clear" w:color="auto" w:fill="FFFFFF"/>
            <w:tcMar>
              <w:top w:w="40" w:type="dxa"/>
              <w:left w:w="20" w:type="dxa"/>
              <w:bottom w:w="40" w:type="dxa"/>
              <w:right w:w="20" w:type="dxa"/>
            </w:tcMar>
            <w:vAlign w:val="bottom"/>
          </w:tcPr>
          <w:p w14:paraId="74DDD4DC" w14:textId="77777777" w:rsidR="00584EC1" w:rsidRDefault="00871F8D">
            <w:pPr>
              <w:textAlignment w:val="bottom"/>
            </w:pPr>
            <w:r>
              <w:rPr>
                <w:rFonts w:ascii="Arial" w:eastAsia="宋体" w:hAnsi="Arial" w:cs="Arial"/>
                <w:color w:val="000000"/>
                <w:sz w:val="14"/>
                <w:szCs w:val="14"/>
              </w:rPr>
              <w:t>Non-U.S. debt securitie</w:t>
            </w:r>
            <w:r>
              <w:rPr>
                <w:rFonts w:ascii="Arial" w:eastAsia="宋体" w:hAnsi="Arial" w:cs="Arial"/>
                <w:color w:val="000000"/>
                <w:sz w:val="14"/>
                <w:szCs w:val="14"/>
              </w:rPr>
              <w:t>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D4DD"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4DE"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D4DF"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4E0"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D4E1"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4E2"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D4E3"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4E4"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D4E5"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4E6"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D4E7" w14:textId="77777777" w:rsidR="00584EC1" w:rsidRDefault="00584EC1">
            <w:pPr>
              <w:rPr>
                <w:rFonts w:ascii="宋体"/>
              </w:rPr>
            </w:pPr>
          </w:p>
        </w:tc>
      </w:tr>
      <w:tr w:rsidR="00584EC1" w14:paraId="74DDD4FB" w14:textId="77777777">
        <w:tc>
          <w:tcPr>
            <w:tcW w:w="0" w:type="auto"/>
            <w:gridSpan w:val="3"/>
            <w:shd w:val="clear" w:color="auto" w:fill="CCEEFF"/>
            <w:tcMar>
              <w:top w:w="40" w:type="dxa"/>
              <w:left w:w="155" w:type="dxa"/>
              <w:bottom w:w="40" w:type="dxa"/>
              <w:right w:w="20" w:type="dxa"/>
            </w:tcMar>
            <w:vAlign w:val="bottom"/>
          </w:tcPr>
          <w:p w14:paraId="74DDD4E9" w14:textId="77777777" w:rsidR="00584EC1" w:rsidRDefault="00871F8D">
            <w:pPr>
              <w:textAlignment w:val="bottom"/>
            </w:pPr>
            <w:r>
              <w:rPr>
                <w:rFonts w:ascii="Arial" w:eastAsia="宋体" w:hAnsi="Arial" w:cs="Arial"/>
                <w:color w:val="000000"/>
                <w:sz w:val="14"/>
                <w:szCs w:val="14"/>
              </w:rPr>
              <w:t>Mortgage-backed securities</w:t>
            </w:r>
          </w:p>
        </w:tc>
        <w:tc>
          <w:tcPr>
            <w:tcW w:w="0" w:type="auto"/>
            <w:gridSpan w:val="2"/>
            <w:shd w:val="clear" w:color="auto" w:fill="CCEEFF"/>
            <w:tcMar>
              <w:top w:w="40" w:type="dxa"/>
              <w:left w:w="20" w:type="dxa"/>
              <w:bottom w:w="40" w:type="dxa"/>
              <w:right w:w="0" w:type="dxa"/>
            </w:tcMar>
            <w:vAlign w:val="bottom"/>
          </w:tcPr>
          <w:p w14:paraId="74DDD4EA" w14:textId="77777777" w:rsidR="00584EC1" w:rsidRDefault="00871F8D">
            <w:pPr>
              <w:jc w:val="right"/>
              <w:textAlignment w:val="bottom"/>
            </w:pPr>
            <w:r>
              <w:rPr>
                <w:rFonts w:ascii="Arial" w:eastAsia="宋体" w:hAnsi="Arial" w:cs="Arial"/>
                <w:b/>
                <w:bCs/>
                <w:color w:val="000000"/>
                <w:sz w:val="14"/>
                <w:szCs w:val="14"/>
              </w:rPr>
              <w:t>394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D4E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4EC"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4ED" w14:textId="77777777" w:rsidR="00584EC1" w:rsidRDefault="00871F8D">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D4E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4EF"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4F0" w14:textId="77777777" w:rsidR="00584EC1" w:rsidRDefault="00871F8D">
            <w:pPr>
              <w:jc w:val="right"/>
              <w:textAlignment w:val="bottom"/>
            </w:pPr>
            <w:r>
              <w:rPr>
                <w:rFonts w:ascii="Arial" w:eastAsia="宋体" w:hAnsi="Arial" w:cs="Arial"/>
                <w:b/>
                <w:bCs/>
                <w:color w:val="000000"/>
                <w:sz w:val="14"/>
                <w:szCs w:val="14"/>
              </w:rPr>
              <w:t>33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D4F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4F2"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4F3"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D4F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4F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4F6" w14:textId="77777777" w:rsidR="00584EC1" w:rsidRDefault="00871F8D">
            <w:pPr>
              <w:jc w:val="right"/>
              <w:textAlignment w:val="bottom"/>
            </w:pPr>
            <w:r>
              <w:rPr>
                <w:rFonts w:ascii="Arial" w:eastAsia="宋体" w:hAnsi="Arial" w:cs="Arial"/>
                <w:b/>
                <w:bCs/>
                <w:color w:val="000000"/>
                <w:sz w:val="14"/>
                <w:szCs w:val="14"/>
              </w:rPr>
              <w:t>427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D4F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4F8"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4F9" w14:textId="77777777" w:rsidR="00584EC1" w:rsidRDefault="00871F8D">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D4FA" w14:textId="77777777" w:rsidR="00584EC1" w:rsidRDefault="00584EC1">
            <w:pPr>
              <w:jc w:val="right"/>
              <w:rPr>
                <w:rFonts w:ascii="宋体"/>
              </w:rPr>
            </w:pPr>
          </w:p>
        </w:tc>
      </w:tr>
      <w:tr w:rsidR="00584EC1" w14:paraId="74DDD50E" w14:textId="77777777">
        <w:tc>
          <w:tcPr>
            <w:tcW w:w="0" w:type="auto"/>
            <w:gridSpan w:val="3"/>
            <w:shd w:val="clear" w:color="auto" w:fill="FFFFFF"/>
            <w:tcMar>
              <w:top w:w="40" w:type="dxa"/>
              <w:left w:w="155" w:type="dxa"/>
              <w:bottom w:w="40" w:type="dxa"/>
              <w:right w:w="20" w:type="dxa"/>
            </w:tcMar>
            <w:vAlign w:val="bottom"/>
          </w:tcPr>
          <w:p w14:paraId="74DDD4FC" w14:textId="77777777" w:rsidR="00584EC1" w:rsidRDefault="00871F8D">
            <w:pPr>
              <w:textAlignment w:val="bottom"/>
            </w:pPr>
            <w:r>
              <w:rPr>
                <w:rFonts w:ascii="Arial" w:eastAsia="宋体" w:hAnsi="Arial" w:cs="Arial"/>
                <w:color w:val="000000"/>
                <w:sz w:val="14"/>
                <w:szCs w:val="14"/>
              </w:rPr>
              <w:t>Asset-backed securities</w:t>
            </w:r>
          </w:p>
        </w:tc>
        <w:tc>
          <w:tcPr>
            <w:tcW w:w="0" w:type="auto"/>
            <w:gridSpan w:val="2"/>
            <w:shd w:val="clear" w:color="auto" w:fill="FFFFFF"/>
            <w:tcMar>
              <w:top w:w="40" w:type="dxa"/>
              <w:left w:w="20" w:type="dxa"/>
              <w:bottom w:w="40" w:type="dxa"/>
              <w:right w:w="0" w:type="dxa"/>
            </w:tcMar>
            <w:vAlign w:val="bottom"/>
          </w:tcPr>
          <w:p w14:paraId="74DDD4FD" w14:textId="77777777" w:rsidR="00584EC1" w:rsidRDefault="00871F8D">
            <w:pPr>
              <w:jc w:val="right"/>
              <w:textAlignment w:val="bottom"/>
            </w:pPr>
            <w:r>
              <w:rPr>
                <w:rFonts w:ascii="Arial" w:eastAsia="宋体" w:hAnsi="Arial" w:cs="Arial"/>
                <w:b/>
                <w:bCs/>
                <w:color w:val="000000"/>
                <w:sz w:val="14"/>
                <w:szCs w:val="14"/>
              </w:rPr>
              <w:t>646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D4F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4F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500" w14:textId="77777777" w:rsidR="00584EC1" w:rsidRDefault="00871F8D">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D50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50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503" w14:textId="77777777" w:rsidR="00584EC1" w:rsidRDefault="00871F8D">
            <w:pPr>
              <w:jc w:val="right"/>
              <w:textAlignment w:val="bottom"/>
            </w:pPr>
            <w:r>
              <w:rPr>
                <w:rFonts w:ascii="Arial" w:eastAsia="宋体" w:hAnsi="Arial" w:cs="Arial"/>
                <w:b/>
                <w:bCs/>
                <w:color w:val="000000"/>
                <w:sz w:val="14"/>
                <w:szCs w:val="14"/>
              </w:rPr>
              <w:t>464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D50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505"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506" w14:textId="77777777" w:rsidR="00584EC1" w:rsidRDefault="00871F8D">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D50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508"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509" w14:textId="77777777" w:rsidR="00584EC1" w:rsidRDefault="00871F8D">
            <w:pPr>
              <w:jc w:val="right"/>
              <w:textAlignment w:val="bottom"/>
            </w:pPr>
            <w:r>
              <w:rPr>
                <w:rFonts w:ascii="Arial" w:eastAsia="宋体" w:hAnsi="Arial" w:cs="Arial"/>
                <w:b/>
                <w:bCs/>
                <w:color w:val="000000"/>
                <w:sz w:val="14"/>
                <w:szCs w:val="14"/>
              </w:rPr>
              <w:t>1,110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D50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50B"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50C" w14:textId="77777777" w:rsidR="00584EC1" w:rsidRDefault="00871F8D">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D50D" w14:textId="77777777" w:rsidR="00584EC1" w:rsidRDefault="00584EC1">
            <w:pPr>
              <w:jc w:val="right"/>
              <w:rPr>
                <w:rFonts w:ascii="宋体"/>
              </w:rPr>
            </w:pPr>
          </w:p>
        </w:tc>
      </w:tr>
      <w:tr w:rsidR="00584EC1" w14:paraId="74DDD521" w14:textId="77777777">
        <w:tc>
          <w:tcPr>
            <w:tcW w:w="0" w:type="auto"/>
            <w:gridSpan w:val="3"/>
            <w:shd w:val="clear" w:color="auto" w:fill="CCEEFF"/>
            <w:tcMar>
              <w:top w:w="40" w:type="dxa"/>
              <w:left w:w="155" w:type="dxa"/>
              <w:bottom w:w="40" w:type="dxa"/>
              <w:right w:w="20" w:type="dxa"/>
            </w:tcMar>
            <w:vAlign w:val="bottom"/>
          </w:tcPr>
          <w:p w14:paraId="74DDD50F" w14:textId="77777777" w:rsidR="00584EC1" w:rsidRDefault="00871F8D">
            <w:pPr>
              <w:textAlignment w:val="bottom"/>
            </w:pPr>
            <w:r>
              <w:rPr>
                <w:rFonts w:ascii="Arial" w:eastAsia="宋体" w:hAnsi="Arial" w:cs="Arial"/>
                <w:color w:val="000000"/>
                <w:sz w:val="14"/>
                <w:szCs w:val="14"/>
              </w:rPr>
              <w:t>Non-U.S. sovereign, supranational and non-U.S. agency</w:t>
            </w:r>
          </w:p>
        </w:tc>
        <w:tc>
          <w:tcPr>
            <w:tcW w:w="0" w:type="auto"/>
            <w:gridSpan w:val="2"/>
            <w:shd w:val="clear" w:color="auto" w:fill="CCEEFF"/>
            <w:tcMar>
              <w:top w:w="40" w:type="dxa"/>
              <w:left w:w="20" w:type="dxa"/>
              <w:bottom w:w="40" w:type="dxa"/>
              <w:right w:w="0" w:type="dxa"/>
            </w:tcMar>
            <w:vAlign w:val="bottom"/>
          </w:tcPr>
          <w:p w14:paraId="74DDD510" w14:textId="77777777" w:rsidR="00584EC1" w:rsidRDefault="00871F8D">
            <w:pPr>
              <w:jc w:val="right"/>
              <w:textAlignment w:val="bottom"/>
            </w:pPr>
            <w:r>
              <w:rPr>
                <w:rFonts w:ascii="Arial" w:eastAsia="宋体" w:hAnsi="Arial" w:cs="Arial"/>
                <w:b/>
                <w:bCs/>
                <w:color w:val="000000"/>
                <w:sz w:val="14"/>
                <w:szCs w:val="14"/>
              </w:rPr>
              <w:t>5,631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D51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512"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513" w14:textId="77777777" w:rsidR="00584EC1" w:rsidRDefault="00871F8D">
            <w:pPr>
              <w:jc w:val="right"/>
              <w:textAlignment w:val="bottom"/>
            </w:pPr>
            <w:r>
              <w:rPr>
                <w:rFonts w:ascii="Arial" w:eastAsia="宋体" w:hAnsi="Arial" w:cs="Arial"/>
                <w:b/>
                <w:bCs/>
                <w:color w:val="000000"/>
                <w:sz w:val="14"/>
                <w:szCs w:val="14"/>
              </w:rPr>
              <w:t>42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D51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51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516" w14:textId="77777777" w:rsidR="00584EC1" w:rsidRDefault="00871F8D">
            <w:pPr>
              <w:jc w:val="right"/>
              <w:textAlignment w:val="bottom"/>
            </w:pPr>
            <w:r>
              <w:rPr>
                <w:rFonts w:ascii="Arial" w:eastAsia="宋体" w:hAnsi="Arial" w:cs="Arial"/>
                <w:b/>
                <w:bCs/>
                <w:color w:val="000000"/>
                <w:sz w:val="14"/>
                <w:szCs w:val="14"/>
              </w:rPr>
              <w:t>39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D51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518"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519" w14:textId="77777777" w:rsidR="00584EC1" w:rsidRDefault="00871F8D">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D51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51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51C" w14:textId="77777777" w:rsidR="00584EC1" w:rsidRDefault="00871F8D">
            <w:pPr>
              <w:jc w:val="right"/>
              <w:textAlignment w:val="bottom"/>
            </w:pPr>
            <w:r>
              <w:rPr>
                <w:rFonts w:ascii="Arial" w:eastAsia="宋体" w:hAnsi="Arial" w:cs="Arial"/>
                <w:b/>
                <w:bCs/>
                <w:color w:val="000000"/>
                <w:sz w:val="14"/>
                <w:szCs w:val="14"/>
              </w:rPr>
              <w:t>5,670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D51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51E"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51F" w14:textId="77777777" w:rsidR="00584EC1" w:rsidRDefault="00871F8D">
            <w:pPr>
              <w:jc w:val="right"/>
              <w:textAlignment w:val="bottom"/>
            </w:pPr>
            <w:r>
              <w:rPr>
                <w:rFonts w:ascii="Arial" w:eastAsia="宋体" w:hAnsi="Arial" w:cs="Arial"/>
                <w:b/>
                <w:bCs/>
                <w:color w:val="000000"/>
                <w:sz w:val="14"/>
                <w:szCs w:val="14"/>
              </w:rPr>
              <w:t>43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D520" w14:textId="77777777" w:rsidR="00584EC1" w:rsidRDefault="00584EC1">
            <w:pPr>
              <w:jc w:val="right"/>
              <w:rPr>
                <w:rFonts w:ascii="宋体"/>
              </w:rPr>
            </w:pPr>
          </w:p>
        </w:tc>
      </w:tr>
      <w:tr w:rsidR="00584EC1" w14:paraId="74DDD534" w14:textId="77777777">
        <w:tc>
          <w:tcPr>
            <w:tcW w:w="0" w:type="auto"/>
            <w:gridSpan w:val="3"/>
            <w:shd w:val="clear" w:color="auto" w:fill="FFFFFF"/>
            <w:tcMar>
              <w:top w:w="40" w:type="dxa"/>
              <w:left w:w="155" w:type="dxa"/>
              <w:bottom w:w="40" w:type="dxa"/>
              <w:right w:w="20" w:type="dxa"/>
            </w:tcMar>
            <w:vAlign w:val="bottom"/>
          </w:tcPr>
          <w:p w14:paraId="74DDD522" w14:textId="77777777" w:rsidR="00584EC1" w:rsidRDefault="00871F8D">
            <w:pPr>
              <w:textAlignment w:val="bottom"/>
            </w:pPr>
            <w:r>
              <w:rPr>
                <w:rFonts w:ascii="Arial" w:eastAsia="宋体" w:hAnsi="Arial" w:cs="Arial"/>
                <w:color w:val="000000"/>
                <w:sz w:val="14"/>
                <w:szCs w:val="14"/>
              </w:rPr>
              <w:t>Other</w:t>
            </w:r>
          </w:p>
        </w:tc>
        <w:tc>
          <w:tcPr>
            <w:tcW w:w="0" w:type="auto"/>
            <w:gridSpan w:val="2"/>
            <w:shd w:val="clear" w:color="auto" w:fill="FFFFFF"/>
            <w:tcMar>
              <w:top w:w="40" w:type="dxa"/>
              <w:left w:w="20" w:type="dxa"/>
              <w:bottom w:w="40" w:type="dxa"/>
              <w:right w:w="0" w:type="dxa"/>
            </w:tcMar>
            <w:vAlign w:val="bottom"/>
          </w:tcPr>
          <w:p w14:paraId="74DDD523" w14:textId="77777777" w:rsidR="00584EC1" w:rsidRDefault="00871F8D">
            <w:pPr>
              <w:jc w:val="right"/>
              <w:textAlignment w:val="bottom"/>
            </w:pPr>
            <w:r>
              <w:rPr>
                <w:rFonts w:ascii="Arial" w:eastAsia="宋体" w:hAnsi="Arial" w:cs="Arial"/>
                <w:b/>
                <w:bCs/>
                <w:color w:val="000000"/>
                <w:sz w:val="14"/>
                <w:szCs w:val="14"/>
              </w:rPr>
              <w:t>1,291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D52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525"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526" w14:textId="77777777" w:rsidR="00584EC1" w:rsidRDefault="00871F8D">
            <w:pPr>
              <w:jc w:val="right"/>
              <w:textAlignment w:val="bottom"/>
            </w:pPr>
            <w:r>
              <w:rPr>
                <w:rFonts w:ascii="Arial" w:eastAsia="宋体" w:hAnsi="Arial" w:cs="Arial"/>
                <w:b/>
                <w:bCs/>
                <w:color w:val="000000"/>
                <w:sz w:val="14"/>
                <w:szCs w:val="14"/>
              </w:rPr>
              <w:t>17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D52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528"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529" w14:textId="77777777" w:rsidR="00584EC1" w:rsidRDefault="00871F8D">
            <w:pPr>
              <w:jc w:val="right"/>
              <w:textAlignment w:val="bottom"/>
            </w:pPr>
            <w:r>
              <w:rPr>
                <w:rFonts w:ascii="Arial" w:eastAsia="宋体" w:hAnsi="Arial" w:cs="Arial"/>
                <w:b/>
                <w:bCs/>
                <w:color w:val="000000"/>
                <w:sz w:val="14"/>
                <w:szCs w:val="14"/>
              </w:rPr>
              <w:t>67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D52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52B"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52C"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D52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52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52F" w14:textId="77777777" w:rsidR="00584EC1" w:rsidRDefault="00871F8D">
            <w:pPr>
              <w:jc w:val="right"/>
              <w:textAlignment w:val="bottom"/>
            </w:pPr>
            <w:r>
              <w:rPr>
                <w:rFonts w:ascii="Arial" w:eastAsia="宋体" w:hAnsi="Arial" w:cs="Arial"/>
                <w:b/>
                <w:bCs/>
                <w:color w:val="000000"/>
                <w:sz w:val="14"/>
                <w:szCs w:val="14"/>
              </w:rPr>
              <w:t>1,358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D53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53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532" w14:textId="77777777" w:rsidR="00584EC1" w:rsidRDefault="00871F8D">
            <w:pPr>
              <w:jc w:val="right"/>
              <w:textAlignment w:val="bottom"/>
            </w:pPr>
            <w:r>
              <w:rPr>
                <w:rFonts w:ascii="Arial" w:eastAsia="宋体" w:hAnsi="Arial" w:cs="Arial"/>
                <w:b/>
                <w:bCs/>
                <w:color w:val="000000"/>
                <w:sz w:val="14"/>
                <w:szCs w:val="14"/>
              </w:rPr>
              <w:t>17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D533" w14:textId="77777777" w:rsidR="00584EC1" w:rsidRDefault="00584EC1">
            <w:pPr>
              <w:jc w:val="right"/>
              <w:rPr>
                <w:rFonts w:ascii="宋体"/>
              </w:rPr>
            </w:pPr>
          </w:p>
        </w:tc>
      </w:tr>
      <w:tr w:rsidR="00584EC1" w14:paraId="74DDD547" w14:textId="77777777">
        <w:tc>
          <w:tcPr>
            <w:tcW w:w="0" w:type="auto"/>
            <w:gridSpan w:val="3"/>
            <w:shd w:val="clear" w:color="auto" w:fill="CCEEFF"/>
            <w:tcMar>
              <w:top w:w="40" w:type="dxa"/>
              <w:left w:w="245" w:type="dxa"/>
              <w:bottom w:w="40" w:type="dxa"/>
              <w:right w:w="20" w:type="dxa"/>
            </w:tcMar>
            <w:vAlign w:val="bottom"/>
          </w:tcPr>
          <w:p w14:paraId="74DDD535" w14:textId="77777777" w:rsidR="00584EC1" w:rsidRDefault="00871F8D">
            <w:pPr>
              <w:textAlignment w:val="bottom"/>
            </w:pPr>
            <w:r>
              <w:rPr>
                <w:rFonts w:ascii="Arial" w:eastAsia="宋体" w:hAnsi="Arial" w:cs="Arial"/>
                <w:color w:val="000000"/>
                <w:sz w:val="14"/>
                <w:szCs w:val="14"/>
              </w:rPr>
              <w:t>Total non-U.S. debt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536" w14:textId="77777777" w:rsidR="00584EC1" w:rsidRDefault="00871F8D">
            <w:pPr>
              <w:jc w:val="right"/>
              <w:textAlignment w:val="bottom"/>
            </w:pPr>
            <w:r>
              <w:rPr>
                <w:rFonts w:ascii="Arial" w:eastAsia="宋体" w:hAnsi="Arial" w:cs="Arial"/>
                <w:b/>
                <w:bCs/>
                <w:color w:val="000000"/>
                <w:sz w:val="14"/>
                <w:szCs w:val="14"/>
              </w:rPr>
              <w:t>7,962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53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538"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539" w14:textId="77777777" w:rsidR="00584EC1" w:rsidRDefault="00871F8D">
            <w:pPr>
              <w:jc w:val="right"/>
              <w:textAlignment w:val="bottom"/>
            </w:pPr>
            <w:r>
              <w:rPr>
                <w:rFonts w:ascii="Arial" w:eastAsia="宋体" w:hAnsi="Arial" w:cs="Arial"/>
                <w:b/>
                <w:bCs/>
                <w:color w:val="000000"/>
                <w:sz w:val="14"/>
                <w:szCs w:val="14"/>
              </w:rPr>
              <w:t>61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53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53B"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53C" w14:textId="77777777" w:rsidR="00584EC1" w:rsidRDefault="00871F8D">
            <w:pPr>
              <w:jc w:val="right"/>
              <w:textAlignment w:val="bottom"/>
            </w:pPr>
            <w:r>
              <w:rPr>
                <w:rFonts w:ascii="Arial" w:eastAsia="宋体" w:hAnsi="Arial" w:cs="Arial"/>
                <w:b/>
                <w:bCs/>
                <w:color w:val="000000"/>
                <w:sz w:val="14"/>
                <w:szCs w:val="14"/>
              </w:rPr>
              <w:t>603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53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53E"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53F" w14:textId="77777777" w:rsidR="00584EC1" w:rsidRDefault="00871F8D">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54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541"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542" w14:textId="77777777" w:rsidR="00584EC1" w:rsidRDefault="00871F8D">
            <w:pPr>
              <w:jc w:val="right"/>
              <w:textAlignment w:val="bottom"/>
            </w:pPr>
            <w:r>
              <w:rPr>
                <w:rFonts w:ascii="Arial" w:eastAsia="宋体" w:hAnsi="Arial" w:cs="Arial"/>
                <w:b/>
                <w:bCs/>
                <w:color w:val="000000"/>
                <w:sz w:val="14"/>
                <w:szCs w:val="14"/>
              </w:rPr>
              <w:t>8,565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54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544"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545" w14:textId="77777777" w:rsidR="00584EC1" w:rsidRDefault="00871F8D">
            <w:pPr>
              <w:jc w:val="right"/>
              <w:textAlignment w:val="bottom"/>
            </w:pPr>
            <w:r>
              <w:rPr>
                <w:rFonts w:ascii="Arial" w:eastAsia="宋体" w:hAnsi="Arial" w:cs="Arial"/>
                <w:b/>
                <w:bCs/>
                <w:color w:val="000000"/>
                <w:sz w:val="14"/>
                <w:szCs w:val="14"/>
              </w:rPr>
              <w:t>63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546" w14:textId="77777777" w:rsidR="00584EC1" w:rsidRDefault="00584EC1">
            <w:pPr>
              <w:jc w:val="right"/>
              <w:rPr>
                <w:rFonts w:ascii="宋体"/>
              </w:rPr>
            </w:pPr>
          </w:p>
        </w:tc>
      </w:tr>
      <w:tr w:rsidR="00584EC1" w14:paraId="74DDD554" w14:textId="77777777">
        <w:tc>
          <w:tcPr>
            <w:tcW w:w="0" w:type="auto"/>
            <w:gridSpan w:val="3"/>
            <w:shd w:val="clear" w:color="auto" w:fill="FFFFFF"/>
            <w:tcMar>
              <w:top w:w="40" w:type="dxa"/>
              <w:left w:w="20" w:type="dxa"/>
              <w:bottom w:w="40" w:type="dxa"/>
              <w:right w:w="20" w:type="dxa"/>
            </w:tcMar>
            <w:vAlign w:val="bottom"/>
          </w:tcPr>
          <w:p w14:paraId="74DDD548" w14:textId="77777777" w:rsidR="00584EC1" w:rsidRDefault="00871F8D">
            <w:pPr>
              <w:textAlignment w:val="bottom"/>
            </w:pPr>
            <w:r>
              <w:rPr>
                <w:rFonts w:ascii="Arial" w:eastAsia="宋体" w:hAnsi="Arial" w:cs="Arial"/>
                <w:color w:val="000000"/>
                <w:sz w:val="14"/>
                <w:szCs w:val="14"/>
              </w:rPr>
              <w:t>Asset-backed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D549"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54A"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D54B"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54C"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D54D"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54E"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D54F"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550"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D551"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552"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D553" w14:textId="77777777" w:rsidR="00584EC1" w:rsidRDefault="00584EC1">
            <w:pPr>
              <w:rPr>
                <w:rFonts w:ascii="宋体"/>
              </w:rPr>
            </w:pPr>
          </w:p>
        </w:tc>
      </w:tr>
      <w:tr w:rsidR="00584EC1" w14:paraId="74DDD561" w14:textId="77777777">
        <w:trPr>
          <w:hidden/>
        </w:trPr>
        <w:tc>
          <w:tcPr>
            <w:tcW w:w="0" w:type="auto"/>
            <w:gridSpan w:val="3"/>
            <w:shd w:val="clear" w:color="auto" w:fill="auto"/>
            <w:vAlign w:val="bottom"/>
          </w:tcPr>
          <w:p w14:paraId="74DDD555" w14:textId="77777777" w:rsidR="00584EC1" w:rsidRDefault="00584EC1">
            <w:pPr>
              <w:rPr>
                <w:rFonts w:ascii="宋体"/>
                <w:vanish/>
              </w:rPr>
            </w:pPr>
          </w:p>
        </w:tc>
        <w:tc>
          <w:tcPr>
            <w:tcW w:w="0" w:type="auto"/>
            <w:gridSpan w:val="3"/>
            <w:shd w:val="clear" w:color="auto" w:fill="auto"/>
            <w:vAlign w:val="bottom"/>
          </w:tcPr>
          <w:p w14:paraId="74DDD556" w14:textId="77777777" w:rsidR="00584EC1" w:rsidRDefault="00584EC1">
            <w:pPr>
              <w:rPr>
                <w:rFonts w:ascii="宋体"/>
                <w:vanish/>
              </w:rPr>
            </w:pPr>
          </w:p>
        </w:tc>
        <w:tc>
          <w:tcPr>
            <w:tcW w:w="0" w:type="auto"/>
            <w:gridSpan w:val="3"/>
            <w:shd w:val="clear" w:color="auto" w:fill="auto"/>
            <w:vAlign w:val="bottom"/>
          </w:tcPr>
          <w:p w14:paraId="74DDD557" w14:textId="77777777" w:rsidR="00584EC1" w:rsidRDefault="00584EC1">
            <w:pPr>
              <w:rPr>
                <w:rFonts w:ascii="宋体"/>
                <w:vanish/>
              </w:rPr>
            </w:pPr>
          </w:p>
        </w:tc>
        <w:tc>
          <w:tcPr>
            <w:tcW w:w="0" w:type="auto"/>
            <w:gridSpan w:val="3"/>
            <w:shd w:val="clear" w:color="auto" w:fill="auto"/>
            <w:vAlign w:val="bottom"/>
          </w:tcPr>
          <w:p w14:paraId="74DDD558" w14:textId="77777777" w:rsidR="00584EC1" w:rsidRDefault="00584EC1">
            <w:pPr>
              <w:rPr>
                <w:rFonts w:ascii="宋体"/>
                <w:vanish/>
              </w:rPr>
            </w:pPr>
          </w:p>
        </w:tc>
        <w:tc>
          <w:tcPr>
            <w:tcW w:w="0" w:type="auto"/>
            <w:gridSpan w:val="3"/>
            <w:shd w:val="clear" w:color="auto" w:fill="auto"/>
            <w:vAlign w:val="bottom"/>
          </w:tcPr>
          <w:p w14:paraId="74DDD559" w14:textId="77777777" w:rsidR="00584EC1" w:rsidRDefault="00584EC1">
            <w:pPr>
              <w:rPr>
                <w:rFonts w:ascii="宋体"/>
                <w:vanish/>
              </w:rPr>
            </w:pPr>
          </w:p>
        </w:tc>
        <w:tc>
          <w:tcPr>
            <w:tcW w:w="0" w:type="auto"/>
            <w:gridSpan w:val="3"/>
            <w:shd w:val="clear" w:color="auto" w:fill="auto"/>
            <w:vAlign w:val="bottom"/>
          </w:tcPr>
          <w:p w14:paraId="74DDD55A" w14:textId="77777777" w:rsidR="00584EC1" w:rsidRDefault="00584EC1">
            <w:pPr>
              <w:rPr>
                <w:rFonts w:ascii="宋体"/>
                <w:vanish/>
              </w:rPr>
            </w:pPr>
          </w:p>
        </w:tc>
        <w:tc>
          <w:tcPr>
            <w:tcW w:w="0" w:type="auto"/>
            <w:gridSpan w:val="3"/>
            <w:shd w:val="clear" w:color="auto" w:fill="auto"/>
            <w:vAlign w:val="bottom"/>
          </w:tcPr>
          <w:p w14:paraId="74DDD55B" w14:textId="77777777" w:rsidR="00584EC1" w:rsidRDefault="00584EC1">
            <w:pPr>
              <w:rPr>
                <w:rFonts w:ascii="宋体"/>
                <w:vanish/>
              </w:rPr>
            </w:pPr>
          </w:p>
        </w:tc>
        <w:tc>
          <w:tcPr>
            <w:tcW w:w="0" w:type="auto"/>
            <w:gridSpan w:val="3"/>
            <w:shd w:val="clear" w:color="auto" w:fill="auto"/>
            <w:vAlign w:val="bottom"/>
          </w:tcPr>
          <w:p w14:paraId="74DDD55C" w14:textId="77777777" w:rsidR="00584EC1" w:rsidRDefault="00584EC1">
            <w:pPr>
              <w:rPr>
                <w:rFonts w:ascii="宋体"/>
                <w:vanish/>
              </w:rPr>
            </w:pPr>
          </w:p>
        </w:tc>
        <w:tc>
          <w:tcPr>
            <w:tcW w:w="0" w:type="auto"/>
            <w:gridSpan w:val="3"/>
            <w:shd w:val="clear" w:color="auto" w:fill="auto"/>
            <w:vAlign w:val="bottom"/>
          </w:tcPr>
          <w:p w14:paraId="74DDD55D" w14:textId="77777777" w:rsidR="00584EC1" w:rsidRDefault="00584EC1">
            <w:pPr>
              <w:rPr>
                <w:rFonts w:ascii="宋体"/>
                <w:vanish/>
              </w:rPr>
            </w:pPr>
          </w:p>
        </w:tc>
        <w:tc>
          <w:tcPr>
            <w:tcW w:w="0" w:type="auto"/>
            <w:gridSpan w:val="3"/>
            <w:shd w:val="clear" w:color="auto" w:fill="auto"/>
            <w:vAlign w:val="bottom"/>
          </w:tcPr>
          <w:p w14:paraId="74DDD55E" w14:textId="77777777" w:rsidR="00584EC1" w:rsidRDefault="00584EC1">
            <w:pPr>
              <w:rPr>
                <w:rFonts w:ascii="宋体"/>
                <w:vanish/>
              </w:rPr>
            </w:pPr>
          </w:p>
        </w:tc>
        <w:tc>
          <w:tcPr>
            <w:tcW w:w="0" w:type="auto"/>
            <w:gridSpan w:val="3"/>
            <w:shd w:val="clear" w:color="auto" w:fill="auto"/>
            <w:vAlign w:val="bottom"/>
          </w:tcPr>
          <w:p w14:paraId="74DDD55F" w14:textId="77777777" w:rsidR="00584EC1" w:rsidRDefault="00584EC1">
            <w:pPr>
              <w:rPr>
                <w:rFonts w:ascii="宋体"/>
                <w:vanish/>
              </w:rPr>
            </w:pPr>
          </w:p>
        </w:tc>
        <w:tc>
          <w:tcPr>
            <w:tcW w:w="0" w:type="auto"/>
            <w:gridSpan w:val="3"/>
            <w:shd w:val="clear" w:color="auto" w:fill="auto"/>
            <w:vAlign w:val="bottom"/>
          </w:tcPr>
          <w:p w14:paraId="74DDD560" w14:textId="77777777" w:rsidR="00584EC1" w:rsidRDefault="00584EC1">
            <w:pPr>
              <w:rPr>
                <w:rFonts w:ascii="宋体"/>
                <w:vanish/>
              </w:rPr>
            </w:pPr>
          </w:p>
        </w:tc>
      </w:tr>
      <w:tr w:rsidR="00584EC1" w14:paraId="74DDD574" w14:textId="77777777">
        <w:tc>
          <w:tcPr>
            <w:tcW w:w="0" w:type="auto"/>
            <w:gridSpan w:val="3"/>
            <w:shd w:val="clear" w:color="auto" w:fill="CCEEFF"/>
            <w:tcMar>
              <w:top w:w="40" w:type="dxa"/>
              <w:left w:w="245" w:type="dxa"/>
              <w:bottom w:w="40" w:type="dxa"/>
              <w:right w:w="20" w:type="dxa"/>
            </w:tcMar>
            <w:vAlign w:val="bottom"/>
          </w:tcPr>
          <w:p w14:paraId="74DDD562" w14:textId="77777777" w:rsidR="00584EC1" w:rsidRDefault="00871F8D">
            <w:pPr>
              <w:textAlignment w:val="bottom"/>
            </w:pPr>
            <w:r>
              <w:rPr>
                <w:rFonts w:ascii="Arial" w:eastAsia="宋体" w:hAnsi="Arial" w:cs="Arial"/>
                <w:color w:val="000000"/>
                <w:sz w:val="14"/>
                <w:szCs w:val="14"/>
              </w:rPr>
              <w:t>Collateralized loan obligations</w:t>
            </w:r>
          </w:p>
        </w:tc>
        <w:tc>
          <w:tcPr>
            <w:tcW w:w="0" w:type="auto"/>
            <w:gridSpan w:val="2"/>
            <w:shd w:val="clear" w:color="auto" w:fill="CCEEFF"/>
            <w:tcMar>
              <w:top w:w="40" w:type="dxa"/>
              <w:left w:w="20" w:type="dxa"/>
              <w:bottom w:w="40" w:type="dxa"/>
              <w:right w:w="0" w:type="dxa"/>
            </w:tcMar>
            <w:vAlign w:val="bottom"/>
          </w:tcPr>
          <w:p w14:paraId="74DDD563" w14:textId="77777777" w:rsidR="00584EC1" w:rsidRDefault="00871F8D">
            <w:pPr>
              <w:jc w:val="right"/>
              <w:textAlignment w:val="bottom"/>
            </w:pPr>
            <w:r>
              <w:rPr>
                <w:rFonts w:ascii="Arial" w:eastAsia="宋体" w:hAnsi="Arial" w:cs="Arial"/>
                <w:b/>
                <w:bCs/>
                <w:color w:val="000000"/>
                <w:sz w:val="14"/>
                <w:szCs w:val="14"/>
              </w:rPr>
              <w:t>2,516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D56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56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566" w14:textId="77777777" w:rsidR="00584EC1" w:rsidRDefault="00871F8D">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D56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568"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569" w14:textId="77777777" w:rsidR="00584EC1" w:rsidRDefault="00871F8D">
            <w:pPr>
              <w:jc w:val="right"/>
              <w:textAlignment w:val="bottom"/>
            </w:pPr>
            <w:r>
              <w:rPr>
                <w:rFonts w:ascii="Arial" w:eastAsia="宋体" w:hAnsi="Arial" w:cs="Arial"/>
                <w:b/>
                <w:bCs/>
                <w:color w:val="000000"/>
                <w:sz w:val="14"/>
                <w:szCs w:val="14"/>
              </w:rPr>
              <w:t>62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D56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56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56C"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D56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56E"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56F" w14:textId="77777777" w:rsidR="00584EC1" w:rsidRDefault="00871F8D">
            <w:pPr>
              <w:jc w:val="right"/>
              <w:textAlignment w:val="bottom"/>
            </w:pPr>
            <w:r>
              <w:rPr>
                <w:rFonts w:ascii="Arial" w:eastAsia="宋体" w:hAnsi="Arial" w:cs="Arial"/>
                <w:b/>
                <w:bCs/>
                <w:color w:val="000000"/>
                <w:sz w:val="14"/>
                <w:szCs w:val="14"/>
              </w:rPr>
              <w:t>2,578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D57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57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572" w14:textId="77777777" w:rsidR="00584EC1" w:rsidRDefault="00871F8D">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D573" w14:textId="77777777" w:rsidR="00584EC1" w:rsidRDefault="00584EC1">
            <w:pPr>
              <w:jc w:val="right"/>
              <w:rPr>
                <w:rFonts w:ascii="宋体"/>
              </w:rPr>
            </w:pPr>
          </w:p>
        </w:tc>
      </w:tr>
      <w:tr w:rsidR="00584EC1" w14:paraId="74DDD581" w14:textId="77777777">
        <w:trPr>
          <w:hidden/>
        </w:trPr>
        <w:tc>
          <w:tcPr>
            <w:tcW w:w="0" w:type="auto"/>
            <w:gridSpan w:val="3"/>
            <w:shd w:val="clear" w:color="auto" w:fill="auto"/>
            <w:vAlign w:val="bottom"/>
          </w:tcPr>
          <w:p w14:paraId="74DDD575" w14:textId="77777777" w:rsidR="00584EC1" w:rsidRDefault="00584EC1">
            <w:pPr>
              <w:rPr>
                <w:rFonts w:ascii="宋体"/>
                <w:vanish/>
              </w:rPr>
            </w:pPr>
          </w:p>
        </w:tc>
        <w:tc>
          <w:tcPr>
            <w:tcW w:w="0" w:type="auto"/>
            <w:gridSpan w:val="3"/>
            <w:shd w:val="clear" w:color="auto" w:fill="auto"/>
            <w:vAlign w:val="bottom"/>
          </w:tcPr>
          <w:p w14:paraId="74DDD576" w14:textId="77777777" w:rsidR="00584EC1" w:rsidRDefault="00584EC1">
            <w:pPr>
              <w:rPr>
                <w:rFonts w:ascii="宋体"/>
                <w:vanish/>
              </w:rPr>
            </w:pPr>
          </w:p>
        </w:tc>
        <w:tc>
          <w:tcPr>
            <w:tcW w:w="0" w:type="auto"/>
            <w:gridSpan w:val="3"/>
            <w:shd w:val="clear" w:color="auto" w:fill="auto"/>
            <w:vAlign w:val="bottom"/>
          </w:tcPr>
          <w:p w14:paraId="74DDD577" w14:textId="77777777" w:rsidR="00584EC1" w:rsidRDefault="00584EC1">
            <w:pPr>
              <w:rPr>
                <w:rFonts w:ascii="宋体"/>
                <w:vanish/>
              </w:rPr>
            </w:pPr>
          </w:p>
        </w:tc>
        <w:tc>
          <w:tcPr>
            <w:tcW w:w="0" w:type="auto"/>
            <w:gridSpan w:val="3"/>
            <w:shd w:val="clear" w:color="auto" w:fill="auto"/>
            <w:vAlign w:val="bottom"/>
          </w:tcPr>
          <w:p w14:paraId="74DDD578" w14:textId="77777777" w:rsidR="00584EC1" w:rsidRDefault="00584EC1">
            <w:pPr>
              <w:rPr>
                <w:rFonts w:ascii="宋体"/>
                <w:vanish/>
              </w:rPr>
            </w:pPr>
          </w:p>
        </w:tc>
        <w:tc>
          <w:tcPr>
            <w:tcW w:w="0" w:type="auto"/>
            <w:gridSpan w:val="3"/>
            <w:shd w:val="clear" w:color="auto" w:fill="auto"/>
            <w:vAlign w:val="bottom"/>
          </w:tcPr>
          <w:p w14:paraId="74DDD579" w14:textId="77777777" w:rsidR="00584EC1" w:rsidRDefault="00584EC1">
            <w:pPr>
              <w:rPr>
                <w:rFonts w:ascii="宋体"/>
                <w:vanish/>
              </w:rPr>
            </w:pPr>
          </w:p>
        </w:tc>
        <w:tc>
          <w:tcPr>
            <w:tcW w:w="0" w:type="auto"/>
            <w:gridSpan w:val="3"/>
            <w:shd w:val="clear" w:color="auto" w:fill="auto"/>
            <w:vAlign w:val="bottom"/>
          </w:tcPr>
          <w:p w14:paraId="74DDD57A" w14:textId="77777777" w:rsidR="00584EC1" w:rsidRDefault="00584EC1">
            <w:pPr>
              <w:rPr>
                <w:rFonts w:ascii="宋体"/>
                <w:vanish/>
              </w:rPr>
            </w:pPr>
          </w:p>
        </w:tc>
        <w:tc>
          <w:tcPr>
            <w:tcW w:w="0" w:type="auto"/>
            <w:gridSpan w:val="3"/>
            <w:shd w:val="clear" w:color="auto" w:fill="auto"/>
            <w:vAlign w:val="bottom"/>
          </w:tcPr>
          <w:p w14:paraId="74DDD57B" w14:textId="77777777" w:rsidR="00584EC1" w:rsidRDefault="00584EC1">
            <w:pPr>
              <w:rPr>
                <w:rFonts w:ascii="宋体"/>
                <w:vanish/>
              </w:rPr>
            </w:pPr>
          </w:p>
        </w:tc>
        <w:tc>
          <w:tcPr>
            <w:tcW w:w="0" w:type="auto"/>
            <w:gridSpan w:val="3"/>
            <w:shd w:val="clear" w:color="auto" w:fill="auto"/>
            <w:vAlign w:val="bottom"/>
          </w:tcPr>
          <w:p w14:paraId="74DDD57C" w14:textId="77777777" w:rsidR="00584EC1" w:rsidRDefault="00584EC1">
            <w:pPr>
              <w:rPr>
                <w:rFonts w:ascii="宋体"/>
                <w:vanish/>
              </w:rPr>
            </w:pPr>
          </w:p>
        </w:tc>
        <w:tc>
          <w:tcPr>
            <w:tcW w:w="0" w:type="auto"/>
            <w:gridSpan w:val="3"/>
            <w:shd w:val="clear" w:color="auto" w:fill="auto"/>
            <w:vAlign w:val="bottom"/>
          </w:tcPr>
          <w:p w14:paraId="74DDD57D" w14:textId="77777777" w:rsidR="00584EC1" w:rsidRDefault="00584EC1">
            <w:pPr>
              <w:rPr>
                <w:rFonts w:ascii="宋体"/>
                <w:vanish/>
              </w:rPr>
            </w:pPr>
          </w:p>
        </w:tc>
        <w:tc>
          <w:tcPr>
            <w:tcW w:w="0" w:type="auto"/>
            <w:gridSpan w:val="3"/>
            <w:shd w:val="clear" w:color="auto" w:fill="auto"/>
            <w:vAlign w:val="bottom"/>
          </w:tcPr>
          <w:p w14:paraId="74DDD57E" w14:textId="77777777" w:rsidR="00584EC1" w:rsidRDefault="00584EC1">
            <w:pPr>
              <w:rPr>
                <w:rFonts w:ascii="宋体"/>
                <w:vanish/>
              </w:rPr>
            </w:pPr>
          </w:p>
        </w:tc>
        <w:tc>
          <w:tcPr>
            <w:tcW w:w="0" w:type="auto"/>
            <w:gridSpan w:val="3"/>
            <w:shd w:val="clear" w:color="auto" w:fill="auto"/>
            <w:vAlign w:val="bottom"/>
          </w:tcPr>
          <w:p w14:paraId="74DDD57F" w14:textId="77777777" w:rsidR="00584EC1" w:rsidRDefault="00584EC1">
            <w:pPr>
              <w:rPr>
                <w:rFonts w:ascii="宋体"/>
                <w:vanish/>
              </w:rPr>
            </w:pPr>
          </w:p>
        </w:tc>
        <w:tc>
          <w:tcPr>
            <w:tcW w:w="0" w:type="auto"/>
            <w:gridSpan w:val="3"/>
            <w:shd w:val="clear" w:color="auto" w:fill="auto"/>
            <w:vAlign w:val="bottom"/>
          </w:tcPr>
          <w:p w14:paraId="74DDD580" w14:textId="77777777" w:rsidR="00584EC1" w:rsidRDefault="00584EC1">
            <w:pPr>
              <w:rPr>
                <w:rFonts w:ascii="宋体"/>
                <w:vanish/>
              </w:rPr>
            </w:pPr>
          </w:p>
        </w:tc>
      </w:tr>
      <w:tr w:rsidR="00584EC1" w14:paraId="74DDD58E" w14:textId="77777777">
        <w:trPr>
          <w:hidden/>
        </w:trPr>
        <w:tc>
          <w:tcPr>
            <w:tcW w:w="0" w:type="auto"/>
            <w:gridSpan w:val="3"/>
            <w:shd w:val="clear" w:color="auto" w:fill="auto"/>
            <w:vAlign w:val="bottom"/>
          </w:tcPr>
          <w:p w14:paraId="74DDD582" w14:textId="77777777" w:rsidR="00584EC1" w:rsidRDefault="00584EC1">
            <w:pPr>
              <w:rPr>
                <w:rFonts w:ascii="宋体"/>
                <w:vanish/>
              </w:rPr>
            </w:pPr>
          </w:p>
        </w:tc>
        <w:tc>
          <w:tcPr>
            <w:tcW w:w="0" w:type="auto"/>
            <w:gridSpan w:val="3"/>
            <w:shd w:val="clear" w:color="auto" w:fill="auto"/>
            <w:vAlign w:val="bottom"/>
          </w:tcPr>
          <w:p w14:paraId="74DDD583" w14:textId="77777777" w:rsidR="00584EC1" w:rsidRDefault="00584EC1">
            <w:pPr>
              <w:rPr>
                <w:rFonts w:ascii="宋体"/>
                <w:vanish/>
              </w:rPr>
            </w:pPr>
          </w:p>
        </w:tc>
        <w:tc>
          <w:tcPr>
            <w:tcW w:w="0" w:type="auto"/>
            <w:gridSpan w:val="3"/>
            <w:shd w:val="clear" w:color="auto" w:fill="auto"/>
            <w:vAlign w:val="bottom"/>
          </w:tcPr>
          <w:p w14:paraId="74DDD584" w14:textId="77777777" w:rsidR="00584EC1" w:rsidRDefault="00584EC1">
            <w:pPr>
              <w:rPr>
                <w:rFonts w:ascii="宋体"/>
                <w:vanish/>
              </w:rPr>
            </w:pPr>
          </w:p>
        </w:tc>
        <w:tc>
          <w:tcPr>
            <w:tcW w:w="0" w:type="auto"/>
            <w:gridSpan w:val="3"/>
            <w:shd w:val="clear" w:color="auto" w:fill="auto"/>
            <w:vAlign w:val="bottom"/>
          </w:tcPr>
          <w:p w14:paraId="74DDD585" w14:textId="77777777" w:rsidR="00584EC1" w:rsidRDefault="00584EC1">
            <w:pPr>
              <w:rPr>
                <w:rFonts w:ascii="宋体"/>
                <w:vanish/>
              </w:rPr>
            </w:pPr>
          </w:p>
        </w:tc>
        <w:tc>
          <w:tcPr>
            <w:tcW w:w="0" w:type="auto"/>
            <w:gridSpan w:val="3"/>
            <w:shd w:val="clear" w:color="auto" w:fill="auto"/>
            <w:vAlign w:val="bottom"/>
          </w:tcPr>
          <w:p w14:paraId="74DDD586" w14:textId="77777777" w:rsidR="00584EC1" w:rsidRDefault="00584EC1">
            <w:pPr>
              <w:rPr>
                <w:rFonts w:ascii="宋体"/>
                <w:vanish/>
              </w:rPr>
            </w:pPr>
          </w:p>
        </w:tc>
        <w:tc>
          <w:tcPr>
            <w:tcW w:w="0" w:type="auto"/>
            <w:gridSpan w:val="3"/>
            <w:shd w:val="clear" w:color="auto" w:fill="auto"/>
            <w:vAlign w:val="bottom"/>
          </w:tcPr>
          <w:p w14:paraId="74DDD587" w14:textId="77777777" w:rsidR="00584EC1" w:rsidRDefault="00584EC1">
            <w:pPr>
              <w:rPr>
                <w:rFonts w:ascii="宋体"/>
                <w:vanish/>
              </w:rPr>
            </w:pPr>
          </w:p>
        </w:tc>
        <w:tc>
          <w:tcPr>
            <w:tcW w:w="0" w:type="auto"/>
            <w:gridSpan w:val="3"/>
            <w:shd w:val="clear" w:color="auto" w:fill="auto"/>
            <w:vAlign w:val="bottom"/>
          </w:tcPr>
          <w:p w14:paraId="74DDD588" w14:textId="77777777" w:rsidR="00584EC1" w:rsidRDefault="00584EC1">
            <w:pPr>
              <w:rPr>
                <w:rFonts w:ascii="宋体"/>
                <w:vanish/>
              </w:rPr>
            </w:pPr>
          </w:p>
        </w:tc>
        <w:tc>
          <w:tcPr>
            <w:tcW w:w="0" w:type="auto"/>
            <w:gridSpan w:val="3"/>
            <w:shd w:val="clear" w:color="auto" w:fill="auto"/>
            <w:vAlign w:val="bottom"/>
          </w:tcPr>
          <w:p w14:paraId="74DDD589" w14:textId="77777777" w:rsidR="00584EC1" w:rsidRDefault="00584EC1">
            <w:pPr>
              <w:rPr>
                <w:rFonts w:ascii="宋体"/>
                <w:vanish/>
              </w:rPr>
            </w:pPr>
          </w:p>
        </w:tc>
        <w:tc>
          <w:tcPr>
            <w:tcW w:w="0" w:type="auto"/>
            <w:gridSpan w:val="3"/>
            <w:shd w:val="clear" w:color="auto" w:fill="auto"/>
            <w:vAlign w:val="bottom"/>
          </w:tcPr>
          <w:p w14:paraId="74DDD58A" w14:textId="77777777" w:rsidR="00584EC1" w:rsidRDefault="00584EC1">
            <w:pPr>
              <w:rPr>
                <w:rFonts w:ascii="宋体"/>
                <w:vanish/>
              </w:rPr>
            </w:pPr>
          </w:p>
        </w:tc>
        <w:tc>
          <w:tcPr>
            <w:tcW w:w="0" w:type="auto"/>
            <w:gridSpan w:val="3"/>
            <w:shd w:val="clear" w:color="auto" w:fill="auto"/>
            <w:vAlign w:val="bottom"/>
          </w:tcPr>
          <w:p w14:paraId="74DDD58B" w14:textId="77777777" w:rsidR="00584EC1" w:rsidRDefault="00584EC1">
            <w:pPr>
              <w:rPr>
                <w:rFonts w:ascii="宋体"/>
                <w:vanish/>
              </w:rPr>
            </w:pPr>
          </w:p>
        </w:tc>
        <w:tc>
          <w:tcPr>
            <w:tcW w:w="0" w:type="auto"/>
            <w:gridSpan w:val="3"/>
            <w:shd w:val="clear" w:color="auto" w:fill="auto"/>
            <w:vAlign w:val="bottom"/>
          </w:tcPr>
          <w:p w14:paraId="74DDD58C" w14:textId="77777777" w:rsidR="00584EC1" w:rsidRDefault="00584EC1">
            <w:pPr>
              <w:rPr>
                <w:rFonts w:ascii="宋体"/>
                <w:vanish/>
              </w:rPr>
            </w:pPr>
          </w:p>
        </w:tc>
        <w:tc>
          <w:tcPr>
            <w:tcW w:w="0" w:type="auto"/>
            <w:gridSpan w:val="3"/>
            <w:shd w:val="clear" w:color="auto" w:fill="auto"/>
            <w:vAlign w:val="bottom"/>
          </w:tcPr>
          <w:p w14:paraId="74DDD58D" w14:textId="77777777" w:rsidR="00584EC1" w:rsidRDefault="00584EC1">
            <w:pPr>
              <w:rPr>
                <w:rFonts w:ascii="宋体"/>
                <w:vanish/>
              </w:rPr>
            </w:pPr>
          </w:p>
        </w:tc>
      </w:tr>
      <w:tr w:rsidR="00584EC1" w14:paraId="74DDD5A1" w14:textId="77777777">
        <w:tc>
          <w:tcPr>
            <w:tcW w:w="0" w:type="auto"/>
            <w:gridSpan w:val="3"/>
            <w:shd w:val="clear" w:color="auto" w:fill="FFFFFF"/>
            <w:tcMar>
              <w:top w:w="40" w:type="dxa"/>
              <w:left w:w="245" w:type="dxa"/>
              <w:bottom w:w="40" w:type="dxa"/>
              <w:right w:w="20" w:type="dxa"/>
            </w:tcMar>
            <w:vAlign w:val="bottom"/>
          </w:tcPr>
          <w:p w14:paraId="74DDD58F" w14:textId="77777777" w:rsidR="00584EC1" w:rsidRDefault="00871F8D">
            <w:pPr>
              <w:textAlignment w:val="bottom"/>
            </w:pPr>
            <w:r>
              <w:rPr>
                <w:rFonts w:ascii="Arial" w:eastAsia="宋体" w:hAnsi="Arial" w:cs="Arial"/>
                <w:color w:val="000000"/>
                <w:sz w:val="14"/>
                <w:szCs w:val="14"/>
              </w:rPr>
              <w:t>Total asset-backed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D590" w14:textId="77777777" w:rsidR="00584EC1" w:rsidRDefault="00871F8D">
            <w:pPr>
              <w:jc w:val="right"/>
              <w:textAlignment w:val="bottom"/>
            </w:pPr>
            <w:r>
              <w:rPr>
                <w:rFonts w:ascii="Arial" w:eastAsia="宋体" w:hAnsi="Arial" w:cs="Arial"/>
                <w:b/>
                <w:bCs/>
                <w:color w:val="000000"/>
                <w:sz w:val="14"/>
                <w:szCs w:val="14"/>
              </w:rPr>
              <w:t>2,516</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D59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592"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D593" w14:textId="77777777" w:rsidR="00584EC1" w:rsidRDefault="00871F8D">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D59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595"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D596" w14:textId="77777777" w:rsidR="00584EC1" w:rsidRDefault="00871F8D">
            <w:pPr>
              <w:jc w:val="right"/>
              <w:textAlignment w:val="bottom"/>
            </w:pPr>
            <w:r>
              <w:rPr>
                <w:rFonts w:ascii="Arial" w:eastAsia="宋体" w:hAnsi="Arial" w:cs="Arial"/>
                <w:b/>
                <w:bCs/>
                <w:color w:val="000000"/>
                <w:sz w:val="14"/>
                <w:szCs w:val="14"/>
              </w:rPr>
              <w:t>62</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D59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598"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D599"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D59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59B"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D59C" w14:textId="77777777" w:rsidR="00584EC1" w:rsidRDefault="00871F8D">
            <w:pPr>
              <w:jc w:val="right"/>
              <w:textAlignment w:val="bottom"/>
            </w:pPr>
            <w:r>
              <w:rPr>
                <w:rFonts w:ascii="Arial" w:eastAsia="宋体" w:hAnsi="Arial" w:cs="Arial"/>
                <w:b/>
                <w:bCs/>
                <w:color w:val="000000"/>
                <w:sz w:val="14"/>
                <w:szCs w:val="14"/>
              </w:rPr>
              <w:t>2,578</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D59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59E"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D59F" w14:textId="77777777" w:rsidR="00584EC1" w:rsidRDefault="00871F8D">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D5A0" w14:textId="77777777" w:rsidR="00584EC1" w:rsidRDefault="00584EC1">
            <w:pPr>
              <w:jc w:val="right"/>
              <w:rPr>
                <w:rFonts w:ascii="宋体"/>
              </w:rPr>
            </w:pPr>
          </w:p>
        </w:tc>
      </w:tr>
      <w:tr w:rsidR="00584EC1" w14:paraId="74DDD5AE" w14:textId="77777777">
        <w:trPr>
          <w:hidden/>
        </w:trPr>
        <w:tc>
          <w:tcPr>
            <w:tcW w:w="0" w:type="auto"/>
            <w:gridSpan w:val="3"/>
            <w:shd w:val="clear" w:color="auto" w:fill="auto"/>
            <w:vAlign w:val="bottom"/>
          </w:tcPr>
          <w:p w14:paraId="74DDD5A2" w14:textId="77777777" w:rsidR="00584EC1" w:rsidRDefault="00584EC1">
            <w:pPr>
              <w:rPr>
                <w:rFonts w:ascii="宋体"/>
                <w:vanish/>
              </w:rPr>
            </w:pPr>
          </w:p>
        </w:tc>
        <w:tc>
          <w:tcPr>
            <w:tcW w:w="0" w:type="auto"/>
            <w:gridSpan w:val="3"/>
            <w:shd w:val="clear" w:color="auto" w:fill="auto"/>
            <w:vAlign w:val="bottom"/>
          </w:tcPr>
          <w:p w14:paraId="74DDD5A3" w14:textId="77777777" w:rsidR="00584EC1" w:rsidRDefault="00584EC1">
            <w:pPr>
              <w:rPr>
                <w:rFonts w:ascii="宋体"/>
                <w:vanish/>
              </w:rPr>
            </w:pPr>
          </w:p>
        </w:tc>
        <w:tc>
          <w:tcPr>
            <w:tcW w:w="0" w:type="auto"/>
            <w:gridSpan w:val="3"/>
            <w:shd w:val="clear" w:color="auto" w:fill="auto"/>
            <w:vAlign w:val="bottom"/>
          </w:tcPr>
          <w:p w14:paraId="74DDD5A4" w14:textId="77777777" w:rsidR="00584EC1" w:rsidRDefault="00584EC1">
            <w:pPr>
              <w:rPr>
                <w:rFonts w:ascii="宋体"/>
                <w:vanish/>
              </w:rPr>
            </w:pPr>
          </w:p>
        </w:tc>
        <w:tc>
          <w:tcPr>
            <w:tcW w:w="0" w:type="auto"/>
            <w:gridSpan w:val="3"/>
            <w:shd w:val="clear" w:color="auto" w:fill="auto"/>
            <w:vAlign w:val="bottom"/>
          </w:tcPr>
          <w:p w14:paraId="74DDD5A5" w14:textId="77777777" w:rsidR="00584EC1" w:rsidRDefault="00584EC1">
            <w:pPr>
              <w:rPr>
                <w:rFonts w:ascii="宋体"/>
                <w:vanish/>
              </w:rPr>
            </w:pPr>
          </w:p>
        </w:tc>
        <w:tc>
          <w:tcPr>
            <w:tcW w:w="0" w:type="auto"/>
            <w:gridSpan w:val="3"/>
            <w:shd w:val="clear" w:color="auto" w:fill="auto"/>
            <w:vAlign w:val="bottom"/>
          </w:tcPr>
          <w:p w14:paraId="74DDD5A6" w14:textId="77777777" w:rsidR="00584EC1" w:rsidRDefault="00584EC1">
            <w:pPr>
              <w:rPr>
                <w:rFonts w:ascii="宋体"/>
                <w:vanish/>
              </w:rPr>
            </w:pPr>
          </w:p>
        </w:tc>
        <w:tc>
          <w:tcPr>
            <w:tcW w:w="0" w:type="auto"/>
            <w:gridSpan w:val="3"/>
            <w:shd w:val="clear" w:color="auto" w:fill="auto"/>
            <w:vAlign w:val="bottom"/>
          </w:tcPr>
          <w:p w14:paraId="74DDD5A7" w14:textId="77777777" w:rsidR="00584EC1" w:rsidRDefault="00584EC1">
            <w:pPr>
              <w:rPr>
                <w:rFonts w:ascii="宋体"/>
                <w:vanish/>
              </w:rPr>
            </w:pPr>
          </w:p>
        </w:tc>
        <w:tc>
          <w:tcPr>
            <w:tcW w:w="0" w:type="auto"/>
            <w:gridSpan w:val="3"/>
            <w:shd w:val="clear" w:color="auto" w:fill="auto"/>
            <w:vAlign w:val="bottom"/>
          </w:tcPr>
          <w:p w14:paraId="74DDD5A8" w14:textId="77777777" w:rsidR="00584EC1" w:rsidRDefault="00584EC1">
            <w:pPr>
              <w:rPr>
                <w:rFonts w:ascii="宋体"/>
                <w:vanish/>
              </w:rPr>
            </w:pPr>
          </w:p>
        </w:tc>
        <w:tc>
          <w:tcPr>
            <w:tcW w:w="0" w:type="auto"/>
            <w:gridSpan w:val="3"/>
            <w:shd w:val="clear" w:color="auto" w:fill="auto"/>
            <w:vAlign w:val="bottom"/>
          </w:tcPr>
          <w:p w14:paraId="74DDD5A9" w14:textId="77777777" w:rsidR="00584EC1" w:rsidRDefault="00584EC1">
            <w:pPr>
              <w:rPr>
                <w:rFonts w:ascii="宋体"/>
                <w:vanish/>
              </w:rPr>
            </w:pPr>
          </w:p>
        </w:tc>
        <w:tc>
          <w:tcPr>
            <w:tcW w:w="0" w:type="auto"/>
            <w:gridSpan w:val="3"/>
            <w:shd w:val="clear" w:color="auto" w:fill="auto"/>
            <w:vAlign w:val="bottom"/>
          </w:tcPr>
          <w:p w14:paraId="74DDD5AA" w14:textId="77777777" w:rsidR="00584EC1" w:rsidRDefault="00584EC1">
            <w:pPr>
              <w:rPr>
                <w:rFonts w:ascii="宋体"/>
                <w:vanish/>
              </w:rPr>
            </w:pPr>
          </w:p>
        </w:tc>
        <w:tc>
          <w:tcPr>
            <w:tcW w:w="0" w:type="auto"/>
            <w:gridSpan w:val="3"/>
            <w:shd w:val="clear" w:color="auto" w:fill="auto"/>
            <w:vAlign w:val="bottom"/>
          </w:tcPr>
          <w:p w14:paraId="74DDD5AB" w14:textId="77777777" w:rsidR="00584EC1" w:rsidRDefault="00584EC1">
            <w:pPr>
              <w:rPr>
                <w:rFonts w:ascii="宋体"/>
                <w:vanish/>
              </w:rPr>
            </w:pPr>
          </w:p>
        </w:tc>
        <w:tc>
          <w:tcPr>
            <w:tcW w:w="0" w:type="auto"/>
            <w:gridSpan w:val="3"/>
            <w:shd w:val="clear" w:color="auto" w:fill="auto"/>
            <w:vAlign w:val="bottom"/>
          </w:tcPr>
          <w:p w14:paraId="74DDD5AC" w14:textId="77777777" w:rsidR="00584EC1" w:rsidRDefault="00584EC1">
            <w:pPr>
              <w:rPr>
                <w:rFonts w:ascii="宋体"/>
                <w:vanish/>
              </w:rPr>
            </w:pPr>
          </w:p>
        </w:tc>
        <w:tc>
          <w:tcPr>
            <w:tcW w:w="0" w:type="auto"/>
            <w:gridSpan w:val="3"/>
            <w:shd w:val="clear" w:color="auto" w:fill="auto"/>
            <w:vAlign w:val="bottom"/>
          </w:tcPr>
          <w:p w14:paraId="74DDD5AD" w14:textId="77777777" w:rsidR="00584EC1" w:rsidRDefault="00584EC1">
            <w:pPr>
              <w:rPr>
                <w:rFonts w:ascii="宋体"/>
                <w:vanish/>
              </w:rPr>
            </w:pPr>
          </w:p>
        </w:tc>
      </w:tr>
      <w:tr w:rsidR="00584EC1" w14:paraId="74DDD5BB" w14:textId="77777777">
        <w:trPr>
          <w:hidden/>
        </w:trPr>
        <w:tc>
          <w:tcPr>
            <w:tcW w:w="0" w:type="auto"/>
            <w:gridSpan w:val="3"/>
            <w:shd w:val="clear" w:color="auto" w:fill="auto"/>
            <w:vAlign w:val="bottom"/>
          </w:tcPr>
          <w:p w14:paraId="74DDD5AF" w14:textId="77777777" w:rsidR="00584EC1" w:rsidRDefault="00584EC1">
            <w:pPr>
              <w:rPr>
                <w:rFonts w:ascii="宋体"/>
                <w:vanish/>
              </w:rPr>
            </w:pPr>
          </w:p>
        </w:tc>
        <w:tc>
          <w:tcPr>
            <w:tcW w:w="0" w:type="auto"/>
            <w:gridSpan w:val="3"/>
            <w:shd w:val="clear" w:color="auto" w:fill="auto"/>
            <w:vAlign w:val="bottom"/>
          </w:tcPr>
          <w:p w14:paraId="74DDD5B0" w14:textId="77777777" w:rsidR="00584EC1" w:rsidRDefault="00584EC1">
            <w:pPr>
              <w:rPr>
                <w:rFonts w:ascii="宋体"/>
                <w:vanish/>
              </w:rPr>
            </w:pPr>
          </w:p>
        </w:tc>
        <w:tc>
          <w:tcPr>
            <w:tcW w:w="0" w:type="auto"/>
            <w:gridSpan w:val="3"/>
            <w:shd w:val="clear" w:color="auto" w:fill="auto"/>
            <w:vAlign w:val="bottom"/>
          </w:tcPr>
          <w:p w14:paraId="74DDD5B1" w14:textId="77777777" w:rsidR="00584EC1" w:rsidRDefault="00584EC1">
            <w:pPr>
              <w:rPr>
                <w:rFonts w:ascii="宋体"/>
                <w:vanish/>
              </w:rPr>
            </w:pPr>
          </w:p>
        </w:tc>
        <w:tc>
          <w:tcPr>
            <w:tcW w:w="0" w:type="auto"/>
            <w:gridSpan w:val="3"/>
            <w:shd w:val="clear" w:color="auto" w:fill="auto"/>
            <w:vAlign w:val="bottom"/>
          </w:tcPr>
          <w:p w14:paraId="74DDD5B2" w14:textId="77777777" w:rsidR="00584EC1" w:rsidRDefault="00584EC1">
            <w:pPr>
              <w:rPr>
                <w:rFonts w:ascii="宋体"/>
                <w:vanish/>
              </w:rPr>
            </w:pPr>
          </w:p>
        </w:tc>
        <w:tc>
          <w:tcPr>
            <w:tcW w:w="0" w:type="auto"/>
            <w:gridSpan w:val="3"/>
            <w:shd w:val="clear" w:color="auto" w:fill="auto"/>
            <w:vAlign w:val="bottom"/>
          </w:tcPr>
          <w:p w14:paraId="74DDD5B3" w14:textId="77777777" w:rsidR="00584EC1" w:rsidRDefault="00584EC1">
            <w:pPr>
              <w:rPr>
                <w:rFonts w:ascii="宋体"/>
                <w:vanish/>
              </w:rPr>
            </w:pPr>
          </w:p>
        </w:tc>
        <w:tc>
          <w:tcPr>
            <w:tcW w:w="0" w:type="auto"/>
            <w:gridSpan w:val="3"/>
            <w:shd w:val="clear" w:color="auto" w:fill="auto"/>
            <w:vAlign w:val="bottom"/>
          </w:tcPr>
          <w:p w14:paraId="74DDD5B4" w14:textId="77777777" w:rsidR="00584EC1" w:rsidRDefault="00584EC1">
            <w:pPr>
              <w:rPr>
                <w:rFonts w:ascii="宋体"/>
                <w:vanish/>
              </w:rPr>
            </w:pPr>
          </w:p>
        </w:tc>
        <w:tc>
          <w:tcPr>
            <w:tcW w:w="0" w:type="auto"/>
            <w:gridSpan w:val="3"/>
            <w:shd w:val="clear" w:color="auto" w:fill="auto"/>
            <w:vAlign w:val="bottom"/>
          </w:tcPr>
          <w:p w14:paraId="74DDD5B5" w14:textId="77777777" w:rsidR="00584EC1" w:rsidRDefault="00584EC1">
            <w:pPr>
              <w:rPr>
                <w:rFonts w:ascii="宋体"/>
                <w:vanish/>
              </w:rPr>
            </w:pPr>
          </w:p>
        </w:tc>
        <w:tc>
          <w:tcPr>
            <w:tcW w:w="0" w:type="auto"/>
            <w:gridSpan w:val="3"/>
            <w:shd w:val="clear" w:color="auto" w:fill="auto"/>
            <w:vAlign w:val="bottom"/>
          </w:tcPr>
          <w:p w14:paraId="74DDD5B6" w14:textId="77777777" w:rsidR="00584EC1" w:rsidRDefault="00584EC1">
            <w:pPr>
              <w:rPr>
                <w:rFonts w:ascii="宋体"/>
                <w:vanish/>
              </w:rPr>
            </w:pPr>
          </w:p>
        </w:tc>
        <w:tc>
          <w:tcPr>
            <w:tcW w:w="0" w:type="auto"/>
            <w:gridSpan w:val="3"/>
            <w:shd w:val="clear" w:color="auto" w:fill="auto"/>
            <w:vAlign w:val="bottom"/>
          </w:tcPr>
          <w:p w14:paraId="74DDD5B7" w14:textId="77777777" w:rsidR="00584EC1" w:rsidRDefault="00584EC1">
            <w:pPr>
              <w:rPr>
                <w:rFonts w:ascii="宋体"/>
                <w:vanish/>
              </w:rPr>
            </w:pPr>
          </w:p>
        </w:tc>
        <w:tc>
          <w:tcPr>
            <w:tcW w:w="0" w:type="auto"/>
            <w:gridSpan w:val="3"/>
            <w:shd w:val="clear" w:color="auto" w:fill="auto"/>
            <w:vAlign w:val="bottom"/>
          </w:tcPr>
          <w:p w14:paraId="74DDD5B8" w14:textId="77777777" w:rsidR="00584EC1" w:rsidRDefault="00584EC1">
            <w:pPr>
              <w:rPr>
                <w:rFonts w:ascii="宋体"/>
                <w:vanish/>
              </w:rPr>
            </w:pPr>
          </w:p>
        </w:tc>
        <w:tc>
          <w:tcPr>
            <w:tcW w:w="0" w:type="auto"/>
            <w:gridSpan w:val="3"/>
            <w:shd w:val="clear" w:color="auto" w:fill="auto"/>
            <w:vAlign w:val="bottom"/>
          </w:tcPr>
          <w:p w14:paraId="74DDD5B9" w14:textId="77777777" w:rsidR="00584EC1" w:rsidRDefault="00584EC1">
            <w:pPr>
              <w:rPr>
                <w:rFonts w:ascii="宋体"/>
                <w:vanish/>
              </w:rPr>
            </w:pPr>
          </w:p>
        </w:tc>
        <w:tc>
          <w:tcPr>
            <w:tcW w:w="0" w:type="auto"/>
            <w:gridSpan w:val="3"/>
            <w:shd w:val="clear" w:color="auto" w:fill="auto"/>
            <w:vAlign w:val="bottom"/>
          </w:tcPr>
          <w:p w14:paraId="74DDD5BA" w14:textId="77777777" w:rsidR="00584EC1" w:rsidRDefault="00584EC1">
            <w:pPr>
              <w:rPr>
                <w:rFonts w:ascii="宋体"/>
                <w:vanish/>
              </w:rPr>
            </w:pPr>
          </w:p>
        </w:tc>
      </w:tr>
      <w:tr w:rsidR="00584EC1" w14:paraId="74DDD5C8" w14:textId="77777777">
        <w:trPr>
          <w:hidden/>
        </w:trPr>
        <w:tc>
          <w:tcPr>
            <w:tcW w:w="0" w:type="auto"/>
            <w:gridSpan w:val="3"/>
            <w:shd w:val="clear" w:color="auto" w:fill="auto"/>
            <w:vAlign w:val="bottom"/>
          </w:tcPr>
          <w:p w14:paraId="74DDD5BC" w14:textId="77777777" w:rsidR="00584EC1" w:rsidRDefault="00584EC1">
            <w:pPr>
              <w:rPr>
                <w:rFonts w:ascii="宋体"/>
                <w:vanish/>
              </w:rPr>
            </w:pPr>
          </w:p>
        </w:tc>
        <w:tc>
          <w:tcPr>
            <w:tcW w:w="0" w:type="auto"/>
            <w:gridSpan w:val="3"/>
            <w:shd w:val="clear" w:color="auto" w:fill="auto"/>
            <w:vAlign w:val="bottom"/>
          </w:tcPr>
          <w:p w14:paraId="74DDD5BD" w14:textId="77777777" w:rsidR="00584EC1" w:rsidRDefault="00584EC1">
            <w:pPr>
              <w:rPr>
                <w:rFonts w:ascii="宋体"/>
                <w:vanish/>
              </w:rPr>
            </w:pPr>
          </w:p>
        </w:tc>
        <w:tc>
          <w:tcPr>
            <w:tcW w:w="0" w:type="auto"/>
            <w:gridSpan w:val="3"/>
            <w:shd w:val="clear" w:color="auto" w:fill="auto"/>
            <w:vAlign w:val="bottom"/>
          </w:tcPr>
          <w:p w14:paraId="74DDD5BE" w14:textId="77777777" w:rsidR="00584EC1" w:rsidRDefault="00584EC1">
            <w:pPr>
              <w:rPr>
                <w:rFonts w:ascii="宋体"/>
                <w:vanish/>
              </w:rPr>
            </w:pPr>
          </w:p>
        </w:tc>
        <w:tc>
          <w:tcPr>
            <w:tcW w:w="0" w:type="auto"/>
            <w:gridSpan w:val="3"/>
            <w:shd w:val="clear" w:color="auto" w:fill="auto"/>
            <w:vAlign w:val="bottom"/>
          </w:tcPr>
          <w:p w14:paraId="74DDD5BF" w14:textId="77777777" w:rsidR="00584EC1" w:rsidRDefault="00584EC1">
            <w:pPr>
              <w:rPr>
                <w:rFonts w:ascii="宋体"/>
                <w:vanish/>
              </w:rPr>
            </w:pPr>
          </w:p>
        </w:tc>
        <w:tc>
          <w:tcPr>
            <w:tcW w:w="0" w:type="auto"/>
            <w:gridSpan w:val="3"/>
            <w:shd w:val="clear" w:color="auto" w:fill="auto"/>
            <w:vAlign w:val="bottom"/>
          </w:tcPr>
          <w:p w14:paraId="74DDD5C0" w14:textId="77777777" w:rsidR="00584EC1" w:rsidRDefault="00584EC1">
            <w:pPr>
              <w:rPr>
                <w:rFonts w:ascii="宋体"/>
                <w:vanish/>
              </w:rPr>
            </w:pPr>
          </w:p>
        </w:tc>
        <w:tc>
          <w:tcPr>
            <w:tcW w:w="0" w:type="auto"/>
            <w:gridSpan w:val="3"/>
            <w:shd w:val="clear" w:color="auto" w:fill="auto"/>
            <w:vAlign w:val="bottom"/>
          </w:tcPr>
          <w:p w14:paraId="74DDD5C1" w14:textId="77777777" w:rsidR="00584EC1" w:rsidRDefault="00584EC1">
            <w:pPr>
              <w:rPr>
                <w:rFonts w:ascii="宋体"/>
                <w:vanish/>
              </w:rPr>
            </w:pPr>
          </w:p>
        </w:tc>
        <w:tc>
          <w:tcPr>
            <w:tcW w:w="0" w:type="auto"/>
            <w:gridSpan w:val="3"/>
            <w:shd w:val="clear" w:color="auto" w:fill="auto"/>
            <w:vAlign w:val="bottom"/>
          </w:tcPr>
          <w:p w14:paraId="74DDD5C2" w14:textId="77777777" w:rsidR="00584EC1" w:rsidRDefault="00584EC1">
            <w:pPr>
              <w:rPr>
                <w:rFonts w:ascii="宋体"/>
                <w:vanish/>
              </w:rPr>
            </w:pPr>
          </w:p>
        </w:tc>
        <w:tc>
          <w:tcPr>
            <w:tcW w:w="0" w:type="auto"/>
            <w:gridSpan w:val="3"/>
            <w:shd w:val="clear" w:color="auto" w:fill="auto"/>
            <w:vAlign w:val="bottom"/>
          </w:tcPr>
          <w:p w14:paraId="74DDD5C3" w14:textId="77777777" w:rsidR="00584EC1" w:rsidRDefault="00584EC1">
            <w:pPr>
              <w:rPr>
                <w:rFonts w:ascii="宋体"/>
                <w:vanish/>
              </w:rPr>
            </w:pPr>
          </w:p>
        </w:tc>
        <w:tc>
          <w:tcPr>
            <w:tcW w:w="0" w:type="auto"/>
            <w:gridSpan w:val="3"/>
            <w:shd w:val="clear" w:color="auto" w:fill="auto"/>
            <w:vAlign w:val="bottom"/>
          </w:tcPr>
          <w:p w14:paraId="74DDD5C4" w14:textId="77777777" w:rsidR="00584EC1" w:rsidRDefault="00584EC1">
            <w:pPr>
              <w:rPr>
                <w:rFonts w:ascii="宋体"/>
                <w:vanish/>
              </w:rPr>
            </w:pPr>
          </w:p>
        </w:tc>
        <w:tc>
          <w:tcPr>
            <w:tcW w:w="0" w:type="auto"/>
            <w:gridSpan w:val="3"/>
            <w:shd w:val="clear" w:color="auto" w:fill="auto"/>
            <w:vAlign w:val="bottom"/>
          </w:tcPr>
          <w:p w14:paraId="74DDD5C5" w14:textId="77777777" w:rsidR="00584EC1" w:rsidRDefault="00584EC1">
            <w:pPr>
              <w:rPr>
                <w:rFonts w:ascii="宋体"/>
                <w:vanish/>
              </w:rPr>
            </w:pPr>
          </w:p>
        </w:tc>
        <w:tc>
          <w:tcPr>
            <w:tcW w:w="0" w:type="auto"/>
            <w:gridSpan w:val="3"/>
            <w:shd w:val="clear" w:color="auto" w:fill="auto"/>
            <w:vAlign w:val="bottom"/>
          </w:tcPr>
          <w:p w14:paraId="74DDD5C6" w14:textId="77777777" w:rsidR="00584EC1" w:rsidRDefault="00584EC1">
            <w:pPr>
              <w:rPr>
                <w:rFonts w:ascii="宋体"/>
                <w:vanish/>
              </w:rPr>
            </w:pPr>
          </w:p>
        </w:tc>
        <w:tc>
          <w:tcPr>
            <w:tcW w:w="0" w:type="auto"/>
            <w:gridSpan w:val="3"/>
            <w:shd w:val="clear" w:color="auto" w:fill="auto"/>
            <w:vAlign w:val="bottom"/>
          </w:tcPr>
          <w:p w14:paraId="74DDD5C7" w14:textId="77777777" w:rsidR="00584EC1" w:rsidRDefault="00584EC1">
            <w:pPr>
              <w:rPr>
                <w:rFonts w:ascii="宋体"/>
                <w:vanish/>
              </w:rPr>
            </w:pPr>
          </w:p>
        </w:tc>
      </w:tr>
      <w:tr w:rsidR="00584EC1" w14:paraId="74DDD5D5" w14:textId="77777777">
        <w:trPr>
          <w:hidden/>
        </w:trPr>
        <w:tc>
          <w:tcPr>
            <w:tcW w:w="0" w:type="auto"/>
            <w:gridSpan w:val="3"/>
            <w:shd w:val="clear" w:color="auto" w:fill="auto"/>
            <w:vAlign w:val="bottom"/>
          </w:tcPr>
          <w:p w14:paraId="74DDD5C9" w14:textId="77777777" w:rsidR="00584EC1" w:rsidRDefault="00584EC1">
            <w:pPr>
              <w:rPr>
                <w:rFonts w:ascii="宋体"/>
                <w:vanish/>
              </w:rPr>
            </w:pPr>
          </w:p>
        </w:tc>
        <w:tc>
          <w:tcPr>
            <w:tcW w:w="0" w:type="auto"/>
            <w:gridSpan w:val="3"/>
            <w:shd w:val="clear" w:color="auto" w:fill="auto"/>
            <w:vAlign w:val="bottom"/>
          </w:tcPr>
          <w:p w14:paraId="74DDD5CA" w14:textId="77777777" w:rsidR="00584EC1" w:rsidRDefault="00584EC1">
            <w:pPr>
              <w:rPr>
                <w:rFonts w:ascii="宋体"/>
                <w:vanish/>
              </w:rPr>
            </w:pPr>
          </w:p>
        </w:tc>
        <w:tc>
          <w:tcPr>
            <w:tcW w:w="0" w:type="auto"/>
            <w:gridSpan w:val="3"/>
            <w:shd w:val="clear" w:color="auto" w:fill="auto"/>
            <w:vAlign w:val="bottom"/>
          </w:tcPr>
          <w:p w14:paraId="74DDD5CB" w14:textId="77777777" w:rsidR="00584EC1" w:rsidRDefault="00584EC1">
            <w:pPr>
              <w:rPr>
                <w:rFonts w:ascii="宋体"/>
                <w:vanish/>
              </w:rPr>
            </w:pPr>
          </w:p>
        </w:tc>
        <w:tc>
          <w:tcPr>
            <w:tcW w:w="0" w:type="auto"/>
            <w:gridSpan w:val="3"/>
            <w:shd w:val="clear" w:color="auto" w:fill="auto"/>
            <w:vAlign w:val="bottom"/>
          </w:tcPr>
          <w:p w14:paraId="74DDD5CC" w14:textId="77777777" w:rsidR="00584EC1" w:rsidRDefault="00584EC1">
            <w:pPr>
              <w:rPr>
                <w:rFonts w:ascii="宋体"/>
                <w:vanish/>
              </w:rPr>
            </w:pPr>
          </w:p>
        </w:tc>
        <w:tc>
          <w:tcPr>
            <w:tcW w:w="0" w:type="auto"/>
            <w:gridSpan w:val="3"/>
            <w:shd w:val="clear" w:color="auto" w:fill="auto"/>
            <w:vAlign w:val="bottom"/>
          </w:tcPr>
          <w:p w14:paraId="74DDD5CD" w14:textId="77777777" w:rsidR="00584EC1" w:rsidRDefault="00584EC1">
            <w:pPr>
              <w:rPr>
                <w:rFonts w:ascii="宋体"/>
                <w:vanish/>
              </w:rPr>
            </w:pPr>
          </w:p>
        </w:tc>
        <w:tc>
          <w:tcPr>
            <w:tcW w:w="0" w:type="auto"/>
            <w:gridSpan w:val="3"/>
            <w:shd w:val="clear" w:color="auto" w:fill="auto"/>
            <w:vAlign w:val="bottom"/>
          </w:tcPr>
          <w:p w14:paraId="74DDD5CE" w14:textId="77777777" w:rsidR="00584EC1" w:rsidRDefault="00584EC1">
            <w:pPr>
              <w:rPr>
                <w:rFonts w:ascii="宋体"/>
                <w:vanish/>
              </w:rPr>
            </w:pPr>
          </w:p>
        </w:tc>
        <w:tc>
          <w:tcPr>
            <w:tcW w:w="0" w:type="auto"/>
            <w:gridSpan w:val="3"/>
            <w:shd w:val="clear" w:color="auto" w:fill="auto"/>
            <w:vAlign w:val="bottom"/>
          </w:tcPr>
          <w:p w14:paraId="74DDD5CF" w14:textId="77777777" w:rsidR="00584EC1" w:rsidRDefault="00584EC1">
            <w:pPr>
              <w:rPr>
                <w:rFonts w:ascii="宋体"/>
                <w:vanish/>
              </w:rPr>
            </w:pPr>
          </w:p>
        </w:tc>
        <w:tc>
          <w:tcPr>
            <w:tcW w:w="0" w:type="auto"/>
            <w:gridSpan w:val="3"/>
            <w:shd w:val="clear" w:color="auto" w:fill="auto"/>
            <w:vAlign w:val="bottom"/>
          </w:tcPr>
          <w:p w14:paraId="74DDD5D0" w14:textId="77777777" w:rsidR="00584EC1" w:rsidRDefault="00584EC1">
            <w:pPr>
              <w:rPr>
                <w:rFonts w:ascii="宋体"/>
                <w:vanish/>
              </w:rPr>
            </w:pPr>
          </w:p>
        </w:tc>
        <w:tc>
          <w:tcPr>
            <w:tcW w:w="0" w:type="auto"/>
            <w:gridSpan w:val="3"/>
            <w:shd w:val="clear" w:color="auto" w:fill="auto"/>
            <w:vAlign w:val="bottom"/>
          </w:tcPr>
          <w:p w14:paraId="74DDD5D1" w14:textId="77777777" w:rsidR="00584EC1" w:rsidRDefault="00584EC1">
            <w:pPr>
              <w:rPr>
                <w:rFonts w:ascii="宋体"/>
                <w:vanish/>
              </w:rPr>
            </w:pPr>
          </w:p>
        </w:tc>
        <w:tc>
          <w:tcPr>
            <w:tcW w:w="0" w:type="auto"/>
            <w:gridSpan w:val="3"/>
            <w:shd w:val="clear" w:color="auto" w:fill="auto"/>
            <w:vAlign w:val="bottom"/>
          </w:tcPr>
          <w:p w14:paraId="74DDD5D2" w14:textId="77777777" w:rsidR="00584EC1" w:rsidRDefault="00584EC1">
            <w:pPr>
              <w:rPr>
                <w:rFonts w:ascii="宋体"/>
                <w:vanish/>
              </w:rPr>
            </w:pPr>
          </w:p>
        </w:tc>
        <w:tc>
          <w:tcPr>
            <w:tcW w:w="0" w:type="auto"/>
            <w:gridSpan w:val="3"/>
            <w:shd w:val="clear" w:color="auto" w:fill="auto"/>
            <w:vAlign w:val="bottom"/>
          </w:tcPr>
          <w:p w14:paraId="74DDD5D3" w14:textId="77777777" w:rsidR="00584EC1" w:rsidRDefault="00584EC1">
            <w:pPr>
              <w:rPr>
                <w:rFonts w:ascii="宋体"/>
                <w:vanish/>
              </w:rPr>
            </w:pPr>
          </w:p>
        </w:tc>
        <w:tc>
          <w:tcPr>
            <w:tcW w:w="0" w:type="auto"/>
            <w:gridSpan w:val="3"/>
            <w:shd w:val="clear" w:color="auto" w:fill="auto"/>
            <w:vAlign w:val="bottom"/>
          </w:tcPr>
          <w:p w14:paraId="74DDD5D4" w14:textId="77777777" w:rsidR="00584EC1" w:rsidRDefault="00584EC1">
            <w:pPr>
              <w:rPr>
                <w:rFonts w:ascii="宋体"/>
                <w:vanish/>
              </w:rPr>
            </w:pPr>
          </w:p>
        </w:tc>
      </w:tr>
      <w:tr w:rsidR="00584EC1" w14:paraId="74DDD5E2" w14:textId="77777777">
        <w:trPr>
          <w:hidden/>
        </w:trPr>
        <w:tc>
          <w:tcPr>
            <w:tcW w:w="0" w:type="auto"/>
            <w:gridSpan w:val="3"/>
            <w:shd w:val="clear" w:color="auto" w:fill="auto"/>
            <w:vAlign w:val="bottom"/>
          </w:tcPr>
          <w:p w14:paraId="74DDD5D6" w14:textId="77777777" w:rsidR="00584EC1" w:rsidRDefault="00584EC1">
            <w:pPr>
              <w:rPr>
                <w:rFonts w:ascii="宋体"/>
                <w:vanish/>
              </w:rPr>
            </w:pPr>
          </w:p>
        </w:tc>
        <w:tc>
          <w:tcPr>
            <w:tcW w:w="0" w:type="auto"/>
            <w:gridSpan w:val="3"/>
            <w:shd w:val="clear" w:color="auto" w:fill="auto"/>
            <w:vAlign w:val="bottom"/>
          </w:tcPr>
          <w:p w14:paraId="74DDD5D7" w14:textId="77777777" w:rsidR="00584EC1" w:rsidRDefault="00584EC1">
            <w:pPr>
              <w:rPr>
                <w:rFonts w:ascii="宋体"/>
                <w:vanish/>
              </w:rPr>
            </w:pPr>
          </w:p>
        </w:tc>
        <w:tc>
          <w:tcPr>
            <w:tcW w:w="0" w:type="auto"/>
            <w:gridSpan w:val="3"/>
            <w:shd w:val="clear" w:color="auto" w:fill="auto"/>
            <w:vAlign w:val="bottom"/>
          </w:tcPr>
          <w:p w14:paraId="74DDD5D8" w14:textId="77777777" w:rsidR="00584EC1" w:rsidRDefault="00584EC1">
            <w:pPr>
              <w:rPr>
                <w:rFonts w:ascii="宋体"/>
                <w:vanish/>
              </w:rPr>
            </w:pPr>
          </w:p>
        </w:tc>
        <w:tc>
          <w:tcPr>
            <w:tcW w:w="0" w:type="auto"/>
            <w:gridSpan w:val="3"/>
            <w:shd w:val="clear" w:color="auto" w:fill="auto"/>
            <w:vAlign w:val="bottom"/>
          </w:tcPr>
          <w:p w14:paraId="74DDD5D9" w14:textId="77777777" w:rsidR="00584EC1" w:rsidRDefault="00584EC1">
            <w:pPr>
              <w:rPr>
                <w:rFonts w:ascii="宋体"/>
                <w:vanish/>
              </w:rPr>
            </w:pPr>
          </w:p>
        </w:tc>
        <w:tc>
          <w:tcPr>
            <w:tcW w:w="0" w:type="auto"/>
            <w:gridSpan w:val="3"/>
            <w:shd w:val="clear" w:color="auto" w:fill="auto"/>
            <w:vAlign w:val="bottom"/>
          </w:tcPr>
          <w:p w14:paraId="74DDD5DA" w14:textId="77777777" w:rsidR="00584EC1" w:rsidRDefault="00584EC1">
            <w:pPr>
              <w:rPr>
                <w:rFonts w:ascii="宋体"/>
                <w:vanish/>
              </w:rPr>
            </w:pPr>
          </w:p>
        </w:tc>
        <w:tc>
          <w:tcPr>
            <w:tcW w:w="0" w:type="auto"/>
            <w:gridSpan w:val="3"/>
            <w:shd w:val="clear" w:color="auto" w:fill="auto"/>
            <w:vAlign w:val="bottom"/>
          </w:tcPr>
          <w:p w14:paraId="74DDD5DB" w14:textId="77777777" w:rsidR="00584EC1" w:rsidRDefault="00584EC1">
            <w:pPr>
              <w:rPr>
                <w:rFonts w:ascii="宋体"/>
                <w:vanish/>
              </w:rPr>
            </w:pPr>
          </w:p>
        </w:tc>
        <w:tc>
          <w:tcPr>
            <w:tcW w:w="0" w:type="auto"/>
            <w:gridSpan w:val="3"/>
            <w:shd w:val="clear" w:color="auto" w:fill="auto"/>
            <w:vAlign w:val="bottom"/>
          </w:tcPr>
          <w:p w14:paraId="74DDD5DC" w14:textId="77777777" w:rsidR="00584EC1" w:rsidRDefault="00584EC1">
            <w:pPr>
              <w:rPr>
                <w:rFonts w:ascii="宋体"/>
                <w:vanish/>
              </w:rPr>
            </w:pPr>
          </w:p>
        </w:tc>
        <w:tc>
          <w:tcPr>
            <w:tcW w:w="0" w:type="auto"/>
            <w:gridSpan w:val="3"/>
            <w:shd w:val="clear" w:color="auto" w:fill="auto"/>
            <w:vAlign w:val="bottom"/>
          </w:tcPr>
          <w:p w14:paraId="74DDD5DD" w14:textId="77777777" w:rsidR="00584EC1" w:rsidRDefault="00584EC1">
            <w:pPr>
              <w:rPr>
                <w:rFonts w:ascii="宋体"/>
                <w:vanish/>
              </w:rPr>
            </w:pPr>
          </w:p>
        </w:tc>
        <w:tc>
          <w:tcPr>
            <w:tcW w:w="0" w:type="auto"/>
            <w:gridSpan w:val="3"/>
            <w:shd w:val="clear" w:color="auto" w:fill="auto"/>
            <w:vAlign w:val="bottom"/>
          </w:tcPr>
          <w:p w14:paraId="74DDD5DE" w14:textId="77777777" w:rsidR="00584EC1" w:rsidRDefault="00584EC1">
            <w:pPr>
              <w:rPr>
                <w:rFonts w:ascii="宋体"/>
                <w:vanish/>
              </w:rPr>
            </w:pPr>
          </w:p>
        </w:tc>
        <w:tc>
          <w:tcPr>
            <w:tcW w:w="0" w:type="auto"/>
            <w:gridSpan w:val="3"/>
            <w:shd w:val="clear" w:color="auto" w:fill="auto"/>
            <w:vAlign w:val="bottom"/>
          </w:tcPr>
          <w:p w14:paraId="74DDD5DF" w14:textId="77777777" w:rsidR="00584EC1" w:rsidRDefault="00584EC1">
            <w:pPr>
              <w:rPr>
                <w:rFonts w:ascii="宋体"/>
                <w:vanish/>
              </w:rPr>
            </w:pPr>
          </w:p>
        </w:tc>
        <w:tc>
          <w:tcPr>
            <w:tcW w:w="0" w:type="auto"/>
            <w:gridSpan w:val="3"/>
            <w:shd w:val="clear" w:color="auto" w:fill="auto"/>
            <w:vAlign w:val="bottom"/>
          </w:tcPr>
          <w:p w14:paraId="74DDD5E0" w14:textId="77777777" w:rsidR="00584EC1" w:rsidRDefault="00584EC1">
            <w:pPr>
              <w:rPr>
                <w:rFonts w:ascii="宋体"/>
                <w:vanish/>
              </w:rPr>
            </w:pPr>
          </w:p>
        </w:tc>
        <w:tc>
          <w:tcPr>
            <w:tcW w:w="0" w:type="auto"/>
            <w:gridSpan w:val="3"/>
            <w:shd w:val="clear" w:color="auto" w:fill="auto"/>
            <w:vAlign w:val="bottom"/>
          </w:tcPr>
          <w:p w14:paraId="74DDD5E1" w14:textId="77777777" w:rsidR="00584EC1" w:rsidRDefault="00584EC1">
            <w:pPr>
              <w:rPr>
                <w:rFonts w:ascii="宋体"/>
                <w:vanish/>
              </w:rPr>
            </w:pPr>
          </w:p>
        </w:tc>
      </w:tr>
      <w:tr w:rsidR="00584EC1" w14:paraId="74DDD5EF" w14:textId="77777777">
        <w:trPr>
          <w:hidden/>
        </w:trPr>
        <w:tc>
          <w:tcPr>
            <w:tcW w:w="0" w:type="auto"/>
            <w:gridSpan w:val="3"/>
            <w:shd w:val="clear" w:color="auto" w:fill="auto"/>
            <w:vAlign w:val="bottom"/>
          </w:tcPr>
          <w:p w14:paraId="74DDD5E3" w14:textId="77777777" w:rsidR="00584EC1" w:rsidRDefault="00584EC1">
            <w:pPr>
              <w:rPr>
                <w:rFonts w:ascii="宋体"/>
                <w:vanish/>
              </w:rPr>
            </w:pPr>
          </w:p>
        </w:tc>
        <w:tc>
          <w:tcPr>
            <w:tcW w:w="0" w:type="auto"/>
            <w:gridSpan w:val="3"/>
            <w:shd w:val="clear" w:color="auto" w:fill="auto"/>
            <w:vAlign w:val="bottom"/>
          </w:tcPr>
          <w:p w14:paraId="74DDD5E4" w14:textId="77777777" w:rsidR="00584EC1" w:rsidRDefault="00584EC1">
            <w:pPr>
              <w:rPr>
                <w:rFonts w:ascii="宋体"/>
                <w:vanish/>
              </w:rPr>
            </w:pPr>
          </w:p>
        </w:tc>
        <w:tc>
          <w:tcPr>
            <w:tcW w:w="0" w:type="auto"/>
            <w:gridSpan w:val="3"/>
            <w:shd w:val="clear" w:color="auto" w:fill="auto"/>
            <w:vAlign w:val="bottom"/>
          </w:tcPr>
          <w:p w14:paraId="74DDD5E5" w14:textId="77777777" w:rsidR="00584EC1" w:rsidRDefault="00584EC1">
            <w:pPr>
              <w:rPr>
                <w:rFonts w:ascii="宋体"/>
                <w:vanish/>
              </w:rPr>
            </w:pPr>
          </w:p>
        </w:tc>
        <w:tc>
          <w:tcPr>
            <w:tcW w:w="0" w:type="auto"/>
            <w:gridSpan w:val="3"/>
            <w:shd w:val="clear" w:color="auto" w:fill="auto"/>
            <w:vAlign w:val="bottom"/>
          </w:tcPr>
          <w:p w14:paraId="74DDD5E6" w14:textId="77777777" w:rsidR="00584EC1" w:rsidRDefault="00584EC1">
            <w:pPr>
              <w:rPr>
                <w:rFonts w:ascii="宋体"/>
                <w:vanish/>
              </w:rPr>
            </w:pPr>
          </w:p>
        </w:tc>
        <w:tc>
          <w:tcPr>
            <w:tcW w:w="0" w:type="auto"/>
            <w:gridSpan w:val="3"/>
            <w:shd w:val="clear" w:color="auto" w:fill="auto"/>
            <w:vAlign w:val="bottom"/>
          </w:tcPr>
          <w:p w14:paraId="74DDD5E7" w14:textId="77777777" w:rsidR="00584EC1" w:rsidRDefault="00584EC1">
            <w:pPr>
              <w:rPr>
                <w:rFonts w:ascii="宋体"/>
                <w:vanish/>
              </w:rPr>
            </w:pPr>
          </w:p>
        </w:tc>
        <w:tc>
          <w:tcPr>
            <w:tcW w:w="0" w:type="auto"/>
            <w:gridSpan w:val="3"/>
            <w:shd w:val="clear" w:color="auto" w:fill="auto"/>
            <w:vAlign w:val="bottom"/>
          </w:tcPr>
          <w:p w14:paraId="74DDD5E8" w14:textId="77777777" w:rsidR="00584EC1" w:rsidRDefault="00584EC1">
            <w:pPr>
              <w:rPr>
                <w:rFonts w:ascii="宋体"/>
                <w:vanish/>
              </w:rPr>
            </w:pPr>
          </w:p>
        </w:tc>
        <w:tc>
          <w:tcPr>
            <w:tcW w:w="0" w:type="auto"/>
            <w:gridSpan w:val="3"/>
            <w:shd w:val="clear" w:color="auto" w:fill="auto"/>
            <w:vAlign w:val="bottom"/>
          </w:tcPr>
          <w:p w14:paraId="74DDD5E9" w14:textId="77777777" w:rsidR="00584EC1" w:rsidRDefault="00584EC1">
            <w:pPr>
              <w:rPr>
                <w:rFonts w:ascii="宋体"/>
                <w:vanish/>
              </w:rPr>
            </w:pPr>
          </w:p>
        </w:tc>
        <w:tc>
          <w:tcPr>
            <w:tcW w:w="0" w:type="auto"/>
            <w:gridSpan w:val="3"/>
            <w:shd w:val="clear" w:color="auto" w:fill="auto"/>
            <w:vAlign w:val="bottom"/>
          </w:tcPr>
          <w:p w14:paraId="74DDD5EA" w14:textId="77777777" w:rsidR="00584EC1" w:rsidRDefault="00584EC1">
            <w:pPr>
              <w:rPr>
                <w:rFonts w:ascii="宋体"/>
                <w:vanish/>
              </w:rPr>
            </w:pPr>
          </w:p>
        </w:tc>
        <w:tc>
          <w:tcPr>
            <w:tcW w:w="0" w:type="auto"/>
            <w:gridSpan w:val="3"/>
            <w:shd w:val="clear" w:color="auto" w:fill="auto"/>
            <w:vAlign w:val="bottom"/>
          </w:tcPr>
          <w:p w14:paraId="74DDD5EB" w14:textId="77777777" w:rsidR="00584EC1" w:rsidRDefault="00584EC1">
            <w:pPr>
              <w:rPr>
                <w:rFonts w:ascii="宋体"/>
                <w:vanish/>
              </w:rPr>
            </w:pPr>
          </w:p>
        </w:tc>
        <w:tc>
          <w:tcPr>
            <w:tcW w:w="0" w:type="auto"/>
            <w:gridSpan w:val="3"/>
            <w:shd w:val="clear" w:color="auto" w:fill="auto"/>
            <w:vAlign w:val="bottom"/>
          </w:tcPr>
          <w:p w14:paraId="74DDD5EC" w14:textId="77777777" w:rsidR="00584EC1" w:rsidRDefault="00584EC1">
            <w:pPr>
              <w:rPr>
                <w:rFonts w:ascii="宋体"/>
                <w:vanish/>
              </w:rPr>
            </w:pPr>
          </w:p>
        </w:tc>
        <w:tc>
          <w:tcPr>
            <w:tcW w:w="0" w:type="auto"/>
            <w:gridSpan w:val="3"/>
            <w:shd w:val="clear" w:color="auto" w:fill="auto"/>
            <w:vAlign w:val="bottom"/>
          </w:tcPr>
          <w:p w14:paraId="74DDD5ED" w14:textId="77777777" w:rsidR="00584EC1" w:rsidRDefault="00584EC1">
            <w:pPr>
              <w:rPr>
                <w:rFonts w:ascii="宋体"/>
                <w:vanish/>
              </w:rPr>
            </w:pPr>
          </w:p>
        </w:tc>
        <w:tc>
          <w:tcPr>
            <w:tcW w:w="0" w:type="auto"/>
            <w:gridSpan w:val="3"/>
            <w:shd w:val="clear" w:color="auto" w:fill="auto"/>
            <w:vAlign w:val="bottom"/>
          </w:tcPr>
          <w:p w14:paraId="74DDD5EE" w14:textId="77777777" w:rsidR="00584EC1" w:rsidRDefault="00584EC1">
            <w:pPr>
              <w:rPr>
                <w:rFonts w:ascii="宋体"/>
                <w:vanish/>
              </w:rPr>
            </w:pPr>
          </w:p>
        </w:tc>
      </w:tr>
      <w:tr w:rsidR="00584EC1" w14:paraId="74DDD602" w14:textId="77777777">
        <w:tc>
          <w:tcPr>
            <w:tcW w:w="0" w:type="auto"/>
            <w:gridSpan w:val="3"/>
            <w:shd w:val="clear" w:color="auto" w:fill="CCEEFF"/>
            <w:tcMar>
              <w:top w:w="40" w:type="dxa"/>
              <w:left w:w="20" w:type="dxa"/>
              <w:bottom w:w="40" w:type="dxa"/>
              <w:right w:w="20" w:type="dxa"/>
            </w:tcMar>
            <w:vAlign w:val="bottom"/>
          </w:tcPr>
          <w:p w14:paraId="74DDD5F0" w14:textId="77777777" w:rsidR="00584EC1" w:rsidRDefault="00871F8D">
            <w:pPr>
              <w:textAlignment w:val="bottom"/>
            </w:pPr>
            <w:r>
              <w:rPr>
                <w:rFonts w:ascii="Arial" w:eastAsia="宋体" w:hAnsi="Arial" w:cs="Arial"/>
                <w:color w:val="000000"/>
                <w:sz w:val="14"/>
                <w:szCs w:val="14"/>
              </w:rPr>
              <w:t>State and political subdivisions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5F1" w14:textId="77777777" w:rsidR="00584EC1" w:rsidRDefault="00871F8D">
            <w:pPr>
              <w:jc w:val="right"/>
              <w:textAlignment w:val="bottom"/>
            </w:pPr>
            <w:r>
              <w:rPr>
                <w:rFonts w:ascii="Arial" w:eastAsia="宋体" w:hAnsi="Arial" w:cs="Arial"/>
                <w:b/>
                <w:bCs/>
                <w:color w:val="000000"/>
                <w:sz w:val="14"/>
                <w:szCs w:val="14"/>
              </w:rPr>
              <w:t>83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5F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5F3"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5F4"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5F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5F6"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5F7" w14:textId="77777777" w:rsidR="00584EC1" w:rsidRDefault="00871F8D">
            <w:pPr>
              <w:jc w:val="right"/>
              <w:textAlignment w:val="bottom"/>
            </w:pPr>
            <w:r>
              <w:rPr>
                <w:rFonts w:ascii="Arial" w:eastAsia="宋体" w:hAnsi="Arial" w:cs="Arial"/>
                <w:b/>
                <w:bCs/>
                <w:color w:val="000000"/>
                <w:sz w:val="14"/>
                <w:szCs w:val="14"/>
              </w:rPr>
              <w:t>45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5F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5F9"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5FA" w14:textId="77777777" w:rsidR="00584EC1" w:rsidRDefault="00871F8D">
            <w:pPr>
              <w:jc w:val="right"/>
              <w:textAlignment w:val="bottom"/>
            </w:pPr>
            <w:r>
              <w:rPr>
                <w:rFonts w:ascii="Arial" w:eastAsia="宋体" w:hAnsi="Arial" w:cs="Arial"/>
                <w:b/>
                <w:bCs/>
                <w:color w:val="000000"/>
                <w:sz w:val="14"/>
                <w:szCs w:val="14"/>
              </w:rPr>
              <w:t>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5F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5FC"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5FD" w14:textId="77777777" w:rsidR="00584EC1" w:rsidRDefault="00871F8D">
            <w:pPr>
              <w:jc w:val="right"/>
              <w:textAlignment w:val="bottom"/>
            </w:pPr>
            <w:r>
              <w:rPr>
                <w:rFonts w:ascii="Arial" w:eastAsia="宋体" w:hAnsi="Arial" w:cs="Arial"/>
                <w:b/>
                <w:bCs/>
                <w:color w:val="000000"/>
                <w:sz w:val="14"/>
                <w:szCs w:val="14"/>
              </w:rPr>
              <w:t>128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5F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5FF"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600" w14:textId="77777777" w:rsidR="00584EC1" w:rsidRDefault="00871F8D">
            <w:pPr>
              <w:jc w:val="right"/>
              <w:textAlignment w:val="bottom"/>
            </w:pPr>
            <w:r>
              <w:rPr>
                <w:rFonts w:ascii="Arial" w:eastAsia="宋体" w:hAnsi="Arial" w:cs="Arial"/>
                <w:b/>
                <w:bCs/>
                <w:color w:val="000000"/>
                <w:sz w:val="14"/>
                <w:szCs w:val="14"/>
              </w:rPr>
              <w:t>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601" w14:textId="77777777" w:rsidR="00584EC1" w:rsidRDefault="00584EC1">
            <w:pPr>
              <w:jc w:val="right"/>
              <w:rPr>
                <w:rFonts w:ascii="宋体"/>
              </w:rPr>
            </w:pPr>
          </w:p>
        </w:tc>
      </w:tr>
      <w:tr w:rsidR="00584EC1" w14:paraId="74DDD60F" w14:textId="77777777">
        <w:trPr>
          <w:hidden/>
        </w:trPr>
        <w:tc>
          <w:tcPr>
            <w:tcW w:w="0" w:type="auto"/>
            <w:gridSpan w:val="3"/>
            <w:shd w:val="clear" w:color="auto" w:fill="auto"/>
            <w:vAlign w:val="bottom"/>
          </w:tcPr>
          <w:p w14:paraId="74DDD603" w14:textId="77777777" w:rsidR="00584EC1" w:rsidRDefault="00584EC1">
            <w:pPr>
              <w:rPr>
                <w:rFonts w:ascii="宋体"/>
                <w:vanish/>
              </w:rPr>
            </w:pPr>
          </w:p>
        </w:tc>
        <w:tc>
          <w:tcPr>
            <w:tcW w:w="0" w:type="auto"/>
            <w:gridSpan w:val="3"/>
            <w:shd w:val="clear" w:color="auto" w:fill="auto"/>
            <w:vAlign w:val="bottom"/>
          </w:tcPr>
          <w:p w14:paraId="74DDD604" w14:textId="77777777" w:rsidR="00584EC1" w:rsidRDefault="00584EC1">
            <w:pPr>
              <w:rPr>
                <w:rFonts w:ascii="宋体"/>
                <w:vanish/>
              </w:rPr>
            </w:pPr>
          </w:p>
        </w:tc>
        <w:tc>
          <w:tcPr>
            <w:tcW w:w="0" w:type="auto"/>
            <w:gridSpan w:val="3"/>
            <w:shd w:val="clear" w:color="auto" w:fill="auto"/>
            <w:vAlign w:val="bottom"/>
          </w:tcPr>
          <w:p w14:paraId="74DDD605" w14:textId="77777777" w:rsidR="00584EC1" w:rsidRDefault="00584EC1">
            <w:pPr>
              <w:rPr>
                <w:rFonts w:ascii="宋体"/>
                <w:vanish/>
              </w:rPr>
            </w:pPr>
          </w:p>
        </w:tc>
        <w:tc>
          <w:tcPr>
            <w:tcW w:w="0" w:type="auto"/>
            <w:gridSpan w:val="3"/>
            <w:shd w:val="clear" w:color="auto" w:fill="auto"/>
            <w:vAlign w:val="bottom"/>
          </w:tcPr>
          <w:p w14:paraId="74DDD606" w14:textId="77777777" w:rsidR="00584EC1" w:rsidRDefault="00584EC1">
            <w:pPr>
              <w:rPr>
                <w:rFonts w:ascii="宋体"/>
                <w:vanish/>
              </w:rPr>
            </w:pPr>
          </w:p>
        </w:tc>
        <w:tc>
          <w:tcPr>
            <w:tcW w:w="0" w:type="auto"/>
            <w:gridSpan w:val="3"/>
            <w:shd w:val="clear" w:color="auto" w:fill="auto"/>
            <w:vAlign w:val="bottom"/>
          </w:tcPr>
          <w:p w14:paraId="74DDD607" w14:textId="77777777" w:rsidR="00584EC1" w:rsidRDefault="00584EC1">
            <w:pPr>
              <w:rPr>
                <w:rFonts w:ascii="宋体"/>
                <w:vanish/>
              </w:rPr>
            </w:pPr>
          </w:p>
        </w:tc>
        <w:tc>
          <w:tcPr>
            <w:tcW w:w="0" w:type="auto"/>
            <w:gridSpan w:val="3"/>
            <w:shd w:val="clear" w:color="auto" w:fill="auto"/>
            <w:vAlign w:val="bottom"/>
          </w:tcPr>
          <w:p w14:paraId="74DDD608" w14:textId="77777777" w:rsidR="00584EC1" w:rsidRDefault="00584EC1">
            <w:pPr>
              <w:rPr>
                <w:rFonts w:ascii="宋体"/>
                <w:vanish/>
              </w:rPr>
            </w:pPr>
          </w:p>
        </w:tc>
        <w:tc>
          <w:tcPr>
            <w:tcW w:w="0" w:type="auto"/>
            <w:gridSpan w:val="3"/>
            <w:shd w:val="clear" w:color="auto" w:fill="auto"/>
            <w:vAlign w:val="bottom"/>
          </w:tcPr>
          <w:p w14:paraId="74DDD609" w14:textId="77777777" w:rsidR="00584EC1" w:rsidRDefault="00584EC1">
            <w:pPr>
              <w:rPr>
                <w:rFonts w:ascii="宋体"/>
                <w:vanish/>
              </w:rPr>
            </w:pPr>
          </w:p>
        </w:tc>
        <w:tc>
          <w:tcPr>
            <w:tcW w:w="0" w:type="auto"/>
            <w:gridSpan w:val="3"/>
            <w:shd w:val="clear" w:color="auto" w:fill="auto"/>
            <w:vAlign w:val="bottom"/>
          </w:tcPr>
          <w:p w14:paraId="74DDD60A" w14:textId="77777777" w:rsidR="00584EC1" w:rsidRDefault="00584EC1">
            <w:pPr>
              <w:rPr>
                <w:rFonts w:ascii="宋体"/>
                <w:vanish/>
              </w:rPr>
            </w:pPr>
          </w:p>
        </w:tc>
        <w:tc>
          <w:tcPr>
            <w:tcW w:w="0" w:type="auto"/>
            <w:gridSpan w:val="3"/>
            <w:shd w:val="clear" w:color="auto" w:fill="auto"/>
            <w:vAlign w:val="bottom"/>
          </w:tcPr>
          <w:p w14:paraId="74DDD60B" w14:textId="77777777" w:rsidR="00584EC1" w:rsidRDefault="00584EC1">
            <w:pPr>
              <w:rPr>
                <w:rFonts w:ascii="宋体"/>
                <w:vanish/>
              </w:rPr>
            </w:pPr>
          </w:p>
        </w:tc>
        <w:tc>
          <w:tcPr>
            <w:tcW w:w="0" w:type="auto"/>
            <w:gridSpan w:val="3"/>
            <w:shd w:val="clear" w:color="auto" w:fill="auto"/>
            <w:vAlign w:val="bottom"/>
          </w:tcPr>
          <w:p w14:paraId="74DDD60C" w14:textId="77777777" w:rsidR="00584EC1" w:rsidRDefault="00584EC1">
            <w:pPr>
              <w:rPr>
                <w:rFonts w:ascii="宋体"/>
                <w:vanish/>
              </w:rPr>
            </w:pPr>
          </w:p>
        </w:tc>
        <w:tc>
          <w:tcPr>
            <w:tcW w:w="0" w:type="auto"/>
            <w:gridSpan w:val="3"/>
            <w:shd w:val="clear" w:color="auto" w:fill="auto"/>
            <w:vAlign w:val="bottom"/>
          </w:tcPr>
          <w:p w14:paraId="74DDD60D" w14:textId="77777777" w:rsidR="00584EC1" w:rsidRDefault="00584EC1">
            <w:pPr>
              <w:rPr>
                <w:rFonts w:ascii="宋体"/>
                <w:vanish/>
              </w:rPr>
            </w:pPr>
          </w:p>
        </w:tc>
        <w:tc>
          <w:tcPr>
            <w:tcW w:w="0" w:type="auto"/>
            <w:gridSpan w:val="3"/>
            <w:shd w:val="clear" w:color="auto" w:fill="auto"/>
            <w:vAlign w:val="bottom"/>
          </w:tcPr>
          <w:p w14:paraId="74DDD60E" w14:textId="77777777" w:rsidR="00584EC1" w:rsidRDefault="00584EC1">
            <w:pPr>
              <w:rPr>
                <w:rFonts w:ascii="宋体"/>
                <w:vanish/>
              </w:rPr>
            </w:pPr>
          </w:p>
        </w:tc>
      </w:tr>
      <w:tr w:rsidR="00584EC1" w14:paraId="74DDD622" w14:textId="77777777">
        <w:tc>
          <w:tcPr>
            <w:tcW w:w="0" w:type="auto"/>
            <w:gridSpan w:val="3"/>
            <w:shd w:val="clear" w:color="auto" w:fill="FFFFFF"/>
            <w:tcMar>
              <w:top w:w="40" w:type="dxa"/>
              <w:left w:w="20" w:type="dxa"/>
              <w:bottom w:w="40" w:type="dxa"/>
              <w:right w:w="20" w:type="dxa"/>
            </w:tcMar>
            <w:vAlign w:val="bottom"/>
          </w:tcPr>
          <w:p w14:paraId="74DDD610" w14:textId="77777777" w:rsidR="00584EC1" w:rsidRDefault="00871F8D">
            <w:pPr>
              <w:textAlignment w:val="bottom"/>
            </w:pPr>
            <w:r>
              <w:rPr>
                <w:rFonts w:ascii="Arial" w:eastAsia="宋体" w:hAnsi="Arial" w:cs="Arial"/>
                <w:color w:val="000000"/>
                <w:sz w:val="14"/>
                <w:szCs w:val="14"/>
              </w:rPr>
              <w:t>Other U.S. debt securities</w:t>
            </w:r>
          </w:p>
        </w:tc>
        <w:tc>
          <w:tcPr>
            <w:tcW w:w="0" w:type="auto"/>
            <w:gridSpan w:val="2"/>
            <w:shd w:val="clear" w:color="auto" w:fill="FFFFFF"/>
            <w:tcMar>
              <w:top w:w="40" w:type="dxa"/>
              <w:left w:w="20" w:type="dxa"/>
              <w:bottom w:w="40" w:type="dxa"/>
              <w:right w:w="0" w:type="dxa"/>
            </w:tcMar>
            <w:vAlign w:val="bottom"/>
          </w:tcPr>
          <w:p w14:paraId="74DDD611" w14:textId="77777777" w:rsidR="00584EC1" w:rsidRDefault="00871F8D">
            <w:pPr>
              <w:jc w:val="right"/>
              <w:textAlignment w:val="bottom"/>
            </w:pPr>
            <w:r>
              <w:rPr>
                <w:rFonts w:ascii="Arial" w:eastAsia="宋体" w:hAnsi="Arial" w:cs="Arial"/>
                <w:b/>
                <w:bCs/>
                <w:color w:val="000000"/>
                <w:sz w:val="14"/>
                <w:szCs w:val="14"/>
              </w:rPr>
              <w:t>573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D61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61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614" w14:textId="77777777" w:rsidR="00584EC1" w:rsidRDefault="00871F8D">
            <w:pPr>
              <w:jc w:val="right"/>
              <w:textAlignment w:val="bottom"/>
            </w:pPr>
            <w:r>
              <w:rPr>
                <w:rFonts w:ascii="Arial" w:eastAsia="宋体" w:hAnsi="Arial" w:cs="Arial"/>
                <w:b/>
                <w:bCs/>
                <w:color w:val="000000"/>
                <w:sz w:val="14"/>
                <w:szCs w:val="14"/>
              </w:rPr>
              <w:t>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D61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61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617"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D61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61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61A"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D61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61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61D" w14:textId="77777777" w:rsidR="00584EC1" w:rsidRDefault="00871F8D">
            <w:pPr>
              <w:jc w:val="right"/>
              <w:textAlignment w:val="bottom"/>
            </w:pPr>
            <w:r>
              <w:rPr>
                <w:rFonts w:ascii="Arial" w:eastAsia="宋体" w:hAnsi="Arial" w:cs="Arial"/>
                <w:b/>
                <w:bCs/>
                <w:color w:val="000000"/>
                <w:sz w:val="14"/>
                <w:szCs w:val="14"/>
              </w:rPr>
              <w:t>573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D61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61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620" w14:textId="77777777" w:rsidR="00584EC1" w:rsidRDefault="00871F8D">
            <w:pPr>
              <w:jc w:val="right"/>
              <w:textAlignment w:val="bottom"/>
            </w:pPr>
            <w:r>
              <w:rPr>
                <w:rFonts w:ascii="Arial" w:eastAsia="宋体" w:hAnsi="Arial" w:cs="Arial"/>
                <w:b/>
                <w:bCs/>
                <w:color w:val="000000"/>
                <w:sz w:val="14"/>
                <w:szCs w:val="14"/>
              </w:rPr>
              <w:t>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D621" w14:textId="77777777" w:rsidR="00584EC1" w:rsidRDefault="00584EC1">
            <w:pPr>
              <w:jc w:val="right"/>
              <w:rPr>
                <w:rFonts w:ascii="宋体"/>
              </w:rPr>
            </w:pPr>
          </w:p>
        </w:tc>
      </w:tr>
      <w:tr w:rsidR="00584EC1" w14:paraId="74DDD62F" w14:textId="77777777">
        <w:trPr>
          <w:hidden/>
        </w:trPr>
        <w:tc>
          <w:tcPr>
            <w:tcW w:w="0" w:type="auto"/>
            <w:gridSpan w:val="3"/>
            <w:shd w:val="clear" w:color="auto" w:fill="auto"/>
            <w:vAlign w:val="bottom"/>
          </w:tcPr>
          <w:p w14:paraId="74DDD623" w14:textId="77777777" w:rsidR="00584EC1" w:rsidRDefault="00584EC1">
            <w:pPr>
              <w:rPr>
                <w:rFonts w:ascii="宋体"/>
                <w:vanish/>
              </w:rPr>
            </w:pPr>
          </w:p>
        </w:tc>
        <w:tc>
          <w:tcPr>
            <w:tcW w:w="0" w:type="auto"/>
            <w:gridSpan w:val="3"/>
            <w:shd w:val="clear" w:color="auto" w:fill="auto"/>
            <w:vAlign w:val="bottom"/>
          </w:tcPr>
          <w:p w14:paraId="74DDD624" w14:textId="77777777" w:rsidR="00584EC1" w:rsidRDefault="00584EC1">
            <w:pPr>
              <w:rPr>
                <w:rFonts w:ascii="宋体"/>
                <w:vanish/>
              </w:rPr>
            </w:pPr>
          </w:p>
        </w:tc>
        <w:tc>
          <w:tcPr>
            <w:tcW w:w="0" w:type="auto"/>
            <w:gridSpan w:val="3"/>
            <w:shd w:val="clear" w:color="auto" w:fill="auto"/>
            <w:vAlign w:val="bottom"/>
          </w:tcPr>
          <w:p w14:paraId="74DDD625" w14:textId="77777777" w:rsidR="00584EC1" w:rsidRDefault="00584EC1">
            <w:pPr>
              <w:rPr>
                <w:rFonts w:ascii="宋体"/>
                <w:vanish/>
              </w:rPr>
            </w:pPr>
          </w:p>
        </w:tc>
        <w:tc>
          <w:tcPr>
            <w:tcW w:w="0" w:type="auto"/>
            <w:gridSpan w:val="3"/>
            <w:shd w:val="clear" w:color="auto" w:fill="auto"/>
            <w:vAlign w:val="bottom"/>
          </w:tcPr>
          <w:p w14:paraId="74DDD626" w14:textId="77777777" w:rsidR="00584EC1" w:rsidRDefault="00584EC1">
            <w:pPr>
              <w:rPr>
                <w:rFonts w:ascii="宋体"/>
                <w:vanish/>
              </w:rPr>
            </w:pPr>
          </w:p>
        </w:tc>
        <w:tc>
          <w:tcPr>
            <w:tcW w:w="0" w:type="auto"/>
            <w:gridSpan w:val="3"/>
            <w:shd w:val="clear" w:color="auto" w:fill="auto"/>
            <w:vAlign w:val="bottom"/>
          </w:tcPr>
          <w:p w14:paraId="74DDD627" w14:textId="77777777" w:rsidR="00584EC1" w:rsidRDefault="00584EC1">
            <w:pPr>
              <w:rPr>
                <w:rFonts w:ascii="宋体"/>
                <w:vanish/>
              </w:rPr>
            </w:pPr>
          </w:p>
        </w:tc>
        <w:tc>
          <w:tcPr>
            <w:tcW w:w="0" w:type="auto"/>
            <w:gridSpan w:val="3"/>
            <w:shd w:val="clear" w:color="auto" w:fill="auto"/>
            <w:vAlign w:val="bottom"/>
          </w:tcPr>
          <w:p w14:paraId="74DDD628" w14:textId="77777777" w:rsidR="00584EC1" w:rsidRDefault="00584EC1">
            <w:pPr>
              <w:rPr>
                <w:rFonts w:ascii="宋体"/>
                <w:vanish/>
              </w:rPr>
            </w:pPr>
          </w:p>
        </w:tc>
        <w:tc>
          <w:tcPr>
            <w:tcW w:w="0" w:type="auto"/>
            <w:gridSpan w:val="3"/>
            <w:shd w:val="clear" w:color="auto" w:fill="auto"/>
            <w:vAlign w:val="bottom"/>
          </w:tcPr>
          <w:p w14:paraId="74DDD629" w14:textId="77777777" w:rsidR="00584EC1" w:rsidRDefault="00584EC1">
            <w:pPr>
              <w:rPr>
                <w:rFonts w:ascii="宋体"/>
                <w:vanish/>
              </w:rPr>
            </w:pPr>
          </w:p>
        </w:tc>
        <w:tc>
          <w:tcPr>
            <w:tcW w:w="0" w:type="auto"/>
            <w:gridSpan w:val="3"/>
            <w:shd w:val="clear" w:color="auto" w:fill="auto"/>
            <w:vAlign w:val="bottom"/>
          </w:tcPr>
          <w:p w14:paraId="74DDD62A" w14:textId="77777777" w:rsidR="00584EC1" w:rsidRDefault="00584EC1">
            <w:pPr>
              <w:rPr>
                <w:rFonts w:ascii="宋体"/>
                <w:vanish/>
              </w:rPr>
            </w:pPr>
          </w:p>
        </w:tc>
        <w:tc>
          <w:tcPr>
            <w:tcW w:w="0" w:type="auto"/>
            <w:gridSpan w:val="3"/>
            <w:shd w:val="clear" w:color="auto" w:fill="auto"/>
            <w:vAlign w:val="bottom"/>
          </w:tcPr>
          <w:p w14:paraId="74DDD62B" w14:textId="77777777" w:rsidR="00584EC1" w:rsidRDefault="00584EC1">
            <w:pPr>
              <w:rPr>
                <w:rFonts w:ascii="宋体"/>
                <w:vanish/>
              </w:rPr>
            </w:pPr>
          </w:p>
        </w:tc>
        <w:tc>
          <w:tcPr>
            <w:tcW w:w="0" w:type="auto"/>
            <w:gridSpan w:val="3"/>
            <w:shd w:val="clear" w:color="auto" w:fill="auto"/>
            <w:vAlign w:val="bottom"/>
          </w:tcPr>
          <w:p w14:paraId="74DDD62C" w14:textId="77777777" w:rsidR="00584EC1" w:rsidRDefault="00584EC1">
            <w:pPr>
              <w:rPr>
                <w:rFonts w:ascii="宋体"/>
                <w:vanish/>
              </w:rPr>
            </w:pPr>
          </w:p>
        </w:tc>
        <w:tc>
          <w:tcPr>
            <w:tcW w:w="0" w:type="auto"/>
            <w:gridSpan w:val="3"/>
            <w:shd w:val="clear" w:color="auto" w:fill="auto"/>
            <w:vAlign w:val="bottom"/>
          </w:tcPr>
          <w:p w14:paraId="74DDD62D" w14:textId="77777777" w:rsidR="00584EC1" w:rsidRDefault="00584EC1">
            <w:pPr>
              <w:rPr>
                <w:rFonts w:ascii="宋体"/>
                <w:vanish/>
              </w:rPr>
            </w:pPr>
          </w:p>
        </w:tc>
        <w:tc>
          <w:tcPr>
            <w:tcW w:w="0" w:type="auto"/>
            <w:gridSpan w:val="3"/>
            <w:shd w:val="clear" w:color="auto" w:fill="auto"/>
            <w:vAlign w:val="bottom"/>
          </w:tcPr>
          <w:p w14:paraId="74DDD62E" w14:textId="77777777" w:rsidR="00584EC1" w:rsidRDefault="00584EC1">
            <w:pPr>
              <w:rPr>
                <w:rFonts w:ascii="宋体"/>
                <w:vanish/>
              </w:rPr>
            </w:pPr>
          </w:p>
        </w:tc>
      </w:tr>
      <w:tr w:rsidR="00584EC1" w14:paraId="74DDD63C" w14:textId="77777777">
        <w:trPr>
          <w:hidden/>
        </w:trPr>
        <w:tc>
          <w:tcPr>
            <w:tcW w:w="0" w:type="auto"/>
            <w:gridSpan w:val="3"/>
            <w:shd w:val="clear" w:color="auto" w:fill="auto"/>
            <w:vAlign w:val="bottom"/>
          </w:tcPr>
          <w:p w14:paraId="74DDD630" w14:textId="77777777" w:rsidR="00584EC1" w:rsidRDefault="00584EC1">
            <w:pPr>
              <w:rPr>
                <w:rFonts w:ascii="宋体"/>
                <w:vanish/>
              </w:rPr>
            </w:pPr>
          </w:p>
        </w:tc>
        <w:tc>
          <w:tcPr>
            <w:tcW w:w="0" w:type="auto"/>
            <w:gridSpan w:val="3"/>
            <w:shd w:val="clear" w:color="auto" w:fill="auto"/>
            <w:vAlign w:val="bottom"/>
          </w:tcPr>
          <w:p w14:paraId="74DDD631" w14:textId="77777777" w:rsidR="00584EC1" w:rsidRDefault="00584EC1">
            <w:pPr>
              <w:rPr>
                <w:rFonts w:ascii="宋体"/>
                <w:vanish/>
              </w:rPr>
            </w:pPr>
          </w:p>
        </w:tc>
        <w:tc>
          <w:tcPr>
            <w:tcW w:w="0" w:type="auto"/>
            <w:gridSpan w:val="3"/>
            <w:shd w:val="clear" w:color="auto" w:fill="auto"/>
            <w:vAlign w:val="bottom"/>
          </w:tcPr>
          <w:p w14:paraId="74DDD632" w14:textId="77777777" w:rsidR="00584EC1" w:rsidRDefault="00584EC1">
            <w:pPr>
              <w:rPr>
                <w:rFonts w:ascii="宋体"/>
                <w:vanish/>
              </w:rPr>
            </w:pPr>
          </w:p>
        </w:tc>
        <w:tc>
          <w:tcPr>
            <w:tcW w:w="0" w:type="auto"/>
            <w:gridSpan w:val="3"/>
            <w:shd w:val="clear" w:color="auto" w:fill="auto"/>
            <w:vAlign w:val="bottom"/>
          </w:tcPr>
          <w:p w14:paraId="74DDD633" w14:textId="77777777" w:rsidR="00584EC1" w:rsidRDefault="00584EC1">
            <w:pPr>
              <w:rPr>
                <w:rFonts w:ascii="宋体"/>
                <w:vanish/>
              </w:rPr>
            </w:pPr>
          </w:p>
        </w:tc>
        <w:tc>
          <w:tcPr>
            <w:tcW w:w="0" w:type="auto"/>
            <w:gridSpan w:val="3"/>
            <w:shd w:val="clear" w:color="auto" w:fill="auto"/>
            <w:vAlign w:val="bottom"/>
          </w:tcPr>
          <w:p w14:paraId="74DDD634" w14:textId="77777777" w:rsidR="00584EC1" w:rsidRDefault="00584EC1">
            <w:pPr>
              <w:rPr>
                <w:rFonts w:ascii="宋体"/>
                <w:vanish/>
              </w:rPr>
            </w:pPr>
          </w:p>
        </w:tc>
        <w:tc>
          <w:tcPr>
            <w:tcW w:w="0" w:type="auto"/>
            <w:gridSpan w:val="3"/>
            <w:shd w:val="clear" w:color="auto" w:fill="auto"/>
            <w:vAlign w:val="bottom"/>
          </w:tcPr>
          <w:p w14:paraId="74DDD635" w14:textId="77777777" w:rsidR="00584EC1" w:rsidRDefault="00584EC1">
            <w:pPr>
              <w:rPr>
                <w:rFonts w:ascii="宋体"/>
                <w:vanish/>
              </w:rPr>
            </w:pPr>
          </w:p>
        </w:tc>
        <w:tc>
          <w:tcPr>
            <w:tcW w:w="0" w:type="auto"/>
            <w:gridSpan w:val="3"/>
            <w:shd w:val="clear" w:color="auto" w:fill="auto"/>
            <w:vAlign w:val="bottom"/>
          </w:tcPr>
          <w:p w14:paraId="74DDD636" w14:textId="77777777" w:rsidR="00584EC1" w:rsidRDefault="00584EC1">
            <w:pPr>
              <w:rPr>
                <w:rFonts w:ascii="宋体"/>
                <w:vanish/>
              </w:rPr>
            </w:pPr>
          </w:p>
        </w:tc>
        <w:tc>
          <w:tcPr>
            <w:tcW w:w="0" w:type="auto"/>
            <w:gridSpan w:val="3"/>
            <w:shd w:val="clear" w:color="auto" w:fill="auto"/>
            <w:vAlign w:val="bottom"/>
          </w:tcPr>
          <w:p w14:paraId="74DDD637" w14:textId="77777777" w:rsidR="00584EC1" w:rsidRDefault="00584EC1">
            <w:pPr>
              <w:rPr>
                <w:rFonts w:ascii="宋体"/>
                <w:vanish/>
              </w:rPr>
            </w:pPr>
          </w:p>
        </w:tc>
        <w:tc>
          <w:tcPr>
            <w:tcW w:w="0" w:type="auto"/>
            <w:gridSpan w:val="3"/>
            <w:shd w:val="clear" w:color="auto" w:fill="auto"/>
            <w:vAlign w:val="bottom"/>
          </w:tcPr>
          <w:p w14:paraId="74DDD638" w14:textId="77777777" w:rsidR="00584EC1" w:rsidRDefault="00584EC1">
            <w:pPr>
              <w:rPr>
                <w:rFonts w:ascii="宋体"/>
                <w:vanish/>
              </w:rPr>
            </w:pPr>
          </w:p>
        </w:tc>
        <w:tc>
          <w:tcPr>
            <w:tcW w:w="0" w:type="auto"/>
            <w:gridSpan w:val="3"/>
            <w:shd w:val="clear" w:color="auto" w:fill="auto"/>
            <w:vAlign w:val="bottom"/>
          </w:tcPr>
          <w:p w14:paraId="74DDD639" w14:textId="77777777" w:rsidR="00584EC1" w:rsidRDefault="00584EC1">
            <w:pPr>
              <w:rPr>
                <w:rFonts w:ascii="宋体"/>
                <w:vanish/>
              </w:rPr>
            </w:pPr>
          </w:p>
        </w:tc>
        <w:tc>
          <w:tcPr>
            <w:tcW w:w="0" w:type="auto"/>
            <w:gridSpan w:val="3"/>
            <w:shd w:val="clear" w:color="auto" w:fill="auto"/>
            <w:vAlign w:val="bottom"/>
          </w:tcPr>
          <w:p w14:paraId="74DDD63A" w14:textId="77777777" w:rsidR="00584EC1" w:rsidRDefault="00584EC1">
            <w:pPr>
              <w:rPr>
                <w:rFonts w:ascii="宋体"/>
                <w:vanish/>
              </w:rPr>
            </w:pPr>
          </w:p>
        </w:tc>
        <w:tc>
          <w:tcPr>
            <w:tcW w:w="0" w:type="auto"/>
            <w:gridSpan w:val="3"/>
            <w:shd w:val="clear" w:color="auto" w:fill="auto"/>
            <w:vAlign w:val="bottom"/>
          </w:tcPr>
          <w:p w14:paraId="74DDD63B" w14:textId="77777777" w:rsidR="00584EC1" w:rsidRDefault="00584EC1">
            <w:pPr>
              <w:rPr>
                <w:rFonts w:ascii="宋体"/>
                <w:vanish/>
              </w:rPr>
            </w:pPr>
          </w:p>
        </w:tc>
      </w:tr>
      <w:tr w:rsidR="00584EC1" w14:paraId="74DDD655" w14:textId="77777777">
        <w:tc>
          <w:tcPr>
            <w:tcW w:w="0" w:type="auto"/>
            <w:gridSpan w:val="3"/>
            <w:shd w:val="clear" w:color="auto" w:fill="CCEEFF"/>
            <w:tcMar>
              <w:top w:w="40" w:type="dxa"/>
              <w:left w:w="20" w:type="dxa"/>
              <w:bottom w:w="40" w:type="dxa"/>
              <w:right w:w="20" w:type="dxa"/>
            </w:tcMar>
            <w:vAlign w:val="bottom"/>
          </w:tcPr>
          <w:p w14:paraId="74DDD63D" w14:textId="77777777" w:rsidR="00584EC1" w:rsidRDefault="00871F8D">
            <w:pPr>
              <w:textAlignment w:val="bottom"/>
            </w:pPr>
            <w:r>
              <w:rPr>
                <w:rFonts w:ascii="Arial" w:eastAsia="宋体" w:hAnsi="Arial" w:cs="Arial"/>
                <w:color w:val="000000"/>
                <w:sz w:val="14"/>
                <w:szCs w:val="14"/>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D63E"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D63F" w14:textId="77777777" w:rsidR="00584EC1" w:rsidRDefault="00871F8D">
            <w:pPr>
              <w:jc w:val="right"/>
              <w:textAlignment w:val="bottom"/>
            </w:pPr>
            <w:r>
              <w:rPr>
                <w:rFonts w:ascii="Arial" w:eastAsia="宋体" w:hAnsi="Arial" w:cs="Arial"/>
                <w:b/>
                <w:bCs/>
                <w:color w:val="000000"/>
                <w:sz w:val="14"/>
                <w:szCs w:val="14"/>
              </w:rPr>
              <w:t>26,519</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D64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641"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D642"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D643" w14:textId="77777777" w:rsidR="00584EC1" w:rsidRDefault="00871F8D">
            <w:pPr>
              <w:jc w:val="right"/>
              <w:textAlignment w:val="bottom"/>
            </w:pPr>
            <w:r>
              <w:rPr>
                <w:rFonts w:ascii="Arial" w:eastAsia="宋体" w:hAnsi="Arial" w:cs="Arial"/>
                <w:b/>
                <w:bCs/>
                <w:color w:val="000000"/>
                <w:sz w:val="14"/>
                <w:szCs w:val="14"/>
              </w:rPr>
              <w:t>171</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D64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645"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D646"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D647" w14:textId="77777777" w:rsidR="00584EC1" w:rsidRDefault="00871F8D">
            <w:pPr>
              <w:jc w:val="right"/>
              <w:textAlignment w:val="bottom"/>
            </w:pPr>
            <w:r>
              <w:rPr>
                <w:rFonts w:ascii="Arial" w:eastAsia="宋体" w:hAnsi="Arial" w:cs="Arial"/>
                <w:b/>
                <w:bCs/>
                <w:color w:val="000000"/>
                <w:sz w:val="14"/>
                <w:szCs w:val="14"/>
              </w:rPr>
              <w:t>872</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D64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649"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D64A"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D64B" w14:textId="77777777" w:rsidR="00584EC1" w:rsidRDefault="00871F8D">
            <w:pPr>
              <w:jc w:val="right"/>
              <w:textAlignment w:val="bottom"/>
            </w:pPr>
            <w:r>
              <w:rPr>
                <w:rFonts w:ascii="Arial" w:eastAsia="宋体" w:hAnsi="Arial" w:cs="Arial"/>
                <w:b/>
                <w:bCs/>
                <w:color w:val="000000"/>
                <w:sz w:val="14"/>
                <w:szCs w:val="14"/>
              </w:rPr>
              <w:t>7</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D64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64D"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D64E"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D64F" w14:textId="77777777" w:rsidR="00584EC1" w:rsidRDefault="00871F8D">
            <w:pPr>
              <w:jc w:val="right"/>
              <w:textAlignment w:val="bottom"/>
            </w:pPr>
            <w:r>
              <w:rPr>
                <w:rFonts w:ascii="Arial" w:eastAsia="宋体" w:hAnsi="Arial" w:cs="Arial"/>
                <w:b/>
                <w:bCs/>
                <w:color w:val="000000"/>
                <w:sz w:val="14"/>
                <w:szCs w:val="14"/>
              </w:rPr>
              <w:t>27,391</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D65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651"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D652"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D653" w14:textId="77777777" w:rsidR="00584EC1" w:rsidRDefault="00871F8D">
            <w:pPr>
              <w:jc w:val="right"/>
              <w:textAlignment w:val="bottom"/>
            </w:pPr>
            <w:r>
              <w:rPr>
                <w:rFonts w:ascii="Arial" w:eastAsia="宋体" w:hAnsi="Arial" w:cs="Arial"/>
                <w:b/>
                <w:bCs/>
                <w:color w:val="000000"/>
                <w:sz w:val="14"/>
                <w:szCs w:val="14"/>
              </w:rPr>
              <w:t>178</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D654" w14:textId="77777777" w:rsidR="00584EC1" w:rsidRDefault="00584EC1">
            <w:pPr>
              <w:jc w:val="right"/>
              <w:rPr>
                <w:rFonts w:ascii="宋体"/>
              </w:rPr>
            </w:pPr>
          </w:p>
        </w:tc>
      </w:tr>
      <w:tr w:rsidR="00584EC1" w14:paraId="74DDD662" w14:textId="77777777">
        <w:trPr>
          <w:hidden/>
        </w:trPr>
        <w:tc>
          <w:tcPr>
            <w:tcW w:w="0" w:type="auto"/>
            <w:gridSpan w:val="3"/>
            <w:shd w:val="clear" w:color="auto" w:fill="auto"/>
            <w:vAlign w:val="bottom"/>
          </w:tcPr>
          <w:p w14:paraId="74DDD656" w14:textId="77777777" w:rsidR="00584EC1" w:rsidRDefault="00584EC1">
            <w:pPr>
              <w:rPr>
                <w:rFonts w:ascii="宋体"/>
                <w:vanish/>
              </w:rPr>
            </w:pPr>
          </w:p>
        </w:tc>
        <w:tc>
          <w:tcPr>
            <w:tcW w:w="0" w:type="auto"/>
            <w:gridSpan w:val="3"/>
            <w:shd w:val="clear" w:color="auto" w:fill="auto"/>
            <w:vAlign w:val="bottom"/>
          </w:tcPr>
          <w:p w14:paraId="74DDD657" w14:textId="77777777" w:rsidR="00584EC1" w:rsidRDefault="00584EC1">
            <w:pPr>
              <w:rPr>
                <w:rFonts w:ascii="宋体"/>
                <w:vanish/>
              </w:rPr>
            </w:pPr>
          </w:p>
        </w:tc>
        <w:tc>
          <w:tcPr>
            <w:tcW w:w="0" w:type="auto"/>
            <w:gridSpan w:val="3"/>
            <w:shd w:val="clear" w:color="auto" w:fill="auto"/>
            <w:vAlign w:val="bottom"/>
          </w:tcPr>
          <w:p w14:paraId="74DDD658" w14:textId="77777777" w:rsidR="00584EC1" w:rsidRDefault="00584EC1">
            <w:pPr>
              <w:rPr>
                <w:rFonts w:ascii="宋体"/>
                <w:vanish/>
              </w:rPr>
            </w:pPr>
          </w:p>
        </w:tc>
        <w:tc>
          <w:tcPr>
            <w:tcW w:w="0" w:type="auto"/>
            <w:gridSpan w:val="3"/>
            <w:shd w:val="clear" w:color="auto" w:fill="auto"/>
            <w:vAlign w:val="bottom"/>
          </w:tcPr>
          <w:p w14:paraId="74DDD659" w14:textId="77777777" w:rsidR="00584EC1" w:rsidRDefault="00584EC1">
            <w:pPr>
              <w:rPr>
                <w:rFonts w:ascii="宋体"/>
                <w:vanish/>
              </w:rPr>
            </w:pPr>
          </w:p>
        </w:tc>
        <w:tc>
          <w:tcPr>
            <w:tcW w:w="0" w:type="auto"/>
            <w:gridSpan w:val="3"/>
            <w:shd w:val="clear" w:color="auto" w:fill="auto"/>
            <w:vAlign w:val="bottom"/>
          </w:tcPr>
          <w:p w14:paraId="74DDD65A" w14:textId="77777777" w:rsidR="00584EC1" w:rsidRDefault="00584EC1">
            <w:pPr>
              <w:rPr>
                <w:rFonts w:ascii="宋体"/>
                <w:vanish/>
              </w:rPr>
            </w:pPr>
          </w:p>
        </w:tc>
        <w:tc>
          <w:tcPr>
            <w:tcW w:w="0" w:type="auto"/>
            <w:gridSpan w:val="3"/>
            <w:shd w:val="clear" w:color="auto" w:fill="auto"/>
            <w:vAlign w:val="bottom"/>
          </w:tcPr>
          <w:p w14:paraId="74DDD65B" w14:textId="77777777" w:rsidR="00584EC1" w:rsidRDefault="00584EC1">
            <w:pPr>
              <w:rPr>
                <w:rFonts w:ascii="宋体"/>
                <w:vanish/>
              </w:rPr>
            </w:pPr>
          </w:p>
        </w:tc>
        <w:tc>
          <w:tcPr>
            <w:tcW w:w="0" w:type="auto"/>
            <w:gridSpan w:val="3"/>
            <w:shd w:val="clear" w:color="auto" w:fill="auto"/>
            <w:vAlign w:val="bottom"/>
          </w:tcPr>
          <w:p w14:paraId="74DDD65C" w14:textId="77777777" w:rsidR="00584EC1" w:rsidRDefault="00584EC1">
            <w:pPr>
              <w:rPr>
                <w:rFonts w:ascii="宋体"/>
                <w:vanish/>
              </w:rPr>
            </w:pPr>
          </w:p>
        </w:tc>
        <w:tc>
          <w:tcPr>
            <w:tcW w:w="0" w:type="auto"/>
            <w:gridSpan w:val="3"/>
            <w:shd w:val="clear" w:color="auto" w:fill="auto"/>
            <w:vAlign w:val="bottom"/>
          </w:tcPr>
          <w:p w14:paraId="74DDD65D" w14:textId="77777777" w:rsidR="00584EC1" w:rsidRDefault="00584EC1">
            <w:pPr>
              <w:rPr>
                <w:rFonts w:ascii="宋体"/>
                <w:vanish/>
              </w:rPr>
            </w:pPr>
          </w:p>
        </w:tc>
        <w:tc>
          <w:tcPr>
            <w:tcW w:w="0" w:type="auto"/>
            <w:gridSpan w:val="3"/>
            <w:shd w:val="clear" w:color="auto" w:fill="auto"/>
            <w:vAlign w:val="bottom"/>
          </w:tcPr>
          <w:p w14:paraId="74DDD65E" w14:textId="77777777" w:rsidR="00584EC1" w:rsidRDefault="00584EC1">
            <w:pPr>
              <w:rPr>
                <w:rFonts w:ascii="宋体"/>
                <w:vanish/>
              </w:rPr>
            </w:pPr>
          </w:p>
        </w:tc>
        <w:tc>
          <w:tcPr>
            <w:tcW w:w="0" w:type="auto"/>
            <w:gridSpan w:val="3"/>
            <w:shd w:val="clear" w:color="auto" w:fill="auto"/>
            <w:vAlign w:val="bottom"/>
          </w:tcPr>
          <w:p w14:paraId="74DDD65F" w14:textId="77777777" w:rsidR="00584EC1" w:rsidRDefault="00584EC1">
            <w:pPr>
              <w:rPr>
                <w:rFonts w:ascii="宋体"/>
                <w:vanish/>
              </w:rPr>
            </w:pPr>
          </w:p>
        </w:tc>
        <w:tc>
          <w:tcPr>
            <w:tcW w:w="0" w:type="auto"/>
            <w:gridSpan w:val="3"/>
            <w:shd w:val="clear" w:color="auto" w:fill="auto"/>
            <w:vAlign w:val="bottom"/>
          </w:tcPr>
          <w:p w14:paraId="74DDD660" w14:textId="77777777" w:rsidR="00584EC1" w:rsidRDefault="00584EC1">
            <w:pPr>
              <w:rPr>
                <w:rFonts w:ascii="宋体"/>
                <w:vanish/>
              </w:rPr>
            </w:pPr>
          </w:p>
        </w:tc>
        <w:tc>
          <w:tcPr>
            <w:tcW w:w="0" w:type="auto"/>
            <w:gridSpan w:val="3"/>
            <w:shd w:val="clear" w:color="auto" w:fill="auto"/>
            <w:vAlign w:val="bottom"/>
          </w:tcPr>
          <w:p w14:paraId="74DDD661" w14:textId="77777777" w:rsidR="00584EC1" w:rsidRDefault="00584EC1">
            <w:pPr>
              <w:rPr>
                <w:rFonts w:ascii="宋体"/>
                <w:vanish/>
              </w:rPr>
            </w:pPr>
          </w:p>
        </w:tc>
      </w:tr>
      <w:tr w:rsidR="00584EC1" w14:paraId="74DDD66F" w14:textId="77777777">
        <w:trPr>
          <w:hidden/>
        </w:trPr>
        <w:tc>
          <w:tcPr>
            <w:tcW w:w="0" w:type="auto"/>
            <w:gridSpan w:val="3"/>
            <w:shd w:val="clear" w:color="auto" w:fill="auto"/>
            <w:vAlign w:val="bottom"/>
          </w:tcPr>
          <w:p w14:paraId="74DDD663" w14:textId="77777777" w:rsidR="00584EC1" w:rsidRDefault="00584EC1">
            <w:pPr>
              <w:rPr>
                <w:rFonts w:ascii="宋体"/>
                <w:vanish/>
              </w:rPr>
            </w:pPr>
          </w:p>
        </w:tc>
        <w:tc>
          <w:tcPr>
            <w:tcW w:w="0" w:type="auto"/>
            <w:gridSpan w:val="3"/>
            <w:shd w:val="clear" w:color="auto" w:fill="auto"/>
            <w:vAlign w:val="bottom"/>
          </w:tcPr>
          <w:p w14:paraId="74DDD664" w14:textId="77777777" w:rsidR="00584EC1" w:rsidRDefault="00584EC1">
            <w:pPr>
              <w:rPr>
                <w:rFonts w:ascii="宋体"/>
                <w:vanish/>
              </w:rPr>
            </w:pPr>
          </w:p>
        </w:tc>
        <w:tc>
          <w:tcPr>
            <w:tcW w:w="0" w:type="auto"/>
            <w:gridSpan w:val="3"/>
            <w:shd w:val="clear" w:color="auto" w:fill="auto"/>
            <w:vAlign w:val="bottom"/>
          </w:tcPr>
          <w:p w14:paraId="74DDD665" w14:textId="77777777" w:rsidR="00584EC1" w:rsidRDefault="00584EC1">
            <w:pPr>
              <w:rPr>
                <w:rFonts w:ascii="宋体"/>
                <w:vanish/>
              </w:rPr>
            </w:pPr>
          </w:p>
        </w:tc>
        <w:tc>
          <w:tcPr>
            <w:tcW w:w="0" w:type="auto"/>
            <w:gridSpan w:val="3"/>
            <w:shd w:val="clear" w:color="auto" w:fill="auto"/>
            <w:vAlign w:val="bottom"/>
          </w:tcPr>
          <w:p w14:paraId="74DDD666" w14:textId="77777777" w:rsidR="00584EC1" w:rsidRDefault="00584EC1">
            <w:pPr>
              <w:rPr>
                <w:rFonts w:ascii="宋体"/>
                <w:vanish/>
              </w:rPr>
            </w:pPr>
          </w:p>
        </w:tc>
        <w:tc>
          <w:tcPr>
            <w:tcW w:w="0" w:type="auto"/>
            <w:gridSpan w:val="3"/>
            <w:shd w:val="clear" w:color="auto" w:fill="auto"/>
            <w:vAlign w:val="bottom"/>
          </w:tcPr>
          <w:p w14:paraId="74DDD667" w14:textId="77777777" w:rsidR="00584EC1" w:rsidRDefault="00584EC1">
            <w:pPr>
              <w:rPr>
                <w:rFonts w:ascii="宋体"/>
                <w:vanish/>
              </w:rPr>
            </w:pPr>
          </w:p>
        </w:tc>
        <w:tc>
          <w:tcPr>
            <w:tcW w:w="0" w:type="auto"/>
            <w:gridSpan w:val="3"/>
            <w:shd w:val="clear" w:color="auto" w:fill="auto"/>
            <w:vAlign w:val="bottom"/>
          </w:tcPr>
          <w:p w14:paraId="74DDD668" w14:textId="77777777" w:rsidR="00584EC1" w:rsidRDefault="00584EC1">
            <w:pPr>
              <w:rPr>
                <w:rFonts w:ascii="宋体"/>
                <w:vanish/>
              </w:rPr>
            </w:pPr>
          </w:p>
        </w:tc>
        <w:tc>
          <w:tcPr>
            <w:tcW w:w="0" w:type="auto"/>
            <w:gridSpan w:val="3"/>
            <w:shd w:val="clear" w:color="auto" w:fill="auto"/>
            <w:vAlign w:val="bottom"/>
          </w:tcPr>
          <w:p w14:paraId="74DDD669" w14:textId="77777777" w:rsidR="00584EC1" w:rsidRDefault="00584EC1">
            <w:pPr>
              <w:rPr>
                <w:rFonts w:ascii="宋体"/>
                <w:vanish/>
              </w:rPr>
            </w:pPr>
          </w:p>
        </w:tc>
        <w:tc>
          <w:tcPr>
            <w:tcW w:w="0" w:type="auto"/>
            <w:gridSpan w:val="3"/>
            <w:shd w:val="clear" w:color="auto" w:fill="auto"/>
            <w:vAlign w:val="bottom"/>
          </w:tcPr>
          <w:p w14:paraId="74DDD66A" w14:textId="77777777" w:rsidR="00584EC1" w:rsidRDefault="00584EC1">
            <w:pPr>
              <w:rPr>
                <w:rFonts w:ascii="宋体"/>
                <w:vanish/>
              </w:rPr>
            </w:pPr>
          </w:p>
        </w:tc>
        <w:tc>
          <w:tcPr>
            <w:tcW w:w="0" w:type="auto"/>
            <w:gridSpan w:val="3"/>
            <w:shd w:val="clear" w:color="auto" w:fill="auto"/>
            <w:vAlign w:val="bottom"/>
          </w:tcPr>
          <w:p w14:paraId="74DDD66B" w14:textId="77777777" w:rsidR="00584EC1" w:rsidRDefault="00584EC1">
            <w:pPr>
              <w:rPr>
                <w:rFonts w:ascii="宋体"/>
                <w:vanish/>
              </w:rPr>
            </w:pPr>
          </w:p>
        </w:tc>
        <w:tc>
          <w:tcPr>
            <w:tcW w:w="0" w:type="auto"/>
            <w:gridSpan w:val="3"/>
            <w:shd w:val="clear" w:color="auto" w:fill="auto"/>
            <w:vAlign w:val="bottom"/>
          </w:tcPr>
          <w:p w14:paraId="74DDD66C" w14:textId="77777777" w:rsidR="00584EC1" w:rsidRDefault="00584EC1">
            <w:pPr>
              <w:rPr>
                <w:rFonts w:ascii="宋体"/>
                <w:vanish/>
              </w:rPr>
            </w:pPr>
          </w:p>
        </w:tc>
        <w:tc>
          <w:tcPr>
            <w:tcW w:w="0" w:type="auto"/>
            <w:gridSpan w:val="3"/>
            <w:shd w:val="clear" w:color="auto" w:fill="auto"/>
            <w:vAlign w:val="bottom"/>
          </w:tcPr>
          <w:p w14:paraId="74DDD66D" w14:textId="77777777" w:rsidR="00584EC1" w:rsidRDefault="00584EC1">
            <w:pPr>
              <w:rPr>
                <w:rFonts w:ascii="宋体"/>
                <w:vanish/>
              </w:rPr>
            </w:pPr>
          </w:p>
        </w:tc>
        <w:tc>
          <w:tcPr>
            <w:tcW w:w="0" w:type="auto"/>
            <w:gridSpan w:val="3"/>
            <w:shd w:val="clear" w:color="auto" w:fill="auto"/>
            <w:vAlign w:val="bottom"/>
          </w:tcPr>
          <w:p w14:paraId="74DDD66E" w14:textId="77777777" w:rsidR="00584EC1" w:rsidRDefault="00584EC1">
            <w:pPr>
              <w:rPr>
                <w:rFonts w:ascii="宋体"/>
                <w:vanish/>
              </w:rPr>
            </w:pPr>
          </w:p>
        </w:tc>
      </w:tr>
      <w:tr w:rsidR="00584EC1" w14:paraId="74DDD67C" w14:textId="77777777">
        <w:trPr>
          <w:hidden/>
        </w:trPr>
        <w:tc>
          <w:tcPr>
            <w:tcW w:w="0" w:type="auto"/>
            <w:gridSpan w:val="3"/>
            <w:shd w:val="clear" w:color="auto" w:fill="auto"/>
            <w:vAlign w:val="bottom"/>
          </w:tcPr>
          <w:p w14:paraId="74DDD670" w14:textId="77777777" w:rsidR="00584EC1" w:rsidRDefault="00584EC1">
            <w:pPr>
              <w:rPr>
                <w:rFonts w:ascii="宋体"/>
                <w:vanish/>
              </w:rPr>
            </w:pPr>
          </w:p>
        </w:tc>
        <w:tc>
          <w:tcPr>
            <w:tcW w:w="0" w:type="auto"/>
            <w:gridSpan w:val="3"/>
            <w:shd w:val="clear" w:color="auto" w:fill="auto"/>
            <w:vAlign w:val="bottom"/>
          </w:tcPr>
          <w:p w14:paraId="74DDD671" w14:textId="77777777" w:rsidR="00584EC1" w:rsidRDefault="00584EC1">
            <w:pPr>
              <w:rPr>
                <w:rFonts w:ascii="宋体"/>
                <w:vanish/>
              </w:rPr>
            </w:pPr>
          </w:p>
        </w:tc>
        <w:tc>
          <w:tcPr>
            <w:tcW w:w="0" w:type="auto"/>
            <w:gridSpan w:val="3"/>
            <w:shd w:val="clear" w:color="auto" w:fill="auto"/>
            <w:vAlign w:val="bottom"/>
          </w:tcPr>
          <w:p w14:paraId="74DDD672" w14:textId="77777777" w:rsidR="00584EC1" w:rsidRDefault="00584EC1">
            <w:pPr>
              <w:rPr>
                <w:rFonts w:ascii="宋体"/>
                <w:vanish/>
              </w:rPr>
            </w:pPr>
          </w:p>
        </w:tc>
        <w:tc>
          <w:tcPr>
            <w:tcW w:w="0" w:type="auto"/>
            <w:gridSpan w:val="3"/>
            <w:shd w:val="clear" w:color="auto" w:fill="auto"/>
            <w:vAlign w:val="bottom"/>
          </w:tcPr>
          <w:p w14:paraId="74DDD673" w14:textId="77777777" w:rsidR="00584EC1" w:rsidRDefault="00584EC1">
            <w:pPr>
              <w:rPr>
                <w:rFonts w:ascii="宋体"/>
                <w:vanish/>
              </w:rPr>
            </w:pPr>
          </w:p>
        </w:tc>
        <w:tc>
          <w:tcPr>
            <w:tcW w:w="0" w:type="auto"/>
            <w:gridSpan w:val="3"/>
            <w:shd w:val="clear" w:color="auto" w:fill="auto"/>
            <w:vAlign w:val="bottom"/>
          </w:tcPr>
          <w:p w14:paraId="74DDD674" w14:textId="77777777" w:rsidR="00584EC1" w:rsidRDefault="00584EC1">
            <w:pPr>
              <w:rPr>
                <w:rFonts w:ascii="宋体"/>
                <w:vanish/>
              </w:rPr>
            </w:pPr>
          </w:p>
        </w:tc>
        <w:tc>
          <w:tcPr>
            <w:tcW w:w="0" w:type="auto"/>
            <w:gridSpan w:val="3"/>
            <w:shd w:val="clear" w:color="auto" w:fill="auto"/>
            <w:vAlign w:val="bottom"/>
          </w:tcPr>
          <w:p w14:paraId="74DDD675" w14:textId="77777777" w:rsidR="00584EC1" w:rsidRDefault="00584EC1">
            <w:pPr>
              <w:rPr>
                <w:rFonts w:ascii="宋体"/>
                <w:vanish/>
              </w:rPr>
            </w:pPr>
          </w:p>
        </w:tc>
        <w:tc>
          <w:tcPr>
            <w:tcW w:w="0" w:type="auto"/>
            <w:gridSpan w:val="3"/>
            <w:shd w:val="clear" w:color="auto" w:fill="auto"/>
            <w:vAlign w:val="bottom"/>
          </w:tcPr>
          <w:p w14:paraId="74DDD676" w14:textId="77777777" w:rsidR="00584EC1" w:rsidRDefault="00584EC1">
            <w:pPr>
              <w:rPr>
                <w:rFonts w:ascii="宋体"/>
                <w:vanish/>
              </w:rPr>
            </w:pPr>
          </w:p>
        </w:tc>
        <w:tc>
          <w:tcPr>
            <w:tcW w:w="0" w:type="auto"/>
            <w:gridSpan w:val="3"/>
            <w:shd w:val="clear" w:color="auto" w:fill="auto"/>
            <w:vAlign w:val="bottom"/>
          </w:tcPr>
          <w:p w14:paraId="74DDD677" w14:textId="77777777" w:rsidR="00584EC1" w:rsidRDefault="00584EC1">
            <w:pPr>
              <w:rPr>
                <w:rFonts w:ascii="宋体"/>
                <w:vanish/>
              </w:rPr>
            </w:pPr>
          </w:p>
        </w:tc>
        <w:tc>
          <w:tcPr>
            <w:tcW w:w="0" w:type="auto"/>
            <w:gridSpan w:val="3"/>
            <w:shd w:val="clear" w:color="auto" w:fill="auto"/>
            <w:vAlign w:val="bottom"/>
          </w:tcPr>
          <w:p w14:paraId="74DDD678" w14:textId="77777777" w:rsidR="00584EC1" w:rsidRDefault="00584EC1">
            <w:pPr>
              <w:rPr>
                <w:rFonts w:ascii="宋体"/>
                <w:vanish/>
              </w:rPr>
            </w:pPr>
          </w:p>
        </w:tc>
        <w:tc>
          <w:tcPr>
            <w:tcW w:w="0" w:type="auto"/>
            <w:gridSpan w:val="3"/>
            <w:shd w:val="clear" w:color="auto" w:fill="auto"/>
            <w:vAlign w:val="bottom"/>
          </w:tcPr>
          <w:p w14:paraId="74DDD679" w14:textId="77777777" w:rsidR="00584EC1" w:rsidRDefault="00584EC1">
            <w:pPr>
              <w:rPr>
                <w:rFonts w:ascii="宋体"/>
                <w:vanish/>
              </w:rPr>
            </w:pPr>
          </w:p>
        </w:tc>
        <w:tc>
          <w:tcPr>
            <w:tcW w:w="0" w:type="auto"/>
            <w:gridSpan w:val="3"/>
            <w:shd w:val="clear" w:color="auto" w:fill="auto"/>
            <w:vAlign w:val="bottom"/>
          </w:tcPr>
          <w:p w14:paraId="74DDD67A" w14:textId="77777777" w:rsidR="00584EC1" w:rsidRDefault="00584EC1">
            <w:pPr>
              <w:rPr>
                <w:rFonts w:ascii="宋体"/>
                <w:vanish/>
              </w:rPr>
            </w:pPr>
          </w:p>
        </w:tc>
        <w:tc>
          <w:tcPr>
            <w:tcW w:w="0" w:type="auto"/>
            <w:gridSpan w:val="3"/>
            <w:shd w:val="clear" w:color="auto" w:fill="auto"/>
            <w:vAlign w:val="bottom"/>
          </w:tcPr>
          <w:p w14:paraId="74DDD67B" w14:textId="77777777" w:rsidR="00584EC1" w:rsidRDefault="00584EC1">
            <w:pPr>
              <w:rPr>
                <w:rFonts w:ascii="宋体"/>
                <w:vanish/>
              </w:rPr>
            </w:pPr>
          </w:p>
        </w:tc>
      </w:tr>
      <w:tr w:rsidR="00584EC1" w14:paraId="74DDD689" w14:textId="77777777">
        <w:trPr>
          <w:hidden/>
        </w:trPr>
        <w:tc>
          <w:tcPr>
            <w:tcW w:w="0" w:type="auto"/>
            <w:gridSpan w:val="3"/>
            <w:shd w:val="clear" w:color="auto" w:fill="auto"/>
            <w:vAlign w:val="bottom"/>
          </w:tcPr>
          <w:p w14:paraId="74DDD67D" w14:textId="77777777" w:rsidR="00584EC1" w:rsidRDefault="00584EC1">
            <w:pPr>
              <w:rPr>
                <w:rFonts w:ascii="宋体"/>
                <w:vanish/>
              </w:rPr>
            </w:pPr>
          </w:p>
        </w:tc>
        <w:tc>
          <w:tcPr>
            <w:tcW w:w="0" w:type="auto"/>
            <w:gridSpan w:val="3"/>
            <w:shd w:val="clear" w:color="auto" w:fill="auto"/>
            <w:vAlign w:val="bottom"/>
          </w:tcPr>
          <w:p w14:paraId="74DDD67E" w14:textId="77777777" w:rsidR="00584EC1" w:rsidRDefault="00584EC1">
            <w:pPr>
              <w:rPr>
                <w:rFonts w:ascii="宋体"/>
                <w:vanish/>
              </w:rPr>
            </w:pPr>
          </w:p>
        </w:tc>
        <w:tc>
          <w:tcPr>
            <w:tcW w:w="0" w:type="auto"/>
            <w:gridSpan w:val="3"/>
            <w:shd w:val="clear" w:color="auto" w:fill="auto"/>
            <w:vAlign w:val="bottom"/>
          </w:tcPr>
          <w:p w14:paraId="74DDD67F" w14:textId="77777777" w:rsidR="00584EC1" w:rsidRDefault="00584EC1">
            <w:pPr>
              <w:rPr>
                <w:rFonts w:ascii="宋体"/>
                <w:vanish/>
              </w:rPr>
            </w:pPr>
          </w:p>
        </w:tc>
        <w:tc>
          <w:tcPr>
            <w:tcW w:w="0" w:type="auto"/>
            <w:gridSpan w:val="3"/>
            <w:shd w:val="clear" w:color="auto" w:fill="auto"/>
            <w:vAlign w:val="bottom"/>
          </w:tcPr>
          <w:p w14:paraId="74DDD680" w14:textId="77777777" w:rsidR="00584EC1" w:rsidRDefault="00584EC1">
            <w:pPr>
              <w:rPr>
                <w:rFonts w:ascii="宋体"/>
                <w:vanish/>
              </w:rPr>
            </w:pPr>
          </w:p>
        </w:tc>
        <w:tc>
          <w:tcPr>
            <w:tcW w:w="0" w:type="auto"/>
            <w:gridSpan w:val="3"/>
            <w:shd w:val="clear" w:color="auto" w:fill="auto"/>
            <w:vAlign w:val="bottom"/>
          </w:tcPr>
          <w:p w14:paraId="74DDD681" w14:textId="77777777" w:rsidR="00584EC1" w:rsidRDefault="00584EC1">
            <w:pPr>
              <w:rPr>
                <w:rFonts w:ascii="宋体"/>
                <w:vanish/>
              </w:rPr>
            </w:pPr>
          </w:p>
        </w:tc>
        <w:tc>
          <w:tcPr>
            <w:tcW w:w="0" w:type="auto"/>
            <w:gridSpan w:val="3"/>
            <w:shd w:val="clear" w:color="auto" w:fill="auto"/>
            <w:vAlign w:val="bottom"/>
          </w:tcPr>
          <w:p w14:paraId="74DDD682" w14:textId="77777777" w:rsidR="00584EC1" w:rsidRDefault="00584EC1">
            <w:pPr>
              <w:rPr>
                <w:rFonts w:ascii="宋体"/>
                <w:vanish/>
              </w:rPr>
            </w:pPr>
          </w:p>
        </w:tc>
        <w:tc>
          <w:tcPr>
            <w:tcW w:w="0" w:type="auto"/>
            <w:gridSpan w:val="3"/>
            <w:shd w:val="clear" w:color="auto" w:fill="auto"/>
            <w:vAlign w:val="bottom"/>
          </w:tcPr>
          <w:p w14:paraId="74DDD683" w14:textId="77777777" w:rsidR="00584EC1" w:rsidRDefault="00584EC1">
            <w:pPr>
              <w:rPr>
                <w:rFonts w:ascii="宋体"/>
                <w:vanish/>
              </w:rPr>
            </w:pPr>
          </w:p>
        </w:tc>
        <w:tc>
          <w:tcPr>
            <w:tcW w:w="0" w:type="auto"/>
            <w:gridSpan w:val="3"/>
            <w:shd w:val="clear" w:color="auto" w:fill="auto"/>
            <w:vAlign w:val="bottom"/>
          </w:tcPr>
          <w:p w14:paraId="74DDD684" w14:textId="77777777" w:rsidR="00584EC1" w:rsidRDefault="00584EC1">
            <w:pPr>
              <w:rPr>
                <w:rFonts w:ascii="宋体"/>
                <w:vanish/>
              </w:rPr>
            </w:pPr>
          </w:p>
        </w:tc>
        <w:tc>
          <w:tcPr>
            <w:tcW w:w="0" w:type="auto"/>
            <w:gridSpan w:val="3"/>
            <w:shd w:val="clear" w:color="auto" w:fill="auto"/>
            <w:vAlign w:val="bottom"/>
          </w:tcPr>
          <w:p w14:paraId="74DDD685" w14:textId="77777777" w:rsidR="00584EC1" w:rsidRDefault="00584EC1">
            <w:pPr>
              <w:rPr>
                <w:rFonts w:ascii="宋体"/>
                <w:vanish/>
              </w:rPr>
            </w:pPr>
          </w:p>
        </w:tc>
        <w:tc>
          <w:tcPr>
            <w:tcW w:w="0" w:type="auto"/>
            <w:gridSpan w:val="3"/>
            <w:shd w:val="clear" w:color="auto" w:fill="auto"/>
            <w:vAlign w:val="bottom"/>
          </w:tcPr>
          <w:p w14:paraId="74DDD686" w14:textId="77777777" w:rsidR="00584EC1" w:rsidRDefault="00584EC1">
            <w:pPr>
              <w:rPr>
                <w:rFonts w:ascii="宋体"/>
                <w:vanish/>
              </w:rPr>
            </w:pPr>
          </w:p>
        </w:tc>
        <w:tc>
          <w:tcPr>
            <w:tcW w:w="0" w:type="auto"/>
            <w:gridSpan w:val="3"/>
            <w:shd w:val="clear" w:color="auto" w:fill="auto"/>
            <w:vAlign w:val="bottom"/>
          </w:tcPr>
          <w:p w14:paraId="74DDD687" w14:textId="77777777" w:rsidR="00584EC1" w:rsidRDefault="00584EC1">
            <w:pPr>
              <w:rPr>
                <w:rFonts w:ascii="宋体"/>
                <w:vanish/>
              </w:rPr>
            </w:pPr>
          </w:p>
        </w:tc>
        <w:tc>
          <w:tcPr>
            <w:tcW w:w="0" w:type="auto"/>
            <w:gridSpan w:val="3"/>
            <w:shd w:val="clear" w:color="auto" w:fill="auto"/>
            <w:vAlign w:val="bottom"/>
          </w:tcPr>
          <w:p w14:paraId="74DDD688" w14:textId="77777777" w:rsidR="00584EC1" w:rsidRDefault="00584EC1">
            <w:pPr>
              <w:rPr>
                <w:rFonts w:ascii="宋体"/>
                <w:vanish/>
              </w:rPr>
            </w:pPr>
          </w:p>
        </w:tc>
      </w:tr>
      <w:tr w:rsidR="00584EC1" w14:paraId="74DDD696" w14:textId="77777777">
        <w:trPr>
          <w:hidden/>
        </w:trPr>
        <w:tc>
          <w:tcPr>
            <w:tcW w:w="0" w:type="auto"/>
            <w:gridSpan w:val="3"/>
            <w:shd w:val="clear" w:color="auto" w:fill="auto"/>
            <w:vAlign w:val="bottom"/>
          </w:tcPr>
          <w:p w14:paraId="74DDD68A" w14:textId="77777777" w:rsidR="00584EC1" w:rsidRDefault="00584EC1">
            <w:pPr>
              <w:rPr>
                <w:rFonts w:ascii="宋体"/>
                <w:vanish/>
              </w:rPr>
            </w:pPr>
          </w:p>
        </w:tc>
        <w:tc>
          <w:tcPr>
            <w:tcW w:w="0" w:type="auto"/>
            <w:gridSpan w:val="3"/>
            <w:shd w:val="clear" w:color="auto" w:fill="auto"/>
            <w:vAlign w:val="bottom"/>
          </w:tcPr>
          <w:p w14:paraId="74DDD68B" w14:textId="77777777" w:rsidR="00584EC1" w:rsidRDefault="00584EC1">
            <w:pPr>
              <w:rPr>
                <w:rFonts w:ascii="宋体"/>
                <w:vanish/>
              </w:rPr>
            </w:pPr>
          </w:p>
        </w:tc>
        <w:tc>
          <w:tcPr>
            <w:tcW w:w="0" w:type="auto"/>
            <w:gridSpan w:val="3"/>
            <w:shd w:val="clear" w:color="auto" w:fill="auto"/>
            <w:vAlign w:val="bottom"/>
          </w:tcPr>
          <w:p w14:paraId="74DDD68C" w14:textId="77777777" w:rsidR="00584EC1" w:rsidRDefault="00584EC1">
            <w:pPr>
              <w:rPr>
                <w:rFonts w:ascii="宋体"/>
                <w:vanish/>
              </w:rPr>
            </w:pPr>
          </w:p>
        </w:tc>
        <w:tc>
          <w:tcPr>
            <w:tcW w:w="0" w:type="auto"/>
            <w:gridSpan w:val="3"/>
            <w:shd w:val="clear" w:color="auto" w:fill="auto"/>
            <w:vAlign w:val="bottom"/>
          </w:tcPr>
          <w:p w14:paraId="74DDD68D" w14:textId="77777777" w:rsidR="00584EC1" w:rsidRDefault="00584EC1">
            <w:pPr>
              <w:rPr>
                <w:rFonts w:ascii="宋体"/>
                <w:vanish/>
              </w:rPr>
            </w:pPr>
          </w:p>
        </w:tc>
        <w:tc>
          <w:tcPr>
            <w:tcW w:w="0" w:type="auto"/>
            <w:gridSpan w:val="3"/>
            <w:shd w:val="clear" w:color="auto" w:fill="auto"/>
            <w:vAlign w:val="bottom"/>
          </w:tcPr>
          <w:p w14:paraId="74DDD68E" w14:textId="77777777" w:rsidR="00584EC1" w:rsidRDefault="00584EC1">
            <w:pPr>
              <w:rPr>
                <w:rFonts w:ascii="宋体"/>
                <w:vanish/>
              </w:rPr>
            </w:pPr>
          </w:p>
        </w:tc>
        <w:tc>
          <w:tcPr>
            <w:tcW w:w="0" w:type="auto"/>
            <w:gridSpan w:val="3"/>
            <w:shd w:val="clear" w:color="auto" w:fill="auto"/>
            <w:vAlign w:val="bottom"/>
          </w:tcPr>
          <w:p w14:paraId="74DDD68F" w14:textId="77777777" w:rsidR="00584EC1" w:rsidRDefault="00584EC1">
            <w:pPr>
              <w:rPr>
                <w:rFonts w:ascii="宋体"/>
                <w:vanish/>
              </w:rPr>
            </w:pPr>
          </w:p>
        </w:tc>
        <w:tc>
          <w:tcPr>
            <w:tcW w:w="0" w:type="auto"/>
            <w:gridSpan w:val="3"/>
            <w:shd w:val="clear" w:color="auto" w:fill="auto"/>
            <w:vAlign w:val="bottom"/>
          </w:tcPr>
          <w:p w14:paraId="74DDD690" w14:textId="77777777" w:rsidR="00584EC1" w:rsidRDefault="00584EC1">
            <w:pPr>
              <w:rPr>
                <w:rFonts w:ascii="宋体"/>
                <w:vanish/>
              </w:rPr>
            </w:pPr>
          </w:p>
        </w:tc>
        <w:tc>
          <w:tcPr>
            <w:tcW w:w="0" w:type="auto"/>
            <w:gridSpan w:val="3"/>
            <w:shd w:val="clear" w:color="auto" w:fill="auto"/>
            <w:vAlign w:val="bottom"/>
          </w:tcPr>
          <w:p w14:paraId="74DDD691" w14:textId="77777777" w:rsidR="00584EC1" w:rsidRDefault="00584EC1">
            <w:pPr>
              <w:rPr>
                <w:rFonts w:ascii="宋体"/>
                <w:vanish/>
              </w:rPr>
            </w:pPr>
          </w:p>
        </w:tc>
        <w:tc>
          <w:tcPr>
            <w:tcW w:w="0" w:type="auto"/>
            <w:gridSpan w:val="3"/>
            <w:shd w:val="clear" w:color="auto" w:fill="auto"/>
            <w:vAlign w:val="bottom"/>
          </w:tcPr>
          <w:p w14:paraId="74DDD692" w14:textId="77777777" w:rsidR="00584EC1" w:rsidRDefault="00584EC1">
            <w:pPr>
              <w:rPr>
                <w:rFonts w:ascii="宋体"/>
                <w:vanish/>
              </w:rPr>
            </w:pPr>
          </w:p>
        </w:tc>
        <w:tc>
          <w:tcPr>
            <w:tcW w:w="0" w:type="auto"/>
            <w:gridSpan w:val="3"/>
            <w:shd w:val="clear" w:color="auto" w:fill="auto"/>
            <w:vAlign w:val="bottom"/>
          </w:tcPr>
          <w:p w14:paraId="74DDD693" w14:textId="77777777" w:rsidR="00584EC1" w:rsidRDefault="00584EC1">
            <w:pPr>
              <w:rPr>
                <w:rFonts w:ascii="宋体"/>
                <w:vanish/>
              </w:rPr>
            </w:pPr>
          </w:p>
        </w:tc>
        <w:tc>
          <w:tcPr>
            <w:tcW w:w="0" w:type="auto"/>
            <w:gridSpan w:val="3"/>
            <w:shd w:val="clear" w:color="auto" w:fill="auto"/>
            <w:vAlign w:val="bottom"/>
          </w:tcPr>
          <w:p w14:paraId="74DDD694" w14:textId="77777777" w:rsidR="00584EC1" w:rsidRDefault="00584EC1">
            <w:pPr>
              <w:rPr>
                <w:rFonts w:ascii="宋体"/>
                <w:vanish/>
              </w:rPr>
            </w:pPr>
          </w:p>
        </w:tc>
        <w:tc>
          <w:tcPr>
            <w:tcW w:w="0" w:type="auto"/>
            <w:gridSpan w:val="3"/>
            <w:shd w:val="clear" w:color="auto" w:fill="auto"/>
            <w:vAlign w:val="bottom"/>
          </w:tcPr>
          <w:p w14:paraId="74DDD695" w14:textId="77777777" w:rsidR="00584EC1" w:rsidRDefault="00584EC1">
            <w:pPr>
              <w:rPr>
                <w:rFonts w:ascii="宋体"/>
                <w:vanish/>
              </w:rPr>
            </w:pPr>
          </w:p>
        </w:tc>
      </w:tr>
      <w:tr w:rsidR="00584EC1" w14:paraId="74DDD6A3" w14:textId="77777777">
        <w:trPr>
          <w:hidden/>
        </w:trPr>
        <w:tc>
          <w:tcPr>
            <w:tcW w:w="0" w:type="auto"/>
            <w:gridSpan w:val="3"/>
            <w:shd w:val="clear" w:color="auto" w:fill="auto"/>
            <w:vAlign w:val="bottom"/>
          </w:tcPr>
          <w:p w14:paraId="74DDD697" w14:textId="77777777" w:rsidR="00584EC1" w:rsidRDefault="00584EC1">
            <w:pPr>
              <w:rPr>
                <w:rFonts w:ascii="宋体"/>
                <w:vanish/>
              </w:rPr>
            </w:pPr>
          </w:p>
        </w:tc>
        <w:tc>
          <w:tcPr>
            <w:tcW w:w="0" w:type="auto"/>
            <w:gridSpan w:val="3"/>
            <w:shd w:val="clear" w:color="auto" w:fill="auto"/>
            <w:vAlign w:val="bottom"/>
          </w:tcPr>
          <w:p w14:paraId="74DDD698" w14:textId="77777777" w:rsidR="00584EC1" w:rsidRDefault="00584EC1">
            <w:pPr>
              <w:rPr>
                <w:rFonts w:ascii="宋体"/>
                <w:vanish/>
              </w:rPr>
            </w:pPr>
          </w:p>
        </w:tc>
        <w:tc>
          <w:tcPr>
            <w:tcW w:w="0" w:type="auto"/>
            <w:gridSpan w:val="3"/>
            <w:shd w:val="clear" w:color="auto" w:fill="auto"/>
            <w:vAlign w:val="bottom"/>
          </w:tcPr>
          <w:p w14:paraId="74DDD699" w14:textId="77777777" w:rsidR="00584EC1" w:rsidRDefault="00584EC1">
            <w:pPr>
              <w:rPr>
                <w:rFonts w:ascii="宋体"/>
                <w:vanish/>
              </w:rPr>
            </w:pPr>
          </w:p>
        </w:tc>
        <w:tc>
          <w:tcPr>
            <w:tcW w:w="0" w:type="auto"/>
            <w:gridSpan w:val="3"/>
            <w:shd w:val="clear" w:color="auto" w:fill="auto"/>
            <w:vAlign w:val="bottom"/>
          </w:tcPr>
          <w:p w14:paraId="74DDD69A" w14:textId="77777777" w:rsidR="00584EC1" w:rsidRDefault="00584EC1">
            <w:pPr>
              <w:rPr>
                <w:rFonts w:ascii="宋体"/>
                <w:vanish/>
              </w:rPr>
            </w:pPr>
          </w:p>
        </w:tc>
        <w:tc>
          <w:tcPr>
            <w:tcW w:w="0" w:type="auto"/>
            <w:gridSpan w:val="3"/>
            <w:shd w:val="clear" w:color="auto" w:fill="auto"/>
            <w:vAlign w:val="bottom"/>
          </w:tcPr>
          <w:p w14:paraId="74DDD69B" w14:textId="77777777" w:rsidR="00584EC1" w:rsidRDefault="00584EC1">
            <w:pPr>
              <w:rPr>
                <w:rFonts w:ascii="宋体"/>
                <w:vanish/>
              </w:rPr>
            </w:pPr>
          </w:p>
        </w:tc>
        <w:tc>
          <w:tcPr>
            <w:tcW w:w="0" w:type="auto"/>
            <w:gridSpan w:val="3"/>
            <w:shd w:val="clear" w:color="auto" w:fill="auto"/>
            <w:vAlign w:val="bottom"/>
          </w:tcPr>
          <w:p w14:paraId="74DDD69C" w14:textId="77777777" w:rsidR="00584EC1" w:rsidRDefault="00584EC1">
            <w:pPr>
              <w:rPr>
                <w:rFonts w:ascii="宋体"/>
                <w:vanish/>
              </w:rPr>
            </w:pPr>
          </w:p>
        </w:tc>
        <w:tc>
          <w:tcPr>
            <w:tcW w:w="0" w:type="auto"/>
            <w:gridSpan w:val="3"/>
            <w:shd w:val="clear" w:color="auto" w:fill="auto"/>
            <w:vAlign w:val="bottom"/>
          </w:tcPr>
          <w:p w14:paraId="74DDD69D" w14:textId="77777777" w:rsidR="00584EC1" w:rsidRDefault="00584EC1">
            <w:pPr>
              <w:rPr>
                <w:rFonts w:ascii="宋体"/>
                <w:vanish/>
              </w:rPr>
            </w:pPr>
          </w:p>
        </w:tc>
        <w:tc>
          <w:tcPr>
            <w:tcW w:w="0" w:type="auto"/>
            <w:gridSpan w:val="3"/>
            <w:shd w:val="clear" w:color="auto" w:fill="auto"/>
            <w:vAlign w:val="bottom"/>
          </w:tcPr>
          <w:p w14:paraId="74DDD69E" w14:textId="77777777" w:rsidR="00584EC1" w:rsidRDefault="00584EC1">
            <w:pPr>
              <w:rPr>
                <w:rFonts w:ascii="宋体"/>
                <w:vanish/>
              </w:rPr>
            </w:pPr>
          </w:p>
        </w:tc>
        <w:tc>
          <w:tcPr>
            <w:tcW w:w="0" w:type="auto"/>
            <w:gridSpan w:val="3"/>
            <w:shd w:val="clear" w:color="auto" w:fill="auto"/>
            <w:vAlign w:val="bottom"/>
          </w:tcPr>
          <w:p w14:paraId="74DDD69F" w14:textId="77777777" w:rsidR="00584EC1" w:rsidRDefault="00584EC1">
            <w:pPr>
              <w:rPr>
                <w:rFonts w:ascii="宋体"/>
                <w:vanish/>
              </w:rPr>
            </w:pPr>
          </w:p>
        </w:tc>
        <w:tc>
          <w:tcPr>
            <w:tcW w:w="0" w:type="auto"/>
            <w:gridSpan w:val="3"/>
            <w:shd w:val="clear" w:color="auto" w:fill="auto"/>
            <w:vAlign w:val="bottom"/>
          </w:tcPr>
          <w:p w14:paraId="74DDD6A0" w14:textId="77777777" w:rsidR="00584EC1" w:rsidRDefault="00584EC1">
            <w:pPr>
              <w:rPr>
                <w:rFonts w:ascii="宋体"/>
                <w:vanish/>
              </w:rPr>
            </w:pPr>
          </w:p>
        </w:tc>
        <w:tc>
          <w:tcPr>
            <w:tcW w:w="0" w:type="auto"/>
            <w:gridSpan w:val="3"/>
            <w:shd w:val="clear" w:color="auto" w:fill="auto"/>
            <w:vAlign w:val="bottom"/>
          </w:tcPr>
          <w:p w14:paraId="74DDD6A1" w14:textId="77777777" w:rsidR="00584EC1" w:rsidRDefault="00584EC1">
            <w:pPr>
              <w:rPr>
                <w:rFonts w:ascii="宋体"/>
                <w:vanish/>
              </w:rPr>
            </w:pPr>
          </w:p>
        </w:tc>
        <w:tc>
          <w:tcPr>
            <w:tcW w:w="0" w:type="auto"/>
            <w:gridSpan w:val="3"/>
            <w:shd w:val="clear" w:color="auto" w:fill="auto"/>
            <w:vAlign w:val="bottom"/>
          </w:tcPr>
          <w:p w14:paraId="74DDD6A2" w14:textId="77777777" w:rsidR="00584EC1" w:rsidRDefault="00584EC1">
            <w:pPr>
              <w:rPr>
                <w:rFonts w:ascii="宋体"/>
                <w:vanish/>
              </w:rPr>
            </w:pPr>
          </w:p>
        </w:tc>
      </w:tr>
      <w:tr w:rsidR="00584EC1" w14:paraId="74DDD6B0" w14:textId="77777777">
        <w:trPr>
          <w:hidden/>
        </w:trPr>
        <w:tc>
          <w:tcPr>
            <w:tcW w:w="0" w:type="auto"/>
            <w:gridSpan w:val="3"/>
            <w:shd w:val="clear" w:color="auto" w:fill="auto"/>
            <w:vAlign w:val="bottom"/>
          </w:tcPr>
          <w:p w14:paraId="74DDD6A4" w14:textId="77777777" w:rsidR="00584EC1" w:rsidRDefault="00584EC1">
            <w:pPr>
              <w:rPr>
                <w:rFonts w:ascii="宋体"/>
                <w:vanish/>
              </w:rPr>
            </w:pPr>
          </w:p>
        </w:tc>
        <w:tc>
          <w:tcPr>
            <w:tcW w:w="0" w:type="auto"/>
            <w:gridSpan w:val="3"/>
            <w:shd w:val="clear" w:color="auto" w:fill="auto"/>
            <w:vAlign w:val="bottom"/>
          </w:tcPr>
          <w:p w14:paraId="74DDD6A5" w14:textId="77777777" w:rsidR="00584EC1" w:rsidRDefault="00584EC1">
            <w:pPr>
              <w:rPr>
                <w:rFonts w:ascii="宋体"/>
                <w:vanish/>
              </w:rPr>
            </w:pPr>
          </w:p>
        </w:tc>
        <w:tc>
          <w:tcPr>
            <w:tcW w:w="0" w:type="auto"/>
            <w:gridSpan w:val="3"/>
            <w:shd w:val="clear" w:color="auto" w:fill="auto"/>
            <w:vAlign w:val="bottom"/>
          </w:tcPr>
          <w:p w14:paraId="74DDD6A6" w14:textId="77777777" w:rsidR="00584EC1" w:rsidRDefault="00584EC1">
            <w:pPr>
              <w:rPr>
                <w:rFonts w:ascii="宋体"/>
                <w:vanish/>
              </w:rPr>
            </w:pPr>
          </w:p>
        </w:tc>
        <w:tc>
          <w:tcPr>
            <w:tcW w:w="0" w:type="auto"/>
            <w:gridSpan w:val="3"/>
            <w:shd w:val="clear" w:color="auto" w:fill="auto"/>
            <w:vAlign w:val="bottom"/>
          </w:tcPr>
          <w:p w14:paraId="74DDD6A7" w14:textId="77777777" w:rsidR="00584EC1" w:rsidRDefault="00584EC1">
            <w:pPr>
              <w:rPr>
                <w:rFonts w:ascii="宋体"/>
                <w:vanish/>
              </w:rPr>
            </w:pPr>
          </w:p>
        </w:tc>
        <w:tc>
          <w:tcPr>
            <w:tcW w:w="0" w:type="auto"/>
            <w:gridSpan w:val="3"/>
            <w:shd w:val="clear" w:color="auto" w:fill="auto"/>
            <w:vAlign w:val="bottom"/>
          </w:tcPr>
          <w:p w14:paraId="74DDD6A8" w14:textId="77777777" w:rsidR="00584EC1" w:rsidRDefault="00584EC1">
            <w:pPr>
              <w:rPr>
                <w:rFonts w:ascii="宋体"/>
                <w:vanish/>
              </w:rPr>
            </w:pPr>
          </w:p>
        </w:tc>
        <w:tc>
          <w:tcPr>
            <w:tcW w:w="0" w:type="auto"/>
            <w:gridSpan w:val="3"/>
            <w:shd w:val="clear" w:color="auto" w:fill="auto"/>
            <w:vAlign w:val="bottom"/>
          </w:tcPr>
          <w:p w14:paraId="74DDD6A9" w14:textId="77777777" w:rsidR="00584EC1" w:rsidRDefault="00584EC1">
            <w:pPr>
              <w:rPr>
                <w:rFonts w:ascii="宋体"/>
                <w:vanish/>
              </w:rPr>
            </w:pPr>
          </w:p>
        </w:tc>
        <w:tc>
          <w:tcPr>
            <w:tcW w:w="0" w:type="auto"/>
            <w:gridSpan w:val="3"/>
            <w:shd w:val="clear" w:color="auto" w:fill="auto"/>
            <w:vAlign w:val="bottom"/>
          </w:tcPr>
          <w:p w14:paraId="74DDD6AA" w14:textId="77777777" w:rsidR="00584EC1" w:rsidRDefault="00584EC1">
            <w:pPr>
              <w:rPr>
                <w:rFonts w:ascii="宋体"/>
                <w:vanish/>
              </w:rPr>
            </w:pPr>
          </w:p>
        </w:tc>
        <w:tc>
          <w:tcPr>
            <w:tcW w:w="0" w:type="auto"/>
            <w:gridSpan w:val="3"/>
            <w:shd w:val="clear" w:color="auto" w:fill="auto"/>
            <w:vAlign w:val="bottom"/>
          </w:tcPr>
          <w:p w14:paraId="74DDD6AB" w14:textId="77777777" w:rsidR="00584EC1" w:rsidRDefault="00584EC1">
            <w:pPr>
              <w:rPr>
                <w:rFonts w:ascii="宋体"/>
                <w:vanish/>
              </w:rPr>
            </w:pPr>
          </w:p>
        </w:tc>
        <w:tc>
          <w:tcPr>
            <w:tcW w:w="0" w:type="auto"/>
            <w:gridSpan w:val="3"/>
            <w:shd w:val="clear" w:color="auto" w:fill="auto"/>
            <w:vAlign w:val="bottom"/>
          </w:tcPr>
          <w:p w14:paraId="74DDD6AC" w14:textId="77777777" w:rsidR="00584EC1" w:rsidRDefault="00584EC1">
            <w:pPr>
              <w:rPr>
                <w:rFonts w:ascii="宋体"/>
                <w:vanish/>
              </w:rPr>
            </w:pPr>
          </w:p>
        </w:tc>
        <w:tc>
          <w:tcPr>
            <w:tcW w:w="0" w:type="auto"/>
            <w:gridSpan w:val="3"/>
            <w:shd w:val="clear" w:color="auto" w:fill="auto"/>
            <w:vAlign w:val="bottom"/>
          </w:tcPr>
          <w:p w14:paraId="74DDD6AD" w14:textId="77777777" w:rsidR="00584EC1" w:rsidRDefault="00584EC1">
            <w:pPr>
              <w:rPr>
                <w:rFonts w:ascii="宋体"/>
                <w:vanish/>
              </w:rPr>
            </w:pPr>
          </w:p>
        </w:tc>
        <w:tc>
          <w:tcPr>
            <w:tcW w:w="0" w:type="auto"/>
            <w:gridSpan w:val="3"/>
            <w:shd w:val="clear" w:color="auto" w:fill="auto"/>
            <w:vAlign w:val="bottom"/>
          </w:tcPr>
          <w:p w14:paraId="74DDD6AE" w14:textId="77777777" w:rsidR="00584EC1" w:rsidRDefault="00584EC1">
            <w:pPr>
              <w:rPr>
                <w:rFonts w:ascii="宋体"/>
                <w:vanish/>
              </w:rPr>
            </w:pPr>
          </w:p>
        </w:tc>
        <w:tc>
          <w:tcPr>
            <w:tcW w:w="0" w:type="auto"/>
            <w:gridSpan w:val="3"/>
            <w:shd w:val="clear" w:color="auto" w:fill="auto"/>
            <w:vAlign w:val="bottom"/>
          </w:tcPr>
          <w:p w14:paraId="74DDD6AF" w14:textId="77777777" w:rsidR="00584EC1" w:rsidRDefault="00584EC1">
            <w:pPr>
              <w:rPr>
                <w:rFonts w:ascii="宋体"/>
                <w:vanish/>
              </w:rPr>
            </w:pPr>
          </w:p>
        </w:tc>
      </w:tr>
      <w:tr w:rsidR="00584EC1" w14:paraId="74DDD6BD" w14:textId="77777777">
        <w:trPr>
          <w:hidden/>
        </w:trPr>
        <w:tc>
          <w:tcPr>
            <w:tcW w:w="0" w:type="auto"/>
            <w:gridSpan w:val="3"/>
            <w:shd w:val="clear" w:color="auto" w:fill="auto"/>
            <w:vAlign w:val="bottom"/>
          </w:tcPr>
          <w:p w14:paraId="74DDD6B1" w14:textId="77777777" w:rsidR="00584EC1" w:rsidRDefault="00584EC1">
            <w:pPr>
              <w:rPr>
                <w:rFonts w:ascii="宋体"/>
                <w:vanish/>
              </w:rPr>
            </w:pPr>
          </w:p>
        </w:tc>
        <w:tc>
          <w:tcPr>
            <w:tcW w:w="0" w:type="auto"/>
            <w:gridSpan w:val="3"/>
            <w:shd w:val="clear" w:color="auto" w:fill="auto"/>
            <w:vAlign w:val="bottom"/>
          </w:tcPr>
          <w:p w14:paraId="74DDD6B2" w14:textId="77777777" w:rsidR="00584EC1" w:rsidRDefault="00584EC1">
            <w:pPr>
              <w:rPr>
                <w:rFonts w:ascii="宋体"/>
                <w:vanish/>
              </w:rPr>
            </w:pPr>
          </w:p>
        </w:tc>
        <w:tc>
          <w:tcPr>
            <w:tcW w:w="0" w:type="auto"/>
            <w:gridSpan w:val="3"/>
            <w:shd w:val="clear" w:color="auto" w:fill="auto"/>
            <w:vAlign w:val="bottom"/>
          </w:tcPr>
          <w:p w14:paraId="74DDD6B3" w14:textId="77777777" w:rsidR="00584EC1" w:rsidRDefault="00584EC1">
            <w:pPr>
              <w:rPr>
                <w:rFonts w:ascii="宋体"/>
                <w:vanish/>
              </w:rPr>
            </w:pPr>
          </w:p>
        </w:tc>
        <w:tc>
          <w:tcPr>
            <w:tcW w:w="0" w:type="auto"/>
            <w:gridSpan w:val="3"/>
            <w:shd w:val="clear" w:color="auto" w:fill="auto"/>
            <w:vAlign w:val="bottom"/>
          </w:tcPr>
          <w:p w14:paraId="74DDD6B4" w14:textId="77777777" w:rsidR="00584EC1" w:rsidRDefault="00584EC1">
            <w:pPr>
              <w:rPr>
                <w:rFonts w:ascii="宋体"/>
                <w:vanish/>
              </w:rPr>
            </w:pPr>
          </w:p>
        </w:tc>
        <w:tc>
          <w:tcPr>
            <w:tcW w:w="0" w:type="auto"/>
            <w:gridSpan w:val="3"/>
            <w:shd w:val="clear" w:color="auto" w:fill="auto"/>
            <w:vAlign w:val="bottom"/>
          </w:tcPr>
          <w:p w14:paraId="74DDD6B5" w14:textId="77777777" w:rsidR="00584EC1" w:rsidRDefault="00584EC1">
            <w:pPr>
              <w:rPr>
                <w:rFonts w:ascii="宋体"/>
                <w:vanish/>
              </w:rPr>
            </w:pPr>
          </w:p>
        </w:tc>
        <w:tc>
          <w:tcPr>
            <w:tcW w:w="0" w:type="auto"/>
            <w:gridSpan w:val="3"/>
            <w:shd w:val="clear" w:color="auto" w:fill="auto"/>
            <w:vAlign w:val="bottom"/>
          </w:tcPr>
          <w:p w14:paraId="74DDD6B6" w14:textId="77777777" w:rsidR="00584EC1" w:rsidRDefault="00584EC1">
            <w:pPr>
              <w:rPr>
                <w:rFonts w:ascii="宋体"/>
                <w:vanish/>
              </w:rPr>
            </w:pPr>
          </w:p>
        </w:tc>
        <w:tc>
          <w:tcPr>
            <w:tcW w:w="0" w:type="auto"/>
            <w:gridSpan w:val="3"/>
            <w:shd w:val="clear" w:color="auto" w:fill="auto"/>
            <w:vAlign w:val="bottom"/>
          </w:tcPr>
          <w:p w14:paraId="74DDD6B7" w14:textId="77777777" w:rsidR="00584EC1" w:rsidRDefault="00584EC1">
            <w:pPr>
              <w:rPr>
                <w:rFonts w:ascii="宋体"/>
                <w:vanish/>
              </w:rPr>
            </w:pPr>
          </w:p>
        </w:tc>
        <w:tc>
          <w:tcPr>
            <w:tcW w:w="0" w:type="auto"/>
            <w:gridSpan w:val="3"/>
            <w:shd w:val="clear" w:color="auto" w:fill="auto"/>
            <w:vAlign w:val="bottom"/>
          </w:tcPr>
          <w:p w14:paraId="74DDD6B8" w14:textId="77777777" w:rsidR="00584EC1" w:rsidRDefault="00584EC1">
            <w:pPr>
              <w:rPr>
                <w:rFonts w:ascii="宋体"/>
                <w:vanish/>
              </w:rPr>
            </w:pPr>
          </w:p>
        </w:tc>
        <w:tc>
          <w:tcPr>
            <w:tcW w:w="0" w:type="auto"/>
            <w:gridSpan w:val="3"/>
            <w:shd w:val="clear" w:color="auto" w:fill="auto"/>
            <w:vAlign w:val="bottom"/>
          </w:tcPr>
          <w:p w14:paraId="74DDD6B9" w14:textId="77777777" w:rsidR="00584EC1" w:rsidRDefault="00584EC1">
            <w:pPr>
              <w:rPr>
                <w:rFonts w:ascii="宋体"/>
                <w:vanish/>
              </w:rPr>
            </w:pPr>
          </w:p>
        </w:tc>
        <w:tc>
          <w:tcPr>
            <w:tcW w:w="0" w:type="auto"/>
            <w:gridSpan w:val="3"/>
            <w:shd w:val="clear" w:color="auto" w:fill="auto"/>
            <w:vAlign w:val="bottom"/>
          </w:tcPr>
          <w:p w14:paraId="74DDD6BA" w14:textId="77777777" w:rsidR="00584EC1" w:rsidRDefault="00584EC1">
            <w:pPr>
              <w:rPr>
                <w:rFonts w:ascii="宋体"/>
                <w:vanish/>
              </w:rPr>
            </w:pPr>
          </w:p>
        </w:tc>
        <w:tc>
          <w:tcPr>
            <w:tcW w:w="0" w:type="auto"/>
            <w:gridSpan w:val="3"/>
            <w:shd w:val="clear" w:color="auto" w:fill="auto"/>
            <w:vAlign w:val="bottom"/>
          </w:tcPr>
          <w:p w14:paraId="74DDD6BB" w14:textId="77777777" w:rsidR="00584EC1" w:rsidRDefault="00584EC1">
            <w:pPr>
              <w:rPr>
                <w:rFonts w:ascii="宋体"/>
                <w:vanish/>
              </w:rPr>
            </w:pPr>
          </w:p>
        </w:tc>
        <w:tc>
          <w:tcPr>
            <w:tcW w:w="0" w:type="auto"/>
            <w:gridSpan w:val="3"/>
            <w:shd w:val="clear" w:color="auto" w:fill="auto"/>
            <w:vAlign w:val="bottom"/>
          </w:tcPr>
          <w:p w14:paraId="74DDD6BC" w14:textId="77777777" w:rsidR="00584EC1" w:rsidRDefault="00584EC1">
            <w:pPr>
              <w:rPr>
                <w:rFonts w:ascii="宋体"/>
                <w:vanish/>
              </w:rPr>
            </w:pPr>
          </w:p>
        </w:tc>
      </w:tr>
      <w:tr w:rsidR="00584EC1" w14:paraId="74DDD6CA" w14:textId="77777777">
        <w:trPr>
          <w:hidden/>
        </w:trPr>
        <w:tc>
          <w:tcPr>
            <w:tcW w:w="0" w:type="auto"/>
            <w:gridSpan w:val="3"/>
            <w:shd w:val="clear" w:color="auto" w:fill="auto"/>
            <w:vAlign w:val="bottom"/>
          </w:tcPr>
          <w:p w14:paraId="74DDD6BE" w14:textId="77777777" w:rsidR="00584EC1" w:rsidRDefault="00584EC1">
            <w:pPr>
              <w:rPr>
                <w:rFonts w:ascii="宋体"/>
                <w:vanish/>
              </w:rPr>
            </w:pPr>
          </w:p>
        </w:tc>
        <w:tc>
          <w:tcPr>
            <w:tcW w:w="0" w:type="auto"/>
            <w:gridSpan w:val="3"/>
            <w:shd w:val="clear" w:color="auto" w:fill="auto"/>
            <w:vAlign w:val="bottom"/>
          </w:tcPr>
          <w:p w14:paraId="74DDD6BF" w14:textId="77777777" w:rsidR="00584EC1" w:rsidRDefault="00584EC1">
            <w:pPr>
              <w:rPr>
                <w:rFonts w:ascii="宋体"/>
                <w:vanish/>
              </w:rPr>
            </w:pPr>
          </w:p>
        </w:tc>
        <w:tc>
          <w:tcPr>
            <w:tcW w:w="0" w:type="auto"/>
            <w:gridSpan w:val="3"/>
            <w:shd w:val="clear" w:color="auto" w:fill="auto"/>
            <w:vAlign w:val="bottom"/>
          </w:tcPr>
          <w:p w14:paraId="74DDD6C0" w14:textId="77777777" w:rsidR="00584EC1" w:rsidRDefault="00584EC1">
            <w:pPr>
              <w:rPr>
                <w:rFonts w:ascii="宋体"/>
                <w:vanish/>
              </w:rPr>
            </w:pPr>
          </w:p>
        </w:tc>
        <w:tc>
          <w:tcPr>
            <w:tcW w:w="0" w:type="auto"/>
            <w:gridSpan w:val="3"/>
            <w:shd w:val="clear" w:color="auto" w:fill="auto"/>
            <w:vAlign w:val="bottom"/>
          </w:tcPr>
          <w:p w14:paraId="74DDD6C1" w14:textId="77777777" w:rsidR="00584EC1" w:rsidRDefault="00584EC1">
            <w:pPr>
              <w:rPr>
                <w:rFonts w:ascii="宋体"/>
                <w:vanish/>
              </w:rPr>
            </w:pPr>
          </w:p>
        </w:tc>
        <w:tc>
          <w:tcPr>
            <w:tcW w:w="0" w:type="auto"/>
            <w:gridSpan w:val="3"/>
            <w:shd w:val="clear" w:color="auto" w:fill="auto"/>
            <w:vAlign w:val="bottom"/>
          </w:tcPr>
          <w:p w14:paraId="74DDD6C2" w14:textId="77777777" w:rsidR="00584EC1" w:rsidRDefault="00584EC1">
            <w:pPr>
              <w:rPr>
                <w:rFonts w:ascii="宋体"/>
                <w:vanish/>
              </w:rPr>
            </w:pPr>
          </w:p>
        </w:tc>
        <w:tc>
          <w:tcPr>
            <w:tcW w:w="0" w:type="auto"/>
            <w:gridSpan w:val="3"/>
            <w:shd w:val="clear" w:color="auto" w:fill="auto"/>
            <w:vAlign w:val="bottom"/>
          </w:tcPr>
          <w:p w14:paraId="74DDD6C3" w14:textId="77777777" w:rsidR="00584EC1" w:rsidRDefault="00584EC1">
            <w:pPr>
              <w:rPr>
                <w:rFonts w:ascii="宋体"/>
                <w:vanish/>
              </w:rPr>
            </w:pPr>
          </w:p>
        </w:tc>
        <w:tc>
          <w:tcPr>
            <w:tcW w:w="0" w:type="auto"/>
            <w:gridSpan w:val="3"/>
            <w:shd w:val="clear" w:color="auto" w:fill="auto"/>
            <w:vAlign w:val="bottom"/>
          </w:tcPr>
          <w:p w14:paraId="74DDD6C4" w14:textId="77777777" w:rsidR="00584EC1" w:rsidRDefault="00584EC1">
            <w:pPr>
              <w:rPr>
                <w:rFonts w:ascii="宋体"/>
                <w:vanish/>
              </w:rPr>
            </w:pPr>
          </w:p>
        </w:tc>
        <w:tc>
          <w:tcPr>
            <w:tcW w:w="0" w:type="auto"/>
            <w:gridSpan w:val="3"/>
            <w:shd w:val="clear" w:color="auto" w:fill="auto"/>
            <w:vAlign w:val="bottom"/>
          </w:tcPr>
          <w:p w14:paraId="74DDD6C5" w14:textId="77777777" w:rsidR="00584EC1" w:rsidRDefault="00584EC1">
            <w:pPr>
              <w:rPr>
                <w:rFonts w:ascii="宋体"/>
                <w:vanish/>
              </w:rPr>
            </w:pPr>
          </w:p>
        </w:tc>
        <w:tc>
          <w:tcPr>
            <w:tcW w:w="0" w:type="auto"/>
            <w:gridSpan w:val="3"/>
            <w:shd w:val="clear" w:color="auto" w:fill="auto"/>
            <w:vAlign w:val="bottom"/>
          </w:tcPr>
          <w:p w14:paraId="74DDD6C6" w14:textId="77777777" w:rsidR="00584EC1" w:rsidRDefault="00584EC1">
            <w:pPr>
              <w:rPr>
                <w:rFonts w:ascii="宋体"/>
                <w:vanish/>
              </w:rPr>
            </w:pPr>
          </w:p>
        </w:tc>
        <w:tc>
          <w:tcPr>
            <w:tcW w:w="0" w:type="auto"/>
            <w:gridSpan w:val="3"/>
            <w:shd w:val="clear" w:color="auto" w:fill="auto"/>
            <w:vAlign w:val="bottom"/>
          </w:tcPr>
          <w:p w14:paraId="74DDD6C7" w14:textId="77777777" w:rsidR="00584EC1" w:rsidRDefault="00584EC1">
            <w:pPr>
              <w:rPr>
                <w:rFonts w:ascii="宋体"/>
                <w:vanish/>
              </w:rPr>
            </w:pPr>
          </w:p>
        </w:tc>
        <w:tc>
          <w:tcPr>
            <w:tcW w:w="0" w:type="auto"/>
            <w:gridSpan w:val="3"/>
            <w:shd w:val="clear" w:color="auto" w:fill="auto"/>
            <w:vAlign w:val="bottom"/>
          </w:tcPr>
          <w:p w14:paraId="74DDD6C8" w14:textId="77777777" w:rsidR="00584EC1" w:rsidRDefault="00584EC1">
            <w:pPr>
              <w:rPr>
                <w:rFonts w:ascii="宋体"/>
                <w:vanish/>
              </w:rPr>
            </w:pPr>
          </w:p>
        </w:tc>
        <w:tc>
          <w:tcPr>
            <w:tcW w:w="0" w:type="auto"/>
            <w:gridSpan w:val="3"/>
            <w:shd w:val="clear" w:color="auto" w:fill="auto"/>
            <w:vAlign w:val="bottom"/>
          </w:tcPr>
          <w:p w14:paraId="74DDD6C9" w14:textId="77777777" w:rsidR="00584EC1" w:rsidRDefault="00584EC1">
            <w:pPr>
              <w:rPr>
                <w:rFonts w:ascii="宋体"/>
                <w:vanish/>
              </w:rPr>
            </w:pPr>
          </w:p>
        </w:tc>
      </w:tr>
      <w:tr w:rsidR="00584EC1" w14:paraId="74DDD6D7" w14:textId="77777777">
        <w:trPr>
          <w:hidden/>
        </w:trPr>
        <w:tc>
          <w:tcPr>
            <w:tcW w:w="0" w:type="auto"/>
            <w:gridSpan w:val="3"/>
            <w:shd w:val="clear" w:color="auto" w:fill="auto"/>
            <w:vAlign w:val="bottom"/>
          </w:tcPr>
          <w:p w14:paraId="74DDD6CB" w14:textId="77777777" w:rsidR="00584EC1" w:rsidRDefault="00584EC1">
            <w:pPr>
              <w:rPr>
                <w:rFonts w:ascii="宋体"/>
                <w:vanish/>
              </w:rPr>
            </w:pPr>
          </w:p>
        </w:tc>
        <w:tc>
          <w:tcPr>
            <w:tcW w:w="0" w:type="auto"/>
            <w:gridSpan w:val="3"/>
            <w:shd w:val="clear" w:color="auto" w:fill="auto"/>
            <w:vAlign w:val="bottom"/>
          </w:tcPr>
          <w:p w14:paraId="74DDD6CC" w14:textId="77777777" w:rsidR="00584EC1" w:rsidRDefault="00584EC1">
            <w:pPr>
              <w:rPr>
                <w:rFonts w:ascii="宋体"/>
                <w:vanish/>
              </w:rPr>
            </w:pPr>
          </w:p>
        </w:tc>
        <w:tc>
          <w:tcPr>
            <w:tcW w:w="0" w:type="auto"/>
            <w:gridSpan w:val="3"/>
            <w:shd w:val="clear" w:color="auto" w:fill="auto"/>
            <w:vAlign w:val="bottom"/>
          </w:tcPr>
          <w:p w14:paraId="74DDD6CD" w14:textId="77777777" w:rsidR="00584EC1" w:rsidRDefault="00584EC1">
            <w:pPr>
              <w:rPr>
                <w:rFonts w:ascii="宋体"/>
                <w:vanish/>
              </w:rPr>
            </w:pPr>
          </w:p>
        </w:tc>
        <w:tc>
          <w:tcPr>
            <w:tcW w:w="0" w:type="auto"/>
            <w:gridSpan w:val="3"/>
            <w:shd w:val="clear" w:color="auto" w:fill="auto"/>
            <w:vAlign w:val="bottom"/>
          </w:tcPr>
          <w:p w14:paraId="74DDD6CE" w14:textId="77777777" w:rsidR="00584EC1" w:rsidRDefault="00584EC1">
            <w:pPr>
              <w:rPr>
                <w:rFonts w:ascii="宋体"/>
                <w:vanish/>
              </w:rPr>
            </w:pPr>
          </w:p>
        </w:tc>
        <w:tc>
          <w:tcPr>
            <w:tcW w:w="0" w:type="auto"/>
            <w:gridSpan w:val="3"/>
            <w:shd w:val="clear" w:color="auto" w:fill="auto"/>
            <w:vAlign w:val="bottom"/>
          </w:tcPr>
          <w:p w14:paraId="74DDD6CF" w14:textId="77777777" w:rsidR="00584EC1" w:rsidRDefault="00584EC1">
            <w:pPr>
              <w:rPr>
                <w:rFonts w:ascii="宋体"/>
                <w:vanish/>
              </w:rPr>
            </w:pPr>
          </w:p>
        </w:tc>
        <w:tc>
          <w:tcPr>
            <w:tcW w:w="0" w:type="auto"/>
            <w:gridSpan w:val="3"/>
            <w:shd w:val="clear" w:color="auto" w:fill="auto"/>
            <w:vAlign w:val="bottom"/>
          </w:tcPr>
          <w:p w14:paraId="74DDD6D0" w14:textId="77777777" w:rsidR="00584EC1" w:rsidRDefault="00584EC1">
            <w:pPr>
              <w:rPr>
                <w:rFonts w:ascii="宋体"/>
                <w:vanish/>
              </w:rPr>
            </w:pPr>
          </w:p>
        </w:tc>
        <w:tc>
          <w:tcPr>
            <w:tcW w:w="0" w:type="auto"/>
            <w:gridSpan w:val="3"/>
            <w:shd w:val="clear" w:color="auto" w:fill="auto"/>
            <w:vAlign w:val="bottom"/>
          </w:tcPr>
          <w:p w14:paraId="74DDD6D1" w14:textId="77777777" w:rsidR="00584EC1" w:rsidRDefault="00584EC1">
            <w:pPr>
              <w:rPr>
                <w:rFonts w:ascii="宋体"/>
                <w:vanish/>
              </w:rPr>
            </w:pPr>
          </w:p>
        </w:tc>
        <w:tc>
          <w:tcPr>
            <w:tcW w:w="0" w:type="auto"/>
            <w:gridSpan w:val="3"/>
            <w:shd w:val="clear" w:color="auto" w:fill="auto"/>
            <w:vAlign w:val="bottom"/>
          </w:tcPr>
          <w:p w14:paraId="74DDD6D2" w14:textId="77777777" w:rsidR="00584EC1" w:rsidRDefault="00584EC1">
            <w:pPr>
              <w:rPr>
                <w:rFonts w:ascii="宋体"/>
                <w:vanish/>
              </w:rPr>
            </w:pPr>
          </w:p>
        </w:tc>
        <w:tc>
          <w:tcPr>
            <w:tcW w:w="0" w:type="auto"/>
            <w:gridSpan w:val="3"/>
            <w:shd w:val="clear" w:color="auto" w:fill="auto"/>
            <w:vAlign w:val="bottom"/>
          </w:tcPr>
          <w:p w14:paraId="74DDD6D3" w14:textId="77777777" w:rsidR="00584EC1" w:rsidRDefault="00584EC1">
            <w:pPr>
              <w:rPr>
                <w:rFonts w:ascii="宋体"/>
                <w:vanish/>
              </w:rPr>
            </w:pPr>
          </w:p>
        </w:tc>
        <w:tc>
          <w:tcPr>
            <w:tcW w:w="0" w:type="auto"/>
            <w:gridSpan w:val="3"/>
            <w:shd w:val="clear" w:color="auto" w:fill="auto"/>
            <w:vAlign w:val="bottom"/>
          </w:tcPr>
          <w:p w14:paraId="74DDD6D4" w14:textId="77777777" w:rsidR="00584EC1" w:rsidRDefault="00584EC1">
            <w:pPr>
              <w:rPr>
                <w:rFonts w:ascii="宋体"/>
                <w:vanish/>
              </w:rPr>
            </w:pPr>
          </w:p>
        </w:tc>
        <w:tc>
          <w:tcPr>
            <w:tcW w:w="0" w:type="auto"/>
            <w:gridSpan w:val="3"/>
            <w:shd w:val="clear" w:color="auto" w:fill="auto"/>
            <w:vAlign w:val="bottom"/>
          </w:tcPr>
          <w:p w14:paraId="74DDD6D5" w14:textId="77777777" w:rsidR="00584EC1" w:rsidRDefault="00584EC1">
            <w:pPr>
              <w:rPr>
                <w:rFonts w:ascii="宋体"/>
                <w:vanish/>
              </w:rPr>
            </w:pPr>
          </w:p>
        </w:tc>
        <w:tc>
          <w:tcPr>
            <w:tcW w:w="0" w:type="auto"/>
            <w:gridSpan w:val="3"/>
            <w:shd w:val="clear" w:color="auto" w:fill="auto"/>
            <w:vAlign w:val="bottom"/>
          </w:tcPr>
          <w:p w14:paraId="74DDD6D6" w14:textId="77777777" w:rsidR="00584EC1" w:rsidRDefault="00584EC1">
            <w:pPr>
              <w:rPr>
                <w:rFonts w:ascii="宋体"/>
                <w:vanish/>
              </w:rPr>
            </w:pPr>
          </w:p>
        </w:tc>
      </w:tr>
      <w:tr w:rsidR="00584EC1" w14:paraId="74DDD6E4" w14:textId="77777777">
        <w:trPr>
          <w:hidden/>
        </w:trPr>
        <w:tc>
          <w:tcPr>
            <w:tcW w:w="0" w:type="auto"/>
            <w:gridSpan w:val="3"/>
            <w:shd w:val="clear" w:color="auto" w:fill="auto"/>
            <w:vAlign w:val="bottom"/>
          </w:tcPr>
          <w:p w14:paraId="74DDD6D8" w14:textId="77777777" w:rsidR="00584EC1" w:rsidRDefault="00584EC1">
            <w:pPr>
              <w:rPr>
                <w:rFonts w:ascii="宋体"/>
                <w:vanish/>
              </w:rPr>
            </w:pPr>
          </w:p>
        </w:tc>
        <w:tc>
          <w:tcPr>
            <w:tcW w:w="0" w:type="auto"/>
            <w:gridSpan w:val="3"/>
            <w:shd w:val="clear" w:color="auto" w:fill="auto"/>
            <w:vAlign w:val="bottom"/>
          </w:tcPr>
          <w:p w14:paraId="74DDD6D9" w14:textId="77777777" w:rsidR="00584EC1" w:rsidRDefault="00584EC1">
            <w:pPr>
              <w:rPr>
                <w:rFonts w:ascii="宋体"/>
                <w:vanish/>
              </w:rPr>
            </w:pPr>
          </w:p>
        </w:tc>
        <w:tc>
          <w:tcPr>
            <w:tcW w:w="0" w:type="auto"/>
            <w:gridSpan w:val="3"/>
            <w:shd w:val="clear" w:color="auto" w:fill="auto"/>
            <w:vAlign w:val="bottom"/>
          </w:tcPr>
          <w:p w14:paraId="74DDD6DA" w14:textId="77777777" w:rsidR="00584EC1" w:rsidRDefault="00584EC1">
            <w:pPr>
              <w:rPr>
                <w:rFonts w:ascii="宋体"/>
                <w:vanish/>
              </w:rPr>
            </w:pPr>
          </w:p>
        </w:tc>
        <w:tc>
          <w:tcPr>
            <w:tcW w:w="0" w:type="auto"/>
            <w:gridSpan w:val="3"/>
            <w:shd w:val="clear" w:color="auto" w:fill="auto"/>
            <w:vAlign w:val="bottom"/>
          </w:tcPr>
          <w:p w14:paraId="74DDD6DB" w14:textId="77777777" w:rsidR="00584EC1" w:rsidRDefault="00584EC1">
            <w:pPr>
              <w:rPr>
                <w:rFonts w:ascii="宋体"/>
                <w:vanish/>
              </w:rPr>
            </w:pPr>
          </w:p>
        </w:tc>
        <w:tc>
          <w:tcPr>
            <w:tcW w:w="0" w:type="auto"/>
            <w:gridSpan w:val="3"/>
            <w:shd w:val="clear" w:color="auto" w:fill="auto"/>
            <w:vAlign w:val="bottom"/>
          </w:tcPr>
          <w:p w14:paraId="74DDD6DC" w14:textId="77777777" w:rsidR="00584EC1" w:rsidRDefault="00584EC1">
            <w:pPr>
              <w:rPr>
                <w:rFonts w:ascii="宋体"/>
                <w:vanish/>
              </w:rPr>
            </w:pPr>
          </w:p>
        </w:tc>
        <w:tc>
          <w:tcPr>
            <w:tcW w:w="0" w:type="auto"/>
            <w:gridSpan w:val="3"/>
            <w:shd w:val="clear" w:color="auto" w:fill="auto"/>
            <w:vAlign w:val="bottom"/>
          </w:tcPr>
          <w:p w14:paraId="74DDD6DD" w14:textId="77777777" w:rsidR="00584EC1" w:rsidRDefault="00584EC1">
            <w:pPr>
              <w:rPr>
                <w:rFonts w:ascii="宋体"/>
                <w:vanish/>
              </w:rPr>
            </w:pPr>
          </w:p>
        </w:tc>
        <w:tc>
          <w:tcPr>
            <w:tcW w:w="0" w:type="auto"/>
            <w:gridSpan w:val="3"/>
            <w:shd w:val="clear" w:color="auto" w:fill="auto"/>
            <w:vAlign w:val="bottom"/>
          </w:tcPr>
          <w:p w14:paraId="74DDD6DE" w14:textId="77777777" w:rsidR="00584EC1" w:rsidRDefault="00584EC1">
            <w:pPr>
              <w:rPr>
                <w:rFonts w:ascii="宋体"/>
                <w:vanish/>
              </w:rPr>
            </w:pPr>
          </w:p>
        </w:tc>
        <w:tc>
          <w:tcPr>
            <w:tcW w:w="0" w:type="auto"/>
            <w:gridSpan w:val="3"/>
            <w:shd w:val="clear" w:color="auto" w:fill="auto"/>
            <w:vAlign w:val="bottom"/>
          </w:tcPr>
          <w:p w14:paraId="74DDD6DF" w14:textId="77777777" w:rsidR="00584EC1" w:rsidRDefault="00584EC1">
            <w:pPr>
              <w:rPr>
                <w:rFonts w:ascii="宋体"/>
                <w:vanish/>
              </w:rPr>
            </w:pPr>
          </w:p>
        </w:tc>
        <w:tc>
          <w:tcPr>
            <w:tcW w:w="0" w:type="auto"/>
            <w:gridSpan w:val="3"/>
            <w:shd w:val="clear" w:color="auto" w:fill="auto"/>
            <w:vAlign w:val="bottom"/>
          </w:tcPr>
          <w:p w14:paraId="74DDD6E0" w14:textId="77777777" w:rsidR="00584EC1" w:rsidRDefault="00584EC1">
            <w:pPr>
              <w:rPr>
                <w:rFonts w:ascii="宋体"/>
                <w:vanish/>
              </w:rPr>
            </w:pPr>
          </w:p>
        </w:tc>
        <w:tc>
          <w:tcPr>
            <w:tcW w:w="0" w:type="auto"/>
            <w:gridSpan w:val="3"/>
            <w:shd w:val="clear" w:color="auto" w:fill="auto"/>
            <w:vAlign w:val="bottom"/>
          </w:tcPr>
          <w:p w14:paraId="74DDD6E1" w14:textId="77777777" w:rsidR="00584EC1" w:rsidRDefault="00584EC1">
            <w:pPr>
              <w:rPr>
                <w:rFonts w:ascii="宋体"/>
                <w:vanish/>
              </w:rPr>
            </w:pPr>
          </w:p>
        </w:tc>
        <w:tc>
          <w:tcPr>
            <w:tcW w:w="0" w:type="auto"/>
            <w:gridSpan w:val="3"/>
            <w:shd w:val="clear" w:color="auto" w:fill="auto"/>
            <w:vAlign w:val="bottom"/>
          </w:tcPr>
          <w:p w14:paraId="74DDD6E2" w14:textId="77777777" w:rsidR="00584EC1" w:rsidRDefault="00584EC1">
            <w:pPr>
              <w:rPr>
                <w:rFonts w:ascii="宋体"/>
                <w:vanish/>
              </w:rPr>
            </w:pPr>
          </w:p>
        </w:tc>
        <w:tc>
          <w:tcPr>
            <w:tcW w:w="0" w:type="auto"/>
            <w:gridSpan w:val="3"/>
            <w:shd w:val="clear" w:color="auto" w:fill="auto"/>
            <w:vAlign w:val="bottom"/>
          </w:tcPr>
          <w:p w14:paraId="74DDD6E3" w14:textId="77777777" w:rsidR="00584EC1" w:rsidRDefault="00584EC1">
            <w:pPr>
              <w:rPr>
                <w:rFonts w:ascii="宋体"/>
                <w:vanish/>
              </w:rPr>
            </w:pPr>
          </w:p>
        </w:tc>
      </w:tr>
      <w:tr w:rsidR="00584EC1" w14:paraId="74DDD6F1" w14:textId="77777777">
        <w:trPr>
          <w:hidden/>
        </w:trPr>
        <w:tc>
          <w:tcPr>
            <w:tcW w:w="0" w:type="auto"/>
            <w:gridSpan w:val="3"/>
            <w:shd w:val="clear" w:color="auto" w:fill="auto"/>
            <w:vAlign w:val="bottom"/>
          </w:tcPr>
          <w:p w14:paraId="74DDD6E5" w14:textId="77777777" w:rsidR="00584EC1" w:rsidRDefault="00584EC1">
            <w:pPr>
              <w:rPr>
                <w:rFonts w:ascii="宋体"/>
                <w:vanish/>
              </w:rPr>
            </w:pPr>
          </w:p>
        </w:tc>
        <w:tc>
          <w:tcPr>
            <w:tcW w:w="0" w:type="auto"/>
            <w:gridSpan w:val="3"/>
            <w:shd w:val="clear" w:color="auto" w:fill="auto"/>
            <w:vAlign w:val="bottom"/>
          </w:tcPr>
          <w:p w14:paraId="74DDD6E6" w14:textId="77777777" w:rsidR="00584EC1" w:rsidRDefault="00584EC1">
            <w:pPr>
              <w:rPr>
                <w:rFonts w:ascii="宋体"/>
                <w:vanish/>
              </w:rPr>
            </w:pPr>
          </w:p>
        </w:tc>
        <w:tc>
          <w:tcPr>
            <w:tcW w:w="0" w:type="auto"/>
            <w:gridSpan w:val="3"/>
            <w:shd w:val="clear" w:color="auto" w:fill="auto"/>
            <w:vAlign w:val="bottom"/>
          </w:tcPr>
          <w:p w14:paraId="74DDD6E7" w14:textId="77777777" w:rsidR="00584EC1" w:rsidRDefault="00584EC1">
            <w:pPr>
              <w:rPr>
                <w:rFonts w:ascii="宋体"/>
                <w:vanish/>
              </w:rPr>
            </w:pPr>
          </w:p>
        </w:tc>
        <w:tc>
          <w:tcPr>
            <w:tcW w:w="0" w:type="auto"/>
            <w:gridSpan w:val="3"/>
            <w:shd w:val="clear" w:color="auto" w:fill="auto"/>
            <w:vAlign w:val="bottom"/>
          </w:tcPr>
          <w:p w14:paraId="74DDD6E8" w14:textId="77777777" w:rsidR="00584EC1" w:rsidRDefault="00584EC1">
            <w:pPr>
              <w:rPr>
                <w:rFonts w:ascii="宋体"/>
                <w:vanish/>
              </w:rPr>
            </w:pPr>
          </w:p>
        </w:tc>
        <w:tc>
          <w:tcPr>
            <w:tcW w:w="0" w:type="auto"/>
            <w:gridSpan w:val="3"/>
            <w:shd w:val="clear" w:color="auto" w:fill="auto"/>
            <w:vAlign w:val="bottom"/>
          </w:tcPr>
          <w:p w14:paraId="74DDD6E9" w14:textId="77777777" w:rsidR="00584EC1" w:rsidRDefault="00584EC1">
            <w:pPr>
              <w:rPr>
                <w:rFonts w:ascii="宋体"/>
                <w:vanish/>
              </w:rPr>
            </w:pPr>
          </w:p>
        </w:tc>
        <w:tc>
          <w:tcPr>
            <w:tcW w:w="0" w:type="auto"/>
            <w:gridSpan w:val="3"/>
            <w:shd w:val="clear" w:color="auto" w:fill="auto"/>
            <w:vAlign w:val="bottom"/>
          </w:tcPr>
          <w:p w14:paraId="74DDD6EA" w14:textId="77777777" w:rsidR="00584EC1" w:rsidRDefault="00584EC1">
            <w:pPr>
              <w:rPr>
                <w:rFonts w:ascii="宋体"/>
                <w:vanish/>
              </w:rPr>
            </w:pPr>
          </w:p>
        </w:tc>
        <w:tc>
          <w:tcPr>
            <w:tcW w:w="0" w:type="auto"/>
            <w:gridSpan w:val="3"/>
            <w:shd w:val="clear" w:color="auto" w:fill="auto"/>
            <w:vAlign w:val="bottom"/>
          </w:tcPr>
          <w:p w14:paraId="74DDD6EB" w14:textId="77777777" w:rsidR="00584EC1" w:rsidRDefault="00584EC1">
            <w:pPr>
              <w:rPr>
                <w:rFonts w:ascii="宋体"/>
                <w:vanish/>
              </w:rPr>
            </w:pPr>
          </w:p>
        </w:tc>
        <w:tc>
          <w:tcPr>
            <w:tcW w:w="0" w:type="auto"/>
            <w:gridSpan w:val="3"/>
            <w:shd w:val="clear" w:color="auto" w:fill="auto"/>
            <w:vAlign w:val="bottom"/>
          </w:tcPr>
          <w:p w14:paraId="74DDD6EC" w14:textId="77777777" w:rsidR="00584EC1" w:rsidRDefault="00584EC1">
            <w:pPr>
              <w:rPr>
                <w:rFonts w:ascii="宋体"/>
                <w:vanish/>
              </w:rPr>
            </w:pPr>
          </w:p>
        </w:tc>
        <w:tc>
          <w:tcPr>
            <w:tcW w:w="0" w:type="auto"/>
            <w:gridSpan w:val="3"/>
            <w:shd w:val="clear" w:color="auto" w:fill="auto"/>
            <w:vAlign w:val="bottom"/>
          </w:tcPr>
          <w:p w14:paraId="74DDD6ED" w14:textId="77777777" w:rsidR="00584EC1" w:rsidRDefault="00584EC1">
            <w:pPr>
              <w:rPr>
                <w:rFonts w:ascii="宋体"/>
                <w:vanish/>
              </w:rPr>
            </w:pPr>
          </w:p>
        </w:tc>
        <w:tc>
          <w:tcPr>
            <w:tcW w:w="0" w:type="auto"/>
            <w:gridSpan w:val="3"/>
            <w:shd w:val="clear" w:color="auto" w:fill="auto"/>
            <w:vAlign w:val="bottom"/>
          </w:tcPr>
          <w:p w14:paraId="74DDD6EE" w14:textId="77777777" w:rsidR="00584EC1" w:rsidRDefault="00584EC1">
            <w:pPr>
              <w:rPr>
                <w:rFonts w:ascii="宋体"/>
                <w:vanish/>
              </w:rPr>
            </w:pPr>
          </w:p>
        </w:tc>
        <w:tc>
          <w:tcPr>
            <w:tcW w:w="0" w:type="auto"/>
            <w:gridSpan w:val="3"/>
            <w:shd w:val="clear" w:color="auto" w:fill="auto"/>
            <w:vAlign w:val="bottom"/>
          </w:tcPr>
          <w:p w14:paraId="74DDD6EF" w14:textId="77777777" w:rsidR="00584EC1" w:rsidRDefault="00584EC1">
            <w:pPr>
              <w:rPr>
                <w:rFonts w:ascii="宋体"/>
                <w:vanish/>
              </w:rPr>
            </w:pPr>
          </w:p>
        </w:tc>
        <w:tc>
          <w:tcPr>
            <w:tcW w:w="0" w:type="auto"/>
            <w:gridSpan w:val="3"/>
            <w:shd w:val="clear" w:color="auto" w:fill="auto"/>
            <w:vAlign w:val="bottom"/>
          </w:tcPr>
          <w:p w14:paraId="74DDD6F0" w14:textId="77777777" w:rsidR="00584EC1" w:rsidRDefault="00584EC1">
            <w:pPr>
              <w:rPr>
                <w:rFonts w:ascii="宋体"/>
                <w:vanish/>
              </w:rPr>
            </w:pPr>
          </w:p>
        </w:tc>
      </w:tr>
      <w:tr w:rsidR="00584EC1" w14:paraId="74DDD6FE" w14:textId="77777777">
        <w:trPr>
          <w:hidden/>
        </w:trPr>
        <w:tc>
          <w:tcPr>
            <w:tcW w:w="0" w:type="auto"/>
            <w:gridSpan w:val="3"/>
            <w:shd w:val="clear" w:color="auto" w:fill="auto"/>
            <w:vAlign w:val="bottom"/>
          </w:tcPr>
          <w:p w14:paraId="74DDD6F2" w14:textId="77777777" w:rsidR="00584EC1" w:rsidRDefault="00584EC1">
            <w:pPr>
              <w:rPr>
                <w:rFonts w:ascii="宋体"/>
                <w:vanish/>
              </w:rPr>
            </w:pPr>
          </w:p>
        </w:tc>
        <w:tc>
          <w:tcPr>
            <w:tcW w:w="0" w:type="auto"/>
            <w:gridSpan w:val="3"/>
            <w:shd w:val="clear" w:color="auto" w:fill="auto"/>
            <w:vAlign w:val="bottom"/>
          </w:tcPr>
          <w:p w14:paraId="74DDD6F3" w14:textId="77777777" w:rsidR="00584EC1" w:rsidRDefault="00584EC1">
            <w:pPr>
              <w:rPr>
                <w:rFonts w:ascii="宋体"/>
                <w:vanish/>
              </w:rPr>
            </w:pPr>
          </w:p>
        </w:tc>
        <w:tc>
          <w:tcPr>
            <w:tcW w:w="0" w:type="auto"/>
            <w:gridSpan w:val="3"/>
            <w:shd w:val="clear" w:color="auto" w:fill="auto"/>
            <w:vAlign w:val="bottom"/>
          </w:tcPr>
          <w:p w14:paraId="74DDD6F4" w14:textId="77777777" w:rsidR="00584EC1" w:rsidRDefault="00584EC1">
            <w:pPr>
              <w:rPr>
                <w:rFonts w:ascii="宋体"/>
                <w:vanish/>
              </w:rPr>
            </w:pPr>
          </w:p>
        </w:tc>
        <w:tc>
          <w:tcPr>
            <w:tcW w:w="0" w:type="auto"/>
            <w:gridSpan w:val="3"/>
            <w:shd w:val="clear" w:color="auto" w:fill="auto"/>
            <w:vAlign w:val="bottom"/>
          </w:tcPr>
          <w:p w14:paraId="74DDD6F5" w14:textId="77777777" w:rsidR="00584EC1" w:rsidRDefault="00584EC1">
            <w:pPr>
              <w:rPr>
                <w:rFonts w:ascii="宋体"/>
                <w:vanish/>
              </w:rPr>
            </w:pPr>
          </w:p>
        </w:tc>
        <w:tc>
          <w:tcPr>
            <w:tcW w:w="0" w:type="auto"/>
            <w:gridSpan w:val="3"/>
            <w:shd w:val="clear" w:color="auto" w:fill="auto"/>
            <w:vAlign w:val="bottom"/>
          </w:tcPr>
          <w:p w14:paraId="74DDD6F6" w14:textId="77777777" w:rsidR="00584EC1" w:rsidRDefault="00584EC1">
            <w:pPr>
              <w:rPr>
                <w:rFonts w:ascii="宋体"/>
                <w:vanish/>
              </w:rPr>
            </w:pPr>
          </w:p>
        </w:tc>
        <w:tc>
          <w:tcPr>
            <w:tcW w:w="0" w:type="auto"/>
            <w:gridSpan w:val="3"/>
            <w:shd w:val="clear" w:color="auto" w:fill="auto"/>
            <w:vAlign w:val="bottom"/>
          </w:tcPr>
          <w:p w14:paraId="74DDD6F7" w14:textId="77777777" w:rsidR="00584EC1" w:rsidRDefault="00584EC1">
            <w:pPr>
              <w:rPr>
                <w:rFonts w:ascii="宋体"/>
                <w:vanish/>
              </w:rPr>
            </w:pPr>
          </w:p>
        </w:tc>
        <w:tc>
          <w:tcPr>
            <w:tcW w:w="0" w:type="auto"/>
            <w:gridSpan w:val="3"/>
            <w:shd w:val="clear" w:color="auto" w:fill="auto"/>
            <w:vAlign w:val="bottom"/>
          </w:tcPr>
          <w:p w14:paraId="74DDD6F8" w14:textId="77777777" w:rsidR="00584EC1" w:rsidRDefault="00584EC1">
            <w:pPr>
              <w:rPr>
                <w:rFonts w:ascii="宋体"/>
                <w:vanish/>
              </w:rPr>
            </w:pPr>
          </w:p>
        </w:tc>
        <w:tc>
          <w:tcPr>
            <w:tcW w:w="0" w:type="auto"/>
            <w:gridSpan w:val="3"/>
            <w:shd w:val="clear" w:color="auto" w:fill="auto"/>
            <w:vAlign w:val="bottom"/>
          </w:tcPr>
          <w:p w14:paraId="74DDD6F9" w14:textId="77777777" w:rsidR="00584EC1" w:rsidRDefault="00584EC1">
            <w:pPr>
              <w:rPr>
                <w:rFonts w:ascii="宋体"/>
                <w:vanish/>
              </w:rPr>
            </w:pPr>
          </w:p>
        </w:tc>
        <w:tc>
          <w:tcPr>
            <w:tcW w:w="0" w:type="auto"/>
            <w:gridSpan w:val="3"/>
            <w:shd w:val="clear" w:color="auto" w:fill="auto"/>
            <w:vAlign w:val="bottom"/>
          </w:tcPr>
          <w:p w14:paraId="74DDD6FA" w14:textId="77777777" w:rsidR="00584EC1" w:rsidRDefault="00584EC1">
            <w:pPr>
              <w:rPr>
                <w:rFonts w:ascii="宋体"/>
                <w:vanish/>
              </w:rPr>
            </w:pPr>
          </w:p>
        </w:tc>
        <w:tc>
          <w:tcPr>
            <w:tcW w:w="0" w:type="auto"/>
            <w:gridSpan w:val="3"/>
            <w:shd w:val="clear" w:color="auto" w:fill="auto"/>
            <w:vAlign w:val="bottom"/>
          </w:tcPr>
          <w:p w14:paraId="74DDD6FB" w14:textId="77777777" w:rsidR="00584EC1" w:rsidRDefault="00584EC1">
            <w:pPr>
              <w:rPr>
                <w:rFonts w:ascii="宋体"/>
                <w:vanish/>
              </w:rPr>
            </w:pPr>
          </w:p>
        </w:tc>
        <w:tc>
          <w:tcPr>
            <w:tcW w:w="0" w:type="auto"/>
            <w:gridSpan w:val="3"/>
            <w:shd w:val="clear" w:color="auto" w:fill="auto"/>
            <w:vAlign w:val="bottom"/>
          </w:tcPr>
          <w:p w14:paraId="74DDD6FC" w14:textId="77777777" w:rsidR="00584EC1" w:rsidRDefault="00584EC1">
            <w:pPr>
              <w:rPr>
                <w:rFonts w:ascii="宋体"/>
                <w:vanish/>
              </w:rPr>
            </w:pPr>
          </w:p>
        </w:tc>
        <w:tc>
          <w:tcPr>
            <w:tcW w:w="0" w:type="auto"/>
            <w:gridSpan w:val="3"/>
            <w:shd w:val="clear" w:color="auto" w:fill="auto"/>
            <w:vAlign w:val="bottom"/>
          </w:tcPr>
          <w:p w14:paraId="74DDD6FD" w14:textId="77777777" w:rsidR="00584EC1" w:rsidRDefault="00584EC1">
            <w:pPr>
              <w:rPr>
                <w:rFonts w:ascii="宋体"/>
                <w:vanish/>
              </w:rPr>
            </w:pPr>
          </w:p>
        </w:tc>
      </w:tr>
    </w:tbl>
    <w:p w14:paraId="74DDD6FF" w14:textId="77777777" w:rsidR="00584EC1" w:rsidRDefault="00584EC1">
      <w:pPr>
        <w:ind w:firstLine="450"/>
        <w:jc w:val="center"/>
      </w:pPr>
    </w:p>
    <w:tbl>
      <w:tblPr>
        <w:tblW w:w="4985" w:type="pct"/>
        <w:tblCellMar>
          <w:top w:w="15" w:type="dxa"/>
          <w:left w:w="15" w:type="dxa"/>
          <w:bottom w:w="15" w:type="dxa"/>
          <w:right w:w="15" w:type="dxa"/>
        </w:tblCellMar>
        <w:tblLook w:val="04A0" w:firstRow="1" w:lastRow="0" w:firstColumn="1" w:lastColumn="0" w:noHBand="0" w:noVBand="1"/>
      </w:tblPr>
      <w:tblGrid>
        <w:gridCol w:w="39"/>
        <w:gridCol w:w="3337"/>
        <w:gridCol w:w="37"/>
        <w:gridCol w:w="98"/>
        <w:gridCol w:w="554"/>
        <w:gridCol w:w="36"/>
        <w:gridCol w:w="36"/>
        <w:gridCol w:w="36"/>
        <w:gridCol w:w="36"/>
        <w:gridCol w:w="99"/>
        <w:gridCol w:w="664"/>
        <w:gridCol w:w="36"/>
        <w:gridCol w:w="36"/>
        <w:gridCol w:w="36"/>
        <w:gridCol w:w="36"/>
        <w:gridCol w:w="98"/>
        <w:gridCol w:w="501"/>
        <w:gridCol w:w="36"/>
        <w:gridCol w:w="36"/>
        <w:gridCol w:w="36"/>
        <w:gridCol w:w="36"/>
        <w:gridCol w:w="99"/>
        <w:gridCol w:w="664"/>
        <w:gridCol w:w="36"/>
        <w:gridCol w:w="36"/>
        <w:gridCol w:w="36"/>
        <w:gridCol w:w="36"/>
        <w:gridCol w:w="98"/>
        <w:gridCol w:w="504"/>
        <w:gridCol w:w="36"/>
        <w:gridCol w:w="36"/>
        <w:gridCol w:w="36"/>
        <w:gridCol w:w="36"/>
        <w:gridCol w:w="99"/>
        <w:gridCol w:w="664"/>
        <w:gridCol w:w="36"/>
      </w:tblGrid>
      <w:tr w:rsidR="00584EC1" w14:paraId="74DDD724" w14:textId="77777777">
        <w:tc>
          <w:tcPr>
            <w:tcW w:w="50" w:type="pct"/>
            <w:shd w:val="clear" w:color="auto" w:fill="auto"/>
            <w:vAlign w:val="bottom"/>
          </w:tcPr>
          <w:p w14:paraId="74DDD700" w14:textId="77777777" w:rsidR="00584EC1" w:rsidRDefault="00584EC1">
            <w:pPr>
              <w:rPr>
                <w:rFonts w:ascii="宋体"/>
              </w:rPr>
            </w:pPr>
          </w:p>
        </w:tc>
        <w:tc>
          <w:tcPr>
            <w:tcW w:w="2034" w:type="pct"/>
            <w:shd w:val="clear" w:color="auto" w:fill="auto"/>
            <w:vAlign w:val="bottom"/>
          </w:tcPr>
          <w:p w14:paraId="74DDD701" w14:textId="77777777" w:rsidR="00584EC1" w:rsidRDefault="00584EC1">
            <w:pPr>
              <w:rPr>
                <w:rFonts w:ascii="宋体"/>
              </w:rPr>
            </w:pPr>
          </w:p>
        </w:tc>
        <w:tc>
          <w:tcPr>
            <w:tcW w:w="5" w:type="pct"/>
            <w:shd w:val="clear" w:color="auto" w:fill="auto"/>
            <w:vAlign w:val="bottom"/>
          </w:tcPr>
          <w:p w14:paraId="74DDD702" w14:textId="77777777" w:rsidR="00584EC1" w:rsidRDefault="00584EC1">
            <w:pPr>
              <w:rPr>
                <w:rFonts w:ascii="宋体"/>
              </w:rPr>
            </w:pPr>
          </w:p>
        </w:tc>
        <w:tc>
          <w:tcPr>
            <w:tcW w:w="50" w:type="pct"/>
            <w:shd w:val="clear" w:color="auto" w:fill="auto"/>
            <w:vAlign w:val="bottom"/>
          </w:tcPr>
          <w:p w14:paraId="74DDD703" w14:textId="77777777" w:rsidR="00584EC1" w:rsidRDefault="00584EC1">
            <w:pPr>
              <w:rPr>
                <w:rFonts w:ascii="宋体"/>
              </w:rPr>
            </w:pPr>
          </w:p>
        </w:tc>
        <w:tc>
          <w:tcPr>
            <w:tcW w:w="362" w:type="pct"/>
            <w:shd w:val="clear" w:color="auto" w:fill="auto"/>
            <w:vAlign w:val="bottom"/>
          </w:tcPr>
          <w:p w14:paraId="74DDD704" w14:textId="77777777" w:rsidR="00584EC1" w:rsidRDefault="00584EC1">
            <w:pPr>
              <w:rPr>
                <w:rFonts w:ascii="宋体"/>
              </w:rPr>
            </w:pPr>
          </w:p>
        </w:tc>
        <w:tc>
          <w:tcPr>
            <w:tcW w:w="5" w:type="pct"/>
            <w:shd w:val="clear" w:color="auto" w:fill="auto"/>
            <w:vAlign w:val="bottom"/>
          </w:tcPr>
          <w:p w14:paraId="74DDD705" w14:textId="77777777" w:rsidR="00584EC1" w:rsidRDefault="00584EC1">
            <w:pPr>
              <w:rPr>
                <w:rFonts w:ascii="宋体"/>
              </w:rPr>
            </w:pPr>
          </w:p>
        </w:tc>
        <w:tc>
          <w:tcPr>
            <w:tcW w:w="5" w:type="pct"/>
            <w:shd w:val="clear" w:color="auto" w:fill="auto"/>
            <w:vAlign w:val="bottom"/>
          </w:tcPr>
          <w:p w14:paraId="74DDD706" w14:textId="77777777" w:rsidR="00584EC1" w:rsidRDefault="00584EC1">
            <w:pPr>
              <w:rPr>
                <w:rFonts w:ascii="宋体"/>
              </w:rPr>
            </w:pPr>
          </w:p>
        </w:tc>
        <w:tc>
          <w:tcPr>
            <w:tcW w:w="26" w:type="pct"/>
            <w:shd w:val="clear" w:color="auto" w:fill="auto"/>
            <w:vAlign w:val="bottom"/>
          </w:tcPr>
          <w:p w14:paraId="74DDD707" w14:textId="77777777" w:rsidR="00584EC1" w:rsidRDefault="00584EC1">
            <w:pPr>
              <w:rPr>
                <w:rFonts w:ascii="宋体"/>
              </w:rPr>
            </w:pPr>
          </w:p>
        </w:tc>
        <w:tc>
          <w:tcPr>
            <w:tcW w:w="5" w:type="pct"/>
            <w:shd w:val="clear" w:color="auto" w:fill="auto"/>
            <w:vAlign w:val="bottom"/>
          </w:tcPr>
          <w:p w14:paraId="74DDD708" w14:textId="77777777" w:rsidR="00584EC1" w:rsidRDefault="00584EC1">
            <w:pPr>
              <w:rPr>
                <w:rFonts w:ascii="宋体"/>
              </w:rPr>
            </w:pPr>
          </w:p>
        </w:tc>
        <w:tc>
          <w:tcPr>
            <w:tcW w:w="50" w:type="pct"/>
            <w:shd w:val="clear" w:color="auto" w:fill="auto"/>
            <w:vAlign w:val="bottom"/>
          </w:tcPr>
          <w:p w14:paraId="74DDD709" w14:textId="77777777" w:rsidR="00584EC1" w:rsidRDefault="00584EC1">
            <w:pPr>
              <w:rPr>
                <w:rFonts w:ascii="宋体"/>
              </w:rPr>
            </w:pPr>
          </w:p>
        </w:tc>
        <w:tc>
          <w:tcPr>
            <w:tcW w:w="436" w:type="pct"/>
            <w:shd w:val="clear" w:color="auto" w:fill="auto"/>
            <w:vAlign w:val="bottom"/>
          </w:tcPr>
          <w:p w14:paraId="74DDD70A" w14:textId="77777777" w:rsidR="00584EC1" w:rsidRDefault="00584EC1">
            <w:pPr>
              <w:rPr>
                <w:rFonts w:ascii="宋体"/>
              </w:rPr>
            </w:pPr>
          </w:p>
        </w:tc>
        <w:tc>
          <w:tcPr>
            <w:tcW w:w="5" w:type="pct"/>
            <w:shd w:val="clear" w:color="auto" w:fill="auto"/>
            <w:vAlign w:val="bottom"/>
          </w:tcPr>
          <w:p w14:paraId="74DDD70B" w14:textId="77777777" w:rsidR="00584EC1" w:rsidRDefault="00584EC1">
            <w:pPr>
              <w:rPr>
                <w:rFonts w:ascii="宋体"/>
              </w:rPr>
            </w:pPr>
          </w:p>
        </w:tc>
        <w:tc>
          <w:tcPr>
            <w:tcW w:w="5" w:type="pct"/>
            <w:shd w:val="clear" w:color="auto" w:fill="auto"/>
            <w:vAlign w:val="bottom"/>
          </w:tcPr>
          <w:p w14:paraId="74DDD70C" w14:textId="77777777" w:rsidR="00584EC1" w:rsidRDefault="00584EC1">
            <w:pPr>
              <w:rPr>
                <w:rFonts w:ascii="宋体"/>
              </w:rPr>
            </w:pPr>
          </w:p>
        </w:tc>
        <w:tc>
          <w:tcPr>
            <w:tcW w:w="26" w:type="pct"/>
            <w:shd w:val="clear" w:color="auto" w:fill="auto"/>
            <w:vAlign w:val="bottom"/>
          </w:tcPr>
          <w:p w14:paraId="74DDD70D" w14:textId="77777777" w:rsidR="00584EC1" w:rsidRDefault="00584EC1">
            <w:pPr>
              <w:rPr>
                <w:rFonts w:ascii="宋体"/>
              </w:rPr>
            </w:pPr>
          </w:p>
        </w:tc>
        <w:tc>
          <w:tcPr>
            <w:tcW w:w="5" w:type="pct"/>
            <w:shd w:val="clear" w:color="auto" w:fill="auto"/>
            <w:vAlign w:val="bottom"/>
          </w:tcPr>
          <w:p w14:paraId="74DDD70E" w14:textId="77777777" w:rsidR="00584EC1" w:rsidRDefault="00584EC1">
            <w:pPr>
              <w:rPr>
                <w:rFonts w:ascii="宋体"/>
              </w:rPr>
            </w:pPr>
          </w:p>
        </w:tc>
        <w:tc>
          <w:tcPr>
            <w:tcW w:w="50" w:type="pct"/>
            <w:shd w:val="clear" w:color="auto" w:fill="auto"/>
            <w:vAlign w:val="bottom"/>
          </w:tcPr>
          <w:p w14:paraId="74DDD70F" w14:textId="77777777" w:rsidR="00584EC1" w:rsidRDefault="00584EC1">
            <w:pPr>
              <w:rPr>
                <w:rFonts w:ascii="宋体"/>
              </w:rPr>
            </w:pPr>
          </w:p>
        </w:tc>
        <w:tc>
          <w:tcPr>
            <w:tcW w:w="362" w:type="pct"/>
            <w:shd w:val="clear" w:color="auto" w:fill="auto"/>
            <w:vAlign w:val="bottom"/>
          </w:tcPr>
          <w:p w14:paraId="74DDD710" w14:textId="77777777" w:rsidR="00584EC1" w:rsidRDefault="00584EC1">
            <w:pPr>
              <w:rPr>
                <w:rFonts w:ascii="宋体"/>
              </w:rPr>
            </w:pPr>
          </w:p>
        </w:tc>
        <w:tc>
          <w:tcPr>
            <w:tcW w:w="5" w:type="pct"/>
            <w:shd w:val="clear" w:color="auto" w:fill="auto"/>
            <w:vAlign w:val="bottom"/>
          </w:tcPr>
          <w:p w14:paraId="74DDD711" w14:textId="77777777" w:rsidR="00584EC1" w:rsidRDefault="00584EC1">
            <w:pPr>
              <w:rPr>
                <w:rFonts w:ascii="宋体"/>
              </w:rPr>
            </w:pPr>
          </w:p>
        </w:tc>
        <w:tc>
          <w:tcPr>
            <w:tcW w:w="5" w:type="pct"/>
            <w:shd w:val="clear" w:color="auto" w:fill="auto"/>
            <w:vAlign w:val="bottom"/>
          </w:tcPr>
          <w:p w14:paraId="74DDD712" w14:textId="77777777" w:rsidR="00584EC1" w:rsidRDefault="00584EC1">
            <w:pPr>
              <w:rPr>
                <w:rFonts w:ascii="宋体"/>
              </w:rPr>
            </w:pPr>
          </w:p>
        </w:tc>
        <w:tc>
          <w:tcPr>
            <w:tcW w:w="26" w:type="pct"/>
            <w:shd w:val="clear" w:color="auto" w:fill="auto"/>
            <w:vAlign w:val="bottom"/>
          </w:tcPr>
          <w:p w14:paraId="74DDD713" w14:textId="77777777" w:rsidR="00584EC1" w:rsidRDefault="00584EC1">
            <w:pPr>
              <w:rPr>
                <w:rFonts w:ascii="宋体"/>
              </w:rPr>
            </w:pPr>
          </w:p>
        </w:tc>
        <w:tc>
          <w:tcPr>
            <w:tcW w:w="5" w:type="pct"/>
            <w:shd w:val="clear" w:color="auto" w:fill="auto"/>
            <w:vAlign w:val="bottom"/>
          </w:tcPr>
          <w:p w14:paraId="74DDD714" w14:textId="77777777" w:rsidR="00584EC1" w:rsidRDefault="00584EC1">
            <w:pPr>
              <w:rPr>
                <w:rFonts w:ascii="宋体"/>
              </w:rPr>
            </w:pPr>
          </w:p>
        </w:tc>
        <w:tc>
          <w:tcPr>
            <w:tcW w:w="50" w:type="pct"/>
            <w:shd w:val="clear" w:color="auto" w:fill="auto"/>
            <w:vAlign w:val="bottom"/>
          </w:tcPr>
          <w:p w14:paraId="74DDD715" w14:textId="77777777" w:rsidR="00584EC1" w:rsidRDefault="00584EC1">
            <w:pPr>
              <w:rPr>
                <w:rFonts w:ascii="宋体"/>
              </w:rPr>
            </w:pPr>
          </w:p>
        </w:tc>
        <w:tc>
          <w:tcPr>
            <w:tcW w:w="436" w:type="pct"/>
            <w:shd w:val="clear" w:color="auto" w:fill="auto"/>
            <w:vAlign w:val="bottom"/>
          </w:tcPr>
          <w:p w14:paraId="74DDD716" w14:textId="77777777" w:rsidR="00584EC1" w:rsidRDefault="00584EC1">
            <w:pPr>
              <w:rPr>
                <w:rFonts w:ascii="宋体"/>
              </w:rPr>
            </w:pPr>
          </w:p>
        </w:tc>
        <w:tc>
          <w:tcPr>
            <w:tcW w:w="5" w:type="pct"/>
            <w:shd w:val="clear" w:color="auto" w:fill="auto"/>
            <w:vAlign w:val="bottom"/>
          </w:tcPr>
          <w:p w14:paraId="74DDD717" w14:textId="77777777" w:rsidR="00584EC1" w:rsidRDefault="00584EC1">
            <w:pPr>
              <w:rPr>
                <w:rFonts w:ascii="宋体"/>
              </w:rPr>
            </w:pPr>
          </w:p>
        </w:tc>
        <w:tc>
          <w:tcPr>
            <w:tcW w:w="5" w:type="pct"/>
            <w:shd w:val="clear" w:color="auto" w:fill="auto"/>
            <w:vAlign w:val="bottom"/>
          </w:tcPr>
          <w:p w14:paraId="74DDD718" w14:textId="77777777" w:rsidR="00584EC1" w:rsidRDefault="00584EC1">
            <w:pPr>
              <w:rPr>
                <w:rFonts w:ascii="宋体"/>
              </w:rPr>
            </w:pPr>
          </w:p>
        </w:tc>
        <w:tc>
          <w:tcPr>
            <w:tcW w:w="26" w:type="pct"/>
            <w:shd w:val="clear" w:color="auto" w:fill="auto"/>
            <w:vAlign w:val="bottom"/>
          </w:tcPr>
          <w:p w14:paraId="74DDD719" w14:textId="77777777" w:rsidR="00584EC1" w:rsidRDefault="00584EC1">
            <w:pPr>
              <w:rPr>
                <w:rFonts w:ascii="宋体"/>
              </w:rPr>
            </w:pPr>
          </w:p>
        </w:tc>
        <w:tc>
          <w:tcPr>
            <w:tcW w:w="5" w:type="pct"/>
            <w:shd w:val="clear" w:color="auto" w:fill="auto"/>
            <w:vAlign w:val="bottom"/>
          </w:tcPr>
          <w:p w14:paraId="74DDD71A" w14:textId="77777777" w:rsidR="00584EC1" w:rsidRDefault="00584EC1">
            <w:pPr>
              <w:rPr>
                <w:rFonts w:ascii="宋体"/>
              </w:rPr>
            </w:pPr>
          </w:p>
        </w:tc>
        <w:tc>
          <w:tcPr>
            <w:tcW w:w="50" w:type="pct"/>
            <w:shd w:val="clear" w:color="auto" w:fill="auto"/>
            <w:vAlign w:val="bottom"/>
          </w:tcPr>
          <w:p w14:paraId="74DDD71B" w14:textId="77777777" w:rsidR="00584EC1" w:rsidRDefault="00584EC1">
            <w:pPr>
              <w:rPr>
                <w:rFonts w:ascii="宋体"/>
              </w:rPr>
            </w:pPr>
          </w:p>
        </w:tc>
        <w:tc>
          <w:tcPr>
            <w:tcW w:w="362" w:type="pct"/>
            <w:shd w:val="clear" w:color="auto" w:fill="auto"/>
            <w:vAlign w:val="bottom"/>
          </w:tcPr>
          <w:p w14:paraId="74DDD71C" w14:textId="77777777" w:rsidR="00584EC1" w:rsidRDefault="00584EC1">
            <w:pPr>
              <w:rPr>
                <w:rFonts w:ascii="宋体"/>
              </w:rPr>
            </w:pPr>
          </w:p>
        </w:tc>
        <w:tc>
          <w:tcPr>
            <w:tcW w:w="5" w:type="pct"/>
            <w:shd w:val="clear" w:color="auto" w:fill="auto"/>
            <w:vAlign w:val="bottom"/>
          </w:tcPr>
          <w:p w14:paraId="74DDD71D" w14:textId="77777777" w:rsidR="00584EC1" w:rsidRDefault="00584EC1">
            <w:pPr>
              <w:rPr>
                <w:rFonts w:ascii="宋体"/>
              </w:rPr>
            </w:pPr>
          </w:p>
        </w:tc>
        <w:tc>
          <w:tcPr>
            <w:tcW w:w="5" w:type="pct"/>
            <w:shd w:val="clear" w:color="auto" w:fill="auto"/>
            <w:vAlign w:val="bottom"/>
          </w:tcPr>
          <w:p w14:paraId="74DDD71E" w14:textId="77777777" w:rsidR="00584EC1" w:rsidRDefault="00584EC1">
            <w:pPr>
              <w:rPr>
                <w:rFonts w:ascii="宋体"/>
              </w:rPr>
            </w:pPr>
          </w:p>
        </w:tc>
        <w:tc>
          <w:tcPr>
            <w:tcW w:w="26" w:type="pct"/>
            <w:shd w:val="clear" w:color="auto" w:fill="auto"/>
            <w:vAlign w:val="bottom"/>
          </w:tcPr>
          <w:p w14:paraId="74DDD71F" w14:textId="77777777" w:rsidR="00584EC1" w:rsidRDefault="00584EC1">
            <w:pPr>
              <w:rPr>
                <w:rFonts w:ascii="宋体"/>
              </w:rPr>
            </w:pPr>
          </w:p>
        </w:tc>
        <w:tc>
          <w:tcPr>
            <w:tcW w:w="5" w:type="pct"/>
            <w:shd w:val="clear" w:color="auto" w:fill="auto"/>
            <w:vAlign w:val="bottom"/>
          </w:tcPr>
          <w:p w14:paraId="74DDD720" w14:textId="77777777" w:rsidR="00584EC1" w:rsidRDefault="00584EC1">
            <w:pPr>
              <w:rPr>
                <w:rFonts w:ascii="宋体"/>
              </w:rPr>
            </w:pPr>
          </w:p>
        </w:tc>
        <w:tc>
          <w:tcPr>
            <w:tcW w:w="50" w:type="pct"/>
            <w:shd w:val="clear" w:color="auto" w:fill="auto"/>
            <w:vAlign w:val="bottom"/>
          </w:tcPr>
          <w:p w14:paraId="74DDD721" w14:textId="77777777" w:rsidR="00584EC1" w:rsidRDefault="00584EC1">
            <w:pPr>
              <w:rPr>
                <w:rFonts w:ascii="宋体"/>
              </w:rPr>
            </w:pPr>
          </w:p>
        </w:tc>
        <w:tc>
          <w:tcPr>
            <w:tcW w:w="436" w:type="pct"/>
            <w:shd w:val="clear" w:color="auto" w:fill="auto"/>
            <w:vAlign w:val="bottom"/>
          </w:tcPr>
          <w:p w14:paraId="74DDD722" w14:textId="77777777" w:rsidR="00584EC1" w:rsidRDefault="00584EC1">
            <w:pPr>
              <w:rPr>
                <w:rFonts w:ascii="宋体"/>
              </w:rPr>
            </w:pPr>
          </w:p>
        </w:tc>
        <w:tc>
          <w:tcPr>
            <w:tcW w:w="5" w:type="pct"/>
            <w:shd w:val="clear" w:color="auto" w:fill="auto"/>
            <w:vAlign w:val="bottom"/>
          </w:tcPr>
          <w:p w14:paraId="74DDD723" w14:textId="77777777" w:rsidR="00584EC1" w:rsidRDefault="00584EC1">
            <w:pPr>
              <w:rPr>
                <w:rFonts w:ascii="宋体"/>
              </w:rPr>
            </w:pPr>
          </w:p>
        </w:tc>
      </w:tr>
      <w:tr w:rsidR="00584EC1" w14:paraId="74DDD727" w14:textId="77777777">
        <w:tc>
          <w:tcPr>
            <w:tcW w:w="0" w:type="auto"/>
            <w:gridSpan w:val="3"/>
            <w:shd w:val="clear" w:color="auto" w:fill="auto"/>
            <w:tcMar>
              <w:top w:w="0" w:type="dxa"/>
              <w:left w:w="20" w:type="dxa"/>
              <w:bottom w:w="0" w:type="dxa"/>
              <w:right w:w="20" w:type="dxa"/>
            </w:tcMar>
            <w:vAlign w:val="bottom"/>
          </w:tcPr>
          <w:p w14:paraId="74DDD725" w14:textId="77777777" w:rsidR="00584EC1" w:rsidRDefault="00584EC1">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74DDD726" w14:textId="77777777" w:rsidR="00584EC1" w:rsidRDefault="00871F8D">
            <w:pPr>
              <w:jc w:val="center"/>
              <w:textAlignment w:val="bottom"/>
            </w:pPr>
            <w:r>
              <w:rPr>
                <w:rFonts w:ascii="Arial" w:eastAsia="宋体" w:hAnsi="Arial" w:cs="Arial"/>
                <w:b/>
                <w:bCs/>
                <w:color w:val="000000"/>
                <w:sz w:val="14"/>
                <w:szCs w:val="14"/>
              </w:rPr>
              <w:t>As of December 31, 2020</w:t>
            </w:r>
          </w:p>
        </w:tc>
      </w:tr>
      <w:tr w:rsidR="00584EC1" w14:paraId="74DDD72E" w14:textId="77777777">
        <w:tc>
          <w:tcPr>
            <w:tcW w:w="0" w:type="auto"/>
            <w:gridSpan w:val="3"/>
            <w:shd w:val="clear" w:color="auto" w:fill="auto"/>
            <w:tcMar>
              <w:top w:w="0" w:type="dxa"/>
              <w:left w:w="20" w:type="dxa"/>
              <w:bottom w:w="0" w:type="dxa"/>
              <w:right w:w="20" w:type="dxa"/>
            </w:tcMar>
            <w:vAlign w:val="bottom"/>
          </w:tcPr>
          <w:p w14:paraId="74DDD728" w14:textId="77777777" w:rsidR="00584EC1" w:rsidRDefault="00584E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4DDD729" w14:textId="77777777" w:rsidR="00584EC1" w:rsidRDefault="00871F8D">
            <w:pPr>
              <w:jc w:val="center"/>
              <w:textAlignment w:val="bottom"/>
            </w:pPr>
            <w:r>
              <w:rPr>
                <w:rFonts w:ascii="Arial" w:eastAsia="宋体" w:hAnsi="Arial" w:cs="Arial"/>
                <w:b/>
                <w:bCs/>
                <w:color w:val="000000"/>
                <w:sz w:val="14"/>
                <w:szCs w:val="14"/>
              </w:rPr>
              <w:t>Less than 12 months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D72A" w14:textId="77777777" w:rsidR="00584EC1" w:rsidRDefault="00584E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4DDD72B" w14:textId="77777777" w:rsidR="00584EC1" w:rsidRDefault="00871F8D">
            <w:pPr>
              <w:jc w:val="center"/>
              <w:textAlignment w:val="bottom"/>
            </w:pPr>
            <w:r>
              <w:rPr>
                <w:rFonts w:ascii="Arial" w:eastAsia="宋体" w:hAnsi="Arial" w:cs="Arial"/>
                <w:b/>
                <w:bCs/>
                <w:color w:val="000000"/>
                <w:sz w:val="14"/>
                <w:szCs w:val="14"/>
              </w:rPr>
              <w:t>12 months or longer</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D72C" w14:textId="77777777" w:rsidR="00584EC1" w:rsidRDefault="00584E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4DDD72D" w14:textId="77777777" w:rsidR="00584EC1" w:rsidRDefault="00871F8D">
            <w:pPr>
              <w:jc w:val="center"/>
              <w:textAlignment w:val="bottom"/>
            </w:pPr>
            <w:r>
              <w:rPr>
                <w:rFonts w:ascii="Arial" w:eastAsia="宋体" w:hAnsi="Arial" w:cs="Arial"/>
                <w:b/>
                <w:bCs/>
                <w:color w:val="000000"/>
                <w:sz w:val="14"/>
                <w:szCs w:val="14"/>
              </w:rPr>
              <w:t>Total</w:t>
            </w:r>
          </w:p>
        </w:tc>
      </w:tr>
      <w:tr w:rsidR="00584EC1" w14:paraId="74DDD73B" w14:textId="77777777">
        <w:tc>
          <w:tcPr>
            <w:tcW w:w="0" w:type="auto"/>
            <w:gridSpan w:val="3"/>
            <w:shd w:val="clear" w:color="auto" w:fill="auto"/>
            <w:tcMar>
              <w:top w:w="40" w:type="dxa"/>
              <w:left w:w="20" w:type="dxa"/>
              <w:bottom w:w="40" w:type="dxa"/>
              <w:right w:w="20" w:type="dxa"/>
            </w:tcMar>
            <w:vAlign w:val="bottom"/>
          </w:tcPr>
          <w:p w14:paraId="74DDD72F" w14:textId="77777777" w:rsidR="00584EC1" w:rsidRDefault="00871F8D">
            <w:pPr>
              <w:textAlignment w:val="bottom"/>
            </w:pPr>
            <w:r>
              <w:rPr>
                <w:rFonts w:ascii="Arial" w:eastAsia="宋体" w:hAnsi="Arial" w:cs="Arial"/>
                <w:b/>
                <w:bCs/>
                <w:color w:val="000000"/>
                <w:sz w:val="14"/>
                <w:szCs w:val="14"/>
              </w:rPr>
              <w:t xml:space="preserve">(In </w:t>
            </w:r>
            <w:r>
              <w:rPr>
                <w:rFonts w:ascii="Arial" w:eastAsia="宋体" w:hAnsi="Arial" w:cs="Arial"/>
                <w:b/>
                <w:bCs/>
                <w:color w:val="000000"/>
                <w:sz w:val="14"/>
                <w:szCs w:val="14"/>
              </w:rPr>
              <w:t>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D730" w14:textId="77777777" w:rsidR="00584EC1" w:rsidRDefault="00871F8D">
            <w:pPr>
              <w:jc w:val="center"/>
              <w:textAlignment w:val="bottom"/>
            </w:pPr>
            <w:r>
              <w:rPr>
                <w:rFonts w:ascii="Arial" w:eastAsia="宋体" w:hAnsi="Arial" w:cs="Arial"/>
                <w:b/>
                <w:bCs/>
                <w:color w:val="000000"/>
                <w:sz w:val="14"/>
                <w:szCs w:val="14"/>
              </w:rPr>
              <w:t>Fair</w:t>
            </w:r>
            <w:r>
              <w:rPr>
                <w:rFonts w:ascii="Arial" w:eastAsia="宋体" w:hAnsi="Arial" w:cs="Arial"/>
                <w:b/>
                <w:bCs/>
                <w:color w:val="000000"/>
                <w:sz w:val="14"/>
                <w:szCs w:val="14"/>
              </w:rPr>
              <w:br/>
              <w:t>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D731"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D732" w14:textId="77777777" w:rsidR="00584EC1" w:rsidRDefault="00871F8D">
            <w:pPr>
              <w:jc w:val="center"/>
              <w:textAlignment w:val="bottom"/>
            </w:pPr>
            <w:r>
              <w:rPr>
                <w:rFonts w:ascii="Arial" w:eastAsia="宋体" w:hAnsi="Arial" w:cs="Arial"/>
                <w:b/>
                <w:bCs/>
                <w:color w:val="000000"/>
                <w:sz w:val="14"/>
                <w:szCs w:val="14"/>
              </w:rPr>
              <w:t>Gross</w:t>
            </w:r>
            <w:r>
              <w:rPr>
                <w:rFonts w:ascii="Arial" w:eastAsia="宋体" w:hAnsi="Arial" w:cs="Arial"/>
                <w:b/>
                <w:bCs/>
                <w:color w:val="000000"/>
                <w:sz w:val="14"/>
                <w:szCs w:val="14"/>
              </w:rPr>
              <w:br/>
              <w:t>Unrealized</w:t>
            </w:r>
            <w:r>
              <w:rPr>
                <w:rFonts w:ascii="Arial" w:eastAsia="宋体" w:hAnsi="Arial" w:cs="Arial"/>
                <w:b/>
                <w:bCs/>
                <w:color w:val="000000"/>
                <w:sz w:val="14"/>
                <w:szCs w:val="14"/>
              </w:rPr>
              <w:br/>
              <w:t>Losses</w:t>
            </w:r>
          </w:p>
        </w:tc>
        <w:tc>
          <w:tcPr>
            <w:tcW w:w="0" w:type="auto"/>
            <w:gridSpan w:val="3"/>
            <w:shd w:val="clear" w:color="auto" w:fill="auto"/>
            <w:tcMar>
              <w:top w:w="0" w:type="dxa"/>
              <w:left w:w="20" w:type="dxa"/>
              <w:bottom w:w="0" w:type="dxa"/>
              <w:right w:w="20" w:type="dxa"/>
            </w:tcMar>
            <w:vAlign w:val="bottom"/>
          </w:tcPr>
          <w:p w14:paraId="74DDD733"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D734" w14:textId="77777777" w:rsidR="00584EC1" w:rsidRDefault="00871F8D">
            <w:pPr>
              <w:jc w:val="center"/>
              <w:textAlignment w:val="bottom"/>
            </w:pPr>
            <w:r>
              <w:rPr>
                <w:rFonts w:ascii="Arial" w:eastAsia="宋体" w:hAnsi="Arial" w:cs="Arial"/>
                <w:b/>
                <w:bCs/>
                <w:color w:val="000000"/>
                <w:sz w:val="14"/>
                <w:szCs w:val="14"/>
              </w:rPr>
              <w:t>Fair</w:t>
            </w:r>
            <w:r>
              <w:rPr>
                <w:rFonts w:ascii="Arial" w:eastAsia="宋体" w:hAnsi="Arial" w:cs="Arial"/>
                <w:b/>
                <w:bCs/>
                <w:color w:val="000000"/>
                <w:sz w:val="14"/>
                <w:szCs w:val="14"/>
              </w:rPr>
              <w:br/>
              <w:t>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D735"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D736" w14:textId="77777777" w:rsidR="00584EC1" w:rsidRDefault="00871F8D">
            <w:pPr>
              <w:jc w:val="center"/>
              <w:textAlignment w:val="bottom"/>
            </w:pPr>
            <w:r>
              <w:rPr>
                <w:rFonts w:ascii="Arial" w:eastAsia="宋体" w:hAnsi="Arial" w:cs="Arial"/>
                <w:b/>
                <w:bCs/>
                <w:color w:val="000000"/>
                <w:sz w:val="14"/>
                <w:szCs w:val="14"/>
              </w:rPr>
              <w:t>Gross</w:t>
            </w:r>
            <w:r>
              <w:rPr>
                <w:rFonts w:ascii="Arial" w:eastAsia="宋体" w:hAnsi="Arial" w:cs="Arial"/>
                <w:b/>
                <w:bCs/>
                <w:color w:val="000000"/>
                <w:sz w:val="14"/>
                <w:szCs w:val="14"/>
              </w:rPr>
              <w:br/>
              <w:t>Unrealized</w:t>
            </w:r>
            <w:r>
              <w:rPr>
                <w:rFonts w:ascii="Arial" w:eastAsia="宋体" w:hAnsi="Arial" w:cs="Arial"/>
                <w:b/>
                <w:bCs/>
                <w:color w:val="000000"/>
                <w:sz w:val="14"/>
                <w:szCs w:val="14"/>
              </w:rPr>
              <w:br/>
              <w:t>Losses</w:t>
            </w:r>
          </w:p>
        </w:tc>
        <w:tc>
          <w:tcPr>
            <w:tcW w:w="0" w:type="auto"/>
            <w:gridSpan w:val="3"/>
            <w:shd w:val="clear" w:color="auto" w:fill="auto"/>
            <w:tcMar>
              <w:top w:w="0" w:type="dxa"/>
              <w:left w:w="20" w:type="dxa"/>
              <w:bottom w:w="0" w:type="dxa"/>
              <w:right w:w="20" w:type="dxa"/>
            </w:tcMar>
            <w:vAlign w:val="bottom"/>
          </w:tcPr>
          <w:p w14:paraId="74DDD737"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D738" w14:textId="77777777" w:rsidR="00584EC1" w:rsidRDefault="00871F8D">
            <w:pPr>
              <w:jc w:val="center"/>
              <w:textAlignment w:val="bottom"/>
            </w:pPr>
            <w:r>
              <w:rPr>
                <w:rFonts w:ascii="Arial" w:eastAsia="宋体" w:hAnsi="Arial" w:cs="Arial"/>
                <w:b/>
                <w:bCs/>
                <w:color w:val="000000"/>
                <w:sz w:val="14"/>
                <w:szCs w:val="14"/>
              </w:rPr>
              <w:t>Fair</w:t>
            </w:r>
            <w:r>
              <w:rPr>
                <w:rFonts w:ascii="Arial" w:eastAsia="宋体" w:hAnsi="Arial" w:cs="Arial"/>
                <w:b/>
                <w:bCs/>
                <w:color w:val="000000"/>
                <w:sz w:val="14"/>
                <w:szCs w:val="14"/>
              </w:rPr>
              <w:br/>
              <w:t>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D739"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D73A" w14:textId="77777777" w:rsidR="00584EC1" w:rsidRDefault="00871F8D">
            <w:pPr>
              <w:jc w:val="center"/>
              <w:textAlignment w:val="bottom"/>
            </w:pPr>
            <w:r>
              <w:rPr>
                <w:rFonts w:ascii="Arial" w:eastAsia="宋体" w:hAnsi="Arial" w:cs="Arial"/>
                <w:b/>
                <w:bCs/>
                <w:color w:val="000000"/>
                <w:sz w:val="14"/>
                <w:szCs w:val="14"/>
              </w:rPr>
              <w:t>Gross</w:t>
            </w:r>
            <w:r>
              <w:rPr>
                <w:rFonts w:ascii="Arial" w:eastAsia="宋体" w:hAnsi="Arial" w:cs="Arial"/>
                <w:b/>
                <w:bCs/>
                <w:color w:val="000000"/>
                <w:sz w:val="14"/>
                <w:szCs w:val="14"/>
              </w:rPr>
              <w:br/>
              <w:t>Unrealized</w:t>
            </w:r>
            <w:r>
              <w:rPr>
                <w:rFonts w:ascii="Arial" w:eastAsia="宋体" w:hAnsi="Arial" w:cs="Arial"/>
                <w:b/>
                <w:bCs/>
                <w:color w:val="000000"/>
                <w:sz w:val="14"/>
                <w:szCs w:val="14"/>
              </w:rPr>
              <w:br/>
              <w:t>Losses</w:t>
            </w:r>
          </w:p>
        </w:tc>
      </w:tr>
      <w:tr w:rsidR="00584EC1" w14:paraId="74DDD748" w14:textId="77777777">
        <w:tc>
          <w:tcPr>
            <w:tcW w:w="0" w:type="auto"/>
            <w:gridSpan w:val="3"/>
            <w:shd w:val="clear" w:color="auto" w:fill="auto"/>
            <w:tcMar>
              <w:top w:w="40" w:type="dxa"/>
              <w:left w:w="20" w:type="dxa"/>
              <w:bottom w:w="40" w:type="dxa"/>
              <w:right w:w="20" w:type="dxa"/>
            </w:tcMar>
            <w:vAlign w:val="bottom"/>
          </w:tcPr>
          <w:p w14:paraId="74DDD73C" w14:textId="77777777" w:rsidR="00584EC1" w:rsidRDefault="00871F8D">
            <w:pPr>
              <w:textAlignment w:val="bottom"/>
            </w:pPr>
            <w:r>
              <w:rPr>
                <w:rFonts w:ascii="Arial" w:eastAsia="宋体" w:hAnsi="Arial" w:cs="Arial"/>
                <w:b/>
                <w:bCs/>
                <w:color w:val="000000"/>
                <w:sz w:val="14"/>
                <w:szCs w:val="14"/>
              </w:rPr>
              <w:t>Ava</w:t>
            </w:r>
            <w:r>
              <w:rPr>
                <w:rFonts w:ascii="Arial" w:eastAsia="宋体" w:hAnsi="Arial" w:cs="Arial"/>
                <w:b/>
                <w:bCs/>
                <w:color w:val="000000"/>
                <w:sz w:val="14"/>
                <w:szCs w:val="14"/>
              </w:rPr>
              <w:t>ilable-for-sale: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D73D"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D73E"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D73F"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D740"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D74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D742"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D743"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D744"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D74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D746"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D747" w14:textId="77777777" w:rsidR="00584EC1" w:rsidRDefault="00584EC1">
            <w:pPr>
              <w:rPr>
                <w:rFonts w:ascii="宋体"/>
              </w:rPr>
            </w:pPr>
          </w:p>
        </w:tc>
      </w:tr>
      <w:tr w:rsidR="00584EC1" w14:paraId="74DDD755" w14:textId="77777777">
        <w:tc>
          <w:tcPr>
            <w:tcW w:w="0" w:type="auto"/>
            <w:gridSpan w:val="3"/>
            <w:shd w:val="clear" w:color="auto" w:fill="auto"/>
            <w:tcMar>
              <w:top w:w="40" w:type="dxa"/>
              <w:left w:w="20" w:type="dxa"/>
              <w:bottom w:w="40" w:type="dxa"/>
              <w:right w:w="20" w:type="dxa"/>
            </w:tcMar>
            <w:vAlign w:val="bottom"/>
          </w:tcPr>
          <w:p w14:paraId="74DDD749" w14:textId="77777777" w:rsidR="00584EC1" w:rsidRDefault="00871F8D">
            <w:pPr>
              <w:textAlignment w:val="bottom"/>
            </w:pPr>
            <w:r>
              <w:rPr>
                <w:rFonts w:ascii="Arial" w:eastAsia="宋体" w:hAnsi="Arial" w:cs="Arial"/>
                <w:color w:val="000000"/>
                <w:sz w:val="14"/>
                <w:szCs w:val="14"/>
              </w:rPr>
              <w:t>U.S. Treasury and federal agencies:</w:t>
            </w:r>
          </w:p>
        </w:tc>
        <w:tc>
          <w:tcPr>
            <w:tcW w:w="0" w:type="auto"/>
            <w:gridSpan w:val="3"/>
            <w:shd w:val="clear" w:color="auto" w:fill="auto"/>
            <w:tcMar>
              <w:top w:w="0" w:type="dxa"/>
              <w:left w:w="20" w:type="dxa"/>
              <w:bottom w:w="0" w:type="dxa"/>
              <w:right w:w="20" w:type="dxa"/>
            </w:tcMar>
            <w:vAlign w:val="bottom"/>
          </w:tcPr>
          <w:p w14:paraId="74DDD74A"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D74B"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D74C"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D74D"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D74E"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D74F"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D750"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D75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D75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D753"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D754" w14:textId="77777777" w:rsidR="00584EC1" w:rsidRDefault="00584EC1">
            <w:pPr>
              <w:rPr>
                <w:rFonts w:ascii="宋体"/>
              </w:rPr>
            </w:pPr>
          </w:p>
        </w:tc>
      </w:tr>
      <w:tr w:rsidR="00584EC1" w14:paraId="74DDD76E" w14:textId="77777777">
        <w:tc>
          <w:tcPr>
            <w:tcW w:w="0" w:type="auto"/>
            <w:gridSpan w:val="3"/>
            <w:shd w:val="clear" w:color="auto" w:fill="CCEEFF"/>
            <w:tcMar>
              <w:top w:w="40" w:type="dxa"/>
              <w:left w:w="245" w:type="dxa"/>
              <w:bottom w:w="40" w:type="dxa"/>
              <w:right w:w="20" w:type="dxa"/>
            </w:tcMar>
            <w:vAlign w:val="bottom"/>
          </w:tcPr>
          <w:p w14:paraId="74DDD756" w14:textId="77777777" w:rsidR="00584EC1" w:rsidRDefault="00871F8D">
            <w:pPr>
              <w:textAlignment w:val="bottom"/>
            </w:pPr>
            <w:r>
              <w:rPr>
                <w:rFonts w:ascii="Arial" w:eastAsia="宋体" w:hAnsi="Arial" w:cs="Arial"/>
                <w:color w:val="000000"/>
                <w:sz w:val="14"/>
                <w:szCs w:val="14"/>
              </w:rPr>
              <w:t>Direct obligations</w:t>
            </w:r>
          </w:p>
        </w:tc>
        <w:tc>
          <w:tcPr>
            <w:tcW w:w="0" w:type="auto"/>
            <w:shd w:val="clear" w:color="auto" w:fill="CCEEFF"/>
            <w:tcMar>
              <w:top w:w="40" w:type="dxa"/>
              <w:left w:w="20" w:type="dxa"/>
              <w:bottom w:w="40" w:type="dxa"/>
              <w:right w:w="0" w:type="dxa"/>
            </w:tcMar>
            <w:vAlign w:val="bottom"/>
          </w:tcPr>
          <w:p w14:paraId="74DDD757"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D758" w14:textId="77777777" w:rsidR="00584EC1" w:rsidRDefault="00871F8D">
            <w:pPr>
              <w:jc w:val="right"/>
              <w:textAlignment w:val="bottom"/>
            </w:pPr>
            <w:r>
              <w:rPr>
                <w:rFonts w:ascii="Arial" w:eastAsia="宋体" w:hAnsi="Arial" w:cs="Arial"/>
                <w:color w:val="000000"/>
                <w:sz w:val="14"/>
                <w:szCs w:val="14"/>
              </w:rPr>
              <w:t>1,636 </w:t>
            </w:r>
          </w:p>
        </w:tc>
        <w:tc>
          <w:tcPr>
            <w:tcW w:w="0" w:type="auto"/>
            <w:shd w:val="clear" w:color="auto" w:fill="CCEEFF"/>
            <w:tcMar>
              <w:top w:w="40" w:type="dxa"/>
              <w:left w:w="0" w:type="dxa"/>
              <w:bottom w:w="40" w:type="dxa"/>
              <w:right w:w="20" w:type="dxa"/>
            </w:tcMar>
            <w:vAlign w:val="bottom"/>
          </w:tcPr>
          <w:p w14:paraId="74DDD75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75A"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D75B"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D75C" w14:textId="77777777" w:rsidR="00584EC1" w:rsidRDefault="00871F8D">
            <w:pPr>
              <w:jc w:val="right"/>
              <w:textAlignment w:val="bottom"/>
            </w:pPr>
            <w:r>
              <w:rPr>
                <w:rFonts w:ascii="Arial" w:eastAsia="宋体" w:hAnsi="Arial" w:cs="Arial"/>
                <w:color w:val="000000"/>
                <w:sz w:val="14"/>
                <w:szCs w:val="14"/>
              </w:rPr>
              <w:t>1 </w:t>
            </w:r>
          </w:p>
        </w:tc>
        <w:tc>
          <w:tcPr>
            <w:tcW w:w="0" w:type="auto"/>
            <w:shd w:val="clear" w:color="auto" w:fill="CCEEFF"/>
            <w:tcMar>
              <w:top w:w="40" w:type="dxa"/>
              <w:left w:w="0" w:type="dxa"/>
              <w:bottom w:w="40" w:type="dxa"/>
              <w:right w:w="20" w:type="dxa"/>
            </w:tcMar>
            <w:vAlign w:val="bottom"/>
          </w:tcPr>
          <w:p w14:paraId="74DDD75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75E"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D75F"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D760"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D76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762"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D763"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D764"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D76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766"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D767"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D768" w14:textId="77777777" w:rsidR="00584EC1" w:rsidRDefault="00871F8D">
            <w:pPr>
              <w:jc w:val="right"/>
              <w:textAlignment w:val="bottom"/>
            </w:pPr>
            <w:r>
              <w:rPr>
                <w:rFonts w:ascii="Arial" w:eastAsia="宋体" w:hAnsi="Arial" w:cs="Arial"/>
                <w:color w:val="000000"/>
                <w:sz w:val="14"/>
                <w:szCs w:val="14"/>
              </w:rPr>
              <w:t>1,636 </w:t>
            </w:r>
          </w:p>
        </w:tc>
        <w:tc>
          <w:tcPr>
            <w:tcW w:w="0" w:type="auto"/>
            <w:shd w:val="clear" w:color="auto" w:fill="CCEEFF"/>
            <w:tcMar>
              <w:top w:w="40" w:type="dxa"/>
              <w:left w:w="0" w:type="dxa"/>
              <w:bottom w:w="40" w:type="dxa"/>
              <w:right w:w="20" w:type="dxa"/>
            </w:tcMar>
            <w:vAlign w:val="bottom"/>
          </w:tcPr>
          <w:p w14:paraId="74DDD76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76A"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D76B"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D76C" w14:textId="77777777" w:rsidR="00584EC1" w:rsidRDefault="00871F8D">
            <w:pPr>
              <w:jc w:val="right"/>
              <w:textAlignment w:val="bottom"/>
            </w:pPr>
            <w:r>
              <w:rPr>
                <w:rFonts w:ascii="Arial" w:eastAsia="宋体" w:hAnsi="Arial" w:cs="Arial"/>
                <w:color w:val="000000"/>
                <w:sz w:val="14"/>
                <w:szCs w:val="14"/>
              </w:rPr>
              <w:t>1 </w:t>
            </w:r>
          </w:p>
        </w:tc>
        <w:tc>
          <w:tcPr>
            <w:tcW w:w="0" w:type="auto"/>
            <w:shd w:val="clear" w:color="auto" w:fill="CCEEFF"/>
            <w:tcMar>
              <w:top w:w="40" w:type="dxa"/>
              <w:left w:w="0" w:type="dxa"/>
              <w:bottom w:w="40" w:type="dxa"/>
              <w:right w:w="20" w:type="dxa"/>
            </w:tcMar>
            <w:vAlign w:val="bottom"/>
          </w:tcPr>
          <w:p w14:paraId="74DDD76D" w14:textId="77777777" w:rsidR="00584EC1" w:rsidRDefault="00584EC1">
            <w:pPr>
              <w:jc w:val="right"/>
              <w:rPr>
                <w:rFonts w:ascii="宋体"/>
              </w:rPr>
            </w:pPr>
          </w:p>
        </w:tc>
      </w:tr>
      <w:tr w:rsidR="00584EC1" w14:paraId="74DDD781" w14:textId="77777777">
        <w:tc>
          <w:tcPr>
            <w:tcW w:w="0" w:type="auto"/>
            <w:gridSpan w:val="3"/>
            <w:shd w:val="clear" w:color="auto" w:fill="FFFFFF"/>
            <w:tcMar>
              <w:top w:w="40" w:type="dxa"/>
              <w:left w:w="245" w:type="dxa"/>
              <w:bottom w:w="40" w:type="dxa"/>
              <w:right w:w="20" w:type="dxa"/>
            </w:tcMar>
            <w:vAlign w:val="bottom"/>
          </w:tcPr>
          <w:p w14:paraId="74DDD76F" w14:textId="77777777" w:rsidR="00584EC1" w:rsidRDefault="00871F8D">
            <w:pPr>
              <w:textAlignment w:val="bottom"/>
            </w:pPr>
            <w:r>
              <w:rPr>
                <w:rFonts w:ascii="Arial" w:eastAsia="宋体" w:hAnsi="Arial" w:cs="Arial"/>
                <w:color w:val="000000"/>
                <w:sz w:val="14"/>
                <w:szCs w:val="14"/>
              </w:rPr>
              <w:t>Mortgag</w:t>
            </w:r>
            <w:r>
              <w:rPr>
                <w:rFonts w:ascii="Arial" w:eastAsia="宋体" w:hAnsi="Arial" w:cs="Arial"/>
                <w:color w:val="000000"/>
                <w:sz w:val="14"/>
                <w:szCs w:val="14"/>
              </w:rPr>
              <w:t>e-backed securities</w:t>
            </w:r>
          </w:p>
        </w:tc>
        <w:tc>
          <w:tcPr>
            <w:tcW w:w="0" w:type="auto"/>
            <w:gridSpan w:val="2"/>
            <w:shd w:val="clear" w:color="auto" w:fill="FFFFFF"/>
            <w:tcMar>
              <w:top w:w="40" w:type="dxa"/>
              <w:left w:w="20" w:type="dxa"/>
              <w:bottom w:w="40" w:type="dxa"/>
              <w:right w:w="0" w:type="dxa"/>
            </w:tcMar>
            <w:vAlign w:val="bottom"/>
          </w:tcPr>
          <w:p w14:paraId="74DDD770" w14:textId="77777777" w:rsidR="00584EC1" w:rsidRDefault="00871F8D">
            <w:pPr>
              <w:jc w:val="right"/>
              <w:textAlignment w:val="bottom"/>
            </w:pPr>
            <w:r>
              <w:rPr>
                <w:rFonts w:ascii="Arial" w:eastAsia="宋体" w:hAnsi="Arial" w:cs="Arial"/>
                <w:color w:val="000000"/>
                <w:sz w:val="14"/>
                <w:szCs w:val="14"/>
              </w:rPr>
              <w:t>1,394 </w:t>
            </w:r>
          </w:p>
        </w:tc>
        <w:tc>
          <w:tcPr>
            <w:tcW w:w="0" w:type="auto"/>
            <w:shd w:val="clear" w:color="auto" w:fill="FFFFFF"/>
            <w:tcMar>
              <w:top w:w="40" w:type="dxa"/>
              <w:left w:w="0" w:type="dxa"/>
              <w:bottom w:w="40" w:type="dxa"/>
              <w:right w:w="20" w:type="dxa"/>
            </w:tcMar>
            <w:vAlign w:val="bottom"/>
          </w:tcPr>
          <w:p w14:paraId="74DDD77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77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773" w14:textId="77777777" w:rsidR="00584EC1" w:rsidRDefault="00871F8D">
            <w:pPr>
              <w:jc w:val="right"/>
              <w:textAlignment w:val="bottom"/>
            </w:pPr>
            <w:r>
              <w:rPr>
                <w:rFonts w:ascii="Arial" w:eastAsia="宋体" w:hAnsi="Arial" w:cs="Arial"/>
                <w:color w:val="000000"/>
                <w:sz w:val="14"/>
                <w:szCs w:val="14"/>
              </w:rPr>
              <w:t>7 </w:t>
            </w:r>
          </w:p>
        </w:tc>
        <w:tc>
          <w:tcPr>
            <w:tcW w:w="0" w:type="auto"/>
            <w:shd w:val="clear" w:color="auto" w:fill="FFFFFF"/>
            <w:tcMar>
              <w:top w:w="40" w:type="dxa"/>
              <w:left w:w="0" w:type="dxa"/>
              <w:bottom w:w="40" w:type="dxa"/>
              <w:right w:w="20" w:type="dxa"/>
            </w:tcMar>
            <w:vAlign w:val="bottom"/>
          </w:tcPr>
          <w:p w14:paraId="74DDD77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775"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776" w14:textId="77777777" w:rsidR="00584EC1" w:rsidRDefault="00871F8D">
            <w:pPr>
              <w:jc w:val="right"/>
              <w:textAlignment w:val="bottom"/>
            </w:pPr>
            <w:r>
              <w:rPr>
                <w:rFonts w:ascii="Arial" w:eastAsia="宋体" w:hAnsi="Arial" w:cs="Arial"/>
                <w:color w:val="000000"/>
                <w:sz w:val="14"/>
                <w:szCs w:val="14"/>
              </w:rPr>
              <w:t>63 </w:t>
            </w:r>
          </w:p>
        </w:tc>
        <w:tc>
          <w:tcPr>
            <w:tcW w:w="0" w:type="auto"/>
            <w:shd w:val="clear" w:color="auto" w:fill="FFFFFF"/>
            <w:tcMar>
              <w:top w:w="40" w:type="dxa"/>
              <w:left w:w="0" w:type="dxa"/>
              <w:bottom w:w="40" w:type="dxa"/>
              <w:right w:w="20" w:type="dxa"/>
            </w:tcMar>
            <w:vAlign w:val="bottom"/>
          </w:tcPr>
          <w:p w14:paraId="74DDD77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778"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779"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D77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77B"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77C" w14:textId="77777777" w:rsidR="00584EC1" w:rsidRDefault="00871F8D">
            <w:pPr>
              <w:jc w:val="right"/>
              <w:textAlignment w:val="bottom"/>
            </w:pPr>
            <w:r>
              <w:rPr>
                <w:rFonts w:ascii="Arial" w:eastAsia="宋体" w:hAnsi="Arial" w:cs="Arial"/>
                <w:color w:val="000000"/>
                <w:sz w:val="14"/>
                <w:szCs w:val="14"/>
              </w:rPr>
              <w:t>1,457 </w:t>
            </w:r>
          </w:p>
        </w:tc>
        <w:tc>
          <w:tcPr>
            <w:tcW w:w="0" w:type="auto"/>
            <w:shd w:val="clear" w:color="auto" w:fill="FFFFFF"/>
            <w:tcMar>
              <w:top w:w="40" w:type="dxa"/>
              <w:left w:w="0" w:type="dxa"/>
              <w:bottom w:w="40" w:type="dxa"/>
              <w:right w:w="20" w:type="dxa"/>
            </w:tcMar>
            <w:vAlign w:val="bottom"/>
          </w:tcPr>
          <w:p w14:paraId="74DDD77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77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77F" w14:textId="77777777" w:rsidR="00584EC1" w:rsidRDefault="00871F8D">
            <w:pPr>
              <w:jc w:val="right"/>
              <w:textAlignment w:val="bottom"/>
            </w:pPr>
            <w:r>
              <w:rPr>
                <w:rFonts w:ascii="Arial" w:eastAsia="宋体" w:hAnsi="Arial" w:cs="Arial"/>
                <w:color w:val="000000"/>
                <w:sz w:val="14"/>
                <w:szCs w:val="14"/>
              </w:rPr>
              <w:t>7 </w:t>
            </w:r>
          </w:p>
        </w:tc>
        <w:tc>
          <w:tcPr>
            <w:tcW w:w="0" w:type="auto"/>
            <w:shd w:val="clear" w:color="auto" w:fill="FFFFFF"/>
            <w:tcMar>
              <w:top w:w="40" w:type="dxa"/>
              <w:left w:w="0" w:type="dxa"/>
              <w:bottom w:w="40" w:type="dxa"/>
              <w:right w:w="20" w:type="dxa"/>
            </w:tcMar>
            <w:vAlign w:val="bottom"/>
          </w:tcPr>
          <w:p w14:paraId="74DDD780" w14:textId="77777777" w:rsidR="00584EC1" w:rsidRDefault="00584EC1">
            <w:pPr>
              <w:jc w:val="right"/>
              <w:rPr>
                <w:rFonts w:ascii="宋体"/>
              </w:rPr>
            </w:pPr>
          </w:p>
        </w:tc>
      </w:tr>
      <w:tr w:rsidR="00584EC1" w14:paraId="74DDD794" w14:textId="77777777">
        <w:tc>
          <w:tcPr>
            <w:tcW w:w="0" w:type="auto"/>
            <w:gridSpan w:val="3"/>
            <w:shd w:val="clear" w:color="auto" w:fill="CCEEFF"/>
            <w:tcMar>
              <w:top w:w="40" w:type="dxa"/>
              <w:left w:w="515" w:type="dxa"/>
              <w:bottom w:w="40" w:type="dxa"/>
              <w:right w:w="20" w:type="dxa"/>
            </w:tcMar>
            <w:vAlign w:val="bottom"/>
          </w:tcPr>
          <w:p w14:paraId="74DDD782" w14:textId="77777777" w:rsidR="00584EC1" w:rsidRDefault="00871F8D">
            <w:pPr>
              <w:textAlignment w:val="bottom"/>
            </w:pPr>
            <w:r>
              <w:rPr>
                <w:rFonts w:ascii="Arial" w:eastAsia="宋体" w:hAnsi="Arial" w:cs="Arial"/>
                <w:color w:val="000000"/>
                <w:sz w:val="14"/>
                <w:szCs w:val="14"/>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783" w14:textId="77777777" w:rsidR="00584EC1" w:rsidRDefault="00871F8D">
            <w:pPr>
              <w:jc w:val="right"/>
              <w:textAlignment w:val="bottom"/>
            </w:pPr>
            <w:r>
              <w:rPr>
                <w:rFonts w:ascii="Arial" w:eastAsia="宋体" w:hAnsi="Arial" w:cs="Arial"/>
                <w:color w:val="000000"/>
                <w:sz w:val="14"/>
                <w:szCs w:val="14"/>
              </w:rPr>
              <w:t>3,030 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78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785"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786" w14:textId="77777777" w:rsidR="00584EC1" w:rsidRDefault="00871F8D">
            <w:pPr>
              <w:jc w:val="right"/>
              <w:textAlignment w:val="bottom"/>
            </w:pPr>
            <w:r>
              <w:rPr>
                <w:rFonts w:ascii="Arial" w:eastAsia="宋体" w:hAnsi="Arial" w:cs="Arial"/>
                <w:color w:val="000000"/>
                <w:sz w:val="14"/>
                <w:szCs w:val="14"/>
              </w:rPr>
              <w:t>8 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78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788"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789" w14:textId="77777777" w:rsidR="00584EC1" w:rsidRDefault="00871F8D">
            <w:pPr>
              <w:jc w:val="right"/>
              <w:textAlignment w:val="bottom"/>
            </w:pPr>
            <w:r>
              <w:rPr>
                <w:rFonts w:ascii="Arial" w:eastAsia="宋体" w:hAnsi="Arial" w:cs="Arial"/>
                <w:color w:val="000000"/>
                <w:sz w:val="14"/>
                <w:szCs w:val="14"/>
              </w:rPr>
              <w:t>63 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78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78B"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78C" w14:textId="77777777" w:rsidR="00584EC1" w:rsidRDefault="00871F8D">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78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78E"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78F" w14:textId="77777777" w:rsidR="00584EC1" w:rsidRDefault="00871F8D">
            <w:pPr>
              <w:jc w:val="right"/>
              <w:textAlignment w:val="bottom"/>
            </w:pPr>
            <w:r>
              <w:rPr>
                <w:rFonts w:ascii="Arial" w:eastAsia="宋体" w:hAnsi="Arial" w:cs="Arial"/>
                <w:color w:val="000000"/>
                <w:sz w:val="14"/>
                <w:szCs w:val="14"/>
              </w:rPr>
              <w:t>3,093 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79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791"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792" w14:textId="77777777" w:rsidR="00584EC1" w:rsidRDefault="00871F8D">
            <w:pPr>
              <w:jc w:val="right"/>
              <w:textAlignment w:val="bottom"/>
            </w:pPr>
            <w:r>
              <w:rPr>
                <w:rFonts w:ascii="Arial" w:eastAsia="宋体" w:hAnsi="Arial" w:cs="Arial"/>
                <w:color w:val="000000"/>
                <w:sz w:val="14"/>
                <w:szCs w:val="14"/>
              </w:rPr>
              <w:t>8 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793" w14:textId="77777777" w:rsidR="00584EC1" w:rsidRDefault="00584EC1">
            <w:pPr>
              <w:jc w:val="right"/>
              <w:rPr>
                <w:rFonts w:ascii="宋体"/>
              </w:rPr>
            </w:pPr>
          </w:p>
        </w:tc>
      </w:tr>
      <w:tr w:rsidR="00584EC1" w14:paraId="74DDD7A1" w14:textId="77777777">
        <w:tc>
          <w:tcPr>
            <w:tcW w:w="0" w:type="auto"/>
            <w:gridSpan w:val="3"/>
            <w:shd w:val="clear" w:color="auto" w:fill="FFFFFF"/>
            <w:tcMar>
              <w:top w:w="40" w:type="dxa"/>
              <w:left w:w="20" w:type="dxa"/>
              <w:bottom w:w="40" w:type="dxa"/>
              <w:right w:w="20" w:type="dxa"/>
            </w:tcMar>
            <w:vAlign w:val="bottom"/>
          </w:tcPr>
          <w:p w14:paraId="74DDD795" w14:textId="77777777" w:rsidR="00584EC1" w:rsidRDefault="00871F8D">
            <w:pPr>
              <w:textAlignment w:val="bottom"/>
            </w:pPr>
            <w:r>
              <w:rPr>
                <w:rFonts w:ascii="Arial" w:eastAsia="宋体" w:hAnsi="Arial" w:cs="Arial"/>
                <w:color w:val="000000"/>
                <w:sz w:val="14"/>
                <w:szCs w:val="14"/>
              </w:rPr>
              <w:t>Asset-backed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D796"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797"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D798"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799"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D79A"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79B"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D79C"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79D"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D79E"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79F"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D7A0" w14:textId="77777777" w:rsidR="00584EC1" w:rsidRDefault="00584EC1">
            <w:pPr>
              <w:rPr>
                <w:rFonts w:ascii="宋体"/>
              </w:rPr>
            </w:pPr>
          </w:p>
        </w:tc>
      </w:tr>
      <w:tr w:rsidR="00584EC1" w14:paraId="74DDD7B4" w14:textId="77777777">
        <w:tc>
          <w:tcPr>
            <w:tcW w:w="0" w:type="auto"/>
            <w:gridSpan w:val="3"/>
            <w:shd w:val="clear" w:color="auto" w:fill="CCEEFF"/>
            <w:tcMar>
              <w:top w:w="40" w:type="dxa"/>
              <w:left w:w="245" w:type="dxa"/>
              <w:bottom w:w="40" w:type="dxa"/>
              <w:right w:w="20" w:type="dxa"/>
            </w:tcMar>
            <w:vAlign w:val="bottom"/>
          </w:tcPr>
          <w:p w14:paraId="74DDD7A2" w14:textId="77777777" w:rsidR="00584EC1" w:rsidRDefault="00871F8D">
            <w:pPr>
              <w:textAlignment w:val="bottom"/>
            </w:pPr>
            <w:r>
              <w:rPr>
                <w:rFonts w:ascii="Arial" w:eastAsia="宋体" w:hAnsi="Arial" w:cs="Arial"/>
                <w:color w:val="000000"/>
                <w:sz w:val="14"/>
                <w:szCs w:val="14"/>
              </w:rPr>
              <w:t>Student loans</w:t>
            </w:r>
          </w:p>
        </w:tc>
        <w:tc>
          <w:tcPr>
            <w:tcW w:w="0" w:type="auto"/>
            <w:gridSpan w:val="2"/>
            <w:shd w:val="clear" w:color="auto" w:fill="CCEEFF"/>
            <w:tcMar>
              <w:top w:w="40" w:type="dxa"/>
              <w:left w:w="20" w:type="dxa"/>
              <w:bottom w:w="40" w:type="dxa"/>
              <w:right w:w="0" w:type="dxa"/>
            </w:tcMar>
            <w:vAlign w:val="bottom"/>
          </w:tcPr>
          <w:p w14:paraId="74DDD7A3" w14:textId="77777777" w:rsidR="00584EC1" w:rsidRDefault="00871F8D">
            <w:pPr>
              <w:jc w:val="right"/>
              <w:textAlignment w:val="bottom"/>
            </w:pPr>
            <w:r>
              <w:rPr>
                <w:rFonts w:ascii="Arial" w:eastAsia="宋体" w:hAnsi="Arial" w:cs="Arial"/>
                <w:color w:val="000000"/>
                <w:sz w:val="14"/>
                <w:szCs w:val="14"/>
              </w:rPr>
              <w:t>31 </w:t>
            </w:r>
          </w:p>
        </w:tc>
        <w:tc>
          <w:tcPr>
            <w:tcW w:w="0" w:type="auto"/>
            <w:shd w:val="clear" w:color="auto" w:fill="CCEEFF"/>
            <w:tcMar>
              <w:top w:w="40" w:type="dxa"/>
              <w:left w:w="0" w:type="dxa"/>
              <w:bottom w:w="40" w:type="dxa"/>
              <w:right w:w="20" w:type="dxa"/>
            </w:tcMar>
            <w:vAlign w:val="bottom"/>
          </w:tcPr>
          <w:p w14:paraId="74DDD7A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7A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7A6"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D7A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7A8"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7A9" w14:textId="77777777" w:rsidR="00584EC1" w:rsidRDefault="00871F8D">
            <w:pPr>
              <w:jc w:val="right"/>
              <w:textAlignment w:val="bottom"/>
            </w:pPr>
            <w:r>
              <w:rPr>
                <w:rFonts w:ascii="Arial" w:eastAsia="宋体" w:hAnsi="Arial" w:cs="Arial"/>
                <w:color w:val="000000"/>
                <w:sz w:val="14"/>
                <w:szCs w:val="14"/>
              </w:rPr>
              <w:t>197 </w:t>
            </w:r>
          </w:p>
        </w:tc>
        <w:tc>
          <w:tcPr>
            <w:tcW w:w="0" w:type="auto"/>
            <w:shd w:val="clear" w:color="auto" w:fill="CCEEFF"/>
            <w:tcMar>
              <w:top w:w="40" w:type="dxa"/>
              <w:left w:w="0" w:type="dxa"/>
              <w:bottom w:w="40" w:type="dxa"/>
              <w:right w:w="20" w:type="dxa"/>
            </w:tcMar>
            <w:vAlign w:val="bottom"/>
          </w:tcPr>
          <w:p w14:paraId="74DDD7A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7A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7AC" w14:textId="77777777" w:rsidR="00584EC1" w:rsidRDefault="00871F8D">
            <w:pPr>
              <w:jc w:val="right"/>
              <w:textAlignment w:val="bottom"/>
            </w:pPr>
            <w:r>
              <w:rPr>
                <w:rFonts w:ascii="Arial" w:eastAsia="宋体" w:hAnsi="Arial" w:cs="Arial"/>
                <w:color w:val="000000"/>
                <w:sz w:val="14"/>
                <w:szCs w:val="14"/>
              </w:rPr>
              <w:t>1 </w:t>
            </w:r>
          </w:p>
        </w:tc>
        <w:tc>
          <w:tcPr>
            <w:tcW w:w="0" w:type="auto"/>
            <w:shd w:val="clear" w:color="auto" w:fill="CCEEFF"/>
            <w:tcMar>
              <w:top w:w="40" w:type="dxa"/>
              <w:left w:w="0" w:type="dxa"/>
              <w:bottom w:w="40" w:type="dxa"/>
              <w:right w:w="20" w:type="dxa"/>
            </w:tcMar>
            <w:vAlign w:val="bottom"/>
          </w:tcPr>
          <w:p w14:paraId="74DDD7A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7AE"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7AF" w14:textId="77777777" w:rsidR="00584EC1" w:rsidRDefault="00871F8D">
            <w:pPr>
              <w:jc w:val="right"/>
              <w:textAlignment w:val="bottom"/>
            </w:pPr>
            <w:r>
              <w:rPr>
                <w:rFonts w:ascii="Arial" w:eastAsia="宋体" w:hAnsi="Arial" w:cs="Arial"/>
                <w:color w:val="000000"/>
                <w:sz w:val="14"/>
                <w:szCs w:val="14"/>
              </w:rPr>
              <w:t>228 </w:t>
            </w:r>
          </w:p>
        </w:tc>
        <w:tc>
          <w:tcPr>
            <w:tcW w:w="0" w:type="auto"/>
            <w:shd w:val="clear" w:color="auto" w:fill="CCEEFF"/>
            <w:tcMar>
              <w:top w:w="40" w:type="dxa"/>
              <w:left w:w="0" w:type="dxa"/>
              <w:bottom w:w="40" w:type="dxa"/>
              <w:right w:w="20" w:type="dxa"/>
            </w:tcMar>
            <w:vAlign w:val="bottom"/>
          </w:tcPr>
          <w:p w14:paraId="74DDD7B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7B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7B2" w14:textId="77777777" w:rsidR="00584EC1" w:rsidRDefault="00871F8D">
            <w:pPr>
              <w:jc w:val="right"/>
              <w:textAlignment w:val="bottom"/>
            </w:pPr>
            <w:r>
              <w:rPr>
                <w:rFonts w:ascii="Arial" w:eastAsia="宋体" w:hAnsi="Arial" w:cs="Arial"/>
                <w:color w:val="000000"/>
                <w:sz w:val="14"/>
                <w:szCs w:val="14"/>
              </w:rPr>
              <w:t>1 </w:t>
            </w:r>
          </w:p>
        </w:tc>
        <w:tc>
          <w:tcPr>
            <w:tcW w:w="0" w:type="auto"/>
            <w:shd w:val="clear" w:color="auto" w:fill="CCEEFF"/>
            <w:tcMar>
              <w:top w:w="40" w:type="dxa"/>
              <w:left w:w="0" w:type="dxa"/>
              <w:bottom w:w="40" w:type="dxa"/>
              <w:right w:w="20" w:type="dxa"/>
            </w:tcMar>
            <w:vAlign w:val="bottom"/>
          </w:tcPr>
          <w:p w14:paraId="74DDD7B3" w14:textId="77777777" w:rsidR="00584EC1" w:rsidRDefault="00584EC1">
            <w:pPr>
              <w:jc w:val="right"/>
              <w:rPr>
                <w:rFonts w:ascii="宋体"/>
              </w:rPr>
            </w:pPr>
          </w:p>
        </w:tc>
      </w:tr>
      <w:tr w:rsidR="00584EC1" w14:paraId="74DDD7C1" w14:textId="77777777">
        <w:trPr>
          <w:hidden/>
        </w:trPr>
        <w:tc>
          <w:tcPr>
            <w:tcW w:w="0" w:type="auto"/>
            <w:gridSpan w:val="3"/>
            <w:shd w:val="clear" w:color="auto" w:fill="auto"/>
            <w:vAlign w:val="bottom"/>
          </w:tcPr>
          <w:p w14:paraId="74DDD7B5" w14:textId="77777777" w:rsidR="00584EC1" w:rsidRDefault="00584EC1">
            <w:pPr>
              <w:rPr>
                <w:rFonts w:ascii="宋体"/>
                <w:vanish/>
              </w:rPr>
            </w:pPr>
          </w:p>
        </w:tc>
        <w:tc>
          <w:tcPr>
            <w:tcW w:w="0" w:type="auto"/>
            <w:gridSpan w:val="3"/>
            <w:shd w:val="clear" w:color="auto" w:fill="auto"/>
            <w:vAlign w:val="bottom"/>
          </w:tcPr>
          <w:p w14:paraId="74DDD7B6" w14:textId="77777777" w:rsidR="00584EC1" w:rsidRDefault="00584EC1">
            <w:pPr>
              <w:rPr>
                <w:rFonts w:ascii="宋体"/>
                <w:vanish/>
              </w:rPr>
            </w:pPr>
          </w:p>
        </w:tc>
        <w:tc>
          <w:tcPr>
            <w:tcW w:w="0" w:type="auto"/>
            <w:gridSpan w:val="3"/>
            <w:shd w:val="clear" w:color="auto" w:fill="auto"/>
            <w:vAlign w:val="bottom"/>
          </w:tcPr>
          <w:p w14:paraId="74DDD7B7" w14:textId="77777777" w:rsidR="00584EC1" w:rsidRDefault="00584EC1">
            <w:pPr>
              <w:rPr>
                <w:rFonts w:ascii="宋体"/>
                <w:vanish/>
              </w:rPr>
            </w:pPr>
          </w:p>
        </w:tc>
        <w:tc>
          <w:tcPr>
            <w:tcW w:w="0" w:type="auto"/>
            <w:gridSpan w:val="3"/>
            <w:shd w:val="clear" w:color="auto" w:fill="auto"/>
            <w:vAlign w:val="bottom"/>
          </w:tcPr>
          <w:p w14:paraId="74DDD7B8" w14:textId="77777777" w:rsidR="00584EC1" w:rsidRDefault="00584EC1">
            <w:pPr>
              <w:rPr>
                <w:rFonts w:ascii="宋体"/>
                <w:vanish/>
              </w:rPr>
            </w:pPr>
          </w:p>
        </w:tc>
        <w:tc>
          <w:tcPr>
            <w:tcW w:w="0" w:type="auto"/>
            <w:gridSpan w:val="3"/>
            <w:shd w:val="clear" w:color="auto" w:fill="auto"/>
            <w:vAlign w:val="bottom"/>
          </w:tcPr>
          <w:p w14:paraId="74DDD7B9" w14:textId="77777777" w:rsidR="00584EC1" w:rsidRDefault="00584EC1">
            <w:pPr>
              <w:rPr>
                <w:rFonts w:ascii="宋体"/>
                <w:vanish/>
              </w:rPr>
            </w:pPr>
          </w:p>
        </w:tc>
        <w:tc>
          <w:tcPr>
            <w:tcW w:w="0" w:type="auto"/>
            <w:gridSpan w:val="3"/>
            <w:shd w:val="clear" w:color="auto" w:fill="auto"/>
            <w:vAlign w:val="bottom"/>
          </w:tcPr>
          <w:p w14:paraId="74DDD7BA" w14:textId="77777777" w:rsidR="00584EC1" w:rsidRDefault="00584EC1">
            <w:pPr>
              <w:rPr>
                <w:rFonts w:ascii="宋体"/>
                <w:vanish/>
              </w:rPr>
            </w:pPr>
          </w:p>
        </w:tc>
        <w:tc>
          <w:tcPr>
            <w:tcW w:w="0" w:type="auto"/>
            <w:gridSpan w:val="3"/>
            <w:shd w:val="clear" w:color="auto" w:fill="auto"/>
            <w:vAlign w:val="bottom"/>
          </w:tcPr>
          <w:p w14:paraId="74DDD7BB" w14:textId="77777777" w:rsidR="00584EC1" w:rsidRDefault="00584EC1">
            <w:pPr>
              <w:rPr>
                <w:rFonts w:ascii="宋体"/>
                <w:vanish/>
              </w:rPr>
            </w:pPr>
          </w:p>
        </w:tc>
        <w:tc>
          <w:tcPr>
            <w:tcW w:w="0" w:type="auto"/>
            <w:gridSpan w:val="3"/>
            <w:shd w:val="clear" w:color="auto" w:fill="auto"/>
            <w:vAlign w:val="bottom"/>
          </w:tcPr>
          <w:p w14:paraId="74DDD7BC" w14:textId="77777777" w:rsidR="00584EC1" w:rsidRDefault="00584EC1">
            <w:pPr>
              <w:rPr>
                <w:rFonts w:ascii="宋体"/>
                <w:vanish/>
              </w:rPr>
            </w:pPr>
          </w:p>
        </w:tc>
        <w:tc>
          <w:tcPr>
            <w:tcW w:w="0" w:type="auto"/>
            <w:gridSpan w:val="3"/>
            <w:shd w:val="clear" w:color="auto" w:fill="auto"/>
            <w:vAlign w:val="bottom"/>
          </w:tcPr>
          <w:p w14:paraId="74DDD7BD" w14:textId="77777777" w:rsidR="00584EC1" w:rsidRDefault="00584EC1">
            <w:pPr>
              <w:rPr>
                <w:rFonts w:ascii="宋体"/>
                <w:vanish/>
              </w:rPr>
            </w:pPr>
          </w:p>
        </w:tc>
        <w:tc>
          <w:tcPr>
            <w:tcW w:w="0" w:type="auto"/>
            <w:gridSpan w:val="3"/>
            <w:shd w:val="clear" w:color="auto" w:fill="auto"/>
            <w:vAlign w:val="bottom"/>
          </w:tcPr>
          <w:p w14:paraId="74DDD7BE" w14:textId="77777777" w:rsidR="00584EC1" w:rsidRDefault="00584EC1">
            <w:pPr>
              <w:rPr>
                <w:rFonts w:ascii="宋体"/>
                <w:vanish/>
              </w:rPr>
            </w:pPr>
          </w:p>
        </w:tc>
        <w:tc>
          <w:tcPr>
            <w:tcW w:w="0" w:type="auto"/>
            <w:gridSpan w:val="3"/>
            <w:shd w:val="clear" w:color="auto" w:fill="auto"/>
            <w:vAlign w:val="bottom"/>
          </w:tcPr>
          <w:p w14:paraId="74DDD7BF" w14:textId="77777777" w:rsidR="00584EC1" w:rsidRDefault="00584EC1">
            <w:pPr>
              <w:rPr>
                <w:rFonts w:ascii="宋体"/>
                <w:vanish/>
              </w:rPr>
            </w:pPr>
          </w:p>
        </w:tc>
        <w:tc>
          <w:tcPr>
            <w:tcW w:w="0" w:type="auto"/>
            <w:gridSpan w:val="3"/>
            <w:shd w:val="clear" w:color="auto" w:fill="auto"/>
            <w:vAlign w:val="bottom"/>
          </w:tcPr>
          <w:p w14:paraId="74DDD7C0" w14:textId="77777777" w:rsidR="00584EC1" w:rsidRDefault="00584EC1">
            <w:pPr>
              <w:rPr>
                <w:rFonts w:ascii="宋体"/>
                <w:vanish/>
              </w:rPr>
            </w:pPr>
          </w:p>
        </w:tc>
      </w:tr>
      <w:tr w:rsidR="00584EC1" w14:paraId="74DDD7D4" w14:textId="77777777">
        <w:tc>
          <w:tcPr>
            <w:tcW w:w="0" w:type="auto"/>
            <w:gridSpan w:val="3"/>
            <w:shd w:val="clear" w:color="auto" w:fill="FFFFFF"/>
            <w:tcMar>
              <w:top w:w="40" w:type="dxa"/>
              <w:left w:w="245" w:type="dxa"/>
              <w:bottom w:w="40" w:type="dxa"/>
              <w:right w:w="20" w:type="dxa"/>
            </w:tcMar>
            <w:vAlign w:val="bottom"/>
          </w:tcPr>
          <w:p w14:paraId="74DDD7C2" w14:textId="77777777" w:rsidR="00584EC1" w:rsidRDefault="00871F8D">
            <w:pPr>
              <w:textAlignment w:val="bottom"/>
            </w:pPr>
            <w:r>
              <w:rPr>
                <w:rFonts w:ascii="Arial" w:eastAsia="宋体" w:hAnsi="Arial" w:cs="Arial"/>
                <w:color w:val="000000"/>
                <w:sz w:val="14"/>
                <w:szCs w:val="14"/>
              </w:rPr>
              <w:t>Collateralized loan obligations</w:t>
            </w:r>
          </w:p>
        </w:tc>
        <w:tc>
          <w:tcPr>
            <w:tcW w:w="0" w:type="auto"/>
            <w:gridSpan w:val="2"/>
            <w:shd w:val="clear" w:color="auto" w:fill="FFFFFF"/>
            <w:tcMar>
              <w:top w:w="40" w:type="dxa"/>
              <w:left w:w="20" w:type="dxa"/>
              <w:bottom w:w="40" w:type="dxa"/>
              <w:right w:w="0" w:type="dxa"/>
            </w:tcMar>
            <w:vAlign w:val="bottom"/>
          </w:tcPr>
          <w:p w14:paraId="74DDD7C3" w14:textId="77777777" w:rsidR="00584EC1" w:rsidRDefault="00871F8D">
            <w:pPr>
              <w:jc w:val="right"/>
              <w:textAlignment w:val="bottom"/>
            </w:pPr>
            <w:r>
              <w:rPr>
                <w:rFonts w:ascii="Arial" w:eastAsia="宋体" w:hAnsi="Arial" w:cs="Arial"/>
                <w:color w:val="000000"/>
                <w:sz w:val="14"/>
                <w:szCs w:val="14"/>
              </w:rPr>
              <w:t>1,498 </w:t>
            </w:r>
          </w:p>
        </w:tc>
        <w:tc>
          <w:tcPr>
            <w:tcW w:w="0" w:type="auto"/>
            <w:shd w:val="clear" w:color="auto" w:fill="FFFFFF"/>
            <w:tcMar>
              <w:top w:w="40" w:type="dxa"/>
              <w:left w:w="0" w:type="dxa"/>
              <w:bottom w:w="40" w:type="dxa"/>
              <w:right w:w="20" w:type="dxa"/>
            </w:tcMar>
            <w:vAlign w:val="bottom"/>
          </w:tcPr>
          <w:p w14:paraId="74DDD7C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7C5"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7C6" w14:textId="77777777" w:rsidR="00584EC1" w:rsidRDefault="00871F8D">
            <w:pPr>
              <w:jc w:val="right"/>
              <w:textAlignment w:val="bottom"/>
            </w:pPr>
            <w:r>
              <w:rPr>
                <w:rFonts w:ascii="Arial" w:eastAsia="宋体" w:hAnsi="Arial" w:cs="Arial"/>
                <w:color w:val="000000"/>
                <w:sz w:val="14"/>
                <w:szCs w:val="14"/>
              </w:rPr>
              <w:t>4 </w:t>
            </w:r>
          </w:p>
        </w:tc>
        <w:tc>
          <w:tcPr>
            <w:tcW w:w="0" w:type="auto"/>
            <w:shd w:val="clear" w:color="auto" w:fill="FFFFFF"/>
            <w:tcMar>
              <w:top w:w="40" w:type="dxa"/>
              <w:left w:w="0" w:type="dxa"/>
              <w:bottom w:w="40" w:type="dxa"/>
              <w:right w:w="20" w:type="dxa"/>
            </w:tcMar>
            <w:vAlign w:val="bottom"/>
          </w:tcPr>
          <w:p w14:paraId="74DDD7C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7C8"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7C9" w14:textId="77777777" w:rsidR="00584EC1" w:rsidRDefault="00871F8D">
            <w:pPr>
              <w:jc w:val="right"/>
              <w:textAlignment w:val="bottom"/>
            </w:pPr>
            <w:r>
              <w:rPr>
                <w:rFonts w:ascii="Arial" w:eastAsia="宋体" w:hAnsi="Arial" w:cs="Arial"/>
                <w:color w:val="000000"/>
                <w:sz w:val="14"/>
                <w:szCs w:val="14"/>
              </w:rPr>
              <w:t>369 </w:t>
            </w:r>
          </w:p>
        </w:tc>
        <w:tc>
          <w:tcPr>
            <w:tcW w:w="0" w:type="auto"/>
            <w:shd w:val="clear" w:color="auto" w:fill="FFFFFF"/>
            <w:tcMar>
              <w:top w:w="40" w:type="dxa"/>
              <w:left w:w="0" w:type="dxa"/>
              <w:bottom w:w="40" w:type="dxa"/>
              <w:right w:w="20" w:type="dxa"/>
            </w:tcMar>
            <w:vAlign w:val="bottom"/>
          </w:tcPr>
          <w:p w14:paraId="74DDD7C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7CB"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7CC" w14:textId="77777777" w:rsidR="00584EC1" w:rsidRDefault="00871F8D">
            <w:pPr>
              <w:jc w:val="right"/>
              <w:textAlignment w:val="bottom"/>
            </w:pPr>
            <w:r>
              <w:rPr>
                <w:rFonts w:ascii="Arial" w:eastAsia="宋体" w:hAnsi="Arial" w:cs="Arial"/>
                <w:color w:val="000000"/>
                <w:sz w:val="14"/>
                <w:szCs w:val="14"/>
              </w:rPr>
              <w:t>2 </w:t>
            </w:r>
          </w:p>
        </w:tc>
        <w:tc>
          <w:tcPr>
            <w:tcW w:w="0" w:type="auto"/>
            <w:shd w:val="clear" w:color="auto" w:fill="FFFFFF"/>
            <w:tcMar>
              <w:top w:w="40" w:type="dxa"/>
              <w:left w:w="0" w:type="dxa"/>
              <w:bottom w:w="40" w:type="dxa"/>
              <w:right w:w="20" w:type="dxa"/>
            </w:tcMar>
            <w:vAlign w:val="bottom"/>
          </w:tcPr>
          <w:p w14:paraId="74DDD7C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7C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7CF" w14:textId="77777777" w:rsidR="00584EC1" w:rsidRDefault="00871F8D">
            <w:pPr>
              <w:jc w:val="right"/>
              <w:textAlignment w:val="bottom"/>
            </w:pPr>
            <w:r>
              <w:rPr>
                <w:rFonts w:ascii="Arial" w:eastAsia="宋体" w:hAnsi="Arial" w:cs="Arial"/>
                <w:color w:val="000000"/>
                <w:sz w:val="14"/>
                <w:szCs w:val="14"/>
              </w:rPr>
              <w:t>1,867 </w:t>
            </w:r>
          </w:p>
        </w:tc>
        <w:tc>
          <w:tcPr>
            <w:tcW w:w="0" w:type="auto"/>
            <w:shd w:val="clear" w:color="auto" w:fill="FFFFFF"/>
            <w:tcMar>
              <w:top w:w="40" w:type="dxa"/>
              <w:left w:w="0" w:type="dxa"/>
              <w:bottom w:w="40" w:type="dxa"/>
              <w:right w:w="20" w:type="dxa"/>
            </w:tcMar>
            <w:vAlign w:val="bottom"/>
          </w:tcPr>
          <w:p w14:paraId="74DDD7D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7D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7D2" w14:textId="77777777" w:rsidR="00584EC1" w:rsidRDefault="00871F8D">
            <w:pPr>
              <w:jc w:val="right"/>
              <w:textAlignment w:val="bottom"/>
            </w:pPr>
            <w:r>
              <w:rPr>
                <w:rFonts w:ascii="Arial" w:eastAsia="宋体" w:hAnsi="Arial" w:cs="Arial"/>
                <w:color w:val="000000"/>
                <w:sz w:val="14"/>
                <w:szCs w:val="14"/>
              </w:rPr>
              <w:t>6 </w:t>
            </w:r>
          </w:p>
        </w:tc>
        <w:tc>
          <w:tcPr>
            <w:tcW w:w="0" w:type="auto"/>
            <w:shd w:val="clear" w:color="auto" w:fill="FFFFFF"/>
            <w:tcMar>
              <w:top w:w="40" w:type="dxa"/>
              <w:left w:w="0" w:type="dxa"/>
              <w:bottom w:w="40" w:type="dxa"/>
              <w:right w:w="20" w:type="dxa"/>
            </w:tcMar>
            <w:vAlign w:val="bottom"/>
          </w:tcPr>
          <w:p w14:paraId="74DDD7D3" w14:textId="77777777" w:rsidR="00584EC1" w:rsidRDefault="00584EC1">
            <w:pPr>
              <w:jc w:val="right"/>
              <w:rPr>
                <w:rFonts w:ascii="宋体"/>
              </w:rPr>
            </w:pPr>
          </w:p>
        </w:tc>
      </w:tr>
      <w:tr w:rsidR="00584EC1" w14:paraId="74DDD7E1" w14:textId="77777777">
        <w:trPr>
          <w:hidden/>
        </w:trPr>
        <w:tc>
          <w:tcPr>
            <w:tcW w:w="0" w:type="auto"/>
            <w:gridSpan w:val="3"/>
            <w:shd w:val="clear" w:color="auto" w:fill="auto"/>
            <w:vAlign w:val="bottom"/>
          </w:tcPr>
          <w:p w14:paraId="74DDD7D5" w14:textId="77777777" w:rsidR="00584EC1" w:rsidRDefault="00584EC1">
            <w:pPr>
              <w:rPr>
                <w:rFonts w:ascii="宋体"/>
                <w:vanish/>
              </w:rPr>
            </w:pPr>
          </w:p>
        </w:tc>
        <w:tc>
          <w:tcPr>
            <w:tcW w:w="0" w:type="auto"/>
            <w:gridSpan w:val="3"/>
            <w:shd w:val="clear" w:color="auto" w:fill="auto"/>
            <w:vAlign w:val="bottom"/>
          </w:tcPr>
          <w:p w14:paraId="74DDD7D6" w14:textId="77777777" w:rsidR="00584EC1" w:rsidRDefault="00584EC1">
            <w:pPr>
              <w:rPr>
                <w:rFonts w:ascii="宋体"/>
                <w:vanish/>
              </w:rPr>
            </w:pPr>
          </w:p>
        </w:tc>
        <w:tc>
          <w:tcPr>
            <w:tcW w:w="0" w:type="auto"/>
            <w:gridSpan w:val="3"/>
            <w:shd w:val="clear" w:color="auto" w:fill="auto"/>
            <w:vAlign w:val="bottom"/>
          </w:tcPr>
          <w:p w14:paraId="74DDD7D7" w14:textId="77777777" w:rsidR="00584EC1" w:rsidRDefault="00584EC1">
            <w:pPr>
              <w:rPr>
                <w:rFonts w:ascii="宋体"/>
                <w:vanish/>
              </w:rPr>
            </w:pPr>
          </w:p>
        </w:tc>
        <w:tc>
          <w:tcPr>
            <w:tcW w:w="0" w:type="auto"/>
            <w:gridSpan w:val="3"/>
            <w:shd w:val="clear" w:color="auto" w:fill="auto"/>
            <w:vAlign w:val="bottom"/>
          </w:tcPr>
          <w:p w14:paraId="74DDD7D8" w14:textId="77777777" w:rsidR="00584EC1" w:rsidRDefault="00584EC1">
            <w:pPr>
              <w:rPr>
                <w:rFonts w:ascii="宋体"/>
                <w:vanish/>
              </w:rPr>
            </w:pPr>
          </w:p>
        </w:tc>
        <w:tc>
          <w:tcPr>
            <w:tcW w:w="0" w:type="auto"/>
            <w:gridSpan w:val="3"/>
            <w:shd w:val="clear" w:color="auto" w:fill="auto"/>
            <w:vAlign w:val="bottom"/>
          </w:tcPr>
          <w:p w14:paraId="74DDD7D9" w14:textId="77777777" w:rsidR="00584EC1" w:rsidRDefault="00584EC1">
            <w:pPr>
              <w:rPr>
                <w:rFonts w:ascii="宋体"/>
                <w:vanish/>
              </w:rPr>
            </w:pPr>
          </w:p>
        </w:tc>
        <w:tc>
          <w:tcPr>
            <w:tcW w:w="0" w:type="auto"/>
            <w:gridSpan w:val="3"/>
            <w:shd w:val="clear" w:color="auto" w:fill="auto"/>
            <w:vAlign w:val="bottom"/>
          </w:tcPr>
          <w:p w14:paraId="74DDD7DA" w14:textId="77777777" w:rsidR="00584EC1" w:rsidRDefault="00584EC1">
            <w:pPr>
              <w:rPr>
                <w:rFonts w:ascii="宋体"/>
                <w:vanish/>
              </w:rPr>
            </w:pPr>
          </w:p>
        </w:tc>
        <w:tc>
          <w:tcPr>
            <w:tcW w:w="0" w:type="auto"/>
            <w:gridSpan w:val="3"/>
            <w:shd w:val="clear" w:color="auto" w:fill="auto"/>
            <w:vAlign w:val="bottom"/>
          </w:tcPr>
          <w:p w14:paraId="74DDD7DB" w14:textId="77777777" w:rsidR="00584EC1" w:rsidRDefault="00584EC1">
            <w:pPr>
              <w:rPr>
                <w:rFonts w:ascii="宋体"/>
                <w:vanish/>
              </w:rPr>
            </w:pPr>
          </w:p>
        </w:tc>
        <w:tc>
          <w:tcPr>
            <w:tcW w:w="0" w:type="auto"/>
            <w:gridSpan w:val="3"/>
            <w:shd w:val="clear" w:color="auto" w:fill="auto"/>
            <w:vAlign w:val="bottom"/>
          </w:tcPr>
          <w:p w14:paraId="74DDD7DC" w14:textId="77777777" w:rsidR="00584EC1" w:rsidRDefault="00584EC1">
            <w:pPr>
              <w:rPr>
                <w:rFonts w:ascii="宋体"/>
                <w:vanish/>
              </w:rPr>
            </w:pPr>
          </w:p>
        </w:tc>
        <w:tc>
          <w:tcPr>
            <w:tcW w:w="0" w:type="auto"/>
            <w:gridSpan w:val="3"/>
            <w:shd w:val="clear" w:color="auto" w:fill="auto"/>
            <w:vAlign w:val="bottom"/>
          </w:tcPr>
          <w:p w14:paraId="74DDD7DD" w14:textId="77777777" w:rsidR="00584EC1" w:rsidRDefault="00584EC1">
            <w:pPr>
              <w:rPr>
                <w:rFonts w:ascii="宋体"/>
                <w:vanish/>
              </w:rPr>
            </w:pPr>
          </w:p>
        </w:tc>
        <w:tc>
          <w:tcPr>
            <w:tcW w:w="0" w:type="auto"/>
            <w:gridSpan w:val="3"/>
            <w:shd w:val="clear" w:color="auto" w:fill="auto"/>
            <w:vAlign w:val="bottom"/>
          </w:tcPr>
          <w:p w14:paraId="74DDD7DE" w14:textId="77777777" w:rsidR="00584EC1" w:rsidRDefault="00584EC1">
            <w:pPr>
              <w:rPr>
                <w:rFonts w:ascii="宋体"/>
                <w:vanish/>
              </w:rPr>
            </w:pPr>
          </w:p>
        </w:tc>
        <w:tc>
          <w:tcPr>
            <w:tcW w:w="0" w:type="auto"/>
            <w:gridSpan w:val="3"/>
            <w:shd w:val="clear" w:color="auto" w:fill="auto"/>
            <w:vAlign w:val="bottom"/>
          </w:tcPr>
          <w:p w14:paraId="74DDD7DF" w14:textId="77777777" w:rsidR="00584EC1" w:rsidRDefault="00584EC1">
            <w:pPr>
              <w:rPr>
                <w:rFonts w:ascii="宋体"/>
                <w:vanish/>
              </w:rPr>
            </w:pPr>
          </w:p>
        </w:tc>
        <w:tc>
          <w:tcPr>
            <w:tcW w:w="0" w:type="auto"/>
            <w:gridSpan w:val="3"/>
            <w:shd w:val="clear" w:color="auto" w:fill="auto"/>
            <w:vAlign w:val="bottom"/>
          </w:tcPr>
          <w:p w14:paraId="74DDD7E0" w14:textId="77777777" w:rsidR="00584EC1" w:rsidRDefault="00584EC1">
            <w:pPr>
              <w:rPr>
                <w:rFonts w:ascii="宋体"/>
                <w:vanish/>
              </w:rPr>
            </w:pPr>
          </w:p>
        </w:tc>
      </w:tr>
      <w:tr w:rsidR="00584EC1" w14:paraId="74DDD7F4" w14:textId="77777777">
        <w:tc>
          <w:tcPr>
            <w:tcW w:w="0" w:type="auto"/>
            <w:gridSpan w:val="3"/>
            <w:shd w:val="clear" w:color="auto" w:fill="CCEEFF"/>
            <w:tcMar>
              <w:top w:w="40" w:type="dxa"/>
              <w:left w:w="515" w:type="dxa"/>
              <w:bottom w:w="40" w:type="dxa"/>
              <w:right w:w="20" w:type="dxa"/>
            </w:tcMar>
            <w:vAlign w:val="bottom"/>
          </w:tcPr>
          <w:p w14:paraId="74DDD7E2" w14:textId="77777777" w:rsidR="00584EC1" w:rsidRDefault="00871F8D">
            <w:pPr>
              <w:textAlignment w:val="bottom"/>
            </w:pPr>
            <w:r>
              <w:rPr>
                <w:rFonts w:ascii="Arial" w:eastAsia="宋体" w:hAnsi="Arial" w:cs="Arial"/>
                <w:color w:val="000000"/>
                <w:sz w:val="14"/>
                <w:szCs w:val="14"/>
              </w:rPr>
              <w:t>Total asset-backed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7E3" w14:textId="77777777" w:rsidR="00584EC1" w:rsidRDefault="00871F8D">
            <w:pPr>
              <w:jc w:val="right"/>
              <w:textAlignment w:val="bottom"/>
            </w:pPr>
            <w:r>
              <w:rPr>
                <w:rFonts w:ascii="Arial" w:eastAsia="宋体" w:hAnsi="Arial" w:cs="Arial"/>
                <w:color w:val="000000"/>
                <w:sz w:val="14"/>
                <w:szCs w:val="14"/>
              </w:rPr>
              <w:t>1,529 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7E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7E5"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7E6" w14:textId="77777777" w:rsidR="00584EC1" w:rsidRDefault="00871F8D">
            <w:pPr>
              <w:jc w:val="right"/>
              <w:textAlignment w:val="bottom"/>
            </w:pPr>
            <w:r>
              <w:rPr>
                <w:rFonts w:ascii="Arial" w:eastAsia="宋体" w:hAnsi="Arial" w:cs="Arial"/>
                <w:color w:val="000000"/>
                <w:sz w:val="14"/>
                <w:szCs w:val="14"/>
              </w:rPr>
              <w:t>4 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7E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7E8"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7E9" w14:textId="77777777" w:rsidR="00584EC1" w:rsidRDefault="00871F8D">
            <w:pPr>
              <w:jc w:val="right"/>
              <w:textAlignment w:val="bottom"/>
            </w:pPr>
            <w:r>
              <w:rPr>
                <w:rFonts w:ascii="Arial" w:eastAsia="宋体" w:hAnsi="Arial" w:cs="Arial"/>
                <w:color w:val="000000"/>
                <w:sz w:val="14"/>
                <w:szCs w:val="14"/>
              </w:rPr>
              <w:t>566 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7E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7EB"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7EC" w14:textId="77777777" w:rsidR="00584EC1" w:rsidRDefault="00871F8D">
            <w:pPr>
              <w:jc w:val="right"/>
              <w:textAlignment w:val="bottom"/>
            </w:pPr>
            <w:r>
              <w:rPr>
                <w:rFonts w:ascii="Arial" w:eastAsia="宋体" w:hAnsi="Arial" w:cs="Arial"/>
                <w:color w:val="000000"/>
                <w:sz w:val="14"/>
                <w:szCs w:val="14"/>
              </w:rPr>
              <w:t>3 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7E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7EE"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7EF" w14:textId="77777777" w:rsidR="00584EC1" w:rsidRDefault="00871F8D">
            <w:pPr>
              <w:jc w:val="right"/>
              <w:textAlignment w:val="bottom"/>
            </w:pPr>
            <w:r>
              <w:rPr>
                <w:rFonts w:ascii="Arial" w:eastAsia="宋体" w:hAnsi="Arial" w:cs="Arial"/>
                <w:color w:val="000000"/>
                <w:sz w:val="14"/>
                <w:szCs w:val="14"/>
              </w:rPr>
              <w:t>2,095 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7F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7F1"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7F2" w14:textId="77777777" w:rsidR="00584EC1" w:rsidRDefault="00871F8D">
            <w:pPr>
              <w:jc w:val="right"/>
              <w:textAlignment w:val="bottom"/>
            </w:pPr>
            <w:r>
              <w:rPr>
                <w:rFonts w:ascii="Arial" w:eastAsia="宋体" w:hAnsi="Arial" w:cs="Arial"/>
                <w:color w:val="000000"/>
                <w:sz w:val="14"/>
                <w:szCs w:val="14"/>
              </w:rPr>
              <w:t>7 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7F3" w14:textId="77777777" w:rsidR="00584EC1" w:rsidRDefault="00584EC1">
            <w:pPr>
              <w:jc w:val="right"/>
              <w:rPr>
                <w:rFonts w:ascii="宋体"/>
              </w:rPr>
            </w:pPr>
          </w:p>
        </w:tc>
      </w:tr>
      <w:tr w:rsidR="00584EC1" w14:paraId="74DDD801" w14:textId="77777777">
        <w:tc>
          <w:tcPr>
            <w:tcW w:w="0" w:type="auto"/>
            <w:gridSpan w:val="3"/>
            <w:shd w:val="clear" w:color="auto" w:fill="FFFFFF"/>
            <w:tcMar>
              <w:top w:w="40" w:type="dxa"/>
              <w:left w:w="20" w:type="dxa"/>
              <w:bottom w:w="40" w:type="dxa"/>
              <w:right w:w="20" w:type="dxa"/>
            </w:tcMar>
            <w:vAlign w:val="bottom"/>
          </w:tcPr>
          <w:p w14:paraId="74DDD7F5" w14:textId="77777777" w:rsidR="00584EC1" w:rsidRDefault="00871F8D">
            <w:pPr>
              <w:textAlignment w:val="bottom"/>
            </w:pPr>
            <w:r>
              <w:rPr>
                <w:rFonts w:ascii="Arial" w:eastAsia="宋体" w:hAnsi="Arial" w:cs="Arial"/>
                <w:color w:val="000000"/>
                <w:sz w:val="14"/>
                <w:szCs w:val="14"/>
              </w:rPr>
              <w:t>Non-U.S. debt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D7F6"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7F7"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D7F8"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7F9"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D7FA"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7FB"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D7FC"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7FD"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D7FE"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7FF"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D800" w14:textId="77777777" w:rsidR="00584EC1" w:rsidRDefault="00584EC1">
            <w:pPr>
              <w:rPr>
                <w:rFonts w:ascii="宋体"/>
              </w:rPr>
            </w:pPr>
          </w:p>
        </w:tc>
      </w:tr>
      <w:tr w:rsidR="00584EC1" w14:paraId="74DDD814" w14:textId="77777777">
        <w:tc>
          <w:tcPr>
            <w:tcW w:w="0" w:type="auto"/>
            <w:gridSpan w:val="3"/>
            <w:shd w:val="clear" w:color="auto" w:fill="CCEEFF"/>
            <w:tcMar>
              <w:top w:w="40" w:type="dxa"/>
              <w:left w:w="245" w:type="dxa"/>
              <w:bottom w:w="40" w:type="dxa"/>
              <w:right w:w="20" w:type="dxa"/>
            </w:tcMar>
            <w:vAlign w:val="bottom"/>
          </w:tcPr>
          <w:p w14:paraId="74DDD802" w14:textId="77777777" w:rsidR="00584EC1" w:rsidRDefault="00871F8D">
            <w:pPr>
              <w:textAlignment w:val="bottom"/>
            </w:pPr>
            <w:r>
              <w:rPr>
                <w:rFonts w:ascii="Arial" w:eastAsia="宋体" w:hAnsi="Arial" w:cs="Arial"/>
                <w:color w:val="000000"/>
                <w:sz w:val="14"/>
                <w:szCs w:val="14"/>
              </w:rPr>
              <w:t xml:space="preserve">Mortgage-backed </w:t>
            </w:r>
            <w:r>
              <w:rPr>
                <w:rFonts w:ascii="Arial" w:eastAsia="宋体" w:hAnsi="Arial" w:cs="Arial"/>
                <w:color w:val="000000"/>
                <w:sz w:val="14"/>
                <w:szCs w:val="14"/>
              </w:rPr>
              <w:t>securities</w:t>
            </w:r>
          </w:p>
        </w:tc>
        <w:tc>
          <w:tcPr>
            <w:tcW w:w="0" w:type="auto"/>
            <w:gridSpan w:val="2"/>
            <w:shd w:val="clear" w:color="auto" w:fill="CCEEFF"/>
            <w:tcMar>
              <w:top w:w="40" w:type="dxa"/>
              <w:left w:w="20" w:type="dxa"/>
              <w:bottom w:w="40" w:type="dxa"/>
              <w:right w:w="0" w:type="dxa"/>
            </w:tcMar>
            <w:vAlign w:val="bottom"/>
          </w:tcPr>
          <w:p w14:paraId="74DDD803" w14:textId="77777777" w:rsidR="00584EC1" w:rsidRDefault="00871F8D">
            <w:pPr>
              <w:jc w:val="right"/>
              <w:textAlignment w:val="bottom"/>
            </w:pPr>
            <w:r>
              <w:rPr>
                <w:rFonts w:ascii="Arial" w:eastAsia="宋体" w:hAnsi="Arial" w:cs="Arial"/>
                <w:color w:val="000000"/>
                <w:sz w:val="14"/>
                <w:szCs w:val="14"/>
              </w:rPr>
              <w:t>600 </w:t>
            </w:r>
          </w:p>
        </w:tc>
        <w:tc>
          <w:tcPr>
            <w:tcW w:w="0" w:type="auto"/>
            <w:shd w:val="clear" w:color="auto" w:fill="CCEEFF"/>
            <w:tcMar>
              <w:top w:w="40" w:type="dxa"/>
              <w:left w:w="0" w:type="dxa"/>
              <w:bottom w:w="40" w:type="dxa"/>
              <w:right w:w="20" w:type="dxa"/>
            </w:tcMar>
            <w:vAlign w:val="bottom"/>
          </w:tcPr>
          <w:p w14:paraId="74DDD80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80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806" w14:textId="77777777" w:rsidR="00584EC1" w:rsidRDefault="00871F8D">
            <w:pPr>
              <w:jc w:val="right"/>
              <w:textAlignment w:val="bottom"/>
            </w:pPr>
            <w:r>
              <w:rPr>
                <w:rFonts w:ascii="Arial" w:eastAsia="宋体" w:hAnsi="Arial" w:cs="Arial"/>
                <w:color w:val="000000"/>
                <w:sz w:val="14"/>
                <w:szCs w:val="14"/>
              </w:rPr>
              <w:t>1 </w:t>
            </w:r>
          </w:p>
        </w:tc>
        <w:tc>
          <w:tcPr>
            <w:tcW w:w="0" w:type="auto"/>
            <w:shd w:val="clear" w:color="auto" w:fill="CCEEFF"/>
            <w:tcMar>
              <w:top w:w="40" w:type="dxa"/>
              <w:left w:w="0" w:type="dxa"/>
              <w:bottom w:w="40" w:type="dxa"/>
              <w:right w:w="20" w:type="dxa"/>
            </w:tcMar>
            <w:vAlign w:val="bottom"/>
          </w:tcPr>
          <w:p w14:paraId="74DDD80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808"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809" w14:textId="77777777" w:rsidR="00584EC1" w:rsidRDefault="00871F8D">
            <w:pPr>
              <w:jc w:val="right"/>
              <w:textAlignment w:val="bottom"/>
            </w:pPr>
            <w:r>
              <w:rPr>
                <w:rFonts w:ascii="Arial" w:eastAsia="宋体" w:hAnsi="Arial" w:cs="Arial"/>
                <w:color w:val="000000"/>
                <w:sz w:val="14"/>
                <w:szCs w:val="14"/>
              </w:rPr>
              <w:t>120 </w:t>
            </w:r>
          </w:p>
        </w:tc>
        <w:tc>
          <w:tcPr>
            <w:tcW w:w="0" w:type="auto"/>
            <w:shd w:val="clear" w:color="auto" w:fill="CCEEFF"/>
            <w:tcMar>
              <w:top w:w="40" w:type="dxa"/>
              <w:left w:w="0" w:type="dxa"/>
              <w:bottom w:w="40" w:type="dxa"/>
              <w:right w:w="20" w:type="dxa"/>
            </w:tcMar>
            <w:vAlign w:val="bottom"/>
          </w:tcPr>
          <w:p w14:paraId="74DDD80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80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80C" w14:textId="77777777" w:rsidR="00584EC1" w:rsidRDefault="00871F8D">
            <w:pPr>
              <w:jc w:val="right"/>
              <w:textAlignment w:val="bottom"/>
            </w:pPr>
            <w:r>
              <w:rPr>
                <w:rFonts w:ascii="Arial" w:eastAsia="宋体" w:hAnsi="Arial" w:cs="Arial"/>
                <w:color w:val="000000"/>
                <w:sz w:val="14"/>
                <w:szCs w:val="14"/>
              </w:rPr>
              <w:t>1 </w:t>
            </w:r>
          </w:p>
        </w:tc>
        <w:tc>
          <w:tcPr>
            <w:tcW w:w="0" w:type="auto"/>
            <w:shd w:val="clear" w:color="auto" w:fill="CCEEFF"/>
            <w:tcMar>
              <w:top w:w="40" w:type="dxa"/>
              <w:left w:w="0" w:type="dxa"/>
              <w:bottom w:w="40" w:type="dxa"/>
              <w:right w:w="20" w:type="dxa"/>
            </w:tcMar>
            <w:vAlign w:val="bottom"/>
          </w:tcPr>
          <w:p w14:paraId="74DDD80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80E"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80F" w14:textId="77777777" w:rsidR="00584EC1" w:rsidRDefault="00871F8D">
            <w:pPr>
              <w:jc w:val="right"/>
              <w:textAlignment w:val="bottom"/>
            </w:pPr>
            <w:r>
              <w:rPr>
                <w:rFonts w:ascii="Arial" w:eastAsia="宋体" w:hAnsi="Arial" w:cs="Arial"/>
                <w:color w:val="000000"/>
                <w:sz w:val="14"/>
                <w:szCs w:val="14"/>
              </w:rPr>
              <w:t>720 </w:t>
            </w:r>
          </w:p>
        </w:tc>
        <w:tc>
          <w:tcPr>
            <w:tcW w:w="0" w:type="auto"/>
            <w:shd w:val="clear" w:color="auto" w:fill="CCEEFF"/>
            <w:tcMar>
              <w:top w:w="40" w:type="dxa"/>
              <w:left w:w="0" w:type="dxa"/>
              <w:bottom w:w="40" w:type="dxa"/>
              <w:right w:w="20" w:type="dxa"/>
            </w:tcMar>
            <w:vAlign w:val="bottom"/>
          </w:tcPr>
          <w:p w14:paraId="74DDD81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81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812" w14:textId="77777777" w:rsidR="00584EC1" w:rsidRDefault="00871F8D">
            <w:pPr>
              <w:jc w:val="right"/>
              <w:textAlignment w:val="bottom"/>
            </w:pPr>
            <w:r>
              <w:rPr>
                <w:rFonts w:ascii="Arial" w:eastAsia="宋体" w:hAnsi="Arial" w:cs="Arial"/>
                <w:color w:val="000000"/>
                <w:sz w:val="14"/>
                <w:szCs w:val="14"/>
              </w:rPr>
              <w:t>2 </w:t>
            </w:r>
          </w:p>
        </w:tc>
        <w:tc>
          <w:tcPr>
            <w:tcW w:w="0" w:type="auto"/>
            <w:shd w:val="clear" w:color="auto" w:fill="CCEEFF"/>
            <w:tcMar>
              <w:top w:w="40" w:type="dxa"/>
              <w:left w:w="0" w:type="dxa"/>
              <w:bottom w:w="40" w:type="dxa"/>
              <w:right w:w="20" w:type="dxa"/>
            </w:tcMar>
            <w:vAlign w:val="bottom"/>
          </w:tcPr>
          <w:p w14:paraId="74DDD813" w14:textId="77777777" w:rsidR="00584EC1" w:rsidRDefault="00584EC1">
            <w:pPr>
              <w:jc w:val="right"/>
              <w:rPr>
                <w:rFonts w:ascii="宋体"/>
              </w:rPr>
            </w:pPr>
          </w:p>
        </w:tc>
      </w:tr>
      <w:tr w:rsidR="00584EC1" w14:paraId="74DDD827" w14:textId="77777777">
        <w:tc>
          <w:tcPr>
            <w:tcW w:w="0" w:type="auto"/>
            <w:gridSpan w:val="3"/>
            <w:shd w:val="clear" w:color="auto" w:fill="FFFFFF"/>
            <w:tcMar>
              <w:top w:w="40" w:type="dxa"/>
              <w:left w:w="245" w:type="dxa"/>
              <w:bottom w:w="40" w:type="dxa"/>
              <w:right w:w="20" w:type="dxa"/>
            </w:tcMar>
            <w:vAlign w:val="bottom"/>
          </w:tcPr>
          <w:p w14:paraId="74DDD815" w14:textId="77777777" w:rsidR="00584EC1" w:rsidRDefault="00871F8D">
            <w:pPr>
              <w:textAlignment w:val="bottom"/>
            </w:pPr>
            <w:r>
              <w:rPr>
                <w:rFonts w:ascii="Arial" w:eastAsia="宋体" w:hAnsi="Arial" w:cs="Arial"/>
                <w:color w:val="000000"/>
                <w:sz w:val="14"/>
                <w:szCs w:val="14"/>
              </w:rPr>
              <w:t>Asset-backed securities</w:t>
            </w:r>
          </w:p>
        </w:tc>
        <w:tc>
          <w:tcPr>
            <w:tcW w:w="0" w:type="auto"/>
            <w:gridSpan w:val="2"/>
            <w:shd w:val="clear" w:color="auto" w:fill="FFFFFF"/>
            <w:tcMar>
              <w:top w:w="40" w:type="dxa"/>
              <w:left w:w="20" w:type="dxa"/>
              <w:bottom w:w="40" w:type="dxa"/>
              <w:right w:w="0" w:type="dxa"/>
            </w:tcMar>
            <w:vAlign w:val="bottom"/>
          </w:tcPr>
          <w:p w14:paraId="74DDD816" w14:textId="77777777" w:rsidR="00584EC1" w:rsidRDefault="00871F8D">
            <w:pPr>
              <w:jc w:val="right"/>
              <w:textAlignment w:val="bottom"/>
            </w:pPr>
            <w:r>
              <w:rPr>
                <w:rFonts w:ascii="Arial" w:eastAsia="宋体" w:hAnsi="Arial" w:cs="Arial"/>
                <w:color w:val="000000"/>
                <w:sz w:val="14"/>
                <w:szCs w:val="14"/>
              </w:rPr>
              <w:t>1,015 </w:t>
            </w:r>
          </w:p>
        </w:tc>
        <w:tc>
          <w:tcPr>
            <w:tcW w:w="0" w:type="auto"/>
            <w:shd w:val="clear" w:color="auto" w:fill="FFFFFF"/>
            <w:tcMar>
              <w:top w:w="40" w:type="dxa"/>
              <w:left w:w="0" w:type="dxa"/>
              <w:bottom w:w="40" w:type="dxa"/>
              <w:right w:w="20" w:type="dxa"/>
            </w:tcMar>
            <w:vAlign w:val="bottom"/>
          </w:tcPr>
          <w:p w14:paraId="74DDD81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818"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819" w14:textId="77777777" w:rsidR="00584EC1" w:rsidRDefault="00871F8D">
            <w:pPr>
              <w:jc w:val="right"/>
              <w:textAlignment w:val="bottom"/>
            </w:pPr>
            <w:r>
              <w:rPr>
                <w:rFonts w:ascii="Arial" w:eastAsia="宋体" w:hAnsi="Arial" w:cs="Arial"/>
                <w:color w:val="000000"/>
                <w:sz w:val="14"/>
                <w:szCs w:val="14"/>
              </w:rPr>
              <w:t>3 </w:t>
            </w:r>
          </w:p>
        </w:tc>
        <w:tc>
          <w:tcPr>
            <w:tcW w:w="0" w:type="auto"/>
            <w:shd w:val="clear" w:color="auto" w:fill="FFFFFF"/>
            <w:tcMar>
              <w:top w:w="40" w:type="dxa"/>
              <w:left w:w="0" w:type="dxa"/>
              <w:bottom w:w="40" w:type="dxa"/>
              <w:right w:w="20" w:type="dxa"/>
            </w:tcMar>
            <w:vAlign w:val="bottom"/>
          </w:tcPr>
          <w:p w14:paraId="74DDD81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81B"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81C" w14:textId="77777777" w:rsidR="00584EC1" w:rsidRDefault="00871F8D">
            <w:pPr>
              <w:jc w:val="right"/>
              <w:textAlignment w:val="bottom"/>
            </w:pPr>
            <w:r>
              <w:rPr>
                <w:rFonts w:ascii="Arial" w:eastAsia="宋体" w:hAnsi="Arial" w:cs="Arial"/>
                <w:color w:val="000000"/>
                <w:sz w:val="14"/>
                <w:szCs w:val="14"/>
              </w:rPr>
              <w:t>446 </w:t>
            </w:r>
          </w:p>
        </w:tc>
        <w:tc>
          <w:tcPr>
            <w:tcW w:w="0" w:type="auto"/>
            <w:shd w:val="clear" w:color="auto" w:fill="FFFFFF"/>
            <w:tcMar>
              <w:top w:w="40" w:type="dxa"/>
              <w:left w:w="0" w:type="dxa"/>
              <w:bottom w:w="40" w:type="dxa"/>
              <w:right w:w="20" w:type="dxa"/>
            </w:tcMar>
            <w:vAlign w:val="bottom"/>
          </w:tcPr>
          <w:p w14:paraId="74DDD81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81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81F" w14:textId="77777777" w:rsidR="00584EC1" w:rsidRDefault="00871F8D">
            <w:pPr>
              <w:jc w:val="right"/>
              <w:textAlignment w:val="bottom"/>
            </w:pPr>
            <w:r>
              <w:rPr>
                <w:rFonts w:ascii="Arial" w:eastAsia="宋体" w:hAnsi="Arial" w:cs="Arial"/>
                <w:color w:val="000000"/>
                <w:sz w:val="14"/>
                <w:szCs w:val="14"/>
              </w:rPr>
              <w:t>1 </w:t>
            </w:r>
          </w:p>
        </w:tc>
        <w:tc>
          <w:tcPr>
            <w:tcW w:w="0" w:type="auto"/>
            <w:shd w:val="clear" w:color="auto" w:fill="FFFFFF"/>
            <w:tcMar>
              <w:top w:w="40" w:type="dxa"/>
              <w:left w:w="0" w:type="dxa"/>
              <w:bottom w:w="40" w:type="dxa"/>
              <w:right w:w="20" w:type="dxa"/>
            </w:tcMar>
            <w:vAlign w:val="bottom"/>
          </w:tcPr>
          <w:p w14:paraId="74DDD82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82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822" w14:textId="77777777" w:rsidR="00584EC1" w:rsidRDefault="00871F8D">
            <w:pPr>
              <w:jc w:val="right"/>
              <w:textAlignment w:val="bottom"/>
            </w:pPr>
            <w:r>
              <w:rPr>
                <w:rFonts w:ascii="Arial" w:eastAsia="宋体" w:hAnsi="Arial" w:cs="Arial"/>
                <w:color w:val="000000"/>
                <w:sz w:val="14"/>
                <w:szCs w:val="14"/>
              </w:rPr>
              <w:t>1,461 </w:t>
            </w:r>
          </w:p>
        </w:tc>
        <w:tc>
          <w:tcPr>
            <w:tcW w:w="0" w:type="auto"/>
            <w:shd w:val="clear" w:color="auto" w:fill="FFFFFF"/>
            <w:tcMar>
              <w:top w:w="40" w:type="dxa"/>
              <w:left w:w="0" w:type="dxa"/>
              <w:bottom w:w="40" w:type="dxa"/>
              <w:right w:w="20" w:type="dxa"/>
            </w:tcMar>
            <w:vAlign w:val="bottom"/>
          </w:tcPr>
          <w:p w14:paraId="74DDD82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82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825" w14:textId="77777777" w:rsidR="00584EC1" w:rsidRDefault="00871F8D">
            <w:pPr>
              <w:jc w:val="right"/>
              <w:textAlignment w:val="bottom"/>
            </w:pPr>
            <w:r>
              <w:rPr>
                <w:rFonts w:ascii="Arial" w:eastAsia="宋体" w:hAnsi="Arial" w:cs="Arial"/>
                <w:color w:val="000000"/>
                <w:sz w:val="14"/>
                <w:szCs w:val="14"/>
              </w:rPr>
              <w:t>4 </w:t>
            </w:r>
          </w:p>
        </w:tc>
        <w:tc>
          <w:tcPr>
            <w:tcW w:w="0" w:type="auto"/>
            <w:shd w:val="clear" w:color="auto" w:fill="FFFFFF"/>
            <w:tcMar>
              <w:top w:w="40" w:type="dxa"/>
              <w:left w:w="0" w:type="dxa"/>
              <w:bottom w:w="40" w:type="dxa"/>
              <w:right w:w="20" w:type="dxa"/>
            </w:tcMar>
            <w:vAlign w:val="bottom"/>
          </w:tcPr>
          <w:p w14:paraId="74DDD826" w14:textId="77777777" w:rsidR="00584EC1" w:rsidRDefault="00584EC1">
            <w:pPr>
              <w:jc w:val="right"/>
              <w:rPr>
                <w:rFonts w:ascii="宋体"/>
              </w:rPr>
            </w:pPr>
          </w:p>
        </w:tc>
      </w:tr>
      <w:tr w:rsidR="00584EC1" w14:paraId="74DDD83A" w14:textId="77777777">
        <w:tc>
          <w:tcPr>
            <w:tcW w:w="0" w:type="auto"/>
            <w:gridSpan w:val="3"/>
            <w:shd w:val="clear" w:color="auto" w:fill="CCEEFF"/>
            <w:tcMar>
              <w:top w:w="40" w:type="dxa"/>
              <w:left w:w="245" w:type="dxa"/>
              <w:bottom w:w="40" w:type="dxa"/>
              <w:right w:w="20" w:type="dxa"/>
            </w:tcMar>
            <w:vAlign w:val="bottom"/>
          </w:tcPr>
          <w:p w14:paraId="74DDD828" w14:textId="77777777" w:rsidR="00584EC1" w:rsidRDefault="00871F8D">
            <w:pPr>
              <w:textAlignment w:val="bottom"/>
            </w:pPr>
            <w:r>
              <w:rPr>
                <w:rFonts w:ascii="Arial" w:eastAsia="宋体" w:hAnsi="Arial" w:cs="Arial"/>
                <w:color w:val="000000"/>
                <w:sz w:val="14"/>
                <w:szCs w:val="14"/>
              </w:rPr>
              <w:t>Non-U.S. sovereign, supranational and non-U.S. agency</w:t>
            </w:r>
          </w:p>
        </w:tc>
        <w:tc>
          <w:tcPr>
            <w:tcW w:w="0" w:type="auto"/>
            <w:gridSpan w:val="2"/>
            <w:shd w:val="clear" w:color="auto" w:fill="CCEEFF"/>
            <w:tcMar>
              <w:top w:w="40" w:type="dxa"/>
              <w:left w:w="20" w:type="dxa"/>
              <w:bottom w:w="40" w:type="dxa"/>
              <w:right w:w="0" w:type="dxa"/>
            </w:tcMar>
            <w:vAlign w:val="bottom"/>
          </w:tcPr>
          <w:p w14:paraId="74DDD829" w14:textId="77777777" w:rsidR="00584EC1" w:rsidRDefault="00871F8D">
            <w:pPr>
              <w:jc w:val="right"/>
              <w:textAlignment w:val="bottom"/>
            </w:pPr>
            <w:r>
              <w:rPr>
                <w:rFonts w:ascii="Arial" w:eastAsia="宋体" w:hAnsi="Arial" w:cs="Arial"/>
                <w:color w:val="000000"/>
                <w:sz w:val="14"/>
                <w:szCs w:val="14"/>
              </w:rPr>
              <w:t>489 </w:t>
            </w:r>
          </w:p>
        </w:tc>
        <w:tc>
          <w:tcPr>
            <w:tcW w:w="0" w:type="auto"/>
            <w:shd w:val="clear" w:color="auto" w:fill="CCEEFF"/>
            <w:tcMar>
              <w:top w:w="40" w:type="dxa"/>
              <w:left w:w="0" w:type="dxa"/>
              <w:bottom w:w="40" w:type="dxa"/>
              <w:right w:w="20" w:type="dxa"/>
            </w:tcMar>
            <w:vAlign w:val="bottom"/>
          </w:tcPr>
          <w:p w14:paraId="74DDD82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82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82C"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D82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82E"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82F"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D83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83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832"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D83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834"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835" w14:textId="77777777" w:rsidR="00584EC1" w:rsidRDefault="00871F8D">
            <w:pPr>
              <w:jc w:val="right"/>
              <w:textAlignment w:val="bottom"/>
            </w:pPr>
            <w:r>
              <w:rPr>
                <w:rFonts w:ascii="Arial" w:eastAsia="宋体" w:hAnsi="Arial" w:cs="Arial"/>
                <w:color w:val="000000"/>
                <w:sz w:val="14"/>
                <w:szCs w:val="14"/>
              </w:rPr>
              <w:t>489 </w:t>
            </w:r>
          </w:p>
        </w:tc>
        <w:tc>
          <w:tcPr>
            <w:tcW w:w="0" w:type="auto"/>
            <w:shd w:val="clear" w:color="auto" w:fill="CCEEFF"/>
            <w:tcMar>
              <w:top w:w="40" w:type="dxa"/>
              <w:left w:w="0" w:type="dxa"/>
              <w:bottom w:w="40" w:type="dxa"/>
              <w:right w:w="20" w:type="dxa"/>
            </w:tcMar>
            <w:vAlign w:val="bottom"/>
          </w:tcPr>
          <w:p w14:paraId="74DDD83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83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838"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D839" w14:textId="77777777" w:rsidR="00584EC1" w:rsidRDefault="00584EC1">
            <w:pPr>
              <w:jc w:val="right"/>
              <w:rPr>
                <w:rFonts w:ascii="宋体"/>
              </w:rPr>
            </w:pPr>
          </w:p>
        </w:tc>
      </w:tr>
      <w:tr w:rsidR="00584EC1" w14:paraId="74DDD84D" w14:textId="77777777">
        <w:tc>
          <w:tcPr>
            <w:tcW w:w="0" w:type="auto"/>
            <w:gridSpan w:val="3"/>
            <w:shd w:val="clear" w:color="auto" w:fill="FFFFFF"/>
            <w:tcMar>
              <w:top w:w="40" w:type="dxa"/>
              <w:left w:w="245" w:type="dxa"/>
              <w:bottom w:w="40" w:type="dxa"/>
              <w:right w:w="20" w:type="dxa"/>
            </w:tcMar>
            <w:vAlign w:val="bottom"/>
          </w:tcPr>
          <w:p w14:paraId="74DDD83B" w14:textId="77777777" w:rsidR="00584EC1" w:rsidRDefault="00871F8D">
            <w:pPr>
              <w:textAlignment w:val="bottom"/>
            </w:pPr>
            <w:r>
              <w:rPr>
                <w:rFonts w:ascii="Arial" w:eastAsia="宋体" w:hAnsi="Arial" w:cs="Arial"/>
                <w:color w:val="000000"/>
                <w:sz w:val="14"/>
                <w:szCs w:val="14"/>
              </w:rPr>
              <w:t>Other</w:t>
            </w:r>
          </w:p>
        </w:tc>
        <w:tc>
          <w:tcPr>
            <w:tcW w:w="0" w:type="auto"/>
            <w:gridSpan w:val="2"/>
            <w:shd w:val="clear" w:color="auto" w:fill="FFFFFF"/>
            <w:tcMar>
              <w:top w:w="40" w:type="dxa"/>
              <w:left w:w="20" w:type="dxa"/>
              <w:bottom w:w="40" w:type="dxa"/>
              <w:right w:w="0" w:type="dxa"/>
            </w:tcMar>
            <w:vAlign w:val="bottom"/>
          </w:tcPr>
          <w:p w14:paraId="74DDD83C" w14:textId="77777777" w:rsidR="00584EC1" w:rsidRDefault="00871F8D">
            <w:pPr>
              <w:jc w:val="right"/>
              <w:textAlignment w:val="bottom"/>
            </w:pPr>
            <w:r>
              <w:rPr>
                <w:rFonts w:ascii="Arial" w:eastAsia="宋体" w:hAnsi="Arial" w:cs="Arial"/>
                <w:color w:val="000000"/>
                <w:sz w:val="14"/>
                <w:szCs w:val="14"/>
              </w:rPr>
              <w:t>715 </w:t>
            </w:r>
          </w:p>
        </w:tc>
        <w:tc>
          <w:tcPr>
            <w:tcW w:w="0" w:type="auto"/>
            <w:shd w:val="clear" w:color="auto" w:fill="FFFFFF"/>
            <w:tcMar>
              <w:top w:w="40" w:type="dxa"/>
              <w:left w:w="0" w:type="dxa"/>
              <w:bottom w:w="40" w:type="dxa"/>
              <w:right w:w="20" w:type="dxa"/>
            </w:tcMar>
            <w:vAlign w:val="bottom"/>
          </w:tcPr>
          <w:p w14:paraId="74DDD83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83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83F" w14:textId="77777777" w:rsidR="00584EC1" w:rsidRDefault="00871F8D">
            <w:pPr>
              <w:jc w:val="right"/>
              <w:textAlignment w:val="bottom"/>
            </w:pPr>
            <w:r>
              <w:rPr>
                <w:rFonts w:ascii="Arial" w:eastAsia="宋体" w:hAnsi="Arial" w:cs="Arial"/>
                <w:color w:val="000000"/>
                <w:sz w:val="14"/>
                <w:szCs w:val="14"/>
              </w:rPr>
              <w:t>3 </w:t>
            </w:r>
          </w:p>
        </w:tc>
        <w:tc>
          <w:tcPr>
            <w:tcW w:w="0" w:type="auto"/>
            <w:shd w:val="clear" w:color="auto" w:fill="FFFFFF"/>
            <w:tcMar>
              <w:top w:w="40" w:type="dxa"/>
              <w:left w:w="0" w:type="dxa"/>
              <w:bottom w:w="40" w:type="dxa"/>
              <w:right w:w="20" w:type="dxa"/>
            </w:tcMar>
            <w:vAlign w:val="bottom"/>
          </w:tcPr>
          <w:p w14:paraId="74DDD84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84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842" w14:textId="77777777" w:rsidR="00584EC1" w:rsidRDefault="00871F8D">
            <w:pPr>
              <w:jc w:val="right"/>
              <w:textAlignment w:val="bottom"/>
            </w:pPr>
            <w:r>
              <w:rPr>
                <w:rFonts w:ascii="Arial" w:eastAsia="宋体" w:hAnsi="Arial" w:cs="Arial"/>
                <w:color w:val="000000"/>
                <w:sz w:val="14"/>
                <w:szCs w:val="14"/>
              </w:rPr>
              <w:t>80 </w:t>
            </w:r>
          </w:p>
        </w:tc>
        <w:tc>
          <w:tcPr>
            <w:tcW w:w="0" w:type="auto"/>
            <w:shd w:val="clear" w:color="auto" w:fill="FFFFFF"/>
            <w:tcMar>
              <w:top w:w="40" w:type="dxa"/>
              <w:left w:w="0" w:type="dxa"/>
              <w:bottom w:w="40" w:type="dxa"/>
              <w:right w:w="20" w:type="dxa"/>
            </w:tcMar>
            <w:vAlign w:val="bottom"/>
          </w:tcPr>
          <w:p w14:paraId="74DDD84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84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845"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D84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84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848" w14:textId="77777777" w:rsidR="00584EC1" w:rsidRDefault="00871F8D">
            <w:pPr>
              <w:jc w:val="right"/>
              <w:textAlignment w:val="bottom"/>
            </w:pPr>
            <w:r>
              <w:rPr>
                <w:rFonts w:ascii="Arial" w:eastAsia="宋体" w:hAnsi="Arial" w:cs="Arial"/>
                <w:color w:val="000000"/>
                <w:sz w:val="14"/>
                <w:szCs w:val="14"/>
              </w:rPr>
              <w:t>795 </w:t>
            </w:r>
          </w:p>
        </w:tc>
        <w:tc>
          <w:tcPr>
            <w:tcW w:w="0" w:type="auto"/>
            <w:shd w:val="clear" w:color="auto" w:fill="FFFFFF"/>
            <w:tcMar>
              <w:top w:w="40" w:type="dxa"/>
              <w:left w:w="0" w:type="dxa"/>
              <w:bottom w:w="40" w:type="dxa"/>
              <w:right w:w="20" w:type="dxa"/>
            </w:tcMar>
            <w:vAlign w:val="bottom"/>
          </w:tcPr>
          <w:p w14:paraId="74DDD84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84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84B" w14:textId="77777777" w:rsidR="00584EC1" w:rsidRDefault="00871F8D">
            <w:pPr>
              <w:jc w:val="right"/>
              <w:textAlignment w:val="bottom"/>
            </w:pPr>
            <w:r>
              <w:rPr>
                <w:rFonts w:ascii="Arial" w:eastAsia="宋体" w:hAnsi="Arial" w:cs="Arial"/>
                <w:color w:val="000000"/>
                <w:sz w:val="14"/>
                <w:szCs w:val="14"/>
              </w:rPr>
              <w:t>3 </w:t>
            </w:r>
          </w:p>
        </w:tc>
        <w:tc>
          <w:tcPr>
            <w:tcW w:w="0" w:type="auto"/>
            <w:shd w:val="clear" w:color="auto" w:fill="FFFFFF"/>
            <w:tcMar>
              <w:top w:w="40" w:type="dxa"/>
              <w:left w:w="0" w:type="dxa"/>
              <w:bottom w:w="40" w:type="dxa"/>
              <w:right w:w="20" w:type="dxa"/>
            </w:tcMar>
            <w:vAlign w:val="bottom"/>
          </w:tcPr>
          <w:p w14:paraId="74DDD84C" w14:textId="77777777" w:rsidR="00584EC1" w:rsidRDefault="00584EC1">
            <w:pPr>
              <w:jc w:val="right"/>
              <w:rPr>
                <w:rFonts w:ascii="宋体"/>
              </w:rPr>
            </w:pPr>
          </w:p>
        </w:tc>
      </w:tr>
      <w:tr w:rsidR="00584EC1" w14:paraId="74DDD860" w14:textId="77777777">
        <w:tc>
          <w:tcPr>
            <w:tcW w:w="0" w:type="auto"/>
            <w:gridSpan w:val="3"/>
            <w:shd w:val="clear" w:color="auto" w:fill="CCEEFF"/>
            <w:tcMar>
              <w:top w:w="40" w:type="dxa"/>
              <w:left w:w="515" w:type="dxa"/>
              <w:bottom w:w="40" w:type="dxa"/>
              <w:right w:w="20" w:type="dxa"/>
            </w:tcMar>
            <w:vAlign w:val="bottom"/>
          </w:tcPr>
          <w:p w14:paraId="74DDD84E" w14:textId="77777777" w:rsidR="00584EC1" w:rsidRDefault="00871F8D">
            <w:pPr>
              <w:textAlignment w:val="bottom"/>
            </w:pPr>
            <w:r>
              <w:rPr>
                <w:rFonts w:ascii="Arial" w:eastAsia="宋体" w:hAnsi="Arial" w:cs="Arial"/>
                <w:color w:val="000000"/>
                <w:sz w:val="14"/>
                <w:szCs w:val="14"/>
              </w:rPr>
              <w:t>Total non-U.S. debt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84F" w14:textId="77777777" w:rsidR="00584EC1" w:rsidRDefault="00871F8D">
            <w:pPr>
              <w:jc w:val="right"/>
              <w:textAlignment w:val="bottom"/>
            </w:pPr>
            <w:r>
              <w:rPr>
                <w:rFonts w:ascii="Arial" w:eastAsia="宋体" w:hAnsi="Arial" w:cs="Arial"/>
                <w:color w:val="000000"/>
                <w:sz w:val="14"/>
                <w:szCs w:val="14"/>
              </w:rPr>
              <w:t>2,819 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85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851"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852" w14:textId="77777777" w:rsidR="00584EC1" w:rsidRDefault="00871F8D">
            <w:pPr>
              <w:jc w:val="right"/>
              <w:textAlignment w:val="bottom"/>
            </w:pPr>
            <w:r>
              <w:rPr>
                <w:rFonts w:ascii="Arial" w:eastAsia="宋体" w:hAnsi="Arial" w:cs="Arial"/>
                <w:color w:val="000000"/>
                <w:sz w:val="14"/>
                <w:szCs w:val="14"/>
              </w:rPr>
              <w:t>7 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85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854"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855" w14:textId="77777777" w:rsidR="00584EC1" w:rsidRDefault="00871F8D">
            <w:pPr>
              <w:jc w:val="right"/>
              <w:textAlignment w:val="bottom"/>
            </w:pPr>
            <w:r>
              <w:rPr>
                <w:rFonts w:ascii="Arial" w:eastAsia="宋体" w:hAnsi="Arial" w:cs="Arial"/>
                <w:color w:val="000000"/>
                <w:sz w:val="14"/>
                <w:szCs w:val="14"/>
              </w:rPr>
              <w:t>646 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85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857"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858" w14:textId="77777777" w:rsidR="00584EC1" w:rsidRDefault="00871F8D">
            <w:pPr>
              <w:jc w:val="right"/>
              <w:textAlignment w:val="bottom"/>
            </w:pPr>
            <w:r>
              <w:rPr>
                <w:rFonts w:ascii="Arial" w:eastAsia="宋体" w:hAnsi="Arial" w:cs="Arial"/>
                <w:color w:val="000000"/>
                <w:sz w:val="14"/>
                <w:szCs w:val="14"/>
              </w:rPr>
              <w:t>2 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85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85A"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85B" w14:textId="77777777" w:rsidR="00584EC1" w:rsidRDefault="00871F8D">
            <w:pPr>
              <w:jc w:val="right"/>
              <w:textAlignment w:val="bottom"/>
            </w:pPr>
            <w:r>
              <w:rPr>
                <w:rFonts w:ascii="Arial" w:eastAsia="宋体" w:hAnsi="Arial" w:cs="Arial"/>
                <w:color w:val="000000"/>
                <w:sz w:val="14"/>
                <w:szCs w:val="14"/>
              </w:rPr>
              <w:t>3,465 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85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85D"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85E" w14:textId="77777777" w:rsidR="00584EC1" w:rsidRDefault="00871F8D">
            <w:pPr>
              <w:jc w:val="right"/>
              <w:textAlignment w:val="bottom"/>
            </w:pPr>
            <w:r>
              <w:rPr>
                <w:rFonts w:ascii="Arial" w:eastAsia="宋体" w:hAnsi="Arial" w:cs="Arial"/>
                <w:color w:val="000000"/>
                <w:sz w:val="14"/>
                <w:szCs w:val="14"/>
              </w:rPr>
              <w:t>9 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85F" w14:textId="77777777" w:rsidR="00584EC1" w:rsidRDefault="00584EC1">
            <w:pPr>
              <w:jc w:val="right"/>
              <w:rPr>
                <w:rFonts w:ascii="宋体"/>
              </w:rPr>
            </w:pPr>
          </w:p>
        </w:tc>
      </w:tr>
      <w:tr w:rsidR="00584EC1" w14:paraId="74DDD873" w14:textId="77777777">
        <w:tc>
          <w:tcPr>
            <w:tcW w:w="0" w:type="auto"/>
            <w:gridSpan w:val="3"/>
            <w:shd w:val="clear" w:color="auto" w:fill="FFFFFF"/>
            <w:tcMar>
              <w:top w:w="40" w:type="dxa"/>
              <w:left w:w="20" w:type="dxa"/>
              <w:bottom w:w="40" w:type="dxa"/>
              <w:right w:w="20" w:type="dxa"/>
            </w:tcMar>
            <w:vAlign w:val="bottom"/>
          </w:tcPr>
          <w:p w14:paraId="74DDD861" w14:textId="77777777" w:rsidR="00584EC1" w:rsidRDefault="00871F8D">
            <w:pPr>
              <w:textAlignment w:val="bottom"/>
            </w:pPr>
            <w:r>
              <w:rPr>
                <w:rFonts w:ascii="Arial" w:eastAsia="宋体" w:hAnsi="Arial" w:cs="Arial"/>
                <w:color w:val="000000"/>
                <w:sz w:val="14"/>
                <w:szCs w:val="14"/>
              </w:rPr>
              <w:t>State and political subdivisions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D862" w14:textId="77777777" w:rsidR="00584EC1" w:rsidRDefault="00871F8D">
            <w:pPr>
              <w:jc w:val="right"/>
              <w:textAlignment w:val="bottom"/>
            </w:pPr>
            <w:r>
              <w:rPr>
                <w:rFonts w:ascii="Arial" w:eastAsia="宋体" w:hAnsi="Arial" w:cs="Arial"/>
                <w:color w:val="000000"/>
                <w:sz w:val="14"/>
                <w:szCs w:val="14"/>
              </w:rPr>
              <w:t>95 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D86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864"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D865" w14:textId="77777777" w:rsidR="00584EC1" w:rsidRDefault="00871F8D">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D86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867"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D868" w14:textId="77777777" w:rsidR="00584EC1" w:rsidRDefault="00871F8D">
            <w:pPr>
              <w:jc w:val="right"/>
              <w:textAlignment w:val="bottom"/>
            </w:pPr>
            <w:r>
              <w:rPr>
                <w:rFonts w:ascii="Arial" w:eastAsia="宋体" w:hAnsi="Arial" w:cs="Arial"/>
                <w:color w:val="000000"/>
                <w:sz w:val="14"/>
                <w:szCs w:val="14"/>
              </w:rPr>
              <w:t>76 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D86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86A"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D86B" w14:textId="77777777" w:rsidR="00584EC1" w:rsidRDefault="00871F8D">
            <w:pPr>
              <w:jc w:val="right"/>
              <w:textAlignment w:val="bottom"/>
            </w:pPr>
            <w:r>
              <w:rPr>
                <w:rFonts w:ascii="Arial" w:eastAsia="宋体" w:hAnsi="Arial" w:cs="Arial"/>
                <w:color w:val="000000"/>
                <w:sz w:val="14"/>
                <w:szCs w:val="14"/>
              </w:rPr>
              <w:t>2 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D86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86D"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D86E" w14:textId="77777777" w:rsidR="00584EC1" w:rsidRDefault="00871F8D">
            <w:pPr>
              <w:jc w:val="right"/>
              <w:textAlignment w:val="bottom"/>
            </w:pPr>
            <w:r>
              <w:rPr>
                <w:rFonts w:ascii="Arial" w:eastAsia="宋体" w:hAnsi="Arial" w:cs="Arial"/>
                <w:color w:val="000000"/>
                <w:sz w:val="14"/>
                <w:szCs w:val="14"/>
              </w:rPr>
              <w:t>171 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D86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870"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D871" w14:textId="77777777" w:rsidR="00584EC1" w:rsidRDefault="00871F8D">
            <w:pPr>
              <w:jc w:val="right"/>
              <w:textAlignment w:val="bottom"/>
            </w:pPr>
            <w:r>
              <w:rPr>
                <w:rFonts w:ascii="Arial" w:eastAsia="宋体" w:hAnsi="Arial" w:cs="Arial"/>
                <w:color w:val="000000"/>
                <w:sz w:val="14"/>
                <w:szCs w:val="14"/>
              </w:rPr>
              <w:t>2 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D872" w14:textId="77777777" w:rsidR="00584EC1" w:rsidRDefault="00584EC1">
            <w:pPr>
              <w:jc w:val="right"/>
              <w:rPr>
                <w:rFonts w:ascii="宋体"/>
              </w:rPr>
            </w:pPr>
          </w:p>
        </w:tc>
      </w:tr>
      <w:tr w:rsidR="00584EC1" w14:paraId="74DDD880" w14:textId="77777777">
        <w:trPr>
          <w:hidden/>
        </w:trPr>
        <w:tc>
          <w:tcPr>
            <w:tcW w:w="0" w:type="auto"/>
            <w:gridSpan w:val="3"/>
            <w:shd w:val="clear" w:color="auto" w:fill="auto"/>
            <w:vAlign w:val="bottom"/>
          </w:tcPr>
          <w:p w14:paraId="74DDD874" w14:textId="77777777" w:rsidR="00584EC1" w:rsidRDefault="00584EC1">
            <w:pPr>
              <w:rPr>
                <w:rFonts w:ascii="宋体"/>
                <w:vanish/>
              </w:rPr>
            </w:pPr>
          </w:p>
        </w:tc>
        <w:tc>
          <w:tcPr>
            <w:tcW w:w="0" w:type="auto"/>
            <w:gridSpan w:val="3"/>
            <w:shd w:val="clear" w:color="auto" w:fill="auto"/>
            <w:vAlign w:val="bottom"/>
          </w:tcPr>
          <w:p w14:paraId="74DDD875" w14:textId="77777777" w:rsidR="00584EC1" w:rsidRDefault="00584EC1">
            <w:pPr>
              <w:rPr>
                <w:rFonts w:ascii="宋体"/>
                <w:vanish/>
              </w:rPr>
            </w:pPr>
          </w:p>
        </w:tc>
        <w:tc>
          <w:tcPr>
            <w:tcW w:w="0" w:type="auto"/>
            <w:gridSpan w:val="3"/>
            <w:shd w:val="clear" w:color="auto" w:fill="auto"/>
            <w:vAlign w:val="bottom"/>
          </w:tcPr>
          <w:p w14:paraId="74DDD876" w14:textId="77777777" w:rsidR="00584EC1" w:rsidRDefault="00584EC1">
            <w:pPr>
              <w:rPr>
                <w:rFonts w:ascii="宋体"/>
                <w:vanish/>
              </w:rPr>
            </w:pPr>
          </w:p>
        </w:tc>
        <w:tc>
          <w:tcPr>
            <w:tcW w:w="0" w:type="auto"/>
            <w:gridSpan w:val="3"/>
            <w:shd w:val="clear" w:color="auto" w:fill="auto"/>
            <w:vAlign w:val="bottom"/>
          </w:tcPr>
          <w:p w14:paraId="74DDD877" w14:textId="77777777" w:rsidR="00584EC1" w:rsidRDefault="00584EC1">
            <w:pPr>
              <w:rPr>
                <w:rFonts w:ascii="宋体"/>
                <w:vanish/>
              </w:rPr>
            </w:pPr>
          </w:p>
        </w:tc>
        <w:tc>
          <w:tcPr>
            <w:tcW w:w="0" w:type="auto"/>
            <w:gridSpan w:val="3"/>
            <w:shd w:val="clear" w:color="auto" w:fill="auto"/>
            <w:vAlign w:val="bottom"/>
          </w:tcPr>
          <w:p w14:paraId="74DDD878" w14:textId="77777777" w:rsidR="00584EC1" w:rsidRDefault="00584EC1">
            <w:pPr>
              <w:rPr>
                <w:rFonts w:ascii="宋体"/>
                <w:vanish/>
              </w:rPr>
            </w:pPr>
          </w:p>
        </w:tc>
        <w:tc>
          <w:tcPr>
            <w:tcW w:w="0" w:type="auto"/>
            <w:gridSpan w:val="3"/>
            <w:shd w:val="clear" w:color="auto" w:fill="auto"/>
            <w:vAlign w:val="bottom"/>
          </w:tcPr>
          <w:p w14:paraId="74DDD879" w14:textId="77777777" w:rsidR="00584EC1" w:rsidRDefault="00584EC1">
            <w:pPr>
              <w:rPr>
                <w:rFonts w:ascii="宋体"/>
                <w:vanish/>
              </w:rPr>
            </w:pPr>
          </w:p>
        </w:tc>
        <w:tc>
          <w:tcPr>
            <w:tcW w:w="0" w:type="auto"/>
            <w:gridSpan w:val="3"/>
            <w:shd w:val="clear" w:color="auto" w:fill="auto"/>
            <w:vAlign w:val="bottom"/>
          </w:tcPr>
          <w:p w14:paraId="74DDD87A" w14:textId="77777777" w:rsidR="00584EC1" w:rsidRDefault="00584EC1">
            <w:pPr>
              <w:rPr>
                <w:rFonts w:ascii="宋体"/>
                <w:vanish/>
              </w:rPr>
            </w:pPr>
          </w:p>
        </w:tc>
        <w:tc>
          <w:tcPr>
            <w:tcW w:w="0" w:type="auto"/>
            <w:gridSpan w:val="3"/>
            <w:shd w:val="clear" w:color="auto" w:fill="auto"/>
            <w:vAlign w:val="bottom"/>
          </w:tcPr>
          <w:p w14:paraId="74DDD87B" w14:textId="77777777" w:rsidR="00584EC1" w:rsidRDefault="00584EC1">
            <w:pPr>
              <w:rPr>
                <w:rFonts w:ascii="宋体"/>
                <w:vanish/>
              </w:rPr>
            </w:pPr>
          </w:p>
        </w:tc>
        <w:tc>
          <w:tcPr>
            <w:tcW w:w="0" w:type="auto"/>
            <w:gridSpan w:val="3"/>
            <w:shd w:val="clear" w:color="auto" w:fill="auto"/>
            <w:vAlign w:val="bottom"/>
          </w:tcPr>
          <w:p w14:paraId="74DDD87C" w14:textId="77777777" w:rsidR="00584EC1" w:rsidRDefault="00584EC1">
            <w:pPr>
              <w:rPr>
                <w:rFonts w:ascii="宋体"/>
                <w:vanish/>
              </w:rPr>
            </w:pPr>
          </w:p>
        </w:tc>
        <w:tc>
          <w:tcPr>
            <w:tcW w:w="0" w:type="auto"/>
            <w:gridSpan w:val="3"/>
            <w:shd w:val="clear" w:color="auto" w:fill="auto"/>
            <w:vAlign w:val="bottom"/>
          </w:tcPr>
          <w:p w14:paraId="74DDD87D" w14:textId="77777777" w:rsidR="00584EC1" w:rsidRDefault="00584EC1">
            <w:pPr>
              <w:rPr>
                <w:rFonts w:ascii="宋体"/>
                <w:vanish/>
              </w:rPr>
            </w:pPr>
          </w:p>
        </w:tc>
        <w:tc>
          <w:tcPr>
            <w:tcW w:w="0" w:type="auto"/>
            <w:gridSpan w:val="3"/>
            <w:shd w:val="clear" w:color="auto" w:fill="auto"/>
            <w:vAlign w:val="bottom"/>
          </w:tcPr>
          <w:p w14:paraId="74DDD87E" w14:textId="77777777" w:rsidR="00584EC1" w:rsidRDefault="00584EC1">
            <w:pPr>
              <w:rPr>
                <w:rFonts w:ascii="宋体"/>
                <w:vanish/>
              </w:rPr>
            </w:pPr>
          </w:p>
        </w:tc>
        <w:tc>
          <w:tcPr>
            <w:tcW w:w="0" w:type="auto"/>
            <w:gridSpan w:val="3"/>
            <w:shd w:val="clear" w:color="auto" w:fill="auto"/>
            <w:vAlign w:val="bottom"/>
          </w:tcPr>
          <w:p w14:paraId="74DDD87F" w14:textId="77777777" w:rsidR="00584EC1" w:rsidRDefault="00584EC1">
            <w:pPr>
              <w:rPr>
                <w:rFonts w:ascii="宋体"/>
                <w:vanish/>
              </w:rPr>
            </w:pPr>
          </w:p>
        </w:tc>
      </w:tr>
      <w:tr w:rsidR="00584EC1" w14:paraId="74DDD893" w14:textId="77777777">
        <w:tc>
          <w:tcPr>
            <w:tcW w:w="0" w:type="auto"/>
            <w:gridSpan w:val="3"/>
            <w:shd w:val="clear" w:color="auto" w:fill="CCEEFF"/>
            <w:tcMar>
              <w:top w:w="40" w:type="dxa"/>
              <w:left w:w="20" w:type="dxa"/>
              <w:bottom w:w="40" w:type="dxa"/>
              <w:right w:w="20" w:type="dxa"/>
            </w:tcMar>
            <w:vAlign w:val="bottom"/>
          </w:tcPr>
          <w:p w14:paraId="74DDD881" w14:textId="77777777" w:rsidR="00584EC1" w:rsidRDefault="00871F8D">
            <w:pPr>
              <w:textAlignment w:val="bottom"/>
            </w:pPr>
            <w:r>
              <w:rPr>
                <w:rFonts w:ascii="Arial" w:eastAsia="宋体" w:hAnsi="Arial" w:cs="Arial"/>
                <w:color w:val="000000"/>
                <w:sz w:val="14"/>
                <w:szCs w:val="14"/>
              </w:rPr>
              <w:t>Other U.S. debt securities</w:t>
            </w:r>
          </w:p>
        </w:tc>
        <w:tc>
          <w:tcPr>
            <w:tcW w:w="0" w:type="auto"/>
            <w:gridSpan w:val="2"/>
            <w:shd w:val="clear" w:color="auto" w:fill="CCEEFF"/>
            <w:tcMar>
              <w:top w:w="40" w:type="dxa"/>
              <w:left w:w="20" w:type="dxa"/>
              <w:bottom w:w="40" w:type="dxa"/>
              <w:right w:w="0" w:type="dxa"/>
            </w:tcMar>
            <w:vAlign w:val="bottom"/>
          </w:tcPr>
          <w:p w14:paraId="74DDD882" w14:textId="77777777" w:rsidR="00584EC1" w:rsidRDefault="00871F8D">
            <w:pPr>
              <w:jc w:val="right"/>
              <w:textAlignment w:val="bottom"/>
            </w:pPr>
            <w:r>
              <w:rPr>
                <w:rFonts w:ascii="Arial" w:eastAsia="宋体" w:hAnsi="Arial" w:cs="Arial"/>
                <w:color w:val="000000"/>
                <w:sz w:val="14"/>
                <w:szCs w:val="14"/>
              </w:rPr>
              <w:t>17 </w:t>
            </w:r>
          </w:p>
        </w:tc>
        <w:tc>
          <w:tcPr>
            <w:tcW w:w="0" w:type="auto"/>
            <w:shd w:val="clear" w:color="auto" w:fill="CCEEFF"/>
            <w:tcMar>
              <w:top w:w="40" w:type="dxa"/>
              <w:left w:w="0" w:type="dxa"/>
              <w:bottom w:w="40" w:type="dxa"/>
              <w:right w:w="20" w:type="dxa"/>
            </w:tcMar>
            <w:vAlign w:val="bottom"/>
          </w:tcPr>
          <w:p w14:paraId="74DDD88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884"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885"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D88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88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888"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D88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88A"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88B"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D88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88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88E" w14:textId="77777777" w:rsidR="00584EC1" w:rsidRDefault="00871F8D">
            <w:pPr>
              <w:jc w:val="right"/>
              <w:textAlignment w:val="bottom"/>
            </w:pPr>
            <w:r>
              <w:rPr>
                <w:rFonts w:ascii="Arial" w:eastAsia="宋体" w:hAnsi="Arial" w:cs="Arial"/>
                <w:color w:val="000000"/>
                <w:sz w:val="14"/>
                <w:szCs w:val="14"/>
              </w:rPr>
              <w:t>17 </w:t>
            </w:r>
          </w:p>
        </w:tc>
        <w:tc>
          <w:tcPr>
            <w:tcW w:w="0" w:type="auto"/>
            <w:shd w:val="clear" w:color="auto" w:fill="CCEEFF"/>
            <w:tcMar>
              <w:top w:w="40" w:type="dxa"/>
              <w:left w:w="0" w:type="dxa"/>
              <w:bottom w:w="40" w:type="dxa"/>
              <w:right w:w="20" w:type="dxa"/>
            </w:tcMar>
            <w:vAlign w:val="bottom"/>
          </w:tcPr>
          <w:p w14:paraId="74DDD88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89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891"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D892" w14:textId="77777777" w:rsidR="00584EC1" w:rsidRDefault="00584EC1">
            <w:pPr>
              <w:jc w:val="right"/>
              <w:rPr>
                <w:rFonts w:ascii="宋体"/>
              </w:rPr>
            </w:pPr>
          </w:p>
        </w:tc>
      </w:tr>
      <w:tr w:rsidR="00584EC1" w14:paraId="74DDD8A0" w14:textId="77777777">
        <w:trPr>
          <w:hidden/>
        </w:trPr>
        <w:tc>
          <w:tcPr>
            <w:tcW w:w="0" w:type="auto"/>
            <w:gridSpan w:val="3"/>
            <w:shd w:val="clear" w:color="auto" w:fill="auto"/>
            <w:vAlign w:val="bottom"/>
          </w:tcPr>
          <w:p w14:paraId="74DDD894" w14:textId="77777777" w:rsidR="00584EC1" w:rsidRDefault="00584EC1">
            <w:pPr>
              <w:rPr>
                <w:rFonts w:ascii="宋体"/>
                <w:vanish/>
              </w:rPr>
            </w:pPr>
          </w:p>
        </w:tc>
        <w:tc>
          <w:tcPr>
            <w:tcW w:w="0" w:type="auto"/>
            <w:gridSpan w:val="3"/>
            <w:shd w:val="clear" w:color="auto" w:fill="auto"/>
            <w:vAlign w:val="bottom"/>
          </w:tcPr>
          <w:p w14:paraId="74DDD895" w14:textId="77777777" w:rsidR="00584EC1" w:rsidRDefault="00584EC1">
            <w:pPr>
              <w:rPr>
                <w:rFonts w:ascii="宋体"/>
                <w:vanish/>
              </w:rPr>
            </w:pPr>
          </w:p>
        </w:tc>
        <w:tc>
          <w:tcPr>
            <w:tcW w:w="0" w:type="auto"/>
            <w:gridSpan w:val="3"/>
            <w:shd w:val="clear" w:color="auto" w:fill="auto"/>
            <w:vAlign w:val="bottom"/>
          </w:tcPr>
          <w:p w14:paraId="74DDD896" w14:textId="77777777" w:rsidR="00584EC1" w:rsidRDefault="00584EC1">
            <w:pPr>
              <w:rPr>
                <w:rFonts w:ascii="宋体"/>
                <w:vanish/>
              </w:rPr>
            </w:pPr>
          </w:p>
        </w:tc>
        <w:tc>
          <w:tcPr>
            <w:tcW w:w="0" w:type="auto"/>
            <w:gridSpan w:val="3"/>
            <w:shd w:val="clear" w:color="auto" w:fill="auto"/>
            <w:vAlign w:val="bottom"/>
          </w:tcPr>
          <w:p w14:paraId="74DDD897" w14:textId="77777777" w:rsidR="00584EC1" w:rsidRDefault="00584EC1">
            <w:pPr>
              <w:rPr>
                <w:rFonts w:ascii="宋体"/>
                <w:vanish/>
              </w:rPr>
            </w:pPr>
          </w:p>
        </w:tc>
        <w:tc>
          <w:tcPr>
            <w:tcW w:w="0" w:type="auto"/>
            <w:gridSpan w:val="3"/>
            <w:shd w:val="clear" w:color="auto" w:fill="auto"/>
            <w:vAlign w:val="bottom"/>
          </w:tcPr>
          <w:p w14:paraId="74DDD898" w14:textId="77777777" w:rsidR="00584EC1" w:rsidRDefault="00584EC1">
            <w:pPr>
              <w:rPr>
                <w:rFonts w:ascii="宋体"/>
                <w:vanish/>
              </w:rPr>
            </w:pPr>
          </w:p>
        </w:tc>
        <w:tc>
          <w:tcPr>
            <w:tcW w:w="0" w:type="auto"/>
            <w:gridSpan w:val="3"/>
            <w:shd w:val="clear" w:color="auto" w:fill="auto"/>
            <w:vAlign w:val="bottom"/>
          </w:tcPr>
          <w:p w14:paraId="74DDD899" w14:textId="77777777" w:rsidR="00584EC1" w:rsidRDefault="00584EC1">
            <w:pPr>
              <w:rPr>
                <w:rFonts w:ascii="宋体"/>
                <w:vanish/>
              </w:rPr>
            </w:pPr>
          </w:p>
        </w:tc>
        <w:tc>
          <w:tcPr>
            <w:tcW w:w="0" w:type="auto"/>
            <w:gridSpan w:val="3"/>
            <w:shd w:val="clear" w:color="auto" w:fill="auto"/>
            <w:vAlign w:val="bottom"/>
          </w:tcPr>
          <w:p w14:paraId="74DDD89A" w14:textId="77777777" w:rsidR="00584EC1" w:rsidRDefault="00584EC1">
            <w:pPr>
              <w:rPr>
                <w:rFonts w:ascii="宋体"/>
                <w:vanish/>
              </w:rPr>
            </w:pPr>
          </w:p>
        </w:tc>
        <w:tc>
          <w:tcPr>
            <w:tcW w:w="0" w:type="auto"/>
            <w:gridSpan w:val="3"/>
            <w:shd w:val="clear" w:color="auto" w:fill="auto"/>
            <w:vAlign w:val="bottom"/>
          </w:tcPr>
          <w:p w14:paraId="74DDD89B" w14:textId="77777777" w:rsidR="00584EC1" w:rsidRDefault="00584EC1">
            <w:pPr>
              <w:rPr>
                <w:rFonts w:ascii="宋体"/>
                <w:vanish/>
              </w:rPr>
            </w:pPr>
          </w:p>
        </w:tc>
        <w:tc>
          <w:tcPr>
            <w:tcW w:w="0" w:type="auto"/>
            <w:gridSpan w:val="3"/>
            <w:shd w:val="clear" w:color="auto" w:fill="auto"/>
            <w:vAlign w:val="bottom"/>
          </w:tcPr>
          <w:p w14:paraId="74DDD89C" w14:textId="77777777" w:rsidR="00584EC1" w:rsidRDefault="00584EC1">
            <w:pPr>
              <w:rPr>
                <w:rFonts w:ascii="宋体"/>
                <w:vanish/>
              </w:rPr>
            </w:pPr>
          </w:p>
        </w:tc>
        <w:tc>
          <w:tcPr>
            <w:tcW w:w="0" w:type="auto"/>
            <w:gridSpan w:val="3"/>
            <w:shd w:val="clear" w:color="auto" w:fill="auto"/>
            <w:vAlign w:val="bottom"/>
          </w:tcPr>
          <w:p w14:paraId="74DDD89D" w14:textId="77777777" w:rsidR="00584EC1" w:rsidRDefault="00584EC1">
            <w:pPr>
              <w:rPr>
                <w:rFonts w:ascii="宋体"/>
                <w:vanish/>
              </w:rPr>
            </w:pPr>
          </w:p>
        </w:tc>
        <w:tc>
          <w:tcPr>
            <w:tcW w:w="0" w:type="auto"/>
            <w:gridSpan w:val="3"/>
            <w:shd w:val="clear" w:color="auto" w:fill="auto"/>
            <w:vAlign w:val="bottom"/>
          </w:tcPr>
          <w:p w14:paraId="74DDD89E" w14:textId="77777777" w:rsidR="00584EC1" w:rsidRDefault="00584EC1">
            <w:pPr>
              <w:rPr>
                <w:rFonts w:ascii="宋体"/>
                <w:vanish/>
              </w:rPr>
            </w:pPr>
          </w:p>
        </w:tc>
        <w:tc>
          <w:tcPr>
            <w:tcW w:w="0" w:type="auto"/>
            <w:gridSpan w:val="3"/>
            <w:shd w:val="clear" w:color="auto" w:fill="auto"/>
            <w:vAlign w:val="bottom"/>
          </w:tcPr>
          <w:p w14:paraId="74DDD89F" w14:textId="77777777" w:rsidR="00584EC1" w:rsidRDefault="00584EC1">
            <w:pPr>
              <w:rPr>
                <w:rFonts w:ascii="宋体"/>
                <w:vanish/>
              </w:rPr>
            </w:pPr>
          </w:p>
        </w:tc>
      </w:tr>
      <w:tr w:rsidR="00584EC1" w14:paraId="74DDD8B9" w14:textId="77777777">
        <w:tc>
          <w:tcPr>
            <w:tcW w:w="0" w:type="auto"/>
            <w:gridSpan w:val="3"/>
            <w:shd w:val="clear" w:color="auto" w:fill="FFFFFF"/>
            <w:tcMar>
              <w:top w:w="40" w:type="dxa"/>
              <w:left w:w="20" w:type="dxa"/>
              <w:bottom w:w="40" w:type="dxa"/>
              <w:right w:w="20" w:type="dxa"/>
            </w:tcMar>
            <w:vAlign w:val="bottom"/>
          </w:tcPr>
          <w:p w14:paraId="74DDD8A1" w14:textId="77777777" w:rsidR="00584EC1" w:rsidRDefault="00871F8D">
            <w:pPr>
              <w:textAlignment w:val="bottom"/>
            </w:pPr>
            <w:r>
              <w:rPr>
                <w:rFonts w:ascii="Arial" w:eastAsia="宋体" w:hAnsi="Arial" w:cs="Arial"/>
                <w:color w:val="000000"/>
                <w:sz w:val="14"/>
                <w:szCs w:val="14"/>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D8A2"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D8A3" w14:textId="77777777" w:rsidR="00584EC1" w:rsidRDefault="00871F8D">
            <w:pPr>
              <w:jc w:val="right"/>
              <w:textAlignment w:val="bottom"/>
            </w:pPr>
            <w:r>
              <w:rPr>
                <w:rFonts w:ascii="Arial" w:eastAsia="宋体" w:hAnsi="Arial" w:cs="Arial"/>
                <w:color w:val="000000"/>
                <w:sz w:val="14"/>
                <w:szCs w:val="14"/>
              </w:rPr>
              <w:t>7,490 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D8A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8A5"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D8A6"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D8A7" w14:textId="77777777" w:rsidR="00584EC1" w:rsidRDefault="00871F8D">
            <w:pPr>
              <w:jc w:val="right"/>
              <w:textAlignment w:val="bottom"/>
            </w:pPr>
            <w:r>
              <w:rPr>
                <w:rFonts w:ascii="Arial" w:eastAsia="宋体" w:hAnsi="Arial" w:cs="Arial"/>
                <w:color w:val="000000"/>
                <w:sz w:val="14"/>
                <w:szCs w:val="14"/>
              </w:rPr>
              <w:t>19 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D8A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8A9"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D8AA"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D8AB" w14:textId="77777777" w:rsidR="00584EC1" w:rsidRDefault="00871F8D">
            <w:pPr>
              <w:jc w:val="right"/>
              <w:textAlignment w:val="bottom"/>
            </w:pPr>
            <w:r>
              <w:rPr>
                <w:rFonts w:ascii="Arial" w:eastAsia="宋体" w:hAnsi="Arial" w:cs="Arial"/>
                <w:color w:val="000000"/>
                <w:sz w:val="14"/>
                <w:szCs w:val="14"/>
              </w:rPr>
              <w:t>1,351 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D8A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8AD"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D8AE"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D8AF" w14:textId="77777777" w:rsidR="00584EC1" w:rsidRDefault="00871F8D">
            <w:pPr>
              <w:jc w:val="right"/>
              <w:textAlignment w:val="bottom"/>
            </w:pPr>
            <w:r>
              <w:rPr>
                <w:rFonts w:ascii="Arial" w:eastAsia="宋体" w:hAnsi="Arial" w:cs="Arial"/>
                <w:color w:val="000000"/>
                <w:sz w:val="14"/>
                <w:szCs w:val="14"/>
              </w:rPr>
              <w:t>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D8B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8B1"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D8B2"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D8B3" w14:textId="77777777" w:rsidR="00584EC1" w:rsidRDefault="00871F8D">
            <w:pPr>
              <w:jc w:val="right"/>
              <w:textAlignment w:val="bottom"/>
            </w:pPr>
            <w:r>
              <w:rPr>
                <w:rFonts w:ascii="Arial" w:eastAsia="宋体" w:hAnsi="Arial" w:cs="Arial"/>
                <w:color w:val="000000"/>
                <w:sz w:val="14"/>
                <w:szCs w:val="14"/>
              </w:rPr>
              <w:t>8,841 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D8B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8B5"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D8B6"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D8B7" w14:textId="77777777" w:rsidR="00584EC1" w:rsidRDefault="00871F8D">
            <w:pPr>
              <w:jc w:val="right"/>
              <w:textAlignment w:val="bottom"/>
            </w:pPr>
            <w:r>
              <w:rPr>
                <w:rFonts w:ascii="Arial" w:eastAsia="宋体" w:hAnsi="Arial" w:cs="Arial"/>
                <w:color w:val="000000"/>
                <w:sz w:val="14"/>
                <w:szCs w:val="14"/>
              </w:rPr>
              <w:t>26 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D8B8" w14:textId="77777777" w:rsidR="00584EC1" w:rsidRDefault="00584EC1">
            <w:pPr>
              <w:jc w:val="right"/>
              <w:rPr>
                <w:rFonts w:ascii="宋体"/>
              </w:rPr>
            </w:pPr>
          </w:p>
        </w:tc>
      </w:tr>
      <w:tr w:rsidR="00584EC1" w14:paraId="74DDD8C6" w14:textId="77777777">
        <w:trPr>
          <w:hidden/>
        </w:trPr>
        <w:tc>
          <w:tcPr>
            <w:tcW w:w="0" w:type="auto"/>
            <w:gridSpan w:val="3"/>
            <w:shd w:val="clear" w:color="auto" w:fill="auto"/>
            <w:vAlign w:val="bottom"/>
          </w:tcPr>
          <w:p w14:paraId="74DDD8BA" w14:textId="77777777" w:rsidR="00584EC1" w:rsidRDefault="00584EC1">
            <w:pPr>
              <w:rPr>
                <w:rFonts w:ascii="宋体"/>
                <w:vanish/>
              </w:rPr>
            </w:pPr>
          </w:p>
        </w:tc>
        <w:tc>
          <w:tcPr>
            <w:tcW w:w="0" w:type="auto"/>
            <w:gridSpan w:val="3"/>
            <w:shd w:val="clear" w:color="auto" w:fill="auto"/>
            <w:vAlign w:val="bottom"/>
          </w:tcPr>
          <w:p w14:paraId="74DDD8BB" w14:textId="77777777" w:rsidR="00584EC1" w:rsidRDefault="00584EC1">
            <w:pPr>
              <w:rPr>
                <w:rFonts w:ascii="宋体"/>
                <w:vanish/>
              </w:rPr>
            </w:pPr>
          </w:p>
        </w:tc>
        <w:tc>
          <w:tcPr>
            <w:tcW w:w="0" w:type="auto"/>
            <w:gridSpan w:val="3"/>
            <w:shd w:val="clear" w:color="auto" w:fill="auto"/>
            <w:vAlign w:val="bottom"/>
          </w:tcPr>
          <w:p w14:paraId="74DDD8BC" w14:textId="77777777" w:rsidR="00584EC1" w:rsidRDefault="00584EC1">
            <w:pPr>
              <w:rPr>
                <w:rFonts w:ascii="宋体"/>
                <w:vanish/>
              </w:rPr>
            </w:pPr>
          </w:p>
        </w:tc>
        <w:tc>
          <w:tcPr>
            <w:tcW w:w="0" w:type="auto"/>
            <w:gridSpan w:val="3"/>
            <w:shd w:val="clear" w:color="auto" w:fill="auto"/>
            <w:vAlign w:val="bottom"/>
          </w:tcPr>
          <w:p w14:paraId="74DDD8BD" w14:textId="77777777" w:rsidR="00584EC1" w:rsidRDefault="00584EC1">
            <w:pPr>
              <w:rPr>
                <w:rFonts w:ascii="宋体"/>
                <w:vanish/>
              </w:rPr>
            </w:pPr>
          </w:p>
        </w:tc>
        <w:tc>
          <w:tcPr>
            <w:tcW w:w="0" w:type="auto"/>
            <w:gridSpan w:val="3"/>
            <w:shd w:val="clear" w:color="auto" w:fill="auto"/>
            <w:vAlign w:val="bottom"/>
          </w:tcPr>
          <w:p w14:paraId="74DDD8BE" w14:textId="77777777" w:rsidR="00584EC1" w:rsidRDefault="00584EC1">
            <w:pPr>
              <w:rPr>
                <w:rFonts w:ascii="宋体"/>
                <w:vanish/>
              </w:rPr>
            </w:pPr>
          </w:p>
        </w:tc>
        <w:tc>
          <w:tcPr>
            <w:tcW w:w="0" w:type="auto"/>
            <w:gridSpan w:val="3"/>
            <w:shd w:val="clear" w:color="auto" w:fill="auto"/>
            <w:vAlign w:val="bottom"/>
          </w:tcPr>
          <w:p w14:paraId="74DDD8BF" w14:textId="77777777" w:rsidR="00584EC1" w:rsidRDefault="00584EC1">
            <w:pPr>
              <w:rPr>
                <w:rFonts w:ascii="宋体"/>
                <w:vanish/>
              </w:rPr>
            </w:pPr>
          </w:p>
        </w:tc>
        <w:tc>
          <w:tcPr>
            <w:tcW w:w="0" w:type="auto"/>
            <w:gridSpan w:val="3"/>
            <w:shd w:val="clear" w:color="auto" w:fill="auto"/>
            <w:vAlign w:val="bottom"/>
          </w:tcPr>
          <w:p w14:paraId="74DDD8C0" w14:textId="77777777" w:rsidR="00584EC1" w:rsidRDefault="00584EC1">
            <w:pPr>
              <w:rPr>
                <w:rFonts w:ascii="宋体"/>
                <w:vanish/>
              </w:rPr>
            </w:pPr>
          </w:p>
        </w:tc>
        <w:tc>
          <w:tcPr>
            <w:tcW w:w="0" w:type="auto"/>
            <w:gridSpan w:val="3"/>
            <w:shd w:val="clear" w:color="auto" w:fill="auto"/>
            <w:vAlign w:val="bottom"/>
          </w:tcPr>
          <w:p w14:paraId="74DDD8C1" w14:textId="77777777" w:rsidR="00584EC1" w:rsidRDefault="00584EC1">
            <w:pPr>
              <w:rPr>
                <w:rFonts w:ascii="宋体"/>
                <w:vanish/>
              </w:rPr>
            </w:pPr>
          </w:p>
        </w:tc>
        <w:tc>
          <w:tcPr>
            <w:tcW w:w="0" w:type="auto"/>
            <w:gridSpan w:val="3"/>
            <w:shd w:val="clear" w:color="auto" w:fill="auto"/>
            <w:vAlign w:val="bottom"/>
          </w:tcPr>
          <w:p w14:paraId="74DDD8C2" w14:textId="77777777" w:rsidR="00584EC1" w:rsidRDefault="00584EC1">
            <w:pPr>
              <w:rPr>
                <w:rFonts w:ascii="宋体"/>
                <w:vanish/>
              </w:rPr>
            </w:pPr>
          </w:p>
        </w:tc>
        <w:tc>
          <w:tcPr>
            <w:tcW w:w="0" w:type="auto"/>
            <w:gridSpan w:val="3"/>
            <w:shd w:val="clear" w:color="auto" w:fill="auto"/>
            <w:vAlign w:val="bottom"/>
          </w:tcPr>
          <w:p w14:paraId="74DDD8C3" w14:textId="77777777" w:rsidR="00584EC1" w:rsidRDefault="00584EC1">
            <w:pPr>
              <w:rPr>
                <w:rFonts w:ascii="宋体"/>
                <w:vanish/>
              </w:rPr>
            </w:pPr>
          </w:p>
        </w:tc>
        <w:tc>
          <w:tcPr>
            <w:tcW w:w="0" w:type="auto"/>
            <w:gridSpan w:val="3"/>
            <w:shd w:val="clear" w:color="auto" w:fill="auto"/>
            <w:vAlign w:val="bottom"/>
          </w:tcPr>
          <w:p w14:paraId="74DDD8C4" w14:textId="77777777" w:rsidR="00584EC1" w:rsidRDefault="00584EC1">
            <w:pPr>
              <w:rPr>
                <w:rFonts w:ascii="宋体"/>
                <w:vanish/>
              </w:rPr>
            </w:pPr>
          </w:p>
        </w:tc>
        <w:tc>
          <w:tcPr>
            <w:tcW w:w="0" w:type="auto"/>
            <w:gridSpan w:val="3"/>
            <w:shd w:val="clear" w:color="auto" w:fill="auto"/>
            <w:vAlign w:val="bottom"/>
          </w:tcPr>
          <w:p w14:paraId="74DDD8C5" w14:textId="77777777" w:rsidR="00584EC1" w:rsidRDefault="00584EC1">
            <w:pPr>
              <w:rPr>
                <w:rFonts w:ascii="宋体"/>
                <w:vanish/>
              </w:rPr>
            </w:pPr>
          </w:p>
        </w:tc>
      </w:tr>
      <w:tr w:rsidR="00584EC1" w14:paraId="74DDD8D3" w14:textId="77777777">
        <w:trPr>
          <w:hidden/>
        </w:trPr>
        <w:tc>
          <w:tcPr>
            <w:tcW w:w="0" w:type="auto"/>
            <w:gridSpan w:val="3"/>
            <w:shd w:val="clear" w:color="auto" w:fill="auto"/>
            <w:vAlign w:val="bottom"/>
          </w:tcPr>
          <w:p w14:paraId="74DDD8C7" w14:textId="77777777" w:rsidR="00584EC1" w:rsidRDefault="00584EC1">
            <w:pPr>
              <w:rPr>
                <w:rFonts w:ascii="宋体"/>
                <w:vanish/>
              </w:rPr>
            </w:pPr>
          </w:p>
        </w:tc>
        <w:tc>
          <w:tcPr>
            <w:tcW w:w="0" w:type="auto"/>
            <w:gridSpan w:val="3"/>
            <w:shd w:val="clear" w:color="auto" w:fill="auto"/>
            <w:vAlign w:val="bottom"/>
          </w:tcPr>
          <w:p w14:paraId="74DDD8C8" w14:textId="77777777" w:rsidR="00584EC1" w:rsidRDefault="00584EC1">
            <w:pPr>
              <w:rPr>
                <w:rFonts w:ascii="宋体"/>
                <w:vanish/>
              </w:rPr>
            </w:pPr>
          </w:p>
        </w:tc>
        <w:tc>
          <w:tcPr>
            <w:tcW w:w="0" w:type="auto"/>
            <w:gridSpan w:val="3"/>
            <w:shd w:val="clear" w:color="auto" w:fill="auto"/>
            <w:vAlign w:val="bottom"/>
          </w:tcPr>
          <w:p w14:paraId="74DDD8C9" w14:textId="77777777" w:rsidR="00584EC1" w:rsidRDefault="00584EC1">
            <w:pPr>
              <w:rPr>
                <w:rFonts w:ascii="宋体"/>
                <w:vanish/>
              </w:rPr>
            </w:pPr>
          </w:p>
        </w:tc>
        <w:tc>
          <w:tcPr>
            <w:tcW w:w="0" w:type="auto"/>
            <w:gridSpan w:val="3"/>
            <w:shd w:val="clear" w:color="auto" w:fill="auto"/>
            <w:vAlign w:val="bottom"/>
          </w:tcPr>
          <w:p w14:paraId="74DDD8CA" w14:textId="77777777" w:rsidR="00584EC1" w:rsidRDefault="00584EC1">
            <w:pPr>
              <w:rPr>
                <w:rFonts w:ascii="宋体"/>
                <w:vanish/>
              </w:rPr>
            </w:pPr>
          </w:p>
        </w:tc>
        <w:tc>
          <w:tcPr>
            <w:tcW w:w="0" w:type="auto"/>
            <w:gridSpan w:val="3"/>
            <w:shd w:val="clear" w:color="auto" w:fill="auto"/>
            <w:vAlign w:val="bottom"/>
          </w:tcPr>
          <w:p w14:paraId="74DDD8CB" w14:textId="77777777" w:rsidR="00584EC1" w:rsidRDefault="00584EC1">
            <w:pPr>
              <w:rPr>
                <w:rFonts w:ascii="宋体"/>
                <w:vanish/>
              </w:rPr>
            </w:pPr>
          </w:p>
        </w:tc>
        <w:tc>
          <w:tcPr>
            <w:tcW w:w="0" w:type="auto"/>
            <w:gridSpan w:val="3"/>
            <w:shd w:val="clear" w:color="auto" w:fill="auto"/>
            <w:vAlign w:val="bottom"/>
          </w:tcPr>
          <w:p w14:paraId="74DDD8CC" w14:textId="77777777" w:rsidR="00584EC1" w:rsidRDefault="00584EC1">
            <w:pPr>
              <w:rPr>
                <w:rFonts w:ascii="宋体"/>
                <w:vanish/>
              </w:rPr>
            </w:pPr>
          </w:p>
        </w:tc>
        <w:tc>
          <w:tcPr>
            <w:tcW w:w="0" w:type="auto"/>
            <w:gridSpan w:val="3"/>
            <w:shd w:val="clear" w:color="auto" w:fill="auto"/>
            <w:vAlign w:val="bottom"/>
          </w:tcPr>
          <w:p w14:paraId="74DDD8CD" w14:textId="77777777" w:rsidR="00584EC1" w:rsidRDefault="00584EC1">
            <w:pPr>
              <w:rPr>
                <w:rFonts w:ascii="宋体"/>
                <w:vanish/>
              </w:rPr>
            </w:pPr>
          </w:p>
        </w:tc>
        <w:tc>
          <w:tcPr>
            <w:tcW w:w="0" w:type="auto"/>
            <w:gridSpan w:val="3"/>
            <w:shd w:val="clear" w:color="auto" w:fill="auto"/>
            <w:vAlign w:val="bottom"/>
          </w:tcPr>
          <w:p w14:paraId="74DDD8CE" w14:textId="77777777" w:rsidR="00584EC1" w:rsidRDefault="00584EC1">
            <w:pPr>
              <w:rPr>
                <w:rFonts w:ascii="宋体"/>
                <w:vanish/>
              </w:rPr>
            </w:pPr>
          </w:p>
        </w:tc>
        <w:tc>
          <w:tcPr>
            <w:tcW w:w="0" w:type="auto"/>
            <w:gridSpan w:val="3"/>
            <w:shd w:val="clear" w:color="auto" w:fill="auto"/>
            <w:vAlign w:val="bottom"/>
          </w:tcPr>
          <w:p w14:paraId="74DDD8CF" w14:textId="77777777" w:rsidR="00584EC1" w:rsidRDefault="00584EC1">
            <w:pPr>
              <w:rPr>
                <w:rFonts w:ascii="宋体"/>
                <w:vanish/>
              </w:rPr>
            </w:pPr>
          </w:p>
        </w:tc>
        <w:tc>
          <w:tcPr>
            <w:tcW w:w="0" w:type="auto"/>
            <w:gridSpan w:val="3"/>
            <w:shd w:val="clear" w:color="auto" w:fill="auto"/>
            <w:vAlign w:val="bottom"/>
          </w:tcPr>
          <w:p w14:paraId="74DDD8D0" w14:textId="77777777" w:rsidR="00584EC1" w:rsidRDefault="00584EC1">
            <w:pPr>
              <w:rPr>
                <w:rFonts w:ascii="宋体"/>
                <w:vanish/>
              </w:rPr>
            </w:pPr>
          </w:p>
        </w:tc>
        <w:tc>
          <w:tcPr>
            <w:tcW w:w="0" w:type="auto"/>
            <w:gridSpan w:val="3"/>
            <w:shd w:val="clear" w:color="auto" w:fill="auto"/>
            <w:vAlign w:val="bottom"/>
          </w:tcPr>
          <w:p w14:paraId="74DDD8D1" w14:textId="77777777" w:rsidR="00584EC1" w:rsidRDefault="00584EC1">
            <w:pPr>
              <w:rPr>
                <w:rFonts w:ascii="宋体"/>
                <w:vanish/>
              </w:rPr>
            </w:pPr>
          </w:p>
        </w:tc>
        <w:tc>
          <w:tcPr>
            <w:tcW w:w="0" w:type="auto"/>
            <w:gridSpan w:val="3"/>
            <w:shd w:val="clear" w:color="auto" w:fill="auto"/>
            <w:vAlign w:val="bottom"/>
          </w:tcPr>
          <w:p w14:paraId="74DDD8D2" w14:textId="77777777" w:rsidR="00584EC1" w:rsidRDefault="00584EC1">
            <w:pPr>
              <w:rPr>
                <w:rFonts w:ascii="宋体"/>
                <w:vanish/>
              </w:rPr>
            </w:pPr>
          </w:p>
        </w:tc>
      </w:tr>
      <w:tr w:rsidR="00584EC1" w14:paraId="74DDD8E0" w14:textId="77777777">
        <w:trPr>
          <w:hidden/>
        </w:trPr>
        <w:tc>
          <w:tcPr>
            <w:tcW w:w="0" w:type="auto"/>
            <w:gridSpan w:val="3"/>
            <w:shd w:val="clear" w:color="auto" w:fill="auto"/>
            <w:vAlign w:val="bottom"/>
          </w:tcPr>
          <w:p w14:paraId="74DDD8D4" w14:textId="77777777" w:rsidR="00584EC1" w:rsidRDefault="00584EC1">
            <w:pPr>
              <w:rPr>
                <w:rFonts w:ascii="宋体"/>
                <w:vanish/>
              </w:rPr>
            </w:pPr>
          </w:p>
        </w:tc>
        <w:tc>
          <w:tcPr>
            <w:tcW w:w="0" w:type="auto"/>
            <w:gridSpan w:val="3"/>
            <w:shd w:val="clear" w:color="auto" w:fill="auto"/>
            <w:vAlign w:val="bottom"/>
          </w:tcPr>
          <w:p w14:paraId="74DDD8D5" w14:textId="77777777" w:rsidR="00584EC1" w:rsidRDefault="00584EC1">
            <w:pPr>
              <w:rPr>
                <w:rFonts w:ascii="宋体"/>
                <w:vanish/>
              </w:rPr>
            </w:pPr>
          </w:p>
        </w:tc>
        <w:tc>
          <w:tcPr>
            <w:tcW w:w="0" w:type="auto"/>
            <w:gridSpan w:val="3"/>
            <w:shd w:val="clear" w:color="auto" w:fill="auto"/>
            <w:vAlign w:val="bottom"/>
          </w:tcPr>
          <w:p w14:paraId="74DDD8D6" w14:textId="77777777" w:rsidR="00584EC1" w:rsidRDefault="00584EC1">
            <w:pPr>
              <w:rPr>
                <w:rFonts w:ascii="宋体"/>
                <w:vanish/>
              </w:rPr>
            </w:pPr>
          </w:p>
        </w:tc>
        <w:tc>
          <w:tcPr>
            <w:tcW w:w="0" w:type="auto"/>
            <w:gridSpan w:val="3"/>
            <w:shd w:val="clear" w:color="auto" w:fill="auto"/>
            <w:vAlign w:val="bottom"/>
          </w:tcPr>
          <w:p w14:paraId="74DDD8D7" w14:textId="77777777" w:rsidR="00584EC1" w:rsidRDefault="00584EC1">
            <w:pPr>
              <w:rPr>
                <w:rFonts w:ascii="宋体"/>
                <w:vanish/>
              </w:rPr>
            </w:pPr>
          </w:p>
        </w:tc>
        <w:tc>
          <w:tcPr>
            <w:tcW w:w="0" w:type="auto"/>
            <w:gridSpan w:val="3"/>
            <w:shd w:val="clear" w:color="auto" w:fill="auto"/>
            <w:vAlign w:val="bottom"/>
          </w:tcPr>
          <w:p w14:paraId="74DDD8D8" w14:textId="77777777" w:rsidR="00584EC1" w:rsidRDefault="00584EC1">
            <w:pPr>
              <w:rPr>
                <w:rFonts w:ascii="宋体"/>
                <w:vanish/>
              </w:rPr>
            </w:pPr>
          </w:p>
        </w:tc>
        <w:tc>
          <w:tcPr>
            <w:tcW w:w="0" w:type="auto"/>
            <w:gridSpan w:val="3"/>
            <w:shd w:val="clear" w:color="auto" w:fill="auto"/>
            <w:vAlign w:val="bottom"/>
          </w:tcPr>
          <w:p w14:paraId="74DDD8D9" w14:textId="77777777" w:rsidR="00584EC1" w:rsidRDefault="00584EC1">
            <w:pPr>
              <w:rPr>
                <w:rFonts w:ascii="宋体"/>
                <w:vanish/>
              </w:rPr>
            </w:pPr>
          </w:p>
        </w:tc>
        <w:tc>
          <w:tcPr>
            <w:tcW w:w="0" w:type="auto"/>
            <w:gridSpan w:val="3"/>
            <w:shd w:val="clear" w:color="auto" w:fill="auto"/>
            <w:vAlign w:val="bottom"/>
          </w:tcPr>
          <w:p w14:paraId="74DDD8DA" w14:textId="77777777" w:rsidR="00584EC1" w:rsidRDefault="00584EC1">
            <w:pPr>
              <w:rPr>
                <w:rFonts w:ascii="宋体"/>
                <w:vanish/>
              </w:rPr>
            </w:pPr>
          </w:p>
        </w:tc>
        <w:tc>
          <w:tcPr>
            <w:tcW w:w="0" w:type="auto"/>
            <w:gridSpan w:val="3"/>
            <w:shd w:val="clear" w:color="auto" w:fill="auto"/>
            <w:vAlign w:val="bottom"/>
          </w:tcPr>
          <w:p w14:paraId="74DDD8DB" w14:textId="77777777" w:rsidR="00584EC1" w:rsidRDefault="00584EC1">
            <w:pPr>
              <w:rPr>
                <w:rFonts w:ascii="宋体"/>
                <w:vanish/>
              </w:rPr>
            </w:pPr>
          </w:p>
        </w:tc>
        <w:tc>
          <w:tcPr>
            <w:tcW w:w="0" w:type="auto"/>
            <w:gridSpan w:val="3"/>
            <w:shd w:val="clear" w:color="auto" w:fill="auto"/>
            <w:vAlign w:val="bottom"/>
          </w:tcPr>
          <w:p w14:paraId="74DDD8DC" w14:textId="77777777" w:rsidR="00584EC1" w:rsidRDefault="00584EC1">
            <w:pPr>
              <w:rPr>
                <w:rFonts w:ascii="宋体"/>
                <w:vanish/>
              </w:rPr>
            </w:pPr>
          </w:p>
        </w:tc>
        <w:tc>
          <w:tcPr>
            <w:tcW w:w="0" w:type="auto"/>
            <w:gridSpan w:val="3"/>
            <w:shd w:val="clear" w:color="auto" w:fill="auto"/>
            <w:vAlign w:val="bottom"/>
          </w:tcPr>
          <w:p w14:paraId="74DDD8DD" w14:textId="77777777" w:rsidR="00584EC1" w:rsidRDefault="00584EC1">
            <w:pPr>
              <w:rPr>
                <w:rFonts w:ascii="宋体"/>
                <w:vanish/>
              </w:rPr>
            </w:pPr>
          </w:p>
        </w:tc>
        <w:tc>
          <w:tcPr>
            <w:tcW w:w="0" w:type="auto"/>
            <w:gridSpan w:val="3"/>
            <w:shd w:val="clear" w:color="auto" w:fill="auto"/>
            <w:vAlign w:val="bottom"/>
          </w:tcPr>
          <w:p w14:paraId="74DDD8DE" w14:textId="77777777" w:rsidR="00584EC1" w:rsidRDefault="00584EC1">
            <w:pPr>
              <w:rPr>
                <w:rFonts w:ascii="宋体"/>
                <w:vanish/>
              </w:rPr>
            </w:pPr>
          </w:p>
        </w:tc>
        <w:tc>
          <w:tcPr>
            <w:tcW w:w="0" w:type="auto"/>
            <w:gridSpan w:val="3"/>
            <w:shd w:val="clear" w:color="auto" w:fill="auto"/>
            <w:vAlign w:val="bottom"/>
          </w:tcPr>
          <w:p w14:paraId="74DDD8DF" w14:textId="77777777" w:rsidR="00584EC1" w:rsidRDefault="00584EC1">
            <w:pPr>
              <w:rPr>
                <w:rFonts w:ascii="宋体"/>
                <w:vanish/>
              </w:rPr>
            </w:pPr>
          </w:p>
        </w:tc>
      </w:tr>
      <w:tr w:rsidR="00584EC1" w14:paraId="74DDD8ED" w14:textId="77777777">
        <w:trPr>
          <w:hidden/>
        </w:trPr>
        <w:tc>
          <w:tcPr>
            <w:tcW w:w="0" w:type="auto"/>
            <w:gridSpan w:val="3"/>
            <w:shd w:val="clear" w:color="auto" w:fill="auto"/>
            <w:vAlign w:val="bottom"/>
          </w:tcPr>
          <w:p w14:paraId="74DDD8E1" w14:textId="77777777" w:rsidR="00584EC1" w:rsidRDefault="00584EC1">
            <w:pPr>
              <w:rPr>
                <w:rFonts w:ascii="宋体"/>
                <w:vanish/>
              </w:rPr>
            </w:pPr>
          </w:p>
        </w:tc>
        <w:tc>
          <w:tcPr>
            <w:tcW w:w="0" w:type="auto"/>
            <w:gridSpan w:val="3"/>
            <w:shd w:val="clear" w:color="auto" w:fill="auto"/>
            <w:vAlign w:val="bottom"/>
          </w:tcPr>
          <w:p w14:paraId="74DDD8E2" w14:textId="77777777" w:rsidR="00584EC1" w:rsidRDefault="00584EC1">
            <w:pPr>
              <w:rPr>
                <w:rFonts w:ascii="宋体"/>
                <w:vanish/>
              </w:rPr>
            </w:pPr>
          </w:p>
        </w:tc>
        <w:tc>
          <w:tcPr>
            <w:tcW w:w="0" w:type="auto"/>
            <w:gridSpan w:val="3"/>
            <w:shd w:val="clear" w:color="auto" w:fill="auto"/>
            <w:vAlign w:val="bottom"/>
          </w:tcPr>
          <w:p w14:paraId="74DDD8E3" w14:textId="77777777" w:rsidR="00584EC1" w:rsidRDefault="00584EC1">
            <w:pPr>
              <w:rPr>
                <w:rFonts w:ascii="宋体"/>
                <w:vanish/>
              </w:rPr>
            </w:pPr>
          </w:p>
        </w:tc>
        <w:tc>
          <w:tcPr>
            <w:tcW w:w="0" w:type="auto"/>
            <w:gridSpan w:val="3"/>
            <w:shd w:val="clear" w:color="auto" w:fill="auto"/>
            <w:vAlign w:val="bottom"/>
          </w:tcPr>
          <w:p w14:paraId="74DDD8E4" w14:textId="77777777" w:rsidR="00584EC1" w:rsidRDefault="00584EC1">
            <w:pPr>
              <w:rPr>
                <w:rFonts w:ascii="宋体"/>
                <w:vanish/>
              </w:rPr>
            </w:pPr>
          </w:p>
        </w:tc>
        <w:tc>
          <w:tcPr>
            <w:tcW w:w="0" w:type="auto"/>
            <w:gridSpan w:val="3"/>
            <w:shd w:val="clear" w:color="auto" w:fill="auto"/>
            <w:vAlign w:val="bottom"/>
          </w:tcPr>
          <w:p w14:paraId="74DDD8E5" w14:textId="77777777" w:rsidR="00584EC1" w:rsidRDefault="00584EC1">
            <w:pPr>
              <w:rPr>
                <w:rFonts w:ascii="宋体"/>
                <w:vanish/>
              </w:rPr>
            </w:pPr>
          </w:p>
        </w:tc>
        <w:tc>
          <w:tcPr>
            <w:tcW w:w="0" w:type="auto"/>
            <w:gridSpan w:val="3"/>
            <w:shd w:val="clear" w:color="auto" w:fill="auto"/>
            <w:vAlign w:val="bottom"/>
          </w:tcPr>
          <w:p w14:paraId="74DDD8E6" w14:textId="77777777" w:rsidR="00584EC1" w:rsidRDefault="00584EC1">
            <w:pPr>
              <w:rPr>
                <w:rFonts w:ascii="宋体"/>
                <w:vanish/>
              </w:rPr>
            </w:pPr>
          </w:p>
        </w:tc>
        <w:tc>
          <w:tcPr>
            <w:tcW w:w="0" w:type="auto"/>
            <w:gridSpan w:val="3"/>
            <w:shd w:val="clear" w:color="auto" w:fill="auto"/>
            <w:vAlign w:val="bottom"/>
          </w:tcPr>
          <w:p w14:paraId="74DDD8E7" w14:textId="77777777" w:rsidR="00584EC1" w:rsidRDefault="00584EC1">
            <w:pPr>
              <w:rPr>
                <w:rFonts w:ascii="宋体"/>
                <w:vanish/>
              </w:rPr>
            </w:pPr>
          </w:p>
        </w:tc>
        <w:tc>
          <w:tcPr>
            <w:tcW w:w="0" w:type="auto"/>
            <w:gridSpan w:val="3"/>
            <w:shd w:val="clear" w:color="auto" w:fill="auto"/>
            <w:vAlign w:val="bottom"/>
          </w:tcPr>
          <w:p w14:paraId="74DDD8E8" w14:textId="77777777" w:rsidR="00584EC1" w:rsidRDefault="00584EC1">
            <w:pPr>
              <w:rPr>
                <w:rFonts w:ascii="宋体"/>
                <w:vanish/>
              </w:rPr>
            </w:pPr>
          </w:p>
        </w:tc>
        <w:tc>
          <w:tcPr>
            <w:tcW w:w="0" w:type="auto"/>
            <w:gridSpan w:val="3"/>
            <w:shd w:val="clear" w:color="auto" w:fill="auto"/>
            <w:vAlign w:val="bottom"/>
          </w:tcPr>
          <w:p w14:paraId="74DDD8E9" w14:textId="77777777" w:rsidR="00584EC1" w:rsidRDefault="00584EC1">
            <w:pPr>
              <w:rPr>
                <w:rFonts w:ascii="宋体"/>
                <w:vanish/>
              </w:rPr>
            </w:pPr>
          </w:p>
        </w:tc>
        <w:tc>
          <w:tcPr>
            <w:tcW w:w="0" w:type="auto"/>
            <w:gridSpan w:val="3"/>
            <w:shd w:val="clear" w:color="auto" w:fill="auto"/>
            <w:vAlign w:val="bottom"/>
          </w:tcPr>
          <w:p w14:paraId="74DDD8EA" w14:textId="77777777" w:rsidR="00584EC1" w:rsidRDefault="00584EC1">
            <w:pPr>
              <w:rPr>
                <w:rFonts w:ascii="宋体"/>
                <w:vanish/>
              </w:rPr>
            </w:pPr>
          </w:p>
        </w:tc>
        <w:tc>
          <w:tcPr>
            <w:tcW w:w="0" w:type="auto"/>
            <w:gridSpan w:val="3"/>
            <w:shd w:val="clear" w:color="auto" w:fill="auto"/>
            <w:vAlign w:val="bottom"/>
          </w:tcPr>
          <w:p w14:paraId="74DDD8EB" w14:textId="77777777" w:rsidR="00584EC1" w:rsidRDefault="00584EC1">
            <w:pPr>
              <w:rPr>
                <w:rFonts w:ascii="宋体"/>
                <w:vanish/>
              </w:rPr>
            </w:pPr>
          </w:p>
        </w:tc>
        <w:tc>
          <w:tcPr>
            <w:tcW w:w="0" w:type="auto"/>
            <w:gridSpan w:val="3"/>
            <w:shd w:val="clear" w:color="auto" w:fill="auto"/>
            <w:vAlign w:val="bottom"/>
          </w:tcPr>
          <w:p w14:paraId="74DDD8EC" w14:textId="77777777" w:rsidR="00584EC1" w:rsidRDefault="00584EC1">
            <w:pPr>
              <w:rPr>
                <w:rFonts w:ascii="宋体"/>
                <w:vanish/>
              </w:rPr>
            </w:pPr>
          </w:p>
        </w:tc>
      </w:tr>
      <w:tr w:rsidR="00584EC1" w14:paraId="74DDD8FA" w14:textId="77777777">
        <w:trPr>
          <w:hidden/>
        </w:trPr>
        <w:tc>
          <w:tcPr>
            <w:tcW w:w="0" w:type="auto"/>
            <w:gridSpan w:val="3"/>
            <w:shd w:val="clear" w:color="auto" w:fill="auto"/>
            <w:vAlign w:val="bottom"/>
          </w:tcPr>
          <w:p w14:paraId="74DDD8EE" w14:textId="77777777" w:rsidR="00584EC1" w:rsidRDefault="00584EC1">
            <w:pPr>
              <w:rPr>
                <w:rFonts w:ascii="宋体"/>
                <w:vanish/>
              </w:rPr>
            </w:pPr>
          </w:p>
        </w:tc>
        <w:tc>
          <w:tcPr>
            <w:tcW w:w="0" w:type="auto"/>
            <w:gridSpan w:val="3"/>
            <w:shd w:val="clear" w:color="auto" w:fill="auto"/>
            <w:vAlign w:val="bottom"/>
          </w:tcPr>
          <w:p w14:paraId="74DDD8EF" w14:textId="77777777" w:rsidR="00584EC1" w:rsidRDefault="00584EC1">
            <w:pPr>
              <w:rPr>
                <w:rFonts w:ascii="宋体"/>
                <w:vanish/>
              </w:rPr>
            </w:pPr>
          </w:p>
        </w:tc>
        <w:tc>
          <w:tcPr>
            <w:tcW w:w="0" w:type="auto"/>
            <w:gridSpan w:val="3"/>
            <w:shd w:val="clear" w:color="auto" w:fill="auto"/>
            <w:vAlign w:val="bottom"/>
          </w:tcPr>
          <w:p w14:paraId="74DDD8F0" w14:textId="77777777" w:rsidR="00584EC1" w:rsidRDefault="00584EC1">
            <w:pPr>
              <w:rPr>
                <w:rFonts w:ascii="宋体"/>
                <w:vanish/>
              </w:rPr>
            </w:pPr>
          </w:p>
        </w:tc>
        <w:tc>
          <w:tcPr>
            <w:tcW w:w="0" w:type="auto"/>
            <w:gridSpan w:val="3"/>
            <w:shd w:val="clear" w:color="auto" w:fill="auto"/>
            <w:vAlign w:val="bottom"/>
          </w:tcPr>
          <w:p w14:paraId="74DDD8F1" w14:textId="77777777" w:rsidR="00584EC1" w:rsidRDefault="00584EC1">
            <w:pPr>
              <w:rPr>
                <w:rFonts w:ascii="宋体"/>
                <w:vanish/>
              </w:rPr>
            </w:pPr>
          </w:p>
        </w:tc>
        <w:tc>
          <w:tcPr>
            <w:tcW w:w="0" w:type="auto"/>
            <w:gridSpan w:val="3"/>
            <w:shd w:val="clear" w:color="auto" w:fill="auto"/>
            <w:vAlign w:val="bottom"/>
          </w:tcPr>
          <w:p w14:paraId="74DDD8F2" w14:textId="77777777" w:rsidR="00584EC1" w:rsidRDefault="00584EC1">
            <w:pPr>
              <w:rPr>
                <w:rFonts w:ascii="宋体"/>
                <w:vanish/>
              </w:rPr>
            </w:pPr>
          </w:p>
        </w:tc>
        <w:tc>
          <w:tcPr>
            <w:tcW w:w="0" w:type="auto"/>
            <w:gridSpan w:val="3"/>
            <w:shd w:val="clear" w:color="auto" w:fill="auto"/>
            <w:vAlign w:val="bottom"/>
          </w:tcPr>
          <w:p w14:paraId="74DDD8F3" w14:textId="77777777" w:rsidR="00584EC1" w:rsidRDefault="00584EC1">
            <w:pPr>
              <w:rPr>
                <w:rFonts w:ascii="宋体"/>
                <w:vanish/>
              </w:rPr>
            </w:pPr>
          </w:p>
        </w:tc>
        <w:tc>
          <w:tcPr>
            <w:tcW w:w="0" w:type="auto"/>
            <w:gridSpan w:val="3"/>
            <w:shd w:val="clear" w:color="auto" w:fill="auto"/>
            <w:vAlign w:val="bottom"/>
          </w:tcPr>
          <w:p w14:paraId="74DDD8F4" w14:textId="77777777" w:rsidR="00584EC1" w:rsidRDefault="00584EC1">
            <w:pPr>
              <w:rPr>
                <w:rFonts w:ascii="宋体"/>
                <w:vanish/>
              </w:rPr>
            </w:pPr>
          </w:p>
        </w:tc>
        <w:tc>
          <w:tcPr>
            <w:tcW w:w="0" w:type="auto"/>
            <w:gridSpan w:val="3"/>
            <w:shd w:val="clear" w:color="auto" w:fill="auto"/>
            <w:vAlign w:val="bottom"/>
          </w:tcPr>
          <w:p w14:paraId="74DDD8F5" w14:textId="77777777" w:rsidR="00584EC1" w:rsidRDefault="00584EC1">
            <w:pPr>
              <w:rPr>
                <w:rFonts w:ascii="宋体"/>
                <w:vanish/>
              </w:rPr>
            </w:pPr>
          </w:p>
        </w:tc>
        <w:tc>
          <w:tcPr>
            <w:tcW w:w="0" w:type="auto"/>
            <w:gridSpan w:val="3"/>
            <w:shd w:val="clear" w:color="auto" w:fill="auto"/>
            <w:vAlign w:val="bottom"/>
          </w:tcPr>
          <w:p w14:paraId="74DDD8F6" w14:textId="77777777" w:rsidR="00584EC1" w:rsidRDefault="00584EC1">
            <w:pPr>
              <w:rPr>
                <w:rFonts w:ascii="宋体"/>
                <w:vanish/>
              </w:rPr>
            </w:pPr>
          </w:p>
        </w:tc>
        <w:tc>
          <w:tcPr>
            <w:tcW w:w="0" w:type="auto"/>
            <w:gridSpan w:val="3"/>
            <w:shd w:val="clear" w:color="auto" w:fill="auto"/>
            <w:vAlign w:val="bottom"/>
          </w:tcPr>
          <w:p w14:paraId="74DDD8F7" w14:textId="77777777" w:rsidR="00584EC1" w:rsidRDefault="00584EC1">
            <w:pPr>
              <w:rPr>
                <w:rFonts w:ascii="宋体"/>
                <w:vanish/>
              </w:rPr>
            </w:pPr>
          </w:p>
        </w:tc>
        <w:tc>
          <w:tcPr>
            <w:tcW w:w="0" w:type="auto"/>
            <w:gridSpan w:val="3"/>
            <w:shd w:val="clear" w:color="auto" w:fill="auto"/>
            <w:vAlign w:val="bottom"/>
          </w:tcPr>
          <w:p w14:paraId="74DDD8F8" w14:textId="77777777" w:rsidR="00584EC1" w:rsidRDefault="00584EC1">
            <w:pPr>
              <w:rPr>
                <w:rFonts w:ascii="宋体"/>
                <w:vanish/>
              </w:rPr>
            </w:pPr>
          </w:p>
        </w:tc>
        <w:tc>
          <w:tcPr>
            <w:tcW w:w="0" w:type="auto"/>
            <w:gridSpan w:val="3"/>
            <w:shd w:val="clear" w:color="auto" w:fill="auto"/>
            <w:vAlign w:val="bottom"/>
          </w:tcPr>
          <w:p w14:paraId="74DDD8F9" w14:textId="77777777" w:rsidR="00584EC1" w:rsidRDefault="00584EC1">
            <w:pPr>
              <w:rPr>
                <w:rFonts w:ascii="宋体"/>
                <w:vanish/>
              </w:rPr>
            </w:pPr>
          </w:p>
        </w:tc>
      </w:tr>
      <w:tr w:rsidR="00584EC1" w14:paraId="74DDD907" w14:textId="77777777">
        <w:trPr>
          <w:hidden/>
        </w:trPr>
        <w:tc>
          <w:tcPr>
            <w:tcW w:w="0" w:type="auto"/>
            <w:gridSpan w:val="3"/>
            <w:shd w:val="clear" w:color="auto" w:fill="auto"/>
            <w:vAlign w:val="bottom"/>
          </w:tcPr>
          <w:p w14:paraId="74DDD8FB" w14:textId="77777777" w:rsidR="00584EC1" w:rsidRDefault="00584EC1">
            <w:pPr>
              <w:rPr>
                <w:rFonts w:ascii="宋体"/>
                <w:vanish/>
              </w:rPr>
            </w:pPr>
          </w:p>
        </w:tc>
        <w:tc>
          <w:tcPr>
            <w:tcW w:w="0" w:type="auto"/>
            <w:gridSpan w:val="3"/>
            <w:shd w:val="clear" w:color="auto" w:fill="auto"/>
            <w:vAlign w:val="bottom"/>
          </w:tcPr>
          <w:p w14:paraId="74DDD8FC" w14:textId="77777777" w:rsidR="00584EC1" w:rsidRDefault="00584EC1">
            <w:pPr>
              <w:rPr>
                <w:rFonts w:ascii="宋体"/>
                <w:vanish/>
              </w:rPr>
            </w:pPr>
          </w:p>
        </w:tc>
        <w:tc>
          <w:tcPr>
            <w:tcW w:w="0" w:type="auto"/>
            <w:gridSpan w:val="3"/>
            <w:shd w:val="clear" w:color="auto" w:fill="auto"/>
            <w:vAlign w:val="bottom"/>
          </w:tcPr>
          <w:p w14:paraId="74DDD8FD" w14:textId="77777777" w:rsidR="00584EC1" w:rsidRDefault="00584EC1">
            <w:pPr>
              <w:rPr>
                <w:rFonts w:ascii="宋体"/>
                <w:vanish/>
              </w:rPr>
            </w:pPr>
          </w:p>
        </w:tc>
        <w:tc>
          <w:tcPr>
            <w:tcW w:w="0" w:type="auto"/>
            <w:gridSpan w:val="3"/>
            <w:shd w:val="clear" w:color="auto" w:fill="auto"/>
            <w:vAlign w:val="bottom"/>
          </w:tcPr>
          <w:p w14:paraId="74DDD8FE" w14:textId="77777777" w:rsidR="00584EC1" w:rsidRDefault="00584EC1">
            <w:pPr>
              <w:rPr>
                <w:rFonts w:ascii="宋体"/>
                <w:vanish/>
              </w:rPr>
            </w:pPr>
          </w:p>
        </w:tc>
        <w:tc>
          <w:tcPr>
            <w:tcW w:w="0" w:type="auto"/>
            <w:gridSpan w:val="3"/>
            <w:shd w:val="clear" w:color="auto" w:fill="auto"/>
            <w:vAlign w:val="bottom"/>
          </w:tcPr>
          <w:p w14:paraId="74DDD8FF" w14:textId="77777777" w:rsidR="00584EC1" w:rsidRDefault="00584EC1">
            <w:pPr>
              <w:rPr>
                <w:rFonts w:ascii="宋体"/>
                <w:vanish/>
              </w:rPr>
            </w:pPr>
          </w:p>
        </w:tc>
        <w:tc>
          <w:tcPr>
            <w:tcW w:w="0" w:type="auto"/>
            <w:gridSpan w:val="3"/>
            <w:shd w:val="clear" w:color="auto" w:fill="auto"/>
            <w:vAlign w:val="bottom"/>
          </w:tcPr>
          <w:p w14:paraId="74DDD900" w14:textId="77777777" w:rsidR="00584EC1" w:rsidRDefault="00584EC1">
            <w:pPr>
              <w:rPr>
                <w:rFonts w:ascii="宋体"/>
                <w:vanish/>
              </w:rPr>
            </w:pPr>
          </w:p>
        </w:tc>
        <w:tc>
          <w:tcPr>
            <w:tcW w:w="0" w:type="auto"/>
            <w:gridSpan w:val="3"/>
            <w:shd w:val="clear" w:color="auto" w:fill="auto"/>
            <w:vAlign w:val="bottom"/>
          </w:tcPr>
          <w:p w14:paraId="74DDD901" w14:textId="77777777" w:rsidR="00584EC1" w:rsidRDefault="00584EC1">
            <w:pPr>
              <w:rPr>
                <w:rFonts w:ascii="宋体"/>
                <w:vanish/>
              </w:rPr>
            </w:pPr>
          </w:p>
        </w:tc>
        <w:tc>
          <w:tcPr>
            <w:tcW w:w="0" w:type="auto"/>
            <w:gridSpan w:val="3"/>
            <w:shd w:val="clear" w:color="auto" w:fill="auto"/>
            <w:vAlign w:val="bottom"/>
          </w:tcPr>
          <w:p w14:paraId="74DDD902" w14:textId="77777777" w:rsidR="00584EC1" w:rsidRDefault="00584EC1">
            <w:pPr>
              <w:rPr>
                <w:rFonts w:ascii="宋体"/>
                <w:vanish/>
              </w:rPr>
            </w:pPr>
          </w:p>
        </w:tc>
        <w:tc>
          <w:tcPr>
            <w:tcW w:w="0" w:type="auto"/>
            <w:gridSpan w:val="3"/>
            <w:shd w:val="clear" w:color="auto" w:fill="auto"/>
            <w:vAlign w:val="bottom"/>
          </w:tcPr>
          <w:p w14:paraId="74DDD903" w14:textId="77777777" w:rsidR="00584EC1" w:rsidRDefault="00584EC1">
            <w:pPr>
              <w:rPr>
                <w:rFonts w:ascii="宋体"/>
                <w:vanish/>
              </w:rPr>
            </w:pPr>
          </w:p>
        </w:tc>
        <w:tc>
          <w:tcPr>
            <w:tcW w:w="0" w:type="auto"/>
            <w:gridSpan w:val="3"/>
            <w:shd w:val="clear" w:color="auto" w:fill="auto"/>
            <w:vAlign w:val="bottom"/>
          </w:tcPr>
          <w:p w14:paraId="74DDD904" w14:textId="77777777" w:rsidR="00584EC1" w:rsidRDefault="00584EC1">
            <w:pPr>
              <w:rPr>
                <w:rFonts w:ascii="宋体"/>
                <w:vanish/>
              </w:rPr>
            </w:pPr>
          </w:p>
        </w:tc>
        <w:tc>
          <w:tcPr>
            <w:tcW w:w="0" w:type="auto"/>
            <w:gridSpan w:val="3"/>
            <w:shd w:val="clear" w:color="auto" w:fill="auto"/>
            <w:vAlign w:val="bottom"/>
          </w:tcPr>
          <w:p w14:paraId="74DDD905" w14:textId="77777777" w:rsidR="00584EC1" w:rsidRDefault="00584EC1">
            <w:pPr>
              <w:rPr>
                <w:rFonts w:ascii="宋体"/>
                <w:vanish/>
              </w:rPr>
            </w:pPr>
          </w:p>
        </w:tc>
        <w:tc>
          <w:tcPr>
            <w:tcW w:w="0" w:type="auto"/>
            <w:gridSpan w:val="3"/>
            <w:shd w:val="clear" w:color="auto" w:fill="auto"/>
            <w:vAlign w:val="bottom"/>
          </w:tcPr>
          <w:p w14:paraId="74DDD906" w14:textId="77777777" w:rsidR="00584EC1" w:rsidRDefault="00584EC1">
            <w:pPr>
              <w:rPr>
                <w:rFonts w:ascii="宋体"/>
                <w:vanish/>
              </w:rPr>
            </w:pPr>
          </w:p>
        </w:tc>
      </w:tr>
      <w:tr w:rsidR="00584EC1" w14:paraId="74DDD914" w14:textId="77777777">
        <w:trPr>
          <w:hidden/>
        </w:trPr>
        <w:tc>
          <w:tcPr>
            <w:tcW w:w="0" w:type="auto"/>
            <w:gridSpan w:val="3"/>
            <w:shd w:val="clear" w:color="auto" w:fill="auto"/>
            <w:vAlign w:val="bottom"/>
          </w:tcPr>
          <w:p w14:paraId="74DDD908" w14:textId="77777777" w:rsidR="00584EC1" w:rsidRDefault="00584EC1">
            <w:pPr>
              <w:rPr>
                <w:rFonts w:ascii="宋体"/>
                <w:vanish/>
              </w:rPr>
            </w:pPr>
          </w:p>
        </w:tc>
        <w:tc>
          <w:tcPr>
            <w:tcW w:w="0" w:type="auto"/>
            <w:gridSpan w:val="3"/>
            <w:shd w:val="clear" w:color="auto" w:fill="auto"/>
            <w:vAlign w:val="bottom"/>
          </w:tcPr>
          <w:p w14:paraId="74DDD909" w14:textId="77777777" w:rsidR="00584EC1" w:rsidRDefault="00584EC1">
            <w:pPr>
              <w:rPr>
                <w:rFonts w:ascii="宋体"/>
                <w:vanish/>
              </w:rPr>
            </w:pPr>
          </w:p>
        </w:tc>
        <w:tc>
          <w:tcPr>
            <w:tcW w:w="0" w:type="auto"/>
            <w:gridSpan w:val="3"/>
            <w:shd w:val="clear" w:color="auto" w:fill="auto"/>
            <w:vAlign w:val="bottom"/>
          </w:tcPr>
          <w:p w14:paraId="74DDD90A" w14:textId="77777777" w:rsidR="00584EC1" w:rsidRDefault="00584EC1">
            <w:pPr>
              <w:rPr>
                <w:rFonts w:ascii="宋体"/>
                <w:vanish/>
              </w:rPr>
            </w:pPr>
          </w:p>
        </w:tc>
        <w:tc>
          <w:tcPr>
            <w:tcW w:w="0" w:type="auto"/>
            <w:gridSpan w:val="3"/>
            <w:shd w:val="clear" w:color="auto" w:fill="auto"/>
            <w:vAlign w:val="bottom"/>
          </w:tcPr>
          <w:p w14:paraId="74DDD90B" w14:textId="77777777" w:rsidR="00584EC1" w:rsidRDefault="00584EC1">
            <w:pPr>
              <w:rPr>
                <w:rFonts w:ascii="宋体"/>
                <w:vanish/>
              </w:rPr>
            </w:pPr>
          </w:p>
        </w:tc>
        <w:tc>
          <w:tcPr>
            <w:tcW w:w="0" w:type="auto"/>
            <w:gridSpan w:val="3"/>
            <w:shd w:val="clear" w:color="auto" w:fill="auto"/>
            <w:vAlign w:val="bottom"/>
          </w:tcPr>
          <w:p w14:paraId="74DDD90C" w14:textId="77777777" w:rsidR="00584EC1" w:rsidRDefault="00584EC1">
            <w:pPr>
              <w:rPr>
                <w:rFonts w:ascii="宋体"/>
                <w:vanish/>
              </w:rPr>
            </w:pPr>
          </w:p>
        </w:tc>
        <w:tc>
          <w:tcPr>
            <w:tcW w:w="0" w:type="auto"/>
            <w:gridSpan w:val="3"/>
            <w:shd w:val="clear" w:color="auto" w:fill="auto"/>
            <w:vAlign w:val="bottom"/>
          </w:tcPr>
          <w:p w14:paraId="74DDD90D" w14:textId="77777777" w:rsidR="00584EC1" w:rsidRDefault="00584EC1">
            <w:pPr>
              <w:rPr>
                <w:rFonts w:ascii="宋体"/>
                <w:vanish/>
              </w:rPr>
            </w:pPr>
          </w:p>
        </w:tc>
        <w:tc>
          <w:tcPr>
            <w:tcW w:w="0" w:type="auto"/>
            <w:gridSpan w:val="3"/>
            <w:shd w:val="clear" w:color="auto" w:fill="auto"/>
            <w:vAlign w:val="bottom"/>
          </w:tcPr>
          <w:p w14:paraId="74DDD90E" w14:textId="77777777" w:rsidR="00584EC1" w:rsidRDefault="00584EC1">
            <w:pPr>
              <w:rPr>
                <w:rFonts w:ascii="宋体"/>
                <w:vanish/>
              </w:rPr>
            </w:pPr>
          </w:p>
        </w:tc>
        <w:tc>
          <w:tcPr>
            <w:tcW w:w="0" w:type="auto"/>
            <w:gridSpan w:val="3"/>
            <w:shd w:val="clear" w:color="auto" w:fill="auto"/>
            <w:vAlign w:val="bottom"/>
          </w:tcPr>
          <w:p w14:paraId="74DDD90F" w14:textId="77777777" w:rsidR="00584EC1" w:rsidRDefault="00584EC1">
            <w:pPr>
              <w:rPr>
                <w:rFonts w:ascii="宋体"/>
                <w:vanish/>
              </w:rPr>
            </w:pPr>
          </w:p>
        </w:tc>
        <w:tc>
          <w:tcPr>
            <w:tcW w:w="0" w:type="auto"/>
            <w:gridSpan w:val="3"/>
            <w:shd w:val="clear" w:color="auto" w:fill="auto"/>
            <w:vAlign w:val="bottom"/>
          </w:tcPr>
          <w:p w14:paraId="74DDD910" w14:textId="77777777" w:rsidR="00584EC1" w:rsidRDefault="00584EC1">
            <w:pPr>
              <w:rPr>
                <w:rFonts w:ascii="宋体"/>
                <w:vanish/>
              </w:rPr>
            </w:pPr>
          </w:p>
        </w:tc>
        <w:tc>
          <w:tcPr>
            <w:tcW w:w="0" w:type="auto"/>
            <w:gridSpan w:val="3"/>
            <w:shd w:val="clear" w:color="auto" w:fill="auto"/>
            <w:vAlign w:val="bottom"/>
          </w:tcPr>
          <w:p w14:paraId="74DDD911" w14:textId="77777777" w:rsidR="00584EC1" w:rsidRDefault="00584EC1">
            <w:pPr>
              <w:rPr>
                <w:rFonts w:ascii="宋体"/>
                <w:vanish/>
              </w:rPr>
            </w:pPr>
          </w:p>
        </w:tc>
        <w:tc>
          <w:tcPr>
            <w:tcW w:w="0" w:type="auto"/>
            <w:gridSpan w:val="3"/>
            <w:shd w:val="clear" w:color="auto" w:fill="auto"/>
            <w:vAlign w:val="bottom"/>
          </w:tcPr>
          <w:p w14:paraId="74DDD912" w14:textId="77777777" w:rsidR="00584EC1" w:rsidRDefault="00584EC1">
            <w:pPr>
              <w:rPr>
                <w:rFonts w:ascii="宋体"/>
                <w:vanish/>
              </w:rPr>
            </w:pPr>
          </w:p>
        </w:tc>
        <w:tc>
          <w:tcPr>
            <w:tcW w:w="0" w:type="auto"/>
            <w:gridSpan w:val="3"/>
            <w:shd w:val="clear" w:color="auto" w:fill="auto"/>
            <w:vAlign w:val="bottom"/>
          </w:tcPr>
          <w:p w14:paraId="74DDD913" w14:textId="77777777" w:rsidR="00584EC1" w:rsidRDefault="00584EC1">
            <w:pPr>
              <w:rPr>
                <w:rFonts w:ascii="宋体"/>
                <w:vanish/>
              </w:rPr>
            </w:pPr>
          </w:p>
        </w:tc>
      </w:tr>
      <w:tr w:rsidR="00584EC1" w14:paraId="74DDD921" w14:textId="77777777">
        <w:trPr>
          <w:hidden/>
        </w:trPr>
        <w:tc>
          <w:tcPr>
            <w:tcW w:w="0" w:type="auto"/>
            <w:gridSpan w:val="3"/>
            <w:shd w:val="clear" w:color="auto" w:fill="auto"/>
            <w:vAlign w:val="bottom"/>
          </w:tcPr>
          <w:p w14:paraId="74DDD915" w14:textId="77777777" w:rsidR="00584EC1" w:rsidRDefault="00584EC1">
            <w:pPr>
              <w:rPr>
                <w:rFonts w:ascii="宋体"/>
                <w:vanish/>
              </w:rPr>
            </w:pPr>
          </w:p>
        </w:tc>
        <w:tc>
          <w:tcPr>
            <w:tcW w:w="0" w:type="auto"/>
            <w:gridSpan w:val="3"/>
            <w:shd w:val="clear" w:color="auto" w:fill="auto"/>
            <w:vAlign w:val="bottom"/>
          </w:tcPr>
          <w:p w14:paraId="74DDD916" w14:textId="77777777" w:rsidR="00584EC1" w:rsidRDefault="00584EC1">
            <w:pPr>
              <w:rPr>
                <w:rFonts w:ascii="宋体"/>
                <w:vanish/>
              </w:rPr>
            </w:pPr>
          </w:p>
        </w:tc>
        <w:tc>
          <w:tcPr>
            <w:tcW w:w="0" w:type="auto"/>
            <w:gridSpan w:val="3"/>
            <w:shd w:val="clear" w:color="auto" w:fill="auto"/>
            <w:vAlign w:val="bottom"/>
          </w:tcPr>
          <w:p w14:paraId="74DDD917" w14:textId="77777777" w:rsidR="00584EC1" w:rsidRDefault="00584EC1">
            <w:pPr>
              <w:rPr>
                <w:rFonts w:ascii="宋体"/>
                <w:vanish/>
              </w:rPr>
            </w:pPr>
          </w:p>
        </w:tc>
        <w:tc>
          <w:tcPr>
            <w:tcW w:w="0" w:type="auto"/>
            <w:gridSpan w:val="3"/>
            <w:shd w:val="clear" w:color="auto" w:fill="auto"/>
            <w:vAlign w:val="bottom"/>
          </w:tcPr>
          <w:p w14:paraId="74DDD918" w14:textId="77777777" w:rsidR="00584EC1" w:rsidRDefault="00584EC1">
            <w:pPr>
              <w:rPr>
                <w:rFonts w:ascii="宋体"/>
                <w:vanish/>
              </w:rPr>
            </w:pPr>
          </w:p>
        </w:tc>
        <w:tc>
          <w:tcPr>
            <w:tcW w:w="0" w:type="auto"/>
            <w:gridSpan w:val="3"/>
            <w:shd w:val="clear" w:color="auto" w:fill="auto"/>
            <w:vAlign w:val="bottom"/>
          </w:tcPr>
          <w:p w14:paraId="74DDD919" w14:textId="77777777" w:rsidR="00584EC1" w:rsidRDefault="00584EC1">
            <w:pPr>
              <w:rPr>
                <w:rFonts w:ascii="宋体"/>
                <w:vanish/>
              </w:rPr>
            </w:pPr>
          </w:p>
        </w:tc>
        <w:tc>
          <w:tcPr>
            <w:tcW w:w="0" w:type="auto"/>
            <w:gridSpan w:val="3"/>
            <w:shd w:val="clear" w:color="auto" w:fill="auto"/>
            <w:vAlign w:val="bottom"/>
          </w:tcPr>
          <w:p w14:paraId="74DDD91A" w14:textId="77777777" w:rsidR="00584EC1" w:rsidRDefault="00584EC1">
            <w:pPr>
              <w:rPr>
                <w:rFonts w:ascii="宋体"/>
                <w:vanish/>
              </w:rPr>
            </w:pPr>
          </w:p>
        </w:tc>
        <w:tc>
          <w:tcPr>
            <w:tcW w:w="0" w:type="auto"/>
            <w:gridSpan w:val="3"/>
            <w:shd w:val="clear" w:color="auto" w:fill="auto"/>
            <w:vAlign w:val="bottom"/>
          </w:tcPr>
          <w:p w14:paraId="74DDD91B" w14:textId="77777777" w:rsidR="00584EC1" w:rsidRDefault="00584EC1">
            <w:pPr>
              <w:rPr>
                <w:rFonts w:ascii="宋体"/>
                <w:vanish/>
              </w:rPr>
            </w:pPr>
          </w:p>
        </w:tc>
        <w:tc>
          <w:tcPr>
            <w:tcW w:w="0" w:type="auto"/>
            <w:gridSpan w:val="3"/>
            <w:shd w:val="clear" w:color="auto" w:fill="auto"/>
            <w:vAlign w:val="bottom"/>
          </w:tcPr>
          <w:p w14:paraId="74DDD91C" w14:textId="77777777" w:rsidR="00584EC1" w:rsidRDefault="00584EC1">
            <w:pPr>
              <w:rPr>
                <w:rFonts w:ascii="宋体"/>
                <w:vanish/>
              </w:rPr>
            </w:pPr>
          </w:p>
        </w:tc>
        <w:tc>
          <w:tcPr>
            <w:tcW w:w="0" w:type="auto"/>
            <w:gridSpan w:val="3"/>
            <w:shd w:val="clear" w:color="auto" w:fill="auto"/>
            <w:vAlign w:val="bottom"/>
          </w:tcPr>
          <w:p w14:paraId="74DDD91D" w14:textId="77777777" w:rsidR="00584EC1" w:rsidRDefault="00584EC1">
            <w:pPr>
              <w:rPr>
                <w:rFonts w:ascii="宋体"/>
                <w:vanish/>
              </w:rPr>
            </w:pPr>
          </w:p>
        </w:tc>
        <w:tc>
          <w:tcPr>
            <w:tcW w:w="0" w:type="auto"/>
            <w:gridSpan w:val="3"/>
            <w:shd w:val="clear" w:color="auto" w:fill="auto"/>
            <w:vAlign w:val="bottom"/>
          </w:tcPr>
          <w:p w14:paraId="74DDD91E" w14:textId="77777777" w:rsidR="00584EC1" w:rsidRDefault="00584EC1">
            <w:pPr>
              <w:rPr>
                <w:rFonts w:ascii="宋体"/>
                <w:vanish/>
              </w:rPr>
            </w:pPr>
          </w:p>
        </w:tc>
        <w:tc>
          <w:tcPr>
            <w:tcW w:w="0" w:type="auto"/>
            <w:gridSpan w:val="3"/>
            <w:shd w:val="clear" w:color="auto" w:fill="auto"/>
            <w:vAlign w:val="bottom"/>
          </w:tcPr>
          <w:p w14:paraId="74DDD91F" w14:textId="77777777" w:rsidR="00584EC1" w:rsidRDefault="00584EC1">
            <w:pPr>
              <w:rPr>
                <w:rFonts w:ascii="宋体"/>
                <w:vanish/>
              </w:rPr>
            </w:pPr>
          </w:p>
        </w:tc>
        <w:tc>
          <w:tcPr>
            <w:tcW w:w="0" w:type="auto"/>
            <w:gridSpan w:val="3"/>
            <w:shd w:val="clear" w:color="auto" w:fill="auto"/>
            <w:vAlign w:val="bottom"/>
          </w:tcPr>
          <w:p w14:paraId="74DDD920" w14:textId="77777777" w:rsidR="00584EC1" w:rsidRDefault="00584EC1">
            <w:pPr>
              <w:rPr>
                <w:rFonts w:ascii="宋体"/>
                <w:vanish/>
              </w:rPr>
            </w:pPr>
          </w:p>
        </w:tc>
      </w:tr>
      <w:tr w:rsidR="00584EC1" w14:paraId="74DDD92E" w14:textId="77777777">
        <w:trPr>
          <w:hidden/>
        </w:trPr>
        <w:tc>
          <w:tcPr>
            <w:tcW w:w="0" w:type="auto"/>
            <w:gridSpan w:val="3"/>
            <w:shd w:val="clear" w:color="auto" w:fill="auto"/>
            <w:vAlign w:val="bottom"/>
          </w:tcPr>
          <w:p w14:paraId="74DDD922" w14:textId="77777777" w:rsidR="00584EC1" w:rsidRDefault="00584EC1">
            <w:pPr>
              <w:rPr>
                <w:rFonts w:ascii="宋体"/>
                <w:vanish/>
              </w:rPr>
            </w:pPr>
          </w:p>
        </w:tc>
        <w:tc>
          <w:tcPr>
            <w:tcW w:w="0" w:type="auto"/>
            <w:gridSpan w:val="3"/>
            <w:shd w:val="clear" w:color="auto" w:fill="auto"/>
            <w:vAlign w:val="bottom"/>
          </w:tcPr>
          <w:p w14:paraId="74DDD923" w14:textId="77777777" w:rsidR="00584EC1" w:rsidRDefault="00584EC1">
            <w:pPr>
              <w:rPr>
                <w:rFonts w:ascii="宋体"/>
                <w:vanish/>
              </w:rPr>
            </w:pPr>
          </w:p>
        </w:tc>
        <w:tc>
          <w:tcPr>
            <w:tcW w:w="0" w:type="auto"/>
            <w:gridSpan w:val="3"/>
            <w:shd w:val="clear" w:color="auto" w:fill="auto"/>
            <w:vAlign w:val="bottom"/>
          </w:tcPr>
          <w:p w14:paraId="74DDD924" w14:textId="77777777" w:rsidR="00584EC1" w:rsidRDefault="00584EC1">
            <w:pPr>
              <w:rPr>
                <w:rFonts w:ascii="宋体"/>
                <w:vanish/>
              </w:rPr>
            </w:pPr>
          </w:p>
        </w:tc>
        <w:tc>
          <w:tcPr>
            <w:tcW w:w="0" w:type="auto"/>
            <w:gridSpan w:val="3"/>
            <w:shd w:val="clear" w:color="auto" w:fill="auto"/>
            <w:vAlign w:val="bottom"/>
          </w:tcPr>
          <w:p w14:paraId="74DDD925" w14:textId="77777777" w:rsidR="00584EC1" w:rsidRDefault="00584EC1">
            <w:pPr>
              <w:rPr>
                <w:rFonts w:ascii="宋体"/>
                <w:vanish/>
              </w:rPr>
            </w:pPr>
          </w:p>
        </w:tc>
        <w:tc>
          <w:tcPr>
            <w:tcW w:w="0" w:type="auto"/>
            <w:gridSpan w:val="3"/>
            <w:shd w:val="clear" w:color="auto" w:fill="auto"/>
            <w:vAlign w:val="bottom"/>
          </w:tcPr>
          <w:p w14:paraId="74DDD926" w14:textId="77777777" w:rsidR="00584EC1" w:rsidRDefault="00584EC1">
            <w:pPr>
              <w:rPr>
                <w:rFonts w:ascii="宋体"/>
                <w:vanish/>
              </w:rPr>
            </w:pPr>
          </w:p>
        </w:tc>
        <w:tc>
          <w:tcPr>
            <w:tcW w:w="0" w:type="auto"/>
            <w:gridSpan w:val="3"/>
            <w:shd w:val="clear" w:color="auto" w:fill="auto"/>
            <w:vAlign w:val="bottom"/>
          </w:tcPr>
          <w:p w14:paraId="74DDD927" w14:textId="77777777" w:rsidR="00584EC1" w:rsidRDefault="00584EC1">
            <w:pPr>
              <w:rPr>
                <w:rFonts w:ascii="宋体"/>
                <w:vanish/>
              </w:rPr>
            </w:pPr>
          </w:p>
        </w:tc>
        <w:tc>
          <w:tcPr>
            <w:tcW w:w="0" w:type="auto"/>
            <w:gridSpan w:val="3"/>
            <w:shd w:val="clear" w:color="auto" w:fill="auto"/>
            <w:vAlign w:val="bottom"/>
          </w:tcPr>
          <w:p w14:paraId="74DDD928" w14:textId="77777777" w:rsidR="00584EC1" w:rsidRDefault="00584EC1">
            <w:pPr>
              <w:rPr>
                <w:rFonts w:ascii="宋体"/>
                <w:vanish/>
              </w:rPr>
            </w:pPr>
          </w:p>
        </w:tc>
        <w:tc>
          <w:tcPr>
            <w:tcW w:w="0" w:type="auto"/>
            <w:gridSpan w:val="3"/>
            <w:shd w:val="clear" w:color="auto" w:fill="auto"/>
            <w:vAlign w:val="bottom"/>
          </w:tcPr>
          <w:p w14:paraId="74DDD929" w14:textId="77777777" w:rsidR="00584EC1" w:rsidRDefault="00584EC1">
            <w:pPr>
              <w:rPr>
                <w:rFonts w:ascii="宋体"/>
                <w:vanish/>
              </w:rPr>
            </w:pPr>
          </w:p>
        </w:tc>
        <w:tc>
          <w:tcPr>
            <w:tcW w:w="0" w:type="auto"/>
            <w:gridSpan w:val="3"/>
            <w:shd w:val="clear" w:color="auto" w:fill="auto"/>
            <w:vAlign w:val="bottom"/>
          </w:tcPr>
          <w:p w14:paraId="74DDD92A" w14:textId="77777777" w:rsidR="00584EC1" w:rsidRDefault="00584EC1">
            <w:pPr>
              <w:rPr>
                <w:rFonts w:ascii="宋体"/>
                <w:vanish/>
              </w:rPr>
            </w:pPr>
          </w:p>
        </w:tc>
        <w:tc>
          <w:tcPr>
            <w:tcW w:w="0" w:type="auto"/>
            <w:gridSpan w:val="3"/>
            <w:shd w:val="clear" w:color="auto" w:fill="auto"/>
            <w:vAlign w:val="bottom"/>
          </w:tcPr>
          <w:p w14:paraId="74DDD92B" w14:textId="77777777" w:rsidR="00584EC1" w:rsidRDefault="00584EC1">
            <w:pPr>
              <w:rPr>
                <w:rFonts w:ascii="宋体"/>
                <w:vanish/>
              </w:rPr>
            </w:pPr>
          </w:p>
        </w:tc>
        <w:tc>
          <w:tcPr>
            <w:tcW w:w="0" w:type="auto"/>
            <w:gridSpan w:val="3"/>
            <w:shd w:val="clear" w:color="auto" w:fill="auto"/>
            <w:vAlign w:val="bottom"/>
          </w:tcPr>
          <w:p w14:paraId="74DDD92C" w14:textId="77777777" w:rsidR="00584EC1" w:rsidRDefault="00584EC1">
            <w:pPr>
              <w:rPr>
                <w:rFonts w:ascii="宋体"/>
                <w:vanish/>
              </w:rPr>
            </w:pPr>
          </w:p>
        </w:tc>
        <w:tc>
          <w:tcPr>
            <w:tcW w:w="0" w:type="auto"/>
            <w:gridSpan w:val="3"/>
            <w:shd w:val="clear" w:color="auto" w:fill="auto"/>
            <w:vAlign w:val="bottom"/>
          </w:tcPr>
          <w:p w14:paraId="74DDD92D" w14:textId="77777777" w:rsidR="00584EC1" w:rsidRDefault="00584EC1">
            <w:pPr>
              <w:rPr>
                <w:rFonts w:ascii="宋体"/>
                <w:vanish/>
              </w:rPr>
            </w:pPr>
          </w:p>
        </w:tc>
      </w:tr>
      <w:tr w:rsidR="00584EC1" w14:paraId="74DDD93B" w14:textId="77777777">
        <w:trPr>
          <w:hidden/>
        </w:trPr>
        <w:tc>
          <w:tcPr>
            <w:tcW w:w="0" w:type="auto"/>
            <w:gridSpan w:val="3"/>
            <w:shd w:val="clear" w:color="auto" w:fill="auto"/>
            <w:vAlign w:val="bottom"/>
          </w:tcPr>
          <w:p w14:paraId="74DDD92F" w14:textId="77777777" w:rsidR="00584EC1" w:rsidRDefault="00584EC1">
            <w:pPr>
              <w:rPr>
                <w:rFonts w:ascii="宋体"/>
                <w:vanish/>
              </w:rPr>
            </w:pPr>
          </w:p>
        </w:tc>
        <w:tc>
          <w:tcPr>
            <w:tcW w:w="0" w:type="auto"/>
            <w:gridSpan w:val="3"/>
            <w:shd w:val="clear" w:color="auto" w:fill="auto"/>
            <w:vAlign w:val="bottom"/>
          </w:tcPr>
          <w:p w14:paraId="74DDD930" w14:textId="77777777" w:rsidR="00584EC1" w:rsidRDefault="00584EC1">
            <w:pPr>
              <w:rPr>
                <w:rFonts w:ascii="宋体"/>
                <w:vanish/>
              </w:rPr>
            </w:pPr>
          </w:p>
        </w:tc>
        <w:tc>
          <w:tcPr>
            <w:tcW w:w="0" w:type="auto"/>
            <w:gridSpan w:val="3"/>
            <w:shd w:val="clear" w:color="auto" w:fill="auto"/>
            <w:vAlign w:val="bottom"/>
          </w:tcPr>
          <w:p w14:paraId="74DDD931" w14:textId="77777777" w:rsidR="00584EC1" w:rsidRDefault="00584EC1">
            <w:pPr>
              <w:rPr>
                <w:rFonts w:ascii="宋体"/>
                <w:vanish/>
              </w:rPr>
            </w:pPr>
          </w:p>
        </w:tc>
        <w:tc>
          <w:tcPr>
            <w:tcW w:w="0" w:type="auto"/>
            <w:gridSpan w:val="3"/>
            <w:shd w:val="clear" w:color="auto" w:fill="auto"/>
            <w:vAlign w:val="bottom"/>
          </w:tcPr>
          <w:p w14:paraId="74DDD932" w14:textId="77777777" w:rsidR="00584EC1" w:rsidRDefault="00584EC1">
            <w:pPr>
              <w:rPr>
                <w:rFonts w:ascii="宋体"/>
                <w:vanish/>
              </w:rPr>
            </w:pPr>
          </w:p>
        </w:tc>
        <w:tc>
          <w:tcPr>
            <w:tcW w:w="0" w:type="auto"/>
            <w:gridSpan w:val="3"/>
            <w:shd w:val="clear" w:color="auto" w:fill="auto"/>
            <w:vAlign w:val="bottom"/>
          </w:tcPr>
          <w:p w14:paraId="74DDD933" w14:textId="77777777" w:rsidR="00584EC1" w:rsidRDefault="00584EC1">
            <w:pPr>
              <w:rPr>
                <w:rFonts w:ascii="宋体"/>
                <w:vanish/>
              </w:rPr>
            </w:pPr>
          </w:p>
        </w:tc>
        <w:tc>
          <w:tcPr>
            <w:tcW w:w="0" w:type="auto"/>
            <w:gridSpan w:val="3"/>
            <w:shd w:val="clear" w:color="auto" w:fill="auto"/>
            <w:vAlign w:val="bottom"/>
          </w:tcPr>
          <w:p w14:paraId="74DDD934" w14:textId="77777777" w:rsidR="00584EC1" w:rsidRDefault="00584EC1">
            <w:pPr>
              <w:rPr>
                <w:rFonts w:ascii="宋体"/>
                <w:vanish/>
              </w:rPr>
            </w:pPr>
          </w:p>
        </w:tc>
        <w:tc>
          <w:tcPr>
            <w:tcW w:w="0" w:type="auto"/>
            <w:gridSpan w:val="3"/>
            <w:shd w:val="clear" w:color="auto" w:fill="auto"/>
            <w:vAlign w:val="bottom"/>
          </w:tcPr>
          <w:p w14:paraId="74DDD935" w14:textId="77777777" w:rsidR="00584EC1" w:rsidRDefault="00584EC1">
            <w:pPr>
              <w:rPr>
                <w:rFonts w:ascii="宋体"/>
                <w:vanish/>
              </w:rPr>
            </w:pPr>
          </w:p>
        </w:tc>
        <w:tc>
          <w:tcPr>
            <w:tcW w:w="0" w:type="auto"/>
            <w:gridSpan w:val="3"/>
            <w:shd w:val="clear" w:color="auto" w:fill="auto"/>
            <w:vAlign w:val="bottom"/>
          </w:tcPr>
          <w:p w14:paraId="74DDD936" w14:textId="77777777" w:rsidR="00584EC1" w:rsidRDefault="00584EC1">
            <w:pPr>
              <w:rPr>
                <w:rFonts w:ascii="宋体"/>
                <w:vanish/>
              </w:rPr>
            </w:pPr>
          </w:p>
        </w:tc>
        <w:tc>
          <w:tcPr>
            <w:tcW w:w="0" w:type="auto"/>
            <w:gridSpan w:val="3"/>
            <w:shd w:val="clear" w:color="auto" w:fill="auto"/>
            <w:vAlign w:val="bottom"/>
          </w:tcPr>
          <w:p w14:paraId="74DDD937" w14:textId="77777777" w:rsidR="00584EC1" w:rsidRDefault="00584EC1">
            <w:pPr>
              <w:rPr>
                <w:rFonts w:ascii="宋体"/>
                <w:vanish/>
              </w:rPr>
            </w:pPr>
          </w:p>
        </w:tc>
        <w:tc>
          <w:tcPr>
            <w:tcW w:w="0" w:type="auto"/>
            <w:gridSpan w:val="3"/>
            <w:shd w:val="clear" w:color="auto" w:fill="auto"/>
            <w:vAlign w:val="bottom"/>
          </w:tcPr>
          <w:p w14:paraId="74DDD938" w14:textId="77777777" w:rsidR="00584EC1" w:rsidRDefault="00584EC1">
            <w:pPr>
              <w:rPr>
                <w:rFonts w:ascii="宋体"/>
                <w:vanish/>
              </w:rPr>
            </w:pPr>
          </w:p>
        </w:tc>
        <w:tc>
          <w:tcPr>
            <w:tcW w:w="0" w:type="auto"/>
            <w:gridSpan w:val="3"/>
            <w:shd w:val="clear" w:color="auto" w:fill="auto"/>
            <w:vAlign w:val="bottom"/>
          </w:tcPr>
          <w:p w14:paraId="74DDD939" w14:textId="77777777" w:rsidR="00584EC1" w:rsidRDefault="00584EC1">
            <w:pPr>
              <w:rPr>
                <w:rFonts w:ascii="宋体"/>
                <w:vanish/>
              </w:rPr>
            </w:pPr>
          </w:p>
        </w:tc>
        <w:tc>
          <w:tcPr>
            <w:tcW w:w="0" w:type="auto"/>
            <w:gridSpan w:val="3"/>
            <w:shd w:val="clear" w:color="auto" w:fill="auto"/>
            <w:vAlign w:val="bottom"/>
          </w:tcPr>
          <w:p w14:paraId="74DDD93A" w14:textId="77777777" w:rsidR="00584EC1" w:rsidRDefault="00584EC1">
            <w:pPr>
              <w:rPr>
                <w:rFonts w:ascii="宋体"/>
                <w:vanish/>
              </w:rPr>
            </w:pPr>
          </w:p>
        </w:tc>
      </w:tr>
      <w:tr w:rsidR="00584EC1" w14:paraId="74DDD948" w14:textId="77777777">
        <w:trPr>
          <w:hidden/>
        </w:trPr>
        <w:tc>
          <w:tcPr>
            <w:tcW w:w="0" w:type="auto"/>
            <w:gridSpan w:val="3"/>
            <w:shd w:val="clear" w:color="auto" w:fill="auto"/>
            <w:vAlign w:val="bottom"/>
          </w:tcPr>
          <w:p w14:paraId="74DDD93C" w14:textId="77777777" w:rsidR="00584EC1" w:rsidRDefault="00584EC1">
            <w:pPr>
              <w:rPr>
                <w:rFonts w:ascii="宋体"/>
                <w:vanish/>
              </w:rPr>
            </w:pPr>
          </w:p>
        </w:tc>
        <w:tc>
          <w:tcPr>
            <w:tcW w:w="0" w:type="auto"/>
            <w:gridSpan w:val="3"/>
            <w:shd w:val="clear" w:color="auto" w:fill="auto"/>
            <w:vAlign w:val="bottom"/>
          </w:tcPr>
          <w:p w14:paraId="74DDD93D" w14:textId="77777777" w:rsidR="00584EC1" w:rsidRDefault="00584EC1">
            <w:pPr>
              <w:rPr>
                <w:rFonts w:ascii="宋体"/>
                <w:vanish/>
              </w:rPr>
            </w:pPr>
          </w:p>
        </w:tc>
        <w:tc>
          <w:tcPr>
            <w:tcW w:w="0" w:type="auto"/>
            <w:gridSpan w:val="3"/>
            <w:shd w:val="clear" w:color="auto" w:fill="auto"/>
            <w:vAlign w:val="bottom"/>
          </w:tcPr>
          <w:p w14:paraId="74DDD93E" w14:textId="77777777" w:rsidR="00584EC1" w:rsidRDefault="00584EC1">
            <w:pPr>
              <w:rPr>
                <w:rFonts w:ascii="宋体"/>
                <w:vanish/>
              </w:rPr>
            </w:pPr>
          </w:p>
        </w:tc>
        <w:tc>
          <w:tcPr>
            <w:tcW w:w="0" w:type="auto"/>
            <w:gridSpan w:val="3"/>
            <w:shd w:val="clear" w:color="auto" w:fill="auto"/>
            <w:vAlign w:val="bottom"/>
          </w:tcPr>
          <w:p w14:paraId="74DDD93F" w14:textId="77777777" w:rsidR="00584EC1" w:rsidRDefault="00584EC1">
            <w:pPr>
              <w:rPr>
                <w:rFonts w:ascii="宋体"/>
                <w:vanish/>
              </w:rPr>
            </w:pPr>
          </w:p>
        </w:tc>
        <w:tc>
          <w:tcPr>
            <w:tcW w:w="0" w:type="auto"/>
            <w:gridSpan w:val="3"/>
            <w:shd w:val="clear" w:color="auto" w:fill="auto"/>
            <w:vAlign w:val="bottom"/>
          </w:tcPr>
          <w:p w14:paraId="74DDD940" w14:textId="77777777" w:rsidR="00584EC1" w:rsidRDefault="00584EC1">
            <w:pPr>
              <w:rPr>
                <w:rFonts w:ascii="宋体"/>
                <w:vanish/>
              </w:rPr>
            </w:pPr>
          </w:p>
        </w:tc>
        <w:tc>
          <w:tcPr>
            <w:tcW w:w="0" w:type="auto"/>
            <w:gridSpan w:val="3"/>
            <w:shd w:val="clear" w:color="auto" w:fill="auto"/>
            <w:vAlign w:val="bottom"/>
          </w:tcPr>
          <w:p w14:paraId="74DDD941" w14:textId="77777777" w:rsidR="00584EC1" w:rsidRDefault="00584EC1">
            <w:pPr>
              <w:rPr>
                <w:rFonts w:ascii="宋体"/>
                <w:vanish/>
              </w:rPr>
            </w:pPr>
          </w:p>
        </w:tc>
        <w:tc>
          <w:tcPr>
            <w:tcW w:w="0" w:type="auto"/>
            <w:gridSpan w:val="3"/>
            <w:shd w:val="clear" w:color="auto" w:fill="auto"/>
            <w:vAlign w:val="bottom"/>
          </w:tcPr>
          <w:p w14:paraId="74DDD942" w14:textId="77777777" w:rsidR="00584EC1" w:rsidRDefault="00584EC1">
            <w:pPr>
              <w:rPr>
                <w:rFonts w:ascii="宋体"/>
                <w:vanish/>
              </w:rPr>
            </w:pPr>
          </w:p>
        </w:tc>
        <w:tc>
          <w:tcPr>
            <w:tcW w:w="0" w:type="auto"/>
            <w:gridSpan w:val="3"/>
            <w:shd w:val="clear" w:color="auto" w:fill="auto"/>
            <w:vAlign w:val="bottom"/>
          </w:tcPr>
          <w:p w14:paraId="74DDD943" w14:textId="77777777" w:rsidR="00584EC1" w:rsidRDefault="00584EC1">
            <w:pPr>
              <w:rPr>
                <w:rFonts w:ascii="宋体"/>
                <w:vanish/>
              </w:rPr>
            </w:pPr>
          </w:p>
        </w:tc>
        <w:tc>
          <w:tcPr>
            <w:tcW w:w="0" w:type="auto"/>
            <w:gridSpan w:val="3"/>
            <w:shd w:val="clear" w:color="auto" w:fill="auto"/>
            <w:vAlign w:val="bottom"/>
          </w:tcPr>
          <w:p w14:paraId="74DDD944" w14:textId="77777777" w:rsidR="00584EC1" w:rsidRDefault="00584EC1">
            <w:pPr>
              <w:rPr>
                <w:rFonts w:ascii="宋体"/>
                <w:vanish/>
              </w:rPr>
            </w:pPr>
          </w:p>
        </w:tc>
        <w:tc>
          <w:tcPr>
            <w:tcW w:w="0" w:type="auto"/>
            <w:gridSpan w:val="3"/>
            <w:shd w:val="clear" w:color="auto" w:fill="auto"/>
            <w:vAlign w:val="bottom"/>
          </w:tcPr>
          <w:p w14:paraId="74DDD945" w14:textId="77777777" w:rsidR="00584EC1" w:rsidRDefault="00584EC1">
            <w:pPr>
              <w:rPr>
                <w:rFonts w:ascii="宋体"/>
                <w:vanish/>
              </w:rPr>
            </w:pPr>
          </w:p>
        </w:tc>
        <w:tc>
          <w:tcPr>
            <w:tcW w:w="0" w:type="auto"/>
            <w:gridSpan w:val="3"/>
            <w:shd w:val="clear" w:color="auto" w:fill="auto"/>
            <w:vAlign w:val="bottom"/>
          </w:tcPr>
          <w:p w14:paraId="74DDD946" w14:textId="77777777" w:rsidR="00584EC1" w:rsidRDefault="00584EC1">
            <w:pPr>
              <w:rPr>
                <w:rFonts w:ascii="宋体"/>
                <w:vanish/>
              </w:rPr>
            </w:pPr>
          </w:p>
        </w:tc>
        <w:tc>
          <w:tcPr>
            <w:tcW w:w="0" w:type="auto"/>
            <w:gridSpan w:val="3"/>
            <w:shd w:val="clear" w:color="auto" w:fill="auto"/>
            <w:vAlign w:val="bottom"/>
          </w:tcPr>
          <w:p w14:paraId="74DDD947" w14:textId="77777777" w:rsidR="00584EC1" w:rsidRDefault="00584EC1">
            <w:pPr>
              <w:rPr>
                <w:rFonts w:ascii="宋体"/>
                <w:vanish/>
              </w:rPr>
            </w:pPr>
          </w:p>
        </w:tc>
      </w:tr>
      <w:tr w:rsidR="00584EC1" w14:paraId="74DDD955" w14:textId="77777777">
        <w:trPr>
          <w:hidden/>
        </w:trPr>
        <w:tc>
          <w:tcPr>
            <w:tcW w:w="0" w:type="auto"/>
            <w:gridSpan w:val="3"/>
            <w:shd w:val="clear" w:color="auto" w:fill="auto"/>
            <w:vAlign w:val="bottom"/>
          </w:tcPr>
          <w:p w14:paraId="74DDD949" w14:textId="77777777" w:rsidR="00584EC1" w:rsidRDefault="00584EC1">
            <w:pPr>
              <w:rPr>
                <w:rFonts w:ascii="宋体"/>
                <w:vanish/>
              </w:rPr>
            </w:pPr>
          </w:p>
        </w:tc>
        <w:tc>
          <w:tcPr>
            <w:tcW w:w="0" w:type="auto"/>
            <w:gridSpan w:val="3"/>
            <w:shd w:val="clear" w:color="auto" w:fill="auto"/>
            <w:vAlign w:val="bottom"/>
          </w:tcPr>
          <w:p w14:paraId="74DDD94A" w14:textId="77777777" w:rsidR="00584EC1" w:rsidRDefault="00584EC1">
            <w:pPr>
              <w:rPr>
                <w:rFonts w:ascii="宋体"/>
                <w:vanish/>
              </w:rPr>
            </w:pPr>
          </w:p>
        </w:tc>
        <w:tc>
          <w:tcPr>
            <w:tcW w:w="0" w:type="auto"/>
            <w:gridSpan w:val="3"/>
            <w:shd w:val="clear" w:color="auto" w:fill="auto"/>
            <w:vAlign w:val="bottom"/>
          </w:tcPr>
          <w:p w14:paraId="74DDD94B" w14:textId="77777777" w:rsidR="00584EC1" w:rsidRDefault="00584EC1">
            <w:pPr>
              <w:rPr>
                <w:rFonts w:ascii="宋体"/>
                <w:vanish/>
              </w:rPr>
            </w:pPr>
          </w:p>
        </w:tc>
        <w:tc>
          <w:tcPr>
            <w:tcW w:w="0" w:type="auto"/>
            <w:gridSpan w:val="3"/>
            <w:shd w:val="clear" w:color="auto" w:fill="auto"/>
            <w:vAlign w:val="bottom"/>
          </w:tcPr>
          <w:p w14:paraId="74DDD94C" w14:textId="77777777" w:rsidR="00584EC1" w:rsidRDefault="00584EC1">
            <w:pPr>
              <w:rPr>
                <w:rFonts w:ascii="宋体"/>
                <w:vanish/>
              </w:rPr>
            </w:pPr>
          </w:p>
        </w:tc>
        <w:tc>
          <w:tcPr>
            <w:tcW w:w="0" w:type="auto"/>
            <w:gridSpan w:val="3"/>
            <w:shd w:val="clear" w:color="auto" w:fill="auto"/>
            <w:vAlign w:val="bottom"/>
          </w:tcPr>
          <w:p w14:paraId="74DDD94D" w14:textId="77777777" w:rsidR="00584EC1" w:rsidRDefault="00584EC1">
            <w:pPr>
              <w:rPr>
                <w:rFonts w:ascii="宋体"/>
                <w:vanish/>
              </w:rPr>
            </w:pPr>
          </w:p>
        </w:tc>
        <w:tc>
          <w:tcPr>
            <w:tcW w:w="0" w:type="auto"/>
            <w:gridSpan w:val="3"/>
            <w:shd w:val="clear" w:color="auto" w:fill="auto"/>
            <w:vAlign w:val="bottom"/>
          </w:tcPr>
          <w:p w14:paraId="74DDD94E" w14:textId="77777777" w:rsidR="00584EC1" w:rsidRDefault="00584EC1">
            <w:pPr>
              <w:rPr>
                <w:rFonts w:ascii="宋体"/>
                <w:vanish/>
              </w:rPr>
            </w:pPr>
          </w:p>
        </w:tc>
        <w:tc>
          <w:tcPr>
            <w:tcW w:w="0" w:type="auto"/>
            <w:gridSpan w:val="3"/>
            <w:shd w:val="clear" w:color="auto" w:fill="auto"/>
            <w:vAlign w:val="bottom"/>
          </w:tcPr>
          <w:p w14:paraId="74DDD94F" w14:textId="77777777" w:rsidR="00584EC1" w:rsidRDefault="00584EC1">
            <w:pPr>
              <w:rPr>
                <w:rFonts w:ascii="宋体"/>
                <w:vanish/>
              </w:rPr>
            </w:pPr>
          </w:p>
        </w:tc>
        <w:tc>
          <w:tcPr>
            <w:tcW w:w="0" w:type="auto"/>
            <w:gridSpan w:val="3"/>
            <w:shd w:val="clear" w:color="auto" w:fill="auto"/>
            <w:vAlign w:val="bottom"/>
          </w:tcPr>
          <w:p w14:paraId="74DDD950" w14:textId="77777777" w:rsidR="00584EC1" w:rsidRDefault="00584EC1">
            <w:pPr>
              <w:rPr>
                <w:rFonts w:ascii="宋体"/>
                <w:vanish/>
              </w:rPr>
            </w:pPr>
          </w:p>
        </w:tc>
        <w:tc>
          <w:tcPr>
            <w:tcW w:w="0" w:type="auto"/>
            <w:gridSpan w:val="3"/>
            <w:shd w:val="clear" w:color="auto" w:fill="auto"/>
            <w:vAlign w:val="bottom"/>
          </w:tcPr>
          <w:p w14:paraId="74DDD951" w14:textId="77777777" w:rsidR="00584EC1" w:rsidRDefault="00584EC1">
            <w:pPr>
              <w:rPr>
                <w:rFonts w:ascii="宋体"/>
                <w:vanish/>
              </w:rPr>
            </w:pPr>
          </w:p>
        </w:tc>
        <w:tc>
          <w:tcPr>
            <w:tcW w:w="0" w:type="auto"/>
            <w:gridSpan w:val="3"/>
            <w:shd w:val="clear" w:color="auto" w:fill="auto"/>
            <w:vAlign w:val="bottom"/>
          </w:tcPr>
          <w:p w14:paraId="74DDD952" w14:textId="77777777" w:rsidR="00584EC1" w:rsidRDefault="00584EC1">
            <w:pPr>
              <w:rPr>
                <w:rFonts w:ascii="宋体"/>
                <w:vanish/>
              </w:rPr>
            </w:pPr>
          </w:p>
        </w:tc>
        <w:tc>
          <w:tcPr>
            <w:tcW w:w="0" w:type="auto"/>
            <w:gridSpan w:val="3"/>
            <w:shd w:val="clear" w:color="auto" w:fill="auto"/>
            <w:vAlign w:val="bottom"/>
          </w:tcPr>
          <w:p w14:paraId="74DDD953" w14:textId="77777777" w:rsidR="00584EC1" w:rsidRDefault="00584EC1">
            <w:pPr>
              <w:rPr>
                <w:rFonts w:ascii="宋体"/>
                <w:vanish/>
              </w:rPr>
            </w:pPr>
          </w:p>
        </w:tc>
        <w:tc>
          <w:tcPr>
            <w:tcW w:w="0" w:type="auto"/>
            <w:gridSpan w:val="3"/>
            <w:shd w:val="clear" w:color="auto" w:fill="auto"/>
            <w:vAlign w:val="bottom"/>
          </w:tcPr>
          <w:p w14:paraId="74DDD954" w14:textId="77777777" w:rsidR="00584EC1" w:rsidRDefault="00584EC1">
            <w:pPr>
              <w:rPr>
                <w:rFonts w:ascii="宋体"/>
                <w:vanish/>
              </w:rPr>
            </w:pPr>
          </w:p>
        </w:tc>
      </w:tr>
      <w:tr w:rsidR="00584EC1" w14:paraId="74DDD962" w14:textId="77777777">
        <w:trPr>
          <w:hidden/>
        </w:trPr>
        <w:tc>
          <w:tcPr>
            <w:tcW w:w="0" w:type="auto"/>
            <w:gridSpan w:val="3"/>
            <w:shd w:val="clear" w:color="auto" w:fill="auto"/>
            <w:vAlign w:val="bottom"/>
          </w:tcPr>
          <w:p w14:paraId="74DDD956" w14:textId="77777777" w:rsidR="00584EC1" w:rsidRDefault="00584EC1">
            <w:pPr>
              <w:rPr>
                <w:rFonts w:ascii="宋体"/>
                <w:vanish/>
              </w:rPr>
            </w:pPr>
          </w:p>
        </w:tc>
        <w:tc>
          <w:tcPr>
            <w:tcW w:w="0" w:type="auto"/>
            <w:gridSpan w:val="3"/>
            <w:shd w:val="clear" w:color="auto" w:fill="auto"/>
            <w:vAlign w:val="bottom"/>
          </w:tcPr>
          <w:p w14:paraId="74DDD957" w14:textId="77777777" w:rsidR="00584EC1" w:rsidRDefault="00584EC1">
            <w:pPr>
              <w:rPr>
                <w:rFonts w:ascii="宋体"/>
                <w:vanish/>
              </w:rPr>
            </w:pPr>
          </w:p>
        </w:tc>
        <w:tc>
          <w:tcPr>
            <w:tcW w:w="0" w:type="auto"/>
            <w:gridSpan w:val="3"/>
            <w:shd w:val="clear" w:color="auto" w:fill="auto"/>
            <w:vAlign w:val="bottom"/>
          </w:tcPr>
          <w:p w14:paraId="74DDD958" w14:textId="77777777" w:rsidR="00584EC1" w:rsidRDefault="00584EC1">
            <w:pPr>
              <w:rPr>
                <w:rFonts w:ascii="宋体"/>
                <w:vanish/>
              </w:rPr>
            </w:pPr>
          </w:p>
        </w:tc>
        <w:tc>
          <w:tcPr>
            <w:tcW w:w="0" w:type="auto"/>
            <w:gridSpan w:val="3"/>
            <w:shd w:val="clear" w:color="auto" w:fill="auto"/>
            <w:vAlign w:val="bottom"/>
          </w:tcPr>
          <w:p w14:paraId="74DDD959" w14:textId="77777777" w:rsidR="00584EC1" w:rsidRDefault="00584EC1">
            <w:pPr>
              <w:rPr>
                <w:rFonts w:ascii="宋体"/>
                <w:vanish/>
              </w:rPr>
            </w:pPr>
          </w:p>
        </w:tc>
        <w:tc>
          <w:tcPr>
            <w:tcW w:w="0" w:type="auto"/>
            <w:gridSpan w:val="3"/>
            <w:shd w:val="clear" w:color="auto" w:fill="auto"/>
            <w:vAlign w:val="bottom"/>
          </w:tcPr>
          <w:p w14:paraId="74DDD95A" w14:textId="77777777" w:rsidR="00584EC1" w:rsidRDefault="00584EC1">
            <w:pPr>
              <w:rPr>
                <w:rFonts w:ascii="宋体"/>
                <w:vanish/>
              </w:rPr>
            </w:pPr>
          </w:p>
        </w:tc>
        <w:tc>
          <w:tcPr>
            <w:tcW w:w="0" w:type="auto"/>
            <w:gridSpan w:val="3"/>
            <w:shd w:val="clear" w:color="auto" w:fill="auto"/>
            <w:vAlign w:val="bottom"/>
          </w:tcPr>
          <w:p w14:paraId="74DDD95B" w14:textId="77777777" w:rsidR="00584EC1" w:rsidRDefault="00584EC1">
            <w:pPr>
              <w:rPr>
                <w:rFonts w:ascii="宋体"/>
                <w:vanish/>
              </w:rPr>
            </w:pPr>
          </w:p>
        </w:tc>
        <w:tc>
          <w:tcPr>
            <w:tcW w:w="0" w:type="auto"/>
            <w:gridSpan w:val="3"/>
            <w:shd w:val="clear" w:color="auto" w:fill="auto"/>
            <w:vAlign w:val="bottom"/>
          </w:tcPr>
          <w:p w14:paraId="74DDD95C" w14:textId="77777777" w:rsidR="00584EC1" w:rsidRDefault="00584EC1">
            <w:pPr>
              <w:rPr>
                <w:rFonts w:ascii="宋体"/>
                <w:vanish/>
              </w:rPr>
            </w:pPr>
          </w:p>
        </w:tc>
        <w:tc>
          <w:tcPr>
            <w:tcW w:w="0" w:type="auto"/>
            <w:gridSpan w:val="3"/>
            <w:shd w:val="clear" w:color="auto" w:fill="auto"/>
            <w:vAlign w:val="bottom"/>
          </w:tcPr>
          <w:p w14:paraId="74DDD95D" w14:textId="77777777" w:rsidR="00584EC1" w:rsidRDefault="00584EC1">
            <w:pPr>
              <w:rPr>
                <w:rFonts w:ascii="宋体"/>
                <w:vanish/>
              </w:rPr>
            </w:pPr>
          </w:p>
        </w:tc>
        <w:tc>
          <w:tcPr>
            <w:tcW w:w="0" w:type="auto"/>
            <w:gridSpan w:val="3"/>
            <w:shd w:val="clear" w:color="auto" w:fill="auto"/>
            <w:vAlign w:val="bottom"/>
          </w:tcPr>
          <w:p w14:paraId="74DDD95E" w14:textId="77777777" w:rsidR="00584EC1" w:rsidRDefault="00584EC1">
            <w:pPr>
              <w:rPr>
                <w:rFonts w:ascii="宋体"/>
                <w:vanish/>
              </w:rPr>
            </w:pPr>
          </w:p>
        </w:tc>
        <w:tc>
          <w:tcPr>
            <w:tcW w:w="0" w:type="auto"/>
            <w:gridSpan w:val="3"/>
            <w:shd w:val="clear" w:color="auto" w:fill="auto"/>
            <w:vAlign w:val="bottom"/>
          </w:tcPr>
          <w:p w14:paraId="74DDD95F" w14:textId="77777777" w:rsidR="00584EC1" w:rsidRDefault="00584EC1">
            <w:pPr>
              <w:rPr>
                <w:rFonts w:ascii="宋体"/>
                <w:vanish/>
              </w:rPr>
            </w:pPr>
          </w:p>
        </w:tc>
        <w:tc>
          <w:tcPr>
            <w:tcW w:w="0" w:type="auto"/>
            <w:gridSpan w:val="3"/>
            <w:shd w:val="clear" w:color="auto" w:fill="auto"/>
            <w:vAlign w:val="bottom"/>
          </w:tcPr>
          <w:p w14:paraId="74DDD960" w14:textId="77777777" w:rsidR="00584EC1" w:rsidRDefault="00584EC1">
            <w:pPr>
              <w:rPr>
                <w:rFonts w:ascii="宋体"/>
                <w:vanish/>
              </w:rPr>
            </w:pPr>
          </w:p>
        </w:tc>
        <w:tc>
          <w:tcPr>
            <w:tcW w:w="0" w:type="auto"/>
            <w:gridSpan w:val="3"/>
            <w:shd w:val="clear" w:color="auto" w:fill="auto"/>
            <w:vAlign w:val="bottom"/>
          </w:tcPr>
          <w:p w14:paraId="74DDD961" w14:textId="77777777" w:rsidR="00584EC1" w:rsidRDefault="00584EC1">
            <w:pPr>
              <w:rPr>
                <w:rFonts w:ascii="宋体"/>
                <w:vanish/>
              </w:rPr>
            </w:pPr>
          </w:p>
        </w:tc>
      </w:tr>
      <w:tr w:rsidR="00584EC1" w14:paraId="74DDD96F" w14:textId="77777777">
        <w:trPr>
          <w:hidden/>
        </w:trPr>
        <w:tc>
          <w:tcPr>
            <w:tcW w:w="0" w:type="auto"/>
            <w:gridSpan w:val="3"/>
            <w:shd w:val="clear" w:color="auto" w:fill="auto"/>
            <w:vAlign w:val="bottom"/>
          </w:tcPr>
          <w:p w14:paraId="74DDD963" w14:textId="77777777" w:rsidR="00584EC1" w:rsidRDefault="00584EC1">
            <w:pPr>
              <w:rPr>
                <w:rFonts w:ascii="宋体"/>
                <w:vanish/>
              </w:rPr>
            </w:pPr>
          </w:p>
        </w:tc>
        <w:tc>
          <w:tcPr>
            <w:tcW w:w="0" w:type="auto"/>
            <w:gridSpan w:val="3"/>
            <w:shd w:val="clear" w:color="auto" w:fill="auto"/>
            <w:vAlign w:val="bottom"/>
          </w:tcPr>
          <w:p w14:paraId="74DDD964" w14:textId="77777777" w:rsidR="00584EC1" w:rsidRDefault="00584EC1">
            <w:pPr>
              <w:rPr>
                <w:rFonts w:ascii="宋体"/>
                <w:vanish/>
              </w:rPr>
            </w:pPr>
          </w:p>
        </w:tc>
        <w:tc>
          <w:tcPr>
            <w:tcW w:w="0" w:type="auto"/>
            <w:gridSpan w:val="3"/>
            <w:shd w:val="clear" w:color="auto" w:fill="auto"/>
            <w:vAlign w:val="bottom"/>
          </w:tcPr>
          <w:p w14:paraId="74DDD965" w14:textId="77777777" w:rsidR="00584EC1" w:rsidRDefault="00584EC1">
            <w:pPr>
              <w:rPr>
                <w:rFonts w:ascii="宋体"/>
                <w:vanish/>
              </w:rPr>
            </w:pPr>
          </w:p>
        </w:tc>
        <w:tc>
          <w:tcPr>
            <w:tcW w:w="0" w:type="auto"/>
            <w:gridSpan w:val="3"/>
            <w:shd w:val="clear" w:color="auto" w:fill="auto"/>
            <w:vAlign w:val="bottom"/>
          </w:tcPr>
          <w:p w14:paraId="74DDD966" w14:textId="77777777" w:rsidR="00584EC1" w:rsidRDefault="00584EC1">
            <w:pPr>
              <w:rPr>
                <w:rFonts w:ascii="宋体"/>
                <w:vanish/>
              </w:rPr>
            </w:pPr>
          </w:p>
        </w:tc>
        <w:tc>
          <w:tcPr>
            <w:tcW w:w="0" w:type="auto"/>
            <w:gridSpan w:val="3"/>
            <w:shd w:val="clear" w:color="auto" w:fill="auto"/>
            <w:vAlign w:val="bottom"/>
          </w:tcPr>
          <w:p w14:paraId="74DDD967" w14:textId="77777777" w:rsidR="00584EC1" w:rsidRDefault="00584EC1">
            <w:pPr>
              <w:rPr>
                <w:rFonts w:ascii="宋体"/>
                <w:vanish/>
              </w:rPr>
            </w:pPr>
          </w:p>
        </w:tc>
        <w:tc>
          <w:tcPr>
            <w:tcW w:w="0" w:type="auto"/>
            <w:gridSpan w:val="3"/>
            <w:shd w:val="clear" w:color="auto" w:fill="auto"/>
            <w:vAlign w:val="bottom"/>
          </w:tcPr>
          <w:p w14:paraId="74DDD968" w14:textId="77777777" w:rsidR="00584EC1" w:rsidRDefault="00584EC1">
            <w:pPr>
              <w:rPr>
                <w:rFonts w:ascii="宋体"/>
                <w:vanish/>
              </w:rPr>
            </w:pPr>
          </w:p>
        </w:tc>
        <w:tc>
          <w:tcPr>
            <w:tcW w:w="0" w:type="auto"/>
            <w:gridSpan w:val="3"/>
            <w:shd w:val="clear" w:color="auto" w:fill="auto"/>
            <w:vAlign w:val="bottom"/>
          </w:tcPr>
          <w:p w14:paraId="74DDD969" w14:textId="77777777" w:rsidR="00584EC1" w:rsidRDefault="00584EC1">
            <w:pPr>
              <w:rPr>
                <w:rFonts w:ascii="宋体"/>
                <w:vanish/>
              </w:rPr>
            </w:pPr>
          </w:p>
        </w:tc>
        <w:tc>
          <w:tcPr>
            <w:tcW w:w="0" w:type="auto"/>
            <w:gridSpan w:val="3"/>
            <w:shd w:val="clear" w:color="auto" w:fill="auto"/>
            <w:vAlign w:val="bottom"/>
          </w:tcPr>
          <w:p w14:paraId="74DDD96A" w14:textId="77777777" w:rsidR="00584EC1" w:rsidRDefault="00584EC1">
            <w:pPr>
              <w:rPr>
                <w:rFonts w:ascii="宋体"/>
                <w:vanish/>
              </w:rPr>
            </w:pPr>
          </w:p>
        </w:tc>
        <w:tc>
          <w:tcPr>
            <w:tcW w:w="0" w:type="auto"/>
            <w:gridSpan w:val="3"/>
            <w:shd w:val="clear" w:color="auto" w:fill="auto"/>
            <w:vAlign w:val="bottom"/>
          </w:tcPr>
          <w:p w14:paraId="74DDD96B" w14:textId="77777777" w:rsidR="00584EC1" w:rsidRDefault="00584EC1">
            <w:pPr>
              <w:rPr>
                <w:rFonts w:ascii="宋体"/>
                <w:vanish/>
              </w:rPr>
            </w:pPr>
          </w:p>
        </w:tc>
        <w:tc>
          <w:tcPr>
            <w:tcW w:w="0" w:type="auto"/>
            <w:gridSpan w:val="3"/>
            <w:shd w:val="clear" w:color="auto" w:fill="auto"/>
            <w:vAlign w:val="bottom"/>
          </w:tcPr>
          <w:p w14:paraId="74DDD96C" w14:textId="77777777" w:rsidR="00584EC1" w:rsidRDefault="00584EC1">
            <w:pPr>
              <w:rPr>
                <w:rFonts w:ascii="宋体"/>
                <w:vanish/>
              </w:rPr>
            </w:pPr>
          </w:p>
        </w:tc>
        <w:tc>
          <w:tcPr>
            <w:tcW w:w="0" w:type="auto"/>
            <w:gridSpan w:val="3"/>
            <w:shd w:val="clear" w:color="auto" w:fill="auto"/>
            <w:vAlign w:val="bottom"/>
          </w:tcPr>
          <w:p w14:paraId="74DDD96D" w14:textId="77777777" w:rsidR="00584EC1" w:rsidRDefault="00584EC1">
            <w:pPr>
              <w:rPr>
                <w:rFonts w:ascii="宋体"/>
                <w:vanish/>
              </w:rPr>
            </w:pPr>
          </w:p>
        </w:tc>
        <w:tc>
          <w:tcPr>
            <w:tcW w:w="0" w:type="auto"/>
            <w:gridSpan w:val="3"/>
            <w:shd w:val="clear" w:color="auto" w:fill="auto"/>
            <w:vAlign w:val="bottom"/>
          </w:tcPr>
          <w:p w14:paraId="74DDD96E" w14:textId="77777777" w:rsidR="00584EC1" w:rsidRDefault="00584EC1">
            <w:pPr>
              <w:rPr>
                <w:rFonts w:ascii="宋体"/>
                <w:vanish/>
              </w:rPr>
            </w:pPr>
          </w:p>
        </w:tc>
      </w:tr>
      <w:tr w:rsidR="00584EC1" w14:paraId="74DDD97C" w14:textId="77777777">
        <w:trPr>
          <w:hidden/>
        </w:trPr>
        <w:tc>
          <w:tcPr>
            <w:tcW w:w="0" w:type="auto"/>
            <w:gridSpan w:val="3"/>
            <w:shd w:val="clear" w:color="auto" w:fill="auto"/>
            <w:vAlign w:val="bottom"/>
          </w:tcPr>
          <w:p w14:paraId="74DDD970" w14:textId="77777777" w:rsidR="00584EC1" w:rsidRDefault="00584EC1">
            <w:pPr>
              <w:rPr>
                <w:rFonts w:ascii="宋体"/>
                <w:vanish/>
              </w:rPr>
            </w:pPr>
          </w:p>
        </w:tc>
        <w:tc>
          <w:tcPr>
            <w:tcW w:w="0" w:type="auto"/>
            <w:gridSpan w:val="3"/>
            <w:shd w:val="clear" w:color="auto" w:fill="auto"/>
            <w:vAlign w:val="bottom"/>
          </w:tcPr>
          <w:p w14:paraId="74DDD971" w14:textId="77777777" w:rsidR="00584EC1" w:rsidRDefault="00584EC1">
            <w:pPr>
              <w:rPr>
                <w:rFonts w:ascii="宋体"/>
                <w:vanish/>
              </w:rPr>
            </w:pPr>
          </w:p>
        </w:tc>
        <w:tc>
          <w:tcPr>
            <w:tcW w:w="0" w:type="auto"/>
            <w:gridSpan w:val="3"/>
            <w:shd w:val="clear" w:color="auto" w:fill="auto"/>
            <w:vAlign w:val="bottom"/>
          </w:tcPr>
          <w:p w14:paraId="74DDD972" w14:textId="77777777" w:rsidR="00584EC1" w:rsidRDefault="00584EC1">
            <w:pPr>
              <w:rPr>
                <w:rFonts w:ascii="宋体"/>
                <w:vanish/>
              </w:rPr>
            </w:pPr>
          </w:p>
        </w:tc>
        <w:tc>
          <w:tcPr>
            <w:tcW w:w="0" w:type="auto"/>
            <w:gridSpan w:val="3"/>
            <w:shd w:val="clear" w:color="auto" w:fill="auto"/>
            <w:vAlign w:val="bottom"/>
          </w:tcPr>
          <w:p w14:paraId="74DDD973" w14:textId="77777777" w:rsidR="00584EC1" w:rsidRDefault="00584EC1">
            <w:pPr>
              <w:rPr>
                <w:rFonts w:ascii="宋体"/>
                <w:vanish/>
              </w:rPr>
            </w:pPr>
          </w:p>
        </w:tc>
        <w:tc>
          <w:tcPr>
            <w:tcW w:w="0" w:type="auto"/>
            <w:gridSpan w:val="3"/>
            <w:shd w:val="clear" w:color="auto" w:fill="auto"/>
            <w:vAlign w:val="bottom"/>
          </w:tcPr>
          <w:p w14:paraId="74DDD974" w14:textId="77777777" w:rsidR="00584EC1" w:rsidRDefault="00584EC1">
            <w:pPr>
              <w:rPr>
                <w:rFonts w:ascii="宋体"/>
                <w:vanish/>
              </w:rPr>
            </w:pPr>
          </w:p>
        </w:tc>
        <w:tc>
          <w:tcPr>
            <w:tcW w:w="0" w:type="auto"/>
            <w:gridSpan w:val="3"/>
            <w:shd w:val="clear" w:color="auto" w:fill="auto"/>
            <w:vAlign w:val="bottom"/>
          </w:tcPr>
          <w:p w14:paraId="74DDD975" w14:textId="77777777" w:rsidR="00584EC1" w:rsidRDefault="00584EC1">
            <w:pPr>
              <w:rPr>
                <w:rFonts w:ascii="宋体"/>
                <w:vanish/>
              </w:rPr>
            </w:pPr>
          </w:p>
        </w:tc>
        <w:tc>
          <w:tcPr>
            <w:tcW w:w="0" w:type="auto"/>
            <w:gridSpan w:val="3"/>
            <w:shd w:val="clear" w:color="auto" w:fill="auto"/>
            <w:vAlign w:val="bottom"/>
          </w:tcPr>
          <w:p w14:paraId="74DDD976" w14:textId="77777777" w:rsidR="00584EC1" w:rsidRDefault="00584EC1">
            <w:pPr>
              <w:rPr>
                <w:rFonts w:ascii="宋体"/>
                <w:vanish/>
              </w:rPr>
            </w:pPr>
          </w:p>
        </w:tc>
        <w:tc>
          <w:tcPr>
            <w:tcW w:w="0" w:type="auto"/>
            <w:gridSpan w:val="3"/>
            <w:shd w:val="clear" w:color="auto" w:fill="auto"/>
            <w:vAlign w:val="bottom"/>
          </w:tcPr>
          <w:p w14:paraId="74DDD977" w14:textId="77777777" w:rsidR="00584EC1" w:rsidRDefault="00584EC1">
            <w:pPr>
              <w:rPr>
                <w:rFonts w:ascii="宋体"/>
                <w:vanish/>
              </w:rPr>
            </w:pPr>
          </w:p>
        </w:tc>
        <w:tc>
          <w:tcPr>
            <w:tcW w:w="0" w:type="auto"/>
            <w:gridSpan w:val="3"/>
            <w:shd w:val="clear" w:color="auto" w:fill="auto"/>
            <w:vAlign w:val="bottom"/>
          </w:tcPr>
          <w:p w14:paraId="74DDD978" w14:textId="77777777" w:rsidR="00584EC1" w:rsidRDefault="00584EC1">
            <w:pPr>
              <w:rPr>
                <w:rFonts w:ascii="宋体"/>
                <w:vanish/>
              </w:rPr>
            </w:pPr>
          </w:p>
        </w:tc>
        <w:tc>
          <w:tcPr>
            <w:tcW w:w="0" w:type="auto"/>
            <w:gridSpan w:val="3"/>
            <w:shd w:val="clear" w:color="auto" w:fill="auto"/>
            <w:vAlign w:val="bottom"/>
          </w:tcPr>
          <w:p w14:paraId="74DDD979" w14:textId="77777777" w:rsidR="00584EC1" w:rsidRDefault="00584EC1">
            <w:pPr>
              <w:rPr>
                <w:rFonts w:ascii="宋体"/>
                <w:vanish/>
              </w:rPr>
            </w:pPr>
          </w:p>
        </w:tc>
        <w:tc>
          <w:tcPr>
            <w:tcW w:w="0" w:type="auto"/>
            <w:gridSpan w:val="3"/>
            <w:shd w:val="clear" w:color="auto" w:fill="auto"/>
            <w:vAlign w:val="bottom"/>
          </w:tcPr>
          <w:p w14:paraId="74DDD97A" w14:textId="77777777" w:rsidR="00584EC1" w:rsidRDefault="00584EC1">
            <w:pPr>
              <w:rPr>
                <w:rFonts w:ascii="宋体"/>
                <w:vanish/>
              </w:rPr>
            </w:pPr>
          </w:p>
        </w:tc>
        <w:tc>
          <w:tcPr>
            <w:tcW w:w="0" w:type="auto"/>
            <w:gridSpan w:val="3"/>
            <w:shd w:val="clear" w:color="auto" w:fill="auto"/>
            <w:vAlign w:val="bottom"/>
          </w:tcPr>
          <w:p w14:paraId="74DDD97B" w14:textId="77777777" w:rsidR="00584EC1" w:rsidRDefault="00584EC1">
            <w:pPr>
              <w:rPr>
                <w:rFonts w:ascii="宋体"/>
                <w:vanish/>
              </w:rPr>
            </w:pPr>
          </w:p>
        </w:tc>
      </w:tr>
      <w:tr w:rsidR="00584EC1" w14:paraId="74DDD989" w14:textId="77777777">
        <w:trPr>
          <w:hidden/>
        </w:trPr>
        <w:tc>
          <w:tcPr>
            <w:tcW w:w="0" w:type="auto"/>
            <w:gridSpan w:val="3"/>
            <w:shd w:val="clear" w:color="auto" w:fill="auto"/>
            <w:vAlign w:val="bottom"/>
          </w:tcPr>
          <w:p w14:paraId="74DDD97D" w14:textId="77777777" w:rsidR="00584EC1" w:rsidRDefault="00584EC1">
            <w:pPr>
              <w:rPr>
                <w:rFonts w:ascii="宋体"/>
                <w:vanish/>
              </w:rPr>
            </w:pPr>
          </w:p>
        </w:tc>
        <w:tc>
          <w:tcPr>
            <w:tcW w:w="0" w:type="auto"/>
            <w:gridSpan w:val="3"/>
            <w:shd w:val="clear" w:color="auto" w:fill="auto"/>
            <w:vAlign w:val="bottom"/>
          </w:tcPr>
          <w:p w14:paraId="74DDD97E" w14:textId="77777777" w:rsidR="00584EC1" w:rsidRDefault="00584EC1">
            <w:pPr>
              <w:rPr>
                <w:rFonts w:ascii="宋体"/>
                <w:vanish/>
              </w:rPr>
            </w:pPr>
          </w:p>
        </w:tc>
        <w:tc>
          <w:tcPr>
            <w:tcW w:w="0" w:type="auto"/>
            <w:gridSpan w:val="3"/>
            <w:shd w:val="clear" w:color="auto" w:fill="auto"/>
            <w:vAlign w:val="bottom"/>
          </w:tcPr>
          <w:p w14:paraId="74DDD97F" w14:textId="77777777" w:rsidR="00584EC1" w:rsidRDefault="00584EC1">
            <w:pPr>
              <w:rPr>
                <w:rFonts w:ascii="宋体"/>
                <w:vanish/>
              </w:rPr>
            </w:pPr>
          </w:p>
        </w:tc>
        <w:tc>
          <w:tcPr>
            <w:tcW w:w="0" w:type="auto"/>
            <w:gridSpan w:val="3"/>
            <w:shd w:val="clear" w:color="auto" w:fill="auto"/>
            <w:vAlign w:val="bottom"/>
          </w:tcPr>
          <w:p w14:paraId="74DDD980" w14:textId="77777777" w:rsidR="00584EC1" w:rsidRDefault="00584EC1">
            <w:pPr>
              <w:rPr>
                <w:rFonts w:ascii="宋体"/>
                <w:vanish/>
              </w:rPr>
            </w:pPr>
          </w:p>
        </w:tc>
        <w:tc>
          <w:tcPr>
            <w:tcW w:w="0" w:type="auto"/>
            <w:gridSpan w:val="3"/>
            <w:shd w:val="clear" w:color="auto" w:fill="auto"/>
            <w:vAlign w:val="bottom"/>
          </w:tcPr>
          <w:p w14:paraId="74DDD981" w14:textId="77777777" w:rsidR="00584EC1" w:rsidRDefault="00584EC1">
            <w:pPr>
              <w:rPr>
                <w:rFonts w:ascii="宋体"/>
                <w:vanish/>
              </w:rPr>
            </w:pPr>
          </w:p>
        </w:tc>
        <w:tc>
          <w:tcPr>
            <w:tcW w:w="0" w:type="auto"/>
            <w:gridSpan w:val="3"/>
            <w:shd w:val="clear" w:color="auto" w:fill="auto"/>
            <w:vAlign w:val="bottom"/>
          </w:tcPr>
          <w:p w14:paraId="74DDD982" w14:textId="77777777" w:rsidR="00584EC1" w:rsidRDefault="00584EC1">
            <w:pPr>
              <w:rPr>
                <w:rFonts w:ascii="宋体"/>
                <w:vanish/>
              </w:rPr>
            </w:pPr>
          </w:p>
        </w:tc>
        <w:tc>
          <w:tcPr>
            <w:tcW w:w="0" w:type="auto"/>
            <w:gridSpan w:val="3"/>
            <w:shd w:val="clear" w:color="auto" w:fill="auto"/>
            <w:vAlign w:val="bottom"/>
          </w:tcPr>
          <w:p w14:paraId="74DDD983" w14:textId="77777777" w:rsidR="00584EC1" w:rsidRDefault="00584EC1">
            <w:pPr>
              <w:rPr>
                <w:rFonts w:ascii="宋体"/>
                <w:vanish/>
              </w:rPr>
            </w:pPr>
          </w:p>
        </w:tc>
        <w:tc>
          <w:tcPr>
            <w:tcW w:w="0" w:type="auto"/>
            <w:gridSpan w:val="3"/>
            <w:shd w:val="clear" w:color="auto" w:fill="auto"/>
            <w:vAlign w:val="bottom"/>
          </w:tcPr>
          <w:p w14:paraId="74DDD984" w14:textId="77777777" w:rsidR="00584EC1" w:rsidRDefault="00584EC1">
            <w:pPr>
              <w:rPr>
                <w:rFonts w:ascii="宋体"/>
                <w:vanish/>
              </w:rPr>
            </w:pPr>
          </w:p>
        </w:tc>
        <w:tc>
          <w:tcPr>
            <w:tcW w:w="0" w:type="auto"/>
            <w:gridSpan w:val="3"/>
            <w:shd w:val="clear" w:color="auto" w:fill="auto"/>
            <w:vAlign w:val="bottom"/>
          </w:tcPr>
          <w:p w14:paraId="74DDD985" w14:textId="77777777" w:rsidR="00584EC1" w:rsidRDefault="00584EC1">
            <w:pPr>
              <w:rPr>
                <w:rFonts w:ascii="宋体"/>
                <w:vanish/>
              </w:rPr>
            </w:pPr>
          </w:p>
        </w:tc>
        <w:tc>
          <w:tcPr>
            <w:tcW w:w="0" w:type="auto"/>
            <w:gridSpan w:val="3"/>
            <w:shd w:val="clear" w:color="auto" w:fill="auto"/>
            <w:vAlign w:val="bottom"/>
          </w:tcPr>
          <w:p w14:paraId="74DDD986" w14:textId="77777777" w:rsidR="00584EC1" w:rsidRDefault="00584EC1">
            <w:pPr>
              <w:rPr>
                <w:rFonts w:ascii="宋体"/>
                <w:vanish/>
              </w:rPr>
            </w:pPr>
          </w:p>
        </w:tc>
        <w:tc>
          <w:tcPr>
            <w:tcW w:w="0" w:type="auto"/>
            <w:gridSpan w:val="3"/>
            <w:shd w:val="clear" w:color="auto" w:fill="auto"/>
            <w:vAlign w:val="bottom"/>
          </w:tcPr>
          <w:p w14:paraId="74DDD987" w14:textId="77777777" w:rsidR="00584EC1" w:rsidRDefault="00584EC1">
            <w:pPr>
              <w:rPr>
                <w:rFonts w:ascii="宋体"/>
                <w:vanish/>
              </w:rPr>
            </w:pPr>
          </w:p>
        </w:tc>
        <w:tc>
          <w:tcPr>
            <w:tcW w:w="0" w:type="auto"/>
            <w:gridSpan w:val="3"/>
            <w:shd w:val="clear" w:color="auto" w:fill="auto"/>
            <w:vAlign w:val="bottom"/>
          </w:tcPr>
          <w:p w14:paraId="74DDD988" w14:textId="77777777" w:rsidR="00584EC1" w:rsidRDefault="00584EC1">
            <w:pPr>
              <w:rPr>
                <w:rFonts w:ascii="宋体"/>
                <w:vanish/>
              </w:rPr>
            </w:pPr>
          </w:p>
        </w:tc>
      </w:tr>
      <w:tr w:rsidR="00584EC1" w14:paraId="74DDD996" w14:textId="77777777">
        <w:trPr>
          <w:hidden/>
        </w:trPr>
        <w:tc>
          <w:tcPr>
            <w:tcW w:w="0" w:type="auto"/>
            <w:gridSpan w:val="3"/>
            <w:shd w:val="clear" w:color="auto" w:fill="auto"/>
            <w:vAlign w:val="bottom"/>
          </w:tcPr>
          <w:p w14:paraId="74DDD98A" w14:textId="77777777" w:rsidR="00584EC1" w:rsidRDefault="00584EC1">
            <w:pPr>
              <w:rPr>
                <w:rFonts w:ascii="宋体"/>
                <w:vanish/>
              </w:rPr>
            </w:pPr>
          </w:p>
        </w:tc>
        <w:tc>
          <w:tcPr>
            <w:tcW w:w="0" w:type="auto"/>
            <w:gridSpan w:val="3"/>
            <w:shd w:val="clear" w:color="auto" w:fill="auto"/>
            <w:vAlign w:val="bottom"/>
          </w:tcPr>
          <w:p w14:paraId="74DDD98B" w14:textId="77777777" w:rsidR="00584EC1" w:rsidRDefault="00584EC1">
            <w:pPr>
              <w:rPr>
                <w:rFonts w:ascii="宋体"/>
                <w:vanish/>
              </w:rPr>
            </w:pPr>
          </w:p>
        </w:tc>
        <w:tc>
          <w:tcPr>
            <w:tcW w:w="0" w:type="auto"/>
            <w:gridSpan w:val="3"/>
            <w:shd w:val="clear" w:color="auto" w:fill="auto"/>
            <w:vAlign w:val="bottom"/>
          </w:tcPr>
          <w:p w14:paraId="74DDD98C" w14:textId="77777777" w:rsidR="00584EC1" w:rsidRDefault="00584EC1">
            <w:pPr>
              <w:rPr>
                <w:rFonts w:ascii="宋体"/>
                <w:vanish/>
              </w:rPr>
            </w:pPr>
          </w:p>
        </w:tc>
        <w:tc>
          <w:tcPr>
            <w:tcW w:w="0" w:type="auto"/>
            <w:gridSpan w:val="3"/>
            <w:shd w:val="clear" w:color="auto" w:fill="auto"/>
            <w:vAlign w:val="bottom"/>
          </w:tcPr>
          <w:p w14:paraId="74DDD98D" w14:textId="77777777" w:rsidR="00584EC1" w:rsidRDefault="00584EC1">
            <w:pPr>
              <w:rPr>
                <w:rFonts w:ascii="宋体"/>
                <w:vanish/>
              </w:rPr>
            </w:pPr>
          </w:p>
        </w:tc>
        <w:tc>
          <w:tcPr>
            <w:tcW w:w="0" w:type="auto"/>
            <w:gridSpan w:val="3"/>
            <w:shd w:val="clear" w:color="auto" w:fill="auto"/>
            <w:vAlign w:val="bottom"/>
          </w:tcPr>
          <w:p w14:paraId="74DDD98E" w14:textId="77777777" w:rsidR="00584EC1" w:rsidRDefault="00584EC1">
            <w:pPr>
              <w:rPr>
                <w:rFonts w:ascii="宋体"/>
                <w:vanish/>
              </w:rPr>
            </w:pPr>
          </w:p>
        </w:tc>
        <w:tc>
          <w:tcPr>
            <w:tcW w:w="0" w:type="auto"/>
            <w:gridSpan w:val="3"/>
            <w:shd w:val="clear" w:color="auto" w:fill="auto"/>
            <w:vAlign w:val="bottom"/>
          </w:tcPr>
          <w:p w14:paraId="74DDD98F" w14:textId="77777777" w:rsidR="00584EC1" w:rsidRDefault="00584EC1">
            <w:pPr>
              <w:rPr>
                <w:rFonts w:ascii="宋体"/>
                <w:vanish/>
              </w:rPr>
            </w:pPr>
          </w:p>
        </w:tc>
        <w:tc>
          <w:tcPr>
            <w:tcW w:w="0" w:type="auto"/>
            <w:gridSpan w:val="3"/>
            <w:shd w:val="clear" w:color="auto" w:fill="auto"/>
            <w:vAlign w:val="bottom"/>
          </w:tcPr>
          <w:p w14:paraId="74DDD990" w14:textId="77777777" w:rsidR="00584EC1" w:rsidRDefault="00584EC1">
            <w:pPr>
              <w:rPr>
                <w:rFonts w:ascii="宋体"/>
                <w:vanish/>
              </w:rPr>
            </w:pPr>
          </w:p>
        </w:tc>
        <w:tc>
          <w:tcPr>
            <w:tcW w:w="0" w:type="auto"/>
            <w:gridSpan w:val="3"/>
            <w:shd w:val="clear" w:color="auto" w:fill="auto"/>
            <w:vAlign w:val="bottom"/>
          </w:tcPr>
          <w:p w14:paraId="74DDD991" w14:textId="77777777" w:rsidR="00584EC1" w:rsidRDefault="00584EC1">
            <w:pPr>
              <w:rPr>
                <w:rFonts w:ascii="宋体"/>
                <w:vanish/>
              </w:rPr>
            </w:pPr>
          </w:p>
        </w:tc>
        <w:tc>
          <w:tcPr>
            <w:tcW w:w="0" w:type="auto"/>
            <w:gridSpan w:val="3"/>
            <w:shd w:val="clear" w:color="auto" w:fill="auto"/>
            <w:vAlign w:val="bottom"/>
          </w:tcPr>
          <w:p w14:paraId="74DDD992" w14:textId="77777777" w:rsidR="00584EC1" w:rsidRDefault="00584EC1">
            <w:pPr>
              <w:rPr>
                <w:rFonts w:ascii="宋体"/>
                <w:vanish/>
              </w:rPr>
            </w:pPr>
          </w:p>
        </w:tc>
        <w:tc>
          <w:tcPr>
            <w:tcW w:w="0" w:type="auto"/>
            <w:gridSpan w:val="3"/>
            <w:shd w:val="clear" w:color="auto" w:fill="auto"/>
            <w:vAlign w:val="bottom"/>
          </w:tcPr>
          <w:p w14:paraId="74DDD993" w14:textId="77777777" w:rsidR="00584EC1" w:rsidRDefault="00584EC1">
            <w:pPr>
              <w:rPr>
                <w:rFonts w:ascii="宋体"/>
                <w:vanish/>
              </w:rPr>
            </w:pPr>
          </w:p>
        </w:tc>
        <w:tc>
          <w:tcPr>
            <w:tcW w:w="0" w:type="auto"/>
            <w:gridSpan w:val="3"/>
            <w:shd w:val="clear" w:color="auto" w:fill="auto"/>
            <w:vAlign w:val="bottom"/>
          </w:tcPr>
          <w:p w14:paraId="74DDD994" w14:textId="77777777" w:rsidR="00584EC1" w:rsidRDefault="00584EC1">
            <w:pPr>
              <w:rPr>
                <w:rFonts w:ascii="宋体"/>
                <w:vanish/>
              </w:rPr>
            </w:pPr>
          </w:p>
        </w:tc>
        <w:tc>
          <w:tcPr>
            <w:tcW w:w="0" w:type="auto"/>
            <w:gridSpan w:val="3"/>
            <w:shd w:val="clear" w:color="auto" w:fill="auto"/>
            <w:vAlign w:val="bottom"/>
          </w:tcPr>
          <w:p w14:paraId="74DDD995" w14:textId="77777777" w:rsidR="00584EC1" w:rsidRDefault="00584EC1">
            <w:pPr>
              <w:rPr>
                <w:rFonts w:ascii="宋体"/>
                <w:vanish/>
              </w:rPr>
            </w:pPr>
          </w:p>
        </w:tc>
      </w:tr>
      <w:tr w:rsidR="00584EC1" w14:paraId="74DDD9A3" w14:textId="77777777">
        <w:trPr>
          <w:hidden/>
        </w:trPr>
        <w:tc>
          <w:tcPr>
            <w:tcW w:w="0" w:type="auto"/>
            <w:gridSpan w:val="3"/>
            <w:shd w:val="clear" w:color="auto" w:fill="auto"/>
            <w:vAlign w:val="bottom"/>
          </w:tcPr>
          <w:p w14:paraId="74DDD997" w14:textId="77777777" w:rsidR="00584EC1" w:rsidRDefault="00584EC1">
            <w:pPr>
              <w:rPr>
                <w:rFonts w:ascii="宋体"/>
                <w:vanish/>
              </w:rPr>
            </w:pPr>
          </w:p>
        </w:tc>
        <w:tc>
          <w:tcPr>
            <w:tcW w:w="0" w:type="auto"/>
            <w:gridSpan w:val="3"/>
            <w:shd w:val="clear" w:color="auto" w:fill="auto"/>
            <w:vAlign w:val="bottom"/>
          </w:tcPr>
          <w:p w14:paraId="74DDD998" w14:textId="77777777" w:rsidR="00584EC1" w:rsidRDefault="00584EC1">
            <w:pPr>
              <w:rPr>
                <w:rFonts w:ascii="宋体"/>
                <w:vanish/>
              </w:rPr>
            </w:pPr>
          </w:p>
        </w:tc>
        <w:tc>
          <w:tcPr>
            <w:tcW w:w="0" w:type="auto"/>
            <w:gridSpan w:val="3"/>
            <w:shd w:val="clear" w:color="auto" w:fill="auto"/>
            <w:vAlign w:val="bottom"/>
          </w:tcPr>
          <w:p w14:paraId="74DDD999" w14:textId="77777777" w:rsidR="00584EC1" w:rsidRDefault="00584EC1">
            <w:pPr>
              <w:rPr>
                <w:rFonts w:ascii="宋体"/>
                <w:vanish/>
              </w:rPr>
            </w:pPr>
          </w:p>
        </w:tc>
        <w:tc>
          <w:tcPr>
            <w:tcW w:w="0" w:type="auto"/>
            <w:gridSpan w:val="3"/>
            <w:shd w:val="clear" w:color="auto" w:fill="auto"/>
            <w:vAlign w:val="bottom"/>
          </w:tcPr>
          <w:p w14:paraId="74DDD99A" w14:textId="77777777" w:rsidR="00584EC1" w:rsidRDefault="00584EC1">
            <w:pPr>
              <w:rPr>
                <w:rFonts w:ascii="宋体"/>
                <w:vanish/>
              </w:rPr>
            </w:pPr>
          </w:p>
        </w:tc>
        <w:tc>
          <w:tcPr>
            <w:tcW w:w="0" w:type="auto"/>
            <w:gridSpan w:val="3"/>
            <w:shd w:val="clear" w:color="auto" w:fill="auto"/>
            <w:vAlign w:val="bottom"/>
          </w:tcPr>
          <w:p w14:paraId="74DDD99B" w14:textId="77777777" w:rsidR="00584EC1" w:rsidRDefault="00584EC1">
            <w:pPr>
              <w:rPr>
                <w:rFonts w:ascii="宋体"/>
                <w:vanish/>
              </w:rPr>
            </w:pPr>
          </w:p>
        </w:tc>
        <w:tc>
          <w:tcPr>
            <w:tcW w:w="0" w:type="auto"/>
            <w:gridSpan w:val="3"/>
            <w:shd w:val="clear" w:color="auto" w:fill="auto"/>
            <w:vAlign w:val="bottom"/>
          </w:tcPr>
          <w:p w14:paraId="74DDD99C" w14:textId="77777777" w:rsidR="00584EC1" w:rsidRDefault="00584EC1">
            <w:pPr>
              <w:rPr>
                <w:rFonts w:ascii="宋体"/>
                <w:vanish/>
              </w:rPr>
            </w:pPr>
          </w:p>
        </w:tc>
        <w:tc>
          <w:tcPr>
            <w:tcW w:w="0" w:type="auto"/>
            <w:gridSpan w:val="3"/>
            <w:shd w:val="clear" w:color="auto" w:fill="auto"/>
            <w:vAlign w:val="bottom"/>
          </w:tcPr>
          <w:p w14:paraId="74DDD99D" w14:textId="77777777" w:rsidR="00584EC1" w:rsidRDefault="00584EC1">
            <w:pPr>
              <w:rPr>
                <w:rFonts w:ascii="宋体"/>
                <w:vanish/>
              </w:rPr>
            </w:pPr>
          </w:p>
        </w:tc>
        <w:tc>
          <w:tcPr>
            <w:tcW w:w="0" w:type="auto"/>
            <w:gridSpan w:val="3"/>
            <w:shd w:val="clear" w:color="auto" w:fill="auto"/>
            <w:vAlign w:val="bottom"/>
          </w:tcPr>
          <w:p w14:paraId="74DDD99E" w14:textId="77777777" w:rsidR="00584EC1" w:rsidRDefault="00584EC1">
            <w:pPr>
              <w:rPr>
                <w:rFonts w:ascii="宋体"/>
                <w:vanish/>
              </w:rPr>
            </w:pPr>
          </w:p>
        </w:tc>
        <w:tc>
          <w:tcPr>
            <w:tcW w:w="0" w:type="auto"/>
            <w:gridSpan w:val="3"/>
            <w:shd w:val="clear" w:color="auto" w:fill="auto"/>
            <w:vAlign w:val="bottom"/>
          </w:tcPr>
          <w:p w14:paraId="74DDD99F" w14:textId="77777777" w:rsidR="00584EC1" w:rsidRDefault="00584EC1">
            <w:pPr>
              <w:rPr>
                <w:rFonts w:ascii="宋体"/>
                <w:vanish/>
              </w:rPr>
            </w:pPr>
          </w:p>
        </w:tc>
        <w:tc>
          <w:tcPr>
            <w:tcW w:w="0" w:type="auto"/>
            <w:gridSpan w:val="3"/>
            <w:shd w:val="clear" w:color="auto" w:fill="auto"/>
            <w:vAlign w:val="bottom"/>
          </w:tcPr>
          <w:p w14:paraId="74DDD9A0" w14:textId="77777777" w:rsidR="00584EC1" w:rsidRDefault="00584EC1">
            <w:pPr>
              <w:rPr>
                <w:rFonts w:ascii="宋体"/>
                <w:vanish/>
              </w:rPr>
            </w:pPr>
          </w:p>
        </w:tc>
        <w:tc>
          <w:tcPr>
            <w:tcW w:w="0" w:type="auto"/>
            <w:gridSpan w:val="3"/>
            <w:shd w:val="clear" w:color="auto" w:fill="auto"/>
            <w:vAlign w:val="bottom"/>
          </w:tcPr>
          <w:p w14:paraId="74DDD9A1" w14:textId="77777777" w:rsidR="00584EC1" w:rsidRDefault="00584EC1">
            <w:pPr>
              <w:rPr>
                <w:rFonts w:ascii="宋体"/>
                <w:vanish/>
              </w:rPr>
            </w:pPr>
          </w:p>
        </w:tc>
        <w:tc>
          <w:tcPr>
            <w:tcW w:w="0" w:type="auto"/>
            <w:gridSpan w:val="3"/>
            <w:shd w:val="clear" w:color="auto" w:fill="auto"/>
            <w:vAlign w:val="bottom"/>
          </w:tcPr>
          <w:p w14:paraId="74DDD9A2" w14:textId="77777777" w:rsidR="00584EC1" w:rsidRDefault="00584EC1">
            <w:pPr>
              <w:rPr>
                <w:rFonts w:ascii="宋体"/>
                <w:vanish/>
              </w:rPr>
            </w:pPr>
          </w:p>
        </w:tc>
      </w:tr>
    </w:tbl>
    <w:p w14:paraId="74DDD9A4" w14:textId="77777777" w:rsidR="00584EC1" w:rsidRDefault="00871F8D">
      <w:pPr>
        <w:ind w:firstLine="450"/>
        <w:jc w:val="right"/>
      </w:pPr>
      <w:r>
        <w:rPr>
          <w:rFonts w:ascii="Arial" w:eastAsia="宋体" w:hAnsi="Arial" w:cs="Arial"/>
          <w:color w:val="000000"/>
          <w:sz w:val="18"/>
          <w:szCs w:val="18"/>
        </w:rPr>
        <w:t>State Street Corporation | 67</w:t>
      </w:r>
    </w:p>
    <w:p w14:paraId="74DDD9A5" w14:textId="77777777" w:rsidR="00584EC1" w:rsidRDefault="00584EC1">
      <w:pPr>
        <w:ind w:firstLine="450"/>
        <w:jc w:val="center"/>
      </w:pPr>
    </w:p>
    <w:p w14:paraId="74DDD9A6" w14:textId="77777777" w:rsidR="00584EC1" w:rsidRDefault="00871F8D">
      <w:r>
        <w:pict w14:anchorId="74DE2A31">
          <v:rect id="_x0000_i1091" style="width:415.3pt;height:1.5pt" o:hralign="center" o:hrstd="t" o:hr="t" fillcolor="#a0a0a0" stroked="f"/>
        </w:pict>
      </w:r>
    </w:p>
    <w:p w14:paraId="74DDD9A7" w14:textId="77777777" w:rsidR="00584EC1" w:rsidRDefault="00871F8D">
      <w:pPr>
        <w:ind w:firstLine="450"/>
        <w:jc w:val="center"/>
      </w:pPr>
      <w:r>
        <w:rPr>
          <w:rFonts w:ascii="Arial" w:eastAsia="宋体" w:hAnsi="Arial" w:cs="Arial"/>
          <w:b/>
          <w:bCs/>
          <w:color w:val="000000"/>
          <w:sz w:val="20"/>
          <w:szCs w:val="20"/>
        </w:rPr>
        <w:t>STATE STREET CORPORATION</w:t>
      </w:r>
    </w:p>
    <w:p w14:paraId="74DDD9A8" w14:textId="77777777" w:rsidR="00584EC1" w:rsidRDefault="00871F8D">
      <w:pPr>
        <w:ind w:firstLine="450"/>
        <w:jc w:val="center"/>
      </w:pPr>
      <w:r>
        <w:rPr>
          <w:rFonts w:ascii="Arial" w:eastAsia="宋体" w:hAnsi="Arial" w:cs="Arial"/>
          <w:b/>
          <w:bCs/>
          <w:color w:val="000000"/>
          <w:sz w:val="20"/>
          <w:szCs w:val="20"/>
        </w:rPr>
        <w:t>CONDENSED NOTES TO CONSOLIDATED FINANCIAL STATEMENTS</w:t>
      </w:r>
    </w:p>
    <w:p w14:paraId="74DDD9A9" w14:textId="77777777" w:rsidR="00584EC1" w:rsidRDefault="00871F8D">
      <w:pPr>
        <w:ind w:firstLine="450"/>
        <w:jc w:val="center"/>
      </w:pPr>
      <w:r>
        <w:rPr>
          <w:rFonts w:ascii="Arial" w:eastAsia="宋体" w:hAnsi="Arial" w:cs="Arial"/>
          <w:b/>
          <w:bCs/>
          <w:color w:val="000000"/>
          <w:sz w:val="20"/>
          <w:szCs w:val="20"/>
        </w:rPr>
        <w:t>(UNAUDITED)</w:t>
      </w:r>
    </w:p>
    <w:p w14:paraId="74DDD9AA" w14:textId="77777777" w:rsidR="00584EC1" w:rsidRDefault="00871F8D">
      <w:pPr>
        <w:ind w:firstLine="450"/>
        <w:jc w:val="both"/>
      </w:pPr>
      <w:r>
        <w:rPr>
          <w:rFonts w:ascii="Arial" w:eastAsia="宋体" w:hAnsi="Arial" w:cs="Arial"/>
          <w:color w:val="000000"/>
          <w:sz w:val="20"/>
          <w:szCs w:val="20"/>
        </w:rPr>
        <w:t xml:space="preserve">The following table presents the amortized cost and the fair value of </w:t>
      </w:r>
      <w:r>
        <w:rPr>
          <w:rFonts w:ascii="Arial" w:eastAsia="宋体" w:hAnsi="Arial" w:cs="Arial"/>
          <w:color w:val="000000"/>
          <w:sz w:val="20"/>
          <w:szCs w:val="20"/>
        </w:rPr>
        <w:t xml:space="preserve">contractual maturities of debt investment securities as of September 30, 2021. The maturities of certain ABS, MBS and collateralized mortgage obligations are based on expected principal payments. Actual maturities may differ from these expected maturities </w:t>
      </w:r>
      <w:r>
        <w:rPr>
          <w:rFonts w:ascii="Arial" w:eastAsia="宋体" w:hAnsi="Arial" w:cs="Arial"/>
          <w:color w:val="000000"/>
          <w:sz w:val="20"/>
          <w:szCs w:val="20"/>
        </w:rPr>
        <w:t>since certain borrowers have the right to prepay obligations with or without prepayment penalties.</w:t>
      </w:r>
    </w:p>
    <w:tbl>
      <w:tblPr>
        <w:tblW w:w="5000" w:type="pct"/>
        <w:tblCellMar>
          <w:top w:w="15" w:type="dxa"/>
          <w:left w:w="15" w:type="dxa"/>
          <w:bottom w:w="15" w:type="dxa"/>
          <w:right w:w="15" w:type="dxa"/>
        </w:tblCellMar>
        <w:tblLook w:val="04A0" w:firstRow="1" w:lastRow="0" w:firstColumn="1" w:lastColumn="0" w:noHBand="0" w:noVBand="1"/>
      </w:tblPr>
      <w:tblGrid>
        <w:gridCol w:w="91"/>
        <w:gridCol w:w="1138"/>
        <w:gridCol w:w="36"/>
        <w:gridCol w:w="90"/>
        <w:gridCol w:w="553"/>
        <w:gridCol w:w="36"/>
        <w:gridCol w:w="36"/>
        <w:gridCol w:w="36"/>
        <w:gridCol w:w="36"/>
        <w:gridCol w:w="90"/>
        <w:gridCol w:w="414"/>
        <w:gridCol w:w="36"/>
        <w:gridCol w:w="36"/>
        <w:gridCol w:w="36"/>
        <w:gridCol w:w="36"/>
        <w:gridCol w:w="91"/>
        <w:gridCol w:w="553"/>
        <w:gridCol w:w="36"/>
        <w:gridCol w:w="36"/>
        <w:gridCol w:w="36"/>
        <w:gridCol w:w="36"/>
        <w:gridCol w:w="90"/>
        <w:gridCol w:w="414"/>
        <w:gridCol w:w="36"/>
        <w:gridCol w:w="36"/>
        <w:gridCol w:w="36"/>
        <w:gridCol w:w="36"/>
        <w:gridCol w:w="91"/>
        <w:gridCol w:w="553"/>
        <w:gridCol w:w="36"/>
        <w:gridCol w:w="36"/>
        <w:gridCol w:w="36"/>
        <w:gridCol w:w="36"/>
        <w:gridCol w:w="90"/>
        <w:gridCol w:w="414"/>
        <w:gridCol w:w="36"/>
        <w:gridCol w:w="36"/>
        <w:gridCol w:w="36"/>
        <w:gridCol w:w="36"/>
        <w:gridCol w:w="91"/>
        <w:gridCol w:w="553"/>
        <w:gridCol w:w="36"/>
        <w:gridCol w:w="36"/>
        <w:gridCol w:w="36"/>
        <w:gridCol w:w="36"/>
        <w:gridCol w:w="90"/>
        <w:gridCol w:w="414"/>
        <w:gridCol w:w="36"/>
        <w:gridCol w:w="36"/>
        <w:gridCol w:w="36"/>
        <w:gridCol w:w="36"/>
        <w:gridCol w:w="91"/>
        <w:gridCol w:w="553"/>
        <w:gridCol w:w="36"/>
        <w:gridCol w:w="36"/>
        <w:gridCol w:w="36"/>
        <w:gridCol w:w="36"/>
        <w:gridCol w:w="90"/>
        <w:gridCol w:w="414"/>
        <w:gridCol w:w="36"/>
      </w:tblGrid>
      <w:tr w:rsidR="00584EC1" w14:paraId="74DDD9E7" w14:textId="77777777">
        <w:tc>
          <w:tcPr>
            <w:tcW w:w="50" w:type="pct"/>
            <w:shd w:val="clear" w:color="auto" w:fill="auto"/>
            <w:vAlign w:val="bottom"/>
          </w:tcPr>
          <w:p w14:paraId="74DDD9AB" w14:textId="77777777" w:rsidR="00584EC1" w:rsidRDefault="00584EC1">
            <w:pPr>
              <w:rPr>
                <w:rFonts w:ascii="宋体"/>
              </w:rPr>
            </w:pPr>
          </w:p>
        </w:tc>
        <w:tc>
          <w:tcPr>
            <w:tcW w:w="814" w:type="pct"/>
            <w:shd w:val="clear" w:color="auto" w:fill="auto"/>
            <w:vAlign w:val="bottom"/>
          </w:tcPr>
          <w:p w14:paraId="74DDD9AC" w14:textId="77777777" w:rsidR="00584EC1" w:rsidRDefault="00584EC1">
            <w:pPr>
              <w:rPr>
                <w:rFonts w:ascii="宋体"/>
              </w:rPr>
            </w:pPr>
          </w:p>
        </w:tc>
        <w:tc>
          <w:tcPr>
            <w:tcW w:w="5" w:type="pct"/>
            <w:shd w:val="clear" w:color="auto" w:fill="auto"/>
            <w:vAlign w:val="bottom"/>
          </w:tcPr>
          <w:p w14:paraId="74DDD9AD" w14:textId="77777777" w:rsidR="00584EC1" w:rsidRDefault="00584EC1">
            <w:pPr>
              <w:rPr>
                <w:rFonts w:ascii="宋体"/>
              </w:rPr>
            </w:pPr>
          </w:p>
        </w:tc>
        <w:tc>
          <w:tcPr>
            <w:tcW w:w="50" w:type="pct"/>
            <w:shd w:val="clear" w:color="auto" w:fill="auto"/>
            <w:vAlign w:val="bottom"/>
          </w:tcPr>
          <w:p w14:paraId="74DDD9AE" w14:textId="77777777" w:rsidR="00584EC1" w:rsidRDefault="00584EC1">
            <w:pPr>
              <w:rPr>
                <w:rFonts w:ascii="宋体"/>
              </w:rPr>
            </w:pPr>
          </w:p>
        </w:tc>
        <w:tc>
          <w:tcPr>
            <w:tcW w:w="332" w:type="pct"/>
            <w:shd w:val="clear" w:color="auto" w:fill="auto"/>
            <w:vAlign w:val="bottom"/>
          </w:tcPr>
          <w:p w14:paraId="74DDD9AF" w14:textId="77777777" w:rsidR="00584EC1" w:rsidRDefault="00584EC1">
            <w:pPr>
              <w:rPr>
                <w:rFonts w:ascii="宋体"/>
              </w:rPr>
            </w:pPr>
          </w:p>
        </w:tc>
        <w:tc>
          <w:tcPr>
            <w:tcW w:w="5" w:type="pct"/>
            <w:shd w:val="clear" w:color="auto" w:fill="auto"/>
            <w:vAlign w:val="bottom"/>
          </w:tcPr>
          <w:p w14:paraId="74DDD9B0" w14:textId="77777777" w:rsidR="00584EC1" w:rsidRDefault="00584EC1">
            <w:pPr>
              <w:rPr>
                <w:rFonts w:ascii="宋体"/>
              </w:rPr>
            </w:pPr>
          </w:p>
        </w:tc>
        <w:tc>
          <w:tcPr>
            <w:tcW w:w="5" w:type="pct"/>
            <w:shd w:val="clear" w:color="auto" w:fill="auto"/>
            <w:vAlign w:val="bottom"/>
          </w:tcPr>
          <w:p w14:paraId="74DDD9B1" w14:textId="77777777" w:rsidR="00584EC1" w:rsidRDefault="00584EC1">
            <w:pPr>
              <w:rPr>
                <w:rFonts w:ascii="宋体"/>
              </w:rPr>
            </w:pPr>
          </w:p>
        </w:tc>
        <w:tc>
          <w:tcPr>
            <w:tcW w:w="26" w:type="pct"/>
            <w:shd w:val="clear" w:color="auto" w:fill="auto"/>
            <w:vAlign w:val="bottom"/>
          </w:tcPr>
          <w:p w14:paraId="74DDD9B2" w14:textId="77777777" w:rsidR="00584EC1" w:rsidRDefault="00584EC1">
            <w:pPr>
              <w:rPr>
                <w:rFonts w:ascii="宋体"/>
              </w:rPr>
            </w:pPr>
          </w:p>
        </w:tc>
        <w:tc>
          <w:tcPr>
            <w:tcW w:w="5" w:type="pct"/>
            <w:shd w:val="clear" w:color="auto" w:fill="auto"/>
            <w:vAlign w:val="bottom"/>
          </w:tcPr>
          <w:p w14:paraId="74DDD9B3" w14:textId="77777777" w:rsidR="00584EC1" w:rsidRDefault="00584EC1">
            <w:pPr>
              <w:rPr>
                <w:rFonts w:ascii="宋体"/>
              </w:rPr>
            </w:pPr>
          </w:p>
        </w:tc>
        <w:tc>
          <w:tcPr>
            <w:tcW w:w="50" w:type="pct"/>
            <w:shd w:val="clear" w:color="auto" w:fill="auto"/>
            <w:vAlign w:val="bottom"/>
          </w:tcPr>
          <w:p w14:paraId="74DDD9B4" w14:textId="77777777" w:rsidR="00584EC1" w:rsidRDefault="00584EC1">
            <w:pPr>
              <w:rPr>
                <w:rFonts w:ascii="宋体"/>
              </w:rPr>
            </w:pPr>
          </w:p>
        </w:tc>
        <w:tc>
          <w:tcPr>
            <w:tcW w:w="317" w:type="pct"/>
            <w:shd w:val="clear" w:color="auto" w:fill="auto"/>
            <w:vAlign w:val="bottom"/>
          </w:tcPr>
          <w:p w14:paraId="74DDD9B5" w14:textId="77777777" w:rsidR="00584EC1" w:rsidRDefault="00584EC1">
            <w:pPr>
              <w:rPr>
                <w:rFonts w:ascii="宋体"/>
              </w:rPr>
            </w:pPr>
          </w:p>
        </w:tc>
        <w:tc>
          <w:tcPr>
            <w:tcW w:w="5" w:type="pct"/>
            <w:shd w:val="clear" w:color="auto" w:fill="auto"/>
            <w:vAlign w:val="bottom"/>
          </w:tcPr>
          <w:p w14:paraId="74DDD9B6" w14:textId="77777777" w:rsidR="00584EC1" w:rsidRDefault="00584EC1">
            <w:pPr>
              <w:rPr>
                <w:rFonts w:ascii="宋体"/>
              </w:rPr>
            </w:pPr>
          </w:p>
        </w:tc>
        <w:tc>
          <w:tcPr>
            <w:tcW w:w="5" w:type="pct"/>
            <w:shd w:val="clear" w:color="auto" w:fill="auto"/>
            <w:vAlign w:val="bottom"/>
          </w:tcPr>
          <w:p w14:paraId="74DDD9B7" w14:textId="77777777" w:rsidR="00584EC1" w:rsidRDefault="00584EC1">
            <w:pPr>
              <w:rPr>
                <w:rFonts w:ascii="宋体"/>
              </w:rPr>
            </w:pPr>
          </w:p>
        </w:tc>
        <w:tc>
          <w:tcPr>
            <w:tcW w:w="26" w:type="pct"/>
            <w:shd w:val="clear" w:color="auto" w:fill="auto"/>
            <w:vAlign w:val="bottom"/>
          </w:tcPr>
          <w:p w14:paraId="74DDD9B8" w14:textId="77777777" w:rsidR="00584EC1" w:rsidRDefault="00584EC1">
            <w:pPr>
              <w:rPr>
                <w:rFonts w:ascii="宋体"/>
              </w:rPr>
            </w:pPr>
          </w:p>
        </w:tc>
        <w:tc>
          <w:tcPr>
            <w:tcW w:w="5" w:type="pct"/>
            <w:shd w:val="clear" w:color="auto" w:fill="auto"/>
            <w:vAlign w:val="bottom"/>
          </w:tcPr>
          <w:p w14:paraId="74DDD9B9" w14:textId="77777777" w:rsidR="00584EC1" w:rsidRDefault="00584EC1">
            <w:pPr>
              <w:rPr>
                <w:rFonts w:ascii="宋体"/>
              </w:rPr>
            </w:pPr>
          </w:p>
        </w:tc>
        <w:tc>
          <w:tcPr>
            <w:tcW w:w="50" w:type="pct"/>
            <w:shd w:val="clear" w:color="auto" w:fill="auto"/>
            <w:vAlign w:val="bottom"/>
          </w:tcPr>
          <w:p w14:paraId="74DDD9BA" w14:textId="77777777" w:rsidR="00584EC1" w:rsidRDefault="00584EC1">
            <w:pPr>
              <w:rPr>
                <w:rFonts w:ascii="宋体"/>
              </w:rPr>
            </w:pPr>
          </w:p>
        </w:tc>
        <w:tc>
          <w:tcPr>
            <w:tcW w:w="332" w:type="pct"/>
            <w:shd w:val="clear" w:color="auto" w:fill="auto"/>
            <w:vAlign w:val="bottom"/>
          </w:tcPr>
          <w:p w14:paraId="74DDD9BB" w14:textId="77777777" w:rsidR="00584EC1" w:rsidRDefault="00584EC1">
            <w:pPr>
              <w:rPr>
                <w:rFonts w:ascii="宋体"/>
              </w:rPr>
            </w:pPr>
          </w:p>
        </w:tc>
        <w:tc>
          <w:tcPr>
            <w:tcW w:w="5" w:type="pct"/>
            <w:shd w:val="clear" w:color="auto" w:fill="auto"/>
            <w:vAlign w:val="bottom"/>
          </w:tcPr>
          <w:p w14:paraId="74DDD9BC" w14:textId="77777777" w:rsidR="00584EC1" w:rsidRDefault="00584EC1">
            <w:pPr>
              <w:rPr>
                <w:rFonts w:ascii="宋体"/>
              </w:rPr>
            </w:pPr>
          </w:p>
        </w:tc>
        <w:tc>
          <w:tcPr>
            <w:tcW w:w="5" w:type="pct"/>
            <w:shd w:val="clear" w:color="auto" w:fill="auto"/>
            <w:vAlign w:val="bottom"/>
          </w:tcPr>
          <w:p w14:paraId="74DDD9BD" w14:textId="77777777" w:rsidR="00584EC1" w:rsidRDefault="00584EC1">
            <w:pPr>
              <w:rPr>
                <w:rFonts w:ascii="宋体"/>
              </w:rPr>
            </w:pPr>
          </w:p>
        </w:tc>
        <w:tc>
          <w:tcPr>
            <w:tcW w:w="26" w:type="pct"/>
            <w:shd w:val="clear" w:color="auto" w:fill="auto"/>
            <w:vAlign w:val="bottom"/>
          </w:tcPr>
          <w:p w14:paraId="74DDD9BE" w14:textId="77777777" w:rsidR="00584EC1" w:rsidRDefault="00584EC1">
            <w:pPr>
              <w:rPr>
                <w:rFonts w:ascii="宋体"/>
              </w:rPr>
            </w:pPr>
          </w:p>
        </w:tc>
        <w:tc>
          <w:tcPr>
            <w:tcW w:w="5" w:type="pct"/>
            <w:shd w:val="clear" w:color="auto" w:fill="auto"/>
            <w:vAlign w:val="bottom"/>
          </w:tcPr>
          <w:p w14:paraId="74DDD9BF" w14:textId="77777777" w:rsidR="00584EC1" w:rsidRDefault="00584EC1">
            <w:pPr>
              <w:rPr>
                <w:rFonts w:ascii="宋体"/>
              </w:rPr>
            </w:pPr>
          </w:p>
        </w:tc>
        <w:tc>
          <w:tcPr>
            <w:tcW w:w="50" w:type="pct"/>
            <w:shd w:val="clear" w:color="auto" w:fill="auto"/>
            <w:vAlign w:val="bottom"/>
          </w:tcPr>
          <w:p w14:paraId="74DDD9C0" w14:textId="77777777" w:rsidR="00584EC1" w:rsidRDefault="00584EC1">
            <w:pPr>
              <w:rPr>
                <w:rFonts w:ascii="宋体"/>
              </w:rPr>
            </w:pPr>
          </w:p>
        </w:tc>
        <w:tc>
          <w:tcPr>
            <w:tcW w:w="317" w:type="pct"/>
            <w:shd w:val="clear" w:color="auto" w:fill="auto"/>
            <w:vAlign w:val="bottom"/>
          </w:tcPr>
          <w:p w14:paraId="74DDD9C1" w14:textId="77777777" w:rsidR="00584EC1" w:rsidRDefault="00584EC1">
            <w:pPr>
              <w:rPr>
                <w:rFonts w:ascii="宋体"/>
              </w:rPr>
            </w:pPr>
          </w:p>
        </w:tc>
        <w:tc>
          <w:tcPr>
            <w:tcW w:w="5" w:type="pct"/>
            <w:shd w:val="clear" w:color="auto" w:fill="auto"/>
            <w:vAlign w:val="bottom"/>
          </w:tcPr>
          <w:p w14:paraId="74DDD9C2" w14:textId="77777777" w:rsidR="00584EC1" w:rsidRDefault="00584EC1">
            <w:pPr>
              <w:rPr>
                <w:rFonts w:ascii="宋体"/>
              </w:rPr>
            </w:pPr>
          </w:p>
        </w:tc>
        <w:tc>
          <w:tcPr>
            <w:tcW w:w="5" w:type="pct"/>
            <w:shd w:val="clear" w:color="auto" w:fill="auto"/>
            <w:vAlign w:val="bottom"/>
          </w:tcPr>
          <w:p w14:paraId="74DDD9C3" w14:textId="77777777" w:rsidR="00584EC1" w:rsidRDefault="00584EC1">
            <w:pPr>
              <w:rPr>
                <w:rFonts w:ascii="宋体"/>
              </w:rPr>
            </w:pPr>
          </w:p>
        </w:tc>
        <w:tc>
          <w:tcPr>
            <w:tcW w:w="26" w:type="pct"/>
            <w:shd w:val="clear" w:color="auto" w:fill="auto"/>
            <w:vAlign w:val="bottom"/>
          </w:tcPr>
          <w:p w14:paraId="74DDD9C4" w14:textId="77777777" w:rsidR="00584EC1" w:rsidRDefault="00584EC1">
            <w:pPr>
              <w:rPr>
                <w:rFonts w:ascii="宋体"/>
              </w:rPr>
            </w:pPr>
          </w:p>
        </w:tc>
        <w:tc>
          <w:tcPr>
            <w:tcW w:w="5" w:type="pct"/>
            <w:shd w:val="clear" w:color="auto" w:fill="auto"/>
            <w:vAlign w:val="bottom"/>
          </w:tcPr>
          <w:p w14:paraId="74DDD9C5" w14:textId="77777777" w:rsidR="00584EC1" w:rsidRDefault="00584EC1">
            <w:pPr>
              <w:rPr>
                <w:rFonts w:ascii="宋体"/>
              </w:rPr>
            </w:pPr>
          </w:p>
        </w:tc>
        <w:tc>
          <w:tcPr>
            <w:tcW w:w="50" w:type="pct"/>
            <w:shd w:val="clear" w:color="auto" w:fill="auto"/>
            <w:vAlign w:val="bottom"/>
          </w:tcPr>
          <w:p w14:paraId="74DDD9C6" w14:textId="77777777" w:rsidR="00584EC1" w:rsidRDefault="00584EC1">
            <w:pPr>
              <w:rPr>
                <w:rFonts w:ascii="宋体"/>
              </w:rPr>
            </w:pPr>
          </w:p>
        </w:tc>
        <w:tc>
          <w:tcPr>
            <w:tcW w:w="332" w:type="pct"/>
            <w:shd w:val="clear" w:color="auto" w:fill="auto"/>
            <w:vAlign w:val="bottom"/>
          </w:tcPr>
          <w:p w14:paraId="74DDD9C7" w14:textId="77777777" w:rsidR="00584EC1" w:rsidRDefault="00584EC1">
            <w:pPr>
              <w:rPr>
                <w:rFonts w:ascii="宋体"/>
              </w:rPr>
            </w:pPr>
          </w:p>
        </w:tc>
        <w:tc>
          <w:tcPr>
            <w:tcW w:w="5" w:type="pct"/>
            <w:shd w:val="clear" w:color="auto" w:fill="auto"/>
            <w:vAlign w:val="bottom"/>
          </w:tcPr>
          <w:p w14:paraId="74DDD9C8" w14:textId="77777777" w:rsidR="00584EC1" w:rsidRDefault="00584EC1">
            <w:pPr>
              <w:rPr>
                <w:rFonts w:ascii="宋体"/>
              </w:rPr>
            </w:pPr>
          </w:p>
        </w:tc>
        <w:tc>
          <w:tcPr>
            <w:tcW w:w="5" w:type="pct"/>
            <w:shd w:val="clear" w:color="auto" w:fill="auto"/>
            <w:vAlign w:val="bottom"/>
          </w:tcPr>
          <w:p w14:paraId="74DDD9C9" w14:textId="77777777" w:rsidR="00584EC1" w:rsidRDefault="00584EC1">
            <w:pPr>
              <w:rPr>
                <w:rFonts w:ascii="宋体"/>
              </w:rPr>
            </w:pPr>
          </w:p>
        </w:tc>
        <w:tc>
          <w:tcPr>
            <w:tcW w:w="26" w:type="pct"/>
            <w:shd w:val="clear" w:color="auto" w:fill="auto"/>
            <w:vAlign w:val="bottom"/>
          </w:tcPr>
          <w:p w14:paraId="74DDD9CA" w14:textId="77777777" w:rsidR="00584EC1" w:rsidRDefault="00584EC1">
            <w:pPr>
              <w:rPr>
                <w:rFonts w:ascii="宋体"/>
              </w:rPr>
            </w:pPr>
          </w:p>
        </w:tc>
        <w:tc>
          <w:tcPr>
            <w:tcW w:w="5" w:type="pct"/>
            <w:shd w:val="clear" w:color="auto" w:fill="auto"/>
            <w:vAlign w:val="bottom"/>
          </w:tcPr>
          <w:p w14:paraId="74DDD9CB" w14:textId="77777777" w:rsidR="00584EC1" w:rsidRDefault="00584EC1">
            <w:pPr>
              <w:rPr>
                <w:rFonts w:ascii="宋体"/>
              </w:rPr>
            </w:pPr>
          </w:p>
        </w:tc>
        <w:tc>
          <w:tcPr>
            <w:tcW w:w="50" w:type="pct"/>
            <w:shd w:val="clear" w:color="auto" w:fill="auto"/>
            <w:vAlign w:val="bottom"/>
          </w:tcPr>
          <w:p w14:paraId="74DDD9CC" w14:textId="77777777" w:rsidR="00584EC1" w:rsidRDefault="00584EC1">
            <w:pPr>
              <w:rPr>
                <w:rFonts w:ascii="宋体"/>
              </w:rPr>
            </w:pPr>
          </w:p>
        </w:tc>
        <w:tc>
          <w:tcPr>
            <w:tcW w:w="317" w:type="pct"/>
            <w:shd w:val="clear" w:color="auto" w:fill="auto"/>
            <w:vAlign w:val="bottom"/>
          </w:tcPr>
          <w:p w14:paraId="74DDD9CD" w14:textId="77777777" w:rsidR="00584EC1" w:rsidRDefault="00584EC1">
            <w:pPr>
              <w:rPr>
                <w:rFonts w:ascii="宋体"/>
              </w:rPr>
            </w:pPr>
          </w:p>
        </w:tc>
        <w:tc>
          <w:tcPr>
            <w:tcW w:w="5" w:type="pct"/>
            <w:shd w:val="clear" w:color="auto" w:fill="auto"/>
            <w:vAlign w:val="bottom"/>
          </w:tcPr>
          <w:p w14:paraId="74DDD9CE" w14:textId="77777777" w:rsidR="00584EC1" w:rsidRDefault="00584EC1">
            <w:pPr>
              <w:rPr>
                <w:rFonts w:ascii="宋体"/>
              </w:rPr>
            </w:pPr>
          </w:p>
        </w:tc>
        <w:tc>
          <w:tcPr>
            <w:tcW w:w="5" w:type="pct"/>
            <w:shd w:val="clear" w:color="auto" w:fill="auto"/>
            <w:vAlign w:val="bottom"/>
          </w:tcPr>
          <w:p w14:paraId="74DDD9CF" w14:textId="77777777" w:rsidR="00584EC1" w:rsidRDefault="00584EC1">
            <w:pPr>
              <w:rPr>
                <w:rFonts w:ascii="宋体"/>
              </w:rPr>
            </w:pPr>
          </w:p>
        </w:tc>
        <w:tc>
          <w:tcPr>
            <w:tcW w:w="26" w:type="pct"/>
            <w:shd w:val="clear" w:color="auto" w:fill="auto"/>
            <w:vAlign w:val="bottom"/>
          </w:tcPr>
          <w:p w14:paraId="74DDD9D0" w14:textId="77777777" w:rsidR="00584EC1" w:rsidRDefault="00584EC1">
            <w:pPr>
              <w:rPr>
                <w:rFonts w:ascii="宋体"/>
              </w:rPr>
            </w:pPr>
          </w:p>
        </w:tc>
        <w:tc>
          <w:tcPr>
            <w:tcW w:w="5" w:type="pct"/>
            <w:shd w:val="clear" w:color="auto" w:fill="auto"/>
            <w:vAlign w:val="bottom"/>
          </w:tcPr>
          <w:p w14:paraId="74DDD9D1" w14:textId="77777777" w:rsidR="00584EC1" w:rsidRDefault="00584EC1">
            <w:pPr>
              <w:rPr>
                <w:rFonts w:ascii="宋体"/>
              </w:rPr>
            </w:pPr>
          </w:p>
        </w:tc>
        <w:tc>
          <w:tcPr>
            <w:tcW w:w="50" w:type="pct"/>
            <w:shd w:val="clear" w:color="auto" w:fill="auto"/>
            <w:vAlign w:val="bottom"/>
          </w:tcPr>
          <w:p w14:paraId="74DDD9D2" w14:textId="77777777" w:rsidR="00584EC1" w:rsidRDefault="00584EC1">
            <w:pPr>
              <w:rPr>
                <w:rFonts w:ascii="宋体"/>
              </w:rPr>
            </w:pPr>
          </w:p>
        </w:tc>
        <w:tc>
          <w:tcPr>
            <w:tcW w:w="332" w:type="pct"/>
            <w:shd w:val="clear" w:color="auto" w:fill="auto"/>
            <w:vAlign w:val="bottom"/>
          </w:tcPr>
          <w:p w14:paraId="74DDD9D3" w14:textId="77777777" w:rsidR="00584EC1" w:rsidRDefault="00584EC1">
            <w:pPr>
              <w:rPr>
                <w:rFonts w:ascii="宋体"/>
              </w:rPr>
            </w:pPr>
          </w:p>
        </w:tc>
        <w:tc>
          <w:tcPr>
            <w:tcW w:w="5" w:type="pct"/>
            <w:shd w:val="clear" w:color="auto" w:fill="auto"/>
            <w:vAlign w:val="bottom"/>
          </w:tcPr>
          <w:p w14:paraId="74DDD9D4" w14:textId="77777777" w:rsidR="00584EC1" w:rsidRDefault="00584EC1">
            <w:pPr>
              <w:rPr>
                <w:rFonts w:ascii="宋体"/>
              </w:rPr>
            </w:pPr>
          </w:p>
        </w:tc>
        <w:tc>
          <w:tcPr>
            <w:tcW w:w="5" w:type="pct"/>
            <w:shd w:val="clear" w:color="auto" w:fill="auto"/>
            <w:vAlign w:val="bottom"/>
          </w:tcPr>
          <w:p w14:paraId="74DDD9D5" w14:textId="77777777" w:rsidR="00584EC1" w:rsidRDefault="00584EC1">
            <w:pPr>
              <w:rPr>
                <w:rFonts w:ascii="宋体"/>
              </w:rPr>
            </w:pPr>
          </w:p>
        </w:tc>
        <w:tc>
          <w:tcPr>
            <w:tcW w:w="26" w:type="pct"/>
            <w:shd w:val="clear" w:color="auto" w:fill="auto"/>
            <w:vAlign w:val="bottom"/>
          </w:tcPr>
          <w:p w14:paraId="74DDD9D6" w14:textId="77777777" w:rsidR="00584EC1" w:rsidRDefault="00584EC1">
            <w:pPr>
              <w:rPr>
                <w:rFonts w:ascii="宋体"/>
              </w:rPr>
            </w:pPr>
          </w:p>
        </w:tc>
        <w:tc>
          <w:tcPr>
            <w:tcW w:w="5" w:type="pct"/>
            <w:shd w:val="clear" w:color="auto" w:fill="auto"/>
            <w:vAlign w:val="bottom"/>
          </w:tcPr>
          <w:p w14:paraId="74DDD9D7" w14:textId="77777777" w:rsidR="00584EC1" w:rsidRDefault="00584EC1">
            <w:pPr>
              <w:rPr>
                <w:rFonts w:ascii="宋体"/>
              </w:rPr>
            </w:pPr>
          </w:p>
        </w:tc>
        <w:tc>
          <w:tcPr>
            <w:tcW w:w="50" w:type="pct"/>
            <w:shd w:val="clear" w:color="auto" w:fill="auto"/>
            <w:vAlign w:val="bottom"/>
          </w:tcPr>
          <w:p w14:paraId="74DDD9D8" w14:textId="77777777" w:rsidR="00584EC1" w:rsidRDefault="00584EC1">
            <w:pPr>
              <w:rPr>
                <w:rFonts w:ascii="宋体"/>
              </w:rPr>
            </w:pPr>
          </w:p>
        </w:tc>
        <w:tc>
          <w:tcPr>
            <w:tcW w:w="317" w:type="pct"/>
            <w:shd w:val="clear" w:color="auto" w:fill="auto"/>
            <w:vAlign w:val="bottom"/>
          </w:tcPr>
          <w:p w14:paraId="74DDD9D9" w14:textId="77777777" w:rsidR="00584EC1" w:rsidRDefault="00584EC1">
            <w:pPr>
              <w:rPr>
                <w:rFonts w:ascii="宋体"/>
              </w:rPr>
            </w:pPr>
          </w:p>
        </w:tc>
        <w:tc>
          <w:tcPr>
            <w:tcW w:w="5" w:type="pct"/>
            <w:shd w:val="clear" w:color="auto" w:fill="auto"/>
            <w:vAlign w:val="bottom"/>
          </w:tcPr>
          <w:p w14:paraId="74DDD9DA" w14:textId="77777777" w:rsidR="00584EC1" w:rsidRDefault="00584EC1">
            <w:pPr>
              <w:rPr>
                <w:rFonts w:ascii="宋体"/>
              </w:rPr>
            </w:pPr>
          </w:p>
        </w:tc>
        <w:tc>
          <w:tcPr>
            <w:tcW w:w="5" w:type="pct"/>
            <w:shd w:val="clear" w:color="auto" w:fill="auto"/>
            <w:vAlign w:val="bottom"/>
          </w:tcPr>
          <w:p w14:paraId="74DDD9DB" w14:textId="77777777" w:rsidR="00584EC1" w:rsidRDefault="00584EC1">
            <w:pPr>
              <w:rPr>
                <w:rFonts w:ascii="宋体"/>
              </w:rPr>
            </w:pPr>
          </w:p>
        </w:tc>
        <w:tc>
          <w:tcPr>
            <w:tcW w:w="26" w:type="pct"/>
            <w:shd w:val="clear" w:color="auto" w:fill="auto"/>
            <w:vAlign w:val="bottom"/>
          </w:tcPr>
          <w:p w14:paraId="74DDD9DC" w14:textId="77777777" w:rsidR="00584EC1" w:rsidRDefault="00584EC1">
            <w:pPr>
              <w:rPr>
                <w:rFonts w:ascii="宋体"/>
              </w:rPr>
            </w:pPr>
          </w:p>
        </w:tc>
        <w:tc>
          <w:tcPr>
            <w:tcW w:w="5" w:type="pct"/>
            <w:shd w:val="clear" w:color="auto" w:fill="auto"/>
            <w:vAlign w:val="bottom"/>
          </w:tcPr>
          <w:p w14:paraId="74DDD9DD" w14:textId="77777777" w:rsidR="00584EC1" w:rsidRDefault="00584EC1">
            <w:pPr>
              <w:rPr>
                <w:rFonts w:ascii="宋体"/>
              </w:rPr>
            </w:pPr>
          </w:p>
        </w:tc>
        <w:tc>
          <w:tcPr>
            <w:tcW w:w="50" w:type="pct"/>
            <w:shd w:val="clear" w:color="auto" w:fill="auto"/>
            <w:vAlign w:val="bottom"/>
          </w:tcPr>
          <w:p w14:paraId="74DDD9DE" w14:textId="77777777" w:rsidR="00584EC1" w:rsidRDefault="00584EC1">
            <w:pPr>
              <w:rPr>
                <w:rFonts w:ascii="宋体"/>
              </w:rPr>
            </w:pPr>
          </w:p>
        </w:tc>
        <w:tc>
          <w:tcPr>
            <w:tcW w:w="332" w:type="pct"/>
            <w:shd w:val="clear" w:color="auto" w:fill="auto"/>
            <w:vAlign w:val="bottom"/>
          </w:tcPr>
          <w:p w14:paraId="74DDD9DF" w14:textId="77777777" w:rsidR="00584EC1" w:rsidRDefault="00584EC1">
            <w:pPr>
              <w:rPr>
                <w:rFonts w:ascii="宋体"/>
              </w:rPr>
            </w:pPr>
          </w:p>
        </w:tc>
        <w:tc>
          <w:tcPr>
            <w:tcW w:w="5" w:type="pct"/>
            <w:shd w:val="clear" w:color="auto" w:fill="auto"/>
            <w:vAlign w:val="bottom"/>
          </w:tcPr>
          <w:p w14:paraId="74DDD9E0" w14:textId="77777777" w:rsidR="00584EC1" w:rsidRDefault="00584EC1">
            <w:pPr>
              <w:rPr>
                <w:rFonts w:ascii="宋体"/>
              </w:rPr>
            </w:pPr>
          </w:p>
        </w:tc>
        <w:tc>
          <w:tcPr>
            <w:tcW w:w="5" w:type="pct"/>
            <w:shd w:val="clear" w:color="auto" w:fill="auto"/>
            <w:vAlign w:val="bottom"/>
          </w:tcPr>
          <w:p w14:paraId="74DDD9E1" w14:textId="77777777" w:rsidR="00584EC1" w:rsidRDefault="00584EC1">
            <w:pPr>
              <w:rPr>
                <w:rFonts w:ascii="宋体"/>
              </w:rPr>
            </w:pPr>
          </w:p>
        </w:tc>
        <w:tc>
          <w:tcPr>
            <w:tcW w:w="26" w:type="pct"/>
            <w:shd w:val="clear" w:color="auto" w:fill="auto"/>
            <w:vAlign w:val="bottom"/>
          </w:tcPr>
          <w:p w14:paraId="74DDD9E2" w14:textId="77777777" w:rsidR="00584EC1" w:rsidRDefault="00584EC1">
            <w:pPr>
              <w:rPr>
                <w:rFonts w:ascii="宋体"/>
              </w:rPr>
            </w:pPr>
          </w:p>
        </w:tc>
        <w:tc>
          <w:tcPr>
            <w:tcW w:w="5" w:type="pct"/>
            <w:shd w:val="clear" w:color="auto" w:fill="auto"/>
            <w:vAlign w:val="bottom"/>
          </w:tcPr>
          <w:p w14:paraId="74DDD9E3" w14:textId="77777777" w:rsidR="00584EC1" w:rsidRDefault="00584EC1">
            <w:pPr>
              <w:rPr>
                <w:rFonts w:ascii="宋体"/>
              </w:rPr>
            </w:pPr>
          </w:p>
        </w:tc>
        <w:tc>
          <w:tcPr>
            <w:tcW w:w="50" w:type="pct"/>
            <w:shd w:val="clear" w:color="auto" w:fill="auto"/>
            <w:vAlign w:val="bottom"/>
          </w:tcPr>
          <w:p w14:paraId="74DDD9E4" w14:textId="77777777" w:rsidR="00584EC1" w:rsidRDefault="00584EC1">
            <w:pPr>
              <w:rPr>
                <w:rFonts w:ascii="宋体"/>
              </w:rPr>
            </w:pPr>
          </w:p>
        </w:tc>
        <w:tc>
          <w:tcPr>
            <w:tcW w:w="318" w:type="pct"/>
            <w:shd w:val="clear" w:color="auto" w:fill="auto"/>
            <w:vAlign w:val="bottom"/>
          </w:tcPr>
          <w:p w14:paraId="74DDD9E5" w14:textId="77777777" w:rsidR="00584EC1" w:rsidRDefault="00584EC1">
            <w:pPr>
              <w:rPr>
                <w:rFonts w:ascii="宋体"/>
              </w:rPr>
            </w:pPr>
          </w:p>
        </w:tc>
        <w:tc>
          <w:tcPr>
            <w:tcW w:w="5" w:type="pct"/>
            <w:shd w:val="clear" w:color="auto" w:fill="auto"/>
            <w:vAlign w:val="bottom"/>
          </w:tcPr>
          <w:p w14:paraId="74DDD9E6" w14:textId="77777777" w:rsidR="00584EC1" w:rsidRDefault="00584EC1">
            <w:pPr>
              <w:rPr>
                <w:rFonts w:ascii="宋体"/>
              </w:rPr>
            </w:pPr>
          </w:p>
        </w:tc>
      </w:tr>
      <w:tr w:rsidR="00584EC1" w14:paraId="74DDD9EA" w14:textId="77777777">
        <w:tc>
          <w:tcPr>
            <w:tcW w:w="0" w:type="auto"/>
            <w:gridSpan w:val="3"/>
            <w:shd w:val="clear" w:color="auto" w:fill="auto"/>
            <w:tcMar>
              <w:top w:w="0" w:type="dxa"/>
              <w:left w:w="20" w:type="dxa"/>
              <w:bottom w:w="0" w:type="dxa"/>
              <w:right w:w="20" w:type="dxa"/>
            </w:tcMar>
            <w:vAlign w:val="bottom"/>
          </w:tcPr>
          <w:p w14:paraId="74DDD9E8" w14:textId="77777777" w:rsidR="00584EC1" w:rsidRDefault="00584EC1">
            <w:pPr>
              <w:rPr>
                <w:rFonts w:ascii="宋体"/>
              </w:rPr>
            </w:pPr>
          </w:p>
        </w:tc>
        <w:tc>
          <w:tcPr>
            <w:tcW w:w="0" w:type="auto"/>
            <w:gridSpan w:val="57"/>
            <w:tcBorders>
              <w:bottom w:val="single" w:sz="8" w:space="0" w:color="000000"/>
            </w:tcBorders>
            <w:shd w:val="clear" w:color="auto" w:fill="auto"/>
            <w:tcMar>
              <w:top w:w="40" w:type="dxa"/>
              <w:left w:w="20" w:type="dxa"/>
              <w:bottom w:w="40" w:type="dxa"/>
              <w:right w:w="20" w:type="dxa"/>
            </w:tcMar>
            <w:vAlign w:val="bottom"/>
          </w:tcPr>
          <w:p w14:paraId="74DDD9E9" w14:textId="77777777" w:rsidR="00584EC1" w:rsidRDefault="00871F8D">
            <w:pPr>
              <w:jc w:val="center"/>
              <w:textAlignment w:val="bottom"/>
            </w:pPr>
            <w:r>
              <w:rPr>
                <w:rFonts w:ascii="Arial" w:eastAsia="宋体" w:hAnsi="Arial" w:cs="Arial"/>
                <w:b/>
                <w:bCs/>
                <w:color w:val="000000"/>
                <w:sz w:val="13"/>
                <w:szCs w:val="13"/>
              </w:rPr>
              <w:t>As of September 30, 2021</w:t>
            </w:r>
          </w:p>
        </w:tc>
      </w:tr>
      <w:tr w:rsidR="00584EC1" w14:paraId="74DDD9F5" w14:textId="77777777">
        <w:tc>
          <w:tcPr>
            <w:tcW w:w="0" w:type="auto"/>
            <w:gridSpan w:val="3"/>
            <w:shd w:val="clear" w:color="auto" w:fill="auto"/>
            <w:tcMar>
              <w:top w:w="40" w:type="dxa"/>
              <w:left w:w="20" w:type="dxa"/>
              <w:bottom w:w="40" w:type="dxa"/>
              <w:right w:w="20" w:type="dxa"/>
            </w:tcMar>
            <w:vAlign w:val="bottom"/>
          </w:tcPr>
          <w:p w14:paraId="74DDD9EB" w14:textId="77777777" w:rsidR="00584EC1" w:rsidRDefault="00871F8D">
            <w:pPr>
              <w:textAlignment w:val="bottom"/>
            </w:pPr>
            <w:r>
              <w:rPr>
                <w:rFonts w:ascii="Arial" w:eastAsia="宋体" w:hAnsi="Arial" w:cs="Arial"/>
                <w:b/>
                <w:bCs/>
                <w:color w:val="000000"/>
                <w:sz w:val="13"/>
                <w:szCs w:val="13"/>
              </w:rPr>
              <w:t>(In millions)</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4DDD9EC" w14:textId="77777777" w:rsidR="00584EC1" w:rsidRDefault="00871F8D">
            <w:pPr>
              <w:jc w:val="center"/>
              <w:textAlignment w:val="bottom"/>
            </w:pPr>
            <w:r>
              <w:rPr>
                <w:rFonts w:ascii="Arial" w:eastAsia="宋体" w:hAnsi="Arial" w:cs="Arial"/>
                <w:b/>
                <w:bCs/>
                <w:color w:val="000000"/>
                <w:sz w:val="13"/>
                <w:szCs w:val="13"/>
              </w:rPr>
              <w:t>Under 1 Year</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D9ED" w14:textId="77777777" w:rsidR="00584EC1" w:rsidRDefault="00584E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4DDD9EE" w14:textId="77777777" w:rsidR="00584EC1" w:rsidRDefault="00871F8D">
            <w:pPr>
              <w:jc w:val="center"/>
              <w:textAlignment w:val="bottom"/>
            </w:pPr>
            <w:r>
              <w:rPr>
                <w:rFonts w:ascii="Arial" w:eastAsia="宋体" w:hAnsi="Arial" w:cs="Arial"/>
                <w:b/>
                <w:bCs/>
                <w:color w:val="000000"/>
                <w:sz w:val="13"/>
                <w:szCs w:val="13"/>
              </w:rPr>
              <w:t>1 to 5 Years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D9EF" w14:textId="77777777" w:rsidR="00584EC1" w:rsidRDefault="00584E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4DDD9F0" w14:textId="77777777" w:rsidR="00584EC1" w:rsidRDefault="00871F8D">
            <w:pPr>
              <w:jc w:val="center"/>
              <w:textAlignment w:val="bottom"/>
            </w:pPr>
            <w:r>
              <w:rPr>
                <w:rFonts w:ascii="Arial" w:eastAsia="宋体" w:hAnsi="Arial" w:cs="Arial"/>
                <w:b/>
                <w:bCs/>
                <w:color w:val="000000"/>
                <w:sz w:val="13"/>
                <w:szCs w:val="13"/>
              </w:rPr>
              <w:t>6 to 10 Years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D9F1" w14:textId="77777777" w:rsidR="00584EC1" w:rsidRDefault="00584E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4DDD9F2" w14:textId="77777777" w:rsidR="00584EC1" w:rsidRDefault="00871F8D">
            <w:pPr>
              <w:jc w:val="center"/>
              <w:textAlignment w:val="bottom"/>
            </w:pPr>
            <w:r>
              <w:rPr>
                <w:rFonts w:ascii="Arial" w:eastAsia="宋体" w:hAnsi="Arial" w:cs="Arial"/>
                <w:b/>
                <w:bCs/>
                <w:color w:val="000000"/>
                <w:sz w:val="13"/>
                <w:szCs w:val="13"/>
              </w:rPr>
              <w:t>Over 10 Years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D9F3" w14:textId="77777777" w:rsidR="00584EC1" w:rsidRDefault="00584E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4DDD9F4" w14:textId="77777777" w:rsidR="00584EC1" w:rsidRDefault="00871F8D">
            <w:pPr>
              <w:jc w:val="center"/>
              <w:textAlignment w:val="bottom"/>
            </w:pPr>
            <w:r>
              <w:rPr>
                <w:rFonts w:ascii="Arial" w:eastAsia="宋体" w:hAnsi="Arial" w:cs="Arial"/>
                <w:b/>
                <w:bCs/>
                <w:color w:val="000000"/>
                <w:sz w:val="13"/>
                <w:szCs w:val="13"/>
              </w:rPr>
              <w:t>Total</w:t>
            </w:r>
          </w:p>
        </w:tc>
      </w:tr>
      <w:tr w:rsidR="00584EC1" w14:paraId="74DDDA0A" w14:textId="77777777">
        <w:tc>
          <w:tcPr>
            <w:tcW w:w="0" w:type="auto"/>
            <w:gridSpan w:val="3"/>
            <w:shd w:val="clear" w:color="auto" w:fill="auto"/>
            <w:tcMar>
              <w:top w:w="0" w:type="dxa"/>
              <w:left w:w="20" w:type="dxa"/>
              <w:bottom w:w="0" w:type="dxa"/>
              <w:right w:w="20" w:type="dxa"/>
            </w:tcMar>
            <w:vAlign w:val="bottom"/>
          </w:tcPr>
          <w:p w14:paraId="74DDD9F6"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D9F7" w14:textId="77777777" w:rsidR="00584EC1" w:rsidRDefault="00871F8D">
            <w:pPr>
              <w:jc w:val="center"/>
              <w:textAlignment w:val="bottom"/>
            </w:pPr>
            <w:r>
              <w:rPr>
                <w:rFonts w:ascii="Arial" w:eastAsia="宋体" w:hAnsi="Arial" w:cs="Arial"/>
                <w:b/>
                <w:bCs/>
                <w:color w:val="000000"/>
                <w:sz w:val="13"/>
                <w:szCs w:val="13"/>
              </w:rPr>
              <w:t>Amortized 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D9F8"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D9F9" w14:textId="77777777" w:rsidR="00584EC1" w:rsidRDefault="00871F8D">
            <w:pPr>
              <w:jc w:val="center"/>
              <w:textAlignment w:val="bottom"/>
            </w:pPr>
            <w:r>
              <w:rPr>
                <w:rFonts w:ascii="Arial" w:eastAsia="宋体" w:hAnsi="Arial" w:cs="Arial"/>
                <w:b/>
                <w:bCs/>
                <w:color w:val="000000"/>
                <w:sz w:val="13"/>
                <w:szCs w:val="13"/>
              </w:rPr>
              <w:t>Fair Value</w:t>
            </w:r>
          </w:p>
        </w:tc>
        <w:tc>
          <w:tcPr>
            <w:tcW w:w="0" w:type="auto"/>
            <w:gridSpan w:val="3"/>
            <w:shd w:val="clear" w:color="auto" w:fill="auto"/>
            <w:tcMar>
              <w:top w:w="0" w:type="dxa"/>
              <w:left w:w="20" w:type="dxa"/>
              <w:bottom w:w="0" w:type="dxa"/>
              <w:right w:w="20" w:type="dxa"/>
            </w:tcMar>
            <w:vAlign w:val="bottom"/>
          </w:tcPr>
          <w:p w14:paraId="74DDD9FA"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D9FB" w14:textId="77777777" w:rsidR="00584EC1" w:rsidRDefault="00871F8D">
            <w:pPr>
              <w:jc w:val="center"/>
              <w:textAlignment w:val="bottom"/>
            </w:pPr>
            <w:r>
              <w:rPr>
                <w:rFonts w:ascii="Arial" w:eastAsia="宋体" w:hAnsi="Arial" w:cs="Arial"/>
                <w:b/>
                <w:bCs/>
                <w:color w:val="000000"/>
                <w:sz w:val="13"/>
                <w:szCs w:val="13"/>
              </w:rPr>
              <w:t>Amortized 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D9FC"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D9FD" w14:textId="77777777" w:rsidR="00584EC1" w:rsidRDefault="00871F8D">
            <w:pPr>
              <w:jc w:val="center"/>
              <w:textAlignment w:val="bottom"/>
            </w:pPr>
            <w:r>
              <w:rPr>
                <w:rFonts w:ascii="Arial" w:eastAsia="宋体" w:hAnsi="Arial" w:cs="Arial"/>
                <w:b/>
                <w:bCs/>
                <w:color w:val="000000"/>
                <w:sz w:val="13"/>
                <w:szCs w:val="13"/>
              </w:rPr>
              <w:t>Fair Value</w:t>
            </w:r>
          </w:p>
        </w:tc>
        <w:tc>
          <w:tcPr>
            <w:tcW w:w="0" w:type="auto"/>
            <w:gridSpan w:val="3"/>
            <w:shd w:val="clear" w:color="auto" w:fill="auto"/>
            <w:tcMar>
              <w:top w:w="0" w:type="dxa"/>
              <w:left w:w="20" w:type="dxa"/>
              <w:bottom w:w="0" w:type="dxa"/>
              <w:right w:w="20" w:type="dxa"/>
            </w:tcMar>
            <w:vAlign w:val="bottom"/>
          </w:tcPr>
          <w:p w14:paraId="74DDD9FE"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D9FF" w14:textId="77777777" w:rsidR="00584EC1" w:rsidRDefault="00871F8D">
            <w:pPr>
              <w:jc w:val="center"/>
              <w:textAlignment w:val="bottom"/>
            </w:pPr>
            <w:r>
              <w:rPr>
                <w:rFonts w:ascii="Arial" w:eastAsia="宋体" w:hAnsi="Arial" w:cs="Arial"/>
                <w:b/>
                <w:bCs/>
                <w:color w:val="000000"/>
                <w:sz w:val="13"/>
                <w:szCs w:val="13"/>
              </w:rPr>
              <w:t>Amortized 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DA00"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DA01" w14:textId="77777777" w:rsidR="00584EC1" w:rsidRDefault="00871F8D">
            <w:pPr>
              <w:jc w:val="center"/>
              <w:textAlignment w:val="bottom"/>
            </w:pPr>
            <w:r>
              <w:rPr>
                <w:rFonts w:ascii="Arial" w:eastAsia="宋体" w:hAnsi="Arial" w:cs="Arial"/>
                <w:b/>
                <w:bCs/>
                <w:color w:val="000000"/>
                <w:sz w:val="13"/>
                <w:szCs w:val="13"/>
              </w:rPr>
              <w:t>Fair Value</w:t>
            </w:r>
          </w:p>
        </w:tc>
        <w:tc>
          <w:tcPr>
            <w:tcW w:w="0" w:type="auto"/>
            <w:gridSpan w:val="3"/>
            <w:shd w:val="clear" w:color="auto" w:fill="auto"/>
            <w:tcMar>
              <w:top w:w="0" w:type="dxa"/>
              <w:left w:w="20" w:type="dxa"/>
              <w:bottom w:w="0" w:type="dxa"/>
              <w:right w:w="20" w:type="dxa"/>
            </w:tcMar>
            <w:vAlign w:val="bottom"/>
          </w:tcPr>
          <w:p w14:paraId="74DDDA02"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DA03" w14:textId="77777777" w:rsidR="00584EC1" w:rsidRDefault="00871F8D">
            <w:pPr>
              <w:jc w:val="center"/>
              <w:textAlignment w:val="bottom"/>
            </w:pPr>
            <w:r>
              <w:rPr>
                <w:rFonts w:ascii="Arial" w:eastAsia="宋体" w:hAnsi="Arial" w:cs="Arial"/>
                <w:b/>
                <w:bCs/>
                <w:color w:val="000000"/>
                <w:sz w:val="13"/>
                <w:szCs w:val="13"/>
              </w:rPr>
              <w:t>Amortized 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DA04"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DA05" w14:textId="77777777" w:rsidR="00584EC1" w:rsidRDefault="00871F8D">
            <w:pPr>
              <w:jc w:val="center"/>
              <w:textAlignment w:val="bottom"/>
            </w:pPr>
            <w:r>
              <w:rPr>
                <w:rFonts w:ascii="Arial" w:eastAsia="宋体" w:hAnsi="Arial" w:cs="Arial"/>
                <w:b/>
                <w:bCs/>
                <w:color w:val="000000"/>
                <w:sz w:val="13"/>
                <w:szCs w:val="13"/>
              </w:rPr>
              <w:t>Fair Value</w:t>
            </w:r>
          </w:p>
        </w:tc>
        <w:tc>
          <w:tcPr>
            <w:tcW w:w="0" w:type="auto"/>
            <w:gridSpan w:val="3"/>
            <w:shd w:val="clear" w:color="auto" w:fill="auto"/>
            <w:tcMar>
              <w:top w:w="0" w:type="dxa"/>
              <w:left w:w="20" w:type="dxa"/>
              <w:bottom w:w="0" w:type="dxa"/>
              <w:right w:w="20" w:type="dxa"/>
            </w:tcMar>
            <w:vAlign w:val="bottom"/>
          </w:tcPr>
          <w:p w14:paraId="74DDDA06"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DA07" w14:textId="77777777" w:rsidR="00584EC1" w:rsidRDefault="00871F8D">
            <w:pPr>
              <w:jc w:val="center"/>
              <w:textAlignment w:val="bottom"/>
            </w:pPr>
            <w:r>
              <w:rPr>
                <w:rFonts w:ascii="Arial" w:eastAsia="宋体" w:hAnsi="Arial" w:cs="Arial"/>
                <w:b/>
                <w:bCs/>
                <w:color w:val="000000"/>
                <w:sz w:val="13"/>
                <w:szCs w:val="13"/>
              </w:rPr>
              <w:t>Amortized 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DA08"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DA09" w14:textId="77777777" w:rsidR="00584EC1" w:rsidRDefault="00871F8D">
            <w:pPr>
              <w:jc w:val="center"/>
              <w:textAlignment w:val="bottom"/>
            </w:pPr>
            <w:r>
              <w:rPr>
                <w:rFonts w:ascii="Arial" w:eastAsia="宋体" w:hAnsi="Arial" w:cs="Arial"/>
                <w:b/>
                <w:bCs/>
                <w:color w:val="000000"/>
                <w:sz w:val="13"/>
                <w:szCs w:val="13"/>
              </w:rPr>
              <w:t>Fair Value</w:t>
            </w:r>
          </w:p>
        </w:tc>
      </w:tr>
      <w:tr w:rsidR="00584EC1" w14:paraId="74DDDA1F" w14:textId="77777777">
        <w:tc>
          <w:tcPr>
            <w:tcW w:w="0" w:type="auto"/>
            <w:gridSpan w:val="3"/>
            <w:shd w:val="clear" w:color="auto" w:fill="auto"/>
            <w:tcMar>
              <w:top w:w="40" w:type="dxa"/>
              <w:left w:w="20" w:type="dxa"/>
              <w:bottom w:w="40" w:type="dxa"/>
              <w:right w:w="20" w:type="dxa"/>
            </w:tcMar>
            <w:vAlign w:val="bottom"/>
          </w:tcPr>
          <w:p w14:paraId="74DDDA0B" w14:textId="77777777" w:rsidR="00584EC1" w:rsidRDefault="00871F8D">
            <w:pPr>
              <w:textAlignment w:val="bottom"/>
            </w:pPr>
            <w:r>
              <w:rPr>
                <w:rFonts w:ascii="Arial" w:eastAsia="宋体" w:hAnsi="Arial" w:cs="Arial"/>
                <w:b/>
                <w:bCs/>
                <w:color w:val="000000"/>
                <w:sz w:val="13"/>
                <w:szCs w:val="13"/>
              </w:rPr>
              <w:t>Available-for-sale: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DA0C"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DA0D"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DA0E"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DA0F"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DA10"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DA11"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DA1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DA13"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DA14"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DA15"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DA16"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DA17"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DA18"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DA19"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DA1A"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DA1B"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DA1C"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DA1D"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DA1E" w14:textId="77777777" w:rsidR="00584EC1" w:rsidRDefault="00584EC1">
            <w:pPr>
              <w:rPr>
                <w:rFonts w:ascii="宋体"/>
              </w:rPr>
            </w:pPr>
          </w:p>
        </w:tc>
      </w:tr>
      <w:tr w:rsidR="00584EC1" w14:paraId="74DDDA34" w14:textId="77777777">
        <w:tc>
          <w:tcPr>
            <w:tcW w:w="0" w:type="auto"/>
            <w:gridSpan w:val="3"/>
            <w:shd w:val="clear" w:color="auto" w:fill="auto"/>
            <w:tcMar>
              <w:top w:w="40" w:type="dxa"/>
              <w:left w:w="20" w:type="dxa"/>
              <w:bottom w:w="40" w:type="dxa"/>
              <w:right w:w="20" w:type="dxa"/>
            </w:tcMar>
            <w:vAlign w:val="bottom"/>
          </w:tcPr>
          <w:p w14:paraId="74DDDA20" w14:textId="77777777" w:rsidR="00584EC1" w:rsidRDefault="00871F8D">
            <w:pPr>
              <w:textAlignment w:val="bottom"/>
            </w:pPr>
            <w:r>
              <w:rPr>
                <w:rFonts w:ascii="Arial" w:eastAsia="宋体" w:hAnsi="Arial" w:cs="Arial"/>
                <w:color w:val="000000"/>
                <w:sz w:val="13"/>
                <w:szCs w:val="13"/>
              </w:rPr>
              <w:t>U.S. Treasury and federal agencies:</w:t>
            </w:r>
          </w:p>
        </w:tc>
        <w:tc>
          <w:tcPr>
            <w:tcW w:w="0" w:type="auto"/>
            <w:gridSpan w:val="3"/>
            <w:shd w:val="clear" w:color="auto" w:fill="auto"/>
            <w:tcMar>
              <w:top w:w="0" w:type="dxa"/>
              <w:left w:w="20" w:type="dxa"/>
              <w:bottom w:w="0" w:type="dxa"/>
              <w:right w:w="20" w:type="dxa"/>
            </w:tcMar>
            <w:vAlign w:val="bottom"/>
          </w:tcPr>
          <w:p w14:paraId="74DDDA2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DA2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DA23"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DA24"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DA2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DA26"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DA27"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DA28"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DA29"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DA2A"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DA2B"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DA2C"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DA2D"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DA2E"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DA2F"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DA30"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DA3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DA3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DA33" w14:textId="77777777" w:rsidR="00584EC1" w:rsidRDefault="00584EC1">
            <w:pPr>
              <w:rPr>
                <w:rFonts w:ascii="宋体"/>
              </w:rPr>
            </w:pPr>
          </w:p>
        </w:tc>
      </w:tr>
      <w:tr w:rsidR="00871F8D" w14:paraId="74DDDA5D" w14:textId="77777777">
        <w:tc>
          <w:tcPr>
            <w:tcW w:w="0" w:type="auto"/>
            <w:gridSpan w:val="3"/>
            <w:shd w:val="clear" w:color="auto" w:fill="CCEEFF"/>
            <w:tcMar>
              <w:top w:w="40" w:type="dxa"/>
              <w:left w:w="245" w:type="dxa"/>
              <w:bottom w:w="40" w:type="dxa"/>
              <w:right w:w="20" w:type="dxa"/>
            </w:tcMar>
            <w:vAlign w:val="bottom"/>
          </w:tcPr>
          <w:p w14:paraId="74DDDA35" w14:textId="77777777" w:rsidR="00584EC1" w:rsidRDefault="00871F8D">
            <w:pPr>
              <w:textAlignment w:val="bottom"/>
            </w:pPr>
            <w:r>
              <w:rPr>
                <w:rFonts w:ascii="Arial" w:eastAsia="宋体" w:hAnsi="Arial" w:cs="Arial"/>
                <w:color w:val="000000"/>
                <w:sz w:val="13"/>
                <w:szCs w:val="13"/>
              </w:rPr>
              <w:t>Direct obligations</w:t>
            </w:r>
          </w:p>
        </w:tc>
        <w:tc>
          <w:tcPr>
            <w:tcW w:w="0" w:type="auto"/>
            <w:shd w:val="clear" w:color="auto" w:fill="CCEEFF"/>
            <w:tcMar>
              <w:top w:w="40" w:type="dxa"/>
              <w:left w:w="20" w:type="dxa"/>
              <w:bottom w:w="40" w:type="dxa"/>
              <w:right w:w="0" w:type="dxa"/>
            </w:tcMar>
            <w:vAlign w:val="bottom"/>
          </w:tcPr>
          <w:p w14:paraId="74DDDA36" w14:textId="77777777" w:rsidR="00584EC1" w:rsidRDefault="00871F8D">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4DDDA37" w14:textId="77777777" w:rsidR="00584EC1" w:rsidRDefault="00871F8D">
            <w:pPr>
              <w:jc w:val="right"/>
              <w:textAlignment w:val="bottom"/>
            </w:pPr>
            <w:r>
              <w:rPr>
                <w:rFonts w:ascii="Arial" w:eastAsia="宋体" w:hAnsi="Arial" w:cs="Arial"/>
                <w:b/>
                <w:bCs/>
                <w:color w:val="000000"/>
                <w:sz w:val="13"/>
                <w:szCs w:val="13"/>
              </w:rPr>
              <w:t>2,112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A3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A39"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DA3A" w14:textId="77777777" w:rsidR="00584EC1" w:rsidRDefault="00871F8D">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4DDDA3B" w14:textId="77777777" w:rsidR="00584EC1" w:rsidRDefault="00871F8D">
            <w:pPr>
              <w:jc w:val="right"/>
              <w:textAlignment w:val="bottom"/>
            </w:pPr>
            <w:r>
              <w:rPr>
                <w:rFonts w:ascii="Arial" w:eastAsia="宋体" w:hAnsi="Arial" w:cs="Arial"/>
                <w:b/>
                <w:bCs/>
                <w:color w:val="000000"/>
                <w:sz w:val="13"/>
                <w:szCs w:val="13"/>
              </w:rPr>
              <w:t>2,114</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A3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A3D"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DA3E" w14:textId="77777777" w:rsidR="00584EC1" w:rsidRDefault="00871F8D">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4DDDA3F" w14:textId="77777777" w:rsidR="00584EC1" w:rsidRDefault="00871F8D">
            <w:pPr>
              <w:jc w:val="right"/>
              <w:textAlignment w:val="bottom"/>
            </w:pPr>
            <w:r>
              <w:rPr>
                <w:rFonts w:ascii="Arial" w:eastAsia="宋体" w:hAnsi="Arial" w:cs="Arial"/>
                <w:b/>
                <w:bCs/>
                <w:color w:val="000000"/>
                <w:sz w:val="13"/>
                <w:szCs w:val="13"/>
              </w:rPr>
              <w:t>11,214</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A4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A41"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DA42" w14:textId="77777777" w:rsidR="00584EC1" w:rsidRDefault="00871F8D">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4DDDA43" w14:textId="77777777" w:rsidR="00584EC1" w:rsidRDefault="00871F8D">
            <w:pPr>
              <w:jc w:val="right"/>
              <w:textAlignment w:val="bottom"/>
            </w:pPr>
            <w:r>
              <w:rPr>
                <w:rFonts w:ascii="Arial" w:eastAsia="宋体" w:hAnsi="Arial" w:cs="Arial"/>
                <w:b/>
                <w:bCs/>
                <w:color w:val="000000"/>
                <w:sz w:val="13"/>
                <w:szCs w:val="13"/>
              </w:rPr>
              <w:t>11,169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A4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A45"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DA46" w14:textId="77777777" w:rsidR="00584EC1" w:rsidRDefault="00871F8D">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4DDDA47" w14:textId="77777777" w:rsidR="00584EC1" w:rsidRDefault="00871F8D">
            <w:pPr>
              <w:jc w:val="right"/>
              <w:textAlignment w:val="bottom"/>
            </w:pPr>
            <w:r>
              <w:rPr>
                <w:rFonts w:ascii="Arial" w:eastAsia="宋体" w:hAnsi="Arial" w:cs="Arial"/>
                <w:b/>
                <w:bCs/>
                <w:color w:val="000000"/>
                <w:sz w:val="13"/>
                <w:szCs w:val="13"/>
              </w:rPr>
              <w:t>1,046</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A4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A49"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DA4A" w14:textId="77777777" w:rsidR="00584EC1" w:rsidRDefault="00871F8D">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4DDDA4B" w14:textId="77777777" w:rsidR="00584EC1" w:rsidRDefault="00871F8D">
            <w:pPr>
              <w:jc w:val="right"/>
              <w:textAlignment w:val="bottom"/>
            </w:pPr>
            <w:r>
              <w:rPr>
                <w:rFonts w:ascii="Arial" w:eastAsia="宋体" w:hAnsi="Arial" w:cs="Arial"/>
                <w:b/>
                <w:bCs/>
                <w:color w:val="000000"/>
                <w:sz w:val="13"/>
                <w:szCs w:val="13"/>
              </w:rPr>
              <w:t>1,056</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A4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A4D"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DA4E" w14:textId="77777777" w:rsidR="00584EC1" w:rsidRDefault="00871F8D">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4DDDA4F" w14:textId="77777777" w:rsidR="00584EC1" w:rsidRDefault="00871F8D">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A5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A51"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DA52" w14:textId="77777777" w:rsidR="00584EC1" w:rsidRDefault="00871F8D">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4DDDA53" w14:textId="77777777" w:rsidR="00584EC1" w:rsidRDefault="00871F8D">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A5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A55"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DA56" w14:textId="77777777" w:rsidR="00584EC1" w:rsidRDefault="00871F8D">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4DDDA57" w14:textId="77777777" w:rsidR="00584EC1" w:rsidRDefault="00871F8D">
            <w:pPr>
              <w:jc w:val="right"/>
              <w:textAlignment w:val="bottom"/>
            </w:pPr>
            <w:r>
              <w:rPr>
                <w:rFonts w:ascii="Arial" w:eastAsia="宋体" w:hAnsi="Arial" w:cs="Arial"/>
                <w:b/>
                <w:bCs/>
                <w:color w:val="000000"/>
                <w:sz w:val="13"/>
                <w:szCs w:val="13"/>
              </w:rPr>
              <w:t>14,372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A5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A59"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DA5A" w14:textId="77777777" w:rsidR="00584EC1" w:rsidRDefault="00871F8D">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4DDDA5B" w14:textId="77777777" w:rsidR="00584EC1" w:rsidRDefault="00871F8D">
            <w:pPr>
              <w:jc w:val="right"/>
              <w:textAlignment w:val="bottom"/>
            </w:pPr>
            <w:r>
              <w:rPr>
                <w:rFonts w:ascii="Arial" w:eastAsia="宋体" w:hAnsi="Arial" w:cs="Arial"/>
                <w:b/>
                <w:bCs/>
                <w:color w:val="000000"/>
                <w:sz w:val="13"/>
                <w:szCs w:val="13"/>
              </w:rPr>
              <w:t>14,339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A5C" w14:textId="77777777" w:rsidR="00584EC1" w:rsidRDefault="00584EC1">
            <w:pPr>
              <w:jc w:val="right"/>
              <w:rPr>
                <w:rFonts w:ascii="宋体"/>
              </w:rPr>
            </w:pPr>
          </w:p>
        </w:tc>
      </w:tr>
      <w:tr w:rsidR="00584EC1" w14:paraId="74DDDA7C" w14:textId="77777777">
        <w:tc>
          <w:tcPr>
            <w:tcW w:w="0" w:type="auto"/>
            <w:gridSpan w:val="3"/>
            <w:shd w:val="clear" w:color="auto" w:fill="FFFFFF"/>
            <w:tcMar>
              <w:top w:w="40" w:type="dxa"/>
              <w:left w:w="245" w:type="dxa"/>
              <w:bottom w:w="40" w:type="dxa"/>
              <w:right w:w="20" w:type="dxa"/>
            </w:tcMar>
            <w:vAlign w:val="bottom"/>
          </w:tcPr>
          <w:p w14:paraId="74DDDA5E" w14:textId="77777777" w:rsidR="00584EC1" w:rsidRDefault="00871F8D">
            <w:pPr>
              <w:textAlignment w:val="bottom"/>
            </w:pPr>
            <w:r>
              <w:rPr>
                <w:rFonts w:ascii="Arial" w:eastAsia="宋体" w:hAnsi="Arial" w:cs="Arial"/>
                <w:color w:val="000000"/>
                <w:sz w:val="13"/>
                <w:szCs w:val="13"/>
              </w:rPr>
              <w:t>Mortgage-backed securities</w:t>
            </w:r>
          </w:p>
        </w:tc>
        <w:tc>
          <w:tcPr>
            <w:tcW w:w="0" w:type="auto"/>
            <w:gridSpan w:val="2"/>
            <w:shd w:val="clear" w:color="auto" w:fill="FFFFFF"/>
            <w:tcMar>
              <w:top w:w="40" w:type="dxa"/>
              <w:left w:w="20" w:type="dxa"/>
              <w:bottom w:w="40" w:type="dxa"/>
              <w:right w:w="0" w:type="dxa"/>
            </w:tcMar>
            <w:vAlign w:val="bottom"/>
          </w:tcPr>
          <w:p w14:paraId="74DDDA5F" w14:textId="77777777" w:rsidR="00584EC1" w:rsidRDefault="00871F8D">
            <w:pPr>
              <w:jc w:val="right"/>
              <w:textAlignment w:val="bottom"/>
            </w:pPr>
            <w:r>
              <w:rPr>
                <w:rFonts w:ascii="Arial" w:eastAsia="宋体" w:hAnsi="Arial" w:cs="Arial"/>
                <w:b/>
                <w:bCs/>
                <w:color w:val="000000"/>
                <w:sz w:val="13"/>
                <w:szCs w:val="13"/>
              </w:rPr>
              <w:t>83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A6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A6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A62" w14:textId="77777777" w:rsidR="00584EC1" w:rsidRDefault="00871F8D">
            <w:pPr>
              <w:jc w:val="right"/>
              <w:textAlignment w:val="bottom"/>
            </w:pPr>
            <w:r>
              <w:rPr>
                <w:rFonts w:ascii="Arial" w:eastAsia="宋体" w:hAnsi="Arial" w:cs="Arial"/>
                <w:b/>
                <w:bCs/>
                <w:color w:val="000000"/>
                <w:sz w:val="13"/>
                <w:szCs w:val="13"/>
              </w:rPr>
              <w:t>87</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A6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A6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A65" w14:textId="77777777" w:rsidR="00584EC1" w:rsidRDefault="00871F8D">
            <w:pPr>
              <w:jc w:val="right"/>
              <w:textAlignment w:val="bottom"/>
            </w:pPr>
            <w:r>
              <w:rPr>
                <w:rFonts w:ascii="Arial" w:eastAsia="宋体" w:hAnsi="Arial" w:cs="Arial"/>
                <w:b/>
                <w:bCs/>
                <w:color w:val="000000"/>
                <w:sz w:val="13"/>
                <w:szCs w:val="13"/>
              </w:rPr>
              <w:t>845</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A6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A6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A68" w14:textId="77777777" w:rsidR="00584EC1" w:rsidRDefault="00871F8D">
            <w:pPr>
              <w:jc w:val="right"/>
              <w:textAlignment w:val="bottom"/>
            </w:pPr>
            <w:r>
              <w:rPr>
                <w:rFonts w:ascii="Arial" w:eastAsia="宋体" w:hAnsi="Arial" w:cs="Arial"/>
                <w:b/>
                <w:bCs/>
                <w:color w:val="000000"/>
                <w:sz w:val="13"/>
                <w:szCs w:val="13"/>
              </w:rPr>
              <w:t>855</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A6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A6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A6B" w14:textId="77777777" w:rsidR="00584EC1" w:rsidRDefault="00871F8D">
            <w:pPr>
              <w:jc w:val="right"/>
              <w:textAlignment w:val="bottom"/>
            </w:pPr>
            <w:r>
              <w:rPr>
                <w:rFonts w:ascii="Arial" w:eastAsia="宋体" w:hAnsi="Arial" w:cs="Arial"/>
                <w:b/>
                <w:bCs/>
                <w:color w:val="000000"/>
                <w:sz w:val="13"/>
                <w:szCs w:val="13"/>
              </w:rPr>
              <w:t>6,227</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A6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A6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A6E" w14:textId="77777777" w:rsidR="00584EC1" w:rsidRDefault="00871F8D">
            <w:pPr>
              <w:jc w:val="right"/>
              <w:textAlignment w:val="bottom"/>
            </w:pPr>
            <w:r>
              <w:rPr>
                <w:rFonts w:ascii="Arial" w:eastAsia="宋体" w:hAnsi="Arial" w:cs="Arial"/>
                <w:b/>
                <w:bCs/>
                <w:color w:val="000000"/>
                <w:sz w:val="13"/>
                <w:szCs w:val="13"/>
              </w:rPr>
              <w:t>6,248</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A6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A7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A71" w14:textId="77777777" w:rsidR="00584EC1" w:rsidRDefault="00871F8D">
            <w:pPr>
              <w:jc w:val="right"/>
              <w:textAlignment w:val="bottom"/>
            </w:pPr>
            <w:r>
              <w:rPr>
                <w:rFonts w:ascii="Arial" w:eastAsia="宋体" w:hAnsi="Arial" w:cs="Arial"/>
                <w:b/>
                <w:bCs/>
                <w:color w:val="000000"/>
                <w:sz w:val="13"/>
                <w:szCs w:val="13"/>
              </w:rPr>
              <w:t>8,896</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A7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A7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A74" w14:textId="77777777" w:rsidR="00584EC1" w:rsidRDefault="00871F8D">
            <w:pPr>
              <w:jc w:val="right"/>
              <w:textAlignment w:val="bottom"/>
            </w:pPr>
            <w:r>
              <w:rPr>
                <w:rFonts w:ascii="Arial" w:eastAsia="宋体" w:hAnsi="Arial" w:cs="Arial"/>
                <w:b/>
                <w:bCs/>
                <w:color w:val="000000"/>
                <w:sz w:val="13"/>
                <w:szCs w:val="13"/>
              </w:rPr>
              <w:t>9,033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A7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A7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A77" w14:textId="77777777" w:rsidR="00584EC1" w:rsidRDefault="00871F8D">
            <w:pPr>
              <w:jc w:val="right"/>
              <w:textAlignment w:val="bottom"/>
            </w:pPr>
            <w:r>
              <w:rPr>
                <w:rFonts w:ascii="Arial" w:eastAsia="宋体" w:hAnsi="Arial" w:cs="Arial"/>
                <w:b/>
                <w:bCs/>
                <w:color w:val="000000"/>
                <w:sz w:val="13"/>
                <w:szCs w:val="13"/>
              </w:rPr>
              <w:t>16,051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A7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A7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A7A" w14:textId="77777777" w:rsidR="00584EC1" w:rsidRDefault="00871F8D">
            <w:pPr>
              <w:jc w:val="right"/>
              <w:textAlignment w:val="bottom"/>
            </w:pPr>
            <w:r>
              <w:rPr>
                <w:rFonts w:ascii="Arial" w:eastAsia="宋体" w:hAnsi="Arial" w:cs="Arial"/>
                <w:b/>
                <w:bCs/>
                <w:color w:val="000000"/>
                <w:sz w:val="13"/>
                <w:szCs w:val="13"/>
              </w:rPr>
              <w:t>16,223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A7B" w14:textId="77777777" w:rsidR="00584EC1" w:rsidRDefault="00584EC1">
            <w:pPr>
              <w:jc w:val="right"/>
              <w:rPr>
                <w:rFonts w:ascii="宋体"/>
              </w:rPr>
            </w:pPr>
          </w:p>
        </w:tc>
      </w:tr>
      <w:tr w:rsidR="00584EC1" w14:paraId="74DDDA9B" w14:textId="77777777">
        <w:tc>
          <w:tcPr>
            <w:tcW w:w="0" w:type="auto"/>
            <w:gridSpan w:val="3"/>
            <w:shd w:val="clear" w:color="auto" w:fill="CCEEFF"/>
            <w:tcMar>
              <w:top w:w="40" w:type="dxa"/>
              <w:left w:w="395" w:type="dxa"/>
              <w:bottom w:w="40" w:type="dxa"/>
              <w:right w:w="20" w:type="dxa"/>
            </w:tcMar>
            <w:vAlign w:val="bottom"/>
          </w:tcPr>
          <w:p w14:paraId="74DDDA7D" w14:textId="77777777" w:rsidR="00584EC1" w:rsidRDefault="00871F8D">
            <w:pPr>
              <w:textAlignment w:val="bottom"/>
            </w:pPr>
            <w:r>
              <w:rPr>
                <w:rFonts w:ascii="Arial" w:eastAsia="宋体" w:hAnsi="Arial" w:cs="Arial"/>
                <w:color w:val="000000"/>
                <w:sz w:val="13"/>
                <w:szCs w:val="13"/>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A7E" w14:textId="77777777" w:rsidR="00584EC1" w:rsidRDefault="00871F8D">
            <w:pPr>
              <w:jc w:val="right"/>
              <w:textAlignment w:val="bottom"/>
            </w:pPr>
            <w:r>
              <w:rPr>
                <w:rFonts w:ascii="Arial" w:eastAsia="宋体" w:hAnsi="Arial" w:cs="Arial"/>
                <w:b/>
                <w:bCs/>
                <w:color w:val="000000"/>
                <w:sz w:val="13"/>
                <w:szCs w:val="13"/>
              </w:rPr>
              <w:t>2,195</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A7F" w14:textId="77777777" w:rsidR="00584EC1" w:rsidRDefault="00584EC1">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4DDDA80"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A81" w14:textId="77777777" w:rsidR="00584EC1" w:rsidRDefault="00871F8D">
            <w:pPr>
              <w:jc w:val="right"/>
              <w:textAlignment w:val="bottom"/>
            </w:pPr>
            <w:r>
              <w:rPr>
                <w:rFonts w:ascii="Arial" w:eastAsia="宋体" w:hAnsi="Arial" w:cs="Arial"/>
                <w:b/>
                <w:bCs/>
                <w:color w:val="000000"/>
                <w:sz w:val="13"/>
                <w:szCs w:val="13"/>
              </w:rPr>
              <w:t>2,201</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A8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A83"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A84" w14:textId="77777777" w:rsidR="00584EC1" w:rsidRDefault="00871F8D">
            <w:pPr>
              <w:jc w:val="right"/>
              <w:textAlignment w:val="bottom"/>
            </w:pPr>
            <w:r>
              <w:rPr>
                <w:rFonts w:ascii="Arial" w:eastAsia="宋体" w:hAnsi="Arial" w:cs="Arial"/>
                <w:b/>
                <w:bCs/>
                <w:color w:val="000000"/>
                <w:sz w:val="13"/>
                <w:szCs w:val="13"/>
              </w:rPr>
              <w:t>12,059</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A8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A86"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A87" w14:textId="77777777" w:rsidR="00584EC1" w:rsidRDefault="00871F8D">
            <w:pPr>
              <w:jc w:val="right"/>
              <w:textAlignment w:val="bottom"/>
            </w:pPr>
            <w:r>
              <w:rPr>
                <w:rFonts w:ascii="Arial" w:eastAsia="宋体" w:hAnsi="Arial" w:cs="Arial"/>
                <w:b/>
                <w:bCs/>
                <w:color w:val="000000"/>
                <w:sz w:val="13"/>
                <w:szCs w:val="13"/>
              </w:rPr>
              <w:t>12,024</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A8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A89"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A8A" w14:textId="77777777" w:rsidR="00584EC1" w:rsidRDefault="00871F8D">
            <w:pPr>
              <w:jc w:val="right"/>
              <w:textAlignment w:val="bottom"/>
            </w:pPr>
            <w:r>
              <w:rPr>
                <w:rFonts w:ascii="Arial" w:eastAsia="宋体" w:hAnsi="Arial" w:cs="Arial"/>
                <w:b/>
                <w:bCs/>
                <w:color w:val="000000"/>
                <w:sz w:val="13"/>
                <w:szCs w:val="13"/>
              </w:rPr>
              <w:t>7,273</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A8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A8C"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A8D" w14:textId="77777777" w:rsidR="00584EC1" w:rsidRDefault="00871F8D">
            <w:pPr>
              <w:jc w:val="right"/>
              <w:textAlignment w:val="bottom"/>
            </w:pPr>
            <w:r>
              <w:rPr>
                <w:rFonts w:ascii="Arial" w:eastAsia="宋体" w:hAnsi="Arial" w:cs="Arial"/>
                <w:b/>
                <w:bCs/>
                <w:color w:val="000000"/>
                <w:sz w:val="13"/>
                <w:szCs w:val="13"/>
              </w:rPr>
              <w:t>7,304</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A8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A8F"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A90" w14:textId="77777777" w:rsidR="00584EC1" w:rsidRDefault="00871F8D">
            <w:pPr>
              <w:jc w:val="right"/>
              <w:textAlignment w:val="bottom"/>
            </w:pPr>
            <w:r>
              <w:rPr>
                <w:rFonts w:ascii="Arial" w:eastAsia="宋体" w:hAnsi="Arial" w:cs="Arial"/>
                <w:b/>
                <w:bCs/>
                <w:color w:val="000000"/>
                <w:sz w:val="13"/>
                <w:szCs w:val="13"/>
              </w:rPr>
              <w:t>8,896</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A9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A92"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A93" w14:textId="77777777" w:rsidR="00584EC1" w:rsidRDefault="00871F8D">
            <w:pPr>
              <w:jc w:val="right"/>
              <w:textAlignment w:val="bottom"/>
            </w:pPr>
            <w:r>
              <w:rPr>
                <w:rFonts w:ascii="Arial" w:eastAsia="宋体" w:hAnsi="Arial" w:cs="Arial"/>
                <w:b/>
                <w:bCs/>
                <w:color w:val="000000"/>
                <w:sz w:val="13"/>
                <w:szCs w:val="13"/>
              </w:rPr>
              <w:t>9,033</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A9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A95"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A96" w14:textId="77777777" w:rsidR="00584EC1" w:rsidRDefault="00871F8D">
            <w:pPr>
              <w:jc w:val="right"/>
              <w:textAlignment w:val="bottom"/>
            </w:pPr>
            <w:r>
              <w:rPr>
                <w:rFonts w:ascii="Arial" w:eastAsia="宋体" w:hAnsi="Arial" w:cs="Arial"/>
                <w:b/>
                <w:bCs/>
                <w:color w:val="000000"/>
                <w:sz w:val="13"/>
                <w:szCs w:val="13"/>
              </w:rPr>
              <w:t>30,423</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A9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A98"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A99" w14:textId="77777777" w:rsidR="00584EC1" w:rsidRDefault="00871F8D">
            <w:pPr>
              <w:jc w:val="right"/>
              <w:textAlignment w:val="bottom"/>
            </w:pPr>
            <w:r>
              <w:rPr>
                <w:rFonts w:ascii="Arial" w:eastAsia="宋体" w:hAnsi="Arial" w:cs="Arial"/>
                <w:b/>
                <w:bCs/>
                <w:color w:val="000000"/>
                <w:sz w:val="13"/>
                <w:szCs w:val="13"/>
              </w:rPr>
              <w:t>30,562</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A9A" w14:textId="77777777" w:rsidR="00584EC1" w:rsidRDefault="00584EC1">
            <w:pPr>
              <w:jc w:val="right"/>
              <w:rPr>
                <w:rFonts w:ascii="宋体"/>
              </w:rPr>
            </w:pPr>
          </w:p>
        </w:tc>
      </w:tr>
      <w:tr w:rsidR="00584EC1" w14:paraId="74DDDAB0" w14:textId="77777777">
        <w:tc>
          <w:tcPr>
            <w:tcW w:w="0" w:type="auto"/>
            <w:gridSpan w:val="3"/>
            <w:shd w:val="clear" w:color="auto" w:fill="FFFFFF"/>
            <w:tcMar>
              <w:top w:w="40" w:type="dxa"/>
              <w:left w:w="20" w:type="dxa"/>
              <w:bottom w:w="40" w:type="dxa"/>
              <w:right w:w="20" w:type="dxa"/>
            </w:tcMar>
            <w:vAlign w:val="bottom"/>
          </w:tcPr>
          <w:p w14:paraId="74DDDA9C" w14:textId="77777777" w:rsidR="00584EC1" w:rsidRDefault="00871F8D">
            <w:pPr>
              <w:textAlignment w:val="bottom"/>
            </w:pPr>
            <w:r>
              <w:rPr>
                <w:rFonts w:ascii="Arial" w:eastAsia="宋体" w:hAnsi="Arial" w:cs="Arial"/>
                <w:color w:val="000000"/>
                <w:sz w:val="13"/>
                <w:szCs w:val="13"/>
              </w:rPr>
              <w:t>Non-U.S. debt securities:</w:t>
            </w:r>
          </w:p>
        </w:tc>
        <w:tc>
          <w:tcPr>
            <w:tcW w:w="0" w:type="auto"/>
            <w:gridSpan w:val="3"/>
            <w:shd w:val="clear" w:color="auto" w:fill="FFFFFF"/>
            <w:tcMar>
              <w:top w:w="0" w:type="dxa"/>
              <w:left w:w="20" w:type="dxa"/>
              <w:bottom w:w="0" w:type="dxa"/>
              <w:right w:w="20" w:type="dxa"/>
            </w:tcMar>
            <w:vAlign w:val="bottom"/>
          </w:tcPr>
          <w:p w14:paraId="74DDDA9D"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A9E"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A9F"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AA0"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AA1"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AA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AA3"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AA4"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AA5"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AA6"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AA7"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AA8"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AA9"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AAA"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AAB"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AAC"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AAD"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AAE"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AAF" w14:textId="77777777" w:rsidR="00584EC1" w:rsidRDefault="00584EC1">
            <w:pPr>
              <w:rPr>
                <w:rFonts w:ascii="宋体"/>
              </w:rPr>
            </w:pPr>
          </w:p>
        </w:tc>
      </w:tr>
      <w:tr w:rsidR="00584EC1" w14:paraId="74DDDACF" w14:textId="77777777">
        <w:tc>
          <w:tcPr>
            <w:tcW w:w="0" w:type="auto"/>
            <w:gridSpan w:val="3"/>
            <w:shd w:val="clear" w:color="auto" w:fill="CCEEFF"/>
            <w:tcMar>
              <w:top w:w="40" w:type="dxa"/>
              <w:left w:w="245" w:type="dxa"/>
              <w:bottom w:w="40" w:type="dxa"/>
              <w:right w:w="20" w:type="dxa"/>
            </w:tcMar>
            <w:vAlign w:val="bottom"/>
          </w:tcPr>
          <w:p w14:paraId="74DDDAB1" w14:textId="77777777" w:rsidR="00584EC1" w:rsidRDefault="00871F8D">
            <w:pPr>
              <w:textAlignment w:val="bottom"/>
            </w:pPr>
            <w:r>
              <w:rPr>
                <w:rFonts w:ascii="Arial" w:eastAsia="宋体" w:hAnsi="Arial" w:cs="Arial"/>
                <w:color w:val="000000"/>
                <w:sz w:val="13"/>
                <w:szCs w:val="13"/>
              </w:rPr>
              <w:t>Mortgage-backed securities</w:t>
            </w:r>
          </w:p>
        </w:tc>
        <w:tc>
          <w:tcPr>
            <w:tcW w:w="0" w:type="auto"/>
            <w:gridSpan w:val="2"/>
            <w:shd w:val="clear" w:color="auto" w:fill="CCEEFF"/>
            <w:tcMar>
              <w:top w:w="40" w:type="dxa"/>
              <w:left w:w="20" w:type="dxa"/>
              <w:bottom w:w="40" w:type="dxa"/>
              <w:right w:w="0" w:type="dxa"/>
            </w:tcMar>
            <w:vAlign w:val="bottom"/>
          </w:tcPr>
          <w:p w14:paraId="74DDDAB2" w14:textId="77777777" w:rsidR="00584EC1" w:rsidRDefault="00871F8D">
            <w:pPr>
              <w:jc w:val="right"/>
              <w:textAlignment w:val="bottom"/>
            </w:pPr>
            <w:r>
              <w:rPr>
                <w:rFonts w:ascii="Arial" w:eastAsia="宋体" w:hAnsi="Arial" w:cs="Arial"/>
                <w:b/>
                <w:bCs/>
                <w:color w:val="000000"/>
                <w:sz w:val="13"/>
                <w:szCs w:val="13"/>
              </w:rPr>
              <w:t>212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AB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AB4"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AB5" w14:textId="77777777" w:rsidR="00584EC1" w:rsidRDefault="00871F8D">
            <w:pPr>
              <w:jc w:val="right"/>
              <w:textAlignment w:val="bottom"/>
            </w:pPr>
            <w:r>
              <w:rPr>
                <w:rFonts w:ascii="Arial" w:eastAsia="宋体" w:hAnsi="Arial" w:cs="Arial"/>
                <w:b/>
                <w:bCs/>
                <w:color w:val="000000"/>
                <w:sz w:val="13"/>
                <w:szCs w:val="13"/>
              </w:rPr>
              <w:t>213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AB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AB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AB8" w14:textId="77777777" w:rsidR="00584EC1" w:rsidRDefault="00871F8D">
            <w:pPr>
              <w:jc w:val="right"/>
              <w:textAlignment w:val="bottom"/>
            </w:pPr>
            <w:r>
              <w:rPr>
                <w:rFonts w:ascii="Arial" w:eastAsia="宋体" w:hAnsi="Arial" w:cs="Arial"/>
                <w:b/>
                <w:bCs/>
                <w:color w:val="000000"/>
                <w:sz w:val="13"/>
                <w:szCs w:val="13"/>
              </w:rPr>
              <w:t>540</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AB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ABA"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ABB" w14:textId="77777777" w:rsidR="00584EC1" w:rsidRDefault="00871F8D">
            <w:pPr>
              <w:jc w:val="right"/>
              <w:textAlignment w:val="bottom"/>
            </w:pPr>
            <w:r>
              <w:rPr>
                <w:rFonts w:ascii="Arial" w:eastAsia="宋体" w:hAnsi="Arial" w:cs="Arial"/>
                <w:b/>
                <w:bCs/>
                <w:color w:val="000000"/>
                <w:sz w:val="13"/>
                <w:szCs w:val="13"/>
              </w:rPr>
              <w:t>543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AB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AB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ABE" w14:textId="77777777" w:rsidR="00584EC1" w:rsidRDefault="00871F8D">
            <w:pPr>
              <w:jc w:val="right"/>
              <w:textAlignment w:val="bottom"/>
            </w:pPr>
            <w:r>
              <w:rPr>
                <w:rFonts w:ascii="Arial" w:eastAsia="宋体" w:hAnsi="Arial" w:cs="Arial"/>
                <w:b/>
                <w:bCs/>
                <w:color w:val="000000"/>
                <w:sz w:val="13"/>
                <w:szCs w:val="13"/>
              </w:rPr>
              <w:t>40</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AB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AC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AC1" w14:textId="77777777" w:rsidR="00584EC1" w:rsidRDefault="00871F8D">
            <w:pPr>
              <w:jc w:val="right"/>
              <w:textAlignment w:val="bottom"/>
            </w:pPr>
            <w:r>
              <w:rPr>
                <w:rFonts w:ascii="Arial" w:eastAsia="宋体" w:hAnsi="Arial" w:cs="Arial"/>
                <w:b/>
                <w:bCs/>
                <w:color w:val="000000"/>
                <w:sz w:val="13"/>
                <w:szCs w:val="13"/>
              </w:rPr>
              <w:t>40</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AC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AC3"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AC4" w14:textId="77777777" w:rsidR="00584EC1" w:rsidRDefault="00871F8D">
            <w:pPr>
              <w:jc w:val="right"/>
              <w:textAlignment w:val="bottom"/>
            </w:pPr>
            <w:r>
              <w:rPr>
                <w:rFonts w:ascii="Arial" w:eastAsia="宋体" w:hAnsi="Arial" w:cs="Arial"/>
                <w:b/>
                <w:bCs/>
                <w:color w:val="000000"/>
                <w:sz w:val="13"/>
                <w:szCs w:val="13"/>
              </w:rPr>
              <w:t>1,338</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AC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AC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AC7" w14:textId="77777777" w:rsidR="00584EC1" w:rsidRDefault="00871F8D">
            <w:pPr>
              <w:jc w:val="right"/>
              <w:textAlignment w:val="bottom"/>
            </w:pPr>
            <w:r>
              <w:rPr>
                <w:rFonts w:ascii="Arial" w:eastAsia="宋体" w:hAnsi="Arial" w:cs="Arial"/>
                <w:b/>
                <w:bCs/>
                <w:color w:val="000000"/>
                <w:sz w:val="13"/>
                <w:szCs w:val="13"/>
              </w:rPr>
              <w:t>1,345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AC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AC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ACA" w14:textId="77777777" w:rsidR="00584EC1" w:rsidRDefault="00871F8D">
            <w:pPr>
              <w:jc w:val="right"/>
              <w:textAlignment w:val="bottom"/>
            </w:pPr>
            <w:r>
              <w:rPr>
                <w:rFonts w:ascii="Arial" w:eastAsia="宋体" w:hAnsi="Arial" w:cs="Arial"/>
                <w:b/>
                <w:bCs/>
                <w:color w:val="000000"/>
                <w:sz w:val="13"/>
                <w:szCs w:val="13"/>
              </w:rPr>
              <w:t>2,130</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AC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ACC"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ACD" w14:textId="77777777" w:rsidR="00584EC1" w:rsidRDefault="00871F8D">
            <w:pPr>
              <w:jc w:val="right"/>
              <w:textAlignment w:val="bottom"/>
            </w:pPr>
            <w:r>
              <w:rPr>
                <w:rFonts w:ascii="Arial" w:eastAsia="宋体" w:hAnsi="Arial" w:cs="Arial"/>
                <w:b/>
                <w:bCs/>
                <w:color w:val="000000"/>
                <w:sz w:val="13"/>
                <w:szCs w:val="13"/>
              </w:rPr>
              <w:t>2,141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ACE" w14:textId="77777777" w:rsidR="00584EC1" w:rsidRDefault="00584EC1">
            <w:pPr>
              <w:jc w:val="right"/>
              <w:rPr>
                <w:rFonts w:ascii="宋体"/>
              </w:rPr>
            </w:pPr>
          </w:p>
        </w:tc>
      </w:tr>
      <w:tr w:rsidR="00584EC1" w14:paraId="74DDDAEE" w14:textId="77777777">
        <w:tc>
          <w:tcPr>
            <w:tcW w:w="0" w:type="auto"/>
            <w:gridSpan w:val="3"/>
            <w:shd w:val="clear" w:color="auto" w:fill="FFFFFF"/>
            <w:tcMar>
              <w:top w:w="40" w:type="dxa"/>
              <w:left w:w="245" w:type="dxa"/>
              <w:bottom w:w="40" w:type="dxa"/>
              <w:right w:w="20" w:type="dxa"/>
            </w:tcMar>
            <w:vAlign w:val="bottom"/>
          </w:tcPr>
          <w:p w14:paraId="74DDDAD0" w14:textId="77777777" w:rsidR="00584EC1" w:rsidRDefault="00871F8D">
            <w:pPr>
              <w:textAlignment w:val="bottom"/>
            </w:pPr>
            <w:r>
              <w:rPr>
                <w:rFonts w:ascii="Arial" w:eastAsia="宋体" w:hAnsi="Arial" w:cs="Arial"/>
                <w:color w:val="000000"/>
                <w:sz w:val="13"/>
                <w:szCs w:val="13"/>
              </w:rPr>
              <w:t>Asset-backed securities</w:t>
            </w:r>
          </w:p>
        </w:tc>
        <w:tc>
          <w:tcPr>
            <w:tcW w:w="0" w:type="auto"/>
            <w:gridSpan w:val="2"/>
            <w:shd w:val="clear" w:color="auto" w:fill="FFFFFF"/>
            <w:tcMar>
              <w:top w:w="40" w:type="dxa"/>
              <w:left w:w="20" w:type="dxa"/>
              <w:bottom w:w="40" w:type="dxa"/>
              <w:right w:w="0" w:type="dxa"/>
            </w:tcMar>
            <w:vAlign w:val="bottom"/>
          </w:tcPr>
          <w:p w14:paraId="74DDDAD1" w14:textId="77777777" w:rsidR="00584EC1" w:rsidRDefault="00871F8D">
            <w:pPr>
              <w:jc w:val="right"/>
              <w:textAlignment w:val="bottom"/>
            </w:pPr>
            <w:r>
              <w:rPr>
                <w:rFonts w:ascii="Arial" w:eastAsia="宋体" w:hAnsi="Arial" w:cs="Arial"/>
                <w:b/>
                <w:bCs/>
                <w:color w:val="000000"/>
                <w:sz w:val="13"/>
                <w:szCs w:val="13"/>
              </w:rPr>
              <w:t>271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AD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AD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AD4" w14:textId="77777777" w:rsidR="00584EC1" w:rsidRDefault="00871F8D">
            <w:pPr>
              <w:jc w:val="right"/>
              <w:textAlignment w:val="bottom"/>
            </w:pPr>
            <w:r>
              <w:rPr>
                <w:rFonts w:ascii="Arial" w:eastAsia="宋体" w:hAnsi="Arial" w:cs="Arial"/>
                <w:b/>
                <w:bCs/>
                <w:color w:val="000000"/>
                <w:sz w:val="13"/>
                <w:szCs w:val="13"/>
              </w:rPr>
              <w:t>271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AD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AD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AD7" w14:textId="77777777" w:rsidR="00584EC1" w:rsidRDefault="00871F8D">
            <w:pPr>
              <w:jc w:val="right"/>
              <w:textAlignment w:val="bottom"/>
            </w:pPr>
            <w:r>
              <w:rPr>
                <w:rFonts w:ascii="Arial" w:eastAsia="宋体" w:hAnsi="Arial" w:cs="Arial"/>
                <w:b/>
                <w:bCs/>
                <w:color w:val="000000"/>
                <w:sz w:val="13"/>
                <w:szCs w:val="13"/>
              </w:rPr>
              <w:t>1,286</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AD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AD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ADA" w14:textId="77777777" w:rsidR="00584EC1" w:rsidRDefault="00871F8D">
            <w:pPr>
              <w:jc w:val="right"/>
              <w:textAlignment w:val="bottom"/>
            </w:pPr>
            <w:r>
              <w:rPr>
                <w:rFonts w:ascii="Arial" w:eastAsia="宋体" w:hAnsi="Arial" w:cs="Arial"/>
                <w:b/>
                <w:bCs/>
                <w:color w:val="000000"/>
                <w:sz w:val="13"/>
                <w:szCs w:val="13"/>
              </w:rPr>
              <w:t>1,287</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AD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AD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ADD" w14:textId="77777777" w:rsidR="00584EC1" w:rsidRDefault="00871F8D">
            <w:pPr>
              <w:jc w:val="right"/>
              <w:textAlignment w:val="bottom"/>
            </w:pPr>
            <w:r>
              <w:rPr>
                <w:rFonts w:ascii="Arial" w:eastAsia="宋体" w:hAnsi="Arial" w:cs="Arial"/>
                <w:b/>
                <w:bCs/>
                <w:color w:val="000000"/>
                <w:sz w:val="13"/>
                <w:szCs w:val="13"/>
              </w:rPr>
              <w:t>415</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AD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AD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AE0" w14:textId="77777777" w:rsidR="00584EC1" w:rsidRDefault="00871F8D">
            <w:pPr>
              <w:jc w:val="right"/>
              <w:textAlignment w:val="bottom"/>
            </w:pPr>
            <w:r>
              <w:rPr>
                <w:rFonts w:ascii="Arial" w:eastAsia="宋体" w:hAnsi="Arial" w:cs="Arial"/>
                <w:b/>
                <w:bCs/>
                <w:color w:val="000000"/>
                <w:sz w:val="13"/>
                <w:szCs w:val="13"/>
              </w:rPr>
              <w:t>415</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AE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AE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AE3" w14:textId="77777777" w:rsidR="00584EC1" w:rsidRDefault="00871F8D">
            <w:pPr>
              <w:jc w:val="right"/>
              <w:textAlignment w:val="bottom"/>
            </w:pPr>
            <w:r>
              <w:rPr>
                <w:rFonts w:ascii="Arial" w:eastAsia="宋体" w:hAnsi="Arial" w:cs="Arial"/>
                <w:b/>
                <w:bCs/>
                <w:color w:val="000000"/>
                <w:sz w:val="13"/>
                <w:szCs w:val="13"/>
              </w:rPr>
              <w:t>393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AE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AE5"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AE6" w14:textId="77777777" w:rsidR="00584EC1" w:rsidRDefault="00871F8D">
            <w:pPr>
              <w:jc w:val="right"/>
              <w:textAlignment w:val="bottom"/>
            </w:pPr>
            <w:r>
              <w:rPr>
                <w:rFonts w:ascii="Arial" w:eastAsia="宋体" w:hAnsi="Arial" w:cs="Arial"/>
                <w:b/>
                <w:bCs/>
                <w:color w:val="000000"/>
                <w:sz w:val="13"/>
                <w:szCs w:val="13"/>
              </w:rPr>
              <w:t>392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AE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AE8"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AE9" w14:textId="77777777" w:rsidR="00584EC1" w:rsidRDefault="00871F8D">
            <w:pPr>
              <w:jc w:val="right"/>
              <w:textAlignment w:val="bottom"/>
            </w:pPr>
            <w:r>
              <w:rPr>
                <w:rFonts w:ascii="Arial" w:eastAsia="宋体" w:hAnsi="Arial" w:cs="Arial"/>
                <w:b/>
                <w:bCs/>
                <w:color w:val="000000"/>
                <w:sz w:val="13"/>
                <w:szCs w:val="13"/>
              </w:rPr>
              <w:t>2,365</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AE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AEB"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AEC" w14:textId="77777777" w:rsidR="00584EC1" w:rsidRDefault="00871F8D">
            <w:pPr>
              <w:jc w:val="right"/>
              <w:textAlignment w:val="bottom"/>
            </w:pPr>
            <w:r>
              <w:rPr>
                <w:rFonts w:ascii="Arial" w:eastAsia="宋体" w:hAnsi="Arial" w:cs="Arial"/>
                <w:b/>
                <w:bCs/>
                <w:color w:val="000000"/>
                <w:sz w:val="13"/>
                <w:szCs w:val="13"/>
              </w:rPr>
              <w:t>2,365</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AED" w14:textId="77777777" w:rsidR="00584EC1" w:rsidRDefault="00584EC1">
            <w:pPr>
              <w:jc w:val="right"/>
              <w:rPr>
                <w:rFonts w:ascii="宋体"/>
              </w:rPr>
            </w:pPr>
          </w:p>
        </w:tc>
      </w:tr>
      <w:tr w:rsidR="00584EC1" w14:paraId="74DDDB0D" w14:textId="77777777">
        <w:tc>
          <w:tcPr>
            <w:tcW w:w="0" w:type="auto"/>
            <w:gridSpan w:val="3"/>
            <w:shd w:val="clear" w:color="auto" w:fill="CCEEFF"/>
            <w:tcMar>
              <w:top w:w="40" w:type="dxa"/>
              <w:left w:w="245" w:type="dxa"/>
              <w:bottom w:w="40" w:type="dxa"/>
              <w:right w:w="20" w:type="dxa"/>
            </w:tcMar>
            <w:vAlign w:val="bottom"/>
          </w:tcPr>
          <w:p w14:paraId="74DDDAEF" w14:textId="77777777" w:rsidR="00584EC1" w:rsidRDefault="00871F8D">
            <w:pPr>
              <w:textAlignment w:val="bottom"/>
            </w:pPr>
            <w:r>
              <w:rPr>
                <w:rFonts w:ascii="Arial" w:eastAsia="宋体" w:hAnsi="Arial" w:cs="Arial"/>
                <w:color w:val="000000"/>
                <w:sz w:val="13"/>
                <w:szCs w:val="13"/>
              </w:rPr>
              <w:t>Non-U.S. sovereign, supranational and non-U.S. agency</w:t>
            </w:r>
          </w:p>
        </w:tc>
        <w:tc>
          <w:tcPr>
            <w:tcW w:w="0" w:type="auto"/>
            <w:gridSpan w:val="2"/>
            <w:shd w:val="clear" w:color="auto" w:fill="CCEEFF"/>
            <w:tcMar>
              <w:top w:w="40" w:type="dxa"/>
              <w:left w:w="20" w:type="dxa"/>
              <w:bottom w:w="40" w:type="dxa"/>
              <w:right w:w="0" w:type="dxa"/>
            </w:tcMar>
            <w:vAlign w:val="bottom"/>
          </w:tcPr>
          <w:p w14:paraId="74DDDAF0" w14:textId="77777777" w:rsidR="00584EC1" w:rsidRDefault="00871F8D">
            <w:pPr>
              <w:jc w:val="right"/>
              <w:textAlignment w:val="bottom"/>
            </w:pPr>
            <w:r>
              <w:rPr>
                <w:rFonts w:ascii="Arial" w:eastAsia="宋体" w:hAnsi="Arial" w:cs="Arial"/>
                <w:b/>
                <w:bCs/>
                <w:color w:val="000000"/>
                <w:sz w:val="13"/>
                <w:szCs w:val="13"/>
              </w:rPr>
              <w:t>5,828</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AF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AF2"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AF3" w14:textId="77777777" w:rsidR="00584EC1" w:rsidRDefault="00871F8D">
            <w:pPr>
              <w:jc w:val="right"/>
              <w:textAlignment w:val="bottom"/>
            </w:pPr>
            <w:r>
              <w:rPr>
                <w:rFonts w:ascii="Arial" w:eastAsia="宋体" w:hAnsi="Arial" w:cs="Arial"/>
                <w:b/>
                <w:bCs/>
                <w:color w:val="000000"/>
                <w:sz w:val="13"/>
                <w:szCs w:val="13"/>
              </w:rPr>
              <w:t>5,835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AF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AF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AF6" w14:textId="77777777" w:rsidR="00584EC1" w:rsidRDefault="00871F8D">
            <w:pPr>
              <w:jc w:val="right"/>
              <w:textAlignment w:val="bottom"/>
            </w:pPr>
            <w:r>
              <w:rPr>
                <w:rFonts w:ascii="Arial" w:eastAsia="宋体" w:hAnsi="Arial" w:cs="Arial"/>
                <w:b/>
                <w:bCs/>
                <w:color w:val="000000"/>
                <w:sz w:val="13"/>
                <w:szCs w:val="13"/>
              </w:rPr>
              <w:t>13,987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AF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AF8"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AF9" w14:textId="77777777" w:rsidR="00584EC1" w:rsidRDefault="00871F8D">
            <w:pPr>
              <w:jc w:val="right"/>
              <w:textAlignment w:val="bottom"/>
            </w:pPr>
            <w:r>
              <w:rPr>
                <w:rFonts w:ascii="Arial" w:eastAsia="宋体" w:hAnsi="Arial" w:cs="Arial"/>
                <w:b/>
                <w:bCs/>
                <w:color w:val="000000"/>
                <w:sz w:val="13"/>
                <w:szCs w:val="13"/>
              </w:rPr>
              <w:t>14,081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AF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AF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AFC" w14:textId="77777777" w:rsidR="00584EC1" w:rsidRDefault="00871F8D">
            <w:pPr>
              <w:jc w:val="right"/>
              <w:textAlignment w:val="bottom"/>
            </w:pPr>
            <w:r>
              <w:rPr>
                <w:rFonts w:ascii="Arial" w:eastAsia="宋体" w:hAnsi="Arial" w:cs="Arial"/>
                <w:b/>
                <w:bCs/>
                <w:color w:val="000000"/>
                <w:sz w:val="13"/>
                <w:szCs w:val="13"/>
              </w:rPr>
              <w:t>2,917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AF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AFE"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AFF" w14:textId="77777777" w:rsidR="00584EC1" w:rsidRDefault="00871F8D">
            <w:pPr>
              <w:jc w:val="right"/>
              <w:textAlignment w:val="bottom"/>
            </w:pPr>
            <w:r>
              <w:rPr>
                <w:rFonts w:ascii="Arial" w:eastAsia="宋体" w:hAnsi="Arial" w:cs="Arial"/>
                <w:b/>
                <w:bCs/>
                <w:color w:val="000000"/>
                <w:sz w:val="13"/>
                <w:szCs w:val="13"/>
              </w:rPr>
              <w:t>2,923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B0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B0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B02" w14:textId="77777777" w:rsidR="00584EC1" w:rsidRDefault="00871F8D">
            <w:pPr>
              <w:jc w:val="right"/>
              <w:textAlignment w:val="bottom"/>
            </w:pPr>
            <w:r>
              <w:rPr>
                <w:rFonts w:ascii="Arial" w:eastAsia="宋体" w:hAnsi="Arial" w:cs="Arial"/>
                <w:b/>
                <w:bCs/>
                <w:color w:val="000000"/>
                <w:sz w:val="13"/>
                <w:szCs w:val="13"/>
              </w:rPr>
              <w:t>15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B0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B04"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B05" w14:textId="77777777" w:rsidR="00584EC1" w:rsidRDefault="00871F8D">
            <w:pPr>
              <w:jc w:val="right"/>
              <w:textAlignment w:val="bottom"/>
            </w:pPr>
            <w:r>
              <w:rPr>
                <w:rFonts w:ascii="Arial" w:eastAsia="宋体" w:hAnsi="Arial" w:cs="Arial"/>
                <w:b/>
                <w:bCs/>
                <w:color w:val="000000"/>
                <w:sz w:val="13"/>
                <w:szCs w:val="13"/>
              </w:rPr>
              <w:t>15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B0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B0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B08" w14:textId="77777777" w:rsidR="00584EC1" w:rsidRDefault="00871F8D">
            <w:pPr>
              <w:jc w:val="right"/>
              <w:textAlignment w:val="bottom"/>
            </w:pPr>
            <w:r>
              <w:rPr>
                <w:rFonts w:ascii="Arial" w:eastAsia="宋体" w:hAnsi="Arial" w:cs="Arial"/>
                <w:b/>
                <w:bCs/>
                <w:color w:val="000000"/>
                <w:sz w:val="13"/>
                <w:szCs w:val="13"/>
              </w:rPr>
              <w:t>22,747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B0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B0A"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B0B" w14:textId="77777777" w:rsidR="00584EC1" w:rsidRDefault="00871F8D">
            <w:pPr>
              <w:jc w:val="right"/>
              <w:textAlignment w:val="bottom"/>
            </w:pPr>
            <w:r>
              <w:rPr>
                <w:rFonts w:ascii="Arial" w:eastAsia="宋体" w:hAnsi="Arial" w:cs="Arial"/>
                <w:b/>
                <w:bCs/>
                <w:color w:val="000000"/>
                <w:sz w:val="13"/>
                <w:szCs w:val="13"/>
              </w:rPr>
              <w:t>22,854</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B0C" w14:textId="77777777" w:rsidR="00584EC1" w:rsidRDefault="00584EC1">
            <w:pPr>
              <w:jc w:val="right"/>
              <w:rPr>
                <w:rFonts w:ascii="宋体"/>
              </w:rPr>
            </w:pPr>
          </w:p>
        </w:tc>
      </w:tr>
      <w:tr w:rsidR="00584EC1" w14:paraId="74DDDB2C" w14:textId="77777777">
        <w:tc>
          <w:tcPr>
            <w:tcW w:w="0" w:type="auto"/>
            <w:gridSpan w:val="3"/>
            <w:shd w:val="clear" w:color="auto" w:fill="FFFFFF"/>
            <w:tcMar>
              <w:top w:w="40" w:type="dxa"/>
              <w:left w:w="245" w:type="dxa"/>
              <w:bottom w:w="40" w:type="dxa"/>
              <w:right w:w="20" w:type="dxa"/>
            </w:tcMar>
            <w:vAlign w:val="bottom"/>
          </w:tcPr>
          <w:p w14:paraId="74DDDB0E" w14:textId="77777777" w:rsidR="00584EC1" w:rsidRDefault="00871F8D">
            <w:pPr>
              <w:textAlignment w:val="bottom"/>
            </w:pPr>
            <w:r>
              <w:rPr>
                <w:rFonts w:ascii="Arial" w:eastAsia="宋体" w:hAnsi="Arial" w:cs="Arial"/>
                <w:color w:val="000000"/>
                <w:sz w:val="13"/>
                <w:szCs w:val="13"/>
              </w:rPr>
              <w:t>Other</w:t>
            </w:r>
          </w:p>
        </w:tc>
        <w:tc>
          <w:tcPr>
            <w:tcW w:w="0" w:type="auto"/>
            <w:gridSpan w:val="2"/>
            <w:shd w:val="clear" w:color="auto" w:fill="FFFFFF"/>
            <w:tcMar>
              <w:top w:w="40" w:type="dxa"/>
              <w:left w:w="20" w:type="dxa"/>
              <w:bottom w:w="40" w:type="dxa"/>
              <w:right w:w="0" w:type="dxa"/>
            </w:tcMar>
            <w:vAlign w:val="bottom"/>
          </w:tcPr>
          <w:p w14:paraId="74DDDB0F" w14:textId="77777777" w:rsidR="00584EC1" w:rsidRDefault="00871F8D">
            <w:pPr>
              <w:jc w:val="right"/>
              <w:textAlignment w:val="bottom"/>
            </w:pPr>
            <w:r>
              <w:rPr>
                <w:rFonts w:ascii="Arial" w:eastAsia="宋体" w:hAnsi="Arial" w:cs="Arial"/>
                <w:b/>
                <w:bCs/>
                <w:color w:val="000000"/>
                <w:sz w:val="13"/>
                <w:szCs w:val="13"/>
              </w:rPr>
              <w:t>786</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B1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B1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B12" w14:textId="77777777" w:rsidR="00584EC1" w:rsidRDefault="00871F8D">
            <w:pPr>
              <w:jc w:val="right"/>
              <w:textAlignment w:val="bottom"/>
            </w:pPr>
            <w:r>
              <w:rPr>
                <w:rFonts w:ascii="Arial" w:eastAsia="宋体" w:hAnsi="Arial" w:cs="Arial"/>
                <w:b/>
                <w:bCs/>
                <w:color w:val="000000"/>
                <w:sz w:val="13"/>
                <w:szCs w:val="13"/>
              </w:rPr>
              <w:t>790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B1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B1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B15" w14:textId="77777777" w:rsidR="00584EC1" w:rsidRDefault="00871F8D">
            <w:pPr>
              <w:jc w:val="right"/>
              <w:textAlignment w:val="bottom"/>
            </w:pPr>
            <w:r>
              <w:rPr>
                <w:rFonts w:ascii="Arial" w:eastAsia="宋体" w:hAnsi="Arial" w:cs="Arial"/>
                <w:b/>
                <w:bCs/>
                <w:color w:val="000000"/>
                <w:sz w:val="13"/>
                <w:szCs w:val="13"/>
              </w:rPr>
              <w:t>2,077</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B1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B1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B18" w14:textId="77777777" w:rsidR="00584EC1" w:rsidRDefault="00871F8D">
            <w:pPr>
              <w:jc w:val="right"/>
              <w:textAlignment w:val="bottom"/>
            </w:pPr>
            <w:r>
              <w:rPr>
                <w:rFonts w:ascii="Arial" w:eastAsia="宋体" w:hAnsi="Arial" w:cs="Arial"/>
                <w:b/>
                <w:bCs/>
                <w:color w:val="000000"/>
                <w:sz w:val="13"/>
                <w:szCs w:val="13"/>
              </w:rPr>
              <w:t>2,089</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B1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B1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B1B" w14:textId="77777777" w:rsidR="00584EC1" w:rsidRDefault="00871F8D">
            <w:pPr>
              <w:jc w:val="right"/>
              <w:textAlignment w:val="bottom"/>
            </w:pPr>
            <w:r>
              <w:rPr>
                <w:rFonts w:ascii="Arial" w:eastAsia="宋体" w:hAnsi="Arial" w:cs="Arial"/>
                <w:b/>
                <w:bCs/>
                <w:color w:val="000000"/>
                <w:sz w:val="13"/>
                <w:szCs w:val="13"/>
              </w:rPr>
              <w:t>375</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B1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B1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B1E" w14:textId="77777777" w:rsidR="00584EC1" w:rsidRDefault="00871F8D">
            <w:pPr>
              <w:jc w:val="right"/>
              <w:textAlignment w:val="bottom"/>
            </w:pPr>
            <w:r>
              <w:rPr>
                <w:rFonts w:ascii="Arial" w:eastAsia="宋体" w:hAnsi="Arial" w:cs="Arial"/>
                <w:b/>
                <w:bCs/>
                <w:color w:val="000000"/>
                <w:sz w:val="13"/>
                <w:szCs w:val="13"/>
              </w:rPr>
              <w:t>371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B1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B2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B21" w14:textId="77777777" w:rsidR="00584EC1" w:rsidRDefault="00871F8D">
            <w:pPr>
              <w:jc w:val="right"/>
              <w:textAlignment w:val="bottom"/>
            </w:pPr>
            <w:r>
              <w:rPr>
                <w:rFonts w:ascii="Arial" w:eastAsia="宋体" w:hAnsi="Arial" w:cs="Arial"/>
                <w:b/>
                <w:bCs/>
                <w:color w:val="000000"/>
                <w:sz w:val="13"/>
                <w:szCs w:val="13"/>
              </w:rPr>
              <w:t>56</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B2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B2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B24" w14:textId="77777777" w:rsidR="00584EC1" w:rsidRDefault="00871F8D">
            <w:pPr>
              <w:jc w:val="right"/>
              <w:textAlignment w:val="bottom"/>
            </w:pPr>
            <w:r>
              <w:rPr>
                <w:rFonts w:ascii="Arial" w:eastAsia="宋体" w:hAnsi="Arial" w:cs="Arial"/>
                <w:b/>
                <w:bCs/>
                <w:color w:val="000000"/>
                <w:sz w:val="13"/>
                <w:szCs w:val="13"/>
              </w:rPr>
              <w:t>56</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B2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B2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B27" w14:textId="77777777" w:rsidR="00584EC1" w:rsidRDefault="00871F8D">
            <w:pPr>
              <w:jc w:val="right"/>
              <w:textAlignment w:val="bottom"/>
            </w:pPr>
            <w:r>
              <w:rPr>
                <w:rFonts w:ascii="Arial" w:eastAsia="宋体" w:hAnsi="Arial" w:cs="Arial"/>
                <w:b/>
                <w:bCs/>
                <w:color w:val="000000"/>
                <w:sz w:val="13"/>
                <w:szCs w:val="13"/>
              </w:rPr>
              <w:t>3,294</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B2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B2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B2A" w14:textId="77777777" w:rsidR="00584EC1" w:rsidRDefault="00871F8D">
            <w:pPr>
              <w:jc w:val="right"/>
              <w:textAlignment w:val="bottom"/>
            </w:pPr>
            <w:r>
              <w:rPr>
                <w:rFonts w:ascii="Arial" w:eastAsia="宋体" w:hAnsi="Arial" w:cs="Arial"/>
                <w:b/>
                <w:bCs/>
                <w:color w:val="000000"/>
                <w:sz w:val="13"/>
                <w:szCs w:val="13"/>
              </w:rPr>
              <w:t>3,306</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B2B" w14:textId="77777777" w:rsidR="00584EC1" w:rsidRDefault="00584EC1">
            <w:pPr>
              <w:jc w:val="right"/>
              <w:rPr>
                <w:rFonts w:ascii="宋体"/>
              </w:rPr>
            </w:pPr>
          </w:p>
        </w:tc>
      </w:tr>
      <w:tr w:rsidR="00584EC1" w14:paraId="74DDDB4B" w14:textId="77777777">
        <w:tc>
          <w:tcPr>
            <w:tcW w:w="0" w:type="auto"/>
            <w:gridSpan w:val="3"/>
            <w:shd w:val="clear" w:color="auto" w:fill="CCEEFF"/>
            <w:tcMar>
              <w:top w:w="40" w:type="dxa"/>
              <w:left w:w="395" w:type="dxa"/>
              <w:bottom w:w="40" w:type="dxa"/>
              <w:right w:w="20" w:type="dxa"/>
            </w:tcMar>
            <w:vAlign w:val="bottom"/>
          </w:tcPr>
          <w:p w14:paraId="74DDDB2D" w14:textId="77777777" w:rsidR="00584EC1" w:rsidRDefault="00871F8D">
            <w:pPr>
              <w:textAlignment w:val="bottom"/>
            </w:pPr>
            <w:r>
              <w:rPr>
                <w:rFonts w:ascii="Arial" w:eastAsia="宋体" w:hAnsi="Arial" w:cs="Arial"/>
                <w:color w:val="000000"/>
                <w:sz w:val="13"/>
                <w:szCs w:val="13"/>
              </w:rPr>
              <w:t>Total non-U.S. debt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B2E" w14:textId="77777777" w:rsidR="00584EC1" w:rsidRDefault="00871F8D">
            <w:pPr>
              <w:jc w:val="right"/>
              <w:textAlignment w:val="bottom"/>
            </w:pPr>
            <w:r>
              <w:rPr>
                <w:rFonts w:ascii="Arial" w:eastAsia="宋体" w:hAnsi="Arial" w:cs="Arial"/>
                <w:b/>
                <w:bCs/>
                <w:color w:val="000000"/>
                <w:sz w:val="13"/>
                <w:szCs w:val="13"/>
              </w:rPr>
              <w:t>7,097</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B2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B30"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B31" w14:textId="77777777" w:rsidR="00584EC1" w:rsidRDefault="00871F8D">
            <w:pPr>
              <w:jc w:val="right"/>
              <w:textAlignment w:val="bottom"/>
            </w:pPr>
            <w:r>
              <w:rPr>
                <w:rFonts w:ascii="Arial" w:eastAsia="宋体" w:hAnsi="Arial" w:cs="Arial"/>
                <w:b/>
                <w:bCs/>
                <w:color w:val="000000"/>
                <w:sz w:val="13"/>
                <w:szCs w:val="13"/>
              </w:rPr>
              <w:t>7,109</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B3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B33"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B34" w14:textId="77777777" w:rsidR="00584EC1" w:rsidRDefault="00871F8D">
            <w:pPr>
              <w:jc w:val="right"/>
              <w:textAlignment w:val="bottom"/>
            </w:pPr>
            <w:r>
              <w:rPr>
                <w:rFonts w:ascii="Arial" w:eastAsia="宋体" w:hAnsi="Arial" w:cs="Arial"/>
                <w:b/>
                <w:bCs/>
                <w:color w:val="000000"/>
                <w:sz w:val="13"/>
                <w:szCs w:val="13"/>
              </w:rPr>
              <w:t>17,890</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B3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B36"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B37" w14:textId="77777777" w:rsidR="00584EC1" w:rsidRDefault="00871F8D">
            <w:pPr>
              <w:jc w:val="right"/>
              <w:textAlignment w:val="bottom"/>
            </w:pPr>
            <w:r>
              <w:rPr>
                <w:rFonts w:ascii="Arial" w:eastAsia="宋体" w:hAnsi="Arial" w:cs="Arial"/>
                <w:b/>
                <w:bCs/>
                <w:color w:val="000000"/>
                <w:sz w:val="13"/>
                <w:szCs w:val="13"/>
              </w:rPr>
              <w:t>18,000</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B3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B39"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B3A" w14:textId="77777777" w:rsidR="00584EC1" w:rsidRDefault="00871F8D">
            <w:pPr>
              <w:jc w:val="right"/>
              <w:textAlignment w:val="bottom"/>
            </w:pPr>
            <w:r>
              <w:rPr>
                <w:rFonts w:ascii="Arial" w:eastAsia="宋体" w:hAnsi="Arial" w:cs="Arial"/>
                <w:b/>
                <w:bCs/>
                <w:color w:val="000000"/>
                <w:sz w:val="13"/>
                <w:szCs w:val="13"/>
              </w:rPr>
              <w:t>3,747</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B3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B3C"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B3D" w14:textId="77777777" w:rsidR="00584EC1" w:rsidRDefault="00871F8D">
            <w:pPr>
              <w:jc w:val="right"/>
              <w:textAlignment w:val="bottom"/>
            </w:pPr>
            <w:r>
              <w:rPr>
                <w:rFonts w:ascii="Arial" w:eastAsia="宋体" w:hAnsi="Arial" w:cs="Arial"/>
                <w:b/>
                <w:bCs/>
                <w:color w:val="000000"/>
                <w:sz w:val="13"/>
                <w:szCs w:val="13"/>
              </w:rPr>
              <w:t>3,749</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B3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B3F"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B40" w14:textId="77777777" w:rsidR="00584EC1" w:rsidRDefault="00871F8D">
            <w:pPr>
              <w:jc w:val="right"/>
              <w:textAlignment w:val="bottom"/>
            </w:pPr>
            <w:r>
              <w:rPr>
                <w:rFonts w:ascii="Arial" w:eastAsia="宋体" w:hAnsi="Arial" w:cs="Arial"/>
                <w:b/>
                <w:bCs/>
                <w:color w:val="000000"/>
                <w:sz w:val="13"/>
                <w:szCs w:val="13"/>
              </w:rPr>
              <w:t>1,802</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B4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B42"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B43" w14:textId="77777777" w:rsidR="00584EC1" w:rsidRDefault="00871F8D">
            <w:pPr>
              <w:jc w:val="right"/>
              <w:textAlignment w:val="bottom"/>
            </w:pPr>
            <w:r>
              <w:rPr>
                <w:rFonts w:ascii="Arial" w:eastAsia="宋体" w:hAnsi="Arial" w:cs="Arial"/>
                <w:b/>
                <w:bCs/>
                <w:color w:val="000000"/>
                <w:sz w:val="13"/>
                <w:szCs w:val="13"/>
              </w:rPr>
              <w:t>1,808</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B4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B45"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B46" w14:textId="77777777" w:rsidR="00584EC1" w:rsidRDefault="00871F8D">
            <w:pPr>
              <w:jc w:val="right"/>
              <w:textAlignment w:val="bottom"/>
            </w:pPr>
            <w:r>
              <w:rPr>
                <w:rFonts w:ascii="Arial" w:eastAsia="宋体" w:hAnsi="Arial" w:cs="Arial"/>
                <w:b/>
                <w:bCs/>
                <w:color w:val="000000"/>
                <w:sz w:val="13"/>
                <w:szCs w:val="13"/>
              </w:rPr>
              <w:t>30,536</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B4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B48"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B49" w14:textId="77777777" w:rsidR="00584EC1" w:rsidRDefault="00871F8D">
            <w:pPr>
              <w:jc w:val="right"/>
              <w:textAlignment w:val="bottom"/>
            </w:pPr>
            <w:r>
              <w:rPr>
                <w:rFonts w:ascii="Arial" w:eastAsia="宋体" w:hAnsi="Arial" w:cs="Arial"/>
                <w:b/>
                <w:bCs/>
                <w:color w:val="000000"/>
                <w:sz w:val="13"/>
                <w:szCs w:val="13"/>
              </w:rPr>
              <w:t>30,666</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B4A" w14:textId="77777777" w:rsidR="00584EC1" w:rsidRDefault="00584EC1">
            <w:pPr>
              <w:jc w:val="right"/>
              <w:rPr>
                <w:rFonts w:ascii="宋体"/>
              </w:rPr>
            </w:pPr>
          </w:p>
        </w:tc>
      </w:tr>
      <w:tr w:rsidR="00584EC1" w14:paraId="74DDDB60" w14:textId="77777777">
        <w:tc>
          <w:tcPr>
            <w:tcW w:w="0" w:type="auto"/>
            <w:gridSpan w:val="3"/>
            <w:shd w:val="clear" w:color="auto" w:fill="FFFFFF"/>
            <w:tcMar>
              <w:top w:w="40" w:type="dxa"/>
              <w:left w:w="20" w:type="dxa"/>
              <w:bottom w:w="40" w:type="dxa"/>
              <w:right w:w="20" w:type="dxa"/>
            </w:tcMar>
            <w:vAlign w:val="bottom"/>
          </w:tcPr>
          <w:p w14:paraId="74DDDB4C" w14:textId="77777777" w:rsidR="00584EC1" w:rsidRDefault="00871F8D">
            <w:pPr>
              <w:textAlignment w:val="bottom"/>
            </w:pPr>
            <w:r>
              <w:rPr>
                <w:rFonts w:ascii="Arial" w:eastAsia="宋体" w:hAnsi="Arial" w:cs="Arial"/>
                <w:color w:val="000000"/>
                <w:sz w:val="13"/>
                <w:szCs w:val="13"/>
              </w:rPr>
              <w:t>Asset-backed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DB4D"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B4E"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DB4F"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B50"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DB51"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B52"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DB53"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B54"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DB55"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B56"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DB57"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B58"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DB59"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B5A"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DB5B"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B5C"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DB5D"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B5E"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DB5F" w14:textId="77777777" w:rsidR="00584EC1" w:rsidRDefault="00584EC1">
            <w:pPr>
              <w:rPr>
                <w:rFonts w:ascii="宋体"/>
              </w:rPr>
            </w:pPr>
          </w:p>
        </w:tc>
      </w:tr>
      <w:tr w:rsidR="00584EC1" w14:paraId="74DDDB7F" w14:textId="77777777">
        <w:tc>
          <w:tcPr>
            <w:tcW w:w="0" w:type="auto"/>
            <w:gridSpan w:val="3"/>
            <w:shd w:val="clear" w:color="auto" w:fill="CCEEFF"/>
            <w:tcMar>
              <w:top w:w="40" w:type="dxa"/>
              <w:left w:w="245" w:type="dxa"/>
              <w:bottom w:w="40" w:type="dxa"/>
              <w:right w:w="20" w:type="dxa"/>
            </w:tcMar>
            <w:vAlign w:val="bottom"/>
          </w:tcPr>
          <w:p w14:paraId="74DDDB61" w14:textId="77777777" w:rsidR="00584EC1" w:rsidRDefault="00871F8D">
            <w:pPr>
              <w:textAlignment w:val="bottom"/>
            </w:pPr>
            <w:r>
              <w:rPr>
                <w:rFonts w:ascii="Arial" w:eastAsia="宋体" w:hAnsi="Arial" w:cs="Arial"/>
                <w:color w:val="000000"/>
                <w:sz w:val="13"/>
                <w:szCs w:val="13"/>
              </w:rPr>
              <w:t>Student loans</w:t>
            </w:r>
          </w:p>
        </w:tc>
        <w:tc>
          <w:tcPr>
            <w:tcW w:w="0" w:type="auto"/>
            <w:gridSpan w:val="2"/>
            <w:shd w:val="clear" w:color="auto" w:fill="CCEEFF"/>
            <w:tcMar>
              <w:top w:w="40" w:type="dxa"/>
              <w:left w:w="20" w:type="dxa"/>
              <w:bottom w:w="40" w:type="dxa"/>
              <w:right w:w="0" w:type="dxa"/>
            </w:tcMar>
            <w:vAlign w:val="bottom"/>
          </w:tcPr>
          <w:p w14:paraId="74DDDB62" w14:textId="77777777" w:rsidR="00584EC1" w:rsidRDefault="00871F8D">
            <w:pPr>
              <w:jc w:val="right"/>
              <w:textAlignment w:val="bottom"/>
            </w:pPr>
            <w:r>
              <w:rPr>
                <w:rFonts w:ascii="Arial" w:eastAsia="宋体" w:hAnsi="Arial" w:cs="Arial"/>
                <w:b/>
                <w:bCs/>
                <w:color w:val="000000"/>
                <w:sz w:val="13"/>
                <w:szCs w:val="13"/>
              </w:rPr>
              <w:t>129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B6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B64"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B65" w14:textId="77777777" w:rsidR="00584EC1" w:rsidRDefault="00871F8D">
            <w:pPr>
              <w:jc w:val="right"/>
              <w:textAlignment w:val="bottom"/>
            </w:pPr>
            <w:r>
              <w:rPr>
                <w:rFonts w:ascii="Arial" w:eastAsia="宋体" w:hAnsi="Arial" w:cs="Arial"/>
                <w:b/>
                <w:bCs/>
                <w:color w:val="000000"/>
                <w:sz w:val="13"/>
                <w:szCs w:val="13"/>
              </w:rPr>
              <w:t>131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B6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B6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B68" w14:textId="77777777" w:rsidR="00584EC1" w:rsidRDefault="00871F8D">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B6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B6A"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B6B" w14:textId="77777777" w:rsidR="00584EC1" w:rsidRDefault="00871F8D">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B6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B6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B6E" w14:textId="77777777" w:rsidR="00584EC1" w:rsidRDefault="00871F8D">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B6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B7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B71" w14:textId="77777777" w:rsidR="00584EC1" w:rsidRDefault="00871F8D">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B7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B73"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B74" w14:textId="77777777" w:rsidR="00584EC1" w:rsidRDefault="00871F8D">
            <w:pPr>
              <w:jc w:val="right"/>
              <w:textAlignment w:val="bottom"/>
            </w:pPr>
            <w:r>
              <w:rPr>
                <w:rFonts w:ascii="Arial" w:eastAsia="宋体" w:hAnsi="Arial" w:cs="Arial"/>
                <w:b/>
                <w:bCs/>
                <w:color w:val="000000"/>
                <w:sz w:val="13"/>
                <w:szCs w:val="13"/>
              </w:rPr>
              <w:t>99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B7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B7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B77" w14:textId="77777777" w:rsidR="00584EC1" w:rsidRDefault="00871F8D">
            <w:pPr>
              <w:jc w:val="right"/>
              <w:textAlignment w:val="bottom"/>
            </w:pPr>
            <w:r>
              <w:rPr>
                <w:rFonts w:ascii="Arial" w:eastAsia="宋体" w:hAnsi="Arial" w:cs="Arial"/>
                <w:b/>
                <w:bCs/>
                <w:color w:val="000000"/>
                <w:sz w:val="13"/>
                <w:szCs w:val="13"/>
              </w:rPr>
              <w:t>100</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B7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B7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B7A" w14:textId="77777777" w:rsidR="00584EC1" w:rsidRDefault="00871F8D">
            <w:pPr>
              <w:jc w:val="right"/>
              <w:textAlignment w:val="bottom"/>
            </w:pPr>
            <w:r>
              <w:rPr>
                <w:rFonts w:ascii="Arial" w:eastAsia="宋体" w:hAnsi="Arial" w:cs="Arial"/>
                <w:b/>
                <w:bCs/>
                <w:color w:val="000000"/>
                <w:sz w:val="13"/>
                <w:szCs w:val="13"/>
              </w:rPr>
              <w:t>228</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B7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B7C"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B7D" w14:textId="77777777" w:rsidR="00584EC1" w:rsidRDefault="00871F8D">
            <w:pPr>
              <w:jc w:val="right"/>
              <w:textAlignment w:val="bottom"/>
            </w:pPr>
            <w:r>
              <w:rPr>
                <w:rFonts w:ascii="Arial" w:eastAsia="宋体" w:hAnsi="Arial" w:cs="Arial"/>
                <w:b/>
                <w:bCs/>
                <w:color w:val="000000"/>
                <w:sz w:val="13"/>
                <w:szCs w:val="13"/>
              </w:rPr>
              <w:t>231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B7E" w14:textId="77777777" w:rsidR="00584EC1" w:rsidRDefault="00584EC1">
            <w:pPr>
              <w:jc w:val="right"/>
              <w:rPr>
                <w:rFonts w:ascii="宋体"/>
              </w:rPr>
            </w:pPr>
          </w:p>
        </w:tc>
      </w:tr>
      <w:tr w:rsidR="00584EC1" w14:paraId="74DDDB94" w14:textId="77777777">
        <w:trPr>
          <w:hidden/>
        </w:trPr>
        <w:tc>
          <w:tcPr>
            <w:tcW w:w="0" w:type="auto"/>
            <w:gridSpan w:val="3"/>
            <w:shd w:val="clear" w:color="auto" w:fill="auto"/>
            <w:vAlign w:val="bottom"/>
          </w:tcPr>
          <w:p w14:paraId="74DDDB80" w14:textId="77777777" w:rsidR="00584EC1" w:rsidRDefault="00584EC1">
            <w:pPr>
              <w:rPr>
                <w:rFonts w:ascii="宋体"/>
                <w:vanish/>
              </w:rPr>
            </w:pPr>
          </w:p>
        </w:tc>
        <w:tc>
          <w:tcPr>
            <w:tcW w:w="0" w:type="auto"/>
            <w:gridSpan w:val="3"/>
            <w:shd w:val="clear" w:color="auto" w:fill="auto"/>
            <w:vAlign w:val="bottom"/>
          </w:tcPr>
          <w:p w14:paraId="74DDDB81" w14:textId="77777777" w:rsidR="00584EC1" w:rsidRDefault="00584EC1">
            <w:pPr>
              <w:rPr>
                <w:rFonts w:ascii="宋体"/>
                <w:vanish/>
              </w:rPr>
            </w:pPr>
          </w:p>
        </w:tc>
        <w:tc>
          <w:tcPr>
            <w:tcW w:w="0" w:type="auto"/>
            <w:gridSpan w:val="3"/>
            <w:shd w:val="clear" w:color="auto" w:fill="auto"/>
            <w:vAlign w:val="bottom"/>
          </w:tcPr>
          <w:p w14:paraId="74DDDB82" w14:textId="77777777" w:rsidR="00584EC1" w:rsidRDefault="00584EC1">
            <w:pPr>
              <w:rPr>
                <w:rFonts w:ascii="宋体"/>
                <w:vanish/>
              </w:rPr>
            </w:pPr>
          </w:p>
        </w:tc>
        <w:tc>
          <w:tcPr>
            <w:tcW w:w="0" w:type="auto"/>
            <w:gridSpan w:val="3"/>
            <w:shd w:val="clear" w:color="auto" w:fill="auto"/>
            <w:vAlign w:val="bottom"/>
          </w:tcPr>
          <w:p w14:paraId="74DDDB83" w14:textId="77777777" w:rsidR="00584EC1" w:rsidRDefault="00584EC1">
            <w:pPr>
              <w:rPr>
                <w:rFonts w:ascii="宋体"/>
                <w:vanish/>
              </w:rPr>
            </w:pPr>
          </w:p>
        </w:tc>
        <w:tc>
          <w:tcPr>
            <w:tcW w:w="0" w:type="auto"/>
            <w:gridSpan w:val="3"/>
            <w:shd w:val="clear" w:color="auto" w:fill="auto"/>
            <w:vAlign w:val="bottom"/>
          </w:tcPr>
          <w:p w14:paraId="74DDDB84" w14:textId="77777777" w:rsidR="00584EC1" w:rsidRDefault="00584EC1">
            <w:pPr>
              <w:rPr>
                <w:rFonts w:ascii="宋体"/>
                <w:vanish/>
              </w:rPr>
            </w:pPr>
          </w:p>
        </w:tc>
        <w:tc>
          <w:tcPr>
            <w:tcW w:w="0" w:type="auto"/>
            <w:gridSpan w:val="3"/>
            <w:shd w:val="clear" w:color="auto" w:fill="auto"/>
            <w:vAlign w:val="bottom"/>
          </w:tcPr>
          <w:p w14:paraId="74DDDB85" w14:textId="77777777" w:rsidR="00584EC1" w:rsidRDefault="00584EC1">
            <w:pPr>
              <w:rPr>
                <w:rFonts w:ascii="宋体"/>
                <w:vanish/>
              </w:rPr>
            </w:pPr>
          </w:p>
        </w:tc>
        <w:tc>
          <w:tcPr>
            <w:tcW w:w="0" w:type="auto"/>
            <w:gridSpan w:val="3"/>
            <w:shd w:val="clear" w:color="auto" w:fill="auto"/>
            <w:vAlign w:val="bottom"/>
          </w:tcPr>
          <w:p w14:paraId="74DDDB86" w14:textId="77777777" w:rsidR="00584EC1" w:rsidRDefault="00584EC1">
            <w:pPr>
              <w:rPr>
                <w:rFonts w:ascii="宋体"/>
                <w:vanish/>
              </w:rPr>
            </w:pPr>
          </w:p>
        </w:tc>
        <w:tc>
          <w:tcPr>
            <w:tcW w:w="0" w:type="auto"/>
            <w:gridSpan w:val="3"/>
            <w:shd w:val="clear" w:color="auto" w:fill="auto"/>
            <w:vAlign w:val="bottom"/>
          </w:tcPr>
          <w:p w14:paraId="74DDDB87" w14:textId="77777777" w:rsidR="00584EC1" w:rsidRDefault="00584EC1">
            <w:pPr>
              <w:rPr>
                <w:rFonts w:ascii="宋体"/>
                <w:vanish/>
              </w:rPr>
            </w:pPr>
          </w:p>
        </w:tc>
        <w:tc>
          <w:tcPr>
            <w:tcW w:w="0" w:type="auto"/>
            <w:gridSpan w:val="3"/>
            <w:shd w:val="clear" w:color="auto" w:fill="auto"/>
            <w:vAlign w:val="bottom"/>
          </w:tcPr>
          <w:p w14:paraId="74DDDB88" w14:textId="77777777" w:rsidR="00584EC1" w:rsidRDefault="00584EC1">
            <w:pPr>
              <w:rPr>
                <w:rFonts w:ascii="宋体"/>
                <w:vanish/>
              </w:rPr>
            </w:pPr>
          </w:p>
        </w:tc>
        <w:tc>
          <w:tcPr>
            <w:tcW w:w="0" w:type="auto"/>
            <w:gridSpan w:val="3"/>
            <w:shd w:val="clear" w:color="auto" w:fill="auto"/>
            <w:vAlign w:val="bottom"/>
          </w:tcPr>
          <w:p w14:paraId="74DDDB89" w14:textId="77777777" w:rsidR="00584EC1" w:rsidRDefault="00584EC1">
            <w:pPr>
              <w:rPr>
                <w:rFonts w:ascii="宋体"/>
                <w:vanish/>
              </w:rPr>
            </w:pPr>
          </w:p>
        </w:tc>
        <w:tc>
          <w:tcPr>
            <w:tcW w:w="0" w:type="auto"/>
            <w:gridSpan w:val="3"/>
            <w:shd w:val="clear" w:color="auto" w:fill="auto"/>
            <w:vAlign w:val="bottom"/>
          </w:tcPr>
          <w:p w14:paraId="74DDDB8A" w14:textId="77777777" w:rsidR="00584EC1" w:rsidRDefault="00584EC1">
            <w:pPr>
              <w:rPr>
                <w:rFonts w:ascii="宋体"/>
                <w:vanish/>
              </w:rPr>
            </w:pPr>
          </w:p>
        </w:tc>
        <w:tc>
          <w:tcPr>
            <w:tcW w:w="0" w:type="auto"/>
            <w:gridSpan w:val="3"/>
            <w:shd w:val="clear" w:color="auto" w:fill="auto"/>
            <w:vAlign w:val="bottom"/>
          </w:tcPr>
          <w:p w14:paraId="74DDDB8B" w14:textId="77777777" w:rsidR="00584EC1" w:rsidRDefault="00584EC1">
            <w:pPr>
              <w:rPr>
                <w:rFonts w:ascii="宋体"/>
                <w:vanish/>
              </w:rPr>
            </w:pPr>
          </w:p>
        </w:tc>
        <w:tc>
          <w:tcPr>
            <w:tcW w:w="0" w:type="auto"/>
            <w:gridSpan w:val="3"/>
            <w:shd w:val="clear" w:color="auto" w:fill="auto"/>
            <w:vAlign w:val="bottom"/>
          </w:tcPr>
          <w:p w14:paraId="74DDDB8C" w14:textId="77777777" w:rsidR="00584EC1" w:rsidRDefault="00584EC1">
            <w:pPr>
              <w:rPr>
                <w:rFonts w:ascii="宋体"/>
                <w:vanish/>
              </w:rPr>
            </w:pPr>
          </w:p>
        </w:tc>
        <w:tc>
          <w:tcPr>
            <w:tcW w:w="0" w:type="auto"/>
            <w:gridSpan w:val="3"/>
            <w:shd w:val="clear" w:color="auto" w:fill="auto"/>
            <w:vAlign w:val="bottom"/>
          </w:tcPr>
          <w:p w14:paraId="74DDDB8D" w14:textId="77777777" w:rsidR="00584EC1" w:rsidRDefault="00584EC1">
            <w:pPr>
              <w:rPr>
                <w:rFonts w:ascii="宋体"/>
                <w:vanish/>
              </w:rPr>
            </w:pPr>
          </w:p>
        </w:tc>
        <w:tc>
          <w:tcPr>
            <w:tcW w:w="0" w:type="auto"/>
            <w:gridSpan w:val="3"/>
            <w:shd w:val="clear" w:color="auto" w:fill="auto"/>
            <w:vAlign w:val="bottom"/>
          </w:tcPr>
          <w:p w14:paraId="74DDDB8E" w14:textId="77777777" w:rsidR="00584EC1" w:rsidRDefault="00584EC1">
            <w:pPr>
              <w:rPr>
                <w:rFonts w:ascii="宋体"/>
                <w:vanish/>
              </w:rPr>
            </w:pPr>
          </w:p>
        </w:tc>
        <w:tc>
          <w:tcPr>
            <w:tcW w:w="0" w:type="auto"/>
            <w:gridSpan w:val="3"/>
            <w:shd w:val="clear" w:color="auto" w:fill="auto"/>
            <w:vAlign w:val="bottom"/>
          </w:tcPr>
          <w:p w14:paraId="74DDDB8F" w14:textId="77777777" w:rsidR="00584EC1" w:rsidRDefault="00584EC1">
            <w:pPr>
              <w:rPr>
                <w:rFonts w:ascii="宋体"/>
                <w:vanish/>
              </w:rPr>
            </w:pPr>
          </w:p>
        </w:tc>
        <w:tc>
          <w:tcPr>
            <w:tcW w:w="0" w:type="auto"/>
            <w:gridSpan w:val="3"/>
            <w:shd w:val="clear" w:color="auto" w:fill="auto"/>
            <w:vAlign w:val="bottom"/>
          </w:tcPr>
          <w:p w14:paraId="74DDDB90" w14:textId="77777777" w:rsidR="00584EC1" w:rsidRDefault="00584EC1">
            <w:pPr>
              <w:rPr>
                <w:rFonts w:ascii="宋体"/>
                <w:vanish/>
              </w:rPr>
            </w:pPr>
          </w:p>
        </w:tc>
        <w:tc>
          <w:tcPr>
            <w:tcW w:w="0" w:type="auto"/>
            <w:gridSpan w:val="3"/>
            <w:shd w:val="clear" w:color="auto" w:fill="auto"/>
            <w:vAlign w:val="bottom"/>
          </w:tcPr>
          <w:p w14:paraId="74DDDB91" w14:textId="77777777" w:rsidR="00584EC1" w:rsidRDefault="00584EC1">
            <w:pPr>
              <w:rPr>
                <w:rFonts w:ascii="宋体"/>
                <w:vanish/>
              </w:rPr>
            </w:pPr>
          </w:p>
        </w:tc>
        <w:tc>
          <w:tcPr>
            <w:tcW w:w="0" w:type="auto"/>
            <w:gridSpan w:val="3"/>
            <w:shd w:val="clear" w:color="auto" w:fill="auto"/>
            <w:vAlign w:val="bottom"/>
          </w:tcPr>
          <w:p w14:paraId="74DDDB92" w14:textId="77777777" w:rsidR="00584EC1" w:rsidRDefault="00584EC1">
            <w:pPr>
              <w:rPr>
                <w:rFonts w:ascii="宋体"/>
                <w:vanish/>
              </w:rPr>
            </w:pPr>
          </w:p>
        </w:tc>
        <w:tc>
          <w:tcPr>
            <w:tcW w:w="0" w:type="auto"/>
            <w:gridSpan w:val="3"/>
            <w:shd w:val="clear" w:color="auto" w:fill="auto"/>
            <w:vAlign w:val="bottom"/>
          </w:tcPr>
          <w:p w14:paraId="74DDDB93" w14:textId="77777777" w:rsidR="00584EC1" w:rsidRDefault="00584EC1">
            <w:pPr>
              <w:rPr>
                <w:rFonts w:ascii="宋体"/>
                <w:vanish/>
              </w:rPr>
            </w:pPr>
          </w:p>
        </w:tc>
      </w:tr>
      <w:tr w:rsidR="00584EC1" w14:paraId="74DDDBA9" w14:textId="77777777">
        <w:trPr>
          <w:hidden/>
        </w:trPr>
        <w:tc>
          <w:tcPr>
            <w:tcW w:w="0" w:type="auto"/>
            <w:gridSpan w:val="3"/>
            <w:shd w:val="clear" w:color="auto" w:fill="auto"/>
            <w:vAlign w:val="bottom"/>
          </w:tcPr>
          <w:p w14:paraId="74DDDB95" w14:textId="77777777" w:rsidR="00584EC1" w:rsidRDefault="00584EC1">
            <w:pPr>
              <w:rPr>
                <w:rFonts w:ascii="宋体"/>
                <w:vanish/>
              </w:rPr>
            </w:pPr>
          </w:p>
        </w:tc>
        <w:tc>
          <w:tcPr>
            <w:tcW w:w="0" w:type="auto"/>
            <w:gridSpan w:val="3"/>
            <w:shd w:val="clear" w:color="auto" w:fill="auto"/>
            <w:vAlign w:val="bottom"/>
          </w:tcPr>
          <w:p w14:paraId="74DDDB96" w14:textId="77777777" w:rsidR="00584EC1" w:rsidRDefault="00584EC1">
            <w:pPr>
              <w:rPr>
                <w:rFonts w:ascii="宋体"/>
                <w:vanish/>
              </w:rPr>
            </w:pPr>
          </w:p>
        </w:tc>
        <w:tc>
          <w:tcPr>
            <w:tcW w:w="0" w:type="auto"/>
            <w:gridSpan w:val="3"/>
            <w:shd w:val="clear" w:color="auto" w:fill="auto"/>
            <w:vAlign w:val="bottom"/>
          </w:tcPr>
          <w:p w14:paraId="74DDDB97" w14:textId="77777777" w:rsidR="00584EC1" w:rsidRDefault="00584EC1">
            <w:pPr>
              <w:rPr>
                <w:rFonts w:ascii="宋体"/>
                <w:vanish/>
              </w:rPr>
            </w:pPr>
          </w:p>
        </w:tc>
        <w:tc>
          <w:tcPr>
            <w:tcW w:w="0" w:type="auto"/>
            <w:gridSpan w:val="3"/>
            <w:shd w:val="clear" w:color="auto" w:fill="auto"/>
            <w:vAlign w:val="bottom"/>
          </w:tcPr>
          <w:p w14:paraId="74DDDB98" w14:textId="77777777" w:rsidR="00584EC1" w:rsidRDefault="00584EC1">
            <w:pPr>
              <w:rPr>
                <w:rFonts w:ascii="宋体"/>
                <w:vanish/>
              </w:rPr>
            </w:pPr>
          </w:p>
        </w:tc>
        <w:tc>
          <w:tcPr>
            <w:tcW w:w="0" w:type="auto"/>
            <w:gridSpan w:val="3"/>
            <w:shd w:val="clear" w:color="auto" w:fill="auto"/>
            <w:vAlign w:val="bottom"/>
          </w:tcPr>
          <w:p w14:paraId="74DDDB99" w14:textId="77777777" w:rsidR="00584EC1" w:rsidRDefault="00584EC1">
            <w:pPr>
              <w:rPr>
                <w:rFonts w:ascii="宋体"/>
                <w:vanish/>
              </w:rPr>
            </w:pPr>
          </w:p>
        </w:tc>
        <w:tc>
          <w:tcPr>
            <w:tcW w:w="0" w:type="auto"/>
            <w:gridSpan w:val="3"/>
            <w:shd w:val="clear" w:color="auto" w:fill="auto"/>
            <w:vAlign w:val="bottom"/>
          </w:tcPr>
          <w:p w14:paraId="74DDDB9A" w14:textId="77777777" w:rsidR="00584EC1" w:rsidRDefault="00584EC1">
            <w:pPr>
              <w:rPr>
                <w:rFonts w:ascii="宋体"/>
                <w:vanish/>
              </w:rPr>
            </w:pPr>
          </w:p>
        </w:tc>
        <w:tc>
          <w:tcPr>
            <w:tcW w:w="0" w:type="auto"/>
            <w:gridSpan w:val="3"/>
            <w:shd w:val="clear" w:color="auto" w:fill="auto"/>
            <w:vAlign w:val="bottom"/>
          </w:tcPr>
          <w:p w14:paraId="74DDDB9B" w14:textId="77777777" w:rsidR="00584EC1" w:rsidRDefault="00584EC1">
            <w:pPr>
              <w:rPr>
                <w:rFonts w:ascii="宋体"/>
                <w:vanish/>
              </w:rPr>
            </w:pPr>
          </w:p>
        </w:tc>
        <w:tc>
          <w:tcPr>
            <w:tcW w:w="0" w:type="auto"/>
            <w:gridSpan w:val="3"/>
            <w:shd w:val="clear" w:color="auto" w:fill="auto"/>
            <w:vAlign w:val="bottom"/>
          </w:tcPr>
          <w:p w14:paraId="74DDDB9C" w14:textId="77777777" w:rsidR="00584EC1" w:rsidRDefault="00584EC1">
            <w:pPr>
              <w:rPr>
                <w:rFonts w:ascii="宋体"/>
                <w:vanish/>
              </w:rPr>
            </w:pPr>
          </w:p>
        </w:tc>
        <w:tc>
          <w:tcPr>
            <w:tcW w:w="0" w:type="auto"/>
            <w:gridSpan w:val="3"/>
            <w:shd w:val="clear" w:color="auto" w:fill="auto"/>
            <w:vAlign w:val="bottom"/>
          </w:tcPr>
          <w:p w14:paraId="74DDDB9D" w14:textId="77777777" w:rsidR="00584EC1" w:rsidRDefault="00584EC1">
            <w:pPr>
              <w:rPr>
                <w:rFonts w:ascii="宋体"/>
                <w:vanish/>
              </w:rPr>
            </w:pPr>
          </w:p>
        </w:tc>
        <w:tc>
          <w:tcPr>
            <w:tcW w:w="0" w:type="auto"/>
            <w:gridSpan w:val="3"/>
            <w:shd w:val="clear" w:color="auto" w:fill="auto"/>
            <w:vAlign w:val="bottom"/>
          </w:tcPr>
          <w:p w14:paraId="74DDDB9E" w14:textId="77777777" w:rsidR="00584EC1" w:rsidRDefault="00584EC1">
            <w:pPr>
              <w:rPr>
                <w:rFonts w:ascii="宋体"/>
                <w:vanish/>
              </w:rPr>
            </w:pPr>
          </w:p>
        </w:tc>
        <w:tc>
          <w:tcPr>
            <w:tcW w:w="0" w:type="auto"/>
            <w:gridSpan w:val="3"/>
            <w:shd w:val="clear" w:color="auto" w:fill="auto"/>
            <w:vAlign w:val="bottom"/>
          </w:tcPr>
          <w:p w14:paraId="74DDDB9F" w14:textId="77777777" w:rsidR="00584EC1" w:rsidRDefault="00584EC1">
            <w:pPr>
              <w:rPr>
                <w:rFonts w:ascii="宋体"/>
                <w:vanish/>
              </w:rPr>
            </w:pPr>
          </w:p>
        </w:tc>
        <w:tc>
          <w:tcPr>
            <w:tcW w:w="0" w:type="auto"/>
            <w:gridSpan w:val="3"/>
            <w:shd w:val="clear" w:color="auto" w:fill="auto"/>
            <w:vAlign w:val="bottom"/>
          </w:tcPr>
          <w:p w14:paraId="74DDDBA0" w14:textId="77777777" w:rsidR="00584EC1" w:rsidRDefault="00584EC1">
            <w:pPr>
              <w:rPr>
                <w:rFonts w:ascii="宋体"/>
                <w:vanish/>
              </w:rPr>
            </w:pPr>
          </w:p>
        </w:tc>
        <w:tc>
          <w:tcPr>
            <w:tcW w:w="0" w:type="auto"/>
            <w:gridSpan w:val="3"/>
            <w:shd w:val="clear" w:color="auto" w:fill="auto"/>
            <w:vAlign w:val="bottom"/>
          </w:tcPr>
          <w:p w14:paraId="74DDDBA1" w14:textId="77777777" w:rsidR="00584EC1" w:rsidRDefault="00584EC1">
            <w:pPr>
              <w:rPr>
                <w:rFonts w:ascii="宋体"/>
                <w:vanish/>
              </w:rPr>
            </w:pPr>
          </w:p>
        </w:tc>
        <w:tc>
          <w:tcPr>
            <w:tcW w:w="0" w:type="auto"/>
            <w:gridSpan w:val="3"/>
            <w:shd w:val="clear" w:color="auto" w:fill="auto"/>
            <w:vAlign w:val="bottom"/>
          </w:tcPr>
          <w:p w14:paraId="74DDDBA2" w14:textId="77777777" w:rsidR="00584EC1" w:rsidRDefault="00584EC1">
            <w:pPr>
              <w:rPr>
                <w:rFonts w:ascii="宋体"/>
                <w:vanish/>
              </w:rPr>
            </w:pPr>
          </w:p>
        </w:tc>
        <w:tc>
          <w:tcPr>
            <w:tcW w:w="0" w:type="auto"/>
            <w:gridSpan w:val="3"/>
            <w:shd w:val="clear" w:color="auto" w:fill="auto"/>
            <w:vAlign w:val="bottom"/>
          </w:tcPr>
          <w:p w14:paraId="74DDDBA3" w14:textId="77777777" w:rsidR="00584EC1" w:rsidRDefault="00584EC1">
            <w:pPr>
              <w:rPr>
                <w:rFonts w:ascii="宋体"/>
                <w:vanish/>
              </w:rPr>
            </w:pPr>
          </w:p>
        </w:tc>
        <w:tc>
          <w:tcPr>
            <w:tcW w:w="0" w:type="auto"/>
            <w:gridSpan w:val="3"/>
            <w:shd w:val="clear" w:color="auto" w:fill="auto"/>
            <w:vAlign w:val="bottom"/>
          </w:tcPr>
          <w:p w14:paraId="74DDDBA4" w14:textId="77777777" w:rsidR="00584EC1" w:rsidRDefault="00584EC1">
            <w:pPr>
              <w:rPr>
                <w:rFonts w:ascii="宋体"/>
                <w:vanish/>
              </w:rPr>
            </w:pPr>
          </w:p>
        </w:tc>
        <w:tc>
          <w:tcPr>
            <w:tcW w:w="0" w:type="auto"/>
            <w:gridSpan w:val="3"/>
            <w:shd w:val="clear" w:color="auto" w:fill="auto"/>
            <w:vAlign w:val="bottom"/>
          </w:tcPr>
          <w:p w14:paraId="74DDDBA5" w14:textId="77777777" w:rsidR="00584EC1" w:rsidRDefault="00584EC1">
            <w:pPr>
              <w:rPr>
                <w:rFonts w:ascii="宋体"/>
                <w:vanish/>
              </w:rPr>
            </w:pPr>
          </w:p>
        </w:tc>
        <w:tc>
          <w:tcPr>
            <w:tcW w:w="0" w:type="auto"/>
            <w:gridSpan w:val="3"/>
            <w:shd w:val="clear" w:color="auto" w:fill="auto"/>
            <w:vAlign w:val="bottom"/>
          </w:tcPr>
          <w:p w14:paraId="74DDDBA6" w14:textId="77777777" w:rsidR="00584EC1" w:rsidRDefault="00584EC1">
            <w:pPr>
              <w:rPr>
                <w:rFonts w:ascii="宋体"/>
                <w:vanish/>
              </w:rPr>
            </w:pPr>
          </w:p>
        </w:tc>
        <w:tc>
          <w:tcPr>
            <w:tcW w:w="0" w:type="auto"/>
            <w:gridSpan w:val="3"/>
            <w:shd w:val="clear" w:color="auto" w:fill="auto"/>
            <w:vAlign w:val="bottom"/>
          </w:tcPr>
          <w:p w14:paraId="74DDDBA7" w14:textId="77777777" w:rsidR="00584EC1" w:rsidRDefault="00584EC1">
            <w:pPr>
              <w:rPr>
                <w:rFonts w:ascii="宋体"/>
                <w:vanish/>
              </w:rPr>
            </w:pPr>
          </w:p>
        </w:tc>
        <w:tc>
          <w:tcPr>
            <w:tcW w:w="0" w:type="auto"/>
            <w:gridSpan w:val="3"/>
            <w:shd w:val="clear" w:color="auto" w:fill="auto"/>
            <w:vAlign w:val="bottom"/>
          </w:tcPr>
          <w:p w14:paraId="74DDDBA8" w14:textId="77777777" w:rsidR="00584EC1" w:rsidRDefault="00584EC1">
            <w:pPr>
              <w:rPr>
                <w:rFonts w:ascii="宋体"/>
                <w:vanish/>
              </w:rPr>
            </w:pPr>
          </w:p>
        </w:tc>
      </w:tr>
      <w:tr w:rsidR="00584EC1" w14:paraId="74DDDBC8" w14:textId="77777777">
        <w:tc>
          <w:tcPr>
            <w:tcW w:w="0" w:type="auto"/>
            <w:gridSpan w:val="3"/>
            <w:shd w:val="clear" w:color="auto" w:fill="FFFFFF"/>
            <w:tcMar>
              <w:top w:w="40" w:type="dxa"/>
              <w:left w:w="245" w:type="dxa"/>
              <w:bottom w:w="40" w:type="dxa"/>
              <w:right w:w="20" w:type="dxa"/>
            </w:tcMar>
            <w:vAlign w:val="bottom"/>
          </w:tcPr>
          <w:p w14:paraId="74DDDBAA" w14:textId="77777777" w:rsidR="00584EC1" w:rsidRDefault="00871F8D">
            <w:pPr>
              <w:textAlignment w:val="bottom"/>
            </w:pPr>
            <w:r>
              <w:rPr>
                <w:rFonts w:ascii="Arial" w:eastAsia="宋体" w:hAnsi="Arial" w:cs="Arial"/>
                <w:color w:val="000000"/>
                <w:sz w:val="13"/>
                <w:szCs w:val="13"/>
              </w:rPr>
              <w:t>Collateralized loan obligations</w:t>
            </w:r>
          </w:p>
        </w:tc>
        <w:tc>
          <w:tcPr>
            <w:tcW w:w="0" w:type="auto"/>
            <w:gridSpan w:val="2"/>
            <w:shd w:val="clear" w:color="auto" w:fill="FFFFFF"/>
            <w:tcMar>
              <w:top w:w="40" w:type="dxa"/>
              <w:left w:w="20" w:type="dxa"/>
              <w:bottom w:w="40" w:type="dxa"/>
              <w:right w:w="0" w:type="dxa"/>
            </w:tcMar>
            <w:vAlign w:val="bottom"/>
          </w:tcPr>
          <w:p w14:paraId="74DDDBAB" w14:textId="77777777" w:rsidR="00584EC1" w:rsidRDefault="00871F8D">
            <w:pPr>
              <w:jc w:val="right"/>
              <w:textAlignment w:val="bottom"/>
            </w:pPr>
            <w:r>
              <w:rPr>
                <w:rFonts w:ascii="Arial" w:eastAsia="宋体" w:hAnsi="Arial" w:cs="Arial"/>
                <w:b/>
                <w:bCs/>
                <w:color w:val="000000"/>
                <w:sz w:val="13"/>
                <w:szCs w:val="13"/>
              </w:rPr>
              <w:t>29</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BA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BA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BAE" w14:textId="77777777" w:rsidR="00584EC1" w:rsidRDefault="00871F8D">
            <w:pPr>
              <w:jc w:val="right"/>
              <w:textAlignment w:val="bottom"/>
            </w:pPr>
            <w:r>
              <w:rPr>
                <w:rFonts w:ascii="Arial" w:eastAsia="宋体" w:hAnsi="Arial" w:cs="Arial"/>
                <w:b/>
                <w:bCs/>
                <w:color w:val="000000"/>
                <w:sz w:val="13"/>
                <w:szCs w:val="13"/>
              </w:rPr>
              <w:t>30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BA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BB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BB1" w14:textId="77777777" w:rsidR="00584EC1" w:rsidRDefault="00871F8D">
            <w:pPr>
              <w:jc w:val="right"/>
              <w:textAlignment w:val="bottom"/>
            </w:pPr>
            <w:r>
              <w:rPr>
                <w:rFonts w:ascii="Arial" w:eastAsia="宋体" w:hAnsi="Arial" w:cs="Arial"/>
                <w:b/>
                <w:bCs/>
                <w:color w:val="000000"/>
                <w:sz w:val="13"/>
                <w:szCs w:val="13"/>
              </w:rPr>
              <w:t>760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BB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BB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BB4" w14:textId="77777777" w:rsidR="00584EC1" w:rsidRDefault="00871F8D">
            <w:pPr>
              <w:jc w:val="right"/>
              <w:textAlignment w:val="bottom"/>
            </w:pPr>
            <w:r>
              <w:rPr>
                <w:rFonts w:ascii="Arial" w:eastAsia="宋体" w:hAnsi="Arial" w:cs="Arial"/>
                <w:b/>
                <w:bCs/>
                <w:color w:val="000000"/>
                <w:sz w:val="13"/>
                <w:szCs w:val="13"/>
              </w:rPr>
              <w:t>761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BB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BB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BB7" w14:textId="77777777" w:rsidR="00584EC1" w:rsidRDefault="00871F8D">
            <w:pPr>
              <w:jc w:val="right"/>
              <w:textAlignment w:val="bottom"/>
            </w:pPr>
            <w:r>
              <w:rPr>
                <w:rFonts w:ascii="Arial" w:eastAsia="宋体" w:hAnsi="Arial" w:cs="Arial"/>
                <w:b/>
                <w:bCs/>
                <w:color w:val="000000"/>
                <w:sz w:val="13"/>
                <w:szCs w:val="13"/>
              </w:rPr>
              <w:t>1,656</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BB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BB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BBA" w14:textId="77777777" w:rsidR="00584EC1" w:rsidRDefault="00871F8D">
            <w:pPr>
              <w:jc w:val="right"/>
              <w:textAlignment w:val="bottom"/>
            </w:pPr>
            <w:r>
              <w:rPr>
                <w:rFonts w:ascii="Arial" w:eastAsia="宋体" w:hAnsi="Arial" w:cs="Arial"/>
                <w:b/>
                <w:bCs/>
                <w:color w:val="000000"/>
                <w:sz w:val="13"/>
                <w:szCs w:val="13"/>
              </w:rPr>
              <w:t>1,656</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BB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BB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BBD" w14:textId="77777777" w:rsidR="00584EC1" w:rsidRDefault="00871F8D">
            <w:pPr>
              <w:jc w:val="right"/>
              <w:textAlignment w:val="bottom"/>
            </w:pPr>
            <w:r>
              <w:rPr>
                <w:rFonts w:ascii="Arial" w:eastAsia="宋体" w:hAnsi="Arial" w:cs="Arial"/>
                <w:b/>
                <w:bCs/>
                <w:color w:val="000000"/>
                <w:sz w:val="13"/>
                <w:szCs w:val="13"/>
              </w:rPr>
              <w:t>1,848</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BB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BB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BC0" w14:textId="77777777" w:rsidR="00584EC1" w:rsidRDefault="00871F8D">
            <w:pPr>
              <w:jc w:val="right"/>
              <w:textAlignment w:val="bottom"/>
            </w:pPr>
            <w:r>
              <w:rPr>
                <w:rFonts w:ascii="Arial" w:eastAsia="宋体" w:hAnsi="Arial" w:cs="Arial"/>
                <w:b/>
                <w:bCs/>
                <w:color w:val="000000"/>
                <w:sz w:val="13"/>
                <w:szCs w:val="13"/>
              </w:rPr>
              <w:t>1,849</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BC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BC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BC3" w14:textId="77777777" w:rsidR="00584EC1" w:rsidRDefault="00871F8D">
            <w:pPr>
              <w:jc w:val="right"/>
              <w:textAlignment w:val="bottom"/>
            </w:pPr>
            <w:r>
              <w:rPr>
                <w:rFonts w:ascii="Arial" w:eastAsia="宋体" w:hAnsi="Arial" w:cs="Arial"/>
                <w:b/>
                <w:bCs/>
                <w:color w:val="000000"/>
                <w:sz w:val="13"/>
                <w:szCs w:val="13"/>
              </w:rPr>
              <w:t>4,293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BC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BC5"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BC6" w14:textId="77777777" w:rsidR="00584EC1" w:rsidRDefault="00871F8D">
            <w:pPr>
              <w:jc w:val="right"/>
              <w:textAlignment w:val="bottom"/>
            </w:pPr>
            <w:r>
              <w:rPr>
                <w:rFonts w:ascii="Arial" w:eastAsia="宋体" w:hAnsi="Arial" w:cs="Arial"/>
                <w:b/>
                <w:bCs/>
                <w:color w:val="000000"/>
                <w:sz w:val="13"/>
                <w:szCs w:val="13"/>
              </w:rPr>
              <w:t>4,296</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BC7" w14:textId="77777777" w:rsidR="00584EC1" w:rsidRDefault="00584EC1">
            <w:pPr>
              <w:jc w:val="right"/>
              <w:rPr>
                <w:rFonts w:ascii="宋体"/>
              </w:rPr>
            </w:pPr>
          </w:p>
        </w:tc>
      </w:tr>
      <w:tr w:rsidR="00584EC1" w14:paraId="74DDDBE7" w14:textId="77777777">
        <w:tc>
          <w:tcPr>
            <w:tcW w:w="0" w:type="auto"/>
            <w:gridSpan w:val="3"/>
            <w:shd w:val="clear" w:color="auto" w:fill="CCEEFF"/>
            <w:tcMar>
              <w:top w:w="40" w:type="dxa"/>
              <w:left w:w="245" w:type="dxa"/>
              <w:bottom w:w="40" w:type="dxa"/>
              <w:right w:w="20" w:type="dxa"/>
            </w:tcMar>
            <w:vAlign w:val="bottom"/>
          </w:tcPr>
          <w:p w14:paraId="74DDDBC9" w14:textId="77777777" w:rsidR="00584EC1" w:rsidRDefault="00871F8D">
            <w:pPr>
              <w:textAlignment w:val="bottom"/>
            </w:pPr>
            <w:r>
              <w:rPr>
                <w:rFonts w:ascii="Arial" w:eastAsia="宋体" w:hAnsi="Arial" w:cs="Arial"/>
                <w:color w:val="000000"/>
                <w:sz w:val="13"/>
                <w:szCs w:val="13"/>
              </w:rPr>
              <w:t>Non-agency CMBS and RMBS</w:t>
            </w:r>
          </w:p>
        </w:tc>
        <w:tc>
          <w:tcPr>
            <w:tcW w:w="0" w:type="auto"/>
            <w:gridSpan w:val="2"/>
            <w:shd w:val="clear" w:color="auto" w:fill="CCEEFF"/>
            <w:tcMar>
              <w:top w:w="40" w:type="dxa"/>
              <w:left w:w="20" w:type="dxa"/>
              <w:bottom w:w="40" w:type="dxa"/>
              <w:right w:w="0" w:type="dxa"/>
            </w:tcMar>
            <w:vAlign w:val="bottom"/>
          </w:tcPr>
          <w:p w14:paraId="74DDDBCA" w14:textId="77777777" w:rsidR="00584EC1" w:rsidRDefault="00871F8D">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BC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BCC"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BCD" w14:textId="77777777" w:rsidR="00584EC1" w:rsidRDefault="00871F8D">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BC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BCF"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BD0" w14:textId="77777777" w:rsidR="00584EC1" w:rsidRDefault="00871F8D">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BD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BD2"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BD3" w14:textId="77777777" w:rsidR="00584EC1" w:rsidRDefault="00871F8D">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BD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BD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BD6" w14:textId="77777777" w:rsidR="00584EC1" w:rsidRDefault="00871F8D">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BD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BD8"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BD9" w14:textId="77777777" w:rsidR="00584EC1" w:rsidRDefault="00871F8D">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BD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BD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BDC" w14:textId="77777777" w:rsidR="00584EC1" w:rsidRDefault="00871F8D">
            <w:pPr>
              <w:jc w:val="right"/>
              <w:textAlignment w:val="bottom"/>
            </w:pPr>
            <w:r>
              <w:rPr>
                <w:rFonts w:ascii="Arial" w:eastAsia="宋体" w:hAnsi="Arial" w:cs="Arial"/>
                <w:b/>
                <w:bCs/>
                <w:color w:val="000000"/>
                <w:sz w:val="13"/>
                <w:szCs w:val="13"/>
              </w:rPr>
              <w:t>58</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BD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BDE"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BDF" w14:textId="77777777" w:rsidR="00584EC1" w:rsidRDefault="00871F8D">
            <w:pPr>
              <w:jc w:val="right"/>
              <w:textAlignment w:val="bottom"/>
            </w:pPr>
            <w:r>
              <w:rPr>
                <w:rFonts w:ascii="Arial" w:eastAsia="宋体" w:hAnsi="Arial" w:cs="Arial"/>
                <w:b/>
                <w:bCs/>
                <w:color w:val="000000"/>
                <w:sz w:val="13"/>
                <w:szCs w:val="13"/>
              </w:rPr>
              <w:t>59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BE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BE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BE2" w14:textId="77777777" w:rsidR="00584EC1" w:rsidRDefault="00871F8D">
            <w:pPr>
              <w:jc w:val="right"/>
              <w:textAlignment w:val="bottom"/>
            </w:pPr>
            <w:r>
              <w:rPr>
                <w:rFonts w:ascii="Arial" w:eastAsia="宋体" w:hAnsi="Arial" w:cs="Arial"/>
                <w:b/>
                <w:bCs/>
                <w:color w:val="000000"/>
                <w:sz w:val="13"/>
                <w:szCs w:val="13"/>
              </w:rPr>
              <w:t>58</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BE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BE4"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BE5" w14:textId="77777777" w:rsidR="00584EC1" w:rsidRDefault="00871F8D">
            <w:pPr>
              <w:jc w:val="right"/>
              <w:textAlignment w:val="bottom"/>
            </w:pPr>
            <w:r>
              <w:rPr>
                <w:rFonts w:ascii="Arial" w:eastAsia="宋体" w:hAnsi="Arial" w:cs="Arial"/>
                <w:b/>
                <w:bCs/>
                <w:color w:val="000000"/>
                <w:sz w:val="13"/>
                <w:szCs w:val="13"/>
              </w:rPr>
              <w:t>59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BE6" w14:textId="77777777" w:rsidR="00584EC1" w:rsidRDefault="00584EC1">
            <w:pPr>
              <w:jc w:val="right"/>
              <w:rPr>
                <w:rFonts w:ascii="宋体"/>
              </w:rPr>
            </w:pPr>
          </w:p>
        </w:tc>
      </w:tr>
      <w:tr w:rsidR="00584EC1" w14:paraId="74DDDC06" w14:textId="77777777">
        <w:tc>
          <w:tcPr>
            <w:tcW w:w="0" w:type="auto"/>
            <w:gridSpan w:val="3"/>
            <w:shd w:val="clear" w:color="auto" w:fill="FFFFFF"/>
            <w:tcMar>
              <w:top w:w="40" w:type="dxa"/>
              <w:left w:w="245" w:type="dxa"/>
              <w:bottom w:w="40" w:type="dxa"/>
              <w:right w:w="20" w:type="dxa"/>
            </w:tcMar>
            <w:vAlign w:val="bottom"/>
          </w:tcPr>
          <w:p w14:paraId="74DDDBE8" w14:textId="77777777" w:rsidR="00584EC1" w:rsidRDefault="00871F8D">
            <w:pPr>
              <w:textAlignment w:val="bottom"/>
            </w:pPr>
            <w:r>
              <w:rPr>
                <w:rFonts w:ascii="Arial" w:eastAsia="宋体" w:hAnsi="Arial" w:cs="Arial"/>
                <w:color w:val="000000"/>
                <w:sz w:val="13"/>
                <w:szCs w:val="13"/>
              </w:rPr>
              <w:t>Other</w:t>
            </w:r>
          </w:p>
        </w:tc>
        <w:tc>
          <w:tcPr>
            <w:tcW w:w="0" w:type="auto"/>
            <w:gridSpan w:val="2"/>
            <w:shd w:val="clear" w:color="auto" w:fill="FFFFFF"/>
            <w:tcMar>
              <w:top w:w="40" w:type="dxa"/>
              <w:left w:w="20" w:type="dxa"/>
              <w:bottom w:w="40" w:type="dxa"/>
              <w:right w:w="0" w:type="dxa"/>
            </w:tcMar>
            <w:vAlign w:val="bottom"/>
          </w:tcPr>
          <w:p w14:paraId="74DDDBE9" w14:textId="77777777" w:rsidR="00584EC1" w:rsidRDefault="00871F8D">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BE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BEB"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BEC" w14:textId="77777777" w:rsidR="00584EC1" w:rsidRDefault="00871F8D">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BE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BE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BEF" w14:textId="77777777" w:rsidR="00584EC1" w:rsidRDefault="00871F8D">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BF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BF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BF2" w14:textId="77777777" w:rsidR="00584EC1" w:rsidRDefault="00871F8D">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BF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BF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BF5" w14:textId="77777777" w:rsidR="00584EC1" w:rsidRDefault="00871F8D">
            <w:pPr>
              <w:jc w:val="right"/>
              <w:textAlignment w:val="bottom"/>
            </w:pPr>
            <w:r>
              <w:rPr>
                <w:rFonts w:ascii="Arial" w:eastAsia="宋体" w:hAnsi="Arial" w:cs="Arial"/>
                <w:b/>
                <w:bCs/>
                <w:color w:val="000000"/>
                <w:sz w:val="13"/>
                <w:szCs w:val="13"/>
              </w:rPr>
              <w:t>90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BF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BF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BF8" w14:textId="77777777" w:rsidR="00584EC1" w:rsidRDefault="00871F8D">
            <w:pPr>
              <w:jc w:val="right"/>
              <w:textAlignment w:val="bottom"/>
            </w:pPr>
            <w:r>
              <w:rPr>
                <w:rFonts w:ascii="Arial" w:eastAsia="宋体" w:hAnsi="Arial" w:cs="Arial"/>
                <w:b/>
                <w:bCs/>
                <w:color w:val="000000"/>
                <w:sz w:val="13"/>
                <w:szCs w:val="13"/>
              </w:rPr>
              <w:t>92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BF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BF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BFB" w14:textId="77777777" w:rsidR="00584EC1" w:rsidRDefault="00871F8D">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BF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BF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BFE" w14:textId="77777777" w:rsidR="00584EC1" w:rsidRDefault="00871F8D">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BF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C0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C01" w14:textId="77777777" w:rsidR="00584EC1" w:rsidRDefault="00871F8D">
            <w:pPr>
              <w:jc w:val="right"/>
              <w:textAlignment w:val="bottom"/>
            </w:pPr>
            <w:r>
              <w:rPr>
                <w:rFonts w:ascii="Arial" w:eastAsia="宋体" w:hAnsi="Arial" w:cs="Arial"/>
                <w:b/>
                <w:bCs/>
                <w:color w:val="000000"/>
                <w:sz w:val="13"/>
                <w:szCs w:val="13"/>
              </w:rPr>
              <w:t>90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C0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C0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C04" w14:textId="77777777" w:rsidR="00584EC1" w:rsidRDefault="00871F8D">
            <w:pPr>
              <w:jc w:val="right"/>
              <w:textAlignment w:val="bottom"/>
            </w:pPr>
            <w:r>
              <w:rPr>
                <w:rFonts w:ascii="Arial" w:eastAsia="宋体" w:hAnsi="Arial" w:cs="Arial"/>
                <w:b/>
                <w:bCs/>
                <w:color w:val="000000"/>
                <w:sz w:val="13"/>
                <w:szCs w:val="13"/>
              </w:rPr>
              <w:t>92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C05" w14:textId="77777777" w:rsidR="00584EC1" w:rsidRDefault="00584EC1">
            <w:pPr>
              <w:jc w:val="right"/>
              <w:rPr>
                <w:rFonts w:ascii="宋体"/>
              </w:rPr>
            </w:pPr>
          </w:p>
        </w:tc>
      </w:tr>
      <w:tr w:rsidR="00584EC1" w14:paraId="74DDDC25" w14:textId="77777777">
        <w:tc>
          <w:tcPr>
            <w:tcW w:w="0" w:type="auto"/>
            <w:gridSpan w:val="3"/>
            <w:shd w:val="clear" w:color="auto" w:fill="CCEEFF"/>
            <w:tcMar>
              <w:top w:w="40" w:type="dxa"/>
              <w:left w:w="395" w:type="dxa"/>
              <w:bottom w:w="40" w:type="dxa"/>
              <w:right w:w="20" w:type="dxa"/>
            </w:tcMar>
            <w:vAlign w:val="bottom"/>
          </w:tcPr>
          <w:p w14:paraId="74DDDC07" w14:textId="77777777" w:rsidR="00584EC1" w:rsidRDefault="00871F8D">
            <w:pPr>
              <w:textAlignment w:val="bottom"/>
            </w:pPr>
            <w:r>
              <w:rPr>
                <w:rFonts w:ascii="Arial" w:eastAsia="宋体" w:hAnsi="Arial" w:cs="Arial"/>
                <w:color w:val="000000"/>
                <w:sz w:val="13"/>
                <w:szCs w:val="13"/>
              </w:rPr>
              <w:t>Total asset-backed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C08" w14:textId="77777777" w:rsidR="00584EC1" w:rsidRDefault="00871F8D">
            <w:pPr>
              <w:jc w:val="right"/>
              <w:textAlignment w:val="bottom"/>
            </w:pPr>
            <w:r>
              <w:rPr>
                <w:rFonts w:ascii="Arial" w:eastAsia="宋体" w:hAnsi="Arial" w:cs="Arial"/>
                <w:b/>
                <w:bCs/>
                <w:color w:val="000000"/>
                <w:sz w:val="13"/>
                <w:szCs w:val="13"/>
              </w:rPr>
              <w:t>158</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C0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C0A"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C0B" w14:textId="77777777" w:rsidR="00584EC1" w:rsidRDefault="00871F8D">
            <w:pPr>
              <w:jc w:val="right"/>
              <w:textAlignment w:val="bottom"/>
            </w:pPr>
            <w:r>
              <w:rPr>
                <w:rFonts w:ascii="Arial" w:eastAsia="宋体" w:hAnsi="Arial" w:cs="Arial"/>
                <w:b/>
                <w:bCs/>
                <w:color w:val="000000"/>
                <w:sz w:val="13"/>
                <w:szCs w:val="13"/>
              </w:rPr>
              <w:t>161</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C0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C0D"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C0E" w14:textId="77777777" w:rsidR="00584EC1" w:rsidRDefault="00871F8D">
            <w:pPr>
              <w:jc w:val="right"/>
              <w:textAlignment w:val="bottom"/>
            </w:pPr>
            <w:r>
              <w:rPr>
                <w:rFonts w:ascii="Arial" w:eastAsia="宋体" w:hAnsi="Arial" w:cs="Arial"/>
                <w:b/>
                <w:bCs/>
                <w:color w:val="000000"/>
                <w:sz w:val="13"/>
                <w:szCs w:val="13"/>
              </w:rPr>
              <w:t>760</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C0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C10"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C11" w14:textId="77777777" w:rsidR="00584EC1" w:rsidRDefault="00871F8D">
            <w:pPr>
              <w:jc w:val="right"/>
              <w:textAlignment w:val="bottom"/>
            </w:pPr>
            <w:r>
              <w:rPr>
                <w:rFonts w:ascii="Arial" w:eastAsia="宋体" w:hAnsi="Arial" w:cs="Arial"/>
                <w:b/>
                <w:bCs/>
                <w:color w:val="000000"/>
                <w:sz w:val="13"/>
                <w:szCs w:val="13"/>
              </w:rPr>
              <w:t>761</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C1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C13"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C14" w14:textId="77777777" w:rsidR="00584EC1" w:rsidRDefault="00871F8D">
            <w:pPr>
              <w:jc w:val="right"/>
              <w:textAlignment w:val="bottom"/>
            </w:pPr>
            <w:r>
              <w:rPr>
                <w:rFonts w:ascii="Arial" w:eastAsia="宋体" w:hAnsi="Arial" w:cs="Arial"/>
                <w:b/>
                <w:bCs/>
                <w:color w:val="000000"/>
                <w:sz w:val="13"/>
                <w:szCs w:val="13"/>
              </w:rPr>
              <w:t>1,746</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C1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C16"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C17" w14:textId="77777777" w:rsidR="00584EC1" w:rsidRDefault="00871F8D">
            <w:pPr>
              <w:jc w:val="right"/>
              <w:textAlignment w:val="bottom"/>
            </w:pPr>
            <w:r>
              <w:rPr>
                <w:rFonts w:ascii="Arial" w:eastAsia="宋体" w:hAnsi="Arial" w:cs="Arial"/>
                <w:b/>
                <w:bCs/>
                <w:color w:val="000000"/>
                <w:sz w:val="13"/>
                <w:szCs w:val="13"/>
              </w:rPr>
              <w:t>1,748</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C1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C19"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C1A" w14:textId="77777777" w:rsidR="00584EC1" w:rsidRDefault="00871F8D">
            <w:pPr>
              <w:jc w:val="right"/>
              <w:textAlignment w:val="bottom"/>
            </w:pPr>
            <w:r>
              <w:rPr>
                <w:rFonts w:ascii="Arial" w:eastAsia="宋体" w:hAnsi="Arial" w:cs="Arial"/>
                <w:b/>
                <w:bCs/>
                <w:color w:val="000000"/>
                <w:sz w:val="13"/>
                <w:szCs w:val="13"/>
              </w:rPr>
              <w:t>2,005</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C1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C1C"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C1D" w14:textId="77777777" w:rsidR="00584EC1" w:rsidRDefault="00871F8D">
            <w:pPr>
              <w:jc w:val="right"/>
              <w:textAlignment w:val="bottom"/>
            </w:pPr>
            <w:r>
              <w:rPr>
                <w:rFonts w:ascii="Arial" w:eastAsia="宋体" w:hAnsi="Arial" w:cs="Arial"/>
                <w:b/>
                <w:bCs/>
                <w:color w:val="000000"/>
                <w:sz w:val="13"/>
                <w:szCs w:val="13"/>
              </w:rPr>
              <w:t>2,008</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C1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C1F"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C20" w14:textId="77777777" w:rsidR="00584EC1" w:rsidRDefault="00871F8D">
            <w:pPr>
              <w:jc w:val="right"/>
              <w:textAlignment w:val="bottom"/>
            </w:pPr>
            <w:r>
              <w:rPr>
                <w:rFonts w:ascii="Arial" w:eastAsia="宋体" w:hAnsi="Arial" w:cs="Arial"/>
                <w:b/>
                <w:bCs/>
                <w:color w:val="000000"/>
                <w:sz w:val="13"/>
                <w:szCs w:val="13"/>
              </w:rPr>
              <w:t>4,669</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C2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C22"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C23" w14:textId="77777777" w:rsidR="00584EC1" w:rsidRDefault="00871F8D">
            <w:pPr>
              <w:jc w:val="right"/>
              <w:textAlignment w:val="bottom"/>
            </w:pPr>
            <w:r>
              <w:rPr>
                <w:rFonts w:ascii="Arial" w:eastAsia="宋体" w:hAnsi="Arial" w:cs="Arial"/>
                <w:b/>
                <w:bCs/>
                <w:color w:val="000000"/>
                <w:sz w:val="13"/>
                <w:szCs w:val="13"/>
              </w:rPr>
              <w:t>4,678</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C24" w14:textId="77777777" w:rsidR="00584EC1" w:rsidRDefault="00584EC1">
            <w:pPr>
              <w:jc w:val="right"/>
              <w:rPr>
                <w:rFonts w:ascii="宋体"/>
              </w:rPr>
            </w:pPr>
          </w:p>
        </w:tc>
      </w:tr>
      <w:tr w:rsidR="00584EC1" w14:paraId="74DDDC3A" w14:textId="77777777">
        <w:trPr>
          <w:hidden/>
        </w:trPr>
        <w:tc>
          <w:tcPr>
            <w:tcW w:w="0" w:type="auto"/>
            <w:gridSpan w:val="3"/>
            <w:shd w:val="clear" w:color="auto" w:fill="auto"/>
            <w:vAlign w:val="bottom"/>
          </w:tcPr>
          <w:p w14:paraId="74DDDC26" w14:textId="77777777" w:rsidR="00584EC1" w:rsidRDefault="00584EC1">
            <w:pPr>
              <w:rPr>
                <w:rFonts w:ascii="宋体"/>
                <w:vanish/>
              </w:rPr>
            </w:pPr>
          </w:p>
        </w:tc>
        <w:tc>
          <w:tcPr>
            <w:tcW w:w="0" w:type="auto"/>
            <w:gridSpan w:val="3"/>
            <w:shd w:val="clear" w:color="auto" w:fill="auto"/>
            <w:vAlign w:val="bottom"/>
          </w:tcPr>
          <w:p w14:paraId="74DDDC27" w14:textId="77777777" w:rsidR="00584EC1" w:rsidRDefault="00584EC1">
            <w:pPr>
              <w:rPr>
                <w:rFonts w:ascii="宋体"/>
                <w:vanish/>
              </w:rPr>
            </w:pPr>
          </w:p>
        </w:tc>
        <w:tc>
          <w:tcPr>
            <w:tcW w:w="0" w:type="auto"/>
            <w:gridSpan w:val="3"/>
            <w:shd w:val="clear" w:color="auto" w:fill="auto"/>
            <w:vAlign w:val="bottom"/>
          </w:tcPr>
          <w:p w14:paraId="74DDDC28" w14:textId="77777777" w:rsidR="00584EC1" w:rsidRDefault="00584EC1">
            <w:pPr>
              <w:rPr>
                <w:rFonts w:ascii="宋体"/>
                <w:vanish/>
              </w:rPr>
            </w:pPr>
          </w:p>
        </w:tc>
        <w:tc>
          <w:tcPr>
            <w:tcW w:w="0" w:type="auto"/>
            <w:gridSpan w:val="3"/>
            <w:shd w:val="clear" w:color="auto" w:fill="auto"/>
            <w:vAlign w:val="bottom"/>
          </w:tcPr>
          <w:p w14:paraId="74DDDC29" w14:textId="77777777" w:rsidR="00584EC1" w:rsidRDefault="00584EC1">
            <w:pPr>
              <w:rPr>
                <w:rFonts w:ascii="宋体"/>
                <w:vanish/>
              </w:rPr>
            </w:pPr>
          </w:p>
        </w:tc>
        <w:tc>
          <w:tcPr>
            <w:tcW w:w="0" w:type="auto"/>
            <w:gridSpan w:val="3"/>
            <w:shd w:val="clear" w:color="auto" w:fill="auto"/>
            <w:vAlign w:val="bottom"/>
          </w:tcPr>
          <w:p w14:paraId="74DDDC2A" w14:textId="77777777" w:rsidR="00584EC1" w:rsidRDefault="00584EC1">
            <w:pPr>
              <w:rPr>
                <w:rFonts w:ascii="宋体"/>
                <w:vanish/>
              </w:rPr>
            </w:pPr>
          </w:p>
        </w:tc>
        <w:tc>
          <w:tcPr>
            <w:tcW w:w="0" w:type="auto"/>
            <w:gridSpan w:val="3"/>
            <w:shd w:val="clear" w:color="auto" w:fill="auto"/>
            <w:vAlign w:val="bottom"/>
          </w:tcPr>
          <w:p w14:paraId="74DDDC2B" w14:textId="77777777" w:rsidR="00584EC1" w:rsidRDefault="00584EC1">
            <w:pPr>
              <w:rPr>
                <w:rFonts w:ascii="宋体"/>
                <w:vanish/>
              </w:rPr>
            </w:pPr>
          </w:p>
        </w:tc>
        <w:tc>
          <w:tcPr>
            <w:tcW w:w="0" w:type="auto"/>
            <w:gridSpan w:val="3"/>
            <w:shd w:val="clear" w:color="auto" w:fill="auto"/>
            <w:vAlign w:val="bottom"/>
          </w:tcPr>
          <w:p w14:paraId="74DDDC2C" w14:textId="77777777" w:rsidR="00584EC1" w:rsidRDefault="00584EC1">
            <w:pPr>
              <w:rPr>
                <w:rFonts w:ascii="宋体"/>
                <w:vanish/>
              </w:rPr>
            </w:pPr>
          </w:p>
        </w:tc>
        <w:tc>
          <w:tcPr>
            <w:tcW w:w="0" w:type="auto"/>
            <w:gridSpan w:val="3"/>
            <w:shd w:val="clear" w:color="auto" w:fill="auto"/>
            <w:vAlign w:val="bottom"/>
          </w:tcPr>
          <w:p w14:paraId="74DDDC2D" w14:textId="77777777" w:rsidR="00584EC1" w:rsidRDefault="00584EC1">
            <w:pPr>
              <w:rPr>
                <w:rFonts w:ascii="宋体"/>
                <w:vanish/>
              </w:rPr>
            </w:pPr>
          </w:p>
        </w:tc>
        <w:tc>
          <w:tcPr>
            <w:tcW w:w="0" w:type="auto"/>
            <w:gridSpan w:val="3"/>
            <w:shd w:val="clear" w:color="auto" w:fill="auto"/>
            <w:vAlign w:val="bottom"/>
          </w:tcPr>
          <w:p w14:paraId="74DDDC2E" w14:textId="77777777" w:rsidR="00584EC1" w:rsidRDefault="00584EC1">
            <w:pPr>
              <w:rPr>
                <w:rFonts w:ascii="宋体"/>
                <w:vanish/>
              </w:rPr>
            </w:pPr>
          </w:p>
        </w:tc>
        <w:tc>
          <w:tcPr>
            <w:tcW w:w="0" w:type="auto"/>
            <w:gridSpan w:val="3"/>
            <w:shd w:val="clear" w:color="auto" w:fill="auto"/>
            <w:vAlign w:val="bottom"/>
          </w:tcPr>
          <w:p w14:paraId="74DDDC2F" w14:textId="77777777" w:rsidR="00584EC1" w:rsidRDefault="00584EC1">
            <w:pPr>
              <w:rPr>
                <w:rFonts w:ascii="宋体"/>
                <w:vanish/>
              </w:rPr>
            </w:pPr>
          </w:p>
        </w:tc>
        <w:tc>
          <w:tcPr>
            <w:tcW w:w="0" w:type="auto"/>
            <w:gridSpan w:val="3"/>
            <w:shd w:val="clear" w:color="auto" w:fill="auto"/>
            <w:vAlign w:val="bottom"/>
          </w:tcPr>
          <w:p w14:paraId="74DDDC30" w14:textId="77777777" w:rsidR="00584EC1" w:rsidRDefault="00584EC1">
            <w:pPr>
              <w:rPr>
                <w:rFonts w:ascii="宋体"/>
                <w:vanish/>
              </w:rPr>
            </w:pPr>
          </w:p>
        </w:tc>
        <w:tc>
          <w:tcPr>
            <w:tcW w:w="0" w:type="auto"/>
            <w:gridSpan w:val="3"/>
            <w:shd w:val="clear" w:color="auto" w:fill="auto"/>
            <w:vAlign w:val="bottom"/>
          </w:tcPr>
          <w:p w14:paraId="74DDDC31" w14:textId="77777777" w:rsidR="00584EC1" w:rsidRDefault="00584EC1">
            <w:pPr>
              <w:rPr>
                <w:rFonts w:ascii="宋体"/>
                <w:vanish/>
              </w:rPr>
            </w:pPr>
          </w:p>
        </w:tc>
        <w:tc>
          <w:tcPr>
            <w:tcW w:w="0" w:type="auto"/>
            <w:gridSpan w:val="3"/>
            <w:shd w:val="clear" w:color="auto" w:fill="auto"/>
            <w:vAlign w:val="bottom"/>
          </w:tcPr>
          <w:p w14:paraId="74DDDC32" w14:textId="77777777" w:rsidR="00584EC1" w:rsidRDefault="00584EC1">
            <w:pPr>
              <w:rPr>
                <w:rFonts w:ascii="宋体"/>
                <w:vanish/>
              </w:rPr>
            </w:pPr>
          </w:p>
        </w:tc>
        <w:tc>
          <w:tcPr>
            <w:tcW w:w="0" w:type="auto"/>
            <w:gridSpan w:val="3"/>
            <w:shd w:val="clear" w:color="auto" w:fill="auto"/>
            <w:vAlign w:val="bottom"/>
          </w:tcPr>
          <w:p w14:paraId="74DDDC33" w14:textId="77777777" w:rsidR="00584EC1" w:rsidRDefault="00584EC1">
            <w:pPr>
              <w:rPr>
                <w:rFonts w:ascii="宋体"/>
                <w:vanish/>
              </w:rPr>
            </w:pPr>
          </w:p>
        </w:tc>
        <w:tc>
          <w:tcPr>
            <w:tcW w:w="0" w:type="auto"/>
            <w:gridSpan w:val="3"/>
            <w:shd w:val="clear" w:color="auto" w:fill="auto"/>
            <w:vAlign w:val="bottom"/>
          </w:tcPr>
          <w:p w14:paraId="74DDDC34" w14:textId="77777777" w:rsidR="00584EC1" w:rsidRDefault="00584EC1">
            <w:pPr>
              <w:rPr>
                <w:rFonts w:ascii="宋体"/>
                <w:vanish/>
              </w:rPr>
            </w:pPr>
          </w:p>
        </w:tc>
        <w:tc>
          <w:tcPr>
            <w:tcW w:w="0" w:type="auto"/>
            <w:gridSpan w:val="3"/>
            <w:shd w:val="clear" w:color="auto" w:fill="auto"/>
            <w:vAlign w:val="bottom"/>
          </w:tcPr>
          <w:p w14:paraId="74DDDC35" w14:textId="77777777" w:rsidR="00584EC1" w:rsidRDefault="00584EC1">
            <w:pPr>
              <w:rPr>
                <w:rFonts w:ascii="宋体"/>
                <w:vanish/>
              </w:rPr>
            </w:pPr>
          </w:p>
        </w:tc>
        <w:tc>
          <w:tcPr>
            <w:tcW w:w="0" w:type="auto"/>
            <w:gridSpan w:val="3"/>
            <w:shd w:val="clear" w:color="auto" w:fill="auto"/>
            <w:vAlign w:val="bottom"/>
          </w:tcPr>
          <w:p w14:paraId="74DDDC36" w14:textId="77777777" w:rsidR="00584EC1" w:rsidRDefault="00584EC1">
            <w:pPr>
              <w:rPr>
                <w:rFonts w:ascii="宋体"/>
                <w:vanish/>
              </w:rPr>
            </w:pPr>
          </w:p>
        </w:tc>
        <w:tc>
          <w:tcPr>
            <w:tcW w:w="0" w:type="auto"/>
            <w:gridSpan w:val="3"/>
            <w:shd w:val="clear" w:color="auto" w:fill="auto"/>
            <w:vAlign w:val="bottom"/>
          </w:tcPr>
          <w:p w14:paraId="74DDDC37" w14:textId="77777777" w:rsidR="00584EC1" w:rsidRDefault="00584EC1">
            <w:pPr>
              <w:rPr>
                <w:rFonts w:ascii="宋体"/>
                <w:vanish/>
              </w:rPr>
            </w:pPr>
          </w:p>
        </w:tc>
        <w:tc>
          <w:tcPr>
            <w:tcW w:w="0" w:type="auto"/>
            <w:gridSpan w:val="3"/>
            <w:shd w:val="clear" w:color="auto" w:fill="auto"/>
            <w:vAlign w:val="bottom"/>
          </w:tcPr>
          <w:p w14:paraId="74DDDC38" w14:textId="77777777" w:rsidR="00584EC1" w:rsidRDefault="00584EC1">
            <w:pPr>
              <w:rPr>
                <w:rFonts w:ascii="宋体"/>
                <w:vanish/>
              </w:rPr>
            </w:pPr>
          </w:p>
        </w:tc>
        <w:tc>
          <w:tcPr>
            <w:tcW w:w="0" w:type="auto"/>
            <w:gridSpan w:val="3"/>
            <w:shd w:val="clear" w:color="auto" w:fill="auto"/>
            <w:vAlign w:val="bottom"/>
          </w:tcPr>
          <w:p w14:paraId="74DDDC39" w14:textId="77777777" w:rsidR="00584EC1" w:rsidRDefault="00584EC1">
            <w:pPr>
              <w:rPr>
                <w:rFonts w:ascii="宋体"/>
                <w:vanish/>
              </w:rPr>
            </w:pPr>
          </w:p>
        </w:tc>
      </w:tr>
      <w:tr w:rsidR="00584EC1" w14:paraId="74DDDC4F" w14:textId="77777777">
        <w:trPr>
          <w:hidden/>
        </w:trPr>
        <w:tc>
          <w:tcPr>
            <w:tcW w:w="0" w:type="auto"/>
            <w:gridSpan w:val="3"/>
            <w:shd w:val="clear" w:color="auto" w:fill="auto"/>
            <w:vAlign w:val="bottom"/>
          </w:tcPr>
          <w:p w14:paraId="74DDDC3B" w14:textId="77777777" w:rsidR="00584EC1" w:rsidRDefault="00584EC1">
            <w:pPr>
              <w:rPr>
                <w:rFonts w:ascii="宋体"/>
                <w:vanish/>
              </w:rPr>
            </w:pPr>
          </w:p>
        </w:tc>
        <w:tc>
          <w:tcPr>
            <w:tcW w:w="0" w:type="auto"/>
            <w:gridSpan w:val="3"/>
            <w:shd w:val="clear" w:color="auto" w:fill="auto"/>
            <w:vAlign w:val="bottom"/>
          </w:tcPr>
          <w:p w14:paraId="74DDDC3C" w14:textId="77777777" w:rsidR="00584EC1" w:rsidRDefault="00584EC1">
            <w:pPr>
              <w:rPr>
                <w:rFonts w:ascii="宋体"/>
                <w:vanish/>
              </w:rPr>
            </w:pPr>
          </w:p>
        </w:tc>
        <w:tc>
          <w:tcPr>
            <w:tcW w:w="0" w:type="auto"/>
            <w:gridSpan w:val="3"/>
            <w:shd w:val="clear" w:color="auto" w:fill="auto"/>
            <w:vAlign w:val="bottom"/>
          </w:tcPr>
          <w:p w14:paraId="74DDDC3D" w14:textId="77777777" w:rsidR="00584EC1" w:rsidRDefault="00584EC1">
            <w:pPr>
              <w:rPr>
                <w:rFonts w:ascii="宋体"/>
                <w:vanish/>
              </w:rPr>
            </w:pPr>
          </w:p>
        </w:tc>
        <w:tc>
          <w:tcPr>
            <w:tcW w:w="0" w:type="auto"/>
            <w:gridSpan w:val="3"/>
            <w:shd w:val="clear" w:color="auto" w:fill="auto"/>
            <w:vAlign w:val="bottom"/>
          </w:tcPr>
          <w:p w14:paraId="74DDDC3E" w14:textId="77777777" w:rsidR="00584EC1" w:rsidRDefault="00584EC1">
            <w:pPr>
              <w:rPr>
                <w:rFonts w:ascii="宋体"/>
                <w:vanish/>
              </w:rPr>
            </w:pPr>
          </w:p>
        </w:tc>
        <w:tc>
          <w:tcPr>
            <w:tcW w:w="0" w:type="auto"/>
            <w:gridSpan w:val="3"/>
            <w:shd w:val="clear" w:color="auto" w:fill="auto"/>
            <w:vAlign w:val="bottom"/>
          </w:tcPr>
          <w:p w14:paraId="74DDDC3F" w14:textId="77777777" w:rsidR="00584EC1" w:rsidRDefault="00584EC1">
            <w:pPr>
              <w:rPr>
                <w:rFonts w:ascii="宋体"/>
                <w:vanish/>
              </w:rPr>
            </w:pPr>
          </w:p>
        </w:tc>
        <w:tc>
          <w:tcPr>
            <w:tcW w:w="0" w:type="auto"/>
            <w:gridSpan w:val="3"/>
            <w:shd w:val="clear" w:color="auto" w:fill="auto"/>
            <w:vAlign w:val="bottom"/>
          </w:tcPr>
          <w:p w14:paraId="74DDDC40" w14:textId="77777777" w:rsidR="00584EC1" w:rsidRDefault="00584EC1">
            <w:pPr>
              <w:rPr>
                <w:rFonts w:ascii="宋体"/>
                <w:vanish/>
              </w:rPr>
            </w:pPr>
          </w:p>
        </w:tc>
        <w:tc>
          <w:tcPr>
            <w:tcW w:w="0" w:type="auto"/>
            <w:gridSpan w:val="3"/>
            <w:shd w:val="clear" w:color="auto" w:fill="auto"/>
            <w:vAlign w:val="bottom"/>
          </w:tcPr>
          <w:p w14:paraId="74DDDC41" w14:textId="77777777" w:rsidR="00584EC1" w:rsidRDefault="00584EC1">
            <w:pPr>
              <w:rPr>
                <w:rFonts w:ascii="宋体"/>
                <w:vanish/>
              </w:rPr>
            </w:pPr>
          </w:p>
        </w:tc>
        <w:tc>
          <w:tcPr>
            <w:tcW w:w="0" w:type="auto"/>
            <w:gridSpan w:val="3"/>
            <w:shd w:val="clear" w:color="auto" w:fill="auto"/>
            <w:vAlign w:val="bottom"/>
          </w:tcPr>
          <w:p w14:paraId="74DDDC42" w14:textId="77777777" w:rsidR="00584EC1" w:rsidRDefault="00584EC1">
            <w:pPr>
              <w:rPr>
                <w:rFonts w:ascii="宋体"/>
                <w:vanish/>
              </w:rPr>
            </w:pPr>
          </w:p>
        </w:tc>
        <w:tc>
          <w:tcPr>
            <w:tcW w:w="0" w:type="auto"/>
            <w:gridSpan w:val="3"/>
            <w:shd w:val="clear" w:color="auto" w:fill="auto"/>
            <w:vAlign w:val="bottom"/>
          </w:tcPr>
          <w:p w14:paraId="74DDDC43" w14:textId="77777777" w:rsidR="00584EC1" w:rsidRDefault="00584EC1">
            <w:pPr>
              <w:rPr>
                <w:rFonts w:ascii="宋体"/>
                <w:vanish/>
              </w:rPr>
            </w:pPr>
          </w:p>
        </w:tc>
        <w:tc>
          <w:tcPr>
            <w:tcW w:w="0" w:type="auto"/>
            <w:gridSpan w:val="3"/>
            <w:shd w:val="clear" w:color="auto" w:fill="auto"/>
            <w:vAlign w:val="bottom"/>
          </w:tcPr>
          <w:p w14:paraId="74DDDC44" w14:textId="77777777" w:rsidR="00584EC1" w:rsidRDefault="00584EC1">
            <w:pPr>
              <w:rPr>
                <w:rFonts w:ascii="宋体"/>
                <w:vanish/>
              </w:rPr>
            </w:pPr>
          </w:p>
        </w:tc>
        <w:tc>
          <w:tcPr>
            <w:tcW w:w="0" w:type="auto"/>
            <w:gridSpan w:val="3"/>
            <w:shd w:val="clear" w:color="auto" w:fill="auto"/>
            <w:vAlign w:val="bottom"/>
          </w:tcPr>
          <w:p w14:paraId="74DDDC45" w14:textId="77777777" w:rsidR="00584EC1" w:rsidRDefault="00584EC1">
            <w:pPr>
              <w:rPr>
                <w:rFonts w:ascii="宋体"/>
                <w:vanish/>
              </w:rPr>
            </w:pPr>
          </w:p>
        </w:tc>
        <w:tc>
          <w:tcPr>
            <w:tcW w:w="0" w:type="auto"/>
            <w:gridSpan w:val="3"/>
            <w:shd w:val="clear" w:color="auto" w:fill="auto"/>
            <w:vAlign w:val="bottom"/>
          </w:tcPr>
          <w:p w14:paraId="74DDDC46" w14:textId="77777777" w:rsidR="00584EC1" w:rsidRDefault="00584EC1">
            <w:pPr>
              <w:rPr>
                <w:rFonts w:ascii="宋体"/>
                <w:vanish/>
              </w:rPr>
            </w:pPr>
          </w:p>
        </w:tc>
        <w:tc>
          <w:tcPr>
            <w:tcW w:w="0" w:type="auto"/>
            <w:gridSpan w:val="3"/>
            <w:shd w:val="clear" w:color="auto" w:fill="auto"/>
            <w:vAlign w:val="bottom"/>
          </w:tcPr>
          <w:p w14:paraId="74DDDC47" w14:textId="77777777" w:rsidR="00584EC1" w:rsidRDefault="00584EC1">
            <w:pPr>
              <w:rPr>
                <w:rFonts w:ascii="宋体"/>
                <w:vanish/>
              </w:rPr>
            </w:pPr>
          </w:p>
        </w:tc>
        <w:tc>
          <w:tcPr>
            <w:tcW w:w="0" w:type="auto"/>
            <w:gridSpan w:val="3"/>
            <w:shd w:val="clear" w:color="auto" w:fill="auto"/>
            <w:vAlign w:val="bottom"/>
          </w:tcPr>
          <w:p w14:paraId="74DDDC48" w14:textId="77777777" w:rsidR="00584EC1" w:rsidRDefault="00584EC1">
            <w:pPr>
              <w:rPr>
                <w:rFonts w:ascii="宋体"/>
                <w:vanish/>
              </w:rPr>
            </w:pPr>
          </w:p>
        </w:tc>
        <w:tc>
          <w:tcPr>
            <w:tcW w:w="0" w:type="auto"/>
            <w:gridSpan w:val="3"/>
            <w:shd w:val="clear" w:color="auto" w:fill="auto"/>
            <w:vAlign w:val="bottom"/>
          </w:tcPr>
          <w:p w14:paraId="74DDDC49" w14:textId="77777777" w:rsidR="00584EC1" w:rsidRDefault="00584EC1">
            <w:pPr>
              <w:rPr>
                <w:rFonts w:ascii="宋体"/>
                <w:vanish/>
              </w:rPr>
            </w:pPr>
          </w:p>
        </w:tc>
        <w:tc>
          <w:tcPr>
            <w:tcW w:w="0" w:type="auto"/>
            <w:gridSpan w:val="3"/>
            <w:shd w:val="clear" w:color="auto" w:fill="auto"/>
            <w:vAlign w:val="bottom"/>
          </w:tcPr>
          <w:p w14:paraId="74DDDC4A" w14:textId="77777777" w:rsidR="00584EC1" w:rsidRDefault="00584EC1">
            <w:pPr>
              <w:rPr>
                <w:rFonts w:ascii="宋体"/>
                <w:vanish/>
              </w:rPr>
            </w:pPr>
          </w:p>
        </w:tc>
        <w:tc>
          <w:tcPr>
            <w:tcW w:w="0" w:type="auto"/>
            <w:gridSpan w:val="3"/>
            <w:shd w:val="clear" w:color="auto" w:fill="auto"/>
            <w:vAlign w:val="bottom"/>
          </w:tcPr>
          <w:p w14:paraId="74DDDC4B" w14:textId="77777777" w:rsidR="00584EC1" w:rsidRDefault="00584EC1">
            <w:pPr>
              <w:rPr>
                <w:rFonts w:ascii="宋体"/>
                <w:vanish/>
              </w:rPr>
            </w:pPr>
          </w:p>
        </w:tc>
        <w:tc>
          <w:tcPr>
            <w:tcW w:w="0" w:type="auto"/>
            <w:gridSpan w:val="3"/>
            <w:shd w:val="clear" w:color="auto" w:fill="auto"/>
            <w:vAlign w:val="bottom"/>
          </w:tcPr>
          <w:p w14:paraId="74DDDC4C" w14:textId="77777777" w:rsidR="00584EC1" w:rsidRDefault="00584EC1">
            <w:pPr>
              <w:rPr>
                <w:rFonts w:ascii="宋体"/>
                <w:vanish/>
              </w:rPr>
            </w:pPr>
          </w:p>
        </w:tc>
        <w:tc>
          <w:tcPr>
            <w:tcW w:w="0" w:type="auto"/>
            <w:gridSpan w:val="3"/>
            <w:shd w:val="clear" w:color="auto" w:fill="auto"/>
            <w:vAlign w:val="bottom"/>
          </w:tcPr>
          <w:p w14:paraId="74DDDC4D" w14:textId="77777777" w:rsidR="00584EC1" w:rsidRDefault="00584EC1">
            <w:pPr>
              <w:rPr>
                <w:rFonts w:ascii="宋体"/>
                <w:vanish/>
              </w:rPr>
            </w:pPr>
          </w:p>
        </w:tc>
        <w:tc>
          <w:tcPr>
            <w:tcW w:w="0" w:type="auto"/>
            <w:gridSpan w:val="3"/>
            <w:shd w:val="clear" w:color="auto" w:fill="auto"/>
            <w:vAlign w:val="bottom"/>
          </w:tcPr>
          <w:p w14:paraId="74DDDC4E" w14:textId="77777777" w:rsidR="00584EC1" w:rsidRDefault="00584EC1">
            <w:pPr>
              <w:rPr>
                <w:rFonts w:ascii="宋体"/>
                <w:vanish/>
              </w:rPr>
            </w:pPr>
          </w:p>
        </w:tc>
      </w:tr>
      <w:tr w:rsidR="00584EC1" w14:paraId="74DDDC64" w14:textId="77777777">
        <w:trPr>
          <w:hidden/>
        </w:trPr>
        <w:tc>
          <w:tcPr>
            <w:tcW w:w="0" w:type="auto"/>
            <w:gridSpan w:val="3"/>
            <w:shd w:val="clear" w:color="auto" w:fill="auto"/>
            <w:vAlign w:val="bottom"/>
          </w:tcPr>
          <w:p w14:paraId="74DDDC50" w14:textId="77777777" w:rsidR="00584EC1" w:rsidRDefault="00584EC1">
            <w:pPr>
              <w:rPr>
                <w:rFonts w:ascii="宋体"/>
                <w:vanish/>
              </w:rPr>
            </w:pPr>
          </w:p>
        </w:tc>
        <w:tc>
          <w:tcPr>
            <w:tcW w:w="0" w:type="auto"/>
            <w:gridSpan w:val="3"/>
            <w:shd w:val="clear" w:color="auto" w:fill="auto"/>
            <w:vAlign w:val="bottom"/>
          </w:tcPr>
          <w:p w14:paraId="74DDDC51" w14:textId="77777777" w:rsidR="00584EC1" w:rsidRDefault="00584EC1">
            <w:pPr>
              <w:rPr>
                <w:rFonts w:ascii="宋体"/>
                <w:vanish/>
              </w:rPr>
            </w:pPr>
          </w:p>
        </w:tc>
        <w:tc>
          <w:tcPr>
            <w:tcW w:w="0" w:type="auto"/>
            <w:gridSpan w:val="3"/>
            <w:shd w:val="clear" w:color="auto" w:fill="auto"/>
            <w:vAlign w:val="bottom"/>
          </w:tcPr>
          <w:p w14:paraId="74DDDC52" w14:textId="77777777" w:rsidR="00584EC1" w:rsidRDefault="00584EC1">
            <w:pPr>
              <w:rPr>
                <w:rFonts w:ascii="宋体"/>
                <w:vanish/>
              </w:rPr>
            </w:pPr>
          </w:p>
        </w:tc>
        <w:tc>
          <w:tcPr>
            <w:tcW w:w="0" w:type="auto"/>
            <w:gridSpan w:val="3"/>
            <w:shd w:val="clear" w:color="auto" w:fill="auto"/>
            <w:vAlign w:val="bottom"/>
          </w:tcPr>
          <w:p w14:paraId="74DDDC53" w14:textId="77777777" w:rsidR="00584EC1" w:rsidRDefault="00584EC1">
            <w:pPr>
              <w:rPr>
                <w:rFonts w:ascii="宋体"/>
                <w:vanish/>
              </w:rPr>
            </w:pPr>
          </w:p>
        </w:tc>
        <w:tc>
          <w:tcPr>
            <w:tcW w:w="0" w:type="auto"/>
            <w:gridSpan w:val="3"/>
            <w:shd w:val="clear" w:color="auto" w:fill="auto"/>
            <w:vAlign w:val="bottom"/>
          </w:tcPr>
          <w:p w14:paraId="74DDDC54" w14:textId="77777777" w:rsidR="00584EC1" w:rsidRDefault="00584EC1">
            <w:pPr>
              <w:rPr>
                <w:rFonts w:ascii="宋体"/>
                <w:vanish/>
              </w:rPr>
            </w:pPr>
          </w:p>
        </w:tc>
        <w:tc>
          <w:tcPr>
            <w:tcW w:w="0" w:type="auto"/>
            <w:gridSpan w:val="3"/>
            <w:shd w:val="clear" w:color="auto" w:fill="auto"/>
            <w:vAlign w:val="bottom"/>
          </w:tcPr>
          <w:p w14:paraId="74DDDC55" w14:textId="77777777" w:rsidR="00584EC1" w:rsidRDefault="00584EC1">
            <w:pPr>
              <w:rPr>
                <w:rFonts w:ascii="宋体"/>
                <w:vanish/>
              </w:rPr>
            </w:pPr>
          </w:p>
        </w:tc>
        <w:tc>
          <w:tcPr>
            <w:tcW w:w="0" w:type="auto"/>
            <w:gridSpan w:val="3"/>
            <w:shd w:val="clear" w:color="auto" w:fill="auto"/>
            <w:vAlign w:val="bottom"/>
          </w:tcPr>
          <w:p w14:paraId="74DDDC56" w14:textId="77777777" w:rsidR="00584EC1" w:rsidRDefault="00584EC1">
            <w:pPr>
              <w:rPr>
                <w:rFonts w:ascii="宋体"/>
                <w:vanish/>
              </w:rPr>
            </w:pPr>
          </w:p>
        </w:tc>
        <w:tc>
          <w:tcPr>
            <w:tcW w:w="0" w:type="auto"/>
            <w:gridSpan w:val="3"/>
            <w:shd w:val="clear" w:color="auto" w:fill="auto"/>
            <w:vAlign w:val="bottom"/>
          </w:tcPr>
          <w:p w14:paraId="74DDDC57" w14:textId="77777777" w:rsidR="00584EC1" w:rsidRDefault="00584EC1">
            <w:pPr>
              <w:rPr>
                <w:rFonts w:ascii="宋体"/>
                <w:vanish/>
              </w:rPr>
            </w:pPr>
          </w:p>
        </w:tc>
        <w:tc>
          <w:tcPr>
            <w:tcW w:w="0" w:type="auto"/>
            <w:gridSpan w:val="3"/>
            <w:shd w:val="clear" w:color="auto" w:fill="auto"/>
            <w:vAlign w:val="bottom"/>
          </w:tcPr>
          <w:p w14:paraId="74DDDC58" w14:textId="77777777" w:rsidR="00584EC1" w:rsidRDefault="00584EC1">
            <w:pPr>
              <w:rPr>
                <w:rFonts w:ascii="宋体"/>
                <w:vanish/>
              </w:rPr>
            </w:pPr>
          </w:p>
        </w:tc>
        <w:tc>
          <w:tcPr>
            <w:tcW w:w="0" w:type="auto"/>
            <w:gridSpan w:val="3"/>
            <w:shd w:val="clear" w:color="auto" w:fill="auto"/>
            <w:vAlign w:val="bottom"/>
          </w:tcPr>
          <w:p w14:paraId="74DDDC59" w14:textId="77777777" w:rsidR="00584EC1" w:rsidRDefault="00584EC1">
            <w:pPr>
              <w:rPr>
                <w:rFonts w:ascii="宋体"/>
                <w:vanish/>
              </w:rPr>
            </w:pPr>
          </w:p>
        </w:tc>
        <w:tc>
          <w:tcPr>
            <w:tcW w:w="0" w:type="auto"/>
            <w:gridSpan w:val="3"/>
            <w:shd w:val="clear" w:color="auto" w:fill="auto"/>
            <w:vAlign w:val="bottom"/>
          </w:tcPr>
          <w:p w14:paraId="74DDDC5A" w14:textId="77777777" w:rsidR="00584EC1" w:rsidRDefault="00584EC1">
            <w:pPr>
              <w:rPr>
                <w:rFonts w:ascii="宋体"/>
                <w:vanish/>
              </w:rPr>
            </w:pPr>
          </w:p>
        </w:tc>
        <w:tc>
          <w:tcPr>
            <w:tcW w:w="0" w:type="auto"/>
            <w:gridSpan w:val="3"/>
            <w:shd w:val="clear" w:color="auto" w:fill="auto"/>
            <w:vAlign w:val="bottom"/>
          </w:tcPr>
          <w:p w14:paraId="74DDDC5B" w14:textId="77777777" w:rsidR="00584EC1" w:rsidRDefault="00584EC1">
            <w:pPr>
              <w:rPr>
                <w:rFonts w:ascii="宋体"/>
                <w:vanish/>
              </w:rPr>
            </w:pPr>
          </w:p>
        </w:tc>
        <w:tc>
          <w:tcPr>
            <w:tcW w:w="0" w:type="auto"/>
            <w:gridSpan w:val="3"/>
            <w:shd w:val="clear" w:color="auto" w:fill="auto"/>
            <w:vAlign w:val="bottom"/>
          </w:tcPr>
          <w:p w14:paraId="74DDDC5C" w14:textId="77777777" w:rsidR="00584EC1" w:rsidRDefault="00584EC1">
            <w:pPr>
              <w:rPr>
                <w:rFonts w:ascii="宋体"/>
                <w:vanish/>
              </w:rPr>
            </w:pPr>
          </w:p>
        </w:tc>
        <w:tc>
          <w:tcPr>
            <w:tcW w:w="0" w:type="auto"/>
            <w:gridSpan w:val="3"/>
            <w:shd w:val="clear" w:color="auto" w:fill="auto"/>
            <w:vAlign w:val="bottom"/>
          </w:tcPr>
          <w:p w14:paraId="74DDDC5D" w14:textId="77777777" w:rsidR="00584EC1" w:rsidRDefault="00584EC1">
            <w:pPr>
              <w:rPr>
                <w:rFonts w:ascii="宋体"/>
                <w:vanish/>
              </w:rPr>
            </w:pPr>
          </w:p>
        </w:tc>
        <w:tc>
          <w:tcPr>
            <w:tcW w:w="0" w:type="auto"/>
            <w:gridSpan w:val="3"/>
            <w:shd w:val="clear" w:color="auto" w:fill="auto"/>
            <w:vAlign w:val="bottom"/>
          </w:tcPr>
          <w:p w14:paraId="74DDDC5E" w14:textId="77777777" w:rsidR="00584EC1" w:rsidRDefault="00584EC1">
            <w:pPr>
              <w:rPr>
                <w:rFonts w:ascii="宋体"/>
                <w:vanish/>
              </w:rPr>
            </w:pPr>
          </w:p>
        </w:tc>
        <w:tc>
          <w:tcPr>
            <w:tcW w:w="0" w:type="auto"/>
            <w:gridSpan w:val="3"/>
            <w:shd w:val="clear" w:color="auto" w:fill="auto"/>
            <w:vAlign w:val="bottom"/>
          </w:tcPr>
          <w:p w14:paraId="74DDDC5F" w14:textId="77777777" w:rsidR="00584EC1" w:rsidRDefault="00584EC1">
            <w:pPr>
              <w:rPr>
                <w:rFonts w:ascii="宋体"/>
                <w:vanish/>
              </w:rPr>
            </w:pPr>
          </w:p>
        </w:tc>
        <w:tc>
          <w:tcPr>
            <w:tcW w:w="0" w:type="auto"/>
            <w:gridSpan w:val="3"/>
            <w:shd w:val="clear" w:color="auto" w:fill="auto"/>
            <w:vAlign w:val="bottom"/>
          </w:tcPr>
          <w:p w14:paraId="74DDDC60" w14:textId="77777777" w:rsidR="00584EC1" w:rsidRDefault="00584EC1">
            <w:pPr>
              <w:rPr>
                <w:rFonts w:ascii="宋体"/>
                <w:vanish/>
              </w:rPr>
            </w:pPr>
          </w:p>
        </w:tc>
        <w:tc>
          <w:tcPr>
            <w:tcW w:w="0" w:type="auto"/>
            <w:gridSpan w:val="3"/>
            <w:shd w:val="clear" w:color="auto" w:fill="auto"/>
            <w:vAlign w:val="bottom"/>
          </w:tcPr>
          <w:p w14:paraId="74DDDC61" w14:textId="77777777" w:rsidR="00584EC1" w:rsidRDefault="00584EC1">
            <w:pPr>
              <w:rPr>
                <w:rFonts w:ascii="宋体"/>
                <w:vanish/>
              </w:rPr>
            </w:pPr>
          </w:p>
        </w:tc>
        <w:tc>
          <w:tcPr>
            <w:tcW w:w="0" w:type="auto"/>
            <w:gridSpan w:val="3"/>
            <w:shd w:val="clear" w:color="auto" w:fill="auto"/>
            <w:vAlign w:val="bottom"/>
          </w:tcPr>
          <w:p w14:paraId="74DDDC62" w14:textId="77777777" w:rsidR="00584EC1" w:rsidRDefault="00584EC1">
            <w:pPr>
              <w:rPr>
                <w:rFonts w:ascii="宋体"/>
                <w:vanish/>
              </w:rPr>
            </w:pPr>
          </w:p>
        </w:tc>
        <w:tc>
          <w:tcPr>
            <w:tcW w:w="0" w:type="auto"/>
            <w:gridSpan w:val="3"/>
            <w:shd w:val="clear" w:color="auto" w:fill="auto"/>
            <w:vAlign w:val="bottom"/>
          </w:tcPr>
          <w:p w14:paraId="74DDDC63" w14:textId="77777777" w:rsidR="00584EC1" w:rsidRDefault="00584EC1">
            <w:pPr>
              <w:rPr>
                <w:rFonts w:ascii="宋体"/>
                <w:vanish/>
              </w:rPr>
            </w:pPr>
          </w:p>
        </w:tc>
      </w:tr>
      <w:tr w:rsidR="00584EC1" w14:paraId="74DDDC79" w14:textId="77777777">
        <w:trPr>
          <w:hidden/>
        </w:trPr>
        <w:tc>
          <w:tcPr>
            <w:tcW w:w="0" w:type="auto"/>
            <w:gridSpan w:val="3"/>
            <w:shd w:val="clear" w:color="auto" w:fill="auto"/>
            <w:vAlign w:val="bottom"/>
          </w:tcPr>
          <w:p w14:paraId="74DDDC65" w14:textId="77777777" w:rsidR="00584EC1" w:rsidRDefault="00584EC1">
            <w:pPr>
              <w:rPr>
                <w:rFonts w:ascii="宋体"/>
                <w:vanish/>
              </w:rPr>
            </w:pPr>
          </w:p>
        </w:tc>
        <w:tc>
          <w:tcPr>
            <w:tcW w:w="0" w:type="auto"/>
            <w:gridSpan w:val="3"/>
            <w:shd w:val="clear" w:color="auto" w:fill="auto"/>
            <w:vAlign w:val="bottom"/>
          </w:tcPr>
          <w:p w14:paraId="74DDDC66" w14:textId="77777777" w:rsidR="00584EC1" w:rsidRDefault="00584EC1">
            <w:pPr>
              <w:rPr>
                <w:rFonts w:ascii="宋体"/>
                <w:vanish/>
              </w:rPr>
            </w:pPr>
          </w:p>
        </w:tc>
        <w:tc>
          <w:tcPr>
            <w:tcW w:w="0" w:type="auto"/>
            <w:gridSpan w:val="3"/>
            <w:shd w:val="clear" w:color="auto" w:fill="auto"/>
            <w:vAlign w:val="bottom"/>
          </w:tcPr>
          <w:p w14:paraId="74DDDC67" w14:textId="77777777" w:rsidR="00584EC1" w:rsidRDefault="00584EC1">
            <w:pPr>
              <w:rPr>
                <w:rFonts w:ascii="宋体"/>
                <w:vanish/>
              </w:rPr>
            </w:pPr>
          </w:p>
        </w:tc>
        <w:tc>
          <w:tcPr>
            <w:tcW w:w="0" w:type="auto"/>
            <w:gridSpan w:val="3"/>
            <w:shd w:val="clear" w:color="auto" w:fill="auto"/>
            <w:vAlign w:val="bottom"/>
          </w:tcPr>
          <w:p w14:paraId="74DDDC68" w14:textId="77777777" w:rsidR="00584EC1" w:rsidRDefault="00584EC1">
            <w:pPr>
              <w:rPr>
                <w:rFonts w:ascii="宋体"/>
                <w:vanish/>
              </w:rPr>
            </w:pPr>
          </w:p>
        </w:tc>
        <w:tc>
          <w:tcPr>
            <w:tcW w:w="0" w:type="auto"/>
            <w:gridSpan w:val="3"/>
            <w:shd w:val="clear" w:color="auto" w:fill="auto"/>
            <w:vAlign w:val="bottom"/>
          </w:tcPr>
          <w:p w14:paraId="74DDDC69" w14:textId="77777777" w:rsidR="00584EC1" w:rsidRDefault="00584EC1">
            <w:pPr>
              <w:rPr>
                <w:rFonts w:ascii="宋体"/>
                <w:vanish/>
              </w:rPr>
            </w:pPr>
          </w:p>
        </w:tc>
        <w:tc>
          <w:tcPr>
            <w:tcW w:w="0" w:type="auto"/>
            <w:gridSpan w:val="3"/>
            <w:shd w:val="clear" w:color="auto" w:fill="auto"/>
            <w:vAlign w:val="bottom"/>
          </w:tcPr>
          <w:p w14:paraId="74DDDC6A" w14:textId="77777777" w:rsidR="00584EC1" w:rsidRDefault="00584EC1">
            <w:pPr>
              <w:rPr>
                <w:rFonts w:ascii="宋体"/>
                <w:vanish/>
              </w:rPr>
            </w:pPr>
          </w:p>
        </w:tc>
        <w:tc>
          <w:tcPr>
            <w:tcW w:w="0" w:type="auto"/>
            <w:gridSpan w:val="3"/>
            <w:shd w:val="clear" w:color="auto" w:fill="auto"/>
            <w:vAlign w:val="bottom"/>
          </w:tcPr>
          <w:p w14:paraId="74DDDC6B" w14:textId="77777777" w:rsidR="00584EC1" w:rsidRDefault="00584EC1">
            <w:pPr>
              <w:rPr>
                <w:rFonts w:ascii="宋体"/>
                <w:vanish/>
              </w:rPr>
            </w:pPr>
          </w:p>
        </w:tc>
        <w:tc>
          <w:tcPr>
            <w:tcW w:w="0" w:type="auto"/>
            <w:gridSpan w:val="3"/>
            <w:shd w:val="clear" w:color="auto" w:fill="auto"/>
            <w:vAlign w:val="bottom"/>
          </w:tcPr>
          <w:p w14:paraId="74DDDC6C" w14:textId="77777777" w:rsidR="00584EC1" w:rsidRDefault="00584EC1">
            <w:pPr>
              <w:rPr>
                <w:rFonts w:ascii="宋体"/>
                <w:vanish/>
              </w:rPr>
            </w:pPr>
          </w:p>
        </w:tc>
        <w:tc>
          <w:tcPr>
            <w:tcW w:w="0" w:type="auto"/>
            <w:gridSpan w:val="3"/>
            <w:shd w:val="clear" w:color="auto" w:fill="auto"/>
            <w:vAlign w:val="bottom"/>
          </w:tcPr>
          <w:p w14:paraId="74DDDC6D" w14:textId="77777777" w:rsidR="00584EC1" w:rsidRDefault="00584EC1">
            <w:pPr>
              <w:rPr>
                <w:rFonts w:ascii="宋体"/>
                <w:vanish/>
              </w:rPr>
            </w:pPr>
          </w:p>
        </w:tc>
        <w:tc>
          <w:tcPr>
            <w:tcW w:w="0" w:type="auto"/>
            <w:gridSpan w:val="3"/>
            <w:shd w:val="clear" w:color="auto" w:fill="auto"/>
            <w:vAlign w:val="bottom"/>
          </w:tcPr>
          <w:p w14:paraId="74DDDC6E" w14:textId="77777777" w:rsidR="00584EC1" w:rsidRDefault="00584EC1">
            <w:pPr>
              <w:rPr>
                <w:rFonts w:ascii="宋体"/>
                <w:vanish/>
              </w:rPr>
            </w:pPr>
          </w:p>
        </w:tc>
        <w:tc>
          <w:tcPr>
            <w:tcW w:w="0" w:type="auto"/>
            <w:gridSpan w:val="3"/>
            <w:shd w:val="clear" w:color="auto" w:fill="auto"/>
            <w:vAlign w:val="bottom"/>
          </w:tcPr>
          <w:p w14:paraId="74DDDC6F" w14:textId="77777777" w:rsidR="00584EC1" w:rsidRDefault="00584EC1">
            <w:pPr>
              <w:rPr>
                <w:rFonts w:ascii="宋体"/>
                <w:vanish/>
              </w:rPr>
            </w:pPr>
          </w:p>
        </w:tc>
        <w:tc>
          <w:tcPr>
            <w:tcW w:w="0" w:type="auto"/>
            <w:gridSpan w:val="3"/>
            <w:shd w:val="clear" w:color="auto" w:fill="auto"/>
            <w:vAlign w:val="bottom"/>
          </w:tcPr>
          <w:p w14:paraId="74DDDC70" w14:textId="77777777" w:rsidR="00584EC1" w:rsidRDefault="00584EC1">
            <w:pPr>
              <w:rPr>
                <w:rFonts w:ascii="宋体"/>
                <w:vanish/>
              </w:rPr>
            </w:pPr>
          </w:p>
        </w:tc>
        <w:tc>
          <w:tcPr>
            <w:tcW w:w="0" w:type="auto"/>
            <w:gridSpan w:val="3"/>
            <w:shd w:val="clear" w:color="auto" w:fill="auto"/>
            <w:vAlign w:val="bottom"/>
          </w:tcPr>
          <w:p w14:paraId="74DDDC71" w14:textId="77777777" w:rsidR="00584EC1" w:rsidRDefault="00584EC1">
            <w:pPr>
              <w:rPr>
                <w:rFonts w:ascii="宋体"/>
                <w:vanish/>
              </w:rPr>
            </w:pPr>
          </w:p>
        </w:tc>
        <w:tc>
          <w:tcPr>
            <w:tcW w:w="0" w:type="auto"/>
            <w:gridSpan w:val="3"/>
            <w:shd w:val="clear" w:color="auto" w:fill="auto"/>
            <w:vAlign w:val="bottom"/>
          </w:tcPr>
          <w:p w14:paraId="74DDDC72" w14:textId="77777777" w:rsidR="00584EC1" w:rsidRDefault="00584EC1">
            <w:pPr>
              <w:rPr>
                <w:rFonts w:ascii="宋体"/>
                <w:vanish/>
              </w:rPr>
            </w:pPr>
          </w:p>
        </w:tc>
        <w:tc>
          <w:tcPr>
            <w:tcW w:w="0" w:type="auto"/>
            <w:gridSpan w:val="3"/>
            <w:shd w:val="clear" w:color="auto" w:fill="auto"/>
            <w:vAlign w:val="bottom"/>
          </w:tcPr>
          <w:p w14:paraId="74DDDC73" w14:textId="77777777" w:rsidR="00584EC1" w:rsidRDefault="00584EC1">
            <w:pPr>
              <w:rPr>
                <w:rFonts w:ascii="宋体"/>
                <w:vanish/>
              </w:rPr>
            </w:pPr>
          </w:p>
        </w:tc>
        <w:tc>
          <w:tcPr>
            <w:tcW w:w="0" w:type="auto"/>
            <w:gridSpan w:val="3"/>
            <w:shd w:val="clear" w:color="auto" w:fill="auto"/>
            <w:vAlign w:val="bottom"/>
          </w:tcPr>
          <w:p w14:paraId="74DDDC74" w14:textId="77777777" w:rsidR="00584EC1" w:rsidRDefault="00584EC1">
            <w:pPr>
              <w:rPr>
                <w:rFonts w:ascii="宋体"/>
                <w:vanish/>
              </w:rPr>
            </w:pPr>
          </w:p>
        </w:tc>
        <w:tc>
          <w:tcPr>
            <w:tcW w:w="0" w:type="auto"/>
            <w:gridSpan w:val="3"/>
            <w:shd w:val="clear" w:color="auto" w:fill="auto"/>
            <w:vAlign w:val="bottom"/>
          </w:tcPr>
          <w:p w14:paraId="74DDDC75" w14:textId="77777777" w:rsidR="00584EC1" w:rsidRDefault="00584EC1">
            <w:pPr>
              <w:rPr>
                <w:rFonts w:ascii="宋体"/>
                <w:vanish/>
              </w:rPr>
            </w:pPr>
          </w:p>
        </w:tc>
        <w:tc>
          <w:tcPr>
            <w:tcW w:w="0" w:type="auto"/>
            <w:gridSpan w:val="3"/>
            <w:shd w:val="clear" w:color="auto" w:fill="auto"/>
            <w:vAlign w:val="bottom"/>
          </w:tcPr>
          <w:p w14:paraId="74DDDC76" w14:textId="77777777" w:rsidR="00584EC1" w:rsidRDefault="00584EC1">
            <w:pPr>
              <w:rPr>
                <w:rFonts w:ascii="宋体"/>
                <w:vanish/>
              </w:rPr>
            </w:pPr>
          </w:p>
        </w:tc>
        <w:tc>
          <w:tcPr>
            <w:tcW w:w="0" w:type="auto"/>
            <w:gridSpan w:val="3"/>
            <w:shd w:val="clear" w:color="auto" w:fill="auto"/>
            <w:vAlign w:val="bottom"/>
          </w:tcPr>
          <w:p w14:paraId="74DDDC77" w14:textId="77777777" w:rsidR="00584EC1" w:rsidRDefault="00584EC1">
            <w:pPr>
              <w:rPr>
                <w:rFonts w:ascii="宋体"/>
                <w:vanish/>
              </w:rPr>
            </w:pPr>
          </w:p>
        </w:tc>
        <w:tc>
          <w:tcPr>
            <w:tcW w:w="0" w:type="auto"/>
            <w:gridSpan w:val="3"/>
            <w:shd w:val="clear" w:color="auto" w:fill="auto"/>
            <w:vAlign w:val="bottom"/>
          </w:tcPr>
          <w:p w14:paraId="74DDDC78" w14:textId="77777777" w:rsidR="00584EC1" w:rsidRDefault="00584EC1">
            <w:pPr>
              <w:rPr>
                <w:rFonts w:ascii="宋体"/>
                <w:vanish/>
              </w:rPr>
            </w:pPr>
          </w:p>
        </w:tc>
      </w:tr>
      <w:tr w:rsidR="00584EC1" w14:paraId="74DDDC8E" w14:textId="77777777">
        <w:trPr>
          <w:hidden/>
        </w:trPr>
        <w:tc>
          <w:tcPr>
            <w:tcW w:w="0" w:type="auto"/>
            <w:gridSpan w:val="3"/>
            <w:shd w:val="clear" w:color="auto" w:fill="auto"/>
            <w:vAlign w:val="bottom"/>
          </w:tcPr>
          <w:p w14:paraId="74DDDC7A" w14:textId="77777777" w:rsidR="00584EC1" w:rsidRDefault="00584EC1">
            <w:pPr>
              <w:rPr>
                <w:rFonts w:ascii="宋体"/>
                <w:vanish/>
              </w:rPr>
            </w:pPr>
          </w:p>
        </w:tc>
        <w:tc>
          <w:tcPr>
            <w:tcW w:w="0" w:type="auto"/>
            <w:gridSpan w:val="3"/>
            <w:shd w:val="clear" w:color="auto" w:fill="auto"/>
            <w:vAlign w:val="bottom"/>
          </w:tcPr>
          <w:p w14:paraId="74DDDC7B" w14:textId="77777777" w:rsidR="00584EC1" w:rsidRDefault="00584EC1">
            <w:pPr>
              <w:rPr>
                <w:rFonts w:ascii="宋体"/>
                <w:vanish/>
              </w:rPr>
            </w:pPr>
          </w:p>
        </w:tc>
        <w:tc>
          <w:tcPr>
            <w:tcW w:w="0" w:type="auto"/>
            <w:gridSpan w:val="3"/>
            <w:shd w:val="clear" w:color="auto" w:fill="auto"/>
            <w:vAlign w:val="bottom"/>
          </w:tcPr>
          <w:p w14:paraId="74DDDC7C" w14:textId="77777777" w:rsidR="00584EC1" w:rsidRDefault="00584EC1">
            <w:pPr>
              <w:rPr>
                <w:rFonts w:ascii="宋体"/>
                <w:vanish/>
              </w:rPr>
            </w:pPr>
          </w:p>
        </w:tc>
        <w:tc>
          <w:tcPr>
            <w:tcW w:w="0" w:type="auto"/>
            <w:gridSpan w:val="3"/>
            <w:shd w:val="clear" w:color="auto" w:fill="auto"/>
            <w:vAlign w:val="bottom"/>
          </w:tcPr>
          <w:p w14:paraId="74DDDC7D" w14:textId="77777777" w:rsidR="00584EC1" w:rsidRDefault="00584EC1">
            <w:pPr>
              <w:rPr>
                <w:rFonts w:ascii="宋体"/>
                <w:vanish/>
              </w:rPr>
            </w:pPr>
          </w:p>
        </w:tc>
        <w:tc>
          <w:tcPr>
            <w:tcW w:w="0" w:type="auto"/>
            <w:gridSpan w:val="3"/>
            <w:shd w:val="clear" w:color="auto" w:fill="auto"/>
            <w:vAlign w:val="bottom"/>
          </w:tcPr>
          <w:p w14:paraId="74DDDC7E" w14:textId="77777777" w:rsidR="00584EC1" w:rsidRDefault="00584EC1">
            <w:pPr>
              <w:rPr>
                <w:rFonts w:ascii="宋体"/>
                <w:vanish/>
              </w:rPr>
            </w:pPr>
          </w:p>
        </w:tc>
        <w:tc>
          <w:tcPr>
            <w:tcW w:w="0" w:type="auto"/>
            <w:gridSpan w:val="3"/>
            <w:shd w:val="clear" w:color="auto" w:fill="auto"/>
            <w:vAlign w:val="bottom"/>
          </w:tcPr>
          <w:p w14:paraId="74DDDC7F" w14:textId="77777777" w:rsidR="00584EC1" w:rsidRDefault="00584EC1">
            <w:pPr>
              <w:rPr>
                <w:rFonts w:ascii="宋体"/>
                <w:vanish/>
              </w:rPr>
            </w:pPr>
          </w:p>
        </w:tc>
        <w:tc>
          <w:tcPr>
            <w:tcW w:w="0" w:type="auto"/>
            <w:gridSpan w:val="3"/>
            <w:shd w:val="clear" w:color="auto" w:fill="auto"/>
            <w:vAlign w:val="bottom"/>
          </w:tcPr>
          <w:p w14:paraId="74DDDC80" w14:textId="77777777" w:rsidR="00584EC1" w:rsidRDefault="00584EC1">
            <w:pPr>
              <w:rPr>
                <w:rFonts w:ascii="宋体"/>
                <w:vanish/>
              </w:rPr>
            </w:pPr>
          </w:p>
        </w:tc>
        <w:tc>
          <w:tcPr>
            <w:tcW w:w="0" w:type="auto"/>
            <w:gridSpan w:val="3"/>
            <w:shd w:val="clear" w:color="auto" w:fill="auto"/>
            <w:vAlign w:val="bottom"/>
          </w:tcPr>
          <w:p w14:paraId="74DDDC81" w14:textId="77777777" w:rsidR="00584EC1" w:rsidRDefault="00584EC1">
            <w:pPr>
              <w:rPr>
                <w:rFonts w:ascii="宋体"/>
                <w:vanish/>
              </w:rPr>
            </w:pPr>
          </w:p>
        </w:tc>
        <w:tc>
          <w:tcPr>
            <w:tcW w:w="0" w:type="auto"/>
            <w:gridSpan w:val="3"/>
            <w:shd w:val="clear" w:color="auto" w:fill="auto"/>
            <w:vAlign w:val="bottom"/>
          </w:tcPr>
          <w:p w14:paraId="74DDDC82" w14:textId="77777777" w:rsidR="00584EC1" w:rsidRDefault="00584EC1">
            <w:pPr>
              <w:rPr>
                <w:rFonts w:ascii="宋体"/>
                <w:vanish/>
              </w:rPr>
            </w:pPr>
          </w:p>
        </w:tc>
        <w:tc>
          <w:tcPr>
            <w:tcW w:w="0" w:type="auto"/>
            <w:gridSpan w:val="3"/>
            <w:shd w:val="clear" w:color="auto" w:fill="auto"/>
            <w:vAlign w:val="bottom"/>
          </w:tcPr>
          <w:p w14:paraId="74DDDC83" w14:textId="77777777" w:rsidR="00584EC1" w:rsidRDefault="00584EC1">
            <w:pPr>
              <w:rPr>
                <w:rFonts w:ascii="宋体"/>
                <w:vanish/>
              </w:rPr>
            </w:pPr>
          </w:p>
        </w:tc>
        <w:tc>
          <w:tcPr>
            <w:tcW w:w="0" w:type="auto"/>
            <w:gridSpan w:val="3"/>
            <w:shd w:val="clear" w:color="auto" w:fill="auto"/>
            <w:vAlign w:val="bottom"/>
          </w:tcPr>
          <w:p w14:paraId="74DDDC84" w14:textId="77777777" w:rsidR="00584EC1" w:rsidRDefault="00584EC1">
            <w:pPr>
              <w:rPr>
                <w:rFonts w:ascii="宋体"/>
                <w:vanish/>
              </w:rPr>
            </w:pPr>
          </w:p>
        </w:tc>
        <w:tc>
          <w:tcPr>
            <w:tcW w:w="0" w:type="auto"/>
            <w:gridSpan w:val="3"/>
            <w:shd w:val="clear" w:color="auto" w:fill="auto"/>
            <w:vAlign w:val="bottom"/>
          </w:tcPr>
          <w:p w14:paraId="74DDDC85" w14:textId="77777777" w:rsidR="00584EC1" w:rsidRDefault="00584EC1">
            <w:pPr>
              <w:rPr>
                <w:rFonts w:ascii="宋体"/>
                <w:vanish/>
              </w:rPr>
            </w:pPr>
          </w:p>
        </w:tc>
        <w:tc>
          <w:tcPr>
            <w:tcW w:w="0" w:type="auto"/>
            <w:gridSpan w:val="3"/>
            <w:shd w:val="clear" w:color="auto" w:fill="auto"/>
            <w:vAlign w:val="bottom"/>
          </w:tcPr>
          <w:p w14:paraId="74DDDC86" w14:textId="77777777" w:rsidR="00584EC1" w:rsidRDefault="00584EC1">
            <w:pPr>
              <w:rPr>
                <w:rFonts w:ascii="宋体"/>
                <w:vanish/>
              </w:rPr>
            </w:pPr>
          </w:p>
        </w:tc>
        <w:tc>
          <w:tcPr>
            <w:tcW w:w="0" w:type="auto"/>
            <w:gridSpan w:val="3"/>
            <w:shd w:val="clear" w:color="auto" w:fill="auto"/>
            <w:vAlign w:val="bottom"/>
          </w:tcPr>
          <w:p w14:paraId="74DDDC87" w14:textId="77777777" w:rsidR="00584EC1" w:rsidRDefault="00584EC1">
            <w:pPr>
              <w:rPr>
                <w:rFonts w:ascii="宋体"/>
                <w:vanish/>
              </w:rPr>
            </w:pPr>
          </w:p>
        </w:tc>
        <w:tc>
          <w:tcPr>
            <w:tcW w:w="0" w:type="auto"/>
            <w:gridSpan w:val="3"/>
            <w:shd w:val="clear" w:color="auto" w:fill="auto"/>
            <w:vAlign w:val="bottom"/>
          </w:tcPr>
          <w:p w14:paraId="74DDDC88" w14:textId="77777777" w:rsidR="00584EC1" w:rsidRDefault="00584EC1">
            <w:pPr>
              <w:rPr>
                <w:rFonts w:ascii="宋体"/>
                <w:vanish/>
              </w:rPr>
            </w:pPr>
          </w:p>
        </w:tc>
        <w:tc>
          <w:tcPr>
            <w:tcW w:w="0" w:type="auto"/>
            <w:gridSpan w:val="3"/>
            <w:shd w:val="clear" w:color="auto" w:fill="auto"/>
            <w:vAlign w:val="bottom"/>
          </w:tcPr>
          <w:p w14:paraId="74DDDC89" w14:textId="77777777" w:rsidR="00584EC1" w:rsidRDefault="00584EC1">
            <w:pPr>
              <w:rPr>
                <w:rFonts w:ascii="宋体"/>
                <w:vanish/>
              </w:rPr>
            </w:pPr>
          </w:p>
        </w:tc>
        <w:tc>
          <w:tcPr>
            <w:tcW w:w="0" w:type="auto"/>
            <w:gridSpan w:val="3"/>
            <w:shd w:val="clear" w:color="auto" w:fill="auto"/>
            <w:vAlign w:val="bottom"/>
          </w:tcPr>
          <w:p w14:paraId="74DDDC8A" w14:textId="77777777" w:rsidR="00584EC1" w:rsidRDefault="00584EC1">
            <w:pPr>
              <w:rPr>
                <w:rFonts w:ascii="宋体"/>
                <w:vanish/>
              </w:rPr>
            </w:pPr>
          </w:p>
        </w:tc>
        <w:tc>
          <w:tcPr>
            <w:tcW w:w="0" w:type="auto"/>
            <w:gridSpan w:val="3"/>
            <w:shd w:val="clear" w:color="auto" w:fill="auto"/>
            <w:vAlign w:val="bottom"/>
          </w:tcPr>
          <w:p w14:paraId="74DDDC8B" w14:textId="77777777" w:rsidR="00584EC1" w:rsidRDefault="00584EC1">
            <w:pPr>
              <w:rPr>
                <w:rFonts w:ascii="宋体"/>
                <w:vanish/>
              </w:rPr>
            </w:pPr>
          </w:p>
        </w:tc>
        <w:tc>
          <w:tcPr>
            <w:tcW w:w="0" w:type="auto"/>
            <w:gridSpan w:val="3"/>
            <w:shd w:val="clear" w:color="auto" w:fill="auto"/>
            <w:vAlign w:val="bottom"/>
          </w:tcPr>
          <w:p w14:paraId="74DDDC8C" w14:textId="77777777" w:rsidR="00584EC1" w:rsidRDefault="00584EC1">
            <w:pPr>
              <w:rPr>
                <w:rFonts w:ascii="宋体"/>
                <w:vanish/>
              </w:rPr>
            </w:pPr>
          </w:p>
        </w:tc>
        <w:tc>
          <w:tcPr>
            <w:tcW w:w="0" w:type="auto"/>
            <w:gridSpan w:val="3"/>
            <w:shd w:val="clear" w:color="auto" w:fill="auto"/>
            <w:vAlign w:val="bottom"/>
          </w:tcPr>
          <w:p w14:paraId="74DDDC8D" w14:textId="77777777" w:rsidR="00584EC1" w:rsidRDefault="00584EC1">
            <w:pPr>
              <w:rPr>
                <w:rFonts w:ascii="宋体"/>
                <w:vanish/>
              </w:rPr>
            </w:pPr>
          </w:p>
        </w:tc>
      </w:tr>
      <w:tr w:rsidR="00584EC1" w14:paraId="74DDDCA3" w14:textId="77777777">
        <w:trPr>
          <w:hidden/>
        </w:trPr>
        <w:tc>
          <w:tcPr>
            <w:tcW w:w="0" w:type="auto"/>
            <w:gridSpan w:val="3"/>
            <w:shd w:val="clear" w:color="auto" w:fill="auto"/>
            <w:vAlign w:val="bottom"/>
          </w:tcPr>
          <w:p w14:paraId="74DDDC8F" w14:textId="77777777" w:rsidR="00584EC1" w:rsidRDefault="00584EC1">
            <w:pPr>
              <w:rPr>
                <w:rFonts w:ascii="宋体"/>
                <w:vanish/>
              </w:rPr>
            </w:pPr>
          </w:p>
        </w:tc>
        <w:tc>
          <w:tcPr>
            <w:tcW w:w="0" w:type="auto"/>
            <w:gridSpan w:val="3"/>
            <w:shd w:val="clear" w:color="auto" w:fill="auto"/>
            <w:vAlign w:val="bottom"/>
          </w:tcPr>
          <w:p w14:paraId="74DDDC90" w14:textId="77777777" w:rsidR="00584EC1" w:rsidRDefault="00584EC1">
            <w:pPr>
              <w:rPr>
                <w:rFonts w:ascii="宋体"/>
                <w:vanish/>
              </w:rPr>
            </w:pPr>
          </w:p>
        </w:tc>
        <w:tc>
          <w:tcPr>
            <w:tcW w:w="0" w:type="auto"/>
            <w:gridSpan w:val="3"/>
            <w:shd w:val="clear" w:color="auto" w:fill="auto"/>
            <w:vAlign w:val="bottom"/>
          </w:tcPr>
          <w:p w14:paraId="74DDDC91" w14:textId="77777777" w:rsidR="00584EC1" w:rsidRDefault="00584EC1">
            <w:pPr>
              <w:rPr>
                <w:rFonts w:ascii="宋体"/>
                <w:vanish/>
              </w:rPr>
            </w:pPr>
          </w:p>
        </w:tc>
        <w:tc>
          <w:tcPr>
            <w:tcW w:w="0" w:type="auto"/>
            <w:gridSpan w:val="3"/>
            <w:shd w:val="clear" w:color="auto" w:fill="auto"/>
            <w:vAlign w:val="bottom"/>
          </w:tcPr>
          <w:p w14:paraId="74DDDC92" w14:textId="77777777" w:rsidR="00584EC1" w:rsidRDefault="00584EC1">
            <w:pPr>
              <w:rPr>
                <w:rFonts w:ascii="宋体"/>
                <w:vanish/>
              </w:rPr>
            </w:pPr>
          </w:p>
        </w:tc>
        <w:tc>
          <w:tcPr>
            <w:tcW w:w="0" w:type="auto"/>
            <w:gridSpan w:val="3"/>
            <w:shd w:val="clear" w:color="auto" w:fill="auto"/>
            <w:vAlign w:val="bottom"/>
          </w:tcPr>
          <w:p w14:paraId="74DDDC93" w14:textId="77777777" w:rsidR="00584EC1" w:rsidRDefault="00584EC1">
            <w:pPr>
              <w:rPr>
                <w:rFonts w:ascii="宋体"/>
                <w:vanish/>
              </w:rPr>
            </w:pPr>
          </w:p>
        </w:tc>
        <w:tc>
          <w:tcPr>
            <w:tcW w:w="0" w:type="auto"/>
            <w:gridSpan w:val="3"/>
            <w:shd w:val="clear" w:color="auto" w:fill="auto"/>
            <w:vAlign w:val="bottom"/>
          </w:tcPr>
          <w:p w14:paraId="74DDDC94" w14:textId="77777777" w:rsidR="00584EC1" w:rsidRDefault="00584EC1">
            <w:pPr>
              <w:rPr>
                <w:rFonts w:ascii="宋体"/>
                <w:vanish/>
              </w:rPr>
            </w:pPr>
          </w:p>
        </w:tc>
        <w:tc>
          <w:tcPr>
            <w:tcW w:w="0" w:type="auto"/>
            <w:gridSpan w:val="3"/>
            <w:shd w:val="clear" w:color="auto" w:fill="auto"/>
            <w:vAlign w:val="bottom"/>
          </w:tcPr>
          <w:p w14:paraId="74DDDC95" w14:textId="77777777" w:rsidR="00584EC1" w:rsidRDefault="00584EC1">
            <w:pPr>
              <w:rPr>
                <w:rFonts w:ascii="宋体"/>
                <w:vanish/>
              </w:rPr>
            </w:pPr>
          </w:p>
        </w:tc>
        <w:tc>
          <w:tcPr>
            <w:tcW w:w="0" w:type="auto"/>
            <w:gridSpan w:val="3"/>
            <w:shd w:val="clear" w:color="auto" w:fill="auto"/>
            <w:vAlign w:val="bottom"/>
          </w:tcPr>
          <w:p w14:paraId="74DDDC96" w14:textId="77777777" w:rsidR="00584EC1" w:rsidRDefault="00584EC1">
            <w:pPr>
              <w:rPr>
                <w:rFonts w:ascii="宋体"/>
                <w:vanish/>
              </w:rPr>
            </w:pPr>
          </w:p>
        </w:tc>
        <w:tc>
          <w:tcPr>
            <w:tcW w:w="0" w:type="auto"/>
            <w:gridSpan w:val="3"/>
            <w:shd w:val="clear" w:color="auto" w:fill="auto"/>
            <w:vAlign w:val="bottom"/>
          </w:tcPr>
          <w:p w14:paraId="74DDDC97" w14:textId="77777777" w:rsidR="00584EC1" w:rsidRDefault="00584EC1">
            <w:pPr>
              <w:rPr>
                <w:rFonts w:ascii="宋体"/>
                <w:vanish/>
              </w:rPr>
            </w:pPr>
          </w:p>
        </w:tc>
        <w:tc>
          <w:tcPr>
            <w:tcW w:w="0" w:type="auto"/>
            <w:gridSpan w:val="3"/>
            <w:shd w:val="clear" w:color="auto" w:fill="auto"/>
            <w:vAlign w:val="bottom"/>
          </w:tcPr>
          <w:p w14:paraId="74DDDC98" w14:textId="77777777" w:rsidR="00584EC1" w:rsidRDefault="00584EC1">
            <w:pPr>
              <w:rPr>
                <w:rFonts w:ascii="宋体"/>
                <w:vanish/>
              </w:rPr>
            </w:pPr>
          </w:p>
        </w:tc>
        <w:tc>
          <w:tcPr>
            <w:tcW w:w="0" w:type="auto"/>
            <w:gridSpan w:val="3"/>
            <w:shd w:val="clear" w:color="auto" w:fill="auto"/>
            <w:vAlign w:val="bottom"/>
          </w:tcPr>
          <w:p w14:paraId="74DDDC99" w14:textId="77777777" w:rsidR="00584EC1" w:rsidRDefault="00584EC1">
            <w:pPr>
              <w:rPr>
                <w:rFonts w:ascii="宋体"/>
                <w:vanish/>
              </w:rPr>
            </w:pPr>
          </w:p>
        </w:tc>
        <w:tc>
          <w:tcPr>
            <w:tcW w:w="0" w:type="auto"/>
            <w:gridSpan w:val="3"/>
            <w:shd w:val="clear" w:color="auto" w:fill="auto"/>
            <w:vAlign w:val="bottom"/>
          </w:tcPr>
          <w:p w14:paraId="74DDDC9A" w14:textId="77777777" w:rsidR="00584EC1" w:rsidRDefault="00584EC1">
            <w:pPr>
              <w:rPr>
                <w:rFonts w:ascii="宋体"/>
                <w:vanish/>
              </w:rPr>
            </w:pPr>
          </w:p>
        </w:tc>
        <w:tc>
          <w:tcPr>
            <w:tcW w:w="0" w:type="auto"/>
            <w:gridSpan w:val="3"/>
            <w:shd w:val="clear" w:color="auto" w:fill="auto"/>
            <w:vAlign w:val="bottom"/>
          </w:tcPr>
          <w:p w14:paraId="74DDDC9B" w14:textId="77777777" w:rsidR="00584EC1" w:rsidRDefault="00584EC1">
            <w:pPr>
              <w:rPr>
                <w:rFonts w:ascii="宋体"/>
                <w:vanish/>
              </w:rPr>
            </w:pPr>
          </w:p>
        </w:tc>
        <w:tc>
          <w:tcPr>
            <w:tcW w:w="0" w:type="auto"/>
            <w:gridSpan w:val="3"/>
            <w:shd w:val="clear" w:color="auto" w:fill="auto"/>
            <w:vAlign w:val="bottom"/>
          </w:tcPr>
          <w:p w14:paraId="74DDDC9C" w14:textId="77777777" w:rsidR="00584EC1" w:rsidRDefault="00584EC1">
            <w:pPr>
              <w:rPr>
                <w:rFonts w:ascii="宋体"/>
                <w:vanish/>
              </w:rPr>
            </w:pPr>
          </w:p>
        </w:tc>
        <w:tc>
          <w:tcPr>
            <w:tcW w:w="0" w:type="auto"/>
            <w:gridSpan w:val="3"/>
            <w:shd w:val="clear" w:color="auto" w:fill="auto"/>
            <w:vAlign w:val="bottom"/>
          </w:tcPr>
          <w:p w14:paraId="74DDDC9D" w14:textId="77777777" w:rsidR="00584EC1" w:rsidRDefault="00584EC1">
            <w:pPr>
              <w:rPr>
                <w:rFonts w:ascii="宋体"/>
                <w:vanish/>
              </w:rPr>
            </w:pPr>
          </w:p>
        </w:tc>
        <w:tc>
          <w:tcPr>
            <w:tcW w:w="0" w:type="auto"/>
            <w:gridSpan w:val="3"/>
            <w:shd w:val="clear" w:color="auto" w:fill="auto"/>
            <w:vAlign w:val="bottom"/>
          </w:tcPr>
          <w:p w14:paraId="74DDDC9E" w14:textId="77777777" w:rsidR="00584EC1" w:rsidRDefault="00584EC1">
            <w:pPr>
              <w:rPr>
                <w:rFonts w:ascii="宋体"/>
                <w:vanish/>
              </w:rPr>
            </w:pPr>
          </w:p>
        </w:tc>
        <w:tc>
          <w:tcPr>
            <w:tcW w:w="0" w:type="auto"/>
            <w:gridSpan w:val="3"/>
            <w:shd w:val="clear" w:color="auto" w:fill="auto"/>
            <w:vAlign w:val="bottom"/>
          </w:tcPr>
          <w:p w14:paraId="74DDDC9F" w14:textId="77777777" w:rsidR="00584EC1" w:rsidRDefault="00584EC1">
            <w:pPr>
              <w:rPr>
                <w:rFonts w:ascii="宋体"/>
                <w:vanish/>
              </w:rPr>
            </w:pPr>
          </w:p>
        </w:tc>
        <w:tc>
          <w:tcPr>
            <w:tcW w:w="0" w:type="auto"/>
            <w:gridSpan w:val="3"/>
            <w:shd w:val="clear" w:color="auto" w:fill="auto"/>
            <w:vAlign w:val="bottom"/>
          </w:tcPr>
          <w:p w14:paraId="74DDDCA0" w14:textId="77777777" w:rsidR="00584EC1" w:rsidRDefault="00584EC1">
            <w:pPr>
              <w:rPr>
                <w:rFonts w:ascii="宋体"/>
                <w:vanish/>
              </w:rPr>
            </w:pPr>
          </w:p>
        </w:tc>
        <w:tc>
          <w:tcPr>
            <w:tcW w:w="0" w:type="auto"/>
            <w:gridSpan w:val="3"/>
            <w:shd w:val="clear" w:color="auto" w:fill="auto"/>
            <w:vAlign w:val="bottom"/>
          </w:tcPr>
          <w:p w14:paraId="74DDDCA1" w14:textId="77777777" w:rsidR="00584EC1" w:rsidRDefault="00584EC1">
            <w:pPr>
              <w:rPr>
                <w:rFonts w:ascii="宋体"/>
                <w:vanish/>
              </w:rPr>
            </w:pPr>
          </w:p>
        </w:tc>
        <w:tc>
          <w:tcPr>
            <w:tcW w:w="0" w:type="auto"/>
            <w:gridSpan w:val="3"/>
            <w:shd w:val="clear" w:color="auto" w:fill="auto"/>
            <w:vAlign w:val="bottom"/>
          </w:tcPr>
          <w:p w14:paraId="74DDDCA2" w14:textId="77777777" w:rsidR="00584EC1" w:rsidRDefault="00584EC1">
            <w:pPr>
              <w:rPr>
                <w:rFonts w:ascii="宋体"/>
                <w:vanish/>
              </w:rPr>
            </w:pPr>
          </w:p>
        </w:tc>
      </w:tr>
      <w:tr w:rsidR="00584EC1" w14:paraId="74DDDCC2" w14:textId="77777777">
        <w:tc>
          <w:tcPr>
            <w:tcW w:w="0" w:type="auto"/>
            <w:gridSpan w:val="3"/>
            <w:shd w:val="clear" w:color="auto" w:fill="FFFFFF"/>
            <w:tcMar>
              <w:top w:w="40" w:type="dxa"/>
              <w:left w:w="20" w:type="dxa"/>
              <w:bottom w:w="40" w:type="dxa"/>
              <w:right w:w="20" w:type="dxa"/>
            </w:tcMar>
            <w:vAlign w:val="bottom"/>
          </w:tcPr>
          <w:p w14:paraId="74DDDCA4" w14:textId="77777777" w:rsidR="00584EC1" w:rsidRDefault="00871F8D">
            <w:pPr>
              <w:textAlignment w:val="bottom"/>
            </w:pPr>
            <w:r>
              <w:rPr>
                <w:rFonts w:ascii="Arial" w:eastAsia="宋体" w:hAnsi="Arial" w:cs="Arial"/>
                <w:color w:val="000000"/>
                <w:sz w:val="13"/>
                <w:szCs w:val="13"/>
              </w:rPr>
              <w:t>State and political subdivisions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DCA5" w14:textId="77777777" w:rsidR="00584EC1" w:rsidRDefault="00871F8D">
            <w:pPr>
              <w:jc w:val="right"/>
              <w:textAlignment w:val="bottom"/>
            </w:pPr>
            <w:r>
              <w:rPr>
                <w:rFonts w:ascii="Arial" w:eastAsia="宋体" w:hAnsi="Arial" w:cs="Arial"/>
                <w:b/>
                <w:bCs/>
                <w:color w:val="000000"/>
                <w:sz w:val="13"/>
                <w:szCs w:val="13"/>
              </w:rPr>
              <w:t>159</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DCA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CA7"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DCA8" w14:textId="77777777" w:rsidR="00584EC1" w:rsidRDefault="00871F8D">
            <w:pPr>
              <w:jc w:val="right"/>
              <w:textAlignment w:val="bottom"/>
            </w:pPr>
            <w:r>
              <w:rPr>
                <w:rFonts w:ascii="Arial" w:eastAsia="宋体" w:hAnsi="Arial" w:cs="Arial"/>
                <w:b/>
                <w:bCs/>
                <w:color w:val="000000"/>
                <w:sz w:val="13"/>
                <w:szCs w:val="13"/>
              </w:rPr>
              <w:t>160</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DCA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CAA"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DCAB" w14:textId="77777777" w:rsidR="00584EC1" w:rsidRDefault="00871F8D">
            <w:pPr>
              <w:jc w:val="right"/>
              <w:textAlignment w:val="bottom"/>
            </w:pPr>
            <w:r>
              <w:rPr>
                <w:rFonts w:ascii="Arial" w:eastAsia="宋体" w:hAnsi="Arial" w:cs="Arial"/>
                <w:b/>
                <w:bCs/>
                <w:color w:val="000000"/>
                <w:sz w:val="13"/>
                <w:szCs w:val="13"/>
              </w:rPr>
              <w:t>544</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DCA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CAD"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DCAE" w14:textId="77777777" w:rsidR="00584EC1" w:rsidRDefault="00871F8D">
            <w:pPr>
              <w:jc w:val="right"/>
              <w:textAlignment w:val="bottom"/>
            </w:pPr>
            <w:r>
              <w:rPr>
                <w:rFonts w:ascii="Arial" w:eastAsia="宋体" w:hAnsi="Arial" w:cs="Arial"/>
                <w:b/>
                <w:bCs/>
                <w:color w:val="000000"/>
                <w:sz w:val="13"/>
                <w:szCs w:val="13"/>
              </w:rPr>
              <w:t>563</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DCA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CB0"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DCB1" w14:textId="77777777" w:rsidR="00584EC1" w:rsidRDefault="00871F8D">
            <w:pPr>
              <w:jc w:val="right"/>
              <w:textAlignment w:val="bottom"/>
            </w:pPr>
            <w:r>
              <w:rPr>
                <w:rFonts w:ascii="Arial" w:eastAsia="宋体" w:hAnsi="Arial" w:cs="Arial"/>
                <w:b/>
                <w:bCs/>
                <w:color w:val="000000"/>
                <w:sz w:val="13"/>
                <w:szCs w:val="13"/>
              </w:rPr>
              <w:t>528</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DCB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CB3"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DCB4" w14:textId="77777777" w:rsidR="00584EC1" w:rsidRDefault="00871F8D">
            <w:pPr>
              <w:jc w:val="right"/>
              <w:textAlignment w:val="bottom"/>
            </w:pPr>
            <w:r>
              <w:rPr>
                <w:rFonts w:ascii="Arial" w:eastAsia="宋体" w:hAnsi="Arial" w:cs="Arial"/>
                <w:b/>
                <w:bCs/>
                <w:color w:val="000000"/>
                <w:sz w:val="13"/>
                <w:szCs w:val="13"/>
              </w:rPr>
              <w:t>567</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DCB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CB6"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DCB7" w14:textId="77777777" w:rsidR="00584EC1" w:rsidRDefault="00871F8D">
            <w:pPr>
              <w:jc w:val="right"/>
              <w:textAlignment w:val="bottom"/>
            </w:pPr>
            <w:r>
              <w:rPr>
                <w:rFonts w:ascii="Arial" w:eastAsia="宋体" w:hAnsi="Arial" w:cs="Arial"/>
                <w:b/>
                <w:bCs/>
                <w:color w:val="000000"/>
                <w:sz w:val="13"/>
                <w:szCs w:val="13"/>
              </w:rPr>
              <w:t>105</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DCB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CB9"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DCBA" w14:textId="77777777" w:rsidR="00584EC1" w:rsidRDefault="00871F8D">
            <w:pPr>
              <w:jc w:val="right"/>
              <w:textAlignment w:val="bottom"/>
            </w:pPr>
            <w:r>
              <w:rPr>
                <w:rFonts w:ascii="Arial" w:eastAsia="宋体" w:hAnsi="Arial" w:cs="Arial"/>
                <w:b/>
                <w:bCs/>
                <w:color w:val="000000"/>
                <w:sz w:val="13"/>
                <w:szCs w:val="13"/>
              </w:rPr>
              <w:t>106</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DCB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CBC"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DCBD" w14:textId="77777777" w:rsidR="00584EC1" w:rsidRDefault="00871F8D">
            <w:pPr>
              <w:jc w:val="right"/>
              <w:textAlignment w:val="bottom"/>
            </w:pPr>
            <w:r>
              <w:rPr>
                <w:rFonts w:ascii="Arial" w:eastAsia="宋体" w:hAnsi="Arial" w:cs="Arial"/>
                <w:b/>
                <w:bCs/>
                <w:color w:val="000000"/>
                <w:sz w:val="13"/>
                <w:szCs w:val="13"/>
              </w:rPr>
              <w:t>1,336</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DCB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CBF"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DCC0" w14:textId="77777777" w:rsidR="00584EC1" w:rsidRDefault="00871F8D">
            <w:pPr>
              <w:jc w:val="right"/>
              <w:textAlignment w:val="bottom"/>
            </w:pPr>
            <w:r>
              <w:rPr>
                <w:rFonts w:ascii="Arial" w:eastAsia="宋体" w:hAnsi="Arial" w:cs="Arial"/>
                <w:b/>
                <w:bCs/>
                <w:color w:val="000000"/>
                <w:sz w:val="13"/>
                <w:szCs w:val="13"/>
              </w:rPr>
              <w:t>1,396</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DCC1" w14:textId="77777777" w:rsidR="00584EC1" w:rsidRDefault="00584EC1">
            <w:pPr>
              <w:jc w:val="right"/>
              <w:rPr>
                <w:rFonts w:ascii="宋体"/>
              </w:rPr>
            </w:pPr>
          </w:p>
        </w:tc>
      </w:tr>
      <w:tr w:rsidR="00584EC1" w14:paraId="74DDDCD7" w14:textId="77777777">
        <w:trPr>
          <w:hidden/>
        </w:trPr>
        <w:tc>
          <w:tcPr>
            <w:tcW w:w="0" w:type="auto"/>
            <w:gridSpan w:val="3"/>
            <w:shd w:val="clear" w:color="auto" w:fill="auto"/>
            <w:vAlign w:val="bottom"/>
          </w:tcPr>
          <w:p w14:paraId="74DDDCC3" w14:textId="77777777" w:rsidR="00584EC1" w:rsidRDefault="00584EC1">
            <w:pPr>
              <w:rPr>
                <w:rFonts w:ascii="宋体"/>
                <w:vanish/>
              </w:rPr>
            </w:pPr>
          </w:p>
        </w:tc>
        <w:tc>
          <w:tcPr>
            <w:tcW w:w="0" w:type="auto"/>
            <w:gridSpan w:val="3"/>
            <w:shd w:val="clear" w:color="auto" w:fill="auto"/>
            <w:vAlign w:val="bottom"/>
          </w:tcPr>
          <w:p w14:paraId="74DDDCC4" w14:textId="77777777" w:rsidR="00584EC1" w:rsidRDefault="00584EC1">
            <w:pPr>
              <w:rPr>
                <w:rFonts w:ascii="宋体"/>
                <w:vanish/>
              </w:rPr>
            </w:pPr>
          </w:p>
        </w:tc>
        <w:tc>
          <w:tcPr>
            <w:tcW w:w="0" w:type="auto"/>
            <w:gridSpan w:val="3"/>
            <w:shd w:val="clear" w:color="auto" w:fill="auto"/>
            <w:vAlign w:val="bottom"/>
          </w:tcPr>
          <w:p w14:paraId="74DDDCC5" w14:textId="77777777" w:rsidR="00584EC1" w:rsidRDefault="00584EC1">
            <w:pPr>
              <w:rPr>
                <w:rFonts w:ascii="宋体"/>
                <w:vanish/>
              </w:rPr>
            </w:pPr>
          </w:p>
        </w:tc>
        <w:tc>
          <w:tcPr>
            <w:tcW w:w="0" w:type="auto"/>
            <w:gridSpan w:val="3"/>
            <w:shd w:val="clear" w:color="auto" w:fill="auto"/>
            <w:vAlign w:val="bottom"/>
          </w:tcPr>
          <w:p w14:paraId="74DDDCC6" w14:textId="77777777" w:rsidR="00584EC1" w:rsidRDefault="00584EC1">
            <w:pPr>
              <w:rPr>
                <w:rFonts w:ascii="宋体"/>
                <w:vanish/>
              </w:rPr>
            </w:pPr>
          </w:p>
        </w:tc>
        <w:tc>
          <w:tcPr>
            <w:tcW w:w="0" w:type="auto"/>
            <w:gridSpan w:val="3"/>
            <w:shd w:val="clear" w:color="auto" w:fill="auto"/>
            <w:vAlign w:val="bottom"/>
          </w:tcPr>
          <w:p w14:paraId="74DDDCC7" w14:textId="77777777" w:rsidR="00584EC1" w:rsidRDefault="00584EC1">
            <w:pPr>
              <w:rPr>
                <w:rFonts w:ascii="宋体"/>
                <w:vanish/>
              </w:rPr>
            </w:pPr>
          </w:p>
        </w:tc>
        <w:tc>
          <w:tcPr>
            <w:tcW w:w="0" w:type="auto"/>
            <w:gridSpan w:val="3"/>
            <w:shd w:val="clear" w:color="auto" w:fill="auto"/>
            <w:vAlign w:val="bottom"/>
          </w:tcPr>
          <w:p w14:paraId="74DDDCC8" w14:textId="77777777" w:rsidR="00584EC1" w:rsidRDefault="00584EC1">
            <w:pPr>
              <w:rPr>
                <w:rFonts w:ascii="宋体"/>
                <w:vanish/>
              </w:rPr>
            </w:pPr>
          </w:p>
        </w:tc>
        <w:tc>
          <w:tcPr>
            <w:tcW w:w="0" w:type="auto"/>
            <w:gridSpan w:val="3"/>
            <w:shd w:val="clear" w:color="auto" w:fill="auto"/>
            <w:vAlign w:val="bottom"/>
          </w:tcPr>
          <w:p w14:paraId="74DDDCC9" w14:textId="77777777" w:rsidR="00584EC1" w:rsidRDefault="00584EC1">
            <w:pPr>
              <w:rPr>
                <w:rFonts w:ascii="宋体"/>
                <w:vanish/>
              </w:rPr>
            </w:pPr>
          </w:p>
        </w:tc>
        <w:tc>
          <w:tcPr>
            <w:tcW w:w="0" w:type="auto"/>
            <w:gridSpan w:val="3"/>
            <w:shd w:val="clear" w:color="auto" w:fill="auto"/>
            <w:vAlign w:val="bottom"/>
          </w:tcPr>
          <w:p w14:paraId="74DDDCCA" w14:textId="77777777" w:rsidR="00584EC1" w:rsidRDefault="00584EC1">
            <w:pPr>
              <w:rPr>
                <w:rFonts w:ascii="宋体"/>
                <w:vanish/>
              </w:rPr>
            </w:pPr>
          </w:p>
        </w:tc>
        <w:tc>
          <w:tcPr>
            <w:tcW w:w="0" w:type="auto"/>
            <w:gridSpan w:val="3"/>
            <w:shd w:val="clear" w:color="auto" w:fill="auto"/>
            <w:vAlign w:val="bottom"/>
          </w:tcPr>
          <w:p w14:paraId="74DDDCCB" w14:textId="77777777" w:rsidR="00584EC1" w:rsidRDefault="00584EC1">
            <w:pPr>
              <w:rPr>
                <w:rFonts w:ascii="宋体"/>
                <w:vanish/>
              </w:rPr>
            </w:pPr>
          </w:p>
        </w:tc>
        <w:tc>
          <w:tcPr>
            <w:tcW w:w="0" w:type="auto"/>
            <w:gridSpan w:val="3"/>
            <w:shd w:val="clear" w:color="auto" w:fill="auto"/>
            <w:vAlign w:val="bottom"/>
          </w:tcPr>
          <w:p w14:paraId="74DDDCCC" w14:textId="77777777" w:rsidR="00584EC1" w:rsidRDefault="00584EC1">
            <w:pPr>
              <w:rPr>
                <w:rFonts w:ascii="宋体"/>
                <w:vanish/>
              </w:rPr>
            </w:pPr>
          </w:p>
        </w:tc>
        <w:tc>
          <w:tcPr>
            <w:tcW w:w="0" w:type="auto"/>
            <w:gridSpan w:val="3"/>
            <w:shd w:val="clear" w:color="auto" w:fill="auto"/>
            <w:vAlign w:val="bottom"/>
          </w:tcPr>
          <w:p w14:paraId="74DDDCCD" w14:textId="77777777" w:rsidR="00584EC1" w:rsidRDefault="00584EC1">
            <w:pPr>
              <w:rPr>
                <w:rFonts w:ascii="宋体"/>
                <w:vanish/>
              </w:rPr>
            </w:pPr>
          </w:p>
        </w:tc>
        <w:tc>
          <w:tcPr>
            <w:tcW w:w="0" w:type="auto"/>
            <w:gridSpan w:val="3"/>
            <w:shd w:val="clear" w:color="auto" w:fill="auto"/>
            <w:vAlign w:val="bottom"/>
          </w:tcPr>
          <w:p w14:paraId="74DDDCCE" w14:textId="77777777" w:rsidR="00584EC1" w:rsidRDefault="00584EC1">
            <w:pPr>
              <w:rPr>
                <w:rFonts w:ascii="宋体"/>
                <w:vanish/>
              </w:rPr>
            </w:pPr>
          </w:p>
        </w:tc>
        <w:tc>
          <w:tcPr>
            <w:tcW w:w="0" w:type="auto"/>
            <w:gridSpan w:val="3"/>
            <w:shd w:val="clear" w:color="auto" w:fill="auto"/>
            <w:vAlign w:val="bottom"/>
          </w:tcPr>
          <w:p w14:paraId="74DDDCCF" w14:textId="77777777" w:rsidR="00584EC1" w:rsidRDefault="00584EC1">
            <w:pPr>
              <w:rPr>
                <w:rFonts w:ascii="宋体"/>
                <w:vanish/>
              </w:rPr>
            </w:pPr>
          </w:p>
        </w:tc>
        <w:tc>
          <w:tcPr>
            <w:tcW w:w="0" w:type="auto"/>
            <w:gridSpan w:val="3"/>
            <w:shd w:val="clear" w:color="auto" w:fill="auto"/>
            <w:vAlign w:val="bottom"/>
          </w:tcPr>
          <w:p w14:paraId="74DDDCD0" w14:textId="77777777" w:rsidR="00584EC1" w:rsidRDefault="00584EC1">
            <w:pPr>
              <w:rPr>
                <w:rFonts w:ascii="宋体"/>
                <w:vanish/>
              </w:rPr>
            </w:pPr>
          </w:p>
        </w:tc>
        <w:tc>
          <w:tcPr>
            <w:tcW w:w="0" w:type="auto"/>
            <w:gridSpan w:val="3"/>
            <w:shd w:val="clear" w:color="auto" w:fill="auto"/>
            <w:vAlign w:val="bottom"/>
          </w:tcPr>
          <w:p w14:paraId="74DDDCD1" w14:textId="77777777" w:rsidR="00584EC1" w:rsidRDefault="00584EC1">
            <w:pPr>
              <w:rPr>
                <w:rFonts w:ascii="宋体"/>
                <w:vanish/>
              </w:rPr>
            </w:pPr>
          </w:p>
        </w:tc>
        <w:tc>
          <w:tcPr>
            <w:tcW w:w="0" w:type="auto"/>
            <w:gridSpan w:val="3"/>
            <w:shd w:val="clear" w:color="auto" w:fill="auto"/>
            <w:vAlign w:val="bottom"/>
          </w:tcPr>
          <w:p w14:paraId="74DDDCD2" w14:textId="77777777" w:rsidR="00584EC1" w:rsidRDefault="00584EC1">
            <w:pPr>
              <w:rPr>
                <w:rFonts w:ascii="宋体"/>
                <w:vanish/>
              </w:rPr>
            </w:pPr>
          </w:p>
        </w:tc>
        <w:tc>
          <w:tcPr>
            <w:tcW w:w="0" w:type="auto"/>
            <w:gridSpan w:val="3"/>
            <w:shd w:val="clear" w:color="auto" w:fill="auto"/>
            <w:vAlign w:val="bottom"/>
          </w:tcPr>
          <w:p w14:paraId="74DDDCD3" w14:textId="77777777" w:rsidR="00584EC1" w:rsidRDefault="00584EC1">
            <w:pPr>
              <w:rPr>
                <w:rFonts w:ascii="宋体"/>
                <w:vanish/>
              </w:rPr>
            </w:pPr>
          </w:p>
        </w:tc>
        <w:tc>
          <w:tcPr>
            <w:tcW w:w="0" w:type="auto"/>
            <w:gridSpan w:val="3"/>
            <w:shd w:val="clear" w:color="auto" w:fill="auto"/>
            <w:vAlign w:val="bottom"/>
          </w:tcPr>
          <w:p w14:paraId="74DDDCD4" w14:textId="77777777" w:rsidR="00584EC1" w:rsidRDefault="00584EC1">
            <w:pPr>
              <w:rPr>
                <w:rFonts w:ascii="宋体"/>
                <w:vanish/>
              </w:rPr>
            </w:pPr>
          </w:p>
        </w:tc>
        <w:tc>
          <w:tcPr>
            <w:tcW w:w="0" w:type="auto"/>
            <w:gridSpan w:val="3"/>
            <w:shd w:val="clear" w:color="auto" w:fill="auto"/>
            <w:vAlign w:val="bottom"/>
          </w:tcPr>
          <w:p w14:paraId="74DDDCD5" w14:textId="77777777" w:rsidR="00584EC1" w:rsidRDefault="00584EC1">
            <w:pPr>
              <w:rPr>
                <w:rFonts w:ascii="宋体"/>
                <w:vanish/>
              </w:rPr>
            </w:pPr>
          </w:p>
        </w:tc>
        <w:tc>
          <w:tcPr>
            <w:tcW w:w="0" w:type="auto"/>
            <w:gridSpan w:val="3"/>
            <w:shd w:val="clear" w:color="auto" w:fill="auto"/>
            <w:vAlign w:val="bottom"/>
          </w:tcPr>
          <w:p w14:paraId="74DDDCD6" w14:textId="77777777" w:rsidR="00584EC1" w:rsidRDefault="00584EC1">
            <w:pPr>
              <w:rPr>
                <w:rFonts w:ascii="宋体"/>
                <w:vanish/>
              </w:rPr>
            </w:pPr>
          </w:p>
        </w:tc>
      </w:tr>
      <w:tr w:rsidR="00584EC1" w14:paraId="74DDDCF6" w14:textId="77777777">
        <w:tc>
          <w:tcPr>
            <w:tcW w:w="0" w:type="auto"/>
            <w:gridSpan w:val="3"/>
            <w:shd w:val="clear" w:color="auto" w:fill="CCEEFF"/>
            <w:tcMar>
              <w:top w:w="40" w:type="dxa"/>
              <w:left w:w="20" w:type="dxa"/>
              <w:bottom w:w="40" w:type="dxa"/>
              <w:right w:w="20" w:type="dxa"/>
            </w:tcMar>
            <w:vAlign w:val="bottom"/>
          </w:tcPr>
          <w:p w14:paraId="74DDDCD8" w14:textId="77777777" w:rsidR="00584EC1" w:rsidRDefault="00871F8D">
            <w:pPr>
              <w:textAlignment w:val="bottom"/>
            </w:pPr>
            <w:r>
              <w:rPr>
                <w:rFonts w:ascii="Arial" w:eastAsia="宋体" w:hAnsi="Arial" w:cs="Arial"/>
                <w:color w:val="000000"/>
                <w:sz w:val="13"/>
                <w:szCs w:val="13"/>
              </w:rPr>
              <w:t>Other U.S. debt securities</w:t>
            </w:r>
          </w:p>
        </w:tc>
        <w:tc>
          <w:tcPr>
            <w:tcW w:w="0" w:type="auto"/>
            <w:gridSpan w:val="2"/>
            <w:shd w:val="clear" w:color="auto" w:fill="CCEEFF"/>
            <w:tcMar>
              <w:top w:w="40" w:type="dxa"/>
              <w:left w:w="20" w:type="dxa"/>
              <w:bottom w:w="40" w:type="dxa"/>
              <w:right w:w="0" w:type="dxa"/>
            </w:tcMar>
            <w:vAlign w:val="bottom"/>
          </w:tcPr>
          <w:p w14:paraId="74DDDCD9" w14:textId="77777777" w:rsidR="00584EC1" w:rsidRDefault="00871F8D">
            <w:pPr>
              <w:jc w:val="right"/>
              <w:textAlignment w:val="bottom"/>
            </w:pPr>
            <w:r>
              <w:rPr>
                <w:rFonts w:ascii="Arial" w:eastAsia="宋体" w:hAnsi="Arial" w:cs="Arial"/>
                <w:b/>
                <w:bCs/>
                <w:color w:val="000000"/>
                <w:sz w:val="13"/>
                <w:szCs w:val="13"/>
              </w:rPr>
              <w:t>718</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CD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CD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CDC" w14:textId="77777777" w:rsidR="00584EC1" w:rsidRDefault="00871F8D">
            <w:pPr>
              <w:jc w:val="right"/>
              <w:textAlignment w:val="bottom"/>
            </w:pPr>
            <w:r>
              <w:rPr>
                <w:rFonts w:ascii="Arial" w:eastAsia="宋体" w:hAnsi="Arial" w:cs="Arial"/>
                <w:b/>
                <w:bCs/>
                <w:color w:val="000000"/>
                <w:sz w:val="13"/>
                <w:szCs w:val="13"/>
              </w:rPr>
              <w:t>723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CD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CDE"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CDF" w14:textId="77777777" w:rsidR="00584EC1" w:rsidRDefault="00871F8D">
            <w:pPr>
              <w:jc w:val="right"/>
              <w:textAlignment w:val="bottom"/>
            </w:pPr>
            <w:r>
              <w:rPr>
                <w:rFonts w:ascii="Arial" w:eastAsia="宋体" w:hAnsi="Arial" w:cs="Arial"/>
                <w:b/>
                <w:bCs/>
                <w:color w:val="000000"/>
                <w:sz w:val="13"/>
                <w:szCs w:val="13"/>
              </w:rPr>
              <w:t>2,183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CE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CE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CE2" w14:textId="77777777" w:rsidR="00584EC1" w:rsidRDefault="00871F8D">
            <w:pPr>
              <w:jc w:val="right"/>
              <w:textAlignment w:val="bottom"/>
            </w:pPr>
            <w:r>
              <w:rPr>
                <w:rFonts w:ascii="Arial" w:eastAsia="宋体" w:hAnsi="Arial" w:cs="Arial"/>
                <w:b/>
                <w:bCs/>
                <w:color w:val="000000"/>
                <w:sz w:val="13"/>
                <w:szCs w:val="13"/>
              </w:rPr>
              <w:t>2,209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CE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CE4"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CE5" w14:textId="77777777" w:rsidR="00584EC1" w:rsidRDefault="00871F8D">
            <w:pPr>
              <w:jc w:val="right"/>
              <w:textAlignment w:val="bottom"/>
            </w:pPr>
            <w:r>
              <w:rPr>
                <w:rFonts w:ascii="Arial" w:eastAsia="宋体" w:hAnsi="Arial" w:cs="Arial"/>
                <w:b/>
                <w:bCs/>
                <w:color w:val="000000"/>
                <w:sz w:val="13"/>
                <w:szCs w:val="13"/>
              </w:rPr>
              <w:t>42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CE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CE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CE8" w14:textId="77777777" w:rsidR="00584EC1" w:rsidRDefault="00871F8D">
            <w:pPr>
              <w:jc w:val="right"/>
              <w:textAlignment w:val="bottom"/>
            </w:pPr>
            <w:r>
              <w:rPr>
                <w:rFonts w:ascii="Arial" w:eastAsia="宋体" w:hAnsi="Arial" w:cs="Arial"/>
                <w:b/>
                <w:bCs/>
                <w:color w:val="000000"/>
                <w:sz w:val="13"/>
                <w:szCs w:val="13"/>
              </w:rPr>
              <w:t>45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CE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CEA"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CEB" w14:textId="77777777" w:rsidR="00584EC1" w:rsidRDefault="00871F8D">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CE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CE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CEE" w14:textId="77777777" w:rsidR="00584EC1" w:rsidRDefault="00871F8D">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CE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CF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CF1" w14:textId="77777777" w:rsidR="00584EC1" w:rsidRDefault="00871F8D">
            <w:pPr>
              <w:jc w:val="right"/>
              <w:textAlignment w:val="bottom"/>
            </w:pPr>
            <w:r>
              <w:rPr>
                <w:rFonts w:ascii="Arial" w:eastAsia="宋体" w:hAnsi="Arial" w:cs="Arial"/>
                <w:b/>
                <w:bCs/>
                <w:color w:val="000000"/>
                <w:sz w:val="13"/>
                <w:szCs w:val="13"/>
              </w:rPr>
              <w:t>2,943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CF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CF3"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CF4" w14:textId="77777777" w:rsidR="00584EC1" w:rsidRDefault="00871F8D">
            <w:pPr>
              <w:jc w:val="right"/>
              <w:textAlignment w:val="bottom"/>
            </w:pPr>
            <w:r>
              <w:rPr>
                <w:rFonts w:ascii="Arial" w:eastAsia="宋体" w:hAnsi="Arial" w:cs="Arial"/>
                <w:b/>
                <w:bCs/>
                <w:color w:val="000000"/>
                <w:sz w:val="13"/>
                <w:szCs w:val="13"/>
              </w:rPr>
              <w:t>2,977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CF5" w14:textId="77777777" w:rsidR="00584EC1" w:rsidRDefault="00584EC1">
            <w:pPr>
              <w:jc w:val="right"/>
              <w:rPr>
                <w:rFonts w:ascii="宋体"/>
              </w:rPr>
            </w:pPr>
          </w:p>
        </w:tc>
      </w:tr>
      <w:tr w:rsidR="00871F8D" w14:paraId="74DDDD1F" w14:textId="77777777">
        <w:tc>
          <w:tcPr>
            <w:tcW w:w="0" w:type="auto"/>
            <w:gridSpan w:val="3"/>
            <w:shd w:val="clear" w:color="auto" w:fill="FFFFFF"/>
            <w:tcMar>
              <w:top w:w="40" w:type="dxa"/>
              <w:left w:w="20" w:type="dxa"/>
              <w:bottom w:w="40" w:type="dxa"/>
              <w:right w:w="20" w:type="dxa"/>
            </w:tcMar>
            <w:vAlign w:val="bottom"/>
          </w:tcPr>
          <w:p w14:paraId="74DDDCF7" w14:textId="77777777" w:rsidR="00584EC1" w:rsidRDefault="00871F8D">
            <w:pPr>
              <w:textAlignment w:val="bottom"/>
            </w:pPr>
            <w:r>
              <w:rPr>
                <w:rFonts w:ascii="Arial" w:eastAsia="宋体" w:hAnsi="Arial" w:cs="Arial"/>
                <w:color w:val="000000"/>
                <w:sz w:val="13"/>
                <w:szCs w:val="13"/>
              </w:rPr>
              <w:t>Total</w:t>
            </w:r>
          </w:p>
        </w:tc>
        <w:tc>
          <w:tcPr>
            <w:tcW w:w="0" w:type="auto"/>
            <w:tcBorders>
              <w:top w:val="single" w:sz="8" w:space="0" w:color="000000"/>
            </w:tcBorders>
            <w:shd w:val="clear" w:color="auto" w:fill="FFFFFF"/>
            <w:tcMar>
              <w:top w:w="40" w:type="dxa"/>
              <w:left w:w="20" w:type="dxa"/>
              <w:bottom w:w="40" w:type="dxa"/>
              <w:right w:w="0" w:type="dxa"/>
            </w:tcMar>
            <w:vAlign w:val="bottom"/>
          </w:tcPr>
          <w:p w14:paraId="74DDDCF8" w14:textId="77777777" w:rsidR="00584EC1" w:rsidRDefault="00871F8D">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DCF9" w14:textId="77777777" w:rsidR="00584EC1" w:rsidRDefault="00871F8D">
            <w:pPr>
              <w:jc w:val="right"/>
              <w:textAlignment w:val="bottom"/>
            </w:pPr>
            <w:r>
              <w:rPr>
                <w:rFonts w:ascii="Arial" w:eastAsia="宋体" w:hAnsi="Arial" w:cs="Arial"/>
                <w:b/>
                <w:bCs/>
                <w:color w:val="000000"/>
                <w:sz w:val="13"/>
                <w:szCs w:val="13"/>
              </w:rPr>
              <w:t>10,327</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DCF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CFB"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DCFC" w14:textId="77777777" w:rsidR="00584EC1" w:rsidRDefault="00871F8D">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DCFD" w14:textId="77777777" w:rsidR="00584EC1" w:rsidRDefault="00871F8D">
            <w:pPr>
              <w:jc w:val="right"/>
              <w:textAlignment w:val="bottom"/>
            </w:pPr>
            <w:r>
              <w:rPr>
                <w:rFonts w:ascii="Arial" w:eastAsia="宋体" w:hAnsi="Arial" w:cs="Arial"/>
                <w:b/>
                <w:bCs/>
                <w:color w:val="000000"/>
                <w:sz w:val="13"/>
                <w:szCs w:val="13"/>
              </w:rPr>
              <w:t>10,354</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DCF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CFF"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DD00" w14:textId="77777777" w:rsidR="00584EC1" w:rsidRDefault="00871F8D">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DD01" w14:textId="77777777" w:rsidR="00584EC1" w:rsidRDefault="00871F8D">
            <w:pPr>
              <w:jc w:val="right"/>
              <w:textAlignment w:val="bottom"/>
            </w:pPr>
            <w:r>
              <w:rPr>
                <w:rFonts w:ascii="Arial" w:eastAsia="宋体" w:hAnsi="Arial" w:cs="Arial"/>
                <w:b/>
                <w:bCs/>
                <w:color w:val="000000"/>
                <w:sz w:val="13"/>
                <w:szCs w:val="13"/>
              </w:rPr>
              <w:t>33,436</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DD0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D03"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DD04" w14:textId="77777777" w:rsidR="00584EC1" w:rsidRDefault="00871F8D">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DD05" w14:textId="77777777" w:rsidR="00584EC1" w:rsidRDefault="00871F8D">
            <w:pPr>
              <w:jc w:val="right"/>
              <w:textAlignment w:val="bottom"/>
            </w:pPr>
            <w:r>
              <w:rPr>
                <w:rFonts w:ascii="Arial" w:eastAsia="宋体" w:hAnsi="Arial" w:cs="Arial"/>
                <w:b/>
                <w:bCs/>
                <w:color w:val="000000"/>
                <w:sz w:val="13"/>
                <w:szCs w:val="13"/>
              </w:rPr>
              <w:t>33,557</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DD0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D07"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DD08" w14:textId="77777777" w:rsidR="00584EC1" w:rsidRDefault="00871F8D">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DD09" w14:textId="77777777" w:rsidR="00584EC1" w:rsidRDefault="00871F8D">
            <w:pPr>
              <w:jc w:val="right"/>
              <w:textAlignment w:val="bottom"/>
            </w:pPr>
            <w:r>
              <w:rPr>
                <w:rFonts w:ascii="Arial" w:eastAsia="宋体" w:hAnsi="Arial" w:cs="Arial"/>
                <w:b/>
                <w:bCs/>
                <w:color w:val="000000"/>
                <w:sz w:val="13"/>
                <w:szCs w:val="13"/>
              </w:rPr>
              <w:t>13,336</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DD0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D0B"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DD0C" w14:textId="77777777" w:rsidR="00584EC1" w:rsidRDefault="00871F8D">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DD0D" w14:textId="77777777" w:rsidR="00584EC1" w:rsidRDefault="00871F8D">
            <w:pPr>
              <w:jc w:val="right"/>
              <w:textAlignment w:val="bottom"/>
            </w:pPr>
            <w:r>
              <w:rPr>
                <w:rFonts w:ascii="Arial" w:eastAsia="宋体" w:hAnsi="Arial" w:cs="Arial"/>
                <w:b/>
                <w:bCs/>
                <w:color w:val="000000"/>
                <w:sz w:val="13"/>
                <w:szCs w:val="13"/>
              </w:rPr>
              <w:t>13,413</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DD0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D0F"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DD10" w14:textId="77777777" w:rsidR="00584EC1" w:rsidRDefault="00871F8D">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DD11" w14:textId="77777777" w:rsidR="00584EC1" w:rsidRDefault="00871F8D">
            <w:pPr>
              <w:jc w:val="right"/>
              <w:textAlignment w:val="bottom"/>
            </w:pPr>
            <w:r>
              <w:rPr>
                <w:rFonts w:ascii="Arial" w:eastAsia="宋体" w:hAnsi="Arial" w:cs="Arial"/>
                <w:b/>
                <w:bCs/>
                <w:color w:val="000000"/>
                <w:sz w:val="13"/>
                <w:szCs w:val="13"/>
              </w:rPr>
              <w:t>12,808</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DD1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D13"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DD14" w14:textId="77777777" w:rsidR="00584EC1" w:rsidRDefault="00871F8D">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DD15" w14:textId="77777777" w:rsidR="00584EC1" w:rsidRDefault="00871F8D">
            <w:pPr>
              <w:jc w:val="right"/>
              <w:textAlignment w:val="bottom"/>
            </w:pPr>
            <w:r>
              <w:rPr>
                <w:rFonts w:ascii="Arial" w:eastAsia="宋体" w:hAnsi="Arial" w:cs="Arial"/>
                <w:b/>
                <w:bCs/>
                <w:color w:val="000000"/>
                <w:sz w:val="13"/>
                <w:szCs w:val="13"/>
              </w:rPr>
              <w:t>12,955</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DD1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D17"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DD18" w14:textId="77777777" w:rsidR="00584EC1" w:rsidRDefault="00871F8D">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DD19" w14:textId="77777777" w:rsidR="00584EC1" w:rsidRDefault="00871F8D">
            <w:pPr>
              <w:jc w:val="right"/>
              <w:textAlignment w:val="bottom"/>
            </w:pPr>
            <w:r>
              <w:rPr>
                <w:rFonts w:ascii="Arial" w:eastAsia="宋体" w:hAnsi="Arial" w:cs="Arial"/>
                <w:b/>
                <w:bCs/>
                <w:color w:val="000000"/>
                <w:sz w:val="13"/>
                <w:szCs w:val="13"/>
              </w:rPr>
              <w:t>69,907</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DD1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D1B"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DD1C" w14:textId="77777777" w:rsidR="00584EC1" w:rsidRDefault="00871F8D">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DD1D" w14:textId="77777777" w:rsidR="00584EC1" w:rsidRDefault="00871F8D">
            <w:pPr>
              <w:jc w:val="right"/>
              <w:textAlignment w:val="bottom"/>
            </w:pPr>
            <w:r>
              <w:rPr>
                <w:rFonts w:ascii="Arial" w:eastAsia="宋体" w:hAnsi="Arial" w:cs="Arial"/>
                <w:b/>
                <w:bCs/>
                <w:color w:val="000000"/>
                <w:sz w:val="13"/>
                <w:szCs w:val="13"/>
              </w:rPr>
              <w:t>70,279</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DD1E" w14:textId="77777777" w:rsidR="00584EC1" w:rsidRDefault="00584EC1">
            <w:pPr>
              <w:jc w:val="right"/>
              <w:rPr>
                <w:rFonts w:ascii="宋体"/>
              </w:rPr>
            </w:pPr>
          </w:p>
        </w:tc>
      </w:tr>
      <w:tr w:rsidR="00584EC1" w14:paraId="74DDDD34" w14:textId="77777777">
        <w:tc>
          <w:tcPr>
            <w:tcW w:w="0" w:type="auto"/>
            <w:gridSpan w:val="3"/>
            <w:shd w:val="clear" w:color="auto" w:fill="auto"/>
            <w:tcMar>
              <w:top w:w="40" w:type="dxa"/>
              <w:left w:w="20" w:type="dxa"/>
              <w:bottom w:w="40" w:type="dxa"/>
              <w:right w:w="20" w:type="dxa"/>
            </w:tcMar>
            <w:vAlign w:val="bottom"/>
          </w:tcPr>
          <w:p w14:paraId="74DDDD20" w14:textId="77777777" w:rsidR="00584EC1" w:rsidRDefault="00871F8D">
            <w:pPr>
              <w:textAlignment w:val="bottom"/>
            </w:pPr>
            <w:r>
              <w:rPr>
                <w:rFonts w:ascii="Arial" w:eastAsia="宋体" w:hAnsi="Arial" w:cs="Arial"/>
                <w:b/>
                <w:bCs/>
                <w:color w:val="000000"/>
                <w:sz w:val="13"/>
                <w:szCs w:val="13"/>
              </w:rPr>
              <w:t>Held-to-maturity:</w:t>
            </w: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DDD2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DD22"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DDD23"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DD24"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DDD2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DD26"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DDD27"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DD28"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DDD29"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DD2A"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DDD2B"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DD2C"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DDD2D"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DD2E"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DDD2F"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DD30"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DDD3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DD32"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DDD33" w14:textId="77777777" w:rsidR="00584EC1" w:rsidRDefault="00584EC1">
            <w:pPr>
              <w:rPr>
                <w:rFonts w:ascii="宋体"/>
              </w:rPr>
            </w:pPr>
          </w:p>
        </w:tc>
      </w:tr>
      <w:tr w:rsidR="00584EC1" w14:paraId="74DDDD49" w14:textId="77777777">
        <w:tc>
          <w:tcPr>
            <w:tcW w:w="0" w:type="auto"/>
            <w:gridSpan w:val="3"/>
            <w:shd w:val="clear" w:color="auto" w:fill="FFFFFF"/>
            <w:tcMar>
              <w:top w:w="40" w:type="dxa"/>
              <w:left w:w="20" w:type="dxa"/>
              <w:bottom w:w="40" w:type="dxa"/>
              <w:right w:w="20" w:type="dxa"/>
            </w:tcMar>
            <w:vAlign w:val="bottom"/>
          </w:tcPr>
          <w:p w14:paraId="74DDDD35" w14:textId="77777777" w:rsidR="00584EC1" w:rsidRDefault="00871F8D">
            <w:pPr>
              <w:textAlignment w:val="bottom"/>
            </w:pPr>
            <w:r>
              <w:rPr>
                <w:rFonts w:ascii="Arial" w:eastAsia="宋体" w:hAnsi="Arial" w:cs="Arial"/>
                <w:color w:val="000000"/>
                <w:sz w:val="13"/>
                <w:szCs w:val="13"/>
              </w:rPr>
              <w:t>U.S. Treasury and federal agencies:</w:t>
            </w:r>
          </w:p>
        </w:tc>
        <w:tc>
          <w:tcPr>
            <w:tcW w:w="0" w:type="auto"/>
            <w:gridSpan w:val="3"/>
            <w:shd w:val="clear" w:color="auto" w:fill="FFFFFF"/>
            <w:tcMar>
              <w:top w:w="0" w:type="dxa"/>
              <w:left w:w="20" w:type="dxa"/>
              <w:bottom w:w="0" w:type="dxa"/>
              <w:right w:w="20" w:type="dxa"/>
            </w:tcMar>
            <w:vAlign w:val="bottom"/>
          </w:tcPr>
          <w:p w14:paraId="74DDDD36"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D37"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D38"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D39"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D3A"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D3B"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D3C"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D3D"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D3E"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D3F"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D40"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D41"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D4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D43"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D44"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D45"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D46"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D47"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D48" w14:textId="77777777" w:rsidR="00584EC1" w:rsidRDefault="00584EC1">
            <w:pPr>
              <w:rPr>
                <w:rFonts w:ascii="宋体"/>
              </w:rPr>
            </w:pPr>
          </w:p>
        </w:tc>
      </w:tr>
      <w:tr w:rsidR="00871F8D" w14:paraId="74DDDD72" w14:textId="77777777">
        <w:tc>
          <w:tcPr>
            <w:tcW w:w="0" w:type="auto"/>
            <w:gridSpan w:val="3"/>
            <w:shd w:val="clear" w:color="auto" w:fill="CCEEFF"/>
            <w:tcMar>
              <w:top w:w="40" w:type="dxa"/>
              <w:left w:w="245" w:type="dxa"/>
              <w:bottom w:w="40" w:type="dxa"/>
              <w:right w:w="20" w:type="dxa"/>
            </w:tcMar>
            <w:vAlign w:val="bottom"/>
          </w:tcPr>
          <w:p w14:paraId="74DDDD4A" w14:textId="77777777" w:rsidR="00584EC1" w:rsidRDefault="00871F8D">
            <w:pPr>
              <w:textAlignment w:val="bottom"/>
            </w:pPr>
            <w:r>
              <w:rPr>
                <w:rFonts w:ascii="Arial" w:eastAsia="宋体" w:hAnsi="Arial" w:cs="Arial"/>
                <w:color w:val="000000"/>
                <w:sz w:val="13"/>
                <w:szCs w:val="13"/>
              </w:rPr>
              <w:t xml:space="preserve">Direct </w:t>
            </w:r>
            <w:r>
              <w:rPr>
                <w:rFonts w:ascii="Arial" w:eastAsia="宋体" w:hAnsi="Arial" w:cs="Arial"/>
                <w:color w:val="000000"/>
                <w:sz w:val="13"/>
                <w:szCs w:val="13"/>
              </w:rPr>
              <w:t>obligations</w:t>
            </w:r>
          </w:p>
        </w:tc>
        <w:tc>
          <w:tcPr>
            <w:tcW w:w="0" w:type="auto"/>
            <w:shd w:val="clear" w:color="auto" w:fill="CCEEFF"/>
            <w:tcMar>
              <w:top w:w="40" w:type="dxa"/>
              <w:left w:w="20" w:type="dxa"/>
              <w:bottom w:w="40" w:type="dxa"/>
              <w:right w:w="0" w:type="dxa"/>
            </w:tcMar>
            <w:vAlign w:val="bottom"/>
          </w:tcPr>
          <w:p w14:paraId="74DDDD4B" w14:textId="77777777" w:rsidR="00584EC1" w:rsidRDefault="00871F8D">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4DDDD4C" w14:textId="77777777" w:rsidR="00584EC1" w:rsidRDefault="00871F8D">
            <w:pPr>
              <w:jc w:val="right"/>
              <w:textAlignment w:val="bottom"/>
            </w:pPr>
            <w:r>
              <w:rPr>
                <w:rFonts w:ascii="Arial" w:eastAsia="宋体" w:hAnsi="Arial" w:cs="Arial"/>
                <w:b/>
                <w:bCs/>
                <w:color w:val="000000"/>
                <w:sz w:val="13"/>
                <w:szCs w:val="13"/>
              </w:rPr>
              <w:t>2,387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D4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D4E"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DD4F" w14:textId="77777777" w:rsidR="00584EC1" w:rsidRDefault="00871F8D">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4DDDD50" w14:textId="77777777" w:rsidR="00584EC1" w:rsidRDefault="00871F8D">
            <w:pPr>
              <w:jc w:val="right"/>
              <w:textAlignment w:val="bottom"/>
            </w:pPr>
            <w:r>
              <w:rPr>
                <w:rFonts w:ascii="Arial" w:eastAsia="宋体" w:hAnsi="Arial" w:cs="Arial"/>
                <w:b/>
                <w:bCs/>
                <w:color w:val="000000"/>
                <w:sz w:val="13"/>
                <w:szCs w:val="13"/>
              </w:rPr>
              <w:t>2,403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D5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D52"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DD53" w14:textId="77777777" w:rsidR="00584EC1" w:rsidRDefault="00871F8D">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4DDDD54" w14:textId="77777777" w:rsidR="00584EC1" w:rsidRDefault="00871F8D">
            <w:pPr>
              <w:jc w:val="right"/>
              <w:textAlignment w:val="bottom"/>
            </w:pPr>
            <w:r>
              <w:rPr>
                <w:rFonts w:ascii="Arial" w:eastAsia="宋体" w:hAnsi="Arial" w:cs="Arial"/>
                <w:b/>
                <w:bCs/>
                <w:color w:val="000000"/>
                <w:sz w:val="13"/>
                <w:szCs w:val="13"/>
              </w:rPr>
              <w:t>304</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D5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D56"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DD57" w14:textId="77777777" w:rsidR="00584EC1" w:rsidRDefault="00871F8D">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4DDDD58" w14:textId="77777777" w:rsidR="00584EC1" w:rsidRDefault="00871F8D">
            <w:pPr>
              <w:jc w:val="right"/>
              <w:textAlignment w:val="bottom"/>
            </w:pPr>
            <w:r>
              <w:rPr>
                <w:rFonts w:ascii="Arial" w:eastAsia="宋体" w:hAnsi="Arial" w:cs="Arial"/>
                <w:b/>
                <w:bCs/>
                <w:color w:val="000000"/>
                <w:sz w:val="13"/>
                <w:szCs w:val="13"/>
              </w:rPr>
              <w:t>309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D5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D5A"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DD5B" w14:textId="77777777" w:rsidR="00584EC1" w:rsidRDefault="00871F8D">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4DDDD5C" w14:textId="77777777" w:rsidR="00584EC1" w:rsidRDefault="00871F8D">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D5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D5E"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DD5F" w14:textId="77777777" w:rsidR="00584EC1" w:rsidRDefault="00871F8D">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4DDDD60" w14:textId="77777777" w:rsidR="00584EC1" w:rsidRDefault="00871F8D">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D6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D62"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DD63" w14:textId="77777777" w:rsidR="00584EC1" w:rsidRDefault="00871F8D">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4DDDD64" w14:textId="77777777" w:rsidR="00584EC1" w:rsidRDefault="00871F8D">
            <w:pPr>
              <w:jc w:val="right"/>
              <w:textAlignment w:val="bottom"/>
            </w:pPr>
            <w:r>
              <w:rPr>
                <w:rFonts w:ascii="Arial" w:eastAsia="宋体" w:hAnsi="Arial" w:cs="Arial"/>
                <w:b/>
                <w:bCs/>
                <w:color w:val="000000"/>
                <w:sz w:val="13"/>
                <w:szCs w:val="13"/>
              </w:rPr>
              <w:t>18</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D6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D66"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DD67" w14:textId="77777777" w:rsidR="00584EC1" w:rsidRDefault="00871F8D">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4DDDD68" w14:textId="77777777" w:rsidR="00584EC1" w:rsidRDefault="00871F8D">
            <w:pPr>
              <w:jc w:val="right"/>
              <w:textAlignment w:val="bottom"/>
            </w:pPr>
            <w:r>
              <w:rPr>
                <w:rFonts w:ascii="Arial" w:eastAsia="宋体" w:hAnsi="Arial" w:cs="Arial"/>
                <w:b/>
                <w:bCs/>
                <w:color w:val="000000"/>
                <w:sz w:val="13"/>
                <w:szCs w:val="13"/>
              </w:rPr>
              <w:t>19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D6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D6A"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DD6B" w14:textId="77777777" w:rsidR="00584EC1" w:rsidRDefault="00871F8D">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4DDDD6C" w14:textId="77777777" w:rsidR="00584EC1" w:rsidRDefault="00871F8D">
            <w:pPr>
              <w:jc w:val="right"/>
              <w:textAlignment w:val="bottom"/>
            </w:pPr>
            <w:r>
              <w:rPr>
                <w:rFonts w:ascii="Arial" w:eastAsia="宋体" w:hAnsi="Arial" w:cs="Arial"/>
                <w:b/>
                <w:bCs/>
                <w:color w:val="000000"/>
                <w:sz w:val="13"/>
                <w:szCs w:val="13"/>
              </w:rPr>
              <w:t>2,709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D6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D6E"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DD6F" w14:textId="77777777" w:rsidR="00584EC1" w:rsidRDefault="00871F8D">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4DDDD70" w14:textId="77777777" w:rsidR="00584EC1" w:rsidRDefault="00871F8D">
            <w:pPr>
              <w:jc w:val="right"/>
              <w:textAlignment w:val="bottom"/>
            </w:pPr>
            <w:r>
              <w:rPr>
                <w:rFonts w:ascii="Arial" w:eastAsia="宋体" w:hAnsi="Arial" w:cs="Arial"/>
                <w:b/>
                <w:bCs/>
                <w:color w:val="000000"/>
                <w:sz w:val="13"/>
                <w:szCs w:val="13"/>
              </w:rPr>
              <w:t>2,731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D71" w14:textId="77777777" w:rsidR="00584EC1" w:rsidRDefault="00584EC1">
            <w:pPr>
              <w:jc w:val="right"/>
              <w:rPr>
                <w:rFonts w:ascii="宋体"/>
              </w:rPr>
            </w:pPr>
          </w:p>
        </w:tc>
      </w:tr>
      <w:tr w:rsidR="00584EC1" w14:paraId="74DDDD91" w14:textId="77777777">
        <w:tc>
          <w:tcPr>
            <w:tcW w:w="0" w:type="auto"/>
            <w:gridSpan w:val="3"/>
            <w:shd w:val="clear" w:color="auto" w:fill="FFFFFF"/>
            <w:tcMar>
              <w:top w:w="40" w:type="dxa"/>
              <w:left w:w="245" w:type="dxa"/>
              <w:bottom w:w="40" w:type="dxa"/>
              <w:right w:w="20" w:type="dxa"/>
            </w:tcMar>
            <w:vAlign w:val="bottom"/>
          </w:tcPr>
          <w:p w14:paraId="74DDDD73" w14:textId="77777777" w:rsidR="00584EC1" w:rsidRDefault="00871F8D">
            <w:pPr>
              <w:textAlignment w:val="bottom"/>
            </w:pPr>
            <w:r>
              <w:rPr>
                <w:rFonts w:ascii="Arial" w:eastAsia="宋体" w:hAnsi="Arial" w:cs="Arial"/>
                <w:color w:val="000000"/>
                <w:sz w:val="13"/>
                <w:szCs w:val="13"/>
              </w:rPr>
              <w:t>Mortgage-backed securities</w:t>
            </w:r>
          </w:p>
        </w:tc>
        <w:tc>
          <w:tcPr>
            <w:tcW w:w="0" w:type="auto"/>
            <w:gridSpan w:val="2"/>
            <w:shd w:val="clear" w:color="auto" w:fill="FFFFFF"/>
            <w:tcMar>
              <w:top w:w="40" w:type="dxa"/>
              <w:left w:w="20" w:type="dxa"/>
              <w:bottom w:w="40" w:type="dxa"/>
              <w:right w:w="0" w:type="dxa"/>
            </w:tcMar>
            <w:vAlign w:val="bottom"/>
          </w:tcPr>
          <w:p w14:paraId="74DDDD74" w14:textId="77777777" w:rsidR="00584EC1" w:rsidRDefault="00871F8D">
            <w:pPr>
              <w:jc w:val="right"/>
              <w:textAlignment w:val="bottom"/>
            </w:pPr>
            <w:r>
              <w:rPr>
                <w:rFonts w:ascii="Arial" w:eastAsia="宋体" w:hAnsi="Arial" w:cs="Arial"/>
                <w:b/>
                <w:bCs/>
                <w:color w:val="000000"/>
                <w:sz w:val="13"/>
                <w:szCs w:val="13"/>
              </w:rPr>
              <w:t>171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D7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D7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D77" w14:textId="77777777" w:rsidR="00584EC1" w:rsidRDefault="00871F8D">
            <w:pPr>
              <w:jc w:val="right"/>
              <w:textAlignment w:val="bottom"/>
            </w:pPr>
            <w:r>
              <w:rPr>
                <w:rFonts w:ascii="Arial" w:eastAsia="宋体" w:hAnsi="Arial" w:cs="Arial"/>
                <w:b/>
                <w:bCs/>
                <w:color w:val="000000"/>
                <w:sz w:val="13"/>
                <w:szCs w:val="13"/>
              </w:rPr>
              <w:t>177</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D7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D7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D7A" w14:textId="77777777" w:rsidR="00584EC1" w:rsidRDefault="00871F8D">
            <w:pPr>
              <w:jc w:val="right"/>
              <w:textAlignment w:val="bottom"/>
            </w:pPr>
            <w:r>
              <w:rPr>
                <w:rFonts w:ascii="Arial" w:eastAsia="宋体" w:hAnsi="Arial" w:cs="Arial"/>
                <w:b/>
                <w:bCs/>
                <w:color w:val="000000"/>
                <w:sz w:val="13"/>
                <w:szCs w:val="13"/>
              </w:rPr>
              <w:t>285</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D7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D7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D7D" w14:textId="77777777" w:rsidR="00584EC1" w:rsidRDefault="00871F8D">
            <w:pPr>
              <w:jc w:val="right"/>
              <w:textAlignment w:val="bottom"/>
            </w:pPr>
            <w:r>
              <w:rPr>
                <w:rFonts w:ascii="Arial" w:eastAsia="宋体" w:hAnsi="Arial" w:cs="Arial"/>
                <w:b/>
                <w:bCs/>
                <w:color w:val="000000"/>
                <w:sz w:val="13"/>
                <w:szCs w:val="13"/>
              </w:rPr>
              <w:t>290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D7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D7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D80" w14:textId="77777777" w:rsidR="00584EC1" w:rsidRDefault="00871F8D">
            <w:pPr>
              <w:jc w:val="right"/>
              <w:textAlignment w:val="bottom"/>
            </w:pPr>
            <w:r>
              <w:rPr>
                <w:rFonts w:ascii="Arial" w:eastAsia="宋体" w:hAnsi="Arial" w:cs="Arial"/>
                <w:b/>
                <w:bCs/>
                <w:color w:val="000000"/>
                <w:sz w:val="13"/>
                <w:szCs w:val="13"/>
              </w:rPr>
              <w:t>4,528</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D8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D8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D83" w14:textId="77777777" w:rsidR="00584EC1" w:rsidRDefault="00871F8D">
            <w:pPr>
              <w:jc w:val="right"/>
              <w:textAlignment w:val="bottom"/>
            </w:pPr>
            <w:r>
              <w:rPr>
                <w:rFonts w:ascii="Arial" w:eastAsia="宋体" w:hAnsi="Arial" w:cs="Arial"/>
                <w:b/>
                <w:bCs/>
                <w:color w:val="000000"/>
                <w:sz w:val="13"/>
                <w:szCs w:val="13"/>
              </w:rPr>
              <w:t>4,509</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D8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D85"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D86" w14:textId="77777777" w:rsidR="00584EC1" w:rsidRDefault="00871F8D">
            <w:pPr>
              <w:jc w:val="right"/>
              <w:textAlignment w:val="bottom"/>
            </w:pPr>
            <w:r>
              <w:rPr>
                <w:rFonts w:ascii="Arial" w:eastAsia="宋体" w:hAnsi="Arial" w:cs="Arial"/>
                <w:b/>
                <w:bCs/>
                <w:color w:val="000000"/>
                <w:sz w:val="13"/>
                <w:szCs w:val="13"/>
              </w:rPr>
              <w:t>28,541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D8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D88"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D89" w14:textId="77777777" w:rsidR="00584EC1" w:rsidRDefault="00871F8D">
            <w:pPr>
              <w:jc w:val="right"/>
              <w:textAlignment w:val="bottom"/>
            </w:pPr>
            <w:r>
              <w:rPr>
                <w:rFonts w:ascii="Arial" w:eastAsia="宋体" w:hAnsi="Arial" w:cs="Arial"/>
                <w:b/>
                <w:bCs/>
                <w:color w:val="000000"/>
                <w:sz w:val="13"/>
                <w:szCs w:val="13"/>
              </w:rPr>
              <w:t>28,765</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D8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D8B"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D8C" w14:textId="77777777" w:rsidR="00584EC1" w:rsidRDefault="00871F8D">
            <w:pPr>
              <w:jc w:val="right"/>
              <w:textAlignment w:val="bottom"/>
            </w:pPr>
            <w:r>
              <w:rPr>
                <w:rFonts w:ascii="Arial" w:eastAsia="宋体" w:hAnsi="Arial" w:cs="Arial"/>
                <w:b/>
                <w:bCs/>
                <w:color w:val="000000"/>
                <w:sz w:val="13"/>
                <w:szCs w:val="13"/>
              </w:rPr>
              <w:t>33,525</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D8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D8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D8F" w14:textId="77777777" w:rsidR="00584EC1" w:rsidRDefault="00871F8D">
            <w:pPr>
              <w:jc w:val="right"/>
              <w:textAlignment w:val="bottom"/>
            </w:pPr>
            <w:r>
              <w:rPr>
                <w:rFonts w:ascii="Arial" w:eastAsia="宋体" w:hAnsi="Arial" w:cs="Arial"/>
                <w:b/>
                <w:bCs/>
                <w:color w:val="000000"/>
                <w:sz w:val="13"/>
                <w:szCs w:val="13"/>
              </w:rPr>
              <w:t>33,741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D90" w14:textId="77777777" w:rsidR="00584EC1" w:rsidRDefault="00584EC1">
            <w:pPr>
              <w:jc w:val="right"/>
              <w:rPr>
                <w:rFonts w:ascii="宋体"/>
              </w:rPr>
            </w:pPr>
          </w:p>
        </w:tc>
      </w:tr>
      <w:tr w:rsidR="00584EC1" w14:paraId="74DDDDB0" w14:textId="77777777">
        <w:tc>
          <w:tcPr>
            <w:tcW w:w="0" w:type="auto"/>
            <w:gridSpan w:val="3"/>
            <w:shd w:val="clear" w:color="auto" w:fill="CCEEFF"/>
            <w:tcMar>
              <w:top w:w="40" w:type="dxa"/>
              <w:left w:w="395" w:type="dxa"/>
              <w:bottom w:w="40" w:type="dxa"/>
              <w:right w:w="20" w:type="dxa"/>
            </w:tcMar>
            <w:vAlign w:val="bottom"/>
          </w:tcPr>
          <w:p w14:paraId="74DDDD92" w14:textId="77777777" w:rsidR="00584EC1" w:rsidRDefault="00871F8D">
            <w:pPr>
              <w:textAlignment w:val="bottom"/>
            </w:pPr>
            <w:r>
              <w:rPr>
                <w:rFonts w:ascii="Arial" w:eastAsia="宋体" w:hAnsi="Arial" w:cs="Arial"/>
                <w:color w:val="000000"/>
                <w:sz w:val="13"/>
                <w:szCs w:val="13"/>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D93" w14:textId="77777777" w:rsidR="00584EC1" w:rsidRDefault="00871F8D">
            <w:pPr>
              <w:jc w:val="right"/>
              <w:textAlignment w:val="bottom"/>
            </w:pPr>
            <w:r>
              <w:rPr>
                <w:rFonts w:ascii="Arial" w:eastAsia="宋体" w:hAnsi="Arial" w:cs="Arial"/>
                <w:b/>
                <w:bCs/>
                <w:color w:val="000000"/>
                <w:sz w:val="13"/>
                <w:szCs w:val="13"/>
              </w:rPr>
              <w:t>2,558</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D9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D95"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D96" w14:textId="77777777" w:rsidR="00584EC1" w:rsidRDefault="00871F8D">
            <w:pPr>
              <w:jc w:val="right"/>
              <w:textAlignment w:val="bottom"/>
            </w:pPr>
            <w:r>
              <w:rPr>
                <w:rFonts w:ascii="Arial" w:eastAsia="宋体" w:hAnsi="Arial" w:cs="Arial"/>
                <w:b/>
                <w:bCs/>
                <w:color w:val="000000"/>
                <w:sz w:val="13"/>
                <w:szCs w:val="13"/>
              </w:rPr>
              <w:t>2,580</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D9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D98"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D99" w14:textId="77777777" w:rsidR="00584EC1" w:rsidRDefault="00871F8D">
            <w:pPr>
              <w:jc w:val="right"/>
              <w:textAlignment w:val="bottom"/>
            </w:pPr>
            <w:r>
              <w:rPr>
                <w:rFonts w:ascii="Arial" w:eastAsia="宋体" w:hAnsi="Arial" w:cs="Arial"/>
                <w:b/>
                <w:bCs/>
                <w:color w:val="000000"/>
                <w:sz w:val="13"/>
                <w:szCs w:val="13"/>
              </w:rPr>
              <w:t>589</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D9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D9B"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D9C" w14:textId="77777777" w:rsidR="00584EC1" w:rsidRDefault="00871F8D">
            <w:pPr>
              <w:jc w:val="right"/>
              <w:textAlignment w:val="bottom"/>
            </w:pPr>
            <w:r>
              <w:rPr>
                <w:rFonts w:ascii="Arial" w:eastAsia="宋体" w:hAnsi="Arial" w:cs="Arial"/>
                <w:b/>
                <w:bCs/>
                <w:color w:val="000000"/>
                <w:sz w:val="13"/>
                <w:szCs w:val="13"/>
              </w:rPr>
              <w:t>599</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D9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D9E"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D9F" w14:textId="77777777" w:rsidR="00584EC1" w:rsidRDefault="00871F8D">
            <w:pPr>
              <w:jc w:val="right"/>
              <w:textAlignment w:val="bottom"/>
            </w:pPr>
            <w:r>
              <w:rPr>
                <w:rFonts w:ascii="Arial" w:eastAsia="宋体" w:hAnsi="Arial" w:cs="Arial"/>
                <w:b/>
                <w:bCs/>
                <w:color w:val="000000"/>
                <w:sz w:val="13"/>
                <w:szCs w:val="13"/>
              </w:rPr>
              <w:t>4,528</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DA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DA1"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DA2" w14:textId="77777777" w:rsidR="00584EC1" w:rsidRDefault="00871F8D">
            <w:pPr>
              <w:jc w:val="right"/>
              <w:textAlignment w:val="bottom"/>
            </w:pPr>
            <w:r>
              <w:rPr>
                <w:rFonts w:ascii="Arial" w:eastAsia="宋体" w:hAnsi="Arial" w:cs="Arial"/>
                <w:b/>
                <w:bCs/>
                <w:color w:val="000000"/>
                <w:sz w:val="13"/>
                <w:szCs w:val="13"/>
              </w:rPr>
              <w:t>4,509</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DA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DA4"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DA5" w14:textId="77777777" w:rsidR="00584EC1" w:rsidRDefault="00871F8D">
            <w:pPr>
              <w:jc w:val="right"/>
              <w:textAlignment w:val="bottom"/>
            </w:pPr>
            <w:r>
              <w:rPr>
                <w:rFonts w:ascii="Arial" w:eastAsia="宋体" w:hAnsi="Arial" w:cs="Arial"/>
                <w:b/>
                <w:bCs/>
                <w:color w:val="000000"/>
                <w:sz w:val="13"/>
                <w:szCs w:val="13"/>
              </w:rPr>
              <w:t>28,559</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DA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DA7"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DA8" w14:textId="77777777" w:rsidR="00584EC1" w:rsidRDefault="00871F8D">
            <w:pPr>
              <w:jc w:val="right"/>
              <w:textAlignment w:val="bottom"/>
            </w:pPr>
            <w:r>
              <w:rPr>
                <w:rFonts w:ascii="Arial" w:eastAsia="宋体" w:hAnsi="Arial" w:cs="Arial"/>
                <w:b/>
                <w:bCs/>
                <w:color w:val="000000"/>
                <w:sz w:val="13"/>
                <w:szCs w:val="13"/>
              </w:rPr>
              <w:t>28,784</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DA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DAA"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DAB" w14:textId="77777777" w:rsidR="00584EC1" w:rsidRDefault="00871F8D">
            <w:pPr>
              <w:jc w:val="right"/>
              <w:textAlignment w:val="bottom"/>
            </w:pPr>
            <w:r>
              <w:rPr>
                <w:rFonts w:ascii="Arial" w:eastAsia="宋体" w:hAnsi="Arial" w:cs="Arial"/>
                <w:b/>
                <w:bCs/>
                <w:color w:val="000000"/>
                <w:sz w:val="13"/>
                <w:szCs w:val="13"/>
              </w:rPr>
              <w:t>36,234</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DA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DAD"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DAE" w14:textId="77777777" w:rsidR="00584EC1" w:rsidRDefault="00871F8D">
            <w:pPr>
              <w:jc w:val="right"/>
              <w:textAlignment w:val="bottom"/>
            </w:pPr>
            <w:r>
              <w:rPr>
                <w:rFonts w:ascii="Arial" w:eastAsia="宋体" w:hAnsi="Arial" w:cs="Arial"/>
                <w:b/>
                <w:bCs/>
                <w:color w:val="000000"/>
                <w:sz w:val="13"/>
                <w:szCs w:val="13"/>
              </w:rPr>
              <w:t>36,472</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DAF" w14:textId="77777777" w:rsidR="00584EC1" w:rsidRDefault="00584EC1">
            <w:pPr>
              <w:jc w:val="right"/>
              <w:rPr>
                <w:rFonts w:ascii="宋体"/>
              </w:rPr>
            </w:pPr>
          </w:p>
        </w:tc>
      </w:tr>
      <w:tr w:rsidR="00584EC1" w14:paraId="74DDDDC5" w14:textId="77777777">
        <w:trPr>
          <w:hidden/>
        </w:trPr>
        <w:tc>
          <w:tcPr>
            <w:tcW w:w="0" w:type="auto"/>
            <w:gridSpan w:val="3"/>
            <w:shd w:val="clear" w:color="auto" w:fill="auto"/>
            <w:vAlign w:val="bottom"/>
          </w:tcPr>
          <w:p w14:paraId="74DDDDB1" w14:textId="77777777" w:rsidR="00584EC1" w:rsidRDefault="00584EC1">
            <w:pPr>
              <w:rPr>
                <w:rFonts w:ascii="宋体"/>
                <w:vanish/>
              </w:rPr>
            </w:pPr>
          </w:p>
        </w:tc>
        <w:tc>
          <w:tcPr>
            <w:tcW w:w="0" w:type="auto"/>
            <w:gridSpan w:val="3"/>
            <w:shd w:val="clear" w:color="auto" w:fill="auto"/>
            <w:vAlign w:val="bottom"/>
          </w:tcPr>
          <w:p w14:paraId="74DDDDB2" w14:textId="77777777" w:rsidR="00584EC1" w:rsidRDefault="00584EC1">
            <w:pPr>
              <w:rPr>
                <w:rFonts w:ascii="宋体"/>
                <w:vanish/>
              </w:rPr>
            </w:pPr>
          </w:p>
        </w:tc>
        <w:tc>
          <w:tcPr>
            <w:tcW w:w="0" w:type="auto"/>
            <w:gridSpan w:val="3"/>
            <w:shd w:val="clear" w:color="auto" w:fill="auto"/>
            <w:vAlign w:val="bottom"/>
          </w:tcPr>
          <w:p w14:paraId="74DDDDB3" w14:textId="77777777" w:rsidR="00584EC1" w:rsidRDefault="00584EC1">
            <w:pPr>
              <w:rPr>
                <w:rFonts w:ascii="宋体"/>
                <w:vanish/>
              </w:rPr>
            </w:pPr>
          </w:p>
        </w:tc>
        <w:tc>
          <w:tcPr>
            <w:tcW w:w="0" w:type="auto"/>
            <w:gridSpan w:val="3"/>
            <w:shd w:val="clear" w:color="auto" w:fill="auto"/>
            <w:vAlign w:val="bottom"/>
          </w:tcPr>
          <w:p w14:paraId="74DDDDB4" w14:textId="77777777" w:rsidR="00584EC1" w:rsidRDefault="00584EC1">
            <w:pPr>
              <w:rPr>
                <w:rFonts w:ascii="宋体"/>
                <w:vanish/>
              </w:rPr>
            </w:pPr>
          </w:p>
        </w:tc>
        <w:tc>
          <w:tcPr>
            <w:tcW w:w="0" w:type="auto"/>
            <w:gridSpan w:val="3"/>
            <w:shd w:val="clear" w:color="auto" w:fill="auto"/>
            <w:vAlign w:val="bottom"/>
          </w:tcPr>
          <w:p w14:paraId="74DDDDB5" w14:textId="77777777" w:rsidR="00584EC1" w:rsidRDefault="00584EC1">
            <w:pPr>
              <w:rPr>
                <w:rFonts w:ascii="宋体"/>
                <w:vanish/>
              </w:rPr>
            </w:pPr>
          </w:p>
        </w:tc>
        <w:tc>
          <w:tcPr>
            <w:tcW w:w="0" w:type="auto"/>
            <w:gridSpan w:val="3"/>
            <w:shd w:val="clear" w:color="auto" w:fill="auto"/>
            <w:vAlign w:val="bottom"/>
          </w:tcPr>
          <w:p w14:paraId="74DDDDB6" w14:textId="77777777" w:rsidR="00584EC1" w:rsidRDefault="00584EC1">
            <w:pPr>
              <w:rPr>
                <w:rFonts w:ascii="宋体"/>
                <w:vanish/>
              </w:rPr>
            </w:pPr>
          </w:p>
        </w:tc>
        <w:tc>
          <w:tcPr>
            <w:tcW w:w="0" w:type="auto"/>
            <w:gridSpan w:val="3"/>
            <w:shd w:val="clear" w:color="auto" w:fill="auto"/>
            <w:vAlign w:val="bottom"/>
          </w:tcPr>
          <w:p w14:paraId="74DDDDB7" w14:textId="77777777" w:rsidR="00584EC1" w:rsidRDefault="00584EC1">
            <w:pPr>
              <w:rPr>
                <w:rFonts w:ascii="宋体"/>
                <w:vanish/>
              </w:rPr>
            </w:pPr>
          </w:p>
        </w:tc>
        <w:tc>
          <w:tcPr>
            <w:tcW w:w="0" w:type="auto"/>
            <w:gridSpan w:val="3"/>
            <w:shd w:val="clear" w:color="auto" w:fill="auto"/>
            <w:vAlign w:val="bottom"/>
          </w:tcPr>
          <w:p w14:paraId="74DDDDB8" w14:textId="77777777" w:rsidR="00584EC1" w:rsidRDefault="00584EC1">
            <w:pPr>
              <w:rPr>
                <w:rFonts w:ascii="宋体"/>
                <w:vanish/>
              </w:rPr>
            </w:pPr>
          </w:p>
        </w:tc>
        <w:tc>
          <w:tcPr>
            <w:tcW w:w="0" w:type="auto"/>
            <w:gridSpan w:val="3"/>
            <w:shd w:val="clear" w:color="auto" w:fill="auto"/>
            <w:vAlign w:val="bottom"/>
          </w:tcPr>
          <w:p w14:paraId="74DDDDB9" w14:textId="77777777" w:rsidR="00584EC1" w:rsidRDefault="00584EC1">
            <w:pPr>
              <w:rPr>
                <w:rFonts w:ascii="宋体"/>
                <w:vanish/>
              </w:rPr>
            </w:pPr>
          </w:p>
        </w:tc>
        <w:tc>
          <w:tcPr>
            <w:tcW w:w="0" w:type="auto"/>
            <w:gridSpan w:val="3"/>
            <w:shd w:val="clear" w:color="auto" w:fill="auto"/>
            <w:vAlign w:val="bottom"/>
          </w:tcPr>
          <w:p w14:paraId="74DDDDBA" w14:textId="77777777" w:rsidR="00584EC1" w:rsidRDefault="00584EC1">
            <w:pPr>
              <w:rPr>
                <w:rFonts w:ascii="宋体"/>
                <w:vanish/>
              </w:rPr>
            </w:pPr>
          </w:p>
        </w:tc>
        <w:tc>
          <w:tcPr>
            <w:tcW w:w="0" w:type="auto"/>
            <w:gridSpan w:val="3"/>
            <w:shd w:val="clear" w:color="auto" w:fill="auto"/>
            <w:vAlign w:val="bottom"/>
          </w:tcPr>
          <w:p w14:paraId="74DDDDBB" w14:textId="77777777" w:rsidR="00584EC1" w:rsidRDefault="00584EC1">
            <w:pPr>
              <w:rPr>
                <w:rFonts w:ascii="宋体"/>
                <w:vanish/>
              </w:rPr>
            </w:pPr>
          </w:p>
        </w:tc>
        <w:tc>
          <w:tcPr>
            <w:tcW w:w="0" w:type="auto"/>
            <w:gridSpan w:val="3"/>
            <w:shd w:val="clear" w:color="auto" w:fill="auto"/>
            <w:vAlign w:val="bottom"/>
          </w:tcPr>
          <w:p w14:paraId="74DDDDBC" w14:textId="77777777" w:rsidR="00584EC1" w:rsidRDefault="00584EC1">
            <w:pPr>
              <w:rPr>
                <w:rFonts w:ascii="宋体"/>
                <w:vanish/>
              </w:rPr>
            </w:pPr>
          </w:p>
        </w:tc>
        <w:tc>
          <w:tcPr>
            <w:tcW w:w="0" w:type="auto"/>
            <w:gridSpan w:val="3"/>
            <w:shd w:val="clear" w:color="auto" w:fill="auto"/>
            <w:vAlign w:val="bottom"/>
          </w:tcPr>
          <w:p w14:paraId="74DDDDBD" w14:textId="77777777" w:rsidR="00584EC1" w:rsidRDefault="00584EC1">
            <w:pPr>
              <w:rPr>
                <w:rFonts w:ascii="宋体"/>
                <w:vanish/>
              </w:rPr>
            </w:pPr>
          </w:p>
        </w:tc>
        <w:tc>
          <w:tcPr>
            <w:tcW w:w="0" w:type="auto"/>
            <w:gridSpan w:val="3"/>
            <w:shd w:val="clear" w:color="auto" w:fill="auto"/>
            <w:vAlign w:val="bottom"/>
          </w:tcPr>
          <w:p w14:paraId="74DDDDBE" w14:textId="77777777" w:rsidR="00584EC1" w:rsidRDefault="00584EC1">
            <w:pPr>
              <w:rPr>
                <w:rFonts w:ascii="宋体"/>
                <w:vanish/>
              </w:rPr>
            </w:pPr>
          </w:p>
        </w:tc>
        <w:tc>
          <w:tcPr>
            <w:tcW w:w="0" w:type="auto"/>
            <w:gridSpan w:val="3"/>
            <w:shd w:val="clear" w:color="auto" w:fill="auto"/>
            <w:vAlign w:val="bottom"/>
          </w:tcPr>
          <w:p w14:paraId="74DDDDBF" w14:textId="77777777" w:rsidR="00584EC1" w:rsidRDefault="00584EC1">
            <w:pPr>
              <w:rPr>
                <w:rFonts w:ascii="宋体"/>
                <w:vanish/>
              </w:rPr>
            </w:pPr>
          </w:p>
        </w:tc>
        <w:tc>
          <w:tcPr>
            <w:tcW w:w="0" w:type="auto"/>
            <w:gridSpan w:val="3"/>
            <w:shd w:val="clear" w:color="auto" w:fill="auto"/>
            <w:vAlign w:val="bottom"/>
          </w:tcPr>
          <w:p w14:paraId="74DDDDC0" w14:textId="77777777" w:rsidR="00584EC1" w:rsidRDefault="00584EC1">
            <w:pPr>
              <w:rPr>
                <w:rFonts w:ascii="宋体"/>
                <w:vanish/>
              </w:rPr>
            </w:pPr>
          </w:p>
        </w:tc>
        <w:tc>
          <w:tcPr>
            <w:tcW w:w="0" w:type="auto"/>
            <w:gridSpan w:val="3"/>
            <w:shd w:val="clear" w:color="auto" w:fill="auto"/>
            <w:vAlign w:val="bottom"/>
          </w:tcPr>
          <w:p w14:paraId="74DDDDC1" w14:textId="77777777" w:rsidR="00584EC1" w:rsidRDefault="00584EC1">
            <w:pPr>
              <w:rPr>
                <w:rFonts w:ascii="宋体"/>
                <w:vanish/>
              </w:rPr>
            </w:pPr>
          </w:p>
        </w:tc>
        <w:tc>
          <w:tcPr>
            <w:tcW w:w="0" w:type="auto"/>
            <w:gridSpan w:val="3"/>
            <w:shd w:val="clear" w:color="auto" w:fill="auto"/>
            <w:vAlign w:val="bottom"/>
          </w:tcPr>
          <w:p w14:paraId="74DDDDC2" w14:textId="77777777" w:rsidR="00584EC1" w:rsidRDefault="00584EC1">
            <w:pPr>
              <w:rPr>
                <w:rFonts w:ascii="宋体"/>
                <w:vanish/>
              </w:rPr>
            </w:pPr>
          </w:p>
        </w:tc>
        <w:tc>
          <w:tcPr>
            <w:tcW w:w="0" w:type="auto"/>
            <w:gridSpan w:val="3"/>
            <w:shd w:val="clear" w:color="auto" w:fill="auto"/>
            <w:vAlign w:val="bottom"/>
          </w:tcPr>
          <w:p w14:paraId="74DDDDC3" w14:textId="77777777" w:rsidR="00584EC1" w:rsidRDefault="00584EC1">
            <w:pPr>
              <w:rPr>
                <w:rFonts w:ascii="宋体"/>
                <w:vanish/>
              </w:rPr>
            </w:pPr>
          </w:p>
        </w:tc>
        <w:tc>
          <w:tcPr>
            <w:tcW w:w="0" w:type="auto"/>
            <w:gridSpan w:val="3"/>
            <w:shd w:val="clear" w:color="auto" w:fill="auto"/>
            <w:vAlign w:val="bottom"/>
          </w:tcPr>
          <w:p w14:paraId="74DDDDC4" w14:textId="77777777" w:rsidR="00584EC1" w:rsidRDefault="00584EC1">
            <w:pPr>
              <w:rPr>
                <w:rFonts w:ascii="宋体"/>
                <w:vanish/>
              </w:rPr>
            </w:pPr>
          </w:p>
        </w:tc>
      </w:tr>
      <w:tr w:rsidR="00584EC1" w14:paraId="74DDDDDA" w14:textId="77777777">
        <w:trPr>
          <w:hidden/>
        </w:trPr>
        <w:tc>
          <w:tcPr>
            <w:tcW w:w="0" w:type="auto"/>
            <w:gridSpan w:val="3"/>
            <w:shd w:val="clear" w:color="auto" w:fill="auto"/>
            <w:vAlign w:val="bottom"/>
          </w:tcPr>
          <w:p w14:paraId="74DDDDC6" w14:textId="77777777" w:rsidR="00584EC1" w:rsidRDefault="00584EC1">
            <w:pPr>
              <w:rPr>
                <w:rFonts w:ascii="宋体"/>
                <w:vanish/>
              </w:rPr>
            </w:pPr>
          </w:p>
        </w:tc>
        <w:tc>
          <w:tcPr>
            <w:tcW w:w="0" w:type="auto"/>
            <w:gridSpan w:val="3"/>
            <w:shd w:val="clear" w:color="auto" w:fill="auto"/>
            <w:vAlign w:val="bottom"/>
          </w:tcPr>
          <w:p w14:paraId="74DDDDC7" w14:textId="77777777" w:rsidR="00584EC1" w:rsidRDefault="00584EC1">
            <w:pPr>
              <w:rPr>
                <w:rFonts w:ascii="宋体"/>
                <w:vanish/>
              </w:rPr>
            </w:pPr>
          </w:p>
        </w:tc>
        <w:tc>
          <w:tcPr>
            <w:tcW w:w="0" w:type="auto"/>
            <w:gridSpan w:val="3"/>
            <w:shd w:val="clear" w:color="auto" w:fill="auto"/>
            <w:vAlign w:val="bottom"/>
          </w:tcPr>
          <w:p w14:paraId="74DDDDC8" w14:textId="77777777" w:rsidR="00584EC1" w:rsidRDefault="00584EC1">
            <w:pPr>
              <w:rPr>
                <w:rFonts w:ascii="宋体"/>
                <w:vanish/>
              </w:rPr>
            </w:pPr>
          </w:p>
        </w:tc>
        <w:tc>
          <w:tcPr>
            <w:tcW w:w="0" w:type="auto"/>
            <w:gridSpan w:val="3"/>
            <w:shd w:val="clear" w:color="auto" w:fill="auto"/>
            <w:vAlign w:val="bottom"/>
          </w:tcPr>
          <w:p w14:paraId="74DDDDC9" w14:textId="77777777" w:rsidR="00584EC1" w:rsidRDefault="00584EC1">
            <w:pPr>
              <w:rPr>
                <w:rFonts w:ascii="宋体"/>
                <w:vanish/>
              </w:rPr>
            </w:pPr>
          </w:p>
        </w:tc>
        <w:tc>
          <w:tcPr>
            <w:tcW w:w="0" w:type="auto"/>
            <w:gridSpan w:val="3"/>
            <w:shd w:val="clear" w:color="auto" w:fill="auto"/>
            <w:vAlign w:val="bottom"/>
          </w:tcPr>
          <w:p w14:paraId="74DDDDCA" w14:textId="77777777" w:rsidR="00584EC1" w:rsidRDefault="00584EC1">
            <w:pPr>
              <w:rPr>
                <w:rFonts w:ascii="宋体"/>
                <w:vanish/>
              </w:rPr>
            </w:pPr>
          </w:p>
        </w:tc>
        <w:tc>
          <w:tcPr>
            <w:tcW w:w="0" w:type="auto"/>
            <w:gridSpan w:val="3"/>
            <w:shd w:val="clear" w:color="auto" w:fill="auto"/>
            <w:vAlign w:val="bottom"/>
          </w:tcPr>
          <w:p w14:paraId="74DDDDCB" w14:textId="77777777" w:rsidR="00584EC1" w:rsidRDefault="00584EC1">
            <w:pPr>
              <w:rPr>
                <w:rFonts w:ascii="宋体"/>
                <w:vanish/>
              </w:rPr>
            </w:pPr>
          </w:p>
        </w:tc>
        <w:tc>
          <w:tcPr>
            <w:tcW w:w="0" w:type="auto"/>
            <w:gridSpan w:val="3"/>
            <w:shd w:val="clear" w:color="auto" w:fill="auto"/>
            <w:vAlign w:val="bottom"/>
          </w:tcPr>
          <w:p w14:paraId="74DDDDCC" w14:textId="77777777" w:rsidR="00584EC1" w:rsidRDefault="00584EC1">
            <w:pPr>
              <w:rPr>
                <w:rFonts w:ascii="宋体"/>
                <w:vanish/>
              </w:rPr>
            </w:pPr>
          </w:p>
        </w:tc>
        <w:tc>
          <w:tcPr>
            <w:tcW w:w="0" w:type="auto"/>
            <w:gridSpan w:val="3"/>
            <w:shd w:val="clear" w:color="auto" w:fill="auto"/>
            <w:vAlign w:val="bottom"/>
          </w:tcPr>
          <w:p w14:paraId="74DDDDCD" w14:textId="77777777" w:rsidR="00584EC1" w:rsidRDefault="00584EC1">
            <w:pPr>
              <w:rPr>
                <w:rFonts w:ascii="宋体"/>
                <w:vanish/>
              </w:rPr>
            </w:pPr>
          </w:p>
        </w:tc>
        <w:tc>
          <w:tcPr>
            <w:tcW w:w="0" w:type="auto"/>
            <w:gridSpan w:val="3"/>
            <w:shd w:val="clear" w:color="auto" w:fill="auto"/>
            <w:vAlign w:val="bottom"/>
          </w:tcPr>
          <w:p w14:paraId="74DDDDCE" w14:textId="77777777" w:rsidR="00584EC1" w:rsidRDefault="00584EC1">
            <w:pPr>
              <w:rPr>
                <w:rFonts w:ascii="宋体"/>
                <w:vanish/>
              </w:rPr>
            </w:pPr>
          </w:p>
        </w:tc>
        <w:tc>
          <w:tcPr>
            <w:tcW w:w="0" w:type="auto"/>
            <w:gridSpan w:val="3"/>
            <w:shd w:val="clear" w:color="auto" w:fill="auto"/>
            <w:vAlign w:val="bottom"/>
          </w:tcPr>
          <w:p w14:paraId="74DDDDCF" w14:textId="77777777" w:rsidR="00584EC1" w:rsidRDefault="00584EC1">
            <w:pPr>
              <w:rPr>
                <w:rFonts w:ascii="宋体"/>
                <w:vanish/>
              </w:rPr>
            </w:pPr>
          </w:p>
        </w:tc>
        <w:tc>
          <w:tcPr>
            <w:tcW w:w="0" w:type="auto"/>
            <w:gridSpan w:val="3"/>
            <w:shd w:val="clear" w:color="auto" w:fill="auto"/>
            <w:vAlign w:val="bottom"/>
          </w:tcPr>
          <w:p w14:paraId="74DDDDD0" w14:textId="77777777" w:rsidR="00584EC1" w:rsidRDefault="00584EC1">
            <w:pPr>
              <w:rPr>
                <w:rFonts w:ascii="宋体"/>
                <w:vanish/>
              </w:rPr>
            </w:pPr>
          </w:p>
        </w:tc>
        <w:tc>
          <w:tcPr>
            <w:tcW w:w="0" w:type="auto"/>
            <w:gridSpan w:val="3"/>
            <w:shd w:val="clear" w:color="auto" w:fill="auto"/>
            <w:vAlign w:val="bottom"/>
          </w:tcPr>
          <w:p w14:paraId="74DDDDD1" w14:textId="77777777" w:rsidR="00584EC1" w:rsidRDefault="00584EC1">
            <w:pPr>
              <w:rPr>
                <w:rFonts w:ascii="宋体"/>
                <w:vanish/>
              </w:rPr>
            </w:pPr>
          </w:p>
        </w:tc>
        <w:tc>
          <w:tcPr>
            <w:tcW w:w="0" w:type="auto"/>
            <w:gridSpan w:val="3"/>
            <w:shd w:val="clear" w:color="auto" w:fill="auto"/>
            <w:vAlign w:val="bottom"/>
          </w:tcPr>
          <w:p w14:paraId="74DDDDD2" w14:textId="77777777" w:rsidR="00584EC1" w:rsidRDefault="00584EC1">
            <w:pPr>
              <w:rPr>
                <w:rFonts w:ascii="宋体"/>
                <w:vanish/>
              </w:rPr>
            </w:pPr>
          </w:p>
        </w:tc>
        <w:tc>
          <w:tcPr>
            <w:tcW w:w="0" w:type="auto"/>
            <w:gridSpan w:val="3"/>
            <w:shd w:val="clear" w:color="auto" w:fill="auto"/>
            <w:vAlign w:val="bottom"/>
          </w:tcPr>
          <w:p w14:paraId="74DDDDD3" w14:textId="77777777" w:rsidR="00584EC1" w:rsidRDefault="00584EC1">
            <w:pPr>
              <w:rPr>
                <w:rFonts w:ascii="宋体"/>
                <w:vanish/>
              </w:rPr>
            </w:pPr>
          </w:p>
        </w:tc>
        <w:tc>
          <w:tcPr>
            <w:tcW w:w="0" w:type="auto"/>
            <w:gridSpan w:val="3"/>
            <w:shd w:val="clear" w:color="auto" w:fill="auto"/>
            <w:vAlign w:val="bottom"/>
          </w:tcPr>
          <w:p w14:paraId="74DDDDD4" w14:textId="77777777" w:rsidR="00584EC1" w:rsidRDefault="00584EC1">
            <w:pPr>
              <w:rPr>
                <w:rFonts w:ascii="宋体"/>
                <w:vanish/>
              </w:rPr>
            </w:pPr>
          </w:p>
        </w:tc>
        <w:tc>
          <w:tcPr>
            <w:tcW w:w="0" w:type="auto"/>
            <w:gridSpan w:val="3"/>
            <w:shd w:val="clear" w:color="auto" w:fill="auto"/>
            <w:vAlign w:val="bottom"/>
          </w:tcPr>
          <w:p w14:paraId="74DDDDD5" w14:textId="77777777" w:rsidR="00584EC1" w:rsidRDefault="00584EC1">
            <w:pPr>
              <w:rPr>
                <w:rFonts w:ascii="宋体"/>
                <w:vanish/>
              </w:rPr>
            </w:pPr>
          </w:p>
        </w:tc>
        <w:tc>
          <w:tcPr>
            <w:tcW w:w="0" w:type="auto"/>
            <w:gridSpan w:val="3"/>
            <w:shd w:val="clear" w:color="auto" w:fill="auto"/>
            <w:vAlign w:val="bottom"/>
          </w:tcPr>
          <w:p w14:paraId="74DDDDD6" w14:textId="77777777" w:rsidR="00584EC1" w:rsidRDefault="00584EC1">
            <w:pPr>
              <w:rPr>
                <w:rFonts w:ascii="宋体"/>
                <w:vanish/>
              </w:rPr>
            </w:pPr>
          </w:p>
        </w:tc>
        <w:tc>
          <w:tcPr>
            <w:tcW w:w="0" w:type="auto"/>
            <w:gridSpan w:val="3"/>
            <w:shd w:val="clear" w:color="auto" w:fill="auto"/>
            <w:vAlign w:val="bottom"/>
          </w:tcPr>
          <w:p w14:paraId="74DDDDD7" w14:textId="77777777" w:rsidR="00584EC1" w:rsidRDefault="00584EC1">
            <w:pPr>
              <w:rPr>
                <w:rFonts w:ascii="宋体"/>
                <w:vanish/>
              </w:rPr>
            </w:pPr>
          </w:p>
        </w:tc>
        <w:tc>
          <w:tcPr>
            <w:tcW w:w="0" w:type="auto"/>
            <w:gridSpan w:val="3"/>
            <w:shd w:val="clear" w:color="auto" w:fill="auto"/>
            <w:vAlign w:val="bottom"/>
          </w:tcPr>
          <w:p w14:paraId="74DDDDD8" w14:textId="77777777" w:rsidR="00584EC1" w:rsidRDefault="00584EC1">
            <w:pPr>
              <w:rPr>
                <w:rFonts w:ascii="宋体"/>
                <w:vanish/>
              </w:rPr>
            </w:pPr>
          </w:p>
        </w:tc>
        <w:tc>
          <w:tcPr>
            <w:tcW w:w="0" w:type="auto"/>
            <w:gridSpan w:val="3"/>
            <w:shd w:val="clear" w:color="auto" w:fill="auto"/>
            <w:vAlign w:val="bottom"/>
          </w:tcPr>
          <w:p w14:paraId="74DDDDD9" w14:textId="77777777" w:rsidR="00584EC1" w:rsidRDefault="00584EC1">
            <w:pPr>
              <w:rPr>
                <w:rFonts w:ascii="宋体"/>
                <w:vanish/>
              </w:rPr>
            </w:pPr>
          </w:p>
        </w:tc>
      </w:tr>
      <w:tr w:rsidR="00584EC1" w14:paraId="74DDDDEF" w14:textId="77777777">
        <w:trPr>
          <w:hidden/>
        </w:trPr>
        <w:tc>
          <w:tcPr>
            <w:tcW w:w="0" w:type="auto"/>
            <w:gridSpan w:val="3"/>
            <w:shd w:val="clear" w:color="auto" w:fill="auto"/>
            <w:vAlign w:val="bottom"/>
          </w:tcPr>
          <w:p w14:paraId="74DDDDDB" w14:textId="77777777" w:rsidR="00584EC1" w:rsidRDefault="00584EC1">
            <w:pPr>
              <w:rPr>
                <w:rFonts w:ascii="宋体"/>
                <w:vanish/>
              </w:rPr>
            </w:pPr>
          </w:p>
        </w:tc>
        <w:tc>
          <w:tcPr>
            <w:tcW w:w="0" w:type="auto"/>
            <w:gridSpan w:val="3"/>
            <w:shd w:val="clear" w:color="auto" w:fill="auto"/>
            <w:vAlign w:val="bottom"/>
          </w:tcPr>
          <w:p w14:paraId="74DDDDDC" w14:textId="77777777" w:rsidR="00584EC1" w:rsidRDefault="00584EC1">
            <w:pPr>
              <w:rPr>
                <w:rFonts w:ascii="宋体"/>
                <w:vanish/>
              </w:rPr>
            </w:pPr>
          </w:p>
        </w:tc>
        <w:tc>
          <w:tcPr>
            <w:tcW w:w="0" w:type="auto"/>
            <w:gridSpan w:val="3"/>
            <w:shd w:val="clear" w:color="auto" w:fill="auto"/>
            <w:vAlign w:val="bottom"/>
          </w:tcPr>
          <w:p w14:paraId="74DDDDDD" w14:textId="77777777" w:rsidR="00584EC1" w:rsidRDefault="00584EC1">
            <w:pPr>
              <w:rPr>
                <w:rFonts w:ascii="宋体"/>
                <w:vanish/>
              </w:rPr>
            </w:pPr>
          </w:p>
        </w:tc>
        <w:tc>
          <w:tcPr>
            <w:tcW w:w="0" w:type="auto"/>
            <w:gridSpan w:val="3"/>
            <w:shd w:val="clear" w:color="auto" w:fill="auto"/>
            <w:vAlign w:val="bottom"/>
          </w:tcPr>
          <w:p w14:paraId="74DDDDDE" w14:textId="77777777" w:rsidR="00584EC1" w:rsidRDefault="00584EC1">
            <w:pPr>
              <w:rPr>
                <w:rFonts w:ascii="宋体"/>
                <w:vanish/>
              </w:rPr>
            </w:pPr>
          </w:p>
        </w:tc>
        <w:tc>
          <w:tcPr>
            <w:tcW w:w="0" w:type="auto"/>
            <w:gridSpan w:val="3"/>
            <w:shd w:val="clear" w:color="auto" w:fill="auto"/>
            <w:vAlign w:val="bottom"/>
          </w:tcPr>
          <w:p w14:paraId="74DDDDDF" w14:textId="77777777" w:rsidR="00584EC1" w:rsidRDefault="00584EC1">
            <w:pPr>
              <w:rPr>
                <w:rFonts w:ascii="宋体"/>
                <w:vanish/>
              </w:rPr>
            </w:pPr>
          </w:p>
        </w:tc>
        <w:tc>
          <w:tcPr>
            <w:tcW w:w="0" w:type="auto"/>
            <w:gridSpan w:val="3"/>
            <w:shd w:val="clear" w:color="auto" w:fill="auto"/>
            <w:vAlign w:val="bottom"/>
          </w:tcPr>
          <w:p w14:paraId="74DDDDE0" w14:textId="77777777" w:rsidR="00584EC1" w:rsidRDefault="00584EC1">
            <w:pPr>
              <w:rPr>
                <w:rFonts w:ascii="宋体"/>
                <w:vanish/>
              </w:rPr>
            </w:pPr>
          </w:p>
        </w:tc>
        <w:tc>
          <w:tcPr>
            <w:tcW w:w="0" w:type="auto"/>
            <w:gridSpan w:val="3"/>
            <w:shd w:val="clear" w:color="auto" w:fill="auto"/>
            <w:vAlign w:val="bottom"/>
          </w:tcPr>
          <w:p w14:paraId="74DDDDE1" w14:textId="77777777" w:rsidR="00584EC1" w:rsidRDefault="00584EC1">
            <w:pPr>
              <w:rPr>
                <w:rFonts w:ascii="宋体"/>
                <w:vanish/>
              </w:rPr>
            </w:pPr>
          </w:p>
        </w:tc>
        <w:tc>
          <w:tcPr>
            <w:tcW w:w="0" w:type="auto"/>
            <w:gridSpan w:val="3"/>
            <w:shd w:val="clear" w:color="auto" w:fill="auto"/>
            <w:vAlign w:val="bottom"/>
          </w:tcPr>
          <w:p w14:paraId="74DDDDE2" w14:textId="77777777" w:rsidR="00584EC1" w:rsidRDefault="00584EC1">
            <w:pPr>
              <w:rPr>
                <w:rFonts w:ascii="宋体"/>
                <w:vanish/>
              </w:rPr>
            </w:pPr>
          </w:p>
        </w:tc>
        <w:tc>
          <w:tcPr>
            <w:tcW w:w="0" w:type="auto"/>
            <w:gridSpan w:val="3"/>
            <w:shd w:val="clear" w:color="auto" w:fill="auto"/>
            <w:vAlign w:val="bottom"/>
          </w:tcPr>
          <w:p w14:paraId="74DDDDE3" w14:textId="77777777" w:rsidR="00584EC1" w:rsidRDefault="00584EC1">
            <w:pPr>
              <w:rPr>
                <w:rFonts w:ascii="宋体"/>
                <w:vanish/>
              </w:rPr>
            </w:pPr>
          </w:p>
        </w:tc>
        <w:tc>
          <w:tcPr>
            <w:tcW w:w="0" w:type="auto"/>
            <w:gridSpan w:val="3"/>
            <w:shd w:val="clear" w:color="auto" w:fill="auto"/>
            <w:vAlign w:val="bottom"/>
          </w:tcPr>
          <w:p w14:paraId="74DDDDE4" w14:textId="77777777" w:rsidR="00584EC1" w:rsidRDefault="00584EC1">
            <w:pPr>
              <w:rPr>
                <w:rFonts w:ascii="宋体"/>
                <w:vanish/>
              </w:rPr>
            </w:pPr>
          </w:p>
        </w:tc>
        <w:tc>
          <w:tcPr>
            <w:tcW w:w="0" w:type="auto"/>
            <w:gridSpan w:val="3"/>
            <w:shd w:val="clear" w:color="auto" w:fill="auto"/>
            <w:vAlign w:val="bottom"/>
          </w:tcPr>
          <w:p w14:paraId="74DDDDE5" w14:textId="77777777" w:rsidR="00584EC1" w:rsidRDefault="00584EC1">
            <w:pPr>
              <w:rPr>
                <w:rFonts w:ascii="宋体"/>
                <w:vanish/>
              </w:rPr>
            </w:pPr>
          </w:p>
        </w:tc>
        <w:tc>
          <w:tcPr>
            <w:tcW w:w="0" w:type="auto"/>
            <w:gridSpan w:val="3"/>
            <w:shd w:val="clear" w:color="auto" w:fill="auto"/>
            <w:vAlign w:val="bottom"/>
          </w:tcPr>
          <w:p w14:paraId="74DDDDE6" w14:textId="77777777" w:rsidR="00584EC1" w:rsidRDefault="00584EC1">
            <w:pPr>
              <w:rPr>
                <w:rFonts w:ascii="宋体"/>
                <w:vanish/>
              </w:rPr>
            </w:pPr>
          </w:p>
        </w:tc>
        <w:tc>
          <w:tcPr>
            <w:tcW w:w="0" w:type="auto"/>
            <w:gridSpan w:val="3"/>
            <w:shd w:val="clear" w:color="auto" w:fill="auto"/>
            <w:vAlign w:val="bottom"/>
          </w:tcPr>
          <w:p w14:paraId="74DDDDE7" w14:textId="77777777" w:rsidR="00584EC1" w:rsidRDefault="00584EC1">
            <w:pPr>
              <w:rPr>
                <w:rFonts w:ascii="宋体"/>
                <w:vanish/>
              </w:rPr>
            </w:pPr>
          </w:p>
        </w:tc>
        <w:tc>
          <w:tcPr>
            <w:tcW w:w="0" w:type="auto"/>
            <w:gridSpan w:val="3"/>
            <w:shd w:val="clear" w:color="auto" w:fill="auto"/>
            <w:vAlign w:val="bottom"/>
          </w:tcPr>
          <w:p w14:paraId="74DDDDE8" w14:textId="77777777" w:rsidR="00584EC1" w:rsidRDefault="00584EC1">
            <w:pPr>
              <w:rPr>
                <w:rFonts w:ascii="宋体"/>
                <w:vanish/>
              </w:rPr>
            </w:pPr>
          </w:p>
        </w:tc>
        <w:tc>
          <w:tcPr>
            <w:tcW w:w="0" w:type="auto"/>
            <w:gridSpan w:val="3"/>
            <w:shd w:val="clear" w:color="auto" w:fill="auto"/>
            <w:vAlign w:val="bottom"/>
          </w:tcPr>
          <w:p w14:paraId="74DDDDE9" w14:textId="77777777" w:rsidR="00584EC1" w:rsidRDefault="00584EC1">
            <w:pPr>
              <w:rPr>
                <w:rFonts w:ascii="宋体"/>
                <w:vanish/>
              </w:rPr>
            </w:pPr>
          </w:p>
        </w:tc>
        <w:tc>
          <w:tcPr>
            <w:tcW w:w="0" w:type="auto"/>
            <w:gridSpan w:val="3"/>
            <w:shd w:val="clear" w:color="auto" w:fill="auto"/>
            <w:vAlign w:val="bottom"/>
          </w:tcPr>
          <w:p w14:paraId="74DDDDEA" w14:textId="77777777" w:rsidR="00584EC1" w:rsidRDefault="00584EC1">
            <w:pPr>
              <w:rPr>
                <w:rFonts w:ascii="宋体"/>
                <w:vanish/>
              </w:rPr>
            </w:pPr>
          </w:p>
        </w:tc>
        <w:tc>
          <w:tcPr>
            <w:tcW w:w="0" w:type="auto"/>
            <w:gridSpan w:val="3"/>
            <w:shd w:val="clear" w:color="auto" w:fill="auto"/>
            <w:vAlign w:val="bottom"/>
          </w:tcPr>
          <w:p w14:paraId="74DDDDEB" w14:textId="77777777" w:rsidR="00584EC1" w:rsidRDefault="00584EC1">
            <w:pPr>
              <w:rPr>
                <w:rFonts w:ascii="宋体"/>
                <w:vanish/>
              </w:rPr>
            </w:pPr>
          </w:p>
        </w:tc>
        <w:tc>
          <w:tcPr>
            <w:tcW w:w="0" w:type="auto"/>
            <w:gridSpan w:val="3"/>
            <w:shd w:val="clear" w:color="auto" w:fill="auto"/>
            <w:vAlign w:val="bottom"/>
          </w:tcPr>
          <w:p w14:paraId="74DDDDEC" w14:textId="77777777" w:rsidR="00584EC1" w:rsidRDefault="00584EC1">
            <w:pPr>
              <w:rPr>
                <w:rFonts w:ascii="宋体"/>
                <w:vanish/>
              </w:rPr>
            </w:pPr>
          </w:p>
        </w:tc>
        <w:tc>
          <w:tcPr>
            <w:tcW w:w="0" w:type="auto"/>
            <w:gridSpan w:val="3"/>
            <w:shd w:val="clear" w:color="auto" w:fill="auto"/>
            <w:vAlign w:val="bottom"/>
          </w:tcPr>
          <w:p w14:paraId="74DDDDED" w14:textId="77777777" w:rsidR="00584EC1" w:rsidRDefault="00584EC1">
            <w:pPr>
              <w:rPr>
                <w:rFonts w:ascii="宋体"/>
                <w:vanish/>
              </w:rPr>
            </w:pPr>
          </w:p>
        </w:tc>
        <w:tc>
          <w:tcPr>
            <w:tcW w:w="0" w:type="auto"/>
            <w:gridSpan w:val="3"/>
            <w:shd w:val="clear" w:color="auto" w:fill="auto"/>
            <w:vAlign w:val="bottom"/>
          </w:tcPr>
          <w:p w14:paraId="74DDDDEE" w14:textId="77777777" w:rsidR="00584EC1" w:rsidRDefault="00584EC1">
            <w:pPr>
              <w:rPr>
                <w:rFonts w:ascii="宋体"/>
                <w:vanish/>
              </w:rPr>
            </w:pPr>
          </w:p>
        </w:tc>
      </w:tr>
      <w:tr w:rsidR="00584EC1" w14:paraId="74DDDE04" w14:textId="77777777">
        <w:trPr>
          <w:hidden/>
        </w:trPr>
        <w:tc>
          <w:tcPr>
            <w:tcW w:w="0" w:type="auto"/>
            <w:gridSpan w:val="3"/>
            <w:shd w:val="clear" w:color="auto" w:fill="auto"/>
            <w:vAlign w:val="bottom"/>
          </w:tcPr>
          <w:p w14:paraId="74DDDDF0" w14:textId="77777777" w:rsidR="00584EC1" w:rsidRDefault="00584EC1">
            <w:pPr>
              <w:rPr>
                <w:rFonts w:ascii="宋体"/>
                <w:vanish/>
              </w:rPr>
            </w:pPr>
          </w:p>
        </w:tc>
        <w:tc>
          <w:tcPr>
            <w:tcW w:w="0" w:type="auto"/>
            <w:gridSpan w:val="3"/>
            <w:shd w:val="clear" w:color="auto" w:fill="auto"/>
            <w:vAlign w:val="bottom"/>
          </w:tcPr>
          <w:p w14:paraId="74DDDDF1" w14:textId="77777777" w:rsidR="00584EC1" w:rsidRDefault="00584EC1">
            <w:pPr>
              <w:rPr>
                <w:rFonts w:ascii="宋体"/>
                <w:vanish/>
              </w:rPr>
            </w:pPr>
          </w:p>
        </w:tc>
        <w:tc>
          <w:tcPr>
            <w:tcW w:w="0" w:type="auto"/>
            <w:gridSpan w:val="3"/>
            <w:shd w:val="clear" w:color="auto" w:fill="auto"/>
            <w:vAlign w:val="bottom"/>
          </w:tcPr>
          <w:p w14:paraId="74DDDDF2" w14:textId="77777777" w:rsidR="00584EC1" w:rsidRDefault="00584EC1">
            <w:pPr>
              <w:rPr>
                <w:rFonts w:ascii="宋体"/>
                <w:vanish/>
              </w:rPr>
            </w:pPr>
          </w:p>
        </w:tc>
        <w:tc>
          <w:tcPr>
            <w:tcW w:w="0" w:type="auto"/>
            <w:gridSpan w:val="3"/>
            <w:shd w:val="clear" w:color="auto" w:fill="auto"/>
            <w:vAlign w:val="bottom"/>
          </w:tcPr>
          <w:p w14:paraId="74DDDDF3" w14:textId="77777777" w:rsidR="00584EC1" w:rsidRDefault="00584EC1">
            <w:pPr>
              <w:rPr>
                <w:rFonts w:ascii="宋体"/>
                <w:vanish/>
              </w:rPr>
            </w:pPr>
          </w:p>
        </w:tc>
        <w:tc>
          <w:tcPr>
            <w:tcW w:w="0" w:type="auto"/>
            <w:gridSpan w:val="3"/>
            <w:shd w:val="clear" w:color="auto" w:fill="auto"/>
            <w:vAlign w:val="bottom"/>
          </w:tcPr>
          <w:p w14:paraId="74DDDDF4" w14:textId="77777777" w:rsidR="00584EC1" w:rsidRDefault="00584EC1">
            <w:pPr>
              <w:rPr>
                <w:rFonts w:ascii="宋体"/>
                <w:vanish/>
              </w:rPr>
            </w:pPr>
          </w:p>
        </w:tc>
        <w:tc>
          <w:tcPr>
            <w:tcW w:w="0" w:type="auto"/>
            <w:gridSpan w:val="3"/>
            <w:shd w:val="clear" w:color="auto" w:fill="auto"/>
            <w:vAlign w:val="bottom"/>
          </w:tcPr>
          <w:p w14:paraId="74DDDDF5" w14:textId="77777777" w:rsidR="00584EC1" w:rsidRDefault="00584EC1">
            <w:pPr>
              <w:rPr>
                <w:rFonts w:ascii="宋体"/>
                <w:vanish/>
              </w:rPr>
            </w:pPr>
          </w:p>
        </w:tc>
        <w:tc>
          <w:tcPr>
            <w:tcW w:w="0" w:type="auto"/>
            <w:gridSpan w:val="3"/>
            <w:shd w:val="clear" w:color="auto" w:fill="auto"/>
            <w:vAlign w:val="bottom"/>
          </w:tcPr>
          <w:p w14:paraId="74DDDDF6" w14:textId="77777777" w:rsidR="00584EC1" w:rsidRDefault="00584EC1">
            <w:pPr>
              <w:rPr>
                <w:rFonts w:ascii="宋体"/>
                <w:vanish/>
              </w:rPr>
            </w:pPr>
          </w:p>
        </w:tc>
        <w:tc>
          <w:tcPr>
            <w:tcW w:w="0" w:type="auto"/>
            <w:gridSpan w:val="3"/>
            <w:shd w:val="clear" w:color="auto" w:fill="auto"/>
            <w:vAlign w:val="bottom"/>
          </w:tcPr>
          <w:p w14:paraId="74DDDDF7" w14:textId="77777777" w:rsidR="00584EC1" w:rsidRDefault="00584EC1">
            <w:pPr>
              <w:rPr>
                <w:rFonts w:ascii="宋体"/>
                <w:vanish/>
              </w:rPr>
            </w:pPr>
          </w:p>
        </w:tc>
        <w:tc>
          <w:tcPr>
            <w:tcW w:w="0" w:type="auto"/>
            <w:gridSpan w:val="3"/>
            <w:shd w:val="clear" w:color="auto" w:fill="auto"/>
            <w:vAlign w:val="bottom"/>
          </w:tcPr>
          <w:p w14:paraId="74DDDDF8" w14:textId="77777777" w:rsidR="00584EC1" w:rsidRDefault="00584EC1">
            <w:pPr>
              <w:rPr>
                <w:rFonts w:ascii="宋体"/>
                <w:vanish/>
              </w:rPr>
            </w:pPr>
          </w:p>
        </w:tc>
        <w:tc>
          <w:tcPr>
            <w:tcW w:w="0" w:type="auto"/>
            <w:gridSpan w:val="3"/>
            <w:shd w:val="clear" w:color="auto" w:fill="auto"/>
            <w:vAlign w:val="bottom"/>
          </w:tcPr>
          <w:p w14:paraId="74DDDDF9" w14:textId="77777777" w:rsidR="00584EC1" w:rsidRDefault="00584EC1">
            <w:pPr>
              <w:rPr>
                <w:rFonts w:ascii="宋体"/>
                <w:vanish/>
              </w:rPr>
            </w:pPr>
          </w:p>
        </w:tc>
        <w:tc>
          <w:tcPr>
            <w:tcW w:w="0" w:type="auto"/>
            <w:gridSpan w:val="3"/>
            <w:shd w:val="clear" w:color="auto" w:fill="auto"/>
            <w:vAlign w:val="bottom"/>
          </w:tcPr>
          <w:p w14:paraId="74DDDDFA" w14:textId="77777777" w:rsidR="00584EC1" w:rsidRDefault="00584EC1">
            <w:pPr>
              <w:rPr>
                <w:rFonts w:ascii="宋体"/>
                <w:vanish/>
              </w:rPr>
            </w:pPr>
          </w:p>
        </w:tc>
        <w:tc>
          <w:tcPr>
            <w:tcW w:w="0" w:type="auto"/>
            <w:gridSpan w:val="3"/>
            <w:shd w:val="clear" w:color="auto" w:fill="auto"/>
            <w:vAlign w:val="bottom"/>
          </w:tcPr>
          <w:p w14:paraId="74DDDDFB" w14:textId="77777777" w:rsidR="00584EC1" w:rsidRDefault="00584EC1">
            <w:pPr>
              <w:rPr>
                <w:rFonts w:ascii="宋体"/>
                <w:vanish/>
              </w:rPr>
            </w:pPr>
          </w:p>
        </w:tc>
        <w:tc>
          <w:tcPr>
            <w:tcW w:w="0" w:type="auto"/>
            <w:gridSpan w:val="3"/>
            <w:shd w:val="clear" w:color="auto" w:fill="auto"/>
            <w:vAlign w:val="bottom"/>
          </w:tcPr>
          <w:p w14:paraId="74DDDDFC" w14:textId="77777777" w:rsidR="00584EC1" w:rsidRDefault="00584EC1">
            <w:pPr>
              <w:rPr>
                <w:rFonts w:ascii="宋体"/>
                <w:vanish/>
              </w:rPr>
            </w:pPr>
          </w:p>
        </w:tc>
        <w:tc>
          <w:tcPr>
            <w:tcW w:w="0" w:type="auto"/>
            <w:gridSpan w:val="3"/>
            <w:shd w:val="clear" w:color="auto" w:fill="auto"/>
            <w:vAlign w:val="bottom"/>
          </w:tcPr>
          <w:p w14:paraId="74DDDDFD" w14:textId="77777777" w:rsidR="00584EC1" w:rsidRDefault="00584EC1">
            <w:pPr>
              <w:rPr>
                <w:rFonts w:ascii="宋体"/>
                <w:vanish/>
              </w:rPr>
            </w:pPr>
          </w:p>
        </w:tc>
        <w:tc>
          <w:tcPr>
            <w:tcW w:w="0" w:type="auto"/>
            <w:gridSpan w:val="3"/>
            <w:shd w:val="clear" w:color="auto" w:fill="auto"/>
            <w:vAlign w:val="bottom"/>
          </w:tcPr>
          <w:p w14:paraId="74DDDDFE" w14:textId="77777777" w:rsidR="00584EC1" w:rsidRDefault="00584EC1">
            <w:pPr>
              <w:rPr>
                <w:rFonts w:ascii="宋体"/>
                <w:vanish/>
              </w:rPr>
            </w:pPr>
          </w:p>
        </w:tc>
        <w:tc>
          <w:tcPr>
            <w:tcW w:w="0" w:type="auto"/>
            <w:gridSpan w:val="3"/>
            <w:shd w:val="clear" w:color="auto" w:fill="auto"/>
            <w:vAlign w:val="bottom"/>
          </w:tcPr>
          <w:p w14:paraId="74DDDDFF" w14:textId="77777777" w:rsidR="00584EC1" w:rsidRDefault="00584EC1">
            <w:pPr>
              <w:rPr>
                <w:rFonts w:ascii="宋体"/>
                <w:vanish/>
              </w:rPr>
            </w:pPr>
          </w:p>
        </w:tc>
        <w:tc>
          <w:tcPr>
            <w:tcW w:w="0" w:type="auto"/>
            <w:gridSpan w:val="3"/>
            <w:shd w:val="clear" w:color="auto" w:fill="auto"/>
            <w:vAlign w:val="bottom"/>
          </w:tcPr>
          <w:p w14:paraId="74DDDE00" w14:textId="77777777" w:rsidR="00584EC1" w:rsidRDefault="00584EC1">
            <w:pPr>
              <w:rPr>
                <w:rFonts w:ascii="宋体"/>
                <w:vanish/>
              </w:rPr>
            </w:pPr>
          </w:p>
        </w:tc>
        <w:tc>
          <w:tcPr>
            <w:tcW w:w="0" w:type="auto"/>
            <w:gridSpan w:val="3"/>
            <w:shd w:val="clear" w:color="auto" w:fill="auto"/>
            <w:vAlign w:val="bottom"/>
          </w:tcPr>
          <w:p w14:paraId="74DDDE01" w14:textId="77777777" w:rsidR="00584EC1" w:rsidRDefault="00584EC1">
            <w:pPr>
              <w:rPr>
                <w:rFonts w:ascii="宋体"/>
                <w:vanish/>
              </w:rPr>
            </w:pPr>
          </w:p>
        </w:tc>
        <w:tc>
          <w:tcPr>
            <w:tcW w:w="0" w:type="auto"/>
            <w:gridSpan w:val="3"/>
            <w:shd w:val="clear" w:color="auto" w:fill="auto"/>
            <w:vAlign w:val="bottom"/>
          </w:tcPr>
          <w:p w14:paraId="74DDDE02" w14:textId="77777777" w:rsidR="00584EC1" w:rsidRDefault="00584EC1">
            <w:pPr>
              <w:rPr>
                <w:rFonts w:ascii="宋体"/>
                <w:vanish/>
              </w:rPr>
            </w:pPr>
          </w:p>
        </w:tc>
        <w:tc>
          <w:tcPr>
            <w:tcW w:w="0" w:type="auto"/>
            <w:gridSpan w:val="3"/>
            <w:shd w:val="clear" w:color="auto" w:fill="auto"/>
            <w:vAlign w:val="bottom"/>
          </w:tcPr>
          <w:p w14:paraId="74DDDE03" w14:textId="77777777" w:rsidR="00584EC1" w:rsidRDefault="00584EC1">
            <w:pPr>
              <w:rPr>
                <w:rFonts w:ascii="宋体"/>
                <w:vanish/>
              </w:rPr>
            </w:pPr>
          </w:p>
        </w:tc>
      </w:tr>
      <w:tr w:rsidR="00584EC1" w14:paraId="74DDDE19" w14:textId="77777777">
        <w:trPr>
          <w:hidden/>
        </w:trPr>
        <w:tc>
          <w:tcPr>
            <w:tcW w:w="0" w:type="auto"/>
            <w:gridSpan w:val="3"/>
            <w:shd w:val="clear" w:color="auto" w:fill="auto"/>
            <w:vAlign w:val="bottom"/>
          </w:tcPr>
          <w:p w14:paraId="74DDDE05" w14:textId="77777777" w:rsidR="00584EC1" w:rsidRDefault="00584EC1">
            <w:pPr>
              <w:rPr>
                <w:rFonts w:ascii="宋体"/>
                <w:vanish/>
              </w:rPr>
            </w:pPr>
          </w:p>
        </w:tc>
        <w:tc>
          <w:tcPr>
            <w:tcW w:w="0" w:type="auto"/>
            <w:gridSpan w:val="3"/>
            <w:shd w:val="clear" w:color="auto" w:fill="auto"/>
            <w:vAlign w:val="bottom"/>
          </w:tcPr>
          <w:p w14:paraId="74DDDE06" w14:textId="77777777" w:rsidR="00584EC1" w:rsidRDefault="00584EC1">
            <w:pPr>
              <w:rPr>
                <w:rFonts w:ascii="宋体"/>
                <w:vanish/>
              </w:rPr>
            </w:pPr>
          </w:p>
        </w:tc>
        <w:tc>
          <w:tcPr>
            <w:tcW w:w="0" w:type="auto"/>
            <w:gridSpan w:val="3"/>
            <w:shd w:val="clear" w:color="auto" w:fill="auto"/>
            <w:vAlign w:val="bottom"/>
          </w:tcPr>
          <w:p w14:paraId="74DDDE07" w14:textId="77777777" w:rsidR="00584EC1" w:rsidRDefault="00584EC1">
            <w:pPr>
              <w:rPr>
                <w:rFonts w:ascii="宋体"/>
                <w:vanish/>
              </w:rPr>
            </w:pPr>
          </w:p>
        </w:tc>
        <w:tc>
          <w:tcPr>
            <w:tcW w:w="0" w:type="auto"/>
            <w:gridSpan w:val="3"/>
            <w:shd w:val="clear" w:color="auto" w:fill="auto"/>
            <w:vAlign w:val="bottom"/>
          </w:tcPr>
          <w:p w14:paraId="74DDDE08" w14:textId="77777777" w:rsidR="00584EC1" w:rsidRDefault="00584EC1">
            <w:pPr>
              <w:rPr>
                <w:rFonts w:ascii="宋体"/>
                <w:vanish/>
              </w:rPr>
            </w:pPr>
          </w:p>
        </w:tc>
        <w:tc>
          <w:tcPr>
            <w:tcW w:w="0" w:type="auto"/>
            <w:gridSpan w:val="3"/>
            <w:shd w:val="clear" w:color="auto" w:fill="auto"/>
            <w:vAlign w:val="bottom"/>
          </w:tcPr>
          <w:p w14:paraId="74DDDE09" w14:textId="77777777" w:rsidR="00584EC1" w:rsidRDefault="00584EC1">
            <w:pPr>
              <w:rPr>
                <w:rFonts w:ascii="宋体"/>
                <w:vanish/>
              </w:rPr>
            </w:pPr>
          </w:p>
        </w:tc>
        <w:tc>
          <w:tcPr>
            <w:tcW w:w="0" w:type="auto"/>
            <w:gridSpan w:val="3"/>
            <w:shd w:val="clear" w:color="auto" w:fill="auto"/>
            <w:vAlign w:val="bottom"/>
          </w:tcPr>
          <w:p w14:paraId="74DDDE0A" w14:textId="77777777" w:rsidR="00584EC1" w:rsidRDefault="00584EC1">
            <w:pPr>
              <w:rPr>
                <w:rFonts w:ascii="宋体"/>
                <w:vanish/>
              </w:rPr>
            </w:pPr>
          </w:p>
        </w:tc>
        <w:tc>
          <w:tcPr>
            <w:tcW w:w="0" w:type="auto"/>
            <w:gridSpan w:val="3"/>
            <w:shd w:val="clear" w:color="auto" w:fill="auto"/>
            <w:vAlign w:val="bottom"/>
          </w:tcPr>
          <w:p w14:paraId="74DDDE0B" w14:textId="77777777" w:rsidR="00584EC1" w:rsidRDefault="00584EC1">
            <w:pPr>
              <w:rPr>
                <w:rFonts w:ascii="宋体"/>
                <w:vanish/>
              </w:rPr>
            </w:pPr>
          </w:p>
        </w:tc>
        <w:tc>
          <w:tcPr>
            <w:tcW w:w="0" w:type="auto"/>
            <w:gridSpan w:val="3"/>
            <w:shd w:val="clear" w:color="auto" w:fill="auto"/>
            <w:vAlign w:val="bottom"/>
          </w:tcPr>
          <w:p w14:paraId="74DDDE0C" w14:textId="77777777" w:rsidR="00584EC1" w:rsidRDefault="00584EC1">
            <w:pPr>
              <w:rPr>
                <w:rFonts w:ascii="宋体"/>
                <w:vanish/>
              </w:rPr>
            </w:pPr>
          </w:p>
        </w:tc>
        <w:tc>
          <w:tcPr>
            <w:tcW w:w="0" w:type="auto"/>
            <w:gridSpan w:val="3"/>
            <w:shd w:val="clear" w:color="auto" w:fill="auto"/>
            <w:vAlign w:val="bottom"/>
          </w:tcPr>
          <w:p w14:paraId="74DDDE0D" w14:textId="77777777" w:rsidR="00584EC1" w:rsidRDefault="00584EC1">
            <w:pPr>
              <w:rPr>
                <w:rFonts w:ascii="宋体"/>
                <w:vanish/>
              </w:rPr>
            </w:pPr>
          </w:p>
        </w:tc>
        <w:tc>
          <w:tcPr>
            <w:tcW w:w="0" w:type="auto"/>
            <w:gridSpan w:val="3"/>
            <w:shd w:val="clear" w:color="auto" w:fill="auto"/>
            <w:vAlign w:val="bottom"/>
          </w:tcPr>
          <w:p w14:paraId="74DDDE0E" w14:textId="77777777" w:rsidR="00584EC1" w:rsidRDefault="00584EC1">
            <w:pPr>
              <w:rPr>
                <w:rFonts w:ascii="宋体"/>
                <w:vanish/>
              </w:rPr>
            </w:pPr>
          </w:p>
        </w:tc>
        <w:tc>
          <w:tcPr>
            <w:tcW w:w="0" w:type="auto"/>
            <w:gridSpan w:val="3"/>
            <w:shd w:val="clear" w:color="auto" w:fill="auto"/>
            <w:vAlign w:val="bottom"/>
          </w:tcPr>
          <w:p w14:paraId="74DDDE0F" w14:textId="77777777" w:rsidR="00584EC1" w:rsidRDefault="00584EC1">
            <w:pPr>
              <w:rPr>
                <w:rFonts w:ascii="宋体"/>
                <w:vanish/>
              </w:rPr>
            </w:pPr>
          </w:p>
        </w:tc>
        <w:tc>
          <w:tcPr>
            <w:tcW w:w="0" w:type="auto"/>
            <w:gridSpan w:val="3"/>
            <w:shd w:val="clear" w:color="auto" w:fill="auto"/>
            <w:vAlign w:val="bottom"/>
          </w:tcPr>
          <w:p w14:paraId="74DDDE10" w14:textId="77777777" w:rsidR="00584EC1" w:rsidRDefault="00584EC1">
            <w:pPr>
              <w:rPr>
                <w:rFonts w:ascii="宋体"/>
                <w:vanish/>
              </w:rPr>
            </w:pPr>
          </w:p>
        </w:tc>
        <w:tc>
          <w:tcPr>
            <w:tcW w:w="0" w:type="auto"/>
            <w:gridSpan w:val="3"/>
            <w:shd w:val="clear" w:color="auto" w:fill="auto"/>
            <w:vAlign w:val="bottom"/>
          </w:tcPr>
          <w:p w14:paraId="74DDDE11" w14:textId="77777777" w:rsidR="00584EC1" w:rsidRDefault="00584EC1">
            <w:pPr>
              <w:rPr>
                <w:rFonts w:ascii="宋体"/>
                <w:vanish/>
              </w:rPr>
            </w:pPr>
          </w:p>
        </w:tc>
        <w:tc>
          <w:tcPr>
            <w:tcW w:w="0" w:type="auto"/>
            <w:gridSpan w:val="3"/>
            <w:shd w:val="clear" w:color="auto" w:fill="auto"/>
            <w:vAlign w:val="bottom"/>
          </w:tcPr>
          <w:p w14:paraId="74DDDE12" w14:textId="77777777" w:rsidR="00584EC1" w:rsidRDefault="00584EC1">
            <w:pPr>
              <w:rPr>
                <w:rFonts w:ascii="宋体"/>
                <w:vanish/>
              </w:rPr>
            </w:pPr>
          </w:p>
        </w:tc>
        <w:tc>
          <w:tcPr>
            <w:tcW w:w="0" w:type="auto"/>
            <w:gridSpan w:val="3"/>
            <w:shd w:val="clear" w:color="auto" w:fill="auto"/>
            <w:vAlign w:val="bottom"/>
          </w:tcPr>
          <w:p w14:paraId="74DDDE13" w14:textId="77777777" w:rsidR="00584EC1" w:rsidRDefault="00584EC1">
            <w:pPr>
              <w:rPr>
                <w:rFonts w:ascii="宋体"/>
                <w:vanish/>
              </w:rPr>
            </w:pPr>
          </w:p>
        </w:tc>
        <w:tc>
          <w:tcPr>
            <w:tcW w:w="0" w:type="auto"/>
            <w:gridSpan w:val="3"/>
            <w:shd w:val="clear" w:color="auto" w:fill="auto"/>
            <w:vAlign w:val="bottom"/>
          </w:tcPr>
          <w:p w14:paraId="74DDDE14" w14:textId="77777777" w:rsidR="00584EC1" w:rsidRDefault="00584EC1">
            <w:pPr>
              <w:rPr>
                <w:rFonts w:ascii="宋体"/>
                <w:vanish/>
              </w:rPr>
            </w:pPr>
          </w:p>
        </w:tc>
        <w:tc>
          <w:tcPr>
            <w:tcW w:w="0" w:type="auto"/>
            <w:gridSpan w:val="3"/>
            <w:shd w:val="clear" w:color="auto" w:fill="auto"/>
            <w:vAlign w:val="bottom"/>
          </w:tcPr>
          <w:p w14:paraId="74DDDE15" w14:textId="77777777" w:rsidR="00584EC1" w:rsidRDefault="00584EC1">
            <w:pPr>
              <w:rPr>
                <w:rFonts w:ascii="宋体"/>
                <w:vanish/>
              </w:rPr>
            </w:pPr>
          </w:p>
        </w:tc>
        <w:tc>
          <w:tcPr>
            <w:tcW w:w="0" w:type="auto"/>
            <w:gridSpan w:val="3"/>
            <w:shd w:val="clear" w:color="auto" w:fill="auto"/>
            <w:vAlign w:val="bottom"/>
          </w:tcPr>
          <w:p w14:paraId="74DDDE16" w14:textId="77777777" w:rsidR="00584EC1" w:rsidRDefault="00584EC1">
            <w:pPr>
              <w:rPr>
                <w:rFonts w:ascii="宋体"/>
                <w:vanish/>
              </w:rPr>
            </w:pPr>
          </w:p>
        </w:tc>
        <w:tc>
          <w:tcPr>
            <w:tcW w:w="0" w:type="auto"/>
            <w:gridSpan w:val="3"/>
            <w:shd w:val="clear" w:color="auto" w:fill="auto"/>
            <w:vAlign w:val="bottom"/>
          </w:tcPr>
          <w:p w14:paraId="74DDDE17" w14:textId="77777777" w:rsidR="00584EC1" w:rsidRDefault="00584EC1">
            <w:pPr>
              <w:rPr>
                <w:rFonts w:ascii="宋体"/>
                <w:vanish/>
              </w:rPr>
            </w:pPr>
          </w:p>
        </w:tc>
        <w:tc>
          <w:tcPr>
            <w:tcW w:w="0" w:type="auto"/>
            <w:gridSpan w:val="3"/>
            <w:shd w:val="clear" w:color="auto" w:fill="auto"/>
            <w:vAlign w:val="bottom"/>
          </w:tcPr>
          <w:p w14:paraId="74DDDE18" w14:textId="77777777" w:rsidR="00584EC1" w:rsidRDefault="00584EC1">
            <w:pPr>
              <w:rPr>
                <w:rFonts w:ascii="宋体"/>
                <w:vanish/>
              </w:rPr>
            </w:pPr>
          </w:p>
        </w:tc>
      </w:tr>
      <w:tr w:rsidR="00584EC1" w14:paraId="74DDDE2E" w14:textId="77777777">
        <w:trPr>
          <w:hidden/>
        </w:trPr>
        <w:tc>
          <w:tcPr>
            <w:tcW w:w="0" w:type="auto"/>
            <w:gridSpan w:val="3"/>
            <w:shd w:val="clear" w:color="auto" w:fill="auto"/>
            <w:vAlign w:val="bottom"/>
          </w:tcPr>
          <w:p w14:paraId="74DDDE1A" w14:textId="77777777" w:rsidR="00584EC1" w:rsidRDefault="00584EC1">
            <w:pPr>
              <w:rPr>
                <w:rFonts w:ascii="宋体"/>
                <w:vanish/>
              </w:rPr>
            </w:pPr>
          </w:p>
        </w:tc>
        <w:tc>
          <w:tcPr>
            <w:tcW w:w="0" w:type="auto"/>
            <w:gridSpan w:val="3"/>
            <w:shd w:val="clear" w:color="auto" w:fill="auto"/>
            <w:vAlign w:val="bottom"/>
          </w:tcPr>
          <w:p w14:paraId="74DDDE1B" w14:textId="77777777" w:rsidR="00584EC1" w:rsidRDefault="00584EC1">
            <w:pPr>
              <w:rPr>
                <w:rFonts w:ascii="宋体"/>
                <w:vanish/>
              </w:rPr>
            </w:pPr>
          </w:p>
        </w:tc>
        <w:tc>
          <w:tcPr>
            <w:tcW w:w="0" w:type="auto"/>
            <w:gridSpan w:val="3"/>
            <w:shd w:val="clear" w:color="auto" w:fill="auto"/>
            <w:vAlign w:val="bottom"/>
          </w:tcPr>
          <w:p w14:paraId="74DDDE1C" w14:textId="77777777" w:rsidR="00584EC1" w:rsidRDefault="00584EC1">
            <w:pPr>
              <w:rPr>
                <w:rFonts w:ascii="宋体"/>
                <w:vanish/>
              </w:rPr>
            </w:pPr>
          </w:p>
        </w:tc>
        <w:tc>
          <w:tcPr>
            <w:tcW w:w="0" w:type="auto"/>
            <w:gridSpan w:val="3"/>
            <w:shd w:val="clear" w:color="auto" w:fill="auto"/>
            <w:vAlign w:val="bottom"/>
          </w:tcPr>
          <w:p w14:paraId="74DDDE1D" w14:textId="77777777" w:rsidR="00584EC1" w:rsidRDefault="00584EC1">
            <w:pPr>
              <w:rPr>
                <w:rFonts w:ascii="宋体"/>
                <w:vanish/>
              </w:rPr>
            </w:pPr>
          </w:p>
        </w:tc>
        <w:tc>
          <w:tcPr>
            <w:tcW w:w="0" w:type="auto"/>
            <w:gridSpan w:val="3"/>
            <w:shd w:val="clear" w:color="auto" w:fill="auto"/>
            <w:vAlign w:val="bottom"/>
          </w:tcPr>
          <w:p w14:paraId="74DDDE1E" w14:textId="77777777" w:rsidR="00584EC1" w:rsidRDefault="00584EC1">
            <w:pPr>
              <w:rPr>
                <w:rFonts w:ascii="宋体"/>
                <w:vanish/>
              </w:rPr>
            </w:pPr>
          </w:p>
        </w:tc>
        <w:tc>
          <w:tcPr>
            <w:tcW w:w="0" w:type="auto"/>
            <w:gridSpan w:val="3"/>
            <w:shd w:val="clear" w:color="auto" w:fill="auto"/>
            <w:vAlign w:val="bottom"/>
          </w:tcPr>
          <w:p w14:paraId="74DDDE1F" w14:textId="77777777" w:rsidR="00584EC1" w:rsidRDefault="00584EC1">
            <w:pPr>
              <w:rPr>
                <w:rFonts w:ascii="宋体"/>
                <w:vanish/>
              </w:rPr>
            </w:pPr>
          </w:p>
        </w:tc>
        <w:tc>
          <w:tcPr>
            <w:tcW w:w="0" w:type="auto"/>
            <w:gridSpan w:val="3"/>
            <w:shd w:val="clear" w:color="auto" w:fill="auto"/>
            <w:vAlign w:val="bottom"/>
          </w:tcPr>
          <w:p w14:paraId="74DDDE20" w14:textId="77777777" w:rsidR="00584EC1" w:rsidRDefault="00584EC1">
            <w:pPr>
              <w:rPr>
                <w:rFonts w:ascii="宋体"/>
                <w:vanish/>
              </w:rPr>
            </w:pPr>
          </w:p>
        </w:tc>
        <w:tc>
          <w:tcPr>
            <w:tcW w:w="0" w:type="auto"/>
            <w:gridSpan w:val="3"/>
            <w:shd w:val="clear" w:color="auto" w:fill="auto"/>
            <w:vAlign w:val="bottom"/>
          </w:tcPr>
          <w:p w14:paraId="74DDDE21" w14:textId="77777777" w:rsidR="00584EC1" w:rsidRDefault="00584EC1">
            <w:pPr>
              <w:rPr>
                <w:rFonts w:ascii="宋体"/>
                <w:vanish/>
              </w:rPr>
            </w:pPr>
          </w:p>
        </w:tc>
        <w:tc>
          <w:tcPr>
            <w:tcW w:w="0" w:type="auto"/>
            <w:gridSpan w:val="3"/>
            <w:shd w:val="clear" w:color="auto" w:fill="auto"/>
            <w:vAlign w:val="bottom"/>
          </w:tcPr>
          <w:p w14:paraId="74DDDE22" w14:textId="77777777" w:rsidR="00584EC1" w:rsidRDefault="00584EC1">
            <w:pPr>
              <w:rPr>
                <w:rFonts w:ascii="宋体"/>
                <w:vanish/>
              </w:rPr>
            </w:pPr>
          </w:p>
        </w:tc>
        <w:tc>
          <w:tcPr>
            <w:tcW w:w="0" w:type="auto"/>
            <w:gridSpan w:val="3"/>
            <w:shd w:val="clear" w:color="auto" w:fill="auto"/>
            <w:vAlign w:val="bottom"/>
          </w:tcPr>
          <w:p w14:paraId="74DDDE23" w14:textId="77777777" w:rsidR="00584EC1" w:rsidRDefault="00584EC1">
            <w:pPr>
              <w:rPr>
                <w:rFonts w:ascii="宋体"/>
                <w:vanish/>
              </w:rPr>
            </w:pPr>
          </w:p>
        </w:tc>
        <w:tc>
          <w:tcPr>
            <w:tcW w:w="0" w:type="auto"/>
            <w:gridSpan w:val="3"/>
            <w:shd w:val="clear" w:color="auto" w:fill="auto"/>
            <w:vAlign w:val="bottom"/>
          </w:tcPr>
          <w:p w14:paraId="74DDDE24" w14:textId="77777777" w:rsidR="00584EC1" w:rsidRDefault="00584EC1">
            <w:pPr>
              <w:rPr>
                <w:rFonts w:ascii="宋体"/>
                <w:vanish/>
              </w:rPr>
            </w:pPr>
          </w:p>
        </w:tc>
        <w:tc>
          <w:tcPr>
            <w:tcW w:w="0" w:type="auto"/>
            <w:gridSpan w:val="3"/>
            <w:shd w:val="clear" w:color="auto" w:fill="auto"/>
            <w:vAlign w:val="bottom"/>
          </w:tcPr>
          <w:p w14:paraId="74DDDE25" w14:textId="77777777" w:rsidR="00584EC1" w:rsidRDefault="00584EC1">
            <w:pPr>
              <w:rPr>
                <w:rFonts w:ascii="宋体"/>
                <w:vanish/>
              </w:rPr>
            </w:pPr>
          </w:p>
        </w:tc>
        <w:tc>
          <w:tcPr>
            <w:tcW w:w="0" w:type="auto"/>
            <w:gridSpan w:val="3"/>
            <w:shd w:val="clear" w:color="auto" w:fill="auto"/>
            <w:vAlign w:val="bottom"/>
          </w:tcPr>
          <w:p w14:paraId="74DDDE26" w14:textId="77777777" w:rsidR="00584EC1" w:rsidRDefault="00584EC1">
            <w:pPr>
              <w:rPr>
                <w:rFonts w:ascii="宋体"/>
                <w:vanish/>
              </w:rPr>
            </w:pPr>
          </w:p>
        </w:tc>
        <w:tc>
          <w:tcPr>
            <w:tcW w:w="0" w:type="auto"/>
            <w:gridSpan w:val="3"/>
            <w:shd w:val="clear" w:color="auto" w:fill="auto"/>
            <w:vAlign w:val="bottom"/>
          </w:tcPr>
          <w:p w14:paraId="74DDDE27" w14:textId="77777777" w:rsidR="00584EC1" w:rsidRDefault="00584EC1">
            <w:pPr>
              <w:rPr>
                <w:rFonts w:ascii="宋体"/>
                <w:vanish/>
              </w:rPr>
            </w:pPr>
          </w:p>
        </w:tc>
        <w:tc>
          <w:tcPr>
            <w:tcW w:w="0" w:type="auto"/>
            <w:gridSpan w:val="3"/>
            <w:shd w:val="clear" w:color="auto" w:fill="auto"/>
            <w:vAlign w:val="bottom"/>
          </w:tcPr>
          <w:p w14:paraId="74DDDE28" w14:textId="77777777" w:rsidR="00584EC1" w:rsidRDefault="00584EC1">
            <w:pPr>
              <w:rPr>
                <w:rFonts w:ascii="宋体"/>
                <w:vanish/>
              </w:rPr>
            </w:pPr>
          </w:p>
        </w:tc>
        <w:tc>
          <w:tcPr>
            <w:tcW w:w="0" w:type="auto"/>
            <w:gridSpan w:val="3"/>
            <w:shd w:val="clear" w:color="auto" w:fill="auto"/>
            <w:vAlign w:val="bottom"/>
          </w:tcPr>
          <w:p w14:paraId="74DDDE29" w14:textId="77777777" w:rsidR="00584EC1" w:rsidRDefault="00584EC1">
            <w:pPr>
              <w:rPr>
                <w:rFonts w:ascii="宋体"/>
                <w:vanish/>
              </w:rPr>
            </w:pPr>
          </w:p>
        </w:tc>
        <w:tc>
          <w:tcPr>
            <w:tcW w:w="0" w:type="auto"/>
            <w:gridSpan w:val="3"/>
            <w:shd w:val="clear" w:color="auto" w:fill="auto"/>
            <w:vAlign w:val="bottom"/>
          </w:tcPr>
          <w:p w14:paraId="74DDDE2A" w14:textId="77777777" w:rsidR="00584EC1" w:rsidRDefault="00584EC1">
            <w:pPr>
              <w:rPr>
                <w:rFonts w:ascii="宋体"/>
                <w:vanish/>
              </w:rPr>
            </w:pPr>
          </w:p>
        </w:tc>
        <w:tc>
          <w:tcPr>
            <w:tcW w:w="0" w:type="auto"/>
            <w:gridSpan w:val="3"/>
            <w:shd w:val="clear" w:color="auto" w:fill="auto"/>
            <w:vAlign w:val="bottom"/>
          </w:tcPr>
          <w:p w14:paraId="74DDDE2B" w14:textId="77777777" w:rsidR="00584EC1" w:rsidRDefault="00584EC1">
            <w:pPr>
              <w:rPr>
                <w:rFonts w:ascii="宋体"/>
                <w:vanish/>
              </w:rPr>
            </w:pPr>
          </w:p>
        </w:tc>
        <w:tc>
          <w:tcPr>
            <w:tcW w:w="0" w:type="auto"/>
            <w:gridSpan w:val="3"/>
            <w:shd w:val="clear" w:color="auto" w:fill="auto"/>
            <w:vAlign w:val="bottom"/>
          </w:tcPr>
          <w:p w14:paraId="74DDDE2C" w14:textId="77777777" w:rsidR="00584EC1" w:rsidRDefault="00584EC1">
            <w:pPr>
              <w:rPr>
                <w:rFonts w:ascii="宋体"/>
                <w:vanish/>
              </w:rPr>
            </w:pPr>
          </w:p>
        </w:tc>
        <w:tc>
          <w:tcPr>
            <w:tcW w:w="0" w:type="auto"/>
            <w:gridSpan w:val="3"/>
            <w:shd w:val="clear" w:color="auto" w:fill="auto"/>
            <w:vAlign w:val="bottom"/>
          </w:tcPr>
          <w:p w14:paraId="74DDDE2D" w14:textId="77777777" w:rsidR="00584EC1" w:rsidRDefault="00584EC1">
            <w:pPr>
              <w:rPr>
                <w:rFonts w:ascii="宋体"/>
                <w:vanish/>
              </w:rPr>
            </w:pPr>
          </w:p>
        </w:tc>
      </w:tr>
      <w:tr w:rsidR="00584EC1" w14:paraId="74DDDE43" w14:textId="77777777">
        <w:trPr>
          <w:hidden/>
        </w:trPr>
        <w:tc>
          <w:tcPr>
            <w:tcW w:w="0" w:type="auto"/>
            <w:gridSpan w:val="3"/>
            <w:shd w:val="clear" w:color="auto" w:fill="auto"/>
            <w:vAlign w:val="bottom"/>
          </w:tcPr>
          <w:p w14:paraId="74DDDE2F" w14:textId="77777777" w:rsidR="00584EC1" w:rsidRDefault="00584EC1">
            <w:pPr>
              <w:rPr>
                <w:rFonts w:ascii="宋体"/>
                <w:vanish/>
              </w:rPr>
            </w:pPr>
          </w:p>
        </w:tc>
        <w:tc>
          <w:tcPr>
            <w:tcW w:w="0" w:type="auto"/>
            <w:gridSpan w:val="3"/>
            <w:shd w:val="clear" w:color="auto" w:fill="auto"/>
            <w:vAlign w:val="bottom"/>
          </w:tcPr>
          <w:p w14:paraId="74DDDE30" w14:textId="77777777" w:rsidR="00584EC1" w:rsidRDefault="00584EC1">
            <w:pPr>
              <w:rPr>
                <w:rFonts w:ascii="宋体"/>
                <w:vanish/>
              </w:rPr>
            </w:pPr>
          </w:p>
        </w:tc>
        <w:tc>
          <w:tcPr>
            <w:tcW w:w="0" w:type="auto"/>
            <w:gridSpan w:val="3"/>
            <w:shd w:val="clear" w:color="auto" w:fill="auto"/>
            <w:vAlign w:val="bottom"/>
          </w:tcPr>
          <w:p w14:paraId="74DDDE31" w14:textId="77777777" w:rsidR="00584EC1" w:rsidRDefault="00584EC1">
            <w:pPr>
              <w:rPr>
                <w:rFonts w:ascii="宋体"/>
                <w:vanish/>
              </w:rPr>
            </w:pPr>
          </w:p>
        </w:tc>
        <w:tc>
          <w:tcPr>
            <w:tcW w:w="0" w:type="auto"/>
            <w:gridSpan w:val="3"/>
            <w:shd w:val="clear" w:color="auto" w:fill="auto"/>
            <w:vAlign w:val="bottom"/>
          </w:tcPr>
          <w:p w14:paraId="74DDDE32" w14:textId="77777777" w:rsidR="00584EC1" w:rsidRDefault="00584EC1">
            <w:pPr>
              <w:rPr>
                <w:rFonts w:ascii="宋体"/>
                <w:vanish/>
              </w:rPr>
            </w:pPr>
          </w:p>
        </w:tc>
        <w:tc>
          <w:tcPr>
            <w:tcW w:w="0" w:type="auto"/>
            <w:gridSpan w:val="3"/>
            <w:shd w:val="clear" w:color="auto" w:fill="auto"/>
            <w:vAlign w:val="bottom"/>
          </w:tcPr>
          <w:p w14:paraId="74DDDE33" w14:textId="77777777" w:rsidR="00584EC1" w:rsidRDefault="00584EC1">
            <w:pPr>
              <w:rPr>
                <w:rFonts w:ascii="宋体"/>
                <w:vanish/>
              </w:rPr>
            </w:pPr>
          </w:p>
        </w:tc>
        <w:tc>
          <w:tcPr>
            <w:tcW w:w="0" w:type="auto"/>
            <w:gridSpan w:val="3"/>
            <w:shd w:val="clear" w:color="auto" w:fill="auto"/>
            <w:vAlign w:val="bottom"/>
          </w:tcPr>
          <w:p w14:paraId="74DDDE34" w14:textId="77777777" w:rsidR="00584EC1" w:rsidRDefault="00584EC1">
            <w:pPr>
              <w:rPr>
                <w:rFonts w:ascii="宋体"/>
                <w:vanish/>
              </w:rPr>
            </w:pPr>
          </w:p>
        </w:tc>
        <w:tc>
          <w:tcPr>
            <w:tcW w:w="0" w:type="auto"/>
            <w:gridSpan w:val="3"/>
            <w:shd w:val="clear" w:color="auto" w:fill="auto"/>
            <w:vAlign w:val="bottom"/>
          </w:tcPr>
          <w:p w14:paraId="74DDDE35" w14:textId="77777777" w:rsidR="00584EC1" w:rsidRDefault="00584EC1">
            <w:pPr>
              <w:rPr>
                <w:rFonts w:ascii="宋体"/>
                <w:vanish/>
              </w:rPr>
            </w:pPr>
          </w:p>
        </w:tc>
        <w:tc>
          <w:tcPr>
            <w:tcW w:w="0" w:type="auto"/>
            <w:gridSpan w:val="3"/>
            <w:shd w:val="clear" w:color="auto" w:fill="auto"/>
            <w:vAlign w:val="bottom"/>
          </w:tcPr>
          <w:p w14:paraId="74DDDE36" w14:textId="77777777" w:rsidR="00584EC1" w:rsidRDefault="00584EC1">
            <w:pPr>
              <w:rPr>
                <w:rFonts w:ascii="宋体"/>
                <w:vanish/>
              </w:rPr>
            </w:pPr>
          </w:p>
        </w:tc>
        <w:tc>
          <w:tcPr>
            <w:tcW w:w="0" w:type="auto"/>
            <w:gridSpan w:val="3"/>
            <w:shd w:val="clear" w:color="auto" w:fill="auto"/>
            <w:vAlign w:val="bottom"/>
          </w:tcPr>
          <w:p w14:paraId="74DDDE37" w14:textId="77777777" w:rsidR="00584EC1" w:rsidRDefault="00584EC1">
            <w:pPr>
              <w:rPr>
                <w:rFonts w:ascii="宋体"/>
                <w:vanish/>
              </w:rPr>
            </w:pPr>
          </w:p>
        </w:tc>
        <w:tc>
          <w:tcPr>
            <w:tcW w:w="0" w:type="auto"/>
            <w:gridSpan w:val="3"/>
            <w:shd w:val="clear" w:color="auto" w:fill="auto"/>
            <w:vAlign w:val="bottom"/>
          </w:tcPr>
          <w:p w14:paraId="74DDDE38" w14:textId="77777777" w:rsidR="00584EC1" w:rsidRDefault="00584EC1">
            <w:pPr>
              <w:rPr>
                <w:rFonts w:ascii="宋体"/>
                <w:vanish/>
              </w:rPr>
            </w:pPr>
          </w:p>
        </w:tc>
        <w:tc>
          <w:tcPr>
            <w:tcW w:w="0" w:type="auto"/>
            <w:gridSpan w:val="3"/>
            <w:shd w:val="clear" w:color="auto" w:fill="auto"/>
            <w:vAlign w:val="bottom"/>
          </w:tcPr>
          <w:p w14:paraId="74DDDE39" w14:textId="77777777" w:rsidR="00584EC1" w:rsidRDefault="00584EC1">
            <w:pPr>
              <w:rPr>
                <w:rFonts w:ascii="宋体"/>
                <w:vanish/>
              </w:rPr>
            </w:pPr>
          </w:p>
        </w:tc>
        <w:tc>
          <w:tcPr>
            <w:tcW w:w="0" w:type="auto"/>
            <w:gridSpan w:val="3"/>
            <w:shd w:val="clear" w:color="auto" w:fill="auto"/>
            <w:vAlign w:val="bottom"/>
          </w:tcPr>
          <w:p w14:paraId="74DDDE3A" w14:textId="77777777" w:rsidR="00584EC1" w:rsidRDefault="00584EC1">
            <w:pPr>
              <w:rPr>
                <w:rFonts w:ascii="宋体"/>
                <w:vanish/>
              </w:rPr>
            </w:pPr>
          </w:p>
        </w:tc>
        <w:tc>
          <w:tcPr>
            <w:tcW w:w="0" w:type="auto"/>
            <w:gridSpan w:val="3"/>
            <w:shd w:val="clear" w:color="auto" w:fill="auto"/>
            <w:vAlign w:val="bottom"/>
          </w:tcPr>
          <w:p w14:paraId="74DDDE3B" w14:textId="77777777" w:rsidR="00584EC1" w:rsidRDefault="00584EC1">
            <w:pPr>
              <w:rPr>
                <w:rFonts w:ascii="宋体"/>
                <w:vanish/>
              </w:rPr>
            </w:pPr>
          </w:p>
        </w:tc>
        <w:tc>
          <w:tcPr>
            <w:tcW w:w="0" w:type="auto"/>
            <w:gridSpan w:val="3"/>
            <w:shd w:val="clear" w:color="auto" w:fill="auto"/>
            <w:vAlign w:val="bottom"/>
          </w:tcPr>
          <w:p w14:paraId="74DDDE3C" w14:textId="77777777" w:rsidR="00584EC1" w:rsidRDefault="00584EC1">
            <w:pPr>
              <w:rPr>
                <w:rFonts w:ascii="宋体"/>
                <w:vanish/>
              </w:rPr>
            </w:pPr>
          </w:p>
        </w:tc>
        <w:tc>
          <w:tcPr>
            <w:tcW w:w="0" w:type="auto"/>
            <w:gridSpan w:val="3"/>
            <w:shd w:val="clear" w:color="auto" w:fill="auto"/>
            <w:vAlign w:val="bottom"/>
          </w:tcPr>
          <w:p w14:paraId="74DDDE3D" w14:textId="77777777" w:rsidR="00584EC1" w:rsidRDefault="00584EC1">
            <w:pPr>
              <w:rPr>
                <w:rFonts w:ascii="宋体"/>
                <w:vanish/>
              </w:rPr>
            </w:pPr>
          </w:p>
        </w:tc>
        <w:tc>
          <w:tcPr>
            <w:tcW w:w="0" w:type="auto"/>
            <w:gridSpan w:val="3"/>
            <w:shd w:val="clear" w:color="auto" w:fill="auto"/>
            <w:vAlign w:val="bottom"/>
          </w:tcPr>
          <w:p w14:paraId="74DDDE3E" w14:textId="77777777" w:rsidR="00584EC1" w:rsidRDefault="00584EC1">
            <w:pPr>
              <w:rPr>
                <w:rFonts w:ascii="宋体"/>
                <w:vanish/>
              </w:rPr>
            </w:pPr>
          </w:p>
        </w:tc>
        <w:tc>
          <w:tcPr>
            <w:tcW w:w="0" w:type="auto"/>
            <w:gridSpan w:val="3"/>
            <w:shd w:val="clear" w:color="auto" w:fill="auto"/>
            <w:vAlign w:val="bottom"/>
          </w:tcPr>
          <w:p w14:paraId="74DDDE3F" w14:textId="77777777" w:rsidR="00584EC1" w:rsidRDefault="00584EC1">
            <w:pPr>
              <w:rPr>
                <w:rFonts w:ascii="宋体"/>
                <w:vanish/>
              </w:rPr>
            </w:pPr>
          </w:p>
        </w:tc>
        <w:tc>
          <w:tcPr>
            <w:tcW w:w="0" w:type="auto"/>
            <w:gridSpan w:val="3"/>
            <w:shd w:val="clear" w:color="auto" w:fill="auto"/>
            <w:vAlign w:val="bottom"/>
          </w:tcPr>
          <w:p w14:paraId="74DDDE40" w14:textId="77777777" w:rsidR="00584EC1" w:rsidRDefault="00584EC1">
            <w:pPr>
              <w:rPr>
                <w:rFonts w:ascii="宋体"/>
                <w:vanish/>
              </w:rPr>
            </w:pPr>
          </w:p>
        </w:tc>
        <w:tc>
          <w:tcPr>
            <w:tcW w:w="0" w:type="auto"/>
            <w:gridSpan w:val="3"/>
            <w:shd w:val="clear" w:color="auto" w:fill="auto"/>
            <w:vAlign w:val="bottom"/>
          </w:tcPr>
          <w:p w14:paraId="74DDDE41" w14:textId="77777777" w:rsidR="00584EC1" w:rsidRDefault="00584EC1">
            <w:pPr>
              <w:rPr>
                <w:rFonts w:ascii="宋体"/>
                <w:vanish/>
              </w:rPr>
            </w:pPr>
          </w:p>
        </w:tc>
        <w:tc>
          <w:tcPr>
            <w:tcW w:w="0" w:type="auto"/>
            <w:gridSpan w:val="3"/>
            <w:shd w:val="clear" w:color="auto" w:fill="auto"/>
            <w:vAlign w:val="bottom"/>
          </w:tcPr>
          <w:p w14:paraId="74DDDE42" w14:textId="77777777" w:rsidR="00584EC1" w:rsidRDefault="00584EC1">
            <w:pPr>
              <w:rPr>
                <w:rFonts w:ascii="宋体"/>
                <w:vanish/>
              </w:rPr>
            </w:pPr>
          </w:p>
        </w:tc>
      </w:tr>
      <w:tr w:rsidR="00584EC1" w14:paraId="74DDDE58" w14:textId="77777777">
        <w:trPr>
          <w:hidden/>
        </w:trPr>
        <w:tc>
          <w:tcPr>
            <w:tcW w:w="0" w:type="auto"/>
            <w:gridSpan w:val="3"/>
            <w:shd w:val="clear" w:color="auto" w:fill="auto"/>
            <w:vAlign w:val="bottom"/>
          </w:tcPr>
          <w:p w14:paraId="74DDDE44" w14:textId="77777777" w:rsidR="00584EC1" w:rsidRDefault="00584EC1">
            <w:pPr>
              <w:rPr>
                <w:rFonts w:ascii="宋体"/>
                <w:vanish/>
              </w:rPr>
            </w:pPr>
          </w:p>
        </w:tc>
        <w:tc>
          <w:tcPr>
            <w:tcW w:w="0" w:type="auto"/>
            <w:gridSpan w:val="3"/>
            <w:shd w:val="clear" w:color="auto" w:fill="auto"/>
            <w:vAlign w:val="bottom"/>
          </w:tcPr>
          <w:p w14:paraId="74DDDE45" w14:textId="77777777" w:rsidR="00584EC1" w:rsidRDefault="00584EC1">
            <w:pPr>
              <w:rPr>
                <w:rFonts w:ascii="宋体"/>
                <w:vanish/>
              </w:rPr>
            </w:pPr>
          </w:p>
        </w:tc>
        <w:tc>
          <w:tcPr>
            <w:tcW w:w="0" w:type="auto"/>
            <w:gridSpan w:val="3"/>
            <w:shd w:val="clear" w:color="auto" w:fill="auto"/>
            <w:vAlign w:val="bottom"/>
          </w:tcPr>
          <w:p w14:paraId="74DDDE46" w14:textId="77777777" w:rsidR="00584EC1" w:rsidRDefault="00584EC1">
            <w:pPr>
              <w:rPr>
                <w:rFonts w:ascii="宋体"/>
                <w:vanish/>
              </w:rPr>
            </w:pPr>
          </w:p>
        </w:tc>
        <w:tc>
          <w:tcPr>
            <w:tcW w:w="0" w:type="auto"/>
            <w:gridSpan w:val="3"/>
            <w:shd w:val="clear" w:color="auto" w:fill="auto"/>
            <w:vAlign w:val="bottom"/>
          </w:tcPr>
          <w:p w14:paraId="74DDDE47" w14:textId="77777777" w:rsidR="00584EC1" w:rsidRDefault="00584EC1">
            <w:pPr>
              <w:rPr>
                <w:rFonts w:ascii="宋体"/>
                <w:vanish/>
              </w:rPr>
            </w:pPr>
          </w:p>
        </w:tc>
        <w:tc>
          <w:tcPr>
            <w:tcW w:w="0" w:type="auto"/>
            <w:gridSpan w:val="3"/>
            <w:shd w:val="clear" w:color="auto" w:fill="auto"/>
            <w:vAlign w:val="bottom"/>
          </w:tcPr>
          <w:p w14:paraId="74DDDE48" w14:textId="77777777" w:rsidR="00584EC1" w:rsidRDefault="00584EC1">
            <w:pPr>
              <w:rPr>
                <w:rFonts w:ascii="宋体"/>
                <w:vanish/>
              </w:rPr>
            </w:pPr>
          </w:p>
        </w:tc>
        <w:tc>
          <w:tcPr>
            <w:tcW w:w="0" w:type="auto"/>
            <w:gridSpan w:val="3"/>
            <w:shd w:val="clear" w:color="auto" w:fill="auto"/>
            <w:vAlign w:val="bottom"/>
          </w:tcPr>
          <w:p w14:paraId="74DDDE49" w14:textId="77777777" w:rsidR="00584EC1" w:rsidRDefault="00584EC1">
            <w:pPr>
              <w:rPr>
                <w:rFonts w:ascii="宋体"/>
                <w:vanish/>
              </w:rPr>
            </w:pPr>
          </w:p>
        </w:tc>
        <w:tc>
          <w:tcPr>
            <w:tcW w:w="0" w:type="auto"/>
            <w:gridSpan w:val="3"/>
            <w:shd w:val="clear" w:color="auto" w:fill="auto"/>
            <w:vAlign w:val="bottom"/>
          </w:tcPr>
          <w:p w14:paraId="74DDDE4A" w14:textId="77777777" w:rsidR="00584EC1" w:rsidRDefault="00584EC1">
            <w:pPr>
              <w:rPr>
                <w:rFonts w:ascii="宋体"/>
                <w:vanish/>
              </w:rPr>
            </w:pPr>
          </w:p>
        </w:tc>
        <w:tc>
          <w:tcPr>
            <w:tcW w:w="0" w:type="auto"/>
            <w:gridSpan w:val="3"/>
            <w:shd w:val="clear" w:color="auto" w:fill="auto"/>
            <w:vAlign w:val="bottom"/>
          </w:tcPr>
          <w:p w14:paraId="74DDDE4B" w14:textId="77777777" w:rsidR="00584EC1" w:rsidRDefault="00584EC1">
            <w:pPr>
              <w:rPr>
                <w:rFonts w:ascii="宋体"/>
                <w:vanish/>
              </w:rPr>
            </w:pPr>
          </w:p>
        </w:tc>
        <w:tc>
          <w:tcPr>
            <w:tcW w:w="0" w:type="auto"/>
            <w:gridSpan w:val="3"/>
            <w:shd w:val="clear" w:color="auto" w:fill="auto"/>
            <w:vAlign w:val="bottom"/>
          </w:tcPr>
          <w:p w14:paraId="74DDDE4C" w14:textId="77777777" w:rsidR="00584EC1" w:rsidRDefault="00584EC1">
            <w:pPr>
              <w:rPr>
                <w:rFonts w:ascii="宋体"/>
                <w:vanish/>
              </w:rPr>
            </w:pPr>
          </w:p>
        </w:tc>
        <w:tc>
          <w:tcPr>
            <w:tcW w:w="0" w:type="auto"/>
            <w:gridSpan w:val="3"/>
            <w:shd w:val="clear" w:color="auto" w:fill="auto"/>
            <w:vAlign w:val="bottom"/>
          </w:tcPr>
          <w:p w14:paraId="74DDDE4D" w14:textId="77777777" w:rsidR="00584EC1" w:rsidRDefault="00584EC1">
            <w:pPr>
              <w:rPr>
                <w:rFonts w:ascii="宋体"/>
                <w:vanish/>
              </w:rPr>
            </w:pPr>
          </w:p>
        </w:tc>
        <w:tc>
          <w:tcPr>
            <w:tcW w:w="0" w:type="auto"/>
            <w:gridSpan w:val="3"/>
            <w:shd w:val="clear" w:color="auto" w:fill="auto"/>
            <w:vAlign w:val="bottom"/>
          </w:tcPr>
          <w:p w14:paraId="74DDDE4E" w14:textId="77777777" w:rsidR="00584EC1" w:rsidRDefault="00584EC1">
            <w:pPr>
              <w:rPr>
                <w:rFonts w:ascii="宋体"/>
                <w:vanish/>
              </w:rPr>
            </w:pPr>
          </w:p>
        </w:tc>
        <w:tc>
          <w:tcPr>
            <w:tcW w:w="0" w:type="auto"/>
            <w:gridSpan w:val="3"/>
            <w:shd w:val="clear" w:color="auto" w:fill="auto"/>
            <w:vAlign w:val="bottom"/>
          </w:tcPr>
          <w:p w14:paraId="74DDDE4F" w14:textId="77777777" w:rsidR="00584EC1" w:rsidRDefault="00584EC1">
            <w:pPr>
              <w:rPr>
                <w:rFonts w:ascii="宋体"/>
                <w:vanish/>
              </w:rPr>
            </w:pPr>
          </w:p>
        </w:tc>
        <w:tc>
          <w:tcPr>
            <w:tcW w:w="0" w:type="auto"/>
            <w:gridSpan w:val="3"/>
            <w:shd w:val="clear" w:color="auto" w:fill="auto"/>
            <w:vAlign w:val="bottom"/>
          </w:tcPr>
          <w:p w14:paraId="74DDDE50" w14:textId="77777777" w:rsidR="00584EC1" w:rsidRDefault="00584EC1">
            <w:pPr>
              <w:rPr>
                <w:rFonts w:ascii="宋体"/>
                <w:vanish/>
              </w:rPr>
            </w:pPr>
          </w:p>
        </w:tc>
        <w:tc>
          <w:tcPr>
            <w:tcW w:w="0" w:type="auto"/>
            <w:gridSpan w:val="3"/>
            <w:shd w:val="clear" w:color="auto" w:fill="auto"/>
            <w:vAlign w:val="bottom"/>
          </w:tcPr>
          <w:p w14:paraId="74DDDE51" w14:textId="77777777" w:rsidR="00584EC1" w:rsidRDefault="00584EC1">
            <w:pPr>
              <w:rPr>
                <w:rFonts w:ascii="宋体"/>
                <w:vanish/>
              </w:rPr>
            </w:pPr>
          </w:p>
        </w:tc>
        <w:tc>
          <w:tcPr>
            <w:tcW w:w="0" w:type="auto"/>
            <w:gridSpan w:val="3"/>
            <w:shd w:val="clear" w:color="auto" w:fill="auto"/>
            <w:vAlign w:val="bottom"/>
          </w:tcPr>
          <w:p w14:paraId="74DDDE52" w14:textId="77777777" w:rsidR="00584EC1" w:rsidRDefault="00584EC1">
            <w:pPr>
              <w:rPr>
                <w:rFonts w:ascii="宋体"/>
                <w:vanish/>
              </w:rPr>
            </w:pPr>
          </w:p>
        </w:tc>
        <w:tc>
          <w:tcPr>
            <w:tcW w:w="0" w:type="auto"/>
            <w:gridSpan w:val="3"/>
            <w:shd w:val="clear" w:color="auto" w:fill="auto"/>
            <w:vAlign w:val="bottom"/>
          </w:tcPr>
          <w:p w14:paraId="74DDDE53" w14:textId="77777777" w:rsidR="00584EC1" w:rsidRDefault="00584EC1">
            <w:pPr>
              <w:rPr>
                <w:rFonts w:ascii="宋体"/>
                <w:vanish/>
              </w:rPr>
            </w:pPr>
          </w:p>
        </w:tc>
        <w:tc>
          <w:tcPr>
            <w:tcW w:w="0" w:type="auto"/>
            <w:gridSpan w:val="3"/>
            <w:shd w:val="clear" w:color="auto" w:fill="auto"/>
            <w:vAlign w:val="bottom"/>
          </w:tcPr>
          <w:p w14:paraId="74DDDE54" w14:textId="77777777" w:rsidR="00584EC1" w:rsidRDefault="00584EC1">
            <w:pPr>
              <w:rPr>
                <w:rFonts w:ascii="宋体"/>
                <w:vanish/>
              </w:rPr>
            </w:pPr>
          </w:p>
        </w:tc>
        <w:tc>
          <w:tcPr>
            <w:tcW w:w="0" w:type="auto"/>
            <w:gridSpan w:val="3"/>
            <w:shd w:val="clear" w:color="auto" w:fill="auto"/>
            <w:vAlign w:val="bottom"/>
          </w:tcPr>
          <w:p w14:paraId="74DDDE55" w14:textId="77777777" w:rsidR="00584EC1" w:rsidRDefault="00584EC1">
            <w:pPr>
              <w:rPr>
                <w:rFonts w:ascii="宋体"/>
                <w:vanish/>
              </w:rPr>
            </w:pPr>
          </w:p>
        </w:tc>
        <w:tc>
          <w:tcPr>
            <w:tcW w:w="0" w:type="auto"/>
            <w:gridSpan w:val="3"/>
            <w:shd w:val="clear" w:color="auto" w:fill="auto"/>
            <w:vAlign w:val="bottom"/>
          </w:tcPr>
          <w:p w14:paraId="74DDDE56" w14:textId="77777777" w:rsidR="00584EC1" w:rsidRDefault="00584EC1">
            <w:pPr>
              <w:rPr>
                <w:rFonts w:ascii="宋体"/>
                <w:vanish/>
              </w:rPr>
            </w:pPr>
          </w:p>
        </w:tc>
        <w:tc>
          <w:tcPr>
            <w:tcW w:w="0" w:type="auto"/>
            <w:gridSpan w:val="3"/>
            <w:shd w:val="clear" w:color="auto" w:fill="auto"/>
            <w:vAlign w:val="bottom"/>
          </w:tcPr>
          <w:p w14:paraId="74DDDE57" w14:textId="77777777" w:rsidR="00584EC1" w:rsidRDefault="00584EC1">
            <w:pPr>
              <w:rPr>
                <w:rFonts w:ascii="宋体"/>
                <w:vanish/>
              </w:rPr>
            </w:pPr>
          </w:p>
        </w:tc>
      </w:tr>
      <w:tr w:rsidR="00584EC1" w14:paraId="74DDDE6D" w14:textId="77777777">
        <w:tc>
          <w:tcPr>
            <w:tcW w:w="0" w:type="auto"/>
            <w:gridSpan w:val="3"/>
            <w:shd w:val="clear" w:color="auto" w:fill="FFFFFF"/>
            <w:tcMar>
              <w:top w:w="40" w:type="dxa"/>
              <w:left w:w="20" w:type="dxa"/>
              <w:bottom w:w="40" w:type="dxa"/>
              <w:right w:w="20" w:type="dxa"/>
            </w:tcMar>
            <w:vAlign w:val="bottom"/>
          </w:tcPr>
          <w:p w14:paraId="74DDDE59" w14:textId="77777777" w:rsidR="00584EC1" w:rsidRDefault="00871F8D">
            <w:pPr>
              <w:textAlignment w:val="bottom"/>
            </w:pPr>
            <w:r>
              <w:rPr>
                <w:rFonts w:ascii="Arial" w:eastAsia="宋体" w:hAnsi="Arial" w:cs="Arial"/>
                <w:color w:val="000000"/>
                <w:sz w:val="13"/>
                <w:szCs w:val="13"/>
              </w:rPr>
              <w:t>Non-U.S. debt securities:</w:t>
            </w:r>
          </w:p>
        </w:tc>
        <w:tc>
          <w:tcPr>
            <w:tcW w:w="0" w:type="auto"/>
            <w:gridSpan w:val="3"/>
            <w:shd w:val="clear" w:color="auto" w:fill="FFFFFF"/>
            <w:tcMar>
              <w:top w:w="0" w:type="dxa"/>
              <w:left w:w="20" w:type="dxa"/>
              <w:bottom w:w="0" w:type="dxa"/>
              <w:right w:w="20" w:type="dxa"/>
            </w:tcMar>
            <w:vAlign w:val="bottom"/>
          </w:tcPr>
          <w:p w14:paraId="74DDDE5A"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E5B"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E5C"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E5D"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E5E"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E5F"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E60"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E61"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E6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E63"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E64"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E65"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E66"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E67"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E68"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E69"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E6A"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E6B"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E6C" w14:textId="77777777" w:rsidR="00584EC1" w:rsidRDefault="00584EC1">
            <w:pPr>
              <w:rPr>
                <w:rFonts w:ascii="宋体"/>
              </w:rPr>
            </w:pPr>
          </w:p>
        </w:tc>
      </w:tr>
      <w:tr w:rsidR="00584EC1" w14:paraId="74DDDE8C" w14:textId="77777777">
        <w:tc>
          <w:tcPr>
            <w:tcW w:w="0" w:type="auto"/>
            <w:gridSpan w:val="3"/>
            <w:shd w:val="clear" w:color="auto" w:fill="CCEEFF"/>
            <w:tcMar>
              <w:top w:w="40" w:type="dxa"/>
              <w:left w:w="245" w:type="dxa"/>
              <w:bottom w:w="40" w:type="dxa"/>
              <w:right w:w="20" w:type="dxa"/>
            </w:tcMar>
            <w:vAlign w:val="bottom"/>
          </w:tcPr>
          <w:p w14:paraId="74DDDE6E" w14:textId="77777777" w:rsidR="00584EC1" w:rsidRDefault="00871F8D">
            <w:pPr>
              <w:textAlignment w:val="bottom"/>
            </w:pPr>
            <w:r>
              <w:rPr>
                <w:rFonts w:ascii="Arial" w:eastAsia="宋体" w:hAnsi="Arial" w:cs="Arial"/>
                <w:color w:val="000000"/>
                <w:sz w:val="13"/>
                <w:szCs w:val="13"/>
              </w:rPr>
              <w:t>Mortgage-backed securities</w:t>
            </w:r>
          </w:p>
        </w:tc>
        <w:tc>
          <w:tcPr>
            <w:tcW w:w="0" w:type="auto"/>
            <w:gridSpan w:val="2"/>
            <w:shd w:val="clear" w:color="auto" w:fill="CCEEFF"/>
            <w:tcMar>
              <w:top w:w="40" w:type="dxa"/>
              <w:left w:w="20" w:type="dxa"/>
              <w:bottom w:w="40" w:type="dxa"/>
              <w:right w:w="0" w:type="dxa"/>
            </w:tcMar>
            <w:vAlign w:val="bottom"/>
          </w:tcPr>
          <w:p w14:paraId="74DDDE6F" w14:textId="77777777" w:rsidR="00584EC1" w:rsidRDefault="00871F8D">
            <w:pPr>
              <w:jc w:val="right"/>
              <w:textAlignment w:val="bottom"/>
            </w:pPr>
            <w:r>
              <w:rPr>
                <w:rFonts w:ascii="Arial" w:eastAsia="宋体" w:hAnsi="Arial" w:cs="Arial"/>
                <w:b/>
                <w:bCs/>
                <w:color w:val="000000"/>
                <w:sz w:val="13"/>
                <w:szCs w:val="13"/>
              </w:rPr>
              <w:t>38</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E7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E7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E72" w14:textId="77777777" w:rsidR="00584EC1" w:rsidRDefault="00871F8D">
            <w:pPr>
              <w:jc w:val="right"/>
              <w:textAlignment w:val="bottom"/>
            </w:pPr>
            <w:r>
              <w:rPr>
                <w:rFonts w:ascii="Arial" w:eastAsia="宋体" w:hAnsi="Arial" w:cs="Arial"/>
                <w:b/>
                <w:bCs/>
                <w:color w:val="000000"/>
                <w:sz w:val="13"/>
                <w:szCs w:val="13"/>
              </w:rPr>
              <w:t>37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E7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E74"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E75" w14:textId="77777777" w:rsidR="00584EC1" w:rsidRDefault="00871F8D">
            <w:pPr>
              <w:jc w:val="right"/>
              <w:textAlignment w:val="bottom"/>
            </w:pPr>
            <w:r>
              <w:rPr>
                <w:rFonts w:ascii="Arial" w:eastAsia="宋体" w:hAnsi="Arial" w:cs="Arial"/>
                <w:b/>
                <w:bCs/>
                <w:color w:val="000000"/>
                <w:sz w:val="13"/>
                <w:szCs w:val="13"/>
              </w:rPr>
              <w:t>18</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E7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E7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E78" w14:textId="77777777" w:rsidR="00584EC1" w:rsidRDefault="00871F8D">
            <w:pPr>
              <w:jc w:val="right"/>
              <w:textAlignment w:val="bottom"/>
            </w:pPr>
            <w:r>
              <w:rPr>
                <w:rFonts w:ascii="Arial" w:eastAsia="宋体" w:hAnsi="Arial" w:cs="Arial"/>
                <w:b/>
                <w:bCs/>
                <w:color w:val="000000"/>
                <w:sz w:val="13"/>
                <w:szCs w:val="13"/>
              </w:rPr>
              <w:t>18</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E7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E7A"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E7B" w14:textId="77777777" w:rsidR="00584EC1" w:rsidRDefault="00871F8D">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E7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E7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E7E" w14:textId="77777777" w:rsidR="00584EC1" w:rsidRDefault="00871F8D">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E7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E8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E81" w14:textId="77777777" w:rsidR="00584EC1" w:rsidRDefault="00871F8D">
            <w:pPr>
              <w:jc w:val="right"/>
              <w:textAlignment w:val="bottom"/>
            </w:pPr>
            <w:r>
              <w:rPr>
                <w:rFonts w:ascii="Arial" w:eastAsia="宋体" w:hAnsi="Arial" w:cs="Arial"/>
                <w:b/>
                <w:bCs/>
                <w:color w:val="000000"/>
                <w:sz w:val="13"/>
                <w:szCs w:val="13"/>
              </w:rPr>
              <w:t>153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E8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E83"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E84" w14:textId="77777777" w:rsidR="00584EC1" w:rsidRDefault="00871F8D">
            <w:pPr>
              <w:jc w:val="right"/>
              <w:textAlignment w:val="bottom"/>
            </w:pPr>
            <w:r>
              <w:rPr>
                <w:rFonts w:ascii="Arial" w:eastAsia="宋体" w:hAnsi="Arial" w:cs="Arial"/>
                <w:b/>
                <w:bCs/>
                <w:color w:val="000000"/>
                <w:sz w:val="13"/>
                <w:szCs w:val="13"/>
              </w:rPr>
              <w:t>217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E8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E8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E87" w14:textId="77777777" w:rsidR="00584EC1" w:rsidRDefault="00871F8D">
            <w:pPr>
              <w:jc w:val="right"/>
              <w:textAlignment w:val="bottom"/>
            </w:pPr>
            <w:r>
              <w:rPr>
                <w:rFonts w:ascii="Arial" w:eastAsia="宋体" w:hAnsi="Arial" w:cs="Arial"/>
                <w:b/>
                <w:bCs/>
                <w:color w:val="000000"/>
                <w:sz w:val="13"/>
                <w:szCs w:val="13"/>
              </w:rPr>
              <w:t>209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E8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E8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E8A" w14:textId="77777777" w:rsidR="00584EC1" w:rsidRDefault="00871F8D">
            <w:pPr>
              <w:jc w:val="right"/>
              <w:textAlignment w:val="bottom"/>
            </w:pPr>
            <w:r>
              <w:rPr>
                <w:rFonts w:ascii="Arial" w:eastAsia="宋体" w:hAnsi="Arial" w:cs="Arial"/>
                <w:b/>
                <w:bCs/>
                <w:color w:val="000000"/>
                <w:sz w:val="13"/>
                <w:szCs w:val="13"/>
              </w:rPr>
              <w:t>272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E8B" w14:textId="77777777" w:rsidR="00584EC1" w:rsidRDefault="00584EC1">
            <w:pPr>
              <w:jc w:val="right"/>
              <w:rPr>
                <w:rFonts w:ascii="宋体"/>
              </w:rPr>
            </w:pPr>
          </w:p>
        </w:tc>
      </w:tr>
      <w:tr w:rsidR="00584EC1" w14:paraId="74DDDEA1" w14:textId="77777777">
        <w:trPr>
          <w:hidden/>
        </w:trPr>
        <w:tc>
          <w:tcPr>
            <w:tcW w:w="0" w:type="auto"/>
            <w:gridSpan w:val="3"/>
            <w:shd w:val="clear" w:color="auto" w:fill="auto"/>
            <w:vAlign w:val="bottom"/>
          </w:tcPr>
          <w:p w14:paraId="74DDDE8D" w14:textId="77777777" w:rsidR="00584EC1" w:rsidRDefault="00584EC1">
            <w:pPr>
              <w:rPr>
                <w:rFonts w:ascii="宋体"/>
                <w:vanish/>
              </w:rPr>
            </w:pPr>
          </w:p>
        </w:tc>
        <w:tc>
          <w:tcPr>
            <w:tcW w:w="0" w:type="auto"/>
            <w:gridSpan w:val="3"/>
            <w:shd w:val="clear" w:color="auto" w:fill="auto"/>
            <w:vAlign w:val="bottom"/>
          </w:tcPr>
          <w:p w14:paraId="74DDDE8E" w14:textId="77777777" w:rsidR="00584EC1" w:rsidRDefault="00584EC1">
            <w:pPr>
              <w:rPr>
                <w:rFonts w:ascii="宋体"/>
                <w:vanish/>
              </w:rPr>
            </w:pPr>
          </w:p>
        </w:tc>
        <w:tc>
          <w:tcPr>
            <w:tcW w:w="0" w:type="auto"/>
            <w:gridSpan w:val="3"/>
            <w:shd w:val="clear" w:color="auto" w:fill="auto"/>
            <w:vAlign w:val="bottom"/>
          </w:tcPr>
          <w:p w14:paraId="74DDDE8F" w14:textId="77777777" w:rsidR="00584EC1" w:rsidRDefault="00584EC1">
            <w:pPr>
              <w:rPr>
                <w:rFonts w:ascii="宋体"/>
                <w:vanish/>
              </w:rPr>
            </w:pPr>
          </w:p>
        </w:tc>
        <w:tc>
          <w:tcPr>
            <w:tcW w:w="0" w:type="auto"/>
            <w:gridSpan w:val="3"/>
            <w:shd w:val="clear" w:color="auto" w:fill="auto"/>
            <w:vAlign w:val="bottom"/>
          </w:tcPr>
          <w:p w14:paraId="74DDDE90" w14:textId="77777777" w:rsidR="00584EC1" w:rsidRDefault="00584EC1">
            <w:pPr>
              <w:rPr>
                <w:rFonts w:ascii="宋体"/>
                <w:vanish/>
              </w:rPr>
            </w:pPr>
          </w:p>
        </w:tc>
        <w:tc>
          <w:tcPr>
            <w:tcW w:w="0" w:type="auto"/>
            <w:gridSpan w:val="3"/>
            <w:shd w:val="clear" w:color="auto" w:fill="auto"/>
            <w:vAlign w:val="bottom"/>
          </w:tcPr>
          <w:p w14:paraId="74DDDE91" w14:textId="77777777" w:rsidR="00584EC1" w:rsidRDefault="00584EC1">
            <w:pPr>
              <w:rPr>
                <w:rFonts w:ascii="宋体"/>
                <w:vanish/>
              </w:rPr>
            </w:pPr>
          </w:p>
        </w:tc>
        <w:tc>
          <w:tcPr>
            <w:tcW w:w="0" w:type="auto"/>
            <w:gridSpan w:val="3"/>
            <w:shd w:val="clear" w:color="auto" w:fill="auto"/>
            <w:vAlign w:val="bottom"/>
          </w:tcPr>
          <w:p w14:paraId="74DDDE92" w14:textId="77777777" w:rsidR="00584EC1" w:rsidRDefault="00584EC1">
            <w:pPr>
              <w:rPr>
                <w:rFonts w:ascii="宋体"/>
                <w:vanish/>
              </w:rPr>
            </w:pPr>
          </w:p>
        </w:tc>
        <w:tc>
          <w:tcPr>
            <w:tcW w:w="0" w:type="auto"/>
            <w:gridSpan w:val="3"/>
            <w:shd w:val="clear" w:color="auto" w:fill="auto"/>
            <w:vAlign w:val="bottom"/>
          </w:tcPr>
          <w:p w14:paraId="74DDDE93" w14:textId="77777777" w:rsidR="00584EC1" w:rsidRDefault="00584EC1">
            <w:pPr>
              <w:rPr>
                <w:rFonts w:ascii="宋体"/>
                <w:vanish/>
              </w:rPr>
            </w:pPr>
          </w:p>
        </w:tc>
        <w:tc>
          <w:tcPr>
            <w:tcW w:w="0" w:type="auto"/>
            <w:gridSpan w:val="3"/>
            <w:shd w:val="clear" w:color="auto" w:fill="auto"/>
            <w:vAlign w:val="bottom"/>
          </w:tcPr>
          <w:p w14:paraId="74DDDE94" w14:textId="77777777" w:rsidR="00584EC1" w:rsidRDefault="00584EC1">
            <w:pPr>
              <w:rPr>
                <w:rFonts w:ascii="宋体"/>
                <w:vanish/>
              </w:rPr>
            </w:pPr>
          </w:p>
        </w:tc>
        <w:tc>
          <w:tcPr>
            <w:tcW w:w="0" w:type="auto"/>
            <w:gridSpan w:val="3"/>
            <w:shd w:val="clear" w:color="auto" w:fill="auto"/>
            <w:vAlign w:val="bottom"/>
          </w:tcPr>
          <w:p w14:paraId="74DDDE95" w14:textId="77777777" w:rsidR="00584EC1" w:rsidRDefault="00584EC1">
            <w:pPr>
              <w:rPr>
                <w:rFonts w:ascii="宋体"/>
                <w:vanish/>
              </w:rPr>
            </w:pPr>
          </w:p>
        </w:tc>
        <w:tc>
          <w:tcPr>
            <w:tcW w:w="0" w:type="auto"/>
            <w:gridSpan w:val="3"/>
            <w:shd w:val="clear" w:color="auto" w:fill="auto"/>
            <w:vAlign w:val="bottom"/>
          </w:tcPr>
          <w:p w14:paraId="74DDDE96" w14:textId="77777777" w:rsidR="00584EC1" w:rsidRDefault="00584EC1">
            <w:pPr>
              <w:rPr>
                <w:rFonts w:ascii="宋体"/>
                <w:vanish/>
              </w:rPr>
            </w:pPr>
          </w:p>
        </w:tc>
        <w:tc>
          <w:tcPr>
            <w:tcW w:w="0" w:type="auto"/>
            <w:gridSpan w:val="3"/>
            <w:shd w:val="clear" w:color="auto" w:fill="auto"/>
            <w:vAlign w:val="bottom"/>
          </w:tcPr>
          <w:p w14:paraId="74DDDE97" w14:textId="77777777" w:rsidR="00584EC1" w:rsidRDefault="00584EC1">
            <w:pPr>
              <w:rPr>
                <w:rFonts w:ascii="宋体"/>
                <w:vanish/>
              </w:rPr>
            </w:pPr>
          </w:p>
        </w:tc>
        <w:tc>
          <w:tcPr>
            <w:tcW w:w="0" w:type="auto"/>
            <w:gridSpan w:val="3"/>
            <w:shd w:val="clear" w:color="auto" w:fill="auto"/>
            <w:vAlign w:val="bottom"/>
          </w:tcPr>
          <w:p w14:paraId="74DDDE98" w14:textId="77777777" w:rsidR="00584EC1" w:rsidRDefault="00584EC1">
            <w:pPr>
              <w:rPr>
                <w:rFonts w:ascii="宋体"/>
                <w:vanish/>
              </w:rPr>
            </w:pPr>
          </w:p>
        </w:tc>
        <w:tc>
          <w:tcPr>
            <w:tcW w:w="0" w:type="auto"/>
            <w:gridSpan w:val="3"/>
            <w:shd w:val="clear" w:color="auto" w:fill="auto"/>
            <w:vAlign w:val="bottom"/>
          </w:tcPr>
          <w:p w14:paraId="74DDDE99" w14:textId="77777777" w:rsidR="00584EC1" w:rsidRDefault="00584EC1">
            <w:pPr>
              <w:rPr>
                <w:rFonts w:ascii="宋体"/>
                <w:vanish/>
              </w:rPr>
            </w:pPr>
          </w:p>
        </w:tc>
        <w:tc>
          <w:tcPr>
            <w:tcW w:w="0" w:type="auto"/>
            <w:gridSpan w:val="3"/>
            <w:shd w:val="clear" w:color="auto" w:fill="auto"/>
            <w:vAlign w:val="bottom"/>
          </w:tcPr>
          <w:p w14:paraId="74DDDE9A" w14:textId="77777777" w:rsidR="00584EC1" w:rsidRDefault="00584EC1">
            <w:pPr>
              <w:rPr>
                <w:rFonts w:ascii="宋体"/>
                <w:vanish/>
              </w:rPr>
            </w:pPr>
          </w:p>
        </w:tc>
        <w:tc>
          <w:tcPr>
            <w:tcW w:w="0" w:type="auto"/>
            <w:gridSpan w:val="3"/>
            <w:shd w:val="clear" w:color="auto" w:fill="auto"/>
            <w:vAlign w:val="bottom"/>
          </w:tcPr>
          <w:p w14:paraId="74DDDE9B" w14:textId="77777777" w:rsidR="00584EC1" w:rsidRDefault="00584EC1">
            <w:pPr>
              <w:rPr>
                <w:rFonts w:ascii="宋体"/>
                <w:vanish/>
              </w:rPr>
            </w:pPr>
          </w:p>
        </w:tc>
        <w:tc>
          <w:tcPr>
            <w:tcW w:w="0" w:type="auto"/>
            <w:gridSpan w:val="3"/>
            <w:shd w:val="clear" w:color="auto" w:fill="auto"/>
            <w:vAlign w:val="bottom"/>
          </w:tcPr>
          <w:p w14:paraId="74DDDE9C" w14:textId="77777777" w:rsidR="00584EC1" w:rsidRDefault="00584EC1">
            <w:pPr>
              <w:rPr>
                <w:rFonts w:ascii="宋体"/>
                <w:vanish/>
              </w:rPr>
            </w:pPr>
          </w:p>
        </w:tc>
        <w:tc>
          <w:tcPr>
            <w:tcW w:w="0" w:type="auto"/>
            <w:gridSpan w:val="3"/>
            <w:shd w:val="clear" w:color="auto" w:fill="auto"/>
            <w:vAlign w:val="bottom"/>
          </w:tcPr>
          <w:p w14:paraId="74DDDE9D" w14:textId="77777777" w:rsidR="00584EC1" w:rsidRDefault="00584EC1">
            <w:pPr>
              <w:rPr>
                <w:rFonts w:ascii="宋体"/>
                <w:vanish/>
              </w:rPr>
            </w:pPr>
          </w:p>
        </w:tc>
        <w:tc>
          <w:tcPr>
            <w:tcW w:w="0" w:type="auto"/>
            <w:gridSpan w:val="3"/>
            <w:shd w:val="clear" w:color="auto" w:fill="auto"/>
            <w:vAlign w:val="bottom"/>
          </w:tcPr>
          <w:p w14:paraId="74DDDE9E" w14:textId="77777777" w:rsidR="00584EC1" w:rsidRDefault="00584EC1">
            <w:pPr>
              <w:rPr>
                <w:rFonts w:ascii="宋体"/>
                <w:vanish/>
              </w:rPr>
            </w:pPr>
          </w:p>
        </w:tc>
        <w:tc>
          <w:tcPr>
            <w:tcW w:w="0" w:type="auto"/>
            <w:gridSpan w:val="3"/>
            <w:shd w:val="clear" w:color="auto" w:fill="auto"/>
            <w:vAlign w:val="bottom"/>
          </w:tcPr>
          <w:p w14:paraId="74DDDE9F" w14:textId="77777777" w:rsidR="00584EC1" w:rsidRDefault="00584EC1">
            <w:pPr>
              <w:rPr>
                <w:rFonts w:ascii="宋体"/>
                <w:vanish/>
              </w:rPr>
            </w:pPr>
          </w:p>
        </w:tc>
        <w:tc>
          <w:tcPr>
            <w:tcW w:w="0" w:type="auto"/>
            <w:gridSpan w:val="3"/>
            <w:shd w:val="clear" w:color="auto" w:fill="auto"/>
            <w:vAlign w:val="bottom"/>
          </w:tcPr>
          <w:p w14:paraId="74DDDEA0" w14:textId="77777777" w:rsidR="00584EC1" w:rsidRDefault="00584EC1">
            <w:pPr>
              <w:rPr>
                <w:rFonts w:ascii="宋体"/>
                <w:vanish/>
              </w:rPr>
            </w:pPr>
          </w:p>
        </w:tc>
      </w:tr>
      <w:tr w:rsidR="00584EC1" w14:paraId="74DDDEC0" w14:textId="77777777">
        <w:tc>
          <w:tcPr>
            <w:tcW w:w="0" w:type="auto"/>
            <w:gridSpan w:val="3"/>
            <w:shd w:val="clear" w:color="auto" w:fill="FFFFFF"/>
            <w:tcMar>
              <w:top w:w="40" w:type="dxa"/>
              <w:left w:w="245" w:type="dxa"/>
              <w:bottom w:w="40" w:type="dxa"/>
              <w:right w:w="20" w:type="dxa"/>
            </w:tcMar>
            <w:vAlign w:val="bottom"/>
          </w:tcPr>
          <w:p w14:paraId="74DDDEA2" w14:textId="77777777" w:rsidR="00584EC1" w:rsidRDefault="00871F8D">
            <w:pPr>
              <w:textAlignment w:val="bottom"/>
            </w:pPr>
            <w:r>
              <w:rPr>
                <w:rFonts w:ascii="Arial" w:eastAsia="宋体" w:hAnsi="Arial" w:cs="Arial"/>
                <w:color w:val="000000"/>
                <w:sz w:val="13"/>
                <w:szCs w:val="13"/>
              </w:rPr>
              <w:t>Non-U.S. sovereign, supranational and non-U.S. agency</w:t>
            </w:r>
          </w:p>
        </w:tc>
        <w:tc>
          <w:tcPr>
            <w:tcW w:w="0" w:type="auto"/>
            <w:gridSpan w:val="2"/>
            <w:shd w:val="clear" w:color="auto" w:fill="FFFFFF"/>
            <w:tcMar>
              <w:top w:w="40" w:type="dxa"/>
              <w:left w:w="20" w:type="dxa"/>
              <w:bottom w:w="40" w:type="dxa"/>
              <w:right w:w="0" w:type="dxa"/>
            </w:tcMar>
            <w:vAlign w:val="bottom"/>
          </w:tcPr>
          <w:p w14:paraId="74DDDEA3" w14:textId="77777777" w:rsidR="00584EC1" w:rsidRDefault="00871F8D">
            <w:pPr>
              <w:jc w:val="right"/>
              <w:textAlignment w:val="bottom"/>
            </w:pPr>
            <w:r>
              <w:rPr>
                <w:rFonts w:ascii="Arial" w:eastAsia="宋体" w:hAnsi="Arial" w:cs="Arial"/>
                <w:b/>
                <w:bCs/>
                <w:color w:val="000000"/>
                <w:sz w:val="13"/>
                <w:szCs w:val="13"/>
              </w:rPr>
              <w:t>275</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EA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EA5"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EA6" w14:textId="77777777" w:rsidR="00584EC1" w:rsidRDefault="00871F8D">
            <w:pPr>
              <w:jc w:val="right"/>
              <w:textAlignment w:val="bottom"/>
            </w:pPr>
            <w:r>
              <w:rPr>
                <w:rFonts w:ascii="Arial" w:eastAsia="宋体" w:hAnsi="Arial" w:cs="Arial"/>
                <w:b/>
                <w:bCs/>
                <w:color w:val="000000"/>
                <w:sz w:val="13"/>
                <w:szCs w:val="13"/>
              </w:rPr>
              <w:t>275</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EA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EA8"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EA9" w14:textId="77777777" w:rsidR="00584EC1" w:rsidRDefault="00871F8D">
            <w:pPr>
              <w:jc w:val="right"/>
              <w:textAlignment w:val="bottom"/>
            </w:pPr>
            <w:r>
              <w:rPr>
                <w:rFonts w:ascii="Arial" w:eastAsia="宋体" w:hAnsi="Arial" w:cs="Arial"/>
                <w:b/>
                <w:bCs/>
                <w:color w:val="000000"/>
                <w:sz w:val="13"/>
                <w:szCs w:val="13"/>
              </w:rPr>
              <w:t>1,232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EA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EAB"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EAC" w14:textId="77777777" w:rsidR="00584EC1" w:rsidRDefault="00871F8D">
            <w:pPr>
              <w:jc w:val="right"/>
              <w:textAlignment w:val="bottom"/>
            </w:pPr>
            <w:r>
              <w:rPr>
                <w:rFonts w:ascii="Arial" w:eastAsia="宋体" w:hAnsi="Arial" w:cs="Arial"/>
                <w:b/>
                <w:bCs/>
                <w:color w:val="000000"/>
                <w:sz w:val="13"/>
                <w:szCs w:val="13"/>
              </w:rPr>
              <w:t>1,229</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EA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EA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EAF" w14:textId="77777777" w:rsidR="00584EC1" w:rsidRDefault="00871F8D">
            <w:pPr>
              <w:jc w:val="right"/>
              <w:textAlignment w:val="bottom"/>
            </w:pPr>
            <w:r>
              <w:rPr>
                <w:rFonts w:ascii="Arial" w:eastAsia="宋体" w:hAnsi="Arial" w:cs="Arial"/>
                <w:b/>
                <w:bCs/>
                <w:color w:val="000000"/>
                <w:sz w:val="13"/>
                <w:szCs w:val="13"/>
              </w:rPr>
              <w:t>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EB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EB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EB2" w14:textId="77777777" w:rsidR="00584EC1" w:rsidRDefault="00871F8D">
            <w:pPr>
              <w:jc w:val="right"/>
              <w:textAlignment w:val="bottom"/>
            </w:pPr>
            <w:r>
              <w:rPr>
                <w:rFonts w:ascii="Arial" w:eastAsia="宋体" w:hAnsi="Arial" w:cs="Arial"/>
                <w:b/>
                <w:bCs/>
                <w:color w:val="000000"/>
                <w:sz w:val="13"/>
                <w:szCs w:val="13"/>
              </w:rPr>
              <w:t>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EB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EB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EB5" w14:textId="77777777" w:rsidR="00584EC1" w:rsidRDefault="00871F8D">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EB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EB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EB8" w14:textId="77777777" w:rsidR="00584EC1" w:rsidRDefault="00871F8D">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EB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EB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EBB" w14:textId="77777777" w:rsidR="00584EC1" w:rsidRDefault="00871F8D">
            <w:pPr>
              <w:jc w:val="right"/>
              <w:textAlignment w:val="bottom"/>
            </w:pPr>
            <w:r>
              <w:rPr>
                <w:rFonts w:ascii="Arial" w:eastAsia="宋体" w:hAnsi="Arial" w:cs="Arial"/>
                <w:b/>
                <w:bCs/>
                <w:color w:val="000000"/>
                <w:sz w:val="13"/>
                <w:szCs w:val="13"/>
              </w:rPr>
              <w:t>1,508</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EB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EB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EBE" w14:textId="77777777" w:rsidR="00584EC1" w:rsidRDefault="00871F8D">
            <w:pPr>
              <w:jc w:val="right"/>
              <w:textAlignment w:val="bottom"/>
            </w:pPr>
            <w:r>
              <w:rPr>
                <w:rFonts w:ascii="Arial" w:eastAsia="宋体" w:hAnsi="Arial" w:cs="Arial"/>
                <w:b/>
                <w:bCs/>
                <w:color w:val="000000"/>
                <w:sz w:val="13"/>
                <w:szCs w:val="13"/>
              </w:rPr>
              <w:t>1,505</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EBF" w14:textId="77777777" w:rsidR="00584EC1" w:rsidRDefault="00584EC1">
            <w:pPr>
              <w:jc w:val="right"/>
              <w:rPr>
                <w:rFonts w:ascii="宋体"/>
              </w:rPr>
            </w:pPr>
          </w:p>
        </w:tc>
      </w:tr>
      <w:tr w:rsidR="00584EC1" w14:paraId="74DDDED5" w14:textId="77777777">
        <w:trPr>
          <w:hidden/>
        </w:trPr>
        <w:tc>
          <w:tcPr>
            <w:tcW w:w="0" w:type="auto"/>
            <w:gridSpan w:val="3"/>
            <w:shd w:val="clear" w:color="auto" w:fill="auto"/>
            <w:vAlign w:val="bottom"/>
          </w:tcPr>
          <w:p w14:paraId="74DDDEC1" w14:textId="77777777" w:rsidR="00584EC1" w:rsidRDefault="00584EC1">
            <w:pPr>
              <w:rPr>
                <w:rFonts w:ascii="宋体"/>
                <w:vanish/>
              </w:rPr>
            </w:pPr>
          </w:p>
        </w:tc>
        <w:tc>
          <w:tcPr>
            <w:tcW w:w="0" w:type="auto"/>
            <w:gridSpan w:val="3"/>
            <w:shd w:val="clear" w:color="auto" w:fill="auto"/>
            <w:vAlign w:val="bottom"/>
          </w:tcPr>
          <w:p w14:paraId="74DDDEC2" w14:textId="77777777" w:rsidR="00584EC1" w:rsidRDefault="00584EC1">
            <w:pPr>
              <w:rPr>
                <w:rFonts w:ascii="宋体"/>
                <w:vanish/>
              </w:rPr>
            </w:pPr>
          </w:p>
        </w:tc>
        <w:tc>
          <w:tcPr>
            <w:tcW w:w="0" w:type="auto"/>
            <w:gridSpan w:val="3"/>
            <w:shd w:val="clear" w:color="auto" w:fill="auto"/>
            <w:vAlign w:val="bottom"/>
          </w:tcPr>
          <w:p w14:paraId="74DDDEC3" w14:textId="77777777" w:rsidR="00584EC1" w:rsidRDefault="00584EC1">
            <w:pPr>
              <w:rPr>
                <w:rFonts w:ascii="宋体"/>
                <w:vanish/>
              </w:rPr>
            </w:pPr>
          </w:p>
        </w:tc>
        <w:tc>
          <w:tcPr>
            <w:tcW w:w="0" w:type="auto"/>
            <w:gridSpan w:val="3"/>
            <w:shd w:val="clear" w:color="auto" w:fill="auto"/>
            <w:vAlign w:val="bottom"/>
          </w:tcPr>
          <w:p w14:paraId="74DDDEC4" w14:textId="77777777" w:rsidR="00584EC1" w:rsidRDefault="00584EC1">
            <w:pPr>
              <w:rPr>
                <w:rFonts w:ascii="宋体"/>
                <w:vanish/>
              </w:rPr>
            </w:pPr>
          </w:p>
        </w:tc>
        <w:tc>
          <w:tcPr>
            <w:tcW w:w="0" w:type="auto"/>
            <w:gridSpan w:val="3"/>
            <w:shd w:val="clear" w:color="auto" w:fill="auto"/>
            <w:vAlign w:val="bottom"/>
          </w:tcPr>
          <w:p w14:paraId="74DDDEC5" w14:textId="77777777" w:rsidR="00584EC1" w:rsidRDefault="00584EC1">
            <w:pPr>
              <w:rPr>
                <w:rFonts w:ascii="宋体"/>
                <w:vanish/>
              </w:rPr>
            </w:pPr>
          </w:p>
        </w:tc>
        <w:tc>
          <w:tcPr>
            <w:tcW w:w="0" w:type="auto"/>
            <w:gridSpan w:val="3"/>
            <w:shd w:val="clear" w:color="auto" w:fill="auto"/>
            <w:vAlign w:val="bottom"/>
          </w:tcPr>
          <w:p w14:paraId="74DDDEC6" w14:textId="77777777" w:rsidR="00584EC1" w:rsidRDefault="00584EC1">
            <w:pPr>
              <w:rPr>
                <w:rFonts w:ascii="宋体"/>
                <w:vanish/>
              </w:rPr>
            </w:pPr>
          </w:p>
        </w:tc>
        <w:tc>
          <w:tcPr>
            <w:tcW w:w="0" w:type="auto"/>
            <w:gridSpan w:val="3"/>
            <w:shd w:val="clear" w:color="auto" w:fill="auto"/>
            <w:vAlign w:val="bottom"/>
          </w:tcPr>
          <w:p w14:paraId="74DDDEC7" w14:textId="77777777" w:rsidR="00584EC1" w:rsidRDefault="00584EC1">
            <w:pPr>
              <w:rPr>
                <w:rFonts w:ascii="宋体"/>
                <w:vanish/>
              </w:rPr>
            </w:pPr>
          </w:p>
        </w:tc>
        <w:tc>
          <w:tcPr>
            <w:tcW w:w="0" w:type="auto"/>
            <w:gridSpan w:val="3"/>
            <w:shd w:val="clear" w:color="auto" w:fill="auto"/>
            <w:vAlign w:val="bottom"/>
          </w:tcPr>
          <w:p w14:paraId="74DDDEC8" w14:textId="77777777" w:rsidR="00584EC1" w:rsidRDefault="00584EC1">
            <w:pPr>
              <w:rPr>
                <w:rFonts w:ascii="宋体"/>
                <w:vanish/>
              </w:rPr>
            </w:pPr>
          </w:p>
        </w:tc>
        <w:tc>
          <w:tcPr>
            <w:tcW w:w="0" w:type="auto"/>
            <w:gridSpan w:val="3"/>
            <w:shd w:val="clear" w:color="auto" w:fill="auto"/>
            <w:vAlign w:val="bottom"/>
          </w:tcPr>
          <w:p w14:paraId="74DDDEC9" w14:textId="77777777" w:rsidR="00584EC1" w:rsidRDefault="00584EC1">
            <w:pPr>
              <w:rPr>
                <w:rFonts w:ascii="宋体"/>
                <w:vanish/>
              </w:rPr>
            </w:pPr>
          </w:p>
        </w:tc>
        <w:tc>
          <w:tcPr>
            <w:tcW w:w="0" w:type="auto"/>
            <w:gridSpan w:val="3"/>
            <w:shd w:val="clear" w:color="auto" w:fill="auto"/>
            <w:vAlign w:val="bottom"/>
          </w:tcPr>
          <w:p w14:paraId="74DDDECA" w14:textId="77777777" w:rsidR="00584EC1" w:rsidRDefault="00584EC1">
            <w:pPr>
              <w:rPr>
                <w:rFonts w:ascii="宋体"/>
                <w:vanish/>
              </w:rPr>
            </w:pPr>
          </w:p>
        </w:tc>
        <w:tc>
          <w:tcPr>
            <w:tcW w:w="0" w:type="auto"/>
            <w:gridSpan w:val="3"/>
            <w:shd w:val="clear" w:color="auto" w:fill="auto"/>
            <w:vAlign w:val="bottom"/>
          </w:tcPr>
          <w:p w14:paraId="74DDDECB" w14:textId="77777777" w:rsidR="00584EC1" w:rsidRDefault="00584EC1">
            <w:pPr>
              <w:rPr>
                <w:rFonts w:ascii="宋体"/>
                <w:vanish/>
              </w:rPr>
            </w:pPr>
          </w:p>
        </w:tc>
        <w:tc>
          <w:tcPr>
            <w:tcW w:w="0" w:type="auto"/>
            <w:gridSpan w:val="3"/>
            <w:shd w:val="clear" w:color="auto" w:fill="auto"/>
            <w:vAlign w:val="bottom"/>
          </w:tcPr>
          <w:p w14:paraId="74DDDECC" w14:textId="77777777" w:rsidR="00584EC1" w:rsidRDefault="00584EC1">
            <w:pPr>
              <w:rPr>
                <w:rFonts w:ascii="宋体"/>
                <w:vanish/>
              </w:rPr>
            </w:pPr>
          </w:p>
        </w:tc>
        <w:tc>
          <w:tcPr>
            <w:tcW w:w="0" w:type="auto"/>
            <w:gridSpan w:val="3"/>
            <w:shd w:val="clear" w:color="auto" w:fill="auto"/>
            <w:vAlign w:val="bottom"/>
          </w:tcPr>
          <w:p w14:paraId="74DDDECD" w14:textId="77777777" w:rsidR="00584EC1" w:rsidRDefault="00584EC1">
            <w:pPr>
              <w:rPr>
                <w:rFonts w:ascii="宋体"/>
                <w:vanish/>
              </w:rPr>
            </w:pPr>
          </w:p>
        </w:tc>
        <w:tc>
          <w:tcPr>
            <w:tcW w:w="0" w:type="auto"/>
            <w:gridSpan w:val="3"/>
            <w:shd w:val="clear" w:color="auto" w:fill="auto"/>
            <w:vAlign w:val="bottom"/>
          </w:tcPr>
          <w:p w14:paraId="74DDDECE" w14:textId="77777777" w:rsidR="00584EC1" w:rsidRDefault="00584EC1">
            <w:pPr>
              <w:rPr>
                <w:rFonts w:ascii="宋体"/>
                <w:vanish/>
              </w:rPr>
            </w:pPr>
          </w:p>
        </w:tc>
        <w:tc>
          <w:tcPr>
            <w:tcW w:w="0" w:type="auto"/>
            <w:gridSpan w:val="3"/>
            <w:shd w:val="clear" w:color="auto" w:fill="auto"/>
            <w:vAlign w:val="bottom"/>
          </w:tcPr>
          <w:p w14:paraId="74DDDECF" w14:textId="77777777" w:rsidR="00584EC1" w:rsidRDefault="00584EC1">
            <w:pPr>
              <w:rPr>
                <w:rFonts w:ascii="宋体"/>
                <w:vanish/>
              </w:rPr>
            </w:pPr>
          </w:p>
        </w:tc>
        <w:tc>
          <w:tcPr>
            <w:tcW w:w="0" w:type="auto"/>
            <w:gridSpan w:val="3"/>
            <w:shd w:val="clear" w:color="auto" w:fill="auto"/>
            <w:vAlign w:val="bottom"/>
          </w:tcPr>
          <w:p w14:paraId="74DDDED0" w14:textId="77777777" w:rsidR="00584EC1" w:rsidRDefault="00584EC1">
            <w:pPr>
              <w:rPr>
                <w:rFonts w:ascii="宋体"/>
                <w:vanish/>
              </w:rPr>
            </w:pPr>
          </w:p>
        </w:tc>
        <w:tc>
          <w:tcPr>
            <w:tcW w:w="0" w:type="auto"/>
            <w:gridSpan w:val="3"/>
            <w:shd w:val="clear" w:color="auto" w:fill="auto"/>
            <w:vAlign w:val="bottom"/>
          </w:tcPr>
          <w:p w14:paraId="74DDDED1" w14:textId="77777777" w:rsidR="00584EC1" w:rsidRDefault="00584EC1">
            <w:pPr>
              <w:rPr>
                <w:rFonts w:ascii="宋体"/>
                <w:vanish/>
              </w:rPr>
            </w:pPr>
          </w:p>
        </w:tc>
        <w:tc>
          <w:tcPr>
            <w:tcW w:w="0" w:type="auto"/>
            <w:gridSpan w:val="3"/>
            <w:shd w:val="clear" w:color="auto" w:fill="auto"/>
            <w:vAlign w:val="bottom"/>
          </w:tcPr>
          <w:p w14:paraId="74DDDED2" w14:textId="77777777" w:rsidR="00584EC1" w:rsidRDefault="00584EC1">
            <w:pPr>
              <w:rPr>
                <w:rFonts w:ascii="宋体"/>
                <w:vanish/>
              </w:rPr>
            </w:pPr>
          </w:p>
        </w:tc>
        <w:tc>
          <w:tcPr>
            <w:tcW w:w="0" w:type="auto"/>
            <w:gridSpan w:val="3"/>
            <w:shd w:val="clear" w:color="auto" w:fill="auto"/>
            <w:vAlign w:val="bottom"/>
          </w:tcPr>
          <w:p w14:paraId="74DDDED3" w14:textId="77777777" w:rsidR="00584EC1" w:rsidRDefault="00584EC1">
            <w:pPr>
              <w:rPr>
                <w:rFonts w:ascii="宋体"/>
                <w:vanish/>
              </w:rPr>
            </w:pPr>
          </w:p>
        </w:tc>
        <w:tc>
          <w:tcPr>
            <w:tcW w:w="0" w:type="auto"/>
            <w:gridSpan w:val="3"/>
            <w:shd w:val="clear" w:color="auto" w:fill="auto"/>
            <w:vAlign w:val="bottom"/>
          </w:tcPr>
          <w:p w14:paraId="74DDDED4" w14:textId="77777777" w:rsidR="00584EC1" w:rsidRDefault="00584EC1">
            <w:pPr>
              <w:rPr>
                <w:rFonts w:ascii="宋体"/>
                <w:vanish/>
              </w:rPr>
            </w:pPr>
          </w:p>
        </w:tc>
      </w:tr>
      <w:tr w:rsidR="00584EC1" w14:paraId="74DDDEF4" w14:textId="77777777">
        <w:tc>
          <w:tcPr>
            <w:tcW w:w="0" w:type="auto"/>
            <w:gridSpan w:val="3"/>
            <w:shd w:val="clear" w:color="auto" w:fill="CCEEFF"/>
            <w:tcMar>
              <w:top w:w="40" w:type="dxa"/>
              <w:left w:w="395" w:type="dxa"/>
              <w:bottom w:w="40" w:type="dxa"/>
              <w:right w:w="20" w:type="dxa"/>
            </w:tcMar>
            <w:vAlign w:val="bottom"/>
          </w:tcPr>
          <w:p w14:paraId="74DDDED6" w14:textId="77777777" w:rsidR="00584EC1" w:rsidRDefault="00871F8D">
            <w:pPr>
              <w:textAlignment w:val="bottom"/>
            </w:pPr>
            <w:r>
              <w:rPr>
                <w:rFonts w:ascii="Arial" w:eastAsia="宋体" w:hAnsi="Arial" w:cs="Arial"/>
                <w:color w:val="000000"/>
                <w:sz w:val="13"/>
                <w:szCs w:val="13"/>
              </w:rPr>
              <w:t>Total non-U.S. debt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ED7" w14:textId="77777777" w:rsidR="00584EC1" w:rsidRDefault="00871F8D">
            <w:pPr>
              <w:jc w:val="right"/>
              <w:textAlignment w:val="bottom"/>
            </w:pPr>
            <w:r>
              <w:rPr>
                <w:rFonts w:ascii="Arial" w:eastAsia="宋体" w:hAnsi="Arial" w:cs="Arial"/>
                <w:b/>
                <w:bCs/>
                <w:color w:val="000000"/>
                <w:sz w:val="13"/>
                <w:szCs w:val="13"/>
              </w:rPr>
              <w:t>313</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ED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ED9"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EDA" w14:textId="77777777" w:rsidR="00584EC1" w:rsidRDefault="00871F8D">
            <w:pPr>
              <w:jc w:val="right"/>
              <w:textAlignment w:val="bottom"/>
            </w:pPr>
            <w:r>
              <w:rPr>
                <w:rFonts w:ascii="Arial" w:eastAsia="宋体" w:hAnsi="Arial" w:cs="Arial"/>
                <w:b/>
                <w:bCs/>
                <w:color w:val="000000"/>
                <w:sz w:val="13"/>
                <w:szCs w:val="13"/>
              </w:rPr>
              <w:t>312</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ED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EDC"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EDD" w14:textId="77777777" w:rsidR="00584EC1" w:rsidRDefault="00871F8D">
            <w:pPr>
              <w:jc w:val="right"/>
              <w:textAlignment w:val="bottom"/>
            </w:pPr>
            <w:r>
              <w:rPr>
                <w:rFonts w:ascii="Arial" w:eastAsia="宋体" w:hAnsi="Arial" w:cs="Arial"/>
                <w:b/>
                <w:bCs/>
                <w:color w:val="000000"/>
                <w:sz w:val="13"/>
                <w:szCs w:val="13"/>
              </w:rPr>
              <w:t>1,250</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ED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EDF"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EE0" w14:textId="77777777" w:rsidR="00584EC1" w:rsidRDefault="00871F8D">
            <w:pPr>
              <w:jc w:val="right"/>
              <w:textAlignment w:val="bottom"/>
            </w:pPr>
            <w:r>
              <w:rPr>
                <w:rFonts w:ascii="Arial" w:eastAsia="宋体" w:hAnsi="Arial" w:cs="Arial"/>
                <w:b/>
                <w:bCs/>
                <w:color w:val="000000"/>
                <w:sz w:val="13"/>
                <w:szCs w:val="13"/>
              </w:rPr>
              <w:t>1,247</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EE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EE2"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EE3" w14:textId="77777777" w:rsidR="00584EC1" w:rsidRDefault="00871F8D">
            <w:pPr>
              <w:jc w:val="right"/>
              <w:textAlignment w:val="bottom"/>
            </w:pPr>
            <w:r>
              <w:rPr>
                <w:rFonts w:ascii="Arial" w:eastAsia="宋体" w:hAnsi="Arial" w:cs="Arial"/>
                <w:b/>
                <w:bCs/>
                <w:color w:val="000000"/>
                <w:sz w:val="13"/>
                <w:szCs w:val="13"/>
              </w:rPr>
              <w:t>1</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EE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EE5"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EE6" w14:textId="77777777" w:rsidR="00584EC1" w:rsidRDefault="00871F8D">
            <w:pPr>
              <w:jc w:val="right"/>
              <w:textAlignment w:val="bottom"/>
            </w:pPr>
            <w:r>
              <w:rPr>
                <w:rFonts w:ascii="Arial" w:eastAsia="宋体" w:hAnsi="Arial" w:cs="Arial"/>
                <w:b/>
                <w:bCs/>
                <w:color w:val="000000"/>
                <w:sz w:val="13"/>
                <w:szCs w:val="13"/>
              </w:rPr>
              <w:t>1</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EE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EE8"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EE9" w14:textId="77777777" w:rsidR="00584EC1" w:rsidRDefault="00871F8D">
            <w:pPr>
              <w:jc w:val="right"/>
              <w:textAlignment w:val="bottom"/>
            </w:pPr>
            <w:r>
              <w:rPr>
                <w:rFonts w:ascii="Arial" w:eastAsia="宋体" w:hAnsi="Arial" w:cs="Arial"/>
                <w:b/>
                <w:bCs/>
                <w:color w:val="000000"/>
                <w:sz w:val="13"/>
                <w:szCs w:val="13"/>
              </w:rPr>
              <w:t>153</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EE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EEB"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EEC" w14:textId="77777777" w:rsidR="00584EC1" w:rsidRDefault="00871F8D">
            <w:pPr>
              <w:jc w:val="right"/>
              <w:textAlignment w:val="bottom"/>
            </w:pPr>
            <w:r>
              <w:rPr>
                <w:rFonts w:ascii="Arial" w:eastAsia="宋体" w:hAnsi="Arial" w:cs="Arial"/>
                <w:b/>
                <w:bCs/>
                <w:color w:val="000000"/>
                <w:sz w:val="13"/>
                <w:szCs w:val="13"/>
              </w:rPr>
              <w:t>217</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EE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EEE"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EEF" w14:textId="77777777" w:rsidR="00584EC1" w:rsidRDefault="00871F8D">
            <w:pPr>
              <w:jc w:val="right"/>
              <w:textAlignment w:val="bottom"/>
            </w:pPr>
            <w:r>
              <w:rPr>
                <w:rFonts w:ascii="Arial" w:eastAsia="宋体" w:hAnsi="Arial" w:cs="Arial"/>
                <w:b/>
                <w:bCs/>
                <w:color w:val="000000"/>
                <w:sz w:val="13"/>
                <w:szCs w:val="13"/>
              </w:rPr>
              <w:t>1,717</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EF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EF1"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EF2" w14:textId="77777777" w:rsidR="00584EC1" w:rsidRDefault="00871F8D">
            <w:pPr>
              <w:jc w:val="right"/>
              <w:textAlignment w:val="bottom"/>
            </w:pPr>
            <w:r>
              <w:rPr>
                <w:rFonts w:ascii="Arial" w:eastAsia="宋体" w:hAnsi="Arial" w:cs="Arial"/>
                <w:b/>
                <w:bCs/>
                <w:color w:val="000000"/>
                <w:sz w:val="13"/>
                <w:szCs w:val="13"/>
              </w:rPr>
              <w:t>1,777</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EF3" w14:textId="77777777" w:rsidR="00584EC1" w:rsidRDefault="00584EC1">
            <w:pPr>
              <w:jc w:val="right"/>
              <w:rPr>
                <w:rFonts w:ascii="宋体"/>
              </w:rPr>
            </w:pPr>
          </w:p>
        </w:tc>
      </w:tr>
      <w:tr w:rsidR="00584EC1" w14:paraId="74DDDF09" w14:textId="77777777">
        <w:trPr>
          <w:hidden/>
        </w:trPr>
        <w:tc>
          <w:tcPr>
            <w:tcW w:w="0" w:type="auto"/>
            <w:gridSpan w:val="3"/>
            <w:shd w:val="clear" w:color="auto" w:fill="auto"/>
            <w:vAlign w:val="bottom"/>
          </w:tcPr>
          <w:p w14:paraId="74DDDEF5" w14:textId="77777777" w:rsidR="00584EC1" w:rsidRDefault="00584EC1">
            <w:pPr>
              <w:rPr>
                <w:rFonts w:ascii="宋体"/>
                <w:vanish/>
              </w:rPr>
            </w:pPr>
          </w:p>
        </w:tc>
        <w:tc>
          <w:tcPr>
            <w:tcW w:w="0" w:type="auto"/>
            <w:gridSpan w:val="3"/>
            <w:shd w:val="clear" w:color="auto" w:fill="auto"/>
            <w:vAlign w:val="bottom"/>
          </w:tcPr>
          <w:p w14:paraId="74DDDEF6" w14:textId="77777777" w:rsidR="00584EC1" w:rsidRDefault="00584EC1">
            <w:pPr>
              <w:rPr>
                <w:rFonts w:ascii="宋体"/>
                <w:vanish/>
              </w:rPr>
            </w:pPr>
          </w:p>
        </w:tc>
        <w:tc>
          <w:tcPr>
            <w:tcW w:w="0" w:type="auto"/>
            <w:gridSpan w:val="3"/>
            <w:shd w:val="clear" w:color="auto" w:fill="auto"/>
            <w:vAlign w:val="bottom"/>
          </w:tcPr>
          <w:p w14:paraId="74DDDEF7" w14:textId="77777777" w:rsidR="00584EC1" w:rsidRDefault="00584EC1">
            <w:pPr>
              <w:rPr>
                <w:rFonts w:ascii="宋体"/>
                <w:vanish/>
              </w:rPr>
            </w:pPr>
          </w:p>
        </w:tc>
        <w:tc>
          <w:tcPr>
            <w:tcW w:w="0" w:type="auto"/>
            <w:gridSpan w:val="3"/>
            <w:shd w:val="clear" w:color="auto" w:fill="auto"/>
            <w:vAlign w:val="bottom"/>
          </w:tcPr>
          <w:p w14:paraId="74DDDEF8" w14:textId="77777777" w:rsidR="00584EC1" w:rsidRDefault="00584EC1">
            <w:pPr>
              <w:rPr>
                <w:rFonts w:ascii="宋体"/>
                <w:vanish/>
              </w:rPr>
            </w:pPr>
          </w:p>
        </w:tc>
        <w:tc>
          <w:tcPr>
            <w:tcW w:w="0" w:type="auto"/>
            <w:gridSpan w:val="3"/>
            <w:shd w:val="clear" w:color="auto" w:fill="auto"/>
            <w:vAlign w:val="bottom"/>
          </w:tcPr>
          <w:p w14:paraId="74DDDEF9" w14:textId="77777777" w:rsidR="00584EC1" w:rsidRDefault="00584EC1">
            <w:pPr>
              <w:rPr>
                <w:rFonts w:ascii="宋体"/>
                <w:vanish/>
              </w:rPr>
            </w:pPr>
          </w:p>
        </w:tc>
        <w:tc>
          <w:tcPr>
            <w:tcW w:w="0" w:type="auto"/>
            <w:gridSpan w:val="3"/>
            <w:shd w:val="clear" w:color="auto" w:fill="auto"/>
            <w:vAlign w:val="bottom"/>
          </w:tcPr>
          <w:p w14:paraId="74DDDEFA" w14:textId="77777777" w:rsidR="00584EC1" w:rsidRDefault="00584EC1">
            <w:pPr>
              <w:rPr>
                <w:rFonts w:ascii="宋体"/>
                <w:vanish/>
              </w:rPr>
            </w:pPr>
          </w:p>
        </w:tc>
        <w:tc>
          <w:tcPr>
            <w:tcW w:w="0" w:type="auto"/>
            <w:gridSpan w:val="3"/>
            <w:shd w:val="clear" w:color="auto" w:fill="auto"/>
            <w:vAlign w:val="bottom"/>
          </w:tcPr>
          <w:p w14:paraId="74DDDEFB" w14:textId="77777777" w:rsidR="00584EC1" w:rsidRDefault="00584EC1">
            <w:pPr>
              <w:rPr>
                <w:rFonts w:ascii="宋体"/>
                <w:vanish/>
              </w:rPr>
            </w:pPr>
          </w:p>
        </w:tc>
        <w:tc>
          <w:tcPr>
            <w:tcW w:w="0" w:type="auto"/>
            <w:gridSpan w:val="3"/>
            <w:shd w:val="clear" w:color="auto" w:fill="auto"/>
            <w:vAlign w:val="bottom"/>
          </w:tcPr>
          <w:p w14:paraId="74DDDEFC" w14:textId="77777777" w:rsidR="00584EC1" w:rsidRDefault="00584EC1">
            <w:pPr>
              <w:rPr>
                <w:rFonts w:ascii="宋体"/>
                <w:vanish/>
              </w:rPr>
            </w:pPr>
          </w:p>
        </w:tc>
        <w:tc>
          <w:tcPr>
            <w:tcW w:w="0" w:type="auto"/>
            <w:gridSpan w:val="3"/>
            <w:shd w:val="clear" w:color="auto" w:fill="auto"/>
            <w:vAlign w:val="bottom"/>
          </w:tcPr>
          <w:p w14:paraId="74DDDEFD" w14:textId="77777777" w:rsidR="00584EC1" w:rsidRDefault="00584EC1">
            <w:pPr>
              <w:rPr>
                <w:rFonts w:ascii="宋体"/>
                <w:vanish/>
              </w:rPr>
            </w:pPr>
          </w:p>
        </w:tc>
        <w:tc>
          <w:tcPr>
            <w:tcW w:w="0" w:type="auto"/>
            <w:gridSpan w:val="3"/>
            <w:shd w:val="clear" w:color="auto" w:fill="auto"/>
            <w:vAlign w:val="bottom"/>
          </w:tcPr>
          <w:p w14:paraId="74DDDEFE" w14:textId="77777777" w:rsidR="00584EC1" w:rsidRDefault="00584EC1">
            <w:pPr>
              <w:rPr>
                <w:rFonts w:ascii="宋体"/>
                <w:vanish/>
              </w:rPr>
            </w:pPr>
          </w:p>
        </w:tc>
        <w:tc>
          <w:tcPr>
            <w:tcW w:w="0" w:type="auto"/>
            <w:gridSpan w:val="3"/>
            <w:shd w:val="clear" w:color="auto" w:fill="auto"/>
            <w:vAlign w:val="bottom"/>
          </w:tcPr>
          <w:p w14:paraId="74DDDEFF" w14:textId="77777777" w:rsidR="00584EC1" w:rsidRDefault="00584EC1">
            <w:pPr>
              <w:rPr>
                <w:rFonts w:ascii="宋体"/>
                <w:vanish/>
              </w:rPr>
            </w:pPr>
          </w:p>
        </w:tc>
        <w:tc>
          <w:tcPr>
            <w:tcW w:w="0" w:type="auto"/>
            <w:gridSpan w:val="3"/>
            <w:shd w:val="clear" w:color="auto" w:fill="auto"/>
            <w:vAlign w:val="bottom"/>
          </w:tcPr>
          <w:p w14:paraId="74DDDF00" w14:textId="77777777" w:rsidR="00584EC1" w:rsidRDefault="00584EC1">
            <w:pPr>
              <w:rPr>
                <w:rFonts w:ascii="宋体"/>
                <w:vanish/>
              </w:rPr>
            </w:pPr>
          </w:p>
        </w:tc>
        <w:tc>
          <w:tcPr>
            <w:tcW w:w="0" w:type="auto"/>
            <w:gridSpan w:val="3"/>
            <w:shd w:val="clear" w:color="auto" w:fill="auto"/>
            <w:vAlign w:val="bottom"/>
          </w:tcPr>
          <w:p w14:paraId="74DDDF01" w14:textId="77777777" w:rsidR="00584EC1" w:rsidRDefault="00584EC1">
            <w:pPr>
              <w:rPr>
                <w:rFonts w:ascii="宋体"/>
                <w:vanish/>
              </w:rPr>
            </w:pPr>
          </w:p>
        </w:tc>
        <w:tc>
          <w:tcPr>
            <w:tcW w:w="0" w:type="auto"/>
            <w:gridSpan w:val="3"/>
            <w:shd w:val="clear" w:color="auto" w:fill="auto"/>
            <w:vAlign w:val="bottom"/>
          </w:tcPr>
          <w:p w14:paraId="74DDDF02" w14:textId="77777777" w:rsidR="00584EC1" w:rsidRDefault="00584EC1">
            <w:pPr>
              <w:rPr>
                <w:rFonts w:ascii="宋体"/>
                <w:vanish/>
              </w:rPr>
            </w:pPr>
          </w:p>
        </w:tc>
        <w:tc>
          <w:tcPr>
            <w:tcW w:w="0" w:type="auto"/>
            <w:gridSpan w:val="3"/>
            <w:shd w:val="clear" w:color="auto" w:fill="auto"/>
            <w:vAlign w:val="bottom"/>
          </w:tcPr>
          <w:p w14:paraId="74DDDF03" w14:textId="77777777" w:rsidR="00584EC1" w:rsidRDefault="00584EC1">
            <w:pPr>
              <w:rPr>
                <w:rFonts w:ascii="宋体"/>
                <w:vanish/>
              </w:rPr>
            </w:pPr>
          </w:p>
        </w:tc>
        <w:tc>
          <w:tcPr>
            <w:tcW w:w="0" w:type="auto"/>
            <w:gridSpan w:val="3"/>
            <w:shd w:val="clear" w:color="auto" w:fill="auto"/>
            <w:vAlign w:val="bottom"/>
          </w:tcPr>
          <w:p w14:paraId="74DDDF04" w14:textId="77777777" w:rsidR="00584EC1" w:rsidRDefault="00584EC1">
            <w:pPr>
              <w:rPr>
                <w:rFonts w:ascii="宋体"/>
                <w:vanish/>
              </w:rPr>
            </w:pPr>
          </w:p>
        </w:tc>
        <w:tc>
          <w:tcPr>
            <w:tcW w:w="0" w:type="auto"/>
            <w:gridSpan w:val="3"/>
            <w:shd w:val="clear" w:color="auto" w:fill="auto"/>
            <w:vAlign w:val="bottom"/>
          </w:tcPr>
          <w:p w14:paraId="74DDDF05" w14:textId="77777777" w:rsidR="00584EC1" w:rsidRDefault="00584EC1">
            <w:pPr>
              <w:rPr>
                <w:rFonts w:ascii="宋体"/>
                <w:vanish/>
              </w:rPr>
            </w:pPr>
          </w:p>
        </w:tc>
        <w:tc>
          <w:tcPr>
            <w:tcW w:w="0" w:type="auto"/>
            <w:gridSpan w:val="3"/>
            <w:shd w:val="clear" w:color="auto" w:fill="auto"/>
            <w:vAlign w:val="bottom"/>
          </w:tcPr>
          <w:p w14:paraId="74DDDF06" w14:textId="77777777" w:rsidR="00584EC1" w:rsidRDefault="00584EC1">
            <w:pPr>
              <w:rPr>
                <w:rFonts w:ascii="宋体"/>
                <w:vanish/>
              </w:rPr>
            </w:pPr>
          </w:p>
        </w:tc>
        <w:tc>
          <w:tcPr>
            <w:tcW w:w="0" w:type="auto"/>
            <w:gridSpan w:val="3"/>
            <w:shd w:val="clear" w:color="auto" w:fill="auto"/>
            <w:vAlign w:val="bottom"/>
          </w:tcPr>
          <w:p w14:paraId="74DDDF07" w14:textId="77777777" w:rsidR="00584EC1" w:rsidRDefault="00584EC1">
            <w:pPr>
              <w:rPr>
                <w:rFonts w:ascii="宋体"/>
                <w:vanish/>
              </w:rPr>
            </w:pPr>
          </w:p>
        </w:tc>
        <w:tc>
          <w:tcPr>
            <w:tcW w:w="0" w:type="auto"/>
            <w:gridSpan w:val="3"/>
            <w:shd w:val="clear" w:color="auto" w:fill="auto"/>
            <w:vAlign w:val="bottom"/>
          </w:tcPr>
          <w:p w14:paraId="74DDDF08" w14:textId="77777777" w:rsidR="00584EC1" w:rsidRDefault="00584EC1">
            <w:pPr>
              <w:rPr>
                <w:rFonts w:ascii="宋体"/>
                <w:vanish/>
              </w:rPr>
            </w:pPr>
          </w:p>
        </w:tc>
      </w:tr>
      <w:tr w:rsidR="00584EC1" w14:paraId="74DDDF1E" w14:textId="77777777">
        <w:trPr>
          <w:hidden/>
        </w:trPr>
        <w:tc>
          <w:tcPr>
            <w:tcW w:w="0" w:type="auto"/>
            <w:gridSpan w:val="3"/>
            <w:shd w:val="clear" w:color="auto" w:fill="auto"/>
            <w:vAlign w:val="bottom"/>
          </w:tcPr>
          <w:p w14:paraId="74DDDF0A" w14:textId="77777777" w:rsidR="00584EC1" w:rsidRDefault="00584EC1">
            <w:pPr>
              <w:rPr>
                <w:rFonts w:ascii="宋体"/>
                <w:vanish/>
              </w:rPr>
            </w:pPr>
          </w:p>
        </w:tc>
        <w:tc>
          <w:tcPr>
            <w:tcW w:w="0" w:type="auto"/>
            <w:gridSpan w:val="3"/>
            <w:shd w:val="clear" w:color="auto" w:fill="auto"/>
            <w:vAlign w:val="bottom"/>
          </w:tcPr>
          <w:p w14:paraId="74DDDF0B" w14:textId="77777777" w:rsidR="00584EC1" w:rsidRDefault="00584EC1">
            <w:pPr>
              <w:rPr>
                <w:rFonts w:ascii="宋体"/>
                <w:vanish/>
              </w:rPr>
            </w:pPr>
          </w:p>
        </w:tc>
        <w:tc>
          <w:tcPr>
            <w:tcW w:w="0" w:type="auto"/>
            <w:gridSpan w:val="3"/>
            <w:shd w:val="clear" w:color="auto" w:fill="auto"/>
            <w:vAlign w:val="bottom"/>
          </w:tcPr>
          <w:p w14:paraId="74DDDF0C" w14:textId="77777777" w:rsidR="00584EC1" w:rsidRDefault="00584EC1">
            <w:pPr>
              <w:rPr>
                <w:rFonts w:ascii="宋体"/>
                <w:vanish/>
              </w:rPr>
            </w:pPr>
          </w:p>
        </w:tc>
        <w:tc>
          <w:tcPr>
            <w:tcW w:w="0" w:type="auto"/>
            <w:gridSpan w:val="3"/>
            <w:shd w:val="clear" w:color="auto" w:fill="auto"/>
            <w:vAlign w:val="bottom"/>
          </w:tcPr>
          <w:p w14:paraId="74DDDF0D" w14:textId="77777777" w:rsidR="00584EC1" w:rsidRDefault="00584EC1">
            <w:pPr>
              <w:rPr>
                <w:rFonts w:ascii="宋体"/>
                <w:vanish/>
              </w:rPr>
            </w:pPr>
          </w:p>
        </w:tc>
        <w:tc>
          <w:tcPr>
            <w:tcW w:w="0" w:type="auto"/>
            <w:gridSpan w:val="3"/>
            <w:shd w:val="clear" w:color="auto" w:fill="auto"/>
            <w:vAlign w:val="bottom"/>
          </w:tcPr>
          <w:p w14:paraId="74DDDF0E" w14:textId="77777777" w:rsidR="00584EC1" w:rsidRDefault="00584EC1">
            <w:pPr>
              <w:rPr>
                <w:rFonts w:ascii="宋体"/>
                <w:vanish/>
              </w:rPr>
            </w:pPr>
          </w:p>
        </w:tc>
        <w:tc>
          <w:tcPr>
            <w:tcW w:w="0" w:type="auto"/>
            <w:gridSpan w:val="3"/>
            <w:shd w:val="clear" w:color="auto" w:fill="auto"/>
            <w:vAlign w:val="bottom"/>
          </w:tcPr>
          <w:p w14:paraId="74DDDF0F" w14:textId="77777777" w:rsidR="00584EC1" w:rsidRDefault="00584EC1">
            <w:pPr>
              <w:rPr>
                <w:rFonts w:ascii="宋体"/>
                <w:vanish/>
              </w:rPr>
            </w:pPr>
          </w:p>
        </w:tc>
        <w:tc>
          <w:tcPr>
            <w:tcW w:w="0" w:type="auto"/>
            <w:gridSpan w:val="3"/>
            <w:shd w:val="clear" w:color="auto" w:fill="auto"/>
            <w:vAlign w:val="bottom"/>
          </w:tcPr>
          <w:p w14:paraId="74DDDF10" w14:textId="77777777" w:rsidR="00584EC1" w:rsidRDefault="00584EC1">
            <w:pPr>
              <w:rPr>
                <w:rFonts w:ascii="宋体"/>
                <w:vanish/>
              </w:rPr>
            </w:pPr>
          </w:p>
        </w:tc>
        <w:tc>
          <w:tcPr>
            <w:tcW w:w="0" w:type="auto"/>
            <w:gridSpan w:val="3"/>
            <w:shd w:val="clear" w:color="auto" w:fill="auto"/>
            <w:vAlign w:val="bottom"/>
          </w:tcPr>
          <w:p w14:paraId="74DDDF11" w14:textId="77777777" w:rsidR="00584EC1" w:rsidRDefault="00584EC1">
            <w:pPr>
              <w:rPr>
                <w:rFonts w:ascii="宋体"/>
                <w:vanish/>
              </w:rPr>
            </w:pPr>
          </w:p>
        </w:tc>
        <w:tc>
          <w:tcPr>
            <w:tcW w:w="0" w:type="auto"/>
            <w:gridSpan w:val="3"/>
            <w:shd w:val="clear" w:color="auto" w:fill="auto"/>
            <w:vAlign w:val="bottom"/>
          </w:tcPr>
          <w:p w14:paraId="74DDDF12" w14:textId="77777777" w:rsidR="00584EC1" w:rsidRDefault="00584EC1">
            <w:pPr>
              <w:rPr>
                <w:rFonts w:ascii="宋体"/>
                <w:vanish/>
              </w:rPr>
            </w:pPr>
          </w:p>
        </w:tc>
        <w:tc>
          <w:tcPr>
            <w:tcW w:w="0" w:type="auto"/>
            <w:gridSpan w:val="3"/>
            <w:shd w:val="clear" w:color="auto" w:fill="auto"/>
            <w:vAlign w:val="bottom"/>
          </w:tcPr>
          <w:p w14:paraId="74DDDF13" w14:textId="77777777" w:rsidR="00584EC1" w:rsidRDefault="00584EC1">
            <w:pPr>
              <w:rPr>
                <w:rFonts w:ascii="宋体"/>
                <w:vanish/>
              </w:rPr>
            </w:pPr>
          </w:p>
        </w:tc>
        <w:tc>
          <w:tcPr>
            <w:tcW w:w="0" w:type="auto"/>
            <w:gridSpan w:val="3"/>
            <w:shd w:val="clear" w:color="auto" w:fill="auto"/>
            <w:vAlign w:val="bottom"/>
          </w:tcPr>
          <w:p w14:paraId="74DDDF14" w14:textId="77777777" w:rsidR="00584EC1" w:rsidRDefault="00584EC1">
            <w:pPr>
              <w:rPr>
                <w:rFonts w:ascii="宋体"/>
                <w:vanish/>
              </w:rPr>
            </w:pPr>
          </w:p>
        </w:tc>
        <w:tc>
          <w:tcPr>
            <w:tcW w:w="0" w:type="auto"/>
            <w:gridSpan w:val="3"/>
            <w:shd w:val="clear" w:color="auto" w:fill="auto"/>
            <w:vAlign w:val="bottom"/>
          </w:tcPr>
          <w:p w14:paraId="74DDDF15" w14:textId="77777777" w:rsidR="00584EC1" w:rsidRDefault="00584EC1">
            <w:pPr>
              <w:rPr>
                <w:rFonts w:ascii="宋体"/>
                <w:vanish/>
              </w:rPr>
            </w:pPr>
          </w:p>
        </w:tc>
        <w:tc>
          <w:tcPr>
            <w:tcW w:w="0" w:type="auto"/>
            <w:gridSpan w:val="3"/>
            <w:shd w:val="clear" w:color="auto" w:fill="auto"/>
            <w:vAlign w:val="bottom"/>
          </w:tcPr>
          <w:p w14:paraId="74DDDF16" w14:textId="77777777" w:rsidR="00584EC1" w:rsidRDefault="00584EC1">
            <w:pPr>
              <w:rPr>
                <w:rFonts w:ascii="宋体"/>
                <w:vanish/>
              </w:rPr>
            </w:pPr>
          </w:p>
        </w:tc>
        <w:tc>
          <w:tcPr>
            <w:tcW w:w="0" w:type="auto"/>
            <w:gridSpan w:val="3"/>
            <w:shd w:val="clear" w:color="auto" w:fill="auto"/>
            <w:vAlign w:val="bottom"/>
          </w:tcPr>
          <w:p w14:paraId="74DDDF17" w14:textId="77777777" w:rsidR="00584EC1" w:rsidRDefault="00584EC1">
            <w:pPr>
              <w:rPr>
                <w:rFonts w:ascii="宋体"/>
                <w:vanish/>
              </w:rPr>
            </w:pPr>
          </w:p>
        </w:tc>
        <w:tc>
          <w:tcPr>
            <w:tcW w:w="0" w:type="auto"/>
            <w:gridSpan w:val="3"/>
            <w:shd w:val="clear" w:color="auto" w:fill="auto"/>
            <w:vAlign w:val="bottom"/>
          </w:tcPr>
          <w:p w14:paraId="74DDDF18" w14:textId="77777777" w:rsidR="00584EC1" w:rsidRDefault="00584EC1">
            <w:pPr>
              <w:rPr>
                <w:rFonts w:ascii="宋体"/>
                <w:vanish/>
              </w:rPr>
            </w:pPr>
          </w:p>
        </w:tc>
        <w:tc>
          <w:tcPr>
            <w:tcW w:w="0" w:type="auto"/>
            <w:gridSpan w:val="3"/>
            <w:shd w:val="clear" w:color="auto" w:fill="auto"/>
            <w:vAlign w:val="bottom"/>
          </w:tcPr>
          <w:p w14:paraId="74DDDF19" w14:textId="77777777" w:rsidR="00584EC1" w:rsidRDefault="00584EC1">
            <w:pPr>
              <w:rPr>
                <w:rFonts w:ascii="宋体"/>
                <w:vanish/>
              </w:rPr>
            </w:pPr>
          </w:p>
        </w:tc>
        <w:tc>
          <w:tcPr>
            <w:tcW w:w="0" w:type="auto"/>
            <w:gridSpan w:val="3"/>
            <w:shd w:val="clear" w:color="auto" w:fill="auto"/>
            <w:vAlign w:val="bottom"/>
          </w:tcPr>
          <w:p w14:paraId="74DDDF1A" w14:textId="77777777" w:rsidR="00584EC1" w:rsidRDefault="00584EC1">
            <w:pPr>
              <w:rPr>
                <w:rFonts w:ascii="宋体"/>
                <w:vanish/>
              </w:rPr>
            </w:pPr>
          </w:p>
        </w:tc>
        <w:tc>
          <w:tcPr>
            <w:tcW w:w="0" w:type="auto"/>
            <w:gridSpan w:val="3"/>
            <w:shd w:val="clear" w:color="auto" w:fill="auto"/>
            <w:vAlign w:val="bottom"/>
          </w:tcPr>
          <w:p w14:paraId="74DDDF1B" w14:textId="77777777" w:rsidR="00584EC1" w:rsidRDefault="00584EC1">
            <w:pPr>
              <w:rPr>
                <w:rFonts w:ascii="宋体"/>
                <w:vanish/>
              </w:rPr>
            </w:pPr>
          </w:p>
        </w:tc>
        <w:tc>
          <w:tcPr>
            <w:tcW w:w="0" w:type="auto"/>
            <w:gridSpan w:val="3"/>
            <w:shd w:val="clear" w:color="auto" w:fill="auto"/>
            <w:vAlign w:val="bottom"/>
          </w:tcPr>
          <w:p w14:paraId="74DDDF1C" w14:textId="77777777" w:rsidR="00584EC1" w:rsidRDefault="00584EC1">
            <w:pPr>
              <w:rPr>
                <w:rFonts w:ascii="宋体"/>
                <w:vanish/>
              </w:rPr>
            </w:pPr>
          </w:p>
        </w:tc>
        <w:tc>
          <w:tcPr>
            <w:tcW w:w="0" w:type="auto"/>
            <w:gridSpan w:val="3"/>
            <w:shd w:val="clear" w:color="auto" w:fill="auto"/>
            <w:vAlign w:val="bottom"/>
          </w:tcPr>
          <w:p w14:paraId="74DDDF1D" w14:textId="77777777" w:rsidR="00584EC1" w:rsidRDefault="00584EC1">
            <w:pPr>
              <w:rPr>
                <w:rFonts w:ascii="宋体"/>
                <w:vanish/>
              </w:rPr>
            </w:pPr>
          </w:p>
        </w:tc>
      </w:tr>
      <w:tr w:rsidR="00584EC1" w14:paraId="74DDDF33" w14:textId="77777777">
        <w:tc>
          <w:tcPr>
            <w:tcW w:w="0" w:type="auto"/>
            <w:gridSpan w:val="3"/>
            <w:shd w:val="clear" w:color="auto" w:fill="FFFFFF"/>
            <w:tcMar>
              <w:top w:w="40" w:type="dxa"/>
              <w:left w:w="20" w:type="dxa"/>
              <w:bottom w:w="40" w:type="dxa"/>
              <w:right w:w="20" w:type="dxa"/>
            </w:tcMar>
            <w:vAlign w:val="bottom"/>
          </w:tcPr>
          <w:p w14:paraId="74DDDF1F" w14:textId="77777777" w:rsidR="00584EC1" w:rsidRDefault="00871F8D">
            <w:pPr>
              <w:textAlignment w:val="bottom"/>
            </w:pPr>
            <w:r>
              <w:rPr>
                <w:rFonts w:ascii="Arial" w:eastAsia="宋体" w:hAnsi="Arial" w:cs="Arial"/>
                <w:color w:val="000000"/>
                <w:sz w:val="13"/>
                <w:szCs w:val="13"/>
              </w:rPr>
              <w:t>Asset-backed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DF20"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F21"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DF2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F23"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DF24"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F25"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DF26"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F27"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DF28"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F29"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DF2A"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F2B"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DF2C"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F2D"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DF2E"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F2F"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DF30"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DF31"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DF32" w14:textId="77777777" w:rsidR="00584EC1" w:rsidRDefault="00584EC1">
            <w:pPr>
              <w:rPr>
                <w:rFonts w:ascii="宋体"/>
              </w:rPr>
            </w:pPr>
          </w:p>
        </w:tc>
      </w:tr>
      <w:tr w:rsidR="00584EC1" w14:paraId="74DDDF52" w14:textId="77777777">
        <w:tc>
          <w:tcPr>
            <w:tcW w:w="0" w:type="auto"/>
            <w:gridSpan w:val="3"/>
            <w:shd w:val="clear" w:color="auto" w:fill="CCEEFF"/>
            <w:tcMar>
              <w:top w:w="40" w:type="dxa"/>
              <w:left w:w="245" w:type="dxa"/>
              <w:bottom w:w="40" w:type="dxa"/>
              <w:right w:w="20" w:type="dxa"/>
            </w:tcMar>
            <w:vAlign w:val="bottom"/>
          </w:tcPr>
          <w:p w14:paraId="74DDDF34" w14:textId="77777777" w:rsidR="00584EC1" w:rsidRDefault="00871F8D">
            <w:pPr>
              <w:textAlignment w:val="bottom"/>
            </w:pPr>
            <w:r>
              <w:rPr>
                <w:rFonts w:ascii="Arial" w:eastAsia="宋体" w:hAnsi="Arial" w:cs="Arial"/>
                <w:color w:val="000000"/>
                <w:sz w:val="13"/>
                <w:szCs w:val="13"/>
              </w:rPr>
              <w:t>Student loans</w:t>
            </w:r>
          </w:p>
        </w:tc>
        <w:tc>
          <w:tcPr>
            <w:tcW w:w="0" w:type="auto"/>
            <w:gridSpan w:val="2"/>
            <w:shd w:val="clear" w:color="auto" w:fill="CCEEFF"/>
            <w:tcMar>
              <w:top w:w="40" w:type="dxa"/>
              <w:left w:w="20" w:type="dxa"/>
              <w:bottom w:w="40" w:type="dxa"/>
              <w:right w:w="0" w:type="dxa"/>
            </w:tcMar>
            <w:vAlign w:val="bottom"/>
          </w:tcPr>
          <w:p w14:paraId="74DDDF35" w14:textId="77777777" w:rsidR="00584EC1" w:rsidRDefault="00871F8D">
            <w:pPr>
              <w:jc w:val="right"/>
              <w:textAlignment w:val="bottom"/>
            </w:pPr>
            <w:r>
              <w:rPr>
                <w:rFonts w:ascii="Arial" w:eastAsia="宋体" w:hAnsi="Arial" w:cs="Arial"/>
                <w:b/>
                <w:bCs/>
                <w:color w:val="000000"/>
                <w:sz w:val="13"/>
                <w:szCs w:val="13"/>
              </w:rPr>
              <w:t>349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F3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F3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F38" w14:textId="77777777" w:rsidR="00584EC1" w:rsidRDefault="00871F8D">
            <w:pPr>
              <w:jc w:val="right"/>
              <w:textAlignment w:val="bottom"/>
            </w:pPr>
            <w:r>
              <w:rPr>
                <w:rFonts w:ascii="Arial" w:eastAsia="宋体" w:hAnsi="Arial" w:cs="Arial"/>
                <w:b/>
                <w:bCs/>
                <w:color w:val="000000"/>
                <w:sz w:val="13"/>
                <w:szCs w:val="13"/>
              </w:rPr>
              <w:t>343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F3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F3A"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F3B" w14:textId="77777777" w:rsidR="00584EC1" w:rsidRDefault="00871F8D">
            <w:pPr>
              <w:jc w:val="right"/>
              <w:textAlignment w:val="bottom"/>
            </w:pPr>
            <w:r>
              <w:rPr>
                <w:rFonts w:ascii="Arial" w:eastAsia="宋体" w:hAnsi="Arial" w:cs="Arial"/>
                <w:b/>
                <w:bCs/>
                <w:color w:val="000000"/>
                <w:sz w:val="13"/>
                <w:szCs w:val="13"/>
              </w:rPr>
              <w:t>110</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F3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F3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F3E" w14:textId="77777777" w:rsidR="00584EC1" w:rsidRDefault="00871F8D">
            <w:pPr>
              <w:jc w:val="right"/>
              <w:textAlignment w:val="bottom"/>
            </w:pPr>
            <w:r>
              <w:rPr>
                <w:rFonts w:ascii="Arial" w:eastAsia="宋体" w:hAnsi="Arial" w:cs="Arial"/>
                <w:b/>
                <w:bCs/>
                <w:color w:val="000000"/>
                <w:sz w:val="13"/>
                <w:szCs w:val="13"/>
              </w:rPr>
              <w:t>109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F3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F4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F41" w14:textId="77777777" w:rsidR="00584EC1" w:rsidRDefault="00871F8D">
            <w:pPr>
              <w:jc w:val="right"/>
              <w:textAlignment w:val="bottom"/>
            </w:pPr>
            <w:r>
              <w:rPr>
                <w:rFonts w:ascii="Arial" w:eastAsia="宋体" w:hAnsi="Arial" w:cs="Arial"/>
                <w:b/>
                <w:bCs/>
                <w:color w:val="000000"/>
                <w:sz w:val="13"/>
                <w:szCs w:val="13"/>
              </w:rPr>
              <w:t>1,071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F4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F43"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F44" w14:textId="77777777" w:rsidR="00584EC1" w:rsidRDefault="00871F8D">
            <w:pPr>
              <w:jc w:val="right"/>
              <w:textAlignment w:val="bottom"/>
            </w:pPr>
            <w:r>
              <w:rPr>
                <w:rFonts w:ascii="Arial" w:eastAsia="宋体" w:hAnsi="Arial" w:cs="Arial"/>
                <w:b/>
                <w:bCs/>
                <w:color w:val="000000"/>
                <w:sz w:val="13"/>
                <w:szCs w:val="13"/>
              </w:rPr>
              <w:t>1,088</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F4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F4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F47" w14:textId="77777777" w:rsidR="00584EC1" w:rsidRDefault="00871F8D">
            <w:pPr>
              <w:jc w:val="right"/>
              <w:textAlignment w:val="bottom"/>
            </w:pPr>
            <w:r>
              <w:rPr>
                <w:rFonts w:ascii="Arial" w:eastAsia="宋体" w:hAnsi="Arial" w:cs="Arial"/>
                <w:b/>
                <w:bCs/>
                <w:color w:val="000000"/>
                <w:sz w:val="13"/>
                <w:szCs w:val="13"/>
              </w:rPr>
              <w:t>3,487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F4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F4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F4A" w14:textId="77777777" w:rsidR="00584EC1" w:rsidRDefault="00871F8D">
            <w:pPr>
              <w:jc w:val="right"/>
              <w:textAlignment w:val="bottom"/>
            </w:pPr>
            <w:r>
              <w:rPr>
                <w:rFonts w:ascii="Arial" w:eastAsia="宋体" w:hAnsi="Arial" w:cs="Arial"/>
                <w:b/>
                <w:bCs/>
                <w:color w:val="000000"/>
                <w:sz w:val="13"/>
                <w:szCs w:val="13"/>
              </w:rPr>
              <w:t>3,528</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F4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F4C"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F4D" w14:textId="77777777" w:rsidR="00584EC1" w:rsidRDefault="00871F8D">
            <w:pPr>
              <w:jc w:val="right"/>
              <w:textAlignment w:val="bottom"/>
            </w:pPr>
            <w:r>
              <w:rPr>
                <w:rFonts w:ascii="Arial" w:eastAsia="宋体" w:hAnsi="Arial" w:cs="Arial"/>
                <w:b/>
                <w:bCs/>
                <w:color w:val="000000"/>
                <w:sz w:val="13"/>
                <w:szCs w:val="13"/>
              </w:rPr>
              <w:t>5,017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F4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F4F"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DF50" w14:textId="77777777" w:rsidR="00584EC1" w:rsidRDefault="00871F8D">
            <w:pPr>
              <w:jc w:val="right"/>
              <w:textAlignment w:val="bottom"/>
            </w:pPr>
            <w:r>
              <w:rPr>
                <w:rFonts w:ascii="Arial" w:eastAsia="宋体" w:hAnsi="Arial" w:cs="Arial"/>
                <w:b/>
                <w:bCs/>
                <w:color w:val="000000"/>
                <w:sz w:val="13"/>
                <w:szCs w:val="13"/>
              </w:rPr>
              <w:t>5,068</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DF51" w14:textId="77777777" w:rsidR="00584EC1" w:rsidRDefault="00584EC1">
            <w:pPr>
              <w:jc w:val="right"/>
              <w:rPr>
                <w:rFonts w:ascii="宋体"/>
              </w:rPr>
            </w:pPr>
          </w:p>
        </w:tc>
      </w:tr>
      <w:tr w:rsidR="00584EC1" w14:paraId="74DDDF67" w14:textId="77777777">
        <w:trPr>
          <w:hidden/>
        </w:trPr>
        <w:tc>
          <w:tcPr>
            <w:tcW w:w="0" w:type="auto"/>
            <w:gridSpan w:val="3"/>
            <w:shd w:val="clear" w:color="auto" w:fill="auto"/>
            <w:vAlign w:val="bottom"/>
          </w:tcPr>
          <w:p w14:paraId="74DDDF53" w14:textId="77777777" w:rsidR="00584EC1" w:rsidRDefault="00584EC1">
            <w:pPr>
              <w:rPr>
                <w:rFonts w:ascii="宋体"/>
                <w:vanish/>
              </w:rPr>
            </w:pPr>
          </w:p>
        </w:tc>
        <w:tc>
          <w:tcPr>
            <w:tcW w:w="0" w:type="auto"/>
            <w:gridSpan w:val="3"/>
            <w:shd w:val="clear" w:color="auto" w:fill="auto"/>
            <w:vAlign w:val="bottom"/>
          </w:tcPr>
          <w:p w14:paraId="74DDDF54" w14:textId="77777777" w:rsidR="00584EC1" w:rsidRDefault="00584EC1">
            <w:pPr>
              <w:rPr>
                <w:rFonts w:ascii="宋体"/>
                <w:vanish/>
              </w:rPr>
            </w:pPr>
          </w:p>
        </w:tc>
        <w:tc>
          <w:tcPr>
            <w:tcW w:w="0" w:type="auto"/>
            <w:gridSpan w:val="3"/>
            <w:shd w:val="clear" w:color="auto" w:fill="auto"/>
            <w:vAlign w:val="bottom"/>
          </w:tcPr>
          <w:p w14:paraId="74DDDF55" w14:textId="77777777" w:rsidR="00584EC1" w:rsidRDefault="00584EC1">
            <w:pPr>
              <w:rPr>
                <w:rFonts w:ascii="宋体"/>
                <w:vanish/>
              </w:rPr>
            </w:pPr>
          </w:p>
        </w:tc>
        <w:tc>
          <w:tcPr>
            <w:tcW w:w="0" w:type="auto"/>
            <w:gridSpan w:val="3"/>
            <w:shd w:val="clear" w:color="auto" w:fill="auto"/>
            <w:vAlign w:val="bottom"/>
          </w:tcPr>
          <w:p w14:paraId="74DDDF56" w14:textId="77777777" w:rsidR="00584EC1" w:rsidRDefault="00584EC1">
            <w:pPr>
              <w:rPr>
                <w:rFonts w:ascii="宋体"/>
                <w:vanish/>
              </w:rPr>
            </w:pPr>
          </w:p>
        </w:tc>
        <w:tc>
          <w:tcPr>
            <w:tcW w:w="0" w:type="auto"/>
            <w:gridSpan w:val="3"/>
            <w:shd w:val="clear" w:color="auto" w:fill="auto"/>
            <w:vAlign w:val="bottom"/>
          </w:tcPr>
          <w:p w14:paraId="74DDDF57" w14:textId="77777777" w:rsidR="00584EC1" w:rsidRDefault="00584EC1">
            <w:pPr>
              <w:rPr>
                <w:rFonts w:ascii="宋体"/>
                <w:vanish/>
              </w:rPr>
            </w:pPr>
          </w:p>
        </w:tc>
        <w:tc>
          <w:tcPr>
            <w:tcW w:w="0" w:type="auto"/>
            <w:gridSpan w:val="3"/>
            <w:shd w:val="clear" w:color="auto" w:fill="auto"/>
            <w:vAlign w:val="bottom"/>
          </w:tcPr>
          <w:p w14:paraId="74DDDF58" w14:textId="77777777" w:rsidR="00584EC1" w:rsidRDefault="00584EC1">
            <w:pPr>
              <w:rPr>
                <w:rFonts w:ascii="宋体"/>
                <w:vanish/>
              </w:rPr>
            </w:pPr>
          </w:p>
        </w:tc>
        <w:tc>
          <w:tcPr>
            <w:tcW w:w="0" w:type="auto"/>
            <w:gridSpan w:val="3"/>
            <w:shd w:val="clear" w:color="auto" w:fill="auto"/>
            <w:vAlign w:val="bottom"/>
          </w:tcPr>
          <w:p w14:paraId="74DDDF59" w14:textId="77777777" w:rsidR="00584EC1" w:rsidRDefault="00584EC1">
            <w:pPr>
              <w:rPr>
                <w:rFonts w:ascii="宋体"/>
                <w:vanish/>
              </w:rPr>
            </w:pPr>
          </w:p>
        </w:tc>
        <w:tc>
          <w:tcPr>
            <w:tcW w:w="0" w:type="auto"/>
            <w:gridSpan w:val="3"/>
            <w:shd w:val="clear" w:color="auto" w:fill="auto"/>
            <w:vAlign w:val="bottom"/>
          </w:tcPr>
          <w:p w14:paraId="74DDDF5A" w14:textId="77777777" w:rsidR="00584EC1" w:rsidRDefault="00584EC1">
            <w:pPr>
              <w:rPr>
                <w:rFonts w:ascii="宋体"/>
                <w:vanish/>
              </w:rPr>
            </w:pPr>
          </w:p>
        </w:tc>
        <w:tc>
          <w:tcPr>
            <w:tcW w:w="0" w:type="auto"/>
            <w:gridSpan w:val="3"/>
            <w:shd w:val="clear" w:color="auto" w:fill="auto"/>
            <w:vAlign w:val="bottom"/>
          </w:tcPr>
          <w:p w14:paraId="74DDDF5B" w14:textId="77777777" w:rsidR="00584EC1" w:rsidRDefault="00584EC1">
            <w:pPr>
              <w:rPr>
                <w:rFonts w:ascii="宋体"/>
                <w:vanish/>
              </w:rPr>
            </w:pPr>
          </w:p>
        </w:tc>
        <w:tc>
          <w:tcPr>
            <w:tcW w:w="0" w:type="auto"/>
            <w:gridSpan w:val="3"/>
            <w:shd w:val="clear" w:color="auto" w:fill="auto"/>
            <w:vAlign w:val="bottom"/>
          </w:tcPr>
          <w:p w14:paraId="74DDDF5C" w14:textId="77777777" w:rsidR="00584EC1" w:rsidRDefault="00584EC1">
            <w:pPr>
              <w:rPr>
                <w:rFonts w:ascii="宋体"/>
                <w:vanish/>
              </w:rPr>
            </w:pPr>
          </w:p>
        </w:tc>
        <w:tc>
          <w:tcPr>
            <w:tcW w:w="0" w:type="auto"/>
            <w:gridSpan w:val="3"/>
            <w:shd w:val="clear" w:color="auto" w:fill="auto"/>
            <w:vAlign w:val="bottom"/>
          </w:tcPr>
          <w:p w14:paraId="74DDDF5D" w14:textId="77777777" w:rsidR="00584EC1" w:rsidRDefault="00584EC1">
            <w:pPr>
              <w:rPr>
                <w:rFonts w:ascii="宋体"/>
                <w:vanish/>
              </w:rPr>
            </w:pPr>
          </w:p>
        </w:tc>
        <w:tc>
          <w:tcPr>
            <w:tcW w:w="0" w:type="auto"/>
            <w:gridSpan w:val="3"/>
            <w:shd w:val="clear" w:color="auto" w:fill="auto"/>
            <w:vAlign w:val="bottom"/>
          </w:tcPr>
          <w:p w14:paraId="74DDDF5E" w14:textId="77777777" w:rsidR="00584EC1" w:rsidRDefault="00584EC1">
            <w:pPr>
              <w:rPr>
                <w:rFonts w:ascii="宋体"/>
                <w:vanish/>
              </w:rPr>
            </w:pPr>
          </w:p>
        </w:tc>
        <w:tc>
          <w:tcPr>
            <w:tcW w:w="0" w:type="auto"/>
            <w:gridSpan w:val="3"/>
            <w:shd w:val="clear" w:color="auto" w:fill="auto"/>
            <w:vAlign w:val="bottom"/>
          </w:tcPr>
          <w:p w14:paraId="74DDDF5F" w14:textId="77777777" w:rsidR="00584EC1" w:rsidRDefault="00584EC1">
            <w:pPr>
              <w:rPr>
                <w:rFonts w:ascii="宋体"/>
                <w:vanish/>
              </w:rPr>
            </w:pPr>
          </w:p>
        </w:tc>
        <w:tc>
          <w:tcPr>
            <w:tcW w:w="0" w:type="auto"/>
            <w:gridSpan w:val="3"/>
            <w:shd w:val="clear" w:color="auto" w:fill="auto"/>
            <w:vAlign w:val="bottom"/>
          </w:tcPr>
          <w:p w14:paraId="74DDDF60" w14:textId="77777777" w:rsidR="00584EC1" w:rsidRDefault="00584EC1">
            <w:pPr>
              <w:rPr>
                <w:rFonts w:ascii="宋体"/>
                <w:vanish/>
              </w:rPr>
            </w:pPr>
          </w:p>
        </w:tc>
        <w:tc>
          <w:tcPr>
            <w:tcW w:w="0" w:type="auto"/>
            <w:gridSpan w:val="3"/>
            <w:shd w:val="clear" w:color="auto" w:fill="auto"/>
            <w:vAlign w:val="bottom"/>
          </w:tcPr>
          <w:p w14:paraId="74DDDF61" w14:textId="77777777" w:rsidR="00584EC1" w:rsidRDefault="00584EC1">
            <w:pPr>
              <w:rPr>
                <w:rFonts w:ascii="宋体"/>
                <w:vanish/>
              </w:rPr>
            </w:pPr>
          </w:p>
        </w:tc>
        <w:tc>
          <w:tcPr>
            <w:tcW w:w="0" w:type="auto"/>
            <w:gridSpan w:val="3"/>
            <w:shd w:val="clear" w:color="auto" w:fill="auto"/>
            <w:vAlign w:val="bottom"/>
          </w:tcPr>
          <w:p w14:paraId="74DDDF62" w14:textId="77777777" w:rsidR="00584EC1" w:rsidRDefault="00584EC1">
            <w:pPr>
              <w:rPr>
                <w:rFonts w:ascii="宋体"/>
                <w:vanish/>
              </w:rPr>
            </w:pPr>
          </w:p>
        </w:tc>
        <w:tc>
          <w:tcPr>
            <w:tcW w:w="0" w:type="auto"/>
            <w:gridSpan w:val="3"/>
            <w:shd w:val="clear" w:color="auto" w:fill="auto"/>
            <w:vAlign w:val="bottom"/>
          </w:tcPr>
          <w:p w14:paraId="74DDDF63" w14:textId="77777777" w:rsidR="00584EC1" w:rsidRDefault="00584EC1">
            <w:pPr>
              <w:rPr>
                <w:rFonts w:ascii="宋体"/>
                <w:vanish/>
              </w:rPr>
            </w:pPr>
          </w:p>
        </w:tc>
        <w:tc>
          <w:tcPr>
            <w:tcW w:w="0" w:type="auto"/>
            <w:gridSpan w:val="3"/>
            <w:shd w:val="clear" w:color="auto" w:fill="auto"/>
            <w:vAlign w:val="bottom"/>
          </w:tcPr>
          <w:p w14:paraId="74DDDF64" w14:textId="77777777" w:rsidR="00584EC1" w:rsidRDefault="00584EC1">
            <w:pPr>
              <w:rPr>
                <w:rFonts w:ascii="宋体"/>
                <w:vanish/>
              </w:rPr>
            </w:pPr>
          </w:p>
        </w:tc>
        <w:tc>
          <w:tcPr>
            <w:tcW w:w="0" w:type="auto"/>
            <w:gridSpan w:val="3"/>
            <w:shd w:val="clear" w:color="auto" w:fill="auto"/>
            <w:vAlign w:val="bottom"/>
          </w:tcPr>
          <w:p w14:paraId="74DDDF65" w14:textId="77777777" w:rsidR="00584EC1" w:rsidRDefault="00584EC1">
            <w:pPr>
              <w:rPr>
                <w:rFonts w:ascii="宋体"/>
                <w:vanish/>
              </w:rPr>
            </w:pPr>
          </w:p>
        </w:tc>
        <w:tc>
          <w:tcPr>
            <w:tcW w:w="0" w:type="auto"/>
            <w:gridSpan w:val="3"/>
            <w:shd w:val="clear" w:color="auto" w:fill="auto"/>
            <w:vAlign w:val="bottom"/>
          </w:tcPr>
          <w:p w14:paraId="74DDDF66" w14:textId="77777777" w:rsidR="00584EC1" w:rsidRDefault="00584EC1">
            <w:pPr>
              <w:rPr>
                <w:rFonts w:ascii="宋体"/>
                <w:vanish/>
              </w:rPr>
            </w:pPr>
          </w:p>
        </w:tc>
      </w:tr>
      <w:tr w:rsidR="00584EC1" w14:paraId="74DDDF86" w14:textId="77777777">
        <w:tc>
          <w:tcPr>
            <w:tcW w:w="0" w:type="auto"/>
            <w:gridSpan w:val="3"/>
            <w:shd w:val="clear" w:color="auto" w:fill="FFFFFF"/>
            <w:tcMar>
              <w:top w:w="40" w:type="dxa"/>
              <w:left w:w="245" w:type="dxa"/>
              <w:bottom w:w="40" w:type="dxa"/>
              <w:right w:w="20" w:type="dxa"/>
            </w:tcMar>
            <w:vAlign w:val="bottom"/>
          </w:tcPr>
          <w:p w14:paraId="74DDDF68" w14:textId="77777777" w:rsidR="00584EC1" w:rsidRDefault="00871F8D">
            <w:pPr>
              <w:textAlignment w:val="bottom"/>
            </w:pPr>
            <w:r>
              <w:rPr>
                <w:rFonts w:ascii="Arial" w:eastAsia="宋体" w:hAnsi="Arial" w:cs="Arial"/>
                <w:color w:val="000000"/>
                <w:sz w:val="13"/>
                <w:szCs w:val="13"/>
              </w:rPr>
              <w:t>Non-agency CMBS and RMBS</w:t>
            </w:r>
          </w:p>
        </w:tc>
        <w:tc>
          <w:tcPr>
            <w:tcW w:w="0" w:type="auto"/>
            <w:gridSpan w:val="2"/>
            <w:shd w:val="clear" w:color="auto" w:fill="FFFFFF"/>
            <w:tcMar>
              <w:top w:w="40" w:type="dxa"/>
              <w:left w:w="20" w:type="dxa"/>
              <w:bottom w:w="40" w:type="dxa"/>
              <w:right w:w="0" w:type="dxa"/>
            </w:tcMar>
            <w:vAlign w:val="bottom"/>
          </w:tcPr>
          <w:p w14:paraId="74DDDF69" w14:textId="77777777" w:rsidR="00584EC1" w:rsidRDefault="00871F8D">
            <w:pPr>
              <w:jc w:val="right"/>
              <w:textAlignment w:val="bottom"/>
            </w:pPr>
            <w:r>
              <w:rPr>
                <w:rFonts w:ascii="Arial" w:eastAsia="宋体" w:hAnsi="Arial" w:cs="Arial"/>
                <w:b/>
                <w:bCs/>
                <w:color w:val="000000"/>
                <w:sz w:val="13"/>
                <w:szCs w:val="13"/>
              </w:rPr>
              <w:t>127</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F6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F6B"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F6C" w14:textId="77777777" w:rsidR="00584EC1" w:rsidRDefault="00871F8D">
            <w:pPr>
              <w:jc w:val="right"/>
              <w:textAlignment w:val="bottom"/>
            </w:pPr>
            <w:r>
              <w:rPr>
                <w:rFonts w:ascii="Arial" w:eastAsia="宋体" w:hAnsi="Arial" w:cs="Arial"/>
                <w:b/>
                <w:bCs/>
                <w:color w:val="000000"/>
                <w:sz w:val="13"/>
                <w:szCs w:val="13"/>
              </w:rPr>
              <w:t>140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F6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F6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F6F" w14:textId="77777777" w:rsidR="00584EC1" w:rsidRDefault="00871F8D">
            <w:pPr>
              <w:jc w:val="right"/>
              <w:textAlignment w:val="bottom"/>
            </w:pPr>
            <w:r>
              <w:rPr>
                <w:rFonts w:ascii="Arial" w:eastAsia="宋体" w:hAnsi="Arial" w:cs="Arial"/>
                <w:b/>
                <w:bCs/>
                <w:color w:val="000000"/>
                <w:sz w:val="13"/>
                <w:szCs w:val="13"/>
              </w:rPr>
              <w:t>158</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F7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F7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F72" w14:textId="77777777" w:rsidR="00584EC1" w:rsidRDefault="00871F8D">
            <w:pPr>
              <w:jc w:val="right"/>
              <w:textAlignment w:val="bottom"/>
            </w:pPr>
            <w:r>
              <w:rPr>
                <w:rFonts w:ascii="Arial" w:eastAsia="宋体" w:hAnsi="Arial" w:cs="Arial"/>
                <w:b/>
                <w:bCs/>
                <w:color w:val="000000"/>
                <w:sz w:val="13"/>
                <w:szCs w:val="13"/>
              </w:rPr>
              <w:t>160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F7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F7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F75" w14:textId="77777777" w:rsidR="00584EC1" w:rsidRDefault="00871F8D">
            <w:pPr>
              <w:jc w:val="right"/>
              <w:textAlignment w:val="bottom"/>
            </w:pPr>
            <w:r>
              <w:rPr>
                <w:rFonts w:ascii="Arial" w:eastAsia="宋体" w:hAnsi="Arial" w:cs="Arial"/>
                <w:b/>
                <w:bCs/>
                <w:color w:val="000000"/>
                <w:sz w:val="13"/>
                <w:szCs w:val="13"/>
              </w:rPr>
              <w:t>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F7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F7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F78" w14:textId="77777777" w:rsidR="00584EC1" w:rsidRDefault="00871F8D">
            <w:pPr>
              <w:jc w:val="right"/>
              <w:textAlignment w:val="bottom"/>
            </w:pPr>
            <w:r>
              <w:rPr>
                <w:rFonts w:ascii="Arial" w:eastAsia="宋体" w:hAnsi="Arial" w:cs="Arial"/>
                <w:b/>
                <w:bCs/>
                <w:color w:val="000000"/>
                <w:sz w:val="13"/>
                <w:szCs w:val="13"/>
              </w:rPr>
              <w:t>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F7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F7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F7B" w14:textId="77777777" w:rsidR="00584EC1" w:rsidRDefault="00871F8D">
            <w:pPr>
              <w:jc w:val="right"/>
              <w:textAlignment w:val="bottom"/>
            </w:pPr>
            <w:r>
              <w:rPr>
                <w:rFonts w:ascii="Arial" w:eastAsia="宋体" w:hAnsi="Arial" w:cs="Arial"/>
                <w:b/>
                <w:bCs/>
                <w:color w:val="000000"/>
                <w:sz w:val="13"/>
                <w:szCs w:val="13"/>
              </w:rPr>
              <w:t>93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F7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F7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F7E" w14:textId="77777777" w:rsidR="00584EC1" w:rsidRDefault="00871F8D">
            <w:pPr>
              <w:jc w:val="right"/>
              <w:textAlignment w:val="bottom"/>
            </w:pPr>
            <w:r>
              <w:rPr>
                <w:rFonts w:ascii="Arial" w:eastAsia="宋体" w:hAnsi="Arial" w:cs="Arial"/>
                <w:b/>
                <w:bCs/>
                <w:color w:val="000000"/>
                <w:sz w:val="13"/>
                <w:szCs w:val="13"/>
              </w:rPr>
              <w:t>109</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F7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F8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F81" w14:textId="77777777" w:rsidR="00584EC1" w:rsidRDefault="00871F8D">
            <w:pPr>
              <w:jc w:val="right"/>
              <w:textAlignment w:val="bottom"/>
            </w:pPr>
            <w:r>
              <w:rPr>
                <w:rFonts w:ascii="Arial" w:eastAsia="宋体" w:hAnsi="Arial" w:cs="Arial"/>
                <w:b/>
                <w:bCs/>
                <w:color w:val="000000"/>
                <w:sz w:val="13"/>
                <w:szCs w:val="13"/>
              </w:rPr>
              <w:t>380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F8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F8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DF84" w14:textId="77777777" w:rsidR="00584EC1" w:rsidRDefault="00871F8D">
            <w:pPr>
              <w:jc w:val="right"/>
              <w:textAlignment w:val="bottom"/>
            </w:pPr>
            <w:r>
              <w:rPr>
                <w:rFonts w:ascii="Arial" w:eastAsia="宋体" w:hAnsi="Arial" w:cs="Arial"/>
                <w:b/>
                <w:bCs/>
                <w:color w:val="000000"/>
                <w:sz w:val="13"/>
                <w:szCs w:val="13"/>
              </w:rPr>
              <w:t>411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DF85" w14:textId="77777777" w:rsidR="00584EC1" w:rsidRDefault="00584EC1">
            <w:pPr>
              <w:jc w:val="right"/>
              <w:rPr>
                <w:rFonts w:ascii="宋体"/>
              </w:rPr>
            </w:pPr>
          </w:p>
        </w:tc>
      </w:tr>
      <w:tr w:rsidR="00584EC1" w14:paraId="74DDDFA5" w14:textId="77777777">
        <w:tc>
          <w:tcPr>
            <w:tcW w:w="0" w:type="auto"/>
            <w:gridSpan w:val="3"/>
            <w:shd w:val="clear" w:color="auto" w:fill="CCEEFF"/>
            <w:tcMar>
              <w:top w:w="40" w:type="dxa"/>
              <w:left w:w="395" w:type="dxa"/>
              <w:bottom w:w="40" w:type="dxa"/>
              <w:right w:w="20" w:type="dxa"/>
            </w:tcMar>
            <w:vAlign w:val="bottom"/>
          </w:tcPr>
          <w:p w14:paraId="74DDDF87" w14:textId="77777777" w:rsidR="00584EC1" w:rsidRDefault="00871F8D">
            <w:pPr>
              <w:textAlignment w:val="bottom"/>
            </w:pPr>
            <w:r>
              <w:rPr>
                <w:rFonts w:ascii="Arial" w:eastAsia="宋体" w:hAnsi="Arial" w:cs="Arial"/>
                <w:color w:val="000000"/>
                <w:sz w:val="13"/>
                <w:szCs w:val="13"/>
              </w:rPr>
              <w:t>Total asset-backed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F88" w14:textId="77777777" w:rsidR="00584EC1" w:rsidRDefault="00871F8D">
            <w:pPr>
              <w:jc w:val="right"/>
              <w:textAlignment w:val="bottom"/>
            </w:pPr>
            <w:r>
              <w:rPr>
                <w:rFonts w:ascii="Arial" w:eastAsia="宋体" w:hAnsi="Arial" w:cs="Arial"/>
                <w:b/>
                <w:bCs/>
                <w:color w:val="000000"/>
                <w:sz w:val="13"/>
                <w:szCs w:val="13"/>
              </w:rPr>
              <w:t>476</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F8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F8A"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F8B" w14:textId="77777777" w:rsidR="00584EC1" w:rsidRDefault="00871F8D">
            <w:pPr>
              <w:jc w:val="right"/>
              <w:textAlignment w:val="bottom"/>
            </w:pPr>
            <w:r>
              <w:rPr>
                <w:rFonts w:ascii="Arial" w:eastAsia="宋体" w:hAnsi="Arial" w:cs="Arial"/>
                <w:b/>
                <w:bCs/>
                <w:color w:val="000000"/>
                <w:sz w:val="13"/>
                <w:szCs w:val="13"/>
              </w:rPr>
              <w:t>483</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F8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F8D"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F8E" w14:textId="77777777" w:rsidR="00584EC1" w:rsidRDefault="00871F8D">
            <w:pPr>
              <w:jc w:val="right"/>
              <w:textAlignment w:val="bottom"/>
            </w:pPr>
            <w:r>
              <w:rPr>
                <w:rFonts w:ascii="Arial" w:eastAsia="宋体" w:hAnsi="Arial" w:cs="Arial"/>
                <w:b/>
                <w:bCs/>
                <w:color w:val="000000"/>
                <w:sz w:val="13"/>
                <w:szCs w:val="13"/>
              </w:rPr>
              <w:t>268</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F8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F90"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F91" w14:textId="77777777" w:rsidR="00584EC1" w:rsidRDefault="00871F8D">
            <w:pPr>
              <w:jc w:val="right"/>
              <w:textAlignment w:val="bottom"/>
            </w:pPr>
            <w:r>
              <w:rPr>
                <w:rFonts w:ascii="Arial" w:eastAsia="宋体" w:hAnsi="Arial" w:cs="Arial"/>
                <w:b/>
                <w:bCs/>
                <w:color w:val="000000"/>
                <w:sz w:val="13"/>
                <w:szCs w:val="13"/>
              </w:rPr>
              <w:t>269</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F9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F93"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F94" w14:textId="77777777" w:rsidR="00584EC1" w:rsidRDefault="00871F8D">
            <w:pPr>
              <w:jc w:val="right"/>
              <w:textAlignment w:val="bottom"/>
            </w:pPr>
            <w:r>
              <w:rPr>
                <w:rFonts w:ascii="Arial" w:eastAsia="宋体" w:hAnsi="Arial" w:cs="Arial"/>
                <w:b/>
                <w:bCs/>
                <w:color w:val="000000"/>
                <w:sz w:val="13"/>
                <w:szCs w:val="13"/>
              </w:rPr>
              <w:t>1,073</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F9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F96"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F97" w14:textId="77777777" w:rsidR="00584EC1" w:rsidRDefault="00871F8D">
            <w:pPr>
              <w:jc w:val="right"/>
              <w:textAlignment w:val="bottom"/>
            </w:pPr>
            <w:r>
              <w:rPr>
                <w:rFonts w:ascii="Arial" w:eastAsia="宋体" w:hAnsi="Arial" w:cs="Arial"/>
                <w:b/>
                <w:bCs/>
                <w:color w:val="000000"/>
                <w:sz w:val="13"/>
                <w:szCs w:val="13"/>
              </w:rPr>
              <w:t>1,090</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F9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F99"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F9A" w14:textId="77777777" w:rsidR="00584EC1" w:rsidRDefault="00871F8D">
            <w:pPr>
              <w:jc w:val="right"/>
              <w:textAlignment w:val="bottom"/>
            </w:pPr>
            <w:r>
              <w:rPr>
                <w:rFonts w:ascii="Arial" w:eastAsia="宋体" w:hAnsi="Arial" w:cs="Arial"/>
                <w:b/>
                <w:bCs/>
                <w:color w:val="000000"/>
                <w:sz w:val="13"/>
                <w:szCs w:val="13"/>
              </w:rPr>
              <w:t>3,580</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F9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F9C"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F9D" w14:textId="77777777" w:rsidR="00584EC1" w:rsidRDefault="00871F8D">
            <w:pPr>
              <w:jc w:val="right"/>
              <w:textAlignment w:val="bottom"/>
            </w:pPr>
            <w:r>
              <w:rPr>
                <w:rFonts w:ascii="Arial" w:eastAsia="宋体" w:hAnsi="Arial" w:cs="Arial"/>
                <w:b/>
                <w:bCs/>
                <w:color w:val="000000"/>
                <w:sz w:val="13"/>
                <w:szCs w:val="13"/>
              </w:rPr>
              <w:t>3,637</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F9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F9F"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FA0" w14:textId="77777777" w:rsidR="00584EC1" w:rsidRDefault="00871F8D">
            <w:pPr>
              <w:jc w:val="right"/>
              <w:textAlignment w:val="bottom"/>
            </w:pPr>
            <w:r>
              <w:rPr>
                <w:rFonts w:ascii="Arial" w:eastAsia="宋体" w:hAnsi="Arial" w:cs="Arial"/>
                <w:b/>
                <w:bCs/>
                <w:color w:val="000000"/>
                <w:sz w:val="13"/>
                <w:szCs w:val="13"/>
              </w:rPr>
              <w:t>5,397</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FA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DFA2"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DFA3" w14:textId="77777777" w:rsidR="00584EC1" w:rsidRDefault="00871F8D">
            <w:pPr>
              <w:jc w:val="right"/>
              <w:textAlignment w:val="bottom"/>
            </w:pPr>
            <w:r>
              <w:rPr>
                <w:rFonts w:ascii="Arial" w:eastAsia="宋体" w:hAnsi="Arial" w:cs="Arial"/>
                <w:b/>
                <w:bCs/>
                <w:color w:val="000000"/>
                <w:sz w:val="13"/>
                <w:szCs w:val="13"/>
              </w:rPr>
              <w:t>5,479</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DFA4" w14:textId="77777777" w:rsidR="00584EC1" w:rsidRDefault="00584EC1">
            <w:pPr>
              <w:jc w:val="right"/>
              <w:rPr>
                <w:rFonts w:ascii="宋体"/>
              </w:rPr>
            </w:pPr>
          </w:p>
        </w:tc>
      </w:tr>
      <w:tr w:rsidR="00871F8D" w14:paraId="74DDDFCE" w14:textId="77777777">
        <w:tc>
          <w:tcPr>
            <w:tcW w:w="0" w:type="auto"/>
            <w:gridSpan w:val="3"/>
            <w:shd w:val="clear" w:color="auto" w:fill="FFFFFF"/>
            <w:tcMar>
              <w:top w:w="40" w:type="dxa"/>
              <w:left w:w="20" w:type="dxa"/>
              <w:bottom w:w="40" w:type="dxa"/>
              <w:right w:w="20" w:type="dxa"/>
            </w:tcMar>
            <w:vAlign w:val="bottom"/>
          </w:tcPr>
          <w:p w14:paraId="74DDDFA6" w14:textId="77777777" w:rsidR="00584EC1" w:rsidRDefault="00871F8D">
            <w:pPr>
              <w:textAlignment w:val="bottom"/>
            </w:pPr>
            <w:r>
              <w:rPr>
                <w:rFonts w:ascii="Arial" w:eastAsia="宋体" w:hAnsi="Arial" w:cs="Arial"/>
                <w:color w:val="000000"/>
                <w:sz w:val="13"/>
                <w:szCs w:val="13"/>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DFA7" w14:textId="77777777" w:rsidR="00584EC1" w:rsidRDefault="00871F8D">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DFA8" w14:textId="77777777" w:rsidR="00584EC1" w:rsidRDefault="00871F8D">
            <w:pPr>
              <w:jc w:val="right"/>
              <w:textAlignment w:val="bottom"/>
            </w:pPr>
            <w:r>
              <w:rPr>
                <w:rFonts w:ascii="Arial" w:eastAsia="宋体" w:hAnsi="Arial" w:cs="Arial"/>
                <w:b/>
                <w:bCs/>
                <w:color w:val="000000"/>
                <w:sz w:val="13"/>
                <w:szCs w:val="13"/>
              </w:rPr>
              <w:t>3,347</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DFA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FAA"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DFAB" w14:textId="77777777" w:rsidR="00584EC1" w:rsidRDefault="00871F8D">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DFAC" w14:textId="77777777" w:rsidR="00584EC1" w:rsidRDefault="00871F8D">
            <w:pPr>
              <w:jc w:val="right"/>
              <w:textAlignment w:val="bottom"/>
            </w:pPr>
            <w:r>
              <w:rPr>
                <w:rFonts w:ascii="Arial" w:eastAsia="宋体" w:hAnsi="Arial" w:cs="Arial"/>
                <w:b/>
                <w:bCs/>
                <w:color w:val="000000"/>
                <w:sz w:val="13"/>
                <w:szCs w:val="13"/>
              </w:rPr>
              <w:t>3,375</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DFA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FAE"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DFAF" w14:textId="77777777" w:rsidR="00584EC1" w:rsidRDefault="00871F8D">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DFB0" w14:textId="77777777" w:rsidR="00584EC1" w:rsidRDefault="00871F8D">
            <w:pPr>
              <w:jc w:val="right"/>
              <w:textAlignment w:val="bottom"/>
            </w:pPr>
            <w:r>
              <w:rPr>
                <w:rFonts w:ascii="Arial" w:eastAsia="宋体" w:hAnsi="Arial" w:cs="Arial"/>
                <w:b/>
                <w:bCs/>
                <w:color w:val="000000"/>
                <w:sz w:val="13"/>
                <w:szCs w:val="13"/>
              </w:rPr>
              <w:t>2,107</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DFB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FB2"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DFB3" w14:textId="77777777" w:rsidR="00584EC1" w:rsidRDefault="00871F8D">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DFB4" w14:textId="77777777" w:rsidR="00584EC1" w:rsidRDefault="00871F8D">
            <w:pPr>
              <w:jc w:val="right"/>
              <w:textAlignment w:val="bottom"/>
            </w:pPr>
            <w:r>
              <w:rPr>
                <w:rFonts w:ascii="Arial" w:eastAsia="宋体" w:hAnsi="Arial" w:cs="Arial"/>
                <w:b/>
                <w:bCs/>
                <w:color w:val="000000"/>
                <w:sz w:val="13"/>
                <w:szCs w:val="13"/>
              </w:rPr>
              <w:t>2,115</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DFB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FB6"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DFB7" w14:textId="77777777" w:rsidR="00584EC1" w:rsidRDefault="00871F8D">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DFB8" w14:textId="77777777" w:rsidR="00584EC1" w:rsidRDefault="00871F8D">
            <w:pPr>
              <w:jc w:val="right"/>
              <w:textAlignment w:val="bottom"/>
            </w:pPr>
            <w:r>
              <w:rPr>
                <w:rFonts w:ascii="Arial" w:eastAsia="宋体" w:hAnsi="Arial" w:cs="Arial"/>
                <w:b/>
                <w:bCs/>
                <w:color w:val="000000"/>
                <w:sz w:val="13"/>
                <w:szCs w:val="13"/>
              </w:rPr>
              <w:t>5,602</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DFB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FBA"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DFBB" w14:textId="77777777" w:rsidR="00584EC1" w:rsidRDefault="00871F8D">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DFBC" w14:textId="77777777" w:rsidR="00584EC1" w:rsidRDefault="00871F8D">
            <w:pPr>
              <w:jc w:val="right"/>
              <w:textAlignment w:val="bottom"/>
            </w:pPr>
            <w:r>
              <w:rPr>
                <w:rFonts w:ascii="Arial" w:eastAsia="宋体" w:hAnsi="Arial" w:cs="Arial"/>
                <w:b/>
                <w:bCs/>
                <w:color w:val="000000"/>
                <w:sz w:val="13"/>
                <w:szCs w:val="13"/>
              </w:rPr>
              <w:t>5,600</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DFB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FBE"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DFBF" w14:textId="77777777" w:rsidR="00584EC1" w:rsidRDefault="00871F8D">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DFC0" w14:textId="77777777" w:rsidR="00584EC1" w:rsidRDefault="00871F8D">
            <w:pPr>
              <w:jc w:val="right"/>
              <w:textAlignment w:val="bottom"/>
            </w:pPr>
            <w:r>
              <w:rPr>
                <w:rFonts w:ascii="Arial" w:eastAsia="宋体" w:hAnsi="Arial" w:cs="Arial"/>
                <w:b/>
                <w:bCs/>
                <w:color w:val="000000"/>
                <w:sz w:val="13"/>
                <w:szCs w:val="13"/>
              </w:rPr>
              <w:t>32,292</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DFC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FC2"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DFC3" w14:textId="77777777" w:rsidR="00584EC1" w:rsidRDefault="00871F8D">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DFC4" w14:textId="77777777" w:rsidR="00584EC1" w:rsidRDefault="00871F8D">
            <w:pPr>
              <w:jc w:val="right"/>
              <w:textAlignment w:val="bottom"/>
            </w:pPr>
            <w:r>
              <w:rPr>
                <w:rFonts w:ascii="Arial" w:eastAsia="宋体" w:hAnsi="Arial" w:cs="Arial"/>
                <w:b/>
                <w:bCs/>
                <w:color w:val="000000"/>
                <w:sz w:val="13"/>
                <w:szCs w:val="13"/>
              </w:rPr>
              <w:t>32,638</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DFC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FC6"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DFC7" w14:textId="77777777" w:rsidR="00584EC1" w:rsidRDefault="00871F8D">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DFC8" w14:textId="77777777" w:rsidR="00584EC1" w:rsidRDefault="00871F8D">
            <w:pPr>
              <w:jc w:val="right"/>
              <w:textAlignment w:val="bottom"/>
            </w:pPr>
            <w:r>
              <w:rPr>
                <w:rFonts w:ascii="Arial" w:eastAsia="宋体" w:hAnsi="Arial" w:cs="Arial"/>
                <w:b/>
                <w:bCs/>
                <w:color w:val="000000"/>
                <w:sz w:val="13"/>
                <w:szCs w:val="13"/>
              </w:rPr>
              <w:t>43,348</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DFC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DFCA"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DFCB" w14:textId="77777777" w:rsidR="00584EC1" w:rsidRDefault="00871F8D">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DFCC" w14:textId="77777777" w:rsidR="00584EC1" w:rsidRDefault="00871F8D">
            <w:pPr>
              <w:jc w:val="right"/>
              <w:textAlignment w:val="bottom"/>
            </w:pPr>
            <w:r>
              <w:rPr>
                <w:rFonts w:ascii="Arial" w:eastAsia="宋体" w:hAnsi="Arial" w:cs="Arial"/>
                <w:b/>
                <w:bCs/>
                <w:color w:val="000000"/>
                <w:sz w:val="13"/>
                <w:szCs w:val="13"/>
              </w:rPr>
              <w:t>43,728</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DFCD" w14:textId="77777777" w:rsidR="00584EC1" w:rsidRDefault="00584EC1">
            <w:pPr>
              <w:jc w:val="right"/>
              <w:rPr>
                <w:rFonts w:ascii="宋体"/>
              </w:rPr>
            </w:pPr>
          </w:p>
        </w:tc>
      </w:tr>
      <w:tr w:rsidR="00584EC1" w14:paraId="74DDDFE3" w14:textId="77777777">
        <w:trPr>
          <w:hidden/>
        </w:trPr>
        <w:tc>
          <w:tcPr>
            <w:tcW w:w="0" w:type="auto"/>
            <w:gridSpan w:val="3"/>
            <w:shd w:val="clear" w:color="auto" w:fill="auto"/>
            <w:vAlign w:val="bottom"/>
          </w:tcPr>
          <w:p w14:paraId="74DDDFCF" w14:textId="77777777" w:rsidR="00584EC1" w:rsidRDefault="00584EC1">
            <w:pPr>
              <w:rPr>
                <w:rFonts w:ascii="宋体"/>
                <w:vanish/>
              </w:rPr>
            </w:pPr>
          </w:p>
        </w:tc>
        <w:tc>
          <w:tcPr>
            <w:tcW w:w="0" w:type="auto"/>
            <w:gridSpan w:val="3"/>
            <w:shd w:val="clear" w:color="auto" w:fill="auto"/>
            <w:vAlign w:val="bottom"/>
          </w:tcPr>
          <w:p w14:paraId="74DDDFD0" w14:textId="77777777" w:rsidR="00584EC1" w:rsidRDefault="00584EC1">
            <w:pPr>
              <w:rPr>
                <w:rFonts w:ascii="宋体"/>
                <w:vanish/>
              </w:rPr>
            </w:pPr>
          </w:p>
        </w:tc>
        <w:tc>
          <w:tcPr>
            <w:tcW w:w="0" w:type="auto"/>
            <w:gridSpan w:val="3"/>
            <w:shd w:val="clear" w:color="auto" w:fill="auto"/>
            <w:vAlign w:val="bottom"/>
          </w:tcPr>
          <w:p w14:paraId="74DDDFD1" w14:textId="77777777" w:rsidR="00584EC1" w:rsidRDefault="00584EC1">
            <w:pPr>
              <w:rPr>
                <w:rFonts w:ascii="宋体"/>
                <w:vanish/>
              </w:rPr>
            </w:pPr>
          </w:p>
        </w:tc>
        <w:tc>
          <w:tcPr>
            <w:tcW w:w="0" w:type="auto"/>
            <w:gridSpan w:val="3"/>
            <w:shd w:val="clear" w:color="auto" w:fill="auto"/>
            <w:vAlign w:val="bottom"/>
          </w:tcPr>
          <w:p w14:paraId="74DDDFD2" w14:textId="77777777" w:rsidR="00584EC1" w:rsidRDefault="00584EC1">
            <w:pPr>
              <w:rPr>
                <w:rFonts w:ascii="宋体"/>
                <w:vanish/>
              </w:rPr>
            </w:pPr>
          </w:p>
        </w:tc>
        <w:tc>
          <w:tcPr>
            <w:tcW w:w="0" w:type="auto"/>
            <w:gridSpan w:val="3"/>
            <w:shd w:val="clear" w:color="auto" w:fill="auto"/>
            <w:vAlign w:val="bottom"/>
          </w:tcPr>
          <w:p w14:paraId="74DDDFD3" w14:textId="77777777" w:rsidR="00584EC1" w:rsidRDefault="00584EC1">
            <w:pPr>
              <w:rPr>
                <w:rFonts w:ascii="宋体"/>
                <w:vanish/>
              </w:rPr>
            </w:pPr>
          </w:p>
        </w:tc>
        <w:tc>
          <w:tcPr>
            <w:tcW w:w="0" w:type="auto"/>
            <w:gridSpan w:val="3"/>
            <w:shd w:val="clear" w:color="auto" w:fill="auto"/>
            <w:vAlign w:val="bottom"/>
          </w:tcPr>
          <w:p w14:paraId="74DDDFD4" w14:textId="77777777" w:rsidR="00584EC1" w:rsidRDefault="00584EC1">
            <w:pPr>
              <w:rPr>
                <w:rFonts w:ascii="宋体"/>
                <w:vanish/>
              </w:rPr>
            </w:pPr>
          </w:p>
        </w:tc>
        <w:tc>
          <w:tcPr>
            <w:tcW w:w="0" w:type="auto"/>
            <w:gridSpan w:val="3"/>
            <w:shd w:val="clear" w:color="auto" w:fill="auto"/>
            <w:vAlign w:val="bottom"/>
          </w:tcPr>
          <w:p w14:paraId="74DDDFD5" w14:textId="77777777" w:rsidR="00584EC1" w:rsidRDefault="00584EC1">
            <w:pPr>
              <w:rPr>
                <w:rFonts w:ascii="宋体"/>
                <w:vanish/>
              </w:rPr>
            </w:pPr>
          </w:p>
        </w:tc>
        <w:tc>
          <w:tcPr>
            <w:tcW w:w="0" w:type="auto"/>
            <w:gridSpan w:val="3"/>
            <w:shd w:val="clear" w:color="auto" w:fill="auto"/>
            <w:vAlign w:val="bottom"/>
          </w:tcPr>
          <w:p w14:paraId="74DDDFD6" w14:textId="77777777" w:rsidR="00584EC1" w:rsidRDefault="00584EC1">
            <w:pPr>
              <w:rPr>
                <w:rFonts w:ascii="宋体"/>
                <w:vanish/>
              </w:rPr>
            </w:pPr>
          </w:p>
        </w:tc>
        <w:tc>
          <w:tcPr>
            <w:tcW w:w="0" w:type="auto"/>
            <w:gridSpan w:val="3"/>
            <w:shd w:val="clear" w:color="auto" w:fill="auto"/>
            <w:vAlign w:val="bottom"/>
          </w:tcPr>
          <w:p w14:paraId="74DDDFD7" w14:textId="77777777" w:rsidR="00584EC1" w:rsidRDefault="00584EC1">
            <w:pPr>
              <w:rPr>
                <w:rFonts w:ascii="宋体"/>
                <w:vanish/>
              </w:rPr>
            </w:pPr>
          </w:p>
        </w:tc>
        <w:tc>
          <w:tcPr>
            <w:tcW w:w="0" w:type="auto"/>
            <w:gridSpan w:val="3"/>
            <w:shd w:val="clear" w:color="auto" w:fill="auto"/>
            <w:vAlign w:val="bottom"/>
          </w:tcPr>
          <w:p w14:paraId="74DDDFD8" w14:textId="77777777" w:rsidR="00584EC1" w:rsidRDefault="00584EC1">
            <w:pPr>
              <w:rPr>
                <w:rFonts w:ascii="宋体"/>
                <w:vanish/>
              </w:rPr>
            </w:pPr>
          </w:p>
        </w:tc>
        <w:tc>
          <w:tcPr>
            <w:tcW w:w="0" w:type="auto"/>
            <w:gridSpan w:val="3"/>
            <w:shd w:val="clear" w:color="auto" w:fill="auto"/>
            <w:vAlign w:val="bottom"/>
          </w:tcPr>
          <w:p w14:paraId="74DDDFD9" w14:textId="77777777" w:rsidR="00584EC1" w:rsidRDefault="00584EC1">
            <w:pPr>
              <w:rPr>
                <w:rFonts w:ascii="宋体"/>
                <w:vanish/>
              </w:rPr>
            </w:pPr>
          </w:p>
        </w:tc>
        <w:tc>
          <w:tcPr>
            <w:tcW w:w="0" w:type="auto"/>
            <w:gridSpan w:val="3"/>
            <w:shd w:val="clear" w:color="auto" w:fill="auto"/>
            <w:vAlign w:val="bottom"/>
          </w:tcPr>
          <w:p w14:paraId="74DDDFDA" w14:textId="77777777" w:rsidR="00584EC1" w:rsidRDefault="00584EC1">
            <w:pPr>
              <w:rPr>
                <w:rFonts w:ascii="宋体"/>
                <w:vanish/>
              </w:rPr>
            </w:pPr>
          </w:p>
        </w:tc>
        <w:tc>
          <w:tcPr>
            <w:tcW w:w="0" w:type="auto"/>
            <w:gridSpan w:val="3"/>
            <w:shd w:val="clear" w:color="auto" w:fill="auto"/>
            <w:vAlign w:val="bottom"/>
          </w:tcPr>
          <w:p w14:paraId="74DDDFDB" w14:textId="77777777" w:rsidR="00584EC1" w:rsidRDefault="00584EC1">
            <w:pPr>
              <w:rPr>
                <w:rFonts w:ascii="宋体"/>
                <w:vanish/>
              </w:rPr>
            </w:pPr>
          </w:p>
        </w:tc>
        <w:tc>
          <w:tcPr>
            <w:tcW w:w="0" w:type="auto"/>
            <w:gridSpan w:val="3"/>
            <w:shd w:val="clear" w:color="auto" w:fill="auto"/>
            <w:vAlign w:val="bottom"/>
          </w:tcPr>
          <w:p w14:paraId="74DDDFDC" w14:textId="77777777" w:rsidR="00584EC1" w:rsidRDefault="00584EC1">
            <w:pPr>
              <w:rPr>
                <w:rFonts w:ascii="宋体"/>
                <w:vanish/>
              </w:rPr>
            </w:pPr>
          </w:p>
        </w:tc>
        <w:tc>
          <w:tcPr>
            <w:tcW w:w="0" w:type="auto"/>
            <w:gridSpan w:val="3"/>
            <w:shd w:val="clear" w:color="auto" w:fill="auto"/>
            <w:vAlign w:val="bottom"/>
          </w:tcPr>
          <w:p w14:paraId="74DDDFDD" w14:textId="77777777" w:rsidR="00584EC1" w:rsidRDefault="00584EC1">
            <w:pPr>
              <w:rPr>
                <w:rFonts w:ascii="宋体"/>
                <w:vanish/>
              </w:rPr>
            </w:pPr>
          </w:p>
        </w:tc>
        <w:tc>
          <w:tcPr>
            <w:tcW w:w="0" w:type="auto"/>
            <w:gridSpan w:val="3"/>
            <w:shd w:val="clear" w:color="auto" w:fill="auto"/>
            <w:vAlign w:val="bottom"/>
          </w:tcPr>
          <w:p w14:paraId="74DDDFDE" w14:textId="77777777" w:rsidR="00584EC1" w:rsidRDefault="00584EC1">
            <w:pPr>
              <w:rPr>
                <w:rFonts w:ascii="宋体"/>
                <w:vanish/>
              </w:rPr>
            </w:pPr>
          </w:p>
        </w:tc>
        <w:tc>
          <w:tcPr>
            <w:tcW w:w="0" w:type="auto"/>
            <w:gridSpan w:val="3"/>
            <w:shd w:val="clear" w:color="auto" w:fill="auto"/>
            <w:vAlign w:val="bottom"/>
          </w:tcPr>
          <w:p w14:paraId="74DDDFDF" w14:textId="77777777" w:rsidR="00584EC1" w:rsidRDefault="00584EC1">
            <w:pPr>
              <w:rPr>
                <w:rFonts w:ascii="宋体"/>
                <w:vanish/>
              </w:rPr>
            </w:pPr>
          </w:p>
        </w:tc>
        <w:tc>
          <w:tcPr>
            <w:tcW w:w="0" w:type="auto"/>
            <w:gridSpan w:val="3"/>
            <w:shd w:val="clear" w:color="auto" w:fill="auto"/>
            <w:vAlign w:val="bottom"/>
          </w:tcPr>
          <w:p w14:paraId="74DDDFE0" w14:textId="77777777" w:rsidR="00584EC1" w:rsidRDefault="00584EC1">
            <w:pPr>
              <w:rPr>
                <w:rFonts w:ascii="宋体"/>
                <w:vanish/>
              </w:rPr>
            </w:pPr>
          </w:p>
        </w:tc>
        <w:tc>
          <w:tcPr>
            <w:tcW w:w="0" w:type="auto"/>
            <w:gridSpan w:val="3"/>
            <w:shd w:val="clear" w:color="auto" w:fill="auto"/>
            <w:vAlign w:val="bottom"/>
          </w:tcPr>
          <w:p w14:paraId="74DDDFE1" w14:textId="77777777" w:rsidR="00584EC1" w:rsidRDefault="00584EC1">
            <w:pPr>
              <w:rPr>
                <w:rFonts w:ascii="宋体"/>
                <w:vanish/>
              </w:rPr>
            </w:pPr>
          </w:p>
        </w:tc>
        <w:tc>
          <w:tcPr>
            <w:tcW w:w="0" w:type="auto"/>
            <w:gridSpan w:val="3"/>
            <w:shd w:val="clear" w:color="auto" w:fill="auto"/>
            <w:vAlign w:val="bottom"/>
          </w:tcPr>
          <w:p w14:paraId="74DDDFE2" w14:textId="77777777" w:rsidR="00584EC1" w:rsidRDefault="00584EC1">
            <w:pPr>
              <w:rPr>
                <w:rFonts w:ascii="宋体"/>
                <w:vanish/>
              </w:rPr>
            </w:pPr>
          </w:p>
        </w:tc>
      </w:tr>
      <w:tr w:rsidR="00584EC1" w14:paraId="74DDDFF8" w14:textId="77777777">
        <w:trPr>
          <w:hidden/>
        </w:trPr>
        <w:tc>
          <w:tcPr>
            <w:tcW w:w="0" w:type="auto"/>
            <w:gridSpan w:val="3"/>
            <w:shd w:val="clear" w:color="auto" w:fill="auto"/>
            <w:vAlign w:val="bottom"/>
          </w:tcPr>
          <w:p w14:paraId="74DDDFE4" w14:textId="77777777" w:rsidR="00584EC1" w:rsidRDefault="00584EC1">
            <w:pPr>
              <w:rPr>
                <w:rFonts w:ascii="宋体"/>
                <w:vanish/>
              </w:rPr>
            </w:pPr>
          </w:p>
        </w:tc>
        <w:tc>
          <w:tcPr>
            <w:tcW w:w="0" w:type="auto"/>
            <w:gridSpan w:val="3"/>
            <w:shd w:val="clear" w:color="auto" w:fill="auto"/>
            <w:vAlign w:val="bottom"/>
          </w:tcPr>
          <w:p w14:paraId="74DDDFE5" w14:textId="77777777" w:rsidR="00584EC1" w:rsidRDefault="00584EC1">
            <w:pPr>
              <w:rPr>
                <w:rFonts w:ascii="宋体"/>
                <w:vanish/>
              </w:rPr>
            </w:pPr>
          </w:p>
        </w:tc>
        <w:tc>
          <w:tcPr>
            <w:tcW w:w="0" w:type="auto"/>
            <w:gridSpan w:val="3"/>
            <w:shd w:val="clear" w:color="auto" w:fill="auto"/>
            <w:vAlign w:val="bottom"/>
          </w:tcPr>
          <w:p w14:paraId="74DDDFE6" w14:textId="77777777" w:rsidR="00584EC1" w:rsidRDefault="00584EC1">
            <w:pPr>
              <w:rPr>
                <w:rFonts w:ascii="宋体"/>
                <w:vanish/>
              </w:rPr>
            </w:pPr>
          </w:p>
        </w:tc>
        <w:tc>
          <w:tcPr>
            <w:tcW w:w="0" w:type="auto"/>
            <w:gridSpan w:val="3"/>
            <w:shd w:val="clear" w:color="auto" w:fill="auto"/>
            <w:vAlign w:val="bottom"/>
          </w:tcPr>
          <w:p w14:paraId="74DDDFE7" w14:textId="77777777" w:rsidR="00584EC1" w:rsidRDefault="00584EC1">
            <w:pPr>
              <w:rPr>
                <w:rFonts w:ascii="宋体"/>
                <w:vanish/>
              </w:rPr>
            </w:pPr>
          </w:p>
        </w:tc>
        <w:tc>
          <w:tcPr>
            <w:tcW w:w="0" w:type="auto"/>
            <w:gridSpan w:val="3"/>
            <w:shd w:val="clear" w:color="auto" w:fill="auto"/>
            <w:vAlign w:val="bottom"/>
          </w:tcPr>
          <w:p w14:paraId="74DDDFE8" w14:textId="77777777" w:rsidR="00584EC1" w:rsidRDefault="00584EC1">
            <w:pPr>
              <w:rPr>
                <w:rFonts w:ascii="宋体"/>
                <w:vanish/>
              </w:rPr>
            </w:pPr>
          </w:p>
        </w:tc>
        <w:tc>
          <w:tcPr>
            <w:tcW w:w="0" w:type="auto"/>
            <w:gridSpan w:val="3"/>
            <w:shd w:val="clear" w:color="auto" w:fill="auto"/>
            <w:vAlign w:val="bottom"/>
          </w:tcPr>
          <w:p w14:paraId="74DDDFE9" w14:textId="77777777" w:rsidR="00584EC1" w:rsidRDefault="00584EC1">
            <w:pPr>
              <w:rPr>
                <w:rFonts w:ascii="宋体"/>
                <w:vanish/>
              </w:rPr>
            </w:pPr>
          </w:p>
        </w:tc>
        <w:tc>
          <w:tcPr>
            <w:tcW w:w="0" w:type="auto"/>
            <w:gridSpan w:val="3"/>
            <w:shd w:val="clear" w:color="auto" w:fill="auto"/>
            <w:vAlign w:val="bottom"/>
          </w:tcPr>
          <w:p w14:paraId="74DDDFEA" w14:textId="77777777" w:rsidR="00584EC1" w:rsidRDefault="00584EC1">
            <w:pPr>
              <w:rPr>
                <w:rFonts w:ascii="宋体"/>
                <w:vanish/>
              </w:rPr>
            </w:pPr>
          </w:p>
        </w:tc>
        <w:tc>
          <w:tcPr>
            <w:tcW w:w="0" w:type="auto"/>
            <w:gridSpan w:val="3"/>
            <w:shd w:val="clear" w:color="auto" w:fill="auto"/>
            <w:vAlign w:val="bottom"/>
          </w:tcPr>
          <w:p w14:paraId="74DDDFEB" w14:textId="77777777" w:rsidR="00584EC1" w:rsidRDefault="00584EC1">
            <w:pPr>
              <w:rPr>
                <w:rFonts w:ascii="宋体"/>
                <w:vanish/>
              </w:rPr>
            </w:pPr>
          </w:p>
        </w:tc>
        <w:tc>
          <w:tcPr>
            <w:tcW w:w="0" w:type="auto"/>
            <w:gridSpan w:val="3"/>
            <w:shd w:val="clear" w:color="auto" w:fill="auto"/>
            <w:vAlign w:val="bottom"/>
          </w:tcPr>
          <w:p w14:paraId="74DDDFEC" w14:textId="77777777" w:rsidR="00584EC1" w:rsidRDefault="00584EC1">
            <w:pPr>
              <w:rPr>
                <w:rFonts w:ascii="宋体"/>
                <w:vanish/>
              </w:rPr>
            </w:pPr>
          </w:p>
        </w:tc>
        <w:tc>
          <w:tcPr>
            <w:tcW w:w="0" w:type="auto"/>
            <w:gridSpan w:val="3"/>
            <w:shd w:val="clear" w:color="auto" w:fill="auto"/>
            <w:vAlign w:val="bottom"/>
          </w:tcPr>
          <w:p w14:paraId="74DDDFED" w14:textId="77777777" w:rsidR="00584EC1" w:rsidRDefault="00584EC1">
            <w:pPr>
              <w:rPr>
                <w:rFonts w:ascii="宋体"/>
                <w:vanish/>
              </w:rPr>
            </w:pPr>
          </w:p>
        </w:tc>
        <w:tc>
          <w:tcPr>
            <w:tcW w:w="0" w:type="auto"/>
            <w:gridSpan w:val="3"/>
            <w:shd w:val="clear" w:color="auto" w:fill="auto"/>
            <w:vAlign w:val="bottom"/>
          </w:tcPr>
          <w:p w14:paraId="74DDDFEE" w14:textId="77777777" w:rsidR="00584EC1" w:rsidRDefault="00584EC1">
            <w:pPr>
              <w:rPr>
                <w:rFonts w:ascii="宋体"/>
                <w:vanish/>
              </w:rPr>
            </w:pPr>
          </w:p>
        </w:tc>
        <w:tc>
          <w:tcPr>
            <w:tcW w:w="0" w:type="auto"/>
            <w:gridSpan w:val="3"/>
            <w:shd w:val="clear" w:color="auto" w:fill="auto"/>
            <w:vAlign w:val="bottom"/>
          </w:tcPr>
          <w:p w14:paraId="74DDDFEF" w14:textId="77777777" w:rsidR="00584EC1" w:rsidRDefault="00584EC1">
            <w:pPr>
              <w:rPr>
                <w:rFonts w:ascii="宋体"/>
                <w:vanish/>
              </w:rPr>
            </w:pPr>
          </w:p>
        </w:tc>
        <w:tc>
          <w:tcPr>
            <w:tcW w:w="0" w:type="auto"/>
            <w:gridSpan w:val="3"/>
            <w:shd w:val="clear" w:color="auto" w:fill="auto"/>
            <w:vAlign w:val="bottom"/>
          </w:tcPr>
          <w:p w14:paraId="74DDDFF0" w14:textId="77777777" w:rsidR="00584EC1" w:rsidRDefault="00584EC1">
            <w:pPr>
              <w:rPr>
                <w:rFonts w:ascii="宋体"/>
                <w:vanish/>
              </w:rPr>
            </w:pPr>
          </w:p>
        </w:tc>
        <w:tc>
          <w:tcPr>
            <w:tcW w:w="0" w:type="auto"/>
            <w:gridSpan w:val="3"/>
            <w:shd w:val="clear" w:color="auto" w:fill="auto"/>
            <w:vAlign w:val="bottom"/>
          </w:tcPr>
          <w:p w14:paraId="74DDDFF1" w14:textId="77777777" w:rsidR="00584EC1" w:rsidRDefault="00584EC1">
            <w:pPr>
              <w:rPr>
                <w:rFonts w:ascii="宋体"/>
                <w:vanish/>
              </w:rPr>
            </w:pPr>
          </w:p>
        </w:tc>
        <w:tc>
          <w:tcPr>
            <w:tcW w:w="0" w:type="auto"/>
            <w:gridSpan w:val="3"/>
            <w:shd w:val="clear" w:color="auto" w:fill="auto"/>
            <w:vAlign w:val="bottom"/>
          </w:tcPr>
          <w:p w14:paraId="74DDDFF2" w14:textId="77777777" w:rsidR="00584EC1" w:rsidRDefault="00584EC1">
            <w:pPr>
              <w:rPr>
                <w:rFonts w:ascii="宋体"/>
                <w:vanish/>
              </w:rPr>
            </w:pPr>
          </w:p>
        </w:tc>
        <w:tc>
          <w:tcPr>
            <w:tcW w:w="0" w:type="auto"/>
            <w:gridSpan w:val="3"/>
            <w:shd w:val="clear" w:color="auto" w:fill="auto"/>
            <w:vAlign w:val="bottom"/>
          </w:tcPr>
          <w:p w14:paraId="74DDDFF3" w14:textId="77777777" w:rsidR="00584EC1" w:rsidRDefault="00584EC1">
            <w:pPr>
              <w:rPr>
                <w:rFonts w:ascii="宋体"/>
                <w:vanish/>
              </w:rPr>
            </w:pPr>
          </w:p>
        </w:tc>
        <w:tc>
          <w:tcPr>
            <w:tcW w:w="0" w:type="auto"/>
            <w:gridSpan w:val="3"/>
            <w:shd w:val="clear" w:color="auto" w:fill="auto"/>
            <w:vAlign w:val="bottom"/>
          </w:tcPr>
          <w:p w14:paraId="74DDDFF4" w14:textId="77777777" w:rsidR="00584EC1" w:rsidRDefault="00584EC1">
            <w:pPr>
              <w:rPr>
                <w:rFonts w:ascii="宋体"/>
                <w:vanish/>
              </w:rPr>
            </w:pPr>
          </w:p>
        </w:tc>
        <w:tc>
          <w:tcPr>
            <w:tcW w:w="0" w:type="auto"/>
            <w:gridSpan w:val="3"/>
            <w:shd w:val="clear" w:color="auto" w:fill="auto"/>
            <w:vAlign w:val="bottom"/>
          </w:tcPr>
          <w:p w14:paraId="74DDDFF5" w14:textId="77777777" w:rsidR="00584EC1" w:rsidRDefault="00584EC1">
            <w:pPr>
              <w:rPr>
                <w:rFonts w:ascii="宋体"/>
                <w:vanish/>
              </w:rPr>
            </w:pPr>
          </w:p>
        </w:tc>
        <w:tc>
          <w:tcPr>
            <w:tcW w:w="0" w:type="auto"/>
            <w:gridSpan w:val="3"/>
            <w:shd w:val="clear" w:color="auto" w:fill="auto"/>
            <w:vAlign w:val="bottom"/>
          </w:tcPr>
          <w:p w14:paraId="74DDDFF6" w14:textId="77777777" w:rsidR="00584EC1" w:rsidRDefault="00584EC1">
            <w:pPr>
              <w:rPr>
                <w:rFonts w:ascii="宋体"/>
                <w:vanish/>
              </w:rPr>
            </w:pPr>
          </w:p>
        </w:tc>
        <w:tc>
          <w:tcPr>
            <w:tcW w:w="0" w:type="auto"/>
            <w:gridSpan w:val="3"/>
            <w:shd w:val="clear" w:color="auto" w:fill="auto"/>
            <w:vAlign w:val="bottom"/>
          </w:tcPr>
          <w:p w14:paraId="74DDDFF7" w14:textId="77777777" w:rsidR="00584EC1" w:rsidRDefault="00584EC1">
            <w:pPr>
              <w:rPr>
                <w:rFonts w:ascii="宋体"/>
                <w:vanish/>
              </w:rPr>
            </w:pPr>
          </w:p>
        </w:tc>
      </w:tr>
    </w:tbl>
    <w:p w14:paraId="74DDDFF9" w14:textId="77777777" w:rsidR="00584EC1" w:rsidRDefault="00871F8D">
      <w:pPr>
        <w:ind w:firstLine="450"/>
        <w:jc w:val="right"/>
      </w:pPr>
      <w:r>
        <w:rPr>
          <w:rFonts w:ascii="Arial" w:eastAsia="宋体" w:hAnsi="Arial" w:cs="Arial"/>
          <w:color w:val="000000"/>
          <w:sz w:val="18"/>
          <w:szCs w:val="18"/>
        </w:rPr>
        <w:t xml:space="preserve">State Street </w:t>
      </w:r>
      <w:r>
        <w:rPr>
          <w:rFonts w:ascii="Arial" w:eastAsia="宋体" w:hAnsi="Arial" w:cs="Arial"/>
          <w:color w:val="000000"/>
          <w:sz w:val="18"/>
          <w:szCs w:val="18"/>
        </w:rPr>
        <w:t>Corporation | 68</w:t>
      </w:r>
    </w:p>
    <w:p w14:paraId="74DDDFFA" w14:textId="77777777" w:rsidR="00584EC1" w:rsidRDefault="00584EC1">
      <w:pPr>
        <w:ind w:firstLine="450"/>
        <w:jc w:val="center"/>
      </w:pPr>
    </w:p>
    <w:p w14:paraId="74DDDFFB" w14:textId="77777777" w:rsidR="00584EC1" w:rsidRDefault="00871F8D">
      <w:r>
        <w:pict w14:anchorId="74DE2A32">
          <v:rect id="_x0000_i1092" style="width:415.3pt;height:1.5pt" o:hralign="center" o:hrstd="t" o:hr="t" fillcolor="#a0a0a0" stroked="f"/>
        </w:pict>
      </w:r>
    </w:p>
    <w:p w14:paraId="74DDDFFC" w14:textId="77777777" w:rsidR="00584EC1" w:rsidRDefault="00871F8D">
      <w:pPr>
        <w:ind w:firstLine="450"/>
        <w:jc w:val="center"/>
      </w:pPr>
      <w:r>
        <w:rPr>
          <w:rFonts w:ascii="Arial" w:eastAsia="宋体" w:hAnsi="Arial" w:cs="Arial"/>
          <w:b/>
          <w:bCs/>
          <w:color w:val="000000"/>
          <w:sz w:val="20"/>
          <w:szCs w:val="20"/>
        </w:rPr>
        <w:t>STATE STREET CORPORATION</w:t>
      </w:r>
    </w:p>
    <w:p w14:paraId="74DDDFFD" w14:textId="77777777" w:rsidR="00584EC1" w:rsidRDefault="00871F8D">
      <w:pPr>
        <w:ind w:firstLine="450"/>
        <w:jc w:val="center"/>
      </w:pPr>
      <w:r>
        <w:rPr>
          <w:rFonts w:ascii="Arial" w:eastAsia="宋体" w:hAnsi="Arial" w:cs="Arial"/>
          <w:b/>
          <w:bCs/>
          <w:color w:val="000000"/>
          <w:sz w:val="20"/>
          <w:szCs w:val="20"/>
        </w:rPr>
        <w:t>CONDENSED NOTES TO CONSOLIDATED FINANCIAL STATEMENTS</w:t>
      </w:r>
    </w:p>
    <w:p w14:paraId="74DDDFFE" w14:textId="77777777" w:rsidR="00584EC1" w:rsidRDefault="00871F8D">
      <w:pPr>
        <w:ind w:firstLine="450"/>
        <w:jc w:val="center"/>
      </w:pPr>
      <w:r>
        <w:rPr>
          <w:rFonts w:ascii="Arial" w:eastAsia="宋体" w:hAnsi="Arial" w:cs="Arial"/>
          <w:b/>
          <w:bCs/>
          <w:color w:val="000000"/>
          <w:sz w:val="20"/>
          <w:szCs w:val="20"/>
        </w:rPr>
        <w:t>(UNAUDITED)</w:t>
      </w:r>
    </w:p>
    <w:p w14:paraId="74DDDFFF" w14:textId="77777777" w:rsidR="00584EC1" w:rsidRDefault="00871F8D">
      <w:pPr>
        <w:ind w:firstLine="450"/>
        <w:jc w:val="both"/>
        <w:textAlignment w:val="top"/>
      </w:pPr>
      <w:r>
        <w:rPr>
          <w:rFonts w:ascii="Arial" w:eastAsia="宋体" w:hAnsi="Arial" w:cs="Arial"/>
          <w:color w:val="000000"/>
          <w:sz w:val="20"/>
          <w:szCs w:val="20"/>
        </w:rPr>
        <w:t xml:space="preserve">Interest income related to debt securities is recognized in our consolidated statement of income using the effective interest method, or on a </w:t>
      </w:r>
      <w:r>
        <w:rPr>
          <w:rFonts w:ascii="Arial" w:eastAsia="宋体" w:hAnsi="Arial" w:cs="Arial"/>
          <w:color w:val="000000"/>
          <w:sz w:val="20"/>
          <w:szCs w:val="20"/>
        </w:rPr>
        <w:t>basis approximating a level rate of return over the contractual or estimated life of the security. The level rate of return considers any non-refundable fees or costs, as well as purchase premiums or discounts, adjusted as prepayments occur, resulting in a</w:t>
      </w:r>
      <w:r>
        <w:rPr>
          <w:rFonts w:ascii="Arial" w:eastAsia="宋体" w:hAnsi="Arial" w:cs="Arial"/>
          <w:color w:val="000000"/>
          <w:sz w:val="20"/>
          <w:szCs w:val="20"/>
        </w:rPr>
        <w:t>mortization or accretion, accordingly.</w:t>
      </w:r>
    </w:p>
    <w:p w14:paraId="74DDE000" w14:textId="77777777" w:rsidR="00584EC1" w:rsidRDefault="00871F8D">
      <w:pPr>
        <w:spacing w:before="60"/>
        <w:jc w:val="both"/>
        <w:textAlignment w:val="top"/>
      </w:pPr>
      <w:r>
        <w:rPr>
          <w:rFonts w:ascii="Arial" w:eastAsia="宋体" w:hAnsi="Arial" w:cs="Arial"/>
          <w:b/>
          <w:bCs/>
          <w:i/>
          <w:iCs/>
          <w:color w:val="000000"/>
          <w:sz w:val="20"/>
          <w:szCs w:val="20"/>
        </w:rPr>
        <w:t>Allowance for Credit Losses on Debt Securities and Impairment of AFS Securities</w:t>
      </w:r>
    </w:p>
    <w:p w14:paraId="74DDE001" w14:textId="77777777" w:rsidR="00584EC1" w:rsidRDefault="00871F8D">
      <w:pPr>
        <w:spacing w:before="60"/>
        <w:ind w:firstLine="450"/>
        <w:jc w:val="both"/>
        <w:textAlignment w:val="top"/>
      </w:pPr>
      <w:r>
        <w:rPr>
          <w:rFonts w:ascii="Arial" w:eastAsia="宋体" w:hAnsi="Arial" w:cs="Arial"/>
          <w:color w:val="000000"/>
          <w:sz w:val="20"/>
          <w:szCs w:val="20"/>
        </w:rPr>
        <w:t xml:space="preserve">We conduct quarterly reviews of HTM and AFS securities on a collective (pool) basis when similar risk characteristics exist to determine </w:t>
      </w:r>
      <w:r>
        <w:rPr>
          <w:rFonts w:ascii="Arial" w:eastAsia="宋体" w:hAnsi="Arial" w:cs="Arial"/>
          <w:color w:val="000000"/>
          <w:sz w:val="20"/>
          <w:szCs w:val="20"/>
        </w:rPr>
        <w:t>whether an allowance for credit losses should be recognized. We review individual AFS securities periodically to assess if additional impairment is required. For additional information about the Current Expected Credit Loss methodology and the review of in</w:t>
      </w:r>
      <w:r>
        <w:rPr>
          <w:rFonts w:ascii="Arial" w:eastAsia="宋体" w:hAnsi="Arial" w:cs="Arial"/>
          <w:color w:val="000000"/>
          <w:sz w:val="20"/>
          <w:szCs w:val="20"/>
        </w:rPr>
        <w:t>vestment securities for expected credit losses or impairment, refer to pages 148 to 149 in Note 3 to the consolidated financial statements included under Item 8, Financial Statements and Supplementary Data, in our 2020 Form 10-K.</w:t>
      </w:r>
    </w:p>
    <w:p w14:paraId="74DDE002" w14:textId="77777777" w:rsidR="00584EC1" w:rsidRDefault="00871F8D">
      <w:pPr>
        <w:spacing w:before="60"/>
        <w:ind w:firstLine="450"/>
        <w:jc w:val="both"/>
        <w:textAlignment w:val="top"/>
      </w:pPr>
      <w:r>
        <w:rPr>
          <w:rFonts w:ascii="Arial" w:eastAsia="宋体" w:hAnsi="Arial" w:cs="Arial"/>
          <w:color w:val="000000"/>
          <w:sz w:val="20"/>
          <w:szCs w:val="20"/>
        </w:rPr>
        <w:t>We monitor the credit qual</w:t>
      </w:r>
      <w:r>
        <w:rPr>
          <w:rFonts w:ascii="Arial" w:eastAsia="宋体" w:hAnsi="Arial" w:cs="Arial"/>
          <w:color w:val="000000"/>
          <w:sz w:val="20"/>
          <w:szCs w:val="20"/>
        </w:rPr>
        <w:t>ity of the HTM and AFS investment securities using a variety of methods, including both external and internal credit ratings. As of September 30, 2021, 99% of our HTM and AFS investment portfolio is publicly rated investment grade.</w:t>
      </w:r>
    </w:p>
    <w:p w14:paraId="74DDE003" w14:textId="77777777" w:rsidR="00584EC1" w:rsidRDefault="00871F8D">
      <w:pPr>
        <w:spacing w:before="60"/>
        <w:ind w:firstLine="450"/>
        <w:jc w:val="both"/>
        <w:textAlignment w:val="top"/>
      </w:pPr>
      <w:r>
        <w:rPr>
          <w:rFonts w:ascii="Arial" w:eastAsia="宋体" w:hAnsi="Arial" w:cs="Arial"/>
          <w:color w:val="000000"/>
          <w:sz w:val="20"/>
          <w:szCs w:val="20"/>
        </w:rPr>
        <w:t>Our allowance for credit</w:t>
      </w:r>
      <w:r>
        <w:rPr>
          <w:rFonts w:ascii="Arial" w:eastAsia="宋体" w:hAnsi="Arial" w:cs="Arial"/>
          <w:color w:val="000000"/>
          <w:sz w:val="20"/>
          <w:szCs w:val="20"/>
        </w:rPr>
        <w:t xml:space="preserve"> losses on our HTM securities is approximately $2 million as of September 30, 2021. In the third quarter of 2021, we recorded no provision for credit losses and no charge-offs on HTM securities. We have elected to not record an allowance on accrued interes</w:t>
      </w:r>
      <w:r>
        <w:rPr>
          <w:rFonts w:ascii="Arial" w:eastAsia="宋体" w:hAnsi="Arial" w:cs="Arial"/>
          <w:color w:val="000000"/>
          <w:sz w:val="20"/>
          <w:szCs w:val="20"/>
        </w:rPr>
        <w:t>t for HTM and AFS securities. Accrued interest on these securities is reversed against interest income when payment on a security is delinquent for greater than 90 days from the date of payment.</w:t>
      </w:r>
    </w:p>
    <w:p w14:paraId="74DDE004" w14:textId="77777777" w:rsidR="00584EC1" w:rsidRDefault="00871F8D">
      <w:pPr>
        <w:spacing w:before="60"/>
        <w:ind w:firstLine="450"/>
        <w:jc w:val="both"/>
        <w:textAlignment w:val="top"/>
      </w:pPr>
      <w:r>
        <w:rPr>
          <w:rFonts w:ascii="Arial" w:eastAsia="宋体" w:hAnsi="Arial" w:cs="Arial"/>
          <w:color w:val="000000"/>
          <w:sz w:val="20"/>
          <w:szCs w:val="20"/>
        </w:rPr>
        <w:t>After a review of the investment portfolio, taking into consi</w:t>
      </w:r>
      <w:r>
        <w:rPr>
          <w:rFonts w:ascii="Arial" w:eastAsia="宋体" w:hAnsi="Arial" w:cs="Arial"/>
          <w:color w:val="000000"/>
          <w:sz w:val="20"/>
          <w:szCs w:val="20"/>
        </w:rPr>
        <w:t>deration then-current economic conditions, adverse situations that might affect our ability to fully collect principal and interest, the timing of future payments, the credit quality and performance of the collateral underlying MBS and ABS and other releva</w:t>
      </w:r>
      <w:r>
        <w:rPr>
          <w:rFonts w:ascii="Arial" w:eastAsia="宋体" w:hAnsi="Arial" w:cs="Arial"/>
          <w:color w:val="000000"/>
          <w:sz w:val="20"/>
          <w:szCs w:val="20"/>
        </w:rPr>
        <w:t>nt factors, management considers the aggregate decline in fair value of the investment securities portfolio and the resulting gross pre-tax unrealized losses of $505 million related to 722 securities as of September 30, 2021 to not be the result of any mat</w:t>
      </w:r>
      <w:r>
        <w:rPr>
          <w:rFonts w:ascii="Arial" w:eastAsia="宋体" w:hAnsi="Arial" w:cs="Arial"/>
          <w:color w:val="000000"/>
          <w:sz w:val="20"/>
          <w:szCs w:val="20"/>
        </w:rPr>
        <w:t xml:space="preserve">erial changes in the credit characteristics of the securities. </w:t>
      </w:r>
    </w:p>
    <w:p w14:paraId="74DDE005" w14:textId="77777777" w:rsidR="00584EC1" w:rsidRDefault="00584EC1">
      <w:pPr>
        <w:spacing w:before="60"/>
        <w:ind w:firstLine="450"/>
        <w:jc w:val="both"/>
        <w:textAlignment w:val="top"/>
      </w:pPr>
    </w:p>
    <w:p w14:paraId="74DDE006" w14:textId="77777777" w:rsidR="00584EC1" w:rsidRDefault="00584EC1">
      <w:pPr>
        <w:spacing w:before="60"/>
        <w:ind w:firstLine="450"/>
        <w:jc w:val="both"/>
        <w:textAlignment w:val="top"/>
      </w:pPr>
    </w:p>
    <w:p w14:paraId="74DDE007" w14:textId="77777777" w:rsidR="00584EC1" w:rsidRDefault="00871F8D">
      <w:pPr>
        <w:spacing w:before="180"/>
        <w:textAlignment w:val="top"/>
      </w:pPr>
      <w:r>
        <w:rPr>
          <w:rFonts w:ascii="Arial" w:eastAsia="宋体" w:hAnsi="Arial" w:cs="Arial"/>
          <w:b/>
          <w:bCs/>
          <w:color w:val="000000"/>
          <w:sz w:val="20"/>
          <w:szCs w:val="20"/>
        </w:rPr>
        <w:t>Note 4.    Loans and Allowance for Credit Losses</w:t>
      </w:r>
    </w:p>
    <w:p w14:paraId="74DDE008" w14:textId="77777777" w:rsidR="00584EC1" w:rsidRDefault="00871F8D">
      <w:pPr>
        <w:spacing w:before="60"/>
        <w:ind w:firstLine="450"/>
        <w:jc w:val="both"/>
        <w:textAlignment w:val="top"/>
      </w:pPr>
      <w:r>
        <w:rPr>
          <w:rFonts w:ascii="Arial" w:eastAsia="宋体" w:hAnsi="Arial" w:cs="Arial"/>
          <w:color w:val="000000"/>
          <w:sz w:val="20"/>
          <w:szCs w:val="20"/>
        </w:rPr>
        <w:t xml:space="preserve">We segregate our loans into two segments: commercial and financial loans and commercial real estate loans. We further classify </w:t>
      </w:r>
      <w:r>
        <w:rPr>
          <w:rFonts w:ascii="Arial" w:eastAsia="宋体" w:hAnsi="Arial" w:cs="Arial"/>
          <w:color w:val="000000"/>
          <w:sz w:val="20"/>
          <w:szCs w:val="20"/>
        </w:rPr>
        <w:t>commercial and financial loans as fund finance loans, leveraged loans, overdrafts and other. These classifications reflect their risk characteristics, their initial measurement attributes and the methods we use to monitor and assess credit risk. For additi</w:t>
      </w:r>
      <w:r>
        <w:rPr>
          <w:rFonts w:ascii="Arial" w:eastAsia="宋体" w:hAnsi="Arial" w:cs="Arial"/>
          <w:color w:val="000000"/>
          <w:sz w:val="20"/>
          <w:szCs w:val="20"/>
        </w:rPr>
        <w:t>onal information on our loans, including our internal risk-rating system used to assess our risk of credit loss for each loan, refer to pages 149 to 154 in Note 4 to the consolidated financial statements included under Item 8, Financial Statements and Supp</w:t>
      </w:r>
      <w:r>
        <w:rPr>
          <w:rFonts w:ascii="Arial" w:eastAsia="宋体" w:hAnsi="Arial" w:cs="Arial"/>
          <w:color w:val="000000"/>
          <w:sz w:val="20"/>
          <w:szCs w:val="20"/>
        </w:rPr>
        <w:t>lementary Data, in our 2020 Form 10-K.</w:t>
      </w:r>
    </w:p>
    <w:p w14:paraId="74DDE009" w14:textId="77777777" w:rsidR="00584EC1" w:rsidRDefault="00871F8D">
      <w:pPr>
        <w:spacing w:before="60"/>
        <w:ind w:firstLine="450"/>
        <w:jc w:val="both"/>
        <w:textAlignment w:val="top"/>
      </w:pPr>
      <w:r>
        <w:rPr>
          <w:rFonts w:ascii="Arial" w:eastAsia="宋体" w:hAnsi="Arial" w:cs="Arial"/>
          <w:color w:val="000000"/>
          <w:sz w:val="20"/>
          <w:szCs w:val="20"/>
        </w:rPr>
        <w:t>The following table presents our recorded investment in loans, by segment,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6"/>
        <w:gridCol w:w="2809"/>
        <w:gridCol w:w="37"/>
        <w:gridCol w:w="105"/>
        <w:gridCol w:w="2524"/>
        <w:gridCol w:w="36"/>
        <w:gridCol w:w="36"/>
        <w:gridCol w:w="75"/>
        <w:gridCol w:w="36"/>
        <w:gridCol w:w="105"/>
        <w:gridCol w:w="2419"/>
        <w:gridCol w:w="36"/>
        <w:gridCol w:w="36"/>
        <w:gridCol w:w="36"/>
      </w:tblGrid>
      <w:tr w:rsidR="00584EC1" w14:paraId="74DDE018" w14:textId="77777777">
        <w:tc>
          <w:tcPr>
            <w:tcW w:w="50" w:type="pct"/>
            <w:shd w:val="clear" w:color="auto" w:fill="auto"/>
            <w:vAlign w:val="bottom"/>
          </w:tcPr>
          <w:p w14:paraId="74DDE00A" w14:textId="77777777" w:rsidR="00584EC1" w:rsidRDefault="00584EC1">
            <w:pPr>
              <w:rPr>
                <w:rFonts w:ascii="宋体"/>
              </w:rPr>
            </w:pPr>
          </w:p>
        </w:tc>
        <w:tc>
          <w:tcPr>
            <w:tcW w:w="1721" w:type="pct"/>
            <w:shd w:val="clear" w:color="auto" w:fill="auto"/>
            <w:vAlign w:val="bottom"/>
          </w:tcPr>
          <w:p w14:paraId="74DDE00B" w14:textId="77777777" w:rsidR="00584EC1" w:rsidRDefault="00584EC1">
            <w:pPr>
              <w:rPr>
                <w:rFonts w:ascii="宋体"/>
              </w:rPr>
            </w:pPr>
          </w:p>
        </w:tc>
        <w:tc>
          <w:tcPr>
            <w:tcW w:w="5" w:type="pct"/>
            <w:shd w:val="clear" w:color="auto" w:fill="auto"/>
            <w:vAlign w:val="bottom"/>
          </w:tcPr>
          <w:p w14:paraId="74DDE00C" w14:textId="77777777" w:rsidR="00584EC1" w:rsidRDefault="00584EC1">
            <w:pPr>
              <w:rPr>
                <w:rFonts w:ascii="宋体"/>
              </w:rPr>
            </w:pPr>
          </w:p>
        </w:tc>
        <w:tc>
          <w:tcPr>
            <w:tcW w:w="50" w:type="pct"/>
            <w:shd w:val="clear" w:color="auto" w:fill="auto"/>
            <w:vAlign w:val="bottom"/>
          </w:tcPr>
          <w:p w14:paraId="74DDE00D" w14:textId="77777777" w:rsidR="00584EC1" w:rsidRDefault="00584EC1">
            <w:pPr>
              <w:rPr>
                <w:rFonts w:ascii="宋体"/>
              </w:rPr>
            </w:pPr>
          </w:p>
        </w:tc>
        <w:tc>
          <w:tcPr>
            <w:tcW w:w="1548" w:type="pct"/>
            <w:shd w:val="clear" w:color="auto" w:fill="auto"/>
            <w:vAlign w:val="bottom"/>
          </w:tcPr>
          <w:p w14:paraId="74DDE00E" w14:textId="77777777" w:rsidR="00584EC1" w:rsidRDefault="00584EC1">
            <w:pPr>
              <w:rPr>
                <w:rFonts w:ascii="宋体"/>
              </w:rPr>
            </w:pPr>
          </w:p>
        </w:tc>
        <w:tc>
          <w:tcPr>
            <w:tcW w:w="5" w:type="pct"/>
            <w:shd w:val="clear" w:color="auto" w:fill="auto"/>
            <w:vAlign w:val="bottom"/>
          </w:tcPr>
          <w:p w14:paraId="74DDE00F" w14:textId="77777777" w:rsidR="00584EC1" w:rsidRDefault="00584EC1">
            <w:pPr>
              <w:rPr>
                <w:rFonts w:ascii="宋体"/>
              </w:rPr>
            </w:pPr>
          </w:p>
        </w:tc>
        <w:tc>
          <w:tcPr>
            <w:tcW w:w="5" w:type="pct"/>
            <w:shd w:val="clear" w:color="auto" w:fill="auto"/>
            <w:vAlign w:val="bottom"/>
          </w:tcPr>
          <w:p w14:paraId="74DDE010" w14:textId="77777777" w:rsidR="00584EC1" w:rsidRDefault="00584EC1">
            <w:pPr>
              <w:rPr>
                <w:rFonts w:ascii="宋体"/>
              </w:rPr>
            </w:pPr>
          </w:p>
        </w:tc>
        <w:tc>
          <w:tcPr>
            <w:tcW w:w="68" w:type="pct"/>
            <w:shd w:val="clear" w:color="auto" w:fill="auto"/>
            <w:vAlign w:val="bottom"/>
          </w:tcPr>
          <w:p w14:paraId="74DDE011" w14:textId="77777777" w:rsidR="00584EC1" w:rsidRDefault="00584EC1">
            <w:pPr>
              <w:rPr>
                <w:rFonts w:ascii="宋体"/>
              </w:rPr>
            </w:pPr>
          </w:p>
        </w:tc>
        <w:tc>
          <w:tcPr>
            <w:tcW w:w="5" w:type="pct"/>
            <w:shd w:val="clear" w:color="auto" w:fill="auto"/>
            <w:vAlign w:val="bottom"/>
          </w:tcPr>
          <w:p w14:paraId="74DDE012" w14:textId="77777777" w:rsidR="00584EC1" w:rsidRDefault="00584EC1">
            <w:pPr>
              <w:rPr>
                <w:rFonts w:ascii="宋体"/>
              </w:rPr>
            </w:pPr>
          </w:p>
        </w:tc>
        <w:tc>
          <w:tcPr>
            <w:tcW w:w="50" w:type="pct"/>
            <w:shd w:val="clear" w:color="auto" w:fill="auto"/>
            <w:vAlign w:val="bottom"/>
          </w:tcPr>
          <w:p w14:paraId="74DDE013" w14:textId="77777777" w:rsidR="00584EC1" w:rsidRDefault="00584EC1">
            <w:pPr>
              <w:rPr>
                <w:rFonts w:ascii="宋体"/>
              </w:rPr>
            </w:pPr>
          </w:p>
        </w:tc>
        <w:tc>
          <w:tcPr>
            <w:tcW w:w="1485" w:type="pct"/>
            <w:shd w:val="clear" w:color="auto" w:fill="auto"/>
            <w:vAlign w:val="bottom"/>
          </w:tcPr>
          <w:p w14:paraId="74DDE014" w14:textId="77777777" w:rsidR="00584EC1" w:rsidRDefault="00584EC1">
            <w:pPr>
              <w:rPr>
                <w:rFonts w:ascii="宋体"/>
              </w:rPr>
            </w:pPr>
          </w:p>
        </w:tc>
        <w:tc>
          <w:tcPr>
            <w:tcW w:w="5" w:type="pct"/>
            <w:shd w:val="clear" w:color="auto" w:fill="auto"/>
            <w:vAlign w:val="bottom"/>
          </w:tcPr>
          <w:p w14:paraId="74DDE015" w14:textId="77777777" w:rsidR="00584EC1" w:rsidRDefault="00584EC1">
            <w:pPr>
              <w:rPr>
                <w:rFonts w:ascii="宋体"/>
              </w:rPr>
            </w:pPr>
          </w:p>
        </w:tc>
        <w:tc>
          <w:tcPr>
            <w:tcW w:w="0" w:type="auto"/>
            <w:shd w:val="clear" w:color="auto" w:fill="auto"/>
            <w:vAlign w:val="bottom"/>
          </w:tcPr>
          <w:p w14:paraId="74DDE016" w14:textId="77777777" w:rsidR="00584EC1" w:rsidRDefault="00584EC1">
            <w:pPr>
              <w:rPr>
                <w:rFonts w:ascii="宋体"/>
                <w:vanish/>
              </w:rPr>
            </w:pPr>
          </w:p>
        </w:tc>
        <w:tc>
          <w:tcPr>
            <w:tcW w:w="0" w:type="auto"/>
            <w:shd w:val="clear" w:color="auto" w:fill="auto"/>
            <w:vAlign w:val="bottom"/>
          </w:tcPr>
          <w:p w14:paraId="74DDE017" w14:textId="77777777" w:rsidR="00584EC1" w:rsidRDefault="00584EC1">
            <w:pPr>
              <w:rPr>
                <w:rFonts w:ascii="宋体"/>
                <w:vanish/>
              </w:rPr>
            </w:pPr>
          </w:p>
        </w:tc>
      </w:tr>
      <w:tr w:rsidR="00584EC1" w14:paraId="74DDE01F" w14:textId="77777777">
        <w:tc>
          <w:tcPr>
            <w:tcW w:w="0" w:type="auto"/>
            <w:gridSpan w:val="3"/>
            <w:shd w:val="clear" w:color="auto" w:fill="auto"/>
            <w:tcMar>
              <w:top w:w="40" w:type="dxa"/>
              <w:left w:w="20" w:type="dxa"/>
              <w:bottom w:w="40" w:type="dxa"/>
              <w:right w:w="20" w:type="dxa"/>
            </w:tcMar>
            <w:vAlign w:val="bottom"/>
          </w:tcPr>
          <w:p w14:paraId="74DDE019" w14:textId="77777777" w:rsidR="00584EC1" w:rsidRDefault="00871F8D">
            <w:pPr>
              <w:textAlignment w:val="bottom"/>
            </w:pPr>
            <w:r>
              <w:rPr>
                <w:rFonts w:ascii="Arial" w:eastAsia="宋体" w:hAnsi="Arial" w:cs="Arial"/>
                <w:b/>
                <w:bCs/>
                <w:color w:val="000000"/>
                <w:sz w:val="15"/>
                <w:szCs w:val="15"/>
              </w:rPr>
              <w:t>(In millions)</w:t>
            </w:r>
          </w:p>
        </w:tc>
        <w:tc>
          <w:tcPr>
            <w:tcW w:w="0" w:type="auto"/>
            <w:gridSpan w:val="3"/>
            <w:shd w:val="clear" w:color="auto" w:fill="auto"/>
            <w:tcMar>
              <w:top w:w="40" w:type="dxa"/>
              <w:left w:w="20" w:type="dxa"/>
              <w:bottom w:w="40" w:type="dxa"/>
              <w:right w:w="20" w:type="dxa"/>
            </w:tcMar>
            <w:vAlign w:val="bottom"/>
          </w:tcPr>
          <w:p w14:paraId="74DDE01A" w14:textId="77777777" w:rsidR="00584EC1" w:rsidRDefault="00871F8D">
            <w:pPr>
              <w:jc w:val="center"/>
              <w:textAlignment w:val="bottom"/>
            </w:pPr>
            <w:r>
              <w:rPr>
                <w:rFonts w:ascii="Arial" w:eastAsia="宋体" w:hAnsi="Arial" w:cs="Arial"/>
                <w:b/>
                <w:bCs/>
                <w:color w:val="000000"/>
                <w:sz w:val="15"/>
                <w:szCs w:val="15"/>
              </w:rPr>
              <w:t>September 30, 2021</w:t>
            </w:r>
          </w:p>
        </w:tc>
        <w:tc>
          <w:tcPr>
            <w:tcW w:w="0" w:type="auto"/>
            <w:gridSpan w:val="3"/>
            <w:shd w:val="clear" w:color="auto" w:fill="auto"/>
            <w:tcMar>
              <w:top w:w="0" w:type="dxa"/>
              <w:left w:w="20" w:type="dxa"/>
              <w:bottom w:w="0" w:type="dxa"/>
              <w:right w:w="20" w:type="dxa"/>
            </w:tcMar>
            <w:vAlign w:val="bottom"/>
          </w:tcPr>
          <w:p w14:paraId="74DDE01B"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E01C" w14:textId="77777777" w:rsidR="00584EC1" w:rsidRDefault="00871F8D">
            <w:pPr>
              <w:jc w:val="center"/>
              <w:textAlignment w:val="bottom"/>
            </w:pPr>
            <w:r>
              <w:rPr>
                <w:rFonts w:ascii="Arial" w:eastAsia="宋体" w:hAnsi="Arial" w:cs="Arial"/>
                <w:b/>
                <w:bCs/>
                <w:color w:val="000000"/>
                <w:sz w:val="15"/>
                <w:szCs w:val="15"/>
              </w:rPr>
              <w:t>December 31, 2020</w:t>
            </w:r>
          </w:p>
        </w:tc>
        <w:tc>
          <w:tcPr>
            <w:tcW w:w="0" w:type="auto"/>
            <w:shd w:val="clear" w:color="auto" w:fill="auto"/>
            <w:vAlign w:val="bottom"/>
          </w:tcPr>
          <w:p w14:paraId="74DDE01D" w14:textId="77777777" w:rsidR="00584EC1" w:rsidRDefault="00584EC1">
            <w:pPr>
              <w:rPr>
                <w:rFonts w:ascii="宋体"/>
                <w:vanish/>
              </w:rPr>
            </w:pPr>
          </w:p>
        </w:tc>
        <w:tc>
          <w:tcPr>
            <w:tcW w:w="0" w:type="auto"/>
            <w:shd w:val="clear" w:color="auto" w:fill="auto"/>
            <w:vAlign w:val="bottom"/>
          </w:tcPr>
          <w:p w14:paraId="74DDE01E" w14:textId="77777777" w:rsidR="00584EC1" w:rsidRDefault="00584EC1">
            <w:pPr>
              <w:rPr>
                <w:rFonts w:ascii="宋体"/>
                <w:vanish/>
              </w:rPr>
            </w:pPr>
          </w:p>
        </w:tc>
      </w:tr>
      <w:tr w:rsidR="00584EC1" w14:paraId="74DDE026" w14:textId="77777777">
        <w:tc>
          <w:tcPr>
            <w:tcW w:w="0" w:type="auto"/>
            <w:gridSpan w:val="3"/>
            <w:shd w:val="clear" w:color="auto" w:fill="auto"/>
            <w:tcMar>
              <w:top w:w="40" w:type="dxa"/>
              <w:left w:w="20" w:type="dxa"/>
              <w:bottom w:w="40" w:type="dxa"/>
              <w:right w:w="20" w:type="dxa"/>
            </w:tcMar>
            <w:vAlign w:val="bottom"/>
          </w:tcPr>
          <w:p w14:paraId="74DDE020" w14:textId="77777777" w:rsidR="00584EC1" w:rsidRDefault="00871F8D">
            <w:pPr>
              <w:textAlignment w:val="bottom"/>
            </w:pPr>
            <w:r>
              <w:rPr>
                <w:rFonts w:ascii="Arial" w:eastAsia="宋体" w:hAnsi="Arial" w:cs="Arial"/>
                <w:b/>
                <w:bCs/>
                <w:color w:val="000000"/>
                <w:sz w:val="15"/>
                <w:szCs w:val="15"/>
              </w:rPr>
              <w:t>Domestic</w:t>
            </w:r>
            <w:r>
              <w:rPr>
                <w:rFonts w:ascii="Arial" w:eastAsia="宋体" w:hAnsi="Arial" w:cs="Arial"/>
                <w:b/>
                <w:bCs/>
                <w:color w:val="000000"/>
                <w:sz w:val="9"/>
                <w:szCs w:val="9"/>
              </w:rPr>
              <w:t>(1)</w:t>
            </w:r>
            <w:r>
              <w:rPr>
                <w:rFonts w:ascii="Arial" w:eastAsia="宋体" w:hAnsi="Arial" w:cs="Arial"/>
                <w:b/>
                <w:bCs/>
                <w:color w:val="000000"/>
                <w:sz w:val="15"/>
                <w:szCs w:val="15"/>
              </w:rPr>
              <w: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02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022"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023" w14:textId="77777777" w:rsidR="00584EC1" w:rsidRDefault="00584EC1">
            <w:pPr>
              <w:rPr>
                <w:rFonts w:ascii="宋体"/>
              </w:rPr>
            </w:pPr>
          </w:p>
        </w:tc>
        <w:tc>
          <w:tcPr>
            <w:tcW w:w="0" w:type="auto"/>
            <w:shd w:val="clear" w:color="auto" w:fill="auto"/>
            <w:vAlign w:val="bottom"/>
          </w:tcPr>
          <w:p w14:paraId="74DDE024" w14:textId="77777777" w:rsidR="00584EC1" w:rsidRDefault="00584EC1">
            <w:pPr>
              <w:rPr>
                <w:rFonts w:ascii="宋体"/>
                <w:vanish/>
              </w:rPr>
            </w:pPr>
          </w:p>
        </w:tc>
        <w:tc>
          <w:tcPr>
            <w:tcW w:w="0" w:type="auto"/>
            <w:shd w:val="clear" w:color="auto" w:fill="auto"/>
            <w:vAlign w:val="bottom"/>
          </w:tcPr>
          <w:p w14:paraId="74DDE025" w14:textId="77777777" w:rsidR="00584EC1" w:rsidRDefault="00584EC1">
            <w:pPr>
              <w:rPr>
                <w:rFonts w:ascii="宋体"/>
                <w:vanish/>
              </w:rPr>
            </w:pPr>
          </w:p>
        </w:tc>
      </w:tr>
      <w:tr w:rsidR="00584EC1" w14:paraId="74DDE02D" w14:textId="77777777">
        <w:tc>
          <w:tcPr>
            <w:tcW w:w="0" w:type="auto"/>
            <w:gridSpan w:val="3"/>
            <w:shd w:val="clear" w:color="auto" w:fill="auto"/>
            <w:tcMar>
              <w:top w:w="40" w:type="dxa"/>
              <w:left w:w="155" w:type="dxa"/>
              <w:bottom w:w="40" w:type="dxa"/>
              <w:right w:w="20" w:type="dxa"/>
            </w:tcMar>
            <w:vAlign w:val="bottom"/>
          </w:tcPr>
          <w:p w14:paraId="74DDE027" w14:textId="77777777" w:rsidR="00584EC1" w:rsidRDefault="00871F8D">
            <w:pPr>
              <w:textAlignment w:val="bottom"/>
            </w:pPr>
            <w:r>
              <w:rPr>
                <w:rFonts w:ascii="Arial" w:eastAsia="宋体" w:hAnsi="Arial" w:cs="Arial"/>
                <w:color w:val="000000"/>
                <w:sz w:val="15"/>
                <w:szCs w:val="15"/>
              </w:rPr>
              <w:t xml:space="preserve">Commercial and </w:t>
            </w:r>
            <w:r>
              <w:rPr>
                <w:rFonts w:ascii="Arial" w:eastAsia="宋体" w:hAnsi="Arial" w:cs="Arial"/>
                <w:color w:val="000000"/>
                <w:sz w:val="15"/>
                <w:szCs w:val="15"/>
              </w:rPr>
              <w:t>financial:</w:t>
            </w:r>
          </w:p>
        </w:tc>
        <w:tc>
          <w:tcPr>
            <w:tcW w:w="0" w:type="auto"/>
            <w:gridSpan w:val="3"/>
            <w:shd w:val="clear" w:color="auto" w:fill="auto"/>
            <w:tcMar>
              <w:top w:w="0" w:type="dxa"/>
              <w:left w:w="20" w:type="dxa"/>
              <w:bottom w:w="0" w:type="dxa"/>
              <w:right w:w="20" w:type="dxa"/>
            </w:tcMar>
            <w:vAlign w:val="bottom"/>
          </w:tcPr>
          <w:p w14:paraId="74DDE028"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029"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02A" w14:textId="77777777" w:rsidR="00584EC1" w:rsidRDefault="00584EC1">
            <w:pPr>
              <w:rPr>
                <w:rFonts w:ascii="宋体"/>
              </w:rPr>
            </w:pPr>
          </w:p>
        </w:tc>
        <w:tc>
          <w:tcPr>
            <w:tcW w:w="0" w:type="auto"/>
            <w:shd w:val="clear" w:color="auto" w:fill="auto"/>
            <w:vAlign w:val="bottom"/>
          </w:tcPr>
          <w:p w14:paraId="74DDE02B" w14:textId="77777777" w:rsidR="00584EC1" w:rsidRDefault="00584EC1">
            <w:pPr>
              <w:rPr>
                <w:rFonts w:ascii="宋体"/>
                <w:vanish/>
              </w:rPr>
            </w:pPr>
          </w:p>
        </w:tc>
        <w:tc>
          <w:tcPr>
            <w:tcW w:w="0" w:type="auto"/>
            <w:shd w:val="clear" w:color="auto" w:fill="auto"/>
            <w:vAlign w:val="bottom"/>
          </w:tcPr>
          <w:p w14:paraId="74DDE02C" w14:textId="77777777" w:rsidR="00584EC1" w:rsidRDefault="00584EC1">
            <w:pPr>
              <w:rPr>
                <w:rFonts w:ascii="宋体"/>
                <w:vanish/>
              </w:rPr>
            </w:pPr>
          </w:p>
        </w:tc>
      </w:tr>
      <w:tr w:rsidR="00584EC1" w14:paraId="74DDE038" w14:textId="77777777">
        <w:tc>
          <w:tcPr>
            <w:tcW w:w="0" w:type="auto"/>
            <w:gridSpan w:val="3"/>
            <w:shd w:val="clear" w:color="auto" w:fill="CCEEFF"/>
            <w:tcMar>
              <w:top w:w="40" w:type="dxa"/>
              <w:left w:w="20" w:type="dxa"/>
              <w:bottom w:w="40" w:type="dxa"/>
              <w:right w:w="20" w:type="dxa"/>
            </w:tcMar>
            <w:vAlign w:val="bottom"/>
          </w:tcPr>
          <w:p w14:paraId="74DDE02E" w14:textId="77777777" w:rsidR="00584EC1" w:rsidRDefault="00871F8D">
            <w:pPr>
              <w:textAlignment w:val="bottom"/>
            </w:pPr>
            <w:r>
              <w:rPr>
                <w:rFonts w:ascii="Arial" w:eastAsia="宋体" w:hAnsi="Arial" w:cs="Arial"/>
                <w:color w:val="000000"/>
                <w:sz w:val="15"/>
                <w:szCs w:val="15"/>
              </w:rPr>
              <w:t>Fund Finance</w:t>
            </w:r>
            <w:r>
              <w:rPr>
                <w:rFonts w:ascii="Arial" w:eastAsia="宋体" w:hAnsi="Arial" w:cs="Arial"/>
                <w:color w:val="000000"/>
                <w:sz w:val="9"/>
                <w:szCs w:val="9"/>
              </w:rPr>
              <w:t>(2)</w:t>
            </w:r>
          </w:p>
        </w:tc>
        <w:tc>
          <w:tcPr>
            <w:tcW w:w="0" w:type="auto"/>
            <w:shd w:val="clear" w:color="auto" w:fill="CCEEFF"/>
            <w:tcMar>
              <w:top w:w="40" w:type="dxa"/>
              <w:left w:w="20" w:type="dxa"/>
              <w:bottom w:w="40" w:type="dxa"/>
              <w:right w:w="0" w:type="dxa"/>
            </w:tcMar>
            <w:vAlign w:val="bottom"/>
          </w:tcPr>
          <w:p w14:paraId="74DDE02F" w14:textId="77777777" w:rsidR="00584EC1" w:rsidRDefault="00871F8D">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4DDE030" w14:textId="77777777" w:rsidR="00584EC1" w:rsidRDefault="00871F8D">
            <w:pPr>
              <w:jc w:val="right"/>
              <w:textAlignment w:val="bottom"/>
            </w:pPr>
            <w:r>
              <w:rPr>
                <w:rFonts w:ascii="Arial" w:eastAsia="宋体" w:hAnsi="Arial" w:cs="Arial"/>
                <w:b/>
                <w:bCs/>
                <w:color w:val="000000"/>
                <w:sz w:val="15"/>
                <w:szCs w:val="15"/>
              </w:rPr>
              <w:t>12,367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E03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032"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E033" w14:textId="77777777" w:rsidR="00584EC1" w:rsidRDefault="00871F8D">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4DDE034" w14:textId="77777777" w:rsidR="00584EC1" w:rsidRDefault="00871F8D">
            <w:pPr>
              <w:jc w:val="right"/>
              <w:textAlignment w:val="bottom"/>
            </w:pPr>
            <w:r>
              <w:rPr>
                <w:rFonts w:ascii="Arial" w:eastAsia="宋体" w:hAnsi="Arial" w:cs="Arial"/>
                <w:color w:val="000000"/>
                <w:sz w:val="15"/>
                <w:szCs w:val="15"/>
              </w:rPr>
              <w:t>11,531 </w:t>
            </w:r>
          </w:p>
        </w:tc>
        <w:tc>
          <w:tcPr>
            <w:tcW w:w="0" w:type="auto"/>
            <w:shd w:val="clear" w:color="auto" w:fill="CCEEFF"/>
            <w:tcMar>
              <w:top w:w="40" w:type="dxa"/>
              <w:left w:w="0" w:type="dxa"/>
              <w:bottom w:w="40" w:type="dxa"/>
              <w:right w:w="20" w:type="dxa"/>
            </w:tcMar>
            <w:vAlign w:val="bottom"/>
          </w:tcPr>
          <w:p w14:paraId="74DDE035" w14:textId="77777777" w:rsidR="00584EC1" w:rsidRDefault="00584EC1">
            <w:pPr>
              <w:jc w:val="right"/>
              <w:rPr>
                <w:rFonts w:ascii="宋体"/>
              </w:rPr>
            </w:pPr>
          </w:p>
        </w:tc>
        <w:tc>
          <w:tcPr>
            <w:tcW w:w="0" w:type="auto"/>
            <w:shd w:val="clear" w:color="auto" w:fill="auto"/>
            <w:vAlign w:val="bottom"/>
          </w:tcPr>
          <w:p w14:paraId="74DDE036" w14:textId="77777777" w:rsidR="00584EC1" w:rsidRDefault="00584EC1">
            <w:pPr>
              <w:rPr>
                <w:rFonts w:ascii="宋体"/>
                <w:vanish/>
              </w:rPr>
            </w:pPr>
          </w:p>
        </w:tc>
        <w:tc>
          <w:tcPr>
            <w:tcW w:w="0" w:type="auto"/>
            <w:shd w:val="clear" w:color="auto" w:fill="auto"/>
            <w:vAlign w:val="bottom"/>
          </w:tcPr>
          <w:p w14:paraId="74DDE037" w14:textId="77777777" w:rsidR="00584EC1" w:rsidRDefault="00584EC1">
            <w:pPr>
              <w:rPr>
                <w:rFonts w:ascii="宋体"/>
                <w:vanish/>
              </w:rPr>
            </w:pPr>
          </w:p>
        </w:tc>
      </w:tr>
      <w:tr w:rsidR="00584EC1" w14:paraId="74DDE041" w14:textId="77777777">
        <w:tc>
          <w:tcPr>
            <w:tcW w:w="0" w:type="auto"/>
            <w:gridSpan w:val="3"/>
            <w:shd w:val="clear" w:color="auto" w:fill="FFFFFF"/>
            <w:tcMar>
              <w:top w:w="40" w:type="dxa"/>
              <w:left w:w="245" w:type="dxa"/>
              <w:bottom w:w="40" w:type="dxa"/>
              <w:right w:w="20" w:type="dxa"/>
            </w:tcMar>
            <w:vAlign w:val="bottom"/>
          </w:tcPr>
          <w:p w14:paraId="74DDE039" w14:textId="77777777" w:rsidR="00584EC1" w:rsidRDefault="00871F8D">
            <w:pPr>
              <w:textAlignment w:val="bottom"/>
            </w:pPr>
            <w:r>
              <w:rPr>
                <w:rFonts w:ascii="Arial" w:eastAsia="宋体" w:hAnsi="Arial" w:cs="Arial"/>
                <w:color w:val="000000"/>
                <w:sz w:val="15"/>
                <w:szCs w:val="15"/>
              </w:rPr>
              <w:t>Leveraged loans</w:t>
            </w:r>
          </w:p>
        </w:tc>
        <w:tc>
          <w:tcPr>
            <w:tcW w:w="0" w:type="auto"/>
            <w:gridSpan w:val="2"/>
            <w:shd w:val="clear" w:color="auto" w:fill="FFFFFF"/>
            <w:tcMar>
              <w:top w:w="40" w:type="dxa"/>
              <w:left w:w="20" w:type="dxa"/>
              <w:bottom w:w="40" w:type="dxa"/>
              <w:right w:w="0" w:type="dxa"/>
            </w:tcMar>
            <w:vAlign w:val="bottom"/>
          </w:tcPr>
          <w:p w14:paraId="74DDE03A" w14:textId="77777777" w:rsidR="00584EC1" w:rsidRDefault="00871F8D">
            <w:pPr>
              <w:jc w:val="right"/>
              <w:textAlignment w:val="bottom"/>
            </w:pPr>
            <w:r>
              <w:rPr>
                <w:rFonts w:ascii="Arial" w:eastAsia="宋体" w:hAnsi="Arial" w:cs="Arial"/>
                <w:b/>
                <w:bCs/>
                <w:color w:val="000000"/>
                <w:sz w:val="15"/>
                <w:szCs w:val="15"/>
              </w:rPr>
              <w:t>3,407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E03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03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03D" w14:textId="77777777" w:rsidR="00584EC1" w:rsidRDefault="00871F8D">
            <w:pPr>
              <w:jc w:val="right"/>
              <w:textAlignment w:val="bottom"/>
            </w:pPr>
            <w:r>
              <w:rPr>
                <w:rFonts w:ascii="Arial" w:eastAsia="宋体" w:hAnsi="Arial" w:cs="Arial"/>
                <w:color w:val="000000"/>
                <w:sz w:val="15"/>
                <w:szCs w:val="15"/>
              </w:rPr>
              <w:t>2,923 </w:t>
            </w:r>
          </w:p>
        </w:tc>
        <w:tc>
          <w:tcPr>
            <w:tcW w:w="0" w:type="auto"/>
            <w:shd w:val="clear" w:color="auto" w:fill="FFFFFF"/>
            <w:tcMar>
              <w:top w:w="40" w:type="dxa"/>
              <w:left w:w="0" w:type="dxa"/>
              <w:bottom w:w="40" w:type="dxa"/>
              <w:right w:w="20" w:type="dxa"/>
            </w:tcMar>
            <w:vAlign w:val="bottom"/>
          </w:tcPr>
          <w:p w14:paraId="74DDE03E" w14:textId="77777777" w:rsidR="00584EC1" w:rsidRDefault="00584EC1">
            <w:pPr>
              <w:jc w:val="right"/>
              <w:rPr>
                <w:rFonts w:ascii="宋体"/>
              </w:rPr>
            </w:pPr>
          </w:p>
        </w:tc>
        <w:tc>
          <w:tcPr>
            <w:tcW w:w="0" w:type="auto"/>
            <w:shd w:val="clear" w:color="auto" w:fill="auto"/>
            <w:vAlign w:val="bottom"/>
          </w:tcPr>
          <w:p w14:paraId="74DDE03F" w14:textId="77777777" w:rsidR="00584EC1" w:rsidRDefault="00584EC1">
            <w:pPr>
              <w:rPr>
                <w:rFonts w:ascii="宋体"/>
                <w:vanish/>
              </w:rPr>
            </w:pPr>
          </w:p>
        </w:tc>
        <w:tc>
          <w:tcPr>
            <w:tcW w:w="0" w:type="auto"/>
            <w:shd w:val="clear" w:color="auto" w:fill="auto"/>
            <w:vAlign w:val="bottom"/>
          </w:tcPr>
          <w:p w14:paraId="74DDE040" w14:textId="77777777" w:rsidR="00584EC1" w:rsidRDefault="00584EC1">
            <w:pPr>
              <w:rPr>
                <w:rFonts w:ascii="宋体"/>
                <w:vanish/>
              </w:rPr>
            </w:pPr>
          </w:p>
        </w:tc>
      </w:tr>
      <w:tr w:rsidR="00584EC1" w14:paraId="74DDE048" w14:textId="77777777">
        <w:trPr>
          <w:hidden/>
        </w:trPr>
        <w:tc>
          <w:tcPr>
            <w:tcW w:w="0" w:type="auto"/>
            <w:gridSpan w:val="3"/>
            <w:shd w:val="clear" w:color="auto" w:fill="auto"/>
            <w:vAlign w:val="bottom"/>
          </w:tcPr>
          <w:p w14:paraId="74DDE042" w14:textId="77777777" w:rsidR="00584EC1" w:rsidRDefault="00584EC1">
            <w:pPr>
              <w:rPr>
                <w:rFonts w:ascii="宋体"/>
                <w:vanish/>
              </w:rPr>
            </w:pPr>
          </w:p>
        </w:tc>
        <w:tc>
          <w:tcPr>
            <w:tcW w:w="0" w:type="auto"/>
            <w:gridSpan w:val="3"/>
            <w:shd w:val="clear" w:color="auto" w:fill="auto"/>
            <w:vAlign w:val="bottom"/>
          </w:tcPr>
          <w:p w14:paraId="74DDE043" w14:textId="77777777" w:rsidR="00584EC1" w:rsidRDefault="00584EC1">
            <w:pPr>
              <w:rPr>
                <w:rFonts w:ascii="宋体"/>
                <w:vanish/>
              </w:rPr>
            </w:pPr>
          </w:p>
        </w:tc>
        <w:tc>
          <w:tcPr>
            <w:tcW w:w="0" w:type="auto"/>
            <w:gridSpan w:val="3"/>
            <w:shd w:val="clear" w:color="auto" w:fill="auto"/>
            <w:vAlign w:val="bottom"/>
          </w:tcPr>
          <w:p w14:paraId="74DDE044" w14:textId="77777777" w:rsidR="00584EC1" w:rsidRDefault="00584EC1">
            <w:pPr>
              <w:rPr>
                <w:rFonts w:ascii="宋体"/>
                <w:vanish/>
              </w:rPr>
            </w:pPr>
          </w:p>
        </w:tc>
        <w:tc>
          <w:tcPr>
            <w:tcW w:w="0" w:type="auto"/>
            <w:gridSpan w:val="3"/>
            <w:shd w:val="clear" w:color="auto" w:fill="auto"/>
            <w:vAlign w:val="bottom"/>
          </w:tcPr>
          <w:p w14:paraId="74DDE045" w14:textId="77777777" w:rsidR="00584EC1" w:rsidRDefault="00584EC1">
            <w:pPr>
              <w:rPr>
                <w:rFonts w:ascii="宋体"/>
                <w:vanish/>
              </w:rPr>
            </w:pPr>
          </w:p>
        </w:tc>
        <w:tc>
          <w:tcPr>
            <w:tcW w:w="0" w:type="auto"/>
            <w:shd w:val="clear" w:color="auto" w:fill="auto"/>
            <w:vAlign w:val="bottom"/>
          </w:tcPr>
          <w:p w14:paraId="74DDE046" w14:textId="77777777" w:rsidR="00584EC1" w:rsidRDefault="00584EC1">
            <w:pPr>
              <w:rPr>
                <w:rFonts w:ascii="宋体"/>
                <w:vanish/>
              </w:rPr>
            </w:pPr>
          </w:p>
        </w:tc>
        <w:tc>
          <w:tcPr>
            <w:tcW w:w="0" w:type="auto"/>
            <w:shd w:val="clear" w:color="auto" w:fill="auto"/>
            <w:vAlign w:val="bottom"/>
          </w:tcPr>
          <w:p w14:paraId="74DDE047" w14:textId="77777777" w:rsidR="00584EC1" w:rsidRDefault="00584EC1">
            <w:pPr>
              <w:rPr>
                <w:rFonts w:ascii="宋体"/>
                <w:vanish/>
              </w:rPr>
            </w:pPr>
          </w:p>
        </w:tc>
      </w:tr>
      <w:tr w:rsidR="00584EC1" w14:paraId="74DDE051" w14:textId="77777777">
        <w:tc>
          <w:tcPr>
            <w:tcW w:w="0" w:type="auto"/>
            <w:gridSpan w:val="3"/>
            <w:shd w:val="clear" w:color="auto" w:fill="CCEEFF"/>
            <w:tcMar>
              <w:top w:w="40" w:type="dxa"/>
              <w:left w:w="245" w:type="dxa"/>
              <w:bottom w:w="40" w:type="dxa"/>
              <w:right w:w="20" w:type="dxa"/>
            </w:tcMar>
            <w:vAlign w:val="bottom"/>
          </w:tcPr>
          <w:p w14:paraId="74DDE049" w14:textId="77777777" w:rsidR="00584EC1" w:rsidRDefault="00871F8D">
            <w:pPr>
              <w:textAlignment w:val="bottom"/>
            </w:pPr>
            <w:r>
              <w:rPr>
                <w:rFonts w:ascii="Arial" w:eastAsia="宋体" w:hAnsi="Arial" w:cs="Arial"/>
                <w:color w:val="000000"/>
                <w:sz w:val="15"/>
                <w:szCs w:val="15"/>
              </w:rPr>
              <w:t>Overdrafts</w:t>
            </w:r>
          </w:p>
        </w:tc>
        <w:tc>
          <w:tcPr>
            <w:tcW w:w="0" w:type="auto"/>
            <w:gridSpan w:val="2"/>
            <w:shd w:val="clear" w:color="auto" w:fill="CCEEFF"/>
            <w:tcMar>
              <w:top w:w="40" w:type="dxa"/>
              <w:left w:w="20" w:type="dxa"/>
              <w:bottom w:w="40" w:type="dxa"/>
              <w:right w:w="0" w:type="dxa"/>
            </w:tcMar>
            <w:vAlign w:val="bottom"/>
          </w:tcPr>
          <w:p w14:paraId="74DDE04A" w14:textId="77777777" w:rsidR="00584EC1" w:rsidRDefault="00871F8D">
            <w:pPr>
              <w:jc w:val="right"/>
              <w:textAlignment w:val="bottom"/>
            </w:pPr>
            <w:r>
              <w:rPr>
                <w:rFonts w:ascii="Arial" w:eastAsia="宋体" w:hAnsi="Arial" w:cs="Arial"/>
                <w:b/>
                <w:bCs/>
                <w:color w:val="000000"/>
                <w:sz w:val="15"/>
                <w:szCs w:val="15"/>
              </w:rPr>
              <w:t>2,352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E04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04C"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E04D" w14:textId="77777777" w:rsidR="00584EC1" w:rsidRDefault="00871F8D">
            <w:pPr>
              <w:jc w:val="right"/>
              <w:textAlignment w:val="bottom"/>
            </w:pPr>
            <w:r>
              <w:rPr>
                <w:rFonts w:ascii="Arial" w:eastAsia="宋体" w:hAnsi="Arial" w:cs="Arial"/>
                <w:color w:val="000000"/>
                <w:sz w:val="15"/>
                <w:szCs w:val="15"/>
              </w:rPr>
              <w:t>1,894 </w:t>
            </w:r>
          </w:p>
        </w:tc>
        <w:tc>
          <w:tcPr>
            <w:tcW w:w="0" w:type="auto"/>
            <w:shd w:val="clear" w:color="auto" w:fill="CCEEFF"/>
            <w:tcMar>
              <w:top w:w="40" w:type="dxa"/>
              <w:left w:w="0" w:type="dxa"/>
              <w:bottom w:w="40" w:type="dxa"/>
              <w:right w:w="20" w:type="dxa"/>
            </w:tcMar>
            <w:vAlign w:val="bottom"/>
          </w:tcPr>
          <w:p w14:paraId="74DDE04E" w14:textId="77777777" w:rsidR="00584EC1" w:rsidRDefault="00584EC1">
            <w:pPr>
              <w:jc w:val="right"/>
              <w:rPr>
                <w:rFonts w:ascii="宋体"/>
              </w:rPr>
            </w:pPr>
          </w:p>
        </w:tc>
        <w:tc>
          <w:tcPr>
            <w:tcW w:w="0" w:type="auto"/>
            <w:shd w:val="clear" w:color="auto" w:fill="auto"/>
            <w:vAlign w:val="bottom"/>
          </w:tcPr>
          <w:p w14:paraId="74DDE04F" w14:textId="77777777" w:rsidR="00584EC1" w:rsidRDefault="00584EC1">
            <w:pPr>
              <w:rPr>
                <w:rFonts w:ascii="宋体"/>
                <w:vanish/>
              </w:rPr>
            </w:pPr>
          </w:p>
        </w:tc>
        <w:tc>
          <w:tcPr>
            <w:tcW w:w="0" w:type="auto"/>
            <w:shd w:val="clear" w:color="auto" w:fill="auto"/>
            <w:vAlign w:val="bottom"/>
          </w:tcPr>
          <w:p w14:paraId="74DDE050" w14:textId="77777777" w:rsidR="00584EC1" w:rsidRDefault="00584EC1">
            <w:pPr>
              <w:rPr>
                <w:rFonts w:ascii="宋体"/>
                <w:vanish/>
              </w:rPr>
            </w:pPr>
          </w:p>
        </w:tc>
      </w:tr>
      <w:tr w:rsidR="00584EC1" w14:paraId="74DDE05A" w14:textId="77777777">
        <w:tc>
          <w:tcPr>
            <w:tcW w:w="0" w:type="auto"/>
            <w:gridSpan w:val="3"/>
            <w:shd w:val="clear" w:color="auto" w:fill="FFFFFF"/>
            <w:tcMar>
              <w:top w:w="40" w:type="dxa"/>
              <w:left w:w="20" w:type="dxa"/>
              <w:bottom w:w="40" w:type="dxa"/>
              <w:right w:w="20" w:type="dxa"/>
            </w:tcMar>
            <w:vAlign w:val="bottom"/>
          </w:tcPr>
          <w:p w14:paraId="74DDE052" w14:textId="77777777" w:rsidR="00584EC1" w:rsidRDefault="00871F8D">
            <w:pPr>
              <w:textAlignment w:val="bottom"/>
            </w:pPr>
            <w:r>
              <w:rPr>
                <w:rFonts w:ascii="Arial" w:eastAsia="宋体" w:hAnsi="Arial" w:cs="Arial"/>
                <w:color w:val="000000"/>
                <w:sz w:val="15"/>
                <w:szCs w:val="15"/>
              </w:rPr>
              <w:t>Other</w:t>
            </w:r>
            <w:r>
              <w:rPr>
                <w:rFonts w:ascii="Arial" w:eastAsia="宋体" w:hAnsi="Arial" w:cs="Arial"/>
                <w:color w:val="000000"/>
                <w:sz w:val="9"/>
                <w:szCs w:val="9"/>
              </w:rPr>
              <w:t>(3)</w:t>
            </w:r>
          </w:p>
        </w:tc>
        <w:tc>
          <w:tcPr>
            <w:tcW w:w="0" w:type="auto"/>
            <w:gridSpan w:val="2"/>
            <w:shd w:val="clear" w:color="auto" w:fill="FFFFFF"/>
            <w:tcMar>
              <w:top w:w="40" w:type="dxa"/>
              <w:left w:w="20" w:type="dxa"/>
              <w:bottom w:w="40" w:type="dxa"/>
              <w:right w:w="0" w:type="dxa"/>
            </w:tcMar>
            <w:vAlign w:val="bottom"/>
          </w:tcPr>
          <w:p w14:paraId="74DDE053" w14:textId="77777777" w:rsidR="00584EC1" w:rsidRDefault="00871F8D">
            <w:pPr>
              <w:jc w:val="right"/>
              <w:textAlignment w:val="bottom"/>
            </w:pPr>
            <w:r>
              <w:rPr>
                <w:rFonts w:ascii="Arial" w:eastAsia="宋体" w:hAnsi="Arial" w:cs="Arial"/>
                <w:b/>
                <w:bCs/>
                <w:color w:val="000000"/>
                <w:sz w:val="15"/>
                <w:szCs w:val="15"/>
              </w:rPr>
              <w:t>2,140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E05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055"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056" w14:textId="77777777" w:rsidR="00584EC1" w:rsidRDefault="00871F8D">
            <w:pPr>
              <w:jc w:val="right"/>
              <w:textAlignment w:val="bottom"/>
            </w:pPr>
            <w:r>
              <w:rPr>
                <w:rFonts w:ascii="Arial" w:eastAsia="宋体" w:hAnsi="Arial" w:cs="Arial"/>
                <w:color w:val="000000"/>
                <w:sz w:val="15"/>
                <w:szCs w:val="15"/>
              </w:rPr>
              <w:t>2,688 </w:t>
            </w:r>
          </w:p>
        </w:tc>
        <w:tc>
          <w:tcPr>
            <w:tcW w:w="0" w:type="auto"/>
            <w:shd w:val="clear" w:color="auto" w:fill="FFFFFF"/>
            <w:tcMar>
              <w:top w:w="40" w:type="dxa"/>
              <w:left w:w="0" w:type="dxa"/>
              <w:bottom w:w="40" w:type="dxa"/>
              <w:right w:w="20" w:type="dxa"/>
            </w:tcMar>
            <w:vAlign w:val="bottom"/>
          </w:tcPr>
          <w:p w14:paraId="74DDE057" w14:textId="77777777" w:rsidR="00584EC1" w:rsidRDefault="00584EC1">
            <w:pPr>
              <w:jc w:val="right"/>
              <w:rPr>
                <w:rFonts w:ascii="宋体"/>
              </w:rPr>
            </w:pPr>
          </w:p>
        </w:tc>
        <w:tc>
          <w:tcPr>
            <w:tcW w:w="0" w:type="auto"/>
            <w:shd w:val="clear" w:color="auto" w:fill="auto"/>
            <w:vAlign w:val="bottom"/>
          </w:tcPr>
          <w:p w14:paraId="74DDE058" w14:textId="77777777" w:rsidR="00584EC1" w:rsidRDefault="00584EC1">
            <w:pPr>
              <w:rPr>
                <w:rFonts w:ascii="宋体"/>
                <w:vanish/>
              </w:rPr>
            </w:pPr>
          </w:p>
        </w:tc>
        <w:tc>
          <w:tcPr>
            <w:tcW w:w="0" w:type="auto"/>
            <w:shd w:val="clear" w:color="auto" w:fill="auto"/>
            <w:vAlign w:val="bottom"/>
          </w:tcPr>
          <w:p w14:paraId="74DDE059" w14:textId="77777777" w:rsidR="00584EC1" w:rsidRDefault="00584EC1">
            <w:pPr>
              <w:rPr>
                <w:rFonts w:ascii="宋体"/>
                <w:vanish/>
              </w:rPr>
            </w:pPr>
          </w:p>
        </w:tc>
      </w:tr>
      <w:tr w:rsidR="00584EC1" w14:paraId="74DDE063" w14:textId="77777777">
        <w:tc>
          <w:tcPr>
            <w:tcW w:w="0" w:type="auto"/>
            <w:gridSpan w:val="3"/>
            <w:shd w:val="clear" w:color="auto" w:fill="CCEEFF"/>
            <w:tcMar>
              <w:top w:w="40" w:type="dxa"/>
              <w:left w:w="155" w:type="dxa"/>
              <w:bottom w:w="40" w:type="dxa"/>
              <w:right w:w="20" w:type="dxa"/>
            </w:tcMar>
            <w:vAlign w:val="bottom"/>
          </w:tcPr>
          <w:p w14:paraId="74DDE05B" w14:textId="77777777" w:rsidR="00584EC1" w:rsidRDefault="00871F8D">
            <w:pPr>
              <w:textAlignment w:val="bottom"/>
            </w:pPr>
            <w:r>
              <w:rPr>
                <w:rFonts w:ascii="Arial" w:eastAsia="宋体" w:hAnsi="Arial" w:cs="Arial"/>
                <w:color w:val="000000"/>
                <w:sz w:val="15"/>
                <w:szCs w:val="15"/>
              </w:rPr>
              <w:t>Commercial real estate</w:t>
            </w:r>
          </w:p>
        </w:tc>
        <w:tc>
          <w:tcPr>
            <w:tcW w:w="0" w:type="auto"/>
            <w:gridSpan w:val="2"/>
            <w:shd w:val="clear" w:color="auto" w:fill="CCEEFF"/>
            <w:tcMar>
              <w:top w:w="40" w:type="dxa"/>
              <w:left w:w="20" w:type="dxa"/>
              <w:bottom w:w="40" w:type="dxa"/>
              <w:right w:w="0" w:type="dxa"/>
            </w:tcMar>
            <w:vAlign w:val="bottom"/>
          </w:tcPr>
          <w:p w14:paraId="74DDE05C" w14:textId="77777777" w:rsidR="00584EC1" w:rsidRDefault="00871F8D">
            <w:pPr>
              <w:jc w:val="right"/>
              <w:textAlignment w:val="bottom"/>
            </w:pPr>
            <w:r>
              <w:rPr>
                <w:rFonts w:ascii="Arial" w:eastAsia="宋体" w:hAnsi="Arial" w:cs="Arial"/>
                <w:b/>
                <w:bCs/>
                <w:color w:val="000000"/>
                <w:sz w:val="15"/>
                <w:szCs w:val="15"/>
              </w:rPr>
              <w:t>2,384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E05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05E"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E05F" w14:textId="77777777" w:rsidR="00584EC1" w:rsidRDefault="00871F8D">
            <w:pPr>
              <w:jc w:val="right"/>
              <w:textAlignment w:val="bottom"/>
            </w:pPr>
            <w:r>
              <w:rPr>
                <w:rFonts w:ascii="Arial" w:eastAsia="宋体" w:hAnsi="Arial" w:cs="Arial"/>
                <w:color w:val="000000"/>
                <w:sz w:val="15"/>
                <w:szCs w:val="15"/>
              </w:rPr>
              <w:t>2,096 </w:t>
            </w:r>
          </w:p>
        </w:tc>
        <w:tc>
          <w:tcPr>
            <w:tcW w:w="0" w:type="auto"/>
            <w:shd w:val="clear" w:color="auto" w:fill="CCEEFF"/>
            <w:tcMar>
              <w:top w:w="40" w:type="dxa"/>
              <w:left w:w="0" w:type="dxa"/>
              <w:bottom w:w="40" w:type="dxa"/>
              <w:right w:w="20" w:type="dxa"/>
            </w:tcMar>
            <w:vAlign w:val="bottom"/>
          </w:tcPr>
          <w:p w14:paraId="74DDE060" w14:textId="77777777" w:rsidR="00584EC1" w:rsidRDefault="00584EC1">
            <w:pPr>
              <w:jc w:val="right"/>
              <w:rPr>
                <w:rFonts w:ascii="宋体"/>
              </w:rPr>
            </w:pPr>
          </w:p>
        </w:tc>
        <w:tc>
          <w:tcPr>
            <w:tcW w:w="0" w:type="auto"/>
            <w:shd w:val="clear" w:color="auto" w:fill="auto"/>
            <w:vAlign w:val="bottom"/>
          </w:tcPr>
          <w:p w14:paraId="74DDE061" w14:textId="77777777" w:rsidR="00584EC1" w:rsidRDefault="00584EC1">
            <w:pPr>
              <w:rPr>
                <w:rFonts w:ascii="宋体"/>
                <w:vanish/>
              </w:rPr>
            </w:pPr>
          </w:p>
        </w:tc>
        <w:tc>
          <w:tcPr>
            <w:tcW w:w="0" w:type="auto"/>
            <w:shd w:val="clear" w:color="auto" w:fill="auto"/>
            <w:vAlign w:val="bottom"/>
          </w:tcPr>
          <w:p w14:paraId="74DDE062" w14:textId="77777777" w:rsidR="00584EC1" w:rsidRDefault="00584EC1">
            <w:pPr>
              <w:rPr>
                <w:rFonts w:ascii="宋体"/>
                <w:vanish/>
              </w:rPr>
            </w:pPr>
          </w:p>
        </w:tc>
      </w:tr>
      <w:tr w:rsidR="00584EC1" w14:paraId="74DDE06A" w14:textId="77777777">
        <w:trPr>
          <w:hidden/>
        </w:trPr>
        <w:tc>
          <w:tcPr>
            <w:tcW w:w="0" w:type="auto"/>
            <w:gridSpan w:val="3"/>
            <w:shd w:val="clear" w:color="auto" w:fill="auto"/>
            <w:vAlign w:val="bottom"/>
          </w:tcPr>
          <w:p w14:paraId="74DDE064" w14:textId="77777777" w:rsidR="00584EC1" w:rsidRDefault="00584EC1">
            <w:pPr>
              <w:rPr>
                <w:rFonts w:ascii="宋体"/>
                <w:vanish/>
              </w:rPr>
            </w:pPr>
          </w:p>
        </w:tc>
        <w:tc>
          <w:tcPr>
            <w:tcW w:w="0" w:type="auto"/>
            <w:gridSpan w:val="3"/>
            <w:shd w:val="clear" w:color="auto" w:fill="auto"/>
            <w:vAlign w:val="bottom"/>
          </w:tcPr>
          <w:p w14:paraId="74DDE065" w14:textId="77777777" w:rsidR="00584EC1" w:rsidRDefault="00584EC1">
            <w:pPr>
              <w:rPr>
                <w:rFonts w:ascii="宋体"/>
                <w:vanish/>
              </w:rPr>
            </w:pPr>
          </w:p>
        </w:tc>
        <w:tc>
          <w:tcPr>
            <w:tcW w:w="0" w:type="auto"/>
            <w:gridSpan w:val="3"/>
            <w:shd w:val="clear" w:color="auto" w:fill="auto"/>
            <w:vAlign w:val="bottom"/>
          </w:tcPr>
          <w:p w14:paraId="74DDE066" w14:textId="77777777" w:rsidR="00584EC1" w:rsidRDefault="00584EC1">
            <w:pPr>
              <w:rPr>
                <w:rFonts w:ascii="宋体"/>
                <w:vanish/>
              </w:rPr>
            </w:pPr>
          </w:p>
        </w:tc>
        <w:tc>
          <w:tcPr>
            <w:tcW w:w="0" w:type="auto"/>
            <w:gridSpan w:val="3"/>
            <w:shd w:val="clear" w:color="auto" w:fill="auto"/>
            <w:vAlign w:val="bottom"/>
          </w:tcPr>
          <w:p w14:paraId="74DDE067" w14:textId="77777777" w:rsidR="00584EC1" w:rsidRDefault="00584EC1">
            <w:pPr>
              <w:rPr>
                <w:rFonts w:ascii="宋体"/>
                <w:vanish/>
              </w:rPr>
            </w:pPr>
          </w:p>
        </w:tc>
        <w:tc>
          <w:tcPr>
            <w:tcW w:w="0" w:type="auto"/>
            <w:shd w:val="clear" w:color="auto" w:fill="auto"/>
            <w:vAlign w:val="bottom"/>
          </w:tcPr>
          <w:p w14:paraId="74DDE068" w14:textId="77777777" w:rsidR="00584EC1" w:rsidRDefault="00584EC1">
            <w:pPr>
              <w:rPr>
                <w:rFonts w:ascii="宋体"/>
                <w:vanish/>
              </w:rPr>
            </w:pPr>
          </w:p>
        </w:tc>
        <w:tc>
          <w:tcPr>
            <w:tcW w:w="0" w:type="auto"/>
            <w:shd w:val="clear" w:color="auto" w:fill="auto"/>
            <w:vAlign w:val="bottom"/>
          </w:tcPr>
          <w:p w14:paraId="74DDE069" w14:textId="77777777" w:rsidR="00584EC1" w:rsidRDefault="00584EC1">
            <w:pPr>
              <w:rPr>
                <w:rFonts w:ascii="宋体"/>
                <w:vanish/>
              </w:rPr>
            </w:pPr>
          </w:p>
        </w:tc>
      </w:tr>
      <w:tr w:rsidR="00584EC1" w14:paraId="74DDE073" w14:textId="77777777">
        <w:tc>
          <w:tcPr>
            <w:tcW w:w="0" w:type="auto"/>
            <w:gridSpan w:val="3"/>
            <w:shd w:val="clear" w:color="auto" w:fill="FFFFFF"/>
            <w:tcMar>
              <w:top w:w="40" w:type="dxa"/>
              <w:left w:w="245" w:type="dxa"/>
              <w:bottom w:w="40" w:type="dxa"/>
              <w:right w:w="20" w:type="dxa"/>
            </w:tcMar>
            <w:vAlign w:val="bottom"/>
          </w:tcPr>
          <w:p w14:paraId="74DDE06B" w14:textId="77777777" w:rsidR="00584EC1" w:rsidRDefault="00871F8D">
            <w:pPr>
              <w:textAlignment w:val="bottom"/>
            </w:pPr>
            <w:r>
              <w:rPr>
                <w:rFonts w:ascii="Arial" w:eastAsia="宋体" w:hAnsi="Arial" w:cs="Arial"/>
                <w:color w:val="000000"/>
                <w:sz w:val="15"/>
                <w:szCs w:val="15"/>
              </w:rPr>
              <w:t>Total domestic</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E06C" w14:textId="77777777" w:rsidR="00584EC1" w:rsidRDefault="00871F8D">
            <w:pPr>
              <w:jc w:val="right"/>
              <w:textAlignment w:val="bottom"/>
            </w:pPr>
            <w:r>
              <w:rPr>
                <w:rFonts w:ascii="Arial" w:eastAsia="宋体" w:hAnsi="Arial" w:cs="Arial"/>
                <w:b/>
                <w:bCs/>
                <w:color w:val="000000"/>
                <w:sz w:val="15"/>
                <w:szCs w:val="15"/>
              </w:rPr>
              <w:t>22,650</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E06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06E"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E06F" w14:textId="77777777" w:rsidR="00584EC1" w:rsidRDefault="00871F8D">
            <w:pPr>
              <w:jc w:val="right"/>
              <w:textAlignment w:val="bottom"/>
            </w:pPr>
            <w:r>
              <w:rPr>
                <w:rFonts w:ascii="Arial" w:eastAsia="宋体" w:hAnsi="Arial" w:cs="Arial"/>
                <w:color w:val="000000"/>
                <w:sz w:val="15"/>
                <w:szCs w:val="15"/>
              </w:rPr>
              <w:t>21,132 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E070" w14:textId="77777777" w:rsidR="00584EC1" w:rsidRDefault="00584EC1">
            <w:pPr>
              <w:jc w:val="right"/>
              <w:rPr>
                <w:rFonts w:ascii="宋体"/>
              </w:rPr>
            </w:pPr>
          </w:p>
        </w:tc>
        <w:tc>
          <w:tcPr>
            <w:tcW w:w="0" w:type="auto"/>
            <w:shd w:val="clear" w:color="auto" w:fill="auto"/>
            <w:vAlign w:val="bottom"/>
          </w:tcPr>
          <w:p w14:paraId="74DDE071" w14:textId="77777777" w:rsidR="00584EC1" w:rsidRDefault="00584EC1">
            <w:pPr>
              <w:rPr>
                <w:rFonts w:ascii="宋体"/>
                <w:vanish/>
              </w:rPr>
            </w:pPr>
          </w:p>
        </w:tc>
        <w:tc>
          <w:tcPr>
            <w:tcW w:w="0" w:type="auto"/>
            <w:shd w:val="clear" w:color="auto" w:fill="auto"/>
            <w:vAlign w:val="bottom"/>
          </w:tcPr>
          <w:p w14:paraId="74DDE072" w14:textId="77777777" w:rsidR="00584EC1" w:rsidRDefault="00584EC1">
            <w:pPr>
              <w:rPr>
                <w:rFonts w:ascii="宋体"/>
                <w:vanish/>
              </w:rPr>
            </w:pPr>
          </w:p>
        </w:tc>
      </w:tr>
      <w:tr w:rsidR="00584EC1" w14:paraId="74DDE07A" w14:textId="77777777">
        <w:tc>
          <w:tcPr>
            <w:tcW w:w="0" w:type="auto"/>
            <w:gridSpan w:val="3"/>
            <w:shd w:val="clear" w:color="auto" w:fill="CCEEFF"/>
            <w:tcMar>
              <w:top w:w="40" w:type="dxa"/>
              <w:left w:w="20" w:type="dxa"/>
              <w:bottom w:w="40" w:type="dxa"/>
              <w:right w:w="20" w:type="dxa"/>
            </w:tcMar>
            <w:vAlign w:val="bottom"/>
          </w:tcPr>
          <w:p w14:paraId="74DDE074" w14:textId="77777777" w:rsidR="00584EC1" w:rsidRDefault="00871F8D">
            <w:pPr>
              <w:textAlignment w:val="bottom"/>
            </w:pPr>
            <w:r>
              <w:rPr>
                <w:rFonts w:ascii="Arial" w:eastAsia="宋体" w:hAnsi="Arial" w:cs="Arial"/>
                <w:b/>
                <w:bCs/>
                <w:color w:val="000000"/>
                <w:sz w:val="15"/>
                <w:szCs w:val="15"/>
              </w:rPr>
              <w:t>Foreign</w:t>
            </w:r>
            <w:r>
              <w:rPr>
                <w:rFonts w:ascii="Arial" w:eastAsia="宋体" w:hAnsi="Arial" w:cs="Arial"/>
                <w:b/>
                <w:bCs/>
                <w:color w:val="000000"/>
                <w:sz w:val="9"/>
                <w:szCs w:val="9"/>
              </w:rPr>
              <w:t>(1)</w:t>
            </w:r>
            <w:r>
              <w:rPr>
                <w:rFonts w:ascii="Arial" w:eastAsia="宋体" w:hAnsi="Arial" w:cs="Arial"/>
                <w:b/>
                <w:bCs/>
                <w:color w:val="000000"/>
                <w:sz w:val="15"/>
                <w:szCs w:val="15"/>
              </w:rPr>
              <w:t>:</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4DDE075"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E076" w14:textId="77777777" w:rsidR="00584EC1" w:rsidRDefault="00584EC1">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4DDE077" w14:textId="77777777" w:rsidR="00584EC1" w:rsidRDefault="00584EC1">
            <w:pPr>
              <w:rPr>
                <w:rFonts w:ascii="宋体"/>
              </w:rPr>
            </w:pPr>
          </w:p>
        </w:tc>
        <w:tc>
          <w:tcPr>
            <w:tcW w:w="0" w:type="auto"/>
            <w:shd w:val="clear" w:color="auto" w:fill="auto"/>
            <w:vAlign w:val="bottom"/>
          </w:tcPr>
          <w:p w14:paraId="74DDE078" w14:textId="77777777" w:rsidR="00584EC1" w:rsidRDefault="00584EC1">
            <w:pPr>
              <w:rPr>
                <w:rFonts w:ascii="宋体"/>
                <w:vanish/>
              </w:rPr>
            </w:pPr>
          </w:p>
        </w:tc>
        <w:tc>
          <w:tcPr>
            <w:tcW w:w="0" w:type="auto"/>
            <w:shd w:val="clear" w:color="auto" w:fill="auto"/>
            <w:vAlign w:val="bottom"/>
          </w:tcPr>
          <w:p w14:paraId="74DDE079" w14:textId="77777777" w:rsidR="00584EC1" w:rsidRDefault="00584EC1">
            <w:pPr>
              <w:rPr>
                <w:rFonts w:ascii="宋体"/>
                <w:vanish/>
              </w:rPr>
            </w:pPr>
          </w:p>
        </w:tc>
      </w:tr>
      <w:tr w:rsidR="00584EC1" w14:paraId="74DDE081" w14:textId="77777777">
        <w:tc>
          <w:tcPr>
            <w:tcW w:w="0" w:type="auto"/>
            <w:gridSpan w:val="3"/>
            <w:shd w:val="clear" w:color="auto" w:fill="FFFFFF"/>
            <w:tcMar>
              <w:top w:w="40" w:type="dxa"/>
              <w:left w:w="155" w:type="dxa"/>
              <w:bottom w:w="40" w:type="dxa"/>
              <w:right w:w="20" w:type="dxa"/>
            </w:tcMar>
            <w:vAlign w:val="bottom"/>
          </w:tcPr>
          <w:p w14:paraId="74DDE07B" w14:textId="77777777" w:rsidR="00584EC1" w:rsidRDefault="00871F8D">
            <w:pPr>
              <w:textAlignment w:val="bottom"/>
            </w:pPr>
            <w:r>
              <w:rPr>
                <w:rFonts w:ascii="Arial" w:eastAsia="宋体" w:hAnsi="Arial" w:cs="Arial"/>
                <w:color w:val="000000"/>
                <w:sz w:val="15"/>
                <w:szCs w:val="15"/>
              </w:rPr>
              <w:t>Commercial and financial:</w:t>
            </w:r>
          </w:p>
        </w:tc>
        <w:tc>
          <w:tcPr>
            <w:tcW w:w="0" w:type="auto"/>
            <w:gridSpan w:val="3"/>
            <w:shd w:val="clear" w:color="auto" w:fill="FFFFFF"/>
            <w:tcMar>
              <w:top w:w="0" w:type="dxa"/>
              <w:left w:w="20" w:type="dxa"/>
              <w:bottom w:w="0" w:type="dxa"/>
              <w:right w:w="20" w:type="dxa"/>
            </w:tcMar>
            <w:vAlign w:val="bottom"/>
          </w:tcPr>
          <w:p w14:paraId="74DDE07C"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E07D"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E07E" w14:textId="77777777" w:rsidR="00584EC1" w:rsidRDefault="00584EC1">
            <w:pPr>
              <w:rPr>
                <w:rFonts w:ascii="宋体"/>
              </w:rPr>
            </w:pPr>
          </w:p>
        </w:tc>
        <w:tc>
          <w:tcPr>
            <w:tcW w:w="0" w:type="auto"/>
            <w:shd w:val="clear" w:color="auto" w:fill="auto"/>
            <w:vAlign w:val="bottom"/>
          </w:tcPr>
          <w:p w14:paraId="74DDE07F" w14:textId="77777777" w:rsidR="00584EC1" w:rsidRDefault="00584EC1">
            <w:pPr>
              <w:rPr>
                <w:rFonts w:ascii="宋体"/>
                <w:vanish/>
              </w:rPr>
            </w:pPr>
          </w:p>
        </w:tc>
        <w:tc>
          <w:tcPr>
            <w:tcW w:w="0" w:type="auto"/>
            <w:shd w:val="clear" w:color="auto" w:fill="auto"/>
            <w:vAlign w:val="bottom"/>
          </w:tcPr>
          <w:p w14:paraId="74DDE080" w14:textId="77777777" w:rsidR="00584EC1" w:rsidRDefault="00584EC1">
            <w:pPr>
              <w:rPr>
                <w:rFonts w:ascii="宋体"/>
                <w:vanish/>
              </w:rPr>
            </w:pPr>
          </w:p>
        </w:tc>
      </w:tr>
      <w:tr w:rsidR="00584EC1" w14:paraId="74DDE08A" w14:textId="77777777">
        <w:tc>
          <w:tcPr>
            <w:tcW w:w="0" w:type="auto"/>
            <w:gridSpan w:val="3"/>
            <w:shd w:val="clear" w:color="auto" w:fill="CCEEFF"/>
            <w:tcMar>
              <w:top w:w="40" w:type="dxa"/>
              <w:left w:w="20" w:type="dxa"/>
              <w:bottom w:w="40" w:type="dxa"/>
              <w:right w:w="20" w:type="dxa"/>
            </w:tcMar>
            <w:vAlign w:val="bottom"/>
          </w:tcPr>
          <w:p w14:paraId="74DDE082" w14:textId="77777777" w:rsidR="00584EC1" w:rsidRDefault="00871F8D">
            <w:pPr>
              <w:textAlignment w:val="bottom"/>
            </w:pPr>
            <w:r>
              <w:rPr>
                <w:rFonts w:ascii="Arial" w:eastAsia="宋体" w:hAnsi="Arial" w:cs="Arial"/>
                <w:color w:val="000000"/>
                <w:sz w:val="15"/>
                <w:szCs w:val="15"/>
              </w:rPr>
              <w:t>Fund Finance</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74DDE083" w14:textId="77777777" w:rsidR="00584EC1" w:rsidRDefault="00871F8D">
            <w:pPr>
              <w:jc w:val="right"/>
              <w:textAlignment w:val="bottom"/>
            </w:pPr>
            <w:r>
              <w:rPr>
                <w:rFonts w:ascii="Arial" w:eastAsia="宋体" w:hAnsi="Arial" w:cs="Arial"/>
                <w:b/>
                <w:bCs/>
                <w:color w:val="000000"/>
                <w:sz w:val="15"/>
                <w:szCs w:val="15"/>
              </w:rPr>
              <w:t>7,368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E08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08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E086" w14:textId="77777777" w:rsidR="00584EC1" w:rsidRDefault="00871F8D">
            <w:pPr>
              <w:jc w:val="right"/>
              <w:textAlignment w:val="bottom"/>
            </w:pPr>
            <w:r>
              <w:rPr>
                <w:rFonts w:ascii="Arial" w:eastAsia="宋体" w:hAnsi="Arial" w:cs="Arial"/>
                <w:color w:val="000000"/>
                <w:sz w:val="15"/>
                <w:szCs w:val="15"/>
              </w:rPr>
              <w:t>4,432 </w:t>
            </w:r>
          </w:p>
        </w:tc>
        <w:tc>
          <w:tcPr>
            <w:tcW w:w="0" w:type="auto"/>
            <w:shd w:val="clear" w:color="auto" w:fill="CCEEFF"/>
            <w:tcMar>
              <w:top w:w="40" w:type="dxa"/>
              <w:left w:w="0" w:type="dxa"/>
              <w:bottom w:w="40" w:type="dxa"/>
              <w:right w:w="20" w:type="dxa"/>
            </w:tcMar>
            <w:vAlign w:val="bottom"/>
          </w:tcPr>
          <w:p w14:paraId="74DDE087" w14:textId="77777777" w:rsidR="00584EC1" w:rsidRDefault="00584EC1">
            <w:pPr>
              <w:jc w:val="right"/>
              <w:rPr>
                <w:rFonts w:ascii="宋体"/>
              </w:rPr>
            </w:pPr>
          </w:p>
        </w:tc>
        <w:tc>
          <w:tcPr>
            <w:tcW w:w="0" w:type="auto"/>
            <w:shd w:val="clear" w:color="auto" w:fill="auto"/>
            <w:vAlign w:val="bottom"/>
          </w:tcPr>
          <w:p w14:paraId="74DDE088" w14:textId="77777777" w:rsidR="00584EC1" w:rsidRDefault="00584EC1">
            <w:pPr>
              <w:rPr>
                <w:rFonts w:ascii="宋体"/>
                <w:vanish/>
              </w:rPr>
            </w:pPr>
          </w:p>
        </w:tc>
        <w:tc>
          <w:tcPr>
            <w:tcW w:w="0" w:type="auto"/>
            <w:shd w:val="clear" w:color="auto" w:fill="auto"/>
            <w:vAlign w:val="bottom"/>
          </w:tcPr>
          <w:p w14:paraId="74DDE089" w14:textId="77777777" w:rsidR="00584EC1" w:rsidRDefault="00584EC1">
            <w:pPr>
              <w:rPr>
                <w:rFonts w:ascii="宋体"/>
                <w:vanish/>
              </w:rPr>
            </w:pPr>
          </w:p>
        </w:tc>
      </w:tr>
      <w:tr w:rsidR="00584EC1" w14:paraId="74DDE093" w14:textId="77777777">
        <w:tc>
          <w:tcPr>
            <w:tcW w:w="0" w:type="auto"/>
            <w:gridSpan w:val="3"/>
            <w:shd w:val="clear" w:color="auto" w:fill="FFFFFF"/>
            <w:tcMar>
              <w:top w:w="40" w:type="dxa"/>
              <w:left w:w="245" w:type="dxa"/>
              <w:bottom w:w="40" w:type="dxa"/>
              <w:right w:w="20" w:type="dxa"/>
            </w:tcMar>
            <w:vAlign w:val="bottom"/>
          </w:tcPr>
          <w:p w14:paraId="74DDE08B" w14:textId="77777777" w:rsidR="00584EC1" w:rsidRDefault="00871F8D">
            <w:pPr>
              <w:textAlignment w:val="bottom"/>
            </w:pPr>
            <w:r>
              <w:rPr>
                <w:rFonts w:ascii="Arial" w:eastAsia="宋体" w:hAnsi="Arial" w:cs="Arial"/>
                <w:color w:val="000000"/>
                <w:sz w:val="15"/>
                <w:szCs w:val="15"/>
              </w:rPr>
              <w:t>Leveraged loans</w:t>
            </w:r>
          </w:p>
        </w:tc>
        <w:tc>
          <w:tcPr>
            <w:tcW w:w="0" w:type="auto"/>
            <w:gridSpan w:val="2"/>
            <w:shd w:val="clear" w:color="auto" w:fill="FFFFFF"/>
            <w:tcMar>
              <w:top w:w="40" w:type="dxa"/>
              <w:left w:w="20" w:type="dxa"/>
              <w:bottom w:w="40" w:type="dxa"/>
              <w:right w:w="0" w:type="dxa"/>
            </w:tcMar>
            <w:vAlign w:val="bottom"/>
          </w:tcPr>
          <w:p w14:paraId="74DDE08C" w14:textId="77777777" w:rsidR="00584EC1" w:rsidRDefault="00871F8D">
            <w:pPr>
              <w:jc w:val="right"/>
              <w:textAlignment w:val="bottom"/>
            </w:pPr>
            <w:r>
              <w:rPr>
                <w:rFonts w:ascii="Arial" w:eastAsia="宋体" w:hAnsi="Arial" w:cs="Arial"/>
                <w:b/>
                <w:bCs/>
                <w:color w:val="000000"/>
                <w:sz w:val="15"/>
                <w:szCs w:val="15"/>
              </w:rPr>
              <w:t>1,317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E08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08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08F" w14:textId="77777777" w:rsidR="00584EC1" w:rsidRDefault="00871F8D">
            <w:pPr>
              <w:jc w:val="right"/>
              <w:textAlignment w:val="bottom"/>
            </w:pPr>
            <w:r>
              <w:rPr>
                <w:rFonts w:ascii="Arial" w:eastAsia="宋体" w:hAnsi="Arial" w:cs="Arial"/>
                <w:color w:val="000000"/>
                <w:sz w:val="15"/>
                <w:szCs w:val="15"/>
              </w:rPr>
              <w:t>1,242 </w:t>
            </w:r>
          </w:p>
        </w:tc>
        <w:tc>
          <w:tcPr>
            <w:tcW w:w="0" w:type="auto"/>
            <w:shd w:val="clear" w:color="auto" w:fill="FFFFFF"/>
            <w:tcMar>
              <w:top w:w="40" w:type="dxa"/>
              <w:left w:w="0" w:type="dxa"/>
              <w:bottom w:w="40" w:type="dxa"/>
              <w:right w:w="20" w:type="dxa"/>
            </w:tcMar>
            <w:vAlign w:val="bottom"/>
          </w:tcPr>
          <w:p w14:paraId="74DDE090" w14:textId="77777777" w:rsidR="00584EC1" w:rsidRDefault="00584EC1">
            <w:pPr>
              <w:jc w:val="right"/>
              <w:rPr>
                <w:rFonts w:ascii="宋体"/>
              </w:rPr>
            </w:pPr>
          </w:p>
        </w:tc>
        <w:tc>
          <w:tcPr>
            <w:tcW w:w="0" w:type="auto"/>
            <w:shd w:val="clear" w:color="auto" w:fill="auto"/>
            <w:vAlign w:val="bottom"/>
          </w:tcPr>
          <w:p w14:paraId="74DDE091" w14:textId="77777777" w:rsidR="00584EC1" w:rsidRDefault="00584EC1">
            <w:pPr>
              <w:rPr>
                <w:rFonts w:ascii="宋体"/>
                <w:vanish/>
              </w:rPr>
            </w:pPr>
          </w:p>
        </w:tc>
        <w:tc>
          <w:tcPr>
            <w:tcW w:w="0" w:type="auto"/>
            <w:shd w:val="clear" w:color="auto" w:fill="auto"/>
            <w:vAlign w:val="bottom"/>
          </w:tcPr>
          <w:p w14:paraId="74DDE092" w14:textId="77777777" w:rsidR="00584EC1" w:rsidRDefault="00584EC1">
            <w:pPr>
              <w:rPr>
                <w:rFonts w:ascii="宋体"/>
                <w:vanish/>
              </w:rPr>
            </w:pPr>
          </w:p>
        </w:tc>
      </w:tr>
      <w:tr w:rsidR="00584EC1" w14:paraId="74DDE09A" w14:textId="77777777">
        <w:trPr>
          <w:hidden/>
        </w:trPr>
        <w:tc>
          <w:tcPr>
            <w:tcW w:w="0" w:type="auto"/>
            <w:gridSpan w:val="3"/>
            <w:shd w:val="clear" w:color="auto" w:fill="auto"/>
            <w:vAlign w:val="bottom"/>
          </w:tcPr>
          <w:p w14:paraId="74DDE094" w14:textId="77777777" w:rsidR="00584EC1" w:rsidRDefault="00584EC1">
            <w:pPr>
              <w:rPr>
                <w:rFonts w:ascii="宋体"/>
                <w:vanish/>
              </w:rPr>
            </w:pPr>
          </w:p>
        </w:tc>
        <w:tc>
          <w:tcPr>
            <w:tcW w:w="0" w:type="auto"/>
            <w:gridSpan w:val="3"/>
            <w:shd w:val="clear" w:color="auto" w:fill="auto"/>
            <w:vAlign w:val="bottom"/>
          </w:tcPr>
          <w:p w14:paraId="74DDE095" w14:textId="77777777" w:rsidR="00584EC1" w:rsidRDefault="00584EC1">
            <w:pPr>
              <w:rPr>
                <w:rFonts w:ascii="宋体"/>
                <w:vanish/>
              </w:rPr>
            </w:pPr>
          </w:p>
        </w:tc>
        <w:tc>
          <w:tcPr>
            <w:tcW w:w="0" w:type="auto"/>
            <w:gridSpan w:val="3"/>
            <w:shd w:val="clear" w:color="auto" w:fill="auto"/>
            <w:vAlign w:val="bottom"/>
          </w:tcPr>
          <w:p w14:paraId="74DDE096" w14:textId="77777777" w:rsidR="00584EC1" w:rsidRDefault="00584EC1">
            <w:pPr>
              <w:rPr>
                <w:rFonts w:ascii="宋体"/>
                <w:vanish/>
              </w:rPr>
            </w:pPr>
          </w:p>
        </w:tc>
        <w:tc>
          <w:tcPr>
            <w:tcW w:w="0" w:type="auto"/>
            <w:gridSpan w:val="3"/>
            <w:shd w:val="clear" w:color="auto" w:fill="auto"/>
            <w:vAlign w:val="bottom"/>
          </w:tcPr>
          <w:p w14:paraId="74DDE097" w14:textId="77777777" w:rsidR="00584EC1" w:rsidRDefault="00584EC1">
            <w:pPr>
              <w:rPr>
                <w:rFonts w:ascii="宋体"/>
                <w:vanish/>
              </w:rPr>
            </w:pPr>
          </w:p>
        </w:tc>
        <w:tc>
          <w:tcPr>
            <w:tcW w:w="0" w:type="auto"/>
            <w:shd w:val="clear" w:color="auto" w:fill="auto"/>
            <w:vAlign w:val="bottom"/>
          </w:tcPr>
          <w:p w14:paraId="74DDE098" w14:textId="77777777" w:rsidR="00584EC1" w:rsidRDefault="00584EC1">
            <w:pPr>
              <w:rPr>
                <w:rFonts w:ascii="宋体"/>
                <w:vanish/>
              </w:rPr>
            </w:pPr>
          </w:p>
        </w:tc>
        <w:tc>
          <w:tcPr>
            <w:tcW w:w="0" w:type="auto"/>
            <w:shd w:val="clear" w:color="auto" w:fill="auto"/>
            <w:vAlign w:val="bottom"/>
          </w:tcPr>
          <w:p w14:paraId="74DDE099" w14:textId="77777777" w:rsidR="00584EC1" w:rsidRDefault="00584EC1">
            <w:pPr>
              <w:rPr>
                <w:rFonts w:ascii="宋体"/>
                <w:vanish/>
              </w:rPr>
            </w:pPr>
          </w:p>
        </w:tc>
      </w:tr>
      <w:tr w:rsidR="00584EC1" w14:paraId="74DDE0A3" w14:textId="77777777">
        <w:tc>
          <w:tcPr>
            <w:tcW w:w="0" w:type="auto"/>
            <w:gridSpan w:val="3"/>
            <w:shd w:val="clear" w:color="auto" w:fill="CCEEFF"/>
            <w:tcMar>
              <w:top w:w="40" w:type="dxa"/>
              <w:left w:w="245" w:type="dxa"/>
              <w:bottom w:w="40" w:type="dxa"/>
              <w:right w:w="20" w:type="dxa"/>
            </w:tcMar>
            <w:vAlign w:val="bottom"/>
          </w:tcPr>
          <w:p w14:paraId="74DDE09B" w14:textId="77777777" w:rsidR="00584EC1" w:rsidRDefault="00871F8D">
            <w:pPr>
              <w:textAlignment w:val="bottom"/>
            </w:pPr>
            <w:r>
              <w:rPr>
                <w:rFonts w:ascii="Arial" w:eastAsia="宋体" w:hAnsi="Arial" w:cs="Arial"/>
                <w:color w:val="000000"/>
                <w:sz w:val="15"/>
                <w:szCs w:val="15"/>
              </w:rPr>
              <w:t>Overdrafts</w:t>
            </w:r>
          </w:p>
        </w:tc>
        <w:tc>
          <w:tcPr>
            <w:tcW w:w="0" w:type="auto"/>
            <w:gridSpan w:val="2"/>
            <w:shd w:val="clear" w:color="auto" w:fill="CCEEFF"/>
            <w:tcMar>
              <w:top w:w="40" w:type="dxa"/>
              <w:left w:w="20" w:type="dxa"/>
              <w:bottom w:w="40" w:type="dxa"/>
              <w:right w:w="0" w:type="dxa"/>
            </w:tcMar>
            <w:vAlign w:val="bottom"/>
          </w:tcPr>
          <w:p w14:paraId="74DDE09C" w14:textId="77777777" w:rsidR="00584EC1" w:rsidRDefault="00871F8D">
            <w:pPr>
              <w:jc w:val="right"/>
              <w:textAlignment w:val="bottom"/>
            </w:pPr>
            <w:r>
              <w:rPr>
                <w:rFonts w:ascii="Arial" w:eastAsia="宋体" w:hAnsi="Arial" w:cs="Arial"/>
                <w:b/>
                <w:bCs/>
                <w:color w:val="000000"/>
                <w:sz w:val="15"/>
                <w:szCs w:val="15"/>
              </w:rPr>
              <w:t>1,462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E09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09E"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E09F" w14:textId="77777777" w:rsidR="00584EC1" w:rsidRDefault="00871F8D">
            <w:pPr>
              <w:jc w:val="right"/>
              <w:textAlignment w:val="bottom"/>
            </w:pPr>
            <w:r>
              <w:rPr>
                <w:rFonts w:ascii="Arial" w:eastAsia="宋体" w:hAnsi="Arial" w:cs="Arial"/>
                <w:color w:val="000000"/>
                <w:sz w:val="15"/>
                <w:szCs w:val="15"/>
              </w:rPr>
              <w:t>1,088 </w:t>
            </w:r>
          </w:p>
        </w:tc>
        <w:tc>
          <w:tcPr>
            <w:tcW w:w="0" w:type="auto"/>
            <w:shd w:val="clear" w:color="auto" w:fill="CCEEFF"/>
            <w:tcMar>
              <w:top w:w="40" w:type="dxa"/>
              <w:left w:w="0" w:type="dxa"/>
              <w:bottom w:w="40" w:type="dxa"/>
              <w:right w:w="20" w:type="dxa"/>
            </w:tcMar>
            <w:vAlign w:val="bottom"/>
          </w:tcPr>
          <w:p w14:paraId="74DDE0A0" w14:textId="77777777" w:rsidR="00584EC1" w:rsidRDefault="00584EC1">
            <w:pPr>
              <w:jc w:val="right"/>
              <w:rPr>
                <w:rFonts w:ascii="宋体"/>
              </w:rPr>
            </w:pPr>
          </w:p>
        </w:tc>
        <w:tc>
          <w:tcPr>
            <w:tcW w:w="0" w:type="auto"/>
            <w:shd w:val="clear" w:color="auto" w:fill="auto"/>
            <w:vAlign w:val="bottom"/>
          </w:tcPr>
          <w:p w14:paraId="74DDE0A1" w14:textId="77777777" w:rsidR="00584EC1" w:rsidRDefault="00584EC1">
            <w:pPr>
              <w:rPr>
                <w:rFonts w:ascii="宋体"/>
                <w:vanish/>
              </w:rPr>
            </w:pPr>
          </w:p>
        </w:tc>
        <w:tc>
          <w:tcPr>
            <w:tcW w:w="0" w:type="auto"/>
            <w:shd w:val="clear" w:color="auto" w:fill="auto"/>
            <w:vAlign w:val="bottom"/>
          </w:tcPr>
          <w:p w14:paraId="74DDE0A2" w14:textId="77777777" w:rsidR="00584EC1" w:rsidRDefault="00584EC1">
            <w:pPr>
              <w:rPr>
                <w:rFonts w:ascii="宋体"/>
                <w:vanish/>
              </w:rPr>
            </w:pPr>
          </w:p>
        </w:tc>
      </w:tr>
      <w:tr w:rsidR="00584EC1" w14:paraId="74DDE0AC" w14:textId="77777777">
        <w:tc>
          <w:tcPr>
            <w:tcW w:w="0" w:type="auto"/>
            <w:gridSpan w:val="3"/>
            <w:shd w:val="clear" w:color="auto" w:fill="FFFFFF"/>
            <w:tcMar>
              <w:top w:w="40" w:type="dxa"/>
              <w:left w:w="20" w:type="dxa"/>
              <w:bottom w:w="40" w:type="dxa"/>
              <w:right w:w="20" w:type="dxa"/>
            </w:tcMar>
            <w:vAlign w:val="bottom"/>
          </w:tcPr>
          <w:p w14:paraId="74DDE0A4" w14:textId="77777777" w:rsidR="00584EC1" w:rsidRDefault="00871F8D">
            <w:pPr>
              <w:textAlignment w:val="bottom"/>
            </w:pPr>
            <w:r>
              <w:rPr>
                <w:rFonts w:ascii="Arial" w:eastAsia="宋体" w:hAnsi="Arial" w:cs="Arial"/>
                <w:color w:val="000000"/>
                <w:sz w:val="15"/>
                <w:szCs w:val="15"/>
              </w:rPr>
              <w:t>Other</w:t>
            </w:r>
            <w:r>
              <w:rPr>
                <w:rFonts w:ascii="Arial" w:eastAsia="宋体" w:hAnsi="Arial" w:cs="Arial"/>
                <w:color w:val="000000"/>
                <w:sz w:val="9"/>
                <w:szCs w:val="9"/>
              </w:rPr>
              <w:t>(3)</w:t>
            </w:r>
          </w:p>
        </w:tc>
        <w:tc>
          <w:tcPr>
            <w:tcW w:w="0" w:type="auto"/>
            <w:gridSpan w:val="2"/>
            <w:shd w:val="clear" w:color="auto" w:fill="FFFFFF"/>
            <w:tcMar>
              <w:top w:w="40" w:type="dxa"/>
              <w:left w:w="20" w:type="dxa"/>
              <w:bottom w:w="40" w:type="dxa"/>
              <w:right w:w="0" w:type="dxa"/>
            </w:tcMar>
            <w:vAlign w:val="bottom"/>
          </w:tcPr>
          <w:p w14:paraId="74DDE0A5"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E0A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0A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0A8" w14:textId="77777777" w:rsidR="00584EC1" w:rsidRDefault="00871F8D">
            <w:pPr>
              <w:jc w:val="right"/>
              <w:textAlignment w:val="bottom"/>
            </w:pPr>
            <w:r>
              <w:rPr>
                <w:rFonts w:ascii="Arial" w:eastAsia="宋体" w:hAnsi="Arial" w:cs="Arial"/>
                <w:color w:val="000000"/>
                <w:sz w:val="15"/>
                <w:szCs w:val="15"/>
              </w:rPr>
              <w:t>31 </w:t>
            </w:r>
          </w:p>
        </w:tc>
        <w:tc>
          <w:tcPr>
            <w:tcW w:w="0" w:type="auto"/>
            <w:shd w:val="clear" w:color="auto" w:fill="FFFFFF"/>
            <w:tcMar>
              <w:top w:w="40" w:type="dxa"/>
              <w:left w:w="0" w:type="dxa"/>
              <w:bottom w:w="40" w:type="dxa"/>
              <w:right w:w="20" w:type="dxa"/>
            </w:tcMar>
            <w:vAlign w:val="bottom"/>
          </w:tcPr>
          <w:p w14:paraId="74DDE0A9" w14:textId="77777777" w:rsidR="00584EC1" w:rsidRDefault="00584EC1">
            <w:pPr>
              <w:jc w:val="right"/>
              <w:rPr>
                <w:rFonts w:ascii="宋体"/>
              </w:rPr>
            </w:pPr>
          </w:p>
        </w:tc>
        <w:tc>
          <w:tcPr>
            <w:tcW w:w="0" w:type="auto"/>
            <w:shd w:val="clear" w:color="auto" w:fill="auto"/>
            <w:vAlign w:val="bottom"/>
          </w:tcPr>
          <w:p w14:paraId="74DDE0AA" w14:textId="77777777" w:rsidR="00584EC1" w:rsidRDefault="00584EC1">
            <w:pPr>
              <w:rPr>
                <w:rFonts w:ascii="宋体"/>
                <w:vanish/>
              </w:rPr>
            </w:pPr>
          </w:p>
        </w:tc>
        <w:tc>
          <w:tcPr>
            <w:tcW w:w="0" w:type="auto"/>
            <w:shd w:val="clear" w:color="auto" w:fill="auto"/>
            <w:vAlign w:val="bottom"/>
          </w:tcPr>
          <w:p w14:paraId="74DDE0AB" w14:textId="77777777" w:rsidR="00584EC1" w:rsidRDefault="00584EC1">
            <w:pPr>
              <w:rPr>
                <w:rFonts w:ascii="宋体"/>
                <w:vanish/>
              </w:rPr>
            </w:pPr>
          </w:p>
        </w:tc>
      </w:tr>
      <w:tr w:rsidR="00584EC1" w14:paraId="74DDE0B3" w14:textId="77777777">
        <w:trPr>
          <w:hidden/>
        </w:trPr>
        <w:tc>
          <w:tcPr>
            <w:tcW w:w="0" w:type="auto"/>
            <w:gridSpan w:val="3"/>
            <w:shd w:val="clear" w:color="auto" w:fill="auto"/>
            <w:vAlign w:val="bottom"/>
          </w:tcPr>
          <w:p w14:paraId="74DDE0AD" w14:textId="77777777" w:rsidR="00584EC1" w:rsidRDefault="00584EC1">
            <w:pPr>
              <w:rPr>
                <w:rFonts w:ascii="宋体"/>
                <w:vanish/>
              </w:rPr>
            </w:pPr>
          </w:p>
        </w:tc>
        <w:tc>
          <w:tcPr>
            <w:tcW w:w="0" w:type="auto"/>
            <w:gridSpan w:val="3"/>
            <w:shd w:val="clear" w:color="auto" w:fill="auto"/>
            <w:vAlign w:val="bottom"/>
          </w:tcPr>
          <w:p w14:paraId="74DDE0AE" w14:textId="77777777" w:rsidR="00584EC1" w:rsidRDefault="00584EC1">
            <w:pPr>
              <w:rPr>
                <w:rFonts w:ascii="宋体"/>
                <w:vanish/>
              </w:rPr>
            </w:pPr>
          </w:p>
        </w:tc>
        <w:tc>
          <w:tcPr>
            <w:tcW w:w="0" w:type="auto"/>
            <w:gridSpan w:val="3"/>
            <w:shd w:val="clear" w:color="auto" w:fill="auto"/>
            <w:vAlign w:val="bottom"/>
          </w:tcPr>
          <w:p w14:paraId="74DDE0AF" w14:textId="77777777" w:rsidR="00584EC1" w:rsidRDefault="00584EC1">
            <w:pPr>
              <w:rPr>
                <w:rFonts w:ascii="宋体"/>
                <w:vanish/>
              </w:rPr>
            </w:pPr>
          </w:p>
        </w:tc>
        <w:tc>
          <w:tcPr>
            <w:tcW w:w="0" w:type="auto"/>
            <w:gridSpan w:val="3"/>
            <w:shd w:val="clear" w:color="auto" w:fill="auto"/>
            <w:vAlign w:val="bottom"/>
          </w:tcPr>
          <w:p w14:paraId="74DDE0B0" w14:textId="77777777" w:rsidR="00584EC1" w:rsidRDefault="00584EC1">
            <w:pPr>
              <w:rPr>
                <w:rFonts w:ascii="宋体"/>
                <w:vanish/>
              </w:rPr>
            </w:pPr>
          </w:p>
        </w:tc>
        <w:tc>
          <w:tcPr>
            <w:tcW w:w="0" w:type="auto"/>
            <w:shd w:val="clear" w:color="auto" w:fill="auto"/>
            <w:vAlign w:val="bottom"/>
          </w:tcPr>
          <w:p w14:paraId="74DDE0B1" w14:textId="77777777" w:rsidR="00584EC1" w:rsidRDefault="00584EC1">
            <w:pPr>
              <w:rPr>
                <w:rFonts w:ascii="宋体"/>
                <w:vanish/>
              </w:rPr>
            </w:pPr>
          </w:p>
        </w:tc>
        <w:tc>
          <w:tcPr>
            <w:tcW w:w="0" w:type="auto"/>
            <w:shd w:val="clear" w:color="auto" w:fill="auto"/>
            <w:vAlign w:val="bottom"/>
          </w:tcPr>
          <w:p w14:paraId="74DDE0B2" w14:textId="77777777" w:rsidR="00584EC1" w:rsidRDefault="00584EC1">
            <w:pPr>
              <w:rPr>
                <w:rFonts w:ascii="宋体"/>
                <w:vanish/>
              </w:rPr>
            </w:pPr>
          </w:p>
        </w:tc>
      </w:tr>
      <w:tr w:rsidR="00584EC1" w14:paraId="74DDE0BA" w14:textId="77777777">
        <w:trPr>
          <w:hidden/>
        </w:trPr>
        <w:tc>
          <w:tcPr>
            <w:tcW w:w="0" w:type="auto"/>
            <w:gridSpan w:val="3"/>
            <w:shd w:val="clear" w:color="auto" w:fill="auto"/>
            <w:vAlign w:val="bottom"/>
          </w:tcPr>
          <w:p w14:paraId="74DDE0B4" w14:textId="77777777" w:rsidR="00584EC1" w:rsidRDefault="00584EC1">
            <w:pPr>
              <w:rPr>
                <w:rFonts w:ascii="宋体"/>
                <w:vanish/>
              </w:rPr>
            </w:pPr>
          </w:p>
        </w:tc>
        <w:tc>
          <w:tcPr>
            <w:tcW w:w="0" w:type="auto"/>
            <w:gridSpan w:val="3"/>
            <w:shd w:val="clear" w:color="auto" w:fill="auto"/>
            <w:vAlign w:val="bottom"/>
          </w:tcPr>
          <w:p w14:paraId="74DDE0B5" w14:textId="77777777" w:rsidR="00584EC1" w:rsidRDefault="00584EC1">
            <w:pPr>
              <w:rPr>
                <w:rFonts w:ascii="宋体"/>
                <w:vanish/>
              </w:rPr>
            </w:pPr>
          </w:p>
        </w:tc>
        <w:tc>
          <w:tcPr>
            <w:tcW w:w="0" w:type="auto"/>
            <w:gridSpan w:val="3"/>
            <w:shd w:val="clear" w:color="auto" w:fill="auto"/>
            <w:vAlign w:val="bottom"/>
          </w:tcPr>
          <w:p w14:paraId="74DDE0B6" w14:textId="77777777" w:rsidR="00584EC1" w:rsidRDefault="00584EC1">
            <w:pPr>
              <w:rPr>
                <w:rFonts w:ascii="宋体"/>
                <w:vanish/>
              </w:rPr>
            </w:pPr>
          </w:p>
        </w:tc>
        <w:tc>
          <w:tcPr>
            <w:tcW w:w="0" w:type="auto"/>
            <w:gridSpan w:val="3"/>
            <w:shd w:val="clear" w:color="auto" w:fill="auto"/>
            <w:vAlign w:val="bottom"/>
          </w:tcPr>
          <w:p w14:paraId="74DDE0B7" w14:textId="77777777" w:rsidR="00584EC1" w:rsidRDefault="00584EC1">
            <w:pPr>
              <w:rPr>
                <w:rFonts w:ascii="宋体"/>
                <w:vanish/>
              </w:rPr>
            </w:pPr>
          </w:p>
        </w:tc>
        <w:tc>
          <w:tcPr>
            <w:tcW w:w="0" w:type="auto"/>
            <w:shd w:val="clear" w:color="auto" w:fill="auto"/>
            <w:vAlign w:val="bottom"/>
          </w:tcPr>
          <w:p w14:paraId="74DDE0B8" w14:textId="77777777" w:rsidR="00584EC1" w:rsidRDefault="00584EC1">
            <w:pPr>
              <w:rPr>
                <w:rFonts w:ascii="宋体"/>
                <w:vanish/>
              </w:rPr>
            </w:pPr>
          </w:p>
        </w:tc>
        <w:tc>
          <w:tcPr>
            <w:tcW w:w="0" w:type="auto"/>
            <w:shd w:val="clear" w:color="auto" w:fill="auto"/>
            <w:vAlign w:val="bottom"/>
          </w:tcPr>
          <w:p w14:paraId="74DDE0B9" w14:textId="77777777" w:rsidR="00584EC1" w:rsidRDefault="00584EC1">
            <w:pPr>
              <w:rPr>
                <w:rFonts w:ascii="宋体"/>
                <w:vanish/>
              </w:rPr>
            </w:pPr>
          </w:p>
        </w:tc>
      </w:tr>
      <w:tr w:rsidR="00584EC1" w14:paraId="74DDE0C1" w14:textId="77777777">
        <w:trPr>
          <w:hidden/>
        </w:trPr>
        <w:tc>
          <w:tcPr>
            <w:tcW w:w="0" w:type="auto"/>
            <w:gridSpan w:val="3"/>
            <w:shd w:val="clear" w:color="auto" w:fill="auto"/>
            <w:vAlign w:val="bottom"/>
          </w:tcPr>
          <w:p w14:paraId="74DDE0BB" w14:textId="77777777" w:rsidR="00584EC1" w:rsidRDefault="00584EC1">
            <w:pPr>
              <w:rPr>
                <w:rFonts w:ascii="宋体"/>
                <w:vanish/>
              </w:rPr>
            </w:pPr>
          </w:p>
        </w:tc>
        <w:tc>
          <w:tcPr>
            <w:tcW w:w="0" w:type="auto"/>
            <w:gridSpan w:val="3"/>
            <w:shd w:val="clear" w:color="auto" w:fill="auto"/>
            <w:vAlign w:val="bottom"/>
          </w:tcPr>
          <w:p w14:paraId="74DDE0BC" w14:textId="77777777" w:rsidR="00584EC1" w:rsidRDefault="00584EC1">
            <w:pPr>
              <w:rPr>
                <w:rFonts w:ascii="宋体"/>
                <w:vanish/>
              </w:rPr>
            </w:pPr>
          </w:p>
        </w:tc>
        <w:tc>
          <w:tcPr>
            <w:tcW w:w="0" w:type="auto"/>
            <w:gridSpan w:val="3"/>
            <w:shd w:val="clear" w:color="auto" w:fill="auto"/>
            <w:vAlign w:val="bottom"/>
          </w:tcPr>
          <w:p w14:paraId="74DDE0BD" w14:textId="77777777" w:rsidR="00584EC1" w:rsidRDefault="00584EC1">
            <w:pPr>
              <w:rPr>
                <w:rFonts w:ascii="宋体"/>
                <w:vanish/>
              </w:rPr>
            </w:pPr>
          </w:p>
        </w:tc>
        <w:tc>
          <w:tcPr>
            <w:tcW w:w="0" w:type="auto"/>
            <w:gridSpan w:val="3"/>
            <w:shd w:val="clear" w:color="auto" w:fill="auto"/>
            <w:vAlign w:val="bottom"/>
          </w:tcPr>
          <w:p w14:paraId="74DDE0BE" w14:textId="77777777" w:rsidR="00584EC1" w:rsidRDefault="00584EC1">
            <w:pPr>
              <w:rPr>
                <w:rFonts w:ascii="宋体"/>
                <w:vanish/>
              </w:rPr>
            </w:pPr>
          </w:p>
        </w:tc>
        <w:tc>
          <w:tcPr>
            <w:tcW w:w="0" w:type="auto"/>
            <w:shd w:val="clear" w:color="auto" w:fill="auto"/>
            <w:vAlign w:val="bottom"/>
          </w:tcPr>
          <w:p w14:paraId="74DDE0BF" w14:textId="77777777" w:rsidR="00584EC1" w:rsidRDefault="00584EC1">
            <w:pPr>
              <w:rPr>
                <w:rFonts w:ascii="宋体"/>
                <w:vanish/>
              </w:rPr>
            </w:pPr>
          </w:p>
        </w:tc>
        <w:tc>
          <w:tcPr>
            <w:tcW w:w="0" w:type="auto"/>
            <w:shd w:val="clear" w:color="auto" w:fill="auto"/>
            <w:vAlign w:val="bottom"/>
          </w:tcPr>
          <w:p w14:paraId="74DDE0C0" w14:textId="77777777" w:rsidR="00584EC1" w:rsidRDefault="00584EC1">
            <w:pPr>
              <w:rPr>
                <w:rFonts w:ascii="宋体"/>
                <w:vanish/>
              </w:rPr>
            </w:pPr>
          </w:p>
        </w:tc>
      </w:tr>
      <w:tr w:rsidR="00584EC1" w14:paraId="74DDE0C8" w14:textId="77777777">
        <w:trPr>
          <w:hidden/>
        </w:trPr>
        <w:tc>
          <w:tcPr>
            <w:tcW w:w="0" w:type="auto"/>
            <w:gridSpan w:val="3"/>
            <w:shd w:val="clear" w:color="auto" w:fill="auto"/>
            <w:vAlign w:val="bottom"/>
          </w:tcPr>
          <w:p w14:paraId="74DDE0C2" w14:textId="77777777" w:rsidR="00584EC1" w:rsidRDefault="00584EC1">
            <w:pPr>
              <w:rPr>
                <w:rFonts w:ascii="宋体"/>
                <w:vanish/>
              </w:rPr>
            </w:pPr>
          </w:p>
        </w:tc>
        <w:tc>
          <w:tcPr>
            <w:tcW w:w="0" w:type="auto"/>
            <w:gridSpan w:val="3"/>
            <w:shd w:val="clear" w:color="auto" w:fill="auto"/>
            <w:vAlign w:val="bottom"/>
          </w:tcPr>
          <w:p w14:paraId="74DDE0C3" w14:textId="77777777" w:rsidR="00584EC1" w:rsidRDefault="00584EC1">
            <w:pPr>
              <w:rPr>
                <w:rFonts w:ascii="宋体"/>
                <w:vanish/>
              </w:rPr>
            </w:pPr>
          </w:p>
        </w:tc>
        <w:tc>
          <w:tcPr>
            <w:tcW w:w="0" w:type="auto"/>
            <w:gridSpan w:val="3"/>
            <w:shd w:val="clear" w:color="auto" w:fill="auto"/>
            <w:vAlign w:val="bottom"/>
          </w:tcPr>
          <w:p w14:paraId="74DDE0C4" w14:textId="77777777" w:rsidR="00584EC1" w:rsidRDefault="00584EC1">
            <w:pPr>
              <w:rPr>
                <w:rFonts w:ascii="宋体"/>
                <w:vanish/>
              </w:rPr>
            </w:pPr>
          </w:p>
        </w:tc>
        <w:tc>
          <w:tcPr>
            <w:tcW w:w="0" w:type="auto"/>
            <w:gridSpan w:val="3"/>
            <w:shd w:val="clear" w:color="auto" w:fill="auto"/>
            <w:vAlign w:val="bottom"/>
          </w:tcPr>
          <w:p w14:paraId="74DDE0C5" w14:textId="77777777" w:rsidR="00584EC1" w:rsidRDefault="00584EC1">
            <w:pPr>
              <w:rPr>
                <w:rFonts w:ascii="宋体"/>
                <w:vanish/>
              </w:rPr>
            </w:pPr>
          </w:p>
        </w:tc>
        <w:tc>
          <w:tcPr>
            <w:tcW w:w="0" w:type="auto"/>
            <w:shd w:val="clear" w:color="auto" w:fill="auto"/>
            <w:vAlign w:val="bottom"/>
          </w:tcPr>
          <w:p w14:paraId="74DDE0C6" w14:textId="77777777" w:rsidR="00584EC1" w:rsidRDefault="00584EC1">
            <w:pPr>
              <w:rPr>
                <w:rFonts w:ascii="宋体"/>
                <w:vanish/>
              </w:rPr>
            </w:pPr>
          </w:p>
        </w:tc>
        <w:tc>
          <w:tcPr>
            <w:tcW w:w="0" w:type="auto"/>
            <w:shd w:val="clear" w:color="auto" w:fill="auto"/>
            <w:vAlign w:val="bottom"/>
          </w:tcPr>
          <w:p w14:paraId="74DDE0C7" w14:textId="77777777" w:rsidR="00584EC1" w:rsidRDefault="00584EC1">
            <w:pPr>
              <w:rPr>
                <w:rFonts w:ascii="宋体"/>
                <w:vanish/>
              </w:rPr>
            </w:pPr>
          </w:p>
        </w:tc>
      </w:tr>
      <w:tr w:rsidR="00584EC1" w14:paraId="74DDE0D1" w14:textId="77777777">
        <w:tc>
          <w:tcPr>
            <w:tcW w:w="0" w:type="auto"/>
            <w:gridSpan w:val="3"/>
            <w:shd w:val="clear" w:color="auto" w:fill="CCEEFF"/>
            <w:tcMar>
              <w:top w:w="40" w:type="dxa"/>
              <w:left w:w="245" w:type="dxa"/>
              <w:bottom w:w="40" w:type="dxa"/>
              <w:right w:w="20" w:type="dxa"/>
            </w:tcMar>
            <w:vAlign w:val="bottom"/>
          </w:tcPr>
          <w:p w14:paraId="74DDE0C9" w14:textId="77777777" w:rsidR="00584EC1" w:rsidRDefault="00871F8D">
            <w:pPr>
              <w:textAlignment w:val="bottom"/>
            </w:pPr>
            <w:r>
              <w:rPr>
                <w:rFonts w:ascii="Arial" w:eastAsia="宋体" w:hAnsi="Arial" w:cs="Arial"/>
                <w:color w:val="000000"/>
                <w:sz w:val="15"/>
                <w:szCs w:val="15"/>
              </w:rPr>
              <w:t>Total foreign</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E0CA" w14:textId="77777777" w:rsidR="00584EC1" w:rsidRDefault="00871F8D">
            <w:pPr>
              <w:jc w:val="right"/>
              <w:textAlignment w:val="bottom"/>
            </w:pPr>
            <w:r>
              <w:rPr>
                <w:rFonts w:ascii="Arial" w:eastAsia="宋体" w:hAnsi="Arial" w:cs="Arial"/>
                <w:b/>
                <w:bCs/>
                <w:color w:val="000000"/>
                <w:sz w:val="15"/>
                <w:szCs w:val="15"/>
              </w:rPr>
              <w:t>10,147</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E0C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0CC"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E0CD" w14:textId="77777777" w:rsidR="00584EC1" w:rsidRDefault="00871F8D">
            <w:pPr>
              <w:jc w:val="right"/>
              <w:textAlignment w:val="bottom"/>
            </w:pPr>
            <w:r>
              <w:rPr>
                <w:rFonts w:ascii="Arial" w:eastAsia="宋体" w:hAnsi="Arial" w:cs="Arial"/>
                <w:color w:val="000000"/>
                <w:sz w:val="15"/>
                <w:szCs w:val="15"/>
              </w:rPr>
              <w:t>6,793 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E0CE" w14:textId="77777777" w:rsidR="00584EC1" w:rsidRDefault="00584EC1">
            <w:pPr>
              <w:jc w:val="right"/>
              <w:rPr>
                <w:rFonts w:ascii="宋体"/>
              </w:rPr>
            </w:pPr>
          </w:p>
        </w:tc>
        <w:tc>
          <w:tcPr>
            <w:tcW w:w="0" w:type="auto"/>
            <w:shd w:val="clear" w:color="auto" w:fill="auto"/>
            <w:vAlign w:val="bottom"/>
          </w:tcPr>
          <w:p w14:paraId="74DDE0CF" w14:textId="77777777" w:rsidR="00584EC1" w:rsidRDefault="00584EC1">
            <w:pPr>
              <w:rPr>
                <w:rFonts w:ascii="宋体"/>
                <w:vanish/>
              </w:rPr>
            </w:pPr>
          </w:p>
        </w:tc>
        <w:tc>
          <w:tcPr>
            <w:tcW w:w="0" w:type="auto"/>
            <w:shd w:val="clear" w:color="auto" w:fill="auto"/>
            <w:vAlign w:val="bottom"/>
          </w:tcPr>
          <w:p w14:paraId="74DDE0D0" w14:textId="77777777" w:rsidR="00584EC1" w:rsidRDefault="00584EC1">
            <w:pPr>
              <w:rPr>
                <w:rFonts w:ascii="宋体"/>
                <w:vanish/>
              </w:rPr>
            </w:pPr>
          </w:p>
        </w:tc>
      </w:tr>
      <w:tr w:rsidR="00584EC1" w14:paraId="74DDE0DA" w14:textId="77777777">
        <w:tc>
          <w:tcPr>
            <w:tcW w:w="0" w:type="auto"/>
            <w:gridSpan w:val="3"/>
            <w:shd w:val="clear" w:color="auto" w:fill="FFFFFF"/>
            <w:tcMar>
              <w:top w:w="40" w:type="dxa"/>
              <w:left w:w="20" w:type="dxa"/>
              <w:bottom w:w="40" w:type="dxa"/>
              <w:right w:w="20" w:type="dxa"/>
            </w:tcMar>
            <w:vAlign w:val="bottom"/>
          </w:tcPr>
          <w:p w14:paraId="74DDE0D2" w14:textId="77777777" w:rsidR="00584EC1" w:rsidRDefault="00871F8D">
            <w:pPr>
              <w:textAlignment w:val="bottom"/>
            </w:pPr>
            <w:r>
              <w:rPr>
                <w:rFonts w:ascii="Arial" w:eastAsia="宋体" w:hAnsi="Arial" w:cs="Arial"/>
                <w:color w:val="000000"/>
                <w:sz w:val="15"/>
                <w:szCs w:val="15"/>
              </w:rPr>
              <w:t xml:space="preserve">Total </w:t>
            </w:r>
            <w:r>
              <w:rPr>
                <w:rFonts w:ascii="Arial" w:eastAsia="宋体" w:hAnsi="Arial" w:cs="Arial"/>
                <w:color w:val="000000"/>
                <w:sz w:val="15"/>
                <w:szCs w:val="15"/>
              </w:rPr>
              <w:t>loans</w:t>
            </w:r>
            <w:r>
              <w:rPr>
                <w:rFonts w:ascii="Arial" w:eastAsia="宋体" w:hAnsi="Arial" w:cs="Arial"/>
                <w:color w:val="000000"/>
                <w:sz w:val="9"/>
                <w:szCs w:val="9"/>
              </w:rPr>
              <w:t>(2)</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E0D3" w14:textId="77777777" w:rsidR="00584EC1" w:rsidRDefault="00871F8D">
            <w:pPr>
              <w:jc w:val="right"/>
              <w:textAlignment w:val="bottom"/>
            </w:pPr>
            <w:r>
              <w:rPr>
                <w:rFonts w:ascii="Arial" w:eastAsia="宋体" w:hAnsi="Arial" w:cs="Arial"/>
                <w:b/>
                <w:bCs/>
                <w:color w:val="000000"/>
                <w:sz w:val="15"/>
                <w:szCs w:val="15"/>
              </w:rPr>
              <w:t>32,797</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E0D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0D5"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E0D6" w14:textId="77777777" w:rsidR="00584EC1" w:rsidRDefault="00871F8D">
            <w:pPr>
              <w:jc w:val="right"/>
              <w:textAlignment w:val="bottom"/>
            </w:pPr>
            <w:r>
              <w:rPr>
                <w:rFonts w:ascii="Arial" w:eastAsia="宋体" w:hAnsi="Arial" w:cs="Arial"/>
                <w:color w:val="000000"/>
                <w:sz w:val="15"/>
                <w:szCs w:val="15"/>
              </w:rPr>
              <w:t>27,925 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E0D7" w14:textId="77777777" w:rsidR="00584EC1" w:rsidRDefault="00584EC1">
            <w:pPr>
              <w:jc w:val="right"/>
              <w:rPr>
                <w:rFonts w:ascii="宋体"/>
              </w:rPr>
            </w:pPr>
          </w:p>
        </w:tc>
        <w:tc>
          <w:tcPr>
            <w:tcW w:w="0" w:type="auto"/>
            <w:shd w:val="clear" w:color="auto" w:fill="auto"/>
            <w:vAlign w:val="bottom"/>
          </w:tcPr>
          <w:p w14:paraId="74DDE0D8" w14:textId="77777777" w:rsidR="00584EC1" w:rsidRDefault="00584EC1">
            <w:pPr>
              <w:rPr>
                <w:rFonts w:ascii="宋体"/>
                <w:vanish/>
              </w:rPr>
            </w:pPr>
          </w:p>
        </w:tc>
        <w:tc>
          <w:tcPr>
            <w:tcW w:w="0" w:type="auto"/>
            <w:shd w:val="clear" w:color="auto" w:fill="auto"/>
            <w:vAlign w:val="bottom"/>
          </w:tcPr>
          <w:p w14:paraId="74DDE0D9" w14:textId="77777777" w:rsidR="00584EC1" w:rsidRDefault="00584EC1">
            <w:pPr>
              <w:rPr>
                <w:rFonts w:ascii="宋体"/>
                <w:vanish/>
              </w:rPr>
            </w:pPr>
          </w:p>
        </w:tc>
      </w:tr>
      <w:tr w:rsidR="00584EC1" w14:paraId="74DDE0E3" w14:textId="77777777">
        <w:tc>
          <w:tcPr>
            <w:tcW w:w="0" w:type="auto"/>
            <w:gridSpan w:val="3"/>
            <w:shd w:val="clear" w:color="auto" w:fill="CCEEFF"/>
            <w:tcMar>
              <w:top w:w="40" w:type="dxa"/>
              <w:left w:w="20" w:type="dxa"/>
              <w:bottom w:w="40" w:type="dxa"/>
              <w:right w:w="20" w:type="dxa"/>
            </w:tcMar>
            <w:vAlign w:val="bottom"/>
          </w:tcPr>
          <w:p w14:paraId="74DDE0DB" w14:textId="77777777" w:rsidR="00584EC1" w:rsidRDefault="00871F8D">
            <w:pPr>
              <w:textAlignment w:val="bottom"/>
            </w:pPr>
            <w:r>
              <w:rPr>
                <w:rFonts w:ascii="Arial" w:eastAsia="宋体" w:hAnsi="Arial" w:cs="Arial"/>
                <w:b/>
                <w:bCs/>
                <w:color w:val="000000"/>
                <w:sz w:val="15"/>
                <w:szCs w:val="15"/>
              </w:rPr>
              <w:t>Allowance for credit losses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E0DC" w14:textId="77777777" w:rsidR="00584EC1" w:rsidRDefault="00871F8D">
            <w:pPr>
              <w:jc w:val="right"/>
              <w:textAlignment w:val="bottom"/>
            </w:pPr>
            <w:r>
              <w:rPr>
                <w:rFonts w:ascii="Arial" w:eastAsia="宋体" w:hAnsi="Arial" w:cs="Arial"/>
                <w:b/>
                <w:bCs/>
                <w:color w:val="000000"/>
                <w:sz w:val="15"/>
                <w:szCs w:val="15"/>
              </w:rPr>
              <w:t>(95)</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E0D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0DE"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E0DF" w14:textId="77777777" w:rsidR="00584EC1" w:rsidRDefault="00871F8D">
            <w:pPr>
              <w:jc w:val="right"/>
              <w:textAlignment w:val="bottom"/>
            </w:pPr>
            <w:r>
              <w:rPr>
                <w:rFonts w:ascii="Arial" w:eastAsia="宋体" w:hAnsi="Arial" w:cs="Arial"/>
                <w:color w:val="000000"/>
                <w:sz w:val="15"/>
                <w:szCs w:val="15"/>
              </w:rPr>
              <w:t>(122)</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E0E0" w14:textId="77777777" w:rsidR="00584EC1" w:rsidRDefault="00584EC1">
            <w:pPr>
              <w:jc w:val="right"/>
              <w:rPr>
                <w:rFonts w:ascii="宋体"/>
              </w:rPr>
            </w:pPr>
          </w:p>
        </w:tc>
        <w:tc>
          <w:tcPr>
            <w:tcW w:w="0" w:type="auto"/>
            <w:shd w:val="clear" w:color="auto" w:fill="auto"/>
            <w:vAlign w:val="bottom"/>
          </w:tcPr>
          <w:p w14:paraId="74DDE0E1" w14:textId="77777777" w:rsidR="00584EC1" w:rsidRDefault="00584EC1">
            <w:pPr>
              <w:rPr>
                <w:rFonts w:ascii="宋体"/>
                <w:vanish/>
              </w:rPr>
            </w:pPr>
          </w:p>
        </w:tc>
        <w:tc>
          <w:tcPr>
            <w:tcW w:w="0" w:type="auto"/>
            <w:shd w:val="clear" w:color="auto" w:fill="auto"/>
            <w:vAlign w:val="bottom"/>
          </w:tcPr>
          <w:p w14:paraId="74DDE0E2" w14:textId="77777777" w:rsidR="00584EC1" w:rsidRDefault="00584EC1">
            <w:pPr>
              <w:rPr>
                <w:rFonts w:ascii="宋体"/>
                <w:vanish/>
              </w:rPr>
            </w:pPr>
          </w:p>
        </w:tc>
      </w:tr>
      <w:tr w:rsidR="00584EC1" w14:paraId="74DDE0EE" w14:textId="77777777">
        <w:tc>
          <w:tcPr>
            <w:tcW w:w="0" w:type="auto"/>
            <w:gridSpan w:val="3"/>
            <w:shd w:val="clear" w:color="auto" w:fill="FFFFFF"/>
            <w:tcMar>
              <w:top w:w="40" w:type="dxa"/>
              <w:left w:w="20" w:type="dxa"/>
              <w:bottom w:w="40" w:type="dxa"/>
              <w:right w:w="20" w:type="dxa"/>
            </w:tcMar>
            <w:vAlign w:val="bottom"/>
          </w:tcPr>
          <w:p w14:paraId="74DDE0E4" w14:textId="77777777" w:rsidR="00584EC1" w:rsidRDefault="00871F8D">
            <w:pPr>
              <w:textAlignment w:val="bottom"/>
            </w:pPr>
            <w:r>
              <w:rPr>
                <w:rFonts w:ascii="Arial" w:eastAsia="宋体" w:hAnsi="Arial" w:cs="Arial"/>
                <w:b/>
                <w:bCs/>
                <w:color w:val="000000"/>
                <w:sz w:val="15"/>
                <w:szCs w:val="15"/>
              </w:rPr>
              <w:t>Loans, net of allowance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E0E5" w14:textId="77777777" w:rsidR="00584EC1" w:rsidRDefault="00871F8D">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E0E6" w14:textId="77777777" w:rsidR="00584EC1" w:rsidRDefault="00871F8D">
            <w:pPr>
              <w:jc w:val="right"/>
              <w:textAlignment w:val="bottom"/>
            </w:pPr>
            <w:r>
              <w:rPr>
                <w:rFonts w:ascii="Arial" w:eastAsia="宋体" w:hAnsi="Arial" w:cs="Arial"/>
                <w:b/>
                <w:bCs/>
                <w:color w:val="000000"/>
                <w:sz w:val="15"/>
                <w:szCs w:val="15"/>
              </w:rPr>
              <w:t>32,702</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E0E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0E8"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E0E9"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E0EA" w14:textId="77777777" w:rsidR="00584EC1" w:rsidRDefault="00871F8D">
            <w:pPr>
              <w:jc w:val="right"/>
              <w:textAlignment w:val="bottom"/>
            </w:pPr>
            <w:r>
              <w:rPr>
                <w:rFonts w:ascii="Arial" w:eastAsia="宋体" w:hAnsi="Arial" w:cs="Arial"/>
                <w:color w:val="000000"/>
                <w:sz w:val="15"/>
                <w:szCs w:val="15"/>
              </w:rPr>
              <w:t>27,803 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E0EB" w14:textId="77777777" w:rsidR="00584EC1" w:rsidRDefault="00584EC1">
            <w:pPr>
              <w:jc w:val="right"/>
              <w:rPr>
                <w:rFonts w:ascii="宋体"/>
              </w:rPr>
            </w:pPr>
          </w:p>
        </w:tc>
        <w:tc>
          <w:tcPr>
            <w:tcW w:w="0" w:type="auto"/>
            <w:shd w:val="clear" w:color="auto" w:fill="auto"/>
            <w:vAlign w:val="bottom"/>
          </w:tcPr>
          <w:p w14:paraId="74DDE0EC" w14:textId="77777777" w:rsidR="00584EC1" w:rsidRDefault="00584EC1">
            <w:pPr>
              <w:rPr>
                <w:rFonts w:ascii="宋体"/>
                <w:vanish/>
              </w:rPr>
            </w:pPr>
          </w:p>
        </w:tc>
        <w:tc>
          <w:tcPr>
            <w:tcW w:w="0" w:type="auto"/>
            <w:shd w:val="clear" w:color="auto" w:fill="auto"/>
            <w:vAlign w:val="bottom"/>
          </w:tcPr>
          <w:p w14:paraId="74DDE0ED" w14:textId="77777777" w:rsidR="00584EC1" w:rsidRDefault="00584EC1">
            <w:pPr>
              <w:rPr>
                <w:rFonts w:ascii="宋体"/>
                <w:vanish/>
              </w:rPr>
            </w:pPr>
          </w:p>
        </w:tc>
      </w:tr>
    </w:tbl>
    <w:p w14:paraId="74DDE0EF" w14:textId="77777777" w:rsidR="00584EC1" w:rsidRDefault="00584E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3866"/>
        <w:gridCol w:w="36"/>
        <w:gridCol w:w="69"/>
        <w:gridCol w:w="4260"/>
        <w:gridCol w:w="36"/>
      </w:tblGrid>
      <w:tr w:rsidR="00584EC1" w14:paraId="74DDE0F6" w14:textId="77777777">
        <w:tc>
          <w:tcPr>
            <w:tcW w:w="50" w:type="pct"/>
            <w:shd w:val="clear" w:color="auto" w:fill="auto"/>
            <w:vAlign w:val="bottom"/>
          </w:tcPr>
          <w:p w14:paraId="74DDE0F0" w14:textId="77777777" w:rsidR="00584EC1" w:rsidRDefault="00584EC1">
            <w:pPr>
              <w:rPr>
                <w:rFonts w:ascii="宋体"/>
              </w:rPr>
            </w:pPr>
          </w:p>
        </w:tc>
        <w:tc>
          <w:tcPr>
            <w:tcW w:w="2327" w:type="pct"/>
            <w:shd w:val="clear" w:color="auto" w:fill="auto"/>
            <w:vAlign w:val="bottom"/>
          </w:tcPr>
          <w:p w14:paraId="74DDE0F1" w14:textId="77777777" w:rsidR="00584EC1" w:rsidRDefault="00584EC1">
            <w:pPr>
              <w:rPr>
                <w:rFonts w:ascii="宋体"/>
              </w:rPr>
            </w:pPr>
          </w:p>
        </w:tc>
        <w:tc>
          <w:tcPr>
            <w:tcW w:w="5" w:type="pct"/>
            <w:shd w:val="clear" w:color="auto" w:fill="auto"/>
            <w:vAlign w:val="bottom"/>
          </w:tcPr>
          <w:p w14:paraId="74DDE0F2" w14:textId="77777777" w:rsidR="00584EC1" w:rsidRDefault="00584EC1">
            <w:pPr>
              <w:rPr>
                <w:rFonts w:ascii="宋体"/>
              </w:rPr>
            </w:pPr>
          </w:p>
        </w:tc>
        <w:tc>
          <w:tcPr>
            <w:tcW w:w="50" w:type="pct"/>
            <w:shd w:val="clear" w:color="auto" w:fill="auto"/>
            <w:vAlign w:val="bottom"/>
          </w:tcPr>
          <w:p w14:paraId="74DDE0F3" w14:textId="77777777" w:rsidR="00584EC1" w:rsidRDefault="00584EC1">
            <w:pPr>
              <w:rPr>
                <w:rFonts w:ascii="宋体"/>
              </w:rPr>
            </w:pPr>
          </w:p>
        </w:tc>
        <w:tc>
          <w:tcPr>
            <w:tcW w:w="2562" w:type="pct"/>
            <w:shd w:val="clear" w:color="auto" w:fill="auto"/>
            <w:vAlign w:val="bottom"/>
          </w:tcPr>
          <w:p w14:paraId="74DDE0F4" w14:textId="77777777" w:rsidR="00584EC1" w:rsidRDefault="00584EC1">
            <w:pPr>
              <w:rPr>
                <w:rFonts w:ascii="宋体"/>
              </w:rPr>
            </w:pPr>
          </w:p>
        </w:tc>
        <w:tc>
          <w:tcPr>
            <w:tcW w:w="5" w:type="pct"/>
            <w:shd w:val="clear" w:color="auto" w:fill="auto"/>
            <w:vAlign w:val="bottom"/>
          </w:tcPr>
          <w:p w14:paraId="74DDE0F5" w14:textId="77777777" w:rsidR="00584EC1" w:rsidRDefault="00584EC1">
            <w:pPr>
              <w:rPr>
                <w:rFonts w:ascii="宋体"/>
              </w:rPr>
            </w:pPr>
          </w:p>
        </w:tc>
      </w:tr>
      <w:tr w:rsidR="00584EC1" w14:paraId="74DDE0F9"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4DDE0F7"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0F8" w14:textId="77777777" w:rsidR="00584EC1" w:rsidRDefault="00584EC1">
            <w:pPr>
              <w:rPr>
                <w:rFonts w:ascii="宋体"/>
              </w:rPr>
            </w:pPr>
          </w:p>
        </w:tc>
      </w:tr>
    </w:tbl>
    <w:p w14:paraId="74DDE0FA" w14:textId="77777777" w:rsidR="00584EC1" w:rsidRDefault="00871F8D">
      <w:pPr>
        <w:spacing w:before="60"/>
      </w:pPr>
      <w:r>
        <w:rPr>
          <w:rFonts w:ascii="Arial" w:eastAsia="宋体" w:hAnsi="Arial" w:cs="Arial"/>
          <w:color w:val="000000"/>
          <w:sz w:val="9"/>
          <w:szCs w:val="9"/>
        </w:rPr>
        <w:t>(1)</w:t>
      </w:r>
      <w:r>
        <w:rPr>
          <w:rFonts w:ascii="Arial" w:eastAsia="宋体" w:hAnsi="Arial" w:cs="Arial"/>
          <w:color w:val="000000"/>
          <w:sz w:val="14"/>
          <w:szCs w:val="14"/>
        </w:rPr>
        <w:t xml:space="preserve"> Domestic and foreign categorization is based on the borrower’s country of domicile.</w:t>
      </w:r>
    </w:p>
    <w:p w14:paraId="74DDE0FB" w14:textId="77777777" w:rsidR="00584EC1" w:rsidRDefault="00871F8D">
      <w:pPr>
        <w:spacing w:before="90"/>
        <w:jc w:val="both"/>
        <w:textAlignment w:val="top"/>
      </w:pPr>
      <w:r>
        <w:rPr>
          <w:rFonts w:ascii="Arial" w:eastAsia="宋体" w:hAnsi="Arial" w:cs="Arial"/>
          <w:color w:val="000000"/>
          <w:sz w:val="9"/>
          <w:szCs w:val="9"/>
        </w:rPr>
        <w:t xml:space="preserve">(2) </w:t>
      </w:r>
      <w:r>
        <w:rPr>
          <w:rFonts w:ascii="Arial" w:eastAsia="宋体" w:hAnsi="Arial" w:cs="Arial"/>
          <w:color w:val="000000"/>
          <w:sz w:val="14"/>
          <w:szCs w:val="14"/>
        </w:rPr>
        <w:t xml:space="preserve">Fund finance loans include primarily $6,282 million loans to real money funds, $9,752 million private equity capital call finance loans, $993 million loans to </w:t>
      </w:r>
      <w:r>
        <w:rPr>
          <w:rFonts w:ascii="Arial" w:eastAsia="宋体" w:hAnsi="Arial" w:cs="Arial"/>
          <w:color w:val="000000"/>
          <w:sz w:val="14"/>
          <w:szCs w:val="14"/>
        </w:rPr>
        <w:t>business development companies and $2,412 million collateralized loan obligations in loan form as of September 30, 2021, compared to $6,391 million loans to real money funds, $8,380 million private equity capital call finance loans and $821 million loans t</w:t>
      </w:r>
      <w:r>
        <w:rPr>
          <w:rFonts w:ascii="Arial" w:eastAsia="宋体" w:hAnsi="Arial" w:cs="Arial"/>
          <w:color w:val="000000"/>
          <w:sz w:val="14"/>
          <w:szCs w:val="14"/>
        </w:rPr>
        <w:t>o business development companies as of December 31, 2020.</w:t>
      </w:r>
    </w:p>
    <w:p w14:paraId="74DDE0FC" w14:textId="77777777" w:rsidR="00584EC1" w:rsidRDefault="00871F8D">
      <w:pPr>
        <w:spacing w:before="90"/>
        <w:jc w:val="both"/>
        <w:textAlignment w:val="top"/>
      </w:pPr>
      <w:r>
        <w:rPr>
          <w:rFonts w:ascii="Arial" w:eastAsia="宋体" w:hAnsi="Arial" w:cs="Arial"/>
          <w:color w:val="000000"/>
          <w:sz w:val="9"/>
          <w:szCs w:val="9"/>
        </w:rPr>
        <w:t xml:space="preserve">(3) </w:t>
      </w:r>
      <w:r>
        <w:rPr>
          <w:rFonts w:ascii="Arial" w:eastAsia="宋体" w:hAnsi="Arial" w:cs="Arial"/>
          <w:color w:val="000000"/>
          <w:sz w:val="14"/>
          <w:szCs w:val="14"/>
        </w:rPr>
        <w:t>Includes $1,532 million securities finance loans, $589 million loans to municipalities and $19 million other loans as of September 30, 2021 and $1,911 million securities finance loans, $754 mill</w:t>
      </w:r>
      <w:r>
        <w:rPr>
          <w:rFonts w:ascii="Arial" w:eastAsia="宋体" w:hAnsi="Arial" w:cs="Arial"/>
          <w:color w:val="000000"/>
          <w:sz w:val="14"/>
          <w:szCs w:val="14"/>
        </w:rPr>
        <w:t>ion loans to municipalities and $54 million other loans as of December 31, 2020.</w:t>
      </w:r>
    </w:p>
    <w:p w14:paraId="74DDE0FD" w14:textId="77777777" w:rsidR="00584EC1" w:rsidRDefault="00871F8D">
      <w:pPr>
        <w:ind w:firstLine="450"/>
        <w:jc w:val="right"/>
      </w:pPr>
      <w:r>
        <w:rPr>
          <w:rFonts w:ascii="Arial" w:eastAsia="宋体" w:hAnsi="Arial" w:cs="Arial"/>
          <w:color w:val="000000"/>
          <w:sz w:val="18"/>
          <w:szCs w:val="18"/>
        </w:rPr>
        <w:t>State Street Corporation | 69</w:t>
      </w:r>
    </w:p>
    <w:p w14:paraId="74DDE0FE" w14:textId="77777777" w:rsidR="00584EC1" w:rsidRDefault="00584EC1">
      <w:pPr>
        <w:ind w:firstLine="450"/>
        <w:jc w:val="center"/>
      </w:pPr>
    </w:p>
    <w:p w14:paraId="74DDE0FF" w14:textId="77777777" w:rsidR="00584EC1" w:rsidRDefault="00871F8D">
      <w:r>
        <w:pict w14:anchorId="74DE2A33">
          <v:rect id="_x0000_i1093" style="width:415.3pt;height:1.5pt" o:hralign="center" o:hrstd="t" o:hr="t" fillcolor="#a0a0a0" stroked="f"/>
        </w:pict>
      </w:r>
    </w:p>
    <w:p w14:paraId="74DDE100" w14:textId="77777777" w:rsidR="00584EC1" w:rsidRDefault="00871F8D">
      <w:pPr>
        <w:ind w:firstLine="450"/>
        <w:jc w:val="center"/>
      </w:pPr>
      <w:r>
        <w:rPr>
          <w:rFonts w:ascii="Arial" w:eastAsia="宋体" w:hAnsi="Arial" w:cs="Arial"/>
          <w:b/>
          <w:bCs/>
          <w:color w:val="000000"/>
          <w:sz w:val="20"/>
          <w:szCs w:val="20"/>
        </w:rPr>
        <w:t>STATE STREET CORPORATION</w:t>
      </w:r>
    </w:p>
    <w:p w14:paraId="74DDE101" w14:textId="77777777" w:rsidR="00584EC1" w:rsidRDefault="00871F8D">
      <w:pPr>
        <w:ind w:firstLine="450"/>
        <w:jc w:val="center"/>
      </w:pPr>
      <w:r>
        <w:rPr>
          <w:rFonts w:ascii="Arial" w:eastAsia="宋体" w:hAnsi="Arial" w:cs="Arial"/>
          <w:b/>
          <w:bCs/>
          <w:color w:val="000000"/>
          <w:sz w:val="20"/>
          <w:szCs w:val="20"/>
        </w:rPr>
        <w:t>CONDENSED NOTES TO CONSOLIDATED FINANCIAL STATEMENTS</w:t>
      </w:r>
    </w:p>
    <w:p w14:paraId="74DDE102" w14:textId="77777777" w:rsidR="00584EC1" w:rsidRDefault="00871F8D">
      <w:pPr>
        <w:ind w:firstLine="450"/>
        <w:jc w:val="center"/>
      </w:pPr>
      <w:r>
        <w:rPr>
          <w:rFonts w:ascii="Arial" w:eastAsia="宋体" w:hAnsi="Arial" w:cs="Arial"/>
          <w:b/>
          <w:bCs/>
          <w:color w:val="000000"/>
          <w:sz w:val="20"/>
          <w:szCs w:val="20"/>
        </w:rPr>
        <w:t>(UNAUDITED)</w:t>
      </w:r>
    </w:p>
    <w:p w14:paraId="74DDE103" w14:textId="77777777" w:rsidR="00584EC1" w:rsidRDefault="00871F8D">
      <w:pPr>
        <w:spacing w:before="60"/>
        <w:ind w:firstLine="450"/>
        <w:jc w:val="both"/>
        <w:textAlignment w:val="top"/>
      </w:pPr>
      <w:r>
        <w:rPr>
          <w:rFonts w:ascii="Arial" w:eastAsia="宋体" w:hAnsi="Arial" w:cs="Arial"/>
          <w:color w:val="000000"/>
          <w:sz w:val="20"/>
          <w:szCs w:val="20"/>
        </w:rPr>
        <w:t xml:space="preserve">The commercial and financial segment is composed of </w:t>
      </w:r>
      <w:r>
        <w:rPr>
          <w:rFonts w:ascii="Arial" w:eastAsia="宋体" w:hAnsi="Arial" w:cs="Arial"/>
          <w:color w:val="000000"/>
          <w:sz w:val="20"/>
          <w:szCs w:val="20"/>
        </w:rPr>
        <w:t>primarily fund finance loans, purchased leveraged loans, overdrafts and other loans. Fund finance loans are composed of revolving credit lines providing liquidity and leverage to mutual fund and private equity fund clients, as well as collateralized loan o</w:t>
      </w:r>
      <w:r>
        <w:rPr>
          <w:rFonts w:ascii="Arial" w:eastAsia="宋体" w:hAnsi="Arial" w:cs="Arial"/>
          <w:color w:val="000000"/>
          <w:sz w:val="20"/>
          <w:szCs w:val="20"/>
        </w:rPr>
        <w:t xml:space="preserve">bligations in loan form. </w:t>
      </w:r>
    </w:p>
    <w:p w14:paraId="74DDE104" w14:textId="77777777" w:rsidR="00584EC1" w:rsidRDefault="00871F8D">
      <w:pPr>
        <w:spacing w:before="60"/>
        <w:ind w:firstLine="450"/>
        <w:jc w:val="both"/>
        <w:textAlignment w:val="top"/>
      </w:pPr>
      <w:r>
        <w:rPr>
          <w:rFonts w:ascii="Arial" w:eastAsia="宋体" w:hAnsi="Arial" w:cs="Arial"/>
          <w:color w:val="000000"/>
          <w:sz w:val="20"/>
          <w:szCs w:val="20"/>
        </w:rPr>
        <w:t>Certain loans are pledged as collateral for access to the Federal Reserve's discount window. As of September 30, 2021 and December 31, 2020, the loans pledged as collateral totaled $9.00 billion and $8.07 billion, respectively.</w:t>
      </w:r>
    </w:p>
    <w:p w14:paraId="74DDE105" w14:textId="77777777" w:rsidR="00584EC1" w:rsidRDefault="00871F8D">
      <w:pPr>
        <w:spacing w:before="60"/>
        <w:ind w:firstLine="450"/>
        <w:jc w:val="both"/>
        <w:textAlignment w:val="top"/>
      </w:pPr>
      <w:r>
        <w:rPr>
          <w:rFonts w:ascii="Arial" w:eastAsia="宋体" w:hAnsi="Arial" w:cs="Arial"/>
          <w:color w:val="000000"/>
          <w:sz w:val="20"/>
          <w:szCs w:val="20"/>
        </w:rPr>
        <w:t>As</w:t>
      </w:r>
      <w:r>
        <w:rPr>
          <w:rFonts w:ascii="Arial" w:eastAsia="宋体" w:hAnsi="Arial" w:cs="Arial"/>
          <w:color w:val="000000"/>
          <w:sz w:val="20"/>
          <w:szCs w:val="20"/>
        </w:rPr>
        <w:t xml:space="preserve"> of September 30, 2021 and December 31, 2020, we had no loans on non-accrual status.</w:t>
      </w:r>
    </w:p>
    <w:p w14:paraId="74DDE106" w14:textId="77777777" w:rsidR="00584EC1" w:rsidRDefault="00871F8D">
      <w:pPr>
        <w:spacing w:before="60"/>
        <w:ind w:firstLine="450"/>
        <w:jc w:val="both"/>
        <w:textAlignment w:val="top"/>
      </w:pPr>
      <w:r>
        <w:rPr>
          <w:rFonts w:ascii="Arial" w:eastAsia="宋体" w:hAnsi="Arial" w:cs="Arial"/>
          <w:color w:val="000000"/>
          <w:sz w:val="20"/>
          <w:szCs w:val="20"/>
        </w:rPr>
        <w:t xml:space="preserve">We purchased $832 million collateralized loan obligations in loan form, which were all rated AAA, in the third quarter of 2021. </w:t>
      </w:r>
    </w:p>
    <w:p w14:paraId="74DDE107" w14:textId="77777777" w:rsidR="00584EC1" w:rsidRDefault="00871F8D">
      <w:pPr>
        <w:spacing w:before="60"/>
        <w:ind w:firstLine="450"/>
        <w:jc w:val="both"/>
        <w:textAlignment w:val="top"/>
      </w:pPr>
      <w:r>
        <w:rPr>
          <w:rFonts w:ascii="Arial" w:eastAsia="宋体" w:hAnsi="Arial" w:cs="Arial"/>
          <w:color w:val="000000"/>
          <w:sz w:val="20"/>
          <w:szCs w:val="20"/>
        </w:rPr>
        <w:t xml:space="preserve">We sold $84 million of leveraged loans in </w:t>
      </w:r>
      <w:r>
        <w:rPr>
          <w:rFonts w:ascii="Arial" w:eastAsia="宋体" w:hAnsi="Arial" w:cs="Arial"/>
          <w:color w:val="000000"/>
          <w:sz w:val="20"/>
          <w:szCs w:val="20"/>
        </w:rPr>
        <w:t>the third quarter of 2021, of which $46 million remained unsettled and was held for sale as of September 30, 2021. Additionally, we have one loan for $15 million which has been classified as doubtful and is pending settlement.</w:t>
      </w:r>
    </w:p>
    <w:p w14:paraId="74DDE108" w14:textId="77777777" w:rsidR="00584EC1" w:rsidRDefault="00871F8D">
      <w:pPr>
        <w:spacing w:before="60"/>
        <w:ind w:firstLine="450"/>
        <w:jc w:val="both"/>
        <w:textAlignment w:val="top"/>
      </w:pPr>
      <w:r>
        <w:rPr>
          <w:rFonts w:ascii="Arial" w:eastAsia="宋体" w:hAnsi="Arial" w:cs="Arial"/>
          <w:color w:val="000000"/>
          <w:sz w:val="20"/>
          <w:szCs w:val="20"/>
        </w:rPr>
        <w:t xml:space="preserve">In certain circumstances, we </w:t>
      </w:r>
      <w:r>
        <w:rPr>
          <w:rFonts w:ascii="Arial" w:eastAsia="宋体" w:hAnsi="Arial" w:cs="Arial"/>
          <w:color w:val="000000"/>
          <w:sz w:val="20"/>
          <w:szCs w:val="20"/>
        </w:rPr>
        <w:t xml:space="preserve">restructure troubled loans by granting concessions to borrowers experiencing financial difficulty. Once restructured, the loans are generally considered impaired until their maturity, regardless of whether the borrowers perform under the modified terms of </w:t>
      </w:r>
      <w:r>
        <w:rPr>
          <w:rFonts w:ascii="Arial" w:eastAsia="宋体" w:hAnsi="Arial" w:cs="Arial"/>
          <w:color w:val="000000"/>
          <w:sz w:val="20"/>
          <w:szCs w:val="20"/>
        </w:rPr>
        <w:t>the loans. There were no loans modified in troubled debt restructurings during the third quarter of 2021.</w:t>
      </w:r>
    </w:p>
    <w:p w14:paraId="74DDE109" w14:textId="77777777" w:rsidR="00584EC1" w:rsidRDefault="00871F8D">
      <w:pPr>
        <w:spacing w:before="60"/>
        <w:jc w:val="both"/>
        <w:textAlignment w:val="top"/>
      </w:pPr>
      <w:r>
        <w:rPr>
          <w:rFonts w:ascii="Arial" w:eastAsia="宋体" w:hAnsi="Arial" w:cs="Arial"/>
          <w:b/>
          <w:bCs/>
          <w:i/>
          <w:iCs/>
          <w:color w:val="000000"/>
          <w:sz w:val="20"/>
          <w:szCs w:val="20"/>
        </w:rPr>
        <w:t>Allowance for Credit Losses</w:t>
      </w:r>
    </w:p>
    <w:p w14:paraId="74DDE10A" w14:textId="77777777" w:rsidR="00584EC1" w:rsidRDefault="00871F8D">
      <w:pPr>
        <w:spacing w:before="60"/>
        <w:ind w:firstLine="450"/>
        <w:jc w:val="both"/>
        <w:textAlignment w:val="top"/>
      </w:pPr>
      <w:r>
        <w:rPr>
          <w:rFonts w:ascii="Arial" w:eastAsia="宋体" w:hAnsi="Arial" w:cs="Arial"/>
          <w:color w:val="000000"/>
          <w:sz w:val="20"/>
          <w:szCs w:val="20"/>
        </w:rPr>
        <w:t>We recognize an allowance for credit losses in accordance with ASC 326 for financial assets held at amortized cost and off-balance sheet commitments. The allowance for credit losses is reviewed on a regular basis, and any provision for credit losses is rec</w:t>
      </w:r>
      <w:r>
        <w:rPr>
          <w:rFonts w:ascii="Arial" w:eastAsia="宋体" w:hAnsi="Arial" w:cs="Arial"/>
          <w:color w:val="000000"/>
          <w:sz w:val="20"/>
          <w:szCs w:val="20"/>
        </w:rPr>
        <w:t>orded to reflect the amount necessary to maintain the allowance for expected credit losses at a level which represents what management does not expect to recover due to expected credit losses. For additional discussion on the allowance for credit losses fo</w:t>
      </w:r>
      <w:r>
        <w:rPr>
          <w:rFonts w:ascii="Arial" w:eastAsia="宋体" w:hAnsi="Arial" w:cs="Arial"/>
          <w:color w:val="000000"/>
          <w:sz w:val="20"/>
          <w:szCs w:val="20"/>
        </w:rPr>
        <w:t xml:space="preserve">r investment securities, please refer to Note 3, to the consolidated financial statements in this Form 10-Q. </w:t>
      </w:r>
    </w:p>
    <w:p w14:paraId="74DDE10B" w14:textId="77777777" w:rsidR="00584EC1" w:rsidRDefault="00871F8D">
      <w:pPr>
        <w:spacing w:before="60"/>
        <w:ind w:firstLine="450"/>
        <w:jc w:val="both"/>
        <w:textAlignment w:val="top"/>
      </w:pPr>
      <w:r>
        <w:rPr>
          <w:rFonts w:ascii="Arial" w:eastAsia="宋体" w:hAnsi="Arial" w:cs="Arial"/>
          <w:color w:val="000000"/>
          <w:sz w:val="20"/>
          <w:szCs w:val="20"/>
        </w:rPr>
        <w:t>When the allowance is recorded, a provision for credit loss expense is recognized in net income. The allowance for credit losses for financial ass</w:t>
      </w:r>
      <w:r>
        <w:rPr>
          <w:rFonts w:ascii="Arial" w:eastAsia="宋体" w:hAnsi="Arial" w:cs="Arial"/>
          <w:color w:val="000000"/>
          <w:sz w:val="20"/>
          <w:szCs w:val="20"/>
        </w:rPr>
        <w:t>ets (excluding investment securities, as discussed in Note 3) represents the portion of the amortized cost basis, including accrued interest for financial assets held at amortized cost, which management does not expect to recover due to expected credit los</w:t>
      </w:r>
      <w:r>
        <w:rPr>
          <w:rFonts w:ascii="Arial" w:eastAsia="宋体" w:hAnsi="Arial" w:cs="Arial"/>
          <w:color w:val="000000"/>
          <w:sz w:val="20"/>
          <w:szCs w:val="20"/>
        </w:rPr>
        <w:t xml:space="preserve">ses and is presented on the statement of condition as an offset to the amortized cost basis. The accrued interest balance is presented separately on the statement of </w:t>
      </w:r>
    </w:p>
    <w:p w14:paraId="74DDE10C" w14:textId="77777777" w:rsidR="00584EC1" w:rsidRDefault="00871F8D">
      <w:pPr>
        <w:spacing w:before="60"/>
        <w:jc w:val="both"/>
        <w:textAlignment w:val="top"/>
      </w:pPr>
      <w:r>
        <w:rPr>
          <w:rFonts w:ascii="Arial" w:eastAsia="宋体" w:hAnsi="Arial" w:cs="Arial"/>
          <w:color w:val="000000"/>
          <w:sz w:val="20"/>
          <w:szCs w:val="20"/>
        </w:rPr>
        <w:t>condition within accrued interest and fees receivable. The allowance for off-balance shee</w:t>
      </w:r>
      <w:r>
        <w:rPr>
          <w:rFonts w:ascii="Arial" w:eastAsia="宋体" w:hAnsi="Arial" w:cs="Arial"/>
          <w:color w:val="000000"/>
          <w:sz w:val="20"/>
          <w:szCs w:val="20"/>
        </w:rPr>
        <w:t>t commitments is presented within other liabilities.</w:t>
      </w:r>
    </w:p>
    <w:p w14:paraId="74DDE10D" w14:textId="77777777" w:rsidR="00584EC1" w:rsidRDefault="00871F8D">
      <w:pPr>
        <w:spacing w:before="60"/>
        <w:ind w:firstLine="450"/>
        <w:jc w:val="both"/>
        <w:textAlignment w:val="top"/>
      </w:pPr>
      <w:r>
        <w:rPr>
          <w:rFonts w:ascii="Arial" w:eastAsia="宋体" w:hAnsi="Arial" w:cs="Arial"/>
          <w:color w:val="000000"/>
          <w:sz w:val="20"/>
          <w:szCs w:val="20"/>
        </w:rPr>
        <w:t>The allowance for credit losses may be determined using various methods, including discounted cash flow methods, loss-rate methods, probability-of-default methods, and other quantitative or qualitative m</w:t>
      </w:r>
      <w:r>
        <w:rPr>
          <w:rFonts w:ascii="Arial" w:eastAsia="宋体" w:hAnsi="Arial" w:cs="Arial"/>
          <w:color w:val="000000"/>
          <w:sz w:val="20"/>
          <w:szCs w:val="20"/>
        </w:rPr>
        <w:t>ethods as determined by us. The method used to estimate expected credit losses may vary depending on the type of financial asset, our ability to predict the timing of cash flows, and the information available to us.</w:t>
      </w:r>
    </w:p>
    <w:p w14:paraId="74DDE10E" w14:textId="77777777" w:rsidR="00584EC1" w:rsidRDefault="00871F8D">
      <w:pPr>
        <w:spacing w:before="60"/>
        <w:ind w:firstLine="450"/>
        <w:jc w:val="both"/>
        <w:textAlignment w:val="top"/>
      </w:pPr>
      <w:r>
        <w:rPr>
          <w:rFonts w:ascii="Arial" w:eastAsia="宋体" w:hAnsi="Arial" w:cs="Arial"/>
          <w:color w:val="000000"/>
          <w:sz w:val="20"/>
          <w:szCs w:val="20"/>
        </w:rPr>
        <w:t>We measure expected credit losses of fin</w:t>
      </w:r>
      <w:r>
        <w:rPr>
          <w:rFonts w:ascii="Arial" w:eastAsia="宋体" w:hAnsi="Arial" w:cs="Arial"/>
          <w:color w:val="000000"/>
          <w:sz w:val="20"/>
          <w:szCs w:val="20"/>
        </w:rPr>
        <w:t>ancial assets on a collective (pool) basis when similar risk characteristic exist. Each reporting period, we assess whether the assets in the pool continue to display similar risk characteristics.</w:t>
      </w:r>
    </w:p>
    <w:p w14:paraId="74DDE10F" w14:textId="77777777" w:rsidR="00584EC1" w:rsidRDefault="00871F8D">
      <w:pPr>
        <w:spacing w:before="60"/>
        <w:ind w:firstLine="450"/>
        <w:jc w:val="both"/>
        <w:textAlignment w:val="top"/>
      </w:pPr>
      <w:r>
        <w:rPr>
          <w:rFonts w:ascii="Arial" w:eastAsia="宋体" w:hAnsi="Arial" w:cs="Arial"/>
          <w:color w:val="000000"/>
          <w:sz w:val="20"/>
          <w:szCs w:val="20"/>
        </w:rPr>
        <w:t>For a financial asset that does not share risk characterist</w:t>
      </w:r>
      <w:r>
        <w:rPr>
          <w:rFonts w:ascii="Arial" w:eastAsia="宋体" w:hAnsi="Arial" w:cs="Arial"/>
          <w:color w:val="000000"/>
          <w:sz w:val="20"/>
          <w:szCs w:val="20"/>
        </w:rPr>
        <w:t>ics with other assets, expected credit losses are measured separately using one or more of the methods noted above. As of September 30, 2021, we had nine loans for $232 million in the commercial and financial segment that no longer met the similar risk cha</w:t>
      </w:r>
      <w:r>
        <w:rPr>
          <w:rFonts w:ascii="Arial" w:eastAsia="宋体" w:hAnsi="Arial" w:cs="Arial"/>
          <w:color w:val="000000"/>
          <w:sz w:val="20"/>
          <w:szCs w:val="20"/>
        </w:rPr>
        <w:t>racteristics of their collective pool. We recorded an allowance for credit losses of $13 million as of September 30, 2021 on these loans.</w:t>
      </w:r>
    </w:p>
    <w:p w14:paraId="74DDE110" w14:textId="77777777" w:rsidR="00584EC1" w:rsidRDefault="00871F8D">
      <w:pPr>
        <w:spacing w:before="60"/>
        <w:ind w:firstLine="450"/>
        <w:jc w:val="both"/>
        <w:textAlignment w:val="top"/>
      </w:pPr>
      <w:r>
        <w:rPr>
          <w:rFonts w:ascii="Arial" w:eastAsia="宋体" w:hAnsi="Arial" w:cs="Arial"/>
          <w:color w:val="000000"/>
          <w:sz w:val="20"/>
          <w:szCs w:val="20"/>
        </w:rPr>
        <w:t>Determining the appropriateness of the allowance is complex and requires judgment by management about the effect of ma</w:t>
      </w:r>
      <w:r>
        <w:rPr>
          <w:rFonts w:ascii="Arial" w:eastAsia="宋体" w:hAnsi="Arial" w:cs="Arial"/>
          <w:color w:val="000000"/>
          <w:sz w:val="20"/>
          <w:szCs w:val="20"/>
        </w:rPr>
        <w:t xml:space="preserve">tters that are inherently uncertain. In future periods, factors and forecasts then prevailing may result in significant changes in the allowance for credit losses in those future periods. </w:t>
      </w:r>
    </w:p>
    <w:p w14:paraId="74DDE111" w14:textId="77777777" w:rsidR="00584EC1" w:rsidRDefault="00871F8D">
      <w:pPr>
        <w:spacing w:before="60"/>
        <w:ind w:firstLine="450"/>
        <w:jc w:val="both"/>
        <w:textAlignment w:val="top"/>
      </w:pPr>
      <w:r>
        <w:rPr>
          <w:rFonts w:ascii="Arial" w:eastAsia="宋体" w:hAnsi="Arial" w:cs="Arial"/>
          <w:color w:val="000000"/>
          <w:sz w:val="20"/>
          <w:szCs w:val="20"/>
        </w:rPr>
        <w:t>We estimate credit losses over the contractual life of the financia</w:t>
      </w:r>
      <w:r>
        <w:rPr>
          <w:rFonts w:ascii="Arial" w:eastAsia="宋体" w:hAnsi="Arial" w:cs="Arial"/>
          <w:color w:val="000000"/>
          <w:sz w:val="20"/>
          <w:szCs w:val="20"/>
        </w:rPr>
        <w:t>l asset, while factoring in prepayment activity, where supported by data, over a three year reasonable and supportable forecast period. We utilize a baseline, upside and downside scenario which are applied based on a probability weighting, in order to bett</w:t>
      </w:r>
      <w:r>
        <w:rPr>
          <w:rFonts w:ascii="Arial" w:eastAsia="宋体" w:hAnsi="Arial" w:cs="Arial"/>
          <w:color w:val="000000"/>
          <w:sz w:val="20"/>
          <w:szCs w:val="20"/>
        </w:rPr>
        <w:t>er reflect management’s expectation of expected credit losses given existing market conditions and the changes in the economic environment. The multiple scenarios are based on a three year horizon (or less depending on contractual maturity) and then revert</w:t>
      </w:r>
      <w:r>
        <w:rPr>
          <w:rFonts w:ascii="Arial" w:eastAsia="宋体" w:hAnsi="Arial" w:cs="Arial"/>
          <w:color w:val="000000"/>
          <w:sz w:val="20"/>
          <w:szCs w:val="20"/>
        </w:rPr>
        <w:t xml:space="preserve"> linearly over a two year period to a ten-year historical average thereafter. The contractual term excludes expected extensions, renewals and modifications, but includes prepayment assumptions where applicable. </w:t>
      </w:r>
    </w:p>
    <w:p w14:paraId="74DDE112" w14:textId="77777777" w:rsidR="00584EC1" w:rsidRDefault="00871F8D">
      <w:pPr>
        <w:spacing w:before="60"/>
        <w:ind w:firstLine="450"/>
        <w:jc w:val="both"/>
        <w:textAlignment w:val="top"/>
      </w:pPr>
      <w:r>
        <w:rPr>
          <w:rFonts w:ascii="Arial" w:eastAsia="宋体" w:hAnsi="Arial" w:cs="Arial"/>
          <w:color w:val="000000"/>
          <w:sz w:val="20"/>
          <w:szCs w:val="20"/>
        </w:rPr>
        <w:t xml:space="preserve">As part of our allowance methodology, we establish qualitative reserves to address any risks inherent in our portfolio that are not addressed through our quantitative reserve assessment. These factors may relate to, among other things, legislation changes </w:t>
      </w:r>
      <w:r>
        <w:rPr>
          <w:rFonts w:ascii="Arial" w:eastAsia="宋体" w:hAnsi="Arial" w:cs="Arial"/>
          <w:color w:val="000000"/>
          <w:sz w:val="20"/>
          <w:szCs w:val="20"/>
        </w:rPr>
        <w:t xml:space="preserve">or new regulation, credit concentration, loan markets, scenario weighting and overall model </w:t>
      </w:r>
    </w:p>
    <w:p w14:paraId="74DDE113" w14:textId="77777777" w:rsidR="00584EC1" w:rsidRDefault="00871F8D">
      <w:pPr>
        <w:ind w:firstLine="450"/>
        <w:jc w:val="right"/>
      </w:pPr>
      <w:r>
        <w:rPr>
          <w:rFonts w:ascii="Arial" w:eastAsia="宋体" w:hAnsi="Arial" w:cs="Arial"/>
          <w:color w:val="000000"/>
          <w:sz w:val="18"/>
          <w:szCs w:val="18"/>
        </w:rPr>
        <w:t>State Street Corporation | 70</w:t>
      </w:r>
    </w:p>
    <w:p w14:paraId="74DDE114" w14:textId="77777777" w:rsidR="00584EC1" w:rsidRDefault="00584EC1">
      <w:pPr>
        <w:ind w:firstLine="450"/>
        <w:jc w:val="center"/>
      </w:pPr>
    </w:p>
    <w:p w14:paraId="74DDE115" w14:textId="77777777" w:rsidR="00584EC1" w:rsidRDefault="00871F8D">
      <w:r>
        <w:pict w14:anchorId="74DE2A34">
          <v:rect id="_x0000_i1094" style="width:415.3pt;height:1.5pt" o:hralign="center" o:hrstd="t" o:hr="t" fillcolor="#a0a0a0" stroked="f"/>
        </w:pict>
      </w:r>
    </w:p>
    <w:p w14:paraId="74DDE116" w14:textId="77777777" w:rsidR="00584EC1" w:rsidRDefault="00871F8D">
      <w:pPr>
        <w:ind w:firstLine="450"/>
        <w:jc w:val="center"/>
      </w:pPr>
      <w:r>
        <w:rPr>
          <w:rFonts w:ascii="Arial" w:eastAsia="宋体" w:hAnsi="Arial" w:cs="Arial"/>
          <w:b/>
          <w:bCs/>
          <w:color w:val="000000"/>
          <w:sz w:val="20"/>
          <w:szCs w:val="20"/>
        </w:rPr>
        <w:t>STATE STREET CORPORATION</w:t>
      </w:r>
    </w:p>
    <w:p w14:paraId="74DDE117" w14:textId="77777777" w:rsidR="00584EC1" w:rsidRDefault="00871F8D">
      <w:pPr>
        <w:ind w:firstLine="450"/>
        <w:jc w:val="center"/>
      </w:pPr>
      <w:r>
        <w:rPr>
          <w:rFonts w:ascii="Arial" w:eastAsia="宋体" w:hAnsi="Arial" w:cs="Arial"/>
          <w:b/>
          <w:bCs/>
          <w:color w:val="000000"/>
          <w:sz w:val="20"/>
          <w:szCs w:val="20"/>
        </w:rPr>
        <w:t>CONDENSED NOTES TO CONSOLIDATED FINANCIAL STATEMENTS</w:t>
      </w:r>
    </w:p>
    <w:p w14:paraId="74DDE118" w14:textId="77777777" w:rsidR="00584EC1" w:rsidRDefault="00871F8D">
      <w:pPr>
        <w:ind w:firstLine="450"/>
        <w:jc w:val="center"/>
      </w:pPr>
      <w:r>
        <w:rPr>
          <w:rFonts w:ascii="Arial" w:eastAsia="宋体" w:hAnsi="Arial" w:cs="Arial"/>
          <w:b/>
          <w:bCs/>
          <w:color w:val="000000"/>
          <w:sz w:val="20"/>
          <w:szCs w:val="20"/>
        </w:rPr>
        <w:t>(UNAUDITED)</w:t>
      </w:r>
    </w:p>
    <w:p w14:paraId="74DDE119" w14:textId="77777777" w:rsidR="00584EC1" w:rsidRDefault="00871F8D">
      <w:pPr>
        <w:spacing w:before="60"/>
        <w:jc w:val="both"/>
        <w:textAlignment w:val="top"/>
      </w:pPr>
      <w:r>
        <w:rPr>
          <w:rFonts w:ascii="Arial" w:eastAsia="宋体" w:hAnsi="Arial" w:cs="Arial"/>
          <w:color w:val="000000"/>
          <w:sz w:val="20"/>
          <w:szCs w:val="20"/>
        </w:rPr>
        <w:t>limitations. The qualitative adjustments</w:t>
      </w:r>
      <w:r>
        <w:rPr>
          <w:rFonts w:ascii="Arial" w:eastAsia="宋体" w:hAnsi="Arial" w:cs="Arial"/>
          <w:color w:val="000000"/>
          <w:sz w:val="20"/>
          <w:szCs w:val="20"/>
        </w:rPr>
        <w:t xml:space="preserve"> are applied to our portfolio of financial instruments under the existing governance structure and are inherently judgmental.</w:t>
      </w:r>
    </w:p>
    <w:p w14:paraId="74DDE11A" w14:textId="77777777" w:rsidR="00584EC1" w:rsidRDefault="00871F8D">
      <w:pPr>
        <w:spacing w:before="60"/>
        <w:ind w:firstLine="450"/>
        <w:jc w:val="both"/>
        <w:textAlignment w:val="top"/>
      </w:pPr>
      <w:r>
        <w:rPr>
          <w:rFonts w:ascii="Arial" w:eastAsia="宋体" w:hAnsi="Arial" w:cs="Arial"/>
          <w:color w:val="000000"/>
          <w:sz w:val="20"/>
          <w:szCs w:val="20"/>
        </w:rPr>
        <w:t>For additional information on the allowance for credit losses, refer to pages 150 to 151 in Note 4 to the consolidated financial s</w:t>
      </w:r>
      <w:r>
        <w:rPr>
          <w:rFonts w:ascii="Arial" w:eastAsia="宋体" w:hAnsi="Arial" w:cs="Arial"/>
          <w:color w:val="000000"/>
          <w:sz w:val="20"/>
          <w:szCs w:val="20"/>
        </w:rPr>
        <w:t>tatements included under item 8, Financial Statements and Supplementary Data, in our 2020 Form 10-K.</w:t>
      </w:r>
    </w:p>
    <w:p w14:paraId="74DDE11B" w14:textId="77777777" w:rsidR="00584EC1" w:rsidRDefault="00871F8D">
      <w:pPr>
        <w:spacing w:before="90"/>
        <w:jc w:val="both"/>
        <w:textAlignment w:val="top"/>
      </w:pPr>
      <w:r>
        <w:rPr>
          <w:rFonts w:ascii="Arial" w:eastAsia="宋体" w:hAnsi="Arial" w:cs="Arial"/>
          <w:b/>
          <w:bCs/>
          <w:color w:val="000000"/>
          <w:sz w:val="20"/>
          <w:szCs w:val="20"/>
        </w:rPr>
        <w:t>Credit Quality</w:t>
      </w:r>
    </w:p>
    <w:p w14:paraId="74DDE11C" w14:textId="77777777" w:rsidR="00584EC1" w:rsidRDefault="00871F8D">
      <w:pPr>
        <w:spacing w:before="60"/>
        <w:ind w:firstLine="450"/>
        <w:jc w:val="both"/>
        <w:textAlignment w:val="top"/>
      </w:pPr>
      <w:r>
        <w:rPr>
          <w:rFonts w:ascii="Arial" w:eastAsia="宋体" w:hAnsi="Arial" w:cs="Arial"/>
          <w:color w:val="000000"/>
          <w:sz w:val="20"/>
          <w:szCs w:val="20"/>
        </w:rPr>
        <w:t>Credit quality for financial assets held at amortized cost are continuously monitored by management and is reflected within the allowance fo</w:t>
      </w:r>
      <w:r>
        <w:rPr>
          <w:rFonts w:ascii="Arial" w:eastAsia="宋体" w:hAnsi="Arial" w:cs="Arial"/>
          <w:color w:val="000000"/>
          <w:sz w:val="20"/>
          <w:szCs w:val="20"/>
        </w:rPr>
        <w:t xml:space="preserve">r credit losses. </w:t>
      </w:r>
    </w:p>
    <w:p w14:paraId="74DDE11D" w14:textId="77777777" w:rsidR="00584EC1" w:rsidRDefault="00871F8D">
      <w:pPr>
        <w:spacing w:before="60"/>
        <w:ind w:firstLine="450"/>
        <w:jc w:val="both"/>
        <w:textAlignment w:val="top"/>
      </w:pPr>
      <w:r>
        <w:rPr>
          <w:rFonts w:ascii="Arial" w:eastAsia="宋体" w:hAnsi="Arial" w:cs="Arial"/>
          <w:color w:val="000000"/>
          <w:sz w:val="20"/>
          <w:szCs w:val="20"/>
        </w:rPr>
        <w:t>We use an internal risk-rating system to assess our risk of credit loss for each loan. This risk-rating process incorporates the use of risk-rating tools in conjunction with management judgment. Qualitative and quantitative inputs are cap</w:t>
      </w:r>
      <w:r>
        <w:rPr>
          <w:rFonts w:ascii="Arial" w:eastAsia="宋体" w:hAnsi="Arial" w:cs="Arial"/>
          <w:color w:val="000000"/>
          <w:sz w:val="20"/>
          <w:szCs w:val="20"/>
        </w:rPr>
        <w:t xml:space="preserve">tured in a systematic manner, and following a formal review and approval process, an internal credit rating based on our credit scale is assigned. </w:t>
      </w:r>
    </w:p>
    <w:p w14:paraId="74DDE11E" w14:textId="77777777" w:rsidR="00584EC1" w:rsidRDefault="00871F8D">
      <w:pPr>
        <w:spacing w:before="60"/>
        <w:ind w:firstLine="450"/>
        <w:jc w:val="both"/>
        <w:textAlignment w:val="top"/>
      </w:pPr>
      <w:r>
        <w:rPr>
          <w:rFonts w:ascii="Arial" w:eastAsia="宋体" w:hAnsi="Arial" w:cs="Arial"/>
          <w:color w:val="000000"/>
          <w:sz w:val="20"/>
          <w:szCs w:val="20"/>
        </w:rPr>
        <w:t xml:space="preserve">When computing allowance levels, credit loss assumptions are estimated using a model that categorizes asset </w:t>
      </w:r>
      <w:r>
        <w:rPr>
          <w:rFonts w:ascii="Arial" w:eastAsia="宋体" w:hAnsi="Arial" w:cs="Arial"/>
          <w:color w:val="000000"/>
          <w:sz w:val="20"/>
          <w:szCs w:val="20"/>
        </w:rPr>
        <w:t>pools based on loss history, delinquency status and other credit trends and risk characteristics, including current conditions and reasonable and supportable forecasts about the future. Determining the appropriateness of the allowance is complex and requir</w:t>
      </w:r>
      <w:r>
        <w:rPr>
          <w:rFonts w:ascii="Arial" w:eastAsia="宋体" w:hAnsi="Arial" w:cs="Arial"/>
          <w:color w:val="000000"/>
          <w:sz w:val="20"/>
          <w:szCs w:val="20"/>
        </w:rPr>
        <w:t>es judgment by management about the effect of matters that are inherently uncertain. In future periods evaluations of the overall asset portfolio, in light of the factors and forecasts then prevailing, may result in significant changes in the allowance and</w:t>
      </w:r>
      <w:r>
        <w:rPr>
          <w:rFonts w:ascii="Arial" w:eastAsia="宋体" w:hAnsi="Arial" w:cs="Arial"/>
          <w:color w:val="000000"/>
          <w:sz w:val="20"/>
          <w:szCs w:val="20"/>
        </w:rPr>
        <w:t xml:space="preserve"> credit loss expense in those future periods.</w:t>
      </w:r>
    </w:p>
    <w:p w14:paraId="74DDE11F" w14:textId="77777777" w:rsidR="00584EC1" w:rsidRDefault="00871F8D">
      <w:pPr>
        <w:spacing w:before="60"/>
        <w:ind w:firstLine="450"/>
        <w:jc w:val="both"/>
        <w:textAlignment w:val="top"/>
      </w:pPr>
      <w:r>
        <w:rPr>
          <w:rFonts w:ascii="Arial" w:eastAsia="宋体" w:hAnsi="Arial" w:cs="Arial"/>
          <w:color w:val="000000"/>
          <w:sz w:val="20"/>
          <w:szCs w:val="20"/>
        </w:rPr>
        <w:t>Credit quality is assessed and monitored by evaluating various attributes in order to enable the earliest possible detection of any concerns with the customer’s credit rating. The results of those evaluations a</w:t>
      </w:r>
      <w:r>
        <w:rPr>
          <w:rFonts w:ascii="Arial" w:eastAsia="宋体" w:hAnsi="Arial" w:cs="Arial"/>
          <w:color w:val="000000"/>
          <w:sz w:val="20"/>
          <w:szCs w:val="20"/>
        </w:rPr>
        <w:t xml:space="preserve">re utilized in underwriting new loans and transactions with counterparties and in our process for estimation of expected credit losses. </w:t>
      </w:r>
    </w:p>
    <w:p w14:paraId="74DDE120" w14:textId="77777777" w:rsidR="00584EC1" w:rsidRDefault="00871F8D">
      <w:pPr>
        <w:spacing w:before="60"/>
        <w:ind w:firstLine="450"/>
        <w:jc w:val="both"/>
        <w:textAlignment w:val="top"/>
      </w:pPr>
      <w:r>
        <w:rPr>
          <w:rFonts w:ascii="Arial" w:eastAsia="宋体" w:hAnsi="Arial" w:cs="Arial"/>
          <w:color w:val="000000"/>
          <w:sz w:val="20"/>
          <w:szCs w:val="20"/>
        </w:rPr>
        <w:t xml:space="preserve">In assessing the risk rating assigned to each individual loan, among the factors considered are the borrower's debt capacity, collateral coverage, payment history and delinquency experience, </w:t>
      </w:r>
    </w:p>
    <w:p w14:paraId="74DDE121" w14:textId="77777777" w:rsidR="00584EC1" w:rsidRDefault="00871F8D">
      <w:pPr>
        <w:spacing w:before="60"/>
        <w:jc w:val="both"/>
        <w:textAlignment w:val="top"/>
      </w:pPr>
      <w:r>
        <w:rPr>
          <w:rFonts w:ascii="Arial" w:eastAsia="宋体" w:hAnsi="Arial" w:cs="Arial"/>
          <w:color w:val="000000"/>
          <w:sz w:val="20"/>
          <w:szCs w:val="20"/>
        </w:rPr>
        <w:t>financial flexibility and earnings strength, the expected amount</w:t>
      </w:r>
      <w:r>
        <w:rPr>
          <w:rFonts w:ascii="Arial" w:eastAsia="宋体" w:hAnsi="Arial" w:cs="Arial"/>
          <w:color w:val="000000"/>
          <w:sz w:val="20"/>
          <w:szCs w:val="20"/>
        </w:rPr>
        <w:t>s and source of repayment, the level and nature of contingencies, if any, and the industry and geography in which the borrower operates. These factors are based on an evaluation of historical and current information, and involve subjective assessment and i</w:t>
      </w:r>
      <w:r>
        <w:rPr>
          <w:rFonts w:ascii="Arial" w:eastAsia="宋体" w:hAnsi="Arial" w:cs="Arial"/>
          <w:color w:val="000000"/>
          <w:sz w:val="20"/>
          <w:szCs w:val="20"/>
        </w:rPr>
        <w:t>nterpretation. Credit counterparties are evaluated and risk-rated on an individual basis at least annually. Management considers the ratings to be current as of September 30, 2021.</w:t>
      </w:r>
    </w:p>
    <w:p w14:paraId="74DDE122" w14:textId="77777777" w:rsidR="00584EC1" w:rsidRDefault="00871F8D">
      <w:pPr>
        <w:spacing w:before="60"/>
        <w:ind w:firstLine="450"/>
        <w:jc w:val="both"/>
        <w:textAlignment w:val="top"/>
      </w:pPr>
      <w:r>
        <w:rPr>
          <w:rFonts w:ascii="Arial" w:eastAsia="宋体" w:hAnsi="Arial" w:cs="Arial"/>
          <w:color w:val="000000"/>
          <w:sz w:val="20"/>
          <w:szCs w:val="20"/>
        </w:rPr>
        <w:t>Our internal risk rating methodology assigns risk ratings to counterparties</w:t>
      </w:r>
      <w:r>
        <w:rPr>
          <w:rFonts w:ascii="Arial" w:eastAsia="宋体" w:hAnsi="Arial" w:cs="Arial"/>
          <w:color w:val="000000"/>
          <w:sz w:val="20"/>
          <w:szCs w:val="20"/>
        </w:rPr>
        <w:t xml:space="preserve"> ranging from Investment Grade, Speculative, Special Mention, Substandard, Doubtful and Loss.</w:t>
      </w:r>
    </w:p>
    <w:p w14:paraId="74DDE123" w14:textId="77777777" w:rsidR="00584EC1" w:rsidRDefault="00871F8D">
      <w:pPr>
        <w:spacing w:before="60"/>
        <w:ind w:hanging="360"/>
        <w:jc w:val="both"/>
        <w:textAlignment w:val="top"/>
      </w:pPr>
      <w:r>
        <w:rPr>
          <w:rFonts w:ascii="Arial" w:eastAsia="宋体" w:hAnsi="Arial" w:cs="Arial"/>
          <w:color w:val="000000"/>
          <w:sz w:val="20"/>
          <w:szCs w:val="20"/>
        </w:rPr>
        <w:t>•Investment Grade: Counterparties with strong credit quality and low expected credit risk and probability of default. Approximately 82% of our loans were rated as</w:t>
      </w:r>
      <w:r>
        <w:rPr>
          <w:rFonts w:ascii="Arial" w:eastAsia="宋体" w:hAnsi="Arial" w:cs="Arial"/>
          <w:color w:val="000000"/>
          <w:sz w:val="20"/>
          <w:szCs w:val="20"/>
        </w:rPr>
        <w:t xml:space="preserve"> investment grade as of September 30, 2021 with external credit ratings, or equivalent, of "BBB-" or better.</w:t>
      </w:r>
    </w:p>
    <w:p w14:paraId="74DDE124" w14:textId="77777777" w:rsidR="00584EC1" w:rsidRDefault="00871F8D">
      <w:pPr>
        <w:spacing w:before="60"/>
        <w:ind w:hanging="360"/>
        <w:jc w:val="both"/>
        <w:textAlignment w:val="top"/>
      </w:pPr>
      <w:r>
        <w:rPr>
          <w:rFonts w:ascii="Arial" w:eastAsia="宋体" w:hAnsi="Arial" w:cs="Arial"/>
          <w:color w:val="000000"/>
          <w:sz w:val="20"/>
          <w:szCs w:val="20"/>
        </w:rPr>
        <w:t>•Speculative: Counterparties that have the ability to repay but face significant uncertainties, such as adverse business, financial circumstances t</w:t>
      </w:r>
      <w:r>
        <w:rPr>
          <w:rFonts w:ascii="Arial" w:eastAsia="宋体" w:hAnsi="Arial" w:cs="Arial"/>
          <w:color w:val="000000"/>
          <w:sz w:val="20"/>
          <w:szCs w:val="20"/>
        </w:rPr>
        <w:t>hat could affect credit risk or economic downturns. Loans to counterparties rated as speculative account for approximately 17% of our loans as of September 30, 2021, and are concentrated in leveraged loans. Approximately 88% of those leveraged loans have a</w:t>
      </w:r>
      <w:r>
        <w:rPr>
          <w:rFonts w:ascii="Arial" w:eastAsia="宋体" w:hAnsi="Arial" w:cs="Arial"/>
          <w:color w:val="000000"/>
          <w:sz w:val="20"/>
          <w:szCs w:val="20"/>
        </w:rPr>
        <w:t>n external credit rating, or equivalent, of "BB" or "B" as of September 30, 2021.</w:t>
      </w:r>
    </w:p>
    <w:p w14:paraId="74DDE125" w14:textId="77777777" w:rsidR="00584EC1" w:rsidRDefault="00871F8D">
      <w:pPr>
        <w:spacing w:before="60"/>
        <w:ind w:hanging="360"/>
        <w:jc w:val="both"/>
        <w:textAlignment w:val="top"/>
      </w:pPr>
      <w:r>
        <w:rPr>
          <w:rFonts w:ascii="Arial" w:eastAsia="宋体" w:hAnsi="Arial" w:cs="Arial"/>
          <w:color w:val="000000"/>
          <w:sz w:val="20"/>
          <w:szCs w:val="20"/>
        </w:rPr>
        <w:t>•Special Mention: Counterparties with potential weaknesses that, if uncorrected, may result in deterioration of repayment prospects.</w:t>
      </w:r>
    </w:p>
    <w:p w14:paraId="74DDE126" w14:textId="77777777" w:rsidR="00584EC1" w:rsidRDefault="00871F8D">
      <w:pPr>
        <w:spacing w:before="60"/>
        <w:ind w:hanging="360"/>
        <w:jc w:val="both"/>
        <w:textAlignment w:val="top"/>
      </w:pPr>
      <w:r>
        <w:rPr>
          <w:rFonts w:ascii="Arial" w:eastAsia="宋体" w:hAnsi="Arial" w:cs="Arial"/>
          <w:color w:val="000000"/>
          <w:sz w:val="20"/>
          <w:szCs w:val="20"/>
        </w:rPr>
        <w:t>•Substandard: Counterparties with well-de</w:t>
      </w:r>
      <w:r>
        <w:rPr>
          <w:rFonts w:ascii="Arial" w:eastAsia="宋体" w:hAnsi="Arial" w:cs="Arial"/>
          <w:color w:val="000000"/>
          <w:sz w:val="20"/>
          <w:szCs w:val="20"/>
        </w:rPr>
        <w:t xml:space="preserve">fined weakness that jeopardizes repayment with the possibility we will sustain some loss. </w:t>
      </w:r>
    </w:p>
    <w:p w14:paraId="74DDE127" w14:textId="77777777" w:rsidR="00584EC1" w:rsidRDefault="00871F8D">
      <w:pPr>
        <w:spacing w:before="60"/>
        <w:ind w:hanging="360"/>
        <w:jc w:val="both"/>
        <w:textAlignment w:val="top"/>
      </w:pPr>
      <w:r>
        <w:rPr>
          <w:rFonts w:ascii="Arial" w:eastAsia="宋体" w:hAnsi="Arial" w:cs="Arial"/>
          <w:color w:val="000000"/>
          <w:sz w:val="20"/>
          <w:szCs w:val="20"/>
        </w:rPr>
        <w:t xml:space="preserve">•Doubtful: Counterparties with well-defined weakness which make collection or liquidation in full highly questionable and improbable. </w:t>
      </w:r>
    </w:p>
    <w:p w14:paraId="74DDE128" w14:textId="77777777" w:rsidR="00584EC1" w:rsidRDefault="00871F8D">
      <w:pPr>
        <w:spacing w:before="60"/>
        <w:ind w:hanging="360"/>
        <w:jc w:val="both"/>
        <w:textAlignment w:val="top"/>
      </w:pPr>
      <w:r>
        <w:rPr>
          <w:rFonts w:ascii="Arial" w:eastAsia="宋体" w:hAnsi="Arial" w:cs="Arial"/>
          <w:color w:val="000000"/>
          <w:sz w:val="20"/>
          <w:szCs w:val="20"/>
        </w:rPr>
        <w:t>•Loss: Counterparties which ar</w:t>
      </w:r>
      <w:r>
        <w:rPr>
          <w:rFonts w:ascii="Arial" w:eastAsia="宋体" w:hAnsi="Arial" w:cs="Arial"/>
          <w:color w:val="000000"/>
          <w:sz w:val="20"/>
          <w:szCs w:val="20"/>
        </w:rPr>
        <w:t xml:space="preserve">e uncollectible or have little value. </w:t>
      </w:r>
    </w:p>
    <w:p w14:paraId="74DDE129" w14:textId="77777777" w:rsidR="00584EC1" w:rsidRDefault="00871F8D">
      <w:pPr>
        <w:ind w:firstLine="450"/>
        <w:jc w:val="right"/>
      </w:pPr>
      <w:r>
        <w:rPr>
          <w:rFonts w:ascii="Arial" w:eastAsia="宋体" w:hAnsi="Arial" w:cs="Arial"/>
          <w:color w:val="000000"/>
          <w:sz w:val="18"/>
          <w:szCs w:val="18"/>
        </w:rPr>
        <w:t>State Street Corporation | 71</w:t>
      </w:r>
    </w:p>
    <w:p w14:paraId="74DDE12A" w14:textId="77777777" w:rsidR="00584EC1" w:rsidRDefault="00584EC1">
      <w:pPr>
        <w:ind w:firstLine="450"/>
        <w:jc w:val="center"/>
      </w:pPr>
    </w:p>
    <w:p w14:paraId="74DDE12B" w14:textId="77777777" w:rsidR="00584EC1" w:rsidRDefault="00871F8D">
      <w:r>
        <w:pict w14:anchorId="74DE2A35">
          <v:rect id="_x0000_i1095" style="width:415.3pt;height:1.5pt" o:hralign="center" o:hrstd="t" o:hr="t" fillcolor="#a0a0a0" stroked="f"/>
        </w:pict>
      </w:r>
    </w:p>
    <w:p w14:paraId="74DDE12C" w14:textId="77777777" w:rsidR="00584EC1" w:rsidRDefault="00871F8D">
      <w:pPr>
        <w:ind w:firstLine="450"/>
        <w:jc w:val="center"/>
      </w:pPr>
      <w:r>
        <w:rPr>
          <w:rFonts w:ascii="Arial" w:eastAsia="宋体" w:hAnsi="Arial" w:cs="Arial"/>
          <w:b/>
          <w:bCs/>
          <w:color w:val="000000"/>
          <w:sz w:val="20"/>
          <w:szCs w:val="20"/>
        </w:rPr>
        <w:t>STATE STREET CORPORATION</w:t>
      </w:r>
    </w:p>
    <w:p w14:paraId="74DDE12D" w14:textId="77777777" w:rsidR="00584EC1" w:rsidRDefault="00871F8D">
      <w:pPr>
        <w:ind w:firstLine="450"/>
        <w:jc w:val="center"/>
      </w:pPr>
      <w:r>
        <w:rPr>
          <w:rFonts w:ascii="Arial" w:eastAsia="宋体" w:hAnsi="Arial" w:cs="Arial"/>
          <w:b/>
          <w:bCs/>
          <w:color w:val="000000"/>
          <w:sz w:val="20"/>
          <w:szCs w:val="20"/>
        </w:rPr>
        <w:t>CONDENSED NOTES TO CONSOLIDATED FINANCIAL STATEMENTS</w:t>
      </w:r>
    </w:p>
    <w:p w14:paraId="74DDE12E" w14:textId="77777777" w:rsidR="00584EC1" w:rsidRDefault="00871F8D">
      <w:pPr>
        <w:ind w:firstLine="450"/>
        <w:jc w:val="center"/>
      </w:pPr>
      <w:r>
        <w:rPr>
          <w:rFonts w:ascii="Arial" w:eastAsia="宋体" w:hAnsi="Arial" w:cs="Arial"/>
          <w:b/>
          <w:bCs/>
          <w:color w:val="000000"/>
          <w:sz w:val="20"/>
          <w:szCs w:val="20"/>
        </w:rPr>
        <w:t>(UNAUDITED)</w:t>
      </w:r>
    </w:p>
    <w:p w14:paraId="74DDE12F" w14:textId="77777777" w:rsidR="00584EC1" w:rsidRDefault="00871F8D">
      <w:pPr>
        <w:spacing w:before="60"/>
        <w:ind w:firstLine="450"/>
        <w:jc w:val="both"/>
      </w:pPr>
      <w:r>
        <w:rPr>
          <w:rFonts w:ascii="Arial" w:eastAsia="宋体" w:hAnsi="Arial" w:cs="Arial"/>
          <w:color w:val="000000"/>
          <w:sz w:val="20"/>
          <w:szCs w:val="20"/>
        </w:rPr>
        <w:t>The following tables present our recorded loans to counterparties by risk rating, as noted abo</w:t>
      </w:r>
      <w:r>
        <w:rPr>
          <w:rFonts w:ascii="Arial" w:eastAsia="宋体" w:hAnsi="Arial" w:cs="Arial"/>
          <w:color w:val="000000"/>
          <w:sz w:val="20"/>
          <w:szCs w:val="20"/>
        </w:rPr>
        <w:t>ve, as of the dates indicated:</w:t>
      </w:r>
    </w:p>
    <w:tbl>
      <w:tblPr>
        <w:tblW w:w="4985" w:type="pct"/>
        <w:tblCellMar>
          <w:top w:w="15" w:type="dxa"/>
          <w:left w:w="15" w:type="dxa"/>
          <w:bottom w:w="15" w:type="dxa"/>
          <w:right w:w="15" w:type="dxa"/>
        </w:tblCellMar>
        <w:tblLook w:val="04A0" w:firstRow="1" w:lastRow="0" w:firstColumn="1" w:lastColumn="0" w:noHBand="0" w:noVBand="1"/>
      </w:tblPr>
      <w:tblGrid>
        <w:gridCol w:w="44"/>
        <w:gridCol w:w="3126"/>
        <w:gridCol w:w="37"/>
        <w:gridCol w:w="99"/>
        <w:gridCol w:w="1515"/>
        <w:gridCol w:w="36"/>
        <w:gridCol w:w="36"/>
        <w:gridCol w:w="36"/>
        <w:gridCol w:w="36"/>
        <w:gridCol w:w="99"/>
        <w:gridCol w:w="1484"/>
        <w:gridCol w:w="36"/>
        <w:gridCol w:w="36"/>
        <w:gridCol w:w="36"/>
        <w:gridCol w:w="36"/>
        <w:gridCol w:w="98"/>
        <w:gridCol w:w="1485"/>
        <w:gridCol w:w="36"/>
      </w:tblGrid>
      <w:tr w:rsidR="00584EC1" w14:paraId="74DDE142" w14:textId="77777777">
        <w:tc>
          <w:tcPr>
            <w:tcW w:w="50" w:type="pct"/>
            <w:shd w:val="clear" w:color="auto" w:fill="auto"/>
            <w:vAlign w:val="bottom"/>
          </w:tcPr>
          <w:p w14:paraId="74DDE130" w14:textId="77777777" w:rsidR="00584EC1" w:rsidRDefault="00584EC1">
            <w:pPr>
              <w:rPr>
                <w:rFonts w:ascii="宋体"/>
              </w:rPr>
            </w:pPr>
          </w:p>
        </w:tc>
        <w:tc>
          <w:tcPr>
            <w:tcW w:w="1902" w:type="pct"/>
            <w:shd w:val="clear" w:color="auto" w:fill="auto"/>
            <w:vAlign w:val="bottom"/>
          </w:tcPr>
          <w:p w14:paraId="74DDE131" w14:textId="77777777" w:rsidR="00584EC1" w:rsidRDefault="00584EC1">
            <w:pPr>
              <w:rPr>
                <w:rFonts w:ascii="宋体"/>
              </w:rPr>
            </w:pPr>
          </w:p>
        </w:tc>
        <w:tc>
          <w:tcPr>
            <w:tcW w:w="5" w:type="pct"/>
            <w:shd w:val="clear" w:color="auto" w:fill="auto"/>
            <w:vAlign w:val="bottom"/>
          </w:tcPr>
          <w:p w14:paraId="74DDE132" w14:textId="77777777" w:rsidR="00584EC1" w:rsidRDefault="00584EC1">
            <w:pPr>
              <w:rPr>
                <w:rFonts w:ascii="宋体"/>
              </w:rPr>
            </w:pPr>
          </w:p>
        </w:tc>
        <w:tc>
          <w:tcPr>
            <w:tcW w:w="50" w:type="pct"/>
            <w:shd w:val="clear" w:color="auto" w:fill="auto"/>
            <w:vAlign w:val="bottom"/>
          </w:tcPr>
          <w:p w14:paraId="74DDE133" w14:textId="77777777" w:rsidR="00584EC1" w:rsidRDefault="00584EC1">
            <w:pPr>
              <w:rPr>
                <w:rFonts w:ascii="宋体"/>
              </w:rPr>
            </w:pPr>
          </w:p>
        </w:tc>
        <w:tc>
          <w:tcPr>
            <w:tcW w:w="934" w:type="pct"/>
            <w:shd w:val="clear" w:color="auto" w:fill="auto"/>
            <w:vAlign w:val="bottom"/>
          </w:tcPr>
          <w:p w14:paraId="74DDE134" w14:textId="77777777" w:rsidR="00584EC1" w:rsidRDefault="00584EC1">
            <w:pPr>
              <w:rPr>
                <w:rFonts w:ascii="宋体"/>
              </w:rPr>
            </w:pPr>
          </w:p>
        </w:tc>
        <w:tc>
          <w:tcPr>
            <w:tcW w:w="5" w:type="pct"/>
            <w:shd w:val="clear" w:color="auto" w:fill="auto"/>
            <w:vAlign w:val="bottom"/>
          </w:tcPr>
          <w:p w14:paraId="74DDE135" w14:textId="77777777" w:rsidR="00584EC1" w:rsidRDefault="00584EC1">
            <w:pPr>
              <w:rPr>
                <w:rFonts w:ascii="宋体"/>
              </w:rPr>
            </w:pPr>
          </w:p>
        </w:tc>
        <w:tc>
          <w:tcPr>
            <w:tcW w:w="5" w:type="pct"/>
            <w:shd w:val="clear" w:color="auto" w:fill="auto"/>
            <w:vAlign w:val="bottom"/>
          </w:tcPr>
          <w:p w14:paraId="74DDE136" w14:textId="77777777" w:rsidR="00584EC1" w:rsidRDefault="00584EC1">
            <w:pPr>
              <w:rPr>
                <w:rFonts w:ascii="宋体"/>
              </w:rPr>
            </w:pPr>
          </w:p>
        </w:tc>
        <w:tc>
          <w:tcPr>
            <w:tcW w:w="26" w:type="pct"/>
            <w:shd w:val="clear" w:color="auto" w:fill="auto"/>
            <w:vAlign w:val="bottom"/>
          </w:tcPr>
          <w:p w14:paraId="74DDE137" w14:textId="77777777" w:rsidR="00584EC1" w:rsidRDefault="00584EC1">
            <w:pPr>
              <w:rPr>
                <w:rFonts w:ascii="宋体"/>
              </w:rPr>
            </w:pPr>
          </w:p>
        </w:tc>
        <w:tc>
          <w:tcPr>
            <w:tcW w:w="5" w:type="pct"/>
            <w:shd w:val="clear" w:color="auto" w:fill="auto"/>
            <w:vAlign w:val="bottom"/>
          </w:tcPr>
          <w:p w14:paraId="74DDE138" w14:textId="77777777" w:rsidR="00584EC1" w:rsidRDefault="00584EC1">
            <w:pPr>
              <w:rPr>
                <w:rFonts w:ascii="宋体"/>
              </w:rPr>
            </w:pPr>
          </w:p>
        </w:tc>
        <w:tc>
          <w:tcPr>
            <w:tcW w:w="50" w:type="pct"/>
            <w:shd w:val="clear" w:color="auto" w:fill="auto"/>
            <w:vAlign w:val="bottom"/>
          </w:tcPr>
          <w:p w14:paraId="74DDE139" w14:textId="77777777" w:rsidR="00584EC1" w:rsidRDefault="00584EC1">
            <w:pPr>
              <w:rPr>
                <w:rFonts w:ascii="宋体"/>
              </w:rPr>
            </w:pPr>
          </w:p>
        </w:tc>
        <w:tc>
          <w:tcPr>
            <w:tcW w:w="934" w:type="pct"/>
            <w:shd w:val="clear" w:color="auto" w:fill="auto"/>
            <w:vAlign w:val="bottom"/>
          </w:tcPr>
          <w:p w14:paraId="74DDE13A" w14:textId="77777777" w:rsidR="00584EC1" w:rsidRDefault="00584EC1">
            <w:pPr>
              <w:rPr>
                <w:rFonts w:ascii="宋体"/>
              </w:rPr>
            </w:pPr>
          </w:p>
        </w:tc>
        <w:tc>
          <w:tcPr>
            <w:tcW w:w="5" w:type="pct"/>
            <w:shd w:val="clear" w:color="auto" w:fill="auto"/>
            <w:vAlign w:val="bottom"/>
          </w:tcPr>
          <w:p w14:paraId="74DDE13B" w14:textId="77777777" w:rsidR="00584EC1" w:rsidRDefault="00584EC1">
            <w:pPr>
              <w:rPr>
                <w:rFonts w:ascii="宋体"/>
              </w:rPr>
            </w:pPr>
          </w:p>
        </w:tc>
        <w:tc>
          <w:tcPr>
            <w:tcW w:w="5" w:type="pct"/>
            <w:shd w:val="clear" w:color="auto" w:fill="auto"/>
            <w:vAlign w:val="bottom"/>
          </w:tcPr>
          <w:p w14:paraId="74DDE13C" w14:textId="77777777" w:rsidR="00584EC1" w:rsidRDefault="00584EC1">
            <w:pPr>
              <w:rPr>
                <w:rFonts w:ascii="宋体"/>
              </w:rPr>
            </w:pPr>
          </w:p>
        </w:tc>
        <w:tc>
          <w:tcPr>
            <w:tcW w:w="26" w:type="pct"/>
            <w:shd w:val="clear" w:color="auto" w:fill="auto"/>
            <w:vAlign w:val="bottom"/>
          </w:tcPr>
          <w:p w14:paraId="74DDE13D" w14:textId="77777777" w:rsidR="00584EC1" w:rsidRDefault="00584EC1">
            <w:pPr>
              <w:rPr>
                <w:rFonts w:ascii="宋体"/>
              </w:rPr>
            </w:pPr>
          </w:p>
        </w:tc>
        <w:tc>
          <w:tcPr>
            <w:tcW w:w="5" w:type="pct"/>
            <w:shd w:val="clear" w:color="auto" w:fill="auto"/>
            <w:vAlign w:val="bottom"/>
          </w:tcPr>
          <w:p w14:paraId="74DDE13E" w14:textId="77777777" w:rsidR="00584EC1" w:rsidRDefault="00584EC1">
            <w:pPr>
              <w:rPr>
                <w:rFonts w:ascii="宋体"/>
              </w:rPr>
            </w:pPr>
          </w:p>
        </w:tc>
        <w:tc>
          <w:tcPr>
            <w:tcW w:w="50" w:type="pct"/>
            <w:shd w:val="clear" w:color="auto" w:fill="auto"/>
            <w:vAlign w:val="bottom"/>
          </w:tcPr>
          <w:p w14:paraId="74DDE13F" w14:textId="77777777" w:rsidR="00584EC1" w:rsidRDefault="00584EC1">
            <w:pPr>
              <w:rPr>
                <w:rFonts w:ascii="宋体"/>
              </w:rPr>
            </w:pPr>
          </w:p>
        </w:tc>
        <w:tc>
          <w:tcPr>
            <w:tcW w:w="934" w:type="pct"/>
            <w:shd w:val="clear" w:color="auto" w:fill="auto"/>
            <w:vAlign w:val="bottom"/>
          </w:tcPr>
          <w:p w14:paraId="74DDE140" w14:textId="77777777" w:rsidR="00584EC1" w:rsidRDefault="00584EC1">
            <w:pPr>
              <w:rPr>
                <w:rFonts w:ascii="宋体"/>
              </w:rPr>
            </w:pPr>
          </w:p>
        </w:tc>
        <w:tc>
          <w:tcPr>
            <w:tcW w:w="5" w:type="pct"/>
            <w:shd w:val="clear" w:color="auto" w:fill="auto"/>
            <w:vAlign w:val="bottom"/>
          </w:tcPr>
          <w:p w14:paraId="74DDE141" w14:textId="77777777" w:rsidR="00584EC1" w:rsidRDefault="00584EC1">
            <w:pPr>
              <w:rPr>
                <w:rFonts w:ascii="宋体"/>
              </w:rPr>
            </w:pPr>
          </w:p>
        </w:tc>
      </w:tr>
      <w:tr w:rsidR="00584EC1" w14:paraId="74DDE149" w14:textId="77777777">
        <w:trPr>
          <w:trHeight w:val="220"/>
        </w:trPr>
        <w:tc>
          <w:tcPr>
            <w:tcW w:w="0" w:type="auto"/>
            <w:gridSpan w:val="3"/>
            <w:shd w:val="clear" w:color="auto" w:fill="auto"/>
            <w:tcMar>
              <w:top w:w="40" w:type="dxa"/>
              <w:left w:w="20" w:type="dxa"/>
              <w:bottom w:w="40" w:type="dxa"/>
              <w:right w:w="20" w:type="dxa"/>
            </w:tcMar>
            <w:vAlign w:val="bottom"/>
          </w:tcPr>
          <w:p w14:paraId="74DDE143" w14:textId="77777777" w:rsidR="00584EC1" w:rsidRDefault="00871F8D">
            <w:pPr>
              <w:textAlignment w:val="bottom"/>
            </w:pPr>
            <w:r>
              <w:rPr>
                <w:rFonts w:ascii="Arial" w:eastAsia="宋体" w:hAnsi="Arial" w:cs="Arial"/>
                <w:b/>
                <w:bCs/>
                <w:color w:val="000000"/>
                <w:sz w:val="14"/>
                <w:szCs w:val="14"/>
              </w:rPr>
              <w:t>September 30, 2021</w:t>
            </w:r>
          </w:p>
        </w:tc>
        <w:tc>
          <w:tcPr>
            <w:tcW w:w="0" w:type="auto"/>
            <w:gridSpan w:val="3"/>
            <w:vMerge w:val="restart"/>
            <w:shd w:val="clear" w:color="auto" w:fill="auto"/>
            <w:tcMar>
              <w:top w:w="40" w:type="dxa"/>
              <w:left w:w="20" w:type="dxa"/>
              <w:bottom w:w="40" w:type="dxa"/>
              <w:right w:w="20" w:type="dxa"/>
            </w:tcMar>
            <w:vAlign w:val="bottom"/>
          </w:tcPr>
          <w:p w14:paraId="74DDE144" w14:textId="77777777" w:rsidR="00584EC1" w:rsidRDefault="00871F8D">
            <w:pPr>
              <w:jc w:val="center"/>
              <w:textAlignment w:val="bottom"/>
            </w:pPr>
            <w:r>
              <w:rPr>
                <w:rFonts w:ascii="Arial" w:eastAsia="宋体" w:hAnsi="Arial" w:cs="Arial"/>
                <w:b/>
                <w:bCs/>
                <w:color w:val="000000"/>
                <w:sz w:val="14"/>
                <w:szCs w:val="14"/>
              </w:rPr>
              <w:t>Commercial and Financial</w:t>
            </w:r>
          </w:p>
        </w:tc>
        <w:tc>
          <w:tcPr>
            <w:tcW w:w="0" w:type="auto"/>
            <w:gridSpan w:val="3"/>
            <w:vMerge w:val="restart"/>
            <w:shd w:val="clear" w:color="auto" w:fill="auto"/>
            <w:tcMar>
              <w:top w:w="0" w:type="dxa"/>
              <w:left w:w="20" w:type="dxa"/>
              <w:bottom w:w="0" w:type="dxa"/>
              <w:right w:w="20" w:type="dxa"/>
            </w:tcMar>
            <w:vAlign w:val="bottom"/>
          </w:tcPr>
          <w:p w14:paraId="74DDE145" w14:textId="77777777" w:rsidR="00584EC1" w:rsidRDefault="00584EC1">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74DDE146" w14:textId="77777777" w:rsidR="00584EC1" w:rsidRDefault="00871F8D">
            <w:pPr>
              <w:jc w:val="center"/>
              <w:textAlignment w:val="bottom"/>
            </w:pPr>
            <w:r>
              <w:rPr>
                <w:rFonts w:ascii="Arial" w:eastAsia="宋体" w:hAnsi="Arial" w:cs="Arial"/>
                <w:b/>
                <w:bCs/>
                <w:color w:val="000000"/>
                <w:sz w:val="14"/>
                <w:szCs w:val="14"/>
              </w:rPr>
              <w:t>Commercial Real Estate</w:t>
            </w:r>
          </w:p>
        </w:tc>
        <w:tc>
          <w:tcPr>
            <w:tcW w:w="0" w:type="auto"/>
            <w:gridSpan w:val="3"/>
            <w:vMerge w:val="restart"/>
            <w:shd w:val="clear" w:color="auto" w:fill="auto"/>
            <w:tcMar>
              <w:top w:w="0" w:type="dxa"/>
              <w:left w:w="20" w:type="dxa"/>
              <w:bottom w:w="0" w:type="dxa"/>
              <w:right w:w="20" w:type="dxa"/>
            </w:tcMar>
            <w:vAlign w:val="bottom"/>
          </w:tcPr>
          <w:p w14:paraId="74DDE147" w14:textId="77777777" w:rsidR="00584EC1" w:rsidRDefault="00584EC1">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74DDE148" w14:textId="77777777" w:rsidR="00584EC1" w:rsidRDefault="00871F8D">
            <w:pPr>
              <w:jc w:val="center"/>
              <w:textAlignment w:val="bottom"/>
            </w:pPr>
            <w:r>
              <w:rPr>
                <w:rFonts w:ascii="Arial" w:eastAsia="宋体" w:hAnsi="Arial" w:cs="Arial"/>
                <w:b/>
                <w:bCs/>
                <w:color w:val="000000"/>
                <w:sz w:val="14"/>
                <w:szCs w:val="14"/>
              </w:rPr>
              <w:t>Total Loans</w:t>
            </w:r>
          </w:p>
        </w:tc>
      </w:tr>
      <w:tr w:rsidR="00584EC1" w14:paraId="74DDE150" w14:textId="77777777">
        <w:trPr>
          <w:trHeight w:val="220"/>
        </w:trPr>
        <w:tc>
          <w:tcPr>
            <w:tcW w:w="0" w:type="auto"/>
            <w:gridSpan w:val="3"/>
            <w:shd w:val="clear" w:color="auto" w:fill="auto"/>
            <w:tcMar>
              <w:top w:w="40" w:type="dxa"/>
              <w:left w:w="20" w:type="dxa"/>
              <w:bottom w:w="40" w:type="dxa"/>
              <w:right w:w="20" w:type="dxa"/>
            </w:tcMar>
            <w:vAlign w:val="bottom"/>
          </w:tcPr>
          <w:p w14:paraId="74DDE14A" w14:textId="77777777" w:rsidR="00584EC1" w:rsidRDefault="00871F8D">
            <w:pPr>
              <w:textAlignment w:val="bottom"/>
            </w:pPr>
            <w:r>
              <w:rPr>
                <w:rFonts w:ascii="Arial" w:eastAsia="宋体" w:hAnsi="Arial" w:cs="Arial"/>
                <w:b/>
                <w:bCs/>
                <w:color w:val="000000"/>
                <w:sz w:val="14"/>
                <w:szCs w:val="14"/>
              </w:rPr>
              <w:t>(In millions)</w:t>
            </w:r>
          </w:p>
        </w:tc>
        <w:tc>
          <w:tcPr>
            <w:tcW w:w="0" w:type="auto"/>
            <w:gridSpan w:val="3"/>
            <w:vMerge/>
            <w:shd w:val="clear" w:color="auto" w:fill="auto"/>
            <w:tcMar>
              <w:top w:w="40" w:type="dxa"/>
              <w:left w:w="20" w:type="dxa"/>
              <w:bottom w:w="40" w:type="dxa"/>
              <w:right w:w="20" w:type="dxa"/>
            </w:tcMar>
            <w:vAlign w:val="bottom"/>
          </w:tcPr>
          <w:p w14:paraId="74DDE14B" w14:textId="77777777" w:rsidR="00584EC1" w:rsidRDefault="00584EC1">
            <w:pPr>
              <w:jc w:val="center"/>
              <w:rPr>
                <w:rFonts w:ascii="宋体"/>
              </w:rPr>
            </w:pPr>
          </w:p>
        </w:tc>
        <w:tc>
          <w:tcPr>
            <w:tcW w:w="0" w:type="auto"/>
            <w:gridSpan w:val="3"/>
            <w:vMerge/>
            <w:shd w:val="clear" w:color="auto" w:fill="auto"/>
            <w:tcMar>
              <w:top w:w="0" w:type="dxa"/>
              <w:left w:w="20" w:type="dxa"/>
              <w:bottom w:w="0" w:type="dxa"/>
              <w:right w:w="20" w:type="dxa"/>
            </w:tcMar>
            <w:vAlign w:val="bottom"/>
          </w:tcPr>
          <w:p w14:paraId="74DDE14C" w14:textId="77777777" w:rsidR="00584EC1" w:rsidRDefault="00584EC1">
            <w:pPr>
              <w:rPr>
                <w:rFonts w:ascii="宋体"/>
              </w:rPr>
            </w:pPr>
          </w:p>
        </w:tc>
        <w:tc>
          <w:tcPr>
            <w:tcW w:w="0" w:type="auto"/>
            <w:gridSpan w:val="3"/>
            <w:vMerge/>
            <w:shd w:val="clear" w:color="auto" w:fill="auto"/>
            <w:tcMar>
              <w:top w:w="40" w:type="dxa"/>
              <w:left w:w="20" w:type="dxa"/>
              <w:bottom w:w="40" w:type="dxa"/>
              <w:right w:w="20" w:type="dxa"/>
            </w:tcMar>
            <w:vAlign w:val="bottom"/>
          </w:tcPr>
          <w:p w14:paraId="74DDE14D" w14:textId="77777777" w:rsidR="00584EC1" w:rsidRDefault="00584EC1">
            <w:pPr>
              <w:jc w:val="center"/>
              <w:rPr>
                <w:rFonts w:ascii="宋体"/>
              </w:rPr>
            </w:pPr>
          </w:p>
        </w:tc>
        <w:tc>
          <w:tcPr>
            <w:tcW w:w="0" w:type="auto"/>
            <w:gridSpan w:val="3"/>
            <w:vMerge/>
            <w:shd w:val="clear" w:color="auto" w:fill="auto"/>
            <w:tcMar>
              <w:top w:w="0" w:type="dxa"/>
              <w:left w:w="20" w:type="dxa"/>
              <w:bottom w:w="0" w:type="dxa"/>
              <w:right w:w="20" w:type="dxa"/>
            </w:tcMar>
            <w:vAlign w:val="bottom"/>
          </w:tcPr>
          <w:p w14:paraId="74DDE14E" w14:textId="77777777" w:rsidR="00584EC1" w:rsidRDefault="00584EC1">
            <w:pPr>
              <w:rPr>
                <w:rFonts w:ascii="宋体"/>
              </w:rPr>
            </w:pPr>
          </w:p>
        </w:tc>
        <w:tc>
          <w:tcPr>
            <w:tcW w:w="0" w:type="auto"/>
            <w:gridSpan w:val="3"/>
            <w:vMerge/>
            <w:shd w:val="clear" w:color="auto" w:fill="auto"/>
            <w:tcMar>
              <w:top w:w="40" w:type="dxa"/>
              <w:left w:w="20" w:type="dxa"/>
              <w:bottom w:w="40" w:type="dxa"/>
              <w:right w:w="20" w:type="dxa"/>
            </w:tcMar>
            <w:vAlign w:val="bottom"/>
          </w:tcPr>
          <w:p w14:paraId="74DDE14F" w14:textId="77777777" w:rsidR="00584EC1" w:rsidRDefault="00584EC1">
            <w:pPr>
              <w:jc w:val="center"/>
              <w:rPr>
                <w:rFonts w:ascii="宋体"/>
              </w:rPr>
            </w:pPr>
          </w:p>
        </w:tc>
      </w:tr>
      <w:tr w:rsidR="00584EC1" w14:paraId="74DDE15D" w14:textId="77777777">
        <w:tc>
          <w:tcPr>
            <w:tcW w:w="0" w:type="auto"/>
            <w:gridSpan w:val="3"/>
            <w:shd w:val="clear" w:color="auto" w:fill="CCEEFF"/>
            <w:tcMar>
              <w:top w:w="40" w:type="dxa"/>
              <w:left w:w="20" w:type="dxa"/>
              <w:bottom w:w="40" w:type="dxa"/>
              <w:right w:w="20" w:type="dxa"/>
            </w:tcMar>
            <w:vAlign w:val="bottom"/>
          </w:tcPr>
          <w:p w14:paraId="74DDE151" w14:textId="77777777" w:rsidR="00584EC1" w:rsidRDefault="00871F8D">
            <w:pPr>
              <w:textAlignment w:val="bottom"/>
            </w:pPr>
            <w:r>
              <w:rPr>
                <w:rFonts w:ascii="Arial" w:eastAsia="宋体" w:hAnsi="Arial" w:cs="Arial"/>
                <w:color w:val="000000"/>
                <w:sz w:val="14"/>
                <w:szCs w:val="14"/>
              </w:rPr>
              <w:t>Investment grade</w:t>
            </w:r>
          </w:p>
        </w:tc>
        <w:tc>
          <w:tcPr>
            <w:tcW w:w="0" w:type="auto"/>
            <w:tcBorders>
              <w:top w:val="single" w:sz="8" w:space="0" w:color="000000"/>
            </w:tcBorders>
            <w:shd w:val="clear" w:color="auto" w:fill="CCEEFF"/>
            <w:tcMar>
              <w:top w:w="40" w:type="dxa"/>
              <w:left w:w="20" w:type="dxa"/>
              <w:bottom w:w="40" w:type="dxa"/>
              <w:right w:w="0" w:type="dxa"/>
            </w:tcMar>
            <w:vAlign w:val="bottom"/>
          </w:tcPr>
          <w:p w14:paraId="74DDE152"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E153" w14:textId="77777777" w:rsidR="00584EC1" w:rsidRDefault="00871F8D">
            <w:pPr>
              <w:jc w:val="right"/>
              <w:textAlignment w:val="bottom"/>
            </w:pPr>
            <w:r>
              <w:rPr>
                <w:rFonts w:ascii="Arial" w:eastAsia="宋体" w:hAnsi="Arial" w:cs="Arial"/>
                <w:b/>
                <w:bCs/>
                <w:color w:val="000000"/>
                <w:sz w:val="14"/>
                <w:szCs w:val="14"/>
              </w:rPr>
              <w:t>24,936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E15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155"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E156"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E157" w14:textId="77777777" w:rsidR="00584EC1" w:rsidRDefault="00871F8D">
            <w:pPr>
              <w:jc w:val="right"/>
              <w:textAlignment w:val="bottom"/>
            </w:pPr>
            <w:r>
              <w:rPr>
                <w:rFonts w:ascii="Arial" w:eastAsia="宋体" w:hAnsi="Arial" w:cs="Arial"/>
                <w:b/>
                <w:bCs/>
                <w:color w:val="000000"/>
                <w:sz w:val="14"/>
                <w:szCs w:val="14"/>
              </w:rPr>
              <w:t>1,963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E15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159"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E15A"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E15B" w14:textId="77777777" w:rsidR="00584EC1" w:rsidRDefault="00871F8D">
            <w:pPr>
              <w:jc w:val="right"/>
              <w:textAlignment w:val="bottom"/>
            </w:pPr>
            <w:r>
              <w:rPr>
                <w:rFonts w:ascii="Arial" w:eastAsia="宋体" w:hAnsi="Arial" w:cs="Arial"/>
                <w:b/>
                <w:bCs/>
                <w:color w:val="000000"/>
                <w:sz w:val="14"/>
                <w:szCs w:val="14"/>
              </w:rPr>
              <w:t>26,899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E15C" w14:textId="77777777" w:rsidR="00584EC1" w:rsidRDefault="00584EC1">
            <w:pPr>
              <w:jc w:val="right"/>
              <w:rPr>
                <w:rFonts w:ascii="宋体"/>
              </w:rPr>
            </w:pPr>
          </w:p>
        </w:tc>
      </w:tr>
      <w:tr w:rsidR="00584EC1" w14:paraId="74DDE167" w14:textId="77777777">
        <w:tc>
          <w:tcPr>
            <w:tcW w:w="0" w:type="auto"/>
            <w:gridSpan w:val="3"/>
            <w:shd w:val="clear" w:color="auto" w:fill="FFFFFF"/>
            <w:tcMar>
              <w:top w:w="40" w:type="dxa"/>
              <w:left w:w="20" w:type="dxa"/>
              <w:bottom w:w="40" w:type="dxa"/>
              <w:right w:w="20" w:type="dxa"/>
            </w:tcMar>
            <w:vAlign w:val="bottom"/>
          </w:tcPr>
          <w:p w14:paraId="74DDE15E" w14:textId="77777777" w:rsidR="00584EC1" w:rsidRDefault="00871F8D">
            <w:pPr>
              <w:textAlignment w:val="bottom"/>
            </w:pPr>
            <w:r>
              <w:rPr>
                <w:rFonts w:ascii="Arial" w:eastAsia="宋体" w:hAnsi="Arial" w:cs="Arial"/>
                <w:color w:val="000000"/>
                <w:sz w:val="14"/>
                <w:szCs w:val="14"/>
              </w:rPr>
              <w:t>Speculative</w:t>
            </w:r>
          </w:p>
        </w:tc>
        <w:tc>
          <w:tcPr>
            <w:tcW w:w="0" w:type="auto"/>
            <w:gridSpan w:val="2"/>
            <w:shd w:val="clear" w:color="auto" w:fill="FFFFFF"/>
            <w:tcMar>
              <w:top w:w="40" w:type="dxa"/>
              <w:left w:w="20" w:type="dxa"/>
              <w:bottom w:w="40" w:type="dxa"/>
              <w:right w:w="0" w:type="dxa"/>
            </w:tcMar>
            <w:vAlign w:val="bottom"/>
          </w:tcPr>
          <w:p w14:paraId="74DDE15F" w14:textId="77777777" w:rsidR="00584EC1" w:rsidRDefault="00871F8D">
            <w:pPr>
              <w:jc w:val="right"/>
              <w:textAlignment w:val="bottom"/>
            </w:pPr>
            <w:r>
              <w:rPr>
                <w:rFonts w:ascii="Arial" w:eastAsia="宋体" w:hAnsi="Arial" w:cs="Arial"/>
                <w:b/>
                <w:bCs/>
                <w:color w:val="000000"/>
                <w:sz w:val="14"/>
                <w:szCs w:val="14"/>
              </w:rPr>
              <w:t>5,180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16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16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162" w14:textId="77777777" w:rsidR="00584EC1" w:rsidRDefault="00871F8D">
            <w:pPr>
              <w:jc w:val="right"/>
              <w:textAlignment w:val="bottom"/>
            </w:pPr>
            <w:r>
              <w:rPr>
                <w:rFonts w:ascii="Arial" w:eastAsia="宋体" w:hAnsi="Arial" w:cs="Arial"/>
                <w:b/>
                <w:bCs/>
                <w:color w:val="000000"/>
                <w:sz w:val="14"/>
                <w:szCs w:val="14"/>
              </w:rPr>
              <w:t>383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16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16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165" w14:textId="77777777" w:rsidR="00584EC1" w:rsidRDefault="00871F8D">
            <w:pPr>
              <w:jc w:val="right"/>
              <w:textAlignment w:val="bottom"/>
            </w:pPr>
            <w:r>
              <w:rPr>
                <w:rFonts w:ascii="Arial" w:eastAsia="宋体" w:hAnsi="Arial" w:cs="Arial"/>
                <w:b/>
                <w:bCs/>
                <w:color w:val="000000"/>
                <w:sz w:val="14"/>
                <w:szCs w:val="14"/>
              </w:rPr>
              <w:t>5,563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166" w14:textId="77777777" w:rsidR="00584EC1" w:rsidRDefault="00584EC1">
            <w:pPr>
              <w:jc w:val="right"/>
              <w:rPr>
                <w:rFonts w:ascii="宋体"/>
              </w:rPr>
            </w:pPr>
          </w:p>
        </w:tc>
      </w:tr>
      <w:tr w:rsidR="00584EC1" w14:paraId="74DDE171" w14:textId="77777777">
        <w:tc>
          <w:tcPr>
            <w:tcW w:w="0" w:type="auto"/>
            <w:gridSpan w:val="3"/>
            <w:shd w:val="clear" w:color="auto" w:fill="CCEEFF"/>
            <w:tcMar>
              <w:top w:w="40" w:type="dxa"/>
              <w:left w:w="20" w:type="dxa"/>
              <w:bottom w:w="40" w:type="dxa"/>
              <w:right w:w="20" w:type="dxa"/>
            </w:tcMar>
            <w:vAlign w:val="bottom"/>
          </w:tcPr>
          <w:p w14:paraId="74DDE168" w14:textId="77777777" w:rsidR="00584EC1" w:rsidRDefault="00871F8D">
            <w:pPr>
              <w:textAlignment w:val="bottom"/>
            </w:pPr>
            <w:r>
              <w:rPr>
                <w:rFonts w:ascii="Arial" w:eastAsia="宋体" w:hAnsi="Arial" w:cs="Arial"/>
                <w:color w:val="000000"/>
                <w:sz w:val="14"/>
                <w:szCs w:val="14"/>
              </w:rPr>
              <w:t>Special mention</w:t>
            </w:r>
          </w:p>
        </w:tc>
        <w:tc>
          <w:tcPr>
            <w:tcW w:w="0" w:type="auto"/>
            <w:gridSpan w:val="2"/>
            <w:shd w:val="clear" w:color="auto" w:fill="CCEEFF"/>
            <w:tcMar>
              <w:top w:w="40" w:type="dxa"/>
              <w:left w:w="20" w:type="dxa"/>
              <w:bottom w:w="40" w:type="dxa"/>
              <w:right w:w="0" w:type="dxa"/>
            </w:tcMar>
            <w:vAlign w:val="bottom"/>
          </w:tcPr>
          <w:p w14:paraId="74DDE169" w14:textId="77777777" w:rsidR="00584EC1" w:rsidRDefault="00871F8D">
            <w:pPr>
              <w:jc w:val="right"/>
              <w:textAlignment w:val="bottom"/>
            </w:pPr>
            <w:r>
              <w:rPr>
                <w:rFonts w:ascii="Arial" w:eastAsia="宋体" w:hAnsi="Arial" w:cs="Arial"/>
                <w:b/>
                <w:bCs/>
                <w:color w:val="000000"/>
                <w:sz w:val="14"/>
                <w:szCs w:val="14"/>
              </w:rPr>
              <w:t>118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E16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16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E16C" w14:textId="77777777" w:rsidR="00584EC1" w:rsidRDefault="00871F8D">
            <w:pPr>
              <w:jc w:val="right"/>
              <w:textAlignment w:val="bottom"/>
            </w:pPr>
            <w:r>
              <w:rPr>
                <w:rFonts w:ascii="Arial" w:eastAsia="宋体" w:hAnsi="Arial" w:cs="Arial"/>
                <w:b/>
                <w:bCs/>
                <w:color w:val="000000"/>
                <w:sz w:val="14"/>
                <w:szCs w:val="14"/>
              </w:rPr>
              <w:t>38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E16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16E"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E16F" w14:textId="77777777" w:rsidR="00584EC1" w:rsidRDefault="00871F8D">
            <w:pPr>
              <w:jc w:val="right"/>
              <w:textAlignment w:val="bottom"/>
            </w:pPr>
            <w:r>
              <w:rPr>
                <w:rFonts w:ascii="Arial" w:eastAsia="宋体" w:hAnsi="Arial" w:cs="Arial"/>
                <w:b/>
                <w:bCs/>
                <w:color w:val="000000"/>
                <w:sz w:val="14"/>
                <w:szCs w:val="14"/>
              </w:rPr>
              <w:t>156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E170" w14:textId="77777777" w:rsidR="00584EC1" w:rsidRDefault="00584EC1">
            <w:pPr>
              <w:jc w:val="right"/>
              <w:rPr>
                <w:rFonts w:ascii="宋体"/>
              </w:rPr>
            </w:pPr>
          </w:p>
        </w:tc>
      </w:tr>
      <w:tr w:rsidR="00584EC1" w14:paraId="74DDE17B" w14:textId="77777777">
        <w:tc>
          <w:tcPr>
            <w:tcW w:w="0" w:type="auto"/>
            <w:gridSpan w:val="3"/>
            <w:shd w:val="clear" w:color="auto" w:fill="FFFFFF"/>
            <w:tcMar>
              <w:top w:w="40" w:type="dxa"/>
              <w:left w:w="20" w:type="dxa"/>
              <w:bottom w:w="40" w:type="dxa"/>
              <w:right w:w="20" w:type="dxa"/>
            </w:tcMar>
            <w:vAlign w:val="bottom"/>
          </w:tcPr>
          <w:p w14:paraId="74DDE172" w14:textId="77777777" w:rsidR="00584EC1" w:rsidRDefault="00871F8D">
            <w:pPr>
              <w:textAlignment w:val="bottom"/>
            </w:pPr>
            <w:r>
              <w:rPr>
                <w:rFonts w:ascii="Arial" w:eastAsia="宋体" w:hAnsi="Arial" w:cs="Arial"/>
                <w:color w:val="000000"/>
                <w:sz w:val="14"/>
                <w:szCs w:val="14"/>
              </w:rPr>
              <w:t>Substandard</w:t>
            </w:r>
          </w:p>
        </w:tc>
        <w:tc>
          <w:tcPr>
            <w:tcW w:w="0" w:type="auto"/>
            <w:gridSpan w:val="2"/>
            <w:shd w:val="clear" w:color="auto" w:fill="FFFFFF"/>
            <w:tcMar>
              <w:top w:w="40" w:type="dxa"/>
              <w:left w:w="20" w:type="dxa"/>
              <w:bottom w:w="40" w:type="dxa"/>
              <w:right w:w="0" w:type="dxa"/>
            </w:tcMar>
            <w:vAlign w:val="bottom"/>
          </w:tcPr>
          <w:p w14:paraId="74DDE173" w14:textId="77777777" w:rsidR="00584EC1" w:rsidRDefault="00871F8D">
            <w:pPr>
              <w:jc w:val="right"/>
              <w:textAlignment w:val="bottom"/>
            </w:pPr>
            <w:r>
              <w:rPr>
                <w:rFonts w:ascii="Arial" w:eastAsia="宋体" w:hAnsi="Arial" w:cs="Arial"/>
                <w:b/>
                <w:bCs/>
                <w:color w:val="000000"/>
                <w:sz w:val="14"/>
                <w:szCs w:val="14"/>
              </w:rPr>
              <w:t>164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17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175"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176"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17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178"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179" w14:textId="77777777" w:rsidR="00584EC1" w:rsidRDefault="00871F8D">
            <w:pPr>
              <w:jc w:val="right"/>
              <w:textAlignment w:val="bottom"/>
            </w:pPr>
            <w:r>
              <w:rPr>
                <w:rFonts w:ascii="Arial" w:eastAsia="宋体" w:hAnsi="Arial" w:cs="Arial"/>
                <w:b/>
                <w:bCs/>
                <w:color w:val="000000"/>
                <w:sz w:val="14"/>
                <w:szCs w:val="14"/>
              </w:rPr>
              <w:t>164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17A" w14:textId="77777777" w:rsidR="00584EC1" w:rsidRDefault="00584EC1">
            <w:pPr>
              <w:jc w:val="right"/>
              <w:rPr>
                <w:rFonts w:ascii="宋体"/>
              </w:rPr>
            </w:pPr>
          </w:p>
        </w:tc>
      </w:tr>
      <w:tr w:rsidR="00584EC1" w14:paraId="74DDE185" w14:textId="77777777">
        <w:tc>
          <w:tcPr>
            <w:tcW w:w="0" w:type="auto"/>
            <w:gridSpan w:val="3"/>
            <w:shd w:val="clear" w:color="auto" w:fill="CCEEFF"/>
            <w:tcMar>
              <w:top w:w="40" w:type="dxa"/>
              <w:left w:w="20" w:type="dxa"/>
              <w:bottom w:w="40" w:type="dxa"/>
              <w:right w:w="20" w:type="dxa"/>
            </w:tcMar>
            <w:vAlign w:val="bottom"/>
          </w:tcPr>
          <w:p w14:paraId="74DDE17C" w14:textId="77777777" w:rsidR="00584EC1" w:rsidRDefault="00871F8D">
            <w:pPr>
              <w:textAlignment w:val="bottom"/>
            </w:pPr>
            <w:r>
              <w:rPr>
                <w:rFonts w:ascii="Arial" w:eastAsia="宋体" w:hAnsi="Arial" w:cs="Arial"/>
                <w:color w:val="000000"/>
                <w:sz w:val="14"/>
                <w:szCs w:val="14"/>
              </w:rPr>
              <w:t>Doubtful</w:t>
            </w:r>
          </w:p>
        </w:tc>
        <w:tc>
          <w:tcPr>
            <w:tcW w:w="0" w:type="auto"/>
            <w:gridSpan w:val="2"/>
            <w:shd w:val="clear" w:color="auto" w:fill="CCEEFF"/>
            <w:tcMar>
              <w:top w:w="40" w:type="dxa"/>
              <w:left w:w="20" w:type="dxa"/>
              <w:bottom w:w="40" w:type="dxa"/>
              <w:right w:w="0" w:type="dxa"/>
            </w:tcMar>
            <w:vAlign w:val="bottom"/>
          </w:tcPr>
          <w:p w14:paraId="74DDE17D" w14:textId="77777777" w:rsidR="00584EC1" w:rsidRDefault="00871F8D">
            <w:pPr>
              <w:jc w:val="right"/>
              <w:textAlignment w:val="bottom"/>
            </w:pPr>
            <w:r>
              <w:rPr>
                <w:rFonts w:ascii="Arial" w:eastAsia="宋体" w:hAnsi="Arial" w:cs="Arial"/>
                <w:b/>
                <w:bCs/>
                <w:color w:val="000000"/>
                <w:sz w:val="14"/>
                <w:szCs w:val="14"/>
              </w:rPr>
              <w:t>15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E17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17F"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E180"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E18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182"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E183" w14:textId="77777777" w:rsidR="00584EC1" w:rsidRDefault="00871F8D">
            <w:pPr>
              <w:jc w:val="right"/>
              <w:textAlignment w:val="bottom"/>
            </w:pPr>
            <w:r>
              <w:rPr>
                <w:rFonts w:ascii="Arial" w:eastAsia="宋体" w:hAnsi="Arial" w:cs="Arial"/>
                <w:b/>
                <w:bCs/>
                <w:color w:val="000000"/>
                <w:sz w:val="14"/>
                <w:szCs w:val="14"/>
              </w:rPr>
              <w:t>15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E184" w14:textId="77777777" w:rsidR="00584EC1" w:rsidRDefault="00584EC1">
            <w:pPr>
              <w:jc w:val="right"/>
              <w:rPr>
                <w:rFonts w:ascii="宋体"/>
              </w:rPr>
            </w:pPr>
          </w:p>
        </w:tc>
      </w:tr>
      <w:tr w:rsidR="00584EC1" w14:paraId="74DDE18C" w14:textId="77777777">
        <w:trPr>
          <w:hidden/>
        </w:trPr>
        <w:tc>
          <w:tcPr>
            <w:tcW w:w="0" w:type="auto"/>
            <w:gridSpan w:val="3"/>
            <w:shd w:val="clear" w:color="auto" w:fill="auto"/>
            <w:vAlign w:val="bottom"/>
          </w:tcPr>
          <w:p w14:paraId="74DDE186" w14:textId="77777777" w:rsidR="00584EC1" w:rsidRDefault="00584EC1">
            <w:pPr>
              <w:rPr>
                <w:rFonts w:ascii="宋体"/>
                <w:vanish/>
              </w:rPr>
            </w:pPr>
          </w:p>
        </w:tc>
        <w:tc>
          <w:tcPr>
            <w:tcW w:w="0" w:type="auto"/>
            <w:gridSpan w:val="3"/>
            <w:shd w:val="clear" w:color="auto" w:fill="auto"/>
            <w:vAlign w:val="bottom"/>
          </w:tcPr>
          <w:p w14:paraId="74DDE187" w14:textId="77777777" w:rsidR="00584EC1" w:rsidRDefault="00584EC1">
            <w:pPr>
              <w:rPr>
                <w:rFonts w:ascii="宋体"/>
                <w:vanish/>
              </w:rPr>
            </w:pPr>
          </w:p>
        </w:tc>
        <w:tc>
          <w:tcPr>
            <w:tcW w:w="0" w:type="auto"/>
            <w:gridSpan w:val="3"/>
            <w:shd w:val="clear" w:color="auto" w:fill="auto"/>
            <w:vAlign w:val="bottom"/>
          </w:tcPr>
          <w:p w14:paraId="74DDE188" w14:textId="77777777" w:rsidR="00584EC1" w:rsidRDefault="00584EC1">
            <w:pPr>
              <w:rPr>
                <w:rFonts w:ascii="宋体"/>
                <w:vanish/>
              </w:rPr>
            </w:pPr>
          </w:p>
        </w:tc>
        <w:tc>
          <w:tcPr>
            <w:tcW w:w="0" w:type="auto"/>
            <w:gridSpan w:val="3"/>
            <w:shd w:val="clear" w:color="auto" w:fill="auto"/>
            <w:vAlign w:val="bottom"/>
          </w:tcPr>
          <w:p w14:paraId="74DDE189" w14:textId="77777777" w:rsidR="00584EC1" w:rsidRDefault="00584EC1">
            <w:pPr>
              <w:rPr>
                <w:rFonts w:ascii="宋体"/>
                <w:vanish/>
              </w:rPr>
            </w:pPr>
          </w:p>
        </w:tc>
        <w:tc>
          <w:tcPr>
            <w:tcW w:w="0" w:type="auto"/>
            <w:gridSpan w:val="3"/>
            <w:shd w:val="clear" w:color="auto" w:fill="auto"/>
            <w:vAlign w:val="bottom"/>
          </w:tcPr>
          <w:p w14:paraId="74DDE18A" w14:textId="77777777" w:rsidR="00584EC1" w:rsidRDefault="00584EC1">
            <w:pPr>
              <w:rPr>
                <w:rFonts w:ascii="宋体"/>
                <w:vanish/>
              </w:rPr>
            </w:pPr>
          </w:p>
        </w:tc>
        <w:tc>
          <w:tcPr>
            <w:tcW w:w="0" w:type="auto"/>
            <w:gridSpan w:val="3"/>
            <w:shd w:val="clear" w:color="auto" w:fill="auto"/>
            <w:vAlign w:val="bottom"/>
          </w:tcPr>
          <w:p w14:paraId="74DDE18B" w14:textId="77777777" w:rsidR="00584EC1" w:rsidRDefault="00584EC1">
            <w:pPr>
              <w:rPr>
                <w:rFonts w:ascii="宋体"/>
                <w:vanish/>
              </w:rPr>
            </w:pPr>
          </w:p>
        </w:tc>
      </w:tr>
      <w:tr w:rsidR="00584EC1" w14:paraId="74DDE199" w14:textId="77777777">
        <w:tc>
          <w:tcPr>
            <w:tcW w:w="0" w:type="auto"/>
            <w:gridSpan w:val="3"/>
            <w:shd w:val="clear" w:color="auto" w:fill="FFFFFF"/>
            <w:tcMar>
              <w:top w:w="40" w:type="dxa"/>
              <w:left w:w="20" w:type="dxa"/>
              <w:bottom w:w="40" w:type="dxa"/>
              <w:right w:w="20" w:type="dxa"/>
            </w:tcMar>
            <w:vAlign w:val="bottom"/>
          </w:tcPr>
          <w:p w14:paraId="74DDE18D" w14:textId="77777777" w:rsidR="00584EC1" w:rsidRDefault="00871F8D">
            <w:pPr>
              <w:textAlignment w:val="bottom"/>
            </w:pPr>
            <w:r>
              <w:rPr>
                <w:rFonts w:ascii="Arial" w:eastAsia="宋体" w:hAnsi="Arial" w:cs="Arial"/>
                <w:color w:val="000000"/>
                <w:sz w:val="14"/>
                <w:szCs w:val="14"/>
              </w:rPr>
              <w:t>Total</w:t>
            </w:r>
            <w:r>
              <w:rPr>
                <w:rFonts w:ascii="Arial" w:eastAsia="宋体" w:hAnsi="Arial" w:cs="Arial"/>
                <w:color w:val="000000"/>
                <w:sz w:val="9"/>
                <w:szCs w:val="9"/>
              </w:rPr>
              <w:t>(1)</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E18E"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E18F" w14:textId="77777777" w:rsidR="00584EC1" w:rsidRDefault="00871F8D">
            <w:pPr>
              <w:jc w:val="right"/>
              <w:textAlignment w:val="bottom"/>
            </w:pPr>
            <w:r>
              <w:rPr>
                <w:rFonts w:ascii="Arial" w:eastAsia="宋体" w:hAnsi="Arial" w:cs="Arial"/>
                <w:b/>
                <w:bCs/>
                <w:color w:val="000000"/>
                <w:sz w:val="14"/>
                <w:szCs w:val="14"/>
              </w:rPr>
              <w:t>30,413</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E19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191"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E192"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E193" w14:textId="77777777" w:rsidR="00584EC1" w:rsidRDefault="00871F8D">
            <w:pPr>
              <w:jc w:val="right"/>
              <w:textAlignment w:val="bottom"/>
            </w:pPr>
            <w:r>
              <w:rPr>
                <w:rFonts w:ascii="Arial" w:eastAsia="宋体" w:hAnsi="Arial" w:cs="Arial"/>
                <w:b/>
                <w:bCs/>
                <w:color w:val="000000"/>
                <w:sz w:val="14"/>
                <w:szCs w:val="14"/>
              </w:rPr>
              <w:t>2,384</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E19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195"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E196"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E197" w14:textId="77777777" w:rsidR="00584EC1" w:rsidRDefault="00871F8D">
            <w:pPr>
              <w:jc w:val="right"/>
              <w:textAlignment w:val="bottom"/>
            </w:pPr>
            <w:r>
              <w:rPr>
                <w:rFonts w:ascii="Arial" w:eastAsia="宋体" w:hAnsi="Arial" w:cs="Arial"/>
                <w:b/>
                <w:bCs/>
                <w:color w:val="000000"/>
                <w:sz w:val="14"/>
                <w:szCs w:val="14"/>
              </w:rPr>
              <w:t>32,797</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E198" w14:textId="77777777" w:rsidR="00584EC1" w:rsidRDefault="00584EC1">
            <w:pPr>
              <w:jc w:val="right"/>
              <w:rPr>
                <w:rFonts w:ascii="宋体"/>
              </w:rPr>
            </w:pPr>
          </w:p>
        </w:tc>
      </w:tr>
    </w:tbl>
    <w:p w14:paraId="74DDE19A" w14:textId="77777777" w:rsidR="00584EC1" w:rsidRDefault="00584EC1">
      <w:pPr>
        <w:rPr>
          <w:vanish/>
        </w:rPr>
      </w:pPr>
    </w:p>
    <w:tbl>
      <w:tblPr>
        <w:tblW w:w="4985" w:type="pct"/>
        <w:tblCellMar>
          <w:top w:w="15" w:type="dxa"/>
          <w:left w:w="15" w:type="dxa"/>
          <w:bottom w:w="15" w:type="dxa"/>
          <w:right w:w="15" w:type="dxa"/>
        </w:tblCellMar>
        <w:tblLook w:val="04A0" w:firstRow="1" w:lastRow="0" w:firstColumn="1" w:lastColumn="0" w:noHBand="0" w:noVBand="1"/>
      </w:tblPr>
      <w:tblGrid>
        <w:gridCol w:w="44"/>
        <w:gridCol w:w="3126"/>
        <w:gridCol w:w="37"/>
        <w:gridCol w:w="99"/>
        <w:gridCol w:w="1515"/>
        <w:gridCol w:w="36"/>
        <w:gridCol w:w="36"/>
        <w:gridCol w:w="36"/>
        <w:gridCol w:w="36"/>
        <w:gridCol w:w="99"/>
        <w:gridCol w:w="1484"/>
        <w:gridCol w:w="36"/>
        <w:gridCol w:w="36"/>
        <w:gridCol w:w="36"/>
        <w:gridCol w:w="36"/>
        <w:gridCol w:w="98"/>
        <w:gridCol w:w="1485"/>
        <w:gridCol w:w="36"/>
      </w:tblGrid>
      <w:tr w:rsidR="00584EC1" w14:paraId="74DDE1AD" w14:textId="77777777">
        <w:tc>
          <w:tcPr>
            <w:tcW w:w="50" w:type="pct"/>
            <w:shd w:val="clear" w:color="auto" w:fill="auto"/>
            <w:vAlign w:val="bottom"/>
          </w:tcPr>
          <w:p w14:paraId="74DDE19B" w14:textId="77777777" w:rsidR="00584EC1" w:rsidRDefault="00584EC1">
            <w:pPr>
              <w:rPr>
                <w:rFonts w:ascii="宋体"/>
              </w:rPr>
            </w:pPr>
          </w:p>
        </w:tc>
        <w:tc>
          <w:tcPr>
            <w:tcW w:w="1902" w:type="pct"/>
            <w:shd w:val="clear" w:color="auto" w:fill="auto"/>
            <w:vAlign w:val="bottom"/>
          </w:tcPr>
          <w:p w14:paraId="74DDE19C" w14:textId="77777777" w:rsidR="00584EC1" w:rsidRDefault="00584EC1">
            <w:pPr>
              <w:rPr>
                <w:rFonts w:ascii="宋体"/>
              </w:rPr>
            </w:pPr>
          </w:p>
        </w:tc>
        <w:tc>
          <w:tcPr>
            <w:tcW w:w="5" w:type="pct"/>
            <w:shd w:val="clear" w:color="auto" w:fill="auto"/>
            <w:vAlign w:val="bottom"/>
          </w:tcPr>
          <w:p w14:paraId="74DDE19D" w14:textId="77777777" w:rsidR="00584EC1" w:rsidRDefault="00584EC1">
            <w:pPr>
              <w:rPr>
                <w:rFonts w:ascii="宋体"/>
              </w:rPr>
            </w:pPr>
          </w:p>
        </w:tc>
        <w:tc>
          <w:tcPr>
            <w:tcW w:w="50" w:type="pct"/>
            <w:shd w:val="clear" w:color="auto" w:fill="auto"/>
            <w:vAlign w:val="bottom"/>
          </w:tcPr>
          <w:p w14:paraId="74DDE19E" w14:textId="77777777" w:rsidR="00584EC1" w:rsidRDefault="00584EC1">
            <w:pPr>
              <w:rPr>
                <w:rFonts w:ascii="宋体"/>
              </w:rPr>
            </w:pPr>
          </w:p>
        </w:tc>
        <w:tc>
          <w:tcPr>
            <w:tcW w:w="934" w:type="pct"/>
            <w:shd w:val="clear" w:color="auto" w:fill="auto"/>
            <w:vAlign w:val="bottom"/>
          </w:tcPr>
          <w:p w14:paraId="74DDE19F" w14:textId="77777777" w:rsidR="00584EC1" w:rsidRDefault="00584EC1">
            <w:pPr>
              <w:rPr>
                <w:rFonts w:ascii="宋体"/>
              </w:rPr>
            </w:pPr>
          </w:p>
        </w:tc>
        <w:tc>
          <w:tcPr>
            <w:tcW w:w="5" w:type="pct"/>
            <w:shd w:val="clear" w:color="auto" w:fill="auto"/>
            <w:vAlign w:val="bottom"/>
          </w:tcPr>
          <w:p w14:paraId="74DDE1A0" w14:textId="77777777" w:rsidR="00584EC1" w:rsidRDefault="00584EC1">
            <w:pPr>
              <w:rPr>
                <w:rFonts w:ascii="宋体"/>
              </w:rPr>
            </w:pPr>
          </w:p>
        </w:tc>
        <w:tc>
          <w:tcPr>
            <w:tcW w:w="5" w:type="pct"/>
            <w:shd w:val="clear" w:color="auto" w:fill="auto"/>
            <w:vAlign w:val="bottom"/>
          </w:tcPr>
          <w:p w14:paraId="74DDE1A1" w14:textId="77777777" w:rsidR="00584EC1" w:rsidRDefault="00584EC1">
            <w:pPr>
              <w:rPr>
                <w:rFonts w:ascii="宋体"/>
              </w:rPr>
            </w:pPr>
          </w:p>
        </w:tc>
        <w:tc>
          <w:tcPr>
            <w:tcW w:w="26" w:type="pct"/>
            <w:shd w:val="clear" w:color="auto" w:fill="auto"/>
            <w:vAlign w:val="bottom"/>
          </w:tcPr>
          <w:p w14:paraId="74DDE1A2" w14:textId="77777777" w:rsidR="00584EC1" w:rsidRDefault="00584EC1">
            <w:pPr>
              <w:rPr>
                <w:rFonts w:ascii="宋体"/>
              </w:rPr>
            </w:pPr>
          </w:p>
        </w:tc>
        <w:tc>
          <w:tcPr>
            <w:tcW w:w="5" w:type="pct"/>
            <w:shd w:val="clear" w:color="auto" w:fill="auto"/>
            <w:vAlign w:val="bottom"/>
          </w:tcPr>
          <w:p w14:paraId="74DDE1A3" w14:textId="77777777" w:rsidR="00584EC1" w:rsidRDefault="00584EC1">
            <w:pPr>
              <w:rPr>
                <w:rFonts w:ascii="宋体"/>
              </w:rPr>
            </w:pPr>
          </w:p>
        </w:tc>
        <w:tc>
          <w:tcPr>
            <w:tcW w:w="50" w:type="pct"/>
            <w:shd w:val="clear" w:color="auto" w:fill="auto"/>
            <w:vAlign w:val="bottom"/>
          </w:tcPr>
          <w:p w14:paraId="74DDE1A4" w14:textId="77777777" w:rsidR="00584EC1" w:rsidRDefault="00584EC1">
            <w:pPr>
              <w:rPr>
                <w:rFonts w:ascii="宋体"/>
              </w:rPr>
            </w:pPr>
          </w:p>
        </w:tc>
        <w:tc>
          <w:tcPr>
            <w:tcW w:w="934" w:type="pct"/>
            <w:shd w:val="clear" w:color="auto" w:fill="auto"/>
            <w:vAlign w:val="bottom"/>
          </w:tcPr>
          <w:p w14:paraId="74DDE1A5" w14:textId="77777777" w:rsidR="00584EC1" w:rsidRDefault="00584EC1">
            <w:pPr>
              <w:rPr>
                <w:rFonts w:ascii="宋体"/>
              </w:rPr>
            </w:pPr>
          </w:p>
        </w:tc>
        <w:tc>
          <w:tcPr>
            <w:tcW w:w="5" w:type="pct"/>
            <w:shd w:val="clear" w:color="auto" w:fill="auto"/>
            <w:vAlign w:val="bottom"/>
          </w:tcPr>
          <w:p w14:paraId="74DDE1A6" w14:textId="77777777" w:rsidR="00584EC1" w:rsidRDefault="00584EC1">
            <w:pPr>
              <w:rPr>
                <w:rFonts w:ascii="宋体"/>
              </w:rPr>
            </w:pPr>
          </w:p>
        </w:tc>
        <w:tc>
          <w:tcPr>
            <w:tcW w:w="5" w:type="pct"/>
            <w:shd w:val="clear" w:color="auto" w:fill="auto"/>
            <w:vAlign w:val="bottom"/>
          </w:tcPr>
          <w:p w14:paraId="74DDE1A7" w14:textId="77777777" w:rsidR="00584EC1" w:rsidRDefault="00584EC1">
            <w:pPr>
              <w:rPr>
                <w:rFonts w:ascii="宋体"/>
              </w:rPr>
            </w:pPr>
          </w:p>
        </w:tc>
        <w:tc>
          <w:tcPr>
            <w:tcW w:w="26" w:type="pct"/>
            <w:shd w:val="clear" w:color="auto" w:fill="auto"/>
            <w:vAlign w:val="bottom"/>
          </w:tcPr>
          <w:p w14:paraId="74DDE1A8" w14:textId="77777777" w:rsidR="00584EC1" w:rsidRDefault="00584EC1">
            <w:pPr>
              <w:rPr>
                <w:rFonts w:ascii="宋体"/>
              </w:rPr>
            </w:pPr>
          </w:p>
        </w:tc>
        <w:tc>
          <w:tcPr>
            <w:tcW w:w="5" w:type="pct"/>
            <w:shd w:val="clear" w:color="auto" w:fill="auto"/>
            <w:vAlign w:val="bottom"/>
          </w:tcPr>
          <w:p w14:paraId="74DDE1A9" w14:textId="77777777" w:rsidR="00584EC1" w:rsidRDefault="00584EC1">
            <w:pPr>
              <w:rPr>
                <w:rFonts w:ascii="宋体"/>
              </w:rPr>
            </w:pPr>
          </w:p>
        </w:tc>
        <w:tc>
          <w:tcPr>
            <w:tcW w:w="50" w:type="pct"/>
            <w:shd w:val="clear" w:color="auto" w:fill="auto"/>
            <w:vAlign w:val="bottom"/>
          </w:tcPr>
          <w:p w14:paraId="74DDE1AA" w14:textId="77777777" w:rsidR="00584EC1" w:rsidRDefault="00584EC1">
            <w:pPr>
              <w:rPr>
                <w:rFonts w:ascii="宋体"/>
              </w:rPr>
            </w:pPr>
          </w:p>
        </w:tc>
        <w:tc>
          <w:tcPr>
            <w:tcW w:w="934" w:type="pct"/>
            <w:shd w:val="clear" w:color="auto" w:fill="auto"/>
            <w:vAlign w:val="bottom"/>
          </w:tcPr>
          <w:p w14:paraId="74DDE1AB" w14:textId="77777777" w:rsidR="00584EC1" w:rsidRDefault="00584EC1">
            <w:pPr>
              <w:rPr>
                <w:rFonts w:ascii="宋体"/>
              </w:rPr>
            </w:pPr>
          </w:p>
        </w:tc>
        <w:tc>
          <w:tcPr>
            <w:tcW w:w="5" w:type="pct"/>
            <w:shd w:val="clear" w:color="auto" w:fill="auto"/>
            <w:vAlign w:val="bottom"/>
          </w:tcPr>
          <w:p w14:paraId="74DDE1AC" w14:textId="77777777" w:rsidR="00584EC1" w:rsidRDefault="00584EC1">
            <w:pPr>
              <w:rPr>
                <w:rFonts w:ascii="宋体"/>
              </w:rPr>
            </w:pPr>
          </w:p>
        </w:tc>
      </w:tr>
      <w:tr w:rsidR="00584EC1" w14:paraId="74DDE1B4" w14:textId="77777777">
        <w:trPr>
          <w:trHeight w:val="220"/>
        </w:trPr>
        <w:tc>
          <w:tcPr>
            <w:tcW w:w="0" w:type="auto"/>
            <w:gridSpan w:val="3"/>
            <w:shd w:val="clear" w:color="auto" w:fill="auto"/>
            <w:tcMar>
              <w:top w:w="40" w:type="dxa"/>
              <w:left w:w="20" w:type="dxa"/>
              <w:bottom w:w="40" w:type="dxa"/>
              <w:right w:w="20" w:type="dxa"/>
            </w:tcMar>
            <w:vAlign w:val="bottom"/>
          </w:tcPr>
          <w:p w14:paraId="74DDE1AE" w14:textId="77777777" w:rsidR="00584EC1" w:rsidRDefault="00871F8D">
            <w:pPr>
              <w:textAlignment w:val="bottom"/>
            </w:pPr>
            <w:r>
              <w:rPr>
                <w:rFonts w:ascii="Arial" w:eastAsia="宋体" w:hAnsi="Arial" w:cs="Arial"/>
                <w:b/>
                <w:bCs/>
                <w:color w:val="000000"/>
                <w:sz w:val="14"/>
                <w:szCs w:val="14"/>
              </w:rPr>
              <w:t>December 31, 2020</w:t>
            </w:r>
          </w:p>
        </w:tc>
        <w:tc>
          <w:tcPr>
            <w:tcW w:w="0" w:type="auto"/>
            <w:gridSpan w:val="3"/>
            <w:vMerge w:val="restart"/>
            <w:shd w:val="clear" w:color="auto" w:fill="auto"/>
            <w:tcMar>
              <w:top w:w="40" w:type="dxa"/>
              <w:left w:w="20" w:type="dxa"/>
              <w:bottom w:w="40" w:type="dxa"/>
              <w:right w:w="20" w:type="dxa"/>
            </w:tcMar>
            <w:vAlign w:val="bottom"/>
          </w:tcPr>
          <w:p w14:paraId="74DDE1AF" w14:textId="77777777" w:rsidR="00584EC1" w:rsidRDefault="00871F8D">
            <w:pPr>
              <w:jc w:val="center"/>
              <w:textAlignment w:val="bottom"/>
            </w:pPr>
            <w:r>
              <w:rPr>
                <w:rFonts w:ascii="Arial" w:eastAsia="宋体" w:hAnsi="Arial" w:cs="Arial"/>
                <w:b/>
                <w:bCs/>
                <w:color w:val="000000"/>
                <w:sz w:val="14"/>
                <w:szCs w:val="14"/>
              </w:rPr>
              <w:t>Commercial and Financial</w:t>
            </w:r>
          </w:p>
        </w:tc>
        <w:tc>
          <w:tcPr>
            <w:tcW w:w="0" w:type="auto"/>
            <w:gridSpan w:val="3"/>
            <w:vMerge w:val="restart"/>
            <w:shd w:val="clear" w:color="auto" w:fill="auto"/>
            <w:tcMar>
              <w:top w:w="0" w:type="dxa"/>
              <w:left w:w="20" w:type="dxa"/>
              <w:bottom w:w="0" w:type="dxa"/>
              <w:right w:w="20" w:type="dxa"/>
            </w:tcMar>
            <w:vAlign w:val="bottom"/>
          </w:tcPr>
          <w:p w14:paraId="74DDE1B0" w14:textId="77777777" w:rsidR="00584EC1" w:rsidRDefault="00584EC1">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74DDE1B1" w14:textId="77777777" w:rsidR="00584EC1" w:rsidRDefault="00871F8D">
            <w:pPr>
              <w:jc w:val="center"/>
              <w:textAlignment w:val="bottom"/>
            </w:pPr>
            <w:r>
              <w:rPr>
                <w:rFonts w:ascii="Arial" w:eastAsia="宋体" w:hAnsi="Arial" w:cs="Arial"/>
                <w:b/>
                <w:bCs/>
                <w:color w:val="000000"/>
                <w:sz w:val="14"/>
                <w:szCs w:val="14"/>
              </w:rPr>
              <w:t>Commercial Real Estate</w:t>
            </w:r>
          </w:p>
        </w:tc>
        <w:tc>
          <w:tcPr>
            <w:tcW w:w="0" w:type="auto"/>
            <w:gridSpan w:val="3"/>
            <w:vMerge w:val="restart"/>
            <w:shd w:val="clear" w:color="auto" w:fill="auto"/>
            <w:tcMar>
              <w:top w:w="0" w:type="dxa"/>
              <w:left w:w="20" w:type="dxa"/>
              <w:bottom w:w="0" w:type="dxa"/>
              <w:right w:w="20" w:type="dxa"/>
            </w:tcMar>
            <w:vAlign w:val="bottom"/>
          </w:tcPr>
          <w:p w14:paraId="74DDE1B2" w14:textId="77777777" w:rsidR="00584EC1" w:rsidRDefault="00584EC1">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74DDE1B3" w14:textId="77777777" w:rsidR="00584EC1" w:rsidRDefault="00871F8D">
            <w:pPr>
              <w:jc w:val="center"/>
              <w:textAlignment w:val="bottom"/>
            </w:pPr>
            <w:r>
              <w:rPr>
                <w:rFonts w:ascii="Arial" w:eastAsia="宋体" w:hAnsi="Arial" w:cs="Arial"/>
                <w:b/>
                <w:bCs/>
                <w:color w:val="000000"/>
                <w:sz w:val="14"/>
                <w:szCs w:val="14"/>
              </w:rPr>
              <w:t>Total Loans </w:t>
            </w:r>
          </w:p>
        </w:tc>
      </w:tr>
      <w:tr w:rsidR="00584EC1" w14:paraId="74DDE1BB" w14:textId="77777777">
        <w:trPr>
          <w:trHeight w:val="220"/>
        </w:trPr>
        <w:tc>
          <w:tcPr>
            <w:tcW w:w="0" w:type="auto"/>
            <w:gridSpan w:val="3"/>
            <w:shd w:val="clear" w:color="auto" w:fill="auto"/>
            <w:tcMar>
              <w:top w:w="40" w:type="dxa"/>
              <w:left w:w="20" w:type="dxa"/>
              <w:bottom w:w="40" w:type="dxa"/>
              <w:right w:w="20" w:type="dxa"/>
            </w:tcMar>
            <w:vAlign w:val="bottom"/>
          </w:tcPr>
          <w:p w14:paraId="74DDE1B5" w14:textId="77777777" w:rsidR="00584EC1" w:rsidRDefault="00871F8D">
            <w:pPr>
              <w:textAlignment w:val="bottom"/>
            </w:pPr>
            <w:r>
              <w:rPr>
                <w:rFonts w:ascii="Arial" w:eastAsia="宋体" w:hAnsi="Arial" w:cs="Arial"/>
                <w:b/>
                <w:bCs/>
                <w:color w:val="000000"/>
                <w:sz w:val="14"/>
                <w:szCs w:val="14"/>
              </w:rPr>
              <w:t>(In millions)</w:t>
            </w:r>
          </w:p>
        </w:tc>
        <w:tc>
          <w:tcPr>
            <w:tcW w:w="0" w:type="auto"/>
            <w:gridSpan w:val="3"/>
            <w:vMerge/>
            <w:shd w:val="clear" w:color="auto" w:fill="auto"/>
            <w:tcMar>
              <w:top w:w="40" w:type="dxa"/>
              <w:left w:w="20" w:type="dxa"/>
              <w:bottom w:w="40" w:type="dxa"/>
              <w:right w:w="20" w:type="dxa"/>
            </w:tcMar>
            <w:vAlign w:val="bottom"/>
          </w:tcPr>
          <w:p w14:paraId="74DDE1B6" w14:textId="77777777" w:rsidR="00584EC1" w:rsidRDefault="00584EC1">
            <w:pPr>
              <w:jc w:val="center"/>
              <w:rPr>
                <w:rFonts w:ascii="宋体"/>
              </w:rPr>
            </w:pPr>
          </w:p>
        </w:tc>
        <w:tc>
          <w:tcPr>
            <w:tcW w:w="0" w:type="auto"/>
            <w:gridSpan w:val="3"/>
            <w:vMerge/>
            <w:shd w:val="clear" w:color="auto" w:fill="auto"/>
            <w:tcMar>
              <w:top w:w="0" w:type="dxa"/>
              <w:left w:w="20" w:type="dxa"/>
              <w:bottom w:w="0" w:type="dxa"/>
              <w:right w:w="20" w:type="dxa"/>
            </w:tcMar>
            <w:vAlign w:val="bottom"/>
          </w:tcPr>
          <w:p w14:paraId="74DDE1B7" w14:textId="77777777" w:rsidR="00584EC1" w:rsidRDefault="00584EC1">
            <w:pPr>
              <w:rPr>
                <w:rFonts w:ascii="宋体"/>
              </w:rPr>
            </w:pPr>
          </w:p>
        </w:tc>
        <w:tc>
          <w:tcPr>
            <w:tcW w:w="0" w:type="auto"/>
            <w:gridSpan w:val="3"/>
            <w:vMerge/>
            <w:shd w:val="clear" w:color="auto" w:fill="auto"/>
            <w:tcMar>
              <w:top w:w="40" w:type="dxa"/>
              <w:left w:w="20" w:type="dxa"/>
              <w:bottom w:w="40" w:type="dxa"/>
              <w:right w:w="20" w:type="dxa"/>
            </w:tcMar>
            <w:vAlign w:val="bottom"/>
          </w:tcPr>
          <w:p w14:paraId="74DDE1B8" w14:textId="77777777" w:rsidR="00584EC1" w:rsidRDefault="00584EC1">
            <w:pPr>
              <w:jc w:val="center"/>
              <w:rPr>
                <w:rFonts w:ascii="宋体"/>
              </w:rPr>
            </w:pPr>
          </w:p>
        </w:tc>
        <w:tc>
          <w:tcPr>
            <w:tcW w:w="0" w:type="auto"/>
            <w:gridSpan w:val="3"/>
            <w:vMerge/>
            <w:shd w:val="clear" w:color="auto" w:fill="auto"/>
            <w:tcMar>
              <w:top w:w="0" w:type="dxa"/>
              <w:left w:w="20" w:type="dxa"/>
              <w:bottom w:w="0" w:type="dxa"/>
              <w:right w:w="20" w:type="dxa"/>
            </w:tcMar>
            <w:vAlign w:val="bottom"/>
          </w:tcPr>
          <w:p w14:paraId="74DDE1B9" w14:textId="77777777" w:rsidR="00584EC1" w:rsidRDefault="00584EC1">
            <w:pPr>
              <w:rPr>
                <w:rFonts w:ascii="宋体"/>
              </w:rPr>
            </w:pPr>
          </w:p>
        </w:tc>
        <w:tc>
          <w:tcPr>
            <w:tcW w:w="0" w:type="auto"/>
            <w:gridSpan w:val="3"/>
            <w:vMerge/>
            <w:shd w:val="clear" w:color="auto" w:fill="auto"/>
            <w:tcMar>
              <w:top w:w="40" w:type="dxa"/>
              <w:left w:w="20" w:type="dxa"/>
              <w:bottom w:w="40" w:type="dxa"/>
              <w:right w:w="20" w:type="dxa"/>
            </w:tcMar>
            <w:vAlign w:val="bottom"/>
          </w:tcPr>
          <w:p w14:paraId="74DDE1BA" w14:textId="77777777" w:rsidR="00584EC1" w:rsidRDefault="00584EC1">
            <w:pPr>
              <w:jc w:val="center"/>
              <w:rPr>
                <w:rFonts w:ascii="宋体"/>
              </w:rPr>
            </w:pPr>
          </w:p>
        </w:tc>
      </w:tr>
      <w:tr w:rsidR="00584EC1" w14:paraId="74DDE1C8" w14:textId="77777777">
        <w:tc>
          <w:tcPr>
            <w:tcW w:w="0" w:type="auto"/>
            <w:gridSpan w:val="3"/>
            <w:shd w:val="clear" w:color="auto" w:fill="CCEEFF"/>
            <w:tcMar>
              <w:top w:w="40" w:type="dxa"/>
              <w:left w:w="20" w:type="dxa"/>
              <w:bottom w:w="40" w:type="dxa"/>
              <w:right w:w="20" w:type="dxa"/>
            </w:tcMar>
            <w:vAlign w:val="bottom"/>
          </w:tcPr>
          <w:p w14:paraId="74DDE1BC" w14:textId="77777777" w:rsidR="00584EC1" w:rsidRDefault="00871F8D">
            <w:pPr>
              <w:textAlignment w:val="bottom"/>
            </w:pPr>
            <w:r>
              <w:rPr>
                <w:rFonts w:ascii="Arial" w:eastAsia="宋体" w:hAnsi="Arial" w:cs="Arial"/>
                <w:color w:val="000000"/>
                <w:sz w:val="14"/>
                <w:szCs w:val="14"/>
              </w:rPr>
              <w:t>Investment grade</w:t>
            </w:r>
          </w:p>
        </w:tc>
        <w:tc>
          <w:tcPr>
            <w:tcW w:w="0" w:type="auto"/>
            <w:tcBorders>
              <w:top w:val="single" w:sz="8" w:space="0" w:color="000000"/>
            </w:tcBorders>
            <w:shd w:val="clear" w:color="auto" w:fill="CCEEFF"/>
            <w:tcMar>
              <w:top w:w="40" w:type="dxa"/>
              <w:left w:w="20" w:type="dxa"/>
              <w:bottom w:w="40" w:type="dxa"/>
              <w:right w:w="0" w:type="dxa"/>
            </w:tcMar>
            <w:vAlign w:val="bottom"/>
          </w:tcPr>
          <w:p w14:paraId="74DDE1BD"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E1BE" w14:textId="77777777" w:rsidR="00584EC1" w:rsidRDefault="00871F8D">
            <w:pPr>
              <w:jc w:val="right"/>
              <w:textAlignment w:val="bottom"/>
            </w:pPr>
            <w:r>
              <w:rPr>
                <w:rFonts w:ascii="Arial" w:eastAsia="宋体" w:hAnsi="Arial" w:cs="Arial"/>
                <w:color w:val="000000"/>
                <w:sz w:val="14"/>
                <w:szCs w:val="14"/>
              </w:rPr>
              <w:t>20,859 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E1B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1C0"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E1C1"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E1C2" w14:textId="77777777" w:rsidR="00584EC1" w:rsidRDefault="00871F8D">
            <w:pPr>
              <w:jc w:val="right"/>
              <w:textAlignment w:val="bottom"/>
            </w:pPr>
            <w:r>
              <w:rPr>
                <w:rFonts w:ascii="Arial" w:eastAsia="宋体" w:hAnsi="Arial" w:cs="Arial"/>
                <w:color w:val="000000"/>
                <w:sz w:val="14"/>
                <w:szCs w:val="14"/>
              </w:rPr>
              <w:t>1,724 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E1C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1C4"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E1C5"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E1C6" w14:textId="77777777" w:rsidR="00584EC1" w:rsidRDefault="00871F8D">
            <w:pPr>
              <w:jc w:val="right"/>
              <w:textAlignment w:val="bottom"/>
            </w:pPr>
            <w:r>
              <w:rPr>
                <w:rFonts w:ascii="Arial" w:eastAsia="宋体" w:hAnsi="Arial" w:cs="Arial"/>
                <w:color w:val="000000"/>
                <w:sz w:val="14"/>
                <w:szCs w:val="14"/>
              </w:rPr>
              <w:t>22,583 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E1C7" w14:textId="77777777" w:rsidR="00584EC1" w:rsidRDefault="00584EC1">
            <w:pPr>
              <w:jc w:val="right"/>
              <w:rPr>
                <w:rFonts w:ascii="宋体"/>
              </w:rPr>
            </w:pPr>
          </w:p>
        </w:tc>
      </w:tr>
      <w:tr w:rsidR="00584EC1" w14:paraId="74DDE1D2" w14:textId="77777777">
        <w:tc>
          <w:tcPr>
            <w:tcW w:w="0" w:type="auto"/>
            <w:gridSpan w:val="3"/>
            <w:shd w:val="clear" w:color="auto" w:fill="FFFFFF"/>
            <w:tcMar>
              <w:top w:w="40" w:type="dxa"/>
              <w:left w:w="20" w:type="dxa"/>
              <w:bottom w:w="40" w:type="dxa"/>
              <w:right w:w="20" w:type="dxa"/>
            </w:tcMar>
            <w:vAlign w:val="bottom"/>
          </w:tcPr>
          <w:p w14:paraId="74DDE1C9" w14:textId="77777777" w:rsidR="00584EC1" w:rsidRDefault="00871F8D">
            <w:pPr>
              <w:textAlignment w:val="bottom"/>
            </w:pPr>
            <w:r>
              <w:rPr>
                <w:rFonts w:ascii="Arial" w:eastAsia="宋体" w:hAnsi="Arial" w:cs="Arial"/>
                <w:color w:val="000000"/>
                <w:sz w:val="14"/>
                <w:szCs w:val="14"/>
              </w:rPr>
              <w:t>Speculative</w:t>
            </w:r>
          </w:p>
        </w:tc>
        <w:tc>
          <w:tcPr>
            <w:tcW w:w="0" w:type="auto"/>
            <w:gridSpan w:val="2"/>
            <w:shd w:val="clear" w:color="auto" w:fill="FFFFFF"/>
            <w:tcMar>
              <w:top w:w="40" w:type="dxa"/>
              <w:left w:w="20" w:type="dxa"/>
              <w:bottom w:w="40" w:type="dxa"/>
              <w:right w:w="0" w:type="dxa"/>
            </w:tcMar>
            <w:vAlign w:val="bottom"/>
          </w:tcPr>
          <w:p w14:paraId="74DDE1CA" w14:textId="77777777" w:rsidR="00584EC1" w:rsidRDefault="00871F8D">
            <w:pPr>
              <w:jc w:val="right"/>
              <w:textAlignment w:val="bottom"/>
            </w:pPr>
            <w:r>
              <w:rPr>
                <w:rFonts w:ascii="Arial" w:eastAsia="宋体" w:hAnsi="Arial" w:cs="Arial"/>
                <w:color w:val="000000"/>
                <w:sz w:val="14"/>
                <w:szCs w:val="14"/>
              </w:rPr>
              <w:t>4,852 </w:t>
            </w:r>
          </w:p>
        </w:tc>
        <w:tc>
          <w:tcPr>
            <w:tcW w:w="0" w:type="auto"/>
            <w:shd w:val="clear" w:color="auto" w:fill="FFFFFF"/>
            <w:tcMar>
              <w:top w:w="40" w:type="dxa"/>
              <w:left w:w="0" w:type="dxa"/>
              <w:bottom w:w="40" w:type="dxa"/>
              <w:right w:w="20" w:type="dxa"/>
            </w:tcMar>
            <w:vAlign w:val="bottom"/>
          </w:tcPr>
          <w:p w14:paraId="74DDE1C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1C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1CD" w14:textId="77777777" w:rsidR="00584EC1" w:rsidRDefault="00871F8D">
            <w:pPr>
              <w:jc w:val="right"/>
              <w:textAlignment w:val="bottom"/>
            </w:pPr>
            <w:r>
              <w:rPr>
                <w:rFonts w:ascii="Arial" w:eastAsia="宋体" w:hAnsi="Arial" w:cs="Arial"/>
                <w:color w:val="000000"/>
                <w:sz w:val="14"/>
                <w:szCs w:val="14"/>
              </w:rPr>
              <w:t>372 </w:t>
            </w:r>
          </w:p>
        </w:tc>
        <w:tc>
          <w:tcPr>
            <w:tcW w:w="0" w:type="auto"/>
            <w:shd w:val="clear" w:color="auto" w:fill="FFFFFF"/>
            <w:tcMar>
              <w:top w:w="40" w:type="dxa"/>
              <w:left w:w="0" w:type="dxa"/>
              <w:bottom w:w="40" w:type="dxa"/>
              <w:right w:w="20" w:type="dxa"/>
            </w:tcMar>
            <w:vAlign w:val="bottom"/>
          </w:tcPr>
          <w:p w14:paraId="74DDE1C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1C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1D0" w14:textId="77777777" w:rsidR="00584EC1" w:rsidRDefault="00871F8D">
            <w:pPr>
              <w:jc w:val="right"/>
              <w:textAlignment w:val="bottom"/>
            </w:pPr>
            <w:r>
              <w:rPr>
                <w:rFonts w:ascii="Arial" w:eastAsia="宋体" w:hAnsi="Arial" w:cs="Arial"/>
                <w:color w:val="000000"/>
                <w:sz w:val="14"/>
                <w:szCs w:val="14"/>
              </w:rPr>
              <w:t>5,224 </w:t>
            </w:r>
          </w:p>
        </w:tc>
        <w:tc>
          <w:tcPr>
            <w:tcW w:w="0" w:type="auto"/>
            <w:shd w:val="clear" w:color="auto" w:fill="FFFFFF"/>
            <w:tcMar>
              <w:top w:w="40" w:type="dxa"/>
              <w:left w:w="0" w:type="dxa"/>
              <w:bottom w:w="40" w:type="dxa"/>
              <w:right w:w="20" w:type="dxa"/>
            </w:tcMar>
            <w:vAlign w:val="bottom"/>
          </w:tcPr>
          <w:p w14:paraId="74DDE1D1" w14:textId="77777777" w:rsidR="00584EC1" w:rsidRDefault="00584EC1">
            <w:pPr>
              <w:jc w:val="right"/>
              <w:rPr>
                <w:rFonts w:ascii="宋体"/>
              </w:rPr>
            </w:pPr>
          </w:p>
        </w:tc>
      </w:tr>
      <w:tr w:rsidR="00584EC1" w14:paraId="74DDE1DC" w14:textId="77777777">
        <w:tc>
          <w:tcPr>
            <w:tcW w:w="0" w:type="auto"/>
            <w:gridSpan w:val="3"/>
            <w:shd w:val="clear" w:color="auto" w:fill="CCEEFF"/>
            <w:tcMar>
              <w:top w:w="40" w:type="dxa"/>
              <w:left w:w="20" w:type="dxa"/>
              <w:bottom w:w="40" w:type="dxa"/>
              <w:right w:w="20" w:type="dxa"/>
            </w:tcMar>
            <w:vAlign w:val="bottom"/>
          </w:tcPr>
          <w:p w14:paraId="74DDE1D3" w14:textId="77777777" w:rsidR="00584EC1" w:rsidRDefault="00871F8D">
            <w:pPr>
              <w:textAlignment w:val="bottom"/>
            </w:pPr>
            <w:r>
              <w:rPr>
                <w:rFonts w:ascii="Arial" w:eastAsia="宋体" w:hAnsi="Arial" w:cs="Arial"/>
                <w:color w:val="000000"/>
                <w:sz w:val="14"/>
                <w:szCs w:val="14"/>
              </w:rPr>
              <w:t>Special mention</w:t>
            </w:r>
          </w:p>
        </w:tc>
        <w:tc>
          <w:tcPr>
            <w:tcW w:w="0" w:type="auto"/>
            <w:gridSpan w:val="2"/>
            <w:shd w:val="clear" w:color="auto" w:fill="CCEEFF"/>
            <w:tcMar>
              <w:top w:w="40" w:type="dxa"/>
              <w:left w:w="20" w:type="dxa"/>
              <w:bottom w:w="40" w:type="dxa"/>
              <w:right w:w="0" w:type="dxa"/>
            </w:tcMar>
            <w:vAlign w:val="bottom"/>
          </w:tcPr>
          <w:p w14:paraId="74DDE1D4" w14:textId="77777777" w:rsidR="00584EC1" w:rsidRDefault="00871F8D">
            <w:pPr>
              <w:jc w:val="right"/>
              <w:textAlignment w:val="bottom"/>
            </w:pPr>
            <w:r>
              <w:rPr>
                <w:rFonts w:ascii="Arial" w:eastAsia="宋体" w:hAnsi="Arial" w:cs="Arial"/>
                <w:color w:val="000000"/>
                <w:sz w:val="14"/>
                <w:szCs w:val="14"/>
              </w:rPr>
              <w:t>67 </w:t>
            </w:r>
          </w:p>
        </w:tc>
        <w:tc>
          <w:tcPr>
            <w:tcW w:w="0" w:type="auto"/>
            <w:shd w:val="clear" w:color="auto" w:fill="CCEEFF"/>
            <w:tcMar>
              <w:top w:w="40" w:type="dxa"/>
              <w:left w:w="0" w:type="dxa"/>
              <w:bottom w:w="40" w:type="dxa"/>
              <w:right w:w="20" w:type="dxa"/>
            </w:tcMar>
            <w:vAlign w:val="bottom"/>
          </w:tcPr>
          <w:p w14:paraId="74DDE1D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1D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E1D7"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E1D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1D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E1DA" w14:textId="77777777" w:rsidR="00584EC1" w:rsidRDefault="00871F8D">
            <w:pPr>
              <w:jc w:val="right"/>
              <w:textAlignment w:val="bottom"/>
            </w:pPr>
            <w:r>
              <w:rPr>
                <w:rFonts w:ascii="Arial" w:eastAsia="宋体" w:hAnsi="Arial" w:cs="Arial"/>
                <w:color w:val="000000"/>
                <w:sz w:val="14"/>
                <w:szCs w:val="14"/>
              </w:rPr>
              <w:t>67 </w:t>
            </w:r>
          </w:p>
        </w:tc>
        <w:tc>
          <w:tcPr>
            <w:tcW w:w="0" w:type="auto"/>
            <w:shd w:val="clear" w:color="auto" w:fill="CCEEFF"/>
            <w:tcMar>
              <w:top w:w="40" w:type="dxa"/>
              <w:left w:w="0" w:type="dxa"/>
              <w:bottom w:w="40" w:type="dxa"/>
              <w:right w:w="20" w:type="dxa"/>
            </w:tcMar>
            <w:vAlign w:val="bottom"/>
          </w:tcPr>
          <w:p w14:paraId="74DDE1DB" w14:textId="77777777" w:rsidR="00584EC1" w:rsidRDefault="00584EC1">
            <w:pPr>
              <w:jc w:val="right"/>
              <w:rPr>
                <w:rFonts w:ascii="宋体"/>
              </w:rPr>
            </w:pPr>
          </w:p>
        </w:tc>
      </w:tr>
      <w:tr w:rsidR="00584EC1" w14:paraId="74DDE1E6" w14:textId="77777777">
        <w:tc>
          <w:tcPr>
            <w:tcW w:w="0" w:type="auto"/>
            <w:gridSpan w:val="3"/>
            <w:shd w:val="clear" w:color="auto" w:fill="FFFFFF"/>
            <w:tcMar>
              <w:top w:w="40" w:type="dxa"/>
              <w:left w:w="20" w:type="dxa"/>
              <w:bottom w:w="40" w:type="dxa"/>
              <w:right w:w="20" w:type="dxa"/>
            </w:tcMar>
            <w:vAlign w:val="bottom"/>
          </w:tcPr>
          <w:p w14:paraId="74DDE1DD" w14:textId="77777777" w:rsidR="00584EC1" w:rsidRDefault="00871F8D">
            <w:pPr>
              <w:textAlignment w:val="bottom"/>
            </w:pPr>
            <w:r>
              <w:rPr>
                <w:rFonts w:ascii="Arial" w:eastAsia="宋体" w:hAnsi="Arial" w:cs="Arial"/>
                <w:color w:val="000000"/>
                <w:sz w:val="14"/>
                <w:szCs w:val="14"/>
              </w:rPr>
              <w:t>Substandard</w:t>
            </w:r>
          </w:p>
        </w:tc>
        <w:tc>
          <w:tcPr>
            <w:tcW w:w="0" w:type="auto"/>
            <w:gridSpan w:val="2"/>
            <w:shd w:val="clear" w:color="auto" w:fill="FFFFFF"/>
            <w:tcMar>
              <w:top w:w="40" w:type="dxa"/>
              <w:left w:w="20" w:type="dxa"/>
              <w:bottom w:w="40" w:type="dxa"/>
              <w:right w:w="0" w:type="dxa"/>
            </w:tcMar>
            <w:vAlign w:val="bottom"/>
          </w:tcPr>
          <w:p w14:paraId="74DDE1DE" w14:textId="77777777" w:rsidR="00584EC1" w:rsidRDefault="00871F8D">
            <w:pPr>
              <w:jc w:val="right"/>
              <w:textAlignment w:val="bottom"/>
            </w:pPr>
            <w:r>
              <w:rPr>
                <w:rFonts w:ascii="Arial" w:eastAsia="宋体" w:hAnsi="Arial" w:cs="Arial"/>
                <w:color w:val="000000"/>
                <w:sz w:val="14"/>
                <w:szCs w:val="14"/>
              </w:rPr>
              <w:t>34 </w:t>
            </w:r>
          </w:p>
        </w:tc>
        <w:tc>
          <w:tcPr>
            <w:tcW w:w="0" w:type="auto"/>
            <w:shd w:val="clear" w:color="auto" w:fill="FFFFFF"/>
            <w:tcMar>
              <w:top w:w="40" w:type="dxa"/>
              <w:left w:w="0" w:type="dxa"/>
              <w:bottom w:w="40" w:type="dxa"/>
              <w:right w:w="20" w:type="dxa"/>
            </w:tcMar>
            <w:vAlign w:val="bottom"/>
          </w:tcPr>
          <w:p w14:paraId="74DDE1D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1E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1E1"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1E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1E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1E4" w14:textId="77777777" w:rsidR="00584EC1" w:rsidRDefault="00871F8D">
            <w:pPr>
              <w:jc w:val="right"/>
              <w:textAlignment w:val="bottom"/>
            </w:pPr>
            <w:r>
              <w:rPr>
                <w:rFonts w:ascii="Arial" w:eastAsia="宋体" w:hAnsi="Arial" w:cs="Arial"/>
                <w:color w:val="000000"/>
                <w:sz w:val="14"/>
                <w:szCs w:val="14"/>
              </w:rPr>
              <w:t>34 </w:t>
            </w:r>
          </w:p>
        </w:tc>
        <w:tc>
          <w:tcPr>
            <w:tcW w:w="0" w:type="auto"/>
            <w:shd w:val="clear" w:color="auto" w:fill="FFFFFF"/>
            <w:tcMar>
              <w:top w:w="40" w:type="dxa"/>
              <w:left w:w="0" w:type="dxa"/>
              <w:bottom w:w="40" w:type="dxa"/>
              <w:right w:w="20" w:type="dxa"/>
            </w:tcMar>
            <w:vAlign w:val="bottom"/>
          </w:tcPr>
          <w:p w14:paraId="74DDE1E5" w14:textId="77777777" w:rsidR="00584EC1" w:rsidRDefault="00584EC1">
            <w:pPr>
              <w:jc w:val="right"/>
              <w:rPr>
                <w:rFonts w:ascii="宋体"/>
              </w:rPr>
            </w:pPr>
          </w:p>
        </w:tc>
      </w:tr>
      <w:tr w:rsidR="00584EC1" w14:paraId="74DDE1F0" w14:textId="77777777">
        <w:tc>
          <w:tcPr>
            <w:tcW w:w="0" w:type="auto"/>
            <w:gridSpan w:val="3"/>
            <w:shd w:val="clear" w:color="auto" w:fill="CCEEFF"/>
            <w:tcMar>
              <w:top w:w="40" w:type="dxa"/>
              <w:left w:w="20" w:type="dxa"/>
              <w:bottom w:w="40" w:type="dxa"/>
              <w:right w:w="20" w:type="dxa"/>
            </w:tcMar>
            <w:vAlign w:val="bottom"/>
          </w:tcPr>
          <w:p w14:paraId="74DDE1E7" w14:textId="77777777" w:rsidR="00584EC1" w:rsidRDefault="00871F8D">
            <w:pPr>
              <w:textAlignment w:val="bottom"/>
            </w:pPr>
            <w:r>
              <w:rPr>
                <w:rFonts w:ascii="Arial" w:eastAsia="宋体" w:hAnsi="Arial" w:cs="Arial"/>
                <w:color w:val="000000"/>
                <w:sz w:val="14"/>
                <w:szCs w:val="14"/>
              </w:rPr>
              <w:t>Doubtful</w:t>
            </w:r>
          </w:p>
        </w:tc>
        <w:tc>
          <w:tcPr>
            <w:tcW w:w="0" w:type="auto"/>
            <w:gridSpan w:val="2"/>
            <w:shd w:val="clear" w:color="auto" w:fill="CCEEFF"/>
            <w:tcMar>
              <w:top w:w="40" w:type="dxa"/>
              <w:left w:w="20" w:type="dxa"/>
              <w:bottom w:w="40" w:type="dxa"/>
              <w:right w:w="0" w:type="dxa"/>
            </w:tcMar>
            <w:vAlign w:val="bottom"/>
          </w:tcPr>
          <w:p w14:paraId="74DDE1E8" w14:textId="77777777" w:rsidR="00584EC1" w:rsidRDefault="00871F8D">
            <w:pPr>
              <w:jc w:val="right"/>
              <w:textAlignment w:val="bottom"/>
            </w:pPr>
            <w:r>
              <w:rPr>
                <w:rFonts w:ascii="Arial" w:eastAsia="宋体" w:hAnsi="Arial" w:cs="Arial"/>
                <w:color w:val="000000"/>
                <w:sz w:val="14"/>
                <w:szCs w:val="14"/>
              </w:rPr>
              <w:t>17 </w:t>
            </w:r>
          </w:p>
        </w:tc>
        <w:tc>
          <w:tcPr>
            <w:tcW w:w="0" w:type="auto"/>
            <w:shd w:val="clear" w:color="auto" w:fill="CCEEFF"/>
            <w:tcMar>
              <w:top w:w="40" w:type="dxa"/>
              <w:left w:w="0" w:type="dxa"/>
              <w:bottom w:w="40" w:type="dxa"/>
              <w:right w:w="20" w:type="dxa"/>
            </w:tcMar>
            <w:vAlign w:val="bottom"/>
          </w:tcPr>
          <w:p w14:paraId="74DDE1E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1EA"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E1EB"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E1E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1E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E1EE" w14:textId="77777777" w:rsidR="00584EC1" w:rsidRDefault="00871F8D">
            <w:pPr>
              <w:jc w:val="right"/>
              <w:textAlignment w:val="bottom"/>
            </w:pPr>
            <w:r>
              <w:rPr>
                <w:rFonts w:ascii="Arial" w:eastAsia="宋体" w:hAnsi="Arial" w:cs="Arial"/>
                <w:color w:val="000000"/>
                <w:sz w:val="14"/>
                <w:szCs w:val="14"/>
              </w:rPr>
              <w:t>17 </w:t>
            </w:r>
          </w:p>
        </w:tc>
        <w:tc>
          <w:tcPr>
            <w:tcW w:w="0" w:type="auto"/>
            <w:shd w:val="clear" w:color="auto" w:fill="CCEEFF"/>
            <w:tcMar>
              <w:top w:w="40" w:type="dxa"/>
              <w:left w:w="0" w:type="dxa"/>
              <w:bottom w:w="40" w:type="dxa"/>
              <w:right w:w="20" w:type="dxa"/>
            </w:tcMar>
            <w:vAlign w:val="bottom"/>
          </w:tcPr>
          <w:p w14:paraId="74DDE1EF" w14:textId="77777777" w:rsidR="00584EC1" w:rsidRDefault="00584EC1">
            <w:pPr>
              <w:jc w:val="right"/>
              <w:rPr>
                <w:rFonts w:ascii="宋体"/>
              </w:rPr>
            </w:pPr>
          </w:p>
        </w:tc>
      </w:tr>
      <w:tr w:rsidR="00584EC1" w14:paraId="74DDE1FD" w14:textId="77777777">
        <w:tc>
          <w:tcPr>
            <w:tcW w:w="0" w:type="auto"/>
            <w:gridSpan w:val="3"/>
            <w:shd w:val="clear" w:color="auto" w:fill="FFFFFF"/>
            <w:tcMar>
              <w:top w:w="40" w:type="dxa"/>
              <w:left w:w="20" w:type="dxa"/>
              <w:bottom w:w="40" w:type="dxa"/>
              <w:right w:w="20" w:type="dxa"/>
            </w:tcMar>
            <w:vAlign w:val="bottom"/>
          </w:tcPr>
          <w:p w14:paraId="74DDE1F1" w14:textId="77777777" w:rsidR="00584EC1" w:rsidRDefault="00871F8D">
            <w:pPr>
              <w:textAlignment w:val="bottom"/>
            </w:pPr>
            <w:r>
              <w:rPr>
                <w:rFonts w:ascii="Arial" w:eastAsia="宋体" w:hAnsi="Arial" w:cs="Arial"/>
                <w:color w:val="000000"/>
                <w:sz w:val="14"/>
                <w:szCs w:val="14"/>
              </w:rPr>
              <w:t>Total</w:t>
            </w:r>
            <w:r>
              <w:rPr>
                <w:rFonts w:ascii="Arial" w:eastAsia="宋体" w:hAnsi="Arial" w:cs="Arial"/>
                <w:color w:val="000000"/>
                <w:sz w:val="9"/>
                <w:szCs w:val="9"/>
              </w:rPr>
              <w:t>(1)</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E1F2"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E1F3" w14:textId="77777777" w:rsidR="00584EC1" w:rsidRDefault="00871F8D">
            <w:pPr>
              <w:jc w:val="right"/>
              <w:textAlignment w:val="bottom"/>
            </w:pPr>
            <w:r>
              <w:rPr>
                <w:rFonts w:ascii="Arial" w:eastAsia="宋体" w:hAnsi="Arial" w:cs="Arial"/>
                <w:color w:val="000000"/>
                <w:sz w:val="14"/>
                <w:szCs w:val="14"/>
              </w:rPr>
              <w:t>25,829 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E1F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1F5"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E1F6"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E1F7" w14:textId="77777777" w:rsidR="00584EC1" w:rsidRDefault="00871F8D">
            <w:pPr>
              <w:jc w:val="right"/>
              <w:textAlignment w:val="bottom"/>
            </w:pPr>
            <w:r>
              <w:rPr>
                <w:rFonts w:ascii="Arial" w:eastAsia="宋体" w:hAnsi="Arial" w:cs="Arial"/>
                <w:color w:val="000000"/>
                <w:sz w:val="14"/>
                <w:szCs w:val="14"/>
              </w:rPr>
              <w:t>2,096 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E1F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1F9"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E1FA"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E1FB" w14:textId="77777777" w:rsidR="00584EC1" w:rsidRDefault="00871F8D">
            <w:pPr>
              <w:jc w:val="right"/>
              <w:textAlignment w:val="bottom"/>
            </w:pPr>
            <w:r>
              <w:rPr>
                <w:rFonts w:ascii="Arial" w:eastAsia="宋体" w:hAnsi="Arial" w:cs="Arial"/>
                <w:color w:val="000000"/>
                <w:sz w:val="14"/>
                <w:szCs w:val="14"/>
              </w:rPr>
              <w:t>27,925 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E1FC" w14:textId="77777777" w:rsidR="00584EC1" w:rsidRDefault="00584EC1">
            <w:pPr>
              <w:jc w:val="right"/>
              <w:rPr>
                <w:rFonts w:ascii="宋体"/>
              </w:rPr>
            </w:pPr>
          </w:p>
        </w:tc>
      </w:tr>
    </w:tbl>
    <w:p w14:paraId="74DDE1FE" w14:textId="77777777" w:rsidR="00584EC1" w:rsidRDefault="00584EC1">
      <w:pPr>
        <w:rPr>
          <w:vanish/>
        </w:rPr>
      </w:pPr>
    </w:p>
    <w:tbl>
      <w:tblPr>
        <w:tblW w:w="2325" w:type="pct"/>
        <w:tblCellMar>
          <w:top w:w="15" w:type="dxa"/>
          <w:left w:w="15" w:type="dxa"/>
          <w:bottom w:w="15" w:type="dxa"/>
          <w:right w:w="15" w:type="dxa"/>
        </w:tblCellMar>
        <w:tblLook w:val="04A0" w:firstRow="1" w:lastRow="0" w:firstColumn="1" w:lastColumn="0" w:noHBand="0" w:noVBand="1"/>
      </w:tblPr>
      <w:tblGrid>
        <w:gridCol w:w="36"/>
        <w:gridCol w:w="2249"/>
        <w:gridCol w:w="36"/>
        <w:gridCol w:w="36"/>
        <w:gridCol w:w="36"/>
        <w:gridCol w:w="36"/>
        <w:gridCol w:w="36"/>
        <w:gridCol w:w="1375"/>
        <w:gridCol w:w="36"/>
      </w:tblGrid>
      <w:tr w:rsidR="00584EC1" w14:paraId="74DDE208" w14:textId="77777777">
        <w:tc>
          <w:tcPr>
            <w:tcW w:w="50" w:type="pct"/>
            <w:shd w:val="clear" w:color="auto" w:fill="auto"/>
            <w:vAlign w:val="bottom"/>
          </w:tcPr>
          <w:p w14:paraId="74DDE1FF" w14:textId="77777777" w:rsidR="00584EC1" w:rsidRDefault="00584EC1">
            <w:pPr>
              <w:rPr>
                <w:rFonts w:ascii="宋体"/>
              </w:rPr>
            </w:pPr>
          </w:p>
        </w:tc>
        <w:tc>
          <w:tcPr>
            <w:tcW w:w="2963" w:type="pct"/>
            <w:shd w:val="clear" w:color="auto" w:fill="auto"/>
            <w:vAlign w:val="bottom"/>
          </w:tcPr>
          <w:p w14:paraId="74DDE200" w14:textId="77777777" w:rsidR="00584EC1" w:rsidRDefault="00584EC1">
            <w:pPr>
              <w:rPr>
                <w:rFonts w:ascii="宋体"/>
              </w:rPr>
            </w:pPr>
          </w:p>
        </w:tc>
        <w:tc>
          <w:tcPr>
            <w:tcW w:w="5" w:type="pct"/>
            <w:shd w:val="clear" w:color="auto" w:fill="auto"/>
            <w:vAlign w:val="bottom"/>
          </w:tcPr>
          <w:p w14:paraId="74DDE201" w14:textId="77777777" w:rsidR="00584EC1" w:rsidRDefault="00584EC1">
            <w:pPr>
              <w:rPr>
                <w:rFonts w:ascii="宋体"/>
              </w:rPr>
            </w:pPr>
          </w:p>
        </w:tc>
        <w:tc>
          <w:tcPr>
            <w:tcW w:w="5" w:type="pct"/>
            <w:shd w:val="clear" w:color="auto" w:fill="auto"/>
            <w:vAlign w:val="bottom"/>
          </w:tcPr>
          <w:p w14:paraId="74DDE202" w14:textId="77777777" w:rsidR="00584EC1" w:rsidRDefault="00584EC1">
            <w:pPr>
              <w:rPr>
                <w:rFonts w:ascii="宋体"/>
              </w:rPr>
            </w:pPr>
          </w:p>
        </w:tc>
        <w:tc>
          <w:tcPr>
            <w:tcW w:w="68" w:type="pct"/>
            <w:shd w:val="clear" w:color="auto" w:fill="auto"/>
            <w:vAlign w:val="bottom"/>
          </w:tcPr>
          <w:p w14:paraId="74DDE203" w14:textId="77777777" w:rsidR="00584EC1" w:rsidRDefault="00584EC1">
            <w:pPr>
              <w:rPr>
                <w:rFonts w:ascii="宋体"/>
              </w:rPr>
            </w:pPr>
          </w:p>
        </w:tc>
        <w:tc>
          <w:tcPr>
            <w:tcW w:w="5" w:type="pct"/>
            <w:shd w:val="clear" w:color="auto" w:fill="auto"/>
            <w:vAlign w:val="bottom"/>
          </w:tcPr>
          <w:p w14:paraId="74DDE204" w14:textId="77777777" w:rsidR="00584EC1" w:rsidRDefault="00584EC1">
            <w:pPr>
              <w:rPr>
                <w:rFonts w:ascii="宋体"/>
              </w:rPr>
            </w:pPr>
          </w:p>
        </w:tc>
        <w:tc>
          <w:tcPr>
            <w:tcW w:w="50" w:type="pct"/>
            <w:shd w:val="clear" w:color="auto" w:fill="auto"/>
            <w:vAlign w:val="bottom"/>
          </w:tcPr>
          <w:p w14:paraId="74DDE205" w14:textId="77777777" w:rsidR="00584EC1" w:rsidRDefault="00584EC1">
            <w:pPr>
              <w:rPr>
                <w:rFonts w:ascii="宋体"/>
              </w:rPr>
            </w:pPr>
          </w:p>
        </w:tc>
        <w:tc>
          <w:tcPr>
            <w:tcW w:w="1847" w:type="pct"/>
            <w:shd w:val="clear" w:color="auto" w:fill="auto"/>
            <w:vAlign w:val="bottom"/>
          </w:tcPr>
          <w:p w14:paraId="74DDE206" w14:textId="77777777" w:rsidR="00584EC1" w:rsidRDefault="00584EC1">
            <w:pPr>
              <w:rPr>
                <w:rFonts w:ascii="宋体"/>
              </w:rPr>
            </w:pPr>
          </w:p>
        </w:tc>
        <w:tc>
          <w:tcPr>
            <w:tcW w:w="5" w:type="pct"/>
            <w:shd w:val="clear" w:color="auto" w:fill="auto"/>
            <w:vAlign w:val="bottom"/>
          </w:tcPr>
          <w:p w14:paraId="74DDE207" w14:textId="77777777" w:rsidR="00584EC1" w:rsidRDefault="00584EC1">
            <w:pPr>
              <w:rPr>
                <w:rFonts w:ascii="宋体"/>
              </w:rPr>
            </w:pPr>
          </w:p>
        </w:tc>
      </w:tr>
      <w:tr w:rsidR="00584EC1" w14:paraId="74DDE20C" w14:textId="77777777">
        <w:trPr>
          <w:trHeight w:val="60"/>
        </w:trPr>
        <w:tc>
          <w:tcPr>
            <w:tcW w:w="0" w:type="auto"/>
            <w:gridSpan w:val="3"/>
            <w:shd w:val="clear" w:color="auto" w:fill="auto"/>
            <w:tcMar>
              <w:top w:w="0" w:type="dxa"/>
              <w:left w:w="20" w:type="dxa"/>
              <w:bottom w:w="0" w:type="dxa"/>
              <w:right w:w="20" w:type="dxa"/>
            </w:tcMar>
            <w:vAlign w:val="bottom"/>
          </w:tcPr>
          <w:p w14:paraId="74DDE209"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20A"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20B" w14:textId="77777777" w:rsidR="00584EC1" w:rsidRDefault="00584EC1">
            <w:pPr>
              <w:rPr>
                <w:rFonts w:ascii="宋体"/>
              </w:rPr>
            </w:pPr>
          </w:p>
        </w:tc>
      </w:tr>
      <w:tr w:rsidR="00584EC1" w14:paraId="74DDE210" w14:textId="77777777">
        <w:trPr>
          <w:trHeight w:val="60"/>
        </w:trPr>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20D"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20E"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20F" w14:textId="77777777" w:rsidR="00584EC1" w:rsidRDefault="00584EC1">
            <w:pPr>
              <w:rPr>
                <w:rFonts w:ascii="宋体"/>
              </w:rPr>
            </w:pPr>
          </w:p>
        </w:tc>
      </w:tr>
    </w:tbl>
    <w:p w14:paraId="74DDE211" w14:textId="77777777" w:rsidR="00584EC1" w:rsidRDefault="00871F8D">
      <w:pPr>
        <w:spacing w:before="60"/>
        <w:jc w:val="both"/>
      </w:pPr>
      <w:r>
        <w:rPr>
          <w:rFonts w:ascii="Arial" w:eastAsia="宋体" w:hAnsi="Arial" w:cs="Arial"/>
          <w:color w:val="000000"/>
          <w:sz w:val="8"/>
          <w:szCs w:val="8"/>
        </w:rPr>
        <w:t>(1)</w:t>
      </w:r>
      <w:r>
        <w:rPr>
          <w:rFonts w:ascii="Arial" w:eastAsia="宋体" w:hAnsi="Arial" w:cs="Arial"/>
          <w:color w:val="000000"/>
          <w:sz w:val="13"/>
          <w:szCs w:val="13"/>
        </w:rPr>
        <w:t xml:space="preserve"> Loans Include $3,814 million and $2,982 million of overdrafts as of September 30, 2021 and </w:t>
      </w:r>
      <w:r>
        <w:rPr>
          <w:rFonts w:ascii="Arial" w:eastAsia="宋体" w:hAnsi="Arial" w:cs="Arial"/>
          <w:color w:val="000000"/>
          <w:sz w:val="14"/>
          <w:szCs w:val="14"/>
        </w:rPr>
        <w:t>December 31, 2020</w:t>
      </w:r>
      <w:r>
        <w:rPr>
          <w:rFonts w:ascii="Arial" w:eastAsia="宋体" w:hAnsi="Arial" w:cs="Arial"/>
          <w:color w:val="000000"/>
          <w:sz w:val="13"/>
          <w:szCs w:val="13"/>
        </w:rPr>
        <w:t xml:space="preserve"> respectively. Overdrafts are short-term in nature and do not present a significant credit risk to us.</w:t>
      </w:r>
    </w:p>
    <w:p w14:paraId="74DDE212" w14:textId="77777777" w:rsidR="00584EC1" w:rsidRDefault="00871F8D">
      <w:pPr>
        <w:spacing w:before="60"/>
        <w:ind w:firstLine="450"/>
        <w:jc w:val="both"/>
      </w:pPr>
      <w:r>
        <w:rPr>
          <w:rFonts w:ascii="Arial" w:eastAsia="宋体" w:hAnsi="Arial" w:cs="Arial"/>
          <w:color w:val="000000"/>
          <w:sz w:val="20"/>
          <w:szCs w:val="20"/>
        </w:rPr>
        <w:t>For additional information about credit quality, refer to pages 151 to 154 in Note 4 to the consolidated financial statements included under Item 8, Fina</w:t>
      </w:r>
      <w:r>
        <w:rPr>
          <w:rFonts w:ascii="Arial" w:eastAsia="宋体" w:hAnsi="Arial" w:cs="Arial"/>
          <w:color w:val="000000"/>
          <w:sz w:val="20"/>
          <w:szCs w:val="20"/>
        </w:rPr>
        <w:t>ncial Statements and Supplementary Data, in our 2020 Form 10-K.</w:t>
      </w:r>
    </w:p>
    <w:p w14:paraId="74DDE213" w14:textId="77777777" w:rsidR="00584EC1" w:rsidRDefault="00871F8D">
      <w:pPr>
        <w:spacing w:before="60"/>
        <w:ind w:firstLine="450"/>
        <w:jc w:val="both"/>
      </w:pPr>
      <w:r>
        <w:rPr>
          <w:rFonts w:ascii="Arial" w:eastAsia="宋体" w:hAnsi="Arial" w:cs="Arial"/>
          <w:color w:val="000000"/>
          <w:sz w:val="20"/>
          <w:szCs w:val="20"/>
        </w:rPr>
        <w:t>The following table presents the amortized cost basis, by year of origination and credit quality indicator, as of September 30, 2021. For origination years before the fifth annual period, we p</w:t>
      </w:r>
      <w:r>
        <w:rPr>
          <w:rFonts w:ascii="Arial" w:eastAsia="宋体" w:hAnsi="Arial" w:cs="Arial"/>
          <w:color w:val="000000"/>
          <w:sz w:val="20"/>
          <w:szCs w:val="20"/>
        </w:rPr>
        <w:t>resent the aggregate amortized cost basis of loans. For purchased loans, the date of issuance is used to determine the year of origination, not the date of acquisition. For modified, extended or renewed lending arrangements, we evaluate whether a credit ev</w:t>
      </w:r>
      <w:r>
        <w:rPr>
          <w:rFonts w:ascii="Arial" w:eastAsia="宋体" w:hAnsi="Arial" w:cs="Arial"/>
          <w:color w:val="000000"/>
          <w:sz w:val="20"/>
          <w:szCs w:val="20"/>
        </w:rPr>
        <w:t>ent has occurred which would consider the loan to be a new arrangement.</w:t>
      </w:r>
    </w:p>
    <w:tbl>
      <w:tblPr>
        <w:tblW w:w="5000" w:type="pct"/>
        <w:tblCellMar>
          <w:top w:w="15" w:type="dxa"/>
          <w:left w:w="15" w:type="dxa"/>
          <w:bottom w:w="15" w:type="dxa"/>
          <w:right w:w="15" w:type="dxa"/>
        </w:tblCellMar>
        <w:tblLook w:val="04A0" w:firstRow="1" w:lastRow="0" w:firstColumn="1" w:lastColumn="0" w:noHBand="0" w:noVBand="1"/>
      </w:tblPr>
      <w:tblGrid>
        <w:gridCol w:w="41"/>
        <w:gridCol w:w="2363"/>
        <w:gridCol w:w="40"/>
        <w:gridCol w:w="98"/>
        <w:gridCol w:w="477"/>
        <w:gridCol w:w="36"/>
        <w:gridCol w:w="36"/>
        <w:gridCol w:w="36"/>
        <w:gridCol w:w="36"/>
        <w:gridCol w:w="98"/>
        <w:gridCol w:w="439"/>
        <w:gridCol w:w="36"/>
        <w:gridCol w:w="36"/>
        <w:gridCol w:w="36"/>
        <w:gridCol w:w="36"/>
        <w:gridCol w:w="98"/>
        <w:gridCol w:w="439"/>
        <w:gridCol w:w="36"/>
        <w:gridCol w:w="36"/>
        <w:gridCol w:w="36"/>
        <w:gridCol w:w="36"/>
        <w:gridCol w:w="98"/>
        <w:gridCol w:w="439"/>
        <w:gridCol w:w="36"/>
        <w:gridCol w:w="36"/>
        <w:gridCol w:w="36"/>
        <w:gridCol w:w="36"/>
        <w:gridCol w:w="98"/>
        <w:gridCol w:w="439"/>
        <w:gridCol w:w="36"/>
        <w:gridCol w:w="36"/>
        <w:gridCol w:w="36"/>
        <w:gridCol w:w="36"/>
        <w:gridCol w:w="36"/>
        <w:gridCol w:w="36"/>
        <w:gridCol w:w="98"/>
        <w:gridCol w:w="439"/>
        <w:gridCol w:w="36"/>
        <w:gridCol w:w="36"/>
        <w:gridCol w:w="36"/>
        <w:gridCol w:w="36"/>
        <w:gridCol w:w="99"/>
        <w:gridCol w:w="851"/>
        <w:gridCol w:w="36"/>
        <w:gridCol w:w="36"/>
        <w:gridCol w:w="36"/>
        <w:gridCol w:w="36"/>
        <w:gridCol w:w="98"/>
        <w:gridCol w:w="468"/>
        <w:gridCol w:w="36"/>
      </w:tblGrid>
      <w:tr w:rsidR="00584EC1" w14:paraId="74DDE246" w14:textId="77777777">
        <w:tc>
          <w:tcPr>
            <w:tcW w:w="50" w:type="pct"/>
            <w:shd w:val="clear" w:color="auto" w:fill="auto"/>
            <w:vAlign w:val="bottom"/>
          </w:tcPr>
          <w:p w14:paraId="74DDE214" w14:textId="77777777" w:rsidR="00584EC1" w:rsidRDefault="00584EC1">
            <w:pPr>
              <w:rPr>
                <w:rFonts w:ascii="宋体"/>
              </w:rPr>
            </w:pPr>
          </w:p>
        </w:tc>
        <w:tc>
          <w:tcPr>
            <w:tcW w:w="1458" w:type="pct"/>
            <w:shd w:val="clear" w:color="auto" w:fill="auto"/>
            <w:vAlign w:val="bottom"/>
          </w:tcPr>
          <w:p w14:paraId="74DDE215" w14:textId="77777777" w:rsidR="00584EC1" w:rsidRDefault="00584EC1">
            <w:pPr>
              <w:rPr>
                <w:rFonts w:ascii="宋体"/>
              </w:rPr>
            </w:pPr>
          </w:p>
        </w:tc>
        <w:tc>
          <w:tcPr>
            <w:tcW w:w="5" w:type="pct"/>
            <w:shd w:val="clear" w:color="auto" w:fill="auto"/>
            <w:vAlign w:val="bottom"/>
          </w:tcPr>
          <w:p w14:paraId="74DDE216" w14:textId="77777777" w:rsidR="00584EC1" w:rsidRDefault="00584EC1">
            <w:pPr>
              <w:rPr>
                <w:rFonts w:ascii="宋体"/>
              </w:rPr>
            </w:pPr>
          </w:p>
        </w:tc>
        <w:tc>
          <w:tcPr>
            <w:tcW w:w="50" w:type="pct"/>
            <w:shd w:val="clear" w:color="auto" w:fill="auto"/>
            <w:vAlign w:val="bottom"/>
          </w:tcPr>
          <w:p w14:paraId="74DDE217" w14:textId="77777777" w:rsidR="00584EC1" w:rsidRDefault="00584EC1">
            <w:pPr>
              <w:rPr>
                <w:rFonts w:ascii="宋体"/>
              </w:rPr>
            </w:pPr>
          </w:p>
        </w:tc>
        <w:tc>
          <w:tcPr>
            <w:tcW w:w="317" w:type="pct"/>
            <w:shd w:val="clear" w:color="auto" w:fill="auto"/>
            <w:vAlign w:val="bottom"/>
          </w:tcPr>
          <w:p w14:paraId="74DDE218" w14:textId="77777777" w:rsidR="00584EC1" w:rsidRDefault="00584EC1">
            <w:pPr>
              <w:rPr>
                <w:rFonts w:ascii="宋体"/>
              </w:rPr>
            </w:pPr>
          </w:p>
        </w:tc>
        <w:tc>
          <w:tcPr>
            <w:tcW w:w="5" w:type="pct"/>
            <w:shd w:val="clear" w:color="auto" w:fill="auto"/>
            <w:vAlign w:val="bottom"/>
          </w:tcPr>
          <w:p w14:paraId="74DDE219" w14:textId="77777777" w:rsidR="00584EC1" w:rsidRDefault="00584EC1">
            <w:pPr>
              <w:rPr>
                <w:rFonts w:ascii="宋体"/>
              </w:rPr>
            </w:pPr>
          </w:p>
        </w:tc>
        <w:tc>
          <w:tcPr>
            <w:tcW w:w="5" w:type="pct"/>
            <w:shd w:val="clear" w:color="auto" w:fill="auto"/>
            <w:vAlign w:val="bottom"/>
          </w:tcPr>
          <w:p w14:paraId="74DDE21A" w14:textId="77777777" w:rsidR="00584EC1" w:rsidRDefault="00584EC1">
            <w:pPr>
              <w:rPr>
                <w:rFonts w:ascii="宋体"/>
              </w:rPr>
            </w:pPr>
          </w:p>
        </w:tc>
        <w:tc>
          <w:tcPr>
            <w:tcW w:w="26" w:type="pct"/>
            <w:shd w:val="clear" w:color="auto" w:fill="auto"/>
            <w:vAlign w:val="bottom"/>
          </w:tcPr>
          <w:p w14:paraId="74DDE21B" w14:textId="77777777" w:rsidR="00584EC1" w:rsidRDefault="00584EC1">
            <w:pPr>
              <w:rPr>
                <w:rFonts w:ascii="宋体"/>
              </w:rPr>
            </w:pPr>
          </w:p>
        </w:tc>
        <w:tc>
          <w:tcPr>
            <w:tcW w:w="5" w:type="pct"/>
            <w:shd w:val="clear" w:color="auto" w:fill="auto"/>
            <w:vAlign w:val="bottom"/>
          </w:tcPr>
          <w:p w14:paraId="74DDE21C" w14:textId="77777777" w:rsidR="00584EC1" w:rsidRDefault="00584EC1">
            <w:pPr>
              <w:rPr>
                <w:rFonts w:ascii="宋体"/>
              </w:rPr>
            </w:pPr>
          </w:p>
        </w:tc>
        <w:tc>
          <w:tcPr>
            <w:tcW w:w="50" w:type="pct"/>
            <w:shd w:val="clear" w:color="auto" w:fill="auto"/>
            <w:vAlign w:val="bottom"/>
          </w:tcPr>
          <w:p w14:paraId="74DDE21D" w14:textId="77777777" w:rsidR="00584EC1" w:rsidRDefault="00584EC1">
            <w:pPr>
              <w:rPr>
                <w:rFonts w:ascii="宋体"/>
              </w:rPr>
            </w:pPr>
          </w:p>
        </w:tc>
        <w:tc>
          <w:tcPr>
            <w:tcW w:w="317" w:type="pct"/>
            <w:shd w:val="clear" w:color="auto" w:fill="auto"/>
            <w:vAlign w:val="bottom"/>
          </w:tcPr>
          <w:p w14:paraId="74DDE21E" w14:textId="77777777" w:rsidR="00584EC1" w:rsidRDefault="00584EC1">
            <w:pPr>
              <w:rPr>
                <w:rFonts w:ascii="宋体"/>
              </w:rPr>
            </w:pPr>
          </w:p>
        </w:tc>
        <w:tc>
          <w:tcPr>
            <w:tcW w:w="5" w:type="pct"/>
            <w:shd w:val="clear" w:color="auto" w:fill="auto"/>
            <w:vAlign w:val="bottom"/>
          </w:tcPr>
          <w:p w14:paraId="74DDE21F" w14:textId="77777777" w:rsidR="00584EC1" w:rsidRDefault="00584EC1">
            <w:pPr>
              <w:rPr>
                <w:rFonts w:ascii="宋体"/>
              </w:rPr>
            </w:pPr>
          </w:p>
        </w:tc>
        <w:tc>
          <w:tcPr>
            <w:tcW w:w="5" w:type="pct"/>
            <w:shd w:val="clear" w:color="auto" w:fill="auto"/>
            <w:vAlign w:val="bottom"/>
          </w:tcPr>
          <w:p w14:paraId="74DDE220" w14:textId="77777777" w:rsidR="00584EC1" w:rsidRDefault="00584EC1">
            <w:pPr>
              <w:rPr>
                <w:rFonts w:ascii="宋体"/>
              </w:rPr>
            </w:pPr>
          </w:p>
        </w:tc>
        <w:tc>
          <w:tcPr>
            <w:tcW w:w="26" w:type="pct"/>
            <w:shd w:val="clear" w:color="auto" w:fill="auto"/>
            <w:vAlign w:val="bottom"/>
          </w:tcPr>
          <w:p w14:paraId="74DDE221" w14:textId="77777777" w:rsidR="00584EC1" w:rsidRDefault="00584EC1">
            <w:pPr>
              <w:rPr>
                <w:rFonts w:ascii="宋体"/>
              </w:rPr>
            </w:pPr>
          </w:p>
        </w:tc>
        <w:tc>
          <w:tcPr>
            <w:tcW w:w="5" w:type="pct"/>
            <w:shd w:val="clear" w:color="auto" w:fill="auto"/>
            <w:vAlign w:val="bottom"/>
          </w:tcPr>
          <w:p w14:paraId="74DDE222" w14:textId="77777777" w:rsidR="00584EC1" w:rsidRDefault="00584EC1">
            <w:pPr>
              <w:rPr>
                <w:rFonts w:ascii="宋体"/>
              </w:rPr>
            </w:pPr>
          </w:p>
        </w:tc>
        <w:tc>
          <w:tcPr>
            <w:tcW w:w="50" w:type="pct"/>
            <w:shd w:val="clear" w:color="auto" w:fill="auto"/>
            <w:vAlign w:val="bottom"/>
          </w:tcPr>
          <w:p w14:paraId="74DDE223" w14:textId="77777777" w:rsidR="00584EC1" w:rsidRDefault="00584EC1">
            <w:pPr>
              <w:rPr>
                <w:rFonts w:ascii="宋体"/>
              </w:rPr>
            </w:pPr>
          </w:p>
        </w:tc>
        <w:tc>
          <w:tcPr>
            <w:tcW w:w="317" w:type="pct"/>
            <w:shd w:val="clear" w:color="auto" w:fill="auto"/>
            <w:vAlign w:val="bottom"/>
          </w:tcPr>
          <w:p w14:paraId="74DDE224" w14:textId="77777777" w:rsidR="00584EC1" w:rsidRDefault="00584EC1">
            <w:pPr>
              <w:rPr>
                <w:rFonts w:ascii="宋体"/>
              </w:rPr>
            </w:pPr>
          </w:p>
        </w:tc>
        <w:tc>
          <w:tcPr>
            <w:tcW w:w="5" w:type="pct"/>
            <w:shd w:val="clear" w:color="auto" w:fill="auto"/>
            <w:vAlign w:val="bottom"/>
          </w:tcPr>
          <w:p w14:paraId="74DDE225" w14:textId="77777777" w:rsidR="00584EC1" w:rsidRDefault="00584EC1">
            <w:pPr>
              <w:rPr>
                <w:rFonts w:ascii="宋体"/>
              </w:rPr>
            </w:pPr>
          </w:p>
        </w:tc>
        <w:tc>
          <w:tcPr>
            <w:tcW w:w="5" w:type="pct"/>
            <w:shd w:val="clear" w:color="auto" w:fill="auto"/>
            <w:vAlign w:val="bottom"/>
          </w:tcPr>
          <w:p w14:paraId="74DDE226" w14:textId="77777777" w:rsidR="00584EC1" w:rsidRDefault="00584EC1">
            <w:pPr>
              <w:rPr>
                <w:rFonts w:ascii="宋体"/>
              </w:rPr>
            </w:pPr>
          </w:p>
        </w:tc>
        <w:tc>
          <w:tcPr>
            <w:tcW w:w="26" w:type="pct"/>
            <w:shd w:val="clear" w:color="auto" w:fill="auto"/>
            <w:vAlign w:val="bottom"/>
          </w:tcPr>
          <w:p w14:paraId="74DDE227" w14:textId="77777777" w:rsidR="00584EC1" w:rsidRDefault="00584EC1">
            <w:pPr>
              <w:rPr>
                <w:rFonts w:ascii="宋体"/>
              </w:rPr>
            </w:pPr>
          </w:p>
        </w:tc>
        <w:tc>
          <w:tcPr>
            <w:tcW w:w="5" w:type="pct"/>
            <w:shd w:val="clear" w:color="auto" w:fill="auto"/>
            <w:vAlign w:val="bottom"/>
          </w:tcPr>
          <w:p w14:paraId="74DDE228" w14:textId="77777777" w:rsidR="00584EC1" w:rsidRDefault="00584EC1">
            <w:pPr>
              <w:rPr>
                <w:rFonts w:ascii="宋体"/>
              </w:rPr>
            </w:pPr>
          </w:p>
        </w:tc>
        <w:tc>
          <w:tcPr>
            <w:tcW w:w="50" w:type="pct"/>
            <w:shd w:val="clear" w:color="auto" w:fill="auto"/>
            <w:vAlign w:val="bottom"/>
          </w:tcPr>
          <w:p w14:paraId="74DDE229" w14:textId="77777777" w:rsidR="00584EC1" w:rsidRDefault="00584EC1">
            <w:pPr>
              <w:rPr>
                <w:rFonts w:ascii="宋体"/>
              </w:rPr>
            </w:pPr>
          </w:p>
        </w:tc>
        <w:tc>
          <w:tcPr>
            <w:tcW w:w="317" w:type="pct"/>
            <w:shd w:val="clear" w:color="auto" w:fill="auto"/>
            <w:vAlign w:val="bottom"/>
          </w:tcPr>
          <w:p w14:paraId="74DDE22A" w14:textId="77777777" w:rsidR="00584EC1" w:rsidRDefault="00584EC1">
            <w:pPr>
              <w:rPr>
                <w:rFonts w:ascii="宋体"/>
              </w:rPr>
            </w:pPr>
          </w:p>
        </w:tc>
        <w:tc>
          <w:tcPr>
            <w:tcW w:w="5" w:type="pct"/>
            <w:shd w:val="clear" w:color="auto" w:fill="auto"/>
            <w:vAlign w:val="bottom"/>
          </w:tcPr>
          <w:p w14:paraId="74DDE22B" w14:textId="77777777" w:rsidR="00584EC1" w:rsidRDefault="00584EC1">
            <w:pPr>
              <w:rPr>
                <w:rFonts w:ascii="宋体"/>
              </w:rPr>
            </w:pPr>
          </w:p>
        </w:tc>
        <w:tc>
          <w:tcPr>
            <w:tcW w:w="5" w:type="pct"/>
            <w:shd w:val="clear" w:color="auto" w:fill="auto"/>
            <w:vAlign w:val="bottom"/>
          </w:tcPr>
          <w:p w14:paraId="74DDE22C" w14:textId="77777777" w:rsidR="00584EC1" w:rsidRDefault="00584EC1">
            <w:pPr>
              <w:rPr>
                <w:rFonts w:ascii="宋体"/>
              </w:rPr>
            </w:pPr>
          </w:p>
        </w:tc>
        <w:tc>
          <w:tcPr>
            <w:tcW w:w="26" w:type="pct"/>
            <w:shd w:val="clear" w:color="auto" w:fill="auto"/>
            <w:vAlign w:val="bottom"/>
          </w:tcPr>
          <w:p w14:paraId="74DDE22D" w14:textId="77777777" w:rsidR="00584EC1" w:rsidRDefault="00584EC1">
            <w:pPr>
              <w:rPr>
                <w:rFonts w:ascii="宋体"/>
              </w:rPr>
            </w:pPr>
          </w:p>
        </w:tc>
        <w:tc>
          <w:tcPr>
            <w:tcW w:w="5" w:type="pct"/>
            <w:shd w:val="clear" w:color="auto" w:fill="auto"/>
            <w:vAlign w:val="bottom"/>
          </w:tcPr>
          <w:p w14:paraId="74DDE22E" w14:textId="77777777" w:rsidR="00584EC1" w:rsidRDefault="00584EC1">
            <w:pPr>
              <w:rPr>
                <w:rFonts w:ascii="宋体"/>
              </w:rPr>
            </w:pPr>
          </w:p>
        </w:tc>
        <w:tc>
          <w:tcPr>
            <w:tcW w:w="50" w:type="pct"/>
            <w:shd w:val="clear" w:color="auto" w:fill="auto"/>
            <w:vAlign w:val="bottom"/>
          </w:tcPr>
          <w:p w14:paraId="74DDE22F" w14:textId="77777777" w:rsidR="00584EC1" w:rsidRDefault="00584EC1">
            <w:pPr>
              <w:rPr>
                <w:rFonts w:ascii="宋体"/>
              </w:rPr>
            </w:pPr>
          </w:p>
        </w:tc>
        <w:tc>
          <w:tcPr>
            <w:tcW w:w="317" w:type="pct"/>
            <w:shd w:val="clear" w:color="auto" w:fill="auto"/>
            <w:vAlign w:val="bottom"/>
          </w:tcPr>
          <w:p w14:paraId="74DDE230" w14:textId="77777777" w:rsidR="00584EC1" w:rsidRDefault="00584EC1">
            <w:pPr>
              <w:rPr>
                <w:rFonts w:ascii="宋体"/>
              </w:rPr>
            </w:pPr>
          </w:p>
        </w:tc>
        <w:tc>
          <w:tcPr>
            <w:tcW w:w="5" w:type="pct"/>
            <w:shd w:val="clear" w:color="auto" w:fill="auto"/>
            <w:vAlign w:val="bottom"/>
          </w:tcPr>
          <w:p w14:paraId="74DDE231" w14:textId="77777777" w:rsidR="00584EC1" w:rsidRDefault="00584EC1">
            <w:pPr>
              <w:rPr>
                <w:rFonts w:ascii="宋体"/>
              </w:rPr>
            </w:pPr>
          </w:p>
        </w:tc>
        <w:tc>
          <w:tcPr>
            <w:tcW w:w="5" w:type="pct"/>
            <w:shd w:val="clear" w:color="auto" w:fill="auto"/>
            <w:vAlign w:val="bottom"/>
          </w:tcPr>
          <w:p w14:paraId="74DDE232" w14:textId="77777777" w:rsidR="00584EC1" w:rsidRDefault="00584EC1">
            <w:pPr>
              <w:rPr>
                <w:rFonts w:ascii="宋体"/>
              </w:rPr>
            </w:pPr>
          </w:p>
        </w:tc>
        <w:tc>
          <w:tcPr>
            <w:tcW w:w="26" w:type="pct"/>
            <w:shd w:val="clear" w:color="auto" w:fill="auto"/>
            <w:vAlign w:val="bottom"/>
          </w:tcPr>
          <w:p w14:paraId="74DDE233" w14:textId="77777777" w:rsidR="00584EC1" w:rsidRDefault="00584EC1">
            <w:pPr>
              <w:rPr>
                <w:rFonts w:ascii="宋体"/>
              </w:rPr>
            </w:pPr>
          </w:p>
        </w:tc>
        <w:tc>
          <w:tcPr>
            <w:tcW w:w="5" w:type="pct"/>
            <w:shd w:val="clear" w:color="auto" w:fill="auto"/>
            <w:vAlign w:val="bottom"/>
          </w:tcPr>
          <w:p w14:paraId="74DDE234" w14:textId="77777777" w:rsidR="00584EC1" w:rsidRDefault="00584EC1">
            <w:pPr>
              <w:rPr>
                <w:rFonts w:ascii="宋体"/>
              </w:rPr>
            </w:pPr>
          </w:p>
        </w:tc>
        <w:tc>
          <w:tcPr>
            <w:tcW w:w="0" w:type="auto"/>
            <w:shd w:val="clear" w:color="auto" w:fill="auto"/>
            <w:vAlign w:val="bottom"/>
          </w:tcPr>
          <w:p w14:paraId="74DDE235" w14:textId="77777777" w:rsidR="00584EC1" w:rsidRDefault="00584EC1">
            <w:pPr>
              <w:rPr>
                <w:rFonts w:ascii="宋体"/>
                <w:vanish/>
              </w:rPr>
            </w:pPr>
          </w:p>
        </w:tc>
        <w:tc>
          <w:tcPr>
            <w:tcW w:w="0" w:type="auto"/>
            <w:shd w:val="clear" w:color="auto" w:fill="auto"/>
            <w:vAlign w:val="bottom"/>
          </w:tcPr>
          <w:p w14:paraId="74DDE236" w14:textId="77777777" w:rsidR="00584EC1" w:rsidRDefault="00584EC1">
            <w:pPr>
              <w:rPr>
                <w:rFonts w:ascii="宋体"/>
                <w:vanish/>
              </w:rPr>
            </w:pPr>
          </w:p>
        </w:tc>
        <w:tc>
          <w:tcPr>
            <w:tcW w:w="50" w:type="pct"/>
            <w:shd w:val="clear" w:color="auto" w:fill="auto"/>
            <w:vAlign w:val="bottom"/>
          </w:tcPr>
          <w:p w14:paraId="74DDE237" w14:textId="77777777" w:rsidR="00584EC1" w:rsidRDefault="00584EC1">
            <w:pPr>
              <w:rPr>
                <w:rFonts w:ascii="宋体"/>
              </w:rPr>
            </w:pPr>
          </w:p>
        </w:tc>
        <w:tc>
          <w:tcPr>
            <w:tcW w:w="317" w:type="pct"/>
            <w:shd w:val="clear" w:color="auto" w:fill="auto"/>
            <w:vAlign w:val="bottom"/>
          </w:tcPr>
          <w:p w14:paraId="74DDE238" w14:textId="77777777" w:rsidR="00584EC1" w:rsidRDefault="00584EC1">
            <w:pPr>
              <w:rPr>
                <w:rFonts w:ascii="宋体"/>
              </w:rPr>
            </w:pPr>
          </w:p>
        </w:tc>
        <w:tc>
          <w:tcPr>
            <w:tcW w:w="5" w:type="pct"/>
            <w:shd w:val="clear" w:color="auto" w:fill="auto"/>
            <w:vAlign w:val="bottom"/>
          </w:tcPr>
          <w:p w14:paraId="74DDE239" w14:textId="77777777" w:rsidR="00584EC1" w:rsidRDefault="00584EC1">
            <w:pPr>
              <w:rPr>
                <w:rFonts w:ascii="宋体"/>
              </w:rPr>
            </w:pPr>
          </w:p>
        </w:tc>
        <w:tc>
          <w:tcPr>
            <w:tcW w:w="5" w:type="pct"/>
            <w:shd w:val="clear" w:color="auto" w:fill="auto"/>
            <w:vAlign w:val="bottom"/>
          </w:tcPr>
          <w:p w14:paraId="74DDE23A" w14:textId="77777777" w:rsidR="00584EC1" w:rsidRDefault="00584EC1">
            <w:pPr>
              <w:rPr>
                <w:rFonts w:ascii="宋体"/>
              </w:rPr>
            </w:pPr>
          </w:p>
        </w:tc>
        <w:tc>
          <w:tcPr>
            <w:tcW w:w="26" w:type="pct"/>
            <w:shd w:val="clear" w:color="auto" w:fill="auto"/>
            <w:vAlign w:val="bottom"/>
          </w:tcPr>
          <w:p w14:paraId="74DDE23B" w14:textId="77777777" w:rsidR="00584EC1" w:rsidRDefault="00584EC1">
            <w:pPr>
              <w:rPr>
                <w:rFonts w:ascii="宋体"/>
              </w:rPr>
            </w:pPr>
          </w:p>
        </w:tc>
        <w:tc>
          <w:tcPr>
            <w:tcW w:w="5" w:type="pct"/>
            <w:shd w:val="clear" w:color="auto" w:fill="auto"/>
            <w:vAlign w:val="bottom"/>
          </w:tcPr>
          <w:p w14:paraId="74DDE23C" w14:textId="77777777" w:rsidR="00584EC1" w:rsidRDefault="00584EC1">
            <w:pPr>
              <w:rPr>
                <w:rFonts w:ascii="宋体"/>
              </w:rPr>
            </w:pPr>
          </w:p>
        </w:tc>
        <w:tc>
          <w:tcPr>
            <w:tcW w:w="50" w:type="pct"/>
            <w:shd w:val="clear" w:color="auto" w:fill="auto"/>
            <w:vAlign w:val="bottom"/>
          </w:tcPr>
          <w:p w14:paraId="74DDE23D" w14:textId="77777777" w:rsidR="00584EC1" w:rsidRDefault="00584EC1">
            <w:pPr>
              <w:rPr>
                <w:rFonts w:ascii="宋体"/>
              </w:rPr>
            </w:pPr>
          </w:p>
        </w:tc>
        <w:tc>
          <w:tcPr>
            <w:tcW w:w="566" w:type="pct"/>
            <w:shd w:val="clear" w:color="auto" w:fill="auto"/>
            <w:vAlign w:val="bottom"/>
          </w:tcPr>
          <w:p w14:paraId="74DDE23E" w14:textId="77777777" w:rsidR="00584EC1" w:rsidRDefault="00584EC1">
            <w:pPr>
              <w:rPr>
                <w:rFonts w:ascii="宋体"/>
              </w:rPr>
            </w:pPr>
          </w:p>
        </w:tc>
        <w:tc>
          <w:tcPr>
            <w:tcW w:w="5" w:type="pct"/>
            <w:shd w:val="clear" w:color="auto" w:fill="auto"/>
            <w:vAlign w:val="bottom"/>
          </w:tcPr>
          <w:p w14:paraId="74DDE23F" w14:textId="77777777" w:rsidR="00584EC1" w:rsidRDefault="00584EC1">
            <w:pPr>
              <w:rPr>
                <w:rFonts w:ascii="宋体"/>
              </w:rPr>
            </w:pPr>
          </w:p>
        </w:tc>
        <w:tc>
          <w:tcPr>
            <w:tcW w:w="5" w:type="pct"/>
            <w:shd w:val="clear" w:color="auto" w:fill="auto"/>
            <w:vAlign w:val="bottom"/>
          </w:tcPr>
          <w:p w14:paraId="74DDE240" w14:textId="77777777" w:rsidR="00584EC1" w:rsidRDefault="00584EC1">
            <w:pPr>
              <w:rPr>
                <w:rFonts w:ascii="宋体"/>
              </w:rPr>
            </w:pPr>
          </w:p>
        </w:tc>
        <w:tc>
          <w:tcPr>
            <w:tcW w:w="26" w:type="pct"/>
            <w:shd w:val="clear" w:color="auto" w:fill="auto"/>
            <w:vAlign w:val="bottom"/>
          </w:tcPr>
          <w:p w14:paraId="74DDE241" w14:textId="77777777" w:rsidR="00584EC1" w:rsidRDefault="00584EC1">
            <w:pPr>
              <w:rPr>
                <w:rFonts w:ascii="宋体"/>
              </w:rPr>
            </w:pPr>
          </w:p>
        </w:tc>
        <w:tc>
          <w:tcPr>
            <w:tcW w:w="5" w:type="pct"/>
            <w:shd w:val="clear" w:color="auto" w:fill="auto"/>
            <w:vAlign w:val="bottom"/>
          </w:tcPr>
          <w:p w14:paraId="74DDE242" w14:textId="77777777" w:rsidR="00584EC1" w:rsidRDefault="00584EC1">
            <w:pPr>
              <w:rPr>
                <w:rFonts w:ascii="宋体"/>
              </w:rPr>
            </w:pPr>
          </w:p>
        </w:tc>
        <w:tc>
          <w:tcPr>
            <w:tcW w:w="50" w:type="pct"/>
            <w:shd w:val="clear" w:color="auto" w:fill="auto"/>
            <w:vAlign w:val="bottom"/>
          </w:tcPr>
          <w:p w14:paraId="74DDE243" w14:textId="77777777" w:rsidR="00584EC1" w:rsidRDefault="00584EC1">
            <w:pPr>
              <w:rPr>
                <w:rFonts w:ascii="宋体"/>
              </w:rPr>
            </w:pPr>
          </w:p>
        </w:tc>
        <w:tc>
          <w:tcPr>
            <w:tcW w:w="318" w:type="pct"/>
            <w:shd w:val="clear" w:color="auto" w:fill="auto"/>
            <w:vAlign w:val="bottom"/>
          </w:tcPr>
          <w:p w14:paraId="74DDE244" w14:textId="77777777" w:rsidR="00584EC1" w:rsidRDefault="00584EC1">
            <w:pPr>
              <w:rPr>
                <w:rFonts w:ascii="宋体"/>
              </w:rPr>
            </w:pPr>
          </w:p>
        </w:tc>
        <w:tc>
          <w:tcPr>
            <w:tcW w:w="5" w:type="pct"/>
            <w:shd w:val="clear" w:color="auto" w:fill="auto"/>
            <w:vAlign w:val="bottom"/>
          </w:tcPr>
          <w:p w14:paraId="74DDE245" w14:textId="77777777" w:rsidR="00584EC1" w:rsidRDefault="00584EC1">
            <w:pPr>
              <w:rPr>
                <w:rFonts w:ascii="宋体"/>
              </w:rPr>
            </w:pPr>
          </w:p>
        </w:tc>
      </w:tr>
      <w:tr w:rsidR="00584EC1" w14:paraId="74DDE259" w14:textId="77777777">
        <w:tc>
          <w:tcPr>
            <w:tcW w:w="0" w:type="auto"/>
            <w:gridSpan w:val="3"/>
            <w:shd w:val="clear" w:color="auto" w:fill="auto"/>
            <w:tcMar>
              <w:top w:w="40" w:type="dxa"/>
              <w:left w:w="20" w:type="dxa"/>
              <w:bottom w:w="40" w:type="dxa"/>
              <w:right w:w="20" w:type="dxa"/>
            </w:tcMar>
            <w:vAlign w:val="bottom"/>
          </w:tcPr>
          <w:p w14:paraId="74DDE247" w14:textId="77777777" w:rsidR="00584EC1" w:rsidRDefault="00871F8D">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74DDE248" w14:textId="77777777" w:rsidR="00584EC1" w:rsidRDefault="00871F8D">
            <w:pPr>
              <w:jc w:val="center"/>
              <w:textAlignment w:val="bottom"/>
            </w:pPr>
            <w:r>
              <w:rPr>
                <w:rFonts w:ascii="Arial" w:eastAsia="宋体" w:hAnsi="Arial" w:cs="Arial"/>
                <w:b/>
                <w:bCs/>
                <w:color w:val="000000"/>
                <w:sz w:val="14"/>
                <w:szCs w:val="14"/>
              </w:rPr>
              <w:t>2021</w:t>
            </w:r>
          </w:p>
        </w:tc>
        <w:tc>
          <w:tcPr>
            <w:tcW w:w="0" w:type="auto"/>
            <w:gridSpan w:val="3"/>
            <w:shd w:val="clear" w:color="auto" w:fill="auto"/>
            <w:tcMar>
              <w:top w:w="0" w:type="dxa"/>
              <w:left w:w="20" w:type="dxa"/>
              <w:bottom w:w="0" w:type="dxa"/>
              <w:right w:w="20" w:type="dxa"/>
            </w:tcMar>
            <w:vAlign w:val="bottom"/>
          </w:tcPr>
          <w:p w14:paraId="74DDE249"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E24A" w14:textId="77777777" w:rsidR="00584EC1" w:rsidRDefault="00871F8D">
            <w:pPr>
              <w:jc w:val="center"/>
              <w:textAlignment w:val="bottom"/>
            </w:pPr>
            <w:r>
              <w:rPr>
                <w:rFonts w:ascii="Arial" w:eastAsia="宋体" w:hAnsi="Arial" w:cs="Arial"/>
                <w:b/>
                <w:bCs/>
                <w:color w:val="000000"/>
                <w:sz w:val="14"/>
                <w:szCs w:val="14"/>
              </w:rPr>
              <w:t>2020</w:t>
            </w:r>
          </w:p>
        </w:tc>
        <w:tc>
          <w:tcPr>
            <w:tcW w:w="0" w:type="auto"/>
            <w:gridSpan w:val="3"/>
            <w:shd w:val="clear" w:color="auto" w:fill="auto"/>
            <w:tcMar>
              <w:top w:w="0" w:type="dxa"/>
              <w:left w:w="20" w:type="dxa"/>
              <w:bottom w:w="0" w:type="dxa"/>
              <w:right w:w="20" w:type="dxa"/>
            </w:tcMar>
            <w:vAlign w:val="bottom"/>
          </w:tcPr>
          <w:p w14:paraId="74DDE24B"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E24C" w14:textId="77777777" w:rsidR="00584EC1" w:rsidRDefault="00871F8D">
            <w:pPr>
              <w:jc w:val="center"/>
              <w:textAlignment w:val="bottom"/>
            </w:pPr>
            <w:r>
              <w:rPr>
                <w:rFonts w:ascii="Arial" w:eastAsia="宋体" w:hAnsi="Arial" w:cs="Arial"/>
                <w:b/>
                <w:bCs/>
                <w:color w:val="000000"/>
                <w:sz w:val="14"/>
                <w:szCs w:val="14"/>
              </w:rPr>
              <w:t>2019</w:t>
            </w:r>
          </w:p>
        </w:tc>
        <w:tc>
          <w:tcPr>
            <w:tcW w:w="0" w:type="auto"/>
            <w:gridSpan w:val="3"/>
            <w:shd w:val="clear" w:color="auto" w:fill="auto"/>
            <w:tcMar>
              <w:top w:w="0" w:type="dxa"/>
              <w:left w:w="20" w:type="dxa"/>
              <w:bottom w:w="0" w:type="dxa"/>
              <w:right w:w="20" w:type="dxa"/>
            </w:tcMar>
            <w:vAlign w:val="bottom"/>
          </w:tcPr>
          <w:p w14:paraId="74DDE24D"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E24E" w14:textId="77777777" w:rsidR="00584EC1" w:rsidRDefault="00871F8D">
            <w:pPr>
              <w:jc w:val="center"/>
              <w:textAlignment w:val="bottom"/>
            </w:pPr>
            <w:r>
              <w:rPr>
                <w:rFonts w:ascii="Arial" w:eastAsia="宋体" w:hAnsi="Arial" w:cs="Arial"/>
                <w:b/>
                <w:bCs/>
                <w:color w:val="000000"/>
                <w:sz w:val="14"/>
                <w:szCs w:val="14"/>
              </w:rPr>
              <w:t>2018</w:t>
            </w:r>
          </w:p>
        </w:tc>
        <w:tc>
          <w:tcPr>
            <w:tcW w:w="0" w:type="auto"/>
            <w:gridSpan w:val="3"/>
            <w:shd w:val="clear" w:color="auto" w:fill="auto"/>
            <w:tcMar>
              <w:top w:w="0" w:type="dxa"/>
              <w:left w:w="20" w:type="dxa"/>
              <w:bottom w:w="0" w:type="dxa"/>
              <w:right w:w="20" w:type="dxa"/>
            </w:tcMar>
            <w:vAlign w:val="bottom"/>
          </w:tcPr>
          <w:p w14:paraId="74DDE24F"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E250" w14:textId="77777777" w:rsidR="00584EC1" w:rsidRDefault="00871F8D">
            <w:pPr>
              <w:jc w:val="center"/>
              <w:textAlignment w:val="bottom"/>
            </w:pPr>
            <w:r>
              <w:rPr>
                <w:rFonts w:ascii="Arial" w:eastAsia="宋体" w:hAnsi="Arial" w:cs="Arial"/>
                <w:b/>
                <w:bCs/>
                <w:color w:val="000000"/>
                <w:sz w:val="14"/>
                <w:szCs w:val="14"/>
              </w:rPr>
              <w:t>2017</w:t>
            </w:r>
          </w:p>
        </w:tc>
        <w:tc>
          <w:tcPr>
            <w:tcW w:w="0" w:type="auto"/>
            <w:gridSpan w:val="3"/>
            <w:shd w:val="clear" w:color="auto" w:fill="auto"/>
            <w:tcMar>
              <w:top w:w="0" w:type="dxa"/>
              <w:left w:w="20" w:type="dxa"/>
              <w:bottom w:w="0" w:type="dxa"/>
              <w:right w:w="20" w:type="dxa"/>
            </w:tcMar>
            <w:vAlign w:val="bottom"/>
          </w:tcPr>
          <w:p w14:paraId="74DDE251" w14:textId="77777777" w:rsidR="00584EC1" w:rsidRDefault="00584EC1">
            <w:pPr>
              <w:rPr>
                <w:rFonts w:ascii="宋体"/>
              </w:rPr>
            </w:pPr>
          </w:p>
        </w:tc>
        <w:tc>
          <w:tcPr>
            <w:tcW w:w="0" w:type="auto"/>
            <w:shd w:val="clear" w:color="auto" w:fill="auto"/>
            <w:vAlign w:val="bottom"/>
          </w:tcPr>
          <w:p w14:paraId="74DDE252" w14:textId="77777777" w:rsidR="00584EC1" w:rsidRDefault="00584EC1">
            <w:pPr>
              <w:rPr>
                <w:rFonts w:ascii="宋体"/>
                <w:vanish/>
              </w:rPr>
            </w:pPr>
          </w:p>
        </w:tc>
        <w:tc>
          <w:tcPr>
            <w:tcW w:w="0" w:type="auto"/>
            <w:shd w:val="clear" w:color="auto" w:fill="auto"/>
            <w:vAlign w:val="bottom"/>
          </w:tcPr>
          <w:p w14:paraId="74DDE253" w14:textId="77777777" w:rsidR="00584EC1" w:rsidRDefault="00584EC1">
            <w:pPr>
              <w:rPr>
                <w:rFonts w:ascii="宋体"/>
                <w:vanish/>
              </w:rPr>
            </w:pPr>
          </w:p>
        </w:tc>
        <w:tc>
          <w:tcPr>
            <w:tcW w:w="0" w:type="auto"/>
            <w:gridSpan w:val="3"/>
            <w:shd w:val="clear" w:color="auto" w:fill="auto"/>
            <w:tcMar>
              <w:top w:w="40" w:type="dxa"/>
              <w:left w:w="20" w:type="dxa"/>
              <w:bottom w:w="40" w:type="dxa"/>
              <w:right w:w="20" w:type="dxa"/>
            </w:tcMar>
            <w:vAlign w:val="bottom"/>
          </w:tcPr>
          <w:p w14:paraId="74DDE254" w14:textId="77777777" w:rsidR="00584EC1" w:rsidRDefault="00871F8D">
            <w:pPr>
              <w:jc w:val="center"/>
              <w:textAlignment w:val="bottom"/>
            </w:pPr>
            <w:r>
              <w:rPr>
                <w:rFonts w:ascii="Arial" w:eastAsia="宋体" w:hAnsi="Arial" w:cs="Arial"/>
                <w:b/>
                <w:bCs/>
                <w:color w:val="000000"/>
                <w:sz w:val="14"/>
                <w:szCs w:val="14"/>
              </w:rPr>
              <w:t>Prior</w:t>
            </w:r>
          </w:p>
        </w:tc>
        <w:tc>
          <w:tcPr>
            <w:tcW w:w="0" w:type="auto"/>
            <w:gridSpan w:val="3"/>
            <w:shd w:val="clear" w:color="auto" w:fill="auto"/>
            <w:tcMar>
              <w:top w:w="0" w:type="dxa"/>
              <w:left w:w="20" w:type="dxa"/>
              <w:bottom w:w="0" w:type="dxa"/>
              <w:right w:w="20" w:type="dxa"/>
            </w:tcMar>
            <w:vAlign w:val="bottom"/>
          </w:tcPr>
          <w:p w14:paraId="74DDE255"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E256" w14:textId="77777777" w:rsidR="00584EC1" w:rsidRDefault="00871F8D">
            <w:pPr>
              <w:jc w:val="center"/>
              <w:textAlignment w:val="bottom"/>
            </w:pPr>
            <w:r>
              <w:rPr>
                <w:rFonts w:ascii="Arial" w:eastAsia="宋体" w:hAnsi="Arial" w:cs="Arial"/>
                <w:b/>
                <w:bCs/>
                <w:color w:val="000000"/>
                <w:sz w:val="14"/>
                <w:szCs w:val="14"/>
              </w:rPr>
              <w:t>Revolving Loans</w:t>
            </w:r>
          </w:p>
        </w:tc>
        <w:tc>
          <w:tcPr>
            <w:tcW w:w="0" w:type="auto"/>
            <w:gridSpan w:val="3"/>
            <w:shd w:val="clear" w:color="auto" w:fill="auto"/>
            <w:tcMar>
              <w:top w:w="0" w:type="dxa"/>
              <w:left w:w="20" w:type="dxa"/>
              <w:bottom w:w="0" w:type="dxa"/>
              <w:right w:w="20" w:type="dxa"/>
            </w:tcMar>
            <w:vAlign w:val="bottom"/>
          </w:tcPr>
          <w:p w14:paraId="74DDE257"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E258" w14:textId="77777777" w:rsidR="00584EC1" w:rsidRDefault="00871F8D">
            <w:pPr>
              <w:jc w:val="center"/>
              <w:textAlignment w:val="bottom"/>
            </w:pPr>
            <w:r>
              <w:rPr>
                <w:rFonts w:ascii="Arial" w:eastAsia="宋体" w:hAnsi="Arial" w:cs="Arial"/>
                <w:b/>
                <w:bCs/>
                <w:color w:val="000000"/>
                <w:sz w:val="14"/>
                <w:szCs w:val="14"/>
              </w:rPr>
              <w:t>Total</w:t>
            </w:r>
            <w:r>
              <w:rPr>
                <w:rFonts w:ascii="Arial" w:eastAsia="宋体" w:hAnsi="Arial" w:cs="Arial"/>
                <w:b/>
                <w:bCs/>
                <w:color w:val="000000"/>
                <w:sz w:val="9"/>
                <w:szCs w:val="9"/>
              </w:rPr>
              <w:t>(1)</w:t>
            </w:r>
          </w:p>
        </w:tc>
      </w:tr>
      <w:tr w:rsidR="00584EC1" w14:paraId="74DDE26C" w14:textId="77777777">
        <w:tc>
          <w:tcPr>
            <w:tcW w:w="0" w:type="auto"/>
            <w:gridSpan w:val="3"/>
            <w:shd w:val="clear" w:color="auto" w:fill="auto"/>
            <w:tcMar>
              <w:top w:w="40" w:type="dxa"/>
              <w:left w:w="20" w:type="dxa"/>
              <w:bottom w:w="40" w:type="dxa"/>
              <w:right w:w="20" w:type="dxa"/>
            </w:tcMar>
            <w:vAlign w:val="bottom"/>
          </w:tcPr>
          <w:p w14:paraId="74DDE25A" w14:textId="77777777" w:rsidR="00584EC1" w:rsidRDefault="00871F8D">
            <w:pPr>
              <w:textAlignment w:val="bottom"/>
            </w:pPr>
            <w:r>
              <w:rPr>
                <w:rFonts w:ascii="Arial" w:eastAsia="宋体" w:hAnsi="Arial" w:cs="Arial"/>
                <w:color w:val="000000"/>
                <w:sz w:val="14"/>
                <w:szCs w:val="14"/>
              </w:rPr>
              <w:t>Domestic loans: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25B"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25C"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25D"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25E"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25F"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260"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26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262"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263"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264" w14:textId="77777777" w:rsidR="00584EC1" w:rsidRDefault="00584EC1">
            <w:pPr>
              <w:rPr>
                <w:rFonts w:ascii="宋体"/>
              </w:rPr>
            </w:pPr>
          </w:p>
        </w:tc>
        <w:tc>
          <w:tcPr>
            <w:tcW w:w="0" w:type="auto"/>
            <w:shd w:val="clear" w:color="auto" w:fill="auto"/>
            <w:vAlign w:val="bottom"/>
          </w:tcPr>
          <w:p w14:paraId="74DDE265" w14:textId="77777777" w:rsidR="00584EC1" w:rsidRDefault="00584EC1">
            <w:pPr>
              <w:rPr>
                <w:rFonts w:ascii="宋体"/>
                <w:vanish/>
              </w:rPr>
            </w:pPr>
          </w:p>
        </w:tc>
        <w:tc>
          <w:tcPr>
            <w:tcW w:w="0" w:type="auto"/>
            <w:shd w:val="clear" w:color="auto" w:fill="auto"/>
            <w:vAlign w:val="bottom"/>
          </w:tcPr>
          <w:p w14:paraId="74DDE266" w14:textId="77777777" w:rsidR="00584EC1" w:rsidRDefault="00584EC1">
            <w:pPr>
              <w:rPr>
                <w:rFonts w:ascii="宋体"/>
                <w:vanish/>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267"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268"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269"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26A"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26B" w14:textId="77777777" w:rsidR="00584EC1" w:rsidRDefault="00584EC1">
            <w:pPr>
              <w:rPr>
                <w:rFonts w:ascii="宋体"/>
              </w:rPr>
            </w:pPr>
          </w:p>
        </w:tc>
      </w:tr>
      <w:tr w:rsidR="00584EC1" w14:paraId="74DDE27F" w14:textId="77777777">
        <w:tc>
          <w:tcPr>
            <w:tcW w:w="0" w:type="auto"/>
            <w:gridSpan w:val="3"/>
            <w:shd w:val="clear" w:color="auto" w:fill="auto"/>
            <w:tcMar>
              <w:top w:w="40" w:type="dxa"/>
              <w:left w:w="155" w:type="dxa"/>
              <w:bottom w:w="40" w:type="dxa"/>
              <w:right w:w="20" w:type="dxa"/>
            </w:tcMar>
            <w:vAlign w:val="bottom"/>
          </w:tcPr>
          <w:p w14:paraId="74DDE26D" w14:textId="77777777" w:rsidR="00584EC1" w:rsidRDefault="00871F8D">
            <w:pPr>
              <w:textAlignment w:val="bottom"/>
            </w:pPr>
            <w:r>
              <w:rPr>
                <w:rFonts w:ascii="Arial" w:eastAsia="宋体" w:hAnsi="Arial" w:cs="Arial"/>
                <w:color w:val="000000"/>
                <w:sz w:val="14"/>
                <w:szCs w:val="14"/>
              </w:rPr>
              <w:t>Commercial and financial:</w:t>
            </w:r>
          </w:p>
        </w:tc>
        <w:tc>
          <w:tcPr>
            <w:tcW w:w="0" w:type="auto"/>
            <w:gridSpan w:val="3"/>
            <w:shd w:val="clear" w:color="auto" w:fill="auto"/>
            <w:tcMar>
              <w:top w:w="0" w:type="dxa"/>
              <w:left w:w="20" w:type="dxa"/>
              <w:bottom w:w="0" w:type="dxa"/>
              <w:right w:w="20" w:type="dxa"/>
            </w:tcMar>
            <w:vAlign w:val="bottom"/>
          </w:tcPr>
          <w:p w14:paraId="74DDE26E"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26F"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270"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27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27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273"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274"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27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276"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277" w14:textId="77777777" w:rsidR="00584EC1" w:rsidRDefault="00584EC1">
            <w:pPr>
              <w:rPr>
                <w:rFonts w:ascii="宋体"/>
              </w:rPr>
            </w:pPr>
          </w:p>
        </w:tc>
        <w:tc>
          <w:tcPr>
            <w:tcW w:w="0" w:type="auto"/>
            <w:shd w:val="clear" w:color="auto" w:fill="auto"/>
            <w:vAlign w:val="bottom"/>
          </w:tcPr>
          <w:p w14:paraId="74DDE278" w14:textId="77777777" w:rsidR="00584EC1" w:rsidRDefault="00584EC1">
            <w:pPr>
              <w:rPr>
                <w:rFonts w:ascii="宋体"/>
                <w:vanish/>
              </w:rPr>
            </w:pPr>
          </w:p>
        </w:tc>
        <w:tc>
          <w:tcPr>
            <w:tcW w:w="0" w:type="auto"/>
            <w:shd w:val="clear" w:color="auto" w:fill="auto"/>
            <w:vAlign w:val="bottom"/>
          </w:tcPr>
          <w:p w14:paraId="74DDE279" w14:textId="77777777" w:rsidR="00584EC1" w:rsidRDefault="00584EC1">
            <w:pPr>
              <w:rPr>
                <w:rFonts w:ascii="宋体"/>
                <w:vanish/>
              </w:rPr>
            </w:pPr>
          </w:p>
        </w:tc>
        <w:tc>
          <w:tcPr>
            <w:tcW w:w="0" w:type="auto"/>
            <w:gridSpan w:val="3"/>
            <w:shd w:val="clear" w:color="auto" w:fill="auto"/>
            <w:tcMar>
              <w:top w:w="0" w:type="dxa"/>
              <w:left w:w="20" w:type="dxa"/>
              <w:bottom w:w="0" w:type="dxa"/>
              <w:right w:w="20" w:type="dxa"/>
            </w:tcMar>
            <w:vAlign w:val="bottom"/>
          </w:tcPr>
          <w:p w14:paraId="74DDE27A"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27B"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27C"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27D"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27E" w14:textId="77777777" w:rsidR="00584EC1" w:rsidRDefault="00584EC1">
            <w:pPr>
              <w:rPr>
                <w:rFonts w:ascii="宋体"/>
              </w:rPr>
            </w:pPr>
          </w:p>
        </w:tc>
      </w:tr>
      <w:tr w:rsidR="00584EC1" w14:paraId="74DDE292" w14:textId="77777777">
        <w:tc>
          <w:tcPr>
            <w:tcW w:w="0" w:type="auto"/>
            <w:gridSpan w:val="3"/>
            <w:shd w:val="clear" w:color="auto" w:fill="auto"/>
            <w:tcMar>
              <w:top w:w="40" w:type="dxa"/>
              <w:left w:w="245" w:type="dxa"/>
              <w:bottom w:w="40" w:type="dxa"/>
              <w:right w:w="20" w:type="dxa"/>
            </w:tcMar>
            <w:vAlign w:val="bottom"/>
          </w:tcPr>
          <w:p w14:paraId="74DDE280" w14:textId="77777777" w:rsidR="00584EC1" w:rsidRDefault="00871F8D">
            <w:pPr>
              <w:textAlignment w:val="bottom"/>
            </w:pPr>
            <w:r>
              <w:rPr>
                <w:rFonts w:ascii="Arial" w:eastAsia="宋体" w:hAnsi="Arial" w:cs="Arial"/>
                <w:color w:val="000000"/>
                <w:sz w:val="14"/>
                <w:szCs w:val="14"/>
              </w:rPr>
              <w:t>Risk Rating:</w:t>
            </w:r>
          </w:p>
        </w:tc>
        <w:tc>
          <w:tcPr>
            <w:tcW w:w="0" w:type="auto"/>
            <w:gridSpan w:val="3"/>
            <w:shd w:val="clear" w:color="auto" w:fill="auto"/>
            <w:tcMar>
              <w:top w:w="0" w:type="dxa"/>
              <w:left w:w="20" w:type="dxa"/>
              <w:bottom w:w="0" w:type="dxa"/>
              <w:right w:w="20" w:type="dxa"/>
            </w:tcMar>
            <w:vAlign w:val="bottom"/>
          </w:tcPr>
          <w:p w14:paraId="74DDE28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28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283"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284"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28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286"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287"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288"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289"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28A" w14:textId="77777777" w:rsidR="00584EC1" w:rsidRDefault="00584EC1">
            <w:pPr>
              <w:rPr>
                <w:rFonts w:ascii="宋体"/>
              </w:rPr>
            </w:pPr>
          </w:p>
        </w:tc>
        <w:tc>
          <w:tcPr>
            <w:tcW w:w="0" w:type="auto"/>
            <w:shd w:val="clear" w:color="auto" w:fill="auto"/>
            <w:vAlign w:val="bottom"/>
          </w:tcPr>
          <w:p w14:paraId="74DDE28B" w14:textId="77777777" w:rsidR="00584EC1" w:rsidRDefault="00584EC1">
            <w:pPr>
              <w:rPr>
                <w:rFonts w:ascii="宋体"/>
                <w:vanish/>
              </w:rPr>
            </w:pPr>
          </w:p>
        </w:tc>
        <w:tc>
          <w:tcPr>
            <w:tcW w:w="0" w:type="auto"/>
            <w:shd w:val="clear" w:color="auto" w:fill="auto"/>
            <w:vAlign w:val="bottom"/>
          </w:tcPr>
          <w:p w14:paraId="74DDE28C" w14:textId="77777777" w:rsidR="00584EC1" w:rsidRDefault="00584EC1">
            <w:pPr>
              <w:rPr>
                <w:rFonts w:ascii="宋体"/>
                <w:vanish/>
              </w:rPr>
            </w:pPr>
          </w:p>
        </w:tc>
        <w:tc>
          <w:tcPr>
            <w:tcW w:w="0" w:type="auto"/>
            <w:gridSpan w:val="3"/>
            <w:shd w:val="clear" w:color="auto" w:fill="auto"/>
            <w:tcMar>
              <w:top w:w="0" w:type="dxa"/>
              <w:left w:w="20" w:type="dxa"/>
              <w:bottom w:w="0" w:type="dxa"/>
              <w:right w:w="20" w:type="dxa"/>
            </w:tcMar>
            <w:vAlign w:val="bottom"/>
          </w:tcPr>
          <w:p w14:paraId="74DDE28D"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28E"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28F"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290"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291" w14:textId="77777777" w:rsidR="00584EC1" w:rsidRDefault="00584EC1">
            <w:pPr>
              <w:rPr>
                <w:rFonts w:ascii="宋体"/>
              </w:rPr>
            </w:pPr>
          </w:p>
        </w:tc>
      </w:tr>
      <w:tr w:rsidR="00584EC1" w14:paraId="74DDE2B5" w14:textId="77777777">
        <w:tc>
          <w:tcPr>
            <w:tcW w:w="0" w:type="auto"/>
            <w:gridSpan w:val="3"/>
            <w:shd w:val="clear" w:color="auto" w:fill="CCEEFF"/>
            <w:tcMar>
              <w:top w:w="40" w:type="dxa"/>
              <w:left w:w="380" w:type="dxa"/>
              <w:bottom w:w="40" w:type="dxa"/>
              <w:right w:w="20" w:type="dxa"/>
            </w:tcMar>
            <w:vAlign w:val="bottom"/>
          </w:tcPr>
          <w:p w14:paraId="74DDE293" w14:textId="77777777" w:rsidR="00584EC1" w:rsidRDefault="00871F8D">
            <w:pPr>
              <w:textAlignment w:val="bottom"/>
            </w:pPr>
            <w:r>
              <w:rPr>
                <w:rFonts w:ascii="Arial" w:eastAsia="宋体" w:hAnsi="Arial" w:cs="Arial"/>
                <w:color w:val="000000"/>
                <w:sz w:val="14"/>
                <w:szCs w:val="14"/>
              </w:rPr>
              <w:t>Investment grade</w:t>
            </w:r>
          </w:p>
        </w:tc>
        <w:tc>
          <w:tcPr>
            <w:tcW w:w="0" w:type="auto"/>
            <w:shd w:val="clear" w:color="auto" w:fill="CCEEFF"/>
            <w:tcMar>
              <w:top w:w="40" w:type="dxa"/>
              <w:left w:w="20" w:type="dxa"/>
              <w:bottom w:w="40" w:type="dxa"/>
              <w:right w:w="0" w:type="dxa"/>
            </w:tcMar>
            <w:vAlign w:val="bottom"/>
          </w:tcPr>
          <w:p w14:paraId="74DDE294" w14:textId="77777777" w:rsidR="00584EC1" w:rsidRDefault="00871F8D">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4DDE295" w14:textId="77777777" w:rsidR="00584EC1" w:rsidRDefault="00871F8D">
            <w:pPr>
              <w:jc w:val="right"/>
              <w:textAlignment w:val="bottom"/>
            </w:pPr>
            <w:r>
              <w:rPr>
                <w:rFonts w:ascii="Arial" w:eastAsia="宋体" w:hAnsi="Arial" w:cs="Arial"/>
                <w:b/>
                <w:bCs/>
                <w:color w:val="000000"/>
                <w:sz w:val="14"/>
                <w:szCs w:val="14"/>
              </w:rPr>
              <w:t>2,696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E29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297"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E298"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E299" w14:textId="77777777" w:rsidR="00584EC1" w:rsidRDefault="00871F8D">
            <w:pPr>
              <w:jc w:val="right"/>
              <w:textAlignment w:val="bottom"/>
            </w:pPr>
            <w:r>
              <w:rPr>
                <w:rFonts w:ascii="Arial" w:eastAsia="宋体" w:hAnsi="Arial" w:cs="Arial"/>
                <w:color w:val="000000"/>
                <w:sz w:val="14"/>
                <w:szCs w:val="14"/>
              </w:rPr>
              <w:t>14 </w:t>
            </w:r>
          </w:p>
        </w:tc>
        <w:tc>
          <w:tcPr>
            <w:tcW w:w="0" w:type="auto"/>
            <w:shd w:val="clear" w:color="auto" w:fill="CCEEFF"/>
            <w:tcMar>
              <w:top w:w="40" w:type="dxa"/>
              <w:left w:w="0" w:type="dxa"/>
              <w:bottom w:w="40" w:type="dxa"/>
              <w:right w:w="20" w:type="dxa"/>
            </w:tcMar>
            <w:vAlign w:val="bottom"/>
          </w:tcPr>
          <w:p w14:paraId="74DDE29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29B"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E29C"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E29D" w14:textId="77777777" w:rsidR="00584EC1" w:rsidRDefault="00871F8D">
            <w:pPr>
              <w:jc w:val="right"/>
              <w:textAlignment w:val="bottom"/>
            </w:pPr>
            <w:r>
              <w:rPr>
                <w:rFonts w:ascii="Arial" w:eastAsia="宋体" w:hAnsi="Arial" w:cs="Arial"/>
                <w:color w:val="000000"/>
                <w:sz w:val="14"/>
                <w:szCs w:val="14"/>
              </w:rPr>
              <w:t>376 </w:t>
            </w:r>
          </w:p>
        </w:tc>
        <w:tc>
          <w:tcPr>
            <w:tcW w:w="0" w:type="auto"/>
            <w:shd w:val="clear" w:color="auto" w:fill="CCEEFF"/>
            <w:tcMar>
              <w:top w:w="40" w:type="dxa"/>
              <w:left w:w="0" w:type="dxa"/>
              <w:bottom w:w="40" w:type="dxa"/>
              <w:right w:w="20" w:type="dxa"/>
            </w:tcMar>
            <w:vAlign w:val="bottom"/>
          </w:tcPr>
          <w:p w14:paraId="74DDE29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29F"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E2A0"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E2A1" w14:textId="77777777" w:rsidR="00584EC1" w:rsidRDefault="00871F8D">
            <w:pPr>
              <w:jc w:val="right"/>
              <w:textAlignment w:val="bottom"/>
            </w:pPr>
            <w:r>
              <w:rPr>
                <w:rFonts w:ascii="Arial" w:eastAsia="宋体" w:hAnsi="Arial" w:cs="Arial"/>
                <w:color w:val="000000"/>
                <w:sz w:val="14"/>
                <w:szCs w:val="14"/>
              </w:rPr>
              <w:t>2 </w:t>
            </w:r>
          </w:p>
        </w:tc>
        <w:tc>
          <w:tcPr>
            <w:tcW w:w="0" w:type="auto"/>
            <w:shd w:val="clear" w:color="auto" w:fill="CCEEFF"/>
            <w:tcMar>
              <w:top w:w="40" w:type="dxa"/>
              <w:left w:w="0" w:type="dxa"/>
              <w:bottom w:w="40" w:type="dxa"/>
              <w:right w:w="20" w:type="dxa"/>
            </w:tcMar>
            <w:vAlign w:val="bottom"/>
          </w:tcPr>
          <w:p w14:paraId="74DDE2A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2A3"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E2A4"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E2A5" w14:textId="77777777" w:rsidR="00584EC1" w:rsidRDefault="00871F8D">
            <w:pPr>
              <w:jc w:val="right"/>
              <w:textAlignment w:val="bottom"/>
            </w:pPr>
            <w:r>
              <w:rPr>
                <w:rFonts w:ascii="Arial" w:eastAsia="宋体" w:hAnsi="Arial" w:cs="Arial"/>
                <w:color w:val="000000"/>
                <w:sz w:val="14"/>
                <w:szCs w:val="14"/>
              </w:rPr>
              <w:t>135 </w:t>
            </w:r>
          </w:p>
        </w:tc>
        <w:tc>
          <w:tcPr>
            <w:tcW w:w="0" w:type="auto"/>
            <w:shd w:val="clear" w:color="auto" w:fill="CCEEFF"/>
            <w:tcMar>
              <w:top w:w="40" w:type="dxa"/>
              <w:left w:w="0" w:type="dxa"/>
              <w:bottom w:w="40" w:type="dxa"/>
              <w:right w:w="20" w:type="dxa"/>
            </w:tcMar>
            <w:vAlign w:val="bottom"/>
          </w:tcPr>
          <w:p w14:paraId="74DDE2A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2A7" w14:textId="77777777" w:rsidR="00584EC1" w:rsidRDefault="00584EC1">
            <w:pPr>
              <w:rPr>
                <w:rFonts w:ascii="宋体"/>
              </w:rPr>
            </w:pPr>
          </w:p>
        </w:tc>
        <w:tc>
          <w:tcPr>
            <w:tcW w:w="0" w:type="auto"/>
            <w:shd w:val="clear" w:color="auto" w:fill="auto"/>
            <w:vAlign w:val="bottom"/>
          </w:tcPr>
          <w:p w14:paraId="74DDE2A8" w14:textId="77777777" w:rsidR="00584EC1" w:rsidRDefault="00584EC1">
            <w:pPr>
              <w:rPr>
                <w:rFonts w:ascii="宋体"/>
                <w:vanish/>
              </w:rPr>
            </w:pPr>
          </w:p>
        </w:tc>
        <w:tc>
          <w:tcPr>
            <w:tcW w:w="0" w:type="auto"/>
            <w:shd w:val="clear" w:color="auto" w:fill="auto"/>
            <w:vAlign w:val="bottom"/>
          </w:tcPr>
          <w:p w14:paraId="74DDE2A9" w14:textId="77777777" w:rsidR="00584EC1" w:rsidRDefault="00584EC1">
            <w:pPr>
              <w:rPr>
                <w:rFonts w:ascii="宋体"/>
                <w:vanish/>
              </w:rPr>
            </w:pPr>
          </w:p>
        </w:tc>
        <w:tc>
          <w:tcPr>
            <w:tcW w:w="0" w:type="auto"/>
            <w:shd w:val="clear" w:color="auto" w:fill="CCEEFF"/>
            <w:tcMar>
              <w:top w:w="40" w:type="dxa"/>
              <w:left w:w="20" w:type="dxa"/>
              <w:bottom w:w="40" w:type="dxa"/>
              <w:right w:w="0" w:type="dxa"/>
            </w:tcMar>
            <w:vAlign w:val="bottom"/>
          </w:tcPr>
          <w:p w14:paraId="74DDE2AA"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E2AB"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E2A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2AD"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E2AE"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E2AF" w14:textId="77777777" w:rsidR="00584EC1" w:rsidRDefault="00871F8D">
            <w:pPr>
              <w:jc w:val="right"/>
              <w:textAlignment w:val="bottom"/>
            </w:pPr>
            <w:r>
              <w:rPr>
                <w:rFonts w:ascii="Arial" w:eastAsia="宋体" w:hAnsi="Arial" w:cs="Arial"/>
                <w:color w:val="000000"/>
                <w:sz w:val="14"/>
                <w:szCs w:val="14"/>
              </w:rPr>
              <w:t>13,120 </w:t>
            </w:r>
          </w:p>
        </w:tc>
        <w:tc>
          <w:tcPr>
            <w:tcW w:w="0" w:type="auto"/>
            <w:shd w:val="clear" w:color="auto" w:fill="CCEEFF"/>
            <w:tcMar>
              <w:top w:w="40" w:type="dxa"/>
              <w:left w:w="0" w:type="dxa"/>
              <w:bottom w:w="40" w:type="dxa"/>
              <w:right w:w="20" w:type="dxa"/>
            </w:tcMar>
            <w:vAlign w:val="bottom"/>
          </w:tcPr>
          <w:p w14:paraId="74DDE2B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2B1"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E2B2"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E2B3" w14:textId="77777777" w:rsidR="00584EC1" w:rsidRDefault="00871F8D">
            <w:pPr>
              <w:jc w:val="right"/>
              <w:textAlignment w:val="bottom"/>
            </w:pPr>
            <w:r>
              <w:rPr>
                <w:rFonts w:ascii="Arial" w:eastAsia="宋体" w:hAnsi="Arial" w:cs="Arial"/>
                <w:color w:val="000000"/>
                <w:sz w:val="14"/>
                <w:szCs w:val="14"/>
              </w:rPr>
              <w:t>16,343 </w:t>
            </w:r>
          </w:p>
        </w:tc>
        <w:tc>
          <w:tcPr>
            <w:tcW w:w="0" w:type="auto"/>
            <w:shd w:val="clear" w:color="auto" w:fill="CCEEFF"/>
            <w:tcMar>
              <w:top w:w="40" w:type="dxa"/>
              <w:left w:w="0" w:type="dxa"/>
              <w:bottom w:w="40" w:type="dxa"/>
              <w:right w:w="20" w:type="dxa"/>
            </w:tcMar>
            <w:vAlign w:val="bottom"/>
          </w:tcPr>
          <w:p w14:paraId="74DDE2B4" w14:textId="77777777" w:rsidR="00584EC1" w:rsidRDefault="00584EC1">
            <w:pPr>
              <w:jc w:val="right"/>
              <w:rPr>
                <w:rFonts w:ascii="宋体"/>
              </w:rPr>
            </w:pPr>
          </w:p>
        </w:tc>
      </w:tr>
      <w:tr w:rsidR="00584EC1" w14:paraId="74DDE2D0" w14:textId="77777777">
        <w:tc>
          <w:tcPr>
            <w:tcW w:w="0" w:type="auto"/>
            <w:gridSpan w:val="3"/>
            <w:shd w:val="clear" w:color="auto" w:fill="FFFFFF"/>
            <w:tcMar>
              <w:top w:w="40" w:type="dxa"/>
              <w:left w:w="380" w:type="dxa"/>
              <w:bottom w:w="40" w:type="dxa"/>
              <w:right w:w="20" w:type="dxa"/>
            </w:tcMar>
            <w:vAlign w:val="bottom"/>
          </w:tcPr>
          <w:p w14:paraId="74DDE2B6" w14:textId="77777777" w:rsidR="00584EC1" w:rsidRDefault="00871F8D">
            <w:pPr>
              <w:textAlignment w:val="bottom"/>
            </w:pPr>
            <w:r>
              <w:rPr>
                <w:rFonts w:ascii="Arial" w:eastAsia="宋体" w:hAnsi="Arial" w:cs="Arial"/>
                <w:color w:val="000000"/>
                <w:sz w:val="14"/>
                <w:szCs w:val="14"/>
              </w:rPr>
              <w:t>Speculative</w:t>
            </w:r>
          </w:p>
        </w:tc>
        <w:tc>
          <w:tcPr>
            <w:tcW w:w="0" w:type="auto"/>
            <w:gridSpan w:val="2"/>
            <w:shd w:val="clear" w:color="auto" w:fill="FFFFFF"/>
            <w:tcMar>
              <w:top w:w="40" w:type="dxa"/>
              <w:left w:w="20" w:type="dxa"/>
              <w:bottom w:w="40" w:type="dxa"/>
              <w:right w:w="0" w:type="dxa"/>
            </w:tcMar>
            <w:vAlign w:val="bottom"/>
          </w:tcPr>
          <w:p w14:paraId="74DDE2B7" w14:textId="77777777" w:rsidR="00584EC1" w:rsidRDefault="00871F8D">
            <w:pPr>
              <w:jc w:val="right"/>
              <w:textAlignment w:val="bottom"/>
            </w:pPr>
            <w:r>
              <w:rPr>
                <w:rFonts w:ascii="Arial" w:eastAsia="宋体" w:hAnsi="Arial" w:cs="Arial"/>
                <w:b/>
                <w:bCs/>
                <w:color w:val="000000"/>
                <w:sz w:val="14"/>
                <w:szCs w:val="14"/>
              </w:rPr>
              <w:t>974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2B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2B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2BA" w14:textId="77777777" w:rsidR="00584EC1" w:rsidRDefault="00871F8D">
            <w:pPr>
              <w:jc w:val="right"/>
              <w:textAlignment w:val="bottom"/>
            </w:pPr>
            <w:r>
              <w:rPr>
                <w:rFonts w:ascii="Arial" w:eastAsia="宋体" w:hAnsi="Arial" w:cs="Arial"/>
                <w:color w:val="000000"/>
                <w:sz w:val="14"/>
                <w:szCs w:val="14"/>
              </w:rPr>
              <w:t>473 </w:t>
            </w:r>
          </w:p>
        </w:tc>
        <w:tc>
          <w:tcPr>
            <w:tcW w:w="0" w:type="auto"/>
            <w:shd w:val="clear" w:color="auto" w:fill="FFFFFF"/>
            <w:tcMar>
              <w:top w:w="40" w:type="dxa"/>
              <w:left w:w="0" w:type="dxa"/>
              <w:bottom w:w="40" w:type="dxa"/>
              <w:right w:w="20" w:type="dxa"/>
            </w:tcMar>
            <w:vAlign w:val="bottom"/>
          </w:tcPr>
          <w:p w14:paraId="74DDE2B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2B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2BD" w14:textId="77777777" w:rsidR="00584EC1" w:rsidRDefault="00871F8D">
            <w:pPr>
              <w:jc w:val="right"/>
              <w:textAlignment w:val="bottom"/>
            </w:pPr>
            <w:r>
              <w:rPr>
                <w:rFonts w:ascii="Arial" w:eastAsia="宋体" w:hAnsi="Arial" w:cs="Arial"/>
                <w:color w:val="000000"/>
                <w:sz w:val="14"/>
                <w:szCs w:val="14"/>
              </w:rPr>
              <w:t>719 </w:t>
            </w:r>
          </w:p>
        </w:tc>
        <w:tc>
          <w:tcPr>
            <w:tcW w:w="0" w:type="auto"/>
            <w:shd w:val="clear" w:color="auto" w:fill="FFFFFF"/>
            <w:tcMar>
              <w:top w:w="40" w:type="dxa"/>
              <w:left w:w="0" w:type="dxa"/>
              <w:bottom w:w="40" w:type="dxa"/>
              <w:right w:w="20" w:type="dxa"/>
            </w:tcMar>
            <w:vAlign w:val="bottom"/>
          </w:tcPr>
          <w:p w14:paraId="74DDE2B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2B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2C0" w14:textId="77777777" w:rsidR="00584EC1" w:rsidRDefault="00871F8D">
            <w:pPr>
              <w:jc w:val="right"/>
              <w:textAlignment w:val="bottom"/>
            </w:pPr>
            <w:r>
              <w:rPr>
                <w:rFonts w:ascii="Arial" w:eastAsia="宋体" w:hAnsi="Arial" w:cs="Arial"/>
                <w:color w:val="000000"/>
                <w:sz w:val="14"/>
                <w:szCs w:val="14"/>
              </w:rPr>
              <w:t>519 </w:t>
            </w:r>
          </w:p>
        </w:tc>
        <w:tc>
          <w:tcPr>
            <w:tcW w:w="0" w:type="auto"/>
            <w:shd w:val="clear" w:color="auto" w:fill="FFFFFF"/>
            <w:tcMar>
              <w:top w:w="40" w:type="dxa"/>
              <w:left w:w="0" w:type="dxa"/>
              <w:bottom w:w="40" w:type="dxa"/>
              <w:right w:w="20" w:type="dxa"/>
            </w:tcMar>
            <w:vAlign w:val="bottom"/>
          </w:tcPr>
          <w:p w14:paraId="74DDE2C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2C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2C3" w14:textId="77777777" w:rsidR="00584EC1" w:rsidRDefault="00871F8D">
            <w:pPr>
              <w:jc w:val="right"/>
              <w:textAlignment w:val="bottom"/>
            </w:pPr>
            <w:r>
              <w:rPr>
                <w:rFonts w:ascii="Arial" w:eastAsia="宋体" w:hAnsi="Arial" w:cs="Arial"/>
                <w:color w:val="000000"/>
                <w:sz w:val="14"/>
                <w:szCs w:val="14"/>
              </w:rPr>
              <w:t>455 </w:t>
            </w:r>
          </w:p>
        </w:tc>
        <w:tc>
          <w:tcPr>
            <w:tcW w:w="0" w:type="auto"/>
            <w:shd w:val="clear" w:color="auto" w:fill="FFFFFF"/>
            <w:tcMar>
              <w:top w:w="40" w:type="dxa"/>
              <w:left w:w="0" w:type="dxa"/>
              <w:bottom w:w="40" w:type="dxa"/>
              <w:right w:w="20" w:type="dxa"/>
            </w:tcMar>
            <w:vAlign w:val="bottom"/>
          </w:tcPr>
          <w:p w14:paraId="74DDE2C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2C5" w14:textId="77777777" w:rsidR="00584EC1" w:rsidRDefault="00584EC1">
            <w:pPr>
              <w:rPr>
                <w:rFonts w:ascii="宋体"/>
              </w:rPr>
            </w:pPr>
          </w:p>
        </w:tc>
        <w:tc>
          <w:tcPr>
            <w:tcW w:w="0" w:type="auto"/>
            <w:shd w:val="clear" w:color="auto" w:fill="auto"/>
            <w:vAlign w:val="bottom"/>
          </w:tcPr>
          <w:p w14:paraId="74DDE2C6" w14:textId="77777777" w:rsidR="00584EC1" w:rsidRDefault="00584EC1">
            <w:pPr>
              <w:rPr>
                <w:rFonts w:ascii="宋体"/>
                <w:vanish/>
              </w:rPr>
            </w:pPr>
          </w:p>
        </w:tc>
        <w:tc>
          <w:tcPr>
            <w:tcW w:w="0" w:type="auto"/>
            <w:shd w:val="clear" w:color="auto" w:fill="auto"/>
            <w:vAlign w:val="bottom"/>
          </w:tcPr>
          <w:p w14:paraId="74DDE2C7"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DE2C8" w14:textId="77777777" w:rsidR="00584EC1" w:rsidRDefault="00871F8D">
            <w:pPr>
              <w:jc w:val="right"/>
              <w:textAlignment w:val="bottom"/>
            </w:pPr>
            <w:r>
              <w:rPr>
                <w:rFonts w:ascii="Arial" w:eastAsia="宋体" w:hAnsi="Arial" w:cs="Arial"/>
                <w:color w:val="000000"/>
                <w:sz w:val="14"/>
                <w:szCs w:val="14"/>
              </w:rPr>
              <w:t>67 </w:t>
            </w:r>
          </w:p>
        </w:tc>
        <w:tc>
          <w:tcPr>
            <w:tcW w:w="0" w:type="auto"/>
            <w:shd w:val="clear" w:color="auto" w:fill="FFFFFF"/>
            <w:tcMar>
              <w:top w:w="40" w:type="dxa"/>
              <w:left w:w="0" w:type="dxa"/>
              <w:bottom w:w="40" w:type="dxa"/>
              <w:right w:w="20" w:type="dxa"/>
            </w:tcMar>
            <w:vAlign w:val="bottom"/>
          </w:tcPr>
          <w:p w14:paraId="74DDE2C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2C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2CB" w14:textId="77777777" w:rsidR="00584EC1" w:rsidRDefault="00871F8D">
            <w:pPr>
              <w:jc w:val="right"/>
              <w:textAlignment w:val="bottom"/>
            </w:pPr>
            <w:r>
              <w:rPr>
                <w:rFonts w:ascii="Arial" w:eastAsia="宋体" w:hAnsi="Arial" w:cs="Arial"/>
                <w:color w:val="000000"/>
                <w:sz w:val="14"/>
                <w:szCs w:val="14"/>
              </w:rPr>
              <w:t>457 </w:t>
            </w:r>
          </w:p>
        </w:tc>
        <w:tc>
          <w:tcPr>
            <w:tcW w:w="0" w:type="auto"/>
            <w:shd w:val="clear" w:color="auto" w:fill="FFFFFF"/>
            <w:tcMar>
              <w:top w:w="40" w:type="dxa"/>
              <w:left w:w="0" w:type="dxa"/>
              <w:bottom w:w="40" w:type="dxa"/>
              <w:right w:w="20" w:type="dxa"/>
            </w:tcMar>
            <w:vAlign w:val="bottom"/>
          </w:tcPr>
          <w:p w14:paraId="74DDE2C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2C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2CE" w14:textId="77777777" w:rsidR="00584EC1" w:rsidRDefault="00871F8D">
            <w:pPr>
              <w:jc w:val="right"/>
              <w:textAlignment w:val="bottom"/>
            </w:pPr>
            <w:r>
              <w:rPr>
                <w:rFonts w:ascii="Arial" w:eastAsia="宋体" w:hAnsi="Arial" w:cs="Arial"/>
                <w:color w:val="000000"/>
                <w:sz w:val="14"/>
                <w:szCs w:val="14"/>
              </w:rPr>
              <w:t>3,664 </w:t>
            </w:r>
          </w:p>
        </w:tc>
        <w:tc>
          <w:tcPr>
            <w:tcW w:w="0" w:type="auto"/>
            <w:shd w:val="clear" w:color="auto" w:fill="FFFFFF"/>
            <w:tcMar>
              <w:top w:w="40" w:type="dxa"/>
              <w:left w:w="0" w:type="dxa"/>
              <w:bottom w:w="40" w:type="dxa"/>
              <w:right w:w="20" w:type="dxa"/>
            </w:tcMar>
            <w:vAlign w:val="bottom"/>
          </w:tcPr>
          <w:p w14:paraId="74DDE2CF" w14:textId="77777777" w:rsidR="00584EC1" w:rsidRDefault="00584EC1">
            <w:pPr>
              <w:jc w:val="right"/>
              <w:rPr>
                <w:rFonts w:ascii="宋体"/>
              </w:rPr>
            </w:pPr>
          </w:p>
        </w:tc>
      </w:tr>
      <w:tr w:rsidR="00584EC1" w14:paraId="74DDE2EB" w14:textId="77777777">
        <w:tc>
          <w:tcPr>
            <w:tcW w:w="0" w:type="auto"/>
            <w:gridSpan w:val="3"/>
            <w:shd w:val="clear" w:color="auto" w:fill="CCEEFF"/>
            <w:tcMar>
              <w:top w:w="40" w:type="dxa"/>
              <w:left w:w="380" w:type="dxa"/>
              <w:bottom w:w="40" w:type="dxa"/>
              <w:right w:w="20" w:type="dxa"/>
            </w:tcMar>
            <w:vAlign w:val="bottom"/>
          </w:tcPr>
          <w:p w14:paraId="74DDE2D1" w14:textId="77777777" w:rsidR="00584EC1" w:rsidRDefault="00871F8D">
            <w:pPr>
              <w:textAlignment w:val="bottom"/>
            </w:pPr>
            <w:r>
              <w:rPr>
                <w:rFonts w:ascii="Arial" w:eastAsia="宋体" w:hAnsi="Arial" w:cs="Arial"/>
                <w:color w:val="000000"/>
                <w:sz w:val="14"/>
                <w:szCs w:val="14"/>
              </w:rPr>
              <w:t>Special mention</w:t>
            </w:r>
          </w:p>
        </w:tc>
        <w:tc>
          <w:tcPr>
            <w:tcW w:w="0" w:type="auto"/>
            <w:gridSpan w:val="2"/>
            <w:shd w:val="clear" w:color="auto" w:fill="CCEEFF"/>
            <w:tcMar>
              <w:top w:w="40" w:type="dxa"/>
              <w:left w:w="20" w:type="dxa"/>
              <w:bottom w:w="40" w:type="dxa"/>
              <w:right w:w="0" w:type="dxa"/>
            </w:tcMar>
            <w:vAlign w:val="bottom"/>
          </w:tcPr>
          <w:p w14:paraId="74DDE2D2"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E2D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2D4"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E2D5"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E2D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2D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E2D8" w14:textId="77777777" w:rsidR="00584EC1" w:rsidRDefault="00871F8D">
            <w:pPr>
              <w:jc w:val="right"/>
              <w:textAlignment w:val="bottom"/>
            </w:pPr>
            <w:r>
              <w:rPr>
                <w:rFonts w:ascii="Arial" w:eastAsia="宋体" w:hAnsi="Arial" w:cs="Arial"/>
                <w:color w:val="000000"/>
                <w:sz w:val="14"/>
                <w:szCs w:val="14"/>
              </w:rPr>
              <w:t>70 </w:t>
            </w:r>
          </w:p>
        </w:tc>
        <w:tc>
          <w:tcPr>
            <w:tcW w:w="0" w:type="auto"/>
            <w:shd w:val="clear" w:color="auto" w:fill="CCEEFF"/>
            <w:tcMar>
              <w:top w:w="40" w:type="dxa"/>
              <w:left w:w="0" w:type="dxa"/>
              <w:bottom w:w="40" w:type="dxa"/>
              <w:right w:w="20" w:type="dxa"/>
            </w:tcMar>
            <w:vAlign w:val="bottom"/>
          </w:tcPr>
          <w:p w14:paraId="74DDE2D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2DA"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E2DB" w14:textId="77777777" w:rsidR="00584EC1" w:rsidRDefault="00871F8D">
            <w:pPr>
              <w:jc w:val="right"/>
              <w:textAlignment w:val="bottom"/>
            </w:pPr>
            <w:r>
              <w:rPr>
                <w:rFonts w:ascii="Arial" w:eastAsia="宋体" w:hAnsi="Arial" w:cs="Arial"/>
                <w:color w:val="000000"/>
                <w:sz w:val="14"/>
                <w:szCs w:val="14"/>
              </w:rPr>
              <w:t>29 </w:t>
            </w:r>
          </w:p>
        </w:tc>
        <w:tc>
          <w:tcPr>
            <w:tcW w:w="0" w:type="auto"/>
            <w:shd w:val="clear" w:color="auto" w:fill="CCEEFF"/>
            <w:tcMar>
              <w:top w:w="40" w:type="dxa"/>
              <w:left w:w="0" w:type="dxa"/>
              <w:bottom w:w="40" w:type="dxa"/>
              <w:right w:w="20" w:type="dxa"/>
            </w:tcMar>
            <w:vAlign w:val="bottom"/>
          </w:tcPr>
          <w:p w14:paraId="74DDE2D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2D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E2DE" w14:textId="77777777" w:rsidR="00584EC1" w:rsidRDefault="00871F8D">
            <w:pPr>
              <w:jc w:val="right"/>
              <w:textAlignment w:val="bottom"/>
            </w:pPr>
            <w:r>
              <w:rPr>
                <w:rFonts w:ascii="Arial" w:eastAsia="宋体" w:hAnsi="Arial" w:cs="Arial"/>
                <w:color w:val="000000"/>
                <w:sz w:val="14"/>
                <w:szCs w:val="14"/>
              </w:rPr>
              <w:t>19 </w:t>
            </w:r>
          </w:p>
        </w:tc>
        <w:tc>
          <w:tcPr>
            <w:tcW w:w="0" w:type="auto"/>
            <w:shd w:val="clear" w:color="auto" w:fill="CCEEFF"/>
            <w:tcMar>
              <w:top w:w="40" w:type="dxa"/>
              <w:left w:w="0" w:type="dxa"/>
              <w:bottom w:w="40" w:type="dxa"/>
              <w:right w:w="20" w:type="dxa"/>
            </w:tcMar>
            <w:vAlign w:val="bottom"/>
          </w:tcPr>
          <w:p w14:paraId="74DDE2D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2E0" w14:textId="77777777" w:rsidR="00584EC1" w:rsidRDefault="00584EC1">
            <w:pPr>
              <w:rPr>
                <w:rFonts w:ascii="宋体"/>
              </w:rPr>
            </w:pPr>
          </w:p>
        </w:tc>
        <w:tc>
          <w:tcPr>
            <w:tcW w:w="0" w:type="auto"/>
            <w:shd w:val="clear" w:color="auto" w:fill="auto"/>
            <w:vAlign w:val="bottom"/>
          </w:tcPr>
          <w:p w14:paraId="74DDE2E1" w14:textId="77777777" w:rsidR="00584EC1" w:rsidRDefault="00584EC1">
            <w:pPr>
              <w:rPr>
                <w:rFonts w:ascii="宋体"/>
                <w:vanish/>
              </w:rPr>
            </w:pPr>
          </w:p>
        </w:tc>
        <w:tc>
          <w:tcPr>
            <w:tcW w:w="0" w:type="auto"/>
            <w:shd w:val="clear" w:color="auto" w:fill="auto"/>
            <w:vAlign w:val="bottom"/>
          </w:tcPr>
          <w:p w14:paraId="74DDE2E2" w14:textId="77777777" w:rsidR="00584EC1" w:rsidRDefault="00584EC1">
            <w:pPr>
              <w:rPr>
                <w:rFonts w:ascii="宋体"/>
                <w:vanish/>
              </w:rPr>
            </w:pPr>
          </w:p>
        </w:tc>
        <w:tc>
          <w:tcPr>
            <w:tcW w:w="0" w:type="auto"/>
            <w:gridSpan w:val="2"/>
            <w:shd w:val="clear" w:color="auto" w:fill="CCEEFF"/>
            <w:tcMar>
              <w:top w:w="40" w:type="dxa"/>
              <w:left w:w="20" w:type="dxa"/>
              <w:bottom w:w="40" w:type="dxa"/>
              <w:right w:w="0" w:type="dxa"/>
            </w:tcMar>
            <w:vAlign w:val="bottom"/>
          </w:tcPr>
          <w:p w14:paraId="74DDE2E3"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E2E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2E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E2E6"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E2E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2E8"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E2E9" w14:textId="77777777" w:rsidR="00584EC1" w:rsidRDefault="00871F8D">
            <w:pPr>
              <w:jc w:val="right"/>
              <w:textAlignment w:val="bottom"/>
            </w:pPr>
            <w:r>
              <w:rPr>
                <w:rFonts w:ascii="Arial" w:eastAsia="宋体" w:hAnsi="Arial" w:cs="Arial"/>
                <w:color w:val="000000"/>
                <w:sz w:val="14"/>
                <w:szCs w:val="14"/>
              </w:rPr>
              <w:t>118 </w:t>
            </w:r>
          </w:p>
        </w:tc>
        <w:tc>
          <w:tcPr>
            <w:tcW w:w="0" w:type="auto"/>
            <w:shd w:val="clear" w:color="auto" w:fill="CCEEFF"/>
            <w:tcMar>
              <w:top w:w="40" w:type="dxa"/>
              <w:left w:w="0" w:type="dxa"/>
              <w:bottom w:w="40" w:type="dxa"/>
              <w:right w:w="20" w:type="dxa"/>
            </w:tcMar>
            <w:vAlign w:val="bottom"/>
          </w:tcPr>
          <w:p w14:paraId="74DDE2EA" w14:textId="77777777" w:rsidR="00584EC1" w:rsidRDefault="00584EC1">
            <w:pPr>
              <w:jc w:val="right"/>
              <w:rPr>
                <w:rFonts w:ascii="宋体"/>
              </w:rPr>
            </w:pPr>
          </w:p>
        </w:tc>
      </w:tr>
      <w:tr w:rsidR="00584EC1" w14:paraId="74DDE306" w14:textId="77777777">
        <w:tc>
          <w:tcPr>
            <w:tcW w:w="0" w:type="auto"/>
            <w:gridSpan w:val="3"/>
            <w:shd w:val="clear" w:color="auto" w:fill="FFFFFF"/>
            <w:tcMar>
              <w:top w:w="40" w:type="dxa"/>
              <w:left w:w="380" w:type="dxa"/>
              <w:bottom w:w="40" w:type="dxa"/>
              <w:right w:w="20" w:type="dxa"/>
            </w:tcMar>
            <w:vAlign w:val="bottom"/>
          </w:tcPr>
          <w:p w14:paraId="74DDE2EC" w14:textId="77777777" w:rsidR="00584EC1" w:rsidRDefault="00871F8D">
            <w:pPr>
              <w:textAlignment w:val="bottom"/>
            </w:pPr>
            <w:r>
              <w:rPr>
                <w:rFonts w:ascii="Arial" w:eastAsia="宋体" w:hAnsi="Arial" w:cs="Arial"/>
                <w:color w:val="000000"/>
                <w:sz w:val="14"/>
                <w:szCs w:val="14"/>
              </w:rPr>
              <w:t>Substandard</w:t>
            </w:r>
          </w:p>
        </w:tc>
        <w:tc>
          <w:tcPr>
            <w:tcW w:w="0" w:type="auto"/>
            <w:gridSpan w:val="2"/>
            <w:shd w:val="clear" w:color="auto" w:fill="FFFFFF"/>
            <w:tcMar>
              <w:top w:w="40" w:type="dxa"/>
              <w:left w:w="20" w:type="dxa"/>
              <w:bottom w:w="40" w:type="dxa"/>
              <w:right w:w="0" w:type="dxa"/>
            </w:tcMar>
            <w:vAlign w:val="bottom"/>
          </w:tcPr>
          <w:p w14:paraId="74DDE2ED"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2E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2E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2F0" w14:textId="77777777" w:rsidR="00584EC1" w:rsidRDefault="00871F8D">
            <w:pPr>
              <w:jc w:val="right"/>
              <w:textAlignment w:val="bottom"/>
            </w:pPr>
            <w:r>
              <w:rPr>
                <w:rFonts w:ascii="Arial" w:eastAsia="宋体" w:hAnsi="Arial" w:cs="Arial"/>
                <w:color w:val="000000"/>
                <w:sz w:val="14"/>
                <w:szCs w:val="14"/>
              </w:rPr>
              <w:t>5 </w:t>
            </w:r>
          </w:p>
        </w:tc>
        <w:tc>
          <w:tcPr>
            <w:tcW w:w="0" w:type="auto"/>
            <w:shd w:val="clear" w:color="auto" w:fill="FFFFFF"/>
            <w:tcMar>
              <w:top w:w="40" w:type="dxa"/>
              <w:left w:w="0" w:type="dxa"/>
              <w:bottom w:w="40" w:type="dxa"/>
              <w:right w:w="20" w:type="dxa"/>
            </w:tcMar>
            <w:vAlign w:val="bottom"/>
          </w:tcPr>
          <w:p w14:paraId="74DDE2F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2F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2F3" w14:textId="77777777" w:rsidR="00584EC1" w:rsidRDefault="00871F8D">
            <w:pPr>
              <w:jc w:val="right"/>
              <w:textAlignment w:val="bottom"/>
            </w:pPr>
            <w:r>
              <w:rPr>
                <w:rFonts w:ascii="Arial" w:eastAsia="宋体" w:hAnsi="Arial" w:cs="Arial"/>
                <w:color w:val="000000"/>
                <w:sz w:val="14"/>
                <w:szCs w:val="14"/>
              </w:rPr>
              <w:t>71 </w:t>
            </w:r>
          </w:p>
        </w:tc>
        <w:tc>
          <w:tcPr>
            <w:tcW w:w="0" w:type="auto"/>
            <w:shd w:val="clear" w:color="auto" w:fill="FFFFFF"/>
            <w:tcMar>
              <w:top w:w="40" w:type="dxa"/>
              <w:left w:w="0" w:type="dxa"/>
              <w:bottom w:w="40" w:type="dxa"/>
              <w:right w:w="20" w:type="dxa"/>
            </w:tcMar>
            <w:vAlign w:val="bottom"/>
          </w:tcPr>
          <w:p w14:paraId="74DDE2F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2F5"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2F6" w14:textId="77777777" w:rsidR="00584EC1" w:rsidRDefault="00871F8D">
            <w:pPr>
              <w:jc w:val="right"/>
              <w:textAlignment w:val="bottom"/>
            </w:pPr>
            <w:r>
              <w:rPr>
                <w:rFonts w:ascii="Arial" w:eastAsia="宋体" w:hAnsi="Arial" w:cs="Arial"/>
                <w:color w:val="000000"/>
                <w:sz w:val="14"/>
                <w:szCs w:val="14"/>
              </w:rPr>
              <w:t>56 </w:t>
            </w:r>
          </w:p>
        </w:tc>
        <w:tc>
          <w:tcPr>
            <w:tcW w:w="0" w:type="auto"/>
            <w:shd w:val="clear" w:color="auto" w:fill="FFFFFF"/>
            <w:tcMar>
              <w:top w:w="40" w:type="dxa"/>
              <w:left w:w="0" w:type="dxa"/>
              <w:bottom w:w="40" w:type="dxa"/>
              <w:right w:w="20" w:type="dxa"/>
            </w:tcMar>
            <w:vAlign w:val="bottom"/>
          </w:tcPr>
          <w:p w14:paraId="74DDE2F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2F8"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2F9" w14:textId="77777777" w:rsidR="00584EC1" w:rsidRDefault="00871F8D">
            <w:pPr>
              <w:jc w:val="right"/>
              <w:textAlignment w:val="bottom"/>
            </w:pPr>
            <w:r>
              <w:rPr>
                <w:rFonts w:ascii="Arial" w:eastAsia="宋体" w:hAnsi="Arial" w:cs="Arial"/>
                <w:color w:val="000000"/>
                <w:sz w:val="14"/>
                <w:szCs w:val="14"/>
              </w:rPr>
              <w:t>9 </w:t>
            </w:r>
          </w:p>
        </w:tc>
        <w:tc>
          <w:tcPr>
            <w:tcW w:w="0" w:type="auto"/>
            <w:shd w:val="clear" w:color="auto" w:fill="FFFFFF"/>
            <w:tcMar>
              <w:top w:w="40" w:type="dxa"/>
              <w:left w:w="0" w:type="dxa"/>
              <w:bottom w:w="40" w:type="dxa"/>
              <w:right w:w="20" w:type="dxa"/>
            </w:tcMar>
            <w:vAlign w:val="bottom"/>
          </w:tcPr>
          <w:p w14:paraId="74DDE2F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2FB" w14:textId="77777777" w:rsidR="00584EC1" w:rsidRDefault="00584EC1">
            <w:pPr>
              <w:rPr>
                <w:rFonts w:ascii="宋体"/>
              </w:rPr>
            </w:pPr>
          </w:p>
        </w:tc>
        <w:tc>
          <w:tcPr>
            <w:tcW w:w="0" w:type="auto"/>
            <w:shd w:val="clear" w:color="auto" w:fill="auto"/>
            <w:vAlign w:val="bottom"/>
          </w:tcPr>
          <w:p w14:paraId="74DDE2FC" w14:textId="77777777" w:rsidR="00584EC1" w:rsidRDefault="00584EC1">
            <w:pPr>
              <w:rPr>
                <w:rFonts w:ascii="宋体"/>
                <w:vanish/>
              </w:rPr>
            </w:pPr>
          </w:p>
        </w:tc>
        <w:tc>
          <w:tcPr>
            <w:tcW w:w="0" w:type="auto"/>
            <w:shd w:val="clear" w:color="auto" w:fill="auto"/>
            <w:vAlign w:val="bottom"/>
          </w:tcPr>
          <w:p w14:paraId="74DDE2FD"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DE2FE"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2F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30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301"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30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30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304" w14:textId="77777777" w:rsidR="00584EC1" w:rsidRDefault="00871F8D">
            <w:pPr>
              <w:jc w:val="right"/>
              <w:textAlignment w:val="bottom"/>
            </w:pPr>
            <w:r>
              <w:rPr>
                <w:rFonts w:ascii="Arial" w:eastAsia="宋体" w:hAnsi="Arial" w:cs="Arial"/>
                <w:color w:val="000000"/>
                <w:sz w:val="14"/>
                <w:szCs w:val="14"/>
              </w:rPr>
              <w:t>141 </w:t>
            </w:r>
          </w:p>
        </w:tc>
        <w:tc>
          <w:tcPr>
            <w:tcW w:w="0" w:type="auto"/>
            <w:shd w:val="clear" w:color="auto" w:fill="FFFFFF"/>
            <w:tcMar>
              <w:top w:w="40" w:type="dxa"/>
              <w:left w:w="0" w:type="dxa"/>
              <w:bottom w:w="40" w:type="dxa"/>
              <w:right w:w="20" w:type="dxa"/>
            </w:tcMar>
            <w:vAlign w:val="bottom"/>
          </w:tcPr>
          <w:p w14:paraId="74DDE305" w14:textId="77777777" w:rsidR="00584EC1" w:rsidRDefault="00584EC1">
            <w:pPr>
              <w:jc w:val="right"/>
              <w:rPr>
                <w:rFonts w:ascii="宋体"/>
              </w:rPr>
            </w:pPr>
          </w:p>
        </w:tc>
      </w:tr>
      <w:tr w:rsidR="00584EC1" w14:paraId="74DDE319" w14:textId="77777777">
        <w:trPr>
          <w:hidden/>
        </w:trPr>
        <w:tc>
          <w:tcPr>
            <w:tcW w:w="0" w:type="auto"/>
            <w:gridSpan w:val="3"/>
            <w:shd w:val="clear" w:color="auto" w:fill="auto"/>
            <w:vAlign w:val="bottom"/>
          </w:tcPr>
          <w:p w14:paraId="74DDE307" w14:textId="77777777" w:rsidR="00584EC1" w:rsidRDefault="00584EC1">
            <w:pPr>
              <w:rPr>
                <w:rFonts w:ascii="宋体"/>
                <w:vanish/>
              </w:rPr>
            </w:pPr>
          </w:p>
        </w:tc>
        <w:tc>
          <w:tcPr>
            <w:tcW w:w="0" w:type="auto"/>
            <w:gridSpan w:val="3"/>
            <w:shd w:val="clear" w:color="auto" w:fill="auto"/>
            <w:vAlign w:val="bottom"/>
          </w:tcPr>
          <w:p w14:paraId="74DDE308" w14:textId="77777777" w:rsidR="00584EC1" w:rsidRDefault="00584EC1">
            <w:pPr>
              <w:rPr>
                <w:rFonts w:ascii="宋体"/>
                <w:vanish/>
              </w:rPr>
            </w:pPr>
          </w:p>
        </w:tc>
        <w:tc>
          <w:tcPr>
            <w:tcW w:w="0" w:type="auto"/>
            <w:gridSpan w:val="3"/>
            <w:shd w:val="clear" w:color="auto" w:fill="auto"/>
            <w:vAlign w:val="bottom"/>
          </w:tcPr>
          <w:p w14:paraId="74DDE309" w14:textId="77777777" w:rsidR="00584EC1" w:rsidRDefault="00584EC1">
            <w:pPr>
              <w:rPr>
                <w:rFonts w:ascii="宋体"/>
                <w:vanish/>
              </w:rPr>
            </w:pPr>
          </w:p>
        </w:tc>
        <w:tc>
          <w:tcPr>
            <w:tcW w:w="0" w:type="auto"/>
            <w:gridSpan w:val="3"/>
            <w:shd w:val="clear" w:color="auto" w:fill="auto"/>
            <w:vAlign w:val="bottom"/>
          </w:tcPr>
          <w:p w14:paraId="74DDE30A" w14:textId="77777777" w:rsidR="00584EC1" w:rsidRDefault="00584EC1">
            <w:pPr>
              <w:rPr>
                <w:rFonts w:ascii="宋体"/>
                <w:vanish/>
              </w:rPr>
            </w:pPr>
          </w:p>
        </w:tc>
        <w:tc>
          <w:tcPr>
            <w:tcW w:w="0" w:type="auto"/>
            <w:gridSpan w:val="3"/>
            <w:shd w:val="clear" w:color="auto" w:fill="auto"/>
            <w:vAlign w:val="bottom"/>
          </w:tcPr>
          <w:p w14:paraId="74DDE30B" w14:textId="77777777" w:rsidR="00584EC1" w:rsidRDefault="00584EC1">
            <w:pPr>
              <w:rPr>
                <w:rFonts w:ascii="宋体"/>
                <w:vanish/>
              </w:rPr>
            </w:pPr>
          </w:p>
        </w:tc>
        <w:tc>
          <w:tcPr>
            <w:tcW w:w="0" w:type="auto"/>
            <w:gridSpan w:val="3"/>
            <w:shd w:val="clear" w:color="auto" w:fill="auto"/>
            <w:vAlign w:val="bottom"/>
          </w:tcPr>
          <w:p w14:paraId="74DDE30C" w14:textId="77777777" w:rsidR="00584EC1" w:rsidRDefault="00584EC1">
            <w:pPr>
              <w:rPr>
                <w:rFonts w:ascii="宋体"/>
                <w:vanish/>
              </w:rPr>
            </w:pPr>
          </w:p>
        </w:tc>
        <w:tc>
          <w:tcPr>
            <w:tcW w:w="0" w:type="auto"/>
            <w:gridSpan w:val="3"/>
            <w:shd w:val="clear" w:color="auto" w:fill="auto"/>
            <w:vAlign w:val="bottom"/>
          </w:tcPr>
          <w:p w14:paraId="74DDE30D" w14:textId="77777777" w:rsidR="00584EC1" w:rsidRDefault="00584EC1">
            <w:pPr>
              <w:rPr>
                <w:rFonts w:ascii="宋体"/>
                <w:vanish/>
              </w:rPr>
            </w:pPr>
          </w:p>
        </w:tc>
        <w:tc>
          <w:tcPr>
            <w:tcW w:w="0" w:type="auto"/>
            <w:gridSpan w:val="3"/>
            <w:shd w:val="clear" w:color="auto" w:fill="auto"/>
            <w:vAlign w:val="bottom"/>
          </w:tcPr>
          <w:p w14:paraId="74DDE30E" w14:textId="77777777" w:rsidR="00584EC1" w:rsidRDefault="00584EC1">
            <w:pPr>
              <w:rPr>
                <w:rFonts w:ascii="宋体"/>
                <w:vanish/>
              </w:rPr>
            </w:pPr>
          </w:p>
        </w:tc>
        <w:tc>
          <w:tcPr>
            <w:tcW w:w="0" w:type="auto"/>
            <w:gridSpan w:val="3"/>
            <w:shd w:val="clear" w:color="auto" w:fill="auto"/>
            <w:vAlign w:val="bottom"/>
          </w:tcPr>
          <w:p w14:paraId="74DDE30F" w14:textId="77777777" w:rsidR="00584EC1" w:rsidRDefault="00584EC1">
            <w:pPr>
              <w:rPr>
                <w:rFonts w:ascii="宋体"/>
                <w:vanish/>
              </w:rPr>
            </w:pPr>
          </w:p>
        </w:tc>
        <w:tc>
          <w:tcPr>
            <w:tcW w:w="0" w:type="auto"/>
            <w:gridSpan w:val="3"/>
            <w:shd w:val="clear" w:color="auto" w:fill="auto"/>
            <w:vAlign w:val="bottom"/>
          </w:tcPr>
          <w:p w14:paraId="74DDE310" w14:textId="77777777" w:rsidR="00584EC1" w:rsidRDefault="00584EC1">
            <w:pPr>
              <w:rPr>
                <w:rFonts w:ascii="宋体"/>
                <w:vanish/>
              </w:rPr>
            </w:pPr>
          </w:p>
        </w:tc>
        <w:tc>
          <w:tcPr>
            <w:tcW w:w="0" w:type="auto"/>
            <w:gridSpan w:val="3"/>
            <w:shd w:val="clear" w:color="auto" w:fill="auto"/>
            <w:vAlign w:val="bottom"/>
          </w:tcPr>
          <w:p w14:paraId="74DDE311" w14:textId="77777777" w:rsidR="00584EC1" w:rsidRDefault="00584EC1">
            <w:pPr>
              <w:rPr>
                <w:rFonts w:ascii="宋体"/>
                <w:vanish/>
              </w:rPr>
            </w:pPr>
          </w:p>
        </w:tc>
        <w:tc>
          <w:tcPr>
            <w:tcW w:w="0" w:type="auto"/>
            <w:shd w:val="clear" w:color="auto" w:fill="auto"/>
            <w:vAlign w:val="bottom"/>
          </w:tcPr>
          <w:p w14:paraId="74DDE312" w14:textId="77777777" w:rsidR="00584EC1" w:rsidRDefault="00584EC1">
            <w:pPr>
              <w:rPr>
                <w:rFonts w:ascii="宋体"/>
                <w:vanish/>
              </w:rPr>
            </w:pPr>
          </w:p>
        </w:tc>
        <w:tc>
          <w:tcPr>
            <w:tcW w:w="0" w:type="auto"/>
            <w:shd w:val="clear" w:color="auto" w:fill="auto"/>
            <w:vAlign w:val="bottom"/>
          </w:tcPr>
          <w:p w14:paraId="74DDE313" w14:textId="77777777" w:rsidR="00584EC1" w:rsidRDefault="00584EC1">
            <w:pPr>
              <w:rPr>
                <w:rFonts w:ascii="宋体"/>
                <w:vanish/>
              </w:rPr>
            </w:pPr>
          </w:p>
        </w:tc>
        <w:tc>
          <w:tcPr>
            <w:tcW w:w="0" w:type="auto"/>
            <w:gridSpan w:val="3"/>
            <w:shd w:val="clear" w:color="auto" w:fill="auto"/>
            <w:vAlign w:val="bottom"/>
          </w:tcPr>
          <w:p w14:paraId="74DDE314" w14:textId="77777777" w:rsidR="00584EC1" w:rsidRDefault="00584EC1">
            <w:pPr>
              <w:rPr>
                <w:rFonts w:ascii="宋体"/>
                <w:vanish/>
              </w:rPr>
            </w:pPr>
          </w:p>
        </w:tc>
        <w:tc>
          <w:tcPr>
            <w:tcW w:w="0" w:type="auto"/>
            <w:gridSpan w:val="3"/>
            <w:shd w:val="clear" w:color="auto" w:fill="auto"/>
            <w:vAlign w:val="bottom"/>
          </w:tcPr>
          <w:p w14:paraId="74DDE315" w14:textId="77777777" w:rsidR="00584EC1" w:rsidRDefault="00584EC1">
            <w:pPr>
              <w:rPr>
                <w:rFonts w:ascii="宋体"/>
                <w:vanish/>
              </w:rPr>
            </w:pPr>
          </w:p>
        </w:tc>
        <w:tc>
          <w:tcPr>
            <w:tcW w:w="0" w:type="auto"/>
            <w:gridSpan w:val="3"/>
            <w:shd w:val="clear" w:color="auto" w:fill="auto"/>
            <w:vAlign w:val="bottom"/>
          </w:tcPr>
          <w:p w14:paraId="74DDE316" w14:textId="77777777" w:rsidR="00584EC1" w:rsidRDefault="00584EC1">
            <w:pPr>
              <w:rPr>
                <w:rFonts w:ascii="宋体"/>
                <w:vanish/>
              </w:rPr>
            </w:pPr>
          </w:p>
        </w:tc>
        <w:tc>
          <w:tcPr>
            <w:tcW w:w="0" w:type="auto"/>
            <w:gridSpan w:val="3"/>
            <w:shd w:val="clear" w:color="auto" w:fill="auto"/>
            <w:vAlign w:val="bottom"/>
          </w:tcPr>
          <w:p w14:paraId="74DDE317" w14:textId="77777777" w:rsidR="00584EC1" w:rsidRDefault="00584EC1">
            <w:pPr>
              <w:rPr>
                <w:rFonts w:ascii="宋体"/>
                <w:vanish/>
              </w:rPr>
            </w:pPr>
          </w:p>
        </w:tc>
        <w:tc>
          <w:tcPr>
            <w:tcW w:w="0" w:type="auto"/>
            <w:gridSpan w:val="3"/>
            <w:shd w:val="clear" w:color="auto" w:fill="auto"/>
            <w:vAlign w:val="bottom"/>
          </w:tcPr>
          <w:p w14:paraId="74DDE318" w14:textId="77777777" w:rsidR="00584EC1" w:rsidRDefault="00584EC1">
            <w:pPr>
              <w:rPr>
                <w:rFonts w:ascii="宋体"/>
                <w:vanish/>
              </w:rPr>
            </w:pPr>
          </w:p>
        </w:tc>
      </w:tr>
      <w:tr w:rsidR="00584EC1" w14:paraId="74DDE32C" w14:textId="77777777">
        <w:trPr>
          <w:hidden/>
        </w:trPr>
        <w:tc>
          <w:tcPr>
            <w:tcW w:w="0" w:type="auto"/>
            <w:gridSpan w:val="3"/>
            <w:shd w:val="clear" w:color="auto" w:fill="auto"/>
            <w:vAlign w:val="bottom"/>
          </w:tcPr>
          <w:p w14:paraId="74DDE31A" w14:textId="77777777" w:rsidR="00584EC1" w:rsidRDefault="00584EC1">
            <w:pPr>
              <w:rPr>
                <w:rFonts w:ascii="宋体"/>
                <w:vanish/>
              </w:rPr>
            </w:pPr>
          </w:p>
        </w:tc>
        <w:tc>
          <w:tcPr>
            <w:tcW w:w="0" w:type="auto"/>
            <w:gridSpan w:val="3"/>
            <w:shd w:val="clear" w:color="auto" w:fill="auto"/>
            <w:vAlign w:val="bottom"/>
          </w:tcPr>
          <w:p w14:paraId="74DDE31B" w14:textId="77777777" w:rsidR="00584EC1" w:rsidRDefault="00584EC1">
            <w:pPr>
              <w:rPr>
                <w:rFonts w:ascii="宋体"/>
                <w:vanish/>
              </w:rPr>
            </w:pPr>
          </w:p>
        </w:tc>
        <w:tc>
          <w:tcPr>
            <w:tcW w:w="0" w:type="auto"/>
            <w:gridSpan w:val="3"/>
            <w:shd w:val="clear" w:color="auto" w:fill="auto"/>
            <w:vAlign w:val="bottom"/>
          </w:tcPr>
          <w:p w14:paraId="74DDE31C" w14:textId="77777777" w:rsidR="00584EC1" w:rsidRDefault="00584EC1">
            <w:pPr>
              <w:rPr>
                <w:rFonts w:ascii="宋体"/>
                <w:vanish/>
              </w:rPr>
            </w:pPr>
          </w:p>
        </w:tc>
        <w:tc>
          <w:tcPr>
            <w:tcW w:w="0" w:type="auto"/>
            <w:gridSpan w:val="3"/>
            <w:shd w:val="clear" w:color="auto" w:fill="auto"/>
            <w:vAlign w:val="bottom"/>
          </w:tcPr>
          <w:p w14:paraId="74DDE31D" w14:textId="77777777" w:rsidR="00584EC1" w:rsidRDefault="00584EC1">
            <w:pPr>
              <w:rPr>
                <w:rFonts w:ascii="宋体"/>
                <w:vanish/>
              </w:rPr>
            </w:pPr>
          </w:p>
        </w:tc>
        <w:tc>
          <w:tcPr>
            <w:tcW w:w="0" w:type="auto"/>
            <w:gridSpan w:val="3"/>
            <w:shd w:val="clear" w:color="auto" w:fill="auto"/>
            <w:vAlign w:val="bottom"/>
          </w:tcPr>
          <w:p w14:paraId="74DDE31E" w14:textId="77777777" w:rsidR="00584EC1" w:rsidRDefault="00584EC1">
            <w:pPr>
              <w:rPr>
                <w:rFonts w:ascii="宋体"/>
                <w:vanish/>
              </w:rPr>
            </w:pPr>
          </w:p>
        </w:tc>
        <w:tc>
          <w:tcPr>
            <w:tcW w:w="0" w:type="auto"/>
            <w:gridSpan w:val="3"/>
            <w:shd w:val="clear" w:color="auto" w:fill="auto"/>
            <w:vAlign w:val="bottom"/>
          </w:tcPr>
          <w:p w14:paraId="74DDE31F" w14:textId="77777777" w:rsidR="00584EC1" w:rsidRDefault="00584EC1">
            <w:pPr>
              <w:rPr>
                <w:rFonts w:ascii="宋体"/>
                <w:vanish/>
              </w:rPr>
            </w:pPr>
          </w:p>
        </w:tc>
        <w:tc>
          <w:tcPr>
            <w:tcW w:w="0" w:type="auto"/>
            <w:gridSpan w:val="3"/>
            <w:shd w:val="clear" w:color="auto" w:fill="auto"/>
            <w:vAlign w:val="bottom"/>
          </w:tcPr>
          <w:p w14:paraId="74DDE320" w14:textId="77777777" w:rsidR="00584EC1" w:rsidRDefault="00584EC1">
            <w:pPr>
              <w:rPr>
                <w:rFonts w:ascii="宋体"/>
                <w:vanish/>
              </w:rPr>
            </w:pPr>
          </w:p>
        </w:tc>
        <w:tc>
          <w:tcPr>
            <w:tcW w:w="0" w:type="auto"/>
            <w:gridSpan w:val="3"/>
            <w:shd w:val="clear" w:color="auto" w:fill="auto"/>
            <w:vAlign w:val="bottom"/>
          </w:tcPr>
          <w:p w14:paraId="74DDE321" w14:textId="77777777" w:rsidR="00584EC1" w:rsidRDefault="00584EC1">
            <w:pPr>
              <w:rPr>
                <w:rFonts w:ascii="宋体"/>
                <w:vanish/>
              </w:rPr>
            </w:pPr>
          </w:p>
        </w:tc>
        <w:tc>
          <w:tcPr>
            <w:tcW w:w="0" w:type="auto"/>
            <w:gridSpan w:val="3"/>
            <w:shd w:val="clear" w:color="auto" w:fill="auto"/>
            <w:vAlign w:val="bottom"/>
          </w:tcPr>
          <w:p w14:paraId="74DDE322" w14:textId="77777777" w:rsidR="00584EC1" w:rsidRDefault="00584EC1">
            <w:pPr>
              <w:rPr>
                <w:rFonts w:ascii="宋体"/>
                <w:vanish/>
              </w:rPr>
            </w:pPr>
          </w:p>
        </w:tc>
        <w:tc>
          <w:tcPr>
            <w:tcW w:w="0" w:type="auto"/>
            <w:gridSpan w:val="3"/>
            <w:shd w:val="clear" w:color="auto" w:fill="auto"/>
            <w:vAlign w:val="bottom"/>
          </w:tcPr>
          <w:p w14:paraId="74DDE323" w14:textId="77777777" w:rsidR="00584EC1" w:rsidRDefault="00584EC1">
            <w:pPr>
              <w:rPr>
                <w:rFonts w:ascii="宋体"/>
                <w:vanish/>
              </w:rPr>
            </w:pPr>
          </w:p>
        </w:tc>
        <w:tc>
          <w:tcPr>
            <w:tcW w:w="0" w:type="auto"/>
            <w:gridSpan w:val="3"/>
            <w:shd w:val="clear" w:color="auto" w:fill="auto"/>
            <w:vAlign w:val="bottom"/>
          </w:tcPr>
          <w:p w14:paraId="74DDE324" w14:textId="77777777" w:rsidR="00584EC1" w:rsidRDefault="00584EC1">
            <w:pPr>
              <w:rPr>
                <w:rFonts w:ascii="宋体"/>
                <w:vanish/>
              </w:rPr>
            </w:pPr>
          </w:p>
        </w:tc>
        <w:tc>
          <w:tcPr>
            <w:tcW w:w="0" w:type="auto"/>
            <w:shd w:val="clear" w:color="auto" w:fill="auto"/>
            <w:vAlign w:val="bottom"/>
          </w:tcPr>
          <w:p w14:paraId="74DDE325" w14:textId="77777777" w:rsidR="00584EC1" w:rsidRDefault="00584EC1">
            <w:pPr>
              <w:rPr>
                <w:rFonts w:ascii="宋体"/>
                <w:vanish/>
              </w:rPr>
            </w:pPr>
          </w:p>
        </w:tc>
        <w:tc>
          <w:tcPr>
            <w:tcW w:w="0" w:type="auto"/>
            <w:shd w:val="clear" w:color="auto" w:fill="auto"/>
            <w:vAlign w:val="bottom"/>
          </w:tcPr>
          <w:p w14:paraId="74DDE326" w14:textId="77777777" w:rsidR="00584EC1" w:rsidRDefault="00584EC1">
            <w:pPr>
              <w:rPr>
                <w:rFonts w:ascii="宋体"/>
                <w:vanish/>
              </w:rPr>
            </w:pPr>
          </w:p>
        </w:tc>
        <w:tc>
          <w:tcPr>
            <w:tcW w:w="0" w:type="auto"/>
            <w:gridSpan w:val="3"/>
            <w:shd w:val="clear" w:color="auto" w:fill="auto"/>
            <w:vAlign w:val="bottom"/>
          </w:tcPr>
          <w:p w14:paraId="74DDE327" w14:textId="77777777" w:rsidR="00584EC1" w:rsidRDefault="00584EC1">
            <w:pPr>
              <w:rPr>
                <w:rFonts w:ascii="宋体"/>
                <w:vanish/>
              </w:rPr>
            </w:pPr>
          </w:p>
        </w:tc>
        <w:tc>
          <w:tcPr>
            <w:tcW w:w="0" w:type="auto"/>
            <w:gridSpan w:val="3"/>
            <w:shd w:val="clear" w:color="auto" w:fill="auto"/>
            <w:vAlign w:val="bottom"/>
          </w:tcPr>
          <w:p w14:paraId="74DDE328" w14:textId="77777777" w:rsidR="00584EC1" w:rsidRDefault="00584EC1">
            <w:pPr>
              <w:rPr>
                <w:rFonts w:ascii="宋体"/>
                <w:vanish/>
              </w:rPr>
            </w:pPr>
          </w:p>
        </w:tc>
        <w:tc>
          <w:tcPr>
            <w:tcW w:w="0" w:type="auto"/>
            <w:gridSpan w:val="3"/>
            <w:shd w:val="clear" w:color="auto" w:fill="auto"/>
            <w:vAlign w:val="bottom"/>
          </w:tcPr>
          <w:p w14:paraId="74DDE329" w14:textId="77777777" w:rsidR="00584EC1" w:rsidRDefault="00584EC1">
            <w:pPr>
              <w:rPr>
                <w:rFonts w:ascii="宋体"/>
                <w:vanish/>
              </w:rPr>
            </w:pPr>
          </w:p>
        </w:tc>
        <w:tc>
          <w:tcPr>
            <w:tcW w:w="0" w:type="auto"/>
            <w:gridSpan w:val="3"/>
            <w:shd w:val="clear" w:color="auto" w:fill="auto"/>
            <w:vAlign w:val="bottom"/>
          </w:tcPr>
          <w:p w14:paraId="74DDE32A" w14:textId="77777777" w:rsidR="00584EC1" w:rsidRDefault="00584EC1">
            <w:pPr>
              <w:rPr>
                <w:rFonts w:ascii="宋体"/>
                <w:vanish/>
              </w:rPr>
            </w:pPr>
          </w:p>
        </w:tc>
        <w:tc>
          <w:tcPr>
            <w:tcW w:w="0" w:type="auto"/>
            <w:gridSpan w:val="3"/>
            <w:shd w:val="clear" w:color="auto" w:fill="auto"/>
            <w:vAlign w:val="bottom"/>
          </w:tcPr>
          <w:p w14:paraId="74DDE32B" w14:textId="77777777" w:rsidR="00584EC1" w:rsidRDefault="00584EC1">
            <w:pPr>
              <w:rPr>
                <w:rFonts w:ascii="宋体"/>
                <w:vanish/>
              </w:rPr>
            </w:pPr>
          </w:p>
        </w:tc>
      </w:tr>
      <w:tr w:rsidR="00584EC1" w14:paraId="74DDE34F" w14:textId="77777777">
        <w:tc>
          <w:tcPr>
            <w:tcW w:w="0" w:type="auto"/>
            <w:gridSpan w:val="3"/>
            <w:shd w:val="clear" w:color="auto" w:fill="CCEEFF"/>
            <w:tcMar>
              <w:top w:w="40" w:type="dxa"/>
              <w:left w:w="155" w:type="dxa"/>
              <w:bottom w:w="40" w:type="dxa"/>
              <w:right w:w="20" w:type="dxa"/>
            </w:tcMar>
            <w:vAlign w:val="bottom"/>
          </w:tcPr>
          <w:p w14:paraId="74DDE32D" w14:textId="77777777" w:rsidR="00584EC1" w:rsidRDefault="00871F8D">
            <w:pPr>
              <w:textAlignment w:val="bottom"/>
            </w:pPr>
            <w:r>
              <w:rPr>
                <w:rFonts w:ascii="Arial" w:eastAsia="宋体" w:hAnsi="Arial" w:cs="Arial"/>
                <w:color w:val="000000"/>
                <w:sz w:val="14"/>
                <w:szCs w:val="14"/>
              </w:rPr>
              <w:t>Total commercial and financing</w:t>
            </w:r>
          </w:p>
        </w:tc>
        <w:tc>
          <w:tcPr>
            <w:tcW w:w="0" w:type="auto"/>
            <w:tcBorders>
              <w:top w:val="single" w:sz="8" w:space="0" w:color="000000"/>
            </w:tcBorders>
            <w:shd w:val="clear" w:color="auto" w:fill="CCEEFF"/>
            <w:tcMar>
              <w:top w:w="40" w:type="dxa"/>
              <w:left w:w="20" w:type="dxa"/>
              <w:bottom w:w="40" w:type="dxa"/>
              <w:right w:w="0" w:type="dxa"/>
            </w:tcMar>
            <w:vAlign w:val="bottom"/>
          </w:tcPr>
          <w:p w14:paraId="74DDE32E"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E32F" w14:textId="77777777" w:rsidR="00584EC1" w:rsidRDefault="00871F8D">
            <w:pPr>
              <w:jc w:val="right"/>
              <w:textAlignment w:val="bottom"/>
            </w:pPr>
            <w:r>
              <w:rPr>
                <w:rFonts w:ascii="Arial" w:eastAsia="宋体" w:hAnsi="Arial" w:cs="Arial"/>
                <w:b/>
                <w:bCs/>
                <w:color w:val="000000"/>
                <w:sz w:val="14"/>
                <w:szCs w:val="14"/>
              </w:rPr>
              <w:t>3,670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E33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331"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E332"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E333" w14:textId="77777777" w:rsidR="00584EC1" w:rsidRDefault="00871F8D">
            <w:pPr>
              <w:jc w:val="right"/>
              <w:textAlignment w:val="bottom"/>
            </w:pPr>
            <w:r>
              <w:rPr>
                <w:rFonts w:ascii="Arial" w:eastAsia="宋体" w:hAnsi="Arial" w:cs="Arial"/>
                <w:color w:val="000000"/>
                <w:sz w:val="14"/>
                <w:szCs w:val="14"/>
              </w:rPr>
              <w:t>492 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E33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335"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E336"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E337" w14:textId="77777777" w:rsidR="00584EC1" w:rsidRDefault="00871F8D">
            <w:pPr>
              <w:jc w:val="right"/>
              <w:textAlignment w:val="bottom"/>
            </w:pPr>
            <w:r>
              <w:rPr>
                <w:rFonts w:ascii="Arial" w:eastAsia="宋体" w:hAnsi="Arial" w:cs="Arial"/>
                <w:color w:val="000000"/>
                <w:sz w:val="14"/>
                <w:szCs w:val="14"/>
              </w:rPr>
              <w:t>1,236 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E33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339"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E33A"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E33B" w14:textId="77777777" w:rsidR="00584EC1" w:rsidRDefault="00871F8D">
            <w:pPr>
              <w:jc w:val="right"/>
              <w:textAlignment w:val="bottom"/>
            </w:pPr>
            <w:r>
              <w:rPr>
                <w:rFonts w:ascii="Arial" w:eastAsia="宋体" w:hAnsi="Arial" w:cs="Arial"/>
                <w:color w:val="000000"/>
                <w:sz w:val="14"/>
                <w:szCs w:val="14"/>
              </w:rPr>
              <w:t>606 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E33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33D"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E33E"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E33F" w14:textId="77777777" w:rsidR="00584EC1" w:rsidRDefault="00871F8D">
            <w:pPr>
              <w:jc w:val="right"/>
              <w:textAlignment w:val="bottom"/>
            </w:pPr>
            <w:r>
              <w:rPr>
                <w:rFonts w:ascii="Arial" w:eastAsia="宋体" w:hAnsi="Arial" w:cs="Arial"/>
                <w:color w:val="000000"/>
                <w:sz w:val="14"/>
                <w:szCs w:val="14"/>
              </w:rPr>
              <w:t>618 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E34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341" w14:textId="77777777" w:rsidR="00584EC1" w:rsidRDefault="00584EC1">
            <w:pPr>
              <w:rPr>
                <w:rFonts w:ascii="宋体"/>
              </w:rPr>
            </w:pPr>
          </w:p>
        </w:tc>
        <w:tc>
          <w:tcPr>
            <w:tcW w:w="0" w:type="auto"/>
            <w:shd w:val="clear" w:color="auto" w:fill="auto"/>
            <w:vAlign w:val="bottom"/>
          </w:tcPr>
          <w:p w14:paraId="74DDE342" w14:textId="77777777" w:rsidR="00584EC1" w:rsidRDefault="00584EC1">
            <w:pPr>
              <w:rPr>
                <w:rFonts w:ascii="宋体"/>
                <w:vanish/>
              </w:rPr>
            </w:pPr>
          </w:p>
        </w:tc>
        <w:tc>
          <w:tcPr>
            <w:tcW w:w="0" w:type="auto"/>
            <w:shd w:val="clear" w:color="auto" w:fill="auto"/>
            <w:vAlign w:val="bottom"/>
          </w:tcPr>
          <w:p w14:paraId="74DDE343" w14:textId="77777777" w:rsidR="00584EC1" w:rsidRDefault="00584EC1">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E344"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E345" w14:textId="77777777" w:rsidR="00584EC1" w:rsidRDefault="00871F8D">
            <w:pPr>
              <w:jc w:val="right"/>
              <w:textAlignment w:val="bottom"/>
            </w:pPr>
            <w:r>
              <w:rPr>
                <w:rFonts w:ascii="Arial" w:eastAsia="宋体" w:hAnsi="Arial" w:cs="Arial"/>
                <w:color w:val="000000"/>
                <w:sz w:val="14"/>
                <w:szCs w:val="14"/>
              </w:rPr>
              <w:t>67 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E34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347"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E348"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E349" w14:textId="77777777" w:rsidR="00584EC1" w:rsidRDefault="00871F8D">
            <w:pPr>
              <w:jc w:val="right"/>
              <w:textAlignment w:val="bottom"/>
            </w:pPr>
            <w:r>
              <w:rPr>
                <w:rFonts w:ascii="Arial" w:eastAsia="宋体" w:hAnsi="Arial" w:cs="Arial"/>
                <w:color w:val="000000"/>
                <w:sz w:val="14"/>
                <w:szCs w:val="14"/>
              </w:rPr>
              <w:t>13,577 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E34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34B"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E34C"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E34D" w14:textId="77777777" w:rsidR="00584EC1" w:rsidRDefault="00871F8D">
            <w:pPr>
              <w:jc w:val="right"/>
              <w:textAlignment w:val="bottom"/>
            </w:pPr>
            <w:r>
              <w:rPr>
                <w:rFonts w:ascii="Arial" w:eastAsia="宋体" w:hAnsi="Arial" w:cs="Arial"/>
                <w:color w:val="000000"/>
                <w:sz w:val="14"/>
                <w:szCs w:val="14"/>
              </w:rPr>
              <w:t>20,266 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E34E" w14:textId="77777777" w:rsidR="00584EC1" w:rsidRDefault="00584EC1">
            <w:pPr>
              <w:jc w:val="right"/>
              <w:rPr>
                <w:rFonts w:ascii="宋体"/>
              </w:rPr>
            </w:pPr>
          </w:p>
        </w:tc>
      </w:tr>
      <w:tr w:rsidR="00584EC1" w14:paraId="74DDE362" w14:textId="77777777">
        <w:tc>
          <w:tcPr>
            <w:tcW w:w="0" w:type="auto"/>
            <w:gridSpan w:val="3"/>
            <w:shd w:val="clear" w:color="auto" w:fill="FFFFFF"/>
            <w:tcMar>
              <w:top w:w="40" w:type="dxa"/>
              <w:left w:w="155" w:type="dxa"/>
              <w:bottom w:w="40" w:type="dxa"/>
              <w:right w:w="20" w:type="dxa"/>
            </w:tcMar>
            <w:vAlign w:val="bottom"/>
          </w:tcPr>
          <w:p w14:paraId="74DDE350" w14:textId="77777777" w:rsidR="00584EC1" w:rsidRDefault="00871F8D">
            <w:pPr>
              <w:textAlignment w:val="bottom"/>
            </w:pPr>
            <w:r>
              <w:rPr>
                <w:rFonts w:ascii="Arial" w:eastAsia="宋体" w:hAnsi="Arial" w:cs="Arial"/>
                <w:color w:val="000000"/>
                <w:sz w:val="14"/>
                <w:szCs w:val="14"/>
              </w:rPr>
              <w:t>Commercial real estate:</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E351"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E352"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E353"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E354"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E355"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E356"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E357"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E358"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E359"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E35A" w14:textId="77777777" w:rsidR="00584EC1" w:rsidRDefault="00584EC1">
            <w:pPr>
              <w:rPr>
                <w:rFonts w:ascii="宋体"/>
              </w:rPr>
            </w:pPr>
          </w:p>
        </w:tc>
        <w:tc>
          <w:tcPr>
            <w:tcW w:w="0" w:type="auto"/>
            <w:shd w:val="clear" w:color="auto" w:fill="auto"/>
            <w:vAlign w:val="bottom"/>
          </w:tcPr>
          <w:p w14:paraId="74DDE35B" w14:textId="77777777" w:rsidR="00584EC1" w:rsidRDefault="00584EC1">
            <w:pPr>
              <w:rPr>
                <w:rFonts w:ascii="宋体"/>
                <w:vanish/>
              </w:rPr>
            </w:pPr>
          </w:p>
        </w:tc>
        <w:tc>
          <w:tcPr>
            <w:tcW w:w="0" w:type="auto"/>
            <w:shd w:val="clear" w:color="auto" w:fill="auto"/>
            <w:vAlign w:val="bottom"/>
          </w:tcPr>
          <w:p w14:paraId="74DDE35C" w14:textId="77777777" w:rsidR="00584EC1" w:rsidRDefault="00584EC1">
            <w:pPr>
              <w:rPr>
                <w:rFonts w:ascii="宋体"/>
                <w:vanish/>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E35D"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E35E"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E35F"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E360"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E361" w14:textId="77777777" w:rsidR="00584EC1" w:rsidRDefault="00584EC1">
            <w:pPr>
              <w:rPr>
                <w:rFonts w:ascii="宋体"/>
              </w:rPr>
            </w:pPr>
          </w:p>
        </w:tc>
      </w:tr>
      <w:tr w:rsidR="00584EC1" w14:paraId="74DDE375" w14:textId="77777777">
        <w:tc>
          <w:tcPr>
            <w:tcW w:w="0" w:type="auto"/>
            <w:gridSpan w:val="3"/>
            <w:shd w:val="clear" w:color="auto" w:fill="CCEEFF"/>
            <w:tcMar>
              <w:top w:w="40" w:type="dxa"/>
              <w:left w:w="245" w:type="dxa"/>
              <w:bottom w:w="40" w:type="dxa"/>
              <w:right w:w="20" w:type="dxa"/>
            </w:tcMar>
            <w:vAlign w:val="bottom"/>
          </w:tcPr>
          <w:p w14:paraId="74DDE363" w14:textId="77777777" w:rsidR="00584EC1" w:rsidRDefault="00871F8D">
            <w:pPr>
              <w:textAlignment w:val="bottom"/>
            </w:pPr>
            <w:r>
              <w:rPr>
                <w:rFonts w:ascii="Arial" w:eastAsia="宋体" w:hAnsi="Arial" w:cs="Arial"/>
                <w:color w:val="000000"/>
                <w:sz w:val="14"/>
                <w:szCs w:val="14"/>
              </w:rPr>
              <w:t>Risk Rating:</w:t>
            </w:r>
          </w:p>
        </w:tc>
        <w:tc>
          <w:tcPr>
            <w:tcW w:w="0" w:type="auto"/>
            <w:gridSpan w:val="3"/>
            <w:shd w:val="clear" w:color="auto" w:fill="CCEEFF"/>
            <w:tcMar>
              <w:top w:w="0" w:type="dxa"/>
              <w:left w:w="20" w:type="dxa"/>
              <w:bottom w:w="0" w:type="dxa"/>
              <w:right w:w="20" w:type="dxa"/>
            </w:tcMar>
            <w:vAlign w:val="bottom"/>
          </w:tcPr>
          <w:p w14:paraId="74DDE364"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E365"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E366"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E367"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E368"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E369"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E36A"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E36B"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E36C"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E36D" w14:textId="77777777" w:rsidR="00584EC1" w:rsidRDefault="00584EC1">
            <w:pPr>
              <w:rPr>
                <w:rFonts w:ascii="宋体"/>
              </w:rPr>
            </w:pPr>
          </w:p>
        </w:tc>
        <w:tc>
          <w:tcPr>
            <w:tcW w:w="0" w:type="auto"/>
            <w:shd w:val="clear" w:color="auto" w:fill="auto"/>
            <w:vAlign w:val="bottom"/>
          </w:tcPr>
          <w:p w14:paraId="74DDE36E" w14:textId="77777777" w:rsidR="00584EC1" w:rsidRDefault="00584EC1">
            <w:pPr>
              <w:rPr>
                <w:rFonts w:ascii="宋体"/>
                <w:vanish/>
              </w:rPr>
            </w:pPr>
          </w:p>
        </w:tc>
        <w:tc>
          <w:tcPr>
            <w:tcW w:w="0" w:type="auto"/>
            <w:shd w:val="clear" w:color="auto" w:fill="auto"/>
            <w:vAlign w:val="bottom"/>
          </w:tcPr>
          <w:p w14:paraId="74DDE36F" w14:textId="77777777" w:rsidR="00584EC1" w:rsidRDefault="00584EC1">
            <w:pPr>
              <w:rPr>
                <w:rFonts w:ascii="宋体"/>
                <w:vanish/>
              </w:rPr>
            </w:pPr>
          </w:p>
        </w:tc>
        <w:tc>
          <w:tcPr>
            <w:tcW w:w="0" w:type="auto"/>
            <w:gridSpan w:val="3"/>
            <w:shd w:val="clear" w:color="auto" w:fill="CCEEFF"/>
            <w:tcMar>
              <w:top w:w="0" w:type="dxa"/>
              <w:left w:w="20" w:type="dxa"/>
              <w:bottom w:w="0" w:type="dxa"/>
              <w:right w:w="20" w:type="dxa"/>
            </w:tcMar>
            <w:vAlign w:val="bottom"/>
          </w:tcPr>
          <w:p w14:paraId="74DDE370"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E371"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E372"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E373"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E374" w14:textId="77777777" w:rsidR="00584EC1" w:rsidRDefault="00584EC1">
            <w:pPr>
              <w:rPr>
                <w:rFonts w:ascii="宋体"/>
              </w:rPr>
            </w:pPr>
          </w:p>
        </w:tc>
      </w:tr>
      <w:tr w:rsidR="00584EC1" w14:paraId="74DDE397" w14:textId="77777777">
        <w:tc>
          <w:tcPr>
            <w:tcW w:w="0" w:type="auto"/>
            <w:gridSpan w:val="3"/>
            <w:shd w:val="clear" w:color="auto" w:fill="FFFFFF"/>
            <w:tcMar>
              <w:top w:w="40" w:type="dxa"/>
              <w:left w:w="380" w:type="dxa"/>
              <w:bottom w:w="40" w:type="dxa"/>
              <w:right w:w="20" w:type="dxa"/>
            </w:tcMar>
            <w:vAlign w:val="bottom"/>
          </w:tcPr>
          <w:p w14:paraId="74DDE376" w14:textId="77777777" w:rsidR="00584EC1" w:rsidRDefault="00871F8D">
            <w:pPr>
              <w:textAlignment w:val="bottom"/>
            </w:pPr>
            <w:r>
              <w:rPr>
                <w:rFonts w:ascii="Arial" w:eastAsia="宋体" w:hAnsi="Arial" w:cs="Arial"/>
                <w:color w:val="000000"/>
                <w:sz w:val="14"/>
                <w:szCs w:val="14"/>
              </w:rPr>
              <w:t>Investment grade</w:t>
            </w:r>
          </w:p>
        </w:tc>
        <w:tc>
          <w:tcPr>
            <w:tcW w:w="0" w:type="auto"/>
            <w:shd w:val="clear" w:color="auto" w:fill="FFFFFF"/>
            <w:tcMar>
              <w:top w:w="40" w:type="dxa"/>
              <w:left w:w="20" w:type="dxa"/>
              <w:bottom w:w="40" w:type="dxa"/>
              <w:right w:w="0" w:type="dxa"/>
            </w:tcMar>
            <w:vAlign w:val="bottom"/>
          </w:tcPr>
          <w:p w14:paraId="74DDE377" w14:textId="77777777" w:rsidR="00584EC1" w:rsidRDefault="00871F8D">
            <w:pPr>
              <w:textAlignment w:val="bottom"/>
            </w:pPr>
            <w:r>
              <w:rPr>
                <w:rFonts w:ascii="Arial" w:eastAsia="宋体" w:hAnsi="Arial" w:cs="Arial"/>
                <w:b/>
                <w:bCs/>
                <w:color w:val="000000"/>
                <w:sz w:val="14"/>
                <w:szCs w:val="14"/>
              </w:rPr>
              <w:t>$</w:t>
            </w:r>
          </w:p>
        </w:tc>
        <w:tc>
          <w:tcPr>
            <w:tcW w:w="0" w:type="auto"/>
            <w:shd w:val="clear" w:color="auto" w:fill="FFFFFF"/>
            <w:tcMar>
              <w:top w:w="40" w:type="dxa"/>
              <w:left w:w="0" w:type="dxa"/>
              <w:bottom w:w="40" w:type="dxa"/>
              <w:right w:w="0" w:type="dxa"/>
            </w:tcMar>
            <w:vAlign w:val="bottom"/>
          </w:tcPr>
          <w:p w14:paraId="74DDE378" w14:textId="77777777" w:rsidR="00584EC1" w:rsidRDefault="00871F8D">
            <w:pPr>
              <w:jc w:val="right"/>
              <w:textAlignment w:val="bottom"/>
            </w:pPr>
            <w:r>
              <w:rPr>
                <w:rFonts w:ascii="Arial" w:eastAsia="宋体" w:hAnsi="Arial" w:cs="Arial"/>
                <w:b/>
                <w:bCs/>
                <w:color w:val="000000"/>
                <w:sz w:val="14"/>
                <w:szCs w:val="14"/>
              </w:rPr>
              <w:t>321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37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37A" w14:textId="77777777" w:rsidR="00584EC1" w:rsidRDefault="00584EC1">
            <w:pPr>
              <w:rPr>
                <w:rFonts w:ascii="宋体"/>
              </w:rPr>
            </w:pPr>
          </w:p>
        </w:tc>
        <w:tc>
          <w:tcPr>
            <w:tcW w:w="0" w:type="auto"/>
            <w:shd w:val="clear" w:color="auto" w:fill="FFFFFF"/>
            <w:tcMar>
              <w:top w:w="40" w:type="dxa"/>
              <w:left w:w="20" w:type="dxa"/>
              <w:bottom w:w="40" w:type="dxa"/>
              <w:right w:w="0" w:type="dxa"/>
            </w:tcMar>
            <w:vAlign w:val="bottom"/>
          </w:tcPr>
          <w:p w14:paraId="74DDE37B" w14:textId="77777777" w:rsidR="00584EC1" w:rsidRDefault="00871F8D">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74DDE37C" w14:textId="77777777" w:rsidR="00584EC1" w:rsidRDefault="00871F8D">
            <w:pPr>
              <w:jc w:val="right"/>
              <w:textAlignment w:val="bottom"/>
            </w:pPr>
            <w:r>
              <w:rPr>
                <w:rFonts w:ascii="Arial" w:eastAsia="宋体" w:hAnsi="Arial" w:cs="Arial"/>
                <w:color w:val="000000"/>
                <w:sz w:val="14"/>
                <w:szCs w:val="14"/>
              </w:rPr>
              <w:t>129 </w:t>
            </w:r>
          </w:p>
        </w:tc>
        <w:tc>
          <w:tcPr>
            <w:tcW w:w="0" w:type="auto"/>
            <w:shd w:val="clear" w:color="auto" w:fill="FFFFFF"/>
            <w:tcMar>
              <w:top w:w="40" w:type="dxa"/>
              <w:left w:w="0" w:type="dxa"/>
              <w:bottom w:w="40" w:type="dxa"/>
              <w:right w:w="20" w:type="dxa"/>
            </w:tcMar>
            <w:vAlign w:val="bottom"/>
          </w:tcPr>
          <w:p w14:paraId="74DDE37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37E" w14:textId="77777777" w:rsidR="00584EC1" w:rsidRDefault="00584EC1">
            <w:pPr>
              <w:rPr>
                <w:rFonts w:ascii="宋体"/>
              </w:rPr>
            </w:pPr>
          </w:p>
        </w:tc>
        <w:tc>
          <w:tcPr>
            <w:tcW w:w="0" w:type="auto"/>
            <w:shd w:val="clear" w:color="auto" w:fill="FFFFFF"/>
            <w:tcMar>
              <w:top w:w="40" w:type="dxa"/>
              <w:left w:w="20" w:type="dxa"/>
              <w:bottom w:w="40" w:type="dxa"/>
              <w:right w:w="0" w:type="dxa"/>
            </w:tcMar>
            <w:vAlign w:val="bottom"/>
          </w:tcPr>
          <w:p w14:paraId="74DDE37F" w14:textId="77777777" w:rsidR="00584EC1" w:rsidRDefault="00871F8D">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74DDE380" w14:textId="77777777" w:rsidR="00584EC1" w:rsidRDefault="00871F8D">
            <w:pPr>
              <w:jc w:val="right"/>
              <w:textAlignment w:val="bottom"/>
            </w:pPr>
            <w:r>
              <w:rPr>
                <w:rFonts w:ascii="Arial" w:eastAsia="宋体" w:hAnsi="Arial" w:cs="Arial"/>
                <w:color w:val="000000"/>
                <w:sz w:val="14"/>
                <w:szCs w:val="14"/>
              </w:rPr>
              <w:t>383 </w:t>
            </w:r>
          </w:p>
        </w:tc>
        <w:tc>
          <w:tcPr>
            <w:tcW w:w="0" w:type="auto"/>
            <w:shd w:val="clear" w:color="auto" w:fill="FFFFFF"/>
            <w:tcMar>
              <w:top w:w="40" w:type="dxa"/>
              <w:left w:w="0" w:type="dxa"/>
              <w:bottom w:w="40" w:type="dxa"/>
              <w:right w:w="20" w:type="dxa"/>
            </w:tcMar>
            <w:vAlign w:val="bottom"/>
          </w:tcPr>
          <w:p w14:paraId="74DDE38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38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383" w14:textId="77777777" w:rsidR="00584EC1" w:rsidRDefault="00871F8D">
            <w:pPr>
              <w:jc w:val="right"/>
              <w:textAlignment w:val="bottom"/>
            </w:pPr>
            <w:r>
              <w:rPr>
                <w:rFonts w:ascii="Arial" w:eastAsia="宋体" w:hAnsi="Arial" w:cs="Arial"/>
                <w:color w:val="000000"/>
                <w:sz w:val="14"/>
                <w:szCs w:val="14"/>
              </w:rPr>
              <w:t>657 </w:t>
            </w:r>
          </w:p>
        </w:tc>
        <w:tc>
          <w:tcPr>
            <w:tcW w:w="0" w:type="auto"/>
            <w:shd w:val="clear" w:color="auto" w:fill="FFFFFF"/>
            <w:tcMar>
              <w:top w:w="40" w:type="dxa"/>
              <w:left w:w="0" w:type="dxa"/>
              <w:bottom w:w="40" w:type="dxa"/>
              <w:right w:w="20" w:type="dxa"/>
            </w:tcMar>
            <w:vAlign w:val="bottom"/>
          </w:tcPr>
          <w:p w14:paraId="74DDE38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385" w14:textId="77777777" w:rsidR="00584EC1" w:rsidRDefault="00584EC1">
            <w:pPr>
              <w:rPr>
                <w:rFonts w:ascii="宋体"/>
              </w:rPr>
            </w:pPr>
          </w:p>
        </w:tc>
        <w:tc>
          <w:tcPr>
            <w:tcW w:w="0" w:type="auto"/>
            <w:shd w:val="clear" w:color="auto" w:fill="FFFFFF"/>
            <w:tcMar>
              <w:top w:w="40" w:type="dxa"/>
              <w:left w:w="20" w:type="dxa"/>
              <w:bottom w:w="40" w:type="dxa"/>
              <w:right w:w="0" w:type="dxa"/>
            </w:tcMar>
            <w:vAlign w:val="bottom"/>
          </w:tcPr>
          <w:p w14:paraId="74DDE386" w14:textId="77777777" w:rsidR="00584EC1" w:rsidRDefault="00871F8D">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74DDE387" w14:textId="77777777" w:rsidR="00584EC1" w:rsidRDefault="00871F8D">
            <w:pPr>
              <w:jc w:val="right"/>
              <w:textAlignment w:val="bottom"/>
            </w:pPr>
            <w:r>
              <w:rPr>
                <w:rFonts w:ascii="Arial" w:eastAsia="宋体" w:hAnsi="Arial" w:cs="Arial"/>
                <w:color w:val="000000"/>
                <w:sz w:val="14"/>
                <w:szCs w:val="14"/>
              </w:rPr>
              <w:t>276 </w:t>
            </w:r>
          </w:p>
        </w:tc>
        <w:tc>
          <w:tcPr>
            <w:tcW w:w="0" w:type="auto"/>
            <w:shd w:val="clear" w:color="auto" w:fill="FFFFFF"/>
            <w:tcMar>
              <w:top w:w="40" w:type="dxa"/>
              <w:left w:w="0" w:type="dxa"/>
              <w:bottom w:w="40" w:type="dxa"/>
              <w:right w:w="20" w:type="dxa"/>
            </w:tcMar>
            <w:vAlign w:val="bottom"/>
          </w:tcPr>
          <w:p w14:paraId="74DDE38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389" w14:textId="77777777" w:rsidR="00584EC1" w:rsidRDefault="00584EC1">
            <w:pPr>
              <w:rPr>
                <w:rFonts w:ascii="宋体"/>
              </w:rPr>
            </w:pPr>
          </w:p>
        </w:tc>
        <w:tc>
          <w:tcPr>
            <w:tcW w:w="0" w:type="auto"/>
            <w:shd w:val="clear" w:color="auto" w:fill="auto"/>
            <w:vAlign w:val="bottom"/>
          </w:tcPr>
          <w:p w14:paraId="74DDE38A" w14:textId="77777777" w:rsidR="00584EC1" w:rsidRDefault="00584EC1">
            <w:pPr>
              <w:rPr>
                <w:rFonts w:ascii="宋体"/>
                <w:vanish/>
              </w:rPr>
            </w:pPr>
          </w:p>
        </w:tc>
        <w:tc>
          <w:tcPr>
            <w:tcW w:w="0" w:type="auto"/>
            <w:shd w:val="clear" w:color="auto" w:fill="auto"/>
            <w:vAlign w:val="bottom"/>
          </w:tcPr>
          <w:p w14:paraId="74DDE38B" w14:textId="77777777" w:rsidR="00584EC1" w:rsidRDefault="00584EC1">
            <w:pPr>
              <w:rPr>
                <w:rFonts w:ascii="宋体"/>
                <w:vanish/>
              </w:rPr>
            </w:pPr>
          </w:p>
        </w:tc>
        <w:tc>
          <w:tcPr>
            <w:tcW w:w="0" w:type="auto"/>
            <w:shd w:val="clear" w:color="auto" w:fill="FFFFFF"/>
            <w:tcMar>
              <w:top w:w="40" w:type="dxa"/>
              <w:left w:w="20" w:type="dxa"/>
              <w:bottom w:w="40" w:type="dxa"/>
              <w:right w:w="0" w:type="dxa"/>
            </w:tcMar>
            <w:vAlign w:val="bottom"/>
          </w:tcPr>
          <w:p w14:paraId="74DDE38C" w14:textId="77777777" w:rsidR="00584EC1" w:rsidRDefault="00871F8D">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74DDE38D" w14:textId="77777777" w:rsidR="00584EC1" w:rsidRDefault="00871F8D">
            <w:pPr>
              <w:jc w:val="right"/>
              <w:textAlignment w:val="bottom"/>
            </w:pPr>
            <w:r>
              <w:rPr>
                <w:rFonts w:ascii="Arial" w:eastAsia="宋体" w:hAnsi="Arial" w:cs="Arial"/>
                <w:color w:val="000000"/>
                <w:sz w:val="14"/>
                <w:szCs w:val="14"/>
              </w:rPr>
              <w:t>197 </w:t>
            </w:r>
          </w:p>
        </w:tc>
        <w:tc>
          <w:tcPr>
            <w:tcW w:w="0" w:type="auto"/>
            <w:shd w:val="clear" w:color="auto" w:fill="FFFFFF"/>
            <w:tcMar>
              <w:top w:w="40" w:type="dxa"/>
              <w:left w:w="0" w:type="dxa"/>
              <w:bottom w:w="40" w:type="dxa"/>
              <w:right w:w="20" w:type="dxa"/>
            </w:tcMar>
            <w:vAlign w:val="bottom"/>
          </w:tcPr>
          <w:p w14:paraId="74DDE38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38F" w14:textId="77777777" w:rsidR="00584EC1" w:rsidRDefault="00584EC1">
            <w:pPr>
              <w:rPr>
                <w:rFonts w:ascii="宋体"/>
              </w:rPr>
            </w:pPr>
          </w:p>
        </w:tc>
        <w:tc>
          <w:tcPr>
            <w:tcW w:w="0" w:type="auto"/>
            <w:shd w:val="clear" w:color="auto" w:fill="FFFFFF"/>
            <w:tcMar>
              <w:top w:w="40" w:type="dxa"/>
              <w:left w:w="20" w:type="dxa"/>
              <w:bottom w:w="40" w:type="dxa"/>
              <w:right w:w="0" w:type="dxa"/>
            </w:tcMar>
            <w:vAlign w:val="bottom"/>
          </w:tcPr>
          <w:p w14:paraId="74DDE390" w14:textId="77777777" w:rsidR="00584EC1" w:rsidRDefault="00871F8D">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74DDE391"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39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393" w14:textId="77777777" w:rsidR="00584EC1" w:rsidRDefault="00584EC1">
            <w:pPr>
              <w:rPr>
                <w:rFonts w:ascii="宋体"/>
              </w:rPr>
            </w:pPr>
          </w:p>
        </w:tc>
        <w:tc>
          <w:tcPr>
            <w:tcW w:w="0" w:type="auto"/>
            <w:shd w:val="clear" w:color="auto" w:fill="FFFFFF"/>
            <w:tcMar>
              <w:top w:w="40" w:type="dxa"/>
              <w:left w:w="20" w:type="dxa"/>
              <w:bottom w:w="40" w:type="dxa"/>
              <w:right w:w="0" w:type="dxa"/>
            </w:tcMar>
            <w:vAlign w:val="bottom"/>
          </w:tcPr>
          <w:p w14:paraId="74DDE394" w14:textId="77777777" w:rsidR="00584EC1" w:rsidRDefault="00871F8D">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74DDE395" w14:textId="77777777" w:rsidR="00584EC1" w:rsidRDefault="00871F8D">
            <w:pPr>
              <w:jc w:val="right"/>
              <w:textAlignment w:val="bottom"/>
            </w:pPr>
            <w:r>
              <w:rPr>
                <w:rFonts w:ascii="Arial" w:eastAsia="宋体" w:hAnsi="Arial" w:cs="Arial"/>
                <w:color w:val="000000"/>
                <w:sz w:val="14"/>
                <w:szCs w:val="14"/>
              </w:rPr>
              <w:t>1,963 </w:t>
            </w:r>
          </w:p>
        </w:tc>
        <w:tc>
          <w:tcPr>
            <w:tcW w:w="0" w:type="auto"/>
            <w:shd w:val="clear" w:color="auto" w:fill="FFFFFF"/>
            <w:tcMar>
              <w:top w:w="40" w:type="dxa"/>
              <w:left w:w="0" w:type="dxa"/>
              <w:bottom w:w="40" w:type="dxa"/>
              <w:right w:w="20" w:type="dxa"/>
            </w:tcMar>
            <w:vAlign w:val="bottom"/>
          </w:tcPr>
          <w:p w14:paraId="74DDE396" w14:textId="77777777" w:rsidR="00584EC1" w:rsidRDefault="00584EC1">
            <w:pPr>
              <w:jc w:val="right"/>
              <w:rPr>
                <w:rFonts w:ascii="宋体"/>
              </w:rPr>
            </w:pPr>
          </w:p>
        </w:tc>
      </w:tr>
      <w:tr w:rsidR="00584EC1" w14:paraId="74DDE3B2" w14:textId="77777777">
        <w:tc>
          <w:tcPr>
            <w:tcW w:w="0" w:type="auto"/>
            <w:gridSpan w:val="3"/>
            <w:shd w:val="clear" w:color="auto" w:fill="CCEEFF"/>
            <w:tcMar>
              <w:top w:w="40" w:type="dxa"/>
              <w:left w:w="380" w:type="dxa"/>
              <w:bottom w:w="40" w:type="dxa"/>
              <w:right w:w="20" w:type="dxa"/>
            </w:tcMar>
            <w:vAlign w:val="bottom"/>
          </w:tcPr>
          <w:p w14:paraId="74DDE398" w14:textId="77777777" w:rsidR="00584EC1" w:rsidRDefault="00871F8D">
            <w:pPr>
              <w:textAlignment w:val="bottom"/>
            </w:pPr>
            <w:r>
              <w:rPr>
                <w:rFonts w:ascii="Arial" w:eastAsia="宋体" w:hAnsi="Arial" w:cs="Arial"/>
                <w:color w:val="000000"/>
                <w:sz w:val="14"/>
                <w:szCs w:val="14"/>
              </w:rPr>
              <w:t>Speculative</w:t>
            </w:r>
          </w:p>
        </w:tc>
        <w:tc>
          <w:tcPr>
            <w:tcW w:w="0" w:type="auto"/>
            <w:gridSpan w:val="2"/>
            <w:shd w:val="clear" w:color="auto" w:fill="CCEEFF"/>
            <w:tcMar>
              <w:top w:w="40" w:type="dxa"/>
              <w:left w:w="20" w:type="dxa"/>
              <w:bottom w:w="40" w:type="dxa"/>
              <w:right w:w="0" w:type="dxa"/>
            </w:tcMar>
            <w:vAlign w:val="bottom"/>
          </w:tcPr>
          <w:p w14:paraId="74DDE399" w14:textId="77777777" w:rsidR="00584EC1" w:rsidRDefault="00871F8D">
            <w:pPr>
              <w:jc w:val="right"/>
              <w:textAlignment w:val="bottom"/>
            </w:pPr>
            <w:r>
              <w:rPr>
                <w:rFonts w:ascii="Arial" w:eastAsia="宋体" w:hAnsi="Arial" w:cs="Arial"/>
                <w:b/>
                <w:bCs/>
                <w:color w:val="000000"/>
                <w:sz w:val="14"/>
                <w:szCs w:val="14"/>
              </w:rPr>
              <w:t>120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E39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39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E39C" w14:textId="77777777" w:rsidR="00584EC1" w:rsidRDefault="00871F8D">
            <w:pPr>
              <w:jc w:val="right"/>
              <w:textAlignment w:val="bottom"/>
            </w:pPr>
            <w:r>
              <w:rPr>
                <w:rFonts w:ascii="Arial" w:eastAsia="宋体" w:hAnsi="Arial" w:cs="Arial"/>
                <w:color w:val="000000"/>
                <w:sz w:val="14"/>
                <w:szCs w:val="14"/>
              </w:rPr>
              <w:t>49 </w:t>
            </w:r>
          </w:p>
        </w:tc>
        <w:tc>
          <w:tcPr>
            <w:tcW w:w="0" w:type="auto"/>
            <w:shd w:val="clear" w:color="auto" w:fill="CCEEFF"/>
            <w:tcMar>
              <w:top w:w="40" w:type="dxa"/>
              <w:left w:w="0" w:type="dxa"/>
              <w:bottom w:w="40" w:type="dxa"/>
              <w:right w:w="20" w:type="dxa"/>
            </w:tcMar>
            <w:vAlign w:val="bottom"/>
          </w:tcPr>
          <w:p w14:paraId="74DDE39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39E"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E39F" w14:textId="77777777" w:rsidR="00584EC1" w:rsidRDefault="00871F8D">
            <w:pPr>
              <w:jc w:val="right"/>
              <w:textAlignment w:val="bottom"/>
            </w:pPr>
            <w:r>
              <w:rPr>
                <w:rFonts w:ascii="Arial" w:eastAsia="宋体" w:hAnsi="Arial" w:cs="Arial"/>
                <w:color w:val="000000"/>
                <w:sz w:val="14"/>
                <w:szCs w:val="14"/>
              </w:rPr>
              <w:t>166 </w:t>
            </w:r>
          </w:p>
        </w:tc>
        <w:tc>
          <w:tcPr>
            <w:tcW w:w="0" w:type="auto"/>
            <w:shd w:val="clear" w:color="auto" w:fill="CCEEFF"/>
            <w:tcMar>
              <w:top w:w="40" w:type="dxa"/>
              <w:left w:w="0" w:type="dxa"/>
              <w:bottom w:w="40" w:type="dxa"/>
              <w:right w:w="20" w:type="dxa"/>
            </w:tcMar>
            <w:vAlign w:val="bottom"/>
          </w:tcPr>
          <w:p w14:paraId="74DDE3A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3A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E3A2" w14:textId="77777777" w:rsidR="00584EC1" w:rsidRDefault="00871F8D">
            <w:pPr>
              <w:jc w:val="right"/>
              <w:textAlignment w:val="bottom"/>
            </w:pPr>
            <w:r>
              <w:rPr>
                <w:rFonts w:ascii="Arial" w:eastAsia="宋体" w:hAnsi="Arial" w:cs="Arial"/>
                <w:color w:val="000000"/>
                <w:sz w:val="14"/>
                <w:szCs w:val="14"/>
              </w:rPr>
              <w:t>20 </w:t>
            </w:r>
          </w:p>
        </w:tc>
        <w:tc>
          <w:tcPr>
            <w:tcW w:w="0" w:type="auto"/>
            <w:shd w:val="clear" w:color="auto" w:fill="CCEEFF"/>
            <w:tcMar>
              <w:top w:w="40" w:type="dxa"/>
              <w:left w:w="0" w:type="dxa"/>
              <w:bottom w:w="40" w:type="dxa"/>
              <w:right w:w="20" w:type="dxa"/>
            </w:tcMar>
            <w:vAlign w:val="bottom"/>
          </w:tcPr>
          <w:p w14:paraId="74DDE3A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3A4"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E3A5"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E3A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3A7" w14:textId="77777777" w:rsidR="00584EC1" w:rsidRDefault="00584EC1">
            <w:pPr>
              <w:rPr>
                <w:rFonts w:ascii="宋体"/>
              </w:rPr>
            </w:pPr>
          </w:p>
        </w:tc>
        <w:tc>
          <w:tcPr>
            <w:tcW w:w="0" w:type="auto"/>
            <w:shd w:val="clear" w:color="auto" w:fill="auto"/>
            <w:vAlign w:val="bottom"/>
          </w:tcPr>
          <w:p w14:paraId="74DDE3A8" w14:textId="77777777" w:rsidR="00584EC1" w:rsidRDefault="00584EC1">
            <w:pPr>
              <w:rPr>
                <w:rFonts w:ascii="宋体"/>
                <w:vanish/>
              </w:rPr>
            </w:pPr>
          </w:p>
        </w:tc>
        <w:tc>
          <w:tcPr>
            <w:tcW w:w="0" w:type="auto"/>
            <w:shd w:val="clear" w:color="auto" w:fill="auto"/>
            <w:vAlign w:val="bottom"/>
          </w:tcPr>
          <w:p w14:paraId="74DDE3A9" w14:textId="77777777" w:rsidR="00584EC1" w:rsidRDefault="00584EC1">
            <w:pPr>
              <w:rPr>
                <w:rFonts w:ascii="宋体"/>
                <w:vanish/>
              </w:rPr>
            </w:pPr>
          </w:p>
        </w:tc>
        <w:tc>
          <w:tcPr>
            <w:tcW w:w="0" w:type="auto"/>
            <w:gridSpan w:val="2"/>
            <w:shd w:val="clear" w:color="auto" w:fill="CCEEFF"/>
            <w:tcMar>
              <w:top w:w="40" w:type="dxa"/>
              <w:left w:w="20" w:type="dxa"/>
              <w:bottom w:w="40" w:type="dxa"/>
              <w:right w:w="0" w:type="dxa"/>
            </w:tcMar>
            <w:vAlign w:val="bottom"/>
          </w:tcPr>
          <w:p w14:paraId="74DDE3AA" w14:textId="77777777" w:rsidR="00584EC1" w:rsidRDefault="00871F8D">
            <w:pPr>
              <w:jc w:val="right"/>
              <w:textAlignment w:val="bottom"/>
            </w:pPr>
            <w:r>
              <w:rPr>
                <w:rFonts w:ascii="Arial" w:eastAsia="宋体" w:hAnsi="Arial" w:cs="Arial"/>
                <w:color w:val="000000"/>
                <w:sz w:val="14"/>
                <w:szCs w:val="14"/>
              </w:rPr>
              <w:t>28 </w:t>
            </w:r>
          </w:p>
        </w:tc>
        <w:tc>
          <w:tcPr>
            <w:tcW w:w="0" w:type="auto"/>
            <w:shd w:val="clear" w:color="auto" w:fill="CCEEFF"/>
            <w:tcMar>
              <w:top w:w="40" w:type="dxa"/>
              <w:left w:w="0" w:type="dxa"/>
              <w:bottom w:w="40" w:type="dxa"/>
              <w:right w:w="20" w:type="dxa"/>
            </w:tcMar>
            <w:vAlign w:val="bottom"/>
          </w:tcPr>
          <w:p w14:paraId="74DDE3A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3AC"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E3AD"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E3A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3AF"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E3B0" w14:textId="77777777" w:rsidR="00584EC1" w:rsidRDefault="00871F8D">
            <w:pPr>
              <w:jc w:val="right"/>
              <w:textAlignment w:val="bottom"/>
            </w:pPr>
            <w:r>
              <w:rPr>
                <w:rFonts w:ascii="Arial" w:eastAsia="宋体" w:hAnsi="Arial" w:cs="Arial"/>
                <w:color w:val="000000"/>
                <w:sz w:val="14"/>
                <w:szCs w:val="14"/>
              </w:rPr>
              <w:t>383 </w:t>
            </w:r>
          </w:p>
        </w:tc>
        <w:tc>
          <w:tcPr>
            <w:tcW w:w="0" w:type="auto"/>
            <w:shd w:val="clear" w:color="auto" w:fill="CCEEFF"/>
            <w:tcMar>
              <w:top w:w="40" w:type="dxa"/>
              <w:left w:w="0" w:type="dxa"/>
              <w:bottom w:w="40" w:type="dxa"/>
              <w:right w:w="20" w:type="dxa"/>
            </w:tcMar>
            <w:vAlign w:val="bottom"/>
          </w:tcPr>
          <w:p w14:paraId="74DDE3B1" w14:textId="77777777" w:rsidR="00584EC1" w:rsidRDefault="00584EC1">
            <w:pPr>
              <w:jc w:val="right"/>
              <w:rPr>
                <w:rFonts w:ascii="宋体"/>
              </w:rPr>
            </w:pPr>
          </w:p>
        </w:tc>
      </w:tr>
      <w:tr w:rsidR="00584EC1" w14:paraId="74DDE3CD" w14:textId="77777777">
        <w:tc>
          <w:tcPr>
            <w:tcW w:w="0" w:type="auto"/>
            <w:gridSpan w:val="3"/>
            <w:shd w:val="clear" w:color="auto" w:fill="FFFFFF"/>
            <w:tcMar>
              <w:top w:w="40" w:type="dxa"/>
              <w:left w:w="380" w:type="dxa"/>
              <w:bottom w:w="40" w:type="dxa"/>
              <w:right w:w="20" w:type="dxa"/>
            </w:tcMar>
            <w:vAlign w:val="bottom"/>
          </w:tcPr>
          <w:p w14:paraId="74DDE3B3" w14:textId="77777777" w:rsidR="00584EC1" w:rsidRDefault="00871F8D">
            <w:pPr>
              <w:textAlignment w:val="bottom"/>
            </w:pPr>
            <w:r>
              <w:rPr>
                <w:rFonts w:ascii="Arial" w:eastAsia="宋体" w:hAnsi="Arial" w:cs="Arial"/>
                <w:color w:val="000000"/>
                <w:sz w:val="14"/>
                <w:szCs w:val="14"/>
              </w:rPr>
              <w:t>Special mention</w:t>
            </w:r>
          </w:p>
        </w:tc>
        <w:tc>
          <w:tcPr>
            <w:tcW w:w="0" w:type="auto"/>
            <w:gridSpan w:val="2"/>
            <w:shd w:val="clear" w:color="auto" w:fill="FFFFFF"/>
            <w:tcMar>
              <w:top w:w="40" w:type="dxa"/>
              <w:left w:w="20" w:type="dxa"/>
              <w:bottom w:w="40" w:type="dxa"/>
              <w:right w:w="0" w:type="dxa"/>
            </w:tcMar>
            <w:vAlign w:val="bottom"/>
          </w:tcPr>
          <w:p w14:paraId="74DDE3B4"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3B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3B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3B7"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3B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3B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3BA"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3B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3B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3BD" w14:textId="77777777" w:rsidR="00584EC1" w:rsidRDefault="00871F8D">
            <w:pPr>
              <w:jc w:val="right"/>
              <w:textAlignment w:val="bottom"/>
            </w:pPr>
            <w:r>
              <w:rPr>
                <w:rFonts w:ascii="Arial" w:eastAsia="宋体" w:hAnsi="Arial" w:cs="Arial"/>
                <w:b/>
                <w:bCs/>
                <w:color w:val="000000"/>
                <w:sz w:val="14"/>
                <w:szCs w:val="14"/>
              </w:rPr>
              <w:t>38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3B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3B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3C0"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3C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3C2" w14:textId="77777777" w:rsidR="00584EC1" w:rsidRDefault="00584EC1">
            <w:pPr>
              <w:rPr>
                <w:rFonts w:ascii="宋体"/>
              </w:rPr>
            </w:pPr>
          </w:p>
        </w:tc>
        <w:tc>
          <w:tcPr>
            <w:tcW w:w="0" w:type="auto"/>
            <w:shd w:val="clear" w:color="auto" w:fill="auto"/>
            <w:vAlign w:val="bottom"/>
          </w:tcPr>
          <w:p w14:paraId="74DDE3C3" w14:textId="77777777" w:rsidR="00584EC1" w:rsidRDefault="00584EC1">
            <w:pPr>
              <w:rPr>
                <w:rFonts w:ascii="宋体"/>
                <w:vanish/>
              </w:rPr>
            </w:pPr>
          </w:p>
        </w:tc>
        <w:tc>
          <w:tcPr>
            <w:tcW w:w="0" w:type="auto"/>
            <w:shd w:val="clear" w:color="auto" w:fill="auto"/>
            <w:vAlign w:val="bottom"/>
          </w:tcPr>
          <w:p w14:paraId="74DDE3C4"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DE3C5"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3C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3C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3C8"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3C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3C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3CB" w14:textId="77777777" w:rsidR="00584EC1" w:rsidRDefault="00871F8D">
            <w:pPr>
              <w:jc w:val="right"/>
              <w:textAlignment w:val="bottom"/>
            </w:pPr>
            <w:r>
              <w:rPr>
                <w:rFonts w:ascii="Arial" w:eastAsia="宋体" w:hAnsi="Arial" w:cs="Arial"/>
                <w:color w:val="000000"/>
                <w:sz w:val="14"/>
                <w:szCs w:val="14"/>
              </w:rPr>
              <w:t>38 </w:t>
            </w:r>
          </w:p>
        </w:tc>
        <w:tc>
          <w:tcPr>
            <w:tcW w:w="0" w:type="auto"/>
            <w:shd w:val="clear" w:color="auto" w:fill="FFFFFF"/>
            <w:tcMar>
              <w:top w:w="40" w:type="dxa"/>
              <w:left w:w="0" w:type="dxa"/>
              <w:bottom w:w="40" w:type="dxa"/>
              <w:right w:w="20" w:type="dxa"/>
            </w:tcMar>
            <w:vAlign w:val="bottom"/>
          </w:tcPr>
          <w:p w14:paraId="74DDE3CC" w14:textId="77777777" w:rsidR="00584EC1" w:rsidRDefault="00584EC1">
            <w:pPr>
              <w:jc w:val="right"/>
              <w:rPr>
                <w:rFonts w:ascii="宋体"/>
              </w:rPr>
            </w:pPr>
          </w:p>
        </w:tc>
      </w:tr>
      <w:tr w:rsidR="00584EC1" w14:paraId="74DDE3E0" w14:textId="77777777">
        <w:trPr>
          <w:hidden/>
        </w:trPr>
        <w:tc>
          <w:tcPr>
            <w:tcW w:w="0" w:type="auto"/>
            <w:gridSpan w:val="3"/>
            <w:shd w:val="clear" w:color="auto" w:fill="auto"/>
            <w:vAlign w:val="bottom"/>
          </w:tcPr>
          <w:p w14:paraId="74DDE3CE" w14:textId="77777777" w:rsidR="00584EC1" w:rsidRDefault="00584EC1">
            <w:pPr>
              <w:rPr>
                <w:rFonts w:ascii="宋体"/>
                <w:vanish/>
              </w:rPr>
            </w:pPr>
          </w:p>
        </w:tc>
        <w:tc>
          <w:tcPr>
            <w:tcW w:w="0" w:type="auto"/>
            <w:gridSpan w:val="3"/>
            <w:shd w:val="clear" w:color="auto" w:fill="auto"/>
            <w:vAlign w:val="bottom"/>
          </w:tcPr>
          <w:p w14:paraId="74DDE3CF" w14:textId="77777777" w:rsidR="00584EC1" w:rsidRDefault="00584EC1">
            <w:pPr>
              <w:rPr>
                <w:rFonts w:ascii="宋体"/>
                <w:vanish/>
              </w:rPr>
            </w:pPr>
          </w:p>
        </w:tc>
        <w:tc>
          <w:tcPr>
            <w:tcW w:w="0" w:type="auto"/>
            <w:gridSpan w:val="3"/>
            <w:shd w:val="clear" w:color="auto" w:fill="auto"/>
            <w:vAlign w:val="bottom"/>
          </w:tcPr>
          <w:p w14:paraId="74DDE3D0" w14:textId="77777777" w:rsidR="00584EC1" w:rsidRDefault="00584EC1">
            <w:pPr>
              <w:rPr>
                <w:rFonts w:ascii="宋体"/>
                <w:vanish/>
              </w:rPr>
            </w:pPr>
          </w:p>
        </w:tc>
        <w:tc>
          <w:tcPr>
            <w:tcW w:w="0" w:type="auto"/>
            <w:gridSpan w:val="3"/>
            <w:shd w:val="clear" w:color="auto" w:fill="auto"/>
            <w:vAlign w:val="bottom"/>
          </w:tcPr>
          <w:p w14:paraId="74DDE3D1" w14:textId="77777777" w:rsidR="00584EC1" w:rsidRDefault="00584EC1">
            <w:pPr>
              <w:rPr>
                <w:rFonts w:ascii="宋体"/>
                <w:vanish/>
              </w:rPr>
            </w:pPr>
          </w:p>
        </w:tc>
        <w:tc>
          <w:tcPr>
            <w:tcW w:w="0" w:type="auto"/>
            <w:gridSpan w:val="3"/>
            <w:shd w:val="clear" w:color="auto" w:fill="auto"/>
            <w:vAlign w:val="bottom"/>
          </w:tcPr>
          <w:p w14:paraId="74DDE3D2" w14:textId="77777777" w:rsidR="00584EC1" w:rsidRDefault="00584EC1">
            <w:pPr>
              <w:rPr>
                <w:rFonts w:ascii="宋体"/>
                <w:vanish/>
              </w:rPr>
            </w:pPr>
          </w:p>
        </w:tc>
        <w:tc>
          <w:tcPr>
            <w:tcW w:w="0" w:type="auto"/>
            <w:gridSpan w:val="3"/>
            <w:shd w:val="clear" w:color="auto" w:fill="auto"/>
            <w:vAlign w:val="bottom"/>
          </w:tcPr>
          <w:p w14:paraId="74DDE3D3" w14:textId="77777777" w:rsidR="00584EC1" w:rsidRDefault="00584EC1">
            <w:pPr>
              <w:rPr>
                <w:rFonts w:ascii="宋体"/>
                <w:vanish/>
              </w:rPr>
            </w:pPr>
          </w:p>
        </w:tc>
        <w:tc>
          <w:tcPr>
            <w:tcW w:w="0" w:type="auto"/>
            <w:gridSpan w:val="3"/>
            <w:shd w:val="clear" w:color="auto" w:fill="auto"/>
            <w:vAlign w:val="bottom"/>
          </w:tcPr>
          <w:p w14:paraId="74DDE3D4" w14:textId="77777777" w:rsidR="00584EC1" w:rsidRDefault="00584EC1">
            <w:pPr>
              <w:rPr>
                <w:rFonts w:ascii="宋体"/>
                <w:vanish/>
              </w:rPr>
            </w:pPr>
          </w:p>
        </w:tc>
        <w:tc>
          <w:tcPr>
            <w:tcW w:w="0" w:type="auto"/>
            <w:gridSpan w:val="3"/>
            <w:shd w:val="clear" w:color="auto" w:fill="auto"/>
            <w:vAlign w:val="bottom"/>
          </w:tcPr>
          <w:p w14:paraId="74DDE3D5" w14:textId="77777777" w:rsidR="00584EC1" w:rsidRDefault="00584EC1">
            <w:pPr>
              <w:rPr>
                <w:rFonts w:ascii="宋体"/>
                <w:vanish/>
              </w:rPr>
            </w:pPr>
          </w:p>
        </w:tc>
        <w:tc>
          <w:tcPr>
            <w:tcW w:w="0" w:type="auto"/>
            <w:gridSpan w:val="3"/>
            <w:shd w:val="clear" w:color="auto" w:fill="auto"/>
            <w:vAlign w:val="bottom"/>
          </w:tcPr>
          <w:p w14:paraId="74DDE3D6" w14:textId="77777777" w:rsidR="00584EC1" w:rsidRDefault="00584EC1">
            <w:pPr>
              <w:rPr>
                <w:rFonts w:ascii="宋体"/>
                <w:vanish/>
              </w:rPr>
            </w:pPr>
          </w:p>
        </w:tc>
        <w:tc>
          <w:tcPr>
            <w:tcW w:w="0" w:type="auto"/>
            <w:gridSpan w:val="3"/>
            <w:shd w:val="clear" w:color="auto" w:fill="auto"/>
            <w:vAlign w:val="bottom"/>
          </w:tcPr>
          <w:p w14:paraId="74DDE3D7" w14:textId="77777777" w:rsidR="00584EC1" w:rsidRDefault="00584EC1">
            <w:pPr>
              <w:rPr>
                <w:rFonts w:ascii="宋体"/>
                <w:vanish/>
              </w:rPr>
            </w:pPr>
          </w:p>
        </w:tc>
        <w:tc>
          <w:tcPr>
            <w:tcW w:w="0" w:type="auto"/>
            <w:gridSpan w:val="3"/>
            <w:shd w:val="clear" w:color="auto" w:fill="auto"/>
            <w:vAlign w:val="bottom"/>
          </w:tcPr>
          <w:p w14:paraId="74DDE3D8" w14:textId="77777777" w:rsidR="00584EC1" w:rsidRDefault="00584EC1">
            <w:pPr>
              <w:rPr>
                <w:rFonts w:ascii="宋体"/>
                <w:vanish/>
              </w:rPr>
            </w:pPr>
          </w:p>
        </w:tc>
        <w:tc>
          <w:tcPr>
            <w:tcW w:w="0" w:type="auto"/>
            <w:shd w:val="clear" w:color="auto" w:fill="auto"/>
            <w:vAlign w:val="bottom"/>
          </w:tcPr>
          <w:p w14:paraId="74DDE3D9" w14:textId="77777777" w:rsidR="00584EC1" w:rsidRDefault="00584EC1">
            <w:pPr>
              <w:rPr>
                <w:rFonts w:ascii="宋体"/>
                <w:vanish/>
              </w:rPr>
            </w:pPr>
          </w:p>
        </w:tc>
        <w:tc>
          <w:tcPr>
            <w:tcW w:w="0" w:type="auto"/>
            <w:shd w:val="clear" w:color="auto" w:fill="auto"/>
            <w:vAlign w:val="bottom"/>
          </w:tcPr>
          <w:p w14:paraId="74DDE3DA" w14:textId="77777777" w:rsidR="00584EC1" w:rsidRDefault="00584EC1">
            <w:pPr>
              <w:rPr>
                <w:rFonts w:ascii="宋体"/>
                <w:vanish/>
              </w:rPr>
            </w:pPr>
          </w:p>
        </w:tc>
        <w:tc>
          <w:tcPr>
            <w:tcW w:w="0" w:type="auto"/>
            <w:gridSpan w:val="3"/>
            <w:shd w:val="clear" w:color="auto" w:fill="auto"/>
            <w:vAlign w:val="bottom"/>
          </w:tcPr>
          <w:p w14:paraId="74DDE3DB" w14:textId="77777777" w:rsidR="00584EC1" w:rsidRDefault="00584EC1">
            <w:pPr>
              <w:rPr>
                <w:rFonts w:ascii="宋体"/>
                <w:vanish/>
              </w:rPr>
            </w:pPr>
          </w:p>
        </w:tc>
        <w:tc>
          <w:tcPr>
            <w:tcW w:w="0" w:type="auto"/>
            <w:gridSpan w:val="3"/>
            <w:shd w:val="clear" w:color="auto" w:fill="auto"/>
            <w:vAlign w:val="bottom"/>
          </w:tcPr>
          <w:p w14:paraId="74DDE3DC" w14:textId="77777777" w:rsidR="00584EC1" w:rsidRDefault="00584EC1">
            <w:pPr>
              <w:rPr>
                <w:rFonts w:ascii="宋体"/>
                <w:vanish/>
              </w:rPr>
            </w:pPr>
          </w:p>
        </w:tc>
        <w:tc>
          <w:tcPr>
            <w:tcW w:w="0" w:type="auto"/>
            <w:gridSpan w:val="3"/>
            <w:shd w:val="clear" w:color="auto" w:fill="auto"/>
            <w:vAlign w:val="bottom"/>
          </w:tcPr>
          <w:p w14:paraId="74DDE3DD" w14:textId="77777777" w:rsidR="00584EC1" w:rsidRDefault="00584EC1">
            <w:pPr>
              <w:rPr>
                <w:rFonts w:ascii="宋体"/>
                <w:vanish/>
              </w:rPr>
            </w:pPr>
          </w:p>
        </w:tc>
        <w:tc>
          <w:tcPr>
            <w:tcW w:w="0" w:type="auto"/>
            <w:gridSpan w:val="3"/>
            <w:shd w:val="clear" w:color="auto" w:fill="auto"/>
            <w:vAlign w:val="bottom"/>
          </w:tcPr>
          <w:p w14:paraId="74DDE3DE" w14:textId="77777777" w:rsidR="00584EC1" w:rsidRDefault="00584EC1">
            <w:pPr>
              <w:rPr>
                <w:rFonts w:ascii="宋体"/>
                <w:vanish/>
              </w:rPr>
            </w:pPr>
          </w:p>
        </w:tc>
        <w:tc>
          <w:tcPr>
            <w:tcW w:w="0" w:type="auto"/>
            <w:gridSpan w:val="3"/>
            <w:shd w:val="clear" w:color="auto" w:fill="auto"/>
            <w:vAlign w:val="bottom"/>
          </w:tcPr>
          <w:p w14:paraId="74DDE3DF" w14:textId="77777777" w:rsidR="00584EC1" w:rsidRDefault="00584EC1">
            <w:pPr>
              <w:rPr>
                <w:rFonts w:ascii="宋体"/>
                <w:vanish/>
              </w:rPr>
            </w:pPr>
          </w:p>
        </w:tc>
      </w:tr>
      <w:tr w:rsidR="00584EC1" w14:paraId="74DDE3F3" w14:textId="77777777">
        <w:trPr>
          <w:hidden/>
        </w:trPr>
        <w:tc>
          <w:tcPr>
            <w:tcW w:w="0" w:type="auto"/>
            <w:gridSpan w:val="3"/>
            <w:shd w:val="clear" w:color="auto" w:fill="auto"/>
            <w:vAlign w:val="bottom"/>
          </w:tcPr>
          <w:p w14:paraId="74DDE3E1" w14:textId="77777777" w:rsidR="00584EC1" w:rsidRDefault="00584EC1">
            <w:pPr>
              <w:rPr>
                <w:rFonts w:ascii="宋体"/>
                <w:vanish/>
              </w:rPr>
            </w:pPr>
          </w:p>
        </w:tc>
        <w:tc>
          <w:tcPr>
            <w:tcW w:w="0" w:type="auto"/>
            <w:gridSpan w:val="3"/>
            <w:shd w:val="clear" w:color="auto" w:fill="auto"/>
            <w:vAlign w:val="bottom"/>
          </w:tcPr>
          <w:p w14:paraId="74DDE3E2" w14:textId="77777777" w:rsidR="00584EC1" w:rsidRDefault="00584EC1">
            <w:pPr>
              <w:rPr>
                <w:rFonts w:ascii="宋体"/>
                <w:vanish/>
              </w:rPr>
            </w:pPr>
          </w:p>
        </w:tc>
        <w:tc>
          <w:tcPr>
            <w:tcW w:w="0" w:type="auto"/>
            <w:gridSpan w:val="3"/>
            <w:shd w:val="clear" w:color="auto" w:fill="auto"/>
            <w:vAlign w:val="bottom"/>
          </w:tcPr>
          <w:p w14:paraId="74DDE3E3" w14:textId="77777777" w:rsidR="00584EC1" w:rsidRDefault="00584EC1">
            <w:pPr>
              <w:rPr>
                <w:rFonts w:ascii="宋体"/>
                <w:vanish/>
              </w:rPr>
            </w:pPr>
          </w:p>
        </w:tc>
        <w:tc>
          <w:tcPr>
            <w:tcW w:w="0" w:type="auto"/>
            <w:gridSpan w:val="3"/>
            <w:shd w:val="clear" w:color="auto" w:fill="auto"/>
            <w:vAlign w:val="bottom"/>
          </w:tcPr>
          <w:p w14:paraId="74DDE3E4" w14:textId="77777777" w:rsidR="00584EC1" w:rsidRDefault="00584EC1">
            <w:pPr>
              <w:rPr>
                <w:rFonts w:ascii="宋体"/>
                <w:vanish/>
              </w:rPr>
            </w:pPr>
          </w:p>
        </w:tc>
        <w:tc>
          <w:tcPr>
            <w:tcW w:w="0" w:type="auto"/>
            <w:gridSpan w:val="3"/>
            <w:shd w:val="clear" w:color="auto" w:fill="auto"/>
            <w:vAlign w:val="bottom"/>
          </w:tcPr>
          <w:p w14:paraId="74DDE3E5" w14:textId="77777777" w:rsidR="00584EC1" w:rsidRDefault="00584EC1">
            <w:pPr>
              <w:rPr>
                <w:rFonts w:ascii="宋体"/>
                <w:vanish/>
              </w:rPr>
            </w:pPr>
          </w:p>
        </w:tc>
        <w:tc>
          <w:tcPr>
            <w:tcW w:w="0" w:type="auto"/>
            <w:gridSpan w:val="3"/>
            <w:shd w:val="clear" w:color="auto" w:fill="auto"/>
            <w:vAlign w:val="bottom"/>
          </w:tcPr>
          <w:p w14:paraId="74DDE3E6" w14:textId="77777777" w:rsidR="00584EC1" w:rsidRDefault="00584EC1">
            <w:pPr>
              <w:rPr>
                <w:rFonts w:ascii="宋体"/>
                <w:vanish/>
              </w:rPr>
            </w:pPr>
          </w:p>
        </w:tc>
        <w:tc>
          <w:tcPr>
            <w:tcW w:w="0" w:type="auto"/>
            <w:gridSpan w:val="3"/>
            <w:shd w:val="clear" w:color="auto" w:fill="auto"/>
            <w:vAlign w:val="bottom"/>
          </w:tcPr>
          <w:p w14:paraId="74DDE3E7" w14:textId="77777777" w:rsidR="00584EC1" w:rsidRDefault="00584EC1">
            <w:pPr>
              <w:rPr>
                <w:rFonts w:ascii="宋体"/>
                <w:vanish/>
              </w:rPr>
            </w:pPr>
          </w:p>
        </w:tc>
        <w:tc>
          <w:tcPr>
            <w:tcW w:w="0" w:type="auto"/>
            <w:gridSpan w:val="3"/>
            <w:shd w:val="clear" w:color="auto" w:fill="auto"/>
            <w:vAlign w:val="bottom"/>
          </w:tcPr>
          <w:p w14:paraId="74DDE3E8" w14:textId="77777777" w:rsidR="00584EC1" w:rsidRDefault="00584EC1">
            <w:pPr>
              <w:rPr>
                <w:rFonts w:ascii="宋体"/>
                <w:vanish/>
              </w:rPr>
            </w:pPr>
          </w:p>
        </w:tc>
        <w:tc>
          <w:tcPr>
            <w:tcW w:w="0" w:type="auto"/>
            <w:gridSpan w:val="3"/>
            <w:shd w:val="clear" w:color="auto" w:fill="auto"/>
            <w:vAlign w:val="bottom"/>
          </w:tcPr>
          <w:p w14:paraId="74DDE3E9" w14:textId="77777777" w:rsidR="00584EC1" w:rsidRDefault="00584EC1">
            <w:pPr>
              <w:rPr>
                <w:rFonts w:ascii="宋体"/>
                <w:vanish/>
              </w:rPr>
            </w:pPr>
          </w:p>
        </w:tc>
        <w:tc>
          <w:tcPr>
            <w:tcW w:w="0" w:type="auto"/>
            <w:gridSpan w:val="3"/>
            <w:shd w:val="clear" w:color="auto" w:fill="auto"/>
            <w:vAlign w:val="bottom"/>
          </w:tcPr>
          <w:p w14:paraId="74DDE3EA" w14:textId="77777777" w:rsidR="00584EC1" w:rsidRDefault="00584EC1">
            <w:pPr>
              <w:rPr>
                <w:rFonts w:ascii="宋体"/>
                <w:vanish/>
              </w:rPr>
            </w:pPr>
          </w:p>
        </w:tc>
        <w:tc>
          <w:tcPr>
            <w:tcW w:w="0" w:type="auto"/>
            <w:gridSpan w:val="3"/>
            <w:shd w:val="clear" w:color="auto" w:fill="auto"/>
            <w:vAlign w:val="bottom"/>
          </w:tcPr>
          <w:p w14:paraId="74DDE3EB" w14:textId="77777777" w:rsidR="00584EC1" w:rsidRDefault="00584EC1">
            <w:pPr>
              <w:rPr>
                <w:rFonts w:ascii="宋体"/>
                <w:vanish/>
              </w:rPr>
            </w:pPr>
          </w:p>
        </w:tc>
        <w:tc>
          <w:tcPr>
            <w:tcW w:w="0" w:type="auto"/>
            <w:shd w:val="clear" w:color="auto" w:fill="auto"/>
            <w:vAlign w:val="bottom"/>
          </w:tcPr>
          <w:p w14:paraId="74DDE3EC" w14:textId="77777777" w:rsidR="00584EC1" w:rsidRDefault="00584EC1">
            <w:pPr>
              <w:rPr>
                <w:rFonts w:ascii="宋体"/>
                <w:vanish/>
              </w:rPr>
            </w:pPr>
          </w:p>
        </w:tc>
        <w:tc>
          <w:tcPr>
            <w:tcW w:w="0" w:type="auto"/>
            <w:shd w:val="clear" w:color="auto" w:fill="auto"/>
            <w:vAlign w:val="bottom"/>
          </w:tcPr>
          <w:p w14:paraId="74DDE3ED" w14:textId="77777777" w:rsidR="00584EC1" w:rsidRDefault="00584EC1">
            <w:pPr>
              <w:rPr>
                <w:rFonts w:ascii="宋体"/>
                <w:vanish/>
              </w:rPr>
            </w:pPr>
          </w:p>
        </w:tc>
        <w:tc>
          <w:tcPr>
            <w:tcW w:w="0" w:type="auto"/>
            <w:gridSpan w:val="3"/>
            <w:shd w:val="clear" w:color="auto" w:fill="auto"/>
            <w:vAlign w:val="bottom"/>
          </w:tcPr>
          <w:p w14:paraId="74DDE3EE" w14:textId="77777777" w:rsidR="00584EC1" w:rsidRDefault="00584EC1">
            <w:pPr>
              <w:rPr>
                <w:rFonts w:ascii="宋体"/>
                <w:vanish/>
              </w:rPr>
            </w:pPr>
          </w:p>
        </w:tc>
        <w:tc>
          <w:tcPr>
            <w:tcW w:w="0" w:type="auto"/>
            <w:gridSpan w:val="3"/>
            <w:shd w:val="clear" w:color="auto" w:fill="auto"/>
            <w:vAlign w:val="bottom"/>
          </w:tcPr>
          <w:p w14:paraId="74DDE3EF" w14:textId="77777777" w:rsidR="00584EC1" w:rsidRDefault="00584EC1">
            <w:pPr>
              <w:rPr>
                <w:rFonts w:ascii="宋体"/>
                <w:vanish/>
              </w:rPr>
            </w:pPr>
          </w:p>
        </w:tc>
        <w:tc>
          <w:tcPr>
            <w:tcW w:w="0" w:type="auto"/>
            <w:gridSpan w:val="3"/>
            <w:shd w:val="clear" w:color="auto" w:fill="auto"/>
            <w:vAlign w:val="bottom"/>
          </w:tcPr>
          <w:p w14:paraId="74DDE3F0" w14:textId="77777777" w:rsidR="00584EC1" w:rsidRDefault="00584EC1">
            <w:pPr>
              <w:rPr>
                <w:rFonts w:ascii="宋体"/>
                <w:vanish/>
              </w:rPr>
            </w:pPr>
          </w:p>
        </w:tc>
        <w:tc>
          <w:tcPr>
            <w:tcW w:w="0" w:type="auto"/>
            <w:gridSpan w:val="3"/>
            <w:shd w:val="clear" w:color="auto" w:fill="auto"/>
            <w:vAlign w:val="bottom"/>
          </w:tcPr>
          <w:p w14:paraId="74DDE3F1" w14:textId="77777777" w:rsidR="00584EC1" w:rsidRDefault="00584EC1">
            <w:pPr>
              <w:rPr>
                <w:rFonts w:ascii="宋体"/>
                <w:vanish/>
              </w:rPr>
            </w:pPr>
          </w:p>
        </w:tc>
        <w:tc>
          <w:tcPr>
            <w:tcW w:w="0" w:type="auto"/>
            <w:gridSpan w:val="3"/>
            <w:shd w:val="clear" w:color="auto" w:fill="auto"/>
            <w:vAlign w:val="bottom"/>
          </w:tcPr>
          <w:p w14:paraId="74DDE3F2" w14:textId="77777777" w:rsidR="00584EC1" w:rsidRDefault="00584EC1">
            <w:pPr>
              <w:rPr>
                <w:rFonts w:ascii="宋体"/>
                <w:vanish/>
              </w:rPr>
            </w:pPr>
          </w:p>
        </w:tc>
      </w:tr>
      <w:tr w:rsidR="00584EC1" w14:paraId="74DDE406" w14:textId="77777777">
        <w:trPr>
          <w:hidden/>
        </w:trPr>
        <w:tc>
          <w:tcPr>
            <w:tcW w:w="0" w:type="auto"/>
            <w:gridSpan w:val="3"/>
            <w:shd w:val="clear" w:color="auto" w:fill="auto"/>
            <w:vAlign w:val="bottom"/>
          </w:tcPr>
          <w:p w14:paraId="74DDE3F4" w14:textId="77777777" w:rsidR="00584EC1" w:rsidRDefault="00584EC1">
            <w:pPr>
              <w:rPr>
                <w:rFonts w:ascii="宋体"/>
                <w:vanish/>
              </w:rPr>
            </w:pPr>
          </w:p>
        </w:tc>
        <w:tc>
          <w:tcPr>
            <w:tcW w:w="0" w:type="auto"/>
            <w:gridSpan w:val="3"/>
            <w:shd w:val="clear" w:color="auto" w:fill="auto"/>
            <w:vAlign w:val="bottom"/>
          </w:tcPr>
          <w:p w14:paraId="74DDE3F5" w14:textId="77777777" w:rsidR="00584EC1" w:rsidRDefault="00584EC1">
            <w:pPr>
              <w:rPr>
                <w:rFonts w:ascii="宋体"/>
                <w:vanish/>
              </w:rPr>
            </w:pPr>
          </w:p>
        </w:tc>
        <w:tc>
          <w:tcPr>
            <w:tcW w:w="0" w:type="auto"/>
            <w:gridSpan w:val="3"/>
            <w:shd w:val="clear" w:color="auto" w:fill="auto"/>
            <w:vAlign w:val="bottom"/>
          </w:tcPr>
          <w:p w14:paraId="74DDE3F6" w14:textId="77777777" w:rsidR="00584EC1" w:rsidRDefault="00584EC1">
            <w:pPr>
              <w:rPr>
                <w:rFonts w:ascii="宋体"/>
                <w:vanish/>
              </w:rPr>
            </w:pPr>
          </w:p>
        </w:tc>
        <w:tc>
          <w:tcPr>
            <w:tcW w:w="0" w:type="auto"/>
            <w:gridSpan w:val="3"/>
            <w:shd w:val="clear" w:color="auto" w:fill="auto"/>
            <w:vAlign w:val="bottom"/>
          </w:tcPr>
          <w:p w14:paraId="74DDE3F7" w14:textId="77777777" w:rsidR="00584EC1" w:rsidRDefault="00584EC1">
            <w:pPr>
              <w:rPr>
                <w:rFonts w:ascii="宋体"/>
                <w:vanish/>
              </w:rPr>
            </w:pPr>
          </w:p>
        </w:tc>
        <w:tc>
          <w:tcPr>
            <w:tcW w:w="0" w:type="auto"/>
            <w:gridSpan w:val="3"/>
            <w:shd w:val="clear" w:color="auto" w:fill="auto"/>
            <w:vAlign w:val="bottom"/>
          </w:tcPr>
          <w:p w14:paraId="74DDE3F8" w14:textId="77777777" w:rsidR="00584EC1" w:rsidRDefault="00584EC1">
            <w:pPr>
              <w:rPr>
                <w:rFonts w:ascii="宋体"/>
                <w:vanish/>
              </w:rPr>
            </w:pPr>
          </w:p>
        </w:tc>
        <w:tc>
          <w:tcPr>
            <w:tcW w:w="0" w:type="auto"/>
            <w:gridSpan w:val="3"/>
            <w:shd w:val="clear" w:color="auto" w:fill="auto"/>
            <w:vAlign w:val="bottom"/>
          </w:tcPr>
          <w:p w14:paraId="74DDE3F9" w14:textId="77777777" w:rsidR="00584EC1" w:rsidRDefault="00584EC1">
            <w:pPr>
              <w:rPr>
                <w:rFonts w:ascii="宋体"/>
                <w:vanish/>
              </w:rPr>
            </w:pPr>
          </w:p>
        </w:tc>
        <w:tc>
          <w:tcPr>
            <w:tcW w:w="0" w:type="auto"/>
            <w:gridSpan w:val="3"/>
            <w:shd w:val="clear" w:color="auto" w:fill="auto"/>
            <w:vAlign w:val="bottom"/>
          </w:tcPr>
          <w:p w14:paraId="74DDE3FA" w14:textId="77777777" w:rsidR="00584EC1" w:rsidRDefault="00584EC1">
            <w:pPr>
              <w:rPr>
                <w:rFonts w:ascii="宋体"/>
                <w:vanish/>
              </w:rPr>
            </w:pPr>
          </w:p>
        </w:tc>
        <w:tc>
          <w:tcPr>
            <w:tcW w:w="0" w:type="auto"/>
            <w:gridSpan w:val="3"/>
            <w:shd w:val="clear" w:color="auto" w:fill="auto"/>
            <w:vAlign w:val="bottom"/>
          </w:tcPr>
          <w:p w14:paraId="74DDE3FB" w14:textId="77777777" w:rsidR="00584EC1" w:rsidRDefault="00584EC1">
            <w:pPr>
              <w:rPr>
                <w:rFonts w:ascii="宋体"/>
                <w:vanish/>
              </w:rPr>
            </w:pPr>
          </w:p>
        </w:tc>
        <w:tc>
          <w:tcPr>
            <w:tcW w:w="0" w:type="auto"/>
            <w:gridSpan w:val="3"/>
            <w:shd w:val="clear" w:color="auto" w:fill="auto"/>
            <w:vAlign w:val="bottom"/>
          </w:tcPr>
          <w:p w14:paraId="74DDE3FC" w14:textId="77777777" w:rsidR="00584EC1" w:rsidRDefault="00584EC1">
            <w:pPr>
              <w:rPr>
                <w:rFonts w:ascii="宋体"/>
                <w:vanish/>
              </w:rPr>
            </w:pPr>
          </w:p>
        </w:tc>
        <w:tc>
          <w:tcPr>
            <w:tcW w:w="0" w:type="auto"/>
            <w:gridSpan w:val="3"/>
            <w:shd w:val="clear" w:color="auto" w:fill="auto"/>
            <w:vAlign w:val="bottom"/>
          </w:tcPr>
          <w:p w14:paraId="74DDE3FD" w14:textId="77777777" w:rsidR="00584EC1" w:rsidRDefault="00584EC1">
            <w:pPr>
              <w:rPr>
                <w:rFonts w:ascii="宋体"/>
                <w:vanish/>
              </w:rPr>
            </w:pPr>
          </w:p>
        </w:tc>
        <w:tc>
          <w:tcPr>
            <w:tcW w:w="0" w:type="auto"/>
            <w:gridSpan w:val="3"/>
            <w:shd w:val="clear" w:color="auto" w:fill="auto"/>
            <w:vAlign w:val="bottom"/>
          </w:tcPr>
          <w:p w14:paraId="74DDE3FE" w14:textId="77777777" w:rsidR="00584EC1" w:rsidRDefault="00584EC1">
            <w:pPr>
              <w:rPr>
                <w:rFonts w:ascii="宋体"/>
                <w:vanish/>
              </w:rPr>
            </w:pPr>
          </w:p>
        </w:tc>
        <w:tc>
          <w:tcPr>
            <w:tcW w:w="0" w:type="auto"/>
            <w:shd w:val="clear" w:color="auto" w:fill="auto"/>
            <w:vAlign w:val="bottom"/>
          </w:tcPr>
          <w:p w14:paraId="74DDE3FF" w14:textId="77777777" w:rsidR="00584EC1" w:rsidRDefault="00584EC1">
            <w:pPr>
              <w:rPr>
                <w:rFonts w:ascii="宋体"/>
                <w:vanish/>
              </w:rPr>
            </w:pPr>
          </w:p>
        </w:tc>
        <w:tc>
          <w:tcPr>
            <w:tcW w:w="0" w:type="auto"/>
            <w:shd w:val="clear" w:color="auto" w:fill="auto"/>
            <w:vAlign w:val="bottom"/>
          </w:tcPr>
          <w:p w14:paraId="74DDE400" w14:textId="77777777" w:rsidR="00584EC1" w:rsidRDefault="00584EC1">
            <w:pPr>
              <w:rPr>
                <w:rFonts w:ascii="宋体"/>
                <w:vanish/>
              </w:rPr>
            </w:pPr>
          </w:p>
        </w:tc>
        <w:tc>
          <w:tcPr>
            <w:tcW w:w="0" w:type="auto"/>
            <w:gridSpan w:val="3"/>
            <w:shd w:val="clear" w:color="auto" w:fill="auto"/>
            <w:vAlign w:val="bottom"/>
          </w:tcPr>
          <w:p w14:paraId="74DDE401" w14:textId="77777777" w:rsidR="00584EC1" w:rsidRDefault="00584EC1">
            <w:pPr>
              <w:rPr>
                <w:rFonts w:ascii="宋体"/>
                <w:vanish/>
              </w:rPr>
            </w:pPr>
          </w:p>
        </w:tc>
        <w:tc>
          <w:tcPr>
            <w:tcW w:w="0" w:type="auto"/>
            <w:gridSpan w:val="3"/>
            <w:shd w:val="clear" w:color="auto" w:fill="auto"/>
            <w:vAlign w:val="bottom"/>
          </w:tcPr>
          <w:p w14:paraId="74DDE402" w14:textId="77777777" w:rsidR="00584EC1" w:rsidRDefault="00584EC1">
            <w:pPr>
              <w:rPr>
                <w:rFonts w:ascii="宋体"/>
                <w:vanish/>
              </w:rPr>
            </w:pPr>
          </w:p>
        </w:tc>
        <w:tc>
          <w:tcPr>
            <w:tcW w:w="0" w:type="auto"/>
            <w:gridSpan w:val="3"/>
            <w:shd w:val="clear" w:color="auto" w:fill="auto"/>
            <w:vAlign w:val="bottom"/>
          </w:tcPr>
          <w:p w14:paraId="74DDE403" w14:textId="77777777" w:rsidR="00584EC1" w:rsidRDefault="00584EC1">
            <w:pPr>
              <w:rPr>
                <w:rFonts w:ascii="宋体"/>
                <w:vanish/>
              </w:rPr>
            </w:pPr>
          </w:p>
        </w:tc>
        <w:tc>
          <w:tcPr>
            <w:tcW w:w="0" w:type="auto"/>
            <w:gridSpan w:val="3"/>
            <w:shd w:val="clear" w:color="auto" w:fill="auto"/>
            <w:vAlign w:val="bottom"/>
          </w:tcPr>
          <w:p w14:paraId="74DDE404" w14:textId="77777777" w:rsidR="00584EC1" w:rsidRDefault="00584EC1">
            <w:pPr>
              <w:rPr>
                <w:rFonts w:ascii="宋体"/>
                <w:vanish/>
              </w:rPr>
            </w:pPr>
          </w:p>
        </w:tc>
        <w:tc>
          <w:tcPr>
            <w:tcW w:w="0" w:type="auto"/>
            <w:gridSpan w:val="3"/>
            <w:shd w:val="clear" w:color="auto" w:fill="auto"/>
            <w:vAlign w:val="bottom"/>
          </w:tcPr>
          <w:p w14:paraId="74DDE405" w14:textId="77777777" w:rsidR="00584EC1" w:rsidRDefault="00584EC1">
            <w:pPr>
              <w:rPr>
                <w:rFonts w:ascii="宋体"/>
                <w:vanish/>
              </w:rPr>
            </w:pPr>
          </w:p>
        </w:tc>
      </w:tr>
      <w:tr w:rsidR="00584EC1" w14:paraId="74DDE429" w14:textId="77777777">
        <w:tc>
          <w:tcPr>
            <w:tcW w:w="0" w:type="auto"/>
            <w:gridSpan w:val="3"/>
            <w:shd w:val="clear" w:color="auto" w:fill="CCEEFF"/>
            <w:tcMar>
              <w:top w:w="40" w:type="dxa"/>
              <w:left w:w="155" w:type="dxa"/>
              <w:bottom w:w="40" w:type="dxa"/>
              <w:right w:w="20" w:type="dxa"/>
            </w:tcMar>
            <w:vAlign w:val="bottom"/>
          </w:tcPr>
          <w:p w14:paraId="74DDE407" w14:textId="77777777" w:rsidR="00584EC1" w:rsidRDefault="00871F8D">
            <w:pPr>
              <w:textAlignment w:val="bottom"/>
            </w:pPr>
            <w:r>
              <w:rPr>
                <w:rFonts w:ascii="Arial" w:eastAsia="宋体" w:hAnsi="Arial" w:cs="Arial"/>
                <w:color w:val="000000"/>
                <w:sz w:val="14"/>
                <w:szCs w:val="14"/>
              </w:rPr>
              <w:t>Total commercial real estate</w:t>
            </w:r>
          </w:p>
        </w:tc>
        <w:tc>
          <w:tcPr>
            <w:tcW w:w="0" w:type="auto"/>
            <w:tcBorders>
              <w:top w:val="single" w:sz="8" w:space="0" w:color="000000"/>
            </w:tcBorders>
            <w:shd w:val="clear" w:color="auto" w:fill="CCEEFF"/>
            <w:tcMar>
              <w:top w:w="40" w:type="dxa"/>
              <w:left w:w="20" w:type="dxa"/>
              <w:bottom w:w="40" w:type="dxa"/>
              <w:right w:w="0" w:type="dxa"/>
            </w:tcMar>
            <w:vAlign w:val="bottom"/>
          </w:tcPr>
          <w:p w14:paraId="74DDE408"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E409" w14:textId="77777777" w:rsidR="00584EC1" w:rsidRDefault="00871F8D">
            <w:pPr>
              <w:jc w:val="right"/>
              <w:textAlignment w:val="bottom"/>
            </w:pPr>
            <w:r>
              <w:rPr>
                <w:rFonts w:ascii="Arial" w:eastAsia="宋体" w:hAnsi="Arial" w:cs="Arial"/>
                <w:b/>
                <w:bCs/>
                <w:color w:val="000000"/>
                <w:sz w:val="14"/>
                <w:szCs w:val="14"/>
              </w:rPr>
              <w:t>441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E40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40B"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E40C"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E40D" w14:textId="77777777" w:rsidR="00584EC1" w:rsidRDefault="00871F8D">
            <w:pPr>
              <w:jc w:val="right"/>
              <w:textAlignment w:val="bottom"/>
            </w:pPr>
            <w:r>
              <w:rPr>
                <w:rFonts w:ascii="Arial" w:eastAsia="宋体" w:hAnsi="Arial" w:cs="Arial"/>
                <w:color w:val="000000"/>
                <w:sz w:val="14"/>
                <w:szCs w:val="14"/>
              </w:rPr>
              <w:t>178 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E40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40F"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E410"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E411" w14:textId="77777777" w:rsidR="00584EC1" w:rsidRDefault="00871F8D">
            <w:pPr>
              <w:jc w:val="right"/>
              <w:textAlignment w:val="bottom"/>
            </w:pPr>
            <w:r>
              <w:rPr>
                <w:rFonts w:ascii="Arial" w:eastAsia="宋体" w:hAnsi="Arial" w:cs="Arial"/>
                <w:color w:val="000000"/>
                <w:sz w:val="14"/>
                <w:szCs w:val="14"/>
              </w:rPr>
              <w:t>549 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E41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413"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E414"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E415" w14:textId="77777777" w:rsidR="00584EC1" w:rsidRDefault="00871F8D">
            <w:pPr>
              <w:jc w:val="right"/>
              <w:textAlignment w:val="bottom"/>
            </w:pPr>
            <w:r>
              <w:rPr>
                <w:rFonts w:ascii="Arial" w:eastAsia="宋体" w:hAnsi="Arial" w:cs="Arial"/>
                <w:color w:val="000000"/>
                <w:sz w:val="14"/>
                <w:szCs w:val="14"/>
              </w:rPr>
              <w:t>715 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E41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417"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E418"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E419" w14:textId="77777777" w:rsidR="00584EC1" w:rsidRDefault="00871F8D">
            <w:pPr>
              <w:jc w:val="right"/>
              <w:textAlignment w:val="bottom"/>
            </w:pPr>
            <w:r>
              <w:rPr>
                <w:rFonts w:ascii="Arial" w:eastAsia="宋体" w:hAnsi="Arial" w:cs="Arial"/>
                <w:color w:val="000000"/>
                <w:sz w:val="14"/>
                <w:szCs w:val="14"/>
              </w:rPr>
              <w:t>276 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E41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41B" w14:textId="77777777" w:rsidR="00584EC1" w:rsidRDefault="00584EC1">
            <w:pPr>
              <w:rPr>
                <w:rFonts w:ascii="宋体"/>
              </w:rPr>
            </w:pPr>
          </w:p>
        </w:tc>
        <w:tc>
          <w:tcPr>
            <w:tcW w:w="0" w:type="auto"/>
            <w:shd w:val="clear" w:color="auto" w:fill="auto"/>
            <w:vAlign w:val="bottom"/>
          </w:tcPr>
          <w:p w14:paraId="74DDE41C" w14:textId="77777777" w:rsidR="00584EC1" w:rsidRDefault="00584EC1">
            <w:pPr>
              <w:rPr>
                <w:rFonts w:ascii="宋体"/>
                <w:vanish/>
              </w:rPr>
            </w:pPr>
          </w:p>
        </w:tc>
        <w:tc>
          <w:tcPr>
            <w:tcW w:w="0" w:type="auto"/>
            <w:shd w:val="clear" w:color="auto" w:fill="auto"/>
            <w:vAlign w:val="bottom"/>
          </w:tcPr>
          <w:p w14:paraId="74DDE41D" w14:textId="77777777" w:rsidR="00584EC1" w:rsidRDefault="00584EC1">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E41E"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E41F" w14:textId="77777777" w:rsidR="00584EC1" w:rsidRDefault="00871F8D">
            <w:pPr>
              <w:jc w:val="right"/>
              <w:textAlignment w:val="bottom"/>
            </w:pPr>
            <w:r>
              <w:rPr>
                <w:rFonts w:ascii="Arial" w:eastAsia="宋体" w:hAnsi="Arial" w:cs="Arial"/>
                <w:color w:val="000000"/>
                <w:sz w:val="14"/>
                <w:szCs w:val="14"/>
              </w:rPr>
              <w:t>225 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E42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421"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E422"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E423" w14:textId="77777777" w:rsidR="00584EC1" w:rsidRDefault="00871F8D">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E42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425"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E426"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E427" w14:textId="77777777" w:rsidR="00584EC1" w:rsidRDefault="00871F8D">
            <w:pPr>
              <w:jc w:val="right"/>
              <w:textAlignment w:val="bottom"/>
            </w:pPr>
            <w:r>
              <w:rPr>
                <w:rFonts w:ascii="Arial" w:eastAsia="宋体" w:hAnsi="Arial" w:cs="Arial"/>
                <w:color w:val="000000"/>
                <w:sz w:val="14"/>
                <w:szCs w:val="14"/>
              </w:rPr>
              <w:t>2,384 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E428" w14:textId="77777777" w:rsidR="00584EC1" w:rsidRDefault="00584EC1">
            <w:pPr>
              <w:jc w:val="right"/>
              <w:rPr>
                <w:rFonts w:ascii="宋体"/>
              </w:rPr>
            </w:pPr>
          </w:p>
        </w:tc>
      </w:tr>
      <w:tr w:rsidR="00584EC1" w14:paraId="74DDE43C" w14:textId="77777777">
        <w:tc>
          <w:tcPr>
            <w:tcW w:w="0" w:type="auto"/>
            <w:gridSpan w:val="3"/>
            <w:shd w:val="clear" w:color="auto" w:fill="FFFFFF"/>
            <w:tcMar>
              <w:top w:w="40" w:type="dxa"/>
              <w:left w:w="20" w:type="dxa"/>
              <w:bottom w:w="40" w:type="dxa"/>
              <w:right w:w="20" w:type="dxa"/>
            </w:tcMar>
            <w:vAlign w:val="bottom"/>
          </w:tcPr>
          <w:p w14:paraId="74DDE42A" w14:textId="77777777" w:rsidR="00584EC1" w:rsidRDefault="00871F8D">
            <w:pPr>
              <w:textAlignment w:val="bottom"/>
            </w:pPr>
            <w:r>
              <w:rPr>
                <w:rFonts w:ascii="Arial" w:eastAsia="宋体" w:hAnsi="Arial" w:cs="Arial"/>
                <w:color w:val="000000"/>
                <w:sz w:val="14"/>
                <w:szCs w:val="14"/>
              </w:rPr>
              <w:t>Non-U.S. loans:</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E42B"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E42C"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E42D"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E42E"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E42F"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E430"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E431"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E432"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E433"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E434" w14:textId="77777777" w:rsidR="00584EC1" w:rsidRDefault="00584EC1">
            <w:pPr>
              <w:rPr>
                <w:rFonts w:ascii="宋体"/>
              </w:rPr>
            </w:pPr>
          </w:p>
        </w:tc>
        <w:tc>
          <w:tcPr>
            <w:tcW w:w="0" w:type="auto"/>
            <w:shd w:val="clear" w:color="auto" w:fill="auto"/>
            <w:vAlign w:val="bottom"/>
          </w:tcPr>
          <w:p w14:paraId="74DDE435" w14:textId="77777777" w:rsidR="00584EC1" w:rsidRDefault="00584EC1">
            <w:pPr>
              <w:rPr>
                <w:rFonts w:ascii="宋体"/>
                <w:vanish/>
              </w:rPr>
            </w:pPr>
          </w:p>
        </w:tc>
        <w:tc>
          <w:tcPr>
            <w:tcW w:w="0" w:type="auto"/>
            <w:shd w:val="clear" w:color="auto" w:fill="auto"/>
            <w:vAlign w:val="bottom"/>
          </w:tcPr>
          <w:p w14:paraId="74DDE436" w14:textId="77777777" w:rsidR="00584EC1" w:rsidRDefault="00584EC1">
            <w:pPr>
              <w:rPr>
                <w:rFonts w:ascii="宋体"/>
                <w:vanish/>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E437"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E438"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E439"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E43A"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E43B" w14:textId="77777777" w:rsidR="00584EC1" w:rsidRDefault="00584EC1">
            <w:pPr>
              <w:rPr>
                <w:rFonts w:ascii="宋体"/>
              </w:rPr>
            </w:pPr>
          </w:p>
        </w:tc>
      </w:tr>
      <w:tr w:rsidR="00584EC1" w14:paraId="74DDE44F" w14:textId="77777777">
        <w:tc>
          <w:tcPr>
            <w:tcW w:w="0" w:type="auto"/>
            <w:gridSpan w:val="3"/>
            <w:shd w:val="clear" w:color="auto" w:fill="CCEEFF"/>
            <w:tcMar>
              <w:top w:w="40" w:type="dxa"/>
              <w:left w:w="155" w:type="dxa"/>
              <w:bottom w:w="40" w:type="dxa"/>
              <w:right w:w="20" w:type="dxa"/>
            </w:tcMar>
            <w:vAlign w:val="bottom"/>
          </w:tcPr>
          <w:p w14:paraId="74DDE43D" w14:textId="77777777" w:rsidR="00584EC1" w:rsidRDefault="00871F8D">
            <w:pPr>
              <w:textAlignment w:val="bottom"/>
            </w:pPr>
            <w:r>
              <w:rPr>
                <w:rFonts w:ascii="Arial" w:eastAsia="宋体" w:hAnsi="Arial" w:cs="Arial"/>
                <w:color w:val="000000"/>
                <w:sz w:val="14"/>
                <w:szCs w:val="14"/>
              </w:rPr>
              <w:t>Commercial and financial:</w:t>
            </w:r>
          </w:p>
        </w:tc>
        <w:tc>
          <w:tcPr>
            <w:tcW w:w="0" w:type="auto"/>
            <w:gridSpan w:val="3"/>
            <w:shd w:val="clear" w:color="auto" w:fill="CCEEFF"/>
            <w:tcMar>
              <w:top w:w="0" w:type="dxa"/>
              <w:left w:w="20" w:type="dxa"/>
              <w:bottom w:w="0" w:type="dxa"/>
              <w:right w:w="20" w:type="dxa"/>
            </w:tcMar>
            <w:vAlign w:val="bottom"/>
          </w:tcPr>
          <w:p w14:paraId="74DDE43E"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E43F"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E440"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E441"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E442"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E443"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E444"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E445"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E446"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E447" w14:textId="77777777" w:rsidR="00584EC1" w:rsidRDefault="00584EC1">
            <w:pPr>
              <w:rPr>
                <w:rFonts w:ascii="宋体"/>
              </w:rPr>
            </w:pPr>
          </w:p>
        </w:tc>
        <w:tc>
          <w:tcPr>
            <w:tcW w:w="0" w:type="auto"/>
            <w:shd w:val="clear" w:color="auto" w:fill="auto"/>
            <w:vAlign w:val="bottom"/>
          </w:tcPr>
          <w:p w14:paraId="74DDE448" w14:textId="77777777" w:rsidR="00584EC1" w:rsidRDefault="00584EC1">
            <w:pPr>
              <w:rPr>
                <w:rFonts w:ascii="宋体"/>
                <w:vanish/>
              </w:rPr>
            </w:pPr>
          </w:p>
        </w:tc>
        <w:tc>
          <w:tcPr>
            <w:tcW w:w="0" w:type="auto"/>
            <w:shd w:val="clear" w:color="auto" w:fill="auto"/>
            <w:vAlign w:val="bottom"/>
          </w:tcPr>
          <w:p w14:paraId="74DDE449" w14:textId="77777777" w:rsidR="00584EC1" w:rsidRDefault="00584EC1">
            <w:pPr>
              <w:rPr>
                <w:rFonts w:ascii="宋体"/>
                <w:vanish/>
              </w:rPr>
            </w:pPr>
          </w:p>
        </w:tc>
        <w:tc>
          <w:tcPr>
            <w:tcW w:w="0" w:type="auto"/>
            <w:gridSpan w:val="3"/>
            <w:shd w:val="clear" w:color="auto" w:fill="CCEEFF"/>
            <w:tcMar>
              <w:top w:w="0" w:type="dxa"/>
              <w:left w:w="20" w:type="dxa"/>
              <w:bottom w:w="0" w:type="dxa"/>
              <w:right w:w="20" w:type="dxa"/>
            </w:tcMar>
            <w:vAlign w:val="bottom"/>
          </w:tcPr>
          <w:p w14:paraId="74DDE44A"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E44B"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E44C"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E44D"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E44E" w14:textId="77777777" w:rsidR="00584EC1" w:rsidRDefault="00584EC1">
            <w:pPr>
              <w:rPr>
                <w:rFonts w:ascii="宋体"/>
              </w:rPr>
            </w:pPr>
          </w:p>
        </w:tc>
      </w:tr>
      <w:tr w:rsidR="00584EC1" w14:paraId="74DDE462" w14:textId="77777777">
        <w:tc>
          <w:tcPr>
            <w:tcW w:w="0" w:type="auto"/>
            <w:gridSpan w:val="3"/>
            <w:shd w:val="clear" w:color="auto" w:fill="FFFFFF"/>
            <w:tcMar>
              <w:top w:w="40" w:type="dxa"/>
              <w:left w:w="245" w:type="dxa"/>
              <w:bottom w:w="40" w:type="dxa"/>
              <w:right w:w="20" w:type="dxa"/>
            </w:tcMar>
            <w:vAlign w:val="bottom"/>
          </w:tcPr>
          <w:p w14:paraId="74DDE450" w14:textId="77777777" w:rsidR="00584EC1" w:rsidRDefault="00871F8D">
            <w:pPr>
              <w:textAlignment w:val="bottom"/>
            </w:pPr>
            <w:r>
              <w:rPr>
                <w:rFonts w:ascii="Arial" w:eastAsia="宋体" w:hAnsi="Arial" w:cs="Arial"/>
                <w:color w:val="000000"/>
                <w:sz w:val="14"/>
                <w:szCs w:val="14"/>
              </w:rPr>
              <w:t>Risk Rating:</w:t>
            </w:r>
          </w:p>
        </w:tc>
        <w:tc>
          <w:tcPr>
            <w:tcW w:w="0" w:type="auto"/>
            <w:gridSpan w:val="3"/>
            <w:shd w:val="clear" w:color="auto" w:fill="FFFFFF"/>
            <w:tcMar>
              <w:top w:w="0" w:type="dxa"/>
              <w:left w:w="20" w:type="dxa"/>
              <w:bottom w:w="0" w:type="dxa"/>
              <w:right w:w="20" w:type="dxa"/>
            </w:tcMar>
            <w:vAlign w:val="bottom"/>
          </w:tcPr>
          <w:p w14:paraId="74DDE451"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E45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E453"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E454"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E455"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E456"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E457"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E458"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E459"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E45A" w14:textId="77777777" w:rsidR="00584EC1" w:rsidRDefault="00584EC1">
            <w:pPr>
              <w:rPr>
                <w:rFonts w:ascii="宋体"/>
              </w:rPr>
            </w:pPr>
          </w:p>
        </w:tc>
        <w:tc>
          <w:tcPr>
            <w:tcW w:w="0" w:type="auto"/>
            <w:shd w:val="clear" w:color="auto" w:fill="auto"/>
            <w:vAlign w:val="bottom"/>
          </w:tcPr>
          <w:p w14:paraId="74DDE45B" w14:textId="77777777" w:rsidR="00584EC1" w:rsidRDefault="00584EC1">
            <w:pPr>
              <w:rPr>
                <w:rFonts w:ascii="宋体"/>
                <w:vanish/>
              </w:rPr>
            </w:pPr>
          </w:p>
        </w:tc>
        <w:tc>
          <w:tcPr>
            <w:tcW w:w="0" w:type="auto"/>
            <w:shd w:val="clear" w:color="auto" w:fill="auto"/>
            <w:vAlign w:val="bottom"/>
          </w:tcPr>
          <w:p w14:paraId="74DDE45C" w14:textId="77777777" w:rsidR="00584EC1" w:rsidRDefault="00584EC1">
            <w:pPr>
              <w:rPr>
                <w:rFonts w:ascii="宋体"/>
                <w:vanish/>
              </w:rPr>
            </w:pPr>
          </w:p>
        </w:tc>
        <w:tc>
          <w:tcPr>
            <w:tcW w:w="0" w:type="auto"/>
            <w:gridSpan w:val="3"/>
            <w:shd w:val="clear" w:color="auto" w:fill="FFFFFF"/>
            <w:tcMar>
              <w:top w:w="0" w:type="dxa"/>
              <w:left w:w="20" w:type="dxa"/>
              <w:bottom w:w="0" w:type="dxa"/>
              <w:right w:w="20" w:type="dxa"/>
            </w:tcMar>
            <w:vAlign w:val="bottom"/>
          </w:tcPr>
          <w:p w14:paraId="74DDE45D"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E45E"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E45F"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E460"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E461" w14:textId="77777777" w:rsidR="00584EC1" w:rsidRDefault="00584EC1">
            <w:pPr>
              <w:rPr>
                <w:rFonts w:ascii="宋体"/>
              </w:rPr>
            </w:pPr>
          </w:p>
        </w:tc>
      </w:tr>
      <w:tr w:rsidR="00584EC1" w14:paraId="74DDE485" w14:textId="77777777">
        <w:tc>
          <w:tcPr>
            <w:tcW w:w="0" w:type="auto"/>
            <w:gridSpan w:val="3"/>
            <w:shd w:val="clear" w:color="auto" w:fill="CCEEFF"/>
            <w:tcMar>
              <w:top w:w="40" w:type="dxa"/>
              <w:left w:w="380" w:type="dxa"/>
              <w:bottom w:w="40" w:type="dxa"/>
              <w:right w:w="20" w:type="dxa"/>
            </w:tcMar>
            <w:vAlign w:val="bottom"/>
          </w:tcPr>
          <w:p w14:paraId="74DDE463" w14:textId="77777777" w:rsidR="00584EC1" w:rsidRDefault="00871F8D">
            <w:pPr>
              <w:textAlignment w:val="bottom"/>
            </w:pPr>
            <w:r>
              <w:rPr>
                <w:rFonts w:ascii="Arial" w:eastAsia="宋体" w:hAnsi="Arial" w:cs="Arial"/>
                <w:color w:val="000000"/>
                <w:sz w:val="14"/>
                <w:szCs w:val="14"/>
              </w:rPr>
              <w:t>Investment grade</w:t>
            </w:r>
          </w:p>
        </w:tc>
        <w:tc>
          <w:tcPr>
            <w:tcW w:w="0" w:type="auto"/>
            <w:shd w:val="clear" w:color="auto" w:fill="CCEEFF"/>
            <w:tcMar>
              <w:top w:w="40" w:type="dxa"/>
              <w:left w:w="20" w:type="dxa"/>
              <w:bottom w:w="40" w:type="dxa"/>
              <w:right w:w="0" w:type="dxa"/>
            </w:tcMar>
            <w:vAlign w:val="bottom"/>
          </w:tcPr>
          <w:p w14:paraId="74DDE464" w14:textId="77777777" w:rsidR="00584EC1" w:rsidRDefault="00871F8D">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4DDE465" w14:textId="77777777" w:rsidR="00584EC1" w:rsidRDefault="00871F8D">
            <w:pPr>
              <w:jc w:val="right"/>
              <w:textAlignment w:val="bottom"/>
            </w:pPr>
            <w:r>
              <w:rPr>
                <w:rFonts w:ascii="Arial" w:eastAsia="宋体" w:hAnsi="Arial" w:cs="Arial"/>
                <w:b/>
                <w:bCs/>
                <w:color w:val="000000"/>
                <w:sz w:val="14"/>
                <w:szCs w:val="14"/>
              </w:rPr>
              <w:t>3,655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E46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467"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E468"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E469"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E46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46B"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E46C"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E46D"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E46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46F"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E470"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E471"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E47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473"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E474"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E475"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E47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477" w14:textId="77777777" w:rsidR="00584EC1" w:rsidRDefault="00584EC1">
            <w:pPr>
              <w:rPr>
                <w:rFonts w:ascii="宋体"/>
              </w:rPr>
            </w:pPr>
          </w:p>
        </w:tc>
        <w:tc>
          <w:tcPr>
            <w:tcW w:w="0" w:type="auto"/>
            <w:shd w:val="clear" w:color="auto" w:fill="auto"/>
            <w:vAlign w:val="bottom"/>
          </w:tcPr>
          <w:p w14:paraId="74DDE478" w14:textId="77777777" w:rsidR="00584EC1" w:rsidRDefault="00584EC1">
            <w:pPr>
              <w:rPr>
                <w:rFonts w:ascii="宋体"/>
                <w:vanish/>
              </w:rPr>
            </w:pPr>
          </w:p>
        </w:tc>
        <w:tc>
          <w:tcPr>
            <w:tcW w:w="0" w:type="auto"/>
            <w:shd w:val="clear" w:color="auto" w:fill="auto"/>
            <w:vAlign w:val="bottom"/>
          </w:tcPr>
          <w:p w14:paraId="74DDE479" w14:textId="77777777" w:rsidR="00584EC1" w:rsidRDefault="00584EC1">
            <w:pPr>
              <w:rPr>
                <w:rFonts w:ascii="宋体"/>
                <w:vanish/>
              </w:rPr>
            </w:pPr>
          </w:p>
        </w:tc>
        <w:tc>
          <w:tcPr>
            <w:tcW w:w="0" w:type="auto"/>
            <w:shd w:val="clear" w:color="auto" w:fill="CCEEFF"/>
            <w:tcMar>
              <w:top w:w="40" w:type="dxa"/>
              <w:left w:w="20" w:type="dxa"/>
              <w:bottom w:w="40" w:type="dxa"/>
              <w:right w:w="0" w:type="dxa"/>
            </w:tcMar>
            <w:vAlign w:val="bottom"/>
          </w:tcPr>
          <w:p w14:paraId="74DDE47A"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E47B"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E47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47D"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E47E"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E47F" w14:textId="77777777" w:rsidR="00584EC1" w:rsidRDefault="00871F8D">
            <w:pPr>
              <w:jc w:val="right"/>
              <w:textAlignment w:val="bottom"/>
            </w:pPr>
            <w:r>
              <w:rPr>
                <w:rFonts w:ascii="Arial" w:eastAsia="宋体" w:hAnsi="Arial" w:cs="Arial"/>
                <w:color w:val="000000"/>
                <w:sz w:val="14"/>
                <w:szCs w:val="14"/>
              </w:rPr>
              <w:t>4,938 </w:t>
            </w:r>
          </w:p>
        </w:tc>
        <w:tc>
          <w:tcPr>
            <w:tcW w:w="0" w:type="auto"/>
            <w:shd w:val="clear" w:color="auto" w:fill="CCEEFF"/>
            <w:tcMar>
              <w:top w:w="40" w:type="dxa"/>
              <w:left w:w="0" w:type="dxa"/>
              <w:bottom w:w="40" w:type="dxa"/>
              <w:right w:w="20" w:type="dxa"/>
            </w:tcMar>
            <w:vAlign w:val="bottom"/>
          </w:tcPr>
          <w:p w14:paraId="74DDE48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481"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E482"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E483" w14:textId="77777777" w:rsidR="00584EC1" w:rsidRDefault="00871F8D">
            <w:pPr>
              <w:jc w:val="right"/>
              <w:textAlignment w:val="bottom"/>
            </w:pPr>
            <w:r>
              <w:rPr>
                <w:rFonts w:ascii="Arial" w:eastAsia="宋体" w:hAnsi="Arial" w:cs="Arial"/>
                <w:color w:val="000000"/>
                <w:sz w:val="14"/>
                <w:szCs w:val="14"/>
              </w:rPr>
              <w:t>8,593 </w:t>
            </w:r>
          </w:p>
        </w:tc>
        <w:tc>
          <w:tcPr>
            <w:tcW w:w="0" w:type="auto"/>
            <w:shd w:val="clear" w:color="auto" w:fill="CCEEFF"/>
            <w:tcMar>
              <w:top w:w="40" w:type="dxa"/>
              <w:left w:w="0" w:type="dxa"/>
              <w:bottom w:w="40" w:type="dxa"/>
              <w:right w:w="20" w:type="dxa"/>
            </w:tcMar>
            <w:vAlign w:val="bottom"/>
          </w:tcPr>
          <w:p w14:paraId="74DDE484" w14:textId="77777777" w:rsidR="00584EC1" w:rsidRDefault="00584EC1">
            <w:pPr>
              <w:jc w:val="right"/>
              <w:rPr>
                <w:rFonts w:ascii="宋体"/>
              </w:rPr>
            </w:pPr>
          </w:p>
        </w:tc>
      </w:tr>
      <w:tr w:rsidR="00584EC1" w14:paraId="74DDE4A0" w14:textId="77777777">
        <w:tc>
          <w:tcPr>
            <w:tcW w:w="0" w:type="auto"/>
            <w:gridSpan w:val="3"/>
            <w:shd w:val="clear" w:color="auto" w:fill="FFFFFF"/>
            <w:tcMar>
              <w:top w:w="40" w:type="dxa"/>
              <w:left w:w="380" w:type="dxa"/>
              <w:bottom w:w="40" w:type="dxa"/>
              <w:right w:w="20" w:type="dxa"/>
            </w:tcMar>
            <w:vAlign w:val="bottom"/>
          </w:tcPr>
          <w:p w14:paraId="74DDE486" w14:textId="77777777" w:rsidR="00584EC1" w:rsidRDefault="00871F8D">
            <w:pPr>
              <w:textAlignment w:val="bottom"/>
            </w:pPr>
            <w:r>
              <w:rPr>
                <w:rFonts w:ascii="Arial" w:eastAsia="宋体" w:hAnsi="Arial" w:cs="Arial"/>
                <w:color w:val="000000"/>
                <w:sz w:val="14"/>
                <w:szCs w:val="14"/>
              </w:rPr>
              <w:t>Speculative</w:t>
            </w:r>
          </w:p>
        </w:tc>
        <w:tc>
          <w:tcPr>
            <w:tcW w:w="0" w:type="auto"/>
            <w:gridSpan w:val="2"/>
            <w:shd w:val="clear" w:color="auto" w:fill="FFFFFF"/>
            <w:tcMar>
              <w:top w:w="40" w:type="dxa"/>
              <w:left w:w="20" w:type="dxa"/>
              <w:bottom w:w="40" w:type="dxa"/>
              <w:right w:w="0" w:type="dxa"/>
            </w:tcMar>
            <w:vAlign w:val="bottom"/>
          </w:tcPr>
          <w:p w14:paraId="74DDE487" w14:textId="77777777" w:rsidR="00584EC1" w:rsidRDefault="00871F8D">
            <w:pPr>
              <w:jc w:val="right"/>
              <w:textAlignment w:val="bottom"/>
            </w:pPr>
            <w:r>
              <w:rPr>
                <w:rFonts w:ascii="Arial" w:eastAsia="宋体" w:hAnsi="Arial" w:cs="Arial"/>
                <w:b/>
                <w:bCs/>
                <w:color w:val="000000"/>
                <w:sz w:val="14"/>
                <w:szCs w:val="14"/>
              </w:rPr>
              <w:t>433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48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48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48A" w14:textId="77777777" w:rsidR="00584EC1" w:rsidRDefault="00871F8D">
            <w:pPr>
              <w:jc w:val="right"/>
              <w:textAlignment w:val="bottom"/>
            </w:pPr>
            <w:r>
              <w:rPr>
                <w:rFonts w:ascii="Arial" w:eastAsia="宋体" w:hAnsi="Arial" w:cs="Arial"/>
                <w:color w:val="000000"/>
                <w:sz w:val="14"/>
                <w:szCs w:val="14"/>
              </w:rPr>
              <w:t>197 </w:t>
            </w:r>
          </w:p>
        </w:tc>
        <w:tc>
          <w:tcPr>
            <w:tcW w:w="0" w:type="auto"/>
            <w:shd w:val="clear" w:color="auto" w:fill="FFFFFF"/>
            <w:tcMar>
              <w:top w:w="40" w:type="dxa"/>
              <w:left w:w="0" w:type="dxa"/>
              <w:bottom w:w="40" w:type="dxa"/>
              <w:right w:w="20" w:type="dxa"/>
            </w:tcMar>
            <w:vAlign w:val="bottom"/>
          </w:tcPr>
          <w:p w14:paraId="74DDE48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48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48D" w14:textId="77777777" w:rsidR="00584EC1" w:rsidRDefault="00871F8D">
            <w:pPr>
              <w:jc w:val="right"/>
              <w:textAlignment w:val="bottom"/>
            </w:pPr>
            <w:r>
              <w:rPr>
                <w:rFonts w:ascii="Arial" w:eastAsia="宋体" w:hAnsi="Arial" w:cs="Arial"/>
                <w:color w:val="000000"/>
                <w:sz w:val="14"/>
                <w:szCs w:val="14"/>
              </w:rPr>
              <w:t>294 </w:t>
            </w:r>
          </w:p>
        </w:tc>
        <w:tc>
          <w:tcPr>
            <w:tcW w:w="0" w:type="auto"/>
            <w:shd w:val="clear" w:color="auto" w:fill="FFFFFF"/>
            <w:tcMar>
              <w:top w:w="40" w:type="dxa"/>
              <w:left w:w="0" w:type="dxa"/>
              <w:bottom w:w="40" w:type="dxa"/>
              <w:right w:w="20" w:type="dxa"/>
            </w:tcMar>
            <w:vAlign w:val="bottom"/>
          </w:tcPr>
          <w:p w14:paraId="74DDE48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48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490" w14:textId="77777777" w:rsidR="00584EC1" w:rsidRDefault="00871F8D">
            <w:pPr>
              <w:jc w:val="right"/>
              <w:textAlignment w:val="bottom"/>
            </w:pPr>
            <w:r>
              <w:rPr>
                <w:rFonts w:ascii="Arial" w:eastAsia="宋体" w:hAnsi="Arial" w:cs="Arial"/>
                <w:color w:val="000000"/>
                <w:sz w:val="14"/>
                <w:szCs w:val="14"/>
              </w:rPr>
              <w:t>254 </w:t>
            </w:r>
          </w:p>
        </w:tc>
        <w:tc>
          <w:tcPr>
            <w:tcW w:w="0" w:type="auto"/>
            <w:shd w:val="clear" w:color="auto" w:fill="FFFFFF"/>
            <w:tcMar>
              <w:top w:w="40" w:type="dxa"/>
              <w:left w:w="0" w:type="dxa"/>
              <w:bottom w:w="40" w:type="dxa"/>
              <w:right w:w="20" w:type="dxa"/>
            </w:tcMar>
            <w:vAlign w:val="bottom"/>
          </w:tcPr>
          <w:p w14:paraId="74DDE49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49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493" w14:textId="77777777" w:rsidR="00584EC1" w:rsidRDefault="00871F8D">
            <w:pPr>
              <w:jc w:val="right"/>
              <w:textAlignment w:val="bottom"/>
            </w:pPr>
            <w:r>
              <w:rPr>
                <w:rFonts w:ascii="Arial" w:eastAsia="宋体" w:hAnsi="Arial" w:cs="Arial"/>
                <w:color w:val="000000"/>
                <w:sz w:val="14"/>
                <w:szCs w:val="14"/>
              </w:rPr>
              <w:t>146 </w:t>
            </w:r>
          </w:p>
        </w:tc>
        <w:tc>
          <w:tcPr>
            <w:tcW w:w="0" w:type="auto"/>
            <w:shd w:val="clear" w:color="auto" w:fill="FFFFFF"/>
            <w:tcMar>
              <w:top w:w="40" w:type="dxa"/>
              <w:left w:w="0" w:type="dxa"/>
              <w:bottom w:w="40" w:type="dxa"/>
              <w:right w:w="20" w:type="dxa"/>
            </w:tcMar>
            <w:vAlign w:val="bottom"/>
          </w:tcPr>
          <w:p w14:paraId="74DDE49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495" w14:textId="77777777" w:rsidR="00584EC1" w:rsidRDefault="00584EC1">
            <w:pPr>
              <w:rPr>
                <w:rFonts w:ascii="宋体"/>
              </w:rPr>
            </w:pPr>
          </w:p>
        </w:tc>
        <w:tc>
          <w:tcPr>
            <w:tcW w:w="0" w:type="auto"/>
            <w:shd w:val="clear" w:color="auto" w:fill="auto"/>
            <w:vAlign w:val="bottom"/>
          </w:tcPr>
          <w:p w14:paraId="74DDE496" w14:textId="77777777" w:rsidR="00584EC1" w:rsidRDefault="00584EC1">
            <w:pPr>
              <w:rPr>
                <w:rFonts w:ascii="宋体"/>
                <w:vanish/>
              </w:rPr>
            </w:pPr>
          </w:p>
        </w:tc>
        <w:tc>
          <w:tcPr>
            <w:tcW w:w="0" w:type="auto"/>
            <w:shd w:val="clear" w:color="auto" w:fill="auto"/>
            <w:vAlign w:val="bottom"/>
          </w:tcPr>
          <w:p w14:paraId="74DDE497"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DE498" w14:textId="77777777" w:rsidR="00584EC1" w:rsidRDefault="00871F8D">
            <w:pPr>
              <w:jc w:val="right"/>
              <w:textAlignment w:val="bottom"/>
            </w:pPr>
            <w:r>
              <w:rPr>
                <w:rFonts w:ascii="Arial" w:eastAsia="宋体" w:hAnsi="Arial" w:cs="Arial"/>
                <w:color w:val="000000"/>
                <w:sz w:val="14"/>
                <w:szCs w:val="14"/>
              </w:rPr>
              <w:t>31 </w:t>
            </w:r>
          </w:p>
        </w:tc>
        <w:tc>
          <w:tcPr>
            <w:tcW w:w="0" w:type="auto"/>
            <w:shd w:val="clear" w:color="auto" w:fill="FFFFFF"/>
            <w:tcMar>
              <w:top w:w="40" w:type="dxa"/>
              <w:left w:w="0" w:type="dxa"/>
              <w:bottom w:w="40" w:type="dxa"/>
              <w:right w:w="20" w:type="dxa"/>
            </w:tcMar>
            <w:vAlign w:val="bottom"/>
          </w:tcPr>
          <w:p w14:paraId="74DDE49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49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49B" w14:textId="77777777" w:rsidR="00584EC1" w:rsidRDefault="00871F8D">
            <w:pPr>
              <w:jc w:val="right"/>
              <w:textAlignment w:val="bottom"/>
            </w:pPr>
            <w:r>
              <w:rPr>
                <w:rFonts w:ascii="Arial" w:eastAsia="宋体" w:hAnsi="Arial" w:cs="Arial"/>
                <w:color w:val="000000"/>
                <w:sz w:val="14"/>
                <w:szCs w:val="14"/>
              </w:rPr>
              <w:t>161 </w:t>
            </w:r>
          </w:p>
        </w:tc>
        <w:tc>
          <w:tcPr>
            <w:tcW w:w="0" w:type="auto"/>
            <w:shd w:val="clear" w:color="auto" w:fill="FFFFFF"/>
            <w:tcMar>
              <w:top w:w="40" w:type="dxa"/>
              <w:left w:w="0" w:type="dxa"/>
              <w:bottom w:w="40" w:type="dxa"/>
              <w:right w:w="20" w:type="dxa"/>
            </w:tcMar>
            <w:vAlign w:val="bottom"/>
          </w:tcPr>
          <w:p w14:paraId="74DDE49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49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49E" w14:textId="77777777" w:rsidR="00584EC1" w:rsidRDefault="00871F8D">
            <w:pPr>
              <w:jc w:val="right"/>
              <w:textAlignment w:val="bottom"/>
            </w:pPr>
            <w:r>
              <w:rPr>
                <w:rFonts w:ascii="Arial" w:eastAsia="宋体" w:hAnsi="Arial" w:cs="Arial"/>
                <w:color w:val="000000"/>
                <w:sz w:val="14"/>
                <w:szCs w:val="14"/>
              </w:rPr>
              <w:t>1,516 </w:t>
            </w:r>
          </w:p>
        </w:tc>
        <w:tc>
          <w:tcPr>
            <w:tcW w:w="0" w:type="auto"/>
            <w:shd w:val="clear" w:color="auto" w:fill="FFFFFF"/>
            <w:tcMar>
              <w:top w:w="40" w:type="dxa"/>
              <w:left w:w="0" w:type="dxa"/>
              <w:bottom w:w="40" w:type="dxa"/>
              <w:right w:w="20" w:type="dxa"/>
            </w:tcMar>
            <w:vAlign w:val="bottom"/>
          </w:tcPr>
          <w:p w14:paraId="74DDE49F" w14:textId="77777777" w:rsidR="00584EC1" w:rsidRDefault="00584EC1">
            <w:pPr>
              <w:jc w:val="right"/>
              <w:rPr>
                <w:rFonts w:ascii="宋体"/>
              </w:rPr>
            </w:pPr>
          </w:p>
        </w:tc>
      </w:tr>
      <w:tr w:rsidR="00584EC1" w14:paraId="74DDE4B3" w14:textId="77777777">
        <w:trPr>
          <w:hidden/>
        </w:trPr>
        <w:tc>
          <w:tcPr>
            <w:tcW w:w="0" w:type="auto"/>
            <w:gridSpan w:val="3"/>
            <w:shd w:val="clear" w:color="auto" w:fill="auto"/>
            <w:vAlign w:val="bottom"/>
          </w:tcPr>
          <w:p w14:paraId="74DDE4A1" w14:textId="77777777" w:rsidR="00584EC1" w:rsidRDefault="00584EC1">
            <w:pPr>
              <w:rPr>
                <w:rFonts w:ascii="宋体"/>
                <w:vanish/>
              </w:rPr>
            </w:pPr>
          </w:p>
        </w:tc>
        <w:tc>
          <w:tcPr>
            <w:tcW w:w="0" w:type="auto"/>
            <w:gridSpan w:val="3"/>
            <w:shd w:val="clear" w:color="auto" w:fill="auto"/>
            <w:vAlign w:val="bottom"/>
          </w:tcPr>
          <w:p w14:paraId="74DDE4A2" w14:textId="77777777" w:rsidR="00584EC1" w:rsidRDefault="00584EC1">
            <w:pPr>
              <w:rPr>
                <w:rFonts w:ascii="宋体"/>
                <w:vanish/>
              </w:rPr>
            </w:pPr>
          </w:p>
        </w:tc>
        <w:tc>
          <w:tcPr>
            <w:tcW w:w="0" w:type="auto"/>
            <w:gridSpan w:val="3"/>
            <w:shd w:val="clear" w:color="auto" w:fill="auto"/>
            <w:vAlign w:val="bottom"/>
          </w:tcPr>
          <w:p w14:paraId="74DDE4A3" w14:textId="77777777" w:rsidR="00584EC1" w:rsidRDefault="00584EC1">
            <w:pPr>
              <w:rPr>
                <w:rFonts w:ascii="宋体"/>
                <w:vanish/>
              </w:rPr>
            </w:pPr>
          </w:p>
        </w:tc>
        <w:tc>
          <w:tcPr>
            <w:tcW w:w="0" w:type="auto"/>
            <w:gridSpan w:val="3"/>
            <w:shd w:val="clear" w:color="auto" w:fill="auto"/>
            <w:vAlign w:val="bottom"/>
          </w:tcPr>
          <w:p w14:paraId="74DDE4A4" w14:textId="77777777" w:rsidR="00584EC1" w:rsidRDefault="00584EC1">
            <w:pPr>
              <w:rPr>
                <w:rFonts w:ascii="宋体"/>
                <w:vanish/>
              </w:rPr>
            </w:pPr>
          </w:p>
        </w:tc>
        <w:tc>
          <w:tcPr>
            <w:tcW w:w="0" w:type="auto"/>
            <w:gridSpan w:val="3"/>
            <w:shd w:val="clear" w:color="auto" w:fill="auto"/>
            <w:vAlign w:val="bottom"/>
          </w:tcPr>
          <w:p w14:paraId="74DDE4A5" w14:textId="77777777" w:rsidR="00584EC1" w:rsidRDefault="00584EC1">
            <w:pPr>
              <w:rPr>
                <w:rFonts w:ascii="宋体"/>
                <w:vanish/>
              </w:rPr>
            </w:pPr>
          </w:p>
        </w:tc>
        <w:tc>
          <w:tcPr>
            <w:tcW w:w="0" w:type="auto"/>
            <w:gridSpan w:val="3"/>
            <w:shd w:val="clear" w:color="auto" w:fill="auto"/>
            <w:vAlign w:val="bottom"/>
          </w:tcPr>
          <w:p w14:paraId="74DDE4A6" w14:textId="77777777" w:rsidR="00584EC1" w:rsidRDefault="00584EC1">
            <w:pPr>
              <w:rPr>
                <w:rFonts w:ascii="宋体"/>
                <w:vanish/>
              </w:rPr>
            </w:pPr>
          </w:p>
        </w:tc>
        <w:tc>
          <w:tcPr>
            <w:tcW w:w="0" w:type="auto"/>
            <w:gridSpan w:val="3"/>
            <w:shd w:val="clear" w:color="auto" w:fill="auto"/>
            <w:vAlign w:val="bottom"/>
          </w:tcPr>
          <w:p w14:paraId="74DDE4A7" w14:textId="77777777" w:rsidR="00584EC1" w:rsidRDefault="00584EC1">
            <w:pPr>
              <w:rPr>
                <w:rFonts w:ascii="宋体"/>
                <w:vanish/>
              </w:rPr>
            </w:pPr>
          </w:p>
        </w:tc>
        <w:tc>
          <w:tcPr>
            <w:tcW w:w="0" w:type="auto"/>
            <w:gridSpan w:val="3"/>
            <w:shd w:val="clear" w:color="auto" w:fill="auto"/>
            <w:vAlign w:val="bottom"/>
          </w:tcPr>
          <w:p w14:paraId="74DDE4A8" w14:textId="77777777" w:rsidR="00584EC1" w:rsidRDefault="00584EC1">
            <w:pPr>
              <w:rPr>
                <w:rFonts w:ascii="宋体"/>
                <w:vanish/>
              </w:rPr>
            </w:pPr>
          </w:p>
        </w:tc>
        <w:tc>
          <w:tcPr>
            <w:tcW w:w="0" w:type="auto"/>
            <w:gridSpan w:val="3"/>
            <w:shd w:val="clear" w:color="auto" w:fill="auto"/>
            <w:vAlign w:val="bottom"/>
          </w:tcPr>
          <w:p w14:paraId="74DDE4A9" w14:textId="77777777" w:rsidR="00584EC1" w:rsidRDefault="00584EC1">
            <w:pPr>
              <w:rPr>
                <w:rFonts w:ascii="宋体"/>
                <w:vanish/>
              </w:rPr>
            </w:pPr>
          </w:p>
        </w:tc>
        <w:tc>
          <w:tcPr>
            <w:tcW w:w="0" w:type="auto"/>
            <w:gridSpan w:val="3"/>
            <w:shd w:val="clear" w:color="auto" w:fill="auto"/>
            <w:vAlign w:val="bottom"/>
          </w:tcPr>
          <w:p w14:paraId="74DDE4AA" w14:textId="77777777" w:rsidR="00584EC1" w:rsidRDefault="00584EC1">
            <w:pPr>
              <w:rPr>
                <w:rFonts w:ascii="宋体"/>
                <w:vanish/>
              </w:rPr>
            </w:pPr>
          </w:p>
        </w:tc>
        <w:tc>
          <w:tcPr>
            <w:tcW w:w="0" w:type="auto"/>
            <w:gridSpan w:val="3"/>
            <w:shd w:val="clear" w:color="auto" w:fill="auto"/>
            <w:vAlign w:val="bottom"/>
          </w:tcPr>
          <w:p w14:paraId="74DDE4AB" w14:textId="77777777" w:rsidR="00584EC1" w:rsidRDefault="00584EC1">
            <w:pPr>
              <w:rPr>
                <w:rFonts w:ascii="宋体"/>
                <w:vanish/>
              </w:rPr>
            </w:pPr>
          </w:p>
        </w:tc>
        <w:tc>
          <w:tcPr>
            <w:tcW w:w="0" w:type="auto"/>
            <w:shd w:val="clear" w:color="auto" w:fill="auto"/>
            <w:vAlign w:val="bottom"/>
          </w:tcPr>
          <w:p w14:paraId="74DDE4AC" w14:textId="77777777" w:rsidR="00584EC1" w:rsidRDefault="00584EC1">
            <w:pPr>
              <w:rPr>
                <w:rFonts w:ascii="宋体"/>
                <w:vanish/>
              </w:rPr>
            </w:pPr>
          </w:p>
        </w:tc>
        <w:tc>
          <w:tcPr>
            <w:tcW w:w="0" w:type="auto"/>
            <w:shd w:val="clear" w:color="auto" w:fill="auto"/>
            <w:vAlign w:val="bottom"/>
          </w:tcPr>
          <w:p w14:paraId="74DDE4AD" w14:textId="77777777" w:rsidR="00584EC1" w:rsidRDefault="00584EC1">
            <w:pPr>
              <w:rPr>
                <w:rFonts w:ascii="宋体"/>
                <w:vanish/>
              </w:rPr>
            </w:pPr>
          </w:p>
        </w:tc>
        <w:tc>
          <w:tcPr>
            <w:tcW w:w="0" w:type="auto"/>
            <w:gridSpan w:val="3"/>
            <w:shd w:val="clear" w:color="auto" w:fill="auto"/>
            <w:vAlign w:val="bottom"/>
          </w:tcPr>
          <w:p w14:paraId="74DDE4AE" w14:textId="77777777" w:rsidR="00584EC1" w:rsidRDefault="00584EC1">
            <w:pPr>
              <w:rPr>
                <w:rFonts w:ascii="宋体"/>
                <w:vanish/>
              </w:rPr>
            </w:pPr>
          </w:p>
        </w:tc>
        <w:tc>
          <w:tcPr>
            <w:tcW w:w="0" w:type="auto"/>
            <w:gridSpan w:val="3"/>
            <w:shd w:val="clear" w:color="auto" w:fill="auto"/>
            <w:vAlign w:val="bottom"/>
          </w:tcPr>
          <w:p w14:paraId="74DDE4AF" w14:textId="77777777" w:rsidR="00584EC1" w:rsidRDefault="00584EC1">
            <w:pPr>
              <w:rPr>
                <w:rFonts w:ascii="宋体"/>
                <w:vanish/>
              </w:rPr>
            </w:pPr>
          </w:p>
        </w:tc>
        <w:tc>
          <w:tcPr>
            <w:tcW w:w="0" w:type="auto"/>
            <w:gridSpan w:val="3"/>
            <w:shd w:val="clear" w:color="auto" w:fill="auto"/>
            <w:vAlign w:val="bottom"/>
          </w:tcPr>
          <w:p w14:paraId="74DDE4B0" w14:textId="77777777" w:rsidR="00584EC1" w:rsidRDefault="00584EC1">
            <w:pPr>
              <w:rPr>
                <w:rFonts w:ascii="宋体"/>
                <w:vanish/>
              </w:rPr>
            </w:pPr>
          </w:p>
        </w:tc>
        <w:tc>
          <w:tcPr>
            <w:tcW w:w="0" w:type="auto"/>
            <w:gridSpan w:val="3"/>
            <w:shd w:val="clear" w:color="auto" w:fill="auto"/>
            <w:vAlign w:val="bottom"/>
          </w:tcPr>
          <w:p w14:paraId="74DDE4B1" w14:textId="77777777" w:rsidR="00584EC1" w:rsidRDefault="00584EC1">
            <w:pPr>
              <w:rPr>
                <w:rFonts w:ascii="宋体"/>
                <w:vanish/>
              </w:rPr>
            </w:pPr>
          </w:p>
        </w:tc>
        <w:tc>
          <w:tcPr>
            <w:tcW w:w="0" w:type="auto"/>
            <w:gridSpan w:val="3"/>
            <w:shd w:val="clear" w:color="auto" w:fill="auto"/>
            <w:vAlign w:val="bottom"/>
          </w:tcPr>
          <w:p w14:paraId="74DDE4B2" w14:textId="77777777" w:rsidR="00584EC1" w:rsidRDefault="00584EC1">
            <w:pPr>
              <w:rPr>
                <w:rFonts w:ascii="宋体"/>
                <w:vanish/>
              </w:rPr>
            </w:pPr>
          </w:p>
        </w:tc>
      </w:tr>
      <w:tr w:rsidR="00584EC1" w14:paraId="74DDE4CE" w14:textId="77777777">
        <w:tc>
          <w:tcPr>
            <w:tcW w:w="0" w:type="auto"/>
            <w:gridSpan w:val="3"/>
            <w:shd w:val="clear" w:color="auto" w:fill="CCEEFF"/>
            <w:tcMar>
              <w:top w:w="40" w:type="dxa"/>
              <w:left w:w="380" w:type="dxa"/>
              <w:bottom w:w="40" w:type="dxa"/>
              <w:right w:w="20" w:type="dxa"/>
            </w:tcMar>
            <w:vAlign w:val="bottom"/>
          </w:tcPr>
          <w:p w14:paraId="74DDE4B4" w14:textId="77777777" w:rsidR="00584EC1" w:rsidRDefault="00871F8D">
            <w:pPr>
              <w:textAlignment w:val="bottom"/>
            </w:pPr>
            <w:r>
              <w:rPr>
                <w:rFonts w:ascii="Arial" w:eastAsia="宋体" w:hAnsi="Arial" w:cs="Arial"/>
                <w:color w:val="000000"/>
                <w:sz w:val="14"/>
                <w:szCs w:val="14"/>
              </w:rPr>
              <w:t>Substandard</w:t>
            </w:r>
          </w:p>
        </w:tc>
        <w:tc>
          <w:tcPr>
            <w:tcW w:w="0" w:type="auto"/>
            <w:gridSpan w:val="2"/>
            <w:shd w:val="clear" w:color="auto" w:fill="CCEEFF"/>
            <w:tcMar>
              <w:top w:w="40" w:type="dxa"/>
              <w:left w:w="20" w:type="dxa"/>
              <w:bottom w:w="40" w:type="dxa"/>
              <w:right w:w="0" w:type="dxa"/>
            </w:tcMar>
            <w:vAlign w:val="bottom"/>
          </w:tcPr>
          <w:p w14:paraId="74DDE4B5"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E4B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4B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E4B8"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E4B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4BA"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E4BB"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E4B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4B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E4BE" w14:textId="77777777" w:rsidR="00584EC1" w:rsidRDefault="00871F8D">
            <w:pPr>
              <w:jc w:val="right"/>
              <w:textAlignment w:val="bottom"/>
            </w:pPr>
            <w:r>
              <w:rPr>
                <w:rFonts w:ascii="Arial" w:eastAsia="宋体" w:hAnsi="Arial" w:cs="Arial"/>
                <w:color w:val="000000"/>
                <w:sz w:val="14"/>
                <w:szCs w:val="14"/>
              </w:rPr>
              <w:t>23 </w:t>
            </w:r>
          </w:p>
        </w:tc>
        <w:tc>
          <w:tcPr>
            <w:tcW w:w="0" w:type="auto"/>
            <w:shd w:val="clear" w:color="auto" w:fill="CCEEFF"/>
            <w:tcMar>
              <w:top w:w="40" w:type="dxa"/>
              <w:left w:w="0" w:type="dxa"/>
              <w:bottom w:w="40" w:type="dxa"/>
              <w:right w:w="20" w:type="dxa"/>
            </w:tcMar>
            <w:vAlign w:val="bottom"/>
          </w:tcPr>
          <w:p w14:paraId="74DDE4B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4C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E4C1"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E4C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4C3" w14:textId="77777777" w:rsidR="00584EC1" w:rsidRDefault="00584EC1">
            <w:pPr>
              <w:rPr>
                <w:rFonts w:ascii="宋体"/>
              </w:rPr>
            </w:pPr>
          </w:p>
        </w:tc>
        <w:tc>
          <w:tcPr>
            <w:tcW w:w="0" w:type="auto"/>
            <w:shd w:val="clear" w:color="auto" w:fill="auto"/>
            <w:vAlign w:val="bottom"/>
          </w:tcPr>
          <w:p w14:paraId="74DDE4C4" w14:textId="77777777" w:rsidR="00584EC1" w:rsidRDefault="00584EC1">
            <w:pPr>
              <w:rPr>
                <w:rFonts w:ascii="宋体"/>
                <w:vanish/>
              </w:rPr>
            </w:pPr>
          </w:p>
        </w:tc>
        <w:tc>
          <w:tcPr>
            <w:tcW w:w="0" w:type="auto"/>
            <w:shd w:val="clear" w:color="auto" w:fill="auto"/>
            <w:vAlign w:val="bottom"/>
          </w:tcPr>
          <w:p w14:paraId="74DDE4C5" w14:textId="77777777" w:rsidR="00584EC1" w:rsidRDefault="00584EC1">
            <w:pPr>
              <w:rPr>
                <w:rFonts w:ascii="宋体"/>
                <w:vanish/>
              </w:rPr>
            </w:pPr>
          </w:p>
        </w:tc>
        <w:tc>
          <w:tcPr>
            <w:tcW w:w="0" w:type="auto"/>
            <w:gridSpan w:val="2"/>
            <w:shd w:val="clear" w:color="auto" w:fill="CCEEFF"/>
            <w:tcMar>
              <w:top w:w="40" w:type="dxa"/>
              <w:left w:w="20" w:type="dxa"/>
              <w:bottom w:w="40" w:type="dxa"/>
              <w:right w:w="0" w:type="dxa"/>
            </w:tcMar>
            <w:vAlign w:val="bottom"/>
          </w:tcPr>
          <w:p w14:paraId="74DDE4C6"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E4C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4C8"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E4C9"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E4C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4C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E4CC" w14:textId="77777777" w:rsidR="00584EC1" w:rsidRDefault="00871F8D">
            <w:pPr>
              <w:jc w:val="right"/>
              <w:textAlignment w:val="bottom"/>
            </w:pPr>
            <w:r>
              <w:rPr>
                <w:rFonts w:ascii="Arial" w:eastAsia="宋体" w:hAnsi="Arial" w:cs="Arial"/>
                <w:color w:val="000000"/>
                <w:sz w:val="14"/>
                <w:szCs w:val="14"/>
              </w:rPr>
              <w:t>23 </w:t>
            </w:r>
          </w:p>
        </w:tc>
        <w:tc>
          <w:tcPr>
            <w:tcW w:w="0" w:type="auto"/>
            <w:shd w:val="clear" w:color="auto" w:fill="CCEEFF"/>
            <w:tcMar>
              <w:top w:w="40" w:type="dxa"/>
              <w:left w:w="0" w:type="dxa"/>
              <w:bottom w:w="40" w:type="dxa"/>
              <w:right w:w="20" w:type="dxa"/>
            </w:tcMar>
            <w:vAlign w:val="bottom"/>
          </w:tcPr>
          <w:p w14:paraId="74DDE4CD" w14:textId="77777777" w:rsidR="00584EC1" w:rsidRDefault="00584EC1">
            <w:pPr>
              <w:jc w:val="right"/>
              <w:rPr>
                <w:rFonts w:ascii="宋体"/>
              </w:rPr>
            </w:pPr>
          </w:p>
        </w:tc>
      </w:tr>
      <w:tr w:rsidR="00584EC1" w14:paraId="74DDE4E9" w14:textId="77777777">
        <w:tc>
          <w:tcPr>
            <w:tcW w:w="0" w:type="auto"/>
            <w:gridSpan w:val="3"/>
            <w:shd w:val="clear" w:color="auto" w:fill="FFFFFF"/>
            <w:tcMar>
              <w:top w:w="40" w:type="dxa"/>
              <w:left w:w="380" w:type="dxa"/>
              <w:bottom w:w="40" w:type="dxa"/>
              <w:right w:w="20" w:type="dxa"/>
            </w:tcMar>
            <w:vAlign w:val="bottom"/>
          </w:tcPr>
          <w:p w14:paraId="74DDE4CF" w14:textId="77777777" w:rsidR="00584EC1" w:rsidRDefault="00871F8D">
            <w:pPr>
              <w:textAlignment w:val="bottom"/>
            </w:pPr>
            <w:r>
              <w:rPr>
                <w:rFonts w:ascii="Arial" w:eastAsia="宋体" w:hAnsi="Arial" w:cs="Arial"/>
                <w:color w:val="000000"/>
                <w:sz w:val="14"/>
                <w:szCs w:val="14"/>
              </w:rPr>
              <w:t>Doubtful</w:t>
            </w:r>
          </w:p>
        </w:tc>
        <w:tc>
          <w:tcPr>
            <w:tcW w:w="0" w:type="auto"/>
            <w:gridSpan w:val="2"/>
            <w:shd w:val="clear" w:color="auto" w:fill="FFFFFF"/>
            <w:tcMar>
              <w:top w:w="40" w:type="dxa"/>
              <w:left w:w="20" w:type="dxa"/>
              <w:bottom w:w="40" w:type="dxa"/>
              <w:right w:w="0" w:type="dxa"/>
            </w:tcMar>
            <w:vAlign w:val="bottom"/>
          </w:tcPr>
          <w:p w14:paraId="74DDE4D0"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4D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4D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4D3"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4D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4D5"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4D6"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4D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4D8"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4D9"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4D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4DB"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4DC" w14:textId="77777777" w:rsidR="00584EC1" w:rsidRDefault="00871F8D">
            <w:pPr>
              <w:jc w:val="right"/>
              <w:textAlignment w:val="bottom"/>
            </w:pPr>
            <w:r>
              <w:rPr>
                <w:rFonts w:ascii="Arial" w:eastAsia="宋体" w:hAnsi="Arial" w:cs="Arial"/>
                <w:color w:val="000000"/>
                <w:sz w:val="14"/>
                <w:szCs w:val="14"/>
              </w:rPr>
              <w:t>15 </w:t>
            </w:r>
          </w:p>
        </w:tc>
        <w:tc>
          <w:tcPr>
            <w:tcW w:w="0" w:type="auto"/>
            <w:shd w:val="clear" w:color="auto" w:fill="FFFFFF"/>
            <w:tcMar>
              <w:top w:w="40" w:type="dxa"/>
              <w:left w:w="0" w:type="dxa"/>
              <w:bottom w:w="40" w:type="dxa"/>
              <w:right w:w="20" w:type="dxa"/>
            </w:tcMar>
            <w:vAlign w:val="bottom"/>
          </w:tcPr>
          <w:p w14:paraId="74DDE4D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4DE" w14:textId="77777777" w:rsidR="00584EC1" w:rsidRDefault="00584EC1">
            <w:pPr>
              <w:rPr>
                <w:rFonts w:ascii="宋体"/>
              </w:rPr>
            </w:pPr>
          </w:p>
        </w:tc>
        <w:tc>
          <w:tcPr>
            <w:tcW w:w="0" w:type="auto"/>
            <w:shd w:val="clear" w:color="auto" w:fill="auto"/>
            <w:vAlign w:val="bottom"/>
          </w:tcPr>
          <w:p w14:paraId="74DDE4DF" w14:textId="77777777" w:rsidR="00584EC1" w:rsidRDefault="00584EC1">
            <w:pPr>
              <w:rPr>
                <w:rFonts w:ascii="宋体"/>
                <w:vanish/>
              </w:rPr>
            </w:pPr>
          </w:p>
        </w:tc>
        <w:tc>
          <w:tcPr>
            <w:tcW w:w="0" w:type="auto"/>
            <w:shd w:val="clear" w:color="auto" w:fill="auto"/>
            <w:vAlign w:val="bottom"/>
          </w:tcPr>
          <w:p w14:paraId="74DDE4E0"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DE4E1"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4E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4E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4E4"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4E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4E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4E7" w14:textId="77777777" w:rsidR="00584EC1" w:rsidRDefault="00871F8D">
            <w:pPr>
              <w:jc w:val="right"/>
              <w:textAlignment w:val="bottom"/>
            </w:pPr>
            <w:r>
              <w:rPr>
                <w:rFonts w:ascii="Arial" w:eastAsia="宋体" w:hAnsi="Arial" w:cs="Arial"/>
                <w:color w:val="000000"/>
                <w:sz w:val="14"/>
                <w:szCs w:val="14"/>
              </w:rPr>
              <w:t>15 </w:t>
            </w:r>
          </w:p>
        </w:tc>
        <w:tc>
          <w:tcPr>
            <w:tcW w:w="0" w:type="auto"/>
            <w:shd w:val="clear" w:color="auto" w:fill="FFFFFF"/>
            <w:tcMar>
              <w:top w:w="40" w:type="dxa"/>
              <w:left w:w="0" w:type="dxa"/>
              <w:bottom w:w="40" w:type="dxa"/>
              <w:right w:w="20" w:type="dxa"/>
            </w:tcMar>
            <w:vAlign w:val="bottom"/>
          </w:tcPr>
          <w:p w14:paraId="74DDE4E8" w14:textId="77777777" w:rsidR="00584EC1" w:rsidRDefault="00584EC1">
            <w:pPr>
              <w:jc w:val="right"/>
              <w:rPr>
                <w:rFonts w:ascii="宋体"/>
              </w:rPr>
            </w:pPr>
          </w:p>
        </w:tc>
      </w:tr>
      <w:tr w:rsidR="00584EC1" w14:paraId="74DDE4FC" w14:textId="77777777">
        <w:trPr>
          <w:hidden/>
        </w:trPr>
        <w:tc>
          <w:tcPr>
            <w:tcW w:w="0" w:type="auto"/>
            <w:gridSpan w:val="3"/>
            <w:shd w:val="clear" w:color="auto" w:fill="auto"/>
            <w:vAlign w:val="bottom"/>
          </w:tcPr>
          <w:p w14:paraId="74DDE4EA" w14:textId="77777777" w:rsidR="00584EC1" w:rsidRDefault="00584EC1">
            <w:pPr>
              <w:rPr>
                <w:rFonts w:ascii="宋体"/>
                <w:vanish/>
              </w:rPr>
            </w:pPr>
          </w:p>
        </w:tc>
        <w:tc>
          <w:tcPr>
            <w:tcW w:w="0" w:type="auto"/>
            <w:gridSpan w:val="3"/>
            <w:shd w:val="clear" w:color="auto" w:fill="auto"/>
            <w:vAlign w:val="bottom"/>
          </w:tcPr>
          <w:p w14:paraId="74DDE4EB" w14:textId="77777777" w:rsidR="00584EC1" w:rsidRDefault="00584EC1">
            <w:pPr>
              <w:rPr>
                <w:rFonts w:ascii="宋体"/>
                <w:vanish/>
              </w:rPr>
            </w:pPr>
          </w:p>
        </w:tc>
        <w:tc>
          <w:tcPr>
            <w:tcW w:w="0" w:type="auto"/>
            <w:gridSpan w:val="3"/>
            <w:shd w:val="clear" w:color="auto" w:fill="auto"/>
            <w:vAlign w:val="bottom"/>
          </w:tcPr>
          <w:p w14:paraId="74DDE4EC" w14:textId="77777777" w:rsidR="00584EC1" w:rsidRDefault="00584EC1">
            <w:pPr>
              <w:rPr>
                <w:rFonts w:ascii="宋体"/>
                <w:vanish/>
              </w:rPr>
            </w:pPr>
          </w:p>
        </w:tc>
        <w:tc>
          <w:tcPr>
            <w:tcW w:w="0" w:type="auto"/>
            <w:gridSpan w:val="3"/>
            <w:shd w:val="clear" w:color="auto" w:fill="auto"/>
            <w:vAlign w:val="bottom"/>
          </w:tcPr>
          <w:p w14:paraId="74DDE4ED" w14:textId="77777777" w:rsidR="00584EC1" w:rsidRDefault="00584EC1">
            <w:pPr>
              <w:rPr>
                <w:rFonts w:ascii="宋体"/>
                <w:vanish/>
              </w:rPr>
            </w:pPr>
          </w:p>
        </w:tc>
        <w:tc>
          <w:tcPr>
            <w:tcW w:w="0" w:type="auto"/>
            <w:gridSpan w:val="3"/>
            <w:shd w:val="clear" w:color="auto" w:fill="auto"/>
            <w:vAlign w:val="bottom"/>
          </w:tcPr>
          <w:p w14:paraId="74DDE4EE" w14:textId="77777777" w:rsidR="00584EC1" w:rsidRDefault="00584EC1">
            <w:pPr>
              <w:rPr>
                <w:rFonts w:ascii="宋体"/>
                <w:vanish/>
              </w:rPr>
            </w:pPr>
          </w:p>
        </w:tc>
        <w:tc>
          <w:tcPr>
            <w:tcW w:w="0" w:type="auto"/>
            <w:gridSpan w:val="3"/>
            <w:shd w:val="clear" w:color="auto" w:fill="auto"/>
            <w:vAlign w:val="bottom"/>
          </w:tcPr>
          <w:p w14:paraId="74DDE4EF" w14:textId="77777777" w:rsidR="00584EC1" w:rsidRDefault="00584EC1">
            <w:pPr>
              <w:rPr>
                <w:rFonts w:ascii="宋体"/>
                <w:vanish/>
              </w:rPr>
            </w:pPr>
          </w:p>
        </w:tc>
        <w:tc>
          <w:tcPr>
            <w:tcW w:w="0" w:type="auto"/>
            <w:gridSpan w:val="3"/>
            <w:shd w:val="clear" w:color="auto" w:fill="auto"/>
            <w:vAlign w:val="bottom"/>
          </w:tcPr>
          <w:p w14:paraId="74DDE4F0" w14:textId="77777777" w:rsidR="00584EC1" w:rsidRDefault="00584EC1">
            <w:pPr>
              <w:rPr>
                <w:rFonts w:ascii="宋体"/>
                <w:vanish/>
              </w:rPr>
            </w:pPr>
          </w:p>
        </w:tc>
        <w:tc>
          <w:tcPr>
            <w:tcW w:w="0" w:type="auto"/>
            <w:gridSpan w:val="3"/>
            <w:shd w:val="clear" w:color="auto" w:fill="auto"/>
            <w:vAlign w:val="bottom"/>
          </w:tcPr>
          <w:p w14:paraId="74DDE4F1" w14:textId="77777777" w:rsidR="00584EC1" w:rsidRDefault="00584EC1">
            <w:pPr>
              <w:rPr>
                <w:rFonts w:ascii="宋体"/>
                <w:vanish/>
              </w:rPr>
            </w:pPr>
          </w:p>
        </w:tc>
        <w:tc>
          <w:tcPr>
            <w:tcW w:w="0" w:type="auto"/>
            <w:gridSpan w:val="3"/>
            <w:shd w:val="clear" w:color="auto" w:fill="auto"/>
            <w:vAlign w:val="bottom"/>
          </w:tcPr>
          <w:p w14:paraId="74DDE4F2" w14:textId="77777777" w:rsidR="00584EC1" w:rsidRDefault="00584EC1">
            <w:pPr>
              <w:rPr>
                <w:rFonts w:ascii="宋体"/>
                <w:vanish/>
              </w:rPr>
            </w:pPr>
          </w:p>
        </w:tc>
        <w:tc>
          <w:tcPr>
            <w:tcW w:w="0" w:type="auto"/>
            <w:gridSpan w:val="3"/>
            <w:shd w:val="clear" w:color="auto" w:fill="auto"/>
            <w:vAlign w:val="bottom"/>
          </w:tcPr>
          <w:p w14:paraId="74DDE4F3" w14:textId="77777777" w:rsidR="00584EC1" w:rsidRDefault="00584EC1">
            <w:pPr>
              <w:rPr>
                <w:rFonts w:ascii="宋体"/>
                <w:vanish/>
              </w:rPr>
            </w:pPr>
          </w:p>
        </w:tc>
        <w:tc>
          <w:tcPr>
            <w:tcW w:w="0" w:type="auto"/>
            <w:gridSpan w:val="3"/>
            <w:shd w:val="clear" w:color="auto" w:fill="auto"/>
            <w:vAlign w:val="bottom"/>
          </w:tcPr>
          <w:p w14:paraId="74DDE4F4" w14:textId="77777777" w:rsidR="00584EC1" w:rsidRDefault="00584EC1">
            <w:pPr>
              <w:rPr>
                <w:rFonts w:ascii="宋体"/>
                <w:vanish/>
              </w:rPr>
            </w:pPr>
          </w:p>
        </w:tc>
        <w:tc>
          <w:tcPr>
            <w:tcW w:w="0" w:type="auto"/>
            <w:shd w:val="clear" w:color="auto" w:fill="auto"/>
            <w:vAlign w:val="bottom"/>
          </w:tcPr>
          <w:p w14:paraId="74DDE4F5" w14:textId="77777777" w:rsidR="00584EC1" w:rsidRDefault="00584EC1">
            <w:pPr>
              <w:rPr>
                <w:rFonts w:ascii="宋体"/>
                <w:vanish/>
              </w:rPr>
            </w:pPr>
          </w:p>
        </w:tc>
        <w:tc>
          <w:tcPr>
            <w:tcW w:w="0" w:type="auto"/>
            <w:shd w:val="clear" w:color="auto" w:fill="auto"/>
            <w:vAlign w:val="bottom"/>
          </w:tcPr>
          <w:p w14:paraId="74DDE4F6" w14:textId="77777777" w:rsidR="00584EC1" w:rsidRDefault="00584EC1">
            <w:pPr>
              <w:rPr>
                <w:rFonts w:ascii="宋体"/>
                <w:vanish/>
              </w:rPr>
            </w:pPr>
          </w:p>
        </w:tc>
        <w:tc>
          <w:tcPr>
            <w:tcW w:w="0" w:type="auto"/>
            <w:gridSpan w:val="3"/>
            <w:shd w:val="clear" w:color="auto" w:fill="auto"/>
            <w:vAlign w:val="bottom"/>
          </w:tcPr>
          <w:p w14:paraId="74DDE4F7" w14:textId="77777777" w:rsidR="00584EC1" w:rsidRDefault="00584EC1">
            <w:pPr>
              <w:rPr>
                <w:rFonts w:ascii="宋体"/>
                <w:vanish/>
              </w:rPr>
            </w:pPr>
          </w:p>
        </w:tc>
        <w:tc>
          <w:tcPr>
            <w:tcW w:w="0" w:type="auto"/>
            <w:gridSpan w:val="3"/>
            <w:shd w:val="clear" w:color="auto" w:fill="auto"/>
            <w:vAlign w:val="bottom"/>
          </w:tcPr>
          <w:p w14:paraId="74DDE4F8" w14:textId="77777777" w:rsidR="00584EC1" w:rsidRDefault="00584EC1">
            <w:pPr>
              <w:rPr>
                <w:rFonts w:ascii="宋体"/>
                <w:vanish/>
              </w:rPr>
            </w:pPr>
          </w:p>
        </w:tc>
        <w:tc>
          <w:tcPr>
            <w:tcW w:w="0" w:type="auto"/>
            <w:gridSpan w:val="3"/>
            <w:shd w:val="clear" w:color="auto" w:fill="auto"/>
            <w:vAlign w:val="bottom"/>
          </w:tcPr>
          <w:p w14:paraId="74DDE4F9" w14:textId="77777777" w:rsidR="00584EC1" w:rsidRDefault="00584EC1">
            <w:pPr>
              <w:rPr>
                <w:rFonts w:ascii="宋体"/>
                <w:vanish/>
              </w:rPr>
            </w:pPr>
          </w:p>
        </w:tc>
        <w:tc>
          <w:tcPr>
            <w:tcW w:w="0" w:type="auto"/>
            <w:gridSpan w:val="3"/>
            <w:shd w:val="clear" w:color="auto" w:fill="auto"/>
            <w:vAlign w:val="bottom"/>
          </w:tcPr>
          <w:p w14:paraId="74DDE4FA" w14:textId="77777777" w:rsidR="00584EC1" w:rsidRDefault="00584EC1">
            <w:pPr>
              <w:rPr>
                <w:rFonts w:ascii="宋体"/>
                <w:vanish/>
              </w:rPr>
            </w:pPr>
          </w:p>
        </w:tc>
        <w:tc>
          <w:tcPr>
            <w:tcW w:w="0" w:type="auto"/>
            <w:gridSpan w:val="3"/>
            <w:shd w:val="clear" w:color="auto" w:fill="auto"/>
            <w:vAlign w:val="bottom"/>
          </w:tcPr>
          <w:p w14:paraId="74DDE4FB" w14:textId="77777777" w:rsidR="00584EC1" w:rsidRDefault="00584EC1">
            <w:pPr>
              <w:rPr>
                <w:rFonts w:ascii="宋体"/>
                <w:vanish/>
              </w:rPr>
            </w:pPr>
          </w:p>
        </w:tc>
      </w:tr>
      <w:tr w:rsidR="00584EC1" w14:paraId="74DDE51F" w14:textId="77777777">
        <w:tc>
          <w:tcPr>
            <w:tcW w:w="0" w:type="auto"/>
            <w:gridSpan w:val="3"/>
            <w:shd w:val="clear" w:color="auto" w:fill="CCEEFF"/>
            <w:tcMar>
              <w:top w:w="40" w:type="dxa"/>
              <w:left w:w="155" w:type="dxa"/>
              <w:bottom w:w="40" w:type="dxa"/>
              <w:right w:w="20" w:type="dxa"/>
            </w:tcMar>
            <w:vAlign w:val="bottom"/>
          </w:tcPr>
          <w:p w14:paraId="74DDE4FD" w14:textId="77777777" w:rsidR="00584EC1" w:rsidRDefault="00871F8D">
            <w:pPr>
              <w:textAlignment w:val="bottom"/>
            </w:pPr>
            <w:r>
              <w:rPr>
                <w:rFonts w:ascii="Arial" w:eastAsia="宋体" w:hAnsi="Arial" w:cs="Arial"/>
                <w:color w:val="000000"/>
                <w:sz w:val="14"/>
                <w:szCs w:val="14"/>
              </w:rPr>
              <w:t>Total commercial and financing</w:t>
            </w:r>
          </w:p>
        </w:tc>
        <w:tc>
          <w:tcPr>
            <w:tcW w:w="0" w:type="auto"/>
            <w:tcBorders>
              <w:top w:val="single" w:sz="8" w:space="0" w:color="000000"/>
            </w:tcBorders>
            <w:shd w:val="clear" w:color="auto" w:fill="CCEEFF"/>
            <w:tcMar>
              <w:top w:w="40" w:type="dxa"/>
              <w:left w:w="20" w:type="dxa"/>
              <w:bottom w:w="40" w:type="dxa"/>
              <w:right w:w="0" w:type="dxa"/>
            </w:tcMar>
            <w:vAlign w:val="bottom"/>
          </w:tcPr>
          <w:p w14:paraId="74DDE4FE"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E4FF" w14:textId="77777777" w:rsidR="00584EC1" w:rsidRDefault="00871F8D">
            <w:pPr>
              <w:jc w:val="right"/>
              <w:textAlignment w:val="bottom"/>
            </w:pPr>
            <w:r>
              <w:rPr>
                <w:rFonts w:ascii="Arial" w:eastAsia="宋体" w:hAnsi="Arial" w:cs="Arial"/>
                <w:b/>
                <w:bCs/>
                <w:color w:val="000000"/>
                <w:sz w:val="14"/>
                <w:szCs w:val="14"/>
              </w:rPr>
              <w:t>4,088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E50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501"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E502"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E503" w14:textId="77777777" w:rsidR="00584EC1" w:rsidRDefault="00871F8D">
            <w:pPr>
              <w:jc w:val="right"/>
              <w:textAlignment w:val="bottom"/>
            </w:pPr>
            <w:r>
              <w:rPr>
                <w:rFonts w:ascii="Arial" w:eastAsia="宋体" w:hAnsi="Arial" w:cs="Arial"/>
                <w:color w:val="000000"/>
                <w:sz w:val="14"/>
                <w:szCs w:val="14"/>
              </w:rPr>
              <w:t>197 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E50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505"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E506"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E507" w14:textId="77777777" w:rsidR="00584EC1" w:rsidRDefault="00871F8D">
            <w:pPr>
              <w:jc w:val="right"/>
              <w:textAlignment w:val="bottom"/>
            </w:pPr>
            <w:r>
              <w:rPr>
                <w:rFonts w:ascii="Arial" w:eastAsia="宋体" w:hAnsi="Arial" w:cs="Arial"/>
                <w:color w:val="000000"/>
                <w:sz w:val="14"/>
                <w:szCs w:val="14"/>
              </w:rPr>
              <w:t>294 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E50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509"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E50A"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E50B" w14:textId="77777777" w:rsidR="00584EC1" w:rsidRDefault="00871F8D">
            <w:pPr>
              <w:jc w:val="right"/>
              <w:textAlignment w:val="bottom"/>
            </w:pPr>
            <w:r>
              <w:rPr>
                <w:rFonts w:ascii="Arial" w:eastAsia="宋体" w:hAnsi="Arial" w:cs="Arial"/>
                <w:color w:val="000000"/>
                <w:sz w:val="14"/>
                <w:szCs w:val="14"/>
              </w:rPr>
              <w:t>277 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E50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50D"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E50E"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E50F" w14:textId="77777777" w:rsidR="00584EC1" w:rsidRDefault="00871F8D">
            <w:pPr>
              <w:jc w:val="right"/>
              <w:textAlignment w:val="bottom"/>
            </w:pPr>
            <w:r>
              <w:rPr>
                <w:rFonts w:ascii="Arial" w:eastAsia="宋体" w:hAnsi="Arial" w:cs="Arial"/>
                <w:color w:val="000000"/>
                <w:sz w:val="14"/>
                <w:szCs w:val="14"/>
              </w:rPr>
              <w:t>161 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E51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511" w14:textId="77777777" w:rsidR="00584EC1" w:rsidRDefault="00584EC1">
            <w:pPr>
              <w:rPr>
                <w:rFonts w:ascii="宋体"/>
              </w:rPr>
            </w:pPr>
          </w:p>
        </w:tc>
        <w:tc>
          <w:tcPr>
            <w:tcW w:w="0" w:type="auto"/>
            <w:shd w:val="clear" w:color="auto" w:fill="auto"/>
            <w:vAlign w:val="bottom"/>
          </w:tcPr>
          <w:p w14:paraId="74DDE512" w14:textId="77777777" w:rsidR="00584EC1" w:rsidRDefault="00584EC1">
            <w:pPr>
              <w:rPr>
                <w:rFonts w:ascii="宋体"/>
                <w:vanish/>
              </w:rPr>
            </w:pPr>
          </w:p>
        </w:tc>
        <w:tc>
          <w:tcPr>
            <w:tcW w:w="0" w:type="auto"/>
            <w:shd w:val="clear" w:color="auto" w:fill="auto"/>
            <w:vAlign w:val="bottom"/>
          </w:tcPr>
          <w:p w14:paraId="74DDE513" w14:textId="77777777" w:rsidR="00584EC1" w:rsidRDefault="00584EC1">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E514"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E515" w14:textId="77777777" w:rsidR="00584EC1" w:rsidRDefault="00871F8D">
            <w:pPr>
              <w:jc w:val="right"/>
              <w:textAlignment w:val="bottom"/>
            </w:pPr>
            <w:r>
              <w:rPr>
                <w:rFonts w:ascii="Arial" w:eastAsia="宋体" w:hAnsi="Arial" w:cs="Arial"/>
                <w:color w:val="000000"/>
                <w:sz w:val="14"/>
                <w:szCs w:val="14"/>
              </w:rPr>
              <w:t>31 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E51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517"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E518"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E519" w14:textId="77777777" w:rsidR="00584EC1" w:rsidRDefault="00871F8D">
            <w:pPr>
              <w:jc w:val="right"/>
              <w:textAlignment w:val="bottom"/>
            </w:pPr>
            <w:r>
              <w:rPr>
                <w:rFonts w:ascii="Arial" w:eastAsia="宋体" w:hAnsi="Arial" w:cs="Arial"/>
                <w:color w:val="000000"/>
                <w:sz w:val="14"/>
                <w:szCs w:val="14"/>
              </w:rPr>
              <w:t>5,099 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E51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51B"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E51C"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E51D" w14:textId="77777777" w:rsidR="00584EC1" w:rsidRDefault="00871F8D">
            <w:pPr>
              <w:jc w:val="right"/>
              <w:textAlignment w:val="bottom"/>
            </w:pPr>
            <w:r>
              <w:rPr>
                <w:rFonts w:ascii="Arial" w:eastAsia="宋体" w:hAnsi="Arial" w:cs="Arial"/>
                <w:color w:val="000000"/>
                <w:sz w:val="14"/>
                <w:szCs w:val="14"/>
              </w:rPr>
              <w:t>10,147 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E51E" w14:textId="77777777" w:rsidR="00584EC1" w:rsidRDefault="00584EC1">
            <w:pPr>
              <w:jc w:val="right"/>
              <w:rPr>
                <w:rFonts w:ascii="宋体"/>
              </w:rPr>
            </w:pPr>
          </w:p>
        </w:tc>
      </w:tr>
      <w:tr w:rsidR="00584EC1" w14:paraId="74DDE532" w14:textId="77777777">
        <w:trPr>
          <w:trHeight w:val="220"/>
        </w:trPr>
        <w:tc>
          <w:tcPr>
            <w:tcW w:w="0" w:type="auto"/>
            <w:gridSpan w:val="3"/>
            <w:shd w:val="clear" w:color="auto" w:fill="FFFFFF"/>
            <w:tcMar>
              <w:top w:w="0" w:type="dxa"/>
              <w:left w:w="20" w:type="dxa"/>
              <w:bottom w:w="0" w:type="dxa"/>
              <w:right w:w="20" w:type="dxa"/>
            </w:tcMar>
            <w:vAlign w:val="bottom"/>
          </w:tcPr>
          <w:p w14:paraId="74DDE520"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E521"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E522"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E523"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E524"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E525"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E526"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E527"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E528"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E529"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E52A" w14:textId="77777777" w:rsidR="00584EC1" w:rsidRDefault="00584EC1">
            <w:pPr>
              <w:rPr>
                <w:rFonts w:ascii="宋体"/>
              </w:rPr>
            </w:pPr>
          </w:p>
        </w:tc>
        <w:tc>
          <w:tcPr>
            <w:tcW w:w="0" w:type="auto"/>
            <w:shd w:val="clear" w:color="auto" w:fill="auto"/>
            <w:vAlign w:val="bottom"/>
          </w:tcPr>
          <w:p w14:paraId="74DDE52B" w14:textId="77777777" w:rsidR="00584EC1" w:rsidRDefault="00584EC1">
            <w:pPr>
              <w:rPr>
                <w:rFonts w:ascii="宋体"/>
                <w:vanish/>
              </w:rPr>
            </w:pPr>
          </w:p>
        </w:tc>
        <w:tc>
          <w:tcPr>
            <w:tcW w:w="0" w:type="auto"/>
            <w:shd w:val="clear" w:color="auto" w:fill="auto"/>
            <w:vAlign w:val="bottom"/>
          </w:tcPr>
          <w:p w14:paraId="74DDE52C" w14:textId="77777777" w:rsidR="00584EC1" w:rsidRDefault="00584EC1">
            <w:pPr>
              <w:rPr>
                <w:rFonts w:ascii="宋体"/>
                <w:vanish/>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E52D"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E52E"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E52F"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E530"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E531" w14:textId="77777777" w:rsidR="00584EC1" w:rsidRDefault="00584EC1">
            <w:pPr>
              <w:rPr>
                <w:rFonts w:ascii="宋体"/>
              </w:rPr>
            </w:pPr>
          </w:p>
        </w:tc>
      </w:tr>
      <w:tr w:rsidR="00584EC1" w14:paraId="74DDE545" w14:textId="77777777">
        <w:trPr>
          <w:hidden/>
        </w:trPr>
        <w:tc>
          <w:tcPr>
            <w:tcW w:w="0" w:type="auto"/>
            <w:gridSpan w:val="3"/>
            <w:shd w:val="clear" w:color="auto" w:fill="auto"/>
            <w:vAlign w:val="bottom"/>
          </w:tcPr>
          <w:p w14:paraId="74DDE533" w14:textId="77777777" w:rsidR="00584EC1" w:rsidRDefault="00584EC1">
            <w:pPr>
              <w:rPr>
                <w:rFonts w:ascii="宋体"/>
                <w:vanish/>
              </w:rPr>
            </w:pPr>
          </w:p>
        </w:tc>
        <w:tc>
          <w:tcPr>
            <w:tcW w:w="0" w:type="auto"/>
            <w:gridSpan w:val="3"/>
            <w:shd w:val="clear" w:color="auto" w:fill="auto"/>
            <w:vAlign w:val="bottom"/>
          </w:tcPr>
          <w:p w14:paraId="74DDE534" w14:textId="77777777" w:rsidR="00584EC1" w:rsidRDefault="00584EC1">
            <w:pPr>
              <w:rPr>
                <w:rFonts w:ascii="宋体"/>
                <w:vanish/>
              </w:rPr>
            </w:pPr>
          </w:p>
        </w:tc>
        <w:tc>
          <w:tcPr>
            <w:tcW w:w="0" w:type="auto"/>
            <w:gridSpan w:val="3"/>
            <w:shd w:val="clear" w:color="auto" w:fill="auto"/>
            <w:vAlign w:val="bottom"/>
          </w:tcPr>
          <w:p w14:paraId="74DDE535" w14:textId="77777777" w:rsidR="00584EC1" w:rsidRDefault="00584EC1">
            <w:pPr>
              <w:rPr>
                <w:rFonts w:ascii="宋体"/>
                <w:vanish/>
              </w:rPr>
            </w:pPr>
          </w:p>
        </w:tc>
        <w:tc>
          <w:tcPr>
            <w:tcW w:w="0" w:type="auto"/>
            <w:gridSpan w:val="3"/>
            <w:shd w:val="clear" w:color="auto" w:fill="auto"/>
            <w:vAlign w:val="bottom"/>
          </w:tcPr>
          <w:p w14:paraId="74DDE536" w14:textId="77777777" w:rsidR="00584EC1" w:rsidRDefault="00584EC1">
            <w:pPr>
              <w:rPr>
                <w:rFonts w:ascii="宋体"/>
                <w:vanish/>
              </w:rPr>
            </w:pPr>
          </w:p>
        </w:tc>
        <w:tc>
          <w:tcPr>
            <w:tcW w:w="0" w:type="auto"/>
            <w:gridSpan w:val="3"/>
            <w:shd w:val="clear" w:color="auto" w:fill="auto"/>
            <w:vAlign w:val="bottom"/>
          </w:tcPr>
          <w:p w14:paraId="74DDE537" w14:textId="77777777" w:rsidR="00584EC1" w:rsidRDefault="00584EC1">
            <w:pPr>
              <w:rPr>
                <w:rFonts w:ascii="宋体"/>
                <w:vanish/>
              </w:rPr>
            </w:pPr>
          </w:p>
        </w:tc>
        <w:tc>
          <w:tcPr>
            <w:tcW w:w="0" w:type="auto"/>
            <w:gridSpan w:val="3"/>
            <w:shd w:val="clear" w:color="auto" w:fill="auto"/>
            <w:vAlign w:val="bottom"/>
          </w:tcPr>
          <w:p w14:paraId="74DDE538" w14:textId="77777777" w:rsidR="00584EC1" w:rsidRDefault="00584EC1">
            <w:pPr>
              <w:rPr>
                <w:rFonts w:ascii="宋体"/>
                <w:vanish/>
              </w:rPr>
            </w:pPr>
          </w:p>
        </w:tc>
        <w:tc>
          <w:tcPr>
            <w:tcW w:w="0" w:type="auto"/>
            <w:gridSpan w:val="3"/>
            <w:shd w:val="clear" w:color="auto" w:fill="auto"/>
            <w:vAlign w:val="bottom"/>
          </w:tcPr>
          <w:p w14:paraId="74DDE539" w14:textId="77777777" w:rsidR="00584EC1" w:rsidRDefault="00584EC1">
            <w:pPr>
              <w:rPr>
                <w:rFonts w:ascii="宋体"/>
                <w:vanish/>
              </w:rPr>
            </w:pPr>
          </w:p>
        </w:tc>
        <w:tc>
          <w:tcPr>
            <w:tcW w:w="0" w:type="auto"/>
            <w:gridSpan w:val="3"/>
            <w:shd w:val="clear" w:color="auto" w:fill="auto"/>
            <w:vAlign w:val="bottom"/>
          </w:tcPr>
          <w:p w14:paraId="74DDE53A" w14:textId="77777777" w:rsidR="00584EC1" w:rsidRDefault="00584EC1">
            <w:pPr>
              <w:rPr>
                <w:rFonts w:ascii="宋体"/>
                <w:vanish/>
              </w:rPr>
            </w:pPr>
          </w:p>
        </w:tc>
        <w:tc>
          <w:tcPr>
            <w:tcW w:w="0" w:type="auto"/>
            <w:gridSpan w:val="3"/>
            <w:shd w:val="clear" w:color="auto" w:fill="auto"/>
            <w:vAlign w:val="bottom"/>
          </w:tcPr>
          <w:p w14:paraId="74DDE53B" w14:textId="77777777" w:rsidR="00584EC1" w:rsidRDefault="00584EC1">
            <w:pPr>
              <w:rPr>
                <w:rFonts w:ascii="宋体"/>
                <w:vanish/>
              </w:rPr>
            </w:pPr>
          </w:p>
        </w:tc>
        <w:tc>
          <w:tcPr>
            <w:tcW w:w="0" w:type="auto"/>
            <w:gridSpan w:val="3"/>
            <w:shd w:val="clear" w:color="auto" w:fill="auto"/>
            <w:vAlign w:val="bottom"/>
          </w:tcPr>
          <w:p w14:paraId="74DDE53C" w14:textId="77777777" w:rsidR="00584EC1" w:rsidRDefault="00584EC1">
            <w:pPr>
              <w:rPr>
                <w:rFonts w:ascii="宋体"/>
                <w:vanish/>
              </w:rPr>
            </w:pPr>
          </w:p>
        </w:tc>
        <w:tc>
          <w:tcPr>
            <w:tcW w:w="0" w:type="auto"/>
            <w:gridSpan w:val="3"/>
            <w:shd w:val="clear" w:color="auto" w:fill="auto"/>
            <w:vAlign w:val="bottom"/>
          </w:tcPr>
          <w:p w14:paraId="74DDE53D" w14:textId="77777777" w:rsidR="00584EC1" w:rsidRDefault="00584EC1">
            <w:pPr>
              <w:rPr>
                <w:rFonts w:ascii="宋体"/>
                <w:vanish/>
              </w:rPr>
            </w:pPr>
          </w:p>
        </w:tc>
        <w:tc>
          <w:tcPr>
            <w:tcW w:w="0" w:type="auto"/>
            <w:shd w:val="clear" w:color="auto" w:fill="auto"/>
            <w:vAlign w:val="bottom"/>
          </w:tcPr>
          <w:p w14:paraId="74DDE53E" w14:textId="77777777" w:rsidR="00584EC1" w:rsidRDefault="00584EC1">
            <w:pPr>
              <w:rPr>
                <w:rFonts w:ascii="宋体"/>
                <w:vanish/>
              </w:rPr>
            </w:pPr>
          </w:p>
        </w:tc>
        <w:tc>
          <w:tcPr>
            <w:tcW w:w="0" w:type="auto"/>
            <w:shd w:val="clear" w:color="auto" w:fill="auto"/>
            <w:vAlign w:val="bottom"/>
          </w:tcPr>
          <w:p w14:paraId="74DDE53F" w14:textId="77777777" w:rsidR="00584EC1" w:rsidRDefault="00584EC1">
            <w:pPr>
              <w:rPr>
                <w:rFonts w:ascii="宋体"/>
                <w:vanish/>
              </w:rPr>
            </w:pPr>
          </w:p>
        </w:tc>
        <w:tc>
          <w:tcPr>
            <w:tcW w:w="0" w:type="auto"/>
            <w:gridSpan w:val="3"/>
            <w:shd w:val="clear" w:color="auto" w:fill="auto"/>
            <w:vAlign w:val="bottom"/>
          </w:tcPr>
          <w:p w14:paraId="74DDE540" w14:textId="77777777" w:rsidR="00584EC1" w:rsidRDefault="00584EC1">
            <w:pPr>
              <w:rPr>
                <w:rFonts w:ascii="宋体"/>
                <w:vanish/>
              </w:rPr>
            </w:pPr>
          </w:p>
        </w:tc>
        <w:tc>
          <w:tcPr>
            <w:tcW w:w="0" w:type="auto"/>
            <w:gridSpan w:val="3"/>
            <w:shd w:val="clear" w:color="auto" w:fill="auto"/>
            <w:vAlign w:val="bottom"/>
          </w:tcPr>
          <w:p w14:paraId="74DDE541" w14:textId="77777777" w:rsidR="00584EC1" w:rsidRDefault="00584EC1">
            <w:pPr>
              <w:rPr>
                <w:rFonts w:ascii="宋体"/>
                <w:vanish/>
              </w:rPr>
            </w:pPr>
          </w:p>
        </w:tc>
        <w:tc>
          <w:tcPr>
            <w:tcW w:w="0" w:type="auto"/>
            <w:gridSpan w:val="3"/>
            <w:shd w:val="clear" w:color="auto" w:fill="auto"/>
            <w:vAlign w:val="bottom"/>
          </w:tcPr>
          <w:p w14:paraId="74DDE542" w14:textId="77777777" w:rsidR="00584EC1" w:rsidRDefault="00584EC1">
            <w:pPr>
              <w:rPr>
                <w:rFonts w:ascii="宋体"/>
                <w:vanish/>
              </w:rPr>
            </w:pPr>
          </w:p>
        </w:tc>
        <w:tc>
          <w:tcPr>
            <w:tcW w:w="0" w:type="auto"/>
            <w:gridSpan w:val="3"/>
            <w:shd w:val="clear" w:color="auto" w:fill="auto"/>
            <w:vAlign w:val="bottom"/>
          </w:tcPr>
          <w:p w14:paraId="74DDE543" w14:textId="77777777" w:rsidR="00584EC1" w:rsidRDefault="00584EC1">
            <w:pPr>
              <w:rPr>
                <w:rFonts w:ascii="宋体"/>
                <w:vanish/>
              </w:rPr>
            </w:pPr>
          </w:p>
        </w:tc>
        <w:tc>
          <w:tcPr>
            <w:tcW w:w="0" w:type="auto"/>
            <w:gridSpan w:val="3"/>
            <w:shd w:val="clear" w:color="auto" w:fill="auto"/>
            <w:vAlign w:val="bottom"/>
          </w:tcPr>
          <w:p w14:paraId="74DDE544" w14:textId="77777777" w:rsidR="00584EC1" w:rsidRDefault="00584EC1">
            <w:pPr>
              <w:rPr>
                <w:rFonts w:ascii="宋体"/>
                <w:vanish/>
              </w:rPr>
            </w:pPr>
          </w:p>
        </w:tc>
      </w:tr>
      <w:tr w:rsidR="00584EC1" w14:paraId="74DDE558" w14:textId="77777777">
        <w:trPr>
          <w:hidden/>
        </w:trPr>
        <w:tc>
          <w:tcPr>
            <w:tcW w:w="0" w:type="auto"/>
            <w:gridSpan w:val="3"/>
            <w:shd w:val="clear" w:color="auto" w:fill="auto"/>
            <w:vAlign w:val="bottom"/>
          </w:tcPr>
          <w:p w14:paraId="74DDE546" w14:textId="77777777" w:rsidR="00584EC1" w:rsidRDefault="00584EC1">
            <w:pPr>
              <w:rPr>
                <w:rFonts w:ascii="宋体"/>
                <w:vanish/>
              </w:rPr>
            </w:pPr>
          </w:p>
        </w:tc>
        <w:tc>
          <w:tcPr>
            <w:tcW w:w="0" w:type="auto"/>
            <w:gridSpan w:val="3"/>
            <w:shd w:val="clear" w:color="auto" w:fill="auto"/>
            <w:vAlign w:val="bottom"/>
          </w:tcPr>
          <w:p w14:paraId="74DDE547" w14:textId="77777777" w:rsidR="00584EC1" w:rsidRDefault="00584EC1">
            <w:pPr>
              <w:rPr>
                <w:rFonts w:ascii="宋体"/>
                <w:vanish/>
              </w:rPr>
            </w:pPr>
          </w:p>
        </w:tc>
        <w:tc>
          <w:tcPr>
            <w:tcW w:w="0" w:type="auto"/>
            <w:gridSpan w:val="3"/>
            <w:shd w:val="clear" w:color="auto" w:fill="auto"/>
            <w:vAlign w:val="bottom"/>
          </w:tcPr>
          <w:p w14:paraId="74DDE548" w14:textId="77777777" w:rsidR="00584EC1" w:rsidRDefault="00584EC1">
            <w:pPr>
              <w:rPr>
                <w:rFonts w:ascii="宋体"/>
                <w:vanish/>
              </w:rPr>
            </w:pPr>
          </w:p>
        </w:tc>
        <w:tc>
          <w:tcPr>
            <w:tcW w:w="0" w:type="auto"/>
            <w:gridSpan w:val="3"/>
            <w:shd w:val="clear" w:color="auto" w:fill="auto"/>
            <w:vAlign w:val="bottom"/>
          </w:tcPr>
          <w:p w14:paraId="74DDE549" w14:textId="77777777" w:rsidR="00584EC1" w:rsidRDefault="00584EC1">
            <w:pPr>
              <w:rPr>
                <w:rFonts w:ascii="宋体"/>
                <w:vanish/>
              </w:rPr>
            </w:pPr>
          </w:p>
        </w:tc>
        <w:tc>
          <w:tcPr>
            <w:tcW w:w="0" w:type="auto"/>
            <w:gridSpan w:val="3"/>
            <w:shd w:val="clear" w:color="auto" w:fill="auto"/>
            <w:vAlign w:val="bottom"/>
          </w:tcPr>
          <w:p w14:paraId="74DDE54A" w14:textId="77777777" w:rsidR="00584EC1" w:rsidRDefault="00584EC1">
            <w:pPr>
              <w:rPr>
                <w:rFonts w:ascii="宋体"/>
                <w:vanish/>
              </w:rPr>
            </w:pPr>
          </w:p>
        </w:tc>
        <w:tc>
          <w:tcPr>
            <w:tcW w:w="0" w:type="auto"/>
            <w:gridSpan w:val="3"/>
            <w:shd w:val="clear" w:color="auto" w:fill="auto"/>
            <w:vAlign w:val="bottom"/>
          </w:tcPr>
          <w:p w14:paraId="74DDE54B" w14:textId="77777777" w:rsidR="00584EC1" w:rsidRDefault="00584EC1">
            <w:pPr>
              <w:rPr>
                <w:rFonts w:ascii="宋体"/>
                <w:vanish/>
              </w:rPr>
            </w:pPr>
          </w:p>
        </w:tc>
        <w:tc>
          <w:tcPr>
            <w:tcW w:w="0" w:type="auto"/>
            <w:gridSpan w:val="3"/>
            <w:shd w:val="clear" w:color="auto" w:fill="auto"/>
            <w:vAlign w:val="bottom"/>
          </w:tcPr>
          <w:p w14:paraId="74DDE54C" w14:textId="77777777" w:rsidR="00584EC1" w:rsidRDefault="00584EC1">
            <w:pPr>
              <w:rPr>
                <w:rFonts w:ascii="宋体"/>
                <w:vanish/>
              </w:rPr>
            </w:pPr>
          </w:p>
        </w:tc>
        <w:tc>
          <w:tcPr>
            <w:tcW w:w="0" w:type="auto"/>
            <w:gridSpan w:val="3"/>
            <w:shd w:val="clear" w:color="auto" w:fill="auto"/>
            <w:vAlign w:val="bottom"/>
          </w:tcPr>
          <w:p w14:paraId="74DDE54D" w14:textId="77777777" w:rsidR="00584EC1" w:rsidRDefault="00584EC1">
            <w:pPr>
              <w:rPr>
                <w:rFonts w:ascii="宋体"/>
                <w:vanish/>
              </w:rPr>
            </w:pPr>
          </w:p>
        </w:tc>
        <w:tc>
          <w:tcPr>
            <w:tcW w:w="0" w:type="auto"/>
            <w:gridSpan w:val="3"/>
            <w:shd w:val="clear" w:color="auto" w:fill="auto"/>
            <w:vAlign w:val="bottom"/>
          </w:tcPr>
          <w:p w14:paraId="74DDE54E" w14:textId="77777777" w:rsidR="00584EC1" w:rsidRDefault="00584EC1">
            <w:pPr>
              <w:rPr>
                <w:rFonts w:ascii="宋体"/>
                <w:vanish/>
              </w:rPr>
            </w:pPr>
          </w:p>
        </w:tc>
        <w:tc>
          <w:tcPr>
            <w:tcW w:w="0" w:type="auto"/>
            <w:gridSpan w:val="3"/>
            <w:shd w:val="clear" w:color="auto" w:fill="auto"/>
            <w:vAlign w:val="bottom"/>
          </w:tcPr>
          <w:p w14:paraId="74DDE54F" w14:textId="77777777" w:rsidR="00584EC1" w:rsidRDefault="00584EC1">
            <w:pPr>
              <w:rPr>
                <w:rFonts w:ascii="宋体"/>
                <w:vanish/>
              </w:rPr>
            </w:pPr>
          </w:p>
        </w:tc>
        <w:tc>
          <w:tcPr>
            <w:tcW w:w="0" w:type="auto"/>
            <w:gridSpan w:val="3"/>
            <w:shd w:val="clear" w:color="auto" w:fill="auto"/>
            <w:vAlign w:val="bottom"/>
          </w:tcPr>
          <w:p w14:paraId="74DDE550" w14:textId="77777777" w:rsidR="00584EC1" w:rsidRDefault="00584EC1">
            <w:pPr>
              <w:rPr>
                <w:rFonts w:ascii="宋体"/>
                <w:vanish/>
              </w:rPr>
            </w:pPr>
          </w:p>
        </w:tc>
        <w:tc>
          <w:tcPr>
            <w:tcW w:w="0" w:type="auto"/>
            <w:shd w:val="clear" w:color="auto" w:fill="auto"/>
            <w:vAlign w:val="bottom"/>
          </w:tcPr>
          <w:p w14:paraId="74DDE551" w14:textId="77777777" w:rsidR="00584EC1" w:rsidRDefault="00584EC1">
            <w:pPr>
              <w:rPr>
                <w:rFonts w:ascii="宋体"/>
                <w:vanish/>
              </w:rPr>
            </w:pPr>
          </w:p>
        </w:tc>
        <w:tc>
          <w:tcPr>
            <w:tcW w:w="0" w:type="auto"/>
            <w:shd w:val="clear" w:color="auto" w:fill="auto"/>
            <w:vAlign w:val="bottom"/>
          </w:tcPr>
          <w:p w14:paraId="74DDE552" w14:textId="77777777" w:rsidR="00584EC1" w:rsidRDefault="00584EC1">
            <w:pPr>
              <w:rPr>
                <w:rFonts w:ascii="宋体"/>
                <w:vanish/>
              </w:rPr>
            </w:pPr>
          </w:p>
        </w:tc>
        <w:tc>
          <w:tcPr>
            <w:tcW w:w="0" w:type="auto"/>
            <w:gridSpan w:val="3"/>
            <w:shd w:val="clear" w:color="auto" w:fill="auto"/>
            <w:vAlign w:val="bottom"/>
          </w:tcPr>
          <w:p w14:paraId="74DDE553" w14:textId="77777777" w:rsidR="00584EC1" w:rsidRDefault="00584EC1">
            <w:pPr>
              <w:rPr>
                <w:rFonts w:ascii="宋体"/>
                <w:vanish/>
              </w:rPr>
            </w:pPr>
          </w:p>
        </w:tc>
        <w:tc>
          <w:tcPr>
            <w:tcW w:w="0" w:type="auto"/>
            <w:gridSpan w:val="3"/>
            <w:shd w:val="clear" w:color="auto" w:fill="auto"/>
            <w:vAlign w:val="bottom"/>
          </w:tcPr>
          <w:p w14:paraId="74DDE554" w14:textId="77777777" w:rsidR="00584EC1" w:rsidRDefault="00584EC1">
            <w:pPr>
              <w:rPr>
                <w:rFonts w:ascii="宋体"/>
                <w:vanish/>
              </w:rPr>
            </w:pPr>
          </w:p>
        </w:tc>
        <w:tc>
          <w:tcPr>
            <w:tcW w:w="0" w:type="auto"/>
            <w:gridSpan w:val="3"/>
            <w:shd w:val="clear" w:color="auto" w:fill="auto"/>
            <w:vAlign w:val="bottom"/>
          </w:tcPr>
          <w:p w14:paraId="74DDE555" w14:textId="77777777" w:rsidR="00584EC1" w:rsidRDefault="00584EC1">
            <w:pPr>
              <w:rPr>
                <w:rFonts w:ascii="宋体"/>
                <w:vanish/>
              </w:rPr>
            </w:pPr>
          </w:p>
        </w:tc>
        <w:tc>
          <w:tcPr>
            <w:tcW w:w="0" w:type="auto"/>
            <w:gridSpan w:val="3"/>
            <w:shd w:val="clear" w:color="auto" w:fill="auto"/>
            <w:vAlign w:val="bottom"/>
          </w:tcPr>
          <w:p w14:paraId="74DDE556" w14:textId="77777777" w:rsidR="00584EC1" w:rsidRDefault="00584EC1">
            <w:pPr>
              <w:rPr>
                <w:rFonts w:ascii="宋体"/>
                <w:vanish/>
              </w:rPr>
            </w:pPr>
          </w:p>
        </w:tc>
        <w:tc>
          <w:tcPr>
            <w:tcW w:w="0" w:type="auto"/>
            <w:gridSpan w:val="3"/>
            <w:shd w:val="clear" w:color="auto" w:fill="auto"/>
            <w:vAlign w:val="bottom"/>
          </w:tcPr>
          <w:p w14:paraId="74DDE557" w14:textId="77777777" w:rsidR="00584EC1" w:rsidRDefault="00584EC1">
            <w:pPr>
              <w:rPr>
                <w:rFonts w:ascii="宋体"/>
                <w:vanish/>
              </w:rPr>
            </w:pPr>
          </w:p>
        </w:tc>
      </w:tr>
      <w:tr w:rsidR="00584EC1" w14:paraId="74DDE56B" w14:textId="77777777">
        <w:trPr>
          <w:hidden/>
        </w:trPr>
        <w:tc>
          <w:tcPr>
            <w:tcW w:w="0" w:type="auto"/>
            <w:gridSpan w:val="3"/>
            <w:shd w:val="clear" w:color="auto" w:fill="auto"/>
            <w:vAlign w:val="bottom"/>
          </w:tcPr>
          <w:p w14:paraId="74DDE559" w14:textId="77777777" w:rsidR="00584EC1" w:rsidRDefault="00584EC1">
            <w:pPr>
              <w:rPr>
                <w:rFonts w:ascii="宋体"/>
                <w:vanish/>
              </w:rPr>
            </w:pPr>
          </w:p>
        </w:tc>
        <w:tc>
          <w:tcPr>
            <w:tcW w:w="0" w:type="auto"/>
            <w:gridSpan w:val="3"/>
            <w:shd w:val="clear" w:color="auto" w:fill="auto"/>
            <w:vAlign w:val="bottom"/>
          </w:tcPr>
          <w:p w14:paraId="74DDE55A" w14:textId="77777777" w:rsidR="00584EC1" w:rsidRDefault="00584EC1">
            <w:pPr>
              <w:rPr>
                <w:rFonts w:ascii="宋体"/>
                <w:vanish/>
              </w:rPr>
            </w:pPr>
          </w:p>
        </w:tc>
        <w:tc>
          <w:tcPr>
            <w:tcW w:w="0" w:type="auto"/>
            <w:gridSpan w:val="3"/>
            <w:shd w:val="clear" w:color="auto" w:fill="auto"/>
            <w:vAlign w:val="bottom"/>
          </w:tcPr>
          <w:p w14:paraId="74DDE55B" w14:textId="77777777" w:rsidR="00584EC1" w:rsidRDefault="00584EC1">
            <w:pPr>
              <w:rPr>
                <w:rFonts w:ascii="宋体"/>
                <w:vanish/>
              </w:rPr>
            </w:pPr>
          </w:p>
        </w:tc>
        <w:tc>
          <w:tcPr>
            <w:tcW w:w="0" w:type="auto"/>
            <w:gridSpan w:val="3"/>
            <w:shd w:val="clear" w:color="auto" w:fill="auto"/>
            <w:vAlign w:val="bottom"/>
          </w:tcPr>
          <w:p w14:paraId="74DDE55C" w14:textId="77777777" w:rsidR="00584EC1" w:rsidRDefault="00584EC1">
            <w:pPr>
              <w:rPr>
                <w:rFonts w:ascii="宋体"/>
                <w:vanish/>
              </w:rPr>
            </w:pPr>
          </w:p>
        </w:tc>
        <w:tc>
          <w:tcPr>
            <w:tcW w:w="0" w:type="auto"/>
            <w:gridSpan w:val="3"/>
            <w:shd w:val="clear" w:color="auto" w:fill="auto"/>
            <w:vAlign w:val="bottom"/>
          </w:tcPr>
          <w:p w14:paraId="74DDE55D" w14:textId="77777777" w:rsidR="00584EC1" w:rsidRDefault="00584EC1">
            <w:pPr>
              <w:rPr>
                <w:rFonts w:ascii="宋体"/>
                <w:vanish/>
              </w:rPr>
            </w:pPr>
          </w:p>
        </w:tc>
        <w:tc>
          <w:tcPr>
            <w:tcW w:w="0" w:type="auto"/>
            <w:gridSpan w:val="3"/>
            <w:shd w:val="clear" w:color="auto" w:fill="auto"/>
            <w:vAlign w:val="bottom"/>
          </w:tcPr>
          <w:p w14:paraId="74DDE55E" w14:textId="77777777" w:rsidR="00584EC1" w:rsidRDefault="00584EC1">
            <w:pPr>
              <w:rPr>
                <w:rFonts w:ascii="宋体"/>
                <w:vanish/>
              </w:rPr>
            </w:pPr>
          </w:p>
        </w:tc>
        <w:tc>
          <w:tcPr>
            <w:tcW w:w="0" w:type="auto"/>
            <w:gridSpan w:val="3"/>
            <w:shd w:val="clear" w:color="auto" w:fill="auto"/>
            <w:vAlign w:val="bottom"/>
          </w:tcPr>
          <w:p w14:paraId="74DDE55F" w14:textId="77777777" w:rsidR="00584EC1" w:rsidRDefault="00584EC1">
            <w:pPr>
              <w:rPr>
                <w:rFonts w:ascii="宋体"/>
                <w:vanish/>
              </w:rPr>
            </w:pPr>
          </w:p>
        </w:tc>
        <w:tc>
          <w:tcPr>
            <w:tcW w:w="0" w:type="auto"/>
            <w:gridSpan w:val="3"/>
            <w:shd w:val="clear" w:color="auto" w:fill="auto"/>
            <w:vAlign w:val="bottom"/>
          </w:tcPr>
          <w:p w14:paraId="74DDE560" w14:textId="77777777" w:rsidR="00584EC1" w:rsidRDefault="00584EC1">
            <w:pPr>
              <w:rPr>
                <w:rFonts w:ascii="宋体"/>
                <w:vanish/>
              </w:rPr>
            </w:pPr>
          </w:p>
        </w:tc>
        <w:tc>
          <w:tcPr>
            <w:tcW w:w="0" w:type="auto"/>
            <w:gridSpan w:val="3"/>
            <w:shd w:val="clear" w:color="auto" w:fill="auto"/>
            <w:vAlign w:val="bottom"/>
          </w:tcPr>
          <w:p w14:paraId="74DDE561" w14:textId="77777777" w:rsidR="00584EC1" w:rsidRDefault="00584EC1">
            <w:pPr>
              <w:rPr>
                <w:rFonts w:ascii="宋体"/>
                <w:vanish/>
              </w:rPr>
            </w:pPr>
          </w:p>
        </w:tc>
        <w:tc>
          <w:tcPr>
            <w:tcW w:w="0" w:type="auto"/>
            <w:gridSpan w:val="3"/>
            <w:shd w:val="clear" w:color="auto" w:fill="auto"/>
            <w:vAlign w:val="bottom"/>
          </w:tcPr>
          <w:p w14:paraId="74DDE562" w14:textId="77777777" w:rsidR="00584EC1" w:rsidRDefault="00584EC1">
            <w:pPr>
              <w:rPr>
                <w:rFonts w:ascii="宋体"/>
                <w:vanish/>
              </w:rPr>
            </w:pPr>
          </w:p>
        </w:tc>
        <w:tc>
          <w:tcPr>
            <w:tcW w:w="0" w:type="auto"/>
            <w:gridSpan w:val="3"/>
            <w:shd w:val="clear" w:color="auto" w:fill="auto"/>
            <w:vAlign w:val="bottom"/>
          </w:tcPr>
          <w:p w14:paraId="74DDE563" w14:textId="77777777" w:rsidR="00584EC1" w:rsidRDefault="00584EC1">
            <w:pPr>
              <w:rPr>
                <w:rFonts w:ascii="宋体"/>
                <w:vanish/>
              </w:rPr>
            </w:pPr>
          </w:p>
        </w:tc>
        <w:tc>
          <w:tcPr>
            <w:tcW w:w="0" w:type="auto"/>
            <w:shd w:val="clear" w:color="auto" w:fill="auto"/>
            <w:vAlign w:val="bottom"/>
          </w:tcPr>
          <w:p w14:paraId="74DDE564" w14:textId="77777777" w:rsidR="00584EC1" w:rsidRDefault="00584EC1">
            <w:pPr>
              <w:rPr>
                <w:rFonts w:ascii="宋体"/>
                <w:vanish/>
              </w:rPr>
            </w:pPr>
          </w:p>
        </w:tc>
        <w:tc>
          <w:tcPr>
            <w:tcW w:w="0" w:type="auto"/>
            <w:shd w:val="clear" w:color="auto" w:fill="auto"/>
            <w:vAlign w:val="bottom"/>
          </w:tcPr>
          <w:p w14:paraId="74DDE565" w14:textId="77777777" w:rsidR="00584EC1" w:rsidRDefault="00584EC1">
            <w:pPr>
              <w:rPr>
                <w:rFonts w:ascii="宋体"/>
                <w:vanish/>
              </w:rPr>
            </w:pPr>
          </w:p>
        </w:tc>
        <w:tc>
          <w:tcPr>
            <w:tcW w:w="0" w:type="auto"/>
            <w:gridSpan w:val="3"/>
            <w:shd w:val="clear" w:color="auto" w:fill="auto"/>
            <w:vAlign w:val="bottom"/>
          </w:tcPr>
          <w:p w14:paraId="74DDE566" w14:textId="77777777" w:rsidR="00584EC1" w:rsidRDefault="00584EC1">
            <w:pPr>
              <w:rPr>
                <w:rFonts w:ascii="宋体"/>
                <w:vanish/>
              </w:rPr>
            </w:pPr>
          </w:p>
        </w:tc>
        <w:tc>
          <w:tcPr>
            <w:tcW w:w="0" w:type="auto"/>
            <w:gridSpan w:val="3"/>
            <w:shd w:val="clear" w:color="auto" w:fill="auto"/>
            <w:vAlign w:val="bottom"/>
          </w:tcPr>
          <w:p w14:paraId="74DDE567" w14:textId="77777777" w:rsidR="00584EC1" w:rsidRDefault="00584EC1">
            <w:pPr>
              <w:rPr>
                <w:rFonts w:ascii="宋体"/>
                <w:vanish/>
              </w:rPr>
            </w:pPr>
          </w:p>
        </w:tc>
        <w:tc>
          <w:tcPr>
            <w:tcW w:w="0" w:type="auto"/>
            <w:gridSpan w:val="3"/>
            <w:shd w:val="clear" w:color="auto" w:fill="auto"/>
            <w:vAlign w:val="bottom"/>
          </w:tcPr>
          <w:p w14:paraId="74DDE568" w14:textId="77777777" w:rsidR="00584EC1" w:rsidRDefault="00584EC1">
            <w:pPr>
              <w:rPr>
                <w:rFonts w:ascii="宋体"/>
                <w:vanish/>
              </w:rPr>
            </w:pPr>
          </w:p>
        </w:tc>
        <w:tc>
          <w:tcPr>
            <w:tcW w:w="0" w:type="auto"/>
            <w:gridSpan w:val="3"/>
            <w:shd w:val="clear" w:color="auto" w:fill="auto"/>
            <w:vAlign w:val="bottom"/>
          </w:tcPr>
          <w:p w14:paraId="74DDE569" w14:textId="77777777" w:rsidR="00584EC1" w:rsidRDefault="00584EC1">
            <w:pPr>
              <w:rPr>
                <w:rFonts w:ascii="宋体"/>
                <w:vanish/>
              </w:rPr>
            </w:pPr>
          </w:p>
        </w:tc>
        <w:tc>
          <w:tcPr>
            <w:tcW w:w="0" w:type="auto"/>
            <w:gridSpan w:val="3"/>
            <w:shd w:val="clear" w:color="auto" w:fill="auto"/>
            <w:vAlign w:val="bottom"/>
          </w:tcPr>
          <w:p w14:paraId="74DDE56A" w14:textId="77777777" w:rsidR="00584EC1" w:rsidRDefault="00584EC1">
            <w:pPr>
              <w:rPr>
                <w:rFonts w:ascii="宋体"/>
                <w:vanish/>
              </w:rPr>
            </w:pPr>
          </w:p>
        </w:tc>
      </w:tr>
      <w:tr w:rsidR="00584EC1" w14:paraId="74DDE57E" w14:textId="77777777">
        <w:trPr>
          <w:hidden/>
        </w:trPr>
        <w:tc>
          <w:tcPr>
            <w:tcW w:w="0" w:type="auto"/>
            <w:gridSpan w:val="3"/>
            <w:shd w:val="clear" w:color="auto" w:fill="auto"/>
            <w:vAlign w:val="bottom"/>
          </w:tcPr>
          <w:p w14:paraId="74DDE56C" w14:textId="77777777" w:rsidR="00584EC1" w:rsidRDefault="00584EC1">
            <w:pPr>
              <w:rPr>
                <w:rFonts w:ascii="宋体"/>
                <w:vanish/>
              </w:rPr>
            </w:pPr>
          </w:p>
        </w:tc>
        <w:tc>
          <w:tcPr>
            <w:tcW w:w="0" w:type="auto"/>
            <w:gridSpan w:val="3"/>
            <w:shd w:val="clear" w:color="auto" w:fill="auto"/>
            <w:vAlign w:val="bottom"/>
          </w:tcPr>
          <w:p w14:paraId="74DDE56D" w14:textId="77777777" w:rsidR="00584EC1" w:rsidRDefault="00584EC1">
            <w:pPr>
              <w:rPr>
                <w:rFonts w:ascii="宋体"/>
                <w:vanish/>
              </w:rPr>
            </w:pPr>
          </w:p>
        </w:tc>
        <w:tc>
          <w:tcPr>
            <w:tcW w:w="0" w:type="auto"/>
            <w:gridSpan w:val="3"/>
            <w:shd w:val="clear" w:color="auto" w:fill="auto"/>
            <w:vAlign w:val="bottom"/>
          </w:tcPr>
          <w:p w14:paraId="74DDE56E" w14:textId="77777777" w:rsidR="00584EC1" w:rsidRDefault="00584EC1">
            <w:pPr>
              <w:rPr>
                <w:rFonts w:ascii="宋体"/>
                <w:vanish/>
              </w:rPr>
            </w:pPr>
          </w:p>
        </w:tc>
        <w:tc>
          <w:tcPr>
            <w:tcW w:w="0" w:type="auto"/>
            <w:gridSpan w:val="3"/>
            <w:shd w:val="clear" w:color="auto" w:fill="auto"/>
            <w:vAlign w:val="bottom"/>
          </w:tcPr>
          <w:p w14:paraId="74DDE56F" w14:textId="77777777" w:rsidR="00584EC1" w:rsidRDefault="00584EC1">
            <w:pPr>
              <w:rPr>
                <w:rFonts w:ascii="宋体"/>
                <w:vanish/>
              </w:rPr>
            </w:pPr>
          </w:p>
        </w:tc>
        <w:tc>
          <w:tcPr>
            <w:tcW w:w="0" w:type="auto"/>
            <w:gridSpan w:val="3"/>
            <w:shd w:val="clear" w:color="auto" w:fill="auto"/>
            <w:vAlign w:val="bottom"/>
          </w:tcPr>
          <w:p w14:paraId="74DDE570" w14:textId="77777777" w:rsidR="00584EC1" w:rsidRDefault="00584EC1">
            <w:pPr>
              <w:rPr>
                <w:rFonts w:ascii="宋体"/>
                <w:vanish/>
              </w:rPr>
            </w:pPr>
          </w:p>
        </w:tc>
        <w:tc>
          <w:tcPr>
            <w:tcW w:w="0" w:type="auto"/>
            <w:gridSpan w:val="3"/>
            <w:shd w:val="clear" w:color="auto" w:fill="auto"/>
            <w:vAlign w:val="bottom"/>
          </w:tcPr>
          <w:p w14:paraId="74DDE571" w14:textId="77777777" w:rsidR="00584EC1" w:rsidRDefault="00584EC1">
            <w:pPr>
              <w:rPr>
                <w:rFonts w:ascii="宋体"/>
                <w:vanish/>
              </w:rPr>
            </w:pPr>
          </w:p>
        </w:tc>
        <w:tc>
          <w:tcPr>
            <w:tcW w:w="0" w:type="auto"/>
            <w:gridSpan w:val="3"/>
            <w:shd w:val="clear" w:color="auto" w:fill="auto"/>
            <w:vAlign w:val="bottom"/>
          </w:tcPr>
          <w:p w14:paraId="74DDE572" w14:textId="77777777" w:rsidR="00584EC1" w:rsidRDefault="00584EC1">
            <w:pPr>
              <w:rPr>
                <w:rFonts w:ascii="宋体"/>
                <w:vanish/>
              </w:rPr>
            </w:pPr>
          </w:p>
        </w:tc>
        <w:tc>
          <w:tcPr>
            <w:tcW w:w="0" w:type="auto"/>
            <w:gridSpan w:val="3"/>
            <w:shd w:val="clear" w:color="auto" w:fill="auto"/>
            <w:vAlign w:val="bottom"/>
          </w:tcPr>
          <w:p w14:paraId="74DDE573" w14:textId="77777777" w:rsidR="00584EC1" w:rsidRDefault="00584EC1">
            <w:pPr>
              <w:rPr>
                <w:rFonts w:ascii="宋体"/>
                <w:vanish/>
              </w:rPr>
            </w:pPr>
          </w:p>
        </w:tc>
        <w:tc>
          <w:tcPr>
            <w:tcW w:w="0" w:type="auto"/>
            <w:gridSpan w:val="3"/>
            <w:shd w:val="clear" w:color="auto" w:fill="auto"/>
            <w:vAlign w:val="bottom"/>
          </w:tcPr>
          <w:p w14:paraId="74DDE574" w14:textId="77777777" w:rsidR="00584EC1" w:rsidRDefault="00584EC1">
            <w:pPr>
              <w:rPr>
                <w:rFonts w:ascii="宋体"/>
                <w:vanish/>
              </w:rPr>
            </w:pPr>
          </w:p>
        </w:tc>
        <w:tc>
          <w:tcPr>
            <w:tcW w:w="0" w:type="auto"/>
            <w:gridSpan w:val="3"/>
            <w:shd w:val="clear" w:color="auto" w:fill="auto"/>
            <w:vAlign w:val="bottom"/>
          </w:tcPr>
          <w:p w14:paraId="74DDE575" w14:textId="77777777" w:rsidR="00584EC1" w:rsidRDefault="00584EC1">
            <w:pPr>
              <w:rPr>
                <w:rFonts w:ascii="宋体"/>
                <w:vanish/>
              </w:rPr>
            </w:pPr>
          </w:p>
        </w:tc>
        <w:tc>
          <w:tcPr>
            <w:tcW w:w="0" w:type="auto"/>
            <w:gridSpan w:val="3"/>
            <w:shd w:val="clear" w:color="auto" w:fill="auto"/>
            <w:vAlign w:val="bottom"/>
          </w:tcPr>
          <w:p w14:paraId="74DDE576" w14:textId="77777777" w:rsidR="00584EC1" w:rsidRDefault="00584EC1">
            <w:pPr>
              <w:rPr>
                <w:rFonts w:ascii="宋体"/>
                <w:vanish/>
              </w:rPr>
            </w:pPr>
          </w:p>
        </w:tc>
        <w:tc>
          <w:tcPr>
            <w:tcW w:w="0" w:type="auto"/>
            <w:shd w:val="clear" w:color="auto" w:fill="auto"/>
            <w:vAlign w:val="bottom"/>
          </w:tcPr>
          <w:p w14:paraId="74DDE577" w14:textId="77777777" w:rsidR="00584EC1" w:rsidRDefault="00584EC1">
            <w:pPr>
              <w:rPr>
                <w:rFonts w:ascii="宋体"/>
                <w:vanish/>
              </w:rPr>
            </w:pPr>
          </w:p>
        </w:tc>
        <w:tc>
          <w:tcPr>
            <w:tcW w:w="0" w:type="auto"/>
            <w:shd w:val="clear" w:color="auto" w:fill="auto"/>
            <w:vAlign w:val="bottom"/>
          </w:tcPr>
          <w:p w14:paraId="74DDE578" w14:textId="77777777" w:rsidR="00584EC1" w:rsidRDefault="00584EC1">
            <w:pPr>
              <w:rPr>
                <w:rFonts w:ascii="宋体"/>
                <w:vanish/>
              </w:rPr>
            </w:pPr>
          </w:p>
        </w:tc>
        <w:tc>
          <w:tcPr>
            <w:tcW w:w="0" w:type="auto"/>
            <w:gridSpan w:val="3"/>
            <w:shd w:val="clear" w:color="auto" w:fill="auto"/>
            <w:vAlign w:val="bottom"/>
          </w:tcPr>
          <w:p w14:paraId="74DDE579" w14:textId="77777777" w:rsidR="00584EC1" w:rsidRDefault="00584EC1">
            <w:pPr>
              <w:rPr>
                <w:rFonts w:ascii="宋体"/>
                <w:vanish/>
              </w:rPr>
            </w:pPr>
          </w:p>
        </w:tc>
        <w:tc>
          <w:tcPr>
            <w:tcW w:w="0" w:type="auto"/>
            <w:gridSpan w:val="3"/>
            <w:shd w:val="clear" w:color="auto" w:fill="auto"/>
            <w:vAlign w:val="bottom"/>
          </w:tcPr>
          <w:p w14:paraId="74DDE57A" w14:textId="77777777" w:rsidR="00584EC1" w:rsidRDefault="00584EC1">
            <w:pPr>
              <w:rPr>
                <w:rFonts w:ascii="宋体"/>
                <w:vanish/>
              </w:rPr>
            </w:pPr>
          </w:p>
        </w:tc>
        <w:tc>
          <w:tcPr>
            <w:tcW w:w="0" w:type="auto"/>
            <w:gridSpan w:val="3"/>
            <w:shd w:val="clear" w:color="auto" w:fill="auto"/>
            <w:vAlign w:val="bottom"/>
          </w:tcPr>
          <w:p w14:paraId="74DDE57B" w14:textId="77777777" w:rsidR="00584EC1" w:rsidRDefault="00584EC1">
            <w:pPr>
              <w:rPr>
                <w:rFonts w:ascii="宋体"/>
                <w:vanish/>
              </w:rPr>
            </w:pPr>
          </w:p>
        </w:tc>
        <w:tc>
          <w:tcPr>
            <w:tcW w:w="0" w:type="auto"/>
            <w:gridSpan w:val="3"/>
            <w:shd w:val="clear" w:color="auto" w:fill="auto"/>
            <w:vAlign w:val="bottom"/>
          </w:tcPr>
          <w:p w14:paraId="74DDE57C" w14:textId="77777777" w:rsidR="00584EC1" w:rsidRDefault="00584EC1">
            <w:pPr>
              <w:rPr>
                <w:rFonts w:ascii="宋体"/>
                <w:vanish/>
              </w:rPr>
            </w:pPr>
          </w:p>
        </w:tc>
        <w:tc>
          <w:tcPr>
            <w:tcW w:w="0" w:type="auto"/>
            <w:gridSpan w:val="3"/>
            <w:shd w:val="clear" w:color="auto" w:fill="auto"/>
            <w:vAlign w:val="bottom"/>
          </w:tcPr>
          <w:p w14:paraId="74DDE57D" w14:textId="77777777" w:rsidR="00584EC1" w:rsidRDefault="00584EC1">
            <w:pPr>
              <w:rPr>
                <w:rFonts w:ascii="宋体"/>
                <w:vanish/>
              </w:rPr>
            </w:pPr>
          </w:p>
        </w:tc>
      </w:tr>
      <w:tr w:rsidR="00584EC1" w14:paraId="74DDE591" w14:textId="77777777">
        <w:trPr>
          <w:hidden/>
        </w:trPr>
        <w:tc>
          <w:tcPr>
            <w:tcW w:w="0" w:type="auto"/>
            <w:gridSpan w:val="3"/>
            <w:shd w:val="clear" w:color="auto" w:fill="auto"/>
            <w:vAlign w:val="bottom"/>
          </w:tcPr>
          <w:p w14:paraId="74DDE57F" w14:textId="77777777" w:rsidR="00584EC1" w:rsidRDefault="00584EC1">
            <w:pPr>
              <w:rPr>
                <w:rFonts w:ascii="宋体"/>
                <w:vanish/>
              </w:rPr>
            </w:pPr>
          </w:p>
        </w:tc>
        <w:tc>
          <w:tcPr>
            <w:tcW w:w="0" w:type="auto"/>
            <w:gridSpan w:val="3"/>
            <w:shd w:val="clear" w:color="auto" w:fill="auto"/>
            <w:vAlign w:val="bottom"/>
          </w:tcPr>
          <w:p w14:paraId="74DDE580" w14:textId="77777777" w:rsidR="00584EC1" w:rsidRDefault="00584EC1">
            <w:pPr>
              <w:rPr>
                <w:rFonts w:ascii="宋体"/>
                <w:vanish/>
              </w:rPr>
            </w:pPr>
          </w:p>
        </w:tc>
        <w:tc>
          <w:tcPr>
            <w:tcW w:w="0" w:type="auto"/>
            <w:gridSpan w:val="3"/>
            <w:shd w:val="clear" w:color="auto" w:fill="auto"/>
            <w:vAlign w:val="bottom"/>
          </w:tcPr>
          <w:p w14:paraId="74DDE581" w14:textId="77777777" w:rsidR="00584EC1" w:rsidRDefault="00584EC1">
            <w:pPr>
              <w:rPr>
                <w:rFonts w:ascii="宋体"/>
                <w:vanish/>
              </w:rPr>
            </w:pPr>
          </w:p>
        </w:tc>
        <w:tc>
          <w:tcPr>
            <w:tcW w:w="0" w:type="auto"/>
            <w:gridSpan w:val="3"/>
            <w:shd w:val="clear" w:color="auto" w:fill="auto"/>
            <w:vAlign w:val="bottom"/>
          </w:tcPr>
          <w:p w14:paraId="74DDE582" w14:textId="77777777" w:rsidR="00584EC1" w:rsidRDefault="00584EC1">
            <w:pPr>
              <w:rPr>
                <w:rFonts w:ascii="宋体"/>
                <w:vanish/>
              </w:rPr>
            </w:pPr>
          </w:p>
        </w:tc>
        <w:tc>
          <w:tcPr>
            <w:tcW w:w="0" w:type="auto"/>
            <w:gridSpan w:val="3"/>
            <w:shd w:val="clear" w:color="auto" w:fill="auto"/>
            <w:vAlign w:val="bottom"/>
          </w:tcPr>
          <w:p w14:paraId="74DDE583" w14:textId="77777777" w:rsidR="00584EC1" w:rsidRDefault="00584EC1">
            <w:pPr>
              <w:rPr>
                <w:rFonts w:ascii="宋体"/>
                <w:vanish/>
              </w:rPr>
            </w:pPr>
          </w:p>
        </w:tc>
        <w:tc>
          <w:tcPr>
            <w:tcW w:w="0" w:type="auto"/>
            <w:gridSpan w:val="3"/>
            <w:shd w:val="clear" w:color="auto" w:fill="auto"/>
            <w:vAlign w:val="bottom"/>
          </w:tcPr>
          <w:p w14:paraId="74DDE584" w14:textId="77777777" w:rsidR="00584EC1" w:rsidRDefault="00584EC1">
            <w:pPr>
              <w:rPr>
                <w:rFonts w:ascii="宋体"/>
                <w:vanish/>
              </w:rPr>
            </w:pPr>
          </w:p>
        </w:tc>
        <w:tc>
          <w:tcPr>
            <w:tcW w:w="0" w:type="auto"/>
            <w:gridSpan w:val="3"/>
            <w:shd w:val="clear" w:color="auto" w:fill="auto"/>
            <w:vAlign w:val="bottom"/>
          </w:tcPr>
          <w:p w14:paraId="74DDE585" w14:textId="77777777" w:rsidR="00584EC1" w:rsidRDefault="00584EC1">
            <w:pPr>
              <w:rPr>
                <w:rFonts w:ascii="宋体"/>
                <w:vanish/>
              </w:rPr>
            </w:pPr>
          </w:p>
        </w:tc>
        <w:tc>
          <w:tcPr>
            <w:tcW w:w="0" w:type="auto"/>
            <w:gridSpan w:val="3"/>
            <w:shd w:val="clear" w:color="auto" w:fill="auto"/>
            <w:vAlign w:val="bottom"/>
          </w:tcPr>
          <w:p w14:paraId="74DDE586" w14:textId="77777777" w:rsidR="00584EC1" w:rsidRDefault="00584EC1">
            <w:pPr>
              <w:rPr>
                <w:rFonts w:ascii="宋体"/>
                <w:vanish/>
              </w:rPr>
            </w:pPr>
          </w:p>
        </w:tc>
        <w:tc>
          <w:tcPr>
            <w:tcW w:w="0" w:type="auto"/>
            <w:gridSpan w:val="3"/>
            <w:shd w:val="clear" w:color="auto" w:fill="auto"/>
            <w:vAlign w:val="bottom"/>
          </w:tcPr>
          <w:p w14:paraId="74DDE587" w14:textId="77777777" w:rsidR="00584EC1" w:rsidRDefault="00584EC1">
            <w:pPr>
              <w:rPr>
                <w:rFonts w:ascii="宋体"/>
                <w:vanish/>
              </w:rPr>
            </w:pPr>
          </w:p>
        </w:tc>
        <w:tc>
          <w:tcPr>
            <w:tcW w:w="0" w:type="auto"/>
            <w:gridSpan w:val="3"/>
            <w:shd w:val="clear" w:color="auto" w:fill="auto"/>
            <w:vAlign w:val="bottom"/>
          </w:tcPr>
          <w:p w14:paraId="74DDE588" w14:textId="77777777" w:rsidR="00584EC1" w:rsidRDefault="00584EC1">
            <w:pPr>
              <w:rPr>
                <w:rFonts w:ascii="宋体"/>
                <w:vanish/>
              </w:rPr>
            </w:pPr>
          </w:p>
        </w:tc>
        <w:tc>
          <w:tcPr>
            <w:tcW w:w="0" w:type="auto"/>
            <w:gridSpan w:val="3"/>
            <w:shd w:val="clear" w:color="auto" w:fill="auto"/>
            <w:vAlign w:val="bottom"/>
          </w:tcPr>
          <w:p w14:paraId="74DDE589" w14:textId="77777777" w:rsidR="00584EC1" w:rsidRDefault="00584EC1">
            <w:pPr>
              <w:rPr>
                <w:rFonts w:ascii="宋体"/>
                <w:vanish/>
              </w:rPr>
            </w:pPr>
          </w:p>
        </w:tc>
        <w:tc>
          <w:tcPr>
            <w:tcW w:w="0" w:type="auto"/>
            <w:shd w:val="clear" w:color="auto" w:fill="auto"/>
            <w:vAlign w:val="bottom"/>
          </w:tcPr>
          <w:p w14:paraId="74DDE58A" w14:textId="77777777" w:rsidR="00584EC1" w:rsidRDefault="00584EC1">
            <w:pPr>
              <w:rPr>
                <w:rFonts w:ascii="宋体"/>
                <w:vanish/>
              </w:rPr>
            </w:pPr>
          </w:p>
        </w:tc>
        <w:tc>
          <w:tcPr>
            <w:tcW w:w="0" w:type="auto"/>
            <w:shd w:val="clear" w:color="auto" w:fill="auto"/>
            <w:vAlign w:val="bottom"/>
          </w:tcPr>
          <w:p w14:paraId="74DDE58B" w14:textId="77777777" w:rsidR="00584EC1" w:rsidRDefault="00584EC1">
            <w:pPr>
              <w:rPr>
                <w:rFonts w:ascii="宋体"/>
                <w:vanish/>
              </w:rPr>
            </w:pPr>
          </w:p>
        </w:tc>
        <w:tc>
          <w:tcPr>
            <w:tcW w:w="0" w:type="auto"/>
            <w:gridSpan w:val="3"/>
            <w:shd w:val="clear" w:color="auto" w:fill="auto"/>
            <w:vAlign w:val="bottom"/>
          </w:tcPr>
          <w:p w14:paraId="74DDE58C" w14:textId="77777777" w:rsidR="00584EC1" w:rsidRDefault="00584EC1">
            <w:pPr>
              <w:rPr>
                <w:rFonts w:ascii="宋体"/>
                <w:vanish/>
              </w:rPr>
            </w:pPr>
          </w:p>
        </w:tc>
        <w:tc>
          <w:tcPr>
            <w:tcW w:w="0" w:type="auto"/>
            <w:gridSpan w:val="3"/>
            <w:shd w:val="clear" w:color="auto" w:fill="auto"/>
            <w:vAlign w:val="bottom"/>
          </w:tcPr>
          <w:p w14:paraId="74DDE58D" w14:textId="77777777" w:rsidR="00584EC1" w:rsidRDefault="00584EC1">
            <w:pPr>
              <w:rPr>
                <w:rFonts w:ascii="宋体"/>
                <w:vanish/>
              </w:rPr>
            </w:pPr>
          </w:p>
        </w:tc>
        <w:tc>
          <w:tcPr>
            <w:tcW w:w="0" w:type="auto"/>
            <w:gridSpan w:val="3"/>
            <w:shd w:val="clear" w:color="auto" w:fill="auto"/>
            <w:vAlign w:val="bottom"/>
          </w:tcPr>
          <w:p w14:paraId="74DDE58E" w14:textId="77777777" w:rsidR="00584EC1" w:rsidRDefault="00584EC1">
            <w:pPr>
              <w:rPr>
                <w:rFonts w:ascii="宋体"/>
                <w:vanish/>
              </w:rPr>
            </w:pPr>
          </w:p>
        </w:tc>
        <w:tc>
          <w:tcPr>
            <w:tcW w:w="0" w:type="auto"/>
            <w:gridSpan w:val="3"/>
            <w:shd w:val="clear" w:color="auto" w:fill="auto"/>
            <w:vAlign w:val="bottom"/>
          </w:tcPr>
          <w:p w14:paraId="74DDE58F" w14:textId="77777777" w:rsidR="00584EC1" w:rsidRDefault="00584EC1">
            <w:pPr>
              <w:rPr>
                <w:rFonts w:ascii="宋体"/>
                <w:vanish/>
              </w:rPr>
            </w:pPr>
          </w:p>
        </w:tc>
        <w:tc>
          <w:tcPr>
            <w:tcW w:w="0" w:type="auto"/>
            <w:gridSpan w:val="3"/>
            <w:shd w:val="clear" w:color="auto" w:fill="auto"/>
            <w:vAlign w:val="bottom"/>
          </w:tcPr>
          <w:p w14:paraId="74DDE590" w14:textId="77777777" w:rsidR="00584EC1" w:rsidRDefault="00584EC1">
            <w:pPr>
              <w:rPr>
                <w:rFonts w:ascii="宋体"/>
                <w:vanish/>
              </w:rPr>
            </w:pPr>
          </w:p>
        </w:tc>
      </w:tr>
      <w:tr w:rsidR="00584EC1" w14:paraId="74DDE5A4" w14:textId="77777777">
        <w:trPr>
          <w:hidden/>
        </w:trPr>
        <w:tc>
          <w:tcPr>
            <w:tcW w:w="0" w:type="auto"/>
            <w:gridSpan w:val="3"/>
            <w:shd w:val="clear" w:color="auto" w:fill="auto"/>
            <w:vAlign w:val="bottom"/>
          </w:tcPr>
          <w:p w14:paraId="74DDE592" w14:textId="77777777" w:rsidR="00584EC1" w:rsidRDefault="00584EC1">
            <w:pPr>
              <w:rPr>
                <w:rFonts w:ascii="宋体"/>
                <w:vanish/>
              </w:rPr>
            </w:pPr>
          </w:p>
        </w:tc>
        <w:tc>
          <w:tcPr>
            <w:tcW w:w="0" w:type="auto"/>
            <w:gridSpan w:val="3"/>
            <w:shd w:val="clear" w:color="auto" w:fill="auto"/>
            <w:vAlign w:val="bottom"/>
          </w:tcPr>
          <w:p w14:paraId="74DDE593" w14:textId="77777777" w:rsidR="00584EC1" w:rsidRDefault="00584EC1">
            <w:pPr>
              <w:rPr>
                <w:rFonts w:ascii="宋体"/>
                <w:vanish/>
              </w:rPr>
            </w:pPr>
          </w:p>
        </w:tc>
        <w:tc>
          <w:tcPr>
            <w:tcW w:w="0" w:type="auto"/>
            <w:gridSpan w:val="3"/>
            <w:shd w:val="clear" w:color="auto" w:fill="auto"/>
            <w:vAlign w:val="bottom"/>
          </w:tcPr>
          <w:p w14:paraId="74DDE594" w14:textId="77777777" w:rsidR="00584EC1" w:rsidRDefault="00584EC1">
            <w:pPr>
              <w:rPr>
                <w:rFonts w:ascii="宋体"/>
                <w:vanish/>
              </w:rPr>
            </w:pPr>
          </w:p>
        </w:tc>
        <w:tc>
          <w:tcPr>
            <w:tcW w:w="0" w:type="auto"/>
            <w:gridSpan w:val="3"/>
            <w:shd w:val="clear" w:color="auto" w:fill="auto"/>
            <w:vAlign w:val="bottom"/>
          </w:tcPr>
          <w:p w14:paraId="74DDE595" w14:textId="77777777" w:rsidR="00584EC1" w:rsidRDefault="00584EC1">
            <w:pPr>
              <w:rPr>
                <w:rFonts w:ascii="宋体"/>
                <w:vanish/>
              </w:rPr>
            </w:pPr>
          </w:p>
        </w:tc>
        <w:tc>
          <w:tcPr>
            <w:tcW w:w="0" w:type="auto"/>
            <w:gridSpan w:val="3"/>
            <w:shd w:val="clear" w:color="auto" w:fill="auto"/>
            <w:vAlign w:val="bottom"/>
          </w:tcPr>
          <w:p w14:paraId="74DDE596" w14:textId="77777777" w:rsidR="00584EC1" w:rsidRDefault="00584EC1">
            <w:pPr>
              <w:rPr>
                <w:rFonts w:ascii="宋体"/>
                <w:vanish/>
              </w:rPr>
            </w:pPr>
          </w:p>
        </w:tc>
        <w:tc>
          <w:tcPr>
            <w:tcW w:w="0" w:type="auto"/>
            <w:gridSpan w:val="3"/>
            <w:shd w:val="clear" w:color="auto" w:fill="auto"/>
            <w:vAlign w:val="bottom"/>
          </w:tcPr>
          <w:p w14:paraId="74DDE597" w14:textId="77777777" w:rsidR="00584EC1" w:rsidRDefault="00584EC1">
            <w:pPr>
              <w:rPr>
                <w:rFonts w:ascii="宋体"/>
                <w:vanish/>
              </w:rPr>
            </w:pPr>
          </w:p>
        </w:tc>
        <w:tc>
          <w:tcPr>
            <w:tcW w:w="0" w:type="auto"/>
            <w:gridSpan w:val="3"/>
            <w:shd w:val="clear" w:color="auto" w:fill="auto"/>
            <w:vAlign w:val="bottom"/>
          </w:tcPr>
          <w:p w14:paraId="74DDE598" w14:textId="77777777" w:rsidR="00584EC1" w:rsidRDefault="00584EC1">
            <w:pPr>
              <w:rPr>
                <w:rFonts w:ascii="宋体"/>
                <w:vanish/>
              </w:rPr>
            </w:pPr>
          </w:p>
        </w:tc>
        <w:tc>
          <w:tcPr>
            <w:tcW w:w="0" w:type="auto"/>
            <w:gridSpan w:val="3"/>
            <w:shd w:val="clear" w:color="auto" w:fill="auto"/>
            <w:vAlign w:val="bottom"/>
          </w:tcPr>
          <w:p w14:paraId="74DDE599" w14:textId="77777777" w:rsidR="00584EC1" w:rsidRDefault="00584EC1">
            <w:pPr>
              <w:rPr>
                <w:rFonts w:ascii="宋体"/>
                <w:vanish/>
              </w:rPr>
            </w:pPr>
          </w:p>
        </w:tc>
        <w:tc>
          <w:tcPr>
            <w:tcW w:w="0" w:type="auto"/>
            <w:gridSpan w:val="3"/>
            <w:shd w:val="clear" w:color="auto" w:fill="auto"/>
            <w:vAlign w:val="bottom"/>
          </w:tcPr>
          <w:p w14:paraId="74DDE59A" w14:textId="77777777" w:rsidR="00584EC1" w:rsidRDefault="00584EC1">
            <w:pPr>
              <w:rPr>
                <w:rFonts w:ascii="宋体"/>
                <w:vanish/>
              </w:rPr>
            </w:pPr>
          </w:p>
        </w:tc>
        <w:tc>
          <w:tcPr>
            <w:tcW w:w="0" w:type="auto"/>
            <w:gridSpan w:val="3"/>
            <w:shd w:val="clear" w:color="auto" w:fill="auto"/>
            <w:vAlign w:val="bottom"/>
          </w:tcPr>
          <w:p w14:paraId="74DDE59B" w14:textId="77777777" w:rsidR="00584EC1" w:rsidRDefault="00584EC1">
            <w:pPr>
              <w:rPr>
                <w:rFonts w:ascii="宋体"/>
                <w:vanish/>
              </w:rPr>
            </w:pPr>
          </w:p>
        </w:tc>
        <w:tc>
          <w:tcPr>
            <w:tcW w:w="0" w:type="auto"/>
            <w:gridSpan w:val="3"/>
            <w:shd w:val="clear" w:color="auto" w:fill="auto"/>
            <w:vAlign w:val="bottom"/>
          </w:tcPr>
          <w:p w14:paraId="74DDE59C" w14:textId="77777777" w:rsidR="00584EC1" w:rsidRDefault="00584EC1">
            <w:pPr>
              <w:rPr>
                <w:rFonts w:ascii="宋体"/>
                <w:vanish/>
              </w:rPr>
            </w:pPr>
          </w:p>
        </w:tc>
        <w:tc>
          <w:tcPr>
            <w:tcW w:w="0" w:type="auto"/>
            <w:shd w:val="clear" w:color="auto" w:fill="auto"/>
            <w:vAlign w:val="bottom"/>
          </w:tcPr>
          <w:p w14:paraId="74DDE59D" w14:textId="77777777" w:rsidR="00584EC1" w:rsidRDefault="00584EC1">
            <w:pPr>
              <w:rPr>
                <w:rFonts w:ascii="宋体"/>
                <w:vanish/>
              </w:rPr>
            </w:pPr>
          </w:p>
        </w:tc>
        <w:tc>
          <w:tcPr>
            <w:tcW w:w="0" w:type="auto"/>
            <w:shd w:val="clear" w:color="auto" w:fill="auto"/>
            <w:vAlign w:val="bottom"/>
          </w:tcPr>
          <w:p w14:paraId="74DDE59E" w14:textId="77777777" w:rsidR="00584EC1" w:rsidRDefault="00584EC1">
            <w:pPr>
              <w:rPr>
                <w:rFonts w:ascii="宋体"/>
                <w:vanish/>
              </w:rPr>
            </w:pPr>
          </w:p>
        </w:tc>
        <w:tc>
          <w:tcPr>
            <w:tcW w:w="0" w:type="auto"/>
            <w:gridSpan w:val="3"/>
            <w:shd w:val="clear" w:color="auto" w:fill="auto"/>
            <w:vAlign w:val="bottom"/>
          </w:tcPr>
          <w:p w14:paraId="74DDE59F" w14:textId="77777777" w:rsidR="00584EC1" w:rsidRDefault="00584EC1">
            <w:pPr>
              <w:rPr>
                <w:rFonts w:ascii="宋体"/>
                <w:vanish/>
              </w:rPr>
            </w:pPr>
          </w:p>
        </w:tc>
        <w:tc>
          <w:tcPr>
            <w:tcW w:w="0" w:type="auto"/>
            <w:gridSpan w:val="3"/>
            <w:shd w:val="clear" w:color="auto" w:fill="auto"/>
            <w:vAlign w:val="bottom"/>
          </w:tcPr>
          <w:p w14:paraId="74DDE5A0" w14:textId="77777777" w:rsidR="00584EC1" w:rsidRDefault="00584EC1">
            <w:pPr>
              <w:rPr>
                <w:rFonts w:ascii="宋体"/>
                <w:vanish/>
              </w:rPr>
            </w:pPr>
          </w:p>
        </w:tc>
        <w:tc>
          <w:tcPr>
            <w:tcW w:w="0" w:type="auto"/>
            <w:gridSpan w:val="3"/>
            <w:shd w:val="clear" w:color="auto" w:fill="auto"/>
            <w:vAlign w:val="bottom"/>
          </w:tcPr>
          <w:p w14:paraId="74DDE5A1" w14:textId="77777777" w:rsidR="00584EC1" w:rsidRDefault="00584EC1">
            <w:pPr>
              <w:rPr>
                <w:rFonts w:ascii="宋体"/>
                <w:vanish/>
              </w:rPr>
            </w:pPr>
          </w:p>
        </w:tc>
        <w:tc>
          <w:tcPr>
            <w:tcW w:w="0" w:type="auto"/>
            <w:gridSpan w:val="3"/>
            <w:shd w:val="clear" w:color="auto" w:fill="auto"/>
            <w:vAlign w:val="bottom"/>
          </w:tcPr>
          <w:p w14:paraId="74DDE5A2" w14:textId="77777777" w:rsidR="00584EC1" w:rsidRDefault="00584EC1">
            <w:pPr>
              <w:rPr>
                <w:rFonts w:ascii="宋体"/>
                <w:vanish/>
              </w:rPr>
            </w:pPr>
          </w:p>
        </w:tc>
        <w:tc>
          <w:tcPr>
            <w:tcW w:w="0" w:type="auto"/>
            <w:gridSpan w:val="3"/>
            <w:shd w:val="clear" w:color="auto" w:fill="auto"/>
            <w:vAlign w:val="bottom"/>
          </w:tcPr>
          <w:p w14:paraId="74DDE5A3" w14:textId="77777777" w:rsidR="00584EC1" w:rsidRDefault="00584EC1">
            <w:pPr>
              <w:rPr>
                <w:rFonts w:ascii="宋体"/>
                <w:vanish/>
              </w:rPr>
            </w:pPr>
          </w:p>
        </w:tc>
      </w:tr>
      <w:tr w:rsidR="00584EC1" w14:paraId="74DDE5B7" w14:textId="77777777">
        <w:trPr>
          <w:hidden/>
        </w:trPr>
        <w:tc>
          <w:tcPr>
            <w:tcW w:w="0" w:type="auto"/>
            <w:gridSpan w:val="3"/>
            <w:shd w:val="clear" w:color="auto" w:fill="auto"/>
            <w:vAlign w:val="bottom"/>
          </w:tcPr>
          <w:p w14:paraId="74DDE5A5" w14:textId="77777777" w:rsidR="00584EC1" w:rsidRDefault="00584EC1">
            <w:pPr>
              <w:rPr>
                <w:rFonts w:ascii="宋体"/>
                <w:vanish/>
              </w:rPr>
            </w:pPr>
          </w:p>
        </w:tc>
        <w:tc>
          <w:tcPr>
            <w:tcW w:w="0" w:type="auto"/>
            <w:gridSpan w:val="3"/>
            <w:shd w:val="clear" w:color="auto" w:fill="auto"/>
            <w:vAlign w:val="bottom"/>
          </w:tcPr>
          <w:p w14:paraId="74DDE5A6" w14:textId="77777777" w:rsidR="00584EC1" w:rsidRDefault="00584EC1">
            <w:pPr>
              <w:rPr>
                <w:rFonts w:ascii="宋体"/>
                <w:vanish/>
              </w:rPr>
            </w:pPr>
          </w:p>
        </w:tc>
        <w:tc>
          <w:tcPr>
            <w:tcW w:w="0" w:type="auto"/>
            <w:gridSpan w:val="3"/>
            <w:shd w:val="clear" w:color="auto" w:fill="auto"/>
            <w:vAlign w:val="bottom"/>
          </w:tcPr>
          <w:p w14:paraId="74DDE5A7" w14:textId="77777777" w:rsidR="00584EC1" w:rsidRDefault="00584EC1">
            <w:pPr>
              <w:rPr>
                <w:rFonts w:ascii="宋体"/>
                <w:vanish/>
              </w:rPr>
            </w:pPr>
          </w:p>
        </w:tc>
        <w:tc>
          <w:tcPr>
            <w:tcW w:w="0" w:type="auto"/>
            <w:gridSpan w:val="3"/>
            <w:shd w:val="clear" w:color="auto" w:fill="auto"/>
            <w:vAlign w:val="bottom"/>
          </w:tcPr>
          <w:p w14:paraId="74DDE5A8" w14:textId="77777777" w:rsidR="00584EC1" w:rsidRDefault="00584EC1">
            <w:pPr>
              <w:rPr>
                <w:rFonts w:ascii="宋体"/>
                <w:vanish/>
              </w:rPr>
            </w:pPr>
          </w:p>
        </w:tc>
        <w:tc>
          <w:tcPr>
            <w:tcW w:w="0" w:type="auto"/>
            <w:gridSpan w:val="3"/>
            <w:shd w:val="clear" w:color="auto" w:fill="auto"/>
            <w:vAlign w:val="bottom"/>
          </w:tcPr>
          <w:p w14:paraId="74DDE5A9" w14:textId="77777777" w:rsidR="00584EC1" w:rsidRDefault="00584EC1">
            <w:pPr>
              <w:rPr>
                <w:rFonts w:ascii="宋体"/>
                <w:vanish/>
              </w:rPr>
            </w:pPr>
          </w:p>
        </w:tc>
        <w:tc>
          <w:tcPr>
            <w:tcW w:w="0" w:type="auto"/>
            <w:gridSpan w:val="3"/>
            <w:shd w:val="clear" w:color="auto" w:fill="auto"/>
            <w:vAlign w:val="bottom"/>
          </w:tcPr>
          <w:p w14:paraId="74DDE5AA" w14:textId="77777777" w:rsidR="00584EC1" w:rsidRDefault="00584EC1">
            <w:pPr>
              <w:rPr>
                <w:rFonts w:ascii="宋体"/>
                <w:vanish/>
              </w:rPr>
            </w:pPr>
          </w:p>
        </w:tc>
        <w:tc>
          <w:tcPr>
            <w:tcW w:w="0" w:type="auto"/>
            <w:gridSpan w:val="3"/>
            <w:shd w:val="clear" w:color="auto" w:fill="auto"/>
            <w:vAlign w:val="bottom"/>
          </w:tcPr>
          <w:p w14:paraId="74DDE5AB" w14:textId="77777777" w:rsidR="00584EC1" w:rsidRDefault="00584EC1">
            <w:pPr>
              <w:rPr>
                <w:rFonts w:ascii="宋体"/>
                <w:vanish/>
              </w:rPr>
            </w:pPr>
          </w:p>
        </w:tc>
        <w:tc>
          <w:tcPr>
            <w:tcW w:w="0" w:type="auto"/>
            <w:gridSpan w:val="3"/>
            <w:shd w:val="clear" w:color="auto" w:fill="auto"/>
            <w:vAlign w:val="bottom"/>
          </w:tcPr>
          <w:p w14:paraId="74DDE5AC" w14:textId="77777777" w:rsidR="00584EC1" w:rsidRDefault="00584EC1">
            <w:pPr>
              <w:rPr>
                <w:rFonts w:ascii="宋体"/>
                <w:vanish/>
              </w:rPr>
            </w:pPr>
          </w:p>
        </w:tc>
        <w:tc>
          <w:tcPr>
            <w:tcW w:w="0" w:type="auto"/>
            <w:gridSpan w:val="3"/>
            <w:shd w:val="clear" w:color="auto" w:fill="auto"/>
            <w:vAlign w:val="bottom"/>
          </w:tcPr>
          <w:p w14:paraId="74DDE5AD" w14:textId="77777777" w:rsidR="00584EC1" w:rsidRDefault="00584EC1">
            <w:pPr>
              <w:rPr>
                <w:rFonts w:ascii="宋体"/>
                <w:vanish/>
              </w:rPr>
            </w:pPr>
          </w:p>
        </w:tc>
        <w:tc>
          <w:tcPr>
            <w:tcW w:w="0" w:type="auto"/>
            <w:gridSpan w:val="3"/>
            <w:shd w:val="clear" w:color="auto" w:fill="auto"/>
            <w:vAlign w:val="bottom"/>
          </w:tcPr>
          <w:p w14:paraId="74DDE5AE" w14:textId="77777777" w:rsidR="00584EC1" w:rsidRDefault="00584EC1">
            <w:pPr>
              <w:rPr>
                <w:rFonts w:ascii="宋体"/>
                <w:vanish/>
              </w:rPr>
            </w:pPr>
          </w:p>
        </w:tc>
        <w:tc>
          <w:tcPr>
            <w:tcW w:w="0" w:type="auto"/>
            <w:gridSpan w:val="3"/>
            <w:shd w:val="clear" w:color="auto" w:fill="auto"/>
            <w:vAlign w:val="bottom"/>
          </w:tcPr>
          <w:p w14:paraId="74DDE5AF" w14:textId="77777777" w:rsidR="00584EC1" w:rsidRDefault="00584EC1">
            <w:pPr>
              <w:rPr>
                <w:rFonts w:ascii="宋体"/>
                <w:vanish/>
              </w:rPr>
            </w:pPr>
          </w:p>
        </w:tc>
        <w:tc>
          <w:tcPr>
            <w:tcW w:w="0" w:type="auto"/>
            <w:shd w:val="clear" w:color="auto" w:fill="auto"/>
            <w:vAlign w:val="bottom"/>
          </w:tcPr>
          <w:p w14:paraId="74DDE5B0" w14:textId="77777777" w:rsidR="00584EC1" w:rsidRDefault="00584EC1">
            <w:pPr>
              <w:rPr>
                <w:rFonts w:ascii="宋体"/>
                <w:vanish/>
              </w:rPr>
            </w:pPr>
          </w:p>
        </w:tc>
        <w:tc>
          <w:tcPr>
            <w:tcW w:w="0" w:type="auto"/>
            <w:shd w:val="clear" w:color="auto" w:fill="auto"/>
            <w:vAlign w:val="bottom"/>
          </w:tcPr>
          <w:p w14:paraId="74DDE5B1" w14:textId="77777777" w:rsidR="00584EC1" w:rsidRDefault="00584EC1">
            <w:pPr>
              <w:rPr>
                <w:rFonts w:ascii="宋体"/>
                <w:vanish/>
              </w:rPr>
            </w:pPr>
          </w:p>
        </w:tc>
        <w:tc>
          <w:tcPr>
            <w:tcW w:w="0" w:type="auto"/>
            <w:gridSpan w:val="3"/>
            <w:shd w:val="clear" w:color="auto" w:fill="auto"/>
            <w:vAlign w:val="bottom"/>
          </w:tcPr>
          <w:p w14:paraId="74DDE5B2" w14:textId="77777777" w:rsidR="00584EC1" w:rsidRDefault="00584EC1">
            <w:pPr>
              <w:rPr>
                <w:rFonts w:ascii="宋体"/>
                <w:vanish/>
              </w:rPr>
            </w:pPr>
          </w:p>
        </w:tc>
        <w:tc>
          <w:tcPr>
            <w:tcW w:w="0" w:type="auto"/>
            <w:gridSpan w:val="3"/>
            <w:shd w:val="clear" w:color="auto" w:fill="auto"/>
            <w:vAlign w:val="bottom"/>
          </w:tcPr>
          <w:p w14:paraId="74DDE5B3" w14:textId="77777777" w:rsidR="00584EC1" w:rsidRDefault="00584EC1">
            <w:pPr>
              <w:rPr>
                <w:rFonts w:ascii="宋体"/>
                <w:vanish/>
              </w:rPr>
            </w:pPr>
          </w:p>
        </w:tc>
        <w:tc>
          <w:tcPr>
            <w:tcW w:w="0" w:type="auto"/>
            <w:gridSpan w:val="3"/>
            <w:shd w:val="clear" w:color="auto" w:fill="auto"/>
            <w:vAlign w:val="bottom"/>
          </w:tcPr>
          <w:p w14:paraId="74DDE5B4" w14:textId="77777777" w:rsidR="00584EC1" w:rsidRDefault="00584EC1">
            <w:pPr>
              <w:rPr>
                <w:rFonts w:ascii="宋体"/>
                <w:vanish/>
              </w:rPr>
            </w:pPr>
          </w:p>
        </w:tc>
        <w:tc>
          <w:tcPr>
            <w:tcW w:w="0" w:type="auto"/>
            <w:gridSpan w:val="3"/>
            <w:shd w:val="clear" w:color="auto" w:fill="auto"/>
            <w:vAlign w:val="bottom"/>
          </w:tcPr>
          <w:p w14:paraId="74DDE5B5" w14:textId="77777777" w:rsidR="00584EC1" w:rsidRDefault="00584EC1">
            <w:pPr>
              <w:rPr>
                <w:rFonts w:ascii="宋体"/>
                <w:vanish/>
              </w:rPr>
            </w:pPr>
          </w:p>
        </w:tc>
        <w:tc>
          <w:tcPr>
            <w:tcW w:w="0" w:type="auto"/>
            <w:gridSpan w:val="3"/>
            <w:shd w:val="clear" w:color="auto" w:fill="auto"/>
            <w:vAlign w:val="bottom"/>
          </w:tcPr>
          <w:p w14:paraId="74DDE5B6" w14:textId="77777777" w:rsidR="00584EC1" w:rsidRDefault="00584EC1">
            <w:pPr>
              <w:rPr>
                <w:rFonts w:ascii="宋体"/>
                <w:vanish/>
              </w:rPr>
            </w:pPr>
          </w:p>
        </w:tc>
      </w:tr>
      <w:tr w:rsidR="00584EC1" w14:paraId="74DDE5CA" w14:textId="77777777">
        <w:trPr>
          <w:hidden/>
        </w:trPr>
        <w:tc>
          <w:tcPr>
            <w:tcW w:w="0" w:type="auto"/>
            <w:gridSpan w:val="3"/>
            <w:shd w:val="clear" w:color="auto" w:fill="auto"/>
            <w:vAlign w:val="bottom"/>
          </w:tcPr>
          <w:p w14:paraId="74DDE5B8" w14:textId="77777777" w:rsidR="00584EC1" w:rsidRDefault="00584EC1">
            <w:pPr>
              <w:rPr>
                <w:rFonts w:ascii="宋体"/>
                <w:vanish/>
              </w:rPr>
            </w:pPr>
          </w:p>
        </w:tc>
        <w:tc>
          <w:tcPr>
            <w:tcW w:w="0" w:type="auto"/>
            <w:gridSpan w:val="3"/>
            <w:shd w:val="clear" w:color="auto" w:fill="auto"/>
            <w:vAlign w:val="bottom"/>
          </w:tcPr>
          <w:p w14:paraId="74DDE5B9" w14:textId="77777777" w:rsidR="00584EC1" w:rsidRDefault="00584EC1">
            <w:pPr>
              <w:rPr>
                <w:rFonts w:ascii="宋体"/>
                <w:vanish/>
              </w:rPr>
            </w:pPr>
          </w:p>
        </w:tc>
        <w:tc>
          <w:tcPr>
            <w:tcW w:w="0" w:type="auto"/>
            <w:gridSpan w:val="3"/>
            <w:shd w:val="clear" w:color="auto" w:fill="auto"/>
            <w:vAlign w:val="bottom"/>
          </w:tcPr>
          <w:p w14:paraId="74DDE5BA" w14:textId="77777777" w:rsidR="00584EC1" w:rsidRDefault="00584EC1">
            <w:pPr>
              <w:rPr>
                <w:rFonts w:ascii="宋体"/>
                <w:vanish/>
              </w:rPr>
            </w:pPr>
          </w:p>
        </w:tc>
        <w:tc>
          <w:tcPr>
            <w:tcW w:w="0" w:type="auto"/>
            <w:gridSpan w:val="3"/>
            <w:shd w:val="clear" w:color="auto" w:fill="auto"/>
            <w:vAlign w:val="bottom"/>
          </w:tcPr>
          <w:p w14:paraId="74DDE5BB" w14:textId="77777777" w:rsidR="00584EC1" w:rsidRDefault="00584EC1">
            <w:pPr>
              <w:rPr>
                <w:rFonts w:ascii="宋体"/>
                <w:vanish/>
              </w:rPr>
            </w:pPr>
          </w:p>
        </w:tc>
        <w:tc>
          <w:tcPr>
            <w:tcW w:w="0" w:type="auto"/>
            <w:gridSpan w:val="3"/>
            <w:shd w:val="clear" w:color="auto" w:fill="auto"/>
            <w:vAlign w:val="bottom"/>
          </w:tcPr>
          <w:p w14:paraId="74DDE5BC" w14:textId="77777777" w:rsidR="00584EC1" w:rsidRDefault="00584EC1">
            <w:pPr>
              <w:rPr>
                <w:rFonts w:ascii="宋体"/>
                <w:vanish/>
              </w:rPr>
            </w:pPr>
          </w:p>
        </w:tc>
        <w:tc>
          <w:tcPr>
            <w:tcW w:w="0" w:type="auto"/>
            <w:gridSpan w:val="3"/>
            <w:shd w:val="clear" w:color="auto" w:fill="auto"/>
            <w:vAlign w:val="bottom"/>
          </w:tcPr>
          <w:p w14:paraId="74DDE5BD" w14:textId="77777777" w:rsidR="00584EC1" w:rsidRDefault="00584EC1">
            <w:pPr>
              <w:rPr>
                <w:rFonts w:ascii="宋体"/>
                <w:vanish/>
              </w:rPr>
            </w:pPr>
          </w:p>
        </w:tc>
        <w:tc>
          <w:tcPr>
            <w:tcW w:w="0" w:type="auto"/>
            <w:gridSpan w:val="3"/>
            <w:shd w:val="clear" w:color="auto" w:fill="auto"/>
            <w:vAlign w:val="bottom"/>
          </w:tcPr>
          <w:p w14:paraId="74DDE5BE" w14:textId="77777777" w:rsidR="00584EC1" w:rsidRDefault="00584EC1">
            <w:pPr>
              <w:rPr>
                <w:rFonts w:ascii="宋体"/>
                <w:vanish/>
              </w:rPr>
            </w:pPr>
          </w:p>
        </w:tc>
        <w:tc>
          <w:tcPr>
            <w:tcW w:w="0" w:type="auto"/>
            <w:gridSpan w:val="3"/>
            <w:shd w:val="clear" w:color="auto" w:fill="auto"/>
            <w:vAlign w:val="bottom"/>
          </w:tcPr>
          <w:p w14:paraId="74DDE5BF" w14:textId="77777777" w:rsidR="00584EC1" w:rsidRDefault="00584EC1">
            <w:pPr>
              <w:rPr>
                <w:rFonts w:ascii="宋体"/>
                <w:vanish/>
              </w:rPr>
            </w:pPr>
          </w:p>
        </w:tc>
        <w:tc>
          <w:tcPr>
            <w:tcW w:w="0" w:type="auto"/>
            <w:gridSpan w:val="3"/>
            <w:shd w:val="clear" w:color="auto" w:fill="auto"/>
            <w:vAlign w:val="bottom"/>
          </w:tcPr>
          <w:p w14:paraId="74DDE5C0" w14:textId="77777777" w:rsidR="00584EC1" w:rsidRDefault="00584EC1">
            <w:pPr>
              <w:rPr>
                <w:rFonts w:ascii="宋体"/>
                <w:vanish/>
              </w:rPr>
            </w:pPr>
          </w:p>
        </w:tc>
        <w:tc>
          <w:tcPr>
            <w:tcW w:w="0" w:type="auto"/>
            <w:gridSpan w:val="3"/>
            <w:shd w:val="clear" w:color="auto" w:fill="auto"/>
            <w:vAlign w:val="bottom"/>
          </w:tcPr>
          <w:p w14:paraId="74DDE5C1" w14:textId="77777777" w:rsidR="00584EC1" w:rsidRDefault="00584EC1">
            <w:pPr>
              <w:rPr>
                <w:rFonts w:ascii="宋体"/>
                <w:vanish/>
              </w:rPr>
            </w:pPr>
          </w:p>
        </w:tc>
        <w:tc>
          <w:tcPr>
            <w:tcW w:w="0" w:type="auto"/>
            <w:gridSpan w:val="3"/>
            <w:shd w:val="clear" w:color="auto" w:fill="auto"/>
            <w:vAlign w:val="bottom"/>
          </w:tcPr>
          <w:p w14:paraId="74DDE5C2" w14:textId="77777777" w:rsidR="00584EC1" w:rsidRDefault="00584EC1">
            <w:pPr>
              <w:rPr>
                <w:rFonts w:ascii="宋体"/>
                <w:vanish/>
              </w:rPr>
            </w:pPr>
          </w:p>
        </w:tc>
        <w:tc>
          <w:tcPr>
            <w:tcW w:w="0" w:type="auto"/>
            <w:shd w:val="clear" w:color="auto" w:fill="auto"/>
            <w:vAlign w:val="bottom"/>
          </w:tcPr>
          <w:p w14:paraId="74DDE5C3" w14:textId="77777777" w:rsidR="00584EC1" w:rsidRDefault="00584EC1">
            <w:pPr>
              <w:rPr>
                <w:rFonts w:ascii="宋体"/>
                <w:vanish/>
              </w:rPr>
            </w:pPr>
          </w:p>
        </w:tc>
        <w:tc>
          <w:tcPr>
            <w:tcW w:w="0" w:type="auto"/>
            <w:shd w:val="clear" w:color="auto" w:fill="auto"/>
            <w:vAlign w:val="bottom"/>
          </w:tcPr>
          <w:p w14:paraId="74DDE5C4" w14:textId="77777777" w:rsidR="00584EC1" w:rsidRDefault="00584EC1">
            <w:pPr>
              <w:rPr>
                <w:rFonts w:ascii="宋体"/>
                <w:vanish/>
              </w:rPr>
            </w:pPr>
          </w:p>
        </w:tc>
        <w:tc>
          <w:tcPr>
            <w:tcW w:w="0" w:type="auto"/>
            <w:gridSpan w:val="3"/>
            <w:shd w:val="clear" w:color="auto" w:fill="auto"/>
            <w:vAlign w:val="bottom"/>
          </w:tcPr>
          <w:p w14:paraId="74DDE5C5" w14:textId="77777777" w:rsidR="00584EC1" w:rsidRDefault="00584EC1">
            <w:pPr>
              <w:rPr>
                <w:rFonts w:ascii="宋体"/>
                <w:vanish/>
              </w:rPr>
            </w:pPr>
          </w:p>
        </w:tc>
        <w:tc>
          <w:tcPr>
            <w:tcW w:w="0" w:type="auto"/>
            <w:gridSpan w:val="3"/>
            <w:shd w:val="clear" w:color="auto" w:fill="auto"/>
            <w:vAlign w:val="bottom"/>
          </w:tcPr>
          <w:p w14:paraId="74DDE5C6" w14:textId="77777777" w:rsidR="00584EC1" w:rsidRDefault="00584EC1">
            <w:pPr>
              <w:rPr>
                <w:rFonts w:ascii="宋体"/>
                <w:vanish/>
              </w:rPr>
            </w:pPr>
          </w:p>
        </w:tc>
        <w:tc>
          <w:tcPr>
            <w:tcW w:w="0" w:type="auto"/>
            <w:gridSpan w:val="3"/>
            <w:shd w:val="clear" w:color="auto" w:fill="auto"/>
            <w:vAlign w:val="bottom"/>
          </w:tcPr>
          <w:p w14:paraId="74DDE5C7" w14:textId="77777777" w:rsidR="00584EC1" w:rsidRDefault="00584EC1">
            <w:pPr>
              <w:rPr>
                <w:rFonts w:ascii="宋体"/>
                <w:vanish/>
              </w:rPr>
            </w:pPr>
          </w:p>
        </w:tc>
        <w:tc>
          <w:tcPr>
            <w:tcW w:w="0" w:type="auto"/>
            <w:gridSpan w:val="3"/>
            <w:shd w:val="clear" w:color="auto" w:fill="auto"/>
            <w:vAlign w:val="bottom"/>
          </w:tcPr>
          <w:p w14:paraId="74DDE5C8" w14:textId="77777777" w:rsidR="00584EC1" w:rsidRDefault="00584EC1">
            <w:pPr>
              <w:rPr>
                <w:rFonts w:ascii="宋体"/>
                <w:vanish/>
              </w:rPr>
            </w:pPr>
          </w:p>
        </w:tc>
        <w:tc>
          <w:tcPr>
            <w:tcW w:w="0" w:type="auto"/>
            <w:gridSpan w:val="3"/>
            <w:shd w:val="clear" w:color="auto" w:fill="auto"/>
            <w:vAlign w:val="bottom"/>
          </w:tcPr>
          <w:p w14:paraId="74DDE5C9" w14:textId="77777777" w:rsidR="00584EC1" w:rsidRDefault="00584EC1">
            <w:pPr>
              <w:rPr>
                <w:rFonts w:ascii="宋体"/>
                <w:vanish/>
              </w:rPr>
            </w:pPr>
          </w:p>
        </w:tc>
      </w:tr>
      <w:tr w:rsidR="00584EC1" w14:paraId="74DDE5DD" w14:textId="77777777">
        <w:trPr>
          <w:hidden/>
        </w:trPr>
        <w:tc>
          <w:tcPr>
            <w:tcW w:w="0" w:type="auto"/>
            <w:gridSpan w:val="3"/>
            <w:shd w:val="clear" w:color="auto" w:fill="auto"/>
            <w:vAlign w:val="bottom"/>
          </w:tcPr>
          <w:p w14:paraId="74DDE5CB" w14:textId="77777777" w:rsidR="00584EC1" w:rsidRDefault="00584EC1">
            <w:pPr>
              <w:rPr>
                <w:rFonts w:ascii="宋体"/>
                <w:vanish/>
              </w:rPr>
            </w:pPr>
          </w:p>
        </w:tc>
        <w:tc>
          <w:tcPr>
            <w:tcW w:w="0" w:type="auto"/>
            <w:gridSpan w:val="3"/>
            <w:shd w:val="clear" w:color="auto" w:fill="auto"/>
            <w:vAlign w:val="bottom"/>
          </w:tcPr>
          <w:p w14:paraId="74DDE5CC" w14:textId="77777777" w:rsidR="00584EC1" w:rsidRDefault="00584EC1">
            <w:pPr>
              <w:rPr>
                <w:rFonts w:ascii="宋体"/>
                <w:vanish/>
              </w:rPr>
            </w:pPr>
          </w:p>
        </w:tc>
        <w:tc>
          <w:tcPr>
            <w:tcW w:w="0" w:type="auto"/>
            <w:gridSpan w:val="3"/>
            <w:shd w:val="clear" w:color="auto" w:fill="auto"/>
            <w:vAlign w:val="bottom"/>
          </w:tcPr>
          <w:p w14:paraId="74DDE5CD" w14:textId="77777777" w:rsidR="00584EC1" w:rsidRDefault="00584EC1">
            <w:pPr>
              <w:rPr>
                <w:rFonts w:ascii="宋体"/>
                <w:vanish/>
              </w:rPr>
            </w:pPr>
          </w:p>
        </w:tc>
        <w:tc>
          <w:tcPr>
            <w:tcW w:w="0" w:type="auto"/>
            <w:gridSpan w:val="3"/>
            <w:shd w:val="clear" w:color="auto" w:fill="auto"/>
            <w:vAlign w:val="bottom"/>
          </w:tcPr>
          <w:p w14:paraId="74DDE5CE" w14:textId="77777777" w:rsidR="00584EC1" w:rsidRDefault="00584EC1">
            <w:pPr>
              <w:rPr>
                <w:rFonts w:ascii="宋体"/>
                <w:vanish/>
              </w:rPr>
            </w:pPr>
          </w:p>
        </w:tc>
        <w:tc>
          <w:tcPr>
            <w:tcW w:w="0" w:type="auto"/>
            <w:gridSpan w:val="3"/>
            <w:shd w:val="clear" w:color="auto" w:fill="auto"/>
            <w:vAlign w:val="bottom"/>
          </w:tcPr>
          <w:p w14:paraId="74DDE5CF" w14:textId="77777777" w:rsidR="00584EC1" w:rsidRDefault="00584EC1">
            <w:pPr>
              <w:rPr>
                <w:rFonts w:ascii="宋体"/>
                <w:vanish/>
              </w:rPr>
            </w:pPr>
          </w:p>
        </w:tc>
        <w:tc>
          <w:tcPr>
            <w:tcW w:w="0" w:type="auto"/>
            <w:gridSpan w:val="3"/>
            <w:shd w:val="clear" w:color="auto" w:fill="auto"/>
            <w:vAlign w:val="bottom"/>
          </w:tcPr>
          <w:p w14:paraId="74DDE5D0" w14:textId="77777777" w:rsidR="00584EC1" w:rsidRDefault="00584EC1">
            <w:pPr>
              <w:rPr>
                <w:rFonts w:ascii="宋体"/>
                <w:vanish/>
              </w:rPr>
            </w:pPr>
          </w:p>
        </w:tc>
        <w:tc>
          <w:tcPr>
            <w:tcW w:w="0" w:type="auto"/>
            <w:gridSpan w:val="3"/>
            <w:shd w:val="clear" w:color="auto" w:fill="auto"/>
            <w:vAlign w:val="bottom"/>
          </w:tcPr>
          <w:p w14:paraId="74DDE5D1" w14:textId="77777777" w:rsidR="00584EC1" w:rsidRDefault="00584EC1">
            <w:pPr>
              <w:rPr>
                <w:rFonts w:ascii="宋体"/>
                <w:vanish/>
              </w:rPr>
            </w:pPr>
          </w:p>
        </w:tc>
        <w:tc>
          <w:tcPr>
            <w:tcW w:w="0" w:type="auto"/>
            <w:gridSpan w:val="3"/>
            <w:shd w:val="clear" w:color="auto" w:fill="auto"/>
            <w:vAlign w:val="bottom"/>
          </w:tcPr>
          <w:p w14:paraId="74DDE5D2" w14:textId="77777777" w:rsidR="00584EC1" w:rsidRDefault="00584EC1">
            <w:pPr>
              <w:rPr>
                <w:rFonts w:ascii="宋体"/>
                <w:vanish/>
              </w:rPr>
            </w:pPr>
          </w:p>
        </w:tc>
        <w:tc>
          <w:tcPr>
            <w:tcW w:w="0" w:type="auto"/>
            <w:gridSpan w:val="3"/>
            <w:shd w:val="clear" w:color="auto" w:fill="auto"/>
            <w:vAlign w:val="bottom"/>
          </w:tcPr>
          <w:p w14:paraId="74DDE5D3" w14:textId="77777777" w:rsidR="00584EC1" w:rsidRDefault="00584EC1">
            <w:pPr>
              <w:rPr>
                <w:rFonts w:ascii="宋体"/>
                <w:vanish/>
              </w:rPr>
            </w:pPr>
          </w:p>
        </w:tc>
        <w:tc>
          <w:tcPr>
            <w:tcW w:w="0" w:type="auto"/>
            <w:gridSpan w:val="3"/>
            <w:shd w:val="clear" w:color="auto" w:fill="auto"/>
            <w:vAlign w:val="bottom"/>
          </w:tcPr>
          <w:p w14:paraId="74DDE5D4" w14:textId="77777777" w:rsidR="00584EC1" w:rsidRDefault="00584EC1">
            <w:pPr>
              <w:rPr>
                <w:rFonts w:ascii="宋体"/>
                <w:vanish/>
              </w:rPr>
            </w:pPr>
          </w:p>
        </w:tc>
        <w:tc>
          <w:tcPr>
            <w:tcW w:w="0" w:type="auto"/>
            <w:gridSpan w:val="3"/>
            <w:shd w:val="clear" w:color="auto" w:fill="auto"/>
            <w:vAlign w:val="bottom"/>
          </w:tcPr>
          <w:p w14:paraId="74DDE5D5" w14:textId="77777777" w:rsidR="00584EC1" w:rsidRDefault="00584EC1">
            <w:pPr>
              <w:rPr>
                <w:rFonts w:ascii="宋体"/>
                <w:vanish/>
              </w:rPr>
            </w:pPr>
          </w:p>
        </w:tc>
        <w:tc>
          <w:tcPr>
            <w:tcW w:w="0" w:type="auto"/>
            <w:shd w:val="clear" w:color="auto" w:fill="auto"/>
            <w:vAlign w:val="bottom"/>
          </w:tcPr>
          <w:p w14:paraId="74DDE5D6" w14:textId="77777777" w:rsidR="00584EC1" w:rsidRDefault="00584EC1">
            <w:pPr>
              <w:rPr>
                <w:rFonts w:ascii="宋体"/>
                <w:vanish/>
              </w:rPr>
            </w:pPr>
          </w:p>
        </w:tc>
        <w:tc>
          <w:tcPr>
            <w:tcW w:w="0" w:type="auto"/>
            <w:shd w:val="clear" w:color="auto" w:fill="auto"/>
            <w:vAlign w:val="bottom"/>
          </w:tcPr>
          <w:p w14:paraId="74DDE5D7" w14:textId="77777777" w:rsidR="00584EC1" w:rsidRDefault="00584EC1">
            <w:pPr>
              <w:rPr>
                <w:rFonts w:ascii="宋体"/>
                <w:vanish/>
              </w:rPr>
            </w:pPr>
          </w:p>
        </w:tc>
        <w:tc>
          <w:tcPr>
            <w:tcW w:w="0" w:type="auto"/>
            <w:gridSpan w:val="3"/>
            <w:shd w:val="clear" w:color="auto" w:fill="auto"/>
            <w:vAlign w:val="bottom"/>
          </w:tcPr>
          <w:p w14:paraId="74DDE5D8" w14:textId="77777777" w:rsidR="00584EC1" w:rsidRDefault="00584EC1">
            <w:pPr>
              <w:rPr>
                <w:rFonts w:ascii="宋体"/>
                <w:vanish/>
              </w:rPr>
            </w:pPr>
          </w:p>
        </w:tc>
        <w:tc>
          <w:tcPr>
            <w:tcW w:w="0" w:type="auto"/>
            <w:gridSpan w:val="3"/>
            <w:shd w:val="clear" w:color="auto" w:fill="auto"/>
            <w:vAlign w:val="bottom"/>
          </w:tcPr>
          <w:p w14:paraId="74DDE5D9" w14:textId="77777777" w:rsidR="00584EC1" w:rsidRDefault="00584EC1">
            <w:pPr>
              <w:rPr>
                <w:rFonts w:ascii="宋体"/>
                <w:vanish/>
              </w:rPr>
            </w:pPr>
          </w:p>
        </w:tc>
        <w:tc>
          <w:tcPr>
            <w:tcW w:w="0" w:type="auto"/>
            <w:gridSpan w:val="3"/>
            <w:shd w:val="clear" w:color="auto" w:fill="auto"/>
            <w:vAlign w:val="bottom"/>
          </w:tcPr>
          <w:p w14:paraId="74DDE5DA" w14:textId="77777777" w:rsidR="00584EC1" w:rsidRDefault="00584EC1">
            <w:pPr>
              <w:rPr>
                <w:rFonts w:ascii="宋体"/>
                <w:vanish/>
              </w:rPr>
            </w:pPr>
          </w:p>
        </w:tc>
        <w:tc>
          <w:tcPr>
            <w:tcW w:w="0" w:type="auto"/>
            <w:gridSpan w:val="3"/>
            <w:shd w:val="clear" w:color="auto" w:fill="auto"/>
            <w:vAlign w:val="bottom"/>
          </w:tcPr>
          <w:p w14:paraId="74DDE5DB" w14:textId="77777777" w:rsidR="00584EC1" w:rsidRDefault="00584EC1">
            <w:pPr>
              <w:rPr>
                <w:rFonts w:ascii="宋体"/>
                <w:vanish/>
              </w:rPr>
            </w:pPr>
          </w:p>
        </w:tc>
        <w:tc>
          <w:tcPr>
            <w:tcW w:w="0" w:type="auto"/>
            <w:gridSpan w:val="3"/>
            <w:shd w:val="clear" w:color="auto" w:fill="auto"/>
            <w:vAlign w:val="bottom"/>
          </w:tcPr>
          <w:p w14:paraId="74DDE5DC" w14:textId="77777777" w:rsidR="00584EC1" w:rsidRDefault="00584EC1">
            <w:pPr>
              <w:rPr>
                <w:rFonts w:ascii="宋体"/>
                <w:vanish/>
              </w:rPr>
            </w:pPr>
          </w:p>
        </w:tc>
      </w:tr>
      <w:tr w:rsidR="00584EC1" w14:paraId="74DDE5F0" w14:textId="77777777">
        <w:trPr>
          <w:hidden/>
        </w:trPr>
        <w:tc>
          <w:tcPr>
            <w:tcW w:w="0" w:type="auto"/>
            <w:gridSpan w:val="3"/>
            <w:shd w:val="clear" w:color="auto" w:fill="auto"/>
            <w:vAlign w:val="bottom"/>
          </w:tcPr>
          <w:p w14:paraId="74DDE5DE" w14:textId="77777777" w:rsidR="00584EC1" w:rsidRDefault="00584EC1">
            <w:pPr>
              <w:rPr>
                <w:rFonts w:ascii="宋体"/>
                <w:vanish/>
              </w:rPr>
            </w:pPr>
          </w:p>
        </w:tc>
        <w:tc>
          <w:tcPr>
            <w:tcW w:w="0" w:type="auto"/>
            <w:gridSpan w:val="3"/>
            <w:shd w:val="clear" w:color="auto" w:fill="auto"/>
            <w:vAlign w:val="bottom"/>
          </w:tcPr>
          <w:p w14:paraId="74DDE5DF" w14:textId="77777777" w:rsidR="00584EC1" w:rsidRDefault="00584EC1">
            <w:pPr>
              <w:rPr>
                <w:rFonts w:ascii="宋体"/>
                <w:vanish/>
              </w:rPr>
            </w:pPr>
          </w:p>
        </w:tc>
        <w:tc>
          <w:tcPr>
            <w:tcW w:w="0" w:type="auto"/>
            <w:gridSpan w:val="3"/>
            <w:shd w:val="clear" w:color="auto" w:fill="auto"/>
            <w:vAlign w:val="bottom"/>
          </w:tcPr>
          <w:p w14:paraId="74DDE5E0" w14:textId="77777777" w:rsidR="00584EC1" w:rsidRDefault="00584EC1">
            <w:pPr>
              <w:rPr>
                <w:rFonts w:ascii="宋体"/>
                <w:vanish/>
              </w:rPr>
            </w:pPr>
          </w:p>
        </w:tc>
        <w:tc>
          <w:tcPr>
            <w:tcW w:w="0" w:type="auto"/>
            <w:gridSpan w:val="3"/>
            <w:shd w:val="clear" w:color="auto" w:fill="auto"/>
            <w:vAlign w:val="bottom"/>
          </w:tcPr>
          <w:p w14:paraId="74DDE5E1" w14:textId="77777777" w:rsidR="00584EC1" w:rsidRDefault="00584EC1">
            <w:pPr>
              <w:rPr>
                <w:rFonts w:ascii="宋体"/>
                <w:vanish/>
              </w:rPr>
            </w:pPr>
          </w:p>
        </w:tc>
        <w:tc>
          <w:tcPr>
            <w:tcW w:w="0" w:type="auto"/>
            <w:gridSpan w:val="3"/>
            <w:shd w:val="clear" w:color="auto" w:fill="auto"/>
            <w:vAlign w:val="bottom"/>
          </w:tcPr>
          <w:p w14:paraId="74DDE5E2" w14:textId="77777777" w:rsidR="00584EC1" w:rsidRDefault="00584EC1">
            <w:pPr>
              <w:rPr>
                <w:rFonts w:ascii="宋体"/>
                <w:vanish/>
              </w:rPr>
            </w:pPr>
          </w:p>
        </w:tc>
        <w:tc>
          <w:tcPr>
            <w:tcW w:w="0" w:type="auto"/>
            <w:gridSpan w:val="3"/>
            <w:shd w:val="clear" w:color="auto" w:fill="auto"/>
            <w:vAlign w:val="bottom"/>
          </w:tcPr>
          <w:p w14:paraId="74DDE5E3" w14:textId="77777777" w:rsidR="00584EC1" w:rsidRDefault="00584EC1">
            <w:pPr>
              <w:rPr>
                <w:rFonts w:ascii="宋体"/>
                <w:vanish/>
              </w:rPr>
            </w:pPr>
          </w:p>
        </w:tc>
        <w:tc>
          <w:tcPr>
            <w:tcW w:w="0" w:type="auto"/>
            <w:gridSpan w:val="3"/>
            <w:shd w:val="clear" w:color="auto" w:fill="auto"/>
            <w:vAlign w:val="bottom"/>
          </w:tcPr>
          <w:p w14:paraId="74DDE5E4" w14:textId="77777777" w:rsidR="00584EC1" w:rsidRDefault="00584EC1">
            <w:pPr>
              <w:rPr>
                <w:rFonts w:ascii="宋体"/>
                <w:vanish/>
              </w:rPr>
            </w:pPr>
          </w:p>
        </w:tc>
        <w:tc>
          <w:tcPr>
            <w:tcW w:w="0" w:type="auto"/>
            <w:gridSpan w:val="3"/>
            <w:shd w:val="clear" w:color="auto" w:fill="auto"/>
            <w:vAlign w:val="bottom"/>
          </w:tcPr>
          <w:p w14:paraId="74DDE5E5" w14:textId="77777777" w:rsidR="00584EC1" w:rsidRDefault="00584EC1">
            <w:pPr>
              <w:rPr>
                <w:rFonts w:ascii="宋体"/>
                <w:vanish/>
              </w:rPr>
            </w:pPr>
          </w:p>
        </w:tc>
        <w:tc>
          <w:tcPr>
            <w:tcW w:w="0" w:type="auto"/>
            <w:gridSpan w:val="3"/>
            <w:shd w:val="clear" w:color="auto" w:fill="auto"/>
            <w:vAlign w:val="bottom"/>
          </w:tcPr>
          <w:p w14:paraId="74DDE5E6" w14:textId="77777777" w:rsidR="00584EC1" w:rsidRDefault="00584EC1">
            <w:pPr>
              <w:rPr>
                <w:rFonts w:ascii="宋体"/>
                <w:vanish/>
              </w:rPr>
            </w:pPr>
          </w:p>
        </w:tc>
        <w:tc>
          <w:tcPr>
            <w:tcW w:w="0" w:type="auto"/>
            <w:gridSpan w:val="3"/>
            <w:shd w:val="clear" w:color="auto" w:fill="auto"/>
            <w:vAlign w:val="bottom"/>
          </w:tcPr>
          <w:p w14:paraId="74DDE5E7" w14:textId="77777777" w:rsidR="00584EC1" w:rsidRDefault="00584EC1">
            <w:pPr>
              <w:rPr>
                <w:rFonts w:ascii="宋体"/>
                <w:vanish/>
              </w:rPr>
            </w:pPr>
          </w:p>
        </w:tc>
        <w:tc>
          <w:tcPr>
            <w:tcW w:w="0" w:type="auto"/>
            <w:gridSpan w:val="3"/>
            <w:shd w:val="clear" w:color="auto" w:fill="auto"/>
            <w:vAlign w:val="bottom"/>
          </w:tcPr>
          <w:p w14:paraId="74DDE5E8" w14:textId="77777777" w:rsidR="00584EC1" w:rsidRDefault="00584EC1">
            <w:pPr>
              <w:rPr>
                <w:rFonts w:ascii="宋体"/>
                <w:vanish/>
              </w:rPr>
            </w:pPr>
          </w:p>
        </w:tc>
        <w:tc>
          <w:tcPr>
            <w:tcW w:w="0" w:type="auto"/>
            <w:shd w:val="clear" w:color="auto" w:fill="auto"/>
            <w:vAlign w:val="bottom"/>
          </w:tcPr>
          <w:p w14:paraId="74DDE5E9" w14:textId="77777777" w:rsidR="00584EC1" w:rsidRDefault="00584EC1">
            <w:pPr>
              <w:rPr>
                <w:rFonts w:ascii="宋体"/>
                <w:vanish/>
              </w:rPr>
            </w:pPr>
          </w:p>
        </w:tc>
        <w:tc>
          <w:tcPr>
            <w:tcW w:w="0" w:type="auto"/>
            <w:shd w:val="clear" w:color="auto" w:fill="auto"/>
            <w:vAlign w:val="bottom"/>
          </w:tcPr>
          <w:p w14:paraId="74DDE5EA" w14:textId="77777777" w:rsidR="00584EC1" w:rsidRDefault="00584EC1">
            <w:pPr>
              <w:rPr>
                <w:rFonts w:ascii="宋体"/>
                <w:vanish/>
              </w:rPr>
            </w:pPr>
          </w:p>
        </w:tc>
        <w:tc>
          <w:tcPr>
            <w:tcW w:w="0" w:type="auto"/>
            <w:gridSpan w:val="3"/>
            <w:shd w:val="clear" w:color="auto" w:fill="auto"/>
            <w:vAlign w:val="bottom"/>
          </w:tcPr>
          <w:p w14:paraId="74DDE5EB" w14:textId="77777777" w:rsidR="00584EC1" w:rsidRDefault="00584EC1">
            <w:pPr>
              <w:rPr>
                <w:rFonts w:ascii="宋体"/>
                <w:vanish/>
              </w:rPr>
            </w:pPr>
          </w:p>
        </w:tc>
        <w:tc>
          <w:tcPr>
            <w:tcW w:w="0" w:type="auto"/>
            <w:gridSpan w:val="3"/>
            <w:shd w:val="clear" w:color="auto" w:fill="auto"/>
            <w:vAlign w:val="bottom"/>
          </w:tcPr>
          <w:p w14:paraId="74DDE5EC" w14:textId="77777777" w:rsidR="00584EC1" w:rsidRDefault="00584EC1">
            <w:pPr>
              <w:rPr>
                <w:rFonts w:ascii="宋体"/>
                <w:vanish/>
              </w:rPr>
            </w:pPr>
          </w:p>
        </w:tc>
        <w:tc>
          <w:tcPr>
            <w:tcW w:w="0" w:type="auto"/>
            <w:gridSpan w:val="3"/>
            <w:shd w:val="clear" w:color="auto" w:fill="auto"/>
            <w:vAlign w:val="bottom"/>
          </w:tcPr>
          <w:p w14:paraId="74DDE5ED" w14:textId="77777777" w:rsidR="00584EC1" w:rsidRDefault="00584EC1">
            <w:pPr>
              <w:rPr>
                <w:rFonts w:ascii="宋体"/>
                <w:vanish/>
              </w:rPr>
            </w:pPr>
          </w:p>
        </w:tc>
        <w:tc>
          <w:tcPr>
            <w:tcW w:w="0" w:type="auto"/>
            <w:gridSpan w:val="3"/>
            <w:shd w:val="clear" w:color="auto" w:fill="auto"/>
            <w:vAlign w:val="bottom"/>
          </w:tcPr>
          <w:p w14:paraId="74DDE5EE" w14:textId="77777777" w:rsidR="00584EC1" w:rsidRDefault="00584EC1">
            <w:pPr>
              <w:rPr>
                <w:rFonts w:ascii="宋体"/>
                <w:vanish/>
              </w:rPr>
            </w:pPr>
          </w:p>
        </w:tc>
        <w:tc>
          <w:tcPr>
            <w:tcW w:w="0" w:type="auto"/>
            <w:gridSpan w:val="3"/>
            <w:shd w:val="clear" w:color="auto" w:fill="auto"/>
            <w:vAlign w:val="bottom"/>
          </w:tcPr>
          <w:p w14:paraId="74DDE5EF" w14:textId="77777777" w:rsidR="00584EC1" w:rsidRDefault="00584EC1">
            <w:pPr>
              <w:rPr>
                <w:rFonts w:ascii="宋体"/>
                <w:vanish/>
              </w:rPr>
            </w:pPr>
          </w:p>
        </w:tc>
      </w:tr>
      <w:tr w:rsidR="00584EC1" w14:paraId="74DDE613" w14:textId="77777777">
        <w:tc>
          <w:tcPr>
            <w:tcW w:w="0" w:type="auto"/>
            <w:gridSpan w:val="3"/>
            <w:shd w:val="clear" w:color="auto" w:fill="CCEEFF"/>
            <w:tcMar>
              <w:top w:w="40" w:type="dxa"/>
              <w:left w:w="20" w:type="dxa"/>
              <w:bottom w:w="40" w:type="dxa"/>
              <w:right w:w="20" w:type="dxa"/>
            </w:tcMar>
            <w:vAlign w:val="bottom"/>
          </w:tcPr>
          <w:p w14:paraId="74DDE5F1" w14:textId="77777777" w:rsidR="00584EC1" w:rsidRDefault="00871F8D">
            <w:pPr>
              <w:textAlignment w:val="bottom"/>
            </w:pPr>
            <w:r>
              <w:rPr>
                <w:rFonts w:ascii="Arial" w:eastAsia="宋体" w:hAnsi="Arial" w:cs="Arial"/>
                <w:color w:val="000000"/>
                <w:sz w:val="14"/>
                <w:szCs w:val="14"/>
              </w:rPr>
              <w:t>Total loans</w:t>
            </w:r>
          </w:p>
        </w:tc>
        <w:tc>
          <w:tcPr>
            <w:tcW w:w="0" w:type="auto"/>
            <w:shd w:val="clear" w:color="auto" w:fill="CCEEFF"/>
            <w:tcMar>
              <w:top w:w="40" w:type="dxa"/>
              <w:left w:w="20" w:type="dxa"/>
              <w:bottom w:w="40" w:type="dxa"/>
              <w:right w:w="0" w:type="dxa"/>
            </w:tcMar>
            <w:vAlign w:val="bottom"/>
          </w:tcPr>
          <w:p w14:paraId="74DDE5F2" w14:textId="77777777" w:rsidR="00584EC1" w:rsidRDefault="00871F8D">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4DDE5F3" w14:textId="77777777" w:rsidR="00584EC1" w:rsidRDefault="00871F8D">
            <w:pPr>
              <w:jc w:val="right"/>
              <w:textAlignment w:val="bottom"/>
            </w:pPr>
            <w:r>
              <w:rPr>
                <w:rFonts w:ascii="Arial" w:eastAsia="宋体" w:hAnsi="Arial" w:cs="Arial"/>
                <w:b/>
                <w:bCs/>
                <w:color w:val="000000"/>
                <w:sz w:val="14"/>
                <w:szCs w:val="14"/>
              </w:rPr>
              <w:t>8,199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E5F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5F5"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E5F6"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E5F7" w14:textId="77777777" w:rsidR="00584EC1" w:rsidRDefault="00871F8D">
            <w:pPr>
              <w:jc w:val="right"/>
              <w:textAlignment w:val="bottom"/>
            </w:pPr>
            <w:r>
              <w:rPr>
                <w:rFonts w:ascii="Arial" w:eastAsia="宋体" w:hAnsi="Arial" w:cs="Arial"/>
                <w:color w:val="000000"/>
                <w:sz w:val="14"/>
                <w:szCs w:val="14"/>
              </w:rPr>
              <w:t>867 </w:t>
            </w:r>
          </w:p>
        </w:tc>
        <w:tc>
          <w:tcPr>
            <w:tcW w:w="0" w:type="auto"/>
            <w:shd w:val="clear" w:color="auto" w:fill="CCEEFF"/>
            <w:tcMar>
              <w:top w:w="40" w:type="dxa"/>
              <w:left w:w="0" w:type="dxa"/>
              <w:bottom w:w="40" w:type="dxa"/>
              <w:right w:w="20" w:type="dxa"/>
            </w:tcMar>
            <w:vAlign w:val="bottom"/>
          </w:tcPr>
          <w:p w14:paraId="74DDE5F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5F9"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E5FA"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E5FB" w14:textId="77777777" w:rsidR="00584EC1" w:rsidRDefault="00871F8D">
            <w:pPr>
              <w:jc w:val="right"/>
              <w:textAlignment w:val="bottom"/>
            </w:pPr>
            <w:r>
              <w:rPr>
                <w:rFonts w:ascii="Arial" w:eastAsia="宋体" w:hAnsi="Arial" w:cs="Arial"/>
                <w:color w:val="000000"/>
                <w:sz w:val="14"/>
                <w:szCs w:val="14"/>
              </w:rPr>
              <w:t>2,079 </w:t>
            </w:r>
          </w:p>
        </w:tc>
        <w:tc>
          <w:tcPr>
            <w:tcW w:w="0" w:type="auto"/>
            <w:shd w:val="clear" w:color="auto" w:fill="CCEEFF"/>
            <w:tcMar>
              <w:top w:w="40" w:type="dxa"/>
              <w:left w:w="0" w:type="dxa"/>
              <w:bottom w:w="40" w:type="dxa"/>
              <w:right w:w="20" w:type="dxa"/>
            </w:tcMar>
            <w:vAlign w:val="bottom"/>
          </w:tcPr>
          <w:p w14:paraId="74DDE5F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5FD"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E5FE"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E5FF" w14:textId="77777777" w:rsidR="00584EC1" w:rsidRDefault="00871F8D">
            <w:pPr>
              <w:jc w:val="right"/>
              <w:textAlignment w:val="bottom"/>
            </w:pPr>
            <w:r>
              <w:rPr>
                <w:rFonts w:ascii="Arial" w:eastAsia="宋体" w:hAnsi="Arial" w:cs="Arial"/>
                <w:color w:val="000000"/>
                <w:sz w:val="14"/>
                <w:szCs w:val="14"/>
              </w:rPr>
              <w:t>1,598 </w:t>
            </w:r>
          </w:p>
        </w:tc>
        <w:tc>
          <w:tcPr>
            <w:tcW w:w="0" w:type="auto"/>
            <w:shd w:val="clear" w:color="auto" w:fill="CCEEFF"/>
            <w:tcMar>
              <w:top w:w="40" w:type="dxa"/>
              <w:left w:w="0" w:type="dxa"/>
              <w:bottom w:w="40" w:type="dxa"/>
              <w:right w:w="20" w:type="dxa"/>
            </w:tcMar>
            <w:vAlign w:val="bottom"/>
          </w:tcPr>
          <w:p w14:paraId="74DDE60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601"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E602"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E603" w14:textId="77777777" w:rsidR="00584EC1" w:rsidRDefault="00871F8D">
            <w:pPr>
              <w:jc w:val="right"/>
              <w:textAlignment w:val="bottom"/>
            </w:pPr>
            <w:r>
              <w:rPr>
                <w:rFonts w:ascii="Arial" w:eastAsia="宋体" w:hAnsi="Arial" w:cs="Arial"/>
                <w:color w:val="000000"/>
                <w:sz w:val="14"/>
                <w:szCs w:val="14"/>
              </w:rPr>
              <w:t>1,055 </w:t>
            </w:r>
          </w:p>
        </w:tc>
        <w:tc>
          <w:tcPr>
            <w:tcW w:w="0" w:type="auto"/>
            <w:shd w:val="clear" w:color="auto" w:fill="CCEEFF"/>
            <w:tcMar>
              <w:top w:w="40" w:type="dxa"/>
              <w:left w:w="0" w:type="dxa"/>
              <w:bottom w:w="40" w:type="dxa"/>
              <w:right w:w="20" w:type="dxa"/>
            </w:tcMar>
            <w:vAlign w:val="bottom"/>
          </w:tcPr>
          <w:p w14:paraId="74DDE60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605" w14:textId="77777777" w:rsidR="00584EC1" w:rsidRDefault="00584EC1">
            <w:pPr>
              <w:rPr>
                <w:rFonts w:ascii="宋体"/>
              </w:rPr>
            </w:pPr>
          </w:p>
        </w:tc>
        <w:tc>
          <w:tcPr>
            <w:tcW w:w="0" w:type="auto"/>
            <w:shd w:val="clear" w:color="auto" w:fill="auto"/>
            <w:vAlign w:val="bottom"/>
          </w:tcPr>
          <w:p w14:paraId="74DDE606" w14:textId="77777777" w:rsidR="00584EC1" w:rsidRDefault="00584EC1">
            <w:pPr>
              <w:rPr>
                <w:rFonts w:ascii="宋体"/>
                <w:vanish/>
              </w:rPr>
            </w:pPr>
          </w:p>
        </w:tc>
        <w:tc>
          <w:tcPr>
            <w:tcW w:w="0" w:type="auto"/>
            <w:shd w:val="clear" w:color="auto" w:fill="auto"/>
            <w:vAlign w:val="bottom"/>
          </w:tcPr>
          <w:p w14:paraId="74DDE607" w14:textId="77777777" w:rsidR="00584EC1" w:rsidRDefault="00584EC1">
            <w:pPr>
              <w:rPr>
                <w:rFonts w:ascii="宋体"/>
                <w:vanish/>
              </w:rPr>
            </w:pPr>
          </w:p>
        </w:tc>
        <w:tc>
          <w:tcPr>
            <w:tcW w:w="0" w:type="auto"/>
            <w:shd w:val="clear" w:color="auto" w:fill="CCEEFF"/>
            <w:tcMar>
              <w:top w:w="40" w:type="dxa"/>
              <w:left w:w="20" w:type="dxa"/>
              <w:bottom w:w="40" w:type="dxa"/>
              <w:right w:w="0" w:type="dxa"/>
            </w:tcMar>
            <w:vAlign w:val="bottom"/>
          </w:tcPr>
          <w:p w14:paraId="74DDE608"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E609" w14:textId="77777777" w:rsidR="00584EC1" w:rsidRDefault="00871F8D">
            <w:pPr>
              <w:jc w:val="right"/>
              <w:textAlignment w:val="bottom"/>
            </w:pPr>
            <w:r>
              <w:rPr>
                <w:rFonts w:ascii="Arial" w:eastAsia="宋体" w:hAnsi="Arial" w:cs="Arial"/>
                <w:color w:val="000000"/>
                <w:sz w:val="14"/>
                <w:szCs w:val="14"/>
              </w:rPr>
              <w:t>323 </w:t>
            </w:r>
          </w:p>
        </w:tc>
        <w:tc>
          <w:tcPr>
            <w:tcW w:w="0" w:type="auto"/>
            <w:shd w:val="clear" w:color="auto" w:fill="CCEEFF"/>
            <w:tcMar>
              <w:top w:w="40" w:type="dxa"/>
              <w:left w:w="0" w:type="dxa"/>
              <w:bottom w:w="40" w:type="dxa"/>
              <w:right w:w="20" w:type="dxa"/>
            </w:tcMar>
            <w:vAlign w:val="bottom"/>
          </w:tcPr>
          <w:p w14:paraId="74DDE60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60B"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E60C"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E60D" w14:textId="77777777" w:rsidR="00584EC1" w:rsidRDefault="00871F8D">
            <w:pPr>
              <w:jc w:val="right"/>
              <w:textAlignment w:val="bottom"/>
            </w:pPr>
            <w:r>
              <w:rPr>
                <w:rFonts w:ascii="Arial" w:eastAsia="宋体" w:hAnsi="Arial" w:cs="Arial"/>
                <w:color w:val="000000"/>
                <w:sz w:val="14"/>
                <w:szCs w:val="14"/>
              </w:rPr>
              <w:t>18,676 </w:t>
            </w:r>
          </w:p>
        </w:tc>
        <w:tc>
          <w:tcPr>
            <w:tcW w:w="0" w:type="auto"/>
            <w:shd w:val="clear" w:color="auto" w:fill="CCEEFF"/>
            <w:tcMar>
              <w:top w:w="40" w:type="dxa"/>
              <w:left w:w="0" w:type="dxa"/>
              <w:bottom w:w="40" w:type="dxa"/>
              <w:right w:w="20" w:type="dxa"/>
            </w:tcMar>
            <w:vAlign w:val="bottom"/>
          </w:tcPr>
          <w:p w14:paraId="74DDE60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60F"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E610"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E611" w14:textId="77777777" w:rsidR="00584EC1" w:rsidRDefault="00871F8D">
            <w:pPr>
              <w:jc w:val="right"/>
              <w:textAlignment w:val="bottom"/>
            </w:pPr>
            <w:r>
              <w:rPr>
                <w:rFonts w:ascii="Arial" w:eastAsia="宋体" w:hAnsi="Arial" w:cs="Arial"/>
                <w:color w:val="000000"/>
                <w:sz w:val="14"/>
                <w:szCs w:val="14"/>
              </w:rPr>
              <w:t>32,797 </w:t>
            </w:r>
          </w:p>
        </w:tc>
        <w:tc>
          <w:tcPr>
            <w:tcW w:w="0" w:type="auto"/>
            <w:shd w:val="clear" w:color="auto" w:fill="CCEEFF"/>
            <w:tcMar>
              <w:top w:w="40" w:type="dxa"/>
              <w:left w:w="0" w:type="dxa"/>
              <w:bottom w:w="40" w:type="dxa"/>
              <w:right w:w="20" w:type="dxa"/>
            </w:tcMar>
            <w:vAlign w:val="bottom"/>
          </w:tcPr>
          <w:p w14:paraId="74DDE612" w14:textId="77777777" w:rsidR="00584EC1" w:rsidRDefault="00584EC1">
            <w:pPr>
              <w:jc w:val="right"/>
              <w:rPr>
                <w:rFonts w:ascii="宋体"/>
              </w:rPr>
            </w:pPr>
          </w:p>
        </w:tc>
      </w:tr>
      <w:tr w:rsidR="00584EC1" w14:paraId="74DDE626" w14:textId="77777777">
        <w:trPr>
          <w:hidden/>
        </w:trPr>
        <w:tc>
          <w:tcPr>
            <w:tcW w:w="0" w:type="auto"/>
            <w:gridSpan w:val="3"/>
            <w:shd w:val="clear" w:color="auto" w:fill="auto"/>
            <w:vAlign w:val="bottom"/>
          </w:tcPr>
          <w:p w14:paraId="74DDE614" w14:textId="77777777" w:rsidR="00584EC1" w:rsidRDefault="00584EC1">
            <w:pPr>
              <w:rPr>
                <w:rFonts w:ascii="宋体"/>
                <w:vanish/>
              </w:rPr>
            </w:pPr>
          </w:p>
        </w:tc>
        <w:tc>
          <w:tcPr>
            <w:tcW w:w="0" w:type="auto"/>
            <w:gridSpan w:val="3"/>
            <w:shd w:val="clear" w:color="auto" w:fill="auto"/>
            <w:vAlign w:val="bottom"/>
          </w:tcPr>
          <w:p w14:paraId="74DDE615" w14:textId="77777777" w:rsidR="00584EC1" w:rsidRDefault="00584EC1">
            <w:pPr>
              <w:rPr>
                <w:rFonts w:ascii="宋体"/>
                <w:vanish/>
              </w:rPr>
            </w:pPr>
          </w:p>
        </w:tc>
        <w:tc>
          <w:tcPr>
            <w:tcW w:w="0" w:type="auto"/>
            <w:gridSpan w:val="3"/>
            <w:shd w:val="clear" w:color="auto" w:fill="auto"/>
            <w:vAlign w:val="bottom"/>
          </w:tcPr>
          <w:p w14:paraId="74DDE616" w14:textId="77777777" w:rsidR="00584EC1" w:rsidRDefault="00584EC1">
            <w:pPr>
              <w:rPr>
                <w:rFonts w:ascii="宋体"/>
                <w:vanish/>
              </w:rPr>
            </w:pPr>
          </w:p>
        </w:tc>
        <w:tc>
          <w:tcPr>
            <w:tcW w:w="0" w:type="auto"/>
            <w:gridSpan w:val="3"/>
            <w:shd w:val="clear" w:color="auto" w:fill="auto"/>
            <w:vAlign w:val="bottom"/>
          </w:tcPr>
          <w:p w14:paraId="74DDE617" w14:textId="77777777" w:rsidR="00584EC1" w:rsidRDefault="00584EC1">
            <w:pPr>
              <w:rPr>
                <w:rFonts w:ascii="宋体"/>
                <w:vanish/>
              </w:rPr>
            </w:pPr>
          </w:p>
        </w:tc>
        <w:tc>
          <w:tcPr>
            <w:tcW w:w="0" w:type="auto"/>
            <w:gridSpan w:val="3"/>
            <w:shd w:val="clear" w:color="auto" w:fill="auto"/>
            <w:vAlign w:val="bottom"/>
          </w:tcPr>
          <w:p w14:paraId="74DDE618" w14:textId="77777777" w:rsidR="00584EC1" w:rsidRDefault="00584EC1">
            <w:pPr>
              <w:rPr>
                <w:rFonts w:ascii="宋体"/>
                <w:vanish/>
              </w:rPr>
            </w:pPr>
          </w:p>
        </w:tc>
        <w:tc>
          <w:tcPr>
            <w:tcW w:w="0" w:type="auto"/>
            <w:gridSpan w:val="3"/>
            <w:shd w:val="clear" w:color="auto" w:fill="auto"/>
            <w:vAlign w:val="bottom"/>
          </w:tcPr>
          <w:p w14:paraId="74DDE619" w14:textId="77777777" w:rsidR="00584EC1" w:rsidRDefault="00584EC1">
            <w:pPr>
              <w:rPr>
                <w:rFonts w:ascii="宋体"/>
                <w:vanish/>
              </w:rPr>
            </w:pPr>
          </w:p>
        </w:tc>
        <w:tc>
          <w:tcPr>
            <w:tcW w:w="0" w:type="auto"/>
            <w:gridSpan w:val="3"/>
            <w:shd w:val="clear" w:color="auto" w:fill="auto"/>
            <w:vAlign w:val="bottom"/>
          </w:tcPr>
          <w:p w14:paraId="74DDE61A" w14:textId="77777777" w:rsidR="00584EC1" w:rsidRDefault="00584EC1">
            <w:pPr>
              <w:rPr>
                <w:rFonts w:ascii="宋体"/>
                <w:vanish/>
              </w:rPr>
            </w:pPr>
          </w:p>
        </w:tc>
        <w:tc>
          <w:tcPr>
            <w:tcW w:w="0" w:type="auto"/>
            <w:gridSpan w:val="3"/>
            <w:shd w:val="clear" w:color="auto" w:fill="auto"/>
            <w:vAlign w:val="bottom"/>
          </w:tcPr>
          <w:p w14:paraId="74DDE61B" w14:textId="77777777" w:rsidR="00584EC1" w:rsidRDefault="00584EC1">
            <w:pPr>
              <w:rPr>
                <w:rFonts w:ascii="宋体"/>
                <w:vanish/>
              </w:rPr>
            </w:pPr>
          </w:p>
        </w:tc>
        <w:tc>
          <w:tcPr>
            <w:tcW w:w="0" w:type="auto"/>
            <w:gridSpan w:val="3"/>
            <w:shd w:val="clear" w:color="auto" w:fill="auto"/>
            <w:vAlign w:val="bottom"/>
          </w:tcPr>
          <w:p w14:paraId="74DDE61C" w14:textId="77777777" w:rsidR="00584EC1" w:rsidRDefault="00584EC1">
            <w:pPr>
              <w:rPr>
                <w:rFonts w:ascii="宋体"/>
                <w:vanish/>
              </w:rPr>
            </w:pPr>
          </w:p>
        </w:tc>
        <w:tc>
          <w:tcPr>
            <w:tcW w:w="0" w:type="auto"/>
            <w:gridSpan w:val="3"/>
            <w:shd w:val="clear" w:color="auto" w:fill="auto"/>
            <w:vAlign w:val="bottom"/>
          </w:tcPr>
          <w:p w14:paraId="74DDE61D" w14:textId="77777777" w:rsidR="00584EC1" w:rsidRDefault="00584EC1">
            <w:pPr>
              <w:rPr>
                <w:rFonts w:ascii="宋体"/>
                <w:vanish/>
              </w:rPr>
            </w:pPr>
          </w:p>
        </w:tc>
        <w:tc>
          <w:tcPr>
            <w:tcW w:w="0" w:type="auto"/>
            <w:gridSpan w:val="3"/>
            <w:shd w:val="clear" w:color="auto" w:fill="auto"/>
            <w:vAlign w:val="bottom"/>
          </w:tcPr>
          <w:p w14:paraId="74DDE61E" w14:textId="77777777" w:rsidR="00584EC1" w:rsidRDefault="00584EC1">
            <w:pPr>
              <w:rPr>
                <w:rFonts w:ascii="宋体"/>
                <w:vanish/>
              </w:rPr>
            </w:pPr>
          </w:p>
        </w:tc>
        <w:tc>
          <w:tcPr>
            <w:tcW w:w="0" w:type="auto"/>
            <w:shd w:val="clear" w:color="auto" w:fill="auto"/>
            <w:vAlign w:val="bottom"/>
          </w:tcPr>
          <w:p w14:paraId="74DDE61F" w14:textId="77777777" w:rsidR="00584EC1" w:rsidRDefault="00584EC1">
            <w:pPr>
              <w:rPr>
                <w:rFonts w:ascii="宋体"/>
                <w:vanish/>
              </w:rPr>
            </w:pPr>
          </w:p>
        </w:tc>
        <w:tc>
          <w:tcPr>
            <w:tcW w:w="0" w:type="auto"/>
            <w:shd w:val="clear" w:color="auto" w:fill="auto"/>
            <w:vAlign w:val="bottom"/>
          </w:tcPr>
          <w:p w14:paraId="74DDE620" w14:textId="77777777" w:rsidR="00584EC1" w:rsidRDefault="00584EC1">
            <w:pPr>
              <w:rPr>
                <w:rFonts w:ascii="宋体"/>
                <w:vanish/>
              </w:rPr>
            </w:pPr>
          </w:p>
        </w:tc>
        <w:tc>
          <w:tcPr>
            <w:tcW w:w="0" w:type="auto"/>
            <w:gridSpan w:val="3"/>
            <w:shd w:val="clear" w:color="auto" w:fill="auto"/>
            <w:vAlign w:val="bottom"/>
          </w:tcPr>
          <w:p w14:paraId="74DDE621" w14:textId="77777777" w:rsidR="00584EC1" w:rsidRDefault="00584EC1">
            <w:pPr>
              <w:rPr>
                <w:rFonts w:ascii="宋体"/>
                <w:vanish/>
              </w:rPr>
            </w:pPr>
          </w:p>
        </w:tc>
        <w:tc>
          <w:tcPr>
            <w:tcW w:w="0" w:type="auto"/>
            <w:gridSpan w:val="3"/>
            <w:shd w:val="clear" w:color="auto" w:fill="auto"/>
            <w:vAlign w:val="bottom"/>
          </w:tcPr>
          <w:p w14:paraId="74DDE622" w14:textId="77777777" w:rsidR="00584EC1" w:rsidRDefault="00584EC1">
            <w:pPr>
              <w:rPr>
                <w:rFonts w:ascii="宋体"/>
                <w:vanish/>
              </w:rPr>
            </w:pPr>
          </w:p>
        </w:tc>
        <w:tc>
          <w:tcPr>
            <w:tcW w:w="0" w:type="auto"/>
            <w:gridSpan w:val="3"/>
            <w:shd w:val="clear" w:color="auto" w:fill="auto"/>
            <w:vAlign w:val="bottom"/>
          </w:tcPr>
          <w:p w14:paraId="74DDE623" w14:textId="77777777" w:rsidR="00584EC1" w:rsidRDefault="00584EC1">
            <w:pPr>
              <w:rPr>
                <w:rFonts w:ascii="宋体"/>
                <w:vanish/>
              </w:rPr>
            </w:pPr>
          </w:p>
        </w:tc>
        <w:tc>
          <w:tcPr>
            <w:tcW w:w="0" w:type="auto"/>
            <w:gridSpan w:val="3"/>
            <w:shd w:val="clear" w:color="auto" w:fill="auto"/>
            <w:vAlign w:val="bottom"/>
          </w:tcPr>
          <w:p w14:paraId="74DDE624" w14:textId="77777777" w:rsidR="00584EC1" w:rsidRDefault="00584EC1">
            <w:pPr>
              <w:rPr>
                <w:rFonts w:ascii="宋体"/>
                <w:vanish/>
              </w:rPr>
            </w:pPr>
          </w:p>
        </w:tc>
        <w:tc>
          <w:tcPr>
            <w:tcW w:w="0" w:type="auto"/>
            <w:gridSpan w:val="3"/>
            <w:shd w:val="clear" w:color="auto" w:fill="auto"/>
            <w:vAlign w:val="bottom"/>
          </w:tcPr>
          <w:p w14:paraId="74DDE625" w14:textId="77777777" w:rsidR="00584EC1" w:rsidRDefault="00584EC1">
            <w:pPr>
              <w:rPr>
                <w:rFonts w:ascii="宋体"/>
                <w:vanish/>
              </w:rPr>
            </w:pPr>
          </w:p>
        </w:tc>
      </w:tr>
      <w:tr w:rsidR="00584EC1" w14:paraId="74DDE639" w14:textId="77777777">
        <w:trPr>
          <w:hidden/>
        </w:trPr>
        <w:tc>
          <w:tcPr>
            <w:tcW w:w="0" w:type="auto"/>
            <w:gridSpan w:val="3"/>
            <w:shd w:val="clear" w:color="auto" w:fill="auto"/>
            <w:vAlign w:val="bottom"/>
          </w:tcPr>
          <w:p w14:paraId="74DDE627" w14:textId="77777777" w:rsidR="00584EC1" w:rsidRDefault="00584EC1">
            <w:pPr>
              <w:rPr>
                <w:rFonts w:ascii="宋体"/>
                <w:vanish/>
              </w:rPr>
            </w:pPr>
          </w:p>
        </w:tc>
        <w:tc>
          <w:tcPr>
            <w:tcW w:w="0" w:type="auto"/>
            <w:gridSpan w:val="3"/>
            <w:shd w:val="clear" w:color="auto" w:fill="auto"/>
            <w:vAlign w:val="bottom"/>
          </w:tcPr>
          <w:p w14:paraId="74DDE628" w14:textId="77777777" w:rsidR="00584EC1" w:rsidRDefault="00584EC1">
            <w:pPr>
              <w:rPr>
                <w:rFonts w:ascii="宋体"/>
                <w:vanish/>
              </w:rPr>
            </w:pPr>
          </w:p>
        </w:tc>
        <w:tc>
          <w:tcPr>
            <w:tcW w:w="0" w:type="auto"/>
            <w:gridSpan w:val="3"/>
            <w:shd w:val="clear" w:color="auto" w:fill="auto"/>
            <w:vAlign w:val="bottom"/>
          </w:tcPr>
          <w:p w14:paraId="74DDE629" w14:textId="77777777" w:rsidR="00584EC1" w:rsidRDefault="00584EC1">
            <w:pPr>
              <w:rPr>
                <w:rFonts w:ascii="宋体"/>
                <w:vanish/>
              </w:rPr>
            </w:pPr>
          </w:p>
        </w:tc>
        <w:tc>
          <w:tcPr>
            <w:tcW w:w="0" w:type="auto"/>
            <w:gridSpan w:val="3"/>
            <w:shd w:val="clear" w:color="auto" w:fill="auto"/>
            <w:vAlign w:val="bottom"/>
          </w:tcPr>
          <w:p w14:paraId="74DDE62A" w14:textId="77777777" w:rsidR="00584EC1" w:rsidRDefault="00584EC1">
            <w:pPr>
              <w:rPr>
                <w:rFonts w:ascii="宋体"/>
                <w:vanish/>
              </w:rPr>
            </w:pPr>
          </w:p>
        </w:tc>
        <w:tc>
          <w:tcPr>
            <w:tcW w:w="0" w:type="auto"/>
            <w:gridSpan w:val="3"/>
            <w:shd w:val="clear" w:color="auto" w:fill="auto"/>
            <w:vAlign w:val="bottom"/>
          </w:tcPr>
          <w:p w14:paraId="74DDE62B" w14:textId="77777777" w:rsidR="00584EC1" w:rsidRDefault="00584EC1">
            <w:pPr>
              <w:rPr>
                <w:rFonts w:ascii="宋体"/>
                <w:vanish/>
              </w:rPr>
            </w:pPr>
          </w:p>
        </w:tc>
        <w:tc>
          <w:tcPr>
            <w:tcW w:w="0" w:type="auto"/>
            <w:gridSpan w:val="3"/>
            <w:shd w:val="clear" w:color="auto" w:fill="auto"/>
            <w:vAlign w:val="bottom"/>
          </w:tcPr>
          <w:p w14:paraId="74DDE62C" w14:textId="77777777" w:rsidR="00584EC1" w:rsidRDefault="00584EC1">
            <w:pPr>
              <w:rPr>
                <w:rFonts w:ascii="宋体"/>
                <w:vanish/>
              </w:rPr>
            </w:pPr>
          </w:p>
        </w:tc>
        <w:tc>
          <w:tcPr>
            <w:tcW w:w="0" w:type="auto"/>
            <w:gridSpan w:val="3"/>
            <w:shd w:val="clear" w:color="auto" w:fill="auto"/>
            <w:vAlign w:val="bottom"/>
          </w:tcPr>
          <w:p w14:paraId="74DDE62D" w14:textId="77777777" w:rsidR="00584EC1" w:rsidRDefault="00584EC1">
            <w:pPr>
              <w:rPr>
                <w:rFonts w:ascii="宋体"/>
                <w:vanish/>
              </w:rPr>
            </w:pPr>
          </w:p>
        </w:tc>
        <w:tc>
          <w:tcPr>
            <w:tcW w:w="0" w:type="auto"/>
            <w:gridSpan w:val="3"/>
            <w:shd w:val="clear" w:color="auto" w:fill="auto"/>
            <w:vAlign w:val="bottom"/>
          </w:tcPr>
          <w:p w14:paraId="74DDE62E" w14:textId="77777777" w:rsidR="00584EC1" w:rsidRDefault="00584EC1">
            <w:pPr>
              <w:rPr>
                <w:rFonts w:ascii="宋体"/>
                <w:vanish/>
              </w:rPr>
            </w:pPr>
          </w:p>
        </w:tc>
        <w:tc>
          <w:tcPr>
            <w:tcW w:w="0" w:type="auto"/>
            <w:gridSpan w:val="3"/>
            <w:shd w:val="clear" w:color="auto" w:fill="auto"/>
            <w:vAlign w:val="bottom"/>
          </w:tcPr>
          <w:p w14:paraId="74DDE62F" w14:textId="77777777" w:rsidR="00584EC1" w:rsidRDefault="00584EC1">
            <w:pPr>
              <w:rPr>
                <w:rFonts w:ascii="宋体"/>
                <w:vanish/>
              </w:rPr>
            </w:pPr>
          </w:p>
        </w:tc>
        <w:tc>
          <w:tcPr>
            <w:tcW w:w="0" w:type="auto"/>
            <w:gridSpan w:val="3"/>
            <w:shd w:val="clear" w:color="auto" w:fill="auto"/>
            <w:vAlign w:val="bottom"/>
          </w:tcPr>
          <w:p w14:paraId="74DDE630" w14:textId="77777777" w:rsidR="00584EC1" w:rsidRDefault="00584EC1">
            <w:pPr>
              <w:rPr>
                <w:rFonts w:ascii="宋体"/>
                <w:vanish/>
              </w:rPr>
            </w:pPr>
          </w:p>
        </w:tc>
        <w:tc>
          <w:tcPr>
            <w:tcW w:w="0" w:type="auto"/>
            <w:gridSpan w:val="3"/>
            <w:shd w:val="clear" w:color="auto" w:fill="auto"/>
            <w:vAlign w:val="bottom"/>
          </w:tcPr>
          <w:p w14:paraId="74DDE631" w14:textId="77777777" w:rsidR="00584EC1" w:rsidRDefault="00584EC1">
            <w:pPr>
              <w:rPr>
                <w:rFonts w:ascii="宋体"/>
                <w:vanish/>
              </w:rPr>
            </w:pPr>
          </w:p>
        </w:tc>
        <w:tc>
          <w:tcPr>
            <w:tcW w:w="0" w:type="auto"/>
            <w:shd w:val="clear" w:color="auto" w:fill="auto"/>
            <w:vAlign w:val="bottom"/>
          </w:tcPr>
          <w:p w14:paraId="74DDE632" w14:textId="77777777" w:rsidR="00584EC1" w:rsidRDefault="00584EC1">
            <w:pPr>
              <w:rPr>
                <w:rFonts w:ascii="宋体"/>
                <w:vanish/>
              </w:rPr>
            </w:pPr>
          </w:p>
        </w:tc>
        <w:tc>
          <w:tcPr>
            <w:tcW w:w="0" w:type="auto"/>
            <w:shd w:val="clear" w:color="auto" w:fill="auto"/>
            <w:vAlign w:val="bottom"/>
          </w:tcPr>
          <w:p w14:paraId="74DDE633" w14:textId="77777777" w:rsidR="00584EC1" w:rsidRDefault="00584EC1">
            <w:pPr>
              <w:rPr>
                <w:rFonts w:ascii="宋体"/>
                <w:vanish/>
              </w:rPr>
            </w:pPr>
          </w:p>
        </w:tc>
        <w:tc>
          <w:tcPr>
            <w:tcW w:w="0" w:type="auto"/>
            <w:gridSpan w:val="3"/>
            <w:shd w:val="clear" w:color="auto" w:fill="auto"/>
            <w:vAlign w:val="bottom"/>
          </w:tcPr>
          <w:p w14:paraId="74DDE634" w14:textId="77777777" w:rsidR="00584EC1" w:rsidRDefault="00584EC1">
            <w:pPr>
              <w:rPr>
                <w:rFonts w:ascii="宋体"/>
                <w:vanish/>
              </w:rPr>
            </w:pPr>
          </w:p>
        </w:tc>
        <w:tc>
          <w:tcPr>
            <w:tcW w:w="0" w:type="auto"/>
            <w:gridSpan w:val="3"/>
            <w:shd w:val="clear" w:color="auto" w:fill="auto"/>
            <w:vAlign w:val="bottom"/>
          </w:tcPr>
          <w:p w14:paraId="74DDE635" w14:textId="77777777" w:rsidR="00584EC1" w:rsidRDefault="00584EC1">
            <w:pPr>
              <w:rPr>
                <w:rFonts w:ascii="宋体"/>
                <w:vanish/>
              </w:rPr>
            </w:pPr>
          </w:p>
        </w:tc>
        <w:tc>
          <w:tcPr>
            <w:tcW w:w="0" w:type="auto"/>
            <w:gridSpan w:val="3"/>
            <w:shd w:val="clear" w:color="auto" w:fill="auto"/>
            <w:vAlign w:val="bottom"/>
          </w:tcPr>
          <w:p w14:paraId="74DDE636" w14:textId="77777777" w:rsidR="00584EC1" w:rsidRDefault="00584EC1">
            <w:pPr>
              <w:rPr>
                <w:rFonts w:ascii="宋体"/>
                <w:vanish/>
              </w:rPr>
            </w:pPr>
          </w:p>
        </w:tc>
        <w:tc>
          <w:tcPr>
            <w:tcW w:w="0" w:type="auto"/>
            <w:gridSpan w:val="3"/>
            <w:shd w:val="clear" w:color="auto" w:fill="auto"/>
            <w:vAlign w:val="bottom"/>
          </w:tcPr>
          <w:p w14:paraId="74DDE637" w14:textId="77777777" w:rsidR="00584EC1" w:rsidRDefault="00584EC1">
            <w:pPr>
              <w:rPr>
                <w:rFonts w:ascii="宋体"/>
                <w:vanish/>
              </w:rPr>
            </w:pPr>
          </w:p>
        </w:tc>
        <w:tc>
          <w:tcPr>
            <w:tcW w:w="0" w:type="auto"/>
            <w:gridSpan w:val="3"/>
            <w:shd w:val="clear" w:color="auto" w:fill="auto"/>
            <w:vAlign w:val="bottom"/>
          </w:tcPr>
          <w:p w14:paraId="74DDE638" w14:textId="77777777" w:rsidR="00584EC1" w:rsidRDefault="00584EC1">
            <w:pPr>
              <w:rPr>
                <w:rFonts w:ascii="宋体"/>
                <w:vanish/>
              </w:rPr>
            </w:pPr>
          </w:p>
        </w:tc>
      </w:tr>
      <w:tr w:rsidR="00584EC1" w14:paraId="74DDE64C" w14:textId="77777777">
        <w:trPr>
          <w:hidden/>
        </w:trPr>
        <w:tc>
          <w:tcPr>
            <w:tcW w:w="0" w:type="auto"/>
            <w:gridSpan w:val="3"/>
            <w:shd w:val="clear" w:color="auto" w:fill="auto"/>
            <w:vAlign w:val="bottom"/>
          </w:tcPr>
          <w:p w14:paraId="74DDE63A" w14:textId="77777777" w:rsidR="00584EC1" w:rsidRDefault="00584EC1">
            <w:pPr>
              <w:rPr>
                <w:rFonts w:ascii="宋体"/>
                <w:vanish/>
              </w:rPr>
            </w:pPr>
          </w:p>
        </w:tc>
        <w:tc>
          <w:tcPr>
            <w:tcW w:w="0" w:type="auto"/>
            <w:gridSpan w:val="3"/>
            <w:shd w:val="clear" w:color="auto" w:fill="auto"/>
            <w:vAlign w:val="bottom"/>
          </w:tcPr>
          <w:p w14:paraId="74DDE63B" w14:textId="77777777" w:rsidR="00584EC1" w:rsidRDefault="00584EC1">
            <w:pPr>
              <w:rPr>
                <w:rFonts w:ascii="宋体"/>
                <w:vanish/>
              </w:rPr>
            </w:pPr>
          </w:p>
        </w:tc>
        <w:tc>
          <w:tcPr>
            <w:tcW w:w="0" w:type="auto"/>
            <w:gridSpan w:val="3"/>
            <w:shd w:val="clear" w:color="auto" w:fill="auto"/>
            <w:vAlign w:val="bottom"/>
          </w:tcPr>
          <w:p w14:paraId="74DDE63C" w14:textId="77777777" w:rsidR="00584EC1" w:rsidRDefault="00584EC1">
            <w:pPr>
              <w:rPr>
                <w:rFonts w:ascii="宋体"/>
                <w:vanish/>
              </w:rPr>
            </w:pPr>
          </w:p>
        </w:tc>
        <w:tc>
          <w:tcPr>
            <w:tcW w:w="0" w:type="auto"/>
            <w:gridSpan w:val="3"/>
            <w:shd w:val="clear" w:color="auto" w:fill="auto"/>
            <w:vAlign w:val="bottom"/>
          </w:tcPr>
          <w:p w14:paraId="74DDE63D" w14:textId="77777777" w:rsidR="00584EC1" w:rsidRDefault="00584EC1">
            <w:pPr>
              <w:rPr>
                <w:rFonts w:ascii="宋体"/>
                <w:vanish/>
              </w:rPr>
            </w:pPr>
          </w:p>
        </w:tc>
        <w:tc>
          <w:tcPr>
            <w:tcW w:w="0" w:type="auto"/>
            <w:gridSpan w:val="3"/>
            <w:shd w:val="clear" w:color="auto" w:fill="auto"/>
            <w:vAlign w:val="bottom"/>
          </w:tcPr>
          <w:p w14:paraId="74DDE63E" w14:textId="77777777" w:rsidR="00584EC1" w:rsidRDefault="00584EC1">
            <w:pPr>
              <w:rPr>
                <w:rFonts w:ascii="宋体"/>
                <w:vanish/>
              </w:rPr>
            </w:pPr>
          </w:p>
        </w:tc>
        <w:tc>
          <w:tcPr>
            <w:tcW w:w="0" w:type="auto"/>
            <w:gridSpan w:val="3"/>
            <w:shd w:val="clear" w:color="auto" w:fill="auto"/>
            <w:vAlign w:val="bottom"/>
          </w:tcPr>
          <w:p w14:paraId="74DDE63F" w14:textId="77777777" w:rsidR="00584EC1" w:rsidRDefault="00584EC1">
            <w:pPr>
              <w:rPr>
                <w:rFonts w:ascii="宋体"/>
                <w:vanish/>
              </w:rPr>
            </w:pPr>
          </w:p>
        </w:tc>
        <w:tc>
          <w:tcPr>
            <w:tcW w:w="0" w:type="auto"/>
            <w:gridSpan w:val="3"/>
            <w:shd w:val="clear" w:color="auto" w:fill="auto"/>
            <w:vAlign w:val="bottom"/>
          </w:tcPr>
          <w:p w14:paraId="74DDE640" w14:textId="77777777" w:rsidR="00584EC1" w:rsidRDefault="00584EC1">
            <w:pPr>
              <w:rPr>
                <w:rFonts w:ascii="宋体"/>
                <w:vanish/>
              </w:rPr>
            </w:pPr>
          </w:p>
        </w:tc>
        <w:tc>
          <w:tcPr>
            <w:tcW w:w="0" w:type="auto"/>
            <w:gridSpan w:val="3"/>
            <w:shd w:val="clear" w:color="auto" w:fill="auto"/>
            <w:vAlign w:val="bottom"/>
          </w:tcPr>
          <w:p w14:paraId="74DDE641" w14:textId="77777777" w:rsidR="00584EC1" w:rsidRDefault="00584EC1">
            <w:pPr>
              <w:rPr>
                <w:rFonts w:ascii="宋体"/>
                <w:vanish/>
              </w:rPr>
            </w:pPr>
          </w:p>
        </w:tc>
        <w:tc>
          <w:tcPr>
            <w:tcW w:w="0" w:type="auto"/>
            <w:gridSpan w:val="3"/>
            <w:shd w:val="clear" w:color="auto" w:fill="auto"/>
            <w:vAlign w:val="bottom"/>
          </w:tcPr>
          <w:p w14:paraId="74DDE642" w14:textId="77777777" w:rsidR="00584EC1" w:rsidRDefault="00584EC1">
            <w:pPr>
              <w:rPr>
                <w:rFonts w:ascii="宋体"/>
                <w:vanish/>
              </w:rPr>
            </w:pPr>
          </w:p>
        </w:tc>
        <w:tc>
          <w:tcPr>
            <w:tcW w:w="0" w:type="auto"/>
            <w:gridSpan w:val="3"/>
            <w:shd w:val="clear" w:color="auto" w:fill="auto"/>
            <w:vAlign w:val="bottom"/>
          </w:tcPr>
          <w:p w14:paraId="74DDE643" w14:textId="77777777" w:rsidR="00584EC1" w:rsidRDefault="00584EC1">
            <w:pPr>
              <w:rPr>
                <w:rFonts w:ascii="宋体"/>
                <w:vanish/>
              </w:rPr>
            </w:pPr>
          </w:p>
        </w:tc>
        <w:tc>
          <w:tcPr>
            <w:tcW w:w="0" w:type="auto"/>
            <w:gridSpan w:val="3"/>
            <w:shd w:val="clear" w:color="auto" w:fill="auto"/>
            <w:vAlign w:val="bottom"/>
          </w:tcPr>
          <w:p w14:paraId="74DDE644" w14:textId="77777777" w:rsidR="00584EC1" w:rsidRDefault="00584EC1">
            <w:pPr>
              <w:rPr>
                <w:rFonts w:ascii="宋体"/>
                <w:vanish/>
              </w:rPr>
            </w:pPr>
          </w:p>
        </w:tc>
        <w:tc>
          <w:tcPr>
            <w:tcW w:w="0" w:type="auto"/>
            <w:shd w:val="clear" w:color="auto" w:fill="auto"/>
            <w:vAlign w:val="bottom"/>
          </w:tcPr>
          <w:p w14:paraId="74DDE645" w14:textId="77777777" w:rsidR="00584EC1" w:rsidRDefault="00584EC1">
            <w:pPr>
              <w:rPr>
                <w:rFonts w:ascii="宋体"/>
                <w:vanish/>
              </w:rPr>
            </w:pPr>
          </w:p>
        </w:tc>
        <w:tc>
          <w:tcPr>
            <w:tcW w:w="0" w:type="auto"/>
            <w:shd w:val="clear" w:color="auto" w:fill="auto"/>
            <w:vAlign w:val="bottom"/>
          </w:tcPr>
          <w:p w14:paraId="74DDE646" w14:textId="77777777" w:rsidR="00584EC1" w:rsidRDefault="00584EC1">
            <w:pPr>
              <w:rPr>
                <w:rFonts w:ascii="宋体"/>
                <w:vanish/>
              </w:rPr>
            </w:pPr>
          </w:p>
        </w:tc>
        <w:tc>
          <w:tcPr>
            <w:tcW w:w="0" w:type="auto"/>
            <w:gridSpan w:val="3"/>
            <w:shd w:val="clear" w:color="auto" w:fill="auto"/>
            <w:vAlign w:val="bottom"/>
          </w:tcPr>
          <w:p w14:paraId="74DDE647" w14:textId="77777777" w:rsidR="00584EC1" w:rsidRDefault="00584EC1">
            <w:pPr>
              <w:rPr>
                <w:rFonts w:ascii="宋体"/>
                <w:vanish/>
              </w:rPr>
            </w:pPr>
          </w:p>
        </w:tc>
        <w:tc>
          <w:tcPr>
            <w:tcW w:w="0" w:type="auto"/>
            <w:gridSpan w:val="3"/>
            <w:shd w:val="clear" w:color="auto" w:fill="auto"/>
            <w:vAlign w:val="bottom"/>
          </w:tcPr>
          <w:p w14:paraId="74DDE648" w14:textId="77777777" w:rsidR="00584EC1" w:rsidRDefault="00584EC1">
            <w:pPr>
              <w:rPr>
                <w:rFonts w:ascii="宋体"/>
                <w:vanish/>
              </w:rPr>
            </w:pPr>
          </w:p>
        </w:tc>
        <w:tc>
          <w:tcPr>
            <w:tcW w:w="0" w:type="auto"/>
            <w:gridSpan w:val="3"/>
            <w:shd w:val="clear" w:color="auto" w:fill="auto"/>
            <w:vAlign w:val="bottom"/>
          </w:tcPr>
          <w:p w14:paraId="74DDE649" w14:textId="77777777" w:rsidR="00584EC1" w:rsidRDefault="00584EC1">
            <w:pPr>
              <w:rPr>
                <w:rFonts w:ascii="宋体"/>
                <w:vanish/>
              </w:rPr>
            </w:pPr>
          </w:p>
        </w:tc>
        <w:tc>
          <w:tcPr>
            <w:tcW w:w="0" w:type="auto"/>
            <w:gridSpan w:val="3"/>
            <w:shd w:val="clear" w:color="auto" w:fill="auto"/>
            <w:vAlign w:val="bottom"/>
          </w:tcPr>
          <w:p w14:paraId="74DDE64A" w14:textId="77777777" w:rsidR="00584EC1" w:rsidRDefault="00584EC1">
            <w:pPr>
              <w:rPr>
                <w:rFonts w:ascii="宋体"/>
                <w:vanish/>
              </w:rPr>
            </w:pPr>
          </w:p>
        </w:tc>
        <w:tc>
          <w:tcPr>
            <w:tcW w:w="0" w:type="auto"/>
            <w:gridSpan w:val="3"/>
            <w:shd w:val="clear" w:color="auto" w:fill="auto"/>
            <w:vAlign w:val="bottom"/>
          </w:tcPr>
          <w:p w14:paraId="74DDE64B" w14:textId="77777777" w:rsidR="00584EC1" w:rsidRDefault="00584EC1">
            <w:pPr>
              <w:rPr>
                <w:rFonts w:ascii="宋体"/>
                <w:vanish/>
              </w:rPr>
            </w:pPr>
          </w:p>
        </w:tc>
      </w:tr>
      <w:tr w:rsidR="00584EC1" w14:paraId="74DDE65F" w14:textId="77777777">
        <w:trPr>
          <w:hidden/>
        </w:trPr>
        <w:tc>
          <w:tcPr>
            <w:tcW w:w="0" w:type="auto"/>
            <w:gridSpan w:val="3"/>
            <w:shd w:val="clear" w:color="auto" w:fill="auto"/>
            <w:vAlign w:val="bottom"/>
          </w:tcPr>
          <w:p w14:paraId="74DDE64D" w14:textId="77777777" w:rsidR="00584EC1" w:rsidRDefault="00584EC1">
            <w:pPr>
              <w:rPr>
                <w:rFonts w:ascii="宋体"/>
                <w:vanish/>
              </w:rPr>
            </w:pPr>
          </w:p>
        </w:tc>
        <w:tc>
          <w:tcPr>
            <w:tcW w:w="0" w:type="auto"/>
            <w:gridSpan w:val="3"/>
            <w:shd w:val="clear" w:color="auto" w:fill="auto"/>
            <w:vAlign w:val="bottom"/>
          </w:tcPr>
          <w:p w14:paraId="74DDE64E" w14:textId="77777777" w:rsidR="00584EC1" w:rsidRDefault="00584EC1">
            <w:pPr>
              <w:rPr>
                <w:rFonts w:ascii="宋体"/>
                <w:vanish/>
              </w:rPr>
            </w:pPr>
          </w:p>
        </w:tc>
        <w:tc>
          <w:tcPr>
            <w:tcW w:w="0" w:type="auto"/>
            <w:gridSpan w:val="3"/>
            <w:shd w:val="clear" w:color="auto" w:fill="auto"/>
            <w:vAlign w:val="bottom"/>
          </w:tcPr>
          <w:p w14:paraId="74DDE64F" w14:textId="77777777" w:rsidR="00584EC1" w:rsidRDefault="00584EC1">
            <w:pPr>
              <w:rPr>
                <w:rFonts w:ascii="宋体"/>
                <w:vanish/>
              </w:rPr>
            </w:pPr>
          </w:p>
        </w:tc>
        <w:tc>
          <w:tcPr>
            <w:tcW w:w="0" w:type="auto"/>
            <w:gridSpan w:val="3"/>
            <w:shd w:val="clear" w:color="auto" w:fill="auto"/>
            <w:vAlign w:val="bottom"/>
          </w:tcPr>
          <w:p w14:paraId="74DDE650" w14:textId="77777777" w:rsidR="00584EC1" w:rsidRDefault="00584EC1">
            <w:pPr>
              <w:rPr>
                <w:rFonts w:ascii="宋体"/>
                <w:vanish/>
              </w:rPr>
            </w:pPr>
          </w:p>
        </w:tc>
        <w:tc>
          <w:tcPr>
            <w:tcW w:w="0" w:type="auto"/>
            <w:gridSpan w:val="3"/>
            <w:shd w:val="clear" w:color="auto" w:fill="auto"/>
            <w:vAlign w:val="bottom"/>
          </w:tcPr>
          <w:p w14:paraId="74DDE651" w14:textId="77777777" w:rsidR="00584EC1" w:rsidRDefault="00584EC1">
            <w:pPr>
              <w:rPr>
                <w:rFonts w:ascii="宋体"/>
                <w:vanish/>
              </w:rPr>
            </w:pPr>
          </w:p>
        </w:tc>
        <w:tc>
          <w:tcPr>
            <w:tcW w:w="0" w:type="auto"/>
            <w:gridSpan w:val="3"/>
            <w:shd w:val="clear" w:color="auto" w:fill="auto"/>
            <w:vAlign w:val="bottom"/>
          </w:tcPr>
          <w:p w14:paraId="74DDE652" w14:textId="77777777" w:rsidR="00584EC1" w:rsidRDefault="00584EC1">
            <w:pPr>
              <w:rPr>
                <w:rFonts w:ascii="宋体"/>
                <w:vanish/>
              </w:rPr>
            </w:pPr>
          </w:p>
        </w:tc>
        <w:tc>
          <w:tcPr>
            <w:tcW w:w="0" w:type="auto"/>
            <w:gridSpan w:val="3"/>
            <w:shd w:val="clear" w:color="auto" w:fill="auto"/>
            <w:vAlign w:val="bottom"/>
          </w:tcPr>
          <w:p w14:paraId="74DDE653" w14:textId="77777777" w:rsidR="00584EC1" w:rsidRDefault="00584EC1">
            <w:pPr>
              <w:rPr>
                <w:rFonts w:ascii="宋体"/>
                <w:vanish/>
              </w:rPr>
            </w:pPr>
          </w:p>
        </w:tc>
        <w:tc>
          <w:tcPr>
            <w:tcW w:w="0" w:type="auto"/>
            <w:gridSpan w:val="3"/>
            <w:shd w:val="clear" w:color="auto" w:fill="auto"/>
            <w:vAlign w:val="bottom"/>
          </w:tcPr>
          <w:p w14:paraId="74DDE654" w14:textId="77777777" w:rsidR="00584EC1" w:rsidRDefault="00584EC1">
            <w:pPr>
              <w:rPr>
                <w:rFonts w:ascii="宋体"/>
                <w:vanish/>
              </w:rPr>
            </w:pPr>
          </w:p>
        </w:tc>
        <w:tc>
          <w:tcPr>
            <w:tcW w:w="0" w:type="auto"/>
            <w:gridSpan w:val="3"/>
            <w:shd w:val="clear" w:color="auto" w:fill="auto"/>
            <w:vAlign w:val="bottom"/>
          </w:tcPr>
          <w:p w14:paraId="74DDE655" w14:textId="77777777" w:rsidR="00584EC1" w:rsidRDefault="00584EC1">
            <w:pPr>
              <w:rPr>
                <w:rFonts w:ascii="宋体"/>
                <w:vanish/>
              </w:rPr>
            </w:pPr>
          </w:p>
        </w:tc>
        <w:tc>
          <w:tcPr>
            <w:tcW w:w="0" w:type="auto"/>
            <w:gridSpan w:val="3"/>
            <w:shd w:val="clear" w:color="auto" w:fill="auto"/>
            <w:vAlign w:val="bottom"/>
          </w:tcPr>
          <w:p w14:paraId="74DDE656" w14:textId="77777777" w:rsidR="00584EC1" w:rsidRDefault="00584EC1">
            <w:pPr>
              <w:rPr>
                <w:rFonts w:ascii="宋体"/>
                <w:vanish/>
              </w:rPr>
            </w:pPr>
          </w:p>
        </w:tc>
        <w:tc>
          <w:tcPr>
            <w:tcW w:w="0" w:type="auto"/>
            <w:gridSpan w:val="3"/>
            <w:shd w:val="clear" w:color="auto" w:fill="auto"/>
            <w:vAlign w:val="bottom"/>
          </w:tcPr>
          <w:p w14:paraId="74DDE657" w14:textId="77777777" w:rsidR="00584EC1" w:rsidRDefault="00584EC1">
            <w:pPr>
              <w:rPr>
                <w:rFonts w:ascii="宋体"/>
                <w:vanish/>
              </w:rPr>
            </w:pPr>
          </w:p>
        </w:tc>
        <w:tc>
          <w:tcPr>
            <w:tcW w:w="0" w:type="auto"/>
            <w:shd w:val="clear" w:color="auto" w:fill="auto"/>
            <w:vAlign w:val="bottom"/>
          </w:tcPr>
          <w:p w14:paraId="74DDE658" w14:textId="77777777" w:rsidR="00584EC1" w:rsidRDefault="00584EC1">
            <w:pPr>
              <w:rPr>
                <w:rFonts w:ascii="宋体"/>
                <w:vanish/>
              </w:rPr>
            </w:pPr>
          </w:p>
        </w:tc>
        <w:tc>
          <w:tcPr>
            <w:tcW w:w="0" w:type="auto"/>
            <w:shd w:val="clear" w:color="auto" w:fill="auto"/>
            <w:vAlign w:val="bottom"/>
          </w:tcPr>
          <w:p w14:paraId="74DDE659" w14:textId="77777777" w:rsidR="00584EC1" w:rsidRDefault="00584EC1">
            <w:pPr>
              <w:rPr>
                <w:rFonts w:ascii="宋体"/>
                <w:vanish/>
              </w:rPr>
            </w:pPr>
          </w:p>
        </w:tc>
        <w:tc>
          <w:tcPr>
            <w:tcW w:w="0" w:type="auto"/>
            <w:gridSpan w:val="3"/>
            <w:shd w:val="clear" w:color="auto" w:fill="auto"/>
            <w:vAlign w:val="bottom"/>
          </w:tcPr>
          <w:p w14:paraId="74DDE65A" w14:textId="77777777" w:rsidR="00584EC1" w:rsidRDefault="00584EC1">
            <w:pPr>
              <w:rPr>
                <w:rFonts w:ascii="宋体"/>
                <w:vanish/>
              </w:rPr>
            </w:pPr>
          </w:p>
        </w:tc>
        <w:tc>
          <w:tcPr>
            <w:tcW w:w="0" w:type="auto"/>
            <w:gridSpan w:val="3"/>
            <w:shd w:val="clear" w:color="auto" w:fill="auto"/>
            <w:vAlign w:val="bottom"/>
          </w:tcPr>
          <w:p w14:paraId="74DDE65B" w14:textId="77777777" w:rsidR="00584EC1" w:rsidRDefault="00584EC1">
            <w:pPr>
              <w:rPr>
                <w:rFonts w:ascii="宋体"/>
                <w:vanish/>
              </w:rPr>
            </w:pPr>
          </w:p>
        </w:tc>
        <w:tc>
          <w:tcPr>
            <w:tcW w:w="0" w:type="auto"/>
            <w:gridSpan w:val="3"/>
            <w:shd w:val="clear" w:color="auto" w:fill="auto"/>
            <w:vAlign w:val="bottom"/>
          </w:tcPr>
          <w:p w14:paraId="74DDE65C" w14:textId="77777777" w:rsidR="00584EC1" w:rsidRDefault="00584EC1">
            <w:pPr>
              <w:rPr>
                <w:rFonts w:ascii="宋体"/>
                <w:vanish/>
              </w:rPr>
            </w:pPr>
          </w:p>
        </w:tc>
        <w:tc>
          <w:tcPr>
            <w:tcW w:w="0" w:type="auto"/>
            <w:gridSpan w:val="3"/>
            <w:shd w:val="clear" w:color="auto" w:fill="auto"/>
            <w:vAlign w:val="bottom"/>
          </w:tcPr>
          <w:p w14:paraId="74DDE65D" w14:textId="77777777" w:rsidR="00584EC1" w:rsidRDefault="00584EC1">
            <w:pPr>
              <w:rPr>
                <w:rFonts w:ascii="宋体"/>
                <w:vanish/>
              </w:rPr>
            </w:pPr>
          </w:p>
        </w:tc>
        <w:tc>
          <w:tcPr>
            <w:tcW w:w="0" w:type="auto"/>
            <w:gridSpan w:val="3"/>
            <w:shd w:val="clear" w:color="auto" w:fill="auto"/>
            <w:vAlign w:val="bottom"/>
          </w:tcPr>
          <w:p w14:paraId="74DDE65E" w14:textId="77777777" w:rsidR="00584EC1" w:rsidRDefault="00584EC1">
            <w:pPr>
              <w:rPr>
                <w:rFonts w:ascii="宋体"/>
                <w:vanish/>
              </w:rPr>
            </w:pPr>
          </w:p>
        </w:tc>
      </w:tr>
      <w:tr w:rsidR="00584EC1" w14:paraId="74DDE672" w14:textId="77777777">
        <w:trPr>
          <w:hidden/>
        </w:trPr>
        <w:tc>
          <w:tcPr>
            <w:tcW w:w="0" w:type="auto"/>
            <w:gridSpan w:val="3"/>
            <w:shd w:val="clear" w:color="auto" w:fill="auto"/>
            <w:vAlign w:val="bottom"/>
          </w:tcPr>
          <w:p w14:paraId="74DDE660" w14:textId="77777777" w:rsidR="00584EC1" w:rsidRDefault="00584EC1">
            <w:pPr>
              <w:rPr>
                <w:rFonts w:ascii="宋体"/>
                <w:vanish/>
              </w:rPr>
            </w:pPr>
          </w:p>
        </w:tc>
        <w:tc>
          <w:tcPr>
            <w:tcW w:w="0" w:type="auto"/>
            <w:gridSpan w:val="3"/>
            <w:shd w:val="clear" w:color="auto" w:fill="auto"/>
            <w:vAlign w:val="bottom"/>
          </w:tcPr>
          <w:p w14:paraId="74DDE661" w14:textId="77777777" w:rsidR="00584EC1" w:rsidRDefault="00584EC1">
            <w:pPr>
              <w:rPr>
                <w:rFonts w:ascii="宋体"/>
                <w:vanish/>
              </w:rPr>
            </w:pPr>
          </w:p>
        </w:tc>
        <w:tc>
          <w:tcPr>
            <w:tcW w:w="0" w:type="auto"/>
            <w:gridSpan w:val="3"/>
            <w:shd w:val="clear" w:color="auto" w:fill="auto"/>
            <w:vAlign w:val="bottom"/>
          </w:tcPr>
          <w:p w14:paraId="74DDE662" w14:textId="77777777" w:rsidR="00584EC1" w:rsidRDefault="00584EC1">
            <w:pPr>
              <w:rPr>
                <w:rFonts w:ascii="宋体"/>
                <w:vanish/>
              </w:rPr>
            </w:pPr>
          </w:p>
        </w:tc>
        <w:tc>
          <w:tcPr>
            <w:tcW w:w="0" w:type="auto"/>
            <w:gridSpan w:val="3"/>
            <w:shd w:val="clear" w:color="auto" w:fill="auto"/>
            <w:vAlign w:val="bottom"/>
          </w:tcPr>
          <w:p w14:paraId="74DDE663" w14:textId="77777777" w:rsidR="00584EC1" w:rsidRDefault="00584EC1">
            <w:pPr>
              <w:rPr>
                <w:rFonts w:ascii="宋体"/>
                <w:vanish/>
              </w:rPr>
            </w:pPr>
          </w:p>
        </w:tc>
        <w:tc>
          <w:tcPr>
            <w:tcW w:w="0" w:type="auto"/>
            <w:gridSpan w:val="3"/>
            <w:shd w:val="clear" w:color="auto" w:fill="auto"/>
            <w:vAlign w:val="bottom"/>
          </w:tcPr>
          <w:p w14:paraId="74DDE664" w14:textId="77777777" w:rsidR="00584EC1" w:rsidRDefault="00584EC1">
            <w:pPr>
              <w:rPr>
                <w:rFonts w:ascii="宋体"/>
                <w:vanish/>
              </w:rPr>
            </w:pPr>
          </w:p>
        </w:tc>
        <w:tc>
          <w:tcPr>
            <w:tcW w:w="0" w:type="auto"/>
            <w:gridSpan w:val="3"/>
            <w:shd w:val="clear" w:color="auto" w:fill="auto"/>
            <w:vAlign w:val="bottom"/>
          </w:tcPr>
          <w:p w14:paraId="74DDE665" w14:textId="77777777" w:rsidR="00584EC1" w:rsidRDefault="00584EC1">
            <w:pPr>
              <w:rPr>
                <w:rFonts w:ascii="宋体"/>
                <w:vanish/>
              </w:rPr>
            </w:pPr>
          </w:p>
        </w:tc>
        <w:tc>
          <w:tcPr>
            <w:tcW w:w="0" w:type="auto"/>
            <w:gridSpan w:val="3"/>
            <w:shd w:val="clear" w:color="auto" w:fill="auto"/>
            <w:vAlign w:val="bottom"/>
          </w:tcPr>
          <w:p w14:paraId="74DDE666" w14:textId="77777777" w:rsidR="00584EC1" w:rsidRDefault="00584EC1">
            <w:pPr>
              <w:rPr>
                <w:rFonts w:ascii="宋体"/>
                <w:vanish/>
              </w:rPr>
            </w:pPr>
          </w:p>
        </w:tc>
        <w:tc>
          <w:tcPr>
            <w:tcW w:w="0" w:type="auto"/>
            <w:gridSpan w:val="3"/>
            <w:shd w:val="clear" w:color="auto" w:fill="auto"/>
            <w:vAlign w:val="bottom"/>
          </w:tcPr>
          <w:p w14:paraId="74DDE667" w14:textId="77777777" w:rsidR="00584EC1" w:rsidRDefault="00584EC1">
            <w:pPr>
              <w:rPr>
                <w:rFonts w:ascii="宋体"/>
                <w:vanish/>
              </w:rPr>
            </w:pPr>
          </w:p>
        </w:tc>
        <w:tc>
          <w:tcPr>
            <w:tcW w:w="0" w:type="auto"/>
            <w:gridSpan w:val="3"/>
            <w:shd w:val="clear" w:color="auto" w:fill="auto"/>
            <w:vAlign w:val="bottom"/>
          </w:tcPr>
          <w:p w14:paraId="74DDE668" w14:textId="77777777" w:rsidR="00584EC1" w:rsidRDefault="00584EC1">
            <w:pPr>
              <w:rPr>
                <w:rFonts w:ascii="宋体"/>
                <w:vanish/>
              </w:rPr>
            </w:pPr>
          </w:p>
        </w:tc>
        <w:tc>
          <w:tcPr>
            <w:tcW w:w="0" w:type="auto"/>
            <w:gridSpan w:val="3"/>
            <w:shd w:val="clear" w:color="auto" w:fill="auto"/>
            <w:vAlign w:val="bottom"/>
          </w:tcPr>
          <w:p w14:paraId="74DDE669" w14:textId="77777777" w:rsidR="00584EC1" w:rsidRDefault="00584EC1">
            <w:pPr>
              <w:rPr>
                <w:rFonts w:ascii="宋体"/>
                <w:vanish/>
              </w:rPr>
            </w:pPr>
          </w:p>
        </w:tc>
        <w:tc>
          <w:tcPr>
            <w:tcW w:w="0" w:type="auto"/>
            <w:gridSpan w:val="3"/>
            <w:shd w:val="clear" w:color="auto" w:fill="auto"/>
            <w:vAlign w:val="bottom"/>
          </w:tcPr>
          <w:p w14:paraId="74DDE66A" w14:textId="77777777" w:rsidR="00584EC1" w:rsidRDefault="00584EC1">
            <w:pPr>
              <w:rPr>
                <w:rFonts w:ascii="宋体"/>
                <w:vanish/>
              </w:rPr>
            </w:pPr>
          </w:p>
        </w:tc>
        <w:tc>
          <w:tcPr>
            <w:tcW w:w="0" w:type="auto"/>
            <w:shd w:val="clear" w:color="auto" w:fill="auto"/>
            <w:vAlign w:val="bottom"/>
          </w:tcPr>
          <w:p w14:paraId="74DDE66B" w14:textId="77777777" w:rsidR="00584EC1" w:rsidRDefault="00584EC1">
            <w:pPr>
              <w:rPr>
                <w:rFonts w:ascii="宋体"/>
                <w:vanish/>
              </w:rPr>
            </w:pPr>
          </w:p>
        </w:tc>
        <w:tc>
          <w:tcPr>
            <w:tcW w:w="0" w:type="auto"/>
            <w:shd w:val="clear" w:color="auto" w:fill="auto"/>
            <w:vAlign w:val="bottom"/>
          </w:tcPr>
          <w:p w14:paraId="74DDE66C" w14:textId="77777777" w:rsidR="00584EC1" w:rsidRDefault="00584EC1">
            <w:pPr>
              <w:rPr>
                <w:rFonts w:ascii="宋体"/>
                <w:vanish/>
              </w:rPr>
            </w:pPr>
          </w:p>
        </w:tc>
        <w:tc>
          <w:tcPr>
            <w:tcW w:w="0" w:type="auto"/>
            <w:gridSpan w:val="3"/>
            <w:shd w:val="clear" w:color="auto" w:fill="auto"/>
            <w:vAlign w:val="bottom"/>
          </w:tcPr>
          <w:p w14:paraId="74DDE66D" w14:textId="77777777" w:rsidR="00584EC1" w:rsidRDefault="00584EC1">
            <w:pPr>
              <w:rPr>
                <w:rFonts w:ascii="宋体"/>
                <w:vanish/>
              </w:rPr>
            </w:pPr>
          </w:p>
        </w:tc>
        <w:tc>
          <w:tcPr>
            <w:tcW w:w="0" w:type="auto"/>
            <w:gridSpan w:val="3"/>
            <w:shd w:val="clear" w:color="auto" w:fill="auto"/>
            <w:vAlign w:val="bottom"/>
          </w:tcPr>
          <w:p w14:paraId="74DDE66E" w14:textId="77777777" w:rsidR="00584EC1" w:rsidRDefault="00584EC1">
            <w:pPr>
              <w:rPr>
                <w:rFonts w:ascii="宋体"/>
                <w:vanish/>
              </w:rPr>
            </w:pPr>
          </w:p>
        </w:tc>
        <w:tc>
          <w:tcPr>
            <w:tcW w:w="0" w:type="auto"/>
            <w:gridSpan w:val="3"/>
            <w:shd w:val="clear" w:color="auto" w:fill="auto"/>
            <w:vAlign w:val="bottom"/>
          </w:tcPr>
          <w:p w14:paraId="74DDE66F" w14:textId="77777777" w:rsidR="00584EC1" w:rsidRDefault="00584EC1">
            <w:pPr>
              <w:rPr>
                <w:rFonts w:ascii="宋体"/>
                <w:vanish/>
              </w:rPr>
            </w:pPr>
          </w:p>
        </w:tc>
        <w:tc>
          <w:tcPr>
            <w:tcW w:w="0" w:type="auto"/>
            <w:gridSpan w:val="3"/>
            <w:shd w:val="clear" w:color="auto" w:fill="auto"/>
            <w:vAlign w:val="bottom"/>
          </w:tcPr>
          <w:p w14:paraId="74DDE670" w14:textId="77777777" w:rsidR="00584EC1" w:rsidRDefault="00584EC1">
            <w:pPr>
              <w:rPr>
                <w:rFonts w:ascii="宋体"/>
                <w:vanish/>
              </w:rPr>
            </w:pPr>
          </w:p>
        </w:tc>
        <w:tc>
          <w:tcPr>
            <w:tcW w:w="0" w:type="auto"/>
            <w:gridSpan w:val="3"/>
            <w:shd w:val="clear" w:color="auto" w:fill="auto"/>
            <w:vAlign w:val="bottom"/>
          </w:tcPr>
          <w:p w14:paraId="74DDE671" w14:textId="77777777" w:rsidR="00584EC1" w:rsidRDefault="00584EC1">
            <w:pPr>
              <w:rPr>
                <w:rFonts w:ascii="宋体"/>
                <w:vanish/>
              </w:rPr>
            </w:pPr>
          </w:p>
        </w:tc>
      </w:tr>
      <w:tr w:rsidR="00584EC1" w14:paraId="74DDE685" w14:textId="77777777">
        <w:trPr>
          <w:hidden/>
        </w:trPr>
        <w:tc>
          <w:tcPr>
            <w:tcW w:w="0" w:type="auto"/>
            <w:gridSpan w:val="3"/>
            <w:shd w:val="clear" w:color="auto" w:fill="auto"/>
            <w:vAlign w:val="bottom"/>
          </w:tcPr>
          <w:p w14:paraId="74DDE673" w14:textId="77777777" w:rsidR="00584EC1" w:rsidRDefault="00584EC1">
            <w:pPr>
              <w:rPr>
                <w:rFonts w:ascii="宋体"/>
                <w:vanish/>
              </w:rPr>
            </w:pPr>
          </w:p>
        </w:tc>
        <w:tc>
          <w:tcPr>
            <w:tcW w:w="0" w:type="auto"/>
            <w:gridSpan w:val="3"/>
            <w:shd w:val="clear" w:color="auto" w:fill="auto"/>
            <w:vAlign w:val="bottom"/>
          </w:tcPr>
          <w:p w14:paraId="74DDE674" w14:textId="77777777" w:rsidR="00584EC1" w:rsidRDefault="00584EC1">
            <w:pPr>
              <w:rPr>
                <w:rFonts w:ascii="宋体"/>
                <w:vanish/>
              </w:rPr>
            </w:pPr>
          </w:p>
        </w:tc>
        <w:tc>
          <w:tcPr>
            <w:tcW w:w="0" w:type="auto"/>
            <w:gridSpan w:val="3"/>
            <w:shd w:val="clear" w:color="auto" w:fill="auto"/>
            <w:vAlign w:val="bottom"/>
          </w:tcPr>
          <w:p w14:paraId="74DDE675" w14:textId="77777777" w:rsidR="00584EC1" w:rsidRDefault="00584EC1">
            <w:pPr>
              <w:rPr>
                <w:rFonts w:ascii="宋体"/>
                <w:vanish/>
              </w:rPr>
            </w:pPr>
          </w:p>
        </w:tc>
        <w:tc>
          <w:tcPr>
            <w:tcW w:w="0" w:type="auto"/>
            <w:gridSpan w:val="3"/>
            <w:shd w:val="clear" w:color="auto" w:fill="auto"/>
            <w:vAlign w:val="bottom"/>
          </w:tcPr>
          <w:p w14:paraId="74DDE676" w14:textId="77777777" w:rsidR="00584EC1" w:rsidRDefault="00584EC1">
            <w:pPr>
              <w:rPr>
                <w:rFonts w:ascii="宋体"/>
                <w:vanish/>
              </w:rPr>
            </w:pPr>
          </w:p>
        </w:tc>
        <w:tc>
          <w:tcPr>
            <w:tcW w:w="0" w:type="auto"/>
            <w:gridSpan w:val="3"/>
            <w:shd w:val="clear" w:color="auto" w:fill="auto"/>
            <w:vAlign w:val="bottom"/>
          </w:tcPr>
          <w:p w14:paraId="74DDE677" w14:textId="77777777" w:rsidR="00584EC1" w:rsidRDefault="00584EC1">
            <w:pPr>
              <w:rPr>
                <w:rFonts w:ascii="宋体"/>
                <w:vanish/>
              </w:rPr>
            </w:pPr>
          </w:p>
        </w:tc>
        <w:tc>
          <w:tcPr>
            <w:tcW w:w="0" w:type="auto"/>
            <w:gridSpan w:val="3"/>
            <w:shd w:val="clear" w:color="auto" w:fill="auto"/>
            <w:vAlign w:val="bottom"/>
          </w:tcPr>
          <w:p w14:paraId="74DDE678" w14:textId="77777777" w:rsidR="00584EC1" w:rsidRDefault="00584EC1">
            <w:pPr>
              <w:rPr>
                <w:rFonts w:ascii="宋体"/>
                <w:vanish/>
              </w:rPr>
            </w:pPr>
          </w:p>
        </w:tc>
        <w:tc>
          <w:tcPr>
            <w:tcW w:w="0" w:type="auto"/>
            <w:gridSpan w:val="3"/>
            <w:shd w:val="clear" w:color="auto" w:fill="auto"/>
            <w:vAlign w:val="bottom"/>
          </w:tcPr>
          <w:p w14:paraId="74DDE679" w14:textId="77777777" w:rsidR="00584EC1" w:rsidRDefault="00584EC1">
            <w:pPr>
              <w:rPr>
                <w:rFonts w:ascii="宋体"/>
                <w:vanish/>
              </w:rPr>
            </w:pPr>
          </w:p>
        </w:tc>
        <w:tc>
          <w:tcPr>
            <w:tcW w:w="0" w:type="auto"/>
            <w:gridSpan w:val="3"/>
            <w:shd w:val="clear" w:color="auto" w:fill="auto"/>
            <w:vAlign w:val="bottom"/>
          </w:tcPr>
          <w:p w14:paraId="74DDE67A" w14:textId="77777777" w:rsidR="00584EC1" w:rsidRDefault="00584EC1">
            <w:pPr>
              <w:rPr>
                <w:rFonts w:ascii="宋体"/>
                <w:vanish/>
              </w:rPr>
            </w:pPr>
          </w:p>
        </w:tc>
        <w:tc>
          <w:tcPr>
            <w:tcW w:w="0" w:type="auto"/>
            <w:gridSpan w:val="3"/>
            <w:shd w:val="clear" w:color="auto" w:fill="auto"/>
            <w:vAlign w:val="bottom"/>
          </w:tcPr>
          <w:p w14:paraId="74DDE67B" w14:textId="77777777" w:rsidR="00584EC1" w:rsidRDefault="00584EC1">
            <w:pPr>
              <w:rPr>
                <w:rFonts w:ascii="宋体"/>
                <w:vanish/>
              </w:rPr>
            </w:pPr>
          </w:p>
        </w:tc>
        <w:tc>
          <w:tcPr>
            <w:tcW w:w="0" w:type="auto"/>
            <w:gridSpan w:val="3"/>
            <w:shd w:val="clear" w:color="auto" w:fill="auto"/>
            <w:vAlign w:val="bottom"/>
          </w:tcPr>
          <w:p w14:paraId="74DDE67C" w14:textId="77777777" w:rsidR="00584EC1" w:rsidRDefault="00584EC1">
            <w:pPr>
              <w:rPr>
                <w:rFonts w:ascii="宋体"/>
                <w:vanish/>
              </w:rPr>
            </w:pPr>
          </w:p>
        </w:tc>
        <w:tc>
          <w:tcPr>
            <w:tcW w:w="0" w:type="auto"/>
            <w:gridSpan w:val="3"/>
            <w:shd w:val="clear" w:color="auto" w:fill="auto"/>
            <w:vAlign w:val="bottom"/>
          </w:tcPr>
          <w:p w14:paraId="74DDE67D" w14:textId="77777777" w:rsidR="00584EC1" w:rsidRDefault="00584EC1">
            <w:pPr>
              <w:rPr>
                <w:rFonts w:ascii="宋体"/>
                <w:vanish/>
              </w:rPr>
            </w:pPr>
          </w:p>
        </w:tc>
        <w:tc>
          <w:tcPr>
            <w:tcW w:w="0" w:type="auto"/>
            <w:shd w:val="clear" w:color="auto" w:fill="auto"/>
            <w:vAlign w:val="bottom"/>
          </w:tcPr>
          <w:p w14:paraId="74DDE67E" w14:textId="77777777" w:rsidR="00584EC1" w:rsidRDefault="00584EC1">
            <w:pPr>
              <w:rPr>
                <w:rFonts w:ascii="宋体"/>
                <w:vanish/>
              </w:rPr>
            </w:pPr>
          </w:p>
        </w:tc>
        <w:tc>
          <w:tcPr>
            <w:tcW w:w="0" w:type="auto"/>
            <w:shd w:val="clear" w:color="auto" w:fill="auto"/>
            <w:vAlign w:val="bottom"/>
          </w:tcPr>
          <w:p w14:paraId="74DDE67F" w14:textId="77777777" w:rsidR="00584EC1" w:rsidRDefault="00584EC1">
            <w:pPr>
              <w:rPr>
                <w:rFonts w:ascii="宋体"/>
                <w:vanish/>
              </w:rPr>
            </w:pPr>
          </w:p>
        </w:tc>
        <w:tc>
          <w:tcPr>
            <w:tcW w:w="0" w:type="auto"/>
            <w:gridSpan w:val="3"/>
            <w:shd w:val="clear" w:color="auto" w:fill="auto"/>
            <w:vAlign w:val="bottom"/>
          </w:tcPr>
          <w:p w14:paraId="74DDE680" w14:textId="77777777" w:rsidR="00584EC1" w:rsidRDefault="00584EC1">
            <w:pPr>
              <w:rPr>
                <w:rFonts w:ascii="宋体"/>
                <w:vanish/>
              </w:rPr>
            </w:pPr>
          </w:p>
        </w:tc>
        <w:tc>
          <w:tcPr>
            <w:tcW w:w="0" w:type="auto"/>
            <w:gridSpan w:val="3"/>
            <w:shd w:val="clear" w:color="auto" w:fill="auto"/>
            <w:vAlign w:val="bottom"/>
          </w:tcPr>
          <w:p w14:paraId="74DDE681" w14:textId="77777777" w:rsidR="00584EC1" w:rsidRDefault="00584EC1">
            <w:pPr>
              <w:rPr>
                <w:rFonts w:ascii="宋体"/>
                <w:vanish/>
              </w:rPr>
            </w:pPr>
          </w:p>
        </w:tc>
        <w:tc>
          <w:tcPr>
            <w:tcW w:w="0" w:type="auto"/>
            <w:gridSpan w:val="3"/>
            <w:shd w:val="clear" w:color="auto" w:fill="auto"/>
            <w:vAlign w:val="bottom"/>
          </w:tcPr>
          <w:p w14:paraId="74DDE682" w14:textId="77777777" w:rsidR="00584EC1" w:rsidRDefault="00584EC1">
            <w:pPr>
              <w:rPr>
                <w:rFonts w:ascii="宋体"/>
                <w:vanish/>
              </w:rPr>
            </w:pPr>
          </w:p>
        </w:tc>
        <w:tc>
          <w:tcPr>
            <w:tcW w:w="0" w:type="auto"/>
            <w:gridSpan w:val="3"/>
            <w:shd w:val="clear" w:color="auto" w:fill="auto"/>
            <w:vAlign w:val="bottom"/>
          </w:tcPr>
          <w:p w14:paraId="74DDE683" w14:textId="77777777" w:rsidR="00584EC1" w:rsidRDefault="00584EC1">
            <w:pPr>
              <w:rPr>
                <w:rFonts w:ascii="宋体"/>
                <w:vanish/>
              </w:rPr>
            </w:pPr>
          </w:p>
        </w:tc>
        <w:tc>
          <w:tcPr>
            <w:tcW w:w="0" w:type="auto"/>
            <w:gridSpan w:val="3"/>
            <w:shd w:val="clear" w:color="auto" w:fill="auto"/>
            <w:vAlign w:val="bottom"/>
          </w:tcPr>
          <w:p w14:paraId="74DDE684" w14:textId="77777777" w:rsidR="00584EC1" w:rsidRDefault="00584EC1">
            <w:pPr>
              <w:rPr>
                <w:rFonts w:ascii="宋体"/>
                <w:vanish/>
              </w:rPr>
            </w:pPr>
          </w:p>
        </w:tc>
      </w:tr>
      <w:tr w:rsidR="00584EC1" w14:paraId="74DDE698" w14:textId="77777777">
        <w:trPr>
          <w:hidden/>
        </w:trPr>
        <w:tc>
          <w:tcPr>
            <w:tcW w:w="0" w:type="auto"/>
            <w:gridSpan w:val="3"/>
            <w:shd w:val="clear" w:color="auto" w:fill="auto"/>
            <w:vAlign w:val="bottom"/>
          </w:tcPr>
          <w:p w14:paraId="74DDE686" w14:textId="77777777" w:rsidR="00584EC1" w:rsidRDefault="00584EC1">
            <w:pPr>
              <w:rPr>
                <w:rFonts w:ascii="宋体"/>
                <w:vanish/>
              </w:rPr>
            </w:pPr>
          </w:p>
        </w:tc>
        <w:tc>
          <w:tcPr>
            <w:tcW w:w="0" w:type="auto"/>
            <w:gridSpan w:val="3"/>
            <w:shd w:val="clear" w:color="auto" w:fill="auto"/>
            <w:vAlign w:val="bottom"/>
          </w:tcPr>
          <w:p w14:paraId="74DDE687" w14:textId="77777777" w:rsidR="00584EC1" w:rsidRDefault="00584EC1">
            <w:pPr>
              <w:rPr>
                <w:rFonts w:ascii="宋体"/>
                <w:vanish/>
              </w:rPr>
            </w:pPr>
          </w:p>
        </w:tc>
        <w:tc>
          <w:tcPr>
            <w:tcW w:w="0" w:type="auto"/>
            <w:gridSpan w:val="3"/>
            <w:shd w:val="clear" w:color="auto" w:fill="auto"/>
            <w:vAlign w:val="bottom"/>
          </w:tcPr>
          <w:p w14:paraId="74DDE688" w14:textId="77777777" w:rsidR="00584EC1" w:rsidRDefault="00584EC1">
            <w:pPr>
              <w:rPr>
                <w:rFonts w:ascii="宋体"/>
                <w:vanish/>
              </w:rPr>
            </w:pPr>
          </w:p>
        </w:tc>
        <w:tc>
          <w:tcPr>
            <w:tcW w:w="0" w:type="auto"/>
            <w:gridSpan w:val="3"/>
            <w:shd w:val="clear" w:color="auto" w:fill="auto"/>
            <w:vAlign w:val="bottom"/>
          </w:tcPr>
          <w:p w14:paraId="74DDE689" w14:textId="77777777" w:rsidR="00584EC1" w:rsidRDefault="00584EC1">
            <w:pPr>
              <w:rPr>
                <w:rFonts w:ascii="宋体"/>
                <w:vanish/>
              </w:rPr>
            </w:pPr>
          </w:p>
        </w:tc>
        <w:tc>
          <w:tcPr>
            <w:tcW w:w="0" w:type="auto"/>
            <w:gridSpan w:val="3"/>
            <w:shd w:val="clear" w:color="auto" w:fill="auto"/>
            <w:vAlign w:val="bottom"/>
          </w:tcPr>
          <w:p w14:paraId="74DDE68A" w14:textId="77777777" w:rsidR="00584EC1" w:rsidRDefault="00584EC1">
            <w:pPr>
              <w:rPr>
                <w:rFonts w:ascii="宋体"/>
                <w:vanish/>
              </w:rPr>
            </w:pPr>
          </w:p>
        </w:tc>
        <w:tc>
          <w:tcPr>
            <w:tcW w:w="0" w:type="auto"/>
            <w:gridSpan w:val="3"/>
            <w:shd w:val="clear" w:color="auto" w:fill="auto"/>
            <w:vAlign w:val="bottom"/>
          </w:tcPr>
          <w:p w14:paraId="74DDE68B" w14:textId="77777777" w:rsidR="00584EC1" w:rsidRDefault="00584EC1">
            <w:pPr>
              <w:rPr>
                <w:rFonts w:ascii="宋体"/>
                <w:vanish/>
              </w:rPr>
            </w:pPr>
          </w:p>
        </w:tc>
        <w:tc>
          <w:tcPr>
            <w:tcW w:w="0" w:type="auto"/>
            <w:gridSpan w:val="3"/>
            <w:shd w:val="clear" w:color="auto" w:fill="auto"/>
            <w:vAlign w:val="bottom"/>
          </w:tcPr>
          <w:p w14:paraId="74DDE68C" w14:textId="77777777" w:rsidR="00584EC1" w:rsidRDefault="00584EC1">
            <w:pPr>
              <w:rPr>
                <w:rFonts w:ascii="宋体"/>
                <w:vanish/>
              </w:rPr>
            </w:pPr>
          </w:p>
        </w:tc>
        <w:tc>
          <w:tcPr>
            <w:tcW w:w="0" w:type="auto"/>
            <w:gridSpan w:val="3"/>
            <w:shd w:val="clear" w:color="auto" w:fill="auto"/>
            <w:vAlign w:val="bottom"/>
          </w:tcPr>
          <w:p w14:paraId="74DDE68D" w14:textId="77777777" w:rsidR="00584EC1" w:rsidRDefault="00584EC1">
            <w:pPr>
              <w:rPr>
                <w:rFonts w:ascii="宋体"/>
                <w:vanish/>
              </w:rPr>
            </w:pPr>
          </w:p>
        </w:tc>
        <w:tc>
          <w:tcPr>
            <w:tcW w:w="0" w:type="auto"/>
            <w:gridSpan w:val="3"/>
            <w:shd w:val="clear" w:color="auto" w:fill="auto"/>
            <w:vAlign w:val="bottom"/>
          </w:tcPr>
          <w:p w14:paraId="74DDE68E" w14:textId="77777777" w:rsidR="00584EC1" w:rsidRDefault="00584EC1">
            <w:pPr>
              <w:rPr>
                <w:rFonts w:ascii="宋体"/>
                <w:vanish/>
              </w:rPr>
            </w:pPr>
          </w:p>
        </w:tc>
        <w:tc>
          <w:tcPr>
            <w:tcW w:w="0" w:type="auto"/>
            <w:gridSpan w:val="3"/>
            <w:shd w:val="clear" w:color="auto" w:fill="auto"/>
            <w:vAlign w:val="bottom"/>
          </w:tcPr>
          <w:p w14:paraId="74DDE68F" w14:textId="77777777" w:rsidR="00584EC1" w:rsidRDefault="00584EC1">
            <w:pPr>
              <w:rPr>
                <w:rFonts w:ascii="宋体"/>
                <w:vanish/>
              </w:rPr>
            </w:pPr>
          </w:p>
        </w:tc>
        <w:tc>
          <w:tcPr>
            <w:tcW w:w="0" w:type="auto"/>
            <w:gridSpan w:val="3"/>
            <w:shd w:val="clear" w:color="auto" w:fill="auto"/>
            <w:vAlign w:val="bottom"/>
          </w:tcPr>
          <w:p w14:paraId="74DDE690" w14:textId="77777777" w:rsidR="00584EC1" w:rsidRDefault="00584EC1">
            <w:pPr>
              <w:rPr>
                <w:rFonts w:ascii="宋体"/>
                <w:vanish/>
              </w:rPr>
            </w:pPr>
          </w:p>
        </w:tc>
        <w:tc>
          <w:tcPr>
            <w:tcW w:w="0" w:type="auto"/>
            <w:shd w:val="clear" w:color="auto" w:fill="auto"/>
            <w:vAlign w:val="bottom"/>
          </w:tcPr>
          <w:p w14:paraId="74DDE691" w14:textId="77777777" w:rsidR="00584EC1" w:rsidRDefault="00584EC1">
            <w:pPr>
              <w:rPr>
                <w:rFonts w:ascii="宋体"/>
                <w:vanish/>
              </w:rPr>
            </w:pPr>
          </w:p>
        </w:tc>
        <w:tc>
          <w:tcPr>
            <w:tcW w:w="0" w:type="auto"/>
            <w:shd w:val="clear" w:color="auto" w:fill="auto"/>
            <w:vAlign w:val="bottom"/>
          </w:tcPr>
          <w:p w14:paraId="74DDE692" w14:textId="77777777" w:rsidR="00584EC1" w:rsidRDefault="00584EC1">
            <w:pPr>
              <w:rPr>
                <w:rFonts w:ascii="宋体"/>
                <w:vanish/>
              </w:rPr>
            </w:pPr>
          </w:p>
        </w:tc>
        <w:tc>
          <w:tcPr>
            <w:tcW w:w="0" w:type="auto"/>
            <w:gridSpan w:val="3"/>
            <w:shd w:val="clear" w:color="auto" w:fill="auto"/>
            <w:vAlign w:val="bottom"/>
          </w:tcPr>
          <w:p w14:paraId="74DDE693" w14:textId="77777777" w:rsidR="00584EC1" w:rsidRDefault="00584EC1">
            <w:pPr>
              <w:rPr>
                <w:rFonts w:ascii="宋体"/>
                <w:vanish/>
              </w:rPr>
            </w:pPr>
          </w:p>
        </w:tc>
        <w:tc>
          <w:tcPr>
            <w:tcW w:w="0" w:type="auto"/>
            <w:gridSpan w:val="3"/>
            <w:shd w:val="clear" w:color="auto" w:fill="auto"/>
            <w:vAlign w:val="bottom"/>
          </w:tcPr>
          <w:p w14:paraId="74DDE694" w14:textId="77777777" w:rsidR="00584EC1" w:rsidRDefault="00584EC1">
            <w:pPr>
              <w:rPr>
                <w:rFonts w:ascii="宋体"/>
                <w:vanish/>
              </w:rPr>
            </w:pPr>
          </w:p>
        </w:tc>
        <w:tc>
          <w:tcPr>
            <w:tcW w:w="0" w:type="auto"/>
            <w:gridSpan w:val="3"/>
            <w:shd w:val="clear" w:color="auto" w:fill="auto"/>
            <w:vAlign w:val="bottom"/>
          </w:tcPr>
          <w:p w14:paraId="74DDE695" w14:textId="77777777" w:rsidR="00584EC1" w:rsidRDefault="00584EC1">
            <w:pPr>
              <w:rPr>
                <w:rFonts w:ascii="宋体"/>
                <w:vanish/>
              </w:rPr>
            </w:pPr>
          </w:p>
        </w:tc>
        <w:tc>
          <w:tcPr>
            <w:tcW w:w="0" w:type="auto"/>
            <w:gridSpan w:val="3"/>
            <w:shd w:val="clear" w:color="auto" w:fill="auto"/>
            <w:vAlign w:val="bottom"/>
          </w:tcPr>
          <w:p w14:paraId="74DDE696" w14:textId="77777777" w:rsidR="00584EC1" w:rsidRDefault="00584EC1">
            <w:pPr>
              <w:rPr>
                <w:rFonts w:ascii="宋体"/>
                <w:vanish/>
              </w:rPr>
            </w:pPr>
          </w:p>
        </w:tc>
        <w:tc>
          <w:tcPr>
            <w:tcW w:w="0" w:type="auto"/>
            <w:gridSpan w:val="3"/>
            <w:shd w:val="clear" w:color="auto" w:fill="auto"/>
            <w:vAlign w:val="bottom"/>
          </w:tcPr>
          <w:p w14:paraId="74DDE697" w14:textId="77777777" w:rsidR="00584EC1" w:rsidRDefault="00584EC1">
            <w:pPr>
              <w:rPr>
                <w:rFonts w:ascii="宋体"/>
                <w:vanish/>
              </w:rPr>
            </w:pPr>
          </w:p>
        </w:tc>
      </w:tr>
      <w:tr w:rsidR="00584EC1" w14:paraId="74DDE6AB" w14:textId="77777777">
        <w:trPr>
          <w:hidden/>
        </w:trPr>
        <w:tc>
          <w:tcPr>
            <w:tcW w:w="0" w:type="auto"/>
            <w:gridSpan w:val="3"/>
            <w:shd w:val="clear" w:color="auto" w:fill="auto"/>
            <w:vAlign w:val="bottom"/>
          </w:tcPr>
          <w:p w14:paraId="74DDE699" w14:textId="77777777" w:rsidR="00584EC1" w:rsidRDefault="00584EC1">
            <w:pPr>
              <w:rPr>
                <w:rFonts w:ascii="宋体"/>
                <w:vanish/>
              </w:rPr>
            </w:pPr>
          </w:p>
        </w:tc>
        <w:tc>
          <w:tcPr>
            <w:tcW w:w="0" w:type="auto"/>
            <w:gridSpan w:val="3"/>
            <w:shd w:val="clear" w:color="auto" w:fill="auto"/>
            <w:vAlign w:val="bottom"/>
          </w:tcPr>
          <w:p w14:paraId="74DDE69A" w14:textId="77777777" w:rsidR="00584EC1" w:rsidRDefault="00584EC1">
            <w:pPr>
              <w:rPr>
                <w:rFonts w:ascii="宋体"/>
                <w:vanish/>
              </w:rPr>
            </w:pPr>
          </w:p>
        </w:tc>
        <w:tc>
          <w:tcPr>
            <w:tcW w:w="0" w:type="auto"/>
            <w:gridSpan w:val="3"/>
            <w:shd w:val="clear" w:color="auto" w:fill="auto"/>
            <w:vAlign w:val="bottom"/>
          </w:tcPr>
          <w:p w14:paraId="74DDE69B" w14:textId="77777777" w:rsidR="00584EC1" w:rsidRDefault="00584EC1">
            <w:pPr>
              <w:rPr>
                <w:rFonts w:ascii="宋体"/>
                <w:vanish/>
              </w:rPr>
            </w:pPr>
          </w:p>
        </w:tc>
        <w:tc>
          <w:tcPr>
            <w:tcW w:w="0" w:type="auto"/>
            <w:gridSpan w:val="3"/>
            <w:shd w:val="clear" w:color="auto" w:fill="auto"/>
            <w:vAlign w:val="bottom"/>
          </w:tcPr>
          <w:p w14:paraId="74DDE69C" w14:textId="77777777" w:rsidR="00584EC1" w:rsidRDefault="00584EC1">
            <w:pPr>
              <w:rPr>
                <w:rFonts w:ascii="宋体"/>
                <w:vanish/>
              </w:rPr>
            </w:pPr>
          </w:p>
        </w:tc>
        <w:tc>
          <w:tcPr>
            <w:tcW w:w="0" w:type="auto"/>
            <w:gridSpan w:val="3"/>
            <w:shd w:val="clear" w:color="auto" w:fill="auto"/>
            <w:vAlign w:val="bottom"/>
          </w:tcPr>
          <w:p w14:paraId="74DDE69D" w14:textId="77777777" w:rsidR="00584EC1" w:rsidRDefault="00584EC1">
            <w:pPr>
              <w:rPr>
                <w:rFonts w:ascii="宋体"/>
                <w:vanish/>
              </w:rPr>
            </w:pPr>
          </w:p>
        </w:tc>
        <w:tc>
          <w:tcPr>
            <w:tcW w:w="0" w:type="auto"/>
            <w:gridSpan w:val="3"/>
            <w:shd w:val="clear" w:color="auto" w:fill="auto"/>
            <w:vAlign w:val="bottom"/>
          </w:tcPr>
          <w:p w14:paraId="74DDE69E" w14:textId="77777777" w:rsidR="00584EC1" w:rsidRDefault="00584EC1">
            <w:pPr>
              <w:rPr>
                <w:rFonts w:ascii="宋体"/>
                <w:vanish/>
              </w:rPr>
            </w:pPr>
          </w:p>
        </w:tc>
        <w:tc>
          <w:tcPr>
            <w:tcW w:w="0" w:type="auto"/>
            <w:gridSpan w:val="3"/>
            <w:shd w:val="clear" w:color="auto" w:fill="auto"/>
            <w:vAlign w:val="bottom"/>
          </w:tcPr>
          <w:p w14:paraId="74DDE69F" w14:textId="77777777" w:rsidR="00584EC1" w:rsidRDefault="00584EC1">
            <w:pPr>
              <w:rPr>
                <w:rFonts w:ascii="宋体"/>
                <w:vanish/>
              </w:rPr>
            </w:pPr>
          </w:p>
        </w:tc>
        <w:tc>
          <w:tcPr>
            <w:tcW w:w="0" w:type="auto"/>
            <w:gridSpan w:val="3"/>
            <w:shd w:val="clear" w:color="auto" w:fill="auto"/>
            <w:vAlign w:val="bottom"/>
          </w:tcPr>
          <w:p w14:paraId="74DDE6A0" w14:textId="77777777" w:rsidR="00584EC1" w:rsidRDefault="00584EC1">
            <w:pPr>
              <w:rPr>
                <w:rFonts w:ascii="宋体"/>
                <w:vanish/>
              </w:rPr>
            </w:pPr>
          </w:p>
        </w:tc>
        <w:tc>
          <w:tcPr>
            <w:tcW w:w="0" w:type="auto"/>
            <w:gridSpan w:val="3"/>
            <w:shd w:val="clear" w:color="auto" w:fill="auto"/>
            <w:vAlign w:val="bottom"/>
          </w:tcPr>
          <w:p w14:paraId="74DDE6A1" w14:textId="77777777" w:rsidR="00584EC1" w:rsidRDefault="00584EC1">
            <w:pPr>
              <w:rPr>
                <w:rFonts w:ascii="宋体"/>
                <w:vanish/>
              </w:rPr>
            </w:pPr>
          </w:p>
        </w:tc>
        <w:tc>
          <w:tcPr>
            <w:tcW w:w="0" w:type="auto"/>
            <w:gridSpan w:val="3"/>
            <w:shd w:val="clear" w:color="auto" w:fill="auto"/>
            <w:vAlign w:val="bottom"/>
          </w:tcPr>
          <w:p w14:paraId="74DDE6A2" w14:textId="77777777" w:rsidR="00584EC1" w:rsidRDefault="00584EC1">
            <w:pPr>
              <w:rPr>
                <w:rFonts w:ascii="宋体"/>
                <w:vanish/>
              </w:rPr>
            </w:pPr>
          </w:p>
        </w:tc>
        <w:tc>
          <w:tcPr>
            <w:tcW w:w="0" w:type="auto"/>
            <w:gridSpan w:val="3"/>
            <w:shd w:val="clear" w:color="auto" w:fill="auto"/>
            <w:vAlign w:val="bottom"/>
          </w:tcPr>
          <w:p w14:paraId="74DDE6A3" w14:textId="77777777" w:rsidR="00584EC1" w:rsidRDefault="00584EC1">
            <w:pPr>
              <w:rPr>
                <w:rFonts w:ascii="宋体"/>
                <w:vanish/>
              </w:rPr>
            </w:pPr>
          </w:p>
        </w:tc>
        <w:tc>
          <w:tcPr>
            <w:tcW w:w="0" w:type="auto"/>
            <w:shd w:val="clear" w:color="auto" w:fill="auto"/>
            <w:vAlign w:val="bottom"/>
          </w:tcPr>
          <w:p w14:paraId="74DDE6A4" w14:textId="77777777" w:rsidR="00584EC1" w:rsidRDefault="00584EC1">
            <w:pPr>
              <w:rPr>
                <w:rFonts w:ascii="宋体"/>
                <w:vanish/>
              </w:rPr>
            </w:pPr>
          </w:p>
        </w:tc>
        <w:tc>
          <w:tcPr>
            <w:tcW w:w="0" w:type="auto"/>
            <w:shd w:val="clear" w:color="auto" w:fill="auto"/>
            <w:vAlign w:val="bottom"/>
          </w:tcPr>
          <w:p w14:paraId="74DDE6A5" w14:textId="77777777" w:rsidR="00584EC1" w:rsidRDefault="00584EC1">
            <w:pPr>
              <w:rPr>
                <w:rFonts w:ascii="宋体"/>
                <w:vanish/>
              </w:rPr>
            </w:pPr>
          </w:p>
        </w:tc>
        <w:tc>
          <w:tcPr>
            <w:tcW w:w="0" w:type="auto"/>
            <w:gridSpan w:val="3"/>
            <w:shd w:val="clear" w:color="auto" w:fill="auto"/>
            <w:vAlign w:val="bottom"/>
          </w:tcPr>
          <w:p w14:paraId="74DDE6A6" w14:textId="77777777" w:rsidR="00584EC1" w:rsidRDefault="00584EC1">
            <w:pPr>
              <w:rPr>
                <w:rFonts w:ascii="宋体"/>
                <w:vanish/>
              </w:rPr>
            </w:pPr>
          </w:p>
        </w:tc>
        <w:tc>
          <w:tcPr>
            <w:tcW w:w="0" w:type="auto"/>
            <w:gridSpan w:val="3"/>
            <w:shd w:val="clear" w:color="auto" w:fill="auto"/>
            <w:vAlign w:val="bottom"/>
          </w:tcPr>
          <w:p w14:paraId="74DDE6A7" w14:textId="77777777" w:rsidR="00584EC1" w:rsidRDefault="00584EC1">
            <w:pPr>
              <w:rPr>
                <w:rFonts w:ascii="宋体"/>
                <w:vanish/>
              </w:rPr>
            </w:pPr>
          </w:p>
        </w:tc>
        <w:tc>
          <w:tcPr>
            <w:tcW w:w="0" w:type="auto"/>
            <w:gridSpan w:val="3"/>
            <w:shd w:val="clear" w:color="auto" w:fill="auto"/>
            <w:vAlign w:val="bottom"/>
          </w:tcPr>
          <w:p w14:paraId="74DDE6A8" w14:textId="77777777" w:rsidR="00584EC1" w:rsidRDefault="00584EC1">
            <w:pPr>
              <w:rPr>
                <w:rFonts w:ascii="宋体"/>
                <w:vanish/>
              </w:rPr>
            </w:pPr>
          </w:p>
        </w:tc>
        <w:tc>
          <w:tcPr>
            <w:tcW w:w="0" w:type="auto"/>
            <w:gridSpan w:val="3"/>
            <w:shd w:val="clear" w:color="auto" w:fill="auto"/>
            <w:vAlign w:val="bottom"/>
          </w:tcPr>
          <w:p w14:paraId="74DDE6A9" w14:textId="77777777" w:rsidR="00584EC1" w:rsidRDefault="00584EC1">
            <w:pPr>
              <w:rPr>
                <w:rFonts w:ascii="宋体"/>
                <w:vanish/>
              </w:rPr>
            </w:pPr>
          </w:p>
        </w:tc>
        <w:tc>
          <w:tcPr>
            <w:tcW w:w="0" w:type="auto"/>
            <w:gridSpan w:val="3"/>
            <w:shd w:val="clear" w:color="auto" w:fill="auto"/>
            <w:vAlign w:val="bottom"/>
          </w:tcPr>
          <w:p w14:paraId="74DDE6AA" w14:textId="77777777" w:rsidR="00584EC1" w:rsidRDefault="00584EC1">
            <w:pPr>
              <w:rPr>
                <w:rFonts w:ascii="宋体"/>
                <w:vanish/>
              </w:rPr>
            </w:pPr>
          </w:p>
        </w:tc>
      </w:tr>
    </w:tbl>
    <w:p w14:paraId="74DDE6AC" w14:textId="77777777" w:rsidR="00584EC1" w:rsidRDefault="00584E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584EC1" w14:paraId="74DDE6B3" w14:textId="77777777">
        <w:tc>
          <w:tcPr>
            <w:tcW w:w="50" w:type="pct"/>
            <w:shd w:val="clear" w:color="auto" w:fill="auto"/>
            <w:vAlign w:val="bottom"/>
          </w:tcPr>
          <w:p w14:paraId="74DDE6AD" w14:textId="77777777" w:rsidR="00584EC1" w:rsidRDefault="00584EC1">
            <w:pPr>
              <w:rPr>
                <w:rFonts w:ascii="宋体"/>
              </w:rPr>
            </w:pPr>
          </w:p>
        </w:tc>
        <w:tc>
          <w:tcPr>
            <w:tcW w:w="1348" w:type="pct"/>
            <w:shd w:val="clear" w:color="auto" w:fill="auto"/>
            <w:vAlign w:val="bottom"/>
          </w:tcPr>
          <w:p w14:paraId="74DDE6AE" w14:textId="77777777" w:rsidR="00584EC1" w:rsidRDefault="00584EC1">
            <w:pPr>
              <w:rPr>
                <w:rFonts w:ascii="宋体"/>
              </w:rPr>
            </w:pPr>
          </w:p>
        </w:tc>
        <w:tc>
          <w:tcPr>
            <w:tcW w:w="5" w:type="pct"/>
            <w:shd w:val="clear" w:color="auto" w:fill="auto"/>
            <w:vAlign w:val="bottom"/>
          </w:tcPr>
          <w:p w14:paraId="74DDE6AF" w14:textId="77777777" w:rsidR="00584EC1" w:rsidRDefault="00584EC1">
            <w:pPr>
              <w:rPr>
                <w:rFonts w:ascii="宋体"/>
              </w:rPr>
            </w:pPr>
          </w:p>
        </w:tc>
        <w:tc>
          <w:tcPr>
            <w:tcW w:w="50" w:type="pct"/>
            <w:shd w:val="clear" w:color="auto" w:fill="auto"/>
            <w:vAlign w:val="bottom"/>
          </w:tcPr>
          <w:p w14:paraId="74DDE6B0" w14:textId="77777777" w:rsidR="00584EC1" w:rsidRDefault="00584EC1">
            <w:pPr>
              <w:rPr>
                <w:rFonts w:ascii="宋体"/>
              </w:rPr>
            </w:pPr>
          </w:p>
        </w:tc>
        <w:tc>
          <w:tcPr>
            <w:tcW w:w="3541" w:type="pct"/>
            <w:shd w:val="clear" w:color="auto" w:fill="auto"/>
            <w:vAlign w:val="bottom"/>
          </w:tcPr>
          <w:p w14:paraId="74DDE6B1" w14:textId="77777777" w:rsidR="00584EC1" w:rsidRDefault="00584EC1">
            <w:pPr>
              <w:rPr>
                <w:rFonts w:ascii="宋体"/>
              </w:rPr>
            </w:pPr>
          </w:p>
        </w:tc>
        <w:tc>
          <w:tcPr>
            <w:tcW w:w="5" w:type="pct"/>
            <w:shd w:val="clear" w:color="auto" w:fill="auto"/>
            <w:vAlign w:val="bottom"/>
          </w:tcPr>
          <w:p w14:paraId="74DDE6B2" w14:textId="77777777" w:rsidR="00584EC1" w:rsidRDefault="00584EC1">
            <w:pPr>
              <w:rPr>
                <w:rFonts w:ascii="宋体"/>
              </w:rPr>
            </w:pPr>
          </w:p>
        </w:tc>
      </w:tr>
      <w:tr w:rsidR="00584EC1" w14:paraId="74DDE6B6"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4DDE6B4"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6B5" w14:textId="77777777" w:rsidR="00584EC1" w:rsidRDefault="00584EC1">
            <w:pPr>
              <w:rPr>
                <w:rFonts w:ascii="宋体"/>
              </w:rPr>
            </w:pPr>
          </w:p>
        </w:tc>
      </w:tr>
    </w:tbl>
    <w:p w14:paraId="74DDE6B7" w14:textId="77777777" w:rsidR="00584EC1" w:rsidRDefault="00871F8D">
      <w:pPr>
        <w:jc w:val="both"/>
      </w:pPr>
      <w:r>
        <w:rPr>
          <w:rFonts w:ascii="Arial" w:eastAsia="宋体" w:hAnsi="Arial" w:cs="Arial"/>
          <w:color w:val="000000"/>
          <w:sz w:val="8"/>
          <w:szCs w:val="8"/>
        </w:rPr>
        <w:t xml:space="preserve">(1) </w:t>
      </w:r>
      <w:r>
        <w:rPr>
          <w:rFonts w:ascii="Arial" w:eastAsia="宋体" w:hAnsi="Arial" w:cs="Arial"/>
          <w:color w:val="000000"/>
          <w:sz w:val="13"/>
          <w:szCs w:val="13"/>
        </w:rPr>
        <w:t>Any reserve associated with accrued interest is not material.</w:t>
      </w:r>
      <w:r>
        <w:rPr>
          <w:rFonts w:ascii="Arial" w:eastAsia="宋体" w:hAnsi="Arial" w:cs="Arial"/>
          <w:color w:val="000000"/>
          <w:sz w:val="8"/>
          <w:szCs w:val="8"/>
        </w:rPr>
        <w:t xml:space="preserve"> </w:t>
      </w:r>
      <w:r>
        <w:rPr>
          <w:rFonts w:ascii="Arial" w:eastAsia="宋体" w:hAnsi="Arial" w:cs="Arial"/>
          <w:color w:val="000000"/>
          <w:sz w:val="13"/>
          <w:szCs w:val="13"/>
        </w:rPr>
        <w:t xml:space="preserve">As of September 30, 2021, accrued interest receivable of $82 million included in the amortized cost basis of loans has </w:t>
      </w:r>
      <w:r>
        <w:rPr>
          <w:rFonts w:ascii="Arial" w:eastAsia="宋体" w:hAnsi="Arial" w:cs="Arial"/>
          <w:color w:val="000000"/>
          <w:sz w:val="13"/>
          <w:szCs w:val="13"/>
        </w:rPr>
        <w:t>been excluded from the amortized cost basis within this table.</w:t>
      </w:r>
    </w:p>
    <w:p w14:paraId="74DDE6B8" w14:textId="77777777" w:rsidR="00584EC1" w:rsidRDefault="00584EC1">
      <w:pPr>
        <w:spacing w:before="20"/>
        <w:ind w:firstLine="450"/>
        <w:jc w:val="both"/>
      </w:pPr>
    </w:p>
    <w:p w14:paraId="74DDE6B9" w14:textId="77777777" w:rsidR="00584EC1" w:rsidRDefault="00871F8D">
      <w:pPr>
        <w:ind w:firstLine="450"/>
        <w:jc w:val="right"/>
      </w:pPr>
      <w:r>
        <w:rPr>
          <w:rFonts w:ascii="Arial" w:eastAsia="宋体" w:hAnsi="Arial" w:cs="Arial"/>
          <w:color w:val="000000"/>
          <w:sz w:val="18"/>
          <w:szCs w:val="18"/>
        </w:rPr>
        <w:t>State Street Corporation | 72</w:t>
      </w:r>
    </w:p>
    <w:p w14:paraId="74DDE6BA" w14:textId="77777777" w:rsidR="00584EC1" w:rsidRDefault="00584EC1">
      <w:pPr>
        <w:ind w:firstLine="450"/>
        <w:jc w:val="center"/>
      </w:pPr>
    </w:p>
    <w:p w14:paraId="74DDE6BB" w14:textId="77777777" w:rsidR="00584EC1" w:rsidRDefault="00871F8D">
      <w:r>
        <w:pict w14:anchorId="74DE2A36">
          <v:rect id="_x0000_i1096" style="width:415.3pt;height:1.5pt" o:hralign="center" o:hrstd="t" o:hr="t" fillcolor="#a0a0a0" stroked="f"/>
        </w:pict>
      </w:r>
    </w:p>
    <w:p w14:paraId="74DDE6BC" w14:textId="77777777" w:rsidR="00584EC1" w:rsidRDefault="00871F8D">
      <w:pPr>
        <w:ind w:firstLine="450"/>
        <w:jc w:val="center"/>
      </w:pPr>
      <w:r>
        <w:rPr>
          <w:rFonts w:ascii="Arial" w:eastAsia="宋体" w:hAnsi="Arial" w:cs="Arial"/>
          <w:b/>
          <w:bCs/>
          <w:color w:val="000000"/>
          <w:sz w:val="20"/>
          <w:szCs w:val="20"/>
        </w:rPr>
        <w:t>STATE STREET CORPORATION</w:t>
      </w:r>
    </w:p>
    <w:p w14:paraId="74DDE6BD" w14:textId="77777777" w:rsidR="00584EC1" w:rsidRDefault="00871F8D">
      <w:pPr>
        <w:ind w:firstLine="450"/>
        <w:jc w:val="center"/>
      </w:pPr>
      <w:r>
        <w:rPr>
          <w:rFonts w:ascii="Arial" w:eastAsia="宋体" w:hAnsi="Arial" w:cs="Arial"/>
          <w:b/>
          <w:bCs/>
          <w:color w:val="000000"/>
          <w:sz w:val="20"/>
          <w:szCs w:val="20"/>
        </w:rPr>
        <w:t>CONDENSED NOTES TO CONSOLIDATED FINANCIAL STATEMENTS</w:t>
      </w:r>
    </w:p>
    <w:p w14:paraId="74DDE6BE" w14:textId="77777777" w:rsidR="00584EC1" w:rsidRDefault="00871F8D">
      <w:pPr>
        <w:ind w:firstLine="450"/>
        <w:jc w:val="center"/>
      </w:pPr>
      <w:r>
        <w:rPr>
          <w:rFonts w:ascii="Arial" w:eastAsia="宋体" w:hAnsi="Arial" w:cs="Arial"/>
          <w:b/>
          <w:bCs/>
          <w:color w:val="000000"/>
          <w:sz w:val="20"/>
          <w:szCs w:val="20"/>
        </w:rPr>
        <w:t>(UNAUDITED)</w:t>
      </w:r>
    </w:p>
    <w:p w14:paraId="74DDE6BF" w14:textId="77777777" w:rsidR="00584EC1" w:rsidRDefault="00871F8D">
      <w:pPr>
        <w:spacing w:before="60"/>
        <w:ind w:firstLine="450"/>
        <w:jc w:val="both"/>
      </w:pPr>
      <w:r>
        <w:rPr>
          <w:rFonts w:ascii="Arial" w:eastAsia="宋体" w:hAnsi="Arial" w:cs="Arial"/>
          <w:color w:val="000000"/>
          <w:sz w:val="20"/>
          <w:szCs w:val="20"/>
        </w:rPr>
        <w:t xml:space="preserve">The following table presents the amortized cost basis, by year of </w:t>
      </w:r>
      <w:r>
        <w:rPr>
          <w:rFonts w:ascii="Arial" w:eastAsia="宋体" w:hAnsi="Arial" w:cs="Arial"/>
          <w:color w:val="000000"/>
          <w:sz w:val="20"/>
          <w:szCs w:val="20"/>
        </w:rPr>
        <w:t>origination and credit quality indicator as of December 31, 2020:</w:t>
      </w:r>
    </w:p>
    <w:p w14:paraId="74DDE6C0" w14:textId="77777777" w:rsidR="00584EC1" w:rsidRDefault="00584EC1">
      <w:pPr>
        <w:spacing w:before="20"/>
        <w:ind w:firstLine="450"/>
        <w:jc w:val="both"/>
      </w:pPr>
    </w:p>
    <w:p w14:paraId="74DDE6C1" w14:textId="77777777" w:rsidR="00584EC1" w:rsidRDefault="00584EC1">
      <w:pPr>
        <w:spacing w:before="20"/>
        <w:ind w:firstLine="450"/>
        <w:jc w:val="both"/>
      </w:pPr>
    </w:p>
    <w:tbl>
      <w:tblPr>
        <w:tblW w:w="5000" w:type="pct"/>
        <w:tblCellMar>
          <w:top w:w="15" w:type="dxa"/>
          <w:left w:w="15" w:type="dxa"/>
          <w:bottom w:w="15" w:type="dxa"/>
          <w:right w:w="15" w:type="dxa"/>
        </w:tblCellMar>
        <w:tblLook w:val="04A0" w:firstRow="1" w:lastRow="0" w:firstColumn="1" w:lastColumn="0" w:noHBand="0" w:noVBand="1"/>
      </w:tblPr>
      <w:tblGrid>
        <w:gridCol w:w="41"/>
        <w:gridCol w:w="2362"/>
        <w:gridCol w:w="40"/>
        <w:gridCol w:w="98"/>
        <w:gridCol w:w="477"/>
        <w:gridCol w:w="36"/>
        <w:gridCol w:w="36"/>
        <w:gridCol w:w="36"/>
        <w:gridCol w:w="36"/>
        <w:gridCol w:w="98"/>
        <w:gridCol w:w="439"/>
        <w:gridCol w:w="36"/>
        <w:gridCol w:w="36"/>
        <w:gridCol w:w="36"/>
        <w:gridCol w:w="36"/>
        <w:gridCol w:w="98"/>
        <w:gridCol w:w="439"/>
        <w:gridCol w:w="36"/>
        <w:gridCol w:w="36"/>
        <w:gridCol w:w="36"/>
        <w:gridCol w:w="36"/>
        <w:gridCol w:w="98"/>
        <w:gridCol w:w="439"/>
        <w:gridCol w:w="36"/>
        <w:gridCol w:w="36"/>
        <w:gridCol w:w="36"/>
        <w:gridCol w:w="36"/>
        <w:gridCol w:w="98"/>
        <w:gridCol w:w="439"/>
        <w:gridCol w:w="36"/>
        <w:gridCol w:w="36"/>
        <w:gridCol w:w="36"/>
        <w:gridCol w:w="36"/>
        <w:gridCol w:w="36"/>
        <w:gridCol w:w="36"/>
        <w:gridCol w:w="99"/>
        <w:gridCol w:w="439"/>
        <w:gridCol w:w="36"/>
        <w:gridCol w:w="36"/>
        <w:gridCol w:w="36"/>
        <w:gridCol w:w="36"/>
        <w:gridCol w:w="99"/>
        <w:gridCol w:w="851"/>
        <w:gridCol w:w="36"/>
        <w:gridCol w:w="36"/>
        <w:gridCol w:w="36"/>
        <w:gridCol w:w="36"/>
        <w:gridCol w:w="98"/>
        <w:gridCol w:w="468"/>
        <w:gridCol w:w="36"/>
      </w:tblGrid>
      <w:tr w:rsidR="00584EC1" w14:paraId="74DDE6F4" w14:textId="77777777">
        <w:tc>
          <w:tcPr>
            <w:tcW w:w="50" w:type="pct"/>
            <w:shd w:val="clear" w:color="auto" w:fill="auto"/>
            <w:vAlign w:val="bottom"/>
          </w:tcPr>
          <w:p w14:paraId="74DDE6C2" w14:textId="77777777" w:rsidR="00584EC1" w:rsidRDefault="00584EC1">
            <w:pPr>
              <w:rPr>
                <w:rFonts w:ascii="宋体"/>
              </w:rPr>
            </w:pPr>
          </w:p>
        </w:tc>
        <w:tc>
          <w:tcPr>
            <w:tcW w:w="1458" w:type="pct"/>
            <w:shd w:val="clear" w:color="auto" w:fill="auto"/>
            <w:vAlign w:val="bottom"/>
          </w:tcPr>
          <w:p w14:paraId="74DDE6C3" w14:textId="77777777" w:rsidR="00584EC1" w:rsidRDefault="00584EC1">
            <w:pPr>
              <w:rPr>
                <w:rFonts w:ascii="宋体"/>
              </w:rPr>
            </w:pPr>
          </w:p>
        </w:tc>
        <w:tc>
          <w:tcPr>
            <w:tcW w:w="5" w:type="pct"/>
            <w:shd w:val="clear" w:color="auto" w:fill="auto"/>
            <w:vAlign w:val="bottom"/>
          </w:tcPr>
          <w:p w14:paraId="74DDE6C4" w14:textId="77777777" w:rsidR="00584EC1" w:rsidRDefault="00584EC1">
            <w:pPr>
              <w:rPr>
                <w:rFonts w:ascii="宋体"/>
              </w:rPr>
            </w:pPr>
          </w:p>
        </w:tc>
        <w:tc>
          <w:tcPr>
            <w:tcW w:w="50" w:type="pct"/>
            <w:shd w:val="clear" w:color="auto" w:fill="auto"/>
            <w:vAlign w:val="bottom"/>
          </w:tcPr>
          <w:p w14:paraId="74DDE6C5" w14:textId="77777777" w:rsidR="00584EC1" w:rsidRDefault="00584EC1">
            <w:pPr>
              <w:rPr>
                <w:rFonts w:ascii="宋体"/>
              </w:rPr>
            </w:pPr>
          </w:p>
        </w:tc>
        <w:tc>
          <w:tcPr>
            <w:tcW w:w="317" w:type="pct"/>
            <w:shd w:val="clear" w:color="auto" w:fill="auto"/>
            <w:vAlign w:val="bottom"/>
          </w:tcPr>
          <w:p w14:paraId="74DDE6C6" w14:textId="77777777" w:rsidR="00584EC1" w:rsidRDefault="00584EC1">
            <w:pPr>
              <w:rPr>
                <w:rFonts w:ascii="宋体"/>
              </w:rPr>
            </w:pPr>
          </w:p>
        </w:tc>
        <w:tc>
          <w:tcPr>
            <w:tcW w:w="5" w:type="pct"/>
            <w:shd w:val="clear" w:color="auto" w:fill="auto"/>
            <w:vAlign w:val="bottom"/>
          </w:tcPr>
          <w:p w14:paraId="74DDE6C7" w14:textId="77777777" w:rsidR="00584EC1" w:rsidRDefault="00584EC1">
            <w:pPr>
              <w:rPr>
                <w:rFonts w:ascii="宋体"/>
              </w:rPr>
            </w:pPr>
          </w:p>
        </w:tc>
        <w:tc>
          <w:tcPr>
            <w:tcW w:w="5" w:type="pct"/>
            <w:shd w:val="clear" w:color="auto" w:fill="auto"/>
            <w:vAlign w:val="bottom"/>
          </w:tcPr>
          <w:p w14:paraId="74DDE6C8" w14:textId="77777777" w:rsidR="00584EC1" w:rsidRDefault="00584EC1">
            <w:pPr>
              <w:rPr>
                <w:rFonts w:ascii="宋体"/>
              </w:rPr>
            </w:pPr>
          </w:p>
        </w:tc>
        <w:tc>
          <w:tcPr>
            <w:tcW w:w="26" w:type="pct"/>
            <w:shd w:val="clear" w:color="auto" w:fill="auto"/>
            <w:vAlign w:val="bottom"/>
          </w:tcPr>
          <w:p w14:paraId="74DDE6C9" w14:textId="77777777" w:rsidR="00584EC1" w:rsidRDefault="00584EC1">
            <w:pPr>
              <w:rPr>
                <w:rFonts w:ascii="宋体"/>
              </w:rPr>
            </w:pPr>
          </w:p>
        </w:tc>
        <w:tc>
          <w:tcPr>
            <w:tcW w:w="5" w:type="pct"/>
            <w:shd w:val="clear" w:color="auto" w:fill="auto"/>
            <w:vAlign w:val="bottom"/>
          </w:tcPr>
          <w:p w14:paraId="74DDE6CA" w14:textId="77777777" w:rsidR="00584EC1" w:rsidRDefault="00584EC1">
            <w:pPr>
              <w:rPr>
                <w:rFonts w:ascii="宋体"/>
              </w:rPr>
            </w:pPr>
          </w:p>
        </w:tc>
        <w:tc>
          <w:tcPr>
            <w:tcW w:w="50" w:type="pct"/>
            <w:shd w:val="clear" w:color="auto" w:fill="auto"/>
            <w:vAlign w:val="bottom"/>
          </w:tcPr>
          <w:p w14:paraId="74DDE6CB" w14:textId="77777777" w:rsidR="00584EC1" w:rsidRDefault="00584EC1">
            <w:pPr>
              <w:rPr>
                <w:rFonts w:ascii="宋体"/>
              </w:rPr>
            </w:pPr>
          </w:p>
        </w:tc>
        <w:tc>
          <w:tcPr>
            <w:tcW w:w="317" w:type="pct"/>
            <w:shd w:val="clear" w:color="auto" w:fill="auto"/>
            <w:vAlign w:val="bottom"/>
          </w:tcPr>
          <w:p w14:paraId="74DDE6CC" w14:textId="77777777" w:rsidR="00584EC1" w:rsidRDefault="00584EC1">
            <w:pPr>
              <w:rPr>
                <w:rFonts w:ascii="宋体"/>
              </w:rPr>
            </w:pPr>
          </w:p>
        </w:tc>
        <w:tc>
          <w:tcPr>
            <w:tcW w:w="5" w:type="pct"/>
            <w:shd w:val="clear" w:color="auto" w:fill="auto"/>
            <w:vAlign w:val="bottom"/>
          </w:tcPr>
          <w:p w14:paraId="74DDE6CD" w14:textId="77777777" w:rsidR="00584EC1" w:rsidRDefault="00584EC1">
            <w:pPr>
              <w:rPr>
                <w:rFonts w:ascii="宋体"/>
              </w:rPr>
            </w:pPr>
          </w:p>
        </w:tc>
        <w:tc>
          <w:tcPr>
            <w:tcW w:w="5" w:type="pct"/>
            <w:shd w:val="clear" w:color="auto" w:fill="auto"/>
            <w:vAlign w:val="bottom"/>
          </w:tcPr>
          <w:p w14:paraId="74DDE6CE" w14:textId="77777777" w:rsidR="00584EC1" w:rsidRDefault="00584EC1">
            <w:pPr>
              <w:rPr>
                <w:rFonts w:ascii="宋体"/>
              </w:rPr>
            </w:pPr>
          </w:p>
        </w:tc>
        <w:tc>
          <w:tcPr>
            <w:tcW w:w="26" w:type="pct"/>
            <w:shd w:val="clear" w:color="auto" w:fill="auto"/>
            <w:vAlign w:val="bottom"/>
          </w:tcPr>
          <w:p w14:paraId="74DDE6CF" w14:textId="77777777" w:rsidR="00584EC1" w:rsidRDefault="00584EC1">
            <w:pPr>
              <w:rPr>
                <w:rFonts w:ascii="宋体"/>
              </w:rPr>
            </w:pPr>
          </w:p>
        </w:tc>
        <w:tc>
          <w:tcPr>
            <w:tcW w:w="5" w:type="pct"/>
            <w:shd w:val="clear" w:color="auto" w:fill="auto"/>
            <w:vAlign w:val="bottom"/>
          </w:tcPr>
          <w:p w14:paraId="74DDE6D0" w14:textId="77777777" w:rsidR="00584EC1" w:rsidRDefault="00584EC1">
            <w:pPr>
              <w:rPr>
                <w:rFonts w:ascii="宋体"/>
              </w:rPr>
            </w:pPr>
          </w:p>
        </w:tc>
        <w:tc>
          <w:tcPr>
            <w:tcW w:w="50" w:type="pct"/>
            <w:shd w:val="clear" w:color="auto" w:fill="auto"/>
            <w:vAlign w:val="bottom"/>
          </w:tcPr>
          <w:p w14:paraId="74DDE6D1" w14:textId="77777777" w:rsidR="00584EC1" w:rsidRDefault="00584EC1">
            <w:pPr>
              <w:rPr>
                <w:rFonts w:ascii="宋体"/>
              </w:rPr>
            </w:pPr>
          </w:p>
        </w:tc>
        <w:tc>
          <w:tcPr>
            <w:tcW w:w="317" w:type="pct"/>
            <w:shd w:val="clear" w:color="auto" w:fill="auto"/>
            <w:vAlign w:val="bottom"/>
          </w:tcPr>
          <w:p w14:paraId="74DDE6D2" w14:textId="77777777" w:rsidR="00584EC1" w:rsidRDefault="00584EC1">
            <w:pPr>
              <w:rPr>
                <w:rFonts w:ascii="宋体"/>
              </w:rPr>
            </w:pPr>
          </w:p>
        </w:tc>
        <w:tc>
          <w:tcPr>
            <w:tcW w:w="5" w:type="pct"/>
            <w:shd w:val="clear" w:color="auto" w:fill="auto"/>
            <w:vAlign w:val="bottom"/>
          </w:tcPr>
          <w:p w14:paraId="74DDE6D3" w14:textId="77777777" w:rsidR="00584EC1" w:rsidRDefault="00584EC1">
            <w:pPr>
              <w:rPr>
                <w:rFonts w:ascii="宋体"/>
              </w:rPr>
            </w:pPr>
          </w:p>
        </w:tc>
        <w:tc>
          <w:tcPr>
            <w:tcW w:w="5" w:type="pct"/>
            <w:shd w:val="clear" w:color="auto" w:fill="auto"/>
            <w:vAlign w:val="bottom"/>
          </w:tcPr>
          <w:p w14:paraId="74DDE6D4" w14:textId="77777777" w:rsidR="00584EC1" w:rsidRDefault="00584EC1">
            <w:pPr>
              <w:rPr>
                <w:rFonts w:ascii="宋体"/>
              </w:rPr>
            </w:pPr>
          </w:p>
        </w:tc>
        <w:tc>
          <w:tcPr>
            <w:tcW w:w="26" w:type="pct"/>
            <w:shd w:val="clear" w:color="auto" w:fill="auto"/>
            <w:vAlign w:val="bottom"/>
          </w:tcPr>
          <w:p w14:paraId="74DDE6D5" w14:textId="77777777" w:rsidR="00584EC1" w:rsidRDefault="00584EC1">
            <w:pPr>
              <w:rPr>
                <w:rFonts w:ascii="宋体"/>
              </w:rPr>
            </w:pPr>
          </w:p>
        </w:tc>
        <w:tc>
          <w:tcPr>
            <w:tcW w:w="5" w:type="pct"/>
            <w:shd w:val="clear" w:color="auto" w:fill="auto"/>
            <w:vAlign w:val="bottom"/>
          </w:tcPr>
          <w:p w14:paraId="74DDE6D6" w14:textId="77777777" w:rsidR="00584EC1" w:rsidRDefault="00584EC1">
            <w:pPr>
              <w:rPr>
                <w:rFonts w:ascii="宋体"/>
              </w:rPr>
            </w:pPr>
          </w:p>
        </w:tc>
        <w:tc>
          <w:tcPr>
            <w:tcW w:w="50" w:type="pct"/>
            <w:shd w:val="clear" w:color="auto" w:fill="auto"/>
            <w:vAlign w:val="bottom"/>
          </w:tcPr>
          <w:p w14:paraId="74DDE6D7" w14:textId="77777777" w:rsidR="00584EC1" w:rsidRDefault="00584EC1">
            <w:pPr>
              <w:rPr>
                <w:rFonts w:ascii="宋体"/>
              </w:rPr>
            </w:pPr>
          </w:p>
        </w:tc>
        <w:tc>
          <w:tcPr>
            <w:tcW w:w="317" w:type="pct"/>
            <w:shd w:val="clear" w:color="auto" w:fill="auto"/>
            <w:vAlign w:val="bottom"/>
          </w:tcPr>
          <w:p w14:paraId="74DDE6D8" w14:textId="77777777" w:rsidR="00584EC1" w:rsidRDefault="00584EC1">
            <w:pPr>
              <w:rPr>
                <w:rFonts w:ascii="宋体"/>
              </w:rPr>
            </w:pPr>
          </w:p>
        </w:tc>
        <w:tc>
          <w:tcPr>
            <w:tcW w:w="5" w:type="pct"/>
            <w:shd w:val="clear" w:color="auto" w:fill="auto"/>
            <w:vAlign w:val="bottom"/>
          </w:tcPr>
          <w:p w14:paraId="74DDE6D9" w14:textId="77777777" w:rsidR="00584EC1" w:rsidRDefault="00584EC1">
            <w:pPr>
              <w:rPr>
                <w:rFonts w:ascii="宋体"/>
              </w:rPr>
            </w:pPr>
          </w:p>
        </w:tc>
        <w:tc>
          <w:tcPr>
            <w:tcW w:w="5" w:type="pct"/>
            <w:shd w:val="clear" w:color="auto" w:fill="auto"/>
            <w:vAlign w:val="bottom"/>
          </w:tcPr>
          <w:p w14:paraId="74DDE6DA" w14:textId="77777777" w:rsidR="00584EC1" w:rsidRDefault="00584EC1">
            <w:pPr>
              <w:rPr>
                <w:rFonts w:ascii="宋体"/>
              </w:rPr>
            </w:pPr>
          </w:p>
        </w:tc>
        <w:tc>
          <w:tcPr>
            <w:tcW w:w="26" w:type="pct"/>
            <w:shd w:val="clear" w:color="auto" w:fill="auto"/>
            <w:vAlign w:val="bottom"/>
          </w:tcPr>
          <w:p w14:paraId="74DDE6DB" w14:textId="77777777" w:rsidR="00584EC1" w:rsidRDefault="00584EC1">
            <w:pPr>
              <w:rPr>
                <w:rFonts w:ascii="宋体"/>
              </w:rPr>
            </w:pPr>
          </w:p>
        </w:tc>
        <w:tc>
          <w:tcPr>
            <w:tcW w:w="5" w:type="pct"/>
            <w:shd w:val="clear" w:color="auto" w:fill="auto"/>
            <w:vAlign w:val="bottom"/>
          </w:tcPr>
          <w:p w14:paraId="74DDE6DC" w14:textId="77777777" w:rsidR="00584EC1" w:rsidRDefault="00584EC1">
            <w:pPr>
              <w:rPr>
                <w:rFonts w:ascii="宋体"/>
              </w:rPr>
            </w:pPr>
          </w:p>
        </w:tc>
        <w:tc>
          <w:tcPr>
            <w:tcW w:w="50" w:type="pct"/>
            <w:shd w:val="clear" w:color="auto" w:fill="auto"/>
            <w:vAlign w:val="bottom"/>
          </w:tcPr>
          <w:p w14:paraId="74DDE6DD" w14:textId="77777777" w:rsidR="00584EC1" w:rsidRDefault="00584EC1">
            <w:pPr>
              <w:rPr>
                <w:rFonts w:ascii="宋体"/>
              </w:rPr>
            </w:pPr>
          </w:p>
        </w:tc>
        <w:tc>
          <w:tcPr>
            <w:tcW w:w="317" w:type="pct"/>
            <w:shd w:val="clear" w:color="auto" w:fill="auto"/>
            <w:vAlign w:val="bottom"/>
          </w:tcPr>
          <w:p w14:paraId="74DDE6DE" w14:textId="77777777" w:rsidR="00584EC1" w:rsidRDefault="00584EC1">
            <w:pPr>
              <w:rPr>
                <w:rFonts w:ascii="宋体"/>
              </w:rPr>
            </w:pPr>
          </w:p>
        </w:tc>
        <w:tc>
          <w:tcPr>
            <w:tcW w:w="5" w:type="pct"/>
            <w:shd w:val="clear" w:color="auto" w:fill="auto"/>
            <w:vAlign w:val="bottom"/>
          </w:tcPr>
          <w:p w14:paraId="74DDE6DF" w14:textId="77777777" w:rsidR="00584EC1" w:rsidRDefault="00584EC1">
            <w:pPr>
              <w:rPr>
                <w:rFonts w:ascii="宋体"/>
              </w:rPr>
            </w:pPr>
          </w:p>
        </w:tc>
        <w:tc>
          <w:tcPr>
            <w:tcW w:w="5" w:type="pct"/>
            <w:shd w:val="clear" w:color="auto" w:fill="auto"/>
            <w:vAlign w:val="bottom"/>
          </w:tcPr>
          <w:p w14:paraId="74DDE6E0" w14:textId="77777777" w:rsidR="00584EC1" w:rsidRDefault="00584EC1">
            <w:pPr>
              <w:rPr>
                <w:rFonts w:ascii="宋体"/>
              </w:rPr>
            </w:pPr>
          </w:p>
        </w:tc>
        <w:tc>
          <w:tcPr>
            <w:tcW w:w="26" w:type="pct"/>
            <w:shd w:val="clear" w:color="auto" w:fill="auto"/>
            <w:vAlign w:val="bottom"/>
          </w:tcPr>
          <w:p w14:paraId="74DDE6E1" w14:textId="77777777" w:rsidR="00584EC1" w:rsidRDefault="00584EC1">
            <w:pPr>
              <w:rPr>
                <w:rFonts w:ascii="宋体"/>
              </w:rPr>
            </w:pPr>
          </w:p>
        </w:tc>
        <w:tc>
          <w:tcPr>
            <w:tcW w:w="5" w:type="pct"/>
            <w:shd w:val="clear" w:color="auto" w:fill="auto"/>
            <w:vAlign w:val="bottom"/>
          </w:tcPr>
          <w:p w14:paraId="74DDE6E2" w14:textId="77777777" w:rsidR="00584EC1" w:rsidRDefault="00584EC1">
            <w:pPr>
              <w:rPr>
                <w:rFonts w:ascii="宋体"/>
              </w:rPr>
            </w:pPr>
          </w:p>
        </w:tc>
        <w:tc>
          <w:tcPr>
            <w:tcW w:w="0" w:type="auto"/>
            <w:shd w:val="clear" w:color="auto" w:fill="auto"/>
            <w:vAlign w:val="bottom"/>
          </w:tcPr>
          <w:p w14:paraId="74DDE6E3" w14:textId="77777777" w:rsidR="00584EC1" w:rsidRDefault="00584EC1">
            <w:pPr>
              <w:rPr>
                <w:rFonts w:ascii="宋体"/>
                <w:vanish/>
              </w:rPr>
            </w:pPr>
          </w:p>
        </w:tc>
        <w:tc>
          <w:tcPr>
            <w:tcW w:w="0" w:type="auto"/>
            <w:shd w:val="clear" w:color="auto" w:fill="auto"/>
            <w:vAlign w:val="bottom"/>
          </w:tcPr>
          <w:p w14:paraId="74DDE6E4" w14:textId="77777777" w:rsidR="00584EC1" w:rsidRDefault="00584EC1">
            <w:pPr>
              <w:rPr>
                <w:rFonts w:ascii="宋体"/>
                <w:vanish/>
              </w:rPr>
            </w:pPr>
          </w:p>
        </w:tc>
        <w:tc>
          <w:tcPr>
            <w:tcW w:w="50" w:type="pct"/>
            <w:shd w:val="clear" w:color="auto" w:fill="auto"/>
            <w:vAlign w:val="bottom"/>
          </w:tcPr>
          <w:p w14:paraId="74DDE6E5" w14:textId="77777777" w:rsidR="00584EC1" w:rsidRDefault="00584EC1">
            <w:pPr>
              <w:rPr>
                <w:rFonts w:ascii="宋体"/>
              </w:rPr>
            </w:pPr>
          </w:p>
        </w:tc>
        <w:tc>
          <w:tcPr>
            <w:tcW w:w="317" w:type="pct"/>
            <w:shd w:val="clear" w:color="auto" w:fill="auto"/>
            <w:vAlign w:val="bottom"/>
          </w:tcPr>
          <w:p w14:paraId="74DDE6E6" w14:textId="77777777" w:rsidR="00584EC1" w:rsidRDefault="00584EC1">
            <w:pPr>
              <w:rPr>
                <w:rFonts w:ascii="宋体"/>
              </w:rPr>
            </w:pPr>
          </w:p>
        </w:tc>
        <w:tc>
          <w:tcPr>
            <w:tcW w:w="5" w:type="pct"/>
            <w:shd w:val="clear" w:color="auto" w:fill="auto"/>
            <w:vAlign w:val="bottom"/>
          </w:tcPr>
          <w:p w14:paraId="74DDE6E7" w14:textId="77777777" w:rsidR="00584EC1" w:rsidRDefault="00584EC1">
            <w:pPr>
              <w:rPr>
                <w:rFonts w:ascii="宋体"/>
              </w:rPr>
            </w:pPr>
          </w:p>
        </w:tc>
        <w:tc>
          <w:tcPr>
            <w:tcW w:w="5" w:type="pct"/>
            <w:shd w:val="clear" w:color="auto" w:fill="auto"/>
            <w:vAlign w:val="bottom"/>
          </w:tcPr>
          <w:p w14:paraId="74DDE6E8" w14:textId="77777777" w:rsidR="00584EC1" w:rsidRDefault="00584EC1">
            <w:pPr>
              <w:rPr>
                <w:rFonts w:ascii="宋体"/>
              </w:rPr>
            </w:pPr>
          </w:p>
        </w:tc>
        <w:tc>
          <w:tcPr>
            <w:tcW w:w="26" w:type="pct"/>
            <w:shd w:val="clear" w:color="auto" w:fill="auto"/>
            <w:vAlign w:val="bottom"/>
          </w:tcPr>
          <w:p w14:paraId="74DDE6E9" w14:textId="77777777" w:rsidR="00584EC1" w:rsidRDefault="00584EC1">
            <w:pPr>
              <w:rPr>
                <w:rFonts w:ascii="宋体"/>
              </w:rPr>
            </w:pPr>
          </w:p>
        </w:tc>
        <w:tc>
          <w:tcPr>
            <w:tcW w:w="5" w:type="pct"/>
            <w:shd w:val="clear" w:color="auto" w:fill="auto"/>
            <w:vAlign w:val="bottom"/>
          </w:tcPr>
          <w:p w14:paraId="74DDE6EA" w14:textId="77777777" w:rsidR="00584EC1" w:rsidRDefault="00584EC1">
            <w:pPr>
              <w:rPr>
                <w:rFonts w:ascii="宋体"/>
              </w:rPr>
            </w:pPr>
          </w:p>
        </w:tc>
        <w:tc>
          <w:tcPr>
            <w:tcW w:w="50" w:type="pct"/>
            <w:shd w:val="clear" w:color="auto" w:fill="auto"/>
            <w:vAlign w:val="bottom"/>
          </w:tcPr>
          <w:p w14:paraId="74DDE6EB" w14:textId="77777777" w:rsidR="00584EC1" w:rsidRDefault="00584EC1">
            <w:pPr>
              <w:rPr>
                <w:rFonts w:ascii="宋体"/>
              </w:rPr>
            </w:pPr>
          </w:p>
        </w:tc>
        <w:tc>
          <w:tcPr>
            <w:tcW w:w="566" w:type="pct"/>
            <w:shd w:val="clear" w:color="auto" w:fill="auto"/>
            <w:vAlign w:val="bottom"/>
          </w:tcPr>
          <w:p w14:paraId="74DDE6EC" w14:textId="77777777" w:rsidR="00584EC1" w:rsidRDefault="00584EC1">
            <w:pPr>
              <w:rPr>
                <w:rFonts w:ascii="宋体"/>
              </w:rPr>
            </w:pPr>
          </w:p>
        </w:tc>
        <w:tc>
          <w:tcPr>
            <w:tcW w:w="5" w:type="pct"/>
            <w:shd w:val="clear" w:color="auto" w:fill="auto"/>
            <w:vAlign w:val="bottom"/>
          </w:tcPr>
          <w:p w14:paraId="74DDE6ED" w14:textId="77777777" w:rsidR="00584EC1" w:rsidRDefault="00584EC1">
            <w:pPr>
              <w:rPr>
                <w:rFonts w:ascii="宋体"/>
              </w:rPr>
            </w:pPr>
          </w:p>
        </w:tc>
        <w:tc>
          <w:tcPr>
            <w:tcW w:w="5" w:type="pct"/>
            <w:shd w:val="clear" w:color="auto" w:fill="auto"/>
            <w:vAlign w:val="bottom"/>
          </w:tcPr>
          <w:p w14:paraId="74DDE6EE" w14:textId="77777777" w:rsidR="00584EC1" w:rsidRDefault="00584EC1">
            <w:pPr>
              <w:rPr>
                <w:rFonts w:ascii="宋体"/>
              </w:rPr>
            </w:pPr>
          </w:p>
        </w:tc>
        <w:tc>
          <w:tcPr>
            <w:tcW w:w="26" w:type="pct"/>
            <w:shd w:val="clear" w:color="auto" w:fill="auto"/>
            <w:vAlign w:val="bottom"/>
          </w:tcPr>
          <w:p w14:paraId="74DDE6EF" w14:textId="77777777" w:rsidR="00584EC1" w:rsidRDefault="00584EC1">
            <w:pPr>
              <w:rPr>
                <w:rFonts w:ascii="宋体"/>
              </w:rPr>
            </w:pPr>
          </w:p>
        </w:tc>
        <w:tc>
          <w:tcPr>
            <w:tcW w:w="5" w:type="pct"/>
            <w:shd w:val="clear" w:color="auto" w:fill="auto"/>
            <w:vAlign w:val="bottom"/>
          </w:tcPr>
          <w:p w14:paraId="74DDE6F0" w14:textId="77777777" w:rsidR="00584EC1" w:rsidRDefault="00584EC1">
            <w:pPr>
              <w:rPr>
                <w:rFonts w:ascii="宋体"/>
              </w:rPr>
            </w:pPr>
          </w:p>
        </w:tc>
        <w:tc>
          <w:tcPr>
            <w:tcW w:w="50" w:type="pct"/>
            <w:shd w:val="clear" w:color="auto" w:fill="auto"/>
            <w:vAlign w:val="bottom"/>
          </w:tcPr>
          <w:p w14:paraId="74DDE6F1" w14:textId="77777777" w:rsidR="00584EC1" w:rsidRDefault="00584EC1">
            <w:pPr>
              <w:rPr>
                <w:rFonts w:ascii="宋体"/>
              </w:rPr>
            </w:pPr>
          </w:p>
        </w:tc>
        <w:tc>
          <w:tcPr>
            <w:tcW w:w="318" w:type="pct"/>
            <w:shd w:val="clear" w:color="auto" w:fill="auto"/>
            <w:vAlign w:val="bottom"/>
          </w:tcPr>
          <w:p w14:paraId="74DDE6F2" w14:textId="77777777" w:rsidR="00584EC1" w:rsidRDefault="00584EC1">
            <w:pPr>
              <w:rPr>
                <w:rFonts w:ascii="宋体"/>
              </w:rPr>
            </w:pPr>
          </w:p>
        </w:tc>
        <w:tc>
          <w:tcPr>
            <w:tcW w:w="5" w:type="pct"/>
            <w:shd w:val="clear" w:color="auto" w:fill="auto"/>
            <w:vAlign w:val="bottom"/>
          </w:tcPr>
          <w:p w14:paraId="74DDE6F3" w14:textId="77777777" w:rsidR="00584EC1" w:rsidRDefault="00584EC1">
            <w:pPr>
              <w:rPr>
                <w:rFonts w:ascii="宋体"/>
              </w:rPr>
            </w:pPr>
          </w:p>
        </w:tc>
      </w:tr>
      <w:tr w:rsidR="00584EC1" w14:paraId="74DDE707" w14:textId="77777777">
        <w:tc>
          <w:tcPr>
            <w:tcW w:w="0" w:type="auto"/>
            <w:gridSpan w:val="3"/>
            <w:shd w:val="clear" w:color="auto" w:fill="auto"/>
            <w:tcMar>
              <w:top w:w="40" w:type="dxa"/>
              <w:left w:w="20" w:type="dxa"/>
              <w:bottom w:w="40" w:type="dxa"/>
              <w:right w:w="20" w:type="dxa"/>
            </w:tcMar>
            <w:vAlign w:val="bottom"/>
          </w:tcPr>
          <w:p w14:paraId="74DDE6F5" w14:textId="77777777" w:rsidR="00584EC1" w:rsidRDefault="00871F8D">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74DDE6F6" w14:textId="77777777" w:rsidR="00584EC1" w:rsidRDefault="00871F8D">
            <w:pPr>
              <w:jc w:val="center"/>
              <w:textAlignment w:val="bottom"/>
            </w:pPr>
            <w:r>
              <w:rPr>
                <w:rFonts w:ascii="Arial" w:eastAsia="宋体" w:hAnsi="Arial" w:cs="Arial"/>
                <w:b/>
                <w:bCs/>
                <w:color w:val="000000"/>
                <w:sz w:val="14"/>
                <w:szCs w:val="14"/>
              </w:rPr>
              <w:t>2020</w:t>
            </w:r>
          </w:p>
        </w:tc>
        <w:tc>
          <w:tcPr>
            <w:tcW w:w="0" w:type="auto"/>
            <w:gridSpan w:val="3"/>
            <w:shd w:val="clear" w:color="auto" w:fill="auto"/>
            <w:tcMar>
              <w:top w:w="0" w:type="dxa"/>
              <w:left w:w="20" w:type="dxa"/>
              <w:bottom w:w="0" w:type="dxa"/>
              <w:right w:w="20" w:type="dxa"/>
            </w:tcMar>
            <w:vAlign w:val="bottom"/>
          </w:tcPr>
          <w:p w14:paraId="74DDE6F7"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E6F8" w14:textId="77777777" w:rsidR="00584EC1" w:rsidRDefault="00871F8D">
            <w:pPr>
              <w:jc w:val="center"/>
              <w:textAlignment w:val="bottom"/>
            </w:pPr>
            <w:r>
              <w:rPr>
                <w:rFonts w:ascii="Arial" w:eastAsia="宋体" w:hAnsi="Arial" w:cs="Arial"/>
                <w:b/>
                <w:bCs/>
                <w:color w:val="000000"/>
                <w:sz w:val="14"/>
                <w:szCs w:val="14"/>
              </w:rPr>
              <w:t>2019</w:t>
            </w:r>
          </w:p>
        </w:tc>
        <w:tc>
          <w:tcPr>
            <w:tcW w:w="0" w:type="auto"/>
            <w:gridSpan w:val="3"/>
            <w:shd w:val="clear" w:color="auto" w:fill="auto"/>
            <w:tcMar>
              <w:top w:w="0" w:type="dxa"/>
              <w:left w:w="20" w:type="dxa"/>
              <w:bottom w:w="0" w:type="dxa"/>
              <w:right w:w="20" w:type="dxa"/>
            </w:tcMar>
            <w:vAlign w:val="bottom"/>
          </w:tcPr>
          <w:p w14:paraId="74DDE6F9"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E6FA" w14:textId="77777777" w:rsidR="00584EC1" w:rsidRDefault="00871F8D">
            <w:pPr>
              <w:jc w:val="center"/>
              <w:textAlignment w:val="bottom"/>
            </w:pPr>
            <w:r>
              <w:rPr>
                <w:rFonts w:ascii="Arial" w:eastAsia="宋体" w:hAnsi="Arial" w:cs="Arial"/>
                <w:b/>
                <w:bCs/>
                <w:color w:val="000000"/>
                <w:sz w:val="14"/>
                <w:szCs w:val="14"/>
              </w:rPr>
              <w:t>2018</w:t>
            </w:r>
          </w:p>
        </w:tc>
        <w:tc>
          <w:tcPr>
            <w:tcW w:w="0" w:type="auto"/>
            <w:gridSpan w:val="3"/>
            <w:shd w:val="clear" w:color="auto" w:fill="auto"/>
            <w:tcMar>
              <w:top w:w="0" w:type="dxa"/>
              <w:left w:w="20" w:type="dxa"/>
              <w:bottom w:w="0" w:type="dxa"/>
              <w:right w:w="20" w:type="dxa"/>
            </w:tcMar>
            <w:vAlign w:val="bottom"/>
          </w:tcPr>
          <w:p w14:paraId="74DDE6FB"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E6FC" w14:textId="77777777" w:rsidR="00584EC1" w:rsidRDefault="00871F8D">
            <w:pPr>
              <w:jc w:val="center"/>
              <w:textAlignment w:val="bottom"/>
            </w:pPr>
            <w:r>
              <w:rPr>
                <w:rFonts w:ascii="Arial" w:eastAsia="宋体" w:hAnsi="Arial" w:cs="Arial"/>
                <w:b/>
                <w:bCs/>
                <w:color w:val="000000"/>
                <w:sz w:val="14"/>
                <w:szCs w:val="14"/>
              </w:rPr>
              <w:t>2017</w:t>
            </w:r>
          </w:p>
        </w:tc>
        <w:tc>
          <w:tcPr>
            <w:tcW w:w="0" w:type="auto"/>
            <w:gridSpan w:val="3"/>
            <w:shd w:val="clear" w:color="auto" w:fill="auto"/>
            <w:tcMar>
              <w:top w:w="0" w:type="dxa"/>
              <w:left w:w="20" w:type="dxa"/>
              <w:bottom w:w="0" w:type="dxa"/>
              <w:right w:w="20" w:type="dxa"/>
            </w:tcMar>
            <w:vAlign w:val="bottom"/>
          </w:tcPr>
          <w:p w14:paraId="74DDE6FD"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E6FE" w14:textId="77777777" w:rsidR="00584EC1" w:rsidRDefault="00871F8D">
            <w:pPr>
              <w:jc w:val="center"/>
              <w:textAlignment w:val="bottom"/>
            </w:pPr>
            <w:r>
              <w:rPr>
                <w:rFonts w:ascii="Arial" w:eastAsia="宋体" w:hAnsi="Arial" w:cs="Arial"/>
                <w:b/>
                <w:bCs/>
                <w:color w:val="000000"/>
                <w:sz w:val="14"/>
                <w:szCs w:val="14"/>
              </w:rPr>
              <w:t>2016</w:t>
            </w:r>
          </w:p>
        </w:tc>
        <w:tc>
          <w:tcPr>
            <w:tcW w:w="0" w:type="auto"/>
            <w:gridSpan w:val="3"/>
            <w:shd w:val="clear" w:color="auto" w:fill="auto"/>
            <w:tcMar>
              <w:top w:w="0" w:type="dxa"/>
              <w:left w:w="20" w:type="dxa"/>
              <w:bottom w:w="0" w:type="dxa"/>
              <w:right w:w="20" w:type="dxa"/>
            </w:tcMar>
            <w:vAlign w:val="bottom"/>
          </w:tcPr>
          <w:p w14:paraId="74DDE6FF" w14:textId="77777777" w:rsidR="00584EC1" w:rsidRDefault="00584EC1">
            <w:pPr>
              <w:rPr>
                <w:rFonts w:ascii="宋体"/>
              </w:rPr>
            </w:pPr>
          </w:p>
        </w:tc>
        <w:tc>
          <w:tcPr>
            <w:tcW w:w="0" w:type="auto"/>
            <w:shd w:val="clear" w:color="auto" w:fill="auto"/>
            <w:vAlign w:val="bottom"/>
          </w:tcPr>
          <w:p w14:paraId="74DDE700" w14:textId="77777777" w:rsidR="00584EC1" w:rsidRDefault="00584EC1">
            <w:pPr>
              <w:rPr>
                <w:rFonts w:ascii="宋体"/>
                <w:vanish/>
              </w:rPr>
            </w:pPr>
          </w:p>
        </w:tc>
        <w:tc>
          <w:tcPr>
            <w:tcW w:w="0" w:type="auto"/>
            <w:shd w:val="clear" w:color="auto" w:fill="auto"/>
            <w:vAlign w:val="bottom"/>
          </w:tcPr>
          <w:p w14:paraId="74DDE701" w14:textId="77777777" w:rsidR="00584EC1" w:rsidRDefault="00584EC1">
            <w:pPr>
              <w:rPr>
                <w:rFonts w:ascii="宋体"/>
                <w:vanish/>
              </w:rPr>
            </w:pPr>
          </w:p>
        </w:tc>
        <w:tc>
          <w:tcPr>
            <w:tcW w:w="0" w:type="auto"/>
            <w:gridSpan w:val="3"/>
            <w:shd w:val="clear" w:color="auto" w:fill="auto"/>
            <w:tcMar>
              <w:top w:w="40" w:type="dxa"/>
              <w:left w:w="20" w:type="dxa"/>
              <w:bottom w:w="40" w:type="dxa"/>
              <w:right w:w="20" w:type="dxa"/>
            </w:tcMar>
            <w:vAlign w:val="bottom"/>
          </w:tcPr>
          <w:p w14:paraId="74DDE702" w14:textId="77777777" w:rsidR="00584EC1" w:rsidRDefault="00871F8D">
            <w:pPr>
              <w:jc w:val="center"/>
              <w:textAlignment w:val="bottom"/>
            </w:pPr>
            <w:r>
              <w:rPr>
                <w:rFonts w:ascii="Arial" w:eastAsia="宋体" w:hAnsi="Arial" w:cs="Arial"/>
                <w:b/>
                <w:bCs/>
                <w:color w:val="000000"/>
                <w:sz w:val="14"/>
                <w:szCs w:val="14"/>
              </w:rPr>
              <w:t>Prior</w:t>
            </w:r>
          </w:p>
        </w:tc>
        <w:tc>
          <w:tcPr>
            <w:tcW w:w="0" w:type="auto"/>
            <w:gridSpan w:val="3"/>
            <w:shd w:val="clear" w:color="auto" w:fill="auto"/>
            <w:tcMar>
              <w:top w:w="0" w:type="dxa"/>
              <w:left w:w="20" w:type="dxa"/>
              <w:bottom w:w="0" w:type="dxa"/>
              <w:right w:w="20" w:type="dxa"/>
            </w:tcMar>
            <w:vAlign w:val="bottom"/>
          </w:tcPr>
          <w:p w14:paraId="74DDE703"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E704" w14:textId="77777777" w:rsidR="00584EC1" w:rsidRDefault="00871F8D">
            <w:pPr>
              <w:jc w:val="center"/>
              <w:textAlignment w:val="bottom"/>
            </w:pPr>
            <w:r>
              <w:rPr>
                <w:rFonts w:ascii="Arial" w:eastAsia="宋体" w:hAnsi="Arial" w:cs="Arial"/>
                <w:b/>
                <w:bCs/>
                <w:color w:val="000000"/>
                <w:sz w:val="14"/>
                <w:szCs w:val="14"/>
              </w:rPr>
              <w:t>Revolving Loans</w:t>
            </w:r>
          </w:p>
        </w:tc>
        <w:tc>
          <w:tcPr>
            <w:tcW w:w="0" w:type="auto"/>
            <w:gridSpan w:val="3"/>
            <w:shd w:val="clear" w:color="auto" w:fill="auto"/>
            <w:tcMar>
              <w:top w:w="0" w:type="dxa"/>
              <w:left w:w="20" w:type="dxa"/>
              <w:bottom w:w="0" w:type="dxa"/>
              <w:right w:w="20" w:type="dxa"/>
            </w:tcMar>
            <w:vAlign w:val="bottom"/>
          </w:tcPr>
          <w:p w14:paraId="74DDE705"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E706" w14:textId="77777777" w:rsidR="00584EC1" w:rsidRDefault="00871F8D">
            <w:pPr>
              <w:jc w:val="center"/>
              <w:textAlignment w:val="bottom"/>
            </w:pPr>
            <w:r>
              <w:rPr>
                <w:rFonts w:ascii="Arial" w:eastAsia="宋体" w:hAnsi="Arial" w:cs="Arial"/>
                <w:b/>
                <w:bCs/>
                <w:color w:val="000000"/>
                <w:sz w:val="14"/>
                <w:szCs w:val="14"/>
              </w:rPr>
              <w:t>Total</w:t>
            </w:r>
            <w:r>
              <w:rPr>
                <w:rFonts w:ascii="Arial" w:eastAsia="宋体" w:hAnsi="Arial" w:cs="Arial"/>
                <w:b/>
                <w:bCs/>
                <w:color w:val="000000"/>
                <w:sz w:val="9"/>
                <w:szCs w:val="9"/>
              </w:rPr>
              <w:t>(1)</w:t>
            </w:r>
          </w:p>
        </w:tc>
      </w:tr>
      <w:tr w:rsidR="00584EC1" w14:paraId="74DDE71A" w14:textId="77777777">
        <w:tc>
          <w:tcPr>
            <w:tcW w:w="0" w:type="auto"/>
            <w:gridSpan w:val="3"/>
            <w:shd w:val="clear" w:color="auto" w:fill="auto"/>
            <w:tcMar>
              <w:top w:w="40" w:type="dxa"/>
              <w:left w:w="20" w:type="dxa"/>
              <w:bottom w:w="40" w:type="dxa"/>
              <w:right w:w="20" w:type="dxa"/>
            </w:tcMar>
            <w:vAlign w:val="bottom"/>
          </w:tcPr>
          <w:p w14:paraId="74DDE708" w14:textId="77777777" w:rsidR="00584EC1" w:rsidRDefault="00871F8D">
            <w:pPr>
              <w:textAlignment w:val="bottom"/>
            </w:pPr>
            <w:r>
              <w:rPr>
                <w:rFonts w:ascii="Arial" w:eastAsia="宋体" w:hAnsi="Arial" w:cs="Arial"/>
                <w:color w:val="000000"/>
                <w:sz w:val="14"/>
                <w:szCs w:val="14"/>
              </w:rPr>
              <w:t>Domestic loans: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709"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70A"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70B"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70C"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70D"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70E"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70F"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710"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71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712" w14:textId="77777777" w:rsidR="00584EC1" w:rsidRDefault="00584EC1">
            <w:pPr>
              <w:rPr>
                <w:rFonts w:ascii="宋体"/>
              </w:rPr>
            </w:pPr>
          </w:p>
        </w:tc>
        <w:tc>
          <w:tcPr>
            <w:tcW w:w="0" w:type="auto"/>
            <w:shd w:val="clear" w:color="auto" w:fill="auto"/>
            <w:vAlign w:val="bottom"/>
          </w:tcPr>
          <w:p w14:paraId="74DDE713" w14:textId="77777777" w:rsidR="00584EC1" w:rsidRDefault="00584EC1">
            <w:pPr>
              <w:rPr>
                <w:rFonts w:ascii="宋体"/>
                <w:vanish/>
              </w:rPr>
            </w:pPr>
          </w:p>
        </w:tc>
        <w:tc>
          <w:tcPr>
            <w:tcW w:w="0" w:type="auto"/>
            <w:shd w:val="clear" w:color="auto" w:fill="auto"/>
            <w:vAlign w:val="bottom"/>
          </w:tcPr>
          <w:p w14:paraId="74DDE714" w14:textId="77777777" w:rsidR="00584EC1" w:rsidRDefault="00584EC1">
            <w:pPr>
              <w:rPr>
                <w:rFonts w:ascii="宋体"/>
                <w:vanish/>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71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716"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717"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718"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719" w14:textId="77777777" w:rsidR="00584EC1" w:rsidRDefault="00584EC1">
            <w:pPr>
              <w:rPr>
                <w:rFonts w:ascii="宋体"/>
              </w:rPr>
            </w:pPr>
          </w:p>
        </w:tc>
      </w:tr>
      <w:tr w:rsidR="00584EC1" w14:paraId="74DDE72D" w14:textId="77777777">
        <w:tc>
          <w:tcPr>
            <w:tcW w:w="0" w:type="auto"/>
            <w:gridSpan w:val="3"/>
            <w:shd w:val="clear" w:color="auto" w:fill="auto"/>
            <w:tcMar>
              <w:top w:w="40" w:type="dxa"/>
              <w:left w:w="155" w:type="dxa"/>
              <w:bottom w:w="40" w:type="dxa"/>
              <w:right w:w="20" w:type="dxa"/>
            </w:tcMar>
            <w:vAlign w:val="bottom"/>
          </w:tcPr>
          <w:p w14:paraId="74DDE71B" w14:textId="77777777" w:rsidR="00584EC1" w:rsidRDefault="00871F8D">
            <w:pPr>
              <w:textAlignment w:val="bottom"/>
            </w:pPr>
            <w:r>
              <w:rPr>
                <w:rFonts w:ascii="Arial" w:eastAsia="宋体" w:hAnsi="Arial" w:cs="Arial"/>
                <w:color w:val="000000"/>
                <w:sz w:val="14"/>
                <w:szCs w:val="14"/>
              </w:rPr>
              <w:t>Commercial and financial:</w:t>
            </w:r>
          </w:p>
        </w:tc>
        <w:tc>
          <w:tcPr>
            <w:tcW w:w="0" w:type="auto"/>
            <w:gridSpan w:val="3"/>
            <w:shd w:val="clear" w:color="auto" w:fill="auto"/>
            <w:tcMar>
              <w:top w:w="0" w:type="dxa"/>
              <w:left w:w="20" w:type="dxa"/>
              <w:bottom w:w="0" w:type="dxa"/>
              <w:right w:w="20" w:type="dxa"/>
            </w:tcMar>
            <w:vAlign w:val="bottom"/>
          </w:tcPr>
          <w:p w14:paraId="74DDE71C"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71D"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71E"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71F"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720"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72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72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723"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724"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725" w14:textId="77777777" w:rsidR="00584EC1" w:rsidRDefault="00584EC1">
            <w:pPr>
              <w:rPr>
                <w:rFonts w:ascii="宋体"/>
              </w:rPr>
            </w:pPr>
          </w:p>
        </w:tc>
        <w:tc>
          <w:tcPr>
            <w:tcW w:w="0" w:type="auto"/>
            <w:shd w:val="clear" w:color="auto" w:fill="auto"/>
            <w:vAlign w:val="bottom"/>
          </w:tcPr>
          <w:p w14:paraId="74DDE726" w14:textId="77777777" w:rsidR="00584EC1" w:rsidRDefault="00584EC1">
            <w:pPr>
              <w:rPr>
                <w:rFonts w:ascii="宋体"/>
                <w:vanish/>
              </w:rPr>
            </w:pPr>
          </w:p>
        </w:tc>
        <w:tc>
          <w:tcPr>
            <w:tcW w:w="0" w:type="auto"/>
            <w:shd w:val="clear" w:color="auto" w:fill="auto"/>
            <w:vAlign w:val="bottom"/>
          </w:tcPr>
          <w:p w14:paraId="74DDE727" w14:textId="77777777" w:rsidR="00584EC1" w:rsidRDefault="00584EC1">
            <w:pPr>
              <w:rPr>
                <w:rFonts w:ascii="宋体"/>
                <w:vanish/>
              </w:rPr>
            </w:pPr>
          </w:p>
        </w:tc>
        <w:tc>
          <w:tcPr>
            <w:tcW w:w="0" w:type="auto"/>
            <w:gridSpan w:val="3"/>
            <w:shd w:val="clear" w:color="auto" w:fill="auto"/>
            <w:tcMar>
              <w:top w:w="0" w:type="dxa"/>
              <w:left w:w="20" w:type="dxa"/>
              <w:bottom w:w="0" w:type="dxa"/>
              <w:right w:w="20" w:type="dxa"/>
            </w:tcMar>
            <w:vAlign w:val="bottom"/>
          </w:tcPr>
          <w:p w14:paraId="74DDE728"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729"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72A"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72B"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72C" w14:textId="77777777" w:rsidR="00584EC1" w:rsidRDefault="00584EC1">
            <w:pPr>
              <w:rPr>
                <w:rFonts w:ascii="宋体"/>
              </w:rPr>
            </w:pPr>
          </w:p>
        </w:tc>
      </w:tr>
      <w:tr w:rsidR="00584EC1" w14:paraId="74DDE740" w14:textId="77777777">
        <w:tc>
          <w:tcPr>
            <w:tcW w:w="0" w:type="auto"/>
            <w:gridSpan w:val="3"/>
            <w:shd w:val="clear" w:color="auto" w:fill="auto"/>
            <w:tcMar>
              <w:top w:w="40" w:type="dxa"/>
              <w:left w:w="245" w:type="dxa"/>
              <w:bottom w:w="40" w:type="dxa"/>
              <w:right w:w="20" w:type="dxa"/>
            </w:tcMar>
            <w:vAlign w:val="bottom"/>
          </w:tcPr>
          <w:p w14:paraId="74DDE72E" w14:textId="77777777" w:rsidR="00584EC1" w:rsidRDefault="00871F8D">
            <w:pPr>
              <w:textAlignment w:val="bottom"/>
            </w:pPr>
            <w:r>
              <w:rPr>
                <w:rFonts w:ascii="Arial" w:eastAsia="宋体" w:hAnsi="Arial" w:cs="Arial"/>
                <w:color w:val="000000"/>
                <w:sz w:val="14"/>
                <w:szCs w:val="14"/>
              </w:rPr>
              <w:t>Risk Rating:</w:t>
            </w:r>
          </w:p>
        </w:tc>
        <w:tc>
          <w:tcPr>
            <w:tcW w:w="0" w:type="auto"/>
            <w:gridSpan w:val="3"/>
            <w:shd w:val="clear" w:color="auto" w:fill="auto"/>
            <w:tcMar>
              <w:top w:w="0" w:type="dxa"/>
              <w:left w:w="20" w:type="dxa"/>
              <w:bottom w:w="0" w:type="dxa"/>
              <w:right w:w="20" w:type="dxa"/>
            </w:tcMar>
            <w:vAlign w:val="bottom"/>
          </w:tcPr>
          <w:p w14:paraId="74DDE72F"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730"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73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73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733"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734"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73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736"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737"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738" w14:textId="77777777" w:rsidR="00584EC1" w:rsidRDefault="00584EC1">
            <w:pPr>
              <w:rPr>
                <w:rFonts w:ascii="宋体"/>
              </w:rPr>
            </w:pPr>
          </w:p>
        </w:tc>
        <w:tc>
          <w:tcPr>
            <w:tcW w:w="0" w:type="auto"/>
            <w:shd w:val="clear" w:color="auto" w:fill="auto"/>
            <w:vAlign w:val="bottom"/>
          </w:tcPr>
          <w:p w14:paraId="74DDE739" w14:textId="77777777" w:rsidR="00584EC1" w:rsidRDefault="00584EC1">
            <w:pPr>
              <w:rPr>
                <w:rFonts w:ascii="宋体"/>
                <w:vanish/>
              </w:rPr>
            </w:pPr>
          </w:p>
        </w:tc>
        <w:tc>
          <w:tcPr>
            <w:tcW w:w="0" w:type="auto"/>
            <w:shd w:val="clear" w:color="auto" w:fill="auto"/>
            <w:vAlign w:val="bottom"/>
          </w:tcPr>
          <w:p w14:paraId="74DDE73A" w14:textId="77777777" w:rsidR="00584EC1" w:rsidRDefault="00584EC1">
            <w:pPr>
              <w:rPr>
                <w:rFonts w:ascii="宋体"/>
                <w:vanish/>
              </w:rPr>
            </w:pPr>
          </w:p>
        </w:tc>
        <w:tc>
          <w:tcPr>
            <w:tcW w:w="0" w:type="auto"/>
            <w:gridSpan w:val="3"/>
            <w:shd w:val="clear" w:color="auto" w:fill="auto"/>
            <w:tcMar>
              <w:top w:w="0" w:type="dxa"/>
              <w:left w:w="20" w:type="dxa"/>
              <w:bottom w:w="0" w:type="dxa"/>
              <w:right w:w="20" w:type="dxa"/>
            </w:tcMar>
            <w:vAlign w:val="bottom"/>
          </w:tcPr>
          <w:p w14:paraId="74DDE73B"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73C"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73D"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73E"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73F" w14:textId="77777777" w:rsidR="00584EC1" w:rsidRDefault="00584EC1">
            <w:pPr>
              <w:rPr>
                <w:rFonts w:ascii="宋体"/>
              </w:rPr>
            </w:pPr>
          </w:p>
        </w:tc>
      </w:tr>
      <w:tr w:rsidR="00584EC1" w14:paraId="74DDE763" w14:textId="77777777">
        <w:tc>
          <w:tcPr>
            <w:tcW w:w="0" w:type="auto"/>
            <w:gridSpan w:val="3"/>
            <w:shd w:val="clear" w:color="auto" w:fill="CCEEFF"/>
            <w:tcMar>
              <w:top w:w="40" w:type="dxa"/>
              <w:left w:w="380" w:type="dxa"/>
              <w:bottom w:w="40" w:type="dxa"/>
              <w:right w:w="20" w:type="dxa"/>
            </w:tcMar>
            <w:vAlign w:val="bottom"/>
          </w:tcPr>
          <w:p w14:paraId="74DDE741" w14:textId="77777777" w:rsidR="00584EC1" w:rsidRDefault="00871F8D">
            <w:pPr>
              <w:textAlignment w:val="bottom"/>
            </w:pPr>
            <w:r>
              <w:rPr>
                <w:rFonts w:ascii="Arial" w:eastAsia="宋体" w:hAnsi="Arial" w:cs="Arial"/>
                <w:color w:val="000000"/>
                <w:sz w:val="14"/>
                <w:szCs w:val="14"/>
              </w:rPr>
              <w:t>Investment grade</w:t>
            </w:r>
          </w:p>
        </w:tc>
        <w:tc>
          <w:tcPr>
            <w:tcW w:w="0" w:type="auto"/>
            <w:shd w:val="clear" w:color="auto" w:fill="CCEEFF"/>
            <w:tcMar>
              <w:top w:w="40" w:type="dxa"/>
              <w:left w:w="20" w:type="dxa"/>
              <w:bottom w:w="40" w:type="dxa"/>
              <w:right w:w="0" w:type="dxa"/>
            </w:tcMar>
            <w:vAlign w:val="bottom"/>
          </w:tcPr>
          <w:p w14:paraId="74DDE742"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E743" w14:textId="77777777" w:rsidR="00584EC1" w:rsidRDefault="00871F8D">
            <w:pPr>
              <w:jc w:val="right"/>
              <w:textAlignment w:val="bottom"/>
            </w:pPr>
            <w:r>
              <w:rPr>
                <w:rFonts w:ascii="Arial" w:eastAsia="宋体" w:hAnsi="Arial" w:cs="Arial"/>
                <w:color w:val="000000"/>
                <w:sz w:val="14"/>
                <w:szCs w:val="14"/>
              </w:rPr>
              <w:t>1,894 </w:t>
            </w:r>
          </w:p>
        </w:tc>
        <w:tc>
          <w:tcPr>
            <w:tcW w:w="0" w:type="auto"/>
            <w:shd w:val="clear" w:color="auto" w:fill="CCEEFF"/>
            <w:tcMar>
              <w:top w:w="40" w:type="dxa"/>
              <w:left w:w="0" w:type="dxa"/>
              <w:bottom w:w="40" w:type="dxa"/>
              <w:right w:w="20" w:type="dxa"/>
            </w:tcMar>
            <w:vAlign w:val="bottom"/>
          </w:tcPr>
          <w:p w14:paraId="74DDE74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745"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E746"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E747" w14:textId="77777777" w:rsidR="00584EC1" w:rsidRDefault="00871F8D">
            <w:pPr>
              <w:jc w:val="right"/>
              <w:textAlignment w:val="bottom"/>
            </w:pPr>
            <w:r>
              <w:rPr>
                <w:rFonts w:ascii="Arial" w:eastAsia="宋体" w:hAnsi="Arial" w:cs="Arial"/>
                <w:color w:val="000000"/>
                <w:sz w:val="14"/>
                <w:szCs w:val="14"/>
              </w:rPr>
              <w:t>388 </w:t>
            </w:r>
          </w:p>
        </w:tc>
        <w:tc>
          <w:tcPr>
            <w:tcW w:w="0" w:type="auto"/>
            <w:shd w:val="clear" w:color="auto" w:fill="CCEEFF"/>
            <w:tcMar>
              <w:top w:w="40" w:type="dxa"/>
              <w:left w:w="0" w:type="dxa"/>
              <w:bottom w:w="40" w:type="dxa"/>
              <w:right w:w="20" w:type="dxa"/>
            </w:tcMar>
            <w:vAlign w:val="bottom"/>
          </w:tcPr>
          <w:p w14:paraId="74DDE74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749"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E74A"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E74B" w14:textId="77777777" w:rsidR="00584EC1" w:rsidRDefault="00871F8D">
            <w:pPr>
              <w:jc w:val="right"/>
              <w:textAlignment w:val="bottom"/>
            </w:pPr>
            <w:r>
              <w:rPr>
                <w:rFonts w:ascii="Arial" w:eastAsia="宋体" w:hAnsi="Arial" w:cs="Arial"/>
                <w:color w:val="000000"/>
                <w:sz w:val="14"/>
                <w:szCs w:val="14"/>
              </w:rPr>
              <w:t>4 </w:t>
            </w:r>
          </w:p>
        </w:tc>
        <w:tc>
          <w:tcPr>
            <w:tcW w:w="0" w:type="auto"/>
            <w:shd w:val="clear" w:color="auto" w:fill="CCEEFF"/>
            <w:tcMar>
              <w:top w:w="40" w:type="dxa"/>
              <w:left w:w="0" w:type="dxa"/>
              <w:bottom w:w="40" w:type="dxa"/>
              <w:right w:w="20" w:type="dxa"/>
            </w:tcMar>
            <w:vAlign w:val="bottom"/>
          </w:tcPr>
          <w:p w14:paraId="74DDE74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74D"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E74E"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E74F" w14:textId="77777777" w:rsidR="00584EC1" w:rsidRDefault="00871F8D">
            <w:pPr>
              <w:jc w:val="right"/>
              <w:textAlignment w:val="bottom"/>
            </w:pPr>
            <w:r>
              <w:rPr>
                <w:rFonts w:ascii="Arial" w:eastAsia="宋体" w:hAnsi="Arial" w:cs="Arial"/>
                <w:color w:val="000000"/>
                <w:sz w:val="14"/>
                <w:szCs w:val="14"/>
              </w:rPr>
              <w:t>167 </w:t>
            </w:r>
          </w:p>
        </w:tc>
        <w:tc>
          <w:tcPr>
            <w:tcW w:w="0" w:type="auto"/>
            <w:shd w:val="clear" w:color="auto" w:fill="CCEEFF"/>
            <w:tcMar>
              <w:top w:w="40" w:type="dxa"/>
              <w:left w:w="0" w:type="dxa"/>
              <w:bottom w:w="40" w:type="dxa"/>
              <w:right w:w="20" w:type="dxa"/>
            </w:tcMar>
            <w:vAlign w:val="bottom"/>
          </w:tcPr>
          <w:p w14:paraId="74DDE75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751"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E752"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E753" w14:textId="77777777" w:rsidR="00584EC1" w:rsidRDefault="00871F8D">
            <w:pPr>
              <w:jc w:val="right"/>
              <w:textAlignment w:val="bottom"/>
            </w:pPr>
            <w:r>
              <w:rPr>
                <w:rFonts w:ascii="Arial" w:eastAsia="宋体" w:hAnsi="Arial" w:cs="Arial"/>
                <w:color w:val="000000"/>
                <w:sz w:val="14"/>
                <w:szCs w:val="14"/>
              </w:rPr>
              <w:t>200 </w:t>
            </w:r>
          </w:p>
        </w:tc>
        <w:tc>
          <w:tcPr>
            <w:tcW w:w="0" w:type="auto"/>
            <w:shd w:val="clear" w:color="auto" w:fill="CCEEFF"/>
            <w:tcMar>
              <w:top w:w="40" w:type="dxa"/>
              <w:left w:w="0" w:type="dxa"/>
              <w:bottom w:w="40" w:type="dxa"/>
              <w:right w:w="20" w:type="dxa"/>
            </w:tcMar>
            <w:vAlign w:val="bottom"/>
          </w:tcPr>
          <w:p w14:paraId="74DDE75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755" w14:textId="77777777" w:rsidR="00584EC1" w:rsidRDefault="00584EC1">
            <w:pPr>
              <w:rPr>
                <w:rFonts w:ascii="宋体"/>
              </w:rPr>
            </w:pPr>
          </w:p>
        </w:tc>
        <w:tc>
          <w:tcPr>
            <w:tcW w:w="0" w:type="auto"/>
            <w:shd w:val="clear" w:color="auto" w:fill="auto"/>
            <w:vAlign w:val="bottom"/>
          </w:tcPr>
          <w:p w14:paraId="74DDE756" w14:textId="77777777" w:rsidR="00584EC1" w:rsidRDefault="00584EC1">
            <w:pPr>
              <w:rPr>
                <w:rFonts w:ascii="宋体"/>
                <w:vanish/>
              </w:rPr>
            </w:pPr>
          </w:p>
        </w:tc>
        <w:tc>
          <w:tcPr>
            <w:tcW w:w="0" w:type="auto"/>
            <w:shd w:val="clear" w:color="auto" w:fill="auto"/>
            <w:vAlign w:val="bottom"/>
          </w:tcPr>
          <w:p w14:paraId="74DDE757" w14:textId="77777777" w:rsidR="00584EC1" w:rsidRDefault="00584EC1">
            <w:pPr>
              <w:rPr>
                <w:rFonts w:ascii="宋体"/>
                <w:vanish/>
              </w:rPr>
            </w:pPr>
          </w:p>
        </w:tc>
        <w:tc>
          <w:tcPr>
            <w:tcW w:w="0" w:type="auto"/>
            <w:shd w:val="clear" w:color="auto" w:fill="CCEEFF"/>
            <w:tcMar>
              <w:top w:w="40" w:type="dxa"/>
              <w:left w:w="20" w:type="dxa"/>
              <w:bottom w:w="40" w:type="dxa"/>
              <w:right w:w="0" w:type="dxa"/>
            </w:tcMar>
            <w:vAlign w:val="bottom"/>
          </w:tcPr>
          <w:p w14:paraId="74DDE758"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E759"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E75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75B"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E75C"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E75D" w14:textId="77777777" w:rsidR="00584EC1" w:rsidRDefault="00871F8D">
            <w:pPr>
              <w:jc w:val="right"/>
              <w:textAlignment w:val="bottom"/>
            </w:pPr>
            <w:r>
              <w:rPr>
                <w:rFonts w:ascii="Arial" w:eastAsia="宋体" w:hAnsi="Arial" w:cs="Arial"/>
                <w:color w:val="000000"/>
                <w:sz w:val="14"/>
                <w:szCs w:val="14"/>
              </w:rPr>
              <w:t>12,836 </w:t>
            </w:r>
          </w:p>
        </w:tc>
        <w:tc>
          <w:tcPr>
            <w:tcW w:w="0" w:type="auto"/>
            <w:shd w:val="clear" w:color="auto" w:fill="CCEEFF"/>
            <w:tcMar>
              <w:top w:w="40" w:type="dxa"/>
              <w:left w:w="0" w:type="dxa"/>
              <w:bottom w:w="40" w:type="dxa"/>
              <w:right w:w="20" w:type="dxa"/>
            </w:tcMar>
            <w:vAlign w:val="bottom"/>
          </w:tcPr>
          <w:p w14:paraId="74DDE75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75F"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E760"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E761" w14:textId="77777777" w:rsidR="00584EC1" w:rsidRDefault="00871F8D">
            <w:pPr>
              <w:jc w:val="right"/>
              <w:textAlignment w:val="bottom"/>
            </w:pPr>
            <w:r>
              <w:rPr>
                <w:rFonts w:ascii="Arial" w:eastAsia="宋体" w:hAnsi="Arial" w:cs="Arial"/>
                <w:color w:val="000000"/>
                <w:sz w:val="14"/>
                <w:szCs w:val="14"/>
              </w:rPr>
              <w:t>15,489 </w:t>
            </w:r>
          </w:p>
        </w:tc>
        <w:tc>
          <w:tcPr>
            <w:tcW w:w="0" w:type="auto"/>
            <w:shd w:val="clear" w:color="auto" w:fill="CCEEFF"/>
            <w:tcMar>
              <w:top w:w="40" w:type="dxa"/>
              <w:left w:w="0" w:type="dxa"/>
              <w:bottom w:w="40" w:type="dxa"/>
              <w:right w:w="20" w:type="dxa"/>
            </w:tcMar>
            <w:vAlign w:val="bottom"/>
          </w:tcPr>
          <w:p w14:paraId="74DDE762" w14:textId="77777777" w:rsidR="00584EC1" w:rsidRDefault="00584EC1">
            <w:pPr>
              <w:jc w:val="right"/>
              <w:rPr>
                <w:rFonts w:ascii="宋体"/>
              </w:rPr>
            </w:pPr>
          </w:p>
        </w:tc>
      </w:tr>
      <w:tr w:rsidR="00584EC1" w14:paraId="74DDE77E" w14:textId="77777777">
        <w:tc>
          <w:tcPr>
            <w:tcW w:w="0" w:type="auto"/>
            <w:gridSpan w:val="3"/>
            <w:shd w:val="clear" w:color="auto" w:fill="FFFFFF"/>
            <w:tcMar>
              <w:top w:w="40" w:type="dxa"/>
              <w:left w:w="380" w:type="dxa"/>
              <w:bottom w:w="40" w:type="dxa"/>
              <w:right w:w="20" w:type="dxa"/>
            </w:tcMar>
            <w:vAlign w:val="bottom"/>
          </w:tcPr>
          <w:p w14:paraId="74DDE764" w14:textId="77777777" w:rsidR="00584EC1" w:rsidRDefault="00871F8D">
            <w:pPr>
              <w:textAlignment w:val="bottom"/>
            </w:pPr>
            <w:r>
              <w:rPr>
                <w:rFonts w:ascii="Arial" w:eastAsia="宋体" w:hAnsi="Arial" w:cs="Arial"/>
                <w:color w:val="000000"/>
                <w:sz w:val="14"/>
                <w:szCs w:val="14"/>
              </w:rPr>
              <w:t>Speculative</w:t>
            </w:r>
          </w:p>
        </w:tc>
        <w:tc>
          <w:tcPr>
            <w:tcW w:w="0" w:type="auto"/>
            <w:gridSpan w:val="2"/>
            <w:shd w:val="clear" w:color="auto" w:fill="FFFFFF"/>
            <w:tcMar>
              <w:top w:w="40" w:type="dxa"/>
              <w:left w:w="20" w:type="dxa"/>
              <w:bottom w:w="40" w:type="dxa"/>
              <w:right w:w="0" w:type="dxa"/>
            </w:tcMar>
            <w:vAlign w:val="bottom"/>
          </w:tcPr>
          <w:p w14:paraId="74DDE765" w14:textId="77777777" w:rsidR="00584EC1" w:rsidRDefault="00871F8D">
            <w:pPr>
              <w:jc w:val="right"/>
              <w:textAlignment w:val="bottom"/>
            </w:pPr>
            <w:r>
              <w:rPr>
                <w:rFonts w:ascii="Arial" w:eastAsia="宋体" w:hAnsi="Arial" w:cs="Arial"/>
                <w:color w:val="000000"/>
                <w:sz w:val="14"/>
                <w:szCs w:val="14"/>
              </w:rPr>
              <w:t>432 </w:t>
            </w:r>
          </w:p>
        </w:tc>
        <w:tc>
          <w:tcPr>
            <w:tcW w:w="0" w:type="auto"/>
            <w:shd w:val="clear" w:color="auto" w:fill="FFFFFF"/>
            <w:tcMar>
              <w:top w:w="40" w:type="dxa"/>
              <w:left w:w="0" w:type="dxa"/>
              <w:bottom w:w="40" w:type="dxa"/>
              <w:right w:w="20" w:type="dxa"/>
            </w:tcMar>
            <w:vAlign w:val="bottom"/>
          </w:tcPr>
          <w:p w14:paraId="74DDE76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76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768" w14:textId="77777777" w:rsidR="00584EC1" w:rsidRDefault="00871F8D">
            <w:pPr>
              <w:jc w:val="right"/>
              <w:textAlignment w:val="bottom"/>
            </w:pPr>
            <w:r>
              <w:rPr>
                <w:rFonts w:ascii="Arial" w:eastAsia="宋体" w:hAnsi="Arial" w:cs="Arial"/>
                <w:color w:val="000000"/>
                <w:sz w:val="14"/>
                <w:szCs w:val="14"/>
              </w:rPr>
              <w:t>942 </w:t>
            </w:r>
          </w:p>
        </w:tc>
        <w:tc>
          <w:tcPr>
            <w:tcW w:w="0" w:type="auto"/>
            <w:shd w:val="clear" w:color="auto" w:fill="FFFFFF"/>
            <w:tcMar>
              <w:top w:w="40" w:type="dxa"/>
              <w:left w:w="0" w:type="dxa"/>
              <w:bottom w:w="40" w:type="dxa"/>
              <w:right w:w="20" w:type="dxa"/>
            </w:tcMar>
            <w:vAlign w:val="bottom"/>
          </w:tcPr>
          <w:p w14:paraId="74DDE76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76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76B" w14:textId="77777777" w:rsidR="00584EC1" w:rsidRDefault="00871F8D">
            <w:pPr>
              <w:jc w:val="right"/>
              <w:textAlignment w:val="bottom"/>
            </w:pPr>
            <w:r>
              <w:rPr>
                <w:rFonts w:ascii="Arial" w:eastAsia="宋体" w:hAnsi="Arial" w:cs="Arial"/>
                <w:color w:val="000000"/>
                <w:sz w:val="14"/>
                <w:szCs w:val="14"/>
              </w:rPr>
              <w:t>822 </w:t>
            </w:r>
          </w:p>
        </w:tc>
        <w:tc>
          <w:tcPr>
            <w:tcW w:w="0" w:type="auto"/>
            <w:shd w:val="clear" w:color="auto" w:fill="FFFFFF"/>
            <w:tcMar>
              <w:top w:w="40" w:type="dxa"/>
              <w:left w:w="0" w:type="dxa"/>
              <w:bottom w:w="40" w:type="dxa"/>
              <w:right w:w="20" w:type="dxa"/>
            </w:tcMar>
            <w:vAlign w:val="bottom"/>
          </w:tcPr>
          <w:p w14:paraId="74DDE76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76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76E" w14:textId="77777777" w:rsidR="00584EC1" w:rsidRDefault="00871F8D">
            <w:pPr>
              <w:jc w:val="right"/>
              <w:textAlignment w:val="bottom"/>
            </w:pPr>
            <w:r>
              <w:rPr>
                <w:rFonts w:ascii="Arial" w:eastAsia="宋体" w:hAnsi="Arial" w:cs="Arial"/>
                <w:color w:val="000000"/>
                <w:sz w:val="14"/>
                <w:szCs w:val="14"/>
              </w:rPr>
              <w:t>610 </w:t>
            </w:r>
          </w:p>
        </w:tc>
        <w:tc>
          <w:tcPr>
            <w:tcW w:w="0" w:type="auto"/>
            <w:shd w:val="clear" w:color="auto" w:fill="FFFFFF"/>
            <w:tcMar>
              <w:top w:w="40" w:type="dxa"/>
              <w:left w:w="0" w:type="dxa"/>
              <w:bottom w:w="40" w:type="dxa"/>
              <w:right w:w="20" w:type="dxa"/>
            </w:tcMar>
            <w:vAlign w:val="bottom"/>
          </w:tcPr>
          <w:p w14:paraId="74DDE76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77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771" w14:textId="77777777" w:rsidR="00584EC1" w:rsidRDefault="00871F8D">
            <w:pPr>
              <w:jc w:val="right"/>
              <w:textAlignment w:val="bottom"/>
            </w:pPr>
            <w:r>
              <w:rPr>
                <w:rFonts w:ascii="Arial" w:eastAsia="宋体" w:hAnsi="Arial" w:cs="Arial"/>
                <w:color w:val="000000"/>
                <w:sz w:val="14"/>
                <w:szCs w:val="14"/>
              </w:rPr>
              <w:t>43 </w:t>
            </w:r>
          </w:p>
        </w:tc>
        <w:tc>
          <w:tcPr>
            <w:tcW w:w="0" w:type="auto"/>
            <w:shd w:val="clear" w:color="auto" w:fill="FFFFFF"/>
            <w:tcMar>
              <w:top w:w="40" w:type="dxa"/>
              <w:left w:w="0" w:type="dxa"/>
              <w:bottom w:w="40" w:type="dxa"/>
              <w:right w:w="20" w:type="dxa"/>
            </w:tcMar>
            <w:vAlign w:val="bottom"/>
          </w:tcPr>
          <w:p w14:paraId="74DDE77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773" w14:textId="77777777" w:rsidR="00584EC1" w:rsidRDefault="00584EC1">
            <w:pPr>
              <w:rPr>
                <w:rFonts w:ascii="宋体"/>
              </w:rPr>
            </w:pPr>
          </w:p>
        </w:tc>
        <w:tc>
          <w:tcPr>
            <w:tcW w:w="0" w:type="auto"/>
            <w:shd w:val="clear" w:color="auto" w:fill="auto"/>
            <w:vAlign w:val="bottom"/>
          </w:tcPr>
          <w:p w14:paraId="74DDE774" w14:textId="77777777" w:rsidR="00584EC1" w:rsidRDefault="00584EC1">
            <w:pPr>
              <w:rPr>
                <w:rFonts w:ascii="宋体"/>
                <w:vanish/>
              </w:rPr>
            </w:pPr>
          </w:p>
        </w:tc>
        <w:tc>
          <w:tcPr>
            <w:tcW w:w="0" w:type="auto"/>
            <w:shd w:val="clear" w:color="auto" w:fill="auto"/>
            <w:vAlign w:val="bottom"/>
          </w:tcPr>
          <w:p w14:paraId="74DDE775"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DE776"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77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778"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779" w14:textId="77777777" w:rsidR="00584EC1" w:rsidRDefault="00871F8D">
            <w:pPr>
              <w:jc w:val="right"/>
              <w:textAlignment w:val="bottom"/>
            </w:pPr>
            <w:r>
              <w:rPr>
                <w:rFonts w:ascii="Arial" w:eastAsia="宋体" w:hAnsi="Arial" w:cs="Arial"/>
                <w:color w:val="000000"/>
                <w:sz w:val="14"/>
                <w:szCs w:val="14"/>
              </w:rPr>
              <w:t>597 </w:t>
            </w:r>
          </w:p>
        </w:tc>
        <w:tc>
          <w:tcPr>
            <w:tcW w:w="0" w:type="auto"/>
            <w:shd w:val="clear" w:color="auto" w:fill="FFFFFF"/>
            <w:tcMar>
              <w:top w:w="40" w:type="dxa"/>
              <w:left w:w="0" w:type="dxa"/>
              <w:bottom w:w="40" w:type="dxa"/>
              <w:right w:w="20" w:type="dxa"/>
            </w:tcMar>
            <w:vAlign w:val="bottom"/>
          </w:tcPr>
          <w:p w14:paraId="74DDE77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77B"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77C" w14:textId="77777777" w:rsidR="00584EC1" w:rsidRDefault="00871F8D">
            <w:pPr>
              <w:jc w:val="right"/>
              <w:textAlignment w:val="bottom"/>
            </w:pPr>
            <w:r>
              <w:rPr>
                <w:rFonts w:ascii="Arial" w:eastAsia="宋体" w:hAnsi="Arial" w:cs="Arial"/>
                <w:color w:val="000000"/>
                <w:sz w:val="14"/>
                <w:szCs w:val="14"/>
              </w:rPr>
              <w:t>3,446 </w:t>
            </w:r>
          </w:p>
        </w:tc>
        <w:tc>
          <w:tcPr>
            <w:tcW w:w="0" w:type="auto"/>
            <w:shd w:val="clear" w:color="auto" w:fill="FFFFFF"/>
            <w:tcMar>
              <w:top w:w="40" w:type="dxa"/>
              <w:left w:w="0" w:type="dxa"/>
              <w:bottom w:w="40" w:type="dxa"/>
              <w:right w:w="20" w:type="dxa"/>
            </w:tcMar>
            <w:vAlign w:val="bottom"/>
          </w:tcPr>
          <w:p w14:paraId="74DDE77D" w14:textId="77777777" w:rsidR="00584EC1" w:rsidRDefault="00584EC1">
            <w:pPr>
              <w:jc w:val="right"/>
              <w:rPr>
                <w:rFonts w:ascii="宋体"/>
              </w:rPr>
            </w:pPr>
          </w:p>
        </w:tc>
      </w:tr>
      <w:tr w:rsidR="00584EC1" w14:paraId="74DDE799" w14:textId="77777777">
        <w:tc>
          <w:tcPr>
            <w:tcW w:w="0" w:type="auto"/>
            <w:gridSpan w:val="3"/>
            <w:shd w:val="clear" w:color="auto" w:fill="CCEEFF"/>
            <w:tcMar>
              <w:top w:w="40" w:type="dxa"/>
              <w:left w:w="380" w:type="dxa"/>
              <w:bottom w:w="40" w:type="dxa"/>
              <w:right w:w="20" w:type="dxa"/>
            </w:tcMar>
            <w:vAlign w:val="bottom"/>
          </w:tcPr>
          <w:p w14:paraId="74DDE77F" w14:textId="77777777" w:rsidR="00584EC1" w:rsidRDefault="00871F8D">
            <w:pPr>
              <w:textAlignment w:val="bottom"/>
            </w:pPr>
            <w:r>
              <w:rPr>
                <w:rFonts w:ascii="Arial" w:eastAsia="宋体" w:hAnsi="Arial" w:cs="Arial"/>
                <w:color w:val="000000"/>
                <w:sz w:val="14"/>
                <w:szCs w:val="14"/>
              </w:rPr>
              <w:t>Special mention</w:t>
            </w:r>
          </w:p>
        </w:tc>
        <w:tc>
          <w:tcPr>
            <w:tcW w:w="0" w:type="auto"/>
            <w:gridSpan w:val="2"/>
            <w:shd w:val="clear" w:color="auto" w:fill="CCEEFF"/>
            <w:tcMar>
              <w:top w:w="40" w:type="dxa"/>
              <w:left w:w="20" w:type="dxa"/>
              <w:bottom w:w="40" w:type="dxa"/>
              <w:right w:w="0" w:type="dxa"/>
            </w:tcMar>
            <w:vAlign w:val="bottom"/>
          </w:tcPr>
          <w:p w14:paraId="74DDE780"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E78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782"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E783" w14:textId="77777777" w:rsidR="00584EC1" w:rsidRDefault="00871F8D">
            <w:pPr>
              <w:jc w:val="right"/>
              <w:textAlignment w:val="bottom"/>
            </w:pPr>
            <w:r>
              <w:rPr>
                <w:rFonts w:ascii="Arial" w:eastAsia="宋体" w:hAnsi="Arial" w:cs="Arial"/>
                <w:color w:val="000000"/>
                <w:sz w:val="14"/>
                <w:szCs w:val="14"/>
              </w:rPr>
              <w:t>28 </w:t>
            </w:r>
          </w:p>
        </w:tc>
        <w:tc>
          <w:tcPr>
            <w:tcW w:w="0" w:type="auto"/>
            <w:shd w:val="clear" w:color="auto" w:fill="CCEEFF"/>
            <w:tcMar>
              <w:top w:w="40" w:type="dxa"/>
              <w:left w:w="0" w:type="dxa"/>
              <w:bottom w:w="40" w:type="dxa"/>
              <w:right w:w="20" w:type="dxa"/>
            </w:tcMar>
            <w:vAlign w:val="bottom"/>
          </w:tcPr>
          <w:p w14:paraId="74DDE78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78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E786"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E78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788"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E789" w14:textId="77777777" w:rsidR="00584EC1" w:rsidRDefault="00871F8D">
            <w:pPr>
              <w:jc w:val="right"/>
              <w:textAlignment w:val="bottom"/>
            </w:pPr>
            <w:r>
              <w:rPr>
                <w:rFonts w:ascii="Arial" w:eastAsia="宋体" w:hAnsi="Arial" w:cs="Arial"/>
                <w:color w:val="000000"/>
                <w:sz w:val="14"/>
                <w:szCs w:val="14"/>
              </w:rPr>
              <w:t>39 </w:t>
            </w:r>
          </w:p>
        </w:tc>
        <w:tc>
          <w:tcPr>
            <w:tcW w:w="0" w:type="auto"/>
            <w:shd w:val="clear" w:color="auto" w:fill="CCEEFF"/>
            <w:tcMar>
              <w:top w:w="40" w:type="dxa"/>
              <w:left w:w="0" w:type="dxa"/>
              <w:bottom w:w="40" w:type="dxa"/>
              <w:right w:w="20" w:type="dxa"/>
            </w:tcMar>
            <w:vAlign w:val="bottom"/>
          </w:tcPr>
          <w:p w14:paraId="74DDE78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78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E78C"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E78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78E" w14:textId="77777777" w:rsidR="00584EC1" w:rsidRDefault="00584EC1">
            <w:pPr>
              <w:rPr>
                <w:rFonts w:ascii="宋体"/>
              </w:rPr>
            </w:pPr>
          </w:p>
        </w:tc>
        <w:tc>
          <w:tcPr>
            <w:tcW w:w="0" w:type="auto"/>
            <w:shd w:val="clear" w:color="auto" w:fill="auto"/>
            <w:vAlign w:val="bottom"/>
          </w:tcPr>
          <w:p w14:paraId="74DDE78F" w14:textId="77777777" w:rsidR="00584EC1" w:rsidRDefault="00584EC1">
            <w:pPr>
              <w:rPr>
                <w:rFonts w:ascii="宋体"/>
                <w:vanish/>
              </w:rPr>
            </w:pPr>
          </w:p>
        </w:tc>
        <w:tc>
          <w:tcPr>
            <w:tcW w:w="0" w:type="auto"/>
            <w:shd w:val="clear" w:color="auto" w:fill="auto"/>
            <w:vAlign w:val="bottom"/>
          </w:tcPr>
          <w:p w14:paraId="74DDE790" w14:textId="77777777" w:rsidR="00584EC1" w:rsidRDefault="00584EC1">
            <w:pPr>
              <w:rPr>
                <w:rFonts w:ascii="宋体"/>
                <w:vanish/>
              </w:rPr>
            </w:pPr>
          </w:p>
        </w:tc>
        <w:tc>
          <w:tcPr>
            <w:tcW w:w="0" w:type="auto"/>
            <w:gridSpan w:val="2"/>
            <w:shd w:val="clear" w:color="auto" w:fill="CCEEFF"/>
            <w:tcMar>
              <w:top w:w="40" w:type="dxa"/>
              <w:left w:w="20" w:type="dxa"/>
              <w:bottom w:w="40" w:type="dxa"/>
              <w:right w:w="0" w:type="dxa"/>
            </w:tcMar>
            <w:vAlign w:val="bottom"/>
          </w:tcPr>
          <w:p w14:paraId="74DDE791"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E79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793"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E794"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E79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79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E797" w14:textId="77777777" w:rsidR="00584EC1" w:rsidRDefault="00871F8D">
            <w:pPr>
              <w:jc w:val="right"/>
              <w:textAlignment w:val="bottom"/>
            </w:pPr>
            <w:r>
              <w:rPr>
                <w:rFonts w:ascii="Arial" w:eastAsia="宋体" w:hAnsi="Arial" w:cs="Arial"/>
                <w:color w:val="000000"/>
                <w:sz w:val="14"/>
                <w:szCs w:val="14"/>
              </w:rPr>
              <w:t>67 </w:t>
            </w:r>
          </w:p>
        </w:tc>
        <w:tc>
          <w:tcPr>
            <w:tcW w:w="0" w:type="auto"/>
            <w:shd w:val="clear" w:color="auto" w:fill="CCEEFF"/>
            <w:tcMar>
              <w:top w:w="40" w:type="dxa"/>
              <w:left w:w="0" w:type="dxa"/>
              <w:bottom w:w="40" w:type="dxa"/>
              <w:right w:w="20" w:type="dxa"/>
            </w:tcMar>
            <w:vAlign w:val="bottom"/>
          </w:tcPr>
          <w:p w14:paraId="74DDE798" w14:textId="77777777" w:rsidR="00584EC1" w:rsidRDefault="00584EC1">
            <w:pPr>
              <w:jc w:val="right"/>
              <w:rPr>
                <w:rFonts w:ascii="宋体"/>
              </w:rPr>
            </w:pPr>
          </w:p>
        </w:tc>
      </w:tr>
      <w:tr w:rsidR="00584EC1" w14:paraId="74DDE7B4" w14:textId="77777777">
        <w:tc>
          <w:tcPr>
            <w:tcW w:w="0" w:type="auto"/>
            <w:gridSpan w:val="3"/>
            <w:shd w:val="clear" w:color="auto" w:fill="FFFFFF"/>
            <w:tcMar>
              <w:top w:w="40" w:type="dxa"/>
              <w:left w:w="380" w:type="dxa"/>
              <w:bottom w:w="40" w:type="dxa"/>
              <w:right w:w="20" w:type="dxa"/>
            </w:tcMar>
            <w:vAlign w:val="bottom"/>
          </w:tcPr>
          <w:p w14:paraId="74DDE79A" w14:textId="77777777" w:rsidR="00584EC1" w:rsidRDefault="00871F8D">
            <w:pPr>
              <w:textAlignment w:val="bottom"/>
            </w:pPr>
            <w:r>
              <w:rPr>
                <w:rFonts w:ascii="Arial" w:eastAsia="宋体" w:hAnsi="Arial" w:cs="Arial"/>
                <w:color w:val="000000"/>
                <w:sz w:val="14"/>
                <w:szCs w:val="14"/>
              </w:rPr>
              <w:t>Substandard</w:t>
            </w:r>
          </w:p>
        </w:tc>
        <w:tc>
          <w:tcPr>
            <w:tcW w:w="0" w:type="auto"/>
            <w:gridSpan w:val="2"/>
            <w:shd w:val="clear" w:color="auto" w:fill="FFFFFF"/>
            <w:tcMar>
              <w:top w:w="40" w:type="dxa"/>
              <w:left w:w="20" w:type="dxa"/>
              <w:bottom w:w="40" w:type="dxa"/>
              <w:right w:w="0" w:type="dxa"/>
            </w:tcMar>
            <w:vAlign w:val="bottom"/>
          </w:tcPr>
          <w:p w14:paraId="74DDE79B"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79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79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79E" w14:textId="77777777" w:rsidR="00584EC1" w:rsidRDefault="00871F8D">
            <w:pPr>
              <w:jc w:val="right"/>
              <w:textAlignment w:val="bottom"/>
            </w:pPr>
            <w:r>
              <w:rPr>
                <w:rFonts w:ascii="Arial" w:eastAsia="宋体" w:hAnsi="Arial" w:cs="Arial"/>
                <w:color w:val="000000"/>
                <w:sz w:val="14"/>
                <w:szCs w:val="14"/>
              </w:rPr>
              <w:t>5 </w:t>
            </w:r>
          </w:p>
        </w:tc>
        <w:tc>
          <w:tcPr>
            <w:tcW w:w="0" w:type="auto"/>
            <w:shd w:val="clear" w:color="auto" w:fill="FFFFFF"/>
            <w:tcMar>
              <w:top w:w="40" w:type="dxa"/>
              <w:left w:w="0" w:type="dxa"/>
              <w:bottom w:w="40" w:type="dxa"/>
              <w:right w:w="20" w:type="dxa"/>
            </w:tcMar>
            <w:vAlign w:val="bottom"/>
          </w:tcPr>
          <w:p w14:paraId="74DDE79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7A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7A1"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7A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7A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7A4"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7A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7A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7A7" w14:textId="77777777" w:rsidR="00584EC1" w:rsidRDefault="00871F8D">
            <w:pPr>
              <w:jc w:val="right"/>
              <w:textAlignment w:val="bottom"/>
            </w:pPr>
            <w:r>
              <w:rPr>
                <w:rFonts w:ascii="Arial" w:eastAsia="宋体" w:hAnsi="Arial" w:cs="Arial"/>
                <w:color w:val="000000"/>
                <w:sz w:val="14"/>
                <w:szCs w:val="14"/>
              </w:rPr>
              <w:t>29 </w:t>
            </w:r>
          </w:p>
        </w:tc>
        <w:tc>
          <w:tcPr>
            <w:tcW w:w="0" w:type="auto"/>
            <w:shd w:val="clear" w:color="auto" w:fill="FFFFFF"/>
            <w:tcMar>
              <w:top w:w="40" w:type="dxa"/>
              <w:left w:w="0" w:type="dxa"/>
              <w:bottom w:w="40" w:type="dxa"/>
              <w:right w:w="20" w:type="dxa"/>
            </w:tcMar>
            <w:vAlign w:val="bottom"/>
          </w:tcPr>
          <w:p w14:paraId="74DDE7A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7A9" w14:textId="77777777" w:rsidR="00584EC1" w:rsidRDefault="00584EC1">
            <w:pPr>
              <w:rPr>
                <w:rFonts w:ascii="宋体"/>
              </w:rPr>
            </w:pPr>
          </w:p>
        </w:tc>
        <w:tc>
          <w:tcPr>
            <w:tcW w:w="0" w:type="auto"/>
            <w:shd w:val="clear" w:color="auto" w:fill="auto"/>
            <w:vAlign w:val="bottom"/>
          </w:tcPr>
          <w:p w14:paraId="74DDE7AA" w14:textId="77777777" w:rsidR="00584EC1" w:rsidRDefault="00584EC1">
            <w:pPr>
              <w:rPr>
                <w:rFonts w:ascii="宋体"/>
                <w:vanish/>
              </w:rPr>
            </w:pPr>
          </w:p>
        </w:tc>
        <w:tc>
          <w:tcPr>
            <w:tcW w:w="0" w:type="auto"/>
            <w:shd w:val="clear" w:color="auto" w:fill="auto"/>
            <w:vAlign w:val="bottom"/>
          </w:tcPr>
          <w:p w14:paraId="74DDE7AB"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DE7AC"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7A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7A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7AF"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7B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7B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7B2" w14:textId="77777777" w:rsidR="00584EC1" w:rsidRDefault="00871F8D">
            <w:pPr>
              <w:jc w:val="right"/>
              <w:textAlignment w:val="bottom"/>
            </w:pPr>
            <w:r>
              <w:rPr>
                <w:rFonts w:ascii="Arial" w:eastAsia="宋体" w:hAnsi="Arial" w:cs="Arial"/>
                <w:color w:val="000000"/>
                <w:sz w:val="14"/>
                <w:szCs w:val="14"/>
              </w:rPr>
              <w:t>34 </w:t>
            </w:r>
          </w:p>
        </w:tc>
        <w:tc>
          <w:tcPr>
            <w:tcW w:w="0" w:type="auto"/>
            <w:shd w:val="clear" w:color="auto" w:fill="FFFFFF"/>
            <w:tcMar>
              <w:top w:w="40" w:type="dxa"/>
              <w:left w:w="0" w:type="dxa"/>
              <w:bottom w:w="40" w:type="dxa"/>
              <w:right w:w="20" w:type="dxa"/>
            </w:tcMar>
            <w:vAlign w:val="bottom"/>
          </w:tcPr>
          <w:p w14:paraId="74DDE7B3" w14:textId="77777777" w:rsidR="00584EC1" w:rsidRDefault="00584EC1">
            <w:pPr>
              <w:jc w:val="right"/>
              <w:rPr>
                <w:rFonts w:ascii="宋体"/>
              </w:rPr>
            </w:pPr>
          </w:p>
        </w:tc>
      </w:tr>
      <w:tr w:rsidR="00584EC1" w14:paraId="74DDE7C7" w14:textId="77777777">
        <w:trPr>
          <w:hidden/>
        </w:trPr>
        <w:tc>
          <w:tcPr>
            <w:tcW w:w="0" w:type="auto"/>
            <w:gridSpan w:val="3"/>
            <w:shd w:val="clear" w:color="auto" w:fill="auto"/>
            <w:vAlign w:val="bottom"/>
          </w:tcPr>
          <w:p w14:paraId="74DDE7B5" w14:textId="77777777" w:rsidR="00584EC1" w:rsidRDefault="00584EC1">
            <w:pPr>
              <w:rPr>
                <w:rFonts w:ascii="宋体"/>
                <w:vanish/>
              </w:rPr>
            </w:pPr>
          </w:p>
        </w:tc>
        <w:tc>
          <w:tcPr>
            <w:tcW w:w="0" w:type="auto"/>
            <w:gridSpan w:val="3"/>
            <w:shd w:val="clear" w:color="auto" w:fill="auto"/>
            <w:vAlign w:val="bottom"/>
          </w:tcPr>
          <w:p w14:paraId="74DDE7B6" w14:textId="77777777" w:rsidR="00584EC1" w:rsidRDefault="00584EC1">
            <w:pPr>
              <w:rPr>
                <w:rFonts w:ascii="宋体"/>
                <w:vanish/>
              </w:rPr>
            </w:pPr>
          </w:p>
        </w:tc>
        <w:tc>
          <w:tcPr>
            <w:tcW w:w="0" w:type="auto"/>
            <w:gridSpan w:val="3"/>
            <w:shd w:val="clear" w:color="auto" w:fill="auto"/>
            <w:vAlign w:val="bottom"/>
          </w:tcPr>
          <w:p w14:paraId="74DDE7B7" w14:textId="77777777" w:rsidR="00584EC1" w:rsidRDefault="00584EC1">
            <w:pPr>
              <w:rPr>
                <w:rFonts w:ascii="宋体"/>
                <w:vanish/>
              </w:rPr>
            </w:pPr>
          </w:p>
        </w:tc>
        <w:tc>
          <w:tcPr>
            <w:tcW w:w="0" w:type="auto"/>
            <w:gridSpan w:val="3"/>
            <w:shd w:val="clear" w:color="auto" w:fill="auto"/>
            <w:vAlign w:val="bottom"/>
          </w:tcPr>
          <w:p w14:paraId="74DDE7B8" w14:textId="77777777" w:rsidR="00584EC1" w:rsidRDefault="00584EC1">
            <w:pPr>
              <w:rPr>
                <w:rFonts w:ascii="宋体"/>
                <w:vanish/>
              </w:rPr>
            </w:pPr>
          </w:p>
        </w:tc>
        <w:tc>
          <w:tcPr>
            <w:tcW w:w="0" w:type="auto"/>
            <w:gridSpan w:val="3"/>
            <w:shd w:val="clear" w:color="auto" w:fill="auto"/>
            <w:vAlign w:val="bottom"/>
          </w:tcPr>
          <w:p w14:paraId="74DDE7B9" w14:textId="77777777" w:rsidR="00584EC1" w:rsidRDefault="00584EC1">
            <w:pPr>
              <w:rPr>
                <w:rFonts w:ascii="宋体"/>
                <w:vanish/>
              </w:rPr>
            </w:pPr>
          </w:p>
        </w:tc>
        <w:tc>
          <w:tcPr>
            <w:tcW w:w="0" w:type="auto"/>
            <w:gridSpan w:val="3"/>
            <w:shd w:val="clear" w:color="auto" w:fill="auto"/>
            <w:vAlign w:val="bottom"/>
          </w:tcPr>
          <w:p w14:paraId="74DDE7BA" w14:textId="77777777" w:rsidR="00584EC1" w:rsidRDefault="00584EC1">
            <w:pPr>
              <w:rPr>
                <w:rFonts w:ascii="宋体"/>
                <w:vanish/>
              </w:rPr>
            </w:pPr>
          </w:p>
        </w:tc>
        <w:tc>
          <w:tcPr>
            <w:tcW w:w="0" w:type="auto"/>
            <w:gridSpan w:val="3"/>
            <w:shd w:val="clear" w:color="auto" w:fill="auto"/>
            <w:vAlign w:val="bottom"/>
          </w:tcPr>
          <w:p w14:paraId="74DDE7BB" w14:textId="77777777" w:rsidR="00584EC1" w:rsidRDefault="00584EC1">
            <w:pPr>
              <w:rPr>
                <w:rFonts w:ascii="宋体"/>
                <w:vanish/>
              </w:rPr>
            </w:pPr>
          </w:p>
        </w:tc>
        <w:tc>
          <w:tcPr>
            <w:tcW w:w="0" w:type="auto"/>
            <w:gridSpan w:val="3"/>
            <w:shd w:val="clear" w:color="auto" w:fill="auto"/>
            <w:vAlign w:val="bottom"/>
          </w:tcPr>
          <w:p w14:paraId="74DDE7BC" w14:textId="77777777" w:rsidR="00584EC1" w:rsidRDefault="00584EC1">
            <w:pPr>
              <w:rPr>
                <w:rFonts w:ascii="宋体"/>
                <w:vanish/>
              </w:rPr>
            </w:pPr>
          </w:p>
        </w:tc>
        <w:tc>
          <w:tcPr>
            <w:tcW w:w="0" w:type="auto"/>
            <w:gridSpan w:val="3"/>
            <w:shd w:val="clear" w:color="auto" w:fill="auto"/>
            <w:vAlign w:val="bottom"/>
          </w:tcPr>
          <w:p w14:paraId="74DDE7BD" w14:textId="77777777" w:rsidR="00584EC1" w:rsidRDefault="00584EC1">
            <w:pPr>
              <w:rPr>
                <w:rFonts w:ascii="宋体"/>
                <w:vanish/>
              </w:rPr>
            </w:pPr>
          </w:p>
        </w:tc>
        <w:tc>
          <w:tcPr>
            <w:tcW w:w="0" w:type="auto"/>
            <w:gridSpan w:val="3"/>
            <w:shd w:val="clear" w:color="auto" w:fill="auto"/>
            <w:vAlign w:val="bottom"/>
          </w:tcPr>
          <w:p w14:paraId="74DDE7BE" w14:textId="77777777" w:rsidR="00584EC1" w:rsidRDefault="00584EC1">
            <w:pPr>
              <w:rPr>
                <w:rFonts w:ascii="宋体"/>
                <w:vanish/>
              </w:rPr>
            </w:pPr>
          </w:p>
        </w:tc>
        <w:tc>
          <w:tcPr>
            <w:tcW w:w="0" w:type="auto"/>
            <w:gridSpan w:val="3"/>
            <w:shd w:val="clear" w:color="auto" w:fill="auto"/>
            <w:vAlign w:val="bottom"/>
          </w:tcPr>
          <w:p w14:paraId="74DDE7BF" w14:textId="77777777" w:rsidR="00584EC1" w:rsidRDefault="00584EC1">
            <w:pPr>
              <w:rPr>
                <w:rFonts w:ascii="宋体"/>
                <w:vanish/>
              </w:rPr>
            </w:pPr>
          </w:p>
        </w:tc>
        <w:tc>
          <w:tcPr>
            <w:tcW w:w="0" w:type="auto"/>
            <w:shd w:val="clear" w:color="auto" w:fill="auto"/>
            <w:vAlign w:val="bottom"/>
          </w:tcPr>
          <w:p w14:paraId="74DDE7C0" w14:textId="77777777" w:rsidR="00584EC1" w:rsidRDefault="00584EC1">
            <w:pPr>
              <w:rPr>
                <w:rFonts w:ascii="宋体"/>
                <w:vanish/>
              </w:rPr>
            </w:pPr>
          </w:p>
        </w:tc>
        <w:tc>
          <w:tcPr>
            <w:tcW w:w="0" w:type="auto"/>
            <w:shd w:val="clear" w:color="auto" w:fill="auto"/>
            <w:vAlign w:val="bottom"/>
          </w:tcPr>
          <w:p w14:paraId="74DDE7C1" w14:textId="77777777" w:rsidR="00584EC1" w:rsidRDefault="00584EC1">
            <w:pPr>
              <w:rPr>
                <w:rFonts w:ascii="宋体"/>
                <w:vanish/>
              </w:rPr>
            </w:pPr>
          </w:p>
        </w:tc>
        <w:tc>
          <w:tcPr>
            <w:tcW w:w="0" w:type="auto"/>
            <w:gridSpan w:val="3"/>
            <w:shd w:val="clear" w:color="auto" w:fill="auto"/>
            <w:vAlign w:val="bottom"/>
          </w:tcPr>
          <w:p w14:paraId="74DDE7C2" w14:textId="77777777" w:rsidR="00584EC1" w:rsidRDefault="00584EC1">
            <w:pPr>
              <w:rPr>
                <w:rFonts w:ascii="宋体"/>
                <w:vanish/>
              </w:rPr>
            </w:pPr>
          </w:p>
        </w:tc>
        <w:tc>
          <w:tcPr>
            <w:tcW w:w="0" w:type="auto"/>
            <w:gridSpan w:val="3"/>
            <w:shd w:val="clear" w:color="auto" w:fill="auto"/>
            <w:vAlign w:val="bottom"/>
          </w:tcPr>
          <w:p w14:paraId="74DDE7C3" w14:textId="77777777" w:rsidR="00584EC1" w:rsidRDefault="00584EC1">
            <w:pPr>
              <w:rPr>
                <w:rFonts w:ascii="宋体"/>
                <w:vanish/>
              </w:rPr>
            </w:pPr>
          </w:p>
        </w:tc>
        <w:tc>
          <w:tcPr>
            <w:tcW w:w="0" w:type="auto"/>
            <w:gridSpan w:val="3"/>
            <w:shd w:val="clear" w:color="auto" w:fill="auto"/>
            <w:vAlign w:val="bottom"/>
          </w:tcPr>
          <w:p w14:paraId="74DDE7C4" w14:textId="77777777" w:rsidR="00584EC1" w:rsidRDefault="00584EC1">
            <w:pPr>
              <w:rPr>
                <w:rFonts w:ascii="宋体"/>
                <w:vanish/>
              </w:rPr>
            </w:pPr>
          </w:p>
        </w:tc>
        <w:tc>
          <w:tcPr>
            <w:tcW w:w="0" w:type="auto"/>
            <w:gridSpan w:val="3"/>
            <w:shd w:val="clear" w:color="auto" w:fill="auto"/>
            <w:vAlign w:val="bottom"/>
          </w:tcPr>
          <w:p w14:paraId="74DDE7C5" w14:textId="77777777" w:rsidR="00584EC1" w:rsidRDefault="00584EC1">
            <w:pPr>
              <w:rPr>
                <w:rFonts w:ascii="宋体"/>
                <w:vanish/>
              </w:rPr>
            </w:pPr>
          </w:p>
        </w:tc>
        <w:tc>
          <w:tcPr>
            <w:tcW w:w="0" w:type="auto"/>
            <w:gridSpan w:val="3"/>
            <w:shd w:val="clear" w:color="auto" w:fill="auto"/>
            <w:vAlign w:val="bottom"/>
          </w:tcPr>
          <w:p w14:paraId="74DDE7C6" w14:textId="77777777" w:rsidR="00584EC1" w:rsidRDefault="00584EC1">
            <w:pPr>
              <w:rPr>
                <w:rFonts w:ascii="宋体"/>
                <w:vanish/>
              </w:rPr>
            </w:pPr>
          </w:p>
        </w:tc>
      </w:tr>
      <w:tr w:rsidR="00584EC1" w14:paraId="74DDE7DA" w14:textId="77777777">
        <w:trPr>
          <w:hidden/>
        </w:trPr>
        <w:tc>
          <w:tcPr>
            <w:tcW w:w="0" w:type="auto"/>
            <w:gridSpan w:val="3"/>
            <w:shd w:val="clear" w:color="auto" w:fill="auto"/>
            <w:vAlign w:val="bottom"/>
          </w:tcPr>
          <w:p w14:paraId="74DDE7C8" w14:textId="77777777" w:rsidR="00584EC1" w:rsidRDefault="00584EC1">
            <w:pPr>
              <w:rPr>
                <w:rFonts w:ascii="宋体"/>
                <w:vanish/>
              </w:rPr>
            </w:pPr>
          </w:p>
        </w:tc>
        <w:tc>
          <w:tcPr>
            <w:tcW w:w="0" w:type="auto"/>
            <w:gridSpan w:val="3"/>
            <w:shd w:val="clear" w:color="auto" w:fill="auto"/>
            <w:vAlign w:val="bottom"/>
          </w:tcPr>
          <w:p w14:paraId="74DDE7C9" w14:textId="77777777" w:rsidR="00584EC1" w:rsidRDefault="00584EC1">
            <w:pPr>
              <w:rPr>
                <w:rFonts w:ascii="宋体"/>
                <w:vanish/>
              </w:rPr>
            </w:pPr>
          </w:p>
        </w:tc>
        <w:tc>
          <w:tcPr>
            <w:tcW w:w="0" w:type="auto"/>
            <w:gridSpan w:val="3"/>
            <w:shd w:val="clear" w:color="auto" w:fill="auto"/>
            <w:vAlign w:val="bottom"/>
          </w:tcPr>
          <w:p w14:paraId="74DDE7CA" w14:textId="77777777" w:rsidR="00584EC1" w:rsidRDefault="00584EC1">
            <w:pPr>
              <w:rPr>
                <w:rFonts w:ascii="宋体"/>
                <w:vanish/>
              </w:rPr>
            </w:pPr>
          </w:p>
        </w:tc>
        <w:tc>
          <w:tcPr>
            <w:tcW w:w="0" w:type="auto"/>
            <w:gridSpan w:val="3"/>
            <w:shd w:val="clear" w:color="auto" w:fill="auto"/>
            <w:vAlign w:val="bottom"/>
          </w:tcPr>
          <w:p w14:paraId="74DDE7CB" w14:textId="77777777" w:rsidR="00584EC1" w:rsidRDefault="00584EC1">
            <w:pPr>
              <w:rPr>
                <w:rFonts w:ascii="宋体"/>
                <w:vanish/>
              </w:rPr>
            </w:pPr>
          </w:p>
        </w:tc>
        <w:tc>
          <w:tcPr>
            <w:tcW w:w="0" w:type="auto"/>
            <w:gridSpan w:val="3"/>
            <w:shd w:val="clear" w:color="auto" w:fill="auto"/>
            <w:vAlign w:val="bottom"/>
          </w:tcPr>
          <w:p w14:paraId="74DDE7CC" w14:textId="77777777" w:rsidR="00584EC1" w:rsidRDefault="00584EC1">
            <w:pPr>
              <w:rPr>
                <w:rFonts w:ascii="宋体"/>
                <w:vanish/>
              </w:rPr>
            </w:pPr>
          </w:p>
        </w:tc>
        <w:tc>
          <w:tcPr>
            <w:tcW w:w="0" w:type="auto"/>
            <w:gridSpan w:val="3"/>
            <w:shd w:val="clear" w:color="auto" w:fill="auto"/>
            <w:vAlign w:val="bottom"/>
          </w:tcPr>
          <w:p w14:paraId="74DDE7CD" w14:textId="77777777" w:rsidR="00584EC1" w:rsidRDefault="00584EC1">
            <w:pPr>
              <w:rPr>
                <w:rFonts w:ascii="宋体"/>
                <w:vanish/>
              </w:rPr>
            </w:pPr>
          </w:p>
        </w:tc>
        <w:tc>
          <w:tcPr>
            <w:tcW w:w="0" w:type="auto"/>
            <w:gridSpan w:val="3"/>
            <w:shd w:val="clear" w:color="auto" w:fill="auto"/>
            <w:vAlign w:val="bottom"/>
          </w:tcPr>
          <w:p w14:paraId="74DDE7CE" w14:textId="77777777" w:rsidR="00584EC1" w:rsidRDefault="00584EC1">
            <w:pPr>
              <w:rPr>
                <w:rFonts w:ascii="宋体"/>
                <w:vanish/>
              </w:rPr>
            </w:pPr>
          </w:p>
        </w:tc>
        <w:tc>
          <w:tcPr>
            <w:tcW w:w="0" w:type="auto"/>
            <w:gridSpan w:val="3"/>
            <w:shd w:val="clear" w:color="auto" w:fill="auto"/>
            <w:vAlign w:val="bottom"/>
          </w:tcPr>
          <w:p w14:paraId="74DDE7CF" w14:textId="77777777" w:rsidR="00584EC1" w:rsidRDefault="00584EC1">
            <w:pPr>
              <w:rPr>
                <w:rFonts w:ascii="宋体"/>
                <w:vanish/>
              </w:rPr>
            </w:pPr>
          </w:p>
        </w:tc>
        <w:tc>
          <w:tcPr>
            <w:tcW w:w="0" w:type="auto"/>
            <w:gridSpan w:val="3"/>
            <w:shd w:val="clear" w:color="auto" w:fill="auto"/>
            <w:vAlign w:val="bottom"/>
          </w:tcPr>
          <w:p w14:paraId="74DDE7D0" w14:textId="77777777" w:rsidR="00584EC1" w:rsidRDefault="00584EC1">
            <w:pPr>
              <w:rPr>
                <w:rFonts w:ascii="宋体"/>
                <w:vanish/>
              </w:rPr>
            </w:pPr>
          </w:p>
        </w:tc>
        <w:tc>
          <w:tcPr>
            <w:tcW w:w="0" w:type="auto"/>
            <w:gridSpan w:val="3"/>
            <w:shd w:val="clear" w:color="auto" w:fill="auto"/>
            <w:vAlign w:val="bottom"/>
          </w:tcPr>
          <w:p w14:paraId="74DDE7D1" w14:textId="77777777" w:rsidR="00584EC1" w:rsidRDefault="00584EC1">
            <w:pPr>
              <w:rPr>
                <w:rFonts w:ascii="宋体"/>
                <w:vanish/>
              </w:rPr>
            </w:pPr>
          </w:p>
        </w:tc>
        <w:tc>
          <w:tcPr>
            <w:tcW w:w="0" w:type="auto"/>
            <w:gridSpan w:val="3"/>
            <w:shd w:val="clear" w:color="auto" w:fill="auto"/>
            <w:vAlign w:val="bottom"/>
          </w:tcPr>
          <w:p w14:paraId="74DDE7D2" w14:textId="77777777" w:rsidR="00584EC1" w:rsidRDefault="00584EC1">
            <w:pPr>
              <w:rPr>
                <w:rFonts w:ascii="宋体"/>
                <w:vanish/>
              </w:rPr>
            </w:pPr>
          </w:p>
        </w:tc>
        <w:tc>
          <w:tcPr>
            <w:tcW w:w="0" w:type="auto"/>
            <w:shd w:val="clear" w:color="auto" w:fill="auto"/>
            <w:vAlign w:val="bottom"/>
          </w:tcPr>
          <w:p w14:paraId="74DDE7D3" w14:textId="77777777" w:rsidR="00584EC1" w:rsidRDefault="00584EC1">
            <w:pPr>
              <w:rPr>
                <w:rFonts w:ascii="宋体"/>
                <w:vanish/>
              </w:rPr>
            </w:pPr>
          </w:p>
        </w:tc>
        <w:tc>
          <w:tcPr>
            <w:tcW w:w="0" w:type="auto"/>
            <w:shd w:val="clear" w:color="auto" w:fill="auto"/>
            <w:vAlign w:val="bottom"/>
          </w:tcPr>
          <w:p w14:paraId="74DDE7D4" w14:textId="77777777" w:rsidR="00584EC1" w:rsidRDefault="00584EC1">
            <w:pPr>
              <w:rPr>
                <w:rFonts w:ascii="宋体"/>
                <w:vanish/>
              </w:rPr>
            </w:pPr>
          </w:p>
        </w:tc>
        <w:tc>
          <w:tcPr>
            <w:tcW w:w="0" w:type="auto"/>
            <w:gridSpan w:val="3"/>
            <w:shd w:val="clear" w:color="auto" w:fill="auto"/>
            <w:vAlign w:val="bottom"/>
          </w:tcPr>
          <w:p w14:paraId="74DDE7D5" w14:textId="77777777" w:rsidR="00584EC1" w:rsidRDefault="00584EC1">
            <w:pPr>
              <w:rPr>
                <w:rFonts w:ascii="宋体"/>
                <w:vanish/>
              </w:rPr>
            </w:pPr>
          </w:p>
        </w:tc>
        <w:tc>
          <w:tcPr>
            <w:tcW w:w="0" w:type="auto"/>
            <w:gridSpan w:val="3"/>
            <w:shd w:val="clear" w:color="auto" w:fill="auto"/>
            <w:vAlign w:val="bottom"/>
          </w:tcPr>
          <w:p w14:paraId="74DDE7D6" w14:textId="77777777" w:rsidR="00584EC1" w:rsidRDefault="00584EC1">
            <w:pPr>
              <w:rPr>
                <w:rFonts w:ascii="宋体"/>
                <w:vanish/>
              </w:rPr>
            </w:pPr>
          </w:p>
        </w:tc>
        <w:tc>
          <w:tcPr>
            <w:tcW w:w="0" w:type="auto"/>
            <w:gridSpan w:val="3"/>
            <w:shd w:val="clear" w:color="auto" w:fill="auto"/>
            <w:vAlign w:val="bottom"/>
          </w:tcPr>
          <w:p w14:paraId="74DDE7D7" w14:textId="77777777" w:rsidR="00584EC1" w:rsidRDefault="00584EC1">
            <w:pPr>
              <w:rPr>
                <w:rFonts w:ascii="宋体"/>
                <w:vanish/>
              </w:rPr>
            </w:pPr>
          </w:p>
        </w:tc>
        <w:tc>
          <w:tcPr>
            <w:tcW w:w="0" w:type="auto"/>
            <w:gridSpan w:val="3"/>
            <w:shd w:val="clear" w:color="auto" w:fill="auto"/>
            <w:vAlign w:val="bottom"/>
          </w:tcPr>
          <w:p w14:paraId="74DDE7D8" w14:textId="77777777" w:rsidR="00584EC1" w:rsidRDefault="00584EC1">
            <w:pPr>
              <w:rPr>
                <w:rFonts w:ascii="宋体"/>
                <w:vanish/>
              </w:rPr>
            </w:pPr>
          </w:p>
        </w:tc>
        <w:tc>
          <w:tcPr>
            <w:tcW w:w="0" w:type="auto"/>
            <w:gridSpan w:val="3"/>
            <w:shd w:val="clear" w:color="auto" w:fill="auto"/>
            <w:vAlign w:val="bottom"/>
          </w:tcPr>
          <w:p w14:paraId="74DDE7D9" w14:textId="77777777" w:rsidR="00584EC1" w:rsidRDefault="00584EC1">
            <w:pPr>
              <w:rPr>
                <w:rFonts w:ascii="宋体"/>
                <w:vanish/>
              </w:rPr>
            </w:pPr>
          </w:p>
        </w:tc>
      </w:tr>
      <w:tr w:rsidR="00584EC1" w14:paraId="74DDE7FD" w14:textId="77777777">
        <w:tc>
          <w:tcPr>
            <w:tcW w:w="0" w:type="auto"/>
            <w:gridSpan w:val="3"/>
            <w:shd w:val="clear" w:color="auto" w:fill="CCEEFF"/>
            <w:tcMar>
              <w:top w:w="40" w:type="dxa"/>
              <w:left w:w="155" w:type="dxa"/>
              <w:bottom w:w="40" w:type="dxa"/>
              <w:right w:w="20" w:type="dxa"/>
            </w:tcMar>
            <w:vAlign w:val="bottom"/>
          </w:tcPr>
          <w:p w14:paraId="74DDE7DB" w14:textId="77777777" w:rsidR="00584EC1" w:rsidRDefault="00871F8D">
            <w:pPr>
              <w:textAlignment w:val="bottom"/>
            </w:pPr>
            <w:r>
              <w:rPr>
                <w:rFonts w:ascii="Arial" w:eastAsia="宋体" w:hAnsi="Arial" w:cs="Arial"/>
                <w:color w:val="000000"/>
                <w:sz w:val="14"/>
                <w:szCs w:val="14"/>
              </w:rPr>
              <w:t>Total commercial and financing</w:t>
            </w:r>
          </w:p>
        </w:tc>
        <w:tc>
          <w:tcPr>
            <w:tcW w:w="0" w:type="auto"/>
            <w:tcBorders>
              <w:top w:val="single" w:sz="8" w:space="0" w:color="000000"/>
            </w:tcBorders>
            <w:shd w:val="clear" w:color="auto" w:fill="CCEEFF"/>
            <w:tcMar>
              <w:top w:w="40" w:type="dxa"/>
              <w:left w:w="20" w:type="dxa"/>
              <w:bottom w:w="40" w:type="dxa"/>
              <w:right w:w="0" w:type="dxa"/>
            </w:tcMar>
            <w:vAlign w:val="bottom"/>
          </w:tcPr>
          <w:p w14:paraId="74DDE7DC"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E7DD" w14:textId="77777777" w:rsidR="00584EC1" w:rsidRDefault="00871F8D">
            <w:pPr>
              <w:jc w:val="right"/>
              <w:textAlignment w:val="bottom"/>
            </w:pPr>
            <w:r>
              <w:rPr>
                <w:rFonts w:ascii="Arial" w:eastAsia="宋体" w:hAnsi="Arial" w:cs="Arial"/>
                <w:color w:val="000000"/>
                <w:sz w:val="14"/>
                <w:szCs w:val="14"/>
              </w:rPr>
              <w:t>2,326 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E7D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7DF"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E7E0"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E7E1" w14:textId="77777777" w:rsidR="00584EC1" w:rsidRDefault="00871F8D">
            <w:pPr>
              <w:jc w:val="right"/>
              <w:textAlignment w:val="bottom"/>
            </w:pPr>
            <w:r>
              <w:rPr>
                <w:rFonts w:ascii="Arial" w:eastAsia="宋体" w:hAnsi="Arial" w:cs="Arial"/>
                <w:color w:val="000000"/>
                <w:sz w:val="14"/>
                <w:szCs w:val="14"/>
              </w:rPr>
              <w:t>1,363 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E7E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7E3"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E7E4"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E7E5" w14:textId="77777777" w:rsidR="00584EC1" w:rsidRDefault="00871F8D">
            <w:pPr>
              <w:jc w:val="right"/>
              <w:textAlignment w:val="bottom"/>
            </w:pPr>
            <w:r>
              <w:rPr>
                <w:rFonts w:ascii="Arial" w:eastAsia="宋体" w:hAnsi="Arial" w:cs="Arial"/>
                <w:color w:val="000000"/>
                <w:sz w:val="14"/>
                <w:szCs w:val="14"/>
              </w:rPr>
              <w:t>826 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E7E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7E7"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E7E8"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E7E9" w14:textId="77777777" w:rsidR="00584EC1" w:rsidRDefault="00871F8D">
            <w:pPr>
              <w:jc w:val="right"/>
              <w:textAlignment w:val="bottom"/>
            </w:pPr>
            <w:r>
              <w:rPr>
                <w:rFonts w:ascii="Arial" w:eastAsia="宋体" w:hAnsi="Arial" w:cs="Arial"/>
                <w:color w:val="000000"/>
                <w:sz w:val="14"/>
                <w:szCs w:val="14"/>
              </w:rPr>
              <w:t>816 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E7E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7EB"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E7EC"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E7ED" w14:textId="77777777" w:rsidR="00584EC1" w:rsidRDefault="00871F8D">
            <w:pPr>
              <w:jc w:val="right"/>
              <w:textAlignment w:val="bottom"/>
            </w:pPr>
            <w:r>
              <w:rPr>
                <w:rFonts w:ascii="Arial" w:eastAsia="宋体" w:hAnsi="Arial" w:cs="Arial"/>
                <w:color w:val="000000"/>
                <w:sz w:val="14"/>
                <w:szCs w:val="14"/>
              </w:rPr>
              <w:t>272 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E7E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7EF" w14:textId="77777777" w:rsidR="00584EC1" w:rsidRDefault="00584EC1">
            <w:pPr>
              <w:rPr>
                <w:rFonts w:ascii="宋体"/>
              </w:rPr>
            </w:pPr>
          </w:p>
        </w:tc>
        <w:tc>
          <w:tcPr>
            <w:tcW w:w="0" w:type="auto"/>
            <w:shd w:val="clear" w:color="auto" w:fill="auto"/>
            <w:vAlign w:val="bottom"/>
          </w:tcPr>
          <w:p w14:paraId="74DDE7F0" w14:textId="77777777" w:rsidR="00584EC1" w:rsidRDefault="00584EC1">
            <w:pPr>
              <w:rPr>
                <w:rFonts w:ascii="宋体"/>
                <w:vanish/>
              </w:rPr>
            </w:pPr>
          </w:p>
        </w:tc>
        <w:tc>
          <w:tcPr>
            <w:tcW w:w="0" w:type="auto"/>
            <w:shd w:val="clear" w:color="auto" w:fill="auto"/>
            <w:vAlign w:val="bottom"/>
          </w:tcPr>
          <w:p w14:paraId="74DDE7F1" w14:textId="77777777" w:rsidR="00584EC1" w:rsidRDefault="00584EC1">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E7F2"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E7F3" w14:textId="77777777" w:rsidR="00584EC1" w:rsidRDefault="00871F8D">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E7F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7F5"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E7F6"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E7F7" w14:textId="77777777" w:rsidR="00584EC1" w:rsidRDefault="00871F8D">
            <w:pPr>
              <w:jc w:val="right"/>
              <w:textAlignment w:val="bottom"/>
            </w:pPr>
            <w:r>
              <w:rPr>
                <w:rFonts w:ascii="Arial" w:eastAsia="宋体" w:hAnsi="Arial" w:cs="Arial"/>
                <w:color w:val="000000"/>
                <w:sz w:val="14"/>
                <w:szCs w:val="14"/>
              </w:rPr>
              <w:t>13,433 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E7F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7F9"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E7FA"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E7FB" w14:textId="77777777" w:rsidR="00584EC1" w:rsidRDefault="00871F8D">
            <w:pPr>
              <w:jc w:val="right"/>
              <w:textAlignment w:val="bottom"/>
            </w:pPr>
            <w:r>
              <w:rPr>
                <w:rFonts w:ascii="Arial" w:eastAsia="宋体" w:hAnsi="Arial" w:cs="Arial"/>
                <w:color w:val="000000"/>
                <w:sz w:val="14"/>
                <w:szCs w:val="14"/>
              </w:rPr>
              <w:t>19,036 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E7FC" w14:textId="77777777" w:rsidR="00584EC1" w:rsidRDefault="00584EC1">
            <w:pPr>
              <w:jc w:val="right"/>
              <w:rPr>
                <w:rFonts w:ascii="宋体"/>
              </w:rPr>
            </w:pPr>
          </w:p>
        </w:tc>
      </w:tr>
      <w:tr w:rsidR="00584EC1" w14:paraId="74DDE810" w14:textId="77777777">
        <w:tc>
          <w:tcPr>
            <w:tcW w:w="0" w:type="auto"/>
            <w:gridSpan w:val="3"/>
            <w:shd w:val="clear" w:color="auto" w:fill="FFFFFF"/>
            <w:tcMar>
              <w:top w:w="40" w:type="dxa"/>
              <w:left w:w="155" w:type="dxa"/>
              <w:bottom w:w="40" w:type="dxa"/>
              <w:right w:w="20" w:type="dxa"/>
            </w:tcMar>
            <w:vAlign w:val="bottom"/>
          </w:tcPr>
          <w:p w14:paraId="74DDE7FE" w14:textId="77777777" w:rsidR="00584EC1" w:rsidRDefault="00871F8D">
            <w:pPr>
              <w:textAlignment w:val="bottom"/>
            </w:pPr>
            <w:r>
              <w:rPr>
                <w:rFonts w:ascii="Arial" w:eastAsia="宋体" w:hAnsi="Arial" w:cs="Arial"/>
                <w:color w:val="000000"/>
                <w:sz w:val="14"/>
                <w:szCs w:val="14"/>
              </w:rPr>
              <w:t>Commercial real estate:</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E7FF"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E800"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E801"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E802"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E803"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E804"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E805"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E806"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E807"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E808" w14:textId="77777777" w:rsidR="00584EC1" w:rsidRDefault="00584EC1">
            <w:pPr>
              <w:rPr>
                <w:rFonts w:ascii="宋体"/>
              </w:rPr>
            </w:pPr>
          </w:p>
        </w:tc>
        <w:tc>
          <w:tcPr>
            <w:tcW w:w="0" w:type="auto"/>
            <w:shd w:val="clear" w:color="auto" w:fill="auto"/>
            <w:vAlign w:val="bottom"/>
          </w:tcPr>
          <w:p w14:paraId="74DDE809" w14:textId="77777777" w:rsidR="00584EC1" w:rsidRDefault="00584EC1">
            <w:pPr>
              <w:rPr>
                <w:rFonts w:ascii="宋体"/>
                <w:vanish/>
              </w:rPr>
            </w:pPr>
          </w:p>
        </w:tc>
        <w:tc>
          <w:tcPr>
            <w:tcW w:w="0" w:type="auto"/>
            <w:shd w:val="clear" w:color="auto" w:fill="auto"/>
            <w:vAlign w:val="bottom"/>
          </w:tcPr>
          <w:p w14:paraId="74DDE80A" w14:textId="77777777" w:rsidR="00584EC1" w:rsidRDefault="00584EC1">
            <w:pPr>
              <w:rPr>
                <w:rFonts w:ascii="宋体"/>
                <w:vanish/>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E80B"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E80C"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E80D"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E80E"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E80F" w14:textId="77777777" w:rsidR="00584EC1" w:rsidRDefault="00584EC1">
            <w:pPr>
              <w:rPr>
                <w:rFonts w:ascii="宋体"/>
              </w:rPr>
            </w:pPr>
          </w:p>
        </w:tc>
      </w:tr>
      <w:tr w:rsidR="00584EC1" w14:paraId="74DDE823" w14:textId="77777777">
        <w:tc>
          <w:tcPr>
            <w:tcW w:w="0" w:type="auto"/>
            <w:gridSpan w:val="3"/>
            <w:shd w:val="clear" w:color="auto" w:fill="CCEEFF"/>
            <w:tcMar>
              <w:top w:w="40" w:type="dxa"/>
              <w:left w:w="245" w:type="dxa"/>
              <w:bottom w:w="40" w:type="dxa"/>
              <w:right w:w="20" w:type="dxa"/>
            </w:tcMar>
            <w:vAlign w:val="bottom"/>
          </w:tcPr>
          <w:p w14:paraId="74DDE811" w14:textId="77777777" w:rsidR="00584EC1" w:rsidRDefault="00871F8D">
            <w:pPr>
              <w:textAlignment w:val="bottom"/>
            </w:pPr>
            <w:r>
              <w:rPr>
                <w:rFonts w:ascii="Arial" w:eastAsia="宋体" w:hAnsi="Arial" w:cs="Arial"/>
                <w:color w:val="000000"/>
                <w:sz w:val="14"/>
                <w:szCs w:val="14"/>
              </w:rPr>
              <w:t>Risk Rating:</w:t>
            </w:r>
          </w:p>
        </w:tc>
        <w:tc>
          <w:tcPr>
            <w:tcW w:w="0" w:type="auto"/>
            <w:gridSpan w:val="3"/>
            <w:shd w:val="clear" w:color="auto" w:fill="CCEEFF"/>
            <w:tcMar>
              <w:top w:w="0" w:type="dxa"/>
              <w:left w:w="20" w:type="dxa"/>
              <w:bottom w:w="0" w:type="dxa"/>
              <w:right w:w="20" w:type="dxa"/>
            </w:tcMar>
            <w:vAlign w:val="bottom"/>
          </w:tcPr>
          <w:p w14:paraId="74DDE812"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E813"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E814"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E815"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E816"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E817"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E818"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E819"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E81A"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E81B" w14:textId="77777777" w:rsidR="00584EC1" w:rsidRDefault="00584EC1">
            <w:pPr>
              <w:rPr>
                <w:rFonts w:ascii="宋体"/>
              </w:rPr>
            </w:pPr>
          </w:p>
        </w:tc>
        <w:tc>
          <w:tcPr>
            <w:tcW w:w="0" w:type="auto"/>
            <w:shd w:val="clear" w:color="auto" w:fill="auto"/>
            <w:vAlign w:val="bottom"/>
          </w:tcPr>
          <w:p w14:paraId="74DDE81C" w14:textId="77777777" w:rsidR="00584EC1" w:rsidRDefault="00584EC1">
            <w:pPr>
              <w:rPr>
                <w:rFonts w:ascii="宋体"/>
                <w:vanish/>
              </w:rPr>
            </w:pPr>
          </w:p>
        </w:tc>
        <w:tc>
          <w:tcPr>
            <w:tcW w:w="0" w:type="auto"/>
            <w:shd w:val="clear" w:color="auto" w:fill="auto"/>
            <w:vAlign w:val="bottom"/>
          </w:tcPr>
          <w:p w14:paraId="74DDE81D" w14:textId="77777777" w:rsidR="00584EC1" w:rsidRDefault="00584EC1">
            <w:pPr>
              <w:rPr>
                <w:rFonts w:ascii="宋体"/>
                <w:vanish/>
              </w:rPr>
            </w:pPr>
          </w:p>
        </w:tc>
        <w:tc>
          <w:tcPr>
            <w:tcW w:w="0" w:type="auto"/>
            <w:gridSpan w:val="3"/>
            <w:shd w:val="clear" w:color="auto" w:fill="CCEEFF"/>
            <w:tcMar>
              <w:top w:w="0" w:type="dxa"/>
              <w:left w:w="20" w:type="dxa"/>
              <w:bottom w:w="0" w:type="dxa"/>
              <w:right w:w="20" w:type="dxa"/>
            </w:tcMar>
            <w:vAlign w:val="bottom"/>
          </w:tcPr>
          <w:p w14:paraId="74DDE81E"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E81F"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E820"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E821"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E822" w14:textId="77777777" w:rsidR="00584EC1" w:rsidRDefault="00584EC1">
            <w:pPr>
              <w:rPr>
                <w:rFonts w:ascii="宋体"/>
              </w:rPr>
            </w:pPr>
          </w:p>
        </w:tc>
      </w:tr>
      <w:tr w:rsidR="00584EC1" w14:paraId="74DDE846" w14:textId="77777777">
        <w:tc>
          <w:tcPr>
            <w:tcW w:w="0" w:type="auto"/>
            <w:gridSpan w:val="3"/>
            <w:shd w:val="clear" w:color="auto" w:fill="FFFFFF"/>
            <w:tcMar>
              <w:top w:w="40" w:type="dxa"/>
              <w:left w:w="380" w:type="dxa"/>
              <w:bottom w:w="40" w:type="dxa"/>
              <w:right w:w="20" w:type="dxa"/>
            </w:tcMar>
            <w:vAlign w:val="bottom"/>
          </w:tcPr>
          <w:p w14:paraId="74DDE824" w14:textId="77777777" w:rsidR="00584EC1" w:rsidRDefault="00871F8D">
            <w:pPr>
              <w:textAlignment w:val="bottom"/>
            </w:pPr>
            <w:r>
              <w:rPr>
                <w:rFonts w:ascii="Arial" w:eastAsia="宋体" w:hAnsi="Arial" w:cs="Arial"/>
                <w:color w:val="000000"/>
                <w:sz w:val="14"/>
                <w:szCs w:val="14"/>
              </w:rPr>
              <w:t>Investment grade</w:t>
            </w:r>
          </w:p>
        </w:tc>
        <w:tc>
          <w:tcPr>
            <w:tcW w:w="0" w:type="auto"/>
            <w:shd w:val="clear" w:color="auto" w:fill="FFFFFF"/>
            <w:tcMar>
              <w:top w:w="40" w:type="dxa"/>
              <w:left w:w="20" w:type="dxa"/>
              <w:bottom w:w="40" w:type="dxa"/>
              <w:right w:w="0" w:type="dxa"/>
            </w:tcMar>
            <w:vAlign w:val="bottom"/>
          </w:tcPr>
          <w:p w14:paraId="74DDE825" w14:textId="77777777" w:rsidR="00584EC1" w:rsidRDefault="00871F8D">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74DDE826" w14:textId="77777777" w:rsidR="00584EC1" w:rsidRDefault="00871F8D">
            <w:pPr>
              <w:jc w:val="right"/>
              <w:textAlignment w:val="bottom"/>
            </w:pPr>
            <w:r>
              <w:rPr>
                <w:rFonts w:ascii="Arial" w:eastAsia="宋体" w:hAnsi="Arial" w:cs="Arial"/>
                <w:color w:val="000000"/>
                <w:sz w:val="14"/>
                <w:szCs w:val="14"/>
              </w:rPr>
              <w:t>178 </w:t>
            </w:r>
          </w:p>
        </w:tc>
        <w:tc>
          <w:tcPr>
            <w:tcW w:w="0" w:type="auto"/>
            <w:shd w:val="clear" w:color="auto" w:fill="FFFFFF"/>
            <w:tcMar>
              <w:top w:w="40" w:type="dxa"/>
              <w:left w:w="0" w:type="dxa"/>
              <w:bottom w:w="40" w:type="dxa"/>
              <w:right w:w="20" w:type="dxa"/>
            </w:tcMar>
            <w:vAlign w:val="bottom"/>
          </w:tcPr>
          <w:p w14:paraId="74DDE82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828" w14:textId="77777777" w:rsidR="00584EC1" w:rsidRDefault="00584EC1">
            <w:pPr>
              <w:rPr>
                <w:rFonts w:ascii="宋体"/>
              </w:rPr>
            </w:pPr>
          </w:p>
        </w:tc>
        <w:tc>
          <w:tcPr>
            <w:tcW w:w="0" w:type="auto"/>
            <w:shd w:val="clear" w:color="auto" w:fill="FFFFFF"/>
            <w:tcMar>
              <w:top w:w="40" w:type="dxa"/>
              <w:left w:w="20" w:type="dxa"/>
              <w:bottom w:w="40" w:type="dxa"/>
              <w:right w:w="0" w:type="dxa"/>
            </w:tcMar>
            <w:vAlign w:val="bottom"/>
          </w:tcPr>
          <w:p w14:paraId="74DDE829" w14:textId="77777777" w:rsidR="00584EC1" w:rsidRDefault="00871F8D">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74DDE82A" w14:textId="77777777" w:rsidR="00584EC1" w:rsidRDefault="00871F8D">
            <w:pPr>
              <w:jc w:val="right"/>
              <w:textAlignment w:val="bottom"/>
            </w:pPr>
            <w:r>
              <w:rPr>
                <w:rFonts w:ascii="Arial" w:eastAsia="宋体" w:hAnsi="Arial" w:cs="Arial"/>
                <w:color w:val="000000"/>
                <w:sz w:val="14"/>
                <w:szCs w:val="14"/>
              </w:rPr>
              <w:t>383 </w:t>
            </w:r>
          </w:p>
        </w:tc>
        <w:tc>
          <w:tcPr>
            <w:tcW w:w="0" w:type="auto"/>
            <w:shd w:val="clear" w:color="auto" w:fill="FFFFFF"/>
            <w:tcMar>
              <w:top w:w="40" w:type="dxa"/>
              <w:left w:w="0" w:type="dxa"/>
              <w:bottom w:w="40" w:type="dxa"/>
              <w:right w:w="20" w:type="dxa"/>
            </w:tcMar>
            <w:vAlign w:val="bottom"/>
          </w:tcPr>
          <w:p w14:paraId="74DDE82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82C" w14:textId="77777777" w:rsidR="00584EC1" w:rsidRDefault="00584EC1">
            <w:pPr>
              <w:rPr>
                <w:rFonts w:ascii="宋体"/>
              </w:rPr>
            </w:pPr>
          </w:p>
        </w:tc>
        <w:tc>
          <w:tcPr>
            <w:tcW w:w="0" w:type="auto"/>
            <w:shd w:val="clear" w:color="auto" w:fill="FFFFFF"/>
            <w:tcMar>
              <w:top w:w="40" w:type="dxa"/>
              <w:left w:w="20" w:type="dxa"/>
              <w:bottom w:w="40" w:type="dxa"/>
              <w:right w:w="0" w:type="dxa"/>
            </w:tcMar>
            <w:vAlign w:val="bottom"/>
          </w:tcPr>
          <w:p w14:paraId="74DDE82D" w14:textId="77777777" w:rsidR="00584EC1" w:rsidRDefault="00871F8D">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74DDE82E" w14:textId="77777777" w:rsidR="00584EC1" w:rsidRDefault="00871F8D">
            <w:pPr>
              <w:jc w:val="right"/>
              <w:textAlignment w:val="bottom"/>
            </w:pPr>
            <w:r>
              <w:rPr>
                <w:rFonts w:ascii="Arial" w:eastAsia="宋体" w:hAnsi="Arial" w:cs="Arial"/>
                <w:color w:val="000000"/>
                <w:sz w:val="14"/>
                <w:szCs w:val="14"/>
              </w:rPr>
              <w:t>688 </w:t>
            </w:r>
          </w:p>
        </w:tc>
        <w:tc>
          <w:tcPr>
            <w:tcW w:w="0" w:type="auto"/>
            <w:shd w:val="clear" w:color="auto" w:fill="FFFFFF"/>
            <w:tcMar>
              <w:top w:w="40" w:type="dxa"/>
              <w:left w:w="0" w:type="dxa"/>
              <w:bottom w:w="40" w:type="dxa"/>
              <w:right w:w="20" w:type="dxa"/>
            </w:tcMar>
            <w:vAlign w:val="bottom"/>
          </w:tcPr>
          <w:p w14:paraId="74DDE82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830" w14:textId="77777777" w:rsidR="00584EC1" w:rsidRDefault="00584EC1">
            <w:pPr>
              <w:rPr>
                <w:rFonts w:ascii="宋体"/>
              </w:rPr>
            </w:pPr>
          </w:p>
        </w:tc>
        <w:tc>
          <w:tcPr>
            <w:tcW w:w="0" w:type="auto"/>
            <w:shd w:val="clear" w:color="auto" w:fill="FFFFFF"/>
            <w:tcMar>
              <w:top w:w="40" w:type="dxa"/>
              <w:left w:w="20" w:type="dxa"/>
              <w:bottom w:w="40" w:type="dxa"/>
              <w:right w:w="0" w:type="dxa"/>
            </w:tcMar>
            <w:vAlign w:val="bottom"/>
          </w:tcPr>
          <w:p w14:paraId="74DDE831" w14:textId="77777777" w:rsidR="00584EC1" w:rsidRDefault="00871F8D">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74DDE832" w14:textId="77777777" w:rsidR="00584EC1" w:rsidRDefault="00871F8D">
            <w:pPr>
              <w:jc w:val="right"/>
              <w:textAlignment w:val="bottom"/>
            </w:pPr>
            <w:r>
              <w:rPr>
                <w:rFonts w:ascii="Arial" w:eastAsia="宋体" w:hAnsi="Arial" w:cs="Arial"/>
                <w:color w:val="000000"/>
                <w:sz w:val="14"/>
                <w:szCs w:val="14"/>
              </w:rPr>
              <w:t>277 </w:t>
            </w:r>
          </w:p>
        </w:tc>
        <w:tc>
          <w:tcPr>
            <w:tcW w:w="0" w:type="auto"/>
            <w:shd w:val="clear" w:color="auto" w:fill="FFFFFF"/>
            <w:tcMar>
              <w:top w:w="40" w:type="dxa"/>
              <w:left w:w="0" w:type="dxa"/>
              <w:bottom w:w="40" w:type="dxa"/>
              <w:right w:w="20" w:type="dxa"/>
            </w:tcMar>
            <w:vAlign w:val="bottom"/>
          </w:tcPr>
          <w:p w14:paraId="74DDE83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834" w14:textId="77777777" w:rsidR="00584EC1" w:rsidRDefault="00584EC1">
            <w:pPr>
              <w:rPr>
                <w:rFonts w:ascii="宋体"/>
              </w:rPr>
            </w:pPr>
          </w:p>
        </w:tc>
        <w:tc>
          <w:tcPr>
            <w:tcW w:w="0" w:type="auto"/>
            <w:shd w:val="clear" w:color="auto" w:fill="FFFFFF"/>
            <w:tcMar>
              <w:top w:w="40" w:type="dxa"/>
              <w:left w:w="20" w:type="dxa"/>
              <w:bottom w:w="40" w:type="dxa"/>
              <w:right w:w="0" w:type="dxa"/>
            </w:tcMar>
            <w:vAlign w:val="bottom"/>
          </w:tcPr>
          <w:p w14:paraId="74DDE835" w14:textId="77777777" w:rsidR="00584EC1" w:rsidRDefault="00871F8D">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74DDE836" w14:textId="77777777" w:rsidR="00584EC1" w:rsidRDefault="00871F8D">
            <w:pPr>
              <w:jc w:val="right"/>
              <w:textAlignment w:val="bottom"/>
            </w:pPr>
            <w:r>
              <w:rPr>
                <w:rFonts w:ascii="Arial" w:eastAsia="宋体" w:hAnsi="Arial" w:cs="Arial"/>
                <w:color w:val="000000"/>
                <w:sz w:val="14"/>
                <w:szCs w:val="14"/>
              </w:rPr>
              <w:t>197 </w:t>
            </w:r>
          </w:p>
        </w:tc>
        <w:tc>
          <w:tcPr>
            <w:tcW w:w="0" w:type="auto"/>
            <w:shd w:val="clear" w:color="auto" w:fill="FFFFFF"/>
            <w:tcMar>
              <w:top w:w="40" w:type="dxa"/>
              <w:left w:w="0" w:type="dxa"/>
              <w:bottom w:w="40" w:type="dxa"/>
              <w:right w:w="20" w:type="dxa"/>
            </w:tcMar>
            <w:vAlign w:val="bottom"/>
          </w:tcPr>
          <w:p w14:paraId="74DDE83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838" w14:textId="77777777" w:rsidR="00584EC1" w:rsidRDefault="00584EC1">
            <w:pPr>
              <w:rPr>
                <w:rFonts w:ascii="宋体"/>
              </w:rPr>
            </w:pPr>
          </w:p>
        </w:tc>
        <w:tc>
          <w:tcPr>
            <w:tcW w:w="0" w:type="auto"/>
            <w:shd w:val="clear" w:color="auto" w:fill="auto"/>
            <w:vAlign w:val="bottom"/>
          </w:tcPr>
          <w:p w14:paraId="74DDE839" w14:textId="77777777" w:rsidR="00584EC1" w:rsidRDefault="00584EC1">
            <w:pPr>
              <w:rPr>
                <w:rFonts w:ascii="宋体"/>
                <w:vanish/>
              </w:rPr>
            </w:pPr>
          </w:p>
        </w:tc>
        <w:tc>
          <w:tcPr>
            <w:tcW w:w="0" w:type="auto"/>
            <w:shd w:val="clear" w:color="auto" w:fill="auto"/>
            <w:vAlign w:val="bottom"/>
          </w:tcPr>
          <w:p w14:paraId="74DDE83A" w14:textId="77777777" w:rsidR="00584EC1" w:rsidRDefault="00584EC1">
            <w:pPr>
              <w:rPr>
                <w:rFonts w:ascii="宋体"/>
                <w:vanish/>
              </w:rPr>
            </w:pPr>
          </w:p>
        </w:tc>
        <w:tc>
          <w:tcPr>
            <w:tcW w:w="0" w:type="auto"/>
            <w:shd w:val="clear" w:color="auto" w:fill="FFFFFF"/>
            <w:tcMar>
              <w:top w:w="40" w:type="dxa"/>
              <w:left w:w="20" w:type="dxa"/>
              <w:bottom w:w="40" w:type="dxa"/>
              <w:right w:w="0" w:type="dxa"/>
            </w:tcMar>
            <w:vAlign w:val="bottom"/>
          </w:tcPr>
          <w:p w14:paraId="74DDE83B" w14:textId="77777777" w:rsidR="00584EC1" w:rsidRDefault="00871F8D">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74DDE83C"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83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83E" w14:textId="77777777" w:rsidR="00584EC1" w:rsidRDefault="00584EC1">
            <w:pPr>
              <w:rPr>
                <w:rFonts w:ascii="宋体"/>
              </w:rPr>
            </w:pPr>
          </w:p>
        </w:tc>
        <w:tc>
          <w:tcPr>
            <w:tcW w:w="0" w:type="auto"/>
            <w:shd w:val="clear" w:color="auto" w:fill="FFFFFF"/>
            <w:tcMar>
              <w:top w:w="40" w:type="dxa"/>
              <w:left w:w="20" w:type="dxa"/>
              <w:bottom w:w="40" w:type="dxa"/>
              <w:right w:w="0" w:type="dxa"/>
            </w:tcMar>
            <w:vAlign w:val="bottom"/>
          </w:tcPr>
          <w:p w14:paraId="74DDE83F" w14:textId="77777777" w:rsidR="00584EC1" w:rsidRDefault="00871F8D">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74DDE840"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84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842" w14:textId="77777777" w:rsidR="00584EC1" w:rsidRDefault="00584EC1">
            <w:pPr>
              <w:rPr>
                <w:rFonts w:ascii="宋体"/>
              </w:rPr>
            </w:pPr>
          </w:p>
        </w:tc>
        <w:tc>
          <w:tcPr>
            <w:tcW w:w="0" w:type="auto"/>
            <w:shd w:val="clear" w:color="auto" w:fill="FFFFFF"/>
            <w:tcMar>
              <w:top w:w="40" w:type="dxa"/>
              <w:left w:w="20" w:type="dxa"/>
              <w:bottom w:w="40" w:type="dxa"/>
              <w:right w:w="0" w:type="dxa"/>
            </w:tcMar>
            <w:vAlign w:val="bottom"/>
          </w:tcPr>
          <w:p w14:paraId="74DDE843" w14:textId="77777777" w:rsidR="00584EC1" w:rsidRDefault="00871F8D">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74DDE844" w14:textId="77777777" w:rsidR="00584EC1" w:rsidRDefault="00871F8D">
            <w:pPr>
              <w:jc w:val="right"/>
              <w:textAlignment w:val="bottom"/>
            </w:pPr>
            <w:r>
              <w:rPr>
                <w:rFonts w:ascii="Arial" w:eastAsia="宋体" w:hAnsi="Arial" w:cs="Arial"/>
                <w:color w:val="000000"/>
                <w:sz w:val="14"/>
                <w:szCs w:val="14"/>
              </w:rPr>
              <w:t>1,723 </w:t>
            </w:r>
          </w:p>
        </w:tc>
        <w:tc>
          <w:tcPr>
            <w:tcW w:w="0" w:type="auto"/>
            <w:shd w:val="clear" w:color="auto" w:fill="FFFFFF"/>
            <w:tcMar>
              <w:top w:w="40" w:type="dxa"/>
              <w:left w:w="0" w:type="dxa"/>
              <w:bottom w:w="40" w:type="dxa"/>
              <w:right w:w="20" w:type="dxa"/>
            </w:tcMar>
            <w:vAlign w:val="bottom"/>
          </w:tcPr>
          <w:p w14:paraId="74DDE845" w14:textId="77777777" w:rsidR="00584EC1" w:rsidRDefault="00584EC1">
            <w:pPr>
              <w:jc w:val="right"/>
              <w:rPr>
                <w:rFonts w:ascii="宋体"/>
              </w:rPr>
            </w:pPr>
          </w:p>
        </w:tc>
      </w:tr>
      <w:tr w:rsidR="00584EC1" w14:paraId="74DDE861" w14:textId="77777777">
        <w:tc>
          <w:tcPr>
            <w:tcW w:w="0" w:type="auto"/>
            <w:gridSpan w:val="3"/>
            <w:shd w:val="clear" w:color="auto" w:fill="CCEEFF"/>
            <w:tcMar>
              <w:top w:w="40" w:type="dxa"/>
              <w:left w:w="380" w:type="dxa"/>
              <w:bottom w:w="40" w:type="dxa"/>
              <w:right w:w="20" w:type="dxa"/>
            </w:tcMar>
            <w:vAlign w:val="bottom"/>
          </w:tcPr>
          <w:p w14:paraId="74DDE847" w14:textId="77777777" w:rsidR="00584EC1" w:rsidRDefault="00871F8D">
            <w:pPr>
              <w:textAlignment w:val="bottom"/>
            </w:pPr>
            <w:r>
              <w:rPr>
                <w:rFonts w:ascii="Arial" w:eastAsia="宋体" w:hAnsi="Arial" w:cs="Arial"/>
                <w:color w:val="000000"/>
                <w:sz w:val="14"/>
                <w:szCs w:val="14"/>
              </w:rPr>
              <w:t>Speculative</w:t>
            </w:r>
          </w:p>
        </w:tc>
        <w:tc>
          <w:tcPr>
            <w:tcW w:w="0" w:type="auto"/>
            <w:gridSpan w:val="2"/>
            <w:shd w:val="clear" w:color="auto" w:fill="CCEEFF"/>
            <w:tcMar>
              <w:top w:w="40" w:type="dxa"/>
              <w:left w:w="20" w:type="dxa"/>
              <w:bottom w:w="40" w:type="dxa"/>
              <w:right w:w="0" w:type="dxa"/>
            </w:tcMar>
            <w:vAlign w:val="bottom"/>
          </w:tcPr>
          <w:p w14:paraId="74DDE848" w14:textId="77777777" w:rsidR="00584EC1" w:rsidRDefault="00871F8D">
            <w:pPr>
              <w:jc w:val="right"/>
              <w:textAlignment w:val="bottom"/>
            </w:pPr>
            <w:r>
              <w:rPr>
                <w:rFonts w:ascii="Arial" w:eastAsia="宋体" w:hAnsi="Arial" w:cs="Arial"/>
                <w:color w:val="000000"/>
                <w:sz w:val="14"/>
                <w:szCs w:val="14"/>
              </w:rPr>
              <w:t>120 </w:t>
            </w:r>
          </w:p>
        </w:tc>
        <w:tc>
          <w:tcPr>
            <w:tcW w:w="0" w:type="auto"/>
            <w:shd w:val="clear" w:color="auto" w:fill="CCEEFF"/>
            <w:tcMar>
              <w:top w:w="40" w:type="dxa"/>
              <w:left w:w="0" w:type="dxa"/>
              <w:bottom w:w="40" w:type="dxa"/>
              <w:right w:w="20" w:type="dxa"/>
            </w:tcMar>
            <w:vAlign w:val="bottom"/>
          </w:tcPr>
          <w:p w14:paraId="74DDE84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84A"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E84B" w14:textId="77777777" w:rsidR="00584EC1" w:rsidRDefault="00871F8D">
            <w:pPr>
              <w:jc w:val="right"/>
              <w:textAlignment w:val="bottom"/>
            </w:pPr>
            <w:r>
              <w:rPr>
                <w:rFonts w:ascii="Arial" w:eastAsia="宋体" w:hAnsi="Arial" w:cs="Arial"/>
                <w:color w:val="000000"/>
                <w:sz w:val="14"/>
                <w:szCs w:val="14"/>
              </w:rPr>
              <w:t>166 </w:t>
            </w:r>
          </w:p>
        </w:tc>
        <w:tc>
          <w:tcPr>
            <w:tcW w:w="0" w:type="auto"/>
            <w:shd w:val="clear" w:color="auto" w:fill="CCEEFF"/>
            <w:tcMar>
              <w:top w:w="40" w:type="dxa"/>
              <w:left w:w="0" w:type="dxa"/>
              <w:bottom w:w="40" w:type="dxa"/>
              <w:right w:w="20" w:type="dxa"/>
            </w:tcMar>
            <w:vAlign w:val="bottom"/>
          </w:tcPr>
          <w:p w14:paraId="74DDE84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84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E84E" w14:textId="77777777" w:rsidR="00584EC1" w:rsidRDefault="00871F8D">
            <w:pPr>
              <w:jc w:val="right"/>
              <w:textAlignment w:val="bottom"/>
            </w:pPr>
            <w:r>
              <w:rPr>
                <w:rFonts w:ascii="Arial" w:eastAsia="宋体" w:hAnsi="Arial" w:cs="Arial"/>
                <w:color w:val="000000"/>
                <w:sz w:val="14"/>
                <w:szCs w:val="14"/>
              </w:rPr>
              <w:t>58 </w:t>
            </w:r>
          </w:p>
        </w:tc>
        <w:tc>
          <w:tcPr>
            <w:tcW w:w="0" w:type="auto"/>
            <w:shd w:val="clear" w:color="auto" w:fill="CCEEFF"/>
            <w:tcMar>
              <w:top w:w="40" w:type="dxa"/>
              <w:left w:w="0" w:type="dxa"/>
              <w:bottom w:w="40" w:type="dxa"/>
              <w:right w:w="20" w:type="dxa"/>
            </w:tcMar>
            <w:vAlign w:val="bottom"/>
          </w:tcPr>
          <w:p w14:paraId="74DDE84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85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E851"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E85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853"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E854"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E85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856" w14:textId="77777777" w:rsidR="00584EC1" w:rsidRDefault="00584EC1">
            <w:pPr>
              <w:rPr>
                <w:rFonts w:ascii="宋体"/>
              </w:rPr>
            </w:pPr>
          </w:p>
        </w:tc>
        <w:tc>
          <w:tcPr>
            <w:tcW w:w="0" w:type="auto"/>
            <w:shd w:val="clear" w:color="auto" w:fill="auto"/>
            <w:vAlign w:val="bottom"/>
          </w:tcPr>
          <w:p w14:paraId="74DDE857" w14:textId="77777777" w:rsidR="00584EC1" w:rsidRDefault="00584EC1">
            <w:pPr>
              <w:rPr>
                <w:rFonts w:ascii="宋体"/>
                <w:vanish/>
              </w:rPr>
            </w:pPr>
          </w:p>
        </w:tc>
        <w:tc>
          <w:tcPr>
            <w:tcW w:w="0" w:type="auto"/>
            <w:shd w:val="clear" w:color="auto" w:fill="auto"/>
            <w:vAlign w:val="bottom"/>
          </w:tcPr>
          <w:p w14:paraId="74DDE858" w14:textId="77777777" w:rsidR="00584EC1" w:rsidRDefault="00584EC1">
            <w:pPr>
              <w:rPr>
                <w:rFonts w:ascii="宋体"/>
                <w:vanish/>
              </w:rPr>
            </w:pPr>
          </w:p>
        </w:tc>
        <w:tc>
          <w:tcPr>
            <w:tcW w:w="0" w:type="auto"/>
            <w:gridSpan w:val="2"/>
            <w:shd w:val="clear" w:color="auto" w:fill="CCEEFF"/>
            <w:tcMar>
              <w:top w:w="40" w:type="dxa"/>
              <w:left w:w="20" w:type="dxa"/>
              <w:bottom w:w="40" w:type="dxa"/>
              <w:right w:w="0" w:type="dxa"/>
            </w:tcMar>
            <w:vAlign w:val="bottom"/>
          </w:tcPr>
          <w:p w14:paraId="74DDE859" w14:textId="77777777" w:rsidR="00584EC1" w:rsidRDefault="00871F8D">
            <w:pPr>
              <w:jc w:val="right"/>
              <w:textAlignment w:val="bottom"/>
            </w:pPr>
            <w:r>
              <w:rPr>
                <w:rFonts w:ascii="Arial" w:eastAsia="宋体" w:hAnsi="Arial" w:cs="Arial"/>
                <w:color w:val="000000"/>
                <w:sz w:val="14"/>
                <w:szCs w:val="14"/>
              </w:rPr>
              <w:t>29 </w:t>
            </w:r>
          </w:p>
        </w:tc>
        <w:tc>
          <w:tcPr>
            <w:tcW w:w="0" w:type="auto"/>
            <w:shd w:val="clear" w:color="auto" w:fill="CCEEFF"/>
            <w:tcMar>
              <w:top w:w="40" w:type="dxa"/>
              <w:left w:w="0" w:type="dxa"/>
              <w:bottom w:w="40" w:type="dxa"/>
              <w:right w:w="20" w:type="dxa"/>
            </w:tcMar>
            <w:vAlign w:val="bottom"/>
          </w:tcPr>
          <w:p w14:paraId="74DDE85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85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E85C"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E85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85E"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E85F" w14:textId="77777777" w:rsidR="00584EC1" w:rsidRDefault="00871F8D">
            <w:pPr>
              <w:jc w:val="right"/>
              <w:textAlignment w:val="bottom"/>
            </w:pPr>
            <w:r>
              <w:rPr>
                <w:rFonts w:ascii="Arial" w:eastAsia="宋体" w:hAnsi="Arial" w:cs="Arial"/>
                <w:color w:val="000000"/>
                <w:sz w:val="14"/>
                <w:szCs w:val="14"/>
              </w:rPr>
              <w:t>373 </w:t>
            </w:r>
          </w:p>
        </w:tc>
        <w:tc>
          <w:tcPr>
            <w:tcW w:w="0" w:type="auto"/>
            <w:shd w:val="clear" w:color="auto" w:fill="CCEEFF"/>
            <w:tcMar>
              <w:top w:w="40" w:type="dxa"/>
              <w:left w:w="0" w:type="dxa"/>
              <w:bottom w:w="40" w:type="dxa"/>
              <w:right w:w="20" w:type="dxa"/>
            </w:tcMar>
            <w:vAlign w:val="bottom"/>
          </w:tcPr>
          <w:p w14:paraId="74DDE860" w14:textId="77777777" w:rsidR="00584EC1" w:rsidRDefault="00584EC1">
            <w:pPr>
              <w:jc w:val="right"/>
              <w:rPr>
                <w:rFonts w:ascii="宋体"/>
              </w:rPr>
            </w:pPr>
          </w:p>
        </w:tc>
      </w:tr>
      <w:tr w:rsidR="00584EC1" w14:paraId="74DDE874" w14:textId="77777777">
        <w:trPr>
          <w:hidden/>
        </w:trPr>
        <w:tc>
          <w:tcPr>
            <w:tcW w:w="0" w:type="auto"/>
            <w:gridSpan w:val="3"/>
            <w:shd w:val="clear" w:color="auto" w:fill="auto"/>
            <w:vAlign w:val="bottom"/>
          </w:tcPr>
          <w:p w14:paraId="74DDE862" w14:textId="77777777" w:rsidR="00584EC1" w:rsidRDefault="00584EC1">
            <w:pPr>
              <w:rPr>
                <w:rFonts w:ascii="宋体"/>
                <w:vanish/>
              </w:rPr>
            </w:pPr>
          </w:p>
        </w:tc>
        <w:tc>
          <w:tcPr>
            <w:tcW w:w="0" w:type="auto"/>
            <w:gridSpan w:val="3"/>
            <w:shd w:val="clear" w:color="auto" w:fill="auto"/>
            <w:vAlign w:val="bottom"/>
          </w:tcPr>
          <w:p w14:paraId="74DDE863" w14:textId="77777777" w:rsidR="00584EC1" w:rsidRDefault="00584EC1">
            <w:pPr>
              <w:rPr>
                <w:rFonts w:ascii="宋体"/>
                <w:vanish/>
              </w:rPr>
            </w:pPr>
          </w:p>
        </w:tc>
        <w:tc>
          <w:tcPr>
            <w:tcW w:w="0" w:type="auto"/>
            <w:gridSpan w:val="3"/>
            <w:shd w:val="clear" w:color="auto" w:fill="auto"/>
            <w:vAlign w:val="bottom"/>
          </w:tcPr>
          <w:p w14:paraId="74DDE864" w14:textId="77777777" w:rsidR="00584EC1" w:rsidRDefault="00584EC1">
            <w:pPr>
              <w:rPr>
                <w:rFonts w:ascii="宋体"/>
                <w:vanish/>
              </w:rPr>
            </w:pPr>
          </w:p>
        </w:tc>
        <w:tc>
          <w:tcPr>
            <w:tcW w:w="0" w:type="auto"/>
            <w:gridSpan w:val="3"/>
            <w:shd w:val="clear" w:color="auto" w:fill="auto"/>
            <w:vAlign w:val="bottom"/>
          </w:tcPr>
          <w:p w14:paraId="74DDE865" w14:textId="77777777" w:rsidR="00584EC1" w:rsidRDefault="00584EC1">
            <w:pPr>
              <w:rPr>
                <w:rFonts w:ascii="宋体"/>
                <w:vanish/>
              </w:rPr>
            </w:pPr>
          </w:p>
        </w:tc>
        <w:tc>
          <w:tcPr>
            <w:tcW w:w="0" w:type="auto"/>
            <w:gridSpan w:val="3"/>
            <w:shd w:val="clear" w:color="auto" w:fill="auto"/>
            <w:vAlign w:val="bottom"/>
          </w:tcPr>
          <w:p w14:paraId="74DDE866" w14:textId="77777777" w:rsidR="00584EC1" w:rsidRDefault="00584EC1">
            <w:pPr>
              <w:rPr>
                <w:rFonts w:ascii="宋体"/>
                <w:vanish/>
              </w:rPr>
            </w:pPr>
          </w:p>
        </w:tc>
        <w:tc>
          <w:tcPr>
            <w:tcW w:w="0" w:type="auto"/>
            <w:gridSpan w:val="3"/>
            <w:shd w:val="clear" w:color="auto" w:fill="auto"/>
            <w:vAlign w:val="bottom"/>
          </w:tcPr>
          <w:p w14:paraId="74DDE867" w14:textId="77777777" w:rsidR="00584EC1" w:rsidRDefault="00584EC1">
            <w:pPr>
              <w:rPr>
                <w:rFonts w:ascii="宋体"/>
                <w:vanish/>
              </w:rPr>
            </w:pPr>
          </w:p>
        </w:tc>
        <w:tc>
          <w:tcPr>
            <w:tcW w:w="0" w:type="auto"/>
            <w:gridSpan w:val="3"/>
            <w:shd w:val="clear" w:color="auto" w:fill="auto"/>
            <w:vAlign w:val="bottom"/>
          </w:tcPr>
          <w:p w14:paraId="74DDE868" w14:textId="77777777" w:rsidR="00584EC1" w:rsidRDefault="00584EC1">
            <w:pPr>
              <w:rPr>
                <w:rFonts w:ascii="宋体"/>
                <w:vanish/>
              </w:rPr>
            </w:pPr>
          </w:p>
        </w:tc>
        <w:tc>
          <w:tcPr>
            <w:tcW w:w="0" w:type="auto"/>
            <w:gridSpan w:val="3"/>
            <w:shd w:val="clear" w:color="auto" w:fill="auto"/>
            <w:vAlign w:val="bottom"/>
          </w:tcPr>
          <w:p w14:paraId="74DDE869" w14:textId="77777777" w:rsidR="00584EC1" w:rsidRDefault="00584EC1">
            <w:pPr>
              <w:rPr>
                <w:rFonts w:ascii="宋体"/>
                <w:vanish/>
              </w:rPr>
            </w:pPr>
          </w:p>
        </w:tc>
        <w:tc>
          <w:tcPr>
            <w:tcW w:w="0" w:type="auto"/>
            <w:gridSpan w:val="3"/>
            <w:shd w:val="clear" w:color="auto" w:fill="auto"/>
            <w:vAlign w:val="bottom"/>
          </w:tcPr>
          <w:p w14:paraId="74DDE86A" w14:textId="77777777" w:rsidR="00584EC1" w:rsidRDefault="00584EC1">
            <w:pPr>
              <w:rPr>
                <w:rFonts w:ascii="宋体"/>
                <w:vanish/>
              </w:rPr>
            </w:pPr>
          </w:p>
        </w:tc>
        <w:tc>
          <w:tcPr>
            <w:tcW w:w="0" w:type="auto"/>
            <w:gridSpan w:val="3"/>
            <w:shd w:val="clear" w:color="auto" w:fill="auto"/>
            <w:vAlign w:val="bottom"/>
          </w:tcPr>
          <w:p w14:paraId="74DDE86B" w14:textId="77777777" w:rsidR="00584EC1" w:rsidRDefault="00584EC1">
            <w:pPr>
              <w:rPr>
                <w:rFonts w:ascii="宋体"/>
                <w:vanish/>
              </w:rPr>
            </w:pPr>
          </w:p>
        </w:tc>
        <w:tc>
          <w:tcPr>
            <w:tcW w:w="0" w:type="auto"/>
            <w:gridSpan w:val="3"/>
            <w:shd w:val="clear" w:color="auto" w:fill="auto"/>
            <w:vAlign w:val="bottom"/>
          </w:tcPr>
          <w:p w14:paraId="74DDE86C" w14:textId="77777777" w:rsidR="00584EC1" w:rsidRDefault="00584EC1">
            <w:pPr>
              <w:rPr>
                <w:rFonts w:ascii="宋体"/>
                <w:vanish/>
              </w:rPr>
            </w:pPr>
          </w:p>
        </w:tc>
        <w:tc>
          <w:tcPr>
            <w:tcW w:w="0" w:type="auto"/>
            <w:shd w:val="clear" w:color="auto" w:fill="auto"/>
            <w:vAlign w:val="bottom"/>
          </w:tcPr>
          <w:p w14:paraId="74DDE86D" w14:textId="77777777" w:rsidR="00584EC1" w:rsidRDefault="00584EC1">
            <w:pPr>
              <w:rPr>
                <w:rFonts w:ascii="宋体"/>
                <w:vanish/>
              </w:rPr>
            </w:pPr>
          </w:p>
        </w:tc>
        <w:tc>
          <w:tcPr>
            <w:tcW w:w="0" w:type="auto"/>
            <w:shd w:val="clear" w:color="auto" w:fill="auto"/>
            <w:vAlign w:val="bottom"/>
          </w:tcPr>
          <w:p w14:paraId="74DDE86E" w14:textId="77777777" w:rsidR="00584EC1" w:rsidRDefault="00584EC1">
            <w:pPr>
              <w:rPr>
                <w:rFonts w:ascii="宋体"/>
                <w:vanish/>
              </w:rPr>
            </w:pPr>
          </w:p>
        </w:tc>
        <w:tc>
          <w:tcPr>
            <w:tcW w:w="0" w:type="auto"/>
            <w:gridSpan w:val="3"/>
            <w:shd w:val="clear" w:color="auto" w:fill="auto"/>
            <w:vAlign w:val="bottom"/>
          </w:tcPr>
          <w:p w14:paraId="74DDE86F" w14:textId="77777777" w:rsidR="00584EC1" w:rsidRDefault="00584EC1">
            <w:pPr>
              <w:rPr>
                <w:rFonts w:ascii="宋体"/>
                <w:vanish/>
              </w:rPr>
            </w:pPr>
          </w:p>
        </w:tc>
        <w:tc>
          <w:tcPr>
            <w:tcW w:w="0" w:type="auto"/>
            <w:gridSpan w:val="3"/>
            <w:shd w:val="clear" w:color="auto" w:fill="auto"/>
            <w:vAlign w:val="bottom"/>
          </w:tcPr>
          <w:p w14:paraId="74DDE870" w14:textId="77777777" w:rsidR="00584EC1" w:rsidRDefault="00584EC1">
            <w:pPr>
              <w:rPr>
                <w:rFonts w:ascii="宋体"/>
                <w:vanish/>
              </w:rPr>
            </w:pPr>
          </w:p>
        </w:tc>
        <w:tc>
          <w:tcPr>
            <w:tcW w:w="0" w:type="auto"/>
            <w:gridSpan w:val="3"/>
            <w:shd w:val="clear" w:color="auto" w:fill="auto"/>
            <w:vAlign w:val="bottom"/>
          </w:tcPr>
          <w:p w14:paraId="74DDE871" w14:textId="77777777" w:rsidR="00584EC1" w:rsidRDefault="00584EC1">
            <w:pPr>
              <w:rPr>
                <w:rFonts w:ascii="宋体"/>
                <w:vanish/>
              </w:rPr>
            </w:pPr>
          </w:p>
        </w:tc>
        <w:tc>
          <w:tcPr>
            <w:tcW w:w="0" w:type="auto"/>
            <w:gridSpan w:val="3"/>
            <w:shd w:val="clear" w:color="auto" w:fill="auto"/>
            <w:vAlign w:val="bottom"/>
          </w:tcPr>
          <w:p w14:paraId="74DDE872" w14:textId="77777777" w:rsidR="00584EC1" w:rsidRDefault="00584EC1">
            <w:pPr>
              <w:rPr>
                <w:rFonts w:ascii="宋体"/>
                <w:vanish/>
              </w:rPr>
            </w:pPr>
          </w:p>
        </w:tc>
        <w:tc>
          <w:tcPr>
            <w:tcW w:w="0" w:type="auto"/>
            <w:gridSpan w:val="3"/>
            <w:shd w:val="clear" w:color="auto" w:fill="auto"/>
            <w:vAlign w:val="bottom"/>
          </w:tcPr>
          <w:p w14:paraId="74DDE873" w14:textId="77777777" w:rsidR="00584EC1" w:rsidRDefault="00584EC1">
            <w:pPr>
              <w:rPr>
                <w:rFonts w:ascii="宋体"/>
                <w:vanish/>
              </w:rPr>
            </w:pPr>
          </w:p>
        </w:tc>
      </w:tr>
      <w:tr w:rsidR="00584EC1" w14:paraId="74DDE887" w14:textId="77777777">
        <w:trPr>
          <w:hidden/>
        </w:trPr>
        <w:tc>
          <w:tcPr>
            <w:tcW w:w="0" w:type="auto"/>
            <w:gridSpan w:val="3"/>
            <w:shd w:val="clear" w:color="auto" w:fill="auto"/>
            <w:vAlign w:val="bottom"/>
          </w:tcPr>
          <w:p w14:paraId="74DDE875" w14:textId="77777777" w:rsidR="00584EC1" w:rsidRDefault="00584EC1">
            <w:pPr>
              <w:rPr>
                <w:rFonts w:ascii="宋体"/>
                <w:vanish/>
              </w:rPr>
            </w:pPr>
          </w:p>
        </w:tc>
        <w:tc>
          <w:tcPr>
            <w:tcW w:w="0" w:type="auto"/>
            <w:gridSpan w:val="3"/>
            <w:shd w:val="clear" w:color="auto" w:fill="auto"/>
            <w:vAlign w:val="bottom"/>
          </w:tcPr>
          <w:p w14:paraId="74DDE876" w14:textId="77777777" w:rsidR="00584EC1" w:rsidRDefault="00584EC1">
            <w:pPr>
              <w:rPr>
                <w:rFonts w:ascii="宋体"/>
                <w:vanish/>
              </w:rPr>
            </w:pPr>
          </w:p>
        </w:tc>
        <w:tc>
          <w:tcPr>
            <w:tcW w:w="0" w:type="auto"/>
            <w:gridSpan w:val="3"/>
            <w:shd w:val="clear" w:color="auto" w:fill="auto"/>
            <w:vAlign w:val="bottom"/>
          </w:tcPr>
          <w:p w14:paraId="74DDE877" w14:textId="77777777" w:rsidR="00584EC1" w:rsidRDefault="00584EC1">
            <w:pPr>
              <w:rPr>
                <w:rFonts w:ascii="宋体"/>
                <w:vanish/>
              </w:rPr>
            </w:pPr>
          </w:p>
        </w:tc>
        <w:tc>
          <w:tcPr>
            <w:tcW w:w="0" w:type="auto"/>
            <w:gridSpan w:val="3"/>
            <w:shd w:val="clear" w:color="auto" w:fill="auto"/>
            <w:vAlign w:val="bottom"/>
          </w:tcPr>
          <w:p w14:paraId="74DDE878" w14:textId="77777777" w:rsidR="00584EC1" w:rsidRDefault="00584EC1">
            <w:pPr>
              <w:rPr>
                <w:rFonts w:ascii="宋体"/>
                <w:vanish/>
              </w:rPr>
            </w:pPr>
          </w:p>
        </w:tc>
        <w:tc>
          <w:tcPr>
            <w:tcW w:w="0" w:type="auto"/>
            <w:gridSpan w:val="3"/>
            <w:shd w:val="clear" w:color="auto" w:fill="auto"/>
            <w:vAlign w:val="bottom"/>
          </w:tcPr>
          <w:p w14:paraId="74DDE879" w14:textId="77777777" w:rsidR="00584EC1" w:rsidRDefault="00584EC1">
            <w:pPr>
              <w:rPr>
                <w:rFonts w:ascii="宋体"/>
                <w:vanish/>
              </w:rPr>
            </w:pPr>
          </w:p>
        </w:tc>
        <w:tc>
          <w:tcPr>
            <w:tcW w:w="0" w:type="auto"/>
            <w:gridSpan w:val="3"/>
            <w:shd w:val="clear" w:color="auto" w:fill="auto"/>
            <w:vAlign w:val="bottom"/>
          </w:tcPr>
          <w:p w14:paraId="74DDE87A" w14:textId="77777777" w:rsidR="00584EC1" w:rsidRDefault="00584EC1">
            <w:pPr>
              <w:rPr>
                <w:rFonts w:ascii="宋体"/>
                <w:vanish/>
              </w:rPr>
            </w:pPr>
          </w:p>
        </w:tc>
        <w:tc>
          <w:tcPr>
            <w:tcW w:w="0" w:type="auto"/>
            <w:gridSpan w:val="3"/>
            <w:shd w:val="clear" w:color="auto" w:fill="auto"/>
            <w:vAlign w:val="bottom"/>
          </w:tcPr>
          <w:p w14:paraId="74DDE87B" w14:textId="77777777" w:rsidR="00584EC1" w:rsidRDefault="00584EC1">
            <w:pPr>
              <w:rPr>
                <w:rFonts w:ascii="宋体"/>
                <w:vanish/>
              </w:rPr>
            </w:pPr>
          </w:p>
        </w:tc>
        <w:tc>
          <w:tcPr>
            <w:tcW w:w="0" w:type="auto"/>
            <w:gridSpan w:val="3"/>
            <w:shd w:val="clear" w:color="auto" w:fill="auto"/>
            <w:vAlign w:val="bottom"/>
          </w:tcPr>
          <w:p w14:paraId="74DDE87C" w14:textId="77777777" w:rsidR="00584EC1" w:rsidRDefault="00584EC1">
            <w:pPr>
              <w:rPr>
                <w:rFonts w:ascii="宋体"/>
                <w:vanish/>
              </w:rPr>
            </w:pPr>
          </w:p>
        </w:tc>
        <w:tc>
          <w:tcPr>
            <w:tcW w:w="0" w:type="auto"/>
            <w:gridSpan w:val="3"/>
            <w:shd w:val="clear" w:color="auto" w:fill="auto"/>
            <w:vAlign w:val="bottom"/>
          </w:tcPr>
          <w:p w14:paraId="74DDE87D" w14:textId="77777777" w:rsidR="00584EC1" w:rsidRDefault="00584EC1">
            <w:pPr>
              <w:rPr>
                <w:rFonts w:ascii="宋体"/>
                <w:vanish/>
              </w:rPr>
            </w:pPr>
          </w:p>
        </w:tc>
        <w:tc>
          <w:tcPr>
            <w:tcW w:w="0" w:type="auto"/>
            <w:gridSpan w:val="3"/>
            <w:shd w:val="clear" w:color="auto" w:fill="auto"/>
            <w:vAlign w:val="bottom"/>
          </w:tcPr>
          <w:p w14:paraId="74DDE87E" w14:textId="77777777" w:rsidR="00584EC1" w:rsidRDefault="00584EC1">
            <w:pPr>
              <w:rPr>
                <w:rFonts w:ascii="宋体"/>
                <w:vanish/>
              </w:rPr>
            </w:pPr>
          </w:p>
        </w:tc>
        <w:tc>
          <w:tcPr>
            <w:tcW w:w="0" w:type="auto"/>
            <w:gridSpan w:val="3"/>
            <w:shd w:val="clear" w:color="auto" w:fill="auto"/>
            <w:vAlign w:val="bottom"/>
          </w:tcPr>
          <w:p w14:paraId="74DDE87F" w14:textId="77777777" w:rsidR="00584EC1" w:rsidRDefault="00584EC1">
            <w:pPr>
              <w:rPr>
                <w:rFonts w:ascii="宋体"/>
                <w:vanish/>
              </w:rPr>
            </w:pPr>
          </w:p>
        </w:tc>
        <w:tc>
          <w:tcPr>
            <w:tcW w:w="0" w:type="auto"/>
            <w:shd w:val="clear" w:color="auto" w:fill="auto"/>
            <w:vAlign w:val="bottom"/>
          </w:tcPr>
          <w:p w14:paraId="74DDE880" w14:textId="77777777" w:rsidR="00584EC1" w:rsidRDefault="00584EC1">
            <w:pPr>
              <w:rPr>
                <w:rFonts w:ascii="宋体"/>
                <w:vanish/>
              </w:rPr>
            </w:pPr>
          </w:p>
        </w:tc>
        <w:tc>
          <w:tcPr>
            <w:tcW w:w="0" w:type="auto"/>
            <w:shd w:val="clear" w:color="auto" w:fill="auto"/>
            <w:vAlign w:val="bottom"/>
          </w:tcPr>
          <w:p w14:paraId="74DDE881" w14:textId="77777777" w:rsidR="00584EC1" w:rsidRDefault="00584EC1">
            <w:pPr>
              <w:rPr>
                <w:rFonts w:ascii="宋体"/>
                <w:vanish/>
              </w:rPr>
            </w:pPr>
          </w:p>
        </w:tc>
        <w:tc>
          <w:tcPr>
            <w:tcW w:w="0" w:type="auto"/>
            <w:gridSpan w:val="3"/>
            <w:shd w:val="clear" w:color="auto" w:fill="auto"/>
            <w:vAlign w:val="bottom"/>
          </w:tcPr>
          <w:p w14:paraId="74DDE882" w14:textId="77777777" w:rsidR="00584EC1" w:rsidRDefault="00584EC1">
            <w:pPr>
              <w:rPr>
                <w:rFonts w:ascii="宋体"/>
                <w:vanish/>
              </w:rPr>
            </w:pPr>
          </w:p>
        </w:tc>
        <w:tc>
          <w:tcPr>
            <w:tcW w:w="0" w:type="auto"/>
            <w:gridSpan w:val="3"/>
            <w:shd w:val="clear" w:color="auto" w:fill="auto"/>
            <w:vAlign w:val="bottom"/>
          </w:tcPr>
          <w:p w14:paraId="74DDE883" w14:textId="77777777" w:rsidR="00584EC1" w:rsidRDefault="00584EC1">
            <w:pPr>
              <w:rPr>
                <w:rFonts w:ascii="宋体"/>
                <w:vanish/>
              </w:rPr>
            </w:pPr>
          </w:p>
        </w:tc>
        <w:tc>
          <w:tcPr>
            <w:tcW w:w="0" w:type="auto"/>
            <w:gridSpan w:val="3"/>
            <w:shd w:val="clear" w:color="auto" w:fill="auto"/>
            <w:vAlign w:val="bottom"/>
          </w:tcPr>
          <w:p w14:paraId="74DDE884" w14:textId="77777777" w:rsidR="00584EC1" w:rsidRDefault="00584EC1">
            <w:pPr>
              <w:rPr>
                <w:rFonts w:ascii="宋体"/>
                <w:vanish/>
              </w:rPr>
            </w:pPr>
          </w:p>
        </w:tc>
        <w:tc>
          <w:tcPr>
            <w:tcW w:w="0" w:type="auto"/>
            <w:gridSpan w:val="3"/>
            <w:shd w:val="clear" w:color="auto" w:fill="auto"/>
            <w:vAlign w:val="bottom"/>
          </w:tcPr>
          <w:p w14:paraId="74DDE885" w14:textId="77777777" w:rsidR="00584EC1" w:rsidRDefault="00584EC1">
            <w:pPr>
              <w:rPr>
                <w:rFonts w:ascii="宋体"/>
                <w:vanish/>
              </w:rPr>
            </w:pPr>
          </w:p>
        </w:tc>
        <w:tc>
          <w:tcPr>
            <w:tcW w:w="0" w:type="auto"/>
            <w:gridSpan w:val="3"/>
            <w:shd w:val="clear" w:color="auto" w:fill="auto"/>
            <w:vAlign w:val="bottom"/>
          </w:tcPr>
          <w:p w14:paraId="74DDE886" w14:textId="77777777" w:rsidR="00584EC1" w:rsidRDefault="00584EC1">
            <w:pPr>
              <w:rPr>
                <w:rFonts w:ascii="宋体"/>
                <w:vanish/>
              </w:rPr>
            </w:pPr>
          </w:p>
        </w:tc>
      </w:tr>
      <w:tr w:rsidR="00584EC1" w14:paraId="74DDE89A" w14:textId="77777777">
        <w:trPr>
          <w:hidden/>
        </w:trPr>
        <w:tc>
          <w:tcPr>
            <w:tcW w:w="0" w:type="auto"/>
            <w:gridSpan w:val="3"/>
            <w:shd w:val="clear" w:color="auto" w:fill="auto"/>
            <w:vAlign w:val="bottom"/>
          </w:tcPr>
          <w:p w14:paraId="74DDE888" w14:textId="77777777" w:rsidR="00584EC1" w:rsidRDefault="00584EC1">
            <w:pPr>
              <w:rPr>
                <w:rFonts w:ascii="宋体"/>
                <w:vanish/>
              </w:rPr>
            </w:pPr>
          </w:p>
        </w:tc>
        <w:tc>
          <w:tcPr>
            <w:tcW w:w="0" w:type="auto"/>
            <w:gridSpan w:val="3"/>
            <w:shd w:val="clear" w:color="auto" w:fill="auto"/>
            <w:vAlign w:val="bottom"/>
          </w:tcPr>
          <w:p w14:paraId="74DDE889" w14:textId="77777777" w:rsidR="00584EC1" w:rsidRDefault="00584EC1">
            <w:pPr>
              <w:rPr>
                <w:rFonts w:ascii="宋体"/>
                <w:vanish/>
              </w:rPr>
            </w:pPr>
          </w:p>
        </w:tc>
        <w:tc>
          <w:tcPr>
            <w:tcW w:w="0" w:type="auto"/>
            <w:gridSpan w:val="3"/>
            <w:shd w:val="clear" w:color="auto" w:fill="auto"/>
            <w:vAlign w:val="bottom"/>
          </w:tcPr>
          <w:p w14:paraId="74DDE88A" w14:textId="77777777" w:rsidR="00584EC1" w:rsidRDefault="00584EC1">
            <w:pPr>
              <w:rPr>
                <w:rFonts w:ascii="宋体"/>
                <w:vanish/>
              </w:rPr>
            </w:pPr>
          </w:p>
        </w:tc>
        <w:tc>
          <w:tcPr>
            <w:tcW w:w="0" w:type="auto"/>
            <w:gridSpan w:val="3"/>
            <w:shd w:val="clear" w:color="auto" w:fill="auto"/>
            <w:vAlign w:val="bottom"/>
          </w:tcPr>
          <w:p w14:paraId="74DDE88B" w14:textId="77777777" w:rsidR="00584EC1" w:rsidRDefault="00584EC1">
            <w:pPr>
              <w:rPr>
                <w:rFonts w:ascii="宋体"/>
                <w:vanish/>
              </w:rPr>
            </w:pPr>
          </w:p>
        </w:tc>
        <w:tc>
          <w:tcPr>
            <w:tcW w:w="0" w:type="auto"/>
            <w:gridSpan w:val="3"/>
            <w:shd w:val="clear" w:color="auto" w:fill="auto"/>
            <w:vAlign w:val="bottom"/>
          </w:tcPr>
          <w:p w14:paraId="74DDE88C" w14:textId="77777777" w:rsidR="00584EC1" w:rsidRDefault="00584EC1">
            <w:pPr>
              <w:rPr>
                <w:rFonts w:ascii="宋体"/>
                <w:vanish/>
              </w:rPr>
            </w:pPr>
          </w:p>
        </w:tc>
        <w:tc>
          <w:tcPr>
            <w:tcW w:w="0" w:type="auto"/>
            <w:gridSpan w:val="3"/>
            <w:shd w:val="clear" w:color="auto" w:fill="auto"/>
            <w:vAlign w:val="bottom"/>
          </w:tcPr>
          <w:p w14:paraId="74DDE88D" w14:textId="77777777" w:rsidR="00584EC1" w:rsidRDefault="00584EC1">
            <w:pPr>
              <w:rPr>
                <w:rFonts w:ascii="宋体"/>
                <w:vanish/>
              </w:rPr>
            </w:pPr>
          </w:p>
        </w:tc>
        <w:tc>
          <w:tcPr>
            <w:tcW w:w="0" w:type="auto"/>
            <w:gridSpan w:val="3"/>
            <w:shd w:val="clear" w:color="auto" w:fill="auto"/>
            <w:vAlign w:val="bottom"/>
          </w:tcPr>
          <w:p w14:paraId="74DDE88E" w14:textId="77777777" w:rsidR="00584EC1" w:rsidRDefault="00584EC1">
            <w:pPr>
              <w:rPr>
                <w:rFonts w:ascii="宋体"/>
                <w:vanish/>
              </w:rPr>
            </w:pPr>
          </w:p>
        </w:tc>
        <w:tc>
          <w:tcPr>
            <w:tcW w:w="0" w:type="auto"/>
            <w:gridSpan w:val="3"/>
            <w:shd w:val="clear" w:color="auto" w:fill="auto"/>
            <w:vAlign w:val="bottom"/>
          </w:tcPr>
          <w:p w14:paraId="74DDE88F" w14:textId="77777777" w:rsidR="00584EC1" w:rsidRDefault="00584EC1">
            <w:pPr>
              <w:rPr>
                <w:rFonts w:ascii="宋体"/>
                <w:vanish/>
              </w:rPr>
            </w:pPr>
          </w:p>
        </w:tc>
        <w:tc>
          <w:tcPr>
            <w:tcW w:w="0" w:type="auto"/>
            <w:gridSpan w:val="3"/>
            <w:shd w:val="clear" w:color="auto" w:fill="auto"/>
            <w:vAlign w:val="bottom"/>
          </w:tcPr>
          <w:p w14:paraId="74DDE890" w14:textId="77777777" w:rsidR="00584EC1" w:rsidRDefault="00584EC1">
            <w:pPr>
              <w:rPr>
                <w:rFonts w:ascii="宋体"/>
                <w:vanish/>
              </w:rPr>
            </w:pPr>
          </w:p>
        </w:tc>
        <w:tc>
          <w:tcPr>
            <w:tcW w:w="0" w:type="auto"/>
            <w:gridSpan w:val="3"/>
            <w:shd w:val="clear" w:color="auto" w:fill="auto"/>
            <w:vAlign w:val="bottom"/>
          </w:tcPr>
          <w:p w14:paraId="74DDE891" w14:textId="77777777" w:rsidR="00584EC1" w:rsidRDefault="00584EC1">
            <w:pPr>
              <w:rPr>
                <w:rFonts w:ascii="宋体"/>
                <w:vanish/>
              </w:rPr>
            </w:pPr>
          </w:p>
        </w:tc>
        <w:tc>
          <w:tcPr>
            <w:tcW w:w="0" w:type="auto"/>
            <w:gridSpan w:val="3"/>
            <w:shd w:val="clear" w:color="auto" w:fill="auto"/>
            <w:vAlign w:val="bottom"/>
          </w:tcPr>
          <w:p w14:paraId="74DDE892" w14:textId="77777777" w:rsidR="00584EC1" w:rsidRDefault="00584EC1">
            <w:pPr>
              <w:rPr>
                <w:rFonts w:ascii="宋体"/>
                <w:vanish/>
              </w:rPr>
            </w:pPr>
          </w:p>
        </w:tc>
        <w:tc>
          <w:tcPr>
            <w:tcW w:w="0" w:type="auto"/>
            <w:shd w:val="clear" w:color="auto" w:fill="auto"/>
            <w:vAlign w:val="bottom"/>
          </w:tcPr>
          <w:p w14:paraId="74DDE893" w14:textId="77777777" w:rsidR="00584EC1" w:rsidRDefault="00584EC1">
            <w:pPr>
              <w:rPr>
                <w:rFonts w:ascii="宋体"/>
                <w:vanish/>
              </w:rPr>
            </w:pPr>
          </w:p>
        </w:tc>
        <w:tc>
          <w:tcPr>
            <w:tcW w:w="0" w:type="auto"/>
            <w:shd w:val="clear" w:color="auto" w:fill="auto"/>
            <w:vAlign w:val="bottom"/>
          </w:tcPr>
          <w:p w14:paraId="74DDE894" w14:textId="77777777" w:rsidR="00584EC1" w:rsidRDefault="00584EC1">
            <w:pPr>
              <w:rPr>
                <w:rFonts w:ascii="宋体"/>
                <w:vanish/>
              </w:rPr>
            </w:pPr>
          </w:p>
        </w:tc>
        <w:tc>
          <w:tcPr>
            <w:tcW w:w="0" w:type="auto"/>
            <w:gridSpan w:val="3"/>
            <w:shd w:val="clear" w:color="auto" w:fill="auto"/>
            <w:vAlign w:val="bottom"/>
          </w:tcPr>
          <w:p w14:paraId="74DDE895" w14:textId="77777777" w:rsidR="00584EC1" w:rsidRDefault="00584EC1">
            <w:pPr>
              <w:rPr>
                <w:rFonts w:ascii="宋体"/>
                <w:vanish/>
              </w:rPr>
            </w:pPr>
          </w:p>
        </w:tc>
        <w:tc>
          <w:tcPr>
            <w:tcW w:w="0" w:type="auto"/>
            <w:gridSpan w:val="3"/>
            <w:shd w:val="clear" w:color="auto" w:fill="auto"/>
            <w:vAlign w:val="bottom"/>
          </w:tcPr>
          <w:p w14:paraId="74DDE896" w14:textId="77777777" w:rsidR="00584EC1" w:rsidRDefault="00584EC1">
            <w:pPr>
              <w:rPr>
                <w:rFonts w:ascii="宋体"/>
                <w:vanish/>
              </w:rPr>
            </w:pPr>
          </w:p>
        </w:tc>
        <w:tc>
          <w:tcPr>
            <w:tcW w:w="0" w:type="auto"/>
            <w:gridSpan w:val="3"/>
            <w:shd w:val="clear" w:color="auto" w:fill="auto"/>
            <w:vAlign w:val="bottom"/>
          </w:tcPr>
          <w:p w14:paraId="74DDE897" w14:textId="77777777" w:rsidR="00584EC1" w:rsidRDefault="00584EC1">
            <w:pPr>
              <w:rPr>
                <w:rFonts w:ascii="宋体"/>
                <w:vanish/>
              </w:rPr>
            </w:pPr>
          </w:p>
        </w:tc>
        <w:tc>
          <w:tcPr>
            <w:tcW w:w="0" w:type="auto"/>
            <w:gridSpan w:val="3"/>
            <w:shd w:val="clear" w:color="auto" w:fill="auto"/>
            <w:vAlign w:val="bottom"/>
          </w:tcPr>
          <w:p w14:paraId="74DDE898" w14:textId="77777777" w:rsidR="00584EC1" w:rsidRDefault="00584EC1">
            <w:pPr>
              <w:rPr>
                <w:rFonts w:ascii="宋体"/>
                <w:vanish/>
              </w:rPr>
            </w:pPr>
          </w:p>
        </w:tc>
        <w:tc>
          <w:tcPr>
            <w:tcW w:w="0" w:type="auto"/>
            <w:gridSpan w:val="3"/>
            <w:shd w:val="clear" w:color="auto" w:fill="auto"/>
            <w:vAlign w:val="bottom"/>
          </w:tcPr>
          <w:p w14:paraId="74DDE899" w14:textId="77777777" w:rsidR="00584EC1" w:rsidRDefault="00584EC1">
            <w:pPr>
              <w:rPr>
                <w:rFonts w:ascii="宋体"/>
                <w:vanish/>
              </w:rPr>
            </w:pPr>
          </w:p>
        </w:tc>
      </w:tr>
      <w:tr w:rsidR="00584EC1" w14:paraId="74DDE8AD" w14:textId="77777777">
        <w:trPr>
          <w:hidden/>
        </w:trPr>
        <w:tc>
          <w:tcPr>
            <w:tcW w:w="0" w:type="auto"/>
            <w:gridSpan w:val="3"/>
            <w:shd w:val="clear" w:color="auto" w:fill="auto"/>
            <w:vAlign w:val="bottom"/>
          </w:tcPr>
          <w:p w14:paraId="74DDE89B" w14:textId="77777777" w:rsidR="00584EC1" w:rsidRDefault="00584EC1">
            <w:pPr>
              <w:rPr>
                <w:rFonts w:ascii="宋体"/>
                <w:vanish/>
              </w:rPr>
            </w:pPr>
          </w:p>
        </w:tc>
        <w:tc>
          <w:tcPr>
            <w:tcW w:w="0" w:type="auto"/>
            <w:gridSpan w:val="3"/>
            <w:shd w:val="clear" w:color="auto" w:fill="auto"/>
            <w:vAlign w:val="bottom"/>
          </w:tcPr>
          <w:p w14:paraId="74DDE89C" w14:textId="77777777" w:rsidR="00584EC1" w:rsidRDefault="00584EC1">
            <w:pPr>
              <w:rPr>
                <w:rFonts w:ascii="宋体"/>
                <w:vanish/>
              </w:rPr>
            </w:pPr>
          </w:p>
        </w:tc>
        <w:tc>
          <w:tcPr>
            <w:tcW w:w="0" w:type="auto"/>
            <w:gridSpan w:val="3"/>
            <w:shd w:val="clear" w:color="auto" w:fill="auto"/>
            <w:vAlign w:val="bottom"/>
          </w:tcPr>
          <w:p w14:paraId="74DDE89D" w14:textId="77777777" w:rsidR="00584EC1" w:rsidRDefault="00584EC1">
            <w:pPr>
              <w:rPr>
                <w:rFonts w:ascii="宋体"/>
                <w:vanish/>
              </w:rPr>
            </w:pPr>
          </w:p>
        </w:tc>
        <w:tc>
          <w:tcPr>
            <w:tcW w:w="0" w:type="auto"/>
            <w:gridSpan w:val="3"/>
            <w:shd w:val="clear" w:color="auto" w:fill="auto"/>
            <w:vAlign w:val="bottom"/>
          </w:tcPr>
          <w:p w14:paraId="74DDE89E" w14:textId="77777777" w:rsidR="00584EC1" w:rsidRDefault="00584EC1">
            <w:pPr>
              <w:rPr>
                <w:rFonts w:ascii="宋体"/>
                <w:vanish/>
              </w:rPr>
            </w:pPr>
          </w:p>
        </w:tc>
        <w:tc>
          <w:tcPr>
            <w:tcW w:w="0" w:type="auto"/>
            <w:gridSpan w:val="3"/>
            <w:shd w:val="clear" w:color="auto" w:fill="auto"/>
            <w:vAlign w:val="bottom"/>
          </w:tcPr>
          <w:p w14:paraId="74DDE89F" w14:textId="77777777" w:rsidR="00584EC1" w:rsidRDefault="00584EC1">
            <w:pPr>
              <w:rPr>
                <w:rFonts w:ascii="宋体"/>
                <w:vanish/>
              </w:rPr>
            </w:pPr>
          </w:p>
        </w:tc>
        <w:tc>
          <w:tcPr>
            <w:tcW w:w="0" w:type="auto"/>
            <w:gridSpan w:val="3"/>
            <w:shd w:val="clear" w:color="auto" w:fill="auto"/>
            <w:vAlign w:val="bottom"/>
          </w:tcPr>
          <w:p w14:paraId="74DDE8A0" w14:textId="77777777" w:rsidR="00584EC1" w:rsidRDefault="00584EC1">
            <w:pPr>
              <w:rPr>
                <w:rFonts w:ascii="宋体"/>
                <w:vanish/>
              </w:rPr>
            </w:pPr>
          </w:p>
        </w:tc>
        <w:tc>
          <w:tcPr>
            <w:tcW w:w="0" w:type="auto"/>
            <w:gridSpan w:val="3"/>
            <w:shd w:val="clear" w:color="auto" w:fill="auto"/>
            <w:vAlign w:val="bottom"/>
          </w:tcPr>
          <w:p w14:paraId="74DDE8A1" w14:textId="77777777" w:rsidR="00584EC1" w:rsidRDefault="00584EC1">
            <w:pPr>
              <w:rPr>
                <w:rFonts w:ascii="宋体"/>
                <w:vanish/>
              </w:rPr>
            </w:pPr>
          </w:p>
        </w:tc>
        <w:tc>
          <w:tcPr>
            <w:tcW w:w="0" w:type="auto"/>
            <w:gridSpan w:val="3"/>
            <w:shd w:val="clear" w:color="auto" w:fill="auto"/>
            <w:vAlign w:val="bottom"/>
          </w:tcPr>
          <w:p w14:paraId="74DDE8A2" w14:textId="77777777" w:rsidR="00584EC1" w:rsidRDefault="00584EC1">
            <w:pPr>
              <w:rPr>
                <w:rFonts w:ascii="宋体"/>
                <w:vanish/>
              </w:rPr>
            </w:pPr>
          </w:p>
        </w:tc>
        <w:tc>
          <w:tcPr>
            <w:tcW w:w="0" w:type="auto"/>
            <w:gridSpan w:val="3"/>
            <w:shd w:val="clear" w:color="auto" w:fill="auto"/>
            <w:vAlign w:val="bottom"/>
          </w:tcPr>
          <w:p w14:paraId="74DDE8A3" w14:textId="77777777" w:rsidR="00584EC1" w:rsidRDefault="00584EC1">
            <w:pPr>
              <w:rPr>
                <w:rFonts w:ascii="宋体"/>
                <w:vanish/>
              </w:rPr>
            </w:pPr>
          </w:p>
        </w:tc>
        <w:tc>
          <w:tcPr>
            <w:tcW w:w="0" w:type="auto"/>
            <w:gridSpan w:val="3"/>
            <w:shd w:val="clear" w:color="auto" w:fill="auto"/>
            <w:vAlign w:val="bottom"/>
          </w:tcPr>
          <w:p w14:paraId="74DDE8A4" w14:textId="77777777" w:rsidR="00584EC1" w:rsidRDefault="00584EC1">
            <w:pPr>
              <w:rPr>
                <w:rFonts w:ascii="宋体"/>
                <w:vanish/>
              </w:rPr>
            </w:pPr>
          </w:p>
        </w:tc>
        <w:tc>
          <w:tcPr>
            <w:tcW w:w="0" w:type="auto"/>
            <w:gridSpan w:val="3"/>
            <w:shd w:val="clear" w:color="auto" w:fill="auto"/>
            <w:vAlign w:val="bottom"/>
          </w:tcPr>
          <w:p w14:paraId="74DDE8A5" w14:textId="77777777" w:rsidR="00584EC1" w:rsidRDefault="00584EC1">
            <w:pPr>
              <w:rPr>
                <w:rFonts w:ascii="宋体"/>
                <w:vanish/>
              </w:rPr>
            </w:pPr>
          </w:p>
        </w:tc>
        <w:tc>
          <w:tcPr>
            <w:tcW w:w="0" w:type="auto"/>
            <w:shd w:val="clear" w:color="auto" w:fill="auto"/>
            <w:vAlign w:val="bottom"/>
          </w:tcPr>
          <w:p w14:paraId="74DDE8A6" w14:textId="77777777" w:rsidR="00584EC1" w:rsidRDefault="00584EC1">
            <w:pPr>
              <w:rPr>
                <w:rFonts w:ascii="宋体"/>
                <w:vanish/>
              </w:rPr>
            </w:pPr>
          </w:p>
        </w:tc>
        <w:tc>
          <w:tcPr>
            <w:tcW w:w="0" w:type="auto"/>
            <w:shd w:val="clear" w:color="auto" w:fill="auto"/>
            <w:vAlign w:val="bottom"/>
          </w:tcPr>
          <w:p w14:paraId="74DDE8A7" w14:textId="77777777" w:rsidR="00584EC1" w:rsidRDefault="00584EC1">
            <w:pPr>
              <w:rPr>
                <w:rFonts w:ascii="宋体"/>
                <w:vanish/>
              </w:rPr>
            </w:pPr>
          </w:p>
        </w:tc>
        <w:tc>
          <w:tcPr>
            <w:tcW w:w="0" w:type="auto"/>
            <w:gridSpan w:val="3"/>
            <w:shd w:val="clear" w:color="auto" w:fill="auto"/>
            <w:vAlign w:val="bottom"/>
          </w:tcPr>
          <w:p w14:paraId="74DDE8A8" w14:textId="77777777" w:rsidR="00584EC1" w:rsidRDefault="00584EC1">
            <w:pPr>
              <w:rPr>
                <w:rFonts w:ascii="宋体"/>
                <w:vanish/>
              </w:rPr>
            </w:pPr>
          </w:p>
        </w:tc>
        <w:tc>
          <w:tcPr>
            <w:tcW w:w="0" w:type="auto"/>
            <w:gridSpan w:val="3"/>
            <w:shd w:val="clear" w:color="auto" w:fill="auto"/>
            <w:vAlign w:val="bottom"/>
          </w:tcPr>
          <w:p w14:paraId="74DDE8A9" w14:textId="77777777" w:rsidR="00584EC1" w:rsidRDefault="00584EC1">
            <w:pPr>
              <w:rPr>
                <w:rFonts w:ascii="宋体"/>
                <w:vanish/>
              </w:rPr>
            </w:pPr>
          </w:p>
        </w:tc>
        <w:tc>
          <w:tcPr>
            <w:tcW w:w="0" w:type="auto"/>
            <w:gridSpan w:val="3"/>
            <w:shd w:val="clear" w:color="auto" w:fill="auto"/>
            <w:vAlign w:val="bottom"/>
          </w:tcPr>
          <w:p w14:paraId="74DDE8AA" w14:textId="77777777" w:rsidR="00584EC1" w:rsidRDefault="00584EC1">
            <w:pPr>
              <w:rPr>
                <w:rFonts w:ascii="宋体"/>
                <w:vanish/>
              </w:rPr>
            </w:pPr>
          </w:p>
        </w:tc>
        <w:tc>
          <w:tcPr>
            <w:tcW w:w="0" w:type="auto"/>
            <w:gridSpan w:val="3"/>
            <w:shd w:val="clear" w:color="auto" w:fill="auto"/>
            <w:vAlign w:val="bottom"/>
          </w:tcPr>
          <w:p w14:paraId="74DDE8AB" w14:textId="77777777" w:rsidR="00584EC1" w:rsidRDefault="00584EC1">
            <w:pPr>
              <w:rPr>
                <w:rFonts w:ascii="宋体"/>
                <w:vanish/>
              </w:rPr>
            </w:pPr>
          </w:p>
        </w:tc>
        <w:tc>
          <w:tcPr>
            <w:tcW w:w="0" w:type="auto"/>
            <w:gridSpan w:val="3"/>
            <w:shd w:val="clear" w:color="auto" w:fill="auto"/>
            <w:vAlign w:val="bottom"/>
          </w:tcPr>
          <w:p w14:paraId="74DDE8AC" w14:textId="77777777" w:rsidR="00584EC1" w:rsidRDefault="00584EC1">
            <w:pPr>
              <w:rPr>
                <w:rFonts w:ascii="宋体"/>
                <w:vanish/>
              </w:rPr>
            </w:pPr>
          </w:p>
        </w:tc>
      </w:tr>
      <w:tr w:rsidR="00584EC1" w14:paraId="74DDE8D0" w14:textId="77777777">
        <w:tc>
          <w:tcPr>
            <w:tcW w:w="0" w:type="auto"/>
            <w:gridSpan w:val="3"/>
            <w:shd w:val="clear" w:color="auto" w:fill="FFFFFF"/>
            <w:tcMar>
              <w:top w:w="40" w:type="dxa"/>
              <w:left w:w="155" w:type="dxa"/>
              <w:bottom w:w="40" w:type="dxa"/>
              <w:right w:w="20" w:type="dxa"/>
            </w:tcMar>
            <w:vAlign w:val="bottom"/>
          </w:tcPr>
          <w:p w14:paraId="74DDE8AE" w14:textId="77777777" w:rsidR="00584EC1" w:rsidRDefault="00871F8D">
            <w:pPr>
              <w:textAlignment w:val="bottom"/>
            </w:pPr>
            <w:r>
              <w:rPr>
                <w:rFonts w:ascii="Arial" w:eastAsia="宋体" w:hAnsi="Arial" w:cs="Arial"/>
                <w:color w:val="000000"/>
                <w:sz w:val="14"/>
                <w:szCs w:val="14"/>
              </w:rPr>
              <w:t>Total commercial real estate</w:t>
            </w:r>
          </w:p>
        </w:tc>
        <w:tc>
          <w:tcPr>
            <w:tcW w:w="0" w:type="auto"/>
            <w:tcBorders>
              <w:top w:val="single" w:sz="8" w:space="0" w:color="000000"/>
            </w:tcBorders>
            <w:shd w:val="clear" w:color="auto" w:fill="FFFFFF"/>
            <w:tcMar>
              <w:top w:w="40" w:type="dxa"/>
              <w:left w:w="20" w:type="dxa"/>
              <w:bottom w:w="40" w:type="dxa"/>
              <w:right w:w="0" w:type="dxa"/>
            </w:tcMar>
            <w:vAlign w:val="bottom"/>
          </w:tcPr>
          <w:p w14:paraId="74DDE8AF"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E8B0" w14:textId="77777777" w:rsidR="00584EC1" w:rsidRDefault="00871F8D">
            <w:pPr>
              <w:jc w:val="right"/>
              <w:textAlignment w:val="bottom"/>
            </w:pPr>
            <w:r>
              <w:rPr>
                <w:rFonts w:ascii="Arial" w:eastAsia="宋体" w:hAnsi="Arial" w:cs="Arial"/>
                <w:color w:val="000000"/>
                <w:sz w:val="14"/>
                <w:szCs w:val="14"/>
              </w:rPr>
              <w:t>298 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E8B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8B2"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E8B3"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E8B4" w14:textId="77777777" w:rsidR="00584EC1" w:rsidRDefault="00871F8D">
            <w:pPr>
              <w:jc w:val="right"/>
              <w:textAlignment w:val="bottom"/>
            </w:pPr>
            <w:r>
              <w:rPr>
                <w:rFonts w:ascii="Arial" w:eastAsia="宋体" w:hAnsi="Arial" w:cs="Arial"/>
                <w:color w:val="000000"/>
                <w:sz w:val="14"/>
                <w:szCs w:val="14"/>
              </w:rPr>
              <w:t>549 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E8B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8B6"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E8B7"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E8B8" w14:textId="77777777" w:rsidR="00584EC1" w:rsidRDefault="00871F8D">
            <w:pPr>
              <w:jc w:val="right"/>
              <w:textAlignment w:val="bottom"/>
            </w:pPr>
            <w:r>
              <w:rPr>
                <w:rFonts w:ascii="Arial" w:eastAsia="宋体" w:hAnsi="Arial" w:cs="Arial"/>
                <w:color w:val="000000"/>
                <w:sz w:val="14"/>
                <w:szCs w:val="14"/>
              </w:rPr>
              <w:t>746 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E8B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8BA"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E8BB"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E8BC" w14:textId="77777777" w:rsidR="00584EC1" w:rsidRDefault="00871F8D">
            <w:pPr>
              <w:jc w:val="right"/>
              <w:textAlignment w:val="bottom"/>
            </w:pPr>
            <w:r>
              <w:rPr>
                <w:rFonts w:ascii="Arial" w:eastAsia="宋体" w:hAnsi="Arial" w:cs="Arial"/>
                <w:color w:val="000000"/>
                <w:sz w:val="14"/>
                <w:szCs w:val="14"/>
              </w:rPr>
              <w:t>277 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E8B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8BE"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E8BF"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E8C0" w14:textId="77777777" w:rsidR="00584EC1" w:rsidRDefault="00871F8D">
            <w:pPr>
              <w:jc w:val="right"/>
              <w:textAlignment w:val="bottom"/>
            </w:pPr>
            <w:r>
              <w:rPr>
                <w:rFonts w:ascii="Arial" w:eastAsia="宋体" w:hAnsi="Arial" w:cs="Arial"/>
                <w:color w:val="000000"/>
                <w:sz w:val="14"/>
                <w:szCs w:val="14"/>
              </w:rPr>
              <w:t>197 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E8C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8C2" w14:textId="77777777" w:rsidR="00584EC1" w:rsidRDefault="00584EC1">
            <w:pPr>
              <w:rPr>
                <w:rFonts w:ascii="宋体"/>
              </w:rPr>
            </w:pPr>
          </w:p>
        </w:tc>
        <w:tc>
          <w:tcPr>
            <w:tcW w:w="0" w:type="auto"/>
            <w:shd w:val="clear" w:color="auto" w:fill="auto"/>
            <w:vAlign w:val="bottom"/>
          </w:tcPr>
          <w:p w14:paraId="74DDE8C3" w14:textId="77777777" w:rsidR="00584EC1" w:rsidRDefault="00584EC1">
            <w:pPr>
              <w:rPr>
                <w:rFonts w:ascii="宋体"/>
                <w:vanish/>
              </w:rPr>
            </w:pPr>
          </w:p>
        </w:tc>
        <w:tc>
          <w:tcPr>
            <w:tcW w:w="0" w:type="auto"/>
            <w:shd w:val="clear" w:color="auto" w:fill="auto"/>
            <w:vAlign w:val="bottom"/>
          </w:tcPr>
          <w:p w14:paraId="74DDE8C4" w14:textId="77777777" w:rsidR="00584EC1" w:rsidRDefault="00584EC1">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E8C5"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E8C6" w14:textId="77777777" w:rsidR="00584EC1" w:rsidRDefault="00871F8D">
            <w:pPr>
              <w:jc w:val="right"/>
              <w:textAlignment w:val="bottom"/>
            </w:pPr>
            <w:r>
              <w:rPr>
                <w:rFonts w:ascii="Arial" w:eastAsia="宋体" w:hAnsi="Arial" w:cs="Arial"/>
                <w:color w:val="000000"/>
                <w:sz w:val="14"/>
                <w:szCs w:val="14"/>
              </w:rPr>
              <w:t>29 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E8C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8C8"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E8C9"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E8CA" w14:textId="77777777" w:rsidR="00584EC1" w:rsidRDefault="00871F8D">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E8C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8CC"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DE8CD"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DE8CE" w14:textId="77777777" w:rsidR="00584EC1" w:rsidRDefault="00871F8D">
            <w:pPr>
              <w:jc w:val="right"/>
              <w:textAlignment w:val="bottom"/>
            </w:pPr>
            <w:r>
              <w:rPr>
                <w:rFonts w:ascii="Arial" w:eastAsia="宋体" w:hAnsi="Arial" w:cs="Arial"/>
                <w:color w:val="000000"/>
                <w:sz w:val="14"/>
                <w:szCs w:val="14"/>
              </w:rPr>
              <w:t>2,096 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E8CF" w14:textId="77777777" w:rsidR="00584EC1" w:rsidRDefault="00584EC1">
            <w:pPr>
              <w:jc w:val="right"/>
              <w:rPr>
                <w:rFonts w:ascii="宋体"/>
              </w:rPr>
            </w:pPr>
          </w:p>
        </w:tc>
      </w:tr>
      <w:tr w:rsidR="00584EC1" w14:paraId="74DDE8E3" w14:textId="77777777">
        <w:tc>
          <w:tcPr>
            <w:tcW w:w="0" w:type="auto"/>
            <w:gridSpan w:val="3"/>
            <w:shd w:val="clear" w:color="auto" w:fill="CCEEFF"/>
            <w:tcMar>
              <w:top w:w="40" w:type="dxa"/>
              <w:left w:w="20" w:type="dxa"/>
              <w:bottom w:w="40" w:type="dxa"/>
              <w:right w:w="20" w:type="dxa"/>
            </w:tcMar>
            <w:vAlign w:val="bottom"/>
          </w:tcPr>
          <w:p w14:paraId="74DDE8D1" w14:textId="77777777" w:rsidR="00584EC1" w:rsidRDefault="00871F8D">
            <w:pPr>
              <w:textAlignment w:val="bottom"/>
            </w:pPr>
            <w:r>
              <w:rPr>
                <w:rFonts w:ascii="Arial" w:eastAsia="宋体" w:hAnsi="Arial" w:cs="Arial"/>
                <w:color w:val="000000"/>
                <w:sz w:val="14"/>
                <w:szCs w:val="14"/>
              </w:rPr>
              <w:t>Non-U.S. loans:</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4DDE8D2"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E8D3" w14:textId="77777777" w:rsidR="00584EC1" w:rsidRDefault="00584EC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4DDE8D4"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E8D5" w14:textId="77777777" w:rsidR="00584EC1" w:rsidRDefault="00584EC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4DDE8D6"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E8D7" w14:textId="77777777" w:rsidR="00584EC1" w:rsidRDefault="00584EC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4DDE8D8"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E8D9" w14:textId="77777777" w:rsidR="00584EC1" w:rsidRDefault="00584EC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4DDE8DA"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E8DB" w14:textId="77777777" w:rsidR="00584EC1" w:rsidRDefault="00584EC1">
            <w:pPr>
              <w:rPr>
                <w:rFonts w:ascii="宋体"/>
              </w:rPr>
            </w:pPr>
          </w:p>
        </w:tc>
        <w:tc>
          <w:tcPr>
            <w:tcW w:w="0" w:type="auto"/>
            <w:shd w:val="clear" w:color="auto" w:fill="auto"/>
            <w:vAlign w:val="bottom"/>
          </w:tcPr>
          <w:p w14:paraId="74DDE8DC" w14:textId="77777777" w:rsidR="00584EC1" w:rsidRDefault="00584EC1">
            <w:pPr>
              <w:rPr>
                <w:rFonts w:ascii="宋体"/>
                <w:vanish/>
              </w:rPr>
            </w:pPr>
          </w:p>
        </w:tc>
        <w:tc>
          <w:tcPr>
            <w:tcW w:w="0" w:type="auto"/>
            <w:shd w:val="clear" w:color="auto" w:fill="auto"/>
            <w:vAlign w:val="bottom"/>
          </w:tcPr>
          <w:p w14:paraId="74DDE8DD" w14:textId="77777777" w:rsidR="00584EC1" w:rsidRDefault="00584EC1">
            <w:pPr>
              <w:rPr>
                <w:rFonts w:ascii="宋体"/>
                <w:vanish/>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4DDE8DE"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E8DF" w14:textId="77777777" w:rsidR="00584EC1" w:rsidRDefault="00584EC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4DDE8E0"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E8E1" w14:textId="77777777" w:rsidR="00584EC1" w:rsidRDefault="00584EC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4DDE8E2" w14:textId="77777777" w:rsidR="00584EC1" w:rsidRDefault="00584EC1">
            <w:pPr>
              <w:rPr>
                <w:rFonts w:ascii="宋体"/>
              </w:rPr>
            </w:pPr>
          </w:p>
        </w:tc>
      </w:tr>
      <w:tr w:rsidR="00584EC1" w14:paraId="74DDE8F6" w14:textId="77777777">
        <w:tc>
          <w:tcPr>
            <w:tcW w:w="0" w:type="auto"/>
            <w:gridSpan w:val="3"/>
            <w:shd w:val="clear" w:color="auto" w:fill="FFFFFF"/>
            <w:tcMar>
              <w:top w:w="40" w:type="dxa"/>
              <w:left w:w="155" w:type="dxa"/>
              <w:bottom w:w="40" w:type="dxa"/>
              <w:right w:w="20" w:type="dxa"/>
            </w:tcMar>
            <w:vAlign w:val="bottom"/>
          </w:tcPr>
          <w:p w14:paraId="74DDE8E4" w14:textId="77777777" w:rsidR="00584EC1" w:rsidRDefault="00871F8D">
            <w:pPr>
              <w:textAlignment w:val="bottom"/>
            </w:pPr>
            <w:r>
              <w:rPr>
                <w:rFonts w:ascii="Arial" w:eastAsia="宋体" w:hAnsi="Arial" w:cs="Arial"/>
                <w:color w:val="000000"/>
                <w:sz w:val="14"/>
                <w:szCs w:val="14"/>
              </w:rPr>
              <w:t>Commercial and financial:</w:t>
            </w:r>
          </w:p>
        </w:tc>
        <w:tc>
          <w:tcPr>
            <w:tcW w:w="0" w:type="auto"/>
            <w:gridSpan w:val="3"/>
            <w:shd w:val="clear" w:color="auto" w:fill="FFFFFF"/>
            <w:tcMar>
              <w:top w:w="0" w:type="dxa"/>
              <w:left w:w="20" w:type="dxa"/>
              <w:bottom w:w="0" w:type="dxa"/>
              <w:right w:w="20" w:type="dxa"/>
            </w:tcMar>
            <w:vAlign w:val="bottom"/>
          </w:tcPr>
          <w:p w14:paraId="74DDE8E5"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E8E6"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E8E7"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E8E8"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E8E9"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E8EA"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E8EB"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E8EC"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E8ED"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E8EE" w14:textId="77777777" w:rsidR="00584EC1" w:rsidRDefault="00584EC1">
            <w:pPr>
              <w:rPr>
                <w:rFonts w:ascii="宋体"/>
              </w:rPr>
            </w:pPr>
          </w:p>
        </w:tc>
        <w:tc>
          <w:tcPr>
            <w:tcW w:w="0" w:type="auto"/>
            <w:shd w:val="clear" w:color="auto" w:fill="auto"/>
            <w:vAlign w:val="bottom"/>
          </w:tcPr>
          <w:p w14:paraId="74DDE8EF" w14:textId="77777777" w:rsidR="00584EC1" w:rsidRDefault="00584EC1">
            <w:pPr>
              <w:rPr>
                <w:rFonts w:ascii="宋体"/>
                <w:vanish/>
              </w:rPr>
            </w:pPr>
          </w:p>
        </w:tc>
        <w:tc>
          <w:tcPr>
            <w:tcW w:w="0" w:type="auto"/>
            <w:shd w:val="clear" w:color="auto" w:fill="auto"/>
            <w:vAlign w:val="bottom"/>
          </w:tcPr>
          <w:p w14:paraId="74DDE8F0" w14:textId="77777777" w:rsidR="00584EC1" w:rsidRDefault="00584EC1">
            <w:pPr>
              <w:rPr>
                <w:rFonts w:ascii="宋体"/>
                <w:vanish/>
              </w:rPr>
            </w:pPr>
          </w:p>
        </w:tc>
        <w:tc>
          <w:tcPr>
            <w:tcW w:w="0" w:type="auto"/>
            <w:gridSpan w:val="3"/>
            <w:shd w:val="clear" w:color="auto" w:fill="FFFFFF"/>
            <w:tcMar>
              <w:top w:w="0" w:type="dxa"/>
              <w:left w:w="20" w:type="dxa"/>
              <w:bottom w:w="0" w:type="dxa"/>
              <w:right w:w="20" w:type="dxa"/>
            </w:tcMar>
            <w:vAlign w:val="bottom"/>
          </w:tcPr>
          <w:p w14:paraId="74DDE8F1"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E8F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E8F3"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E8F4"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E8F5" w14:textId="77777777" w:rsidR="00584EC1" w:rsidRDefault="00584EC1">
            <w:pPr>
              <w:rPr>
                <w:rFonts w:ascii="宋体"/>
              </w:rPr>
            </w:pPr>
          </w:p>
        </w:tc>
      </w:tr>
      <w:tr w:rsidR="00584EC1" w14:paraId="74DDE909" w14:textId="77777777">
        <w:tc>
          <w:tcPr>
            <w:tcW w:w="0" w:type="auto"/>
            <w:gridSpan w:val="3"/>
            <w:shd w:val="clear" w:color="auto" w:fill="CCEEFF"/>
            <w:tcMar>
              <w:top w:w="40" w:type="dxa"/>
              <w:left w:w="245" w:type="dxa"/>
              <w:bottom w:w="40" w:type="dxa"/>
              <w:right w:w="20" w:type="dxa"/>
            </w:tcMar>
            <w:vAlign w:val="bottom"/>
          </w:tcPr>
          <w:p w14:paraId="74DDE8F7" w14:textId="77777777" w:rsidR="00584EC1" w:rsidRDefault="00871F8D">
            <w:pPr>
              <w:textAlignment w:val="bottom"/>
            </w:pPr>
            <w:r>
              <w:rPr>
                <w:rFonts w:ascii="Arial" w:eastAsia="宋体" w:hAnsi="Arial" w:cs="Arial"/>
                <w:color w:val="000000"/>
                <w:sz w:val="14"/>
                <w:szCs w:val="14"/>
              </w:rPr>
              <w:t>Risk Rating:</w:t>
            </w:r>
          </w:p>
        </w:tc>
        <w:tc>
          <w:tcPr>
            <w:tcW w:w="0" w:type="auto"/>
            <w:gridSpan w:val="3"/>
            <w:shd w:val="clear" w:color="auto" w:fill="CCEEFF"/>
            <w:tcMar>
              <w:top w:w="0" w:type="dxa"/>
              <w:left w:w="20" w:type="dxa"/>
              <w:bottom w:w="0" w:type="dxa"/>
              <w:right w:w="20" w:type="dxa"/>
            </w:tcMar>
            <w:vAlign w:val="bottom"/>
          </w:tcPr>
          <w:p w14:paraId="74DDE8F8"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E8F9"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E8FA"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E8FB"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E8FC"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E8FD"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E8FE"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E8FF"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E900"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E901" w14:textId="77777777" w:rsidR="00584EC1" w:rsidRDefault="00584EC1">
            <w:pPr>
              <w:rPr>
                <w:rFonts w:ascii="宋体"/>
              </w:rPr>
            </w:pPr>
          </w:p>
        </w:tc>
        <w:tc>
          <w:tcPr>
            <w:tcW w:w="0" w:type="auto"/>
            <w:shd w:val="clear" w:color="auto" w:fill="auto"/>
            <w:vAlign w:val="bottom"/>
          </w:tcPr>
          <w:p w14:paraId="74DDE902" w14:textId="77777777" w:rsidR="00584EC1" w:rsidRDefault="00584EC1">
            <w:pPr>
              <w:rPr>
                <w:rFonts w:ascii="宋体"/>
                <w:vanish/>
              </w:rPr>
            </w:pPr>
          </w:p>
        </w:tc>
        <w:tc>
          <w:tcPr>
            <w:tcW w:w="0" w:type="auto"/>
            <w:shd w:val="clear" w:color="auto" w:fill="auto"/>
            <w:vAlign w:val="bottom"/>
          </w:tcPr>
          <w:p w14:paraId="74DDE903" w14:textId="77777777" w:rsidR="00584EC1" w:rsidRDefault="00584EC1">
            <w:pPr>
              <w:rPr>
                <w:rFonts w:ascii="宋体"/>
                <w:vanish/>
              </w:rPr>
            </w:pPr>
          </w:p>
        </w:tc>
        <w:tc>
          <w:tcPr>
            <w:tcW w:w="0" w:type="auto"/>
            <w:gridSpan w:val="3"/>
            <w:shd w:val="clear" w:color="auto" w:fill="CCEEFF"/>
            <w:tcMar>
              <w:top w:w="0" w:type="dxa"/>
              <w:left w:w="20" w:type="dxa"/>
              <w:bottom w:w="0" w:type="dxa"/>
              <w:right w:w="20" w:type="dxa"/>
            </w:tcMar>
            <w:vAlign w:val="bottom"/>
          </w:tcPr>
          <w:p w14:paraId="74DDE904"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E905"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E906"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E907"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E908" w14:textId="77777777" w:rsidR="00584EC1" w:rsidRDefault="00584EC1">
            <w:pPr>
              <w:rPr>
                <w:rFonts w:ascii="宋体"/>
              </w:rPr>
            </w:pPr>
          </w:p>
        </w:tc>
      </w:tr>
      <w:tr w:rsidR="00584EC1" w14:paraId="74DDE92C" w14:textId="77777777">
        <w:tc>
          <w:tcPr>
            <w:tcW w:w="0" w:type="auto"/>
            <w:gridSpan w:val="3"/>
            <w:shd w:val="clear" w:color="auto" w:fill="FFFFFF"/>
            <w:tcMar>
              <w:top w:w="40" w:type="dxa"/>
              <w:left w:w="380" w:type="dxa"/>
              <w:bottom w:w="40" w:type="dxa"/>
              <w:right w:w="20" w:type="dxa"/>
            </w:tcMar>
            <w:vAlign w:val="bottom"/>
          </w:tcPr>
          <w:p w14:paraId="74DDE90A" w14:textId="77777777" w:rsidR="00584EC1" w:rsidRDefault="00871F8D">
            <w:pPr>
              <w:textAlignment w:val="bottom"/>
            </w:pPr>
            <w:r>
              <w:rPr>
                <w:rFonts w:ascii="Arial" w:eastAsia="宋体" w:hAnsi="Arial" w:cs="Arial"/>
                <w:color w:val="000000"/>
                <w:sz w:val="14"/>
                <w:szCs w:val="14"/>
              </w:rPr>
              <w:t>Investment grade</w:t>
            </w:r>
          </w:p>
        </w:tc>
        <w:tc>
          <w:tcPr>
            <w:tcW w:w="0" w:type="auto"/>
            <w:shd w:val="clear" w:color="auto" w:fill="FFFFFF"/>
            <w:tcMar>
              <w:top w:w="40" w:type="dxa"/>
              <w:left w:w="20" w:type="dxa"/>
              <w:bottom w:w="40" w:type="dxa"/>
              <w:right w:w="0" w:type="dxa"/>
            </w:tcMar>
            <w:vAlign w:val="bottom"/>
          </w:tcPr>
          <w:p w14:paraId="74DDE90B" w14:textId="77777777" w:rsidR="00584EC1" w:rsidRDefault="00871F8D">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74DDE90C" w14:textId="77777777" w:rsidR="00584EC1" w:rsidRDefault="00871F8D">
            <w:pPr>
              <w:jc w:val="right"/>
              <w:textAlignment w:val="bottom"/>
            </w:pPr>
            <w:r>
              <w:rPr>
                <w:rFonts w:ascii="Arial" w:eastAsia="宋体" w:hAnsi="Arial" w:cs="Arial"/>
                <w:color w:val="000000"/>
                <w:sz w:val="14"/>
                <w:szCs w:val="14"/>
              </w:rPr>
              <w:t>1,028 </w:t>
            </w:r>
          </w:p>
        </w:tc>
        <w:tc>
          <w:tcPr>
            <w:tcW w:w="0" w:type="auto"/>
            <w:shd w:val="clear" w:color="auto" w:fill="FFFFFF"/>
            <w:tcMar>
              <w:top w:w="40" w:type="dxa"/>
              <w:left w:w="0" w:type="dxa"/>
              <w:bottom w:w="40" w:type="dxa"/>
              <w:right w:w="20" w:type="dxa"/>
            </w:tcMar>
            <w:vAlign w:val="bottom"/>
          </w:tcPr>
          <w:p w14:paraId="74DDE90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90E" w14:textId="77777777" w:rsidR="00584EC1" w:rsidRDefault="00584EC1">
            <w:pPr>
              <w:rPr>
                <w:rFonts w:ascii="宋体"/>
              </w:rPr>
            </w:pPr>
          </w:p>
        </w:tc>
        <w:tc>
          <w:tcPr>
            <w:tcW w:w="0" w:type="auto"/>
            <w:shd w:val="clear" w:color="auto" w:fill="FFFFFF"/>
            <w:tcMar>
              <w:top w:w="40" w:type="dxa"/>
              <w:left w:w="20" w:type="dxa"/>
              <w:bottom w:w="40" w:type="dxa"/>
              <w:right w:w="0" w:type="dxa"/>
            </w:tcMar>
            <w:vAlign w:val="bottom"/>
          </w:tcPr>
          <w:p w14:paraId="74DDE90F" w14:textId="77777777" w:rsidR="00584EC1" w:rsidRDefault="00871F8D">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74DDE910"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91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912" w14:textId="77777777" w:rsidR="00584EC1" w:rsidRDefault="00584EC1">
            <w:pPr>
              <w:rPr>
                <w:rFonts w:ascii="宋体"/>
              </w:rPr>
            </w:pPr>
          </w:p>
        </w:tc>
        <w:tc>
          <w:tcPr>
            <w:tcW w:w="0" w:type="auto"/>
            <w:shd w:val="clear" w:color="auto" w:fill="FFFFFF"/>
            <w:tcMar>
              <w:top w:w="40" w:type="dxa"/>
              <w:left w:w="20" w:type="dxa"/>
              <w:bottom w:w="40" w:type="dxa"/>
              <w:right w:w="0" w:type="dxa"/>
            </w:tcMar>
            <w:vAlign w:val="bottom"/>
          </w:tcPr>
          <w:p w14:paraId="74DDE913" w14:textId="77777777" w:rsidR="00584EC1" w:rsidRDefault="00871F8D">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74DDE914"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91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916" w14:textId="77777777" w:rsidR="00584EC1" w:rsidRDefault="00584EC1">
            <w:pPr>
              <w:rPr>
                <w:rFonts w:ascii="宋体"/>
              </w:rPr>
            </w:pPr>
          </w:p>
        </w:tc>
        <w:tc>
          <w:tcPr>
            <w:tcW w:w="0" w:type="auto"/>
            <w:shd w:val="clear" w:color="auto" w:fill="FFFFFF"/>
            <w:tcMar>
              <w:top w:w="40" w:type="dxa"/>
              <w:left w:w="20" w:type="dxa"/>
              <w:bottom w:w="40" w:type="dxa"/>
              <w:right w:w="0" w:type="dxa"/>
            </w:tcMar>
            <w:vAlign w:val="bottom"/>
          </w:tcPr>
          <w:p w14:paraId="74DDE917" w14:textId="77777777" w:rsidR="00584EC1" w:rsidRDefault="00871F8D">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74DDE918"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91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91A" w14:textId="77777777" w:rsidR="00584EC1" w:rsidRDefault="00584EC1">
            <w:pPr>
              <w:rPr>
                <w:rFonts w:ascii="宋体"/>
              </w:rPr>
            </w:pPr>
          </w:p>
        </w:tc>
        <w:tc>
          <w:tcPr>
            <w:tcW w:w="0" w:type="auto"/>
            <w:shd w:val="clear" w:color="auto" w:fill="FFFFFF"/>
            <w:tcMar>
              <w:top w:w="40" w:type="dxa"/>
              <w:left w:w="20" w:type="dxa"/>
              <w:bottom w:w="40" w:type="dxa"/>
              <w:right w:w="0" w:type="dxa"/>
            </w:tcMar>
            <w:vAlign w:val="bottom"/>
          </w:tcPr>
          <w:p w14:paraId="74DDE91B" w14:textId="77777777" w:rsidR="00584EC1" w:rsidRDefault="00871F8D">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74DDE91C"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91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91E" w14:textId="77777777" w:rsidR="00584EC1" w:rsidRDefault="00584EC1">
            <w:pPr>
              <w:rPr>
                <w:rFonts w:ascii="宋体"/>
              </w:rPr>
            </w:pPr>
          </w:p>
        </w:tc>
        <w:tc>
          <w:tcPr>
            <w:tcW w:w="0" w:type="auto"/>
            <w:shd w:val="clear" w:color="auto" w:fill="auto"/>
            <w:vAlign w:val="bottom"/>
          </w:tcPr>
          <w:p w14:paraId="74DDE91F" w14:textId="77777777" w:rsidR="00584EC1" w:rsidRDefault="00584EC1">
            <w:pPr>
              <w:rPr>
                <w:rFonts w:ascii="宋体"/>
                <w:vanish/>
              </w:rPr>
            </w:pPr>
          </w:p>
        </w:tc>
        <w:tc>
          <w:tcPr>
            <w:tcW w:w="0" w:type="auto"/>
            <w:shd w:val="clear" w:color="auto" w:fill="auto"/>
            <w:vAlign w:val="bottom"/>
          </w:tcPr>
          <w:p w14:paraId="74DDE920" w14:textId="77777777" w:rsidR="00584EC1" w:rsidRDefault="00584EC1">
            <w:pPr>
              <w:rPr>
                <w:rFonts w:ascii="宋体"/>
                <w:vanish/>
              </w:rPr>
            </w:pPr>
          </w:p>
        </w:tc>
        <w:tc>
          <w:tcPr>
            <w:tcW w:w="0" w:type="auto"/>
            <w:shd w:val="clear" w:color="auto" w:fill="FFFFFF"/>
            <w:tcMar>
              <w:top w:w="40" w:type="dxa"/>
              <w:left w:w="20" w:type="dxa"/>
              <w:bottom w:w="40" w:type="dxa"/>
              <w:right w:w="0" w:type="dxa"/>
            </w:tcMar>
            <w:vAlign w:val="bottom"/>
          </w:tcPr>
          <w:p w14:paraId="74DDE921" w14:textId="77777777" w:rsidR="00584EC1" w:rsidRDefault="00871F8D">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74DDE922"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92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924" w14:textId="77777777" w:rsidR="00584EC1" w:rsidRDefault="00584EC1">
            <w:pPr>
              <w:rPr>
                <w:rFonts w:ascii="宋体"/>
              </w:rPr>
            </w:pPr>
          </w:p>
        </w:tc>
        <w:tc>
          <w:tcPr>
            <w:tcW w:w="0" w:type="auto"/>
            <w:shd w:val="clear" w:color="auto" w:fill="FFFFFF"/>
            <w:tcMar>
              <w:top w:w="40" w:type="dxa"/>
              <w:left w:w="20" w:type="dxa"/>
              <w:bottom w:w="40" w:type="dxa"/>
              <w:right w:w="0" w:type="dxa"/>
            </w:tcMar>
            <w:vAlign w:val="bottom"/>
          </w:tcPr>
          <w:p w14:paraId="74DDE925" w14:textId="77777777" w:rsidR="00584EC1" w:rsidRDefault="00871F8D">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74DDE926" w14:textId="77777777" w:rsidR="00584EC1" w:rsidRDefault="00871F8D">
            <w:pPr>
              <w:jc w:val="right"/>
              <w:textAlignment w:val="bottom"/>
            </w:pPr>
            <w:r>
              <w:rPr>
                <w:rFonts w:ascii="Arial" w:eastAsia="宋体" w:hAnsi="Arial" w:cs="Arial"/>
                <w:color w:val="000000"/>
                <w:sz w:val="14"/>
                <w:szCs w:val="14"/>
              </w:rPr>
              <w:t>4,343 </w:t>
            </w:r>
          </w:p>
        </w:tc>
        <w:tc>
          <w:tcPr>
            <w:tcW w:w="0" w:type="auto"/>
            <w:shd w:val="clear" w:color="auto" w:fill="FFFFFF"/>
            <w:tcMar>
              <w:top w:w="40" w:type="dxa"/>
              <w:left w:w="0" w:type="dxa"/>
              <w:bottom w:w="40" w:type="dxa"/>
              <w:right w:w="20" w:type="dxa"/>
            </w:tcMar>
            <w:vAlign w:val="bottom"/>
          </w:tcPr>
          <w:p w14:paraId="74DDE92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928" w14:textId="77777777" w:rsidR="00584EC1" w:rsidRDefault="00584EC1">
            <w:pPr>
              <w:rPr>
                <w:rFonts w:ascii="宋体"/>
              </w:rPr>
            </w:pPr>
          </w:p>
        </w:tc>
        <w:tc>
          <w:tcPr>
            <w:tcW w:w="0" w:type="auto"/>
            <w:shd w:val="clear" w:color="auto" w:fill="FFFFFF"/>
            <w:tcMar>
              <w:top w:w="40" w:type="dxa"/>
              <w:left w:w="20" w:type="dxa"/>
              <w:bottom w:w="40" w:type="dxa"/>
              <w:right w:w="0" w:type="dxa"/>
            </w:tcMar>
            <w:vAlign w:val="bottom"/>
          </w:tcPr>
          <w:p w14:paraId="74DDE929" w14:textId="77777777" w:rsidR="00584EC1" w:rsidRDefault="00871F8D">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74DDE92A" w14:textId="77777777" w:rsidR="00584EC1" w:rsidRDefault="00871F8D">
            <w:pPr>
              <w:jc w:val="right"/>
              <w:textAlignment w:val="bottom"/>
            </w:pPr>
            <w:r>
              <w:rPr>
                <w:rFonts w:ascii="Arial" w:eastAsia="宋体" w:hAnsi="Arial" w:cs="Arial"/>
                <w:color w:val="000000"/>
                <w:sz w:val="14"/>
                <w:szCs w:val="14"/>
              </w:rPr>
              <w:t>5,371 </w:t>
            </w:r>
          </w:p>
        </w:tc>
        <w:tc>
          <w:tcPr>
            <w:tcW w:w="0" w:type="auto"/>
            <w:shd w:val="clear" w:color="auto" w:fill="FFFFFF"/>
            <w:tcMar>
              <w:top w:w="40" w:type="dxa"/>
              <w:left w:w="0" w:type="dxa"/>
              <w:bottom w:w="40" w:type="dxa"/>
              <w:right w:w="20" w:type="dxa"/>
            </w:tcMar>
            <w:vAlign w:val="bottom"/>
          </w:tcPr>
          <w:p w14:paraId="74DDE92B" w14:textId="77777777" w:rsidR="00584EC1" w:rsidRDefault="00584EC1">
            <w:pPr>
              <w:jc w:val="right"/>
              <w:rPr>
                <w:rFonts w:ascii="宋体"/>
              </w:rPr>
            </w:pPr>
          </w:p>
        </w:tc>
      </w:tr>
      <w:tr w:rsidR="00584EC1" w14:paraId="74DDE947" w14:textId="77777777">
        <w:tc>
          <w:tcPr>
            <w:tcW w:w="0" w:type="auto"/>
            <w:gridSpan w:val="3"/>
            <w:shd w:val="clear" w:color="auto" w:fill="CCEEFF"/>
            <w:tcMar>
              <w:top w:w="40" w:type="dxa"/>
              <w:left w:w="380" w:type="dxa"/>
              <w:bottom w:w="40" w:type="dxa"/>
              <w:right w:w="20" w:type="dxa"/>
            </w:tcMar>
            <w:vAlign w:val="bottom"/>
          </w:tcPr>
          <w:p w14:paraId="74DDE92D" w14:textId="77777777" w:rsidR="00584EC1" w:rsidRDefault="00871F8D">
            <w:pPr>
              <w:textAlignment w:val="bottom"/>
            </w:pPr>
            <w:r>
              <w:rPr>
                <w:rFonts w:ascii="Arial" w:eastAsia="宋体" w:hAnsi="Arial" w:cs="Arial"/>
                <w:color w:val="000000"/>
                <w:sz w:val="14"/>
                <w:szCs w:val="14"/>
              </w:rPr>
              <w:t>Speculative</w:t>
            </w:r>
          </w:p>
        </w:tc>
        <w:tc>
          <w:tcPr>
            <w:tcW w:w="0" w:type="auto"/>
            <w:gridSpan w:val="2"/>
            <w:shd w:val="clear" w:color="auto" w:fill="CCEEFF"/>
            <w:tcMar>
              <w:top w:w="40" w:type="dxa"/>
              <w:left w:w="20" w:type="dxa"/>
              <w:bottom w:w="40" w:type="dxa"/>
              <w:right w:w="0" w:type="dxa"/>
            </w:tcMar>
            <w:vAlign w:val="bottom"/>
          </w:tcPr>
          <w:p w14:paraId="74DDE92E" w14:textId="77777777" w:rsidR="00584EC1" w:rsidRDefault="00871F8D">
            <w:pPr>
              <w:jc w:val="right"/>
              <w:textAlignment w:val="bottom"/>
            </w:pPr>
            <w:r>
              <w:rPr>
                <w:rFonts w:ascii="Arial" w:eastAsia="宋体" w:hAnsi="Arial" w:cs="Arial"/>
                <w:color w:val="000000"/>
                <w:sz w:val="14"/>
                <w:szCs w:val="14"/>
              </w:rPr>
              <w:t>283 </w:t>
            </w:r>
          </w:p>
        </w:tc>
        <w:tc>
          <w:tcPr>
            <w:tcW w:w="0" w:type="auto"/>
            <w:shd w:val="clear" w:color="auto" w:fill="CCEEFF"/>
            <w:tcMar>
              <w:top w:w="40" w:type="dxa"/>
              <w:left w:w="0" w:type="dxa"/>
              <w:bottom w:w="40" w:type="dxa"/>
              <w:right w:w="20" w:type="dxa"/>
            </w:tcMar>
            <w:vAlign w:val="bottom"/>
          </w:tcPr>
          <w:p w14:paraId="74DDE92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93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E931" w14:textId="77777777" w:rsidR="00584EC1" w:rsidRDefault="00871F8D">
            <w:pPr>
              <w:jc w:val="right"/>
              <w:textAlignment w:val="bottom"/>
            </w:pPr>
            <w:r>
              <w:rPr>
                <w:rFonts w:ascii="Arial" w:eastAsia="宋体" w:hAnsi="Arial" w:cs="Arial"/>
                <w:color w:val="000000"/>
                <w:sz w:val="14"/>
                <w:szCs w:val="14"/>
              </w:rPr>
              <w:t>401 </w:t>
            </w:r>
          </w:p>
        </w:tc>
        <w:tc>
          <w:tcPr>
            <w:tcW w:w="0" w:type="auto"/>
            <w:shd w:val="clear" w:color="auto" w:fill="CCEEFF"/>
            <w:tcMar>
              <w:top w:w="40" w:type="dxa"/>
              <w:left w:w="0" w:type="dxa"/>
              <w:bottom w:w="40" w:type="dxa"/>
              <w:right w:w="20" w:type="dxa"/>
            </w:tcMar>
            <w:vAlign w:val="bottom"/>
          </w:tcPr>
          <w:p w14:paraId="74DDE93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933"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E934" w14:textId="77777777" w:rsidR="00584EC1" w:rsidRDefault="00871F8D">
            <w:pPr>
              <w:jc w:val="right"/>
              <w:textAlignment w:val="bottom"/>
            </w:pPr>
            <w:r>
              <w:rPr>
                <w:rFonts w:ascii="Arial" w:eastAsia="宋体" w:hAnsi="Arial" w:cs="Arial"/>
                <w:color w:val="000000"/>
                <w:sz w:val="14"/>
                <w:szCs w:val="14"/>
              </w:rPr>
              <w:t>346 </w:t>
            </w:r>
          </w:p>
        </w:tc>
        <w:tc>
          <w:tcPr>
            <w:tcW w:w="0" w:type="auto"/>
            <w:shd w:val="clear" w:color="auto" w:fill="CCEEFF"/>
            <w:tcMar>
              <w:top w:w="40" w:type="dxa"/>
              <w:left w:w="0" w:type="dxa"/>
              <w:bottom w:w="40" w:type="dxa"/>
              <w:right w:w="20" w:type="dxa"/>
            </w:tcMar>
            <w:vAlign w:val="bottom"/>
          </w:tcPr>
          <w:p w14:paraId="74DDE93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93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E937" w14:textId="77777777" w:rsidR="00584EC1" w:rsidRDefault="00871F8D">
            <w:pPr>
              <w:jc w:val="right"/>
              <w:textAlignment w:val="bottom"/>
            </w:pPr>
            <w:r>
              <w:rPr>
                <w:rFonts w:ascii="Arial" w:eastAsia="宋体" w:hAnsi="Arial" w:cs="Arial"/>
                <w:color w:val="000000"/>
                <w:sz w:val="14"/>
                <w:szCs w:val="14"/>
              </w:rPr>
              <w:t>162 </w:t>
            </w:r>
          </w:p>
        </w:tc>
        <w:tc>
          <w:tcPr>
            <w:tcW w:w="0" w:type="auto"/>
            <w:shd w:val="clear" w:color="auto" w:fill="CCEEFF"/>
            <w:tcMar>
              <w:top w:w="40" w:type="dxa"/>
              <w:left w:w="0" w:type="dxa"/>
              <w:bottom w:w="40" w:type="dxa"/>
              <w:right w:w="20" w:type="dxa"/>
            </w:tcMar>
            <w:vAlign w:val="bottom"/>
          </w:tcPr>
          <w:p w14:paraId="74DDE93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93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E93A" w14:textId="77777777" w:rsidR="00584EC1" w:rsidRDefault="00871F8D">
            <w:pPr>
              <w:jc w:val="right"/>
              <w:textAlignment w:val="bottom"/>
            </w:pPr>
            <w:r>
              <w:rPr>
                <w:rFonts w:ascii="Arial" w:eastAsia="宋体" w:hAnsi="Arial" w:cs="Arial"/>
                <w:color w:val="000000"/>
                <w:sz w:val="14"/>
                <w:szCs w:val="14"/>
              </w:rPr>
              <w:t>26 </w:t>
            </w:r>
          </w:p>
        </w:tc>
        <w:tc>
          <w:tcPr>
            <w:tcW w:w="0" w:type="auto"/>
            <w:shd w:val="clear" w:color="auto" w:fill="CCEEFF"/>
            <w:tcMar>
              <w:top w:w="40" w:type="dxa"/>
              <w:left w:w="0" w:type="dxa"/>
              <w:bottom w:w="40" w:type="dxa"/>
              <w:right w:w="20" w:type="dxa"/>
            </w:tcMar>
            <w:vAlign w:val="bottom"/>
          </w:tcPr>
          <w:p w14:paraId="74DDE93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93C" w14:textId="77777777" w:rsidR="00584EC1" w:rsidRDefault="00584EC1">
            <w:pPr>
              <w:rPr>
                <w:rFonts w:ascii="宋体"/>
              </w:rPr>
            </w:pPr>
          </w:p>
        </w:tc>
        <w:tc>
          <w:tcPr>
            <w:tcW w:w="0" w:type="auto"/>
            <w:shd w:val="clear" w:color="auto" w:fill="auto"/>
            <w:vAlign w:val="bottom"/>
          </w:tcPr>
          <w:p w14:paraId="74DDE93D" w14:textId="77777777" w:rsidR="00584EC1" w:rsidRDefault="00584EC1">
            <w:pPr>
              <w:rPr>
                <w:rFonts w:ascii="宋体"/>
                <w:vanish/>
              </w:rPr>
            </w:pPr>
          </w:p>
        </w:tc>
        <w:tc>
          <w:tcPr>
            <w:tcW w:w="0" w:type="auto"/>
            <w:shd w:val="clear" w:color="auto" w:fill="auto"/>
            <w:vAlign w:val="bottom"/>
          </w:tcPr>
          <w:p w14:paraId="74DDE93E" w14:textId="77777777" w:rsidR="00584EC1" w:rsidRDefault="00584EC1">
            <w:pPr>
              <w:rPr>
                <w:rFonts w:ascii="宋体"/>
                <w:vanish/>
              </w:rPr>
            </w:pPr>
          </w:p>
        </w:tc>
        <w:tc>
          <w:tcPr>
            <w:tcW w:w="0" w:type="auto"/>
            <w:gridSpan w:val="2"/>
            <w:shd w:val="clear" w:color="auto" w:fill="CCEEFF"/>
            <w:tcMar>
              <w:top w:w="40" w:type="dxa"/>
              <w:left w:w="20" w:type="dxa"/>
              <w:bottom w:w="40" w:type="dxa"/>
              <w:right w:w="0" w:type="dxa"/>
            </w:tcMar>
            <w:vAlign w:val="bottom"/>
          </w:tcPr>
          <w:p w14:paraId="74DDE93F" w14:textId="77777777" w:rsidR="00584EC1" w:rsidRDefault="00871F8D">
            <w:pPr>
              <w:jc w:val="right"/>
              <w:textAlignment w:val="bottom"/>
            </w:pPr>
            <w:r>
              <w:rPr>
                <w:rFonts w:ascii="Arial" w:eastAsia="宋体" w:hAnsi="Arial" w:cs="Arial"/>
                <w:color w:val="000000"/>
                <w:sz w:val="14"/>
                <w:szCs w:val="14"/>
              </w:rPr>
              <w:t>66 </w:t>
            </w:r>
          </w:p>
        </w:tc>
        <w:tc>
          <w:tcPr>
            <w:tcW w:w="0" w:type="auto"/>
            <w:shd w:val="clear" w:color="auto" w:fill="CCEEFF"/>
            <w:tcMar>
              <w:top w:w="40" w:type="dxa"/>
              <w:left w:w="0" w:type="dxa"/>
              <w:bottom w:w="40" w:type="dxa"/>
              <w:right w:w="20" w:type="dxa"/>
            </w:tcMar>
            <w:vAlign w:val="bottom"/>
          </w:tcPr>
          <w:p w14:paraId="74DDE94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94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E942" w14:textId="77777777" w:rsidR="00584EC1" w:rsidRDefault="00871F8D">
            <w:pPr>
              <w:jc w:val="right"/>
              <w:textAlignment w:val="bottom"/>
            </w:pPr>
            <w:r>
              <w:rPr>
                <w:rFonts w:ascii="Arial" w:eastAsia="宋体" w:hAnsi="Arial" w:cs="Arial"/>
                <w:color w:val="000000"/>
                <w:sz w:val="14"/>
                <w:szCs w:val="14"/>
              </w:rPr>
              <w:t>121 </w:t>
            </w:r>
          </w:p>
        </w:tc>
        <w:tc>
          <w:tcPr>
            <w:tcW w:w="0" w:type="auto"/>
            <w:shd w:val="clear" w:color="auto" w:fill="CCEEFF"/>
            <w:tcMar>
              <w:top w:w="40" w:type="dxa"/>
              <w:left w:w="0" w:type="dxa"/>
              <w:bottom w:w="40" w:type="dxa"/>
              <w:right w:w="20" w:type="dxa"/>
            </w:tcMar>
            <w:vAlign w:val="bottom"/>
          </w:tcPr>
          <w:p w14:paraId="74DDE94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944"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E945" w14:textId="77777777" w:rsidR="00584EC1" w:rsidRDefault="00871F8D">
            <w:pPr>
              <w:jc w:val="right"/>
              <w:textAlignment w:val="bottom"/>
            </w:pPr>
            <w:r>
              <w:rPr>
                <w:rFonts w:ascii="Arial" w:eastAsia="宋体" w:hAnsi="Arial" w:cs="Arial"/>
                <w:color w:val="000000"/>
                <w:sz w:val="14"/>
                <w:szCs w:val="14"/>
              </w:rPr>
              <w:t>1,405 </w:t>
            </w:r>
          </w:p>
        </w:tc>
        <w:tc>
          <w:tcPr>
            <w:tcW w:w="0" w:type="auto"/>
            <w:shd w:val="clear" w:color="auto" w:fill="CCEEFF"/>
            <w:tcMar>
              <w:top w:w="40" w:type="dxa"/>
              <w:left w:w="0" w:type="dxa"/>
              <w:bottom w:w="40" w:type="dxa"/>
              <w:right w:w="20" w:type="dxa"/>
            </w:tcMar>
            <w:vAlign w:val="bottom"/>
          </w:tcPr>
          <w:p w14:paraId="74DDE946" w14:textId="77777777" w:rsidR="00584EC1" w:rsidRDefault="00584EC1">
            <w:pPr>
              <w:jc w:val="right"/>
              <w:rPr>
                <w:rFonts w:ascii="宋体"/>
              </w:rPr>
            </w:pPr>
          </w:p>
        </w:tc>
      </w:tr>
      <w:tr w:rsidR="00584EC1" w14:paraId="74DDE95A" w14:textId="77777777">
        <w:trPr>
          <w:hidden/>
        </w:trPr>
        <w:tc>
          <w:tcPr>
            <w:tcW w:w="0" w:type="auto"/>
            <w:gridSpan w:val="3"/>
            <w:shd w:val="clear" w:color="auto" w:fill="auto"/>
            <w:vAlign w:val="bottom"/>
          </w:tcPr>
          <w:p w14:paraId="74DDE948" w14:textId="77777777" w:rsidR="00584EC1" w:rsidRDefault="00584EC1">
            <w:pPr>
              <w:rPr>
                <w:rFonts w:ascii="宋体"/>
                <w:vanish/>
              </w:rPr>
            </w:pPr>
          </w:p>
        </w:tc>
        <w:tc>
          <w:tcPr>
            <w:tcW w:w="0" w:type="auto"/>
            <w:gridSpan w:val="3"/>
            <w:shd w:val="clear" w:color="auto" w:fill="auto"/>
            <w:vAlign w:val="bottom"/>
          </w:tcPr>
          <w:p w14:paraId="74DDE949" w14:textId="77777777" w:rsidR="00584EC1" w:rsidRDefault="00584EC1">
            <w:pPr>
              <w:rPr>
                <w:rFonts w:ascii="宋体"/>
                <w:vanish/>
              </w:rPr>
            </w:pPr>
          </w:p>
        </w:tc>
        <w:tc>
          <w:tcPr>
            <w:tcW w:w="0" w:type="auto"/>
            <w:gridSpan w:val="3"/>
            <w:shd w:val="clear" w:color="auto" w:fill="auto"/>
            <w:vAlign w:val="bottom"/>
          </w:tcPr>
          <w:p w14:paraId="74DDE94A" w14:textId="77777777" w:rsidR="00584EC1" w:rsidRDefault="00584EC1">
            <w:pPr>
              <w:rPr>
                <w:rFonts w:ascii="宋体"/>
                <w:vanish/>
              </w:rPr>
            </w:pPr>
          </w:p>
        </w:tc>
        <w:tc>
          <w:tcPr>
            <w:tcW w:w="0" w:type="auto"/>
            <w:gridSpan w:val="3"/>
            <w:shd w:val="clear" w:color="auto" w:fill="auto"/>
            <w:vAlign w:val="bottom"/>
          </w:tcPr>
          <w:p w14:paraId="74DDE94B" w14:textId="77777777" w:rsidR="00584EC1" w:rsidRDefault="00584EC1">
            <w:pPr>
              <w:rPr>
                <w:rFonts w:ascii="宋体"/>
                <w:vanish/>
              </w:rPr>
            </w:pPr>
          </w:p>
        </w:tc>
        <w:tc>
          <w:tcPr>
            <w:tcW w:w="0" w:type="auto"/>
            <w:gridSpan w:val="3"/>
            <w:shd w:val="clear" w:color="auto" w:fill="auto"/>
            <w:vAlign w:val="bottom"/>
          </w:tcPr>
          <w:p w14:paraId="74DDE94C" w14:textId="77777777" w:rsidR="00584EC1" w:rsidRDefault="00584EC1">
            <w:pPr>
              <w:rPr>
                <w:rFonts w:ascii="宋体"/>
                <w:vanish/>
              </w:rPr>
            </w:pPr>
          </w:p>
        </w:tc>
        <w:tc>
          <w:tcPr>
            <w:tcW w:w="0" w:type="auto"/>
            <w:gridSpan w:val="3"/>
            <w:shd w:val="clear" w:color="auto" w:fill="auto"/>
            <w:vAlign w:val="bottom"/>
          </w:tcPr>
          <w:p w14:paraId="74DDE94D" w14:textId="77777777" w:rsidR="00584EC1" w:rsidRDefault="00584EC1">
            <w:pPr>
              <w:rPr>
                <w:rFonts w:ascii="宋体"/>
                <w:vanish/>
              </w:rPr>
            </w:pPr>
          </w:p>
        </w:tc>
        <w:tc>
          <w:tcPr>
            <w:tcW w:w="0" w:type="auto"/>
            <w:gridSpan w:val="3"/>
            <w:shd w:val="clear" w:color="auto" w:fill="auto"/>
            <w:vAlign w:val="bottom"/>
          </w:tcPr>
          <w:p w14:paraId="74DDE94E" w14:textId="77777777" w:rsidR="00584EC1" w:rsidRDefault="00584EC1">
            <w:pPr>
              <w:rPr>
                <w:rFonts w:ascii="宋体"/>
                <w:vanish/>
              </w:rPr>
            </w:pPr>
          </w:p>
        </w:tc>
        <w:tc>
          <w:tcPr>
            <w:tcW w:w="0" w:type="auto"/>
            <w:gridSpan w:val="3"/>
            <w:shd w:val="clear" w:color="auto" w:fill="auto"/>
            <w:vAlign w:val="bottom"/>
          </w:tcPr>
          <w:p w14:paraId="74DDE94F" w14:textId="77777777" w:rsidR="00584EC1" w:rsidRDefault="00584EC1">
            <w:pPr>
              <w:rPr>
                <w:rFonts w:ascii="宋体"/>
                <w:vanish/>
              </w:rPr>
            </w:pPr>
          </w:p>
        </w:tc>
        <w:tc>
          <w:tcPr>
            <w:tcW w:w="0" w:type="auto"/>
            <w:gridSpan w:val="3"/>
            <w:shd w:val="clear" w:color="auto" w:fill="auto"/>
            <w:vAlign w:val="bottom"/>
          </w:tcPr>
          <w:p w14:paraId="74DDE950" w14:textId="77777777" w:rsidR="00584EC1" w:rsidRDefault="00584EC1">
            <w:pPr>
              <w:rPr>
                <w:rFonts w:ascii="宋体"/>
                <w:vanish/>
              </w:rPr>
            </w:pPr>
          </w:p>
        </w:tc>
        <w:tc>
          <w:tcPr>
            <w:tcW w:w="0" w:type="auto"/>
            <w:gridSpan w:val="3"/>
            <w:shd w:val="clear" w:color="auto" w:fill="auto"/>
            <w:vAlign w:val="bottom"/>
          </w:tcPr>
          <w:p w14:paraId="74DDE951" w14:textId="77777777" w:rsidR="00584EC1" w:rsidRDefault="00584EC1">
            <w:pPr>
              <w:rPr>
                <w:rFonts w:ascii="宋体"/>
                <w:vanish/>
              </w:rPr>
            </w:pPr>
          </w:p>
        </w:tc>
        <w:tc>
          <w:tcPr>
            <w:tcW w:w="0" w:type="auto"/>
            <w:gridSpan w:val="3"/>
            <w:shd w:val="clear" w:color="auto" w:fill="auto"/>
            <w:vAlign w:val="bottom"/>
          </w:tcPr>
          <w:p w14:paraId="74DDE952" w14:textId="77777777" w:rsidR="00584EC1" w:rsidRDefault="00584EC1">
            <w:pPr>
              <w:rPr>
                <w:rFonts w:ascii="宋体"/>
                <w:vanish/>
              </w:rPr>
            </w:pPr>
          </w:p>
        </w:tc>
        <w:tc>
          <w:tcPr>
            <w:tcW w:w="0" w:type="auto"/>
            <w:shd w:val="clear" w:color="auto" w:fill="auto"/>
            <w:vAlign w:val="bottom"/>
          </w:tcPr>
          <w:p w14:paraId="74DDE953" w14:textId="77777777" w:rsidR="00584EC1" w:rsidRDefault="00584EC1">
            <w:pPr>
              <w:rPr>
                <w:rFonts w:ascii="宋体"/>
                <w:vanish/>
              </w:rPr>
            </w:pPr>
          </w:p>
        </w:tc>
        <w:tc>
          <w:tcPr>
            <w:tcW w:w="0" w:type="auto"/>
            <w:shd w:val="clear" w:color="auto" w:fill="auto"/>
            <w:vAlign w:val="bottom"/>
          </w:tcPr>
          <w:p w14:paraId="74DDE954" w14:textId="77777777" w:rsidR="00584EC1" w:rsidRDefault="00584EC1">
            <w:pPr>
              <w:rPr>
                <w:rFonts w:ascii="宋体"/>
                <w:vanish/>
              </w:rPr>
            </w:pPr>
          </w:p>
        </w:tc>
        <w:tc>
          <w:tcPr>
            <w:tcW w:w="0" w:type="auto"/>
            <w:gridSpan w:val="3"/>
            <w:shd w:val="clear" w:color="auto" w:fill="auto"/>
            <w:vAlign w:val="bottom"/>
          </w:tcPr>
          <w:p w14:paraId="74DDE955" w14:textId="77777777" w:rsidR="00584EC1" w:rsidRDefault="00584EC1">
            <w:pPr>
              <w:rPr>
                <w:rFonts w:ascii="宋体"/>
                <w:vanish/>
              </w:rPr>
            </w:pPr>
          </w:p>
        </w:tc>
        <w:tc>
          <w:tcPr>
            <w:tcW w:w="0" w:type="auto"/>
            <w:gridSpan w:val="3"/>
            <w:shd w:val="clear" w:color="auto" w:fill="auto"/>
            <w:vAlign w:val="bottom"/>
          </w:tcPr>
          <w:p w14:paraId="74DDE956" w14:textId="77777777" w:rsidR="00584EC1" w:rsidRDefault="00584EC1">
            <w:pPr>
              <w:rPr>
                <w:rFonts w:ascii="宋体"/>
                <w:vanish/>
              </w:rPr>
            </w:pPr>
          </w:p>
        </w:tc>
        <w:tc>
          <w:tcPr>
            <w:tcW w:w="0" w:type="auto"/>
            <w:gridSpan w:val="3"/>
            <w:shd w:val="clear" w:color="auto" w:fill="auto"/>
            <w:vAlign w:val="bottom"/>
          </w:tcPr>
          <w:p w14:paraId="74DDE957" w14:textId="77777777" w:rsidR="00584EC1" w:rsidRDefault="00584EC1">
            <w:pPr>
              <w:rPr>
                <w:rFonts w:ascii="宋体"/>
                <w:vanish/>
              </w:rPr>
            </w:pPr>
          </w:p>
        </w:tc>
        <w:tc>
          <w:tcPr>
            <w:tcW w:w="0" w:type="auto"/>
            <w:gridSpan w:val="3"/>
            <w:shd w:val="clear" w:color="auto" w:fill="auto"/>
            <w:vAlign w:val="bottom"/>
          </w:tcPr>
          <w:p w14:paraId="74DDE958" w14:textId="77777777" w:rsidR="00584EC1" w:rsidRDefault="00584EC1">
            <w:pPr>
              <w:rPr>
                <w:rFonts w:ascii="宋体"/>
                <w:vanish/>
              </w:rPr>
            </w:pPr>
          </w:p>
        </w:tc>
        <w:tc>
          <w:tcPr>
            <w:tcW w:w="0" w:type="auto"/>
            <w:gridSpan w:val="3"/>
            <w:shd w:val="clear" w:color="auto" w:fill="auto"/>
            <w:vAlign w:val="bottom"/>
          </w:tcPr>
          <w:p w14:paraId="74DDE959" w14:textId="77777777" w:rsidR="00584EC1" w:rsidRDefault="00584EC1">
            <w:pPr>
              <w:rPr>
                <w:rFonts w:ascii="宋体"/>
                <w:vanish/>
              </w:rPr>
            </w:pPr>
          </w:p>
        </w:tc>
      </w:tr>
      <w:tr w:rsidR="00584EC1" w14:paraId="74DDE96D" w14:textId="77777777">
        <w:trPr>
          <w:hidden/>
        </w:trPr>
        <w:tc>
          <w:tcPr>
            <w:tcW w:w="0" w:type="auto"/>
            <w:gridSpan w:val="3"/>
            <w:shd w:val="clear" w:color="auto" w:fill="auto"/>
            <w:vAlign w:val="bottom"/>
          </w:tcPr>
          <w:p w14:paraId="74DDE95B" w14:textId="77777777" w:rsidR="00584EC1" w:rsidRDefault="00584EC1">
            <w:pPr>
              <w:rPr>
                <w:rFonts w:ascii="宋体"/>
                <w:vanish/>
              </w:rPr>
            </w:pPr>
          </w:p>
        </w:tc>
        <w:tc>
          <w:tcPr>
            <w:tcW w:w="0" w:type="auto"/>
            <w:gridSpan w:val="3"/>
            <w:shd w:val="clear" w:color="auto" w:fill="auto"/>
            <w:vAlign w:val="bottom"/>
          </w:tcPr>
          <w:p w14:paraId="74DDE95C" w14:textId="77777777" w:rsidR="00584EC1" w:rsidRDefault="00584EC1">
            <w:pPr>
              <w:rPr>
                <w:rFonts w:ascii="宋体"/>
                <w:vanish/>
              </w:rPr>
            </w:pPr>
          </w:p>
        </w:tc>
        <w:tc>
          <w:tcPr>
            <w:tcW w:w="0" w:type="auto"/>
            <w:gridSpan w:val="3"/>
            <w:shd w:val="clear" w:color="auto" w:fill="auto"/>
            <w:vAlign w:val="bottom"/>
          </w:tcPr>
          <w:p w14:paraId="74DDE95D" w14:textId="77777777" w:rsidR="00584EC1" w:rsidRDefault="00584EC1">
            <w:pPr>
              <w:rPr>
                <w:rFonts w:ascii="宋体"/>
                <w:vanish/>
              </w:rPr>
            </w:pPr>
          </w:p>
        </w:tc>
        <w:tc>
          <w:tcPr>
            <w:tcW w:w="0" w:type="auto"/>
            <w:gridSpan w:val="3"/>
            <w:shd w:val="clear" w:color="auto" w:fill="auto"/>
            <w:vAlign w:val="bottom"/>
          </w:tcPr>
          <w:p w14:paraId="74DDE95E" w14:textId="77777777" w:rsidR="00584EC1" w:rsidRDefault="00584EC1">
            <w:pPr>
              <w:rPr>
                <w:rFonts w:ascii="宋体"/>
                <w:vanish/>
              </w:rPr>
            </w:pPr>
          </w:p>
        </w:tc>
        <w:tc>
          <w:tcPr>
            <w:tcW w:w="0" w:type="auto"/>
            <w:gridSpan w:val="3"/>
            <w:shd w:val="clear" w:color="auto" w:fill="auto"/>
            <w:vAlign w:val="bottom"/>
          </w:tcPr>
          <w:p w14:paraId="74DDE95F" w14:textId="77777777" w:rsidR="00584EC1" w:rsidRDefault="00584EC1">
            <w:pPr>
              <w:rPr>
                <w:rFonts w:ascii="宋体"/>
                <w:vanish/>
              </w:rPr>
            </w:pPr>
          </w:p>
        </w:tc>
        <w:tc>
          <w:tcPr>
            <w:tcW w:w="0" w:type="auto"/>
            <w:gridSpan w:val="3"/>
            <w:shd w:val="clear" w:color="auto" w:fill="auto"/>
            <w:vAlign w:val="bottom"/>
          </w:tcPr>
          <w:p w14:paraId="74DDE960" w14:textId="77777777" w:rsidR="00584EC1" w:rsidRDefault="00584EC1">
            <w:pPr>
              <w:rPr>
                <w:rFonts w:ascii="宋体"/>
                <w:vanish/>
              </w:rPr>
            </w:pPr>
          </w:p>
        </w:tc>
        <w:tc>
          <w:tcPr>
            <w:tcW w:w="0" w:type="auto"/>
            <w:gridSpan w:val="3"/>
            <w:shd w:val="clear" w:color="auto" w:fill="auto"/>
            <w:vAlign w:val="bottom"/>
          </w:tcPr>
          <w:p w14:paraId="74DDE961" w14:textId="77777777" w:rsidR="00584EC1" w:rsidRDefault="00584EC1">
            <w:pPr>
              <w:rPr>
                <w:rFonts w:ascii="宋体"/>
                <w:vanish/>
              </w:rPr>
            </w:pPr>
          </w:p>
        </w:tc>
        <w:tc>
          <w:tcPr>
            <w:tcW w:w="0" w:type="auto"/>
            <w:gridSpan w:val="3"/>
            <w:shd w:val="clear" w:color="auto" w:fill="auto"/>
            <w:vAlign w:val="bottom"/>
          </w:tcPr>
          <w:p w14:paraId="74DDE962" w14:textId="77777777" w:rsidR="00584EC1" w:rsidRDefault="00584EC1">
            <w:pPr>
              <w:rPr>
                <w:rFonts w:ascii="宋体"/>
                <w:vanish/>
              </w:rPr>
            </w:pPr>
          </w:p>
        </w:tc>
        <w:tc>
          <w:tcPr>
            <w:tcW w:w="0" w:type="auto"/>
            <w:gridSpan w:val="3"/>
            <w:shd w:val="clear" w:color="auto" w:fill="auto"/>
            <w:vAlign w:val="bottom"/>
          </w:tcPr>
          <w:p w14:paraId="74DDE963" w14:textId="77777777" w:rsidR="00584EC1" w:rsidRDefault="00584EC1">
            <w:pPr>
              <w:rPr>
                <w:rFonts w:ascii="宋体"/>
                <w:vanish/>
              </w:rPr>
            </w:pPr>
          </w:p>
        </w:tc>
        <w:tc>
          <w:tcPr>
            <w:tcW w:w="0" w:type="auto"/>
            <w:gridSpan w:val="3"/>
            <w:shd w:val="clear" w:color="auto" w:fill="auto"/>
            <w:vAlign w:val="bottom"/>
          </w:tcPr>
          <w:p w14:paraId="74DDE964" w14:textId="77777777" w:rsidR="00584EC1" w:rsidRDefault="00584EC1">
            <w:pPr>
              <w:rPr>
                <w:rFonts w:ascii="宋体"/>
                <w:vanish/>
              </w:rPr>
            </w:pPr>
          </w:p>
        </w:tc>
        <w:tc>
          <w:tcPr>
            <w:tcW w:w="0" w:type="auto"/>
            <w:gridSpan w:val="3"/>
            <w:shd w:val="clear" w:color="auto" w:fill="auto"/>
            <w:vAlign w:val="bottom"/>
          </w:tcPr>
          <w:p w14:paraId="74DDE965" w14:textId="77777777" w:rsidR="00584EC1" w:rsidRDefault="00584EC1">
            <w:pPr>
              <w:rPr>
                <w:rFonts w:ascii="宋体"/>
                <w:vanish/>
              </w:rPr>
            </w:pPr>
          </w:p>
        </w:tc>
        <w:tc>
          <w:tcPr>
            <w:tcW w:w="0" w:type="auto"/>
            <w:shd w:val="clear" w:color="auto" w:fill="auto"/>
            <w:vAlign w:val="bottom"/>
          </w:tcPr>
          <w:p w14:paraId="74DDE966" w14:textId="77777777" w:rsidR="00584EC1" w:rsidRDefault="00584EC1">
            <w:pPr>
              <w:rPr>
                <w:rFonts w:ascii="宋体"/>
                <w:vanish/>
              </w:rPr>
            </w:pPr>
          </w:p>
        </w:tc>
        <w:tc>
          <w:tcPr>
            <w:tcW w:w="0" w:type="auto"/>
            <w:shd w:val="clear" w:color="auto" w:fill="auto"/>
            <w:vAlign w:val="bottom"/>
          </w:tcPr>
          <w:p w14:paraId="74DDE967" w14:textId="77777777" w:rsidR="00584EC1" w:rsidRDefault="00584EC1">
            <w:pPr>
              <w:rPr>
                <w:rFonts w:ascii="宋体"/>
                <w:vanish/>
              </w:rPr>
            </w:pPr>
          </w:p>
        </w:tc>
        <w:tc>
          <w:tcPr>
            <w:tcW w:w="0" w:type="auto"/>
            <w:gridSpan w:val="3"/>
            <w:shd w:val="clear" w:color="auto" w:fill="auto"/>
            <w:vAlign w:val="bottom"/>
          </w:tcPr>
          <w:p w14:paraId="74DDE968" w14:textId="77777777" w:rsidR="00584EC1" w:rsidRDefault="00584EC1">
            <w:pPr>
              <w:rPr>
                <w:rFonts w:ascii="宋体"/>
                <w:vanish/>
              </w:rPr>
            </w:pPr>
          </w:p>
        </w:tc>
        <w:tc>
          <w:tcPr>
            <w:tcW w:w="0" w:type="auto"/>
            <w:gridSpan w:val="3"/>
            <w:shd w:val="clear" w:color="auto" w:fill="auto"/>
            <w:vAlign w:val="bottom"/>
          </w:tcPr>
          <w:p w14:paraId="74DDE969" w14:textId="77777777" w:rsidR="00584EC1" w:rsidRDefault="00584EC1">
            <w:pPr>
              <w:rPr>
                <w:rFonts w:ascii="宋体"/>
                <w:vanish/>
              </w:rPr>
            </w:pPr>
          </w:p>
        </w:tc>
        <w:tc>
          <w:tcPr>
            <w:tcW w:w="0" w:type="auto"/>
            <w:gridSpan w:val="3"/>
            <w:shd w:val="clear" w:color="auto" w:fill="auto"/>
            <w:vAlign w:val="bottom"/>
          </w:tcPr>
          <w:p w14:paraId="74DDE96A" w14:textId="77777777" w:rsidR="00584EC1" w:rsidRDefault="00584EC1">
            <w:pPr>
              <w:rPr>
                <w:rFonts w:ascii="宋体"/>
                <w:vanish/>
              </w:rPr>
            </w:pPr>
          </w:p>
        </w:tc>
        <w:tc>
          <w:tcPr>
            <w:tcW w:w="0" w:type="auto"/>
            <w:gridSpan w:val="3"/>
            <w:shd w:val="clear" w:color="auto" w:fill="auto"/>
            <w:vAlign w:val="bottom"/>
          </w:tcPr>
          <w:p w14:paraId="74DDE96B" w14:textId="77777777" w:rsidR="00584EC1" w:rsidRDefault="00584EC1">
            <w:pPr>
              <w:rPr>
                <w:rFonts w:ascii="宋体"/>
                <w:vanish/>
              </w:rPr>
            </w:pPr>
          </w:p>
        </w:tc>
        <w:tc>
          <w:tcPr>
            <w:tcW w:w="0" w:type="auto"/>
            <w:gridSpan w:val="3"/>
            <w:shd w:val="clear" w:color="auto" w:fill="auto"/>
            <w:vAlign w:val="bottom"/>
          </w:tcPr>
          <w:p w14:paraId="74DDE96C" w14:textId="77777777" w:rsidR="00584EC1" w:rsidRDefault="00584EC1">
            <w:pPr>
              <w:rPr>
                <w:rFonts w:ascii="宋体"/>
                <w:vanish/>
              </w:rPr>
            </w:pPr>
          </w:p>
        </w:tc>
      </w:tr>
      <w:tr w:rsidR="00584EC1" w14:paraId="74DDE988" w14:textId="77777777">
        <w:tc>
          <w:tcPr>
            <w:tcW w:w="0" w:type="auto"/>
            <w:gridSpan w:val="3"/>
            <w:shd w:val="clear" w:color="auto" w:fill="FFFFFF"/>
            <w:tcMar>
              <w:top w:w="40" w:type="dxa"/>
              <w:left w:w="380" w:type="dxa"/>
              <w:bottom w:w="40" w:type="dxa"/>
              <w:right w:w="20" w:type="dxa"/>
            </w:tcMar>
            <w:vAlign w:val="bottom"/>
          </w:tcPr>
          <w:p w14:paraId="74DDE96E" w14:textId="77777777" w:rsidR="00584EC1" w:rsidRDefault="00871F8D">
            <w:pPr>
              <w:textAlignment w:val="bottom"/>
            </w:pPr>
            <w:r>
              <w:rPr>
                <w:rFonts w:ascii="Arial" w:eastAsia="宋体" w:hAnsi="Arial" w:cs="Arial"/>
                <w:color w:val="000000"/>
                <w:sz w:val="14"/>
                <w:szCs w:val="14"/>
              </w:rPr>
              <w:t>Doubtful</w:t>
            </w:r>
          </w:p>
        </w:tc>
        <w:tc>
          <w:tcPr>
            <w:tcW w:w="0" w:type="auto"/>
            <w:gridSpan w:val="2"/>
            <w:shd w:val="clear" w:color="auto" w:fill="FFFFFF"/>
            <w:tcMar>
              <w:top w:w="40" w:type="dxa"/>
              <w:left w:w="20" w:type="dxa"/>
              <w:bottom w:w="40" w:type="dxa"/>
              <w:right w:w="0" w:type="dxa"/>
            </w:tcMar>
            <w:vAlign w:val="bottom"/>
          </w:tcPr>
          <w:p w14:paraId="74DDE96F"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97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97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972"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97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97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975"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97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97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978" w14:textId="77777777" w:rsidR="00584EC1" w:rsidRDefault="00871F8D">
            <w:pPr>
              <w:jc w:val="right"/>
              <w:textAlignment w:val="bottom"/>
            </w:pPr>
            <w:r>
              <w:rPr>
                <w:rFonts w:ascii="Arial" w:eastAsia="宋体" w:hAnsi="Arial" w:cs="Arial"/>
                <w:color w:val="000000"/>
                <w:sz w:val="14"/>
                <w:szCs w:val="14"/>
              </w:rPr>
              <w:t>17 </w:t>
            </w:r>
          </w:p>
        </w:tc>
        <w:tc>
          <w:tcPr>
            <w:tcW w:w="0" w:type="auto"/>
            <w:shd w:val="clear" w:color="auto" w:fill="FFFFFF"/>
            <w:tcMar>
              <w:top w:w="40" w:type="dxa"/>
              <w:left w:w="0" w:type="dxa"/>
              <w:bottom w:w="40" w:type="dxa"/>
              <w:right w:w="20" w:type="dxa"/>
            </w:tcMar>
            <w:vAlign w:val="bottom"/>
          </w:tcPr>
          <w:p w14:paraId="74DDE97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97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97B"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97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97D" w14:textId="77777777" w:rsidR="00584EC1" w:rsidRDefault="00584EC1">
            <w:pPr>
              <w:rPr>
                <w:rFonts w:ascii="宋体"/>
              </w:rPr>
            </w:pPr>
          </w:p>
        </w:tc>
        <w:tc>
          <w:tcPr>
            <w:tcW w:w="0" w:type="auto"/>
            <w:shd w:val="clear" w:color="auto" w:fill="auto"/>
            <w:vAlign w:val="bottom"/>
          </w:tcPr>
          <w:p w14:paraId="74DDE97E" w14:textId="77777777" w:rsidR="00584EC1" w:rsidRDefault="00584EC1">
            <w:pPr>
              <w:rPr>
                <w:rFonts w:ascii="宋体"/>
                <w:vanish/>
              </w:rPr>
            </w:pPr>
          </w:p>
        </w:tc>
        <w:tc>
          <w:tcPr>
            <w:tcW w:w="0" w:type="auto"/>
            <w:shd w:val="clear" w:color="auto" w:fill="auto"/>
            <w:vAlign w:val="bottom"/>
          </w:tcPr>
          <w:p w14:paraId="74DDE97F"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DE980"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98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98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983"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98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985"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986" w14:textId="77777777" w:rsidR="00584EC1" w:rsidRDefault="00871F8D">
            <w:pPr>
              <w:jc w:val="right"/>
              <w:textAlignment w:val="bottom"/>
            </w:pPr>
            <w:r>
              <w:rPr>
                <w:rFonts w:ascii="Arial" w:eastAsia="宋体" w:hAnsi="Arial" w:cs="Arial"/>
                <w:color w:val="000000"/>
                <w:sz w:val="14"/>
                <w:szCs w:val="14"/>
              </w:rPr>
              <w:t>17 </w:t>
            </w:r>
          </w:p>
        </w:tc>
        <w:tc>
          <w:tcPr>
            <w:tcW w:w="0" w:type="auto"/>
            <w:shd w:val="clear" w:color="auto" w:fill="FFFFFF"/>
            <w:tcMar>
              <w:top w:w="40" w:type="dxa"/>
              <w:left w:w="0" w:type="dxa"/>
              <w:bottom w:w="40" w:type="dxa"/>
              <w:right w:w="20" w:type="dxa"/>
            </w:tcMar>
            <w:vAlign w:val="bottom"/>
          </w:tcPr>
          <w:p w14:paraId="74DDE987" w14:textId="77777777" w:rsidR="00584EC1" w:rsidRDefault="00584EC1">
            <w:pPr>
              <w:jc w:val="right"/>
              <w:rPr>
                <w:rFonts w:ascii="宋体"/>
              </w:rPr>
            </w:pPr>
          </w:p>
        </w:tc>
      </w:tr>
      <w:tr w:rsidR="00584EC1" w14:paraId="74DDE99B" w14:textId="77777777">
        <w:trPr>
          <w:hidden/>
        </w:trPr>
        <w:tc>
          <w:tcPr>
            <w:tcW w:w="0" w:type="auto"/>
            <w:gridSpan w:val="3"/>
            <w:shd w:val="clear" w:color="auto" w:fill="auto"/>
            <w:vAlign w:val="bottom"/>
          </w:tcPr>
          <w:p w14:paraId="74DDE989" w14:textId="77777777" w:rsidR="00584EC1" w:rsidRDefault="00584EC1">
            <w:pPr>
              <w:rPr>
                <w:rFonts w:ascii="宋体"/>
                <w:vanish/>
              </w:rPr>
            </w:pPr>
          </w:p>
        </w:tc>
        <w:tc>
          <w:tcPr>
            <w:tcW w:w="0" w:type="auto"/>
            <w:gridSpan w:val="3"/>
            <w:shd w:val="clear" w:color="auto" w:fill="auto"/>
            <w:vAlign w:val="bottom"/>
          </w:tcPr>
          <w:p w14:paraId="74DDE98A" w14:textId="77777777" w:rsidR="00584EC1" w:rsidRDefault="00584EC1">
            <w:pPr>
              <w:rPr>
                <w:rFonts w:ascii="宋体"/>
                <w:vanish/>
              </w:rPr>
            </w:pPr>
          </w:p>
        </w:tc>
        <w:tc>
          <w:tcPr>
            <w:tcW w:w="0" w:type="auto"/>
            <w:gridSpan w:val="3"/>
            <w:shd w:val="clear" w:color="auto" w:fill="auto"/>
            <w:vAlign w:val="bottom"/>
          </w:tcPr>
          <w:p w14:paraId="74DDE98B" w14:textId="77777777" w:rsidR="00584EC1" w:rsidRDefault="00584EC1">
            <w:pPr>
              <w:rPr>
                <w:rFonts w:ascii="宋体"/>
                <w:vanish/>
              </w:rPr>
            </w:pPr>
          </w:p>
        </w:tc>
        <w:tc>
          <w:tcPr>
            <w:tcW w:w="0" w:type="auto"/>
            <w:gridSpan w:val="3"/>
            <w:shd w:val="clear" w:color="auto" w:fill="auto"/>
            <w:vAlign w:val="bottom"/>
          </w:tcPr>
          <w:p w14:paraId="74DDE98C" w14:textId="77777777" w:rsidR="00584EC1" w:rsidRDefault="00584EC1">
            <w:pPr>
              <w:rPr>
                <w:rFonts w:ascii="宋体"/>
                <w:vanish/>
              </w:rPr>
            </w:pPr>
          </w:p>
        </w:tc>
        <w:tc>
          <w:tcPr>
            <w:tcW w:w="0" w:type="auto"/>
            <w:gridSpan w:val="3"/>
            <w:shd w:val="clear" w:color="auto" w:fill="auto"/>
            <w:vAlign w:val="bottom"/>
          </w:tcPr>
          <w:p w14:paraId="74DDE98D" w14:textId="77777777" w:rsidR="00584EC1" w:rsidRDefault="00584EC1">
            <w:pPr>
              <w:rPr>
                <w:rFonts w:ascii="宋体"/>
                <w:vanish/>
              </w:rPr>
            </w:pPr>
          </w:p>
        </w:tc>
        <w:tc>
          <w:tcPr>
            <w:tcW w:w="0" w:type="auto"/>
            <w:gridSpan w:val="3"/>
            <w:shd w:val="clear" w:color="auto" w:fill="auto"/>
            <w:vAlign w:val="bottom"/>
          </w:tcPr>
          <w:p w14:paraId="74DDE98E" w14:textId="77777777" w:rsidR="00584EC1" w:rsidRDefault="00584EC1">
            <w:pPr>
              <w:rPr>
                <w:rFonts w:ascii="宋体"/>
                <w:vanish/>
              </w:rPr>
            </w:pPr>
          </w:p>
        </w:tc>
        <w:tc>
          <w:tcPr>
            <w:tcW w:w="0" w:type="auto"/>
            <w:gridSpan w:val="3"/>
            <w:shd w:val="clear" w:color="auto" w:fill="auto"/>
            <w:vAlign w:val="bottom"/>
          </w:tcPr>
          <w:p w14:paraId="74DDE98F" w14:textId="77777777" w:rsidR="00584EC1" w:rsidRDefault="00584EC1">
            <w:pPr>
              <w:rPr>
                <w:rFonts w:ascii="宋体"/>
                <w:vanish/>
              </w:rPr>
            </w:pPr>
          </w:p>
        </w:tc>
        <w:tc>
          <w:tcPr>
            <w:tcW w:w="0" w:type="auto"/>
            <w:gridSpan w:val="3"/>
            <w:shd w:val="clear" w:color="auto" w:fill="auto"/>
            <w:vAlign w:val="bottom"/>
          </w:tcPr>
          <w:p w14:paraId="74DDE990" w14:textId="77777777" w:rsidR="00584EC1" w:rsidRDefault="00584EC1">
            <w:pPr>
              <w:rPr>
                <w:rFonts w:ascii="宋体"/>
                <w:vanish/>
              </w:rPr>
            </w:pPr>
          </w:p>
        </w:tc>
        <w:tc>
          <w:tcPr>
            <w:tcW w:w="0" w:type="auto"/>
            <w:gridSpan w:val="3"/>
            <w:shd w:val="clear" w:color="auto" w:fill="auto"/>
            <w:vAlign w:val="bottom"/>
          </w:tcPr>
          <w:p w14:paraId="74DDE991" w14:textId="77777777" w:rsidR="00584EC1" w:rsidRDefault="00584EC1">
            <w:pPr>
              <w:rPr>
                <w:rFonts w:ascii="宋体"/>
                <w:vanish/>
              </w:rPr>
            </w:pPr>
          </w:p>
        </w:tc>
        <w:tc>
          <w:tcPr>
            <w:tcW w:w="0" w:type="auto"/>
            <w:gridSpan w:val="3"/>
            <w:shd w:val="clear" w:color="auto" w:fill="auto"/>
            <w:vAlign w:val="bottom"/>
          </w:tcPr>
          <w:p w14:paraId="74DDE992" w14:textId="77777777" w:rsidR="00584EC1" w:rsidRDefault="00584EC1">
            <w:pPr>
              <w:rPr>
                <w:rFonts w:ascii="宋体"/>
                <w:vanish/>
              </w:rPr>
            </w:pPr>
          </w:p>
        </w:tc>
        <w:tc>
          <w:tcPr>
            <w:tcW w:w="0" w:type="auto"/>
            <w:gridSpan w:val="3"/>
            <w:shd w:val="clear" w:color="auto" w:fill="auto"/>
            <w:vAlign w:val="bottom"/>
          </w:tcPr>
          <w:p w14:paraId="74DDE993" w14:textId="77777777" w:rsidR="00584EC1" w:rsidRDefault="00584EC1">
            <w:pPr>
              <w:rPr>
                <w:rFonts w:ascii="宋体"/>
                <w:vanish/>
              </w:rPr>
            </w:pPr>
          </w:p>
        </w:tc>
        <w:tc>
          <w:tcPr>
            <w:tcW w:w="0" w:type="auto"/>
            <w:shd w:val="clear" w:color="auto" w:fill="auto"/>
            <w:vAlign w:val="bottom"/>
          </w:tcPr>
          <w:p w14:paraId="74DDE994" w14:textId="77777777" w:rsidR="00584EC1" w:rsidRDefault="00584EC1">
            <w:pPr>
              <w:rPr>
                <w:rFonts w:ascii="宋体"/>
                <w:vanish/>
              </w:rPr>
            </w:pPr>
          </w:p>
        </w:tc>
        <w:tc>
          <w:tcPr>
            <w:tcW w:w="0" w:type="auto"/>
            <w:shd w:val="clear" w:color="auto" w:fill="auto"/>
            <w:vAlign w:val="bottom"/>
          </w:tcPr>
          <w:p w14:paraId="74DDE995" w14:textId="77777777" w:rsidR="00584EC1" w:rsidRDefault="00584EC1">
            <w:pPr>
              <w:rPr>
                <w:rFonts w:ascii="宋体"/>
                <w:vanish/>
              </w:rPr>
            </w:pPr>
          </w:p>
        </w:tc>
        <w:tc>
          <w:tcPr>
            <w:tcW w:w="0" w:type="auto"/>
            <w:gridSpan w:val="3"/>
            <w:shd w:val="clear" w:color="auto" w:fill="auto"/>
            <w:vAlign w:val="bottom"/>
          </w:tcPr>
          <w:p w14:paraId="74DDE996" w14:textId="77777777" w:rsidR="00584EC1" w:rsidRDefault="00584EC1">
            <w:pPr>
              <w:rPr>
                <w:rFonts w:ascii="宋体"/>
                <w:vanish/>
              </w:rPr>
            </w:pPr>
          </w:p>
        </w:tc>
        <w:tc>
          <w:tcPr>
            <w:tcW w:w="0" w:type="auto"/>
            <w:gridSpan w:val="3"/>
            <w:shd w:val="clear" w:color="auto" w:fill="auto"/>
            <w:vAlign w:val="bottom"/>
          </w:tcPr>
          <w:p w14:paraId="74DDE997" w14:textId="77777777" w:rsidR="00584EC1" w:rsidRDefault="00584EC1">
            <w:pPr>
              <w:rPr>
                <w:rFonts w:ascii="宋体"/>
                <w:vanish/>
              </w:rPr>
            </w:pPr>
          </w:p>
        </w:tc>
        <w:tc>
          <w:tcPr>
            <w:tcW w:w="0" w:type="auto"/>
            <w:gridSpan w:val="3"/>
            <w:shd w:val="clear" w:color="auto" w:fill="auto"/>
            <w:vAlign w:val="bottom"/>
          </w:tcPr>
          <w:p w14:paraId="74DDE998" w14:textId="77777777" w:rsidR="00584EC1" w:rsidRDefault="00584EC1">
            <w:pPr>
              <w:rPr>
                <w:rFonts w:ascii="宋体"/>
                <w:vanish/>
              </w:rPr>
            </w:pPr>
          </w:p>
        </w:tc>
        <w:tc>
          <w:tcPr>
            <w:tcW w:w="0" w:type="auto"/>
            <w:gridSpan w:val="3"/>
            <w:shd w:val="clear" w:color="auto" w:fill="auto"/>
            <w:vAlign w:val="bottom"/>
          </w:tcPr>
          <w:p w14:paraId="74DDE999" w14:textId="77777777" w:rsidR="00584EC1" w:rsidRDefault="00584EC1">
            <w:pPr>
              <w:rPr>
                <w:rFonts w:ascii="宋体"/>
                <w:vanish/>
              </w:rPr>
            </w:pPr>
          </w:p>
        </w:tc>
        <w:tc>
          <w:tcPr>
            <w:tcW w:w="0" w:type="auto"/>
            <w:gridSpan w:val="3"/>
            <w:shd w:val="clear" w:color="auto" w:fill="auto"/>
            <w:vAlign w:val="bottom"/>
          </w:tcPr>
          <w:p w14:paraId="74DDE99A" w14:textId="77777777" w:rsidR="00584EC1" w:rsidRDefault="00584EC1">
            <w:pPr>
              <w:rPr>
                <w:rFonts w:ascii="宋体"/>
                <w:vanish/>
              </w:rPr>
            </w:pPr>
          </w:p>
        </w:tc>
      </w:tr>
      <w:tr w:rsidR="00584EC1" w14:paraId="74DDE9BE" w14:textId="77777777">
        <w:tc>
          <w:tcPr>
            <w:tcW w:w="0" w:type="auto"/>
            <w:gridSpan w:val="3"/>
            <w:shd w:val="clear" w:color="auto" w:fill="CCEEFF"/>
            <w:tcMar>
              <w:top w:w="40" w:type="dxa"/>
              <w:left w:w="155" w:type="dxa"/>
              <w:bottom w:w="40" w:type="dxa"/>
              <w:right w:w="20" w:type="dxa"/>
            </w:tcMar>
            <w:vAlign w:val="bottom"/>
          </w:tcPr>
          <w:p w14:paraId="74DDE99C" w14:textId="77777777" w:rsidR="00584EC1" w:rsidRDefault="00871F8D">
            <w:pPr>
              <w:textAlignment w:val="bottom"/>
            </w:pPr>
            <w:r>
              <w:rPr>
                <w:rFonts w:ascii="Arial" w:eastAsia="宋体" w:hAnsi="Arial" w:cs="Arial"/>
                <w:color w:val="000000"/>
                <w:sz w:val="14"/>
                <w:szCs w:val="14"/>
              </w:rPr>
              <w:t>Total commercial and financing</w:t>
            </w:r>
          </w:p>
        </w:tc>
        <w:tc>
          <w:tcPr>
            <w:tcW w:w="0" w:type="auto"/>
            <w:tcBorders>
              <w:top w:val="single" w:sz="8" w:space="0" w:color="000000"/>
            </w:tcBorders>
            <w:shd w:val="clear" w:color="auto" w:fill="CCEEFF"/>
            <w:tcMar>
              <w:top w:w="40" w:type="dxa"/>
              <w:left w:w="20" w:type="dxa"/>
              <w:bottom w:w="40" w:type="dxa"/>
              <w:right w:w="0" w:type="dxa"/>
            </w:tcMar>
            <w:vAlign w:val="bottom"/>
          </w:tcPr>
          <w:p w14:paraId="74DDE99D"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E99E" w14:textId="77777777" w:rsidR="00584EC1" w:rsidRDefault="00871F8D">
            <w:pPr>
              <w:jc w:val="right"/>
              <w:textAlignment w:val="bottom"/>
            </w:pPr>
            <w:r>
              <w:rPr>
                <w:rFonts w:ascii="Arial" w:eastAsia="宋体" w:hAnsi="Arial" w:cs="Arial"/>
                <w:color w:val="000000"/>
                <w:sz w:val="14"/>
                <w:szCs w:val="14"/>
              </w:rPr>
              <w:t>1,311 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E99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9A0"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E9A1"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E9A2" w14:textId="77777777" w:rsidR="00584EC1" w:rsidRDefault="00871F8D">
            <w:pPr>
              <w:jc w:val="right"/>
              <w:textAlignment w:val="bottom"/>
            </w:pPr>
            <w:r>
              <w:rPr>
                <w:rFonts w:ascii="Arial" w:eastAsia="宋体" w:hAnsi="Arial" w:cs="Arial"/>
                <w:color w:val="000000"/>
                <w:sz w:val="14"/>
                <w:szCs w:val="14"/>
              </w:rPr>
              <w:t>401 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E9A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9A4"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E9A5"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E9A6" w14:textId="77777777" w:rsidR="00584EC1" w:rsidRDefault="00871F8D">
            <w:pPr>
              <w:jc w:val="right"/>
              <w:textAlignment w:val="bottom"/>
            </w:pPr>
            <w:r>
              <w:rPr>
                <w:rFonts w:ascii="Arial" w:eastAsia="宋体" w:hAnsi="Arial" w:cs="Arial"/>
                <w:color w:val="000000"/>
                <w:sz w:val="14"/>
                <w:szCs w:val="14"/>
              </w:rPr>
              <w:t>346 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E9A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9A8"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E9A9"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E9AA" w14:textId="77777777" w:rsidR="00584EC1" w:rsidRDefault="00871F8D">
            <w:pPr>
              <w:jc w:val="right"/>
              <w:textAlignment w:val="bottom"/>
            </w:pPr>
            <w:r>
              <w:rPr>
                <w:rFonts w:ascii="Arial" w:eastAsia="宋体" w:hAnsi="Arial" w:cs="Arial"/>
                <w:color w:val="000000"/>
                <w:sz w:val="14"/>
                <w:szCs w:val="14"/>
              </w:rPr>
              <w:t>179 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E9A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9AC"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E9AD"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E9AE" w14:textId="77777777" w:rsidR="00584EC1" w:rsidRDefault="00871F8D">
            <w:pPr>
              <w:jc w:val="right"/>
              <w:textAlignment w:val="bottom"/>
            </w:pPr>
            <w:r>
              <w:rPr>
                <w:rFonts w:ascii="Arial" w:eastAsia="宋体" w:hAnsi="Arial" w:cs="Arial"/>
                <w:color w:val="000000"/>
                <w:sz w:val="14"/>
                <w:szCs w:val="14"/>
              </w:rPr>
              <w:t>26 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E9A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9B0" w14:textId="77777777" w:rsidR="00584EC1" w:rsidRDefault="00584EC1">
            <w:pPr>
              <w:rPr>
                <w:rFonts w:ascii="宋体"/>
              </w:rPr>
            </w:pPr>
          </w:p>
        </w:tc>
        <w:tc>
          <w:tcPr>
            <w:tcW w:w="0" w:type="auto"/>
            <w:shd w:val="clear" w:color="auto" w:fill="auto"/>
            <w:vAlign w:val="bottom"/>
          </w:tcPr>
          <w:p w14:paraId="74DDE9B1" w14:textId="77777777" w:rsidR="00584EC1" w:rsidRDefault="00584EC1">
            <w:pPr>
              <w:rPr>
                <w:rFonts w:ascii="宋体"/>
                <w:vanish/>
              </w:rPr>
            </w:pPr>
          </w:p>
        </w:tc>
        <w:tc>
          <w:tcPr>
            <w:tcW w:w="0" w:type="auto"/>
            <w:shd w:val="clear" w:color="auto" w:fill="auto"/>
            <w:vAlign w:val="bottom"/>
          </w:tcPr>
          <w:p w14:paraId="74DDE9B2" w14:textId="77777777" w:rsidR="00584EC1" w:rsidRDefault="00584EC1">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E9B3"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E9B4" w14:textId="77777777" w:rsidR="00584EC1" w:rsidRDefault="00871F8D">
            <w:pPr>
              <w:jc w:val="right"/>
              <w:textAlignment w:val="bottom"/>
            </w:pPr>
            <w:r>
              <w:rPr>
                <w:rFonts w:ascii="Arial" w:eastAsia="宋体" w:hAnsi="Arial" w:cs="Arial"/>
                <w:color w:val="000000"/>
                <w:sz w:val="14"/>
                <w:szCs w:val="14"/>
              </w:rPr>
              <w:t>66 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E9B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9B6"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E9B7"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E9B8" w14:textId="77777777" w:rsidR="00584EC1" w:rsidRDefault="00871F8D">
            <w:pPr>
              <w:jc w:val="right"/>
              <w:textAlignment w:val="bottom"/>
            </w:pPr>
            <w:r>
              <w:rPr>
                <w:rFonts w:ascii="Arial" w:eastAsia="宋体" w:hAnsi="Arial" w:cs="Arial"/>
                <w:color w:val="000000"/>
                <w:sz w:val="14"/>
                <w:szCs w:val="14"/>
              </w:rPr>
              <w:t>4,464 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E9B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9BA"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E9BB"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E9BC" w14:textId="77777777" w:rsidR="00584EC1" w:rsidRDefault="00871F8D">
            <w:pPr>
              <w:jc w:val="right"/>
              <w:textAlignment w:val="bottom"/>
            </w:pPr>
            <w:r>
              <w:rPr>
                <w:rFonts w:ascii="Arial" w:eastAsia="宋体" w:hAnsi="Arial" w:cs="Arial"/>
                <w:color w:val="000000"/>
                <w:sz w:val="14"/>
                <w:szCs w:val="14"/>
              </w:rPr>
              <w:t>6,793 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E9BD" w14:textId="77777777" w:rsidR="00584EC1" w:rsidRDefault="00584EC1">
            <w:pPr>
              <w:jc w:val="right"/>
              <w:rPr>
                <w:rFonts w:ascii="宋体"/>
              </w:rPr>
            </w:pPr>
          </w:p>
        </w:tc>
      </w:tr>
      <w:tr w:rsidR="00584EC1" w14:paraId="74DDE9D1" w14:textId="77777777">
        <w:trPr>
          <w:trHeight w:val="220"/>
        </w:trPr>
        <w:tc>
          <w:tcPr>
            <w:tcW w:w="0" w:type="auto"/>
            <w:gridSpan w:val="3"/>
            <w:shd w:val="clear" w:color="auto" w:fill="FFFFFF"/>
            <w:tcMar>
              <w:top w:w="0" w:type="dxa"/>
              <w:left w:w="20" w:type="dxa"/>
              <w:bottom w:w="0" w:type="dxa"/>
              <w:right w:w="20" w:type="dxa"/>
            </w:tcMar>
            <w:vAlign w:val="bottom"/>
          </w:tcPr>
          <w:p w14:paraId="74DDE9BF"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E9C0"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E9C1"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E9C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E9C3"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E9C4"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E9C5"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E9C6"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E9C7"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E9C8"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E9C9" w14:textId="77777777" w:rsidR="00584EC1" w:rsidRDefault="00584EC1">
            <w:pPr>
              <w:rPr>
                <w:rFonts w:ascii="宋体"/>
              </w:rPr>
            </w:pPr>
          </w:p>
        </w:tc>
        <w:tc>
          <w:tcPr>
            <w:tcW w:w="0" w:type="auto"/>
            <w:shd w:val="clear" w:color="auto" w:fill="auto"/>
            <w:vAlign w:val="bottom"/>
          </w:tcPr>
          <w:p w14:paraId="74DDE9CA" w14:textId="77777777" w:rsidR="00584EC1" w:rsidRDefault="00584EC1">
            <w:pPr>
              <w:rPr>
                <w:rFonts w:ascii="宋体"/>
                <w:vanish/>
              </w:rPr>
            </w:pPr>
          </w:p>
        </w:tc>
        <w:tc>
          <w:tcPr>
            <w:tcW w:w="0" w:type="auto"/>
            <w:shd w:val="clear" w:color="auto" w:fill="auto"/>
            <w:vAlign w:val="bottom"/>
          </w:tcPr>
          <w:p w14:paraId="74DDE9CB" w14:textId="77777777" w:rsidR="00584EC1" w:rsidRDefault="00584EC1">
            <w:pPr>
              <w:rPr>
                <w:rFonts w:ascii="宋体"/>
                <w:vanish/>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E9CC"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E9CD"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E9CE"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E9CF"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E9D0" w14:textId="77777777" w:rsidR="00584EC1" w:rsidRDefault="00584EC1">
            <w:pPr>
              <w:rPr>
                <w:rFonts w:ascii="宋体"/>
              </w:rPr>
            </w:pPr>
          </w:p>
        </w:tc>
      </w:tr>
      <w:tr w:rsidR="00584EC1" w14:paraId="74DDE9E4" w14:textId="77777777">
        <w:trPr>
          <w:hidden/>
        </w:trPr>
        <w:tc>
          <w:tcPr>
            <w:tcW w:w="0" w:type="auto"/>
            <w:gridSpan w:val="3"/>
            <w:shd w:val="clear" w:color="auto" w:fill="auto"/>
            <w:vAlign w:val="bottom"/>
          </w:tcPr>
          <w:p w14:paraId="74DDE9D2" w14:textId="77777777" w:rsidR="00584EC1" w:rsidRDefault="00584EC1">
            <w:pPr>
              <w:rPr>
                <w:rFonts w:ascii="宋体"/>
                <w:vanish/>
              </w:rPr>
            </w:pPr>
          </w:p>
        </w:tc>
        <w:tc>
          <w:tcPr>
            <w:tcW w:w="0" w:type="auto"/>
            <w:gridSpan w:val="3"/>
            <w:shd w:val="clear" w:color="auto" w:fill="auto"/>
            <w:vAlign w:val="bottom"/>
          </w:tcPr>
          <w:p w14:paraId="74DDE9D3" w14:textId="77777777" w:rsidR="00584EC1" w:rsidRDefault="00584EC1">
            <w:pPr>
              <w:rPr>
                <w:rFonts w:ascii="宋体"/>
                <w:vanish/>
              </w:rPr>
            </w:pPr>
          </w:p>
        </w:tc>
        <w:tc>
          <w:tcPr>
            <w:tcW w:w="0" w:type="auto"/>
            <w:gridSpan w:val="3"/>
            <w:shd w:val="clear" w:color="auto" w:fill="auto"/>
            <w:vAlign w:val="bottom"/>
          </w:tcPr>
          <w:p w14:paraId="74DDE9D4" w14:textId="77777777" w:rsidR="00584EC1" w:rsidRDefault="00584EC1">
            <w:pPr>
              <w:rPr>
                <w:rFonts w:ascii="宋体"/>
                <w:vanish/>
              </w:rPr>
            </w:pPr>
          </w:p>
        </w:tc>
        <w:tc>
          <w:tcPr>
            <w:tcW w:w="0" w:type="auto"/>
            <w:gridSpan w:val="3"/>
            <w:shd w:val="clear" w:color="auto" w:fill="auto"/>
            <w:vAlign w:val="bottom"/>
          </w:tcPr>
          <w:p w14:paraId="74DDE9D5" w14:textId="77777777" w:rsidR="00584EC1" w:rsidRDefault="00584EC1">
            <w:pPr>
              <w:rPr>
                <w:rFonts w:ascii="宋体"/>
                <w:vanish/>
              </w:rPr>
            </w:pPr>
          </w:p>
        </w:tc>
        <w:tc>
          <w:tcPr>
            <w:tcW w:w="0" w:type="auto"/>
            <w:gridSpan w:val="3"/>
            <w:shd w:val="clear" w:color="auto" w:fill="auto"/>
            <w:vAlign w:val="bottom"/>
          </w:tcPr>
          <w:p w14:paraId="74DDE9D6" w14:textId="77777777" w:rsidR="00584EC1" w:rsidRDefault="00584EC1">
            <w:pPr>
              <w:rPr>
                <w:rFonts w:ascii="宋体"/>
                <w:vanish/>
              </w:rPr>
            </w:pPr>
          </w:p>
        </w:tc>
        <w:tc>
          <w:tcPr>
            <w:tcW w:w="0" w:type="auto"/>
            <w:gridSpan w:val="3"/>
            <w:shd w:val="clear" w:color="auto" w:fill="auto"/>
            <w:vAlign w:val="bottom"/>
          </w:tcPr>
          <w:p w14:paraId="74DDE9D7" w14:textId="77777777" w:rsidR="00584EC1" w:rsidRDefault="00584EC1">
            <w:pPr>
              <w:rPr>
                <w:rFonts w:ascii="宋体"/>
                <w:vanish/>
              </w:rPr>
            </w:pPr>
          </w:p>
        </w:tc>
        <w:tc>
          <w:tcPr>
            <w:tcW w:w="0" w:type="auto"/>
            <w:gridSpan w:val="3"/>
            <w:shd w:val="clear" w:color="auto" w:fill="auto"/>
            <w:vAlign w:val="bottom"/>
          </w:tcPr>
          <w:p w14:paraId="74DDE9D8" w14:textId="77777777" w:rsidR="00584EC1" w:rsidRDefault="00584EC1">
            <w:pPr>
              <w:rPr>
                <w:rFonts w:ascii="宋体"/>
                <w:vanish/>
              </w:rPr>
            </w:pPr>
          </w:p>
        </w:tc>
        <w:tc>
          <w:tcPr>
            <w:tcW w:w="0" w:type="auto"/>
            <w:gridSpan w:val="3"/>
            <w:shd w:val="clear" w:color="auto" w:fill="auto"/>
            <w:vAlign w:val="bottom"/>
          </w:tcPr>
          <w:p w14:paraId="74DDE9D9" w14:textId="77777777" w:rsidR="00584EC1" w:rsidRDefault="00584EC1">
            <w:pPr>
              <w:rPr>
                <w:rFonts w:ascii="宋体"/>
                <w:vanish/>
              </w:rPr>
            </w:pPr>
          </w:p>
        </w:tc>
        <w:tc>
          <w:tcPr>
            <w:tcW w:w="0" w:type="auto"/>
            <w:gridSpan w:val="3"/>
            <w:shd w:val="clear" w:color="auto" w:fill="auto"/>
            <w:vAlign w:val="bottom"/>
          </w:tcPr>
          <w:p w14:paraId="74DDE9DA" w14:textId="77777777" w:rsidR="00584EC1" w:rsidRDefault="00584EC1">
            <w:pPr>
              <w:rPr>
                <w:rFonts w:ascii="宋体"/>
                <w:vanish/>
              </w:rPr>
            </w:pPr>
          </w:p>
        </w:tc>
        <w:tc>
          <w:tcPr>
            <w:tcW w:w="0" w:type="auto"/>
            <w:gridSpan w:val="3"/>
            <w:shd w:val="clear" w:color="auto" w:fill="auto"/>
            <w:vAlign w:val="bottom"/>
          </w:tcPr>
          <w:p w14:paraId="74DDE9DB" w14:textId="77777777" w:rsidR="00584EC1" w:rsidRDefault="00584EC1">
            <w:pPr>
              <w:rPr>
                <w:rFonts w:ascii="宋体"/>
                <w:vanish/>
              </w:rPr>
            </w:pPr>
          </w:p>
        </w:tc>
        <w:tc>
          <w:tcPr>
            <w:tcW w:w="0" w:type="auto"/>
            <w:gridSpan w:val="3"/>
            <w:shd w:val="clear" w:color="auto" w:fill="auto"/>
            <w:vAlign w:val="bottom"/>
          </w:tcPr>
          <w:p w14:paraId="74DDE9DC" w14:textId="77777777" w:rsidR="00584EC1" w:rsidRDefault="00584EC1">
            <w:pPr>
              <w:rPr>
                <w:rFonts w:ascii="宋体"/>
                <w:vanish/>
              </w:rPr>
            </w:pPr>
          </w:p>
        </w:tc>
        <w:tc>
          <w:tcPr>
            <w:tcW w:w="0" w:type="auto"/>
            <w:shd w:val="clear" w:color="auto" w:fill="auto"/>
            <w:vAlign w:val="bottom"/>
          </w:tcPr>
          <w:p w14:paraId="74DDE9DD" w14:textId="77777777" w:rsidR="00584EC1" w:rsidRDefault="00584EC1">
            <w:pPr>
              <w:rPr>
                <w:rFonts w:ascii="宋体"/>
                <w:vanish/>
              </w:rPr>
            </w:pPr>
          </w:p>
        </w:tc>
        <w:tc>
          <w:tcPr>
            <w:tcW w:w="0" w:type="auto"/>
            <w:shd w:val="clear" w:color="auto" w:fill="auto"/>
            <w:vAlign w:val="bottom"/>
          </w:tcPr>
          <w:p w14:paraId="74DDE9DE" w14:textId="77777777" w:rsidR="00584EC1" w:rsidRDefault="00584EC1">
            <w:pPr>
              <w:rPr>
                <w:rFonts w:ascii="宋体"/>
                <w:vanish/>
              </w:rPr>
            </w:pPr>
          </w:p>
        </w:tc>
        <w:tc>
          <w:tcPr>
            <w:tcW w:w="0" w:type="auto"/>
            <w:gridSpan w:val="3"/>
            <w:shd w:val="clear" w:color="auto" w:fill="auto"/>
            <w:vAlign w:val="bottom"/>
          </w:tcPr>
          <w:p w14:paraId="74DDE9DF" w14:textId="77777777" w:rsidR="00584EC1" w:rsidRDefault="00584EC1">
            <w:pPr>
              <w:rPr>
                <w:rFonts w:ascii="宋体"/>
                <w:vanish/>
              </w:rPr>
            </w:pPr>
          </w:p>
        </w:tc>
        <w:tc>
          <w:tcPr>
            <w:tcW w:w="0" w:type="auto"/>
            <w:gridSpan w:val="3"/>
            <w:shd w:val="clear" w:color="auto" w:fill="auto"/>
            <w:vAlign w:val="bottom"/>
          </w:tcPr>
          <w:p w14:paraId="74DDE9E0" w14:textId="77777777" w:rsidR="00584EC1" w:rsidRDefault="00584EC1">
            <w:pPr>
              <w:rPr>
                <w:rFonts w:ascii="宋体"/>
                <w:vanish/>
              </w:rPr>
            </w:pPr>
          </w:p>
        </w:tc>
        <w:tc>
          <w:tcPr>
            <w:tcW w:w="0" w:type="auto"/>
            <w:gridSpan w:val="3"/>
            <w:shd w:val="clear" w:color="auto" w:fill="auto"/>
            <w:vAlign w:val="bottom"/>
          </w:tcPr>
          <w:p w14:paraId="74DDE9E1" w14:textId="77777777" w:rsidR="00584EC1" w:rsidRDefault="00584EC1">
            <w:pPr>
              <w:rPr>
                <w:rFonts w:ascii="宋体"/>
                <w:vanish/>
              </w:rPr>
            </w:pPr>
          </w:p>
        </w:tc>
        <w:tc>
          <w:tcPr>
            <w:tcW w:w="0" w:type="auto"/>
            <w:gridSpan w:val="3"/>
            <w:shd w:val="clear" w:color="auto" w:fill="auto"/>
            <w:vAlign w:val="bottom"/>
          </w:tcPr>
          <w:p w14:paraId="74DDE9E2" w14:textId="77777777" w:rsidR="00584EC1" w:rsidRDefault="00584EC1">
            <w:pPr>
              <w:rPr>
                <w:rFonts w:ascii="宋体"/>
                <w:vanish/>
              </w:rPr>
            </w:pPr>
          </w:p>
        </w:tc>
        <w:tc>
          <w:tcPr>
            <w:tcW w:w="0" w:type="auto"/>
            <w:gridSpan w:val="3"/>
            <w:shd w:val="clear" w:color="auto" w:fill="auto"/>
            <w:vAlign w:val="bottom"/>
          </w:tcPr>
          <w:p w14:paraId="74DDE9E3" w14:textId="77777777" w:rsidR="00584EC1" w:rsidRDefault="00584EC1">
            <w:pPr>
              <w:rPr>
                <w:rFonts w:ascii="宋体"/>
                <w:vanish/>
              </w:rPr>
            </w:pPr>
          </w:p>
        </w:tc>
      </w:tr>
      <w:tr w:rsidR="00584EC1" w14:paraId="74DDE9F7" w14:textId="77777777">
        <w:trPr>
          <w:hidden/>
        </w:trPr>
        <w:tc>
          <w:tcPr>
            <w:tcW w:w="0" w:type="auto"/>
            <w:gridSpan w:val="3"/>
            <w:shd w:val="clear" w:color="auto" w:fill="auto"/>
            <w:vAlign w:val="bottom"/>
          </w:tcPr>
          <w:p w14:paraId="74DDE9E5" w14:textId="77777777" w:rsidR="00584EC1" w:rsidRDefault="00584EC1">
            <w:pPr>
              <w:rPr>
                <w:rFonts w:ascii="宋体"/>
                <w:vanish/>
              </w:rPr>
            </w:pPr>
          </w:p>
        </w:tc>
        <w:tc>
          <w:tcPr>
            <w:tcW w:w="0" w:type="auto"/>
            <w:gridSpan w:val="3"/>
            <w:shd w:val="clear" w:color="auto" w:fill="auto"/>
            <w:vAlign w:val="bottom"/>
          </w:tcPr>
          <w:p w14:paraId="74DDE9E6" w14:textId="77777777" w:rsidR="00584EC1" w:rsidRDefault="00584EC1">
            <w:pPr>
              <w:rPr>
                <w:rFonts w:ascii="宋体"/>
                <w:vanish/>
              </w:rPr>
            </w:pPr>
          </w:p>
        </w:tc>
        <w:tc>
          <w:tcPr>
            <w:tcW w:w="0" w:type="auto"/>
            <w:gridSpan w:val="3"/>
            <w:shd w:val="clear" w:color="auto" w:fill="auto"/>
            <w:vAlign w:val="bottom"/>
          </w:tcPr>
          <w:p w14:paraId="74DDE9E7" w14:textId="77777777" w:rsidR="00584EC1" w:rsidRDefault="00584EC1">
            <w:pPr>
              <w:rPr>
                <w:rFonts w:ascii="宋体"/>
                <w:vanish/>
              </w:rPr>
            </w:pPr>
          </w:p>
        </w:tc>
        <w:tc>
          <w:tcPr>
            <w:tcW w:w="0" w:type="auto"/>
            <w:gridSpan w:val="3"/>
            <w:shd w:val="clear" w:color="auto" w:fill="auto"/>
            <w:vAlign w:val="bottom"/>
          </w:tcPr>
          <w:p w14:paraId="74DDE9E8" w14:textId="77777777" w:rsidR="00584EC1" w:rsidRDefault="00584EC1">
            <w:pPr>
              <w:rPr>
                <w:rFonts w:ascii="宋体"/>
                <w:vanish/>
              </w:rPr>
            </w:pPr>
          </w:p>
        </w:tc>
        <w:tc>
          <w:tcPr>
            <w:tcW w:w="0" w:type="auto"/>
            <w:gridSpan w:val="3"/>
            <w:shd w:val="clear" w:color="auto" w:fill="auto"/>
            <w:vAlign w:val="bottom"/>
          </w:tcPr>
          <w:p w14:paraId="74DDE9E9" w14:textId="77777777" w:rsidR="00584EC1" w:rsidRDefault="00584EC1">
            <w:pPr>
              <w:rPr>
                <w:rFonts w:ascii="宋体"/>
                <w:vanish/>
              </w:rPr>
            </w:pPr>
          </w:p>
        </w:tc>
        <w:tc>
          <w:tcPr>
            <w:tcW w:w="0" w:type="auto"/>
            <w:gridSpan w:val="3"/>
            <w:shd w:val="clear" w:color="auto" w:fill="auto"/>
            <w:vAlign w:val="bottom"/>
          </w:tcPr>
          <w:p w14:paraId="74DDE9EA" w14:textId="77777777" w:rsidR="00584EC1" w:rsidRDefault="00584EC1">
            <w:pPr>
              <w:rPr>
                <w:rFonts w:ascii="宋体"/>
                <w:vanish/>
              </w:rPr>
            </w:pPr>
          </w:p>
        </w:tc>
        <w:tc>
          <w:tcPr>
            <w:tcW w:w="0" w:type="auto"/>
            <w:gridSpan w:val="3"/>
            <w:shd w:val="clear" w:color="auto" w:fill="auto"/>
            <w:vAlign w:val="bottom"/>
          </w:tcPr>
          <w:p w14:paraId="74DDE9EB" w14:textId="77777777" w:rsidR="00584EC1" w:rsidRDefault="00584EC1">
            <w:pPr>
              <w:rPr>
                <w:rFonts w:ascii="宋体"/>
                <w:vanish/>
              </w:rPr>
            </w:pPr>
          </w:p>
        </w:tc>
        <w:tc>
          <w:tcPr>
            <w:tcW w:w="0" w:type="auto"/>
            <w:gridSpan w:val="3"/>
            <w:shd w:val="clear" w:color="auto" w:fill="auto"/>
            <w:vAlign w:val="bottom"/>
          </w:tcPr>
          <w:p w14:paraId="74DDE9EC" w14:textId="77777777" w:rsidR="00584EC1" w:rsidRDefault="00584EC1">
            <w:pPr>
              <w:rPr>
                <w:rFonts w:ascii="宋体"/>
                <w:vanish/>
              </w:rPr>
            </w:pPr>
          </w:p>
        </w:tc>
        <w:tc>
          <w:tcPr>
            <w:tcW w:w="0" w:type="auto"/>
            <w:gridSpan w:val="3"/>
            <w:shd w:val="clear" w:color="auto" w:fill="auto"/>
            <w:vAlign w:val="bottom"/>
          </w:tcPr>
          <w:p w14:paraId="74DDE9ED" w14:textId="77777777" w:rsidR="00584EC1" w:rsidRDefault="00584EC1">
            <w:pPr>
              <w:rPr>
                <w:rFonts w:ascii="宋体"/>
                <w:vanish/>
              </w:rPr>
            </w:pPr>
          </w:p>
        </w:tc>
        <w:tc>
          <w:tcPr>
            <w:tcW w:w="0" w:type="auto"/>
            <w:gridSpan w:val="3"/>
            <w:shd w:val="clear" w:color="auto" w:fill="auto"/>
            <w:vAlign w:val="bottom"/>
          </w:tcPr>
          <w:p w14:paraId="74DDE9EE" w14:textId="77777777" w:rsidR="00584EC1" w:rsidRDefault="00584EC1">
            <w:pPr>
              <w:rPr>
                <w:rFonts w:ascii="宋体"/>
                <w:vanish/>
              </w:rPr>
            </w:pPr>
          </w:p>
        </w:tc>
        <w:tc>
          <w:tcPr>
            <w:tcW w:w="0" w:type="auto"/>
            <w:gridSpan w:val="3"/>
            <w:shd w:val="clear" w:color="auto" w:fill="auto"/>
            <w:vAlign w:val="bottom"/>
          </w:tcPr>
          <w:p w14:paraId="74DDE9EF" w14:textId="77777777" w:rsidR="00584EC1" w:rsidRDefault="00584EC1">
            <w:pPr>
              <w:rPr>
                <w:rFonts w:ascii="宋体"/>
                <w:vanish/>
              </w:rPr>
            </w:pPr>
          </w:p>
        </w:tc>
        <w:tc>
          <w:tcPr>
            <w:tcW w:w="0" w:type="auto"/>
            <w:shd w:val="clear" w:color="auto" w:fill="auto"/>
            <w:vAlign w:val="bottom"/>
          </w:tcPr>
          <w:p w14:paraId="74DDE9F0" w14:textId="77777777" w:rsidR="00584EC1" w:rsidRDefault="00584EC1">
            <w:pPr>
              <w:rPr>
                <w:rFonts w:ascii="宋体"/>
                <w:vanish/>
              </w:rPr>
            </w:pPr>
          </w:p>
        </w:tc>
        <w:tc>
          <w:tcPr>
            <w:tcW w:w="0" w:type="auto"/>
            <w:shd w:val="clear" w:color="auto" w:fill="auto"/>
            <w:vAlign w:val="bottom"/>
          </w:tcPr>
          <w:p w14:paraId="74DDE9F1" w14:textId="77777777" w:rsidR="00584EC1" w:rsidRDefault="00584EC1">
            <w:pPr>
              <w:rPr>
                <w:rFonts w:ascii="宋体"/>
                <w:vanish/>
              </w:rPr>
            </w:pPr>
          </w:p>
        </w:tc>
        <w:tc>
          <w:tcPr>
            <w:tcW w:w="0" w:type="auto"/>
            <w:gridSpan w:val="3"/>
            <w:shd w:val="clear" w:color="auto" w:fill="auto"/>
            <w:vAlign w:val="bottom"/>
          </w:tcPr>
          <w:p w14:paraId="74DDE9F2" w14:textId="77777777" w:rsidR="00584EC1" w:rsidRDefault="00584EC1">
            <w:pPr>
              <w:rPr>
                <w:rFonts w:ascii="宋体"/>
                <w:vanish/>
              </w:rPr>
            </w:pPr>
          </w:p>
        </w:tc>
        <w:tc>
          <w:tcPr>
            <w:tcW w:w="0" w:type="auto"/>
            <w:gridSpan w:val="3"/>
            <w:shd w:val="clear" w:color="auto" w:fill="auto"/>
            <w:vAlign w:val="bottom"/>
          </w:tcPr>
          <w:p w14:paraId="74DDE9F3" w14:textId="77777777" w:rsidR="00584EC1" w:rsidRDefault="00584EC1">
            <w:pPr>
              <w:rPr>
                <w:rFonts w:ascii="宋体"/>
                <w:vanish/>
              </w:rPr>
            </w:pPr>
          </w:p>
        </w:tc>
        <w:tc>
          <w:tcPr>
            <w:tcW w:w="0" w:type="auto"/>
            <w:gridSpan w:val="3"/>
            <w:shd w:val="clear" w:color="auto" w:fill="auto"/>
            <w:vAlign w:val="bottom"/>
          </w:tcPr>
          <w:p w14:paraId="74DDE9F4" w14:textId="77777777" w:rsidR="00584EC1" w:rsidRDefault="00584EC1">
            <w:pPr>
              <w:rPr>
                <w:rFonts w:ascii="宋体"/>
                <w:vanish/>
              </w:rPr>
            </w:pPr>
          </w:p>
        </w:tc>
        <w:tc>
          <w:tcPr>
            <w:tcW w:w="0" w:type="auto"/>
            <w:gridSpan w:val="3"/>
            <w:shd w:val="clear" w:color="auto" w:fill="auto"/>
            <w:vAlign w:val="bottom"/>
          </w:tcPr>
          <w:p w14:paraId="74DDE9F5" w14:textId="77777777" w:rsidR="00584EC1" w:rsidRDefault="00584EC1">
            <w:pPr>
              <w:rPr>
                <w:rFonts w:ascii="宋体"/>
                <w:vanish/>
              </w:rPr>
            </w:pPr>
          </w:p>
        </w:tc>
        <w:tc>
          <w:tcPr>
            <w:tcW w:w="0" w:type="auto"/>
            <w:gridSpan w:val="3"/>
            <w:shd w:val="clear" w:color="auto" w:fill="auto"/>
            <w:vAlign w:val="bottom"/>
          </w:tcPr>
          <w:p w14:paraId="74DDE9F6" w14:textId="77777777" w:rsidR="00584EC1" w:rsidRDefault="00584EC1">
            <w:pPr>
              <w:rPr>
                <w:rFonts w:ascii="宋体"/>
                <w:vanish/>
              </w:rPr>
            </w:pPr>
          </w:p>
        </w:tc>
      </w:tr>
      <w:tr w:rsidR="00584EC1" w14:paraId="74DDEA0A" w14:textId="77777777">
        <w:trPr>
          <w:hidden/>
        </w:trPr>
        <w:tc>
          <w:tcPr>
            <w:tcW w:w="0" w:type="auto"/>
            <w:gridSpan w:val="3"/>
            <w:shd w:val="clear" w:color="auto" w:fill="auto"/>
            <w:vAlign w:val="bottom"/>
          </w:tcPr>
          <w:p w14:paraId="74DDE9F8" w14:textId="77777777" w:rsidR="00584EC1" w:rsidRDefault="00584EC1">
            <w:pPr>
              <w:rPr>
                <w:rFonts w:ascii="宋体"/>
                <w:vanish/>
              </w:rPr>
            </w:pPr>
          </w:p>
        </w:tc>
        <w:tc>
          <w:tcPr>
            <w:tcW w:w="0" w:type="auto"/>
            <w:gridSpan w:val="3"/>
            <w:shd w:val="clear" w:color="auto" w:fill="auto"/>
            <w:vAlign w:val="bottom"/>
          </w:tcPr>
          <w:p w14:paraId="74DDE9F9" w14:textId="77777777" w:rsidR="00584EC1" w:rsidRDefault="00584EC1">
            <w:pPr>
              <w:rPr>
                <w:rFonts w:ascii="宋体"/>
                <w:vanish/>
              </w:rPr>
            </w:pPr>
          </w:p>
        </w:tc>
        <w:tc>
          <w:tcPr>
            <w:tcW w:w="0" w:type="auto"/>
            <w:gridSpan w:val="3"/>
            <w:shd w:val="clear" w:color="auto" w:fill="auto"/>
            <w:vAlign w:val="bottom"/>
          </w:tcPr>
          <w:p w14:paraId="74DDE9FA" w14:textId="77777777" w:rsidR="00584EC1" w:rsidRDefault="00584EC1">
            <w:pPr>
              <w:rPr>
                <w:rFonts w:ascii="宋体"/>
                <w:vanish/>
              </w:rPr>
            </w:pPr>
          </w:p>
        </w:tc>
        <w:tc>
          <w:tcPr>
            <w:tcW w:w="0" w:type="auto"/>
            <w:gridSpan w:val="3"/>
            <w:shd w:val="clear" w:color="auto" w:fill="auto"/>
            <w:vAlign w:val="bottom"/>
          </w:tcPr>
          <w:p w14:paraId="74DDE9FB" w14:textId="77777777" w:rsidR="00584EC1" w:rsidRDefault="00584EC1">
            <w:pPr>
              <w:rPr>
                <w:rFonts w:ascii="宋体"/>
                <w:vanish/>
              </w:rPr>
            </w:pPr>
          </w:p>
        </w:tc>
        <w:tc>
          <w:tcPr>
            <w:tcW w:w="0" w:type="auto"/>
            <w:gridSpan w:val="3"/>
            <w:shd w:val="clear" w:color="auto" w:fill="auto"/>
            <w:vAlign w:val="bottom"/>
          </w:tcPr>
          <w:p w14:paraId="74DDE9FC" w14:textId="77777777" w:rsidR="00584EC1" w:rsidRDefault="00584EC1">
            <w:pPr>
              <w:rPr>
                <w:rFonts w:ascii="宋体"/>
                <w:vanish/>
              </w:rPr>
            </w:pPr>
          </w:p>
        </w:tc>
        <w:tc>
          <w:tcPr>
            <w:tcW w:w="0" w:type="auto"/>
            <w:gridSpan w:val="3"/>
            <w:shd w:val="clear" w:color="auto" w:fill="auto"/>
            <w:vAlign w:val="bottom"/>
          </w:tcPr>
          <w:p w14:paraId="74DDE9FD" w14:textId="77777777" w:rsidR="00584EC1" w:rsidRDefault="00584EC1">
            <w:pPr>
              <w:rPr>
                <w:rFonts w:ascii="宋体"/>
                <w:vanish/>
              </w:rPr>
            </w:pPr>
          </w:p>
        </w:tc>
        <w:tc>
          <w:tcPr>
            <w:tcW w:w="0" w:type="auto"/>
            <w:gridSpan w:val="3"/>
            <w:shd w:val="clear" w:color="auto" w:fill="auto"/>
            <w:vAlign w:val="bottom"/>
          </w:tcPr>
          <w:p w14:paraId="74DDE9FE" w14:textId="77777777" w:rsidR="00584EC1" w:rsidRDefault="00584EC1">
            <w:pPr>
              <w:rPr>
                <w:rFonts w:ascii="宋体"/>
                <w:vanish/>
              </w:rPr>
            </w:pPr>
          </w:p>
        </w:tc>
        <w:tc>
          <w:tcPr>
            <w:tcW w:w="0" w:type="auto"/>
            <w:gridSpan w:val="3"/>
            <w:shd w:val="clear" w:color="auto" w:fill="auto"/>
            <w:vAlign w:val="bottom"/>
          </w:tcPr>
          <w:p w14:paraId="74DDE9FF" w14:textId="77777777" w:rsidR="00584EC1" w:rsidRDefault="00584EC1">
            <w:pPr>
              <w:rPr>
                <w:rFonts w:ascii="宋体"/>
                <w:vanish/>
              </w:rPr>
            </w:pPr>
          </w:p>
        </w:tc>
        <w:tc>
          <w:tcPr>
            <w:tcW w:w="0" w:type="auto"/>
            <w:gridSpan w:val="3"/>
            <w:shd w:val="clear" w:color="auto" w:fill="auto"/>
            <w:vAlign w:val="bottom"/>
          </w:tcPr>
          <w:p w14:paraId="74DDEA00" w14:textId="77777777" w:rsidR="00584EC1" w:rsidRDefault="00584EC1">
            <w:pPr>
              <w:rPr>
                <w:rFonts w:ascii="宋体"/>
                <w:vanish/>
              </w:rPr>
            </w:pPr>
          </w:p>
        </w:tc>
        <w:tc>
          <w:tcPr>
            <w:tcW w:w="0" w:type="auto"/>
            <w:gridSpan w:val="3"/>
            <w:shd w:val="clear" w:color="auto" w:fill="auto"/>
            <w:vAlign w:val="bottom"/>
          </w:tcPr>
          <w:p w14:paraId="74DDEA01" w14:textId="77777777" w:rsidR="00584EC1" w:rsidRDefault="00584EC1">
            <w:pPr>
              <w:rPr>
                <w:rFonts w:ascii="宋体"/>
                <w:vanish/>
              </w:rPr>
            </w:pPr>
          </w:p>
        </w:tc>
        <w:tc>
          <w:tcPr>
            <w:tcW w:w="0" w:type="auto"/>
            <w:gridSpan w:val="3"/>
            <w:shd w:val="clear" w:color="auto" w:fill="auto"/>
            <w:vAlign w:val="bottom"/>
          </w:tcPr>
          <w:p w14:paraId="74DDEA02" w14:textId="77777777" w:rsidR="00584EC1" w:rsidRDefault="00584EC1">
            <w:pPr>
              <w:rPr>
                <w:rFonts w:ascii="宋体"/>
                <w:vanish/>
              </w:rPr>
            </w:pPr>
          </w:p>
        </w:tc>
        <w:tc>
          <w:tcPr>
            <w:tcW w:w="0" w:type="auto"/>
            <w:shd w:val="clear" w:color="auto" w:fill="auto"/>
            <w:vAlign w:val="bottom"/>
          </w:tcPr>
          <w:p w14:paraId="74DDEA03" w14:textId="77777777" w:rsidR="00584EC1" w:rsidRDefault="00584EC1">
            <w:pPr>
              <w:rPr>
                <w:rFonts w:ascii="宋体"/>
                <w:vanish/>
              </w:rPr>
            </w:pPr>
          </w:p>
        </w:tc>
        <w:tc>
          <w:tcPr>
            <w:tcW w:w="0" w:type="auto"/>
            <w:shd w:val="clear" w:color="auto" w:fill="auto"/>
            <w:vAlign w:val="bottom"/>
          </w:tcPr>
          <w:p w14:paraId="74DDEA04" w14:textId="77777777" w:rsidR="00584EC1" w:rsidRDefault="00584EC1">
            <w:pPr>
              <w:rPr>
                <w:rFonts w:ascii="宋体"/>
                <w:vanish/>
              </w:rPr>
            </w:pPr>
          </w:p>
        </w:tc>
        <w:tc>
          <w:tcPr>
            <w:tcW w:w="0" w:type="auto"/>
            <w:gridSpan w:val="3"/>
            <w:shd w:val="clear" w:color="auto" w:fill="auto"/>
            <w:vAlign w:val="bottom"/>
          </w:tcPr>
          <w:p w14:paraId="74DDEA05" w14:textId="77777777" w:rsidR="00584EC1" w:rsidRDefault="00584EC1">
            <w:pPr>
              <w:rPr>
                <w:rFonts w:ascii="宋体"/>
                <w:vanish/>
              </w:rPr>
            </w:pPr>
          </w:p>
        </w:tc>
        <w:tc>
          <w:tcPr>
            <w:tcW w:w="0" w:type="auto"/>
            <w:gridSpan w:val="3"/>
            <w:shd w:val="clear" w:color="auto" w:fill="auto"/>
            <w:vAlign w:val="bottom"/>
          </w:tcPr>
          <w:p w14:paraId="74DDEA06" w14:textId="77777777" w:rsidR="00584EC1" w:rsidRDefault="00584EC1">
            <w:pPr>
              <w:rPr>
                <w:rFonts w:ascii="宋体"/>
                <w:vanish/>
              </w:rPr>
            </w:pPr>
          </w:p>
        </w:tc>
        <w:tc>
          <w:tcPr>
            <w:tcW w:w="0" w:type="auto"/>
            <w:gridSpan w:val="3"/>
            <w:shd w:val="clear" w:color="auto" w:fill="auto"/>
            <w:vAlign w:val="bottom"/>
          </w:tcPr>
          <w:p w14:paraId="74DDEA07" w14:textId="77777777" w:rsidR="00584EC1" w:rsidRDefault="00584EC1">
            <w:pPr>
              <w:rPr>
                <w:rFonts w:ascii="宋体"/>
                <w:vanish/>
              </w:rPr>
            </w:pPr>
          </w:p>
        </w:tc>
        <w:tc>
          <w:tcPr>
            <w:tcW w:w="0" w:type="auto"/>
            <w:gridSpan w:val="3"/>
            <w:shd w:val="clear" w:color="auto" w:fill="auto"/>
            <w:vAlign w:val="bottom"/>
          </w:tcPr>
          <w:p w14:paraId="74DDEA08" w14:textId="77777777" w:rsidR="00584EC1" w:rsidRDefault="00584EC1">
            <w:pPr>
              <w:rPr>
                <w:rFonts w:ascii="宋体"/>
                <w:vanish/>
              </w:rPr>
            </w:pPr>
          </w:p>
        </w:tc>
        <w:tc>
          <w:tcPr>
            <w:tcW w:w="0" w:type="auto"/>
            <w:gridSpan w:val="3"/>
            <w:shd w:val="clear" w:color="auto" w:fill="auto"/>
            <w:vAlign w:val="bottom"/>
          </w:tcPr>
          <w:p w14:paraId="74DDEA09" w14:textId="77777777" w:rsidR="00584EC1" w:rsidRDefault="00584EC1">
            <w:pPr>
              <w:rPr>
                <w:rFonts w:ascii="宋体"/>
                <w:vanish/>
              </w:rPr>
            </w:pPr>
          </w:p>
        </w:tc>
      </w:tr>
      <w:tr w:rsidR="00584EC1" w14:paraId="74DDEA1D" w14:textId="77777777">
        <w:trPr>
          <w:hidden/>
        </w:trPr>
        <w:tc>
          <w:tcPr>
            <w:tcW w:w="0" w:type="auto"/>
            <w:gridSpan w:val="3"/>
            <w:shd w:val="clear" w:color="auto" w:fill="auto"/>
            <w:vAlign w:val="bottom"/>
          </w:tcPr>
          <w:p w14:paraId="74DDEA0B" w14:textId="77777777" w:rsidR="00584EC1" w:rsidRDefault="00584EC1">
            <w:pPr>
              <w:rPr>
                <w:rFonts w:ascii="宋体"/>
                <w:vanish/>
              </w:rPr>
            </w:pPr>
          </w:p>
        </w:tc>
        <w:tc>
          <w:tcPr>
            <w:tcW w:w="0" w:type="auto"/>
            <w:gridSpan w:val="3"/>
            <w:shd w:val="clear" w:color="auto" w:fill="auto"/>
            <w:vAlign w:val="bottom"/>
          </w:tcPr>
          <w:p w14:paraId="74DDEA0C" w14:textId="77777777" w:rsidR="00584EC1" w:rsidRDefault="00584EC1">
            <w:pPr>
              <w:rPr>
                <w:rFonts w:ascii="宋体"/>
                <w:vanish/>
              </w:rPr>
            </w:pPr>
          </w:p>
        </w:tc>
        <w:tc>
          <w:tcPr>
            <w:tcW w:w="0" w:type="auto"/>
            <w:gridSpan w:val="3"/>
            <w:shd w:val="clear" w:color="auto" w:fill="auto"/>
            <w:vAlign w:val="bottom"/>
          </w:tcPr>
          <w:p w14:paraId="74DDEA0D" w14:textId="77777777" w:rsidR="00584EC1" w:rsidRDefault="00584EC1">
            <w:pPr>
              <w:rPr>
                <w:rFonts w:ascii="宋体"/>
                <w:vanish/>
              </w:rPr>
            </w:pPr>
          </w:p>
        </w:tc>
        <w:tc>
          <w:tcPr>
            <w:tcW w:w="0" w:type="auto"/>
            <w:gridSpan w:val="3"/>
            <w:shd w:val="clear" w:color="auto" w:fill="auto"/>
            <w:vAlign w:val="bottom"/>
          </w:tcPr>
          <w:p w14:paraId="74DDEA0E" w14:textId="77777777" w:rsidR="00584EC1" w:rsidRDefault="00584EC1">
            <w:pPr>
              <w:rPr>
                <w:rFonts w:ascii="宋体"/>
                <w:vanish/>
              </w:rPr>
            </w:pPr>
          </w:p>
        </w:tc>
        <w:tc>
          <w:tcPr>
            <w:tcW w:w="0" w:type="auto"/>
            <w:gridSpan w:val="3"/>
            <w:shd w:val="clear" w:color="auto" w:fill="auto"/>
            <w:vAlign w:val="bottom"/>
          </w:tcPr>
          <w:p w14:paraId="74DDEA0F" w14:textId="77777777" w:rsidR="00584EC1" w:rsidRDefault="00584EC1">
            <w:pPr>
              <w:rPr>
                <w:rFonts w:ascii="宋体"/>
                <w:vanish/>
              </w:rPr>
            </w:pPr>
          </w:p>
        </w:tc>
        <w:tc>
          <w:tcPr>
            <w:tcW w:w="0" w:type="auto"/>
            <w:gridSpan w:val="3"/>
            <w:shd w:val="clear" w:color="auto" w:fill="auto"/>
            <w:vAlign w:val="bottom"/>
          </w:tcPr>
          <w:p w14:paraId="74DDEA10" w14:textId="77777777" w:rsidR="00584EC1" w:rsidRDefault="00584EC1">
            <w:pPr>
              <w:rPr>
                <w:rFonts w:ascii="宋体"/>
                <w:vanish/>
              </w:rPr>
            </w:pPr>
          </w:p>
        </w:tc>
        <w:tc>
          <w:tcPr>
            <w:tcW w:w="0" w:type="auto"/>
            <w:gridSpan w:val="3"/>
            <w:shd w:val="clear" w:color="auto" w:fill="auto"/>
            <w:vAlign w:val="bottom"/>
          </w:tcPr>
          <w:p w14:paraId="74DDEA11" w14:textId="77777777" w:rsidR="00584EC1" w:rsidRDefault="00584EC1">
            <w:pPr>
              <w:rPr>
                <w:rFonts w:ascii="宋体"/>
                <w:vanish/>
              </w:rPr>
            </w:pPr>
          </w:p>
        </w:tc>
        <w:tc>
          <w:tcPr>
            <w:tcW w:w="0" w:type="auto"/>
            <w:gridSpan w:val="3"/>
            <w:shd w:val="clear" w:color="auto" w:fill="auto"/>
            <w:vAlign w:val="bottom"/>
          </w:tcPr>
          <w:p w14:paraId="74DDEA12" w14:textId="77777777" w:rsidR="00584EC1" w:rsidRDefault="00584EC1">
            <w:pPr>
              <w:rPr>
                <w:rFonts w:ascii="宋体"/>
                <w:vanish/>
              </w:rPr>
            </w:pPr>
          </w:p>
        </w:tc>
        <w:tc>
          <w:tcPr>
            <w:tcW w:w="0" w:type="auto"/>
            <w:gridSpan w:val="3"/>
            <w:shd w:val="clear" w:color="auto" w:fill="auto"/>
            <w:vAlign w:val="bottom"/>
          </w:tcPr>
          <w:p w14:paraId="74DDEA13" w14:textId="77777777" w:rsidR="00584EC1" w:rsidRDefault="00584EC1">
            <w:pPr>
              <w:rPr>
                <w:rFonts w:ascii="宋体"/>
                <w:vanish/>
              </w:rPr>
            </w:pPr>
          </w:p>
        </w:tc>
        <w:tc>
          <w:tcPr>
            <w:tcW w:w="0" w:type="auto"/>
            <w:gridSpan w:val="3"/>
            <w:shd w:val="clear" w:color="auto" w:fill="auto"/>
            <w:vAlign w:val="bottom"/>
          </w:tcPr>
          <w:p w14:paraId="74DDEA14" w14:textId="77777777" w:rsidR="00584EC1" w:rsidRDefault="00584EC1">
            <w:pPr>
              <w:rPr>
                <w:rFonts w:ascii="宋体"/>
                <w:vanish/>
              </w:rPr>
            </w:pPr>
          </w:p>
        </w:tc>
        <w:tc>
          <w:tcPr>
            <w:tcW w:w="0" w:type="auto"/>
            <w:gridSpan w:val="3"/>
            <w:shd w:val="clear" w:color="auto" w:fill="auto"/>
            <w:vAlign w:val="bottom"/>
          </w:tcPr>
          <w:p w14:paraId="74DDEA15" w14:textId="77777777" w:rsidR="00584EC1" w:rsidRDefault="00584EC1">
            <w:pPr>
              <w:rPr>
                <w:rFonts w:ascii="宋体"/>
                <w:vanish/>
              </w:rPr>
            </w:pPr>
          </w:p>
        </w:tc>
        <w:tc>
          <w:tcPr>
            <w:tcW w:w="0" w:type="auto"/>
            <w:shd w:val="clear" w:color="auto" w:fill="auto"/>
            <w:vAlign w:val="bottom"/>
          </w:tcPr>
          <w:p w14:paraId="74DDEA16" w14:textId="77777777" w:rsidR="00584EC1" w:rsidRDefault="00584EC1">
            <w:pPr>
              <w:rPr>
                <w:rFonts w:ascii="宋体"/>
                <w:vanish/>
              </w:rPr>
            </w:pPr>
          </w:p>
        </w:tc>
        <w:tc>
          <w:tcPr>
            <w:tcW w:w="0" w:type="auto"/>
            <w:shd w:val="clear" w:color="auto" w:fill="auto"/>
            <w:vAlign w:val="bottom"/>
          </w:tcPr>
          <w:p w14:paraId="74DDEA17" w14:textId="77777777" w:rsidR="00584EC1" w:rsidRDefault="00584EC1">
            <w:pPr>
              <w:rPr>
                <w:rFonts w:ascii="宋体"/>
                <w:vanish/>
              </w:rPr>
            </w:pPr>
          </w:p>
        </w:tc>
        <w:tc>
          <w:tcPr>
            <w:tcW w:w="0" w:type="auto"/>
            <w:gridSpan w:val="3"/>
            <w:shd w:val="clear" w:color="auto" w:fill="auto"/>
            <w:vAlign w:val="bottom"/>
          </w:tcPr>
          <w:p w14:paraId="74DDEA18" w14:textId="77777777" w:rsidR="00584EC1" w:rsidRDefault="00584EC1">
            <w:pPr>
              <w:rPr>
                <w:rFonts w:ascii="宋体"/>
                <w:vanish/>
              </w:rPr>
            </w:pPr>
          </w:p>
        </w:tc>
        <w:tc>
          <w:tcPr>
            <w:tcW w:w="0" w:type="auto"/>
            <w:gridSpan w:val="3"/>
            <w:shd w:val="clear" w:color="auto" w:fill="auto"/>
            <w:vAlign w:val="bottom"/>
          </w:tcPr>
          <w:p w14:paraId="74DDEA19" w14:textId="77777777" w:rsidR="00584EC1" w:rsidRDefault="00584EC1">
            <w:pPr>
              <w:rPr>
                <w:rFonts w:ascii="宋体"/>
                <w:vanish/>
              </w:rPr>
            </w:pPr>
          </w:p>
        </w:tc>
        <w:tc>
          <w:tcPr>
            <w:tcW w:w="0" w:type="auto"/>
            <w:gridSpan w:val="3"/>
            <w:shd w:val="clear" w:color="auto" w:fill="auto"/>
            <w:vAlign w:val="bottom"/>
          </w:tcPr>
          <w:p w14:paraId="74DDEA1A" w14:textId="77777777" w:rsidR="00584EC1" w:rsidRDefault="00584EC1">
            <w:pPr>
              <w:rPr>
                <w:rFonts w:ascii="宋体"/>
                <w:vanish/>
              </w:rPr>
            </w:pPr>
          </w:p>
        </w:tc>
        <w:tc>
          <w:tcPr>
            <w:tcW w:w="0" w:type="auto"/>
            <w:gridSpan w:val="3"/>
            <w:shd w:val="clear" w:color="auto" w:fill="auto"/>
            <w:vAlign w:val="bottom"/>
          </w:tcPr>
          <w:p w14:paraId="74DDEA1B" w14:textId="77777777" w:rsidR="00584EC1" w:rsidRDefault="00584EC1">
            <w:pPr>
              <w:rPr>
                <w:rFonts w:ascii="宋体"/>
                <w:vanish/>
              </w:rPr>
            </w:pPr>
          </w:p>
        </w:tc>
        <w:tc>
          <w:tcPr>
            <w:tcW w:w="0" w:type="auto"/>
            <w:gridSpan w:val="3"/>
            <w:shd w:val="clear" w:color="auto" w:fill="auto"/>
            <w:vAlign w:val="bottom"/>
          </w:tcPr>
          <w:p w14:paraId="74DDEA1C" w14:textId="77777777" w:rsidR="00584EC1" w:rsidRDefault="00584EC1">
            <w:pPr>
              <w:rPr>
                <w:rFonts w:ascii="宋体"/>
                <w:vanish/>
              </w:rPr>
            </w:pPr>
          </w:p>
        </w:tc>
      </w:tr>
      <w:tr w:rsidR="00584EC1" w14:paraId="74DDEA30" w14:textId="77777777">
        <w:trPr>
          <w:hidden/>
        </w:trPr>
        <w:tc>
          <w:tcPr>
            <w:tcW w:w="0" w:type="auto"/>
            <w:gridSpan w:val="3"/>
            <w:shd w:val="clear" w:color="auto" w:fill="auto"/>
            <w:vAlign w:val="bottom"/>
          </w:tcPr>
          <w:p w14:paraId="74DDEA1E" w14:textId="77777777" w:rsidR="00584EC1" w:rsidRDefault="00584EC1">
            <w:pPr>
              <w:rPr>
                <w:rFonts w:ascii="宋体"/>
                <w:vanish/>
              </w:rPr>
            </w:pPr>
          </w:p>
        </w:tc>
        <w:tc>
          <w:tcPr>
            <w:tcW w:w="0" w:type="auto"/>
            <w:gridSpan w:val="3"/>
            <w:shd w:val="clear" w:color="auto" w:fill="auto"/>
            <w:vAlign w:val="bottom"/>
          </w:tcPr>
          <w:p w14:paraId="74DDEA1F" w14:textId="77777777" w:rsidR="00584EC1" w:rsidRDefault="00584EC1">
            <w:pPr>
              <w:rPr>
                <w:rFonts w:ascii="宋体"/>
                <w:vanish/>
              </w:rPr>
            </w:pPr>
          </w:p>
        </w:tc>
        <w:tc>
          <w:tcPr>
            <w:tcW w:w="0" w:type="auto"/>
            <w:gridSpan w:val="3"/>
            <w:shd w:val="clear" w:color="auto" w:fill="auto"/>
            <w:vAlign w:val="bottom"/>
          </w:tcPr>
          <w:p w14:paraId="74DDEA20" w14:textId="77777777" w:rsidR="00584EC1" w:rsidRDefault="00584EC1">
            <w:pPr>
              <w:rPr>
                <w:rFonts w:ascii="宋体"/>
                <w:vanish/>
              </w:rPr>
            </w:pPr>
          </w:p>
        </w:tc>
        <w:tc>
          <w:tcPr>
            <w:tcW w:w="0" w:type="auto"/>
            <w:gridSpan w:val="3"/>
            <w:shd w:val="clear" w:color="auto" w:fill="auto"/>
            <w:vAlign w:val="bottom"/>
          </w:tcPr>
          <w:p w14:paraId="74DDEA21" w14:textId="77777777" w:rsidR="00584EC1" w:rsidRDefault="00584EC1">
            <w:pPr>
              <w:rPr>
                <w:rFonts w:ascii="宋体"/>
                <w:vanish/>
              </w:rPr>
            </w:pPr>
          </w:p>
        </w:tc>
        <w:tc>
          <w:tcPr>
            <w:tcW w:w="0" w:type="auto"/>
            <w:gridSpan w:val="3"/>
            <w:shd w:val="clear" w:color="auto" w:fill="auto"/>
            <w:vAlign w:val="bottom"/>
          </w:tcPr>
          <w:p w14:paraId="74DDEA22" w14:textId="77777777" w:rsidR="00584EC1" w:rsidRDefault="00584EC1">
            <w:pPr>
              <w:rPr>
                <w:rFonts w:ascii="宋体"/>
                <w:vanish/>
              </w:rPr>
            </w:pPr>
          </w:p>
        </w:tc>
        <w:tc>
          <w:tcPr>
            <w:tcW w:w="0" w:type="auto"/>
            <w:gridSpan w:val="3"/>
            <w:shd w:val="clear" w:color="auto" w:fill="auto"/>
            <w:vAlign w:val="bottom"/>
          </w:tcPr>
          <w:p w14:paraId="74DDEA23" w14:textId="77777777" w:rsidR="00584EC1" w:rsidRDefault="00584EC1">
            <w:pPr>
              <w:rPr>
                <w:rFonts w:ascii="宋体"/>
                <w:vanish/>
              </w:rPr>
            </w:pPr>
          </w:p>
        </w:tc>
        <w:tc>
          <w:tcPr>
            <w:tcW w:w="0" w:type="auto"/>
            <w:gridSpan w:val="3"/>
            <w:shd w:val="clear" w:color="auto" w:fill="auto"/>
            <w:vAlign w:val="bottom"/>
          </w:tcPr>
          <w:p w14:paraId="74DDEA24" w14:textId="77777777" w:rsidR="00584EC1" w:rsidRDefault="00584EC1">
            <w:pPr>
              <w:rPr>
                <w:rFonts w:ascii="宋体"/>
                <w:vanish/>
              </w:rPr>
            </w:pPr>
          </w:p>
        </w:tc>
        <w:tc>
          <w:tcPr>
            <w:tcW w:w="0" w:type="auto"/>
            <w:gridSpan w:val="3"/>
            <w:shd w:val="clear" w:color="auto" w:fill="auto"/>
            <w:vAlign w:val="bottom"/>
          </w:tcPr>
          <w:p w14:paraId="74DDEA25" w14:textId="77777777" w:rsidR="00584EC1" w:rsidRDefault="00584EC1">
            <w:pPr>
              <w:rPr>
                <w:rFonts w:ascii="宋体"/>
                <w:vanish/>
              </w:rPr>
            </w:pPr>
          </w:p>
        </w:tc>
        <w:tc>
          <w:tcPr>
            <w:tcW w:w="0" w:type="auto"/>
            <w:gridSpan w:val="3"/>
            <w:shd w:val="clear" w:color="auto" w:fill="auto"/>
            <w:vAlign w:val="bottom"/>
          </w:tcPr>
          <w:p w14:paraId="74DDEA26" w14:textId="77777777" w:rsidR="00584EC1" w:rsidRDefault="00584EC1">
            <w:pPr>
              <w:rPr>
                <w:rFonts w:ascii="宋体"/>
                <w:vanish/>
              </w:rPr>
            </w:pPr>
          </w:p>
        </w:tc>
        <w:tc>
          <w:tcPr>
            <w:tcW w:w="0" w:type="auto"/>
            <w:gridSpan w:val="3"/>
            <w:shd w:val="clear" w:color="auto" w:fill="auto"/>
            <w:vAlign w:val="bottom"/>
          </w:tcPr>
          <w:p w14:paraId="74DDEA27" w14:textId="77777777" w:rsidR="00584EC1" w:rsidRDefault="00584EC1">
            <w:pPr>
              <w:rPr>
                <w:rFonts w:ascii="宋体"/>
                <w:vanish/>
              </w:rPr>
            </w:pPr>
          </w:p>
        </w:tc>
        <w:tc>
          <w:tcPr>
            <w:tcW w:w="0" w:type="auto"/>
            <w:gridSpan w:val="3"/>
            <w:shd w:val="clear" w:color="auto" w:fill="auto"/>
            <w:vAlign w:val="bottom"/>
          </w:tcPr>
          <w:p w14:paraId="74DDEA28" w14:textId="77777777" w:rsidR="00584EC1" w:rsidRDefault="00584EC1">
            <w:pPr>
              <w:rPr>
                <w:rFonts w:ascii="宋体"/>
                <w:vanish/>
              </w:rPr>
            </w:pPr>
          </w:p>
        </w:tc>
        <w:tc>
          <w:tcPr>
            <w:tcW w:w="0" w:type="auto"/>
            <w:shd w:val="clear" w:color="auto" w:fill="auto"/>
            <w:vAlign w:val="bottom"/>
          </w:tcPr>
          <w:p w14:paraId="74DDEA29" w14:textId="77777777" w:rsidR="00584EC1" w:rsidRDefault="00584EC1">
            <w:pPr>
              <w:rPr>
                <w:rFonts w:ascii="宋体"/>
                <w:vanish/>
              </w:rPr>
            </w:pPr>
          </w:p>
        </w:tc>
        <w:tc>
          <w:tcPr>
            <w:tcW w:w="0" w:type="auto"/>
            <w:shd w:val="clear" w:color="auto" w:fill="auto"/>
            <w:vAlign w:val="bottom"/>
          </w:tcPr>
          <w:p w14:paraId="74DDEA2A" w14:textId="77777777" w:rsidR="00584EC1" w:rsidRDefault="00584EC1">
            <w:pPr>
              <w:rPr>
                <w:rFonts w:ascii="宋体"/>
                <w:vanish/>
              </w:rPr>
            </w:pPr>
          </w:p>
        </w:tc>
        <w:tc>
          <w:tcPr>
            <w:tcW w:w="0" w:type="auto"/>
            <w:gridSpan w:val="3"/>
            <w:shd w:val="clear" w:color="auto" w:fill="auto"/>
            <w:vAlign w:val="bottom"/>
          </w:tcPr>
          <w:p w14:paraId="74DDEA2B" w14:textId="77777777" w:rsidR="00584EC1" w:rsidRDefault="00584EC1">
            <w:pPr>
              <w:rPr>
                <w:rFonts w:ascii="宋体"/>
                <w:vanish/>
              </w:rPr>
            </w:pPr>
          </w:p>
        </w:tc>
        <w:tc>
          <w:tcPr>
            <w:tcW w:w="0" w:type="auto"/>
            <w:gridSpan w:val="3"/>
            <w:shd w:val="clear" w:color="auto" w:fill="auto"/>
            <w:vAlign w:val="bottom"/>
          </w:tcPr>
          <w:p w14:paraId="74DDEA2C" w14:textId="77777777" w:rsidR="00584EC1" w:rsidRDefault="00584EC1">
            <w:pPr>
              <w:rPr>
                <w:rFonts w:ascii="宋体"/>
                <w:vanish/>
              </w:rPr>
            </w:pPr>
          </w:p>
        </w:tc>
        <w:tc>
          <w:tcPr>
            <w:tcW w:w="0" w:type="auto"/>
            <w:gridSpan w:val="3"/>
            <w:shd w:val="clear" w:color="auto" w:fill="auto"/>
            <w:vAlign w:val="bottom"/>
          </w:tcPr>
          <w:p w14:paraId="74DDEA2D" w14:textId="77777777" w:rsidR="00584EC1" w:rsidRDefault="00584EC1">
            <w:pPr>
              <w:rPr>
                <w:rFonts w:ascii="宋体"/>
                <w:vanish/>
              </w:rPr>
            </w:pPr>
          </w:p>
        </w:tc>
        <w:tc>
          <w:tcPr>
            <w:tcW w:w="0" w:type="auto"/>
            <w:gridSpan w:val="3"/>
            <w:shd w:val="clear" w:color="auto" w:fill="auto"/>
            <w:vAlign w:val="bottom"/>
          </w:tcPr>
          <w:p w14:paraId="74DDEA2E" w14:textId="77777777" w:rsidR="00584EC1" w:rsidRDefault="00584EC1">
            <w:pPr>
              <w:rPr>
                <w:rFonts w:ascii="宋体"/>
                <w:vanish/>
              </w:rPr>
            </w:pPr>
          </w:p>
        </w:tc>
        <w:tc>
          <w:tcPr>
            <w:tcW w:w="0" w:type="auto"/>
            <w:gridSpan w:val="3"/>
            <w:shd w:val="clear" w:color="auto" w:fill="auto"/>
            <w:vAlign w:val="bottom"/>
          </w:tcPr>
          <w:p w14:paraId="74DDEA2F" w14:textId="77777777" w:rsidR="00584EC1" w:rsidRDefault="00584EC1">
            <w:pPr>
              <w:rPr>
                <w:rFonts w:ascii="宋体"/>
                <w:vanish/>
              </w:rPr>
            </w:pPr>
          </w:p>
        </w:tc>
      </w:tr>
      <w:tr w:rsidR="00584EC1" w14:paraId="74DDEA43" w14:textId="77777777">
        <w:trPr>
          <w:hidden/>
        </w:trPr>
        <w:tc>
          <w:tcPr>
            <w:tcW w:w="0" w:type="auto"/>
            <w:gridSpan w:val="3"/>
            <w:shd w:val="clear" w:color="auto" w:fill="auto"/>
            <w:vAlign w:val="bottom"/>
          </w:tcPr>
          <w:p w14:paraId="74DDEA31" w14:textId="77777777" w:rsidR="00584EC1" w:rsidRDefault="00584EC1">
            <w:pPr>
              <w:rPr>
                <w:rFonts w:ascii="宋体"/>
                <w:vanish/>
              </w:rPr>
            </w:pPr>
          </w:p>
        </w:tc>
        <w:tc>
          <w:tcPr>
            <w:tcW w:w="0" w:type="auto"/>
            <w:gridSpan w:val="3"/>
            <w:shd w:val="clear" w:color="auto" w:fill="auto"/>
            <w:vAlign w:val="bottom"/>
          </w:tcPr>
          <w:p w14:paraId="74DDEA32" w14:textId="77777777" w:rsidR="00584EC1" w:rsidRDefault="00584EC1">
            <w:pPr>
              <w:rPr>
                <w:rFonts w:ascii="宋体"/>
                <w:vanish/>
              </w:rPr>
            </w:pPr>
          </w:p>
        </w:tc>
        <w:tc>
          <w:tcPr>
            <w:tcW w:w="0" w:type="auto"/>
            <w:gridSpan w:val="3"/>
            <w:shd w:val="clear" w:color="auto" w:fill="auto"/>
            <w:vAlign w:val="bottom"/>
          </w:tcPr>
          <w:p w14:paraId="74DDEA33" w14:textId="77777777" w:rsidR="00584EC1" w:rsidRDefault="00584EC1">
            <w:pPr>
              <w:rPr>
                <w:rFonts w:ascii="宋体"/>
                <w:vanish/>
              </w:rPr>
            </w:pPr>
          </w:p>
        </w:tc>
        <w:tc>
          <w:tcPr>
            <w:tcW w:w="0" w:type="auto"/>
            <w:gridSpan w:val="3"/>
            <w:shd w:val="clear" w:color="auto" w:fill="auto"/>
            <w:vAlign w:val="bottom"/>
          </w:tcPr>
          <w:p w14:paraId="74DDEA34" w14:textId="77777777" w:rsidR="00584EC1" w:rsidRDefault="00584EC1">
            <w:pPr>
              <w:rPr>
                <w:rFonts w:ascii="宋体"/>
                <w:vanish/>
              </w:rPr>
            </w:pPr>
          </w:p>
        </w:tc>
        <w:tc>
          <w:tcPr>
            <w:tcW w:w="0" w:type="auto"/>
            <w:gridSpan w:val="3"/>
            <w:shd w:val="clear" w:color="auto" w:fill="auto"/>
            <w:vAlign w:val="bottom"/>
          </w:tcPr>
          <w:p w14:paraId="74DDEA35" w14:textId="77777777" w:rsidR="00584EC1" w:rsidRDefault="00584EC1">
            <w:pPr>
              <w:rPr>
                <w:rFonts w:ascii="宋体"/>
                <w:vanish/>
              </w:rPr>
            </w:pPr>
          </w:p>
        </w:tc>
        <w:tc>
          <w:tcPr>
            <w:tcW w:w="0" w:type="auto"/>
            <w:gridSpan w:val="3"/>
            <w:shd w:val="clear" w:color="auto" w:fill="auto"/>
            <w:vAlign w:val="bottom"/>
          </w:tcPr>
          <w:p w14:paraId="74DDEA36" w14:textId="77777777" w:rsidR="00584EC1" w:rsidRDefault="00584EC1">
            <w:pPr>
              <w:rPr>
                <w:rFonts w:ascii="宋体"/>
                <w:vanish/>
              </w:rPr>
            </w:pPr>
          </w:p>
        </w:tc>
        <w:tc>
          <w:tcPr>
            <w:tcW w:w="0" w:type="auto"/>
            <w:gridSpan w:val="3"/>
            <w:shd w:val="clear" w:color="auto" w:fill="auto"/>
            <w:vAlign w:val="bottom"/>
          </w:tcPr>
          <w:p w14:paraId="74DDEA37" w14:textId="77777777" w:rsidR="00584EC1" w:rsidRDefault="00584EC1">
            <w:pPr>
              <w:rPr>
                <w:rFonts w:ascii="宋体"/>
                <w:vanish/>
              </w:rPr>
            </w:pPr>
          </w:p>
        </w:tc>
        <w:tc>
          <w:tcPr>
            <w:tcW w:w="0" w:type="auto"/>
            <w:gridSpan w:val="3"/>
            <w:shd w:val="clear" w:color="auto" w:fill="auto"/>
            <w:vAlign w:val="bottom"/>
          </w:tcPr>
          <w:p w14:paraId="74DDEA38" w14:textId="77777777" w:rsidR="00584EC1" w:rsidRDefault="00584EC1">
            <w:pPr>
              <w:rPr>
                <w:rFonts w:ascii="宋体"/>
                <w:vanish/>
              </w:rPr>
            </w:pPr>
          </w:p>
        </w:tc>
        <w:tc>
          <w:tcPr>
            <w:tcW w:w="0" w:type="auto"/>
            <w:gridSpan w:val="3"/>
            <w:shd w:val="clear" w:color="auto" w:fill="auto"/>
            <w:vAlign w:val="bottom"/>
          </w:tcPr>
          <w:p w14:paraId="74DDEA39" w14:textId="77777777" w:rsidR="00584EC1" w:rsidRDefault="00584EC1">
            <w:pPr>
              <w:rPr>
                <w:rFonts w:ascii="宋体"/>
                <w:vanish/>
              </w:rPr>
            </w:pPr>
          </w:p>
        </w:tc>
        <w:tc>
          <w:tcPr>
            <w:tcW w:w="0" w:type="auto"/>
            <w:gridSpan w:val="3"/>
            <w:shd w:val="clear" w:color="auto" w:fill="auto"/>
            <w:vAlign w:val="bottom"/>
          </w:tcPr>
          <w:p w14:paraId="74DDEA3A" w14:textId="77777777" w:rsidR="00584EC1" w:rsidRDefault="00584EC1">
            <w:pPr>
              <w:rPr>
                <w:rFonts w:ascii="宋体"/>
                <w:vanish/>
              </w:rPr>
            </w:pPr>
          </w:p>
        </w:tc>
        <w:tc>
          <w:tcPr>
            <w:tcW w:w="0" w:type="auto"/>
            <w:gridSpan w:val="3"/>
            <w:shd w:val="clear" w:color="auto" w:fill="auto"/>
            <w:vAlign w:val="bottom"/>
          </w:tcPr>
          <w:p w14:paraId="74DDEA3B" w14:textId="77777777" w:rsidR="00584EC1" w:rsidRDefault="00584EC1">
            <w:pPr>
              <w:rPr>
                <w:rFonts w:ascii="宋体"/>
                <w:vanish/>
              </w:rPr>
            </w:pPr>
          </w:p>
        </w:tc>
        <w:tc>
          <w:tcPr>
            <w:tcW w:w="0" w:type="auto"/>
            <w:shd w:val="clear" w:color="auto" w:fill="auto"/>
            <w:vAlign w:val="bottom"/>
          </w:tcPr>
          <w:p w14:paraId="74DDEA3C" w14:textId="77777777" w:rsidR="00584EC1" w:rsidRDefault="00584EC1">
            <w:pPr>
              <w:rPr>
                <w:rFonts w:ascii="宋体"/>
                <w:vanish/>
              </w:rPr>
            </w:pPr>
          </w:p>
        </w:tc>
        <w:tc>
          <w:tcPr>
            <w:tcW w:w="0" w:type="auto"/>
            <w:shd w:val="clear" w:color="auto" w:fill="auto"/>
            <w:vAlign w:val="bottom"/>
          </w:tcPr>
          <w:p w14:paraId="74DDEA3D" w14:textId="77777777" w:rsidR="00584EC1" w:rsidRDefault="00584EC1">
            <w:pPr>
              <w:rPr>
                <w:rFonts w:ascii="宋体"/>
                <w:vanish/>
              </w:rPr>
            </w:pPr>
          </w:p>
        </w:tc>
        <w:tc>
          <w:tcPr>
            <w:tcW w:w="0" w:type="auto"/>
            <w:gridSpan w:val="3"/>
            <w:shd w:val="clear" w:color="auto" w:fill="auto"/>
            <w:vAlign w:val="bottom"/>
          </w:tcPr>
          <w:p w14:paraId="74DDEA3E" w14:textId="77777777" w:rsidR="00584EC1" w:rsidRDefault="00584EC1">
            <w:pPr>
              <w:rPr>
                <w:rFonts w:ascii="宋体"/>
                <w:vanish/>
              </w:rPr>
            </w:pPr>
          </w:p>
        </w:tc>
        <w:tc>
          <w:tcPr>
            <w:tcW w:w="0" w:type="auto"/>
            <w:gridSpan w:val="3"/>
            <w:shd w:val="clear" w:color="auto" w:fill="auto"/>
            <w:vAlign w:val="bottom"/>
          </w:tcPr>
          <w:p w14:paraId="74DDEA3F" w14:textId="77777777" w:rsidR="00584EC1" w:rsidRDefault="00584EC1">
            <w:pPr>
              <w:rPr>
                <w:rFonts w:ascii="宋体"/>
                <w:vanish/>
              </w:rPr>
            </w:pPr>
          </w:p>
        </w:tc>
        <w:tc>
          <w:tcPr>
            <w:tcW w:w="0" w:type="auto"/>
            <w:gridSpan w:val="3"/>
            <w:shd w:val="clear" w:color="auto" w:fill="auto"/>
            <w:vAlign w:val="bottom"/>
          </w:tcPr>
          <w:p w14:paraId="74DDEA40" w14:textId="77777777" w:rsidR="00584EC1" w:rsidRDefault="00584EC1">
            <w:pPr>
              <w:rPr>
                <w:rFonts w:ascii="宋体"/>
                <w:vanish/>
              </w:rPr>
            </w:pPr>
          </w:p>
        </w:tc>
        <w:tc>
          <w:tcPr>
            <w:tcW w:w="0" w:type="auto"/>
            <w:gridSpan w:val="3"/>
            <w:shd w:val="clear" w:color="auto" w:fill="auto"/>
            <w:vAlign w:val="bottom"/>
          </w:tcPr>
          <w:p w14:paraId="74DDEA41" w14:textId="77777777" w:rsidR="00584EC1" w:rsidRDefault="00584EC1">
            <w:pPr>
              <w:rPr>
                <w:rFonts w:ascii="宋体"/>
                <w:vanish/>
              </w:rPr>
            </w:pPr>
          </w:p>
        </w:tc>
        <w:tc>
          <w:tcPr>
            <w:tcW w:w="0" w:type="auto"/>
            <w:gridSpan w:val="3"/>
            <w:shd w:val="clear" w:color="auto" w:fill="auto"/>
            <w:vAlign w:val="bottom"/>
          </w:tcPr>
          <w:p w14:paraId="74DDEA42" w14:textId="77777777" w:rsidR="00584EC1" w:rsidRDefault="00584EC1">
            <w:pPr>
              <w:rPr>
                <w:rFonts w:ascii="宋体"/>
                <w:vanish/>
              </w:rPr>
            </w:pPr>
          </w:p>
        </w:tc>
      </w:tr>
      <w:tr w:rsidR="00584EC1" w14:paraId="74DDEA56" w14:textId="77777777">
        <w:trPr>
          <w:hidden/>
        </w:trPr>
        <w:tc>
          <w:tcPr>
            <w:tcW w:w="0" w:type="auto"/>
            <w:gridSpan w:val="3"/>
            <w:shd w:val="clear" w:color="auto" w:fill="auto"/>
            <w:vAlign w:val="bottom"/>
          </w:tcPr>
          <w:p w14:paraId="74DDEA44" w14:textId="77777777" w:rsidR="00584EC1" w:rsidRDefault="00584EC1">
            <w:pPr>
              <w:rPr>
                <w:rFonts w:ascii="宋体"/>
                <w:vanish/>
              </w:rPr>
            </w:pPr>
          </w:p>
        </w:tc>
        <w:tc>
          <w:tcPr>
            <w:tcW w:w="0" w:type="auto"/>
            <w:gridSpan w:val="3"/>
            <w:shd w:val="clear" w:color="auto" w:fill="auto"/>
            <w:vAlign w:val="bottom"/>
          </w:tcPr>
          <w:p w14:paraId="74DDEA45" w14:textId="77777777" w:rsidR="00584EC1" w:rsidRDefault="00584EC1">
            <w:pPr>
              <w:rPr>
                <w:rFonts w:ascii="宋体"/>
                <w:vanish/>
              </w:rPr>
            </w:pPr>
          </w:p>
        </w:tc>
        <w:tc>
          <w:tcPr>
            <w:tcW w:w="0" w:type="auto"/>
            <w:gridSpan w:val="3"/>
            <w:shd w:val="clear" w:color="auto" w:fill="auto"/>
            <w:vAlign w:val="bottom"/>
          </w:tcPr>
          <w:p w14:paraId="74DDEA46" w14:textId="77777777" w:rsidR="00584EC1" w:rsidRDefault="00584EC1">
            <w:pPr>
              <w:rPr>
                <w:rFonts w:ascii="宋体"/>
                <w:vanish/>
              </w:rPr>
            </w:pPr>
          </w:p>
        </w:tc>
        <w:tc>
          <w:tcPr>
            <w:tcW w:w="0" w:type="auto"/>
            <w:gridSpan w:val="3"/>
            <w:shd w:val="clear" w:color="auto" w:fill="auto"/>
            <w:vAlign w:val="bottom"/>
          </w:tcPr>
          <w:p w14:paraId="74DDEA47" w14:textId="77777777" w:rsidR="00584EC1" w:rsidRDefault="00584EC1">
            <w:pPr>
              <w:rPr>
                <w:rFonts w:ascii="宋体"/>
                <w:vanish/>
              </w:rPr>
            </w:pPr>
          </w:p>
        </w:tc>
        <w:tc>
          <w:tcPr>
            <w:tcW w:w="0" w:type="auto"/>
            <w:gridSpan w:val="3"/>
            <w:shd w:val="clear" w:color="auto" w:fill="auto"/>
            <w:vAlign w:val="bottom"/>
          </w:tcPr>
          <w:p w14:paraId="74DDEA48" w14:textId="77777777" w:rsidR="00584EC1" w:rsidRDefault="00584EC1">
            <w:pPr>
              <w:rPr>
                <w:rFonts w:ascii="宋体"/>
                <w:vanish/>
              </w:rPr>
            </w:pPr>
          </w:p>
        </w:tc>
        <w:tc>
          <w:tcPr>
            <w:tcW w:w="0" w:type="auto"/>
            <w:gridSpan w:val="3"/>
            <w:shd w:val="clear" w:color="auto" w:fill="auto"/>
            <w:vAlign w:val="bottom"/>
          </w:tcPr>
          <w:p w14:paraId="74DDEA49" w14:textId="77777777" w:rsidR="00584EC1" w:rsidRDefault="00584EC1">
            <w:pPr>
              <w:rPr>
                <w:rFonts w:ascii="宋体"/>
                <w:vanish/>
              </w:rPr>
            </w:pPr>
          </w:p>
        </w:tc>
        <w:tc>
          <w:tcPr>
            <w:tcW w:w="0" w:type="auto"/>
            <w:gridSpan w:val="3"/>
            <w:shd w:val="clear" w:color="auto" w:fill="auto"/>
            <w:vAlign w:val="bottom"/>
          </w:tcPr>
          <w:p w14:paraId="74DDEA4A" w14:textId="77777777" w:rsidR="00584EC1" w:rsidRDefault="00584EC1">
            <w:pPr>
              <w:rPr>
                <w:rFonts w:ascii="宋体"/>
                <w:vanish/>
              </w:rPr>
            </w:pPr>
          </w:p>
        </w:tc>
        <w:tc>
          <w:tcPr>
            <w:tcW w:w="0" w:type="auto"/>
            <w:gridSpan w:val="3"/>
            <w:shd w:val="clear" w:color="auto" w:fill="auto"/>
            <w:vAlign w:val="bottom"/>
          </w:tcPr>
          <w:p w14:paraId="74DDEA4B" w14:textId="77777777" w:rsidR="00584EC1" w:rsidRDefault="00584EC1">
            <w:pPr>
              <w:rPr>
                <w:rFonts w:ascii="宋体"/>
                <w:vanish/>
              </w:rPr>
            </w:pPr>
          </w:p>
        </w:tc>
        <w:tc>
          <w:tcPr>
            <w:tcW w:w="0" w:type="auto"/>
            <w:gridSpan w:val="3"/>
            <w:shd w:val="clear" w:color="auto" w:fill="auto"/>
            <w:vAlign w:val="bottom"/>
          </w:tcPr>
          <w:p w14:paraId="74DDEA4C" w14:textId="77777777" w:rsidR="00584EC1" w:rsidRDefault="00584EC1">
            <w:pPr>
              <w:rPr>
                <w:rFonts w:ascii="宋体"/>
                <w:vanish/>
              </w:rPr>
            </w:pPr>
          </w:p>
        </w:tc>
        <w:tc>
          <w:tcPr>
            <w:tcW w:w="0" w:type="auto"/>
            <w:gridSpan w:val="3"/>
            <w:shd w:val="clear" w:color="auto" w:fill="auto"/>
            <w:vAlign w:val="bottom"/>
          </w:tcPr>
          <w:p w14:paraId="74DDEA4D" w14:textId="77777777" w:rsidR="00584EC1" w:rsidRDefault="00584EC1">
            <w:pPr>
              <w:rPr>
                <w:rFonts w:ascii="宋体"/>
                <w:vanish/>
              </w:rPr>
            </w:pPr>
          </w:p>
        </w:tc>
        <w:tc>
          <w:tcPr>
            <w:tcW w:w="0" w:type="auto"/>
            <w:gridSpan w:val="3"/>
            <w:shd w:val="clear" w:color="auto" w:fill="auto"/>
            <w:vAlign w:val="bottom"/>
          </w:tcPr>
          <w:p w14:paraId="74DDEA4E" w14:textId="77777777" w:rsidR="00584EC1" w:rsidRDefault="00584EC1">
            <w:pPr>
              <w:rPr>
                <w:rFonts w:ascii="宋体"/>
                <w:vanish/>
              </w:rPr>
            </w:pPr>
          </w:p>
        </w:tc>
        <w:tc>
          <w:tcPr>
            <w:tcW w:w="0" w:type="auto"/>
            <w:shd w:val="clear" w:color="auto" w:fill="auto"/>
            <w:vAlign w:val="bottom"/>
          </w:tcPr>
          <w:p w14:paraId="74DDEA4F" w14:textId="77777777" w:rsidR="00584EC1" w:rsidRDefault="00584EC1">
            <w:pPr>
              <w:rPr>
                <w:rFonts w:ascii="宋体"/>
                <w:vanish/>
              </w:rPr>
            </w:pPr>
          </w:p>
        </w:tc>
        <w:tc>
          <w:tcPr>
            <w:tcW w:w="0" w:type="auto"/>
            <w:shd w:val="clear" w:color="auto" w:fill="auto"/>
            <w:vAlign w:val="bottom"/>
          </w:tcPr>
          <w:p w14:paraId="74DDEA50" w14:textId="77777777" w:rsidR="00584EC1" w:rsidRDefault="00584EC1">
            <w:pPr>
              <w:rPr>
                <w:rFonts w:ascii="宋体"/>
                <w:vanish/>
              </w:rPr>
            </w:pPr>
          </w:p>
        </w:tc>
        <w:tc>
          <w:tcPr>
            <w:tcW w:w="0" w:type="auto"/>
            <w:gridSpan w:val="3"/>
            <w:shd w:val="clear" w:color="auto" w:fill="auto"/>
            <w:vAlign w:val="bottom"/>
          </w:tcPr>
          <w:p w14:paraId="74DDEA51" w14:textId="77777777" w:rsidR="00584EC1" w:rsidRDefault="00584EC1">
            <w:pPr>
              <w:rPr>
                <w:rFonts w:ascii="宋体"/>
                <w:vanish/>
              </w:rPr>
            </w:pPr>
          </w:p>
        </w:tc>
        <w:tc>
          <w:tcPr>
            <w:tcW w:w="0" w:type="auto"/>
            <w:gridSpan w:val="3"/>
            <w:shd w:val="clear" w:color="auto" w:fill="auto"/>
            <w:vAlign w:val="bottom"/>
          </w:tcPr>
          <w:p w14:paraId="74DDEA52" w14:textId="77777777" w:rsidR="00584EC1" w:rsidRDefault="00584EC1">
            <w:pPr>
              <w:rPr>
                <w:rFonts w:ascii="宋体"/>
                <w:vanish/>
              </w:rPr>
            </w:pPr>
          </w:p>
        </w:tc>
        <w:tc>
          <w:tcPr>
            <w:tcW w:w="0" w:type="auto"/>
            <w:gridSpan w:val="3"/>
            <w:shd w:val="clear" w:color="auto" w:fill="auto"/>
            <w:vAlign w:val="bottom"/>
          </w:tcPr>
          <w:p w14:paraId="74DDEA53" w14:textId="77777777" w:rsidR="00584EC1" w:rsidRDefault="00584EC1">
            <w:pPr>
              <w:rPr>
                <w:rFonts w:ascii="宋体"/>
                <w:vanish/>
              </w:rPr>
            </w:pPr>
          </w:p>
        </w:tc>
        <w:tc>
          <w:tcPr>
            <w:tcW w:w="0" w:type="auto"/>
            <w:gridSpan w:val="3"/>
            <w:shd w:val="clear" w:color="auto" w:fill="auto"/>
            <w:vAlign w:val="bottom"/>
          </w:tcPr>
          <w:p w14:paraId="74DDEA54" w14:textId="77777777" w:rsidR="00584EC1" w:rsidRDefault="00584EC1">
            <w:pPr>
              <w:rPr>
                <w:rFonts w:ascii="宋体"/>
                <w:vanish/>
              </w:rPr>
            </w:pPr>
          </w:p>
        </w:tc>
        <w:tc>
          <w:tcPr>
            <w:tcW w:w="0" w:type="auto"/>
            <w:gridSpan w:val="3"/>
            <w:shd w:val="clear" w:color="auto" w:fill="auto"/>
            <w:vAlign w:val="bottom"/>
          </w:tcPr>
          <w:p w14:paraId="74DDEA55" w14:textId="77777777" w:rsidR="00584EC1" w:rsidRDefault="00584EC1">
            <w:pPr>
              <w:rPr>
                <w:rFonts w:ascii="宋体"/>
                <w:vanish/>
              </w:rPr>
            </w:pPr>
          </w:p>
        </w:tc>
      </w:tr>
      <w:tr w:rsidR="00584EC1" w14:paraId="74DDEA69" w14:textId="77777777">
        <w:trPr>
          <w:hidden/>
        </w:trPr>
        <w:tc>
          <w:tcPr>
            <w:tcW w:w="0" w:type="auto"/>
            <w:gridSpan w:val="3"/>
            <w:shd w:val="clear" w:color="auto" w:fill="auto"/>
            <w:vAlign w:val="bottom"/>
          </w:tcPr>
          <w:p w14:paraId="74DDEA57" w14:textId="77777777" w:rsidR="00584EC1" w:rsidRDefault="00584EC1">
            <w:pPr>
              <w:rPr>
                <w:rFonts w:ascii="宋体"/>
                <w:vanish/>
              </w:rPr>
            </w:pPr>
          </w:p>
        </w:tc>
        <w:tc>
          <w:tcPr>
            <w:tcW w:w="0" w:type="auto"/>
            <w:gridSpan w:val="3"/>
            <w:shd w:val="clear" w:color="auto" w:fill="auto"/>
            <w:vAlign w:val="bottom"/>
          </w:tcPr>
          <w:p w14:paraId="74DDEA58" w14:textId="77777777" w:rsidR="00584EC1" w:rsidRDefault="00584EC1">
            <w:pPr>
              <w:rPr>
                <w:rFonts w:ascii="宋体"/>
                <w:vanish/>
              </w:rPr>
            </w:pPr>
          </w:p>
        </w:tc>
        <w:tc>
          <w:tcPr>
            <w:tcW w:w="0" w:type="auto"/>
            <w:gridSpan w:val="3"/>
            <w:shd w:val="clear" w:color="auto" w:fill="auto"/>
            <w:vAlign w:val="bottom"/>
          </w:tcPr>
          <w:p w14:paraId="74DDEA59" w14:textId="77777777" w:rsidR="00584EC1" w:rsidRDefault="00584EC1">
            <w:pPr>
              <w:rPr>
                <w:rFonts w:ascii="宋体"/>
                <w:vanish/>
              </w:rPr>
            </w:pPr>
          </w:p>
        </w:tc>
        <w:tc>
          <w:tcPr>
            <w:tcW w:w="0" w:type="auto"/>
            <w:gridSpan w:val="3"/>
            <w:shd w:val="clear" w:color="auto" w:fill="auto"/>
            <w:vAlign w:val="bottom"/>
          </w:tcPr>
          <w:p w14:paraId="74DDEA5A" w14:textId="77777777" w:rsidR="00584EC1" w:rsidRDefault="00584EC1">
            <w:pPr>
              <w:rPr>
                <w:rFonts w:ascii="宋体"/>
                <w:vanish/>
              </w:rPr>
            </w:pPr>
          </w:p>
        </w:tc>
        <w:tc>
          <w:tcPr>
            <w:tcW w:w="0" w:type="auto"/>
            <w:gridSpan w:val="3"/>
            <w:shd w:val="clear" w:color="auto" w:fill="auto"/>
            <w:vAlign w:val="bottom"/>
          </w:tcPr>
          <w:p w14:paraId="74DDEA5B" w14:textId="77777777" w:rsidR="00584EC1" w:rsidRDefault="00584EC1">
            <w:pPr>
              <w:rPr>
                <w:rFonts w:ascii="宋体"/>
                <w:vanish/>
              </w:rPr>
            </w:pPr>
          </w:p>
        </w:tc>
        <w:tc>
          <w:tcPr>
            <w:tcW w:w="0" w:type="auto"/>
            <w:gridSpan w:val="3"/>
            <w:shd w:val="clear" w:color="auto" w:fill="auto"/>
            <w:vAlign w:val="bottom"/>
          </w:tcPr>
          <w:p w14:paraId="74DDEA5C" w14:textId="77777777" w:rsidR="00584EC1" w:rsidRDefault="00584EC1">
            <w:pPr>
              <w:rPr>
                <w:rFonts w:ascii="宋体"/>
                <w:vanish/>
              </w:rPr>
            </w:pPr>
          </w:p>
        </w:tc>
        <w:tc>
          <w:tcPr>
            <w:tcW w:w="0" w:type="auto"/>
            <w:gridSpan w:val="3"/>
            <w:shd w:val="clear" w:color="auto" w:fill="auto"/>
            <w:vAlign w:val="bottom"/>
          </w:tcPr>
          <w:p w14:paraId="74DDEA5D" w14:textId="77777777" w:rsidR="00584EC1" w:rsidRDefault="00584EC1">
            <w:pPr>
              <w:rPr>
                <w:rFonts w:ascii="宋体"/>
                <w:vanish/>
              </w:rPr>
            </w:pPr>
          </w:p>
        </w:tc>
        <w:tc>
          <w:tcPr>
            <w:tcW w:w="0" w:type="auto"/>
            <w:gridSpan w:val="3"/>
            <w:shd w:val="clear" w:color="auto" w:fill="auto"/>
            <w:vAlign w:val="bottom"/>
          </w:tcPr>
          <w:p w14:paraId="74DDEA5E" w14:textId="77777777" w:rsidR="00584EC1" w:rsidRDefault="00584EC1">
            <w:pPr>
              <w:rPr>
                <w:rFonts w:ascii="宋体"/>
                <w:vanish/>
              </w:rPr>
            </w:pPr>
          </w:p>
        </w:tc>
        <w:tc>
          <w:tcPr>
            <w:tcW w:w="0" w:type="auto"/>
            <w:gridSpan w:val="3"/>
            <w:shd w:val="clear" w:color="auto" w:fill="auto"/>
            <w:vAlign w:val="bottom"/>
          </w:tcPr>
          <w:p w14:paraId="74DDEA5F" w14:textId="77777777" w:rsidR="00584EC1" w:rsidRDefault="00584EC1">
            <w:pPr>
              <w:rPr>
                <w:rFonts w:ascii="宋体"/>
                <w:vanish/>
              </w:rPr>
            </w:pPr>
          </w:p>
        </w:tc>
        <w:tc>
          <w:tcPr>
            <w:tcW w:w="0" w:type="auto"/>
            <w:gridSpan w:val="3"/>
            <w:shd w:val="clear" w:color="auto" w:fill="auto"/>
            <w:vAlign w:val="bottom"/>
          </w:tcPr>
          <w:p w14:paraId="74DDEA60" w14:textId="77777777" w:rsidR="00584EC1" w:rsidRDefault="00584EC1">
            <w:pPr>
              <w:rPr>
                <w:rFonts w:ascii="宋体"/>
                <w:vanish/>
              </w:rPr>
            </w:pPr>
          </w:p>
        </w:tc>
        <w:tc>
          <w:tcPr>
            <w:tcW w:w="0" w:type="auto"/>
            <w:gridSpan w:val="3"/>
            <w:shd w:val="clear" w:color="auto" w:fill="auto"/>
            <w:vAlign w:val="bottom"/>
          </w:tcPr>
          <w:p w14:paraId="74DDEA61" w14:textId="77777777" w:rsidR="00584EC1" w:rsidRDefault="00584EC1">
            <w:pPr>
              <w:rPr>
                <w:rFonts w:ascii="宋体"/>
                <w:vanish/>
              </w:rPr>
            </w:pPr>
          </w:p>
        </w:tc>
        <w:tc>
          <w:tcPr>
            <w:tcW w:w="0" w:type="auto"/>
            <w:shd w:val="clear" w:color="auto" w:fill="auto"/>
            <w:vAlign w:val="bottom"/>
          </w:tcPr>
          <w:p w14:paraId="74DDEA62" w14:textId="77777777" w:rsidR="00584EC1" w:rsidRDefault="00584EC1">
            <w:pPr>
              <w:rPr>
                <w:rFonts w:ascii="宋体"/>
                <w:vanish/>
              </w:rPr>
            </w:pPr>
          </w:p>
        </w:tc>
        <w:tc>
          <w:tcPr>
            <w:tcW w:w="0" w:type="auto"/>
            <w:shd w:val="clear" w:color="auto" w:fill="auto"/>
            <w:vAlign w:val="bottom"/>
          </w:tcPr>
          <w:p w14:paraId="74DDEA63" w14:textId="77777777" w:rsidR="00584EC1" w:rsidRDefault="00584EC1">
            <w:pPr>
              <w:rPr>
                <w:rFonts w:ascii="宋体"/>
                <w:vanish/>
              </w:rPr>
            </w:pPr>
          </w:p>
        </w:tc>
        <w:tc>
          <w:tcPr>
            <w:tcW w:w="0" w:type="auto"/>
            <w:gridSpan w:val="3"/>
            <w:shd w:val="clear" w:color="auto" w:fill="auto"/>
            <w:vAlign w:val="bottom"/>
          </w:tcPr>
          <w:p w14:paraId="74DDEA64" w14:textId="77777777" w:rsidR="00584EC1" w:rsidRDefault="00584EC1">
            <w:pPr>
              <w:rPr>
                <w:rFonts w:ascii="宋体"/>
                <w:vanish/>
              </w:rPr>
            </w:pPr>
          </w:p>
        </w:tc>
        <w:tc>
          <w:tcPr>
            <w:tcW w:w="0" w:type="auto"/>
            <w:gridSpan w:val="3"/>
            <w:shd w:val="clear" w:color="auto" w:fill="auto"/>
            <w:vAlign w:val="bottom"/>
          </w:tcPr>
          <w:p w14:paraId="74DDEA65" w14:textId="77777777" w:rsidR="00584EC1" w:rsidRDefault="00584EC1">
            <w:pPr>
              <w:rPr>
                <w:rFonts w:ascii="宋体"/>
                <w:vanish/>
              </w:rPr>
            </w:pPr>
          </w:p>
        </w:tc>
        <w:tc>
          <w:tcPr>
            <w:tcW w:w="0" w:type="auto"/>
            <w:gridSpan w:val="3"/>
            <w:shd w:val="clear" w:color="auto" w:fill="auto"/>
            <w:vAlign w:val="bottom"/>
          </w:tcPr>
          <w:p w14:paraId="74DDEA66" w14:textId="77777777" w:rsidR="00584EC1" w:rsidRDefault="00584EC1">
            <w:pPr>
              <w:rPr>
                <w:rFonts w:ascii="宋体"/>
                <w:vanish/>
              </w:rPr>
            </w:pPr>
          </w:p>
        </w:tc>
        <w:tc>
          <w:tcPr>
            <w:tcW w:w="0" w:type="auto"/>
            <w:gridSpan w:val="3"/>
            <w:shd w:val="clear" w:color="auto" w:fill="auto"/>
            <w:vAlign w:val="bottom"/>
          </w:tcPr>
          <w:p w14:paraId="74DDEA67" w14:textId="77777777" w:rsidR="00584EC1" w:rsidRDefault="00584EC1">
            <w:pPr>
              <w:rPr>
                <w:rFonts w:ascii="宋体"/>
                <w:vanish/>
              </w:rPr>
            </w:pPr>
          </w:p>
        </w:tc>
        <w:tc>
          <w:tcPr>
            <w:tcW w:w="0" w:type="auto"/>
            <w:gridSpan w:val="3"/>
            <w:shd w:val="clear" w:color="auto" w:fill="auto"/>
            <w:vAlign w:val="bottom"/>
          </w:tcPr>
          <w:p w14:paraId="74DDEA68" w14:textId="77777777" w:rsidR="00584EC1" w:rsidRDefault="00584EC1">
            <w:pPr>
              <w:rPr>
                <w:rFonts w:ascii="宋体"/>
                <w:vanish/>
              </w:rPr>
            </w:pPr>
          </w:p>
        </w:tc>
      </w:tr>
      <w:tr w:rsidR="00584EC1" w14:paraId="74DDEA7C" w14:textId="77777777">
        <w:trPr>
          <w:hidden/>
        </w:trPr>
        <w:tc>
          <w:tcPr>
            <w:tcW w:w="0" w:type="auto"/>
            <w:gridSpan w:val="3"/>
            <w:shd w:val="clear" w:color="auto" w:fill="auto"/>
            <w:vAlign w:val="bottom"/>
          </w:tcPr>
          <w:p w14:paraId="74DDEA6A" w14:textId="77777777" w:rsidR="00584EC1" w:rsidRDefault="00584EC1">
            <w:pPr>
              <w:rPr>
                <w:rFonts w:ascii="宋体"/>
                <w:vanish/>
              </w:rPr>
            </w:pPr>
          </w:p>
        </w:tc>
        <w:tc>
          <w:tcPr>
            <w:tcW w:w="0" w:type="auto"/>
            <w:gridSpan w:val="3"/>
            <w:shd w:val="clear" w:color="auto" w:fill="auto"/>
            <w:vAlign w:val="bottom"/>
          </w:tcPr>
          <w:p w14:paraId="74DDEA6B" w14:textId="77777777" w:rsidR="00584EC1" w:rsidRDefault="00584EC1">
            <w:pPr>
              <w:rPr>
                <w:rFonts w:ascii="宋体"/>
                <w:vanish/>
              </w:rPr>
            </w:pPr>
          </w:p>
        </w:tc>
        <w:tc>
          <w:tcPr>
            <w:tcW w:w="0" w:type="auto"/>
            <w:gridSpan w:val="3"/>
            <w:shd w:val="clear" w:color="auto" w:fill="auto"/>
            <w:vAlign w:val="bottom"/>
          </w:tcPr>
          <w:p w14:paraId="74DDEA6C" w14:textId="77777777" w:rsidR="00584EC1" w:rsidRDefault="00584EC1">
            <w:pPr>
              <w:rPr>
                <w:rFonts w:ascii="宋体"/>
                <w:vanish/>
              </w:rPr>
            </w:pPr>
          </w:p>
        </w:tc>
        <w:tc>
          <w:tcPr>
            <w:tcW w:w="0" w:type="auto"/>
            <w:gridSpan w:val="3"/>
            <w:shd w:val="clear" w:color="auto" w:fill="auto"/>
            <w:vAlign w:val="bottom"/>
          </w:tcPr>
          <w:p w14:paraId="74DDEA6D" w14:textId="77777777" w:rsidR="00584EC1" w:rsidRDefault="00584EC1">
            <w:pPr>
              <w:rPr>
                <w:rFonts w:ascii="宋体"/>
                <w:vanish/>
              </w:rPr>
            </w:pPr>
          </w:p>
        </w:tc>
        <w:tc>
          <w:tcPr>
            <w:tcW w:w="0" w:type="auto"/>
            <w:gridSpan w:val="3"/>
            <w:shd w:val="clear" w:color="auto" w:fill="auto"/>
            <w:vAlign w:val="bottom"/>
          </w:tcPr>
          <w:p w14:paraId="74DDEA6E" w14:textId="77777777" w:rsidR="00584EC1" w:rsidRDefault="00584EC1">
            <w:pPr>
              <w:rPr>
                <w:rFonts w:ascii="宋体"/>
                <w:vanish/>
              </w:rPr>
            </w:pPr>
          </w:p>
        </w:tc>
        <w:tc>
          <w:tcPr>
            <w:tcW w:w="0" w:type="auto"/>
            <w:gridSpan w:val="3"/>
            <w:shd w:val="clear" w:color="auto" w:fill="auto"/>
            <w:vAlign w:val="bottom"/>
          </w:tcPr>
          <w:p w14:paraId="74DDEA6F" w14:textId="77777777" w:rsidR="00584EC1" w:rsidRDefault="00584EC1">
            <w:pPr>
              <w:rPr>
                <w:rFonts w:ascii="宋体"/>
                <w:vanish/>
              </w:rPr>
            </w:pPr>
          </w:p>
        </w:tc>
        <w:tc>
          <w:tcPr>
            <w:tcW w:w="0" w:type="auto"/>
            <w:gridSpan w:val="3"/>
            <w:shd w:val="clear" w:color="auto" w:fill="auto"/>
            <w:vAlign w:val="bottom"/>
          </w:tcPr>
          <w:p w14:paraId="74DDEA70" w14:textId="77777777" w:rsidR="00584EC1" w:rsidRDefault="00584EC1">
            <w:pPr>
              <w:rPr>
                <w:rFonts w:ascii="宋体"/>
                <w:vanish/>
              </w:rPr>
            </w:pPr>
          </w:p>
        </w:tc>
        <w:tc>
          <w:tcPr>
            <w:tcW w:w="0" w:type="auto"/>
            <w:gridSpan w:val="3"/>
            <w:shd w:val="clear" w:color="auto" w:fill="auto"/>
            <w:vAlign w:val="bottom"/>
          </w:tcPr>
          <w:p w14:paraId="74DDEA71" w14:textId="77777777" w:rsidR="00584EC1" w:rsidRDefault="00584EC1">
            <w:pPr>
              <w:rPr>
                <w:rFonts w:ascii="宋体"/>
                <w:vanish/>
              </w:rPr>
            </w:pPr>
          </w:p>
        </w:tc>
        <w:tc>
          <w:tcPr>
            <w:tcW w:w="0" w:type="auto"/>
            <w:gridSpan w:val="3"/>
            <w:shd w:val="clear" w:color="auto" w:fill="auto"/>
            <w:vAlign w:val="bottom"/>
          </w:tcPr>
          <w:p w14:paraId="74DDEA72" w14:textId="77777777" w:rsidR="00584EC1" w:rsidRDefault="00584EC1">
            <w:pPr>
              <w:rPr>
                <w:rFonts w:ascii="宋体"/>
                <w:vanish/>
              </w:rPr>
            </w:pPr>
          </w:p>
        </w:tc>
        <w:tc>
          <w:tcPr>
            <w:tcW w:w="0" w:type="auto"/>
            <w:gridSpan w:val="3"/>
            <w:shd w:val="clear" w:color="auto" w:fill="auto"/>
            <w:vAlign w:val="bottom"/>
          </w:tcPr>
          <w:p w14:paraId="74DDEA73" w14:textId="77777777" w:rsidR="00584EC1" w:rsidRDefault="00584EC1">
            <w:pPr>
              <w:rPr>
                <w:rFonts w:ascii="宋体"/>
                <w:vanish/>
              </w:rPr>
            </w:pPr>
          </w:p>
        </w:tc>
        <w:tc>
          <w:tcPr>
            <w:tcW w:w="0" w:type="auto"/>
            <w:gridSpan w:val="3"/>
            <w:shd w:val="clear" w:color="auto" w:fill="auto"/>
            <w:vAlign w:val="bottom"/>
          </w:tcPr>
          <w:p w14:paraId="74DDEA74" w14:textId="77777777" w:rsidR="00584EC1" w:rsidRDefault="00584EC1">
            <w:pPr>
              <w:rPr>
                <w:rFonts w:ascii="宋体"/>
                <w:vanish/>
              </w:rPr>
            </w:pPr>
          </w:p>
        </w:tc>
        <w:tc>
          <w:tcPr>
            <w:tcW w:w="0" w:type="auto"/>
            <w:shd w:val="clear" w:color="auto" w:fill="auto"/>
            <w:vAlign w:val="bottom"/>
          </w:tcPr>
          <w:p w14:paraId="74DDEA75" w14:textId="77777777" w:rsidR="00584EC1" w:rsidRDefault="00584EC1">
            <w:pPr>
              <w:rPr>
                <w:rFonts w:ascii="宋体"/>
                <w:vanish/>
              </w:rPr>
            </w:pPr>
          </w:p>
        </w:tc>
        <w:tc>
          <w:tcPr>
            <w:tcW w:w="0" w:type="auto"/>
            <w:shd w:val="clear" w:color="auto" w:fill="auto"/>
            <w:vAlign w:val="bottom"/>
          </w:tcPr>
          <w:p w14:paraId="74DDEA76" w14:textId="77777777" w:rsidR="00584EC1" w:rsidRDefault="00584EC1">
            <w:pPr>
              <w:rPr>
                <w:rFonts w:ascii="宋体"/>
                <w:vanish/>
              </w:rPr>
            </w:pPr>
          </w:p>
        </w:tc>
        <w:tc>
          <w:tcPr>
            <w:tcW w:w="0" w:type="auto"/>
            <w:gridSpan w:val="3"/>
            <w:shd w:val="clear" w:color="auto" w:fill="auto"/>
            <w:vAlign w:val="bottom"/>
          </w:tcPr>
          <w:p w14:paraId="74DDEA77" w14:textId="77777777" w:rsidR="00584EC1" w:rsidRDefault="00584EC1">
            <w:pPr>
              <w:rPr>
                <w:rFonts w:ascii="宋体"/>
                <w:vanish/>
              </w:rPr>
            </w:pPr>
          </w:p>
        </w:tc>
        <w:tc>
          <w:tcPr>
            <w:tcW w:w="0" w:type="auto"/>
            <w:gridSpan w:val="3"/>
            <w:shd w:val="clear" w:color="auto" w:fill="auto"/>
            <w:vAlign w:val="bottom"/>
          </w:tcPr>
          <w:p w14:paraId="74DDEA78" w14:textId="77777777" w:rsidR="00584EC1" w:rsidRDefault="00584EC1">
            <w:pPr>
              <w:rPr>
                <w:rFonts w:ascii="宋体"/>
                <w:vanish/>
              </w:rPr>
            </w:pPr>
          </w:p>
        </w:tc>
        <w:tc>
          <w:tcPr>
            <w:tcW w:w="0" w:type="auto"/>
            <w:gridSpan w:val="3"/>
            <w:shd w:val="clear" w:color="auto" w:fill="auto"/>
            <w:vAlign w:val="bottom"/>
          </w:tcPr>
          <w:p w14:paraId="74DDEA79" w14:textId="77777777" w:rsidR="00584EC1" w:rsidRDefault="00584EC1">
            <w:pPr>
              <w:rPr>
                <w:rFonts w:ascii="宋体"/>
                <w:vanish/>
              </w:rPr>
            </w:pPr>
          </w:p>
        </w:tc>
        <w:tc>
          <w:tcPr>
            <w:tcW w:w="0" w:type="auto"/>
            <w:gridSpan w:val="3"/>
            <w:shd w:val="clear" w:color="auto" w:fill="auto"/>
            <w:vAlign w:val="bottom"/>
          </w:tcPr>
          <w:p w14:paraId="74DDEA7A" w14:textId="77777777" w:rsidR="00584EC1" w:rsidRDefault="00584EC1">
            <w:pPr>
              <w:rPr>
                <w:rFonts w:ascii="宋体"/>
                <w:vanish/>
              </w:rPr>
            </w:pPr>
          </w:p>
        </w:tc>
        <w:tc>
          <w:tcPr>
            <w:tcW w:w="0" w:type="auto"/>
            <w:gridSpan w:val="3"/>
            <w:shd w:val="clear" w:color="auto" w:fill="auto"/>
            <w:vAlign w:val="bottom"/>
          </w:tcPr>
          <w:p w14:paraId="74DDEA7B" w14:textId="77777777" w:rsidR="00584EC1" w:rsidRDefault="00584EC1">
            <w:pPr>
              <w:rPr>
                <w:rFonts w:ascii="宋体"/>
                <w:vanish/>
              </w:rPr>
            </w:pPr>
          </w:p>
        </w:tc>
      </w:tr>
      <w:tr w:rsidR="00584EC1" w14:paraId="74DDEA8F" w14:textId="77777777">
        <w:trPr>
          <w:hidden/>
        </w:trPr>
        <w:tc>
          <w:tcPr>
            <w:tcW w:w="0" w:type="auto"/>
            <w:gridSpan w:val="3"/>
            <w:shd w:val="clear" w:color="auto" w:fill="auto"/>
            <w:vAlign w:val="bottom"/>
          </w:tcPr>
          <w:p w14:paraId="74DDEA7D" w14:textId="77777777" w:rsidR="00584EC1" w:rsidRDefault="00584EC1">
            <w:pPr>
              <w:rPr>
                <w:rFonts w:ascii="宋体"/>
                <w:vanish/>
              </w:rPr>
            </w:pPr>
          </w:p>
        </w:tc>
        <w:tc>
          <w:tcPr>
            <w:tcW w:w="0" w:type="auto"/>
            <w:gridSpan w:val="3"/>
            <w:shd w:val="clear" w:color="auto" w:fill="auto"/>
            <w:vAlign w:val="bottom"/>
          </w:tcPr>
          <w:p w14:paraId="74DDEA7E" w14:textId="77777777" w:rsidR="00584EC1" w:rsidRDefault="00584EC1">
            <w:pPr>
              <w:rPr>
                <w:rFonts w:ascii="宋体"/>
                <w:vanish/>
              </w:rPr>
            </w:pPr>
          </w:p>
        </w:tc>
        <w:tc>
          <w:tcPr>
            <w:tcW w:w="0" w:type="auto"/>
            <w:gridSpan w:val="3"/>
            <w:shd w:val="clear" w:color="auto" w:fill="auto"/>
            <w:vAlign w:val="bottom"/>
          </w:tcPr>
          <w:p w14:paraId="74DDEA7F" w14:textId="77777777" w:rsidR="00584EC1" w:rsidRDefault="00584EC1">
            <w:pPr>
              <w:rPr>
                <w:rFonts w:ascii="宋体"/>
                <w:vanish/>
              </w:rPr>
            </w:pPr>
          </w:p>
        </w:tc>
        <w:tc>
          <w:tcPr>
            <w:tcW w:w="0" w:type="auto"/>
            <w:gridSpan w:val="3"/>
            <w:shd w:val="clear" w:color="auto" w:fill="auto"/>
            <w:vAlign w:val="bottom"/>
          </w:tcPr>
          <w:p w14:paraId="74DDEA80" w14:textId="77777777" w:rsidR="00584EC1" w:rsidRDefault="00584EC1">
            <w:pPr>
              <w:rPr>
                <w:rFonts w:ascii="宋体"/>
                <w:vanish/>
              </w:rPr>
            </w:pPr>
          </w:p>
        </w:tc>
        <w:tc>
          <w:tcPr>
            <w:tcW w:w="0" w:type="auto"/>
            <w:gridSpan w:val="3"/>
            <w:shd w:val="clear" w:color="auto" w:fill="auto"/>
            <w:vAlign w:val="bottom"/>
          </w:tcPr>
          <w:p w14:paraId="74DDEA81" w14:textId="77777777" w:rsidR="00584EC1" w:rsidRDefault="00584EC1">
            <w:pPr>
              <w:rPr>
                <w:rFonts w:ascii="宋体"/>
                <w:vanish/>
              </w:rPr>
            </w:pPr>
          </w:p>
        </w:tc>
        <w:tc>
          <w:tcPr>
            <w:tcW w:w="0" w:type="auto"/>
            <w:gridSpan w:val="3"/>
            <w:shd w:val="clear" w:color="auto" w:fill="auto"/>
            <w:vAlign w:val="bottom"/>
          </w:tcPr>
          <w:p w14:paraId="74DDEA82" w14:textId="77777777" w:rsidR="00584EC1" w:rsidRDefault="00584EC1">
            <w:pPr>
              <w:rPr>
                <w:rFonts w:ascii="宋体"/>
                <w:vanish/>
              </w:rPr>
            </w:pPr>
          </w:p>
        </w:tc>
        <w:tc>
          <w:tcPr>
            <w:tcW w:w="0" w:type="auto"/>
            <w:gridSpan w:val="3"/>
            <w:shd w:val="clear" w:color="auto" w:fill="auto"/>
            <w:vAlign w:val="bottom"/>
          </w:tcPr>
          <w:p w14:paraId="74DDEA83" w14:textId="77777777" w:rsidR="00584EC1" w:rsidRDefault="00584EC1">
            <w:pPr>
              <w:rPr>
                <w:rFonts w:ascii="宋体"/>
                <w:vanish/>
              </w:rPr>
            </w:pPr>
          </w:p>
        </w:tc>
        <w:tc>
          <w:tcPr>
            <w:tcW w:w="0" w:type="auto"/>
            <w:gridSpan w:val="3"/>
            <w:shd w:val="clear" w:color="auto" w:fill="auto"/>
            <w:vAlign w:val="bottom"/>
          </w:tcPr>
          <w:p w14:paraId="74DDEA84" w14:textId="77777777" w:rsidR="00584EC1" w:rsidRDefault="00584EC1">
            <w:pPr>
              <w:rPr>
                <w:rFonts w:ascii="宋体"/>
                <w:vanish/>
              </w:rPr>
            </w:pPr>
          </w:p>
        </w:tc>
        <w:tc>
          <w:tcPr>
            <w:tcW w:w="0" w:type="auto"/>
            <w:gridSpan w:val="3"/>
            <w:shd w:val="clear" w:color="auto" w:fill="auto"/>
            <w:vAlign w:val="bottom"/>
          </w:tcPr>
          <w:p w14:paraId="74DDEA85" w14:textId="77777777" w:rsidR="00584EC1" w:rsidRDefault="00584EC1">
            <w:pPr>
              <w:rPr>
                <w:rFonts w:ascii="宋体"/>
                <w:vanish/>
              </w:rPr>
            </w:pPr>
          </w:p>
        </w:tc>
        <w:tc>
          <w:tcPr>
            <w:tcW w:w="0" w:type="auto"/>
            <w:gridSpan w:val="3"/>
            <w:shd w:val="clear" w:color="auto" w:fill="auto"/>
            <w:vAlign w:val="bottom"/>
          </w:tcPr>
          <w:p w14:paraId="74DDEA86" w14:textId="77777777" w:rsidR="00584EC1" w:rsidRDefault="00584EC1">
            <w:pPr>
              <w:rPr>
                <w:rFonts w:ascii="宋体"/>
                <w:vanish/>
              </w:rPr>
            </w:pPr>
          </w:p>
        </w:tc>
        <w:tc>
          <w:tcPr>
            <w:tcW w:w="0" w:type="auto"/>
            <w:gridSpan w:val="3"/>
            <w:shd w:val="clear" w:color="auto" w:fill="auto"/>
            <w:vAlign w:val="bottom"/>
          </w:tcPr>
          <w:p w14:paraId="74DDEA87" w14:textId="77777777" w:rsidR="00584EC1" w:rsidRDefault="00584EC1">
            <w:pPr>
              <w:rPr>
                <w:rFonts w:ascii="宋体"/>
                <w:vanish/>
              </w:rPr>
            </w:pPr>
          </w:p>
        </w:tc>
        <w:tc>
          <w:tcPr>
            <w:tcW w:w="0" w:type="auto"/>
            <w:shd w:val="clear" w:color="auto" w:fill="auto"/>
            <w:vAlign w:val="bottom"/>
          </w:tcPr>
          <w:p w14:paraId="74DDEA88" w14:textId="77777777" w:rsidR="00584EC1" w:rsidRDefault="00584EC1">
            <w:pPr>
              <w:rPr>
                <w:rFonts w:ascii="宋体"/>
                <w:vanish/>
              </w:rPr>
            </w:pPr>
          </w:p>
        </w:tc>
        <w:tc>
          <w:tcPr>
            <w:tcW w:w="0" w:type="auto"/>
            <w:shd w:val="clear" w:color="auto" w:fill="auto"/>
            <w:vAlign w:val="bottom"/>
          </w:tcPr>
          <w:p w14:paraId="74DDEA89" w14:textId="77777777" w:rsidR="00584EC1" w:rsidRDefault="00584EC1">
            <w:pPr>
              <w:rPr>
                <w:rFonts w:ascii="宋体"/>
                <w:vanish/>
              </w:rPr>
            </w:pPr>
          </w:p>
        </w:tc>
        <w:tc>
          <w:tcPr>
            <w:tcW w:w="0" w:type="auto"/>
            <w:gridSpan w:val="3"/>
            <w:shd w:val="clear" w:color="auto" w:fill="auto"/>
            <w:vAlign w:val="bottom"/>
          </w:tcPr>
          <w:p w14:paraId="74DDEA8A" w14:textId="77777777" w:rsidR="00584EC1" w:rsidRDefault="00584EC1">
            <w:pPr>
              <w:rPr>
                <w:rFonts w:ascii="宋体"/>
                <w:vanish/>
              </w:rPr>
            </w:pPr>
          </w:p>
        </w:tc>
        <w:tc>
          <w:tcPr>
            <w:tcW w:w="0" w:type="auto"/>
            <w:gridSpan w:val="3"/>
            <w:shd w:val="clear" w:color="auto" w:fill="auto"/>
            <w:vAlign w:val="bottom"/>
          </w:tcPr>
          <w:p w14:paraId="74DDEA8B" w14:textId="77777777" w:rsidR="00584EC1" w:rsidRDefault="00584EC1">
            <w:pPr>
              <w:rPr>
                <w:rFonts w:ascii="宋体"/>
                <w:vanish/>
              </w:rPr>
            </w:pPr>
          </w:p>
        </w:tc>
        <w:tc>
          <w:tcPr>
            <w:tcW w:w="0" w:type="auto"/>
            <w:gridSpan w:val="3"/>
            <w:shd w:val="clear" w:color="auto" w:fill="auto"/>
            <w:vAlign w:val="bottom"/>
          </w:tcPr>
          <w:p w14:paraId="74DDEA8C" w14:textId="77777777" w:rsidR="00584EC1" w:rsidRDefault="00584EC1">
            <w:pPr>
              <w:rPr>
                <w:rFonts w:ascii="宋体"/>
                <w:vanish/>
              </w:rPr>
            </w:pPr>
          </w:p>
        </w:tc>
        <w:tc>
          <w:tcPr>
            <w:tcW w:w="0" w:type="auto"/>
            <w:gridSpan w:val="3"/>
            <w:shd w:val="clear" w:color="auto" w:fill="auto"/>
            <w:vAlign w:val="bottom"/>
          </w:tcPr>
          <w:p w14:paraId="74DDEA8D" w14:textId="77777777" w:rsidR="00584EC1" w:rsidRDefault="00584EC1">
            <w:pPr>
              <w:rPr>
                <w:rFonts w:ascii="宋体"/>
                <w:vanish/>
              </w:rPr>
            </w:pPr>
          </w:p>
        </w:tc>
        <w:tc>
          <w:tcPr>
            <w:tcW w:w="0" w:type="auto"/>
            <w:gridSpan w:val="3"/>
            <w:shd w:val="clear" w:color="auto" w:fill="auto"/>
            <w:vAlign w:val="bottom"/>
          </w:tcPr>
          <w:p w14:paraId="74DDEA8E" w14:textId="77777777" w:rsidR="00584EC1" w:rsidRDefault="00584EC1">
            <w:pPr>
              <w:rPr>
                <w:rFonts w:ascii="宋体"/>
                <w:vanish/>
              </w:rPr>
            </w:pPr>
          </w:p>
        </w:tc>
      </w:tr>
      <w:tr w:rsidR="00584EC1" w14:paraId="74DDEAB2" w14:textId="77777777">
        <w:tc>
          <w:tcPr>
            <w:tcW w:w="0" w:type="auto"/>
            <w:gridSpan w:val="3"/>
            <w:shd w:val="clear" w:color="auto" w:fill="CCEEFF"/>
            <w:tcMar>
              <w:top w:w="40" w:type="dxa"/>
              <w:left w:w="20" w:type="dxa"/>
              <w:bottom w:w="40" w:type="dxa"/>
              <w:right w:w="20" w:type="dxa"/>
            </w:tcMar>
            <w:vAlign w:val="bottom"/>
          </w:tcPr>
          <w:p w14:paraId="74DDEA90" w14:textId="77777777" w:rsidR="00584EC1" w:rsidRDefault="00871F8D">
            <w:pPr>
              <w:textAlignment w:val="bottom"/>
            </w:pPr>
            <w:r>
              <w:rPr>
                <w:rFonts w:ascii="Arial" w:eastAsia="宋体" w:hAnsi="Arial" w:cs="Arial"/>
                <w:color w:val="000000"/>
                <w:sz w:val="14"/>
                <w:szCs w:val="14"/>
              </w:rPr>
              <w:t>Total loans</w:t>
            </w:r>
          </w:p>
        </w:tc>
        <w:tc>
          <w:tcPr>
            <w:tcW w:w="0" w:type="auto"/>
            <w:shd w:val="clear" w:color="auto" w:fill="CCEEFF"/>
            <w:tcMar>
              <w:top w:w="40" w:type="dxa"/>
              <w:left w:w="20" w:type="dxa"/>
              <w:bottom w:w="40" w:type="dxa"/>
              <w:right w:w="0" w:type="dxa"/>
            </w:tcMar>
            <w:vAlign w:val="bottom"/>
          </w:tcPr>
          <w:p w14:paraId="74DDEA91"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EA92" w14:textId="77777777" w:rsidR="00584EC1" w:rsidRDefault="00871F8D">
            <w:pPr>
              <w:jc w:val="right"/>
              <w:textAlignment w:val="bottom"/>
            </w:pPr>
            <w:r>
              <w:rPr>
                <w:rFonts w:ascii="Arial" w:eastAsia="宋体" w:hAnsi="Arial" w:cs="Arial"/>
                <w:color w:val="000000"/>
                <w:sz w:val="14"/>
                <w:szCs w:val="14"/>
              </w:rPr>
              <w:t>3,935 </w:t>
            </w:r>
          </w:p>
        </w:tc>
        <w:tc>
          <w:tcPr>
            <w:tcW w:w="0" w:type="auto"/>
            <w:shd w:val="clear" w:color="auto" w:fill="CCEEFF"/>
            <w:tcMar>
              <w:top w:w="40" w:type="dxa"/>
              <w:left w:w="0" w:type="dxa"/>
              <w:bottom w:w="40" w:type="dxa"/>
              <w:right w:w="20" w:type="dxa"/>
            </w:tcMar>
            <w:vAlign w:val="bottom"/>
          </w:tcPr>
          <w:p w14:paraId="74DDEA9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A94"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EA95"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EA96" w14:textId="77777777" w:rsidR="00584EC1" w:rsidRDefault="00871F8D">
            <w:pPr>
              <w:jc w:val="right"/>
              <w:textAlignment w:val="bottom"/>
            </w:pPr>
            <w:r>
              <w:rPr>
                <w:rFonts w:ascii="Arial" w:eastAsia="宋体" w:hAnsi="Arial" w:cs="Arial"/>
                <w:color w:val="000000"/>
                <w:sz w:val="14"/>
                <w:szCs w:val="14"/>
              </w:rPr>
              <w:t>2,313 </w:t>
            </w:r>
          </w:p>
        </w:tc>
        <w:tc>
          <w:tcPr>
            <w:tcW w:w="0" w:type="auto"/>
            <w:shd w:val="clear" w:color="auto" w:fill="CCEEFF"/>
            <w:tcMar>
              <w:top w:w="40" w:type="dxa"/>
              <w:left w:w="0" w:type="dxa"/>
              <w:bottom w:w="40" w:type="dxa"/>
              <w:right w:w="20" w:type="dxa"/>
            </w:tcMar>
            <w:vAlign w:val="bottom"/>
          </w:tcPr>
          <w:p w14:paraId="74DDEA9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A98"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EA99"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EA9A" w14:textId="77777777" w:rsidR="00584EC1" w:rsidRDefault="00871F8D">
            <w:pPr>
              <w:jc w:val="right"/>
              <w:textAlignment w:val="bottom"/>
            </w:pPr>
            <w:r>
              <w:rPr>
                <w:rFonts w:ascii="Arial" w:eastAsia="宋体" w:hAnsi="Arial" w:cs="Arial"/>
                <w:color w:val="000000"/>
                <w:sz w:val="14"/>
                <w:szCs w:val="14"/>
              </w:rPr>
              <w:t>1,918 </w:t>
            </w:r>
          </w:p>
        </w:tc>
        <w:tc>
          <w:tcPr>
            <w:tcW w:w="0" w:type="auto"/>
            <w:shd w:val="clear" w:color="auto" w:fill="CCEEFF"/>
            <w:tcMar>
              <w:top w:w="40" w:type="dxa"/>
              <w:left w:w="0" w:type="dxa"/>
              <w:bottom w:w="40" w:type="dxa"/>
              <w:right w:w="20" w:type="dxa"/>
            </w:tcMar>
            <w:vAlign w:val="bottom"/>
          </w:tcPr>
          <w:p w14:paraId="74DDEA9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A9C"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EA9D"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EA9E" w14:textId="77777777" w:rsidR="00584EC1" w:rsidRDefault="00871F8D">
            <w:pPr>
              <w:jc w:val="right"/>
              <w:textAlignment w:val="bottom"/>
            </w:pPr>
            <w:r>
              <w:rPr>
                <w:rFonts w:ascii="Arial" w:eastAsia="宋体" w:hAnsi="Arial" w:cs="Arial"/>
                <w:color w:val="000000"/>
                <w:sz w:val="14"/>
                <w:szCs w:val="14"/>
              </w:rPr>
              <w:t>1,272 </w:t>
            </w:r>
          </w:p>
        </w:tc>
        <w:tc>
          <w:tcPr>
            <w:tcW w:w="0" w:type="auto"/>
            <w:shd w:val="clear" w:color="auto" w:fill="CCEEFF"/>
            <w:tcMar>
              <w:top w:w="40" w:type="dxa"/>
              <w:left w:w="0" w:type="dxa"/>
              <w:bottom w:w="40" w:type="dxa"/>
              <w:right w:w="20" w:type="dxa"/>
            </w:tcMar>
            <w:vAlign w:val="bottom"/>
          </w:tcPr>
          <w:p w14:paraId="74DDEA9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AA0"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EAA1"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EAA2" w14:textId="77777777" w:rsidR="00584EC1" w:rsidRDefault="00871F8D">
            <w:pPr>
              <w:jc w:val="right"/>
              <w:textAlignment w:val="bottom"/>
            </w:pPr>
            <w:r>
              <w:rPr>
                <w:rFonts w:ascii="Arial" w:eastAsia="宋体" w:hAnsi="Arial" w:cs="Arial"/>
                <w:color w:val="000000"/>
                <w:sz w:val="14"/>
                <w:szCs w:val="14"/>
              </w:rPr>
              <w:t>495 </w:t>
            </w:r>
          </w:p>
        </w:tc>
        <w:tc>
          <w:tcPr>
            <w:tcW w:w="0" w:type="auto"/>
            <w:shd w:val="clear" w:color="auto" w:fill="CCEEFF"/>
            <w:tcMar>
              <w:top w:w="40" w:type="dxa"/>
              <w:left w:w="0" w:type="dxa"/>
              <w:bottom w:w="40" w:type="dxa"/>
              <w:right w:w="20" w:type="dxa"/>
            </w:tcMar>
            <w:vAlign w:val="bottom"/>
          </w:tcPr>
          <w:p w14:paraId="74DDEAA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AA4" w14:textId="77777777" w:rsidR="00584EC1" w:rsidRDefault="00584EC1">
            <w:pPr>
              <w:rPr>
                <w:rFonts w:ascii="宋体"/>
              </w:rPr>
            </w:pPr>
          </w:p>
        </w:tc>
        <w:tc>
          <w:tcPr>
            <w:tcW w:w="0" w:type="auto"/>
            <w:shd w:val="clear" w:color="auto" w:fill="auto"/>
            <w:vAlign w:val="bottom"/>
          </w:tcPr>
          <w:p w14:paraId="74DDEAA5" w14:textId="77777777" w:rsidR="00584EC1" w:rsidRDefault="00584EC1">
            <w:pPr>
              <w:rPr>
                <w:rFonts w:ascii="宋体"/>
                <w:vanish/>
              </w:rPr>
            </w:pPr>
          </w:p>
        </w:tc>
        <w:tc>
          <w:tcPr>
            <w:tcW w:w="0" w:type="auto"/>
            <w:shd w:val="clear" w:color="auto" w:fill="auto"/>
            <w:vAlign w:val="bottom"/>
          </w:tcPr>
          <w:p w14:paraId="74DDEAA6" w14:textId="77777777" w:rsidR="00584EC1" w:rsidRDefault="00584EC1">
            <w:pPr>
              <w:rPr>
                <w:rFonts w:ascii="宋体"/>
                <w:vanish/>
              </w:rPr>
            </w:pPr>
          </w:p>
        </w:tc>
        <w:tc>
          <w:tcPr>
            <w:tcW w:w="0" w:type="auto"/>
            <w:shd w:val="clear" w:color="auto" w:fill="CCEEFF"/>
            <w:tcMar>
              <w:top w:w="40" w:type="dxa"/>
              <w:left w:w="20" w:type="dxa"/>
              <w:bottom w:w="40" w:type="dxa"/>
              <w:right w:w="0" w:type="dxa"/>
            </w:tcMar>
            <w:vAlign w:val="bottom"/>
          </w:tcPr>
          <w:p w14:paraId="74DDEAA7"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EAA8" w14:textId="77777777" w:rsidR="00584EC1" w:rsidRDefault="00871F8D">
            <w:pPr>
              <w:jc w:val="right"/>
              <w:textAlignment w:val="bottom"/>
            </w:pPr>
            <w:r>
              <w:rPr>
                <w:rFonts w:ascii="Arial" w:eastAsia="宋体" w:hAnsi="Arial" w:cs="Arial"/>
                <w:color w:val="000000"/>
                <w:sz w:val="14"/>
                <w:szCs w:val="14"/>
              </w:rPr>
              <w:t>95 </w:t>
            </w:r>
          </w:p>
        </w:tc>
        <w:tc>
          <w:tcPr>
            <w:tcW w:w="0" w:type="auto"/>
            <w:shd w:val="clear" w:color="auto" w:fill="CCEEFF"/>
            <w:tcMar>
              <w:top w:w="40" w:type="dxa"/>
              <w:left w:w="0" w:type="dxa"/>
              <w:bottom w:w="40" w:type="dxa"/>
              <w:right w:w="20" w:type="dxa"/>
            </w:tcMar>
            <w:vAlign w:val="bottom"/>
          </w:tcPr>
          <w:p w14:paraId="74DDEAA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AAA"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EAAB"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EAAC" w14:textId="77777777" w:rsidR="00584EC1" w:rsidRDefault="00871F8D">
            <w:pPr>
              <w:jc w:val="right"/>
              <w:textAlignment w:val="bottom"/>
            </w:pPr>
            <w:r>
              <w:rPr>
                <w:rFonts w:ascii="Arial" w:eastAsia="宋体" w:hAnsi="Arial" w:cs="Arial"/>
                <w:color w:val="000000"/>
                <w:sz w:val="14"/>
                <w:szCs w:val="14"/>
              </w:rPr>
              <w:t>17,897 </w:t>
            </w:r>
          </w:p>
        </w:tc>
        <w:tc>
          <w:tcPr>
            <w:tcW w:w="0" w:type="auto"/>
            <w:shd w:val="clear" w:color="auto" w:fill="CCEEFF"/>
            <w:tcMar>
              <w:top w:w="40" w:type="dxa"/>
              <w:left w:w="0" w:type="dxa"/>
              <w:bottom w:w="40" w:type="dxa"/>
              <w:right w:w="20" w:type="dxa"/>
            </w:tcMar>
            <w:vAlign w:val="bottom"/>
          </w:tcPr>
          <w:p w14:paraId="74DDEAA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AAE"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EAAF"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EAB0" w14:textId="77777777" w:rsidR="00584EC1" w:rsidRDefault="00871F8D">
            <w:pPr>
              <w:jc w:val="right"/>
              <w:textAlignment w:val="bottom"/>
            </w:pPr>
            <w:r>
              <w:rPr>
                <w:rFonts w:ascii="Arial" w:eastAsia="宋体" w:hAnsi="Arial" w:cs="Arial"/>
                <w:color w:val="000000"/>
                <w:sz w:val="14"/>
                <w:szCs w:val="14"/>
              </w:rPr>
              <w:t>27,925 </w:t>
            </w:r>
          </w:p>
        </w:tc>
        <w:tc>
          <w:tcPr>
            <w:tcW w:w="0" w:type="auto"/>
            <w:shd w:val="clear" w:color="auto" w:fill="CCEEFF"/>
            <w:tcMar>
              <w:top w:w="40" w:type="dxa"/>
              <w:left w:w="0" w:type="dxa"/>
              <w:bottom w:w="40" w:type="dxa"/>
              <w:right w:w="20" w:type="dxa"/>
            </w:tcMar>
            <w:vAlign w:val="bottom"/>
          </w:tcPr>
          <w:p w14:paraId="74DDEAB1" w14:textId="77777777" w:rsidR="00584EC1" w:rsidRDefault="00584EC1">
            <w:pPr>
              <w:jc w:val="right"/>
              <w:rPr>
                <w:rFonts w:ascii="宋体"/>
              </w:rPr>
            </w:pPr>
          </w:p>
        </w:tc>
      </w:tr>
      <w:tr w:rsidR="00584EC1" w14:paraId="74DDEAC5" w14:textId="77777777">
        <w:trPr>
          <w:hidden/>
        </w:trPr>
        <w:tc>
          <w:tcPr>
            <w:tcW w:w="0" w:type="auto"/>
            <w:gridSpan w:val="3"/>
            <w:shd w:val="clear" w:color="auto" w:fill="auto"/>
            <w:vAlign w:val="bottom"/>
          </w:tcPr>
          <w:p w14:paraId="74DDEAB3" w14:textId="77777777" w:rsidR="00584EC1" w:rsidRDefault="00584EC1">
            <w:pPr>
              <w:rPr>
                <w:rFonts w:ascii="宋体"/>
                <w:vanish/>
              </w:rPr>
            </w:pPr>
          </w:p>
        </w:tc>
        <w:tc>
          <w:tcPr>
            <w:tcW w:w="0" w:type="auto"/>
            <w:gridSpan w:val="3"/>
            <w:shd w:val="clear" w:color="auto" w:fill="auto"/>
            <w:vAlign w:val="bottom"/>
          </w:tcPr>
          <w:p w14:paraId="74DDEAB4" w14:textId="77777777" w:rsidR="00584EC1" w:rsidRDefault="00584EC1">
            <w:pPr>
              <w:rPr>
                <w:rFonts w:ascii="宋体"/>
                <w:vanish/>
              </w:rPr>
            </w:pPr>
          </w:p>
        </w:tc>
        <w:tc>
          <w:tcPr>
            <w:tcW w:w="0" w:type="auto"/>
            <w:gridSpan w:val="3"/>
            <w:shd w:val="clear" w:color="auto" w:fill="auto"/>
            <w:vAlign w:val="bottom"/>
          </w:tcPr>
          <w:p w14:paraId="74DDEAB5" w14:textId="77777777" w:rsidR="00584EC1" w:rsidRDefault="00584EC1">
            <w:pPr>
              <w:rPr>
                <w:rFonts w:ascii="宋体"/>
                <w:vanish/>
              </w:rPr>
            </w:pPr>
          </w:p>
        </w:tc>
        <w:tc>
          <w:tcPr>
            <w:tcW w:w="0" w:type="auto"/>
            <w:gridSpan w:val="3"/>
            <w:shd w:val="clear" w:color="auto" w:fill="auto"/>
            <w:vAlign w:val="bottom"/>
          </w:tcPr>
          <w:p w14:paraId="74DDEAB6" w14:textId="77777777" w:rsidR="00584EC1" w:rsidRDefault="00584EC1">
            <w:pPr>
              <w:rPr>
                <w:rFonts w:ascii="宋体"/>
                <w:vanish/>
              </w:rPr>
            </w:pPr>
          </w:p>
        </w:tc>
        <w:tc>
          <w:tcPr>
            <w:tcW w:w="0" w:type="auto"/>
            <w:gridSpan w:val="3"/>
            <w:shd w:val="clear" w:color="auto" w:fill="auto"/>
            <w:vAlign w:val="bottom"/>
          </w:tcPr>
          <w:p w14:paraId="74DDEAB7" w14:textId="77777777" w:rsidR="00584EC1" w:rsidRDefault="00584EC1">
            <w:pPr>
              <w:rPr>
                <w:rFonts w:ascii="宋体"/>
                <w:vanish/>
              </w:rPr>
            </w:pPr>
          </w:p>
        </w:tc>
        <w:tc>
          <w:tcPr>
            <w:tcW w:w="0" w:type="auto"/>
            <w:gridSpan w:val="3"/>
            <w:shd w:val="clear" w:color="auto" w:fill="auto"/>
            <w:vAlign w:val="bottom"/>
          </w:tcPr>
          <w:p w14:paraId="74DDEAB8" w14:textId="77777777" w:rsidR="00584EC1" w:rsidRDefault="00584EC1">
            <w:pPr>
              <w:rPr>
                <w:rFonts w:ascii="宋体"/>
                <w:vanish/>
              </w:rPr>
            </w:pPr>
          </w:p>
        </w:tc>
        <w:tc>
          <w:tcPr>
            <w:tcW w:w="0" w:type="auto"/>
            <w:gridSpan w:val="3"/>
            <w:shd w:val="clear" w:color="auto" w:fill="auto"/>
            <w:vAlign w:val="bottom"/>
          </w:tcPr>
          <w:p w14:paraId="74DDEAB9" w14:textId="77777777" w:rsidR="00584EC1" w:rsidRDefault="00584EC1">
            <w:pPr>
              <w:rPr>
                <w:rFonts w:ascii="宋体"/>
                <w:vanish/>
              </w:rPr>
            </w:pPr>
          </w:p>
        </w:tc>
        <w:tc>
          <w:tcPr>
            <w:tcW w:w="0" w:type="auto"/>
            <w:gridSpan w:val="3"/>
            <w:shd w:val="clear" w:color="auto" w:fill="auto"/>
            <w:vAlign w:val="bottom"/>
          </w:tcPr>
          <w:p w14:paraId="74DDEABA" w14:textId="77777777" w:rsidR="00584EC1" w:rsidRDefault="00584EC1">
            <w:pPr>
              <w:rPr>
                <w:rFonts w:ascii="宋体"/>
                <w:vanish/>
              </w:rPr>
            </w:pPr>
          </w:p>
        </w:tc>
        <w:tc>
          <w:tcPr>
            <w:tcW w:w="0" w:type="auto"/>
            <w:gridSpan w:val="3"/>
            <w:shd w:val="clear" w:color="auto" w:fill="auto"/>
            <w:vAlign w:val="bottom"/>
          </w:tcPr>
          <w:p w14:paraId="74DDEABB" w14:textId="77777777" w:rsidR="00584EC1" w:rsidRDefault="00584EC1">
            <w:pPr>
              <w:rPr>
                <w:rFonts w:ascii="宋体"/>
                <w:vanish/>
              </w:rPr>
            </w:pPr>
          </w:p>
        </w:tc>
        <w:tc>
          <w:tcPr>
            <w:tcW w:w="0" w:type="auto"/>
            <w:gridSpan w:val="3"/>
            <w:shd w:val="clear" w:color="auto" w:fill="auto"/>
            <w:vAlign w:val="bottom"/>
          </w:tcPr>
          <w:p w14:paraId="74DDEABC" w14:textId="77777777" w:rsidR="00584EC1" w:rsidRDefault="00584EC1">
            <w:pPr>
              <w:rPr>
                <w:rFonts w:ascii="宋体"/>
                <w:vanish/>
              </w:rPr>
            </w:pPr>
          </w:p>
        </w:tc>
        <w:tc>
          <w:tcPr>
            <w:tcW w:w="0" w:type="auto"/>
            <w:gridSpan w:val="3"/>
            <w:shd w:val="clear" w:color="auto" w:fill="auto"/>
            <w:vAlign w:val="bottom"/>
          </w:tcPr>
          <w:p w14:paraId="74DDEABD" w14:textId="77777777" w:rsidR="00584EC1" w:rsidRDefault="00584EC1">
            <w:pPr>
              <w:rPr>
                <w:rFonts w:ascii="宋体"/>
                <w:vanish/>
              </w:rPr>
            </w:pPr>
          </w:p>
        </w:tc>
        <w:tc>
          <w:tcPr>
            <w:tcW w:w="0" w:type="auto"/>
            <w:shd w:val="clear" w:color="auto" w:fill="auto"/>
            <w:vAlign w:val="bottom"/>
          </w:tcPr>
          <w:p w14:paraId="74DDEABE" w14:textId="77777777" w:rsidR="00584EC1" w:rsidRDefault="00584EC1">
            <w:pPr>
              <w:rPr>
                <w:rFonts w:ascii="宋体"/>
                <w:vanish/>
              </w:rPr>
            </w:pPr>
          </w:p>
        </w:tc>
        <w:tc>
          <w:tcPr>
            <w:tcW w:w="0" w:type="auto"/>
            <w:shd w:val="clear" w:color="auto" w:fill="auto"/>
            <w:vAlign w:val="bottom"/>
          </w:tcPr>
          <w:p w14:paraId="74DDEABF" w14:textId="77777777" w:rsidR="00584EC1" w:rsidRDefault="00584EC1">
            <w:pPr>
              <w:rPr>
                <w:rFonts w:ascii="宋体"/>
                <w:vanish/>
              </w:rPr>
            </w:pPr>
          </w:p>
        </w:tc>
        <w:tc>
          <w:tcPr>
            <w:tcW w:w="0" w:type="auto"/>
            <w:gridSpan w:val="3"/>
            <w:shd w:val="clear" w:color="auto" w:fill="auto"/>
            <w:vAlign w:val="bottom"/>
          </w:tcPr>
          <w:p w14:paraId="74DDEAC0" w14:textId="77777777" w:rsidR="00584EC1" w:rsidRDefault="00584EC1">
            <w:pPr>
              <w:rPr>
                <w:rFonts w:ascii="宋体"/>
                <w:vanish/>
              </w:rPr>
            </w:pPr>
          </w:p>
        </w:tc>
        <w:tc>
          <w:tcPr>
            <w:tcW w:w="0" w:type="auto"/>
            <w:gridSpan w:val="3"/>
            <w:shd w:val="clear" w:color="auto" w:fill="auto"/>
            <w:vAlign w:val="bottom"/>
          </w:tcPr>
          <w:p w14:paraId="74DDEAC1" w14:textId="77777777" w:rsidR="00584EC1" w:rsidRDefault="00584EC1">
            <w:pPr>
              <w:rPr>
                <w:rFonts w:ascii="宋体"/>
                <w:vanish/>
              </w:rPr>
            </w:pPr>
          </w:p>
        </w:tc>
        <w:tc>
          <w:tcPr>
            <w:tcW w:w="0" w:type="auto"/>
            <w:gridSpan w:val="3"/>
            <w:shd w:val="clear" w:color="auto" w:fill="auto"/>
            <w:vAlign w:val="bottom"/>
          </w:tcPr>
          <w:p w14:paraId="74DDEAC2" w14:textId="77777777" w:rsidR="00584EC1" w:rsidRDefault="00584EC1">
            <w:pPr>
              <w:rPr>
                <w:rFonts w:ascii="宋体"/>
                <w:vanish/>
              </w:rPr>
            </w:pPr>
          </w:p>
        </w:tc>
        <w:tc>
          <w:tcPr>
            <w:tcW w:w="0" w:type="auto"/>
            <w:gridSpan w:val="3"/>
            <w:shd w:val="clear" w:color="auto" w:fill="auto"/>
            <w:vAlign w:val="bottom"/>
          </w:tcPr>
          <w:p w14:paraId="74DDEAC3" w14:textId="77777777" w:rsidR="00584EC1" w:rsidRDefault="00584EC1">
            <w:pPr>
              <w:rPr>
                <w:rFonts w:ascii="宋体"/>
                <w:vanish/>
              </w:rPr>
            </w:pPr>
          </w:p>
        </w:tc>
        <w:tc>
          <w:tcPr>
            <w:tcW w:w="0" w:type="auto"/>
            <w:gridSpan w:val="3"/>
            <w:shd w:val="clear" w:color="auto" w:fill="auto"/>
            <w:vAlign w:val="bottom"/>
          </w:tcPr>
          <w:p w14:paraId="74DDEAC4" w14:textId="77777777" w:rsidR="00584EC1" w:rsidRDefault="00584EC1">
            <w:pPr>
              <w:rPr>
                <w:rFonts w:ascii="宋体"/>
                <w:vanish/>
              </w:rPr>
            </w:pPr>
          </w:p>
        </w:tc>
      </w:tr>
      <w:tr w:rsidR="00584EC1" w14:paraId="74DDEAD8" w14:textId="77777777">
        <w:trPr>
          <w:hidden/>
        </w:trPr>
        <w:tc>
          <w:tcPr>
            <w:tcW w:w="0" w:type="auto"/>
            <w:gridSpan w:val="3"/>
            <w:shd w:val="clear" w:color="auto" w:fill="auto"/>
            <w:vAlign w:val="bottom"/>
          </w:tcPr>
          <w:p w14:paraId="74DDEAC6" w14:textId="77777777" w:rsidR="00584EC1" w:rsidRDefault="00584EC1">
            <w:pPr>
              <w:rPr>
                <w:rFonts w:ascii="宋体"/>
                <w:vanish/>
              </w:rPr>
            </w:pPr>
          </w:p>
        </w:tc>
        <w:tc>
          <w:tcPr>
            <w:tcW w:w="0" w:type="auto"/>
            <w:gridSpan w:val="3"/>
            <w:shd w:val="clear" w:color="auto" w:fill="auto"/>
            <w:vAlign w:val="bottom"/>
          </w:tcPr>
          <w:p w14:paraId="74DDEAC7" w14:textId="77777777" w:rsidR="00584EC1" w:rsidRDefault="00584EC1">
            <w:pPr>
              <w:rPr>
                <w:rFonts w:ascii="宋体"/>
                <w:vanish/>
              </w:rPr>
            </w:pPr>
          </w:p>
        </w:tc>
        <w:tc>
          <w:tcPr>
            <w:tcW w:w="0" w:type="auto"/>
            <w:gridSpan w:val="3"/>
            <w:shd w:val="clear" w:color="auto" w:fill="auto"/>
            <w:vAlign w:val="bottom"/>
          </w:tcPr>
          <w:p w14:paraId="74DDEAC8" w14:textId="77777777" w:rsidR="00584EC1" w:rsidRDefault="00584EC1">
            <w:pPr>
              <w:rPr>
                <w:rFonts w:ascii="宋体"/>
                <w:vanish/>
              </w:rPr>
            </w:pPr>
          </w:p>
        </w:tc>
        <w:tc>
          <w:tcPr>
            <w:tcW w:w="0" w:type="auto"/>
            <w:gridSpan w:val="3"/>
            <w:shd w:val="clear" w:color="auto" w:fill="auto"/>
            <w:vAlign w:val="bottom"/>
          </w:tcPr>
          <w:p w14:paraId="74DDEAC9" w14:textId="77777777" w:rsidR="00584EC1" w:rsidRDefault="00584EC1">
            <w:pPr>
              <w:rPr>
                <w:rFonts w:ascii="宋体"/>
                <w:vanish/>
              </w:rPr>
            </w:pPr>
          </w:p>
        </w:tc>
        <w:tc>
          <w:tcPr>
            <w:tcW w:w="0" w:type="auto"/>
            <w:gridSpan w:val="3"/>
            <w:shd w:val="clear" w:color="auto" w:fill="auto"/>
            <w:vAlign w:val="bottom"/>
          </w:tcPr>
          <w:p w14:paraId="74DDEACA" w14:textId="77777777" w:rsidR="00584EC1" w:rsidRDefault="00584EC1">
            <w:pPr>
              <w:rPr>
                <w:rFonts w:ascii="宋体"/>
                <w:vanish/>
              </w:rPr>
            </w:pPr>
          </w:p>
        </w:tc>
        <w:tc>
          <w:tcPr>
            <w:tcW w:w="0" w:type="auto"/>
            <w:gridSpan w:val="3"/>
            <w:shd w:val="clear" w:color="auto" w:fill="auto"/>
            <w:vAlign w:val="bottom"/>
          </w:tcPr>
          <w:p w14:paraId="74DDEACB" w14:textId="77777777" w:rsidR="00584EC1" w:rsidRDefault="00584EC1">
            <w:pPr>
              <w:rPr>
                <w:rFonts w:ascii="宋体"/>
                <w:vanish/>
              </w:rPr>
            </w:pPr>
          </w:p>
        </w:tc>
        <w:tc>
          <w:tcPr>
            <w:tcW w:w="0" w:type="auto"/>
            <w:gridSpan w:val="3"/>
            <w:shd w:val="clear" w:color="auto" w:fill="auto"/>
            <w:vAlign w:val="bottom"/>
          </w:tcPr>
          <w:p w14:paraId="74DDEACC" w14:textId="77777777" w:rsidR="00584EC1" w:rsidRDefault="00584EC1">
            <w:pPr>
              <w:rPr>
                <w:rFonts w:ascii="宋体"/>
                <w:vanish/>
              </w:rPr>
            </w:pPr>
          </w:p>
        </w:tc>
        <w:tc>
          <w:tcPr>
            <w:tcW w:w="0" w:type="auto"/>
            <w:gridSpan w:val="3"/>
            <w:shd w:val="clear" w:color="auto" w:fill="auto"/>
            <w:vAlign w:val="bottom"/>
          </w:tcPr>
          <w:p w14:paraId="74DDEACD" w14:textId="77777777" w:rsidR="00584EC1" w:rsidRDefault="00584EC1">
            <w:pPr>
              <w:rPr>
                <w:rFonts w:ascii="宋体"/>
                <w:vanish/>
              </w:rPr>
            </w:pPr>
          </w:p>
        </w:tc>
        <w:tc>
          <w:tcPr>
            <w:tcW w:w="0" w:type="auto"/>
            <w:gridSpan w:val="3"/>
            <w:shd w:val="clear" w:color="auto" w:fill="auto"/>
            <w:vAlign w:val="bottom"/>
          </w:tcPr>
          <w:p w14:paraId="74DDEACE" w14:textId="77777777" w:rsidR="00584EC1" w:rsidRDefault="00584EC1">
            <w:pPr>
              <w:rPr>
                <w:rFonts w:ascii="宋体"/>
                <w:vanish/>
              </w:rPr>
            </w:pPr>
          </w:p>
        </w:tc>
        <w:tc>
          <w:tcPr>
            <w:tcW w:w="0" w:type="auto"/>
            <w:gridSpan w:val="3"/>
            <w:shd w:val="clear" w:color="auto" w:fill="auto"/>
            <w:vAlign w:val="bottom"/>
          </w:tcPr>
          <w:p w14:paraId="74DDEACF" w14:textId="77777777" w:rsidR="00584EC1" w:rsidRDefault="00584EC1">
            <w:pPr>
              <w:rPr>
                <w:rFonts w:ascii="宋体"/>
                <w:vanish/>
              </w:rPr>
            </w:pPr>
          </w:p>
        </w:tc>
        <w:tc>
          <w:tcPr>
            <w:tcW w:w="0" w:type="auto"/>
            <w:gridSpan w:val="3"/>
            <w:shd w:val="clear" w:color="auto" w:fill="auto"/>
            <w:vAlign w:val="bottom"/>
          </w:tcPr>
          <w:p w14:paraId="74DDEAD0" w14:textId="77777777" w:rsidR="00584EC1" w:rsidRDefault="00584EC1">
            <w:pPr>
              <w:rPr>
                <w:rFonts w:ascii="宋体"/>
                <w:vanish/>
              </w:rPr>
            </w:pPr>
          </w:p>
        </w:tc>
        <w:tc>
          <w:tcPr>
            <w:tcW w:w="0" w:type="auto"/>
            <w:shd w:val="clear" w:color="auto" w:fill="auto"/>
            <w:vAlign w:val="bottom"/>
          </w:tcPr>
          <w:p w14:paraId="74DDEAD1" w14:textId="77777777" w:rsidR="00584EC1" w:rsidRDefault="00584EC1">
            <w:pPr>
              <w:rPr>
                <w:rFonts w:ascii="宋体"/>
                <w:vanish/>
              </w:rPr>
            </w:pPr>
          </w:p>
        </w:tc>
        <w:tc>
          <w:tcPr>
            <w:tcW w:w="0" w:type="auto"/>
            <w:shd w:val="clear" w:color="auto" w:fill="auto"/>
            <w:vAlign w:val="bottom"/>
          </w:tcPr>
          <w:p w14:paraId="74DDEAD2" w14:textId="77777777" w:rsidR="00584EC1" w:rsidRDefault="00584EC1">
            <w:pPr>
              <w:rPr>
                <w:rFonts w:ascii="宋体"/>
                <w:vanish/>
              </w:rPr>
            </w:pPr>
          </w:p>
        </w:tc>
        <w:tc>
          <w:tcPr>
            <w:tcW w:w="0" w:type="auto"/>
            <w:gridSpan w:val="3"/>
            <w:shd w:val="clear" w:color="auto" w:fill="auto"/>
            <w:vAlign w:val="bottom"/>
          </w:tcPr>
          <w:p w14:paraId="74DDEAD3" w14:textId="77777777" w:rsidR="00584EC1" w:rsidRDefault="00584EC1">
            <w:pPr>
              <w:rPr>
                <w:rFonts w:ascii="宋体"/>
                <w:vanish/>
              </w:rPr>
            </w:pPr>
          </w:p>
        </w:tc>
        <w:tc>
          <w:tcPr>
            <w:tcW w:w="0" w:type="auto"/>
            <w:gridSpan w:val="3"/>
            <w:shd w:val="clear" w:color="auto" w:fill="auto"/>
            <w:vAlign w:val="bottom"/>
          </w:tcPr>
          <w:p w14:paraId="74DDEAD4" w14:textId="77777777" w:rsidR="00584EC1" w:rsidRDefault="00584EC1">
            <w:pPr>
              <w:rPr>
                <w:rFonts w:ascii="宋体"/>
                <w:vanish/>
              </w:rPr>
            </w:pPr>
          </w:p>
        </w:tc>
        <w:tc>
          <w:tcPr>
            <w:tcW w:w="0" w:type="auto"/>
            <w:gridSpan w:val="3"/>
            <w:shd w:val="clear" w:color="auto" w:fill="auto"/>
            <w:vAlign w:val="bottom"/>
          </w:tcPr>
          <w:p w14:paraId="74DDEAD5" w14:textId="77777777" w:rsidR="00584EC1" w:rsidRDefault="00584EC1">
            <w:pPr>
              <w:rPr>
                <w:rFonts w:ascii="宋体"/>
                <w:vanish/>
              </w:rPr>
            </w:pPr>
          </w:p>
        </w:tc>
        <w:tc>
          <w:tcPr>
            <w:tcW w:w="0" w:type="auto"/>
            <w:gridSpan w:val="3"/>
            <w:shd w:val="clear" w:color="auto" w:fill="auto"/>
            <w:vAlign w:val="bottom"/>
          </w:tcPr>
          <w:p w14:paraId="74DDEAD6" w14:textId="77777777" w:rsidR="00584EC1" w:rsidRDefault="00584EC1">
            <w:pPr>
              <w:rPr>
                <w:rFonts w:ascii="宋体"/>
                <w:vanish/>
              </w:rPr>
            </w:pPr>
          </w:p>
        </w:tc>
        <w:tc>
          <w:tcPr>
            <w:tcW w:w="0" w:type="auto"/>
            <w:gridSpan w:val="3"/>
            <w:shd w:val="clear" w:color="auto" w:fill="auto"/>
            <w:vAlign w:val="bottom"/>
          </w:tcPr>
          <w:p w14:paraId="74DDEAD7" w14:textId="77777777" w:rsidR="00584EC1" w:rsidRDefault="00584EC1">
            <w:pPr>
              <w:rPr>
                <w:rFonts w:ascii="宋体"/>
                <w:vanish/>
              </w:rPr>
            </w:pPr>
          </w:p>
        </w:tc>
      </w:tr>
      <w:tr w:rsidR="00584EC1" w14:paraId="74DDEAEB" w14:textId="77777777">
        <w:trPr>
          <w:hidden/>
        </w:trPr>
        <w:tc>
          <w:tcPr>
            <w:tcW w:w="0" w:type="auto"/>
            <w:gridSpan w:val="3"/>
            <w:shd w:val="clear" w:color="auto" w:fill="auto"/>
            <w:vAlign w:val="bottom"/>
          </w:tcPr>
          <w:p w14:paraId="74DDEAD9" w14:textId="77777777" w:rsidR="00584EC1" w:rsidRDefault="00584EC1">
            <w:pPr>
              <w:rPr>
                <w:rFonts w:ascii="宋体"/>
                <w:vanish/>
              </w:rPr>
            </w:pPr>
          </w:p>
        </w:tc>
        <w:tc>
          <w:tcPr>
            <w:tcW w:w="0" w:type="auto"/>
            <w:gridSpan w:val="3"/>
            <w:shd w:val="clear" w:color="auto" w:fill="auto"/>
            <w:vAlign w:val="bottom"/>
          </w:tcPr>
          <w:p w14:paraId="74DDEADA" w14:textId="77777777" w:rsidR="00584EC1" w:rsidRDefault="00584EC1">
            <w:pPr>
              <w:rPr>
                <w:rFonts w:ascii="宋体"/>
                <w:vanish/>
              </w:rPr>
            </w:pPr>
          </w:p>
        </w:tc>
        <w:tc>
          <w:tcPr>
            <w:tcW w:w="0" w:type="auto"/>
            <w:gridSpan w:val="3"/>
            <w:shd w:val="clear" w:color="auto" w:fill="auto"/>
            <w:vAlign w:val="bottom"/>
          </w:tcPr>
          <w:p w14:paraId="74DDEADB" w14:textId="77777777" w:rsidR="00584EC1" w:rsidRDefault="00584EC1">
            <w:pPr>
              <w:rPr>
                <w:rFonts w:ascii="宋体"/>
                <w:vanish/>
              </w:rPr>
            </w:pPr>
          </w:p>
        </w:tc>
        <w:tc>
          <w:tcPr>
            <w:tcW w:w="0" w:type="auto"/>
            <w:gridSpan w:val="3"/>
            <w:shd w:val="clear" w:color="auto" w:fill="auto"/>
            <w:vAlign w:val="bottom"/>
          </w:tcPr>
          <w:p w14:paraId="74DDEADC" w14:textId="77777777" w:rsidR="00584EC1" w:rsidRDefault="00584EC1">
            <w:pPr>
              <w:rPr>
                <w:rFonts w:ascii="宋体"/>
                <w:vanish/>
              </w:rPr>
            </w:pPr>
          </w:p>
        </w:tc>
        <w:tc>
          <w:tcPr>
            <w:tcW w:w="0" w:type="auto"/>
            <w:gridSpan w:val="3"/>
            <w:shd w:val="clear" w:color="auto" w:fill="auto"/>
            <w:vAlign w:val="bottom"/>
          </w:tcPr>
          <w:p w14:paraId="74DDEADD" w14:textId="77777777" w:rsidR="00584EC1" w:rsidRDefault="00584EC1">
            <w:pPr>
              <w:rPr>
                <w:rFonts w:ascii="宋体"/>
                <w:vanish/>
              </w:rPr>
            </w:pPr>
          </w:p>
        </w:tc>
        <w:tc>
          <w:tcPr>
            <w:tcW w:w="0" w:type="auto"/>
            <w:gridSpan w:val="3"/>
            <w:shd w:val="clear" w:color="auto" w:fill="auto"/>
            <w:vAlign w:val="bottom"/>
          </w:tcPr>
          <w:p w14:paraId="74DDEADE" w14:textId="77777777" w:rsidR="00584EC1" w:rsidRDefault="00584EC1">
            <w:pPr>
              <w:rPr>
                <w:rFonts w:ascii="宋体"/>
                <w:vanish/>
              </w:rPr>
            </w:pPr>
          </w:p>
        </w:tc>
        <w:tc>
          <w:tcPr>
            <w:tcW w:w="0" w:type="auto"/>
            <w:gridSpan w:val="3"/>
            <w:shd w:val="clear" w:color="auto" w:fill="auto"/>
            <w:vAlign w:val="bottom"/>
          </w:tcPr>
          <w:p w14:paraId="74DDEADF" w14:textId="77777777" w:rsidR="00584EC1" w:rsidRDefault="00584EC1">
            <w:pPr>
              <w:rPr>
                <w:rFonts w:ascii="宋体"/>
                <w:vanish/>
              </w:rPr>
            </w:pPr>
          </w:p>
        </w:tc>
        <w:tc>
          <w:tcPr>
            <w:tcW w:w="0" w:type="auto"/>
            <w:gridSpan w:val="3"/>
            <w:shd w:val="clear" w:color="auto" w:fill="auto"/>
            <w:vAlign w:val="bottom"/>
          </w:tcPr>
          <w:p w14:paraId="74DDEAE0" w14:textId="77777777" w:rsidR="00584EC1" w:rsidRDefault="00584EC1">
            <w:pPr>
              <w:rPr>
                <w:rFonts w:ascii="宋体"/>
                <w:vanish/>
              </w:rPr>
            </w:pPr>
          </w:p>
        </w:tc>
        <w:tc>
          <w:tcPr>
            <w:tcW w:w="0" w:type="auto"/>
            <w:gridSpan w:val="3"/>
            <w:shd w:val="clear" w:color="auto" w:fill="auto"/>
            <w:vAlign w:val="bottom"/>
          </w:tcPr>
          <w:p w14:paraId="74DDEAE1" w14:textId="77777777" w:rsidR="00584EC1" w:rsidRDefault="00584EC1">
            <w:pPr>
              <w:rPr>
                <w:rFonts w:ascii="宋体"/>
                <w:vanish/>
              </w:rPr>
            </w:pPr>
          </w:p>
        </w:tc>
        <w:tc>
          <w:tcPr>
            <w:tcW w:w="0" w:type="auto"/>
            <w:gridSpan w:val="3"/>
            <w:shd w:val="clear" w:color="auto" w:fill="auto"/>
            <w:vAlign w:val="bottom"/>
          </w:tcPr>
          <w:p w14:paraId="74DDEAE2" w14:textId="77777777" w:rsidR="00584EC1" w:rsidRDefault="00584EC1">
            <w:pPr>
              <w:rPr>
                <w:rFonts w:ascii="宋体"/>
                <w:vanish/>
              </w:rPr>
            </w:pPr>
          </w:p>
        </w:tc>
        <w:tc>
          <w:tcPr>
            <w:tcW w:w="0" w:type="auto"/>
            <w:gridSpan w:val="3"/>
            <w:shd w:val="clear" w:color="auto" w:fill="auto"/>
            <w:vAlign w:val="bottom"/>
          </w:tcPr>
          <w:p w14:paraId="74DDEAE3" w14:textId="77777777" w:rsidR="00584EC1" w:rsidRDefault="00584EC1">
            <w:pPr>
              <w:rPr>
                <w:rFonts w:ascii="宋体"/>
                <w:vanish/>
              </w:rPr>
            </w:pPr>
          </w:p>
        </w:tc>
        <w:tc>
          <w:tcPr>
            <w:tcW w:w="0" w:type="auto"/>
            <w:shd w:val="clear" w:color="auto" w:fill="auto"/>
            <w:vAlign w:val="bottom"/>
          </w:tcPr>
          <w:p w14:paraId="74DDEAE4" w14:textId="77777777" w:rsidR="00584EC1" w:rsidRDefault="00584EC1">
            <w:pPr>
              <w:rPr>
                <w:rFonts w:ascii="宋体"/>
                <w:vanish/>
              </w:rPr>
            </w:pPr>
          </w:p>
        </w:tc>
        <w:tc>
          <w:tcPr>
            <w:tcW w:w="0" w:type="auto"/>
            <w:shd w:val="clear" w:color="auto" w:fill="auto"/>
            <w:vAlign w:val="bottom"/>
          </w:tcPr>
          <w:p w14:paraId="74DDEAE5" w14:textId="77777777" w:rsidR="00584EC1" w:rsidRDefault="00584EC1">
            <w:pPr>
              <w:rPr>
                <w:rFonts w:ascii="宋体"/>
                <w:vanish/>
              </w:rPr>
            </w:pPr>
          </w:p>
        </w:tc>
        <w:tc>
          <w:tcPr>
            <w:tcW w:w="0" w:type="auto"/>
            <w:gridSpan w:val="3"/>
            <w:shd w:val="clear" w:color="auto" w:fill="auto"/>
            <w:vAlign w:val="bottom"/>
          </w:tcPr>
          <w:p w14:paraId="74DDEAE6" w14:textId="77777777" w:rsidR="00584EC1" w:rsidRDefault="00584EC1">
            <w:pPr>
              <w:rPr>
                <w:rFonts w:ascii="宋体"/>
                <w:vanish/>
              </w:rPr>
            </w:pPr>
          </w:p>
        </w:tc>
        <w:tc>
          <w:tcPr>
            <w:tcW w:w="0" w:type="auto"/>
            <w:gridSpan w:val="3"/>
            <w:shd w:val="clear" w:color="auto" w:fill="auto"/>
            <w:vAlign w:val="bottom"/>
          </w:tcPr>
          <w:p w14:paraId="74DDEAE7" w14:textId="77777777" w:rsidR="00584EC1" w:rsidRDefault="00584EC1">
            <w:pPr>
              <w:rPr>
                <w:rFonts w:ascii="宋体"/>
                <w:vanish/>
              </w:rPr>
            </w:pPr>
          </w:p>
        </w:tc>
        <w:tc>
          <w:tcPr>
            <w:tcW w:w="0" w:type="auto"/>
            <w:gridSpan w:val="3"/>
            <w:shd w:val="clear" w:color="auto" w:fill="auto"/>
            <w:vAlign w:val="bottom"/>
          </w:tcPr>
          <w:p w14:paraId="74DDEAE8" w14:textId="77777777" w:rsidR="00584EC1" w:rsidRDefault="00584EC1">
            <w:pPr>
              <w:rPr>
                <w:rFonts w:ascii="宋体"/>
                <w:vanish/>
              </w:rPr>
            </w:pPr>
          </w:p>
        </w:tc>
        <w:tc>
          <w:tcPr>
            <w:tcW w:w="0" w:type="auto"/>
            <w:gridSpan w:val="3"/>
            <w:shd w:val="clear" w:color="auto" w:fill="auto"/>
            <w:vAlign w:val="bottom"/>
          </w:tcPr>
          <w:p w14:paraId="74DDEAE9" w14:textId="77777777" w:rsidR="00584EC1" w:rsidRDefault="00584EC1">
            <w:pPr>
              <w:rPr>
                <w:rFonts w:ascii="宋体"/>
                <w:vanish/>
              </w:rPr>
            </w:pPr>
          </w:p>
        </w:tc>
        <w:tc>
          <w:tcPr>
            <w:tcW w:w="0" w:type="auto"/>
            <w:gridSpan w:val="3"/>
            <w:shd w:val="clear" w:color="auto" w:fill="auto"/>
            <w:vAlign w:val="bottom"/>
          </w:tcPr>
          <w:p w14:paraId="74DDEAEA" w14:textId="77777777" w:rsidR="00584EC1" w:rsidRDefault="00584EC1">
            <w:pPr>
              <w:rPr>
                <w:rFonts w:ascii="宋体"/>
                <w:vanish/>
              </w:rPr>
            </w:pPr>
          </w:p>
        </w:tc>
      </w:tr>
      <w:tr w:rsidR="00584EC1" w14:paraId="74DDEAFE" w14:textId="77777777">
        <w:trPr>
          <w:hidden/>
        </w:trPr>
        <w:tc>
          <w:tcPr>
            <w:tcW w:w="0" w:type="auto"/>
            <w:gridSpan w:val="3"/>
            <w:shd w:val="clear" w:color="auto" w:fill="auto"/>
            <w:vAlign w:val="bottom"/>
          </w:tcPr>
          <w:p w14:paraId="74DDEAEC" w14:textId="77777777" w:rsidR="00584EC1" w:rsidRDefault="00584EC1">
            <w:pPr>
              <w:rPr>
                <w:rFonts w:ascii="宋体"/>
                <w:vanish/>
              </w:rPr>
            </w:pPr>
          </w:p>
        </w:tc>
        <w:tc>
          <w:tcPr>
            <w:tcW w:w="0" w:type="auto"/>
            <w:gridSpan w:val="3"/>
            <w:shd w:val="clear" w:color="auto" w:fill="auto"/>
            <w:vAlign w:val="bottom"/>
          </w:tcPr>
          <w:p w14:paraId="74DDEAED" w14:textId="77777777" w:rsidR="00584EC1" w:rsidRDefault="00584EC1">
            <w:pPr>
              <w:rPr>
                <w:rFonts w:ascii="宋体"/>
                <w:vanish/>
              </w:rPr>
            </w:pPr>
          </w:p>
        </w:tc>
        <w:tc>
          <w:tcPr>
            <w:tcW w:w="0" w:type="auto"/>
            <w:gridSpan w:val="3"/>
            <w:shd w:val="clear" w:color="auto" w:fill="auto"/>
            <w:vAlign w:val="bottom"/>
          </w:tcPr>
          <w:p w14:paraId="74DDEAEE" w14:textId="77777777" w:rsidR="00584EC1" w:rsidRDefault="00584EC1">
            <w:pPr>
              <w:rPr>
                <w:rFonts w:ascii="宋体"/>
                <w:vanish/>
              </w:rPr>
            </w:pPr>
          </w:p>
        </w:tc>
        <w:tc>
          <w:tcPr>
            <w:tcW w:w="0" w:type="auto"/>
            <w:gridSpan w:val="3"/>
            <w:shd w:val="clear" w:color="auto" w:fill="auto"/>
            <w:vAlign w:val="bottom"/>
          </w:tcPr>
          <w:p w14:paraId="74DDEAEF" w14:textId="77777777" w:rsidR="00584EC1" w:rsidRDefault="00584EC1">
            <w:pPr>
              <w:rPr>
                <w:rFonts w:ascii="宋体"/>
                <w:vanish/>
              </w:rPr>
            </w:pPr>
          </w:p>
        </w:tc>
        <w:tc>
          <w:tcPr>
            <w:tcW w:w="0" w:type="auto"/>
            <w:gridSpan w:val="3"/>
            <w:shd w:val="clear" w:color="auto" w:fill="auto"/>
            <w:vAlign w:val="bottom"/>
          </w:tcPr>
          <w:p w14:paraId="74DDEAF0" w14:textId="77777777" w:rsidR="00584EC1" w:rsidRDefault="00584EC1">
            <w:pPr>
              <w:rPr>
                <w:rFonts w:ascii="宋体"/>
                <w:vanish/>
              </w:rPr>
            </w:pPr>
          </w:p>
        </w:tc>
        <w:tc>
          <w:tcPr>
            <w:tcW w:w="0" w:type="auto"/>
            <w:gridSpan w:val="3"/>
            <w:shd w:val="clear" w:color="auto" w:fill="auto"/>
            <w:vAlign w:val="bottom"/>
          </w:tcPr>
          <w:p w14:paraId="74DDEAF1" w14:textId="77777777" w:rsidR="00584EC1" w:rsidRDefault="00584EC1">
            <w:pPr>
              <w:rPr>
                <w:rFonts w:ascii="宋体"/>
                <w:vanish/>
              </w:rPr>
            </w:pPr>
          </w:p>
        </w:tc>
        <w:tc>
          <w:tcPr>
            <w:tcW w:w="0" w:type="auto"/>
            <w:gridSpan w:val="3"/>
            <w:shd w:val="clear" w:color="auto" w:fill="auto"/>
            <w:vAlign w:val="bottom"/>
          </w:tcPr>
          <w:p w14:paraId="74DDEAF2" w14:textId="77777777" w:rsidR="00584EC1" w:rsidRDefault="00584EC1">
            <w:pPr>
              <w:rPr>
                <w:rFonts w:ascii="宋体"/>
                <w:vanish/>
              </w:rPr>
            </w:pPr>
          </w:p>
        </w:tc>
        <w:tc>
          <w:tcPr>
            <w:tcW w:w="0" w:type="auto"/>
            <w:gridSpan w:val="3"/>
            <w:shd w:val="clear" w:color="auto" w:fill="auto"/>
            <w:vAlign w:val="bottom"/>
          </w:tcPr>
          <w:p w14:paraId="74DDEAF3" w14:textId="77777777" w:rsidR="00584EC1" w:rsidRDefault="00584EC1">
            <w:pPr>
              <w:rPr>
                <w:rFonts w:ascii="宋体"/>
                <w:vanish/>
              </w:rPr>
            </w:pPr>
          </w:p>
        </w:tc>
        <w:tc>
          <w:tcPr>
            <w:tcW w:w="0" w:type="auto"/>
            <w:gridSpan w:val="3"/>
            <w:shd w:val="clear" w:color="auto" w:fill="auto"/>
            <w:vAlign w:val="bottom"/>
          </w:tcPr>
          <w:p w14:paraId="74DDEAF4" w14:textId="77777777" w:rsidR="00584EC1" w:rsidRDefault="00584EC1">
            <w:pPr>
              <w:rPr>
                <w:rFonts w:ascii="宋体"/>
                <w:vanish/>
              </w:rPr>
            </w:pPr>
          </w:p>
        </w:tc>
        <w:tc>
          <w:tcPr>
            <w:tcW w:w="0" w:type="auto"/>
            <w:gridSpan w:val="3"/>
            <w:shd w:val="clear" w:color="auto" w:fill="auto"/>
            <w:vAlign w:val="bottom"/>
          </w:tcPr>
          <w:p w14:paraId="74DDEAF5" w14:textId="77777777" w:rsidR="00584EC1" w:rsidRDefault="00584EC1">
            <w:pPr>
              <w:rPr>
                <w:rFonts w:ascii="宋体"/>
                <w:vanish/>
              </w:rPr>
            </w:pPr>
          </w:p>
        </w:tc>
        <w:tc>
          <w:tcPr>
            <w:tcW w:w="0" w:type="auto"/>
            <w:gridSpan w:val="3"/>
            <w:shd w:val="clear" w:color="auto" w:fill="auto"/>
            <w:vAlign w:val="bottom"/>
          </w:tcPr>
          <w:p w14:paraId="74DDEAF6" w14:textId="77777777" w:rsidR="00584EC1" w:rsidRDefault="00584EC1">
            <w:pPr>
              <w:rPr>
                <w:rFonts w:ascii="宋体"/>
                <w:vanish/>
              </w:rPr>
            </w:pPr>
          </w:p>
        </w:tc>
        <w:tc>
          <w:tcPr>
            <w:tcW w:w="0" w:type="auto"/>
            <w:shd w:val="clear" w:color="auto" w:fill="auto"/>
            <w:vAlign w:val="bottom"/>
          </w:tcPr>
          <w:p w14:paraId="74DDEAF7" w14:textId="77777777" w:rsidR="00584EC1" w:rsidRDefault="00584EC1">
            <w:pPr>
              <w:rPr>
                <w:rFonts w:ascii="宋体"/>
                <w:vanish/>
              </w:rPr>
            </w:pPr>
          </w:p>
        </w:tc>
        <w:tc>
          <w:tcPr>
            <w:tcW w:w="0" w:type="auto"/>
            <w:shd w:val="clear" w:color="auto" w:fill="auto"/>
            <w:vAlign w:val="bottom"/>
          </w:tcPr>
          <w:p w14:paraId="74DDEAF8" w14:textId="77777777" w:rsidR="00584EC1" w:rsidRDefault="00584EC1">
            <w:pPr>
              <w:rPr>
                <w:rFonts w:ascii="宋体"/>
                <w:vanish/>
              </w:rPr>
            </w:pPr>
          </w:p>
        </w:tc>
        <w:tc>
          <w:tcPr>
            <w:tcW w:w="0" w:type="auto"/>
            <w:gridSpan w:val="3"/>
            <w:shd w:val="clear" w:color="auto" w:fill="auto"/>
            <w:vAlign w:val="bottom"/>
          </w:tcPr>
          <w:p w14:paraId="74DDEAF9" w14:textId="77777777" w:rsidR="00584EC1" w:rsidRDefault="00584EC1">
            <w:pPr>
              <w:rPr>
                <w:rFonts w:ascii="宋体"/>
                <w:vanish/>
              </w:rPr>
            </w:pPr>
          </w:p>
        </w:tc>
        <w:tc>
          <w:tcPr>
            <w:tcW w:w="0" w:type="auto"/>
            <w:gridSpan w:val="3"/>
            <w:shd w:val="clear" w:color="auto" w:fill="auto"/>
            <w:vAlign w:val="bottom"/>
          </w:tcPr>
          <w:p w14:paraId="74DDEAFA" w14:textId="77777777" w:rsidR="00584EC1" w:rsidRDefault="00584EC1">
            <w:pPr>
              <w:rPr>
                <w:rFonts w:ascii="宋体"/>
                <w:vanish/>
              </w:rPr>
            </w:pPr>
          </w:p>
        </w:tc>
        <w:tc>
          <w:tcPr>
            <w:tcW w:w="0" w:type="auto"/>
            <w:gridSpan w:val="3"/>
            <w:shd w:val="clear" w:color="auto" w:fill="auto"/>
            <w:vAlign w:val="bottom"/>
          </w:tcPr>
          <w:p w14:paraId="74DDEAFB" w14:textId="77777777" w:rsidR="00584EC1" w:rsidRDefault="00584EC1">
            <w:pPr>
              <w:rPr>
                <w:rFonts w:ascii="宋体"/>
                <w:vanish/>
              </w:rPr>
            </w:pPr>
          </w:p>
        </w:tc>
        <w:tc>
          <w:tcPr>
            <w:tcW w:w="0" w:type="auto"/>
            <w:gridSpan w:val="3"/>
            <w:shd w:val="clear" w:color="auto" w:fill="auto"/>
            <w:vAlign w:val="bottom"/>
          </w:tcPr>
          <w:p w14:paraId="74DDEAFC" w14:textId="77777777" w:rsidR="00584EC1" w:rsidRDefault="00584EC1">
            <w:pPr>
              <w:rPr>
                <w:rFonts w:ascii="宋体"/>
                <w:vanish/>
              </w:rPr>
            </w:pPr>
          </w:p>
        </w:tc>
        <w:tc>
          <w:tcPr>
            <w:tcW w:w="0" w:type="auto"/>
            <w:gridSpan w:val="3"/>
            <w:shd w:val="clear" w:color="auto" w:fill="auto"/>
            <w:vAlign w:val="bottom"/>
          </w:tcPr>
          <w:p w14:paraId="74DDEAFD" w14:textId="77777777" w:rsidR="00584EC1" w:rsidRDefault="00584EC1">
            <w:pPr>
              <w:rPr>
                <w:rFonts w:ascii="宋体"/>
                <w:vanish/>
              </w:rPr>
            </w:pPr>
          </w:p>
        </w:tc>
      </w:tr>
      <w:tr w:rsidR="00584EC1" w14:paraId="74DDEB11" w14:textId="77777777">
        <w:trPr>
          <w:hidden/>
        </w:trPr>
        <w:tc>
          <w:tcPr>
            <w:tcW w:w="0" w:type="auto"/>
            <w:gridSpan w:val="3"/>
            <w:shd w:val="clear" w:color="auto" w:fill="auto"/>
            <w:vAlign w:val="bottom"/>
          </w:tcPr>
          <w:p w14:paraId="74DDEAFF" w14:textId="77777777" w:rsidR="00584EC1" w:rsidRDefault="00584EC1">
            <w:pPr>
              <w:rPr>
                <w:rFonts w:ascii="宋体"/>
                <w:vanish/>
              </w:rPr>
            </w:pPr>
          </w:p>
        </w:tc>
        <w:tc>
          <w:tcPr>
            <w:tcW w:w="0" w:type="auto"/>
            <w:gridSpan w:val="3"/>
            <w:shd w:val="clear" w:color="auto" w:fill="auto"/>
            <w:vAlign w:val="bottom"/>
          </w:tcPr>
          <w:p w14:paraId="74DDEB00" w14:textId="77777777" w:rsidR="00584EC1" w:rsidRDefault="00584EC1">
            <w:pPr>
              <w:rPr>
                <w:rFonts w:ascii="宋体"/>
                <w:vanish/>
              </w:rPr>
            </w:pPr>
          </w:p>
        </w:tc>
        <w:tc>
          <w:tcPr>
            <w:tcW w:w="0" w:type="auto"/>
            <w:gridSpan w:val="3"/>
            <w:shd w:val="clear" w:color="auto" w:fill="auto"/>
            <w:vAlign w:val="bottom"/>
          </w:tcPr>
          <w:p w14:paraId="74DDEB01" w14:textId="77777777" w:rsidR="00584EC1" w:rsidRDefault="00584EC1">
            <w:pPr>
              <w:rPr>
                <w:rFonts w:ascii="宋体"/>
                <w:vanish/>
              </w:rPr>
            </w:pPr>
          </w:p>
        </w:tc>
        <w:tc>
          <w:tcPr>
            <w:tcW w:w="0" w:type="auto"/>
            <w:gridSpan w:val="3"/>
            <w:shd w:val="clear" w:color="auto" w:fill="auto"/>
            <w:vAlign w:val="bottom"/>
          </w:tcPr>
          <w:p w14:paraId="74DDEB02" w14:textId="77777777" w:rsidR="00584EC1" w:rsidRDefault="00584EC1">
            <w:pPr>
              <w:rPr>
                <w:rFonts w:ascii="宋体"/>
                <w:vanish/>
              </w:rPr>
            </w:pPr>
          </w:p>
        </w:tc>
        <w:tc>
          <w:tcPr>
            <w:tcW w:w="0" w:type="auto"/>
            <w:gridSpan w:val="3"/>
            <w:shd w:val="clear" w:color="auto" w:fill="auto"/>
            <w:vAlign w:val="bottom"/>
          </w:tcPr>
          <w:p w14:paraId="74DDEB03" w14:textId="77777777" w:rsidR="00584EC1" w:rsidRDefault="00584EC1">
            <w:pPr>
              <w:rPr>
                <w:rFonts w:ascii="宋体"/>
                <w:vanish/>
              </w:rPr>
            </w:pPr>
          </w:p>
        </w:tc>
        <w:tc>
          <w:tcPr>
            <w:tcW w:w="0" w:type="auto"/>
            <w:gridSpan w:val="3"/>
            <w:shd w:val="clear" w:color="auto" w:fill="auto"/>
            <w:vAlign w:val="bottom"/>
          </w:tcPr>
          <w:p w14:paraId="74DDEB04" w14:textId="77777777" w:rsidR="00584EC1" w:rsidRDefault="00584EC1">
            <w:pPr>
              <w:rPr>
                <w:rFonts w:ascii="宋体"/>
                <w:vanish/>
              </w:rPr>
            </w:pPr>
          </w:p>
        </w:tc>
        <w:tc>
          <w:tcPr>
            <w:tcW w:w="0" w:type="auto"/>
            <w:gridSpan w:val="3"/>
            <w:shd w:val="clear" w:color="auto" w:fill="auto"/>
            <w:vAlign w:val="bottom"/>
          </w:tcPr>
          <w:p w14:paraId="74DDEB05" w14:textId="77777777" w:rsidR="00584EC1" w:rsidRDefault="00584EC1">
            <w:pPr>
              <w:rPr>
                <w:rFonts w:ascii="宋体"/>
                <w:vanish/>
              </w:rPr>
            </w:pPr>
          </w:p>
        </w:tc>
        <w:tc>
          <w:tcPr>
            <w:tcW w:w="0" w:type="auto"/>
            <w:gridSpan w:val="3"/>
            <w:shd w:val="clear" w:color="auto" w:fill="auto"/>
            <w:vAlign w:val="bottom"/>
          </w:tcPr>
          <w:p w14:paraId="74DDEB06" w14:textId="77777777" w:rsidR="00584EC1" w:rsidRDefault="00584EC1">
            <w:pPr>
              <w:rPr>
                <w:rFonts w:ascii="宋体"/>
                <w:vanish/>
              </w:rPr>
            </w:pPr>
          </w:p>
        </w:tc>
        <w:tc>
          <w:tcPr>
            <w:tcW w:w="0" w:type="auto"/>
            <w:gridSpan w:val="3"/>
            <w:shd w:val="clear" w:color="auto" w:fill="auto"/>
            <w:vAlign w:val="bottom"/>
          </w:tcPr>
          <w:p w14:paraId="74DDEB07" w14:textId="77777777" w:rsidR="00584EC1" w:rsidRDefault="00584EC1">
            <w:pPr>
              <w:rPr>
                <w:rFonts w:ascii="宋体"/>
                <w:vanish/>
              </w:rPr>
            </w:pPr>
          </w:p>
        </w:tc>
        <w:tc>
          <w:tcPr>
            <w:tcW w:w="0" w:type="auto"/>
            <w:gridSpan w:val="3"/>
            <w:shd w:val="clear" w:color="auto" w:fill="auto"/>
            <w:vAlign w:val="bottom"/>
          </w:tcPr>
          <w:p w14:paraId="74DDEB08" w14:textId="77777777" w:rsidR="00584EC1" w:rsidRDefault="00584EC1">
            <w:pPr>
              <w:rPr>
                <w:rFonts w:ascii="宋体"/>
                <w:vanish/>
              </w:rPr>
            </w:pPr>
          </w:p>
        </w:tc>
        <w:tc>
          <w:tcPr>
            <w:tcW w:w="0" w:type="auto"/>
            <w:gridSpan w:val="3"/>
            <w:shd w:val="clear" w:color="auto" w:fill="auto"/>
            <w:vAlign w:val="bottom"/>
          </w:tcPr>
          <w:p w14:paraId="74DDEB09" w14:textId="77777777" w:rsidR="00584EC1" w:rsidRDefault="00584EC1">
            <w:pPr>
              <w:rPr>
                <w:rFonts w:ascii="宋体"/>
                <w:vanish/>
              </w:rPr>
            </w:pPr>
          </w:p>
        </w:tc>
        <w:tc>
          <w:tcPr>
            <w:tcW w:w="0" w:type="auto"/>
            <w:shd w:val="clear" w:color="auto" w:fill="auto"/>
            <w:vAlign w:val="bottom"/>
          </w:tcPr>
          <w:p w14:paraId="74DDEB0A" w14:textId="77777777" w:rsidR="00584EC1" w:rsidRDefault="00584EC1">
            <w:pPr>
              <w:rPr>
                <w:rFonts w:ascii="宋体"/>
                <w:vanish/>
              </w:rPr>
            </w:pPr>
          </w:p>
        </w:tc>
        <w:tc>
          <w:tcPr>
            <w:tcW w:w="0" w:type="auto"/>
            <w:shd w:val="clear" w:color="auto" w:fill="auto"/>
            <w:vAlign w:val="bottom"/>
          </w:tcPr>
          <w:p w14:paraId="74DDEB0B" w14:textId="77777777" w:rsidR="00584EC1" w:rsidRDefault="00584EC1">
            <w:pPr>
              <w:rPr>
                <w:rFonts w:ascii="宋体"/>
                <w:vanish/>
              </w:rPr>
            </w:pPr>
          </w:p>
        </w:tc>
        <w:tc>
          <w:tcPr>
            <w:tcW w:w="0" w:type="auto"/>
            <w:gridSpan w:val="3"/>
            <w:shd w:val="clear" w:color="auto" w:fill="auto"/>
            <w:vAlign w:val="bottom"/>
          </w:tcPr>
          <w:p w14:paraId="74DDEB0C" w14:textId="77777777" w:rsidR="00584EC1" w:rsidRDefault="00584EC1">
            <w:pPr>
              <w:rPr>
                <w:rFonts w:ascii="宋体"/>
                <w:vanish/>
              </w:rPr>
            </w:pPr>
          </w:p>
        </w:tc>
        <w:tc>
          <w:tcPr>
            <w:tcW w:w="0" w:type="auto"/>
            <w:gridSpan w:val="3"/>
            <w:shd w:val="clear" w:color="auto" w:fill="auto"/>
            <w:vAlign w:val="bottom"/>
          </w:tcPr>
          <w:p w14:paraId="74DDEB0D" w14:textId="77777777" w:rsidR="00584EC1" w:rsidRDefault="00584EC1">
            <w:pPr>
              <w:rPr>
                <w:rFonts w:ascii="宋体"/>
                <w:vanish/>
              </w:rPr>
            </w:pPr>
          </w:p>
        </w:tc>
        <w:tc>
          <w:tcPr>
            <w:tcW w:w="0" w:type="auto"/>
            <w:gridSpan w:val="3"/>
            <w:shd w:val="clear" w:color="auto" w:fill="auto"/>
            <w:vAlign w:val="bottom"/>
          </w:tcPr>
          <w:p w14:paraId="74DDEB0E" w14:textId="77777777" w:rsidR="00584EC1" w:rsidRDefault="00584EC1">
            <w:pPr>
              <w:rPr>
                <w:rFonts w:ascii="宋体"/>
                <w:vanish/>
              </w:rPr>
            </w:pPr>
          </w:p>
        </w:tc>
        <w:tc>
          <w:tcPr>
            <w:tcW w:w="0" w:type="auto"/>
            <w:gridSpan w:val="3"/>
            <w:shd w:val="clear" w:color="auto" w:fill="auto"/>
            <w:vAlign w:val="bottom"/>
          </w:tcPr>
          <w:p w14:paraId="74DDEB0F" w14:textId="77777777" w:rsidR="00584EC1" w:rsidRDefault="00584EC1">
            <w:pPr>
              <w:rPr>
                <w:rFonts w:ascii="宋体"/>
                <w:vanish/>
              </w:rPr>
            </w:pPr>
          </w:p>
        </w:tc>
        <w:tc>
          <w:tcPr>
            <w:tcW w:w="0" w:type="auto"/>
            <w:gridSpan w:val="3"/>
            <w:shd w:val="clear" w:color="auto" w:fill="auto"/>
            <w:vAlign w:val="bottom"/>
          </w:tcPr>
          <w:p w14:paraId="74DDEB10" w14:textId="77777777" w:rsidR="00584EC1" w:rsidRDefault="00584EC1">
            <w:pPr>
              <w:rPr>
                <w:rFonts w:ascii="宋体"/>
                <w:vanish/>
              </w:rPr>
            </w:pPr>
          </w:p>
        </w:tc>
      </w:tr>
      <w:tr w:rsidR="00584EC1" w14:paraId="74DDEB24" w14:textId="77777777">
        <w:trPr>
          <w:hidden/>
        </w:trPr>
        <w:tc>
          <w:tcPr>
            <w:tcW w:w="0" w:type="auto"/>
            <w:gridSpan w:val="3"/>
            <w:shd w:val="clear" w:color="auto" w:fill="auto"/>
            <w:vAlign w:val="bottom"/>
          </w:tcPr>
          <w:p w14:paraId="74DDEB12" w14:textId="77777777" w:rsidR="00584EC1" w:rsidRDefault="00584EC1">
            <w:pPr>
              <w:rPr>
                <w:rFonts w:ascii="宋体"/>
                <w:vanish/>
              </w:rPr>
            </w:pPr>
          </w:p>
        </w:tc>
        <w:tc>
          <w:tcPr>
            <w:tcW w:w="0" w:type="auto"/>
            <w:gridSpan w:val="3"/>
            <w:shd w:val="clear" w:color="auto" w:fill="auto"/>
            <w:vAlign w:val="bottom"/>
          </w:tcPr>
          <w:p w14:paraId="74DDEB13" w14:textId="77777777" w:rsidR="00584EC1" w:rsidRDefault="00584EC1">
            <w:pPr>
              <w:rPr>
                <w:rFonts w:ascii="宋体"/>
                <w:vanish/>
              </w:rPr>
            </w:pPr>
          </w:p>
        </w:tc>
        <w:tc>
          <w:tcPr>
            <w:tcW w:w="0" w:type="auto"/>
            <w:gridSpan w:val="3"/>
            <w:shd w:val="clear" w:color="auto" w:fill="auto"/>
            <w:vAlign w:val="bottom"/>
          </w:tcPr>
          <w:p w14:paraId="74DDEB14" w14:textId="77777777" w:rsidR="00584EC1" w:rsidRDefault="00584EC1">
            <w:pPr>
              <w:rPr>
                <w:rFonts w:ascii="宋体"/>
                <w:vanish/>
              </w:rPr>
            </w:pPr>
          </w:p>
        </w:tc>
        <w:tc>
          <w:tcPr>
            <w:tcW w:w="0" w:type="auto"/>
            <w:gridSpan w:val="3"/>
            <w:shd w:val="clear" w:color="auto" w:fill="auto"/>
            <w:vAlign w:val="bottom"/>
          </w:tcPr>
          <w:p w14:paraId="74DDEB15" w14:textId="77777777" w:rsidR="00584EC1" w:rsidRDefault="00584EC1">
            <w:pPr>
              <w:rPr>
                <w:rFonts w:ascii="宋体"/>
                <w:vanish/>
              </w:rPr>
            </w:pPr>
          </w:p>
        </w:tc>
        <w:tc>
          <w:tcPr>
            <w:tcW w:w="0" w:type="auto"/>
            <w:gridSpan w:val="3"/>
            <w:shd w:val="clear" w:color="auto" w:fill="auto"/>
            <w:vAlign w:val="bottom"/>
          </w:tcPr>
          <w:p w14:paraId="74DDEB16" w14:textId="77777777" w:rsidR="00584EC1" w:rsidRDefault="00584EC1">
            <w:pPr>
              <w:rPr>
                <w:rFonts w:ascii="宋体"/>
                <w:vanish/>
              </w:rPr>
            </w:pPr>
          </w:p>
        </w:tc>
        <w:tc>
          <w:tcPr>
            <w:tcW w:w="0" w:type="auto"/>
            <w:gridSpan w:val="3"/>
            <w:shd w:val="clear" w:color="auto" w:fill="auto"/>
            <w:vAlign w:val="bottom"/>
          </w:tcPr>
          <w:p w14:paraId="74DDEB17" w14:textId="77777777" w:rsidR="00584EC1" w:rsidRDefault="00584EC1">
            <w:pPr>
              <w:rPr>
                <w:rFonts w:ascii="宋体"/>
                <w:vanish/>
              </w:rPr>
            </w:pPr>
          </w:p>
        </w:tc>
        <w:tc>
          <w:tcPr>
            <w:tcW w:w="0" w:type="auto"/>
            <w:gridSpan w:val="3"/>
            <w:shd w:val="clear" w:color="auto" w:fill="auto"/>
            <w:vAlign w:val="bottom"/>
          </w:tcPr>
          <w:p w14:paraId="74DDEB18" w14:textId="77777777" w:rsidR="00584EC1" w:rsidRDefault="00584EC1">
            <w:pPr>
              <w:rPr>
                <w:rFonts w:ascii="宋体"/>
                <w:vanish/>
              </w:rPr>
            </w:pPr>
          </w:p>
        </w:tc>
        <w:tc>
          <w:tcPr>
            <w:tcW w:w="0" w:type="auto"/>
            <w:gridSpan w:val="3"/>
            <w:shd w:val="clear" w:color="auto" w:fill="auto"/>
            <w:vAlign w:val="bottom"/>
          </w:tcPr>
          <w:p w14:paraId="74DDEB19" w14:textId="77777777" w:rsidR="00584EC1" w:rsidRDefault="00584EC1">
            <w:pPr>
              <w:rPr>
                <w:rFonts w:ascii="宋体"/>
                <w:vanish/>
              </w:rPr>
            </w:pPr>
          </w:p>
        </w:tc>
        <w:tc>
          <w:tcPr>
            <w:tcW w:w="0" w:type="auto"/>
            <w:gridSpan w:val="3"/>
            <w:shd w:val="clear" w:color="auto" w:fill="auto"/>
            <w:vAlign w:val="bottom"/>
          </w:tcPr>
          <w:p w14:paraId="74DDEB1A" w14:textId="77777777" w:rsidR="00584EC1" w:rsidRDefault="00584EC1">
            <w:pPr>
              <w:rPr>
                <w:rFonts w:ascii="宋体"/>
                <w:vanish/>
              </w:rPr>
            </w:pPr>
          </w:p>
        </w:tc>
        <w:tc>
          <w:tcPr>
            <w:tcW w:w="0" w:type="auto"/>
            <w:gridSpan w:val="3"/>
            <w:shd w:val="clear" w:color="auto" w:fill="auto"/>
            <w:vAlign w:val="bottom"/>
          </w:tcPr>
          <w:p w14:paraId="74DDEB1B" w14:textId="77777777" w:rsidR="00584EC1" w:rsidRDefault="00584EC1">
            <w:pPr>
              <w:rPr>
                <w:rFonts w:ascii="宋体"/>
                <w:vanish/>
              </w:rPr>
            </w:pPr>
          </w:p>
        </w:tc>
        <w:tc>
          <w:tcPr>
            <w:tcW w:w="0" w:type="auto"/>
            <w:gridSpan w:val="3"/>
            <w:shd w:val="clear" w:color="auto" w:fill="auto"/>
            <w:vAlign w:val="bottom"/>
          </w:tcPr>
          <w:p w14:paraId="74DDEB1C" w14:textId="77777777" w:rsidR="00584EC1" w:rsidRDefault="00584EC1">
            <w:pPr>
              <w:rPr>
                <w:rFonts w:ascii="宋体"/>
                <w:vanish/>
              </w:rPr>
            </w:pPr>
          </w:p>
        </w:tc>
        <w:tc>
          <w:tcPr>
            <w:tcW w:w="0" w:type="auto"/>
            <w:shd w:val="clear" w:color="auto" w:fill="auto"/>
            <w:vAlign w:val="bottom"/>
          </w:tcPr>
          <w:p w14:paraId="74DDEB1D" w14:textId="77777777" w:rsidR="00584EC1" w:rsidRDefault="00584EC1">
            <w:pPr>
              <w:rPr>
                <w:rFonts w:ascii="宋体"/>
                <w:vanish/>
              </w:rPr>
            </w:pPr>
          </w:p>
        </w:tc>
        <w:tc>
          <w:tcPr>
            <w:tcW w:w="0" w:type="auto"/>
            <w:shd w:val="clear" w:color="auto" w:fill="auto"/>
            <w:vAlign w:val="bottom"/>
          </w:tcPr>
          <w:p w14:paraId="74DDEB1E" w14:textId="77777777" w:rsidR="00584EC1" w:rsidRDefault="00584EC1">
            <w:pPr>
              <w:rPr>
                <w:rFonts w:ascii="宋体"/>
                <w:vanish/>
              </w:rPr>
            </w:pPr>
          </w:p>
        </w:tc>
        <w:tc>
          <w:tcPr>
            <w:tcW w:w="0" w:type="auto"/>
            <w:gridSpan w:val="3"/>
            <w:shd w:val="clear" w:color="auto" w:fill="auto"/>
            <w:vAlign w:val="bottom"/>
          </w:tcPr>
          <w:p w14:paraId="74DDEB1F" w14:textId="77777777" w:rsidR="00584EC1" w:rsidRDefault="00584EC1">
            <w:pPr>
              <w:rPr>
                <w:rFonts w:ascii="宋体"/>
                <w:vanish/>
              </w:rPr>
            </w:pPr>
          </w:p>
        </w:tc>
        <w:tc>
          <w:tcPr>
            <w:tcW w:w="0" w:type="auto"/>
            <w:gridSpan w:val="3"/>
            <w:shd w:val="clear" w:color="auto" w:fill="auto"/>
            <w:vAlign w:val="bottom"/>
          </w:tcPr>
          <w:p w14:paraId="74DDEB20" w14:textId="77777777" w:rsidR="00584EC1" w:rsidRDefault="00584EC1">
            <w:pPr>
              <w:rPr>
                <w:rFonts w:ascii="宋体"/>
                <w:vanish/>
              </w:rPr>
            </w:pPr>
          </w:p>
        </w:tc>
        <w:tc>
          <w:tcPr>
            <w:tcW w:w="0" w:type="auto"/>
            <w:gridSpan w:val="3"/>
            <w:shd w:val="clear" w:color="auto" w:fill="auto"/>
            <w:vAlign w:val="bottom"/>
          </w:tcPr>
          <w:p w14:paraId="74DDEB21" w14:textId="77777777" w:rsidR="00584EC1" w:rsidRDefault="00584EC1">
            <w:pPr>
              <w:rPr>
                <w:rFonts w:ascii="宋体"/>
                <w:vanish/>
              </w:rPr>
            </w:pPr>
          </w:p>
        </w:tc>
        <w:tc>
          <w:tcPr>
            <w:tcW w:w="0" w:type="auto"/>
            <w:gridSpan w:val="3"/>
            <w:shd w:val="clear" w:color="auto" w:fill="auto"/>
            <w:vAlign w:val="bottom"/>
          </w:tcPr>
          <w:p w14:paraId="74DDEB22" w14:textId="77777777" w:rsidR="00584EC1" w:rsidRDefault="00584EC1">
            <w:pPr>
              <w:rPr>
                <w:rFonts w:ascii="宋体"/>
                <w:vanish/>
              </w:rPr>
            </w:pPr>
          </w:p>
        </w:tc>
        <w:tc>
          <w:tcPr>
            <w:tcW w:w="0" w:type="auto"/>
            <w:gridSpan w:val="3"/>
            <w:shd w:val="clear" w:color="auto" w:fill="auto"/>
            <w:vAlign w:val="bottom"/>
          </w:tcPr>
          <w:p w14:paraId="74DDEB23" w14:textId="77777777" w:rsidR="00584EC1" w:rsidRDefault="00584EC1">
            <w:pPr>
              <w:rPr>
                <w:rFonts w:ascii="宋体"/>
                <w:vanish/>
              </w:rPr>
            </w:pPr>
          </w:p>
        </w:tc>
      </w:tr>
      <w:tr w:rsidR="00584EC1" w14:paraId="74DDEB37" w14:textId="77777777">
        <w:trPr>
          <w:hidden/>
        </w:trPr>
        <w:tc>
          <w:tcPr>
            <w:tcW w:w="0" w:type="auto"/>
            <w:gridSpan w:val="3"/>
            <w:shd w:val="clear" w:color="auto" w:fill="auto"/>
            <w:vAlign w:val="bottom"/>
          </w:tcPr>
          <w:p w14:paraId="74DDEB25" w14:textId="77777777" w:rsidR="00584EC1" w:rsidRDefault="00584EC1">
            <w:pPr>
              <w:rPr>
                <w:rFonts w:ascii="宋体"/>
                <w:vanish/>
              </w:rPr>
            </w:pPr>
          </w:p>
        </w:tc>
        <w:tc>
          <w:tcPr>
            <w:tcW w:w="0" w:type="auto"/>
            <w:gridSpan w:val="3"/>
            <w:shd w:val="clear" w:color="auto" w:fill="auto"/>
            <w:vAlign w:val="bottom"/>
          </w:tcPr>
          <w:p w14:paraId="74DDEB26" w14:textId="77777777" w:rsidR="00584EC1" w:rsidRDefault="00584EC1">
            <w:pPr>
              <w:rPr>
                <w:rFonts w:ascii="宋体"/>
                <w:vanish/>
              </w:rPr>
            </w:pPr>
          </w:p>
        </w:tc>
        <w:tc>
          <w:tcPr>
            <w:tcW w:w="0" w:type="auto"/>
            <w:gridSpan w:val="3"/>
            <w:shd w:val="clear" w:color="auto" w:fill="auto"/>
            <w:vAlign w:val="bottom"/>
          </w:tcPr>
          <w:p w14:paraId="74DDEB27" w14:textId="77777777" w:rsidR="00584EC1" w:rsidRDefault="00584EC1">
            <w:pPr>
              <w:rPr>
                <w:rFonts w:ascii="宋体"/>
                <w:vanish/>
              </w:rPr>
            </w:pPr>
          </w:p>
        </w:tc>
        <w:tc>
          <w:tcPr>
            <w:tcW w:w="0" w:type="auto"/>
            <w:gridSpan w:val="3"/>
            <w:shd w:val="clear" w:color="auto" w:fill="auto"/>
            <w:vAlign w:val="bottom"/>
          </w:tcPr>
          <w:p w14:paraId="74DDEB28" w14:textId="77777777" w:rsidR="00584EC1" w:rsidRDefault="00584EC1">
            <w:pPr>
              <w:rPr>
                <w:rFonts w:ascii="宋体"/>
                <w:vanish/>
              </w:rPr>
            </w:pPr>
          </w:p>
        </w:tc>
        <w:tc>
          <w:tcPr>
            <w:tcW w:w="0" w:type="auto"/>
            <w:gridSpan w:val="3"/>
            <w:shd w:val="clear" w:color="auto" w:fill="auto"/>
            <w:vAlign w:val="bottom"/>
          </w:tcPr>
          <w:p w14:paraId="74DDEB29" w14:textId="77777777" w:rsidR="00584EC1" w:rsidRDefault="00584EC1">
            <w:pPr>
              <w:rPr>
                <w:rFonts w:ascii="宋体"/>
                <w:vanish/>
              </w:rPr>
            </w:pPr>
          </w:p>
        </w:tc>
        <w:tc>
          <w:tcPr>
            <w:tcW w:w="0" w:type="auto"/>
            <w:gridSpan w:val="3"/>
            <w:shd w:val="clear" w:color="auto" w:fill="auto"/>
            <w:vAlign w:val="bottom"/>
          </w:tcPr>
          <w:p w14:paraId="74DDEB2A" w14:textId="77777777" w:rsidR="00584EC1" w:rsidRDefault="00584EC1">
            <w:pPr>
              <w:rPr>
                <w:rFonts w:ascii="宋体"/>
                <w:vanish/>
              </w:rPr>
            </w:pPr>
          </w:p>
        </w:tc>
        <w:tc>
          <w:tcPr>
            <w:tcW w:w="0" w:type="auto"/>
            <w:gridSpan w:val="3"/>
            <w:shd w:val="clear" w:color="auto" w:fill="auto"/>
            <w:vAlign w:val="bottom"/>
          </w:tcPr>
          <w:p w14:paraId="74DDEB2B" w14:textId="77777777" w:rsidR="00584EC1" w:rsidRDefault="00584EC1">
            <w:pPr>
              <w:rPr>
                <w:rFonts w:ascii="宋体"/>
                <w:vanish/>
              </w:rPr>
            </w:pPr>
          </w:p>
        </w:tc>
        <w:tc>
          <w:tcPr>
            <w:tcW w:w="0" w:type="auto"/>
            <w:gridSpan w:val="3"/>
            <w:shd w:val="clear" w:color="auto" w:fill="auto"/>
            <w:vAlign w:val="bottom"/>
          </w:tcPr>
          <w:p w14:paraId="74DDEB2C" w14:textId="77777777" w:rsidR="00584EC1" w:rsidRDefault="00584EC1">
            <w:pPr>
              <w:rPr>
                <w:rFonts w:ascii="宋体"/>
                <w:vanish/>
              </w:rPr>
            </w:pPr>
          </w:p>
        </w:tc>
        <w:tc>
          <w:tcPr>
            <w:tcW w:w="0" w:type="auto"/>
            <w:gridSpan w:val="3"/>
            <w:shd w:val="clear" w:color="auto" w:fill="auto"/>
            <w:vAlign w:val="bottom"/>
          </w:tcPr>
          <w:p w14:paraId="74DDEB2D" w14:textId="77777777" w:rsidR="00584EC1" w:rsidRDefault="00584EC1">
            <w:pPr>
              <w:rPr>
                <w:rFonts w:ascii="宋体"/>
                <w:vanish/>
              </w:rPr>
            </w:pPr>
          </w:p>
        </w:tc>
        <w:tc>
          <w:tcPr>
            <w:tcW w:w="0" w:type="auto"/>
            <w:gridSpan w:val="3"/>
            <w:shd w:val="clear" w:color="auto" w:fill="auto"/>
            <w:vAlign w:val="bottom"/>
          </w:tcPr>
          <w:p w14:paraId="74DDEB2E" w14:textId="77777777" w:rsidR="00584EC1" w:rsidRDefault="00584EC1">
            <w:pPr>
              <w:rPr>
                <w:rFonts w:ascii="宋体"/>
                <w:vanish/>
              </w:rPr>
            </w:pPr>
          </w:p>
        </w:tc>
        <w:tc>
          <w:tcPr>
            <w:tcW w:w="0" w:type="auto"/>
            <w:gridSpan w:val="3"/>
            <w:shd w:val="clear" w:color="auto" w:fill="auto"/>
            <w:vAlign w:val="bottom"/>
          </w:tcPr>
          <w:p w14:paraId="74DDEB2F" w14:textId="77777777" w:rsidR="00584EC1" w:rsidRDefault="00584EC1">
            <w:pPr>
              <w:rPr>
                <w:rFonts w:ascii="宋体"/>
                <w:vanish/>
              </w:rPr>
            </w:pPr>
          </w:p>
        </w:tc>
        <w:tc>
          <w:tcPr>
            <w:tcW w:w="0" w:type="auto"/>
            <w:shd w:val="clear" w:color="auto" w:fill="auto"/>
            <w:vAlign w:val="bottom"/>
          </w:tcPr>
          <w:p w14:paraId="74DDEB30" w14:textId="77777777" w:rsidR="00584EC1" w:rsidRDefault="00584EC1">
            <w:pPr>
              <w:rPr>
                <w:rFonts w:ascii="宋体"/>
                <w:vanish/>
              </w:rPr>
            </w:pPr>
          </w:p>
        </w:tc>
        <w:tc>
          <w:tcPr>
            <w:tcW w:w="0" w:type="auto"/>
            <w:shd w:val="clear" w:color="auto" w:fill="auto"/>
            <w:vAlign w:val="bottom"/>
          </w:tcPr>
          <w:p w14:paraId="74DDEB31" w14:textId="77777777" w:rsidR="00584EC1" w:rsidRDefault="00584EC1">
            <w:pPr>
              <w:rPr>
                <w:rFonts w:ascii="宋体"/>
                <w:vanish/>
              </w:rPr>
            </w:pPr>
          </w:p>
        </w:tc>
        <w:tc>
          <w:tcPr>
            <w:tcW w:w="0" w:type="auto"/>
            <w:gridSpan w:val="3"/>
            <w:shd w:val="clear" w:color="auto" w:fill="auto"/>
            <w:vAlign w:val="bottom"/>
          </w:tcPr>
          <w:p w14:paraId="74DDEB32" w14:textId="77777777" w:rsidR="00584EC1" w:rsidRDefault="00584EC1">
            <w:pPr>
              <w:rPr>
                <w:rFonts w:ascii="宋体"/>
                <w:vanish/>
              </w:rPr>
            </w:pPr>
          </w:p>
        </w:tc>
        <w:tc>
          <w:tcPr>
            <w:tcW w:w="0" w:type="auto"/>
            <w:gridSpan w:val="3"/>
            <w:shd w:val="clear" w:color="auto" w:fill="auto"/>
            <w:vAlign w:val="bottom"/>
          </w:tcPr>
          <w:p w14:paraId="74DDEB33" w14:textId="77777777" w:rsidR="00584EC1" w:rsidRDefault="00584EC1">
            <w:pPr>
              <w:rPr>
                <w:rFonts w:ascii="宋体"/>
                <w:vanish/>
              </w:rPr>
            </w:pPr>
          </w:p>
        </w:tc>
        <w:tc>
          <w:tcPr>
            <w:tcW w:w="0" w:type="auto"/>
            <w:gridSpan w:val="3"/>
            <w:shd w:val="clear" w:color="auto" w:fill="auto"/>
            <w:vAlign w:val="bottom"/>
          </w:tcPr>
          <w:p w14:paraId="74DDEB34" w14:textId="77777777" w:rsidR="00584EC1" w:rsidRDefault="00584EC1">
            <w:pPr>
              <w:rPr>
                <w:rFonts w:ascii="宋体"/>
                <w:vanish/>
              </w:rPr>
            </w:pPr>
          </w:p>
        </w:tc>
        <w:tc>
          <w:tcPr>
            <w:tcW w:w="0" w:type="auto"/>
            <w:gridSpan w:val="3"/>
            <w:shd w:val="clear" w:color="auto" w:fill="auto"/>
            <w:vAlign w:val="bottom"/>
          </w:tcPr>
          <w:p w14:paraId="74DDEB35" w14:textId="77777777" w:rsidR="00584EC1" w:rsidRDefault="00584EC1">
            <w:pPr>
              <w:rPr>
                <w:rFonts w:ascii="宋体"/>
                <w:vanish/>
              </w:rPr>
            </w:pPr>
          </w:p>
        </w:tc>
        <w:tc>
          <w:tcPr>
            <w:tcW w:w="0" w:type="auto"/>
            <w:gridSpan w:val="3"/>
            <w:shd w:val="clear" w:color="auto" w:fill="auto"/>
            <w:vAlign w:val="bottom"/>
          </w:tcPr>
          <w:p w14:paraId="74DDEB36" w14:textId="77777777" w:rsidR="00584EC1" w:rsidRDefault="00584EC1">
            <w:pPr>
              <w:rPr>
                <w:rFonts w:ascii="宋体"/>
                <w:vanish/>
              </w:rPr>
            </w:pPr>
          </w:p>
        </w:tc>
      </w:tr>
      <w:tr w:rsidR="00584EC1" w14:paraId="74DDEB4A" w14:textId="77777777">
        <w:trPr>
          <w:hidden/>
        </w:trPr>
        <w:tc>
          <w:tcPr>
            <w:tcW w:w="0" w:type="auto"/>
            <w:gridSpan w:val="3"/>
            <w:shd w:val="clear" w:color="auto" w:fill="auto"/>
            <w:vAlign w:val="bottom"/>
          </w:tcPr>
          <w:p w14:paraId="74DDEB38" w14:textId="77777777" w:rsidR="00584EC1" w:rsidRDefault="00584EC1">
            <w:pPr>
              <w:rPr>
                <w:rFonts w:ascii="宋体"/>
                <w:vanish/>
              </w:rPr>
            </w:pPr>
          </w:p>
        </w:tc>
        <w:tc>
          <w:tcPr>
            <w:tcW w:w="0" w:type="auto"/>
            <w:gridSpan w:val="3"/>
            <w:shd w:val="clear" w:color="auto" w:fill="auto"/>
            <w:vAlign w:val="bottom"/>
          </w:tcPr>
          <w:p w14:paraId="74DDEB39" w14:textId="77777777" w:rsidR="00584EC1" w:rsidRDefault="00584EC1">
            <w:pPr>
              <w:rPr>
                <w:rFonts w:ascii="宋体"/>
                <w:vanish/>
              </w:rPr>
            </w:pPr>
          </w:p>
        </w:tc>
        <w:tc>
          <w:tcPr>
            <w:tcW w:w="0" w:type="auto"/>
            <w:gridSpan w:val="3"/>
            <w:shd w:val="clear" w:color="auto" w:fill="auto"/>
            <w:vAlign w:val="bottom"/>
          </w:tcPr>
          <w:p w14:paraId="74DDEB3A" w14:textId="77777777" w:rsidR="00584EC1" w:rsidRDefault="00584EC1">
            <w:pPr>
              <w:rPr>
                <w:rFonts w:ascii="宋体"/>
                <w:vanish/>
              </w:rPr>
            </w:pPr>
          </w:p>
        </w:tc>
        <w:tc>
          <w:tcPr>
            <w:tcW w:w="0" w:type="auto"/>
            <w:gridSpan w:val="3"/>
            <w:shd w:val="clear" w:color="auto" w:fill="auto"/>
            <w:vAlign w:val="bottom"/>
          </w:tcPr>
          <w:p w14:paraId="74DDEB3B" w14:textId="77777777" w:rsidR="00584EC1" w:rsidRDefault="00584EC1">
            <w:pPr>
              <w:rPr>
                <w:rFonts w:ascii="宋体"/>
                <w:vanish/>
              </w:rPr>
            </w:pPr>
          </w:p>
        </w:tc>
        <w:tc>
          <w:tcPr>
            <w:tcW w:w="0" w:type="auto"/>
            <w:gridSpan w:val="3"/>
            <w:shd w:val="clear" w:color="auto" w:fill="auto"/>
            <w:vAlign w:val="bottom"/>
          </w:tcPr>
          <w:p w14:paraId="74DDEB3C" w14:textId="77777777" w:rsidR="00584EC1" w:rsidRDefault="00584EC1">
            <w:pPr>
              <w:rPr>
                <w:rFonts w:ascii="宋体"/>
                <w:vanish/>
              </w:rPr>
            </w:pPr>
          </w:p>
        </w:tc>
        <w:tc>
          <w:tcPr>
            <w:tcW w:w="0" w:type="auto"/>
            <w:gridSpan w:val="3"/>
            <w:shd w:val="clear" w:color="auto" w:fill="auto"/>
            <w:vAlign w:val="bottom"/>
          </w:tcPr>
          <w:p w14:paraId="74DDEB3D" w14:textId="77777777" w:rsidR="00584EC1" w:rsidRDefault="00584EC1">
            <w:pPr>
              <w:rPr>
                <w:rFonts w:ascii="宋体"/>
                <w:vanish/>
              </w:rPr>
            </w:pPr>
          </w:p>
        </w:tc>
        <w:tc>
          <w:tcPr>
            <w:tcW w:w="0" w:type="auto"/>
            <w:gridSpan w:val="3"/>
            <w:shd w:val="clear" w:color="auto" w:fill="auto"/>
            <w:vAlign w:val="bottom"/>
          </w:tcPr>
          <w:p w14:paraId="74DDEB3E" w14:textId="77777777" w:rsidR="00584EC1" w:rsidRDefault="00584EC1">
            <w:pPr>
              <w:rPr>
                <w:rFonts w:ascii="宋体"/>
                <w:vanish/>
              </w:rPr>
            </w:pPr>
          </w:p>
        </w:tc>
        <w:tc>
          <w:tcPr>
            <w:tcW w:w="0" w:type="auto"/>
            <w:gridSpan w:val="3"/>
            <w:shd w:val="clear" w:color="auto" w:fill="auto"/>
            <w:vAlign w:val="bottom"/>
          </w:tcPr>
          <w:p w14:paraId="74DDEB3F" w14:textId="77777777" w:rsidR="00584EC1" w:rsidRDefault="00584EC1">
            <w:pPr>
              <w:rPr>
                <w:rFonts w:ascii="宋体"/>
                <w:vanish/>
              </w:rPr>
            </w:pPr>
          </w:p>
        </w:tc>
        <w:tc>
          <w:tcPr>
            <w:tcW w:w="0" w:type="auto"/>
            <w:gridSpan w:val="3"/>
            <w:shd w:val="clear" w:color="auto" w:fill="auto"/>
            <w:vAlign w:val="bottom"/>
          </w:tcPr>
          <w:p w14:paraId="74DDEB40" w14:textId="77777777" w:rsidR="00584EC1" w:rsidRDefault="00584EC1">
            <w:pPr>
              <w:rPr>
                <w:rFonts w:ascii="宋体"/>
                <w:vanish/>
              </w:rPr>
            </w:pPr>
          </w:p>
        </w:tc>
        <w:tc>
          <w:tcPr>
            <w:tcW w:w="0" w:type="auto"/>
            <w:gridSpan w:val="3"/>
            <w:shd w:val="clear" w:color="auto" w:fill="auto"/>
            <w:vAlign w:val="bottom"/>
          </w:tcPr>
          <w:p w14:paraId="74DDEB41" w14:textId="77777777" w:rsidR="00584EC1" w:rsidRDefault="00584EC1">
            <w:pPr>
              <w:rPr>
                <w:rFonts w:ascii="宋体"/>
                <w:vanish/>
              </w:rPr>
            </w:pPr>
          </w:p>
        </w:tc>
        <w:tc>
          <w:tcPr>
            <w:tcW w:w="0" w:type="auto"/>
            <w:gridSpan w:val="3"/>
            <w:shd w:val="clear" w:color="auto" w:fill="auto"/>
            <w:vAlign w:val="bottom"/>
          </w:tcPr>
          <w:p w14:paraId="74DDEB42" w14:textId="77777777" w:rsidR="00584EC1" w:rsidRDefault="00584EC1">
            <w:pPr>
              <w:rPr>
                <w:rFonts w:ascii="宋体"/>
                <w:vanish/>
              </w:rPr>
            </w:pPr>
          </w:p>
        </w:tc>
        <w:tc>
          <w:tcPr>
            <w:tcW w:w="0" w:type="auto"/>
            <w:shd w:val="clear" w:color="auto" w:fill="auto"/>
            <w:vAlign w:val="bottom"/>
          </w:tcPr>
          <w:p w14:paraId="74DDEB43" w14:textId="77777777" w:rsidR="00584EC1" w:rsidRDefault="00584EC1">
            <w:pPr>
              <w:rPr>
                <w:rFonts w:ascii="宋体"/>
                <w:vanish/>
              </w:rPr>
            </w:pPr>
          </w:p>
        </w:tc>
        <w:tc>
          <w:tcPr>
            <w:tcW w:w="0" w:type="auto"/>
            <w:shd w:val="clear" w:color="auto" w:fill="auto"/>
            <w:vAlign w:val="bottom"/>
          </w:tcPr>
          <w:p w14:paraId="74DDEB44" w14:textId="77777777" w:rsidR="00584EC1" w:rsidRDefault="00584EC1">
            <w:pPr>
              <w:rPr>
                <w:rFonts w:ascii="宋体"/>
                <w:vanish/>
              </w:rPr>
            </w:pPr>
          </w:p>
        </w:tc>
        <w:tc>
          <w:tcPr>
            <w:tcW w:w="0" w:type="auto"/>
            <w:gridSpan w:val="3"/>
            <w:shd w:val="clear" w:color="auto" w:fill="auto"/>
            <w:vAlign w:val="bottom"/>
          </w:tcPr>
          <w:p w14:paraId="74DDEB45" w14:textId="77777777" w:rsidR="00584EC1" w:rsidRDefault="00584EC1">
            <w:pPr>
              <w:rPr>
                <w:rFonts w:ascii="宋体"/>
                <w:vanish/>
              </w:rPr>
            </w:pPr>
          </w:p>
        </w:tc>
        <w:tc>
          <w:tcPr>
            <w:tcW w:w="0" w:type="auto"/>
            <w:gridSpan w:val="3"/>
            <w:shd w:val="clear" w:color="auto" w:fill="auto"/>
            <w:vAlign w:val="bottom"/>
          </w:tcPr>
          <w:p w14:paraId="74DDEB46" w14:textId="77777777" w:rsidR="00584EC1" w:rsidRDefault="00584EC1">
            <w:pPr>
              <w:rPr>
                <w:rFonts w:ascii="宋体"/>
                <w:vanish/>
              </w:rPr>
            </w:pPr>
          </w:p>
        </w:tc>
        <w:tc>
          <w:tcPr>
            <w:tcW w:w="0" w:type="auto"/>
            <w:gridSpan w:val="3"/>
            <w:shd w:val="clear" w:color="auto" w:fill="auto"/>
            <w:vAlign w:val="bottom"/>
          </w:tcPr>
          <w:p w14:paraId="74DDEB47" w14:textId="77777777" w:rsidR="00584EC1" w:rsidRDefault="00584EC1">
            <w:pPr>
              <w:rPr>
                <w:rFonts w:ascii="宋体"/>
                <w:vanish/>
              </w:rPr>
            </w:pPr>
          </w:p>
        </w:tc>
        <w:tc>
          <w:tcPr>
            <w:tcW w:w="0" w:type="auto"/>
            <w:gridSpan w:val="3"/>
            <w:shd w:val="clear" w:color="auto" w:fill="auto"/>
            <w:vAlign w:val="bottom"/>
          </w:tcPr>
          <w:p w14:paraId="74DDEB48" w14:textId="77777777" w:rsidR="00584EC1" w:rsidRDefault="00584EC1">
            <w:pPr>
              <w:rPr>
                <w:rFonts w:ascii="宋体"/>
                <w:vanish/>
              </w:rPr>
            </w:pPr>
          </w:p>
        </w:tc>
        <w:tc>
          <w:tcPr>
            <w:tcW w:w="0" w:type="auto"/>
            <w:gridSpan w:val="3"/>
            <w:shd w:val="clear" w:color="auto" w:fill="auto"/>
            <w:vAlign w:val="bottom"/>
          </w:tcPr>
          <w:p w14:paraId="74DDEB49" w14:textId="77777777" w:rsidR="00584EC1" w:rsidRDefault="00584EC1">
            <w:pPr>
              <w:rPr>
                <w:rFonts w:ascii="宋体"/>
                <w:vanish/>
              </w:rPr>
            </w:pPr>
          </w:p>
        </w:tc>
      </w:tr>
    </w:tbl>
    <w:p w14:paraId="74DDEB4B" w14:textId="77777777" w:rsidR="00584EC1" w:rsidRDefault="00584E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584EC1" w14:paraId="74DDEB52" w14:textId="77777777">
        <w:tc>
          <w:tcPr>
            <w:tcW w:w="50" w:type="pct"/>
            <w:shd w:val="clear" w:color="auto" w:fill="auto"/>
            <w:vAlign w:val="bottom"/>
          </w:tcPr>
          <w:p w14:paraId="74DDEB4C" w14:textId="77777777" w:rsidR="00584EC1" w:rsidRDefault="00584EC1">
            <w:pPr>
              <w:rPr>
                <w:rFonts w:ascii="宋体"/>
              </w:rPr>
            </w:pPr>
          </w:p>
        </w:tc>
        <w:tc>
          <w:tcPr>
            <w:tcW w:w="1348" w:type="pct"/>
            <w:shd w:val="clear" w:color="auto" w:fill="auto"/>
            <w:vAlign w:val="bottom"/>
          </w:tcPr>
          <w:p w14:paraId="74DDEB4D" w14:textId="77777777" w:rsidR="00584EC1" w:rsidRDefault="00584EC1">
            <w:pPr>
              <w:rPr>
                <w:rFonts w:ascii="宋体"/>
              </w:rPr>
            </w:pPr>
          </w:p>
        </w:tc>
        <w:tc>
          <w:tcPr>
            <w:tcW w:w="5" w:type="pct"/>
            <w:shd w:val="clear" w:color="auto" w:fill="auto"/>
            <w:vAlign w:val="bottom"/>
          </w:tcPr>
          <w:p w14:paraId="74DDEB4E" w14:textId="77777777" w:rsidR="00584EC1" w:rsidRDefault="00584EC1">
            <w:pPr>
              <w:rPr>
                <w:rFonts w:ascii="宋体"/>
              </w:rPr>
            </w:pPr>
          </w:p>
        </w:tc>
        <w:tc>
          <w:tcPr>
            <w:tcW w:w="50" w:type="pct"/>
            <w:shd w:val="clear" w:color="auto" w:fill="auto"/>
            <w:vAlign w:val="bottom"/>
          </w:tcPr>
          <w:p w14:paraId="74DDEB4F" w14:textId="77777777" w:rsidR="00584EC1" w:rsidRDefault="00584EC1">
            <w:pPr>
              <w:rPr>
                <w:rFonts w:ascii="宋体"/>
              </w:rPr>
            </w:pPr>
          </w:p>
        </w:tc>
        <w:tc>
          <w:tcPr>
            <w:tcW w:w="3541" w:type="pct"/>
            <w:shd w:val="clear" w:color="auto" w:fill="auto"/>
            <w:vAlign w:val="bottom"/>
          </w:tcPr>
          <w:p w14:paraId="74DDEB50" w14:textId="77777777" w:rsidR="00584EC1" w:rsidRDefault="00584EC1">
            <w:pPr>
              <w:rPr>
                <w:rFonts w:ascii="宋体"/>
              </w:rPr>
            </w:pPr>
          </w:p>
        </w:tc>
        <w:tc>
          <w:tcPr>
            <w:tcW w:w="5" w:type="pct"/>
            <w:shd w:val="clear" w:color="auto" w:fill="auto"/>
            <w:vAlign w:val="bottom"/>
          </w:tcPr>
          <w:p w14:paraId="74DDEB51" w14:textId="77777777" w:rsidR="00584EC1" w:rsidRDefault="00584EC1">
            <w:pPr>
              <w:rPr>
                <w:rFonts w:ascii="宋体"/>
              </w:rPr>
            </w:pPr>
          </w:p>
        </w:tc>
      </w:tr>
      <w:tr w:rsidR="00584EC1" w14:paraId="74DDEB55"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4DDEB53"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B54" w14:textId="77777777" w:rsidR="00584EC1" w:rsidRDefault="00584EC1">
            <w:pPr>
              <w:rPr>
                <w:rFonts w:ascii="宋体"/>
              </w:rPr>
            </w:pPr>
          </w:p>
        </w:tc>
      </w:tr>
    </w:tbl>
    <w:p w14:paraId="74DDEB56" w14:textId="77777777" w:rsidR="00584EC1" w:rsidRDefault="00871F8D">
      <w:pPr>
        <w:spacing w:before="60"/>
        <w:jc w:val="both"/>
      </w:pPr>
      <w:r>
        <w:rPr>
          <w:rFonts w:ascii="Arial" w:eastAsia="宋体" w:hAnsi="Arial" w:cs="Arial"/>
          <w:color w:val="000000"/>
          <w:sz w:val="8"/>
          <w:szCs w:val="8"/>
        </w:rPr>
        <w:t xml:space="preserve">(1) </w:t>
      </w:r>
      <w:r>
        <w:rPr>
          <w:rFonts w:ascii="Arial" w:eastAsia="宋体" w:hAnsi="Arial" w:cs="Arial"/>
          <w:color w:val="000000"/>
          <w:sz w:val="13"/>
          <w:szCs w:val="13"/>
        </w:rPr>
        <w:t>Any reserve associated with accrued interest is not material.</w:t>
      </w:r>
      <w:r>
        <w:rPr>
          <w:rFonts w:ascii="Arial" w:eastAsia="宋体" w:hAnsi="Arial" w:cs="Arial"/>
          <w:color w:val="000000"/>
          <w:sz w:val="8"/>
          <w:szCs w:val="8"/>
        </w:rPr>
        <w:t xml:space="preserve"> </w:t>
      </w:r>
      <w:r>
        <w:rPr>
          <w:rFonts w:ascii="Arial" w:eastAsia="宋体" w:hAnsi="Arial" w:cs="Arial"/>
          <w:color w:val="000000"/>
          <w:sz w:val="13"/>
          <w:szCs w:val="13"/>
        </w:rPr>
        <w:t xml:space="preserve">As of December 31, 2020, accrued interest receivable of $72 million included in the amortized cost basis of loans has been </w:t>
      </w:r>
      <w:r>
        <w:rPr>
          <w:rFonts w:ascii="Arial" w:eastAsia="宋体" w:hAnsi="Arial" w:cs="Arial"/>
          <w:color w:val="000000"/>
          <w:sz w:val="13"/>
          <w:szCs w:val="13"/>
        </w:rPr>
        <w:t>excluded from the amortized cost basis within this table.</w:t>
      </w:r>
    </w:p>
    <w:p w14:paraId="74DDEB57" w14:textId="77777777" w:rsidR="00584EC1" w:rsidRDefault="00871F8D">
      <w:pPr>
        <w:spacing w:before="60"/>
        <w:ind w:firstLine="720"/>
        <w:jc w:val="both"/>
      </w:pPr>
      <w:r>
        <w:rPr>
          <w:rFonts w:ascii="Arial" w:eastAsia="宋体" w:hAnsi="Arial" w:cs="Arial"/>
          <w:color w:val="000000"/>
          <w:sz w:val="20"/>
          <w:szCs w:val="20"/>
        </w:rPr>
        <w:t>The following tables present the activity in the allowance for credit losses by portfolio and class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1569"/>
        <w:gridCol w:w="38"/>
        <w:gridCol w:w="100"/>
        <w:gridCol w:w="652"/>
        <w:gridCol w:w="38"/>
        <w:gridCol w:w="36"/>
        <w:gridCol w:w="36"/>
        <w:gridCol w:w="36"/>
        <w:gridCol w:w="99"/>
        <w:gridCol w:w="579"/>
        <w:gridCol w:w="37"/>
        <w:gridCol w:w="36"/>
        <w:gridCol w:w="36"/>
        <w:gridCol w:w="36"/>
        <w:gridCol w:w="99"/>
        <w:gridCol w:w="745"/>
        <w:gridCol w:w="36"/>
        <w:gridCol w:w="36"/>
        <w:gridCol w:w="36"/>
        <w:gridCol w:w="36"/>
        <w:gridCol w:w="99"/>
        <w:gridCol w:w="1023"/>
        <w:gridCol w:w="36"/>
        <w:gridCol w:w="36"/>
        <w:gridCol w:w="36"/>
        <w:gridCol w:w="36"/>
        <w:gridCol w:w="99"/>
        <w:gridCol w:w="896"/>
        <w:gridCol w:w="36"/>
        <w:gridCol w:w="36"/>
        <w:gridCol w:w="36"/>
        <w:gridCol w:w="36"/>
        <w:gridCol w:w="99"/>
        <w:gridCol w:w="565"/>
        <w:gridCol w:w="36"/>
        <w:gridCol w:w="36"/>
        <w:gridCol w:w="36"/>
        <w:gridCol w:w="36"/>
        <w:gridCol w:w="98"/>
        <w:gridCol w:w="634"/>
        <w:gridCol w:w="36"/>
      </w:tblGrid>
      <w:tr w:rsidR="00584EC1" w14:paraId="74DDEB82" w14:textId="77777777">
        <w:tc>
          <w:tcPr>
            <w:tcW w:w="50" w:type="pct"/>
            <w:shd w:val="clear" w:color="auto" w:fill="auto"/>
            <w:vAlign w:val="bottom"/>
          </w:tcPr>
          <w:p w14:paraId="74DDEB58" w14:textId="77777777" w:rsidR="00584EC1" w:rsidRDefault="00584EC1">
            <w:pPr>
              <w:rPr>
                <w:rFonts w:ascii="宋体"/>
              </w:rPr>
            </w:pPr>
          </w:p>
        </w:tc>
        <w:tc>
          <w:tcPr>
            <w:tcW w:w="975" w:type="pct"/>
            <w:shd w:val="clear" w:color="auto" w:fill="auto"/>
            <w:vAlign w:val="bottom"/>
          </w:tcPr>
          <w:p w14:paraId="74DDEB59" w14:textId="77777777" w:rsidR="00584EC1" w:rsidRDefault="00584EC1">
            <w:pPr>
              <w:rPr>
                <w:rFonts w:ascii="宋体"/>
              </w:rPr>
            </w:pPr>
          </w:p>
        </w:tc>
        <w:tc>
          <w:tcPr>
            <w:tcW w:w="5" w:type="pct"/>
            <w:shd w:val="clear" w:color="auto" w:fill="auto"/>
            <w:vAlign w:val="bottom"/>
          </w:tcPr>
          <w:p w14:paraId="74DDEB5A" w14:textId="77777777" w:rsidR="00584EC1" w:rsidRDefault="00584EC1">
            <w:pPr>
              <w:rPr>
                <w:rFonts w:ascii="宋体"/>
              </w:rPr>
            </w:pPr>
          </w:p>
        </w:tc>
        <w:tc>
          <w:tcPr>
            <w:tcW w:w="50" w:type="pct"/>
            <w:shd w:val="clear" w:color="auto" w:fill="auto"/>
            <w:vAlign w:val="bottom"/>
          </w:tcPr>
          <w:p w14:paraId="74DDEB5B" w14:textId="77777777" w:rsidR="00584EC1" w:rsidRDefault="00584EC1">
            <w:pPr>
              <w:rPr>
                <w:rFonts w:ascii="宋体"/>
              </w:rPr>
            </w:pPr>
          </w:p>
        </w:tc>
        <w:tc>
          <w:tcPr>
            <w:tcW w:w="405" w:type="pct"/>
            <w:shd w:val="clear" w:color="auto" w:fill="auto"/>
            <w:vAlign w:val="bottom"/>
          </w:tcPr>
          <w:p w14:paraId="74DDEB5C" w14:textId="77777777" w:rsidR="00584EC1" w:rsidRDefault="00584EC1">
            <w:pPr>
              <w:rPr>
                <w:rFonts w:ascii="宋体"/>
              </w:rPr>
            </w:pPr>
          </w:p>
        </w:tc>
        <w:tc>
          <w:tcPr>
            <w:tcW w:w="5" w:type="pct"/>
            <w:shd w:val="clear" w:color="auto" w:fill="auto"/>
            <w:vAlign w:val="bottom"/>
          </w:tcPr>
          <w:p w14:paraId="74DDEB5D" w14:textId="77777777" w:rsidR="00584EC1" w:rsidRDefault="00584EC1">
            <w:pPr>
              <w:rPr>
                <w:rFonts w:ascii="宋体"/>
              </w:rPr>
            </w:pPr>
          </w:p>
        </w:tc>
        <w:tc>
          <w:tcPr>
            <w:tcW w:w="5" w:type="pct"/>
            <w:shd w:val="clear" w:color="auto" w:fill="auto"/>
            <w:vAlign w:val="bottom"/>
          </w:tcPr>
          <w:p w14:paraId="74DDEB5E" w14:textId="77777777" w:rsidR="00584EC1" w:rsidRDefault="00584EC1">
            <w:pPr>
              <w:rPr>
                <w:rFonts w:ascii="宋体"/>
              </w:rPr>
            </w:pPr>
          </w:p>
        </w:tc>
        <w:tc>
          <w:tcPr>
            <w:tcW w:w="26" w:type="pct"/>
            <w:shd w:val="clear" w:color="auto" w:fill="auto"/>
            <w:vAlign w:val="bottom"/>
          </w:tcPr>
          <w:p w14:paraId="74DDEB5F" w14:textId="77777777" w:rsidR="00584EC1" w:rsidRDefault="00584EC1">
            <w:pPr>
              <w:rPr>
                <w:rFonts w:ascii="宋体"/>
              </w:rPr>
            </w:pPr>
          </w:p>
        </w:tc>
        <w:tc>
          <w:tcPr>
            <w:tcW w:w="5" w:type="pct"/>
            <w:shd w:val="clear" w:color="auto" w:fill="auto"/>
            <w:vAlign w:val="bottom"/>
          </w:tcPr>
          <w:p w14:paraId="74DDEB60" w14:textId="77777777" w:rsidR="00584EC1" w:rsidRDefault="00584EC1">
            <w:pPr>
              <w:rPr>
                <w:rFonts w:ascii="宋体"/>
              </w:rPr>
            </w:pPr>
          </w:p>
        </w:tc>
        <w:tc>
          <w:tcPr>
            <w:tcW w:w="50" w:type="pct"/>
            <w:shd w:val="clear" w:color="auto" w:fill="auto"/>
            <w:vAlign w:val="bottom"/>
          </w:tcPr>
          <w:p w14:paraId="74DDEB61" w14:textId="77777777" w:rsidR="00584EC1" w:rsidRDefault="00584EC1">
            <w:pPr>
              <w:rPr>
                <w:rFonts w:ascii="宋体"/>
              </w:rPr>
            </w:pPr>
          </w:p>
        </w:tc>
        <w:tc>
          <w:tcPr>
            <w:tcW w:w="420" w:type="pct"/>
            <w:shd w:val="clear" w:color="auto" w:fill="auto"/>
            <w:vAlign w:val="bottom"/>
          </w:tcPr>
          <w:p w14:paraId="74DDEB62" w14:textId="77777777" w:rsidR="00584EC1" w:rsidRDefault="00584EC1">
            <w:pPr>
              <w:rPr>
                <w:rFonts w:ascii="宋体"/>
              </w:rPr>
            </w:pPr>
          </w:p>
        </w:tc>
        <w:tc>
          <w:tcPr>
            <w:tcW w:w="5" w:type="pct"/>
            <w:shd w:val="clear" w:color="auto" w:fill="auto"/>
            <w:vAlign w:val="bottom"/>
          </w:tcPr>
          <w:p w14:paraId="74DDEB63" w14:textId="77777777" w:rsidR="00584EC1" w:rsidRDefault="00584EC1">
            <w:pPr>
              <w:rPr>
                <w:rFonts w:ascii="宋体"/>
              </w:rPr>
            </w:pPr>
          </w:p>
        </w:tc>
        <w:tc>
          <w:tcPr>
            <w:tcW w:w="5" w:type="pct"/>
            <w:shd w:val="clear" w:color="auto" w:fill="auto"/>
            <w:vAlign w:val="bottom"/>
          </w:tcPr>
          <w:p w14:paraId="74DDEB64" w14:textId="77777777" w:rsidR="00584EC1" w:rsidRDefault="00584EC1">
            <w:pPr>
              <w:rPr>
                <w:rFonts w:ascii="宋体"/>
              </w:rPr>
            </w:pPr>
          </w:p>
        </w:tc>
        <w:tc>
          <w:tcPr>
            <w:tcW w:w="26" w:type="pct"/>
            <w:shd w:val="clear" w:color="auto" w:fill="auto"/>
            <w:vAlign w:val="bottom"/>
          </w:tcPr>
          <w:p w14:paraId="74DDEB65" w14:textId="77777777" w:rsidR="00584EC1" w:rsidRDefault="00584EC1">
            <w:pPr>
              <w:rPr>
                <w:rFonts w:ascii="宋体"/>
              </w:rPr>
            </w:pPr>
          </w:p>
        </w:tc>
        <w:tc>
          <w:tcPr>
            <w:tcW w:w="5" w:type="pct"/>
            <w:shd w:val="clear" w:color="auto" w:fill="auto"/>
            <w:vAlign w:val="bottom"/>
          </w:tcPr>
          <w:p w14:paraId="74DDEB66" w14:textId="77777777" w:rsidR="00584EC1" w:rsidRDefault="00584EC1">
            <w:pPr>
              <w:rPr>
                <w:rFonts w:ascii="宋体"/>
              </w:rPr>
            </w:pPr>
          </w:p>
        </w:tc>
        <w:tc>
          <w:tcPr>
            <w:tcW w:w="50" w:type="pct"/>
            <w:shd w:val="clear" w:color="auto" w:fill="auto"/>
            <w:vAlign w:val="bottom"/>
          </w:tcPr>
          <w:p w14:paraId="74DDEB67" w14:textId="77777777" w:rsidR="00584EC1" w:rsidRDefault="00584EC1">
            <w:pPr>
              <w:rPr>
                <w:rFonts w:ascii="宋体"/>
              </w:rPr>
            </w:pPr>
          </w:p>
        </w:tc>
        <w:tc>
          <w:tcPr>
            <w:tcW w:w="420" w:type="pct"/>
            <w:shd w:val="clear" w:color="auto" w:fill="auto"/>
            <w:vAlign w:val="bottom"/>
          </w:tcPr>
          <w:p w14:paraId="74DDEB68" w14:textId="77777777" w:rsidR="00584EC1" w:rsidRDefault="00584EC1">
            <w:pPr>
              <w:rPr>
                <w:rFonts w:ascii="宋体"/>
              </w:rPr>
            </w:pPr>
          </w:p>
        </w:tc>
        <w:tc>
          <w:tcPr>
            <w:tcW w:w="5" w:type="pct"/>
            <w:shd w:val="clear" w:color="auto" w:fill="auto"/>
            <w:vAlign w:val="bottom"/>
          </w:tcPr>
          <w:p w14:paraId="74DDEB69" w14:textId="77777777" w:rsidR="00584EC1" w:rsidRDefault="00584EC1">
            <w:pPr>
              <w:rPr>
                <w:rFonts w:ascii="宋体"/>
              </w:rPr>
            </w:pPr>
          </w:p>
        </w:tc>
        <w:tc>
          <w:tcPr>
            <w:tcW w:w="5" w:type="pct"/>
            <w:shd w:val="clear" w:color="auto" w:fill="auto"/>
            <w:vAlign w:val="bottom"/>
          </w:tcPr>
          <w:p w14:paraId="74DDEB6A" w14:textId="77777777" w:rsidR="00584EC1" w:rsidRDefault="00584EC1">
            <w:pPr>
              <w:rPr>
                <w:rFonts w:ascii="宋体"/>
              </w:rPr>
            </w:pPr>
          </w:p>
        </w:tc>
        <w:tc>
          <w:tcPr>
            <w:tcW w:w="26" w:type="pct"/>
            <w:shd w:val="clear" w:color="auto" w:fill="auto"/>
            <w:vAlign w:val="bottom"/>
          </w:tcPr>
          <w:p w14:paraId="74DDEB6B" w14:textId="77777777" w:rsidR="00584EC1" w:rsidRDefault="00584EC1">
            <w:pPr>
              <w:rPr>
                <w:rFonts w:ascii="宋体"/>
              </w:rPr>
            </w:pPr>
          </w:p>
        </w:tc>
        <w:tc>
          <w:tcPr>
            <w:tcW w:w="5" w:type="pct"/>
            <w:shd w:val="clear" w:color="auto" w:fill="auto"/>
            <w:vAlign w:val="bottom"/>
          </w:tcPr>
          <w:p w14:paraId="74DDEB6C" w14:textId="77777777" w:rsidR="00584EC1" w:rsidRDefault="00584EC1">
            <w:pPr>
              <w:rPr>
                <w:rFonts w:ascii="宋体"/>
              </w:rPr>
            </w:pPr>
          </w:p>
        </w:tc>
        <w:tc>
          <w:tcPr>
            <w:tcW w:w="50" w:type="pct"/>
            <w:shd w:val="clear" w:color="auto" w:fill="auto"/>
            <w:vAlign w:val="bottom"/>
          </w:tcPr>
          <w:p w14:paraId="74DDEB6D" w14:textId="77777777" w:rsidR="00584EC1" w:rsidRDefault="00584EC1">
            <w:pPr>
              <w:rPr>
                <w:rFonts w:ascii="宋体"/>
              </w:rPr>
            </w:pPr>
          </w:p>
        </w:tc>
        <w:tc>
          <w:tcPr>
            <w:tcW w:w="624" w:type="pct"/>
            <w:shd w:val="clear" w:color="auto" w:fill="auto"/>
            <w:vAlign w:val="bottom"/>
          </w:tcPr>
          <w:p w14:paraId="74DDEB6E" w14:textId="77777777" w:rsidR="00584EC1" w:rsidRDefault="00584EC1">
            <w:pPr>
              <w:rPr>
                <w:rFonts w:ascii="宋体"/>
              </w:rPr>
            </w:pPr>
          </w:p>
        </w:tc>
        <w:tc>
          <w:tcPr>
            <w:tcW w:w="5" w:type="pct"/>
            <w:shd w:val="clear" w:color="auto" w:fill="auto"/>
            <w:vAlign w:val="bottom"/>
          </w:tcPr>
          <w:p w14:paraId="74DDEB6F" w14:textId="77777777" w:rsidR="00584EC1" w:rsidRDefault="00584EC1">
            <w:pPr>
              <w:rPr>
                <w:rFonts w:ascii="宋体"/>
              </w:rPr>
            </w:pPr>
          </w:p>
        </w:tc>
        <w:tc>
          <w:tcPr>
            <w:tcW w:w="5" w:type="pct"/>
            <w:shd w:val="clear" w:color="auto" w:fill="auto"/>
            <w:vAlign w:val="bottom"/>
          </w:tcPr>
          <w:p w14:paraId="74DDEB70" w14:textId="77777777" w:rsidR="00584EC1" w:rsidRDefault="00584EC1">
            <w:pPr>
              <w:rPr>
                <w:rFonts w:ascii="宋体"/>
              </w:rPr>
            </w:pPr>
          </w:p>
        </w:tc>
        <w:tc>
          <w:tcPr>
            <w:tcW w:w="26" w:type="pct"/>
            <w:shd w:val="clear" w:color="auto" w:fill="auto"/>
            <w:vAlign w:val="bottom"/>
          </w:tcPr>
          <w:p w14:paraId="74DDEB71" w14:textId="77777777" w:rsidR="00584EC1" w:rsidRDefault="00584EC1">
            <w:pPr>
              <w:rPr>
                <w:rFonts w:ascii="宋体"/>
              </w:rPr>
            </w:pPr>
          </w:p>
        </w:tc>
        <w:tc>
          <w:tcPr>
            <w:tcW w:w="5" w:type="pct"/>
            <w:shd w:val="clear" w:color="auto" w:fill="auto"/>
            <w:vAlign w:val="bottom"/>
          </w:tcPr>
          <w:p w14:paraId="74DDEB72" w14:textId="77777777" w:rsidR="00584EC1" w:rsidRDefault="00584EC1">
            <w:pPr>
              <w:rPr>
                <w:rFonts w:ascii="宋体"/>
              </w:rPr>
            </w:pPr>
          </w:p>
        </w:tc>
        <w:tc>
          <w:tcPr>
            <w:tcW w:w="50" w:type="pct"/>
            <w:shd w:val="clear" w:color="auto" w:fill="auto"/>
            <w:vAlign w:val="bottom"/>
          </w:tcPr>
          <w:p w14:paraId="74DDEB73" w14:textId="77777777" w:rsidR="00584EC1" w:rsidRDefault="00584EC1">
            <w:pPr>
              <w:rPr>
                <w:rFonts w:ascii="宋体"/>
              </w:rPr>
            </w:pPr>
          </w:p>
        </w:tc>
        <w:tc>
          <w:tcPr>
            <w:tcW w:w="639" w:type="pct"/>
            <w:shd w:val="clear" w:color="auto" w:fill="auto"/>
            <w:vAlign w:val="bottom"/>
          </w:tcPr>
          <w:p w14:paraId="74DDEB74" w14:textId="77777777" w:rsidR="00584EC1" w:rsidRDefault="00584EC1">
            <w:pPr>
              <w:rPr>
                <w:rFonts w:ascii="宋体"/>
              </w:rPr>
            </w:pPr>
          </w:p>
        </w:tc>
        <w:tc>
          <w:tcPr>
            <w:tcW w:w="5" w:type="pct"/>
            <w:shd w:val="clear" w:color="auto" w:fill="auto"/>
            <w:vAlign w:val="bottom"/>
          </w:tcPr>
          <w:p w14:paraId="74DDEB75" w14:textId="77777777" w:rsidR="00584EC1" w:rsidRDefault="00584EC1">
            <w:pPr>
              <w:rPr>
                <w:rFonts w:ascii="宋体"/>
              </w:rPr>
            </w:pPr>
          </w:p>
        </w:tc>
        <w:tc>
          <w:tcPr>
            <w:tcW w:w="5" w:type="pct"/>
            <w:shd w:val="clear" w:color="auto" w:fill="auto"/>
            <w:vAlign w:val="bottom"/>
          </w:tcPr>
          <w:p w14:paraId="74DDEB76" w14:textId="77777777" w:rsidR="00584EC1" w:rsidRDefault="00584EC1">
            <w:pPr>
              <w:rPr>
                <w:rFonts w:ascii="宋体"/>
              </w:rPr>
            </w:pPr>
          </w:p>
        </w:tc>
        <w:tc>
          <w:tcPr>
            <w:tcW w:w="26" w:type="pct"/>
            <w:shd w:val="clear" w:color="auto" w:fill="auto"/>
            <w:vAlign w:val="bottom"/>
          </w:tcPr>
          <w:p w14:paraId="74DDEB77" w14:textId="77777777" w:rsidR="00584EC1" w:rsidRDefault="00584EC1">
            <w:pPr>
              <w:rPr>
                <w:rFonts w:ascii="宋体"/>
              </w:rPr>
            </w:pPr>
          </w:p>
        </w:tc>
        <w:tc>
          <w:tcPr>
            <w:tcW w:w="5" w:type="pct"/>
            <w:shd w:val="clear" w:color="auto" w:fill="auto"/>
            <w:vAlign w:val="bottom"/>
          </w:tcPr>
          <w:p w14:paraId="74DDEB78" w14:textId="77777777" w:rsidR="00584EC1" w:rsidRDefault="00584EC1">
            <w:pPr>
              <w:rPr>
                <w:rFonts w:ascii="宋体"/>
              </w:rPr>
            </w:pPr>
          </w:p>
        </w:tc>
        <w:tc>
          <w:tcPr>
            <w:tcW w:w="50" w:type="pct"/>
            <w:shd w:val="clear" w:color="auto" w:fill="auto"/>
            <w:vAlign w:val="bottom"/>
          </w:tcPr>
          <w:p w14:paraId="74DDEB79" w14:textId="77777777" w:rsidR="00584EC1" w:rsidRDefault="00584EC1">
            <w:pPr>
              <w:rPr>
                <w:rFonts w:ascii="宋体"/>
              </w:rPr>
            </w:pPr>
          </w:p>
        </w:tc>
        <w:tc>
          <w:tcPr>
            <w:tcW w:w="420" w:type="pct"/>
            <w:shd w:val="clear" w:color="auto" w:fill="auto"/>
            <w:vAlign w:val="bottom"/>
          </w:tcPr>
          <w:p w14:paraId="74DDEB7A" w14:textId="77777777" w:rsidR="00584EC1" w:rsidRDefault="00584EC1">
            <w:pPr>
              <w:rPr>
                <w:rFonts w:ascii="宋体"/>
              </w:rPr>
            </w:pPr>
          </w:p>
        </w:tc>
        <w:tc>
          <w:tcPr>
            <w:tcW w:w="5" w:type="pct"/>
            <w:shd w:val="clear" w:color="auto" w:fill="auto"/>
            <w:vAlign w:val="bottom"/>
          </w:tcPr>
          <w:p w14:paraId="74DDEB7B" w14:textId="77777777" w:rsidR="00584EC1" w:rsidRDefault="00584EC1">
            <w:pPr>
              <w:rPr>
                <w:rFonts w:ascii="宋体"/>
              </w:rPr>
            </w:pPr>
          </w:p>
        </w:tc>
        <w:tc>
          <w:tcPr>
            <w:tcW w:w="5" w:type="pct"/>
            <w:shd w:val="clear" w:color="auto" w:fill="auto"/>
            <w:vAlign w:val="bottom"/>
          </w:tcPr>
          <w:p w14:paraId="74DDEB7C" w14:textId="77777777" w:rsidR="00584EC1" w:rsidRDefault="00584EC1">
            <w:pPr>
              <w:rPr>
                <w:rFonts w:ascii="宋体"/>
              </w:rPr>
            </w:pPr>
          </w:p>
        </w:tc>
        <w:tc>
          <w:tcPr>
            <w:tcW w:w="26" w:type="pct"/>
            <w:shd w:val="clear" w:color="auto" w:fill="auto"/>
            <w:vAlign w:val="bottom"/>
          </w:tcPr>
          <w:p w14:paraId="74DDEB7D" w14:textId="77777777" w:rsidR="00584EC1" w:rsidRDefault="00584EC1">
            <w:pPr>
              <w:rPr>
                <w:rFonts w:ascii="宋体"/>
              </w:rPr>
            </w:pPr>
          </w:p>
        </w:tc>
        <w:tc>
          <w:tcPr>
            <w:tcW w:w="5" w:type="pct"/>
            <w:shd w:val="clear" w:color="auto" w:fill="auto"/>
            <w:vAlign w:val="bottom"/>
          </w:tcPr>
          <w:p w14:paraId="74DDEB7E" w14:textId="77777777" w:rsidR="00584EC1" w:rsidRDefault="00584EC1">
            <w:pPr>
              <w:rPr>
                <w:rFonts w:ascii="宋体"/>
              </w:rPr>
            </w:pPr>
          </w:p>
        </w:tc>
        <w:tc>
          <w:tcPr>
            <w:tcW w:w="50" w:type="pct"/>
            <w:shd w:val="clear" w:color="auto" w:fill="auto"/>
            <w:vAlign w:val="bottom"/>
          </w:tcPr>
          <w:p w14:paraId="74DDEB7F" w14:textId="77777777" w:rsidR="00584EC1" w:rsidRDefault="00584EC1">
            <w:pPr>
              <w:rPr>
                <w:rFonts w:ascii="宋体"/>
              </w:rPr>
            </w:pPr>
          </w:p>
        </w:tc>
        <w:tc>
          <w:tcPr>
            <w:tcW w:w="435" w:type="pct"/>
            <w:shd w:val="clear" w:color="auto" w:fill="auto"/>
            <w:vAlign w:val="bottom"/>
          </w:tcPr>
          <w:p w14:paraId="74DDEB80" w14:textId="77777777" w:rsidR="00584EC1" w:rsidRDefault="00584EC1">
            <w:pPr>
              <w:rPr>
                <w:rFonts w:ascii="宋体"/>
              </w:rPr>
            </w:pPr>
          </w:p>
        </w:tc>
        <w:tc>
          <w:tcPr>
            <w:tcW w:w="5" w:type="pct"/>
            <w:shd w:val="clear" w:color="auto" w:fill="auto"/>
            <w:vAlign w:val="bottom"/>
          </w:tcPr>
          <w:p w14:paraId="74DDEB81" w14:textId="77777777" w:rsidR="00584EC1" w:rsidRDefault="00584EC1">
            <w:pPr>
              <w:rPr>
                <w:rFonts w:ascii="宋体"/>
              </w:rPr>
            </w:pPr>
          </w:p>
        </w:tc>
      </w:tr>
      <w:tr w:rsidR="00584EC1" w14:paraId="74DDEB85" w14:textId="77777777">
        <w:tc>
          <w:tcPr>
            <w:tcW w:w="0" w:type="auto"/>
            <w:gridSpan w:val="3"/>
            <w:shd w:val="clear" w:color="auto" w:fill="auto"/>
            <w:tcMar>
              <w:top w:w="0" w:type="dxa"/>
              <w:left w:w="20" w:type="dxa"/>
              <w:bottom w:w="0" w:type="dxa"/>
              <w:right w:w="20" w:type="dxa"/>
            </w:tcMar>
            <w:vAlign w:val="bottom"/>
          </w:tcPr>
          <w:p w14:paraId="74DDEB83" w14:textId="77777777" w:rsidR="00584EC1" w:rsidRDefault="00584EC1">
            <w:pPr>
              <w:rPr>
                <w:rFonts w:ascii="宋体"/>
              </w:rPr>
            </w:pPr>
          </w:p>
        </w:tc>
        <w:tc>
          <w:tcPr>
            <w:tcW w:w="0" w:type="auto"/>
            <w:gridSpan w:val="39"/>
            <w:shd w:val="clear" w:color="auto" w:fill="auto"/>
            <w:tcMar>
              <w:top w:w="40" w:type="dxa"/>
              <w:left w:w="20" w:type="dxa"/>
              <w:bottom w:w="40" w:type="dxa"/>
              <w:right w:w="20" w:type="dxa"/>
            </w:tcMar>
            <w:vAlign w:val="bottom"/>
          </w:tcPr>
          <w:p w14:paraId="74DDEB84" w14:textId="77777777" w:rsidR="00584EC1" w:rsidRDefault="00871F8D">
            <w:pPr>
              <w:jc w:val="center"/>
              <w:textAlignment w:val="bottom"/>
            </w:pPr>
            <w:r>
              <w:rPr>
                <w:rFonts w:ascii="Arial" w:eastAsia="宋体" w:hAnsi="Arial" w:cs="Arial"/>
                <w:b/>
                <w:bCs/>
                <w:color w:val="000000"/>
                <w:sz w:val="14"/>
                <w:szCs w:val="14"/>
              </w:rPr>
              <w:t>Three Months Ended September 30, 2021</w:t>
            </w:r>
          </w:p>
        </w:tc>
      </w:tr>
      <w:tr w:rsidR="00584EC1" w14:paraId="74DDEB91" w14:textId="77777777">
        <w:tc>
          <w:tcPr>
            <w:tcW w:w="0" w:type="auto"/>
            <w:gridSpan w:val="3"/>
            <w:shd w:val="clear" w:color="auto" w:fill="auto"/>
            <w:tcMar>
              <w:top w:w="0" w:type="dxa"/>
              <w:left w:w="20" w:type="dxa"/>
              <w:bottom w:w="0" w:type="dxa"/>
              <w:right w:w="20" w:type="dxa"/>
            </w:tcMar>
            <w:vAlign w:val="bottom"/>
          </w:tcPr>
          <w:p w14:paraId="74DDEB86" w14:textId="77777777" w:rsidR="00584EC1" w:rsidRDefault="00584E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4DDEB87" w14:textId="77777777" w:rsidR="00584EC1" w:rsidRDefault="00871F8D">
            <w:pPr>
              <w:jc w:val="center"/>
              <w:textAlignment w:val="bottom"/>
            </w:pPr>
            <w:r>
              <w:rPr>
                <w:rFonts w:ascii="Arial" w:eastAsia="宋体" w:hAnsi="Arial" w:cs="Arial"/>
                <w:b/>
                <w:bCs/>
                <w:color w:val="000000"/>
                <w:sz w:val="14"/>
                <w:szCs w:val="14"/>
              </w:rPr>
              <w:t>Commercial and Financial</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B88"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B89"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B8A"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B8B"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B8C"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B8D"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B8E" w14:textId="77777777" w:rsidR="00584EC1" w:rsidRDefault="00584EC1">
            <w:pPr>
              <w:rPr>
                <w:rFonts w:ascii="宋体"/>
              </w:rPr>
            </w:pPr>
          </w:p>
        </w:tc>
        <w:tc>
          <w:tcPr>
            <w:tcW w:w="0" w:type="auto"/>
            <w:gridSpan w:val="6"/>
            <w:tcBorders>
              <w:top w:val="single" w:sz="8" w:space="0" w:color="000000"/>
            </w:tcBorders>
            <w:shd w:val="clear" w:color="auto" w:fill="auto"/>
            <w:tcMar>
              <w:top w:w="0" w:type="dxa"/>
              <w:left w:w="20" w:type="dxa"/>
              <w:bottom w:w="0" w:type="dxa"/>
              <w:right w:w="20" w:type="dxa"/>
            </w:tcMar>
            <w:vAlign w:val="bottom"/>
          </w:tcPr>
          <w:p w14:paraId="74DDEB8F"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B90" w14:textId="77777777" w:rsidR="00584EC1" w:rsidRDefault="00584EC1">
            <w:pPr>
              <w:rPr>
                <w:rFonts w:ascii="宋体"/>
              </w:rPr>
            </w:pPr>
          </w:p>
        </w:tc>
      </w:tr>
      <w:tr w:rsidR="00584EC1" w14:paraId="74DDEBA0" w14:textId="77777777">
        <w:tc>
          <w:tcPr>
            <w:tcW w:w="0" w:type="auto"/>
            <w:gridSpan w:val="3"/>
            <w:shd w:val="clear" w:color="auto" w:fill="auto"/>
            <w:tcMar>
              <w:top w:w="40" w:type="dxa"/>
              <w:left w:w="20" w:type="dxa"/>
              <w:bottom w:w="40" w:type="dxa"/>
              <w:right w:w="20" w:type="dxa"/>
            </w:tcMar>
            <w:vAlign w:val="bottom"/>
          </w:tcPr>
          <w:p w14:paraId="74DDEB92" w14:textId="77777777" w:rsidR="00584EC1" w:rsidRDefault="00871F8D">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EB93" w14:textId="77777777" w:rsidR="00584EC1" w:rsidRDefault="00871F8D">
            <w:pPr>
              <w:jc w:val="center"/>
              <w:textAlignment w:val="bottom"/>
            </w:pPr>
            <w:r>
              <w:rPr>
                <w:rFonts w:ascii="Arial" w:eastAsia="宋体" w:hAnsi="Arial" w:cs="Arial"/>
                <w:b/>
                <w:bCs/>
                <w:color w:val="000000"/>
                <w:sz w:val="14"/>
                <w:szCs w:val="14"/>
              </w:rPr>
              <w:t>Leveraged Loans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B94"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EB95" w14:textId="77777777" w:rsidR="00584EC1" w:rsidRDefault="00871F8D">
            <w:pPr>
              <w:jc w:val="center"/>
              <w:textAlignment w:val="bottom"/>
            </w:pPr>
            <w:r>
              <w:rPr>
                <w:rFonts w:ascii="Arial" w:eastAsia="宋体" w:hAnsi="Arial" w:cs="Arial"/>
                <w:b/>
                <w:bCs/>
                <w:color w:val="000000"/>
                <w:sz w:val="14"/>
                <w:szCs w:val="14"/>
              </w:rPr>
              <w:t>Other Loans</w:t>
            </w:r>
            <w:r>
              <w:rPr>
                <w:rFonts w:ascii="Arial" w:eastAsia="宋体" w:hAnsi="Arial" w:cs="Arial"/>
                <w:b/>
                <w:bCs/>
                <w:color w:val="000000"/>
                <w:sz w:val="9"/>
                <w:szCs w:val="9"/>
              </w:rPr>
              <w:t>(1)</w:t>
            </w:r>
          </w:p>
        </w:tc>
        <w:tc>
          <w:tcPr>
            <w:tcW w:w="0" w:type="auto"/>
            <w:gridSpan w:val="3"/>
            <w:shd w:val="clear" w:color="auto" w:fill="auto"/>
            <w:tcMar>
              <w:top w:w="0" w:type="dxa"/>
              <w:left w:w="20" w:type="dxa"/>
              <w:bottom w:w="0" w:type="dxa"/>
              <w:right w:w="20" w:type="dxa"/>
            </w:tcMar>
            <w:vAlign w:val="bottom"/>
          </w:tcPr>
          <w:p w14:paraId="74DDEB96"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EB97" w14:textId="77777777" w:rsidR="00584EC1" w:rsidRDefault="00871F8D">
            <w:pPr>
              <w:jc w:val="center"/>
              <w:textAlignment w:val="bottom"/>
            </w:pPr>
            <w:r>
              <w:rPr>
                <w:rFonts w:ascii="Arial" w:eastAsia="宋体" w:hAnsi="Arial" w:cs="Arial"/>
                <w:b/>
                <w:bCs/>
                <w:color w:val="000000"/>
                <w:sz w:val="14"/>
                <w:szCs w:val="14"/>
              </w:rPr>
              <w:t>Commercial Real Estate</w:t>
            </w:r>
          </w:p>
        </w:tc>
        <w:tc>
          <w:tcPr>
            <w:tcW w:w="0" w:type="auto"/>
            <w:gridSpan w:val="3"/>
            <w:shd w:val="clear" w:color="auto" w:fill="auto"/>
            <w:tcMar>
              <w:top w:w="0" w:type="dxa"/>
              <w:left w:w="20" w:type="dxa"/>
              <w:bottom w:w="0" w:type="dxa"/>
              <w:right w:w="20" w:type="dxa"/>
            </w:tcMar>
            <w:vAlign w:val="bottom"/>
          </w:tcPr>
          <w:p w14:paraId="74DDEB98"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EB99" w14:textId="77777777" w:rsidR="00584EC1" w:rsidRDefault="00871F8D">
            <w:pPr>
              <w:jc w:val="center"/>
              <w:textAlignment w:val="bottom"/>
            </w:pPr>
            <w:r>
              <w:rPr>
                <w:rFonts w:ascii="Arial" w:eastAsia="宋体" w:hAnsi="Arial" w:cs="Arial"/>
                <w:b/>
                <w:bCs/>
                <w:color w:val="000000"/>
                <w:sz w:val="14"/>
                <w:szCs w:val="14"/>
              </w:rPr>
              <w:t>Held-to-Maturity Securities</w:t>
            </w:r>
          </w:p>
        </w:tc>
        <w:tc>
          <w:tcPr>
            <w:tcW w:w="0" w:type="auto"/>
            <w:gridSpan w:val="3"/>
            <w:shd w:val="clear" w:color="auto" w:fill="auto"/>
            <w:tcMar>
              <w:top w:w="0" w:type="dxa"/>
              <w:left w:w="20" w:type="dxa"/>
              <w:bottom w:w="0" w:type="dxa"/>
              <w:right w:w="20" w:type="dxa"/>
            </w:tcMar>
            <w:vAlign w:val="bottom"/>
          </w:tcPr>
          <w:p w14:paraId="74DDEB9A"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EB9B" w14:textId="77777777" w:rsidR="00584EC1" w:rsidRDefault="00871F8D">
            <w:pPr>
              <w:jc w:val="center"/>
              <w:textAlignment w:val="bottom"/>
            </w:pPr>
            <w:r>
              <w:rPr>
                <w:rFonts w:ascii="Arial" w:eastAsia="宋体" w:hAnsi="Arial" w:cs="Arial"/>
                <w:b/>
                <w:bCs/>
                <w:color w:val="000000"/>
                <w:sz w:val="14"/>
                <w:szCs w:val="14"/>
              </w:rPr>
              <w:t>Off-Balance Sheet Commitments</w:t>
            </w:r>
          </w:p>
        </w:tc>
        <w:tc>
          <w:tcPr>
            <w:tcW w:w="0" w:type="auto"/>
            <w:gridSpan w:val="3"/>
            <w:shd w:val="clear" w:color="auto" w:fill="auto"/>
            <w:tcMar>
              <w:top w:w="0" w:type="dxa"/>
              <w:left w:w="20" w:type="dxa"/>
              <w:bottom w:w="0" w:type="dxa"/>
              <w:right w:w="20" w:type="dxa"/>
            </w:tcMar>
            <w:vAlign w:val="bottom"/>
          </w:tcPr>
          <w:p w14:paraId="74DDEB9C"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EB9D" w14:textId="77777777" w:rsidR="00584EC1" w:rsidRDefault="00871F8D">
            <w:pPr>
              <w:jc w:val="center"/>
              <w:textAlignment w:val="bottom"/>
            </w:pPr>
            <w:r>
              <w:rPr>
                <w:rFonts w:ascii="Arial" w:eastAsia="宋体" w:hAnsi="Arial" w:cs="Arial"/>
                <w:b/>
                <w:bCs/>
                <w:color w:val="000000"/>
                <w:sz w:val="14"/>
                <w:szCs w:val="14"/>
              </w:rPr>
              <w:t xml:space="preserve">All Other </w:t>
            </w:r>
          </w:p>
        </w:tc>
        <w:tc>
          <w:tcPr>
            <w:tcW w:w="0" w:type="auto"/>
            <w:gridSpan w:val="3"/>
            <w:shd w:val="clear" w:color="auto" w:fill="auto"/>
            <w:tcMar>
              <w:top w:w="0" w:type="dxa"/>
              <w:left w:w="20" w:type="dxa"/>
              <w:bottom w:w="0" w:type="dxa"/>
              <w:right w:w="20" w:type="dxa"/>
            </w:tcMar>
            <w:vAlign w:val="bottom"/>
          </w:tcPr>
          <w:p w14:paraId="74DDEB9E"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EB9F" w14:textId="77777777" w:rsidR="00584EC1" w:rsidRDefault="00871F8D">
            <w:pPr>
              <w:jc w:val="center"/>
              <w:textAlignment w:val="bottom"/>
            </w:pPr>
            <w:r>
              <w:rPr>
                <w:rFonts w:ascii="Arial" w:eastAsia="宋体" w:hAnsi="Arial" w:cs="Arial"/>
                <w:b/>
                <w:bCs/>
                <w:color w:val="000000"/>
                <w:sz w:val="14"/>
                <w:szCs w:val="14"/>
              </w:rPr>
              <w:t>Total</w:t>
            </w:r>
          </w:p>
        </w:tc>
      </w:tr>
      <w:tr w:rsidR="00584EC1" w14:paraId="74DDEBAF" w14:textId="77777777">
        <w:tc>
          <w:tcPr>
            <w:tcW w:w="0" w:type="auto"/>
            <w:gridSpan w:val="3"/>
            <w:shd w:val="clear" w:color="auto" w:fill="auto"/>
            <w:tcMar>
              <w:top w:w="40" w:type="dxa"/>
              <w:left w:w="20" w:type="dxa"/>
              <w:bottom w:w="40" w:type="dxa"/>
              <w:right w:w="20" w:type="dxa"/>
            </w:tcMar>
            <w:vAlign w:val="bottom"/>
          </w:tcPr>
          <w:p w14:paraId="74DDEBA1" w14:textId="77777777" w:rsidR="00584EC1" w:rsidRDefault="00871F8D">
            <w:pPr>
              <w:textAlignment w:val="bottom"/>
            </w:pPr>
            <w:r>
              <w:rPr>
                <w:rFonts w:ascii="Arial" w:eastAsia="宋体" w:hAnsi="Arial" w:cs="Arial"/>
                <w:b/>
                <w:bCs/>
                <w:color w:val="000000"/>
                <w:sz w:val="14"/>
                <w:szCs w:val="14"/>
              </w:rPr>
              <w:t>Allowance for credit losses: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BA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BA3"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BA4"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BA5"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BA6"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BA7"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BA8"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BA9"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BAA"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BAB"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BAC"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BAD"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BAE" w14:textId="77777777" w:rsidR="00584EC1" w:rsidRDefault="00584EC1">
            <w:pPr>
              <w:rPr>
                <w:rFonts w:ascii="宋体"/>
              </w:rPr>
            </w:pPr>
          </w:p>
        </w:tc>
      </w:tr>
      <w:tr w:rsidR="00584EC1" w14:paraId="74DDEBCC" w14:textId="77777777">
        <w:tc>
          <w:tcPr>
            <w:tcW w:w="0" w:type="auto"/>
            <w:gridSpan w:val="3"/>
            <w:shd w:val="clear" w:color="auto" w:fill="CCEEFF"/>
            <w:tcMar>
              <w:top w:w="40" w:type="dxa"/>
              <w:left w:w="20" w:type="dxa"/>
              <w:bottom w:w="40" w:type="dxa"/>
              <w:right w:w="20" w:type="dxa"/>
            </w:tcMar>
            <w:vAlign w:val="bottom"/>
          </w:tcPr>
          <w:p w14:paraId="74DDEBB0" w14:textId="77777777" w:rsidR="00584EC1" w:rsidRDefault="00871F8D">
            <w:pPr>
              <w:textAlignment w:val="bottom"/>
            </w:pPr>
            <w:r>
              <w:rPr>
                <w:rFonts w:ascii="Arial" w:eastAsia="宋体" w:hAnsi="Arial" w:cs="Arial"/>
                <w:color w:val="000000"/>
                <w:sz w:val="14"/>
                <w:szCs w:val="14"/>
              </w:rPr>
              <w:t>Beginning balance</w:t>
            </w:r>
          </w:p>
        </w:tc>
        <w:tc>
          <w:tcPr>
            <w:tcW w:w="0" w:type="auto"/>
            <w:shd w:val="clear" w:color="auto" w:fill="CCEEFF"/>
            <w:tcMar>
              <w:top w:w="40" w:type="dxa"/>
              <w:left w:w="20" w:type="dxa"/>
              <w:bottom w:w="40" w:type="dxa"/>
              <w:right w:w="0" w:type="dxa"/>
            </w:tcMar>
            <w:vAlign w:val="bottom"/>
          </w:tcPr>
          <w:p w14:paraId="74DDEBB1" w14:textId="77777777" w:rsidR="00584EC1" w:rsidRDefault="00871F8D">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4DDEBB2" w14:textId="77777777" w:rsidR="00584EC1" w:rsidRDefault="00871F8D">
            <w:pPr>
              <w:jc w:val="right"/>
              <w:textAlignment w:val="bottom"/>
            </w:pPr>
            <w:r>
              <w:rPr>
                <w:rFonts w:ascii="Arial" w:eastAsia="宋体" w:hAnsi="Arial" w:cs="Arial"/>
                <w:b/>
                <w:bCs/>
                <w:color w:val="000000"/>
                <w:sz w:val="14"/>
                <w:szCs w:val="14"/>
              </w:rPr>
              <w:t>74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EBB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BB4"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EBB5" w14:textId="77777777" w:rsidR="00584EC1" w:rsidRDefault="00871F8D">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4DDEBB6" w14:textId="77777777" w:rsidR="00584EC1" w:rsidRDefault="00871F8D">
            <w:pPr>
              <w:jc w:val="right"/>
              <w:textAlignment w:val="bottom"/>
            </w:pPr>
            <w:r>
              <w:rPr>
                <w:rFonts w:ascii="Arial" w:eastAsia="宋体" w:hAnsi="Arial" w:cs="Arial"/>
                <w:b/>
                <w:bCs/>
                <w:color w:val="000000"/>
                <w:sz w:val="14"/>
                <w:szCs w:val="14"/>
              </w:rPr>
              <w:t>12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EBB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BB8"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EBB9" w14:textId="77777777" w:rsidR="00584EC1" w:rsidRDefault="00871F8D">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4DDEBBA" w14:textId="77777777" w:rsidR="00584EC1" w:rsidRDefault="00871F8D">
            <w:pPr>
              <w:jc w:val="right"/>
              <w:textAlignment w:val="bottom"/>
            </w:pPr>
            <w:r>
              <w:rPr>
                <w:rFonts w:ascii="Arial" w:eastAsia="宋体" w:hAnsi="Arial" w:cs="Arial"/>
                <w:b/>
                <w:bCs/>
                <w:color w:val="000000"/>
                <w:sz w:val="14"/>
                <w:szCs w:val="14"/>
              </w:rPr>
              <w:t>14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EBB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BBC"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EBBD" w14:textId="77777777" w:rsidR="00584EC1" w:rsidRDefault="00871F8D">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4DDEBBE" w14:textId="77777777" w:rsidR="00584EC1" w:rsidRDefault="00871F8D">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EBB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BC0"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EBC1" w14:textId="77777777" w:rsidR="00584EC1" w:rsidRDefault="00871F8D">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4DDEBC2" w14:textId="77777777" w:rsidR="00584EC1" w:rsidRDefault="00871F8D">
            <w:pPr>
              <w:jc w:val="right"/>
              <w:textAlignment w:val="bottom"/>
            </w:pPr>
            <w:r>
              <w:rPr>
                <w:rFonts w:ascii="Arial" w:eastAsia="宋体" w:hAnsi="Arial" w:cs="Arial"/>
                <w:b/>
                <w:bCs/>
                <w:color w:val="000000"/>
                <w:sz w:val="14"/>
                <w:szCs w:val="14"/>
              </w:rPr>
              <w:t>19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EBC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BC4"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EBC5" w14:textId="77777777" w:rsidR="00584EC1" w:rsidRDefault="00871F8D">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4DDEBC6"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EBC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BC8"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EBC9" w14:textId="77777777" w:rsidR="00584EC1" w:rsidRDefault="00871F8D">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4DDEBCA" w14:textId="77777777" w:rsidR="00584EC1" w:rsidRDefault="00871F8D">
            <w:pPr>
              <w:jc w:val="right"/>
              <w:textAlignment w:val="bottom"/>
            </w:pPr>
            <w:r>
              <w:rPr>
                <w:rFonts w:ascii="Arial" w:eastAsia="宋体" w:hAnsi="Arial" w:cs="Arial"/>
                <w:b/>
                <w:bCs/>
                <w:color w:val="000000"/>
                <w:sz w:val="14"/>
                <w:szCs w:val="14"/>
              </w:rPr>
              <w:t>121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EBCB" w14:textId="77777777" w:rsidR="00584EC1" w:rsidRDefault="00584EC1">
            <w:pPr>
              <w:jc w:val="right"/>
              <w:rPr>
                <w:rFonts w:ascii="宋体"/>
              </w:rPr>
            </w:pPr>
          </w:p>
        </w:tc>
      </w:tr>
      <w:tr w:rsidR="00584EC1" w14:paraId="74DDEBE2" w14:textId="77777777">
        <w:tc>
          <w:tcPr>
            <w:tcW w:w="0" w:type="auto"/>
            <w:gridSpan w:val="3"/>
            <w:shd w:val="clear" w:color="auto" w:fill="FFFFFF"/>
            <w:tcMar>
              <w:top w:w="40" w:type="dxa"/>
              <w:left w:w="20" w:type="dxa"/>
              <w:bottom w:w="40" w:type="dxa"/>
              <w:right w:w="20" w:type="dxa"/>
            </w:tcMar>
            <w:vAlign w:val="bottom"/>
          </w:tcPr>
          <w:p w14:paraId="74DDEBCD" w14:textId="77777777" w:rsidR="00584EC1" w:rsidRDefault="00871F8D">
            <w:pPr>
              <w:textAlignment w:val="bottom"/>
            </w:pPr>
            <w:r>
              <w:rPr>
                <w:rFonts w:ascii="Arial" w:eastAsia="宋体" w:hAnsi="Arial" w:cs="Arial"/>
                <w:color w:val="000000"/>
                <w:sz w:val="14"/>
                <w:szCs w:val="14"/>
              </w:rPr>
              <w:t>Charge-offs</w:t>
            </w:r>
          </w:p>
        </w:tc>
        <w:tc>
          <w:tcPr>
            <w:tcW w:w="0" w:type="auto"/>
            <w:gridSpan w:val="2"/>
            <w:shd w:val="clear" w:color="auto" w:fill="FFFFFF"/>
            <w:tcMar>
              <w:top w:w="40" w:type="dxa"/>
              <w:left w:w="20" w:type="dxa"/>
              <w:bottom w:w="40" w:type="dxa"/>
              <w:right w:w="0" w:type="dxa"/>
            </w:tcMar>
            <w:vAlign w:val="bottom"/>
          </w:tcPr>
          <w:p w14:paraId="74DDEBCE" w14:textId="77777777" w:rsidR="00584EC1" w:rsidRDefault="00871F8D">
            <w:pPr>
              <w:jc w:val="right"/>
              <w:textAlignment w:val="bottom"/>
            </w:pPr>
            <w:r>
              <w:rPr>
                <w:rFonts w:ascii="Arial" w:eastAsia="宋体" w:hAnsi="Arial" w:cs="Arial"/>
                <w:b/>
                <w:bCs/>
                <w:color w:val="000000"/>
                <w:sz w:val="14"/>
                <w:szCs w:val="14"/>
              </w:rPr>
              <w:t>(1)</w:t>
            </w:r>
          </w:p>
        </w:tc>
        <w:tc>
          <w:tcPr>
            <w:tcW w:w="0" w:type="auto"/>
            <w:shd w:val="clear" w:color="auto" w:fill="FFFFFF"/>
            <w:tcMar>
              <w:top w:w="40" w:type="dxa"/>
              <w:left w:w="0" w:type="dxa"/>
              <w:bottom w:w="40" w:type="dxa"/>
              <w:right w:w="20" w:type="dxa"/>
            </w:tcMar>
            <w:vAlign w:val="bottom"/>
          </w:tcPr>
          <w:p w14:paraId="74DDEBC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BD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BD1"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BD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BD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BD4"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BD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BD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BD7"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BD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BD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BDA"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BD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BD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BDD"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BD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BD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BE0" w14:textId="77777777" w:rsidR="00584EC1" w:rsidRDefault="00871F8D">
            <w:pPr>
              <w:jc w:val="right"/>
              <w:textAlignment w:val="bottom"/>
            </w:pPr>
            <w:r>
              <w:rPr>
                <w:rFonts w:ascii="Arial" w:eastAsia="宋体" w:hAnsi="Arial" w:cs="Arial"/>
                <w:b/>
                <w:bCs/>
                <w:color w:val="000000"/>
                <w:sz w:val="14"/>
                <w:szCs w:val="14"/>
              </w:rPr>
              <w:t>(1)</w:t>
            </w:r>
          </w:p>
        </w:tc>
        <w:tc>
          <w:tcPr>
            <w:tcW w:w="0" w:type="auto"/>
            <w:shd w:val="clear" w:color="auto" w:fill="FFFFFF"/>
            <w:tcMar>
              <w:top w:w="40" w:type="dxa"/>
              <w:left w:w="0" w:type="dxa"/>
              <w:bottom w:w="40" w:type="dxa"/>
              <w:right w:w="20" w:type="dxa"/>
            </w:tcMar>
            <w:vAlign w:val="bottom"/>
          </w:tcPr>
          <w:p w14:paraId="74DDEBE1" w14:textId="77777777" w:rsidR="00584EC1" w:rsidRDefault="00584EC1">
            <w:pPr>
              <w:jc w:val="right"/>
              <w:rPr>
                <w:rFonts w:ascii="宋体"/>
              </w:rPr>
            </w:pPr>
          </w:p>
        </w:tc>
      </w:tr>
      <w:tr w:rsidR="00584EC1" w14:paraId="74DDEBF8" w14:textId="77777777">
        <w:tc>
          <w:tcPr>
            <w:tcW w:w="0" w:type="auto"/>
            <w:gridSpan w:val="3"/>
            <w:shd w:val="clear" w:color="auto" w:fill="CCEEFF"/>
            <w:tcMar>
              <w:top w:w="40" w:type="dxa"/>
              <w:left w:w="20" w:type="dxa"/>
              <w:bottom w:w="40" w:type="dxa"/>
              <w:right w:w="20" w:type="dxa"/>
            </w:tcMar>
            <w:vAlign w:val="bottom"/>
          </w:tcPr>
          <w:p w14:paraId="74DDEBE3" w14:textId="77777777" w:rsidR="00584EC1" w:rsidRDefault="00871F8D">
            <w:pPr>
              <w:textAlignment w:val="bottom"/>
            </w:pPr>
            <w:r>
              <w:rPr>
                <w:rFonts w:ascii="Arial" w:eastAsia="宋体" w:hAnsi="Arial" w:cs="Arial"/>
                <w:color w:val="000000"/>
                <w:sz w:val="14"/>
                <w:szCs w:val="14"/>
              </w:rPr>
              <w:t>Provision</w:t>
            </w:r>
          </w:p>
        </w:tc>
        <w:tc>
          <w:tcPr>
            <w:tcW w:w="0" w:type="auto"/>
            <w:gridSpan w:val="2"/>
            <w:shd w:val="clear" w:color="auto" w:fill="CCEEFF"/>
            <w:tcMar>
              <w:top w:w="40" w:type="dxa"/>
              <w:left w:w="20" w:type="dxa"/>
              <w:bottom w:w="40" w:type="dxa"/>
              <w:right w:w="0" w:type="dxa"/>
            </w:tcMar>
            <w:vAlign w:val="bottom"/>
          </w:tcPr>
          <w:p w14:paraId="74DDEBE4" w14:textId="77777777" w:rsidR="00584EC1" w:rsidRDefault="00871F8D">
            <w:pPr>
              <w:jc w:val="right"/>
              <w:textAlignment w:val="bottom"/>
            </w:pPr>
            <w:r>
              <w:rPr>
                <w:rFonts w:ascii="Arial" w:eastAsia="宋体" w:hAnsi="Arial" w:cs="Arial"/>
                <w:b/>
                <w:bCs/>
                <w:color w:val="000000"/>
                <w:sz w:val="14"/>
                <w:szCs w:val="14"/>
              </w:rPr>
              <w:t>(4)</w:t>
            </w:r>
          </w:p>
        </w:tc>
        <w:tc>
          <w:tcPr>
            <w:tcW w:w="0" w:type="auto"/>
            <w:shd w:val="clear" w:color="auto" w:fill="CCEEFF"/>
            <w:tcMar>
              <w:top w:w="40" w:type="dxa"/>
              <w:left w:w="0" w:type="dxa"/>
              <w:bottom w:w="40" w:type="dxa"/>
              <w:right w:w="20" w:type="dxa"/>
            </w:tcMar>
            <w:vAlign w:val="bottom"/>
          </w:tcPr>
          <w:p w14:paraId="74DDEBE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BE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EBE7"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EBE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BE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EBEA" w14:textId="77777777" w:rsidR="00584EC1" w:rsidRDefault="00871F8D">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EBE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BEC"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EBED"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EBE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BEF"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EBF0" w14:textId="77777777" w:rsidR="00584EC1" w:rsidRDefault="00871F8D">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EBF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BF2"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EBF3"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EBF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BF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EBF6" w14:textId="77777777" w:rsidR="00584EC1" w:rsidRDefault="00871F8D">
            <w:pPr>
              <w:jc w:val="right"/>
              <w:textAlignment w:val="bottom"/>
            </w:pPr>
            <w:r>
              <w:rPr>
                <w:rFonts w:ascii="Arial" w:eastAsia="宋体" w:hAnsi="Arial" w:cs="Arial"/>
                <w:b/>
                <w:bCs/>
                <w:color w:val="000000"/>
                <w:sz w:val="14"/>
                <w:szCs w:val="14"/>
              </w:rPr>
              <w:t>(2)</w:t>
            </w:r>
          </w:p>
        </w:tc>
        <w:tc>
          <w:tcPr>
            <w:tcW w:w="0" w:type="auto"/>
            <w:shd w:val="clear" w:color="auto" w:fill="CCEEFF"/>
            <w:tcMar>
              <w:top w:w="40" w:type="dxa"/>
              <w:left w:w="0" w:type="dxa"/>
              <w:bottom w:w="40" w:type="dxa"/>
              <w:right w:w="20" w:type="dxa"/>
            </w:tcMar>
            <w:vAlign w:val="bottom"/>
          </w:tcPr>
          <w:p w14:paraId="74DDEBF7" w14:textId="77777777" w:rsidR="00584EC1" w:rsidRDefault="00584EC1">
            <w:pPr>
              <w:jc w:val="right"/>
              <w:rPr>
                <w:rFonts w:ascii="宋体"/>
              </w:rPr>
            </w:pPr>
          </w:p>
        </w:tc>
      </w:tr>
      <w:tr w:rsidR="00584EC1" w14:paraId="74DDEC07" w14:textId="77777777">
        <w:trPr>
          <w:hidden/>
        </w:trPr>
        <w:tc>
          <w:tcPr>
            <w:tcW w:w="0" w:type="auto"/>
            <w:gridSpan w:val="3"/>
            <w:shd w:val="clear" w:color="auto" w:fill="auto"/>
            <w:vAlign w:val="bottom"/>
          </w:tcPr>
          <w:p w14:paraId="74DDEBF9" w14:textId="77777777" w:rsidR="00584EC1" w:rsidRDefault="00584EC1">
            <w:pPr>
              <w:rPr>
                <w:rFonts w:ascii="宋体"/>
                <w:vanish/>
              </w:rPr>
            </w:pPr>
          </w:p>
        </w:tc>
        <w:tc>
          <w:tcPr>
            <w:tcW w:w="0" w:type="auto"/>
            <w:gridSpan w:val="3"/>
            <w:shd w:val="clear" w:color="auto" w:fill="auto"/>
            <w:vAlign w:val="bottom"/>
          </w:tcPr>
          <w:p w14:paraId="74DDEBFA" w14:textId="77777777" w:rsidR="00584EC1" w:rsidRDefault="00584EC1">
            <w:pPr>
              <w:rPr>
                <w:rFonts w:ascii="宋体"/>
                <w:vanish/>
              </w:rPr>
            </w:pPr>
          </w:p>
        </w:tc>
        <w:tc>
          <w:tcPr>
            <w:tcW w:w="0" w:type="auto"/>
            <w:gridSpan w:val="3"/>
            <w:shd w:val="clear" w:color="auto" w:fill="auto"/>
            <w:vAlign w:val="bottom"/>
          </w:tcPr>
          <w:p w14:paraId="74DDEBFB" w14:textId="77777777" w:rsidR="00584EC1" w:rsidRDefault="00584EC1">
            <w:pPr>
              <w:rPr>
                <w:rFonts w:ascii="宋体"/>
                <w:vanish/>
              </w:rPr>
            </w:pPr>
          </w:p>
        </w:tc>
        <w:tc>
          <w:tcPr>
            <w:tcW w:w="0" w:type="auto"/>
            <w:gridSpan w:val="3"/>
            <w:shd w:val="clear" w:color="auto" w:fill="auto"/>
            <w:vAlign w:val="bottom"/>
          </w:tcPr>
          <w:p w14:paraId="74DDEBFC" w14:textId="77777777" w:rsidR="00584EC1" w:rsidRDefault="00584EC1">
            <w:pPr>
              <w:rPr>
                <w:rFonts w:ascii="宋体"/>
                <w:vanish/>
              </w:rPr>
            </w:pPr>
          </w:p>
        </w:tc>
        <w:tc>
          <w:tcPr>
            <w:tcW w:w="0" w:type="auto"/>
            <w:gridSpan w:val="3"/>
            <w:shd w:val="clear" w:color="auto" w:fill="auto"/>
            <w:vAlign w:val="bottom"/>
          </w:tcPr>
          <w:p w14:paraId="74DDEBFD" w14:textId="77777777" w:rsidR="00584EC1" w:rsidRDefault="00584EC1">
            <w:pPr>
              <w:rPr>
                <w:rFonts w:ascii="宋体"/>
                <w:vanish/>
              </w:rPr>
            </w:pPr>
          </w:p>
        </w:tc>
        <w:tc>
          <w:tcPr>
            <w:tcW w:w="0" w:type="auto"/>
            <w:gridSpan w:val="3"/>
            <w:shd w:val="clear" w:color="auto" w:fill="auto"/>
            <w:vAlign w:val="bottom"/>
          </w:tcPr>
          <w:p w14:paraId="74DDEBFE" w14:textId="77777777" w:rsidR="00584EC1" w:rsidRDefault="00584EC1">
            <w:pPr>
              <w:rPr>
                <w:rFonts w:ascii="宋体"/>
                <w:vanish/>
              </w:rPr>
            </w:pPr>
          </w:p>
        </w:tc>
        <w:tc>
          <w:tcPr>
            <w:tcW w:w="0" w:type="auto"/>
            <w:gridSpan w:val="3"/>
            <w:shd w:val="clear" w:color="auto" w:fill="auto"/>
            <w:vAlign w:val="bottom"/>
          </w:tcPr>
          <w:p w14:paraId="74DDEBFF" w14:textId="77777777" w:rsidR="00584EC1" w:rsidRDefault="00584EC1">
            <w:pPr>
              <w:rPr>
                <w:rFonts w:ascii="宋体"/>
                <w:vanish/>
              </w:rPr>
            </w:pPr>
          </w:p>
        </w:tc>
        <w:tc>
          <w:tcPr>
            <w:tcW w:w="0" w:type="auto"/>
            <w:gridSpan w:val="3"/>
            <w:shd w:val="clear" w:color="auto" w:fill="auto"/>
            <w:vAlign w:val="bottom"/>
          </w:tcPr>
          <w:p w14:paraId="74DDEC00" w14:textId="77777777" w:rsidR="00584EC1" w:rsidRDefault="00584EC1">
            <w:pPr>
              <w:rPr>
                <w:rFonts w:ascii="宋体"/>
                <w:vanish/>
              </w:rPr>
            </w:pPr>
          </w:p>
        </w:tc>
        <w:tc>
          <w:tcPr>
            <w:tcW w:w="0" w:type="auto"/>
            <w:gridSpan w:val="3"/>
            <w:shd w:val="clear" w:color="auto" w:fill="auto"/>
            <w:vAlign w:val="bottom"/>
          </w:tcPr>
          <w:p w14:paraId="74DDEC01" w14:textId="77777777" w:rsidR="00584EC1" w:rsidRDefault="00584EC1">
            <w:pPr>
              <w:rPr>
                <w:rFonts w:ascii="宋体"/>
                <w:vanish/>
              </w:rPr>
            </w:pPr>
          </w:p>
        </w:tc>
        <w:tc>
          <w:tcPr>
            <w:tcW w:w="0" w:type="auto"/>
            <w:gridSpan w:val="3"/>
            <w:shd w:val="clear" w:color="auto" w:fill="auto"/>
            <w:vAlign w:val="bottom"/>
          </w:tcPr>
          <w:p w14:paraId="74DDEC02" w14:textId="77777777" w:rsidR="00584EC1" w:rsidRDefault="00584EC1">
            <w:pPr>
              <w:rPr>
                <w:rFonts w:ascii="宋体"/>
                <w:vanish/>
              </w:rPr>
            </w:pPr>
          </w:p>
        </w:tc>
        <w:tc>
          <w:tcPr>
            <w:tcW w:w="0" w:type="auto"/>
            <w:gridSpan w:val="3"/>
            <w:shd w:val="clear" w:color="auto" w:fill="auto"/>
            <w:vAlign w:val="bottom"/>
          </w:tcPr>
          <w:p w14:paraId="74DDEC03" w14:textId="77777777" w:rsidR="00584EC1" w:rsidRDefault="00584EC1">
            <w:pPr>
              <w:rPr>
                <w:rFonts w:ascii="宋体"/>
                <w:vanish/>
              </w:rPr>
            </w:pPr>
          </w:p>
        </w:tc>
        <w:tc>
          <w:tcPr>
            <w:tcW w:w="0" w:type="auto"/>
            <w:gridSpan w:val="3"/>
            <w:shd w:val="clear" w:color="auto" w:fill="auto"/>
            <w:vAlign w:val="bottom"/>
          </w:tcPr>
          <w:p w14:paraId="74DDEC04" w14:textId="77777777" w:rsidR="00584EC1" w:rsidRDefault="00584EC1">
            <w:pPr>
              <w:rPr>
                <w:rFonts w:ascii="宋体"/>
                <w:vanish/>
              </w:rPr>
            </w:pPr>
          </w:p>
        </w:tc>
        <w:tc>
          <w:tcPr>
            <w:tcW w:w="0" w:type="auto"/>
            <w:gridSpan w:val="3"/>
            <w:shd w:val="clear" w:color="auto" w:fill="auto"/>
            <w:vAlign w:val="bottom"/>
          </w:tcPr>
          <w:p w14:paraId="74DDEC05" w14:textId="77777777" w:rsidR="00584EC1" w:rsidRDefault="00584EC1">
            <w:pPr>
              <w:rPr>
                <w:rFonts w:ascii="宋体"/>
                <w:vanish/>
              </w:rPr>
            </w:pPr>
          </w:p>
        </w:tc>
        <w:tc>
          <w:tcPr>
            <w:tcW w:w="0" w:type="auto"/>
            <w:gridSpan w:val="3"/>
            <w:shd w:val="clear" w:color="auto" w:fill="auto"/>
            <w:vAlign w:val="bottom"/>
          </w:tcPr>
          <w:p w14:paraId="74DDEC06" w14:textId="77777777" w:rsidR="00584EC1" w:rsidRDefault="00584EC1">
            <w:pPr>
              <w:rPr>
                <w:rFonts w:ascii="宋体"/>
                <w:vanish/>
              </w:rPr>
            </w:pPr>
          </w:p>
        </w:tc>
      </w:tr>
      <w:tr w:rsidR="00584EC1" w14:paraId="74DDEC1D" w14:textId="77777777">
        <w:tc>
          <w:tcPr>
            <w:tcW w:w="0" w:type="auto"/>
            <w:gridSpan w:val="3"/>
            <w:shd w:val="clear" w:color="auto" w:fill="FFFFFF"/>
            <w:tcMar>
              <w:top w:w="40" w:type="dxa"/>
              <w:left w:w="20" w:type="dxa"/>
              <w:bottom w:w="40" w:type="dxa"/>
              <w:right w:w="20" w:type="dxa"/>
            </w:tcMar>
            <w:vAlign w:val="bottom"/>
          </w:tcPr>
          <w:p w14:paraId="74DDEC08" w14:textId="77777777" w:rsidR="00584EC1" w:rsidRDefault="00871F8D">
            <w:pPr>
              <w:textAlignment w:val="bottom"/>
            </w:pPr>
            <w:r>
              <w:rPr>
                <w:rFonts w:ascii="Arial" w:eastAsia="宋体" w:hAnsi="Arial" w:cs="Arial"/>
                <w:color w:val="000000"/>
                <w:sz w:val="14"/>
                <w:szCs w:val="14"/>
              </w:rPr>
              <w:t>Other</w:t>
            </w:r>
            <w:r>
              <w:rPr>
                <w:rFonts w:ascii="Arial" w:eastAsia="宋体" w:hAnsi="Arial" w:cs="Arial"/>
                <w:color w:val="000000"/>
                <w:sz w:val="9"/>
                <w:szCs w:val="9"/>
              </w:rPr>
              <w:t>(2)</w:t>
            </w:r>
          </w:p>
        </w:tc>
        <w:tc>
          <w:tcPr>
            <w:tcW w:w="0" w:type="auto"/>
            <w:gridSpan w:val="2"/>
            <w:shd w:val="clear" w:color="auto" w:fill="FFFFFF"/>
            <w:tcMar>
              <w:top w:w="40" w:type="dxa"/>
              <w:left w:w="20" w:type="dxa"/>
              <w:bottom w:w="40" w:type="dxa"/>
              <w:right w:w="0" w:type="dxa"/>
            </w:tcMar>
            <w:vAlign w:val="bottom"/>
          </w:tcPr>
          <w:p w14:paraId="74DDEC09" w14:textId="77777777" w:rsidR="00584EC1" w:rsidRDefault="00871F8D">
            <w:pPr>
              <w:jc w:val="right"/>
              <w:textAlignment w:val="bottom"/>
            </w:pPr>
            <w:r>
              <w:rPr>
                <w:rFonts w:ascii="Arial" w:eastAsia="宋体" w:hAnsi="Arial" w:cs="Arial"/>
                <w:b/>
                <w:bCs/>
                <w:color w:val="000000"/>
                <w:sz w:val="14"/>
                <w:szCs w:val="14"/>
              </w:rPr>
              <w:t>(1)</w:t>
            </w:r>
          </w:p>
        </w:tc>
        <w:tc>
          <w:tcPr>
            <w:tcW w:w="0" w:type="auto"/>
            <w:shd w:val="clear" w:color="auto" w:fill="FFFFFF"/>
            <w:tcMar>
              <w:top w:w="40" w:type="dxa"/>
              <w:left w:w="0" w:type="dxa"/>
              <w:bottom w:w="40" w:type="dxa"/>
              <w:right w:w="20" w:type="dxa"/>
            </w:tcMar>
            <w:vAlign w:val="bottom"/>
          </w:tcPr>
          <w:p w14:paraId="74DDEC0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C0B"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C0C"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C0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C0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C0F"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C1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C1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C12"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C1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C1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C15"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C1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C1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C18"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C1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C1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C1B" w14:textId="77777777" w:rsidR="00584EC1" w:rsidRDefault="00871F8D">
            <w:pPr>
              <w:jc w:val="right"/>
              <w:textAlignment w:val="bottom"/>
            </w:pPr>
            <w:r>
              <w:rPr>
                <w:rFonts w:ascii="Arial" w:eastAsia="宋体" w:hAnsi="Arial" w:cs="Arial"/>
                <w:b/>
                <w:bCs/>
                <w:color w:val="000000"/>
                <w:sz w:val="14"/>
                <w:szCs w:val="14"/>
              </w:rPr>
              <w:t>(1)</w:t>
            </w:r>
          </w:p>
        </w:tc>
        <w:tc>
          <w:tcPr>
            <w:tcW w:w="0" w:type="auto"/>
            <w:shd w:val="clear" w:color="auto" w:fill="FFFFFF"/>
            <w:tcMar>
              <w:top w:w="40" w:type="dxa"/>
              <w:left w:w="0" w:type="dxa"/>
              <w:bottom w:w="40" w:type="dxa"/>
              <w:right w:w="20" w:type="dxa"/>
            </w:tcMar>
            <w:vAlign w:val="bottom"/>
          </w:tcPr>
          <w:p w14:paraId="74DDEC1C" w14:textId="77777777" w:rsidR="00584EC1" w:rsidRDefault="00584EC1">
            <w:pPr>
              <w:jc w:val="right"/>
              <w:rPr>
                <w:rFonts w:ascii="宋体"/>
              </w:rPr>
            </w:pPr>
          </w:p>
        </w:tc>
      </w:tr>
      <w:tr w:rsidR="00584EC1" w14:paraId="74DDEC2C" w14:textId="77777777">
        <w:trPr>
          <w:hidden/>
        </w:trPr>
        <w:tc>
          <w:tcPr>
            <w:tcW w:w="0" w:type="auto"/>
            <w:gridSpan w:val="3"/>
            <w:shd w:val="clear" w:color="auto" w:fill="auto"/>
            <w:vAlign w:val="bottom"/>
          </w:tcPr>
          <w:p w14:paraId="74DDEC1E" w14:textId="77777777" w:rsidR="00584EC1" w:rsidRDefault="00584EC1">
            <w:pPr>
              <w:rPr>
                <w:rFonts w:ascii="宋体"/>
                <w:vanish/>
              </w:rPr>
            </w:pPr>
          </w:p>
        </w:tc>
        <w:tc>
          <w:tcPr>
            <w:tcW w:w="0" w:type="auto"/>
            <w:gridSpan w:val="3"/>
            <w:shd w:val="clear" w:color="auto" w:fill="auto"/>
            <w:vAlign w:val="bottom"/>
          </w:tcPr>
          <w:p w14:paraId="74DDEC1F" w14:textId="77777777" w:rsidR="00584EC1" w:rsidRDefault="00584EC1">
            <w:pPr>
              <w:rPr>
                <w:rFonts w:ascii="宋体"/>
                <w:vanish/>
              </w:rPr>
            </w:pPr>
          </w:p>
        </w:tc>
        <w:tc>
          <w:tcPr>
            <w:tcW w:w="0" w:type="auto"/>
            <w:gridSpan w:val="3"/>
            <w:shd w:val="clear" w:color="auto" w:fill="auto"/>
            <w:vAlign w:val="bottom"/>
          </w:tcPr>
          <w:p w14:paraId="74DDEC20" w14:textId="77777777" w:rsidR="00584EC1" w:rsidRDefault="00584EC1">
            <w:pPr>
              <w:rPr>
                <w:rFonts w:ascii="宋体"/>
                <w:vanish/>
              </w:rPr>
            </w:pPr>
          </w:p>
        </w:tc>
        <w:tc>
          <w:tcPr>
            <w:tcW w:w="0" w:type="auto"/>
            <w:gridSpan w:val="3"/>
            <w:shd w:val="clear" w:color="auto" w:fill="auto"/>
            <w:vAlign w:val="bottom"/>
          </w:tcPr>
          <w:p w14:paraId="74DDEC21" w14:textId="77777777" w:rsidR="00584EC1" w:rsidRDefault="00584EC1">
            <w:pPr>
              <w:rPr>
                <w:rFonts w:ascii="宋体"/>
                <w:vanish/>
              </w:rPr>
            </w:pPr>
          </w:p>
        </w:tc>
        <w:tc>
          <w:tcPr>
            <w:tcW w:w="0" w:type="auto"/>
            <w:gridSpan w:val="3"/>
            <w:shd w:val="clear" w:color="auto" w:fill="auto"/>
            <w:vAlign w:val="bottom"/>
          </w:tcPr>
          <w:p w14:paraId="74DDEC22" w14:textId="77777777" w:rsidR="00584EC1" w:rsidRDefault="00584EC1">
            <w:pPr>
              <w:rPr>
                <w:rFonts w:ascii="宋体"/>
                <w:vanish/>
              </w:rPr>
            </w:pPr>
          </w:p>
        </w:tc>
        <w:tc>
          <w:tcPr>
            <w:tcW w:w="0" w:type="auto"/>
            <w:gridSpan w:val="3"/>
            <w:shd w:val="clear" w:color="auto" w:fill="auto"/>
            <w:vAlign w:val="bottom"/>
          </w:tcPr>
          <w:p w14:paraId="74DDEC23" w14:textId="77777777" w:rsidR="00584EC1" w:rsidRDefault="00584EC1">
            <w:pPr>
              <w:rPr>
                <w:rFonts w:ascii="宋体"/>
                <w:vanish/>
              </w:rPr>
            </w:pPr>
          </w:p>
        </w:tc>
        <w:tc>
          <w:tcPr>
            <w:tcW w:w="0" w:type="auto"/>
            <w:gridSpan w:val="3"/>
            <w:shd w:val="clear" w:color="auto" w:fill="auto"/>
            <w:vAlign w:val="bottom"/>
          </w:tcPr>
          <w:p w14:paraId="74DDEC24" w14:textId="77777777" w:rsidR="00584EC1" w:rsidRDefault="00584EC1">
            <w:pPr>
              <w:rPr>
                <w:rFonts w:ascii="宋体"/>
                <w:vanish/>
              </w:rPr>
            </w:pPr>
          </w:p>
        </w:tc>
        <w:tc>
          <w:tcPr>
            <w:tcW w:w="0" w:type="auto"/>
            <w:gridSpan w:val="3"/>
            <w:shd w:val="clear" w:color="auto" w:fill="auto"/>
            <w:vAlign w:val="bottom"/>
          </w:tcPr>
          <w:p w14:paraId="74DDEC25" w14:textId="77777777" w:rsidR="00584EC1" w:rsidRDefault="00584EC1">
            <w:pPr>
              <w:rPr>
                <w:rFonts w:ascii="宋体"/>
                <w:vanish/>
              </w:rPr>
            </w:pPr>
          </w:p>
        </w:tc>
        <w:tc>
          <w:tcPr>
            <w:tcW w:w="0" w:type="auto"/>
            <w:gridSpan w:val="3"/>
            <w:shd w:val="clear" w:color="auto" w:fill="auto"/>
            <w:vAlign w:val="bottom"/>
          </w:tcPr>
          <w:p w14:paraId="74DDEC26" w14:textId="77777777" w:rsidR="00584EC1" w:rsidRDefault="00584EC1">
            <w:pPr>
              <w:rPr>
                <w:rFonts w:ascii="宋体"/>
                <w:vanish/>
              </w:rPr>
            </w:pPr>
          </w:p>
        </w:tc>
        <w:tc>
          <w:tcPr>
            <w:tcW w:w="0" w:type="auto"/>
            <w:gridSpan w:val="3"/>
            <w:shd w:val="clear" w:color="auto" w:fill="auto"/>
            <w:vAlign w:val="bottom"/>
          </w:tcPr>
          <w:p w14:paraId="74DDEC27" w14:textId="77777777" w:rsidR="00584EC1" w:rsidRDefault="00584EC1">
            <w:pPr>
              <w:rPr>
                <w:rFonts w:ascii="宋体"/>
                <w:vanish/>
              </w:rPr>
            </w:pPr>
          </w:p>
        </w:tc>
        <w:tc>
          <w:tcPr>
            <w:tcW w:w="0" w:type="auto"/>
            <w:gridSpan w:val="3"/>
            <w:shd w:val="clear" w:color="auto" w:fill="auto"/>
            <w:vAlign w:val="bottom"/>
          </w:tcPr>
          <w:p w14:paraId="74DDEC28" w14:textId="77777777" w:rsidR="00584EC1" w:rsidRDefault="00584EC1">
            <w:pPr>
              <w:rPr>
                <w:rFonts w:ascii="宋体"/>
                <w:vanish/>
              </w:rPr>
            </w:pPr>
          </w:p>
        </w:tc>
        <w:tc>
          <w:tcPr>
            <w:tcW w:w="0" w:type="auto"/>
            <w:gridSpan w:val="3"/>
            <w:shd w:val="clear" w:color="auto" w:fill="auto"/>
            <w:vAlign w:val="bottom"/>
          </w:tcPr>
          <w:p w14:paraId="74DDEC29" w14:textId="77777777" w:rsidR="00584EC1" w:rsidRDefault="00584EC1">
            <w:pPr>
              <w:rPr>
                <w:rFonts w:ascii="宋体"/>
                <w:vanish/>
              </w:rPr>
            </w:pPr>
          </w:p>
        </w:tc>
        <w:tc>
          <w:tcPr>
            <w:tcW w:w="0" w:type="auto"/>
            <w:gridSpan w:val="3"/>
            <w:shd w:val="clear" w:color="auto" w:fill="auto"/>
            <w:vAlign w:val="bottom"/>
          </w:tcPr>
          <w:p w14:paraId="74DDEC2A" w14:textId="77777777" w:rsidR="00584EC1" w:rsidRDefault="00584EC1">
            <w:pPr>
              <w:rPr>
                <w:rFonts w:ascii="宋体"/>
                <w:vanish/>
              </w:rPr>
            </w:pPr>
          </w:p>
        </w:tc>
        <w:tc>
          <w:tcPr>
            <w:tcW w:w="0" w:type="auto"/>
            <w:gridSpan w:val="3"/>
            <w:shd w:val="clear" w:color="auto" w:fill="auto"/>
            <w:vAlign w:val="bottom"/>
          </w:tcPr>
          <w:p w14:paraId="74DDEC2B" w14:textId="77777777" w:rsidR="00584EC1" w:rsidRDefault="00584EC1">
            <w:pPr>
              <w:rPr>
                <w:rFonts w:ascii="宋体"/>
                <w:vanish/>
              </w:rPr>
            </w:pPr>
          </w:p>
        </w:tc>
      </w:tr>
      <w:tr w:rsidR="00584EC1" w14:paraId="74DDEC49" w14:textId="77777777">
        <w:tc>
          <w:tcPr>
            <w:tcW w:w="0" w:type="auto"/>
            <w:gridSpan w:val="3"/>
            <w:shd w:val="clear" w:color="auto" w:fill="CCEEFF"/>
            <w:tcMar>
              <w:top w:w="40" w:type="dxa"/>
              <w:left w:w="20" w:type="dxa"/>
              <w:bottom w:w="40" w:type="dxa"/>
              <w:right w:w="20" w:type="dxa"/>
            </w:tcMar>
            <w:vAlign w:val="bottom"/>
          </w:tcPr>
          <w:p w14:paraId="74DDEC2D" w14:textId="77777777" w:rsidR="00584EC1" w:rsidRDefault="00871F8D">
            <w:pPr>
              <w:textAlignment w:val="bottom"/>
            </w:pPr>
            <w:r>
              <w:rPr>
                <w:rFonts w:ascii="Arial" w:eastAsia="宋体" w:hAnsi="Arial" w:cs="Arial"/>
                <w:color w:val="000000"/>
                <w:sz w:val="14"/>
                <w:szCs w:val="14"/>
              </w:rPr>
              <w:t>Ending balance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EC2E"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EC2F" w14:textId="77777777" w:rsidR="00584EC1" w:rsidRDefault="00871F8D">
            <w:pPr>
              <w:jc w:val="right"/>
              <w:textAlignment w:val="bottom"/>
            </w:pPr>
            <w:r>
              <w:rPr>
                <w:rFonts w:ascii="Arial" w:eastAsia="宋体" w:hAnsi="Arial" w:cs="Arial"/>
                <w:b/>
                <w:bCs/>
                <w:color w:val="000000"/>
                <w:sz w:val="14"/>
                <w:szCs w:val="14"/>
              </w:rPr>
              <w:t>68</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EC3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C31"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EC32"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EC33" w14:textId="77777777" w:rsidR="00584EC1" w:rsidRDefault="00871F8D">
            <w:pPr>
              <w:jc w:val="right"/>
              <w:textAlignment w:val="bottom"/>
            </w:pPr>
            <w:r>
              <w:rPr>
                <w:rFonts w:ascii="Arial" w:eastAsia="宋体" w:hAnsi="Arial" w:cs="Arial"/>
                <w:b/>
                <w:bCs/>
                <w:color w:val="000000"/>
                <w:sz w:val="14"/>
                <w:szCs w:val="14"/>
              </w:rPr>
              <w:t>12</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EC3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C35"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EC36"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EC37" w14:textId="77777777" w:rsidR="00584EC1" w:rsidRDefault="00871F8D">
            <w:pPr>
              <w:jc w:val="right"/>
              <w:textAlignment w:val="bottom"/>
            </w:pPr>
            <w:r>
              <w:rPr>
                <w:rFonts w:ascii="Arial" w:eastAsia="宋体" w:hAnsi="Arial" w:cs="Arial"/>
                <w:b/>
                <w:bCs/>
                <w:color w:val="000000"/>
                <w:sz w:val="14"/>
                <w:szCs w:val="14"/>
              </w:rPr>
              <w:t>15</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EC3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C39"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EC3A"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EC3B" w14:textId="77777777" w:rsidR="00584EC1" w:rsidRDefault="00871F8D">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EC3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C3D"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EC3E"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EC3F" w14:textId="77777777" w:rsidR="00584EC1" w:rsidRDefault="00871F8D">
            <w:pPr>
              <w:jc w:val="right"/>
              <w:textAlignment w:val="bottom"/>
            </w:pPr>
            <w:r>
              <w:rPr>
                <w:rFonts w:ascii="Arial" w:eastAsia="宋体" w:hAnsi="Arial" w:cs="Arial"/>
                <w:b/>
                <w:bCs/>
                <w:color w:val="000000"/>
                <w:sz w:val="14"/>
                <w:szCs w:val="14"/>
              </w:rPr>
              <w:t>20</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EC4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C41"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EC42"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EC43"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EC4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C45"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EC46"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EC47" w14:textId="77777777" w:rsidR="00584EC1" w:rsidRDefault="00871F8D">
            <w:pPr>
              <w:jc w:val="right"/>
              <w:textAlignment w:val="bottom"/>
            </w:pPr>
            <w:r>
              <w:rPr>
                <w:rFonts w:ascii="Arial" w:eastAsia="宋体" w:hAnsi="Arial" w:cs="Arial"/>
                <w:b/>
                <w:bCs/>
                <w:color w:val="000000"/>
                <w:sz w:val="14"/>
                <w:szCs w:val="14"/>
              </w:rPr>
              <w:t>117</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EC48" w14:textId="77777777" w:rsidR="00584EC1" w:rsidRDefault="00584EC1">
            <w:pPr>
              <w:jc w:val="right"/>
              <w:rPr>
                <w:rFonts w:ascii="宋体"/>
              </w:rPr>
            </w:pPr>
          </w:p>
        </w:tc>
      </w:tr>
    </w:tbl>
    <w:p w14:paraId="74DDEC4A" w14:textId="77777777" w:rsidR="00584EC1" w:rsidRDefault="00584EC1">
      <w:pPr>
        <w:rPr>
          <w:vanish/>
        </w:rPr>
      </w:pPr>
    </w:p>
    <w:tbl>
      <w:tblPr>
        <w:tblW w:w="2200" w:type="pct"/>
        <w:tblCellMar>
          <w:top w:w="15" w:type="dxa"/>
          <w:left w:w="15" w:type="dxa"/>
          <w:bottom w:w="15" w:type="dxa"/>
          <w:right w:w="15" w:type="dxa"/>
        </w:tblCellMar>
        <w:tblLook w:val="04A0" w:firstRow="1" w:lastRow="0" w:firstColumn="1" w:lastColumn="0" w:noHBand="0" w:noVBand="1"/>
      </w:tblPr>
      <w:tblGrid>
        <w:gridCol w:w="36"/>
        <w:gridCol w:w="2248"/>
        <w:gridCol w:w="36"/>
        <w:gridCol w:w="36"/>
        <w:gridCol w:w="36"/>
        <w:gridCol w:w="36"/>
        <w:gridCol w:w="36"/>
        <w:gridCol w:w="1168"/>
        <w:gridCol w:w="36"/>
      </w:tblGrid>
      <w:tr w:rsidR="00584EC1" w14:paraId="74DDEC54" w14:textId="77777777">
        <w:tc>
          <w:tcPr>
            <w:tcW w:w="50" w:type="pct"/>
            <w:shd w:val="clear" w:color="auto" w:fill="auto"/>
            <w:vAlign w:val="bottom"/>
          </w:tcPr>
          <w:p w14:paraId="74DDEC4B" w14:textId="77777777" w:rsidR="00584EC1" w:rsidRDefault="00584EC1">
            <w:pPr>
              <w:rPr>
                <w:rFonts w:ascii="宋体"/>
              </w:rPr>
            </w:pPr>
          </w:p>
        </w:tc>
        <w:tc>
          <w:tcPr>
            <w:tcW w:w="3134" w:type="pct"/>
            <w:shd w:val="clear" w:color="auto" w:fill="auto"/>
            <w:vAlign w:val="bottom"/>
          </w:tcPr>
          <w:p w14:paraId="74DDEC4C" w14:textId="77777777" w:rsidR="00584EC1" w:rsidRDefault="00584EC1">
            <w:pPr>
              <w:rPr>
                <w:rFonts w:ascii="宋体"/>
              </w:rPr>
            </w:pPr>
          </w:p>
        </w:tc>
        <w:tc>
          <w:tcPr>
            <w:tcW w:w="5" w:type="pct"/>
            <w:shd w:val="clear" w:color="auto" w:fill="auto"/>
            <w:vAlign w:val="bottom"/>
          </w:tcPr>
          <w:p w14:paraId="74DDEC4D" w14:textId="77777777" w:rsidR="00584EC1" w:rsidRDefault="00584EC1">
            <w:pPr>
              <w:rPr>
                <w:rFonts w:ascii="宋体"/>
              </w:rPr>
            </w:pPr>
          </w:p>
        </w:tc>
        <w:tc>
          <w:tcPr>
            <w:tcW w:w="5" w:type="pct"/>
            <w:shd w:val="clear" w:color="auto" w:fill="auto"/>
            <w:vAlign w:val="bottom"/>
          </w:tcPr>
          <w:p w14:paraId="74DDEC4E" w14:textId="77777777" w:rsidR="00584EC1" w:rsidRDefault="00584EC1">
            <w:pPr>
              <w:rPr>
                <w:rFonts w:ascii="宋体"/>
              </w:rPr>
            </w:pPr>
          </w:p>
        </w:tc>
        <w:tc>
          <w:tcPr>
            <w:tcW w:w="73" w:type="pct"/>
            <w:shd w:val="clear" w:color="auto" w:fill="auto"/>
            <w:vAlign w:val="bottom"/>
          </w:tcPr>
          <w:p w14:paraId="74DDEC4F" w14:textId="77777777" w:rsidR="00584EC1" w:rsidRDefault="00584EC1">
            <w:pPr>
              <w:rPr>
                <w:rFonts w:ascii="宋体"/>
              </w:rPr>
            </w:pPr>
          </w:p>
        </w:tc>
        <w:tc>
          <w:tcPr>
            <w:tcW w:w="5" w:type="pct"/>
            <w:shd w:val="clear" w:color="auto" w:fill="auto"/>
            <w:vAlign w:val="bottom"/>
          </w:tcPr>
          <w:p w14:paraId="74DDEC50" w14:textId="77777777" w:rsidR="00584EC1" w:rsidRDefault="00584EC1">
            <w:pPr>
              <w:rPr>
                <w:rFonts w:ascii="宋体"/>
              </w:rPr>
            </w:pPr>
          </w:p>
        </w:tc>
        <w:tc>
          <w:tcPr>
            <w:tcW w:w="50" w:type="pct"/>
            <w:shd w:val="clear" w:color="auto" w:fill="auto"/>
            <w:vAlign w:val="bottom"/>
          </w:tcPr>
          <w:p w14:paraId="74DDEC51" w14:textId="77777777" w:rsidR="00584EC1" w:rsidRDefault="00584EC1">
            <w:pPr>
              <w:rPr>
                <w:rFonts w:ascii="宋体"/>
              </w:rPr>
            </w:pPr>
          </w:p>
        </w:tc>
        <w:tc>
          <w:tcPr>
            <w:tcW w:w="1672" w:type="pct"/>
            <w:shd w:val="clear" w:color="auto" w:fill="auto"/>
            <w:vAlign w:val="bottom"/>
          </w:tcPr>
          <w:p w14:paraId="74DDEC52" w14:textId="77777777" w:rsidR="00584EC1" w:rsidRDefault="00584EC1">
            <w:pPr>
              <w:rPr>
                <w:rFonts w:ascii="宋体"/>
              </w:rPr>
            </w:pPr>
          </w:p>
        </w:tc>
        <w:tc>
          <w:tcPr>
            <w:tcW w:w="5" w:type="pct"/>
            <w:shd w:val="clear" w:color="auto" w:fill="auto"/>
            <w:vAlign w:val="bottom"/>
          </w:tcPr>
          <w:p w14:paraId="74DDEC53" w14:textId="77777777" w:rsidR="00584EC1" w:rsidRDefault="00584EC1">
            <w:pPr>
              <w:rPr>
                <w:rFonts w:ascii="宋体"/>
              </w:rPr>
            </w:pPr>
          </w:p>
        </w:tc>
      </w:tr>
      <w:tr w:rsidR="00584EC1" w14:paraId="74DDEC58"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4DDEC5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C56"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C57" w14:textId="77777777" w:rsidR="00584EC1" w:rsidRDefault="00584EC1">
            <w:pPr>
              <w:rPr>
                <w:rFonts w:ascii="宋体"/>
              </w:rPr>
            </w:pPr>
          </w:p>
        </w:tc>
      </w:tr>
    </w:tbl>
    <w:p w14:paraId="74DDEC59" w14:textId="77777777" w:rsidR="00584EC1" w:rsidRDefault="00871F8D">
      <w:pPr>
        <w:spacing w:before="60"/>
      </w:pPr>
      <w:r>
        <w:rPr>
          <w:rFonts w:ascii="Arial" w:eastAsia="宋体" w:hAnsi="Arial" w:cs="Arial"/>
          <w:color w:val="000000"/>
          <w:sz w:val="8"/>
          <w:szCs w:val="8"/>
        </w:rPr>
        <w:t>(1)</w:t>
      </w:r>
      <w:r>
        <w:rPr>
          <w:rFonts w:ascii="Arial" w:eastAsia="宋体" w:hAnsi="Arial" w:cs="Arial"/>
          <w:color w:val="000000"/>
          <w:sz w:val="13"/>
          <w:szCs w:val="13"/>
        </w:rPr>
        <w:t xml:space="preserve"> Includes $11 million allowance for credit losses on Fund Finance loans and $1 million on other loans.</w:t>
      </w:r>
    </w:p>
    <w:p w14:paraId="74DDEC5A" w14:textId="77777777" w:rsidR="00584EC1" w:rsidRDefault="00871F8D">
      <w:pPr>
        <w:spacing w:before="60"/>
      </w:pPr>
      <w:r>
        <w:rPr>
          <w:rFonts w:ascii="Arial" w:eastAsia="宋体" w:hAnsi="Arial" w:cs="Arial"/>
          <w:color w:val="000000"/>
          <w:sz w:val="8"/>
          <w:szCs w:val="8"/>
        </w:rPr>
        <w:t>(2)</w:t>
      </w:r>
      <w:r>
        <w:rPr>
          <w:rFonts w:ascii="Arial" w:eastAsia="宋体" w:hAnsi="Arial" w:cs="Arial"/>
          <w:color w:val="000000"/>
          <w:sz w:val="13"/>
          <w:szCs w:val="13"/>
        </w:rPr>
        <w:t xml:space="preserve"> The amount includes primarily foreign currency translation.</w:t>
      </w:r>
    </w:p>
    <w:tbl>
      <w:tblPr>
        <w:tblW w:w="5000" w:type="pct"/>
        <w:tblCellMar>
          <w:top w:w="15" w:type="dxa"/>
          <w:left w:w="15" w:type="dxa"/>
          <w:bottom w:w="15" w:type="dxa"/>
          <w:right w:w="15" w:type="dxa"/>
        </w:tblCellMar>
        <w:tblLook w:val="04A0" w:firstRow="1" w:lastRow="0" w:firstColumn="1" w:lastColumn="0" w:noHBand="0" w:noVBand="1"/>
      </w:tblPr>
      <w:tblGrid>
        <w:gridCol w:w="39"/>
        <w:gridCol w:w="1569"/>
        <w:gridCol w:w="38"/>
        <w:gridCol w:w="100"/>
        <w:gridCol w:w="652"/>
        <w:gridCol w:w="38"/>
        <w:gridCol w:w="36"/>
        <w:gridCol w:w="36"/>
        <w:gridCol w:w="36"/>
        <w:gridCol w:w="99"/>
        <w:gridCol w:w="579"/>
        <w:gridCol w:w="37"/>
        <w:gridCol w:w="36"/>
        <w:gridCol w:w="36"/>
        <w:gridCol w:w="36"/>
        <w:gridCol w:w="99"/>
        <w:gridCol w:w="745"/>
        <w:gridCol w:w="36"/>
        <w:gridCol w:w="36"/>
        <w:gridCol w:w="36"/>
        <w:gridCol w:w="36"/>
        <w:gridCol w:w="99"/>
        <w:gridCol w:w="1023"/>
        <w:gridCol w:w="36"/>
        <w:gridCol w:w="36"/>
        <w:gridCol w:w="36"/>
        <w:gridCol w:w="36"/>
        <w:gridCol w:w="99"/>
        <w:gridCol w:w="896"/>
        <w:gridCol w:w="36"/>
        <w:gridCol w:w="36"/>
        <w:gridCol w:w="36"/>
        <w:gridCol w:w="36"/>
        <w:gridCol w:w="99"/>
        <w:gridCol w:w="565"/>
        <w:gridCol w:w="36"/>
        <w:gridCol w:w="36"/>
        <w:gridCol w:w="36"/>
        <w:gridCol w:w="36"/>
        <w:gridCol w:w="98"/>
        <w:gridCol w:w="634"/>
        <w:gridCol w:w="36"/>
      </w:tblGrid>
      <w:tr w:rsidR="00584EC1" w14:paraId="74DDEC85" w14:textId="77777777">
        <w:tc>
          <w:tcPr>
            <w:tcW w:w="50" w:type="pct"/>
            <w:shd w:val="clear" w:color="auto" w:fill="auto"/>
            <w:vAlign w:val="bottom"/>
          </w:tcPr>
          <w:p w14:paraId="74DDEC5B" w14:textId="77777777" w:rsidR="00584EC1" w:rsidRDefault="00584EC1">
            <w:pPr>
              <w:rPr>
                <w:rFonts w:ascii="宋体"/>
              </w:rPr>
            </w:pPr>
          </w:p>
        </w:tc>
        <w:tc>
          <w:tcPr>
            <w:tcW w:w="975" w:type="pct"/>
            <w:shd w:val="clear" w:color="auto" w:fill="auto"/>
            <w:vAlign w:val="bottom"/>
          </w:tcPr>
          <w:p w14:paraId="74DDEC5C" w14:textId="77777777" w:rsidR="00584EC1" w:rsidRDefault="00584EC1">
            <w:pPr>
              <w:rPr>
                <w:rFonts w:ascii="宋体"/>
              </w:rPr>
            </w:pPr>
          </w:p>
        </w:tc>
        <w:tc>
          <w:tcPr>
            <w:tcW w:w="5" w:type="pct"/>
            <w:shd w:val="clear" w:color="auto" w:fill="auto"/>
            <w:vAlign w:val="bottom"/>
          </w:tcPr>
          <w:p w14:paraId="74DDEC5D" w14:textId="77777777" w:rsidR="00584EC1" w:rsidRDefault="00584EC1">
            <w:pPr>
              <w:rPr>
                <w:rFonts w:ascii="宋体"/>
              </w:rPr>
            </w:pPr>
          </w:p>
        </w:tc>
        <w:tc>
          <w:tcPr>
            <w:tcW w:w="50" w:type="pct"/>
            <w:shd w:val="clear" w:color="auto" w:fill="auto"/>
            <w:vAlign w:val="bottom"/>
          </w:tcPr>
          <w:p w14:paraId="74DDEC5E" w14:textId="77777777" w:rsidR="00584EC1" w:rsidRDefault="00584EC1">
            <w:pPr>
              <w:rPr>
                <w:rFonts w:ascii="宋体"/>
              </w:rPr>
            </w:pPr>
          </w:p>
        </w:tc>
        <w:tc>
          <w:tcPr>
            <w:tcW w:w="405" w:type="pct"/>
            <w:shd w:val="clear" w:color="auto" w:fill="auto"/>
            <w:vAlign w:val="bottom"/>
          </w:tcPr>
          <w:p w14:paraId="74DDEC5F" w14:textId="77777777" w:rsidR="00584EC1" w:rsidRDefault="00584EC1">
            <w:pPr>
              <w:rPr>
                <w:rFonts w:ascii="宋体"/>
              </w:rPr>
            </w:pPr>
          </w:p>
        </w:tc>
        <w:tc>
          <w:tcPr>
            <w:tcW w:w="5" w:type="pct"/>
            <w:shd w:val="clear" w:color="auto" w:fill="auto"/>
            <w:vAlign w:val="bottom"/>
          </w:tcPr>
          <w:p w14:paraId="74DDEC60" w14:textId="77777777" w:rsidR="00584EC1" w:rsidRDefault="00584EC1">
            <w:pPr>
              <w:rPr>
                <w:rFonts w:ascii="宋体"/>
              </w:rPr>
            </w:pPr>
          </w:p>
        </w:tc>
        <w:tc>
          <w:tcPr>
            <w:tcW w:w="5" w:type="pct"/>
            <w:shd w:val="clear" w:color="auto" w:fill="auto"/>
            <w:vAlign w:val="bottom"/>
          </w:tcPr>
          <w:p w14:paraId="74DDEC61" w14:textId="77777777" w:rsidR="00584EC1" w:rsidRDefault="00584EC1">
            <w:pPr>
              <w:rPr>
                <w:rFonts w:ascii="宋体"/>
              </w:rPr>
            </w:pPr>
          </w:p>
        </w:tc>
        <w:tc>
          <w:tcPr>
            <w:tcW w:w="26" w:type="pct"/>
            <w:shd w:val="clear" w:color="auto" w:fill="auto"/>
            <w:vAlign w:val="bottom"/>
          </w:tcPr>
          <w:p w14:paraId="74DDEC62" w14:textId="77777777" w:rsidR="00584EC1" w:rsidRDefault="00584EC1">
            <w:pPr>
              <w:rPr>
                <w:rFonts w:ascii="宋体"/>
              </w:rPr>
            </w:pPr>
          </w:p>
        </w:tc>
        <w:tc>
          <w:tcPr>
            <w:tcW w:w="5" w:type="pct"/>
            <w:shd w:val="clear" w:color="auto" w:fill="auto"/>
            <w:vAlign w:val="bottom"/>
          </w:tcPr>
          <w:p w14:paraId="74DDEC63" w14:textId="77777777" w:rsidR="00584EC1" w:rsidRDefault="00584EC1">
            <w:pPr>
              <w:rPr>
                <w:rFonts w:ascii="宋体"/>
              </w:rPr>
            </w:pPr>
          </w:p>
        </w:tc>
        <w:tc>
          <w:tcPr>
            <w:tcW w:w="50" w:type="pct"/>
            <w:shd w:val="clear" w:color="auto" w:fill="auto"/>
            <w:vAlign w:val="bottom"/>
          </w:tcPr>
          <w:p w14:paraId="74DDEC64" w14:textId="77777777" w:rsidR="00584EC1" w:rsidRDefault="00584EC1">
            <w:pPr>
              <w:rPr>
                <w:rFonts w:ascii="宋体"/>
              </w:rPr>
            </w:pPr>
          </w:p>
        </w:tc>
        <w:tc>
          <w:tcPr>
            <w:tcW w:w="420" w:type="pct"/>
            <w:shd w:val="clear" w:color="auto" w:fill="auto"/>
            <w:vAlign w:val="bottom"/>
          </w:tcPr>
          <w:p w14:paraId="74DDEC65" w14:textId="77777777" w:rsidR="00584EC1" w:rsidRDefault="00584EC1">
            <w:pPr>
              <w:rPr>
                <w:rFonts w:ascii="宋体"/>
              </w:rPr>
            </w:pPr>
          </w:p>
        </w:tc>
        <w:tc>
          <w:tcPr>
            <w:tcW w:w="5" w:type="pct"/>
            <w:shd w:val="clear" w:color="auto" w:fill="auto"/>
            <w:vAlign w:val="bottom"/>
          </w:tcPr>
          <w:p w14:paraId="74DDEC66" w14:textId="77777777" w:rsidR="00584EC1" w:rsidRDefault="00584EC1">
            <w:pPr>
              <w:rPr>
                <w:rFonts w:ascii="宋体"/>
              </w:rPr>
            </w:pPr>
          </w:p>
        </w:tc>
        <w:tc>
          <w:tcPr>
            <w:tcW w:w="5" w:type="pct"/>
            <w:shd w:val="clear" w:color="auto" w:fill="auto"/>
            <w:vAlign w:val="bottom"/>
          </w:tcPr>
          <w:p w14:paraId="74DDEC67" w14:textId="77777777" w:rsidR="00584EC1" w:rsidRDefault="00584EC1">
            <w:pPr>
              <w:rPr>
                <w:rFonts w:ascii="宋体"/>
              </w:rPr>
            </w:pPr>
          </w:p>
        </w:tc>
        <w:tc>
          <w:tcPr>
            <w:tcW w:w="26" w:type="pct"/>
            <w:shd w:val="clear" w:color="auto" w:fill="auto"/>
            <w:vAlign w:val="bottom"/>
          </w:tcPr>
          <w:p w14:paraId="74DDEC68" w14:textId="77777777" w:rsidR="00584EC1" w:rsidRDefault="00584EC1">
            <w:pPr>
              <w:rPr>
                <w:rFonts w:ascii="宋体"/>
              </w:rPr>
            </w:pPr>
          </w:p>
        </w:tc>
        <w:tc>
          <w:tcPr>
            <w:tcW w:w="5" w:type="pct"/>
            <w:shd w:val="clear" w:color="auto" w:fill="auto"/>
            <w:vAlign w:val="bottom"/>
          </w:tcPr>
          <w:p w14:paraId="74DDEC69" w14:textId="77777777" w:rsidR="00584EC1" w:rsidRDefault="00584EC1">
            <w:pPr>
              <w:rPr>
                <w:rFonts w:ascii="宋体"/>
              </w:rPr>
            </w:pPr>
          </w:p>
        </w:tc>
        <w:tc>
          <w:tcPr>
            <w:tcW w:w="50" w:type="pct"/>
            <w:shd w:val="clear" w:color="auto" w:fill="auto"/>
            <w:vAlign w:val="bottom"/>
          </w:tcPr>
          <w:p w14:paraId="74DDEC6A" w14:textId="77777777" w:rsidR="00584EC1" w:rsidRDefault="00584EC1">
            <w:pPr>
              <w:rPr>
                <w:rFonts w:ascii="宋体"/>
              </w:rPr>
            </w:pPr>
          </w:p>
        </w:tc>
        <w:tc>
          <w:tcPr>
            <w:tcW w:w="420" w:type="pct"/>
            <w:shd w:val="clear" w:color="auto" w:fill="auto"/>
            <w:vAlign w:val="bottom"/>
          </w:tcPr>
          <w:p w14:paraId="74DDEC6B" w14:textId="77777777" w:rsidR="00584EC1" w:rsidRDefault="00584EC1">
            <w:pPr>
              <w:rPr>
                <w:rFonts w:ascii="宋体"/>
              </w:rPr>
            </w:pPr>
          </w:p>
        </w:tc>
        <w:tc>
          <w:tcPr>
            <w:tcW w:w="5" w:type="pct"/>
            <w:shd w:val="clear" w:color="auto" w:fill="auto"/>
            <w:vAlign w:val="bottom"/>
          </w:tcPr>
          <w:p w14:paraId="74DDEC6C" w14:textId="77777777" w:rsidR="00584EC1" w:rsidRDefault="00584EC1">
            <w:pPr>
              <w:rPr>
                <w:rFonts w:ascii="宋体"/>
              </w:rPr>
            </w:pPr>
          </w:p>
        </w:tc>
        <w:tc>
          <w:tcPr>
            <w:tcW w:w="5" w:type="pct"/>
            <w:shd w:val="clear" w:color="auto" w:fill="auto"/>
            <w:vAlign w:val="bottom"/>
          </w:tcPr>
          <w:p w14:paraId="74DDEC6D" w14:textId="77777777" w:rsidR="00584EC1" w:rsidRDefault="00584EC1">
            <w:pPr>
              <w:rPr>
                <w:rFonts w:ascii="宋体"/>
              </w:rPr>
            </w:pPr>
          </w:p>
        </w:tc>
        <w:tc>
          <w:tcPr>
            <w:tcW w:w="26" w:type="pct"/>
            <w:shd w:val="clear" w:color="auto" w:fill="auto"/>
            <w:vAlign w:val="bottom"/>
          </w:tcPr>
          <w:p w14:paraId="74DDEC6E" w14:textId="77777777" w:rsidR="00584EC1" w:rsidRDefault="00584EC1">
            <w:pPr>
              <w:rPr>
                <w:rFonts w:ascii="宋体"/>
              </w:rPr>
            </w:pPr>
          </w:p>
        </w:tc>
        <w:tc>
          <w:tcPr>
            <w:tcW w:w="5" w:type="pct"/>
            <w:shd w:val="clear" w:color="auto" w:fill="auto"/>
            <w:vAlign w:val="bottom"/>
          </w:tcPr>
          <w:p w14:paraId="74DDEC6F" w14:textId="77777777" w:rsidR="00584EC1" w:rsidRDefault="00584EC1">
            <w:pPr>
              <w:rPr>
                <w:rFonts w:ascii="宋体"/>
              </w:rPr>
            </w:pPr>
          </w:p>
        </w:tc>
        <w:tc>
          <w:tcPr>
            <w:tcW w:w="50" w:type="pct"/>
            <w:shd w:val="clear" w:color="auto" w:fill="auto"/>
            <w:vAlign w:val="bottom"/>
          </w:tcPr>
          <w:p w14:paraId="74DDEC70" w14:textId="77777777" w:rsidR="00584EC1" w:rsidRDefault="00584EC1">
            <w:pPr>
              <w:rPr>
                <w:rFonts w:ascii="宋体"/>
              </w:rPr>
            </w:pPr>
          </w:p>
        </w:tc>
        <w:tc>
          <w:tcPr>
            <w:tcW w:w="624" w:type="pct"/>
            <w:shd w:val="clear" w:color="auto" w:fill="auto"/>
            <w:vAlign w:val="bottom"/>
          </w:tcPr>
          <w:p w14:paraId="74DDEC71" w14:textId="77777777" w:rsidR="00584EC1" w:rsidRDefault="00584EC1">
            <w:pPr>
              <w:rPr>
                <w:rFonts w:ascii="宋体"/>
              </w:rPr>
            </w:pPr>
          </w:p>
        </w:tc>
        <w:tc>
          <w:tcPr>
            <w:tcW w:w="5" w:type="pct"/>
            <w:shd w:val="clear" w:color="auto" w:fill="auto"/>
            <w:vAlign w:val="bottom"/>
          </w:tcPr>
          <w:p w14:paraId="74DDEC72" w14:textId="77777777" w:rsidR="00584EC1" w:rsidRDefault="00584EC1">
            <w:pPr>
              <w:rPr>
                <w:rFonts w:ascii="宋体"/>
              </w:rPr>
            </w:pPr>
          </w:p>
        </w:tc>
        <w:tc>
          <w:tcPr>
            <w:tcW w:w="5" w:type="pct"/>
            <w:shd w:val="clear" w:color="auto" w:fill="auto"/>
            <w:vAlign w:val="bottom"/>
          </w:tcPr>
          <w:p w14:paraId="74DDEC73" w14:textId="77777777" w:rsidR="00584EC1" w:rsidRDefault="00584EC1">
            <w:pPr>
              <w:rPr>
                <w:rFonts w:ascii="宋体"/>
              </w:rPr>
            </w:pPr>
          </w:p>
        </w:tc>
        <w:tc>
          <w:tcPr>
            <w:tcW w:w="26" w:type="pct"/>
            <w:shd w:val="clear" w:color="auto" w:fill="auto"/>
            <w:vAlign w:val="bottom"/>
          </w:tcPr>
          <w:p w14:paraId="74DDEC74" w14:textId="77777777" w:rsidR="00584EC1" w:rsidRDefault="00584EC1">
            <w:pPr>
              <w:rPr>
                <w:rFonts w:ascii="宋体"/>
              </w:rPr>
            </w:pPr>
          </w:p>
        </w:tc>
        <w:tc>
          <w:tcPr>
            <w:tcW w:w="5" w:type="pct"/>
            <w:shd w:val="clear" w:color="auto" w:fill="auto"/>
            <w:vAlign w:val="bottom"/>
          </w:tcPr>
          <w:p w14:paraId="74DDEC75" w14:textId="77777777" w:rsidR="00584EC1" w:rsidRDefault="00584EC1">
            <w:pPr>
              <w:rPr>
                <w:rFonts w:ascii="宋体"/>
              </w:rPr>
            </w:pPr>
          </w:p>
        </w:tc>
        <w:tc>
          <w:tcPr>
            <w:tcW w:w="50" w:type="pct"/>
            <w:shd w:val="clear" w:color="auto" w:fill="auto"/>
            <w:vAlign w:val="bottom"/>
          </w:tcPr>
          <w:p w14:paraId="74DDEC76" w14:textId="77777777" w:rsidR="00584EC1" w:rsidRDefault="00584EC1">
            <w:pPr>
              <w:rPr>
                <w:rFonts w:ascii="宋体"/>
              </w:rPr>
            </w:pPr>
          </w:p>
        </w:tc>
        <w:tc>
          <w:tcPr>
            <w:tcW w:w="639" w:type="pct"/>
            <w:shd w:val="clear" w:color="auto" w:fill="auto"/>
            <w:vAlign w:val="bottom"/>
          </w:tcPr>
          <w:p w14:paraId="74DDEC77" w14:textId="77777777" w:rsidR="00584EC1" w:rsidRDefault="00584EC1">
            <w:pPr>
              <w:rPr>
                <w:rFonts w:ascii="宋体"/>
              </w:rPr>
            </w:pPr>
          </w:p>
        </w:tc>
        <w:tc>
          <w:tcPr>
            <w:tcW w:w="5" w:type="pct"/>
            <w:shd w:val="clear" w:color="auto" w:fill="auto"/>
            <w:vAlign w:val="bottom"/>
          </w:tcPr>
          <w:p w14:paraId="74DDEC78" w14:textId="77777777" w:rsidR="00584EC1" w:rsidRDefault="00584EC1">
            <w:pPr>
              <w:rPr>
                <w:rFonts w:ascii="宋体"/>
              </w:rPr>
            </w:pPr>
          </w:p>
        </w:tc>
        <w:tc>
          <w:tcPr>
            <w:tcW w:w="5" w:type="pct"/>
            <w:shd w:val="clear" w:color="auto" w:fill="auto"/>
            <w:vAlign w:val="bottom"/>
          </w:tcPr>
          <w:p w14:paraId="74DDEC79" w14:textId="77777777" w:rsidR="00584EC1" w:rsidRDefault="00584EC1">
            <w:pPr>
              <w:rPr>
                <w:rFonts w:ascii="宋体"/>
              </w:rPr>
            </w:pPr>
          </w:p>
        </w:tc>
        <w:tc>
          <w:tcPr>
            <w:tcW w:w="26" w:type="pct"/>
            <w:shd w:val="clear" w:color="auto" w:fill="auto"/>
            <w:vAlign w:val="bottom"/>
          </w:tcPr>
          <w:p w14:paraId="74DDEC7A" w14:textId="77777777" w:rsidR="00584EC1" w:rsidRDefault="00584EC1">
            <w:pPr>
              <w:rPr>
                <w:rFonts w:ascii="宋体"/>
              </w:rPr>
            </w:pPr>
          </w:p>
        </w:tc>
        <w:tc>
          <w:tcPr>
            <w:tcW w:w="5" w:type="pct"/>
            <w:shd w:val="clear" w:color="auto" w:fill="auto"/>
            <w:vAlign w:val="bottom"/>
          </w:tcPr>
          <w:p w14:paraId="74DDEC7B" w14:textId="77777777" w:rsidR="00584EC1" w:rsidRDefault="00584EC1">
            <w:pPr>
              <w:rPr>
                <w:rFonts w:ascii="宋体"/>
              </w:rPr>
            </w:pPr>
          </w:p>
        </w:tc>
        <w:tc>
          <w:tcPr>
            <w:tcW w:w="50" w:type="pct"/>
            <w:shd w:val="clear" w:color="auto" w:fill="auto"/>
            <w:vAlign w:val="bottom"/>
          </w:tcPr>
          <w:p w14:paraId="74DDEC7C" w14:textId="77777777" w:rsidR="00584EC1" w:rsidRDefault="00584EC1">
            <w:pPr>
              <w:rPr>
                <w:rFonts w:ascii="宋体"/>
              </w:rPr>
            </w:pPr>
          </w:p>
        </w:tc>
        <w:tc>
          <w:tcPr>
            <w:tcW w:w="420" w:type="pct"/>
            <w:shd w:val="clear" w:color="auto" w:fill="auto"/>
            <w:vAlign w:val="bottom"/>
          </w:tcPr>
          <w:p w14:paraId="74DDEC7D" w14:textId="77777777" w:rsidR="00584EC1" w:rsidRDefault="00584EC1">
            <w:pPr>
              <w:rPr>
                <w:rFonts w:ascii="宋体"/>
              </w:rPr>
            </w:pPr>
          </w:p>
        </w:tc>
        <w:tc>
          <w:tcPr>
            <w:tcW w:w="5" w:type="pct"/>
            <w:shd w:val="clear" w:color="auto" w:fill="auto"/>
            <w:vAlign w:val="bottom"/>
          </w:tcPr>
          <w:p w14:paraId="74DDEC7E" w14:textId="77777777" w:rsidR="00584EC1" w:rsidRDefault="00584EC1">
            <w:pPr>
              <w:rPr>
                <w:rFonts w:ascii="宋体"/>
              </w:rPr>
            </w:pPr>
          </w:p>
        </w:tc>
        <w:tc>
          <w:tcPr>
            <w:tcW w:w="5" w:type="pct"/>
            <w:shd w:val="clear" w:color="auto" w:fill="auto"/>
            <w:vAlign w:val="bottom"/>
          </w:tcPr>
          <w:p w14:paraId="74DDEC7F" w14:textId="77777777" w:rsidR="00584EC1" w:rsidRDefault="00584EC1">
            <w:pPr>
              <w:rPr>
                <w:rFonts w:ascii="宋体"/>
              </w:rPr>
            </w:pPr>
          </w:p>
        </w:tc>
        <w:tc>
          <w:tcPr>
            <w:tcW w:w="26" w:type="pct"/>
            <w:shd w:val="clear" w:color="auto" w:fill="auto"/>
            <w:vAlign w:val="bottom"/>
          </w:tcPr>
          <w:p w14:paraId="74DDEC80" w14:textId="77777777" w:rsidR="00584EC1" w:rsidRDefault="00584EC1">
            <w:pPr>
              <w:rPr>
                <w:rFonts w:ascii="宋体"/>
              </w:rPr>
            </w:pPr>
          </w:p>
        </w:tc>
        <w:tc>
          <w:tcPr>
            <w:tcW w:w="5" w:type="pct"/>
            <w:shd w:val="clear" w:color="auto" w:fill="auto"/>
            <w:vAlign w:val="bottom"/>
          </w:tcPr>
          <w:p w14:paraId="74DDEC81" w14:textId="77777777" w:rsidR="00584EC1" w:rsidRDefault="00584EC1">
            <w:pPr>
              <w:rPr>
                <w:rFonts w:ascii="宋体"/>
              </w:rPr>
            </w:pPr>
          </w:p>
        </w:tc>
        <w:tc>
          <w:tcPr>
            <w:tcW w:w="50" w:type="pct"/>
            <w:shd w:val="clear" w:color="auto" w:fill="auto"/>
            <w:vAlign w:val="bottom"/>
          </w:tcPr>
          <w:p w14:paraId="74DDEC82" w14:textId="77777777" w:rsidR="00584EC1" w:rsidRDefault="00584EC1">
            <w:pPr>
              <w:rPr>
                <w:rFonts w:ascii="宋体"/>
              </w:rPr>
            </w:pPr>
          </w:p>
        </w:tc>
        <w:tc>
          <w:tcPr>
            <w:tcW w:w="435" w:type="pct"/>
            <w:shd w:val="clear" w:color="auto" w:fill="auto"/>
            <w:vAlign w:val="bottom"/>
          </w:tcPr>
          <w:p w14:paraId="74DDEC83" w14:textId="77777777" w:rsidR="00584EC1" w:rsidRDefault="00584EC1">
            <w:pPr>
              <w:rPr>
                <w:rFonts w:ascii="宋体"/>
              </w:rPr>
            </w:pPr>
          </w:p>
        </w:tc>
        <w:tc>
          <w:tcPr>
            <w:tcW w:w="5" w:type="pct"/>
            <w:shd w:val="clear" w:color="auto" w:fill="auto"/>
            <w:vAlign w:val="bottom"/>
          </w:tcPr>
          <w:p w14:paraId="74DDEC84" w14:textId="77777777" w:rsidR="00584EC1" w:rsidRDefault="00584EC1">
            <w:pPr>
              <w:rPr>
                <w:rFonts w:ascii="宋体"/>
              </w:rPr>
            </w:pPr>
          </w:p>
        </w:tc>
      </w:tr>
      <w:tr w:rsidR="00584EC1" w14:paraId="74DDEC88" w14:textId="77777777">
        <w:tc>
          <w:tcPr>
            <w:tcW w:w="0" w:type="auto"/>
            <w:gridSpan w:val="3"/>
            <w:shd w:val="clear" w:color="auto" w:fill="auto"/>
            <w:tcMar>
              <w:top w:w="0" w:type="dxa"/>
              <w:left w:w="20" w:type="dxa"/>
              <w:bottom w:w="0" w:type="dxa"/>
              <w:right w:w="20" w:type="dxa"/>
            </w:tcMar>
            <w:vAlign w:val="bottom"/>
          </w:tcPr>
          <w:p w14:paraId="74DDEC86" w14:textId="77777777" w:rsidR="00584EC1" w:rsidRDefault="00584EC1">
            <w:pPr>
              <w:rPr>
                <w:rFonts w:ascii="宋体"/>
              </w:rPr>
            </w:pPr>
          </w:p>
        </w:tc>
        <w:tc>
          <w:tcPr>
            <w:tcW w:w="0" w:type="auto"/>
            <w:gridSpan w:val="39"/>
            <w:shd w:val="clear" w:color="auto" w:fill="auto"/>
            <w:tcMar>
              <w:top w:w="40" w:type="dxa"/>
              <w:left w:w="20" w:type="dxa"/>
              <w:bottom w:w="40" w:type="dxa"/>
              <w:right w:w="20" w:type="dxa"/>
            </w:tcMar>
            <w:vAlign w:val="bottom"/>
          </w:tcPr>
          <w:p w14:paraId="74DDEC87" w14:textId="77777777" w:rsidR="00584EC1" w:rsidRDefault="00871F8D">
            <w:pPr>
              <w:jc w:val="center"/>
              <w:textAlignment w:val="bottom"/>
            </w:pPr>
            <w:r>
              <w:rPr>
                <w:rFonts w:ascii="Arial" w:eastAsia="宋体" w:hAnsi="Arial" w:cs="Arial"/>
                <w:b/>
                <w:bCs/>
                <w:color w:val="000000"/>
                <w:sz w:val="14"/>
                <w:szCs w:val="14"/>
              </w:rPr>
              <w:t>Nine Months Ended September 30, 2021</w:t>
            </w:r>
          </w:p>
        </w:tc>
      </w:tr>
      <w:tr w:rsidR="00584EC1" w14:paraId="74DDEC94" w14:textId="77777777">
        <w:tc>
          <w:tcPr>
            <w:tcW w:w="0" w:type="auto"/>
            <w:gridSpan w:val="3"/>
            <w:shd w:val="clear" w:color="auto" w:fill="auto"/>
            <w:tcMar>
              <w:top w:w="0" w:type="dxa"/>
              <w:left w:w="20" w:type="dxa"/>
              <w:bottom w:w="0" w:type="dxa"/>
              <w:right w:w="20" w:type="dxa"/>
            </w:tcMar>
            <w:vAlign w:val="bottom"/>
          </w:tcPr>
          <w:p w14:paraId="74DDEC89" w14:textId="77777777" w:rsidR="00584EC1" w:rsidRDefault="00584E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4DDEC8A" w14:textId="77777777" w:rsidR="00584EC1" w:rsidRDefault="00871F8D">
            <w:pPr>
              <w:jc w:val="center"/>
              <w:textAlignment w:val="bottom"/>
            </w:pPr>
            <w:r>
              <w:rPr>
                <w:rFonts w:ascii="Arial" w:eastAsia="宋体" w:hAnsi="Arial" w:cs="Arial"/>
                <w:b/>
                <w:bCs/>
                <w:color w:val="000000"/>
                <w:sz w:val="14"/>
                <w:szCs w:val="14"/>
              </w:rPr>
              <w:t>Commercial and Financial</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C8B"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C8C"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C8D"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C8E"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C8F"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C90"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C91" w14:textId="77777777" w:rsidR="00584EC1" w:rsidRDefault="00584EC1">
            <w:pPr>
              <w:rPr>
                <w:rFonts w:ascii="宋体"/>
              </w:rPr>
            </w:pPr>
          </w:p>
        </w:tc>
        <w:tc>
          <w:tcPr>
            <w:tcW w:w="0" w:type="auto"/>
            <w:gridSpan w:val="6"/>
            <w:tcBorders>
              <w:top w:val="single" w:sz="8" w:space="0" w:color="000000"/>
            </w:tcBorders>
            <w:shd w:val="clear" w:color="auto" w:fill="auto"/>
            <w:tcMar>
              <w:top w:w="0" w:type="dxa"/>
              <w:left w:w="20" w:type="dxa"/>
              <w:bottom w:w="0" w:type="dxa"/>
              <w:right w:w="20" w:type="dxa"/>
            </w:tcMar>
            <w:vAlign w:val="bottom"/>
          </w:tcPr>
          <w:p w14:paraId="74DDEC92"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C93" w14:textId="77777777" w:rsidR="00584EC1" w:rsidRDefault="00584EC1">
            <w:pPr>
              <w:rPr>
                <w:rFonts w:ascii="宋体"/>
              </w:rPr>
            </w:pPr>
          </w:p>
        </w:tc>
      </w:tr>
      <w:tr w:rsidR="00584EC1" w14:paraId="74DDECA3" w14:textId="77777777">
        <w:tc>
          <w:tcPr>
            <w:tcW w:w="0" w:type="auto"/>
            <w:gridSpan w:val="3"/>
            <w:shd w:val="clear" w:color="auto" w:fill="auto"/>
            <w:tcMar>
              <w:top w:w="40" w:type="dxa"/>
              <w:left w:w="20" w:type="dxa"/>
              <w:bottom w:w="40" w:type="dxa"/>
              <w:right w:w="20" w:type="dxa"/>
            </w:tcMar>
            <w:vAlign w:val="bottom"/>
          </w:tcPr>
          <w:p w14:paraId="74DDEC95" w14:textId="77777777" w:rsidR="00584EC1" w:rsidRDefault="00871F8D">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EC96" w14:textId="77777777" w:rsidR="00584EC1" w:rsidRDefault="00871F8D">
            <w:pPr>
              <w:jc w:val="center"/>
              <w:textAlignment w:val="bottom"/>
            </w:pPr>
            <w:r>
              <w:rPr>
                <w:rFonts w:ascii="Arial" w:eastAsia="宋体" w:hAnsi="Arial" w:cs="Arial"/>
                <w:b/>
                <w:bCs/>
                <w:color w:val="000000"/>
                <w:sz w:val="14"/>
                <w:szCs w:val="14"/>
              </w:rPr>
              <w:t>Leveraged Loans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C97"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EC98" w14:textId="77777777" w:rsidR="00584EC1" w:rsidRDefault="00871F8D">
            <w:pPr>
              <w:jc w:val="center"/>
              <w:textAlignment w:val="bottom"/>
            </w:pPr>
            <w:r>
              <w:rPr>
                <w:rFonts w:ascii="Arial" w:eastAsia="宋体" w:hAnsi="Arial" w:cs="Arial"/>
                <w:b/>
                <w:bCs/>
                <w:color w:val="000000"/>
                <w:sz w:val="14"/>
                <w:szCs w:val="14"/>
              </w:rPr>
              <w:t>Other Loans</w:t>
            </w:r>
            <w:r>
              <w:rPr>
                <w:rFonts w:ascii="Arial" w:eastAsia="宋体" w:hAnsi="Arial" w:cs="Arial"/>
                <w:b/>
                <w:bCs/>
                <w:color w:val="000000"/>
                <w:sz w:val="9"/>
                <w:szCs w:val="9"/>
              </w:rPr>
              <w:t>(1)</w:t>
            </w:r>
          </w:p>
        </w:tc>
        <w:tc>
          <w:tcPr>
            <w:tcW w:w="0" w:type="auto"/>
            <w:gridSpan w:val="3"/>
            <w:shd w:val="clear" w:color="auto" w:fill="auto"/>
            <w:tcMar>
              <w:top w:w="0" w:type="dxa"/>
              <w:left w:w="20" w:type="dxa"/>
              <w:bottom w:w="0" w:type="dxa"/>
              <w:right w:w="20" w:type="dxa"/>
            </w:tcMar>
            <w:vAlign w:val="bottom"/>
          </w:tcPr>
          <w:p w14:paraId="74DDEC99"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EC9A" w14:textId="77777777" w:rsidR="00584EC1" w:rsidRDefault="00871F8D">
            <w:pPr>
              <w:jc w:val="center"/>
              <w:textAlignment w:val="bottom"/>
            </w:pPr>
            <w:r>
              <w:rPr>
                <w:rFonts w:ascii="Arial" w:eastAsia="宋体" w:hAnsi="Arial" w:cs="Arial"/>
                <w:b/>
                <w:bCs/>
                <w:color w:val="000000"/>
                <w:sz w:val="14"/>
                <w:szCs w:val="14"/>
              </w:rPr>
              <w:t>Commercial Real Estate</w:t>
            </w:r>
          </w:p>
        </w:tc>
        <w:tc>
          <w:tcPr>
            <w:tcW w:w="0" w:type="auto"/>
            <w:gridSpan w:val="3"/>
            <w:shd w:val="clear" w:color="auto" w:fill="auto"/>
            <w:tcMar>
              <w:top w:w="0" w:type="dxa"/>
              <w:left w:w="20" w:type="dxa"/>
              <w:bottom w:w="0" w:type="dxa"/>
              <w:right w:w="20" w:type="dxa"/>
            </w:tcMar>
            <w:vAlign w:val="bottom"/>
          </w:tcPr>
          <w:p w14:paraId="74DDEC9B"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EC9C" w14:textId="77777777" w:rsidR="00584EC1" w:rsidRDefault="00871F8D">
            <w:pPr>
              <w:jc w:val="center"/>
              <w:textAlignment w:val="bottom"/>
            </w:pPr>
            <w:r>
              <w:rPr>
                <w:rFonts w:ascii="Arial" w:eastAsia="宋体" w:hAnsi="Arial" w:cs="Arial"/>
                <w:b/>
                <w:bCs/>
                <w:color w:val="000000"/>
                <w:sz w:val="14"/>
                <w:szCs w:val="14"/>
              </w:rPr>
              <w:t>Held-to-Maturity Securities</w:t>
            </w:r>
          </w:p>
        </w:tc>
        <w:tc>
          <w:tcPr>
            <w:tcW w:w="0" w:type="auto"/>
            <w:gridSpan w:val="3"/>
            <w:shd w:val="clear" w:color="auto" w:fill="auto"/>
            <w:tcMar>
              <w:top w:w="0" w:type="dxa"/>
              <w:left w:w="20" w:type="dxa"/>
              <w:bottom w:w="0" w:type="dxa"/>
              <w:right w:w="20" w:type="dxa"/>
            </w:tcMar>
            <w:vAlign w:val="bottom"/>
          </w:tcPr>
          <w:p w14:paraId="74DDEC9D"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EC9E" w14:textId="77777777" w:rsidR="00584EC1" w:rsidRDefault="00871F8D">
            <w:pPr>
              <w:jc w:val="center"/>
              <w:textAlignment w:val="bottom"/>
            </w:pPr>
            <w:r>
              <w:rPr>
                <w:rFonts w:ascii="Arial" w:eastAsia="宋体" w:hAnsi="Arial" w:cs="Arial"/>
                <w:b/>
                <w:bCs/>
                <w:color w:val="000000"/>
                <w:sz w:val="14"/>
                <w:szCs w:val="14"/>
              </w:rPr>
              <w:t>Off-Balance Sheet Commitments</w:t>
            </w:r>
          </w:p>
        </w:tc>
        <w:tc>
          <w:tcPr>
            <w:tcW w:w="0" w:type="auto"/>
            <w:gridSpan w:val="3"/>
            <w:shd w:val="clear" w:color="auto" w:fill="auto"/>
            <w:tcMar>
              <w:top w:w="0" w:type="dxa"/>
              <w:left w:w="20" w:type="dxa"/>
              <w:bottom w:w="0" w:type="dxa"/>
              <w:right w:w="20" w:type="dxa"/>
            </w:tcMar>
            <w:vAlign w:val="bottom"/>
          </w:tcPr>
          <w:p w14:paraId="74DDEC9F"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ECA0" w14:textId="77777777" w:rsidR="00584EC1" w:rsidRDefault="00871F8D">
            <w:pPr>
              <w:jc w:val="center"/>
              <w:textAlignment w:val="bottom"/>
            </w:pPr>
            <w:r>
              <w:rPr>
                <w:rFonts w:ascii="Arial" w:eastAsia="宋体" w:hAnsi="Arial" w:cs="Arial"/>
                <w:b/>
                <w:bCs/>
                <w:color w:val="000000"/>
                <w:sz w:val="14"/>
                <w:szCs w:val="14"/>
              </w:rPr>
              <w:t xml:space="preserve">All Other </w:t>
            </w:r>
          </w:p>
        </w:tc>
        <w:tc>
          <w:tcPr>
            <w:tcW w:w="0" w:type="auto"/>
            <w:gridSpan w:val="3"/>
            <w:shd w:val="clear" w:color="auto" w:fill="auto"/>
            <w:tcMar>
              <w:top w:w="0" w:type="dxa"/>
              <w:left w:w="20" w:type="dxa"/>
              <w:bottom w:w="0" w:type="dxa"/>
              <w:right w:w="20" w:type="dxa"/>
            </w:tcMar>
            <w:vAlign w:val="bottom"/>
          </w:tcPr>
          <w:p w14:paraId="74DDECA1"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ECA2" w14:textId="77777777" w:rsidR="00584EC1" w:rsidRDefault="00871F8D">
            <w:pPr>
              <w:jc w:val="center"/>
              <w:textAlignment w:val="bottom"/>
            </w:pPr>
            <w:r>
              <w:rPr>
                <w:rFonts w:ascii="Arial" w:eastAsia="宋体" w:hAnsi="Arial" w:cs="Arial"/>
                <w:b/>
                <w:bCs/>
                <w:color w:val="000000"/>
                <w:sz w:val="14"/>
                <w:szCs w:val="14"/>
              </w:rPr>
              <w:t>Total</w:t>
            </w:r>
          </w:p>
        </w:tc>
      </w:tr>
      <w:tr w:rsidR="00584EC1" w14:paraId="74DDECB2" w14:textId="77777777">
        <w:tc>
          <w:tcPr>
            <w:tcW w:w="0" w:type="auto"/>
            <w:gridSpan w:val="3"/>
            <w:shd w:val="clear" w:color="auto" w:fill="auto"/>
            <w:tcMar>
              <w:top w:w="40" w:type="dxa"/>
              <w:left w:w="20" w:type="dxa"/>
              <w:bottom w:w="40" w:type="dxa"/>
              <w:right w:w="20" w:type="dxa"/>
            </w:tcMar>
            <w:vAlign w:val="bottom"/>
          </w:tcPr>
          <w:p w14:paraId="74DDECA4" w14:textId="77777777" w:rsidR="00584EC1" w:rsidRDefault="00871F8D">
            <w:pPr>
              <w:textAlignment w:val="bottom"/>
            </w:pPr>
            <w:r>
              <w:rPr>
                <w:rFonts w:ascii="Arial" w:eastAsia="宋体" w:hAnsi="Arial" w:cs="Arial"/>
                <w:b/>
                <w:bCs/>
                <w:color w:val="000000"/>
                <w:sz w:val="14"/>
                <w:szCs w:val="14"/>
              </w:rPr>
              <w:t>Allowance for credit losses: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CA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CA6"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CA7"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CA8"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CA9"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CAA"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CAB"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CAC"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CAD"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CAE"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CAF"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CB0"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CB1" w14:textId="77777777" w:rsidR="00584EC1" w:rsidRDefault="00584EC1">
            <w:pPr>
              <w:rPr>
                <w:rFonts w:ascii="宋体"/>
              </w:rPr>
            </w:pPr>
          </w:p>
        </w:tc>
      </w:tr>
      <w:tr w:rsidR="00584EC1" w14:paraId="74DDECCF" w14:textId="77777777">
        <w:tc>
          <w:tcPr>
            <w:tcW w:w="0" w:type="auto"/>
            <w:gridSpan w:val="3"/>
            <w:shd w:val="clear" w:color="auto" w:fill="CCEEFF"/>
            <w:tcMar>
              <w:top w:w="40" w:type="dxa"/>
              <w:left w:w="20" w:type="dxa"/>
              <w:bottom w:w="40" w:type="dxa"/>
              <w:right w:w="20" w:type="dxa"/>
            </w:tcMar>
            <w:vAlign w:val="bottom"/>
          </w:tcPr>
          <w:p w14:paraId="74DDECB3" w14:textId="77777777" w:rsidR="00584EC1" w:rsidRDefault="00871F8D">
            <w:pPr>
              <w:textAlignment w:val="bottom"/>
            </w:pPr>
            <w:r>
              <w:rPr>
                <w:rFonts w:ascii="Arial" w:eastAsia="宋体" w:hAnsi="Arial" w:cs="Arial"/>
                <w:color w:val="000000"/>
                <w:sz w:val="14"/>
                <w:szCs w:val="14"/>
              </w:rPr>
              <w:t>Beginning balance</w:t>
            </w:r>
          </w:p>
        </w:tc>
        <w:tc>
          <w:tcPr>
            <w:tcW w:w="0" w:type="auto"/>
            <w:shd w:val="clear" w:color="auto" w:fill="CCEEFF"/>
            <w:tcMar>
              <w:top w:w="40" w:type="dxa"/>
              <w:left w:w="20" w:type="dxa"/>
              <w:bottom w:w="40" w:type="dxa"/>
              <w:right w:w="0" w:type="dxa"/>
            </w:tcMar>
            <w:vAlign w:val="bottom"/>
          </w:tcPr>
          <w:p w14:paraId="74DDECB4" w14:textId="77777777" w:rsidR="00584EC1" w:rsidRDefault="00871F8D">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4DDECB5" w14:textId="77777777" w:rsidR="00584EC1" w:rsidRDefault="00871F8D">
            <w:pPr>
              <w:jc w:val="right"/>
              <w:textAlignment w:val="bottom"/>
            </w:pPr>
            <w:r>
              <w:rPr>
                <w:rFonts w:ascii="Arial" w:eastAsia="宋体" w:hAnsi="Arial" w:cs="Arial"/>
                <w:b/>
                <w:bCs/>
                <w:color w:val="000000"/>
                <w:sz w:val="14"/>
                <w:szCs w:val="14"/>
              </w:rPr>
              <w:t>97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ECB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CB7"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ECB8" w14:textId="77777777" w:rsidR="00584EC1" w:rsidRDefault="00871F8D">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4DDECB9" w14:textId="77777777" w:rsidR="00584EC1" w:rsidRDefault="00871F8D">
            <w:pPr>
              <w:jc w:val="right"/>
              <w:textAlignment w:val="bottom"/>
            </w:pPr>
            <w:r>
              <w:rPr>
                <w:rFonts w:ascii="Arial" w:eastAsia="宋体" w:hAnsi="Arial" w:cs="Arial"/>
                <w:b/>
                <w:bCs/>
                <w:color w:val="000000"/>
                <w:sz w:val="14"/>
                <w:szCs w:val="14"/>
              </w:rPr>
              <w:t>17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ECB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CBB"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ECBC" w14:textId="77777777" w:rsidR="00584EC1" w:rsidRDefault="00871F8D">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4DDECBD" w14:textId="77777777" w:rsidR="00584EC1" w:rsidRDefault="00871F8D">
            <w:pPr>
              <w:jc w:val="right"/>
              <w:textAlignment w:val="bottom"/>
            </w:pPr>
            <w:r>
              <w:rPr>
                <w:rFonts w:ascii="Arial" w:eastAsia="宋体" w:hAnsi="Arial" w:cs="Arial"/>
                <w:b/>
                <w:bCs/>
                <w:color w:val="000000"/>
                <w:sz w:val="14"/>
                <w:szCs w:val="14"/>
              </w:rPr>
              <w:t>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ECB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CBF"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ECC0" w14:textId="77777777" w:rsidR="00584EC1" w:rsidRDefault="00871F8D">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4DDECC1" w14:textId="77777777" w:rsidR="00584EC1" w:rsidRDefault="00871F8D">
            <w:pPr>
              <w:jc w:val="right"/>
              <w:textAlignment w:val="bottom"/>
            </w:pPr>
            <w:r>
              <w:rPr>
                <w:rFonts w:ascii="Arial" w:eastAsia="宋体" w:hAnsi="Arial" w:cs="Arial"/>
                <w:b/>
                <w:bCs/>
                <w:color w:val="000000"/>
                <w:sz w:val="14"/>
                <w:szCs w:val="14"/>
              </w:rPr>
              <w:t>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ECC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CC3"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ECC4" w14:textId="77777777" w:rsidR="00584EC1" w:rsidRDefault="00871F8D">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4DDECC5" w14:textId="77777777" w:rsidR="00584EC1" w:rsidRDefault="00871F8D">
            <w:pPr>
              <w:jc w:val="right"/>
              <w:textAlignment w:val="bottom"/>
            </w:pPr>
            <w:r>
              <w:rPr>
                <w:rFonts w:ascii="Arial" w:eastAsia="宋体" w:hAnsi="Arial" w:cs="Arial"/>
                <w:b/>
                <w:bCs/>
                <w:color w:val="000000"/>
                <w:sz w:val="14"/>
                <w:szCs w:val="14"/>
              </w:rPr>
              <w:t>22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ECC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CC7"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ECC8" w14:textId="77777777" w:rsidR="00584EC1" w:rsidRDefault="00871F8D">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4DDECC9" w14:textId="77777777" w:rsidR="00584EC1" w:rsidRDefault="00871F8D">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ECC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CCB"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ECCC" w14:textId="77777777" w:rsidR="00584EC1" w:rsidRDefault="00871F8D">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4DDECCD" w14:textId="77777777" w:rsidR="00584EC1" w:rsidRDefault="00871F8D">
            <w:pPr>
              <w:jc w:val="right"/>
              <w:textAlignment w:val="bottom"/>
            </w:pPr>
            <w:r>
              <w:rPr>
                <w:rFonts w:ascii="Arial" w:eastAsia="宋体" w:hAnsi="Arial" w:cs="Arial"/>
                <w:b/>
                <w:bCs/>
                <w:color w:val="000000"/>
                <w:sz w:val="14"/>
                <w:szCs w:val="14"/>
              </w:rPr>
              <w:t>148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ECCE" w14:textId="77777777" w:rsidR="00584EC1" w:rsidRDefault="00584EC1">
            <w:pPr>
              <w:jc w:val="right"/>
              <w:rPr>
                <w:rFonts w:ascii="宋体"/>
              </w:rPr>
            </w:pPr>
          </w:p>
        </w:tc>
      </w:tr>
      <w:tr w:rsidR="00584EC1" w14:paraId="74DDECE5" w14:textId="77777777">
        <w:tc>
          <w:tcPr>
            <w:tcW w:w="0" w:type="auto"/>
            <w:gridSpan w:val="3"/>
            <w:shd w:val="clear" w:color="auto" w:fill="FFFFFF"/>
            <w:tcMar>
              <w:top w:w="40" w:type="dxa"/>
              <w:left w:w="20" w:type="dxa"/>
              <w:bottom w:w="40" w:type="dxa"/>
              <w:right w:w="20" w:type="dxa"/>
            </w:tcMar>
            <w:vAlign w:val="bottom"/>
          </w:tcPr>
          <w:p w14:paraId="74DDECD0" w14:textId="77777777" w:rsidR="00584EC1" w:rsidRDefault="00871F8D">
            <w:pPr>
              <w:textAlignment w:val="bottom"/>
            </w:pPr>
            <w:r>
              <w:rPr>
                <w:rFonts w:ascii="Arial" w:eastAsia="宋体" w:hAnsi="Arial" w:cs="Arial"/>
                <w:color w:val="000000"/>
                <w:sz w:val="14"/>
                <w:szCs w:val="14"/>
              </w:rPr>
              <w:t>Charge-offs</w:t>
            </w:r>
          </w:p>
        </w:tc>
        <w:tc>
          <w:tcPr>
            <w:tcW w:w="0" w:type="auto"/>
            <w:gridSpan w:val="2"/>
            <w:shd w:val="clear" w:color="auto" w:fill="FFFFFF"/>
            <w:tcMar>
              <w:top w:w="40" w:type="dxa"/>
              <w:left w:w="20" w:type="dxa"/>
              <w:bottom w:w="40" w:type="dxa"/>
              <w:right w:w="0" w:type="dxa"/>
            </w:tcMar>
            <w:vAlign w:val="bottom"/>
          </w:tcPr>
          <w:p w14:paraId="74DDECD1" w14:textId="77777777" w:rsidR="00584EC1" w:rsidRDefault="00871F8D">
            <w:pPr>
              <w:jc w:val="right"/>
              <w:textAlignment w:val="bottom"/>
            </w:pPr>
            <w:r>
              <w:rPr>
                <w:rFonts w:ascii="Arial" w:eastAsia="宋体" w:hAnsi="Arial" w:cs="Arial"/>
                <w:b/>
                <w:bCs/>
                <w:color w:val="000000"/>
                <w:sz w:val="14"/>
                <w:szCs w:val="14"/>
              </w:rPr>
              <w:t>(2)</w:t>
            </w:r>
          </w:p>
        </w:tc>
        <w:tc>
          <w:tcPr>
            <w:tcW w:w="0" w:type="auto"/>
            <w:shd w:val="clear" w:color="auto" w:fill="FFFFFF"/>
            <w:tcMar>
              <w:top w:w="40" w:type="dxa"/>
              <w:left w:w="0" w:type="dxa"/>
              <w:bottom w:w="40" w:type="dxa"/>
              <w:right w:w="20" w:type="dxa"/>
            </w:tcMar>
            <w:vAlign w:val="bottom"/>
          </w:tcPr>
          <w:p w14:paraId="74DDECD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CD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CD4"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CD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CD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CD7"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CD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CD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CDA"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CD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CD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CDD"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CD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CD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CE0"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CE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CE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CE3" w14:textId="77777777" w:rsidR="00584EC1" w:rsidRDefault="00871F8D">
            <w:pPr>
              <w:jc w:val="right"/>
              <w:textAlignment w:val="bottom"/>
            </w:pPr>
            <w:r>
              <w:rPr>
                <w:rFonts w:ascii="Arial" w:eastAsia="宋体" w:hAnsi="Arial" w:cs="Arial"/>
                <w:b/>
                <w:bCs/>
                <w:color w:val="000000"/>
                <w:sz w:val="14"/>
                <w:szCs w:val="14"/>
              </w:rPr>
              <w:t>(2)</w:t>
            </w:r>
          </w:p>
        </w:tc>
        <w:tc>
          <w:tcPr>
            <w:tcW w:w="0" w:type="auto"/>
            <w:shd w:val="clear" w:color="auto" w:fill="FFFFFF"/>
            <w:tcMar>
              <w:top w:w="40" w:type="dxa"/>
              <w:left w:w="0" w:type="dxa"/>
              <w:bottom w:w="40" w:type="dxa"/>
              <w:right w:w="20" w:type="dxa"/>
            </w:tcMar>
            <w:vAlign w:val="bottom"/>
          </w:tcPr>
          <w:p w14:paraId="74DDECE4" w14:textId="77777777" w:rsidR="00584EC1" w:rsidRDefault="00584EC1">
            <w:pPr>
              <w:jc w:val="right"/>
              <w:rPr>
                <w:rFonts w:ascii="宋体"/>
              </w:rPr>
            </w:pPr>
          </w:p>
        </w:tc>
      </w:tr>
      <w:tr w:rsidR="00584EC1" w14:paraId="74DDECFB" w14:textId="77777777">
        <w:tc>
          <w:tcPr>
            <w:tcW w:w="0" w:type="auto"/>
            <w:gridSpan w:val="3"/>
            <w:shd w:val="clear" w:color="auto" w:fill="CCEEFF"/>
            <w:tcMar>
              <w:top w:w="40" w:type="dxa"/>
              <w:left w:w="20" w:type="dxa"/>
              <w:bottom w:w="40" w:type="dxa"/>
              <w:right w:w="20" w:type="dxa"/>
            </w:tcMar>
            <w:vAlign w:val="bottom"/>
          </w:tcPr>
          <w:p w14:paraId="74DDECE6" w14:textId="77777777" w:rsidR="00584EC1" w:rsidRDefault="00871F8D">
            <w:pPr>
              <w:textAlignment w:val="bottom"/>
            </w:pPr>
            <w:r>
              <w:rPr>
                <w:rFonts w:ascii="Arial" w:eastAsia="宋体" w:hAnsi="Arial" w:cs="Arial"/>
                <w:color w:val="000000"/>
                <w:sz w:val="14"/>
                <w:szCs w:val="14"/>
              </w:rPr>
              <w:t>Provision</w:t>
            </w:r>
          </w:p>
        </w:tc>
        <w:tc>
          <w:tcPr>
            <w:tcW w:w="0" w:type="auto"/>
            <w:gridSpan w:val="2"/>
            <w:shd w:val="clear" w:color="auto" w:fill="CCEEFF"/>
            <w:tcMar>
              <w:top w:w="40" w:type="dxa"/>
              <w:left w:w="20" w:type="dxa"/>
              <w:bottom w:w="40" w:type="dxa"/>
              <w:right w:w="0" w:type="dxa"/>
            </w:tcMar>
            <w:vAlign w:val="bottom"/>
          </w:tcPr>
          <w:p w14:paraId="74DDECE7" w14:textId="77777777" w:rsidR="00584EC1" w:rsidRDefault="00871F8D">
            <w:pPr>
              <w:jc w:val="right"/>
              <w:textAlignment w:val="bottom"/>
            </w:pPr>
            <w:r>
              <w:rPr>
                <w:rFonts w:ascii="Arial" w:eastAsia="宋体" w:hAnsi="Arial" w:cs="Arial"/>
                <w:b/>
                <w:bCs/>
                <w:color w:val="000000"/>
                <w:sz w:val="14"/>
                <w:szCs w:val="14"/>
              </w:rPr>
              <w:t>(24)</w:t>
            </w:r>
          </w:p>
        </w:tc>
        <w:tc>
          <w:tcPr>
            <w:tcW w:w="0" w:type="auto"/>
            <w:shd w:val="clear" w:color="auto" w:fill="CCEEFF"/>
            <w:tcMar>
              <w:top w:w="40" w:type="dxa"/>
              <w:left w:w="0" w:type="dxa"/>
              <w:bottom w:w="40" w:type="dxa"/>
              <w:right w:w="20" w:type="dxa"/>
            </w:tcMar>
            <w:vAlign w:val="bottom"/>
          </w:tcPr>
          <w:p w14:paraId="74DDECE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CE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ECEA" w14:textId="77777777" w:rsidR="00584EC1" w:rsidRDefault="00871F8D">
            <w:pPr>
              <w:jc w:val="right"/>
              <w:textAlignment w:val="bottom"/>
            </w:pPr>
            <w:r>
              <w:rPr>
                <w:rFonts w:ascii="Arial" w:eastAsia="宋体" w:hAnsi="Arial" w:cs="Arial"/>
                <w:b/>
                <w:bCs/>
                <w:color w:val="000000"/>
                <w:sz w:val="14"/>
                <w:szCs w:val="14"/>
              </w:rPr>
              <w:t>(5)</w:t>
            </w:r>
          </w:p>
        </w:tc>
        <w:tc>
          <w:tcPr>
            <w:tcW w:w="0" w:type="auto"/>
            <w:shd w:val="clear" w:color="auto" w:fill="CCEEFF"/>
            <w:tcMar>
              <w:top w:w="40" w:type="dxa"/>
              <w:left w:w="0" w:type="dxa"/>
              <w:bottom w:w="40" w:type="dxa"/>
              <w:right w:w="20" w:type="dxa"/>
            </w:tcMar>
            <w:vAlign w:val="bottom"/>
          </w:tcPr>
          <w:p w14:paraId="74DDECE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CEC"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ECED" w14:textId="77777777" w:rsidR="00584EC1" w:rsidRDefault="00871F8D">
            <w:pPr>
              <w:jc w:val="right"/>
              <w:textAlignment w:val="bottom"/>
            </w:pPr>
            <w:r>
              <w:rPr>
                <w:rFonts w:ascii="Arial" w:eastAsia="宋体" w:hAnsi="Arial" w:cs="Arial"/>
                <w:b/>
                <w:bCs/>
                <w:color w:val="000000"/>
                <w:sz w:val="14"/>
                <w:szCs w:val="14"/>
              </w:rPr>
              <w:t>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ECE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CEF"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ECF0" w14:textId="77777777" w:rsidR="00584EC1" w:rsidRDefault="00871F8D">
            <w:pPr>
              <w:jc w:val="right"/>
              <w:textAlignment w:val="bottom"/>
            </w:pPr>
            <w:r>
              <w:rPr>
                <w:rFonts w:ascii="Arial" w:eastAsia="宋体" w:hAnsi="Arial" w:cs="Arial"/>
                <w:b/>
                <w:bCs/>
                <w:color w:val="000000"/>
                <w:sz w:val="14"/>
                <w:szCs w:val="14"/>
              </w:rPr>
              <w:t>(1)</w:t>
            </w:r>
          </w:p>
        </w:tc>
        <w:tc>
          <w:tcPr>
            <w:tcW w:w="0" w:type="auto"/>
            <w:shd w:val="clear" w:color="auto" w:fill="CCEEFF"/>
            <w:tcMar>
              <w:top w:w="40" w:type="dxa"/>
              <w:left w:w="0" w:type="dxa"/>
              <w:bottom w:w="40" w:type="dxa"/>
              <w:right w:w="20" w:type="dxa"/>
            </w:tcMar>
            <w:vAlign w:val="bottom"/>
          </w:tcPr>
          <w:p w14:paraId="74DDECF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CF2"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ECF3" w14:textId="77777777" w:rsidR="00584EC1" w:rsidRDefault="00871F8D">
            <w:pPr>
              <w:jc w:val="right"/>
              <w:textAlignment w:val="bottom"/>
            </w:pPr>
            <w:r>
              <w:rPr>
                <w:rFonts w:ascii="Arial" w:eastAsia="宋体" w:hAnsi="Arial" w:cs="Arial"/>
                <w:b/>
                <w:bCs/>
                <w:color w:val="000000"/>
                <w:sz w:val="14"/>
                <w:szCs w:val="14"/>
              </w:rPr>
              <w:t>(2)</w:t>
            </w:r>
          </w:p>
        </w:tc>
        <w:tc>
          <w:tcPr>
            <w:tcW w:w="0" w:type="auto"/>
            <w:shd w:val="clear" w:color="auto" w:fill="CCEEFF"/>
            <w:tcMar>
              <w:top w:w="40" w:type="dxa"/>
              <w:left w:w="0" w:type="dxa"/>
              <w:bottom w:w="40" w:type="dxa"/>
              <w:right w:w="20" w:type="dxa"/>
            </w:tcMar>
            <w:vAlign w:val="bottom"/>
          </w:tcPr>
          <w:p w14:paraId="74DDECF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CF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ECF6" w14:textId="77777777" w:rsidR="00584EC1" w:rsidRDefault="00871F8D">
            <w:pPr>
              <w:jc w:val="right"/>
              <w:textAlignment w:val="bottom"/>
            </w:pPr>
            <w:r>
              <w:rPr>
                <w:rFonts w:ascii="Arial" w:eastAsia="宋体" w:hAnsi="Arial" w:cs="Arial"/>
                <w:b/>
                <w:bCs/>
                <w:color w:val="000000"/>
                <w:sz w:val="14"/>
                <w:szCs w:val="14"/>
              </w:rPr>
              <w:t>(1)</w:t>
            </w:r>
          </w:p>
        </w:tc>
        <w:tc>
          <w:tcPr>
            <w:tcW w:w="0" w:type="auto"/>
            <w:shd w:val="clear" w:color="auto" w:fill="CCEEFF"/>
            <w:tcMar>
              <w:top w:w="40" w:type="dxa"/>
              <w:left w:w="0" w:type="dxa"/>
              <w:bottom w:w="40" w:type="dxa"/>
              <w:right w:w="20" w:type="dxa"/>
            </w:tcMar>
            <w:vAlign w:val="bottom"/>
          </w:tcPr>
          <w:p w14:paraId="74DDECF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CF8"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ECF9" w14:textId="77777777" w:rsidR="00584EC1" w:rsidRDefault="00871F8D">
            <w:pPr>
              <w:jc w:val="right"/>
              <w:textAlignment w:val="bottom"/>
            </w:pPr>
            <w:r>
              <w:rPr>
                <w:rFonts w:ascii="Arial" w:eastAsia="宋体" w:hAnsi="Arial" w:cs="Arial"/>
                <w:b/>
                <w:bCs/>
                <w:color w:val="000000"/>
                <w:sz w:val="14"/>
                <w:szCs w:val="14"/>
              </w:rPr>
              <w:t>(26)</w:t>
            </w:r>
          </w:p>
        </w:tc>
        <w:tc>
          <w:tcPr>
            <w:tcW w:w="0" w:type="auto"/>
            <w:shd w:val="clear" w:color="auto" w:fill="CCEEFF"/>
            <w:tcMar>
              <w:top w:w="40" w:type="dxa"/>
              <w:left w:w="0" w:type="dxa"/>
              <w:bottom w:w="40" w:type="dxa"/>
              <w:right w:w="20" w:type="dxa"/>
            </w:tcMar>
            <w:vAlign w:val="bottom"/>
          </w:tcPr>
          <w:p w14:paraId="74DDECFA" w14:textId="77777777" w:rsidR="00584EC1" w:rsidRDefault="00584EC1">
            <w:pPr>
              <w:jc w:val="right"/>
              <w:rPr>
                <w:rFonts w:ascii="宋体"/>
              </w:rPr>
            </w:pPr>
          </w:p>
        </w:tc>
      </w:tr>
      <w:tr w:rsidR="00584EC1" w14:paraId="74DDED0A" w14:textId="77777777">
        <w:trPr>
          <w:hidden/>
        </w:trPr>
        <w:tc>
          <w:tcPr>
            <w:tcW w:w="0" w:type="auto"/>
            <w:gridSpan w:val="3"/>
            <w:shd w:val="clear" w:color="auto" w:fill="auto"/>
            <w:vAlign w:val="bottom"/>
          </w:tcPr>
          <w:p w14:paraId="74DDECFC" w14:textId="77777777" w:rsidR="00584EC1" w:rsidRDefault="00584EC1">
            <w:pPr>
              <w:rPr>
                <w:rFonts w:ascii="宋体"/>
                <w:vanish/>
              </w:rPr>
            </w:pPr>
          </w:p>
        </w:tc>
        <w:tc>
          <w:tcPr>
            <w:tcW w:w="0" w:type="auto"/>
            <w:gridSpan w:val="3"/>
            <w:shd w:val="clear" w:color="auto" w:fill="auto"/>
            <w:vAlign w:val="bottom"/>
          </w:tcPr>
          <w:p w14:paraId="74DDECFD" w14:textId="77777777" w:rsidR="00584EC1" w:rsidRDefault="00584EC1">
            <w:pPr>
              <w:rPr>
                <w:rFonts w:ascii="宋体"/>
                <w:vanish/>
              </w:rPr>
            </w:pPr>
          </w:p>
        </w:tc>
        <w:tc>
          <w:tcPr>
            <w:tcW w:w="0" w:type="auto"/>
            <w:gridSpan w:val="3"/>
            <w:shd w:val="clear" w:color="auto" w:fill="auto"/>
            <w:vAlign w:val="bottom"/>
          </w:tcPr>
          <w:p w14:paraId="74DDECFE" w14:textId="77777777" w:rsidR="00584EC1" w:rsidRDefault="00584EC1">
            <w:pPr>
              <w:rPr>
                <w:rFonts w:ascii="宋体"/>
                <w:vanish/>
              </w:rPr>
            </w:pPr>
          </w:p>
        </w:tc>
        <w:tc>
          <w:tcPr>
            <w:tcW w:w="0" w:type="auto"/>
            <w:gridSpan w:val="3"/>
            <w:shd w:val="clear" w:color="auto" w:fill="auto"/>
            <w:vAlign w:val="bottom"/>
          </w:tcPr>
          <w:p w14:paraId="74DDECFF" w14:textId="77777777" w:rsidR="00584EC1" w:rsidRDefault="00584EC1">
            <w:pPr>
              <w:rPr>
                <w:rFonts w:ascii="宋体"/>
                <w:vanish/>
              </w:rPr>
            </w:pPr>
          </w:p>
        </w:tc>
        <w:tc>
          <w:tcPr>
            <w:tcW w:w="0" w:type="auto"/>
            <w:gridSpan w:val="3"/>
            <w:shd w:val="clear" w:color="auto" w:fill="auto"/>
            <w:vAlign w:val="bottom"/>
          </w:tcPr>
          <w:p w14:paraId="74DDED00" w14:textId="77777777" w:rsidR="00584EC1" w:rsidRDefault="00584EC1">
            <w:pPr>
              <w:rPr>
                <w:rFonts w:ascii="宋体"/>
                <w:vanish/>
              </w:rPr>
            </w:pPr>
          </w:p>
        </w:tc>
        <w:tc>
          <w:tcPr>
            <w:tcW w:w="0" w:type="auto"/>
            <w:gridSpan w:val="3"/>
            <w:shd w:val="clear" w:color="auto" w:fill="auto"/>
            <w:vAlign w:val="bottom"/>
          </w:tcPr>
          <w:p w14:paraId="74DDED01" w14:textId="77777777" w:rsidR="00584EC1" w:rsidRDefault="00584EC1">
            <w:pPr>
              <w:rPr>
                <w:rFonts w:ascii="宋体"/>
                <w:vanish/>
              </w:rPr>
            </w:pPr>
          </w:p>
        </w:tc>
        <w:tc>
          <w:tcPr>
            <w:tcW w:w="0" w:type="auto"/>
            <w:gridSpan w:val="3"/>
            <w:shd w:val="clear" w:color="auto" w:fill="auto"/>
            <w:vAlign w:val="bottom"/>
          </w:tcPr>
          <w:p w14:paraId="74DDED02" w14:textId="77777777" w:rsidR="00584EC1" w:rsidRDefault="00584EC1">
            <w:pPr>
              <w:rPr>
                <w:rFonts w:ascii="宋体"/>
                <w:vanish/>
              </w:rPr>
            </w:pPr>
          </w:p>
        </w:tc>
        <w:tc>
          <w:tcPr>
            <w:tcW w:w="0" w:type="auto"/>
            <w:gridSpan w:val="3"/>
            <w:shd w:val="clear" w:color="auto" w:fill="auto"/>
            <w:vAlign w:val="bottom"/>
          </w:tcPr>
          <w:p w14:paraId="74DDED03" w14:textId="77777777" w:rsidR="00584EC1" w:rsidRDefault="00584EC1">
            <w:pPr>
              <w:rPr>
                <w:rFonts w:ascii="宋体"/>
                <w:vanish/>
              </w:rPr>
            </w:pPr>
          </w:p>
        </w:tc>
        <w:tc>
          <w:tcPr>
            <w:tcW w:w="0" w:type="auto"/>
            <w:gridSpan w:val="3"/>
            <w:shd w:val="clear" w:color="auto" w:fill="auto"/>
            <w:vAlign w:val="bottom"/>
          </w:tcPr>
          <w:p w14:paraId="74DDED04" w14:textId="77777777" w:rsidR="00584EC1" w:rsidRDefault="00584EC1">
            <w:pPr>
              <w:rPr>
                <w:rFonts w:ascii="宋体"/>
                <w:vanish/>
              </w:rPr>
            </w:pPr>
          </w:p>
        </w:tc>
        <w:tc>
          <w:tcPr>
            <w:tcW w:w="0" w:type="auto"/>
            <w:gridSpan w:val="3"/>
            <w:shd w:val="clear" w:color="auto" w:fill="auto"/>
            <w:vAlign w:val="bottom"/>
          </w:tcPr>
          <w:p w14:paraId="74DDED05" w14:textId="77777777" w:rsidR="00584EC1" w:rsidRDefault="00584EC1">
            <w:pPr>
              <w:rPr>
                <w:rFonts w:ascii="宋体"/>
                <w:vanish/>
              </w:rPr>
            </w:pPr>
          </w:p>
        </w:tc>
        <w:tc>
          <w:tcPr>
            <w:tcW w:w="0" w:type="auto"/>
            <w:gridSpan w:val="3"/>
            <w:shd w:val="clear" w:color="auto" w:fill="auto"/>
            <w:vAlign w:val="bottom"/>
          </w:tcPr>
          <w:p w14:paraId="74DDED06" w14:textId="77777777" w:rsidR="00584EC1" w:rsidRDefault="00584EC1">
            <w:pPr>
              <w:rPr>
                <w:rFonts w:ascii="宋体"/>
                <w:vanish/>
              </w:rPr>
            </w:pPr>
          </w:p>
        </w:tc>
        <w:tc>
          <w:tcPr>
            <w:tcW w:w="0" w:type="auto"/>
            <w:gridSpan w:val="3"/>
            <w:shd w:val="clear" w:color="auto" w:fill="auto"/>
            <w:vAlign w:val="bottom"/>
          </w:tcPr>
          <w:p w14:paraId="74DDED07" w14:textId="77777777" w:rsidR="00584EC1" w:rsidRDefault="00584EC1">
            <w:pPr>
              <w:rPr>
                <w:rFonts w:ascii="宋体"/>
                <w:vanish/>
              </w:rPr>
            </w:pPr>
          </w:p>
        </w:tc>
        <w:tc>
          <w:tcPr>
            <w:tcW w:w="0" w:type="auto"/>
            <w:gridSpan w:val="3"/>
            <w:shd w:val="clear" w:color="auto" w:fill="auto"/>
            <w:vAlign w:val="bottom"/>
          </w:tcPr>
          <w:p w14:paraId="74DDED08" w14:textId="77777777" w:rsidR="00584EC1" w:rsidRDefault="00584EC1">
            <w:pPr>
              <w:rPr>
                <w:rFonts w:ascii="宋体"/>
                <w:vanish/>
              </w:rPr>
            </w:pPr>
          </w:p>
        </w:tc>
        <w:tc>
          <w:tcPr>
            <w:tcW w:w="0" w:type="auto"/>
            <w:gridSpan w:val="3"/>
            <w:shd w:val="clear" w:color="auto" w:fill="auto"/>
            <w:vAlign w:val="bottom"/>
          </w:tcPr>
          <w:p w14:paraId="74DDED09" w14:textId="77777777" w:rsidR="00584EC1" w:rsidRDefault="00584EC1">
            <w:pPr>
              <w:rPr>
                <w:rFonts w:ascii="宋体"/>
                <w:vanish/>
              </w:rPr>
            </w:pPr>
          </w:p>
        </w:tc>
      </w:tr>
      <w:tr w:rsidR="00584EC1" w14:paraId="74DDED20" w14:textId="77777777">
        <w:tc>
          <w:tcPr>
            <w:tcW w:w="0" w:type="auto"/>
            <w:gridSpan w:val="3"/>
            <w:shd w:val="clear" w:color="auto" w:fill="FFFFFF"/>
            <w:tcMar>
              <w:top w:w="40" w:type="dxa"/>
              <w:left w:w="20" w:type="dxa"/>
              <w:bottom w:w="40" w:type="dxa"/>
              <w:right w:w="20" w:type="dxa"/>
            </w:tcMar>
            <w:vAlign w:val="bottom"/>
          </w:tcPr>
          <w:p w14:paraId="74DDED0B" w14:textId="77777777" w:rsidR="00584EC1" w:rsidRDefault="00871F8D">
            <w:pPr>
              <w:textAlignment w:val="bottom"/>
            </w:pPr>
            <w:r>
              <w:rPr>
                <w:rFonts w:ascii="Arial" w:eastAsia="宋体" w:hAnsi="Arial" w:cs="Arial"/>
                <w:color w:val="000000"/>
                <w:sz w:val="14"/>
                <w:szCs w:val="14"/>
              </w:rPr>
              <w:t>Other</w:t>
            </w:r>
            <w:r>
              <w:rPr>
                <w:rFonts w:ascii="Arial" w:eastAsia="宋体" w:hAnsi="Arial" w:cs="Arial"/>
                <w:color w:val="000000"/>
                <w:sz w:val="9"/>
                <w:szCs w:val="9"/>
              </w:rPr>
              <w:t>(2)</w:t>
            </w:r>
          </w:p>
        </w:tc>
        <w:tc>
          <w:tcPr>
            <w:tcW w:w="0" w:type="auto"/>
            <w:gridSpan w:val="2"/>
            <w:shd w:val="clear" w:color="auto" w:fill="FFFFFF"/>
            <w:tcMar>
              <w:top w:w="40" w:type="dxa"/>
              <w:left w:w="20" w:type="dxa"/>
              <w:bottom w:w="40" w:type="dxa"/>
              <w:right w:w="0" w:type="dxa"/>
            </w:tcMar>
            <w:vAlign w:val="bottom"/>
          </w:tcPr>
          <w:p w14:paraId="74DDED0C" w14:textId="77777777" w:rsidR="00584EC1" w:rsidRDefault="00871F8D">
            <w:pPr>
              <w:jc w:val="right"/>
              <w:textAlignment w:val="bottom"/>
            </w:pPr>
            <w:r>
              <w:rPr>
                <w:rFonts w:ascii="Arial" w:eastAsia="宋体" w:hAnsi="Arial" w:cs="Arial"/>
                <w:b/>
                <w:bCs/>
                <w:color w:val="000000"/>
                <w:sz w:val="14"/>
                <w:szCs w:val="14"/>
              </w:rPr>
              <w:t>(3)</w:t>
            </w:r>
          </w:p>
        </w:tc>
        <w:tc>
          <w:tcPr>
            <w:tcW w:w="0" w:type="auto"/>
            <w:shd w:val="clear" w:color="auto" w:fill="FFFFFF"/>
            <w:tcMar>
              <w:top w:w="40" w:type="dxa"/>
              <w:left w:w="0" w:type="dxa"/>
              <w:bottom w:w="40" w:type="dxa"/>
              <w:right w:w="20" w:type="dxa"/>
            </w:tcMar>
            <w:vAlign w:val="bottom"/>
          </w:tcPr>
          <w:p w14:paraId="74DDED0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D0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D0F"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D1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D1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D12"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D1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D1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D15"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D1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D1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D18"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D1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D1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D1B"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D1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D1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D1E" w14:textId="77777777" w:rsidR="00584EC1" w:rsidRDefault="00871F8D">
            <w:pPr>
              <w:jc w:val="right"/>
              <w:textAlignment w:val="bottom"/>
            </w:pPr>
            <w:r>
              <w:rPr>
                <w:rFonts w:ascii="Arial" w:eastAsia="宋体" w:hAnsi="Arial" w:cs="Arial"/>
                <w:b/>
                <w:bCs/>
                <w:color w:val="000000"/>
                <w:sz w:val="14"/>
                <w:szCs w:val="14"/>
              </w:rPr>
              <w:t>(3)</w:t>
            </w:r>
          </w:p>
        </w:tc>
        <w:tc>
          <w:tcPr>
            <w:tcW w:w="0" w:type="auto"/>
            <w:shd w:val="clear" w:color="auto" w:fill="FFFFFF"/>
            <w:tcMar>
              <w:top w:w="40" w:type="dxa"/>
              <w:left w:w="0" w:type="dxa"/>
              <w:bottom w:w="40" w:type="dxa"/>
              <w:right w:w="20" w:type="dxa"/>
            </w:tcMar>
            <w:vAlign w:val="bottom"/>
          </w:tcPr>
          <w:p w14:paraId="74DDED1F" w14:textId="77777777" w:rsidR="00584EC1" w:rsidRDefault="00584EC1">
            <w:pPr>
              <w:jc w:val="right"/>
              <w:rPr>
                <w:rFonts w:ascii="宋体"/>
              </w:rPr>
            </w:pPr>
          </w:p>
        </w:tc>
      </w:tr>
      <w:tr w:rsidR="00584EC1" w14:paraId="74DDED2F" w14:textId="77777777">
        <w:trPr>
          <w:hidden/>
        </w:trPr>
        <w:tc>
          <w:tcPr>
            <w:tcW w:w="0" w:type="auto"/>
            <w:gridSpan w:val="3"/>
            <w:shd w:val="clear" w:color="auto" w:fill="auto"/>
            <w:vAlign w:val="bottom"/>
          </w:tcPr>
          <w:p w14:paraId="74DDED21" w14:textId="77777777" w:rsidR="00584EC1" w:rsidRDefault="00584EC1">
            <w:pPr>
              <w:rPr>
                <w:rFonts w:ascii="宋体"/>
                <w:vanish/>
              </w:rPr>
            </w:pPr>
          </w:p>
        </w:tc>
        <w:tc>
          <w:tcPr>
            <w:tcW w:w="0" w:type="auto"/>
            <w:gridSpan w:val="3"/>
            <w:shd w:val="clear" w:color="auto" w:fill="auto"/>
            <w:vAlign w:val="bottom"/>
          </w:tcPr>
          <w:p w14:paraId="74DDED22" w14:textId="77777777" w:rsidR="00584EC1" w:rsidRDefault="00584EC1">
            <w:pPr>
              <w:rPr>
                <w:rFonts w:ascii="宋体"/>
                <w:vanish/>
              </w:rPr>
            </w:pPr>
          </w:p>
        </w:tc>
        <w:tc>
          <w:tcPr>
            <w:tcW w:w="0" w:type="auto"/>
            <w:gridSpan w:val="3"/>
            <w:shd w:val="clear" w:color="auto" w:fill="auto"/>
            <w:vAlign w:val="bottom"/>
          </w:tcPr>
          <w:p w14:paraId="74DDED23" w14:textId="77777777" w:rsidR="00584EC1" w:rsidRDefault="00584EC1">
            <w:pPr>
              <w:rPr>
                <w:rFonts w:ascii="宋体"/>
                <w:vanish/>
              </w:rPr>
            </w:pPr>
          </w:p>
        </w:tc>
        <w:tc>
          <w:tcPr>
            <w:tcW w:w="0" w:type="auto"/>
            <w:gridSpan w:val="3"/>
            <w:shd w:val="clear" w:color="auto" w:fill="auto"/>
            <w:vAlign w:val="bottom"/>
          </w:tcPr>
          <w:p w14:paraId="74DDED24" w14:textId="77777777" w:rsidR="00584EC1" w:rsidRDefault="00584EC1">
            <w:pPr>
              <w:rPr>
                <w:rFonts w:ascii="宋体"/>
                <w:vanish/>
              </w:rPr>
            </w:pPr>
          </w:p>
        </w:tc>
        <w:tc>
          <w:tcPr>
            <w:tcW w:w="0" w:type="auto"/>
            <w:gridSpan w:val="3"/>
            <w:shd w:val="clear" w:color="auto" w:fill="auto"/>
            <w:vAlign w:val="bottom"/>
          </w:tcPr>
          <w:p w14:paraId="74DDED25" w14:textId="77777777" w:rsidR="00584EC1" w:rsidRDefault="00584EC1">
            <w:pPr>
              <w:rPr>
                <w:rFonts w:ascii="宋体"/>
                <w:vanish/>
              </w:rPr>
            </w:pPr>
          </w:p>
        </w:tc>
        <w:tc>
          <w:tcPr>
            <w:tcW w:w="0" w:type="auto"/>
            <w:gridSpan w:val="3"/>
            <w:shd w:val="clear" w:color="auto" w:fill="auto"/>
            <w:vAlign w:val="bottom"/>
          </w:tcPr>
          <w:p w14:paraId="74DDED26" w14:textId="77777777" w:rsidR="00584EC1" w:rsidRDefault="00584EC1">
            <w:pPr>
              <w:rPr>
                <w:rFonts w:ascii="宋体"/>
                <w:vanish/>
              </w:rPr>
            </w:pPr>
          </w:p>
        </w:tc>
        <w:tc>
          <w:tcPr>
            <w:tcW w:w="0" w:type="auto"/>
            <w:gridSpan w:val="3"/>
            <w:shd w:val="clear" w:color="auto" w:fill="auto"/>
            <w:vAlign w:val="bottom"/>
          </w:tcPr>
          <w:p w14:paraId="74DDED27" w14:textId="77777777" w:rsidR="00584EC1" w:rsidRDefault="00584EC1">
            <w:pPr>
              <w:rPr>
                <w:rFonts w:ascii="宋体"/>
                <w:vanish/>
              </w:rPr>
            </w:pPr>
          </w:p>
        </w:tc>
        <w:tc>
          <w:tcPr>
            <w:tcW w:w="0" w:type="auto"/>
            <w:gridSpan w:val="3"/>
            <w:shd w:val="clear" w:color="auto" w:fill="auto"/>
            <w:vAlign w:val="bottom"/>
          </w:tcPr>
          <w:p w14:paraId="74DDED28" w14:textId="77777777" w:rsidR="00584EC1" w:rsidRDefault="00584EC1">
            <w:pPr>
              <w:rPr>
                <w:rFonts w:ascii="宋体"/>
                <w:vanish/>
              </w:rPr>
            </w:pPr>
          </w:p>
        </w:tc>
        <w:tc>
          <w:tcPr>
            <w:tcW w:w="0" w:type="auto"/>
            <w:gridSpan w:val="3"/>
            <w:shd w:val="clear" w:color="auto" w:fill="auto"/>
            <w:vAlign w:val="bottom"/>
          </w:tcPr>
          <w:p w14:paraId="74DDED29" w14:textId="77777777" w:rsidR="00584EC1" w:rsidRDefault="00584EC1">
            <w:pPr>
              <w:rPr>
                <w:rFonts w:ascii="宋体"/>
                <w:vanish/>
              </w:rPr>
            </w:pPr>
          </w:p>
        </w:tc>
        <w:tc>
          <w:tcPr>
            <w:tcW w:w="0" w:type="auto"/>
            <w:gridSpan w:val="3"/>
            <w:shd w:val="clear" w:color="auto" w:fill="auto"/>
            <w:vAlign w:val="bottom"/>
          </w:tcPr>
          <w:p w14:paraId="74DDED2A" w14:textId="77777777" w:rsidR="00584EC1" w:rsidRDefault="00584EC1">
            <w:pPr>
              <w:rPr>
                <w:rFonts w:ascii="宋体"/>
                <w:vanish/>
              </w:rPr>
            </w:pPr>
          </w:p>
        </w:tc>
        <w:tc>
          <w:tcPr>
            <w:tcW w:w="0" w:type="auto"/>
            <w:gridSpan w:val="3"/>
            <w:shd w:val="clear" w:color="auto" w:fill="auto"/>
            <w:vAlign w:val="bottom"/>
          </w:tcPr>
          <w:p w14:paraId="74DDED2B" w14:textId="77777777" w:rsidR="00584EC1" w:rsidRDefault="00584EC1">
            <w:pPr>
              <w:rPr>
                <w:rFonts w:ascii="宋体"/>
                <w:vanish/>
              </w:rPr>
            </w:pPr>
          </w:p>
        </w:tc>
        <w:tc>
          <w:tcPr>
            <w:tcW w:w="0" w:type="auto"/>
            <w:gridSpan w:val="3"/>
            <w:shd w:val="clear" w:color="auto" w:fill="auto"/>
            <w:vAlign w:val="bottom"/>
          </w:tcPr>
          <w:p w14:paraId="74DDED2C" w14:textId="77777777" w:rsidR="00584EC1" w:rsidRDefault="00584EC1">
            <w:pPr>
              <w:rPr>
                <w:rFonts w:ascii="宋体"/>
                <w:vanish/>
              </w:rPr>
            </w:pPr>
          </w:p>
        </w:tc>
        <w:tc>
          <w:tcPr>
            <w:tcW w:w="0" w:type="auto"/>
            <w:gridSpan w:val="3"/>
            <w:shd w:val="clear" w:color="auto" w:fill="auto"/>
            <w:vAlign w:val="bottom"/>
          </w:tcPr>
          <w:p w14:paraId="74DDED2D" w14:textId="77777777" w:rsidR="00584EC1" w:rsidRDefault="00584EC1">
            <w:pPr>
              <w:rPr>
                <w:rFonts w:ascii="宋体"/>
                <w:vanish/>
              </w:rPr>
            </w:pPr>
          </w:p>
        </w:tc>
        <w:tc>
          <w:tcPr>
            <w:tcW w:w="0" w:type="auto"/>
            <w:gridSpan w:val="3"/>
            <w:shd w:val="clear" w:color="auto" w:fill="auto"/>
            <w:vAlign w:val="bottom"/>
          </w:tcPr>
          <w:p w14:paraId="74DDED2E" w14:textId="77777777" w:rsidR="00584EC1" w:rsidRDefault="00584EC1">
            <w:pPr>
              <w:rPr>
                <w:rFonts w:ascii="宋体"/>
                <w:vanish/>
              </w:rPr>
            </w:pPr>
          </w:p>
        </w:tc>
      </w:tr>
      <w:tr w:rsidR="00584EC1" w14:paraId="74DDED4C" w14:textId="77777777">
        <w:tc>
          <w:tcPr>
            <w:tcW w:w="0" w:type="auto"/>
            <w:gridSpan w:val="3"/>
            <w:shd w:val="clear" w:color="auto" w:fill="CCEEFF"/>
            <w:tcMar>
              <w:top w:w="40" w:type="dxa"/>
              <w:left w:w="20" w:type="dxa"/>
              <w:bottom w:w="40" w:type="dxa"/>
              <w:right w:w="20" w:type="dxa"/>
            </w:tcMar>
            <w:vAlign w:val="bottom"/>
          </w:tcPr>
          <w:p w14:paraId="74DDED30" w14:textId="77777777" w:rsidR="00584EC1" w:rsidRDefault="00871F8D">
            <w:pPr>
              <w:textAlignment w:val="bottom"/>
            </w:pPr>
            <w:r>
              <w:rPr>
                <w:rFonts w:ascii="Arial" w:eastAsia="宋体" w:hAnsi="Arial" w:cs="Arial"/>
                <w:color w:val="000000"/>
                <w:sz w:val="14"/>
                <w:szCs w:val="14"/>
              </w:rPr>
              <w:t>Ending balance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ED31"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ED32" w14:textId="77777777" w:rsidR="00584EC1" w:rsidRDefault="00871F8D">
            <w:pPr>
              <w:jc w:val="right"/>
              <w:textAlignment w:val="bottom"/>
            </w:pPr>
            <w:r>
              <w:rPr>
                <w:rFonts w:ascii="Arial" w:eastAsia="宋体" w:hAnsi="Arial" w:cs="Arial"/>
                <w:b/>
                <w:bCs/>
                <w:color w:val="000000"/>
                <w:sz w:val="14"/>
                <w:szCs w:val="14"/>
              </w:rPr>
              <w:t>68</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ED3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D34"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ED35"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ED36" w14:textId="77777777" w:rsidR="00584EC1" w:rsidRDefault="00871F8D">
            <w:pPr>
              <w:jc w:val="right"/>
              <w:textAlignment w:val="bottom"/>
            </w:pPr>
            <w:r>
              <w:rPr>
                <w:rFonts w:ascii="Arial" w:eastAsia="宋体" w:hAnsi="Arial" w:cs="Arial"/>
                <w:b/>
                <w:bCs/>
                <w:color w:val="000000"/>
                <w:sz w:val="14"/>
                <w:szCs w:val="14"/>
              </w:rPr>
              <w:t>12</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ED3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D38"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ED39"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ED3A" w14:textId="77777777" w:rsidR="00584EC1" w:rsidRDefault="00871F8D">
            <w:pPr>
              <w:jc w:val="right"/>
              <w:textAlignment w:val="bottom"/>
            </w:pPr>
            <w:r>
              <w:rPr>
                <w:rFonts w:ascii="Arial" w:eastAsia="宋体" w:hAnsi="Arial" w:cs="Arial"/>
                <w:b/>
                <w:bCs/>
                <w:color w:val="000000"/>
                <w:sz w:val="14"/>
                <w:szCs w:val="14"/>
              </w:rPr>
              <w:t>15</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ED3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D3C"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ED3D"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ED3E" w14:textId="77777777" w:rsidR="00584EC1" w:rsidRDefault="00871F8D">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ED3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D40"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ED41"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ED42" w14:textId="77777777" w:rsidR="00584EC1" w:rsidRDefault="00871F8D">
            <w:pPr>
              <w:jc w:val="right"/>
              <w:textAlignment w:val="bottom"/>
            </w:pPr>
            <w:r>
              <w:rPr>
                <w:rFonts w:ascii="Arial" w:eastAsia="宋体" w:hAnsi="Arial" w:cs="Arial"/>
                <w:b/>
                <w:bCs/>
                <w:color w:val="000000"/>
                <w:sz w:val="14"/>
                <w:szCs w:val="14"/>
              </w:rPr>
              <w:t>20</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ED4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D44"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ED45"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ED46"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ED4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D48"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ED49"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ED4A" w14:textId="77777777" w:rsidR="00584EC1" w:rsidRDefault="00871F8D">
            <w:pPr>
              <w:jc w:val="right"/>
              <w:textAlignment w:val="bottom"/>
            </w:pPr>
            <w:r>
              <w:rPr>
                <w:rFonts w:ascii="Arial" w:eastAsia="宋体" w:hAnsi="Arial" w:cs="Arial"/>
                <w:b/>
                <w:bCs/>
                <w:color w:val="000000"/>
                <w:sz w:val="14"/>
                <w:szCs w:val="14"/>
              </w:rPr>
              <w:t>117</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ED4B" w14:textId="77777777" w:rsidR="00584EC1" w:rsidRDefault="00584EC1">
            <w:pPr>
              <w:jc w:val="right"/>
              <w:rPr>
                <w:rFonts w:ascii="宋体"/>
              </w:rPr>
            </w:pPr>
          </w:p>
        </w:tc>
      </w:tr>
    </w:tbl>
    <w:p w14:paraId="74DDED4D" w14:textId="77777777" w:rsidR="00584EC1" w:rsidRDefault="00584EC1">
      <w:pPr>
        <w:rPr>
          <w:vanish/>
        </w:rPr>
      </w:pPr>
    </w:p>
    <w:tbl>
      <w:tblPr>
        <w:tblW w:w="2200" w:type="pct"/>
        <w:tblCellMar>
          <w:top w:w="15" w:type="dxa"/>
          <w:left w:w="15" w:type="dxa"/>
          <w:bottom w:w="15" w:type="dxa"/>
          <w:right w:w="15" w:type="dxa"/>
        </w:tblCellMar>
        <w:tblLook w:val="04A0" w:firstRow="1" w:lastRow="0" w:firstColumn="1" w:lastColumn="0" w:noHBand="0" w:noVBand="1"/>
      </w:tblPr>
      <w:tblGrid>
        <w:gridCol w:w="36"/>
        <w:gridCol w:w="2248"/>
        <w:gridCol w:w="36"/>
        <w:gridCol w:w="36"/>
        <w:gridCol w:w="36"/>
        <w:gridCol w:w="36"/>
        <w:gridCol w:w="36"/>
        <w:gridCol w:w="1168"/>
        <w:gridCol w:w="36"/>
      </w:tblGrid>
      <w:tr w:rsidR="00584EC1" w14:paraId="74DDED57" w14:textId="77777777">
        <w:tc>
          <w:tcPr>
            <w:tcW w:w="50" w:type="pct"/>
            <w:shd w:val="clear" w:color="auto" w:fill="auto"/>
            <w:vAlign w:val="bottom"/>
          </w:tcPr>
          <w:p w14:paraId="74DDED4E" w14:textId="77777777" w:rsidR="00584EC1" w:rsidRDefault="00584EC1">
            <w:pPr>
              <w:rPr>
                <w:rFonts w:ascii="宋体"/>
              </w:rPr>
            </w:pPr>
          </w:p>
        </w:tc>
        <w:tc>
          <w:tcPr>
            <w:tcW w:w="3134" w:type="pct"/>
            <w:shd w:val="clear" w:color="auto" w:fill="auto"/>
            <w:vAlign w:val="bottom"/>
          </w:tcPr>
          <w:p w14:paraId="74DDED4F" w14:textId="77777777" w:rsidR="00584EC1" w:rsidRDefault="00584EC1">
            <w:pPr>
              <w:rPr>
                <w:rFonts w:ascii="宋体"/>
              </w:rPr>
            </w:pPr>
          </w:p>
        </w:tc>
        <w:tc>
          <w:tcPr>
            <w:tcW w:w="5" w:type="pct"/>
            <w:shd w:val="clear" w:color="auto" w:fill="auto"/>
            <w:vAlign w:val="bottom"/>
          </w:tcPr>
          <w:p w14:paraId="74DDED50" w14:textId="77777777" w:rsidR="00584EC1" w:rsidRDefault="00584EC1">
            <w:pPr>
              <w:rPr>
                <w:rFonts w:ascii="宋体"/>
              </w:rPr>
            </w:pPr>
          </w:p>
        </w:tc>
        <w:tc>
          <w:tcPr>
            <w:tcW w:w="5" w:type="pct"/>
            <w:shd w:val="clear" w:color="auto" w:fill="auto"/>
            <w:vAlign w:val="bottom"/>
          </w:tcPr>
          <w:p w14:paraId="74DDED51" w14:textId="77777777" w:rsidR="00584EC1" w:rsidRDefault="00584EC1">
            <w:pPr>
              <w:rPr>
                <w:rFonts w:ascii="宋体"/>
              </w:rPr>
            </w:pPr>
          </w:p>
        </w:tc>
        <w:tc>
          <w:tcPr>
            <w:tcW w:w="73" w:type="pct"/>
            <w:shd w:val="clear" w:color="auto" w:fill="auto"/>
            <w:vAlign w:val="bottom"/>
          </w:tcPr>
          <w:p w14:paraId="74DDED52" w14:textId="77777777" w:rsidR="00584EC1" w:rsidRDefault="00584EC1">
            <w:pPr>
              <w:rPr>
                <w:rFonts w:ascii="宋体"/>
              </w:rPr>
            </w:pPr>
          </w:p>
        </w:tc>
        <w:tc>
          <w:tcPr>
            <w:tcW w:w="5" w:type="pct"/>
            <w:shd w:val="clear" w:color="auto" w:fill="auto"/>
            <w:vAlign w:val="bottom"/>
          </w:tcPr>
          <w:p w14:paraId="74DDED53" w14:textId="77777777" w:rsidR="00584EC1" w:rsidRDefault="00584EC1">
            <w:pPr>
              <w:rPr>
                <w:rFonts w:ascii="宋体"/>
              </w:rPr>
            </w:pPr>
          </w:p>
        </w:tc>
        <w:tc>
          <w:tcPr>
            <w:tcW w:w="50" w:type="pct"/>
            <w:shd w:val="clear" w:color="auto" w:fill="auto"/>
            <w:vAlign w:val="bottom"/>
          </w:tcPr>
          <w:p w14:paraId="74DDED54" w14:textId="77777777" w:rsidR="00584EC1" w:rsidRDefault="00584EC1">
            <w:pPr>
              <w:rPr>
                <w:rFonts w:ascii="宋体"/>
              </w:rPr>
            </w:pPr>
          </w:p>
        </w:tc>
        <w:tc>
          <w:tcPr>
            <w:tcW w:w="1672" w:type="pct"/>
            <w:shd w:val="clear" w:color="auto" w:fill="auto"/>
            <w:vAlign w:val="bottom"/>
          </w:tcPr>
          <w:p w14:paraId="74DDED55" w14:textId="77777777" w:rsidR="00584EC1" w:rsidRDefault="00584EC1">
            <w:pPr>
              <w:rPr>
                <w:rFonts w:ascii="宋体"/>
              </w:rPr>
            </w:pPr>
          </w:p>
        </w:tc>
        <w:tc>
          <w:tcPr>
            <w:tcW w:w="5" w:type="pct"/>
            <w:shd w:val="clear" w:color="auto" w:fill="auto"/>
            <w:vAlign w:val="bottom"/>
          </w:tcPr>
          <w:p w14:paraId="74DDED56" w14:textId="77777777" w:rsidR="00584EC1" w:rsidRDefault="00584EC1">
            <w:pPr>
              <w:rPr>
                <w:rFonts w:ascii="宋体"/>
              </w:rPr>
            </w:pPr>
          </w:p>
        </w:tc>
      </w:tr>
      <w:tr w:rsidR="00584EC1" w14:paraId="74DDED5B"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4DDED58"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D59"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D5A" w14:textId="77777777" w:rsidR="00584EC1" w:rsidRDefault="00584EC1">
            <w:pPr>
              <w:rPr>
                <w:rFonts w:ascii="宋体"/>
              </w:rPr>
            </w:pPr>
          </w:p>
        </w:tc>
      </w:tr>
    </w:tbl>
    <w:p w14:paraId="74DDED5C" w14:textId="77777777" w:rsidR="00584EC1" w:rsidRDefault="00871F8D">
      <w:pPr>
        <w:spacing w:before="60"/>
      </w:pPr>
      <w:r>
        <w:rPr>
          <w:rFonts w:ascii="Arial" w:eastAsia="宋体" w:hAnsi="Arial" w:cs="Arial"/>
          <w:color w:val="000000"/>
          <w:sz w:val="8"/>
          <w:szCs w:val="8"/>
        </w:rPr>
        <w:t>(1)</w:t>
      </w:r>
      <w:r>
        <w:rPr>
          <w:rFonts w:ascii="Arial" w:eastAsia="宋体" w:hAnsi="Arial" w:cs="Arial"/>
          <w:color w:val="000000"/>
          <w:sz w:val="13"/>
          <w:szCs w:val="13"/>
        </w:rPr>
        <w:t xml:space="preserve"> Includes $11 million allowance for credit losses on Fund Finance loans and $1 million on other loans.</w:t>
      </w:r>
    </w:p>
    <w:p w14:paraId="74DDED5D" w14:textId="77777777" w:rsidR="00584EC1" w:rsidRDefault="00871F8D">
      <w:pPr>
        <w:spacing w:before="60"/>
      </w:pPr>
      <w:r>
        <w:rPr>
          <w:rFonts w:ascii="Arial" w:eastAsia="宋体" w:hAnsi="Arial" w:cs="Arial"/>
          <w:color w:val="000000"/>
          <w:sz w:val="8"/>
          <w:szCs w:val="8"/>
        </w:rPr>
        <w:t>(2)</w:t>
      </w:r>
      <w:r>
        <w:rPr>
          <w:rFonts w:ascii="Arial" w:eastAsia="宋体" w:hAnsi="Arial" w:cs="Arial"/>
          <w:color w:val="000000"/>
          <w:sz w:val="13"/>
          <w:szCs w:val="13"/>
        </w:rPr>
        <w:t xml:space="preserve"> The amount includes primarily foreign currency translation.</w:t>
      </w:r>
    </w:p>
    <w:p w14:paraId="74DDED5E" w14:textId="77777777" w:rsidR="00584EC1" w:rsidRDefault="00871F8D">
      <w:pPr>
        <w:ind w:firstLine="450"/>
        <w:jc w:val="right"/>
      </w:pPr>
      <w:r>
        <w:rPr>
          <w:rFonts w:ascii="Arial" w:eastAsia="宋体" w:hAnsi="Arial" w:cs="Arial"/>
          <w:color w:val="000000"/>
          <w:sz w:val="18"/>
          <w:szCs w:val="18"/>
        </w:rPr>
        <w:t>State Street Corporation | 73</w:t>
      </w:r>
    </w:p>
    <w:p w14:paraId="74DDED5F" w14:textId="77777777" w:rsidR="00584EC1" w:rsidRDefault="00584EC1">
      <w:pPr>
        <w:ind w:firstLine="450"/>
        <w:jc w:val="center"/>
      </w:pPr>
    </w:p>
    <w:p w14:paraId="74DDED60" w14:textId="77777777" w:rsidR="00584EC1" w:rsidRDefault="00871F8D">
      <w:r>
        <w:pict w14:anchorId="74DE2A37">
          <v:rect id="_x0000_i1097" style="width:415.3pt;height:1.5pt" o:hralign="center" o:hrstd="t" o:hr="t" fillcolor="#a0a0a0" stroked="f"/>
        </w:pict>
      </w:r>
    </w:p>
    <w:p w14:paraId="74DDED61" w14:textId="77777777" w:rsidR="00584EC1" w:rsidRDefault="00871F8D">
      <w:pPr>
        <w:ind w:firstLine="450"/>
        <w:jc w:val="center"/>
      </w:pPr>
      <w:r>
        <w:rPr>
          <w:rFonts w:ascii="Arial" w:eastAsia="宋体" w:hAnsi="Arial" w:cs="Arial"/>
          <w:b/>
          <w:bCs/>
          <w:color w:val="000000"/>
          <w:sz w:val="20"/>
          <w:szCs w:val="20"/>
        </w:rPr>
        <w:t>STATE STREET CORPORATION</w:t>
      </w:r>
    </w:p>
    <w:p w14:paraId="74DDED62" w14:textId="77777777" w:rsidR="00584EC1" w:rsidRDefault="00871F8D">
      <w:pPr>
        <w:ind w:firstLine="450"/>
        <w:jc w:val="center"/>
      </w:pPr>
      <w:r>
        <w:rPr>
          <w:rFonts w:ascii="Arial" w:eastAsia="宋体" w:hAnsi="Arial" w:cs="Arial"/>
          <w:b/>
          <w:bCs/>
          <w:color w:val="000000"/>
          <w:sz w:val="20"/>
          <w:szCs w:val="20"/>
        </w:rPr>
        <w:t>CONDENSED NOTES TO CONSOLIDATED</w:t>
      </w:r>
      <w:r>
        <w:rPr>
          <w:rFonts w:ascii="Arial" w:eastAsia="宋体" w:hAnsi="Arial" w:cs="Arial"/>
          <w:b/>
          <w:bCs/>
          <w:color w:val="000000"/>
          <w:sz w:val="20"/>
          <w:szCs w:val="20"/>
        </w:rPr>
        <w:t xml:space="preserve"> FINANCIAL STATEMENTS</w:t>
      </w:r>
    </w:p>
    <w:p w14:paraId="74DDED63" w14:textId="77777777" w:rsidR="00584EC1" w:rsidRDefault="00871F8D">
      <w:pPr>
        <w:ind w:firstLine="450"/>
        <w:jc w:val="center"/>
      </w:pPr>
      <w:r>
        <w:rPr>
          <w:rFonts w:ascii="Arial" w:eastAsia="宋体" w:hAnsi="Arial" w:cs="Arial"/>
          <w:b/>
          <w:bCs/>
          <w:color w:val="000000"/>
          <w:sz w:val="20"/>
          <w:szCs w:val="20"/>
        </w:rPr>
        <w:t>(UNAUDITED)</w:t>
      </w:r>
    </w:p>
    <w:p w14:paraId="74DDED64" w14:textId="77777777" w:rsidR="00584EC1" w:rsidRDefault="00871F8D">
      <w:pPr>
        <w:spacing w:before="60"/>
      </w:pPr>
      <w:r>
        <w:rPr>
          <w:rFonts w:ascii="Arial" w:eastAsia="宋体" w:hAnsi="Arial" w:cs="Arial"/>
          <w:color w:val="000000"/>
          <w:sz w:val="13"/>
          <w:szCs w:val="13"/>
        </w:rPr>
        <w:t>.</w:t>
      </w:r>
    </w:p>
    <w:tbl>
      <w:tblPr>
        <w:tblW w:w="5000" w:type="pct"/>
        <w:tblCellMar>
          <w:top w:w="15" w:type="dxa"/>
          <w:left w:w="15" w:type="dxa"/>
          <w:bottom w:w="15" w:type="dxa"/>
          <w:right w:w="15" w:type="dxa"/>
        </w:tblCellMar>
        <w:tblLook w:val="04A0" w:firstRow="1" w:lastRow="0" w:firstColumn="1" w:lastColumn="0" w:noHBand="0" w:noVBand="1"/>
      </w:tblPr>
      <w:tblGrid>
        <w:gridCol w:w="44"/>
        <w:gridCol w:w="1508"/>
        <w:gridCol w:w="38"/>
        <w:gridCol w:w="99"/>
        <w:gridCol w:w="689"/>
        <w:gridCol w:w="37"/>
        <w:gridCol w:w="36"/>
        <w:gridCol w:w="36"/>
        <w:gridCol w:w="36"/>
        <w:gridCol w:w="99"/>
        <w:gridCol w:w="635"/>
        <w:gridCol w:w="37"/>
        <w:gridCol w:w="36"/>
        <w:gridCol w:w="36"/>
        <w:gridCol w:w="36"/>
        <w:gridCol w:w="99"/>
        <w:gridCol w:w="750"/>
        <w:gridCol w:w="36"/>
        <w:gridCol w:w="36"/>
        <w:gridCol w:w="36"/>
        <w:gridCol w:w="36"/>
        <w:gridCol w:w="99"/>
        <w:gridCol w:w="1009"/>
        <w:gridCol w:w="36"/>
        <w:gridCol w:w="36"/>
        <w:gridCol w:w="36"/>
        <w:gridCol w:w="36"/>
        <w:gridCol w:w="99"/>
        <w:gridCol w:w="893"/>
        <w:gridCol w:w="36"/>
        <w:gridCol w:w="36"/>
        <w:gridCol w:w="36"/>
        <w:gridCol w:w="36"/>
        <w:gridCol w:w="99"/>
        <w:gridCol w:w="539"/>
        <w:gridCol w:w="36"/>
        <w:gridCol w:w="36"/>
        <w:gridCol w:w="36"/>
        <w:gridCol w:w="36"/>
        <w:gridCol w:w="98"/>
        <w:gridCol w:w="637"/>
        <w:gridCol w:w="36"/>
      </w:tblGrid>
      <w:tr w:rsidR="00584EC1" w14:paraId="74DDED8F" w14:textId="77777777">
        <w:tc>
          <w:tcPr>
            <w:tcW w:w="50" w:type="pct"/>
            <w:shd w:val="clear" w:color="auto" w:fill="auto"/>
            <w:vAlign w:val="bottom"/>
          </w:tcPr>
          <w:p w14:paraId="74DDED65" w14:textId="77777777" w:rsidR="00584EC1" w:rsidRDefault="00584EC1">
            <w:pPr>
              <w:rPr>
                <w:rFonts w:ascii="宋体"/>
              </w:rPr>
            </w:pPr>
          </w:p>
        </w:tc>
        <w:tc>
          <w:tcPr>
            <w:tcW w:w="953" w:type="pct"/>
            <w:shd w:val="clear" w:color="auto" w:fill="auto"/>
            <w:vAlign w:val="bottom"/>
          </w:tcPr>
          <w:p w14:paraId="74DDED66" w14:textId="77777777" w:rsidR="00584EC1" w:rsidRDefault="00584EC1">
            <w:pPr>
              <w:rPr>
                <w:rFonts w:ascii="宋体"/>
              </w:rPr>
            </w:pPr>
          </w:p>
        </w:tc>
        <w:tc>
          <w:tcPr>
            <w:tcW w:w="5" w:type="pct"/>
            <w:shd w:val="clear" w:color="auto" w:fill="auto"/>
            <w:vAlign w:val="bottom"/>
          </w:tcPr>
          <w:p w14:paraId="74DDED67" w14:textId="77777777" w:rsidR="00584EC1" w:rsidRDefault="00584EC1">
            <w:pPr>
              <w:rPr>
                <w:rFonts w:ascii="宋体"/>
              </w:rPr>
            </w:pPr>
          </w:p>
        </w:tc>
        <w:tc>
          <w:tcPr>
            <w:tcW w:w="50" w:type="pct"/>
            <w:shd w:val="clear" w:color="auto" w:fill="auto"/>
            <w:vAlign w:val="bottom"/>
          </w:tcPr>
          <w:p w14:paraId="74DDED68" w14:textId="77777777" w:rsidR="00584EC1" w:rsidRDefault="00584EC1">
            <w:pPr>
              <w:rPr>
                <w:rFonts w:ascii="宋体"/>
              </w:rPr>
            </w:pPr>
          </w:p>
        </w:tc>
        <w:tc>
          <w:tcPr>
            <w:tcW w:w="449" w:type="pct"/>
            <w:shd w:val="clear" w:color="auto" w:fill="auto"/>
            <w:vAlign w:val="bottom"/>
          </w:tcPr>
          <w:p w14:paraId="74DDED69" w14:textId="77777777" w:rsidR="00584EC1" w:rsidRDefault="00584EC1">
            <w:pPr>
              <w:rPr>
                <w:rFonts w:ascii="宋体"/>
              </w:rPr>
            </w:pPr>
          </w:p>
        </w:tc>
        <w:tc>
          <w:tcPr>
            <w:tcW w:w="5" w:type="pct"/>
            <w:shd w:val="clear" w:color="auto" w:fill="auto"/>
            <w:vAlign w:val="bottom"/>
          </w:tcPr>
          <w:p w14:paraId="74DDED6A" w14:textId="77777777" w:rsidR="00584EC1" w:rsidRDefault="00584EC1">
            <w:pPr>
              <w:rPr>
                <w:rFonts w:ascii="宋体"/>
              </w:rPr>
            </w:pPr>
          </w:p>
        </w:tc>
        <w:tc>
          <w:tcPr>
            <w:tcW w:w="5" w:type="pct"/>
            <w:shd w:val="clear" w:color="auto" w:fill="auto"/>
            <w:vAlign w:val="bottom"/>
          </w:tcPr>
          <w:p w14:paraId="74DDED6B" w14:textId="77777777" w:rsidR="00584EC1" w:rsidRDefault="00584EC1">
            <w:pPr>
              <w:rPr>
                <w:rFonts w:ascii="宋体"/>
              </w:rPr>
            </w:pPr>
          </w:p>
        </w:tc>
        <w:tc>
          <w:tcPr>
            <w:tcW w:w="26" w:type="pct"/>
            <w:shd w:val="clear" w:color="auto" w:fill="auto"/>
            <w:vAlign w:val="bottom"/>
          </w:tcPr>
          <w:p w14:paraId="74DDED6C" w14:textId="77777777" w:rsidR="00584EC1" w:rsidRDefault="00584EC1">
            <w:pPr>
              <w:rPr>
                <w:rFonts w:ascii="宋体"/>
              </w:rPr>
            </w:pPr>
          </w:p>
        </w:tc>
        <w:tc>
          <w:tcPr>
            <w:tcW w:w="5" w:type="pct"/>
            <w:shd w:val="clear" w:color="auto" w:fill="auto"/>
            <w:vAlign w:val="bottom"/>
          </w:tcPr>
          <w:p w14:paraId="74DDED6D" w14:textId="77777777" w:rsidR="00584EC1" w:rsidRDefault="00584EC1">
            <w:pPr>
              <w:rPr>
                <w:rFonts w:ascii="宋体"/>
              </w:rPr>
            </w:pPr>
          </w:p>
        </w:tc>
        <w:tc>
          <w:tcPr>
            <w:tcW w:w="50" w:type="pct"/>
            <w:shd w:val="clear" w:color="auto" w:fill="auto"/>
            <w:vAlign w:val="bottom"/>
          </w:tcPr>
          <w:p w14:paraId="74DDED6E" w14:textId="77777777" w:rsidR="00584EC1" w:rsidRDefault="00584EC1">
            <w:pPr>
              <w:rPr>
                <w:rFonts w:ascii="宋体"/>
              </w:rPr>
            </w:pPr>
          </w:p>
        </w:tc>
        <w:tc>
          <w:tcPr>
            <w:tcW w:w="449" w:type="pct"/>
            <w:shd w:val="clear" w:color="auto" w:fill="auto"/>
            <w:vAlign w:val="bottom"/>
          </w:tcPr>
          <w:p w14:paraId="74DDED6F" w14:textId="77777777" w:rsidR="00584EC1" w:rsidRDefault="00584EC1">
            <w:pPr>
              <w:rPr>
                <w:rFonts w:ascii="宋体"/>
              </w:rPr>
            </w:pPr>
          </w:p>
        </w:tc>
        <w:tc>
          <w:tcPr>
            <w:tcW w:w="5" w:type="pct"/>
            <w:shd w:val="clear" w:color="auto" w:fill="auto"/>
            <w:vAlign w:val="bottom"/>
          </w:tcPr>
          <w:p w14:paraId="74DDED70" w14:textId="77777777" w:rsidR="00584EC1" w:rsidRDefault="00584EC1">
            <w:pPr>
              <w:rPr>
                <w:rFonts w:ascii="宋体"/>
              </w:rPr>
            </w:pPr>
          </w:p>
        </w:tc>
        <w:tc>
          <w:tcPr>
            <w:tcW w:w="5" w:type="pct"/>
            <w:shd w:val="clear" w:color="auto" w:fill="auto"/>
            <w:vAlign w:val="bottom"/>
          </w:tcPr>
          <w:p w14:paraId="74DDED71" w14:textId="77777777" w:rsidR="00584EC1" w:rsidRDefault="00584EC1">
            <w:pPr>
              <w:rPr>
                <w:rFonts w:ascii="宋体"/>
              </w:rPr>
            </w:pPr>
          </w:p>
        </w:tc>
        <w:tc>
          <w:tcPr>
            <w:tcW w:w="26" w:type="pct"/>
            <w:shd w:val="clear" w:color="auto" w:fill="auto"/>
            <w:vAlign w:val="bottom"/>
          </w:tcPr>
          <w:p w14:paraId="74DDED72" w14:textId="77777777" w:rsidR="00584EC1" w:rsidRDefault="00584EC1">
            <w:pPr>
              <w:rPr>
                <w:rFonts w:ascii="宋体"/>
              </w:rPr>
            </w:pPr>
          </w:p>
        </w:tc>
        <w:tc>
          <w:tcPr>
            <w:tcW w:w="5" w:type="pct"/>
            <w:shd w:val="clear" w:color="auto" w:fill="auto"/>
            <w:vAlign w:val="bottom"/>
          </w:tcPr>
          <w:p w14:paraId="74DDED73" w14:textId="77777777" w:rsidR="00584EC1" w:rsidRDefault="00584EC1">
            <w:pPr>
              <w:rPr>
                <w:rFonts w:ascii="宋体"/>
              </w:rPr>
            </w:pPr>
          </w:p>
        </w:tc>
        <w:tc>
          <w:tcPr>
            <w:tcW w:w="50" w:type="pct"/>
            <w:shd w:val="clear" w:color="auto" w:fill="auto"/>
            <w:vAlign w:val="bottom"/>
          </w:tcPr>
          <w:p w14:paraId="74DDED74" w14:textId="77777777" w:rsidR="00584EC1" w:rsidRDefault="00584EC1">
            <w:pPr>
              <w:rPr>
                <w:rFonts w:ascii="宋体"/>
              </w:rPr>
            </w:pPr>
          </w:p>
        </w:tc>
        <w:tc>
          <w:tcPr>
            <w:tcW w:w="449" w:type="pct"/>
            <w:shd w:val="clear" w:color="auto" w:fill="auto"/>
            <w:vAlign w:val="bottom"/>
          </w:tcPr>
          <w:p w14:paraId="74DDED75" w14:textId="77777777" w:rsidR="00584EC1" w:rsidRDefault="00584EC1">
            <w:pPr>
              <w:rPr>
                <w:rFonts w:ascii="宋体"/>
              </w:rPr>
            </w:pPr>
          </w:p>
        </w:tc>
        <w:tc>
          <w:tcPr>
            <w:tcW w:w="5" w:type="pct"/>
            <w:shd w:val="clear" w:color="auto" w:fill="auto"/>
            <w:vAlign w:val="bottom"/>
          </w:tcPr>
          <w:p w14:paraId="74DDED76" w14:textId="77777777" w:rsidR="00584EC1" w:rsidRDefault="00584EC1">
            <w:pPr>
              <w:rPr>
                <w:rFonts w:ascii="宋体"/>
              </w:rPr>
            </w:pPr>
          </w:p>
        </w:tc>
        <w:tc>
          <w:tcPr>
            <w:tcW w:w="5" w:type="pct"/>
            <w:shd w:val="clear" w:color="auto" w:fill="auto"/>
            <w:vAlign w:val="bottom"/>
          </w:tcPr>
          <w:p w14:paraId="74DDED77" w14:textId="77777777" w:rsidR="00584EC1" w:rsidRDefault="00584EC1">
            <w:pPr>
              <w:rPr>
                <w:rFonts w:ascii="宋体"/>
              </w:rPr>
            </w:pPr>
          </w:p>
        </w:tc>
        <w:tc>
          <w:tcPr>
            <w:tcW w:w="26" w:type="pct"/>
            <w:shd w:val="clear" w:color="auto" w:fill="auto"/>
            <w:vAlign w:val="bottom"/>
          </w:tcPr>
          <w:p w14:paraId="74DDED78" w14:textId="77777777" w:rsidR="00584EC1" w:rsidRDefault="00584EC1">
            <w:pPr>
              <w:rPr>
                <w:rFonts w:ascii="宋体"/>
              </w:rPr>
            </w:pPr>
          </w:p>
        </w:tc>
        <w:tc>
          <w:tcPr>
            <w:tcW w:w="5" w:type="pct"/>
            <w:shd w:val="clear" w:color="auto" w:fill="auto"/>
            <w:vAlign w:val="bottom"/>
          </w:tcPr>
          <w:p w14:paraId="74DDED79" w14:textId="77777777" w:rsidR="00584EC1" w:rsidRDefault="00584EC1">
            <w:pPr>
              <w:rPr>
                <w:rFonts w:ascii="宋体"/>
              </w:rPr>
            </w:pPr>
          </w:p>
        </w:tc>
        <w:tc>
          <w:tcPr>
            <w:tcW w:w="50" w:type="pct"/>
            <w:shd w:val="clear" w:color="auto" w:fill="auto"/>
            <w:vAlign w:val="bottom"/>
          </w:tcPr>
          <w:p w14:paraId="74DDED7A" w14:textId="77777777" w:rsidR="00584EC1" w:rsidRDefault="00584EC1">
            <w:pPr>
              <w:rPr>
                <w:rFonts w:ascii="宋体"/>
              </w:rPr>
            </w:pPr>
          </w:p>
        </w:tc>
        <w:tc>
          <w:tcPr>
            <w:tcW w:w="529" w:type="pct"/>
            <w:shd w:val="clear" w:color="auto" w:fill="auto"/>
            <w:vAlign w:val="bottom"/>
          </w:tcPr>
          <w:p w14:paraId="74DDED7B" w14:textId="77777777" w:rsidR="00584EC1" w:rsidRDefault="00584EC1">
            <w:pPr>
              <w:rPr>
                <w:rFonts w:ascii="宋体"/>
              </w:rPr>
            </w:pPr>
          </w:p>
        </w:tc>
        <w:tc>
          <w:tcPr>
            <w:tcW w:w="5" w:type="pct"/>
            <w:shd w:val="clear" w:color="auto" w:fill="auto"/>
            <w:vAlign w:val="bottom"/>
          </w:tcPr>
          <w:p w14:paraId="74DDED7C" w14:textId="77777777" w:rsidR="00584EC1" w:rsidRDefault="00584EC1">
            <w:pPr>
              <w:rPr>
                <w:rFonts w:ascii="宋体"/>
              </w:rPr>
            </w:pPr>
          </w:p>
        </w:tc>
        <w:tc>
          <w:tcPr>
            <w:tcW w:w="5" w:type="pct"/>
            <w:shd w:val="clear" w:color="auto" w:fill="auto"/>
            <w:vAlign w:val="bottom"/>
          </w:tcPr>
          <w:p w14:paraId="74DDED7D" w14:textId="77777777" w:rsidR="00584EC1" w:rsidRDefault="00584EC1">
            <w:pPr>
              <w:rPr>
                <w:rFonts w:ascii="宋体"/>
              </w:rPr>
            </w:pPr>
          </w:p>
        </w:tc>
        <w:tc>
          <w:tcPr>
            <w:tcW w:w="26" w:type="pct"/>
            <w:shd w:val="clear" w:color="auto" w:fill="auto"/>
            <w:vAlign w:val="bottom"/>
          </w:tcPr>
          <w:p w14:paraId="74DDED7E" w14:textId="77777777" w:rsidR="00584EC1" w:rsidRDefault="00584EC1">
            <w:pPr>
              <w:rPr>
                <w:rFonts w:ascii="宋体"/>
              </w:rPr>
            </w:pPr>
          </w:p>
        </w:tc>
        <w:tc>
          <w:tcPr>
            <w:tcW w:w="5" w:type="pct"/>
            <w:shd w:val="clear" w:color="auto" w:fill="auto"/>
            <w:vAlign w:val="bottom"/>
          </w:tcPr>
          <w:p w14:paraId="74DDED7F" w14:textId="77777777" w:rsidR="00584EC1" w:rsidRDefault="00584EC1">
            <w:pPr>
              <w:rPr>
                <w:rFonts w:ascii="宋体"/>
              </w:rPr>
            </w:pPr>
          </w:p>
        </w:tc>
        <w:tc>
          <w:tcPr>
            <w:tcW w:w="50" w:type="pct"/>
            <w:shd w:val="clear" w:color="auto" w:fill="auto"/>
            <w:vAlign w:val="bottom"/>
          </w:tcPr>
          <w:p w14:paraId="74DDED80" w14:textId="77777777" w:rsidR="00584EC1" w:rsidRDefault="00584EC1">
            <w:pPr>
              <w:rPr>
                <w:rFonts w:ascii="宋体"/>
              </w:rPr>
            </w:pPr>
          </w:p>
        </w:tc>
        <w:tc>
          <w:tcPr>
            <w:tcW w:w="610" w:type="pct"/>
            <w:shd w:val="clear" w:color="auto" w:fill="auto"/>
            <w:vAlign w:val="bottom"/>
          </w:tcPr>
          <w:p w14:paraId="74DDED81" w14:textId="77777777" w:rsidR="00584EC1" w:rsidRDefault="00584EC1">
            <w:pPr>
              <w:rPr>
                <w:rFonts w:ascii="宋体"/>
              </w:rPr>
            </w:pPr>
          </w:p>
        </w:tc>
        <w:tc>
          <w:tcPr>
            <w:tcW w:w="5" w:type="pct"/>
            <w:shd w:val="clear" w:color="auto" w:fill="auto"/>
            <w:vAlign w:val="bottom"/>
          </w:tcPr>
          <w:p w14:paraId="74DDED82" w14:textId="77777777" w:rsidR="00584EC1" w:rsidRDefault="00584EC1">
            <w:pPr>
              <w:rPr>
                <w:rFonts w:ascii="宋体"/>
              </w:rPr>
            </w:pPr>
          </w:p>
        </w:tc>
        <w:tc>
          <w:tcPr>
            <w:tcW w:w="5" w:type="pct"/>
            <w:shd w:val="clear" w:color="auto" w:fill="auto"/>
            <w:vAlign w:val="bottom"/>
          </w:tcPr>
          <w:p w14:paraId="74DDED83" w14:textId="77777777" w:rsidR="00584EC1" w:rsidRDefault="00584EC1">
            <w:pPr>
              <w:rPr>
                <w:rFonts w:ascii="宋体"/>
              </w:rPr>
            </w:pPr>
          </w:p>
        </w:tc>
        <w:tc>
          <w:tcPr>
            <w:tcW w:w="26" w:type="pct"/>
            <w:shd w:val="clear" w:color="auto" w:fill="auto"/>
            <w:vAlign w:val="bottom"/>
          </w:tcPr>
          <w:p w14:paraId="74DDED84" w14:textId="77777777" w:rsidR="00584EC1" w:rsidRDefault="00584EC1">
            <w:pPr>
              <w:rPr>
                <w:rFonts w:ascii="宋体"/>
              </w:rPr>
            </w:pPr>
          </w:p>
        </w:tc>
        <w:tc>
          <w:tcPr>
            <w:tcW w:w="5" w:type="pct"/>
            <w:shd w:val="clear" w:color="auto" w:fill="auto"/>
            <w:vAlign w:val="bottom"/>
          </w:tcPr>
          <w:p w14:paraId="74DDED85" w14:textId="77777777" w:rsidR="00584EC1" w:rsidRDefault="00584EC1">
            <w:pPr>
              <w:rPr>
                <w:rFonts w:ascii="宋体"/>
              </w:rPr>
            </w:pPr>
          </w:p>
        </w:tc>
        <w:tc>
          <w:tcPr>
            <w:tcW w:w="50" w:type="pct"/>
            <w:shd w:val="clear" w:color="auto" w:fill="auto"/>
            <w:vAlign w:val="bottom"/>
          </w:tcPr>
          <w:p w14:paraId="74DDED86" w14:textId="77777777" w:rsidR="00584EC1" w:rsidRDefault="00584EC1">
            <w:pPr>
              <w:rPr>
                <w:rFonts w:ascii="宋体"/>
              </w:rPr>
            </w:pPr>
          </w:p>
        </w:tc>
        <w:tc>
          <w:tcPr>
            <w:tcW w:w="449" w:type="pct"/>
            <w:shd w:val="clear" w:color="auto" w:fill="auto"/>
            <w:vAlign w:val="bottom"/>
          </w:tcPr>
          <w:p w14:paraId="74DDED87" w14:textId="77777777" w:rsidR="00584EC1" w:rsidRDefault="00584EC1">
            <w:pPr>
              <w:rPr>
                <w:rFonts w:ascii="宋体"/>
              </w:rPr>
            </w:pPr>
          </w:p>
        </w:tc>
        <w:tc>
          <w:tcPr>
            <w:tcW w:w="5" w:type="pct"/>
            <w:shd w:val="clear" w:color="auto" w:fill="auto"/>
            <w:vAlign w:val="bottom"/>
          </w:tcPr>
          <w:p w14:paraId="74DDED88" w14:textId="77777777" w:rsidR="00584EC1" w:rsidRDefault="00584EC1">
            <w:pPr>
              <w:rPr>
                <w:rFonts w:ascii="宋体"/>
              </w:rPr>
            </w:pPr>
          </w:p>
        </w:tc>
        <w:tc>
          <w:tcPr>
            <w:tcW w:w="5" w:type="pct"/>
            <w:shd w:val="clear" w:color="auto" w:fill="auto"/>
            <w:vAlign w:val="bottom"/>
          </w:tcPr>
          <w:p w14:paraId="74DDED89" w14:textId="77777777" w:rsidR="00584EC1" w:rsidRDefault="00584EC1">
            <w:pPr>
              <w:rPr>
                <w:rFonts w:ascii="宋体"/>
              </w:rPr>
            </w:pPr>
          </w:p>
        </w:tc>
        <w:tc>
          <w:tcPr>
            <w:tcW w:w="26" w:type="pct"/>
            <w:shd w:val="clear" w:color="auto" w:fill="auto"/>
            <w:vAlign w:val="bottom"/>
          </w:tcPr>
          <w:p w14:paraId="74DDED8A" w14:textId="77777777" w:rsidR="00584EC1" w:rsidRDefault="00584EC1">
            <w:pPr>
              <w:rPr>
                <w:rFonts w:ascii="宋体"/>
              </w:rPr>
            </w:pPr>
          </w:p>
        </w:tc>
        <w:tc>
          <w:tcPr>
            <w:tcW w:w="5" w:type="pct"/>
            <w:shd w:val="clear" w:color="auto" w:fill="auto"/>
            <w:vAlign w:val="bottom"/>
          </w:tcPr>
          <w:p w14:paraId="74DDED8B" w14:textId="77777777" w:rsidR="00584EC1" w:rsidRDefault="00584EC1">
            <w:pPr>
              <w:rPr>
                <w:rFonts w:ascii="宋体"/>
              </w:rPr>
            </w:pPr>
          </w:p>
        </w:tc>
        <w:tc>
          <w:tcPr>
            <w:tcW w:w="50" w:type="pct"/>
            <w:shd w:val="clear" w:color="auto" w:fill="auto"/>
            <w:vAlign w:val="bottom"/>
          </w:tcPr>
          <w:p w14:paraId="74DDED8C" w14:textId="77777777" w:rsidR="00584EC1" w:rsidRDefault="00584EC1">
            <w:pPr>
              <w:rPr>
                <w:rFonts w:ascii="宋体"/>
              </w:rPr>
            </w:pPr>
          </w:p>
        </w:tc>
        <w:tc>
          <w:tcPr>
            <w:tcW w:w="449" w:type="pct"/>
            <w:shd w:val="clear" w:color="auto" w:fill="auto"/>
            <w:vAlign w:val="bottom"/>
          </w:tcPr>
          <w:p w14:paraId="74DDED8D" w14:textId="77777777" w:rsidR="00584EC1" w:rsidRDefault="00584EC1">
            <w:pPr>
              <w:rPr>
                <w:rFonts w:ascii="宋体"/>
              </w:rPr>
            </w:pPr>
          </w:p>
        </w:tc>
        <w:tc>
          <w:tcPr>
            <w:tcW w:w="5" w:type="pct"/>
            <w:shd w:val="clear" w:color="auto" w:fill="auto"/>
            <w:vAlign w:val="bottom"/>
          </w:tcPr>
          <w:p w14:paraId="74DDED8E" w14:textId="77777777" w:rsidR="00584EC1" w:rsidRDefault="00584EC1">
            <w:pPr>
              <w:rPr>
                <w:rFonts w:ascii="宋体"/>
              </w:rPr>
            </w:pPr>
          </w:p>
        </w:tc>
      </w:tr>
      <w:tr w:rsidR="00584EC1" w14:paraId="74DDED92" w14:textId="77777777">
        <w:tc>
          <w:tcPr>
            <w:tcW w:w="0" w:type="auto"/>
            <w:gridSpan w:val="3"/>
            <w:shd w:val="clear" w:color="auto" w:fill="auto"/>
            <w:tcMar>
              <w:top w:w="0" w:type="dxa"/>
              <w:left w:w="20" w:type="dxa"/>
              <w:bottom w:w="0" w:type="dxa"/>
              <w:right w:w="20" w:type="dxa"/>
            </w:tcMar>
            <w:vAlign w:val="bottom"/>
          </w:tcPr>
          <w:p w14:paraId="74DDED90" w14:textId="77777777" w:rsidR="00584EC1" w:rsidRDefault="00584EC1">
            <w:pPr>
              <w:rPr>
                <w:rFonts w:ascii="宋体"/>
              </w:rPr>
            </w:pPr>
          </w:p>
        </w:tc>
        <w:tc>
          <w:tcPr>
            <w:tcW w:w="0" w:type="auto"/>
            <w:gridSpan w:val="39"/>
            <w:shd w:val="clear" w:color="auto" w:fill="auto"/>
            <w:tcMar>
              <w:top w:w="40" w:type="dxa"/>
              <w:left w:w="20" w:type="dxa"/>
              <w:bottom w:w="40" w:type="dxa"/>
              <w:right w:w="20" w:type="dxa"/>
            </w:tcMar>
            <w:vAlign w:val="bottom"/>
          </w:tcPr>
          <w:p w14:paraId="74DDED91" w14:textId="77777777" w:rsidR="00584EC1" w:rsidRDefault="00871F8D">
            <w:pPr>
              <w:jc w:val="center"/>
              <w:textAlignment w:val="bottom"/>
            </w:pPr>
            <w:r>
              <w:rPr>
                <w:rFonts w:ascii="Arial" w:eastAsia="宋体" w:hAnsi="Arial" w:cs="Arial"/>
                <w:b/>
                <w:bCs/>
                <w:color w:val="000000"/>
                <w:sz w:val="14"/>
                <w:szCs w:val="14"/>
              </w:rPr>
              <w:t>Three Months Ended September 30, 2020</w:t>
            </w:r>
          </w:p>
        </w:tc>
      </w:tr>
      <w:tr w:rsidR="00584EC1" w14:paraId="74DDED9E" w14:textId="77777777">
        <w:tc>
          <w:tcPr>
            <w:tcW w:w="0" w:type="auto"/>
            <w:gridSpan w:val="3"/>
            <w:shd w:val="clear" w:color="auto" w:fill="auto"/>
            <w:tcMar>
              <w:top w:w="0" w:type="dxa"/>
              <w:left w:w="20" w:type="dxa"/>
              <w:bottom w:w="0" w:type="dxa"/>
              <w:right w:w="20" w:type="dxa"/>
            </w:tcMar>
            <w:vAlign w:val="bottom"/>
          </w:tcPr>
          <w:p w14:paraId="74DDED93" w14:textId="77777777" w:rsidR="00584EC1" w:rsidRDefault="00584E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4DDED94" w14:textId="77777777" w:rsidR="00584EC1" w:rsidRDefault="00871F8D">
            <w:pPr>
              <w:jc w:val="center"/>
              <w:textAlignment w:val="bottom"/>
            </w:pPr>
            <w:r>
              <w:rPr>
                <w:rFonts w:ascii="Arial" w:eastAsia="宋体" w:hAnsi="Arial" w:cs="Arial"/>
                <w:b/>
                <w:bCs/>
                <w:color w:val="000000"/>
                <w:sz w:val="14"/>
                <w:szCs w:val="14"/>
              </w:rPr>
              <w:t>Commercial</w:t>
            </w:r>
            <w:r>
              <w:rPr>
                <w:rFonts w:ascii="Arial" w:eastAsia="宋体" w:hAnsi="Arial" w:cs="Arial"/>
                <w:b/>
                <w:bCs/>
                <w:color w:val="000000"/>
                <w:sz w:val="14"/>
                <w:szCs w:val="14"/>
              </w:rPr>
              <w:t xml:space="preserve"> and Financial</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D95"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D96"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D97"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D98"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D99"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D9A"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D9B" w14:textId="77777777" w:rsidR="00584EC1" w:rsidRDefault="00584EC1">
            <w:pPr>
              <w:rPr>
                <w:rFonts w:ascii="宋体"/>
              </w:rPr>
            </w:pPr>
          </w:p>
        </w:tc>
        <w:tc>
          <w:tcPr>
            <w:tcW w:w="0" w:type="auto"/>
            <w:gridSpan w:val="6"/>
            <w:tcBorders>
              <w:top w:val="single" w:sz="8" w:space="0" w:color="000000"/>
            </w:tcBorders>
            <w:shd w:val="clear" w:color="auto" w:fill="auto"/>
            <w:tcMar>
              <w:top w:w="0" w:type="dxa"/>
              <w:left w:w="20" w:type="dxa"/>
              <w:bottom w:w="0" w:type="dxa"/>
              <w:right w:w="20" w:type="dxa"/>
            </w:tcMar>
            <w:vAlign w:val="bottom"/>
          </w:tcPr>
          <w:p w14:paraId="74DDED9C"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D9D" w14:textId="77777777" w:rsidR="00584EC1" w:rsidRDefault="00584EC1">
            <w:pPr>
              <w:rPr>
                <w:rFonts w:ascii="宋体"/>
              </w:rPr>
            </w:pPr>
          </w:p>
        </w:tc>
      </w:tr>
      <w:tr w:rsidR="00584EC1" w14:paraId="74DDEDAD" w14:textId="77777777">
        <w:tc>
          <w:tcPr>
            <w:tcW w:w="0" w:type="auto"/>
            <w:gridSpan w:val="3"/>
            <w:shd w:val="clear" w:color="auto" w:fill="auto"/>
            <w:tcMar>
              <w:top w:w="40" w:type="dxa"/>
              <w:left w:w="20" w:type="dxa"/>
              <w:bottom w:w="40" w:type="dxa"/>
              <w:right w:w="20" w:type="dxa"/>
            </w:tcMar>
            <w:vAlign w:val="bottom"/>
          </w:tcPr>
          <w:p w14:paraId="74DDED9F" w14:textId="77777777" w:rsidR="00584EC1" w:rsidRDefault="00871F8D">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EDA0" w14:textId="77777777" w:rsidR="00584EC1" w:rsidRDefault="00871F8D">
            <w:pPr>
              <w:jc w:val="center"/>
              <w:textAlignment w:val="bottom"/>
            </w:pPr>
            <w:r>
              <w:rPr>
                <w:rFonts w:ascii="Arial" w:eastAsia="宋体" w:hAnsi="Arial" w:cs="Arial"/>
                <w:b/>
                <w:bCs/>
                <w:color w:val="000000"/>
                <w:sz w:val="14"/>
                <w:szCs w:val="14"/>
              </w:rPr>
              <w:t>Leveraged Loans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DA1"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EDA2" w14:textId="77777777" w:rsidR="00584EC1" w:rsidRDefault="00871F8D">
            <w:pPr>
              <w:jc w:val="center"/>
              <w:textAlignment w:val="bottom"/>
            </w:pPr>
            <w:r>
              <w:rPr>
                <w:rFonts w:ascii="Arial" w:eastAsia="宋体" w:hAnsi="Arial" w:cs="Arial"/>
                <w:b/>
                <w:bCs/>
                <w:color w:val="000000"/>
                <w:sz w:val="14"/>
                <w:szCs w:val="14"/>
              </w:rPr>
              <w:t>Other Loans</w:t>
            </w:r>
            <w:r>
              <w:rPr>
                <w:rFonts w:ascii="Arial" w:eastAsia="宋体" w:hAnsi="Arial" w:cs="Arial"/>
                <w:b/>
                <w:bCs/>
                <w:color w:val="000000"/>
                <w:sz w:val="9"/>
                <w:szCs w:val="9"/>
              </w:rPr>
              <w:t>(1)</w:t>
            </w:r>
          </w:p>
        </w:tc>
        <w:tc>
          <w:tcPr>
            <w:tcW w:w="0" w:type="auto"/>
            <w:gridSpan w:val="3"/>
            <w:shd w:val="clear" w:color="auto" w:fill="auto"/>
            <w:tcMar>
              <w:top w:w="0" w:type="dxa"/>
              <w:left w:w="20" w:type="dxa"/>
              <w:bottom w:w="0" w:type="dxa"/>
              <w:right w:w="20" w:type="dxa"/>
            </w:tcMar>
            <w:vAlign w:val="bottom"/>
          </w:tcPr>
          <w:p w14:paraId="74DDEDA3"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EDA4" w14:textId="77777777" w:rsidR="00584EC1" w:rsidRDefault="00871F8D">
            <w:pPr>
              <w:jc w:val="center"/>
              <w:textAlignment w:val="bottom"/>
            </w:pPr>
            <w:r>
              <w:rPr>
                <w:rFonts w:ascii="Arial" w:eastAsia="宋体" w:hAnsi="Arial" w:cs="Arial"/>
                <w:b/>
                <w:bCs/>
                <w:color w:val="000000"/>
                <w:sz w:val="14"/>
                <w:szCs w:val="14"/>
              </w:rPr>
              <w:t>Commercial Real Estate</w:t>
            </w:r>
          </w:p>
        </w:tc>
        <w:tc>
          <w:tcPr>
            <w:tcW w:w="0" w:type="auto"/>
            <w:gridSpan w:val="3"/>
            <w:shd w:val="clear" w:color="auto" w:fill="auto"/>
            <w:tcMar>
              <w:top w:w="0" w:type="dxa"/>
              <w:left w:w="20" w:type="dxa"/>
              <w:bottom w:w="0" w:type="dxa"/>
              <w:right w:w="20" w:type="dxa"/>
            </w:tcMar>
            <w:vAlign w:val="bottom"/>
          </w:tcPr>
          <w:p w14:paraId="74DDEDA5"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EDA6" w14:textId="77777777" w:rsidR="00584EC1" w:rsidRDefault="00871F8D">
            <w:pPr>
              <w:jc w:val="center"/>
              <w:textAlignment w:val="bottom"/>
            </w:pPr>
            <w:r>
              <w:rPr>
                <w:rFonts w:ascii="Arial" w:eastAsia="宋体" w:hAnsi="Arial" w:cs="Arial"/>
                <w:b/>
                <w:bCs/>
                <w:color w:val="000000"/>
                <w:sz w:val="14"/>
                <w:szCs w:val="14"/>
              </w:rPr>
              <w:t>Held-to-Maturity Securities</w:t>
            </w:r>
          </w:p>
        </w:tc>
        <w:tc>
          <w:tcPr>
            <w:tcW w:w="0" w:type="auto"/>
            <w:gridSpan w:val="3"/>
            <w:shd w:val="clear" w:color="auto" w:fill="auto"/>
            <w:tcMar>
              <w:top w:w="0" w:type="dxa"/>
              <w:left w:w="20" w:type="dxa"/>
              <w:bottom w:w="0" w:type="dxa"/>
              <w:right w:w="20" w:type="dxa"/>
            </w:tcMar>
            <w:vAlign w:val="bottom"/>
          </w:tcPr>
          <w:p w14:paraId="74DDEDA7"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EDA8" w14:textId="77777777" w:rsidR="00584EC1" w:rsidRDefault="00871F8D">
            <w:pPr>
              <w:jc w:val="center"/>
              <w:textAlignment w:val="bottom"/>
            </w:pPr>
            <w:r>
              <w:rPr>
                <w:rFonts w:ascii="Arial" w:eastAsia="宋体" w:hAnsi="Arial" w:cs="Arial"/>
                <w:b/>
                <w:bCs/>
                <w:color w:val="000000"/>
                <w:sz w:val="14"/>
                <w:szCs w:val="14"/>
              </w:rPr>
              <w:t>Off-Balance Sheet Commitments</w:t>
            </w:r>
          </w:p>
        </w:tc>
        <w:tc>
          <w:tcPr>
            <w:tcW w:w="0" w:type="auto"/>
            <w:gridSpan w:val="3"/>
            <w:shd w:val="clear" w:color="auto" w:fill="auto"/>
            <w:tcMar>
              <w:top w:w="0" w:type="dxa"/>
              <w:left w:w="20" w:type="dxa"/>
              <w:bottom w:w="0" w:type="dxa"/>
              <w:right w:w="20" w:type="dxa"/>
            </w:tcMar>
            <w:vAlign w:val="bottom"/>
          </w:tcPr>
          <w:p w14:paraId="74DDEDA9"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EDAA" w14:textId="77777777" w:rsidR="00584EC1" w:rsidRDefault="00871F8D">
            <w:pPr>
              <w:jc w:val="center"/>
              <w:textAlignment w:val="bottom"/>
            </w:pPr>
            <w:r>
              <w:rPr>
                <w:rFonts w:ascii="Arial" w:eastAsia="宋体" w:hAnsi="Arial" w:cs="Arial"/>
                <w:b/>
                <w:bCs/>
                <w:color w:val="000000"/>
                <w:sz w:val="14"/>
                <w:szCs w:val="14"/>
              </w:rPr>
              <w:t xml:space="preserve">All Other </w:t>
            </w:r>
          </w:p>
        </w:tc>
        <w:tc>
          <w:tcPr>
            <w:tcW w:w="0" w:type="auto"/>
            <w:gridSpan w:val="3"/>
            <w:shd w:val="clear" w:color="auto" w:fill="auto"/>
            <w:tcMar>
              <w:top w:w="0" w:type="dxa"/>
              <w:left w:w="20" w:type="dxa"/>
              <w:bottom w:w="0" w:type="dxa"/>
              <w:right w:w="20" w:type="dxa"/>
            </w:tcMar>
            <w:vAlign w:val="bottom"/>
          </w:tcPr>
          <w:p w14:paraId="74DDEDAB"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EDAC" w14:textId="77777777" w:rsidR="00584EC1" w:rsidRDefault="00871F8D">
            <w:pPr>
              <w:jc w:val="center"/>
              <w:textAlignment w:val="bottom"/>
            </w:pPr>
            <w:r>
              <w:rPr>
                <w:rFonts w:ascii="Arial" w:eastAsia="宋体" w:hAnsi="Arial" w:cs="Arial"/>
                <w:b/>
                <w:bCs/>
                <w:color w:val="000000"/>
                <w:sz w:val="14"/>
                <w:szCs w:val="14"/>
              </w:rPr>
              <w:t>Total</w:t>
            </w:r>
          </w:p>
        </w:tc>
      </w:tr>
      <w:tr w:rsidR="00584EC1" w14:paraId="74DDEDBC" w14:textId="77777777">
        <w:tc>
          <w:tcPr>
            <w:tcW w:w="0" w:type="auto"/>
            <w:gridSpan w:val="3"/>
            <w:shd w:val="clear" w:color="auto" w:fill="auto"/>
            <w:tcMar>
              <w:top w:w="40" w:type="dxa"/>
              <w:left w:w="20" w:type="dxa"/>
              <w:bottom w:w="40" w:type="dxa"/>
              <w:right w:w="20" w:type="dxa"/>
            </w:tcMar>
            <w:vAlign w:val="bottom"/>
          </w:tcPr>
          <w:p w14:paraId="74DDEDAE" w14:textId="77777777" w:rsidR="00584EC1" w:rsidRDefault="00871F8D">
            <w:pPr>
              <w:textAlignment w:val="bottom"/>
            </w:pPr>
            <w:r>
              <w:rPr>
                <w:rFonts w:ascii="Arial" w:eastAsia="宋体" w:hAnsi="Arial" w:cs="Arial"/>
                <w:b/>
                <w:bCs/>
                <w:color w:val="000000"/>
                <w:sz w:val="14"/>
                <w:szCs w:val="14"/>
              </w:rPr>
              <w:t>Allowance for credit losses: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DAF"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DB0"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DB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DB2"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DB3"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DB4"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DB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DB6"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DB7"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DB8"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DB9"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DBA"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DBB" w14:textId="77777777" w:rsidR="00584EC1" w:rsidRDefault="00584EC1">
            <w:pPr>
              <w:rPr>
                <w:rFonts w:ascii="宋体"/>
              </w:rPr>
            </w:pPr>
          </w:p>
        </w:tc>
      </w:tr>
      <w:tr w:rsidR="00584EC1" w14:paraId="74DDEDD9" w14:textId="77777777">
        <w:tc>
          <w:tcPr>
            <w:tcW w:w="0" w:type="auto"/>
            <w:gridSpan w:val="3"/>
            <w:shd w:val="clear" w:color="auto" w:fill="CCEEFF"/>
            <w:tcMar>
              <w:top w:w="40" w:type="dxa"/>
              <w:left w:w="20" w:type="dxa"/>
              <w:bottom w:w="40" w:type="dxa"/>
              <w:right w:w="20" w:type="dxa"/>
            </w:tcMar>
            <w:vAlign w:val="bottom"/>
          </w:tcPr>
          <w:p w14:paraId="74DDEDBD" w14:textId="77777777" w:rsidR="00584EC1" w:rsidRDefault="00871F8D">
            <w:pPr>
              <w:textAlignment w:val="bottom"/>
            </w:pPr>
            <w:r>
              <w:rPr>
                <w:rFonts w:ascii="Arial" w:eastAsia="宋体" w:hAnsi="Arial" w:cs="Arial"/>
                <w:color w:val="000000"/>
                <w:sz w:val="14"/>
                <w:szCs w:val="14"/>
              </w:rPr>
              <w:t>Beginning balance</w:t>
            </w:r>
          </w:p>
        </w:tc>
        <w:tc>
          <w:tcPr>
            <w:tcW w:w="0" w:type="auto"/>
            <w:shd w:val="clear" w:color="auto" w:fill="CCEEFF"/>
            <w:tcMar>
              <w:top w:w="40" w:type="dxa"/>
              <w:left w:w="20" w:type="dxa"/>
              <w:bottom w:w="40" w:type="dxa"/>
              <w:right w:w="0" w:type="dxa"/>
            </w:tcMar>
            <w:vAlign w:val="bottom"/>
          </w:tcPr>
          <w:p w14:paraId="74DDEDBE"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EDBF" w14:textId="77777777" w:rsidR="00584EC1" w:rsidRDefault="00871F8D">
            <w:pPr>
              <w:jc w:val="right"/>
              <w:textAlignment w:val="bottom"/>
            </w:pPr>
            <w:r>
              <w:rPr>
                <w:rFonts w:ascii="Arial" w:eastAsia="宋体" w:hAnsi="Arial" w:cs="Arial"/>
                <w:color w:val="000000"/>
                <w:sz w:val="14"/>
                <w:szCs w:val="14"/>
              </w:rPr>
              <w:t>113 </w:t>
            </w:r>
          </w:p>
        </w:tc>
        <w:tc>
          <w:tcPr>
            <w:tcW w:w="0" w:type="auto"/>
            <w:shd w:val="clear" w:color="auto" w:fill="CCEEFF"/>
            <w:tcMar>
              <w:top w:w="40" w:type="dxa"/>
              <w:left w:w="0" w:type="dxa"/>
              <w:bottom w:w="40" w:type="dxa"/>
              <w:right w:w="20" w:type="dxa"/>
            </w:tcMar>
            <w:vAlign w:val="bottom"/>
          </w:tcPr>
          <w:p w14:paraId="74DDEDC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DC1"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EDC2"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EDC3" w14:textId="77777777" w:rsidR="00584EC1" w:rsidRDefault="00871F8D">
            <w:pPr>
              <w:jc w:val="right"/>
              <w:textAlignment w:val="bottom"/>
            </w:pPr>
            <w:r>
              <w:rPr>
                <w:rFonts w:ascii="Arial" w:eastAsia="宋体" w:hAnsi="Arial" w:cs="Arial"/>
                <w:color w:val="000000"/>
                <w:sz w:val="14"/>
                <w:szCs w:val="14"/>
              </w:rPr>
              <w:t>20 </w:t>
            </w:r>
          </w:p>
        </w:tc>
        <w:tc>
          <w:tcPr>
            <w:tcW w:w="0" w:type="auto"/>
            <w:shd w:val="clear" w:color="auto" w:fill="CCEEFF"/>
            <w:tcMar>
              <w:top w:w="40" w:type="dxa"/>
              <w:left w:w="0" w:type="dxa"/>
              <w:bottom w:w="40" w:type="dxa"/>
              <w:right w:w="20" w:type="dxa"/>
            </w:tcMar>
            <w:vAlign w:val="bottom"/>
          </w:tcPr>
          <w:p w14:paraId="74DDEDC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DC5"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EDC6"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EDC7" w14:textId="77777777" w:rsidR="00584EC1" w:rsidRDefault="00871F8D">
            <w:pPr>
              <w:jc w:val="right"/>
              <w:textAlignment w:val="bottom"/>
            </w:pPr>
            <w:r>
              <w:rPr>
                <w:rFonts w:ascii="Arial" w:eastAsia="宋体" w:hAnsi="Arial" w:cs="Arial"/>
                <w:color w:val="000000"/>
                <w:sz w:val="14"/>
                <w:szCs w:val="14"/>
              </w:rPr>
              <w:t>8 </w:t>
            </w:r>
          </w:p>
        </w:tc>
        <w:tc>
          <w:tcPr>
            <w:tcW w:w="0" w:type="auto"/>
            <w:shd w:val="clear" w:color="auto" w:fill="CCEEFF"/>
            <w:tcMar>
              <w:top w:w="40" w:type="dxa"/>
              <w:left w:w="0" w:type="dxa"/>
              <w:bottom w:w="40" w:type="dxa"/>
              <w:right w:w="20" w:type="dxa"/>
            </w:tcMar>
            <w:vAlign w:val="bottom"/>
          </w:tcPr>
          <w:p w14:paraId="74DDEDC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DC9"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EDCA"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EDCB" w14:textId="77777777" w:rsidR="00584EC1" w:rsidRDefault="00871F8D">
            <w:pPr>
              <w:jc w:val="right"/>
              <w:textAlignment w:val="bottom"/>
            </w:pPr>
            <w:r>
              <w:rPr>
                <w:rFonts w:ascii="Arial" w:eastAsia="宋体" w:hAnsi="Arial" w:cs="Arial"/>
                <w:color w:val="000000"/>
                <w:sz w:val="14"/>
                <w:szCs w:val="14"/>
              </w:rPr>
              <w:t>3 </w:t>
            </w:r>
          </w:p>
        </w:tc>
        <w:tc>
          <w:tcPr>
            <w:tcW w:w="0" w:type="auto"/>
            <w:shd w:val="clear" w:color="auto" w:fill="CCEEFF"/>
            <w:tcMar>
              <w:top w:w="40" w:type="dxa"/>
              <w:left w:w="0" w:type="dxa"/>
              <w:bottom w:w="40" w:type="dxa"/>
              <w:right w:w="20" w:type="dxa"/>
            </w:tcMar>
            <w:vAlign w:val="bottom"/>
          </w:tcPr>
          <w:p w14:paraId="74DDEDC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DCD"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EDCE"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EDCF" w14:textId="77777777" w:rsidR="00584EC1" w:rsidRDefault="00871F8D">
            <w:pPr>
              <w:jc w:val="right"/>
              <w:textAlignment w:val="bottom"/>
            </w:pPr>
            <w:r>
              <w:rPr>
                <w:rFonts w:ascii="Arial" w:eastAsia="宋体" w:hAnsi="Arial" w:cs="Arial"/>
                <w:color w:val="000000"/>
                <w:sz w:val="14"/>
                <w:szCs w:val="14"/>
              </w:rPr>
              <w:t>18 </w:t>
            </w:r>
          </w:p>
        </w:tc>
        <w:tc>
          <w:tcPr>
            <w:tcW w:w="0" w:type="auto"/>
            <w:shd w:val="clear" w:color="auto" w:fill="CCEEFF"/>
            <w:tcMar>
              <w:top w:w="40" w:type="dxa"/>
              <w:left w:w="0" w:type="dxa"/>
              <w:bottom w:w="40" w:type="dxa"/>
              <w:right w:w="20" w:type="dxa"/>
            </w:tcMar>
            <w:vAlign w:val="bottom"/>
          </w:tcPr>
          <w:p w14:paraId="74DDEDD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DD1"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EDD2"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EDD3" w14:textId="77777777" w:rsidR="00584EC1" w:rsidRDefault="00871F8D">
            <w:pPr>
              <w:jc w:val="right"/>
              <w:textAlignment w:val="bottom"/>
            </w:pPr>
            <w:r>
              <w:rPr>
                <w:rFonts w:ascii="Arial" w:eastAsia="宋体" w:hAnsi="Arial" w:cs="Arial"/>
                <w:color w:val="000000"/>
                <w:sz w:val="14"/>
                <w:szCs w:val="14"/>
              </w:rPr>
              <w:t>1 </w:t>
            </w:r>
          </w:p>
        </w:tc>
        <w:tc>
          <w:tcPr>
            <w:tcW w:w="0" w:type="auto"/>
            <w:shd w:val="clear" w:color="auto" w:fill="CCEEFF"/>
            <w:tcMar>
              <w:top w:w="40" w:type="dxa"/>
              <w:left w:w="0" w:type="dxa"/>
              <w:bottom w:w="40" w:type="dxa"/>
              <w:right w:w="20" w:type="dxa"/>
            </w:tcMar>
            <w:vAlign w:val="bottom"/>
          </w:tcPr>
          <w:p w14:paraId="74DDEDD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DD5"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EDD6"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EDD7" w14:textId="77777777" w:rsidR="00584EC1" w:rsidRDefault="00871F8D">
            <w:pPr>
              <w:jc w:val="right"/>
              <w:textAlignment w:val="bottom"/>
            </w:pPr>
            <w:r>
              <w:rPr>
                <w:rFonts w:ascii="Arial" w:eastAsia="宋体" w:hAnsi="Arial" w:cs="Arial"/>
                <w:color w:val="000000"/>
                <w:sz w:val="14"/>
                <w:szCs w:val="14"/>
              </w:rPr>
              <w:t>163 </w:t>
            </w:r>
          </w:p>
        </w:tc>
        <w:tc>
          <w:tcPr>
            <w:tcW w:w="0" w:type="auto"/>
            <w:shd w:val="clear" w:color="auto" w:fill="CCEEFF"/>
            <w:tcMar>
              <w:top w:w="40" w:type="dxa"/>
              <w:left w:w="0" w:type="dxa"/>
              <w:bottom w:w="40" w:type="dxa"/>
              <w:right w:w="20" w:type="dxa"/>
            </w:tcMar>
            <w:vAlign w:val="bottom"/>
          </w:tcPr>
          <w:p w14:paraId="74DDEDD8" w14:textId="77777777" w:rsidR="00584EC1" w:rsidRDefault="00584EC1">
            <w:pPr>
              <w:jc w:val="right"/>
              <w:rPr>
                <w:rFonts w:ascii="宋体"/>
              </w:rPr>
            </w:pPr>
          </w:p>
        </w:tc>
      </w:tr>
      <w:tr w:rsidR="00584EC1" w14:paraId="74DDEDEF" w14:textId="77777777">
        <w:tc>
          <w:tcPr>
            <w:tcW w:w="0" w:type="auto"/>
            <w:gridSpan w:val="3"/>
            <w:shd w:val="clear" w:color="auto" w:fill="FFFFFF"/>
            <w:tcMar>
              <w:top w:w="40" w:type="dxa"/>
              <w:left w:w="20" w:type="dxa"/>
              <w:bottom w:w="40" w:type="dxa"/>
              <w:right w:w="20" w:type="dxa"/>
            </w:tcMar>
            <w:vAlign w:val="bottom"/>
          </w:tcPr>
          <w:p w14:paraId="74DDEDDA" w14:textId="77777777" w:rsidR="00584EC1" w:rsidRDefault="00871F8D">
            <w:pPr>
              <w:textAlignment w:val="bottom"/>
            </w:pPr>
            <w:r>
              <w:rPr>
                <w:rFonts w:ascii="Arial" w:eastAsia="宋体" w:hAnsi="Arial" w:cs="Arial"/>
                <w:color w:val="000000"/>
                <w:sz w:val="14"/>
                <w:szCs w:val="14"/>
              </w:rPr>
              <w:t>Charge-offs</w:t>
            </w:r>
            <w:r>
              <w:rPr>
                <w:rFonts w:ascii="Arial" w:eastAsia="宋体" w:hAnsi="Arial" w:cs="Arial"/>
                <w:color w:val="000000"/>
                <w:sz w:val="9"/>
                <w:szCs w:val="9"/>
              </w:rPr>
              <w:t>(2)</w:t>
            </w:r>
          </w:p>
        </w:tc>
        <w:tc>
          <w:tcPr>
            <w:tcW w:w="0" w:type="auto"/>
            <w:gridSpan w:val="2"/>
            <w:shd w:val="clear" w:color="auto" w:fill="FFFFFF"/>
            <w:tcMar>
              <w:top w:w="40" w:type="dxa"/>
              <w:left w:w="20" w:type="dxa"/>
              <w:bottom w:w="40" w:type="dxa"/>
              <w:right w:w="0" w:type="dxa"/>
            </w:tcMar>
            <w:vAlign w:val="bottom"/>
          </w:tcPr>
          <w:p w14:paraId="74DDEDDB" w14:textId="77777777" w:rsidR="00584EC1" w:rsidRDefault="00871F8D">
            <w:pPr>
              <w:jc w:val="right"/>
              <w:textAlignment w:val="bottom"/>
            </w:pPr>
            <w:r>
              <w:rPr>
                <w:rFonts w:ascii="Arial" w:eastAsia="宋体" w:hAnsi="Arial" w:cs="Arial"/>
                <w:color w:val="000000"/>
                <w:sz w:val="14"/>
                <w:szCs w:val="14"/>
              </w:rPr>
              <w:t>(14)</w:t>
            </w:r>
          </w:p>
        </w:tc>
        <w:tc>
          <w:tcPr>
            <w:tcW w:w="0" w:type="auto"/>
            <w:shd w:val="clear" w:color="auto" w:fill="FFFFFF"/>
            <w:tcMar>
              <w:top w:w="40" w:type="dxa"/>
              <w:left w:w="0" w:type="dxa"/>
              <w:bottom w:w="40" w:type="dxa"/>
              <w:right w:w="20" w:type="dxa"/>
            </w:tcMar>
            <w:vAlign w:val="bottom"/>
          </w:tcPr>
          <w:p w14:paraId="74DDEDD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DD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DDE"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DD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DE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DE1"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DE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DE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DE4"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DE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DE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DE7"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DE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DE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DEA"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DE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DE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DED" w14:textId="77777777" w:rsidR="00584EC1" w:rsidRDefault="00871F8D">
            <w:pPr>
              <w:jc w:val="right"/>
              <w:textAlignment w:val="bottom"/>
            </w:pPr>
            <w:r>
              <w:rPr>
                <w:rFonts w:ascii="Arial" w:eastAsia="宋体" w:hAnsi="Arial" w:cs="Arial"/>
                <w:color w:val="000000"/>
                <w:sz w:val="14"/>
                <w:szCs w:val="14"/>
              </w:rPr>
              <w:t>(14)</w:t>
            </w:r>
          </w:p>
        </w:tc>
        <w:tc>
          <w:tcPr>
            <w:tcW w:w="0" w:type="auto"/>
            <w:shd w:val="clear" w:color="auto" w:fill="FFFFFF"/>
            <w:tcMar>
              <w:top w:w="40" w:type="dxa"/>
              <w:left w:w="0" w:type="dxa"/>
              <w:bottom w:w="40" w:type="dxa"/>
              <w:right w:w="20" w:type="dxa"/>
            </w:tcMar>
            <w:vAlign w:val="bottom"/>
          </w:tcPr>
          <w:p w14:paraId="74DDEDEE" w14:textId="77777777" w:rsidR="00584EC1" w:rsidRDefault="00584EC1">
            <w:pPr>
              <w:jc w:val="right"/>
              <w:rPr>
                <w:rFonts w:ascii="宋体"/>
              </w:rPr>
            </w:pPr>
          </w:p>
        </w:tc>
      </w:tr>
      <w:tr w:rsidR="00584EC1" w14:paraId="74DDEE05" w14:textId="77777777">
        <w:tc>
          <w:tcPr>
            <w:tcW w:w="0" w:type="auto"/>
            <w:gridSpan w:val="3"/>
            <w:shd w:val="clear" w:color="auto" w:fill="CCEEFF"/>
            <w:tcMar>
              <w:top w:w="40" w:type="dxa"/>
              <w:left w:w="20" w:type="dxa"/>
              <w:bottom w:w="40" w:type="dxa"/>
              <w:right w:w="20" w:type="dxa"/>
            </w:tcMar>
            <w:vAlign w:val="bottom"/>
          </w:tcPr>
          <w:p w14:paraId="74DDEDF0" w14:textId="77777777" w:rsidR="00584EC1" w:rsidRDefault="00871F8D">
            <w:pPr>
              <w:textAlignment w:val="bottom"/>
            </w:pPr>
            <w:r>
              <w:rPr>
                <w:rFonts w:ascii="Arial" w:eastAsia="宋体" w:hAnsi="Arial" w:cs="Arial"/>
                <w:color w:val="000000"/>
                <w:sz w:val="14"/>
                <w:szCs w:val="14"/>
              </w:rPr>
              <w:t>Provision</w:t>
            </w:r>
          </w:p>
        </w:tc>
        <w:tc>
          <w:tcPr>
            <w:tcW w:w="0" w:type="auto"/>
            <w:gridSpan w:val="2"/>
            <w:shd w:val="clear" w:color="auto" w:fill="CCEEFF"/>
            <w:tcMar>
              <w:top w:w="40" w:type="dxa"/>
              <w:left w:w="20" w:type="dxa"/>
              <w:bottom w:w="40" w:type="dxa"/>
              <w:right w:w="0" w:type="dxa"/>
            </w:tcMar>
            <w:vAlign w:val="bottom"/>
          </w:tcPr>
          <w:p w14:paraId="74DDEDF1" w14:textId="77777777" w:rsidR="00584EC1" w:rsidRDefault="00871F8D">
            <w:pPr>
              <w:jc w:val="right"/>
              <w:textAlignment w:val="bottom"/>
            </w:pPr>
            <w:r>
              <w:rPr>
                <w:rFonts w:ascii="Arial" w:eastAsia="宋体" w:hAnsi="Arial" w:cs="Arial"/>
                <w:color w:val="000000"/>
                <w:sz w:val="14"/>
                <w:szCs w:val="14"/>
              </w:rPr>
              <w:t>3 </w:t>
            </w:r>
          </w:p>
        </w:tc>
        <w:tc>
          <w:tcPr>
            <w:tcW w:w="0" w:type="auto"/>
            <w:shd w:val="clear" w:color="auto" w:fill="CCEEFF"/>
            <w:tcMar>
              <w:top w:w="40" w:type="dxa"/>
              <w:left w:w="0" w:type="dxa"/>
              <w:bottom w:w="40" w:type="dxa"/>
              <w:right w:w="20" w:type="dxa"/>
            </w:tcMar>
            <w:vAlign w:val="bottom"/>
          </w:tcPr>
          <w:p w14:paraId="74DDEDF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DF3"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EDF4"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EDF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DF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EDF7"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EDF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DF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EDFA"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EDF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DFC"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EDFD" w14:textId="77777777" w:rsidR="00584EC1" w:rsidRDefault="00871F8D">
            <w:pPr>
              <w:jc w:val="right"/>
              <w:textAlignment w:val="bottom"/>
            </w:pPr>
            <w:r>
              <w:rPr>
                <w:rFonts w:ascii="Arial" w:eastAsia="宋体" w:hAnsi="Arial" w:cs="Arial"/>
                <w:color w:val="000000"/>
                <w:sz w:val="14"/>
                <w:szCs w:val="14"/>
              </w:rPr>
              <w:t>(3)</w:t>
            </w:r>
          </w:p>
        </w:tc>
        <w:tc>
          <w:tcPr>
            <w:tcW w:w="0" w:type="auto"/>
            <w:shd w:val="clear" w:color="auto" w:fill="CCEEFF"/>
            <w:tcMar>
              <w:top w:w="40" w:type="dxa"/>
              <w:left w:w="0" w:type="dxa"/>
              <w:bottom w:w="40" w:type="dxa"/>
              <w:right w:w="20" w:type="dxa"/>
            </w:tcMar>
            <w:vAlign w:val="bottom"/>
          </w:tcPr>
          <w:p w14:paraId="74DDEDF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DFF"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EE00"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EE0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E02"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EE03"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EE04" w14:textId="77777777" w:rsidR="00584EC1" w:rsidRDefault="00584EC1">
            <w:pPr>
              <w:jc w:val="right"/>
              <w:rPr>
                <w:rFonts w:ascii="宋体"/>
              </w:rPr>
            </w:pPr>
          </w:p>
        </w:tc>
      </w:tr>
      <w:tr w:rsidR="00584EC1" w14:paraId="74DDEE14" w14:textId="77777777">
        <w:trPr>
          <w:hidden/>
        </w:trPr>
        <w:tc>
          <w:tcPr>
            <w:tcW w:w="0" w:type="auto"/>
            <w:gridSpan w:val="3"/>
            <w:shd w:val="clear" w:color="auto" w:fill="auto"/>
            <w:vAlign w:val="bottom"/>
          </w:tcPr>
          <w:p w14:paraId="74DDEE06" w14:textId="77777777" w:rsidR="00584EC1" w:rsidRDefault="00584EC1">
            <w:pPr>
              <w:rPr>
                <w:rFonts w:ascii="宋体"/>
                <w:vanish/>
              </w:rPr>
            </w:pPr>
          </w:p>
        </w:tc>
        <w:tc>
          <w:tcPr>
            <w:tcW w:w="0" w:type="auto"/>
            <w:gridSpan w:val="3"/>
            <w:shd w:val="clear" w:color="auto" w:fill="auto"/>
            <w:vAlign w:val="bottom"/>
          </w:tcPr>
          <w:p w14:paraId="74DDEE07" w14:textId="77777777" w:rsidR="00584EC1" w:rsidRDefault="00584EC1">
            <w:pPr>
              <w:rPr>
                <w:rFonts w:ascii="宋体"/>
                <w:vanish/>
              </w:rPr>
            </w:pPr>
          </w:p>
        </w:tc>
        <w:tc>
          <w:tcPr>
            <w:tcW w:w="0" w:type="auto"/>
            <w:gridSpan w:val="3"/>
            <w:shd w:val="clear" w:color="auto" w:fill="auto"/>
            <w:vAlign w:val="bottom"/>
          </w:tcPr>
          <w:p w14:paraId="74DDEE08" w14:textId="77777777" w:rsidR="00584EC1" w:rsidRDefault="00584EC1">
            <w:pPr>
              <w:rPr>
                <w:rFonts w:ascii="宋体"/>
                <w:vanish/>
              </w:rPr>
            </w:pPr>
          </w:p>
        </w:tc>
        <w:tc>
          <w:tcPr>
            <w:tcW w:w="0" w:type="auto"/>
            <w:gridSpan w:val="3"/>
            <w:shd w:val="clear" w:color="auto" w:fill="auto"/>
            <w:vAlign w:val="bottom"/>
          </w:tcPr>
          <w:p w14:paraId="74DDEE09" w14:textId="77777777" w:rsidR="00584EC1" w:rsidRDefault="00584EC1">
            <w:pPr>
              <w:rPr>
                <w:rFonts w:ascii="宋体"/>
                <w:vanish/>
              </w:rPr>
            </w:pPr>
          </w:p>
        </w:tc>
        <w:tc>
          <w:tcPr>
            <w:tcW w:w="0" w:type="auto"/>
            <w:gridSpan w:val="3"/>
            <w:shd w:val="clear" w:color="auto" w:fill="auto"/>
            <w:vAlign w:val="bottom"/>
          </w:tcPr>
          <w:p w14:paraId="74DDEE0A" w14:textId="77777777" w:rsidR="00584EC1" w:rsidRDefault="00584EC1">
            <w:pPr>
              <w:rPr>
                <w:rFonts w:ascii="宋体"/>
                <w:vanish/>
              </w:rPr>
            </w:pPr>
          </w:p>
        </w:tc>
        <w:tc>
          <w:tcPr>
            <w:tcW w:w="0" w:type="auto"/>
            <w:gridSpan w:val="3"/>
            <w:shd w:val="clear" w:color="auto" w:fill="auto"/>
            <w:vAlign w:val="bottom"/>
          </w:tcPr>
          <w:p w14:paraId="74DDEE0B" w14:textId="77777777" w:rsidR="00584EC1" w:rsidRDefault="00584EC1">
            <w:pPr>
              <w:rPr>
                <w:rFonts w:ascii="宋体"/>
                <w:vanish/>
              </w:rPr>
            </w:pPr>
          </w:p>
        </w:tc>
        <w:tc>
          <w:tcPr>
            <w:tcW w:w="0" w:type="auto"/>
            <w:gridSpan w:val="3"/>
            <w:shd w:val="clear" w:color="auto" w:fill="auto"/>
            <w:vAlign w:val="bottom"/>
          </w:tcPr>
          <w:p w14:paraId="74DDEE0C" w14:textId="77777777" w:rsidR="00584EC1" w:rsidRDefault="00584EC1">
            <w:pPr>
              <w:rPr>
                <w:rFonts w:ascii="宋体"/>
                <w:vanish/>
              </w:rPr>
            </w:pPr>
          </w:p>
        </w:tc>
        <w:tc>
          <w:tcPr>
            <w:tcW w:w="0" w:type="auto"/>
            <w:gridSpan w:val="3"/>
            <w:shd w:val="clear" w:color="auto" w:fill="auto"/>
            <w:vAlign w:val="bottom"/>
          </w:tcPr>
          <w:p w14:paraId="74DDEE0D" w14:textId="77777777" w:rsidR="00584EC1" w:rsidRDefault="00584EC1">
            <w:pPr>
              <w:rPr>
                <w:rFonts w:ascii="宋体"/>
                <w:vanish/>
              </w:rPr>
            </w:pPr>
          </w:p>
        </w:tc>
        <w:tc>
          <w:tcPr>
            <w:tcW w:w="0" w:type="auto"/>
            <w:gridSpan w:val="3"/>
            <w:shd w:val="clear" w:color="auto" w:fill="auto"/>
            <w:vAlign w:val="bottom"/>
          </w:tcPr>
          <w:p w14:paraId="74DDEE0E" w14:textId="77777777" w:rsidR="00584EC1" w:rsidRDefault="00584EC1">
            <w:pPr>
              <w:rPr>
                <w:rFonts w:ascii="宋体"/>
                <w:vanish/>
              </w:rPr>
            </w:pPr>
          </w:p>
        </w:tc>
        <w:tc>
          <w:tcPr>
            <w:tcW w:w="0" w:type="auto"/>
            <w:gridSpan w:val="3"/>
            <w:shd w:val="clear" w:color="auto" w:fill="auto"/>
            <w:vAlign w:val="bottom"/>
          </w:tcPr>
          <w:p w14:paraId="74DDEE0F" w14:textId="77777777" w:rsidR="00584EC1" w:rsidRDefault="00584EC1">
            <w:pPr>
              <w:rPr>
                <w:rFonts w:ascii="宋体"/>
                <w:vanish/>
              </w:rPr>
            </w:pPr>
          </w:p>
        </w:tc>
        <w:tc>
          <w:tcPr>
            <w:tcW w:w="0" w:type="auto"/>
            <w:gridSpan w:val="3"/>
            <w:shd w:val="clear" w:color="auto" w:fill="auto"/>
            <w:vAlign w:val="bottom"/>
          </w:tcPr>
          <w:p w14:paraId="74DDEE10" w14:textId="77777777" w:rsidR="00584EC1" w:rsidRDefault="00584EC1">
            <w:pPr>
              <w:rPr>
                <w:rFonts w:ascii="宋体"/>
                <w:vanish/>
              </w:rPr>
            </w:pPr>
          </w:p>
        </w:tc>
        <w:tc>
          <w:tcPr>
            <w:tcW w:w="0" w:type="auto"/>
            <w:gridSpan w:val="3"/>
            <w:shd w:val="clear" w:color="auto" w:fill="auto"/>
            <w:vAlign w:val="bottom"/>
          </w:tcPr>
          <w:p w14:paraId="74DDEE11" w14:textId="77777777" w:rsidR="00584EC1" w:rsidRDefault="00584EC1">
            <w:pPr>
              <w:rPr>
                <w:rFonts w:ascii="宋体"/>
                <w:vanish/>
              </w:rPr>
            </w:pPr>
          </w:p>
        </w:tc>
        <w:tc>
          <w:tcPr>
            <w:tcW w:w="0" w:type="auto"/>
            <w:gridSpan w:val="3"/>
            <w:shd w:val="clear" w:color="auto" w:fill="auto"/>
            <w:vAlign w:val="bottom"/>
          </w:tcPr>
          <w:p w14:paraId="74DDEE12" w14:textId="77777777" w:rsidR="00584EC1" w:rsidRDefault="00584EC1">
            <w:pPr>
              <w:rPr>
                <w:rFonts w:ascii="宋体"/>
                <w:vanish/>
              </w:rPr>
            </w:pPr>
          </w:p>
        </w:tc>
        <w:tc>
          <w:tcPr>
            <w:tcW w:w="0" w:type="auto"/>
            <w:gridSpan w:val="3"/>
            <w:shd w:val="clear" w:color="auto" w:fill="auto"/>
            <w:vAlign w:val="bottom"/>
          </w:tcPr>
          <w:p w14:paraId="74DDEE13" w14:textId="77777777" w:rsidR="00584EC1" w:rsidRDefault="00584EC1">
            <w:pPr>
              <w:rPr>
                <w:rFonts w:ascii="宋体"/>
                <w:vanish/>
              </w:rPr>
            </w:pPr>
          </w:p>
        </w:tc>
      </w:tr>
      <w:tr w:rsidR="00584EC1" w14:paraId="74DDEE2A" w14:textId="77777777">
        <w:tc>
          <w:tcPr>
            <w:tcW w:w="0" w:type="auto"/>
            <w:gridSpan w:val="3"/>
            <w:shd w:val="clear" w:color="auto" w:fill="FFFFFF"/>
            <w:tcMar>
              <w:top w:w="40" w:type="dxa"/>
              <w:left w:w="20" w:type="dxa"/>
              <w:bottom w:w="40" w:type="dxa"/>
              <w:right w:w="20" w:type="dxa"/>
            </w:tcMar>
            <w:vAlign w:val="bottom"/>
          </w:tcPr>
          <w:p w14:paraId="74DDEE15" w14:textId="77777777" w:rsidR="00584EC1" w:rsidRDefault="00871F8D">
            <w:pPr>
              <w:textAlignment w:val="bottom"/>
            </w:pPr>
            <w:r>
              <w:rPr>
                <w:rFonts w:ascii="Arial" w:eastAsia="宋体" w:hAnsi="Arial" w:cs="Arial"/>
                <w:color w:val="000000"/>
                <w:sz w:val="14"/>
                <w:szCs w:val="14"/>
              </w:rPr>
              <w:t>Foreign currency translation</w:t>
            </w:r>
          </w:p>
        </w:tc>
        <w:tc>
          <w:tcPr>
            <w:tcW w:w="0" w:type="auto"/>
            <w:gridSpan w:val="2"/>
            <w:shd w:val="clear" w:color="auto" w:fill="FFFFFF"/>
            <w:tcMar>
              <w:top w:w="40" w:type="dxa"/>
              <w:left w:w="20" w:type="dxa"/>
              <w:bottom w:w="40" w:type="dxa"/>
              <w:right w:w="0" w:type="dxa"/>
            </w:tcMar>
            <w:vAlign w:val="bottom"/>
          </w:tcPr>
          <w:p w14:paraId="74DDEE16" w14:textId="77777777" w:rsidR="00584EC1" w:rsidRDefault="00871F8D">
            <w:pPr>
              <w:jc w:val="right"/>
              <w:textAlignment w:val="bottom"/>
            </w:pPr>
            <w:r>
              <w:rPr>
                <w:rFonts w:ascii="Arial" w:eastAsia="宋体" w:hAnsi="Arial" w:cs="Arial"/>
                <w:color w:val="000000"/>
                <w:sz w:val="14"/>
                <w:szCs w:val="14"/>
              </w:rPr>
              <w:t>4 </w:t>
            </w:r>
          </w:p>
        </w:tc>
        <w:tc>
          <w:tcPr>
            <w:tcW w:w="0" w:type="auto"/>
            <w:shd w:val="clear" w:color="auto" w:fill="FFFFFF"/>
            <w:tcMar>
              <w:top w:w="40" w:type="dxa"/>
              <w:left w:w="0" w:type="dxa"/>
              <w:bottom w:w="40" w:type="dxa"/>
              <w:right w:w="20" w:type="dxa"/>
            </w:tcMar>
            <w:vAlign w:val="bottom"/>
          </w:tcPr>
          <w:p w14:paraId="74DDEE1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E18"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E19"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E1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E1B"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E1C"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E1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E1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E1F"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E2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E2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E22"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E2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E2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E25"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E2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E2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E28" w14:textId="77777777" w:rsidR="00584EC1" w:rsidRDefault="00871F8D">
            <w:pPr>
              <w:jc w:val="right"/>
              <w:textAlignment w:val="bottom"/>
            </w:pPr>
            <w:r>
              <w:rPr>
                <w:rFonts w:ascii="Arial" w:eastAsia="宋体" w:hAnsi="Arial" w:cs="Arial"/>
                <w:color w:val="000000"/>
                <w:sz w:val="14"/>
                <w:szCs w:val="14"/>
              </w:rPr>
              <w:t>4 </w:t>
            </w:r>
          </w:p>
        </w:tc>
        <w:tc>
          <w:tcPr>
            <w:tcW w:w="0" w:type="auto"/>
            <w:shd w:val="clear" w:color="auto" w:fill="FFFFFF"/>
            <w:tcMar>
              <w:top w:w="40" w:type="dxa"/>
              <w:left w:w="0" w:type="dxa"/>
              <w:bottom w:w="40" w:type="dxa"/>
              <w:right w:w="20" w:type="dxa"/>
            </w:tcMar>
            <w:vAlign w:val="bottom"/>
          </w:tcPr>
          <w:p w14:paraId="74DDEE29" w14:textId="77777777" w:rsidR="00584EC1" w:rsidRDefault="00584EC1">
            <w:pPr>
              <w:jc w:val="right"/>
              <w:rPr>
                <w:rFonts w:ascii="宋体"/>
              </w:rPr>
            </w:pPr>
          </w:p>
        </w:tc>
      </w:tr>
      <w:tr w:rsidR="00584EC1" w14:paraId="74DDEE39" w14:textId="77777777">
        <w:trPr>
          <w:hidden/>
        </w:trPr>
        <w:tc>
          <w:tcPr>
            <w:tcW w:w="0" w:type="auto"/>
            <w:gridSpan w:val="3"/>
            <w:shd w:val="clear" w:color="auto" w:fill="auto"/>
            <w:vAlign w:val="bottom"/>
          </w:tcPr>
          <w:p w14:paraId="74DDEE2B" w14:textId="77777777" w:rsidR="00584EC1" w:rsidRDefault="00584EC1">
            <w:pPr>
              <w:rPr>
                <w:rFonts w:ascii="宋体"/>
                <w:vanish/>
              </w:rPr>
            </w:pPr>
          </w:p>
        </w:tc>
        <w:tc>
          <w:tcPr>
            <w:tcW w:w="0" w:type="auto"/>
            <w:gridSpan w:val="3"/>
            <w:shd w:val="clear" w:color="auto" w:fill="auto"/>
            <w:vAlign w:val="bottom"/>
          </w:tcPr>
          <w:p w14:paraId="74DDEE2C" w14:textId="77777777" w:rsidR="00584EC1" w:rsidRDefault="00584EC1">
            <w:pPr>
              <w:rPr>
                <w:rFonts w:ascii="宋体"/>
                <w:vanish/>
              </w:rPr>
            </w:pPr>
          </w:p>
        </w:tc>
        <w:tc>
          <w:tcPr>
            <w:tcW w:w="0" w:type="auto"/>
            <w:gridSpan w:val="3"/>
            <w:shd w:val="clear" w:color="auto" w:fill="auto"/>
            <w:vAlign w:val="bottom"/>
          </w:tcPr>
          <w:p w14:paraId="74DDEE2D" w14:textId="77777777" w:rsidR="00584EC1" w:rsidRDefault="00584EC1">
            <w:pPr>
              <w:rPr>
                <w:rFonts w:ascii="宋体"/>
                <w:vanish/>
              </w:rPr>
            </w:pPr>
          </w:p>
        </w:tc>
        <w:tc>
          <w:tcPr>
            <w:tcW w:w="0" w:type="auto"/>
            <w:gridSpan w:val="3"/>
            <w:shd w:val="clear" w:color="auto" w:fill="auto"/>
            <w:vAlign w:val="bottom"/>
          </w:tcPr>
          <w:p w14:paraId="74DDEE2E" w14:textId="77777777" w:rsidR="00584EC1" w:rsidRDefault="00584EC1">
            <w:pPr>
              <w:rPr>
                <w:rFonts w:ascii="宋体"/>
                <w:vanish/>
              </w:rPr>
            </w:pPr>
          </w:p>
        </w:tc>
        <w:tc>
          <w:tcPr>
            <w:tcW w:w="0" w:type="auto"/>
            <w:gridSpan w:val="3"/>
            <w:shd w:val="clear" w:color="auto" w:fill="auto"/>
            <w:vAlign w:val="bottom"/>
          </w:tcPr>
          <w:p w14:paraId="74DDEE2F" w14:textId="77777777" w:rsidR="00584EC1" w:rsidRDefault="00584EC1">
            <w:pPr>
              <w:rPr>
                <w:rFonts w:ascii="宋体"/>
                <w:vanish/>
              </w:rPr>
            </w:pPr>
          </w:p>
        </w:tc>
        <w:tc>
          <w:tcPr>
            <w:tcW w:w="0" w:type="auto"/>
            <w:gridSpan w:val="3"/>
            <w:shd w:val="clear" w:color="auto" w:fill="auto"/>
            <w:vAlign w:val="bottom"/>
          </w:tcPr>
          <w:p w14:paraId="74DDEE30" w14:textId="77777777" w:rsidR="00584EC1" w:rsidRDefault="00584EC1">
            <w:pPr>
              <w:rPr>
                <w:rFonts w:ascii="宋体"/>
                <w:vanish/>
              </w:rPr>
            </w:pPr>
          </w:p>
        </w:tc>
        <w:tc>
          <w:tcPr>
            <w:tcW w:w="0" w:type="auto"/>
            <w:gridSpan w:val="3"/>
            <w:shd w:val="clear" w:color="auto" w:fill="auto"/>
            <w:vAlign w:val="bottom"/>
          </w:tcPr>
          <w:p w14:paraId="74DDEE31" w14:textId="77777777" w:rsidR="00584EC1" w:rsidRDefault="00584EC1">
            <w:pPr>
              <w:rPr>
                <w:rFonts w:ascii="宋体"/>
                <w:vanish/>
              </w:rPr>
            </w:pPr>
          </w:p>
        </w:tc>
        <w:tc>
          <w:tcPr>
            <w:tcW w:w="0" w:type="auto"/>
            <w:gridSpan w:val="3"/>
            <w:shd w:val="clear" w:color="auto" w:fill="auto"/>
            <w:vAlign w:val="bottom"/>
          </w:tcPr>
          <w:p w14:paraId="74DDEE32" w14:textId="77777777" w:rsidR="00584EC1" w:rsidRDefault="00584EC1">
            <w:pPr>
              <w:rPr>
                <w:rFonts w:ascii="宋体"/>
                <w:vanish/>
              </w:rPr>
            </w:pPr>
          </w:p>
        </w:tc>
        <w:tc>
          <w:tcPr>
            <w:tcW w:w="0" w:type="auto"/>
            <w:gridSpan w:val="3"/>
            <w:shd w:val="clear" w:color="auto" w:fill="auto"/>
            <w:vAlign w:val="bottom"/>
          </w:tcPr>
          <w:p w14:paraId="74DDEE33" w14:textId="77777777" w:rsidR="00584EC1" w:rsidRDefault="00584EC1">
            <w:pPr>
              <w:rPr>
                <w:rFonts w:ascii="宋体"/>
                <w:vanish/>
              </w:rPr>
            </w:pPr>
          </w:p>
        </w:tc>
        <w:tc>
          <w:tcPr>
            <w:tcW w:w="0" w:type="auto"/>
            <w:gridSpan w:val="3"/>
            <w:shd w:val="clear" w:color="auto" w:fill="auto"/>
            <w:vAlign w:val="bottom"/>
          </w:tcPr>
          <w:p w14:paraId="74DDEE34" w14:textId="77777777" w:rsidR="00584EC1" w:rsidRDefault="00584EC1">
            <w:pPr>
              <w:rPr>
                <w:rFonts w:ascii="宋体"/>
                <w:vanish/>
              </w:rPr>
            </w:pPr>
          </w:p>
        </w:tc>
        <w:tc>
          <w:tcPr>
            <w:tcW w:w="0" w:type="auto"/>
            <w:gridSpan w:val="3"/>
            <w:shd w:val="clear" w:color="auto" w:fill="auto"/>
            <w:vAlign w:val="bottom"/>
          </w:tcPr>
          <w:p w14:paraId="74DDEE35" w14:textId="77777777" w:rsidR="00584EC1" w:rsidRDefault="00584EC1">
            <w:pPr>
              <w:rPr>
                <w:rFonts w:ascii="宋体"/>
                <w:vanish/>
              </w:rPr>
            </w:pPr>
          </w:p>
        </w:tc>
        <w:tc>
          <w:tcPr>
            <w:tcW w:w="0" w:type="auto"/>
            <w:gridSpan w:val="3"/>
            <w:shd w:val="clear" w:color="auto" w:fill="auto"/>
            <w:vAlign w:val="bottom"/>
          </w:tcPr>
          <w:p w14:paraId="74DDEE36" w14:textId="77777777" w:rsidR="00584EC1" w:rsidRDefault="00584EC1">
            <w:pPr>
              <w:rPr>
                <w:rFonts w:ascii="宋体"/>
                <w:vanish/>
              </w:rPr>
            </w:pPr>
          </w:p>
        </w:tc>
        <w:tc>
          <w:tcPr>
            <w:tcW w:w="0" w:type="auto"/>
            <w:gridSpan w:val="3"/>
            <w:shd w:val="clear" w:color="auto" w:fill="auto"/>
            <w:vAlign w:val="bottom"/>
          </w:tcPr>
          <w:p w14:paraId="74DDEE37" w14:textId="77777777" w:rsidR="00584EC1" w:rsidRDefault="00584EC1">
            <w:pPr>
              <w:rPr>
                <w:rFonts w:ascii="宋体"/>
                <w:vanish/>
              </w:rPr>
            </w:pPr>
          </w:p>
        </w:tc>
        <w:tc>
          <w:tcPr>
            <w:tcW w:w="0" w:type="auto"/>
            <w:gridSpan w:val="3"/>
            <w:shd w:val="clear" w:color="auto" w:fill="auto"/>
            <w:vAlign w:val="bottom"/>
          </w:tcPr>
          <w:p w14:paraId="74DDEE38" w14:textId="77777777" w:rsidR="00584EC1" w:rsidRDefault="00584EC1">
            <w:pPr>
              <w:rPr>
                <w:rFonts w:ascii="宋体"/>
                <w:vanish/>
              </w:rPr>
            </w:pPr>
          </w:p>
        </w:tc>
      </w:tr>
      <w:tr w:rsidR="00584EC1" w14:paraId="74DDEE56" w14:textId="77777777">
        <w:tc>
          <w:tcPr>
            <w:tcW w:w="0" w:type="auto"/>
            <w:gridSpan w:val="3"/>
            <w:shd w:val="clear" w:color="auto" w:fill="CCEEFF"/>
            <w:tcMar>
              <w:top w:w="40" w:type="dxa"/>
              <w:left w:w="20" w:type="dxa"/>
              <w:bottom w:w="40" w:type="dxa"/>
              <w:right w:w="20" w:type="dxa"/>
            </w:tcMar>
            <w:vAlign w:val="bottom"/>
          </w:tcPr>
          <w:p w14:paraId="74DDEE3A" w14:textId="77777777" w:rsidR="00584EC1" w:rsidRDefault="00871F8D">
            <w:pPr>
              <w:textAlignment w:val="bottom"/>
            </w:pPr>
            <w:r>
              <w:rPr>
                <w:rFonts w:ascii="Arial" w:eastAsia="宋体" w:hAnsi="Arial" w:cs="Arial"/>
                <w:color w:val="000000"/>
                <w:sz w:val="14"/>
                <w:szCs w:val="14"/>
              </w:rPr>
              <w:t xml:space="preserve">Ending </w:t>
            </w:r>
            <w:r>
              <w:rPr>
                <w:rFonts w:ascii="Arial" w:eastAsia="宋体" w:hAnsi="Arial" w:cs="Arial"/>
                <w:color w:val="000000"/>
                <w:sz w:val="14"/>
                <w:szCs w:val="14"/>
              </w:rPr>
              <w:t>balance</w:t>
            </w:r>
          </w:p>
        </w:tc>
        <w:tc>
          <w:tcPr>
            <w:tcW w:w="0" w:type="auto"/>
            <w:tcBorders>
              <w:top w:val="single" w:sz="8" w:space="0" w:color="000000"/>
            </w:tcBorders>
            <w:shd w:val="clear" w:color="auto" w:fill="CCEEFF"/>
            <w:tcMar>
              <w:top w:w="40" w:type="dxa"/>
              <w:left w:w="20" w:type="dxa"/>
              <w:bottom w:w="40" w:type="dxa"/>
              <w:right w:w="0" w:type="dxa"/>
            </w:tcMar>
            <w:vAlign w:val="bottom"/>
          </w:tcPr>
          <w:p w14:paraId="74DDEE3B"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EE3C" w14:textId="77777777" w:rsidR="00584EC1" w:rsidRDefault="00871F8D">
            <w:pPr>
              <w:jc w:val="right"/>
              <w:textAlignment w:val="bottom"/>
            </w:pPr>
            <w:r>
              <w:rPr>
                <w:rFonts w:ascii="Arial" w:eastAsia="宋体" w:hAnsi="Arial" w:cs="Arial"/>
                <w:color w:val="000000"/>
                <w:sz w:val="14"/>
                <w:szCs w:val="14"/>
              </w:rPr>
              <w:t>106 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EE3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E3E"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EE3F"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EE40" w14:textId="77777777" w:rsidR="00584EC1" w:rsidRDefault="00871F8D">
            <w:pPr>
              <w:jc w:val="right"/>
              <w:textAlignment w:val="bottom"/>
            </w:pPr>
            <w:r>
              <w:rPr>
                <w:rFonts w:ascii="Arial" w:eastAsia="宋体" w:hAnsi="Arial" w:cs="Arial"/>
                <w:color w:val="000000"/>
                <w:sz w:val="14"/>
                <w:szCs w:val="14"/>
              </w:rPr>
              <w:t>20 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EE4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E42"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EE43"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EE44" w14:textId="77777777" w:rsidR="00584EC1" w:rsidRDefault="00871F8D">
            <w:pPr>
              <w:jc w:val="right"/>
              <w:textAlignment w:val="bottom"/>
            </w:pPr>
            <w:r>
              <w:rPr>
                <w:rFonts w:ascii="Arial" w:eastAsia="宋体" w:hAnsi="Arial" w:cs="Arial"/>
                <w:color w:val="000000"/>
                <w:sz w:val="14"/>
                <w:szCs w:val="14"/>
              </w:rPr>
              <w:t>8 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EE4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E46"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EE47"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EE48" w14:textId="77777777" w:rsidR="00584EC1" w:rsidRDefault="00871F8D">
            <w:pPr>
              <w:jc w:val="right"/>
              <w:textAlignment w:val="bottom"/>
            </w:pPr>
            <w:r>
              <w:rPr>
                <w:rFonts w:ascii="Arial" w:eastAsia="宋体" w:hAnsi="Arial" w:cs="Arial"/>
                <w:color w:val="000000"/>
                <w:sz w:val="14"/>
                <w:szCs w:val="14"/>
              </w:rPr>
              <w:t>3 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EE4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E4A"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EE4B"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EE4C" w14:textId="77777777" w:rsidR="00584EC1" w:rsidRDefault="00871F8D">
            <w:pPr>
              <w:jc w:val="right"/>
              <w:textAlignment w:val="bottom"/>
            </w:pPr>
            <w:r>
              <w:rPr>
                <w:rFonts w:ascii="Arial" w:eastAsia="宋体" w:hAnsi="Arial" w:cs="Arial"/>
                <w:color w:val="000000"/>
                <w:sz w:val="14"/>
                <w:szCs w:val="14"/>
              </w:rPr>
              <w:t>15 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EE4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E4E"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EE4F"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EE50" w14:textId="77777777" w:rsidR="00584EC1" w:rsidRDefault="00871F8D">
            <w:pPr>
              <w:jc w:val="right"/>
              <w:textAlignment w:val="bottom"/>
            </w:pPr>
            <w:r>
              <w:rPr>
                <w:rFonts w:ascii="Arial" w:eastAsia="宋体" w:hAnsi="Arial" w:cs="Arial"/>
                <w:color w:val="000000"/>
                <w:sz w:val="14"/>
                <w:szCs w:val="14"/>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EE5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E52"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EE53"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EE54" w14:textId="77777777" w:rsidR="00584EC1" w:rsidRDefault="00871F8D">
            <w:pPr>
              <w:jc w:val="right"/>
              <w:textAlignment w:val="bottom"/>
            </w:pPr>
            <w:r>
              <w:rPr>
                <w:rFonts w:ascii="Arial" w:eastAsia="宋体" w:hAnsi="Arial" w:cs="Arial"/>
                <w:color w:val="000000"/>
                <w:sz w:val="14"/>
                <w:szCs w:val="14"/>
              </w:rPr>
              <w:t>153 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EE55" w14:textId="77777777" w:rsidR="00584EC1" w:rsidRDefault="00584EC1">
            <w:pPr>
              <w:jc w:val="right"/>
              <w:rPr>
                <w:rFonts w:ascii="宋体"/>
              </w:rPr>
            </w:pPr>
          </w:p>
        </w:tc>
      </w:tr>
      <w:tr w:rsidR="00584EC1" w14:paraId="74DDEE65" w14:textId="77777777">
        <w:trPr>
          <w:trHeight w:val="100"/>
        </w:trPr>
        <w:tc>
          <w:tcPr>
            <w:tcW w:w="0" w:type="auto"/>
            <w:gridSpan w:val="3"/>
            <w:shd w:val="clear" w:color="auto" w:fill="FFFFFF"/>
            <w:tcMar>
              <w:top w:w="0" w:type="dxa"/>
              <w:left w:w="20" w:type="dxa"/>
              <w:bottom w:w="0" w:type="dxa"/>
              <w:right w:w="20" w:type="dxa"/>
            </w:tcMar>
            <w:vAlign w:val="bottom"/>
          </w:tcPr>
          <w:p w14:paraId="74DDEE57"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EE58"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EE59"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EE5A"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EE5B"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EE5C"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EE5D"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EE5E"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EE5F"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EE60"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EE61"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EE6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EE63"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EE64" w14:textId="77777777" w:rsidR="00584EC1" w:rsidRDefault="00584EC1">
            <w:pPr>
              <w:rPr>
                <w:rFonts w:ascii="宋体"/>
              </w:rPr>
            </w:pPr>
          </w:p>
        </w:tc>
      </w:tr>
      <w:tr w:rsidR="00584EC1" w14:paraId="74DDEE67" w14:textId="77777777">
        <w:tc>
          <w:tcPr>
            <w:tcW w:w="0" w:type="auto"/>
            <w:gridSpan w:val="42"/>
            <w:tcBorders>
              <w:top w:val="single" w:sz="8" w:space="0" w:color="000000"/>
            </w:tcBorders>
            <w:shd w:val="clear" w:color="auto" w:fill="auto"/>
            <w:tcMar>
              <w:top w:w="40" w:type="dxa"/>
              <w:left w:w="20" w:type="dxa"/>
              <w:bottom w:w="40" w:type="dxa"/>
              <w:right w:w="20" w:type="dxa"/>
            </w:tcMar>
            <w:vAlign w:val="bottom"/>
          </w:tcPr>
          <w:p w14:paraId="74DDEE66" w14:textId="77777777" w:rsidR="00584EC1" w:rsidRDefault="00871F8D">
            <w:pPr>
              <w:textAlignment w:val="bottom"/>
            </w:pPr>
            <w:r>
              <w:rPr>
                <w:rFonts w:ascii="Arial" w:eastAsia="宋体" w:hAnsi="Arial" w:cs="Arial"/>
                <w:color w:val="000000"/>
                <w:sz w:val="8"/>
                <w:szCs w:val="8"/>
              </w:rPr>
              <w:t>(1)</w:t>
            </w:r>
            <w:r>
              <w:rPr>
                <w:rFonts w:ascii="Arial" w:eastAsia="宋体" w:hAnsi="Arial" w:cs="Arial"/>
                <w:color w:val="000000"/>
                <w:sz w:val="13"/>
                <w:szCs w:val="13"/>
              </w:rPr>
              <w:t xml:space="preserve"> Includes $15 million allowance for credit losses on Fund Finance loans and $5 million on other loans.</w:t>
            </w:r>
          </w:p>
        </w:tc>
      </w:tr>
      <w:tr w:rsidR="00584EC1" w14:paraId="74DDEE69" w14:textId="77777777">
        <w:tc>
          <w:tcPr>
            <w:tcW w:w="0" w:type="auto"/>
            <w:gridSpan w:val="42"/>
            <w:shd w:val="clear" w:color="auto" w:fill="auto"/>
            <w:tcMar>
              <w:top w:w="40" w:type="dxa"/>
              <w:left w:w="20" w:type="dxa"/>
              <w:bottom w:w="40" w:type="dxa"/>
              <w:right w:w="20" w:type="dxa"/>
            </w:tcMar>
            <w:vAlign w:val="bottom"/>
          </w:tcPr>
          <w:p w14:paraId="74DDEE68" w14:textId="77777777" w:rsidR="00584EC1" w:rsidRDefault="00871F8D">
            <w:pPr>
              <w:textAlignment w:val="bottom"/>
            </w:pPr>
            <w:r>
              <w:rPr>
                <w:rFonts w:ascii="Arial" w:eastAsia="宋体" w:hAnsi="Arial" w:cs="Arial"/>
                <w:color w:val="000000"/>
                <w:sz w:val="8"/>
                <w:szCs w:val="8"/>
              </w:rPr>
              <w:t>(2)</w:t>
            </w:r>
            <w:r>
              <w:rPr>
                <w:rFonts w:ascii="Arial" w:eastAsia="宋体" w:hAnsi="Arial" w:cs="Arial"/>
                <w:color w:val="000000"/>
                <w:sz w:val="13"/>
                <w:szCs w:val="13"/>
              </w:rPr>
              <w:t xml:space="preserve"> Related to the sale of leveraged loans in the third quarter of 2020.</w:t>
            </w:r>
          </w:p>
        </w:tc>
      </w:tr>
    </w:tbl>
    <w:p w14:paraId="74DDEE6A" w14:textId="77777777" w:rsidR="00584EC1" w:rsidRDefault="00584EC1">
      <w:pPr>
        <w:rPr>
          <w:vanish/>
        </w:rPr>
      </w:pPr>
    </w:p>
    <w:tbl>
      <w:tblPr>
        <w:tblW w:w="4993" w:type="pct"/>
        <w:tblCellMar>
          <w:top w:w="15" w:type="dxa"/>
          <w:left w:w="15" w:type="dxa"/>
          <w:bottom w:w="15" w:type="dxa"/>
          <w:right w:w="15" w:type="dxa"/>
        </w:tblCellMar>
        <w:tblLook w:val="04A0" w:firstRow="1" w:lastRow="0" w:firstColumn="1" w:lastColumn="0" w:noHBand="0" w:noVBand="1"/>
      </w:tblPr>
      <w:tblGrid>
        <w:gridCol w:w="44"/>
        <w:gridCol w:w="1528"/>
        <w:gridCol w:w="38"/>
        <w:gridCol w:w="99"/>
        <w:gridCol w:w="681"/>
        <w:gridCol w:w="37"/>
        <w:gridCol w:w="36"/>
        <w:gridCol w:w="36"/>
        <w:gridCol w:w="36"/>
        <w:gridCol w:w="99"/>
        <w:gridCol w:w="631"/>
        <w:gridCol w:w="37"/>
        <w:gridCol w:w="36"/>
        <w:gridCol w:w="36"/>
        <w:gridCol w:w="36"/>
        <w:gridCol w:w="99"/>
        <w:gridCol w:w="750"/>
        <w:gridCol w:w="36"/>
        <w:gridCol w:w="36"/>
        <w:gridCol w:w="36"/>
        <w:gridCol w:w="36"/>
        <w:gridCol w:w="99"/>
        <w:gridCol w:w="1009"/>
        <w:gridCol w:w="36"/>
        <w:gridCol w:w="36"/>
        <w:gridCol w:w="36"/>
        <w:gridCol w:w="36"/>
        <w:gridCol w:w="99"/>
        <w:gridCol w:w="893"/>
        <w:gridCol w:w="36"/>
        <w:gridCol w:w="36"/>
        <w:gridCol w:w="36"/>
        <w:gridCol w:w="36"/>
        <w:gridCol w:w="99"/>
        <w:gridCol w:w="510"/>
        <w:gridCol w:w="36"/>
        <w:gridCol w:w="36"/>
        <w:gridCol w:w="36"/>
        <w:gridCol w:w="36"/>
        <w:gridCol w:w="98"/>
        <w:gridCol w:w="646"/>
        <w:gridCol w:w="36"/>
      </w:tblGrid>
      <w:tr w:rsidR="00584EC1" w14:paraId="74DDEE95" w14:textId="77777777">
        <w:tc>
          <w:tcPr>
            <w:tcW w:w="50" w:type="pct"/>
            <w:shd w:val="clear" w:color="auto" w:fill="auto"/>
            <w:vAlign w:val="bottom"/>
          </w:tcPr>
          <w:p w14:paraId="74DDEE6B" w14:textId="77777777" w:rsidR="00584EC1" w:rsidRDefault="00584EC1">
            <w:pPr>
              <w:rPr>
                <w:rFonts w:ascii="宋体"/>
              </w:rPr>
            </w:pPr>
          </w:p>
        </w:tc>
        <w:tc>
          <w:tcPr>
            <w:tcW w:w="962" w:type="pct"/>
            <w:shd w:val="clear" w:color="auto" w:fill="auto"/>
            <w:vAlign w:val="bottom"/>
          </w:tcPr>
          <w:p w14:paraId="74DDEE6C" w14:textId="77777777" w:rsidR="00584EC1" w:rsidRDefault="00584EC1">
            <w:pPr>
              <w:rPr>
                <w:rFonts w:ascii="宋体"/>
              </w:rPr>
            </w:pPr>
          </w:p>
        </w:tc>
        <w:tc>
          <w:tcPr>
            <w:tcW w:w="5" w:type="pct"/>
            <w:shd w:val="clear" w:color="auto" w:fill="auto"/>
            <w:vAlign w:val="bottom"/>
          </w:tcPr>
          <w:p w14:paraId="74DDEE6D" w14:textId="77777777" w:rsidR="00584EC1" w:rsidRDefault="00584EC1">
            <w:pPr>
              <w:rPr>
                <w:rFonts w:ascii="宋体"/>
              </w:rPr>
            </w:pPr>
          </w:p>
        </w:tc>
        <w:tc>
          <w:tcPr>
            <w:tcW w:w="50" w:type="pct"/>
            <w:shd w:val="clear" w:color="auto" w:fill="auto"/>
            <w:vAlign w:val="bottom"/>
          </w:tcPr>
          <w:p w14:paraId="74DDEE6E" w14:textId="77777777" w:rsidR="00584EC1" w:rsidRDefault="00584EC1">
            <w:pPr>
              <w:rPr>
                <w:rFonts w:ascii="宋体"/>
              </w:rPr>
            </w:pPr>
          </w:p>
        </w:tc>
        <w:tc>
          <w:tcPr>
            <w:tcW w:w="442" w:type="pct"/>
            <w:shd w:val="clear" w:color="auto" w:fill="auto"/>
            <w:vAlign w:val="bottom"/>
          </w:tcPr>
          <w:p w14:paraId="74DDEE6F" w14:textId="77777777" w:rsidR="00584EC1" w:rsidRDefault="00584EC1">
            <w:pPr>
              <w:rPr>
                <w:rFonts w:ascii="宋体"/>
              </w:rPr>
            </w:pPr>
          </w:p>
        </w:tc>
        <w:tc>
          <w:tcPr>
            <w:tcW w:w="5" w:type="pct"/>
            <w:shd w:val="clear" w:color="auto" w:fill="auto"/>
            <w:vAlign w:val="bottom"/>
          </w:tcPr>
          <w:p w14:paraId="74DDEE70" w14:textId="77777777" w:rsidR="00584EC1" w:rsidRDefault="00584EC1">
            <w:pPr>
              <w:rPr>
                <w:rFonts w:ascii="宋体"/>
              </w:rPr>
            </w:pPr>
          </w:p>
        </w:tc>
        <w:tc>
          <w:tcPr>
            <w:tcW w:w="5" w:type="pct"/>
            <w:shd w:val="clear" w:color="auto" w:fill="auto"/>
            <w:vAlign w:val="bottom"/>
          </w:tcPr>
          <w:p w14:paraId="74DDEE71" w14:textId="77777777" w:rsidR="00584EC1" w:rsidRDefault="00584EC1">
            <w:pPr>
              <w:rPr>
                <w:rFonts w:ascii="宋体"/>
              </w:rPr>
            </w:pPr>
          </w:p>
        </w:tc>
        <w:tc>
          <w:tcPr>
            <w:tcW w:w="26" w:type="pct"/>
            <w:shd w:val="clear" w:color="auto" w:fill="auto"/>
            <w:vAlign w:val="bottom"/>
          </w:tcPr>
          <w:p w14:paraId="74DDEE72" w14:textId="77777777" w:rsidR="00584EC1" w:rsidRDefault="00584EC1">
            <w:pPr>
              <w:rPr>
                <w:rFonts w:ascii="宋体"/>
              </w:rPr>
            </w:pPr>
          </w:p>
        </w:tc>
        <w:tc>
          <w:tcPr>
            <w:tcW w:w="5" w:type="pct"/>
            <w:shd w:val="clear" w:color="auto" w:fill="auto"/>
            <w:vAlign w:val="bottom"/>
          </w:tcPr>
          <w:p w14:paraId="74DDEE73" w14:textId="77777777" w:rsidR="00584EC1" w:rsidRDefault="00584EC1">
            <w:pPr>
              <w:rPr>
                <w:rFonts w:ascii="宋体"/>
              </w:rPr>
            </w:pPr>
          </w:p>
        </w:tc>
        <w:tc>
          <w:tcPr>
            <w:tcW w:w="50" w:type="pct"/>
            <w:shd w:val="clear" w:color="auto" w:fill="auto"/>
            <w:vAlign w:val="bottom"/>
          </w:tcPr>
          <w:p w14:paraId="74DDEE74" w14:textId="77777777" w:rsidR="00584EC1" w:rsidRDefault="00584EC1">
            <w:pPr>
              <w:rPr>
                <w:rFonts w:ascii="宋体"/>
              </w:rPr>
            </w:pPr>
          </w:p>
        </w:tc>
        <w:tc>
          <w:tcPr>
            <w:tcW w:w="442" w:type="pct"/>
            <w:shd w:val="clear" w:color="auto" w:fill="auto"/>
            <w:vAlign w:val="bottom"/>
          </w:tcPr>
          <w:p w14:paraId="74DDEE75" w14:textId="77777777" w:rsidR="00584EC1" w:rsidRDefault="00584EC1">
            <w:pPr>
              <w:rPr>
                <w:rFonts w:ascii="宋体"/>
              </w:rPr>
            </w:pPr>
          </w:p>
        </w:tc>
        <w:tc>
          <w:tcPr>
            <w:tcW w:w="5" w:type="pct"/>
            <w:shd w:val="clear" w:color="auto" w:fill="auto"/>
            <w:vAlign w:val="bottom"/>
          </w:tcPr>
          <w:p w14:paraId="74DDEE76" w14:textId="77777777" w:rsidR="00584EC1" w:rsidRDefault="00584EC1">
            <w:pPr>
              <w:rPr>
                <w:rFonts w:ascii="宋体"/>
              </w:rPr>
            </w:pPr>
          </w:p>
        </w:tc>
        <w:tc>
          <w:tcPr>
            <w:tcW w:w="5" w:type="pct"/>
            <w:shd w:val="clear" w:color="auto" w:fill="auto"/>
            <w:vAlign w:val="bottom"/>
          </w:tcPr>
          <w:p w14:paraId="74DDEE77" w14:textId="77777777" w:rsidR="00584EC1" w:rsidRDefault="00584EC1">
            <w:pPr>
              <w:rPr>
                <w:rFonts w:ascii="宋体"/>
              </w:rPr>
            </w:pPr>
          </w:p>
        </w:tc>
        <w:tc>
          <w:tcPr>
            <w:tcW w:w="26" w:type="pct"/>
            <w:shd w:val="clear" w:color="auto" w:fill="auto"/>
            <w:vAlign w:val="bottom"/>
          </w:tcPr>
          <w:p w14:paraId="74DDEE78" w14:textId="77777777" w:rsidR="00584EC1" w:rsidRDefault="00584EC1">
            <w:pPr>
              <w:rPr>
                <w:rFonts w:ascii="宋体"/>
              </w:rPr>
            </w:pPr>
          </w:p>
        </w:tc>
        <w:tc>
          <w:tcPr>
            <w:tcW w:w="5" w:type="pct"/>
            <w:shd w:val="clear" w:color="auto" w:fill="auto"/>
            <w:vAlign w:val="bottom"/>
          </w:tcPr>
          <w:p w14:paraId="74DDEE79" w14:textId="77777777" w:rsidR="00584EC1" w:rsidRDefault="00584EC1">
            <w:pPr>
              <w:rPr>
                <w:rFonts w:ascii="宋体"/>
              </w:rPr>
            </w:pPr>
          </w:p>
        </w:tc>
        <w:tc>
          <w:tcPr>
            <w:tcW w:w="50" w:type="pct"/>
            <w:shd w:val="clear" w:color="auto" w:fill="auto"/>
            <w:vAlign w:val="bottom"/>
          </w:tcPr>
          <w:p w14:paraId="74DDEE7A" w14:textId="77777777" w:rsidR="00584EC1" w:rsidRDefault="00584EC1">
            <w:pPr>
              <w:rPr>
                <w:rFonts w:ascii="宋体"/>
              </w:rPr>
            </w:pPr>
          </w:p>
        </w:tc>
        <w:tc>
          <w:tcPr>
            <w:tcW w:w="450" w:type="pct"/>
            <w:shd w:val="clear" w:color="auto" w:fill="auto"/>
            <w:vAlign w:val="bottom"/>
          </w:tcPr>
          <w:p w14:paraId="74DDEE7B" w14:textId="77777777" w:rsidR="00584EC1" w:rsidRDefault="00584EC1">
            <w:pPr>
              <w:rPr>
                <w:rFonts w:ascii="宋体"/>
              </w:rPr>
            </w:pPr>
          </w:p>
        </w:tc>
        <w:tc>
          <w:tcPr>
            <w:tcW w:w="5" w:type="pct"/>
            <w:shd w:val="clear" w:color="auto" w:fill="auto"/>
            <w:vAlign w:val="bottom"/>
          </w:tcPr>
          <w:p w14:paraId="74DDEE7C" w14:textId="77777777" w:rsidR="00584EC1" w:rsidRDefault="00584EC1">
            <w:pPr>
              <w:rPr>
                <w:rFonts w:ascii="宋体"/>
              </w:rPr>
            </w:pPr>
          </w:p>
        </w:tc>
        <w:tc>
          <w:tcPr>
            <w:tcW w:w="5" w:type="pct"/>
            <w:shd w:val="clear" w:color="auto" w:fill="auto"/>
            <w:vAlign w:val="bottom"/>
          </w:tcPr>
          <w:p w14:paraId="74DDEE7D" w14:textId="77777777" w:rsidR="00584EC1" w:rsidRDefault="00584EC1">
            <w:pPr>
              <w:rPr>
                <w:rFonts w:ascii="宋体"/>
              </w:rPr>
            </w:pPr>
          </w:p>
        </w:tc>
        <w:tc>
          <w:tcPr>
            <w:tcW w:w="26" w:type="pct"/>
            <w:shd w:val="clear" w:color="auto" w:fill="auto"/>
            <w:vAlign w:val="bottom"/>
          </w:tcPr>
          <w:p w14:paraId="74DDEE7E" w14:textId="77777777" w:rsidR="00584EC1" w:rsidRDefault="00584EC1">
            <w:pPr>
              <w:rPr>
                <w:rFonts w:ascii="宋体"/>
              </w:rPr>
            </w:pPr>
          </w:p>
        </w:tc>
        <w:tc>
          <w:tcPr>
            <w:tcW w:w="5" w:type="pct"/>
            <w:shd w:val="clear" w:color="auto" w:fill="auto"/>
            <w:vAlign w:val="bottom"/>
          </w:tcPr>
          <w:p w14:paraId="74DDEE7F" w14:textId="77777777" w:rsidR="00584EC1" w:rsidRDefault="00584EC1">
            <w:pPr>
              <w:rPr>
                <w:rFonts w:ascii="宋体"/>
              </w:rPr>
            </w:pPr>
          </w:p>
        </w:tc>
        <w:tc>
          <w:tcPr>
            <w:tcW w:w="50" w:type="pct"/>
            <w:shd w:val="clear" w:color="auto" w:fill="auto"/>
            <w:vAlign w:val="bottom"/>
          </w:tcPr>
          <w:p w14:paraId="74DDEE80" w14:textId="77777777" w:rsidR="00584EC1" w:rsidRDefault="00584EC1">
            <w:pPr>
              <w:rPr>
                <w:rFonts w:ascii="宋体"/>
              </w:rPr>
            </w:pPr>
          </w:p>
        </w:tc>
        <w:tc>
          <w:tcPr>
            <w:tcW w:w="530" w:type="pct"/>
            <w:shd w:val="clear" w:color="auto" w:fill="auto"/>
            <w:vAlign w:val="bottom"/>
          </w:tcPr>
          <w:p w14:paraId="74DDEE81" w14:textId="77777777" w:rsidR="00584EC1" w:rsidRDefault="00584EC1">
            <w:pPr>
              <w:rPr>
                <w:rFonts w:ascii="宋体"/>
              </w:rPr>
            </w:pPr>
          </w:p>
        </w:tc>
        <w:tc>
          <w:tcPr>
            <w:tcW w:w="5" w:type="pct"/>
            <w:shd w:val="clear" w:color="auto" w:fill="auto"/>
            <w:vAlign w:val="bottom"/>
          </w:tcPr>
          <w:p w14:paraId="74DDEE82" w14:textId="77777777" w:rsidR="00584EC1" w:rsidRDefault="00584EC1">
            <w:pPr>
              <w:rPr>
                <w:rFonts w:ascii="宋体"/>
              </w:rPr>
            </w:pPr>
          </w:p>
        </w:tc>
        <w:tc>
          <w:tcPr>
            <w:tcW w:w="5" w:type="pct"/>
            <w:shd w:val="clear" w:color="auto" w:fill="auto"/>
            <w:vAlign w:val="bottom"/>
          </w:tcPr>
          <w:p w14:paraId="74DDEE83" w14:textId="77777777" w:rsidR="00584EC1" w:rsidRDefault="00584EC1">
            <w:pPr>
              <w:rPr>
                <w:rFonts w:ascii="宋体"/>
              </w:rPr>
            </w:pPr>
          </w:p>
        </w:tc>
        <w:tc>
          <w:tcPr>
            <w:tcW w:w="26" w:type="pct"/>
            <w:shd w:val="clear" w:color="auto" w:fill="auto"/>
            <w:vAlign w:val="bottom"/>
          </w:tcPr>
          <w:p w14:paraId="74DDEE84" w14:textId="77777777" w:rsidR="00584EC1" w:rsidRDefault="00584EC1">
            <w:pPr>
              <w:rPr>
                <w:rFonts w:ascii="宋体"/>
              </w:rPr>
            </w:pPr>
          </w:p>
        </w:tc>
        <w:tc>
          <w:tcPr>
            <w:tcW w:w="5" w:type="pct"/>
            <w:shd w:val="clear" w:color="auto" w:fill="auto"/>
            <w:vAlign w:val="bottom"/>
          </w:tcPr>
          <w:p w14:paraId="74DDEE85" w14:textId="77777777" w:rsidR="00584EC1" w:rsidRDefault="00584EC1">
            <w:pPr>
              <w:rPr>
                <w:rFonts w:ascii="宋体"/>
              </w:rPr>
            </w:pPr>
          </w:p>
        </w:tc>
        <w:tc>
          <w:tcPr>
            <w:tcW w:w="50" w:type="pct"/>
            <w:shd w:val="clear" w:color="auto" w:fill="auto"/>
            <w:vAlign w:val="bottom"/>
          </w:tcPr>
          <w:p w14:paraId="74DDEE86" w14:textId="77777777" w:rsidR="00584EC1" w:rsidRDefault="00584EC1">
            <w:pPr>
              <w:rPr>
                <w:rFonts w:ascii="宋体"/>
              </w:rPr>
            </w:pPr>
          </w:p>
        </w:tc>
        <w:tc>
          <w:tcPr>
            <w:tcW w:w="611" w:type="pct"/>
            <w:shd w:val="clear" w:color="auto" w:fill="auto"/>
            <w:vAlign w:val="bottom"/>
          </w:tcPr>
          <w:p w14:paraId="74DDEE87" w14:textId="77777777" w:rsidR="00584EC1" w:rsidRDefault="00584EC1">
            <w:pPr>
              <w:rPr>
                <w:rFonts w:ascii="宋体"/>
              </w:rPr>
            </w:pPr>
          </w:p>
        </w:tc>
        <w:tc>
          <w:tcPr>
            <w:tcW w:w="5" w:type="pct"/>
            <w:shd w:val="clear" w:color="auto" w:fill="auto"/>
            <w:vAlign w:val="bottom"/>
          </w:tcPr>
          <w:p w14:paraId="74DDEE88" w14:textId="77777777" w:rsidR="00584EC1" w:rsidRDefault="00584EC1">
            <w:pPr>
              <w:rPr>
                <w:rFonts w:ascii="宋体"/>
              </w:rPr>
            </w:pPr>
          </w:p>
        </w:tc>
        <w:tc>
          <w:tcPr>
            <w:tcW w:w="5" w:type="pct"/>
            <w:shd w:val="clear" w:color="auto" w:fill="auto"/>
            <w:vAlign w:val="bottom"/>
          </w:tcPr>
          <w:p w14:paraId="74DDEE89" w14:textId="77777777" w:rsidR="00584EC1" w:rsidRDefault="00584EC1">
            <w:pPr>
              <w:rPr>
                <w:rFonts w:ascii="宋体"/>
              </w:rPr>
            </w:pPr>
          </w:p>
        </w:tc>
        <w:tc>
          <w:tcPr>
            <w:tcW w:w="26" w:type="pct"/>
            <w:shd w:val="clear" w:color="auto" w:fill="auto"/>
            <w:vAlign w:val="bottom"/>
          </w:tcPr>
          <w:p w14:paraId="74DDEE8A" w14:textId="77777777" w:rsidR="00584EC1" w:rsidRDefault="00584EC1">
            <w:pPr>
              <w:rPr>
                <w:rFonts w:ascii="宋体"/>
              </w:rPr>
            </w:pPr>
          </w:p>
        </w:tc>
        <w:tc>
          <w:tcPr>
            <w:tcW w:w="5" w:type="pct"/>
            <w:shd w:val="clear" w:color="auto" w:fill="auto"/>
            <w:vAlign w:val="bottom"/>
          </w:tcPr>
          <w:p w14:paraId="74DDEE8B" w14:textId="77777777" w:rsidR="00584EC1" w:rsidRDefault="00584EC1">
            <w:pPr>
              <w:rPr>
                <w:rFonts w:ascii="宋体"/>
              </w:rPr>
            </w:pPr>
          </w:p>
        </w:tc>
        <w:tc>
          <w:tcPr>
            <w:tcW w:w="50" w:type="pct"/>
            <w:shd w:val="clear" w:color="auto" w:fill="auto"/>
            <w:vAlign w:val="bottom"/>
          </w:tcPr>
          <w:p w14:paraId="74DDEE8C" w14:textId="77777777" w:rsidR="00584EC1" w:rsidRDefault="00584EC1">
            <w:pPr>
              <w:rPr>
                <w:rFonts w:ascii="宋体"/>
              </w:rPr>
            </w:pPr>
          </w:p>
        </w:tc>
        <w:tc>
          <w:tcPr>
            <w:tcW w:w="450" w:type="pct"/>
            <w:shd w:val="clear" w:color="auto" w:fill="auto"/>
            <w:vAlign w:val="bottom"/>
          </w:tcPr>
          <w:p w14:paraId="74DDEE8D" w14:textId="77777777" w:rsidR="00584EC1" w:rsidRDefault="00584EC1">
            <w:pPr>
              <w:rPr>
                <w:rFonts w:ascii="宋体"/>
              </w:rPr>
            </w:pPr>
          </w:p>
        </w:tc>
        <w:tc>
          <w:tcPr>
            <w:tcW w:w="5" w:type="pct"/>
            <w:shd w:val="clear" w:color="auto" w:fill="auto"/>
            <w:vAlign w:val="bottom"/>
          </w:tcPr>
          <w:p w14:paraId="74DDEE8E" w14:textId="77777777" w:rsidR="00584EC1" w:rsidRDefault="00584EC1">
            <w:pPr>
              <w:rPr>
                <w:rFonts w:ascii="宋体"/>
              </w:rPr>
            </w:pPr>
          </w:p>
        </w:tc>
        <w:tc>
          <w:tcPr>
            <w:tcW w:w="5" w:type="pct"/>
            <w:shd w:val="clear" w:color="auto" w:fill="auto"/>
            <w:vAlign w:val="bottom"/>
          </w:tcPr>
          <w:p w14:paraId="74DDEE8F" w14:textId="77777777" w:rsidR="00584EC1" w:rsidRDefault="00584EC1">
            <w:pPr>
              <w:rPr>
                <w:rFonts w:ascii="宋体"/>
              </w:rPr>
            </w:pPr>
          </w:p>
        </w:tc>
        <w:tc>
          <w:tcPr>
            <w:tcW w:w="26" w:type="pct"/>
            <w:shd w:val="clear" w:color="auto" w:fill="auto"/>
            <w:vAlign w:val="bottom"/>
          </w:tcPr>
          <w:p w14:paraId="74DDEE90" w14:textId="77777777" w:rsidR="00584EC1" w:rsidRDefault="00584EC1">
            <w:pPr>
              <w:rPr>
                <w:rFonts w:ascii="宋体"/>
              </w:rPr>
            </w:pPr>
          </w:p>
        </w:tc>
        <w:tc>
          <w:tcPr>
            <w:tcW w:w="5" w:type="pct"/>
            <w:shd w:val="clear" w:color="auto" w:fill="auto"/>
            <w:vAlign w:val="bottom"/>
          </w:tcPr>
          <w:p w14:paraId="74DDEE91" w14:textId="77777777" w:rsidR="00584EC1" w:rsidRDefault="00584EC1">
            <w:pPr>
              <w:rPr>
                <w:rFonts w:ascii="宋体"/>
              </w:rPr>
            </w:pPr>
          </w:p>
        </w:tc>
        <w:tc>
          <w:tcPr>
            <w:tcW w:w="50" w:type="pct"/>
            <w:shd w:val="clear" w:color="auto" w:fill="auto"/>
            <w:vAlign w:val="bottom"/>
          </w:tcPr>
          <w:p w14:paraId="74DDEE92" w14:textId="77777777" w:rsidR="00584EC1" w:rsidRDefault="00584EC1">
            <w:pPr>
              <w:rPr>
                <w:rFonts w:ascii="宋体"/>
              </w:rPr>
            </w:pPr>
          </w:p>
        </w:tc>
        <w:tc>
          <w:tcPr>
            <w:tcW w:w="450" w:type="pct"/>
            <w:shd w:val="clear" w:color="auto" w:fill="auto"/>
            <w:vAlign w:val="bottom"/>
          </w:tcPr>
          <w:p w14:paraId="74DDEE93" w14:textId="77777777" w:rsidR="00584EC1" w:rsidRDefault="00584EC1">
            <w:pPr>
              <w:rPr>
                <w:rFonts w:ascii="宋体"/>
              </w:rPr>
            </w:pPr>
          </w:p>
        </w:tc>
        <w:tc>
          <w:tcPr>
            <w:tcW w:w="5" w:type="pct"/>
            <w:shd w:val="clear" w:color="auto" w:fill="auto"/>
            <w:vAlign w:val="bottom"/>
          </w:tcPr>
          <w:p w14:paraId="74DDEE94" w14:textId="77777777" w:rsidR="00584EC1" w:rsidRDefault="00584EC1">
            <w:pPr>
              <w:rPr>
                <w:rFonts w:ascii="宋体"/>
              </w:rPr>
            </w:pPr>
          </w:p>
        </w:tc>
      </w:tr>
      <w:tr w:rsidR="00584EC1" w14:paraId="74DDEE98" w14:textId="77777777">
        <w:tc>
          <w:tcPr>
            <w:tcW w:w="0" w:type="auto"/>
            <w:gridSpan w:val="3"/>
            <w:shd w:val="clear" w:color="auto" w:fill="auto"/>
            <w:tcMar>
              <w:top w:w="0" w:type="dxa"/>
              <w:left w:w="20" w:type="dxa"/>
              <w:bottom w:w="0" w:type="dxa"/>
              <w:right w:w="20" w:type="dxa"/>
            </w:tcMar>
            <w:vAlign w:val="bottom"/>
          </w:tcPr>
          <w:p w14:paraId="74DDEE96" w14:textId="77777777" w:rsidR="00584EC1" w:rsidRDefault="00584EC1">
            <w:pPr>
              <w:rPr>
                <w:rFonts w:ascii="宋体"/>
              </w:rPr>
            </w:pPr>
          </w:p>
        </w:tc>
        <w:tc>
          <w:tcPr>
            <w:tcW w:w="0" w:type="auto"/>
            <w:gridSpan w:val="39"/>
            <w:shd w:val="clear" w:color="auto" w:fill="auto"/>
            <w:tcMar>
              <w:top w:w="40" w:type="dxa"/>
              <w:left w:w="20" w:type="dxa"/>
              <w:bottom w:w="40" w:type="dxa"/>
              <w:right w:w="20" w:type="dxa"/>
            </w:tcMar>
            <w:vAlign w:val="bottom"/>
          </w:tcPr>
          <w:p w14:paraId="74DDEE97" w14:textId="77777777" w:rsidR="00584EC1" w:rsidRDefault="00871F8D">
            <w:pPr>
              <w:jc w:val="center"/>
              <w:textAlignment w:val="bottom"/>
            </w:pPr>
            <w:r>
              <w:rPr>
                <w:rFonts w:ascii="Arial" w:eastAsia="宋体" w:hAnsi="Arial" w:cs="Arial"/>
                <w:b/>
                <w:bCs/>
                <w:color w:val="000000"/>
                <w:sz w:val="14"/>
                <w:szCs w:val="14"/>
              </w:rPr>
              <w:t>Nine Months Ended September 30, 2020</w:t>
            </w:r>
          </w:p>
        </w:tc>
      </w:tr>
      <w:tr w:rsidR="00584EC1" w14:paraId="74DDEEA4" w14:textId="77777777">
        <w:tc>
          <w:tcPr>
            <w:tcW w:w="0" w:type="auto"/>
            <w:gridSpan w:val="3"/>
            <w:shd w:val="clear" w:color="auto" w:fill="auto"/>
            <w:tcMar>
              <w:top w:w="0" w:type="dxa"/>
              <w:left w:w="20" w:type="dxa"/>
              <w:bottom w:w="0" w:type="dxa"/>
              <w:right w:w="20" w:type="dxa"/>
            </w:tcMar>
            <w:vAlign w:val="bottom"/>
          </w:tcPr>
          <w:p w14:paraId="74DDEE99" w14:textId="77777777" w:rsidR="00584EC1" w:rsidRDefault="00584E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4DDEE9A" w14:textId="77777777" w:rsidR="00584EC1" w:rsidRDefault="00871F8D">
            <w:pPr>
              <w:jc w:val="center"/>
              <w:textAlignment w:val="bottom"/>
            </w:pPr>
            <w:r>
              <w:rPr>
                <w:rFonts w:ascii="Arial" w:eastAsia="宋体" w:hAnsi="Arial" w:cs="Arial"/>
                <w:b/>
                <w:bCs/>
                <w:color w:val="000000"/>
                <w:sz w:val="14"/>
                <w:szCs w:val="14"/>
              </w:rPr>
              <w:t xml:space="preserve">Commercial </w:t>
            </w:r>
            <w:r>
              <w:rPr>
                <w:rFonts w:ascii="Arial" w:eastAsia="宋体" w:hAnsi="Arial" w:cs="Arial"/>
                <w:b/>
                <w:bCs/>
                <w:color w:val="000000"/>
                <w:sz w:val="14"/>
                <w:szCs w:val="14"/>
              </w:rPr>
              <w:t>and Financial</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E9B"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E9C"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E9D"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E9E"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E9F"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EA0"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EA1" w14:textId="77777777" w:rsidR="00584EC1" w:rsidRDefault="00584EC1">
            <w:pPr>
              <w:rPr>
                <w:rFonts w:ascii="宋体"/>
              </w:rPr>
            </w:pPr>
          </w:p>
        </w:tc>
        <w:tc>
          <w:tcPr>
            <w:tcW w:w="0" w:type="auto"/>
            <w:gridSpan w:val="6"/>
            <w:tcBorders>
              <w:top w:val="single" w:sz="8" w:space="0" w:color="000000"/>
            </w:tcBorders>
            <w:shd w:val="clear" w:color="auto" w:fill="auto"/>
            <w:tcMar>
              <w:top w:w="0" w:type="dxa"/>
              <w:left w:w="20" w:type="dxa"/>
              <w:bottom w:w="0" w:type="dxa"/>
              <w:right w:w="20" w:type="dxa"/>
            </w:tcMar>
            <w:vAlign w:val="bottom"/>
          </w:tcPr>
          <w:p w14:paraId="74DDEEA2"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EA3" w14:textId="77777777" w:rsidR="00584EC1" w:rsidRDefault="00584EC1">
            <w:pPr>
              <w:rPr>
                <w:rFonts w:ascii="宋体"/>
              </w:rPr>
            </w:pPr>
          </w:p>
        </w:tc>
      </w:tr>
      <w:tr w:rsidR="00584EC1" w14:paraId="74DDEEB3" w14:textId="77777777">
        <w:tc>
          <w:tcPr>
            <w:tcW w:w="0" w:type="auto"/>
            <w:gridSpan w:val="3"/>
            <w:shd w:val="clear" w:color="auto" w:fill="auto"/>
            <w:tcMar>
              <w:top w:w="40" w:type="dxa"/>
              <w:left w:w="20" w:type="dxa"/>
              <w:bottom w:w="40" w:type="dxa"/>
              <w:right w:w="20" w:type="dxa"/>
            </w:tcMar>
            <w:vAlign w:val="bottom"/>
          </w:tcPr>
          <w:p w14:paraId="74DDEEA5" w14:textId="77777777" w:rsidR="00584EC1" w:rsidRDefault="00871F8D">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EEA6" w14:textId="77777777" w:rsidR="00584EC1" w:rsidRDefault="00871F8D">
            <w:pPr>
              <w:jc w:val="center"/>
              <w:textAlignment w:val="bottom"/>
            </w:pPr>
            <w:r>
              <w:rPr>
                <w:rFonts w:ascii="Arial" w:eastAsia="宋体" w:hAnsi="Arial" w:cs="Arial"/>
                <w:b/>
                <w:bCs/>
                <w:color w:val="000000"/>
                <w:sz w:val="14"/>
                <w:szCs w:val="14"/>
              </w:rPr>
              <w:t>Leveraged Loans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EA7"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EEA8" w14:textId="77777777" w:rsidR="00584EC1" w:rsidRDefault="00871F8D">
            <w:pPr>
              <w:jc w:val="center"/>
              <w:textAlignment w:val="bottom"/>
            </w:pPr>
            <w:r>
              <w:rPr>
                <w:rFonts w:ascii="Arial" w:eastAsia="宋体" w:hAnsi="Arial" w:cs="Arial"/>
                <w:b/>
                <w:bCs/>
                <w:color w:val="000000"/>
                <w:sz w:val="14"/>
                <w:szCs w:val="14"/>
              </w:rPr>
              <w:t>Other Loans</w:t>
            </w:r>
          </w:p>
        </w:tc>
        <w:tc>
          <w:tcPr>
            <w:tcW w:w="0" w:type="auto"/>
            <w:gridSpan w:val="3"/>
            <w:shd w:val="clear" w:color="auto" w:fill="auto"/>
            <w:tcMar>
              <w:top w:w="0" w:type="dxa"/>
              <w:left w:w="20" w:type="dxa"/>
              <w:bottom w:w="0" w:type="dxa"/>
              <w:right w:w="20" w:type="dxa"/>
            </w:tcMar>
            <w:vAlign w:val="bottom"/>
          </w:tcPr>
          <w:p w14:paraId="74DDEEA9"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EEAA" w14:textId="77777777" w:rsidR="00584EC1" w:rsidRDefault="00871F8D">
            <w:pPr>
              <w:jc w:val="center"/>
              <w:textAlignment w:val="bottom"/>
            </w:pPr>
            <w:r>
              <w:rPr>
                <w:rFonts w:ascii="Arial" w:eastAsia="宋体" w:hAnsi="Arial" w:cs="Arial"/>
                <w:b/>
                <w:bCs/>
                <w:color w:val="000000"/>
                <w:sz w:val="14"/>
                <w:szCs w:val="14"/>
              </w:rPr>
              <w:t>Commercial Real Estate</w:t>
            </w:r>
          </w:p>
        </w:tc>
        <w:tc>
          <w:tcPr>
            <w:tcW w:w="0" w:type="auto"/>
            <w:gridSpan w:val="3"/>
            <w:shd w:val="clear" w:color="auto" w:fill="auto"/>
            <w:tcMar>
              <w:top w:w="0" w:type="dxa"/>
              <w:left w:w="20" w:type="dxa"/>
              <w:bottom w:w="0" w:type="dxa"/>
              <w:right w:w="20" w:type="dxa"/>
            </w:tcMar>
            <w:vAlign w:val="bottom"/>
          </w:tcPr>
          <w:p w14:paraId="74DDEEAB"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EEAC" w14:textId="77777777" w:rsidR="00584EC1" w:rsidRDefault="00871F8D">
            <w:pPr>
              <w:jc w:val="center"/>
              <w:textAlignment w:val="bottom"/>
            </w:pPr>
            <w:r>
              <w:rPr>
                <w:rFonts w:ascii="Arial" w:eastAsia="宋体" w:hAnsi="Arial" w:cs="Arial"/>
                <w:b/>
                <w:bCs/>
                <w:color w:val="000000"/>
                <w:sz w:val="14"/>
                <w:szCs w:val="14"/>
              </w:rPr>
              <w:t>Held-to-Maturity Securities</w:t>
            </w:r>
          </w:p>
        </w:tc>
        <w:tc>
          <w:tcPr>
            <w:tcW w:w="0" w:type="auto"/>
            <w:gridSpan w:val="3"/>
            <w:shd w:val="clear" w:color="auto" w:fill="auto"/>
            <w:tcMar>
              <w:top w:w="0" w:type="dxa"/>
              <w:left w:w="20" w:type="dxa"/>
              <w:bottom w:w="0" w:type="dxa"/>
              <w:right w:w="20" w:type="dxa"/>
            </w:tcMar>
            <w:vAlign w:val="bottom"/>
          </w:tcPr>
          <w:p w14:paraId="74DDEEAD"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EEAE" w14:textId="77777777" w:rsidR="00584EC1" w:rsidRDefault="00871F8D">
            <w:pPr>
              <w:jc w:val="center"/>
              <w:textAlignment w:val="bottom"/>
            </w:pPr>
            <w:r>
              <w:rPr>
                <w:rFonts w:ascii="Arial" w:eastAsia="宋体" w:hAnsi="Arial" w:cs="Arial"/>
                <w:b/>
                <w:bCs/>
                <w:color w:val="000000"/>
                <w:sz w:val="14"/>
                <w:szCs w:val="14"/>
              </w:rPr>
              <w:t>Off-Balance Sheet Commitments</w:t>
            </w:r>
          </w:p>
        </w:tc>
        <w:tc>
          <w:tcPr>
            <w:tcW w:w="0" w:type="auto"/>
            <w:gridSpan w:val="3"/>
            <w:shd w:val="clear" w:color="auto" w:fill="auto"/>
            <w:tcMar>
              <w:top w:w="0" w:type="dxa"/>
              <w:left w:w="20" w:type="dxa"/>
              <w:bottom w:w="0" w:type="dxa"/>
              <w:right w:w="20" w:type="dxa"/>
            </w:tcMar>
            <w:vAlign w:val="bottom"/>
          </w:tcPr>
          <w:p w14:paraId="74DDEEAF"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EEB0" w14:textId="77777777" w:rsidR="00584EC1" w:rsidRDefault="00871F8D">
            <w:pPr>
              <w:jc w:val="center"/>
              <w:textAlignment w:val="bottom"/>
            </w:pPr>
            <w:r>
              <w:rPr>
                <w:rFonts w:ascii="Arial" w:eastAsia="宋体" w:hAnsi="Arial" w:cs="Arial"/>
                <w:b/>
                <w:bCs/>
                <w:color w:val="000000"/>
                <w:sz w:val="14"/>
                <w:szCs w:val="14"/>
              </w:rPr>
              <w:t xml:space="preserve">All Other </w:t>
            </w:r>
          </w:p>
        </w:tc>
        <w:tc>
          <w:tcPr>
            <w:tcW w:w="0" w:type="auto"/>
            <w:gridSpan w:val="3"/>
            <w:shd w:val="clear" w:color="auto" w:fill="auto"/>
            <w:tcMar>
              <w:top w:w="0" w:type="dxa"/>
              <w:left w:w="20" w:type="dxa"/>
              <w:bottom w:w="0" w:type="dxa"/>
              <w:right w:w="20" w:type="dxa"/>
            </w:tcMar>
            <w:vAlign w:val="bottom"/>
          </w:tcPr>
          <w:p w14:paraId="74DDEEB1"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EEB2" w14:textId="77777777" w:rsidR="00584EC1" w:rsidRDefault="00871F8D">
            <w:pPr>
              <w:jc w:val="center"/>
              <w:textAlignment w:val="bottom"/>
            </w:pPr>
            <w:r>
              <w:rPr>
                <w:rFonts w:ascii="Arial" w:eastAsia="宋体" w:hAnsi="Arial" w:cs="Arial"/>
                <w:b/>
                <w:bCs/>
                <w:color w:val="000000"/>
                <w:sz w:val="14"/>
                <w:szCs w:val="14"/>
              </w:rPr>
              <w:t>Total</w:t>
            </w:r>
          </w:p>
        </w:tc>
      </w:tr>
      <w:tr w:rsidR="00584EC1" w14:paraId="74DDEEC2" w14:textId="77777777">
        <w:tc>
          <w:tcPr>
            <w:tcW w:w="0" w:type="auto"/>
            <w:gridSpan w:val="3"/>
            <w:shd w:val="clear" w:color="auto" w:fill="auto"/>
            <w:tcMar>
              <w:top w:w="40" w:type="dxa"/>
              <w:left w:w="20" w:type="dxa"/>
              <w:bottom w:w="40" w:type="dxa"/>
              <w:right w:w="20" w:type="dxa"/>
            </w:tcMar>
            <w:vAlign w:val="bottom"/>
          </w:tcPr>
          <w:p w14:paraId="74DDEEB4" w14:textId="77777777" w:rsidR="00584EC1" w:rsidRDefault="00871F8D">
            <w:pPr>
              <w:textAlignment w:val="bottom"/>
            </w:pPr>
            <w:r>
              <w:rPr>
                <w:rFonts w:ascii="Arial" w:eastAsia="宋体" w:hAnsi="Arial" w:cs="Arial"/>
                <w:b/>
                <w:bCs/>
                <w:color w:val="000000"/>
                <w:sz w:val="14"/>
                <w:szCs w:val="14"/>
              </w:rPr>
              <w:t>Allowance for credit losses: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EB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EB6"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EB7"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EB8"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EB9"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EBA"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EBB"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EBC"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EBD"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EBE"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EBF"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EC0"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EC1" w14:textId="77777777" w:rsidR="00584EC1" w:rsidRDefault="00584EC1">
            <w:pPr>
              <w:rPr>
                <w:rFonts w:ascii="宋体"/>
              </w:rPr>
            </w:pPr>
          </w:p>
        </w:tc>
      </w:tr>
      <w:tr w:rsidR="00584EC1" w14:paraId="74DDEEDF" w14:textId="77777777">
        <w:tc>
          <w:tcPr>
            <w:tcW w:w="0" w:type="auto"/>
            <w:gridSpan w:val="3"/>
            <w:shd w:val="clear" w:color="auto" w:fill="CCEEFF"/>
            <w:tcMar>
              <w:top w:w="40" w:type="dxa"/>
              <w:left w:w="20" w:type="dxa"/>
              <w:bottom w:w="40" w:type="dxa"/>
              <w:right w:w="20" w:type="dxa"/>
            </w:tcMar>
            <w:vAlign w:val="bottom"/>
          </w:tcPr>
          <w:p w14:paraId="74DDEEC3" w14:textId="77777777" w:rsidR="00584EC1" w:rsidRDefault="00871F8D">
            <w:pPr>
              <w:textAlignment w:val="bottom"/>
            </w:pPr>
            <w:r>
              <w:rPr>
                <w:rFonts w:ascii="Arial" w:eastAsia="宋体" w:hAnsi="Arial" w:cs="Arial"/>
                <w:color w:val="000000"/>
                <w:sz w:val="14"/>
                <w:szCs w:val="14"/>
              </w:rPr>
              <w:t>Beginning balance</w:t>
            </w:r>
          </w:p>
        </w:tc>
        <w:tc>
          <w:tcPr>
            <w:tcW w:w="0" w:type="auto"/>
            <w:shd w:val="clear" w:color="auto" w:fill="CCEEFF"/>
            <w:tcMar>
              <w:top w:w="40" w:type="dxa"/>
              <w:left w:w="20" w:type="dxa"/>
              <w:bottom w:w="40" w:type="dxa"/>
              <w:right w:w="0" w:type="dxa"/>
            </w:tcMar>
            <w:vAlign w:val="bottom"/>
          </w:tcPr>
          <w:p w14:paraId="74DDEEC4"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EEC5" w14:textId="77777777" w:rsidR="00584EC1" w:rsidRDefault="00871F8D">
            <w:pPr>
              <w:jc w:val="right"/>
              <w:textAlignment w:val="bottom"/>
            </w:pPr>
            <w:r>
              <w:rPr>
                <w:rFonts w:ascii="Arial" w:eastAsia="宋体" w:hAnsi="Arial" w:cs="Arial"/>
                <w:color w:val="000000"/>
                <w:sz w:val="14"/>
                <w:szCs w:val="14"/>
              </w:rPr>
              <w:t>61 </w:t>
            </w:r>
          </w:p>
        </w:tc>
        <w:tc>
          <w:tcPr>
            <w:tcW w:w="0" w:type="auto"/>
            <w:shd w:val="clear" w:color="auto" w:fill="CCEEFF"/>
            <w:tcMar>
              <w:top w:w="40" w:type="dxa"/>
              <w:left w:w="0" w:type="dxa"/>
              <w:bottom w:w="40" w:type="dxa"/>
              <w:right w:w="20" w:type="dxa"/>
            </w:tcMar>
            <w:vAlign w:val="bottom"/>
          </w:tcPr>
          <w:p w14:paraId="74DDEEC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EC7"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EEC8"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EEC9" w14:textId="77777777" w:rsidR="00584EC1" w:rsidRDefault="00871F8D">
            <w:pPr>
              <w:jc w:val="right"/>
              <w:textAlignment w:val="bottom"/>
            </w:pPr>
            <w:r>
              <w:rPr>
                <w:rFonts w:ascii="Arial" w:eastAsia="宋体" w:hAnsi="Arial" w:cs="Arial"/>
                <w:color w:val="000000"/>
                <w:sz w:val="14"/>
                <w:szCs w:val="14"/>
              </w:rPr>
              <w:t>10 </w:t>
            </w:r>
          </w:p>
        </w:tc>
        <w:tc>
          <w:tcPr>
            <w:tcW w:w="0" w:type="auto"/>
            <w:shd w:val="clear" w:color="auto" w:fill="CCEEFF"/>
            <w:tcMar>
              <w:top w:w="40" w:type="dxa"/>
              <w:left w:w="0" w:type="dxa"/>
              <w:bottom w:w="40" w:type="dxa"/>
              <w:right w:w="20" w:type="dxa"/>
            </w:tcMar>
            <w:vAlign w:val="bottom"/>
          </w:tcPr>
          <w:p w14:paraId="74DDEEC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ECB"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EECC"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EECD" w14:textId="77777777" w:rsidR="00584EC1" w:rsidRDefault="00871F8D">
            <w:pPr>
              <w:jc w:val="right"/>
              <w:textAlignment w:val="bottom"/>
            </w:pPr>
            <w:r>
              <w:rPr>
                <w:rFonts w:ascii="Arial" w:eastAsia="宋体" w:hAnsi="Arial" w:cs="Arial"/>
                <w:color w:val="000000"/>
                <w:sz w:val="14"/>
                <w:szCs w:val="14"/>
              </w:rPr>
              <w:t>2 </w:t>
            </w:r>
          </w:p>
        </w:tc>
        <w:tc>
          <w:tcPr>
            <w:tcW w:w="0" w:type="auto"/>
            <w:shd w:val="clear" w:color="auto" w:fill="CCEEFF"/>
            <w:tcMar>
              <w:top w:w="40" w:type="dxa"/>
              <w:left w:w="0" w:type="dxa"/>
              <w:bottom w:w="40" w:type="dxa"/>
              <w:right w:w="20" w:type="dxa"/>
            </w:tcMar>
            <w:vAlign w:val="bottom"/>
          </w:tcPr>
          <w:p w14:paraId="74DDEEC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ECF"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EED0"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EED1"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EED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ED3"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EED4"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EED5" w14:textId="77777777" w:rsidR="00584EC1" w:rsidRDefault="00871F8D">
            <w:pPr>
              <w:jc w:val="right"/>
              <w:textAlignment w:val="bottom"/>
            </w:pPr>
            <w:r>
              <w:rPr>
                <w:rFonts w:ascii="Arial" w:eastAsia="宋体" w:hAnsi="Arial" w:cs="Arial"/>
                <w:color w:val="000000"/>
                <w:sz w:val="14"/>
                <w:szCs w:val="14"/>
              </w:rPr>
              <w:t>19 </w:t>
            </w:r>
          </w:p>
        </w:tc>
        <w:tc>
          <w:tcPr>
            <w:tcW w:w="0" w:type="auto"/>
            <w:shd w:val="clear" w:color="auto" w:fill="CCEEFF"/>
            <w:tcMar>
              <w:top w:w="40" w:type="dxa"/>
              <w:left w:w="0" w:type="dxa"/>
              <w:bottom w:w="40" w:type="dxa"/>
              <w:right w:w="20" w:type="dxa"/>
            </w:tcMar>
            <w:vAlign w:val="bottom"/>
          </w:tcPr>
          <w:p w14:paraId="74DDEED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ED7"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EED8"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EED9" w14:textId="77777777" w:rsidR="00584EC1" w:rsidRDefault="00871F8D">
            <w:pPr>
              <w:jc w:val="right"/>
              <w:textAlignment w:val="bottom"/>
            </w:pPr>
            <w:r>
              <w:rPr>
                <w:rFonts w:ascii="Arial" w:eastAsia="宋体" w:hAnsi="Arial" w:cs="Arial"/>
                <w:color w:val="000000"/>
                <w:sz w:val="14"/>
                <w:szCs w:val="14"/>
              </w:rPr>
              <w:t>1 </w:t>
            </w:r>
          </w:p>
        </w:tc>
        <w:tc>
          <w:tcPr>
            <w:tcW w:w="0" w:type="auto"/>
            <w:shd w:val="clear" w:color="auto" w:fill="CCEEFF"/>
            <w:tcMar>
              <w:top w:w="40" w:type="dxa"/>
              <w:left w:w="0" w:type="dxa"/>
              <w:bottom w:w="40" w:type="dxa"/>
              <w:right w:w="20" w:type="dxa"/>
            </w:tcMar>
            <w:vAlign w:val="bottom"/>
          </w:tcPr>
          <w:p w14:paraId="74DDEED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EDB"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EEDC"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DEEDD" w14:textId="77777777" w:rsidR="00584EC1" w:rsidRDefault="00871F8D">
            <w:pPr>
              <w:jc w:val="right"/>
              <w:textAlignment w:val="bottom"/>
            </w:pPr>
            <w:r>
              <w:rPr>
                <w:rFonts w:ascii="Arial" w:eastAsia="宋体" w:hAnsi="Arial" w:cs="Arial"/>
                <w:color w:val="000000"/>
                <w:sz w:val="14"/>
                <w:szCs w:val="14"/>
              </w:rPr>
              <w:t>93 </w:t>
            </w:r>
          </w:p>
        </w:tc>
        <w:tc>
          <w:tcPr>
            <w:tcW w:w="0" w:type="auto"/>
            <w:shd w:val="clear" w:color="auto" w:fill="CCEEFF"/>
            <w:tcMar>
              <w:top w:w="40" w:type="dxa"/>
              <w:left w:w="0" w:type="dxa"/>
              <w:bottom w:w="40" w:type="dxa"/>
              <w:right w:w="20" w:type="dxa"/>
            </w:tcMar>
            <w:vAlign w:val="bottom"/>
          </w:tcPr>
          <w:p w14:paraId="74DDEEDE" w14:textId="77777777" w:rsidR="00584EC1" w:rsidRDefault="00584EC1">
            <w:pPr>
              <w:jc w:val="right"/>
              <w:rPr>
                <w:rFonts w:ascii="宋体"/>
              </w:rPr>
            </w:pPr>
          </w:p>
        </w:tc>
      </w:tr>
      <w:tr w:rsidR="00584EC1" w14:paraId="74DDEEF5" w14:textId="77777777">
        <w:tc>
          <w:tcPr>
            <w:tcW w:w="0" w:type="auto"/>
            <w:gridSpan w:val="3"/>
            <w:shd w:val="clear" w:color="auto" w:fill="FFFFFF"/>
            <w:tcMar>
              <w:top w:w="40" w:type="dxa"/>
              <w:left w:w="20" w:type="dxa"/>
              <w:bottom w:w="40" w:type="dxa"/>
              <w:right w:w="20" w:type="dxa"/>
            </w:tcMar>
            <w:vAlign w:val="bottom"/>
          </w:tcPr>
          <w:p w14:paraId="74DDEEE0" w14:textId="77777777" w:rsidR="00584EC1" w:rsidRDefault="00871F8D">
            <w:pPr>
              <w:textAlignment w:val="bottom"/>
            </w:pPr>
            <w:r>
              <w:rPr>
                <w:rFonts w:ascii="Arial" w:eastAsia="宋体" w:hAnsi="Arial" w:cs="Arial"/>
                <w:color w:val="000000"/>
                <w:sz w:val="14"/>
                <w:szCs w:val="14"/>
              </w:rPr>
              <w:t>Charge-offs</w:t>
            </w:r>
            <w:r>
              <w:rPr>
                <w:rFonts w:ascii="Arial" w:eastAsia="宋体" w:hAnsi="Arial" w:cs="Arial"/>
                <w:color w:val="000000"/>
                <w:sz w:val="9"/>
                <w:szCs w:val="9"/>
              </w:rPr>
              <w:t>(1)</w:t>
            </w:r>
          </w:p>
        </w:tc>
        <w:tc>
          <w:tcPr>
            <w:tcW w:w="0" w:type="auto"/>
            <w:gridSpan w:val="2"/>
            <w:shd w:val="clear" w:color="auto" w:fill="FFFFFF"/>
            <w:tcMar>
              <w:top w:w="40" w:type="dxa"/>
              <w:left w:w="20" w:type="dxa"/>
              <w:bottom w:w="40" w:type="dxa"/>
              <w:right w:w="0" w:type="dxa"/>
            </w:tcMar>
            <w:vAlign w:val="bottom"/>
          </w:tcPr>
          <w:p w14:paraId="74DDEEE1" w14:textId="77777777" w:rsidR="00584EC1" w:rsidRDefault="00871F8D">
            <w:pPr>
              <w:jc w:val="right"/>
              <w:textAlignment w:val="bottom"/>
            </w:pPr>
            <w:r>
              <w:rPr>
                <w:rFonts w:ascii="Arial" w:eastAsia="宋体" w:hAnsi="Arial" w:cs="Arial"/>
                <w:color w:val="000000"/>
                <w:sz w:val="14"/>
                <w:szCs w:val="14"/>
              </w:rPr>
              <w:t>(33)</w:t>
            </w:r>
          </w:p>
        </w:tc>
        <w:tc>
          <w:tcPr>
            <w:tcW w:w="0" w:type="auto"/>
            <w:shd w:val="clear" w:color="auto" w:fill="FFFFFF"/>
            <w:tcMar>
              <w:top w:w="40" w:type="dxa"/>
              <w:left w:w="0" w:type="dxa"/>
              <w:bottom w:w="40" w:type="dxa"/>
              <w:right w:w="20" w:type="dxa"/>
            </w:tcMar>
            <w:vAlign w:val="bottom"/>
          </w:tcPr>
          <w:p w14:paraId="74DDEEE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EE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EE4"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EE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EE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EE7"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EE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EE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EEA"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EE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EE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EED"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EE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EE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EF0"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EF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EF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EF3" w14:textId="77777777" w:rsidR="00584EC1" w:rsidRDefault="00871F8D">
            <w:pPr>
              <w:jc w:val="right"/>
              <w:textAlignment w:val="bottom"/>
            </w:pPr>
            <w:r>
              <w:rPr>
                <w:rFonts w:ascii="Arial" w:eastAsia="宋体" w:hAnsi="Arial" w:cs="Arial"/>
                <w:color w:val="000000"/>
                <w:sz w:val="14"/>
                <w:szCs w:val="14"/>
              </w:rPr>
              <w:t>(33)</w:t>
            </w:r>
          </w:p>
        </w:tc>
        <w:tc>
          <w:tcPr>
            <w:tcW w:w="0" w:type="auto"/>
            <w:shd w:val="clear" w:color="auto" w:fill="FFFFFF"/>
            <w:tcMar>
              <w:top w:w="40" w:type="dxa"/>
              <w:left w:w="0" w:type="dxa"/>
              <w:bottom w:w="40" w:type="dxa"/>
              <w:right w:w="20" w:type="dxa"/>
            </w:tcMar>
            <w:vAlign w:val="bottom"/>
          </w:tcPr>
          <w:p w14:paraId="74DDEEF4" w14:textId="77777777" w:rsidR="00584EC1" w:rsidRDefault="00584EC1">
            <w:pPr>
              <w:jc w:val="right"/>
              <w:rPr>
                <w:rFonts w:ascii="宋体"/>
              </w:rPr>
            </w:pPr>
          </w:p>
        </w:tc>
      </w:tr>
      <w:tr w:rsidR="00584EC1" w14:paraId="74DDEF0B" w14:textId="77777777">
        <w:tc>
          <w:tcPr>
            <w:tcW w:w="0" w:type="auto"/>
            <w:gridSpan w:val="3"/>
            <w:shd w:val="clear" w:color="auto" w:fill="CCEEFF"/>
            <w:tcMar>
              <w:top w:w="40" w:type="dxa"/>
              <w:left w:w="20" w:type="dxa"/>
              <w:bottom w:w="40" w:type="dxa"/>
              <w:right w:w="20" w:type="dxa"/>
            </w:tcMar>
            <w:vAlign w:val="bottom"/>
          </w:tcPr>
          <w:p w14:paraId="74DDEEF6" w14:textId="77777777" w:rsidR="00584EC1" w:rsidRDefault="00871F8D">
            <w:pPr>
              <w:textAlignment w:val="bottom"/>
            </w:pPr>
            <w:r>
              <w:rPr>
                <w:rFonts w:ascii="Arial" w:eastAsia="宋体" w:hAnsi="Arial" w:cs="Arial"/>
                <w:color w:val="000000"/>
                <w:sz w:val="14"/>
                <w:szCs w:val="14"/>
              </w:rPr>
              <w:t>Provision</w:t>
            </w:r>
          </w:p>
        </w:tc>
        <w:tc>
          <w:tcPr>
            <w:tcW w:w="0" w:type="auto"/>
            <w:gridSpan w:val="2"/>
            <w:shd w:val="clear" w:color="auto" w:fill="CCEEFF"/>
            <w:tcMar>
              <w:top w:w="40" w:type="dxa"/>
              <w:left w:w="20" w:type="dxa"/>
              <w:bottom w:w="40" w:type="dxa"/>
              <w:right w:w="0" w:type="dxa"/>
            </w:tcMar>
            <w:vAlign w:val="bottom"/>
          </w:tcPr>
          <w:p w14:paraId="74DDEEF7" w14:textId="77777777" w:rsidR="00584EC1" w:rsidRDefault="00871F8D">
            <w:pPr>
              <w:jc w:val="right"/>
              <w:textAlignment w:val="bottom"/>
            </w:pPr>
            <w:r>
              <w:rPr>
                <w:rFonts w:ascii="Arial" w:eastAsia="宋体" w:hAnsi="Arial" w:cs="Arial"/>
                <w:color w:val="000000"/>
                <w:sz w:val="14"/>
                <w:szCs w:val="14"/>
              </w:rPr>
              <w:t>73 </w:t>
            </w:r>
          </w:p>
        </w:tc>
        <w:tc>
          <w:tcPr>
            <w:tcW w:w="0" w:type="auto"/>
            <w:shd w:val="clear" w:color="auto" w:fill="CCEEFF"/>
            <w:tcMar>
              <w:top w:w="40" w:type="dxa"/>
              <w:left w:w="0" w:type="dxa"/>
              <w:bottom w:w="40" w:type="dxa"/>
              <w:right w:w="20" w:type="dxa"/>
            </w:tcMar>
            <w:vAlign w:val="bottom"/>
          </w:tcPr>
          <w:p w14:paraId="74DDEEF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EF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EEFA" w14:textId="77777777" w:rsidR="00584EC1" w:rsidRDefault="00871F8D">
            <w:pPr>
              <w:jc w:val="right"/>
              <w:textAlignment w:val="bottom"/>
            </w:pPr>
            <w:r>
              <w:rPr>
                <w:rFonts w:ascii="Arial" w:eastAsia="宋体" w:hAnsi="Arial" w:cs="Arial"/>
                <w:color w:val="000000"/>
                <w:sz w:val="14"/>
                <w:szCs w:val="14"/>
              </w:rPr>
              <w:t>10 </w:t>
            </w:r>
          </w:p>
        </w:tc>
        <w:tc>
          <w:tcPr>
            <w:tcW w:w="0" w:type="auto"/>
            <w:shd w:val="clear" w:color="auto" w:fill="CCEEFF"/>
            <w:tcMar>
              <w:top w:w="40" w:type="dxa"/>
              <w:left w:w="0" w:type="dxa"/>
              <w:bottom w:w="40" w:type="dxa"/>
              <w:right w:w="20" w:type="dxa"/>
            </w:tcMar>
            <w:vAlign w:val="bottom"/>
          </w:tcPr>
          <w:p w14:paraId="74DDEEF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EFC"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EEFD" w14:textId="77777777" w:rsidR="00584EC1" w:rsidRDefault="00871F8D">
            <w:pPr>
              <w:jc w:val="right"/>
              <w:textAlignment w:val="bottom"/>
            </w:pPr>
            <w:r>
              <w:rPr>
                <w:rFonts w:ascii="Arial" w:eastAsia="宋体" w:hAnsi="Arial" w:cs="Arial"/>
                <w:color w:val="000000"/>
                <w:sz w:val="14"/>
                <w:szCs w:val="14"/>
              </w:rPr>
              <w:t>6 </w:t>
            </w:r>
          </w:p>
        </w:tc>
        <w:tc>
          <w:tcPr>
            <w:tcW w:w="0" w:type="auto"/>
            <w:shd w:val="clear" w:color="auto" w:fill="CCEEFF"/>
            <w:tcMar>
              <w:top w:w="40" w:type="dxa"/>
              <w:left w:w="0" w:type="dxa"/>
              <w:bottom w:w="40" w:type="dxa"/>
              <w:right w:w="20" w:type="dxa"/>
            </w:tcMar>
            <w:vAlign w:val="bottom"/>
          </w:tcPr>
          <w:p w14:paraId="74DDEEF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EFF"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EF00" w14:textId="77777777" w:rsidR="00584EC1" w:rsidRDefault="00871F8D">
            <w:pPr>
              <w:jc w:val="right"/>
              <w:textAlignment w:val="bottom"/>
            </w:pPr>
            <w:r>
              <w:rPr>
                <w:rFonts w:ascii="Arial" w:eastAsia="宋体" w:hAnsi="Arial" w:cs="Arial"/>
                <w:color w:val="000000"/>
                <w:sz w:val="14"/>
                <w:szCs w:val="14"/>
              </w:rPr>
              <w:t>3 </w:t>
            </w:r>
          </w:p>
        </w:tc>
        <w:tc>
          <w:tcPr>
            <w:tcW w:w="0" w:type="auto"/>
            <w:shd w:val="clear" w:color="auto" w:fill="CCEEFF"/>
            <w:tcMar>
              <w:top w:w="40" w:type="dxa"/>
              <w:left w:w="0" w:type="dxa"/>
              <w:bottom w:w="40" w:type="dxa"/>
              <w:right w:w="20" w:type="dxa"/>
            </w:tcMar>
            <w:vAlign w:val="bottom"/>
          </w:tcPr>
          <w:p w14:paraId="74DDEF0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F02"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EF03" w14:textId="77777777" w:rsidR="00584EC1" w:rsidRDefault="00871F8D">
            <w:pPr>
              <w:jc w:val="right"/>
              <w:textAlignment w:val="bottom"/>
            </w:pPr>
            <w:r>
              <w:rPr>
                <w:rFonts w:ascii="Arial" w:eastAsia="宋体" w:hAnsi="Arial" w:cs="Arial"/>
                <w:color w:val="000000"/>
                <w:sz w:val="14"/>
                <w:szCs w:val="14"/>
              </w:rPr>
              <w:t>(4)</w:t>
            </w:r>
          </w:p>
        </w:tc>
        <w:tc>
          <w:tcPr>
            <w:tcW w:w="0" w:type="auto"/>
            <w:shd w:val="clear" w:color="auto" w:fill="CCEEFF"/>
            <w:tcMar>
              <w:top w:w="40" w:type="dxa"/>
              <w:left w:w="0" w:type="dxa"/>
              <w:bottom w:w="40" w:type="dxa"/>
              <w:right w:w="20" w:type="dxa"/>
            </w:tcMar>
            <w:vAlign w:val="bottom"/>
          </w:tcPr>
          <w:p w14:paraId="74DDEF0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F0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EF06"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EF0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F08"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EF09" w14:textId="77777777" w:rsidR="00584EC1" w:rsidRDefault="00871F8D">
            <w:pPr>
              <w:jc w:val="right"/>
              <w:textAlignment w:val="bottom"/>
            </w:pPr>
            <w:r>
              <w:rPr>
                <w:rFonts w:ascii="Arial" w:eastAsia="宋体" w:hAnsi="Arial" w:cs="Arial"/>
                <w:color w:val="000000"/>
                <w:sz w:val="14"/>
                <w:szCs w:val="14"/>
              </w:rPr>
              <w:t>88 </w:t>
            </w:r>
          </w:p>
        </w:tc>
        <w:tc>
          <w:tcPr>
            <w:tcW w:w="0" w:type="auto"/>
            <w:shd w:val="clear" w:color="auto" w:fill="CCEEFF"/>
            <w:tcMar>
              <w:top w:w="40" w:type="dxa"/>
              <w:left w:w="0" w:type="dxa"/>
              <w:bottom w:w="40" w:type="dxa"/>
              <w:right w:w="20" w:type="dxa"/>
            </w:tcMar>
            <w:vAlign w:val="bottom"/>
          </w:tcPr>
          <w:p w14:paraId="74DDEF0A" w14:textId="77777777" w:rsidR="00584EC1" w:rsidRDefault="00584EC1">
            <w:pPr>
              <w:jc w:val="right"/>
              <w:rPr>
                <w:rFonts w:ascii="宋体"/>
              </w:rPr>
            </w:pPr>
          </w:p>
        </w:tc>
      </w:tr>
      <w:tr w:rsidR="00584EC1" w14:paraId="74DDEF1A" w14:textId="77777777">
        <w:trPr>
          <w:hidden/>
        </w:trPr>
        <w:tc>
          <w:tcPr>
            <w:tcW w:w="0" w:type="auto"/>
            <w:gridSpan w:val="3"/>
            <w:shd w:val="clear" w:color="auto" w:fill="auto"/>
            <w:vAlign w:val="bottom"/>
          </w:tcPr>
          <w:p w14:paraId="74DDEF0C" w14:textId="77777777" w:rsidR="00584EC1" w:rsidRDefault="00584EC1">
            <w:pPr>
              <w:rPr>
                <w:rFonts w:ascii="宋体"/>
                <w:vanish/>
              </w:rPr>
            </w:pPr>
          </w:p>
        </w:tc>
        <w:tc>
          <w:tcPr>
            <w:tcW w:w="0" w:type="auto"/>
            <w:gridSpan w:val="3"/>
            <w:shd w:val="clear" w:color="auto" w:fill="auto"/>
            <w:vAlign w:val="bottom"/>
          </w:tcPr>
          <w:p w14:paraId="74DDEF0D" w14:textId="77777777" w:rsidR="00584EC1" w:rsidRDefault="00584EC1">
            <w:pPr>
              <w:rPr>
                <w:rFonts w:ascii="宋体"/>
                <w:vanish/>
              </w:rPr>
            </w:pPr>
          </w:p>
        </w:tc>
        <w:tc>
          <w:tcPr>
            <w:tcW w:w="0" w:type="auto"/>
            <w:gridSpan w:val="3"/>
            <w:shd w:val="clear" w:color="auto" w:fill="auto"/>
            <w:vAlign w:val="bottom"/>
          </w:tcPr>
          <w:p w14:paraId="74DDEF0E" w14:textId="77777777" w:rsidR="00584EC1" w:rsidRDefault="00584EC1">
            <w:pPr>
              <w:rPr>
                <w:rFonts w:ascii="宋体"/>
                <w:vanish/>
              </w:rPr>
            </w:pPr>
          </w:p>
        </w:tc>
        <w:tc>
          <w:tcPr>
            <w:tcW w:w="0" w:type="auto"/>
            <w:gridSpan w:val="3"/>
            <w:shd w:val="clear" w:color="auto" w:fill="auto"/>
            <w:vAlign w:val="bottom"/>
          </w:tcPr>
          <w:p w14:paraId="74DDEF0F" w14:textId="77777777" w:rsidR="00584EC1" w:rsidRDefault="00584EC1">
            <w:pPr>
              <w:rPr>
                <w:rFonts w:ascii="宋体"/>
                <w:vanish/>
              </w:rPr>
            </w:pPr>
          </w:p>
        </w:tc>
        <w:tc>
          <w:tcPr>
            <w:tcW w:w="0" w:type="auto"/>
            <w:gridSpan w:val="3"/>
            <w:shd w:val="clear" w:color="auto" w:fill="auto"/>
            <w:vAlign w:val="bottom"/>
          </w:tcPr>
          <w:p w14:paraId="74DDEF10" w14:textId="77777777" w:rsidR="00584EC1" w:rsidRDefault="00584EC1">
            <w:pPr>
              <w:rPr>
                <w:rFonts w:ascii="宋体"/>
                <w:vanish/>
              </w:rPr>
            </w:pPr>
          </w:p>
        </w:tc>
        <w:tc>
          <w:tcPr>
            <w:tcW w:w="0" w:type="auto"/>
            <w:gridSpan w:val="3"/>
            <w:shd w:val="clear" w:color="auto" w:fill="auto"/>
            <w:vAlign w:val="bottom"/>
          </w:tcPr>
          <w:p w14:paraId="74DDEF11" w14:textId="77777777" w:rsidR="00584EC1" w:rsidRDefault="00584EC1">
            <w:pPr>
              <w:rPr>
                <w:rFonts w:ascii="宋体"/>
                <w:vanish/>
              </w:rPr>
            </w:pPr>
          </w:p>
        </w:tc>
        <w:tc>
          <w:tcPr>
            <w:tcW w:w="0" w:type="auto"/>
            <w:gridSpan w:val="3"/>
            <w:shd w:val="clear" w:color="auto" w:fill="auto"/>
            <w:vAlign w:val="bottom"/>
          </w:tcPr>
          <w:p w14:paraId="74DDEF12" w14:textId="77777777" w:rsidR="00584EC1" w:rsidRDefault="00584EC1">
            <w:pPr>
              <w:rPr>
                <w:rFonts w:ascii="宋体"/>
                <w:vanish/>
              </w:rPr>
            </w:pPr>
          </w:p>
        </w:tc>
        <w:tc>
          <w:tcPr>
            <w:tcW w:w="0" w:type="auto"/>
            <w:gridSpan w:val="3"/>
            <w:shd w:val="clear" w:color="auto" w:fill="auto"/>
            <w:vAlign w:val="bottom"/>
          </w:tcPr>
          <w:p w14:paraId="74DDEF13" w14:textId="77777777" w:rsidR="00584EC1" w:rsidRDefault="00584EC1">
            <w:pPr>
              <w:rPr>
                <w:rFonts w:ascii="宋体"/>
                <w:vanish/>
              </w:rPr>
            </w:pPr>
          </w:p>
        </w:tc>
        <w:tc>
          <w:tcPr>
            <w:tcW w:w="0" w:type="auto"/>
            <w:gridSpan w:val="3"/>
            <w:shd w:val="clear" w:color="auto" w:fill="auto"/>
            <w:vAlign w:val="bottom"/>
          </w:tcPr>
          <w:p w14:paraId="74DDEF14" w14:textId="77777777" w:rsidR="00584EC1" w:rsidRDefault="00584EC1">
            <w:pPr>
              <w:rPr>
                <w:rFonts w:ascii="宋体"/>
                <w:vanish/>
              </w:rPr>
            </w:pPr>
          </w:p>
        </w:tc>
        <w:tc>
          <w:tcPr>
            <w:tcW w:w="0" w:type="auto"/>
            <w:gridSpan w:val="3"/>
            <w:shd w:val="clear" w:color="auto" w:fill="auto"/>
            <w:vAlign w:val="bottom"/>
          </w:tcPr>
          <w:p w14:paraId="74DDEF15" w14:textId="77777777" w:rsidR="00584EC1" w:rsidRDefault="00584EC1">
            <w:pPr>
              <w:rPr>
                <w:rFonts w:ascii="宋体"/>
                <w:vanish/>
              </w:rPr>
            </w:pPr>
          </w:p>
        </w:tc>
        <w:tc>
          <w:tcPr>
            <w:tcW w:w="0" w:type="auto"/>
            <w:gridSpan w:val="3"/>
            <w:shd w:val="clear" w:color="auto" w:fill="auto"/>
            <w:vAlign w:val="bottom"/>
          </w:tcPr>
          <w:p w14:paraId="74DDEF16" w14:textId="77777777" w:rsidR="00584EC1" w:rsidRDefault="00584EC1">
            <w:pPr>
              <w:rPr>
                <w:rFonts w:ascii="宋体"/>
                <w:vanish/>
              </w:rPr>
            </w:pPr>
          </w:p>
        </w:tc>
        <w:tc>
          <w:tcPr>
            <w:tcW w:w="0" w:type="auto"/>
            <w:gridSpan w:val="3"/>
            <w:shd w:val="clear" w:color="auto" w:fill="auto"/>
            <w:vAlign w:val="bottom"/>
          </w:tcPr>
          <w:p w14:paraId="74DDEF17" w14:textId="77777777" w:rsidR="00584EC1" w:rsidRDefault="00584EC1">
            <w:pPr>
              <w:rPr>
                <w:rFonts w:ascii="宋体"/>
                <w:vanish/>
              </w:rPr>
            </w:pPr>
          </w:p>
        </w:tc>
        <w:tc>
          <w:tcPr>
            <w:tcW w:w="0" w:type="auto"/>
            <w:gridSpan w:val="3"/>
            <w:shd w:val="clear" w:color="auto" w:fill="auto"/>
            <w:vAlign w:val="bottom"/>
          </w:tcPr>
          <w:p w14:paraId="74DDEF18" w14:textId="77777777" w:rsidR="00584EC1" w:rsidRDefault="00584EC1">
            <w:pPr>
              <w:rPr>
                <w:rFonts w:ascii="宋体"/>
                <w:vanish/>
              </w:rPr>
            </w:pPr>
          </w:p>
        </w:tc>
        <w:tc>
          <w:tcPr>
            <w:tcW w:w="0" w:type="auto"/>
            <w:gridSpan w:val="3"/>
            <w:shd w:val="clear" w:color="auto" w:fill="auto"/>
            <w:vAlign w:val="bottom"/>
          </w:tcPr>
          <w:p w14:paraId="74DDEF19" w14:textId="77777777" w:rsidR="00584EC1" w:rsidRDefault="00584EC1">
            <w:pPr>
              <w:rPr>
                <w:rFonts w:ascii="宋体"/>
                <w:vanish/>
              </w:rPr>
            </w:pPr>
          </w:p>
        </w:tc>
      </w:tr>
      <w:tr w:rsidR="00584EC1" w14:paraId="74DDEF30" w14:textId="77777777">
        <w:tc>
          <w:tcPr>
            <w:tcW w:w="0" w:type="auto"/>
            <w:gridSpan w:val="3"/>
            <w:shd w:val="clear" w:color="auto" w:fill="FFFFFF"/>
            <w:tcMar>
              <w:top w:w="40" w:type="dxa"/>
              <w:left w:w="20" w:type="dxa"/>
              <w:bottom w:w="40" w:type="dxa"/>
              <w:right w:w="20" w:type="dxa"/>
            </w:tcMar>
            <w:vAlign w:val="bottom"/>
          </w:tcPr>
          <w:p w14:paraId="74DDEF1B" w14:textId="77777777" w:rsidR="00584EC1" w:rsidRDefault="00871F8D">
            <w:pPr>
              <w:textAlignment w:val="bottom"/>
            </w:pPr>
            <w:r>
              <w:rPr>
                <w:rFonts w:ascii="Arial" w:eastAsia="宋体" w:hAnsi="Arial" w:cs="Arial"/>
                <w:color w:val="000000"/>
                <w:sz w:val="14"/>
                <w:szCs w:val="14"/>
              </w:rPr>
              <w:t>Foreign currency translation</w:t>
            </w:r>
          </w:p>
        </w:tc>
        <w:tc>
          <w:tcPr>
            <w:tcW w:w="0" w:type="auto"/>
            <w:gridSpan w:val="2"/>
            <w:shd w:val="clear" w:color="auto" w:fill="FFFFFF"/>
            <w:tcMar>
              <w:top w:w="40" w:type="dxa"/>
              <w:left w:w="20" w:type="dxa"/>
              <w:bottom w:w="40" w:type="dxa"/>
              <w:right w:w="0" w:type="dxa"/>
            </w:tcMar>
            <w:vAlign w:val="bottom"/>
          </w:tcPr>
          <w:p w14:paraId="74DDEF1C" w14:textId="77777777" w:rsidR="00584EC1" w:rsidRDefault="00871F8D">
            <w:pPr>
              <w:jc w:val="right"/>
              <w:textAlignment w:val="bottom"/>
            </w:pPr>
            <w:r>
              <w:rPr>
                <w:rFonts w:ascii="Arial" w:eastAsia="宋体" w:hAnsi="Arial" w:cs="Arial"/>
                <w:color w:val="000000"/>
                <w:sz w:val="14"/>
                <w:szCs w:val="14"/>
              </w:rPr>
              <w:t>5 </w:t>
            </w:r>
          </w:p>
        </w:tc>
        <w:tc>
          <w:tcPr>
            <w:tcW w:w="0" w:type="auto"/>
            <w:shd w:val="clear" w:color="auto" w:fill="FFFFFF"/>
            <w:tcMar>
              <w:top w:w="40" w:type="dxa"/>
              <w:left w:w="0" w:type="dxa"/>
              <w:bottom w:w="40" w:type="dxa"/>
              <w:right w:w="20" w:type="dxa"/>
            </w:tcMar>
            <w:vAlign w:val="bottom"/>
          </w:tcPr>
          <w:p w14:paraId="74DDEF1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F1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F1F"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F2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F2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F22"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F2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F2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F25"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F2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F2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F28"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F2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F2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F2B"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EF2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F2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F2E" w14:textId="77777777" w:rsidR="00584EC1" w:rsidRDefault="00871F8D">
            <w:pPr>
              <w:jc w:val="right"/>
              <w:textAlignment w:val="bottom"/>
            </w:pPr>
            <w:r>
              <w:rPr>
                <w:rFonts w:ascii="Arial" w:eastAsia="宋体" w:hAnsi="Arial" w:cs="Arial"/>
                <w:color w:val="000000"/>
                <w:sz w:val="14"/>
                <w:szCs w:val="14"/>
              </w:rPr>
              <w:t>5 </w:t>
            </w:r>
          </w:p>
        </w:tc>
        <w:tc>
          <w:tcPr>
            <w:tcW w:w="0" w:type="auto"/>
            <w:shd w:val="clear" w:color="auto" w:fill="FFFFFF"/>
            <w:tcMar>
              <w:top w:w="40" w:type="dxa"/>
              <w:left w:w="0" w:type="dxa"/>
              <w:bottom w:w="40" w:type="dxa"/>
              <w:right w:w="20" w:type="dxa"/>
            </w:tcMar>
            <w:vAlign w:val="bottom"/>
          </w:tcPr>
          <w:p w14:paraId="74DDEF2F" w14:textId="77777777" w:rsidR="00584EC1" w:rsidRDefault="00584EC1">
            <w:pPr>
              <w:jc w:val="right"/>
              <w:rPr>
                <w:rFonts w:ascii="宋体"/>
              </w:rPr>
            </w:pPr>
          </w:p>
        </w:tc>
      </w:tr>
      <w:tr w:rsidR="00584EC1" w14:paraId="74DDEF3F" w14:textId="77777777">
        <w:trPr>
          <w:hidden/>
        </w:trPr>
        <w:tc>
          <w:tcPr>
            <w:tcW w:w="0" w:type="auto"/>
            <w:gridSpan w:val="3"/>
            <w:shd w:val="clear" w:color="auto" w:fill="auto"/>
            <w:vAlign w:val="bottom"/>
          </w:tcPr>
          <w:p w14:paraId="74DDEF31" w14:textId="77777777" w:rsidR="00584EC1" w:rsidRDefault="00584EC1">
            <w:pPr>
              <w:rPr>
                <w:rFonts w:ascii="宋体"/>
                <w:vanish/>
              </w:rPr>
            </w:pPr>
          </w:p>
        </w:tc>
        <w:tc>
          <w:tcPr>
            <w:tcW w:w="0" w:type="auto"/>
            <w:gridSpan w:val="3"/>
            <w:shd w:val="clear" w:color="auto" w:fill="auto"/>
            <w:vAlign w:val="bottom"/>
          </w:tcPr>
          <w:p w14:paraId="74DDEF32" w14:textId="77777777" w:rsidR="00584EC1" w:rsidRDefault="00584EC1">
            <w:pPr>
              <w:rPr>
                <w:rFonts w:ascii="宋体"/>
                <w:vanish/>
              </w:rPr>
            </w:pPr>
          </w:p>
        </w:tc>
        <w:tc>
          <w:tcPr>
            <w:tcW w:w="0" w:type="auto"/>
            <w:gridSpan w:val="3"/>
            <w:shd w:val="clear" w:color="auto" w:fill="auto"/>
            <w:vAlign w:val="bottom"/>
          </w:tcPr>
          <w:p w14:paraId="74DDEF33" w14:textId="77777777" w:rsidR="00584EC1" w:rsidRDefault="00584EC1">
            <w:pPr>
              <w:rPr>
                <w:rFonts w:ascii="宋体"/>
                <w:vanish/>
              </w:rPr>
            </w:pPr>
          </w:p>
        </w:tc>
        <w:tc>
          <w:tcPr>
            <w:tcW w:w="0" w:type="auto"/>
            <w:gridSpan w:val="3"/>
            <w:shd w:val="clear" w:color="auto" w:fill="auto"/>
            <w:vAlign w:val="bottom"/>
          </w:tcPr>
          <w:p w14:paraId="74DDEF34" w14:textId="77777777" w:rsidR="00584EC1" w:rsidRDefault="00584EC1">
            <w:pPr>
              <w:rPr>
                <w:rFonts w:ascii="宋体"/>
                <w:vanish/>
              </w:rPr>
            </w:pPr>
          </w:p>
        </w:tc>
        <w:tc>
          <w:tcPr>
            <w:tcW w:w="0" w:type="auto"/>
            <w:gridSpan w:val="3"/>
            <w:shd w:val="clear" w:color="auto" w:fill="auto"/>
            <w:vAlign w:val="bottom"/>
          </w:tcPr>
          <w:p w14:paraId="74DDEF35" w14:textId="77777777" w:rsidR="00584EC1" w:rsidRDefault="00584EC1">
            <w:pPr>
              <w:rPr>
                <w:rFonts w:ascii="宋体"/>
                <w:vanish/>
              </w:rPr>
            </w:pPr>
          </w:p>
        </w:tc>
        <w:tc>
          <w:tcPr>
            <w:tcW w:w="0" w:type="auto"/>
            <w:gridSpan w:val="3"/>
            <w:shd w:val="clear" w:color="auto" w:fill="auto"/>
            <w:vAlign w:val="bottom"/>
          </w:tcPr>
          <w:p w14:paraId="74DDEF36" w14:textId="77777777" w:rsidR="00584EC1" w:rsidRDefault="00584EC1">
            <w:pPr>
              <w:rPr>
                <w:rFonts w:ascii="宋体"/>
                <w:vanish/>
              </w:rPr>
            </w:pPr>
          </w:p>
        </w:tc>
        <w:tc>
          <w:tcPr>
            <w:tcW w:w="0" w:type="auto"/>
            <w:gridSpan w:val="3"/>
            <w:shd w:val="clear" w:color="auto" w:fill="auto"/>
            <w:vAlign w:val="bottom"/>
          </w:tcPr>
          <w:p w14:paraId="74DDEF37" w14:textId="77777777" w:rsidR="00584EC1" w:rsidRDefault="00584EC1">
            <w:pPr>
              <w:rPr>
                <w:rFonts w:ascii="宋体"/>
                <w:vanish/>
              </w:rPr>
            </w:pPr>
          </w:p>
        </w:tc>
        <w:tc>
          <w:tcPr>
            <w:tcW w:w="0" w:type="auto"/>
            <w:gridSpan w:val="3"/>
            <w:shd w:val="clear" w:color="auto" w:fill="auto"/>
            <w:vAlign w:val="bottom"/>
          </w:tcPr>
          <w:p w14:paraId="74DDEF38" w14:textId="77777777" w:rsidR="00584EC1" w:rsidRDefault="00584EC1">
            <w:pPr>
              <w:rPr>
                <w:rFonts w:ascii="宋体"/>
                <w:vanish/>
              </w:rPr>
            </w:pPr>
          </w:p>
        </w:tc>
        <w:tc>
          <w:tcPr>
            <w:tcW w:w="0" w:type="auto"/>
            <w:gridSpan w:val="3"/>
            <w:shd w:val="clear" w:color="auto" w:fill="auto"/>
            <w:vAlign w:val="bottom"/>
          </w:tcPr>
          <w:p w14:paraId="74DDEF39" w14:textId="77777777" w:rsidR="00584EC1" w:rsidRDefault="00584EC1">
            <w:pPr>
              <w:rPr>
                <w:rFonts w:ascii="宋体"/>
                <w:vanish/>
              </w:rPr>
            </w:pPr>
          </w:p>
        </w:tc>
        <w:tc>
          <w:tcPr>
            <w:tcW w:w="0" w:type="auto"/>
            <w:gridSpan w:val="3"/>
            <w:shd w:val="clear" w:color="auto" w:fill="auto"/>
            <w:vAlign w:val="bottom"/>
          </w:tcPr>
          <w:p w14:paraId="74DDEF3A" w14:textId="77777777" w:rsidR="00584EC1" w:rsidRDefault="00584EC1">
            <w:pPr>
              <w:rPr>
                <w:rFonts w:ascii="宋体"/>
                <w:vanish/>
              </w:rPr>
            </w:pPr>
          </w:p>
        </w:tc>
        <w:tc>
          <w:tcPr>
            <w:tcW w:w="0" w:type="auto"/>
            <w:gridSpan w:val="3"/>
            <w:shd w:val="clear" w:color="auto" w:fill="auto"/>
            <w:vAlign w:val="bottom"/>
          </w:tcPr>
          <w:p w14:paraId="74DDEF3B" w14:textId="77777777" w:rsidR="00584EC1" w:rsidRDefault="00584EC1">
            <w:pPr>
              <w:rPr>
                <w:rFonts w:ascii="宋体"/>
                <w:vanish/>
              </w:rPr>
            </w:pPr>
          </w:p>
        </w:tc>
        <w:tc>
          <w:tcPr>
            <w:tcW w:w="0" w:type="auto"/>
            <w:gridSpan w:val="3"/>
            <w:shd w:val="clear" w:color="auto" w:fill="auto"/>
            <w:vAlign w:val="bottom"/>
          </w:tcPr>
          <w:p w14:paraId="74DDEF3C" w14:textId="77777777" w:rsidR="00584EC1" w:rsidRDefault="00584EC1">
            <w:pPr>
              <w:rPr>
                <w:rFonts w:ascii="宋体"/>
                <w:vanish/>
              </w:rPr>
            </w:pPr>
          </w:p>
        </w:tc>
        <w:tc>
          <w:tcPr>
            <w:tcW w:w="0" w:type="auto"/>
            <w:gridSpan w:val="3"/>
            <w:shd w:val="clear" w:color="auto" w:fill="auto"/>
            <w:vAlign w:val="bottom"/>
          </w:tcPr>
          <w:p w14:paraId="74DDEF3D" w14:textId="77777777" w:rsidR="00584EC1" w:rsidRDefault="00584EC1">
            <w:pPr>
              <w:rPr>
                <w:rFonts w:ascii="宋体"/>
                <w:vanish/>
              </w:rPr>
            </w:pPr>
          </w:p>
        </w:tc>
        <w:tc>
          <w:tcPr>
            <w:tcW w:w="0" w:type="auto"/>
            <w:gridSpan w:val="3"/>
            <w:shd w:val="clear" w:color="auto" w:fill="auto"/>
            <w:vAlign w:val="bottom"/>
          </w:tcPr>
          <w:p w14:paraId="74DDEF3E" w14:textId="77777777" w:rsidR="00584EC1" w:rsidRDefault="00584EC1">
            <w:pPr>
              <w:rPr>
                <w:rFonts w:ascii="宋体"/>
                <w:vanish/>
              </w:rPr>
            </w:pPr>
          </w:p>
        </w:tc>
      </w:tr>
      <w:tr w:rsidR="00584EC1" w14:paraId="74DDEF5C" w14:textId="77777777">
        <w:tc>
          <w:tcPr>
            <w:tcW w:w="0" w:type="auto"/>
            <w:gridSpan w:val="3"/>
            <w:shd w:val="clear" w:color="auto" w:fill="CCEEFF"/>
            <w:tcMar>
              <w:top w:w="40" w:type="dxa"/>
              <w:left w:w="20" w:type="dxa"/>
              <w:bottom w:w="40" w:type="dxa"/>
              <w:right w:w="20" w:type="dxa"/>
            </w:tcMar>
            <w:vAlign w:val="bottom"/>
          </w:tcPr>
          <w:p w14:paraId="74DDEF40" w14:textId="77777777" w:rsidR="00584EC1" w:rsidRDefault="00871F8D">
            <w:pPr>
              <w:textAlignment w:val="bottom"/>
            </w:pPr>
            <w:r>
              <w:rPr>
                <w:rFonts w:ascii="Arial" w:eastAsia="宋体" w:hAnsi="Arial" w:cs="Arial"/>
                <w:color w:val="000000"/>
                <w:sz w:val="14"/>
                <w:szCs w:val="14"/>
              </w:rPr>
              <w:t xml:space="preserve">Ending </w:t>
            </w:r>
            <w:r>
              <w:rPr>
                <w:rFonts w:ascii="Arial" w:eastAsia="宋体" w:hAnsi="Arial" w:cs="Arial"/>
                <w:color w:val="000000"/>
                <w:sz w:val="14"/>
                <w:szCs w:val="14"/>
              </w:rPr>
              <w:t>balance</w:t>
            </w:r>
          </w:p>
        </w:tc>
        <w:tc>
          <w:tcPr>
            <w:tcW w:w="0" w:type="auto"/>
            <w:tcBorders>
              <w:top w:val="single" w:sz="8" w:space="0" w:color="000000"/>
            </w:tcBorders>
            <w:shd w:val="clear" w:color="auto" w:fill="CCEEFF"/>
            <w:tcMar>
              <w:top w:w="40" w:type="dxa"/>
              <w:left w:w="20" w:type="dxa"/>
              <w:bottom w:w="40" w:type="dxa"/>
              <w:right w:w="0" w:type="dxa"/>
            </w:tcMar>
            <w:vAlign w:val="bottom"/>
          </w:tcPr>
          <w:p w14:paraId="74DDEF41"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EF42" w14:textId="77777777" w:rsidR="00584EC1" w:rsidRDefault="00871F8D">
            <w:pPr>
              <w:jc w:val="right"/>
              <w:textAlignment w:val="bottom"/>
            </w:pPr>
            <w:r>
              <w:rPr>
                <w:rFonts w:ascii="Arial" w:eastAsia="宋体" w:hAnsi="Arial" w:cs="Arial"/>
                <w:color w:val="000000"/>
                <w:sz w:val="14"/>
                <w:szCs w:val="14"/>
              </w:rPr>
              <w:t>106 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EF4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F44"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EF45"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EF46" w14:textId="77777777" w:rsidR="00584EC1" w:rsidRDefault="00871F8D">
            <w:pPr>
              <w:jc w:val="right"/>
              <w:textAlignment w:val="bottom"/>
            </w:pPr>
            <w:r>
              <w:rPr>
                <w:rFonts w:ascii="Arial" w:eastAsia="宋体" w:hAnsi="Arial" w:cs="Arial"/>
                <w:color w:val="000000"/>
                <w:sz w:val="14"/>
                <w:szCs w:val="14"/>
              </w:rPr>
              <w:t>20 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EF4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F48"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EF49"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EF4A" w14:textId="77777777" w:rsidR="00584EC1" w:rsidRDefault="00871F8D">
            <w:pPr>
              <w:jc w:val="right"/>
              <w:textAlignment w:val="bottom"/>
            </w:pPr>
            <w:r>
              <w:rPr>
                <w:rFonts w:ascii="Arial" w:eastAsia="宋体" w:hAnsi="Arial" w:cs="Arial"/>
                <w:color w:val="000000"/>
                <w:sz w:val="14"/>
                <w:szCs w:val="14"/>
              </w:rPr>
              <w:t>8 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EF4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F4C"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EF4D"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EF4E" w14:textId="77777777" w:rsidR="00584EC1" w:rsidRDefault="00871F8D">
            <w:pPr>
              <w:jc w:val="right"/>
              <w:textAlignment w:val="bottom"/>
            </w:pPr>
            <w:r>
              <w:rPr>
                <w:rFonts w:ascii="Arial" w:eastAsia="宋体" w:hAnsi="Arial" w:cs="Arial"/>
                <w:color w:val="000000"/>
                <w:sz w:val="14"/>
                <w:szCs w:val="14"/>
              </w:rPr>
              <w:t>3 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EF4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F50"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EF51"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EF52" w14:textId="77777777" w:rsidR="00584EC1" w:rsidRDefault="00871F8D">
            <w:pPr>
              <w:jc w:val="right"/>
              <w:textAlignment w:val="bottom"/>
            </w:pPr>
            <w:r>
              <w:rPr>
                <w:rFonts w:ascii="Arial" w:eastAsia="宋体" w:hAnsi="Arial" w:cs="Arial"/>
                <w:color w:val="000000"/>
                <w:sz w:val="14"/>
                <w:szCs w:val="14"/>
              </w:rPr>
              <w:t>15 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EF5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F54"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EF55"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EF56" w14:textId="77777777" w:rsidR="00584EC1" w:rsidRDefault="00871F8D">
            <w:pPr>
              <w:jc w:val="right"/>
              <w:textAlignment w:val="bottom"/>
            </w:pPr>
            <w:r>
              <w:rPr>
                <w:rFonts w:ascii="Arial" w:eastAsia="宋体" w:hAnsi="Arial" w:cs="Arial"/>
                <w:color w:val="000000"/>
                <w:sz w:val="14"/>
                <w:szCs w:val="14"/>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EF5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F58"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EF59"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EF5A" w14:textId="77777777" w:rsidR="00584EC1" w:rsidRDefault="00871F8D">
            <w:pPr>
              <w:jc w:val="right"/>
              <w:textAlignment w:val="bottom"/>
            </w:pPr>
            <w:r>
              <w:rPr>
                <w:rFonts w:ascii="Arial" w:eastAsia="宋体" w:hAnsi="Arial" w:cs="Arial"/>
                <w:color w:val="000000"/>
                <w:sz w:val="14"/>
                <w:szCs w:val="14"/>
              </w:rPr>
              <w:t>153 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EF5B" w14:textId="77777777" w:rsidR="00584EC1" w:rsidRDefault="00584EC1">
            <w:pPr>
              <w:jc w:val="right"/>
              <w:rPr>
                <w:rFonts w:ascii="宋体"/>
              </w:rPr>
            </w:pPr>
          </w:p>
        </w:tc>
      </w:tr>
      <w:tr w:rsidR="00584EC1" w14:paraId="74DDEF6B" w14:textId="77777777">
        <w:trPr>
          <w:trHeight w:val="100"/>
        </w:trPr>
        <w:tc>
          <w:tcPr>
            <w:tcW w:w="0" w:type="auto"/>
            <w:gridSpan w:val="3"/>
            <w:shd w:val="clear" w:color="auto" w:fill="FFFFFF"/>
            <w:tcMar>
              <w:top w:w="0" w:type="dxa"/>
              <w:left w:w="20" w:type="dxa"/>
              <w:bottom w:w="0" w:type="dxa"/>
              <w:right w:w="20" w:type="dxa"/>
            </w:tcMar>
            <w:vAlign w:val="bottom"/>
          </w:tcPr>
          <w:p w14:paraId="74DDEF5D"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EF5E"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EF5F"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EF60"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EF61"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EF6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EF63"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EF64"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EF65"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EF66"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EF67"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EF68"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EF69"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EF6A" w14:textId="77777777" w:rsidR="00584EC1" w:rsidRDefault="00584EC1">
            <w:pPr>
              <w:rPr>
                <w:rFonts w:ascii="宋体"/>
              </w:rPr>
            </w:pPr>
          </w:p>
        </w:tc>
      </w:tr>
      <w:tr w:rsidR="00584EC1" w14:paraId="74DDEF6D" w14:textId="77777777">
        <w:tc>
          <w:tcPr>
            <w:tcW w:w="0" w:type="auto"/>
            <w:gridSpan w:val="42"/>
            <w:tcBorders>
              <w:top w:val="single" w:sz="8" w:space="0" w:color="000000"/>
            </w:tcBorders>
            <w:shd w:val="clear" w:color="auto" w:fill="auto"/>
            <w:tcMar>
              <w:top w:w="40" w:type="dxa"/>
              <w:left w:w="20" w:type="dxa"/>
              <w:bottom w:w="40" w:type="dxa"/>
              <w:right w:w="20" w:type="dxa"/>
            </w:tcMar>
            <w:vAlign w:val="bottom"/>
          </w:tcPr>
          <w:p w14:paraId="74DDEF6C" w14:textId="77777777" w:rsidR="00584EC1" w:rsidRDefault="00871F8D">
            <w:pPr>
              <w:textAlignment w:val="bottom"/>
            </w:pPr>
            <w:r>
              <w:rPr>
                <w:rFonts w:ascii="Arial" w:eastAsia="宋体" w:hAnsi="Arial" w:cs="Arial"/>
                <w:color w:val="000000"/>
                <w:sz w:val="8"/>
                <w:szCs w:val="8"/>
              </w:rPr>
              <w:t>(1)</w:t>
            </w:r>
            <w:r>
              <w:rPr>
                <w:rFonts w:ascii="Arial" w:eastAsia="宋体" w:hAnsi="Arial" w:cs="Arial"/>
                <w:color w:val="000000"/>
                <w:sz w:val="13"/>
                <w:szCs w:val="13"/>
              </w:rPr>
              <w:t xml:space="preserve"> Primarily related to the sale of leveraged loans in the third and third quarters of 2020.</w:t>
            </w:r>
          </w:p>
        </w:tc>
      </w:tr>
    </w:tbl>
    <w:p w14:paraId="74DDEF6E" w14:textId="77777777" w:rsidR="00584EC1" w:rsidRDefault="00871F8D">
      <w:pPr>
        <w:spacing w:before="60"/>
        <w:ind w:firstLine="450"/>
        <w:jc w:val="both"/>
      </w:pPr>
      <w:r>
        <w:rPr>
          <w:rFonts w:ascii="Arial" w:eastAsia="宋体" w:hAnsi="Arial" w:cs="Arial"/>
          <w:color w:val="000000"/>
          <w:sz w:val="20"/>
          <w:szCs w:val="20"/>
        </w:rPr>
        <w:t xml:space="preserve">Loans are reviewed on a regular basis, and any provisions for credit losses that are recorded reflect management's estimate of the amount necessary to </w:t>
      </w:r>
      <w:r>
        <w:rPr>
          <w:rFonts w:ascii="Arial" w:eastAsia="宋体" w:hAnsi="Arial" w:cs="Arial"/>
          <w:color w:val="000000"/>
          <w:sz w:val="20"/>
          <w:szCs w:val="20"/>
        </w:rPr>
        <w:t>maintain the allowance for loan losses at a level considered appropriate to absorb estimated credit losses in the loan portfolio. In the third quarter of 2021, we reduced the allowance for credit losses by $4 million, principally through a $2 million reser</w:t>
      </w:r>
      <w:r>
        <w:rPr>
          <w:rFonts w:ascii="Arial" w:eastAsia="宋体" w:hAnsi="Arial" w:cs="Arial"/>
          <w:color w:val="000000"/>
          <w:sz w:val="20"/>
          <w:szCs w:val="20"/>
        </w:rPr>
        <w:t>ve release in the provision for</w:t>
      </w:r>
      <w:r>
        <w:rPr>
          <w:rFonts w:ascii="Arial" w:eastAsia="宋体" w:hAnsi="Arial" w:cs="Arial"/>
          <w:color w:val="000000"/>
        </w:rPr>
        <w:t xml:space="preserve"> </w:t>
      </w:r>
      <w:r>
        <w:rPr>
          <w:rFonts w:ascii="Arial" w:eastAsia="宋体" w:hAnsi="Arial" w:cs="Arial"/>
          <w:color w:val="000000"/>
          <w:sz w:val="20"/>
          <w:szCs w:val="20"/>
        </w:rPr>
        <w:t>credit losses, compared to a decrease in the allowance for credit losses of $10 million in the third quarter of 2020. The reduction in the allowance reflects improvements in credit quality and stable economic outlook. Allowa</w:t>
      </w:r>
      <w:r>
        <w:rPr>
          <w:rFonts w:ascii="Arial" w:eastAsia="宋体" w:hAnsi="Arial" w:cs="Arial"/>
          <w:color w:val="000000"/>
          <w:sz w:val="20"/>
          <w:szCs w:val="20"/>
        </w:rPr>
        <w:t>nce estimates remain subject to continued model and economic uncertainty and management may use qualitative adjustments in the allowance estimates. If future data and forecasts deviate relative to the forecasts utilized to determine our allowance for credi</w:t>
      </w:r>
      <w:r>
        <w:rPr>
          <w:rFonts w:ascii="Arial" w:eastAsia="宋体" w:hAnsi="Arial" w:cs="Arial"/>
          <w:color w:val="000000"/>
          <w:sz w:val="20"/>
          <w:szCs w:val="20"/>
        </w:rPr>
        <w:t>t losses as of September 30, 2021, or if credit risk migration is higher or lower than forecasted for reasons independent of the economic forecast, our allowance for credit losses will also change.</w:t>
      </w:r>
    </w:p>
    <w:p w14:paraId="74DDEF6F" w14:textId="77777777" w:rsidR="00584EC1" w:rsidRDefault="00871F8D">
      <w:pPr>
        <w:spacing w:before="90"/>
        <w:jc w:val="both"/>
      </w:pPr>
      <w:r>
        <w:rPr>
          <w:rFonts w:ascii="Arial" w:eastAsia="宋体" w:hAnsi="Arial" w:cs="Arial"/>
          <w:b/>
          <w:bCs/>
          <w:color w:val="000000"/>
          <w:sz w:val="20"/>
          <w:szCs w:val="20"/>
        </w:rPr>
        <w:t>Note 5.    Goodwill and Other Intangible Assets</w:t>
      </w:r>
    </w:p>
    <w:p w14:paraId="74DDEF70" w14:textId="77777777" w:rsidR="00584EC1" w:rsidRDefault="00871F8D">
      <w:pPr>
        <w:spacing w:before="60"/>
        <w:ind w:firstLine="450"/>
        <w:jc w:val="both"/>
      </w:pPr>
      <w:r>
        <w:rPr>
          <w:rFonts w:ascii="Arial" w:eastAsia="宋体" w:hAnsi="Arial" w:cs="Arial"/>
          <w:color w:val="000000"/>
          <w:sz w:val="20"/>
          <w:szCs w:val="20"/>
        </w:rPr>
        <w:t>The follow</w:t>
      </w:r>
      <w:r>
        <w:rPr>
          <w:rFonts w:ascii="Arial" w:eastAsia="宋体" w:hAnsi="Arial" w:cs="Arial"/>
          <w:color w:val="000000"/>
          <w:sz w:val="20"/>
          <w:szCs w:val="20"/>
        </w:rPr>
        <w:t>ing table presents changes in the carrying amount of goodwill during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2"/>
        <w:gridCol w:w="3220"/>
        <w:gridCol w:w="38"/>
        <w:gridCol w:w="105"/>
        <w:gridCol w:w="1488"/>
        <w:gridCol w:w="36"/>
        <w:gridCol w:w="36"/>
        <w:gridCol w:w="36"/>
        <w:gridCol w:w="36"/>
        <w:gridCol w:w="105"/>
        <w:gridCol w:w="1454"/>
        <w:gridCol w:w="36"/>
        <w:gridCol w:w="36"/>
        <w:gridCol w:w="36"/>
        <w:gridCol w:w="36"/>
        <w:gridCol w:w="104"/>
        <w:gridCol w:w="1456"/>
        <w:gridCol w:w="36"/>
      </w:tblGrid>
      <w:tr w:rsidR="00584EC1" w14:paraId="74DDEF83" w14:textId="77777777">
        <w:tc>
          <w:tcPr>
            <w:tcW w:w="50" w:type="pct"/>
            <w:shd w:val="clear" w:color="auto" w:fill="auto"/>
            <w:vAlign w:val="bottom"/>
          </w:tcPr>
          <w:p w14:paraId="74DDEF71" w14:textId="77777777" w:rsidR="00584EC1" w:rsidRDefault="00584EC1">
            <w:pPr>
              <w:rPr>
                <w:rFonts w:ascii="宋体"/>
              </w:rPr>
            </w:pPr>
          </w:p>
        </w:tc>
        <w:tc>
          <w:tcPr>
            <w:tcW w:w="1955" w:type="pct"/>
            <w:shd w:val="clear" w:color="auto" w:fill="auto"/>
            <w:vAlign w:val="bottom"/>
          </w:tcPr>
          <w:p w14:paraId="74DDEF72" w14:textId="77777777" w:rsidR="00584EC1" w:rsidRDefault="00584EC1">
            <w:pPr>
              <w:rPr>
                <w:rFonts w:ascii="宋体"/>
              </w:rPr>
            </w:pPr>
          </w:p>
        </w:tc>
        <w:tc>
          <w:tcPr>
            <w:tcW w:w="5" w:type="pct"/>
            <w:shd w:val="clear" w:color="auto" w:fill="auto"/>
            <w:vAlign w:val="bottom"/>
          </w:tcPr>
          <w:p w14:paraId="74DDEF73" w14:textId="77777777" w:rsidR="00584EC1" w:rsidRDefault="00584EC1">
            <w:pPr>
              <w:rPr>
                <w:rFonts w:ascii="宋体"/>
              </w:rPr>
            </w:pPr>
          </w:p>
        </w:tc>
        <w:tc>
          <w:tcPr>
            <w:tcW w:w="50" w:type="pct"/>
            <w:shd w:val="clear" w:color="auto" w:fill="auto"/>
            <w:vAlign w:val="bottom"/>
          </w:tcPr>
          <w:p w14:paraId="74DDEF74" w14:textId="77777777" w:rsidR="00584EC1" w:rsidRDefault="00584EC1">
            <w:pPr>
              <w:rPr>
                <w:rFonts w:ascii="宋体"/>
              </w:rPr>
            </w:pPr>
          </w:p>
        </w:tc>
        <w:tc>
          <w:tcPr>
            <w:tcW w:w="917" w:type="pct"/>
            <w:shd w:val="clear" w:color="auto" w:fill="auto"/>
            <w:vAlign w:val="bottom"/>
          </w:tcPr>
          <w:p w14:paraId="74DDEF75" w14:textId="77777777" w:rsidR="00584EC1" w:rsidRDefault="00584EC1">
            <w:pPr>
              <w:rPr>
                <w:rFonts w:ascii="宋体"/>
              </w:rPr>
            </w:pPr>
          </w:p>
        </w:tc>
        <w:tc>
          <w:tcPr>
            <w:tcW w:w="5" w:type="pct"/>
            <w:shd w:val="clear" w:color="auto" w:fill="auto"/>
            <w:vAlign w:val="bottom"/>
          </w:tcPr>
          <w:p w14:paraId="74DDEF76" w14:textId="77777777" w:rsidR="00584EC1" w:rsidRDefault="00584EC1">
            <w:pPr>
              <w:rPr>
                <w:rFonts w:ascii="宋体"/>
              </w:rPr>
            </w:pPr>
          </w:p>
        </w:tc>
        <w:tc>
          <w:tcPr>
            <w:tcW w:w="5" w:type="pct"/>
            <w:shd w:val="clear" w:color="auto" w:fill="auto"/>
            <w:vAlign w:val="bottom"/>
          </w:tcPr>
          <w:p w14:paraId="74DDEF77" w14:textId="77777777" w:rsidR="00584EC1" w:rsidRDefault="00584EC1">
            <w:pPr>
              <w:rPr>
                <w:rFonts w:ascii="宋体"/>
              </w:rPr>
            </w:pPr>
          </w:p>
        </w:tc>
        <w:tc>
          <w:tcPr>
            <w:tcW w:w="26" w:type="pct"/>
            <w:shd w:val="clear" w:color="auto" w:fill="auto"/>
            <w:vAlign w:val="bottom"/>
          </w:tcPr>
          <w:p w14:paraId="74DDEF78" w14:textId="77777777" w:rsidR="00584EC1" w:rsidRDefault="00584EC1">
            <w:pPr>
              <w:rPr>
                <w:rFonts w:ascii="宋体"/>
              </w:rPr>
            </w:pPr>
          </w:p>
        </w:tc>
        <w:tc>
          <w:tcPr>
            <w:tcW w:w="5" w:type="pct"/>
            <w:shd w:val="clear" w:color="auto" w:fill="auto"/>
            <w:vAlign w:val="bottom"/>
          </w:tcPr>
          <w:p w14:paraId="74DDEF79" w14:textId="77777777" w:rsidR="00584EC1" w:rsidRDefault="00584EC1">
            <w:pPr>
              <w:rPr>
                <w:rFonts w:ascii="宋体"/>
              </w:rPr>
            </w:pPr>
          </w:p>
        </w:tc>
        <w:tc>
          <w:tcPr>
            <w:tcW w:w="50" w:type="pct"/>
            <w:shd w:val="clear" w:color="auto" w:fill="auto"/>
            <w:vAlign w:val="bottom"/>
          </w:tcPr>
          <w:p w14:paraId="74DDEF7A" w14:textId="77777777" w:rsidR="00584EC1" w:rsidRDefault="00584EC1">
            <w:pPr>
              <w:rPr>
                <w:rFonts w:ascii="宋体"/>
              </w:rPr>
            </w:pPr>
          </w:p>
        </w:tc>
        <w:tc>
          <w:tcPr>
            <w:tcW w:w="917" w:type="pct"/>
            <w:shd w:val="clear" w:color="auto" w:fill="auto"/>
            <w:vAlign w:val="bottom"/>
          </w:tcPr>
          <w:p w14:paraId="74DDEF7B" w14:textId="77777777" w:rsidR="00584EC1" w:rsidRDefault="00584EC1">
            <w:pPr>
              <w:rPr>
                <w:rFonts w:ascii="宋体"/>
              </w:rPr>
            </w:pPr>
          </w:p>
        </w:tc>
        <w:tc>
          <w:tcPr>
            <w:tcW w:w="5" w:type="pct"/>
            <w:shd w:val="clear" w:color="auto" w:fill="auto"/>
            <w:vAlign w:val="bottom"/>
          </w:tcPr>
          <w:p w14:paraId="74DDEF7C" w14:textId="77777777" w:rsidR="00584EC1" w:rsidRDefault="00584EC1">
            <w:pPr>
              <w:rPr>
                <w:rFonts w:ascii="宋体"/>
              </w:rPr>
            </w:pPr>
          </w:p>
        </w:tc>
        <w:tc>
          <w:tcPr>
            <w:tcW w:w="5" w:type="pct"/>
            <w:shd w:val="clear" w:color="auto" w:fill="auto"/>
            <w:vAlign w:val="bottom"/>
          </w:tcPr>
          <w:p w14:paraId="74DDEF7D" w14:textId="77777777" w:rsidR="00584EC1" w:rsidRDefault="00584EC1">
            <w:pPr>
              <w:rPr>
                <w:rFonts w:ascii="宋体"/>
              </w:rPr>
            </w:pPr>
          </w:p>
        </w:tc>
        <w:tc>
          <w:tcPr>
            <w:tcW w:w="26" w:type="pct"/>
            <w:shd w:val="clear" w:color="auto" w:fill="auto"/>
            <w:vAlign w:val="bottom"/>
          </w:tcPr>
          <w:p w14:paraId="74DDEF7E" w14:textId="77777777" w:rsidR="00584EC1" w:rsidRDefault="00584EC1">
            <w:pPr>
              <w:rPr>
                <w:rFonts w:ascii="宋体"/>
              </w:rPr>
            </w:pPr>
          </w:p>
        </w:tc>
        <w:tc>
          <w:tcPr>
            <w:tcW w:w="5" w:type="pct"/>
            <w:shd w:val="clear" w:color="auto" w:fill="auto"/>
            <w:vAlign w:val="bottom"/>
          </w:tcPr>
          <w:p w14:paraId="74DDEF7F" w14:textId="77777777" w:rsidR="00584EC1" w:rsidRDefault="00584EC1">
            <w:pPr>
              <w:rPr>
                <w:rFonts w:ascii="宋体"/>
              </w:rPr>
            </w:pPr>
          </w:p>
        </w:tc>
        <w:tc>
          <w:tcPr>
            <w:tcW w:w="50" w:type="pct"/>
            <w:shd w:val="clear" w:color="auto" w:fill="auto"/>
            <w:vAlign w:val="bottom"/>
          </w:tcPr>
          <w:p w14:paraId="74DDEF80" w14:textId="77777777" w:rsidR="00584EC1" w:rsidRDefault="00584EC1">
            <w:pPr>
              <w:rPr>
                <w:rFonts w:ascii="宋体"/>
              </w:rPr>
            </w:pPr>
          </w:p>
        </w:tc>
        <w:tc>
          <w:tcPr>
            <w:tcW w:w="917" w:type="pct"/>
            <w:shd w:val="clear" w:color="auto" w:fill="auto"/>
            <w:vAlign w:val="bottom"/>
          </w:tcPr>
          <w:p w14:paraId="74DDEF81" w14:textId="77777777" w:rsidR="00584EC1" w:rsidRDefault="00584EC1">
            <w:pPr>
              <w:rPr>
                <w:rFonts w:ascii="宋体"/>
              </w:rPr>
            </w:pPr>
          </w:p>
        </w:tc>
        <w:tc>
          <w:tcPr>
            <w:tcW w:w="5" w:type="pct"/>
            <w:shd w:val="clear" w:color="auto" w:fill="auto"/>
            <w:vAlign w:val="bottom"/>
          </w:tcPr>
          <w:p w14:paraId="74DDEF82" w14:textId="77777777" w:rsidR="00584EC1" w:rsidRDefault="00584EC1">
            <w:pPr>
              <w:rPr>
                <w:rFonts w:ascii="宋体"/>
              </w:rPr>
            </w:pPr>
          </w:p>
        </w:tc>
      </w:tr>
      <w:tr w:rsidR="00584EC1" w14:paraId="74DDEF8B" w14:textId="77777777">
        <w:tc>
          <w:tcPr>
            <w:tcW w:w="0" w:type="auto"/>
            <w:gridSpan w:val="3"/>
            <w:shd w:val="clear" w:color="auto" w:fill="auto"/>
            <w:tcMar>
              <w:top w:w="40" w:type="dxa"/>
              <w:left w:w="20" w:type="dxa"/>
              <w:bottom w:w="40" w:type="dxa"/>
              <w:right w:w="20" w:type="dxa"/>
            </w:tcMar>
            <w:vAlign w:val="bottom"/>
          </w:tcPr>
          <w:p w14:paraId="74DDEF84" w14:textId="77777777" w:rsidR="00584EC1" w:rsidRDefault="00871F8D">
            <w:pPr>
              <w:textAlignment w:val="bottom"/>
            </w:pPr>
            <w:r>
              <w:rPr>
                <w:rFonts w:ascii="Arial" w:eastAsia="宋体" w:hAnsi="Arial" w:cs="Arial"/>
                <w:b/>
                <w:bCs/>
                <w:color w:val="000000"/>
                <w:sz w:val="15"/>
                <w:szCs w:val="15"/>
              </w:rPr>
              <w:t>(In millions)</w:t>
            </w:r>
          </w:p>
        </w:tc>
        <w:tc>
          <w:tcPr>
            <w:tcW w:w="0" w:type="auto"/>
            <w:gridSpan w:val="3"/>
            <w:shd w:val="clear" w:color="auto" w:fill="auto"/>
            <w:tcMar>
              <w:top w:w="40" w:type="dxa"/>
              <w:left w:w="20" w:type="dxa"/>
              <w:bottom w:w="40" w:type="dxa"/>
              <w:right w:w="20" w:type="dxa"/>
            </w:tcMar>
            <w:vAlign w:val="bottom"/>
          </w:tcPr>
          <w:p w14:paraId="74DDEF85" w14:textId="77777777" w:rsidR="00584EC1" w:rsidRDefault="00871F8D">
            <w:pPr>
              <w:jc w:val="center"/>
              <w:textAlignment w:val="bottom"/>
            </w:pPr>
            <w:r>
              <w:rPr>
                <w:rFonts w:ascii="Arial" w:eastAsia="宋体" w:hAnsi="Arial" w:cs="Arial"/>
                <w:b/>
                <w:bCs/>
                <w:color w:val="000000"/>
                <w:sz w:val="15"/>
                <w:szCs w:val="15"/>
              </w:rPr>
              <w:t>Investment</w:t>
            </w:r>
          </w:p>
          <w:p w14:paraId="74DDEF86" w14:textId="77777777" w:rsidR="00584EC1" w:rsidRDefault="00871F8D">
            <w:pPr>
              <w:jc w:val="center"/>
              <w:textAlignment w:val="bottom"/>
            </w:pPr>
            <w:r>
              <w:rPr>
                <w:rFonts w:ascii="Arial" w:eastAsia="宋体" w:hAnsi="Arial" w:cs="Arial"/>
                <w:b/>
                <w:bCs/>
                <w:color w:val="000000"/>
                <w:sz w:val="15"/>
                <w:szCs w:val="15"/>
              </w:rPr>
              <w:t>  Servicing</w:t>
            </w:r>
            <w:r>
              <w:rPr>
                <w:rFonts w:ascii="Arial" w:eastAsia="宋体" w:hAnsi="Arial" w:cs="Arial"/>
                <w:b/>
                <w:bCs/>
                <w:color w:val="000000"/>
                <w:sz w:val="9"/>
                <w:szCs w:val="9"/>
              </w:rPr>
              <w:t>(1)</w:t>
            </w:r>
          </w:p>
        </w:tc>
        <w:tc>
          <w:tcPr>
            <w:tcW w:w="0" w:type="auto"/>
            <w:gridSpan w:val="3"/>
            <w:shd w:val="clear" w:color="auto" w:fill="auto"/>
            <w:tcMar>
              <w:top w:w="0" w:type="dxa"/>
              <w:left w:w="20" w:type="dxa"/>
              <w:bottom w:w="0" w:type="dxa"/>
              <w:right w:w="20" w:type="dxa"/>
            </w:tcMar>
            <w:vAlign w:val="bottom"/>
          </w:tcPr>
          <w:p w14:paraId="74DDEF87"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EF88" w14:textId="77777777" w:rsidR="00584EC1" w:rsidRDefault="00871F8D">
            <w:pPr>
              <w:jc w:val="center"/>
              <w:textAlignment w:val="bottom"/>
            </w:pPr>
            <w:r>
              <w:rPr>
                <w:rFonts w:ascii="Arial" w:eastAsia="宋体" w:hAnsi="Arial" w:cs="Arial"/>
                <w:b/>
                <w:bCs/>
                <w:color w:val="000000"/>
                <w:sz w:val="15"/>
                <w:szCs w:val="15"/>
              </w:rPr>
              <w:t>Investment</w:t>
            </w:r>
            <w:r>
              <w:rPr>
                <w:rFonts w:ascii="Arial" w:eastAsia="宋体" w:hAnsi="Arial" w:cs="Arial"/>
                <w:b/>
                <w:bCs/>
                <w:color w:val="000000"/>
                <w:sz w:val="15"/>
                <w:szCs w:val="15"/>
              </w:rPr>
              <w:br/>
              <w:t>Management</w:t>
            </w:r>
          </w:p>
        </w:tc>
        <w:tc>
          <w:tcPr>
            <w:tcW w:w="0" w:type="auto"/>
            <w:gridSpan w:val="3"/>
            <w:shd w:val="clear" w:color="auto" w:fill="auto"/>
            <w:tcMar>
              <w:top w:w="0" w:type="dxa"/>
              <w:left w:w="20" w:type="dxa"/>
              <w:bottom w:w="0" w:type="dxa"/>
              <w:right w:w="20" w:type="dxa"/>
            </w:tcMar>
            <w:vAlign w:val="bottom"/>
          </w:tcPr>
          <w:p w14:paraId="74DDEF89"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EF8A" w14:textId="77777777" w:rsidR="00584EC1" w:rsidRDefault="00871F8D">
            <w:pPr>
              <w:jc w:val="center"/>
              <w:textAlignment w:val="bottom"/>
            </w:pPr>
            <w:r>
              <w:rPr>
                <w:rFonts w:ascii="Arial" w:eastAsia="宋体" w:hAnsi="Arial" w:cs="Arial"/>
                <w:b/>
                <w:bCs/>
                <w:color w:val="000000"/>
                <w:sz w:val="15"/>
                <w:szCs w:val="15"/>
              </w:rPr>
              <w:t>Total</w:t>
            </w:r>
          </w:p>
        </w:tc>
      </w:tr>
      <w:tr w:rsidR="00584EC1" w14:paraId="74DDEF92" w14:textId="77777777">
        <w:tc>
          <w:tcPr>
            <w:tcW w:w="0" w:type="auto"/>
            <w:gridSpan w:val="3"/>
            <w:shd w:val="clear" w:color="auto" w:fill="auto"/>
            <w:tcMar>
              <w:top w:w="40" w:type="dxa"/>
              <w:left w:w="20" w:type="dxa"/>
              <w:bottom w:w="40" w:type="dxa"/>
              <w:right w:w="20" w:type="dxa"/>
            </w:tcMar>
            <w:vAlign w:val="bottom"/>
          </w:tcPr>
          <w:p w14:paraId="74DDEF8C" w14:textId="77777777" w:rsidR="00584EC1" w:rsidRDefault="00871F8D">
            <w:pPr>
              <w:textAlignment w:val="bottom"/>
            </w:pPr>
            <w:r>
              <w:rPr>
                <w:rFonts w:ascii="Arial" w:eastAsia="宋体" w:hAnsi="Arial" w:cs="Arial"/>
                <w:b/>
                <w:bCs/>
                <w:color w:val="000000"/>
                <w:sz w:val="15"/>
                <w:szCs w:val="15"/>
              </w:rPr>
              <w:t>Goodwill:</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F8D"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F8E"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F8F"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EF90"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EF91" w14:textId="77777777" w:rsidR="00584EC1" w:rsidRDefault="00584EC1">
            <w:pPr>
              <w:rPr>
                <w:rFonts w:ascii="宋体"/>
              </w:rPr>
            </w:pPr>
          </w:p>
        </w:tc>
      </w:tr>
      <w:tr w:rsidR="00584EC1" w14:paraId="74DDEF99" w14:textId="77777777">
        <w:trPr>
          <w:hidden/>
        </w:trPr>
        <w:tc>
          <w:tcPr>
            <w:tcW w:w="0" w:type="auto"/>
            <w:gridSpan w:val="3"/>
            <w:shd w:val="clear" w:color="auto" w:fill="auto"/>
            <w:vAlign w:val="bottom"/>
          </w:tcPr>
          <w:p w14:paraId="74DDEF93" w14:textId="77777777" w:rsidR="00584EC1" w:rsidRDefault="00584EC1">
            <w:pPr>
              <w:rPr>
                <w:rFonts w:ascii="宋体"/>
                <w:vanish/>
              </w:rPr>
            </w:pPr>
          </w:p>
        </w:tc>
        <w:tc>
          <w:tcPr>
            <w:tcW w:w="0" w:type="auto"/>
            <w:gridSpan w:val="3"/>
            <w:shd w:val="clear" w:color="auto" w:fill="auto"/>
            <w:vAlign w:val="bottom"/>
          </w:tcPr>
          <w:p w14:paraId="74DDEF94" w14:textId="77777777" w:rsidR="00584EC1" w:rsidRDefault="00584EC1">
            <w:pPr>
              <w:rPr>
                <w:rFonts w:ascii="宋体"/>
                <w:vanish/>
              </w:rPr>
            </w:pPr>
          </w:p>
        </w:tc>
        <w:tc>
          <w:tcPr>
            <w:tcW w:w="0" w:type="auto"/>
            <w:gridSpan w:val="3"/>
            <w:shd w:val="clear" w:color="auto" w:fill="auto"/>
            <w:vAlign w:val="bottom"/>
          </w:tcPr>
          <w:p w14:paraId="74DDEF95" w14:textId="77777777" w:rsidR="00584EC1" w:rsidRDefault="00584EC1">
            <w:pPr>
              <w:rPr>
                <w:rFonts w:ascii="宋体"/>
                <w:vanish/>
              </w:rPr>
            </w:pPr>
          </w:p>
        </w:tc>
        <w:tc>
          <w:tcPr>
            <w:tcW w:w="0" w:type="auto"/>
            <w:gridSpan w:val="3"/>
            <w:shd w:val="clear" w:color="auto" w:fill="auto"/>
            <w:vAlign w:val="bottom"/>
          </w:tcPr>
          <w:p w14:paraId="74DDEF96" w14:textId="77777777" w:rsidR="00584EC1" w:rsidRDefault="00584EC1">
            <w:pPr>
              <w:rPr>
                <w:rFonts w:ascii="宋体"/>
                <w:vanish/>
              </w:rPr>
            </w:pPr>
          </w:p>
        </w:tc>
        <w:tc>
          <w:tcPr>
            <w:tcW w:w="0" w:type="auto"/>
            <w:gridSpan w:val="3"/>
            <w:shd w:val="clear" w:color="auto" w:fill="auto"/>
            <w:vAlign w:val="bottom"/>
          </w:tcPr>
          <w:p w14:paraId="74DDEF97" w14:textId="77777777" w:rsidR="00584EC1" w:rsidRDefault="00584EC1">
            <w:pPr>
              <w:rPr>
                <w:rFonts w:ascii="宋体"/>
                <w:vanish/>
              </w:rPr>
            </w:pPr>
          </w:p>
        </w:tc>
        <w:tc>
          <w:tcPr>
            <w:tcW w:w="0" w:type="auto"/>
            <w:gridSpan w:val="3"/>
            <w:shd w:val="clear" w:color="auto" w:fill="auto"/>
            <w:vAlign w:val="bottom"/>
          </w:tcPr>
          <w:p w14:paraId="74DDEF98" w14:textId="77777777" w:rsidR="00584EC1" w:rsidRDefault="00584EC1">
            <w:pPr>
              <w:rPr>
                <w:rFonts w:ascii="宋体"/>
                <w:vanish/>
              </w:rPr>
            </w:pPr>
          </w:p>
        </w:tc>
      </w:tr>
      <w:tr w:rsidR="00584EC1" w14:paraId="74DDEFA0" w14:textId="77777777">
        <w:trPr>
          <w:hidden/>
        </w:trPr>
        <w:tc>
          <w:tcPr>
            <w:tcW w:w="0" w:type="auto"/>
            <w:gridSpan w:val="3"/>
            <w:shd w:val="clear" w:color="auto" w:fill="auto"/>
            <w:vAlign w:val="bottom"/>
          </w:tcPr>
          <w:p w14:paraId="74DDEF9A" w14:textId="77777777" w:rsidR="00584EC1" w:rsidRDefault="00584EC1">
            <w:pPr>
              <w:rPr>
                <w:rFonts w:ascii="宋体"/>
                <w:vanish/>
              </w:rPr>
            </w:pPr>
          </w:p>
        </w:tc>
        <w:tc>
          <w:tcPr>
            <w:tcW w:w="0" w:type="auto"/>
            <w:gridSpan w:val="3"/>
            <w:shd w:val="clear" w:color="auto" w:fill="auto"/>
            <w:vAlign w:val="bottom"/>
          </w:tcPr>
          <w:p w14:paraId="74DDEF9B" w14:textId="77777777" w:rsidR="00584EC1" w:rsidRDefault="00584EC1">
            <w:pPr>
              <w:rPr>
                <w:rFonts w:ascii="宋体"/>
                <w:vanish/>
              </w:rPr>
            </w:pPr>
          </w:p>
        </w:tc>
        <w:tc>
          <w:tcPr>
            <w:tcW w:w="0" w:type="auto"/>
            <w:gridSpan w:val="3"/>
            <w:shd w:val="clear" w:color="auto" w:fill="auto"/>
            <w:vAlign w:val="bottom"/>
          </w:tcPr>
          <w:p w14:paraId="74DDEF9C" w14:textId="77777777" w:rsidR="00584EC1" w:rsidRDefault="00584EC1">
            <w:pPr>
              <w:rPr>
                <w:rFonts w:ascii="宋体"/>
                <w:vanish/>
              </w:rPr>
            </w:pPr>
          </w:p>
        </w:tc>
        <w:tc>
          <w:tcPr>
            <w:tcW w:w="0" w:type="auto"/>
            <w:gridSpan w:val="3"/>
            <w:shd w:val="clear" w:color="auto" w:fill="auto"/>
            <w:vAlign w:val="bottom"/>
          </w:tcPr>
          <w:p w14:paraId="74DDEF9D" w14:textId="77777777" w:rsidR="00584EC1" w:rsidRDefault="00584EC1">
            <w:pPr>
              <w:rPr>
                <w:rFonts w:ascii="宋体"/>
                <w:vanish/>
              </w:rPr>
            </w:pPr>
          </w:p>
        </w:tc>
        <w:tc>
          <w:tcPr>
            <w:tcW w:w="0" w:type="auto"/>
            <w:gridSpan w:val="3"/>
            <w:shd w:val="clear" w:color="auto" w:fill="auto"/>
            <w:vAlign w:val="bottom"/>
          </w:tcPr>
          <w:p w14:paraId="74DDEF9E" w14:textId="77777777" w:rsidR="00584EC1" w:rsidRDefault="00584EC1">
            <w:pPr>
              <w:rPr>
                <w:rFonts w:ascii="宋体"/>
                <w:vanish/>
              </w:rPr>
            </w:pPr>
          </w:p>
        </w:tc>
        <w:tc>
          <w:tcPr>
            <w:tcW w:w="0" w:type="auto"/>
            <w:gridSpan w:val="3"/>
            <w:shd w:val="clear" w:color="auto" w:fill="auto"/>
            <w:vAlign w:val="bottom"/>
          </w:tcPr>
          <w:p w14:paraId="74DDEF9F" w14:textId="77777777" w:rsidR="00584EC1" w:rsidRDefault="00584EC1">
            <w:pPr>
              <w:rPr>
                <w:rFonts w:ascii="宋体"/>
                <w:vanish/>
              </w:rPr>
            </w:pPr>
          </w:p>
        </w:tc>
      </w:tr>
      <w:tr w:rsidR="00584EC1" w14:paraId="74DDEFA7" w14:textId="77777777">
        <w:trPr>
          <w:hidden/>
        </w:trPr>
        <w:tc>
          <w:tcPr>
            <w:tcW w:w="0" w:type="auto"/>
            <w:gridSpan w:val="3"/>
            <w:shd w:val="clear" w:color="auto" w:fill="auto"/>
            <w:vAlign w:val="bottom"/>
          </w:tcPr>
          <w:p w14:paraId="74DDEFA1" w14:textId="77777777" w:rsidR="00584EC1" w:rsidRDefault="00584EC1">
            <w:pPr>
              <w:rPr>
                <w:rFonts w:ascii="宋体"/>
                <w:vanish/>
              </w:rPr>
            </w:pPr>
          </w:p>
        </w:tc>
        <w:tc>
          <w:tcPr>
            <w:tcW w:w="0" w:type="auto"/>
            <w:gridSpan w:val="3"/>
            <w:shd w:val="clear" w:color="auto" w:fill="auto"/>
            <w:vAlign w:val="bottom"/>
          </w:tcPr>
          <w:p w14:paraId="74DDEFA2" w14:textId="77777777" w:rsidR="00584EC1" w:rsidRDefault="00584EC1">
            <w:pPr>
              <w:rPr>
                <w:rFonts w:ascii="宋体"/>
                <w:vanish/>
              </w:rPr>
            </w:pPr>
          </w:p>
        </w:tc>
        <w:tc>
          <w:tcPr>
            <w:tcW w:w="0" w:type="auto"/>
            <w:gridSpan w:val="3"/>
            <w:shd w:val="clear" w:color="auto" w:fill="auto"/>
            <w:vAlign w:val="bottom"/>
          </w:tcPr>
          <w:p w14:paraId="74DDEFA3" w14:textId="77777777" w:rsidR="00584EC1" w:rsidRDefault="00584EC1">
            <w:pPr>
              <w:rPr>
                <w:rFonts w:ascii="宋体"/>
                <w:vanish/>
              </w:rPr>
            </w:pPr>
          </w:p>
        </w:tc>
        <w:tc>
          <w:tcPr>
            <w:tcW w:w="0" w:type="auto"/>
            <w:gridSpan w:val="3"/>
            <w:shd w:val="clear" w:color="auto" w:fill="auto"/>
            <w:vAlign w:val="bottom"/>
          </w:tcPr>
          <w:p w14:paraId="74DDEFA4" w14:textId="77777777" w:rsidR="00584EC1" w:rsidRDefault="00584EC1">
            <w:pPr>
              <w:rPr>
                <w:rFonts w:ascii="宋体"/>
                <w:vanish/>
              </w:rPr>
            </w:pPr>
          </w:p>
        </w:tc>
        <w:tc>
          <w:tcPr>
            <w:tcW w:w="0" w:type="auto"/>
            <w:gridSpan w:val="3"/>
            <w:shd w:val="clear" w:color="auto" w:fill="auto"/>
            <w:vAlign w:val="bottom"/>
          </w:tcPr>
          <w:p w14:paraId="74DDEFA5" w14:textId="77777777" w:rsidR="00584EC1" w:rsidRDefault="00584EC1">
            <w:pPr>
              <w:rPr>
                <w:rFonts w:ascii="宋体"/>
                <w:vanish/>
              </w:rPr>
            </w:pPr>
          </w:p>
        </w:tc>
        <w:tc>
          <w:tcPr>
            <w:tcW w:w="0" w:type="auto"/>
            <w:gridSpan w:val="3"/>
            <w:shd w:val="clear" w:color="auto" w:fill="auto"/>
            <w:vAlign w:val="bottom"/>
          </w:tcPr>
          <w:p w14:paraId="74DDEFA6" w14:textId="77777777" w:rsidR="00584EC1" w:rsidRDefault="00584EC1">
            <w:pPr>
              <w:rPr>
                <w:rFonts w:ascii="宋体"/>
                <w:vanish/>
              </w:rPr>
            </w:pPr>
          </w:p>
        </w:tc>
      </w:tr>
      <w:tr w:rsidR="00584EC1" w14:paraId="74DDEFAE" w14:textId="77777777">
        <w:trPr>
          <w:hidden/>
        </w:trPr>
        <w:tc>
          <w:tcPr>
            <w:tcW w:w="0" w:type="auto"/>
            <w:gridSpan w:val="3"/>
            <w:shd w:val="clear" w:color="auto" w:fill="auto"/>
            <w:vAlign w:val="bottom"/>
          </w:tcPr>
          <w:p w14:paraId="74DDEFA8" w14:textId="77777777" w:rsidR="00584EC1" w:rsidRDefault="00584EC1">
            <w:pPr>
              <w:rPr>
                <w:rFonts w:ascii="宋体"/>
                <w:vanish/>
              </w:rPr>
            </w:pPr>
          </w:p>
        </w:tc>
        <w:tc>
          <w:tcPr>
            <w:tcW w:w="0" w:type="auto"/>
            <w:gridSpan w:val="3"/>
            <w:shd w:val="clear" w:color="auto" w:fill="auto"/>
            <w:vAlign w:val="bottom"/>
          </w:tcPr>
          <w:p w14:paraId="74DDEFA9" w14:textId="77777777" w:rsidR="00584EC1" w:rsidRDefault="00584EC1">
            <w:pPr>
              <w:rPr>
                <w:rFonts w:ascii="宋体"/>
                <w:vanish/>
              </w:rPr>
            </w:pPr>
          </w:p>
        </w:tc>
        <w:tc>
          <w:tcPr>
            <w:tcW w:w="0" w:type="auto"/>
            <w:gridSpan w:val="3"/>
            <w:shd w:val="clear" w:color="auto" w:fill="auto"/>
            <w:vAlign w:val="bottom"/>
          </w:tcPr>
          <w:p w14:paraId="74DDEFAA" w14:textId="77777777" w:rsidR="00584EC1" w:rsidRDefault="00584EC1">
            <w:pPr>
              <w:rPr>
                <w:rFonts w:ascii="宋体"/>
                <w:vanish/>
              </w:rPr>
            </w:pPr>
          </w:p>
        </w:tc>
        <w:tc>
          <w:tcPr>
            <w:tcW w:w="0" w:type="auto"/>
            <w:gridSpan w:val="3"/>
            <w:shd w:val="clear" w:color="auto" w:fill="auto"/>
            <w:vAlign w:val="bottom"/>
          </w:tcPr>
          <w:p w14:paraId="74DDEFAB" w14:textId="77777777" w:rsidR="00584EC1" w:rsidRDefault="00584EC1">
            <w:pPr>
              <w:rPr>
                <w:rFonts w:ascii="宋体"/>
                <w:vanish/>
              </w:rPr>
            </w:pPr>
          </w:p>
        </w:tc>
        <w:tc>
          <w:tcPr>
            <w:tcW w:w="0" w:type="auto"/>
            <w:gridSpan w:val="3"/>
            <w:shd w:val="clear" w:color="auto" w:fill="auto"/>
            <w:vAlign w:val="bottom"/>
          </w:tcPr>
          <w:p w14:paraId="74DDEFAC" w14:textId="77777777" w:rsidR="00584EC1" w:rsidRDefault="00584EC1">
            <w:pPr>
              <w:rPr>
                <w:rFonts w:ascii="宋体"/>
                <w:vanish/>
              </w:rPr>
            </w:pPr>
          </w:p>
        </w:tc>
        <w:tc>
          <w:tcPr>
            <w:tcW w:w="0" w:type="auto"/>
            <w:gridSpan w:val="3"/>
            <w:shd w:val="clear" w:color="auto" w:fill="auto"/>
            <w:vAlign w:val="bottom"/>
          </w:tcPr>
          <w:p w14:paraId="74DDEFAD" w14:textId="77777777" w:rsidR="00584EC1" w:rsidRDefault="00584EC1">
            <w:pPr>
              <w:rPr>
                <w:rFonts w:ascii="宋体"/>
                <w:vanish/>
              </w:rPr>
            </w:pPr>
          </w:p>
        </w:tc>
      </w:tr>
      <w:tr w:rsidR="00584EC1" w14:paraId="74DDEFB5" w14:textId="77777777">
        <w:trPr>
          <w:hidden/>
        </w:trPr>
        <w:tc>
          <w:tcPr>
            <w:tcW w:w="0" w:type="auto"/>
            <w:gridSpan w:val="3"/>
            <w:shd w:val="clear" w:color="auto" w:fill="auto"/>
            <w:vAlign w:val="bottom"/>
          </w:tcPr>
          <w:p w14:paraId="74DDEFAF" w14:textId="77777777" w:rsidR="00584EC1" w:rsidRDefault="00584EC1">
            <w:pPr>
              <w:rPr>
                <w:rFonts w:ascii="宋体"/>
                <w:vanish/>
              </w:rPr>
            </w:pPr>
          </w:p>
        </w:tc>
        <w:tc>
          <w:tcPr>
            <w:tcW w:w="0" w:type="auto"/>
            <w:gridSpan w:val="3"/>
            <w:shd w:val="clear" w:color="auto" w:fill="auto"/>
            <w:vAlign w:val="bottom"/>
          </w:tcPr>
          <w:p w14:paraId="74DDEFB0" w14:textId="77777777" w:rsidR="00584EC1" w:rsidRDefault="00584EC1">
            <w:pPr>
              <w:rPr>
                <w:rFonts w:ascii="宋体"/>
                <w:vanish/>
              </w:rPr>
            </w:pPr>
          </w:p>
        </w:tc>
        <w:tc>
          <w:tcPr>
            <w:tcW w:w="0" w:type="auto"/>
            <w:gridSpan w:val="3"/>
            <w:shd w:val="clear" w:color="auto" w:fill="auto"/>
            <w:vAlign w:val="bottom"/>
          </w:tcPr>
          <w:p w14:paraId="74DDEFB1" w14:textId="77777777" w:rsidR="00584EC1" w:rsidRDefault="00584EC1">
            <w:pPr>
              <w:rPr>
                <w:rFonts w:ascii="宋体"/>
                <w:vanish/>
              </w:rPr>
            </w:pPr>
          </w:p>
        </w:tc>
        <w:tc>
          <w:tcPr>
            <w:tcW w:w="0" w:type="auto"/>
            <w:gridSpan w:val="3"/>
            <w:shd w:val="clear" w:color="auto" w:fill="auto"/>
            <w:vAlign w:val="bottom"/>
          </w:tcPr>
          <w:p w14:paraId="74DDEFB2" w14:textId="77777777" w:rsidR="00584EC1" w:rsidRDefault="00584EC1">
            <w:pPr>
              <w:rPr>
                <w:rFonts w:ascii="宋体"/>
                <w:vanish/>
              </w:rPr>
            </w:pPr>
          </w:p>
        </w:tc>
        <w:tc>
          <w:tcPr>
            <w:tcW w:w="0" w:type="auto"/>
            <w:gridSpan w:val="3"/>
            <w:shd w:val="clear" w:color="auto" w:fill="auto"/>
            <w:vAlign w:val="bottom"/>
          </w:tcPr>
          <w:p w14:paraId="74DDEFB3" w14:textId="77777777" w:rsidR="00584EC1" w:rsidRDefault="00584EC1">
            <w:pPr>
              <w:rPr>
                <w:rFonts w:ascii="宋体"/>
                <w:vanish/>
              </w:rPr>
            </w:pPr>
          </w:p>
        </w:tc>
        <w:tc>
          <w:tcPr>
            <w:tcW w:w="0" w:type="auto"/>
            <w:gridSpan w:val="3"/>
            <w:shd w:val="clear" w:color="auto" w:fill="auto"/>
            <w:vAlign w:val="bottom"/>
          </w:tcPr>
          <w:p w14:paraId="74DDEFB4" w14:textId="77777777" w:rsidR="00584EC1" w:rsidRDefault="00584EC1">
            <w:pPr>
              <w:rPr>
                <w:rFonts w:ascii="宋体"/>
                <w:vanish/>
              </w:rPr>
            </w:pPr>
          </w:p>
        </w:tc>
      </w:tr>
      <w:tr w:rsidR="00584EC1" w14:paraId="74DDEFBC" w14:textId="77777777">
        <w:trPr>
          <w:hidden/>
        </w:trPr>
        <w:tc>
          <w:tcPr>
            <w:tcW w:w="0" w:type="auto"/>
            <w:gridSpan w:val="3"/>
            <w:shd w:val="clear" w:color="auto" w:fill="auto"/>
            <w:vAlign w:val="bottom"/>
          </w:tcPr>
          <w:p w14:paraId="74DDEFB6" w14:textId="77777777" w:rsidR="00584EC1" w:rsidRDefault="00584EC1">
            <w:pPr>
              <w:rPr>
                <w:rFonts w:ascii="宋体"/>
                <w:vanish/>
              </w:rPr>
            </w:pPr>
          </w:p>
        </w:tc>
        <w:tc>
          <w:tcPr>
            <w:tcW w:w="0" w:type="auto"/>
            <w:gridSpan w:val="3"/>
            <w:shd w:val="clear" w:color="auto" w:fill="auto"/>
            <w:vAlign w:val="bottom"/>
          </w:tcPr>
          <w:p w14:paraId="74DDEFB7" w14:textId="77777777" w:rsidR="00584EC1" w:rsidRDefault="00584EC1">
            <w:pPr>
              <w:rPr>
                <w:rFonts w:ascii="宋体"/>
                <w:vanish/>
              </w:rPr>
            </w:pPr>
          </w:p>
        </w:tc>
        <w:tc>
          <w:tcPr>
            <w:tcW w:w="0" w:type="auto"/>
            <w:gridSpan w:val="3"/>
            <w:shd w:val="clear" w:color="auto" w:fill="auto"/>
            <w:vAlign w:val="bottom"/>
          </w:tcPr>
          <w:p w14:paraId="74DDEFB8" w14:textId="77777777" w:rsidR="00584EC1" w:rsidRDefault="00584EC1">
            <w:pPr>
              <w:rPr>
                <w:rFonts w:ascii="宋体"/>
                <w:vanish/>
              </w:rPr>
            </w:pPr>
          </w:p>
        </w:tc>
        <w:tc>
          <w:tcPr>
            <w:tcW w:w="0" w:type="auto"/>
            <w:gridSpan w:val="3"/>
            <w:shd w:val="clear" w:color="auto" w:fill="auto"/>
            <w:vAlign w:val="bottom"/>
          </w:tcPr>
          <w:p w14:paraId="74DDEFB9" w14:textId="77777777" w:rsidR="00584EC1" w:rsidRDefault="00584EC1">
            <w:pPr>
              <w:rPr>
                <w:rFonts w:ascii="宋体"/>
                <w:vanish/>
              </w:rPr>
            </w:pPr>
          </w:p>
        </w:tc>
        <w:tc>
          <w:tcPr>
            <w:tcW w:w="0" w:type="auto"/>
            <w:gridSpan w:val="3"/>
            <w:shd w:val="clear" w:color="auto" w:fill="auto"/>
            <w:vAlign w:val="bottom"/>
          </w:tcPr>
          <w:p w14:paraId="74DDEFBA" w14:textId="77777777" w:rsidR="00584EC1" w:rsidRDefault="00584EC1">
            <w:pPr>
              <w:rPr>
                <w:rFonts w:ascii="宋体"/>
                <w:vanish/>
              </w:rPr>
            </w:pPr>
          </w:p>
        </w:tc>
        <w:tc>
          <w:tcPr>
            <w:tcW w:w="0" w:type="auto"/>
            <w:gridSpan w:val="3"/>
            <w:shd w:val="clear" w:color="auto" w:fill="auto"/>
            <w:vAlign w:val="bottom"/>
          </w:tcPr>
          <w:p w14:paraId="74DDEFBB" w14:textId="77777777" w:rsidR="00584EC1" w:rsidRDefault="00584EC1">
            <w:pPr>
              <w:rPr>
                <w:rFonts w:ascii="宋体"/>
                <w:vanish/>
              </w:rPr>
            </w:pPr>
          </w:p>
        </w:tc>
      </w:tr>
      <w:tr w:rsidR="00584EC1" w14:paraId="74DDEFC3" w14:textId="77777777">
        <w:trPr>
          <w:hidden/>
        </w:trPr>
        <w:tc>
          <w:tcPr>
            <w:tcW w:w="0" w:type="auto"/>
            <w:gridSpan w:val="3"/>
            <w:shd w:val="clear" w:color="auto" w:fill="auto"/>
            <w:vAlign w:val="bottom"/>
          </w:tcPr>
          <w:p w14:paraId="74DDEFBD" w14:textId="77777777" w:rsidR="00584EC1" w:rsidRDefault="00584EC1">
            <w:pPr>
              <w:rPr>
                <w:rFonts w:ascii="宋体"/>
                <w:vanish/>
              </w:rPr>
            </w:pPr>
          </w:p>
        </w:tc>
        <w:tc>
          <w:tcPr>
            <w:tcW w:w="0" w:type="auto"/>
            <w:gridSpan w:val="3"/>
            <w:shd w:val="clear" w:color="auto" w:fill="auto"/>
            <w:vAlign w:val="bottom"/>
          </w:tcPr>
          <w:p w14:paraId="74DDEFBE" w14:textId="77777777" w:rsidR="00584EC1" w:rsidRDefault="00584EC1">
            <w:pPr>
              <w:rPr>
                <w:rFonts w:ascii="宋体"/>
                <w:vanish/>
              </w:rPr>
            </w:pPr>
          </w:p>
        </w:tc>
        <w:tc>
          <w:tcPr>
            <w:tcW w:w="0" w:type="auto"/>
            <w:gridSpan w:val="3"/>
            <w:shd w:val="clear" w:color="auto" w:fill="auto"/>
            <w:vAlign w:val="bottom"/>
          </w:tcPr>
          <w:p w14:paraId="74DDEFBF" w14:textId="77777777" w:rsidR="00584EC1" w:rsidRDefault="00584EC1">
            <w:pPr>
              <w:rPr>
                <w:rFonts w:ascii="宋体"/>
                <w:vanish/>
              </w:rPr>
            </w:pPr>
          </w:p>
        </w:tc>
        <w:tc>
          <w:tcPr>
            <w:tcW w:w="0" w:type="auto"/>
            <w:gridSpan w:val="3"/>
            <w:shd w:val="clear" w:color="auto" w:fill="auto"/>
            <w:vAlign w:val="bottom"/>
          </w:tcPr>
          <w:p w14:paraId="74DDEFC0" w14:textId="77777777" w:rsidR="00584EC1" w:rsidRDefault="00584EC1">
            <w:pPr>
              <w:rPr>
                <w:rFonts w:ascii="宋体"/>
                <w:vanish/>
              </w:rPr>
            </w:pPr>
          </w:p>
        </w:tc>
        <w:tc>
          <w:tcPr>
            <w:tcW w:w="0" w:type="auto"/>
            <w:gridSpan w:val="3"/>
            <w:shd w:val="clear" w:color="auto" w:fill="auto"/>
            <w:vAlign w:val="bottom"/>
          </w:tcPr>
          <w:p w14:paraId="74DDEFC1" w14:textId="77777777" w:rsidR="00584EC1" w:rsidRDefault="00584EC1">
            <w:pPr>
              <w:rPr>
                <w:rFonts w:ascii="宋体"/>
                <w:vanish/>
              </w:rPr>
            </w:pPr>
          </w:p>
        </w:tc>
        <w:tc>
          <w:tcPr>
            <w:tcW w:w="0" w:type="auto"/>
            <w:gridSpan w:val="3"/>
            <w:shd w:val="clear" w:color="auto" w:fill="auto"/>
            <w:vAlign w:val="bottom"/>
          </w:tcPr>
          <w:p w14:paraId="74DDEFC2" w14:textId="77777777" w:rsidR="00584EC1" w:rsidRDefault="00584EC1">
            <w:pPr>
              <w:rPr>
                <w:rFonts w:ascii="宋体"/>
                <w:vanish/>
              </w:rPr>
            </w:pPr>
          </w:p>
        </w:tc>
      </w:tr>
      <w:tr w:rsidR="00584EC1" w14:paraId="74DDEFD0" w14:textId="77777777">
        <w:tc>
          <w:tcPr>
            <w:tcW w:w="0" w:type="auto"/>
            <w:gridSpan w:val="3"/>
            <w:shd w:val="clear" w:color="auto" w:fill="CCEEFF"/>
            <w:tcMar>
              <w:top w:w="40" w:type="dxa"/>
              <w:left w:w="20" w:type="dxa"/>
              <w:bottom w:w="40" w:type="dxa"/>
              <w:right w:w="20" w:type="dxa"/>
            </w:tcMar>
            <w:vAlign w:val="bottom"/>
          </w:tcPr>
          <w:p w14:paraId="74DDEFC4" w14:textId="77777777" w:rsidR="00584EC1" w:rsidRDefault="00871F8D">
            <w:pPr>
              <w:textAlignment w:val="bottom"/>
            </w:pPr>
            <w:r>
              <w:rPr>
                <w:rFonts w:ascii="Arial" w:eastAsia="宋体" w:hAnsi="Arial" w:cs="Arial"/>
                <w:b/>
                <w:bCs/>
                <w:color w:val="000000"/>
                <w:sz w:val="15"/>
                <w:szCs w:val="15"/>
              </w:rPr>
              <w:t>Ending balance December 31, 2019</w:t>
            </w:r>
          </w:p>
        </w:tc>
        <w:tc>
          <w:tcPr>
            <w:tcW w:w="0" w:type="auto"/>
            <w:shd w:val="clear" w:color="auto" w:fill="CCEEFF"/>
            <w:tcMar>
              <w:top w:w="40" w:type="dxa"/>
              <w:left w:w="20" w:type="dxa"/>
              <w:bottom w:w="40" w:type="dxa"/>
              <w:right w:w="0" w:type="dxa"/>
            </w:tcMar>
            <w:vAlign w:val="bottom"/>
          </w:tcPr>
          <w:p w14:paraId="74DDEFC5" w14:textId="77777777" w:rsidR="00584EC1" w:rsidRDefault="00871F8D">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4DDEFC6" w14:textId="77777777" w:rsidR="00584EC1" w:rsidRDefault="00871F8D">
            <w:pPr>
              <w:jc w:val="right"/>
              <w:textAlignment w:val="bottom"/>
            </w:pPr>
            <w:r>
              <w:rPr>
                <w:rFonts w:ascii="Arial" w:eastAsia="宋体" w:hAnsi="Arial" w:cs="Arial"/>
                <w:color w:val="000000"/>
                <w:sz w:val="15"/>
                <w:szCs w:val="15"/>
              </w:rPr>
              <w:t>7,289 </w:t>
            </w:r>
          </w:p>
        </w:tc>
        <w:tc>
          <w:tcPr>
            <w:tcW w:w="0" w:type="auto"/>
            <w:shd w:val="clear" w:color="auto" w:fill="CCEEFF"/>
            <w:tcMar>
              <w:top w:w="40" w:type="dxa"/>
              <w:left w:w="0" w:type="dxa"/>
              <w:bottom w:w="40" w:type="dxa"/>
              <w:right w:w="20" w:type="dxa"/>
            </w:tcMar>
            <w:vAlign w:val="bottom"/>
          </w:tcPr>
          <w:p w14:paraId="74DDEFC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FC8"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EFC9" w14:textId="77777777" w:rsidR="00584EC1" w:rsidRDefault="00871F8D">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4DDEFCA" w14:textId="77777777" w:rsidR="00584EC1" w:rsidRDefault="00871F8D">
            <w:pPr>
              <w:jc w:val="right"/>
              <w:textAlignment w:val="bottom"/>
            </w:pPr>
            <w:r>
              <w:rPr>
                <w:rFonts w:ascii="Arial" w:eastAsia="宋体" w:hAnsi="Arial" w:cs="Arial"/>
                <w:color w:val="000000"/>
                <w:sz w:val="15"/>
                <w:szCs w:val="15"/>
              </w:rPr>
              <w:t>267 </w:t>
            </w:r>
          </w:p>
        </w:tc>
        <w:tc>
          <w:tcPr>
            <w:tcW w:w="0" w:type="auto"/>
            <w:shd w:val="clear" w:color="auto" w:fill="CCEEFF"/>
            <w:tcMar>
              <w:top w:w="40" w:type="dxa"/>
              <w:left w:w="0" w:type="dxa"/>
              <w:bottom w:w="40" w:type="dxa"/>
              <w:right w:w="20" w:type="dxa"/>
            </w:tcMar>
            <w:vAlign w:val="bottom"/>
          </w:tcPr>
          <w:p w14:paraId="74DDEFC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FCC"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EFCD" w14:textId="77777777" w:rsidR="00584EC1" w:rsidRDefault="00871F8D">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4DDEFCE" w14:textId="77777777" w:rsidR="00584EC1" w:rsidRDefault="00871F8D">
            <w:pPr>
              <w:jc w:val="right"/>
              <w:textAlignment w:val="bottom"/>
            </w:pPr>
            <w:r>
              <w:rPr>
                <w:rFonts w:ascii="Arial" w:eastAsia="宋体" w:hAnsi="Arial" w:cs="Arial"/>
                <w:color w:val="000000"/>
                <w:sz w:val="15"/>
                <w:szCs w:val="15"/>
              </w:rPr>
              <w:t>7,556 </w:t>
            </w:r>
          </w:p>
        </w:tc>
        <w:tc>
          <w:tcPr>
            <w:tcW w:w="0" w:type="auto"/>
            <w:shd w:val="clear" w:color="auto" w:fill="CCEEFF"/>
            <w:tcMar>
              <w:top w:w="40" w:type="dxa"/>
              <w:left w:w="0" w:type="dxa"/>
              <w:bottom w:w="40" w:type="dxa"/>
              <w:right w:w="20" w:type="dxa"/>
            </w:tcMar>
            <w:vAlign w:val="bottom"/>
          </w:tcPr>
          <w:p w14:paraId="74DDEFCF" w14:textId="77777777" w:rsidR="00584EC1" w:rsidRDefault="00584EC1">
            <w:pPr>
              <w:jc w:val="right"/>
              <w:rPr>
                <w:rFonts w:ascii="宋体"/>
              </w:rPr>
            </w:pPr>
          </w:p>
        </w:tc>
      </w:tr>
      <w:tr w:rsidR="00584EC1" w14:paraId="74DDEFD7" w14:textId="77777777">
        <w:trPr>
          <w:hidden/>
        </w:trPr>
        <w:tc>
          <w:tcPr>
            <w:tcW w:w="0" w:type="auto"/>
            <w:gridSpan w:val="3"/>
            <w:shd w:val="clear" w:color="auto" w:fill="auto"/>
            <w:vAlign w:val="bottom"/>
          </w:tcPr>
          <w:p w14:paraId="74DDEFD1" w14:textId="77777777" w:rsidR="00584EC1" w:rsidRDefault="00584EC1">
            <w:pPr>
              <w:rPr>
                <w:rFonts w:ascii="宋体"/>
                <w:vanish/>
              </w:rPr>
            </w:pPr>
          </w:p>
        </w:tc>
        <w:tc>
          <w:tcPr>
            <w:tcW w:w="0" w:type="auto"/>
            <w:gridSpan w:val="3"/>
            <w:shd w:val="clear" w:color="auto" w:fill="auto"/>
            <w:vAlign w:val="bottom"/>
          </w:tcPr>
          <w:p w14:paraId="74DDEFD2" w14:textId="77777777" w:rsidR="00584EC1" w:rsidRDefault="00584EC1">
            <w:pPr>
              <w:rPr>
                <w:rFonts w:ascii="宋体"/>
                <w:vanish/>
              </w:rPr>
            </w:pPr>
          </w:p>
        </w:tc>
        <w:tc>
          <w:tcPr>
            <w:tcW w:w="0" w:type="auto"/>
            <w:gridSpan w:val="3"/>
            <w:shd w:val="clear" w:color="auto" w:fill="auto"/>
            <w:vAlign w:val="bottom"/>
          </w:tcPr>
          <w:p w14:paraId="74DDEFD3" w14:textId="77777777" w:rsidR="00584EC1" w:rsidRDefault="00584EC1">
            <w:pPr>
              <w:rPr>
                <w:rFonts w:ascii="宋体"/>
                <w:vanish/>
              </w:rPr>
            </w:pPr>
          </w:p>
        </w:tc>
        <w:tc>
          <w:tcPr>
            <w:tcW w:w="0" w:type="auto"/>
            <w:gridSpan w:val="3"/>
            <w:shd w:val="clear" w:color="auto" w:fill="auto"/>
            <w:vAlign w:val="bottom"/>
          </w:tcPr>
          <w:p w14:paraId="74DDEFD4" w14:textId="77777777" w:rsidR="00584EC1" w:rsidRDefault="00584EC1">
            <w:pPr>
              <w:rPr>
                <w:rFonts w:ascii="宋体"/>
                <w:vanish/>
              </w:rPr>
            </w:pPr>
          </w:p>
        </w:tc>
        <w:tc>
          <w:tcPr>
            <w:tcW w:w="0" w:type="auto"/>
            <w:gridSpan w:val="3"/>
            <w:shd w:val="clear" w:color="auto" w:fill="auto"/>
            <w:vAlign w:val="bottom"/>
          </w:tcPr>
          <w:p w14:paraId="74DDEFD5" w14:textId="77777777" w:rsidR="00584EC1" w:rsidRDefault="00584EC1">
            <w:pPr>
              <w:rPr>
                <w:rFonts w:ascii="宋体"/>
                <w:vanish/>
              </w:rPr>
            </w:pPr>
          </w:p>
        </w:tc>
        <w:tc>
          <w:tcPr>
            <w:tcW w:w="0" w:type="auto"/>
            <w:gridSpan w:val="3"/>
            <w:shd w:val="clear" w:color="auto" w:fill="auto"/>
            <w:vAlign w:val="bottom"/>
          </w:tcPr>
          <w:p w14:paraId="74DDEFD6" w14:textId="77777777" w:rsidR="00584EC1" w:rsidRDefault="00584EC1">
            <w:pPr>
              <w:rPr>
                <w:rFonts w:ascii="宋体"/>
                <w:vanish/>
              </w:rPr>
            </w:pPr>
          </w:p>
        </w:tc>
      </w:tr>
      <w:tr w:rsidR="00584EC1" w14:paraId="74DDEFE1" w14:textId="77777777">
        <w:tc>
          <w:tcPr>
            <w:tcW w:w="0" w:type="auto"/>
            <w:gridSpan w:val="3"/>
            <w:shd w:val="clear" w:color="auto" w:fill="FFFFFF"/>
            <w:tcMar>
              <w:top w:w="40" w:type="dxa"/>
              <w:left w:w="20" w:type="dxa"/>
              <w:bottom w:w="40" w:type="dxa"/>
              <w:right w:w="20" w:type="dxa"/>
            </w:tcMar>
            <w:vAlign w:val="bottom"/>
          </w:tcPr>
          <w:p w14:paraId="74DDEFD8" w14:textId="77777777" w:rsidR="00584EC1" w:rsidRDefault="00871F8D">
            <w:pPr>
              <w:textAlignment w:val="bottom"/>
            </w:pPr>
            <w:r>
              <w:rPr>
                <w:rFonts w:ascii="Arial" w:eastAsia="宋体" w:hAnsi="Arial" w:cs="Arial"/>
                <w:color w:val="000000"/>
                <w:sz w:val="15"/>
                <w:szCs w:val="15"/>
              </w:rPr>
              <w:t>Foreign currency translation</w:t>
            </w:r>
          </w:p>
        </w:tc>
        <w:tc>
          <w:tcPr>
            <w:tcW w:w="0" w:type="auto"/>
            <w:gridSpan w:val="2"/>
            <w:shd w:val="clear" w:color="auto" w:fill="FFFFFF"/>
            <w:tcMar>
              <w:top w:w="40" w:type="dxa"/>
              <w:left w:w="20" w:type="dxa"/>
              <w:bottom w:w="40" w:type="dxa"/>
              <w:right w:w="0" w:type="dxa"/>
            </w:tcMar>
            <w:vAlign w:val="bottom"/>
          </w:tcPr>
          <w:p w14:paraId="74DDEFD9" w14:textId="77777777" w:rsidR="00584EC1" w:rsidRDefault="00871F8D">
            <w:pPr>
              <w:jc w:val="right"/>
              <w:textAlignment w:val="bottom"/>
            </w:pPr>
            <w:r>
              <w:rPr>
                <w:rFonts w:ascii="Arial" w:eastAsia="宋体" w:hAnsi="Arial" w:cs="Arial"/>
                <w:color w:val="000000"/>
                <w:sz w:val="15"/>
                <w:szCs w:val="15"/>
              </w:rPr>
              <w:t>124 </w:t>
            </w:r>
          </w:p>
        </w:tc>
        <w:tc>
          <w:tcPr>
            <w:tcW w:w="0" w:type="auto"/>
            <w:shd w:val="clear" w:color="auto" w:fill="FFFFFF"/>
            <w:tcMar>
              <w:top w:w="40" w:type="dxa"/>
              <w:left w:w="0" w:type="dxa"/>
              <w:bottom w:w="40" w:type="dxa"/>
              <w:right w:w="20" w:type="dxa"/>
            </w:tcMar>
            <w:vAlign w:val="bottom"/>
          </w:tcPr>
          <w:p w14:paraId="74DDEFD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FDB"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FDC" w14:textId="77777777" w:rsidR="00584EC1" w:rsidRDefault="00871F8D">
            <w:pPr>
              <w:jc w:val="right"/>
              <w:textAlignment w:val="bottom"/>
            </w:pPr>
            <w:r>
              <w:rPr>
                <w:rFonts w:ascii="Arial" w:eastAsia="宋体" w:hAnsi="Arial" w:cs="Arial"/>
                <w:color w:val="000000"/>
                <w:sz w:val="15"/>
                <w:szCs w:val="15"/>
              </w:rPr>
              <w:t>3 </w:t>
            </w:r>
          </w:p>
        </w:tc>
        <w:tc>
          <w:tcPr>
            <w:tcW w:w="0" w:type="auto"/>
            <w:shd w:val="clear" w:color="auto" w:fill="FFFFFF"/>
            <w:tcMar>
              <w:top w:w="40" w:type="dxa"/>
              <w:left w:w="0" w:type="dxa"/>
              <w:bottom w:w="40" w:type="dxa"/>
              <w:right w:w="20" w:type="dxa"/>
            </w:tcMar>
            <w:vAlign w:val="bottom"/>
          </w:tcPr>
          <w:p w14:paraId="74DDEFD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FD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FDF" w14:textId="77777777" w:rsidR="00584EC1" w:rsidRDefault="00871F8D">
            <w:pPr>
              <w:jc w:val="right"/>
              <w:textAlignment w:val="bottom"/>
            </w:pPr>
            <w:r>
              <w:rPr>
                <w:rFonts w:ascii="Arial" w:eastAsia="宋体" w:hAnsi="Arial" w:cs="Arial"/>
                <w:color w:val="000000"/>
                <w:sz w:val="15"/>
                <w:szCs w:val="15"/>
              </w:rPr>
              <w:t>127 </w:t>
            </w:r>
          </w:p>
        </w:tc>
        <w:tc>
          <w:tcPr>
            <w:tcW w:w="0" w:type="auto"/>
            <w:shd w:val="clear" w:color="auto" w:fill="FFFFFF"/>
            <w:tcMar>
              <w:top w:w="40" w:type="dxa"/>
              <w:left w:w="0" w:type="dxa"/>
              <w:bottom w:w="40" w:type="dxa"/>
              <w:right w:w="20" w:type="dxa"/>
            </w:tcMar>
            <w:vAlign w:val="bottom"/>
          </w:tcPr>
          <w:p w14:paraId="74DDEFE0" w14:textId="77777777" w:rsidR="00584EC1" w:rsidRDefault="00584EC1">
            <w:pPr>
              <w:jc w:val="right"/>
              <w:rPr>
                <w:rFonts w:ascii="宋体"/>
              </w:rPr>
            </w:pPr>
          </w:p>
        </w:tc>
      </w:tr>
      <w:tr w:rsidR="00584EC1" w14:paraId="74DDEFEB" w14:textId="77777777">
        <w:tc>
          <w:tcPr>
            <w:tcW w:w="0" w:type="auto"/>
            <w:gridSpan w:val="3"/>
            <w:shd w:val="clear" w:color="auto" w:fill="CCEEFF"/>
            <w:tcMar>
              <w:top w:w="40" w:type="dxa"/>
              <w:left w:w="20" w:type="dxa"/>
              <w:bottom w:w="40" w:type="dxa"/>
              <w:right w:w="20" w:type="dxa"/>
            </w:tcMar>
            <w:vAlign w:val="bottom"/>
          </w:tcPr>
          <w:p w14:paraId="74DDEFE2" w14:textId="77777777" w:rsidR="00584EC1" w:rsidRDefault="00871F8D">
            <w:pPr>
              <w:textAlignment w:val="bottom"/>
            </w:pPr>
            <w:r>
              <w:rPr>
                <w:rFonts w:ascii="Arial" w:eastAsia="宋体" w:hAnsi="Arial" w:cs="Arial"/>
                <w:b/>
                <w:bCs/>
                <w:color w:val="000000"/>
                <w:sz w:val="15"/>
                <w:szCs w:val="15"/>
              </w:rPr>
              <w:t>Ending balance December 31, 2020</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EFE3" w14:textId="77777777" w:rsidR="00584EC1" w:rsidRDefault="00871F8D">
            <w:pPr>
              <w:jc w:val="right"/>
              <w:textAlignment w:val="bottom"/>
            </w:pPr>
            <w:r>
              <w:rPr>
                <w:rFonts w:ascii="Arial" w:eastAsia="宋体" w:hAnsi="Arial" w:cs="Arial"/>
                <w:color w:val="000000"/>
                <w:sz w:val="15"/>
                <w:szCs w:val="15"/>
              </w:rPr>
              <w:t>7,413 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EFE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FE5"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EFE6" w14:textId="77777777" w:rsidR="00584EC1" w:rsidRDefault="00871F8D">
            <w:pPr>
              <w:jc w:val="right"/>
              <w:textAlignment w:val="bottom"/>
            </w:pPr>
            <w:r>
              <w:rPr>
                <w:rFonts w:ascii="Arial" w:eastAsia="宋体" w:hAnsi="Arial" w:cs="Arial"/>
                <w:color w:val="000000"/>
                <w:sz w:val="15"/>
                <w:szCs w:val="15"/>
              </w:rPr>
              <w:t>270 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EFE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FE8"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EFE9" w14:textId="77777777" w:rsidR="00584EC1" w:rsidRDefault="00871F8D">
            <w:pPr>
              <w:jc w:val="right"/>
              <w:textAlignment w:val="bottom"/>
            </w:pPr>
            <w:r>
              <w:rPr>
                <w:rFonts w:ascii="Arial" w:eastAsia="宋体" w:hAnsi="Arial" w:cs="Arial"/>
                <w:color w:val="000000"/>
                <w:sz w:val="15"/>
                <w:szCs w:val="15"/>
              </w:rPr>
              <w:t>7,683 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EFEA" w14:textId="77777777" w:rsidR="00584EC1" w:rsidRDefault="00584EC1">
            <w:pPr>
              <w:jc w:val="right"/>
              <w:rPr>
                <w:rFonts w:ascii="宋体"/>
              </w:rPr>
            </w:pPr>
          </w:p>
        </w:tc>
      </w:tr>
      <w:tr w:rsidR="00584EC1" w14:paraId="74DDEFF5" w14:textId="77777777">
        <w:tc>
          <w:tcPr>
            <w:tcW w:w="0" w:type="auto"/>
            <w:gridSpan w:val="3"/>
            <w:shd w:val="clear" w:color="auto" w:fill="FFFFFF"/>
            <w:tcMar>
              <w:top w:w="40" w:type="dxa"/>
              <w:left w:w="20" w:type="dxa"/>
              <w:bottom w:w="40" w:type="dxa"/>
              <w:right w:w="20" w:type="dxa"/>
            </w:tcMar>
            <w:vAlign w:val="bottom"/>
          </w:tcPr>
          <w:p w14:paraId="74DDEFEC" w14:textId="77777777" w:rsidR="00584EC1" w:rsidRDefault="00871F8D">
            <w:pPr>
              <w:textAlignment w:val="bottom"/>
            </w:pPr>
            <w:r>
              <w:rPr>
                <w:rFonts w:ascii="Arial" w:eastAsia="宋体" w:hAnsi="Arial" w:cs="Arial"/>
                <w:color w:val="000000"/>
                <w:sz w:val="15"/>
                <w:szCs w:val="15"/>
              </w:rPr>
              <w:t>Acquisitions</w:t>
            </w:r>
            <w:r>
              <w:rPr>
                <w:rFonts w:ascii="Arial" w:eastAsia="宋体" w:hAnsi="Arial" w:cs="Arial"/>
                <w:color w:val="000000"/>
                <w:sz w:val="9"/>
                <w:szCs w:val="9"/>
              </w:rPr>
              <w:t>(2)</w:t>
            </w:r>
          </w:p>
        </w:tc>
        <w:tc>
          <w:tcPr>
            <w:tcW w:w="0" w:type="auto"/>
            <w:gridSpan w:val="2"/>
            <w:shd w:val="clear" w:color="auto" w:fill="FFFFFF"/>
            <w:tcMar>
              <w:top w:w="40" w:type="dxa"/>
              <w:left w:w="20" w:type="dxa"/>
              <w:bottom w:w="40" w:type="dxa"/>
              <w:right w:w="0" w:type="dxa"/>
            </w:tcMar>
            <w:vAlign w:val="bottom"/>
          </w:tcPr>
          <w:p w14:paraId="74DDEFED" w14:textId="77777777" w:rsidR="00584EC1" w:rsidRDefault="00871F8D">
            <w:pPr>
              <w:jc w:val="right"/>
              <w:textAlignment w:val="bottom"/>
            </w:pPr>
            <w:r>
              <w:rPr>
                <w:rFonts w:ascii="Arial" w:eastAsia="宋体" w:hAnsi="Arial" w:cs="Arial"/>
                <w:b/>
                <w:bCs/>
                <w:color w:val="000000"/>
                <w:sz w:val="15"/>
                <w:szCs w:val="15"/>
              </w:rPr>
              <w:t>66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EFE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FE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FF0"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EFF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EFF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EFF3" w14:textId="77777777" w:rsidR="00584EC1" w:rsidRDefault="00871F8D">
            <w:pPr>
              <w:jc w:val="right"/>
              <w:textAlignment w:val="bottom"/>
            </w:pPr>
            <w:r>
              <w:rPr>
                <w:rFonts w:ascii="Arial" w:eastAsia="宋体" w:hAnsi="Arial" w:cs="Arial"/>
                <w:b/>
                <w:bCs/>
                <w:color w:val="000000"/>
                <w:sz w:val="15"/>
                <w:szCs w:val="15"/>
              </w:rPr>
              <w:t>66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EFF4" w14:textId="77777777" w:rsidR="00584EC1" w:rsidRDefault="00584EC1">
            <w:pPr>
              <w:jc w:val="right"/>
              <w:rPr>
                <w:rFonts w:ascii="宋体"/>
              </w:rPr>
            </w:pPr>
          </w:p>
        </w:tc>
      </w:tr>
      <w:tr w:rsidR="00584EC1" w14:paraId="74DDEFFF" w14:textId="77777777">
        <w:tc>
          <w:tcPr>
            <w:tcW w:w="0" w:type="auto"/>
            <w:gridSpan w:val="3"/>
            <w:shd w:val="clear" w:color="auto" w:fill="CCEEFF"/>
            <w:tcMar>
              <w:top w:w="40" w:type="dxa"/>
              <w:left w:w="20" w:type="dxa"/>
              <w:bottom w:w="40" w:type="dxa"/>
              <w:right w:w="20" w:type="dxa"/>
            </w:tcMar>
            <w:vAlign w:val="bottom"/>
          </w:tcPr>
          <w:p w14:paraId="74DDEFF6" w14:textId="77777777" w:rsidR="00584EC1" w:rsidRDefault="00871F8D">
            <w:pPr>
              <w:textAlignment w:val="bottom"/>
            </w:pPr>
            <w:r>
              <w:rPr>
                <w:rFonts w:ascii="Arial" w:eastAsia="宋体" w:hAnsi="Arial" w:cs="Arial"/>
                <w:color w:val="000000"/>
                <w:sz w:val="15"/>
                <w:szCs w:val="15"/>
              </w:rPr>
              <w:t>Divestitures</w:t>
            </w:r>
            <w:r>
              <w:rPr>
                <w:rFonts w:ascii="Arial" w:eastAsia="宋体" w:hAnsi="Arial" w:cs="Arial"/>
                <w:color w:val="000000"/>
                <w:sz w:val="9"/>
                <w:szCs w:val="9"/>
              </w:rPr>
              <w:t>(3)</w:t>
            </w:r>
          </w:p>
        </w:tc>
        <w:tc>
          <w:tcPr>
            <w:tcW w:w="0" w:type="auto"/>
            <w:gridSpan w:val="2"/>
            <w:shd w:val="clear" w:color="auto" w:fill="CCEEFF"/>
            <w:tcMar>
              <w:top w:w="40" w:type="dxa"/>
              <w:left w:w="20" w:type="dxa"/>
              <w:bottom w:w="40" w:type="dxa"/>
              <w:right w:w="0" w:type="dxa"/>
            </w:tcMar>
            <w:vAlign w:val="bottom"/>
          </w:tcPr>
          <w:p w14:paraId="74DDEFF7" w14:textId="77777777" w:rsidR="00584EC1" w:rsidRDefault="00871F8D">
            <w:pPr>
              <w:jc w:val="right"/>
              <w:textAlignment w:val="bottom"/>
            </w:pPr>
            <w:r>
              <w:rPr>
                <w:rFonts w:ascii="Arial" w:eastAsia="宋体" w:hAnsi="Arial" w:cs="Arial"/>
                <w:b/>
                <w:bCs/>
                <w:color w:val="000000"/>
                <w:sz w:val="15"/>
                <w:szCs w:val="15"/>
              </w:rPr>
              <w:t>(17)</w:t>
            </w:r>
          </w:p>
        </w:tc>
        <w:tc>
          <w:tcPr>
            <w:tcW w:w="0" w:type="auto"/>
            <w:shd w:val="clear" w:color="auto" w:fill="CCEEFF"/>
            <w:tcMar>
              <w:top w:w="40" w:type="dxa"/>
              <w:left w:w="0" w:type="dxa"/>
              <w:bottom w:w="40" w:type="dxa"/>
              <w:right w:w="20" w:type="dxa"/>
            </w:tcMar>
            <w:vAlign w:val="bottom"/>
          </w:tcPr>
          <w:p w14:paraId="74DDEFF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FF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EFFA"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EFF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EFFC"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EFFD" w14:textId="77777777" w:rsidR="00584EC1" w:rsidRDefault="00871F8D">
            <w:pPr>
              <w:jc w:val="right"/>
              <w:textAlignment w:val="bottom"/>
            </w:pPr>
            <w:r>
              <w:rPr>
                <w:rFonts w:ascii="Arial" w:eastAsia="宋体" w:hAnsi="Arial" w:cs="Arial"/>
                <w:b/>
                <w:bCs/>
                <w:color w:val="000000"/>
                <w:sz w:val="15"/>
                <w:szCs w:val="15"/>
              </w:rPr>
              <w:t>(17)</w:t>
            </w:r>
          </w:p>
        </w:tc>
        <w:tc>
          <w:tcPr>
            <w:tcW w:w="0" w:type="auto"/>
            <w:shd w:val="clear" w:color="auto" w:fill="CCEEFF"/>
            <w:tcMar>
              <w:top w:w="40" w:type="dxa"/>
              <w:left w:w="0" w:type="dxa"/>
              <w:bottom w:w="40" w:type="dxa"/>
              <w:right w:w="20" w:type="dxa"/>
            </w:tcMar>
            <w:vAlign w:val="bottom"/>
          </w:tcPr>
          <w:p w14:paraId="74DDEFFE" w14:textId="77777777" w:rsidR="00584EC1" w:rsidRDefault="00584EC1">
            <w:pPr>
              <w:jc w:val="right"/>
              <w:rPr>
                <w:rFonts w:ascii="宋体"/>
              </w:rPr>
            </w:pPr>
          </w:p>
        </w:tc>
      </w:tr>
      <w:tr w:rsidR="00584EC1" w14:paraId="74DDF009" w14:textId="77777777">
        <w:tc>
          <w:tcPr>
            <w:tcW w:w="0" w:type="auto"/>
            <w:gridSpan w:val="3"/>
            <w:shd w:val="clear" w:color="auto" w:fill="FFFFFF"/>
            <w:tcMar>
              <w:top w:w="40" w:type="dxa"/>
              <w:left w:w="20" w:type="dxa"/>
              <w:bottom w:w="40" w:type="dxa"/>
              <w:right w:w="20" w:type="dxa"/>
            </w:tcMar>
            <w:vAlign w:val="bottom"/>
          </w:tcPr>
          <w:p w14:paraId="74DDF000" w14:textId="77777777" w:rsidR="00584EC1" w:rsidRDefault="00871F8D">
            <w:pPr>
              <w:textAlignment w:val="bottom"/>
            </w:pPr>
            <w:r>
              <w:rPr>
                <w:rFonts w:ascii="Arial" w:eastAsia="宋体" w:hAnsi="Arial" w:cs="Arial"/>
                <w:color w:val="000000"/>
                <w:sz w:val="15"/>
                <w:szCs w:val="15"/>
              </w:rPr>
              <w:t>Foreign currency translation</w:t>
            </w:r>
          </w:p>
        </w:tc>
        <w:tc>
          <w:tcPr>
            <w:tcW w:w="0" w:type="auto"/>
            <w:gridSpan w:val="2"/>
            <w:shd w:val="clear" w:color="auto" w:fill="FFFFFF"/>
            <w:tcMar>
              <w:top w:w="40" w:type="dxa"/>
              <w:left w:w="20" w:type="dxa"/>
              <w:bottom w:w="40" w:type="dxa"/>
              <w:right w:w="0" w:type="dxa"/>
            </w:tcMar>
            <w:vAlign w:val="bottom"/>
          </w:tcPr>
          <w:p w14:paraId="74DDF001" w14:textId="77777777" w:rsidR="00584EC1" w:rsidRDefault="00871F8D">
            <w:pPr>
              <w:jc w:val="right"/>
              <w:textAlignment w:val="bottom"/>
            </w:pPr>
            <w:r>
              <w:rPr>
                <w:rFonts w:ascii="Arial" w:eastAsia="宋体" w:hAnsi="Arial" w:cs="Arial"/>
                <w:b/>
                <w:bCs/>
                <w:color w:val="000000"/>
                <w:sz w:val="15"/>
                <w:szCs w:val="15"/>
              </w:rPr>
              <w:t>(80)</w:t>
            </w:r>
          </w:p>
        </w:tc>
        <w:tc>
          <w:tcPr>
            <w:tcW w:w="0" w:type="auto"/>
            <w:shd w:val="clear" w:color="auto" w:fill="FFFFFF"/>
            <w:tcMar>
              <w:top w:w="40" w:type="dxa"/>
              <w:left w:w="0" w:type="dxa"/>
              <w:bottom w:w="40" w:type="dxa"/>
              <w:right w:w="20" w:type="dxa"/>
            </w:tcMar>
            <w:vAlign w:val="bottom"/>
          </w:tcPr>
          <w:p w14:paraId="74DDF00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00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004" w14:textId="77777777" w:rsidR="00584EC1" w:rsidRDefault="00871F8D">
            <w:pPr>
              <w:jc w:val="right"/>
              <w:textAlignment w:val="bottom"/>
            </w:pPr>
            <w:r>
              <w:rPr>
                <w:rFonts w:ascii="Arial" w:eastAsia="宋体" w:hAnsi="Arial" w:cs="Arial"/>
                <w:b/>
                <w:bCs/>
                <w:color w:val="000000"/>
                <w:sz w:val="15"/>
                <w:szCs w:val="15"/>
              </w:rPr>
              <w:t>(2)</w:t>
            </w:r>
          </w:p>
        </w:tc>
        <w:tc>
          <w:tcPr>
            <w:tcW w:w="0" w:type="auto"/>
            <w:shd w:val="clear" w:color="auto" w:fill="FFFFFF"/>
            <w:tcMar>
              <w:top w:w="40" w:type="dxa"/>
              <w:left w:w="0" w:type="dxa"/>
              <w:bottom w:w="40" w:type="dxa"/>
              <w:right w:w="20" w:type="dxa"/>
            </w:tcMar>
            <w:vAlign w:val="bottom"/>
          </w:tcPr>
          <w:p w14:paraId="74DDF00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00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007" w14:textId="77777777" w:rsidR="00584EC1" w:rsidRDefault="00871F8D">
            <w:pPr>
              <w:jc w:val="right"/>
              <w:textAlignment w:val="bottom"/>
            </w:pPr>
            <w:r>
              <w:rPr>
                <w:rFonts w:ascii="Arial" w:eastAsia="宋体" w:hAnsi="Arial" w:cs="Arial"/>
                <w:b/>
                <w:bCs/>
                <w:color w:val="000000"/>
                <w:sz w:val="15"/>
                <w:szCs w:val="15"/>
              </w:rPr>
              <w:t>(82)</w:t>
            </w:r>
          </w:p>
        </w:tc>
        <w:tc>
          <w:tcPr>
            <w:tcW w:w="0" w:type="auto"/>
            <w:shd w:val="clear" w:color="auto" w:fill="FFFFFF"/>
            <w:tcMar>
              <w:top w:w="40" w:type="dxa"/>
              <w:left w:w="0" w:type="dxa"/>
              <w:bottom w:w="40" w:type="dxa"/>
              <w:right w:w="20" w:type="dxa"/>
            </w:tcMar>
            <w:vAlign w:val="bottom"/>
          </w:tcPr>
          <w:p w14:paraId="74DDF008" w14:textId="77777777" w:rsidR="00584EC1" w:rsidRDefault="00584EC1">
            <w:pPr>
              <w:jc w:val="right"/>
              <w:rPr>
                <w:rFonts w:ascii="宋体"/>
              </w:rPr>
            </w:pPr>
          </w:p>
        </w:tc>
      </w:tr>
      <w:tr w:rsidR="00584EC1" w14:paraId="74DDF016" w14:textId="77777777">
        <w:tc>
          <w:tcPr>
            <w:tcW w:w="0" w:type="auto"/>
            <w:gridSpan w:val="3"/>
            <w:shd w:val="clear" w:color="auto" w:fill="CCEEFF"/>
            <w:tcMar>
              <w:top w:w="40" w:type="dxa"/>
              <w:left w:w="20" w:type="dxa"/>
              <w:bottom w:w="40" w:type="dxa"/>
              <w:right w:w="20" w:type="dxa"/>
            </w:tcMar>
            <w:vAlign w:val="bottom"/>
          </w:tcPr>
          <w:p w14:paraId="74DDF00A" w14:textId="77777777" w:rsidR="00584EC1" w:rsidRDefault="00871F8D">
            <w:pPr>
              <w:textAlignment w:val="bottom"/>
            </w:pPr>
            <w:r>
              <w:rPr>
                <w:rFonts w:ascii="Arial" w:eastAsia="宋体" w:hAnsi="Arial" w:cs="Arial"/>
                <w:b/>
                <w:bCs/>
                <w:color w:val="000000"/>
                <w:sz w:val="15"/>
                <w:szCs w:val="15"/>
              </w:rPr>
              <w:t xml:space="preserve">Ending </w:t>
            </w:r>
            <w:r>
              <w:rPr>
                <w:rFonts w:ascii="Arial" w:eastAsia="宋体" w:hAnsi="Arial" w:cs="Arial"/>
                <w:b/>
                <w:bCs/>
                <w:color w:val="000000"/>
                <w:sz w:val="15"/>
                <w:szCs w:val="15"/>
              </w:rPr>
              <w:t>balance September 30, 2021</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F00B" w14:textId="77777777" w:rsidR="00584EC1" w:rsidRDefault="00871F8D">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F00C" w14:textId="77777777" w:rsidR="00584EC1" w:rsidRDefault="00871F8D">
            <w:pPr>
              <w:jc w:val="right"/>
              <w:textAlignment w:val="bottom"/>
            </w:pPr>
            <w:r>
              <w:rPr>
                <w:rFonts w:ascii="Arial" w:eastAsia="宋体" w:hAnsi="Arial" w:cs="Arial"/>
                <w:b/>
                <w:bCs/>
                <w:color w:val="000000"/>
                <w:sz w:val="15"/>
                <w:szCs w:val="15"/>
              </w:rPr>
              <w:t>7,382</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F00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00E"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F00F" w14:textId="77777777" w:rsidR="00584EC1" w:rsidRDefault="00871F8D">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F010" w14:textId="77777777" w:rsidR="00584EC1" w:rsidRDefault="00871F8D">
            <w:pPr>
              <w:jc w:val="right"/>
              <w:textAlignment w:val="bottom"/>
            </w:pPr>
            <w:r>
              <w:rPr>
                <w:rFonts w:ascii="Arial" w:eastAsia="宋体" w:hAnsi="Arial" w:cs="Arial"/>
                <w:b/>
                <w:bCs/>
                <w:color w:val="000000"/>
                <w:sz w:val="15"/>
                <w:szCs w:val="15"/>
              </w:rPr>
              <w:t>268</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F01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012"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F013" w14:textId="77777777" w:rsidR="00584EC1" w:rsidRDefault="00871F8D">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F014" w14:textId="77777777" w:rsidR="00584EC1" w:rsidRDefault="00871F8D">
            <w:pPr>
              <w:jc w:val="right"/>
              <w:textAlignment w:val="bottom"/>
            </w:pPr>
            <w:r>
              <w:rPr>
                <w:rFonts w:ascii="Arial" w:eastAsia="宋体" w:hAnsi="Arial" w:cs="Arial"/>
                <w:b/>
                <w:bCs/>
                <w:color w:val="000000"/>
                <w:sz w:val="15"/>
                <w:szCs w:val="15"/>
              </w:rPr>
              <w:t>7,650</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F015" w14:textId="77777777" w:rsidR="00584EC1" w:rsidRDefault="00584EC1">
            <w:pPr>
              <w:jc w:val="right"/>
              <w:rPr>
                <w:rFonts w:ascii="宋体"/>
              </w:rPr>
            </w:pPr>
          </w:p>
        </w:tc>
      </w:tr>
    </w:tbl>
    <w:p w14:paraId="74DDF017" w14:textId="77777777" w:rsidR="00584EC1" w:rsidRDefault="00584EC1">
      <w:pPr>
        <w:rPr>
          <w:vanish/>
        </w:rPr>
      </w:pPr>
    </w:p>
    <w:tbl>
      <w:tblPr>
        <w:tblW w:w="2368" w:type="pct"/>
        <w:tblCellMar>
          <w:top w:w="15" w:type="dxa"/>
          <w:left w:w="15" w:type="dxa"/>
          <w:bottom w:w="15" w:type="dxa"/>
          <w:right w:w="15" w:type="dxa"/>
        </w:tblCellMar>
        <w:tblLook w:val="04A0" w:firstRow="1" w:lastRow="0" w:firstColumn="1" w:lastColumn="0" w:noHBand="0" w:noVBand="1"/>
      </w:tblPr>
      <w:tblGrid>
        <w:gridCol w:w="36"/>
        <w:gridCol w:w="2267"/>
        <w:gridCol w:w="36"/>
        <w:gridCol w:w="36"/>
        <w:gridCol w:w="1537"/>
        <w:gridCol w:w="36"/>
      </w:tblGrid>
      <w:tr w:rsidR="00584EC1" w14:paraId="74DDF01E" w14:textId="77777777">
        <w:tc>
          <w:tcPr>
            <w:tcW w:w="50" w:type="pct"/>
            <w:shd w:val="clear" w:color="auto" w:fill="auto"/>
            <w:vAlign w:val="bottom"/>
          </w:tcPr>
          <w:p w14:paraId="74DDF018" w14:textId="77777777" w:rsidR="00584EC1" w:rsidRDefault="00584EC1">
            <w:pPr>
              <w:rPr>
                <w:rFonts w:ascii="宋体"/>
              </w:rPr>
            </w:pPr>
          </w:p>
        </w:tc>
        <w:tc>
          <w:tcPr>
            <w:tcW w:w="2907" w:type="pct"/>
            <w:shd w:val="clear" w:color="auto" w:fill="auto"/>
            <w:vAlign w:val="bottom"/>
          </w:tcPr>
          <w:p w14:paraId="74DDF019" w14:textId="77777777" w:rsidR="00584EC1" w:rsidRDefault="00584EC1">
            <w:pPr>
              <w:rPr>
                <w:rFonts w:ascii="宋体"/>
              </w:rPr>
            </w:pPr>
          </w:p>
        </w:tc>
        <w:tc>
          <w:tcPr>
            <w:tcW w:w="5" w:type="pct"/>
            <w:shd w:val="clear" w:color="auto" w:fill="auto"/>
            <w:vAlign w:val="bottom"/>
          </w:tcPr>
          <w:p w14:paraId="74DDF01A" w14:textId="77777777" w:rsidR="00584EC1" w:rsidRDefault="00584EC1">
            <w:pPr>
              <w:rPr>
                <w:rFonts w:ascii="宋体"/>
              </w:rPr>
            </w:pPr>
          </w:p>
        </w:tc>
        <w:tc>
          <w:tcPr>
            <w:tcW w:w="50" w:type="pct"/>
            <w:shd w:val="clear" w:color="auto" w:fill="auto"/>
            <w:vAlign w:val="bottom"/>
          </w:tcPr>
          <w:p w14:paraId="74DDF01B" w14:textId="77777777" w:rsidR="00584EC1" w:rsidRDefault="00584EC1">
            <w:pPr>
              <w:rPr>
                <w:rFonts w:ascii="宋体"/>
              </w:rPr>
            </w:pPr>
          </w:p>
        </w:tc>
        <w:tc>
          <w:tcPr>
            <w:tcW w:w="1982" w:type="pct"/>
            <w:shd w:val="clear" w:color="auto" w:fill="auto"/>
            <w:vAlign w:val="bottom"/>
          </w:tcPr>
          <w:p w14:paraId="74DDF01C" w14:textId="77777777" w:rsidR="00584EC1" w:rsidRDefault="00584EC1">
            <w:pPr>
              <w:rPr>
                <w:rFonts w:ascii="宋体"/>
              </w:rPr>
            </w:pPr>
          </w:p>
        </w:tc>
        <w:tc>
          <w:tcPr>
            <w:tcW w:w="5" w:type="pct"/>
            <w:shd w:val="clear" w:color="auto" w:fill="auto"/>
            <w:vAlign w:val="bottom"/>
          </w:tcPr>
          <w:p w14:paraId="74DDF01D" w14:textId="77777777" w:rsidR="00584EC1" w:rsidRDefault="00584EC1">
            <w:pPr>
              <w:rPr>
                <w:rFonts w:ascii="宋体"/>
              </w:rPr>
            </w:pPr>
          </w:p>
        </w:tc>
      </w:tr>
      <w:tr w:rsidR="00584EC1" w14:paraId="74DDF021"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4DDF01F"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020" w14:textId="77777777" w:rsidR="00584EC1" w:rsidRDefault="00584EC1">
            <w:pPr>
              <w:rPr>
                <w:rFonts w:ascii="宋体"/>
              </w:rPr>
            </w:pPr>
          </w:p>
        </w:tc>
      </w:tr>
    </w:tbl>
    <w:p w14:paraId="74DDF022" w14:textId="77777777" w:rsidR="00584EC1" w:rsidRDefault="00871F8D">
      <w:pPr>
        <w:jc w:val="both"/>
      </w:pPr>
      <w:r>
        <w:rPr>
          <w:rFonts w:ascii="Arial" w:eastAsia="宋体" w:hAnsi="Arial" w:cs="Arial"/>
          <w:color w:val="000000"/>
          <w:sz w:val="8"/>
          <w:szCs w:val="8"/>
        </w:rPr>
        <w:t>(1)</w:t>
      </w:r>
      <w:r>
        <w:rPr>
          <w:rFonts w:ascii="Arial" w:eastAsia="宋体" w:hAnsi="Arial" w:cs="Arial"/>
          <w:color w:val="000000"/>
          <w:sz w:val="13"/>
          <w:szCs w:val="13"/>
        </w:rPr>
        <w:t xml:space="preserve"> Investment Servicing includes our acquisition of CRD. </w:t>
      </w:r>
    </w:p>
    <w:p w14:paraId="74DDF023" w14:textId="77777777" w:rsidR="00584EC1" w:rsidRDefault="00871F8D">
      <w:pPr>
        <w:spacing w:before="60"/>
        <w:jc w:val="both"/>
      </w:pPr>
      <w:r>
        <w:rPr>
          <w:rFonts w:ascii="Arial" w:eastAsia="宋体" w:hAnsi="Arial" w:cs="Arial"/>
          <w:color w:val="000000"/>
          <w:sz w:val="8"/>
          <w:szCs w:val="8"/>
        </w:rPr>
        <w:t>(2)</w:t>
      </w:r>
      <w:r>
        <w:rPr>
          <w:rFonts w:ascii="Arial" w:eastAsia="宋体" w:hAnsi="Arial" w:cs="Arial"/>
          <w:color w:val="000000"/>
          <w:sz w:val="13"/>
          <w:szCs w:val="13"/>
        </w:rPr>
        <w:t xml:space="preserve"> Investment Servicing includes our acquisitions of the depositary bank and fund administrator activities of Fideuram Bank Luxembourg, a subsidiary of Intesa Sanpaolo, in the first quarter of 2021, with a total purchase price of approximately EUR 220 millio</w:t>
      </w:r>
      <w:r>
        <w:rPr>
          <w:rFonts w:ascii="Arial" w:eastAsia="宋体" w:hAnsi="Arial" w:cs="Arial"/>
          <w:color w:val="000000"/>
          <w:sz w:val="13"/>
          <w:szCs w:val="13"/>
        </w:rPr>
        <w:t>n or approximately $258 million, and our acquisition of Mercatus, Inc.in the third quarter of 2021, with a total purchase price of approximately $88 million. We accounted for these acquisitions as business combinations and, in accordance with ASC Topic 805</w:t>
      </w:r>
      <w:r>
        <w:rPr>
          <w:rFonts w:ascii="Arial" w:eastAsia="宋体" w:hAnsi="Arial" w:cs="Arial"/>
          <w:color w:val="000000"/>
          <w:sz w:val="13"/>
          <w:szCs w:val="13"/>
        </w:rPr>
        <w:t>, Business Combinations, we have recorded assets acquired and liabilities assumed at their respective fair values as of the acquisition date. The purchase price accounting reflected is provisional and is based upon estimates and assumptions that are subjec</w:t>
      </w:r>
      <w:r>
        <w:rPr>
          <w:rFonts w:ascii="Arial" w:eastAsia="宋体" w:hAnsi="Arial" w:cs="Arial"/>
          <w:color w:val="000000"/>
          <w:sz w:val="13"/>
          <w:szCs w:val="13"/>
        </w:rPr>
        <w:t>t to change within the measurement period (up to one year from the acquisition date pursuant to ASC 805). The measurement period remains open for both transactions pending the completion of valuation procedures related to the acquired assets and assumed li</w:t>
      </w:r>
      <w:r>
        <w:rPr>
          <w:rFonts w:ascii="Arial" w:eastAsia="宋体" w:hAnsi="Arial" w:cs="Arial"/>
          <w:color w:val="000000"/>
          <w:sz w:val="13"/>
          <w:szCs w:val="13"/>
        </w:rPr>
        <w:t>abilities, primarily identifiable intangible assets.</w:t>
      </w:r>
    </w:p>
    <w:p w14:paraId="74DDF024" w14:textId="77777777" w:rsidR="00584EC1" w:rsidRDefault="00871F8D">
      <w:pPr>
        <w:spacing w:before="60"/>
        <w:jc w:val="both"/>
      </w:pPr>
      <w:r>
        <w:rPr>
          <w:rFonts w:ascii="Arial" w:eastAsia="宋体" w:hAnsi="Arial" w:cs="Arial"/>
          <w:color w:val="000000"/>
          <w:sz w:val="8"/>
          <w:szCs w:val="8"/>
        </w:rPr>
        <w:t xml:space="preserve">(3) </w:t>
      </w:r>
      <w:r>
        <w:rPr>
          <w:rFonts w:ascii="Arial" w:eastAsia="宋体" w:hAnsi="Arial" w:cs="Arial"/>
          <w:color w:val="000000"/>
          <w:sz w:val="13"/>
          <w:szCs w:val="13"/>
        </w:rPr>
        <w:t>In the second quarter of 2021, we sold a majority share of our WMS business.</w:t>
      </w:r>
    </w:p>
    <w:p w14:paraId="74DDF025" w14:textId="77777777" w:rsidR="00584EC1" w:rsidRDefault="00871F8D">
      <w:pPr>
        <w:ind w:firstLine="450"/>
        <w:jc w:val="right"/>
      </w:pPr>
      <w:r>
        <w:rPr>
          <w:rFonts w:ascii="Arial" w:eastAsia="宋体" w:hAnsi="Arial" w:cs="Arial"/>
          <w:color w:val="000000"/>
          <w:sz w:val="18"/>
          <w:szCs w:val="18"/>
        </w:rPr>
        <w:t>State Street Corporation | 74</w:t>
      </w:r>
    </w:p>
    <w:p w14:paraId="74DDF026" w14:textId="77777777" w:rsidR="00584EC1" w:rsidRDefault="00584EC1">
      <w:pPr>
        <w:ind w:firstLine="450"/>
        <w:jc w:val="center"/>
      </w:pPr>
    </w:p>
    <w:p w14:paraId="74DDF027" w14:textId="77777777" w:rsidR="00584EC1" w:rsidRDefault="00871F8D">
      <w:r>
        <w:pict w14:anchorId="74DE2A38">
          <v:rect id="_x0000_i1098" style="width:415.3pt;height:1.5pt" o:hralign="center" o:hrstd="t" o:hr="t" fillcolor="#a0a0a0" stroked="f"/>
        </w:pict>
      </w:r>
    </w:p>
    <w:p w14:paraId="74DDF028" w14:textId="77777777" w:rsidR="00584EC1" w:rsidRDefault="00871F8D">
      <w:pPr>
        <w:ind w:firstLine="450"/>
        <w:jc w:val="center"/>
      </w:pPr>
      <w:r>
        <w:rPr>
          <w:rFonts w:ascii="Arial" w:eastAsia="宋体" w:hAnsi="Arial" w:cs="Arial"/>
          <w:b/>
          <w:bCs/>
          <w:color w:val="000000"/>
          <w:sz w:val="20"/>
          <w:szCs w:val="20"/>
        </w:rPr>
        <w:t>STATE STREET CORPORATION</w:t>
      </w:r>
    </w:p>
    <w:p w14:paraId="74DDF029" w14:textId="77777777" w:rsidR="00584EC1" w:rsidRDefault="00871F8D">
      <w:pPr>
        <w:ind w:firstLine="450"/>
        <w:jc w:val="center"/>
      </w:pPr>
      <w:r>
        <w:rPr>
          <w:rFonts w:ascii="Arial" w:eastAsia="宋体" w:hAnsi="Arial" w:cs="Arial"/>
          <w:b/>
          <w:bCs/>
          <w:color w:val="000000"/>
          <w:sz w:val="20"/>
          <w:szCs w:val="20"/>
        </w:rPr>
        <w:t>CONDENSED NOTES TO CONSOLIDATED FINANCIAL STATEMENTS</w:t>
      </w:r>
    </w:p>
    <w:p w14:paraId="74DDF02A" w14:textId="77777777" w:rsidR="00584EC1" w:rsidRDefault="00871F8D">
      <w:pPr>
        <w:ind w:firstLine="450"/>
        <w:jc w:val="center"/>
      </w:pPr>
      <w:r>
        <w:rPr>
          <w:rFonts w:ascii="Arial" w:eastAsia="宋体" w:hAnsi="Arial" w:cs="Arial"/>
          <w:b/>
          <w:bCs/>
          <w:color w:val="000000"/>
          <w:sz w:val="20"/>
          <w:szCs w:val="20"/>
        </w:rPr>
        <w:t>(UNAUDITED)</w:t>
      </w:r>
    </w:p>
    <w:p w14:paraId="74DDF02B" w14:textId="77777777" w:rsidR="00584EC1" w:rsidRDefault="00871F8D">
      <w:pPr>
        <w:spacing w:before="60"/>
        <w:ind w:firstLine="450"/>
        <w:jc w:val="both"/>
        <w:textAlignment w:val="top"/>
      </w:pPr>
      <w:r>
        <w:rPr>
          <w:rFonts w:ascii="Arial" w:eastAsia="宋体" w:hAnsi="Arial" w:cs="Arial"/>
          <w:color w:val="000000"/>
          <w:sz w:val="20"/>
          <w:szCs w:val="20"/>
        </w:rPr>
        <w:t>The following table presents changes in the net carrying amount of other intangible assets during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1"/>
        <w:gridCol w:w="2620"/>
        <w:gridCol w:w="39"/>
        <w:gridCol w:w="105"/>
        <w:gridCol w:w="1625"/>
        <w:gridCol w:w="36"/>
        <w:gridCol w:w="36"/>
        <w:gridCol w:w="72"/>
        <w:gridCol w:w="36"/>
        <w:gridCol w:w="105"/>
        <w:gridCol w:w="1676"/>
        <w:gridCol w:w="36"/>
        <w:gridCol w:w="36"/>
        <w:gridCol w:w="72"/>
        <w:gridCol w:w="36"/>
        <w:gridCol w:w="104"/>
        <w:gridCol w:w="1625"/>
        <w:gridCol w:w="36"/>
      </w:tblGrid>
      <w:tr w:rsidR="00584EC1" w14:paraId="74DDF03E" w14:textId="77777777">
        <w:tc>
          <w:tcPr>
            <w:tcW w:w="50" w:type="pct"/>
            <w:shd w:val="clear" w:color="auto" w:fill="auto"/>
            <w:vAlign w:val="bottom"/>
          </w:tcPr>
          <w:p w14:paraId="74DDF02C" w14:textId="77777777" w:rsidR="00584EC1" w:rsidRDefault="00584EC1">
            <w:pPr>
              <w:rPr>
                <w:rFonts w:ascii="宋体"/>
              </w:rPr>
            </w:pPr>
          </w:p>
        </w:tc>
        <w:tc>
          <w:tcPr>
            <w:tcW w:w="1595" w:type="pct"/>
            <w:shd w:val="clear" w:color="auto" w:fill="auto"/>
            <w:vAlign w:val="bottom"/>
          </w:tcPr>
          <w:p w14:paraId="74DDF02D" w14:textId="77777777" w:rsidR="00584EC1" w:rsidRDefault="00584EC1">
            <w:pPr>
              <w:rPr>
                <w:rFonts w:ascii="宋体"/>
              </w:rPr>
            </w:pPr>
          </w:p>
        </w:tc>
        <w:tc>
          <w:tcPr>
            <w:tcW w:w="5" w:type="pct"/>
            <w:shd w:val="clear" w:color="auto" w:fill="auto"/>
            <w:vAlign w:val="bottom"/>
          </w:tcPr>
          <w:p w14:paraId="74DDF02E" w14:textId="77777777" w:rsidR="00584EC1" w:rsidRDefault="00584EC1">
            <w:pPr>
              <w:rPr>
                <w:rFonts w:ascii="宋体"/>
              </w:rPr>
            </w:pPr>
          </w:p>
        </w:tc>
        <w:tc>
          <w:tcPr>
            <w:tcW w:w="50" w:type="pct"/>
            <w:shd w:val="clear" w:color="auto" w:fill="auto"/>
            <w:vAlign w:val="bottom"/>
          </w:tcPr>
          <w:p w14:paraId="74DDF02F" w14:textId="77777777" w:rsidR="00584EC1" w:rsidRDefault="00584EC1">
            <w:pPr>
              <w:rPr>
                <w:rFonts w:ascii="宋体"/>
              </w:rPr>
            </w:pPr>
          </w:p>
        </w:tc>
        <w:tc>
          <w:tcPr>
            <w:tcW w:w="998" w:type="pct"/>
            <w:shd w:val="clear" w:color="auto" w:fill="auto"/>
            <w:vAlign w:val="bottom"/>
          </w:tcPr>
          <w:p w14:paraId="74DDF030" w14:textId="77777777" w:rsidR="00584EC1" w:rsidRDefault="00584EC1">
            <w:pPr>
              <w:rPr>
                <w:rFonts w:ascii="宋体"/>
              </w:rPr>
            </w:pPr>
          </w:p>
        </w:tc>
        <w:tc>
          <w:tcPr>
            <w:tcW w:w="5" w:type="pct"/>
            <w:shd w:val="clear" w:color="auto" w:fill="auto"/>
            <w:vAlign w:val="bottom"/>
          </w:tcPr>
          <w:p w14:paraId="74DDF031" w14:textId="77777777" w:rsidR="00584EC1" w:rsidRDefault="00584EC1">
            <w:pPr>
              <w:rPr>
                <w:rFonts w:ascii="宋体"/>
              </w:rPr>
            </w:pPr>
          </w:p>
        </w:tc>
        <w:tc>
          <w:tcPr>
            <w:tcW w:w="5" w:type="pct"/>
            <w:shd w:val="clear" w:color="auto" w:fill="auto"/>
            <w:vAlign w:val="bottom"/>
          </w:tcPr>
          <w:p w14:paraId="74DDF032" w14:textId="77777777" w:rsidR="00584EC1" w:rsidRDefault="00584EC1">
            <w:pPr>
              <w:rPr>
                <w:rFonts w:ascii="宋体"/>
              </w:rPr>
            </w:pPr>
          </w:p>
        </w:tc>
        <w:tc>
          <w:tcPr>
            <w:tcW w:w="68" w:type="pct"/>
            <w:shd w:val="clear" w:color="auto" w:fill="auto"/>
            <w:vAlign w:val="bottom"/>
          </w:tcPr>
          <w:p w14:paraId="74DDF033" w14:textId="77777777" w:rsidR="00584EC1" w:rsidRDefault="00584EC1">
            <w:pPr>
              <w:rPr>
                <w:rFonts w:ascii="宋体"/>
              </w:rPr>
            </w:pPr>
          </w:p>
        </w:tc>
        <w:tc>
          <w:tcPr>
            <w:tcW w:w="5" w:type="pct"/>
            <w:shd w:val="clear" w:color="auto" w:fill="auto"/>
            <w:vAlign w:val="bottom"/>
          </w:tcPr>
          <w:p w14:paraId="74DDF034" w14:textId="77777777" w:rsidR="00584EC1" w:rsidRDefault="00584EC1">
            <w:pPr>
              <w:rPr>
                <w:rFonts w:ascii="宋体"/>
              </w:rPr>
            </w:pPr>
          </w:p>
        </w:tc>
        <w:tc>
          <w:tcPr>
            <w:tcW w:w="50" w:type="pct"/>
            <w:shd w:val="clear" w:color="auto" w:fill="auto"/>
            <w:vAlign w:val="bottom"/>
          </w:tcPr>
          <w:p w14:paraId="74DDF035" w14:textId="77777777" w:rsidR="00584EC1" w:rsidRDefault="00584EC1">
            <w:pPr>
              <w:rPr>
                <w:rFonts w:ascii="宋体"/>
              </w:rPr>
            </w:pPr>
          </w:p>
        </w:tc>
        <w:tc>
          <w:tcPr>
            <w:tcW w:w="1029" w:type="pct"/>
            <w:shd w:val="clear" w:color="auto" w:fill="auto"/>
            <w:vAlign w:val="bottom"/>
          </w:tcPr>
          <w:p w14:paraId="74DDF036" w14:textId="77777777" w:rsidR="00584EC1" w:rsidRDefault="00584EC1">
            <w:pPr>
              <w:rPr>
                <w:rFonts w:ascii="宋体"/>
              </w:rPr>
            </w:pPr>
          </w:p>
        </w:tc>
        <w:tc>
          <w:tcPr>
            <w:tcW w:w="5" w:type="pct"/>
            <w:shd w:val="clear" w:color="auto" w:fill="auto"/>
            <w:vAlign w:val="bottom"/>
          </w:tcPr>
          <w:p w14:paraId="74DDF037" w14:textId="77777777" w:rsidR="00584EC1" w:rsidRDefault="00584EC1">
            <w:pPr>
              <w:rPr>
                <w:rFonts w:ascii="宋体"/>
              </w:rPr>
            </w:pPr>
          </w:p>
        </w:tc>
        <w:tc>
          <w:tcPr>
            <w:tcW w:w="5" w:type="pct"/>
            <w:shd w:val="clear" w:color="auto" w:fill="auto"/>
            <w:vAlign w:val="bottom"/>
          </w:tcPr>
          <w:p w14:paraId="74DDF038" w14:textId="77777777" w:rsidR="00584EC1" w:rsidRDefault="00584EC1">
            <w:pPr>
              <w:rPr>
                <w:rFonts w:ascii="宋体"/>
              </w:rPr>
            </w:pPr>
          </w:p>
        </w:tc>
        <w:tc>
          <w:tcPr>
            <w:tcW w:w="68" w:type="pct"/>
            <w:shd w:val="clear" w:color="auto" w:fill="auto"/>
            <w:vAlign w:val="bottom"/>
          </w:tcPr>
          <w:p w14:paraId="74DDF039" w14:textId="77777777" w:rsidR="00584EC1" w:rsidRDefault="00584EC1">
            <w:pPr>
              <w:rPr>
                <w:rFonts w:ascii="宋体"/>
              </w:rPr>
            </w:pPr>
          </w:p>
        </w:tc>
        <w:tc>
          <w:tcPr>
            <w:tcW w:w="5" w:type="pct"/>
            <w:shd w:val="clear" w:color="auto" w:fill="auto"/>
            <w:vAlign w:val="bottom"/>
          </w:tcPr>
          <w:p w14:paraId="74DDF03A" w14:textId="77777777" w:rsidR="00584EC1" w:rsidRDefault="00584EC1">
            <w:pPr>
              <w:rPr>
                <w:rFonts w:ascii="宋体"/>
              </w:rPr>
            </w:pPr>
          </w:p>
        </w:tc>
        <w:tc>
          <w:tcPr>
            <w:tcW w:w="50" w:type="pct"/>
            <w:shd w:val="clear" w:color="auto" w:fill="auto"/>
            <w:vAlign w:val="bottom"/>
          </w:tcPr>
          <w:p w14:paraId="74DDF03B" w14:textId="77777777" w:rsidR="00584EC1" w:rsidRDefault="00584EC1">
            <w:pPr>
              <w:rPr>
                <w:rFonts w:ascii="宋体"/>
              </w:rPr>
            </w:pPr>
          </w:p>
        </w:tc>
        <w:tc>
          <w:tcPr>
            <w:tcW w:w="998" w:type="pct"/>
            <w:shd w:val="clear" w:color="auto" w:fill="auto"/>
            <w:vAlign w:val="bottom"/>
          </w:tcPr>
          <w:p w14:paraId="74DDF03C" w14:textId="77777777" w:rsidR="00584EC1" w:rsidRDefault="00584EC1">
            <w:pPr>
              <w:rPr>
                <w:rFonts w:ascii="宋体"/>
              </w:rPr>
            </w:pPr>
          </w:p>
        </w:tc>
        <w:tc>
          <w:tcPr>
            <w:tcW w:w="5" w:type="pct"/>
            <w:shd w:val="clear" w:color="auto" w:fill="auto"/>
            <w:vAlign w:val="bottom"/>
          </w:tcPr>
          <w:p w14:paraId="74DDF03D" w14:textId="77777777" w:rsidR="00584EC1" w:rsidRDefault="00584EC1">
            <w:pPr>
              <w:rPr>
                <w:rFonts w:ascii="宋体"/>
              </w:rPr>
            </w:pPr>
          </w:p>
        </w:tc>
      </w:tr>
      <w:tr w:rsidR="00584EC1" w14:paraId="74DDF046" w14:textId="77777777">
        <w:tc>
          <w:tcPr>
            <w:tcW w:w="0" w:type="auto"/>
            <w:gridSpan w:val="3"/>
            <w:shd w:val="clear" w:color="auto" w:fill="auto"/>
            <w:tcMar>
              <w:top w:w="40" w:type="dxa"/>
              <w:left w:w="20" w:type="dxa"/>
              <w:bottom w:w="40" w:type="dxa"/>
              <w:right w:w="20" w:type="dxa"/>
            </w:tcMar>
            <w:vAlign w:val="bottom"/>
          </w:tcPr>
          <w:p w14:paraId="74DDF03F" w14:textId="77777777" w:rsidR="00584EC1" w:rsidRDefault="00871F8D">
            <w:pPr>
              <w:textAlignment w:val="bottom"/>
            </w:pPr>
            <w:r>
              <w:rPr>
                <w:rFonts w:ascii="Arial" w:eastAsia="宋体" w:hAnsi="Arial" w:cs="Arial"/>
                <w:b/>
                <w:bCs/>
                <w:color w:val="000000"/>
                <w:sz w:val="15"/>
                <w:szCs w:val="15"/>
              </w:rPr>
              <w:t>(In millions)</w:t>
            </w:r>
          </w:p>
        </w:tc>
        <w:tc>
          <w:tcPr>
            <w:tcW w:w="0" w:type="auto"/>
            <w:gridSpan w:val="3"/>
            <w:shd w:val="clear" w:color="auto" w:fill="auto"/>
            <w:tcMar>
              <w:top w:w="40" w:type="dxa"/>
              <w:left w:w="20" w:type="dxa"/>
              <w:bottom w:w="40" w:type="dxa"/>
              <w:right w:w="20" w:type="dxa"/>
            </w:tcMar>
            <w:vAlign w:val="bottom"/>
          </w:tcPr>
          <w:p w14:paraId="74DDF040" w14:textId="77777777" w:rsidR="00584EC1" w:rsidRDefault="00871F8D">
            <w:pPr>
              <w:jc w:val="center"/>
              <w:textAlignment w:val="bottom"/>
            </w:pPr>
            <w:r>
              <w:rPr>
                <w:rFonts w:ascii="Arial" w:eastAsia="宋体" w:hAnsi="Arial" w:cs="Arial"/>
                <w:b/>
                <w:bCs/>
                <w:color w:val="000000"/>
                <w:sz w:val="15"/>
                <w:szCs w:val="15"/>
              </w:rPr>
              <w:t>Investment</w:t>
            </w:r>
          </w:p>
          <w:p w14:paraId="74DDF041" w14:textId="77777777" w:rsidR="00584EC1" w:rsidRDefault="00871F8D">
            <w:pPr>
              <w:jc w:val="center"/>
              <w:textAlignment w:val="bottom"/>
            </w:pPr>
            <w:r>
              <w:rPr>
                <w:rFonts w:ascii="Arial" w:eastAsia="宋体" w:hAnsi="Arial" w:cs="Arial"/>
                <w:b/>
                <w:bCs/>
                <w:color w:val="000000"/>
                <w:sz w:val="15"/>
                <w:szCs w:val="15"/>
              </w:rPr>
              <w:t>  Servicing</w:t>
            </w:r>
            <w:r>
              <w:rPr>
                <w:rFonts w:ascii="Arial" w:eastAsia="宋体" w:hAnsi="Arial" w:cs="Arial"/>
                <w:b/>
                <w:bCs/>
                <w:color w:val="000000"/>
                <w:sz w:val="9"/>
                <w:szCs w:val="9"/>
              </w:rPr>
              <w:t>(1)</w:t>
            </w:r>
          </w:p>
        </w:tc>
        <w:tc>
          <w:tcPr>
            <w:tcW w:w="0" w:type="auto"/>
            <w:gridSpan w:val="3"/>
            <w:shd w:val="clear" w:color="auto" w:fill="auto"/>
            <w:tcMar>
              <w:top w:w="0" w:type="dxa"/>
              <w:left w:w="20" w:type="dxa"/>
              <w:bottom w:w="0" w:type="dxa"/>
              <w:right w:w="20" w:type="dxa"/>
            </w:tcMar>
            <w:vAlign w:val="bottom"/>
          </w:tcPr>
          <w:p w14:paraId="74DDF042"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F043" w14:textId="77777777" w:rsidR="00584EC1" w:rsidRDefault="00871F8D">
            <w:pPr>
              <w:jc w:val="center"/>
              <w:textAlignment w:val="bottom"/>
            </w:pPr>
            <w:r>
              <w:rPr>
                <w:rFonts w:ascii="Arial" w:eastAsia="宋体" w:hAnsi="Arial" w:cs="Arial"/>
                <w:b/>
                <w:bCs/>
                <w:color w:val="000000"/>
                <w:sz w:val="15"/>
                <w:szCs w:val="15"/>
              </w:rPr>
              <w:t>Investment</w:t>
            </w:r>
            <w:r>
              <w:rPr>
                <w:rFonts w:ascii="Arial" w:eastAsia="宋体" w:hAnsi="Arial" w:cs="Arial"/>
                <w:b/>
                <w:bCs/>
                <w:color w:val="000000"/>
                <w:sz w:val="15"/>
                <w:szCs w:val="15"/>
              </w:rPr>
              <w:br/>
              <w:t>Management</w:t>
            </w:r>
          </w:p>
        </w:tc>
        <w:tc>
          <w:tcPr>
            <w:tcW w:w="0" w:type="auto"/>
            <w:gridSpan w:val="3"/>
            <w:shd w:val="clear" w:color="auto" w:fill="auto"/>
            <w:tcMar>
              <w:top w:w="0" w:type="dxa"/>
              <w:left w:w="20" w:type="dxa"/>
              <w:bottom w:w="0" w:type="dxa"/>
              <w:right w:w="20" w:type="dxa"/>
            </w:tcMar>
            <w:vAlign w:val="bottom"/>
          </w:tcPr>
          <w:p w14:paraId="74DDF044"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F045" w14:textId="77777777" w:rsidR="00584EC1" w:rsidRDefault="00871F8D">
            <w:pPr>
              <w:jc w:val="center"/>
              <w:textAlignment w:val="bottom"/>
            </w:pPr>
            <w:r>
              <w:rPr>
                <w:rFonts w:ascii="Arial" w:eastAsia="宋体" w:hAnsi="Arial" w:cs="Arial"/>
                <w:b/>
                <w:bCs/>
                <w:color w:val="000000"/>
                <w:sz w:val="15"/>
                <w:szCs w:val="15"/>
              </w:rPr>
              <w:t>Total</w:t>
            </w:r>
          </w:p>
        </w:tc>
      </w:tr>
      <w:tr w:rsidR="00584EC1" w14:paraId="74DDF04D" w14:textId="77777777">
        <w:tc>
          <w:tcPr>
            <w:tcW w:w="0" w:type="auto"/>
            <w:gridSpan w:val="3"/>
            <w:shd w:val="clear" w:color="auto" w:fill="auto"/>
            <w:tcMar>
              <w:top w:w="40" w:type="dxa"/>
              <w:left w:w="20" w:type="dxa"/>
              <w:bottom w:w="40" w:type="dxa"/>
              <w:right w:w="20" w:type="dxa"/>
            </w:tcMar>
            <w:vAlign w:val="bottom"/>
          </w:tcPr>
          <w:p w14:paraId="74DDF047" w14:textId="77777777" w:rsidR="00584EC1" w:rsidRDefault="00871F8D">
            <w:pPr>
              <w:textAlignment w:val="bottom"/>
            </w:pPr>
            <w:r>
              <w:rPr>
                <w:rFonts w:ascii="Arial" w:eastAsia="宋体" w:hAnsi="Arial" w:cs="Arial"/>
                <w:b/>
                <w:bCs/>
                <w:color w:val="000000"/>
                <w:sz w:val="15"/>
                <w:szCs w:val="15"/>
              </w:rPr>
              <w:t>Other intangible assets: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048"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049"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04A"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04B"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04C" w14:textId="77777777" w:rsidR="00584EC1" w:rsidRDefault="00584EC1">
            <w:pPr>
              <w:rPr>
                <w:rFonts w:ascii="宋体"/>
              </w:rPr>
            </w:pPr>
          </w:p>
        </w:tc>
      </w:tr>
      <w:tr w:rsidR="00584EC1" w14:paraId="74DDF054" w14:textId="77777777">
        <w:trPr>
          <w:hidden/>
        </w:trPr>
        <w:tc>
          <w:tcPr>
            <w:tcW w:w="0" w:type="auto"/>
            <w:gridSpan w:val="3"/>
            <w:shd w:val="clear" w:color="auto" w:fill="auto"/>
            <w:vAlign w:val="bottom"/>
          </w:tcPr>
          <w:p w14:paraId="74DDF04E" w14:textId="77777777" w:rsidR="00584EC1" w:rsidRDefault="00584EC1">
            <w:pPr>
              <w:rPr>
                <w:rFonts w:ascii="宋体"/>
                <w:vanish/>
              </w:rPr>
            </w:pPr>
          </w:p>
        </w:tc>
        <w:tc>
          <w:tcPr>
            <w:tcW w:w="0" w:type="auto"/>
            <w:gridSpan w:val="3"/>
            <w:shd w:val="clear" w:color="auto" w:fill="auto"/>
            <w:vAlign w:val="bottom"/>
          </w:tcPr>
          <w:p w14:paraId="74DDF04F" w14:textId="77777777" w:rsidR="00584EC1" w:rsidRDefault="00584EC1">
            <w:pPr>
              <w:rPr>
                <w:rFonts w:ascii="宋体"/>
                <w:vanish/>
              </w:rPr>
            </w:pPr>
          </w:p>
        </w:tc>
        <w:tc>
          <w:tcPr>
            <w:tcW w:w="0" w:type="auto"/>
            <w:gridSpan w:val="3"/>
            <w:shd w:val="clear" w:color="auto" w:fill="auto"/>
            <w:vAlign w:val="bottom"/>
          </w:tcPr>
          <w:p w14:paraId="74DDF050" w14:textId="77777777" w:rsidR="00584EC1" w:rsidRDefault="00584EC1">
            <w:pPr>
              <w:rPr>
                <w:rFonts w:ascii="宋体"/>
                <w:vanish/>
              </w:rPr>
            </w:pPr>
          </w:p>
        </w:tc>
        <w:tc>
          <w:tcPr>
            <w:tcW w:w="0" w:type="auto"/>
            <w:gridSpan w:val="3"/>
            <w:shd w:val="clear" w:color="auto" w:fill="auto"/>
            <w:vAlign w:val="bottom"/>
          </w:tcPr>
          <w:p w14:paraId="74DDF051" w14:textId="77777777" w:rsidR="00584EC1" w:rsidRDefault="00584EC1">
            <w:pPr>
              <w:rPr>
                <w:rFonts w:ascii="宋体"/>
                <w:vanish/>
              </w:rPr>
            </w:pPr>
          </w:p>
        </w:tc>
        <w:tc>
          <w:tcPr>
            <w:tcW w:w="0" w:type="auto"/>
            <w:gridSpan w:val="3"/>
            <w:shd w:val="clear" w:color="auto" w:fill="auto"/>
            <w:vAlign w:val="bottom"/>
          </w:tcPr>
          <w:p w14:paraId="74DDF052" w14:textId="77777777" w:rsidR="00584EC1" w:rsidRDefault="00584EC1">
            <w:pPr>
              <w:rPr>
                <w:rFonts w:ascii="宋体"/>
                <w:vanish/>
              </w:rPr>
            </w:pPr>
          </w:p>
        </w:tc>
        <w:tc>
          <w:tcPr>
            <w:tcW w:w="0" w:type="auto"/>
            <w:gridSpan w:val="3"/>
            <w:shd w:val="clear" w:color="auto" w:fill="auto"/>
            <w:vAlign w:val="bottom"/>
          </w:tcPr>
          <w:p w14:paraId="74DDF053" w14:textId="77777777" w:rsidR="00584EC1" w:rsidRDefault="00584EC1">
            <w:pPr>
              <w:rPr>
                <w:rFonts w:ascii="宋体"/>
                <w:vanish/>
              </w:rPr>
            </w:pPr>
          </w:p>
        </w:tc>
      </w:tr>
      <w:tr w:rsidR="00584EC1" w14:paraId="74DDF05B" w14:textId="77777777">
        <w:trPr>
          <w:hidden/>
        </w:trPr>
        <w:tc>
          <w:tcPr>
            <w:tcW w:w="0" w:type="auto"/>
            <w:gridSpan w:val="3"/>
            <w:shd w:val="clear" w:color="auto" w:fill="auto"/>
            <w:vAlign w:val="bottom"/>
          </w:tcPr>
          <w:p w14:paraId="74DDF055" w14:textId="77777777" w:rsidR="00584EC1" w:rsidRDefault="00584EC1">
            <w:pPr>
              <w:rPr>
                <w:rFonts w:ascii="宋体"/>
                <w:vanish/>
              </w:rPr>
            </w:pPr>
          </w:p>
        </w:tc>
        <w:tc>
          <w:tcPr>
            <w:tcW w:w="0" w:type="auto"/>
            <w:gridSpan w:val="3"/>
            <w:shd w:val="clear" w:color="auto" w:fill="auto"/>
            <w:vAlign w:val="bottom"/>
          </w:tcPr>
          <w:p w14:paraId="74DDF056" w14:textId="77777777" w:rsidR="00584EC1" w:rsidRDefault="00584EC1">
            <w:pPr>
              <w:rPr>
                <w:rFonts w:ascii="宋体"/>
                <w:vanish/>
              </w:rPr>
            </w:pPr>
          </w:p>
        </w:tc>
        <w:tc>
          <w:tcPr>
            <w:tcW w:w="0" w:type="auto"/>
            <w:gridSpan w:val="3"/>
            <w:shd w:val="clear" w:color="auto" w:fill="auto"/>
            <w:vAlign w:val="bottom"/>
          </w:tcPr>
          <w:p w14:paraId="74DDF057" w14:textId="77777777" w:rsidR="00584EC1" w:rsidRDefault="00584EC1">
            <w:pPr>
              <w:rPr>
                <w:rFonts w:ascii="宋体"/>
                <w:vanish/>
              </w:rPr>
            </w:pPr>
          </w:p>
        </w:tc>
        <w:tc>
          <w:tcPr>
            <w:tcW w:w="0" w:type="auto"/>
            <w:gridSpan w:val="3"/>
            <w:shd w:val="clear" w:color="auto" w:fill="auto"/>
            <w:vAlign w:val="bottom"/>
          </w:tcPr>
          <w:p w14:paraId="74DDF058" w14:textId="77777777" w:rsidR="00584EC1" w:rsidRDefault="00584EC1">
            <w:pPr>
              <w:rPr>
                <w:rFonts w:ascii="宋体"/>
                <w:vanish/>
              </w:rPr>
            </w:pPr>
          </w:p>
        </w:tc>
        <w:tc>
          <w:tcPr>
            <w:tcW w:w="0" w:type="auto"/>
            <w:gridSpan w:val="3"/>
            <w:shd w:val="clear" w:color="auto" w:fill="auto"/>
            <w:vAlign w:val="bottom"/>
          </w:tcPr>
          <w:p w14:paraId="74DDF059" w14:textId="77777777" w:rsidR="00584EC1" w:rsidRDefault="00584EC1">
            <w:pPr>
              <w:rPr>
                <w:rFonts w:ascii="宋体"/>
                <w:vanish/>
              </w:rPr>
            </w:pPr>
          </w:p>
        </w:tc>
        <w:tc>
          <w:tcPr>
            <w:tcW w:w="0" w:type="auto"/>
            <w:gridSpan w:val="3"/>
            <w:shd w:val="clear" w:color="auto" w:fill="auto"/>
            <w:vAlign w:val="bottom"/>
          </w:tcPr>
          <w:p w14:paraId="74DDF05A" w14:textId="77777777" w:rsidR="00584EC1" w:rsidRDefault="00584EC1">
            <w:pPr>
              <w:rPr>
                <w:rFonts w:ascii="宋体"/>
                <w:vanish/>
              </w:rPr>
            </w:pPr>
          </w:p>
        </w:tc>
      </w:tr>
      <w:tr w:rsidR="00584EC1" w14:paraId="74DDF062" w14:textId="77777777">
        <w:trPr>
          <w:hidden/>
        </w:trPr>
        <w:tc>
          <w:tcPr>
            <w:tcW w:w="0" w:type="auto"/>
            <w:gridSpan w:val="3"/>
            <w:shd w:val="clear" w:color="auto" w:fill="auto"/>
            <w:vAlign w:val="bottom"/>
          </w:tcPr>
          <w:p w14:paraId="74DDF05C" w14:textId="77777777" w:rsidR="00584EC1" w:rsidRDefault="00584EC1">
            <w:pPr>
              <w:rPr>
                <w:rFonts w:ascii="宋体"/>
                <w:vanish/>
              </w:rPr>
            </w:pPr>
          </w:p>
        </w:tc>
        <w:tc>
          <w:tcPr>
            <w:tcW w:w="0" w:type="auto"/>
            <w:gridSpan w:val="3"/>
            <w:shd w:val="clear" w:color="auto" w:fill="auto"/>
            <w:vAlign w:val="bottom"/>
          </w:tcPr>
          <w:p w14:paraId="74DDF05D" w14:textId="77777777" w:rsidR="00584EC1" w:rsidRDefault="00584EC1">
            <w:pPr>
              <w:rPr>
                <w:rFonts w:ascii="宋体"/>
                <w:vanish/>
              </w:rPr>
            </w:pPr>
          </w:p>
        </w:tc>
        <w:tc>
          <w:tcPr>
            <w:tcW w:w="0" w:type="auto"/>
            <w:gridSpan w:val="3"/>
            <w:shd w:val="clear" w:color="auto" w:fill="auto"/>
            <w:vAlign w:val="bottom"/>
          </w:tcPr>
          <w:p w14:paraId="74DDF05E" w14:textId="77777777" w:rsidR="00584EC1" w:rsidRDefault="00584EC1">
            <w:pPr>
              <w:rPr>
                <w:rFonts w:ascii="宋体"/>
                <w:vanish/>
              </w:rPr>
            </w:pPr>
          </w:p>
        </w:tc>
        <w:tc>
          <w:tcPr>
            <w:tcW w:w="0" w:type="auto"/>
            <w:gridSpan w:val="3"/>
            <w:shd w:val="clear" w:color="auto" w:fill="auto"/>
            <w:vAlign w:val="bottom"/>
          </w:tcPr>
          <w:p w14:paraId="74DDF05F" w14:textId="77777777" w:rsidR="00584EC1" w:rsidRDefault="00584EC1">
            <w:pPr>
              <w:rPr>
                <w:rFonts w:ascii="宋体"/>
                <w:vanish/>
              </w:rPr>
            </w:pPr>
          </w:p>
        </w:tc>
        <w:tc>
          <w:tcPr>
            <w:tcW w:w="0" w:type="auto"/>
            <w:gridSpan w:val="3"/>
            <w:shd w:val="clear" w:color="auto" w:fill="auto"/>
            <w:vAlign w:val="bottom"/>
          </w:tcPr>
          <w:p w14:paraId="74DDF060" w14:textId="77777777" w:rsidR="00584EC1" w:rsidRDefault="00584EC1">
            <w:pPr>
              <w:rPr>
                <w:rFonts w:ascii="宋体"/>
                <w:vanish/>
              </w:rPr>
            </w:pPr>
          </w:p>
        </w:tc>
        <w:tc>
          <w:tcPr>
            <w:tcW w:w="0" w:type="auto"/>
            <w:gridSpan w:val="3"/>
            <w:shd w:val="clear" w:color="auto" w:fill="auto"/>
            <w:vAlign w:val="bottom"/>
          </w:tcPr>
          <w:p w14:paraId="74DDF061" w14:textId="77777777" w:rsidR="00584EC1" w:rsidRDefault="00584EC1">
            <w:pPr>
              <w:rPr>
                <w:rFonts w:ascii="宋体"/>
                <w:vanish/>
              </w:rPr>
            </w:pPr>
          </w:p>
        </w:tc>
      </w:tr>
      <w:tr w:rsidR="00584EC1" w14:paraId="74DDF069" w14:textId="77777777">
        <w:trPr>
          <w:hidden/>
        </w:trPr>
        <w:tc>
          <w:tcPr>
            <w:tcW w:w="0" w:type="auto"/>
            <w:gridSpan w:val="3"/>
            <w:shd w:val="clear" w:color="auto" w:fill="auto"/>
            <w:vAlign w:val="bottom"/>
          </w:tcPr>
          <w:p w14:paraId="74DDF063" w14:textId="77777777" w:rsidR="00584EC1" w:rsidRDefault="00584EC1">
            <w:pPr>
              <w:rPr>
                <w:rFonts w:ascii="宋体"/>
                <w:vanish/>
              </w:rPr>
            </w:pPr>
          </w:p>
        </w:tc>
        <w:tc>
          <w:tcPr>
            <w:tcW w:w="0" w:type="auto"/>
            <w:gridSpan w:val="3"/>
            <w:shd w:val="clear" w:color="auto" w:fill="auto"/>
            <w:vAlign w:val="bottom"/>
          </w:tcPr>
          <w:p w14:paraId="74DDF064" w14:textId="77777777" w:rsidR="00584EC1" w:rsidRDefault="00584EC1">
            <w:pPr>
              <w:rPr>
                <w:rFonts w:ascii="宋体"/>
                <w:vanish/>
              </w:rPr>
            </w:pPr>
          </w:p>
        </w:tc>
        <w:tc>
          <w:tcPr>
            <w:tcW w:w="0" w:type="auto"/>
            <w:gridSpan w:val="3"/>
            <w:shd w:val="clear" w:color="auto" w:fill="auto"/>
            <w:vAlign w:val="bottom"/>
          </w:tcPr>
          <w:p w14:paraId="74DDF065" w14:textId="77777777" w:rsidR="00584EC1" w:rsidRDefault="00584EC1">
            <w:pPr>
              <w:rPr>
                <w:rFonts w:ascii="宋体"/>
                <w:vanish/>
              </w:rPr>
            </w:pPr>
          </w:p>
        </w:tc>
        <w:tc>
          <w:tcPr>
            <w:tcW w:w="0" w:type="auto"/>
            <w:gridSpan w:val="3"/>
            <w:shd w:val="clear" w:color="auto" w:fill="auto"/>
            <w:vAlign w:val="bottom"/>
          </w:tcPr>
          <w:p w14:paraId="74DDF066" w14:textId="77777777" w:rsidR="00584EC1" w:rsidRDefault="00584EC1">
            <w:pPr>
              <w:rPr>
                <w:rFonts w:ascii="宋体"/>
                <w:vanish/>
              </w:rPr>
            </w:pPr>
          </w:p>
        </w:tc>
        <w:tc>
          <w:tcPr>
            <w:tcW w:w="0" w:type="auto"/>
            <w:gridSpan w:val="3"/>
            <w:shd w:val="clear" w:color="auto" w:fill="auto"/>
            <w:vAlign w:val="bottom"/>
          </w:tcPr>
          <w:p w14:paraId="74DDF067" w14:textId="77777777" w:rsidR="00584EC1" w:rsidRDefault="00584EC1">
            <w:pPr>
              <w:rPr>
                <w:rFonts w:ascii="宋体"/>
                <w:vanish/>
              </w:rPr>
            </w:pPr>
          </w:p>
        </w:tc>
        <w:tc>
          <w:tcPr>
            <w:tcW w:w="0" w:type="auto"/>
            <w:gridSpan w:val="3"/>
            <w:shd w:val="clear" w:color="auto" w:fill="auto"/>
            <w:vAlign w:val="bottom"/>
          </w:tcPr>
          <w:p w14:paraId="74DDF068" w14:textId="77777777" w:rsidR="00584EC1" w:rsidRDefault="00584EC1">
            <w:pPr>
              <w:rPr>
                <w:rFonts w:ascii="宋体"/>
                <w:vanish/>
              </w:rPr>
            </w:pPr>
          </w:p>
        </w:tc>
      </w:tr>
      <w:tr w:rsidR="00584EC1" w14:paraId="74DDF070" w14:textId="77777777">
        <w:trPr>
          <w:hidden/>
        </w:trPr>
        <w:tc>
          <w:tcPr>
            <w:tcW w:w="0" w:type="auto"/>
            <w:gridSpan w:val="3"/>
            <w:shd w:val="clear" w:color="auto" w:fill="auto"/>
            <w:vAlign w:val="bottom"/>
          </w:tcPr>
          <w:p w14:paraId="74DDF06A" w14:textId="77777777" w:rsidR="00584EC1" w:rsidRDefault="00584EC1">
            <w:pPr>
              <w:rPr>
                <w:rFonts w:ascii="宋体"/>
                <w:vanish/>
              </w:rPr>
            </w:pPr>
          </w:p>
        </w:tc>
        <w:tc>
          <w:tcPr>
            <w:tcW w:w="0" w:type="auto"/>
            <w:gridSpan w:val="3"/>
            <w:shd w:val="clear" w:color="auto" w:fill="auto"/>
            <w:vAlign w:val="bottom"/>
          </w:tcPr>
          <w:p w14:paraId="74DDF06B" w14:textId="77777777" w:rsidR="00584EC1" w:rsidRDefault="00584EC1">
            <w:pPr>
              <w:rPr>
                <w:rFonts w:ascii="宋体"/>
                <w:vanish/>
              </w:rPr>
            </w:pPr>
          </w:p>
        </w:tc>
        <w:tc>
          <w:tcPr>
            <w:tcW w:w="0" w:type="auto"/>
            <w:gridSpan w:val="3"/>
            <w:shd w:val="clear" w:color="auto" w:fill="auto"/>
            <w:vAlign w:val="bottom"/>
          </w:tcPr>
          <w:p w14:paraId="74DDF06C" w14:textId="77777777" w:rsidR="00584EC1" w:rsidRDefault="00584EC1">
            <w:pPr>
              <w:rPr>
                <w:rFonts w:ascii="宋体"/>
                <w:vanish/>
              </w:rPr>
            </w:pPr>
          </w:p>
        </w:tc>
        <w:tc>
          <w:tcPr>
            <w:tcW w:w="0" w:type="auto"/>
            <w:gridSpan w:val="3"/>
            <w:shd w:val="clear" w:color="auto" w:fill="auto"/>
            <w:vAlign w:val="bottom"/>
          </w:tcPr>
          <w:p w14:paraId="74DDF06D" w14:textId="77777777" w:rsidR="00584EC1" w:rsidRDefault="00584EC1">
            <w:pPr>
              <w:rPr>
                <w:rFonts w:ascii="宋体"/>
                <w:vanish/>
              </w:rPr>
            </w:pPr>
          </w:p>
        </w:tc>
        <w:tc>
          <w:tcPr>
            <w:tcW w:w="0" w:type="auto"/>
            <w:gridSpan w:val="3"/>
            <w:shd w:val="clear" w:color="auto" w:fill="auto"/>
            <w:vAlign w:val="bottom"/>
          </w:tcPr>
          <w:p w14:paraId="74DDF06E" w14:textId="77777777" w:rsidR="00584EC1" w:rsidRDefault="00584EC1">
            <w:pPr>
              <w:rPr>
                <w:rFonts w:ascii="宋体"/>
                <w:vanish/>
              </w:rPr>
            </w:pPr>
          </w:p>
        </w:tc>
        <w:tc>
          <w:tcPr>
            <w:tcW w:w="0" w:type="auto"/>
            <w:gridSpan w:val="3"/>
            <w:shd w:val="clear" w:color="auto" w:fill="auto"/>
            <w:vAlign w:val="bottom"/>
          </w:tcPr>
          <w:p w14:paraId="74DDF06F" w14:textId="77777777" w:rsidR="00584EC1" w:rsidRDefault="00584EC1">
            <w:pPr>
              <w:rPr>
                <w:rFonts w:ascii="宋体"/>
                <w:vanish/>
              </w:rPr>
            </w:pPr>
          </w:p>
        </w:tc>
      </w:tr>
      <w:tr w:rsidR="00584EC1" w14:paraId="74DDF07D" w14:textId="77777777">
        <w:tc>
          <w:tcPr>
            <w:tcW w:w="0" w:type="auto"/>
            <w:gridSpan w:val="3"/>
            <w:shd w:val="clear" w:color="auto" w:fill="CCEEFF"/>
            <w:tcMar>
              <w:top w:w="40" w:type="dxa"/>
              <w:left w:w="20" w:type="dxa"/>
              <w:bottom w:w="40" w:type="dxa"/>
              <w:right w:w="20" w:type="dxa"/>
            </w:tcMar>
            <w:vAlign w:val="bottom"/>
          </w:tcPr>
          <w:p w14:paraId="74DDF071" w14:textId="77777777" w:rsidR="00584EC1" w:rsidRDefault="00871F8D">
            <w:pPr>
              <w:textAlignment w:val="bottom"/>
            </w:pPr>
            <w:r>
              <w:rPr>
                <w:rFonts w:ascii="Arial" w:eastAsia="宋体" w:hAnsi="Arial" w:cs="Arial"/>
                <w:b/>
                <w:bCs/>
                <w:color w:val="000000"/>
                <w:sz w:val="15"/>
                <w:szCs w:val="15"/>
              </w:rPr>
              <w:t>Ending balance December 31, 2019</w:t>
            </w:r>
            <w:r>
              <w:rPr>
                <w:rFonts w:ascii="Arial" w:eastAsia="宋体" w:hAnsi="Arial" w:cs="Arial"/>
                <w:b/>
                <w:bCs/>
                <w:color w:val="000000"/>
                <w:sz w:val="9"/>
                <w:szCs w:val="9"/>
              </w:rPr>
              <w:t xml:space="preserve"> </w:t>
            </w:r>
          </w:p>
        </w:tc>
        <w:tc>
          <w:tcPr>
            <w:tcW w:w="0" w:type="auto"/>
            <w:shd w:val="clear" w:color="auto" w:fill="CCEEFF"/>
            <w:tcMar>
              <w:top w:w="40" w:type="dxa"/>
              <w:left w:w="20" w:type="dxa"/>
              <w:bottom w:w="40" w:type="dxa"/>
              <w:right w:w="0" w:type="dxa"/>
            </w:tcMar>
            <w:vAlign w:val="bottom"/>
          </w:tcPr>
          <w:p w14:paraId="74DDF072" w14:textId="77777777" w:rsidR="00584EC1" w:rsidRDefault="00871F8D">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4DDF073" w14:textId="77777777" w:rsidR="00584EC1" w:rsidRDefault="00871F8D">
            <w:pPr>
              <w:jc w:val="right"/>
              <w:textAlignment w:val="bottom"/>
            </w:pPr>
            <w:r>
              <w:rPr>
                <w:rFonts w:ascii="Arial" w:eastAsia="宋体" w:hAnsi="Arial" w:cs="Arial"/>
                <w:color w:val="000000"/>
                <w:sz w:val="15"/>
                <w:szCs w:val="15"/>
              </w:rPr>
              <w:t>1,908 </w:t>
            </w:r>
          </w:p>
        </w:tc>
        <w:tc>
          <w:tcPr>
            <w:tcW w:w="0" w:type="auto"/>
            <w:shd w:val="clear" w:color="auto" w:fill="CCEEFF"/>
            <w:tcMar>
              <w:top w:w="40" w:type="dxa"/>
              <w:left w:w="0" w:type="dxa"/>
              <w:bottom w:w="40" w:type="dxa"/>
              <w:right w:w="20" w:type="dxa"/>
            </w:tcMar>
            <w:vAlign w:val="bottom"/>
          </w:tcPr>
          <w:p w14:paraId="74DDF07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075"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F076" w14:textId="77777777" w:rsidR="00584EC1" w:rsidRDefault="00871F8D">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4DDF077" w14:textId="77777777" w:rsidR="00584EC1" w:rsidRDefault="00871F8D">
            <w:pPr>
              <w:jc w:val="right"/>
              <w:textAlignment w:val="bottom"/>
            </w:pPr>
            <w:r>
              <w:rPr>
                <w:rFonts w:ascii="Arial" w:eastAsia="宋体" w:hAnsi="Arial" w:cs="Arial"/>
                <w:color w:val="000000"/>
                <w:sz w:val="15"/>
                <w:szCs w:val="15"/>
              </w:rPr>
              <w:t>122 </w:t>
            </w:r>
          </w:p>
        </w:tc>
        <w:tc>
          <w:tcPr>
            <w:tcW w:w="0" w:type="auto"/>
            <w:shd w:val="clear" w:color="auto" w:fill="CCEEFF"/>
            <w:tcMar>
              <w:top w:w="40" w:type="dxa"/>
              <w:left w:w="0" w:type="dxa"/>
              <w:bottom w:w="40" w:type="dxa"/>
              <w:right w:w="20" w:type="dxa"/>
            </w:tcMar>
            <w:vAlign w:val="bottom"/>
          </w:tcPr>
          <w:p w14:paraId="74DDF07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079"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F07A" w14:textId="77777777" w:rsidR="00584EC1" w:rsidRDefault="00871F8D">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4DDF07B" w14:textId="77777777" w:rsidR="00584EC1" w:rsidRDefault="00871F8D">
            <w:pPr>
              <w:jc w:val="right"/>
              <w:textAlignment w:val="bottom"/>
            </w:pPr>
            <w:r>
              <w:rPr>
                <w:rFonts w:ascii="Arial" w:eastAsia="宋体" w:hAnsi="Arial" w:cs="Arial"/>
                <w:color w:val="000000"/>
                <w:sz w:val="15"/>
                <w:szCs w:val="15"/>
              </w:rPr>
              <w:t>2,030 </w:t>
            </w:r>
          </w:p>
        </w:tc>
        <w:tc>
          <w:tcPr>
            <w:tcW w:w="0" w:type="auto"/>
            <w:shd w:val="clear" w:color="auto" w:fill="CCEEFF"/>
            <w:tcMar>
              <w:top w:w="40" w:type="dxa"/>
              <w:left w:w="0" w:type="dxa"/>
              <w:bottom w:w="40" w:type="dxa"/>
              <w:right w:w="20" w:type="dxa"/>
            </w:tcMar>
            <w:vAlign w:val="bottom"/>
          </w:tcPr>
          <w:p w14:paraId="74DDF07C" w14:textId="77777777" w:rsidR="00584EC1" w:rsidRDefault="00584EC1">
            <w:pPr>
              <w:jc w:val="right"/>
              <w:rPr>
                <w:rFonts w:ascii="宋体"/>
              </w:rPr>
            </w:pPr>
          </w:p>
        </w:tc>
      </w:tr>
      <w:tr w:rsidR="00584EC1" w14:paraId="74DDF084" w14:textId="77777777">
        <w:trPr>
          <w:hidden/>
        </w:trPr>
        <w:tc>
          <w:tcPr>
            <w:tcW w:w="0" w:type="auto"/>
            <w:gridSpan w:val="3"/>
            <w:shd w:val="clear" w:color="auto" w:fill="auto"/>
            <w:vAlign w:val="bottom"/>
          </w:tcPr>
          <w:p w14:paraId="74DDF07E" w14:textId="77777777" w:rsidR="00584EC1" w:rsidRDefault="00584EC1">
            <w:pPr>
              <w:rPr>
                <w:rFonts w:ascii="宋体"/>
                <w:vanish/>
              </w:rPr>
            </w:pPr>
          </w:p>
        </w:tc>
        <w:tc>
          <w:tcPr>
            <w:tcW w:w="0" w:type="auto"/>
            <w:gridSpan w:val="3"/>
            <w:shd w:val="clear" w:color="auto" w:fill="auto"/>
            <w:vAlign w:val="bottom"/>
          </w:tcPr>
          <w:p w14:paraId="74DDF07F" w14:textId="77777777" w:rsidR="00584EC1" w:rsidRDefault="00584EC1">
            <w:pPr>
              <w:rPr>
                <w:rFonts w:ascii="宋体"/>
                <w:vanish/>
              </w:rPr>
            </w:pPr>
          </w:p>
        </w:tc>
        <w:tc>
          <w:tcPr>
            <w:tcW w:w="0" w:type="auto"/>
            <w:gridSpan w:val="3"/>
            <w:shd w:val="clear" w:color="auto" w:fill="auto"/>
            <w:vAlign w:val="bottom"/>
          </w:tcPr>
          <w:p w14:paraId="74DDF080" w14:textId="77777777" w:rsidR="00584EC1" w:rsidRDefault="00584EC1">
            <w:pPr>
              <w:rPr>
                <w:rFonts w:ascii="宋体"/>
                <w:vanish/>
              </w:rPr>
            </w:pPr>
          </w:p>
        </w:tc>
        <w:tc>
          <w:tcPr>
            <w:tcW w:w="0" w:type="auto"/>
            <w:gridSpan w:val="3"/>
            <w:shd w:val="clear" w:color="auto" w:fill="auto"/>
            <w:vAlign w:val="bottom"/>
          </w:tcPr>
          <w:p w14:paraId="74DDF081" w14:textId="77777777" w:rsidR="00584EC1" w:rsidRDefault="00584EC1">
            <w:pPr>
              <w:rPr>
                <w:rFonts w:ascii="宋体"/>
                <w:vanish/>
              </w:rPr>
            </w:pPr>
          </w:p>
        </w:tc>
        <w:tc>
          <w:tcPr>
            <w:tcW w:w="0" w:type="auto"/>
            <w:gridSpan w:val="3"/>
            <w:shd w:val="clear" w:color="auto" w:fill="auto"/>
            <w:vAlign w:val="bottom"/>
          </w:tcPr>
          <w:p w14:paraId="74DDF082" w14:textId="77777777" w:rsidR="00584EC1" w:rsidRDefault="00584EC1">
            <w:pPr>
              <w:rPr>
                <w:rFonts w:ascii="宋体"/>
                <w:vanish/>
              </w:rPr>
            </w:pPr>
          </w:p>
        </w:tc>
        <w:tc>
          <w:tcPr>
            <w:tcW w:w="0" w:type="auto"/>
            <w:gridSpan w:val="3"/>
            <w:shd w:val="clear" w:color="auto" w:fill="auto"/>
            <w:vAlign w:val="bottom"/>
          </w:tcPr>
          <w:p w14:paraId="74DDF083" w14:textId="77777777" w:rsidR="00584EC1" w:rsidRDefault="00584EC1">
            <w:pPr>
              <w:rPr>
                <w:rFonts w:ascii="宋体"/>
                <w:vanish/>
              </w:rPr>
            </w:pPr>
          </w:p>
        </w:tc>
      </w:tr>
      <w:tr w:rsidR="00584EC1" w14:paraId="74DDF08B" w14:textId="77777777">
        <w:trPr>
          <w:hidden/>
        </w:trPr>
        <w:tc>
          <w:tcPr>
            <w:tcW w:w="0" w:type="auto"/>
            <w:gridSpan w:val="3"/>
            <w:shd w:val="clear" w:color="auto" w:fill="auto"/>
            <w:vAlign w:val="bottom"/>
          </w:tcPr>
          <w:p w14:paraId="74DDF085" w14:textId="77777777" w:rsidR="00584EC1" w:rsidRDefault="00584EC1">
            <w:pPr>
              <w:rPr>
                <w:rFonts w:ascii="宋体"/>
                <w:vanish/>
              </w:rPr>
            </w:pPr>
          </w:p>
        </w:tc>
        <w:tc>
          <w:tcPr>
            <w:tcW w:w="0" w:type="auto"/>
            <w:gridSpan w:val="3"/>
            <w:shd w:val="clear" w:color="auto" w:fill="auto"/>
            <w:vAlign w:val="bottom"/>
          </w:tcPr>
          <w:p w14:paraId="74DDF086" w14:textId="77777777" w:rsidR="00584EC1" w:rsidRDefault="00584EC1">
            <w:pPr>
              <w:rPr>
                <w:rFonts w:ascii="宋体"/>
                <w:vanish/>
              </w:rPr>
            </w:pPr>
          </w:p>
        </w:tc>
        <w:tc>
          <w:tcPr>
            <w:tcW w:w="0" w:type="auto"/>
            <w:gridSpan w:val="3"/>
            <w:shd w:val="clear" w:color="auto" w:fill="auto"/>
            <w:vAlign w:val="bottom"/>
          </w:tcPr>
          <w:p w14:paraId="74DDF087" w14:textId="77777777" w:rsidR="00584EC1" w:rsidRDefault="00584EC1">
            <w:pPr>
              <w:rPr>
                <w:rFonts w:ascii="宋体"/>
                <w:vanish/>
              </w:rPr>
            </w:pPr>
          </w:p>
        </w:tc>
        <w:tc>
          <w:tcPr>
            <w:tcW w:w="0" w:type="auto"/>
            <w:gridSpan w:val="3"/>
            <w:shd w:val="clear" w:color="auto" w:fill="auto"/>
            <w:vAlign w:val="bottom"/>
          </w:tcPr>
          <w:p w14:paraId="74DDF088" w14:textId="77777777" w:rsidR="00584EC1" w:rsidRDefault="00584EC1">
            <w:pPr>
              <w:rPr>
                <w:rFonts w:ascii="宋体"/>
                <w:vanish/>
              </w:rPr>
            </w:pPr>
          </w:p>
        </w:tc>
        <w:tc>
          <w:tcPr>
            <w:tcW w:w="0" w:type="auto"/>
            <w:gridSpan w:val="3"/>
            <w:shd w:val="clear" w:color="auto" w:fill="auto"/>
            <w:vAlign w:val="bottom"/>
          </w:tcPr>
          <w:p w14:paraId="74DDF089" w14:textId="77777777" w:rsidR="00584EC1" w:rsidRDefault="00584EC1">
            <w:pPr>
              <w:rPr>
                <w:rFonts w:ascii="宋体"/>
                <w:vanish/>
              </w:rPr>
            </w:pPr>
          </w:p>
        </w:tc>
        <w:tc>
          <w:tcPr>
            <w:tcW w:w="0" w:type="auto"/>
            <w:gridSpan w:val="3"/>
            <w:shd w:val="clear" w:color="auto" w:fill="auto"/>
            <w:vAlign w:val="bottom"/>
          </w:tcPr>
          <w:p w14:paraId="74DDF08A" w14:textId="77777777" w:rsidR="00584EC1" w:rsidRDefault="00584EC1">
            <w:pPr>
              <w:rPr>
                <w:rFonts w:ascii="宋体"/>
                <w:vanish/>
              </w:rPr>
            </w:pPr>
          </w:p>
        </w:tc>
      </w:tr>
      <w:tr w:rsidR="00584EC1" w14:paraId="74DDF092" w14:textId="77777777">
        <w:trPr>
          <w:hidden/>
        </w:trPr>
        <w:tc>
          <w:tcPr>
            <w:tcW w:w="0" w:type="auto"/>
            <w:gridSpan w:val="3"/>
            <w:shd w:val="clear" w:color="auto" w:fill="auto"/>
            <w:vAlign w:val="bottom"/>
          </w:tcPr>
          <w:p w14:paraId="74DDF08C" w14:textId="77777777" w:rsidR="00584EC1" w:rsidRDefault="00584EC1">
            <w:pPr>
              <w:rPr>
                <w:rFonts w:ascii="宋体"/>
                <w:vanish/>
              </w:rPr>
            </w:pPr>
          </w:p>
        </w:tc>
        <w:tc>
          <w:tcPr>
            <w:tcW w:w="0" w:type="auto"/>
            <w:gridSpan w:val="3"/>
            <w:shd w:val="clear" w:color="auto" w:fill="auto"/>
            <w:vAlign w:val="bottom"/>
          </w:tcPr>
          <w:p w14:paraId="74DDF08D" w14:textId="77777777" w:rsidR="00584EC1" w:rsidRDefault="00584EC1">
            <w:pPr>
              <w:rPr>
                <w:rFonts w:ascii="宋体"/>
                <w:vanish/>
              </w:rPr>
            </w:pPr>
          </w:p>
        </w:tc>
        <w:tc>
          <w:tcPr>
            <w:tcW w:w="0" w:type="auto"/>
            <w:gridSpan w:val="3"/>
            <w:shd w:val="clear" w:color="auto" w:fill="auto"/>
            <w:vAlign w:val="bottom"/>
          </w:tcPr>
          <w:p w14:paraId="74DDF08E" w14:textId="77777777" w:rsidR="00584EC1" w:rsidRDefault="00584EC1">
            <w:pPr>
              <w:rPr>
                <w:rFonts w:ascii="宋体"/>
                <w:vanish/>
              </w:rPr>
            </w:pPr>
          </w:p>
        </w:tc>
        <w:tc>
          <w:tcPr>
            <w:tcW w:w="0" w:type="auto"/>
            <w:gridSpan w:val="3"/>
            <w:shd w:val="clear" w:color="auto" w:fill="auto"/>
            <w:vAlign w:val="bottom"/>
          </w:tcPr>
          <w:p w14:paraId="74DDF08F" w14:textId="77777777" w:rsidR="00584EC1" w:rsidRDefault="00584EC1">
            <w:pPr>
              <w:rPr>
                <w:rFonts w:ascii="宋体"/>
                <w:vanish/>
              </w:rPr>
            </w:pPr>
          </w:p>
        </w:tc>
        <w:tc>
          <w:tcPr>
            <w:tcW w:w="0" w:type="auto"/>
            <w:gridSpan w:val="3"/>
            <w:shd w:val="clear" w:color="auto" w:fill="auto"/>
            <w:vAlign w:val="bottom"/>
          </w:tcPr>
          <w:p w14:paraId="74DDF090" w14:textId="77777777" w:rsidR="00584EC1" w:rsidRDefault="00584EC1">
            <w:pPr>
              <w:rPr>
                <w:rFonts w:ascii="宋体"/>
                <w:vanish/>
              </w:rPr>
            </w:pPr>
          </w:p>
        </w:tc>
        <w:tc>
          <w:tcPr>
            <w:tcW w:w="0" w:type="auto"/>
            <w:gridSpan w:val="3"/>
            <w:shd w:val="clear" w:color="auto" w:fill="auto"/>
            <w:vAlign w:val="bottom"/>
          </w:tcPr>
          <w:p w14:paraId="74DDF091" w14:textId="77777777" w:rsidR="00584EC1" w:rsidRDefault="00584EC1">
            <w:pPr>
              <w:rPr>
                <w:rFonts w:ascii="宋体"/>
                <w:vanish/>
              </w:rPr>
            </w:pPr>
          </w:p>
        </w:tc>
      </w:tr>
      <w:tr w:rsidR="00584EC1" w14:paraId="74DDF09C" w14:textId="77777777">
        <w:tc>
          <w:tcPr>
            <w:tcW w:w="0" w:type="auto"/>
            <w:gridSpan w:val="3"/>
            <w:shd w:val="clear" w:color="auto" w:fill="FFFFFF"/>
            <w:tcMar>
              <w:top w:w="40" w:type="dxa"/>
              <w:left w:w="20" w:type="dxa"/>
              <w:bottom w:w="40" w:type="dxa"/>
              <w:right w:w="20" w:type="dxa"/>
            </w:tcMar>
            <w:vAlign w:val="bottom"/>
          </w:tcPr>
          <w:p w14:paraId="74DDF093" w14:textId="77777777" w:rsidR="00584EC1" w:rsidRDefault="00871F8D">
            <w:pPr>
              <w:textAlignment w:val="bottom"/>
            </w:pPr>
            <w:r>
              <w:rPr>
                <w:rFonts w:ascii="Arial" w:eastAsia="宋体" w:hAnsi="Arial" w:cs="Arial"/>
                <w:color w:val="000000"/>
                <w:sz w:val="15"/>
                <w:szCs w:val="15"/>
              </w:rPr>
              <w:t>Amortization</w:t>
            </w:r>
          </w:p>
        </w:tc>
        <w:tc>
          <w:tcPr>
            <w:tcW w:w="0" w:type="auto"/>
            <w:gridSpan w:val="2"/>
            <w:shd w:val="clear" w:color="auto" w:fill="FFFFFF"/>
            <w:tcMar>
              <w:top w:w="40" w:type="dxa"/>
              <w:left w:w="20" w:type="dxa"/>
              <w:bottom w:w="40" w:type="dxa"/>
              <w:right w:w="0" w:type="dxa"/>
            </w:tcMar>
            <w:vAlign w:val="bottom"/>
          </w:tcPr>
          <w:p w14:paraId="74DDF094" w14:textId="77777777" w:rsidR="00584EC1" w:rsidRDefault="00871F8D">
            <w:pPr>
              <w:jc w:val="right"/>
              <w:textAlignment w:val="bottom"/>
            </w:pPr>
            <w:r>
              <w:rPr>
                <w:rFonts w:ascii="Arial" w:eastAsia="宋体" w:hAnsi="Arial" w:cs="Arial"/>
                <w:color w:val="000000"/>
                <w:sz w:val="15"/>
                <w:szCs w:val="15"/>
              </w:rPr>
              <w:t>(206)</w:t>
            </w:r>
          </w:p>
        </w:tc>
        <w:tc>
          <w:tcPr>
            <w:tcW w:w="0" w:type="auto"/>
            <w:shd w:val="clear" w:color="auto" w:fill="FFFFFF"/>
            <w:tcMar>
              <w:top w:w="40" w:type="dxa"/>
              <w:left w:w="0" w:type="dxa"/>
              <w:bottom w:w="40" w:type="dxa"/>
              <w:right w:w="20" w:type="dxa"/>
            </w:tcMar>
            <w:vAlign w:val="bottom"/>
          </w:tcPr>
          <w:p w14:paraId="74DDF09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09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097" w14:textId="77777777" w:rsidR="00584EC1" w:rsidRDefault="00871F8D">
            <w:pPr>
              <w:jc w:val="right"/>
              <w:textAlignment w:val="bottom"/>
            </w:pPr>
            <w:r>
              <w:rPr>
                <w:rFonts w:ascii="Arial" w:eastAsia="宋体" w:hAnsi="Arial" w:cs="Arial"/>
                <w:color w:val="000000"/>
                <w:sz w:val="15"/>
                <w:szCs w:val="15"/>
              </w:rPr>
              <w:t>(28)</w:t>
            </w:r>
          </w:p>
        </w:tc>
        <w:tc>
          <w:tcPr>
            <w:tcW w:w="0" w:type="auto"/>
            <w:shd w:val="clear" w:color="auto" w:fill="FFFFFF"/>
            <w:tcMar>
              <w:top w:w="40" w:type="dxa"/>
              <w:left w:w="0" w:type="dxa"/>
              <w:bottom w:w="40" w:type="dxa"/>
              <w:right w:w="20" w:type="dxa"/>
            </w:tcMar>
            <w:vAlign w:val="bottom"/>
          </w:tcPr>
          <w:p w14:paraId="74DDF09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09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09A" w14:textId="77777777" w:rsidR="00584EC1" w:rsidRDefault="00871F8D">
            <w:pPr>
              <w:jc w:val="right"/>
              <w:textAlignment w:val="bottom"/>
            </w:pPr>
            <w:r>
              <w:rPr>
                <w:rFonts w:ascii="Arial" w:eastAsia="宋体" w:hAnsi="Arial" w:cs="Arial"/>
                <w:color w:val="000000"/>
                <w:sz w:val="15"/>
                <w:szCs w:val="15"/>
              </w:rPr>
              <w:t>(234)</w:t>
            </w:r>
          </w:p>
        </w:tc>
        <w:tc>
          <w:tcPr>
            <w:tcW w:w="0" w:type="auto"/>
            <w:shd w:val="clear" w:color="auto" w:fill="FFFFFF"/>
            <w:tcMar>
              <w:top w:w="40" w:type="dxa"/>
              <w:left w:w="0" w:type="dxa"/>
              <w:bottom w:w="40" w:type="dxa"/>
              <w:right w:w="20" w:type="dxa"/>
            </w:tcMar>
            <w:vAlign w:val="bottom"/>
          </w:tcPr>
          <w:p w14:paraId="74DDF09B" w14:textId="77777777" w:rsidR="00584EC1" w:rsidRDefault="00584EC1">
            <w:pPr>
              <w:jc w:val="right"/>
              <w:rPr>
                <w:rFonts w:ascii="宋体"/>
              </w:rPr>
            </w:pPr>
          </w:p>
        </w:tc>
      </w:tr>
      <w:tr w:rsidR="00584EC1" w14:paraId="74DDF0A6" w14:textId="77777777">
        <w:tc>
          <w:tcPr>
            <w:tcW w:w="0" w:type="auto"/>
            <w:gridSpan w:val="3"/>
            <w:shd w:val="clear" w:color="auto" w:fill="CCEEFF"/>
            <w:tcMar>
              <w:top w:w="40" w:type="dxa"/>
              <w:left w:w="20" w:type="dxa"/>
              <w:bottom w:w="40" w:type="dxa"/>
              <w:right w:w="20" w:type="dxa"/>
            </w:tcMar>
            <w:vAlign w:val="bottom"/>
          </w:tcPr>
          <w:p w14:paraId="74DDF09D" w14:textId="77777777" w:rsidR="00584EC1" w:rsidRDefault="00871F8D">
            <w:pPr>
              <w:textAlignment w:val="bottom"/>
            </w:pPr>
            <w:r>
              <w:rPr>
                <w:rFonts w:ascii="Arial" w:eastAsia="宋体" w:hAnsi="Arial" w:cs="Arial"/>
                <w:color w:val="000000"/>
                <w:sz w:val="15"/>
                <w:szCs w:val="15"/>
              </w:rPr>
              <w:t>Foreign currency translation</w:t>
            </w:r>
          </w:p>
        </w:tc>
        <w:tc>
          <w:tcPr>
            <w:tcW w:w="0" w:type="auto"/>
            <w:gridSpan w:val="2"/>
            <w:shd w:val="clear" w:color="auto" w:fill="CCEEFF"/>
            <w:tcMar>
              <w:top w:w="40" w:type="dxa"/>
              <w:left w:w="20" w:type="dxa"/>
              <w:bottom w:w="40" w:type="dxa"/>
              <w:right w:w="0" w:type="dxa"/>
            </w:tcMar>
            <w:vAlign w:val="bottom"/>
          </w:tcPr>
          <w:p w14:paraId="74DDF09E" w14:textId="77777777" w:rsidR="00584EC1" w:rsidRDefault="00871F8D">
            <w:pPr>
              <w:jc w:val="right"/>
              <w:textAlignment w:val="bottom"/>
            </w:pPr>
            <w:r>
              <w:rPr>
                <w:rFonts w:ascii="Arial" w:eastAsia="宋体" w:hAnsi="Arial" w:cs="Arial"/>
                <w:color w:val="000000"/>
                <w:sz w:val="15"/>
                <w:szCs w:val="15"/>
              </w:rPr>
              <w:t>31 </w:t>
            </w:r>
          </w:p>
        </w:tc>
        <w:tc>
          <w:tcPr>
            <w:tcW w:w="0" w:type="auto"/>
            <w:shd w:val="clear" w:color="auto" w:fill="CCEEFF"/>
            <w:tcMar>
              <w:top w:w="40" w:type="dxa"/>
              <w:left w:w="0" w:type="dxa"/>
              <w:bottom w:w="40" w:type="dxa"/>
              <w:right w:w="20" w:type="dxa"/>
            </w:tcMar>
            <w:vAlign w:val="bottom"/>
          </w:tcPr>
          <w:p w14:paraId="74DDF09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0A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F0A1"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F0A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0A3"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F0A4" w14:textId="77777777" w:rsidR="00584EC1" w:rsidRDefault="00871F8D">
            <w:pPr>
              <w:jc w:val="right"/>
              <w:textAlignment w:val="bottom"/>
            </w:pPr>
            <w:r>
              <w:rPr>
                <w:rFonts w:ascii="Arial" w:eastAsia="宋体" w:hAnsi="Arial" w:cs="Arial"/>
                <w:color w:val="000000"/>
                <w:sz w:val="15"/>
                <w:szCs w:val="15"/>
              </w:rPr>
              <w:t>31 </w:t>
            </w:r>
          </w:p>
        </w:tc>
        <w:tc>
          <w:tcPr>
            <w:tcW w:w="0" w:type="auto"/>
            <w:shd w:val="clear" w:color="auto" w:fill="CCEEFF"/>
            <w:tcMar>
              <w:top w:w="40" w:type="dxa"/>
              <w:left w:w="0" w:type="dxa"/>
              <w:bottom w:w="40" w:type="dxa"/>
              <w:right w:w="20" w:type="dxa"/>
            </w:tcMar>
            <w:vAlign w:val="bottom"/>
          </w:tcPr>
          <w:p w14:paraId="74DDF0A5" w14:textId="77777777" w:rsidR="00584EC1" w:rsidRDefault="00584EC1">
            <w:pPr>
              <w:jc w:val="right"/>
              <w:rPr>
                <w:rFonts w:ascii="宋体"/>
              </w:rPr>
            </w:pPr>
          </w:p>
        </w:tc>
      </w:tr>
      <w:tr w:rsidR="00584EC1" w14:paraId="74DDF0B0" w14:textId="77777777">
        <w:tc>
          <w:tcPr>
            <w:tcW w:w="0" w:type="auto"/>
            <w:gridSpan w:val="3"/>
            <w:shd w:val="clear" w:color="auto" w:fill="FFFFFF"/>
            <w:tcMar>
              <w:top w:w="40" w:type="dxa"/>
              <w:left w:w="20" w:type="dxa"/>
              <w:bottom w:w="40" w:type="dxa"/>
              <w:right w:w="20" w:type="dxa"/>
            </w:tcMar>
            <w:vAlign w:val="bottom"/>
          </w:tcPr>
          <w:p w14:paraId="74DDF0A7" w14:textId="77777777" w:rsidR="00584EC1" w:rsidRDefault="00871F8D">
            <w:pPr>
              <w:textAlignment w:val="bottom"/>
            </w:pPr>
            <w:r>
              <w:rPr>
                <w:rFonts w:ascii="Arial" w:eastAsia="宋体" w:hAnsi="Arial" w:cs="Arial"/>
                <w:b/>
                <w:bCs/>
                <w:color w:val="000000"/>
                <w:sz w:val="15"/>
                <w:szCs w:val="15"/>
              </w:rPr>
              <w:t>Ending balance December 31, 2020</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F0A8" w14:textId="77777777" w:rsidR="00584EC1" w:rsidRDefault="00871F8D">
            <w:pPr>
              <w:jc w:val="right"/>
              <w:textAlignment w:val="bottom"/>
            </w:pPr>
            <w:r>
              <w:rPr>
                <w:rFonts w:ascii="Arial" w:eastAsia="宋体" w:hAnsi="Arial" w:cs="Arial"/>
                <w:color w:val="000000"/>
                <w:sz w:val="15"/>
                <w:szCs w:val="15"/>
              </w:rPr>
              <w:t>1,733 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F0A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0AA"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F0AB" w14:textId="77777777" w:rsidR="00584EC1" w:rsidRDefault="00871F8D">
            <w:pPr>
              <w:jc w:val="right"/>
              <w:textAlignment w:val="bottom"/>
            </w:pPr>
            <w:r>
              <w:rPr>
                <w:rFonts w:ascii="Arial" w:eastAsia="宋体" w:hAnsi="Arial" w:cs="Arial"/>
                <w:color w:val="000000"/>
                <w:sz w:val="15"/>
                <w:szCs w:val="15"/>
              </w:rPr>
              <w:t>94 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F0A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0AD"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F0AE" w14:textId="77777777" w:rsidR="00584EC1" w:rsidRDefault="00871F8D">
            <w:pPr>
              <w:jc w:val="right"/>
              <w:textAlignment w:val="bottom"/>
            </w:pPr>
            <w:r>
              <w:rPr>
                <w:rFonts w:ascii="Arial" w:eastAsia="宋体" w:hAnsi="Arial" w:cs="Arial"/>
                <w:color w:val="000000"/>
                <w:sz w:val="15"/>
                <w:szCs w:val="15"/>
              </w:rPr>
              <w:t>1,827 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F0AF" w14:textId="77777777" w:rsidR="00584EC1" w:rsidRDefault="00584EC1">
            <w:pPr>
              <w:jc w:val="right"/>
              <w:rPr>
                <w:rFonts w:ascii="宋体"/>
              </w:rPr>
            </w:pPr>
          </w:p>
        </w:tc>
      </w:tr>
      <w:tr w:rsidR="00584EC1" w14:paraId="74DDF0BA" w14:textId="77777777">
        <w:tc>
          <w:tcPr>
            <w:tcW w:w="0" w:type="auto"/>
            <w:gridSpan w:val="3"/>
            <w:shd w:val="clear" w:color="auto" w:fill="CCEEFF"/>
            <w:tcMar>
              <w:top w:w="40" w:type="dxa"/>
              <w:left w:w="20" w:type="dxa"/>
              <w:bottom w:w="40" w:type="dxa"/>
              <w:right w:w="20" w:type="dxa"/>
            </w:tcMar>
            <w:vAlign w:val="bottom"/>
          </w:tcPr>
          <w:p w14:paraId="74DDF0B1" w14:textId="77777777" w:rsidR="00584EC1" w:rsidRDefault="00871F8D">
            <w:pPr>
              <w:textAlignment w:val="bottom"/>
            </w:pPr>
            <w:r>
              <w:rPr>
                <w:rFonts w:ascii="Arial" w:eastAsia="宋体" w:hAnsi="Arial" w:cs="Arial"/>
                <w:color w:val="000000"/>
                <w:sz w:val="15"/>
                <w:szCs w:val="15"/>
              </w:rPr>
              <w:t>Acquisitions</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74DDF0B2" w14:textId="77777777" w:rsidR="00584EC1" w:rsidRDefault="00871F8D">
            <w:pPr>
              <w:jc w:val="right"/>
              <w:textAlignment w:val="bottom"/>
            </w:pPr>
            <w:r>
              <w:rPr>
                <w:rFonts w:ascii="Arial" w:eastAsia="宋体" w:hAnsi="Arial" w:cs="Arial"/>
                <w:b/>
                <w:bCs/>
                <w:color w:val="000000"/>
                <w:sz w:val="15"/>
                <w:szCs w:val="15"/>
              </w:rPr>
              <w:t>263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F0B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0B4"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F0B5"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F0B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0B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F0B8" w14:textId="77777777" w:rsidR="00584EC1" w:rsidRDefault="00871F8D">
            <w:pPr>
              <w:jc w:val="right"/>
              <w:textAlignment w:val="bottom"/>
            </w:pPr>
            <w:r>
              <w:rPr>
                <w:rFonts w:ascii="Arial" w:eastAsia="宋体" w:hAnsi="Arial" w:cs="Arial"/>
                <w:b/>
                <w:bCs/>
                <w:color w:val="000000"/>
                <w:sz w:val="15"/>
                <w:szCs w:val="15"/>
              </w:rPr>
              <w:t>263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F0B9" w14:textId="77777777" w:rsidR="00584EC1" w:rsidRDefault="00584EC1">
            <w:pPr>
              <w:jc w:val="right"/>
              <w:rPr>
                <w:rFonts w:ascii="宋体"/>
              </w:rPr>
            </w:pPr>
          </w:p>
        </w:tc>
      </w:tr>
      <w:tr w:rsidR="00584EC1" w14:paraId="74DDF0C4" w14:textId="77777777">
        <w:tc>
          <w:tcPr>
            <w:tcW w:w="0" w:type="auto"/>
            <w:gridSpan w:val="3"/>
            <w:shd w:val="clear" w:color="auto" w:fill="FFFFFF"/>
            <w:tcMar>
              <w:top w:w="40" w:type="dxa"/>
              <w:left w:w="20" w:type="dxa"/>
              <w:bottom w:w="40" w:type="dxa"/>
              <w:right w:w="20" w:type="dxa"/>
            </w:tcMar>
            <w:vAlign w:val="bottom"/>
          </w:tcPr>
          <w:p w14:paraId="74DDF0BB" w14:textId="77777777" w:rsidR="00584EC1" w:rsidRDefault="00871F8D">
            <w:pPr>
              <w:textAlignment w:val="bottom"/>
            </w:pPr>
            <w:r>
              <w:rPr>
                <w:rFonts w:ascii="Arial" w:eastAsia="宋体" w:hAnsi="Arial" w:cs="Arial"/>
                <w:color w:val="000000"/>
                <w:sz w:val="15"/>
                <w:szCs w:val="15"/>
              </w:rPr>
              <w:t>Amortization</w:t>
            </w:r>
          </w:p>
        </w:tc>
        <w:tc>
          <w:tcPr>
            <w:tcW w:w="0" w:type="auto"/>
            <w:gridSpan w:val="2"/>
            <w:shd w:val="clear" w:color="auto" w:fill="FFFFFF"/>
            <w:tcMar>
              <w:top w:w="40" w:type="dxa"/>
              <w:left w:w="20" w:type="dxa"/>
              <w:bottom w:w="40" w:type="dxa"/>
              <w:right w:w="0" w:type="dxa"/>
            </w:tcMar>
            <w:vAlign w:val="bottom"/>
          </w:tcPr>
          <w:p w14:paraId="74DDF0BC" w14:textId="77777777" w:rsidR="00584EC1" w:rsidRDefault="00871F8D">
            <w:pPr>
              <w:jc w:val="right"/>
              <w:textAlignment w:val="bottom"/>
            </w:pPr>
            <w:r>
              <w:rPr>
                <w:rFonts w:ascii="Arial" w:eastAsia="宋体" w:hAnsi="Arial" w:cs="Arial"/>
                <w:b/>
                <w:bCs/>
                <w:color w:val="000000"/>
                <w:sz w:val="15"/>
                <w:szCs w:val="15"/>
              </w:rPr>
              <w:t>(165)</w:t>
            </w:r>
          </w:p>
        </w:tc>
        <w:tc>
          <w:tcPr>
            <w:tcW w:w="0" w:type="auto"/>
            <w:shd w:val="clear" w:color="auto" w:fill="FFFFFF"/>
            <w:tcMar>
              <w:top w:w="40" w:type="dxa"/>
              <w:left w:w="0" w:type="dxa"/>
              <w:bottom w:w="40" w:type="dxa"/>
              <w:right w:w="20" w:type="dxa"/>
            </w:tcMar>
            <w:vAlign w:val="bottom"/>
          </w:tcPr>
          <w:p w14:paraId="74DDF0B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0B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0BF" w14:textId="77777777" w:rsidR="00584EC1" w:rsidRDefault="00871F8D">
            <w:pPr>
              <w:jc w:val="right"/>
              <w:textAlignment w:val="bottom"/>
            </w:pPr>
            <w:r>
              <w:rPr>
                <w:rFonts w:ascii="Arial" w:eastAsia="宋体" w:hAnsi="Arial" w:cs="Arial"/>
                <w:b/>
                <w:bCs/>
                <w:color w:val="000000"/>
                <w:sz w:val="15"/>
                <w:szCs w:val="15"/>
              </w:rPr>
              <w:t>(18)</w:t>
            </w:r>
          </w:p>
        </w:tc>
        <w:tc>
          <w:tcPr>
            <w:tcW w:w="0" w:type="auto"/>
            <w:shd w:val="clear" w:color="auto" w:fill="FFFFFF"/>
            <w:tcMar>
              <w:top w:w="40" w:type="dxa"/>
              <w:left w:w="0" w:type="dxa"/>
              <w:bottom w:w="40" w:type="dxa"/>
              <w:right w:w="20" w:type="dxa"/>
            </w:tcMar>
            <w:vAlign w:val="bottom"/>
          </w:tcPr>
          <w:p w14:paraId="74DDF0C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0C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0C2" w14:textId="77777777" w:rsidR="00584EC1" w:rsidRDefault="00871F8D">
            <w:pPr>
              <w:jc w:val="right"/>
              <w:textAlignment w:val="bottom"/>
            </w:pPr>
            <w:r>
              <w:rPr>
                <w:rFonts w:ascii="Arial" w:eastAsia="宋体" w:hAnsi="Arial" w:cs="Arial"/>
                <w:b/>
                <w:bCs/>
                <w:color w:val="000000"/>
                <w:sz w:val="15"/>
                <w:szCs w:val="15"/>
              </w:rPr>
              <w:t>(183)</w:t>
            </w:r>
          </w:p>
        </w:tc>
        <w:tc>
          <w:tcPr>
            <w:tcW w:w="0" w:type="auto"/>
            <w:shd w:val="clear" w:color="auto" w:fill="FFFFFF"/>
            <w:tcMar>
              <w:top w:w="40" w:type="dxa"/>
              <w:left w:w="0" w:type="dxa"/>
              <w:bottom w:w="40" w:type="dxa"/>
              <w:right w:w="20" w:type="dxa"/>
            </w:tcMar>
            <w:vAlign w:val="bottom"/>
          </w:tcPr>
          <w:p w14:paraId="74DDF0C3" w14:textId="77777777" w:rsidR="00584EC1" w:rsidRDefault="00584EC1">
            <w:pPr>
              <w:jc w:val="right"/>
              <w:rPr>
                <w:rFonts w:ascii="宋体"/>
              </w:rPr>
            </w:pPr>
          </w:p>
        </w:tc>
      </w:tr>
      <w:tr w:rsidR="00584EC1" w14:paraId="74DDF0CE" w14:textId="77777777">
        <w:tc>
          <w:tcPr>
            <w:tcW w:w="0" w:type="auto"/>
            <w:gridSpan w:val="3"/>
            <w:shd w:val="clear" w:color="auto" w:fill="CCEEFF"/>
            <w:tcMar>
              <w:top w:w="40" w:type="dxa"/>
              <w:left w:w="20" w:type="dxa"/>
              <w:bottom w:w="40" w:type="dxa"/>
              <w:right w:w="20" w:type="dxa"/>
            </w:tcMar>
            <w:vAlign w:val="bottom"/>
          </w:tcPr>
          <w:p w14:paraId="74DDF0C5" w14:textId="77777777" w:rsidR="00584EC1" w:rsidRDefault="00871F8D">
            <w:pPr>
              <w:textAlignment w:val="bottom"/>
            </w:pPr>
            <w:r>
              <w:rPr>
                <w:rFonts w:ascii="Arial" w:eastAsia="宋体" w:hAnsi="Arial" w:cs="Arial"/>
                <w:color w:val="000000"/>
                <w:sz w:val="15"/>
                <w:szCs w:val="15"/>
              </w:rPr>
              <w:t>Foreign currency translation</w:t>
            </w:r>
          </w:p>
        </w:tc>
        <w:tc>
          <w:tcPr>
            <w:tcW w:w="0" w:type="auto"/>
            <w:gridSpan w:val="2"/>
            <w:shd w:val="clear" w:color="auto" w:fill="CCEEFF"/>
            <w:tcMar>
              <w:top w:w="40" w:type="dxa"/>
              <w:left w:w="20" w:type="dxa"/>
              <w:bottom w:w="40" w:type="dxa"/>
              <w:right w:w="0" w:type="dxa"/>
            </w:tcMar>
            <w:vAlign w:val="bottom"/>
          </w:tcPr>
          <w:p w14:paraId="74DDF0C6" w14:textId="77777777" w:rsidR="00584EC1" w:rsidRDefault="00871F8D">
            <w:pPr>
              <w:jc w:val="right"/>
              <w:textAlignment w:val="bottom"/>
            </w:pPr>
            <w:r>
              <w:rPr>
                <w:rFonts w:ascii="Arial" w:eastAsia="宋体" w:hAnsi="Arial" w:cs="Arial"/>
                <w:b/>
                <w:bCs/>
                <w:color w:val="000000"/>
                <w:sz w:val="15"/>
                <w:szCs w:val="15"/>
              </w:rPr>
              <w:t>(20)</w:t>
            </w:r>
          </w:p>
        </w:tc>
        <w:tc>
          <w:tcPr>
            <w:tcW w:w="0" w:type="auto"/>
            <w:shd w:val="clear" w:color="auto" w:fill="CCEEFF"/>
            <w:tcMar>
              <w:top w:w="40" w:type="dxa"/>
              <w:left w:w="0" w:type="dxa"/>
              <w:bottom w:w="40" w:type="dxa"/>
              <w:right w:w="20" w:type="dxa"/>
            </w:tcMar>
            <w:vAlign w:val="bottom"/>
          </w:tcPr>
          <w:p w14:paraId="74DDF0C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0C8"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F0C9"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F0C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0C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F0CC" w14:textId="77777777" w:rsidR="00584EC1" w:rsidRDefault="00871F8D">
            <w:pPr>
              <w:jc w:val="right"/>
              <w:textAlignment w:val="bottom"/>
            </w:pPr>
            <w:r>
              <w:rPr>
                <w:rFonts w:ascii="Arial" w:eastAsia="宋体" w:hAnsi="Arial" w:cs="Arial"/>
                <w:b/>
                <w:bCs/>
                <w:color w:val="000000"/>
                <w:sz w:val="15"/>
                <w:szCs w:val="15"/>
              </w:rPr>
              <w:t>(20)</w:t>
            </w:r>
          </w:p>
        </w:tc>
        <w:tc>
          <w:tcPr>
            <w:tcW w:w="0" w:type="auto"/>
            <w:shd w:val="clear" w:color="auto" w:fill="CCEEFF"/>
            <w:tcMar>
              <w:top w:w="40" w:type="dxa"/>
              <w:left w:w="0" w:type="dxa"/>
              <w:bottom w:w="40" w:type="dxa"/>
              <w:right w:w="20" w:type="dxa"/>
            </w:tcMar>
            <w:vAlign w:val="bottom"/>
          </w:tcPr>
          <w:p w14:paraId="74DDF0CD" w14:textId="77777777" w:rsidR="00584EC1" w:rsidRDefault="00584EC1">
            <w:pPr>
              <w:jc w:val="right"/>
              <w:rPr>
                <w:rFonts w:ascii="宋体"/>
              </w:rPr>
            </w:pPr>
          </w:p>
        </w:tc>
      </w:tr>
      <w:tr w:rsidR="00584EC1" w14:paraId="74DDF0DB" w14:textId="77777777">
        <w:tc>
          <w:tcPr>
            <w:tcW w:w="0" w:type="auto"/>
            <w:gridSpan w:val="3"/>
            <w:shd w:val="clear" w:color="auto" w:fill="FFFFFF"/>
            <w:tcMar>
              <w:top w:w="40" w:type="dxa"/>
              <w:left w:w="20" w:type="dxa"/>
              <w:bottom w:w="40" w:type="dxa"/>
              <w:right w:w="20" w:type="dxa"/>
            </w:tcMar>
            <w:vAlign w:val="bottom"/>
          </w:tcPr>
          <w:p w14:paraId="74DDF0CF" w14:textId="77777777" w:rsidR="00584EC1" w:rsidRDefault="00871F8D">
            <w:pPr>
              <w:textAlignment w:val="bottom"/>
            </w:pPr>
            <w:r>
              <w:rPr>
                <w:rFonts w:ascii="Arial" w:eastAsia="宋体" w:hAnsi="Arial" w:cs="Arial"/>
                <w:b/>
                <w:bCs/>
                <w:color w:val="000000"/>
                <w:sz w:val="15"/>
                <w:szCs w:val="15"/>
              </w:rPr>
              <w:t>Ending balance September 30, 2021</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F0D0" w14:textId="77777777" w:rsidR="00584EC1" w:rsidRDefault="00871F8D">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F0D1" w14:textId="77777777" w:rsidR="00584EC1" w:rsidRDefault="00871F8D">
            <w:pPr>
              <w:jc w:val="right"/>
              <w:textAlignment w:val="bottom"/>
            </w:pPr>
            <w:r>
              <w:rPr>
                <w:rFonts w:ascii="Arial" w:eastAsia="宋体" w:hAnsi="Arial" w:cs="Arial"/>
                <w:b/>
                <w:bCs/>
                <w:color w:val="000000"/>
                <w:sz w:val="15"/>
                <w:szCs w:val="15"/>
              </w:rPr>
              <w:t>1,811</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F0D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0D3"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F0D4" w14:textId="77777777" w:rsidR="00584EC1" w:rsidRDefault="00871F8D">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F0D5" w14:textId="77777777" w:rsidR="00584EC1" w:rsidRDefault="00871F8D">
            <w:pPr>
              <w:jc w:val="right"/>
              <w:textAlignment w:val="bottom"/>
            </w:pPr>
            <w:r>
              <w:rPr>
                <w:rFonts w:ascii="Arial" w:eastAsia="宋体" w:hAnsi="Arial" w:cs="Arial"/>
                <w:b/>
                <w:bCs/>
                <w:color w:val="000000"/>
                <w:sz w:val="15"/>
                <w:szCs w:val="15"/>
              </w:rPr>
              <w:t>76</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F0D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0D7"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F0D8" w14:textId="77777777" w:rsidR="00584EC1" w:rsidRDefault="00871F8D">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F0D9" w14:textId="77777777" w:rsidR="00584EC1" w:rsidRDefault="00871F8D">
            <w:pPr>
              <w:jc w:val="right"/>
              <w:textAlignment w:val="bottom"/>
            </w:pPr>
            <w:r>
              <w:rPr>
                <w:rFonts w:ascii="Arial" w:eastAsia="宋体" w:hAnsi="Arial" w:cs="Arial"/>
                <w:b/>
                <w:bCs/>
                <w:color w:val="000000"/>
                <w:sz w:val="15"/>
                <w:szCs w:val="15"/>
              </w:rPr>
              <w:t>1,887</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F0DA" w14:textId="77777777" w:rsidR="00584EC1" w:rsidRDefault="00584EC1">
            <w:pPr>
              <w:jc w:val="right"/>
              <w:rPr>
                <w:rFonts w:ascii="宋体"/>
              </w:rPr>
            </w:pPr>
          </w:p>
        </w:tc>
      </w:tr>
    </w:tbl>
    <w:p w14:paraId="74DDF0DC" w14:textId="77777777" w:rsidR="00584EC1" w:rsidRDefault="00584E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4834"/>
        <w:gridCol w:w="36"/>
        <w:gridCol w:w="70"/>
        <w:gridCol w:w="3291"/>
        <w:gridCol w:w="36"/>
      </w:tblGrid>
      <w:tr w:rsidR="00584EC1" w14:paraId="74DDF0E3" w14:textId="77777777">
        <w:tc>
          <w:tcPr>
            <w:tcW w:w="50" w:type="pct"/>
            <w:shd w:val="clear" w:color="auto" w:fill="auto"/>
            <w:vAlign w:val="bottom"/>
          </w:tcPr>
          <w:p w14:paraId="74DDF0DD" w14:textId="77777777" w:rsidR="00584EC1" w:rsidRDefault="00584EC1">
            <w:pPr>
              <w:rPr>
                <w:rFonts w:ascii="宋体"/>
              </w:rPr>
            </w:pPr>
          </w:p>
        </w:tc>
        <w:tc>
          <w:tcPr>
            <w:tcW w:w="2907" w:type="pct"/>
            <w:shd w:val="clear" w:color="auto" w:fill="auto"/>
            <w:vAlign w:val="bottom"/>
          </w:tcPr>
          <w:p w14:paraId="74DDF0DE" w14:textId="77777777" w:rsidR="00584EC1" w:rsidRDefault="00584EC1">
            <w:pPr>
              <w:rPr>
                <w:rFonts w:ascii="宋体"/>
              </w:rPr>
            </w:pPr>
          </w:p>
        </w:tc>
        <w:tc>
          <w:tcPr>
            <w:tcW w:w="5" w:type="pct"/>
            <w:shd w:val="clear" w:color="auto" w:fill="auto"/>
            <w:vAlign w:val="bottom"/>
          </w:tcPr>
          <w:p w14:paraId="74DDF0DF" w14:textId="77777777" w:rsidR="00584EC1" w:rsidRDefault="00584EC1">
            <w:pPr>
              <w:rPr>
                <w:rFonts w:ascii="宋体"/>
              </w:rPr>
            </w:pPr>
          </w:p>
        </w:tc>
        <w:tc>
          <w:tcPr>
            <w:tcW w:w="50" w:type="pct"/>
            <w:shd w:val="clear" w:color="auto" w:fill="auto"/>
            <w:vAlign w:val="bottom"/>
          </w:tcPr>
          <w:p w14:paraId="74DDF0E0" w14:textId="77777777" w:rsidR="00584EC1" w:rsidRDefault="00584EC1">
            <w:pPr>
              <w:rPr>
                <w:rFonts w:ascii="宋体"/>
              </w:rPr>
            </w:pPr>
          </w:p>
        </w:tc>
        <w:tc>
          <w:tcPr>
            <w:tcW w:w="1982" w:type="pct"/>
            <w:shd w:val="clear" w:color="auto" w:fill="auto"/>
            <w:vAlign w:val="bottom"/>
          </w:tcPr>
          <w:p w14:paraId="74DDF0E1" w14:textId="77777777" w:rsidR="00584EC1" w:rsidRDefault="00584EC1">
            <w:pPr>
              <w:rPr>
                <w:rFonts w:ascii="宋体"/>
              </w:rPr>
            </w:pPr>
          </w:p>
        </w:tc>
        <w:tc>
          <w:tcPr>
            <w:tcW w:w="5" w:type="pct"/>
            <w:shd w:val="clear" w:color="auto" w:fill="auto"/>
            <w:vAlign w:val="bottom"/>
          </w:tcPr>
          <w:p w14:paraId="74DDF0E2" w14:textId="77777777" w:rsidR="00584EC1" w:rsidRDefault="00584EC1">
            <w:pPr>
              <w:rPr>
                <w:rFonts w:ascii="宋体"/>
              </w:rPr>
            </w:pPr>
          </w:p>
        </w:tc>
      </w:tr>
      <w:tr w:rsidR="00584EC1" w14:paraId="74DDF0E6"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4DDF0E4"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0E5" w14:textId="77777777" w:rsidR="00584EC1" w:rsidRDefault="00584EC1">
            <w:pPr>
              <w:rPr>
                <w:rFonts w:ascii="宋体"/>
              </w:rPr>
            </w:pPr>
          </w:p>
        </w:tc>
      </w:tr>
    </w:tbl>
    <w:p w14:paraId="74DDF0E7" w14:textId="77777777" w:rsidR="00584EC1" w:rsidRDefault="00871F8D">
      <w:pPr>
        <w:textAlignment w:val="top"/>
      </w:pPr>
      <w:r>
        <w:rPr>
          <w:rFonts w:ascii="Arial" w:eastAsia="宋体" w:hAnsi="Arial" w:cs="Arial"/>
          <w:color w:val="000000"/>
          <w:sz w:val="8"/>
          <w:szCs w:val="8"/>
        </w:rPr>
        <w:t>(1)</w:t>
      </w:r>
      <w:r>
        <w:rPr>
          <w:rFonts w:ascii="Arial" w:eastAsia="宋体" w:hAnsi="Arial" w:cs="Arial"/>
          <w:color w:val="000000"/>
          <w:sz w:val="13"/>
          <w:szCs w:val="13"/>
        </w:rPr>
        <w:t xml:space="preserve"> Investment Servicing includes our acquisition of CRD.</w:t>
      </w:r>
    </w:p>
    <w:p w14:paraId="74DDF0E8" w14:textId="77777777" w:rsidR="00584EC1" w:rsidRDefault="00871F8D">
      <w:pPr>
        <w:spacing w:before="90"/>
        <w:jc w:val="both"/>
        <w:textAlignment w:val="top"/>
      </w:pPr>
      <w:r>
        <w:rPr>
          <w:rFonts w:ascii="Arial" w:eastAsia="宋体" w:hAnsi="Arial" w:cs="Arial"/>
          <w:color w:val="000000"/>
          <w:sz w:val="8"/>
          <w:szCs w:val="8"/>
        </w:rPr>
        <w:t xml:space="preserve">(2) </w:t>
      </w:r>
      <w:r>
        <w:rPr>
          <w:rFonts w:ascii="Arial" w:eastAsia="宋体" w:hAnsi="Arial" w:cs="Arial"/>
          <w:color w:val="000000"/>
          <w:sz w:val="13"/>
          <w:szCs w:val="13"/>
        </w:rPr>
        <w:t xml:space="preserve">Investment Servicing includes our acquisitions of the depositary bank and fund administrator activities of Fideuram Bank </w:t>
      </w:r>
      <w:r>
        <w:rPr>
          <w:rFonts w:ascii="Arial" w:eastAsia="宋体" w:hAnsi="Arial" w:cs="Arial"/>
          <w:color w:val="000000"/>
          <w:sz w:val="13"/>
          <w:szCs w:val="13"/>
        </w:rPr>
        <w:t>Luxembourg, a subsidiary of Intesa Sanpaolo, in the first quarter of 2021, with a total purchase price of approximately EUR 220 million or approximately $258 million, and our acquisition of Mercatus, Inc. in the third quarter of 2021, with a total purchase</w:t>
      </w:r>
      <w:r>
        <w:rPr>
          <w:rFonts w:ascii="Arial" w:eastAsia="宋体" w:hAnsi="Arial" w:cs="Arial"/>
          <w:color w:val="000000"/>
          <w:sz w:val="13"/>
          <w:szCs w:val="13"/>
        </w:rPr>
        <w:t xml:space="preserve"> price of approximately $88 million. We accounted for these acquisitions as business combinations and, in accordance with ASC Topic 805, Business Combinations, we have recorded assets acquired and liabilities assumed at their respective fair values as of t</w:t>
      </w:r>
      <w:r>
        <w:rPr>
          <w:rFonts w:ascii="Arial" w:eastAsia="宋体" w:hAnsi="Arial" w:cs="Arial"/>
          <w:color w:val="000000"/>
          <w:sz w:val="13"/>
          <w:szCs w:val="13"/>
        </w:rPr>
        <w:t>he acquisition date. The purchase price accounting reflected is provisional and is based upon estimates and assumptions that are subject to change within the measurement period (up to one year from the acquisition date pursuant to ASC 805). The measurement</w:t>
      </w:r>
      <w:r>
        <w:rPr>
          <w:rFonts w:ascii="Arial" w:eastAsia="宋体" w:hAnsi="Arial" w:cs="Arial"/>
          <w:color w:val="000000"/>
          <w:sz w:val="13"/>
          <w:szCs w:val="13"/>
        </w:rPr>
        <w:t xml:space="preserve"> period remains open for both transactions pending the completion of valuation procedures related to the acquired assets and assumed liabilities, primarily identifiable intangible assets.     </w:t>
      </w:r>
    </w:p>
    <w:p w14:paraId="74DDF0E9" w14:textId="77777777" w:rsidR="00584EC1" w:rsidRDefault="00871F8D">
      <w:pPr>
        <w:spacing w:before="60"/>
        <w:ind w:firstLine="450"/>
        <w:jc w:val="both"/>
        <w:textAlignment w:val="top"/>
      </w:pPr>
      <w:r>
        <w:rPr>
          <w:rFonts w:ascii="Arial" w:eastAsia="宋体" w:hAnsi="Arial" w:cs="Arial"/>
          <w:color w:val="000000"/>
          <w:sz w:val="20"/>
          <w:szCs w:val="20"/>
        </w:rPr>
        <w:t xml:space="preserve">The following table presents the gross carrying amount, </w:t>
      </w:r>
      <w:r>
        <w:rPr>
          <w:rFonts w:ascii="Arial" w:eastAsia="宋体" w:hAnsi="Arial" w:cs="Arial"/>
          <w:color w:val="000000"/>
          <w:sz w:val="20"/>
          <w:szCs w:val="20"/>
        </w:rPr>
        <w:t>accumulated amortization and net carrying amount of other intangible assets by type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2"/>
        <w:gridCol w:w="2673"/>
        <w:gridCol w:w="37"/>
        <w:gridCol w:w="105"/>
        <w:gridCol w:w="1546"/>
        <w:gridCol w:w="36"/>
        <w:gridCol w:w="36"/>
        <w:gridCol w:w="72"/>
        <w:gridCol w:w="36"/>
        <w:gridCol w:w="105"/>
        <w:gridCol w:w="1781"/>
        <w:gridCol w:w="36"/>
        <w:gridCol w:w="36"/>
        <w:gridCol w:w="72"/>
        <w:gridCol w:w="36"/>
        <w:gridCol w:w="105"/>
        <w:gridCol w:w="1546"/>
        <w:gridCol w:w="36"/>
      </w:tblGrid>
      <w:tr w:rsidR="00584EC1" w14:paraId="74DDF0FC" w14:textId="77777777">
        <w:tc>
          <w:tcPr>
            <w:tcW w:w="50" w:type="pct"/>
            <w:shd w:val="clear" w:color="auto" w:fill="auto"/>
            <w:vAlign w:val="bottom"/>
          </w:tcPr>
          <w:p w14:paraId="74DDF0EA" w14:textId="77777777" w:rsidR="00584EC1" w:rsidRDefault="00584EC1">
            <w:pPr>
              <w:rPr>
                <w:rFonts w:ascii="宋体"/>
              </w:rPr>
            </w:pPr>
          </w:p>
        </w:tc>
        <w:tc>
          <w:tcPr>
            <w:tcW w:w="1627" w:type="pct"/>
            <w:shd w:val="clear" w:color="auto" w:fill="auto"/>
            <w:vAlign w:val="bottom"/>
          </w:tcPr>
          <w:p w14:paraId="74DDF0EB" w14:textId="77777777" w:rsidR="00584EC1" w:rsidRDefault="00584EC1">
            <w:pPr>
              <w:rPr>
                <w:rFonts w:ascii="宋体"/>
              </w:rPr>
            </w:pPr>
          </w:p>
        </w:tc>
        <w:tc>
          <w:tcPr>
            <w:tcW w:w="5" w:type="pct"/>
            <w:shd w:val="clear" w:color="auto" w:fill="auto"/>
            <w:vAlign w:val="bottom"/>
          </w:tcPr>
          <w:p w14:paraId="74DDF0EC" w14:textId="77777777" w:rsidR="00584EC1" w:rsidRDefault="00584EC1">
            <w:pPr>
              <w:rPr>
                <w:rFonts w:ascii="宋体"/>
              </w:rPr>
            </w:pPr>
          </w:p>
        </w:tc>
        <w:tc>
          <w:tcPr>
            <w:tcW w:w="50" w:type="pct"/>
            <w:shd w:val="clear" w:color="auto" w:fill="auto"/>
            <w:vAlign w:val="bottom"/>
          </w:tcPr>
          <w:p w14:paraId="74DDF0ED" w14:textId="77777777" w:rsidR="00584EC1" w:rsidRDefault="00584EC1">
            <w:pPr>
              <w:rPr>
                <w:rFonts w:ascii="宋体"/>
              </w:rPr>
            </w:pPr>
          </w:p>
        </w:tc>
        <w:tc>
          <w:tcPr>
            <w:tcW w:w="951" w:type="pct"/>
            <w:shd w:val="clear" w:color="auto" w:fill="auto"/>
            <w:vAlign w:val="bottom"/>
          </w:tcPr>
          <w:p w14:paraId="74DDF0EE" w14:textId="77777777" w:rsidR="00584EC1" w:rsidRDefault="00584EC1">
            <w:pPr>
              <w:rPr>
                <w:rFonts w:ascii="宋体"/>
              </w:rPr>
            </w:pPr>
          </w:p>
        </w:tc>
        <w:tc>
          <w:tcPr>
            <w:tcW w:w="5" w:type="pct"/>
            <w:shd w:val="clear" w:color="auto" w:fill="auto"/>
            <w:vAlign w:val="bottom"/>
          </w:tcPr>
          <w:p w14:paraId="74DDF0EF" w14:textId="77777777" w:rsidR="00584EC1" w:rsidRDefault="00584EC1">
            <w:pPr>
              <w:rPr>
                <w:rFonts w:ascii="宋体"/>
              </w:rPr>
            </w:pPr>
          </w:p>
        </w:tc>
        <w:tc>
          <w:tcPr>
            <w:tcW w:w="5" w:type="pct"/>
            <w:shd w:val="clear" w:color="auto" w:fill="auto"/>
            <w:vAlign w:val="bottom"/>
          </w:tcPr>
          <w:p w14:paraId="74DDF0F0" w14:textId="77777777" w:rsidR="00584EC1" w:rsidRDefault="00584EC1">
            <w:pPr>
              <w:rPr>
                <w:rFonts w:ascii="宋体"/>
              </w:rPr>
            </w:pPr>
          </w:p>
        </w:tc>
        <w:tc>
          <w:tcPr>
            <w:tcW w:w="68" w:type="pct"/>
            <w:shd w:val="clear" w:color="auto" w:fill="auto"/>
            <w:vAlign w:val="bottom"/>
          </w:tcPr>
          <w:p w14:paraId="74DDF0F1" w14:textId="77777777" w:rsidR="00584EC1" w:rsidRDefault="00584EC1">
            <w:pPr>
              <w:rPr>
                <w:rFonts w:ascii="宋体"/>
              </w:rPr>
            </w:pPr>
          </w:p>
        </w:tc>
        <w:tc>
          <w:tcPr>
            <w:tcW w:w="5" w:type="pct"/>
            <w:shd w:val="clear" w:color="auto" w:fill="auto"/>
            <w:vAlign w:val="bottom"/>
          </w:tcPr>
          <w:p w14:paraId="74DDF0F2" w14:textId="77777777" w:rsidR="00584EC1" w:rsidRDefault="00584EC1">
            <w:pPr>
              <w:rPr>
                <w:rFonts w:ascii="宋体"/>
              </w:rPr>
            </w:pPr>
          </w:p>
        </w:tc>
        <w:tc>
          <w:tcPr>
            <w:tcW w:w="50" w:type="pct"/>
            <w:shd w:val="clear" w:color="auto" w:fill="auto"/>
            <w:vAlign w:val="bottom"/>
          </w:tcPr>
          <w:p w14:paraId="74DDF0F3" w14:textId="77777777" w:rsidR="00584EC1" w:rsidRDefault="00584EC1">
            <w:pPr>
              <w:rPr>
                <w:rFonts w:ascii="宋体"/>
              </w:rPr>
            </w:pPr>
          </w:p>
        </w:tc>
        <w:tc>
          <w:tcPr>
            <w:tcW w:w="1092" w:type="pct"/>
            <w:shd w:val="clear" w:color="auto" w:fill="auto"/>
            <w:vAlign w:val="bottom"/>
          </w:tcPr>
          <w:p w14:paraId="74DDF0F4" w14:textId="77777777" w:rsidR="00584EC1" w:rsidRDefault="00584EC1">
            <w:pPr>
              <w:rPr>
                <w:rFonts w:ascii="宋体"/>
              </w:rPr>
            </w:pPr>
          </w:p>
        </w:tc>
        <w:tc>
          <w:tcPr>
            <w:tcW w:w="5" w:type="pct"/>
            <w:shd w:val="clear" w:color="auto" w:fill="auto"/>
            <w:vAlign w:val="bottom"/>
          </w:tcPr>
          <w:p w14:paraId="74DDF0F5" w14:textId="77777777" w:rsidR="00584EC1" w:rsidRDefault="00584EC1">
            <w:pPr>
              <w:rPr>
                <w:rFonts w:ascii="宋体"/>
              </w:rPr>
            </w:pPr>
          </w:p>
        </w:tc>
        <w:tc>
          <w:tcPr>
            <w:tcW w:w="5" w:type="pct"/>
            <w:shd w:val="clear" w:color="auto" w:fill="auto"/>
            <w:vAlign w:val="bottom"/>
          </w:tcPr>
          <w:p w14:paraId="74DDF0F6" w14:textId="77777777" w:rsidR="00584EC1" w:rsidRDefault="00584EC1">
            <w:pPr>
              <w:rPr>
                <w:rFonts w:ascii="宋体"/>
              </w:rPr>
            </w:pPr>
          </w:p>
        </w:tc>
        <w:tc>
          <w:tcPr>
            <w:tcW w:w="68" w:type="pct"/>
            <w:shd w:val="clear" w:color="auto" w:fill="auto"/>
            <w:vAlign w:val="bottom"/>
          </w:tcPr>
          <w:p w14:paraId="74DDF0F7" w14:textId="77777777" w:rsidR="00584EC1" w:rsidRDefault="00584EC1">
            <w:pPr>
              <w:rPr>
                <w:rFonts w:ascii="宋体"/>
              </w:rPr>
            </w:pPr>
          </w:p>
        </w:tc>
        <w:tc>
          <w:tcPr>
            <w:tcW w:w="5" w:type="pct"/>
            <w:shd w:val="clear" w:color="auto" w:fill="auto"/>
            <w:vAlign w:val="bottom"/>
          </w:tcPr>
          <w:p w14:paraId="74DDF0F8" w14:textId="77777777" w:rsidR="00584EC1" w:rsidRDefault="00584EC1">
            <w:pPr>
              <w:rPr>
                <w:rFonts w:ascii="宋体"/>
              </w:rPr>
            </w:pPr>
          </w:p>
        </w:tc>
        <w:tc>
          <w:tcPr>
            <w:tcW w:w="50" w:type="pct"/>
            <w:shd w:val="clear" w:color="auto" w:fill="auto"/>
            <w:vAlign w:val="bottom"/>
          </w:tcPr>
          <w:p w14:paraId="74DDF0F9" w14:textId="77777777" w:rsidR="00584EC1" w:rsidRDefault="00584EC1">
            <w:pPr>
              <w:rPr>
                <w:rFonts w:ascii="宋体"/>
              </w:rPr>
            </w:pPr>
          </w:p>
        </w:tc>
        <w:tc>
          <w:tcPr>
            <w:tcW w:w="951" w:type="pct"/>
            <w:shd w:val="clear" w:color="auto" w:fill="auto"/>
            <w:vAlign w:val="bottom"/>
          </w:tcPr>
          <w:p w14:paraId="74DDF0FA" w14:textId="77777777" w:rsidR="00584EC1" w:rsidRDefault="00584EC1">
            <w:pPr>
              <w:rPr>
                <w:rFonts w:ascii="宋体"/>
              </w:rPr>
            </w:pPr>
          </w:p>
        </w:tc>
        <w:tc>
          <w:tcPr>
            <w:tcW w:w="5" w:type="pct"/>
            <w:shd w:val="clear" w:color="auto" w:fill="auto"/>
            <w:vAlign w:val="bottom"/>
          </w:tcPr>
          <w:p w14:paraId="74DDF0FB" w14:textId="77777777" w:rsidR="00584EC1" w:rsidRDefault="00584EC1">
            <w:pPr>
              <w:rPr>
                <w:rFonts w:ascii="宋体"/>
              </w:rPr>
            </w:pPr>
          </w:p>
        </w:tc>
      </w:tr>
      <w:tr w:rsidR="00584EC1" w14:paraId="74DDF103" w14:textId="77777777">
        <w:trPr>
          <w:trHeight w:val="280"/>
        </w:trPr>
        <w:tc>
          <w:tcPr>
            <w:tcW w:w="0" w:type="auto"/>
            <w:gridSpan w:val="3"/>
            <w:shd w:val="clear" w:color="auto" w:fill="auto"/>
            <w:tcMar>
              <w:top w:w="40" w:type="dxa"/>
              <w:left w:w="20" w:type="dxa"/>
              <w:bottom w:w="40" w:type="dxa"/>
              <w:right w:w="20" w:type="dxa"/>
            </w:tcMar>
            <w:vAlign w:val="bottom"/>
          </w:tcPr>
          <w:p w14:paraId="74DDF0FD" w14:textId="77777777" w:rsidR="00584EC1" w:rsidRDefault="00871F8D">
            <w:pPr>
              <w:textAlignment w:val="bottom"/>
            </w:pPr>
            <w:r>
              <w:rPr>
                <w:rFonts w:ascii="Arial" w:eastAsia="宋体" w:hAnsi="Arial" w:cs="Arial"/>
                <w:b/>
                <w:bCs/>
                <w:color w:val="000000"/>
                <w:sz w:val="15"/>
                <w:szCs w:val="15"/>
              </w:rPr>
              <w:t>September 30, 2021</w:t>
            </w:r>
          </w:p>
        </w:tc>
        <w:tc>
          <w:tcPr>
            <w:tcW w:w="0" w:type="auto"/>
            <w:gridSpan w:val="3"/>
            <w:vMerge w:val="restart"/>
            <w:shd w:val="clear" w:color="auto" w:fill="auto"/>
            <w:tcMar>
              <w:top w:w="40" w:type="dxa"/>
              <w:left w:w="20" w:type="dxa"/>
              <w:bottom w:w="40" w:type="dxa"/>
              <w:right w:w="20" w:type="dxa"/>
            </w:tcMar>
            <w:vAlign w:val="bottom"/>
          </w:tcPr>
          <w:p w14:paraId="74DDF0FE" w14:textId="77777777" w:rsidR="00584EC1" w:rsidRDefault="00871F8D">
            <w:pPr>
              <w:jc w:val="center"/>
              <w:textAlignment w:val="bottom"/>
            </w:pPr>
            <w:r>
              <w:rPr>
                <w:rFonts w:ascii="Arial" w:eastAsia="宋体" w:hAnsi="Arial" w:cs="Arial"/>
                <w:b/>
                <w:bCs/>
                <w:color w:val="000000"/>
                <w:sz w:val="15"/>
                <w:szCs w:val="15"/>
              </w:rPr>
              <w:t>Gross</w:t>
            </w:r>
            <w:r>
              <w:rPr>
                <w:rFonts w:ascii="Arial" w:eastAsia="宋体" w:hAnsi="Arial" w:cs="Arial"/>
                <w:b/>
                <w:bCs/>
                <w:color w:val="000000"/>
                <w:sz w:val="15"/>
                <w:szCs w:val="15"/>
              </w:rPr>
              <w:br/>
              <w:t>Carrying</w:t>
            </w:r>
            <w:r>
              <w:rPr>
                <w:rFonts w:ascii="Arial" w:eastAsia="宋体" w:hAnsi="Arial" w:cs="Arial"/>
                <w:b/>
                <w:bCs/>
                <w:color w:val="000000"/>
                <w:sz w:val="15"/>
                <w:szCs w:val="15"/>
              </w:rPr>
              <w:br/>
              <w:t>Amount</w:t>
            </w:r>
          </w:p>
        </w:tc>
        <w:tc>
          <w:tcPr>
            <w:tcW w:w="0" w:type="auto"/>
            <w:gridSpan w:val="3"/>
            <w:shd w:val="clear" w:color="auto" w:fill="auto"/>
            <w:tcMar>
              <w:top w:w="0" w:type="dxa"/>
              <w:left w:w="20" w:type="dxa"/>
              <w:bottom w:w="0" w:type="dxa"/>
              <w:right w:w="20" w:type="dxa"/>
            </w:tcMar>
            <w:vAlign w:val="bottom"/>
          </w:tcPr>
          <w:p w14:paraId="74DDF0FF" w14:textId="77777777" w:rsidR="00584EC1" w:rsidRDefault="00584EC1">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74DDF100" w14:textId="77777777" w:rsidR="00584EC1" w:rsidRDefault="00871F8D">
            <w:pPr>
              <w:jc w:val="center"/>
              <w:textAlignment w:val="bottom"/>
            </w:pPr>
            <w:r>
              <w:rPr>
                <w:rFonts w:ascii="Arial" w:eastAsia="宋体" w:hAnsi="Arial" w:cs="Arial"/>
                <w:b/>
                <w:bCs/>
                <w:color w:val="000000"/>
                <w:sz w:val="15"/>
                <w:szCs w:val="15"/>
              </w:rPr>
              <w:t>Accumulated</w:t>
            </w:r>
            <w:r>
              <w:rPr>
                <w:rFonts w:ascii="Arial" w:eastAsia="宋体" w:hAnsi="Arial" w:cs="Arial"/>
                <w:b/>
                <w:bCs/>
                <w:color w:val="000000"/>
                <w:sz w:val="15"/>
                <w:szCs w:val="15"/>
              </w:rPr>
              <w:br/>
              <w:t>Amortization</w:t>
            </w:r>
          </w:p>
        </w:tc>
        <w:tc>
          <w:tcPr>
            <w:tcW w:w="0" w:type="auto"/>
            <w:gridSpan w:val="3"/>
            <w:shd w:val="clear" w:color="auto" w:fill="auto"/>
            <w:tcMar>
              <w:top w:w="0" w:type="dxa"/>
              <w:left w:w="20" w:type="dxa"/>
              <w:bottom w:w="0" w:type="dxa"/>
              <w:right w:w="20" w:type="dxa"/>
            </w:tcMar>
            <w:vAlign w:val="bottom"/>
          </w:tcPr>
          <w:p w14:paraId="74DDF101" w14:textId="77777777" w:rsidR="00584EC1" w:rsidRDefault="00584EC1">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74DDF102" w14:textId="77777777" w:rsidR="00584EC1" w:rsidRDefault="00871F8D">
            <w:pPr>
              <w:jc w:val="center"/>
              <w:textAlignment w:val="bottom"/>
            </w:pPr>
            <w:r>
              <w:rPr>
                <w:rFonts w:ascii="Arial" w:eastAsia="宋体" w:hAnsi="Arial" w:cs="Arial"/>
                <w:b/>
                <w:bCs/>
                <w:color w:val="000000"/>
                <w:sz w:val="15"/>
                <w:szCs w:val="15"/>
              </w:rPr>
              <w:t>Net</w:t>
            </w:r>
            <w:r>
              <w:rPr>
                <w:rFonts w:ascii="Arial" w:eastAsia="宋体" w:hAnsi="Arial" w:cs="Arial"/>
                <w:b/>
                <w:bCs/>
                <w:color w:val="000000"/>
                <w:sz w:val="15"/>
                <w:szCs w:val="15"/>
              </w:rPr>
              <w:br/>
              <w:t>Carrying</w:t>
            </w:r>
            <w:r>
              <w:rPr>
                <w:rFonts w:ascii="Arial" w:eastAsia="宋体" w:hAnsi="Arial" w:cs="Arial"/>
                <w:b/>
                <w:bCs/>
                <w:color w:val="000000"/>
                <w:sz w:val="15"/>
                <w:szCs w:val="15"/>
              </w:rPr>
              <w:br/>
              <w:t>Amount</w:t>
            </w:r>
          </w:p>
        </w:tc>
      </w:tr>
      <w:tr w:rsidR="00584EC1" w14:paraId="74DDF10A" w14:textId="77777777">
        <w:trPr>
          <w:trHeight w:val="280"/>
        </w:trPr>
        <w:tc>
          <w:tcPr>
            <w:tcW w:w="0" w:type="auto"/>
            <w:gridSpan w:val="3"/>
            <w:shd w:val="clear" w:color="auto" w:fill="auto"/>
            <w:tcMar>
              <w:top w:w="40" w:type="dxa"/>
              <w:left w:w="20" w:type="dxa"/>
              <w:bottom w:w="40" w:type="dxa"/>
              <w:right w:w="20" w:type="dxa"/>
            </w:tcMar>
            <w:vAlign w:val="bottom"/>
          </w:tcPr>
          <w:p w14:paraId="74DDF104" w14:textId="77777777" w:rsidR="00584EC1" w:rsidRDefault="00871F8D">
            <w:pPr>
              <w:textAlignment w:val="bottom"/>
            </w:pPr>
            <w:r>
              <w:rPr>
                <w:rFonts w:ascii="Arial" w:eastAsia="宋体" w:hAnsi="Arial" w:cs="Arial"/>
                <w:b/>
                <w:bCs/>
                <w:color w:val="000000"/>
                <w:sz w:val="15"/>
                <w:szCs w:val="15"/>
              </w:rPr>
              <w:t>(In millions)</w:t>
            </w:r>
          </w:p>
        </w:tc>
        <w:tc>
          <w:tcPr>
            <w:tcW w:w="0" w:type="auto"/>
            <w:gridSpan w:val="3"/>
            <w:vMerge/>
            <w:shd w:val="clear" w:color="auto" w:fill="auto"/>
            <w:tcMar>
              <w:top w:w="40" w:type="dxa"/>
              <w:left w:w="20" w:type="dxa"/>
              <w:bottom w:w="40" w:type="dxa"/>
              <w:right w:w="20" w:type="dxa"/>
            </w:tcMar>
            <w:vAlign w:val="bottom"/>
          </w:tcPr>
          <w:p w14:paraId="74DDF10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106" w14:textId="77777777" w:rsidR="00584EC1" w:rsidRDefault="00584EC1">
            <w:pPr>
              <w:rPr>
                <w:rFonts w:ascii="宋体"/>
              </w:rPr>
            </w:pPr>
          </w:p>
        </w:tc>
        <w:tc>
          <w:tcPr>
            <w:tcW w:w="0" w:type="auto"/>
            <w:gridSpan w:val="3"/>
            <w:vMerge/>
            <w:shd w:val="clear" w:color="auto" w:fill="auto"/>
            <w:tcMar>
              <w:top w:w="40" w:type="dxa"/>
              <w:left w:w="20" w:type="dxa"/>
              <w:bottom w:w="40" w:type="dxa"/>
              <w:right w:w="20" w:type="dxa"/>
            </w:tcMar>
            <w:vAlign w:val="bottom"/>
          </w:tcPr>
          <w:p w14:paraId="74DDF107"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108" w14:textId="77777777" w:rsidR="00584EC1" w:rsidRDefault="00584EC1">
            <w:pPr>
              <w:rPr>
                <w:rFonts w:ascii="宋体"/>
              </w:rPr>
            </w:pPr>
          </w:p>
        </w:tc>
        <w:tc>
          <w:tcPr>
            <w:tcW w:w="0" w:type="auto"/>
            <w:gridSpan w:val="3"/>
            <w:vMerge/>
            <w:shd w:val="clear" w:color="auto" w:fill="auto"/>
            <w:tcMar>
              <w:top w:w="40" w:type="dxa"/>
              <w:left w:w="20" w:type="dxa"/>
              <w:bottom w:w="40" w:type="dxa"/>
              <w:right w:w="20" w:type="dxa"/>
            </w:tcMar>
            <w:vAlign w:val="bottom"/>
          </w:tcPr>
          <w:p w14:paraId="74DDF109" w14:textId="77777777" w:rsidR="00584EC1" w:rsidRDefault="00584EC1">
            <w:pPr>
              <w:rPr>
                <w:rFonts w:ascii="宋体"/>
              </w:rPr>
            </w:pPr>
          </w:p>
        </w:tc>
      </w:tr>
      <w:tr w:rsidR="00584EC1" w14:paraId="74DDF111" w14:textId="77777777">
        <w:tc>
          <w:tcPr>
            <w:tcW w:w="0" w:type="auto"/>
            <w:gridSpan w:val="3"/>
            <w:shd w:val="clear" w:color="auto" w:fill="FFFFFF"/>
            <w:tcMar>
              <w:top w:w="40" w:type="dxa"/>
              <w:left w:w="20" w:type="dxa"/>
              <w:bottom w:w="40" w:type="dxa"/>
              <w:right w:w="20" w:type="dxa"/>
            </w:tcMar>
            <w:vAlign w:val="bottom"/>
          </w:tcPr>
          <w:p w14:paraId="74DDF10B" w14:textId="77777777" w:rsidR="00584EC1" w:rsidRDefault="00871F8D">
            <w:pPr>
              <w:textAlignment w:val="bottom"/>
            </w:pPr>
            <w:r>
              <w:rPr>
                <w:rFonts w:ascii="Arial" w:eastAsia="宋体" w:hAnsi="Arial" w:cs="Arial"/>
                <w:b/>
                <w:bCs/>
                <w:color w:val="000000"/>
                <w:sz w:val="15"/>
                <w:szCs w:val="15"/>
              </w:rPr>
              <w:t xml:space="preserve">Other </w:t>
            </w:r>
            <w:r>
              <w:rPr>
                <w:rFonts w:ascii="Arial" w:eastAsia="宋体" w:hAnsi="Arial" w:cs="Arial"/>
                <w:b/>
                <w:bCs/>
                <w:color w:val="000000"/>
                <w:sz w:val="15"/>
                <w:szCs w:val="15"/>
              </w:rPr>
              <w:t>intangible assets: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10C"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10D"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10E"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10F"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110" w14:textId="77777777" w:rsidR="00584EC1" w:rsidRDefault="00584EC1">
            <w:pPr>
              <w:rPr>
                <w:rFonts w:ascii="宋体"/>
              </w:rPr>
            </w:pPr>
          </w:p>
        </w:tc>
      </w:tr>
      <w:tr w:rsidR="00584EC1" w14:paraId="74DDF11E" w14:textId="77777777">
        <w:tc>
          <w:tcPr>
            <w:tcW w:w="0" w:type="auto"/>
            <w:gridSpan w:val="3"/>
            <w:shd w:val="clear" w:color="auto" w:fill="CCEEFF"/>
            <w:tcMar>
              <w:top w:w="40" w:type="dxa"/>
              <w:left w:w="20" w:type="dxa"/>
              <w:bottom w:w="40" w:type="dxa"/>
              <w:right w:w="20" w:type="dxa"/>
            </w:tcMar>
            <w:vAlign w:val="bottom"/>
          </w:tcPr>
          <w:p w14:paraId="74DDF112" w14:textId="77777777" w:rsidR="00584EC1" w:rsidRDefault="00871F8D">
            <w:pPr>
              <w:textAlignment w:val="bottom"/>
            </w:pPr>
            <w:r>
              <w:rPr>
                <w:rFonts w:ascii="Arial" w:eastAsia="宋体" w:hAnsi="Arial" w:cs="Arial"/>
                <w:color w:val="000000"/>
                <w:sz w:val="15"/>
                <w:szCs w:val="15"/>
              </w:rPr>
              <w:t>Client relationships</w:t>
            </w:r>
          </w:p>
        </w:tc>
        <w:tc>
          <w:tcPr>
            <w:tcW w:w="0" w:type="auto"/>
            <w:shd w:val="clear" w:color="auto" w:fill="CCEEFF"/>
            <w:tcMar>
              <w:top w:w="40" w:type="dxa"/>
              <w:left w:w="20" w:type="dxa"/>
              <w:bottom w:w="40" w:type="dxa"/>
              <w:right w:w="0" w:type="dxa"/>
            </w:tcMar>
            <w:vAlign w:val="bottom"/>
          </w:tcPr>
          <w:p w14:paraId="74DDF113" w14:textId="77777777" w:rsidR="00584EC1" w:rsidRDefault="00871F8D">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4DDF114" w14:textId="77777777" w:rsidR="00584EC1" w:rsidRDefault="00871F8D">
            <w:pPr>
              <w:jc w:val="right"/>
              <w:textAlignment w:val="bottom"/>
            </w:pPr>
            <w:r>
              <w:rPr>
                <w:rFonts w:ascii="Arial" w:eastAsia="宋体" w:hAnsi="Arial" w:cs="Arial"/>
                <w:b/>
                <w:bCs/>
                <w:color w:val="000000"/>
                <w:sz w:val="15"/>
                <w:szCs w:val="15"/>
              </w:rPr>
              <w:t>2,803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F11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116"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F117" w14:textId="77777777" w:rsidR="00584EC1" w:rsidRDefault="00871F8D">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4DDF118" w14:textId="77777777" w:rsidR="00584EC1" w:rsidRDefault="00871F8D">
            <w:pPr>
              <w:jc w:val="right"/>
              <w:textAlignment w:val="bottom"/>
            </w:pPr>
            <w:r>
              <w:rPr>
                <w:rFonts w:ascii="Arial" w:eastAsia="宋体" w:hAnsi="Arial" w:cs="Arial"/>
                <w:b/>
                <w:bCs/>
                <w:color w:val="000000"/>
                <w:sz w:val="15"/>
                <w:szCs w:val="15"/>
              </w:rPr>
              <w:t>(1,464)</w:t>
            </w:r>
          </w:p>
        </w:tc>
        <w:tc>
          <w:tcPr>
            <w:tcW w:w="0" w:type="auto"/>
            <w:shd w:val="clear" w:color="auto" w:fill="CCEEFF"/>
            <w:tcMar>
              <w:top w:w="40" w:type="dxa"/>
              <w:left w:w="0" w:type="dxa"/>
              <w:bottom w:w="40" w:type="dxa"/>
              <w:right w:w="20" w:type="dxa"/>
            </w:tcMar>
            <w:vAlign w:val="bottom"/>
          </w:tcPr>
          <w:p w14:paraId="74DDF11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11A"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F11B" w14:textId="77777777" w:rsidR="00584EC1" w:rsidRDefault="00871F8D">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4DDF11C" w14:textId="77777777" w:rsidR="00584EC1" w:rsidRDefault="00871F8D">
            <w:pPr>
              <w:jc w:val="right"/>
              <w:textAlignment w:val="bottom"/>
            </w:pPr>
            <w:r>
              <w:rPr>
                <w:rFonts w:ascii="Arial" w:eastAsia="宋体" w:hAnsi="Arial" w:cs="Arial"/>
                <w:b/>
                <w:bCs/>
                <w:color w:val="000000"/>
                <w:sz w:val="15"/>
                <w:szCs w:val="15"/>
              </w:rPr>
              <w:t>1,339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F11D" w14:textId="77777777" w:rsidR="00584EC1" w:rsidRDefault="00584EC1">
            <w:pPr>
              <w:jc w:val="right"/>
              <w:rPr>
                <w:rFonts w:ascii="宋体"/>
              </w:rPr>
            </w:pPr>
          </w:p>
        </w:tc>
      </w:tr>
      <w:tr w:rsidR="00584EC1" w14:paraId="74DDF128" w14:textId="77777777">
        <w:tc>
          <w:tcPr>
            <w:tcW w:w="0" w:type="auto"/>
            <w:gridSpan w:val="3"/>
            <w:shd w:val="clear" w:color="auto" w:fill="auto"/>
            <w:tcMar>
              <w:top w:w="40" w:type="dxa"/>
              <w:left w:w="20" w:type="dxa"/>
              <w:bottom w:w="40" w:type="dxa"/>
              <w:right w:w="20" w:type="dxa"/>
            </w:tcMar>
            <w:vAlign w:val="bottom"/>
          </w:tcPr>
          <w:p w14:paraId="74DDF11F" w14:textId="77777777" w:rsidR="00584EC1" w:rsidRDefault="00871F8D">
            <w:pPr>
              <w:textAlignment w:val="bottom"/>
            </w:pPr>
            <w:r>
              <w:rPr>
                <w:rFonts w:ascii="Arial" w:eastAsia="宋体" w:hAnsi="Arial" w:cs="Arial"/>
                <w:color w:val="000000"/>
                <w:sz w:val="15"/>
                <w:szCs w:val="15"/>
              </w:rPr>
              <w:t>Technology</w:t>
            </w:r>
          </w:p>
        </w:tc>
        <w:tc>
          <w:tcPr>
            <w:tcW w:w="0" w:type="auto"/>
            <w:gridSpan w:val="2"/>
            <w:shd w:val="clear" w:color="auto" w:fill="FFFFFF"/>
            <w:tcMar>
              <w:top w:w="40" w:type="dxa"/>
              <w:left w:w="20" w:type="dxa"/>
              <w:bottom w:w="40" w:type="dxa"/>
              <w:right w:w="0" w:type="dxa"/>
            </w:tcMar>
            <w:vAlign w:val="bottom"/>
          </w:tcPr>
          <w:p w14:paraId="74DDF120" w14:textId="77777777" w:rsidR="00584EC1" w:rsidRDefault="00871F8D">
            <w:pPr>
              <w:jc w:val="right"/>
              <w:textAlignment w:val="bottom"/>
            </w:pPr>
            <w:r>
              <w:rPr>
                <w:rFonts w:ascii="Arial" w:eastAsia="宋体" w:hAnsi="Arial" w:cs="Arial"/>
                <w:b/>
                <w:bCs/>
                <w:color w:val="000000"/>
                <w:sz w:val="15"/>
                <w:szCs w:val="15"/>
              </w:rPr>
              <w:t>404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F12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12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123" w14:textId="77777777" w:rsidR="00584EC1" w:rsidRDefault="00871F8D">
            <w:pPr>
              <w:jc w:val="right"/>
              <w:textAlignment w:val="bottom"/>
            </w:pPr>
            <w:r>
              <w:rPr>
                <w:rFonts w:ascii="Arial" w:eastAsia="宋体" w:hAnsi="Arial" w:cs="Arial"/>
                <w:b/>
                <w:bCs/>
                <w:color w:val="000000"/>
                <w:sz w:val="15"/>
                <w:szCs w:val="15"/>
              </w:rPr>
              <w:t>(133)</w:t>
            </w:r>
          </w:p>
        </w:tc>
        <w:tc>
          <w:tcPr>
            <w:tcW w:w="0" w:type="auto"/>
            <w:shd w:val="clear" w:color="auto" w:fill="FFFFFF"/>
            <w:tcMar>
              <w:top w:w="40" w:type="dxa"/>
              <w:left w:w="0" w:type="dxa"/>
              <w:bottom w:w="40" w:type="dxa"/>
              <w:right w:w="20" w:type="dxa"/>
            </w:tcMar>
            <w:vAlign w:val="bottom"/>
          </w:tcPr>
          <w:p w14:paraId="74DDF12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125"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126" w14:textId="77777777" w:rsidR="00584EC1" w:rsidRDefault="00871F8D">
            <w:pPr>
              <w:jc w:val="right"/>
              <w:textAlignment w:val="bottom"/>
            </w:pPr>
            <w:r>
              <w:rPr>
                <w:rFonts w:ascii="Arial" w:eastAsia="宋体" w:hAnsi="Arial" w:cs="Arial"/>
                <w:b/>
                <w:bCs/>
                <w:color w:val="000000"/>
                <w:sz w:val="15"/>
                <w:szCs w:val="15"/>
              </w:rPr>
              <w:t>271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F127" w14:textId="77777777" w:rsidR="00584EC1" w:rsidRDefault="00584EC1">
            <w:pPr>
              <w:jc w:val="right"/>
              <w:rPr>
                <w:rFonts w:ascii="宋体"/>
              </w:rPr>
            </w:pPr>
          </w:p>
        </w:tc>
      </w:tr>
      <w:tr w:rsidR="00584EC1" w14:paraId="74DDF132" w14:textId="77777777">
        <w:tc>
          <w:tcPr>
            <w:tcW w:w="0" w:type="auto"/>
            <w:gridSpan w:val="3"/>
            <w:shd w:val="clear" w:color="auto" w:fill="CCEEFF"/>
            <w:tcMar>
              <w:top w:w="40" w:type="dxa"/>
              <w:left w:w="20" w:type="dxa"/>
              <w:bottom w:w="40" w:type="dxa"/>
              <w:right w:w="20" w:type="dxa"/>
            </w:tcMar>
            <w:vAlign w:val="bottom"/>
          </w:tcPr>
          <w:p w14:paraId="74DDF129" w14:textId="77777777" w:rsidR="00584EC1" w:rsidRDefault="00871F8D">
            <w:pPr>
              <w:textAlignment w:val="bottom"/>
            </w:pPr>
            <w:r>
              <w:rPr>
                <w:rFonts w:ascii="Arial" w:eastAsia="宋体" w:hAnsi="Arial" w:cs="Arial"/>
                <w:color w:val="000000"/>
                <w:sz w:val="15"/>
                <w:szCs w:val="15"/>
              </w:rPr>
              <w:t>Core deposits</w:t>
            </w:r>
          </w:p>
        </w:tc>
        <w:tc>
          <w:tcPr>
            <w:tcW w:w="0" w:type="auto"/>
            <w:gridSpan w:val="2"/>
            <w:shd w:val="clear" w:color="auto" w:fill="CCEEFF"/>
            <w:tcMar>
              <w:top w:w="40" w:type="dxa"/>
              <w:left w:w="20" w:type="dxa"/>
              <w:bottom w:w="40" w:type="dxa"/>
              <w:right w:w="0" w:type="dxa"/>
            </w:tcMar>
            <w:vAlign w:val="bottom"/>
          </w:tcPr>
          <w:p w14:paraId="74DDF12A" w14:textId="77777777" w:rsidR="00584EC1" w:rsidRDefault="00871F8D">
            <w:pPr>
              <w:jc w:val="right"/>
              <w:textAlignment w:val="bottom"/>
            </w:pPr>
            <w:r>
              <w:rPr>
                <w:rFonts w:ascii="Arial" w:eastAsia="宋体" w:hAnsi="Arial" w:cs="Arial"/>
                <w:b/>
                <w:bCs/>
                <w:color w:val="000000"/>
                <w:sz w:val="15"/>
                <w:szCs w:val="15"/>
              </w:rPr>
              <w:t>700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F12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12C"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F12D" w14:textId="77777777" w:rsidR="00584EC1" w:rsidRDefault="00871F8D">
            <w:pPr>
              <w:jc w:val="right"/>
              <w:textAlignment w:val="bottom"/>
            </w:pPr>
            <w:r>
              <w:rPr>
                <w:rFonts w:ascii="Arial" w:eastAsia="宋体" w:hAnsi="Arial" w:cs="Arial"/>
                <w:b/>
                <w:bCs/>
                <w:color w:val="000000"/>
                <w:sz w:val="15"/>
                <w:szCs w:val="15"/>
              </w:rPr>
              <w:t>(444)</w:t>
            </w:r>
          </w:p>
        </w:tc>
        <w:tc>
          <w:tcPr>
            <w:tcW w:w="0" w:type="auto"/>
            <w:shd w:val="clear" w:color="auto" w:fill="CCEEFF"/>
            <w:tcMar>
              <w:top w:w="40" w:type="dxa"/>
              <w:left w:w="0" w:type="dxa"/>
              <w:bottom w:w="40" w:type="dxa"/>
              <w:right w:w="20" w:type="dxa"/>
            </w:tcMar>
            <w:vAlign w:val="bottom"/>
          </w:tcPr>
          <w:p w14:paraId="74DDF12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12F"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F130" w14:textId="77777777" w:rsidR="00584EC1" w:rsidRDefault="00871F8D">
            <w:pPr>
              <w:jc w:val="right"/>
              <w:textAlignment w:val="bottom"/>
            </w:pPr>
            <w:r>
              <w:rPr>
                <w:rFonts w:ascii="Arial" w:eastAsia="宋体" w:hAnsi="Arial" w:cs="Arial"/>
                <w:b/>
                <w:bCs/>
                <w:color w:val="000000"/>
                <w:sz w:val="15"/>
                <w:szCs w:val="15"/>
              </w:rPr>
              <w:t>256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F131" w14:textId="77777777" w:rsidR="00584EC1" w:rsidRDefault="00584EC1">
            <w:pPr>
              <w:jc w:val="right"/>
              <w:rPr>
                <w:rFonts w:ascii="宋体"/>
              </w:rPr>
            </w:pPr>
          </w:p>
        </w:tc>
      </w:tr>
      <w:tr w:rsidR="00584EC1" w14:paraId="74DDF13C" w14:textId="77777777">
        <w:tc>
          <w:tcPr>
            <w:tcW w:w="0" w:type="auto"/>
            <w:gridSpan w:val="3"/>
            <w:shd w:val="clear" w:color="auto" w:fill="auto"/>
            <w:tcMar>
              <w:top w:w="40" w:type="dxa"/>
              <w:left w:w="20" w:type="dxa"/>
              <w:bottom w:w="40" w:type="dxa"/>
              <w:right w:w="20" w:type="dxa"/>
            </w:tcMar>
            <w:vAlign w:val="bottom"/>
          </w:tcPr>
          <w:p w14:paraId="74DDF133" w14:textId="77777777" w:rsidR="00584EC1" w:rsidRDefault="00871F8D">
            <w:pPr>
              <w:textAlignment w:val="bottom"/>
            </w:pPr>
            <w:r>
              <w:rPr>
                <w:rFonts w:ascii="Arial" w:eastAsia="宋体" w:hAnsi="Arial" w:cs="Arial"/>
                <w:color w:val="000000"/>
                <w:sz w:val="15"/>
                <w:szCs w:val="15"/>
              </w:rPr>
              <w:t>Other</w:t>
            </w:r>
          </w:p>
        </w:tc>
        <w:tc>
          <w:tcPr>
            <w:tcW w:w="0" w:type="auto"/>
            <w:gridSpan w:val="2"/>
            <w:shd w:val="clear" w:color="auto" w:fill="FFFFFF"/>
            <w:tcMar>
              <w:top w:w="40" w:type="dxa"/>
              <w:left w:w="20" w:type="dxa"/>
              <w:bottom w:w="40" w:type="dxa"/>
              <w:right w:w="0" w:type="dxa"/>
            </w:tcMar>
            <w:vAlign w:val="bottom"/>
          </w:tcPr>
          <w:p w14:paraId="74DDF134" w14:textId="77777777" w:rsidR="00584EC1" w:rsidRDefault="00871F8D">
            <w:pPr>
              <w:jc w:val="right"/>
              <w:textAlignment w:val="bottom"/>
            </w:pPr>
            <w:r>
              <w:rPr>
                <w:rFonts w:ascii="Arial" w:eastAsia="宋体" w:hAnsi="Arial" w:cs="Arial"/>
                <w:b/>
                <w:bCs/>
                <w:color w:val="000000"/>
                <w:sz w:val="15"/>
                <w:szCs w:val="15"/>
              </w:rPr>
              <w:t>103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F13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13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137" w14:textId="77777777" w:rsidR="00584EC1" w:rsidRDefault="00871F8D">
            <w:pPr>
              <w:jc w:val="right"/>
              <w:textAlignment w:val="bottom"/>
            </w:pPr>
            <w:r>
              <w:rPr>
                <w:rFonts w:ascii="Arial" w:eastAsia="宋体" w:hAnsi="Arial" w:cs="Arial"/>
                <w:b/>
                <w:bCs/>
                <w:color w:val="000000"/>
                <w:sz w:val="15"/>
                <w:szCs w:val="15"/>
              </w:rPr>
              <w:t>(82)</w:t>
            </w:r>
          </w:p>
        </w:tc>
        <w:tc>
          <w:tcPr>
            <w:tcW w:w="0" w:type="auto"/>
            <w:shd w:val="clear" w:color="auto" w:fill="FFFFFF"/>
            <w:tcMar>
              <w:top w:w="40" w:type="dxa"/>
              <w:left w:w="0" w:type="dxa"/>
              <w:bottom w:w="40" w:type="dxa"/>
              <w:right w:w="20" w:type="dxa"/>
            </w:tcMar>
            <w:vAlign w:val="bottom"/>
          </w:tcPr>
          <w:p w14:paraId="74DDF13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13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13A" w14:textId="77777777" w:rsidR="00584EC1" w:rsidRDefault="00871F8D">
            <w:pPr>
              <w:jc w:val="right"/>
              <w:textAlignment w:val="bottom"/>
            </w:pPr>
            <w:r>
              <w:rPr>
                <w:rFonts w:ascii="Arial" w:eastAsia="宋体" w:hAnsi="Arial" w:cs="Arial"/>
                <w:b/>
                <w:bCs/>
                <w:color w:val="000000"/>
                <w:sz w:val="15"/>
                <w:szCs w:val="15"/>
              </w:rPr>
              <w:t>21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F13B" w14:textId="77777777" w:rsidR="00584EC1" w:rsidRDefault="00584EC1">
            <w:pPr>
              <w:jc w:val="right"/>
              <w:rPr>
                <w:rFonts w:ascii="宋体"/>
              </w:rPr>
            </w:pPr>
          </w:p>
        </w:tc>
      </w:tr>
      <w:tr w:rsidR="00584EC1" w14:paraId="74DDF149" w14:textId="77777777">
        <w:tc>
          <w:tcPr>
            <w:tcW w:w="0" w:type="auto"/>
            <w:gridSpan w:val="3"/>
            <w:shd w:val="clear" w:color="auto" w:fill="CCEEFF"/>
            <w:tcMar>
              <w:top w:w="40" w:type="dxa"/>
              <w:left w:w="20" w:type="dxa"/>
              <w:bottom w:w="40" w:type="dxa"/>
              <w:right w:w="20" w:type="dxa"/>
            </w:tcMar>
            <w:vAlign w:val="bottom"/>
          </w:tcPr>
          <w:p w14:paraId="74DDF13D" w14:textId="77777777" w:rsidR="00584EC1" w:rsidRDefault="00871F8D">
            <w:pPr>
              <w:textAlignment w:val="bottom"/>
            </w:pPr>
            <w:r>
              <w:rPr>
                <w:rFonts w:ascii="Arial" w:eastAsia="宋体" w:hAnsi="Arial" w:cs="Arial"/>
                <w:color w:val="000000"/>
                <w:sz w:val="15"/>
                <w:szCs w:val="15"/>
              </w:rPr>
              <w:t>Total</w:t>
            </w:r>
          </w:p>
        </w:tc>
        <w:tc>
          <w:tcPr>
            <w:tcW w:w="0" w:type="auto"/>
            <w:tcBorders>
              <w:top w:val="single" w:sz="8" w:space="0" w:color="000000"/>
            </w:tcBorders>
            <w:shd w:val="clear" w:color="auto" w:fill="CCEEFF"/>
            <w:tcMar>
              <w:top w:w="40" w:type="dxa"/>
              <w:left w:w="20" w:type="dxa"/>
              <w:bottom w:w="40" w:type="dxa"/>
              <w:right w:w="0" w:type="dxa"/>
            </w:tcMar>
            <w:vAlign w:val="bottom"/>
          </w:tcPr>
          <w:p w14:paraId="74DDF13E" w14:textId="77777777" w:rsidR="00584EC1" w:rsidRDefault="00871F8D">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F13F" w14:textId="77777777" w:rsidR="00584EC1" w:rsidRDefault="00871F8D">
            <w:pPr>
              <w:jc w:val="right"/>
              <w:textAlignment w:val="bottom"/>
            </w:pPr>
            <w:r>
              <w:rPr>
                <w:rFonts w:ascii="Arial" w:eastAsia="宋体" w:hAnsi="Arial" w:cs="Arial"/>
                <w:b/>
                <w:bCs/>
                <w:color w:val="000000"/>
                <w:sz w:val="15"/>
                <w:szCs w:val="15"/>
              </w:rPr>
              <w:t>4,010</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F14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141"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F142" w14:textId="77777777" w:rsidR="00584EC1" w:rsidRDefault="00871F8D">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F143" w14:textId="77777777" w:rsidR="00584EC1" w:rsidRDefault="00871F8D">
            <w:pPr>
              <w:jc w:val="right"/>
              <w:textAlignment w:val="bottom"/>
            </w:pPr>
            <w:r>
              <w:rPr>
                <w:rFonts w:ascii="Arial" w:eastAsia="宋体" w:hAnsi="Arial" w:cs="Arial"/>
                <w:b/>
                <w:bCs/>
                <w:color w:val="000000"/>
                <w:sz w:val="15"/>
                <w:szCs w:val="15"/>
              </w:rPr>
              <w:t>(2,123)</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F14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145"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F146" w14:textId="77777777" w:rsidR="00584EC1" w:rsidRDefault="00871F8D">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F147" w14:textId="77777777" w:rsidR="00584EC1" w:rsidRDefault="00871F8D">
            <w:pPr>
              <w:jc w:val="right"/>
              <w:textAlignment w:val="bottom"/>
            </w:pPr>
            <w:r>
              <w:rPr>
                <w:rFonts w:ascii="Arial" w:eastAsia="宋体" w:hAnsi="Arial" w:cs="Arial"/>
                <w:b/>
                <w:bCs/>
                <w:color w:val="000000"/>
                <w:sz w:val="15"/>
                <w:szCs w:val="15"/>
              </w:rPr>
              <w:t>1,887</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F148" w14:textId="77777777" w:rsidR="00584EC1" w:rsidRDefault="00584EC1">
            <w:pPr>
              <w:jc w:val="right"/>
              <w:rPr>
                <w:rFonts w:ascii="宋体"/>
              </w:rPr>
            </w:pPr>
          </w:p>
        </w:tc>
      </w:tr>
      <w:tr w:rsidR="00584EC1" w14:paraId="74DDF150" w14:textId="77777777">
        <w:trPr>
          <w:trHeight w:val="280"/>
        </w:trPr>
        <w:tc>
          <w:tcPr>
            <w:tcW w:w="0" w:type="auto"/>
            <w:gridSpan w:val="3"/>
            <w:shd w:val="clear" w:color="auto" w:fill="auto"/>
            <w:tcMar>
              <w:top w:w="0" w:type="dxa"/>
              <w:left w:w="20" w:type="dxa"/>
              <w:bottom w:w="0" w:type="dxa"/>
              <w:right w:w="20" w:type="dxa"/>
            </w:tcMar>
            <w:vAlign w:val="bottom"/>
          </w:tcPr>
          <w:p w14:paraId="74DDF14A"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DF14B"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14C"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DF14D"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14E"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DF14F" w14:textId="77777777" w:rsidR="00584EC1" w:rsidRDefault="00584EC1">
            <w:pPr>
              <w:rPr>
                <w:rFonts w:ascii="宋体"/>
              </w:rPr>
            </w:pPr>
          </w:p>
        </w:tc>
      </w:tr>
      <w:tr w:rsidR="00584EC1" w14:paraId="74DDF157" w14:textId="77777777">
        <w:trPr>
          <w:trHeight w:val="280"/>
        </w:trPr>
        <w:tc>
          <w:tcPr>
            <w:tcW w:w="0" w:type="auto"/>
            <w:gridSpan w:val="3"/>
            <w:shd w:val="clear" w:color="auto" w:fill="auto"/>
            <w:tcMar>
              <w:top w:w="40" w:type="dxa"/>
              <w:left w:w="20" w:type="dxa"/>
              <w:bottom w:w="40" w:type="dxa"/>
              <w:right w:w="20" w:type="dxa"/>
            </w:tcMar>
            <w:vAlign w:val="bottom"/>
          </w:tcPr>
          <w:p w14:paraId="74DDF151" w14:textId="77777777" w:rsidR="00584EC1" w:rsidRDefault="00871F8D">
            <w:pPr>
              <w:textAlignment w:val="bottom"/>
            </w:pPr>
            <w:r>
              <w:rPr>
                <w:rFonts w:ascii="Arial" w:eastAsia="宋体" w:hAnsi="Arial" w:cs="Arial"/>
                <w:b/>
                <w:bCs/>
                <w:color w:val="000000"/>
                <w:sz w:val="15"/>
                <w:szCs w:val="15"/>
              </w:rPr>
              <w:t>December 31, 2020</w:t>
            </w:r>
          </w:p>
        </w:tc>
        <w:tc>
          <w:tcPr>
            <w:tcW w:w="0" w:type="auto"/>
            <w:gridSpan w:val="3"/>
            <w:vMerge w:val="restart"/>
            <w:shd w:val="clear" w:color="auto" w:fill="auto"/>
            <w:tcMar>
              <w:top w:w="40" w:type="dxa"/>
              <w:left w:w="20" w:type="dxa"/>
              <w:bottom w:w="40" w:type="dxa"/>
              <w:right w:w="20" w:type="dxa"/>
            </w:tcMar>
            <w:vAlign w:val="bottom"/>
          </w:tcPr>
          <w:p w14:paraId="74DDF152" w14:textId="77777777" w:rsidR="00584EC1" w:rsidRDefault="00871F8D">
            <w:pPr>
              <w:jc w:val="center"/>
              <w:textAlignment w:val="bottom"/>
            </w:pPr>
            <w:r>
              <w:rPr>
                <w:rFonts w:ascii="Arial" w:eastAsia="宋体" w:hAnsi="Arial" w:cs="Arial"/>
                <w:b/>
                <w:bCs/>
                <w:color w:val="000000"/>
                <w:sz w:val="15"/>
                <w:szCs w:val="15"/>
              </w:rPr>
              <w:t>Gross</w:t>
            </w:r>
            <w:r>
              <w:rPr>
                <w:rFonts w:ascii="Arial" w:eastAsia="宋体" w:hAnsi="Arial" w:cs="Arial"/>
                <w:b/>
                <w:bCs/>
                <w:color w:val="000000"/>
                <w:sz w:val="15"/>
                <w:szCs w:val="15"/>
              </w:rPr>
              <w:br/>
              <w:t>Carrying</w:t>
            </w:r>
            <w:r>
              <w:rPr>
                <w:rFonts w:ascii="Arial" w:eastAsia="宋体" w:hAnsi="Arial" w:cs="Arial"/>
                <w:b/>
                <w:bCs/>
                <w:color w:val="000000"/>
                <w:sz w:val="15"/>
                <w:szCs w:val="15"/>
              </w:rPr>
              <w:br/>
              <w:t>Amount</w:t>
            </w:r>
          </w:p>
        </w:tc>
        <w:tc>
          <w:tcPr>
            <w:tcW w:w="0" w:type="auto"/>
            <w:gridSpan w:val="3"/>
            <w:shd w:val="clear" w:color="auto" w:fill="auto"/>
            <w:tcMar>
              <w:top w:w="0" w:type="dxa"/>
              <w:left w:w="20" w:type="dxa"/>
              <w:bottom w:w="0" w:type="dxa"/>
              <w:right w:w="20" w:type="dxa"/>
            </w:tcMar>
            <w:vAlign w:val="bottom"/>
          </w:tcPr>
          <w:p w14:paraId="74DDF153" w14:textId="77777777" w:rsidR="00584EC1" w:rsidRDefault="00584EC1">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74DDF154" w14:textId="77777777" w:rsidR="00584EC1" w:rsidRDefault="00871F8D">
            <w:pPr>
              <w:jc w:val="center"/>
              <w:textAlignment w:val="bottom"/>
            </w:pPr>
            <w:r>
              <w:rPr>
                <w:rFonts w:ascii="Arial" w:eastAsia="宋体" w:hAnsi="Arial" w:cs="Arial"/>
                <w:b/>
                <w:bCs/>
                <w:color w:val="000000"/>
                <w:sz w:val="15"/>
                <w:szCs w:val="15"/>
              </w:rPr>
              <w:t>Accumulated</w:t>
            </w:r>
            <w:r>
              <w:rPr>
                <w:rFonts w:ascii="Arial" w:eastAsia="宋体" w:hAnsi="Arial" w:cs="Arial"/>
                <w:b/>
                <w:bCs/>
                <w:color w:val="000000"/>
                <w:sz w:val="15"/>
                <w:szCs w:val="15"/>
              </w:rPr>
              <w:br/>
              <w:t>Amortization</w:t>
            </w:r>
          </w:p>
        </w:tc>
        <w:tc>
          <w:tcPr>
            <w:tcW w:w="0" w:type="auto"/>
            <w:gridSpan w:val="3"/>
            <w:shd w:val="clear" w:color="auto" w:fill="auto"/>
            <w:tcMar>
              <w:top w:w="0" w:type="dxa"/>
              <w:left w:w="20" w:type="dxa"/>
              <w:bottom w:w="0" w:type="dxa"/>
              <w:right w:w="20" w:type="dxa"/>
            </w:tcMar>
            <w:vAlign w:val="bottom"/>
          </w:tcPr>
          <w:p w14:paraId="74DDF155" w14:textId="77777777" w:rsidR="00584EC1" w:rsidRDefault="00584EC1">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74DDF156" w14:textId="77777777" w:rsidR="00584EC1" w:rsidRDefault="00871F8D">
            <w:pPr>
              <w:jc w:val="center"/>
              <w:textAlignment w:val="bottom"/>
            </w:pPr>
            <w:r>
              <w:rPr>
                <w:rFonts w:ascii="Arial" w:eastAsia="宋体" w:hAnsi="Arial" w:cs="Arial"/>
                <w:b/>
                <w:bCs/>
                <w:color w:val="000000"/>
                <w:sz w:val="15"/>
                <w:szCs w:val="15"/>
              </w:rPr>
              <w:t>Net</w:t>
            </w:r>
            <w:r>
              <w:rPr>
                <w:rFonts w:ascii="Arial" w:eastAsia="宋体" w:hAnsi="Arial" w:cs="Arial"/>
                <w:b/>
                <w:bCs/>
                <w:color w:val="000000"/>
                <w:sz w:val="15"/>
                <w:szCs w:val="15"/>
              </w:rPr>
              <w:br/>
              <w:t>Carrying</w:t>
            </w:r>
            <w:r>
              <w:rPr>
                <w:rFonts w:ascii="Arial" w:eastAsia="宋体" w:hAnsi="Arial" w:cs="Arial"/>
                <w:b/>
                <w:bCs/>
                <w:color w:val="000000"/>
                <w:sz w:val="15"/>
                <w:szCs w:val="15"/>
              </w:rPr>
              <w:br/>
              <w:t>Amount</w:t>
            </w:r>
          </w:p>
        </w:tc>
      </w:tr>
      <w:tr w:rsidR="00584EC1" w14:paraId="74DDF15E" w14:textId="77777777">
        <w:trPr>
          <w:trHeight w:val="280"/>
        </w:trPr>
        <w:tc>
          <w:tcPr>
            <w:tcW w:w="0" w:type="auto"/>
            <w:gridSpan w:val="3"/>
            <w:shd w:val="clear" w:color="auto" w:fill="auto"/>
            <w:tcMar>
              <w:top w:w="40" w:type="dxa"/>
              <w:left w:w="20" w:type="dxa"/>
              <w:bottom w:w="40" w:type="dxa"/>
              <w:right w:w="20" w:type="dxa"/>
            </w:tcMar>
            <w:vAlign w:val="bottom"/>
          </w:tcPr>
          <w:p w14:paraId="74DDF158" w14:textId="77777777" w:rsidR="00584EC1" w:rsidRDefault="00871F8D">
            <w:pPr>
              <w:textAlignment w:val="bottom"/>
            </w:pPr>
            <w:r>
              <w:rPr>
                <w:rFonts w:ascii="Arial" w:eastAsia="宋体" w:hAnsi="Arial" w:cs="Arial"/>
                <w:b/>
                <w:bCs/>
                <w:color w:val="000000"/>
                <w:sz w:val="15"/>
                <w:szCs w:val="15"/>
              </w:rPr>
              <w:t>(In millions)</w:t>
            </w:r>
          </w:p>
        </w:tc>
        <w:tc>
          <w:tcPr>
            <w:tcW w:w="0" w:type="auto"/>
            <w:gridSpan w:val="3"/>
            <w:vMerge/>
            <w:shd w:val="clear" w:color="auto" w:fill="auto"/>
            <w:tcMar>
              <w:top w:w="40" w:type="dxa"/>
              <w:left w:w="20" w:type="dxa"/>
              <w:bottom w:w="40" w:type="dxa"/>
              <w:right w:w="20" w:type="dxa"/>
            </w:tcMar>
            <w:vAlign w:val="bottom"/>
          </w:tcPr>
          <w:p w14:paraId="74DDF159"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15A" w14:textId="77777777" w:rsidR="00584EC1" w:rsidRDefault="00584EC1">
            <w:pPr>
              <w:rPr>
                <w:rFonts w:ascii="宋体"/>
              </w:rPr>
            </w:pPr>
          </w:p>
        </w:tc>
        <w:tc>
          <w:tcPr>
            <w:tcW w:w="0" w:type="auto"/>
            <w:gridSpan w:val="3"/>
            <w:vMerge/>
            <w:shd w:val="clear" w:color="auto" w:fill="auto"/>
            <w:tcMar>
              <w:top w:w="40" w:type="dxa"/>
              <w:left w:w="20" w:type="dxa"/>
              <w:bottom w:w="40" w:type="dxa"/>
              <w:right w:w="20" w:type="dxa"/>
            </w:tcMar>
            <w:vAlign w:val="bottom"/>
          </w:tcPr>
          <w:p w14:paraId="74DDF15B"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15C" w14:textId="77777777" w:rsidR="00584EC1" w:rsidRDefault="00584EC1">
            <w:pPr>
              <w:rPr>
                <w:rFonts w:ascii="宋体"/>
              </w:rPr>
            </w:pPr>
          </w:p>
        </w:tc>
        <w:tc>
          <w:tcPr>
            <w:tcW w:w="0" w:type="auto"/>
            <w:gridSpan w:val="3"/>
            <w:vMerge/>
            <w:shd w:val="clear" w:color="auto" w:fill="auto"/>
            <w:tcMar>
              <w:top w:w="40" w:type="dxa"/>
              <w:left w:w="20" w:type="dxa"/>
              <w:bottom w:w="40" w:type="dxa"/>
              <w:right w:w="20" w:type="dxa"/>
            </w:tcMar>
            <w:vAlign w:val="bottom"/>
          </w:tcPr>
          <w:p w14:paraId="74DDF15D" w14:textId="77777777" w:rsidR="00584EC1" w:rsidRDefault="00584EC1">
            <w:pPr>
              <w:rPr>
                <w:rFonts w:ascii="宋体"/>
              </w:rPr>
            </w:pPr>
          </w:p>
        </w:tc>
      </w:tr>
      <w:tr w:rsidR="00584EC1" w14:paraId="74DDF165" w14:textId="77777777">
        <w:tc>
          <w:tcPr>
            <w:tcW w:w="0" w:type="auto"/>
            <w:gridSpan w:val="3"/>
            <w:shd w:val="clear" w:color="auto" w:fill="auto"/>
            <w:tcMar>
              <w:top w:w="40" w:type="dxa"/>
              <w:left w:w="20" w:type="dxa"/>
              <w:bottom w:w="40" w:type="dxa"/>
              <w:right w:w="20" w:type="dxa"/>
            </w:tcMar>
            <w:vAlign w:val="bottom"/>
          </w:tcPr>
          <w:p w14:paraId="74DDF15F" w14:textId="77777777" w:rsidR="00584EC1" w:rsidRDefault="00871F8D">
            <w:pPr>
              <w:textAlignment w:val="bottom"/>
            </w:pPr>
            <w:r>
              <w:rPr>
                <w:rFonts w:ascii="Arial" w:eastAsia="宋体" w:hAnsi="Arial" w:cs="Arial"/>
                <w:b/>
                <w:bCs/>
                <w:color w:val="000000"/>
                <w:sz w:val="15"/>
                <w:szCs w:val="15"/>
              </w:rPr>
              <w:t>Other intangible assets: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160"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161"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16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163"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164" w14:textId="77777777" w:rsidR="00584EC1" w:rsidRDefault="00584EC1">
            <w:pPr>
              <w:rPr>
                <w:rFonts w:ascii="宋体"/>
              </w:rPr>
            </w:pPr>
          </w:p>
        </w:tc>
      </w:tr>
      <w:tr w:rsidR="00584EC1" w14:paraId="74DDF172" w14:textId="77777777">
        <w:tc>
          <w:tcPr>
            <w:tcW w:w="0" w:type="auto"/>
            <w:gridSpan w:val="3"/>
            <w:shd w:val="clear" w:color="auto" w:fill="CCEEFF"/>
            <w:tcMar>
              <w:top w:w="40" w:type="dxa"/>
              <w:left w:w="20" w:type="dxa"/>
              <w:bottom w:w="40" w:type="dxa"/>
              <w:right w:w="20" w:type="dxa"/>
            </w:tcMar>
            <w:vAlign w:val="bottom"/>
          </w:tcPr>
          <w:p w14:paraId="74DDF166" w14:textId="77777777" w:rsidR="00584EC1" w:rsidRDefault="00871F8D">
            <w:pPr>
              <w:textAlignment w:val="bottom"/>
            </w:pPr>
            <w:r>
              <w:rPr>
                <w:rFonts w:ascii="Arial" w:eastAsia="宋体" w:hAnsi="Arial" w:cs="Arial"/>
                <w:color w:val="000000"/>
                <w:sz w:val="15"/>
                <w:szCs w:val="15"/>
              </w:rPr>
              <w:t>Client relationships</w:t>
            </w:r>
          </w:p>
        </w:tc>
        <w:tc>
          <w:tcPr>
            <w:tcW w:w="0" w:type="auto"/>
            <w:shd w:val="clear" w:color="auto" w:fill="CCEEFF"/>
            <w:tcMar>
              <w:top w:w="40" w:type="dxa"/>
              <w:left w:w="20" w:type="dxa"/>
              <w:bottom w:w="40" w:type="dxa"/>
              <w:right w:w="0" w:type="dxa"/>
            </w:tcMar>
            <w:vAlign w:val="bottom"/>
          </w:tcPr>
          <w:p w14:paraId="74DDF167" w14:textId="77777777" w:rsidR="00584EC1" w:rsidRDefault="00871F8D">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4DDF168" w14:textId="77777777" w:rsidR="00584EC1" w:rsidRDefault="00871F8D">
            <w:pPr>
              <w:jc w:val="right"/>
              <w:textAlignment w:val="bottom"/>
            </w:pPr>
            <w:r>
              <w:rPr>
                <w:rFonts w:ascii="Arial" w:eastAsia="宋体" w:hAnsi="Arial" w:cs="Arial"/>
                <w:color w:val="000000"/>
                <w:sz w:val="15"/>
                <w:szCs w:val="15"/>
              </w:rPr>
              <w:t>2,704 </w:t>
            </w:r>
          </w:p>
        </w:tc>
        <w:tc>
          <w:tcPr>
            <w:tcW w:w="0" w:type="auto"/>
            <w:shd w:val="clear" w:color="auto" w:fill="CCEEFF"/>
            <w:tcMar>
              <w:top w:w="40" w:type="dxa"/>
              <w:left w:w="0" w:type="dxa"/>
              <w:bottom w:w="40" w:type="dxa"/>
              <w:right w:w="20" w:type="dxa"/>
            </w:tcMar>
            <w:vAlign w:val="bottom"/>
          </w:tcPr>
          <w:p w14:paraId="74DDF16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16A"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F16B" w14:textId="77777777" w:rsidR="00584EC1" w:rsidRDefault="00871F8D">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4DDF16C" w14:textId="77777777" w:rsidR="00584EC1" w:rsidRDefault="00871F8D">
            <w:pPr>
              <w:jc w:val="right"/>
              <w:textAlignment w:val="bottom"/>
            </w:pPr>
            <w:r>
              <w:rPr>
                <w:rFonts w:ascii="Arial" w:eastAsia="宋体" w:hAnsi="Arial" w:cs="Arial"/>
                <w:color w:val="000000"/>
                <w:sz w:val="15"/>
                <w:szCs w:val="15"/>
              </w:rPr>
              <w:t>(1,450)</w:t>
            </w:r>
          </w:p>
        </w:tc>
        <w:tc>
          <w:tcPr>
            <w:tcW w:w="0" w:type="auto"/>
            <w:shd w:val="clear" w:color="auto" w:fill="CCEEFF"/>
            <w:tcMar>
              <w:top w:w="40" w:type="dxa"/>
              <w:left w:w="0" w:type="dxa"/>
              <w:bottom w:w="40" w:type="dxa"/>
              <w:right w:w="20" w:type="dxa"/>
            </w:tcMar>
            <w:vAlign w:val="bottom"/>
          </w:tcPr>
          <w:p w14:paraId="74DDF16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16E"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F16F" w14:textId="77777777" w:rsidR="00584EC1" w:rsidRDefault="00871F8D">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4DDF170" w14:textId="77777777" w:rsidR="00584EC1" w:rsidRDefault="00871F8D">
            <w:pPr>
              <w:jc w:val="right"/>
              <w:textAlignment w:val="bottom"/>
            </w:pPr>
            <w:r>
              <w:rPr>
                <w:rFonts w:ascii="Arial" w:eastAsia="宋体" w:hAnsi="Arial" w:cs="Arial"/>
                <w:color w:val="000000"/>
                <w:sz w:val="15"/>
                <w:szCs w:val="15"/>
              </w:rPr>
              <w:t>1,254 </w:t>
            </w:r>
          </w:p>
        </w:tc>
        <w:tc>
          <w:tcPr>
            <w:tcW w:w="0" w:type="auto"/>
            <w:shd w:val="clear" w:color="auto" w:fill="CCEEFF"/>
            <w:tcMar>
              <w:top w:w="40" w:type="dxa"/>
              <w:left w:w="0" w:type="dxa"/>
              <w:bottom w:w="40" w:type="dxa"/>
              <w:right w:w="20" w:type="dxa"/>
            </w:tcMar>
            <w:vAlign w:val="bottom"/>
          </w:tcPr>
          <w:p w14:paraId="74DDF171" w14:textId="77777777" w:rsidR="00584EC1" w:rsidRDefault="00584EC1">
            <w:pPr>
              <w:jc w:val="right"/>
              <w:rPr>
                <w:rFonts w:ascii="宋体"/>
              </w:rPr>
            </w:pPr>
          </w:p>
        </w:tc>
      </w:tr>
      <w:tr w:rsidR="00584EC1" w14:paraId="74DDF17C" w14:textId="77777777">
        <w:tc>
          <w:tcPr>
            <w:tcW w:w="0" w:type="auto"/>
            <w:gridSpan w:val="3"/>
            <w:shd w:val="clear" w:color="auto" w:fill="auto"/>
            <w:tcMar>
              <w:top w:w="40" w:type="dxa"/>
              <w:left w:w="20" w:type="dxa"/>
              <w:bottom w:w="40" w:type="dxa"/>
              <w:right w:w="20" w:type="dxa"/>
            </w:tcMar>
            <w:vAlign w:val="bottom"/>
          </w:tcPr>
          <w:p w14:paraId="74DDF173" w14:textId="77777777" w:rsidR="00584EC1" w:rsidRDefault="00871F8D">
            <w:pPr>
              <w:textAlignment w:val="bottom"/>
            </w:pPr>
            <w:r>
              <w:rPr>
                <w:rFonts w:ascii="Arial" w:eastAsia="宋体" w:hAnsi="Arial" w:cs="Arial"/>
                <w:color w:val="000000"/>
                <w:sz w:val="15"/>
                <w:szCs w:val="15"/>
              </w:rPr>
              <w:t>Technology</w:t>
            </w:r>
          </w:p>
        </w:tc>
        <w:tc>
          <w:tcPr>
            <w:tcW w:w="0" w:type="auto"/>
            <w:gridSpan w:val="2"/>
            <w:shd w:val="clear" w:color="auto" w:fill="FFFFFF"/>
            <w:tcMar>
              <w:top w:w="40" w:type="dxa"/>
              <w:left w:w="20" w:type="dxa"/>
              <w:bottom w:w="40" w:type="dxa"/>
              <w:right w:w="0" w:type="dxa"/>
            </w:tcMar>
            <w:vAlign w:val="bottom"/>
          </w:tcPr>
          <w:p w14:paraId="74DDF174" w14:textId="77777777" w:rsidR="00584EC1" w:rsidRDefault="00871F8D">
            <w:pPr>
              <w:jc w:val="right"/>
              <w:textAlignment w:val="bottom"/>
            </w:pPr>
            <w:r>
              <w:rPr>
                <w:rFonts w:ascii="Arial" w:eastAsia="宋体" w:hAnsi="Arial" w:cs="Arial"/>
                <w:color w:val="000000"/>
                <w:sz w:val="15"/>
                <w:szCs w:val="15"/>
              </w:rPr>
              <w:t>393 </w:t>
            </w:r>
          </w:p>
        </w:tc>
        <w:tc>
          <w:tcPr>
            <w:tcW w:w="0" w:type="auto"/>
            <w:shd w:val="clear" w:color="auto" w:fill="FFFFFF"/>
            <w:tcMar>
              <w:top w:w="40" w:type="dxa"/>
              <w:left w:w="0" w:type="dxa"/>
              <w:bottom w:w="40" w:type="dxa"/>
              <w:right w:w="20" w:type="dxa"/>
            </w:tcMar>
            <w:vAlign w:val="bottom"/>
          </w:tcPr>
          <w:p w14:paraId="74DDF17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17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177" w14:textId="77777777" w:rsidR="00584EC1" w:rsidRDefault="00871F8D">
            <w:pPr>
              <w:jc w:val="right"/>
              <w:textAlignment w:val="bottom"/>
            </w:pPr>
            <w:r>
              <w:rPr>
                <w:rFonts w:ascii="Arial" w:eastAsia="宋体" w:hAnsi="Arial" w:cs="Arial"/>
                <w:color w:val="000000"/>
                <w:sz w:val="15"/>
                <w:szCs w:val="15"/>
              </w:rPr>
              <w:t>(113)</w:t>
            </w:r>
          </w:p>
        </w:tc>
        <w:tc>
          <w:tcPr>
            <w:tcW w:w="0" w:type="auto"/>
            <w:shd w:val="clear" w:color="auto" w:fill="FFFFFF"/>
            <w:tcMar>
              <w:top w:w="40" w:type="dxa"/>
              <w:left w:w="0" w:type="dxa"/>
              <w:bottom w:w="40" w:type="dxa"/>
              <w:right w:w="20" w:type="dxa"/>
            </w:tcMar>
            <w:vAlign w:val="bottom"/>
          </w:tcPr>
          <w:p w14:paraId="74DDF17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17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17A" w14:textId="77777777" w:rsidR="00584EC1" w:rsidRDefault="00871F8D">
            <w:pPr>
              <w:jc w:val="right"/>
              <w:textAlignment w:val="bottom"/>
            </w:pPr>
            <w:r>
              <w:rPr>
                <w:rFonts w:ascii="Arial" w:eastAsia="宋体" w:hAnsi="Arial" w:cs="Arial"/>
                <w:color w:val="000000"/>
                <w:sz w:val="15"/>
                <w:szCs w:val="15"/>
              </w:rPr>
              <w:t>280 </w:t>
            </w:r>
          </w:p>
        </w:tc>
        <w:tc>
          <w:tcPr>
            <w:tcW w:w="0" w:type="auto"/>
            <w:shd w:val="clear" w:color="auto" w:fill="FFFFFF"/>
            <w:tcMar>
              <w:top w:w="40" w:type="dxa"/>
              <w:left w:w="0" w:type="dxa"/>
              <w:bottom w:w="40" w:type="dxa"/>
              <w:right w:w="20" w:type="dxa"/>
            </w:tcMar>
            <w:vAlign w:val="bottom"/>
          </w:tcPr>
          <w:p w14:paraId="74DDF17B" w14:textId="77777777" w:rsidR="00584EC1" w:rsidRDefault="00584EC1">
            <w:pPr>
              <w:jc w:val="right"/>
              <w:rPr>
                <w:rFonts w:ascii="宋体"/>
              </w:rPr>
            </w:pPr>
          </w:p>
        </w:tc>
      </w:tr>
      <w:tr w:rsidR="00584EC1" w14:paraId="74DDF186" w14:textId="77777777">
        <w:tc>
          <w:tcPr>
            <w:tcW w:w="0" w:type="auto"/>
            <w:gridSpan w:val="3"/>
            <w:shd w:val="clear" w:color="auto" w:fill="CCEEFF"/>
            <w:tcMar>
              <w:top w:w="40" w:type="dxa"/>
              <w:left w:w="20" w:type="dxa"/>
              <w:bottom w:w="40" w:type="dxa"/>
              <w:right w:w="20" w:type="dxa"/>
            </w:tcMar>
            <w:vAlign w:val="bottom"/>
          </w:tcPr>
          <w:p w14:paraId="74DDF17D" w14:textId="77777777" w:rsidR="00584EC1" w:rsidRDefault="00871F8D">
            <w:pPr>
              <w:textAlignment w:val="bottom"/>
            </w:pPr>
            <w:r>
              <w:rPr>
                <w:rFonts w:ascii="Arial" w:eastAsia="宋体" w:hAnsi="Arial" w:cs="Arial"/>
                <w:color w:val="000000"/>
                <w:sz w:val="15"/>
                <w:szCs w:val="15"/>
              </w:rPr>
              <w:t>Core deposits</w:t>
            </w:r>
          </w:p>
        </w:tc>
        <w:tc>
          <w:tcPr>
            <w:tcW w:w="0" w:type="auto"/>
            <w:gridSpan w:val="2"/>
            <w:shd w:val="clear" w:color="auto" w:fill="CCEEFF"/>
            <w:tcMar>
              <w:top w:w="40" w:type="dxa"/>
              <w:left w:w="20" w:type="dxa"/>
              <w:bottom w:w="40" w:type="dxa"/>
              <w:right w:w="0" w:type="dxa"/>
            </w:tcMar>
            <w:vAlign w:val="bottom"/>
          </w:tcPr>
          <w:p w14:paraId="74DDF17E" w14:textId="77777777" w:rsidR="00584EC1" w:rsidRDefault="00871F8D">
            <w:pPr>
              <w:jc w:val="right"/>
              <w:textAlignment w:val="bottom"/>
            </w:pPr>
            <w:r>
              <w:rPr>
                <w:rFonts w:ascii="Arial" w:eastAsia="宋体" w:hAnsi="Arial" w:cs="Arial"/>
                <w:color w:val="000000"/>
                <w:sz w:val="15"/>
                <w:szCs w:val="15"/>
              </w:rPr>
              <w:t>690 </w:t>
            </w:r>
          </w:p>
        </w:tc>
        <w:tc>
          <w:tcPr>
            <w:tcW w:w="0" w:type="auto"/>
            <w:shd w:val="clear" w:color="auto" w:fill="CCEEFF"/>
            <w:tcMar>
              <w:top w:w="40" w:type="dxa"/>
              <w:left w:w="0" w:type="dxa"/>
              <w:bottom w:w="40" w:type="dxa"/>
              <w:right w:w="20" w:type="dxa"/>
            </w:tcMar>
            <w:vAlign w:val="bottom"/>
          </w:tcPr>
          <w:p w14:paraId="74DDF17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18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F181" w14:textId="77777777" w:rsidR="00584EC1" w:rsidRDefault="00871F8D">
            <w:pPr>
              <w:jc w:val="right"/>
              <w:textAlignment w:val="bottom"/>
            </w:pPr>
            <w:r>
              <w:rPr>
                <w:rFonts w:ascii="Arial" w:eastAsia="宋体" w:hAnsi="Arial" w:cs="Arial"/>
                <w:color w:val="000000"/>
                <w:sz w:val="15"/>
                <w:szCs w:val="15"/>
              </w:rPr>
              <w:t>(425)</w:t>
            </w:r>
          </w:p>
        </w:tc>
        <w:tc>
          <w:tcPr>
            <w:tcW w:w="0" w:type="auto"/>
            <w:shd w:val="clear" w:color="auto" w:fill="CCEEFF"/>
            <w:tcMar>
              <w:top w:w="40" w:type="dxa"/>
              <w:left w:w="0" w:type="dxa"/>
              <w:bottom w:w="40" w:type="dxa"/>
              <w:right w:w="20" w:type="dxa"/>
            </w:tcMar>
            <w:vAlign w:val="bottom"/>
          </w:tcPr>
          <w:p w14:paraId="74DDF18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183"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F184" w14:textId="77777777" w:rsidR="00584EC1" w:rsidRDefault="00871F8D">
            <w:pPr>
              <w:jc w:val="right"/>
              <w:textAlignment w:val="bottom"/>
            </w:pPr>
            <w:r>
              <w:rPr>
                <w:rFonts w:ascii="Arial" w:eastAsia="宋体" w:hAnsi="Arial" w:cs="Arial"/>
                <w:color w:val="000000"/>
                <w:sz w:val="15"/>
                <w:szCs w:val="15"/>
              </w:rPr>
              <w:t>265 </w:t>
            </w:r>
          </w:p>
        </w:tc>
        <w:tc>
          <w:tcPr>
            <w:tcW w:w="0" w:type="auto"/>
            <w:shd w:val="clear" w:color="auto" w:fill="CCEEFF"/>
            <w:tcMar>
              <w:top w:w="40" w:type="dxa"/>
              <w:left w:w="0" w:type="dxa"/>
              <w:bottom w:w="40" w:type="dxa"/>
              <w:right w:w="20" w:type="dxa"/>
            </w:tcMar>
            <w:vAlign w:val="bottom"/>
          </w:tcPr>
          <w:p w14:paraId="74DDF185" w14:textId="77777777" w:rsidR="00584EC1" w:rsidRDefault="00584EC1">
            <w:pPr>
              <w:jc w:val="right"/>
              <w:rPr>
                <w:rFonts w:ascii="宋体"/>
              </w:rPr>
            </w:pPr>
          </w:p>
        </w:tc>
      </w:tr>
      <w:tr w:rsidR="00584EC1" w14:paraId="74DDF190" w14:textId="77777777">
        <w:tc>
          <w:tcPr>
            <w:tcW w:w="0" w:type="auto"/>
            <w:gridSpan w:val="3"/>
            <w:shd w:val="clear" w:color="auto" w:fill="auto"/>
            <w:tcMar>
              <w:top w:w="40" w:type="dxa"/>
              <w:left w:w="20" w:type="dxa"/>
              <w:bottom w:w="40" w:type="dxa"/>
              <w:right w:w="20" w:type="dxa"/>
            </w:tcMar>
            <w:vAlign w:val="bottom"/>
          </w:tcPr>
          <w:p w14:paraId="74DDF187" w14:textId="77777777" w:rsidR="00584EC1" w:rsidRDefault="00871F8D">
            <w:pPr>
              <w:textAlignment w:val="bottom"/>
            </w:pPr>
            <w:r>
              <w:rPr>
                <w:rFonts w:ascii="Arial" w:eastAsia="宋体" w:hAnsi="Arial" w:cs="Arial"/>
                <w:color w:val="000000"/>
                <w:sz w:val="15"/>
                <w:szCs w:val="15"/>
              </w:rPr>
              <w:t>Other</w:t>
            </w:r>
          </w:p>
        </w:tc>
        <w:tc>
          <w:tcPr>
            <w:tcW w:w="0" w:type="auto"/>
            <w:gridSpan w:val="2"/>
            <w:shd w:val="clear" w:color="auto" w:fill="FFFFFF"/>
            <w:tcMar>
              <w:top w:w="40" w:type="dxa"/>
              <w:left w:w="20" w:type="dxa"/>
              <w:bottom w:w="40" w:type="dxa"/>
              <w:right w:w="0" w:type="dxa"/>
            </w:tcMar>
            <w:vAlign w:val="bottom"/>
          </w:tcPr>
          <w:p w14:paraId="74DDF188" w14:textId="77777777" w:rsidR="00584EC1" w:rsidRDefault="00871F8D">
            <w:pPr>
              <w:jc w:val="right"/>
              <w:textAlignment w:val="bottom"/>
            </w:pPr>
            <w:r>
              <w:rPr>
                <w:rFonts w:ascii="Arial" w:eastAsia="宋体" w:hAnsi="Arial" w:cs="Arial"/>
                <w:color w:val="000000"/>
                <w:sz w:val="15"/>
                <w:szCs w:val="15"/>
              </w:rPr>
              <w:t>107 </w:t>
            </w:r>
          </w:p>
        </w:tc>
        <w:tc>
          <w:tcPr>
            <w:tcW w:w="0" w:type="auto"/>
            <w:shd w:val="clear" w:color="auto" w:fill="FFFFFF"/>
            <w:tcMar>
              <w:top w:w="40" w:type="dxa"/>
              <w:left w:w="0" w:type="dxa"/>
              <w:bottom w:w="40" w:type="dxa"/>
              <w:right w:w="20" w:type="dxa"/>
            </w:tcMar>
            <w:vAlign w:val="bottom"/>
          </w:tcPr>
          <w:p w14:paraId="74DDF18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18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18B" w14:textId="77777777" w:rsidR="00584EC1" w:rsidRDefault="00871F8D">
            <w:pPr>
              <w:jc w:val="right"/>
              <w:textAlignment w:val="bottom"/>
            </w:pPr>
            <w:r>
              <w:rPr>
                <w:rFonts w:ascii="Arial" w:eastAsia="宋体" w:hAnsi="Arial" w:cs="Arial"/>
                <w:color w:val="000000"/>
                <w:sz w:val="15"/>
                <w:szCs w:val="15"/>
              </w:rPr>
              <w:t>(79)</w:t>
            </w:r>
          </w:p>
        </w:tc>
        <w:tc>
          <w:tcPr>
            <w:tcW w:w="0" w:type="auto"/>
            <w:shd w:val="clear" w:color="auto" w:fill="FFFFFF"/>
            <w:tcMar>
              <w:top w:w="40" w:type="dxa"/>
              <w:left w:w="0" w:type="dxa"/>
              <w:bottom w:w="40" w:type="dxa"/>
              <w:right w:w="20" w:type="dxa"/>
            </w:tcMar>
            <w:vAlign w:val="bottom"/>
          </w:tcPr>
          <w:p w14:paraId="74DDF18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18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18E" w14:textId="77777777" w:rsidR="00584EC1" w:rsidRDefault="00871F8D">
            <w:pPr>
              <w:jc w:val="right"/>
              <w:textAlignment w:val="bottom"/>
            </w:pPr>
            <w:r>
              <w:rPr>
                <w:rFonts w:ascii="Arial" w:eastAsia="宋体" w:hAnsi="Arial" w:cs="Arial"/>
                <w:color w:val="000000"/>
                <w:sz w:val="15"/>
                <w:szCs w:val="15"/>
              </w:rPr>
              <w:t>28 </w:t>
            </w:r>
          </w:p>
        </w:tc>
        <w:tc>
          <w:tcPr>
            <w:tcW w:w="0" w:type="auto"/>
            <w:shd w:val="clear" w:color="auto" w:fill="FFFFFF"/>
            <w:tcMar>
              <w:top w:w="40" w:type="dxa"/>
              <w:left w:w="0" w:type="dxa"/>
              <w:bottom w:w="40" w:type="dxa"/>
              <w:right w:w="20" w:type="dxa"/>
            </w:tcMar>
            <w:vAlign w:val="bottom"/>
          </w:tcPr>
          <w:p w14:paraId="74DDF18F" w14:textId="77777777" w:rsidR="00584EC1" w:rsidRDefault="00584EC1">
            <w:pPr>
              <w:jc w:val="right"/>
              <w:rPr>
                <w:rFonts w:ascii="宋体"/>
              </w:rPr>
            </w:pPr>
          </w:p>
        </w:tc>
      </w:tr>
      <w:tr w:rsidR="00584EC1" w14:paraId="74DDF19D" w14:textId="77777777">
        <w:tc>
          <w:tcPr>
            <w:tcW w:w="0" w:type="auto"/>
            <w:gridSpan w:val="3"/>
            <w:shd w:val="clear" w:color="auto" w:fill="CCEEFF"/>
            <w:tcMar>
              <w:top w:w="40" w:type="dxa"/>
              <w:left w:w="20" w:type="dxa"/>
              <w:bottom w:w="40" w:type="dxa"/>
              <w:right w:w="20" w:type="dxa"/>
            </w:tcMar>
            <w:vAlign w:val="bottom"/>
          </w:tcPr>
          <w:p w14:paraId="74DDF191" w14:textId="77777777" w:rsidR="00584EC1" w:rsidRDefault="00871F8D">
            <w:pPr>
              <w:textAlignment w:val="bottom"/>
            </w:pPr>
            <w:r>
              <w:rPr>
                <w:rFonts w:ascii="Arial" w:eastAsia="宋体" w:hAnsi="Arial" w:cs="Arial"/>
                <w:color w:val="000000"/>
                <w:sz w:val="15"/>
                <w:szCs w:val="15"/>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F192"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F193" w14:textId="77777777" w:rsidR="00584EC1" w:rsidRDefault="00871F8D">
            <w:pPr>
              <w:jc w:val="right"/>
              <w:textAlignment w:val="bottom"/>
            </w:pPr>
            <w:r>
              <w:rPr>
                <w:rFonts w:ascii="Arial" w:eastAsia="宋体" w:hAnsi="Arial" w:cs="Arial"/>
                <w:color w:val="000000"/>
                <w:sz w:val="15"/>
                <w:szCs w:val="15"/>
              </w:rPr>
              <w:t>3,894 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F19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195"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F196"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F197" w14:textId="77777777" w:rsidR="00584EC1" w:rsidRDefault="00871F8D">
            <w:pPr>
              <w:jc w:val="right"/>
              <w:textAlignment w:val="bottom"/>
            </w:pPr>
            <w:r>
              <w:rPr>
                <w:rFonts w:ascii="Arial" w:eastAsia="宋体" w:hAnsi="Arial" w:cs="Arial"/>
                <w:color w:val="000000"/>
                <w:sz w:val="15"/>
                <w:szCs w:val="15"/>
              </w:rPr>
              <w:t>(2,067)</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F19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199"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F19A"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F19B" w14:textId="77777777" w:rsidR="00584EC1" w:rsidRDefault="00871F8D">
            <w:pPr>
              <w:jc w:val="right"/>
              <w:textAlignment w:val="bottom"/>
            </w:pPr>
            <w:r>
              <w:rPr>
                <w:rFonts w:ascii="Arial" w:eastAsia="宋体" w:hAnsi="Arial" w:cs="Arial"/>
                <w:color w:val="000000"/>
                <w:sz w:val="15"/>
                <w:szCs w:val="15"/>
              </w:rPr>
              <w:t>1,827 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F19C" w14:textId="77777777" w:rsidR="00584EC1" w:rsidRDefault="00584EC1">
            <w:pPr>
              <w:jc w:val="right"/>
              <w:rPr>
                <w:rFonts w:ascii="宋体"/>
              </w:rPr>
            </w:pPr>
          </w:p>
        </w:tc>
      </w:tr>
      <w:tr w:rsidR="00584EC1" w14:paraId="74DDF1A4" w14:textId="77777777">
        <w:trPr>
          <w:hidden/>
        </w:trPr>
        <w:tc>
          <w:tcPr>
            <w:tcW w:w="0" w:type="auto"/>
            <w:gridSpan w:val="3"/>
            <w:shd w:val="clear" w:color="auto" w:fill="auto"/>
            <w:vAlign w:val="bottom"/>
          </w:tcPr>
          <w:p w14:paraId="74DDF19E" w14:textId="77777777" w:rsidR="00584EC1" w:rsidRDefault="00584EC1">
            <w:pPr>
              <w:rPr>
                <w:rFonts w:ascii="宋体"/>
                <w:vanish/>
              </w:rPr>
            </w:pPr>
          </w:p>
        </w:tc>
        <w:tc>
          <w:tcPr>
            <w:tcW w:w="0" w:type="auto"/>
            <w:gridSpan w:val="3"/>
            <w:shd w:val="clear" w:color="auto" w:fill="auto"/>
            <w:vAlign w:val="bottom"/>
          </w:tcPr>
          <w:p w14:paraId="74DDF19F" w14:textId="77777777" w:rsidR="00584EC1" w:rsidRDefault="00584EC1">
            <w:pPr>
              <w:rPr>
                <w:rFonts w:ascii="宋体"/>
                <w:vanish/>
              </w:rPr>
            </w:pPr>
          </w:p>
        </w:tc>
        <w:tc>
          <w:tcPr>
            <w:tcW w:w="0" w:type="auto"/>
            <w:gridSpan w:val="3"/>
            <w:shd w:val="clear" w:color="auto" w:fill="auto"/>
            <w:vAlign w:val="bottom"/>
          </w:tcPr>
          <w:p w14:paraId="74DDF1A0" w14:textId="77777777" w:rsidR="00584EC1" w:rsidRDefault="00584EC1">
            <w:pPr>
              <w:rPr>
                <w:rFonts w:ascii="宋体"/>
                <w:vanish/>
              </w:rPr>
            </w:pPr>
          </w:p>
        </w:tc>
        <w:tc>
          <w:tcPr>
            <w:tcW w:w="0" w:type="auto"/>
            <w:gridSpan w:val="3"/>
            <w:shd w:val="clear" w:color="auto" w:fill="auto"/>
            <w:vAlign w:val="bottom"/>
          </w:tcPr>
          <w:p w14:paraId="74DDF1A1" w14:textId="77777777" w:rsidR="00584EC1" w:rsidRDefault="00584EC1">
            <w:pPr>
              <w:rPr>
                <w:rFonts w:ascii="宋体"/>
                <w:vanish/>
              </w:rPr>
            </w:pPr>
          </w:p>
        </w:tc>
        <w:tc>
          <w:tcPr>
            <w:tcW w:w="0" w:type="auto"/>
            <w:gridSpan w:val="3"/>
            <w:shd w:val="clear" w:color="auto" w:fill="auto"/>
            <w:vAlign w:val="bottom"/>
          </w:tcPr>
          <w:p w14:paraId="74DDF1A2" w14:textId="77777777" w:rsidR="00584EC1" w:rsidRDefault="00584EC1">
            <w:pPr>
              <w:rPr>
                <w:rFonts w:ascii="宋体"/>
                <w:vanish/>
              </w:rPr>
            </w:pPr>
          </w:p>
        </w:tc>
        <w:tc>
          <w:tcPr>
            <w:tcW w:w="0" w:type="auto"/>
            <w:gridSpan w:val="3"/>
            <w:shd w:val="clear" w:color="auto" w:fill="auto"/>
            <w:vAlign w:val="bottom"/>
          </w:tcPr>
          <w:p w14:paraId="74DDF1A3" w14:textId="77777777" w:rsidR="00584EC1" w:rsidRDefault="00584EC1">
            <w:pPr>
              <w:rPr>
                <w:rFonts w:ascii="宋体"/>
                <w:vanish/>
              </w:rPr>
            </w:pPr>
          </w:p>
        </w:tc>
      </w:tr>
    </w:tbl>
    <w:p w14:paraId="74DDF1A5" w14:textId="77777777" w:rsidR="00584EC1" w:rsidRDefault="00871F8D">
      <w:pPr>
        <w:spacing w:before="180"/>
        <w:textAlignment w:val="top"/>
      </w:pPr>
      <w:r>
        <w:rPr>
          <w:rFonts w:ascii="Arial" w:eastAsia="宋体" w:hAnsi="Arial" w:cs="Arial"/>
          <w:b/>
          <w:bCs/>
          <w:color w:val="000000"/>
          <w:sz w:val="20"/>
          <w:szCs w:val="20"/>
        </w:rPr>
        <w:t>Note 6.    Other Assets</w:t>
      </w:r>
    </w:p>
    <w:p w14:paraId="74DDF1A6" w14:textId="77777777" w:rsidR="00584EC1" w:rsidRDefault="00871F8D">
      <w:pPr>
        <w:spacing w:before="60"/>
        <w:ind w:firstLine="450"/>
        <w:jc w:val="both"/>
        <w:textAlignment w:val="top"/>
      </w:pPr>
      <w:r>
        <w:rPr>
          <w:rFonts w:ascii="Arial" w:eastAsia="宋体" w:hAnsi="Arial" w:cs="Arial"/>
          <w:color w:val="000000"/>
          <w:sz w:val="20"/>
          <w:szCs w:val="20"/>
        </w:rPr>
        <w:t>The following table presents the components of other assets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8"/>
        <w:gridCol w:w="3203"/>
        <w:gridCol w:w="39"/>
        <w:gridCol w:w="99"/>
        <w:gridCol w:w="2365"/>
        <w:gridCol w:w="36"/>
        <w:gridCol w:w="36"/>
        <w:gridCol w:w="79"/>
        <w:gridCol w:w="36"/>
        <w:gridCol w:w="99"/>
        <w:gridCol w:w="2260"/>
        <w:gridCol w:w="36"/>
      </w:tblGrid>
      <w:tr w:rsidR="00584EC1" w14:paraId="74DDF1B3" w14:textId="77777777">
        <w:tc>
          <w:tcPr>
            <w:tcW w:w="50" w:type="pct"/>
            <w:shd w:val="clear" w:color="auto" w:fill="auto"/>
            <w:vAlign w:val="bottom"/>
          </w:tcPr>
          <w:p w14:paraId="74DDF1A7" w14:textId="77777777" w:rsidR="00584EC1" w:rsidRDefault="00584EC1">
            <w:pPr>
              <w:rPr>
                <w:rFonts w:ascii="宋体"/>
              </w:rPr>
            </w:pPr>
          </w:p>
        </w:tc>
        <w:tc>
          <w:tcPr>
            <w:tcW w:w="1941" w:type="pct"/>
            <w:shd w:val="clear" w:color="auto" w:fill="auto"/>
            <w:vAlign w:val="bottom"/>
          </w:tcPr>
          <w:p w14:paraId="74DDF1A8" w14:textId="77777777" w:rsidR="00584EC1" w:rsidRDefault="00584EC1">
            <w:pPr>
              <w:rPr>
                <w:rFonts w:ascii="宋体"/>
              </w:rPr>
            </w:pPr>
          </w:p>
        </w:tc>
        <w:tc>
          <w:tcPr>
            <w:tcW w:w="5" w:type="pct"/>
            <w:shd w:val="clear" w:color="auto" w:fill="auto"/>
            <w:vAlign w:val="bottom"/>
          </w:tcPr>
          <w:p w14:paraId="74DDF1A9" w14:textId="77777777" w:rsidR="00584EC1" w:rsidRDefault="00584EC1">
            <w:pPr>
              <w:rPr>
                <w:rFonts w:ascii="宋体"/>
              </w:rPr>
            </w:pPr>
          </w:p>
        </w:tc>
        <w:tc>
          <w:tcPr>
            <w:tcW w:w="50" w:type="pct"/>
            <w:shd w:val="clear" w:color="auto" w:fill="auto"/>
            <w:vAlign w:val="bottom"/>
          </w:tcPr>
          <w:p w14:paraId="74DDF1AA" w14:textId="77777777" w:rsidR="00584EC1" w:rsidRDefault="00584EC1">
            <w:pPr>
              <w:rPr>
                <w:rFonts w:ascii="宋体"/>
              </w:rPr>
            </w:pPr>
          </w:p>
        </w:tc>
        <w:tc>
          <w:tcPr>
            <w:tcW w:w="1438" w:type="pct"/>
            <w:shd w:val="clear" w:color="auto" w:fill="auto"/>
            <w:vAlign w:val="bottom"/>
          </w:tcPr>
          <w:p w14:paraId="74DDF1AB" w14:textId="77777777" w:rsidR="00584EC1" w:rsidRDefault="00584EC1">
            <w:pPr>
              <w:rPr>
                <w:rFonts w:ascii="宋体"/>
              </w:rPr>
            </w:pPr>
          </w:p>
        </w:tc>
        <w:tc>
          <w:tcPr>
            <w:tcW w:w="5" w:type="pct"/>
            <w:shd w:val="clear" w:color="auto" w:fill="auto"/>
            <w:vAlign w:val="bottom"/>
          </w:tcPr>
          <w:p w14:paraId="74DDF1AC" w14:textId="77777777" w:rsidR="00584EC1" w:rsidRDefault="00584EC1">
            <w:pPr>
              <w:rPr>
                <w:rFonts w:ascii="宋体"/>
              </w:rPr>
            </w:pPr>
          </w:p>
        </w:tc>
        <w:tc>
          <w:tcPr>
            <w:tcW w:w="5" w:type="pct"/>
            <w:shd w:val="clear" w:color="auto" w:fill="auto"/>
            <w:vAlign w:val="bottom"/>
          </w:tcPr>
          <w:p w14:paraId="74DDF1AD" w14:textId="77777777" w:rsidR="00584EC1" w:rsidRDefault="00584EC1">
            <w:pPr>
              <w:rPr>
                <w:rFonts w:ascii="宋体"/>
              </w:rPr>
            </w:pPr>
          </w:p>
        </w:tc>
        <w:tc>
          <w:tcPr>
            <w:tcW w:w="68" w:type="pct"/>
            <w:shd w:val="clear" w:color="auto" w:fill="auto"/>
            <w:vAlign w:val="bottom"/>
          </w:tcPr>
          <w:p w14:paraId="74DDF1AE" w14:textId="77777777" w:rsidR="00584EC1" w:rsidRDefault="00584EC1">
            <w:pPr>
              <w:rPr>
                <w:rFonts w:ascii="宋体"/>
              </w:rPr>
            </w:pPr>
          </w:p>
        </w:tc>
        <w:tc>
          <w:tcPr>
            <w:tcW w:w="5" w:type="pct"/>
            <w:shd w:val="clear" w:color="auto" w:fill="auto"/>
            <w:vAlign w:val="bottom"/>
          </w:tcPr>
          <w:p w14:paraId="74DDF1AF" w14:textId="77777777" w:rsidR="00584EC1" w:rsidRDefault="00584EC1">
            <w:pPr>
              <w:rPr>
                <w:rFonts w:ascii="宋体"/>
              </w:rPr>
            </w:pPr>
          </w:p>
        </w:tc>
        <w:tc>
          <w:tcPr>
            <w:tcW w:w="50" w:type="pct"/>
            <w:shd w:val="clear" w:color="auto" w:fill="auto"/>
            <w:vAlign w:val="bottom"/>
          </w:tcPr>
          <w:p w14:paraId="74DDF1B0" w14:textId="77777777" w:rsidR="00584EC1" w:rsidRDefault="00584EC1">
            <w:pPr>
              <w:rPr>
                <w:rFonts w:ascii="宋体"/>
              </w:rPr>
            </w:pPr>
          </w:p>
        </w:tc>
        <w:tc>
          <w:tcPr>
            <w:tcW w:w="1375" w:type="pct"/>
            <w:shd w:val="clear" w:color="auto" w:fill="auto"/>
            <w:vAlign w:val="bottom"/>
          </w:tcPr>
          <w:p w14:paraId="74DDF1B1" w14:textId="77777777" w:rsidR="00584EC1" w:rsidRDefault="00584EC1">
            <w:pPr>
              <w:rPr>
                <w:rFonts w:ascii="宋体"/>
              </w:rPr>
            </w:pPr>
          </w:p>
        </w:tc>
        <w:tc>
          <w:tcPr>
            <w:tcW w:w="5" w:type="pct"/>
            <w:shd w:val="clear" w:color="auto" w:fill="auto"/>
            <w:vAlign w:val="bottom"/>
          </w:tcPr>
          <w:p w14:paraId="74DDF1B2" w14:textId="77777777" w:rsidR="00584EC1" w:rsidRDefault="00584EC1">
            <w:pPr>
              <w:rPr>
                <w:rFonts w:ascii="宋体"/>
              </w:rPr>
            </w:pPr>
          </w:p>
        </w:tc>
      </w:tr>
      <w:tr w:rsidR="00584EC1" w14:paraId="74DDF1B8" w14:textId="77777777">
        <w:tc>
          <w:tcPr>
            <w:tcW w:w="0" w:type="auto"/>
            <w:gridSpan w:val="3"/>
            <w:shd w:val="clear" w:color="auto" w:fill="auto"/>
            <w:tcMar>
              <w:top w:w="40" w:type="dxa"/>
              <w:left w:w="20" w:type="dxa"/>
              <w:bottom w:w="40" w:type="dxa"/>
              <w:right w:w="20" w:type="dxa"/>
            </w:tcMar>
            <w:vAlign w:val="bottom"/>
          </w:tcPr>
          <w:p w14:paraId="74DDF1B4" w14:textId="77777777" w:rsidR="00584EC1" w:rsidRDefault="00871F8D">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74DDF1B5" w14:textId="77777777" w:rsidR="00584EC1" w:rsidRDefault="00871F8D">
            <w:pPr>
              <w:jc w:val="center"/>
              <w:textAlignment w:val="bottom"/>
            </w:pPr>
            <w:r>
              <w:rPr>
                <w:rFonts w:ascii="Arial" w:eastAsia="宋体" w:hAnsi="Arial" w:cs="Arial"/>
                <w:b/>
                <w:bCs/>
                <w:color w:val="000000"/>
                <w:sz w:val="14"/>
                <w:szCs w:val="14"/>
              </w:rPr>
              <w:t>September 30, 2021</w:t>
            </w:r>
          </w:p>
        </w:tc>
        <w:tc>
          <w:tcPr>
            <w:tcW w:w="0" w:type="auto"/>
            <w:gridSpan w:val="3"/>
            <w:shd w:val="clear" w:color="auto" w:fill="auto"/>
            <w:tcMar>
              <w:top w:w="0" w:type="dxa"/>
              <w:left w:w="20" w:type="dxa"/>
              <w:bottom w:w="0" w:type="dxa"/>
              <w:right w:w="20" w:type="dxa"/>
            </w:tcMar>
            <w:vAlign w:val="bottom"/>
          </w:tcPr>
          <w:p w14:paraId="74DDF1B6"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F1B7" w14:textId="77777777" w:rsidR="00584EC1" w:rsidRDefault="00871F8D">
            <w:pPr>
              <w:jc w:val="center"/>
              <w:textAlignment w:val="bottom"/>
            </w:pPr>
            <w:r>
              <w:rPr>
                <w:rFonts w:ascii="Arial" w:eastAsia="宋体" w:hAnsi="Arial" w:cs="Arial"/>
                <w:b/>
                <w:bCs/>
                <w:color w:val="000000"/>
                <w:sz w:val="14"/>
                <w:szCs w:val="14"/>
              </w:rPr>
              <w:t>December 31, 2020</w:t>
            </w:r>
          </w:p>
        </w:tc>
      </w:tr>
      <w:tr w:rsidR="00584EC1" w14:paraId="74DDF1C1" w14:textId="77777777">
        <w:tc>
          <w:tcPr>
            <w:tcW w:w="0" w:type="auto"/>
            <w:gridSpan w:val="3"/>
            <w:shd w:val="clear" w:color="auto" w:fill="CCEEFF"/>
            <w:tcMar>
              <w:top w:w="40" w:type="dxa"/>
              <w:left w:w="20" w:type="dxa"/>
              <w:bottom w:w="40" w:type="dxa"/>
              <w:right w:w="20" w:type="dxa"/>
            </w:tcMar>
            <w:vAlign w:val="bottom"/>
          </w:tcPr>
          <w:p w14:paraId="74DDF1B9" w14:textId="77777777" w:rsidR="00584EC1" w:rsidRDefault="00871F8D">
            <w:pPr>
              <w:textAlignment w:val="bottom"/>
            </w:pPr>
            <w:r>
              <w:rPr>
                <w:rFonts w:ascii="Arial" w:eastAsia="宋体" w:hAnsi="Arial" w:cs="Arial"/>
                <w:color w:val="000000"/>
                <w:sz w:val="14"/>
                <w:szCs w:val="14"/>
              </w:rPr>
              <w:t>Securities borrowed</w:t>
            </w:r>
            <w:r>
              <w:rPr>
                <w:rFonts w:ascii="Arial" w:eastAsia="宋体" w:hAnsi="Arial" w:cs="Arial"/>
                <w:color w:val="000000"/>
                <w:sz w:val="9"/>
                <w:szCs w:val="9"/>
              </w:rPr>
              <w:t>(1)</w:t>
            </w:r>
          </w:p>
        </w:tc>
        <w:tc>
          <w:tcPr>
            <w:tcW w:w="0" w:type="auto"/>
            <w:tcBorders>
              <w:top w:val="single" w:sz="8" w:space="0" w:color="000000"/>
            </w:tcBorders>
            <w:shd w:val="clear" w:color="auto" w:fill="CCEEFF"/>
            <w:tcMar>
              <w:top w:w="40" w:type="dxa"/>
              <w:left w:w="20" w:type="dxa"/>
              <w:bottom w:w="40" w:type="dxa"/>
              <w:right w:w="0" w:type="dxa"/>
            </w:tcMar>
            <w:vAlign w:val="bottom"/>
          </w:tcPr>
          <w:p w14:paraId="74DDF1BA"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F1BB" w14:textId="77777777" w:rsidR="00584EC1" w:rsidRDefault="00871F8D">
            <w:pPr>
              <w:jc w:val="right"/>
              <w:textAlignment w:val="bottom"/>
            </w:pPr>
            <w:r>
              <w:rPr>
                <w:rFonts w:ascii="Arial" w:eastAsia="宋体" w:hAnsi="Arial" w:cs="Arial"/>
                <w:b/>
                <w:bCs/>
                <w:color w:val="000000"/>
                <w:sz w:val="14"/>
                <w:szCs w:val="14"/>
              </w:rPr>
              <w:t>26,643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F1B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1BD"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F1BE"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F1BF" w14:textId="77777777" w:rsidR="00584EC1" w:rsidRDefault="00871F8D">
            <w:pPr>
              <w:jc w:val="right"/>
              <w:textAlignment w:val="bottom"/>
            </w:pPr>
            <w:r>
              <w:rPr>
                <w:rFonts w:ascii="Arial" w:eastAsia="宋体" w:hAnsi="Arial" w:cs="Arial"/>
                <w:color w:val="000000"/>
                <w:sz w:val="14"/>
                <w:szCs w:val="14"/>
              </w:rPr>
              <w:t>18,330 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F1C0" w14:textId="77777777" w:rsidR="00584EC1" w:rsidRDefault="00584EC1">
            <w:pPr>
              <w:jc w:val="right"/>
              <w:rPr>
                <w:rFonts w:ascii="宋体"/>
              </w:rPr>
            </w:pPr>
          </w:p>
        </w:tc>
      </w:tr>
      <w:tr w:rsidR="00584EC1" w14:paraId="74DDF1C8" w14:textId="77777777">
        <w:tc>
          <w:tcPr>
            <w:tcW w:w="0" w:type="auto"/>
            <w:gridSpan w:val="3"/>
            <w:shd w:val="clear" w:color="auto" w:fill="FFFFFF"/>
            <w:tcMar>
              <w:top w:w="40" w:type="dxa"/>
              <w:left w:w="20" w:type="dxa"/>
              <w:bottom w:w="40" w:type="dxa"/>
              <w:right w:w="20" w:type="dxa"/>
            </w:tcMar>
            <w:vAlign w:val="bottom"/>
          </w:tcPr>
          <w:p w14:paraId="74DDF1C2" w14:textId="77777777" w:rsidR="00584EC1" w:rsidRDefault="00871F8D">
            <w:pPr>
              <w:textAlignment w:val="bottom"/>
            </w:pPr>
            <w:r>
              <w:rPr>
                <w:rFonts w:ascii="Arial" w:eastAsia="宋体" w:hAnsi="Arial" w:cs="Arial"/>
                <w:color w:val="000000"/>
                <w:sz w:val="14"/>
                <w:szCs w:val="14"/>
              </w:rPr>
              <w:t>Derivative instruments, net</w:t>
            </w:r>
          </w:p>
        </w:tc>
        <w:tc>
          <w:tcPr>
            <w:tcW w:w="0" w:type="auto"/>
            <w:gridSpan w:val="2"/>
            <w:shd w:val="clear" w:color="auto" w:fill="FFFFFF"/>
            <w:tcMar>
              <w:top w:w="40" w:type="dxa"/>
              <w:left w:w="20" w:type="dxa"/>
              <w:bottom w:w="40" w:type="dxa"/>
              <w:right w:w="0" w:type="dxa"/>
            </w:tcMar>
            <w:vAlign w:val="bottom"/>
          </w:tcPr>
          <w:p w14:paraId="74DDF1C3" w14:textId="77777777" w:rsidR="00584EC1" w:rsidRDefault="00871F8D">
            <w:pPr>
              <w:jc w:val="right"/>
              <w:textAlignment w:val="bottom"/>
            </w:pPr>
            <w:r>
              <w:rPr>
                <w:rFonts w:ascii="Arial" w:eastAsia="宋体" w:hAnsi="Arial" w:cs="Arial"/>
                <w:b/>
                <w:bCs/>
                <w:color w:val="000000"/>
                <w:sz w:val="14"/>
                <w:szCs w:val="14"/>
              </w:rPr>
              <w:t>7,565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F1C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1C5"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1C6" w14:textId="77777777" w:rsidR="00584EC1" w:rsidRDefault="00871F8D">
            <w:pPr>
              <w:jc w:val="right"/>
              <w:textAlignment w:val="bottom"/>
            </w:pPr>
            <w:r>
              <w:rPr>
                <w:rFonts w:ascii="Arial" w:eastAsia="宋体" w:hAnsi="Arial" w:cs="Arial"/>
                <w:color w:val="000000"/>
                <w:sz w:val="14"/>
                <w:szCs w:val="14"/>
              </w:rPr>
              <w:t>5,804 </w:t>
            </w:r>
          </w:p>
        </w:tc>
        <w:tc>
          <w:tcPr>
            <w:tcW w:w="0" w:type="auto"/>
            <w:shd w:val="clear" w:color="auto" w:fill="FFFFFF"/>
            <w:tcMar>
              <w:top w:w="40" w:type="dxa"/>
              <w:left w:w="0" w:type="dxa"/>
              <w:bottom w:w="40" w:type="dxa"/>
              <w:right w:w="20" w:type="dxa"/>
            </w:tcMar>
            <w:vAlign w:val="bottom"/>
          </w:tcPr>
          <w:p w14:paraId="74DDF1C7" w14:textId="77777777" w:rsidR="00584EC1" w:rsidRDefault="00584EC1">
            <w:pPr>
              <w:jc w:val="right"/>
              <w:rPr>
                <w:rFonts w:ascii="宋体"/>
              </w:rPr>
            </w:pPr>
          </w:p>
        </w:tc>
      </w:tr>
      <w:tr w:rsidR="00584EC1" w14:paraId="74DDF1CF" w14:textId="77777777">
        <w:tc>
          <w:tcPr>
            <w:tcW w:w="0" w:type="auto"/>
            <w:gridSpan w:val="3"/>
            <w:shd w:val="clear" w:color="auto" w:fill="CCEEFF"/>
            <w:tcMar>
              <w:top w:w="40" w:type="dxa"/>
              <w:left w:w="20" w:type="dxa"/>
              <w:bottom w:w="40" w:type="dxa"/>
              <w:right w:w="20" w:type="dxa"/>
            </w:tcMar>
            <w:vAlign w:val="bottom"/>
          </w:tcPr>
          <w:p w14:paraId="74DDF1C9" w14:textId="77777777" w:rsidR="00584EC1" w:rsidRDefault="00871F8D">
            <w:pPr>
              <w:textAlignment w:val="bottom"/>
            </w:pPr>
            <w:r>
              <w:rPr>
                <w:rFonts w:ascii="Arial" w:eastAsia="宋体" w:hAnsi="Arial" w:cs="Arial"/>
                <w:color w:val="000000"/>
                <w:sz w:val="14"/>
                <w:szCs w:val="14"/>
              </w:rPr>
              <w:t>Bank-owned life insurance</w:t>
            </w:r>
          </w:p>
        </w:tc>
        <w:tc>
          <w:tcPr>
            <w:tcW w:w="0" w:type="auto"/>
            <w:gridSpan w:val="2"/>
            <w:shd w:val="clear" w:color="auto" w:fill="CCEEFF"/>
            <w:tcMar>
              <w:top w:w="40" w:type="dxa"/>
              <w:left w:w="20" w:type="dxa"/>
              <w:bottom w:w="40" w:type="dxa"/>
              <w:right w:w="0" w:type="dxa"/>
            </w:tcMar>
            <w:vAlign w:val="bottom"/>
          </w:tcPr>
          <w:p w14:paraId="74DDF1CA" w14:textId="77777777" w:rsidR="00584EC1" w:rsidRDefault="00871F8D">
            <w:pPr>
              <w:jc w:val="right"/>
              <w:textAlignment w:val="bottom"/>
            </w:pPr>
            <w:r>
              <w:rPr>
                <w:rFonts w:ascii="Arial" w:eastAsia="宋体" w:hAnsi="Arial" w:cs="Arial"/>
                <w:b/>
                <w:bCs/>
                <w:color w:val="000000"/>
                <w:sz w:val="14"/>
                <w:szCs w:val="14"/>
              </w:rPr>
              <w:t>3,548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F1C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1CC"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F1CD" w14:textId="77777777" w:rsidR="00584EC1" w:rsidRDefault="00871F8D">
            <w:pPr>
              <w:jc w:val="right"/>
              <w:textAlignment w:val="bottom"/>
            </w:pPr>
            <w:r>
              <w:rPr>
                <w:rFonts w:ascii="Arial" w:eastAsia="宋体" w:hAnsi="Arial" w:cs="Arial"/>
                <w:color w:val="000000"/>
                <w:sz w:val="14"/>
                <w:szCs w:val="14"/>
              </w:rPr>
              <w:t>3,479 </w:t>
            </w:r>
          </w:p>
        </w:tc>
        <w:tc>
          <w:tcPr>
            <w:tcW w:w="0" w:type="auto"/>
            <w:shd w:val="clear" w:color="auto" w:fill="CCEEFF"/>
            <w:tcMar>
              <w:top w:w="40" w:type="dxa"/>
              <w:left w:w="0" w:type="dxa"/>
              <w:bottom w:w="40" w:type="dxa"/>
              <w:right w:w="20" w:type="dxa"/>
            </w:tcMar>
            <w:vAlign w:val="bottom"/>
          </w:tcPr>
          <w:p w14:paraId="74DDF1CE" w14:textId="77777777" w:rsidR="00584EC1" w:rsidRDefault="00584EC1">
            <w:pPr>
              <w:jc w:val="right"/>
              <w:rPr>
                <w:rFonts w:ascii="宋体"/>
              </w:rPr>
            </w:pPr>
          </w:p>
        </w:tc>
      </w:tr>
      <w:tr w:rsidR="00584EC1" w14:paraId="74DDF1D6" w14:textId="77777777">
        <w:tc>
          <w:tcPr>
            <w:tcW w:w="0" w:type="auto"/>
            <w:gridSpan w:val="3"/>
            <w:shd w:val="clear" w:color="auto" w:fill="FFFFFF"/>
            <w:tcMar>
              <w:top w:w="40" w:type="dxa"/>
              <w:left w:w="20" w:type="dxa"/>
              <w:bottom w:w="40" w:type="dxa"/>
              <w:right w:w="20" w:type="dxa"/>
            </w:tcMar>
            <w:vAlign w:val="bottom"/>
          </w:tcPr>
          <w:p w14:paraId="74DDF1D0" w14:textId="77777777" w:rsidR="00584EC1" w:rsidRDefault="00871F8D">
            <w:pPr>
              <w:textAlignment w:val="bottom"/>
            </w:pPr>
            <w:r>
              <w:rPr>
                <w:rFonts w:ascii="Arial" w:eastAsia="宋体" w:hAnsi="Arial" w:cs="Arial"/>
                <w:color w:val="000000"/>
                <w:sz w:val="14"/>
                <w:szCs w:val="14"/>
              </w:rPr>
              <w:t>Investments in joint ventures and other unconsolidated entities</w:t>
            </w:r>
          </w:p>
        </w:tc>
        <w:tc>
          <w:tcPr>
            <w:tcW w:w="0" w:type="auto"/>
            <w:gridSpan w:val="2"/>
            <w:shd w:val="clear" w:color="auto" w:fill="FFFFFF"/>
            <w:tcMar>
              <w:top w:w="40" w:type="dxa"/>
              <w:left w:w="20" w:type="dxa"/>
              <w:bottom w:w="40" w:type="dxa"/>
              <w:right w:w="0" w:type="dxa"/>
            </w:tcMar>
            <w:vAlign w:val="bottom"/>
          </w:tcPr>
          <w:p w14:paraId="74DDF1D1" w14:textId="77777777" w:rsidR="00584EC1" w:rsidRDefault="00871F8D">
            <w:pPr>
              <w:jc w:val="right"/>
              <w:textAlignment w:val="bottom"/>
            </w:pPr>
            <w:r>
              <w:rPr>
                <w:rFonts w:ascii="Arial" w:eastAsia="宋体" w:hAnsi="Arial" w:cs="Arial"/>
                <w:b/>
                <w:bCs/>
                <w:color w:val="000000"/>
                <w:sz w:val="14"/>
                <w:szCs w:val="14"/>
              </w:rPr>
              <w:t>3,140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F1D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1D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1D4" w14:textId="77777777" w:rsidR="00584EC1" w:rsidRDefault="00871F8D">
            <w:pPr>
              <w:jc w:val="right"/>
              <w:textAlignment w:val="bottom"/>
            </w:pPr>
            <w:r>
              <w:rPr>
                <w:rFonts w:ascii="Arial" w:eastAsia="宋体" w:hAnsi="Arial" w:cs="Arial"/>
                <w:color w:val="000000"/>
                <w:sz w:val="14"/>
                <w:szCs w:val="14"/>
              </w:rPr>
              <w:t>3,095 </w:t>
            </w:r>
          </w:p>
        </w:tc>
        <w:tc>
          <w:tcPr>
            <w:tcW w:w="0" w:type="auto"/>
            <w:shd w:val="clear" w:color="auto" w:fill="FFFFFF"/>
            <w:tcMar>
              <w:top w:w="40" w:type="dxa"/>
              <w:left w:w="0" w:type="dxa"/>
              <w:bottom w:w="40" w:type="dxa"/>
              <w:right w:w="20" w:type="dxa"/>
            </w:tcMar>
            <w:vAlign w:val="bottom"/>
          </w:tcPr>
          <w:p w14:paraId="74DDF1D5" w14:textId="77777777" w:rsidR="00584EC1" w:rsidRDefault="00584EC1">
            <w:pPr>
              <w:jc w:val="right"/>
              <w:rPr>
                <w:rFonts w:ascii="宋体"/>
              </w:rPr>
            </w:pPr>
          </w:p>
        </w:tc>
      </w:tr>
      <w:tr w:rsidR="00584EC1" w14:paraId="74DDF1DD" w14:textId="77777777">
        <w:tc>
          <w:tcPr>
            <w:tcW w:w="0" w:type="auto"/>
            <w:gridSpan w:val="3"/>
            <w:shd w:val="clear" w:color="auto" w:fill="CCEEFF"/>
            <w:tcMar>
              <w:top w:w="40" w:type="dxa"/>
              <w:left w:w="20" w:type="dxa"/>
              <w:bottom w:w="40" w:type="dxa"/>
              <w:right w:w="20" w:type="dxa"/>
            </w:tcMar>
            <w:vAlign w:val="bottom"/>
          </w:tcPr>
          <w:p w14:paraId="74DDF1D7" w14:textId="77777777" w:rsidR="00584EC1" w:rsidRDefault="00871F8D">
            <w:pPr>
              <w:textAlignment w:val="bottom"/>
            </w:pPr>
            <w:r>
              <w:rPr>
                <w:rFonts w:ascii="Arial" w:eastAsia="宋体" w:hAnsi="Arial" w:cs="Arial"/>
                <w:color w:val="000000"/>
                <w:sz w:val="14"/>
                <w:szCs w:val="14"/>
              </w:rPr>
              <w:t>Collateral, net</w:t>
            </w:r>
          </w:p>
        </w:tc>
        <w:tc>
          <w:tcPr>
            <w:tcW w:w="0" w:type="auto"/>
            <w:gridSpan w:val="2"/>
            <w:shd w:val="clear" w:color="auto" w:fill="CCEEFF"/>
            <w:tcMar>
              <w:top w:w="40" w:type="dxa"/>
              <w:left w:w="20" w:type="dxa"/>
              <w:bottom w:w="40" w:type="dxa"/>
              <w:right w:w="0" w:type="dxa"/>
            </w:tcMar>
            <w:vAlign w:val="bottom"/>
          </w:tcPr>
          <w:p w14:paraId="74DDF1D8" w14:textId="77777777" w:rsidR="00584EC1" w:rsidRDefault="00871F8D">
            <w:pPr>
              <w:jc w:val="right"/>
              <w:textAlignment w:val="bottom"/>
            </w:pPr>
            <w:r>
              <w:rPr>
                <w:rFonts w:ascii="Arial" w:eastAsia="宋体" w:hAnsi="Arial" w:cs="Arial"/>
                <w:b/>
                <w:bCs/>
                <w:color w:val="000000"/>
                <w:sz w:val="14"/>
                <w:szCs w:val="14"/>
              </w:rPr>
              <w:t>1,348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F1D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1DA"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F1DB" w14:textId="77777777" w:rsidR="00584EC1" w:rsidRDefault="00871F8D">
            <w:pPr>
              <w:jc w:val="right"/>
              <w:textAlignment w:val="bottom"/>
            </w:pPr>
            <w:r>
              <w:rPr>
                <w:rFonts w:ascii="Arial" w:eastAsia="宋体" w:hAnsi="Arial" w:cs="Arial"/>
                <w:color w:val="000000"/>
                <w:sz w:val="14"/>
                <w:szCs w:val="14"/>
              </w:rPr>
              <w:t>2,616 </w:t>
            </w:r>
          </w:p>
        </w:tc>
        <w:tc>
          <w:tcPr>
            <w:tcW w:w="0" w:type="auto"/>
            <w:shd w:val="clear" w:color="auto" w:fill="CCEEFF"/>
            <w:tcMar>
              <w:top w:w="40" w:type="dxa"/>
              <w:left w:w="0" w:type="dxa"/>
              <w:bottom w:w="40" w:type="dxa"/>
              <w:right w:w="20" w:type="dxa"/>
            </w:tcMar>
            <w:vAlign w:val="bottom"/>
          </w:tcPr>
          <w:p w14:paraId="74DDF1DC" w14:textId="77777777" w:rsidR="00584EC1" w:rsidRDefault="00584EC1">
            <w:pPr>
              <w:jc w:val="right"/>
              <w:rPr>
                <w:rFonts w:ascii="宋体"/>
              </w:rPr>
            </w:pPr>
          </w:p>
        </w:tc>
      </w:tr>
      <w:tr w:rsidR="00584EC1" w14:paraId="74DDF1E4" w14:textId="77777777">
        <w:tc>
          <w:tcPr>
            <w:tcW w:w="0" w:type="auto"/>
            <w:gridSpan w:val="3"/>
            <w:shd w:val="clear" w:color="auto" w:fill="FFFFFF"/>
            <w:tcMar>
              <w:top w:w="40" w:type="dxa"/>
              <w:left w:w="20" w:type="dxa"/>
              <w:bottom w:w="40" w:type="dxa"/>
              <w:right w:w="20" w:type="dxa"/>
            </w:tcMar>
            <w:vAlign w:val="bottom"/>
          </w:tcPr>
          <w:p w14:paraId="74DDF1DE" w14:textId="77777777" w:rsidR="00584EC1" w:rsidRDefault="00871F8D">
            <w:pPr>
              <w:textAlignment w:val="bottom"/>
            </w:pPr>
            <w:r>
              <w:rPr>
                <w:rFonts w:ascii="Arial" w:eastAsia="宋体" w:hAnsi="Arial" w:cs="Arial"/>
                <w:color w:val="000000"/>
                <w:sz w:val="14"/>
                <w:szCs w:val="14"/>
              </w:rPr>
              <w:t>Receivable for securities settlement</w:t>
            </w:r>
          </w:p>
        </w:tc>
        <w:tc>
          <w:tcPr>
            <w:tcW w:w="0" w:type="auto"/>
            <w:gridSpan w:val="2"/>
            <w:shd w:val="clear" w:color="auto" w:fill="FFFFFF"/>
            <w:tcMar>
              <w:top w:w="40" w:type="dxa"/>
              <w:left w:w="20" w:type="dxa"/>
              <w:bottom w:w="40" w:type="dxa"/>
              <w:right w:w="0" w:type="dxa"/>
            </w:tcMar>
            <w:vAlign w:val="bottom"/>
          </w:tcPr>
          <w:p w14:paraId="74DDF1DF" w14:textId="77777777" w:rsidR="00584EC1" w:rsidRDefault="00871F8D">
            <w:pPr>
              <w:jc w:val="right"/>
              <w:textAlignment w:val="bottom"/>
            </w:pPr>
            <w:r>
              <w:rPr>
                <w:rFonts w:ascii="Arial" w:eastAsia="宋体" w:hAnsi="Arial" w:cs="Arial"/>
                <w:b/>
                <w:bCs/>
                <w:color w:val="000000"/>
                <w:sz w:val="14"/>
                <w:szCs w:val="14"/>
              </w:rPr>
              <w:t>621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F1E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1E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1E2" w14:textId="77777777" w:rsidR="00584EC1" w:rsidRDefault="00871F8D">
            <w:pPr>
              <w:jc w:val="right"/>
              <w:textAlignment w:val="bottom"/>
            </w:pPr>
            <w:r>
              <w:rPr>
                <w:rFonts w:ascii="Arial" w:eastAsia="宋体" w:hAnsi="Arial" w:cs="Arial"/>
                <w:color w:val="000000"/>
                <w:sz w:val="14"/>
                <w:szCs w:val="14"/>
              </w:rPr>
              <w:t>117 </w:t>
            </w:r>
          </w:p>
        </w:tc>
        <w:tc>
          <w:tcPr>
            <w:tcW w:w="0" w:type="auto"/>
            <w:shd w:val="clear" w:color="auto" w:fill="FFFFFF"/>
            <w:tcMar>
              <w:top w:w="40" w:type="dxa"/>
              <w:left w:w="0" w:type="dxa"/>
              <w:bottom w:w="40" w:type="dxa"/>
              <w:right w:w="20" w:type="dxa"/>
            </w:tcMar>
            <w:vAlign w:val="bottom"/>
          </w:tcPr>
          <w:p w14:paraId="74DDF1E3" w14:textId="77777777" w:rsidR="00584EC1" w:rsidRDefault="00584EC1">
            <w:pPr>
              <w:jc w:val="right"/>
              <w:rPr>
                <w:rFonts w:ascii="宋体"/>
              </w:rPr>
            </w:pPr>
          </w:p>
        </w:tc>
      </w:tr>
      <w:tr w:rsidR="00584EC1" w14:paraId="74DDF1EB" w14:textId="77777777">
        <w:tc>
          <w:tcPr>
            <w:tcW w:w="0" w:type="auto"/>
            <w:gridSpan w:val="3"/>
            <w:shd w:val="clear" w:color="auto" w:fill="CCEEFF"/>
            <w:tcMar>
              <w:top w:w="40" w:type="dxa"/>
              <w:left w:w="20" w:type="dxa"/>
              <w:bottom w:w="40" w:type="dxa"/>
              <w:right w:w="20" w:type="dxa"/>
            </w:tcMar>
            <w:vAlign w:val="bottom"/>
          </w:tcPr>
          <w:p w14:paraId="74DDF1E5" w14:textId="77777777" w:rsidR="00584EC1" w:rsidRDefault="00871F8D">
            <w:pPr>
              <w:textAlignment w:val="bottom"/>
            </w:pPr>
            <w:r>
              <w:rPr>
                <w:rFonts w:ascii="Arial" w:eastAsia="宋体" w:hAnsi="Arial" w:cs="Arial"/>
                <w:color w:val="000000"/>
                <w:sz w:val="14"/>
                <w:szCs w:val="14"/>
              </w:rPr>
              <w:t>Right-of-use assets</w:t>
            </w:r>
          </w:p>
        </w:tc>
        <w:tc>
          <w:tcPr>
            <w:tcW w:w="0" w:type="auto"/>
            <w:gridSpan w:val="2"/>
            <w:shd w:val="clear" w:color="auto" w:fill="CCEEFF"/>
            <w:tcMar>
              <w:top w:w="40" w:type="dxa"/>
              <w:left w:w="20" w:type="dxa"/>
              <w:bottom w:w="40" w:type="dxa"/>
              <w:right w:w="0" w:type="dxa"/>
            </w:tcMar>
            <w:vAlign w:val="bottom"/>
          </w:tcPr>
          <w:p w14:paraId="74DDF1E6" w14:textId="77777777" w:rsidR="00584EC1" w:rsidRDefault="00871F8D">
            <w:pPr>
              <w:jc w:val="right"/>
              <w:textAlignment w:val="bottom"/>
            </w:pPr>
            <w:r>
              <w:rPr>
                <w:rFonts w:ascii="Arial" w:eastAsia="宋体" w:hAnsi="Arial" w:cs="Arial"/>
                <w:b/>
                <w:bCs/>
                <w:color w:val="000000"/>
                <w:sz w:val="14"/>
                <w:szCs w:val="14"/>
              </w:rPr>
              <w:t>612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F1E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1E8"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F1E9" w14:textId="77777777" w:rsidR="00584EC1" w:rsidRDefault="00871F8D">
            <w:pPr>
              <w:jc w:val="right"/>
              <w:textAlignment w:val="bottom"/>
            </w:pPr>
            <w:r>
              <w:rPr>
                <w:rFonts w:ascii="Arial" w:eastAsia="宋体" w:hAnsi="Arial" w:cs="Arial"/>
                <w:color w:val="000000"/>
                <w:sz w:val="14"/>
                <w:szCs w:val="14"/>
              </w:rPr>
              <w:t>720 </w:t>
            </w:r>
          </w:p>
        </w:tc>
        <w:tc>
          <w:tcPr>
            <w:tcW w:w="0" w:type="auto"/>
            <w:shd w:val="clear" w:color="auto" w:fill="CCEEFF"/>
            <w:tcMar>
              <w:top w:w="40" w:type="dxa"/>
              <w:left w:w="0" w:type="dxa"/>
              <w:bottom w:w="40" w:type="dxa"/>
              <w:right w:w="20" w:type="dxa"/>
            </w:tcMar>
            <w:vAlign w:val="bottom"/>
          </w:tcPr>
          <w:p w14:paraId="74DDF1EA" w14:textId="77777777" w:rsidR="00584EC1" w:rsidRDefault="00584EC1">
            <w:pPr>
              <w:jc w:val="right"/>
              <w:rPr>
                <w:rFonts w:ascii="宋体"/>
              </w:rPr>
            </w:pPr>
          </w:p>
        </w:tc>
      </w:tr>
      <w:tr w:rsidR="00584EC1" w14:paraId="74DDF1F2" w14:textId="77777777">
        <w:tc>
          <w:tcPr>
            <w:tcW w:w="0" w:type="auto"/>
            <w:gridSpan w:val="3"/>
            <w:shd w:val="clear" w:color="auto" w:fill="FFFFFF"/>
            <w:tcMar>
              <w:top w:w="40" w:type="dxa"/>
              <w:left w:w="20" w:type="dxa"/>
              <w:bottom w:w="40" w:type="dxa"/>
              <w:right w:w="20" w:type="dxa"/>
            </w:tcMar>
            <w:vAlign w:val="bottom"/>
          </w:tcPr>
          <w:p w14:paraId="74DDF1EC" w14:textId="77777777" w:rsidR="00584EC1" w:rsidRDefault="00871F8D">
            <w:pPr>
              <w:textAlignment w:val="bottom"/>
            </w:pPr>
            <w:r>
              <w:rPr>
                <w:rFonts w:ascii="Arial" w:eastAsia="宋体" w:hAnsi="Arial" w:cs="Arial"/>
                <w:color w:val="000000"/>
                <w:sz w:val="14"/>
                <w:szCs w:val="14"/>
              </w:rPr>
              <w:t>Prepaid expenses</w:t>
            </w:r>
          </w:p>
        </w:tc>
        <w:tc>
          <w:tcPr>
            <w:tcW w:w="0" w:type="auto"/>
            <w:gridSpan w:val="2"/>
            <w:shd w:val="clear" w:color="auto" w:fill="FFFFFF"/>
            <w:tcMar>
              <w:top w:w="40" w:type="dxa"/>
              <w:left w:w="20" w:type="dxa"/>
              <w:bottom w:w="40" w:type="dxa"/>
              <w:right w:w="0" w:type="dxa"/>
            </w:tcMar>
            <w:vAlign w:val="bottom"/>
          </w:tcPr>
          <w:p w14:paraId="74DDF1ED" w14:textId="77777777" w:rsidR="00584EC1" w:rsidRDefault="00871F8D">
            <w:pPr>
              <w:jc w:val="right"/>
              <w:textAlignment w:val="bottom"/>
            </w:pPr>
            <w:r>
              <w:rPr>
                <w:rFonts w:ascii="Arial" w:eastAsia="宋体" w:hAnsi="Arial" w:cs="Arial"/>
                <w:b/>
                <w:bCs/>
                <w:color w:val="000000"/>
                <w:sz w:val="14"/>
                <w:szCs w:val="14"/>
              </w:rPr>
              <w:t>474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F1E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1E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1F0" w14:textId="77777777" w:rsidR="00584EC1" w:rsidRDefault="00871F8D">
            <w:pPr>
              <w:jc w:val="right"/>
              <w:textAlignment w:val="bottom"/>
            </w:pPr>
            <w:r>
              <w:rPr>
                <w:rFonts w:ascii="Arial" w:eastAsia="宋体" w:hAnsi="Arial" w:cs="Arial"/>
                <w:color w:val="000000"/>
                <w:sz w:val="14"/>
                <w:szCs w:val="14"/>
              </w:rPr>
              <w:t>383 </w:t>
            </w:r>
          </w:p>
        </w:tc>
        <w:tc>
          <w:tcPr>
            <w:tcW w:w="0" w:type="auto"/>
            <w:shd w:val="clear" w:color="auto" w:fill="FFFFFF"/>
            <w:tcMar>
              <w:top w:w="40" w:type="dxa"/>
              <w:left w:w="0" w:type="dxa"/>
              <w:bottom w:w="40" w:type="dxa"/>
              <w:right w:w="20" w:type="dxa"/>
            </w:tcMar>
            <w:vAlign w:val="bottom"/>
          </w:tcPr>
          <w:p w14:paraId="74DDF1F1" w14:textId="77777777" w:rsidR="00584EC1" w:rsidRDefault="00584EC1">
            <w:pPr>
              <w:jc w:val="right"/>
              <w:rPr>
                <w:rFonts w:ascii="宋体"/>
              </w:rPr>
            </w:pPr>
          </w:p>
        </w:tc>
      </w:tr>
      <w:tr w:rsidR="00584EC1" w14:paraId="74DDF1F9" w14:textId="77777777">
        <w:tc>
          <w:tcPr>
            <w:tcW w:w="0" w:type="auto"/>
            <w:gridSpan w:val="3"/>
            <w:shd w:val="clear" w:color="auto" w:fill="CCEEFF"/>
            <w:tcMar>
              <w:top w:w="40" w:type="dxa"/>
              <w:left w:w="20" w:type="dxa"/>
              <w:bottom w:w="40" w:type="dxa"/>
              <w:right w:w="20" w:type="dxa"/>
            </w:tcMar>
            <w:vAlign w:val="bottom"/>
          </w:tcPr>
          <w:p w14:paraId="74DDF1F3" w14:textId="77777777" w:rsidR="00584EC1" w:rsidRDefault="00871F8D">
            <w:pPr>
              <w:textAlignment w:val="bottom"/>
            </w:pPr>
            <w:r>
              <w:rPr>
                <w:rFonts w:ascii="Arial" w:eastAsia="宋体" w:hAnsi="Arial" w:cs="Arial"/>
                <w:color w:val="000000"/>
                <w:sz w:val="14"/>
                <w:szCs w:val="14"/>
              </w:rPr>
              <w:t>Accounts receivable</w:t>
            </w:r>
          </w:p>
        </w:tc>
        <w:tc>
          <w:tcPr>
            <w:tcW w:w="0" w:type="auto"/>
            <w:gridSpan w:val="2"/>
            <w:shd w:val="clear" w:color="auto" w:fill="CCEEFF"/>
            <w:tcMar>
              <w:top w:w="40" w:type="dxa"/>
              <w:left w:w="20" w:type="dxa"/>
              <w:bottom w:w="40" w:type="dxa"/>
              <w:right w:w="0" w:type="dxa"/>
            </w:tcMar>
            <w:vAlign w:val="bottom"/>
          </w:tcPr>
          <w:p w14:paraId="74DDF1F4" w14:textId="77777777" w:rsidR="00584EC1" w:rsidRDefault="00871F8D">
            <w:pPr>
              <w:jc w:val="right"/>
              <w:textAlignment w:val="bottom"/>
            </w:pPr>
            <w:r>
              <w:rPr>
                <w:rFonts w:ascii="Arial" w:eastAsia="宋体" w:hAnsi="Arial" w:cs="Arial"/>
                <w:b/>
                <w:bCs/>
                <w:color w:val="000000"/>
                <w:sz w:val="14"/>
                <w:szCs w:val="14"/>
              </w:rPr>
              <w:t>395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F1F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1F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F1F7" w14:textId="77777777" w:rsidR="00584EC1" w:rsidRDefault="00871F8D">
            <w:pPr>
              <w:jc w:val="right"/>
              <w:textAlignment w:val="bottom"/>
            </w:pPr>
            <w:r>
              <w:rPr>
                <w:rFonts w:ascii="Arial" w:eastAsia="宋体" w:hAnsi="Arial" w:cs="Arial"/>
                <w:color w:val="000000"/>
                <w:sz w:val="14"/>
                <w:szCs w:val="14"/>
              </w:rPr>
              <w:t>379 </w:t>
            </w:r>
          </w:p>
        </w:tc>
        <w:tc>
          <w:tcPr>
            <w:tcW w:w="0" w:type="auto"/>
            <w:shd w:val="clear" w:color="auto" w:fill="CCEEFF"/>
            <w:tcMar>
              <w:top w:w="40" w:type="dxa"/>
              <w:left w:w="0" w:type="dxa"/>
              <w:bottom w:w="40" w:type="dxa"/>
              <w:right w:w="20" w:type="dxa"/>
            </w:tcMar>
            <w:vAlign w:val="bottom"/>
          </w:tcPr>
          <w:p w14:paraId="74DDF1F8" w14:textId="77777777" w:rsidR="00584EC1" w:rsidRDefault="00584EC1">
            <w:pPr>
              <w:jc w:val="right"/>
              <w:rPr>
                <w:rFonts w:ascii="宋体"/>
              </w:rPr>
            </w:pPr>
          </w:p>
        </w:tc>
      </w:tr>
      <w:tr w:rsidR="00584EC1" w14:paraId="74DDF200" w14:textId="77777777">
        <w:tc>
          <w:tcPr>
            <w:tcW w:w="0" w:type="auto"/>
            <w:gridSpan w:val="3"/>
            <w:shd w:val="clear" w:color="auto" w:fill="FFFFFF"/>
            <w:tcMar>
              <w:top w:w="40" w:type="dxa"/>
              <w:left w:w="20" w:type="dxa"/>
              <w:bottom w:w="40" w:type="dxa"/>
              <w:right w:w="20" w:type="dxa"/>
            </w:tcMar>
            <w:vAlign w:val="bottom"/>
          </w:tcPr>
          <w:p w14:paraId="74DDF1FA" w14:textId="77777777" w:rsidR="00584EC1" w:rsidRDefault="00871F8D">
            <w:pPr>
              <w:jc w:val="both"/>
              <w:textAlignment w:val="bottom"/>
            </w:pPr>
            <w:r>
              <w:rPr>
                <w:rFonts w:ascii="Arial" w:eastAsia="宋体" w:hAnsi="Arial" w:cs="Arial"/>
                <w:color w:val="000000"/>
                <w:sz w:val="14"/>
                <w:szCs w:val="14"/>
              </w:rPr>
              <w:t>Income tax receivable</w:t>
            </w:r>
          </w:p>
        </w:tc>
        <w:tc>
          <w:tcPr>
            <w:tcW w:w="0" w:type="auto"/>
            <w:gridSpan w:val="2"/>
            <w:shd w:val="clear" w:color="auto" w:fill="FFFFFF"/>
            <w:tcMar>
              <w:top w:w="40" w:type="dxa"/>
              <w:left w:w="20" w:type="dxa"/>
              <w:bottom w:w="40" w:type="dxa"/>
              <w:right w:w="0" w:type="dxa"/>
            </w:tcMar>
            <w:vAlign w:val="bottom"/>
          </w:tcPr>
          <w:p w14:paraId="74DDF1FB" w14:textId="77777777" w:rsidR="00584EC1" w:rsidRDefault="00871F8D">
            <w:pPr>
              <w:jc w:val="right"/>
              <w:textAlignment w:val="bottom"/>
            </w:pPr>
            <w:r>
              <w:rPr>
                <w:rFonts w:ascii="Arial" w:eastAsia="宋体" w:hAnsi="Arial" w:cs="Arial"/>
                <w:b/>
                <w:bCs/>
                <w:color w:val="000000"/>
                <w:sz w:val="14"/>
                <w:szCs w:val="14"/>
              </w:rPr>
              <w:t>359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F1F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1F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1FE" w14:textId="77777777" w:rsidR="00584EC1" w:rsidRDefault="00871F8D">
            <w:pPr>
              <w:jc w:val="right"/>
              <w:textAlignment w:val="bottom"/>
            </w:pPr>
            <w:r>
              <w:rPr>
                <w:rFonts w:ascii="Arial" w:eastAsia="宋体" w:hAnsi="Arial" w:cs="Arial"/>
                <w:color w:val="000000"/>
                <w:sz w:val="14"/>
                <w:szCs w:val="14"/>
              </w:rPr>
              <w:t>367 </w:t>
            </w:r>
          </w:p>
        </w:tc>
        <w:tc>
          <w:tcPr>
            <w:tcW w:w="0" w:type="auto"/>
            <w:shd w:val="clear" w:color="auto" w:fill="FFFFFF"/>
            <w:tcMar>
              <w:top w:w="40" w:type="dxa"/>
              <w:left w:w="0" w:type="dxa"/>
              <w:bottom w:w="40" w:type="dxa"/>
              <w:right w:w="20" w:type="dxa"/>
            </w:tcMar>
            <w:vAlign w:val="bottom"/>
          </w:tcPr>
          <w:p w14:paraId="74DDF1FF" w14:textId="77777777" w:rsidR="00584EC1" w:rsidRDefault="00584EC1">
            <w:pPr>
              <w:jc w:val="right"/>
              <w:rPr>
                <w:rFonts w:ascii="宋体"/>
              </w:rPr>
            </w:pPr>
          </w:p>
        </w:tc>
      </w:tr>
      <w:tr w:rsidR="00584EC1" w14:paraId="74DDF205" w14:textId="77777777">
        <w:trPr>
          <w:hidden/>
        </w:trPr>
        <w:tc>
          <w:tcPr>
            <w:tcW w:w="0" w:type="auto"/>
            <w:gridSpan w:val="3"/>
            <w:shd w:val="clear" w:color="auto" w:fill="auto"/>
            <w:vAlign w:val="bottom"/>
          </w:tcPr>
          <w:p w14:paraId="74DDF201" w14:textId="77777777" w:rsidR="00584EC1" w:rsidRDefault="00584EC1">
            <w:pPr>
              <w:rPr>
                <w:rFonts w:ascii="宋体"/>
                <w:vanish/>
              </w:rPr>
            </w:pPr>
          </w:p>
        </w:tc>
        <w:tc>
          <w:tcPr>
            <w:tcW w:w="0" w:type="auto"/>
            <w:gridSpan w:val="3"/>
            <w:shd w:val="clear" w:color="auto" w:fill="auto"/>
            <w:vAlign w:val="bottom"/>
          </w:tcPr>
          <w:p w14:paraId="74DDF202" w14:textId="77777777" w:rsidR="00584EC1" w:rsidRDefault="00584EC1">
            <w:pPr>
              <w:rPr>
                <w:rFonts w:ascii="宋体"/>
                <w:vanish/>
              </w:rPr>
            </w:pPr>
          </w:p>
        </w:tc>
        <w:tc>
          <w:tcPr>
            <w:tcW w:w="0" w:type="auto"/>
            <w:gridSpan w:val="3"/>
            <w:shd w:val="clear" w:color="auto" w:fill="auto"/>
            <w:vAlign w:val="bottom"/>
          </w:tcPr>
          <w:p w14:paraId="74DDF203" w14:textId="77777777" w:rsidR="00584EC1" w:rsidRDefault="00584EC1">
            <w:pPr>
              <w:rPr>
                <w:rFonts w:ascii="宋体"/>
                <w:vanish/>
              </w:rPr>
            </w:pPr>
          </w:p>
        </w:tc>
        <w:tc>
          <w:tcPr>
            <w:tcW w:w="0" w:type="auto"/>
            <w:gridSpan w:val="3"/>
            <w:shd w:val="clear" w:color="auto" w:fill="auto"/>
            <w:vAlign w:val="bottom"/>
          </w:tcPr>
          <w:p w14:paraId="74DDF204" w14:textId="77777777" w:rsidR="00584EC1" w:rsidRDefault="00584EC1">
            <w:pPr>
              <w:rPr>
                <w:rFonts w:ascii="宋体"/>
                <w:vanish/>
              </w:rPr>
            </w:pPr>
          </w:p>
        </w:tc>
      </w:tr>
      <w:tr w:rsidR="00584EC1" w14:paraId="74DDF20C" w14:textId="77777777">
        <w:tc>
          <w:tcPr>
            <w:tcW w:w="0" w:type="auto"/>
            <w:gridSpan w:val="3"/>
            <w:shd w:val="clear" w:color="auto" w:fill="CCEEFF"/>
            <w:tcMar>
              <w:top w:w="40" w:type="dxa"/>
              <w:left w:w="20" w:type="dxa"/>
              <w:bottom w:w="40" w:type="dxa"/>
              <w:right w:w="20" w:type="dxa"/>
            </w:tcMar>
            <w:vAlign w:val="bottom"/>
          </w:tcPr>
          <w:p w14:paraId="74DDF206" w14:textId="77777777" w:rsidR="00584EC1" w:rsidRDefault="00871F8D">
            <w:pPr>
              <w:textAlignment w:val="bottom"/>
            </w:pPr>
            <w:r>
              <w:rPr>
                <w:rFonts w:ascii="Arial" w:eastAsia="宋体" w:hAnsi="Arial" w:cs="Arial"/>
                <w:color w:val="000000"/>
                <w:sz w:val="14"/>
                <w:szCs w:val="14"/>
              </w:rPr>
              <w:t>Deferred tax assets, net of valuation allowance</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74DDF207" w14:textId="77777777" w:rsidR="00584EC1" w:rsidRDefault="00871F8D">
            <w:pPr>
              <w:jc w:val="right"/>
              <w:textAlignment w:val="bottom"/>
            </w:pPr>
            <w:r>
              <w:rPr>
                <w:rFonts w:ascii="Arial" w:eastAsia="宋体" w:hAnsi="Arial" w:cs="Arial"/>
                <w:b/>
                <w:bCs/>
                <w:color w:val="000000"/>
                <w:sz w:val="14"/>
                <w:szCs w:val="14"/>
              </w:rPr>
              <w:t>196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F20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20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F20A" w14:textId="77777777" w:rsidR="00584EC1" w:rsidRDefault="00871F8D">
            <w:pPr>
              <w:jc w:val="right"/>
              <w:textAlignment w:val="bottom"/>
            </w:pPr>
            <w:r>
              <w:rPr>
                <w:rFonts w:ascii="Arial" w:eastAsia="宋体" w:hAnsi="Arial" w:cs="Arial"/>
                <w:color w:val="000000"/>
                <w:sz w:val="14"/>
                <w:szCs w:val="14"/>
              </w:rPr>
              <w:t>233 </w:t>
            </w:r>
          </w:p>
        </w:tc>
        <w:tc>
          <w:tcPr>
            <w:tcW w:w="0" w:type="auto"/>
            <w:shd w:val="clear" w:color="auto" w:fill="CCEEFF"/>
            <w:tcMar>
              <w:top w:w="40" w:type="dxa"/>
              <w:left w:w="0" w:type="dxa"/>
              <w:bottom w:w="40" w:type="dxa"/>
              <w:right w:w="20" w:type="dxa"/>
            </w:tcMar>
            <w:vAlign w:val="bottom"/>
          </w:tcPr>
          <w:p w14:paraId="74DDF20B" w14:textId="77777777" w:rsidR="00584EC1" w:rsidRDefault="00584EC1">
            <w:pPr>
              <w:jc w:val="right"/>
              <w:rPr>
                <w:rFonts w:ascii="宋体"/>
              </w:rPr>
            </w:pPr>
          </w:p>
        </w:tc>
      </w:tr>
      <w:tr w:rsidR="00584EC1" w14:paraId="74DDF213" w14:textId="77777777">
        <w:tc>
          <w:tcPr>
            <w:tcW w:w="0" w:type="auto"/>
            <w:gridSpan w:val="3"/>
            <w:shd w:val="clear" w:color="auto" w:fill="FFFFFF"/>
            <w:tcMar>
              <w:top w:w="40" w:type="dxa"/>
              <w:left w:w="20" w:type="dxa"/>
              <w:bottom w:w="40" w:type="dxa"/>
              <w:right w:w="20" w:type="dxa"/>
            </w:tcMar>
            <w:vAlign w:val="bottom"/>
          </w:tcPr>
          <w:p w14:paraId="74DDF20D" w14:textId="77777777" w:rsidR="00584EC1" w:rsidRDefault="00871F8D">
            <w:pPr>
              <w:textAlignment w:val="bottom"/>
            </w:pPr>
            <w:r>
              <w:rPr>
                <w:rFonts w:ascii="Arial" w:eastAsia="宋体" w:hAnsi="Arial" w:cs="Arial"/>
                <w:color w:val="000000"/>
                <w:sz w:val="14"/>
                <w:szCs w:val="14"/>
              </w:rPr>
              <w:t>Deposits with clearing organizations</w:t>
            </w:r>
          </w:p>
        </w:tc>
        <w:tc>
          <w:tcPr>
            <w:tcW w:w="0" w:type="auto"/>
            <w:gridSpan w:val="2"/>
            <w:shd w:val="clear" w:color="auto" w:fill="FFFFFF"/>
            <w:tcMar>
              <w:top w:w="40" w:type="dxa"/>
              <w:left w:w="20" w:type="dxa"/>
              <w:bottom w:w="40" w:type="dxa"/>
              <w:right w:w="0" w:type="dxa"/>
            </w:tcMar>
            <w:vAlign w:val="bottom"/>
          </w:tcPr>
          <w:p w14:paraId="74DDF20E" w14:textId="77777777" w:rsidR="00584EC1" w:rsidRDefault="00871F8D">
            <w:pPr>
              <w:jc w:val="right"/>
              <w:textAlignment w:val="bottom"/>
            </w:pPr>
            <w:r>
              <w:rPr>
                <w:rFonts w:ascii="Arial" w:eastAsia="宋体" w:hAnsi="Arial" w:cs="Arial"/>
                <w:b/>
                <w:bCs/>
                <w:color w:val="000000"/>
                <w:sz w:val="14"/>
                <w:szCs w:val="14"/>
              </w:rPr>
              <w:t>62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DF20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21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211" w14:textId="77777777" w:rsidR="00584EC1" w:rsidRDefault="00871F8D">
            <w:pPr>
              <w:jc w:val="right"/>
              <w:textAlignment w:val="bottom"/>
            </w:pPr>
            <w:r>
              <w:rPr>
                <w:rFonts w:ascii="Arial" w:eastAsia="宋体" w:hAnsi="Arial" w:cs="Arial"/>
                <w:color w:val="000000"/>
                <w:sz w:val="14"/>
                <w:szCs w:val="14"/>
              </w:rPr>
              <w:t>58 </w:t>
            </w:r>
          </w:p>
        </w:tc>
        <w:tc>
          <w:tcPr>
            <w:tcW w:w="0" w:type="auto"/>
            <w:shd w:val="clear" w:color="auto" w:fill="FFFFFF"/>
            <w:tcMar>
              <w:top w:w="40" w:type="dxa"/>
              <w:left w:w="0" w:type="dxa"/>
              <w:bottom w:w="40" w:type="dxa"/>
              <w:right w:w="20" w:type="dxa"/>
            </w:tcMar>
            <w:vAlign w:val="bottom"/>
          </w:tcPr>
          <w:p w14:paraId="74DDF212" w14:textId="77777777" w:rsidR="00584EC1" w:rsidRDefault="00584EC1">
            <w:pPr>
              <w:jc w:val="right"/>
              <w:rPr>
                <w:rFonts w:ascii="宋体"/>
              </w:rPr>
            </w:pPr>
          </w:p>
        </w:tc>
      </w:tr>
      <w:tr w:rsidR="00584EC1" w14:paraId="74DDF21A" w14:textId="77777777">
        <w:tc>
          <w:tcPr>
            <w:tcW w:w="0" w:type="auto"/>
            <w:gridSpan w:val="3"/>
            <w:shd w:val="clear" w:color="auto" w:fill="CCEEFF"/>
            <w:tcMar>
              <w:top w:w="40" w:type="dxa"/>
              <w:left w:w="20" w:type="dxa"/>
              <w:bottom w:w="40" w:type="dxa"/>
              <w:right w:w="20" w:type="dxa"/>
            </w:tcMar>
            <w:vAlign w:val="bottom"/>
          </w:tcPr>
          <w:p w14:paraId="74DDF214" w14:textId="77777777" w:rsidR="00584EC1" w:rsidRDefault="00871F8D">
            <w:pPr>
              <w:textAlignment w:val="bottom"/>
            </w:pPr>
            <w:r>
              <w:rPr>
                <w:rFonts w:ascii="Arial" w:eastAsia="宋体" w:hAnsi="Arial" w:cs="Arial"/>
                <w:color w:val="000000"/>
                <w:sz w:val="14"/>
                <w:szCs w:val="14"/>
              </w:rPr>
              <w:t>Other</w:t>
            </w:r>
            <w:r>
              <w:rPr>
                <w:rFonts w:ascii="Arial" w:eastAsia="宋体" w:hAnsi="Arial" w:cs="Arial"/>
                <w:color w:val="000000"/>
                <w:sz w:val="9"/>
                <w:szCs w:val="9"/>
              </w:rPr>
              <w:t>(3)</w:t>
            </w:r>
          </w:p>
        </w:tc>
        <w:tc>
          <w:tcPr>
            <w:tcW w:w="0" w:type="auto"/>
            <w:gridSpan w:val="2"/>
            <w:shd w:val="clear" w:color="auto" w:fill="CCEEFF"/>
            <w:tcMar>
              <w:top w:w="40" w:type="dxa"/>
              <w:left w:w="20" w:type="dxa"/>
              <w:bottom w:w="40" w:type="dxa"/>
              <w:right w:w="0" w:type="dxa"/>
            </w:tcMar>
            <w:vAlign w:val="bottom"/>
          </w:tcPr>
          <w:p w14:paraId="74DDF215" w14:textId="77777777" w:rsidR="00584EC1" w:rsidRDefault="00871F8D">
            <w:pPr>
              <w:jc w:val="right"/>
              <w:textAlignment w:val="bottom"/>
            </w:pPr>
            <w:r>
              <w:rPr>
                <w:rFonts w:ascii="Arial" w:eastAsia="宋体" w:hAnsi="Arial" w:cs="Arial"/>
                <w:b/>
                <w:bCs/>
                <w:color w:val="000000"/>
                <w:sz w:val="14"/>
                <w:szCs w:val="14"/>
              </w:rPr>
              <w:t>988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DF21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21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F218" w14:textId="77777777" w:rsidR="00584EC1" w:rsidRDefault="00871F8D">
            <w:pPr>
              <w:jc w:val="right"/>
              <w:textAlignment w:val="bottom"/>
            </w:pPr>
            <w:r>
              <w:rPr>
                <w:rFonts w:ascii="Arial" w:eastAsia="宋体" w:hAnsi="Arial" w:cs="Arial"/>
                <w:color w:val="000000"/>
                <w:sz w:val="14"/>
                <w:szCs w:val="14"/>
              </w:rPr>
              <w:t>929 </w:t>
            </w:r>
          </w:p>
        </w:tc>
        <w:tc>
          <w:tcPr>
            <w:tcW w:w="0" w:type="auto"/>
            <w:shd w:val="clear" w:color="auto" w:fill="CCEEFF"/>
            <w:tcMar>
              <w:top w:w="40" w:type="dxa"/>
              <w:left w:w="0" w:type="dxa"/>
              <w:bottom w:w="40" w:type="dxa"/>
              <w:right w:w="20" w:type="dxa"/>
            </w:tcMar>
            <w:vAlign w:val="bottom"/>
          </w:tcPr>
          <w:p w14:paraId="74DDF219" w14:textId="77777777" w:rsidR="00584EC1" w:rsidRDefault="00584EC1">
            <w:pPr>
              <w:jc w:val="right"/>
              <w:rPr>
                <w:rFonts w:ascii="宋体"/>
              </w:rPr>
            </w:pPr>
          </w:p>
        </w:tc>
      </w:tr>
      <w:tr w:rsidR="00584EC1" w14:paraId="74DDF223" w14:textId="77777777">
        <w:tc>
          <w:tcPr>
            <w:tcW w:w="0" w:type="auto"/>
            <w:gridSpan w:val="3"/>
            <w:shd w:val="clear" w:color="auto" w:fill="FFFFFF"/>
            <w:tcMar>
              <w:top w:w="40" w:type="dxa"/>
              <w:left w:w="20" w:type="dxa"/>
              <w:bottom w:w="40" w:type="dxa"/>
              <w:right w:w="20" w:type="dxa"/>
            </w:tcMar>
            <w:vAlign w:val="bottom"/>
          </w:tcPr>
          <w:p w14:paraId="74DDF21B" w14:textId="77777777" w:rsidR="00584EC1" w:rsidRDefault="00871F8D">
            <w:pPr>
              <w:textAlignment w:val="bottom"/>
            </w:pPr>
            <w:r>
              <w:rPr>
                <w:rFonts w:ascii="Arial" w:eastAsia="宋体" w:hAnsi="Arial" w:cs="Arial"/>
                <w:color w:val="000000"/>
                <w:sz w:val="14"/>
                <w:szCs w:val="14"/>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F21C"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F21D" w14:textId="77777777" w:rsidR="00584EC1" w:rsidRDefault="00871F8D">
            <w:pPr>
              <w:jc w:val="right"/>
              <w:textAlignment w:val="bottom"/>
            </w:pPr>
            <w:r>
              <w:rPr>
                <w:rFonts w:ascii="Arial" w:eastAsia="宋体" w:hAnsi="Arial" w:cs="Arial"/>
                <w:b/>
                <w:bCs/>
                <w:color w:val="000000"/>
                <w:sz w:val="14"/>
                <w:szCs w:val="14"/>
              </w:rPr>
              <w:t>45,951</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F21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21F"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F220"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F221" w14:textId="77777777" w:rsidR="00584EC1" w:rsidRDefault="00871F8D">
            <w:pPr>
              <w:jc w:val="right"/>
              <w:textAlignment w:val="bottom"/>
            </w:pPr>
            <w:r>
              <w:rPr>
                <w:rFonts w:ascii="Arial" w:eastAsia="宋体" w:hAnsi="Arial" w:cs="Arial"/>
                <w:color w:val="000000"/>
                <w:sz w:val="14"/>
                <w:szCs w:val="14"/>
              </w:rPr>
              <w:t>36,510 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F222" w14:textId="77777777" w:rsidR="00584EC1" w:rsidRDefault="00584EC1">
            <w:pPr>
              <w:jc w:val="right"/>
              <w:rPr>
                <w:rFonts w:ascii="宋体"/>
              </w:rPr>
            </w:pPr>
          </w:p>
        </w:tc>
      </w:tr>
    </w:tbl>
    <w:p w14:paraId="74DDF224" w14:textId="77777777" w:rsidR="00584EC1" w:rsidRDefault="00584E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584EC1" w14:paraId="74DDF22B" w14:textId="77777777">
        <w:tc>
          <w:tcPr>
            <w:tcW w:w="50" w:type="pct"/>
            <w:shd w:val="clear" w:color="auto" w:fill="auto"/>
            <w:vAlign w:val="bottom"/>
          </w:tcPr>
          <w:p w14:paraId="74DDF225" w14:textId="77777777" w:rsidR="00584EC1" w:rsidRDefault="00584EC1">
            <w:pPr>
              <w:rPr>
                <w:rFonts w:ascii="宋体"/>
              </w:rPr>
            </w:pPr>
          </w:p>
        </w:tc>
        <w:tc>
          <w:tcPr>
            <w:tcW w:w="1348" w:type="pct"/>
            <w:shd w:val="clear" w:color="auto" w:fill="auto"/>
            <w:vAlign w:val="bottom"/>
          </w:tcPr>
          <w:p w14:paraId="74DDF226" w14:textId="77777777" w:rsidR="00584EC1" w:rsidRDefault="00584EC1">
            <w:pPr>
              <w:rPr>
                <w:rFonts w:ascii="宋体"/>
              </w:rPr>
            </w:pPr>
          </w:p>
        </w:tc>
        <w:tc>
          <w:tcPr>
            <w:tcW w:w="5" w:type="pct"/>
            <w:shd w:val="clear" w:color="auto" w:fill="auto"/>
            <w:vAlign w:val="bottom"/>
          </w:tcPr>
          <w:p w14:paraId="74DDF227" w14:textId="77777777" w:rsidR="00584EC1" w:rsidRDefault="00584EC1">
            <w:pPr>
              <w:rPr>
                <w:rFonts w:ascii="宋体"/>
              </w:rPr>
            </w:pPr>
          </w:p>
        </w:tc>
        <w:tc>
          <w:tcPr>
            <w:tcW w:w="50" w:type="pct"/>
            <w:shd w:val="clear" w:color="auto" w:fill="auto"/>
            <w:vAlign w:val="bottom"/>
          </w:tcPr>
          <w:p w14:paraId="74DDF228" w14:textId="77777777" w:rsidR="00584EC1" w:rsidRDefault="00584EC1">
            <w:pPr>
              <w:rPr>
                <w:rFonts w:ascii="宋体"/>
              </w:rPr>
            </w:pPr>
          </w:p>
        </w:tc>
        <w:tc>
          <w:tcPr>
            <w:tcW w:w="3541" w:type="pct"/>
            <w:shd w:val="clear" w:color="auto" w:fill="auto"/>
            <w:vAlign w:val="bottom"/>
          </w:tcPr>
          <w:p w14:paraId="74DDF229" w14:textId="77777777" w:rsidR="00584EC1" w:rsidRDefault="00584EC1">
            <w:pPr>
              <w:rPr>
                <w:rFonts w:ascii="宋体"/>
              </w:rPr>
            </w:pPr>
          </w:p>
        </w:tc>
        <w:tc>
          <w:tcPr>
            <w:tcW w:w="5" w:type="pct"/>
            <w:shd w:val="clear" w:color="auto" w:fill="auto"/>
            <w:vAlign w:val="bottom"/>
          </w:tcPr>
          <w:p w14:paraId="74DDF22A" w14:textId="77777777" w:rsidR="00584EC1" w:rsidRDefault="00584EC1">
            <w:pPr>
              <w:rPr>
                <w:rFonts w:ascii="宋体"/>
              </w:rPr>
            </w:pPr>
          </w:p>
        </w:tc>
      </w:tr>
      <w:tr w:rsidR="00584EC1" w14:paraId="74DDF22E"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4DDF22C"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22D" w14:textId="77777777" w:rsidR="00584EC1" w:rsidRDefault="00584EC1">
            <w:pPr>
              <w:rPr>
                <w:rFonts w:ascii="宋体"/>
              </w:rPr>
            </w:pPr>
          </w:p>
        </w:tc>
      </w:tr>
    </w:tbl>
    <w:p w14:paraId="74DDF22F" w14:textId="77777777" w:rsidR="00584EC1" w:rsidRDefault="00871F8D">
      <w:pPr>
        <w:jc w:val="both"/>
        <w:textAlignment w:val="top"/>
      </w:pPr>
      <w:r>
        <w:rPr>
          <w:rFonts w:ascii="Arial" w:eastAsia="宋体" w:hAnsi="Arial" w:cs="Arial"/>
          <w:color w:val="000000"/>
          <w:sz w:val="7"/>
          <w:szCs w:val="7"/>
        </w:rPr>
        <w:t>(1)</w:t>
      </w:r>
      <w:r>
        <w:rPr>
          <w:rFonts w:ascii="Arial" w:eastAsia="宋体" w:hAnsi="Arial" w:cs="Arial"/>
          <w:color w:val="000000"/>
          <w:sz w:val="12"/>
          <w:szCs w:val="12"/>
        </w:rPr>
        <w:t xml:space="preserve"> Refer to Note 8, for further information on the impact of collateral on our financial statement presentation of securities borrowing and securities lending transactions.</w:t>
      </w:r>
    </w:p>
    <w:p w14:paraId="74DDF230" w14:textId="77777777" w:rsidR="00584EC1" w:rsidRDefault="00871F8D">
      <w:pPr>
        <w:spacing w:before="60"/>
        <w:jc w:val="both"/>
        <w:textAlignment w:val="top"/>
      </w:pPr>
      <w:r>
        <w:rPr>
          <w:rFonts w:ascii="Arial" w:eastAsia="宋体" w:hAnsi="Arial" w:cs="Arial"/>
          <w:color w:val="000000"/>
          <w:sz w:val="7"/>
          <w:szCs w:val="7"/>
        </w:rPr>
        <w:t xml:space="preserve">(2) </w:t>
      </w:r>
      <w:r>
        <w:rPr>
          <w:rFonts w:ascii="Arial" w:eastAsia="宋体" w:hAnsi="Arial" w:cs="Arial"/>
          <w:color w:val="000000"/>
          <w:sz w:val="12"/>
          <w:szCs w:val="12"/>
        </w:rPr>
        <w:t>Deferred tax assets and liabilities recorded in our consolidated statement of con</w:t>
      </w:r>
      <w:r>
        <w:rPr>
          <w:rFonts w:ascii="Arial" w:eastAsia="宋体" w:hAnsi="Arial" w:cs="Arial"/>
          <w:color w:val="000000"/>
          <w:sz w:val="12"/>
          <w:szCs w:val="12"/>
        </w:rPr>
        <w:t>dition are netted within the same tax jurisdiction.</w:t>
      </w:r>
    </w:p>
    <w:p w14:paraId="74DDF231" w14:textId="77777777" w:rsidR="00584EC1" w:rsidRDefault="00871F8D">
      <w:pPr>
        <w:spacing w:before="60"/>
        <w:jc w:val="both"/>
        <w:textAlignment w:val="top"/>
      </w:pPr>
      <w:r>
        <w:rPr>
          <w:rFonts w:ascii="Arial" w:eastAsia="宋体" w:hAnsi="Arial" w:cs="Arial"/>
          <w:color w:val="000000"/>
          <w:sz w:val="7"/>
          <w:szCs w:val="7"/>
        </w:rPr>
        <w:t xml:space="preserve">(3) </w:t>
      </w:r>
      <w:r>
        <w:rPr>
          <w:rFonts w:ascii="Arial" w:eastAsia="宋体" w:hAnsi="Arial" w:cs="Arial"/>
          <w:color w:val="000000"/>
          <w:sz w:val="12"/>
          <w:szCs w:val="12"/>
        </w:rPr>
        <w:t>Consists primarily of Advances of $532 million and $460 million as of September 30, 2021 and December 31, 2020, respectively.</w:t>
      </w:r>
    </w:p>
    <w:p w14:paraId="74DDF232" w14:textId="77777777" w:rsidR="00584EC1" w:rsidRDefault="00871F8D">
      <w:pPr>
        <w:ind w:firstLine="450"/>
        <w:jc w:val="right"/>
      </w:pPr>
      <w:r>
        <w:rPr>
          <w:rFonts w:ascii="Arial" w:eastAsia="宋体" w:hAnsi="Arial" w:cs="Arial"/>
          <w:color w:val="000000"/>
          <w:sz w:val="18"/>
          <w:szCs w:val="18"/>
        </w:rPr>
        <w:t>State Street Corporation | 75</w:t>
      </w:r>
    </w:p>
    <w:p w14:paraId="74DDF233" w14:textId="77777777" w:rsidR="00584EC1" w:rsidRDefault="00584EC1">
      <w:pPr>
        <w:ind w:firstLine="450"/>
        <w:jc w:val="center"/>
      </w:pPr>
    </w:p>
    <w:p w14:paraId="74DDF234" w14:textId="77777777" w:rsidR="00584EC1" w:rsidRDefault="00871F8D">
      <w:r>
        <w:pict w14:anchorId="74DE2A39">
          <v:rect id="_x0000_i1099" style="width:415.3pt;height:1.5pt" o:hralign="center" o:hrstd="t" o:hr="t" fillcolor="#a0a0a0" stroked="f"/>
        </w:pict>
      </w:r>
    </w:p>
    <w:p w14:paraId="74DDF235" w14:textId="77777777" w:rsidR="00584EC1" w:rsidRDefault="00871F8D">
      <w:pPr>
        <w:ind w:firstLine="450"/>
        <w:jc w:val="center"/>
      </w:pPr>
      <w:r>
        <w:rPr>
          <w:rFonts w:ascii="Arial" w:eastAsia="宋体" w:hAnsi="Arial" w:cs="Arial"/>
          <w:b/>
          <w:bCs/>
          <w:color w:val="000000"/>
          <w:sz w:val="20"/>
          <w:szCs w:val="20"/>
        </w:rPr>
        <w:t>STATE STREET CORPORATION</w:t>
      </w:r>
    </w:p>
    <w:p w14:paraId="74DDF236" w14:textId="77777777" w:rsidR="00584EC1" w:rsidRDefault="00871F8D">
      <w:pPr>
        <w:ind w:firstLine="450"/>
        <w:jc w:val="center"/>
      </w:pPr>
      <w:r>
        <w:rPr>
          <w:rFonts w:ascii="Arial" w:eastAsia="宋体" w:hAnsi="Arial" w:cs="Arial"/>
          <w:b/>
          <w:bCs/>
          <w:color w:val="000000"/>
          <w:sz w:val="20"/>
          <w:szCs w:val="20"/>
        </w:rPr>
        <w:t xml:space="preserve">CONDENSED NOTES </w:t>
      </w:r>
      <w:r>
        <w:rPr>
          <w:rFonts w:ascii="Arial" w:eastAsia="宋体" w:hAnsi="Arial" w:cs="Arial"/>
          <w:b/>
          <w:bCs/>
          <w:color w:val="000000"/>
          <w:sz w:val="20"/>
          <w:szCs w:val="20"/>
        </w:rPr>
        <w:t>TO CONSOLIDATED FINANCIAL STATEMENTS</w:t>
      </w:r>
    </w:p>
    <w:p w14:paraId="74DDF237" w14:textId="77777777" w:rsidR="00584EC1" w:rsidRDefault="00871F8D">
      <w:pPr>
        <w:ind w:firstLine="450"/>
        <w:jc w:val="center"/>
      </w:pPr>
      <w:r>
        <w:rPr>
          <w:rFonts w:ascii="Arial" w:eastAsia="宋体" w:hAnsi="Arial" w:cs="Arial"/>
          <w:b/>
          <w:bCs/>
          <w:color w:val="000000"/>
          <w:sz w:val="20"/>
          <w:szCs w:val="20"/>
        </w:rPr>
        <w:t>(UNAUDITED)</w:t>
      </w:r>
    </w:p>
    <w:p w14:paraId="74DDF238" w14:textId="77777777" w:rsidR="00584EC1" w:rsidRDefault="00871F8D">
      <w:pPr>
        <w:spacing w:before="180"/>
        <w:jc w:val="both"/>
        <w:textAlignment w:val="top"/>
      </w:pPr>
      <w:r>
        <w:rPr>
          <w:rFonts w:ascii="Arial" w:eastAsia="宋体" w:hAnsi="Arial" w:cs="Arial"/>
          <w:b/>
          <w:bCs/>
          <w:color w:val="000000"/>
          <w:sz w:val="20"/>
          <w:szCs w:val="20"/>
        </w:rPr>
        <w:t>Note 7. Derivative Financial Instruments</w:t>
      </w:r>
    </w:p>
    <w:p w14:paraId="74DDF239" w14:textId="77777777" w:rsidR="00584EC1" w:rsidRDefault="00871F8D">
      <w:pPr>
        <w:spacing w:before="60"/>
        <w:ind w:firstLine="450"/>
        <w:jc w:val="both"/>
        <w:textAlignment w:val="top"/>
      </w:pPr>
      <w:r>
        <w:rPr>
          <w:rFonts w:ascii="Arial" w:eastAsia="宋体" w:hAnsi="Arial" w:cs="Arial"/>
          <w:color w:val="000000"/>
          <w:sz w:val="20"/>
          <w:szCs w:val="20"/>
        </w:rPr>
        <w:t>We use derivative financial instruments to support our clients' needs and to manage our interest rate and currency risks. These financial instruments consist of FX co</w:t>
      </w:r>
      <w:r>
        <w:rPr>
          <w:rFonts w:ascii="Arial" w:eastAsia="宋体" w:hAnsi="Arial" w:cs="Arial"/>
          <w:color w:val="000000"/>
          <w:sz w:val="20"/>
          <w:szCs w:val="20"/>
        </w:rPr>
        <w:t>ntracts such as forwards, futures and options contracts; interest rate contracts such as interest rate swaps (cross currency and single currency) and futures; and other derivative contracts. Derivative instruments used for risk management purposes that are</w:t>
      </w:r>
      <w:r>
        <w:rPr>
          <w:rFonts w:ascii="Arial" w:eastAsia="宋体" w:hAnsi="Arial" w:cs="Arial"/>
          <w:color w:val="000000"/>
          <w:sz w:val="20"/>
          <w:szCs w:val="20"/>
        </w:rPr>
        <w:t xml:space="preserve"> highly effective in offsetting the risk being hedged are generally designated as hedging instruments in hedge accounting relationships, while others are economic hedges and not designated in hedge accounting relationships. For additional information on ou</w:t>
      </w:r>
      <w:r>
        <w:rPr>
          <w:rFonts w:ascii="Arial" w:eastAsia="宋体" w:hAnsi="Arial" w:cs="Arial"/>
          <w:color w:val="000000"/>
          <w:sz w:val="20"/>
          <w:szCs w:val="20"/>
        </w:rPr>
        <w:t>r use and accounting policies on derivative financial instruments, including derivatives not designated as hedging instruments, refer to pages 158 to 159 in Note 10 to the consolidated financial statements included under Item 8, Financial Statements and Su</w:t>
      </w:r>
      <w:r>
        <w:rPr>
          <w:rFonts w:ascii="Arial" w:eastAsia="宋体" w:hAnsi="Arial" w:cs="Arial"/>
          <w:color w:val="000000"/>
          <w:sz w:val="20"/>
          <w:szCs w:val="20"/>
        </w:rPr>
        <w:t>pplementary Data, in our 2020 Form 10-K.</w:t>
      </w:r>
    </w:p>
    <w:p w14:paraId="74DDF23A" w14:textId="77777777" w:rsidR="00584EC1" w:rsidRDefault="00871F8D">
      <w:pPr>
        <w:spacing w:before="60"/>
        <w:jc w:val="both"/>
        <w:textAlignment w:val="top"/>
      </w:pPr>
      <w:r>
        <w:rPr>
          <w:rFonts w:ascii="Arial" w:eastAsia="宋体" w:hAnsi="Arial" w:cs="Arial"/>
          <w:b/>
          <w:bCs/>
          <w:i/>
          <w:iCs/>
          <w:color w:val="000000"/>
          <w:sz w:val="20"/>
          <w:szCs w:val="20"/>
        </w:rPr>
        <w:t>Derivatives Designated as Hedging Instruments</w:t>
      </w:r>
    </w:p>
    <w:p w14:paraId="74DDF23B" w14:textId="77777777" w:rsidR="00584EC1" w:rsidRDefault="00871F8D">
      <w:pPr>
        <w:spacing w:before="60"/>
        <w:ind w:firstLine="450"/>
        <w:jc w:val="both"/>
        <w:textAlignment w:val="top"/>
      </w:pPr>
      <w:r>
        <w:rPr>
          <w:rFonts w:ascii="Arial" w:eastAsia="宋体" w:hAnsi="Arial" w:cs="Arial"/>
          <w:color w:val="000000"/>
          <w:sz w:val="20"/>
          <w:szCs w:val="20"/>
        </w:rPr>
        <w:t xml:space="preserve">For additional information on our derivatives designated as hedging instruments, including our risk management objectives and hedging documentation </w:t>
      </w:r>
      <w:r>
        <w:rPr>
          <w:rFonts w:ascii="Arial" w:eastAsia="宋体" w:hAnsi="Arial" w:cs="Arial"/>
          <w:color w:val="000000"/>
          <w:sz w:val="20"/>
          <w:szCs w:val="20"/>
        </w:rPr>
        <w:t>methodologies, refer to page 159 in Note 10 to the consolidated financial statements included under Item 8, Financial Statements and Supplementary Data, in our 2020 Form 10-K.</w:t>
      </w:r>
    </w:p>
    <w:p w14:paraId="74DDF23C" w14:textId="77777777" w:rsidR="00584EC1" w:rsidRDefault="00871F8D">
      <w:pPr>
        <w:spacing w:before="60"/>
        <w:jc w:val="both"/>
        <w:textAlignment w:val="top"/>
      </w:pPr>
      <w:r>
        <w:rPr>
          <w:rFonts w:ascii="Arial" w:eastAsia="宋体" w:hAnsi="Arial" w:cs="Arial"/>
          <w:i/>
          <w:iCs/>
          <w:color w:val="000000"/>
          <w:sz w:val="20"/>
          <w:szCs w:val="20"/>
        </w:rPr>
        <w:t>Fair Value Hedges</w:t>
      </w:r>
    </w:p>
    <w:p w14:paraId="74DDF23D" w14:textId="77777777" w:rsidR="00584EC1" w:rsidRDefault="00871F8D">
      <w:pPr>
        <w:spacing w:before="60"/>
        <w:ind w:firstLine="450"/>
        <w:jc w:val="both"/>
        <w:textAlignment w:val="top"/>
      </w:pPr>
      <w:r>
        <w:rPr>
          <w:rFonts w:ascii="Arial" w:eastAsia="宋体" w:hAnsi="Arial" w:cs="Arial"/>
          <w:color w:val="000000"/>
          <w:sz w:val="20"/>
          <w:szCs w:val="20"/>
        </w:rPr>
        <w:t>Derivatives designated as fair value hedges are utilized to mitigate the risk of changes in the fair values of recognized assets and liabilities, including long-term debt and AFS securities. We use interest rate contracts in this manner to manage our expos</w:t>
      </w:r>
      <w:r>
        <w:rPr>
          <w:rFonts w:ascii="Arial" w:eastAsia="宋体" w:hAnsi="Arial" w:cs="Arial"/>
          <w:color w:val="000000"/>
          <w:sz w:val="20"/>
          <w:szCs w:val="20"/>
        </w:rPr>
        <w:t xml:space="preserve">ure to changes in the fair value of hedged items caused by changes in interest rates. </w:t>
      </w:r>
    </w:p>
    <w:p w14:paraId="74DDF23E" w14:textId="77777777" w:rsidR="00584EC1" w:rsidRDefault="00871F8D">
      <w:pPr>
        <w:spacing w:before="60"/>
        <w:ind w:firstLine="450"/>
        <w:jc w:val="both"/>
        <w:textAlignment w:val="top"/>
      </w:pPr>
      <w:r>
        <w:rPr>
          <w:rFonts w:ascii="Arial" w:eastAsia="宋体" w:hAnsi="Arial" w:cs="Arial"/>
          <w:color w:val="000000"/>
          <w:sz w:val="20"/>
          <w:szCs w:val="20"/>
        </w:rPr>
        <w:t>Changes in the fair value of the derivative and changes in fair value of the hedged item due to changes in the hedged risk are recognized in earnings in the same line it</w:t>
      </w:r>
      <w:r>
        <w:rPr>
          <w:rFonts w:ascii="Arial" w:eastAsia="宋体" w:hAnsi="Arial" w:cs="Arial"/>
          <w:color w:val="000000"/>
          <w:sz w:val="20"/>
          <w:szCs w:val="20"/>
        </w:rPr>
        <w:t xml:space="preserve">em. If a hedge is terminated, but the hedged item was not derecognized, all remaining adjustments to the carrying amount of the hedged item are amortized over a period that is consistent with the amortization of other discounts or premiums associated with </w:t>
      </w:r>
      <w:r>
        <w:rPr>
          <w:rFonts w:ascii="Arial" w:eastAsia="宋体" w:hAnsi="Arial" w:cs="Arial"/>
          <w:color w:val="000000"/>
          <w:sz w:val="20"/>
          <w:szCs w:val="20"/>
        </w:rPr>
        <w:t>the hedged item</w:t>
      </w:r>
      <w:r>
        <w:rPr>
          <w:rFonts w:ascii="Times New Roman" w:eastAsia="宋体" w:hAnsi="Times New Roman"/>
          <w:color w:val="000000"/>
          <w:sz w:val="20"/>
          <w:szCs w:val="20"/>
        </w:rPr>
        <w:t xml:space="preserve">. </w:t>
      </w:r>
    </w:p>
    <w:p w14:paraId="74DDF23F" w14:textId="77777777" w:rsidR="00584EC1" w:rsidRDefault="00871F8D">
      <w:pPr>
        <w:spacing w:before="60"/>
        <w:jc w:val="both"/>
        <w:textAlignment w:val="top"/>
      </w:pPr>
      <w:r>
        <w:rPr>
          <w:rFonts w:ascii="Arial" w:eastAsia="宋体" w:hAnsi="Arial" w:cs="Arial"/>
          <w:i/>
          <w:iCs/>
          <w:color w:val="000000"/>
          <w:sz w:val="20"/>
          <w:szCs w:val="20"/>
        </w:rPr>
        <w:t>Cash Flow Hedges</w:t>
      </w:r>
    </w:p>
    <w:p w14:paraId="74DDF240" w14:textId="77777777" w:rsidR="00584EC1" w:rsidRDefault="00871F8D">
      <w:pPr>
        <w:spacing w:before="60"/>
        <w:ind w:firstLine="450"/>
        <w:jc w:val="both"/>
        <w:textAlignment w:val="top"/>
      </w:pPr>
      <w:r>
        <w:rPr>
          <w:rFonts w:ascii="Arial" w:eastAsia="宋体" w:hAnsi="Arial" w:cs="Arial"/>
          <w:color w:val="000000"/>
          <w:sz w:val="20"/>
          <w:szCs w:val="20"/>
        </w:rPr>
        <w:t xml:space="preserve">Derivatives designated as cash flow hedges are utilized to offset the variability of cash flows of </w:t>
      </w:r>
    </w:p>
    <w:p w14:paraId="74DDF241" w14:textId="77777777" w:rsidR="00584EC1" w:rsidRDefault="00871F8D">
      <w:pPr>
        <w:spacing w:before="60"/>
        <w:jc w:val="both"/>
        <w:textAlignment w:val="top"/>
      </w:pPr>
      <w:r>
        <w:rPr>
          <w:rFonts w:ascii="Arial" w:eastAsia="宋体" w:hAnsi="Arial" w:cs="Arial"/>
          <w:color w:val="000000"/>
          <w:sz w:val="20"/>
          <w:szCs w:val="20"/>
        </w:rPr>
        <w:t>recognized assets or liabilities or forecasted transactions. We have entered into FX contracts to hedge the change in cas</w:t>
      </w:r>
      <w:r>
        <w:rPr>
          <w:rFonts w:ascii="Arial" w:eastAsia="宋体" w:hAnsi="Arial" w:cs="Arial"/>
          <w:color w:val="000000"/>
          <w:sz w:val="20"/>
          <w:szCs w:val="20"/>
        </w:rPr>
        <w:t xml:space="preserve">h flows attributable to FX movements in foreign currency denominated investment securities. Additionally, we have entered into interest rate swap agreements to hedge the forecasted cash flows associated with LIBOR indexed floating-rate loans. The interest </w:t>
      </w:r>
      <w:r>
        <w:rPr>
          <w:rFonts w:ascii="Arial" w:eastAsia="宋体" w:hAnsi="Arial" w:cs="Arial"/>
          <w:color w:val="000000"/>
          <w:sz w:val="20"/>
          <w:szCs w:val="20"/>
        </w:rPr>
        <w:t>rate swaps synthetically convert the loan interest receipts from a variable-rate to a fixed-rate, thereby mitigating the risk attributable to changes in the LIBOR benchmark rate.</w:t>
      </w:r>
    </w:p>
    <w:p w14:paraId="74DDF242" w14:textId="77777777" w:rsidR="00584EC1" w:rsidRDefault="00871F8D">
      <w:pPr>
        <w:spacing w:before="60"/>
        <w:ind w:firstLine="450"/>
        <w:jc w:val="both"/>
        <w:textAlignment w:val="top"/>
      </w:pPr>
      <w:r>
        <w:rPr>
          <w:rFonts w:ascii="Arial" w:eastAsia="宋体" w:hAnsi="Arial" w:cs="Arial"/>
          <w:color w:val="000000"/>
          <w:sz w:val="20"/>
          <w:szCs w:val="20"/>
        </w:rPr>
        <w:t>Changes in fair value of the derivatives designated as cash flow hedges are i</w:t>
      </w:r>
      <w:r>
        <w:rPr>
          <w:rFonts w:ascii="Arial" w:eastAsia="宋体" w:hAnsi="Arial" w:cs="Arial"/>
          <w:color w:val="000000"/>
          <w:sz w:val="20"/>
          <w:szCs w:val="20"/>
        </w:rPr>
        <w:t xml:space="preserve">nitially recorded in AOCI and then reclassified into earnings in the same period or periods during which the hedged forecasted transaction affects earnings and are presented in the same income statement line item as the earnings effect of the hedged item. </w:t>
      </w:r>
      <w:r>
        <w:rPr>
          <w:rFonts w:ascii="Arial" w:eastAsia="宋体" w:hAnsi="Arial" w:cs="Arial"/>
          <w:color w:val="000000"/>
          <w:sz w:val="20"/>
          <w:szCs w:val="20"/>
        </w:rPr>
        <w:t>If the hedge relationship is terminated, the change in fair value on the derivative recorded in AOCI is reclassified into earnings consistent with the timing of the hedged item. For hedge relationships that are discontinued because a forecasted transaction</w:t>
      </w:r>
      <w:r>
        <w:rPr>
          <w:rFonts w:ascii="Arial" w:eastAsia="宋体" w:hAnsi="Arial" w:cs="Arial"/>
          <w:color w:val="000000"/>
          <w:sz w:val="20"/>
          <w:szCs w:val="20"/>
        </w:rPr>
        <w:t xml:space="preserve"> is not expected to occur according to the original hedge terms, any related derivative values recorded in AOCI are immediately recognized in earnings. The net gain associated with cash flow hedges expected to be reclassified from AOCI within 12 months of </w:t>
      </w:r>
      <w:r>
        <w:rPr>
          <w:rFonts w:ascii="Arial" w:eastAsia="宋体" w:hAnsi="Arial" w:cs="Arial"/>
          <w:color w:val="000000"/>
          <w:sz w:val="20"/>
          <w:szCs w:val="20"/>
        </w:rPr>
        <w:t>September 30, 2021, is approximately $70 million. The maximum length of time over which forecasted cash flows are hedged is 5 years.</w:t>
      </w:r>
    </w:p>
    <w:p w14:paraId="74DDF243" w14:textId="77777777" w:rsidR="00584EC1" w:rsidRDefault="00871F8D">
      <w:pPr>
        <w:spacing w:before="60"/>
        <w:jc w:val="both"/>
        <w:textAlignment w:val="top"/>
      </w:pPr>
      <w:r>
        <w:rPr>
          <w:rFonts w:ascii="Arial" w:eastAsia="宋体" w:hAnsi="Arial" w:cs="Arial"/>
          <w:i/>
          <w:iCs/>
          <w:color w:val="000000"/>
          <w:sz w:val="20"/>
          <w:szCs w:val="20"/>
        </w:rPr>
        <w:t>Net Investment Hedges</w:t>
      </w:r>
    </w:p>
    <w:p w14:paraId="74DDF244" w14:textId="77777777" w:rsidR="00584EC1" w:rsidRDefault="00871F8D">
      <w:pPr>
        <w:spacing w:before="60"/>
        <w:ind w:firstLine="450"/>
        <w:jc w:val="both"/>
        <w:textAlignment w:val="top"/>
      </w:pPr>
      <w:r>
        <w:rPr>
          <w:rFonts w:ascii="Arial" w:eastAsia="宋体" w:hAnsi="Arial" w:cs="Arial"/>
          <w:color w:val="000000"/>
          <w:sz w:val="20"/>
          <w:szCs w:val="20"/>
        </w:rPr>
        <w:t>Derivatives categorized as net investment hedges are entered into to protect the net investment in ou</w:t>
      </w:r>
      <w:r>
        <w:rPr>
          <w:rFonts w:ascii="Arial" w:eastAsia="宋体" w:hAnsi="Arial" w:cs="Arial"/>
          <w:color w:val="000000"/>
          <w:sz w:val="20"/>
          <w:szCs w:val="20"/>
        </w:rPr>
        <w:t>r foreign operations against adverse changes in exchange rates. We use FX forward contracts to convert the foreign currency risk to U.S. dollars to mitigate our exposure to fluctuations in FX rates. The changes in fair value of the FX forward contracts are</w:t>
      </w:r>
      <w:r>
        <w:rPr>
          <w:rFonts w:ascii="Arial" w:eastAsia="宋体" w:hAnsi="Arial" w:cs="Arial"/>
          <w:color w:val="000000"/>
          <w:sz w:val="20"/>
          <w:szCs w:val="20"/>
        </w:rPr>
        <w:t xml:space="preserve"> recorded, net of taxes, in the foreign currency translation component of OCI.</w:t>
      </w:r>
    </w:p>
    <w:p w14:paraId="74DDF245" w14:textId="77777777" w:rsidR="00584EC1" w:rsidRDefault="00871F8D">
      <w:pPr>
        <w:spacing w:before="60"/>
        <w:ind w:firstLine="450"/>
        <w:jc w:val="both"/>
        <w:textAlignment w:val="top"/>
      </w:pPr>
      <w:r>
        <w:rPr>
          <w:rFonts w:ascii="Arial" w:eastAsia="宋体" w:hAnsi="Arial" w:cs="Arial"/>
          <w:color w:val="000000"/>
          <w:sz w:val="20"/>
          <w:szCs w:val="20"/>
        </w:rPr>
        <w:t>The following table presents the aggregate contractual, or notional, amounts of derivative financial instruments, including those entered into for trading and asset-and-liabilit</w:t>
      </w:r>
      <w:r>
        <w:rPr>
          <w:rFonts w:ascii="Arial" w:eastAsia="宋体" w:hAnsi="Arial" w:cs="Arial"/>
          <w:color w:val="000000"/>
          <w:sz w:val="20"/>
          <w:szCs w:val="20"/>
        </w:rPr>
        <w:t>y management activities as of the dates indicated:</w:t>
      </w:r>
    </w:p>
    <w:p w14:paraId="74DDF246" w14:textId="77777777" w:rsidR="00584EC1" w:rsidRDefault="00871F8D">
      <w:pPr>
        <w:ind w:firstLine="450"/>
        <w:jc w:val="right"/>
      </w:pPr>
      <w:r>
        <w:rPr>
          <w:rFonts w:ascii="Arial" w:eastAsia="宋体" w:hAnsi="Arial" w:cs="Arial"/>
          <w:color w:val="000000"/>
          <w:sz w:val="18"/>
          <w:szCs w:val="18"/>
        </w:rPr>
        <w:t>State Street Corporation | 76</w:t>
      </w:r>
    </w:p>
    <w:p w14:paraId="74DDF247" w14:textId="77777777" w:rsidR="00584EC1" w:rsidRDefault="00584EC1">
      <w:pPr>
        <w:ind w:firstLine="450"/>
        <w:jc w:val="center"/>
      </w:pPr>
    </w:p>
    <w:p w14:paraId="74DDF248" w14:textId="77777777" w:rsidR="00584EC1" w:rsidRDefault="00871F8D">
      <w:r>
        <w:pict w14:anchorId="74DE2A3A">
          <v:rect id="_x0000_i1100" style="width:415.3pt;height:1.5pt" o:hralign="center" o:hrstd="t" o:hr="t" fillcolor="#a0a0a0" stroked="f"/>
        </w:pict>
      </w:r>
    </w:p>
    <w:p w14:paraId="74DDF249" w14:textId="77777777" w:rsidR="00584EC1" w:rsidRDefault="00871F8D">
      <w:pPr>
        <w:ind w:firstLine="450"/>
        <w:jc w:val="center"/>
      </w:pPr>
      <w:r>
        <w:rPr>
          <w:rFonts w:ascii="Arial" w:eastAsia="宋体" w:hAnsi="Arial" w:cs="Arial"/>
          <w:b/>
          <w:bCs/>
          <w:color w:val="000000"/>
          <w:sz w:val="20"/>
          <w:szCs w:val="20"/>
        </w:rPr>
        <w:t>STATE STREET CORPORATION</w:t>
      </w:r>
    </w:p>
    <w:p w14:paraId="74DDF24A" w14:textId="77777777" w:rsidR="00584EC1" w:rsidRDefault="00871F8D">
      <w:pPr>
        <w:ind w:firstLine="450"/>
        <w:jc w:val="center"/>
      </w:pPr>
      <w:r>
        <w:rPr>
          <w:rFonts w:ascii="Arial" w:eastAsia="宋体" w:hAnsi="Arial" w:cs="Arial"/>
          <w:b/>
          <w:bCs/>
          <w:color w:val="000000"/>
          <w:sz w:val="20"/>
          <w:szCs w:val="20"/>
        </w:rPr>
        <w:t>CONDENSED NOTES TO CONSOLIDATED FINANCIAL STATEMENTS</w:t>
      </w:r>
    </w:p>
    <w:p w14:paraId="74DDF24B" w14:textId="77777777" w:rsidR="00584EC1" w:rsidRDefault="00871F8D">
      <w:pPr>
        <w:ind w:firstLine="450"/>
        <w:jc w:val="center"/>
      </w:pPr>
      <w:r>
        <w:rPr>
          <w:rFonts w:ascii="Arial" w:eastAsia="宋体" w:hAnsi="Arial" w:cs="Arial"/>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38"/>
        <w:gridCol w:w="4566"/>
        <w:gridCol w:w="36"/>
        <w:gridCol w:w="105"/>
        <w:gridCol w:w="1653"/>
        <w:gridCol w:w="36"/>
        <w:gridCol w:w="36"/>
        <w:gridCol w:w="36"/>
        <w:gridCol w:w="36"/>
        <w:gridCol w:w="105"/>
        <w:gridCol w:w="1653"/>
        <w:gridCol w:w="36"/>
      </w:tblGrid>
      <w:tr w:rsidR="00584EC1" w14:paraId="74DDF258" w14:textId="77777777">
        <w:tc>
          <w:tcPr>
            <w:tcW w:w="50" w:type="pct"/>
            <w:shd w:val="clear" w:color="auto" w:fill="auto"/>
            <w:vAlign w:val="bottom"/>
          </w:tcPr>
          <w:p w14:paraId="74DDF24C" w14:textId="77777777" w:rsidR="00584EC1" w:rsidRDefault="00584EC1">
            <w:pPr>
              <w:rPr>
                <w:rFonts w:ascii="宋体"/>
              </w:rPr>
            </w:pPr>
          </w:p>
        </w:tc>
        <w:tc>
          <w:tcPr>
            <w:tcW w:w="2766" w:type="pct"/>
            <w:shd w:val="clear" w:color="auto" w:fill="auto"/>
            <w:vAlign w:val="bottom"/>
          </w:tcPr>
          <w:p w14:paraId="74DDF24D" w14:textId="77777777" w:rsidR="00584EC1" w:rsidRDefault="00584EC1">
            <w:pPr>
              <w:rPr>
                <w:rFonts w:ascii="宋体"/>
              </w:rPr>
            </w:pPr>
          </w:p>
        </w:tc>
        <w:tc>
          <w:tcPr>
            <w:tcW w:w="5" w:type="pct"/>
            <w:shd w:val="clear" w:color="auto" w:fill="auto"/>
            <w:vAlign w:val="bottom"/>
          </w:tcPr>
          <w:p w14:paraId="74DDF24E" w14:textId="77777777" w:rsidR="00584EC1" w:rsidRDefault="00584EC1">
            <w:pPr>
              <w:rPr>
                <w:rFonts w:ascii="宋体"/>
              </w:rPr>
            </w:pPr>
          </w:p>
        </w:tc>
        <w:tc>
          <w:tcPr>
            <w:tcW w:w="50" w:type="pct"/>
            <w:shd w:val="clear" w:color="auto" w:fill="auto"/>
            <w:vAlign w:val="bottom"/>
          </w:tcPr>
          <w:p w14:paraId="74DDF24F" w14:textId="77777777" w:rsidR="00584EC1" w:rsidRDefault="00584EC1">
            <w:pPr>
              <w:rPr>
                <w:rFonts w:ascii="宋体"/>
              </w:rPr>
            </w:pPr>
          </w:p>
        </w:tc>
        <w:tc>
          <w:tcPr>
            <w:tcW w:w="1019" w:type="pct"/>
            <w:shd w:val="clear" w:color="auto" w:fill="auto"/>
            <w:vAlign w:val="bottom"/>
          </w:tcPr>
          <w:p w14:paraId="74DDF250" w14:textId="77777777" w:rsidR="00584EC1" w:rsidRDefault="00584EC1">
            <w:pPr>
              <w:rPr>
                <w:rFonts w:ascii="宋体"/>
              </w:rPr>
            </w:pPr>
          </w:p>
        </w:tc>
        <w:tc>
          <w:tcPr>
            <w:tcW w:w="5" w:type="pct"/>
            <w:shd w:val="clear" w:color="auto" w:fill="auto"/>
            <w:vAlign w:val="bottom"/>
          </w:tcPr>
          <w:p w14:paraId="74DDF251" w14:textId="77777777" w:rsidR="00584EC1" w:rsidRDefault="00584EC1">
            <w:pPr>
              <w:rPr>
                <w:rFonts w:ascii="宋体"/>
              </w:rPr>
            </w:pPr>
          </w:p>
        </w:tc>
        <w:tc>
          <w:tcPr>
            <w:tcW w:w="5" w:type="pct"/>
            <w:shd w:val="clear" w:color="auto" w:fill="auto"/>
            <w:vAlign w:val="bottom"/>
          </w:tcPr>
          <w:p w14:paraId="74DDF252" w14:textId="77777777" w:rsidR="00584EC1" w:rsidRDefault="00584EC1">
            <w:pPr>
              <w:rPr>
                <w:rFonts w:ascii="宋体"/>
              </w:rPr>
            </w:pPr>
          </w:p>
        </w:tc>
        <w:tc>
          <w:tcPr>
            <w:tcW w:w="19" w:type="pct"/>
            <w:shd w:val="clear" w:color="auto" w:fill="auto"/>
            <w:vAlign w:val="bottom"/>
          </w:tcPr>
          <w:p w14:paraId="74DDF253" w14:textId="77777777" w:rsidR="00584EC1" w:rsidRDefault="00584EC1">
            <w:pPr>
              <w:rPr>
                <w:rFonts w:ascii="宋体"/>
              </w:rPr>
            </w:pPr>
          </w:p>
        </w:tc>
        <w:tc>
          <w:tcPr>
            <w:tcW w:w="5" w:type="pct"/>
            <w:shd w:val="clear" w:color="auto" w:fill="auto"/>
            <w:vAlign w:val="bottom"/>
          </w:tcPr>
          <w:p w14:paraId="74DDF254" w14:textId="77777777" w:rsidR="00584EC1" w:rsidRDefault="00584EC1">
            <w:pPr>
              <w:rPr>
                <w:rFonts w:ascii="宋体"/>
              </w:rPr>
            </w:pPr>
          </w:p>
        </w:tc>
        <w:tc>
          <w:tcPr>
            <w:tcW w:w="50" w:type="pct"/>
            <w:shd w:val="clear" w:color="auto" w:fill="auto"/>
            <w:vAlign w:val="bottom"/>
          </w:tcPr>
          <w:p w14:paraId="74DDF255" w14:textId="77777777" w:rsidR="00584EC1" w:rsidRDefault="00584EC1">
            <w:pPr>
              <w:rPr>
                <w:rFonts w:ascii="宋体"/>
              </w:rPr>
            </w:pPr>
          </w:p>
        </w:tc>
        <w:tc>
          <w:tcPr>
            <w:tcW w:w="1019" w:type="pct"/>
            <w:shd w:val="clear" w:color="auto" w:fill="auto"/>
            <w:vAlign w:val="bottom"/>
          </w:tcPr>
          <w:p w14:paraId="74DDF256" w14:textId="77777777" w:rsidR="00584EC1" w:rsidRDefault="00584EC1">
            <w:pPr>
              <w:rPr>
                <w:rFonts w:ascii="宋体"/>
              </w:rPr>
            </w:pPr>
          </w:p>
        </w:tc>
        <w:tc>
          <w:tcPr>
            <w:tcW w:w="5" w:type="pct"/>
            <w:shd w:val="clear" w:color="auto" w:fill="auto"/>
            <w:vAlign w:val="bottom"/>
          </w:tcPr>
          <w:p w14:paraId="74DDF257" w14:textId="77777777" w:rsidR="00584EC1" w:rsidRDefault="00584EC1">
            <w:pPr>
              <w:rPr>
                <w:rFonts w:ascii="宋体"/>
              </w:rPr>
            </w:pPr>
          </w:p>
        </w:tc>
      </w:tr>
      <w:tr w:rsidR="00584EC1" w14:paraId="74DDF25D" w14:textId="77777777">
        <w:tc>
          <w:tcPr>
            <w:tcW w:w="0" w:type="auto"/>
            <w:gridSpan w:val="3"/>
            <w:shd w:val="clear" w:color="auto" w:fill="auto"/>
            <w:tcMar>
              <w:top w:w="40" w:type="dxa"/>
              <w:left w:w="20" w:type="dxa"/>
              <w:bottom w:w="40" w:type="dxa"/>
              <w:right w:w="20" w:type="dxa"/>
            </w:tcMar>
            <w:vAlign w:val="bottom"/>
          </w:tcPr>
          <w:p w14:paraId="74DDF259" w14:textId="77777777" w:rsidR="00584EC1" w:rsidRDefault="00871F8D">
            <w:pPr>
              <w:textAlignment w:val="bottom"/>
            </w:pPr>
            <w:r>
              <w:rPr>
                <w:rFonts w:ascii="Arial" w:eastAsia="宋体" w:hAnsi="Arial" w:cs="Arial"/>
                <w:b/>
                <w:bCs/>
                <w:color w:val="000000"/>
                <w:sz w:val="15"/>
                <w:szCs w:val="15"/>
              </w:rPr>
              <w:t>(In millions)</w:t>
            </w:r>
          </w:p>
        </w:tc>
        <w:tc>
          <w:tcPr>
            <w:tcW w:w="0" w:type="auto"/>
            <w:gridSpan w:val="3"/>
            <w:shd w:val="clear" w:color="auto" w:fill="auto"/>
            <w:tcMar>
              <w:top w:w="40" w:type="dxa"/>
              <w:left w:w="20" w:type="dxa"/>
              <w:bottom w:w="40" w:type="dxa"/>
              <w:right w:w="20" w:type="dxa"/>
            </w:tcMar>
            <w:vAlign w:val="bottom"/>
          </w:tcPr>
          <w:p w14:paraId="74DDF25A" w14:textId="77777777" w:rsidR="00584EC1" w:rsidRDefault="00871F8D">
            <w:pPr>
              <w:jc w:val="center"/>
              <w:textAlignment w:val="bottom"/>
            </w:pPr>
            <w:r>
              <w:rPr>
                <w:rFonts w:ascii="Arial" w:eastAsia="宋体" w:hAnsi="Arial" w:cs="Arial"/>
                <w:b/>
                <w:bCs/>
                <w:color w:val="000000"/>
                <w:sz w:val="15"/>
                <w:szCs w:val="15"/>
              </w:rPr>
              <w:t>September 30, 2021</w:t>
            </w:r>
          </w:p>
        </w:tc>
        <w:tc>
          <w:tcPr>
            <w:tcW w:w="0" w:type="auto"/>
            <w:gridSpan w:val="3"/>
            <w:shd w:val="clear" w:color="auto" w:fill="auto"/>
            <w:tcMar>
              <w:top w:w="0" w:type="dxa"/>
              <w:left w:w="20" w:type="dxa"/>
              <w:bottom w:w="0" w:type="dxa"/>
              <w:right w:w="20" w:type="dxa"/>
            </w:tcMar>
            <w:vAlign w:val="bottom"/>
          </w:tcPr>
          <w:p w14:paraId="74DDF25B"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F25C" w14:textId="77777777" w:rsidR="00584EC1" w:rsidRDefault="00871F8D">
            <w:pPr>
              <w:jc w:val="center"/>
              <w:textAlignment w:val="bottom"/>
            </w:pPr>
            <w:r>
              <w:rPr>
                <w:rFonts w:ascii="Arial" w:eastAsia="宋体" w:hAnsi="Arial" w:cs="Arial"/>
                <w:b/>
                <w:bCs/>
                <w:color w:val="000000"/>
                <w:sz w:val="15"/>
                <w:szCs w:val="15"/>
              </w:rPr>
              <w:t>December 31, 2020</w:t>
            </w:r>
          </w:p>
        </w:tc>
      </w:tr>
      <w:tr w:rsidR="00584EC1" w14:paraId="74DDF262" w14:textId="77777777">
        <w:tc>
          <w:tcPr>
            <w:tcW w:w="0" w:type="auto"/>
            <w:gridSpan w:val="3"/>
            <w:shd w:val="clear" w:color="auto" w:fill="auto"/>
            <w:tcMar>
              <w:top w:w="40" w:type="dxa"/>
              <w:left w:w="20" w:type="dxa"/>
              <w:bottom w:w="40" w:type="dxa"/>
              <w:right w:w="20" w:type="dxa"/>
            </w:tcMar>
            <w:vAlign w:val="bottom"/>
          </w:tcPr>
          <w:p w14:paraId="74DDF25E" w14:textId="77777777" w:rsidR="00584EC1" w:rsidRDefault="00871F8D">
            <w:pPr>
              <w:textAlignment w:val="bottom"/>
            </w:pPr>
            <w:r>
              <w:rPr>
                <w:rFonts w:ascii="Arial" w:eastAsia="宋体" w:hAnsi="Arial" w:cs="Arial"/>
                <w:b/>
                <w:bCs/>
                <w:color w:val="000000"/>
                <w:sz w:val="15"/>
                <w:szCs w:val="15"/>
              </w:rPr>
              <w:t>Derivatives not designated as hedging instruments: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25F"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260"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261" w14:textId="77777777" w:rsidR="00584EC1" w:rsidRDefault="00584EC1">
            <w:pPr>
              <w:rPr>
                <w:rFonts w:ascii="宋体"/>
              </w:rPr>
            </w:pPr>
          </w:p>
        </w:tc>
      </w:tr>
      <w:tr w:rsidR="00584EC1" w14:paraId="74DDF267" w14:textId="77777777">
        <w:tc>
          <w:tcPr>
            <w:tcW w:w="0" w:type="auto"/>
            <w:gridSpan w:val="3"/>
            <w:shd w:val="clear" w:color="auto" w:fill="auto"/>
            <w:tcMar>
              <w:top w:w="40" w:type="dxa"/>
              <w:left w:w="20" w:type="dxa"/>
              <w:bottom w:w="40" w:type="dxa"/>
              <w:right w:w="20" w:type="dxa"/>
            </w:tcMar>
            <w:vAlign w:val="bottom"/>
          </w:tcPr>
          <w:p w14:paraId="74DDF263" w14:textId="77777777" w:rsidR="00584EC1" w:rsidRDefault="00871F8D">
            <w:pPr>
              <w:textAlignment w:val="bottom"/>
            </w:pPr>
            <w:r>
              <w:rPr>
                <w:rFonts w:ascii="Arial" w:eastAsia="宋体" w:hAnsi="Arial" w:cs="Arial"/>
                <w:color w:val="000000"/>
                <w:sz w:val="15"/>
                <w:szCs w:val="15"/>
              </w:rPr>
              <w:t>Interest rate contracts:</w:t>
            </w:r>
          </w:p>
        </w:tc>
        <w:tc>
          <w:tcPr>
            <w:tcW w:w="0" w:type="auto"/>
            <w:gridSpan w:val="3"/>
            <w:shd w:val="clear" w:color="auto" w:fill="auto"/>
            <w:tcMar>
              <w:top w:w="0" w:type="dxa"/>
              <w:left w:w="20" w:type="dxa"/>
              <w:bottom w:w="0" w:type="dxa"/>
              <w:right w:w="20" w:type="dxa"/>
            </w:tcMar>
            <w:vAlign w:val="bottom"/>
          </w:tcPr>
          <w:p w14:paraId="74DDF264"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26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266" w14:textId="77777777" w:rsidR="00584EC1" w:rsidRDefault="00584EC1">
            <w:pPr>
              <w:rPr>
                <w:rFonts w:ascii="宋体"/>
              </w:rPr>
            </w:pPr>
          </w:p>
        </w:tc>
      </w:tr>
      <w:tr w:rsidR="00584EC1" w14:paraId="74DDF26C" w14:textId="77777777">
        <w:trPr>
          <w:hidden/>
        </w:trPr>
        <w:tc>
          <w:tcPr>
            <w:tcW w:w="0" w:type="auto"/>
            <w:gridSpan w:val="3"/>
            <w:shd w:val="clear" w:color="auto" w:fill="auto"/>
            <w:vAlign w:val="bottom"/>
          </w:tcPr>
          <w:p w14:paraId="74DDF268" w14:textId="77777777" w:rsidR="00584EC1" w:rsidRDefault="00584EC1">
            <w:pPr>
              <w:rPr>
                <w:rFonts w:ascii="宋体"/>
                <w:vanish/>
              </w:rPr>
            </w:pPr>
          </w:p>
        </w:tc>
        <w:tc>
          <w:tcPr>
            <w:tcW w:w="0" w:type="auto"/>
            <w:gridSpan w:val="3"/>
            <w:shd w:val="clear" w:color="auto" w:fill="auto"/>
            <w:vAlign w:val="bottom"/>
          </w:tcPr>
          <w:p w14:paraId="74DDF269" w14:textId="77777777" w:rsidR="00584EC1" w:rsidRDefault="00584EC1">
            <w:pPr>
              <w:rPr>
                <w:rFonts w:ascii="宋体"/>
                <w:vanish/>
              </w:rPr>
            </w:pPr>
          </w:p>
        </w:tc>
        <w:tc>
          <w:tcPr>
            <w:tcW w:w="0" w:type="auto"/>
            <w:gridSpan w:val="3"/>
            <w:shd w:val="clear" w:color="auto" w:fill="auto"/>
            <w:vAlign w:val="bottom"/>
          </w:tcPr>
          <w:p w14:paraId="74DDF26A" w14:textId="77777777" w:rsidR="00584EC1" w:rsidRDefault="00584EC1">
            <w:pPr>
              <w:rPr>
                <w:rFonts w:ascii="宋体"/>
                <w:vanish/>
              </w:rPr>
            </w:pPr>
          </w:p>
        </w:tc>
        <w:tc>
          <w:tcPr>
            <w:tcW w:w="0" w:type="auto"/>
            <w:gridSpan w:val="3"/>
            <w:shd w:val="clear" w:color="auto" w:fill="auto"/>
            <w:vAlign w:val="bottom"/>
          </w:tcPr>
          <w:p w14:paraId="74DDF26B" w14:textId="77777777" w:rsidR="00584EC1" w:rsidRDefault="00584EC1">
            <w:pPr>
              <w:rPr>
                <w:rFonts w:ascii="宋体"/>
                <w:vanish/>
              </w:rPr>
            </w:pPr>
          </w:p>
        </w:tc>
      </w:tr>
      <w:tr w:rsidR="00584EC1" w14:paraId="74DDF271" w14:textId="77777777">
        <w:trPr>
          <w:hidden/>
        </w:trPr>
        <w:tc>
          <w:tcPr>
            <w:tcW w:w="0" w:type="auto"/>
            <w:gridSpan w:val="3"/>
            <w:shd w:val="clear" w:color="auto" w:fill="auto"/>
            <w:vAlign w:val="bottom"/>
          </w:tcPr>
          <w:p w14:paraId="74DDF26D" w14:textId="77777777" w:rsidR="00584EC1" w:rsidRDefault="00584EC1">
            <w:pPr>
              <w:rPr>
                <w:rFonts w:ascii="宋体"/>
                <w:vanish/>
              </w:rPr>
            </w:pPr>
          </w:p>
        </w:tc>
        <w:tc>
          <w:tcPr>
            <w:tcW w:w="0" w:type="auto"/>
            <w:gridSpan w:val="3"/>
            <w:shd w:val="clear" w:color="auto" w:fill="auto"/>
            <w:vAlign w:val="bottom"/>
          </w:tcPr>
          <w:p w14:paraId="74DDF26E" w14:textId="77777777" w:rsidR="00584EC1" w:rsidRDefault="00584EC1">
            <w:pPr>
              <w:rPr>
                <w:rFonts w:ascii="宋体"/>
                <w:vanish/>
              </w:rPr>
            </w:pPr>
          </w:p>
        </w:tc>
        <w:tc>
          <w:tcPr>
            <w:tcW w:w="0" w:type="auto"/>
            <w:gridSpan w:val="3"/>
            <w:shd w:val="clear" w:color="auto" w:fill="auto"/>
            <w:vAlign w:val="bottom"/>
          </w:tcPr>
          <w:p w14:paraId="74DDF26F" w14:textId="77777777" w:rsidR="00584EC1" w:rsidRDefault="00584EC1">
            <w:pPr>
              <w:rPr>
                <w:rFonts w:ascii="宋体"/>
                <w:vanish/>
              </w:rPr>
            </w:pPr>
          </w:p>
        </w:tc>
        <w:tc>
          <w:tcPr>
            <w:tcW w:w="0" w:type="auto"/>
            <w:gridSpan w:val="3"/>
            <w:shd w:val="clear" w:color="auto" w:fill="auto"/>
            <w:vAlign w:val="bottom"/>
          </w:tcPr>
          <w:p w14:paraId="74DDF270" w14:textId="77777777" w:rsidR="00584EC1" w:rsidRDefault="00584EC1">
            <w:pPr>
              <w:rPr>
                <w:rFonts w:ascii="宋体"/>
                <w:vanish/>
              </w:rPr>
            </w:pPr>
          </w:p>
        </w:tc>
      </w:tr>
      <w:tr w:rsidR="00584EC1" w14:paraId="74DDF276" w14:textId="77777777">
        <w:trPr>
          <w:hidden/>
        </w:trPr>
        <w:tc>
          <w:tcPr>
            <w:tcW w:w="0" w:type="auto"/>
            <w:gridSpan w:val="3"/>
            <w:shd w:val="clear" w:color="auto" w:fill="auto"/>
            <w:vAlign w:val="bottom"/>
          </w:tcPr>
          <w:p w14:paraId="74DDF272" w14:textId="77777777" w:rsidR="00584EC1" w:rsidRDefault="00584EC1">
            <w:pPr>
              <w:rPr>
                <w:rFonts w:ascii="宋体"/>
                <w:vanish/>
              </w:rPr>
            </w:pPr>
          </w:p>
        </w:tc>
        <w:tc>
          <w:tcPr>
            <w:tcW w:w="0" w:type="auto"/>
            <w:gridSpan w:val="3"/>
            <w:shd w:val="clear" w:color="auto" w:fill="auto"/>
            <w:vAlign w:val="bottom"/>
          </w:tcPr>
          <w:p w14:paraId="74DDF273" w14:textId="77777777" w:rsidR="00584EC1" w:rsidRDefault="00584EC1">
            <w:pPr>
              <w:rPr>
                <w:rFonts w:ascii="宋体"/>
                <w:vanish/>
              </w:rPr>
            </w:pPr>
          </w:p>
        </w:tc>
        <w:tc>
          <w:tcPr>
            <w:tcW w:w="0" w:type="auto"/>
            <w:gridSpan w:val="3"/>
            <w:shd w:val="clear" w:color="auto" w:fill="auto"/>
            <w:vAlign w:val="bottom"/>
          </w:tcPr>
          <w:p w14:paraId="74DDF274" w14:textId="77777777" w:rsidR="00584EC1" w:rsidRDefault="00584EC1">
            <w:pPr>
              <w:rPr>
                <w:rFonts w:ascii="宋体"/>
                <w:vanish/>
              </w:rPr>
            </w:pPr>
          </w:p>
        </w:tc>
        <w:tc>
          <w:tcPr>
            <w:tcW w:w="0" w:type="auto"/>
            <w:gridSpan w:val="3"/>
            <w:shd w:val="clear" w:color="auto" w:fill="auto"/>
            <w:vAlign w:val="bottom"/>
          </w:tcPr>
          <w:p w14:paraId="74DDF275" w14:textId="77777777" w:rsidR="00584EC1" w:rsidRDefault="00584EC1">
            <w:pPr>
              <w:rPr>
                <w:rFonts w:ascii="宋体"/>
                <w:vanish/>
              </w:rPr>
            </w:pPr>
          </w:p>
        </w:tc>
      </w:tr>
      <w:tr w:rsidR="00584EC1" w14:paraId="74DDF27F" w14:textId="77777777">
        <w:tc>
          <w:tcPr>
            <w:tcW w:w="0" w:type="auto"/>
            <w:gridSpan w:val="3"/>
            <w:shd w:val="clear" w:color="auto" w:fill="CCEEFF"/>
            <w:tcMar>
              <w:top w:w="40" w:type="dxa"/>
              <w:left w:w="155" w:type="dxa"/>
              <w:bottom w:w="40" w:type="dxa"/>
              <w:right w:w="20" w:type="dxa"/>
            </w:tcMar>
            <w:vAlign w:val="bottom"/>
          </w:tcPr>
          <w:p w14:paraId="74DDF277" w14:textId="77777777" w:rsidR="00584EC1" w:rsidRDefault="00871F8D">
            <w:pPr>
              <w:textAlignment w:val="bottom"/>
            </w:pPr>
            <w:r>
              <w:rPr>
                <w:rFonts w:ascii="Arial" w:eastAsia="宋体" w:hAnsi="Arial" w:cs="Arial"/>
                <w:color w:val="000000"/>
                <w:sz w:val="15"/>
                <w:szCs w:val="15"/>
              </w:rPr>
              <w:t>Futures</w:t>
            </w:r>
          </w:p>
        </w:tc>
        <w:tc>
          <w:tcPr>
            <w:tcW w:w="0" w:type="auto"/>
            <w:shd w:val="clear" w:color="auto" w:fill="CCEEFF"/>
            <w:tcMar>
              <w:top w:w="40" w:type="dxa"/>
              <w:left w:w="20" w:type="dxa"/>
              <w:bottom w:w="40" w:type="dxa"/>
              <w:right w:w="0" w:type="dxa"/>
            </w:tcMar>
            <w:vAlign w:val="bottom"/>
          </w:tcPr>
          <w:p w14:paraId="74DDF278" w14:textId="77777777" w:rsidR="00584EC1" w:rsidRDefault="00871F8D">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4DDF279" w14:textId="77777777" w:rsidR="00584EC1" w:rsidRDefault="00871F8D">
            <w:pPr>
              <w:jc w:val="right"/>
              <w:textAlignment w:val="bottom"/>
            </w:pPr>
            <w:r>
              <w:rPr>
                <w:rFonts w:ascii="Arial" w:eastAsia="宋体" w:hAnsi="Arial" w:cs="Arial"/>
                <w:b/>
                <w:bCs/>
                <w:color w:val="000000"/>
                <w:sz w:val="15"/>
                <w:szCs w:val="15"/>
              </w:rPr>
              <w:t>3,572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F27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27B"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F27C" w14:textId="77777777" w:rsidR="00584EC1" w:rsidRDefault="00871F8D">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4DDF27D" w14:textId="77777777" w:rsidR="00584EC1" w:rsidRDefault="00871F8D">
            <w:pPr>
              <w:jc w:val="right"/>
              <w:textAlignment w:val="bottom"/>
            </w:pPr>
            <w:r>
              <w:rPr>
                <w:rFonts w:ascii="Arial" w:eastAsia="宋体" w:hAnsi="Arial" w:cs="Arial"/>
                <w:color w:val="000000"/>
                <w:sz w:val="15"/>
                <w:szCs w:val="15"/>
              </w:rPr>
              <w:t>2,842 </w:t>
            </w:r>
          </w:p>
        </w:tc>
        <w:tc>
          <w:tcPr>
            <w:tcW w:w="0" w:type="auto"/>
            <w:shd w:val="clear" w:color="auto" w:fill="CCEEFF"/>
            <w:tcMar>
              <w:top w:w="40" w:type="dxa"/>
              <w:left w:w="0" w:type="dxa"/>
              <w:bottom w:w="40" w:type="dxa"/>
              <w:right w:w="20" w:type="dxa"/>
            </w:tcMar>
            <w:vAlign w:val="bottom"/>
          </w:tcPr>
          <w:p w14:paraId="74DDF27E" w14:textId="77777777" w:rsidR="00584EC1" w:rsidRDefault="00584EC1">
            <w:pPr>
              <w:jc w:val="right"/>
              <w:rPr>
                <w:rFonts w:ascii="宋体"/>
              </w:rPr>
            </w:pPr>
          </w:p>
        </w:tc>
      </w:tr>
      <w:tr w:rsidR="00584EC1" w14:paraId="74DDF284" w14:textId="77777777">
        <w:tc>
          <w:tcPr>
            <w:tcW w:w="0" w:type="auto"/>
            <w:gridSpan w:val="3"/>
            <w:shd w:val="clear" w:color="auto" w:fill="FFFFFF"/>
            <w:tcMar>
              <w:top w:w="40" w:type="dxa"/>
              <w:left w:w="20" w:type="dxa"/>
              <w:bottom w:w="40" w:type="dxa"/>
              <w:right w:w="20" w:type="dxa"/>
            </w:tcMar>
            <w:vAlign w:val="bottom"/>
          </w:tcPr>
          <w:p w14:paraId="74DDF280" w14:textId="77777777" w:rsidR="00584EC1" w:rsidRDefault="00871F8D">
            <w:pPr>
              <w:textAlignment w:val="bottom"/>
            </w:pPr>
            <w:r>
              <w:rPr>
                <w:rFonts w:ascii="Arial" w:eastAsia="宋体" w:hAnsi="Arial" w:cs="Arial"/>
                <w:color w:val="000000"/>
                <w:sz w:val="15"/>
                <w:szCs w:val="15"/>
              </w:rPr>
              <w:t>Foreign exchange contracts:</w:t>
            </w:r>
          </w:p>
        </w:tc>
        <w:tc>
          <w:tcPr>
            <w:tcW w:w="0" w:type="auto"/>
            <w:gridSpan w:val="3"/>
            <w:shd w:val="clear" w:color="auto" w:fill="FFFFFF"/>
            <w:tcMar>
              <w:top w:w="0" w:type="dxa"/>
              <w:left w:w="20" w:type="dxa"/>
              <w:bottom w:w="0" w:type="dxa"/>
              <w:right w:w="20" w:type="dxa"/>
            </w:tcMar>
            <w:vAlign w:val="bottom"/>
          </w:tcPr>
          <w:p w14:paraId="74DDF281"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F28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F283" w14:textId="77777777" w:rsidR="00584EC1" w:rsidRDefault="00584EC1">
            <w:pPr>
              <w:rPr>
                <w:rFonts w:ascii="宋体"/>
              </w:rPr>
            </w:pPr>
          </w:p>
        </w:tc>
      </w:tr>
      <w:tr w:rsidR="00584EC1" w14:paraId="74DDF28B" w14:textId="77777777">
        <w:tc>
          <w:tcPr>
            <w:tcW w:w="0" w:type="auto"/>
            <w:gridSpan w:val="3"/>
            <w:shd w:val="clear" w:color="auto" w:fill="CCEEFF"/>
            <w:tcMar>
              <w:top w:w="40" w:type="dxa"/>
              <w:left w:w="155" w:type="dxa"/>
              <w:bottom w:w="40" w:type="dxa"/>
              <w:right w:w="20" w:type="dxa"/>
            </w:tcMar>
            <w:vAlign w:val="bottom"/>
          </w:tcPr>
          <w:p w14:paraId="74DDF285" w14:textId="77777777" w:rsidR="00584EC1" w:rsidRDefault="00871F8D">
            <w:pPr>
              <w:textAlignment w:val="bottom"/>
            </w:pPr>
            <w:r>
              <w:rPr>
                <w:rFonts w:ascii="Arial" w:eastAsia="宋体" w:hAnsi="Arial" w:cs="Arial"/>
                <w:color w:val="000000"/>
                <w:sz w:val="15"/>
                <w:szCs w:val="15"/>
              </w:rPr>
              <w:t>Forward, swap and spot</w:t>
            </w:r>
          </w:p>
        </w:tc>
        <w:tc>
          <w:tcPr>
            <w:tcW w:w="0" w:type="auto"/>
            <w:gridSpan w:val="2"/>
            <w:shd w:val="clear" w:color="auto" w:fill="CCEEFF"/>
            <w:tcMar>
              <w:top w:w="40" w:type="dxa"/>
              <w:left w:w="20" w:type="dxa"/>
              <w:bottom w:w="40" w:type="dxa"/>
              <w:right w:w="0" w:type="dxa"/>
            </w:tcMar>
            <w:vAlign w:val="bottom"/>
          </w:tcPr>
          <w:p w14:paraId="74DDF286" w14:textId="77777777" w:rsidR="00584EC1" w:rsidRDefault="00871F8D">
            <w:pPr>
              <w:jc w:val="right"/>
              <w:textAlignment w:val="bottom"/>
            </w:pPr>
            <w:r>
              <w:rPr>
                <w:rFonts w:ascii="Arial" w:eastAsia="宋体" w:hAnsi="Arial" w:cs="Arial"/>
                <w:b/>
                <w:bCs/>
                <w:color w:val="000000"/>
                <w:sz w:val="15"/>
                <w:szCs w:val="15"/>
              </w:rPr>
              <w:t>2,372,570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F28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288"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F289" w14:textId="77777777" w:rsidR="00584EC1" w:rsidRDefault="00871F8D">
            <w:pPr>
              <w:jc w:val="right"/>
              <w:textAlignment w:val="bottom"/>
            </w:pPr>
            <w:r>
              <w:rPr>
                <w:rFonts w:ascii="Arial" w:eastAsia="宋体" w:hAnsi="Arial" w:cs="Arial"/>
                <w:color w:val="000000"/>
                <w:sz w:val="15"/>
                <w:szCs w:val="15"/>
              </w:rPr>
              <w:t>2,640,989 </w:t>
            </w:r>
          </w:p>
        </w:tc>
        <w:tc>
          <w:tcPr>
            <w:tcW w:w="0" w:type="auto"/>
            <w:shd w:val="clear" w:color="auto" w:fill="CCEEFF"/>
            <w:tcMar>
              <w:top w:w="40" w:type="dxa"/>
              <w:left w:w="0" w:type="dxa"/>
              <w:bottom w:w="40" w:type="dxa"/>
              <w:right w:w="20" w:type="dxa"/>
            </w:tcMar>
            <w:vAlign w:val="bottom"/>
          </w:tcPr>
          <w:p w14:paraId="74DDF28A" w14:textId="77777777" w:rsidR="00584EC1" w:rsidRDefault="00584EC1">
            <w:pPr>
              <w:jc w:val="right"/>
              <w:rPr>
                <w:rFonts w:ascii="宋体"/>
              </w:rPr>
            </w:pPr>
          </w:p>
        </w:tc>
      </w:tr>
      <w:tr w:rsidR="00584EC1" w14:paraId="74DDF292" w14:textId="77777777">
        <w:tc>
          <w:tcPr>
            <w:tcW w:w="0" w:type="auto"/>
            <w:gridSpan w:val="3"/>
            <w:shd w:val="clear" w:color="auto" w:fill="FFFFFF"/>
            <w:tcMar>
              <w:top w:w="40" w:type="dxa"/>
              <w:left w:w="155" w:type="dxa"/>
              <w:bottom w:w="40" w:type="dxa"/>
              <w:right w:w="20" w:type="dxa"/>
            </w:tcMar>
            <w:vAlign w:val="bottom"/>
          </w:tcPr>
          <w:p w14:paraId="74DDF28C" w14:textId="77777777" w:rsidR="00584EC1" w:rsidRDefault="00871F8D">
            <w:pPr>
              <w:textAlignment w:val="bottom"/>
            </w:pPr>
            <w:r>
              <w:rPr>
                <w:rFonts w:ascii="Arial" w:eastAsia="宋体" w:hAnsi="Arial" w:cs="Arial"/>
                <w:color w:val="000000"/>
                <w:sz w:val="15"/>
                <w:szCs w:val="15"/>
              </w:rPr>
              <w:t>Options purchased</w:t>
            </w:r>
          </w:p>
        </w:tc>
        <w:tc>
          <w:tcPr>
            <w:tcW w:w="0" w:type="auto"/>
            <w:gridSpan w:val="2"/>
            <w:shd w:val="clear" w:color="auto" w:fill="FFFFFF"/>
            <w:tcMar>
              <w:top w:w="40" w:type="dxa"/>
              <w:left w:w="20" w:type="dxa"/>
              <w:bottom w:w="40" w:type="dxa"/>
              <w:right w:w="0" w:type="dxa"/>
            </w:tcMar>
            <w:vAlign w:val="bottom"/>
          </w:tcPr>
          <w:p w14:paraId="74DDF28D" w14:textId="77777777" w:rsidR="00584EC1" w:rsidRDefault="00871F8D">
            <w:pPr>
              <w:jc w:val="right"/>
              <w:textAlignment w:val="bottom"/>
            </w:pPr>
            <w:r>
              <w:rPr>
                <w:rFonts w:ascii="Arial" w:eastAsia="宋体" w:hAnsi="Arial" w:cs="Arial"/>
                <w:b/>
                <w:bCs/>
                <w:color w:val="000000"/>
                <w:sz w:val="15"/>
                <w:szCs w:val="15"/>
              </w:rPr>
              <w:t>724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F28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28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290" w14:textId="77777777" w:rsidR="00584EC1" w:rsidRDefault="00871F8D">
            <w:pPr>
              <w:jc w:val="right"/>
              <w:textAlignment w:val="bottom"/>
            </w:pPr>
            <w:r>
              <w:rPr>
                <w:rFonts w:ascii="Arial" w:eastAsia="宋体" w:hAnsi="Arial" w:cs="Arial"/>
                <w:color w:val="000000"/>
                <w:sz w:val="15"/>
                <w:szCs w:val="15"/>
              </w:rPr>
              <w:t>946 </w:t>
            </w:r>
          </w:p>
        </w:tc>
        <w:tc>
          <w:tcPr>
            <w:tcW w:w="0" w:type="auto"/>
            <w:shd w:val="clear" w:color="auto" w:fill="FFFFFF"/>
            <w:tcMar>
              <w:top w:w="40" w:type="dxa"/>
              <w:left w:w="0" w:type="dxa"/>
              <w:bottom w:w="40" w:type="dxa"/>
              <w:right w:w="20" w:type="dxa"/>
            </w:tcMar>
            <w:vAlign w:val="bottom"/>
          </w:tcPr>
          <w:p w14:paraId="74DDF291" w14:textId="77777777" w:rsidR="00584EC1" w:rsidRDefault="00584EC1">
            <w:pPr>
              <w:jc w:val="right"/>
              <w:rPr>
                <w:rFonts w:ascii="宋体"/>
              </w:rPr>
            </w:pPr>
          </w:p>
        </w:tc>
      </w:tr>
      <w:tr w:rsidR="00584EC1" w14:paraId="74DDF299" w14:textId="77777777">
        <w:tc>
          <w:tcPr>
            <w:tcW w:w="0" w:type="auto"/>
            <w:gridSpan w:val="3"/>
            <w:shd w:val="clear" w:color="auto" w:fill="CCEEFF"/>
            <w:tcMar>
              <w:top w:w="40" w:type="dxa"/>
              <w:left w:w="155" w:type="dxa"/>
              <w:bottom w:w="40" w:type="dxa"/>
              <w:right w:w="20" w:type="dxa"/>
            </w:tcMar>
            <w:vAlign w:val="bottom"/>
          </w:tcPr>
          <w:p w14:paraId="74DDF293" w14:textId="77777777" w:rsidR="00584EC1" w:rsidRDefault="00871F8D">
            <w:pPr>
              <w:textAlignment w:val="bottom"/>
            </w:pPr>
            <w:r>
              <w:rPr>
                <w:rFonts w:ascii="Arial" w:eastAsia="宋体" w:hAnsi="Arial" w:cs="Arial"/>
                <w:color w:val="000000"/>
                <w:sz w:val="15"/>
                <w:szCs w:val="15"/>
              </w:rPr>
              <w:t xml:space="preserve">Options </w:t>
            </w:r>
            <w:r>
              <w:rPr>
                <w:rFonts w:ascii="Arial" w:eastAsia="宋体" w:hAnsi="Arial" w:cs="Arial"/>
                <w:color w:val="000000"/>
                <w:sz w:val="15"/>
                <w:szCs w:val="15"/>
              </w:rPr>
              <w:t>written</w:t>
            </w:r>
          </w:p>
        </w:tc>
        <w:tc>
          <w:tcPr>
            <w:tcW w:w="0" w:type="auto"/>
            <w:gridSpan w:val="2"/>
            <w:shd w:val="clear" w:color="auto" w:fill="CCEEFF"/>
            <w:tcMar>
              <w:top w:w="40" w:type="dxa"/>
              <w:left w:w="20" w:type="dxa"/>
              <w:bottom w:w="40" w:type="dxa"/>
              <w:right w:w="0" w:type="dxa"/>
            </w:tcMar>
            <w:vAlign w:val="bottom"/>
          </w:tcPr>
          <w:p w14:paraId="74DDF294" w14:textId="77777777" w:rsidR="00584EC1" w:rsidRDefault="00871F8D">
            <w:pPr>
              <w:jc w:val="right"/>
              <w:textAlignment w:val="bottom"/>
            </w:pPr>
            <w:r>
              <w:rPr>
                <w:rFonts w:ascii="Arial" w:eastAsia="宋体" w:hAnsi="Arial" w:cs="Arial"/>
                <w:b/>
                <w:bCs/>
                <w:color w:val="000000"/>
                <w:sz w:val="15"/>
                <w:szCs w:val="15"/>
              </w:rPr>
              <w:t>221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F29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29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F297" w14:textId="77777777" w:rsidR="00584EC1" w:rsidRDefault="00871F8D">
            <w:pPr>
              <w:jc w:val="right"/>
              <w:textAlignment w:val="bottom"/>
            </w:pPr>
            <w:r>
              <w:rPr>
                <w:rFonts w:ascii="Arial" w:eastAsia="宋体" w:hAnsi="Arial" w:cs="Arial"/>
                <w:color w:val="000000"/>
                <w:sz w:val="15"/>
                <w:szCs w:val="15"/>
              </w:rPr>
              <w:t>661 </w:t>
            </w:r>
          </w:p>
        </w:tc>
        <w:tc>
          <w:tcPr>
            <w:tcW w:w="0" w:type="auto"/>
            <w:shd w:val="clear" w:color="auto" w:fill="CCEEFF"/>
            <w:tcMar>
              <w:top w:w="40" w:type="dxa"/>
              <w:left w:w="0" w:type="dxa"/>
              <w:bottom w:w="40" w:type="dxa"/>
              <w:right w:w="20" w:type="dxa"/>
            </w:tcMar>
            <w:vAlign w:val="bottom"/>
          </w:tcPr>
          <w:p w14:paraId="74DDF298" w14:textId="77777777" w:rsidR="00584EC1" w:rsidRDefault="00584EC1">
            <w:pPr>
              <w:jc w:val="right"/>
              <w:rPr>
                <w:rFonts w:ascii="宋体"/>
              </w:rPr>
            </w:pPr>
          </w:p>
        </w:tc>
      </w:tr>
      <w:tr w:rsidR="00584EC1" w14:paraId="74DDF2A0" w14:textId="77777777">
        <w:tc>
          <w:tcPr>
            <w:tcW w:w="0" w:type="auto"/>
            <w:gridSpan w:val="3"/>
            <w:shd w:val="clear" w:color="auto" w:fill="FFFFFF"/>
            <w:tcMar>
              <w:top w:w="40" w:type="dxa"/>
              <w:left w:w="155" w:type="dxa"/>
              <w:bottom w:w="40" w:type="dxa"/>
              <w:right w:w="20" w:type="dxa"/>
            </w:tcMar>
            <w:vAlign w:val="bottom"/>
          </w:tcPr>
          <w:p w14:paraId="74DDF29A" w14:textId="77777777" w:rsidR="00584EC1" w:rsidRDefault="00871F8D">
            <w:pPr>
              <w:textAlignment w:val="bottom"/>
            </w:pPr>
            <w:r>
              <w:rPr>
                <w:rFonts w:ascii="Arial" w:eastAsia="宋体" w:hAnsi="Arial" w:cs="Arial"/>
                <w:color w:val="000000"/>
                <w:sz w:val="15"/>
                <w:szCs w:val="15"/>
              </w:rPr>
              <w:t>Futures</w:t>
            </w:r>
          </w:p>
        </w:tc>
        <w:tc>
          <w:tcPr>
            <w:tcW w:w="0" w:type="auto"/>
            <w:gridSpan w:val="2"/>
            <w:shd w:val="clear" w:color="auto" w:fill="FFFFFF"/>
            <w:tcMar>
              <w:top w:w="40" w:type="dxa"/>
              <w:left w:w="20" w:type="dxa"/>
              <w:bottom w:w="40" w:type="dxa"/>
              <w:right w:w="0" w:type="dxa"/>
            </w:tcMar>
            <w:vAlign w:val="bottom"/>
          </w:tcPr>
          <w:p w14:paraId="74DDF29B" w14:textId="77777777" w:rsidR="00584EC1" w:rsidRDefault="00871F8D">
            <w:pPr>
              <w:jc w:val="right"/>
              <w:textAlignment w:val="bottom"/>
            </w:pPr>
            <w:r>
              <w:rPr>
                <w:rFonts w:ascii="Arial" w:eastAsia="宋体" w:hAnsi="Arial" w:cs="Arial"/>
                <w:b/>
                <w:bCs/>
                <w:color w:val="000000"/>
                <w:sz w:val="15"/>
                <w:szCs w:val="15"/>
              </w:rPr>
              <w:t>2,077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F29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29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29E" w14:textId="77777777" w:rsidR="00584EC1" w:rsidRDefault="00871F8D">
            <w:pPr>
              <w:jc w:val="right"/>
              <w:textAlignment w:val="bottom"/>
            </w:pPr>
            <w:r>
              <w:rPr>
                <w:rFonts w:ascii="Arial" w:eastAsia="宋体" w:hAnsi="Arial" w:cs="Arial"/>
                <w:color w:val="000000"/>
                <w:sz w:val="15"/>
                <w:szCs w:val="15"/>
              </w:rPr>
              <w:t>1,980 </w:t>
            </w:r>
          </w:p>
        </w:tc>
        <w:tc>
          <w:tcPr>
            <w:tcW w:w="0" w:type="auto"/>
            <w:shd w:val="clear" w:color="auto" w:fill="FFFFFF"/>
            <w:tcMar>
              <w:top w:w="40" w:type="dxa"/>
              <w:left w:w="0" w:type="dxa"/>
              <w:bottom w:w="40" w:type="dxa"/>
              <w:right w:w="20" w:type="dxa"/>
            </w:tcMar>
            <w:vAlign w:val="bottom"/>
          </w:tcPr>
          <w:p w14:paraId="74DDF29F" w14:textId="77777777" w:rsidR="00584EC1" w:rsidRDefault="00584EC1">
            <w:pPr>
              <w:jc w:val="right"/>
              <w:rPr>
                <w:rFonts w:ascii="宋体"/>
              </w:rPr>
            </w:pPr>
          </w:p>
        </w:tc>
      </w:tr>
      <w:tr w:rsidR="00584EC1" w14:paraId="74DDF2A5" w14:textId="77777777">
        <w:trPr>
          <w:hidden/>
        </w:trPr>
        <w:tc>
          <w:tcPr>
            <w:tcW w:w="0" w:type="auto"/>
            <w:gridSpan w:val="3"/>
            <w:shd w:val="clear" w:color="auto" w:fill="auto"/>
            <w:vAlign w:val="bottom"/>
          </w:tcPr>
          <w:p w14:paraId="74DDF2A1" w14:textId="77777777" w:rsidR="00584EC1" w:rsidRDefault="00584EC1">
            <w:pPr>
              <w:rPr>
                <w:rFonts w:ascii="宋体"/>
                <w:vanish/>
              </w:rPr>
            </w:pPr>
          </w:p>
        </w:tc>
        <w:tc>
          <w:tcPr>
            <w:tcW w:w="0" w:type="auto"/>
            <w:gridSpan w:val="3"/>
            <w:shd w:val="clear" w:color="auto" w:fill="auto"/>
            <w:vAlign w:val="bottom"/>
          </w:tcPr>
          <w:p w14:paraId="74DDF2A2" w14:textId="77777777" w:rsidR="00584EC1" w:rsidRDefault="00584EC1">
            <w:pPr>
              <w:rPr>
                <w:rFonts w:ascii="宋体"/>
                <w:vanish/>
              </w:rPr>
            </w:pPr>
          </w:p>
        </w:tc>
        <w:tc>
          <w:tcPr>
            <w:tcW w:w="0" w:type="auto"/>
            <w:gridSpan w:val="3"/>
            <w:shd w:val="clear" w:color="auto" w:fill="auto"/>
            <w:vAlign w:val="bottom"/>
          </w:tcPr>
          <w:p w14:paraId="74DDF2A3" w14:textId="77777777" w:rsidR="00584EC1" w:rsidRDefault="00584EC1">
            <w:pPr>
              <w:rPr>
                <w:rFonts w:ascii="宋体"/>
                <w:vanish/>
              </w:rPr>
            </w:pPr>
          </w:p>
        </w:tc>
        <w:tc>
          <w:tcPr>
            <w:tcW w:w="0" w:type="auto"/>
            <w:gridSpan w:val="3"/>
            <w:shd w:val="clear" w:color="auto" w:fill="auto"/>
            <w:vAlign w:val="bottom"/>
          </w:tcPr>
          <w:p w14:paraId="74DDF2A4" w14:textId="77777777" w:rsidR="00584EC1" w:rsidRDefault="00584EC1">
            <w:pPr>
              <w:rPr>
                <w:rFonts w:ascii="宋体"/>
                <w:vanish/>
              </w:rPr>
            </w:pPr>
          </w:p>
        </w:tc>
      </w:tr>
      <w:tr w:rsidR="00584EC1" w14:paraId="74DDF2AA" w14:textId="77777777">
        <w:trPr>
          <w:hidden/>
        </w:trPr>
        <w:tc>
          <w:tcPr>
            <w:tcW w:w="0" w:type="auto"/>
            <w:gridSpan w:val="3"/>
            <w:shd w:val="clear" w:color="auto" w:fill="auto"/>
            <w:vAlign w:val="bottom"/>
          </w:tcPr>
          <w:p w14:paraId="74DDF2A6" w14:textId="77777777" w:rsidR="00584EC1" w:rsidRDefault="00584EC1">
            <w:pPr>
              <w:rPr>
                <w:rFonts w:ascii="宋体"/>
                <w:vanish/>
              </w:rPr>
            </w:pPr>
          </w:p>
        </w:tc>
        <w:tc>
          <w:tcPr>
            <w:tcW w:w="0" w:type="auto"/>
            <w:gridSpan w:val="3"/>
            <w:shd w:val="clear" w:color="auto" w:fill="auto"/>
            <w:vAlign w:val="bottom"/>
          </w:tcPr>
          <w:p w14:paraId="74DDF2A7" w14:textId="77777777" w:rsidR="00584EC1" w:rsidRDefault="00584EC1">
            <w:pPr>
              <w:rPr>
                <w:rFonts w:ascii="宋体"/>
                <w:vanish/>
              </w:rPr>
            </w:pPr>
          </w:p>
        </w:tc>
        <w:tc>
          <w:tcPr>
            <w:tcW w:w="0" w:type="auto"/>
            <w:gridSpan w:val="3"/>
            <w:shd w:val="clear" w:color="auto" w:fill="auto"/>
            <w:vAlign w:val="bottom"/>
          </w:tcPr>
          <w:p w14:paraId="74DDF2A8" w14:textId="77777777" w:rsidR="00584EC1" w:rsidRDefault="00584EC1">
            <w:pPr>
              <w:rPr>
                <w:rFonts w:ascii="宋体"/>
                <w:vanish/>
              </w:rPr>
            </w:pPr>
          </w:p>
        </w:tc>
        <w:tc>
          <w:tcPr>
            <w:tcW w:w="0" w:type="auto"/>
            <w:gridSpan w:val="3"/>
            <w:shd w:val="clear" w:color="auto" w:fill="auto"/>
            <w:vAlign w:val="bottom"/>
          </w:tcPr>
          <w:p w14:paraId="74DDF2A9" w14:textId="77777777" w:rsidR="00584EC1" w:rsidRDefault="00584EC1">
            <w:pPr>
              <w:rPr>
                <w:rFonts w:ascii="宋体"/>
                <w:vanish/>
              </w:rPr>
            </w:pPr>
          </w:p>
        </w:tc>
      </w:tr>
      <w:tr w:rsidR="00584EC1" w14:paraId="74DDF2AF" w14:textId="77777777">
        <w:trPr>
          <w:hidden/>
        </w:trPr>
        <w:tc>
          <w:tcPr>
            <w:tcW w:w="0" w:type="auto"/>
            <w:gridSpan w:val="3"/>
            <w:shd w:val="clear" w:color="auto" w:fill="auto"/>
            <w:vAlign w:val="bottom"/>
          </w:tcPr>
          <w:p w14:paraId="74DDF2AB" w14:textId="77777777" w:rsidR="00584EC1" w:rsidRDefault="00584EC1">
            <w:pPr>
              <w:rPr>
                <w:rFonts w:ascii="宋体"/>
                <w:vanish/>
              </w:rPr>
            </w:pPr>
          </w:p>
        </w:tc>
        <w:tc>
          <w:tcPr>
            <w:tcW w:w="0" w:type="auto"/>
            <w:gridSpan w:val="3"/>
            <w:shd w:val="clear" w:color="auto" w:fill="auto"/>
            <w:vAlign w:val="bottom"/>
          </w:tcPr>
          <w:p w14:paraId="74DDF2AC" w14:textId="77777777" w:rsidR="00584EC1" w:rsidRDefault="00584EC1">
            <w:pPr>
              <w:rPr>
                <w:rFonts w:ascii="宋体"/>
                <w:vanish/>
              </w:rPr>
            </w:pPr>
          </w:p>
        </w:tc>
        <w:tc>
          <w:tcPr>
            <w:tcW w:w="0" w:type="auto"/>
            <w:gridSpan w:val="3"/>
            <w:shd w:val="clear" w:color="auto" w:fill="auto"/>
            <w:vAlign w:val="bottom"/>
          </w:tcPr>
          <w:p w14:paraId="74DDF2AD" w14:textId="77777777" w:rsidR="00584EC1" w:rsidRDefault="00584EC1">
            <w:pPr>
              <w:rPr>
                <w:rFonts w:ascii="宋体"/>
                <w:vanish/>
              </w:rPr>
            </w:pPr>
          </w:p>
        </w:tc>
        <w:tc>
          <w:tcPr>
            <w:tcW w:w="0" w:type="auto"/>
            <w:gridSpan w:val="3"/>
            <w:shd w:val="clear" w:color="auto" w:fill="auto"/>
            <w:vAlign w:val="bottom"/>
          </w:tcPr>
          <w:p w14:paraId="74DDF2AE" w14:textId="77777777" w:rsidR="00584EC1" w:rsidRDefault="00584EC1">
            <w:pPr>
              <w:rPr>
                <w:rFonts w:ascii="宋体"/>
                <w:vanish/>
              </w:rPr>
            </w:pPr>
          </w:p>
        </w:tc>
      </w:tr>
      <w:tr w:rsidR="00584EC1" w14:paraId="74DDF2B4" w14:textId="77777777">
        <w:trPr>
          <w:hidden/>
        </w:trPr>
        <w:tc>
          <w:tcPr>
            <w:tcW w:w="0" w:type="auto"/>
            <w:gridSpan w:val="3"/>
            <w:shd w:val="clear" w:color="auto" w:fill="auto"/>
            <w:vAlign w:val="bottom"/>
          </w:tcPr>
          <w:p w14:paraId="74DDF2B0" w14:textId="77777777" w:rsidR="00584EC1" w:rsidRDefault="00584EC1">
            <w:pPr>
              <w:rPr>
                <w:rFonts w:ascii="宋体"/>
                <w:vanish/>
              </w:rPr>
            </w:pPr>
          </w:p>
        </w:tc>
        <w:tc>
          <w:tcPr>
            <w:tcW w:w="0" w:type="auto"/>
            <w:gridSpan w:val="3"/>
            <w:shd w:val="clear" w:color="auto" w:fill="auto"/>
            <w:vAlign w:val="bottom"/>
          </w:tcPr>
          <w:p w14:paraId="74DDF2B1" w14:textId="77777777" w:rsidR="00584EC1" w:rsidRDefault="00584EC1">
            <w:pPr>
              <w:rPr>
                <w:rFonts w:ascii="宋体"/>
                <w:vanish/>
              </w:rPr>
            </w:pPr>
          </w:p>
        </w:tc>
        <w:tc>
          <w:tcPr>
            <w:tcW w:w="0" w:type="auto"/>
            <w:gridSpan w:val="3"/>
            <w:shd w:val="clear" w:color="auto" w:fill="auto"/>
            <w:vAlign w:val="bottom"/>
          </w:tcPr>
          <w:p w14:paraId="74DDF2B2" w14:textId="77777777" w:rsidR="00584EC1" w:rsidRDefault="00584EC1">
            <w:pPr>
              <w:rPr>
                <w:rFonts w:ascii="宋体"/>
                <w:vanish/>
              </w:rPr>
            </w:pPr>
          </w:p>
        </w:tc>
        <w:tc>
          <w:tcPr>
            <w:tcW w:w="0" w:type="auto"/>
            <w:gridSpan w:val="3"/>
            <w:shd w:val="clear" w:color="auto" w:fill="auto"/>
            <w:vAlign w:val="bottom"/>
          </w:tcPr>
          <w:p w14:paraId="74DDF2B3" w14:textId="77777777" w:rsidR="00584EC1" w:rsidRDefault="00584EC1">
            <w:pPr>
              <w:rPr>
                <w:rFonts w:ascii="宋体"/>
                <w:vanish/>
              </w:rPr>
            </w:pPr>
          </w:p>
        </w:tc>
      </w:tr>
      <w:tr w:rsidR="00584EC1" w14:paraId="74DDF2B9" w14:textId="77777777">
        <w:trPr>
          <w:hidden/>
        </w:trPr>
        <w:tc>
          <w:tcPr>
            <w:tcW w:w="0" w:type="auto"/>
            <w:gridSpan w:val="3"/>
            <w:shd w:val="clear" w:color="auto" w:fill="auto"/>
            <w:vAlign w:val="bottom"/>
          </w:tcPr>
          <w:p w14:paraId="74DDF2B5" w14:textId="77777777" w:rsidR="00584EC1" w:rsidRDefault="00584EC1">
            <w:pPr>
              <w:rPr>
                <w:rFonts w:ascii="宋体"/>
                <w:vanish/>
              </w:rPr>
            </w:pPr>
          </w:p>
        </w:tc>
        <w:tc>
          <w:tcPr>
            <w:tcW w:w="0" w:type="auto"/>
            <w:gridSpan w:val="3"/>
            <w:shd w:val="clear" w:color="auto" w:fill="auto"/>
            <w:vAlign w:val="bottom"/>
          </w:tcPr>
          <w:p w14:paraId="74DDF2B6" w14:textId="77777777" w:rsidR="00584EC1" w:rsidRDefault="00584EC1">
            <w:pPr>
              <w:rPr>
                <w:rFonts w:ascii="宋体"/>
                <w:vanish/>
              </w:rPr>
            </w:pPr>
          </w:p>
        </w:tc>
        <w:tc>
          <w:tcPr>
            <w:tcW w:w="0" w:type="auto"/>
            <w:gridSpan w:val="3"/>
            <w:shd w:val="clear" w:color="auto" w:fill="auto"/>
            <w:vAlign w:val="bottom"/>
          </w:tcPr>
          <w:p w14:paraId="74DDF2B7" w14:textId="77777777" w:rsidR="00584EC1" w:rsidRDefault="00584EC1">
            <w:pPr>
              <w:rPr>
                <w:rFonts w:ascii="宋体"/>
                <w:vanish/>
              </w:rPr>
            </w:pPr>
          </w:p>
        </w:tc>
        <w:tc>
          <w:tcPr>
            <w:tcW w:w="0" w:type="auto"/>
            <w:gridSpan w:val="3"/>
            <w:shd w:val="clear" w:color="auto" w:fill="auto"/>
            <w:vAlign w:val="bottom"/>
          </w:tcPr>
          <w:p w14:paraId="74DDF2B8" w14:textId="77777777" w:rsidR="00584EC1" w:rsidRDefault="00584EC1">
            <w:pPr>
              <w:rPr>
                <w:rFonts w:ascii="宋体"/>
                <w:vanish/>
              </w:rPr>
            </w:pPr>
          </w:p>
        </w:tc>
      </w:tr>
      <w:tr w:rsidR="00584EC1" w14:paraId="74DDF2BE" w14:textId="77777777">
        <w:trPr>
          <w:hidden/>
        </w:trPr>
        <w:tc>
          <w:tcPr>
            <w:tcW w:w="0" w:type="auto"/>
            <w:gridSpan w:val="3"/>
            <w:shd w:val="clear" w:color="auto" w:fill="auto"/>
            <w:vAlign w:val="bottom"/>
          </w:tcPr>
          <w:p w14:paraId="74DDF2BA" w14:textId="77777777" w:rsidR="00584EC1" w:rsidRDefault="00584EC1">
            <w:pPr>
              <w:rPr>
                <w:rFonts w:ascii="宋体"/>
                <w:vanish/>
              </w:rPr>
            </w:pPr>
          </w:p>
        </w:tc>
        <w:tc>
          <w:tcPr>
            <w:tcW w:w="0" w:type="auto"/>
            <w:gridSpan w:val="3"/>
            <w:shd w:val="clear" w:color="auto" w:fill="auto"/>
            <w:vAlign w:val="bottom"/>
          </w:tcPr>
          <w:p w14:paraId="74DDF2BB" w14:textId="77777777" w:rsidR="00584EC1" w:rsidRDefault="00584EC1">
            <w:pPr>
              <w:rPr>
                <w:rFonts w:ascii="宋体"/>
                <w:vanish/>
              </w:rPr>
            </w:pPr>
          </w:p>
        </w:tc>
        <w:tc>
          <w:tcPr>
            <w:tcW w:w="0" w:type="auto"/>
            <w:gridSpan w:val="3"/>
            <w:shd w:val="clear" w:color="auto" w:fill="auto"/>
            <w:vAlign w:val="bottom"/>
          </w:tcPr>
          <w:p w14:paraId="74DDF2BC" w14:textId="77777777" w:rsidR="00584EC1" w:rsidRDefault="00584EC1">
            <w:pPr>
              <w:rPr>
                <w:rFonts w:ascii="宋体"/>
                <w:vanish/>
              </w:rPr>
            </w:pPr>
          </w:p>
        </w:tc>
        <w:tc>
          <w:tcPr>
            <w:tcW w:w="0" w:type="auto"/>
            <w:gridSpan w:val="3"/>
            <w:shd w:val="clear" w:color="auto" w:fill="auto"/>
            <w:vAlign w:val="bottom"/>
          </w:tcPr>
          <w:p w14:paraId="74DDF2BD" w14:textId="77777777" w:rsidR="00584EC1" w:rsidRDefault="00584EC1">
            <w:pPr>
              <w:rPr>
                <w:rFonts w:ascii="宋体"/>
                <w:vanish/>
              </w:rPr>
            </w:pPr>
          </w:p>
        </w:tc>
      </w:tr>
      <w:tr w:rsidR="00584EC1" w14:paraId="74DDF2C3" w14:textId="77777777">
        <w:tc>
          <w:tcPr>
            <w:tcW w:w="0" w:type="auto"/>
            <w:gridSpan w:val="3"/>
            <w:shd w:val="clear" w:color="auto" w:fill="CCEEFF"/>
            <w:tcMar>
              <w:top w:w="40" w:type="dxa"/>
              <w:left w:w="20" w:type="dxa"/>
              <w:bottom w:w="40" w:type="dxa"/>
              <w:right w:w="20" w:type="dxa"/>
            </w:tcMar>
            <w:vAlign w:val="bottom"/>
          </w:tcPr>
          <w:p w14:paraId="74DDF2BF" w14:textId="77777777" w:rsidR="00584EC1" w:rsidRDefault="00871F8D">
            <w:pPr>
              <w:textAlignment w:val="bottom"/>
            </w:pPr>
            <w:r>
              <w:rPr>
                <w:rFonts w:ascii="Arial" w:eastAsia="宋体" w:hAnsi="Arial" w:cs="Arial"/>
                <w:color w:val="000000"/>
                <w:sz w:val="15"/>
                <w:szCs w:val="15"/>
              </w:rPr>
              <w:t>Other:</w:t>
            </w:r>
          </w:p>
        </w:tc>
        <w:tc>
          <w:tcPr>
            <w:tcW w:w="0" w:type="auto"/>
            <w:gridSpan w:val="3"/>
            <w:shd w:val="clear" w:color="auto" w:fill="CCEEFF"/>
            <w:tcMar>
              <w:top w:w="0" w:type="dxa"/>
              <w:left w:w="20" w:type="dxa"/>
              <w:bottom w:w="0" w:type="dxa"/>
              <w:right w:w="20" w:type="dxa"/>
            </w:tcMar>
            <w:vAlign w:val="bottom"/>
          </w:tcPr>
          <w:p w14:paraId="74DDF2C0"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F2C1"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F2C2" w14:textId="77777777" w:rsidR="00584EC1" w:rsidRDefault="00584EC1">
            <w:pPr>
              <w:rPr>
                <w:rFonts w:ascii="宋体"/>
              </w:rPr>
            </w:pPr>
          </w:p>
        </w:tc>
      </w:tr>
      <w:tr w:rsidR="00584EC1" w14:paraId="74DDF2CA" w14:textId="77777777">
        <w:tc>
          <w:tcPr>
            <w:tcW w:w="0" w:type="auto"/>
            <w:gridSpan w:val="3"/>
            <w:shd w:val="clear" w:color="auto" w:fill="FFFFFF"/>
            <w:tcMar>
              <w:top w:w="40" w:type="dxa"/>
              <w:left w:w="20" w:type="dxa"/>
              <w:bottom w:w="40" w:type="dxa"/>
              <w:right w:w="20" w:type="dxa"/>
            </w:tcMar>
            <w:vAlign w:val="bottom"/>
          </w:tcPr>
          <w:p w14:paraId="74DDF2C4" w14:textId="77777777" w:rsidR="00584EC1" w:rsidRDefault="00871F8D">
            <w:pPr>
              <w:textAlignment w:val="bottom"/>
            </w:pPr>
            <w:r>
              <w:rPr>
                <w:rFonts w:ascii="Arial" w:eastAsia="宋体" w:hAnsi="Arial" w:cs="Arial"/>
                <w:color w:val="000000"/>
                <w:sz w:val="15"/>
                <w:szCs w:val="15"/>
              </w:rPr>
              <w:t>Stable value contracts</w:t>
            </w:r>
            <w:r>
              <w:rPr>
                <w:rFonts w:ascii="Arial" w:eastAsia="宋体" w:hAnsi="Arial" w:cs="Arial"/>
                <w:color w:val="000000"/>
                <w:sz w:val="9"/>
                <w:szCs w:val="9"/>
              </w:rPr>
              <w:t>(1)</w:t>
            </w:r>
          </w:p>
        </w:tc>
        <w:tc>
          <w:tcPr>
            <w:tcW w:w="0" w:type="auto"/>
            <w:gridSpan w:val="2"/>
            <w:shd w:val="clear" w:color="auto" w:fill="FFFFFF"/>
            <w:tcMar>
              <w:top w:w="40" w:type="dxa"/>
              <w:left w:w="20" w:type="dxa"/>
              <w:bottom w:w="40" w:type="dxa"/>
              <w:right w:w="0" w:type="dxa"/>
            </w:tcMar>
            <w:vAlign w:val="bottom"/>
          </w:tcPr>
          <w:p w14:paraId="74DDF2C5" w14:textId="77777777" w:rsidR="00584EC1" w:rsidRDefault="00871F8D">
            <w:pPr>
              <w:jc w:val="right"/>
              <w:textAlignment w:val="bottom"/>
            </w:pPr>
            <w:r>
              <w:rPr>
                <w:rFonts w:ascii="Arial" w:eastAsia="宋体" w:hAnsi="Arial" w:cs="Arial"/>
                <w:b/>
                <w:bCs/>
                <w:color w:val="000000"/>
                <w:sz w:val="15"/>
                <w:szCs w:val="15"/>
              </w:rPr>
              <w:t>32,704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F2C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2C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2C8" w14:textId="77777777" w:rsidR="00584EC1" w:rsidRDefault="00871F8D">
            <w:pPr>
              <w:jc w:val="right"/>
              <w:textAlignment w:val="bottom"/>
            </w:pPr>
            <w:r>
              <w:rPr>
                <w:rFonts w:ascii="Arial" w:eastAsia="宋体" w:hAnsi="Arial" w:cs="Arial"/>
                <w:color w:val="000000"/>
                <w:sz w:val="15"/>
                <w:szCs w:val="15"/>
              </w:rPr>
              <w:t>32,359 </w:t>
            </w:r>
          </w:p>
        </w:tc>
        <w:tc>
          <w:tcPr>
            <w:tcW w:w="0" w:type="auto"/>
            <w:shd w:val="clear" w:color="auto" w:fill="FFFFFF"/>
            <w:tcMar>
              <w:top w:w="40" w:type="dxa"/>
              <w:left w:w="0" w:type="dxa"/>
              <w:bottom w:w="40" w:type="dxa"/>
              <w:right w:w="20" w:type="dxa"/>
            </w:tcMar>
            <w:vAlign w:val="bottom"/>
          </w:tcPr>
          <w:p w14:paraId="74DDF2C9" w14:textId="77777777" w:rsidR="00584EC1" w:rsidRDefault="00584EC1">
            <w:pPr>
              <w:jc w:val="right"/>
              <w:rPr>
                <w:rFonts w:ascii="宋体"/>
              </w:rPr>
            </w:pPr>
          </w:p>
        </w:tc>
      </w:tr>
      <w:tr w:rsidR="00584EC1" w14:paraId="74DDF2D1" w14:textId="77777777">
        <w:tc>
          <w:tcPr>
            <w:tcW w:w="0" w:type="auto"/>
            <w:gridSpan w:val="3"/>
            <w:shd w:val="clear" w:color="auto" w:fill="CCEEFF"/>
            <w:tcMar>
              <w:top w:w="40" w:type="dxa"/>
              <w:left w:w="20" w:type="dxa"/>
              <w:bottom w:w="40" w:type="dxa"/>
              <w:right w:w="20" w:type="dxa"/>
            </w:tcMar>
            <w:vAlign w:val="bottom"/>
          </w:tcPr>
          <w:p w14:paraId="74DDF2CB" w14:textId="77777777" w:rsidR="00584EC1" w:rsidRDefault="00871F8D">
            <w:pPr>
              <w:textAlignment w:val="bottom"/>
            </w:pPr>
            <w:r>
              <w:rPr>
                <w:rFonts w:ascii="Arial" w:eastAsia="宋体" w:hAnsi="Arial" w:cs="Arial"/>
                <w:color w:val="000000"/>
                <w:sz w:val="15"/>
                <w:szCs w:val="15"/>
              </w:rPr>
              <w:t>Deferred value awards</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74DDF2CC" w14:textId="77777777" w:rsidR="00584EC1" w:rsidRDefault="00871F8D">
            <w:pPr>
              <w:jc w:val="right"/>
              <w:textAlignment w:val="bottom"/>
            </w:pPr>
            <w:r>
              <w:rPr>
                <w:rFonts w:ascii="Arial" w:eastAsia="宋体" w:hAnsi="Arial" w:cs="Arial"/>
                <w:b/>
                <w:bCs/>
                <w:color w:val="000000"/>
                <w:sz w:val="15"/>
                <w:szCs w:val="15"/>
              </w:rPr>
              <w:t>360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F2C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2CE"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F2CF" w14:textId="77777777" w:rsidR="00584EC1" w:rsidRDefault="00871F8D">
            <w:pPr>
              <w:jc w:val="right"/>
              <w:textAlignment w:val="bottom"/>
            </w:pPr>
            <w:r>
              <w:rPr>
                <w:rFonts w:ascii="Arial" w:eastAsia="宋体" w:hAnsi="Arial" w:cs="Arial"/>
                <w:color w:val="000000"/>
                <w:sz w:val="15"/>
                <w:szCs w:val="15"/>
              </w:rPr>
              <w:t>332 </w:t>
            </w:r>
          </w:p>
        </w:tc>
        <w:tc>
          <w:tcPr>
            <w:tcW w:w="0" w:type="auto"/>
            <w:shd w:val="clear" w:color="auto" w:fill="CCEEFF"/>
            <w:tcMar>
              <w:top w:w="40" w:type="dxa"/>
              <w:left w:w="0" w:type="dxa"/>
              <w:bottom w:w="40" w:type="dxa"/>
              <w:right w:w="20" w:type="dxa"/>
            </w:tcMar>
            <w:vAlign w:val="bottom"/>
          </w:tcPr>
          <w:p w14:paraId="74DDF2D0" w14:textId="77777777" w:rsidR="00584EC1" w:rsidRDefault="00584EC1">
            <w:pPr>
              <w:jc w:val="right"/>
              <w:rPr>
                <w:rFonts w:ascii="宋体"/>
              </w:rPr>
            </w:pPr>
          </w:p>
        </w:tc>
      </w:tr>
      <w:tr w:rsidR="00584EC1" w14:paraId="74DDF2D6" w14:textId="77777777">
        <w:tc>
          <w:tcPr>
            <w:tcW w:w="0" w:type="auto"/>
            <w:gridSpan w:val="3"/>
            <w:shd w:val="clear" w:color="auto" w:fill="FFFFFF"/>
            <w:tcMar>
              <w:top w:w="40" w:type="dxa"/>
              <w:left w:w="20" w:type="dxa"/>
              <w:bottom w:w="40" w:type="dxa"/>
              <w:right w:w="20" w:type="dxa"/>
            </w:tcMar>
            <w:vAlign w:val="bottom"/>
          </w:tcPr>
          <w:p w14:paraId="74DDF2D2" w14:textId="77777777" w:rsidR="00584EC1" w:rsidRDefault="00871F8D">
            <w:pPr>
              <w:textAlignment w:val="bottom"/>
            </w:pPr>
            <w:r>
              <w:rPr>
                <w:rFonts w:ascii="Arial" w:eastAsia="宋体" w:hAnsi="Arial" w:cs="Arial"/>
                <w:b/>
                <w:bCs/>
                <w:color w:val="000000"/>
                <w:sz w:val="15"/>
                <w:szCs w:val="15"/>
              </w:rPr>
              <w:t>Derivatives designated as hedging instruments:</w:t>
            </w:r>
          </w:p>
        </w:tc>
        <w:tc>
          <w:tcPr>
            <w:tcW w:w="0" w:type="auto"/>
            <w:gridSpan w:val="3"/>
            <w:shd w:val="clear" w:color="auto" w:fill="FFFFFF"/>
            <w:tcMar>
              <w:top w:w="0" w:type="dxa"/>
              <w:left w:w="20" w:type="dxa"/>
              <w:bottom w:w="0" w:type="dxa"/>
              <w:right w:w="20" w:type="dxa"/>
            </w:tcMar>
            <w:vAlign w:val="bottom"/>
          </w:tcPr>
          <w:p w14:paraId="74DDF2D3"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F2D4"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F2D5" w14:textId="77777777" w:rsidR="00584EC1" w:rsidRDefault="00584EC1">
            <w:pPr>
              <w:rPr>
                <w:rFonts w:ascii="宋体"/>
              </w:rPr>
            </w:pPr>
          </w:p>
        </w:tc>
      </w:tr>
      <w:tr w:rsidR="00584EC1" w14:paraId="74DDF2DB" w14:textId="77777777">
        <w:tc>
          <w:tcPr>
            <w:tcW w:w="0" w:type="auto"/>
            <w:gridSpan w:val="3"/>
            <w:shd w:val="clear" w:color="auto" w:fill="CCEEFF"/>
            <w:tcMar>
              <w:top w:w="40" w:type="dxa"/>
              <w:left w:w="20" w:type="dxa"/>
              <w:bottom w:w="40" w:type="dxa"/>
              <w:right w:w="20" w:type="dxa"/>
            </w:tcMar>
            <w:vAlign w:val="bottom"/>
          </w:tcPr>
          <w:p w14:paraId="74DDF2D7" w14:textId="77777777" w:rsidR="00584EC1" w:rsidRDefault="00871F8D">
            <w:pPr>
              <w:textAlignment w:val="bottom"/>
            </w:pPr>
            <w:r>
              <w:rPr>
                <w:rFonts w:ascii="Arial" w:eastAsia="宋体" w:hAnsi="Arial" w:cs="Arial"/>
                <w:color w:val="000000"/>
                <w:sz w:val="15"/>
                <w:szCs w:val="15"/>
              </w:rPr>
              <w:t xml:space="preserve">Interest rate </w:t>
            </w:r>
            <w:r>
              <w:rPr>
                <w:rFonts w:ascii="Arial" w:eastAsia="宋体" w:hAnsi="Arial" w:cs="Arial"/>
                <w:color w:val="000000"/>
                <w:sz w:val="15"/>
                <w:szCs w:val="15"/>
              </w:rPr>
              <w:t>contracts:</w:t>
            </w:r>
          </w:p>
        </w:tc>
        <w:tc>
          <w:tcPr>
            <w:tcW w:w="0" w:type="auto"/>
            <w:gridSpan w:val="3"/>
            <w:shd w:val="clear" w:color="auto" w:fill="CCEEFF"/>
            <w:tcMar>
              <w:top w:w="0" w:type="dxa"/>
              <w:left w:w="20" w:type="dxa"/>
              <w:bottom w:w="0" w:type="dxa"/>
              <w:right w:w="20" w:type="dxa"/>
            </w:tcMar>
            <w:vAlign w:val="bottom"/>
          </w:tcPr>
          <w:p w14:paraId="74DDF2D8"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F2D9"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F2DA" w14:textId="77777777" w:rsidR="00584EC1" w:rsidRDefault="00584EC1">
            <w:pPr>
              <w:rPr>
                <w:rFonts w:ascii="宋体"/>
              </w:rPr>
            </w:pPr>
          </w:p>
        </w:tc>
      </w:tr>
      <w:tr w:rsidR="00584EC1" w14:paraId="74DDF2E2" w14:textId="77777777">
        <w:tc>
          <w:tcPr>
            <w:tcW w:w="0" w:type="auto"/>
            <w:gridSpan w:val="3"/>
            <w:shd w:val="clear" w:color="auto" w:fill="FFFFFF"/>
            <w:tcMar>
              <w:top w:w="40" w:type="dxa"/>
              <w:left w:w="155" w:type="dxa"/>
              <w:bottom w:w="40" w:type="dxa"/>
              <w:right w:w="20" w:type="dxa"/>
            </w:tcMar>
            <w:vAlign w:val="bottom"/>
          </w:tcPr>
          <w:p w14:paraId="74DDF2DC" w14:textId="77777777" w:rsidR="00584EC1" w:rsidRDefault="00871F8D">
            <w:pPr>
              <w:textAlignment w:val="bottom"/>
            </w:pPr>
            <w:r>
              <w:rPr>
                <w:rFonts w:ascii="Arial" w:eastAsia="宋体" w:hAnsi="Arial" w:cs="Arial"/>
                <w:color w:val="000000"/>
                <w:sz w:val="15"/>
                <w:szCs w:val="15"/>
              </w:rPr>
              <w:t>Swap agreements</w:t>
            </w:r>
          </w:p>
        </w:tc>
        <w:tc>
          <w:tcPr>
            <w:tcW w:w="0" w:type="auto"/>
            <w:gridSpan w:val="2"/>
            <w:shd w:val="clear" w:color="auto" w:fill="FFFFFF"/>
            <w:tcMar>
              <w:top w:w="40" w:type="dxa"/>
              <w:left w:w="20" w:type="dxa"/>
              <w:bottom w:w="40" w:type="dxa"/>
              <w:right w:w="0" w:type="dxa"/>
            </w:tcMar>
            <w:vAlign w:val="bottom"/>
          </w:tcPr>
          <w:p w14:paraId="74DDF2DD" w14:textId="77777777" w:rsidR="00584EC1" w:rsidRDefault="00871F8D">
            <w:pPr>
              <w:jc w:val="right"/>
              <w:textAlignment w:val="bottom"/>
            </w:pPr>
            <w:r>
              <w:rPr>
                <w:rFonts w:ascii="Arial" w:eastAsia="宋体" w:hAnsi="Arial" w:cs="Arial"/>
                <w:b/>
                <w:bCs/>
                <w:color w:val="000000"/>
                <w:sz w:val="15"/>
                <w:szCs w:val="15"/>
              </w:rPr>
              <w:t>13,714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F2D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2D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2E0" w14:textId="77777777" w:rsidR="00584EC1" w:rsidRDefault="00871F8D">
            <w:pPr>
              <w:jc w:val="right"/>
              <w:textAlignment w:val="bottom"/>
            </w:pPr>
            <w:r>
              <w:rPr>
                <w:rFonts w:ascii="Arial" w:eastAsia="宋体" w:hAnsi="Arial" w:cs="Arial"/>
                <w:color w:val="000000"/>
                <w:sz w:val="15"/>
                <w:szCs w:val="15"/>
              </w:rPr>
              <w:t>7,449 </w:t>
            </w:r>
          </w:p>
        </w:tc>
        <w:tc>
          <w:tcPr>
            <w:tcW w:w="0" w:type="auto"/>
            <w:shd w:val="clear" w:color="auto" w:fill="FFFFFF"/>
            <w:tcMar>
              <w:top w:w="40" w:type="dxa"/>
              <w:left w:w="0" w:type="dxa"/>
              <w:bottom w:w="40" w:type="dxa"/>
              <w:right w:w="20" w:type="dxa"/>
            </w:tcMar>
            <w:vAlign w:val="bottom"/>
          </w:tcPr>
          <w:p w14:paraId="74DDF2E1" w14:textId="77777777" w:rsidR="00584EC1" w:rsidRDefault="00584EC1">
            <w:pPr>
              <w:jc w:val="right"/>
              <w:rPr>
                <w:rFonts w:ascii="宋体"/>
              </w:rPr>
            </w:pPr>
          </w:p>
        </w:tc>
      </w:tr>
      <w:tr w:rsidR="00584EC1" w14:paraId="74DDF2E7" w14:textId="77777777">
        <w:tc>
          <w:tcPr>
            <w:tcW w:w="0" w:type="auto"/>
            <w:gridSpan w:val="3"/>
            <w:shd w:val="clear" w:color="auto" w:fill="CCEEFF"/>
            <w:tcMar>
              <w:top w:w="40" w:type="dxa"/>
              <w:left w:w="20" w:type="dxa"/>
              <w:bottom w:w="40" w:type="dxa"/>
              <w:right w:w="20" w:type="dxa"/>
            </w:tcMar>
            <w:vAlign w:val="bottom"/>
          </w:tcPr>
          <w:p w14:paraId="74DDF2E3" w14:textId="77777777" w:rsidR="00584EC1" w:rsidRDefault="00871F8D">
            <w:pPr>
              <w:textAlignment w:val="bottom"/>
            </w:pPr>
            <w:r>
              <w:rPr>
                <w:rFonts w:ascii="Arial" w:eastAsia="宋体" w:hAnsi="Arial" w:cs="Arial"/>
                <w:color w:val="000000"/>
                <w:sz w:val="15"/>
                <w:szCs w:val="15"/>
              </w:rPr>
              <w:t>Foreign exchange contracts:</w:t>
            </w:r>
          </w:p>
        </w:tc>
        <w:tc>
          <w:tcPr>
            <w:tcW w:w="0" w:type="auto"/>
            <w:gridSpan w:val="3"/>
            <w:shd w:val="clear" w:color="auto" w:fill="CCEEFF"/>
            <w:tcMar>
              <w:top w:w="0" w:type="dxa"/>
              <w:left w:w="20" w:type="dxa"/>
              <w:bottom w:w="0" w:type="dxa"/>
              <w:right w:w="20" w:type="dxa"/>
            </w:tcMar>
            <w:vAlign w:val="bottom"/>
          </w:tcPr>
          <w:p w14:paraId="74DDF2E4"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F2E5"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F2E6" w14:textId="77777777" w:rsidR="00584EC1" w:rsidRDefault="00584EC1">
            <w:pPr>
              <w:rPr>
                <w:rFonts w:ascii="宋体"/>
              </w:rPr>
            </w:pPr>
          </w:p>
        </w:tc>
      </w:tr>
      <w:tr w:rsidR="00584EC1" w14:paraId="74DDF2EE" w14:textId="77777777">
        <w:tc>
          <w:tcPr>
            <w:tcW w:w="0" w:type="auto"/>
            <w:gridSpan w:val="3"/>
            <w:shd w:val="clear" w:color="auto" w:fill="FFFFFF"/>
            <w:tcMar>
              <w:top w:w="40" w:type="dxa"/>
              <w:left w:w="155" w:type="dxa"/>
              <w:bottom w:w="40" w:type="dxa"/>
              <w:right w:w="20" w:type="dxa"/>
            </w:tcMar>
            <w:vAlign w:val="bottom"/>
          </w:tcPr>
          <w:p w14:paraId="74DDF2E8" w14:textId="77777777" w:rsidR="00584EC1" w:rsidRDefault="00871F8D">
            <w:pPr>
              <w:textAlignment w:val="bottom"/>
            </w:pPr>
            <w:r>
              <w:rPr>
                <w:rFonts w:ascii="Arial" w:eastAsia="宋体" w:hAnsi="Arial" w:cs="Arial"/>
                <w:color w:val="000000"/>
                <w:sz w:val="15"/>
                <w:szCs w:val="15"/>
              </w:rPr>
              <w:t>Forward and swap</w:t>
            </w:r>
          </w:p>
        </w:tc>
        <w:tc>
          <w:tcPr>
            <w:tcW w:w="0" w:type="auto"/>
            <w:gridSpan w:val="2"/>
            <w:shd w:val="clear" w:color="auto" w:fill="FFFFFF"/>
            <w:tcMar>
              <w:top w:w="40" w:type="dxa"/>
              <w:left w:w="20" w:type="dxa"/>
              <w:bottom w:w="40" w:type="dxa"/>
              <w:right w:w="0" w:type="dxa"/>
            </w:tcMar>
            <w:vAlign w:val="bottom"/>
          </w:tcPr>
          <w:p w14:paraId="74DDF2E9" w14:textId="77777777" w:rsidR="00584EC1" w:rsidRDefault="00871F8D">
            <w:pPr>
              <w:jc w:val="right"/>
              <w:textAlignment w:val="bottom"/>
            </w:pPr>
            <w:r>
              <w:rPr>
                <w:rFonts w:ascii="Arial" w:eastAsia="宋体" w:hAnsi="Arial" w:cs="Arial"/>
                <w:b/>
                <w:bCs/>
                <w:color w:val="000000"/>
                <w:sz w:val="15"/>
                <w:szCs w:val="15"/>
              </w:rPr>
              <w:t>6,877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F2E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2EB"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2EC" w14:textId="77777777" w:rsidR="00584EC1" w:rsidRDefault="00871F8D">
            <w:pPr>
              <w:jc w:val="right"/>
              <w:textAlignment w:val="bottom"/>
            </w:pPr>
            <w:r>
              <w:rPr>
                <w:rFonts w:ascii="Arial" w:eastAsia="宋体" w:hAnsi="Arial" w:cs="Arial"/>
                <w:color w:val="000000"/>
                <w:sz w:val="15"/>
                <w:szCs w:val="15"/>
              </w:rPr>
              <w:t>5,221 </w:t>
            </w:r>
          </w:p>
        </w:tc>
        <w:tc>
          <w:tcPr>
            <w:tcW w:w="0" w:type="auto"/>
            <w:shd w:val="clear" w:color="auto" w:fill="FFFFFF"/>
            <w:tcMar>
              <w:top w:w="40" w:type="dxa"/>
              <w:left w:w="0" w:type="dxa"/>
              <w:bottom w:w="40" w:type="dxa"/>
              <w:right w:w="20" w:type="dxa"/>
            </w:tcMar>
            <w:vAlign w:val="bottom"/>
          </w:tcPr>
          <w:p w14:paraId="74DDF2ED" w14:textId="77777777" w:rsidR="00584EC1" w:rsidRDefault="00584EC1">
            <w:pPr>
              <w:jc w:val="right"/>
              <w:rPr>
                <w:rFonts w:ascii="宋体"/>
              </w:rPr>
            </w:pPr>
          </w:p>
        </w:tc>
      </w:tr>
    </w:tbl>
    <w:p w14:paraId="74DDF2EF" w14:textId="77777777" w:rsidR="00584EC1" w:rsidRDefault="00584EC1">
      <w:pPr>
        <w:rPr>
          <w:vanish/>
        </w:rPr>
      </w:pPr>
    </w:p>
    <w:tbl>
      <w:tblPr>
        <w:tblW w:w="2325" w:type="pct"/>
        <w:tblCellMar>
          <w:top w:w="15" w:type="dxa"/>
          <w:left w:w="15" w:type="dxa"/>
          <w:bottom w:w="15" w:type="dxa"/>
          <w:right w:w="15" w:type="dxa"/>
        </w:tblCellMar>
        <w:tblLook w:val="04A0" w:firstRow="1" w:lastRow="0" w:firstColumn="1" w:lastColumn="0" w:noHBand="0" w:noVBand="1"/>
      </w:tblPr>
      <w:tblGrid>
        <w:gridCol w:w="36"/>
        <w:gridCol w:w="1799"/>
        <w:gridCol w:w="36"/>
        <w:gridCol w:w="36"/>
        <w:gridCol w:w="1897"/>
        <w:gridCol w:w="36"/>
        <w:gridCol w:w="36"/>
      </w:tblGrid>
      <w:tr w:rsidR="00584EC1" w14:paraId="74DDF2F7" w14:textId="77777777">
        <w:tc>
          <w:tcPr>
            <w:tcW w:w="50" w:type="pct"/>
            <w:shd w:val="clear" w:color="auto" w:fill="auto"/>
            <w:vAlign w:val="bottom"/>
          </w:tcPr>
          <w:p w14:paraId="74DDF2F0" w14:textId="77777777" w:rsidR="00584EC1" w:rsidRDefault="00584EC1">
            <w:pPr>
              <w:rPr>
                <w:rFonts w:ascii="宋体"/>
              </w:rPr>
            </w:pPr>
          </w:p>
        </w:tc>
        <w:tc>
          <w:tcPr>
            <w:tcW w:w="2382" w:type="pct"/>
            <w:shd w:val="clear" w:color="auto" w:fill="auto"/>
            <w:vAlign w:val="bottom"/>
          </w:tcPr>
          <w:p w14:paraId="74DDF2F1" w14:textId="77777777" w:rsidR="00584EC1" w:rsidRDefault="00584EC1">
            <w:pPr>
              <w:rPr>
                <w:rFonts w:ascii="宋体"/>
              </w:rPr>
            </w:pPr>
          </w:p>
        </w:tc>
        <w:tc>
          <w:tcPr>
            <w:tcW w:w="5" w:type="pct"/>
            <w:shd w:val="clear" w:color="auto" w:fill="auto"/>
            <w:vAlign w:val="bottom"/>
          </w:tcPr>
          <w:p w14:paraId="74DDF2F2" w14:textId="77777777" w:rsidR="00584EC1" w:rsidRDefault="00584EC1">
            <w:pPr>
              <w:rPr>
                <w:rFonts w:ascii="宋体"/>
              </w:rPr>
            </w:pPr>
          </w:p>
        </w:tc>
        <w:tc>
          <w:tcPr>
            <w:tcW w:w="50" w:type="pct"/>
            <w:shd w:val="clear" w:color="auto" w:fill="auto"/>
            <w:vAlign w:val="bottom"/>
          </w:tcPr>
          <w:p w14:paraId="74DDF2F3" w14:textId="77777777" w:rsidR="00584EC1" w:rsidRDefault="00584EC1">
            <w:pPr>
              <w:rPr>
                <w:rFonts w:ascii="宋体"/>
              </w:rPr>
            </w:pPr>
          </w:p>
        </w:tc>
        <w:tc>
          <w:tcPr>
            <w:tcW w:w="2507" w:type="pct"/>
            <w:shd w:val="clear" w:color="auto" w:fill="auto"/>
            <w:vAlign w:val="bottom"/>
          </w:tcPr>
          <w:p w14:paraId="74DDF2F4" w14:textId="77777777" w:rsidR="00584EC1" w:rsidRDefault="00584EC1">
            <w:pPr>
              <w:rPr>
                <w:rFonts w:ascii="宋体"/>
              </w:rPr>
            </w:pPr>
          </w:p>
        </w:tc>
        <w:tc>
          <w:tcPr>
            <w:tcW w:w="5" w:type="pct"/>
            <w:shd w:val="clear" w:color="auto" w:fill="auto"/>
            <w:vAlign w:val="bottom"/>
          </w:tcPr>
          <w:p w14:paraId="74DDF2F5" w14:textId="77777777" w:rsidR="00584EC1" w:rsidRDefault="00584EC1">
            <w:pPr>
              <w:rPr>
                <w:rFonts w:ascii="宋体"/>
              </w:rPr>
            </w:pPr>
          </w:p>
        </w:tc>
        <w:tc>
          <w:tcPr>
            <w:tcW w:w="0" w:type="auto"/>
            <w:shd w:val="clear" w:color="auto" w:fill="auto"/>
            <w:vAlign w:val="bottom"/>
          </w:tcPr>
          <w:p w14:paraId="74DDF2F6" w14:textId="77777777" w:rsidR="00584EC1" w:rsidRDefault="00584EC1">
            <w:pPr>
              <w:rPr>
                <w:rFonts w:ascii="宋体"/>
                <w:vanish/>
              </w:rPr>
            </w:pPr>
          </w:p>
        </w:tc>
      </w:tr>
      <w:tr w:rsidR="00584EC1" w14:paraId="74DDF2FB"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4DDF2F8"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2F9" w14:textId="77777777" w:rsidR="00584EC1" w:rsidRDefault="00584EC1">
            <w:pPr>
              <w:rPr>
                <w:rFonts w:ascii="宋体"/>
              </w:rPr>
            </w:pPr>
          </w:p>
        </w:tc>
        <w:tc>
          <w:tcPr>
            <w:tcW w:w="0" w:type="auto"/>
            <w:shd w:val="clear" w:color="auto" w:fill="auto"/>
            <w:vAlign w:val="bottom"/>
          </w:tcPr>
          <w:p w14:paraId="74DDF2FA" w14:textId="77777777" w:rsidR="00584EC1" w:rsidRDefault="00584EC1">
            <w:pPr>
              <w:rPr>
                <w:rFonts w:ascii="宋体"/>
                <w:vanish/>
              </w:rPr>
            </w:pPr>
          </w:p>
        </w:tc>
      </w:tr>
    </w:tbl>
    <w:p w14:paraId="74DDF2FC" w14:textId="77777777" w:rsidR="00584EC1" w:rsidRDefault="00871F8D">
      <w:pPr>
        <w:spacing w:before="90"/>
        <w:jc w:val="both"/>
      </w:pPr>
      <w:r>
        <w:rPr>
          <w:rFonts w:ascii="Arial" w:eastAsia="宋体" w:hAnsi="Arial" w:cs="Arial"/>
          <w:color w:val="000000"/>
          <w:sz w:val="9"/>
          <w:szCs w:val="9"/>
        </w:rPr>
        <w:t>(1)</w:t>
      </w:r>
      <w:r>
        <w:rPr>
          <w:rFonts w:ascii="Arial" w:eastAsia="宋体" w:hAnsi="Arial" w:cs="Arial"/>
          <w:color w:val="000000"/>
          <w:sz w:val="14"/>
          <w:szCs w:val="14"/>
        </w:rPr>
        <w:t xml:space="preserve"> The notional value of the stable value contracts represents our maximum exposure. However, exposure to various stable value contracts is generally contractually limited to substantially lower amounts than the notional values.</w:t>
      </w:r>
    </w:p>
    <w:p w14:paraId="74DDF2FD" w14:textId="77777777" w:rsidR="00584EC1" w:rsidRDefault="00871F8D">
      <w:pPr>
        <w:spacing w:before="90"/>
        <w:jc w:val="both"/>
      </w:pPr>
      <w:r>
        <w:rPr>
          <w:rFonts w:ascii="Arial" w:eastAsia="宋体" w:hAnsi="Arial" w:cs="Arial"/>
          <w:color w:val="000000"/>
          <w:sz w:val="9"/>
          <w:szCs w:val="9"/>
        </w:rPr>
        <w:t>(2)</w:t>
      </w:r>
      <w:r>
        <w:rPr>
          <w:rFonts w:ascii="Arial" w:eastAsia="宋体" w:hAnsi="Arial" w:cs="Arial"/>
          <w:color w:val="000000"/>
          <w:sz w:val="14"/>
          <w:szCs w:val="14"/>
        </w:rPr>
        <w:t xml:space="preserve"> Represents grants of defe</w:t>
      </w:r>
      <w:r>
        <w:rPr>
          <w:rFonts w:ascii="Arial" w:eastAsia="宋体" w:hAnsi="Arial" w:cs="Arial"/>
          <w:color w:val="000000"/>
          <w:sz w:val="14"/>
          <w:szCs w:val="14"/>
        </w:rPr>
        <w:t>rred value awards to employees; refer to pages 158 to 159 in Note 10 to the consolidated financial statements included under Item 8, Financial Statements and Supplementary Data, in our 2020 Form 10-K.</w:t>
      </w:r>
    </w:p>
    <w:p w14:paraId="74DDF2FE" w14:textId="77777777" w:rsidR="00584EC1" w:rsidRDefault="00871F8D">
      <w:pPr>
        <w:spacing w:before="60"/>
        <w:ind w:firstLine="450"/>
        <w:jc w:val="both"/>
      </w:pPr>
      <w:r>
        <w:rPr>
          <w:rFonts w:ascii="Arial" w:eastAsia="宋体" w:hAnsi="Arial" w:cs="Arial"/>
          <w:color w:val="000000"/>
          <w:sz w:val="20"/>
          <w:szCs w:val="20"/>
        </w:rPr>
        <w:t xml:space="preserve">Notional amounts are provided here as an indication of </w:t>
      </w:r>
      <w:r>
        <w:rPr>
          <w:rFonts w:ascii="Arial" w:eastAsia="宋体" w:hAnsi="Arial" w:cs="Arial"/>
          <w:color w:val="000000"/>
          <w:sz w:val="20"/>
          <w:szCs w:val="20"/>
        </w:rPr>
        <w:t>the volume of our derivative activity and serve as a reference to calculate the fair values of the derivative.</w:t>
      </w:r>
    </w:p>
    <w:p w14:paraId="74DDF2FF" w14:textId="77777777" w:rsidR="00584EC1" w:rsidRDefault="00871F8D">
      <w:pPr>
        <w:spacing w:before="60"/>
        <w:ind w:firstLine="450"/>
        <w:jc w:val="both"/>
      </w:pPr>
      <w:r>
        <w:rPr>
          <w:rFonts w:ascii="Arial" w:eastAsia="宋体" w:hAnsi="Arial" w:cs="Arial"/>
          <w:color w:val="000000"/>
          <w:sz w:val="20"/>
          <w:szCs w:val="20"/>
        </w:rPr>
        <w:t>The following table presents the fair value of derivative financial instruments, excluding the impact of master netting agreements, recorded in o</w:t>
      </w:r>
      <w:r>
        <w:rPr>
          <w:rFonts w:ascii="Arial" w:eastAsia="宋体" w:hAnsi="Arial" w:cs="Arial"/>
          <w:color w:val="000000"/>
          <w:sz w:val="20"/>
          <w:szCs w:val="20"/>
        </w:rPr>
        <w:t>ur consolidated statement of condition as of the dates indicated. The impact of master netting agreements is provided in Note 8.</w:t>
      </w:r>
    </w:p>
    <w:tbl>
      <w:tblPr>
        <w:tblW w:w="5000" w:type="pct"/>
        <w:tblCellMar>
          <w:top w:w="15" w:type="dxa"/>
          <w:left w:w="15" w:type="dxa"/>
          <w:bottom w:w="15" w:type="dxa"/>
          <w:right w:w="15" w:type="dxa"/>
        </w:tblCellMar>
        <w:tblLook w:val="04A0" w:firstRow="1" w:lastRow="0" w:firstColumn="1" w:lastColumn="0" w:noHBand="0" w:noVBand="1"/>
      </w:tblPr>
      <w:tblGrid>
        <w:gridCol w:w="39"/>
        <w:gridCol w:w="2999"/>
        <w:gridCol w:w="36"/>
        <w:gridCol w:w="105"/>
        <w:gridCol w:w="1120"/>
        <w:gridCol w:w="36"/>
        <w:gridCol w:w="36"/>
        <w:gridCol w:w="36"/>
        <w:gridCol w:w="36"/>
        <w:gridCol w:w="105"/>
        <w:gridCol w:w="1083"/>
        <w:gridCol w:w="36"/>
        <w:gridCol w:w="36"/>
        <w:gridCol w:w="36"/>
        <w:gridCol w:w="36"/>
        <w:gridCol w:w="105"/>
        <w:gridCol w:w="1085"/>
        <w:gridCol w:w="36"/>
        <w:gridCol w:w="36"/>
        <w:gridCol w:w="36"/>
        <w:gridCol w:w="36"/>
        <w:gridCol w:w="105"/>
        <w:gridCol w:w="1086"/>
        <w:gridCol w:w="36"/>
      </w:tblGrid>
      <w:tr w:rsidR="00584EC1" w14:paraId="74DDF318" w14:textId="77777777">
        <w:tc>
          <w:tcPr>
            <w:tcW w:w="50" w:type="pct"/>
            <w:shd w:val="clear" w:color="auto" w:fill="auto"/>
            <w:vAlign w:val="bottom"/>
          </w:tcPr>
          <w:p w14:paraId="74DDF300" w14:textId="77777777" w:rsidR="00584EC1" w:rsidRDefault="00584EC1">
            <w:pPr>
              <w:rPr>
                <w:rFonts w:ascii="宋体"/>
              </w:rPr>
            </w:pPr>
          </w:p>
        </w:tc>
        <w:tc>
          <w:tcPr>
            <w:tcW w:w="1823" w:type="pct"/>
            <w:shd w:val="clear" w:color="auto" w:fill="auto"/>
            <w:vAlign w:val="bottom"/>
          </w:tcPr>
          <w:p w14:paraId="74DDF301" w14:textId="77777777" w:rsidR="00584EC1" w:rsidRDefault="00584EC1">
            <w:pPr>
              <w:rPr>
                <w:rFonts w:ascii="宋体"/>
              </w:rPr>
            </w:pPr>
          </w:p>
        </w:tc>
        <w:tc>
          <w:tcPr>
            <w:tcW w:w="5" w:type="pct"/>
            <w:shd w:val="clear" w:color="auto" w:fill="auto"/>
            <w:vAlign w:val="bottom"/>
          </w:tcPr>
          <w:p w14:paraId="74DDF302" w14:textId="77777777" w:rsidR="00584EC1" w:rsidRDefault="00584EC1">
            <w:pPr>
              <w:rPr>
                <w:rFonts w:ascii="宋体"/>
              </w:rPr>
            </w:pPr>
          </w:p>
        </w:tc>
        <w:tc>
          <w:tcPr>
            <w:tcW w:w="50" w:type="pct"/>
            <w:shd w:val="clear" w:color="auto" w:fill="auto"/>
            <w:vAlign w:val="bottom"/>
          </w:tcPr>
          <w:p w14:paraId="74DDF303" w14:textId="77777777" w:rsidR="00584EC1" w:rsidRDefault="00584EC1">
            <w:pPr>
              <w:rPr>
                <w:rFonts w:ascii="宋体"/>
              </w:rPr>
            </w:pPr>
          </w:p>
        </w:tc>
        <w:tc>
          <w:tcPr>
            <w:tcW w:w="697" w:type="pct"/>
            <w:shd w:val="clear" w:color="auto" w:fill="auto"/>
            <w:vAlign w:val="bottom"/>
          </w:tcPr>
          <w:p w14:paraId="74DDF304" w14:textId="77777777" w:rsidR="00584EC1" w:rsidRDefault="00584EC1">
            <w:pPr>
              <w:rPr>
                <w:rFonts w:ascii="宋体"/>
              </w:rPr>
            </w:pPr>
          </w:p>
        </w:tc>
        <w:tc>
          <w:tcPr>
            <w:tcW w:w="5" w:type="pct"/>
            <w:shd w:val="clear" w:color="auto" w:fill="auto"/>
            <w:vAlign w:val="bottom"/>
          </w:tcPr>
          <w:p w14:paraId="74DDF305" w14:textId="77777777" w:rsidR="00584EC1" w:rsidRDefault="00584EC1">
            <w:pPr>
              <w:rPr>
                <w:rFonts w:ascii="宋体"/>
              </w:rPr>
            </w:pPr>
          </w:p>
        </w:tc>
        <w:tc>
          <w:tcPr>
            <w:tcW w:w="5" w:type="pct"/>
            <w:shd w:val="clear" w:color="auto" w:fill="auto"/>
            <w:vAlign w:val="bottom"/>
          </w:tcPr>
          <w:p w14:paraId="74DDF306" w14:textId="77777777" w:rsidR="00584EC1" w:rsidRDefault="00584EC1">
            <w:pPr>
              <w:rPr>
                <w:rFonts w:ascii="宋体"/>
              </w:rPr>
            </w:pPr>
          </w:p>
        </w:tc>
        <w:tc>
          <w:tcPr>
            <w:tcW w:w="26" w:type="pct"/>
            <w:shd w:val="clear" w:color="auto" w:fill="auto"/>
            <w:vAlign w:val="bottom"/>
          </w:tcPr>
          <w:p w14:paraId="74DDF307" w14:textId="77777777" w:rsidR="00584EC1" w:rsidRDefault="00584EC1">
            <w:pPr>
              <w:rPr>
                <w:rFonts w:ascii="宋体"/>
              </w:rPr>
            </w:pPr>
          </w:p>
        </w:tc>
        <w:tc>
          <w:tcPr>
            <w:tcW w:w="5" w:type="pct"/>
            <w:shd w:val="clear" w:color="auto" w:fill="auto"/>
            <w:vAlign w:val="bottom"/>
          </w:tcPr>
          <w:p w14:paraId="74DDF308" w14:textId="77777777" w:rsidR="00584EC1" w:rsidRDefault="00584EC1">
            <w:pPr>
              <w:rPr>
                <w:rFonts w:ascii="宋体"/>
              </w:rPr>
            </w:pPr>
          </w:p>
        </w:tc>
        <w:tc>
          <w:tcPr>
            <w:tcW w:w="50" w:type="pct"/>
            <w:shd w:val="clear" w:color="auto" w:fill="auto"/>
            <w:vAlign w:val="bottom"/>
          </w:tcPr>
          <w:p w14:paraId="74DDF309" w14:textId="77777777" w:rsidR="00584EC1" w:rsidRDefault="00584EC1">
            <w:pPr>
              <w:rPr>
                <w:rFonts w:ascii="宋体"/>
              </w:rPr>
            </w:pPr>
          </w:p>
        </w:tc>
        <w:tc>
          <w:tcPr>
            <w:tcW w:w="697" w:type="pct"/>
            <w:shd w:val="clear" w:color="auto" w:fill="auto"/>
            <w:vAlign w:val="bottom"/>
          </w:tcPr>
          <w:p w14:paraId="74DDF30A" w14:textId="77777777" w:rsidR="00584EC1" w:rsidRDefault="00584EC1">
            <w:pPr>
              <w:rPr>
                <w:rFonts w:ascii="宋体"/>
              </w:rPr>
            </w:pPr>
          </w:p>
        </w:tc>
        <w:tc>
          <w:tcPr>
            <w:tcW w:w="5" w:type="pct"/>
            <w:shd w:val="clear" w:color="auto" w:fill="auto"/>
            <w:vAlign w:val="bottom"/>
          </w:tcPr>
          <w:p w14:paraId="74DDF30B" w14:textId="77777777" w:rsidR="00584EC1" w:rsidRDefault="00584EC1">
            <w:pPr>
              <w:rPr>
                <w:rFonts w:ascii="宋体"/>
              </w:rPr>
            </w:pPr>
          </w:p>
        </w:tc>
        <w:tc>
          <w:tcPr>
            <w:tcW w:w="5" w:type="pct"/>
            <w:shd w:val="clear" w:color="auto" w:fill="auto"/>
            <w:vAlign w:val="bottom"/>
          </w:tcPr>
          <w:p w14:paraId="74DDF30C" w14:textId="77777777" w:rsidR="00584EC1" w:rsidRDefault="00584EC1">
            <w:pPr>
              <w:rPr>
                <w:rFonts w:ascii="宋体"/>
              </w:rPr>
            </w:pPr>
          </w:p>
        </w:tc>
        <w:tc>
          <w:tcPr>
            <w:tcW w:w="26" w:type="pct"/>
            <w:shd w:val="clear" w:color="auto" w:fill="auto"/>
            <w:vAlign w:val="bottom"/>
          </w:tcPr>
          <w:p w14:paraId="74DDF30D" w14:textId="77777777" w:rsidR="00584EC1" w:rsidRDefault="00584EC1">
            <w:pPr>
              <w:rPr>
                <w:rFonts w:ascii="宋体"/>
              </w:rPr>
            </w:pPr>
          </w:p>
        </w:tc>
        <w:tc>
          <w:tcPr>
            <w:tcW w:w="5" w:type="pct"/>
            <w:shd w:val="clear" w:color="auto" w:fill="auto"/>
            <w:vAlign w:val="bottom"/>
          </w:tcPr>
          <w:p w14:paraId="74DDF30E" w14:textId="77777777" w:rsidR="00584EC1" w:rsidRDefault="00584EC1">
            <w:pPr>
              <w:rPr>
                <w:rFonts w:ascii="宋体"/>
              </w:rPr>
            </w:pPr>
          </w:p>
        </w:tc>
        <w:tc>
          <w:tcPr>
            <w:tcW w:w="50" w:type="pct"/>
            <w:shd w:val="clear" w:color="auto" w:fill="auto"/>
            <w:vAlign w:val="bottom"/>
          </w:tcPr>
          <w:p w14:paraId="74DDF30F" w14:textId="77777777" w:rsidR="00584EC1" w:rsidRDefault="00584EC1">
            <w:pPr>
              <w:rPr>
                <w:rFonts w:ascii="宋体"/>
              </w:rPr>
            </w:pPr>
          </w:p>
        </w:tc>
        <w:tc>
          <w:tcPr>
            <w:tcW w:w="697" w:type="pct"/>
            <w:shd w:val="clear" w:color="auto" w:fill="auto"/>
            <w:vAlign w:val="bottom"/>
          </w:tcPr>
          <w:p w14:paraId="74DDF310" w14:textId="77777777" w:rsidR="00584EC1" w:rsidRDefault="00584EC1">
            <w:pPr>
              <w:rPr>
                <w:rFonts w:ascii="宋体"/>
              </w:rPr>
            </w:pPr>
          </w:p>
        </w:tc>
        <w:tc>
          <w:tcPr>
            <w:tcW w:w="5" w:type="pct"/>
            <w:shd w:val="clear" w:color="auto" w:fill="auto"/>
            <w:vAlign w:val="bottom"/>
          </w:tcPr>
          <w:p w14:paraId="74DDF311" w14:textId="77777777" w:rsidR="00584EC1" w:rsidRDefault="00584EC1">
            <w:pPr>
              <w:rPr>
                <w:rFonts w:ascii="宋体"/>
              </w:rPr>
            </w:pPr>
          </w:p>
        </w:tc>
        <w:tc>
          <w:tcPr>
            <w:tcW w:w="5" w:type="pct"/>
            <w:shd w:val="clear" w:color="auto" w:fill="auto"/>
            <w:vAlign w:val="bottom"/>
          </w:tcPr>
          <w:p w14:paraId="74DDF312" w14:textId="77777777" w:rsidR="00584EC1" w:rsidRDefault="00584EC1">
            <w:pPr>
              <w:rPr>
                <w:rFonts w:ascii="宋体"/>
              </w:rPr>
            </w:pPr>
          </w:p>
        </w:tc>
        <w:tc>
          <w:tcPr>
            <w:tcW w:w="26" w:type="pct"/>
            <w:shd w:val="clear" w:color="auto" w:fill="auto"/>
            <w:vAlign w:val="bottom"/>
          </w:tcPr>
          <w:p w14:paraId="74DDF313" w14:textId="77777777" w:rsidR="00584EC1" w:rsidRDefault="00584EC1">
            <w:pPr>
              <w:rPr>
                <w:rFonts w:ascii="宋体"/>
              </w:rPr>
            </w:pPr>
          </w:p>
        </w:tc>
        <w:tc>
          <w:tcPr>
            <w:tcW w:w="5" w:type="pct"/>
            <w:shd w:val="clear" w:color="auto" w:fill="auto"/>
            <w:vAlign w:val="bottom"/>
          </w:tcPr>
          <w:p w14:paraId="74DDF314" w14:textId="77777777" w:rsidR="00584EC1" w:rsidRDefault="00584EC1">
            <w:pPr>
              <w:rPr>
                <w:rFonts w:ascii="宋体"/>
              </w:rPr>
            </w:pPr>
          </w:p>
        </w:tc>
        <w:tc>
          <w:tcPr>
            <w:tcW w:w="50" w:type="pct"/>
            <w:shd w:val="clear" w:color="auto" w:fill="auto"/>
            <w:vAlign w:val="bottom"/>
          </w:tcPr>
          <w:p w14:paraId="74DDF315" w14:textId="77777777" w:rsidR="00584EC1" w:rsidRDefault="00584EC1">
            <w:pPr>
              <w:rPr>
                <w:rFonts w:ascii="宋体"/>
              </w:rPr>
            </w:pPr>
          </w:p>
        </w:tc>
        <w:tc>
          <w:tcPr>
            <w:tcW w:w="698" w:type="pct"/>
            <w:shd w:val="clear" w:color="auto" w:fill="auto"/>
            <w:vAlign w:val="bottom"/>
          </w:tcPr>
          <w:p w14:paraId="74DDF316" w14:textId="77777777" w:rsidR="00584EC1" w:rsidRDefault="00584EC1">
            <w:pPr>
              <w:rPr>
                <w:rFonts w:ascii="宋体"/>
              </w:rPr>
            </w:pPr>
          </w:p>
        </w:tc>
        <w:tc>
          <w:tcPr>
            <w:tcW w:w="5" w:type="pct"/>
            <w:shd w:val="clear" w:color="auto" w:fill="auto"/>
            <w:vAlign w:val="bottom"/>
          </w:tcPr>
          <w:p w14:paraId="74DDF317" w14:textId="77777777" w:rsidR="00584EC1" w:rsidRDefault="00584EC1">
            <w:pPr>
              <w:rPr>
                <w:rFonts w:ascii="宋体"/>
              </w:rPr>
            </w:pPr>
          </w:p>
        </w:tc>
      </w:tr>
      <w:tr w:rsidR="00584EC1" w14:paraId="74DDF31D" w14:textId="77777777">
        <w:tc>
          <w:tcPr>
            <w:tcW w:w="0" w:type="auto"/>
            <w:gridSpan w:val="3"/>
            <w:shd w:val="clear" w:color="auto" w:fill="auto"/>
            <w:tcMar>
              <w:top w:w="0" w:type="dxa"/>
              <w:left w:w="20" w:type="dxa"/>
              <w:bottom w:w="0" w:type="dxa"/>
              <w:right w:w="20" w:type="dxa"/>
            </w:tcMar>
            <w:vAlign w:val="bottom"/>
          </w:tcPr>
          <w:p w14:paraId="74DDF319" w14:textId="77777777" w:rsidR="00584EC1" w:rsidRDefault="00584EC1">
            <w:pPr>
              <w:rPr>
                <w:rFonts w:ascii="宋体"/>
              </w:rPr>
            </w:pPr>
          </w:p>
        </w:tc>
        <w:tc>
          <w:tcPr>
            <w:tcW w:w="0" w:type="auto"/>
            <w:gridSpan w:val="9"/>
            <w:shd w:val="clear" w:color="auto" w:fill="auto"/>
            <w:tcMar>
              <w:top w:w="40" w:type="dxa"/>
              <w:left w:w="20" w:type="dxa"/>
              <w:bottom w:w="40" w:type="dxa"/>
              <w:right w:w="20" w:type="dxa"/>
            </w:tcMar>
            <w:vAlign w:val="bottom"/>
          </w:tcPr>
          <w:p w14:paraId="74DDF31A" w14:textId="77777777" w:rsidR="00584EC1" w:rsidRDefault="00871F8D">
            <w:pPr>
              <w:jc w:val="center"/>
              <w:textAlignment w:val="bottom"/>
            </w:pPr>
            <w:r>
              <w:rPr>
                <w:rFonts w:ascii="Arial" w:eastAsia="宋体" w:hAnsi="Arial" w:cs="Arial"/>
                <w:b/>
                <w:bCs/>
                <w:color w:val="000000"/>
                <w:sz w:val="15"/>
                <w:szCs w:val="15"/>
              </w:rPr>
              <w:t>Derivative Assets</w:t>
            </w:r>
            <w:r>
              <w:rPr>
                <w:rFonts w:ascii="Arial" w:eastAsia="宋体" w:hAnsi="Arial" w:cs="Arial"/>
                <w:b/>
                <w:bCs/>
                <w:color w:val="000000"/>
                <w:sz w:val="9"/>
                <w:szCs w:val="9"/>
              </w:rPr>
              <w:t>(1)</w:t>
            </w:r>
          </w:p>
        </w:tc>
        <w:tc>
          <w:tcPr>
            <w:tcW w:w="0" w:type="auto"/>
            <w:gridSpan w:val="3"/>
            <w:shd w:val="clear" w:color="auto" w:fill="auto"/>
            <w:tcMar>
              <w:top w:w="0" w:type="dxa"/>
              <w:left w:w="20" w:type="dxa"/>
              <w:bottom w:w="0" w:type="dxa"/>
              <w:right w:w="20" w:type="dxa"/>
            </w:tcMar>
            <w:vAlign w:val="bottom"/>
          </w:tcPr>
          <w:p w14:paraId="74DDF31B" w14:textId="77777777" w:rsidR="00584EC1" w:rsidRDefault="00584EC1">
            <w:pPr>
              <w:rPr>
                <w:rFonts w:ascii="宋体"/>
              </w:rPr>
            </w:pPr>
          </w:p>
        </w:tc>
        <w:tc>
          <w:tcPr>
            <w:tcW w:w="0" w:type="auto"/>
            <w:gridSpan w:val="9"/>
            <w:shd w:val="clear" w:color="auto" w:fill="auto"/>
            <w:tcMar>
              <w:top w:w="40" w:type="dxa"/>
              <w:left w:w="20" w:type="dxa"/>
              <w:bottom w:w="40" w:type="dxa"/>
              <w:right w:w="20" w:type="dxa"/>
            </w:tcMar>
            <w:vAlign w:val="bottom"/>
          </w:tcPr>
          <w:p w14:paraId="74DDF31C" w14:textId="77777777" w:rsidR="00584EC1" w:rsidRDefault="00871F8D">
            <w:pPr>
              <w:jc w:val="center"/>
              <w:textAlignment w:val="bottom"/>
            </w:pPr>
            <w:r>
              <w:rPr>
                <w:rFonts w:ascii="Arial" w:eastAsia="宋体" w:hAnsi="Arial" w:cs="Arial"/>
                <w:b/>
                <w:bCs/>
                <w:color w:val="000000"/>
                <w:sz w:val="15"/>
                <w:szCs w:val="15"/>
              </w:rPr>
              <w:t>Derivative Liabilities</w:t>
            </w:r>
            <w:r>
              <w:rPr>
                <w:rFonts w:ascii="Arial" w:eastAsia="宋体" w:hAnsi="Arial" w:cs="Arial"/>
                <w:b/>
                <w:bCs/>
                <w:color w:val="000000"/>
                <w:sz w:val="9"/>
                <w:szCs w:val="9"/>
              </w:rPr>
              <w:t>(2)</w:t>
            </w:r>
          </w:p>
        </w:tc>
      </w:tr>
      <w:tr w:rsidR="00584EC1" w14:paraId="74DDF326" w14:textId="77777777">
        <w:tc>
          <w:tcPr>
            <w:tcW w:w="0" w:type="auto"/>
            <w:gridSpan w:val="3"/>
            <w:shd w:val="clear" w:color="auto" w:fill="auto"/>
            <w:tcMar>
              <w:top w:w="40" w:type="dxa"/>
              <w:left w:w="20" w:type="dxa"/>
              <w:bottom w:w="40" w:type="dxa"/>
              <w:right w:w="20" w:type="dxa"/>
            </w:tcMar>
            <w:vAlign w:val="bottom"/>
          </w:tcPr>
          <w:p w14:paraId="74DDF31E" w14:textId="77777777" w:rsidR="00584EC1" w:rsidRDefault="00871F8D">
            <w:pPr>
              <w:textAlignment w:val="bottom"/>
            </w:pPr>
            <w:r>
              <w:rPr>
                <w:rFonts w:ascii="Arial" w:eastAsia="宋体" w:hAnsi="Arial" w:cs="Arial"/>
                <w:b/>
                <w:bCs/>
                <w:color w:val="000000"/>
                <w:sz w:val="15"/>
                <w:szCs w:val="15"/>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F31F" w14:textId="77777777" w:rsidR="00584EC1" w:rsidRDefault="00871F8D">
            <w:pPr>
              <w:jc w:val="center"/>
              <w:textAlignment w:val="bottom"/>
            </w:pPr>
            <w:r>
              <w:rPr>
                <w:rFonts w:ascii="Arial" w:eastAsia="宋体" w:hAnsi="Arial" w:cs="Arial"/>
                <w:b/>
                <w:bCs/>
                <w:color w:val="000000"/>
                <w:sz w:val="15"/>
                <w:szCs w:val="15"/>
              </w:rPr>
              <w:t>September 30,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320"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F321" w14:textId="77777777" w:rsidR="00584EC1" w:rsidRDefault="00871F8D">
            <w:pPr>
              <w:jc w:val="center"/>
              <w:textAlignment w:val="bottom"/>
            </w:pPr>
            <w:r>
              <w:rPr>
                <w:rFonts w:ascii="Arial" w:eastAsia="宋体" w:hAnsi="Arial" w:cs="Arial"/>
                <w:b/>
                <w:bCs/>
                <w:color w:val="000000"/>
                <w:sz w:val="15"/>
                <w:szCs w:val="15"/>
              </w:rPr>
              <w:t>December 31, 2020</w:t>
            </w:r>
          </w:p>
        </w:tc>
        <w:tc>
          <w:tcPr>
            <w:tcW w:w="0" w:type="auto"/>
            <w:gridSpan w:val="3"/>
            <w:shd w:val="clear" w:color="auto" w:fill="auto"/>
            <w:tcMar>
              <w:top w:w="0" w:type="dxa"/>
              <w:left w:w="20" w:type="dxa"/>
              <w:bottom w:w="0" w:type="dxa"/>
              <w:right w:w="20" w:type="dxa"/>
            </w:tcMar>
            <w:vAlign w:val="bottom"/>
          </w:tcPr>
          <w:p w14:paraId="74DDF322"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F323" w14:textId="77777777" w:rsidR="00584EC1" w:rsidRDefault="00871F8D">
            <w:pPr>
              <w:jc w:val="center"/>
              <w:textAlignment w:val="bottom"/>
            </w:pPr>
            <w:r>
              <w:rPr>
                <w:rFonts w:ascii="Arial" w:eastAsia="宋体" w:hAnsi="Arial" w:cs="Arial"/>
                <w:b/>
                <w:bCs/>
                <w:color w:val="000000"/>
                <w:sz w:val="15"/>
                <w:szCs w:val="15"/>
              </w:rPr>
              <w:t>September 30,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324"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F325" w14:textId="77777777" w:rsidR="00584EC1" w:rsidRDefault="00871F8D">
            <w:pPr>
              <w:jc w:val="center"/>
              <w:textAlignment w:val="bottom"/>
            </w:pPr>
            <w:r>
              <w:rPr>
                <w:rFonts w:ascii="Arial" w:eastAsia="宋体" w:hAnsi="Arial" w:cs="Arial"/>
                <w:b/>
                <w:bCs/>
                <w:color w:val="000000"/>
                <w:sz w:val="15"/>
                <w:szCs w:val="15"/>
              </w:rPr>
              <w:t>December 31, 2020</w:t>
            </w:r>
          </w:p>
        </w:tc>
      </w:tr>
      <w:tr w:rsidR="00584EC1" w14:paraId="74DDF32F" w14:textId="77777777">
        <w:tc>
          <w:tcPr>
            <w:tcW w:w="0" w:type="auto"/>
            <w:gridSpan w:val="3"/>
            <w:shd w:val="clear" w:color="auto" w:fill="auto"/>
            <w:tcMar>
              <w:top w:w="40" w:type="dxa"/>
              <w:left w:w="20" w:type="dxa"/>
              <w:bottom w:w="40" w:type="dxa"/>
              <w:right w:w="20" w:type="dxa"/>
            </w:tcMar>
            <w:vAlign w:val="bottom"/>
          </w:tcPr>
          <w:p w14:paraId="74DDF327" w14:textId="77777777" w:rsidR="00584EC1" w:rsidRDefault="00871F8D">
            <w:pPr>
              <w:textAlignment w:val="bottom"/>
            </w:pPr>
            <w:r>
              <w:rPr>
                <w:rFonts w:ascii="Arial" w:eastAsia="宋体" w:hAnsi="Arial" w:cs="Arial"/>
                <w:b/>
                <w:bCs/>
                <w:color w:val="000000"/>
                <w:sz w:val="15"/>
                <w:szCs w:val="15"/>
              </w:rPr>
              <w:t>Derivatives not designated as hedging instruments: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328"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329"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32A"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32B"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32C"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32D"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32E" w14:textId="77777777" w:rsidR="00584EC1" w:rsidRDefault="00584EC1">
            <w:pPr>
              <w:rPr>
                <w:rFonts w:ascii="宋体"/>
              </w:rPr>
            </w:pPr>
          </w:p>
        </w:tc>
      </w:tr>
      <w:tr w:rsidR="00584EC1" w14:paraId="74DDF340" w14:textId="77777777">
        <w:tc>
          <w:tcPr>
            <w:tcW w:w="0" w:type="auto"/>
            <w:gridSpan w:val="3"/>
            <w:shd w:val="clear" w:color="auto" w:fill="CCEEFF"/>
            <w:tcMar>
              <w:top w:w="40" w:type="dxa"/>
              <w:left w:w="20" w:type="dxa"/>
              <w:bottom w:w="40" w:type="dxa"/>
              <w:right w:w="20" w:type="dxa"/>
            </w:tcMar>
            <w:vAlign w:val="bottom"/>
          </w:tcPr>
          <w:p w14:paraId="74DDF330" w14:textId="77777777" w:rsidR="00584EC1" w:rsidRDefault="00871F8D">
            <w:pPr>
              <w:textAlignment w:val="bottom"/>
            </w:pPr>
            <w:r>
              <w:rPr>
                <w:rFonts w:ascii="Arial" w:eastAsia="宋体" w:hAnsi="Arial" w:cs="Arial"/>
                <w:color w:val="000000"/>
                <w:sz w:val="15"/>
                <w:szCs w:val="15"/>
              </w:rPr>
              <w:t xml:space="preserve">Foreign exchange </w:t>
            </w:r>
            <w:r>
              <w:rPr>
                <w:rFonts w:ascii="Arial" w:eastAsia="宋体" w:hAnsi="Arial" w:cs="Arial"/>
                <w:color w:val="000000"/>
                <w:sz w:val="15"/>
                <w:szCs w:val="15"/>
              </w:rPr>
              <w:t>contracts</w:t>
            </w:r>
          </w:p>
        </w:tc>
        <w:tc>
          <w:tcPr>
            <w:tcW w:w="0" w:type="auto"/>
            <w:shd w:val="clear" w:color="auto" w:fill="CCEEFF"/>
            <w:tcMar>
              <w:top w:w="40" w:type="dxa"/>
              <w:left w:w="20" w:type="dxa"/>
              <w:bottom w:w="40" w:type="dxa"/>
              <w:right w:w="0" w:type="dxa"/>
            </w:tcMar>
            <w:vAlign w:val="bottom"/>
          </w:tcPr>
          <w:p w14:paraId="74DDF331" w14:textId="77777777" w:rsidR="00584EC1" w:rsidRDefault="00871F8D">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4DDF332" w14:textId="77777777" w:rsidR="00584EC1" w:rsidRDefault="00871F8D">
            <w:pPr>
              <w:jc w:val="right"/>
              <w:textAlignment w:val="bottom"/>
            </w:pPr>
            <w:r>
              <w:rPr>
                <w:rFonts w:ascii="Arial" w:eastAsia="宋体" w:hAnsi="Arial" w:cs="Arial"/>
                <w:b/>
                <w:bCs/>
                <w:color w:val="000000"/>
                <w:sz w:val="15"/>
                <w:szCs w:val="15"/>
              </w:rPr>
              <w:t>16,345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F33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334"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F335" w14:textId="77777777" w:rsidR="00584EC1" w:rsidRDefault="00871F8D">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4DDF336" w14:textId="77777777" w:rsidR="00584EC1" w:rsidRDefault="00871F8D">
            <w:pPr>
              <w:jc w:val="right"/>
              <w:textAlignment w:val="bottom"/>
            </w:pPr>
            <w:r>
              <w:rPr>
                <w:rFonts w:ascii="Arial" w:eastAsia="宋体" w:hAnsi="Arial" w:cs="Arial"/>
                <w:color w:val="000000"/>
                <w:sz w:val="15"/>
                <w:szCs w:val="15"/>
              </w:rPr>
              <w:t>25,939 </w:t>
            </w:r>
          </w:p>
        </w:tc>
        <w:tc>
          <w:tcPr>
            <w:tcW w:w="0" w:type="auto"/>
            <w:shd w:val="clear" w:color="auto" w:fill="CCEEFF"/>
            <w:tcMar>
              <w:top w:w="40" w:type="dxa"/>
              <w:left w:w="0" w:type="dxa"/>
              <w:bottom w:w="40" w:type="dxa"/>
              <w:right w:w="20" w:type="dxa"/>
            </w:tcMar>
            <w:vAlign w:val="bottom"/>
          </w:tcPr>
          <w:p w14:paraId="74DDF33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338"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F339" w14:textId="77777777" w:rsidR="00584EC1" w:rsidRDefault="00871F8D">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4DDF33A" w14:textId="77777777" w:rsidR="00584EC1" w:rsidRDefault="00871F8D">
            <w:pPr>
              <w:jc w:val="right"/>
              <w:textAlignment w:val="bottom"/>
            </w:pPr>
            <w:r>
              <w:rPr>
                <w:rFonts w:ascii="Arial" w:eastAsia="宋体" w:hAnsi="Arial" w:cs="Arial"/>
                <w:b/>
                <w:bCs/>
                <w:color w:val="000000"/>
                <w:sz w:val="15"/>
                <w:szCs w:val="15"/>
              </w:rPr>
              <w:t>15,735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F33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33C"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F33D" w14:textId="77777777" w:rsidR="00584EC1" w:rsidRDefault="00871F8D">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4DDF33E" w14:textId="77777777" w:rsidR="00584EC1" w:rsidRDefault="00871F8D">
            <w:pPr>
              <w:jc w:val="right"/>
              <w:textAlignment w:val="bottom"/>
            </w:pPr>
            <w:r>
              <w:rPr>
                <w:rFonts w:ascii="Arial" w:eastAsia="宋体" w:hAnsi="Arial" w:cs="Arial"/>
                <w:color w:val="000000"/>
                <w:sz w:val="15"/>
                <w:szCs w:val="15"/>
              </w:rPr>
              <w:t>25,811 </w:t>
            </w:r>
          </w:p>
        </w:tc>
        <w:tc>
          <w:tcPr>
            <w:tcW w:w="0" w:type="auto"/>
            <w:shd w:val="clear" w:color="auto" w:fill="CCEEFF"/>
            <w:tcMar>
              <w:top w:w="40" w:type="dxa"/>
              <w:left w:w="0" w:type="dxa"/>
              <w:bottom w:w="40" w:type="dxa"/>
              <w:right w:w="20" w:type="dxa"/>
            </w:tcMar>
            <w:vAlign w:val="bottom"/>
          </w:tcPr>
          <w:p w14:paraId="74DDF33F" w14:textId="77777777" w:rsidR="00584EC1" w:rsidRDefault="00584EC1">
            <w:pPr>
              <w:jc w:val="right"/>
              <w:rPr>
                <w:rFonts w:ascii="宋体"/>
              </w:rPr>
            </w:pPr>
          </w:p>
        </w:tc>
      </w:tr>
      <w:tr w:rsidR="00584EC1" w14:paraId="74DDF349" w14:textId="77777777">
        <w:trPr>
          <w:hidden/>
        </w:trPr>
        <w:tc>
          <w:tcPr>
            <w:tcW w:w="0" w:type="auto"/>
            <w:gridSpan w:val="3"/>
            <w:shd w:val="clear" w:color="auto" w:fill="auto"/>
            <w:vAlign w:val="bottom"/>
          </w:tcPr>
          <w:p w14:paraId="74DDF341" w14:textId="77777777" w:rsidR="00584EC1" w:rsidRDefault="00584EC1">
            <w:pPr>
              <w:rPr>
                <w:rFonts w:ascii="宋体"/>
                <w:vanish/>
              </w:rPr>
            </w:pPr>
          </w:p>
        </w:tc>
        <w:tc>
          <w:tcPr>
            <w:tcW w:w="0" w:type="auto"/>
            <w:gridSpan w:val="3"/>
            <w:shd w:val="clear" w:color="auto" w:fill="auto"/>
            <w:vAlign w:val="bottom"/>
          </w:tcPr>
          <w:p w14:paraId="74DDF342" w14:textId="77777777" w:rsidR="00584EC1" w:rsidRDefault="00584EC1">
            <w:pPr>
              <w:rPr>
                <w:rFonts w:ascii="宋体"/>
                <w:vanish/>
              </w:rPr>
            </w:pPr>
          </w:p>
        </w:tc>
        <w:tc>
          <w:tcPr>
            <w:tcW w:w="0" w:type="auto"/>
            <w:gridSpan w:val="3"/>
            <w:shd w:val="clear" w:color="auto" w:fill="auto"/>
            <w:vAlign w:val="bottom"/>
          </w:tcPr>
          <w:p w14:paraId="74DDF343" w14:textId="77777777" w:rsidR="00584EC1" w:rsidRDefault="00584EC1">
            <w:pPr>
              <w:rPr>
                <w:rFonts w:ascii="宋体"/>
                <w:vanish/>
              </w:rPr>
            </w:pPr>
          </w:p>
        </w:tc>
        <w:tc>
          <w:tcPr>
            <w:tcW w:w="0" w:type="auto"/>
            <w:gridSpan w:val="3"/>
            <w:shd w:val="clear" w:color="auto" w:fill="auto"/>
            <w:vAlign w:val="bottom"/>
          </w:tcPr>
          <w:p w14:paraId="74DDF344" w14:textId="77777777" w:rsidR="00584EC1" w:rsidRDefault="00584EC1">
            <w:pPr>
              <w:rPr>
                <w:rFonts w:ascii="宋体"/>
                <w:vanish/>
              </w:rPr>
            </w:pPr>
          </w:p>
        </w:tc>
        <w:tc>
          <w:tcPr>
            <w:tcW w:w="0" w:type="auto"/>
            <w:gridSpan w:val="3"/>
            <w:shd w:val="clear" w:color="auto" w:fill="auto"/>
            <w:vAlign w:val="bottom"/>
          </w:tcPr>
          <w:p w14:paraId="74DDF345" w14:textId="77777777" w:rsidR="00584EC1" w:rsidRDefault="00584EC1">
            <w:pPr>
              <w:rPr>
                <w:rFonts w:ascii="宋体"/>
                <w:vanish/>
              </w:rPr>
            </w:pPr>
          </w:p>
        </w:tc>
        <w:tc>
          <w:tcPr>
            <w:tcW w:w="0" w:type="auto"/>
            <w:gridSpan w:val="3"/>
            <w:shd w:val="clear" w:color="auto" w:fill="auto"/>
            <w:vAlign w:val="bottom"/>
          </w:tcPr>
          <w:p w14:paraId="74DDF346" w14:textId="77777777" w:rsidR="00584EC1" w:rsidRDefault="00584EC1">
            <w:pPr>
              <w:rPr>
                <w:rFonts w:ascii="宋体"/>
                <w:vanish/>
              </w:rPr>
            </w:pPr>
          </w:p>
        </w:tc>
        <w:tc>
          <w:tcPr>
            <w:tcW w:w="0" w:type="auto"/>
            <w:gridSpan w:val="3"/>
            <w:shd w:val="clear" w:color="auto" w:fill="auto"/>
            <w:vAlign w:val="bottom"/>
          </w:tcPr>
          <w:p w14:paraId="74DDF347" w14:textId="77777777" w:rsidR="00584EC1" w:rsidRDefault="00584EC1">
            <w:pPr>
              <w:rPr>
                <w:rFonts w:ascii="宋体"/>
                <w:vanish/>
              </w:rPr>
            </w:pPr>
          </w:p>
        </w:tc>
        <w:tc>
          <w:tcPr>
            <w:tcW w:w="0" w:type="auto"/>
            <w:gridSpan w:val="3"/>
            <w:shd w:val="clear" w:color="auto" w:fill="auto"/>
            <w:vAlign w:val="bottom"/>
          </w:tcPr>
          <w:p w14:paraId="74DDF348" w14:textId="77777777" w:rsidR="00584EC1" w:rsidRDefault="00584EC1">
            <w:pPr>
              <w:rPr>
                <w:rFonts w:ascii="宋体"/>
                <w:vanish/>
              </w:rPr>
            </w:pPr>
          </w:p>
        </w:tc>
      </w:tr>
      <w:tr w:rsidR="00584EC1" w14:paraId="74DDF352" w14:textId="77777777">
        <w:trPr>
          <w:hidden/>
        </w:trPr>
        <w:tc>
          <w:tcPr>
            <w:tcW w:w="0" w:type="auto"/>
            <w:gridSpan w:val="3"/>
            <w:shd w:val="clear" w:color="auto" w:fill="auto"/>
            <w:vAlign w:val="bottom"/>
          </w:tcPr>
          <w:p w14:paraId="74DDF34A" w14:textId="77777777" w:rsidR="00584EC1" w:rsidRDefault="00584EC1">
            <w:pPr>
              <w:rPr>
                <w:rFonts w:ascii="宋体"/>
                <w:vanish/>
              </w:rPr>
            </w:pPr>
          </w:p>
        </w:tc>
        <w:tc>
          <w:tcPr>
            <w:tcW w:w="0" w:type="auto"/>
            <w:gridSpan w:val="3"/>
            <w:shd w:val="clear" w:color="auto" w:fill="auto"/>
            <w:vAlign w:val="bottom"/>
          </w:tcPr>
          <w:p w14:paraId="74DDF34B" w14:textId="77777777" w:rsidR="00584EC1" w:rsidRDefault="00584EC1">
            <w:pPr>
              <w:rPr>
                <w:rFonts w:ascii="宋体"/>
                <w:vanish/>
              </w:rPr>
            </w:pPr>
          </w:p>
        </w:tc>
        <w:tc>
          <w:tcPr>
            <w:tcW w:w="0" w:type="auto"/>
            <w:gridSpan w:val="3"/>
            <w:shd w:val="clear" w:color="auto" w:fill="auto"/>
            <w:vAlign w:val="bottom"/>
          </w:tcPr>
          <w:p w14:paraId="74DDF34C" w14:textId="77777777" w:rsidR="00584EC1" w:rsidRDefault="00584EC1">
            <w:pPr>
              <w:rPr>
                <w:rFonts w:ascii="宋体"/>
                <w:vanish/>
              </w:rPr>
            </w:pPr>
          </w:p>
        </w:tc>
        <w:tc>
          <w:tcPr>
            <w:tcW w:w="0" w:type="auto"/>
            <w:gridSpan w:val="3"/>
            <w:shd w:val="clear" w:color="auto" w:fill="auto"/>
            <w:vAlign w:val="bottom"/>
          </w:tcPr>
          <w:p w14:paraId="74DDF34D" w14:textId="77777777" w:rsidR="00584EC1" w:rsidRDefault="00584EC1">
            <w:pPr>
              <w:rPr>
                <w:rFonts w:ascii="宋体"/>
                <w:vanish/>
              </w:rPr>
            </w:pPr>
          </w:p>
        </w:tc>
        <w:tc>
          <w:tcPr>
            <w:tcW w:w="0" w:type="auto"/>
            <w:gridSpan w:val="3"/>
            <w:shd w:val="clear" w:color="auto" w:fill="auto"/>
            <w:vAlign w:val="bottom"/>
          </w:tcPr>
          <w:p w14:paraId="74DDF34E" w14:textId="77777777" w:rsidR="00584EC1" w:rsidRDefault="00584EC1">
            <w:pPr>
              <w:rPr>
                <w:rFonts w:ascii="宋体"/>
                <w:vanish/>
              </w:rPr>
            </w:pPr>
          </w:p>
        </w:tc>
        <w:tc>
          <w:tcPr>
            <w:tcW w:w="0" w:type="auto"/>
            <w:gridSpan w:val="3"/>
            <w:shd w:val="clear" w:color="auto" w:fill="auto"/>
            <w:vAlign w:val="bottom"/>
          </w:tcPr>
          <w:p w14:paraId="74DDF34F" w14:textId="77777777" w:rsidR="00584EC1" w:rsidRDefault="00584EC1">
            <w:pPr>
              <w:rPr>
                <w:rFonts w:ascii="宋体"/>
                <w:vanish/>
              </w:rPr>
            </w:pPr>
          </w:p>
        </w:tc>
        <w:tc>
          <w:tcPr>
            <w:tcW w:w="0" w:type="auto"/>
            <w:gridSpan w:val="3"/>
            <w:shd w:val="clear" w:color="auto" w:fill="auto"/>
            <w:vAlign w:val="bottom"/>
          </w:tcPr>
          <w:p w14:paraId="74DDF350" w14:textId="77777777" w:rsidR="00584EC1" w:rsidRDefault="00584EC1">
            <w:pPr>
              <w:rPr>
                <w:rFonts w:ascii="宋体"/>
                <w:vanish/>
              </w:rPr>
            </w:pPr>
          </w:p>
        </w:tc>
        <w:tc>
          <w:tcPr>
            <w:tcW w:w="0" w:type="auto"/>
            <w:gridSpan w:val="3"/>
            <w:shd w:val="clear" w:color="auto" w:fill="auto"/>
            <w:vAlign w:val="bottom"/>
          </w:tcPr>
          <w:p w14:paraId="74DDF351" w14:textId="77777777" w:rsidR="00584EC1" w:rsidRDefault="00584EC1">
            <w:pPr>
              <w:rPr>
                <w:rFonts w:ascii="宋体"/>
                <w:vanish/>
              </w:rPr>
            </w:pPr>
          </w:p>
        </w:tc>
      </w:tr>
      <w:tr w:rsidR="00584EC1" w14:paraId="74DDF35F" w14:textId="77777777">
        <w:tc>
          <w:tcPr>
            <w:tcW w:w="0" w:type="auto"/>
            <w:gridSpan w:val="3"/>
            <w:shd w:val="clear" w:color="auto" w:fill="FFFFFF"/>
            <w:tcMar>
              <w:top w:w="40" w:type="dxa"/>
              <w:left w:w="20" w:type="dxa"/>
              <w:bottom w:w="40" w:type="dxa"/>
              <w:right w:w="20" w:type="dxa"/>
            </w:tcMar>
            <w:vAlign w:val="bottom"/>
          </w:tcPr>
          <w:p w14:paraId="74DDF353" w14:textId="77777777" w:rsidR="00584EC1" w:rsidRDefault="00871F8D">
            <w:pPr>
              <w:textAlignment w:val="bottom"/>
            </w:pPr>
            <w:r>
              <w:rPr>
                <w:rFonts w:ascii="Arial" w:eastAsia="宋体" w:hAnsi="Arial" w:cs="Arial"/>
                <w:color w:val="000000"/>
                <w:sz w:val="15"/>
                <w:szCs w:val="15"/>
              </w:rPr>
              <w:t>Other derivative contracts</w:t>
            </w:r>
          </w:p>
        </w:tc>
        <w:tc>
          <w:tcPr>
            <w:tcW w:w="0" w:type="auto"/>
            <w:gridSpan w:val="2"/>
            <w:shd w:val="clear" w:color="auto" w:fill="FFFFFF"/>
            <w:tcMar>
              <w:top w:w="40" w:type="dxa"/>
              <w:left w:w="20" w:type="dxa"/>
              <w:bottom w:w="40" w:type="dxa"/>
              <w:right w:w="0" w:type="dxa"/>
            </w:tcMar>
            <w:vAlign w:val="bottom"/>
          </w:tcPr>
          <w:p w14:paraId="74DDF354"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F35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35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357"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F35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35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35A" w14:textId="77777777" w:rsidR="00584EC1" w:rsidRDefault="00871F8D">
            <w:pPr>
              <w:jc w:val="right"/>
              <w:textAlignment w:val="bottom"/>
            </w:pPr>
            <w:r>
              <w:rPr>
                <w:rFonts w:ascii="Arial" w:eastAsia="宋体" w:hAnsi="Arial" w:cs="Arial"/>
                <w:b/>
                <w:bCs/>
                <w:color w:val="000000"/>
                <w:sz w:val="15"/>
                <w:szCs w:val="15"/>
              </w:rPr>
              <w:t>176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F35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35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35D" w14:textId="77777777" w:rsidR="00584EC1" w:rsidRDefault="00871F8D">
            <w:pPr>
              <w:jc w:val="right"/>
              <w:textAlignment w:val="bottom"/>
            </w:pPr>
            <w:r>
              <w:rPr>
                <w:rFonts w:ascii="Arial" w:eastAsia="宋体" w:hAnsi="Arial" w:cs="Arial"/>
                <w:color w:val="000000"/>
                <w:sz w:val="15"/>
                <w:szCs w:val="15"/>
              </w:rPr>
              <w:t>157 </w:t>
            </w:r>
          </w:p>
        </w:tc>
        <w:tc>
          <w:tcPr>
            <w:tcW w:w="0" w:type="auto"/>
            <w:shd w:val="clear" w:color="auto" w:fill="FFFFFF"/>
            <w:tcMar>
              <w:top w:w="40" w:type="dxa"/>
              <w:left w:w="0" w:type="dxa"/>
              <w:bottom w:w="40" w:type="dxa"/>
              <w:right w:w="20" w:type="dxa"/>
            </w:tcMar>
            <w:vAlign w:val="bottom"/>
          </w:tcPr>
          <w:p w14:paraId="74DDF35E" w14:textId="77777777" w:rsidR="00584EC1" w:rsidRDefault="00584EC1">
            <w:pPr>
              <w:jc w:val="right"/>
              <w:rPr>
                <w:rFonts w:ascii="宋体"/>
              </w:rPr>
            </w:pPr>
          </w:p>
        </w:tc>
      </w:tr>
      <w:tr w:rsidR="00584EC1" w14:paraId="74DDF370" w14:textId="77777777">
        <w:tc>
          <w:tcPr>
            <w:tcW w:w="0" w:type="auto"/>
            <w:gridSpan w:val="3"/>
            <w:shd w:val="clear" w:color="auto" w:fill="CCEEFF"/>
            <w:tcMar>
              <w:top w:w="40" w:type="dxa"/>
              <w:left w:w="20" w:type="dxa"/>
              <w:bottom w:w="40" w:type="dxa"/>
              <w:right w:w="20" w:type="dxa"/>
            </w:tcMar>
            <w:vAlign w:val="bottom"/>
          </w:tcPr>
          <w:p w14:paraId="74DDF360" w14:textId="77777777" w:rsidR="00584EC1" w:rsidRDefault="00871F8D">
            <w:pPr>
              <w:textAlignment w:val="bottom"/>
            </w:pPr>
            <w:r>
              <w:rPr>
                <w:rFonts w:ascii="Arial" w:eastAsia="宋体" w:hAnsi="Arial" w:cs="Arial"/>
                <w:color w:val="000000"/>
                <w:sz w:val="15"/>
                <w:szCs w:val="15"/>
              </w:rPr>
              <w:t>Total</w:t>
            </w:r>
          </w:p>
        </w:tc>
        <w:tc>
          <w:tcPr>
            <w:tcW w:w="0" w:type="auto"/>
            <w:tcBorders>
              <w:top w:val="single" w:sz="8" w:space="0" w:color="000000"/>
            </w:tcBorders>
            <w:shd w:val="clear" w:color="auto" w:fill="CCEEFF"/>
            <w:tcMar>
              <w:top w:w="40" w:type="dxa"/>
              <w:left w:w="20" w:type="dxa"/>
              <w:bottom w:w="40" w:type="dxa"/>
              <w:right w:w="0" w:type="dxa"/>
            </w:tcMar>
            <w:vAlign w:val="bottom"/>
          </w:tcPr>
          <w:p w14:paraId="74DDF361" w14:textId="77777777" w:rsidR="00584EC1" w:rsidRDefault="00871F8D">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F362" w14:textId="77777777" w:rsidR="00584EC1" w:rsidRDefault="00871F8D">
            <w:pPr>
              <w:jc w:val="right"/>
              <w:textAlignment w:val="bottom"/>
            </w:pPr>
            <w:r>
              <w:rPr>
                <w:rFonts w:ascii="Arial" w:eastAsia="宋体" w:hAnsi="Arial" w:cs="Arial"/>
                <w:b/>
                <w:bCs/>
                <w:color w:val="000000"/>
                <w:sz w:val="15"/>
                <w:szCs w:val="15"/>
              </w:rPr>
              <w:t>16,345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F36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364"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F365"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F366" w14:textId="77777777" w:rsidR="00584EC1" w:rsidRDefault="00871F8D">
            <w:pPr>
              <w:jc w:val="right"/>
              <w:textAlignment w:val="bottom"/>
            </w:pPr>
            <w:r>
              <w:rPr>
                <w:rFonts w:ascii="Arial" w:eastAsia="宋体" w:hAnsi="Arial" w:cs="Arial"/>
                <w:color w:val="000000"/>
                <w:sz w:val="15"/>
                <w:szCs w:val="15"/>
              </w:rPr>
              <w:t>25,939 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F36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368"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F369" w14:textId="77777777" w:rsidR="00584EC1" w:rsidRDefault="00871F8D">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F36A" w14:textId="77777777" w:rsidR="00584EC1" w:rsidRDefault="00871F8D">
            <w:pPr>
              <w:jc w:val="right"/>
              <w:textAlignment w:val="bottom"/>
            </w:pPr>
            <w:r>
              <w:rPr>
                <w:rFonts w:ascii="Arial" w:eastAsia="宋体" w:hAnsi="Arial" w:cs="Arial"/>
                <w:b/>
                <w:bCs/>
                <w:color w:val="000000"/>
                <w:sz w:val="15"/>
                <w:szCs w:val="15"/>
              </w:rPr>
              <w:t>15,911</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F36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36C"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F36D"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F36E" w14:textId="77777777" w:rsidR="00584EC1" w:rsidRDefault="00871F8D">
            <w:pPr>
              <w:jc w:val="right"/>
              <w:textAlignment w:val="bottom"/>
            </w:pPr>
            <w:r>
              <w:rPr>
                <w:rFonts w:ascii="Arial" w:eastAsia="宋体" w:hAnsi="Arial" w:cs="Arial"/>
                <w:color w:val="000000"/>
                <w:sz w:val="15"/>
                <w:szCs w:val="15"/>
              </w:rPr>
              <w:t>25,968 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F36F" w14:textId="77777777" w:rsidR="00584EC1" w:rsidRDefault="00584EC1">
            <w:pPr>
              <w:jc w:val="right"/>
              <w:rPr>
                <w:rFonts w:ascii="宋体"/>
              </w:rPr>
            </w:pPr>
          </w:p>
        </w:tc>
      </w:tr>
      <w:tr w:rsidR="00584EC1" w14:paraId="74DDF379" w14:textId="77777777">
        <w:trPr>
          <w:trHeight w:val="120"/>
        </w:trPr>
        <w:tc>
          <w:tcPr>
            <w:tcW w:w="0" w:type="auto"/>
            <w:gridSpan w:val="3"/>
            <w:shd w:val="clear" w:color="auto" w:fill="auto"/>
            <w:tcMar>
              <w:top w:w="0" w:type="dxa"/>
              <w:left w:w="20" w:type="dxa"/>
              <w:bottom w:w="0" w:type="dxa"/>
              <w:right w:w="20" w:type="dxa"/>
            </w:tcMar>
            <w:vAlign w:val="bottom"/>
          </w:tcPr>
          <w:p w14:paraId="74DDF371"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DF37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373"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DF374"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375"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DF376"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377"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DF378" w14:textId="77777777" w:rsidR="00584EC1" w:rsidRDefault="00584EC1">
            <w:pPr>
              <w:rPr>
                <w:rFonts w:ascii="宋体"/>
              </w:rPr>
            </w:pPr>
          </w:p>
        </w:tc>
      </w:tr>
      <w:tr w:rsidR="00584EC1" w14:paraId="74DDF382" w14:textId="77777777">
        <w:tc>
          <w:tcPr>
            <w:tcW w:w="0" w:type="auto"/>
            <w:gridSpan w:val="3"/>
            <w:shd w:val="clear" w:color="auto" w:fill="auto"/>
            <w:tcMar>
              <w:top w:w="40" w:type="dxa"/>
              <w:left w:w="20" w:type="dxa"/>
              <w:bottom w:w="40" w:type="dxa"/>
              <w:right w:w="20" w:type="dxa"/>
            </w:tcMar>
            <w:vAlign w:val="bottom"/>
          </w:tcPr>
          <w:p w14:paraId="74DDF37A" w14:textId="77777777" w:rsidR="00584EC1" w:rsidRDefault="00871F8D">
            <w:pPr>
              <w:textAlignment w:val="bottom"/>
            </w:pPr>
            <w:r>
              <w:rPr>
                <w:rFonts w:ascii="Arial" w:eastAsia="宋体" w:hAnsi="Arial" w:cs="Arial"/>
                <w:b/>
                <w:bCs/>
                <w:color w:val="000000"/>
                <w:sz w:val="15"/>
                <w:szCs w:val="15"/>
              </w:rPr>
              <w:t>Derivatives designated as hedging instruments:</w:t>
            </w:r>
          </w:p>
        </w:tc>
        <w:tc>
          <w:tcPr>
            <w:tcW w:w="0" w:type="auto"/>
            <w:gridSpan w:val="3"/>
            <w:shd w:val="clear" w:color="auto" w:fill="auto"/>
            <w:tcMar>
              <w:top w:w="0" w:type="dxa"/>
              <w:left w:w="20" w:type="dxa"/>
              <w:bottom w:w="0" w:type="dxa"/>
              <w:right w:w="20" w:type="dxa"/>
            </w:tcMar>
            <w:vAlign w:val="bottom"/>
          </w:tcPr>
          <w:p w14:paraId="74DDF37B"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37C"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37D"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37E"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37F"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380"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381" w14:textId="77777777" w:rsidR="00584EC1" w:rsidRDefault="00584EC1">
            <w:pPr>
              <w:rPr>
                <w:rFonts w:ascii="宋体"/>
              </w:rPr>
            </w:pPr>
          </w:p>
        </w:tc>
      </w:tr>
      <w:tr w:rsidR="00584EC1" w14:paraId="74DDF393" w14:textId="77777777">
        <w:tc>
          <w:tcPr>
            <w:tcW w:w="0" w:type="auto"/>
            <w:gridSpan w:val="3"/>
            <w:shd w:val="clear" w:color="auto" w:fill="CCEEFF"/>
            <w:tcMar>
              <w:top w:w="40" w:type="dxa"/>
              <w:left w:w="20" w:type="dxa"/>
              <w:bottom w:w="40" w:type="dxa"/>
              <w:right w:w="20" w:type="dxa"/>
            </w:tcMar>
            <w:vAlign w:val="bottom"/>
          </w:tcPr>
          <w:p w14:paraId="74DDF383" w14:textId="77777777" w:rsidR="00584EC1" w:rsidRDefault="00871F8D">
            <w:pPr>
              <w:textAlignment w:val="bottom"/>
            </w:pPr>
            <w:r>
              <w:rPr>
                <w:rFonts w:ascii="Arial" w:eastAsia="宋体" w:hAnsi="Arial" w:cs="Arial"/>
                <w:color w:val="000000"/>
                <w:sz w:val="15"/>
                <w:szCs w:val="15"/>
              </w:rPr>
              <w:t>Foreign exchange contracts</w:t>
            </w:r>
          </w:p>
        </w:tc>
        <w:tc>
          <w:tcPr>
            <w:tcW w:w="0" w:type="auto"/>
            <w:shd w:val="clear" w:color="auto" w:fill="CCEEFF"/>
            <w:tcMar>
              <w:top w:w="40" w:type="dxa"/>
              <w:left w:w="20" w:type="dxa"/>
              <w:bottom w:w="40" w:type="dxa"/>
              <w:right w:w="0" w:type="dxa"/>
            </w:tcMar>
            <w:vAlign w:val="bottom"/>
          </w:tcPr>
          <w:p w14:paraId="74DDF384" w14:textId="77777777" w:rsidR="00584EC1" w:rsidRDefault="00871F8D">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4DDF385" w14:textId="77777777" w:rsidR="00584EC1" w:rsidRDefault="00871F8D">
            <w:pPr>
              <w:jc w:val="right"/>
              <w:textAlignment w:val="bottom"/>
            </w:pPr>
            <w:r>
              <w:rPr>
                <w:rFonts w:ascii="Arial" w:eastAsia="宋体" w:hAnsi="Arial" w:cs="Arial"/>
                <w:b/>
                <w:bCs/>
                <w:color w:val="000000"/>
                <w:sz w:val="15"/>
                <w:szCs w:val="15"/>
              </w:rPr>
              <w:t>108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F38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387"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F388" w14:textId="77777777" w:rsidR="00584EC1" w:rsidRDefault="00871F8D">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4DDF389" w14:textId="77777777" w:rsidR="00584EC1" w:rsidRDefault="00871F8D">
            <w:pPr>
              <w:jc w:val="right"/>
              <w:textAlignment w:val="bottom"/>
            </w:pPr>
            <w:r>
              <w:rPr>
                <w:rFonts w:ascii="Arial" w:eastAsia="宋体" w:hAnsi="Arial" w:cs="Arial"/>
                <w:color w:val="000000"/>
                <w:sz w:val="15"/>
                <w:szCs w:val="15"/>
              </w:rPr>
              <w:t>4 </w:t>
            </w:r>
          </w:p>
        </w:tc>
        <w:tc>
          <w:tcPr>
            <w:tcW w:w="0" w:type="auto"/>
            <w:shd w:val="clear" w:color="auto" w:fill="CCEEFF"/>
            <w:tcMar>
              <w:top w:w="40" w:type="dxa"/>
              <w:left w:w="0" w:type="dxa"/>
              <w:bottom w:w="40" w:type="dxa"/>
              <w:right w:w="20" w:type="dxa"/>
            </w:tcMar>
            <w:vAlign w:val="bottom"/>
          </w:tcPr>
          <w:p w14:paraId="74DDF38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38B"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F38C" w14:textId="77777777" w:rsidR="00584EC1" w:rsidRDefault="00871F8D">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4DDF38D"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F38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38F"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F390" w14:textId="77777777" w:rsidR="00584EC1" w:rsidRDefault="00871F8D">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4DDF391" w14:textId="77777777" w:rsidR="00584EC1" w:rsidRDefault="00871F8D">
            <w:pPr>
              <w:jc w:val="right"/>
              <w:textAlignment w:val="bottom"/>
            </w:pPr>
            <w:r>
              <w:rPr>
                <w:rFonts w:ascii="Arial" w:eastAsia="宋体" w:hAnsi="Arial" w:cs="Arial"/>
                <w:color w:val="000000"/>
                <w:sz w:val="15"/>
                <w:szCs w:val="15"/>
              </w:rPr>
              <w:t>116 </w:t>
            </w:r>
          </w:p>
        </w:tc>
        <w:tc>
          <w:tcPr>
            <w:tcW w:w="0" w:type="auto"/>
            <w:shd w:val="clear" w:color="auto" w:fill="CCEEFF"/>
            <w:tcMar>
              <w:top w:w="40" w:type="dxa"/>
              <w:left w:w="0" w:type="dxa"/>
              <w:bottom w:w="40" w:type="dxa"/>
              <w:right w:w="20" w:type="dxa"/>
            </w:tcMar>
            <w:vAlign w:val="bottom"/>
          </w:tcPr>
          <w:p w14:paraId="74DDF392" w14:textId="77777777" w:rsidR="00584EC1" w:rsidRDefault="00584EC1">
            <w:pPr>
              <w:jc w:val="right"/>
              <w:rPr>
                <w:rFonts w:ascii="宋体"/>
              </w:rPr>
            </w:pPr>
          </w:p>
        </w:tc>
      </w:tr>
      <w:tr w:rsidR="00584EC1" w14:paraId="74DDF3A0" w14:textId="77777777">
        <w:tc>
          <w:tcPr>
            <w:tcW w:w="0" w:type="auto"/>
            <w:gridSpan w:val="3"/>
            <w:shd w:val="clear" w:color="auto" w:fill="FFFFFF"/>
            <w:tcMar>
              <w:top w:w="40" w:type="dxa"/>
              <w:left w:w="20" w:type="dxa"/>
              <w:bottom w:w="40" w:type="dxa"/>
              <w:right w:w="20" w:type="dxa"/>
            </w:tcMar>
            <w:vAlign w:val="bottom"/>
          </w:tcPr>
          <w:p w14:paraId="74DDF394" w14:textId="77777777" w:rsidR="00584EC1" w:rsidRDefault="00871F8D">
            <w:pPr>
              <w:textAlignment w:val="bottom"/>
            </w:pPr>
            <w:r>
              <w:rPr>
                <w:rFonts w:ascii="Arial" w:eastAsia="宋体" w:hAnsi="Arial" w:cs="Arial"/>
                <w:color w:val="000000"/>
                <w:sz w:val="15"/>
                <w:szCs w:val="15"/>
              </w:rPr>
              <w:t>Interest rate contracts</w:t>
            </w:r>
          </w:p>
        </w:tc>
        <w:tc>
          <w:tcPr>
            <w:tcW w:w="0" w:type="auto"/>
            <w:gridSpan w:val="2"/>
            <w:shd w:val="clear" w:color="auto" w:fill="FFFFFF"/>
            <w:tcMar>
              <w:top w:w="40" w:type="dxa"/>
              <w:left w:w="20" w:type="dxa"/>
              <w:bottom w:w="40" w:type="dxa"/>
              <w:right w:w="0" w:type="dxa"/>
            </w:tcMar>
            <w:vAlign w:val="bottom"/>
          </w:tcPr>
          <w:p w14:paraId="74DDF395" w14:textId="77777777" w:rsidR="00584EC1" w:rsidRDefault="00871F8D">
            <w:pPr>
              <w:jc w:val="right"/>
              <w:textAlignment w:val="bottom"/>
            </w:pPr>
            <w:r>
              <w:rPr>
                <w:rFonts w:ascii="Arial" w:eastAsia="宋体" w:hAnsi="Arial" w:cs="Arial"/>
                <w:b/>
                <w:bCs/>
                <w:color w:val="000000"/>
                <w:sz w:val="15"/>
                <w:szCs w:val="15"/>
              </w:rPr>
              <w:t>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F39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39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398" w14:textId="77777777" w:rsidR="00584EC1" w:rsidRDefault="00871F8D">
            <w:pPr>
              <w:jc w:val="right"/>
              <w:textAlignment w:val="bottom"/>
            </w:pPr>
            <w:r>
              <w:rPr>
                <w:rFonts w:ascii="Arial" w:eastAsia="宋体" w:hAnsi="Arial" w:cs="Arial"/>
                <w:color w:val="000000"/>
                <w:sz w:val="15"/>
                <w:szCs w:val="15"/>
              </w:rPr>
              <w:t>1 </w:t>
            </w:r>
          </w:p>
        </w:tc>
        <w:tc>
          <w:tcPr>
            <w:tcW w:w="0" w:type="auto"/>
            <w:shd w:val="clear" w:color="auto" w:fill="FFFFFF"/>
            <w:tcMar>
              <w:top w:w="40" w:type="dxa"/>
              <w:left w:w="0" w:type="dxa"/>
              <w:bottom w:w="40" w:type="dxa"/>
              <w:right w:w="20" w:type="dxa"/>
            </w:tcMar>
            <w:vAlign w:val="bottom"/>
          </w:tcPr>
          <w:p w14:paraId="74DDF39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39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39B" w14:textId="77777777" w:rsidR="00584EC1" w:rsidRDefault="00871F8D">
            <w:pPr>
              <w:jc w:val="right"/>
              <w:textAlignment w:val="bottom"/>
            </w:pPr>
            <w:r>
              <w:rPr>
                <w:rFonts w:ascii="Arial" w:eastAsia="宋体" w:hAnsi="Arial" w:cs="Arial"/>
                <w:b/>
                <w:bCs/>
                <w:color w:val="000000"/>
                <w:sz w:val="15"/>
                <w:szCs w:val="15"/>
              </w:rPr>
              <w:t>27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F39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39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39E" w14:textId="77777777" w:rsidR="00584EC1" w:rsidRDefault="00871F8D">
            <w:pPr>
              <w:jc w:val="right"/>
              <w:textAlignment w:val="bottom"/>
            </w:pPr>
            <w:r>
              <w:rPr>
                <w:rFonts w:ascii="Arial" w:eastAsia="宋体" w:hAnsi="Arial" w:cs="Arial"/>
                <w:color w:val="000000"/>
                <w:sz w:val="15"/>
                <w:szCs w:val="15"/>
              </w:rPr>
              <w:t>42 </w:t>
            </w:r>
          </w:p>
        </w:tc>
        <w:tc>
          <w:tcPr>
            <w:tcW w:w="0" w:type="auto"/>
            <w:shd w:val="clear" w:color="auto" w:fill="FFFFFF"/>
            <w:tcMar>
              <w:top w:w="40" w:type="dxa"/>
              <w:left w:w="0" w:type="dxa"/>
              <w:bottom w:w="40" w:type="dxa"/>
              <w:right w:w="20" w:type="dxa"/>
            </w:tcMar>
            <w:vAlign w:val="bottom"/>
          </w:tcPr>
          <w:p w14:paraId="74DDF39F" w14:textId="77777777" w:rsidR="00584EC1" w:rsidRDefault="00584EC1">
            <w:pPr>
              <w:jc w:val="right"/>
              <w:rPr>
                <w:rFonts w:ascii="宋体"/>
              </w:rPr>
            </w:pPr>
          </w:p>
        </w:tc>
      </w:tr>
      <w:tr w:rsidR="00584EC1" w14:paraId="74DDF3B1" w14:textId="77777777">
        <w:tc>
          <w:tcPr>
            <w:tcW w:w="0" w:type="auto"/>
            <w:gridSpan w:val="3"/>
            <w:shd w:val="clear" w:color="auto" w:fill="CCEEFF"/>
            <w:tcMar>
              <w:top w:w="40" w:type="dxa"/>
              <w:left w:w="20" w:type="dxa"/>
              <w:bottom w:w="40" w:type="dxa"/>
              <w:right w:w="20" w:type="dxa"/>
            </w:tcMar>
            <w:vAlign w:val="bottom"/>
          </w:tcPr>
          <w:p w14:paraId="74DDF3A1" w14:textId="77777777" w:rsidR="00584EC1" w:rsidRDefault="00871F8D">
            <w:pPr>
              <w:textAlignment w:val="bottom"/>
            </w:pPr>
            <w:r>
              <w:rPr>
                <w:rFonts w:ascii="Arial" w:eastAsia="宋体" w:hAnsi="Arial" w:cs="Arial"/>
                <w:color w:val="000000"/>
                <w:sz w:val="15"/>
                <w:szCs w:val="15"/>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F3A2" w14:textId="77777777" w:rsidR="00584EC1" w:rsidRDefault="00871F8D">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F3A3" w14:textId="77777777" w:rsidR="00584EC1" w:rsidRDefault="00871F8D">
            <w:pPr>
              <w:jc w:val="right"/>
              <w:textAlignment w:val="bottom"/>
            </w:pPr>
            <w:r>
              <w:rPr>
                <w:rFonts w:ascii="Arial" w:eastAsia="宋体" w:hAnsi="Arial" w:cs="Arial"/>
                <w:b/>
                <w:bCs/>
                <w:color w:val="000000"/>
                <w:sz w:val="15"/>
                <w:szCs w:val="15"/>
              </w:rPr>
              <w:t>112</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F3A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3A5"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F3A6"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F3A7" w14:textId="77777777" w:rsidR="00584EC1" w:rsidRDefault="00871F8D">
            <w:pPr>
              <w:jc w:val="right"/>
              <w:textAlignment w:val="bottom"/>
            </w:pPr>
            <w:r>
              <w:rPr>
                <w:rFonts w:ascii="Arial" w:eastAsia="宋体" w:hAnsi="Arial" w:cs="Arial"/>
                <w:color w:val="000000"/>
                <w:sz w:val="15"/>
                <w:szCs w:val="15"/>
              </w:rPr>
              <w:t>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F3A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3A9"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F3AA" w14:textId="77777777" w:rsidR="00584EC1" w:rsidRDefault="00871F8D">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F3AB" w14:textId="77777777" w:rsidR="00584EC1" w:rsidRDefault="00871F8D">
            <w:pPr>
              <w:jc w:val="right"/>
              <w:textAlignment w:val="bottom"/>
            </w:pPr>
            <w:r>
              <w:rPr>
                <w:rFonts w:ascii="Arial" w:eastAsia="宋体" w:hAnsi="Arial" w:cs="Arial"/>
                <w:b/>
                <w:bCs/>
                <w:color w:val="000000"/>
                <w:sz w:val="15"/>
                <w:szCs w:val="15"/>
              </w:rPr>
              <w:t>27</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F3A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3AD"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F3AE"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F3AF" w14:textId="77777777" w:rsidR="00584EC1" w:rsidRDefault="00871F8D">
            <w:pPr>
              <w:jc w:val="right"/>
              <w:textAlignment w:val="bottom"/>
            </w:pPr>
            <w:r>
              <w:rPr>
                <w:rFonts w:ascii="Arial" w:eastAsia="宋体" w:hAnsi="Arial" w:cs="Arial"/>
                <w:color w:val="000000"/>
                <w:sz w:val="15"/>
                <w:szCs w:val="15"/>
              </w:rPr>
              <w:t>158 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F3B0" w14:textId="77777777" w:rsidR="00584EC1" w:rsidRDefault="00584EC1">
            <w:pPr>
              <w:jc w:val="right"/>
              <w:rPr>
                <w:rFonts w:ascii="宋体"/>
              </w:rPr>
            </w:pPr>
          </w:p>
        </w:tc>
      </w:tr>
    </w:tbl>
    <w:p w14:paraId="74DDF3B2" w14:textId="77777777" w:rsidR="00584EC1" w:rsidRDefault="00584E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3953"/>
        <w:gridCol w:w="36"/>
        <w:gridCol w:w="70"/>
        <w:gridCol w:w="1833"/>
        <w:gridCol w:w="36"/>
      </w:tblGrid>
      <w:tr w:rsidR="00584EC1" w14:paraId="74DDF3BC" w14:textId="77777777">
        <w:tc>
          <w:tcPr>
            <w:tcW w:w="50" w:type="pct"/>
            <w:shd w:val="clear" w:color="auto" w:fill="auto"/>
            <w:vAlign w:val="bottom"/>
          </w:tcPr>
          <w:p w14:paraId="74DDF3B3" w14:textId="77777777" w:rsidR="00584EC1" w:rsidRDefault="00584EC1">
            <w:pPr>
              <w:rPr>
                <w:rFonts w:ascii="宋体"/>
              </w:rPr>
            </w:pPr>
          </w:p>
        </w:tc>
        <w:tc>
          <w:tcPr>
            <w:tcW w:w="1348" w:type="pct"/>
            <w:shd w:val="clear" w:color="auto" w:fill="auto"/>
            <w:vAlign w:val="bottom"/>
          </w:tcPr>
          <w:p w14:paraId="74DDF3B4" w14:textId="77777777" w:rsidR="00584EC1" w:rsidRDefault="00584EC1">
            <w:pPr>
              <w:rPr>
                <w:rFonts w:ascii="宋体"/>
              </w:rPr>
            </w:pPr>
          </w:p>
        </w:tc>
        <w:tc>
          <w:tcPr>
            <w:tcW w:w="5" w:type="pct"/>
            <w:shd w:val="clear" w:color="auto" w:fill="auto"/>
            <w:vAlign w:val="bottom"/>
          </w:tcPr>
          <w:p w14:paraId="74DDF3B5" w14:textId="77777777" w:rsidR="00584EC1" w:rsidRDefault="00584EC1">
            <w:pPr>
              <w:rPr>
                <w:rFonts w:ascii="宋体"/>
              </w:rPr>
            </w:pPr>
          </w:p>
        </w:tc>
        <w:tc>
          <w:tcPr>
            <w:tcW w:w="50" w:type="pct"/>
            <w:shd w:val="clear" w:color="auto" w:fill="auto"/>
            <w:vAlign w:val="bottom"/>
          </w:tcPr>
          <w:p w14:paraId="74DDF3B6" w14:textId="77777777" w:rsidR="00584EC1" w:rsidRDefault="00584EC1">
            <w:pPr>
              <w:rPr>
                <w:rFonts w:ascii="宋体"/>
              </w:rPr>
            </w:pPr>
          </w:p>
        </w:tc>
        <w:tc>
          <w:tcPr>
            <w:tcW w:w="2379" w:type="pct"/>
            <w:shd w:val="clear" w:color="auto" w:fill="auto"/>
            <w:vAlign w:val="bottom"/>
          </w:tcPr>
          <w:p w14:paraId="74DDF3B7" w14:textId="77777777" w:rsidR="00584EC1" w:rsidRDefault="00584EC1">
            <w:pPr>
              <w:rPr>
                <w:rFonts w:ascii="宋体"/>
              </w:rPr>
            </w:pPr>
          </w:p>
        </w:tc>
        <w:tc>
          <w:tcPr>
            <w:tcW w:w="5" w:type="pct"/>
            <w:shd w:val="clear" w:color="auto" w:fill="auto"/>
            <w:vAlign w:val="bottom"/>
          </w:tcPr>
          <w:p w14:paraId="74DDF3B8" w14:textId="77777777" w:rsidR="00584EC1" w:rsidRDefault="00584EC1">
            <w:pPr>
              <w:rPr>
                <w:rFonts w:ascii="宋体"/>
              </w:rPr>
            </w:pPr>
          </w:p>
        </w:tc>
        <w:tc>
          <w:tcPr>
            <w:tcW w:w="50" w:type="pct"/>
            <w:shd w:val="clear" w:color="auto" w:fill="auto"/>
            <w:vAlign w:val="bottom"/>
          </w:tcPr>
          <w:p w14:paraId="74DDF3B9" w14:textId="77777777" w:rsidR="00584EC1" w:rsidRDefault="00584EC1">
            <w:pPr>
              <w:rPr>
                <w:rFonts w:ascii="宋体"/>
              </w:rPr>
            </w:pPr>
          </w:p>
        </w:tc>
        <w:tc>
          <w:tcPr>
            <w:tcW w:w="1107" w:type="pct"/>
            <w:shd w:val="clear" w:color="auto" w:fill="auto"/>
            <w:vAlign w:val="bottom"/>
          </w:tcPr>
          <w:p w14:paraId="74DDF3BA" w14:textId="77777777" w:rsidR="00584EC1" w:rsidRDefault="00584EC1">
            <w:pPr>
              <w:rPr>
                <w:rFonts w:ascii="宋体"/>
              </w:rPr>
            </w:pPr>
          </w:p>
        </w:tc>
        <w:tc>
          <w:tcPr>
            <w:tcW w:w="5" w:type="pct"/>
            <w:shd w:val="clear" w:color="auto" w:fill="auto"/>
            <w:vAlign w:val="bottom"/>
          </w:tcPr>
          <w:p w14:paraId="74DDF3BB" w14:textId="77777777" w:rsidR="00584EC1" w:rsidRDefault="00584EC1">
            <w:pPr>
              <w:rPr>
                <w:rFonts w:ascii="宋体"/>
              </w:rPr>
            </w:pPr>
          </w:p>
        </w:tc>
      </w:tr>
      <w:tr w:rsidR="00584EC1" w14:paraId="74DDF3C0"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4DDF3BD"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3BE"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3BF" w14:textId="77777777" w:rsidR="00584EC1" w:rsidRDefault="00584EC1">
            <w:pPr>
              <w:rPr>
                <w:rFonts w:ascii="宋体"/>
              </w:rPr>
            </w:pPr>
          </w:p>
        </w:tc>
      </w:tr>
    </w:tbl>
    <w:p w14:paraId="74DDF3C1" w14:textId="77777777" w:rsidR="00584EC1" w:rsidRDefault="00871F8D">
      <w:pPr>
        <w:spacing w:before="60"/>
        <w:jc w:val="both"/>
      </w:pPr>
      <w:r>
        <w:rPr>
          <w:rFonts w:ascii="Arial" w:eastAsia="宋体" w:hAnsi="Arial" w:cs="Arial"/>
          <w:color w:val="000000"/>
          <w:sz w:val="9"/>
          <w:szCs w:val="9"/>
        </w:rPr>
        <w:t xml:space="preserve">(1) </w:t>
      </w:r>
      <w:r>
        <w:rPr>
          <w:rFonts w:ascii="Arial" w:eastAsia="宋体" w:hAnsi="Arial" w:cs="Arial"/>
          <w:color w:val="000000"/>
          <w:sz w:val="14"/>
          <w:szCs w:val="14"/>
        </w:rPr>
        <w:t xml:space="preserve">Derivative assets are included within other assets in our consolidated statement of condition. </w:t>
      </w:r>
    </w:p>
    <w:p w14:paraId="74DDF3C2" w14:textId="77777777" w:rsidR="00584EC1" w:rsidRDefault="00871F8D">
      <w:pPr>
        <w:spacing w:before="60"/>
        <w:jc w:val="both"/>
      </w:pPr>
      <w:r>
        <w:rPr>
          <w:rFonts w:ascii="Arial" w:eastAsia="宋体" w:hAnsi="Arial" w:cs="Arial"/>
          <w:color w:val="000000"/>
          <w:sz w:val="9"/>
          <w:szCs w:val="9"/>
        </w:rPr>
        <w:t xml:space="preserve">(2) </w:t>
      </w:r>
      <w:r>
        <w:rPr>
          <w:rFonts w:ascii="Arial" w:eastAsia="宋体" w:hAnsi="Arial" w:cs="Arial"/>
          <w:color w:val="000000"/>
          <w:sz w:val="14"/>
          <w:szCs w:val="14"/>
        </w:rPr>
        <w:t>Derivative liabilities are included within other liabilities in our consolidated statement of condition.</w:t>
      </w:r>
    </w:p>
    <w:p w14:paraId="74DDF3C3" w14:textId="77777777" w:rsidR="00584EC1" w:rsidRDefault="00871F8D">
      <w:pPr>
        <w:ind w:firstLine="450"/>
        <w:jc w:val="right"/>
      </w:pPr>
      <w:r>
        <w:rPr>
          <w:rFonts w:ascii="Arial" w:eastAsia="宋体" w:hAnsi="Arial" w:cs="Arial"/>
          <w:color w:val="000000"/>
          <w:sz w:val="18"/>
          <w:szCs w:val="18"/>
        </w:rPr>
        <w:t>State Street Corporation | 77</w:t>
      </w:r>
    </w:p>
    <w:p w14:paraId="74DDF3C4" w14:textId="77777777" w:rsidR="00584EC1" w:rsidRDefault="00584EC1">
      <w:pPr>
        <w:ind w:firstLine="450"/>
        <w:jc w:val="center"/>
      </w:pPr>
    </w:p>
    <w:p w14:paraId="74DDF3C5" w14:textId="77777777" w:rsidR="00584EC1" w:rsidRDefault="00871F8D">
      <w:r>
        <w:pict w14:anchorId="74DE2A3B">
          <v:rect id="_x0000_i1101" style="width:415.3pt;height:1.5pt" o:hralign="center" o:hrstd="t" o:hr="t" fillcolor="#a0a0a0" stroked="f"/>
        </w:pict>
      </w:r>
    </w:p>
    <w:p w14:paraId="74DDF3C6" w14:textId="77777777" w:rsidR="00584EC1" w:rsidRDefault="00871F8D">
      <w:pPr>
        <w:ind w:firstLine="450"/>
        <w:jc w:val="center"/>
      </w:pPr>
      <w:r>
        <w:rPr>
          <w:rFonts w:ascii="Arial" w:eastAsia="宋体" w:hAnsi="Arial" w:cs="Arial"/>
          <w:b/>
          <w:bCs/>
          <w:color w:val="000000"/>
          <w:sz w:val="20"/>
          <w:szCs w:val="20"/>
        </w:rPr>
        <w:t>STATE STREET CORPO</w:t>
      </w:r>
      <w:r>
        <w:rPr>
          <w:rFonts w:ascii="Arial" w:eastAsia="宋体" w:hAnsi="Arial" w:cs="Arial"/>
          <w:b/>
          <w:bCs/>
          <w:color w:val="000000"/>
          <w:sz w:val="20"/>
          <w:szCs w:val="20"/>
        </w:rPr>
        <w:t>RATION</w:t>
      </w:r>
    </w:p>
    <w:p w14:paraId="74DDF3C7" w14:textId="77777777" w:rsidR="00584EC1" w:rsidRDefault="00871F8D">
      <w:pPr>
        <w:ind w:firstLine="450"/>
        <w:jc w:val="center"/>
      </w:pPr>
      <w:r>
        <w:rPr>
          <w:rFonts w:ascii="Arial" w:eastAsia="宋体" w:hAnsi="Arial" w:cs="Arial"/>
          <w:b/>
          <w:bCs/>
          <w:color w:val="000000"/>
          <w:sz w:val="20"/>
          <w:szCs w:val="20"/>
        </w:rPr>
        <w:t>CONDENSED NOTES TO CONSOLIDATED FINANCIAL STATEMENTS</w:t>
      </w:r>
    </w:p>
    <w:p w14:paraId="74DDF3C8" w14:textId="77777777" w:rsidR="00584EC1" w:rsidRDefault="00871F8D">
      <w:pPr>
        <w:ind w:firstLine="450"/>
        <w:jc w:val="center"/>
      </w:pPr>
      <w:r>
        <w:rPr>
          <w:rFonts w:ascii="Arial" w:eastAsia="宋体" w:hAnsi="Arial" w:cs="Arial"/>
          <w:b/>
          <w:bCs/>
          <w:color w:val="000000"/>
          <w:sz w:val="20"/>
          <w:szCs w:val="20"/>
        </w:rPr>
        <w:t>(UNAUDITED)</w:t>
      </w:r>
    </w:p>
    <w:p w14:paraId="74DDF3C9" w14:textId="77777777" w:rsidR="00584EC1" w:rsidRDefault="00871F8D">
      <w:pPr>
        <w:spacing w:before="60"/>
        <w:ind w:firstLine="450"/>
        <w:jc w:val="both"/>
      </w:pPr>
      <w:r>
        <w:rPr>
          <w:rFonts w:ascii="Arial" w:eastAsia="宋体" w:hAnsi="Arial" w:cs="Arial"/>
          <w:color w:val="000000"/>
          <w:sz w:val="20"/>
          <w:szCs w:val="20"/>
        </w:rPr>
        <w:t>The following table presents the impact of our use of derivative financial instruments on our consolidated statement of income for the periods indicated:</w:t>
      </w:r>
    </w:p>
    <w:tbl>
      <w:tblPr>
        <w:tblW w:w="4993" w:type="pct"/>
        <w:tblCellMar>
          <w:top w:w="15" w:type="dxa"/>
          <w:left w:w="15" w:type="dxa"/>
          <w:bottom w:w="15" w:type="dxa"/>
          <w:right w:w="15" w:type="dxa"/>
        </w:tblCellMar>
        <w:tblLook w:val="04A0" w:firstRow="1" w:lastRow="0" w:firstColumn="1" w:lastColumn="0" w:noHBand="0" w:noVBand="1"/>
      </w:tblPr>
      <w:tblGrid>
        <w:gridCol w:w="48"/>
        <w:gridCol w:w="1510"/>
        <w:gridCol w:w="36"/>
        <w:gridCol w:w="93"/>
        <w:gridCol w:w="1965"/>
        <w:gridCol w:w="36"/>
        <w:gridCol w:w="109"/>
        <w:gridCol w:w="944"/>
        <w:gridCol w:w="36"/>
        <w:gridCol w:w="36"/>
        <w:gridCol w:w="36"/>
        <w:gridCol w:w="36"/>
        <w:gridCol w:w="109"/>
        <w:gridCol w:w="868"/>
        <w:gridCol w:w="36"/>
        <w:gridCol w:w="36"/>
        <w:gridCol w:w="36"/>
        <w:gridCol w:w="36"/>
        <w:gridCol w:w="109"/>
        <w:gridCol w:w="868"/>
        <w:gridCol w:w="36"/>
        <w:gridCol w:w="36"/>
        <w:gridCol w:w="36"/>
        <w:gridCol w:w="36"/>
        <w:gridCol w:w="109"/>
        <w:gridCol w:w="944"/>
        <w:gridCol w:w="36"/>
        <w:gridCol w:w="36"/>
        <w:gridCol w:w="36"/>
        <w:gridCol w:w="36"/>
      </w:tblGrid>
      <w:tr w:rsidR="00584EC1" w14:paraId="74DDF3E6" w14:textId="77777777">
        <w:tc>
          <w:tcPr>
            <w:tcW w:w="50" w:type="pct"/>
            <w:shd w:val="clear" w:color="auto" w:fill="auto"/>
            <w:vAlign w:val="bottom"/>
          </w:tcPr>
          <w:p w14:paraId="74DDF3CA" w14:textId="77777777" w:rsidR="00584EC1" w:rsidRDefault="00584EC1">
            <w:pPr>
              <w:rPr>
                <w:rFonts w:ascii="宋体"/>
              </w:rPr>
            </w:pPr>
          </w:p>
        </w:tc>
        <w:tc>
          <w:tcPr>
            <w:tcW w:w="999" w:type="pct"/>
            <w:shd w:val="clear" w:color="auto" w:fill="auto"/>
            <w:vAlign w:val="bottom"/>
          </w:tcPr>
          <w:p w14:paraId="74DDF3CB" w14:textId="77777777" w:rsidR="00584EC1" w:rsidRDefault="00584EC1">
            <w:pPr>
              <w:rPr>
                <w:rFonts w:ascii="宋体"/>
              </w:rPr>
            </w:pPr>
          </w:p>
        </w:tc>
        <w:tc>
          <w:tcPr>
            <w:tcW w:w="5" w:type="pct"/>
            <w:shd w:val="clear" w:color="auto" w:fill="auto"/>
            <w:vAlign w:val="bottom"/>
          </w:tcPr>
          <w:p w14:paraId="74DDF3CC" w14:textId="77777777" w:rsidR="00584EC1" w:rsidRDefault="00584EC1">
            <w:pPr>
              <w:rPr>
                <w:rFonts w:ascii="宋体"/>
              </w:rPr>
            </w:pPr>
          </w:p>
        </w:tc>
        <w:tc>
          <w:tcPr>
            <w:tcW w:w="50" w:type="pct"/>
            <w:shd w:val="clear" w:color="auto" w:fill="auto"/>
            <w:vAlign w:val="bottom"/>
          </w:tcPr>
          <w:p w14:paraId="74DDF3CD" w14:textId="77777777" w:rsidR="00584EC1" w:rsidRDefault="00584EC1">
            <w:pPr>
              <w:rPr>
                <w:rFonts w:ascii="宋体"/>
              </w:rPr>
            </w:pPr>
          </w:p>
        </w:tc>
        <w:tc>
          <w:tcPr>
            <w:tcW w:w="1065" w:type="pct"/>
            <w:shd w:val="clear" w:color="auto" w:fill="auto"/>
            <w:vAlign w:val="bottom"/>
          </w:tcPr>
          <w:p w14:paraId="74DDF3CE" w14:textId="77777777" w:rsidR="00584EC1" w:rsidRDefault="00584EC1">
            <w:pPr>
              <w:rPr>
                <w:rFonts w:ascii="宋体"/>
              </w:rPr>
            </w:pPr>
          </w:p>
        </w:tc>
        <w:tc>
          <w:tcPr>
            <w:tcW w:w="5" w:type="pct"/>
            <w:shd w:val="clear" w:color="auto" w:fill="auto"/>
            <w:vAlign w:val="bottom"/>
          </w:tcPr>
          <w:p w14:paraId="74DDF3CF" w14:textId="77777777" w:rsidR="00584EC1" w:rsidRDefault="00584EC1">
            <w:pPr>
              <w:rPr>
                <w:rFonts w:ascii="宋体"/>
              </w:rPr>
            </w:pPr>
          </w:p>
        </w:tc>
        <w:tc>
          <w:tcPr>
            <w:tcW w:w="50" w:type="pct"/>
            <w:shd w:val="clear" w:color="auto" w:fill="auto"/>
            <w:vAlign w:val="bottom"/>
          </w:tcPr>
          <w:p w14:paraId="74DDF3D0" w14:textId="77777777" w:rsidR="00584EC1" w:rsidRDefault="00584EC1">
            <w:pPr>
              <w:rPr>
                <w:rFonts w:ascii="宋体"/>
              </w:rPr>
            </w:pPr>
          </w:p>
        </w:tc>
        <w:tc>
          <w:tcPr>
            <w:tcW w:w="625" w:type="pct"/>
            <w:shd w:val="clear" w:color="auto" w:fill="auto"/>
            <w:vAlign w:val="bottom"/>
          </w:tcPr>
          <w:p w14:paraId="74DDF3D1" w14:textId="77777777" w:rsidR="00584EC1" w:rsidRDefault="00584EC1">
            <w:pPr>
              <w:rPr>
                <w:rFonts w:ascii="宋体"/>
              </w:rPr>
            </w:pPr>
          </w:p>
        </w:tc>
        <w:tc>
          <w:tcPr>
            <w:tcW w:w="5" w:type="pct"/>
            <w:shd w:val="clear" w:color="auto" w:fill="auto"/>
            <w:vAlign w:val="bottom"/>
          </w:tcPr>
          <w:p w14:paraId="74DDF3D2" w14:textId="77777777" w:rsidR="00584EC1" w:rsidRDefault="00584EC1">
            <w:pPr>
              <w:rPr>
                <w:rFonts w:ascii="宋体"/>
              </w:rPr>
            </w:pPr>
          </w:p>
        </w:tc>
        <w:tc>
          <w:tcPr>
            <w:tcW w:w="5" w:type="pct"/>
            <w:shd w:val="clear" w:color="auto" w:fill="auto"/>
            <w:vAlign w:val="bottom"/>
          </w:tcPr>
          <w:p w14:paraId="74DDF3D3" w14:textId="77777777" w:rsidR="00584EC1" w:rsidRDefault="00584EC1">
            <w:pPr>
              <w:rPr>
                <w:rFonts w:ascii="宋体"/>
              </w:rPr>
            </w:pPr>
          </w:p>
        </w:tc>
        <w:tc>
          <w:tcPr>
            <w:tcW w:w="26" w:type="pct"/>
            <w:shd w:val="clear" w:color="auto" w:fill="auto"/>
            <w:vAlign w:val="bottom"/>
          </w:tcPr>
          <w:p w14:paraId="74DDF3D4" w14:textId="77777777" w:rsidR="00584EC1" w:rsidRDefault="00584EC1">
            <w:pPr>
              <w:rPr>
                <w:rFonts w:ascii="宋体"/>
              </w:rPr>
            </w:pPr>
          </w:p>
        </w:tc>
        <w:tc>
          <w:tcPr>
            <w:tcW w:w="5" w:type="pct"/>
            <w:shd w:val="clear" w:color="auto" w:fill="auto"/>
            <w:vAlign w:val="bottom"/>
          </w:tcPr>
          <w:p w14:paraId="74DDF3D5" w14:textId="77777777" w:rsidR="00584EC1" w:rsidRDefault="00584EC1">
            <w:pPr>
              <w:rPr>
                <w:rFonts w:ascii="宋体"/>
              </w:rPr>
            </w:pPr>
          </w:p>
        </w:tc>
        <w:tc>
          <w:tcPr>
            <w:tcW w:w="50" w:type="pct"/>
            <w:shd w:val="clear" w:color="auto" w:fill="auto"/>
            <w:vAlign w:val="bottom"/>
          </w:tcPr>
          <w:p w14:paraId="74DDF3D6" w14:textId="77777777" w:rsidR="00584EC1" w:rsidRDefault="00584EC1">
            <w:pPr>
              <w:rPr>
                <w:rFonts w:ascii="宋体"/>
              </w:rPr>
            </w:pPr>
          </w:p>
        </w:tc>
        <w:tc>
          <w:tcPr>
            <w:tcW w:w="625" w:type="pct"/>
            <w:shd w:val="clear" w:color="auto" w:fill="auto"/>
            <w:vAlign w:val="bottom"/>
          </w:tcPr>
          <w:p w14:paraId="74DDF3D7" w14:textId="77777777" w:rsidR="00584EC1" w:rsidRDefault="00584EC1">
            <w:pPr>
              <w:rPr>
                <w:rFonts w:ascii="宋体"/>
              </w:rPr>
            </w:pPr>
          </w:p>
        </w:tc>
        <w:tc>
          <w:tcPr>
            <w:tcW w:w="5" w:type="pct"/>
            <w:shd w:val="clear" w:color="auto" w:fill="auto"/>
            <w:vAlign w:val="bottom"/>
          </w:tcPr>
          <w:p w14:paraId="74DDF3D8" w14:textId="77777777" w:rsidR="00584EC1" w:rsidRDefault="00584EC1">
            <w:pPr>
              <w:rPr>
                <w:rFonts w:ascii="宋体"/>
              </w:rPr>
            </w:pPr>
          </w:p>
        </w:tc>
        <w:tc>
          <w:tcPr>
            <w:tcW w:w="5" w:type="pct"/>
            <w:shd w:val="clear" w:color="auto" w:fill="auto"/>
            <w:vAlign w:val="bottom"/>
          </w:tcPr>
          <w:p w14:paraId="74DDF3D9" w14:textId="77777777" w:rsidR="00584EC1" w:rsidRDefault="00584EC1">
            <w:pPr>
              <w:rPr>
                <w:rFonts w:ascii="宋体"/>
              </w:rPr>
            </w:pPr>
          </w:p>
        </w:tc>
        <w:tc>
          <w:tcPr>
            <w:tcW w:w="26" w:type="pct"/>
            <w:shd w:val="clear" w:color="auto" w:fill="auto"/>
            <w:vAlign w:val="bottom"/>
          </w:tcPr>
          <w:p w14:paraId="74DDF3DA" w14:textId="77777777" w:rsidR="00584EC1" w:rsidRDefault="00584EC1">
            <w:pPr>
              <w:rPr>
                <w:rFonts w:ascii="宋体"/>
              </w:rPr>
            </w:pPr>
          </w:p>
        </w:tc>
        <w:tc>
          <w:tcPr>
            <w:tcW w:w="5" w:type="pct"/>
            <w:shd w:val="clear" w:color="auto" w:fill="auto"/>
            <w:vAlign w:val="bottom"/>
          </w:tcPr>
          <w:p w14:paraId="74DDF3DB" w14:textId="77777777" w:rsidR="00584EC1" w:rsidRDefault="00584EC1">
            <w:pPr>
              <w:rPr>
                <w:rFonts w:ascii="宋体"/>
              </w:rPr>
            </w:pPr>
          </w:p>
        </w:tc>
        <w:tc>
          <w:tcPr>
            <w:tcW w:w="50" w:type="pct"/>
            <w:shd w:val="clear" w:color="auto" w:fill="auto"/>
            <w:vAlign w:val="bottom"/>
          </w:tcPr>
          <w:p w14:paraId="74DDF3DC" w14:textId="77777777" w:rsidR="00584EC1" w:rsidRDefault="00584EC1">
            <w:pPr>
              <w:rPr>
                <w:rFonts w:ascii="宋体"/>
              </w:rPr>
            </w:pPr>
          </w:p>
        </w:tc>
        <w:tc>
          <w:tcPr>
            <w:tcW w:w="625" w:type="pct"/>
            <w:shd w:val="clear" w:color="auto" w:fill="auto"/>
            <w:vAlign w:val="bottom"/>
          </w:tcPr>
          <w:p w14:paraId="74DDF3DD" w14:textId="77777777" w:rsidR="00584EC1" w:rsidRDefault="00584EC1">
            <w:pPr>
              <w:rPr>
                <w:rFonts w:ascii="宋体"/>
              </w:rPr>
            </w:pPr>
          </w:p>
        </w:tc>
        <w:tc>
          <w:tcPr>
            <w:tcW w:w="5" w:type="pct"/>
            <w:shd w:val="clear" w:color="auto" w:fill="auto"/>
            <w:vAlign w:val="bottom"/>
          </w:tcPr>
          <w:p w14:paraId="74DDF3DE" w14:textId="77777777" w:rsidR="00584EC1" w:rsidRDefault="00584EC1">
            <w:pPr>
              <w:rPr>
                <w:rFonts w:ascii="宋体"/>
              </w:rPr>
            </w:pPr>
          </w:p>
        </w:tc>
        <w:tc>
          <w:tcPr>
            <w:tcW w:w="5" w:type="pct"/>
            <w:shd w:val="clear" w:color="auto" w:fill="auto"/>
            <w:vAlign w:val="bottom"/>
          </w:tcPr>
          <w:p w14:paraId="74DDF3DF" w14:textId="77777777" w:rsidR="00584EC1" w:rsidRDefault="00584EC1">
            <w:pPr>
              <w:rPr>
                <w:rFonts w:ascii="宋体"/>
              </w:rPr>
            </w:pPr>
          </w:p>
        </w:tc>
        <w:tc>
          <w:tcPr>
            <w:tcW w:w="19" w:type="pct"/>
            <w:shd w:val="clear" w:color="auto" w:fill="auto"/>
            <w:vAlign w:val="bottom"/>
          </w:tcPr>
          <w:p w14:paraId="74DDF3E0" w14:textId="77777777" w:rsidR="00584EC1" w:rsidRDefault="00584EC1">
            <w:pPr>
              <w:rPr>
                <w:rFonts w:ascii="宋体"/>
              </w:rPr>
            </w:pPr>
          </w:p>
        </w:tc>
        <w:tc>
          <w:tcPr>
            <w:tcW w:w="5" w:type="pct"/>
            <w:shd w:val="clear" w:color="auto" w:fill="auto"/>
            <w:vAlign w:val="bottom"/>
          </w:tcPr>
          <w:p w14:paraId="74DDF3E1" w14:textId="77777777" w:rsidR="00584EC1" w:rsidRDefault="00584EC1">
            <w:pPr>
              <w:rPr>
                <w:rFonts w:ascii="宋体"/>
              </w:rPr>
            </w:pPr>
          </w:p>
        </w:tc>
        <w:tc>
          <w:tcPr>
            <w:tcW w:w="50" w:type="pct"/>
            <w:shd w:val="clear" w:color="auto" w:fill="auto"/>
            <w:vAlign w:val="bottom"/>
          </w:tcPr>
          <w:p w14:paraId="74DDF3E2" w14:textId="77777777" w:rsidR="00584EC1" w:rsidRDefault="00584EC1">
            <w:pPr>
              <w:rPr>
                <w:rFonts w:ascii="宋体"/>
              </w:rPr>
            </w:pPr>
          </w:p>
        </w:tc>
        <w:tc>
          <w:tcPr>
            <w:tcW w:w="625" w:type="pct"/>
            <w:shd w:val="clear" w:color="auto" w:fill="auto"/>
            <w:vAlign w:val="bottom"/>
          </w:tcPr>
          <w:p w14:paraId="74DDF3E3" w14:textId="77777777" w:rsidR="00584EC1" w:rsidRDefault="00584EC1">
            <w:pPr>
              <w:rPr>
                <w:rFonts w:ascii="宋体"/>
              </w:rPr>
            </w:pPr>
          </w:p>
        </w:tc>
        <w:tc>
          <w:tcPr>
            <w:tcW w:w="5" w:type="pct"/>
            <w:shd w:val="clear" w:color="auto" w:fill="auto"/>
            <w:vAlign w:val="bottom"/>
          </w:tcPr>
          <w:p w14:paraId="74DDF3E4" w14:textId="77777777" w:rsidR="00584EC1" w:rsidRDefault="00584EC1">
            <w:pPr>
              <w:rPr>
                <w:rFonts w:ascii="宋体"/>
              </w:rPr>
            </w:pPr>
          </w:p>
        </w:tc>
        <w:tc>
          <w:tcPr>
            <w:tcW w:w="0" w:type="auto"/>
            <w:gridSpan w:val="3"/>
            <w:shd w:val="clear" w:color="auto" w:fill="auto"/>
            <w:vAlign w:val="bottom"/>
          </w:tcPr>
          <w:p w14:paraId="74DDF3E5" w14:textId="77777777" w:rsidR="00584EC1" w:rsidRDefault="00584EC1">
            <w:pPr>
              <w:rPr>
                <w:rFonts w:ascii="宋体"/>
                <w:vanish/>
              </w:rPr>
            </w:pPr>
          </w:p>
        </w:tc>
      </w:tr>
      <w:tr w:rsidR="00584EC1" w14:paraId="74DDF3EB" w14:textId="77777777">
        <w:tc>
          <w:tcPr>
            <w:tcW w:w="0" w:type="auto"/>
            <w:gridSpan w:val="3"/>
            <w:shd w:val="clear" w:color="auto" w:fill="auto"/>
            <w:tcMar>
              <w:top w:w="0" w:type="dxa"/>
              <w:left w:w="20" w:type="dxa"/>
              <w:bottom w:w="0" w:type="dxa"/>
              <w:right w:w="20" w:type="dxa"/>
            </w:tcMar>
            <w:vAlign w:val="bottom"/>
          </w:tcPr>
          <w:p w14:paraId="74DDF3E7"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F3E8" w14:textId="77777777" w:rsidR="00584EC1" w:rsidRDefault="00871F8D">
            <w:pPr>
              <w:jc w:val="center"/>
              <w:textAlignment w:val="bottom"/>
            </w:pPr>
            <w:r>
              <w:rPr>
                <w:rFonts w:ascii="Arial" w:eastAsia="宋体" w:hAnsi="Arial" w:cs="Arial"/>
                <w:b/>
                <w:bCs/>
                <w:color w:val="000000"/>
                <w:sz w:val="16"/>
                <w:szCs w:val="16"/>
              </w:rPr>
              <w:t>Location of Gain (Loss) on</w:t>
            </w:r>
            <w:r>
              <w:rPr>
                <w:rFonts w:ascii="Arial" w:eastAsia="宋体" w:hAnsi="Arial" w:cs="Arial"/>
                <w:b/>
                <w:bCs/>
                <w:color w:val="000000"/>
                <w:sz w:val="16"/>
                <w:szCs w:val="16"/>
              </w:rPr>
              <w:br/>
              <w:t>Derivative in Consolidated</w:t>
            </w:r>
            <w:r>
              <w:rPr>
                <w:rFonts w:ascii="Arial" w:eastAsia="宋体" w:hAnsi="Arial" w:cs="Arial"/>
                <w:b/>
                <w:bCs/>
                <w:color w:val="000000"/>
                <w:sz w:val="16"/>
                <w:szCs w:val="16"/>
              </w:rPr>
              <w:br/>
              <w:t>Statement of Income</w:t>
            </w: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74DDF3E9" w14:textId="77777777" w:rsidR="00584EC1" w:rsidRDefault="00871F8D">
            <w:pPr>
              <w:jc w:val="center"/>
              <w:textAlignment w:val="bottom"/>
            </w:pPr>
            <w:r>
              <w:rPr>
                <w:rFonts w:ascii="Arial" w:eastAsia="宋体" w:hAnsi="Arial" w:cs="Arial"/>
                <w:b/>
                <w:bCs/>
                <w:color w:val="000000"/>
                <w:sz w:val="16"/>
                <w:szCs w:val="16"/>
              </w:rPr>
              <w:t>Amount of Gain (Loss) on Derivative Recognized in Consolidated Statement of Income</w:t>
            </w:r>
          </w:p>
        </w:tc>
        <w:tc>
          <w:tcPr>
            <w:tcW w:w="0" w:type="auto"/>
            <w:gridSpan w:val="3"/>
            <w:shd w:val="clear" w:color="auto" w:fill="auto"/>
            <w:vAlign w:val="bottom"/>
          </w:tcPr>
          <w:p w14:paraId="74DDF3EA" w14:textId="77777777" w:rsidR="00584EC1" w:rsidRDefault="00584EC1">
            <w:pPr>
              <w:rPr>
                <w:rFonts w:ascii="宋体"/>
                <w:vanish/>
              </w:rPr>
            </w:pPr>
          </w:p>
        </w:tc>
      </w:tr>
      <w:tr w:rsidR="00584EC1" w14:paraId="74DDF3F2" w14:textId="77777777">
        <w:tc>
          <w:tcPr>
            <w:tcW w:w="0" w:type="auto"/>
            <w:gridSpan w:val="3"/>
            <w:shd w:val="clear" w:color="auto" w:fill="auto"/>
            <w:tcMar>
              <w:top w:w="0" w:type="dxa"/>
              <w:left w:w="20" w:type="dxa"/>
              <w:bottom w:w="0" w:type="dxa"/>
              <w:right w:w="20" w:type="dxa"/>
            </w:tcMar>
            <w:vAlign w:val="bottom"/>
          </w:tcPr>
          <w:p w14:paraId="74DDF3EC"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3ED" w14:textId="77777777" w:rsidR="00584EC1" w:rsidRDefault="00584E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4DDF3EE" w14:textId="77777777" w:rsidR="00584EC1" w:rsidRDefault="00871F8D">
            <w:pPr>
              <w:jc w:val="center"/>
              <w:textAlignment w:val="bottom"/>
            </w:pPr>
            <w:r>
              <w:rPr>
                <w:rFonts w:ascii="Arial" w:eastAsia="宋体" w:hAnsi="Arial" w:cs="Arial"/>
                <w:b/>
                <w:bCs/>
                <w:color w:val="000000"/>
                <w:sz w:val="16"/>
                <w:szCs w:val="16"/>
              </w:rPr>
              <w:t xml:space="preserve">Three Months </w:t>
            </w:r>
            <w:r>
              <w:rPr>
                <w:rFonts w:ascii="Arial" w:eastAsia="宋体" w:hAnsi="Arial" w:cs="Arial"/>
                <w:b/>
                <w:bCs/>
                <w:color w:val="000000"/>
                <w:sz w:val="16"/>
                <w:szCs w:val="16"/>
              </w:rPr>
              <w:t>Ended September 30,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3EF" w14:textId="77777777" w:rsidR="00584EC1" w:rsidRDefault="00584E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4DDF3F0" w14:textId="77777777" w:rsidR="00584EC1" w:rsidRDefault="00871F8D">
            <w:pPr>
              <w:jc w:val="center"/>
              <w:textAlignment w:val="bottom"/>
            </w:pPr>
            <w:r>
              <w:rPr>
                <w:rFonts w:ascii="Arial" w:eastAsia="宋体" w:hAnsi="Arial" w:cs="Arial"/>
                <w:b/>
                <w:bCs/>
                <w:color w:val="000000"/>
                <w:sz w:val="16"/>
                <w:szCs w:val="16"/>
              </w:rPr>
              <w:t>Nine Months Ended September 30,</w:t>
            </w:r>
          </w:p>
        </w:tc>
        <w:tc>
          <w:tcPr>
            <w:tcW w:w="0" w:type="auto"/>
            <w:gridSpan w:val="3"/>
            <w:shd w:val="clear" w:color="auto" w:fill="auto"/>
            <w:vAlign w:val="bottom"/>
          </w:tcPr>
          <w:p w14:paraId="74DDF3F1" w14:textId="77777777" w:rsidR="00584EC1" w:rsidRDefault="00584EC1">
            <w:pPr>
              <w:rPr>
                <w:rFonts w:ascii="宋体"/>
                <w:vanish/>
              </w:rPr>
            </w:pPr>
          </w:p>
        </w:tc>
      </w:tr>
      <w:tr w:rsidR="00584EC1" w14:paraId="74DDF3FD" w14:textId="77777777">
        <w:tc>
          <w:tcPr>
            <w:tcW w:w="0" w:type="auto"/>
            <w:gridSpan w:val="3"/>
            <w:shd w:val="clear" w:color="auto" w:fill="auto"/>
            <w:tcMar>
              <w:top w:w="40" w:type="dxa"/>
              <w:left w:w="20" w:type="dxa"/>
              <w:bottom w:w="40" w:type="dxa"/>
              <w:right w:w="20" w:type="dxa"/>
            </w:tcMar>
            <w:vAlign w:val="bottom"/>
          </w:tcPr>
          <w:p w14:paraId="74DDF3F3" w14:textId="77777777" w:rsidR="00584EC1" w:rsidRDefault="00871F8D">
            <w:pPr>
              <w:textAlignment w:val="bottom"/>
            </w:pPr>
            <w:r>
              <w:rPr>
                <w:rFonts w:ascii="Arial" w:eastAsia="宋体" w:hAnsi="Arial" w:cs="Arial"/>
                <w:b/>
                <w:bCs/>
                <w:color w:val="000000"/>
                <w:sz w:val="16"/>
                <w:szCs w:val="16"/>
              </w:rPr>
              <w:t>(In millions)</w:t>
            </w:r>
          </w:p>
        </w:tc>
        <w:tc>
          <w:tcPr>
            <w:tcW w:w="0" w:type="auto"/>
            <w:gridSpan w:val="3"/>
            <w:shd w:val="clear" w:color="auto" w:fill="auto"/>
            <w:tcMar>
              <w:top w:w="0" w:type="dxa"/>
              <w:left w:w="20" w:type="dxa"/>
              <w:bottom w:w="0" w:type="dxa"/>
              <w:right w:w="20" w:type="dxa"/>
            </w:tcMar>
            <w:vAlign w:val="bottom"/>
          </w:tcPr>
          <w:p w14:paraId="74DDF3F4"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F3F5" w14:textId="77777777" w:rsidR="00584EC1" w:rsidRDefault="00871F8D">
            <w:pPr>
              <w:jc w:val="center"/>
              <w:textAlignment w:val="bottom"/>
            </w:pPr>
            <w:r>
              <w:rPr>
                <w:rFonts w:ascii="Arial" w:eastAsia="宋体" w:hAnsi="Arial" w:cs="Arial"/>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3F6"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F3F7" w14:textId="77777777" w:rsidR="00584EC1" w:rsidRDefault="00871F8D">
            <w:pPr>
              <w:jc w:val="center"/>
              <w:textAlignment w:val="bottom"/>
            </w:pPr>
            <w:r>
              <w:rPr>
                <w:rFonts w:ascii="Arial" w:eastAsia="宋体" w:hAnsi="Arial" w:cs="Arial"/>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74DDF3F8"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F3F9" w14:textId="77777777" w:rsidR="00584EC1" w:rsidRDefault="00871F8D">
            <w:pPr>
              <w:jc w:val="center"/>
              <w:textAlignment w:val="bottom"/>
            </w:pPr>
            <w:r>
              <w:rPr>
                <w:rFonts w:ascii="Arial" w:eastAsia="宋体" w:hAnsi="Arial" w:cs="Arial"/>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3FA"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F3FB" w14:textId="77777777" w:rsidR="00584EC1" w:rsidRDefault="00871F8D">
            <w:pPr>
              <w:jc w:val="center"/>
              <w:textAlignment w:val="bottom"/>
            </w:pPr>
            <w:r>
              <w:rPr>
                <w:rFonts w:ascii="Arial" w:eastAsia="宋体" w:hAnsi="Arial" w:cs="Arial"/>
                <w:b/>
                <w:bCs/>
                <w:color w:val="000000"/>
                <w:sz w:val="16"/>
                <w:szCs w:val="16"/>
              </w:rPr>
              <w:t>2020</w:t>
            </w:r>
          </w:p>
        </w:tc>
        <w:tc>
          <w:tcPr>
            <w:tcW w:w="0" w:type="auto"/>
            <w:gridSpan w:val="3"/>
            <w:shd w:val="clear" w:color="auto" w:fill="auto"/>
            <w:vAlign w:val="bottom"/>
          </w:tcPr>
          <w:p w14:paraId="74DDF3FC" w14:textId="77777777" w:rsidR="00584EC1" w:rsidRDefault="00584EC1">
            <w:pPr>
              <w:rPr>
                <w:rFonts w:ascii="宋体"/>
                <w:vanish/>
              </w:rPr>
            </w:pPr>
          </w:p>
        </w:tc>
      </w:tr>
      <w:tr w:rsidR="00584EC1" w14:paraId="74DDF410" w14:textId="77777777">
        <w:trPr>
          <w:hidden/>
        </w:trPr>
        <w:tc>
          <w:tcPr>
            <w:tcW w:w="0" w:type="auto"/>
            <w:gridSpan w:val="3"/>
            <w:shd w:val="clear" w:color="auto" w:fill="auto"/>
            <w:vAlign w:val="bottom"/>
          </w:tcPr>
          <w:p w14:paraId="74DDF3FE" w14:textId="77777777" w:rsidR="00584EC1" w:rsidRDefault="00584EC1">
            <w:pPr>
              <w:rPr>
                <w:rFonts w:ascii="宋体"/>
                <w:vanish/>
              </w:rPr>
            </w:pPr>
          </w:p>
        </w:tc>
        <w:tc>
          <w:tcPr>
            <w:tcW w:w="0" w:type="auto"/>
            <w:gridSpan w:val="3"/>
            <w:shd w:val="clear" w:color="auto" w:fill="auto"/>
            <w:vAlign w:val="bottom"/>
          </w:tcPr>
          <w:p w14:paraId="74DDF3FF" w14:textId="77777777" w:rsidR="00584EC1" w:rsidRDefault="00584EC1">
            <w:pPr>
              <w:rPr>
                <w:rFonts w:ascii="宋体"/>
                <w:vanish/>
              </w:rPr>
            </w:pPr>
          </w:p>
        </w:tc>
        <w:tc>
          <w:tcPr>
            <w:tcW w:w="0" w:type="auto"/>
            <w:gridSpan w:val="3"/>
            <w:shd w:val="clear" w:color="auto" w:fill="auto"/>
            <w:vAlign w:val="bottom"/>
          </w:tcPr>
          <w:p w14:paraId="74DDF400" w14:textId="77777777" w:rsidR="00584EC1" w:rsidRDefault="00584EC1">
            <w:pPr>
              <w:rPr>
                <w:rFonts w:ascii="宋体"/>
                <w:vanish/>
              </w:rPr>
            </w:pPr>
          </w:p>
        </w:tc>
        <w:tc>
          <w:tcPr>
            <w:tcW w:w="0" w:type="auto"/>
            <w:gridSpan w:val="3"/>
            <w:shd w:val="clear" w:color="auto" w:fill="auto"/>
            <w:vAlign w:val="bottom"/>
          </w:tcPr>
          <w:p w14:paraId="74DDF401" w14:textId="77777777" w:rsidR="00584EC1" w:rsidRDefault="00584EC1">
            <w:pPr>
              <w:rPr>
                <w:rFonts w:ascii="宋体"/>
                <w:vanish/>
              </w:rPr>
            </w:pPr>
          </w:p>
        </w:tc>
        <w:tc>
          <w:tcPr>
            <w:tcW w:w="0" w:type="auto"/>
            <w:gridSpan w:val="3"/>
            <w:shd w:val="clear" w:color="auto" w:fill="auto"/>
            <w:vAlign w:val="bottom"/>
          </w:tcPr>
          <w:p w14:paraId="74DDF402" w14:textId="77777777" w:rsidR="00584EC1" w:rsidRDefault="00584EC1">
            <w:pPr>
              <w:rPr>
                <w:rFonts w:ascii="宋体"/>
                <w:vanish/>
              </w:rPr>
            </w:pPr>
          </w:p>
        </w:tc>
        <w:tc>
          <w:tcPr>
            <w:tcW w:w="0" w:type="auto"/>
            <w:gridSpan w:val="3"/>
            <w:shd w:val="clear" w:color="auto" w:fill="auto"/>
            <w:vAlign w:val="bottom"/>
          </w:tcPr>
          <w:p w14:paraId="74DDF403" w14:textId="77777777" w:rsidR="00584EC1" w:rsidRDefault="00584EC1">
            <w:pPr>
              <w:rPr>
                <w:rFonts w:ascii="宋体"/>
                <w:vanish/>
              </w:rPr>
            </w:pPr>
          </w:p>
        </w:tc>
        <w:tc>
          <w:tcPr>
            <w:tcW w:w="0" w:type="auto"/>
            <w:shd w:val="clear" w:color="auto" w:fill="auto"/>
            <w:vAlign w:val="bottom"/>
          </w:tcPr>
          <w:p w14:paraId="74DDF404" w14:textId="77777777" w:rsidR="00584EC1" w:rsidRDefault="00584EC1">
            <w:pPr>
              <w:rPr>
                <w:rFonts w:ascii="宋体"/>
              </w:rPr>
            </w:pPr>
          </w:p>
        </w:tc>
        <w:tc>
          <w:tcPr>
            <w:tcW w:w="0" w:type="auto"/>
            <w:shd w:val="clear" w:color="auto" w:fill="auto"/>
            <w:vAlign w:val="bottom"/>
          </w:tcPr>
          <w:p w14:paraId="74DDF405" w14:textId="77777777" w:rsidR="00584EC1" w:rsidRDefault="00584EC1">
            <w:pPr>
              <w:rPr>
                <w:rFonts w:ascii="宋体"/>
              </w:rPr>
            </w:pPr>
          </w:p>
        </w:tc>
        <w:tc>
          <w:tcPr>
            <w:tcW w:w="0" w:type="auto"/>
            <w:shd w:val="clear" w:color="auto" w:fill="auto"/>
            <w:vAlign w:val="bottom"/>
          </w:tcPr>
          <w:p w14:paraId="74DDF406" w14:textId="77777777" w:rsidR="00584EC1" w:rsidRDefault="00584EC1">
            <w:pPr>
              <w:rPr>
                <w:rFonts w:ascii="宋体"/>
              </w:rPr>
            </w:pPr>
          </w:p>
        </w:tc>
        <w:tc>
          <w:tcPr>
            <w:tcW w:w="0" w:type="auto"/>
            <w:shd w:val="clear" w:color="auto" w:fill="auto"/>
            <w:vAlign w:val="bottom"/>
          </w:tcPr>
          <w:p w14:paraId="74DDF407" w14:textId="77777777" w:rsidR="00584EC1" w:rsidRDefault="00584EC1">
            <w:pPr>
              <w:rPr>
                <w:rFonts w:ascii="宋体"/>
              </w:rPr>
            </w:pPr>
          </w:p>
        </w:tc>
        <w:tc>
          <w:tcPr>
            <w:tcW w:w="0" w:type="auto"/>
            <w:shd w:val="clear" w:color="auto" w:fill="auto"/>
            <w:vAlign w:val="bottom"/>
          </w:tcPr>
          <w:p w14:paraId="74DDF408" w14:textId="77777777" w:rsidR="00584EC1" w:rsidRDefault="00584EC1">
            <w:pPr>
              <w:rPr>
                <w:rFonts w:ascii="宋体"/>
              </w:rPr>
            </w:pPr>
          </w:p>
        </w:tc>
        <w:tc>
          <w:tcPr>
            <w:tcW w:w="0" w:type="auto"/>
            <w:shd w:val="clear" w:color="auto" w:fill="auto"/>
            <w:vAlign w:val="bottom"/>
          </w:tcPr>
          <w:p w14:paraId="74DDF409" w14:textId="77777777" w:rsidR="00584EC1" w:rsidRDefault="00584EC1">
            <w:pPr>
              <w:rPr>
                <w:rFonts w:ascii="宋体"/>
              </w:rPr>
            </w:pPr>
          </w:p>
        </w:tc>
        <w:tc>
          <w:tcPr>
            <w:tcW w:w="0" w:type="auto"/>
            <w:shd w:val="clear" w:color="auto" w:fill="auto"/>
            <w:vAlign w:val="bottom"/>
          </w:tcPr>
          <w:p w14:paraId="74DDF40A" w14:textId="77777777" w:rsidR="00584EC1" w:rsidRDefault="00584EC1">
            <w:pPr>
              <w:rPr>
                <w:rFonts w:ascii="宋体"/>
              </w:rPr>
            </w:pPr>
          </w:p>
        </w:tc>
        <w:tc>
          <w:tcPr>
            <w:tcW w:w="0" w:type="auto"/>
            <w:shd w:val="clear" w:color="auto" w:fill="auto"/>
            <w:vAlign w:val="bottom"/>
          </w:tcPr>
          <w:p w14:paraId="74DDF40B" w14:textId="77777777" w:rsidR="00584EC1" w:rsidRDefault="00584EC1">
            <w:pPr>
              <w:rPr>
                <w:rFonts w:ascii="宋体"/>
              </w:rPr>
            </w:pPr>
          </w:p>
        </w:tc>
        <w:tc>
          <w:tcPr>
            <w:tcW w:w="0" w:type="auto"/>
            <w:shd w:val="clear" w:color="auto" w:fill="auto"/>
            <w:vAlign w:val="bottom"/>
          </w:tcPr>
          <w:p w14:paraId="74DDF40C" w14:textId="77777777" w:rsidR="00584EC1" w:rsidRDefault="00584EC1">
            <w:pPr>
              <w:rPr>
                <w:rFonts w:ascii="宋体"/>
              </w:rPr>
            </w:pPr>
          </w:p>
        </w:tc>
        <w:tc>
          <w:tcPr>
            <w:tcW w:w="0" w:type="auto"/>
            <w:shd w:val="clear" w:color="auto" w:fill="auto"/>
            <w:vAlign w:val="bottom"/>
          </w:tcPr>
          <w:p w14:paraId="74DDF40D" w14:textId="77777777" w:rsidR="00584EC1" w:rsidRDefault="00584EC1">
            <w:pPr>
              <w:rPr>
                <w:rFonts w:ascii="宋体"/>
              </w:rPr>
            </w:pPr>
          </w:p>
        </w:tc>
        <w:tc>
          <w:tcPr>
            <w:tcW w:w="0" w:type="auto"/>
            <w:shd w:val="clear" w:color="auto" w:fill="auto"/>
            <w:vAlign w:val="bottom"/>
          </w:tcPr>
          <w:p w14:paraId="74DDF40E" w14:textId="77777777" w:rsidR="00584EC1" w:rsidRDefault="00584EC1">
            <w:pPr>
              <w:rPr>
                <w:rFonts w:ascii="宋体"/>
              </w:rPr>
            </w:pPr>
          </w:p>
        </w:tc>
        <w:tc>
          <w:tcPr>
            <w:tcW w:w="0" w:type="auto"/>
            <w:shd w:val="clear" w:color="auto" w:fill="auto"/>
            <w:vAlign w:val="bottom"/>
          </w:tcPr>
          <w:p w14:paraId="74DDF40F" w14:textId="77777777" w:rsidR="00584EC1" w:rsidRDefault="00584EC1">
            <w:pPr>
              <w:rPr>
                <w:rFonts w:ascii="宋体"/>
              </w:rPr>
            </w:pPr>
          </w:p>
        </w:tc>
      </w:tr>
      <w:tr w:rsidR="00584EC1" w14:paraId="74DDF41B" w14:textId="77777777">
        <w:tc>
          <w:tcPr>
            <w:tcW w:w="0" w:type="auto"/>
            <w:gridSpan w:val="3"/>
            <w:shd w:val="clear" w:color="auto" w:fill="auto"/>
            <w:tcMar>
              <w:top w:w="40" w:type="dxa"/>
              <w:left w:w="20" w:type="dxa"/>
              <w:bottom w:w="40" w:type="dxa"/>
              <w:right w:w="20" w:type="dxa"/>
            </w:tcMar>
            <w:vAlign w:val="bottom"/>
          </w:tcPr>
          <w:p w14:paraId="74DDF411" w14:textId="77777777" w:rsidR="00584EC1" w:rsidRDefault="00871F8D">
            <w:pPr>
              <w:textAlignment w:val="bottom"/>
            </w:pPr>
            <w:r>
              <w:rPr>
                <w:rFonts w:ascii="Arial" w:eastAsia="宋体" w:hAnsi="Arial" w:cs="Arial"/>
                <w:b/>
                <w:bCs/>
                <w:color w:val="000000"/>
                <w:sz w:val="16"/>
                <w:szCs w:val="16"/>
              </w:rPr>
              <w:t>Derivatives not designated as hedging instruments:</w:t>
            </w:r>
          </w:p>
        </w:tc>
        <w:tc>
          <w:tcPr>
            <w:tcW w:w="0" w:type="auto"/>
            <w:gridSpan w:val="3"/>
            <w:shd w:val="clear" w:color="auto" w:fill="auto"/>
            <w:tcMar>
              <w:top w:w="0" w:type="dxa"/>
              <w:left w:w="20" w:type="dxa"/>
              <w:bottom w:w="0" w:type="dxa"/>
              <w:right w:w="20" w:type="dxa"/>
            </w:tcMar>
            <w:vAlign w:val="bottom"/>
          </w:tcPr>
          <w:p w14:paraId="74DDF412"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413"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414"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41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416"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417"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418"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419" w14:textId="77777777" w:rsidR="00584EC1" w:rsidRDefault="00584EC1">
            <w:pPr>
              <w:rPr>
                <w:rFonts w:ascii="宋体"/>
              </w:rPr>
            </w:pPr>
          </w:p>
        </w:tc>
        <w:tc>
          <w:tcPr>
            <w:tcW w:w="0" w:type="auto"/>
            <w:gridSpan w:val="3"/>
            <w:shd w:val="clear" w:color="auto" w:fill="auto"/>
            <w:vAlign w:val="bottom"/>
          </w:tcPr>
          <w:p w14:paraId="74DDF41A" w14:textId="77777777" w:rsidR="00584EC1" w:rsidRDefault="00584EC1">
            <w:pPr>
              <w:rPr>
                <w:rFonts w:ascii="宋体"/>
                <w:vanish/>
              </w:rPr>
            </w:pPr>
          </w:p>
        </w:tc>
      </w:tr>
      <w:tr w:rsidR="00584EC1" w14:paraId="74DDF42E" w14:textId="77777777">
        <w:tc>
          <w:tcPr>
            <w:tcW w:w="0" w:type="auto"/>
            <w:gridSpan w:val="3"/>
            <w:shd w:val="clear" w:color="auto" w:fill="CCEEFF"/>
            <w:tcMar>
              <w:top w:w="40" w:type="dxa"/>
              <w:left w:w="20" w:type="dxa"/>
              <w:bottom w:w="40" w:type="dxa"/>
              <w:right w:w="20" w:type="dxa"/>
            </w:tcMar>
            <w:vAlign w:val="bottom"/>
          </w:tcPr>
          <w:p w14:paraId="74DDF41C" w14:textId="77777777" w:rsidR="00584EC1" w:rsidRDefault="00871F8D">
            <w:pPr>
              <w:textAlignment w:val="bottom"/>
            </w:pPr>
            <w:r>
              <w:rPr>
                <w:rFonts w:ascii="Arial" w:eastAsia="宋体" w:hAnsi="Arial" w:cs="Arial"/>
                <w:color w:val="000000"/>
                <w:sz w:val="16"/>
                <w:szCs w:val="16"/>
              </w:rPr>
              <w:t>Foreign exchange contracts</w:t>
            </w:r>
          </w:p>
        </w:tc>
        <w:tc>
          <w:tcPr>
            <w:tcW w:w="0" w:type="auto"/>
            <w:gridSpan w:val="3"/>
            <w:shd w:val="clear" w:color="auto" w:fill="CCEEFF"/>
            <w:tcMar>
              <w:top w:w="40" w:type="dxa"/>
              <w:left w:w="20" w:type="dxa"/>
              <w:bottom w:w="40" w:type="dxa"/>
              <w:right w:w="20" w:type="dxa"/>
            </w:tcMar>
            <w:vAlign w:val="bottom"/>
          </w:tcPr>
          <w:p w14:paraId="74DDF41D" w14:textId="77777777" w:rsidR="00584EC1" w:rsidRDefault="00871F8D">
            <w:pPr>
              <w:textAlignment w:val="bottom"/>
            </w:pPr>
            <w:r>
              <w:rPr>
                <w:rFonts w:ascii="Arial" w:eastAsia="宋体" w:hAnsi="Arial" w:cs="Arial"/>
                <w:color w:val="000000"/>
                <w:sz w:val="16"/>
                <w:szCs w:val="16"/>
              </w:rPr>
              <w:t>Foreign exchange trading services revenue</w:t>
            </w:r>
          </w:p>
        </w:tc>
        <w:tc>
          <w:tcPr>
            <w:tcW w:w="0" w:type="auto"/>
            <w:shd w:val="clear" w:color="auto" w:fill="CCEEFF"/>
            <w:tcMar>
              <w:top w:w="40" w:type="dxa"/>
              <w:left w:w="20" w:type="dxa"/>
              <w:bottom w:w="40" w:type="dxa"/>
              <w:right w:w="0" w:type="dxa"/>
            </w:tcMar>
            <w:vAlign w:val="bottom"/>
          </w:tcPr>
          <w:p w14:paraId="74DDF41E" w14:textId="77777777" w:rsidR="00584EC1" w:rsidRDefault="00871F8D">
            <w:pPr>
              <w:textAlignment w:val="bottom"/>
            </w:pPr>
            <w:r>
              <w:rPr>
                <w:rFonts w:ascii="Arial" w:eastAsia="宋体" w:hAnsi="Arial" w:cs="Arial"/>
                <w:b/>
                <w:bCs/>
                <w:color w:val="000000"/>
                <w:sz w:val="16"/>
                <w:szCs w:val="16"/>
              </w:rPr>
              <w:t>$</w:t>
            </w:r>
          </w:p>
        </w:tc>
        <w:tc>
          <w:tcPr>
            <w:tcW w:w="0" w:type="auto"/>
            <w:shd w:val="clear" w:color="auto" w:fill="CCEEFF"/>
            <w:tcMar>
              <w:top w:w="40" w:type="dxa"/>
              <w:left w:w="0" w:type="dxa"/>
              <w:bottom w:w="40" w:type="dxa"/>
              <w:right w:w="0" w:type="dxa"/>
            </w:tcMar>
            <w:vAlign w:val="bottom"/>
          </w:tcPr>
          <w:p w14:paraId="74DDF41F" w14:textId="77777777" w:rsidR="00584EC1" w:rsidRDefault="00871F8D">
            <w:pPr>
              <w:jc w:val="right"/>
              <w:textAlignment w:val="bottom"/>
            </w:pPr>
            <w:r>
              <w:rPr>
                <w:rFonts w:ascii="Arial" w:eastAsia="宋体" w:hAnsi="Arial" w:cs="Arial"/>
                <w:b/>
                <w:bCs/>
                <w:color w:val="000000"/>
                <w:sz w:val="16"/>
                <w:szCs w:val="16"/>
              </w:rPr>
              <w:t>186</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74DDF42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421"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F422" w14:textId="77777777" w:rsidR="00584EC1" w:rsidRDefault="00871F8D">
            <w:pPr>
              <w:textAlignment w:val="bottom"/>
            </w:pPr>
            <w:r>
              <w:rPr>
                <w:rFonts w:ascii="Arial" w:eastAsia="宋体" w:hAnsi="Arial" w:cs="Arial"/>
                <w:color w:val="000000"/>
                <w:sz w:val="16"/>
                <w:szCs w:val="16"/>
              </w:rPr>
              <w:t>$</w:t>
            </w:r>
          </w:p>
        </w:tc>
        <w:tc>
          <w:tcPr>
            <w:tcW w:w="0" w:type="auto"/>
            <w:shd w:val="clear" w:color="auto" w:fill="CCEEFF"/>
            <w:tcMar>
              <w:top w:w="40" w:type="dxa"/>
              <w:left w:w="0" w:type="dxa"/>
              <w:bottom w:w="40" w:type="dxa"/>
              <w:right w:w="0" w:type="dxa"/>
            </w:tcMar>
            <w:vAlign w:val="bottom"/>
          </w:tcPr>
          <w:p w14:paraId="74DDF423" w14:textId="77777777" w:rsidR="00584EC1" w:rsidRDefault="00871F8D">
            <w:pPr>
              <w:jc w:val="right"/>
              <w:textAlignment w:val="bottom"/>
            </w:pPr>
            <w:r>
              <w:rPr>
                <w:rFonts w:ascii="Arial" w:eastAsia="宋体" w:hAnsi="Arial" w:cs="Arial"/>
                <w:color w:val="000000"/>
                <w:sz w:val="16"/>
                <w:szCs w:val="16"/>
              </w:rPr>
              <w:t>164 </w:t>
            </w:r>
          </w:p>
        </w:tc>
        <w:tc>
          <w:tcPr>
            <w:tcW w:w="0" w:type="auto"/>
            <w:shd w:val="clear" w:color="auto" w:fill="CCEEFF"/>
            <w:tcMar>
              <w:top w:w="40" w:type="dxa"/>
              <w:left w:w="0" w:type="dxa"/>
              <w:bottom w:w="40" w:type="dxa"/>
              <w:right w:w="20" w:type="dxa"/>
            </w:tcMar>
            <w:vAlign w:val="bottom"/>
          </w:tcPr>
          <w:p w14:paraId="74DDF42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425"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F426" w14:textId="77777777" w:rsidR="00584EC1" w:rsidRDefault="00871F8D">
            <w:pPr>
              <w:textAlignment w:val="bottom"/>
            </w:pPr>
            <w:r>
              <w:rPr>
                <w:rFonts w:ascii="Arial" w:eastAsia="宋体" w:hAnsi="Arial" w:cs="Arial"/>
                <w:b/>
                <w:bCs/>
                <w:color w:val="000000"/>
                <w:sz w:val="16"/>
                <w:szCs w:val="16"/>
              </w:rPr>
              <w:t>$</w:t>
            </w:r>
          </w:p>
        </w:tc>
        <w:tc>
          <w:tcPr>
            <w:tcW w:w="0" w:type="auto"/>
            <w:shd w:val="clear" w:color="auto" w:fill="CCEEFF"/>
            <w:tcMar>
              <w:top w:w="40" w:type="dxa"/>
              <w:left w:w="0" w:type="dxa"/>
              <w:bottom w:w="40" w:type="dxa"/>
              <w:right w:w="0" w:type="dxa"/>
            </w:tcMar>
            <w:vAlign w:val="bottom"/>
          </w:tcPr>
          <w:p w14:paraId="74DDF427" w14:textId="77777777" w:rsidR="00584EC1" w:rsidRDefault="00871F8D">
            <w:pPr>
              <w:jc w:val="right"/>
              <w:textAlignment w:val="bottom"/>
            </w:pPr>
            <w:r>
              <w:rPr>
                <w:rFonts w:ascii="Arial" w:eastAsia="宋体" w:hAnsi="Arial" w:cs="Arial"/>
                <w:b/>
                <w:bCs/>
                <w:color w:val="000000"/>
                <w:sz w:val="16"/>
                <w:szCs w:val="16"/>
              </w:rPr>
              <w:t>617</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74DDF42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429"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F42A" w14:textId="77777777" w:rsidR="00584EC1" w:rsidRDefault="00871F8D">
            <w:pPr>
              <w:textAlignment w:val="bottom"/>
            </w:pPr>
            <w:r>
              <w:rPr>
                <w:rFonts w:ascii="Arial" w:eastAsia="宋体" w:hAnsi="Arial" w:cs="Arial"/>
                <w:color w:val="000000"/>
                <w:sz w:val="16"/>
                <w:szCs w:val="16"/>
              </w:rPr>
              <w:t>$</w:t>
            </w:r>
          </w:p>
        </w:tc>
        <w:tc>
          <w:tcPr>
            <w:tcW w:w="0" w:type="auto"/>
            <w:shd w:val="clear" w:color="auto" w:fill="CCEEFF"/>
            <w:tcMar>
              <w:top w:w="40" w:type="dxa"/>
              <w:left w:w="0" w:type="dxa"/>
              <w:bottom w:w="40" w:type="dxa"/>
              <w:right w:w="0" w:type="dxa"/>
            </w:tcMar>
            <w:vAlign w:val="bottom"/>
          </w:tcPr>
          <w:p w14:paraId="74DDF42B" w14:textId="77777777" w:rsidR="00584EC1" w:rsidRDefault="00871F8D">
            <w:pPr>
              <w:jc w:val="right"/>
              <w:textAlignment w:val="bottom"/>
            </w:pPr>
            <w:r>
              <w:rPr>
                <w:rFonts w:ascii="Arial" w:eastAsia="宋体" w:hAnsi="Arial" w:cs="Arial"/>
                <w:color w:val="000000"/>
                <w:sz w:val="16"/>
                <w:szCs w:val="16"/>
              </w:rPr>
              <w:t>712 </w:t>
            </w:r>
          </w:p>
        </w:tc>
        <w:tc>
          <w:tcPr>
            <w:tcW w:w="0" w:type="auto"/>
            <w:shd w:val="clear" w:color="auto" w:fill="CCEEFF"/>
            <w:tcMar>
              <w:top w:w="40" w:type="dxa"/>
              <w:left w:w="0" w:type="dxa"/>
              <w:bottom w:w="40" w:type="dxa"/>
              <w:right w:w="20" w:type="dxa"/>
            </w:tcMar>
            <w:vAlign w:val="bottom"/>
          </w:tcPr>
          <w:p w14:paraId="74DDF42C" w14:textId="77777777" w:rsidR="00584EC1" w:rsidRDefault="00584EC1">
            <w:pPr>
              <w:jc w:val="right"/>
              <w:rPr>
                <w:rFonts w:ascii="宋体"/>
              </w:rPr>
            </w:pPr>
          </w:p>
        </w:tc>
        <w:tc>
          <w:tcPr>
            <w:tcW w:w="0" w:type="auto"/>
            <w:gridSpan w:val="3"/>
            <w:shd w:val="clear" w:color="auto" w:fill="auto"/>
            <w:vAlign w:val="bottom"/>
          </w:tcPr>
          <w:p w14:paraId="74DDF42D" w14:textId="77777777" w:rsidR="00584EC1" w:rsidRDefault="00584EC1">
            <w:pPr>
              <w:rPr>
                <w:rFonts w:ascii="宋体"/>
                <w:vanish/>
              </w:rPr>
            </w:pPr>
          </w:p>
        </w:tc>
      </w:tr>
      <w:tr w:rsidR="00584EC1" w14:paraId="74DDF439" w14:textId="77777777">
        <w:trPr>
          <w:hidden/>
        </w:trPr>
        <w:tc>
          <w:tcPr>
            <w:tcW w:w="0" w:type="auto"/>
            <w:gridSpan w:val="3"/>
            <w:shd w:val="clear" w:color="auto" w:fill="auto"/>
            <w:vAlign w:val="bottom"/>
          </w:tcPr>
          <w:p w14:paraId="74DDF42F" w14:textId="77777777" w:rsidR="00584EC1" w:rsidRDefault="00584EC1">
            <w:pPr>
              <w:rPr>
                <w:rFonts w:ascii="宋体"/>
                <w:vanish/>
              </w:rPr>
            </w:pPr>
          </w:p>
        </w:tc>
        <w:tc>
          <w:tcPr>
            <w:tcW w:w="0" w:type="auto"/>
            <w:gridSpan w:val="3"/>
            <w:shd w:val="clear" w:color="auto" w:fill="auto"/>
            <w:vAlign w:val="bottom"/>
          </w:tcPr>
          <w:p w14:paraId="74DDF430" w14:textId="77777777" w:rsidR="00584EC1" w:rsidRDefault="00584EC1">
            <w:pPr>
              <w:rPr>
                <w:rFonts w:ascii="宋体"/>
                <w:vanish/>
              </w:rPr>
            </w:pPr>
          </w:p>
        </w:tc>
        <w:tc>
          <w:tcPr>
            <w:tcW w:w="0" w:type="auto"/>
            <w:gridSpan w:val="3"/>
            <w:shd w:val="clear" w:color="auto" w:fill="auto"/>
            <w:vAlign w:val="bottom"/>
          </w:tcPr>
          <w:p w14:paraId="74DDF431" w14:textId="77777777" w:rsidR="00584EC1" w:rsidRDefault="00584EC1">
            <w:pPr>
              <w:rPr>
                <w:rFonts w:ascii="宋体"/>
                <w:vanish/>
              </w:rPr>
            </w:pPr>
          </w:p>
        </w:tc>
        <w:tc>
          <w:tcPr>
            <w:tcW w:w="0" w:type="auto"/>
            <w:gridSpan w:val="3"/>
            <w:shd w:val="clear" w:color="auto" w:fill="auto"/>
            <w:vAlign w:val="bottom"/>
          </w:tcPr>
          <w:p w14:paraId="74DDF432" w14:textId="77777777" w:rsidR="00584EC1" w:rsidRDefault="00584EC1">
            <w:pPr>
              <w:rPr>
                <w:rFonts w:ascii="宋体"/>
                <w:vanish/>
              </w:rPr>
            </w:pPr>
          </w:p>
        </w:tc>
        <w:tc>
          <w:tcPr>
            <w:tcW w:w="0" w:type="auto"/>
            <w:gridSpan w:val="3"/>
            <w:shd w:val="clear" w:color="auto" w:fill="auto"/>
            <w:vAlign w:val="bottom"/>
          </w:tcPr>
          <w:p w14:paraId="74DDF433" w14:textId="77777777" w:rsidR="00584EC1" w:rsidRDefault="00584EC1">
            <w:pPr>
              <w:rPr>
                <w:rFonts w:ascii="宋体"/>
                <w:vanish/>
              </w:rPr>
            </w:pPr>
          </w:p>
        </w:tc>
        <w:tc>
          <w:tcPr>
            <w:tcW w:w="0" w:type="auto"/>
            <w:gridSpan w:val="3"/>
            <w:shd w:val="clear" w:color="auto" w:fill="auto"/>
            <w:vAlign w:val="bottom"/>
          </w:tcPr>
          <w:p w14:paraId="74DDF434" w14:textId="77777777" w:rsidR="00584EC1" w:rsidRDefault="00584EC1">
            <w:pPr>
              <w:rPr>
                <w:rFonts w:ascii="宋体"/>
                <w:vanish/>
              </w:rPr>
            </w:pPr>
          </w:p>
        </w:tc>
        <w:tc>
          <w:tcPr>
            <w:tcW w:w="0" w:type="auto"/>
            <w:gridSpan w:val="3"/>
            <w:shd w:val="clear" w:color="auto" w:fill="auto"/>
            <w:vAlign w:val="bottom"/>
          </w:tcPr>
          <w:p w14:paraId="74DDF435" w14:textId="77777777" w:rsidR="00584EC1" w:rsidRDefault="00584EC1">
            <w:pPr>
              <w:rPr>
                <w:rFonts w:ascii="宋体"/>
                <w:vanish/>
              </w:rPr>
            </w:pPr>
          </w:p>
        </w:tc>
        <w:tc>
          <w:tcPr>
            <w:tcW w:w="0" w:type="auto"/>
            <w:gridSpan w:val="3"/>
            <w:shd w:val="clear" w:color="auto" w:fill="auto"/>
            <w:vAlign w:val="bottom"/>
          </w:tcPr>
          <w:p w14:paraId="74DDF436" w14:textId="77777777" w:rsidR="00584EC1" w:rsidRDefault="00584EC1">
            <w:pPr>
              <w:rPr>
                <w:rFonts w:ascii="宋体"/>
                <w:vanish/>
              </w:rPr>
            </w:pPr>
          </w:p>
        </w:tc>
        <w:tc>
          <w:tcPr>
            <w:tcW w:w="0" w:type="auto"/>
            <w:gridSpan w:val="3"/>
            <w:shd w:val="clear" w:color="auto" w:fill="auto"/>
            <w:vAlign w:val="bottom"/>
          </w:tcPr>
          <w:p w14:paraId="74DDF437" w14:textId="77777777" w:rsidR="00584EC1" w:rsidRDefault="00584EC1">
            <w:pPr>
              <w:rPr>
                <w:rFonts w:ascii="宋体"/>
                <w:vanish/>
              </w:rPr>
            </w:pPr>
          </w:p>
        </w:tc>
        <w:tc>
          <w:tcPr>
            <w:tcW w:w="0" w:type="auto"/>
            <w:gridSpan w:val="3"/>
            <w:shd w:val="clear" w:color="auto" w:fill="auto"/>
            <w:vAlign w:val="bottom"/>
          </w:tcPr>
          <w:p w14:paraId="74DDF438" w14:textId="77777777" w:rsidR="00584EC1" w:rsidRDefault="00584EC1">
            <w:pPr>
              <w:rPr>
                <w:rFonts w:ascii="宋体"/>
                <w:vanish/>
              </w:rPr>
            </w:pPr>
          </w:p>
        </w:tc>
      </w:tr>
      <w:tr w:rsidR="00584EC1" w14:paraId="74DDF448" w14:textId="77777777">
        <w:tc>
          <w:tcPr>
            <w:tcW w:w="0" w:type="auto"/>
            <w:gridSpan w:val="3"/>
            <w:shd w:val="clear" w:color="auto" w:fill="FFFFFF"/>
            <w:tcMar>
              <w:top w:w="40" w:type="dxa"/>
              <w:left w:w="20" w:type="dxa"/>
              <w:bottom w:w="40" w:type="dxa"/>
              <w:right w:w="20" w:type="dxa"/>
            </w:tcMar>
            <w:vAlign w:val="bottom"/>
          </w:tcPr>
          <w:p w14:paraId="74DDF43A" w14:textId="77777777" w:rsidR="00584EC1" w:rsidRDefault="00871F8D">
            <w:pPr>
              <w:textAlignment w:val="bottom"/>
            </w:pPr>
            <w:r>
              <w:rPr>
                <w:rFonts w:ascii="Arial" w:eastAsia="宋体" w:hAnsi="Arial" w:cs="Arial"/>
                <w:color w:val="000000"/>
                <w:sz w:val="16"/>
                <w:szCs w:val="16"/>
              </w:rPr>
              <w:t>Foreign exchange contracts</w:t>
            </w:r>
          </w:p>
        </w:tc>
        <w:tc>
          <w:tcPr>
            <w:tcW w:w="0" w:type="auto"/>
            <w:gridSpan w:val="3"/>
            <w:shd w:val="clear" w:color="auto" w:fill="FFFFFF"/>
            <w:tcMar>
              <w:top w:w="40" w:type="dxa"/>
              <w:left w:w="20" w:type="dxa"/>
              <w:bottom w:w="40" w:type="dxa"/>
              <w:right w:w="20" w:type="dxa"/>
            </w:tcMar>
            <w:vAlign w:val="bottom"/>
          </w:tcPr>
          <w:p w14:paraId="74DDF43B" w14:textId="77777777" w:rsidR="00584EC1" w:rsidRDefault="00871F8D">
            <w:pPr>
              <w:textAlignment w:val="bottom"/>
            </w:pPr>
            <w:r>
              <w:rPr>
                <w:rFonts w:ascii="Arial" w:eastAsia="宋体" w:hAnsi="Arial" w:cs="Arial"/>
                <w:color w:val="000000"/>
                <w:sz w:val="16"/>
                <w:szCs w:val="16"/>
              </w:rPr>
              <w:t>Interest expense</w:t>
            </w:r>
          </w:p>
        </w:tc>
        <w:tc>
          <w:tcPr>
            <w:tcW w:w="0" w:type="auto"/>
            <w:gridSpan w:val="2"/>
            <w:shd w:val="clear" w:color="auto" w:fill="FFFFFF"/>
            <w:tcMar>
              <w:top w:w="40" w:type="dxa"/>
              <w:left w:w="20" w:type="dxa"/>
              <w:bottom w:w="40" w:type="dxa"/>
              <w:right w:w="0" w:type="dxa"/>
            </w:tcMar>
            <w:vAlign w:val="bottom"/>
          </w:tcPr>
          <w:p w14:paraId="74DDF43C" w14:textId="77777777" w:rsidR="00584EC1" w:rsidRDefault="00871F8D">
            <w:pPr>
              <w:jc w:val="right"/>
              <w:textAlignment w:val="bottom"/>
            </w:pPr>
            <w:r>
              <w:rPr>
                <w:rFonts w:ascii="Arial" w:eastAsia="宋体" w:hAnsi="Arial" w:cs="Arial"/>
                <w:b/>
                <w:bCs/>
                <w:color w:val="000000"/>
                <w:sz w:val="16"/>
                <w:szCs w:val="16"/>
              </w:rPr>
              <w:t>16</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74DDF43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43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43F" w14:textId="77777777" w:rsidR="00584EC1" w:rsidRDefault="00871F8D">
            <w:pPr>
              <w:jc w:val="right"/>
              <w:textAlignment w:val="bottom"/>
            </w:pPr>
            <w:r>
              <w:rPr>
                <w:rFonts w:ascii="Arial" w:eastAsia="宋体" w:hAnsi="Arial" w:cs="Arial"/>
                <w:color w:val="000000"/>
                <w:sz w:val="16"/>
                <w:szCs w:val="16"/>
              </w:rPr>
              <w:t>20 </w:t>
            </w:r>
          </w:p>
        </w:tc>
        <w:tc>
          <w:tcPr>
            <w:tcW w:w="0" w:type="auto"/>
            <w:shd w:val="clear" w:color="auto" w:fill="FFFFFF"/>
            <w:tcMar>
              <w:top w:w="40" w:type="dxa"/>
              <w:left w:w="0" w:type="dxa"/>
              <w:bottom w:w="40" w:type="dxa"/>
              <w:right w:w="20" w:type="dxa"/>
            </w:tcMar>
            <w:vAlign w:val="bottom"/>
          </w:tcPr>
          <w:p w14:paraId="74DDF44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44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442" w14:textId="77777777" w:rsidR="00584EC1" w:rsidRDefault="00871F8D">
            <w:pPr>
              <w:jc w:val="right"/>
              <w:textAlignment w:val="bottom"/>
            </w:pPr>
            <w:r>
              <w:rPr>
                <w:rFonts w:ascii="Arial" w:eastAsia="宋体" w:hAnsi="Arial" w:cs="Arial"/>
                <w:b/>
                <w:bCs/>
                <w:color w:val="000000"/>
                <w:sz w:val="16"/>
                <w:szCs w:val="16"/>
              </w:rPr>
              <w:t>53</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74DDF44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44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445" w14:textId="77777777" w:rsidR="00584EC1" w:rsidRDefault="00871F8D">
            <w:pPr>
              <w:jc w:val="right"/>
              <w:textAlignment w:val="bottom"/>
            </w:pPr>
            <w:r>
              <w:rPr>
                <w:rFonts w:ascii="Arial" w:eastAsia="宋体" w:hAnsi="Arial" w:cs="Arial"/>
                <w:color w:val="000000"/>
                <w:sz w:val="16"/>
                <w:szCs w:val="16"/>
              </w:rPr>
              <w:t>39 </w:t>
            </w:r>
          </w:p>
        </w:tc>
        <w:tc>
          <w:tcPr>
            <w:tcW w:w="0" w:type="auto"/>
            <w:shd w:val="clear" w:color="auto" w:fill="FFFFFF"/>
            <w:tcMar>
              <w:top w:w="40" w:type="dxa"/>
              <w:left w:w="0" w:type="dxa"/>
              <w:bottom w:w="40" w:type="dxa"/>
              <w:right w:w="20" w:type="dxa"/>
            </w:tcMar>
            <w:vAlign w:val="bottom"/>
          </w:tcPr>
          <w:p w14:paraId="74DDF446" w14:textId="77777777" w:rsidR="00584EC1" w:rsidRDefault="00584EC1">
            <w:pPr>
              <w:jc w:val="right"/>
              <w:rPr>
                <w:rFonts w:ascii="宋体"/>
              </w:rPr>
            </w:pPr>
          </w:p>
        </w:tc>
        <w:tc>
          <w:tcPr>
            <w:tcW w:w="0" w:type="auto"/>
            <w:gridSpan w:val="3"/>
            <w:shd w:val="clear" w:color="auto" w:fill="auto"/>
            <w:vAlign w:val="bottom"/>
          </w:tcPr>
          <w:p w14:paraId="74DDF447" w14:textId="77777777" w:rsidR="00584EC1" w:rsidRDefault="00584EC1">
            <w:pPr>
              <w:rPr>
                <w:rFonts w:ascii="宋体"/>
                <w:vanish/>
              </w:rPr>
            </w:pPr>
          </w:p>
        </w:tc>
      </w:tr>
      <w:tr w:rsidR="00584EC1" w14:paraId="74DDF457" w14:textId="77777777">
        <w:tc>
          <w:tcPr>
            <w:tcW w:w="0" w:type="auto"/>
            <w:gridSpan w:val="3"/>
            <w:shd w:val="clear" w:color="auto" w:fill="CCEEFF"/>
            <w:tcMar>
              <w:top w:w="40" w:type="dxa"/>
              <w:left w:w="20" w:type="dxa"/>
              <w:bottom w:w="40" w:type="dxa"/>
              <w:right w:w="20" w:type="dxa"/>
            </w:tcMar>
            <w:vAlign w:val="bottom"/>
          </w:tcPr>
          <w:p w14:paraId="74DDF449" w14:textId="77777777" w:rsidR="00584EC1" w:rsidRDefault="00871F8D">
            <w:pPr>
              <w:textAlignment w:val="bottom"/>
            </w:pPr>
            <w:r>
              <w:rPr>
                <w:rFonts w:ascii="Arial" w:eastAsia="宋体" w:hAnsi="Arial" w:cs="Arial"/>
                <w:color w:val="000000"/>
                <w:sz w:val="16"/>
                <w:szCs w:val="16"/>
              </w:rPr>
              <w:t>Interest rate contracts</w:t>
            </w:r>
          </w:p>
        </w:tc>
        <w:tc>
          <w:tcPr>
            <w:tcW w:w="0" w:type="auto"/>
            <w:gridSpan w:val="3"/>
            <w:shd w:val="clear" w:color="auto" w:fill="CCEEFF"/>
            <w:tcMar>
              <w:top w:w="40" w:type="dxa"/>
              <w:left w:w="20" w:type="dxa"/>
              <w:bottom w:w="40" w:type="dxa"/>
              <w:right w:w="20" w:type="dxa"/>
            </w:tcMar>
            <w:vAlign w:val="bottom"/>
          </w:tcPr>
          <w:p w14:paraId="74DDF44A" w14:textId="77777777" w:rsidR="00584EC1" w:rsidRDefault="00871F8D">
            <w:pPr>
              <w:textAlignment w:val="bottom"/>
            </w:pPr>
            <w:r>
              <w:rPr>
                <w:rFonts w:ascii="Arial" w:eastAsia="宋体" w:hAnsi="Arial" w:cs="Arial"/>
                <w:color w:val="000000"/>
                <w:sz w:val="16"/>
                <w:szCs w:val="16"/>
              </w:rPr>
              <w:t>Foreign exchange trading services revenue</w:t>
            </w:r>
          </w:p>
        </w:tc>
        <w:tc>
          <w:tcPr>
            <w:tcW w:w="0" w:type="auto"/>
            <w:gridSpan w:val="2"/>
            <w:shd w:val="clear" w:color="auto" w:fill="CCEEFF"/>
            <w:tcMar>
              <w:top w:w="40" w:type="dxa"/>
              <w:left w:w="20" w:type="dxa"/>
              <w:bottom w:w="40" w:type="dxa"/>
              <w:right w:w="0" w:type="dxa"/>
            </w:tcMar>
            <w:vAlign w:val="bottom"/>
          </w:tcPr>
          <w:p w14:paraId="74DDF44B" w14:textId="77777777" w:rsidR="00584EC1" w:rsidRDefault="00871F8D">
            <w:pPr>
              <w:jc w:val="right"/>
              <w:textAlignment w:val="bottom"/>
            </w:pPr>
            <w:r>
              <w:rPr>
                <w:rFonts w:ascii="Arial" w:eastAsia="宋体" w:hAnsi="Arial" w:cs="Arial"/>
                <w:b/>
                <w:bCs/>
                <w:color w:val="000000"/>
                <w:sz w:val="16"/>
                <w:szCs w:val="16"/>
              </w:rPr>
              <w:t>—</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74DDF44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44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F44E" w14:textId="77777777" w:rsidR="00584EC1" w:rsidRDefault="00871F8D">
            <w:pPr>
              <w:jc w:val="right"/>
              <w:textAlignment w:val="bottom"/>
            </w:pP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74DDF44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45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F451" w14:textId="77777777" w:rsidR="00584EC1" w:rsidRDefault="00871F8D">
            <w:pPr>
              <w:jc w:val="right"/>
              <w:textAlignment w:val="bottom"/>
            </w:pPr>
            <w:r>
              <w:rPr>
                <w:rFonts w:ascii="Arial" w:eastAsia="宋体" w:hAnsi="Arial" w:cs="Arial"/>
                <w:b/>
                <w:bCs/>
                <w:color w:val="000000"/>
                <w:sz w:val="16"/>
                <w:szCs w:val="16"/>
              </w:rPr>
              <w:t>1</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74DDF45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453"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F454" w14:textId="77777777" w:rsidR="00584EC1" w:rsidRDefault="00871F8D">
            <w:pPr>
              <w:jc w:val="right"/>
              <w:textAlignment w:val="bottom"/>
            </w:pPr>
            <w:r>
              <w:rPr>
                <w:rFonts w:ascii="Arial" w:eastAsia="宋体" w:hAnsi="Arial" w:cs="Arial"/>
                <w:color w:val="000000"/>
                <w:sz w:val="16"/>
                <w:szCs w:val="16"/>
              </w:rPr>
              <w:t>3 </w:t>
            </w:r>
          </w:p>
        </w:tc>
        <w:tc>
          <w:tcPr>
            <w:tcW w:w="0" w:type="auto"/>
            <w:shd w:val="clear" w:color="auto" w:fill="CCEEFF"/>
            <w:tcMar>
              <w:top w:w="40" w:type="dxa"/>
              <w:left w:w="0" w:type="dxa"/>
              <w:bottom w:w="40" w:type="dxa"/>
              <w:right w:w="20" w:type="dxa"/>
            </w:tcMar>
            <w:vAlign w:val="bottom"/>
          </w:tcPr>
          <w:p w14:paraId="74DDF455" w14:textId="77777777" w:rsidR="00584EC1" w:rsidRDefault="00584EC1">
            <w:pPr>
              <w:jc w:val="right"/>
              <w:rPr>
                <w:rFonts w:ascii="宋体"/>
              </w:rPr>
            </w:pPr>
          </w:p>
        </w:tc>
        <w:tc>
          <w:tcPr>
            <w:tcW w:w="0" w:type="auto"/>
            <w:gridSpan w:val="3"/>
            <w:shd w:val="clear" w:color="auto" w:fill="auto"/>
            <w:vAlign w:val="bottom"/>
          </w:tcPr>
          <w:p w14:paraId="74DDF456" w14:textId="77777777" w:rsidR="00584EC1" w:rsidRDefault="00584EC1">
            <w:pPr>
              <w:rPr>
                <w:rFonts w:ascii="宋体"/>
                <w:vanish/>
              </w:rPr>
            </w:pPr>
          </w:p>
        </w:tc>
      </w:tr>
      <w:tr w:rsidR="00584EC1" w14:paraId="74DDF462" w14:textId="77777777">
        <w:trPr>
          <w:hidden/>
        </w:trPr>
        <w:tc>
          <w:tcPr>
            <w:tcW w:w="0" w:type="auto"/>
            <w:gridSpan w:val="3"/>
            <w:shd w:val="clear" w:color="auto" w:fill="auto"/>
            <w:vAlign w:val="bottom"/>
          </w:tcPr>
          <w:p w14:paraId="74DDF458" w14:textId="77777777" w:rsidR="00584EC1" w:rsidRDefault="00584EC1">
            <w:pPr>
              <w:rPr>
                <w:rFonts w:ascii="宋体"/>
                <w:vanish/>
              </w:rPr>
            </w:pPr>
          </w:p>
        </w:tc>
        <w:tc>
          <w:tcPr>
            <w:tcW w:w="0" w:type="auto"/>
            <w:gridSpan w:val="3"/>
            <w:shd w:val="clear" w:color="auto" w:fill="auto"/>
            <w:vAlign w:val="bottom"/>
          </w:tcPr>
          <w:p w14:paraId="74DDF459" w14:textId="77777777" w:rsidR="00584EC1" w:rsidRDefault="00584EC1">
            <w:pPr>
              <w:rPr>
                <w:rFonts w:ascii="宋体"/>
                <w:vanish/>
              </w:rPr>
            </w:pPr>
          </w:p>
        </w:tc>
        <w:tc>
          <w:tcPr>
            <w:tcW w:w="0" w:type="auto"/>
            <w:gridSpan w:val="3"/>
            <w:shd w:val="clear" w:color="auto" w:fill="auto"/>
            <w:vAlign w:val="bottom"/>
          </w:tcPr>
          <w:p w14:paraId="74DDF45A" w14:textId="77777777" w:rsidR="00584EC1" w:rsidRDefault="00584EC1">
            <w:pPr>
              <w:rPr>
                <w:rFonts w:ascii="宋体"/>
                <w:vanish/>
              </w:rPr>
            </w:pPr>
          </w:p>
        </w:tc>
        <w:tc>
          <w:tcPr>
            <w:tcW w:w="0" w:type="auto"/>
            <w:gridSpan w:val="3"/>
            <w:shd w:val="clear" w:color="auto" w:fill="auto"/>
            <w:vAlign w:val="bottom"/>
          </w:tcPr>
          <w:p w14:paraId="74DDF45B" w14:textId="77777777" w:rsidR="00584EC1" w:rsidRDefault="00584EC1">
            <w:pPr>
              <w:rPr>
                <w:rFonts w:ascii="宋体"/>
                <w:vanish/>
              </w:rPr>
            </w:pPr>
          </w:p>
        </w:tc>
        <w:tc>
          <w:tcPr>
            <w:tcW w:w="0" w:type="auto"/>
            <w:gridSpan w:val="3"/>
            <w:shd w:val="clear" w:color="auto" w:fill="auto"/>
            <w:vAlign w:val="bottom"/>
          </w:tcPr>
          <w:p w14:paraId="74DDF45C" w14:textId="77777777" w:rsidR="00584EC1" w:rsidRDefault="00584EC1">
            <w:pPr>
              <w:rPr>
                <w:rFonts w:ascii="宋体"/>
                <w:vanish/>
              </w:rPr>
            </w:pPr>
          </w:p>
        </w:tc>
        <w:tc>
          <w:tcPr>
            <w:tcW w:w="0" w:type="auto"/>
            <w:gridSpan w:val="3"/>
            <w:shd w:val="clear" w:color="auto" w:fill="auto"/>
            <w:vAlign w:val="bottom"/>
          </w:tcPr>
          <w:p w14:paraId="74DDF45D" w14:textId="77777777" w:rsidR="00584EC1" w:rsidRDefault="00584EC1">
            <w:pPr>
              <w:rPr>
                <w:rFonts w:ascii="宋体"/>
                <w:vanish/>
              </w:rPr>
            </w:pPr>
          </w:p>
        </w:tc>
        <w:tc>
          <w:tcPr>
            <w:tcW w:w="0" w:type="auto"/>
            <w:gridSpan w:val="3"/>
            <w:shd w:val="clear" w:color="auto" w:fill="auto"/>
            <w:vAlign w:val="bottom"/>
          </w:tcPr>
          <w:p w14:paraId="74DDF45E" w14:textId="77777777" w:rsidR="00584EC1" w:rsidRDefault="00584EC1">
            <w:pPr>
              <w:rPr>
                <w:rFonts w:ascii="宋体"/>
                <w:vanish/>
              </w:rPr>
            </w:pPr>
          </w:p>
        </w:tc>
        <w:tc>
          <w:tcPr>
            <w:tcW w:w="0" w:type="auto"/>
            <w:gridSpan w:val="3"/>
            <w:shd w:val="clear" w:color="auto" w:fill="auto"/>
            <w:vAlign w:val="bottom"/>
          </w:tcPr>
          <w:p w14:paraId="74DDF45F" w14:textId="77777777" w:rsidR="00584EC1" w:rsidRDefault="00584EC1">
            <w:pPr>
              <w:rPr>
                <w:rFonts w:ascii="宋体"/>
                <w:vanish/>
              </w:rPr>
            </w:pPr>
          </w:p>
        </w:tc>
        <w:tc>
          <w:tcPr>
            <w:tcW w:w="0" w:type="auto"/>
            <w:gridSpan w:val="3"/>
            <w:shd w:val="clear" w:color="auto" w:fill="auto"/>
            <w:vAlign w:val="bottom"/>
          </w:tcPr>
          <w:p w14:paraId="74DDF460" w14:textId="77777777" w:rsidR="00584EC1" w:rsidRDefault="00584EC1">
            <w:pPr>
              <w:rPr>
                <w:rFonts w:ascii="宋体"/>
                <w:vanish/>
              </w:rPr>
            </w:pPr>
          </w:p>
        </w:tc>
        <w:tc>
          <w:tcPr>
            <w:tcW w:w="0" w:type="auto"/>
            <w:gridSpan w:val="3"/>
            <w:shd w:val="clear" w:color="auto" w:fill="auto"/>
            <w:vAlign w:val="bottom"/>
          </w:tcPr>
          <w:p w14:paraId="74DDF461" w14:textId="77777777" w:rsidR="00584EC1" w:rsidRDefault="00584EC1">
            <w:pPr>
              <w:rPr>
                <w:rFonts w:ascii="宋体"/>
                <w:vanish/>
              </w:rPr>
            </w:pPr>
          </w:p>
        </w:tc>
      </w:tr>
      <w:tr w:rsidR="00584EC1" w14:paraId="74DDF46D" w14:textId="77777777">
        <w:trPr>
          <w:hidden/>
        </w:trPr>
        <w:tc>
          <w:tcPr>
            <w:tcW w:w="0" w:type="auto"/>
            <w:gridSpan w:val="3"/>
            <w:shd w:val="clear" w:color="auto" w:fill="auto"/>
            <w:vAlign w:val="bottom"/>
          </w:tcPr>
          <w:p w14:paraId="74DDF463" w14:textId="77777777" w:rsidR="00584EC1" w:rsidRDefault="00584EC1">
            <w:pPr>
              <w:rPr>
                <w:rFonts w:ascii="宋体"/>
                <w:vanish/>
              </w:rPr>
            </w:pPr>
          </w:p>
        </w:tc>
        <w:tc>
          <w:tcPr>
            <w:tcW w:w="0" w:type="auto"/>
            <w:gridSpan w:val="3"/>
            <w:shd w:val="clear" w:color="auto" w:fill="auto"/>
            <w:vAlign w:val="bottom"/>
          </w:tcPr>
          <w:p w14:paraId="74DDF464" w14:textId="77777777" w:rsidR="00584EC1" w:rsidRDefault="00584EC1">
            <w:pPr>
              <w:rPr>
                <w:rFonts w:ascii="宋体"/>
                <w:vanish/>
              </w:rPr>
            </w:pPr>
          </w:p>
        </w:tc>
        <w:tc>
          <w:tcPr>
            <w:tcW w:w="0" w:type="auto"/>
            <w:gridSpan w:val="3"/>
            <w:shd w:val="clear" w:color="auto" w:fill="auto"/>
            <w:vAlign w:val="bottom"/>
          </w:tcPr>
          <w:p w14:paraId="74DDF465" w14:textId="77777777" w:rsidR="00584EC1" w:rsidRDefault="00584EC1">
            <w:pPr>
              <w:rPr>
                <w:rFonts w:ascii="宋体"/>
                <w:vanish/>
              </w:rPr>
            </w:pPr>
          </w:p>
        </w:tc>
        <w:tc>
          <w:tcPr>
            <w:tcW w:w="0" w:type="auto"/>
            <w:gridSpan w:val="3"/>
            <w:shd w:val="clear" w:color="auto" w:fill="auto"/>
            <w:vAlign w:val="bottom"/>
          </w:tcPr>
          <w:p w14:paraId="74DDF466" w14:textId="77777777" w:rsidR="00584EC1" w:rsidRDefault="00584EC1">
            <w:pPr>
              <w:rPr>
                <w:rFonts w:ascii="宋体"/>
                <w:vanish/>
              </w:rPr>
            </w:pPr>
          </w:p>
        </w:tc>
        <w:tc>
          <w:tcPr>
            <w:tcW w:w="0" w:type="auto"/>
            <w:gridSpan w:val="3"/>
            <w:shd w:val="clear" w:color="auto" w:fill="auto"/>
            <w:vAlign w:val="bottom"/>
          </w:tcPr>
          <w:p w14:paraId="74DDF467" w14:textId="77777777" w:rsidR="00584EC1" w:rsidRDefault="00584EC1">
            <w:pPr>
              <w:rPr>
                <w:rFonts w:ascii="宋体"/>
                <w:vanish/>
              </w:rPr>
            </w:pPr>
          </w:p>
        </w:tc>
        <w:tc>
          <w:tcPr>
            <w:tcW w:w="0" w:type="auto"/>
            <w:gridSpan w:val="3"/>
            <w:shd w:val="clear" w:color="auto" w:fill="auto"/>
            <w:vAlign w:val="bottom"/>
          </w:tcPr>
          <w:p w14:paraId="74DDF468" w14:textId="77777777" w:rsidR="00584EC1" w:rsidRDefault="00584EC1">
            <w:pPr>
              <w:rPr>
                <w:rFonts w:ascii="宋体"/>
                <w:vanish/>
              </w:rPr>
            </w:pPr>
          </w:p>
        </w:tc>
        <w:tc>
          <w:tcPr>
            <w:tcW w:w="0" w:type="auto"/>
            <w:gridSpan w:val="3"/>
            <w:shd w:val="clear" w:color="auto" w:fill="auto"/>
            <w:vAlign w:val="bottom"/>
          </w:tcPr>
          <w:p w14:paraId="74DDF469" w14:textId="77777777" w:rsidR="00584EC1" w:rsidRDefault="00584EC1">
            <w:pPr>
              <w:rPr>
                <w:rFonts w:ascii="宋体"/>
                <w:vanish/>
              </w:rPr>
            </w:pPr>
          </w:p>
        </w:tc>
        <w:tc>
          <w:tcPr>
            <w:tcW w:w="0" w:type="auto"/>
            <w:gridSpan w:val="3"/>
            <w:shd w:val="clear" w:color="auto" w:fill="auto"/>
            <w:vAlign w:val="bottom"/>
          </w:tcPr>
          <w:p w14:paraId="74DDF46A" w14:textId="77777777" w:rsidR="00584EC1" w:rsidRDefault="00584EC1">
            <w:pPr>
              <w:rPr>
                <w:rFonts w:ascii="宋体"/>
                <w:vanish/>
              </w:rPr>
            </w:pPr>
          </w:p>
        </w:tc>
        <w:tc>
          <w:tcPr>
            <w:tcW w:w="0" w:type="auto"/>
            <w:gridSpan w:val="3"/>
            <w:shd w:val="clear" w:color="auto" w:fill="auto"/>
            <w:vAlign w:val="bottom"/>
          </w:tcPr>
          <w:p w14:paraId="74DDF46B" w14:textId="77777777" w:rsidR="00584EC1" w:rsidRDefault="00584EC1">
            <w:pPr>
              <w:rPr>
                <w:rFonts w:ascii="宋体"/>
                <w:vanish/>
              </w:rPr>
            </w:pPr>
          </w:p>
        </w:tc>
        <w:tc>
          <w:tcPr>
            <w:tcW w:w="0" w:type="auto"/>
            <w:gridSpan w:val="3"/>
            <w:shd w:val="clear" w:color="auto" w:fill="auto"/>
            <w:vAlign w:val="bottom"/>
          </w:tcPr>
          <w:p w14:paraId="74DDF46C" w14:textId="77777777" w:rsidR="00584EC1" w:rsidRDefault="00584EC1">
            <w:pPr>
              <w:rPr>
                <w:rFonts w:ascii="宋体"/>
                <w:vanish/>
              </w:rPr>
            </w:pPr>
          </w:p>
        </w:tc>
      </w:tr>
      <w:tr w:rsidR="00584EC1" w14:paraId="74DDF478" w14:textId="77777777">
        <w:trPr>
          <w:hidden/>
        </w:trPr>
        <w:tc>
          <w:tcPr>
            <w:tcW w:w="0" w:type="auto"/>
            <w:gridSpan w:val="3"/>
            <w:shd w:val="clear" w:color="auto" w:fill="auto"/>
            <w:vAlign w:val="bottom"/>
          </w:tcPr>
          <w:p w14:paraId="74DDF46E" w14:textId="77777777" w:rsidR="00584EC1" w:rsidRDefault="00584EC1">
            <w:pPr>
              <w:rPr>
                <w:rFonts w:ascii="宋体"/>
                <w:vanish/>
              </w:rPr>
            </w:pPr>
          </w:p>
        </w:tc>
        <w:tc>
          <w:tcPr>
            <w:tcW w:w="0" w:type="auto"/>
            <w:gridSpan w:val="3"/>
            <w:shd w:val="clear" w:color="auto" w:fill="auto"/>
            <w:vAlign w:val="bottom"/>
          </w:tcPr>
          <w:p w14:paraId="74DDF46F" w14:textId="77777777" w:rsidR="00584EC1" w:rsidRDefault="00584EC1">
            <w:pPr>
              <w:rPr>
                <w:rFonts w:ascii="宋体"/>
                <w:vanish/>
              </w:rPr>
            </w:pPr>
          </w:p>
        </w:tc>
        <w:tc>
          <w:tcPr>
            <w:tcW w:w="0" w:type="auto"/>
            <w:gridSpan w:val="3"/>
            <w:shd w:val="clear" w:color="auto" w:fill="auto"/>
            <w:vAlign w:val="bottom"/>
          </w:tcPr>
          <w:p w14:paraId="74DDF470" w14:textId="77777777" w:rsidR="00584EC1" w:rsidRDefault="00584EC1">
            <w:pPr>
              <w:rPr>
                <w:rFonts w:ascii="宋体"/>
                <w:vanish/>
              </w:rPr>
            </w:pPr>
          </w:p>
        </w:tc>
        <w:tc>
          <w:tcPr>
            <w:tcW w:w="0" w:type="auto"/>
            <w:gridSpan w:val="3"/>
            <w:shd w:val="clear" w:color="auto" w:fill="auto"/>
            <w:vAlign w:val="bottom"/>
          </w:tcPr>
          <w:p w14:paraId="74DDF471" w14:textId="77777777" w:rsidR="00584EC1" w:rsidRDefault="00584EC1">
            <w:pPr>
              <w:rPr>
                <w:rFonts w:ascii="宋体"/>
                <w:vanish/>
              </w:rPr>
            </w:pPr>
          </w:p>
        </w:tc>
        <w:tc>
          <w:tcPr>
            <w:tcW w:w="0" w:type="auto"/>
            <w:gridSpan w:val="3"/>
            <w:shd w:val="clear" w:color="auto" w:fill="auto"/>
            <w:vAlign w:val="bottom"/>
          </w:tcPr>
          <w:p w14:paraId="74DDF472" w14:textId="77777777" w:rsidR="00584EC1" w:rsidRDefault="00584EC1">
            <w:pPr>
              <w:rPr>
                <w:rFonts w:ascii="宋体"/>
                <w:vanish/>
              </w:rPr>
            </w:pPr>
          </w:p>
        </w:tc>
        <w:tc>
          <w:tcPr>
            <w:tcW w:w="0" w:type="auto"/>
            <w:gridSpan w:val="3"/>
            <w:shd w:val="clear" w:color="auto" w:fill="auto"/>
            <w:vAlign w:val="bottom"/>
          </w:tcPr>
          <w:p w14:paraId="74DDF473" w14:textId="77777777" w:rsidR="00584EC1" w:rsidRDefault="00584EC1">
            <w:pPr>
              <w:rPr>
                <w:rFonts w:ascii="宋体"/>
                <w:vanish/>
              </w:rPr>
            </w:pPr>
          </w:p>
        </w:tc>
        <w:tc>
          <w:tcPr>
            <w:tcW w:w="0" w:type="auto"/>
            <w:gridSpan w:val="3"/>
            <w:shd w:val="clear" w:color="auto" w:fill="auto"/>
            <w:vAlign w:val="bottom"/>
          </w:tcPr>
          <w:p w14:paraId="74DDF474" w14:textId="77777777" w:rsidR="00584EC1" w:rsidRDefault="00584EC1">
            <w:pPr>
              <w:rPr>
                <w:rFonts w:ascii="宋体"/>
                <w:vanish/>
              </w:rPr>
            </w:pPr>
          </w:p>
        </w:tc>
        <w:tc>
          <w:tcPr>
            <w:tcW w:w="0" w:type="auto"/>
            <w:gridSpan w:val="3"/>
            <w:shd w:val="clear" w:color="auto" w:fill="auto"/>
            <w:vAlign w:val="bottom"/>
          </w:tcPr>
          <w:p w14:paraId="74DDF475" w14:textId="77777777" w:rsidR="00584EC1" w:rsidRDefault="00584EC1">
            <w:pPr>
              <w:rPr>
                <w:rFonts w:ascii="宋体"/>
                <w:vanish/>
              </w:rPr>
            </w:pPr>
          </w:p>
        </w:tc>
        <w:tc>
          <w:tcPr>
            <w:tcW w:w="0" w:type="auto"/>
            <w:gridSpan w:val="3"/>
            <w:shd w:val="clear" w:color="auto" w:fill="auto"/>
            <w:vAlign w:val="bottom"/>
          </w:tcPr>
          <w:p w14:paraId="74DDF476" w14:textId="77777777" w:rsidR="00584EC1" w:rsidRDefault="00584EC1">
            <w:pPr>
              <w:rPr>
                <w:rFonts w:ascii="宋体"/>
                <w:vanish/>
              </w:rPr>
            </w:pPr>
          </w:p>
        </w:tc>
        <w:tc>
          <w:tcPr>
            <w:tcW w:w="0" w:type="auto"/>
            <w:gridSpan w:val="3"/>
            <w:shd w:val="clear" w:color="auto" w:fill="auto"/>
            <w:vAlign w:val="bottom"/>
          </w:tcPr>
          <w:p w14:paraId="74DDF477" w14:textId="77777777" w:rsidR="00584EC1" w:rsidRDefault="00584EC1">
            <w:pPr>
              <w:rPr>
                <w:rFonts w:ascii="宋体"/>
                <w:vanish/>
              </w:rPr>
            </w:pPr>
          </w:p>
        </w:tc>
      </w:tr>
      <w:tr w:rsidR="00584EC1" w14:paraId="74DDF483" w14:textId="77777777">
        <w:trPr>
          <w:hidden/>
        </w:trPr>
        <w:tc>
          <w:tcPr>
            <w:tcW w:w="0" w:type="auto"/>
            <w:gridSpan w:val="3"/>
            <w:shd w:val="clear" w:color="auto" w:fill="auto"/>
            <w:vAlign w:val="bottom"/>
          </w:tcPr>
          <w:p w14:paraId="74DDF479" w14:textId="77777777" w:rsidR="00584EC1" w:rsidRDefault="00584EC1">
            <w:pPr>
              <w:rPr>
                <w:rFonts w:ascii="宋体"/>
                <w:vanish/>
              </w:rPr>
            </w:pPr>
          </w:p>
        </w:tc>
        <w:tc>
          <w:tcPr>
            <w:tcW w:w="0" w:type="auto"/>
            <w:gridSpan w:val="3"/>
            <w:shd w:val="clear" w:color="auto" w:fill="auto"/>
            <w:vAlign w:val="bottom"/>
          </w:tcPr>
          <w:p w14:paraId="74DDF47A" w14:textId="77777777" w:rsidR="00584EC1" w:rsidRDefault="00584EC1">
            <w:pPr>
              <w:rPr>
                <w:rFonts w:ascii="宋体"/>
                <w:vanish/>
              </w:rPr>
            </w:pPr>
          </w:p>
        </w:tc>
        <w:tc>
          <w:tcPr>
            <w:tcW w:w="0" w:type="auto"/>
            <w:gridSpan w:val="3"/>
            <w:shd w:val="clear" w:color="auto" w:fill="auto"/>
            <w:vAlign w:val="bottom"/>
          </w:tcPr>
          <w:p w14:paraId="74DDF47B" w14:textId="77777777" w:rsidR="00584EC1" w:rsidRDefault="00584EC1">
            <w:pPr>
              <w:rPr>
                <w:rFonts w:ascii="宋体"/>
                <w:vanish/>
              </w:rPr>
            </w:pPr>
          </w:p>
        </w:tc>
        <w:tc>
          <w:tcPr>
            <w:tcW w:w="0" w:type="auto"/>
            <w:gridSpan w:val="3"/>
            <w:shd w:val="clear" w:color="auto" w:fill="auto"/>
            <w:vAlign w:val="bottom"/>
          </w:tcPr>
          <w:p w14:paraId="74DDF47C" w14:textId="77777777" w:rsidR="00584EC1" w:rsidRDefault="00584EC1">
            <w:pPr>
              <w:rPr>
                <w:rFonts w:ascii="宋体"/>
                <w:vanish/>
              </w:rPr>
            </w:pPr>
          </w:p>
        </w:tc>
        <w:tc>
          <w:tcPr>
            <w:tcW w:w="0" w:type="auto"/>
            <w:gridSpan w:val="3"/>
            <w:shd w:val="clear" w:color="auto" w:fill="auto"/>
            <w:vAlign w:val="bottom"/>
          </w:tcPr>
          <w:p w14:paraId="74DDF47D" w14:textId="77777777" w:rsidR="00584EC1" w:rsidRDefault="00584EC1">
            <w:pPr>
              <w:rPr>
                <w:rFonts w:ascii="宋体"/>
                <w:vanish/>
              </w:rPr>
            </w:pPr>
          </w:p>
        </w:tc>
        <w:tc>
          <w:tcPr>
            <w:tcW w:w="0" w:type="auto"/>
            <w:gridSpan w:val="3"/>
            <w:shd w:val="clear" w:color="auto" w:fill="auto"/>
            <w:vAlign w:val="bottom"/>
          </w:tcPr>
          <w:p w14:paraId="74DDF47E" w14:textId="77777777" w:rsidR="00584EC1" w:rsidRDefault="00584EC1">
            <w:pPr>
              <w:rPr>
                <w:rFonts w:ascii="宋体"/>
                <w:vanish/>
              </w:rPr>
            </w:pPr>
          </w:p>
        </w:tc>
        <w:tc>
          <w:tcPr>
            <w:tcW w:w="0" w:type="auto"/>
            <w:gridSpan w:val="3"/>
            <w:shd w:val="clear" w:color="auto" w:fill="auto"/>
            <w:vAlign w:val="bottom"/>
          </w:tcPr>
          <w:p w14:paraId="74DDF47F" w14:textId="77777777" w:rsidR="00584EC1" w:rsidRDefault="00584EC1">
            <w:pPr>
              <w:rPr>
                <w:rFonts w:ascii="宋体"/>
                <w:vanish/>
              </w:rPr>
            </w:pPr>
          </w:p>
        </w:tc>
        <w:tc>
          <w:tcPr>
            <w:tcW w:w="0" w:type="auto"/>
            <w:gridSpan w:val="3"/>
            <w:shd w:val="clear" w:color="auto" w:fill="auto"/>
            <w:vAlign w:val="bottom"/>
          </w:tcPr>
          <w:p w14:paraId="74DDF480" w14:textId="77777777" w:rsidR="00584EC1" w:rsidRDefault="00584EC1">
            <w:pPr>
              <w:rPr>
                <w:rFonts w:ascii="宋体"/>
                <w:vanish/>
              </w:rPr>
            </w:pPr>
          </w:p>
        </w:tc>
        <w:tc>
          <w:tcPr>
            <w:tcW w:w="0" w:type="auto"/>
            <w:gridSpan w:val="3"/>
            <w:shd w:val="clear" w:color="auto" w:fill="auto"/>
            <w:vAlign w:val="bottom"/>
          </w:tcPr>
          <w:p w14:paraId="74DDF481" w14:textId="77777777" w:rsidR="00584EC1" w:rsidRDefault="00584EC1">
            <w:pPr>
              <w:rPr>
                <w:rFonts w:ascii="宋体"/>
                <w:vanish/>
              </w:rPr>
            </w:pPr>
          </w:p>
        </w:tc>
        <w:tc>
          <w:tcPr>
            <w:tcW w:w="0" w:type="auto"/>
            <w:gridSpan w:val="3"/>
            <w:shd w:val="clear" w:color="auto" w:fill="auto"/>
            <w:vAlign w:val="bottom"/>
          </w:tcPr>
          <w:p w14:paraId="74DDF482" w14:textId="77777777" w:rsidR="00584EC1" w:rsidRDefault="00584EC1">
            <w:pPr>
              <w:rPr>
                <w:rFonts w:ascii="宋体"/>
                <w:vanish/>
              </w:rPr>
            </w:pPr>
          </w:p>
        </w:tc>
      </w:tr>
      <w:tr w:rsidR="00584EC1" w14:paraId="74DDF48E" w14:textId="77777777">
        <w:trPr>
          <w:hidden/>
        </w:trPr>
        <w:tc>
          <w:tcPr>
            <w:tcW w:w="0" w:type="auto"/>
            <w:gridSpan w:val="3"/>
            <w:shd w:val="clear" w:color="auto" w:fill="auto"/>
            <w:vAlign w:val="bottom"/>
          </w:tcPr>
          <w:p w14:paraId="74DDF484" w14:textId="77777777" w:rsidR="00584EC1" w:rsidRDefault="00584EC1">
            <w:pPr>
              <w:rPr>
                <w:rFonts w:ascii="宋体"/>
                <w:vanish/>
              </w:rPr>
            </w:pPr>
          </w:p>
        </w:tc>
        <w:tc>
          <w:tcPr>
            <w:tcW w:w="0" w:type="auto"/>
            <w:gridSpan w:val="3"/>
            <w:shd w:val="clear" w:color="auto" w:fill="auto"/>
            <w:vAlign w:val="bottom"/>
          </w:tcPr>
          <w:p w14:paraId="74DDF485" w14:textId="77777777" w:rsidR="00584EC1" w:rsidRDefault="00584EC1">
            <w:pPr>
              <w:rPr>
                <w:rFonts w:ascii="宋体"/>
                <w:vanish/>
              </w:rPr>
            </w:pPr>
          </w:p>
        </w:tc>
        <w:tc>
          <w:tcPr>
            <w:tcW w:w="0" w:type="auto"/>
            <w:gridSpan w:val="3"/>
            <w:shd w:val="clear" w:color="auto" w:fill="auto"/>
            <w:vAlign w:val="bottom"/>
          </w:tcPr>
          <w:p w14:paraId="74DDF486" w14:textId="77777777" w:rsidR="00584EC1" w:rsidRDefault="00584EC1">
            <w:pPr>
              <w:rPr>
                <w:rFonts w:ascii="宋体"/>
                <w:vanish/>
              </w:rPr>
            </w:pPr>
          </w:p>
        </w:tc>
        <w:tc>
          <w:tcPr>
            <w:tcW w:w="0" w:type="auto"/>
            <w:gridSpan w:val="3"/>
            <w:shd w:val="clear" w:color="auto" w:fill="auto"/>
            <w:vAlign w:val="bottom"/>
          </w:tcPr>
          <w:p w14:paraId="74DDF487" w14:textId="77777777" w:rsidR="00584EC1" w:rsidRDefault="00584EC1">
            <w:pPr>
              <w:rPr>
                <w:rFonts w:ascii="宋体"/>
                <w:vanish/>
              </w:rPr>
            </w:pPr>
          </w:p>
        </w:tc>
        <w:tc>
          <w:tcPr>
            <w:tcW w:w="0" w:type="auto"/>
            <w:gridSpan w:val="3"/>
            <w:shd w:val="clear" w:color="auto" w:fill="auto"/>
            <w:vAlign w:val="bottom"/>
          </w:tcPr>
          <w:p w14:paraId="74DDF488" w14:textId="77777777" w:rsidR="00584EC1" w:rsidRDefault="00584EC1">
            <w:pPr>
              <w:rPr>
                <w:rFonts w:ascii="宋体"/>
                <w:vanish/>
              </w:rPr>
            </w:pPr>
          </w:p>
        </w:tc>
        <w:tc>
          <w:tcPr>
            <w:tcW w:w="0" w:type="auto"/>
            <w:gridSpan w:val="3"/>
            <w:shd w:val="clear" w:color="auto" w:fill="auto"/>
            <w:vAlign w:val="bottom"/>
          </w:tcPr>
          <w:p w14:paraId="74DDF489" w14:textId="77777777" w:rsidR="00584EC1" w:rsidRDefault="00584EC1">
            <w:pPr>
              <w:rPr>
                <w:rFonts w:ascii="宋体"/>
                <w:vanish/>
              </w:rPr>
            </w:pPr>
          </w:p>
        </w:tc>
        <w:tc>
          <w:tcPr>
            <w:tcW w:w="0" w:type="auto"/>
            <w:gridSpan w:val="3"/>
            <w:shd w:val="clear" w:color="auto" w:fill="auto"/>
            <w:vAlign w:val="bottom"/>
          </w:tcPr>
          <w:p w14:paraId="74DDF48A" w14:textId="77777777" w:rsidR="00584EC1" w:rsidRDefault="00584EC1">
            <w:pPr>
              <w:rPr>
                <w:rFonts w:ascii="宋体"/>
                <w:vanish/>
              </w:rPr>
            </w:pPr>
          </w:p>
        </w:tc>
        <w:tc>
          <w:tcPr>
            <w:tcW w:w="0" w:type="auto"/>
            <w:gridSpan w:val="3"/>
            <w:shd w:val="clear" w:color="auto" w:fill="auto"/>
            <w:vAlign w:val="bottom"/>
          </w:tcPr>
          <w:p w14:paraId="74DDF48B" w14:textId="77777777" w:rsidR="00584EC1" w:rsidRDefault="00584EC1">
            <w:pPr>
              <w:rPr>
                <w:rFonts w:ascii="宋体"/>
                <w:vanish/>
              </w:rPr>
            </w:pPr>
          </w:p>
        </w:tc>
        <w:tc>
          <w:tcPr>
            <w:tcW w:w="0" w:type="auto"/>
            <w:gridSpan w:val="3"/>
            <w:shd w:val="clear" w:color="auto" w:fill="auto"/>
            <w:vAlign w:val="bottom"/>
          </w:tcPr>
          <w:p w14:paraId="74DDF48C" w14:textId="77777777" w:rsidR="00584EC1" w:rsidRDefault="00584EC1">
            <w:pPr>
              <w:rPr>
                <w:rFonts w:ascii="宋体"/>
                <w:vanish/>
              </w:rPr>
            </w:pPr>
          </w:p>
        </w:tc>
        <w:tc>
          <w:tcPr>
            <w:tcW w:w="0" w:type="auto"/>
            <w:gridSpan w:val="3"/>
            <w:shd w:val="clear" w:color="auto" w:fill="auto"/>
            <w:vAlign w:val="bottom"/>
          </w:tcPr>
          <w:p w14:paraId="74DDF48D" w14:textId="77777777" w:rsidR="00584EC1" w:rsidRDefault="00584EC1">
            <w:pPr>
              <w:rPr>
                <w:rFonts w:ascii="宋体"/>
                <w:vanish/>
              </w:rPr>
            </w:pPr>
          </w:p>
        </w:tc>
      </w:tr>
      <w:tr w:rsidR="00584EC1" w14:paraId="74DDF49D" w14:textId="77777777">
        <w:tc>
          <w:tcPr>
            <w:tcW w:w="0" w:type="auto"/>
            <w:gridSpan w:val="3"/>
            <w:shd w:val="clear" w:color="auto" w:fill="FFFFFF"/>
            <w:tcMar>
              <w:top w:w="40" w:type="dxa"/>
              <w:left w:w="20" w:type="dxa"/>
              <w:bottom w:w="40" w:type="dxa"/>
              <w:right w:w="20" w:type="dxa"/>
            </w:tcMar>
            <w:vAlign w:val="bottom"/>
          </w:tcPr>
          <w:p w14:paraId="74DDF48F" w14:textId="77777777" w:rsidR="00584EC1" w:rsidRDefault="00871F8D">
            <w:pPr>
              <w:textAlignment w:val="bottom"/>
            </w:pPr>
            <w:r>
              <w:rPr>
                <w:rFonts w:ascii="Arial" w:eastAsia="宋体" w:hAnsi="Arial" w:cs="Arial"/>
                <w:color w:val="000000"/>
                <w:sz w:val="16"/>
                <w:szCs w:val="16"/>
              </w:rPr>
              <w:t>Other derivative contracts</w:t>
            </w:r>
          </w:p>
        </w:tc>
        <w:tc>
          <w:tcPr>
            <w:tcW w:w="0" w:type="auto"/>
            <w:gridSpan w:val="3"/>
            <w:shd w:val="clear" w:color="auto" w:fill="FFFFFF"/>
            <w:tcMar>
              <w:top w:w="40" w:type="dxa"/>
              <w:left w:w="20" w:type="dxa"/>
              <w:bottom w:w="40" w:type="dxa"/>
              <w:right w:w="20" w:type="dxa"/>
            </w:tcMar>
            <w:vAlign w:val="bottom"/>
          </w:tcPr>
          <w:p w14:paraId="74DDF490" w14:textId="77777777" w:rsidR="00584EC1" w:rsidRDefault="00871F8D">
            <w:pPr>
              <w:textAlignment w:val="bottom"/>
            </w:pPr>
            <w:r>
              <w:rPr>
                <w:rFonts w:ascii="Arial" w:eastAsia="宋体" w:hAnsi="Arial" w:cs="Arial"/>
                <w:color w:val="000000"/>
                <w:sz w:val="16"/>
                <w:szCs w:val="16"/>
              </w:rPr>
              <w:t>Compensation and employee benefits</w:t>
            </w:r>
          </w:p>
        </w:tc>
        <w:tc>
          <w:tcPr>
            <w:tcW w:w="0" w:type="auto"/>
            <w:gridSpan w:val="2"/>
            <w:shd w:val="clear" w:color="auto" w:fill="FFFFFF"/>
            <w:tcMar>
              <w:top w:w="40" w:type="dxa"/>
              <w:left w:w="20" w:type="dxa"/>
              <w:bottom w:w="40" w:type="dxa"/>
              <w:right w:w="0" w:type="dxa"/>
            </w:tcMar>
            <w:vAlign w:val="bottom"/>
          </w:tcPr>
          <w:p w14:paraId="74DDF491" w14:textId="77777777" w:rsidR="00584EC1" w:rsidRDefault="00871F8D">
            <w:pPr>
              <w:jc w:val="right"/>
              <w:textAlignment w:val="bottom"/>
            </w:pPr>
            <w:r>
              <w:rPr>
                <w:rFonts w:ascii="Arial" w:eastAsia="宋体" w:hAnsi="Arial" w:cs="Arial"/>
                <w:b/>
                <w:bCs/>
                <w:color w:val="000000"/>
                <w:sz w:val="16"/>
                <w:szCs w:val="16"/>
              </w:rPr>
              <w:t>(35)</w:t>
            </w:r>
          </w:p>
        </w:tc>
        <w:tc>
          <w:tcPr>
            <w:tcW w:w="0" w:type="auto"/>
            <w:shd w:val="clear" w:color="auto" w:fill="FFFFFF"/>
            <w:tcMar>
              <w:top w:w="40" w:type="dxa"/>
              <w:left w:w="0" w:type="dxa"/>
              <w:bottom w:w="40" w:type="dxa"/>
              <w:right w:w="20" w:type="dxa"/>
            </w:tcMar>
            <w:vAlign w:val="bottom"/>
          </w:tcPr>
          <w:p w14:paraId="74DDF49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49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494" w14:textId="77777777" w:rsidR="00584EC1" w:rsidRDefault="00871F8D">
            <w:pPr>
              <w:jc w:val="right"/>
              <w:textAlignment w:val="bottom"/>
            </w:pPr>
            <w:r>
              <w:rPr>
                <w:rFonts w:ascii="Arial" w:eastAsia="宋体" w:hAnsi="Arial" w:cs="Arial"/>
                <w:color w:val="000000"/>
                <w:sz w:val="16"/>
                <w:szCs w:val="16"/>
              </w:rPr>
              <w:t>(39)</w:t>
            </w:r>
          </w:p>
        </w:tc>
        <w:tc>
          <w:tcPr>
            <w:tcW w:w="0" w:type="auto"/>
            <w:shd w:val="clear" w:color="auto" w:fill="FFFFFF"/>
            <w:tcMar>
              <w:top w:w="40" w:type="dxa"/>
              <w:left w:w="0" w:type="dxa"/>
              <w:bottom w:w="40" w:type="dxa"/>
              <w:right w:w="20" w:type="dxa"/>
            </w:tcMar>
            <w:vAlign w:val="bottom"/>
          </w:tcPr>
          <w:p w14:paraId="74DDF49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49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497" w14:textId="77777777" w:rsidR="00584EC1" w:rsidRDefault="00871F8D">
            <w:pPr>
              <w:jc w:val="right"/>
              <w:textAlignment w:val="bottom"/>
            </w:pPr>
            <w:r>
              <w:rPr>
                <w:rFonts w:ascii="Arial" w:eastAsia="宋体" w:hAnsi="Arial" w:cs="Arial"/>
                <w:b/>
                <w:bCs/>
                <w:color w:val="000000"/>
                <w:sz w:val="16"/>
                <w:szCs w:val="16"/>
              </w:rPr>
              <w:t>(158)</w:t>
            </w:r>
          </w:p>
        </w:tc>
        <w:tc>
          <w:tcPr>
            <w:tcW w:w="0" w:type="auto"/>
            <w:shd w:val="clear" w:color="auto" w:fill="FFFFFF"/>
            <w:tcMar>
              <w:top w:w="40" w:type="dxa"/>
              <w:left w:w="0" w:type="dxa"/>
              <w:bottom w:w="40" w:type="dxa"/>
              <w:right w:w="20" w:type="dxa"/>
            </w:tcMar>
            <w:vAlign w:val="bottom"/>
          </w:tcPr>
          <w:p w14:paraId="74DDF49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49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49A" w14:textId="77777777" w:rsidR="00584EC1" w:rsidRDefault="00871F8D">
            <w:pPr>
              <w:jc w:val="right"/>
              <w:textAlignment w:val="bottom"/>
            </w:pPr>
            <w:r>
              <w:rPr>
                <w:rFonts w:ascii="Arial" w:eastAsia="宋体" w:hAnsi="Arial" w:cs="Arial"/>
                <w:color w:val="000000"/>
                <w:sz w:val="16"/>
                <w:szCs w:val="16"/>
              </w:rPr>
              <w:t>(151)</w:t>
            </w:r>
          </w:p>
        </w:tc>
        <w:tc>
          <w:tcPr>
            <w:tcW w:w="0" w:type="auto"/>
            <w:shd w:val="clear" w:color="auto" w:fill="FFFFFF"/>
            <w:tcMar>
              <w:top w:w="40" w:type="dxa"/>
              <w:left w:w="0" w:type="dxa"/>
              <w:bottom w:w="40" w:type="dxa"/>
              <w:right w:w="20" w:type="dxa"/>
            </w:tcMar>
            <w:vAlign w:val="bottom"/>
          </w:tcPr>
          <w:p w14:paraId="74DDF49B" w14:textId="77777777" w:rsidR="00584EC1" w:rsidRDefault="00584EC1">
            <w:pPr>
              <w:jc w:val="right"/>
              <w:rPr>
                <w:rFonts w:ascii="宋体"/>
              </w:rPr>
            </w:pPr>
          </w:p>
        </w:tc>
        <w:tc>
          <w:tcPr>
            <w:tcW w:w="0" w:type="auto"/>
            <w:gridSpan w:val="3"/>
            <w:shd w:val="clear" w:color="auto" w:fill="auto"/>
            <w:vAlign w:val="bottom"/>
          </w:tcPr>
          <w:p w14:paraId="74DDF49C" w14:textId="77777777" w:rsidR="00584EC1" w:rsidRDefault="00584EC1">
            <w:pPr>
              <w:rPr>
                <w:rFonts w:ascii="宋体"/>
                <w:vanish/>
              </w:rPr>
            </w:pPr>
          </w:p>
        </w:tc>
      </w:tr>
      <w:tr w:rsidR="00584EC1" w14:paraId="74DDF4B0" w14:textId="77777777">
        <w:tc>
          <w:tcPr>
            <w:tcW w:w="0" w:type="auto"/>
            <w:gridSpan w:val="3"/>
            <w:shd w:val="clear" w:color="auto" w:fill="CCEEFF"/>
            <w:tcMar>
              <w:top w:w="40" w:type="dxa"/>
              <w:left w:w="20" w:type="dxa"/>
              <w:bottom w:w="40" w:type="dxa"/>
              <w:right w:w="20" w:type="dxa"/>
            </w:tcMar>
            <w:vAlign w:val="bottom"/>
          </w:tcPr>
          <w:p w14:paraId="74DDF49E" w14:textId="77777777" w:rsidR="00584EC1" w:rsidRDefault="00871F8D">
            <w:pPr>
              <w:textAlignment w:val="bottom"/>
            </w:pPr>
            <w:r>
              <w:rPr>
                <w:rFonts w:ascii="Arial" w:eastAsia="宋体" w:hAnsi="Arial" w:cs="Arial"/>
                <w:color w:val="000000"/>
                <w:sz w:val="16"/>
                <w:szCs w:val="16"/>
              </w:rPr>
              <w:t>Total</w:t>
            </w:r>
          </w:p>
        </w:tc>
        <w:tc>
          <w:tcPr>
            <w:tcW w:w="0" w:type="auto"/>
            <w:gridSpan w:val="3"/>
            <w:shd w:val="clear" w:color="auto" w:fill="CCEEFF"/>
            <w:tcMar>
              <w:top w:w="0" w:type="dxa"/>
              <w:left w:w="20" w:type="dxa"/>
              <w:bottom w:w="0" w:type="dxa"/>
              <w:right w:w="20" w:type="dxa"/>
            </w:tcMar>
            <w:vAlign w:val="bottom"/>
          </w:tcPr>
          <w:p w14:paraId="74DDF49F"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F4A0" w14:textId="77777777" w:rsidR="00584EC1" w:rsidRDefault="00871F8D">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F4A1" w14:textId="77777777" w:rsidR="00584EC1" w:rsidRDefault="00871F8D">
            <w:pPr>
              <w:jc w:val="right"/>
              <w:textAlignment w:val="bottom"/>
            </w:pPr>
            <w:r>
              <w:rPr>
                <w:rFonts w:ascii="Arial" w:eastAsia="宋体" w:hAnsi="Arial" w:cs="Arial"/>
                <w:b/>
                <w:bCs/>
                <w:color w:val="000000"/>
                <w:sz w:val="16"/>
                <w:szCs w:val="16"/>
              </w:rPr>
              <w:t>167</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F4A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4A3"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F4A4" w14:textId="77777777" w:rsidR="00584EC1" w:rsidRDefault="00871F8D">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F4A5" w14:textId="77777777" w:rsidR="00584EC1" w:rsidRDefault="00871F8D">
            <w:pPr>
              <w:jc w:val="right"/>
              <w:textAlignment w:val="bottom"/>
            </w:pPr>
            <w:r>
              <w:rPr>
                <w:rFonts w:ascii="Arial" w:eastAsia="宋体" w:hAnsi="Arial" w:cs="Arial"/>
                <w:color w:val="000000"/>
                <w:sz w:val="16"/>
                <w:szCs w:val="16"/>
              </w:rPr>
              <w:t>145 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F4A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4A7"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F4A8" w14:textId="77777777" w:rsidR="00584EC1" w:rsidRDefault="00871F8D">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F4A9" w14:textId="77777777" w:rsidR="00584EC1" w:rsidRDefault="00871F8D">
            <w:pPr>
              <w:jc w:val="right"/>
              <w:textAlignment w:val="bottom"/>
            </w:pPr>
            <w:r>
              <w:rPr>
                <w:rFonts w:ascii="Arial" w:eastAsia="宋体" w:hAnsi="Arial" w:cs="Arial"/>
                <w:b/>
                <w:bCs/>
                <w:color w:val="000000"/>
                <w:sz w:val="16"/>
                <w:szCs w:val="16"/>
              </w:rPr>
              <w:t>513</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F4A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4AB"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F4AC" w14:textId="77777777" w:rsidR="00584EC1" w:rsidRDefault="00871F8D">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F4AD" w14:textId="77777777" w:rsidR="00584EC1" w:rsidRDefault="00871F8D">
            <w:pPr>
              <w:jc w:val="right"/>
              <w:textAlignment w:val="bottom"/>
            </w:pPr>
            <w:r>
              <w:rPr>
                <w:rFonts w:ascii="Arial" w:eastAsia="宋体" w:hAnsi="Arial" w:cs="Arial"/>
                <w:color w:val="000000"/>
                <w:sz w:val="16"/>
                <w:szCs w:val="16"/>
              </w:rPr>
              <w:t>603 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F4AE" w14:textId="77777777" w:rsidR="00584EC1" w:rsidRDefault="00584EC1">
            <w:pPr>
              <w:jc w:val="right"/>
              <w:rPr>
                <w:rFonts w:ascii="宋体"/>
              </w:rPr>
            </w:pPr>
          </w:p>
        </w:tc>
        <w:tc>
          <w:tcPr>
            <w:tcW w:w="0" w:type="auto"/>
            <w:gridSpan w:val="3"/>
            <w:shd w:val="clear" w:color="auto" w:fill="auto"/>
            <w:vAlign w:val="bottom"/>
          </w:tcPr>
          <w:p w14:paraId="74DDF4AF" w14:textId="77777777" w:rsidR="00584EC1" w:rsidRDefault="00584EC1">
            <w:pPr>
              <w:rPr>
                <w:rFonts w:ascii="宋体"/>
                <w:vanish/>
              </w:rPr>
            </w:pPr>
          </w:p>
        </w:tc>
      </w:tr>
      <w:tr w:rsidR="00584EC1" w14:paraId="74DDF4BB" w14:textId="77777777">
        <w:trPr>
          <w:trHeight w:val="100"/>
        </w:trPr>
        <w:tc>
          <w:tcPr>
            <w:tcW w:w="0" w:type="auto"/>
            <w:gridSpan w:val="3"/>
            <w:shd w:val="clear" w:color="auto" w:fill="FFFFFF"/>
            <w:tcMar>
              <w:top w:w="0" w:type="dxa"/>
              <w:left w:w="20" w:type="dxa"/>
              <w:bottom w:w="0" w:type="dxa"/>
              <w:right w:w="20" w:type="dxa"/>
            </w:tcMar>
            <w:vAlign w:val="bottom"/>
          </w:tcPr>
          <w:p w14:paraId="74DDF4B1"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F4B2"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F4B3"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F4B4"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F4B5"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F4B6"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F4B7"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F4B8"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DF4B9" w14:textId="77777777" w:rsidR="00584EC1" w:rsidRDefault="00584EC1">
            <w:pPr>
              <w:rPr>
                <w:rFonts w:ascii="宋体"/>
              </w:rPr>
            </w:pPr>
          </w:p>
        </w:tc>
        <w:tc>
          <w:tcPr>
            <w:tcW w:w="0" w:type="auto"/>
            <w:gridSpan w:val="3"/>
            <w:shd w:val="clear" w:color="auto" w:fill="auto"/>
            <w:vAlign w:val="bottom"/>
          </w:tcPr>
          <w:p w14:paraId="74DDF4BA" w14:textId="77777777" w:rsidR="00584EC1" w:rsidRDefault="00584EC1">
            <w:pPr>
              <w:rPr>
                <w:rFonts w:ascii="宋体"/>
                <w:vanish/>
              </w:rPr>
            </w:pPr>
          </w:p>
        </w:tc>
      </w:tr>
      <w:tr w:rsidR="00584EC1" w14:paraId="74DDF4C6" w14:textId="77777777">
        <w:trPr>
          <w:hidden/>
        </w:trPr>
        <w:tc>
          <w:tcPr>
            <w:tcW w:w="0" w:type="auto"/>
            <w:gridSpan w:val="3"/>
            <w:shd w:val="clear" w:color="auto" w:fill="auto"/>
            <w:vAlign w:val="bottom"/>
          </w:tcPr>
          <w:p w14:paraId="74DDF4BC" w14:textId="77777777" w:rsidR="00584EC1" w:rsidRDefault="00584EC1">
            <w:pPr>
              <w:rPr>
                <w:rFonts w:ascii="宋体"/>
                <w:vanish/>
              </w:rPr>
            </w:pPr>
          </w:p>
        </w:tc>
        <w:tc>
          <w:tcPr>
            <w:tcW w:w="0" w:type="auto"/>
            <w:gridSpan w:val="3"/>
            <w:shd w:val="clear" w:color="auto" w:fill="auto"/>
            <w:vAlign w:val="bottom"/>
          </w:tcPr>
          <w:p w14:paraId="74DDF4BD" w14:textId="77777777" w:rsidR="00584EC1" w:rsidRDefault="00584EC1">
            <w:pPr>
              <w:rPr>
                <w:rFonts w:ascii="宋体"/>
                <w:vanish/>
              </w:rPr>
            </w:pPr>
          </w:p>
        </w:tc>
        <w:tc>
          <w:tcPr>
            <w:tcW w:w="0" w:type="auto"/>
            <w:gridSpan w:val="3"/>
            <w:shd w:val="clear" w:color="auto" w:fill="auto"/>
            <w:vAlign w:val="bottom"/>
          </w:tcPr>
          <w:p w14:paraId="74DDF4BE" w14:textId="77777777" w:rsidR="00584EC1" w:rsidRDefault="00584EC1">
            <w:pPr>
              <w:rPr>
                <w:rFonts w:ascii="宋体"/>
                <w:vanish/>
              </w:rPr>
            </w:pPr>
          </w:p>
        </w:tc>
        <w:tc>
          <w:tcPr>
            <w:tcW w:w="0" w:type="auto"/>
            <w:gridSpan w:val="3"/>
            <w:shd w:val="clear" w:color="auto" w:fill="auto"/>
            <w:vAlign w:val="bottom"/>
          </w:tcPr>
          <w:p w14:paraId="74DDF4BF" w14:textId="77777777" w:rsidR="00584EC1" w:rsidRDefault="00584EC1">
            <w:pPr>
              <w:rPr>
                <w:rFonts w:ascii="宋体"/>
                <w:vanish/>
              </w:rPr>
            </w:pPr>
          </w:p>
        </w:tc>
        <w:tc>
          <w:tcPr>
            <w:tcW w:w="0" w:type="auto"/>
            <w:gridSpan w:val="3"/>
            <w:shd w:val="clear" w:color="auto" w:fill="auto"/>
            <w:vAlign w:val="bottom"/>
          </w:tcPr>
          <w:p w14:paraId="74DDF4C0" w14:textId="77777777" w:rsidR="00584EC1" w:rsidRDefault="00584EC1">
            <w:pPr>
              <w:rPr>
                <w:rFonts w:ascii="宋体"/>
                <w:vanish/>
              </w:rPr>
            </w:pPr>
          </w:p>
        </w:tc>
        <w:tc>
          <w:tcPr>
            <w:tcW w:w="0" w:type="auto"/>
            <w:gridSpan w:val="3"/>
            <w:shd w:val="clear" w:color="auto" w:fill="auto"/>
            <w:vAlign w:val="bottom"/>
          </w:tcPr>
          <w:p w14:paraId="74DDF4C1" w14:textId="77777777" w:rsidR="00584EC1" w:rsidRDefault="00584EC1">
            <w:pPr>
              <w:rPr>
                <w:rFonts w:ascii="宋体"/>
                <w:vanish/>
              </w:rPr>
            </w:pPr>
          </w:p>
        </w:tc>
        <w:tc>
          <w:tcPr>
            <w:tcW w:w="0" w:type="auto"/>
            <w:gridSpan w:val="3"/>
            <w:shd w:val="clear" w:color="auto" w:fill="auto"/>
            <w:vAlign w:val="bottom"/>
          </w:tcPr>
          <w:p w14:paraId="74DDF4C2" w14:textId="77777777" w:rsidR="00584EC1" w:rsidRDefault="00584EC1">
            <w:pPr>
              <w:rPr>
                <w:rFonts w:ascii="宋体"/>
                <w:vanish/>
              </w:rPr>
            </w:pPr>
          </w:p>
        </w:tc>
        <w:tc>
          <w:tcPr>
            <w:tcW w:w="0" w:type="auto"/>
            <w:gridSpan w:val="3"/>
            <w:shd w:val="clear" w:color="auto" w:fill="auto"/>
            <w:vAlign w:val="bottom"/>
          </w:tcPr>
          <w:p w14:paraId="74DDF4C3" w14:textId="77777777" w:rsidR="00584EC1" w:rsidRDefault="00584EC1">
            <w:pPr>
              <w:rPr>
                <w:rFonts w:ascii="宋体"/>
                <w:vanish/>
              </w:rPr>
            </w:pPr>
          </w:p>
        </w:tc>
        <w:tc>
          <w:tcPr>
            <w:tcW w:w="0" w:type="auto"/>
            <w:gridSpan w:val="3"/>
            <w:shd w:val="clear" w:color="auto" w:fill="auto"/>
            <w:vAlign w:val="bottom"/>
          </w:tcPr>
          <w:p w14:paraId="74DDF4C4" w14:textId="77777777" w:rsidR="00584EC1" w:rsidRDefault="00584EC1">
            <w:pPr>
              <w:rPr>
                <w:rFonts w:ascii="宋体"/>
                <w:vanish/>
              </w:rPr>
            </w:pPr>
          </w:p>
        </w:tc>
        <w:tc>
          <w:tcPr>
            <w:tcW w:w="0" w:type="auto"/>
            <w:gridSpan w:val="3"/>
            <w:shd w:val="clear" w:color="auto" w:fill="auto"/>
            <w:vAlign w:val="bottom"/>
          </w:tcPr>
          <w:p w14:paraId="74DDF4C5" w14:textId="77777777" w:rsidR="00584EC1" w:rsidRDefault="00584EC1">
            <w:pPr>
              <w:rPr>
                <w:rFonts w:ascii="宋体"/>
                <w:vanish/>
              </w:rPr>
            </w:pPr>
          </w:p>
        </w:tc>
      </w:tr>
      <w:tr w:rsidR="00584EC1" w14:paraId="74DDF4DD" w14:textId="77777777">
        <w:trPr>
          <w:hidden/>
        </w:trPr>
        <w:tc>
          <w:tcPr>
            <w:tcW w:w="0" w:type="auto"/>
            <w:gridSpan w:val="3"/>
            <w:shd w:val="clear" w:color="auto" w:fill="auto"/>
            <w:vAlign w:val="bottom"/>
          </w:tcPr>
          <w:p w14:paraId="74DDF4C7" w14:textId="77777777" w:rsidR="00584EC1" w:rsidRDefault="00584EC1">
            <w:pPr>
              <w:rPr>
                <w:rFonts w:ascii="宋体"/>
                <w:vanish/>
              </w:rPr>
            </w:pPr>
          </w:p>
        </w:tc>
        <w:tc>
          <w:tcPr>
            <w:tcW w:w="0" w:type="auto"/>
            <w:gridSpan w:val="3"/>
            <w:shd w:val="clear" w:color="auto" w:fill="auto"/>
            <w:vAlign w:val="bottom"/>
          </w:tcPr>
          <w:p w14:paraId="74DDF4C8" w14:textId="77777777" w:rsidR="00584EC1" w:rsidRDefault="00584EC1">
            <w:pPr>
              <w:rPr>
                <w:rFonts w:ascii="宋体"/>
                <w:vanish/>
              </w:rPr>
            </w:pPr>
          </w:p>
        </w:tc>
        <w:tc>
          <w:tcPr>
            <w:tcW w:w="0" w:type="auto"/>
            <w:gridSpan w:val="3"/>
            <w:shd w:val="clear" w:color="auto" w:fill="auto"/>
            <w:vAlign w:val="bottom"/>
          </w:tcPr>
          <w:p w14:paraId="74DDF4C9" w14:textId="77777777" w:rsidR="00584EC1" w:rsidRDefault="00584EC1">
            <w:pPr>
              <w:rPr>
                <w:rFonts w:ascii="宋体"/>
                <w:vanish/>
              </w:rPr>
            </w:pPr>
          </w:p>
        </w:tc>
        <w:tc>
          <w:tcPr>
            <w:tcW w:w="0" w:type="auto"/>
            <w:gridSpan w:val="3"/>
            <w:shd w:val="clear" w:color="auto" w:fill="auto"/>
            <w:vAlign w:val="bottom"/>
          </w:tcPr>
          <w:p w14:paraId="74DDF4CA" w14:textId="77777777" w:rsidR="00584EC1" w:rsidRDefault="00584EC1">
            <w:pPr>
              <w:rPr>
                <w:rFonts w:ascii="宋体"/>
                <w:vanish/>
              </w:rPr>
            </w:pPr>
          </w:p>
        </w:tc>
        <w:tc>
          <w:tcPr>
            <w:tcW w:w="0" w:type="auto"/>
            <w:shd w:val="clear" w:color="auto" w:fill="auto"/>
            <w:vAlign w:val="bottom"/>
          </w:tcPr>
          <w:p w14:paraId="74DDF4CB" w14:textId="77777777" w:rsidR="00584EC1" w:rsidRDefault="00584EC1">
            <w:pPr>
              <w:rPr>
                <w:rFonts w:ascii="宋体"/>
              </w:rPr>
            </w:pPr>
          </w:p>
        </w:tc>
        <w:tc>
          <w:tcPr>
            <w:tcW w:w="0" w:type="auto"/>
            <w:shd w:val="clear" w:color="auto" w:fill="auto"/>
            <w:vAlign w:val="bottom"/>
          </w:tcPr>
          <w:p w14:paraId="74DDF4CC" w14:textId="77777777" w:rsidR="00584EC1" w:rsidRDefault="00584EC1">
            <w:pPr>
              <w:rPr>
                <w:rFonts w:ascii="宋体"/>
              </w:rPr>
            </w:pPr>
          </w:p>
        </w:tc>
        <w:tc>
          <w:tcPr>
            <w:tcW w:w="0" w:type="auto"/>
            <w:shd w:val="clear" w:color="auto" w:fill="auto"/>
            <w:vAlign w:val="bottom"/>
          </w:tcPr>
          <w:p w14:paraId="74DDF4CD" w14:textId="77777777" w:rsidR="00584EC1" w:rsidRDefault="00584EC1">
            <w:pPr>
              <w:rPr>
                <w:rFonts w:ascii="宋体"/>
              </w:rPr>
            </w:pPr>
          </w:p>
        </w:tc>
        <w:tc>
          <w:tcPr>
            <w:tcW w:w="0" w:type="auto"/>
            <w:shd w:val="clear" w:color="auto" w:fill="auto"/>
            <w:vAlign w:val="bottom"/>
          </w:tcPr>
          <w:p w14:paraId="74DDF4CE" w14:textId="77777777" w:rsidR="00584EC1" w:rsidRDefault="00584EC1">
            <w:pPr>
              <w:rPr>
                <w:rFonts w:ascii="宋体"/>
              </w:rPr>
            </w:pPr>
          </w:p>
        </w:tc>
        <w:tc>
          <w:tcPr>
            <w:tcW w:w="0" w:type="auto"/>
            <w:shd w:val="clear" w:color="auto" w:fill="auto"/>
            <w:vAlign w:val="bottom"/>
          </w:tcPr>
          <w:p w14:paraId="74DDF4CF" w14:textId="77777777" w:rsidR="00584EC1" w:rsidRDefault="00584EC1">
            <w:pPr>
              <w:rPr>
                <w:rFonts w:ascii="宋体"/>
              </w:rPr>
            </w:pPr>
          </w:p>
        </w:tc>
        <w:tc>
          <w:tcPr>
            <w:tcW w:w="0" w:type="auto"/>
            <w:shd w:val="clear" w:color="auto" w:fill="auto"/>
            <w:vAlign w:val="bottom"/>
          </w:tcPr>
          <w:p w14:paraId="74DDF4D0" w14:textId="77777777" w:rsidR="00584EC1" w:rsidRDefault="00584EC1">
            <w:pPr>
              <w:rPr>
                <w:rFonts w:ascii="宋体"/>
              </w:rPr>
            </w:pPr>
          </w:p>
        </w:tc>
        <w:tc>
          <w:tcPr>
            <w:tcW w:w="0" w:type="auto"/>
            <w:shd w:val="clear" w:color="auto" w:fill="auto"/>
            <w:vAlign w:val="bottom"/>
          </w:tcPr>
          <w:p w14:paraId="74DDF4D1" w14:textId="77777777" w:rsidR="00584EC1" w:rsidRDefault="00584EC1">
            <w:pPr>
              <w:rPr>
                <w:rFonts w:ascii="宋体"/>
              </w:rPr>
            </w:pPr>
          </w:p>
        </w:tc>
        <w:tc>
          <w:tcPr>
            <w:tcW w:w="0" w:type="auto"/>
            <w:shd w:val="clear" w:color="auto" w:fill="auto"/>
            <w:vAlign w:val="bottom"/>
          </w:tcPr>
          <w:p w14:paraId="74DDF4D2" w14:textId="77777777" w:rsidR="00584EC1" w:rsidRDefault="00584EC1">
            <w:pPr>
              <w:rPr>
                <w:rFonts w:ascii="宋体"/>
              </w:rPr>
            </w:pPr>
          </w:p>
        </w:tc>
        <w:tc>
          <w:tcPr>
            <w:tcW w:w="0" w:type="auto"/>
            <w:shd w:val="clear" w:color="auto" w:fill="auto"/>
            <w:vAlign w:val="bottom"/>
          </w:tcPr>
          <w:p w14:paraId="74DDF4D3" w14:textId="77777777" w:rsidR="00584EC1" w:rsidRDefault="00584EC1">
            <w:pPr>
              <w:rPr>
                <w:rFonts w:ascii="宋体"/>
              </w:rPr>
            </w:pPr>
          </w:p>
        </w:tc>
        <w:tc>
          <w:tcPr>
            <w:tcW w:w="0" w:type="auto"/>
            <w:shd w:val="clear" w:color="auto" w:fill="auto"/>
            <w:vAlign w:val="bottom"/>
          </w:tcPr>
          <w:p w14:paraId="74DDF4D4" w14:textId="77777777" w:rsidR="00584EC1" w:rsidRDefault="00584EC1">
            <w:pPr>
              <w:rPr>
                <w:rFonts w:ascii="宋体"/>
              </w:rPr>
            </w:pPr>
          </w:p>
        </w:tc>
        <w:tc>
          <w:tcPr>
            <w:tcW w:w="0" w:type="auto"/>
            <w:shd w:val="clear" w:color="auto" w:fill="auto"/>
            <w:vAlign w:val="bottom"/>
          </w:tcPr>
          <w:p w14:paraId="74DDF4D5" w14:textId="77777777" w:rsidR="00584EC1" w:rsidRDefault="00584EC1">
            <w:pPr>
              <w:rPr>
                <w:rFonts w:ascii="宋体"/>
              </w:rPr>
            </w:pPr>
          </w:p>
        </w:tc>
        <w:tc>
          <w:tcPr>
            <w:tcW w:w="0" w:type="auto"/>
            <w:shd w:val="clear" w:color="auto" w:fill="auto"/>
            <w:vAlign w:val="bottom"/>
          </w:tcPr>
          <w:p w14:paraId="74DDF4D6" w14:textId="77777777" w:rsidR="00584EC1" w:rsidRDefault="00584EC1">
            <w:pPr>
              <w:rPr>
                <w:rFonts w:ascii="宋体"/>
              </w:rPr>
            </w:pPr>
          </w:p>
        </w:tc>
        <w:tc>
          <w:tcPr>
            <w:tcW w:w="0" w:type="auto"/>
            <w:shd w:val="clear" w:color="auto" w:fill="auto"/>
            <w:vAlign w:val="bottom"/>
          </w:tcPr>
          <w:p w14:paraId="74DDF4D7" w14:textId="77777777" w:rsidR="00584EC1" w:rsidRDefault="00584EC1">
            <w:pPr>
              <w:rPr>
                <w:rFonts w:ascii="宋体"/>
              </w:rPr>
            </w:pPr>
          </w:p>
        </w:tc>
        <w:tc>
          <w:tcPr>
            <w:tcW w:w="0" w:type="auto"/>
            <w:shd w:val="clear" w:color="auto" w:fill="auto"/>
            <w:vAlign w:val="bottom"/>
          </w:tcPr>
          <w:p w14:paraId="74DDF4D8" w14:textId="77777777" w:rsidR="00584EC1" w:rsidRDefault="00584EC1">
            <w:pPr>
              <w:rPr>
                <w:rFonts w:ascii="宋体"/>
              </w:rPr>
            </w:pPr>
          </w:p>
        </w:tc>
        <w:tc>
          <w:tcPr>
            <w:tcW w:w="0" w:type="auto"/>
            <w:shd w:val="clear" w:color="auto" w:fill="auto"/>
            <w:vAlign w:val="bottom"/>
          </w:tcPr>
          <w:p w14:paraId="74DDF4D9" w14:textId="77777777" w:rsidR="00584EC1" w:rsidRDefault="00584EC1">
            <w:pPr>
              <w:rPr>
                <w:rFonts w:ascii="宋体"/>
              </w:rPr>
            </w:pPr>
          </w:p>
        </w:tc>
        <w:tc>
          <w:tcPr>
            <w:tcW w:w="0" w:type="auto"/>
            <w:shd w:val="clear" w:color="auto" w:fill="auto"/>
            <w:vAlign w:val="bottom"/>
          </w:tcPr>
          <w:p w14:paraId="74DDF4DA" w14:textId="77777777" w:rsidR="00584EC1" w:rsidRDefault="00584EC1">
            <w:pPr>
              <w:rPr>
                <w:rFonts w:ascii="宋体"/>
              </w:rPr>
            </w:pPr>
          </w:p>
        </w:tc>
        <w:tc>
          <w:tcPr>
            <w:tcW w:w="0" w:type="auto"/>
            <w:shd w:val="clear" w:color="auto" w:fill="auto"/>
            <w:vAlign w:val="bottom"/>
          </w:tcPr>
          <w:p w14:paraId="74DDF4DB" w14:textId="77777777" w:rsidR="00584EC1" w:rsidRDefault="00584EC1">
            <w:pPr>
              <w:rPr>
                <w:rFonts w:ascii="宋体"/>
              </w:rPr>
            </w:pPr>
          </w:p>
        </w:tc>
        <w:tc>
          <w:tcPr>
            <w:tcW w:w="0" w:type="auto"/>
            <w:shd w:val="clear" w:color="auto" w:fill="auto"/>
            <w:vAlign w:val="bottom"/>
          </w:tcPr>
          <w:p w14:paraId="74DDF4DC" w14:textId="77777777" w:rsidR="00584EC1" w:rsidRDefault="00584EC1">
            <w:pPr>
              <w:rPr>
                <w:rFonts w:ascii="宋体"/>
              </w:rPr>
            </w:pPr>
          </w:p>
        </w:tc>
      </w:tr>
    </w:tbl>
    <w:p w14:paraId="74DDF4DE" w14:textId="77777777" w:rsidR="00584EC1" w:rsidRDefault="00871F8D">
      <w:pPr>
        <w:ind w:firstLine="450"/>
        <w:jc w:val="both"/>
      </w:pPr>
      <w:r>
        <w:rPr>
          <w:rFonts w:ascii="Arial" w:eastAsia="宋体" w:hAnsi="Arial" w:cs="Arial"/>
          <w:color w:val="000000"/>
          <w:sz w:val="20"/>
          <w:szCs w:val="20"/>
        </w:rPr>
        <w:t xml:space="preserve">The following table shows the carrying amount and </w:t>
      </w:r>
      <w:r>
        <w:rPr>
          <w:rFonts w:ascii="Arial" w:eastAsia="宋体" w:hAnsi="Arial" w:cs="Arial"/>
          <w:color w:val="000000"/>
          <w:sz w:val="20"/>
          <w:szCs w:val="20"/>
        </w:rPr>
        <w:t>associated cumulative basis adjustments related to the application of hedge accounting that is included in the carrying amount of hedged assets and liabilities in fair value hedging relationships: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2772"/>
        <w:gridCol w:w="37"/>
        <w:gridCol w:w="110"/>
        <w:gridCol w:w="1564"/>
        <w:gridCol w:w="36"/>
        <w:gridCol w:w="36"/>
        <w:gridCol w:w="36"/>
        <w:gridCol w:w="36"/>
        <w:gridCol w:w="110"/>
        <w:gridCol w:w="1525"/>
        <w:gridCol w:w="37"/>
        <w:gridCol w:w="37"/>
        <w:gridCol w:w="36"/>
        <w:gridCol w:w="36"/>
        <w:gridCol w:w="110"/>
        <w:gridCol w:w="1526"/>
        <w:gridCol w:w="37"/>
        <w:gridCol w:w="36"/>
        <w:gridCol w:w="36"/>
        <w:gridCol w:w="36"/>
        <w:gridCol w:w="36"/>
        <w:gridCol w:w="36"/>
        <w:gridCol w:w="36"/>
      </w:tblGrid>
      <w:tr w:rsidR="00584EC1" w14:paraId="74DDF4F3" w14:textId="77777777">
        <w:trPr>
          <w:jc w:val="center"/>
        </w:trPr>
        <w:tc>
          <w:tcPr>
            <w:tcW w:w="50" w:type="pct"/>
            <w:shd w:val="clear" w:color="auto" w:fill="auto"/>
            <w:vAlign w:val="bottom"/>
          </w:tcPr>
          <w:p w14:paraId="74DDF4DF" w14:textId="77777777" w:rsidR="00584EC1" w:rsidRDefault="00584EC1">
            <w:pPr>
              <w:rPr>
                <w:rFonts w:ascii="宋体"/>
              </w:rPr>
            </w:pPr>
          </w:p>
        </w:tc>
        <w:tc>
          <w:tcPr>
            <w:tcW w:w="1735" w:type="pct"/>
            <w:shd w:val="clear" w:color="auto" w:fill="auto"/>
            <w:vAlign w:val="bottom"/>
          </w:tcPr>
          <w:p w14:paraId="74DDF4E0" w14:textId="77777777" w:rsidR="00584EC1" w:rsidRDefault="00584EC1">
            <w:pPr>
              <w:rPr>
                <w:rFonts w:ascii="宋体"/>
              </w:rPr>
            </w:pPr>
          </w:p>
        </w:tc>
        <w:tc>
          <w:tcPr>
            <w:tcW w:w="5" w:type="pct"/>
            <w:shd w:val="clear" w:color="auto" w:fill="auto"/>
            <w:vAlign w:val="bottom"/>
          </w:tcPr>
          <w:p w14:paraId="74DDF4E1" w14:textId="77777777" w:rsidR="00584EC1" w:rsidRDefault="00584EC1">
            <w:pPr>
              <w:rPr>
                <w:rFonts w:ascii="宋体"/>
              </w:rPr>
            </w:pPr>
          </w:p>
        </w:tc>
        <w:tc>
          <w:tcPr>
            <w:tcW w:w="50" w:type="pct"/>
            <w:shd w:val="clear" w:color="auto" w:fill="auto"/>
            <w:vAlign w:val="bottom"/>
          </w:tcPr>
          <w:p w14:paraId="74DDF4E2" w14:textId="77777777" w:rsidR="00584EC1" w:rsidRDefault="00584EC1">
            <w:pPr>
              <w:rPr>
                <w:rFonts w:ascii="宋体"/>
              </w:rPr>
            </w:pPr>
          </w:p>
        </w:tc>
        <w:tc>
          <w:tcPr>
            <w:tcW w:w="990" w:type="pct"/>
            <w:shd w:val="clear" w:color="auto" w:fill="auto"/>
            <w:vAlign w:val="bottom"/>
          </w:tcPr>
          <w:p w14:paraId="74DDF4E3" w14:textId="77777777" w:rsidR="00584EC1" w:rsidRDefault="00584EC1">
            <w:pPr>
              <w:rPr>
                <w:rFonts w:ascii="宋体"/>
              </w:rPr>
            </w:pPr>
          </w:p>
        </w:tc>
        <w:tc>
          <w:tcPr>
            <w:tcW w:w="5" w:type="pct"/>
            <w:shd w:val="clear" w:color="auto" w:fill="auto"/>
            <w:vAlign w:val="bottom"/>
          </w:tcPr>
          <w:p w14:paraId="74DDF4E4" w14:textId="77777777" w:rsidR="00584EC1" w:rsidRDefault="00584EC1">
            <w:pPr>
              <w:rPr>
                <w:rFonts w:ascii="宋体"/>
              </w:rPr>
            </w:pPr>
          </w:p>
        </w:tc>
        <w:tc>
          <w:tcPr>
            <w:tcW w:w="5" w:type="pct"/>
            <w:shd w:val="clear" w:color="auto" w:fill="auto"/>
            <w:vAlign w:val="bottom"/>
          </w:tcPr>
          <w:p w14:paraId="74DDF4E5" w14:textId="77777777" w:rsidR="00584EC1" w:rsidRDefault="00584EC1">
            <w:pPr>
              <w:rPr>
                <w:rFonts w:ascii="宋体"/>
              </w:rPr>
            </w:pPr>
          </w:p>
        </w:tc>
        <w:tc>
          <w:tcPr>
            <w:tcW w:w="26" w:type="pct"/>
            <w:shd w:val="clear" w:color="auto" w:fill="auto"/>
            <w:vAlign w:val="bottom"/>
          </w:tcPr>
          <w:p w14:paraId="74DDF4E6" w14:textId="77777777" w:rsidR="00584EC1" w:rsidRDefault="00584EC1">
            <w:pPr>
              <w:rPr>
                <w:rFonts w:ascii="宋体"/>
              </w:rPr>
            </w:pPr>
          </w:p>
        </w:tc>
        <w:tc>
          <w:tcPr>
            <w:tcW w:w="5" w:type="pct"/>
            <w:shd w:val="clear" w:color="auto" w:fill="auto"/>
            <w:vAlign w:val="bottom"/>
          </w:tcPr>
          <w:p w14:paraId="74DDF4E7" w14:textId="77777777" w:rsidR="00584EC1" w:rsidRDefault="00584EC1">
            <w:pPr>
              <w:rPr>
                <w:rFonts w:ascii="宋体"/>
              </w:rPr>
            </w:pPr>
          </w:p>
        </w:tc>
        <w:tc>
          <w:tcPr>
            <w:tcW w:w="50" w:type="pct"/>
            <w:shd w:val="clear" w:color="auto" w:fill="auto"/>
            <w:vAlign w:val="bottom"/>
          </w:tcPr>
          <w:p w14:paraId="74DDF4E8" w14:textId="77777777" w:rsidR="00584EC1" w:rsidRDefault="00584EC1">
            <w:pPr>
              <w:rPr>
                <w:rFonts w:ascii="宋体"/>
              </w:rPr>
            </w:pPr>
          </w:p>
        </w:tc>
        <w:tc>
          <w:tcPr>
            <w:tcW w:w="990" w:type="pct"/>
            <w:shd w:val="clear" w:color="auto" w:fill="auto"/>
            <w:vAlign w:val="bottom"/>
          </w:tcPr>
          <w:p w14:paraId="74DDF4E9" w14:textId="77777777" w:rsidR="00584EC1" w:rsidRDefault="00584EC1">
            <w:pPr>
              <w:rPr>
                <w:rFonts w:ascii="宋体"/>
              </w:rPr>
            </w:pPr>
          </w:p>
        </w:tc>
        <w:tc>
          <w:tcPr>
            <w:tcW w:w="5" w:type="pct"/>
            <w:shd w:val="clear" w:color="auto" w:fill="auto"/>
            <w:vAlign w:val="bottom"/>
          </w:tcPr>
          <w:p w14:paraId="74DDF4EA" w14:textId="77777777" w:rsidR="00584EC1" w:rsidRDefault="00584EC1">
            <w:pPr>
              <w:rPr>
                <w:rFonts w:ascii="宋体"/>
              </w:rPr>
            </w:pPr>
          </w:p>
        </w:tc>
        <w:tc>
          <w:tcPr>
            <w:tcW w:w="5" w:type="pct"/>
            <w:shd w:val="clear" w:color="auto" w:fill="auto"/>
            <w:vAlign w:val="bottom"/>
          </w:tcPr>
          <w:p w14:paraId="74DDF4EB" w14:textId="77777777" w:rsidR="00584EC1" w:rsidRDefault="00584EC1">
            <w:pPr>
              <w:rPr>
                <w:rFonts w:ascii="宋体"/>
              </w:rPr>
            </w:pPr>
          </w:p>
        </w:tc>
        <w:tc>
          <w:tcPr>
            <w:tcW w:w="26" w:type="pct"/>
            <w:shd w:val="clear" w:color="auto" w:fill="auto"/>
            <w:vAlign w:val="bottom"/>
          </w:tcPr>
          <w:p w14:paraId="74DDF4EC" w14:textId="77777777" w:rsidR="00584EC1" w:rsidRDefault="00584EC1">
            <w:pPr>
              <w:rPr>
                <w:rFonts w:ascii="宋体"/>
              </w:rPr>
            </w:pPr>
          </w:p>
        </w:tc>
        <w:tc>
          <w:tcPr>
            <w:tcW w:w="5" w:type="pct"/>
            <w:shd w:val="clear" w:color="auto" w:fill="auto"/>
            <w:vAlign w:val="bottom"/>
          </w:tcPr>
          <w:p w14:paraId="74DDF4ED" w14:textId="77777777" w:rsidR="00584EC1" w:rsidRDefault="00584EC1">
            <w:pPr>
              <w:rPr>
                <w:rFonts w:ascii="宋体"/>
              </w:rPr>
            </w:pPr>
          </w:p>
        </w:tc>
        <w:tc>
          <w:tcPr>
            <w:tcW w:w="50" w:type="pct"/>
            <w:shd w:val="clear" w:color="auto" w:fill="auto"/>
            <w:vAlign w:val="bottom"/>
          </w:tcPr>
          <w:p w14:paraId="74DDF4EE" w14:textId="77777777" w:rsidR="00584EC1" w:rsidRDefault="00584EC1">
            <w:pPr>
              <w:rPr>
                <w:rFonts w:ascii="宋体"/>
              </w:rPr>
            </w:pPr>
          </w:p>
        </w:tc>
        <w:tc>
          <w:tcPr>
            <w:tcW w:w="990" w:type="pct"/>
            <w:shd w:val="clear" w:color="auto" w:fill="auto"/>
            <w:vAlign w:val="bottom"/>
          </w:tcPr>
          <w:p w14:paraId="74DDF4EF" w14:textId="77777777" w:rsidR="00584EC1" w:rsidRDefault="00584EC1">
            <w:pPr>
              <w:rPr>
                <w:rFonts w:ascii="宋体"/>
              </w:rPr>
            </w:pPr>
          </w:p>
        </w:tc>
        <w:tc>
          <w:tcPr>
            <w:tcW w:w="5" w:type="pct"/>
            <w:shd w:val="clear" w:color="auto" w:fill="auto"/>
            <w:vAlign w:val="bottom"/>
          </w:tcPr>
          <w:p w14:paraId="74DDF4F0" w14:textId="77777777" w:rsidR="00584EC1" w:rsidRDefault="00584EC1">
            <w:pPr>
              <w:rPr>
                <w:rFonts w:ascii="宋体"/>
              </w:rPr>
            </w:pPr>
          </w:p>
        </w:tc>
        <w:tc>
          <w:tcPr>
            <w:tcW w:w="0" w:type="auto"/>
            <w:gridSpan w:val="3"/>
            <w:shd w:val="clear" w:color="auto" w:fill="auto"/>
            <w:vAlign w:val="bottom"/>
          </w:tcPr>
          <w:p w14:paraId="74DDF4F1" w14:textId="77777777" w:rsidR="00584EC1" w:rsidRDefault="00584EC1">
            <w:pPr>
              <w:rPr>
                <w:rFonts w:ascii="宋体"/>
                <w:vanish/>
              </w:rPr>
            </w:pPr>
          </w:p>
        </w:tc>
        <w:tc>
          <w:tcPr>
            <w:tcW w:w="0" w:type="auto"/>
            <w:gridSpan w:val="3"/>
            <w:shd w:val="clear" w:color="auto" w:fill="auto"/>
            <w:vAlign w:val="bottom"/>
          </w:tcPr>
          <w:p w14:paraId="74DDF4F2" w14:textId="77777777" w:rsidR="00584EC1" w:rsidRDefault="00584EC1">
            <w:pPr>
              <w:rPr>
                <w:rFonts w:ascii="宋体"/>
                <w:vanish/>
              </w:rPr>
            </w:pPr>
          </w:p>
        </w:tc>
      </w:tr>
      <w:tr w:rsidR="00584EC1" w14:paraId="74DDF4F8" w14:textId="77777777">
        <w:trPr>
          <w:jc w:val="center"/>
        </w:trPr>
        <w:tc>
          <w:tcPr>
            <w:tcW w:w="0" w:type="auto"/>
            <w:gridSpan w:val="3"/>
            <w:shd w:val="clear" w:color="auto" w:fill="auto"/>
            <w:tcMar>
              <w:top w:w="0" w:type="dxa"/>
              <w:left w:w="20" w:type="dxa"/>
              <w:bottom w:w="0" w:type="dxa"/>
              <w:right w:w="20" w:type="dxa"/>
            </w:tcMar>
            <w:vAlign w:val="bottom"/>
          </w:tcPr>
          <w:p w14:paraId="74DDF4F4" w14:textId="77777777" w:rsidR="00584EC1" w:rsidRDefault="00584EC1">
            <w:pPr>
              <w:rPr>
                <w:rFonts w:ascii="宋体"/>
              </w:rPr>
            </w:pPr>
          </w:p>
        </w:tc>
        <w:tc>
          <w:tcPr>
            <w:tcW w:w="0" w:type="auto"/>
            <w:gridSpan w:val="15"/>
            <w:tcBorders>
              <w:bottom w:val="single" w:sz="8" w:space="0" w:color="000000"/>
            </w:tcBorders>
            <w:shd w:val="clear" w:color="auto" w:fill="auto"/>
            <w:tcMar>
              <w:top w:w="40" w:type="dxa"/>
              <w:left w:w="20" w:type="dxa"/>
              <w:bottom w:w="40" w:type="dxa"/>
              <w:right w:w="20" w:type="dxa"/>
            </w:tcMar>
            <w:vAlign w:val="bottom"/>
          </w:tcPr>
          <w:p w14:paraId="74DDF4F5" w14:textId="77777777" w:rsidR="00584EC1" w:rsidRDefault="00871F8D">
            <w:pPr>
              <w:jc w:val="center"/>
              <w:textAlignment w:val="bottom"/>
            </w:pPr>
            <w:r>
              <w:rPr>
                <w:rFonts w:ascii="Arial" w:eastAsia="宋体" w:hAnsi="Arial" w:cs="Arial"/>
                <w:b/>
                <w:bCs/>
                <w:color w:val="000000"/>
                <w:sz w:val="16"/>
                <w:szCs w:val="16"/>
              </w:rPr>
              <w:t xml:space="preserve">September </w:t>
            </w:r>
            <w:r>
              <w:rPr>
                <w:rFonts w:ascii="Arial" w:eastAsia="宋体" w:hAnsi="Arial" w:cs="Arial"/>
                <w:b/>
                <w:bCs/>
                <w:color w:val="000000"/>
                <w:sz w:val="16"/>
                <w:szCs w:val="16"/>
              </w:rPr>
              <w:t>30, 2021</w:t>
            </w:r>
          </w:p>
        </w:tc>
        <w:tc>
          <w:tcPr>
            <w:tcW w:w="0" w:type="auto"/>
            <w:gridSpan w:val="3"/>
            <w:shd w:val="clear" w:color="auto" w:fill="auto"/>
            <w:vAlign w:val="bottom"/>
          </w:tcPr>
          <w:p w14:paraId="74DDF4F6" w14:textId="77777777" w:rsidR="00584EC1" w:rsidRDefault="00584EC1">
            <w:pPr>
              <w:rPr>
                <w:rFonts w:ascii="宋体"/>
                <w:vanish/>
              </w:rPr>
            </w:pPr>
          </w:p>
        </w:tc>
        <w:tc>
          <w:tcPr>
            <w:tcW w:w="0" w:type="auto"/>
            <w:gridSpan w:val="3"/>
            <w:shd w:val="clear" w:color="auto" w:fill="auto"/>
            <w:vAlign w:val="bottom"/>
          </w:tcPr>
          <w:p w14:paraId="74DDF4F7" w14:textId="77777777" w:rsidR="00584EC1" w:rsidRDefault="00584EC1">
            <w:pPr>
              <w:rPr>
                <w:rFonts w:ascii="宋体"/>
                <w:vanish/>
              </w:rPr>
            </w:pPr>
          </w:p>
        </w:tc>
      </w:tr>
      <w:tr w:rsidR="00584EC1" w14:paraId="74DDF4FF" w14:textId="77777777">
        <w:trPr>
          <w:jc w:val="center"/>
        </w:trPr>
        <w:tc>
          <w:tcPr>
            <w:tcW w:w="0" w:type="auto"/>
            <w:gridSpan w:val="3"/>
            <w:shd w:val="clear" w:color="auto" w:fill="auto"/>
            <w:tcMar>
              <w:top w:w="0" w:type="dxa"/>
              <w:left w:w="20" w:type="dxa"/>
              <w:bottom w:w="0" w:type="dxa"/>
              <w:right w:w="20" w:type="dxa"/>
            </w:tcMar>
            <w:vAlign w:val="bottom"/>
          </w:tcPr>
          <w:p w14:paraId="74DDF4F9"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4FA"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4FB" w14:textId="77777777" w:rsidR="00584EC1" w:rsidRDefault="00584E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4DDF4FC" w14:textId="77777777" w:rsidR="00584EC1" w:rsidRDefault="00871F8D">
            <w:pPr>
              <w:jc w:val="center"/>
              <w:textAlignment w:val="bottom"/>
            </w:pPr>
            <w:r>
              <w:rPr>
                <w:rFonts w:ascii="Arial" w:eastAsia="宋体" w:hAnsi="Arial" w:cs="Arial"/>
                <w:b/>
                <w:bCs/>
                <w:color w:val="000000"/>
                <w:sz w:val="16"/>
                <w:szCs w:val="16"/>
              </w:rPr>
              <w:t>Cumulative Fair Value Hedging Adjustment Increasing (Decreasing) the carrying amount</w:t>
            </w:r>
          </w:p>
        </w:tc>
        <w:tc>
          <w:tcPr>
            <w:tcW w:w="0" w:type="auto"/>
            <w:gridSpan w:val="3"/>
            <w:shd w:val="clear" w:color="auto" w:fill="auto"/>
            <w:vAlign w:val="bottom"/>
          </w:tcPr>
          <w:p w14:paraId="74DDF4FD" w14:textId="77777777" w:rsidR="00584EC1" w:rsidRDefault="00584EC1">
            <w:pPr>
              <w:rPr>
                <w:rFonts w:ascii="宋体"/>
                <w:vanish/>
              </w:rPr>
            </w:pPr>
          </w:p>
        </w:tc>
        <w:tc>
          <w:tcPr>
            <w:tcW w:w="0" w:type="auto"/>
            <w:gridSpan w:val="3"/>
            <w:shd w:val="clear" w:color="auto" w:fill="auto"/>
            <w:vAlign w:val="bottom"/>
          </w:tcPr>
          <w:p w14:paraId="74DDF4FE" w14:textId="77777777" w:rsidR="00584EC1" w:rsidRDefault="00584EC1">
            <w:pPr>
              <w:rPr>
                <w:rFonts w:ascii="宋体"/>
                <w:vanish/>
              </w:rPr>
            </w:pPr>
          </w:p>
        </w:tc>
      </w:tr>
      <w:tr w:rsidR="00584EC1" w14:paraId="74DDF508" w14:textId="77777777">
        <w:trPr>
          <w:jc w:val="center"/>
        </w:trPr>
        <w:tc>
          <w:tcPr>
            <w:tcW w:w="0" w:type="auto"/>
            <w:gridSpan w:val="3"/>
            <w:shd w:val="clear" w:color="auto" w:fill="auto"/>
            <w:tcMar>
              <w:top w:w="40" w:type="dxa"/>
              <w:left w:w="20" w:type="dxa"/>
              <w:bottom w:w="40" w:type="dxa"/>
              <w:right w:w="20" w:type="dxa"/>
            </w:tcMar>
            <w:vAlign w:val="bottom"/>
          </w:tcPr>
          <w:p w14:paraId="74DDF500" w14:textId="77777777" w:rsidR="00584EC1" w:rsidRDefault="00871F8D">
            <w:pPr>
              <w:textAlignment w:val="bottom"/>
            </w:pPr>
            <w:r>
              <w:rPr>
                <w:rFonts w:ascii="Arial" w:eastAsia="宋体" w:hAnsi="Arial" w:cs="Arial"/>
                <w:b/>
                <w:bCs/>
                <w:color w:val="000000"/>
                <w:sz w:val="16"/>
                <w:szCs w:val="16"/>
              </w:rPr>
              <w:t>(In millions)</w:t>
            </w:r>
          </w:p>
        </w:tc>
        <w:tc>
          <w:tcPr>
            <w:tcW w:w="0" w:type="auto"/>
            <w:gridSpan w:val="3"/>
            <w:shd w:val="clear" w:color="auto" w:fill="auto"/>
            <w:tcMar>
              <w:top w:w="40" w:type="dxa"/>
              <w:left w:w="20" w:type="dxa"/>
              <w:bottom w:w="40" w:type="dxa"/>
              <w:right w:w="20" w:type="dxa"/>
            </w:tcMar>
            <w:vAlign w:val="bottom"/>
          </w:tcPr>
          <w:p w14:paraId="74DDF501" w14:textId="77777777" w:rsidR="00584EC1" w:rsidRDefault="00871F8D">
            <w:pPr>
              <w:jc w:val="center"/>
              <w:textAlignment w:val="bottom"/>
            </w:pPr>
            <w:r>
              <w:rPr>
                <w:rFonts w:ascii="Arial" w:eastAsia="宋体" w:hAnsi="Arial" w:cs="Arial"/>
                <w:b/>
                <w:bCs/>
                <w:color w:val="000000"/>
                <w:sz w:val="16"/>
                <w:szCs w:val="16"/>
              </w:rPr>
              <w:t>Carrying Amount of Hedged Assets/Liabilities</w:t>
            </w:r>
          </w:p>
        </w:tc>
        <w:tc>
          <w:tcPr>
            <w:tcW w:w="0" w:type="auto"/>
            <w:gridSpan w:val="3"/>
            <w:shd w:val="clear" w:color="auto" w:fill="auto"/>
            <w:tcMar>
              <w:top w:w="0" w:type="dxa"/>
              <w:left w:w="20" w:type="dxa"/>
              <w:bottom w:w="0" w:type="dxa"/>
              <w:right w:w="20" w:type="dxa"/>
            </w:tcMar>
            <w:vAlign w:val="bottom"/>
          </w:tcPr>
          <w:p w14:paraId="74DDF502"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F503" w14:textId="77777777" w:rsidR="00584EC1" w:rsidRDefault="00871F8D">
            <w:pPr>
              <w:jc w:val="center"/>
              <w:textAlignment w:val="bottom"/>
            </w:pPr>
            <w:r>
              <w:rPr>
                <w:rFonts w:ascii="Arial" w:eastAsia="宋体" w:hAnsi="Arial" w:cs="Arial"/>
                <w:b/>
                <w:bCs/>
                <w:color w:val="000000"/>
                <w:sz w:val="16"/>
                <w:szCs w:val="16"/>
              </w:rPr>
              <w:t>Active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504"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F505" w14:textId="77777777" w:rsidR="00584EC1" w:rsidRDefault="00871F8D">
            <w:pPr>
              <w:jc w:val="center"/>
              <w:textAlignment w:val="bottom"/>
            </w:pPr>
            <w:r>
              <w:rPr>
                <w:rFonts w:ascii="Arial" w:eastAsia="宋体" w:hAnsi="Arial" w:cs="Arial"/>
                <w:b/>
                <w:bCs/>
                <w:color w:val="000000"/>
                <w:sz w:val="16"/>
                <w:szCs w:val="16"/>
              </w:rPr>
              <w:t>De-designated</w:t>
            </w:r>
            <w:r>
              <w:rPr>
                <w:rFonts w:ascii="Arial" w:eastAsia="宋体" w:hAnsi="Arial" w:cs="Arial"/>
                <w:b/>
                <w:bCs/>
                <w:color w:val="000000"/>
                <w:sz w:val="10"/>
                <w:szCs w:val="10"/>
              </w:rPr>
              <w:t>(1)</w:t>
            </w:r>
          </w:p>
        </w:tc>
        <w:tc>
          <w:tcPr>
            <w:tcW w:w="0" w:type="auto"/>
            <w:gridSpan w:val="3"/>
            <w:shd w:val="clear" w:color="auto" w:fill="auto"/>
            <w:vAlign w:val="bottom"/>
          </w:tcPr>
          <w:p w14:paraId="74DDF506" w14:textId="77777777" w:rsidR="00584EC1" w:rsidRDefault="00584EC1">
            <w:pPr>
              <w:rPr>
                <w:rFonts w:ascii="宋体"/>
                <w:vanish/>
              </w:rPr>
            </w:pPr>
          </w:p>
        </w:tc>
        <w:tc>
          <w:tcPr>
            <w:tcW w:w="0" w:type="auto"/>
            <w:gridSpan w:val="3"/>
            <w:shd w:val="clear" w:color="auto" w:fill="auto"/>
            <w:vAlign w:val="bottom"/>
          </w:tcPr>
          <w:p w14:paraId="74DDF507" w14:textId="77777777" w:rsidR="00584EC1" w:rsidRDefault="00584EC1">
            <w:pPr>
              <w:rPr>
                <w:rFonts w:ascii="宋体"/>
                <w:vanish/>
              </w:rPr>
            </w:pPr>
          </w:p>
        </w:tc>
      </w:tr>
      <w:tr w:rsidR="00584EC1" w14:paraId="74DDF517" w14:textId="77777777">
        <w:trPr>
          <w:jc w:val="center"/>
        </w:trPr>
        <w:tc>
          <w:tcPr>
            <w:tcW w:w="0" w:type="auto"/>
            <w:gridSpan w:val="3"/>
            <w:shd w:val="clear" w:color="auto" w:fill="CCEEFF"/>
            <w:tcMar>
              <w:top w:w="40" w:type="dxa"/>
              <w:left w:w="20" w:type="dxa"/>
              <w:bottom w:w="40" w:type="dxa"/>
              <w:right w:w="20" w:type="dxa"/>
            </w:tcMar>
            <w:vAlign w:val="bottom"/>
          </w:tcPr>
          <w:p w14:paraId="74DDF509" w14:textId="77777777" w:rsidR="00584EC1" w:rsidRDefault="00871F8D">
            <w:pPr>
              <w:textAlignment w:val="bottom"/>
            </w:pPr>
            <w:r>
              <w:rPr>
                <w:rFonts w:ascii="Arial" w:eastAsia="宋体" w:hAnsi="Arial" w:cs="Arial"/>
                <w:color w:val="000000"/>
                <w:sz w:val="16"/>
                <w:szCs w:val="16"/>
              </w:rPr>
              <w:t>Long-term debt</w:t>
            </w:r>
          </w:p>
        </w:tc>
        <w:tc>
          <w:tcPr>
            <w:tcW w:w="0" w:type="auto"/>
            <w:tcBorders>
              <w:top w:val="single" w:sz="8" w:space="0" w:color="000000"/>
            </w:tcBorders>
            <w:shd w:val="clear" w:color="auto" w:fill="CCEEFF"/>
            <w:tcMar>
              <w:top w:w="40" w:type="dxa"/>
              <w:left w:w="20" w:type="dxa"/>
              <w:bottom w:w="40" w:type="dxa"/>
              <w:right w:w="0" w:type="dxa"/>
            </w:tcMar>
            <w:vAlign w:val="bottom"/>
          </w:tcPr>
          <w:p w14:paraId="74DDF50A" w14:textId="77777777" w:rsidR="00584EC1" w:rsidRDefault="00871F8D">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F50B" w14:textId="77777777" w:rsidR="00584EC1" w:rsidRDefault="00871F8D">
            <w:pPr>
              <w:jc w:val="right"/>
              <w:textAlignment w:val="bottom"/>
            </w:pPr>
            <w:r>
              <w:rPr>
                <w:rFonts w:ascii="Arial" w:eastAsia="宋体" w:hAnsi="Arial" w:cs="Arial"/>
                <w:b/>
                <w:bCs/>
                <w:color w:val="000000"/>
                <w:sz w:val="16"/>
                <w:szCs w:val="16"/>
              </w:rPr>
              <w:t>9,024</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F50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50D"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F50E" w14:textId="77777777" w:rsidR="00584EC1" w:rsidRDefault="00871F8D">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F50F" w14:textId="77777777" w:rsidR="00584EC1" w:rsidRDefault="00871F8D">
            <w:pPr>
              <w:jc w:val="right"/>
              <w:textAlignment w:val="bottom"/>
            </w:pPr>
            <w:r>
              <w:rPr>
                <w:rFonts w:ascii="Arial" w:eastAsia="宋体" w:hAnsi="Arial" w:cs="Arial"/>
                <w:b/>
                <w:bCs/>
                <w:color w:val="000000"/>
                <w:sz w:val="16"/>
                <w:szCs w:val="16"/>
              </w:rPr>
              <w:t>(14)</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F51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511"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F512" w14:textId="77777777" w:rsidR="00584EC1" w:rsidRDefault="00871F8D">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F513" w14:textId="77777777" w:rsidR="00584EC1" w:rsidRDefault="00871F8D">
            <w:pPr>
              <w:jc w:val="right"/>
              <w:textAlignment w:val="bottom"/>
            </w:pPr>
            <w:r>
              <w:rPr>
                <w:rFonts w:ascii="Arial" w:eastAsia="宋体" w:hAnsi="Arial" w:cs="Arial"/>
                <w:b/>
                <w:bCs/>
                <w:color w:val="000000"/>
                <w:sz w:val="16"/>
                <w:szCs w:val="16"/>
              </w:rPr>
              <w:t>554</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F514" w14:textId="77777777" w:rsidR="00584EC1" w:rsidRDefault="00584EC1">
            <w:pPr>
              <w:jc w:val="right"/>
              <w:rPr>
                <w:rFonts w:ascii="宋体"/>
              </w:rPr>
            </w:pPr>
          </w:p>
        </w:tc>
        <w:tc>
          <w:tcPr>
            <w:tcW w:w="0" w:type="auto"/>
            <w:gridSpan w:val="3"/>
            <w:shd w:val="clear" w:color="auto" w:fill="auto"/>
            <w:vAlign w:val="bottom"/>
          </w:tcPr>
          <w:p w14:paraId="74DDF515" w14:textId="77777777" w:rsidR="00584EC1" w:rsidRDefault="00584EC1">
            <w:pPr>
              <w:rPr>
                <w:rFonts w:ascii="宋体"/>
                <w:vanish/>
              </w:rPr>
            </w:pPr>
          </w:p>
        </w:tc>
        <w:tc>
          <w:tcPr>
            <w:tcW w:w="0" w:type="auto"/>
            <w:gridSpan w:val="3"/>
            <w:shd w:val="clear" w:color="auto" w:fill="auto"/>
            <w:vAlign w:val="bottom"/>
          </w:tcPr>
          <w:p w14:paraId="74DDF516" w14:textId="77777777" w:rsidR="00584EC1" w:rsidRDefault="00584EC1">
            <w:pPr>
              <w:rPr>
                <w:rFonts w:ascii="宋体"/>
                <w:vanish/>
              </w:rPr>
            </w:pPr>
          </w:p>
        </w:tc>
      </w:tr>
      <w:tr w:rsidR="00584EC1" w14:paraId="74DDF523" w14:textId="77777777">
        <w:trPr>
          <w:jc w:val="center"/>
        </w:trPr>
        <w:tc>
          <w:tcPr>
            <w:tcW w:w="0" w:type="auto"/>
            <w:gridSpan w:val="3"/>
            <w:shd w:val="clear" w:color="auto" w:fill="FFFFFF"/>
            <w:tcMar>
              <w:top w:w="40" w:type="dxa"/>
              <w:left w:w="20" w:type="dxa"/>
              <w:bottom w:w="40" w:type="dxa"/>
              <w:right w:w="20" w:type="dxa"/>
            </w:tcMar>
            <w:vAlign w:val="bottom"/>
          </w:tcPr>
          <w:p w14:paraId="74DDF518" w14:textId="77777777" w:rsidR="00584EC1" w:rsidRDefault="00871F8D">
            <w:pPr>
              <w:textAlignment w:val="bottom"/>
            </w:pPr>
            <w:r>
              <w:rPr>
                <w:rFonts w:ascii="Arial" w:eastAsia="宋体" w:hAnsi="Arial" w:cs="Arial"/>
                <w:color w:val="000000"/>
                <w:sz w:val="16"/>
                <w:szCs w:val="16"/>
              </w:rPr>
              <w:t>Available-for-sale securities</w:t>
            </w:r>
          </w:p>
        </w:tc>
        <w:tc>
          <w:tcPr>
            <w:tcW w:w="0" w:type="auto"/>
            <w:gridSpan w:val="2"/>
            <w:shd w:val="clear" w:color="auto" w:fill="FFFFFF"/>
            <w:tcMar>
              <w:top w:w="40" w:type="dxa"/>
              <w:left w:w="20" w:type="dxa"/>
              <w:bottom w:w="40" w:type="dxa"/>
              <w:right w:w="0" w:type="dxa"/>
            </w:tcMar>
            <w:vAlign w:val="bottom"/>
          </w:tcPr>
          <w:p w14:paraId="74DDF519" w14:textId="77777777" w:rsidR="00584EC1" w:rsidRDefault="00871F8D">
            <w:pPr>
              <w:jc w:val="right"/>
              <w:textAlignment w:val="bottom"/>
            </w:pPr>
            <w:r>
              <w:rPr>
                <w:rFonts w:ascii="Arial" w:eastAsia="宋体" w:hAnsi="Arial" w:cs="Arial"/>
                <w:b/>
                <w:bCs/>
                <w:color w:val="000000"/>
                <w:sz w:val="16"/>
                <w:szCs w:val="16"/>
              </w:rPr>
              <w:t>2,420</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74DDF51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51B"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51C" w14:textId="77777777" w:rsidR="00584EC1" w:rsidRDefault="00871F8D">
            <w:pPr>
              <w:jc w:val="right"/>
              <w:textAlignment w:val="bottom"/>
            </w:pPr>
            <w:r>
              <w:rPr>
                <w:rFonts w:ascii="Arial" w:eastAsia="宋体" w:hAnsi="Arial" w:cs="Arial"/>
                <w:b/>
                <w:bCs/>
                <w:color w:val="000000"/>
                <w:sz w:val="16"/>
                <w:szCs w:val="16"/>
              </w:rPr>
              <w:t>4</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74DDF51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51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51F" w14:textId="77777777" w:rsidR="00584EC1" w:rsidRDefault="00871F8D">
            <w:pPr>
              <w:jc w:val="right"/>
              <w:textAlignment w:val="bottom"/>
            </w:pPr>
            <w:r>
              <w:rPr>
                <w:rFonts w:ascii="Arial" w:eastAsia="宋体" w:hAnsi="Arial" w:cs="Arial"/>
                <w:b/>
                <w:bCs/>
                <w:color w:val="000000"/>
                <w:sz w:val="16"/>
                <w:szCs w:val="16"/>
              </w:rPr>
              <w:t>28</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74DDF520" w14:textId="77777777" w:rsidR="00584EC1" w:rsidRDefault="00584EC1">
            <w:pPr>
              <w:jc w:val="right"/>
              <w:rPr>
                <w:rFonts w:ascii="宋体"/>
              </w:rPr>
            </w:pPr>
          </w:p>
        </w:tc>
        <w:tc>
          <w:tcPr>
            <w:tcW w:w="0" w:type="auto"/>
            <w:gridSpan w:val="3"/>
            <w:shd w:val="clear" w:color="auto" w:fill="auto"/>
            <w:vAlign w:val="bottom"/>
          </w:tcPr>
          <w:p w14:paraId="74DDF521" w14:textId="77777777" w:rsidR="00584EC1" w:rsidRDefault="00584EC1">
            <w:pPr>
              <w:rPr>
                <w:rFonts w:ascii="宋体"/>
                <w:vanish/>
              </w:rPr>
            </w:pPr>
          </w:p>
        </w:tc>
        <w:tc>
          <w:tcPr>
            <w:tcW w:w="0" w:type="auto"/>
            <w:gridSpan w:val="3"/>
            <w:shd w:val="clear" w:color="auto" w:fill="auto"/>
            <w:vAlign w:val="bottom"/>
          </w:tcPr>
          <w:p w14:paraId="74DDF522" w14:textId="77777777" w:rsidR="00584EC1" w:rsidRDefault="00584EC1">
            <w:pPr>
              <w:rPr>
                <w:rFonts w:ascii="宋体"/>
                <w:vanish/>
              </w:rPr>
            </w:pPr>
          </w:p>
        </w:tc>
      </w:tr>
      <w:tr w:rsidR="00584EC1" w14:paraId="74DDF52C" w14:textId="77777777">
        <w:trPr>
          <w:trHeight w:val="220"/>
          <w:jc w:val="center"/>
        </w:trPr>
        <w:tc>
          <w:tcPr>
            <w:tcW w:w="0" w:type="auto"/>
            <w:gridSpan w:val="3"/>
            <w:shd w:val="clear" w:color="auto" w:fill="auto"/>
            <w:tcMar>
              <w:top w:w="0" w:type="dxa"/>
              <w:left w:w="20" w:type="dxa"/>
              <w:bottom w:w="0" w:type="dxa"/>
              <w:right w:w="20" w:type="dxa"/>
            </w:tcMar>
            <w:vAlign w:val="bottom"/>
          </w:tcPr>
          <w:p w14:paraId="74DDF524"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52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526"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527"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528"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529" w14:textId="77777777" w:rsidR="00584EC1" w:rsidRDefault="00584EC1">
            <w:pPr>
              <w:rPr>
                <w:rFonts w:ascii="宋体"/>
              </w:rPr>
            </w:pPr>
          </w:p>
        </w:tc>
        <w:tc>
          <w:tcPr>
            <w:tcW w:w="0" w:type="auto"/>
            <w:gridSpan w:val="3"/>
            <w:shd w:val="clear" w:color="auto" w:fill="auto"/>
            <w:vAlign w:val="bottom"/>
          </w:tcPr>
          <w:p w14:paraId="74DDF52A" w14:textId="77777777" w:rsidR="00584EC1" w:rsidRDefault="00584EC1">
            <w:pPr>
              <w:rPr>
                <w:rFonts w:ascii="宋体"/>
                <w:vanish/>
              </w:rPr>
            </w:pPr>
          </w:p>
        </w:tc>
        <w:tc>
          <w:tcPr>
            <w:tcW w:w="0" w:type="auto"/>
            <w:gridSpan w:val="3"/>
            <w:shd w:val="clear" w:color="auto" w:fill="auto"/>
            <w:vAlign w:val="bottom"/>
          </w:tcPr>
          <w:p w14:paraId="74DDF52B" w14:textId="77777777" w:rsidR="00584EC1" w:rsidRDefault="00584EC1">
            <w:pPr>
              <w:rPr>
                <w:rFonts w:ascii="宋体"/>
                <w:vanish/>
              </w:rPr>
            </w:pPr>
          </w:p>
        </w:tc>
      </w:tr>
      <w:tr w:rsidR="00584EC1" w14:paraId="74DDF531" w14:textId="77777777">
        <w:trPr>
          <w:jc w:val="center"/>
        </w:trPr>
        <w:tc>
          <w:tcPr>
            <w:tcW w:w="0" w:type="auto"/>
            <w:gridSpan w:val="3"/>
            <w:shd w:val="clear" w:color="auto" w:fill="auto"/>
            <w:tcMar>
              <w:top w:w="0" w:type="dxa"/>
              <w:left w:w="20" w:type="dxa"/>
              <w:bottom w:w="0" w:type="dxa"/>
              <w:right w:w="20" w:type="dxa"/>
            </w:tcMar>
            <w:vAlign w:val="bottom"/>
          </w:tcPr>
          <w:p w14:paraId="74DDF52D" w14:textId="77777777" w:rsidR="00584EC1" w:rsidRDefault="00584EC1">
            <w:pPr>
              <w:rPr>
                <w:rFonts w:ascii="宋体"/>
              </w:rPr>
            </w:pPr>
          </w:p>
        </w:tc>
        <w:tc>
          <w:tcPr>
            <w:tcW w:w="0" w:type="auto"/>
            <w:gridSpan w:val="15"/>
            <w:tcBorders>
              <w:bottom w:val="single" w:sz="8" w:space="0" w:color="000000"/>
            </w:tcBorders>
            <w:shd w:val="clear" w:color="auto" w:fill="auto"/>
            <w:tcMar>
              <w:top w:w="40" w:type="dxa"/>
              <w:left w:w="20" w:type="dxa"/>
              <w:bottom w:w="40" w:type="dxa"/>
              <w:right w:w="20" w:type="dxa"/>
            </w:tcMar>
            <w:vAlign w:val="bottom"/>
          </w:tcPr>
          <w:p w14:paraId="74DDF52E" w14:textId="77777777" w:rsidR="00584EC1" w:rsidRDefault="00871F8D">
            <w:pPr>
              <w:jc w:val="center"/>
              <w:textAlignment w:val="bottom"/>
            </w:pPr>
            <w:r>
              <w:rPr>
                <w:rFonts w:ascii="Arial" w:eastAsia="宋体" w:hAnsi="Arial" w:cs="Arial"/>
                <w:b/>
                <w:bCs/>
                <w:color w:val="000000"/>
                <w:sz w:val="16"/>
                <w:szCs w:val="16"/>
              </w:rPr>
              <w:t>December 31, 2020</w:t>
            </w:r>
          </w:p>
        </w:tc>
        <w:tc>
          <w:tcPr>
            <w:tcW w:w="0" w:type="auto"/>
            <w:gridSpan w:val="3"/>
            <w:shd w:val="clear" w:color="auto" w:fill="auto"/>
            <w:vAlign w:val="bottom"/>
          </w:tcPr>
          <w:p w14:paraId="74DDF52F" w14:textId="77777777" w:rsidR="00584EC1" w:rsidRDefault="00584EC1">
            <w:pPr>
              <w:rPr>
                <w:rFonts w:ascii="宋体"/>
                <w:vanish/>
              </w:rPr>
            </w:pPr>
          </w:p>
        </w:tc>
        <w:tc>
          <w:tcPr>
            <w:tcW w:w="0" w:type="auto"/>
            <w:gridSpan w:val="3"/>
            <w:shd w:val="clear" w:color="auto" w:fill="auto"/>
            <w:vAlign w:val="bottom"/>
          </w:tcPr>
          <w:p w14:paraId="74DDF530" w14:textId="77777777" w:rsidR="00584EC1" w:rsidRDefault="00584EC1">
            <w:pPr>
              <w:rPr>
                <w:rFonts w:ascii="宋体"/>
                <w:vanish/>
              </w:rPr>
            </w:pPr>
          </w:p>
        </w:tc>
      </w:tr>
      <w:tr w:rsidR="00584EC1" w14:paraId="74DDF538" w14:textId="77777777">
        <w:trPr>
          <w:jc w:val="center"/>
        </w:trPr>
        <w:tc>
          <w:tcPr>
            <w:tcW w:w="0" w:type="auto"/>
            <w:gridSpan w:val="3"/>
            <w:shd w:val="clear" w:color="auto" w:fill="auto"/>
            <w:tcMar>
              <w:top w:w="0" w:type="dxa"/>
              <w:left w:w="20" w:type="dxa"/>
              <w:bottom w:w="0" w:type="dxa"/>
              <w:right w:w="20" w:type="dxa"/>
            </w:tcMar>
            <w:vAlign w:val="bottom"/>
          </w:tcPr>
          <w:p w14:paraId="74DDF532"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533"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534" w14:textId="77777777" w:rsidR="00584EC1" w:rsidRDefault="00584E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4DDF535" w14:textId="77777777" w:rsidR="00584EC1" w:rsidRDefault="00871F8D">
            <w:pPr>
              <w:jc w:val="center"/>
              <w:textAlignment w:val="bottom"/>
            </w:pPr>
            <w:r>
              <w:rPr>
                <w:rFonts w:ascii="Arial" w:eastAsia="宋体" w:hAnsi="Arial" w:cs="Arial"/>
                <w:b/>
                <w:bCs/>
                <w:color w:val="000000"/>
                <w:sz w:val="16"/>
                <w:szCs w:val="16"/>
              </w:rPr>
              <w:t>Cumulative Fair Value Hedging Adjustment Increasing (Decreasing) the carrying amount</w:t>
            </w:r>
          </w:p>
        </w:tc>
        <w:tc>
          <w:tcPr>
            <w:tcW w:w="0" w:type="auto"/>
            <w:gridSpan w:val="3"/>
            <w:shd w:val="clear" w:color="auto" w:fill="auto"/>
            <w:vAlign w:val="bottom"/>
          </w:tcPr>
          <w:p w14:paraId="74DDF536" w14:textId="77777777" w:rsidR="00584EC1" w:rsidRDefault="00584EC1">
            <w:pPr>
              <w:rPr>
                <w:rFonts w:ascii="宋体"/>
                <w:vanish/>
              </w:rPr>
            </w:pPr>
          </w:p>
        </w:tc>
        <w:tc>
          <w:tcPr>
            <w:tcW w:w="0" w:type="auto"/>
            <w:gridSpan w:val="3"/>
            <w:shd w:val="clear" w:color="auto" w:fill="auto"/>
            <w:vAlign w:val="bottom"/>
          </w:tcPr>
          <w:p w14:paraId="74DDF537" w14:textId="77777777" w:rsidR="00584EC1" w:rsidRDefault="00584EC1">
            <w:pPr>
              <w:rPr>
                <w:rFonts w:ascii="宋体"/>
                <w:vanish/>
              </w:rPr>
            </w:pPr>
          </w:p>
        </w:tc>
      </w:tr>
      <w:tr w:rsidR="00584EC1" w14:paraId="74DDF541" w14:textId="77777777">
        <w:trPr>
          <w:jc w:val="center"/>
        </w:trPr>
        <w:tc>
          <w:tcPr>
            <w:tcW w:w="0" w:type="auto"/>
            <w:gridSpan w:val="3"/>
            <w:shd w:val="clear" w:color="auto" w:fill="auto"/>
            <w:tcMar>
              <w:top w:w="40" w:type="dxa"/>
              <w:left w:w="20" w:type="dxa"/>
              <w:bottom w:w="40" w:type="dxa"/>
              <w:right w:w="20" w:type="dxa"/>
            </w:tcMar>
            <w:vAlign w:val="bottom"/>
          </w:tcPr>
          <w:p w14:paraId="74DDF539" w14:textId="77777777" w:rsidR="00584EC1" w:rsidRDefault="00871F8D">
            <w:pPr>
              <w:textAlignment w:val="bottom"/>
            </w:pPr>
            <w:r>
              <w:rPr>
                <w:rFonts w:ascii="Arial" w:eastAsia="宋体" w:hAnsi="Arial" w:cs="Arial"/>
                <w:b/>
                <w:bCs/>
                <w:color w:val="000000"/>
                <w:sz w:val="16"/>
                <w:szCs w:val="16"/>
              </w:rPr>
              <w:t>(In millions)</w:t>
            </w:r>
          </w:p>
        </w:tc>
        <w:tc>
          <w:tcPr>
            <w:tcW w:w="0" w:type="auto"/>
            <w:gridSpan w:val="3"/>
            <w:shd w:val="clear" w:color="auto" w:fill="auto"/>
            <w:tcMar>
              <w:top w:w="40" w:type="dxa"/>
              <w:left w:w="20" w:type="dxa"/>
              <w:bottom w:w="40" w:type="dxa"/>
              <w:right w:w="20" w:type="dxa"/>
            </w:tcMar>
            <w:vAlign w:val="bottom"/>
          </w:tcPr>
          <w:p w14:paraId="74DDF53A" w14:textId="77777777" w:rsidR="00584EC1" w:rsidRDefault="00871F8D">
            <w:pPr>
              <w:jc w:val="center"/>
              <w:textAlignment w:val="bottom"/>
            </w:pPr>
            <w:r>
              <w:rPr>
                <w:rFonts w:ascii="Arial" w:eastAsia="宋体" w:hAnsi="Arial" w:cs="Arial"/>
                <w:b/>
                <w:bCs/>
                <w:color w:val="000000"/>
                <w:sz w:val="16"/>
                <w:szCs w:val="16"/>
              </w:rPr>
              <w:t xml:space="preserve">Carrying </w:t>
            </w:r>
            <w:r>
              <w:rPr>
                <w:rFonts w:ascii="Arial" w:eastAsia="宋体" w:hAnsi="Arial" w:cs="Arial"/>
                <w:b/>
                <w:bCs/>
                <w:color w:val="000000"/>
                <w:sz w:val="16"/>
                <w:szCs w:val="16"/>
              </w:rPr>
              <w:t>Amount of Hedged Assets/Liabilities</w:t>
            </w:r>
          </w:p>
        </w:tc>
        <w:tc>
          <w:tcPr>
            <w:tcW w:w="0" w:type="auto"/>
            <w:gridSpan w:val="3"/>
            <w:shd w:val="clear" w:color="auto" w:fill="auto"/>
            <w:tcMar>
              <w:top w:w="0" w:type="dxa"/>
              <w:left w:w="20" w:type="dxa"/>
              <w:bottom w:w="0" w:type="dxa"/>
              <w:right w:w="20" w:type="dxa"/>
            </w:tcMar>
            <w:vAlign w:val="bottom"/>
          </w:tcPr>
          <w:p w14:paraId="74DDF53B"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F53C" w14:textId="77777777" w:rsidR="00584EC1" w:rsidRDefault="00871F8D">
            <w:pPr>
              <w:jc w:val="center"/>
              <w:textAlignment w:val="bottom"/>
            </w:pPr>
            <w:r>
              <w:rPr>
                <w:rFonts w:ascii="Arial" w:eastAsia="宋体" w:hAnsi="Arial" w:cs="Arial"/>
                <w:b/>
                <w:bCs/>
                <w:color w:val="000000"/>
                <w:sz w:val="16"/>
                <w:szCs w:val="16"/>
              </w:rPr>
              <w:t>Active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53D"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F53E" w14:textId="77777777" w:rsidR="00584EC1" w:rsidRDefault="00871F8D">
            <w:pPr>
              <w:jc w:val="center"/>
              <w:textAlignment w:val="bottom"/>
            </w:pPr>
            <w:r>
              <w:rPr>
                <w:rFonts w:ascii="Arial" w:eastAsia="宋体" w:hAnsi="Arial" w:cs="Arial"/>
                <w:b/>
                <w:bCs/>
                <w:color w:val="000000"/>
                <w:sz w:val="16"/>
                <w:szCs w:val="16"/>
              </w:rPr>
              <w:t>De-designated</w:t>
            </w:r>
            <w:r>
              <w:rPr>
                <w:rFonts w:ascii="Arial" w:eastAsia="宋体" w:hAnsi="Arial" w:cs="Arial"/>
                <w:b/>
                <w:bCs/>
                <w:color w:val="000000"/>
                <w:sz w:val="10"/>
                <w:szCs w:val="10"/>
              </w:rPr>
              <w:t>(1)</w:t>
            </w:r>
          </w:p>
        </w:tc>
        <w:tc>
          <w:tcPr>
            <w:tcW w:w="0" w:type="auto"/>
            <w:gridSpan w:val="3"/>
            <w:shd w:val="clear" w:color="auto" w:fill="auto"/>
            <w:vAlign w:val="bottom"/>
          </w:tcPr>
          <w:p w14:paraId="74DDF53F" w14:textId="77777777" w:rsidR="00584EC1" w:rsidRDefault="00584EC1">
            <w:pPr>
              <w:rPr>
                <w:rFonts w:ascii="宋体"/>
                <w:vanish/>
              </w:rPr>
            </w:pPr>
          </w:p>
        </w:tc>
        <w:tc>
          <w:tcPr>
            <w:tcW w:w="0" w:type="auto"/>
            <w:gridSpan w:val="3"/>
            <w:shd w:val="clear" w:color="auto" w:fill="auto"/>
            <w:vAlign w:val="bottom"/>
          </w:tcPr>
          <w:p w14:paraId="74DDF540" w14:textId="77777777" w:rsidR="00584EC1" w:rsidRDefault="00584EC1">
            <w:pPr>
              <w:rPr>
                <w:rFonts w:ascii="宋体"/>
                <w:vanish/>
              </w:rPr>
            </w:pPr>
          </w:p>
        </w:tc>
      </w:tr>
      <w:tr w:rsidR="00584EC1" w14:paraId="74DDF550" w14:textId="77777777">
        <w:trPr>
          <w:jc w:val="center"/>
        </w:trPr>
        <w:tc>
          <w:tcPr>
            <w:tcW w:w="0" w:type="auto"/>
            <w:gridSpan w:val="3"/>
            <w:shd w:val="clear" w:color="auto" w:fill="CCEEFF"/>
            <w:tcMar>
              <w:top w:w="40" w:type="dxa"/>
              <w:left w:w="20" w:type="dxa"/>
              <w:bottom w:w="40" w:type="dxa"/>
              <w:right w:w="20" w:type="dxa"/>
            </w:tcMar>
            <w:vAlign w:val="bottom"/>
          </w:tcPr>
          <w:p w14:paraId="74DDF542" w14:textId="77777777" w:rsidR="00584EC1" w:rsidRDefault="00871F8D">
            <w:pPr>
              <w:textAlignment w:val="bottom"/>
            </w:pPr>
            <w:r>
              <w:rPr>
                <w:rFonts w:ascii="Arial" w:eastAsia="宋体" w:hAnsi="Arial" w:cs="Arial"/>
                <w:color w:val="000000"/>
                <w:sz w:val="16"/>
                <w:szCs w:val="16"/>
              </w:rPr>
              <w:t>Long-term debt</w:t>
            </w:r>
          </w:p>
        </w:tc>
        <w:tc>
          <w:tcPr>
            <w:tcW w:w="0" w:type="auto"/>
            <w:tcBorders>
              <w:top w:val="single" w:sz="8" w:space="0" w:color="000000"/>
            </w:tcBorders>
            <w:shd w:val="clear" w:color="auto" w:fill="CCEEFF"/>
            <w:tcMar>
              <w:top w:w="40" w:type="dxa"/>
              <w:left w:w="20" w:type="dxa"/>
              <w:bottom w:w="40" w:type="dxa"/>
              <w:right w:w="0" w:type="dxa"/>
            </w:tcMar>
            <w:vAlign w:val="bottom"/>
          </w:tcPr>
          <w:p w14:paraId="74DDF543" w14:textId="77777777" w:rsidR="00584EC1" w:rsidRDefault="00871F8D">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F544" w14:textId="77777777" w:rsidR="00584EC1" w:rsidRDefault="00871F8D">
            <w:pPr>
              <w:jc w:val="right"/>
              <w:textAlignment w:val="bottom"/>
            </w:pPr>
            <w:r>
              <w:rPr>
                <w:rFonts w:ascii="Arial" w:eastAsia="宋体" w:hAnsi="Arial" w:cs="Arial"/>
                <w:color w:val="000000"/>
                <w:sz w:val="16"/>
                <w:szCs w:val="16"/>
              </w:rPr>
              <w:t>10,519 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F54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546"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F547" w14:textId="77777777" w:rsidR="00584EC1" w:rsidRDefault="00871F8D">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F548" w14:textId="77777777" w:rsidR="00584EC1" w:rsidRDefault="00871F8D">
            <w:pPr>
              <w:jc w:val="right"/>
              <w:textAlignment w:val="bottom"/>
            </w:pPr>
            <w:r>
              <w:rPr>
                <w:rFonts w:ascii="Arial" w:eastAsia="宋体" w:hAnsi="Arial" w:cs="Arial"/>
                <w:color w:val="000000"/>
                <w:sz w:val="16"/>
                <w:szCs w:val="16"/>
              </w:rPr>
              <w:t>3 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F54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54A"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F54B" w14:textId="77777777" w:rsidR="00584EC1" w:rsidRDefault="00871F8D">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F54C" w14:textId="77777777" w:rsidR="00584EC1" w:rsidRDefault="00871F8D">
            <w:pPr>
              <w:jc w:val="right"/>
              <w:textAlignment w:val="bottom"/>
            </w:pPr>
            <w:r>
              <w:rPr>
                <w:rFonts w:ascii="Arial" w:eastAsia="宋体" w:hAnsi="Arial" w:cs="Arial"/>
                <w:color w:val="000000"/>
                <w:sz w:val="16"/>
                <w:szCs w:val="16"/>
              </w:rPr>
              <w:t>688 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F54D" w14:textId="77777777" w:rsidR="00584EC1" w:rsidRDefault="00584EC1">
            <w:pPr>
              <w:jc w:val="right"/>
              <w:rPr>
                <w:rFonts w:ascii="宋体"/>
              </w:rPr>
            </w:pPr>
          </w:p>
        </w:tc>
        <w:tc>
          <w:tcPr>
            <w:tcW w:w="0" w:type="auto"/>
            <w:gridSpan w:val="3"/>
            <w:shd w:val="clear" w:color="auto" w:fill="auto"/>
            <w:vAlign w:val="bottom"/>
          </w:tcPr>
          <w:p w14:paraId="74DDF54E" w14:textId="77777777" w:rsidR="00584EC1" w:rsidRDefault="00584EC1">
            <w:pPr>
              <w:rPr>
                <w:rFonts w:ascii="宋体"/>
                <w:vanish/>
              </w:rPr>
            </w:pPr>
          </w:p>
        </w:tc>
        <w:tc>
          <w:tcPr>
            <w:tcW w:w="0" w:type="auto"/>
            <w:gridSpan w:val="3"/>
            <w:shd w:val="clear" w:color="auto" w:fill="auto"/>
            <w:vAlign w:val="bottom"/>
          </w:tcPr>
          <w:p w14:paraId="74DDF54F" w14:textId="77777777" w:rsidR="00584EC1" w:rsidRDefault="00584EC1">
            <w:pPr>
              <w:rPr>
                <w:rFonts w:ascii="宋体"/>
                <w:vanish/>
              </w:rPr>
            </w:pPr>
          </w:p>
        </w:tc>
      </w:tr>
      <w:tr w:rsidR="00584EC1" w14:paraId="74DDF55C" w14:textId="77777777">
        <w:trPr>
          <w:jc w:val="center"/>
        </w:trPr>
        <w:tc>
          <w:tcPr>
            <w:tcW w:w="0" w:type="auto"/>
            <w:gridSpan w:val="3"/>
            <w:shd w:val="clear" w:color="auto" w:fill="FFFFFF"/>
            <w:tcMar>
              <w:top w:w="40" w:type="dxa"/>
              <w:left w:w="20" w:type="dxa"/>
              <w:bottom w:w="40" w:type="dxa"/>
              <w:right w:w="20" w:type="dxa"/>
            </w:tcMar>
            <w:vAlign w:val="bottom"/>
          </w:tcPr>
          <w:p w14:paraId="74DDF551" w14:textId="77777777" w:rsidR="00584EC1" w:rsidRDefault="00871F8D">
            <w:pPr>
              <w:textAlignment w:val="bottom"/>
            </w:pPr>
            <w:r>
              <w:rPr>
                <w:rFonts w:ascii="Arial" w:eastAsia="宋体" w:hAnsi="Arial" w:cs="Arial"/>
                <w:color w:val="000000"/>
                <w:sz w:val="16"/>
                <w:szCs w:val="16"/>
              </w:rPr>
              <w:t>Available-for-sale securities</w:t>
            </w:r>
          </w:p>
        </w:tc>
        <w:tc>
          <w:tcPr>
            <w:tcW w:w="0" w:type="auto"/>
            <w:gridSpan w:val="2"/>
            <w:shd w:val="clear" w:color="auto" w:fill="FFFFFF"/>
            <w:tcMar>
              <w:top w:w="40" w:type="dxa"/>
              <w:left w:w="20" w:type="dxa"/>
              <w:bottom w:w="40" w:type="dxa"/>
              <w:right w:w="0" w:type="dxa"/>
            </w:tcMar>
            <w:vAlign w:val="bottom"/>
          </w:tcPr>
          <w:p w14:paraId="74DDF552" w14:textId="77777777" w:rsidR="00584EC1" w:rsidRDefault="00871F8D">
            <w:pPr>
              <w:jc w:val="right"/>
              <w:textAlignment w:val="bottom"/>
            </w:pPr>
            <w:r>
              <w:rPr>
                <w:rFonts w:ascii="Arial" w:eastAsia="宋体" w:hAnsi="Arial" w:cs="Arial"/>
                <w:color w:val="000000"/>
                <w:sz w:val="16"/>
                <w:szCs w:val="16"/>
              </w:rPr>
              <w:t>2,330 </w:t>
            </w:r>
          </w:p>
        </w:tc>
        <w:tc>
          <w:tcPr>
            <w:tcW w:w="0" w:type="auto"/>
            <w:shd w:val="clear" w:color="auto" w:fill="FFFFFF"/>
            <w:tcMar>
              <w:top w:w="40" w:type="dxa"/>
              <w:left w:w="0" w:type="dxa"/>
              <w:bottom w:w="40" w:type="dxa"/>
              <w:right w:w="20" w:type="dxa"/>
            </w:tcMar>
            <w:vAlign w:val="bottom"/>
          </w:tcPr>
          <w:p w14:paraId="74DDF55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55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555" w14:textId="77777777" w:rsidR="00584EC1" w:rsidRDefault="00871F8D">
            <w:pPr>
              <w:jc w:val="right"/>
              <w:textAlignment w:val="bottom"/>
            </w:pPr>
            <w:r>
              <w:rPr>
                <w:rFonts w:ascii="Arial" w:eastAsia="宋体" w:hAnsi="Arial" w:cs="Arial"/>
                <w:color w:val="000000"/>
                <w:sz w:val="16"/>
                <w:szCs w:val="16"/>
              </w:rPr>
              <w:t>2 </w:t>
            </w:r>
          </w:p>
        </w:tc>
        <w:tc>
          <w:tcPr>
            <w:tcW w:w="0" w:type="auto"/>
            <w:shd w:val="clear" w:color="auto" w:fill="FFFFFF"/>
            <w:tcMar>
              <w:top w:w="40" w:type="dxa"/>
              <w:left w:w="0" w:type="dxa"/>
              <w:bottom w:w="40" w:type="dxa"/>
              <w:right w:w="20" w:type="dxa"/>
            </w:tcMar>
            <w:vAlign w:val="bottom"/>
          </w:tcPr>
          <w:p w14:paraId="74DDF55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55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558" w14:textId="77777777" w:rsidR="00584EC1" w:rsidRDefault="00871F8D">
            <w:pPr>
              <w:jc w:val="right"/>
              <w:textAlignment w:val="bottom"/>
            </w:pPr>
            <w:r>
              <w:rPr>
                <w:rFonts w:ascii="Arial" w:eastAsia="宋体" w:hAnsi="Arial" w:cs="Arial"/>
                <w:color w:val="000000"/>
                <w:sz w:val="16"/>
                <w:szCs w:val="16"/>
              </w:rPr>
              <w:t>43 </w:t>
            </w:r>
          </w:p>
        </w:tc>
        <w:tc>
          <w:tcPr>
            <w:tcW w:w="0" w:type="auto"/>
            <w:shd w:val="clear" w:color="auto" w:fill="FFFFFF"/>
            <w:tcMar>
              <w:top w:w="40" w:type="dxa"/>
              <w:left w:w="0" w:type="dxa"/>
              <w:bottom w:w="40" w:type="dxa"/>
              <w:right w:w="20" w:type="dxa"/>
            </w:tcMar>
            <w:vAlign w:val="bottom"/>
          </w:tcPr>
          <w:p w14:paraId="74DDF559" w14:textId="77777777" w:rsidR="00584EC1" w:rsidRDefault="00584EC1">
            <w:pPr>
              <w:jc w:val="right"/>
              <w:rPr>
                <w:rFonts w:ascii="宋体"/>
              </w:rPr>
            </w:pPr>
          </w:p>
        </w:tc>
        <w:tc>
          <w:tcPr>
            <w:tcW w:w="0" w:type="auto"/>
            <w:gridSpan w:val="3"/>
            <w:shd w:val="clear" w:color="auto" w:fill="auto"/>
            <w:vAlign w:val="bottom"/>
          </w:tcPr>
          <w:p w14:paraId="74DDF55A" w14:textId="77777777" w:rsidR="00584EC1" w:rsidRDefault="00584EC1">
            <w:pPr>
              <w:rPr>
                <w:rFonts w:ascii="宋体"/>
                <w:vanish/>
              </w:rPr>
            </w:pPr>
          </w:p>
        </w:tc>
        <w:tc>
          <w:tcPr>
            <w:tcW w:w="0" w:type="auto"/>
            <w:gridSpan w:val="3"/>
            <w:shd w:val="clear" w:color="auto" w:fill="auto"/>
            <w:vAlign w:val="bottom"/>
          </w:tcPr>
          <w:p w14:paraId="74DDF55B" w14:textId="77777777" w:rsidR="00584EC1" w:rsidRDefault="00584EC1">
            <w:pPr>
              <w:rPr>
                <w:rFonts w:ascii="宋体"/>
                <w:vanish/>
              </w:rPr>
            </w:pPr>
          </w:p>
        </w:tc>
      </w:tr>
      <w:tr w:rsidR="00584EC1" w14:paraId="74DDF565" w14:textId="77777777">
        <w:trPr>
          <w:trHeight w:val="60"/>
          <w:jc w:val="center"/>
        </w:trPr>
        <w:tc>
          <w:tcPr>
            <w:tcW w:w="0" w:type="auto"/>
            <w:gridSpan w:val="3"/>
            <w:shd w:val="clear" w:color="auto" w:fill="auto"/>
            <w:tcMar>
              <w:top w:w="0" w:type="dxa"/>
              <w:left w:w="20" w:type="dxa"/>
              <w:bottom w:w="0" w:type="dxa"/>
              <w:right w:w="20" w:type="dxa"/>
            </w:tcMar>
            <w:vAlign w:val="bottom"/>
          </w:tcPr>
          <w:p w14:paraId="74DDF55D"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55E"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55F"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560"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56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562" w14:textId="77777777" w:rsidR="00584EC1" w:rsidRDefault="00584EC1">
            <w:pPr>
              <w:rPr>
                <w:rFonts w:ascii="宋体"/>
              </w:rPr>
            </w:pPr>
          </w:p>
        </w:tc>
        <w:tc>
          <w:tcPr>
            <w:tcW w:w="0" w:type="auto"/>
            <w:gridSpan w:val="3"/>
            <w:shd w:val="clear" w:color="auto" w:fill="auto"/>
            <w:vAlign w:val="bottom"/>
          </w:tcPr>
          <w:p w14:paraId="74DDF563" w14:textId="77777777" w:rsidR="00584EC1" w:rsidRDefault="00584EC1">
            <w:pPr>
              <w:rPr>
                <w:rFonts w:ascii="宋体"/>
                <w:vanish/>
              </w:rPr>
            </w:pPr>
          </w:p>
        </w:tc>
        <w:tc>
          <w:tcPr>
            <w:tcW w:w="0" w:type="auto"/>
            <w:gridSpan w:val="3"/>
            <w:shd w:val="clear" w:color="auto" w:fill="auto"/>
            <w:vAlign w:val="bottom"/>
          </w:tcPr>
          <w:p w14:paraId="74DDF564" w14:textId="77777777" w:rsidR="00584EC1" w:rsidRDefault="00584EC1">
            <w:pPr>
              <w:rPr>
                <w:rFonts w:ascii="宋体"/>
                <w:vanish/>
              </w:rPr>
            </w:pPr>
          </w:p>
        </w:tc>
      </w:tr>
      <w:tr w:rsidR="00584EC1" w14:paraId="74DDF56E" w14:textId="77777777">
        <w:trPr>
          <w:jc w:val="center"/>
          <w:hidden/>
        </w:trPr>
        <w:tc>
          <w:tcPr>
            <w:tcW w:w="0" w:type="auto"/>
            <w:gridSpan w:val="3"/>
            <w:shd w:val="clear" w:color="auto" w:fill="auto"/>
            <w:vAlign w:val="bottom"/>
          </w:tcPr>
          <w:p w14:paraId="74DDF566" w14:textId="77777777" w:rsidR="00584EC1" w:rsidRDefault="00584EC1">
            <w:pPr>
              <w:rPr>
                <w:rFonts w:ascii="宋体"/>
                <w:vanish/>
              </w:rPr>
            </w:pPr>
          </w:p>
        </w:tc>
        <w:tc>
          <w:tcPr>
            <w:tcW w:w="0" w:type="auto"/>
            <w:gridSpan w:val="3"/>
            <w:shd w:val="clear" w:color="auto" w:fill="auto"/>
            <w:vAlign w:val="bottom"/>
          </w:tcPr>
          <w:p w14:paraId="74DDF567" w14:textId="77777777" w:rsidR="00584EC1" w:rsidRDefault="00584EC1">
            <w:pPr>
              <w:rPr>
                <w:rFonts w:ascii="宋体"/>
                <w:vanish/>
              </w:rPr>
            </w:pPr>
          </w:p>
        </w:tc>
        <w:tc>
          <w:tcPr>
            <w:tcW w:w="0" w:type="auto"/>
            <w:gridSpan w:val="3"/>
            <w:shd w:val="clear" w:color="auto" w:fill="auto"/>
            <w:vAlign w:val="bottom"/>
          </w:tcPr>
          <w:p w14:paraId="74DDF568" w14:textId="77777777" w:rsidR="00584EC1" w:rsidRDefault="00584EC1">
            <w:pPr>
              <w:rPr>
                <w:rFonts w:ascii="宋体"/>
                <w:vanish/>
              </w:rPr>
            </w:pPr>
          </w:p>
        </w:tc>
        <w:tc>
          <w:tcPr>
            <w:tcW w:w="0" w:type="auto"/>
            <w:gridSpan w:val="3"/>
            <w:shd w:val="clear" w:color="auto" w:fill="auto"/>
            <w:vAlign w:val="bottom"/>
          </w:tcPr>
          <w:p w14:paraId="74DDF569" w14:textId="77777777" w:rsidR="00584EC1" w:rsidRDefault="00584EC1">
            <w:pPr>
              <w:rPr>
                <w:rFonts w:ascii="宋体"/>
                <w:vanish/>
              </w:rPr>
            </w:pPr>
          </w:p>
        </w:tc>
        <w:tc>
          <w:tcPr>
            <w:tcW w:w="0" w:type="auto"/>
            <w:gridSpan w:val="3"/>
            <w:shd w:val="clear" w:color="auto" w:fill="auto"/>
            <w:vAlign w:val="bottom"/>
          </w:tcPr>
          <w:p w14:paraId="74DDF56A" w14:textId="77777777" w:rsidR="00584EC1" w:rsidRDefault="00584EC1">
            <w:pPr>
              <w:rPr>
                <w:rFonts w:ascii="宋体"/>
                <w:vanish/>
              </w:rPr>
            </w:pPr>
          </w:p>
        </w:tc>
        <w:tc>
          <w:tcPr>
            <w:tcW w:w="0" w:type="auto"/>
            <w:gridSpan w:val="3"/>
            <w:shd w:val="clear" w:color="auto" w:fill="auto"/>
            <w:vAlign w:val="bottom"/>
          </w:tcPr>
          <w:p w14:paraId="74DDF56B" w14:textId="77777777" w:rsidR="00584EC1" w:rsidRDefault="00584EC1">
            <w:pPr>
              <w:rPr>
                <w:rFonts w:ascii="宋体"/>
                <w:vanish/>
              </w:rPr>
            </w:pPr>
          </w:p>
        </w:tc>
        <w:tc>
          <w:tcPr>
            <w:tcW w:w="0" w:type="auto"/>
            <w:gridSpan w:val="3"/>
            <w:shd w:val="clear" w:color="auto" w:fill="auto"/>
            <w:vAlign w:val="bottom"/>
          </w:tcPr>
          <w:p w14:paraId="74DDF56C" w14:textId="77777777" w:rsidR="00584EC1" w:rsidRDefault="00584EC1">
            <w:pPr>
              <w:rPr>
                <w:rFonts w:ascii="宋体"/>
                <w:vanish/>
              </w:rPr>
            </w:pPr>
          </w:p>
        </w:tc>
        <w:tc>
          <w:tcPr>
            <w:tcW w:w="0" w:type="auto"/>
            <w:gridSpan w:val="3"/>
            <w:shd w:val="clear" w:color="auto" w:fill="auto"/>
            <w:vAlign w:val="bottom"/>
          </w:tcPr>
          <w:p w14:paraId="74DDF56D" w14:textId="77777777" w:rsidR="00584EC1" w:rsidRDefault="00584EC1">
            <w:pPr>
              <w:rPr>
                <w:rFonts w:ascii="宋体"/>
                <w:vanish/>
              </w:rPr>
            </w:pPr>
          </w:p>
        </w:tc>
      </w:tr>
      <w:tr w:rsidR="00584EC1" w14:paraId="74DDF583" w14:textId="77777777">
        <w:trPr>
          <w:jc w:val="center"/>
          <w:hidden/>
        </w:trPr>
        <w:tc>
          <w:tcPr>
            <w:tcW w:w="0" w:type="auto"/>
            <w:gridSpan w:val="3"/>
            <w:shd w:val="clear" w:color="auto" w:fill="auto"/>
            <w:vAlign w:val="bottom"/>
          </w:tcPr>
          <w:p w14:paraId="74DDF56F" w14:textId="77777777" w:rsidR="00584EC1" w:rsidRDefault="00584EC1">
            <w:pPr>
              <w:rPr>
                <w:rFonts w:ascii="宋体"/>
                <w:vanish/>
              </w:rPr>
            </w:pPr>
          </w:p>
        </w:tc>
        <w:tc>
          <w:tcPr>
            <w:tcW w:w="0" w:type="auto"/>
            <w:gridSpan w:val="3"/>
            <w:shd w:val="clear" w:color="auto" w:fill="auto"/>
            <w:vAlign w:val="bottom"/>
          </w:tcPr>
          <w:p w14:paraId="74DDF570" w14:textId="77777777" w:rsidR="00584EC1" w:rsidRDefault="00584EC1">
            <w:pPr>
              <w:rPr>
                <w:rFonts w:ascii="宋体"/>
                <w:vanish/>
              </w:rPr>
            </w:pPr>
          </w:p>
        </w:tc>
        <w:tc>
          <w:tcPr>
            <w:tcW w:w="0" w:type="auto"/>
            <w:shd w:val="clear" w:color="auto" w:fill="auto"/>
            <w:vAlign w:val="bottom"/>
          </w:tcPr>
          <w:p w14:paraId="74DDF571" w14:textId="77777777" w:rsidR="00584EC1" w:rsidRDefault="00584EC1">
            <w:pPr>
              <w:rPr>
                <w:rFonts w:ascii="宋体"/>
              </w:rPr>
            </w:pPr>
          </w:p>
        </w:tc>
        <w:tc>
          <w:tcPr>
            <w:tcW w:w="0" w:type="auto"/>
            <w:shd w:val="clear" w:color="auto" w:fill="auto"/>
            <w:vAlign w:val="bottom"/>
          </w:tcPr>
          <w:p w14:paraId="74DDF572" w14:textId="77777777" w:rsidR="00584EC1" w:rsidRDefault="00584EC1">
            <w:pPr>
              <w:rPr>
                <w:rFonts w:ascii="宋体"/>
              </w:rPr>
            </w:pPr>
          </w:p>
        </w:tc>
        <w:tc>
          <w:tcPr>
            <w:tcW w:w="0" w:type="auto"/>
            <w:shd w:val="clear" w:color="auto" w:fill="auto"/>
            <w:vAlign w:val="bottom"/>
          </w:tcPr>
          <w:p w14:paraId="74DDF573" w14:textId="77777777" w:rsidR="00584EC1" w:rsidRDefault="00584EC1">
            <w:pPr>
              <w:rPr>
                <w:rFonts w:ascii="宋体"/>
              </w:rPr>
            </w:pPr>
          </w:p>
        </w:tc>
        <w:tc>
          <w:tcPr>
            <w:tcW w:w="0" w:type="auto"/>
            <w:shd w:val="clear" w:color="auto" w:fill="auto"/>
            <w:vAlign w:val="bottom"/>
          </w:tcPr>
          <w:p w14:paraId="74DDF574" w14:textId="77777777" w:rsidR="00584EC1" w:rsidRDefault="00584EC1">
            <w:pPr>
              <w:rPr>
                <w:rFonts w:ascii="宋体"/>
              </w:rPr>
            </w:pPr>
          </w:p>
        </w:tc>
        <w:tc>
          <w:tcPr>
            <w:tcW w:w="0" w:type="auto"/>
            <w:shd w:val="clear" w:color="auto" w:fill="auto"/>
            <w:vAlign w:val="bottom"/>
          </w:tcPr>
          <w:p w14:paraId="74DDF575" w14:textId="77777777" w:rsidR="00584EC1" w:rsidRDefault="00584EC1">
            <w:pPr>
              <w:rPr>
                <w:rFonts w:ascii="宋体"/>
              </w:rPr>
            </w:pPr>
          </w:p>
        </w:tc>
        <w:tc>
          <w:tcPr>
            <w:tcW w:w="0" w:type="auto"/>
            <w:shd w:val="clear" w:color="auto" w:fill="auto"/>
            <w:vAlign w:val="bottom"/>
          </w:tcPr>
          <w:p w14:paraId="74DDF576" w14:textId="77777777" w:rsidR="00584EC1" w:rsidRDefault="00584EC1">
            <w:pPr>
              <w:rPr>
                <w:rFonts w:ascii="宋体"/>
              </w:rPr>
            </w:pPr>
          </w:p>
        </w:tc>
        <w:tc>
          <w:tcPr>
            <w:tcW w:w="0" w:type="auto"/>
            <w:shd w:val="clear" w:color="auto" w:fill="auto"/>
            <w:vAlign w:val="bottom"/>
          </w:tcPr>
          <w:p w14:paraId="74DDF577" w14:textId="77777777" w:rsidR="00584EC1" w:rsidRDefault="00584EC1">
            <w:pPr>
              <w:rPr>
                <w:rFonts w:ascii="宋体"/>
              </w:rPr>
            </w:pPr>
          </w:p>
        </w:tc>
        <w:tc>
          <w:tcPr>
            <w:tcW w:w="0" w:type="auto"/>
            <w:shd w:val="clear" w:color="auto" w:fill="auto"/>
            <w:vAlign w:val="bottom"/>
          </w:tcPr>
          <w:p w14:paraId="74DDF578" w14:textId="77777777" w:rsidR="00584EC1" w:rsidRDefault="00584EC1">
            <w:pPr>
              <w:rPr>
                <w:rFonts w:ascii="宋体"/>
              </w:rPr>
            </w:pPr>
          </w:p>
        </w:tc>
        <w:tc>
          <w:tcPr>
            <w:tcW w:w="0" w:type="auto"/>
            <w:shd w:val="clear" w:color="auto" w:fill="auto"/>
            <w:vAlign w:val="bottom"/>
          </w:tcPr>
          <w:p w14:paraId="74DDF579" w14:textId="77777777" w:rsidR="00584EC1" w:rsidRDefault="00584EC1">
            <w:pPr>
              <w:rPr>
                <w:rFonts w:ascii="宋体"/>
              </w:rPr>
            </w:pPr>
          </w:p>
        </w:tc>
        <w:tc>
          <w:tcPr>
            <w:tcW w:w="0" w:type="auto"/>
            <w:shd w:val="clear" w:color="auto" w:fill="auto"/>
            <w:vAlign w:val="bottom"/>
          </w:tcPr>
          <w:p w14:paraId="74DDF57A" w14:textId="77777777" w:rsidR="00584EC1" w:rsidRDefault="00584EC1">
            <w:pPr>
              <w:rPr>
                <w:rFonts w:ascii="宋体"/>
              </w:rPr>
            </w:pPr>
          </w:p>
        </w:tc>
        <w:tc>
          <w:tcPr>
            <w:tcW w:w="0" w:type="auto"/>
            <w:shd w:val="clear" w:color="auto" w:fill="auto"/>
            <w:vAlign w:val="bottom"/>
          </w:tcPr>
          <w:p w14:paraId="74DDF57B" w14:textId="77777777" w:rsidR="00584EC1" w:rsidRDefault="00584EC1">
            <w:pPr>
              <w:rPr>
                <w:rFonts w:ascii="宋体"/>
              </w:rPr>
            </w:pPr>
          </w:p>
        </w:tc>
        <w:tc>
          <w:tcPr>
            <w:tcW w:w="0" w:type="auto"/>
            <w:shd w:val="clear" w:color="auto" w:fill="auto"/>
            <w:vAlign w:val="bottom"/>
          </w:tcPr>
          <w:p w14:paraId="74DDF57C" w14:textId="77777777" w:rsidR="00584EC1" w:rsidRDefault="00584EC1">
            <w:pPr>
              <w:rPr>
                <w:rFonts w:ascii="宋体"/>
              </w:rPr>
            </w:pPr>
          </w:p>
        </w:tc>
        <w:tc>
          <w:tcPr>
            <w:tcW w:w="0" w:type="auto"/>
            <w:shd w:val="clear" w:color="auto" w:fill="auto"/>
            <w:vAlign w:val="bottom"/>
          </w:tcPr>
          <w:p w14:paraId="74DDF57D" w14:textId="77777777" w:rsidR="00584EC1" w:rsidRDefault="00584EC1">
            <w:pPr>
              <w:rPr>
                <w:rFonts w:ascii="宋体"/>
              </w:rPr>
            </w:pPr>
          </w:p>
        </w:tc>
        <w:tc>
          <w:tcPr>
            <w:tcW w:w="0" w:type="auto"/>
            <w:shd w:val="clear" w:color="auto" w:fill="auto"/>
            <w:vAlign w:val="bottom"/>
          </w:tcPr>
          <w:p w14:paraId="74DDF57E" w14:textId="77777777" w:rsidR="00584EC1" w:rsidRDefault="00584EC1">
            <w:pPr>
              <w:rPr>
                <w:rFonts w:ascii="宋体"/>
              </w:rPr>
            </w:pPr>
          </w:p>
        </w:tc>
        <w:tc>
          <w:tcPr>
            <w:tcW w:w="0" w:type="auto"/>
            <w:shd w:val="clear" w:color="auto" w:fill="auto"/>
            <w:vAlign w:val="bottom"/>
          </w:tcPr>
          <w:p w14:paraId="74DDF57F" w14:textId="77777777" w:rsidR="00584EC1" w:rsidRDefault="00584EC1">
            <w:pPr>
              <w:rPr>
                <w:rFonts w:ascii="宋体"/>
              </w:rPr>
            </w:pPr>
          </w:p>
        </w:tc>
        <w:tc>
          <w:tcPr>
            <w:tcW w:w="0" w:type="auto"/>
            <w:shd w:val="clear" w:color="auto" w:fill="auto"/>
            <w:vAlign w:val="bottom"/>
          </w:tcPr>
          <w:p w14:paraId="74DDF580" w14:textId="77777777" w:rsidR="00584EC1" w:rsidRDefault="00584EC1">
            <w:pPr>
              <w:rPr>
                <w:rFonts w:ascii="宋体"/>
              </w:rPr>
            </w:pPr>
          </w:p>
        </w:tc>
        <w:tc>
          <w:tcPr>
            <w:tcW w:w="0" w:type="auto"/>
            <w:shd w:val="clear" w:color="auto" w:fill="auto"/>
            <w:vAlign w:val="bottom"/>
          </w:tcPr>
          <w:p w14:paraId="74DDF581" w14:textId="77777777" w:rsidR="00584EC1" w:rsidRDefault="00584EC1">
            <w:pPr>
              <w:rPr>
                <w:rFonts w:ascii="宋体"/>
              </w:rPr>
            </w:pPr>
          </w:p>
        </w:tc>
        <w:tc>
          <w:tcPr>
            <w:tcW w:w="0" w:type="auto"/>
            <w:shd w:val="clear" w:color="auto" w:fill="auto"/>
            <w:vAlign w:val="bottom"/>
          </w:tcPr>
          <w:p w14:paraId="74DDF582" w14:textId="77777777" w:rsidR="00584EC1" w:rsidRDefault="00584EC1">
            <w:pPr>
              <w:rPr>
                <w:rFonts w:ascii="宋体"/>
              </w:rPr>
            </w:pPr>
          </w:p>
        </w:tc>
      </w:tr>
      <w:tr w:rsidR="00584EC1" w14:paraId="74DDF594" w14:textId="77777777">
        <w:trPr>
          <w:jc w:val="center"/>
          <w:hidden/>
        </w:trPr>
        <w:tc>
          <w:tcPr>
            <w:tcW w:w="0" w:type="auto"/>
            <w:gridSpan w:val="3"/>
            <w:shd w:val="clear" w:color="auto" w:fill="auto"/>
            <w:vAlign w:val="bottom"/>
          </w:tcPr>
          <w:p w14:paraId="74DDF584" w14:textId="77777777" w:rsidR="00584EC1" w:rsidRDefault="00584EC1">
            <w:pPr>
              <w:rPr>
                <w:rFonts w:ascii="宋体"/>
                <w:vanish/>
              </w:rPr>
            </w:pPr>
          </w:p>
        </w:tc>
        <w:tc>
          <w:tcPr>
            <w:tcW w:w="0" w:type="auto"/>
            <w:gridSpan w:val="3"/>
            <w:shd w:val="clear" w:color="auto" w:fill="auto"/>
            <w:vAlign w:val="bottom"/>
          </w:tcPr>
          <w:p w14:paraId="74DDF585" w14:textId="77777777" w:rsidR="00584EC1" w:rsidRDefault="00584EC1">
            <w:pPr>
              <w:rPr>
                <w:rFonts w:ascii="宋体"/>
                <w:vanish/>
              </w:rPr>
            </w:pPr>
          </w:p>
        </w:tc>
        <w:tc>
          <w:tcPr>
            <w:tcW w:w="0" w:type="auto"/>
            <w:gridSpan w:val="3"/>
            <w:shd w:val="clear" w:color="auto" w:fill="auto"/>
            <w:vAlign w:val="bottom"/>
          </w:tcPr>
          <w:p w14:paraId="74DDF586" w14:textId="77777777" w:rsidR="00584EC1" w:rsidRDefault="00584EC1">
            <w:pPr>
              <w:rPr>
                <w:rFonts w:ascii="宋体"/>
                <w:vanish/>
              </w:rPr>
            </w:pPr>
          </w:p>
        </w:tc>
        <w:tc>
          <w:tcPr>
            <w:tcW w:w="0" w:type="auto"/>
            <w:gridSpan w:val="3"/>
            <w:shd w:val="clear" w:color="auto" w:fill="auto"/>
            <w:vAlign w:val="bottom"/>
          </w:tcPr>
          <w:p w14:paraId="74DDF587" w14:textId="77777777" w:rsidR="00584EC1" w:rsidRDefault="00584EC1">
            <w:pPr>
              <w:rPr>
                <w:rFonts w:ascii="宋体"/>
                <w:vanish/>
              </w:rPr>
            </w:pPr>
          </w:p>
        </w:tc>
        <w:tc>
          <w:tcPr>
            <w:tcW w:w="0" w:type="auto"/>
            <w:shd w:val="clear" w:color="auto" w:fill="auto"/>
            <w:vAlign w:val="bottom"/>
          </w:tcPr>
          <w:p w14:paraId="74DDF588" w14:textId="77777777" w:rsidR="00584EC1" w:rsidRDefault="00584EC1">
            <w:pPr>
              <w:rPr>
                <w:rFonts w:ascii="宋体"/>
              </w:rPr>
            </w:pPr>
          </w:p>
        </w:tc>
        <w:tc>
          <w:tcPr>
            <w:tcW w:w="0" w:type="auto"/>
            <w:shd w:val="clear" w:color="auto" w:fill="auto"/>
            <w:vAlign w:val="bottom"/>
          </w:tcPr>
          <w:p w14:paraId="74DDF589" w14:textId="77777777" w:rsidR="00584EC1" w:rsidRDefault="00584EC1">
            <w:pPr>
              <w:rPr>
                <w:rFonts w:ascii="宋体"/>
              </w:rPr>
            </w:pPr>
          </w:p>
        </w:tc>
        <w:tc>
          <w:tcPr>
            <w:tcW w:w="0" w:type="auto"/>
            <w:shd w:val="clear" w:color="auto" w:fill="auto"/>
            <w:vAlign w:val="bottom"/>
          </w:tcPr>
          <w:p w14:paraId="74DDF58A" w14:textId="77777777" w:rsidR="00584EC1" w:rsidRDefault="00584EC1">
            <w:pPr>
              <w:rPr>
                <w:rFonts w:ascii="宋体"/>
              </w:rPr>
            </w:pPr>
          </w:p>
        </w:tc>
        <w:tc>
          <w:tcPr>
            <w:tcW w:w="0" w:type="auto"/>
            <w:shd w:val="clear" w:color="auto" w:fill="auto"/>
            <w:vAlign w:val="bottom"/>
          </w:tcPr>
          <w:p w14:paraId="74DDF58B" w14:textId="77777777" w:rsidR="00584EC1" w:rsidRDefault="00584EC1">
            <w:pPr>
              <w:rPr>
                <w:rFonts w:ascii="宋体"/>
              </w:rPr>
            </w:pPr>
          </w:p>
        </w:tc>
        <w:tc>
          <w:tcPr>
            <w:tcW w:w="0" w:type="auto"/>
            <w:shd w:val="clear" w:color="auto" w:fill="auto"/>
            <w:vAlign w:val="bottom"/>
          </w:tcPr>
          <w:p w14:paraId="74DDF58C" w14:textId="77777777" w:rsidR="00584EC1" w:rsidRDefault="00584EC1">
            <w:pPr>
              <w:rPr>
                <w:rFonts w:ascii="宋体"/>
              </w:rPr>
            </w:pPr>
          </w:p>
        </w:tc>
        <w:tc>
          <w:tcPr>
            <w:tcW w:w="0" w:type="auto"/>
            <w:shd w:val="clear" w:color="auto" w:fill="auto"/>
            <w:vAlign w:val="bottom"/>
          </w:tcPr>
          <w:p w14:paraId="74DDF58D" w14:textId="77777777" w:rsidR="00584EC1" w:rsidRDefault="00584EC1">
            <w:pPr>
              <w:rPr>
                <w:rFonts w:ascii="宋体"/>
              </w:rPr>
            </w:pPr>
          </w:p>
        </w:tc>
        <w:tc>
          <w:tcPr>
            <w:tcW w:w="0" w:type="auto"/>
            <w:shd w:val="clear" w:color="auto" w:fill="auto"/>
            <w:vAlign w:val="bottom"/>
          </w:tcPr>
          <w:p w14:paraId="74DDF58E" w14:textId="77777777" w:rsidR="00584EC1" w:rsidRDefault="00584EC1">
            <w:pPr>
              <w:rPr>
                <w:rFonts w:ascii="宋体"/>
              </w:rPr>
            </w:pPr>
          </w:p>
        </w:tc>
        <w:tc>
          <w:tcPr>
            <w:tcW w:w="0" w:type="auto"/>
            <w:shd w:val="clear" w:color="auto" w:fill="auto"/>
            <w:vAlign w:val="bottom"/>
          </w:tcPr>
          <w:p w14:paraId="74DDF58F" w14:textId="77777777" w:rsidR="00584EC1" w:rsidRDefault="00584EC1">
            <w:pPr>
              <w:rPr>
                <w:rFonts w:ascii="宋体"/>
              </w:rPr>
            </w:pPr>
          </w:p>
        </w:tc>
        <w:tc>
          <w:tcPr>
            <w:tcW w:w="0" w:type="auto"/>
            <w:shd w:val="clear" w:color="auto" w:fill="auto"/>
            <w:vAlign w:val="bottom"/>
          </w:tcPr>
          <w:p w14:paraId="74DDF590" w14:textId="77777777" w:rsidR="00584EC1" w:rsidRDefault="00584EC1">
            <w:pPr>
              <w:rPr>
                <w:rFonts w:ascii="宋体"/>
              </w:rPr>
            </w:pPr>
          </w:p>
        </w:tc>
        <w:tc>
          <w:tcPr>
            <w:tcW w:w="0" w:type="auto"/>
            <w:shd w:val="clear" w:color="auto" w:fill="auto"/>
            <w:vAlign w:val="bottom"/>
          </w:tcPr>
          <w:p w14:paraId="74DDF591" w14:textId="77777777" w:rsidR="00584EC1" w:rsidRDefault="00584EC1">
            <w:pPr>
              <w:rPr>
                <w:rFonts w:ascii="宋体"/>
              </w:rPr>
            </w:pPr>
          </w:p>
        </w:tc>
        <w:tc>
          <w:tcPr>
            <w:tcW w:w="0" w:type="auto"/>
            <w:shd w:val="clear" w:color="auto" w:fill="auto"/>
            <w:vAlign w:val="bottom"/>
          </w:tcPr>
          <w:p w14:paraId="74DDF592" w14:textId="77777777" w:rsidR="00584EC1" w:rsidRDefault="00584EC1">
            <w:pPr>
              <w:rPr>
                <w:rFonts w:ascii="宋体"/>
              </w:rPr>
            </w:pPr>
          </w:p>
        </w:tc>
        <w:tc>
          <w:tcPr>
            <w:tcW w:w="0" w:type="auto"/>
            <w:shd w:val="clear" w:color="auto" w:fill="auto"/>
            <w:vAlign w:val="bottom"/>
          </w:tcPr>
          <w:p w14:paraId="74DDF593" w14:textId="77777777" w:rsidR="00584EC1" w:rsidRDefault="00584EC1">
            <w:pPr>
              <w:rPr>
                <w:rFonts w:ascii="宋体"/>
              </w:rPr>
            </w:pPr>
          </w:p>
        </w:tc>
      </w:tr>
      <w:tr w:rsidR="00584EC1" w14:paraId="74DDF59D" w14:textId="77777777">
        <w:trPr>
          <w:jc w:val="center"/>
          <w:hidden/>
        </w:trPr>
        <w:tc>
          <w:tcPr>
            <w:tcW w:w="0" w:type="auto"/>
            <w:gridSpan w:val="3"/>
            <w:shd w:val="clear" w:color="auto" w:fill="auto"/>
            <w:vAlign w:val="bottom"/>
          </w:tcPr>
          <w:p w14:paraId="74DDF595" w14:textId="77777777" w:rsidR="00584EC1" w:rsidRDefault="00584EC1">
            <w:pPr>
              <w:rPr>
                <w:rFonts w:ascii="宋体"/>
                <w:vanish/>
              </w:rPr>
            </w:pPr>
          </w:p>
        </w:tc>
        <w:tc>
          <w:tcPr>
            <w:tcW w:w="0" w:type="auto"/>
            <w:gridSpan w:val="3"/>
            <w:shd w:val="clear" w:color="auto" w:fill="auto"/>
            <w:vAlign w:val="bottom"/>
          </w:tcPr>
          <w:p w14:paraId="74DDF596" w14:textId="77777777" w:rsidR="00584EC1" w:rsidRDefault="00584EC1">
            <w:pPr>
              <w:rPr>
                <w:rFonts w:ascii="宋体"/>
                <w:vanish/>
              </w:rPr>
            </w:pPr>
          </w:p>
        </w:tc>
        <w:tc>
          <w:tcPr>
            <w:tcW w:w="0" w:type="auto"/>
            <w:gridSpan w:val="3"/>
            <w:shd w:val="clear" w:color="auto" w:fill="auto"/>
            <w:vAlign w:val="bottom"/>
          </w:tcPr>
          <w:p w14:paraId="74DDF597" w14:textId="77777777" w:rsidR="00584EC1" w:rsidRDefault="00584EC1">
            <w:pPr>
              <w:rPr>
                <w:rFonts w:ascii="宋体"/>
                <w:vanish/>
              </w:rPr>
            </w:pPr>
          </w:p>
        </w:tc>
        <w:tc>
          <w:tcPr>
            <w:tcW w:w="0" w:type="auto"/>
            <w:gridSpan w:val="3"/>
            <w:shd w:val="clear" w:color="auto" w:fill="auto"/>
            <w:vAlign w:val="bottom"/>
          </w:tcPr>
          <w:p w14:paraId="74DDF598" w14:textId="77777777" w:rsidR="00584EC1" w:rsidRDefault="00584EC1">
            <w:pPr>
              <w:rPr>
                <w:rFonts w:ascii="宋体"/>
                <w:vanish/>
              </w:rPr>
            </w:pPr>
          </w:p>
        </w:tc>
        <w:tc>
          <w:tcPr>
            <w:tcW w:w="0" w:type="auto"/>
            <w:gridSpan w:val="3"/>
            <w:shd w:val="clear" w:color="auto" w:fill="auto"/>
            <w:vAlign w:val="bottom"/>
          </w:tcPr>
          <w:p w14:paraId="74DDF599" w14:textId="77777777" w:rsidR="00584EC1" w:rsidRDefault="00584EC1">
            <w:pPr>
              <w:rPr>
                <w:rFonts w:ascii="宋体"/>
                <w:vanish/>
              </w:rPr>
            </w:pPr>
          </w:p>
        </w:tc>
        <w:tc>
          <w:tcPr>
            <w:tcW w:w="0" w:type="auto"/>
            <w:gridSpan w:val="3"/>
            <w:shd w:val="clear" w:color="auto" w:fill="auto"/>
            <w:vAlign w:val="bottom"/>
          </w:tcPr>
          <w:p w14:paraId="74DDF59A" w14:textId="77777777" w:rsidR="00584EC1" w:rsidRDefault="00584EC1">
            <w:pPr>
              <w:rPr>
                <w:rFonts w:ascii="宋体"/>
                <w:vanish/>
              </w:rPr>
            </w:pPr>
          </w:p>
        </w:tc>
        <w:tc>
          <w:tcPr>
            <w:tcW w:w="0" w:type="auto"/>
            <w:gridSpan w:val="3"/>
            <w:shd w:val="clear" w:color="auto" w:fill="auto"/>
            <w:vAlign w:val="bottom"/>
          </w:tcPr>
          <w:p w14:paraId="74DDF59B" w14:textId="77777777" w:rsidR="00584EC1" w:rsidRDefault="00584EC1">
            <w:pPr>
              <w:rPr>
                <w:rFonts w:ascii="宋体"/>
                <w:vanish/>
              </w:rPr>
            </w:pPr>
          </w:p>
        </w:tc>
        <w:tc>
          <w:tcPr>
            <w:tcW w:w="0" w:type="auto"/>
            <w:gridSpan w:val="3"/>
            <w:shd w:val="clear" w:color="auto" w:fill="auto"/>
            <w:vAlign w:val="bottom"/>
          </w:tcPr>
          <w:p w14:paraId="74DDF59C" w14:textId="77777777" w:rsidR="00584EC1" w:rsidRDefault="00584EC1">
            <w:pPr>
              <w:rPr>
                <w:rFonts w:ascii="宋体"/>
                <w:vanish/>
              </w:rPr>
            </w:pPr>
          </w:p>
        </w:tc>
      </w:tr>
      <w:tr w:rsidR="00584EC1" w14:paraId="74DDF5A6" w14:textId="77777777">
        <w:trPr>
          <w:jc w:val="center"/>
          <w:hidden/>
        </w:trPr>
        <w:tc>
          <w:tcPr>
            <w:tcW w:w="0" w:type="auto"/>
            <w:gridSpan w:val="3"/>
            <w:shd w:val="clear" w:color="auto" w:fill="auto"/>
            <w:vAlign w:val="bottom"/>
          </w:tcPr>
          <w:p w14:paraId="74DDF59E" w14:textId="77777777" w:rsidR="00584EC1" w:rsidRDefault="00584EC1">
            <w:pPr>
              <w:rPr>
                <w:rFonts w:ascii="宋体"/>
                <w:vanish/>
              </w:rPr>
            </w:pPr>
          </w:p>
        </w:tc>
        <w:tc>
          <w:tcPr>
            <w:tcW w:w="0" w:type="auto"/>
            <w:gridSpan w:val="3"/>
            <w:shd w:val="clear" w:color="auto" w:fill="auto"/>
            <w:vAlign w:val="bottom"/>
          </w:tcPr>
          <w:p w14:paraId="74DDF59F" w14:textId="77777777" w:rsidR="00584EC1" w:rsidRDefault="00584EC1">
            <w:pPr>
              <w:rPr>
                <w:rFonts w:ascii="宋体"/>
                <w:vanish/>
              </w:rPr>
            </w:pPr>
          </w:p>
        </w:tc>
        <w:tc>
          <w:tcPr>
            <w:tcW w:w="0" w:type="auto"/>
            <w:gridSpan w:val="3"/>
            <w:shd w:val="clear" w:color="auto" w:fill="auto"/>
            <w:vAlign w:val="bottom"/>
          </w:tcPr>
          <w:p w14:paraId="74DDF5A0" w14:textId="77777777" w:rsidR="00584EC1" w:rsidRDefault="00584EC1">
            <w:pPr>
              <w:rPr>
                <w:rFonts w:ascii="宋体"/>
                <w:vanish/>
              </w:rPr>
            </w:pPr>
          </w:p>
        </w:tc>
        <w:tc>
          <w:tcPr>
            <w:tcW w:w="0" w:type="auto"/>
            <w:gridSpan w:val="3"/>
            <w:shd w:val="clear" w:color="auto" w:fill="auto"/>
            <w:vAlign w:val="bottom"/>
          </w:tcPr>
          <w:p w14:paraId="74DDF5A1" w14:textId="77777777" w:rsidR="00584EC1" w:rsidRDefault="00584EC1">
            <w:pPr>
              <w:rPr>
                <w:rFonts w:ascii="宋体"/>
                <w:vanish/>
              </w:rPr>
            </w:pPr>
          </w:p>
        </w:tc>
        <w:tc>
          <w:tcPr>
            <w:tcW w:w="0" w:type="auto"/>
            <w:gridSpan w:val="3"/>
            <w:shd w:val="clear" w:color="auto" w:fill="auto"/>
            <w:vAlign w:val="bottom"/>
          </w:tcPr>
          <w:p w14:paraId="74DDF5A2" w14:textId="77777777" w:rsidR="00584EC1" w:rsidRDefault="00584EC1">
            <w:pPr>
              <w:rPr>
                <w:rFonts w:ascii="宋体"/>
                <w:vanish/>
              </w:rPr>
            </w:pPr>
          </w:p>
        </w:tc>
        <w:tc>
          <w:tcPr>
            <w:tcW w:w="0" w:type="auto"/>
            <w:gridSpan w:val="3"/>
            <w:shd w:val="clear" w:color="auto" w:fill="auto"/>
            <w:vAlign w:val="bottom"/>
          </w:tcPr>
          <w:p w14:paraId="74DDF5A3" w14:textId="77777777" w:rsidR="00584EC1" w:rsidRDefault="00584EC1">
            <w:pPr>
              <w:rPr>
                <w:rFonts w:ascii="宋体"/>
                <w:vanish/>
              </w:rPr>
            </w:pPr>
          </w:p>
        </w:tc>
        <w:tc>
          <w:tcPr>
            <w:tcW w:w="0" w:type="auto"/>
            <w:gridSpan w:val="3"/>
            <w:shd w:val="clear" w:color="auto" w:fill="auto"/>
            <w:vAlign w:val="bottom"/>
          </w:tcPr>
          <w:p w14:paraId="74DDF5A4" w14:textId="77777777" w:rsidR="00584EC1" w:rsidRDefault="00584EC1">
            <w:pPr>
              <w:rPr>
                <w:rFonts w:ascii="宋体"/>
                <w:vanish/>
              </w:rPr>
            </w:pPr>
          </w:p>
        </w:tc>
        <w:tc>
          <w:tcPr>
            <w:tcW w:w="0" w:type="auto"/>
            <w:gridSpan w:val="3"/>
            <w:shd w:val="clear" w:color="auto" w:fill="auto"/>
            <w:vAlign w:val="bottom"/>
          </w:tcPr>
          <w:p w14:paraId="74DDF5A5" w14:textId="77777777" w:rsidR="00584EC1" w:rsidRDefault="00584EC1">
            <w:pPr>
              <w:rPr>
                <w:rFonts w:ascii="宋体"/>
                <w:vanish/>
              </w:rPr>
            </w:pPr>
          </w:p>
        </w:tc>
      </w:tr>
      <w:tr w:rsidR="00584EC1" w14:paraId="74DDF5AF" w14:textId="77777777">
        <w:trPr>
          <w:jc w:val="center"/>
          <w:hidden/>
        </w:trPr>
        <w:tc>
          <w:tcPr>
            <w:tcW w:w="0" w:type="auto"/>
            <w:gridSpan w:val="3"/>
            <w:shd w:val="clear" w:color="auto" w:fill="auto"/>
            <w:vAlign w:val="bottom"/>
          </w:tcPr>
          <w:p w14:paraId="74DDF5A7" w14:textId="77777777" w:rsidR="00584EC1" w:rsidRDefault="00584EC1">
            <w:pPr>
              <w:rPr>
                <w:rFonts w:ascii="宋体"/>
                <w:vanish/>
              </w:rPr>
            </w:pPr>
          </w:p>
        </w:tc>
        <w:tc>
          <w:tcPr>
            <w:tcW w:w="0" w:type="auto"/>
            <w:gridSpan w:val="3"/>
            <w:shd w:val="clear" w:color="auto" w:fill="auto"/>
            <w:vAlign w:val="bottom"/>
          </w:tcPr>
          <w:p w14:paraId="74DDF5A8" w14:textId="77777777" w:rsidR="00584EC1" w:rsidRDefault="00584EC1">
            <w:pPr>
              <w:rPr>
                <w:rFonts w:ascii="宋体"/>
                <w:vanish/>
              </w:rPr>
            </w:pPr>
          </w:p>
        </w:tc>
        <w:tc>
          <w:tcPr>
            <w:tcW w:w="0" w:type="auto"/>
            <w:gridSpan w:val="3"/>
            <w:shd w:val="clear" w:color="auto" w:fill="auto"/>
            <w:vAlign w:val="bottom"/>
          </w:tcPr>
          <w:p w14:paraId="74DDF5A9" w14:textId="77777777" w:rsidR="00584EC1" w:rsidRDefault="00584EC1">
            <w:pPr>
              <w:rPr>
                <w:rFonts w:ascii="宋体"/>
                <w:vanish/>
              </w:rPr>
            </w:pPr>
          </w:p>
        </w:tc>
        <w:tc>
          <w:tcPr>
            <w:tcW w:w="0" w:type="auto"/>
            <w:gridSpan w:val="3"/>
            <w:shd w:val="clear" w:color="auto" w:fill="auto"/>
            <w:vAlign w:val="bottom"/>
          </w:tcPr>
          <w:p w14:paraId="74DDF5AA" w14:textId="77777777" w:rsidR="00584EC1" w:rsidRDefault="00584EC1">
            <w:pPr>
              <w:rPr>
                <w:rFonts w:ascii="宋体"/>
                <w:vanish/>
              </w:rPr>
            </w:pPr>
          </w:p>
        </w:tc>
        <w:tc>
          <w:tcPr>
            <w:tcW w:w="0" w:type="auto"/>
            <w:gridSpan w:val="3"/>
            <w:shd w:val="clear" w:color="auto" w:fill="auto"/>
            <w:vAlign w:val="bottom"/>
          </w:tcPr>
          <w:p w14:paraId="74DDF5AB" w14:textId="77777777" w:rsidR="00584EC1" w:rsidRDefault="00584EC1">
            <w:pPr>
              <w:rPr>
                <w:rFonts w:ascii="宋体"/>
                <w:vanish/>
              </w:rPr>
            </w:pPr>
          </w:p>
        </w:tc>
        <w:tc>
          <w:tcPr>
            <w:tcW w:w="0" w:type="auto"/>
            <w:gridSpan w:val="3"/>
            <w:shd w:val="clear" w:color="auto" w:fill="auto"/>
            <w:vAlign w:val="bottom"/>
          </w:tcPr>
          <w:p w14:paraId="74DDF5AC" w14:textId="77777777" w:rsidR="00584EC1" w:rsidRDefault="00584EC1">
            <w:pPr>
              <w:rPr>
                <w:rFonts w:ascii="宋体"/>
                <w:vanish/>
              </w:rPr>
            </w:pPr>
          </w:p>
        </w:tc>
        <w:tc>
          <w:tcPr>
            <w:tcW w:w="0" w:type="auto"/>
            <w:gridSpan w:val="3"/>
            <w:shd w:val="clear" w:color="auto" w:fill="auto"/>
            <w:vAlign w:val="bottom"/>
          </w:tcPr>
          <w:p w14:paraId="74DDF5AD" w14:textId="77777777" w:rsidR="00584EC1" w:rsidRDefault="00584EC1">
            <w:pPr>
              <w:rPr>
                <w:rFonts w:ascii="宋体"/>
                <w:vanish/>
              </w:rPr>
            </w:pPr>
          </w:p>
        </w:tc>
        <w:tc>
          <w:tcPr>
            <w:tcW w:w="0" w:type="auto"/>
            <w:gridSpan w:val="3"/>
            <w:shd w:val="clear" w:color="auto" w:fill="auto"/>
            <w:vAlign w:val="bottom"/>
          </w:tcPr>
          <w:p w14:paraId="74DDF5AE" w14:textId="77777777" w:rsidR="00584EC1" w:rsidRDefault="00584EC1">
            <w:pPr>
              <w:rPr>
                <w:rFonts w:ascii="宋体"/>
                <w:vanish/>
              </w:rPr>
            </w:pPr>
          </w:p>
        </w:tc>
      </w:tr>
      <w:tr w:rsidR="00584EC1" w14:paraId="74DDF5B8" w14:textId="77777777">
        <w:trPr>
          <w:jc w:val="center"/>
          <w:hidden/>
        </w:trPr>
        <w:tc>
          <w:tcPr>
            <w:tcW w:w="0" w:type="auto"/>
            <w:gridSpan w:val="3"/>
            <w:shd w:val="clear" w:color="auto" w:fill="auto"/>
            <w:vAlign w:val="bottom"/>
          </w:tcPr>
          <w:p w14:paraId="74DDF5B0" w14:textId="77777777" w:rsidR="00584EC1" w:rsidRDefault="00584EC1">
            <w:pPr>
              <w:rPr>
                <w:rFonts w:ascii="宋体"/>
                <w:vanish/>
              </w:rPr>
            </w:pPr>
          </w:p>
        </w:tc>
        <w:tc>
          <w:tcPr>
            <w:tcW w:w="0" w:type="auto"/>
            <w:gridSpan w:val="3"/>
            <w:shd w:val="clear" w:color="auto" w:fill="auto"/>
            <w:vAlign w:val="bottom"/>
          </w:tcPr>
          <w:p w14:paraId="74DDF5B1" w14:textId="77777777" w:rsidR="00584EC1" w:rsidRDefault="00584EC1">
            <w:pPr>
              <w:rPr>
                <w:rFonts w:ascii="宋体"/>
                <w:vanish/>
              </w:rPr>
            </w:pPr>
          </w:p>
        </w:tc>
        <w:tc>
          <w:tcPr>
            <w:tcW w:w="0" w:type="auto"/>
            <w:gridSpan w:val="3"/>
            <w:shd w:val="clear" w:color="auto" w:fill="auto"/>
            <w:vAlign w:val="bottom"/>
          </w:tcPr>
          <w:p w14:paraId="74DDF5B2" w14:textId="77777777" w:rsidR="00584EC1" w:rsidRDefault="00584EC1">
            <w:pPr>
              <w:rPr>
                <w:rFonts w:ascii="宋体"/>
                <w:vanish/>
              </w:rPr>
            </w:pPr>
          </w:p>
        </w:tc>
        <w:tc>
          <w:tcPr>
            <w:tcW w:w="0" w:type="auto"/>
            <w:gridSpan w:val="3"/>
            <w:shd w:val="clear" w:color="auto" w:fill="auto"/>
            <w:vAlign w:val="bottom"/>
          </w:tcPr>
          <w:p w14:paraId="74DDF5B3" w14:textId="77777777" w:rsidR="00584EC1" w:rsidRDefault="00584EC1">
            <w:pPr>
              <w:rPr>
                <w:rFonts w:ascii="宋体"/>
                <w:vanish/>
              </w:rPr>
            </w:pPr>
          </w:p>
        </w:tc>
        <w:tc>
          <w:tcPr>
            <w:tcW w:w="0" w:type="auto"/>
            <w:gridSpan w:val="3"/>
            <w:shd w:val="clear" w:color="auto" w:fill="auto"/>
            <w:vAlign w:val="bottom"/>
          </w:tcPr>
          <w:p w14:paraId="74DDF5B4" w14:textId="77777777" w:rsidR="00584EC1" w:rsidRDefault="00584EC1">
            <w:pPr>
              <w:rPr>
                <w:rFonts w:ascii="宋体"/>
                <w:vanish/>
              </w:rPr>
            </w:pPr>
          </w:p>
        </w:tc>
        <w:tc>
          <w:tcPr>
            <w:tcW w:w="0" w:type="auto"/>
            <w:gridSpan w:val="3"/>
            <w:shd w:val="clear" w:color="auto" w:fill="auto"/>
            <w:vAlign w:val="bottom"/>
          </w:tcPr>
          <w:p w14:paraId="74DDF5B5" w14:textId="77777777" w:rsidR="00584EC1" w:rsidRDefault="00584EC1">
            <w:pPr>
              <w:rPr>
                <w:rFonts w:ascii="宋体"/>
                <w:vanish/>
              </w:rPr>
            </w:pPr>
          </w:p>
        </w:tc>
        <w:tc>
          <w:tcPr>
            <w:tcW w:w="0" w:type="auto"/>
            <w:gridSpan w:val="3"/>
            <w:shd w:val="clear" w:color="auto" w:fill="auto"/>
            <w:vAlign w:val="bottom"/>
          </w:tcPr>
          <w:p w14:paraId="74DDF5B6" w14:textId="77777777" w:rsidR="00584EC1" w:rsidRDefault="00584EC1">
            <w:pPr>
              <w:rPr>
                <w:rFonts w:ascii="宋体"/>
                <w:vanish/>
              </w:rPr>
            </w:pPr>
          </w:p>
        </w:tc>
        <w:tc>
          <w:tcPr>
            <w:tcW w:w="0" w:type="auto"/>
            <w:gridSpan w:val="3"/>
            <w:shd w:val="clear" w:color="auto" w:fill="auto"/>
            <w:vAlign w:val="bottom"/>
          </w:tcPr>
          <w:p w14:paraId="74DDF5B7" w14:textId="77777777" w:rsidR="00584EC1" w:rsidRDefault="00584EC1">
            <w:pPr>
              <w:rPr>
                <w:rFonts w:ascii="宋体"/>
                <w:vanish/>
              </w:rPr>
            </w:pPr>
          </w:p>
        </w:tc>
      </w:tr>
      <w:tr w:rsidR="00584EC1" w14:paraId="74DDF5C1" w14:textId="77777777">
        <w:trPr>
          <w:jc w:val="center"/>
          <w:hidden/>
        </w:trPr>
        <w:tc>
          <w:tcPr>
            <w:tcW w:w="0" w:type="auto"/>
            <w:gridSpan w:val="3"/>
            <w:shd w:val="clear" w:color="auto" w:fill="auto"/>
            <w:vAlign w:val="bottom"/>
          </w:tcPr>
          <w:p w14:paraId="74DDF5B9" w14:textId="77777777" w:rsidR="00584EC1" w:rsidRDefault="00584EC1">
            <w:pPr>
              <w:rPr>
                <w:rFonts w:ascii="宋体"/>
                <w:vanish/>
              </w:rPr>
            </w:pPr>
          </w:p>
        </w:tc>
        <w:tc>
          <w:tcPr>
            <w:tcW w:w="0" w:type="auto"/>
            <w:gridSpan w:val="3"/>
            <w:shd w:val="clear" w:color="auto" w:fill="auto"/>
            <w:vAlign w:val="bottom"/>
          </w:tcPr>
          <w:p w14:paraId="74DDF5BA" w14:textId="77777777" w:rsidR="00584EC1" w:rsidRDefault="00584EC1">
            <w:pPr>
              <w:rPr>
                <w:rFonts w:ascii="宋体"/>
                <w:vanish/>
              </w:rPr>
            </w:pPr>
          </w:p>
        </w:tc>
        <w:tc>
          <w:tcPr>
            <w:tcW w:w="0" w:type="auto"/>
            <w:gridSpan w:val="3"/>
            <w:shd w:val="clear" w:color="auto" w:fill="auto"/>
            <w:vAlign w:val="bottom"/>
          </w:tcPr>
          <w:p w14:paraId="74DDF5BB" w14:textId="77777777" w:rsidR="00584EC1" w:rsidRDefault="00584EC1">
            <w:pPr>
              <w:rPr>
                <w:rFonts w:ascii="宋体"/>
                <w:vanish/>
              </w:rPr>
            </w:pPr>
          </w:p>
        </w:tc>
        <w:tc>
          <w:tcPr>
            <w:tcW w:w="0" w:type="auto"/>
            <w:gridSpan w:val="3"/>
            <w:shd w:val="clear" w:color="auto" w:fill="auto"/>
            <w:vAlign w:val="bottom"/>
          </w:tcPr>
          <w:p w14:paraId="74DDF5BC" w14:textId="77777777" w:rsidR="00584EC1" w:rsidRDefault="00584EC1">
            <w:pPr>
              <w:rPr>
                <w:rFonts w:ascii="宋体"/>
                <w:vanish/>
              </w:rPr>
            </w:pPr>
          </w:p>
        </w:tc>
        <w:tc>
          <w:tcPr>
            <w:tcW w:w="0" w:type="auto"/>
            <w:gridSpan w:val="3"/>
            <w:shd w:val="clear" w:color="auto" w:fill="auto"/>
            <w:vAlign w:val="bottom"/>
          </w:tcPr>
          <w:p w14:paraId="74DDF5BD" w14:textId="77777777" w:rsidR="00584EC1" w:rsidRDefault="00584EC1">
            <w:pPr>
              <w:rPr>
                <w:rFonts w:ascii="宋体"/>
                <w:vanish/>
              </w:rPr>
            </w:pPr>
          </w:p>
        </w:tc>
        <w:tc>
          <w:tcPr>
            <w:tcW w:w="0" w:type="auto"/>
            <w:gridSpan w:val="3"/>
            <w:shd w:val="clear" w:color="auto" w:fill="auto"/>
            <w:vAlign w:val="bottom"/>
          </w:tcPr>
          <w:p w14:paraId="74DDF5BE" w14:textId="77777777" w:rsidR="00584EC1" w:rsidRDefault="00584EC1">
            <w:pPr>
              <w:rPr>
                <w:rFonts w:ascii="宋体"/>
                <w:vanish/>
              </w:rPr>
            </w:pPr>
          </w:p>
        </w:tc>
        <w:tc>
          <w:tcPr>
            <w:tcW w:w="0" w:type="auto"/>
            <w:gridSpan w:val="3"/>
            <w:shd w:val="clear" w:color="auto" w:fill="auto"/>
            <w:vAlign w:val="bottom"/>
          </w:tcPr>
          <w:p w14:paraId="74DDF5BF" w14:textId="77777777" w:rsidR="00584EC1" w:rsidRDefault="00584EC1">
            <w:pPr>
              <w:rPr>
                <w:rFonts w:ascii="宋体"/>
                <w:vanish/>
              </w:rPr>
            </w:pPr>
          </w:p>
        </w:tc>
        <w:tc>
          <w:tcPr>
            <w:tcW w:w="0" w:type="auto"/>
            <w:gridSpan w:val="3"/>
            <w:shd w:val="clear" w:color="auto" w:fill="auto"/>
            <w:vAlign w:val="bottom"/>
          </w:tcPr>
          <w:p w14:paraId="74DDF5C0" w14:textId="77777777" w:rsidR="00584EC1" w:rsidRDefault="00584EC1">
            <w:pPr>
              <w:rPr>
                <w:rFonts w:ascii="宋体"/>
                <w:vanish/>
              </w:rPr>
            </w:pPr>
          </w:p>
        </w:tc>
      </w:tr>
      <w:tr w:rsidR="00584EC1" w14:paraId="74DDF5D6" w14:textId="77777777">
        <w:trPr>
          <w:jc w:val="center"/>
          <w:hidden/>
        </w:trPr>
        <w:tc>
          <w:tcPr>
            <w:tcW w:w="0" w:type="auto"/>
            <w:gridSpan w:val="3"/>
            <w:shd w:val="clear" w:color="auto" w:fill="auto"/>
            <w:vAlign w:val="bottom"/>
          </w:tcPr>
          <w:p w14:paraId="74DDF5C2" w14:textId="77777777" w:rsidR="00584EC1" w:rsidRDefault="00584EC1">
            <w:pPr>
              <w:rPr>
                <w:rFonts w:ascii="宋体"/>
                <w:vanish/>
              </w:rPr>
            </w:pPr>
          </w:p>
        </w:tc>
        <w:tc>
          <w:tcPr>
            <w:tcW w:w="0" w:type="auto"/>
            <w:gridSpan w:val="3"/>
            <w:shd w:val="clear" w:color="auto" w:fill="auto"/>
            <w:vAlign w:val="bottom"/>
          </w:tcPr>
          <w:p w14:paraId="74DDF5C3" w14:textId="77777777" w:rsidR="00584EC1" w:rsidRDefault="00584EC1">
            <w:pPr>
              <w:rPr>
                <w:rFonts w:ascii="宋体"/>
                <w:vanish/>
              </w:rPr>
            </w:pPr>
          </w:p>
        </w:tc>
        <w:tc>
          <w:tcPr>
            <w:tcW w:w="0" w:type="auto"/>
            <w:shd w:val="clear" w:color="auto" w:fill="auto"/>
            <w:vAlign w:val="bottom"/>
          </w:tcPr>
          <w:p w14:paraId="74DDF5C4" w14:textId="77777777" w:rsidR="00584EC1" w:rsidRDefault="00584EC1">
            <w:pPr>
              <w:rPr>
                <w:rFonts w:ascii="宋体"/>
              </w:rPr>
            </w:pPr>
          </w:p>
        </w:tc>
        <w:tc>
          <w:tcPr>
            <w:tcW w:w="0" w:type="auto"/>
            <w:shd w:val="clear" w:color="auto" w:fill="auto"/>
            <w:vAlign w:val="bottom"/>
          </w:tcPr>
          <w:p w14:paraId="74DDF5C5" w14:textId="77777777" w:rsidR="00584EC1" w:rsidRDefault="00584EC1">
            <w:pPr>
              <w:rPr>
                <w:rFonts w:ascii="宋体"/>
              </w:rPr>
            </w:pPr>
          </w:p>
        </w:tc>
        <w:tc>
          <w:tcPr>
            <w:tcW w:w="0" w:type="auto"/>
            <w:shd w:val="clear" w:color="auto" w:fill="auto"/>
            <w:vAlign w:val="bottom"/>
          </w:tcPr>
          <w:p w14:paraId="74DDF5C6" w14:textId="77777777" w:rsidR="00584EC1" w:rsidRDefault="00584EC1">
            <w:pPr>
              <w:rPr>
                <w:rFonts w:ascii="宋体"/>
              </w:rPr>
            </w:pPr>
          </w:p>
        </w:tc>
        <w:tc>
          <w:tcPr>
            <w:tcW w:w="0" w:type="auto"/>
            <w:shd w:val="clear" w:color="auto" w:fill="auto"/>
            <w:vAlign w:val="bottom"/>
          </w:tcPr>
          <w:p w14:paraId="74DDF5C7" w14:textId="77777777" w:rsidR="00584EC1" w:rsidRDefault="00584EC1">
            <w:pPr>
              <w:rPr>
                <w:rFonts w:ascii="宋体"/>
              </w:rPr>
            </w:pPr>
          </w:p>
        </w:tc>
        <w:tc>
          <w:tcPr>
            <w:tcW w:w="0" w:type="auto"/>
            <w:shd w:val="clear" w:color="auto" w:fill="auto"/>
            <w:vAlign w:val="bottom"/>
          </w:tcPr>
          <w:p w14:paraId="74DDF5C8" w14:textId="77777777" w:rsidR="00584EC1" w:rsidRDefault="00584EC1">
            <w:pPr>
              <w:rPr>
                <w:rFonts w:ascii="宋体"/>
              </w:rPr>
            </w:pPr>
          </w:p>
        </w:tc>
        <w:tc>
          <w:tcPr>
            <w:tcW w:w="0" w:type="auto"/>
            <w:shd w:val="clear" w:color="auto" w:fill="auto"/>
            <w:vAlign w:val="bottom"/>
          </w:tcPr>
          <w:p w14:paraId="74DDF5C9" w14:textId="77777777" w:rsidR="00584EC1" w:rsidRDefault="00584EC1">
            <w:pPr>
              <w:rPr>
                <w:rFonts w:ascii="宋体"/>
              </w:rPr>
            </w:pPr>
          </w:p>
        </w:tc>
        <w:tc>
          <w:tcPr>
            <w:tcW w:w="0" w:type="auto"/>
            <w:shd w:val="clear" w:color="auto" w:fill="auto"/>
            <w:vAlign w:val="bottom"/>
          </w:tcPr>
          <w:p w14:paraId="74DDF5CA" w14:textId="77777777" w:rsidR="00584EC1" w:rsidRDefault="00584EC1">
            <w:pPr>
              <w:rPr>
                <w:rFonts w:ascii="宋体"/>
              </w:rPr>
            </w:pPr>
          </w:p>
        </w:tc>
        <w:tc>
          <w:tcPr>
            <w:tcW w:w="0" w:type="auto"/>
            <w:shd w:val="clear" w:color="auto" w:fill="auto"/>
            <w:vAlign w:val="bottom"/>
          </w:tcPr>
          <w:p w14:paraId="74DDF5CB" w14:textId="77777777" w:rsidR="00584EC1" w:rsidRDefault="00584EC1">
            <w:pPr>
              <w:rPr>
                <w:rFonts w:ascii="宋体"/>
              </w:rPr>
            </w:pPr>
          </w:p>
        </w:tc>
        <w:tc>
          <w:tcPr>
            <w:tcW w:w="0" w:type="auto"/>
            <w:shd w:val="clear" w:color="auto" w:fill="auto"/>
            <w:vAlign w:val="bottom"/>
          </w:tcPr>
          <w:p w14:paraId="74DDF5CC" w14:textId="77777777" w:rsidR="00584EC1" w:rsidRDefault="00584EC1">
            <w:pPr>
              <w:rPr>
                <w:rFonts w:ascii="宋体"/>
              </w:rPr>
            </w:pPr>
          </w:p>
        </w:tc>
        <w:tc>
          <w:tcPr>
            <w:tcW w:w="0" w:type="auto"/>
            <w:shd w:val="clear" w:color="auto" w:fill="auto"/>
            <w:vAlign w:val="bottom"/>
          </w:tcPr>
          <w:p w14:paraId="74DDF5CD" w14:textId="77777777" w:rsidR="00584EC1" w:rsidRDefault="00584EC1">
            <w:pPr>
              <w:rPr>
                <w:rFonts w:ascii="宋体"/>
              </w:rPr>
            </w:pPr>
          </w:p>
        </w:tc>
        <w:tc>
          <w:tcPr>
            <w:tcW w:w="0" w:type="auto"/>
            <w:shd w:val="clear" w:color="auto" w:fill="auto"/>
            <w:vAlign w:val="bottom"/>
          </w:tcPr>
          <w:p w14:paraId="74DDF5CE" w14:textId="77777777" w:rsidR="00584EC1" w:rsidRDefault="00584EC1">
            <w:pPr>
              <w:rPr>
                <w:rFonts w:ascii="宋体"/>
              </w:rPr>
            </w:pPr>
          </w:p>
        </w:tc>
        <w:tc>
          <w:tcPr>
            <w:tcW w:w="0" w:type="auto"/>
            <w:shd w:val="clear" w:color="auto" w:fill="auto"/>
            <w:vAlign w:val="bottom"/>
          </w:tcPr>
          <w:p w14:paraId="74DDF5CF" w14:textId="77777777" w:rsidR="00584EC1" w:rsidRDefault="00584EC1">
            <w:pPr>
              <w:rPr>
                <w:rFonts w:ascii="宋体"/>
              </w:rPr>
            </w:pPr>
          </w:p>
        </w:tc>
        <w:tc>
          <w:tcPr>
            <w:tcW w:w="0" w:type="auto"/>
            <w:shd w:val="clear" w:color="auto" w:fill="auto"/>
            <w:vAlign w:val="bottom"/>
          </w:tcPr>
          <w:p w14:paraId="74DDF5D0" w14:textId="77777777" w:rsidR="00584EC1" w:rsidRDefault="00584EC1">
            <w:pPr>
              <w:rPr>
                <w:rFonts w:ascii="宋体"/>
              </w:rPr>
            </w:pPr>
          </w:p>
        </w:tc>
        <w:tc>
          <w:tcPr>
            <w:tcW w:w="0" w:type="auto"/>
            <w:shd w:val="clear" w:color="auto" w:fill="auto"/>
            <w:vAlign w:val="bottom"/>
          </w:tcPr>
          <w:p w14:paraId="74DDF5D1" w14:textId="77777777" w:rsidR="00584EC1" w:rsidRDefault="00584EC1">
            <w:pPr>
              <w:rPr>
                <w:rFonts w:ascii="宋体"/>
              </w:rPr>
            </w:pPr>
          </w:p>
        </w:tc>
        <w:tc>
          <w:tcPr>
            <w:tcW w:w="0" w:type="auto"/>
            <w:shd w:val="clear" w:color="auto" w:fill="auto"/>
            <w:vAlign w:val="bottom"/>
          </w:tcPr>
          <w:p w14:paraId="74DDF5D2" w14:textId="77777777" w:rsidR="00584EC1" w:rsidRDefault="00584EC1">
            <w:pPr>
              <w:rPr>
                <w:rFonts w:ascii="宋体"/>
              </w:rPr>
            </w:pPr>
          </w:p>
        </w:tc>
        <w:tc>
          <w:tcPr>
            <w:tcW w:w="0" w:type="auto"/>
            <w:shd w:val="clear" w:color="auto" w:fill="auto"/>
            <w:vAlign w:val="bottom"/>
          </w:tcPr>
          <w:p w14:paraId="74DDF5D3" w14:textId="77777777" w:rsidR="00584EC1" w:rsidRDefault="00584EC1">
            <w:pPr>
              <w:rPr>
                <w:rFonts w:ascii="宋体"/>
              </w:rPr>
            </w:pPr>
          </w:p>
        </w:tc>
        <w:tc>
          <w:tcPr>
            <w:tcW w:w="0" w:type="auto"/>
            <w:shd w:val="clear" w:color="auto" w:fill="auto"/>
            <w:vAlign w:val="bottom"/>
          </w:tcPr>
          <w:p w14:paraId="74DDF5D4" w14:textId="77777777" w:rsidR="00584EC1" w:rsidRDefault="00584EC1">
            <w:pPr>
              <w:rPr>
                <w:rFonts w:ascii="宋体"/>
              </w:rPr>
            </w:pPr>
          </w:p>
        </w:tc>
        <w:tc>
          <w:tcPr>
            <w:tcW w:w="0" w:type="auto"/>
            <w:shd w:val="clear" w:color="auto" w:fill="auto"/>
            <w:vAlign w:val="bottom"/>
          </w:tcPr>
          <w:p w14:paraId="74DDF5D5" w14:textId="77777777" w:rsidR="00584EC1" w:rsidRDefault="00584EC1">
            <w:pPr>
              <w:rPr>
                <w:rFonts w:ascii="宋体"/>
              </w:rPr>
            </w:pPr>
          </w:p>
        </w:tc>
      </w:tr>
      <w:tr w:rsidR="00584EC1" w14:paraId="74DDF5E7" w14:textId="77777777">
        <w:trPr>
          <w:jc w:val="center"/>
          <w:hidden/>
        </w:trPr>
        <w:tc>
          <w:tcPr>
            <w:tcW w:w="0" w:type="auto"/>
            <w:gridSpan w:val="3"/>
            <w:shd w:val="clear" w:color="auto" w:fill="auto"/>
            <w:vAlign w:val="bottom"/>
          </w:tcPr>
          <w:p w14:paraId="74DDF5D7" w14:textId="77777777" w:rsidR="00584EC1" w:rsidRDefault="00584EC1">
            <w:pPr>
              <w:rPr>
                <w:rFonts w:ascii="宋体"/>
                <w:vanish/>
              </w:rPr>
            </w:pPr>
          </w:p>
        </w:tc>
        <w:tc>
          <w:tcPr>
            <w:tcW w:w="0" w:type="auto"/>
            <w:gridSpan w:val="3"/>
            <w:shd w:val="clear" w:color="auto" w:fill="auto"/>
            <w:vAlign w:val="bottom"/>
          </w:tcPr>
          <w:p w14:paraId="74DDF5D8" w14:textId="77777777" w:rsidR="00584EC1" w:rsidRDefault="00584EC1">
            <w:pPr>
              <w:rPr>
                <w:rFonts w:ascii="宋体"/>
                <w:vanish/>
              </w:rPr>
            </w:pPr>
          </w:p>
        </w:tc>
        <w:tc>
          <w:tcPr>
            <w:tcW w:w="0" w:type="auto"/>
            <w:gridSpan w:val="3"/>
            <w:shd w:val="clear" w:color="auto" w:fill="auto"/>
            <w:vAlign w:val="bottom"/>
          </w:tcPr>
          <w:p w14:paraId="74DDF5D9" w14:textId="77777777" w:rsidR="00584EC1" w:rsidRDefault="00584EC1">
            <w:pPr>
              <w:rPr>
                <w:rFonts w:ascii="宋体"/>
                <w:vanish/>
              </w:rPr>
            </w:pPr>
          </w:p>
        </w:tc>
        <w:tc>
          <w:tcPr>
            <w:tcW w:w="0" w:type="auto"/>
            <w:gridSpan w:val="3"/>
            <w:shd w:val="clear" w:color="auto" w:fill="auto"/>
            <w:vAlign w:val="bottom"/>
          </w:tcPr>
          <w:p w14:paraId="74DDF5DA" w14:textId="77777777" w:rsidR="00584EC1" w:rsidRDefault="00584EC1">
            <w:pPr>
              <w:rPr>
                <w:rFonts w:ascii="宋体"/>
                <w:vanish/>
              </w:rPr>
            </w:pPr>
          </w:p>
        </w:tc>
        <w:tc>
          <w:tcPr>
            <w:tcW w:w="0" w:type="auto"/>
            <w:shd w:val="clear" w:color="auto" w:fill="auto"/>
            <w:vAlign w:val="bottom"/>
          </w:tcPr>
          <w:p w14:paraId="74DDF5DB" w14:textId="77777777" w:rsidR="00584EC1" w:rsidRDefault="00584EC1">
            <w:pPr>
              <w:rPr>
                <w:rFonts w:ascii="宋体"/>
              </w:rPr>
            </w:pPr>
          </w:p>
        </w:tc>
        <w:tc>
          <w:tcPr>
            <w:tcW w:w="0" w:type="auto"/>
            <w:shd w:val="clear" w:color="auto" w:fill="auto"/>
            <w:vAlign w:val="bottom"/>
          </w:tcPr>
          <w:p w14:paraId="74DDF5DC" w14:textId="77777777" w:rsidR="00584EC1" w:rsidRDefault="00584EC1">
            <w:pPr>
              <w:rPr>
                <w:rFonts w:ascii="宋体"/>
              </w:rPr>
            </w:pPr>
          </w:p>
        </w:tc>
        <w:tc>
          <w:tcPr>
            <w:tcW w:w="0" w:type="auto"/>
            <w:shd w:val="clear" w:color="auto" w:fill="auto"/>
            <w:vAlign w:val="bottom"/>
          </w:tcPr>
          <w:p w14:paraId="74DDF5DD" w14:textId="77777777" w:rsidR="00584EC1" w:rsidRDefault="00584EC1">
            <w:pPr>
              <w:rPr>
                <w:rFonts w:ascii="宋体"/>
              </w:rPr>
            </w:pPr>
          </w:p>
        </w:tc>
        <w:tc>
          <w:tcPr>
            <w:tcW w:w="0" w:type="auto"/>
            <w:shd w:val="clear" w:color="auto" w:fill="auto"/>
            <w:vAlign w:val="bottom"/>
          </w:tcPr>
          <w:p w14:paraId="74DDF5DE" w14:textId="77777777" w:rsidR="00584EC1" w:rsidRDefault="00584EC1">
            <w:pPr>
              <w:rPr>
                <w:rFonts w:ascii="宋体"/>
              </w:rPr>
            </w:pPr>
          </w:p>
        </w:tc>
        <w:tc>
          <w:tcPr>
            <w:tcW w:w="0" w:type="auto"/>
            <w:shd w:val="clear" w:color="auto" w:fill="auto"/>
            <w:vAlign w:val="bottom"/>
          </w:tcPr>
          <w:p w14:paraId="74DDF5DF" w14:textId="77777777" w:rsidR="00584EC1" w:rsidRDefault="00584EC1">
            <w:pPr>
              <w:rPr>
                <w:rFonts w:ascii="宋体"/>
              </w:rPr>
            </w:pPr>
          </w:p>
        </w:tc>
        <w:tc>
          <w:tcPr>
            <w:tcW w:w="0" w:type="auto"/>
            <w:shd w:val="clear" w:color="auto" w:fill="auto"/>
            <w:vAlign w:val="bottom"/>
          </w:tcPr>
          <w:p w14:paraId="74DDF5E0" w14:textId="77777777" w:rsidR="00584EC1" w:rsidRDefault="00584EC1">
            <w:pPr>
              <w:rPr>
                <w:rFonts w:ascii="宋体"/>
              </w:rPr>
            </w:pPr>
          </w:p>
        </w:tc>
        <w:tc>
          <w:tcPr>
            <w:tcW w:w="0" w:type="auto"/>
            <w:shd w:val="clear" w:color="auto" w:fill="auto"/>
            <w:vAlign w:val="bottom"/>
          </w:tcPr>
          <w:p w14:paraId="74DDF5E1" w14:textId="77777777" w:rsidR="00584EC1" w:rsidRDefault="00584EC1">
            <w:pPr>
              <w:rPr>
                <w:rFonts w:ascii="宋体"/>
              </w:rPr>
            </w:pPr>
          </w:p>
        </w:tc>
        <w:tc>
          <w:tcPr>
            <w:tcW w:w="0" w:type="auto"/>
            <w:shd w:val="clear" w:color="auto" w:fill="auto"/>
            <w:vAlign w:val="bottom"/>
          </w:tcPr>
          <w:p w14:paraId="74DDF5E2" w14:textId="77777777" w:rsidR="00584EC1" w:rsidRDefault="00584EC1">
            <w:pPr>
              <w:rPr>
                <w:rFonts w:ascii="宋体"/>
              </w:rPr>
            </w:pPr>
          </w:p>
        </w:tc>
        <w:tc>
          <w:tcPr>
            <w:tcW w:w="0" w:type="auto"/>
            <w:shd w:val="clear" w:color="auto" w:fill="auto"/>
            <w:vAlign w:val="bottom"/>
          </w:tcPr>
          <w:p w14:paraId="74DDF5E3" w14:textId="77777777" w:rsidR="00584EC1" w:rsidRDefault="00584EC1">
            <w:pPr>
              <w:rPr>
                <w:rFonts w:ascii="宋体"/>
              </w:rPr>
            </w:pPr>
          </w:p>
        </w:tc>
        <w:tc>
          <w:tcPr>
            <w:tcW w:w="0" w:type="auto"/>
            <w:shd w:val="clear" w:color="auto" w:fill="auto"/>
            <w:vAlign w:val="bottom"/>
          </w:tcPr>
          <w:p w14:paraId="74DDF5E4" w14:textId="77777777" w:rsidR="00584EC1" w:rsidRDefault="00584EC1">
            <w:pPr>
              <w:rPr>
                <w:rFonts w:ascii="宋体"/>
              </w:rPr>
            </w:pPr>
          </w:p>
        </w:tc>
        <w:tc>
          <w:tcPr>
            <w:tcW w:w="0" w:type="auto"/>
            <w:shd w:val="clear" w:color="auto" w:fill="auto"/>
            <w:vAlign w:val="bottom"/>
          </w:tcPr>
          <w:p w14:paraId="74DDF5E5" w14:textId="77777777" w:rsidR="00584EC1" w:rsidRDefault="00584EC1">
            <w:pPr>
              <w:rPr>
                <w:rFonts w:ascii="宋体"/>
              </w:rPr>
            </w:pPr>
          </w:p>
        </w:tc>
        <w:tc>
          <w:tcPr>
            <w:tcW w:w="0" w:type="auto"/>
            <w:shd w:val="clear" w:color="auto" w:fill="auto"/>
            <w:vAlign w:val="bottom"/>
          </w:tcPr>
          <w:p w14:paraId="74DDF5E6" w14:textId="77777777" w:rsidR="00584EC1" w:rsidRDefault="00584EC1">
            <w:pPr>
              <w:rPr>
                <w:rFonts w:ascii="宋体"/>
              </w:rPr>
            </w:pPr>
          </w:p>
        </w:tc>
      </w:tr>
      <w:tr w:rsidR="00584EC1" w14:paraId="74DDF5F0" w14:textId="77777777">
        <w:trPr>
          <w:jc w:val="center"/>
          <w:hidden/>
        </w:trPr>
        <w:tc>
          <w:tcPr>
            <w:tcW w:w="0" w:type="auto"/>
            <w:gridSpan w:val="3"/>
            <w:shd w:val="clear" w:color="auto" w:fill="auto"/>
            <w:vAlign w:val="bottom"/>
          </w:tcPr>
          <w:p w14:paraId="74DDF5E8" w14:textId="77777777" w:rsidR="00584EC1" w:rsidRDefault="00584EC1">
            <w:pPr>
              <w:rPr>
                <w:rFonts w:ascii="宋体"/>
                <w:vanish/>
              </w:rPr>
            </w:pPr>
          </w:p>
        </w:tc>
        <w:tc>
          <w:tcPr>
            <w:tcW w:w="0" w:type="auto"/>
            <w:gridSpan w:val="3"/>
            <w:shd w:val="clear" w:color="auto" w:fill="auto"/>
            <w:vAlign w:val="bottom"/>
          </w:tcPr>
          <w:p w14:paraId="74DDF5E9" w14:textId="77777777" w:rsidR="00584EC1" w:rsidRDefault="00584EC1">
            <w:pPr>
              <w:rPr>
                <w:rFonts w:ascii="宋体"/>
                <w:vanish/>
              </w:rPr>
            </w:pPr>
          </w:p>
        </w:tc>
        <w:tc>
          <w:tcPr>
            <w:tcW w:w="0" w:type="auto"/>
            <w:gridSpan w:val="3"/>
            <w:shd w:val="clear" w:color="auto" w:fill="auto"/>
            <w:vAlign w:val="bottom"/>
          </w:tcPr>
          <w:p w14:paraId="74DDF5EA" w14:textId="77777777" w:rsidR="00584EC1" w:rsidRDefault="00584EC1">
            <w:pPr>
              <w:rPr>
                <w:rFonts w:ascii="宋体"/>
                <w:vanish/>
              </w:rPr>
            </w:pPr>
          </w:p>
        </w:tc>
        <w:tc>
          <w:tcPr>
            <w:tcW w:w="0" w:type="auto"/>
            <w:gridSpan w:val="3"/>
            <w:shd w:val="clear" w:color="auto" w:fill="auto"/>
            <w:vAlign w:val="bottom"/>
          </w:tcPr>
          <w:p w14:paraId="74DDF5EB" w14:textId="77777777" w:rsidR="00584EC1" w:rsidRDefault="00584EC1">
            <w:pPr>
              <w:rPr>
                <w:rFonts w:ascii="宋体"/>
                <w:vanish/>
              </w:rPr>
            </w:pPr>
          </w:p>
        </w:tc>
        <w:tc>
          <w:tcPr>
            <w:tcW w:w="0" w:type="auto"/>
            <w:gridSpan w:val="3"/>
            <w:shd w:val="clear" w:color="auto" w:fill="auto"/>
            <w:vAlign w:val="bottom"/>
          </w:tcPr>
          <w:p w14:paraId="74DDF5EC" w14:textId="77777777" w:rsidR="00584EC1" w:rsidRDefault="00584EC1">
            <w:pPr>
              <w:rPr>
                <w:rFonts w:ascii="宋体"/>
                <w:vanish/>
              </w:rPr>
            </w:pPr>
          </w:p>
        </w:tc>
        <w:tc>
          <w:tcPr>
            <w:tcW w:w="0" w:type="auto"/>
            <w:gridSpan w:val="3"/>
            <w:shd w:val="clear" w:color="auto" w:fill="auto"/>
            <w:vAlign w:val="bottom"/>
          </w:tcPr>
          <w:p w14:paraId="74DDF5ED" w14:textId="77777777" w:rsidR="00584EC1" w:rsidRDefault="00584EC1">
            <w:pPr>
              <w:rPr>
                <w:rFonts w:ascii="宋体"/>
                <w:vanish/>
              </w:rPr>
            </w:pPr>
          </w:p>
        </w:tc>
        <w:tc>
          <w:tcPr>
            <w:tcW w:w="0" w:type="auto"/>
            <w:gridSpan w:val="3"/>
            <w:shd w:val="clear" w:color="auto" w:fill="auto"/>
            <w:vAlign w:val="bottom"/>
          </w:tcPr>
          <w:p w14:paraId="74DDF5EE" w14:textId="77777777" w:rsidR="00584EC1" w:rsidRDefault="00584EC1">
            <w:pPr>
              <w:rPr>
                <w:rFonts w:ascii="宋体"/>
                <w:vanish/>
              </w:rPr>
            </w:pPr>
          </w:p>
        </w:tc>
        <w:tc>
          <w:tcPr>
            <w:tcW w:w="0" w:type="auto"/>
            <w:gridSpan w:val="3"/>
            <w:shd w:val="clear" w:color="auto" w:fill="auto"/>
            <w:vAlign w:val="bottom"/>
          </w:tcPr>
          <w:p w14:paraId="74DDF5EF" w14:textId="77777777" w:rsidR="00584EC1" w:rsidRDefault="00584EC1">
            <w:pPr>
              <w:rPr>
                <w:rFonts w:ascii="宋体"/>
                <w:vanish/>
              </w:rPr>
            </w:pPr>
          </w:p>
        </w:tc>
      </w:tr>
      <w:tr w:rsidR="00584EC1" w14:paraId="74DDF5F9" w14:textId="77777777">
        <w:trPr>
          <w:jc w:val="center"/>
          <w:hidden/>
        </w:trPr>
        <w:tc>
          <w:tcPr>
            <w:tcW w:w="0" w:type="auto"/>
            <w:gridSpan w:val="3"/>
            <w:shd w:val="clear" w:color="auto" w:fill="auto"/>
            <w:vAlign w:val="bottom"/>
          </w:tcPr>
          <w:p w14:paraId="74DDF5F1" w14:textId="77777777" w:rsidR="00584EC1" w:rsidRDefault="00584EC1">
            <w:pPr>
              <w:rPr>
                <w:rFonts w:ascii="宋体"/>
                <w:vanish/>
              </w:rPr>
            </w:pPr>
          </w:p>
        </w:tc>
        <w:tc>
          <w:tcPr>
            <w:tcW w:w="0" w:type="auto"/>
            <w:gridSpan w:val="3"/>
            <w:shd w:val="clear" w:color="auto" w:fill="auto"/>
            <w:vAlign w:val="bottom"/>
          </w:tcPr>
          <w:p w14:paraId="74DDF5F2" w14:textId="77777777" w:rsidR="00584EC1" w:rsidRDefault="00584EC1">
            <w:pPr>
              <w:rPr>
                <w:rFonts w:ascii="宋体"/>
                <w:vanish/>
              </w:rPr>
            </w:pPr>
          </w:p>
        </w:tc>
        <w:tc>
          <w:tcPr>
            <w:tcW w:w="0" w:type="auto"/>
            <w:gridSpan w:val="3"/>
            <w:shd w:val="clear" w:color="auto" w:fill="auto"/>
            <w:vAlign w:val="bottom"/>
          </w:tcPr>
          <w:p w14:paraId="74DDF5F3" w14:textId="77777777" w:rsidR="00584EC1" w:rsidRDefault="00584EC1">
            <w:pPr>
              <w:rPr>
                <w:rFonts w:ascii="宋体"/>
                <w:vanish/>
              </w:rPr>
            </w:pPr>
          </w:p>
        </w:tc>
        <w:tc>
          <w:tcPr>
            <w:tcW w:w="0" w:type="auto"/>
            <w:gridSpan w:val="3"/>
            <w:shd w:val="clear" w:color="auto" w:fill="auto"/>
            <w:vAlign w:val="bottom"/>
          </w:tcPr>
          <w:p w14:paraId="74DDF5F4" w14:textId="77777777" w:rsidR="00584EC1" w:rsidRDefault="00584EC1">
            <w:pPr>
              <w:rPr>
                <w:rFonts w:ascii="宋体"/>
                <w:vanish/>
              </w:rPr>
            </w:pPr>
          </w:p>
        </w:tc>
        <w:tc>
          <w:tcPr>
            <w:tcW w:w="0" w:type="auto"/>
            <w:gridSpan w:val="3"/>
            <w:shd w:val="clear" w:color="auto" w:fill="auto"/>
            <w:vAlign w:val="bottom"/>
          </w:tcPr>
          <w:p w14:paraId="74DDF5F5" w14:textId="77777777" w:rsidR="00584EC1" w:rsidRDefault="00584EC1">
            <w:pPr>
              <w:rPr>
                <w:rFonts w:ascii="宋体"/>
                <w:vanish/>
              </w:rPr>
            </w:pPr>
          </w:p>
        </w:tc>
        <w:tc>
          <w:tcPr>
            <w:tcW w:w="0" w:type="auto"/>
            <w:gridSpan w:val="3"/>
            <w:shd w:val="clear" w:color="auto" w:fill="auto"/>
            <w:vAlign w:val="bottom"/>
          </w:tcPr>
          <w:p w14:paraId="74DDF5F6" w14:textId="77777777" w:rsidR="00584EC1" w:rsidRDefault="00584EC1">
            <w:pPr>
              <w:rPr>
                <w:rFonts w:ascii="宋体"/>
                <w:vanish/>
              </w:rPr>
            </w:pPr>
          </w:p>
        </w:tc>
        <w:tc>
          <w:tcPr>
            <w:tcW w:w="0" w:type="auto"/>
            <w:gridSpan w:val="3"/>
            <w:shd w:val="clear" w:color="auto" w:fill="auto"/>
            <w:vAlign w:val="bottom"/>
          </w:tcPr>
          <w:p w14:paraId="74DDF5F7" w14:textId="77777777" w:rsidR="00584EC1" w:rsidRDefault="00584EC1">
            <w:pPr>
              <w:rPr>
                <w:rFonts w:ascii="宋体"/>
                <w:vanish/>
              </w:rPr>
            </w:pPr>
          </w:p>
        </w:tc>
        <w:tc>
          <w:tcPr>
            <w:tcW w:w="0" w:type="auto"/>
            <w:gridSpan w:val="3"/>
            <w:shd w:val="clear" w:color="auto" w:fill="auto"/>
            <w:vAlign w:val="bottom"/>
          </w:tcPr>
          <w:p w14:paraId="74DDF5F8" w14:textId="77777777" w:rsidR="00584EC1" w:rsidRDefault="00584EC1">
            <w:pPr>
              <w:rPr>
                <w:rFonts w:ascii="宋体"/>
                <w:vanish/>
              </w:rPr>
            </w:pPr>
          </w:p>
        </w:tc>
      </w:tr>
      <w:tr w:rsidR="00584EC1" w14:paraId="74DDF602" w14:textId="77777777">
        <w:trPr>
          <w:jc w:val="center"/>
          <w:hidden/>
        </w:trPr>
        <w:tc>
          <w:tcPr>
            <w:tcW w:w="0" w:type="auto"/>
            <w:gridSpan w:val="3"/>
            <w:shd w:val="clear" w:color="auto" w:fill="auto"/>
            <w:vAlign w:val="bottom"/>
          </w:tcPr>
          <w:p w14:paraId="74DDF5FA" w14:textId="77777777" w:rsidR="00584EC1" w:rsidRDefault="00584EC1">
            <w:pPr>
              <w:rPr>
                <w:rFonts w:ascii="宋体"/>
                <w:vanish/>
              </w:rPr>
            </w:pPr>
          </w:p>
        </w:tc>
        <w:tc>
          <w:tcPr>
            <w:tcW w:w="0" w:type="auto"/>
            <w:gridSpan w:val="3"/>
            <w:shd w:val="clear" w:color="auto" w:fill="auto"/>
            <w:vAlign w:val="bottom"/>
          </w:tcPr>
          <w:p w14:paraId="74DDF5FB" w14:textId="77777777" w:rsidR="00584EC1" w:rsidRDefault="00584EC1">
            <w:pPr>
              <w:rPr>
                <w:rFonts w:ascii="宋体"/>
                <w:vanish/>
              </w:rPr>
            </w:pPr>
          </w:p>
        </w:tc>
        <w:tc>
          <w:tcPr>
            <w:tcW w:w="0" w:type="auto"/>
            <w:gridSpan w:val="3"/>
            <w:shd w:val="clear" w:color="auto" w:fill="auto"/>
            <w:vAlign w:val="bottom"/>
          </w:tcPr>
          <w:p w14:paraId="74DDF5FC" w14:textId="77777777" w:rsidR="00584EC1" w:rsidRDefault="00584EC1">
            <w:pPr>
              <w:rPr>
                <w:rFonts w:ascii="宋体"/>
                <w:vanish/>
              </w:rPr>
            </w:pPr>
          </w:p>
        </w:tc>
        <w:tc>
          <w:tcPr>
            <w:tcW w:w="0" w:type="auto"/>
            <w:gridSpan w:val="3"/>
            <w:shd w:val="clear" w:color="auto" w:fill="auto"/>
            <w:vAlign w:val="bottom"/>
          </w:tcPr>
          <w:p w14:paraId="74DDF5FD" w14:textId="77777777" w:rsidR="00584EC1" w:rsidRDefault="00584EC1">
            <w:pPr>
              <w:rPr>
                <w:rFonts w:ascii="宋体"/>
                <w:vanish/>
              </w:rPr>
            </w:pPr>
          </w:p>
        </w:tc>
        <w:tc>
          <w:tcPr>
            <w:tcW w:w="0" w:type="auto"/>
            <w:gridSpan w:val="3"/>
            <w:shd w:val="clear" w:color="auto" w:fill="auto"/>
            <w:vAlign w:val="bottom"/>
          </w:tcPr>
          <w:p w14:paraId="74DDF5FE" w14:textId="77777777" w:rsidR="00584EC1" w:rsidRDefault="00584EC1">
            <w:pPr>
              <w:rPr>
                <w:rFonts w:ascii="宋体"/>
                <w:vanish/>
              </w:rPr>
            </w:pPr>
          </w:p>
        </w:tc>
        <w:tc>
          <w:tcPr>
            <w:tcW w:w="0" w:type="auto"/>
            <w:gridSpan w:val="3"/>
            <w:shd w:val="clear" w:color="auto" w:fill="auto"/>
            <w:vAlign w:val="bottom"/>
          </w:tcPr>
          <w:p w14:paraId="74DDF5FF" w14:textId="77777777" w:rsidR="00584EC1" w:rsidRDefault="00584EC1">
            <w:pPr>
              <w:rPr>
                <w:rFonts w:ascii="宋体"/>
                <w:vanish/>
              </w:rPr>
            </w:pPr>
          </w:p>
        </w:tc>
        <w:tc>
          <w:tcPr>
            <w:tcW w:w="0" w:type="auto"/>
            <w:gridSpan w:val="3"/>
            <w:shd w:val="clear" w:color="auto" w:fill="auto"/>
            <w:vAlign w:val="bottom"/>
          </w:tcPr>
          <w:p w14:paraId="74DDF600" w14:textId="77777777" w:rsidR="00584EC1" w:rsidRDefault="00584EC1">
            <w:pPr>
              <w:rPr>
                <w:rFonts w:ascii="宋体"/>
                <w:vanish/>
              </w:rPr>
            </w:pPr>
          </w:p>
        </w:tc>
        <w:tc>
          <w:tcPr>
            <w:tcW w:w="0" w:type="auto"/>
            <w:gridSpan w:val="3"/>
            <w:shd w:val="clear" w:color="auto" w:fill="auto"/>
            <w:vAlign w:val="bottom"/>
          </w:tcPr>
          <w:p w14:paraId="74DDF601" w14:textId="77777777" w:rsidR="00584EC1" w:rsidRDefault="00584EC1">
            <w:pPr>
              <w:rPr>
                <w:rFonts w:ascii="宋体"/>
                <w:vanish/>
              </w:rPr>
            </w:pPr>
          </w:p>
        </w:tc>
      </w:tr>
      <w:tr w:rsidR="00584EC1" w14:paraId="74DDF60B" w14:textId="77777777">
        <w:trPr>
          <w:jc w:val="center"/>
          <w:hidden/>
        </w:trPr>
        <w:tc>
          <w:tcPr>
            <w:tcW w:w="0" w:type="auto"/>
            <w:gridSpan w:val="3"/>
            <w:shd w:val="clear" w:color="auto" w:fill="auto"/>
            <w:vAlign w:val="bottom"/>
          </w:tcPr>
          <w:p w14:paraId="74DDF603" w14:textId="77777777" w:rsidR="00584EC1" w:rsidRDefault="00584EC1">
            <w:pPr>
              <w:rPr>
                <w:rFonts w:ascii="宋体"/>
                <w:vanish/>
              </w:rPr>
            </w:pPr>
          </w:p>
        </w:tc>
        <w:tc>
          <w:tcPr>
            <w:tcW w:w="0" w:type="auto"/>
            <w:gridSpan w:val="3"/>
            <w:shd w:val="clear" w:color="auto" w:fill="auto"/>
            <w:vAlign w:val="bottom"/>
          </w:tcPr>
          <w:p w14:paraId="74DDF604" w14:textId="77777777" w:rsidR="00584EC1" w:rsidRDefault="00584EC1">
            <w:pPr>
              <w:rPr>
                <w:rFonts w:ascii="宋体"/>
                <w:vanish/>
              </w:rPr>
            </w:pPr>
          </w:p>
        </w:tc>
        <w:tc>
          <w:tcPr>
            <w:tcW w:w="0" w:type="auto"/>
            <w:gridSpan w:val="3"/>
            <w:shd w:val="clear" w:color="auto" w:fill="auto"/>
            <w:vAlign w:val="bottom"/>
          </w:tcPr>
          <w:p w14:paraId="74DDF605" w14:textId="77777777" w:rsidR="00584EC1" w:rsidRDefault="00584EC1">
            <w:pPr>
              <w:rPr>
                <w:rFonts w:ascii="宋体"/>
                <w:vanish/>
              </w:rPr>
            </w:pPr>
          </w:p>
        </w:tc>
        <w:tc>
          <w:tcPr>
            <w:tcW w:w="0" w:type="auto"/>
            <w:gridSpan w:val="3"/>
            <w:shd w:val="clear" w:color="auto" w:fill="auto"/>
            <w:vAlign w:val="bottom"/>
          </w:tcPr>
          <w:p w14:paraId="74DDF606" w14:textId="77777777" w:rsidR="00584EC1" w:rsidRDefault="00584EC1">
            <w:pPr>
              <w:rPr>
                <w:rFonts w:ascii="宋体"/>
                <w:vanish/>
              </w:rPr>
            </w:pPr>
          </w:p>
        </w:tc>
        <w:tc>
          <w:tcPr>
            <w:tcW w:w="0" w:type="auto"/>
            <w:gridSpan w:val="3"/>
            <w:shd w:val="clear" w:color="auto" w:fill="auto"/>
            <w:vAlign w:val="bottom"/>
          </w:tcPr>
          <w:p w14:paraId="74DDF607" w14:textId="77777777" w:rsidR="00584EC1" w:rsidRDefault="00584EC1">
            <w:pPr>
              <w:rPr>
                <w:rFonts w:ascii="宋体"/>
                <w:vanish/>
              </w:rPr>
            </w:pPr>
          </w:p>
        </w:tc>
        <w:tc>
          <w:tcPr>
            <w:tcW w:w="0" w:type="auto"/>
            <w:gridSpan w:val="3"/>
            <w:shd w:val="clear" w:color="auto" w:fill="auto"/>
            <w:vAlign w:val="bottom"/>
          </w:tcPr>
          <w:p w14:paraId="74DDF608" w14:textId="77777777" w:rsidR="00584EC1" w:rsidRDefault="00584EC1">
            <w:pPr>
              <w:rPr>
                <w:rFonts w:ascii="宋体"/>
                <w:vanish/>
              </w:rPr>
            </w:pPr>
          </w:p>
        </w:tc>
        <w:tc>
          <w:tcPr>
            <w:tcW w:w="0" w:type="auto"/>
            <w:gridSpan w:val="3"/>
            <w:shd w:val="clear" w:color="auto" w:fill="auto"/>
            <w:vAlign w:val="bottom"/>
          </w:tcPr>
          <w:p w14:paraId="74DDF609" w14:textId="77777777" w:rsidR="00584EC1" w:rsidRDefault="00584EC1">
            <w:pPr>
              <w:rPr>
                <w:rFonts w:ascii="宋体"/>
                <w:vanish/>
              </w:rPr>
            </w:pPr>
          </w:p>
        </w:tc>
        <w:tc>
          <w:tcPr>
            <w:tcW w:w="0" w:type="auto"/>
            <w:gridSpan w:val="3"/>
            <w:shd w:val="clear" w:color="auto" w:fill="auto"/>
            <w:vAlign w:val="bottom"/>
          </w:tcPr>
          <w:p w14:paraId="74DDF60A" w14:textId="77777777" w:rsidR="00584EC1" w:rsidRDefault="00584EC1">
            <w:pPr>
              <w:rPr>
                <w:rFonts w:ascii="宋体"/>
                <w:vanish/>
              </w:rPr>
            </w:pPr>
          </w:p>
        </w:tc>
      </w:tr>
    </w:tbl>
    <w:p w14:paraId="74DDF60C" w14:textId="77777777" w:rsidR="00584EC1" w:rsidRDefault="00584EC1">
      <w:pPr>
        <w:rPr>
          <w:vanish/>
        </w:rPr>
      </w:pPr>
    </w:p>
    <w:tbl>
      <w:tblPr>
        <w:tblW w:w="10260" w:type="dxa"/>
        <w:tblCellMar>
          <w:top w:w="15" w:type="dxa"/>
          <w:left w:w="15" w:type="dxa"/>
          <w:bottom w:w="15" w:type="dxa"/>
          <w:right w:w="15" w:type="dxa"/>
        </w:tblCellMar>
        <w:tblLook w:val="04A0" w:firstRow="1" w:lastRow="0" w:firstColumn="1" w:lastColumn="0" w:noHBand="0" w:noVBand="1"/>
      </w:tblPr>
      <w:tblGrid>
        <w:gridCol w:w="36"/>
        <w:gridCol w:w="2795"/>
        <w:gridCol w:w="36"/>
        <w:gridCol w:w="36"/>
        <w:gridCol w:w="1437"/>
        <w:gridCol w:w="36"/>
        <w:gridCol w:w="36"/>
        <w:gridCol w:w="1437"/>
        <w:gridCol w:w="36"/>
        <w:gridCol w:w="36"/>
        <w:gridCol w:w="2514"/>
        <w:gridCol w:w="36"/>
        <w:gridCol w:w="36"/>
        <w:gridCol w:w="1717"/>
        <w:gridCol w:w="36"/>
      </w:tblGrid>
      <w:tr w:rsidR="00584EC1" w14:paraId="74DDF61C" w14:textId="77777777">
        <w:tc>
          <w:tcPr>
            <w:tcW w:w="20" w:type="dxa"/>
            <w:shd w:val="clear" w:color="auto" w:fill="auto"/>
            <w:vAlign w:val="bottom"/>
          </w:tcPr>
          <w:p w14:paraId="74DDF60D" w14:textId="77777777" w:rsidR="00584EC1" w:rsidRDefault="00584EC1">
            <w:pPr>
              <w:rPr>
                <w:rFonts w:ascii="宋体"/>
              </w:rPr>
            </w:pPr>
          </w:p>
        </w:tc>
        <w:tc>
          <w:tcPr>
            <w:tcW w:w="2840" w:type="dxa"/>
            <w:shd w:val="clear" w:color="auto" w:fill="auto"/>
            <w:vAlign w:val="bottom"/>
          </w:tcPr>
          <w:p w14:paraId="74DDF60E" w14:textId="77777777" w:rsidR="00584EC1" w:rsidRDefault="00584EC1">
            <w:pPr>
              <w:rPr>
                <w:rFonts w:ascii="宋体"/>
              </w:rPr>
            </w:pPr>
          </w:p>
        </w:tc>
        <w:tc>
          <w:tcPr>
            <w:tcW w:w="20" w:type="dxa"/>
            <w:shd w:val="clear" w:color="auto" w:fill="auto"/>
            <w:vAlign w:val="bottom"/>
          </w:tcPr>
          <w:p w14:paraId="74DDF60F" w14:textId="77777777" w:rsidR="00584EC1" w:rsidRDefault="00584EC1">
            <w:pPr>
              <w:rPr>
                <w:rFonts w:ascii="宋体"/>
              </w:rPr>
            </w:pPr>
          </w:p>
        </w:tc>
        <w:tc>
          <w:tcPr>
            <w:tcW w:w="20" w:type="dxa"/>
            <w:shd w:val="clear" w:color="auto" w:fill="auto"/>
            <w:vAlign w:val="bottom"/>
          </w:tcPr>
          <w:p w14:paraId="74DDF610" w14:textId="77777777" w:rsidR="00584EC1" w:rsidRDefault="00584EC1">
            <w:pPr>
              <w:rPr>
                <w:rFonts w:ascii="宋体"/>
              </w:rPr>
            </w:pPr>
          </w:p>
        </w:tc>
        <w:tc>
          <w:tcPr>
            <w:tcW w:w="1460" w:type="dxa"/>
            <w:shd w:val="clear" w:color="auto" w:fill="auto"/>
            <w:vAlign w:val="bottom"/>
          </w:tcPr>
          <w:p w14:paraId="74DDF611" w14:textId="77777777" w:rsidR="00584EC1" w:rsidRDefault="00584EC1">
            <w:pPr>
              <w:rPr>
                <w:rFonts w:ascii="宋体"/>
              </w:rPr>
            </w:pPr>
          </w:p>
        </w:tc>
        <w:tc>
          <w:tcPr>
            <w:tcW w:w="20" w:type="dxa"/>
            <w:shd w:val="clear" w:color="auto" w:fill="auto"/>
            <w:vAlign w:val="bottom"/>
          </w:tcPr>
          <w:p w14:paraId="74DDF612" w14:textId="77777777" w:rsidR="00584EC1" w:rsidRDefault="00584EC1">
            <w:pPr>
              <w:rPr>
                <w:rFonts w:ascii="宋体"/>
              </w:rPr>
            </w:pPr>
          </w:p>
        </w:tc>
        <w:tc>
          <w:tcPr>
            <w:tcW w:w="20" w:type="dxa"/>
            <w:shd w:val="clear" w:color="auto" w:fill="auto"/>
            <w:vAlign w:val="bottom"/>
          </w:tcPr>
          <w:p w14:paraId="74DDF613" w14:textId="77777777" w:rsidR="00584EC1" w:rsidRDefault="00584EC1">
            <w:pPr>
              <w:rPr>
                <w:rFonts w:ascii="宋体"/>
              </w:rPr>
            </w:pPr>
          </w:p>
        </w:tc>
        <w:tc>
          <w:tcPr>
            <w:tcW w:w="1460" w:type="dxa"/>
            <w:shd w:val="clear" w:color="auto" w:fill="auto"/>
            <w:vAlign w:val="bottom"/>
          </w:tcPr>
          <w:p w14:paraId="74DDF614" w14:textId="77777777" w:rsidR="00584EC1" w:rsidRDefault="00584EC1">
            <w:pPr>
              <w:rPr>
                <w:rFonts w:ascii="宋体"/>
              </w:rPr>
            </w:pPr>
          </w:p>
        </w:tc>
        <w:tc>
          <w:tcPr>
            <w:tcW w:w="20" w:type="dxa"/>
            <w:shd w:val="clear" w:color="auto" w:fill="auto"/>
            <w:vAlign w:val="bottom"/>
          </w:tcPr>
          <w:p w14:paraId="74DDF615" w14:textId="77777777" w:rsidR="00584EC1" w:rsidRDefault="00584EC1">
            <w:pPr>
              <w:rPr>
                <w:rFonts w:ascii="宋体"/>
              </w:rPr>
            </w:pPr>
          </w:p>
        </w:tc>
        <w:tc>
          <w:tcPr>
            <w:tcW w:w="20" w:type="dxa"/>
            <w:shd w:val="clear" w:color="auto" w:fill="auto"/>
            <w:vAlign w:val="bottom"/>
          </w:tcPr>
          <w:p w14:paraId="74DDF616" w14:textId="77777777" w:rsidR="00584EC1" w:rsidRDefault="00584EC1">
            <w:pPr>
              <w:rPr>
                <w:rFonts w:ascii="宋体"/>
              </w:rPr>
            </w:pPr>
          </w:p>
        </w:tc>
        <w:tc>
          <w:tcPr>
            <w:tcW w:w="2555" w:type="dxa"/>
            <w:shd w:val="clear" w:color="auto" w:fill="auto"/>
            <w:vAlign w:val="bottom"/>
          </w:tcPr>
          <w:p w14:paraId="74DDF617" w14:textId="77777777" w:rsidR="00584EC1" w:rsidRDefault="00584EC1">
            <w:pPr>
              <w:rPr>
                <w:rFonts w:ascii="宋体"/>
              </w:rPr>
            </w:pPr>
          </w:p>
        </w:tc>
        <w:tc>
          <w:tcPr>
            <w:tcW w:w="20" w:type="dxa"/>
            <w:shd w:val="clear" w:color="auto" w:fill="auto"/>
            <w:vAlign w:val="bottom"/>
          </w:tcPr>
          <w:p w14:paraId="74DDF618" w14:textId="77777777" w:rsidR="00584EC1" w:rsidRDefault="00584EC1">
            <w:pPr>
              <w:rPr>
                <w:rFonts w:ascii="宋体"/>
              </w:rPr>
            </w:pPr>
          </w:p>
        </w:tc>
        <w:tc>
          <w:tcPr>
            <w:tcW w:w="20" w:type="dxa"/>
            <w:shd w:val="clear" w:color="auto" w:fill="auto"/>
            <w:vAlign w:val="bottom"/>
          </w:tcPr>
          <w:p w14:paraId="74DDF619" w14:textId="77777777" w:rsidR="00584EC1" w:rsidRDefault="00584EC1">
            <w:pPr>
              <w:rPr>
                <w:rFonts w:ascii="宋体"/>
              </w:rPr>
            </w:pPr>
          </w:p>
        </w:tc>
        <w:tc>
          <w:tcPr>
            <w:tcW w:w="1745" w:type="dxa"/>
            <w:shd w:val="clear" w:color="auto" w:fill="auto"/>
            <w:vAlign w:val="bottom"/>
          </w:tcPr>
          <w:p w14:paraId="74DDF61A" w14:textId="77777777" w:rsidR="00584EC1" w:rsidRDefault="00584EC1">
            <w:pPr>
              <w:rPr>
                <w:rFonts w:ascii="宋体"/>
              </w:rPr>
            </w:pPr>
          </w:p>
        </w:tc>
        <w:tc>
          <w:tcPr>
            <w:tcW w:w="20" w:type="dxa"/>
            <w:shd w:val="clear" w:color="auto" w:fill="auto"/>
            <w:vAlign w:val="bottom"/>
          </w:tcPr>
          <w:p w14:paraId="74DDF61B" w14:textId="77777777" w:rsidR="00584EC1" w:rsidRDefault="00584EC1">
            <w:pPr>
              <w:rPr>
                <w:rFonts w:ascii="宋体"/>
              </w:rPr>
            </w:pPr>
          </w:p>
        </w:tc>
      </w:tr>
      <w:tr w:rsidR="00584EC1" w14:paraId="74DDF622"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4DDF61D"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61E"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61F"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620"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621" w14:textId="77777777" w:rsidR="00584EC1" w:rsidRDefault="00584EC1">
            <w:pPr>
              <w:rPr>
                <w:rFonts w:ascii="宋体"/>
              </w:rPr>
            </w:pPr>
          </w:p>
        </w:tc>
      </w:tr>
    </w:tbl>
    <w:p w14:paraId="74DDF623" w14:textId="77777777" w:rsidR="00584EC1" w:rsidRDefault="00871F8D">
      <w:pPr>
        <w:jc w:val="both"/>
      </w:pPr>
      <w:r>
        <w:rPr>
          <w:rFonts w:ascii="Arial" w:eastAsia="宋体" w:hAnsi="Arial" w:cs="Arial"/>
          <w:color w:val="000000"/>
          <w:sz w:val="9"/>
          <w:szCs w:val="9"/>
        </w:rPr>
        <w:t xml:space="preserve">(1) </w:t>
      </w:r>
      <w:r>
        <w:rPr>
          <w:rFonts w:ascii="Arial" w:eastAsia="宋体" w:hAnsi="Arial" w:cs="Arial"/>
          <w:color w:val="000000"/>
          <w:sz w:val="14"/>
          <w:szCs w:val="14"/>
        </w:rPr>
        <w:t>Represents hedged items no longer designated in qualifying fair value hedging relationships for which an associated basis adjustment exists at the balance sheet date.</w:t>
      </w:r>
    </w:p>
    <w:p w14:paraId="74DDF624" w14:textId="77777777" w:rsidR="00584EC1" w:rsidRDefault="00871F8D">
      <w:pPr>
        <w:ind w:firstLine="450"/>
        <w:jc w:val="both"/>
      </w:pPr>
      <w:r>
        <w:rPr>
          <w:rFonts w:ascii="Arial" w:eastAsia="宋体" w:hAnsi="Arial" w:cs="Arial"/>
          <w:color w:val="000000"/>
          <w:sz w:val="20"/>
          <w:szCs w:val="20"/>
        </w:rPr>
        <w:t xml:space="preserve">As of September 30, 2021 and </w:t>
      </w:r>
      <w:r>
        <w:rPr>
          <w:rFonts w:ascii="Arial" w:eastAsia="宋体" w:hAnsi="Arial" w:cs="Arial"/>
          <w:color w:val="000000"/>
          <w:sz w:val="20"/>
          <w:szCs w:val="20"/>
        </w:rPr>
        <w:t>December 31, 2020, the total notional amount of the interest rate swaps of fair value hedges was $6.81 billion and $2.60 billion, respectively.</w:t>
      </w:r>
    </w:p>
    <w:p w14:paraId="74DDF625" w14:textId="77777777" w:rsidR="00584EC1" w:rsidRDefault="00871F8D">
      <w:pPr>
        <w:ind w:firstLine="450"/>
        <w:jc w:val="right"/>
      </w:pPr>
      <w:r>
        <w:rPr>
          <w:rFonts w:ascii="Arial" w:eastAsia="宋体" w:hAnsi="Arial" w:cs="Arial"/>
          <w:color w:val="000000"/>
          <w:sz w:val="18"/>
          <w:szCs w:val="18"/>
        </w:rPr>
        <w:t>State Street Corporation | 78</w:t>
      </w:r>
    </w:p>
    <w:p w14:paraId="74DDF626" w14:textId="77777777" w:rsidR="00584EC1" w:rsidRDefault="00584EC1">
      <w:pPr>
        <w:ind w:firstLine="450"/>
        <w:jc w:val="center"/>
      </w:pPr>
    </w:p>
    <w:p w14:paraId="74DDF627" w14:textId="77777777" w:rsidR="00584EC1" w:rsidRDefault="00871F8D">
      <w:r>
        <w:pict w14:anchorId="74DE2A3C">
          <v:rect id="_x0000_i1102" style="width:415.3pt;height:1.5pt" o:hralign="center" o:hrstd="t" o:hr="t" fillcolor="#a0a0a0" stroked="f"/>
        </w:pict>
      </w:r>
    </w:p>
    <w:p w14:paraId="74DDF628" w14:textId="77777777" w:rsidR="00584EC1" w:rsidRDefault="00871F8D">
      <w:pPr>
        <w:ind w:firstLine="450"/>
        <w:jc w:val="center"/>
      </w:pPr>
      <w:r>
        <w:rPr>
          <w:rFonts w:ascii="Arial" w:eastAsia="宋体" w:hAnsi="Arial" w:cs="Arial"/>
          <w:b/>
          <w:bCs/>
          <w:color w:val="000000"/>
          <w:sz w:val="20"/>
          <w:szCs w:val="20"/>
        </w:rPr>
        <w:t>STATE STREET CORPORATION</w:t>
      </w:r>
    </w:p>
    <w:p w14:paraId="74DDF629" w14:textId="77777777" w:rsidR="00584EC1" w:rsidRDefault="00871F8D">
      <w:pPr>
        <w:ind w:firstLine="450"/>
        <w:jc w:val="center"/>
      </w:pPr>
      <w:r>
        <w:rPr>
          <w:rFonts w:ascii="Arial" w:eastAsia="宋体" w:hAnsi="Arial" w:cs="Arial"/>
          <w:b/>
          <w:bCs/>
          <w:color w:val="000000"/>
          <w:sz w:val="20"/>
          <w:szCs w:val="20"/>
        </w:rPr>
        <w:t>CONDENSED NOTES TO CONSOLIDATED FINANCIAL STATEMENTS</w:t>
      </w:r>
    </w:p>
    <w:p w14:paraId="74DDF62A" w14:textId="77777777" w:rsidR="00584EC1" w:rsidRDefault="00871F8D">
      <w:pPr>
        <w:ind w:firstLine="450"/>
        <w:jc w:val="center"/>
      </w:pPr>
      <w:r>
        <w:rPr>
          <w:rFonts w:ascii="Arial" w:eastAsia="宋体" w:hAnsi="Arial" w:cs="Arial"/>
          <w:b/>
          <w:bCs/>
          <w:color w:val="000000"/>
          <w:sz w:val="20"/>
          <w:szCs w:val="20"/>
        </w:rPr>
        <w:t>(</w:t>
      </w:r>
      <w:r>
        <w:rPr>
          <w:rFonts w:ascii="Arial" w:eastAsia="宋体" w:hAnsi="Arial" w:cs="Arial"/>
          <w:b/>
          <w:bCs/>
          <w:color w:val="000000"/>
          <w:sz w:val="20"/>
          <w:szCs w:val="20"/>
        </w:rPr>
        <w:t>UNAUDITED)</w:t>
      </w:r>
    </w:p>
    <w:p w14:paraId="74DDF62B" w14:textId="77777777" w:rsidR="00584EC1" w:rsidRDefault="00871F8D">
      <w:pPr>
        <w:spacing w:before="60"/>
        <w:ind w:firstLine="450"/>
        <w:jc w:val="both"/>
      </w:pPr>
      <w:r>
        <w:rPr>
          <w:rFonts w:ascii="Arial" w:eastAsia="宋体" w:hAnsi="Arial" w:cs="Arial"/>
          <w:color w:val="000000"/>
          <w:sz w:val="20"/>
          <w:szCs w:val="20"/>
        </w:rPr>
        <w:t>The following tables present the impact of our use of derivative financial instruments on our consolidated statement of income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52"/>
        <w:gridCol w:w="712"/>
        <w:gridCol w:w="36"/>
        <w:gridCol w:w="75"/>
        <w:gridCol w:w="866"/>
        <w:gridCol w:w="36"/>
        <w:gridCol w:w="36"/>
        <w:gridCol w:w="36"/>
        <w:gridCol w:w="36"/>
        <w:gridCol w:w="94"/>
        <w:gridCol w:w="575"/>
        <w:gridCol w:w="37"/>
        <w:gridCol w:w="37"/>
        <w:gridCol w:w="37"/>
        <w:gridCol w:w="37"/>
        <w:gridCol w:w="94"/>
        <w:gridCol w:w="575"/>
        <w:gridCol w:w="37"/>
        <w:gridCol w:w="46"/>
        <w:gridCol w:w="819"/>
        <w:gridCol w:w="36"/>
        <w:gridCol w:w="36"/>
        <w:gridCol w:w="36"/>
        <w:gridCol w:w="96"/>
        <w:gridCol w:w="939"/>
        <w:gridCol w:w="37"/>
        <w:gridCol w:w="36"/>
        <w:gridCol w:w="36"/>
        <w:gridCol w:w="36"/>
        <w:gridCol w:w="77"/>
        <w:gridCol w:w="886"/>
        <w:gridCol w:w="39"/>
        <w:gridCol w:w="38"/>
        <w:gridCol w:w="38"/>
        <w:gridCol w:w="37"/>
        <w:gridCol w:w="95"/>
        <w:gridCol w:w="534"/>
        <w:gridCol w:w="38"/>
        <w:gridCol w:w="37"/>
        <w:gridCol w:w="37"/>
        <w:gridCol w:w="37"/>
        <w:gridCol w:w="94"/>
        <w:gridCol w:w="535"/>
        <w:gridCol w:w="37"/>
        <w:gridCol w:w="36"/>
        <w:gridCol w:w="36"/>
        <w:gridCol w:w="36"/>
        <w:gridCol w:w="36"/>
        <w:gridCol w:w="36"/>
        <w:gridCol w:w="36"/>
      </w:tblGrid>
      <w:tr w:rsidR="00584EC1" w14:paraId="74DDF65A" w14:textId="77777777">
        <w:tc>
          <w:tcPr>
            <w:tcW w:w="50" w:type="pct"/>
            <w:shd w:val="clear" w:color="auto" w:fill="auto"/>
            <w:vAlign w:val="bottom"/>
          </w:tcPr>
          <w:p w14:paraId="74DDF62C" w14:textId="77777777" w:rsidR="00584EC1" w:rsidRDefault="00584EC1">
            <w:pPr>
              <w:rPr>
                <w:rFonts w:ascii="宋体"/>
              </w:rPr>
            </w:pPr>
          </w:p>
        </w:tc>
        <w:tc>
          <w:tcPr>
            <w:tcW w:w="697" w:type="pct"/>
            <w:shd w:val="clear" w:color="auto" w:fill="auto"/>
            <w:vAlign w:val="bottom"/>
          </w:tcPr>
          <w:p w14:paraId="74DDF62D" w14:textId="77777777" w:rsidR="00584EC1" w:rsidRDefault="00584EC1">
            <w:pPr>
              <w:rPr>
                <w:rFonts w:ascii="宋体"/>
              </w:rPr>
            </w:pPr>
          </w:p>
        </w:tc>
        <w:tc>
          <w:tcPr>
            <w:tcW w:w="5" w:type="pct"/>
            <w:shd w:val="clear" w:color="auto" w:fill="auto"/>
            <w:vAlign w:val="bottom"/>
          </w:tcPr>
          <w:p w14:paraId="74DDF62E" w14:textId="77777777" w:rsidR="00584EC1" w:rsidRDefault="00584EC1">
            <w:pPr>
              <w:rPr>
                <w:rFonts w:ascii="宋体"/>
              </w:rPr>
            </w:pPr>
          </w:p>
        </w:tc>
        <w:tc>
          <w:tcPr>
            <w:tcW w:w="50" w:type="pct"/>
            <w:shd w:val="clear" w:color="auto" w:fill="auto"/>
            <w:vAlign w:val="bottom"/>
          </w:tcPr>
          <w:p w14:paraId="74DDF62F" w14:textId="77777777" w:rsidR="00584EC1" w:rsidRDefault="00584EC1">
            <w:pPr>
              <w:rPr>
                <w:rFonts w:ascii="宋体"/>
              </w:rPr>
            </w:pPr>
          </w:p>
        </w:tc>
        <w:tc>
          <w:tcPr>
            <w:tcW w:w="580" w:type="pct"/>
            <w:shd w:val="clear" w:color="auto" w:fill="auto"/>
            <w:vAlign w:val="bottom"/>
          </w:tcPr>
          <w:p w14:paraId="74DDF630" w14:textId="77777777" w:rsidR="00584EC1" w:rsidRDefault="00584EC1">
            <w:pPr>
              <w:rPr>
                <w:rFonts w:ascii="宋体"/>
              </w:rPr>
            </w:pPr>
          </w:p>
        </w:tc>
        <w:tc>
          <w:tcPr>
            <w:tcW w:w="5" w:type="pct"/>
            <w:shd w:val="clear" w:color="auto" w:fill="auto"/>
            <w:vAlign w:val="bottom"/>
          </w:tcPr>
          <w:p w14:paraId="74DDF631" w14:textId="77777777" w:rsidR="00584EC1" w:rsidRDefault="00584EC1">
            <w:pPr>
              <w:rPr>
                <w:rFonts w:ascii="宋体"/>
              </w:rPr>
            </w:pPr>
          </w:p>
        </w:tc>
        <w:tc>
          <w:tcPr>
            <w:tcW w:w="5" w:type="pct"/>
            <w:shd w:val="clear" w:color="auto" w:fill="auto"/>
            <w:vAlign w:val="bottom"/>
          </w:tcPr>
          <w:p w14:paraId="74DDF632" w14:textId="77777777" w:rsidR="00584EC1" w:rsidRDefault="00584EC1">
            <w:pPr>
              <w:rPr>
                <w:rFonts w:ascii="宋体"/>
              </w:rPr>
            </w:pPr>
          </w:p>
        </w:tc>
        <w:tc>
          <w:tcPr>
            <w:tcW w:w="19" w:type="pct"/>
            <w:shd w:val="clear" w:color="auto" w:fill="auto"/>
            <w:vAlign w:val="bottom"/>
          </w:tcPr>
          <w:p w14:paraId="74DDF633" w14:textId="77777777" w:rsidR="00584EC1" w:rsidRDefault="00584EC1">
            <w:pPr>
              <w:rPr>
                <w:rFonts w:ascii="宋体"/>
              </w:rPr>
            </w:pPr>
          </w:p>
        </w:tc>
        <w:tc>
          <w:tcPr>
            <w:tcW w:w="5" w:type="pct"/>
            <w:shd w:val="clear" w:color="auto" w:fill="auto"/>
            <w:vAlign w:val="bottom"/>
          </w:tcPr>
          <w:p w14:paraId="74DDF634" w14:textId="77777777" w:rsidR="00584EC1" w:rsidRDefault="00584EC1">
            <w:pPr>
              <w:rPr>
                <w:rFonts w:ascii="宋体"/>
              </w:rPr>
            </w:pPr>
          </w:p>
        </w:tc>
        <w:tc>
          <w:tcPr>
            <w:tcW w:w="50" w:type="pct"/>
            <w:shd w:val="clear" w:color="auto" w:fill="auto"/>
            <w:vAlign w:val="bottom"/>
          </w:tcPr>
          <w:p w14:paraId="74DDF635" w14:textId="77777777" w:rsidR="00584EC1" w:rsidRDefault="00584EC1">
            <w:pPr>
              <w:rPr>
                <w:rFonts w:ascii="宋体"/>
              </w:rPr>
            </w:pPr>
          </w:p>
        </w:tc>
        <w:tc>
          <w:tcPr>
            <w:tcW w:w="500" w:type="pct"/>
            <w:shd w:val="clear" w:color="auto" w:fill="auto"/>
            <w:vAlign w:val="bottom"/>
          </w:tcPr>
          <w:p w14:paraId="74DDF636" w14:textId="77777777" w:rsidR="00584EC1" w:rsidRDefault="00584EC1">
            <w:pPr>
              <w:rPr>
                <w:rFonts w:ascii="宋体"/>
              </w:rPr>
            </w:pPr>
          </w:p>
        </w:tc>
        <w:tc>
          <w:tcPr>
            <w:tcW w:w="5" w:type="pct"/>
            <w:shd w:val="clear" w:color="auto" w:fill="auto"/>
            <w:vAlign w:val="bottom"/>
          </w:tcPr>
          <w:p w14:paraId="74DDF637" w14:textId="77777777" w:rsidR="00584EC1" w:rsidRDefault="00584EC1">
            <w:pPr>
              <w:rPr>
                <w:rFonts w:ascii="宋体"/>
              </w:rPr>
            </w:pPr>
          </w:p>
        </w:tc>
        <w:tc>
          <w:tcPr>
            <w:tcW w:w="5" w:type="pct"/>
            <w:shd w:val="clear" w:color="auto" w:fill="auto"/>
            <w:vAlign w:val="bottom"/>
          </w:tcPr>
          <w:p w14:paraId="74DDF638" w14:textId="77777777" w:rsidR="00584EC1" w:rsidRDefault="00584EC1">
            <w:pPr>
              <w:rPr>
                <w:rFonts w:ascii="宋体"/>
              </w:rPr>
            </w:pPr>
          </w:p>
        </w:tc>
        <w:tc>
          <w:tcPr>
            <w:tcW w:w="26" w:type="pct"/>
            <w:shd w:val="clear" w:color="auto" w:fill="auto"/>
            <w:vAlign w:val="bottom"/>
          </w:tcPr>
          <w:p w14:paraId="74DDF639" w14:textId="77777777" w:rsidR="00584EC1" w:rsidRDefault="00584EC1">
            <w:pPr>
              <w:rPr>
                <w:rFonts w:ascii="宋体"/>
              </w:rPr>
            </w:pPr>
          </w:p>
        </w:tc>
        <w:tc>
          <w:tcPr>
            <w:tcW w:w="5" w:type="pct"/>
            <w:shd w:val="clear" w:color="auto" w:fill="auto"/>
            <w:vAlign w:val="bottom"/>
          </w:tcPr>
          <w:p w14:paraId="74DDF63A" w14:textId="77777777" w:rsidR="00584EC1" w:rsidRDefault="00584EC1">
            <w:pPr>
              <w:rPr>
                <w:rFonts w:ascii="宋体"/>
              </w:rPr>
            </w:pPr>
          </w:p>
        </w:tc>
        <w:tc>
          <w:tcPr>
            <w:tcW w:w="50" w:type="pct"/>
            <w:shd w:val="clear" w:color="auto" w:fill="auto"/>
            <w:vAlign w:val="bottom"/>
          </w:tcPr>
          <w:p w14:paraId="74DDF63B" w14:textId="77777777" w:rsidR="00584EC1" w:rsidRDefault="00584EC1">
            <w:pPr>
              <w:rPr>
                <w:rFonts w:ascii="宋体"/>
              </w:rPr>
            </w:pPr>
          </w:p>
        </w:tc>
        <w:tc>
          <w:tcPr>
            <w:tcW w:w="500" w:type="pct"/>
            <w:shd w:val="clear" w:color="auto" w:fill="auto"/>
            <w:vAlign w:val="bottom"/>
          </w:tcPr>
          <w:p w14:paraId="74DDF63C" w14:textId="77777777" w:rsidR="00584EC1" w:rsidRDefault="00584EC1">
            <w:pPr>
              <w:rPr>
                <w:rFonts w:ascii="宋体"/>
              </w:rPr>
            </w:pPr>
          </w:p>
        </w:tc>
        <w:tc>
          <w:tcPr>
            <w:tcW w:w="5" w:type="pct"/>
            <w:shd w:val="clear" w:color="auto" w:fill="auto"/>
            <w:vAlign w:val="bottom"/>
          </w:tcPr>
          <w:p w14:paraId="74DDF63D" w14:textId="77777777" w:rsidR="00584EC1" w:rsidRDefault="00584EC1">
            <w:pPr>
              <w:rPr>
                <w:rFonts w:ascii="宋体"/>
              </w:rPr>
            </w:pPr>
          </w:p>
        </w:tc>
        <w:tc>
          <w:tcPr>
            <w:tcW w:w="0" w:type="auto"/>
            <w:shd w:val="clear" w:color="auto" w:fill="auto"/>
            <w:vAlign w:val="bottom"/>
          </w:tcPr>
          <w:p w14:paraId="74DDF63E" w14:textId="77777777" w:rsidR="00584EC1" w:rsidRDefault="00584EC1">
            <w:pPr>
              <w:rPr>
                <w:rFonts w:ascii="宋体"/>
                <w:vanish/>
              </w:rPr>
            </w:pPr>
          </w:p>
        </w:tc>
        <w:tc>
          <w:tcPr>
            <w:tcW w:w="0" w:type="auto"/>
            <w:shd w:val="clear" w:color="auto" w:fill="auto"/>
            <w:vAlign w:val="bottom"/>
          </w:tcPr>
          <w:p w14:paraId="74DDF63F" w14:textId="77777777" w:rsidR="00584EC1" w:rsidRDefault="00584EC1">
            <w:pPr>
              <w:rPr>
                <w:rFonts w:ascii="宋体"/>
                <w:vanish/>
              </w:rPr>
            </w:pPr>
          </w:p>
        </w:tc>
        <w:tc>
          <w:tcPr>
            <w:tcW w:w="5" w:type="pct"/>
            <w:shd w:val="clear" w:color="auto" w:fill="auto"/>
            <w:vAlign w:val="bottom"/>
          </w:tcPr>
          <w:p w14:paraId="74DDF640" w14:textId="77777777" w:rsidR="00584EC1" w:rsidRDefault="00584EC1">
            <w:pPr>
              <w:rPr>
                <w:rFonts w:ascii="宋体"/>
              </w:rPr>
            </w:pPr>
          </w:p>
        </w:tc>
        <w:tc>
          <w:tcPr>
            <w:tcW w:w="19" w:type="pct"/>
            <w:shd w:val="clear" w:color="auto" w:fill="auto"/>
            <w:vAlign w:val="bottom"/>
          </w:tcPr>
          <w:p w14:paraId="74DDF641" w14:textId="77777777" w:rsidR="00584EC1" w:rsidRDefault="00584EC1">
            <w:pPr>
              <w:rPr>
                <w:rFonts w:ascii="宋体"/>
              </w:rPr>
            </w:pPr>
          </w:p>
        </w:tc>
        <w:tc>
          <w:tcPr>
            <w:tcW w:w="5" w:type="pct"/>
            <w:shd w:val="clear" w:color="auto" w:fill="auto"/>
            <w:vAlign w:val="bottom"/>
          </w:tcPr>
          <w:p w14:paraId="74DDF642" w14:textId="77777777" w:rsidR="00584EC1" w:rsidRDefault="00584EC1">
            <w:pPr>
              <w:rPr>
                <w:rFonts w:ascii="宋体"/>
              </w:rPr>
            </w:pPr>
          </w:p>
        </w:tc>
        <w:tc>
          <w:tcPr>
            <w:tcW w:w="50" w:type="pct"/>
            <w:shd w:val="clear" w:color="auto" w:fill="auto"/>
            <w:vAlign w:val="bottom"/>
          </w:tcPr>
          <w:p w14:paraId="74DDF643" w14:textId="77777777" w:rsidR="00584EC1" w:rsidRDefault="00584EC1">
            <w:pPr>
              <w:rPr>
                <w:rFonts w:ascii="宋体"/>
              </w:rPr>
            </w:pPr>
          </w:p>
        </w:tc>
        <w:tc>
          <w:tcPr>
            <w:tcW w:w="493" w:type="pct"/>
            <w:shd w:val="clear" w:color="auto" w:fill="auto"/>
            <w:vAlign w:val="bottom"/>
          </w:tcPr>
          <w:p w14:paraId="74DDF644" w14:textId="77777777" w:rsidR="00584EC1" w:rsidRDefault="00584EC1">
            <w:pPr>
              <w:rPr>
                <w:rFonts w:ascii="宋体"/>
              </w:rPr>
            </w:pPr>
          </w:p>
        </w:tc>
        <w:tc>
          <w:tcPr>
            <w:tcW w:w="5" w:type="pct"/>
            <w:shd w:val="clear" w:color="auto" w:fill="auto"/>
            <w:vAlign w:val="bottom"/>
          </w:tcPr>
          <w:p w14:paraId="74DDF645" w14:textId="77777777" w:rsidR="00584EC1" w:rsidRDefault="00584EC1">
            <w:pPr>
              <w:rPr>
                <w:rFonts w:ascii="宋体"/>
              </w:rPr>
            </w:pPr>
          </w:p>
        </w:tc>
        <w:tc>
          <w:tcPr>
            <w:tcW w:w="5" w:type="pct"/>
            <w:shd w:val="clear" w:color="auto" w:fill="auto"/>
            <w:vAlign w:val="bottom"/>
          </w:tcPr>
          <w:p w14:paraId="74DDF646" w14:textId="77777777" w:rsidR="00584EC1" w:rsidRDefault="00584EC1">
            <w:pPr>
              <w:rPr>
                <w:rFonts w:ascii="宋体"/>
              </w:rPr>
            </w:pPr>
          </w:p>
        </w:tc>
        <w:tc>
          <w:tcPr>
            <w:tcW w:w="19" w:type="pct"/>
            <w:shd w:val="clear" w:color="auto" w:fill="auto"/>
            <w:vAlign w:val="bottom"/>
          </w:tcPr>
          <w:p w14:paraId="74DDF647" w14:textId="77777777" w:rsidR="00584EC1" w:rsidRDefault="00584EC1">
            <w:pPr>
              <w:rPr>
                <w:rFonts w:ascii="宋体"/>
              </w:rPr>
            </w:pPr>
          </w:p>
        </w:tc>
        <w:tc>
          <w:tcPr>
            <w:tcW w:w="5" w:type="pct"/>
            <w:shd w:val="clear" w:color="auto" w:fill="auto"/>
            <w:vAlign w:val="bottom"/>
          </w:tcPr>
          <w:p w14:paraId="74DDF648" w14:textId="77777777" w:rsidR="00584EC1" w:rsidRDefault="00584EC1">
            <w:pPr>
              <w:rPr>
                <w:rFonts w:ascii="宋体"/>
              </w:rPr>
            </w:pPr>
          </w:p>
        </w:tc>
        <w:tc>
          <w:tcPr>
            <w:tcW w:w="50" w:type="pct"/>
            <w:shd w:val="clear" w:color="auto" w:fill="auto"/>
            <w:vAlign w:val="bottom"/>
          </w:tcPr>
          <w:p w14:paraId="74DDF649" w14:textId="77777777" w:rsidR="00584EC1" w:rsidRDefault="00584EC1">
            <w:pPr>
              <w:rPr>
                <w:rFonts w:ascii="宋体"/>
              </w:rPr>
            </w:pPr>
          </w:p>
        </w:tc>
        <w:tc>
          <w:tcPr>
            <w:tcW w:w="580" w:type="pct"/>
            <w:shd w:val="clear" w:color="auto" w:fill="auto"/>
            <w:vAlign w:val="bottom"/>
          </w:tcPr>
          <w:p w14:paraId="74DDF64A" w14:textId="77777777" w:rsidR="00584EC1" w:rsidRDefault="00584EC1">
            <w:pPr>
              <w:rPr>
                <w:rFonts w:ascii="宋体"/>
              </w:rPr>
            </w:pPr>
          </w:p>
        </w:tc>
        <w:tc>
          <w:tcPr>
            <w:tcW w:w="5" w:type="pct"/>
            <w:shd w:val="clear" w:color="auto" w:fill="auto"/>
            <w:vAlign w:val="bottom"/>
          </w:tcPr>
          <w:p w14:paraId="74DDF64B" w14:textId="77777777" w:rsidR="00584EC1" w:rsidRDefault="00584EC1">
            <w:pPr>
              <w:rPr>
                <w:rFonts w:ascii="宋体"/>
              </w:rPr>
            </w:pPr>
          </w:p>
        </w:tc>
        <w:tc>
          <w:tcPr>
            <w:tcW w:w="5" w:type="pct"/>
            <w:shd w:val="clear" w:color="auto" w:fill="auto"/>
            <w:vAlign w:val="bottom"/>
          </w:tcPr>
          <w:p w14:paraId="74DDF64C" w14:textId="77777777" w:rsidR="00584EC1" w:rsidRDefault="00584EC1">
            <w:pPr>
              <w:rPr>
                <w:rFonts w:ascii="宋体"/>
              </w:rPr>
            </w:pPr>
          </w:p>
        </w:tc>
        <w:tc>
          <w:tcPr>
            <w:tcW w:w="19" w:type="pct"/>
            <w:shd w:val="clear" w:color="auto" w:fill="auto"/>
            <w:vAlign w:val="bottom"/>
          </w:tcPr>
          <w:p w14:paraId="74DDF64D" w14:textId="77777777" w:rsidR="00584EC1" w:rsidRDefault="00584EC1">
            <w:pPr>
              <w:rPr>
                <w:rFonts w:ascii="宋体"/>
              </w:rPr>
            </w:pPr>
          </w:p>
        </w:tc>
        <w:tc>
          <w:tcPr>
            <w:tcW w:w="5" w:type="pct"/>
            <w:shd w:val="clear" w:color="auto" w:fill="auto"/>
            <w:vAlign w:val="bottom"/>
          </w:tcPr>
          <w:p w14:paraId="74DDF64E" w14:textId="77777777" w:rsidR="00584EC1" w:rsidRDefault="00584EC1">
            <w:pPr>
              <w:rPr>
                <w:rFonts w:ascii="宋体"/>
              </w:rPr>
            </w:pPr>
          </w:p>
        </w:tc>
        <w:tc>
          <w:tcPr>
            <w:tcW w:w="50" w:type="pct"/>
            <w:shd w:val="clear" w:color="auto" w:fill="auto"/>
            <w:vAlign w:val="bottom"/>
          </w:tcPr>
          <w:p w14:paraId="74DDF64F" w14:textId="77777777" w:rsidR="00584EC1" w:rsidRDefault="00584EC1">
            <w:pPr>
              <w:rPr>
                <w:rFonts w:ascii="宋体"/>
              </w:rPr>
            </w:pPr>
          </w:p>
        </w:tc>
        <w:tc>
          <w:tcPr>
            <w:tcW w:w="507" w:type="pct"/>
            <w:shd w:val="clear" w:color="auto" w:fill="auto"/>
            <w:vAlign w:val="bottom"/>
          </w:tcPr>
          <w:p w14:paraId="74DDF650" w14:textId="77777777" w:rsidR="00584EC1" w:rsidRDefault="00584EC1">
            <w:pPr>
              <w:rPr>
                <w:rFonts w:ascii="宋体"/>
              </w:rPr>
            </w:pPr>
          </w:p>
        </w:tc>
        <w:tc>
          <w:tcPr>
            <w:tcW w:w="5" w:type="pct"/>
            <w:shd w:val="clear" w:color="auto" w:fill="auto"/>
            <w:vAlign w:val="bottom"/>
          </w:tcPr>
          <w:p w14:paraId="74DDF651" w14:textId="77777777" w:rsidR="00584EC1" w:rsidRDefault="00584EC1">
            <w:pPr>
              <w:rPr>
                <w:rFonts w:ascii="宋体"/>
              </w:rPr>
            </w:pPr>
          </w:p>
        </w:tc>
        <w:tc>
          <w:tcPr>
            <w:tcW w:w="5" w:type="pct"/>
            <w:shd w:val="clear" w:color="auto" w:fill="auto"/>
            <w:vAlign w:val="bottom"/>
          </w:tcPr>
          <w:p w14:paraId="74DDF652" w14:textId="77777777" w:rsidR="00584EC1" w:rsidRDefault="00584EC1">
            <w:pPr>
              <w:rPr>
                <w:rFonts w:ascii="宋体"/>
              </w:rPr>
            </w:pPr>
          </w:p>
        </w:tc>
        <w:tc>
          <w:tcPr>
            <w:tcW w:w="26" w:type="pct"/>
            <w:shd w:val="clear" w:color="auto" w:fill="auto"/>
            <w:vAlign w:val="bottom"/>
          </w:tcPr>
          <w:p w14:paraId="74DDF653" w14:textId="77777777" w:rsidR="00584EC1" w:rsidRDefault="00584EC1">
            <w:pPr>
              <w:rPr>
                <w:rFonts w:ascii="宋体"/>
              </w:rPr>
            </w:pPr>
          </w:p>
        </w:tc>
        <w:tc>
          <w:tcPr>
            <w:tcW w:w="5" w:type="pct"/>
            <w:shd w:val="clear" w:color="auto" w:fill="auto"/>
            <w:vAlign w:val="bottom"/>
          </w:tcPr>
          <w:p w14:paraId="74DDF654" w14:textId="77777777" w:rsidR="00584EC1" w:rsidRDefault="00584EC1">
            <w:pPr>
              <w:rPr>
                <w:rFonts w:ascii="宋体"/>
              </w:rPr>
            </w:pPr>
          </w:p>
        </w:tc>
        <w:tc>
          <w:tcPr>
            <w:tcW w:w="50" w:type="pct"/>
            <w:shd w:val="clear" w:color="auto" w:fill="auto"/>
            <w:vAlign w:val="bottom"/>
          </w:tcPr>
          <w:p w14:paraId="74DDF655" w14:textId="77777777" w:rsidR="00584EC1" w:rsidRDefault="00584EC1">
            <w:pPr>
              <w:rPr>
                <w:rFonts w:ascii="宋体"/>
              </w:rPr>
            </w:pPr>
          </w:p>
        </w:tc>
        <w:tc>
          <w:tcPr>
            <w:tcW w:w="508" w:type="pct"/>
            <w:shd w:val="clear" w:color="auto" w:fill="auto"/>
            <w:vAlign w:val="bottom"/>
          </w:tcPr>
          <w:p w14:paraId="74DDF656" w14:textId="77777777" w:rsidR="00584EC1" w:rsidRDefault="00584EC1">
            <w:pPr>
              <w:rPr>
                <w:rFonts w:ascii="宋体"/>
              </w:rPr>
            </w:pPr>
          </w:p>
        </w:tc>
        <w:tc>
          <w:tcPr>
            <w:tcW w:w="5" w:type="pct"/>
            <w:shd w:val="clear" w:color="auto" w:fill="auto"/>
            <w:vAlign w:val="bottom"/>
          </w:tcPr>
          <w:p w14:paraId="74DDF657" w14:textId="77777777" w:rsidR="00584EC1" w:rsidRDefault="00584EC1">
            <w:pPr>
              <w:rPr>
                <w:rFonts w:ascii="宋体"/>
              </w:rPr>
            </w:pPr>
          </w:p>
        </w:tc>
        <w:tc>
          <w:tcPr>
            <w:tcW w:w="0" w:type="auto"/>
            <w:gridSpan w:val="3"/>
            <w:shd w:val="clear" w:color="auto" w:fill="auto"/>
            <w:vAlign w:val="bottom"/>
          </w:tcPr>
          <w:p w14:paraId="74DDF658" w14:textId="77777777" w:rsidR="00584EC1" w:rsidRDefault="00584EC1">
            <w:pPr>
              <w:rPr>
                <w:rFonts w:ascii="宋体"/>
                <w:vanish/>
              </w:rPr>
            </w:pPr>
          </w:p>
        </w:tc>
        <w:tc>
          <w:tcPr>
            <w:tcW w:w="0" w:type="auto"/>
            <w:gridSpan w:val="3"/>
            <w:shd w:val="clear" w:color="auto" w:fill="auto"/>
            <w:vAlign w:val="bottom"/>
          </w:tcPr>
          <w:p w14:paraId="74DDF659" w14:textId="77777777" w:rsidR="00584EC1" w:rsidRDefault="00584EC1">
            <w:pPr>
              <w:rPr>
                <w:rFonts w:ascii="宋体"/>
                <w:vanish/>
              </w:rPr>
            </w:pPr>
          </w:p>
        </w:tc>
      </w:tr>
      <w:tr w:rsidR="00584EC1" w14:paraId="74DDF671" w14:textId="77777777">
        <w:tc>
          <w:tcPr>
            <w:tcW w:w="0" w:type="auto"/>
            <w:gridSpan w:val="3"/>
            <w:shd w:val="clear" w:color="auto" w:fill="auto"/>
            <w:tcMar>
              <w:top w:w="0" w:type="dxa"/>
              <w:left w:w="20" w:type="dxa"/>
              <w:bottom w:w="0" w:type="dxa"/>
              <w:right w:w="20" w:type="dxa"/>
            </w:tcMar>
            <w:vAlign w:val="bottom"/>
          </w:tcPr>
          <w:p w14:paraId="74DDF65B"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65C"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65D" w14:textId="77777777" w:rsidR="00584EC1" w:rsidRDefault="00584EC1">
            <w:pPr>
              <w:rPr>
                <w:rFonts w:ascii="宋体"/>
              </w:rPr>
            </w:pPr>
          </w:p>
        </w:tc>
        <w:tc>
          <w:tcPr>
            <w:tcW w:w="0" w:type="auto"/>
            <w:gridSpan w:val="9"/>
            <w:shd w:val="clear" w:color="auto" w:fill="auto"/>
            <w:tcMar>
              <w:top w:w="40" w:type="dxa"/>
              <w:left w:w="20" w:type="dxa"/>
              <w:bottom w:w="40" w:type="dxa"/>
              <w:right w:w="20" w:type="dxa"/>
            </w:tcMar>
            <w:vAlign w:val="bottom"/>
          </w:tcPr>
          <w:p w14:paraId="74DDF65E" w14:textId="77777777" w:rsidR="00584EC1" w:rsidRDefault="00871F8D">
            <w:pPr>
              <w:jc w:val="center"/>
              <w:textAlignment w:val="bottom"/>
            </w:pPr>
            <w:r>
              <w:rPr>
                <w:rFonts w:ascii="Arial" w:eastAsia="宋体" w:hAnsi="Arial" w:cs="Arial"/>
                <w:b/>
                <w:bCs/>
                <w:color w:val="000000"/>
                <w:sz w:val="13"/>
                <w:szCs w:val="13"/>
              </w:rPr>
              <w:t>Three Months Ended September 30,</w:t>
            </w:r>
          </w:p>
        </w:tc>
        <w:tc>
          <w:tcPr>
            <w:tcW w:w="0" w:type="auto"/>
            <w:shd w:val="clear" w:color="auto" w:fill="auto"/>
            <w:tcMar>
              <w:top w:w="0" w:type="dxa"/>
              <w:left w:w="20" w:type="dxa"/>
              <w:bottom w:w="0" w:type="dxa"/>
              <w:right w:w="20" w:type="dxa"/>
            </w:tcMar>
            <w:vAlign w:val="bottom"/>
          </w:tcPr>
          <w:p w14:paraId="74DDF65F" w14:textId="77777777" w:rsidR="00584EC1" w:rsidRDefault="00584EC1">
            <w:pPr>
              <w:rPr>
                <w:rFonts w:ascii="宋体"/>
              </w:rPr>
            </w:pPr>
          </w:p>
        </w:tc>
        <w:tc>
          <w:tcPr>
            <w:tcW w:w="0" w:type="auto"/>
            <w:shd w:val="clear" w:color="auto" w:fill="auto"/>
            <w:tcMar>
              <w:top w:w="0" w:type="dxa"/>
              <w:left w:w="20" w:type="dxa"/>
              <w:bottom w:w="0" w:type="dxa"/>
              <w:right w:w="20" w:type="dxa"/>
            </w:tcMar>
            <w:vAlign w:val="bottom"/>
          </w:tcPr>
          <w:p w14:paraId="74DDF660"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66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66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663" w14:textId="77777777" w:rsidR="00584EC1" w:rsidRDefault="00584EC1">
            <w:pPr>
              <w:rPr>
                <w:rFonts w:ascii="宋体"/>
              </w:rPr>
            </w:pPr>
          </w:p>
        </w:tc>
        <w:tc>
          <w:tcPr>
            <w:tcW w:w="0" w:type="auto"/>
            <w:gridSpan w:val="9"/>
            <w:shd w:val="clear" w:color="auto" w:fill="auto"/>
            <w:tcMar>
              <w:top w:w="40" w:type="dxa"/>
              <w:left w:w="20" w:type="dxa"/>
              <w:bottom w:w="40" w:type="dxa"/>
              <w:right w:w="20" w:type="dxa"/>
            </w:tcMar>
            <w:vAlign w:val="bottom"/>
          </w:tcPr>
          <w:p w14:paraId="74DDF664" w14:textId="77777777" w:rsidR="00584EC1" w:rsidRDefault="00871F8D">
            <w:pPr>
              <w:jc w:val="center"/>
              <w:textAlignment w:val="bottom"/>
            </w:pPr>
            <w:r>
              <w:rPr>
                <w:rFonts w:ascii="Arial" w:eastAsia="宋体" w:hAnsi="Arial" w:cs="Arial"/>
                <w:b/>
                <w:bCs/>
                <w:color w:val="000000"/>
                <w:sz w:val="13"/>
                <w:szCs w:val="13"/>
              </w:rPr>
              <w:t>Three Months Ended September 30,</w:t>
            </w:r>
          </w:p>
        </w:tc>
        <w:tc>
          <w:tcPr>
            <w:tcW w:w="0" w:type="auto"/>
            <w:shd w:val="clear" w:color="auto" w:fill="auto"/>
            <w:vAlign w:val="bottom"/>
          </w:tcPr>
          <w:p w14:paraId="74DDF665" w14:textId="77777777" w:rsidR="00584EC1" w:rsidRDefault="00584EC1">
            <w:pPr>
              <w:rPr>
                <w:rFonts w:ascii="宋体"/>
              </w:rPr>
            </w:pPr>
          </w:p>
        </w:tc>
        <w:tc>
          <w:tcPr>
            <w:tcW w:w="0" w:type="auto"/>
            <w:shd w:val="clear" w:color="auto" w:fill="auto"/>
            <w:vAlign w:val="bottom"/>
          </w:tcPr>
          <w:p w14:paraId="74DDF666" w14:textId="77777777" w:rsidR="00584EC1" w:rsidRDefault="00584EC1">
            <w:pPr>
              <w:rPr>
                <w:rFonts w:ascii="宋体"/>
              </w:rPr>
            </w:pPr>
          </w:p>
        </w:tc>
        <w:tc>
          <w:tcPr>
            <w:tcW w:w="0" w:type="auto"/>
            <w:shd w:val="clear" w:color="auto" w:fill="auto"/>
            <w:vAlign w:val="bottom"/>
          </w:tcPr>
          <w:p w14:paraId="74DDF667" w14:textId="77777777" w:rsidR="00584EC1" w:rsidRDefault="00584EC1">
            <w:pPr>
              <w:rPr>
                <w:rFonts w:ascii="宋体"/>
              </w:rPr>
            </w:pPr>
          </w:p>
        </w:tc>
        <w:tc>
          <w:tcPr>
            <w:tcW w:w="0" w:type="auto"/>
            <w:shd w:val="clear" w:color="auto" w:fill="auto"/>
            <w:vAlign w:val="bottom"/>
          </w:tcPr>
          <w:p w14:paraId="74DDF668" w14:textId="77777777" w:rsidR="00584EC1" w:rsidRDefault="00584EC1">
            <w:pPr>
              <w:rPr>
                <w:rFonts w:ascii="宋体"/>
              </w:rPr>
            </w:pPr>
          </w:p>
        </w:tc>
        <w:tc>
          <w:tcPr>
            <w:tcW w:w="0" w:type="auto"/>
            <w:shd w:val="clear" w:color="auto" w:fill="auto"/>
            <w:vAlign w:val="bottom"/>
          </w:tcPr>
          <w:p w14:paraId="74DDF669" w14:textId="77777777" w:rsidR="00584EC1" w:rsidRDefault="00584EC1">
            <w:pPr>
              <w:rPr>
                <w:rFonts w:ascii="宋体"/>
              </w:rPr>
            </w:pPr>
          </w:p>
        </w:tc>
        <w:tc>
          <w:tcPr>
            <w:tcW w:w="0" w:type="auto"/>
            <w:shd w:val="clear" w:color="auto" w:fill="auto"/>
            <w:vAlign w:val="bottom"/>
          </w:tcPr>
          <w:p w14:paraId="74DDF66A" w14:textId="77777777" w:rsidR="00584EC1" w:rsidRDefault="00584EC1">
            <w:pPr>
              <w:rPr>
                <w:rFonts w:ascii="宋体"/>
              </w:rPr>
            </w:pPr>
          </w:p>
        </w:tc>
        <w:tc>
          <w:tcPr>
            <w:tcW w:w="0" w:type="auto"/>
            <w:shd w:val="clear" w:color="auto" w:fill="auto"/>
            <w:vAlign w:val="bottom"/>
          </w:tcPr>
          <w:p w14:paraId="74DDF66B" w14:textId="77777777" w:rsidR="00584EC1" w:rsidRDefault="00584EC1">
            <w:pPr>
              <w:rPr>
                <w:rFonts w:ascii="宋体"/>
              </w:rPr>
            </w:pPr>
          </w:p>
        </w:tc>
        <w:tc>
          <w:tcPr>
            <w:tcW w:w="0" w:type="auto"/>
            <w:shd w:val="clear" w:color="auto" w:fill="auto"/>
            <w:vAlign w:val="bottom"/>
          </w:tcPr>
          <w:p w14:paraId="74DDF66C" w14:textId="77777777" w:rsidR="00584EC1" w:rsidRDefault="00584EC1">
            <w:pPr>
              <w:rPr>
                <w:rFonts w:ascii="宋体"/>
              </w:rPr>
            </w:pPr>
          </w:p>
        </w:tc>
        <w:tc>
          <w:tcPr>
            <w:tcW w:w="0" w:type="auto"/>
            <w:shd w:val="clear" w:color="auto" w:fill="auto"/>
            <w:vAlign w:val="bottom"/>
          </w:tcPr>
          <w:p w14:paraId="74DDF66D" w14:textId="77777777" w:rsidR="00584EC1" w:rsidRDefault="00584EC1">
            <w:pPr>
              <w:rPr>
                <w:rFonts w:ascii="宋体"/>
              </w:rPr>
            </w:pPr>
          </w:p>
        </w:tc>
        <w:tc>
          <w:tcPr>
            <w:tcW w:w="0" w:type="auto"/>
            <w:shd w:val="clear" w:color="auto" w:fill="auto"/>
            <w:vAlign w:val="bottom"/>
          </w:tcPr>
          <w:p w14:paraId="74DDF66E" w14:textId="77777777" w:rsidR="00584EC1" w:rsidRDefault="00584EC1">
            <w:pPr>
              <w:rPr>
                <w:rFonts w:ascii="宋体"/>
              </w:rPr>
            </w:pPr>
          </w:p>
        </w:tc>
        <w:tc>
          <w:tcPr>
            <w:tcW w:w="0" w:type="auto"/>
            <w:shd w:val="clear" w:color="auto" w:fill="auto"/>
            <w:vAlign w:val="bottom"/>
          </w:tcPr>
          <w:p w14:paraId="74DDF66F" w14:textId="77777777" w:rsidR="00584EC1" w:rsidRDefault="00584EC1">
            <w:pPr>
              <w:rPr>
                <w:rFonts w:ascii="宋体"/>
              </w:rPr>
            </w:pPr>
          </w:p>
        </w:tc>
        <w:tc>
          <w:tcPr>
            <w:tcW w:w="0" w:type="auto"/>
            <w:shd w:val="clear" w:color="auto" w:fill="auto"/>
            <w:vAlign w:val="bottom"/>
          </w:tcPr>
          <w:p w14:paraId="74DDF670" w14:textId="77777777" w:rsidR="00584EC1" w:rsidRDefault="00584EC1">
            <w:pPr>
              <w:rPr>
                <w:rFonts w:ascii="宋体"/>
              </w:rPr>
            </w:pPr>
          </w:p>
        </w:tc>
      </w:tr>
      <w:tr w:rsidR="00584EC1" w14:paraId="74DDF684" w14:textId="77777777">
        <w:tc>
          <w:tcPr>
            <w:tcW w:w="0" w:type="auto"/>
            <w:gridSpan w:val="3"/>
            <w:shd w:val="clear" w:color="auto" w:fill="auto"/>
            <w:tcMar>
              <w:top w:w="0" w:type="dxa"/>
              <w:left w:w="20" w:type="dxa"/>
              <w:bottom w:w="0" w:type="dxa"/>
              <w:right w:w="20" w:type="dxa"/>
            </w:tcMar>
            <w:vAlign w:val="bottom"/>
          </w:tcPr>
          <w:p w14:paraId="74DDF67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673"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674"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F675" w14:textId="77777777" w:rsidR="00584EC1" w:rsidRDefault="00871F8D">
            <w:pPr>
              <w:jc w:val="center"/>
              <w:textAlignment w:val="bottom"/>
            </w:pPr>
            <w:r>
              <w:rPr>
                <w:rFonts w:ascii="Arial" w:eastAsia="宋体" w:hAnsi="Arial" w:cs="Arial"/>
                <w:b/>
                <w:bCs/>
                <w:color w:val="000000"/>
                <w:sz w:val="13"/>
                <w:szCs w:val="13"/>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676" w14:textId="77777777" w:rsidR="00584EC1" w:rsidRDefault="00584EC1">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4DDF677" w14:textId="77777777" w:rsidR="00584EC1" w:rsidRDefault="00871F8D">
            <w:pPr>
              <w:jc w:val="center"/>
              <w:textAlignment w:val="bottom"/>
            </w:pPr>
            <w:r>
              <w:rPr>
                <w:rFonts w:ascii="Arial" w:eastAsia="宋体" w:hAnsi="Arial" w:cs="Arial"/>
                <w:b/>
                <w:bCs/>
                <w:color w:val="000000"/>
                <w:sz w:val="13"/>
                <w:szCs w:val="13"/>
              </w:rPr>
              <w:t>2020</w:t>
            </w:r>
          </w:p>
        </w:tc>
        <w:tc>
          <w:tcPr>
            <w:tcW w:w="0" w:type="auto"/>
            <w:shd w:val="clear" w:color="auto" w:fill="auto"/>
            <w:vAlign w:val="bottom"/>
          </w:tcPr>
          <w:p w14:paraId="74DDF678" w14:textId="77777777" w:rsidR="00584EC1" w:rsidRDefault="00584EC1">
            <w:pPr>
              <w:rPr>
                <w:rFonts w:ascii="宋体"/>
                <w:vanish/>
              </w:rPr>
            </w:pPr>
          </w:p>
        </w:tc>
        <w:tc>
          <w:tcPr>
            <w:tcW w:w="0" w:type="auto"/>
            <w:shd w:val="clear" w:color="auto" w:fill="auto"/>
            <w:vAlign w:val="bottom"/>
          </w:tcPr>
          <w:p w14:paraId="74DDF679" w14:textId="77777777" w:rsidR="00584EC1" w:rsidRDefault="00584EC1">
            <w:pPr>
              <w:rPr>
                <w:rFonts w:ascii="宋体"/>
                <w:vanish/>
              </w:rPr>
            </w:pPr>
          </w:p>
        </w:tc>
        <w:tc>
          <w:tcPr>
            <w:tcW w:w="0" w:type="auto"/>
            <w:gridSpan w:val="3"/>
            <w:shd w:val="clear" w:color="auto" w:fill="auto"/>
            <w:tcMar>
              <w:top w:w="0" w:type="dxa"/>
              <w:left w:w="20" w:type="dxa"/>
              <w:bottom w:w="0" w:type="dxa"/>
              <w:right w:w="20" w:type="dxa"/>
            </w:tcMar>
            <w:vAlign w:val="bottom"/>
          </w:tcPr>
          <w:p w14:paraId="74DDF67A"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67B"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67C"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67D"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67E"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F67F" w14:textId="77777777" w:rsidR="00584EC1" w:rsidRDefault="00871F8D">
            <w:pPr>
              <w:jc w:val="center"/>
              <w:textAlignment w:val="bottom"/>
            </w:pPr>
            <w:r>
              <w:rPr>
                <w:rFonts w:ascii="Arial" w:eastAsia="宋体" w:hAnsi="Arial" w:cs="Arial"/>
                <w:b/>
                <w:bCs/>
                <w:color w:val="000000"/>
                <w:sz w:val="13"/>
                <w:szCs w:val="13"/>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680" w14:textId="77777777" w:rsidR="00584EC1" w:rsidRDefault="00584EC1">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4DDF681" w14:textId="77777777" w:rsidR="00584EC1" w:rsidRDefault="00871F8D">
            <w:pPr>
              <w:jc w:val="center"/>
              <w:textAlignment w:val="bottom"/>
            </w:pPr>
            <w:r>
              <w:rPr>
                <w:rFonts w:ascii="Arial" w:eastAsia="宋体" w:hAnsi="Arial" w:cs="Arial"/>
                <w:b/>
                <w:bCs/>
                <w:color w:val="000000"/>
                <w:sz w:val="13"/>
                <w:szCs w:val="13"/>
              </w:rPr>
              <w:t>2020</w:t>
            </w:r>
          </w:p>
        </w:tc>
        <w:tc>
          <w:tcPr>
            <w:tcW w:w="0" w:type="auto"/>
            <w:gridSpan w:val="3"/>
            <w:shd w:val="clear" w:color="auto" w:fill="auto"/>
            <w:vAlign w:val="bottom"/>
          </w:tcPr>
          <w:p w14:paraId="74DDF682" w14:textId="77777777" w:rsidR="00584EC1" w:rsidRDefault="00584EC1">
            <w:pPr>
              <w:rPr>
                <w:rFonts w:ascii="宋体"/>
                <w:vanish/>
              </w:rPr>
            </w:pPr>
          </w:p>
        </w:tc>
        <w:tc>
          <w:tcPr>
            <w:tcW w:w="0" w:type="auto"/>
            <w:gridSpan w:val="3"/>
            <w:shd w:val="clear" w:color="auto" w:fill="auto"/>
            <w:vAlign w:val="bottom"/>
          </w:tcPr>
          <w:p w14:paraId="74DDF683" w14:textId="77777777" w:rsidR="00584EC1" w:rsidRDefault="00584EC1">
            <w:pPr>
              <w:rPr>
                <w:rFonts w:ascii="宋体"/>
                <w:vanish/>
              </w:rPr>
            </w:pPr>
          </w:p>
        </w:tc>
      </w:tr>
      <w:tr w:rsidR="00584EC1" w14:paraId="74DDF69B" w14:textId="77777777">
        <w:tc>
          <w:tcPr>
            <w:tcW w:w="0" w:type="auto"/>
            <w:gridSpan w:val="3"/>
            <w:shd w:val="clear" w:color="auto" w:fill="auto"/>
            <w:tcMar>
              <w:top w:w="40" w:type="dxa"/>
              <w:left w:w="20" w:type="dxa"/>
              <w:bottom w:w="40" w:type="dxa"/>
              <w:right w:w="20" w:type="dxa"/>
            </w:tcMar>
            <w:vAlign w:val="bottom"/>
          </w:tcPr>
          <w:p w14:paraId="74DDF685" w14:textId="77777777" w:rsidR="00584EC1" w:rsidRDefault="00871F8D">
            <w:pPr>
              <w:textAlignment w:val="bottom"/>
            </w:pPr>
            <w:r>
              <w:rPr>
                <w:rFonts w:ascii="Arial" w:eastAsia="宋体" w:hAnsi="Arial" w:cs="Arial"/>
                <w:b/>
                <w:bCs/>
                <w:color w:val="000000"/>
                <w:sz w:val="13"/>
                <w:szCs w:val="13"/>
              </w:rPr>
              <w:t>(In millions)</w:t>
            </w:r>
          </w:p>
        </w:tc>
        <w:tc>
          <w:tcPr>
            <w:tcW w:w="0" w:type="auto"/>
            <w:gridSpan w:val="3"/>
            <w:shd w:val="clear" w:color="auto" w:fill="auto"/>
            <w:tcMar>
              <w:top w:w="40" w:type="dxa"/>
              <w:left w:w="20" w:type="dxa"/>
              <w:bottom w:w="40" w:type="dxa"/>
              <w:right w:w="20" w:type="dxa"/>
            </w:tcMar>
            <w:vAlign w:val="bottom"/>
          </w:tcPr>
          <w:p w14:paraId="74DDF686" w14:textId="77777777" w:rsidR="00584EC1" w:rsidRDefault="00871F8D">
            <w:pPr>
              <w:jc w:val="center"/>
              <w:textAlignment w:val="bottom"/>
            </w:pPr>
            <w:r>
              <w:rPr>
                <w:rFonts w:ascii="Arial" w:eastAsia="宋体" w:hAnsi="Arial" w:cs="Arial"/>
                <w:b/>
                <w:bCs/>
                <w:color w:val="000000"/>
                <w:sz w:val="13"/>
                <w:szCs w:val="13"/>
              </w:rPr>
              <w:t>Location of Gain (Loss) on Derivative in Consolidated Statement of Income</w:t>
            </w:r>
          </w:p>
        </w:tc>
        <w:tc>
          <w:tcPr>
            <w:tcW w:w="0" w:type="auto"/>
            <w:gridSpan w:val="3"/>
            <w:shd w:val="clear" w:color="auto" w:fill="auto"/>
            <w:tcMar>
              <w:top w:w="0" w:type="dxa"/>
              <w:left w:w="20" w:type="dxa"/>
              <w:bottom w:w="0" w:type="dxa"/>
              <w:right w:w="20" w:type="dxa"/>
            </w:tcMar>
            <w:vAlign w:val="bottom"/>
          </w:tcPr>
          <w:p w14:paraId="74DDF687" w14:textId="77777777" w:rsidR="00584EC1" w:rsidRDefault="00584E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4DDF688" w14:textId="77777777" w:rsidR="00584EC1" w:rsidRDefault="00871F8D">
            <w:pPr>
              <w:jc w:val="center"/>
              <w:textAlignment w:val="bottom"/>
            </w:pPr>
            <w:r>
              <w:rPr>
                <w:rFonts w:ascii="Arial" w:eastAsia="宋体" w:hAnsi="Arial" w:cs="Arial"/>
                <w:b/>
                <w:bCs/>
                <w:color w:val="000000"/>
                <w:sz w:val="13"/>
                <w:szCs w:val="13"/>
              </w:rPr>
              <w:t>Amount of Gain</w:t>
            </w:r>
            <w:r>
              <w:rPr>
                <w:rFonts w:ascii="Arial" w:eastAsia="宋体" w:hAnsi="Arial" w:cs="Arial"/>
                <w:b/>
                <w:bCs/>
                <w:color w:val="000000"/>
                <w:sz w:val="13"/>
                <w:szCs w:val="13"/>
              </w:rPr>
              <w:br/>
              <w:t>(Loss) on Derivative</w:t>
            </w:r>
            <w:r>
              <w:rPr>
                <w:rFonts w:ascii="Arial" w:eastAsia="宋体" w:hAnsi="Arial" w:cs="Arial"/>
                <w:b/>
                <w:bCs/>
                <w:color w:val="000000"/>
                <w:sz w:val="13"/>
                <w:szCs w:val="13"/>
              </w:rPr>
              <w:br/>
              <w:t>Recognized in</w:t>
            </w:r>
            <w:r>
              <w:rPr>
                <w:rFonts w:ascii="Arial" w:eastAsia="宋体" w:hAnsi="Arial" w:cs="Arial"/>
                <w:b/>
                <w:bCs/>
                <w:color w:val="000000"/>
                <w:sz w:val="13"/>
                <w:szCs w:val="13"/>
              </w:rPr>
              <w:br/>
              <w:t>Consolidated</w:t>
            </w:r>
            <w:r>
              <w:rPr>
                <w:rFonts w:ascii="Arial" w:eastAsia="宋体" w:hAnsi="Arial" w:cs="Arial"/>
                <w:b/>
                <w:bCs/>
                <w:color w:val="000000"/>
                <w:sz w:val="13"/>
                <w:szCs w:val="13"/>
              </w:rPr>
              <w:br/>
              <w:t>Statement of Income</w:t>
            </w:r>
          </w:p>
        </w:tc>
        <w:tc>
          <w:tcPr>
            <w:tcW w:w="0" w:type="auto"/>
            <w:shd w:val="clear" w:color="auto" w:fill="auto"/>
            <w:tcMar>
              <w:top w:w="0" w:type="dxa"/>
              <w:left w:w="20" w:type="dxa"/>
              <w:bottom w:w="0" w:type="dxa"/>
              <w:right w:w="20" w:type="dxa"/>
            </w:tcMar>
            <w:vAlign w:val="bottom"/>
          </w:tcPr>
          <w:p w14:paraId="74DDF689" w14:textId="77777777" w:rsidR="00584EC1" w:rsidRDefault="00584EC1">
            <w:pPr>
              <w:rPr>
                <w:rFonts w:ascii="宋体"/>
              </w:rPr>
            </w:pPr>
          </w:p>
        </w:tc>
        <w:tc>
          <w:tcPr>
            <w:tcW w:w="0" w:type="auto"/>
            <w:shd w:val="clear" w:color="auto" w:fill="auto"/>
            <w:tcMar>
              <w:top w:w="40" w:type="dxa"/>
              <w:left w:w="20" w:type="dxa"/>
              <w:bottom w:w="40" w:type="dxa"/>
              <w:right w:w="20" w:type="dxa"/>
            </w:tcMar>
            <w:vAlign w:val="bottom"/>
          </w:tcPr>
          <w:p w14:paraId="74DDF68A" w14:textId="77777777" w:rsidR="00584EC1" w:rsidRDefault="00871F8D">
            <w:pPr>
              <w:jc w:val="center"/>
              <w:textAlignment w:val="bottom"/>
            </w:pPr>
            <w:r>
              <w:rPr>
                <w:rFonts w:ascii="Arial" w:eastAsia="宋体" w:hAnsi="Arial" w:cs="Arial"/>
                <w:b/>
                <w:bCs/>
                <w:color w:val="000000"/>
                <w:sz w:val="13"/>
                <w:szCs w:val="13"/>
              </w:rPr>
              <w:t>Hedged Item in Fair Value Hedging Relationship</w:t>
            </w:r>
          </w:p>
        </w:tc>
        <w:tc>
          <w:tcPr>
            <w:tcW w:w="0" w:type="auto"/>
            <w:gridSpan w:val="3"/>
            <w:shd w:val="clear" w:color="auto" w:fill="auto"/>
            <w:tcMar>
              <w:top w:w="0" w:type="dxa"/>
              <w:left w:w="20" w:type="dxa"/>
              <w:bottom w:w="0" w:type="dxa"/>
              <w:right w:w="20" w:type="dxa"/>
            </w:tcMar>
            <w:vAlign w:val="bottom"/>
          </w:tcPr>
          <w:p w14:paraId="74DDF68B"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F68C" w14:textId="77777777" w:rsidR="00584EC1" w:rsidRDefault="00871F8D">
            <w:pPr>
              <w:jc w:val="center"/>
              <w:textAlignment w:val="bottom"/>
            </w:pPr>
            <w:r>
              <w:rPr>
                <w:rFonts w:ascii="Arial" w:eastAsia="宋体" w:hAnsi="Arial" w:cs="Arial"/>
                <w:b/>
                <w:bCs/>
                <w:color w:val="000000"/>
                <w:sz w:val="13"/>
                <w:szCs w:val="13"/>
              </w:rPr>
              <w:t>Location of Gain (Loss) on Hedged Item in Consolidated Statement of Income</w:t>
            </w:r>
          </w:p>
        </w:tc>
        <w:tc>
          <w:tcPr>
            <w:tcW w:w="0" w:type="auto"/>
            <w:gridSpan w:val="3"/>
            <w:shd w:val="clear" w:color="auto" w:fill="auto"/>
            <w:tcMar>
              <w:top w:w="0" w:type="dxa"/>
              <w:left w:w="20" w:type="dxa"/>
              <w:bottom w:w="0" w:type="dxa"/>
              <w:right w:w="20" w:type="dxa"/>
            </w:tcMar>
            <w:vAlign w:val="bottom"/>
          </w:tcPr>
          <w:p w14:paraId="74DDF68D" w14:textId="77777777" w:rsidR="00584EC1" w:rsidRDefault="00584E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4DDF68E" w14:textId="77777777" w:rsidR="00584EC1" w:rsidRDefault="00871F8D">
            <w:pPr>
              <w:jc w:val="center"/>
              <w:textAlignment w:val="bottom"/>
            </w:pPr>
            <w:r>
              <w:rPr>
                <w:rFonts w:ascii="Arial" w:eastAsia="宋体" w:hAnsi="Arial" w:cs="Arial"/>
                <w:b/>
                <w:bCs/>
                <w:color w:val="000000"/>
                <w:sz w:val="13"/>
                <w:szCs w:val="13"/>
              </w:rPr>
              <w:t>Amount of Gain</w:t>
            </w:r>
            <w:r>
              <w:rPr>
                <w:rFonts w:ascii="Arial" w:eastAsia="宋体" w:hAnsi="Arial" w:cs="Arial"/>
                <w:b/>
                <w:bCs/>
                <w:color w:val="000000"/>
                <w:sz w:val="13"/>
                <w:szCs w:val="13"/>
              </w:rPr>
              <w:br/>
              <w:t>(Loss) on Hedged</w:t>
            </w:r>
            <w:r>
              <w:rPr>
                <w:rFonts w:ascii="Arial" w:eastAsia="宋体" w:hAnsi="Arial" w:cs="Arial"/>
                <w:b/>
                <w:bCs/>
                <w:color w:val="000000"/>
                <w:sz w:val="13"/>
                <w:szCs w:val="13"/>
              </w:rPr>
              <w:br/>
              <w:t>Item Recognized in</w:t>
            </w:r>
            <w:r>
              <w:rPr>
                <w:rFonts w:ascii="Arial" w:eastAsia="宋体" w:hAnsi="Arial" w:cs="Arial"/>
                <w:b/>
                <w:bCs/>
                <w:color w:val="000000"/>
                <w:sz w:val="13"/>
                <w:szCs w:val="13"/>
              </w:rPr>
              <w:br/>
              <w:t>Consolidated</w:t>
            </w:r>
            <w:r>
              <w:rPr>
                <w:rFonts w:ascii="Arial" w:eastAsia="宋体" w:hAnsi="Arial" w:cs="Arial"/>
                <w:b/>
                <w:bCs/>
                <w:color w:val="000000"/>
                <w:sz w:val="13"/>
                <w:szCs w:val="13"/>
              </w:rPr>
              <w:br/>
              <w:t>Statement of Income</w:t>
            </w:r>
          </w:p>
        </w:tc>
        <w:tc>
          <w:tcPr>
            <w:tcW w:w="0" w:type="auto"/>
            <w:shd w:val="clear" w:color="auto" w:fill="auto"/>
            <w:vAlign w:val="bottom"/>
          </w:tcPr>
          <w:p w14:paraId="74DDF68F" w14:textId="77777777" w:rsidR="00584EC1" w:rsidRDefault="00584EC1">
            <w:pPr>
              <w:rPr>
                <w:rFonts w:ascii="宋体"/>
              </w:rPr>
            </w:pPr>
          </w:p>
        </w:tc>
        <w:tc>
          <w:tcPr>
            <w:tcW w:w="0" w:type="auto"/>
            <w:shd w:val="clear" w:color="auto" w:fill="auto"/>
            <w:vAlign w:val="bottom"/>
          </w:tcPr>
          <w:p w14:paraId="74DDF690" w14:textId="77777777" w:rsidR="00584EC1" w:rsidRDefault="00584EC1">
            <w:pPr>
              <w:rPr>
                <w:rFonts w:ascii="宋体"/>
              </w:rPr>
            </w:pPr>
          </w:p>
        </w:tc>
        <w:tc>
          <w:tcPr>
            <w:tcW w:w="0" w:type="auto"/>
            <w:shd w:val="clear" w:color="auto" w:fill="auto"/>
            <w:vAlign w:val="bottom"/>
          </w:tcPr>
          <w:p w14:paraId="74DDF691" w14:textId="77777777" w:rsidR="00584EC1" w:rsidRDefault="00584EC1">
            <w:pPr>
              <w:rPr>
                <w:rFonts w:ascii="宋体"/>
              </w:rPr>
            </w:pPr>
          </w:p>
        </w:tc>
        <w:tc>
          <w:tcPr>
            <w:tcW w:w="0" w:type="auto"/>
            <w:shd w:val="clear" w:color="auto" w:fill="auto"/>
            <w:vAlign w:val="bottom"/>
          </w:tcPr>
          <w:p w14:paraId="74DDF692" w14:textId="77777777" w:rsidR="00584EC1" w:rsidRDefault="00584EC1">
            <w:pPr>
              <w:rPr>
                <w:rFonts w:ascii="宋体"/>
              </w:rPr>
            </w:pPr>
          </w:p>
        </w:tc>
        <w:tc>
          <w:tcPr>
            <w:tcW w:w="0" w:type="auto"/>
            <w:shd w:val="clear" w:color="auto" w:fill="auto"/>
            <w:vAlign w:val="bottom"/>
          </w:tcPr>
          <w:p w14:paraId="74DDF693" w14:textId="77777777" w:rsidR="00584EC1" w:rsidRDefault="00584EC1">
            <w:pPr>
              <w:rPr>
                <w:rFonts w:ascii="宋体"/>
              </w:rPr>
            </w:pPr>
          </w:p>
        </w:tc>
        <w:tc>
          <w:tcPr>
            <w:tcW w:w="0" w:type="auto"/>
            <w:shd w:val="clear" w:color="auto" w:fill="auto"/>
            <w:vAlign w:val="bottom"/>
          </w:tcPr>
          <w:p w14:paraId="74DDF694" w14:textId="77777777" w:rsidR="00584EC1" w:rsidRDefault="00584EC1">
            <w:pPr>
              <w:rPr>
                <w:rFonts w:ascii="宋体"/>
              </w:rPr>
            </w:pPr>
          </w:p>
        </w:tc>
        <w:tc>
          <w:tcPr>
            <w:tcW w:w="0" w:type="auto"/>
            <w:shd w:val="clear" w:color="auto" w:fill="auto"/>
            <w:vAlign w:val="bottom"/>
          </w:tcPr>
          <w:p w14:paraId="74DDF695" w14:textId="77777777" w:rsidR="00584EC1" w:rsidRDefault="00584EC1">
            <w:pPr>
              <w:rPr>
                <w:rFonts w:ascii="宋体"/>
              </w:rPr>
            </w:pPr>
          </w:p>
        </w:tc>
        <w:tc>
          <w:tcPr>
            <w:tcW w:w="0" w:type="auto"/>
            <w:shd w:val="clear" w:color="auto" w:fill="auto"/>
            <w:vAlign w:val="bottom"/>
          </w:tcPr>
          <w:p w14:paraId="74DDF696" w14:textId="77777777" w:rsidR="00584EC1" w:rsidRDefault="00584EC1">
            <w:pPr>
              <w:rPr>
                <w:rFonts w:ascii="宋体"/>
              </w:rPr>
            </w:pPr>
          </w:p>
        </w:tc>
        <w:tc>
          <w:tcPr>
            <w:tcW w:w="0" w:type="auto"/>
            <w:shd w:val="clear" w:color="auto" w:fill="auto"/>
            <w:vAlign w:val="bottom"/>
          </w:tcPr>
          <w:p w14:paraId="74DDF697" w14:textId="77777777" w:rsidR="00584EC1" w:rsidRDefault="00584EC1">
            <w:pPr>
              <w:rPr>
                <w:rFonts w:ascii="宋体"/>
              </w:rPr>
            </w:pPr>
          </w:p>
        </w:tc>
        <w:tc>
          <w:tcPr>
            <w:tcW w:w="0" w:type="auto"/>
            <w:shd w:val="clear" w:color="auto" w:fill="auto"/>
            <w:vAlign w:val="bottom"/>
          </w:tcPr>
          <w:p w14:paraId="74DDF698" w14:textId="77777777" w:rsidR="00584EC1" w:rsidRDefault="00584EC1">
            <w:pPr>
              <w:rPr>
                <w:rFonts w:ascii="宋体"/>
              </w:rPr>
            </w:pPr>
          </w:p>
        </w:tc>
        <w:tc>
          <w:tcPr>
            <w:tcW w:w="0" w:type="auto"/>
            <w:shd w:val="clear" w:color="auto" w:fill="auto"/>
            <w:vAlign w:val="bottom"/>
          </w:tcPr>
          <w:p w14:paraId="74DDF699" w14:textId="77777777" w:rsidR="00584EC1" w:rsidRDefault="00584EC1">
            <w:pPr>
              <w:rPr>
                <w:rFonts w:ascii="宋体"/>
              </w:rPr>
            </w:pPr>
          </w:p>
        </w:tc>
        <w:tc>
          <w:tcPr>
            <w:tcW w:w="0" w:type="auto"/>
            <w:shd w:val="clear" w:color="auto" w:fill="auto"/>
            <w:vAlign w:val="bottom"/>
          </w:tcPr>
          <w:p w14:paraId="74DDF69A" w14:textId="77777777" w:rsidR="00584EC1" w:rsidRDefault="00584EC1">
            <w:pPr>
              <w:rPr>
                <w:rFonts w:ascii="宋体"/>
              </w:rPr>
            </w:pPr>
          </w:p>
        </w:tc>
      </w:tr>
      <w:tr w:rsidR="00584EC1" w14:paraId="74DDF6AE" w14:textId="77777777">
        <w:tc>
          <w:tcPr>
            <w:tcW w:w="0" w:type="auto"/>
            <w:gridSpan w:val="3"/>
            <w:shd w:val="clear" w:color="auto" w:fill="auto"/>
            <w:tcMar>
              <w:top w:w="40" w:type="dxa"/>
              <w:left w:w="20" w:type="dxa"/>
              <w:bottom w:w="40" w:type="dxa"/>
              <w:right w:w="20" w:type="dxa"/>
            </w:tcMar>
            <w:vAlign w:val="bottom"/>
          </w:tcPr>
          <w:p w14:paraId="74DDF69C" w14:textId="77777777" w:rsidR="00584EC1" w:rsidRDefault="00871F8D">
            <w:pPr>
              <w:textAlignment w:val="bottom"/>
            </w:pPr>
            <w:r>
              <w:rPr>
                <w:rFonts w:ascii="Arial" w:eastAsia="宋体" w:hAnsi="Arial" w:cs="Arial"/>
                <w:b/>
                <w:bCs/>
                <w:color w:val="000000"/>
                <w:sz w:val="13"/>
                <w:szCs w:val="13"/>
              </w:rPr>
              <w:t>Derivatives designated as fair value hedges: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69D"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69E"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69F"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6A0"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6A1" w14:textId="77777777" w:rsidR="00584EC1" w:rsidRDefault="00584EC1">
            <w:pPr>
              <w:rPr>
                <w:rFonts w:ascii="宋体"/>
              </w:rPr>
            </w:pPr>
          </w:p>
        </w:tc>
        <w:tc>
          <w:tcPr>
            <w:tcW w:w="0" w:type="auto"/>
            <w:shd w:val="clear" w:color="auto" w:fill="auto"/>
            <w:vAlign w:val="bottom"/>
          </w:tcPr>
          <w:p w14:paraId="74DDF6A2" w14:textId="77777777" w:rsidR="00584EC1" w:rsidRDefault="00584EC1">
            <w:pPr>
              <w:rPr>
                <w:rFonts w:ascii="宋体"/>
                <w:vanish/>
              </w:rPr>
            </w:pPr>
          </w:p>
        </w:tc>
        <w:tc>
          <w:tcPr>
            <w:tcW w:w="0" w:type="auto"/>
            <w:shd w:val="clear" w:color="auto" w:fill="auto"/>
            <w:vAlign w:val="bottom"/>
          </w:tcPr>
          <w:p w14:paraId="74DDF6A3" w14:textId="77777777" w:rsidR="00584EC1" w:rsidRDefault="00584EC1">
            <w:pPr>
              <w:rPr>
                <w:rFonts w:ascii="宋体"/>
                <w:vanish/>
              </w:rPr>
            </w:pPr>
          </w:p>
        </w:tc>
        <w:tc>
          <w:tcPr>
            <w:tcW w:w="0" w:type="auto"/>
            <w:gridSpan w:val="3"/>
            <w:shd w:val="clear" w:color="auto" w:fill="auto"/>
            <w:tcMar>
              <w:top w:w="0" w:type="dxa"/>
              <w:left w:w="20" w:type="dxa"/>
              <w:bottom w:w="0" w:type="dxa"/>
              <w:right w:w="20" w:type="dxa"/>
            </w:tcMar>
            <w:vAlign w:val="bottom"/>
          </w:tcPr>
          <w:p w14:paraId="74DDF6A4"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6A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6A6"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6A7"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6A8"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6A9"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6AA"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6AB" w14:textId="77777777" w:rsidR="00584EC1" w:rsidRDefault="00584EC1">
            <w:pPr>
              <w:rPr>
                <w:rFonts w:ascii="宋体"/>
              </w:rPr>
            </w:pPr>
          </w:p>
        </w:tc>
        <w:tc>
          <w:tcPr>
            <w:tcW w:w="0" w:type="auto"/>
            <w:gridSpan w:val="3"/>
            <w:shd w:val="clear" w:color="auto" w:fill="auto"/>
            <w:vAlign w:val="bottom"/>
          </w:tcPr>
          <w:p w14:paraId="74DDF6AC" w14:textId="77777777" w:rsidR="00584EC1" w:rsidRDefault="00584EC1">
            <w:pPr>
              <w:rPr>
                <w:rFonts w:ascii="宋体"/>
                <w:vanish/>
              </w:rPr>
            </w:pPr>
          </w:p>
        </w:tc>
        <w:tc>
          <w:tcPr>
            <w:tcW w:w="0" w:type="auto"/>
            <w:gridSpan w:val="3"/>
            <w:shd w:val="clear" w:color="auto" w:fill="auto"/>
            <w:vAlign w:val="bottom"/>
          </w:tcPr>
          <w:p w14:paraId="74DDF6AD" w14:textId="77777777" w:rsidR="00584EC1" w:rsidRDefault="00584EC1">
            <w:pPr>
              <w:rPr>
                <w:rFonts w:ascii="宋体"/>
                <w:vanish/>
              </w:rPr>
            </w:pPr>
          </w:p>
        </w:tc>
      </w:tr>
      <w:tr w:rsidR="00584EC1" w14:paraId="74DDF6C1" w14:textId="77777777">
        <w:trPr>
          <w:hidden/>
        </w:trPr>
        <w:tc>
          <w:tcPr>
            <w:tcW w:w="0" w:type="auto"/>
            <w:gridSpan w:val="3"/>
            <w:shd w:val="clear" w:color="auto" w:fill="auto"/>
            <w:vAlign w:val="bottom"/>
          </w:tcPr>
          <w:p w14:paraId="74DDF6AF" w14:textId="77777777" w:rsidR="00584EC1" w:rsidRDefault="00584EC1">
            <w:pPr>
              <w:rPr>
                <w:rFonts w:ascii="宋体"/>
                <w:vanish/>
              </w:rPr>
            </w:pPr>
          </w:p>
        </w:tc>
        <w:tc>
          <w:tcPr>
            <w:tcW w:w="0" w:type="auto"/>
            <w:gridSpan w:val="3"/>
            <w:shd w:val="clear" w:color="auto" w:fill="auto"/>
            <w:vAlign w:val="bottom"/>
          </w:tcPr>
          <w:p w14:paraId="74DDF6B0" w14:textId="77777777" w:rsidR="00584EC1" w:rsidRDefault="00584EC1">
            <w:pPr>
              <w:rPr>
                <w:rFonts w:ascii="宋体"/>
                <w:vanish/>
              </w:rPr>
            </w:pPr>
          </w:p>
        </w:tc>
        <w:tc>
          <w:tcPr>
            <w:tcW w:w="0" w:type="auto"/>
            <w:gridSpan w:val="3"/>
            <w:shd w:val="clear" w:color="auto" w:fill="auto"/>
            <w:vAlign w:val="bottom"/>
          </w:tcPr>
          <w:p w14:paraId="74DDF6B1" w14:textId="77777777" w:rsidR="00584EC1" w:rsidRDefault="00584EC1">
            <w:pPr>
              <w:rPr>
                <w:rFonts w:ascii="宋体"/>
                <w:vanish/>
              </w:rPr>
            </w:pPr>
          </w:p>
        </w:tc>
        <w:tc>
          <w:tcPr>
            <w:tcW w:w="0" w:type="auto"/>
            <w:gridSpan w:val="3"/>
            <w:shd w:val="clear" w:color="auto" w:fill="auto"/>
            <w:vAlign w:val="bottom"/>
          </w:tcPr>
          <w:p w14:paraId="74DDF6B2" w14:textId="77777777" w:rsidR="00584EC1" w:rsidRDefault="00584EC1">
            <w:pPr>
              <w:rPr>
                <w:rFonts w:ascii="宋体"/>
                <w:vanish/>
              </w:rPr>
            </w:pPr>
          </w:p>
        </w:tc>
        <w:tc>
          <w:tcPr>
            <w:tcW w:w="0" w:type="auto"/>
            <w:gridSpan w:val="3"/>
            <w:shd w:val="clear" w:color="auto" w:fill="auto"/>
            <w:vAlign w:val="bottom"/>
          </w:tcPr>
          <w:p w14:paraId="74DDF6B3" w14:textId="77777777" w:rsidR="00584EC1" w:rsidRDefault="00584EC1">
            <w:pPr>
              <w:rPr>
                <w:rFonts w:ascii="宋体"/>
                <w:vanish/>
              </w:rPr>
            </w:pPr>
          </w:p>
        </w:tc>
        <w:tc>
          <w:tcPr>
            <w:tcW w:w="0" w:type="auto"/>
            <w:gridSpan w:val="3"/>
            <w:shd w:val="clear" w:color="auto" w:fill="auto"/>
            <w:vAlign w:val="bottom"/>
          </w:tcPr>
          <w:p w14:paraId="74DDF6B4" w14:textId="77777777" w:rsidR="00584EC1" w:rsidRDefault="00584EC1">
            <w:pPr>
              <w:rPr>
                <w:rFonts w:ascii="宋体"/>
                <w:vanish/>
              </w:rPr>
            </w:pPr>
          </w:p>
        </w:tc>
        <w:tc>
          <w:tcPr>
            <w:tcW w:w="0" w:type="auto"/>
            <w:shd w:val="clear" w:color="auto" w:fill="auto"/>
            <w:vAlign w:val="bottom"/>
          </w:tcPr>
          <w:p w14:paraId="74DDF6B5" w14:textId="77777777" w:rsidR="00584EC1" w:rsidRDefault="00584EC1">
            <w:pPr>
              <w:rPr>
                <w:rFonts w:ascii="宋体"/>
                <w:vanish/>
              </w:rPr>
            </w:pPr>
          </w:p>
        </w:tc>
        <w:tc>
          <w:tcPr>
            <w:tcW w:w="0" w:type="auto"/>
            <w:shd w:val="clear" w:color="auto" w:fill="auto"/>
            <w:vAlign w:val="bottom"/>
          </w:tcPr>
          <w:p w14:paraId="74DDF6B6" w14:textId="77777777" w:rsidR="00584EC1" w:rsidRDefault="00584EC1">
            <w:pPr>
              <w:rPr>
                <w:rFonts w:ascii="宋体"/>
                <w:vanish/>
              </w:rPr>
            </w:pPr>
          </w:p>
        </w:tc>
        <w:tc>
          <w:tcPr>
            <w:tcW w:w="0" w:type="auto"/>
            <w:gridSpan w:val="3"/>
            <w:shd w:val="clear" w:color="auto" w:fill="auto"/>
            <w:vAlign w:val="bottom"/>
          </w:tcPr>
          <w:p w14:paraId="74DDF6B7" w14:textId="77777777" w:rsidR="00584EC1" w:rsidRDefault="00584EC1">
            <w:pPr>
              <w:rPr>
                <w:rFonts w:ascii="宋体"/>
                <w:vanish/>
              </w:rPr>
            </w:pPr>
          </w:p>
        </w:tc>
        <w:tc>
          <w:tcPr>
            <w:tcW w:w="0" w:type="auto"/>
            <w:gridSpan w:val="3"/>
            <w:shd w:val="clear" w:color="auto" w:fill="auto"/>
            <w:vAlign w:val="bottom"/>
          </w:tcPr>
          <w:p w14:paraId="74DDF6B8" w14:textId="77777777" w:rsidR="00584EC1" w:rsidRDefault="00584EC1">
            <w:pPr>
              <w:rPr>
                <w:rFonts w:ascii="宋体"/>
                <w:vanish/>
              </w:rPr>
            </w:pPr>
          </w:p>
        </w:tc>
        <w:tc>
          <w:tcPr>
            <w:tcW w:w="0" w:type="auto"/>
            <w:gridSpan w:val="3"/>
            <w:shd w:val="clear" w:color="auto" w:fill="auto"/>
            <w:vAlign w:val="bottom"/>
          </w:tcPr>
          <w:p w14:paraId="74DDF6B9" w14:textId="77777777" w:rsidR="00584EC1" w:rsidRDefault="00584EC1">
            <w:pPr>
              <w:rPr>
                <w:rFonts w:ascii="宋体"/>
                <w:vanish/>
              </w:rPr>
            </w:pPr>
          </w:p>
        </w:tc>
        <w:tc>
          <w:tcPr>
            <w:tcW w:w="0" w:type="auto"/>
            <w:gridSpan w:val="3"/>
            <w:shd w:val="clear" w:color="auto" w:fill="auto"/>
            <w:vAlign w:val="bottom"/>
          </w:tcPr>
          <w:p w14:paraId="74DDF6BA" w14:textId="77777777" w:rsidR="00584EC1" w:rsidRDefault="00584EC1">
            <w:pPr>
              <w:rPr>
                <w:rFonts w:ascii="宋体"/>
                <w:vanish/>
              </w:rPr>
            </w:pPr>
          </w:p>
        </w:tc>
        <w:tc>
          <w:tcPr>
            <w:tcW w:w="0" w:type="auto"/>
            <w:gridSpan w:val="3"/>
            <w:shd w:val="clear" w:color="auto" w:fill="auto"/>
            <w:vAlign w:val="bottom"/>
          </w:tcPr>
          <w:p w14:paraId="74DDF6BB" w14:textId="77777777" w:rsidR="00584EC1" w:rsidRDefault="00584EC1">
            <w:pPr>
              <w:rPr>
                <w:rFonts w:ascii="宋体"/>
                <w:vanish/>
              </w:rPr>
            </w:pPr>
          </w:p>
        </w:tc>
        <w:tc>
          <w:tcPr>
            <w:tcW w:w="0" w:type="auto"/>
            <w:gridSpan w:val="3"/>
            <w:shd w:val="clear" w:color="auto" w:fill="auto"/>
            <w:vAlign w:val="bottom"/>
          </w:tcPr>
          <w:p w14:paraId="74DDF6BC" w14:textId="77777777" w:rsidR="00584EC1" w:rsidRDefault="00584EC1">
            <w:pPr>
              <w:rPr>
                <w:rFonts w:ascii="宋体"/>
                <w:vanish/>
              </w:rPr>
            </w:pPr>
          </w:p>
        </w:tc>
        <w:tc>
          <w:tcPr>
            <w:tcW w:w="0" w:type="auto"/>
            <w:gridSpan w:val="3"/>
            <w:shd w:val="clear" w:color="auto" w:fill="auto"/>
            <w:vAlign w:val="bottom"/>
          </w:tcPr>
          <w:p w14:paraId="74DDF6BD" w14:textId="77777777" w:rsidR="00584EC1" w:rsidRDefault="00584EC1">
            <w:pPr>
              <w:rPr>
                <w:rFonts w:ascii="宋体"/>
                <w:vanish/>
              </w:rPr>
            </w:pPr>
          </w:p>
        </w:tc>
        <w:tc>
          <w:tcPr>
            <w:tcW w:w="0" w:type="auto"/>
            <w:gridSpan w:val="3"/>
            <w:shd w:val="clear" w:color="auto" w:fill="auto"/>
            <w:vAlign w:val="bottom"/>
          </w:tcPr>
          <w:p w14:paraId="74DDF6BE" w14:textId="77777777" w:rsidR="00584EC1" w:rsidRDefault="00584EC1">
            <w:pPr>
              <w:rPr>
                <w:rFonts w:ascii="宋体"/>
                <w:vanish/>
              </w:rPr>
            </w:pPr>
          </w:p>
        </w:tc>
        <w:tc>
          <w:tcPr>
            <w:tcW w:w="0" w:type="auto"/>
            <w:gridSpan w:val="3"/>
            <w:shd w:val="clear" w:color="auto" w:fill="auto"/>
            <w:vAlign w:val="bottom"/>
          </w:tcPr>
          <w:p w14:paraId="74DDF6BF" w14:textId="77777777" w:rsidR="00584EC1" w:rsidRDefault="00584EC1">
            <w:pPr>
              <w:rPr>
                <w:rFonts w:ascii="宋体"/>
                <w:vanish/>
              </w:rPr>
            </w:pPr>
          </w:p>
        </w:tc>
        <w:tc>
          <w:tcPr>
            <w:tcW w:w="0" w:type="auto"/>
            <w:gridSpan w:val="3"/>
            <w:shd w:val="clear" w:color="auto" w:fill="auto"/>
            <w:vAlign w:val="bottom"/>
          </w:tcPr>
          <w:p w14:paraId="74DDF6C0" w14:textId="77777777" w:rsidR="00584EC1" w:rsidRDefault="00584EC1">
            <w:pPr>
              <w:rPr>
                <w:rFonts w:ascii="宋体"/>
                <w:vanish/>
              </w:rPr>
            </w:pPr>
          </w:p>
        </w:tc>
      </w:tr>
      <w:tr w:rsidR="00584EC1" w14:paraId="74DDF6D4" w14:textId="77777777">
        <w:trPr>
          <w:hidden/>
        </w:trPr>
        <w:tc>
          <w:tcPr>
            <w:tcW w:w="0" w:type="auto"/>
            <w:gridSpan w:val="3"/>
            <w:shd w:val="clear" w:color="auto" w:fill="auto"/>
            <w:vAlign w:val="bottom"/>
          </w:tcPr>
          <w:p w14:paraId="74DDF6C2" w14:textId="77777777" w:rsidR="00584EC1" w:rsidRDefault="00584EC1">
            <w:pPr>
              <w:rPr>
                <w:rFonts w:ascii="宋体"/>
                <w:vanish/>
              </w:rPr>
            </w:pPr>
          </w:p>
        </w:tc>
        <w:tc>
          <w:tcPr>
            <w:tcW w:w="0" w:type="auto"/>
            <w:gridSpan w:val="3"/>
            <w:shd w:val="clear" w:color="auto" w:fill="auto"/>
            <w:vAlign w:val="bottom"/>
          </w:tcPr>
          <w:p w14:paraId="74DDF6C3" w14:textId="77777777" w:rsidR="00584EC1" w:rsidRDefault="00584EC1">
            <w:pPr>
              <w:rPr>
                <w:rFonts w:ascii="宋体"/>
                <w:vanish/>
              </w:rPr>
            </w:pPr>
          </w:p>
        </w:tc>
        <w:tc>
          <w:tcPr>
            <w:tcW w:w="0" w:type="auto"/>
            <w:gridSpan w:val="3"/>
            <w:shd w:val="clear" w:color="auto" w:fill="auto"/>
            <w:vAlign w:val="bottom"/>
          </w:tcPr>
          <w:p w14:paraId="74DDF6C4" w14:textId="77777777" w:rsidR="00584EC1" w:rsidRDefault="00584EC1">
            <w:pPr>
              <w:rPr>
                <w:rFonts w:ascii="宋体"/>
                <w:vanish/>
              </w:rPr>
            </w:pPr>
          </w:p>
        </w:tc>
        <w:tc>
          <w:tcPr>
            <w:tcW w:w="0" w:type="auto"/>
            <w:gridSpan w:val="3"/>
            <w:shd w:val="clear" w:color="auto" w:fill="auto"/>
            <w:vAlign w:val="bottom"/>
          </w:tcPr>
          <w:p w14:paraId="74DDF6C5" w14:textId="77777777" w:rsidR="00584EC1" w:rsidRDefault="00584EC1">
            <w:pPr>
              <w:rPr>
                <w:rFonts w:ascii="宋体"/>
                <w:vanish/>
              </w:rPr>
            </w:pPr>
          </w:p>
        </w:tc>
        <w:tc>
          <w:tcPr>
            <w:tcW w:w="0" w:type="auto"/>
            <w:gridSpan w:val="3"/>
            <w:shd w:val="clear" w:color="auto" w:fill="auto"/>
            <w:vAlign w:val="bottom"/>
          </w:tcPr>
          <w:p w14:paraId="74DDF6C6" w14:textId="77777777" w:rsidR="00584EC1" w:rsidRDefault="00584EC1">
            <w:pPr>
              <w:rPr>
                <w:rFonts w:ascii="宋体"/>
                <w:vanish/>
              </w:rPr>
            </w:pPr>
          </w:p>
        </w:tc>
        <w:tc>
          <w:tcPr>
            <w:tcW w:w="0" w:type="auto"/>
            <w:gridSpan w:val="3"/>
            <w:shd w:val="clear" w:color="auto" w:fill="auto"/>
            <w:vAlign w:val="bottom"/>
          </w:tcPr>
          <w:p w14:paraId="74DDF6C7" w14:textId="77777777" w:rsidR="00584EC1" w:rsidRDefault="00584EC1">
            <w:pPr>
              <w:rPr>
                <w:rFonts w:ascii="宋体"/>
                <w:vanish/>
              </w:rPr>
            </w:pPr>
          </w:p>
        </w:tc>
        <w:tc>
          <w:tcPr>
            <w:tcW w:w="0" w:type="auto"/>
            <w:shd w:val="clear" w:color="auto" w:fill="auto"/>
            <w:vAlign w:val="bottom"/>
          </w:tcPr>
          <w:p w14:paraId="74DDF6C8" w14:textId="77777777" w:rsidR="00584EC1" w:rsidRDefault="00584EC1">
            <w:pPr>
              <w:rPr>
                <w:rFonts w:ascii="宋体"/>
                <w:vanish/>
              </w:rPr>
            </w:pPr>
          </w:p>
        </w:tc>
        <w:tc>
          <w:tcPr>
            <w:tcW w:w="0" w:type="auto"/>
            <w:shd w:val="clear" w:color="auto" w:fill="auto"/>
            <w:vAlign w:val="bottom"/>
          </w:tcPr>
          <w:p w14:paraId="74DDF6C9" w14:textId="77777777" w:rsidR="00584EC1" w:rsidRDefault="00584EC1">
            <w:pPr>
              <w:rPr>
                <w:rFonts w:ascii="宋体"/>
                <w:vanish/>
              </w:rPr>
            </w:pPr>
          </w:p>
        </w:tc>
        <w:tc>
          <w:tcPr>
            <w:tcW w:w="0" w:type="auto"/>
            <w:gridSpan w:val="3"/>
            <w:shd w:val="clear" w:color="auto" w:fill="auto"/>
            <w:vAlign w:val="bottom"/>
          </w:tcPr>
          <w:p w14:paraId="74DDF6CA" w14:textId="77777777" w:rsidR="00584EC1" w:rsidRDefault="00584EC1">
            <w:pPr>
              <w:rPr>
                <w:rFonts w:ascii="宋体"/>
                <w:vanish/>
              </w:rPr>
            </w:pPr>
          </w:p>
        </w:tc>
        <w:tc>
          <w:tcPr>
            <w:tcW w:w="0" w:type="auto"/>
            <w:gridSpan w:val="3"/>
            <w:shd w:val="clear" w:color="auto" w:fill="auto"/>
            <w:vAlign w:val="bottom"/>
          </w:tcPr>
          <w:p w14:paraId="74DDF6CB" w14:textId="77777777" w:rsidR="00584EC1" w:rsidRDefault="00584EC1">
            <w:pPr>
              <w:rPr>
                <w:rFonts w:ascii="宋体"/>
                <w:vanish/>
              </w:rPr>
            </w:pPr>
          </w:p>
        </w:tc>
        <w:tc>
          <w:tcPr>
            <w:tcW w:w="0" w:type="auto"/>
            <w:gridSpan w:val="3"/>
            <w:shd w:val="clear" w:color="auto" w:fill="auto"/>
            <w:vAlign w:val="bottom"/>
          </w:tcPr>
          <w:p w14:paraId="74DDF6CC" w14:textId="77777777" w:rsidR="00584EC1" w:rsidRDefault="00584EC1">
            <w:pPr>
              <w:rPr>
                <w:rFonts w:ascii="宋体"/>
                <w:vanish/>
              </w:rPr>
            </w:pPr>
          </w:p>
        </w:tc>
        <w:tc>
          <w:tcPr>
            <w:tcW w:w="0" w:type="auto"/>
            <w:gridSpan w:val="3"/>
            <w:shd w:val="clear" w:color="auto" w:fill="auto"/>
            <w:vAlign w:val="bottom"/>
          </w:tcPr>
          <w:p w14:paraId="74DDF6CD" w14:textId="77777777" w:rsidR="00584EC1" w:rsidRDefault="00584EC1">
            <w:pPr>
              <w:rPr>
                <w:rFonts w:ascii="宋体"/>
                <w:vanish/>
              </w:rPr>
            </w:pPr>
          </w:p>
        </w:tc>
        <w:tc>
          <w:tcPr>
            <w:tcW w:w="0" w:type="auto"/>
            <w:gridSpan w:val="3"/>
            <w:shd w:val="clear" w:color="auto" w:fill="auto"/>
            <w:vAlign w:val="bottom"/>
          </w:tcPr>
          <w:p w14:paraId="74DDF6CE" w14:textId="77777777" w:rsidR="00584EC1" w:rsidRDefault="00584EC1">
            <w:pPr>
              <w:rPr>
                <w:rFonts w:ascii="宋体"/>
                <w:vanish/>
              </w:rPr>
            </w:pPr>
          </w:p>
        </w:tc>
        <w:tc>
          <w:tcPr>
            <w:tcW w:w="0" w:type="auto"/>
            <w:gridSpan w:val="3"/>
            <w:shd w:val="clear" w:color="auto" w:fill="auto"/>
            <w:vAlign w:val="bottom"/>
          </w:tcPr>
          <w:p w14:paraId="74DDF6CF" w14:textId="77777777" w:rsidR="00584EC1" w:rsidRDefault="00584EC1">
            <w:pPr>
              <w:rPr>
                <w:rFonts w:ascii="宋体"/>
                <w:vanish/>
              </w:rPr>
            </w:pPr>
          </w:p>
        </w:tc>
        <w:tc>
          <w:tcPr>
            <w:tcW w:w="0" w:type="auto"/>
            <w:gridSpan w:val="3"/>
            <w:shd w:val="clear" w:color="auto" w:fill="auto"/>
            <w:vAlign w:val="bottom"/>
          </w:tcPr>
          <w:p w14:paraId="74DDF6D0" w14:textId="77777777" w:rsidR="00584EC1" w:rsidRDefault="00584EC1">
            <w:pPr>
              <w:rPr>
                <w:rFonts w:ascii="宋体"/>
                <w:vanish/>
              </w:rPr>
            </w:pPr>
          </w:p>
        </w:tc>
        <w:tc>
          <w:tcPr>
            <w:tcW w:w="0" w:type="auto"/>
            <w:gridSpan w:val="3"/>
            <w:shd w:val="clear" w:color="auto" w:fill="auto"/>
            <w:vAlign w:val="bottom"/>
          </w:tcPr>
          <w:p w14:paraId="74DDF6D1" w14:textId="77777777" w:rsidR="00584EC1" w:rsidRDefault="00584EC1">
            <w:pPr>
              <w:rPr>
                <w:rFonts w:ascii="宋体"/>
                <w:vanish/>
              </w:rPr>
            </w:pPr>
          </w:p>
        </w:tc>
        <w:tc>
          <w:tcPr>
            <w:tcW w:w="0" w:type="auto"/>
            <w:gridSpan w:val="3"/>
            <w:shd w:val="clear" w:color="auto" w:fill="auto"/>
            <w:vAlign w:val="bottom"/>
          </w:tcPr>
          <w:p w14:paraId="74DDF6D2" w14:textId="77777777" w:rsidR="00584EC1" w:rsidRDefault="00584EC1">
            <w:pPr>
              <w:rPr>
                <w:rFonts w:ascii="宋体"/>
                <w:vanish/>
              </w:rPr>
            </w:pPr>
          </w:p>
        </w:tc>
        <w:tc>
          <w:tcPr>
            <w:tcW w:w="0" w:type="auto"/>
            <w:gridSpan w:val="3"/>
            <w:shd w:val="clear" w:color="auto" w:fill="auto"/>
            <w:vAlign w:val="bottom"/>
          </w:tcPr>
          <w:p w14:paraId="74DDF6D3" w14:textId="77777777" w:rsidR="00584EC1" w:rsidRDefault="00584EC1">
            <w:pPr>
              <w:rPr>
                <w:rFonts w:ascii="宋体"/>
                <w:vanish/>
              </w:rPr>
            </w:pPr>
          </w:p>
        </w:tc>
      </w:tr>
      <w:tr w:rsidR="00584EC1" w14:paraId="74DDF6EF" w14:textId="77777777">
        <w:tc>
          <w:tcPr>
            <w:tcW w:w="0" w:type="auto"/>
            <w:gridSpan w:val="3"/>
            <w:shd w:val="clear" w:color="auto" w:fill="CCEEFF"/>
            <w:tcMar>
              <w:top w:w="40" w:type="dxa"/>
              <w:left w:w="20" w:type="dxa"/>
              <w:bottom w:w="40" w:type="dxa"/>
              <w:right w:w="20" w:type="dxa"/>
            </w:tcMar>
            <w:vAlign w:val="bottom"/>
          </w:tcPr>
          <w:p w14:paraId="74DDF6D5" w14:textId="77777777" w:rsidR="00584EC1" w:rsidRDefault="00871F8D">
            <w:pPr>
              <w:textAlignment w:val="bottom"/>
            </w:pPr>
            <w:r>
              <w:rPr>
                <w:rFonts w:ascii="Arial" w:eastAsia="宋体" w:hAnsi="Arial" w:cs="Arial"/>
                <w:color w:val="000000"/>
                <w:sz w:val="13"/>
                <w:szCs w:val="13"/>
              </w:rPr>
              <w:t>Interest rate contracts</w:t>
            </w:r>
          </w:p>
        </w:tc>
        <w:tc>
          <w:tcPr>
            <w:tcW w:w="0" w:type="auto"/>
            <w:gridSpan w:val="3"/>
            <w:shd w:val="clear" w:color="auto" w:fill="CCEEFF"/>
            <w:tcMar>
              <w:top w:w="40" w:type="dxa"/>
              <w:left w:w="20" w:type="dxa"/>
              <w:bottom w:w="40" w:type="dxa"/>
              <w:right w:w="20" w:type="dxa"/>
            </w:tcMar>
            <w:vAlign w:val="bottom"/>
          </w:tcPr>
          <w:p w14:paraId="74DDF6D6" w14:textId="77777777" w:rsidR="00584EC1" w:rsidRDefault="00871F8D">
            <w:pPr>
              <w:textAlignment w:val="bottom"/>
            </w:pPr>
            <w:r>
              <w:rPr>
                <w:rFonts w:ascii="Arial" w:eastAsia="宋体" w:hAnsi="Arial" w:cs="Arial"/>
                <w:color w:val="000000"/>
                <w:sz w:val="13"/>
                <w:szCs w:val="13"/>
              </w:rPr>
              <w:t>Net interest income</w:t>
            </w:r>
          </w:p>
        </w:tc>
        <w:tc>
          <w:tcPr>
            <w:tcW w:w="0" w:type="auto"/>
            <w:gridSpan w:val="3"/>
            <w:shd w:val="clear" w:color="auto" w:fill="CCEEFF"/>
            <w:tcMar>
              <w:top w:w="0" w:type="dxa"/>
              <w:left w:w="20" w:type="dxa"/>
              <w:bottom w:w="0" w:type="dxa"/>
              <w:right w:w="20" w:type="dxa"/>
            </w:tcMar>
            <w:vAlign w:val="bottom"/>
          </w:tcPr>
          <w:p w14:paraId="74DDF6D7"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F6D8" w14:textId="77777777" w:rsidR="00584EC1" w:rsidRDefault="00871F8D">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4DDF6D9" w14:textId="77777777" w:rsidR="00584EC1" w:rsidRDefault="00871F8D">
            <w:pPr>
              <w:jc w:val="right"/>
              <w:textAlignment w:val="bottom"/>
            </w:pPr>
            <w:r>
              <w:rPr>
                <w:rFonts w:ascii="Arial" w:eastAsia="宋体" w:hAnsi="Arial" w:cs="Arial"/>
                <w:b/>
                <w:bCs/>
                <w:color w:val="000000"/>
                <w:sz w:val="13"/>
                <w:szCs w:val="13"/>
              </w:rPr>
              <w:t>15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F6D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6DB"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F6DC" w14:textId="77777777" w:rsidR="00584EC1" w:rsidRDefault="00871F8D">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74DDF6DD" w14:textId="77777777" w:rsidR="00584EC1" w:rsidRDefault="00871F8D">
            <w:pPr>
              <w:jc w:val="right"/>
              <w:textAlignment w:val="bottom"/>
            </w:pPr>
            <w:r>
              <w:rPr>
                <w:rFonts w:ascii="Arial" w:eastAsia="宋体" w:hAnsi="Arial" w:cs="Arial"/>
                <w:color w:val="000000"/>
                <w:sz w:val="13"/>
                <w:szCs w:val="13"/>
              </w:rPr>
              <w:t>5 </w:t>
            </w:r>
          </w:p>
        </w:tc>
        <w:tc>
          <w:tcPr>
            <w:tcW w:w="0" w:type="auto"/>
            <w:shd w:val="clear" w:color="auto" w:fill="CCEEFF"/>
            <w:tcMar>
              <w:top w:w="40" w:type="dxa"/>
              <w:left w:w="0" w:type="dxa"/>
              <w:bottom w:w="40" w:type="dxa"/>
              <w:right w:w="20" w:type="dxa"/>
            </w:tcMar>
            <w:vAlign w:val="bottom"/>
          </w:tcPr>
          <w:p w14:paraId="74DDF6DE" w14:textId="77777777" w:rsidR="00584EC1" w:rsidRDefault="00584EC1">
            <w:pPr>
              <w:jc w:val="right"/>
              <w:rPr>
                <w:rFonts w:ascii="宋体"/>
              </w:rPr>
            </w:pPr>
          </w:p>
        </w:tc>
        <w:tc>
          <w:tcPr>
            <w:tcW w:w="0" w:type="auto"/>
            <w:shd w:val="clear" w:color="auto" w:fill="auto"/>
            <w:vAlign w:val="bottom"/>
          </w:tcPr>
          <w:p w14:paraId="74DDF6DF" w14:textId="77777777" w:rsidR="00584EC1" w:rsidRDefault="00584EC1">
            <w:pPr>
              <w:rPr>
                <w:rFonts w:ascii="宋体"/>
                <w:vanish/>
              </w:rPr>
            </w:pPr>
          </w:p>
        </w:tc>
        <w:tc>
          <w:tcPr>
            <w:tcW w:w="0" w:type="auto"/>
            <w:shd w:val="clear" w:color="auto" w:fill="auto"/>
            <w:vAlign w:val="bottom"/>
          </w:tcPr>
          <w:p w14:paraId="74DDF6E0" w14:textId="77777777" w:rsidR="00584EC1" w:rsidRDefault="00584EC1">
            <w:pPr>
              <w:rPr>
                <w:rFonts w:ascii="宋体"/>
                <w:vanish/>
              </w:rPr>
            </w:pPr>
          </w:p>
        </w:tc>
        <w:tc>
          <w:tcPr>
            <w:tcW w:w="0" w:type="auto"/>
            <w:gridSpan w:val="3"/>
            <w:shd w:val="clear" w:color="auto" w:fill="CCEEFF"/>
            <w:tcMar>
              <w:top w:w="0" w:type="dxa"/>
              <w:left w:w="20" w:type="dxa"/>
              <w:bottom w:w="0" w:type="dxa"/>
              <w:right w:w="20" w:type="dxa"/>
            </w:tcMar>
            <w:vAlign w:val="bottom"/>
          </w:tcPr>
          <w:p w14:paraId="74DDF6E1" w14:textId="77777777" w:rsidR="00584EC1" w:rsidRDefault="00584EC1">
            <w:pPr>
              <w:rPr>
                <w:rFonts w:ascii="宋体"/>
              </w:rPr>
            </w:pPr>
          </w:p>
        </w:tc>
        <w:tc>
          <w:tcPr>
            <w:tcW w:w="0" w:type="auto"/>
            <w:gridSpan w:val="3"/>
            <w:shd w:val="clear" w:color="auto" w:fill="CCEEFF"/>
            <w:tcMar>
              <w:top w:w="40" w:type="dxa"/>
              <w:left w:w="20" w:type="dxa"/>
              <w:bottom w:w="40" w:type="dxa"/>
              <w:right w:w="20" w:type="dxa"/>
            </w:tcMar>
            <w:vAlign w:val="bottom"/>
          </w:tcPr>
          <w:p w14:paraId="74DDF6E2" w14:textId="77777777" w:rsidR="00584EC1" w:rsidRDefault="00871F8D">
            <w:pPr>
              <w:textAlignment w:val="bottom"/>
            </w:pPr>
            <w:r>
              <w:rPr>
                <w:rFonts w:ascii="Arial" w:eastAsia="宋体" w:hAnsi="Arial" w:cs="Arial"/>
                <w:color w:val="000000"/>
                <w:sz w:val="13"/>
                <w:szCs w:val="13"/>
              </w:rPr>
              <w:t>Available-for-sale securities</w:t>
            </w:r>
            <w:r>
              <w:rPr>
                <w:rFonts w:ascii="Arial" w:eastAsia="宋体" w:hAnsi="Arial" w:cs="Arial"/>
                <w:color w:val="000000"/>
                <w:sz w:val="8"/>
                <w:szCs w:val="8"/>
              </w:rPr>
              <w:t>(1)</w:t>
            </w:r>
          </w:p>
        </w:tc>
        <w:tc>
          <w:tcPr>
            <w:tcW w:w="0" w:type="auto"/>
            <w:gridSpan w:val="3"/>
            <w:shd w:val="clear" w:color="auto" w:fill="CCEEFF"/>
            <w:tcMar>
              <w:top w:w="0" w:type="dxa"/>
              <w:left w:w="20" w:type="dxa"/>
              <w:bottom w:w="0" w:type="dxa"/>
              <w:right w:w="20" w:type="dxa"/>
            </w:tcMar>
            <w:vAlign w:val="bottom"/>
          </w:tcPr>
          <w:p w14:paraId="74DDF6E3" w14:textId="77777777" w:rsidR="00584EC1" w:rsidRDefault="00584EC1">
            <w:pPr>
              <w:rPr>
                <w:rFonts w:ascii="宋体"/>
              </w:rPr>
            </w:pPr>
          </w:p>
        </w:tc>
        <w:tc>
          <w:tcPr>
            <w:tcW w:w="0" w:type="auto"/>
            <w:gridSpan w:val="3"/>
            <w:shd w:val="clear" w:color="auto" w:fill="CCEEFF"/>
            <w:tcMar>
              <w:top w:w="40" w:type="dxa"/>
              <w:left w:w="20" w:type="dxa"/>
              <w:bottom w:w="40" w:type="dxa"/>
              <w:right w:w="20" w:type="dxa"/>
            </w:tcMar>
            <w:vAlign w:val="bottom"/>
          </w:tcPr>
          <w:p w14:paraId="74DDF6E4" w14:textId="77777777" w:rsidR="00584EC1" w:rsidRDefault="00871F8D">
            <w:pPr>
              <w:spacing w:after="40"/>
              <w:textAlignment w:val="bottom"/>
            </w:pPr>
            <w:r>
              <w:rPr>
                <w:rFonts w:ascii="Arial" w:eastAsia="宋体" w:hAnsi="Arial" w:cs="Arial"/>
                <w:color w:val="000000"/>
                <w:sz w:val="13"/>
                <w:szCs w:val="13"/>
              </w:rPr>
              <w:t>Net interest income</w:t>
            </w:r>
          </w:p>
        </w:tc>
        <w:tc>
          <w:tcPr>
            <w:tcW w:w="0" w:type="auto"/>
            <w:gridSpan w:val="3"/>
            <w:shd w:val="clear" w:color="auto" w:fill="CCEEFF"/>
            <w:tcMar>
              <w:top w:w="0" w:type="dxa"/>
              <w:left w:w="20" w:type="dxa"/>
              <w:bottom w:w="0" w:type="dxa"/>
              <w:right w:w="20" w:type="dxa"/>
            </w:tcMar>
            <w:vAlign w:val="bottom"/>
          </w:tcPr>
          <w:p w14:paraId="74DDF6E5"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F6E6" w14:textId="77777777" w:rsidR="00584EC1" w:rsidRDefault="00871F8D">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4DDF6E7" w14:textId="77777777" w:rsidR="00584EC1" w:rsidRDefault="00871F8D">
            <w:pPr>
              <w:jc w:val="right"/>
              <w:textAlignment w:val="bottom"/>
            </w:pPr>
            <w:r>
              <w:rPr>
                <w:rFonts w:ascii="Arial" w:eastAsia="宋体" w:hAnsi="Arial" w:cs="Arial"/>
                <w:b/>
                <w:bCs/>
                <w:color w:val="000000"/>
                <w:sz w:val="13"/>
                <w:szCs w:val="13"/>
              </w:rPr>
              <w:t>(17)</w:t>
            </w:r>
          </w:p>
        </w:tc>
        <w:tc>
          <w:tcPr>
            <w:tcW w:w="0" w:type="auto"/>
            <w:shd w:val="clear" w:color="auto" w:fill="CCEEFF"/>
            <w:tcMar>
              <w:top w:w="40" w:type="dxa"/>
              <w:left w:w="0" w:type="dxa"/>
              <w:bottom w:w="40" w:type="dxa"/>
              <w:right w:w="20" w:type="dxa"/>
            </w:tcMar>
            <w:vAlign w:val="bottom"/>
          </w:tcPr>
          <w:p w14:paraId="74DDF6E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6E9"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F6EA" w14:textId="77777777" w:rsidR="00584EC1" w:rsidRDefault="00871F8D">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74DDF6EB" w14:textId="77777777" w:rsidR="00584EC1" w:rsidRDefault="00871F8D">
            <w:pPr>
              <w:jc w:val="right"/>
              <w:textAlignment w:val="bottom"/>
            </w:pPr>
            <w:r>
              <w:rPr>
                <w:rFonts w:ascii="Arial" w:eastAsia="宋体" w:hAnsi="Arial" w:cs="Arial"/>
                <w:color w:val="000000"/>
                <w:sz w:val="13"/>
                <w:szCs w:val="13"/>
              </w:rPr>
              <w:t>(6)</w:t>
            </w:r>
          </w:p>
        </w:tc>
        <w:tc>
          <w:tcPr>
            <w:tcW w:w="0" w:type="auto"/>
            <w:shd w:val="clear" w:color="auto" w:fill="CCEEFF"/>
            <w:tcMar>
              <w:top w:w="40" w:type="dxa"/>
              <w:left w:w="0" w:type="dxa"/>
              <w:bottom w:w="40" w:type="dxa"/>
              <w:right w:w="20" w:type="dxa"/>
            </w:tcMar>
            <w:vAlign w:val="bottom"/>
          </w:tcPr>
          <w:p w14:paraId="74DDF6EC" w14:textId="77777777" w:rsidR="00584EC1" w:rsidRDefault="00584EC1">
            <w:pPr>
              <w:jc w:val="right"/>
              <w:rPr>
                <w:rFonts w:ascii="宋体"/>
              </w:rPr>
            </w:pPr>
          </w:p>
        </w:tc>
        <w:tc>
          <w:tcPr>
            <w:tcW w:w="0" w:type="auto"/>
            <w:gridSpan w:val="3"/>
            <w:shd w:val="clear" w:color="auto" w:fill="auto"/>
            <w:vAlign w:val="bottom"/>
          </w:tcPr>
          <w:p w14:paraId="74DDF6ED" w14:textId="77777777" w:rsidR="00584EC1" w:rsidRDefault="00584EC1">
            <w:pPr>
              <w:rPr>
                <w:rFonts w:ascii="宋体"/>
                <w:vanish/>
              </w:rPr>
            </w:pPr>
          </w:p>
        </w:tc>
        <w:tc>
          <w:tcPr>
            <w:tcW w:w="0" w:type="auto"/>
            <w:gridSpan w:val="3"/>
            <w:shd w:val="clear" w:color="auto" w:fill="auto"/>
            <w:vAlign w:val="bottom"/>
          </w:tcPr>
          <w:p w14:paraId="74DDF6EE" w14:textId="77777777" w:rsidR="00584EC1" w:rsidRDefault="00584EC1">
            <w:pPr>
              <w:rPr>
                <w:rFonts w:ascii="宋体"/>
                <w:vanish/>
              </w:rPr>
            </w:pPr>
          </w:p>
        </w:tc>
      </w:tr>
      <w:tr w:rsidR="00584EC1" w14:paraId="74DDF706" w14:textId="77777777">
        <w:tc>
          <w:tcPr>
            <w:tcW w:w="0" w:type="auto"/>
            <w:gridSpan w:val="3"/>
            <w:shd w:val="clear" w:color="auto" w:fill="FFFFFF"/>
            <w:tcMar>
              <w:top w:w="40" w:type="dxa"/>
              <w:left w:w="20" w:type="dxa"/>
              <w:bottom w:w="40" w:type="dxa"/>
              <w:right w:w="20" w:type="dxa"/>
            </w:tcMar>
            <w:vAlign w:val="bottom"/>
          </w:tcPr>
          <w:p w14:paraId="74DDF6F0" w14:textId="77777777" w:rsidR="00584EC1" w:rsidRDefault="00871F8D">
            <w:pPr>
              <w:textAlignment w:val="bottom"/>
            </w:pPr>
            <w:r>
              <w:rPr>
                <w:rFonts w:ascii="Arial" w:eastAsia="宋体" w:hAnsi="Arial" w:cs="Arial"/>
                <w:color w:val="000000"/>
                <w:sz w:val="13"/>
                <w:szCs w:val="13"/>
              </w:rPr>
              <w:t>Interest rate contracts</w:t>
            </w:r>
          </w:p>
        </w:tc>
        <w:tc>
          <w:tcPr>
            <w:tcW w:w="0" w:type="auto"/>
            <w:gridSpan w:val="3"/>
            <w:shd w:val="clear" w:color="auto" w:fill="FFFFFF"/>
            <w:tcMar>
              <w:top w:w="40" w:type="dxa"/>
              <w:left w:w="20" w:type="dxa"/>
              <w:bottom w:w="40" w:type="dxa"/>
              <w:right w:w="20" w:type="dxa"/>
            </w:tcMar>
            <w:vAlign w:val="bottom"/>
          </w:tcPr>
          <w:p w14:paraId="74DDF6F1" w14:textId="77777777" w:rsidR="00584EC1" w:rsidRDefault="00871F8D">
            <w:pPr>
              <w:textAlignment w:val="bottom"/>
            </w:pPr>
            <w:r>
              <w:rPr>
                <w:rFonts w:ascii="Arial" w:eastAsia="宋体" w:hAnsi="Arial" w:cs="Arial"/>
                <w:color w:val="000000"/>
                <w:sz w:val="13"/>
                <w:szCs w:val="13"/>
              </w:rPr>
              <w:t>Net interest inc</w:t>
            </w:r>
            <w:r>
              <w:rPr>
                <w:rFonts w:ascii="Arial" w:eastAsia="宋体" w:hAnsi="Arial" w:cs="Arial"/>
                <w:color w:val="000000"/>
                <w:sz w:val="13"/>
                <w:szCs w:val="13"/>
              </w:rPr>
              <w:t>ome</w:t>
            </w:r>
          </w:p>
        </w:tc>
        <w:tc>
          <w:tcPr>
            <w:tcW w:w="0" w:type="auto"/>
            <w:gridSpan w:val="3"/>
            <w:shd w:val="clear" w:color="auto" w:fill="FFFFFF"/>
            <w:tcMar>
              <w:top w:w="0" w:type="dxa"/>
              <w:left w:w="20" w:type="dxa"/>
              <w:bottom w:w="0" w:type="dxa"/>
              <w:right w:w="20" w:type="dxa"/>
            </w:tcMar>
            <w:vAlign w:val="bottom"/>
          </w:tcPr>
          <w:p w14:paraId="74DDF6F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6F3" w14:textId="77777777" w:rsidR="00584EC1" w:rsidRDefault="00871F8D">
            <w:pPr>
              <w:jc w:val="right"/>
              <w:textAlignment w:val="bottom"/>
            </w:pPr>
            <w:r>
              <w:rPr>
                <w:rFonts w:ascii="Arial" w:eastAsia="宋体" w:hAnsi="Arial" w:cs="Arial"/>
                <w:b/>
                <w:bCs/>
                <w:color w:val="000000"/>
                <w:sz w:val="13"/>
                <w:szCs w:val="13"/>
              </w:rPr>
              <w:t>(7)</w:t>
            </w:r>
          </w:p>
        </w:tc>
        <w:tc>
          <w:tcPr>
            <w:tcW w:w="0" w:type="auto"/>
            <w:shd w:val="clear" w:color="auto" w:fill="FFFFFF"/>
            <w:tcMar>
              <w:top w:w="40" w:type="dxa"/>
              <w:left w:w="0" w:type="dxa"/>
              <w:bottom w:w="40" w:type="dxa"/>
              <w:right w:w="20" w:type="dxa"/>
            </w:tcMar>
            <w:vAlign w:val="bottom"/>
          </w:tcPr>
          <w:p w14:paraId="74DDF6F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6F5"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6F6" w14:textId="77777777" w:rsidR="00584EC1" w:rsidRDefault="00871F8D">
            <w:pPr>
              <w:jc w:val="right"/>
              <w:textAlignment w:val="bottom"/>
            </w:pPr>
            <w:r>
              <w:rPr>
                <w:rFonts w:ascii="Arial" w:eastAsia="宋体" w:hAnsi="Arial" w:cs="Arial"/>
                <w:color w:val="000000"/>
                <w:sz w:val="13"/>
                <w:szCs w:val="13"/>
              </w:rPr>
              <w:t>(19)</w:t>
            </w:r>
          </w:p>
        </w:tc>
        <w:tc>
          <w:tcPr>
            <w:tcW w:w="0" w:type="auto"/>
            <w:shd w:val="clear" w:color="auto" w:fill="FFFFFF"/>
            <w:tcMar>
              <w:top w:w="40" w:type="dxa"/>
              <w:left w:w="0" w:type="dxa"/>
              <w:bottom w:w="40" w:type="dxa"/>
              <w:right w:w="20" w:type="dxa"/>
            </w:tcMar>
            <w:vAlign w:val="bottom"/>
          </w:tcPr>
          <w:p w14:paraId="74DDF6F7" w14:textId="77777777" w:rsidR="00584EC1" w:rsidRDefault="00584EC1">
            <w:pPr>
              <w:jc w:val="right"/>
              <w:rPr>
                <w:rFonts w:ascii="宋体"/>
              </w:rPr>
            </w:pPr>
          </w:p>
        </w:tc>
        <w:tc>
          <w:tcPr>
            <w:tcW w:w="0" w:type="auto"/>
            <w:shd w:val="clear" w:color="auto" w:fill="auto"/>
            <w:vAlign w:val="bottom"/>
          </w:tcPr>
          <w:p w14:paraId="74DDF6F8" w14:textId="77777777" w:rsidR="00584EC1" w:rsidRDefault="00584EC1">
            <w:pPr>
              <w:rPr>
                <w:rFonts w:ascii="宋体"/>
                <w:vanish/>
              </w:rPr>
            </w:pPr>
          </w:p>
        </w:tc>
        <w:tc>
          <w:tcPr>
            <w:tcW w:w="0" w:type="auto"/>
            <w:shd w:val="clear" w:color="auto" w:fill="auto"/>
            <w:vAlign w:val="bottom"/>
          </w:tcPr>
          <w:p w14:paraId="74DDF6F9" w14:textId="77777777" w:rsidR="00584EC1" w:rsidRDefault="00584EC1">
            <w:pPr>
              <w:rPr>
                <w:rFonts w:ascii="宋体"/>
                <w:vanish/>
              </w:rPr>
            </w:pPr>
          </w:p>
        </w:tc>
        <w:tc>
          <w:tcPr>
            <w:tcW w:w="0" w:type="auto"/>
            <w:gridSpan w:val="3"/>
            <w:shd w:val="clear" w:color="auto" w:fill="FFFFFF"/>
            <w:tcMar>
              <w:top w:w="0" w:type="dxa"/>
              <w:left w:w="20" w:type="dxa"/>
              <w:bottom w:w="0" w:type="dxa"/>
              <w:right w:w="20" w:type="dxa"/>
            </w:tcMar>
            <w:vAlign w:val="bottom"/>
          </w:tcPr>
          <w:p w14:paraId="74DDF6FA" w14:textId="77777777" w:rsidR="00584EC1" w:rsidRDefault="00584EC1">
            <w:pPr>
              <w:rPr>
                <w:rFonts w:ascii="宋体"/>
              </w:rPr>
            </w:pPr>
          </w:p>
        </w:tc>
        <w:tc>
          <w:tcPr>
            <w:tcW w:w="0" w:type="auto"/>
            <w:gridSpan w:val="3"/>
            <w:shd w:val="clear" w:color="auto" w:fill="FFFFFF"/>
            <w:tcMar>
              <w:top w:w="40" w:type="dxa"/>
              <w:left w:w="20" w:type="dxa"/>
              <w:bottom w:w="40" w:type="dxa"/>
              <w:right w:w="20" w:type="dxa"/>
            </w:tcMar>
            <w:vAlign w:val="bottom"/>
          </w:tcPr>
          <w:p w14:paraId="74DDF6FB" w14:textId="77777777" w:rsidR="00584EC1" w:rsidRDefault="00871F8D">
            <w:pPr>
              <w:textAlignment w:val="bottom"/>
            </w:pPr>
            <w:r>
              <w:rPr>
                <w:rFonts w:ascii="Arial" w:eastAsia="宋体" w:hAnsi="Arial" w:cs="Arial"/>
                <w:color w:val="000000"/>
                <w:sz w:val="13"/>
                <w:szCs w:val="13"/>
              </w:rPr>
              <w:t>Long-term debt</w:t>
            </w:r>
          </w:p>
        </w:tc>
        <w:tc>
          <w:tcPr>
            <w:tcW w:w="0" w:type="auto"/>
            <w:gridSpan w:val="3"/>
            <w:shd w:val="clear" w:color="auto" w:fill="FFFFFF"/>
            <w:tcMar>
              <w:top w:w="0" w:type="dxa"/>
              <w:left w:w="20" w:type="dxa"/>
              <w:bottom w:w="0" w:type="dxa"/>
              <w:right w:w="20" w:type="dxa"/>
            </w:tcMar>
            <w:vAlign w:val="bottom"/>
          </w:tcPr>
          <w:p w14:paraId="74DDF6FC" w14:textId="77777777" w:rsidR="00584EC1" w:rsidRDefault="00584EC1">
            <w:pPr>
              <w:rPr>
                <w:rFonts w:ascii="宋体"/>
              </w:rPr>
            </w:pPr>
          </w:p>
        </w:tc>
        <w:tc>
          <w:tcPr>
            <w:tcW w:w="0" w:type="auto"/>
            <w:gridSpan w:val="3"/>
            <w:shd w:val="clear" w:color="auto" w:fill="FFFFFF"/>
            <w:tcMar>
              <w:top w:w="40" w:type="dxa"/>
              <w:left w:w="20" w:type="dxa"/>
              <w:bottom w:w="40" w:type="dxa"/>
              <w:right w:w="20" w:type="dxa"/>
            </w:tcMar>
            <w:vAlign w:val="bottom"/>
          </w:tcPr>
          <w:p w14:paraId="74DDF6FD" w14:textId="77777777" w:rsidR="00584EC1" w:rsidRDefault="00871F8D">
            <w:pPr>
              <w:textAlignment w:val="bottom"/>
            </w:pPr>
            <w:r>
              <w:rPr>
                <w:rFonts w:ascii="Arial" w:eastAsia="宋体" w:hAnsi="Arial" w:cs="Arial"/>
                <w:color w:val="000000"/>
                <w:sz w:val="13"/>
                <w:szCs w:val="13"/>
              </w:rPr>
              <w:t>Net interest income</w:t>
            </w:r>
          </w:p>
        </w:tc>
        <w:tc>
          <w:tcPr>
            <w:tcW w:w="0" w:type="auto"/>
            <w:gridSpan w:val="3"/>
            <w:shd w:val="clear" w:color="auto" w:fill="FFFFFF"/>
            <w:tcMar>
              <w:top w:w="0" w:type="dxa"/>
              <w:left w:w="20" w:type="dxa"/>
              <w:bottom w:w="0" w:type="dxa"/>
              <w:right w:w="20" w:type="dxa"/>
            </w:tcMar>
            <w:vAlign w:val="bottom"/>
          </w:tcPr>
          <w:p w14:paraId="74DDF6F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6FF" w14:textId="77777777" w:rsidR="00584EC1" w:rsidRDefault="00871F8D">
            <w:pPr>
              <w:jc w:val="right"/>
              <w:textAlignment w:val="bottom"/>
            </w:pPr>
            <w:r>
              <w:rPr>
                <w:rFonts w:ascii="Arial" w:eastAsia="宋体" w:hAnsi="Arial" w:cs="Arial"/>
                <w:b/>
                <w:bCs/>
                <w:color w:val="000000"/>
                <w:sz w:val="13"/>
                <w:szCs w:val="13"/>
              </w:rPr>
              <w:t>8</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F70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70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702" w14:textId="77777777" w:rsidR="00584EC1" w:rsidRDefault="00871F8D">
            <w:pPr>
              <w:jc w:val="right"/>
              <w:textAlignment w:val="bottom"/>
            </w:pPr>
            <w:r>
              <w:rPr>
                <w:rFonts w:ascii="Arial" w:eastAsia="宋体" w:hAnsi="Arial" w:cs="Arial"/>
                <w:color w:val="000000"/>
                <w:sz w:val="13"/>
                <w:szCs w:val="13"/>
              </w:rPr>
              <w:t>17 </w:t>
            </w:r>
          </w:p>
        </w:tc>
        <w:tc>
          <w:tcPr>
            <w:tcW w:w="0" w:type="auto"/>
            <w:shd w:val="clear" w:color="auto" w:fill="FFFFFF"/>
            <w:tcMar>
              <w:top w:w="40" w:type="dxa"/>
              <w:left w:w="0" w:type="dxa"/>
              <w:bottom w:w="40" w:type="dxa"/>
              <w:right w:w="20" w:type="dxa"/>
            </w:tcMar>
            <w:vAlign w:val="bottom"/>
          </w:tcPr>
          <w:p w14:paraId="74DDF703" w14:textId="77777777" w:rsidR="00584EC1" w:rsidRDefault="00584EC1">
            <w:pPr>
              <w:jc w:val="right"/>
              <w:rPr>
                <w:rFonts w:ascii="宋体"/>
              </w:rPr>
            </w:pPr>
          </w:p>
        </w:tc>
        <w:tc>
          <w:tcPr>
            <w:tcW w:w="0" w:type="auto"/>
            <w:gridSpan w:val="3"/>
            <w:shd w:val="clear" w:color="auto" w:fill="auto"/>
            <w:vAlign w:val="bottom"/>
          </w:tcPr>
          <w:p w14:paraId="74DDF704" w14:textId="77777777" w:rsidR="00584EC1" w:rsidRDefault="00584EC1">
            <w:pPr>
              <w:rPr>
                <w:rFonts w:ascii="宋体"/>
                <w:vanish/>
              </w:rPr>
            </w:pPr>
          </w:p>
        </w:tc>
        <w:tc>
          <w:tcPr>
            <w:tcW w:w="0" w:type="auto"/>
            <w:gridSpan w:val="3"/>
            <w:shd w:val="clear" w:color="auto" w:fill="auto"/>
            <w:vAlign w:val="bottom"/>
          </w:tcPr>
          <w:p w14:paraId="74DDF705" w14:textId="77777777" w:rsidR="00584EC1" w:rsidRDefault="00584EC1">
            <w:pPr>
              <w:rPr>
                <w:rFonts w:ascii="宋体"/>
                <w:vanish/>
              </w:rPr>
            </w:pPr>
          </w:p>
        </w:tc>
      </w:tr>
      <w:tr w:rsidR="00584EC1" w14:paraId="74DDF719" w14:textId="77777777">
        <w:trPr>
          <w:hidden/>
        </w:trPr>
        <w:tc>
          <w:tcPr>
            <w:tcW w:w="0" w:type="auto"/>
            <w:gridSpan w:val="3"/>
            <w:shd w:val="clear" w:color="auto" w:fill="auto"/>
            <w:vAlign w:val="bottom"/>
          </w:tcPr>
          <w:p w14:paraId="74DDF707" w14:textId="77777777" w:rsidR="00584EC1" w:rsidRDefault="00584EC1">
            <w:pPr>
              <w:rPr>
                <w:rFonts w:ascii="宋体"/>
                <w:vanish/>
              </w:rPr>
            </w:pPr>
          </w:p>
        </w:tc>
        <w:tc>
          <w:tcPr>
            <w:tcW w:w="0" w:type="auto"/>
            <w:gridSpan w:val="3"/>
            <w:shd w:val="clear" w:color="auto" w:fill="auto"/>
            <w:vAlign w:val="bottom"/>
          </w:tcPr>
          <w:p w14:paraId="74DDF708" w14:textId="77777777" w:rsidR="00584EC1" w:rsidRDefault="00584EC1">
            <w:pPr>
              <w:rPr>
                <w:rFonts w:ascii="宋体"/>
                <w:vanish/>
              </w:rPr>
            </w:pPr>
          </w:p>
        </w:tc>
        <w:tc>
          <w:tcPr>
            <w:tcW w:w="0" w:type="auto"/>
            <w:gridSpan w:val="3"/>
            <w:shd w:val="clear" w:color="auto" w:fill="auto"/>
            <w:vAlign w:val="bottom"/>
          </w:tcPr>
          <w:p w14:paraId="74DDF709" w14:textId="77777777" w:rsidR="00584EC1" w:rsidRDefault="00584EC1">
            <w:pPr>
              <w:rPr>
                <w:rFonts w:ascii="宋体"/>
                <w:vanish/>
              </w:rPr>
            </w:pPr>
          </w:p>
        </w:tc>
        <w:tc>
          <w:tcPr>
            <w:tcW w:w="0" w:type="auto"/>
            <w:gridSpan w:val="3"/>
            <w:shd w:val="clear" w:color="auto" w:fill="auto"/>
            <w:vAlign w:val="bottom"/>
          </w:tcPr>
          <w:p w14:paraId="74DDF70A" w14:textId="77777777" w:rsidR="00584EC1" w:rsidRDefault="00584EC1">
            <w:pPr>
              <w:rPr>
                <w:rFonts w:ascii="宋体"/>
                <w:vanish/>
              </w:rPr>
            </w:pPr>
          </w:p>
        </w:tc>
        <w:tc>
          <w:tcPr>
            <w:tcW w:w="0" w:type="auto"/>
            <w:gridSpan w:val="3"/>
            <w:shd w:val="clear" w:color="auto" w:fill="auto"/>
            <w:vAlign w:val="bottom"/>
          </w:tcPr>
          <w:p w14:paraId="74DDF70B" w14:textId="77777777" w:rsidR="00584EC1" w:rsidRDefault="00584EC1">
            <w:pPr>
              <w:rPr>
                <w:rFonts w:ascii="宋体"/>
                <w:vanish/>
              </w:rPr>
            </w:pPr>
          </w:p>
        </w:tc>
        <w:tc>
          <w:tcPr>
            <w:tcW w:w="0" w:type="auto"/>
            <w:gridSpan w:val="3"/>
            <w:shd w:val="clear" w:color="auto" w:fill="auto"/>
            <w:vAlign w:val="bottom"/>
          </w:tcPr>
          <w:p w14:paraId="74DDF70C" w14:textId="77777777" w:rsidR="00584EC1" w:rsidRDefault="00584EC1">
            <w:pPr>
              <w:rPr>
                <w:rFonts w:ascii="宋体"/>
                <w:vanish/>
              </w:rPr>
            </w:pPr>
          </w:p>
        </w:tc>
        <w:tc>
          <w:tcPr>
            <w:tcW w:w="0" w:type="auto"/>
            <w:shd w:val="clear" w:color="auto" w:fill="auto"/>
            <w:vAlign w:val="bottom"/>
          </w:tcPr>
          <w:p w14:paraId="74DDF70D" w14:textId="77777777" w:rsidR="00584EC1" w:rsidRDefault="00584EC1">
            <w:pPr>
              <w:rPr>
                <w:rFonts w:ascii="宋体"/>
                <w:vanish/>
              </w:rPr>
            </w:pPr>
          </w:p>
        </w:tc>
        <w:tc>
          <w:tcPr>
            <w:tcW w:w="0" w:type="auto"/>
            <w:shd w:val="clear" w:color="auto" w:fill="auto"/>
            <w:vAlign w:val="bottom"/>
          </w:tcPr>
          <w:p w14:paraId="74DDF70E" w14:textId="77777777" w:rsidR="00584EC1" w:rsidRDefault="00584EC1">
            <w:pPr>
              <w:rPr>
                <w:rFonts w:ascii="宋体"/>
                <w:vanish/>
              </w:rPr>
            </w:pPr>
          </w:p>
        </w:tc>
        <w:tc>
          <w:tcPr>
            <w:tcW w:w="0" w:type="auto"/>
            <w:gridSpan w:val="3"/>
            <w:shd w:val="clear" w:color="auto" w:fill="auto"/>
            <w:vAlign w:val="bottom"/>
          </w:tcPr>
          <w:p w14:paraId="74DDF70F" w14:textId="77777777" w:rsidR="00584EC1" w:rsidRDefault="00584EC1">
            <w:pPr>
              <w:rPr>
                <w:rFonts w:ascii="宋体"/>
                <w:vanish/>
              </w:rPr>
            </w:pPr>
          </w:p>
        </w:tc>
        <w:tc>
          <w:tcPr>
            <w:tcW w:w="0" w:type="auto"/>
            <w:gridSpan w:val="3"/>
            <w:shd w:val="clear" w:color="auto" w:fill="auto"/>
            <w:vAlign w:val="bottom"/>
          </w:tcPr>
          <w:p w14:paraId="74DDF710" w14:textId="77777777" w:rsidR="00584EC1" w:rsidRDefault="00584EC1">
            <w:pPr>
              <w:rPr>
                <w:rFonts w:ascii="宋体"/>
                <w:vanish/>
              </w:rPr>
            </w:pPr>
          </w:p>
        </w:tc>
        <w:tc>
          <w:tcPr>
            <w:tcW w:w="0" w:type="auto"/>
            <w:gridSpan w:val="3"/>
            <w:shd w:val="clear" w:color="auto" w:fill="auto"/>
            <w:vAlign w:val="bottom"/>
          </w:tcPr>
          <w:p w14:paraId="74DDF711" w14:textId="77777777" w:rsidR="00584EC1" w:rsidRDefault="00584EC1">
            <w:pPr>
              <w:rPr>
                <w:rFonts w:ascii="宋体"/>
                <w:vanish/>
              </w:rPr>
            </w:pPr>
          </w:p>
        </w:tc>
        <w:tc>
          <w:tcPr>
            <w:tcW w:w="0" w:type="auto"/>
            <w:gridSpan w:val="3"/>
            <w:shd w:val="clear" w:color="auto" w:fill="auto"/>
            <w:vAlign w:val="bottom"/>
          </w:tcPr>
          <w:p w14:paraId="74DDF712" w14:textId="77777777" w:rsidR="00584EC1" w:rsidRDefault="00584EC1">
            <w:pPr>
              <w:rPr>
                <w:rFonts w:ascii="宋体"/>
                <w:vanish/>
              </w:rPr>
            </w:pPr>
          </w:p>
        </w:tc>
        <w:tc>
          <w:tcPr>
            <w:tcW w:w="0" w:type="auto"/>
            <w:gridSpan w:val="3"/>
            <w:shd w:val="clear" w:color="auto" w:fill="auto"/>
            <w:vAlign w:val="bottom"/>
          </w:tcPr>
          <w:p w14:paraId="74DDF713" w14:textId="77777777" w:rsidR="00584EC1" w:rsidRDefault="00584EC1">
            <w:pPr>
              <w:rPr>
                <w:rFonts w:ascii="宋体"/>
                <w:vanish/>
              </w:rPr>
            </w:pPr>
          </w:p>
        </w:tc>
        <w:tc>
          <w:tcPr>
            <w:tcW w:w="0" w:type="auto"/>
            <w:gridSpan w:val="3"/>
            <w:shd w:val="clear" w:color="auto" w:fill="auto"/>
            <w:vAlign w:val="bottom"/>
          </w:tcPr>
          <w:p w14:paraId="74DDF714" w14:textId="77777777" w:rsidR="00584EC1" w:rsidRDefault="00584EC1">
            <w:pPr>
              <w:rPr>
                <w:rFonts w:ascii="宋体"/>
                <w:vanish/>
              </w:rPr>
            </w:pPr>
          </w:p>
        </w:tc>
        <w:tc>
          <w:tcPr>
            <w:tcW w:w="0" w:type="auto"/>
            <w:gridSpan w:val="3"/>
            <w:shd w:val="clear" w:color="auto" w:fill="auto"/>
            <w:vAlign w:val="bottom"/>
          </w:tcPr>
          <w:p w14:paraId="74DDF715" w14:textId="77777777" w:rsidR="00584EC1" w:rsidRDefault="00584EC1">
            <w:pPr>
              <w:rPr>
                <w:rFonts w:ascii="宋体"/>
                <w:vanish/>
              </w:rPr>
            </w:pPr>
          </w:p>
        </w:tc>
        <w:tc>
          <w:tcPr>
            <w:tcW w:w="0" w:type="auto"/>
            <w:gridSpan w:val="3"/>
            <w:shd w:val="clear" w:color="auto" w:fill="auto"/>
            <w:vAlign w:val="bottom"/>
          </w:tcPr>
          <w:p w14:paraId="74DDF716" w14:textId="77777777" w:rsidR="00584EC1" w:rsidRDefault="00584EC1">
            <w:pPr>
              <w:rPr>
                <w:rFonts w:ascii="宋体"/>
                <w:vanish/>
              </w:rPr>
            </w:pPr>
          </w:p>
        </w:tc>
        <w:tc>
          <w:tcPr>
            <w:tcW w:w="0" w:type="auto"/>
            <w:gridSpan w:val="3"/>
            <w:shd w:val="clear" w:color="auto" w:fill="auto"/>
            <w:vAlign w:val="bottom"/>
          </w:tcPr>
          <w:p w14:paraId="74DDF717" w14:textId="77777777" w:rsidR="00584EC1" w:rsidRDefault="00584EC1">
            <w:pPr>
              <w:rPr>
                <w:rFonts w:ascii="宋体"/>
                <w:vanish/>
              </w:rPr>
            </w:pPr>
          </w:p>
        </w:tc>
        <w:tc>
          <w:tcPr>
            <w:tcW w:w="0" w:type="auto"/>
            <w:gridSpan w:val="3"/>
            <w:shd w:val="clear" w:color="auto" w:fill="auto"/>
            <w:vAlign w:val="bottom"/>
          </w:tcPr>
          <w:p w14:paraId="74DDF718" w14:textId="77777777" w:rsidR="00584EC1" w:rsidRDefault="00584EC1">
            <w:pPr>
              <w:rPr>
                <w:rFonts w:ascii="宋体"/>
                <w:vanish/>
              </w:rPr>
            </w:pPr>
          </w:p>
        </w:tc>
      </w:tr>
      <w:tr w:rsidR="00584EC1" w14:paraId="74DDF72C" w14:textId="77777777">
        <w:trPr>
          <w:hidden/>
        </w:trPr>
        <w:tc>
          <w:tcPr>
            <w:tcW w:w="0" w:type="auto"/>
            <w:gridSpan w:val="3"/>
            <w:shd w:val="clear" w:color="auto" w:fill="auto"/>
            <w:vAlign w:val="bottom"/>
          </w:tcPr>
          <w:p w14:paraId="74DDF71A" w14:textId="77777777" w:rsidR="00584EC1" w:rsidRDefault="00584EC1">
            <w:pPr>
              <w:rPr>
                <w:rFonts w:ascii="宋体"/>
                <w:vanish/>
              </w:rPr>
            </w:pPr>
          </w:p>
        </w:tc>
        <w:tc>
          <w:tcPr>
            <w:tcW w:w="0" w:type="auto"/>
            <w:gridSpan w:val="3"/>
            <w:shd w:val="clear" w:color="auto" w:fill="auto"/>
            <w:vAlign w:val="bottom"/>
          </w:tcPr>
          <w:p w14:paraId="74DDF71B" w14:textId="77777777" w:rsidR="00584EC1" w:rsidRDefault="00584EC1">
            <w:pPr>
              <w:rPr>
                <w:rFonts w:ascii="宋体"/>
                <w:vanish/>
              </w:rPr>
            </w:pPr>
          </w:p>
        </w:tc>
        <w:tc>
          <w:tcPr>
            <w:tcW w:w="0" w:type="auto"/>
            <w:gridSpan w:val="3"/>
            <w:shd w:val="clear" w:color="auto" w:fill="auto"/>
            <w:vAlign w:val="bottom"/>
          </w:tcPr>
          <w:p w14:paraId="74DDF71C" w14:textId="77777777" w:rsidR="00584EC1" w:rsidRDefault="00584EC1">
            <w:pPr>
              <w:rPr>
                <w:rFonts w:ascii="宋体"/>
                <w:vanish/>
              </w:rPr>
            </w:pPr>
          </w:p>
        </w:tc>
        <w:tc>
          <w:tcPr>
            <w:tcW w:w="0" w:type="auto"/>
            <w:gridSpan w:val="3"/>
            <w:shd w:val="clear" w:color="auto" w:fill="auto"/>
            <w:vAlign w:val="bottom"/>
          </w:tcPr>
          <w:p w14:paraId="74DDF71D" w14:textId="77777777" w:rsidR="00584EC1" w:rsidRDefault="00584EC1">
            <w:pPr>
              <w:rPr>
                <w:rFonts w:ascii="宋体"/>
                <w:vanish/>
              </w:rPr>
            </w:pPr>
          </w:p>
        </w:tc>
        <w:tc>
          <w:tcPr>
            <w:tcW w:w="0" w:type="auto"/>
            <w:gridSpan w:val="3"/>
            <w:shd w:val="clear" w:color="auto" w:fill="auto"/>
            <w:vAlign w:val="bottom"/>
          </w:tcPr>
          <w:p w14:paraId="74DDF71E" w14:textId="77777777" w:rsidR="00584EC1" w:rsidRDefault="00584EC1">
            <w:pPr>
              <w:rPr>
                <w:rFonts w:ascii="宋体"/>
                <w:vanish/>
              </w:rPr>
            </w:pPr>
          </w:p>
        </w:tc>
        <w:tc>
          <w:tcPr>
            <w:tcW w:w="0" w:type="auto"/>
            <w:gridSpan w:val="3"/>
            <w:shd w:val="clear" w:color="auto" w:fill="auto"/>
            <w:vAlign w:val="bottom"/>
          </w:tcPr>
          <w:p w14:paraId="74DDF71F" w14:textId="77777777" w:rsidR="00584EC1" w:rsidRDefault="00584EC1">
            <w:pPr>
              <w:rPr>
                <w:rFonts w:ascii="宋体"/>
                <w:vanish/>
              </w:rPr>
            </w:pPr>
          </w:p>
        </w:tc>
        <w:tc>
          <w:tcPr>
            <w:tcW w:w="0" w:type="auto"/>
            <w:shd w:val="clear" w:color="auto" w:fill="auto"/>
            <w:vAlign w:val="bottom"/>
          </w:tcPr>
          <w:p w14:paraId="74DDF720" w14:textId="77777777" w:rsidR="00584EC1" w:rsidRDefault="00584EC1">
            <w:pPr>
              <w:rPr>
                <w:rFonts w:ascii="宋体"/>
                <w:vanish/>
              </w:rPr>
            </w:pPr>
          </w:p>
        </w:tc>
        <w:tc>
          <w:tcPr>
            <w:tcW w:w="0" w:type="auto"/>
            <w:shd w:val="clear" w:color="auto" w:fill="auto"/>
            <w:vAlign w:val="bottom"/>
          </w:tcPr>
          <w:p w14:paraId="74DDF721" w14:textId="77777777" w:rsidR="00584EC1" w:rsidRDefault="00584EC1">
            <w:pPr>
              <w:rPr>
                <w:rFonts w:ascii="宋体"/>
                <w:vanish/>
              </w:rPr>
            </w:pPr>
          </w:p>
        </w:tc>
        <w:tc>
          <w:tcPr>
            <w:tcW w:w="0" w:type="auto"/>
            <w:gridSpan w:val="3"/>
            <w:shd w:val="clear" w:color="auto" w:fill="auto"/>
            <w:vAlign w:val="bottom"/>
          </w:tcPr>
          <w:p w14:paraId="74DDF722" w14:textId="77777777" w:rsidR="00584EC1" w:rsidRDefault="00584EC1">
            <w:pPr>
              <w:rPr>
                <w:rFonts w:ascii="宋体"/>
                <w:vanish/>
              </w:rPr>
            </w:pPr>
          </w:p>
        </w:tc>
        <w:tc>
          <w:tcPr>
            <w:tcW w:w="0" w:type="auto"/>
            <w:gridSpan w:val="3"/>
            <w:shd w:val="clear" w:color="auto" w:fill="auto"/>
            <w:vAlign w:val="bottom"/>
          </w:tcPr>
          <w:p w14:paraId="74DDF723" w14:textId="77777777" w:rsidR="00584EC1" w:rsidRDefault="00584EC1">
            <w:pPr>
              <w:rPr>
                <w:rFonts w:ascii="宋体"/>
                <w:vanish/>
              </w:rPr>
            </w:pPr>
          </w:p>
        </w:tc>
        <w:tc>
          <w:tcPr>
            <w:tcW w:w="0" w:type="auto"/>
            <w:gridSpan w:val="3"/>
            <w:shd w:val="clear" w:color="auto" w:fill="auto"/>
            <w:vAlign w:val="bottom"/>
          </w:tcPr>
          <w:p w14:paraId="74DDF724" w14:textId="77777777" w:rsidR="00584EC1" w:rsidRDefault="00584EC1">
            <w:pPr>
              <w:rPr>
                <w:rFonts w:ascii="宋体"/>
                <w:vanish/>
              </w:rPr>
            </w:pPr>
          </w:p>
        </w:tc>
        <w:tc>
          <w:tcPr>
            <w:tcW w:w="0" w:type="auto"/>
            <w:gridSpan w:val="3"/>
            <w:shd w:val="clear" w:color="auto" w:fill="auto"/>
            <w:vAlign w:val="bottom"/>
          </w:tcPr>
          <w:p w14:paraId="74DDF725" w14:textId="77777777" w:rsidR="00584EC1" w:rsidRDefault="00584EC1">
            <w:pPr>
              <w:rPr>
                <w:rFonts w:ascii="宋体"/>
                <w:vanish/>
              </w:rPr>
            </w:pPr>
          </w:p>
        </w:tc>
        <w:tc>
          <w:tcPr>
            <w:tcW w:w="0" w:type="auto"/>
            <w:gridSpan w:val="3"/>
            <w:shd w:val="clear" w:color="auto" w:fill="auto"/>
            <w:vAlign w:val="bottom"/>
          </w:tcPr>
          <w:p w14:paraId="74DDF726" w14:textId="77777777" w:rsidR="00584EC1" w:rsidRDefault="00584EC1">
            <w:pPr>
              <w:rPr>
                <w:rFonts w:ascii="宋体"/>
                <w:vanish/>
              </w:rPr>
            </w:pPr>
          </w:p>
        </w:tc>
        <w:tc>
          <w:tcPr>
            <w:tcW w:w="0" w:type="auto"/>
            <w:gridSpan w:val="3"/>
            <w:shd w:val="clear" w:color="auto" w:fill="auto"/>
            <w:vAlign w:val="bottom"/>
          </w:tcPr>
          <w:p w14:paraId="74DDF727" w14:textId="77777777" w:rsidR="00584EC1" w:rsidRDefault="00584EC1">
            <w:pPr>
              <w:rPr>
                <w:rFonts w:ascii="宋体"/>
                <w:vanish/>
              </w:rPr>
            </w:pPr>
          </w:p>
        </w:tc>
        <w:tc>
          <w:tcPr>
            <w:tcW w:w="0" w:type="auto"/>
            <w:gridSpan w:val="3"/>
            <w:shd w:val="clear" w:color="auto" w:fill="auto"/>
            <w:vAlign w:val="bottom"/>
          </w:tcPr>
          <w:p w14:paraId="74DDF728" w14:textId="77777777" w:rsidR="00584EC1" w:rsidRDefault="00584EC1">
            <w:pPr>
              <w:rPr>
                <w:rFonts w:ascii="宋体"/>
                <w:vanish/>
              </w:rPr>
            </w:pPr>
          </w:p>
        </w:tc>
        <w:tc>
          <w:tcPr>
            <w:tcW w:w="0" w:type="auto"/>
            <w:gridSpan w:val="3"/>
            <w:shd w:val="clear" w:color="auto" w:fill="auto"/>
            <w:vAlign w:val="bottom"/>
          </w:tcPr>
          <w:p w14:paraId="74DDF729" w14:textId="77777777" w:rsidR="00584EC1" w:rsidRDefault="00584EC1">
            <w:pPr>
              <w:rPr>
                <w:rFonts w:ascii="宋体"/>
                <w:vanish/>
              </w:rPr>
            </w:pPr>
          </w:p>
        </w:tc>
        <w:tc>
          <w:tcPr>
            <w:tcW w:w="0" w:type="auto"/>
            <w:gridSpan w:val="3"/>
            <w:shd w:val="clear" w:color="auto" w:fill="auto"/>
            <w:vAlign w:val="bottom"/>
          </w:tcPr>
          <w:p w14:paraId="74DDF72A" w14:textId="77777777" w:rsidR="00584EC1" w:rsidRDefault="00584EC1">
            <w:pPr>
              <w:rPr>
                <w:rFonts w:ascii="宋体"/>
                <w:vanish/>
              </w:rPr>
            </w:pPr>
          </w:p>
        </w:tc>
        <w:tc>
          <w:tcPr>
            <w:tcW w:w="0" w:type="auto"/>
            <w:gridSpan w:val="3"/>
            <w:shd w:val="clear" w:color="auto" w:fill="auto"/>
            <w:vAlign w:val="bottom"/>
          </w:tcPr>
          <w:p w14:paraId="74DDF72B" w14:textId="77777777" w:rsidR="00584EC1" w:rsidRDefault="00584EC1">
            <w:pPr>
              <w:rPr>
                <w:rFonts w:ascii="宋体"/>
                <w:vanish/>
              </w:rPr>
            </w:pPr>
          </w:p>
        </w:tc>
      </w:tr>
      <w:tr w:rsidR="00584EC1" w14:paraId="74DDF747" w14:textId="77777777">
        <w:tc>
          <w:tcPr>
            <w:tcW w:w="0" w:type="auto"/>
            <w:gridSpan w:val="3"/>
            <w:shd w:val="clear" w:color="auto" w:fill="CCEEFF"/>
            <w:tcMar>
              <w:top w:w="40" w:type="dxa"/>
              <w:left w:w="20" w:type="dxa"/>
              <w:bottom w:w="40" w:type="dxa"/>
              <w:right w:w="20" w:type="dxa"/>
            </w:tcMar>
            <w:vAlign w:val="bottom"/>
          </w:tcPr>
          <w:p w14:paraId="74DDF72D" w14:textId="77777777" w:rsidR="00584EC1" w:rsidRDefault="00871F8D">
            <w:pPr>
              <w:textAlignment w:val="bottom"/>
            </w:pPr>
            <w:r>
              <w:rPr>
                <w:rFonts w:ascii="Arial" w:eastAsia="宋体" w:hAnsi="Arial" w:cs="Arial"/>
                <w:color w:val="000000"/>
                <w:sz w:val="13"/>
                <w:szCs w:val="13"/>
              </w:rPr>
              <w:t>Total</w:t>
            </w:r>
          </w:p>
        </w:tc>
        <w:tc>
          <w:tcPr>
            <w:tcW w:w="0" w:type="auto"/>
            <w:gridSpan w:val="3"/>
            <w:shd w:val="clear" w:color="auto" w:fill="CCEEFF"/>
            <w:tcMar>
              <w:top w:w="0" w:type="dxa"/>
              <w:left w:w="20" w:type="dxa"/>
              <w:bottom w:w="0" w:type="dxa"/>
              <w:right w:w="20" w:type="dxa"/>
            </w:tcMar>
            <w:vAlign w:val="bottom"/>
          </w:tcPr>
          <w:p w14:paraId="74DDF72E"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F72F"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F730" w14:textId="77777777" w:rsidR="00584EC1" w:rsidRDefault="00871F8D">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F731" w14:textId="77777777" w:rsidR="00584EC1" w:rsidRDefault="00871F8D">
            <w:pPr>
              <w:jc w:val="right"/>
              <w:textAlignment w:val="bottom"/>
            </w:pPr>
            <w:r>
              <w:rPr>
                <w:rFonts w:ascii="Arial" w:eastAsia="宋体" w:hAnsi="Arial" w:cs="Arial"/>
                <w:b/>
                <w:bCs/>
                <w:color w:val="000000"/>
                <w:sz w:val="13"/>
                <w:szCs w:val="13"/>
              </w:rPr>
              <w:t>8</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F73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733"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F734" w14:textId="77777777" w:rsidR="00584EC1" w:rsidRDefault="00871F8D">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F735" w14:textId="77777777" w:rsidR="00584EC1" w:rsidRDefault="00871F8D">
            <w:pPr>
              <w:jc w:val="right"/>
              <w:textAlignment w:val="bottom"/>
            </w:pPr>
            <w:r>
              <w:rPr>
                <w:rFonts w:ascii="Arial" w:eastAsia="宋体" w:hAnsi="Arial" w:cs="Arial"/>
                <w:color w:val="000000"/>
                <w:sz w:val="13"/>
                <w:szCs w:val="13"/>
              </w:rPr>
              <w:t>(14)</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F736" w14:textId="77777777" w:rsidR="00584EC1" w:rsidRDefault="00584EC1">
            <w:pPr>
              <w:jc w:val="right"/>
              <w:rPr>
                <w:rFonts w:ascii="宋体"/>
              </w:rPr>
            </w:pPr>
          </w:p>
        </w:tc>
        <w:tc>
          <w:tcPr>
            <w:tcW w:w="0" w:type="auto"/>
            <w:shd w:val="clear" w:color="auto" w:fill="auto"/>
            <w:vAlign w:val="bottom"/>
          </w:tcPr>
          <w:p w14:paraId="74DDF737" w14:textId="77777777" w:rsidR="00584EC1" w:rsidRDefault="00584EC1">
            <w:pPr>
              <w:rPr>
                <w:rFonts w:ascii="宋体"/>
                <w:vanish/>
              </w:rPr>
            </w:pPr>
          </w:p>
        </w:tc>
        <w:tc>
          <w:tcPr>
            <w:tcW w:w="0" w:type="auto"/>
            <w:shd w:val="clear" w:color="auto" w:fill="auto"/>
            <w:vAlign w:val="bottom"/>
          </w:tcPr>
          <w:p w14:paraId="74DDF738" w14:textId="77777777" w:rsidR="00584EC1" w:rsidRDefault="00584EC1">
            <w:pPr>
              <w:rPr>
                <w:rFonts w:ascii="宋体"/>
                <w:vanish/>
              </w:rPr>
            </w:pPr>
          </w:p>
        </w:tc>
        <w:tc>
          <w:tcPr>
            <w:tcW w:w="0" w:type="auto"/>
            <w:gridSpan w:val="3"/>
            <w:shd w:val="clear" w:color="auto" w:fill="CCEEFF"/>
            <w:tcMar>
              <w:top w:w="0" w:type="dxa"/>
              <w:left w:w="20" w:type="dxa"/>
              <w:bottom w:w="0" w:type="dxa"/>
              <w:right w:w="20" w:type="dxa"/>
            </w:tcMar>
            <w:vAlign w:val="bottom"/>
          </w:tcPr>
          <w:p w14:paraId="74DDF739"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F73A"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F73B"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F73C"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F73D"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F73E" w14:textId="77777777" w:rsidR="00584EC1" w:rsidRDefault="00871F8D">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F73F" w14:textId="77777777" w:rsidR="00584EC1" w:rsidRDefault="00871F8D">
            <w:pPr>
              <w:jc w:val="right"/>
              <w:textAlignment w:val="bottom"/>
            </w:pPr>
            <w:r>
              <w:rPr>
                <w:rFonts w:ascii="Arial" w:eastAsia="宋体" w:hAnsi="Arial" w:cs="Arial"/>
                <w:b/>
                <w:bCs/>
                <w:color w:val="000000"/>
                <w:sz w:val="13"/>
                <w:szCs w:val="13"/>
              </w:rPr>
              <w:t>(9)</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F74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741"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F742" w14:textId="77777777" w:rsidR="00584EC1" w:rsidRDefault="00871F8D">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F743" w14:textId="77777777" w:rsidR="00584EC1" w:rsidRDefault="00871F8D">
            <w:pPr>
              <w:jc w:val="right"/>
              <w:textAlignment w:val="bottom"/>
            </w:pPr>
            <w:r>
              <w:rPr>
                <w:rFonts w:ascii="Arial" w:eastAsia="宋体" w:hAnsi="Arial" w:cs="Arial"/>
                <w:color w:val="000000"/>
                <w:sz w:val="13"/>
                <w:szCs w:val="13"/>
              </w:rPr>
              <w:t>11 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F744" w14:textId="77777777" w:rsidR="00584EC1" w:rsidRDefault="00584EC1">
            <w:pPr>
              <w:jc w:val="right"/>
              <w:rPr>
                <w:rFonts w:ascii="宋体"/>
              </w:rPr>
            </w:pPr>
          </w:p>
        </w:tc>
        <w:tc>
          <w:tcPr>
            <w:tcW w:w="0" w:type="auto"/>
            <w:gridSpan w:val="3"/>
            <w:shd w:val="clear" w:color="auto" w:fill="auto"/>
            <w:vAlign w:val="bottom"/>
          </w:tcPr>
          <w:p w14:paraId="74DDF745" w14:textId="77777777" w:rsidR="00584EC1" w:rsidRDefault="00584EC1">
            <w:pPr>
              <w:rPr>
                <w:rFonts w:ascii="宋体"/>
                <w:vanish/>
              </w:rPr>
            </w:pPr>
          </w:p>
        </w:tc>
        <w:tc>
          <w:tcPr>
            <w:tcW w:w="0" w:type="auto"/>
            <w:gridSpan w:val="3"/>
            <w:shd w:val="clear" w:color="auto" w:fill="auto"/>
            <w:vAlign w:val="bottom"/>
          </w:tcPr>
          <w:p w14:paraId="74DDF746" w14:textId="77777777" w:rsidR="00584EC1" w:rsidRDefault="00584EC1">
            <w:pPr>
              <w:rPr>
                <w:rFonts w:ascii="宋体"/>
                <w:vanish/>
              </w:rPr>
            </w:pPr>
          </w:p>
        </w:tc>
      </w:tr>
      <w:tr w:rsidR="00584EC1" w14:paraId="74DDF75A" w14:textId="77777777">
        <w:trPr>
          <w:trHeight w:val="100"/>
        </w:trPr>
        <w:tc>
          <w:tcPr>
            <w:tcW w:w="0" w:type="auto"/>
            <w:gridSpan w:val="3"/>
            <w:shd w:val="clear" w:color="auto" w:fill="auto"/>
            <w:tcMar>
              <w:top w:w="0" w:type="dxa"/>
              <w:left w:w="20" w:type="dxa"/>
              <w:bottom w:w="0" w:type="dxa"/>
              <w:right w:w="20" w:type="dxa"/>
            </w:tcMar>
            <w:vAlign w:val="bottom"/>
          </w:tcPr>
          <w:p w14:paraId="74DDF748"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749"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74A"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DF74B"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74C"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DF74D" w14:textId="77777777" w:rsidR="00584EC1" w:rsidRDefault="00584EC1">
            <w:pPr>
              <w:rPr>
                <w:rFonts w:ascii="宋体"/>
              </w:rPr>
            </w:pPr>
          </w:p>
        </w:tc>
        <w:tc>
          <w:tcPr>
            <w:tcW w:w="0" w:type="auto"/>
            <w:shd w:val="clear" w:color="auto" w:fill="auto"/>
            <w:vAlign w:val="bottom"/>
          </w:tcPr>
          <w:p w14:paraId="74DDF74E" w14:textId="77777777" w:rsidR="00584EC1" w:rsidRDefault="00584EC1">
            <w:pPr>
              <w:rPr>
                <w:rFonts w:ascii="宋体"/>
                <w:vanish/>
              </w:rPr>
            </w:pPr>
          </w:p>
        </w:tc>
        <w:tc>
          <w:tcPr>
            <w:tcW w:w="0" w:type="auto"/>
            <w:shd w:val="clear" w:color="auto" w:fill="auto"/>
            <w:vAlign w:val="bottom"/>
          </w:tcPr>
          <w:p w14:paraId="74DDF74F" w14:textId="77777777" w:rsidR="00584EC1" w:rsidRDefault="00584EC1">
            <w:pPr>
              <w:rPr>
                <w:rFonts w:ascii="宋体"/>
                <w:vanish/>
              </w:rPr>
            </w:pPr>
          </w:p>
        </w:tc>
        <w:tc>
          <w:tcPr>
            <w:tcW w:w="0" w:type="auto"/>
            <w:gridSpan w:val="3"/>
            <w:shd w:val="clear" w:color="auto" w:fill="auto"/>
            <w:tcMar>
              <w:top w:w="0" w:type="dxa"/>
              <w:left w:w="20" w:type="dxa"/>
              <w:bottom w:w="0" w:type="dxa"/>
              <w:right w:w="20" w:type="dxa"/>
            </w:tcMar>
            <w:vAlign w:val="bottom"/>
          </w:tcPr>
          <w:p w14:paraId="74DDF750"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75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75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753"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754"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DF75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756"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DF757" w14:textId="77777777" w:rsidR="00584EC1" w:rsidRDefault="00584EC1">
            <w:pPr>
              <w:rPr>
                <w:rFonts w:ascii="宋体"/>
              </w:rPr>
            </w:pPr>
          </w:p>
        </w:tc>
        <w:tc>
          <w:tcPr>
            <w:tcW w:w="0" w:type="auto"/>
            <w:gridSpan w:val="3"/>
            <w:shd w:val="clear" w:color="auto" w:fill="auto"/>
            <w:vAlign w:val="bottom"/>
          </w:tcPr>
          <w:p w14:paraId="74DDF758" w14:textId="77777777" w:rsidR="00584EC1" w:rsidRDefault="00584EC1">
            <w:pPr>
              <w:rPr>
                <w:rFonts w:ascii="宋体"/>
                <w:vanish/>
              </w:rPr>
            </w:pPr>
          </w:p>
        </w:tc>
        <w:tc>
          <w:tcPr>
            <w:tcW w:w="0" w:type="auto"/>
            <w:gridSpan w:val="3"/>
            <w:shd w:val="clear" w:color="auto" w:fill="auto"/>
            <w:vAlign w:val="bottom"/>
          </w:tcPr>
          <w:p w14:paraId="74DDF759" w14:textId="77777777" w:rsidR="00584EC1" w:rsidRDefault="00584EC1">
            <w:pPr>
              <w:rPr>
                <w:rFonts w:ascii="宋体"/>
                <w:vanish/>
              </w:rPr>
            </w:pPr>
          </w:p>
        </w:tc>
      </w:tr>
      <w:tr w:rsidR="00584EC1" w14:paraId="74DDF769" w14:textId="77777777">
        <w:tc>
          <w:tcPr>
            <w:tcW w:w="0" w:type="auto"/>
            <w:gridSpan w:val="3"/>
            <w:shd w:val="clear" w:color="auto" w:fill="auto"/>
            <w:tcMar>
              <w:top w:w="0" w:type="dxa"/>
              <w:left w:w="20" w:type="dxa"/>
              <w:bottom w:w="0" w:type="dxa"/>
              <w:right w:w="20" w:type="dxa"/>
            </w:tcMar>
            <w:vAlign w:val="bottom"/>
          </w:tcPr>
          <w:p w14:paraId="74DDF75B"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75C"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75D" w14:textId="77777777" w:rsidR="00584EC1" w:rsidRDefault="00584EC1">
            <w:pPr>
              <w:rPr>
                <w:rFonts w:ascii="宋体"/>
              </w:rPr>
            </w:pPr>
          </w:p>
        </w:tc>
        <w:tc>
          <w:tcPr>
            <w:tcW w:w="0" w:type="auto"/>
            <w:gridSpan w:val="9"/>
            <w:shd w:val="clear" w:color="auto" w:fill="auto"/>
            <w:tcMar>
              <w:top w:w="40" w:type="dxa"/>
              <w:left w:w="20" w:type="dxa"/>
              <w:bottom w:w="40" w:type="dxa"/>
              <w:right w:w="20" w:type="dxa"/>
            </w:tcMar>
            <w:vAlign w:val="bottom"/>
          </w:tcPr>
          <w:p w14:paraId="74DDF75E" w14:textId="77777777" w:rsidR="00584EC1" w:rsidRDefault="00871F8D">
            <w:pPr>
              <w:jc w:val="center"/>
              <w:textAlignment w:val="bottom"/>
            </w:pPr>
            <w:r>
              <w:rPr>
                <w:rFonts w:ascii="Arial" w:eastAsia="宋体" w:hAnsi="Arial" w:cs="Arial"/>
                <w:b/>
                <w:bCs/>
                <w:color w:val="000000"/>
                <w:sz w:val="13"/>
                <w:szCs w:val="13"/>
              </w:rPr>
              <w:t xml:space="preserve">Nine Months Ended </w:t>
            </w:r>
            <w:r>
              <w:rPr>
                <w:rFonts w:ascii="Arial" w:eastAsia="宋体" w:hAnsi="Arial" w:cs="Arial"/>
                <w:b/>
                <w:bCs/>
                <w:color w:val="000000"/>
                <w:sz w:val="13"/>
                <w:szCs w:val="13"/>
              </w:rPr>
              <w:t>September 30,</w:t>
            </w:r>
          </w:p>
        </w:tc>
        <w:tc>
          <w:tcPr>
            <w:tcW w:w="0" w:type="auto"/>
            <w:shd w:val="clear" w:color="auto" w:fill="auto"/>
            <w:vAlign w:val="bottom"/>
          </w:tcPr>
          <w:p w14:paraId="74DDF75F" w14:textId="77777777" w:rsidR="00584EC1" w:rsidRDefault="00584EC1">
            <w:pPr>
              <w:rPr>
                <w:rFonts w:ascii="宋体"/>
                <w:vanish/>
              </w:rPr>
            </w:pPr>
          </w:p>
        </w:tc>
        <w:tc>
          <w:tcPr>
            <w:tcW w:w="0" w:type="auto"/>
            <w:shd w:val="clear" w:color="auto" w:fill="auto"/>
            <w:vAlign w:val="bottom"/>
          </w:tcPr>
          <w:p w14:paraId="74DDF760" w14:textId="77777777" w:rsidR="00584EC1" w:rsidRDefault="00584EC1">
            <w:pPr>
              <w:rPr>
                <w:rFonts w:ascii="宋体"/>
                <w:vanish/>
              </w:rPr>
            </w:pPr>
          </w:p>
        </w:tc>
        <w:tc>
          <w:tcPr>
            <w:tcW w:w="0" w:type="auto"/>
            <w:gridSpan w:val="3"/>
            <w:shd w:val="clear" w:color="auto" w:fill="auto"/>
            <w:tcMar>
              <w:top w:w="0" w:type="dxa"/>
              <w:left w:w="20" w:type="dxa"/>
              <w:bottom w:w="0" w:type="dxa"/>
              <w:right w:w="20" w:type="dxa"/>
            </w:tcMar>
            <w:vAlign w:val="bottom"/>
          </w:tcPr>
          <w:p w14:paraId="74DDF76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76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763"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764"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765" w14:textId="77777777" w:rsidR="00584EC1" w:rsidRDefault="00584EC1">
            <w:pPr>
              <w:rPr>
                <w:rFonts w:ascii="宋体"/>
              </w:rPr>
            </w:pPr>
          </w:p>
        </w:tc>
        <w:tc>
          <w:tcPr>
            <w:tcW w:w="0" w:type="auto"/>
            <w:gridSpan w:val="9"/>
            <w:shd w:val="clear" w:color="auto" w:fill="auto"/>
            <w:tcMar>
              <w:top w:w="40" w:type="dxa"/>
              <w:left w:w="20" w:type="dxa"/>
              <w:bottom w:w="40" w:type="dxa"/>
              <w:right w:w="20" w:type="dxa"/>
            </w:tcMar>
            <w:vAlign w:val="bottom"/>
          </w:tcPr>
          <w:p w14:paraId="74DDF766" w14:textId="77777777" w:rsidR="00584EC1" w:rsidRDefault="00871F8D">
            <w:pPr>
              <w:jc w:val="center"/>
              <w:textAlignment w:val="bottom"/>
            </w:pPr>
            <w:r>
              <w:rPr>
                <w:rFonts w:ascii="Arial" w:eastAsia="宋体" w:hAnsi="Arial" w:cs="Arial"/>
                <w:b/>
                <w:bCs/>
                <w:color w:val="000000"/>
                <w:sz w:val="13"/>
                <w:szCs w:val="13"/>
              </w:rPr>
              <w:t>Nine Months Ended September 30,</w:t>
            </w:r>
          </w:p>
        </w:tc>
        <w:tc>
          <w:tcPr>
            <w:tcW w:w="0" w:type="auto"/>
            <w:gridSpan w:val="3"/>
            <w:shd w:val="clear" w:color="auto" w:fill="auto"/>
            <w:vAlign w:val="bottom"/>
          </w:tcPr>
          <w:p w14:paraId="74DDF767" w14:textId="77777777" w:rsidR="00584EC1" w:rsidRDefault="00584EC1">
            <w:pPr>
              <w:rPr>
                <w:rFonts w:ascii="宋体"/>
                <w:vanish/>
              </w:rPr>
            </w:pPr>
          </w:p>
        </w:tc>
        <w:tc>
          <w:tcPr>
            <w:tcW w:w="0" w:type="auto"/>
            <w:gridSpan w:val="3"/>
            <w:shd w:val="clear" w:color="auto" w:fill="auto"/>
            <w:vAlign w:val="bottom"/>
          </w:tcPr>
          <w:p w14:paraId="74DDF768" w14:textId="77777777" w:rsidR="00584EC1" w:rsidRDefault="00584EC1">
            <w:pPr>
              <w:rPr>
                <w:rFonts w:ascii="宋体"/>
                <w:vanish/>
              </w:rPr>
            </w:pPr>
          </w:p>
        </w:tc>
      </w:tr>
      <w:tr w:rsidR="00584EC1" w14:paraId="74DDF77C" w14:textId="77777777">
        <w:tc>
          <w:tcPr>
            <w:tcW w:w="0" w:type="auto"/>
            <w:gridSpan w:val="3"/>
            <w:shd w:val="clear" w:color="auto" w:fill="FFFFFF"/>
            <w:tcMar>
              <w:top w:w="0" w:type="dxa"/>
              <w:left w:w="20" w:type="dxa"/>
              <w:bottom w:w="0" w:type="dxa"/>
              <w:right w:w="20" w:type="dxa"/>
            </w:tcMar>
            <w:vAlign w:val="bottom"/>
          </w:tcPr>
          <w:p w14:paraId="74DDF76A"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F76B"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76C"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F76D" w14:textId="77777777" w:rsidR="00584EC1" w:rsidRDefault="00871F8D">
            <w:pPr>
              <w:jc w:val="center"/>
              <w:textAlignment w:val="bottom"/>
            </w:pPr>
            <w:r>
              <w:rPr>
                <w:rFonts w:ascii="Arial" w:eastAsia="宋体" w:hAnsi="Arial" w:cs="Arial"/>
                <w:b/>
                <w:bCs/>
                <w:color w:val="000000"/>
                <w:sz w:val="13"/>
                <w:szCs w:val="13"/>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76E" w14:textId="77777777" w:rsidR="00584EC1" w:rsidRDefault="00584EC1">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4DDF76F" w14:textId="77777777" w:rsidR="00584EC1" w:rsidRDefault="00871F8D">
            <w:pPr>
              <w:jc w:val="center"/>
              <w:textAlignment w:val="bottom"/>
            </w:pPr>
            <w:r>
              <w:rPr>
                <w:rFonts w:ascii="Arial" w:eastAsia="宋体" w:hAnsi="Arial" w:cs="Arial"/>
                <w:b/>
                <w:bCs/>
                <w:color w:val="000000"/>
                <w:sz w:val="13"/>
                <w:szCs w:val="13"/>
              </w:rPr>
              <w:t>2020</w:t>
            </w:r>
          </w:p>
        </w:tc>
        <w:tc>
          <w:tcPr>
            <w:tcW w:w="0" w:type="auto"/>
            <w:shd w:val="clear" w:color="auto" w:fill="auto"/>
            <w:vAlign w:val="bottom"/>
          </w:tcPr>
          <w:p w14:paraId="74DDF770" w14:textId="77777777" w:rsidR="00584EC1" w:rsidRDefault="00584EC1">
            <w:pPr>
              <w:rPr>
                <w:rFonts w:ascii="宋体"/>
                <w:vanish/>
              </w:rPr>
            </w:pPr>
          </w:p>
        </w:tc>
        <w:tc>
          <w:tcPr>
            <w:tcW w:w="0" w:type="auto"/>
            <w:shd w:val="clear" w:color="auto" w:fill="auto"/>
            <w:vAlign w:val="bottom"/>
          </w:tcPr>
          <w:p w14:paraId="74DDF771" w14:textId="77777777" w:rsidR="00584EC1" w:rsidRDefault="00584EC1">
            <w:pPr>
              <w:rPr>
                <w:rFonts w:ascii="宋体"/>
                <w:vanish/>
              </w:rPr>
            </w:pPr>
          </w:p>
        </w:tc>
        <w:tc>
          <w:tcPr>
            <w:tcW w:w="0" w:type="auto"/>
            <w:gridSpan w:val="3"/>
            <w:shd w:val="clear" w:color="auto" w:fill="FFFFFF"/>
            <w:tcMar>
              <w:top w:w="0" w:type="dxa"/>
              <w:left w:w="20" w:type="dxa"/>
              <w:bottom w:w="0" w:type="dxa"/>
              <w:right w:w="20" w:type="dxa"/>
            </w:tcMar>
            <w:vAlign w:val="bottom"/>
          </w:tcPr>
          <w:p w14:paraId="74DDF77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F773"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F774"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F77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776"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F777" w14:textId="77777777" w:rsidR="00584EC1" w:rsidRDefault="00871F8D">
            <w:pPr>
              <w:jc w:val="center"/>
              <w:textAlignment w:val="bottom"/>
            </w:pPr>
            <w:r>
              <w:rPr>
                <w:rFonts w:ascii="Arial" w:eastAsia="宋体" w:hAnsi="Arial" w:cs="Arial"/>
                <w:b/>
                <w:bCs/>
                <w:color w:val="000000"/>
                <w:sz w:val="13"/>
                <w:szCs w:val="13"/>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778" w14:textId="77777777" w:rsidR="00584EC1" w:rsidRDefault="00584EC1">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4DDF779" w14:textId="77777777" w:rsidR="00584EC1" w:rsidRDefault="00871F8D">
            <w:pPr>
              <w:jc w:val="center"/>
              <w:textAlignment w:val="bottom"/>
            </w:pPr>
            <w:r>
              <w:rPr>
                <w:rFonts w:ascii="Arial" w:eastAsia="宋体" w:hAnsi="Arial" w:cs="Arial"/>
                <w:b/>
                <w:bCs/>
                <w:color w:val="000000"/>
                <w:sz w:val="13"/>
                <w:szCs w:val="13"/>
              </w:rPr>
              <w:t>2020</w:t>
            </w:r>
          </w:p>
        </w:tc>
        <w:tc>
          <w:tcPr>
            <w:tcW w:w="0" w:type="auto"/>
            <w:gridSpan w:val="3"/>
            <w:shd w:val="clear" w:color="auto" w:fill="auto"/>
            <w:vAlign w:val="bottom"/>
          </w:tcPr>
          <w:p w14:paraId="74DDF77A" w14:textId="77777777" w:rsidR="00584EC1" w:rsidRDefault="00584EC1">
            <w:pPr>
              <w:rPr>
                <w:rFonts w:ascii="宋体"/>
                <w:vanish/>
              </w:rPr>
            </w:pPr>
          </w:p>
        </w:tc>
        <w:tc>
          <w:tcPr>
            <w:tcW w:w="0" w:type="auto"/>
            <w:gridSpan w:val="3"/>
            <w:shd w:val="clear" w:color="auto" w:fill="auto"/>
            <w:vAlign w:val="bottom"/>
          </w:tcPr>
          <w:p w14:paraId="74DDF77B" w14:textId="77777777" w:rsidR="00584EC1" w:rsidRDefault="00584EC1">
            <w:pPr>
              <w:rPr>
                <w:rFonts w:ascii="宋体"/>
                <w:vanish/>
              </w:rPr>
            </w:pPr>
          </w:p>
        </w:tc>
      </w:tr>
      <w:tr w:rsidR="00584EC1" w14:paraId="74DDF78B" w14:textId="77777777">
        <w:tc>
          <w:tcPr>
            <w:tcW w:w="0" w:type="auto"/>
            <w:gridSpan w:val="3"/>
            <w:shd w:val="clear" w:color="auto" w:fill="auto"/>
            <w:tcMar>
              <w:top w:w="40" w:type="dxa"/>
              <w:left w:w="20" w:type="dxa"/>
              <w:bottom w:w="40" w:type="dxa"/>
              <w:right w:w="20" w:type="dxa"/>
            </w:tcMar>
            <w:vAlign w:val="bottom"/>
          </w:tcPr>
          <w:p w14:paraId="74DDF77D" w14:textId="77777777" w:rsidR="00584EC1" w:rsidRDefault="00871F8D">
            <w:pPr>
              <w:textAlignment w:val="bottom"/>
            </w:pPr>
            <w:r>
              <w:rPr>
                <w:rFonts w:ascii="Arial" w:eastAsia="宋体" w:hAnsi="Arial" w:cs="Arial"/>
                <w:b/>
                <w:bCs/>
                <w:color w:val="000000"/>
                <w:sz w:val="13"/>
                <w:szCs w:val="13"/>
              </w:rPr>
              <w:t>(In millions)</w:t>
            </w:r>
          </w:p>
        </w:tc>
        <w:tc>
          <w:tcPr>
            <w:tcW w:w="0" w:type="auto"/>
            <w:gridSpan w:val="3"/>
            <w:shd w:val="clear" w:color="auto" w:fill="auto"/>
            <w:tcMar>
              <w:top w:w="40" w:type="dxa"/>
              <w:left w:w="20" w:type="dxa"/>
              <w:bottom w:w="40" w:type="dxa"/>
              <w:right w:w="20" w:type="dxa"/>
            </w:tcMar>
            <w:vAlign w:val="bottom"/>
          </w:tcPr>
          <w:p w14:paraId="74DDF77E" w14:textId="77777777" w:rsidR="00584EC1" w:rsidRDefault="00871F8D">
            <w:pPr>
              <w:jc w:val="center"/>
              <w:textAlignment w:val="bottom"/>
            </w:pPr>
            <w:r>
              <w:rPr>
                <w:rFonts w:ascii="Arial" w:eastAsia="宋体" w:hAnsi="Arial" w:cs="Arial"/>
                <w:b/>
                <w:bCs/>
                <w:color w:val="000000"/>
                <w:sz w:val="13"/>
                <w:szCs w:val="13"/>
              </w:rPr>
              <w:t>Location of Gain (Loss) on Derivative in Consolidated Statement of Income</w:t>
            </w:r>
          </w:p>
        </w:tc>
        <w:tc>
          <w:tcPr>
            <w:tcW w:w="0" w:type="auto"/>
            <w:gridSpan w:val="3"/>
            <w:shd w:val="clear" w:color="auto" w:fill="auto"/>
            <w:tcMar>
              <w:top w:w="0" w:type="dxa"/>
              <w:left w:w="20" w:type="dxa"/>
              <w:bottom w:w="0" w:type="dxa"/>
              <w:right w:w="20" w:type="dxa"/>
            </w:tcMar>
            <w:vAlign w:val="bottom"/>
          </w:tcPr>
          <w:p w14:paraId="74DDF77F" w14:textId="77777777" w:rsidR="00584EC1" w:rsidRDefault="00584EC1">
            <w:pPr>
              <w:rPr>
                <w:rFonts w:ascii="宋体"/>
              </w:rPr>
            </w:pPr>
          </w:p>
        </w:tc>
        <w:tc>
          <w:tcPr>
            <w:tcW w:w="0" w:type="auto"/>
            <w:gridSpan w:val="9"/>
            <w:tcBorders>
              <w:top w:val="single" w:sz="8" w:space="0" w:color="000000"/>
            </w:tcBorders>
            <w:shd w:val="clear" w:color="auto" w:fill="FFFFFF"/>
            <w:tcMar>
              <w:top w:w="40" w:type="dxa"/>
              <w:left w:w="20" w:type="dxa"/>
              <w:bottom w:w="40" w:type="dxa"/>
              <w:right w:w="20" w:type="dxa"/>
            </w:tcMar>
            <w:vAlign w:val="bottom"/>
          </w:tcPr>
          <w:p w14:paraId="74DDF780" w14:textId="77777777" w:rsidR="00584EC1" w:rsidRDefault="00871F8D">
            <w:pPr>
              <w:jc w:val="center"/>
              <w:textAlignment w:val="bottom"/>
            </w:pPr>
            <w:r>
              <w:rPr>
                <w:rFonts w:ascii="Arial" w:eastAsia="宋体" w:hAnsi="Arial" w:cs="Arial"/>
                <w:b/>
                <w:bCs/>
                <w:color w:val="000000"/>
                <w:sz w:val="13"/>
                <w:szCs w:val="13"/>
              </w:rPr>
              <w:t>Amount of Gain</w:t>
            </w:r>
            <w:r>
              <w:rPr>
                <w:rFonts w:ascii="Arial" w:eastAsia="宋体" w:hAnsi="Arial" w:cs="Arial"/>
                <w:b/>
                <w:bCs/>
                <w:color w:val="000000"/>
                <w:sz w:val="13"/>
                <w:szCs w:val="13"/>
              </w:rPr>
              <w:br/>
              <w:t>(Loss) on Derivative</w:t>
            </w:r>
            <w:r>
              <w:rPr>
                <w:rFonts w:ascii="Arial" w:eastAsia="宋体" w:hAnsi="Arial" w:cs="Arial"/>
                <w:b/>
                <w:bCs/>
                <w:color w:val="000000"/>
                <w:sz w:val="13"/>
                <w:szCs w:val="13"/>
              </w:rPr>
              <w:br/>
              <w:t>Recognized in</w:t>
            </w:r>
            <w:r>
              <w:rPr>
                <w:rFonts w:ascii="Arial" w:eastAsia="宋体" w:hAnsi="Arial" w:cs="Arial"/>
                <w:b/>
                <w:bCs/>
                <w:color w:val="000000"/>
                <w:sz w:val="13"/>
                <w:szCs w:val="13"/>
              </w:rPr>
              <w:br/>
              <w:t>Consolidated</w:t>
            </w:r>
            <w:r>
              <w:rPr>
                <w:rFonts w:ascii="Arial" w:eastAsia="宋体" w:hAnsi="Arial" w:cs="Arial"/>
                <w:b/>
                <w:bCs/>
                <w:color w:val="000000"/>
                <w:sz w:val="13"/>
                <w:szCs w:val="13"/>
              </w:rPr>
              <w:br/>
              <w:t>Statement of Income</w:t>
            </w:r>
          </w:p>
        </w:tc>
        <w:tc>
          <w:tcPr>
            <w:tcW w:w="0" w:type="auto"/>
            <w:shd w:val="clear" w:color="auto" w:fill="auto"/>
            <w:vAlign w:val="bottom"/>
          </w:tcPr>
          <w:p w14:paraId="74DDF781" w14:textId="77777777" w:rsidR="00584EC1" w:rsidRDefault="00584EC1">
            <w:pPr>
              <w:rPr>
                <w:rFonts w:ascii="宋体"/>
                <w:vanish/>
              </w:rPr>
            </w:pPr>
          </w:p>
        </w:tc>
        <w:tc>
          <w:tcPr>
            <w:tcW w:w="0" w:type="auto"/>
            <w:shd w:val="clear" w:color="auto" w:fill="auto"/>
            <w:vAlign w:val="bottom"/>
          </w:tcPr>
          <w:p w14:paraId="74DDF782" w14:textId="77777777" w:rsidR="00584EC1" w:rsidRDefault="00584EC1">
            <w:pPr>
              <w:rPr>
                <w:rFonts w:ascii="宋体"/>
                <w:vanish/>
              </w:rPr>
            </w:pPr>
          </w:p>
        </w:tc>
        <w:tc>
          <w:tcPr>
            <w:tcW w:w="0" w:type="auto"/>
            <w:gridSpan w:val="3"/>
            <w:shd w:val="clear" w:color="auto" w:fill="auto"/>
            <w:tcMar>
              <w:top w:w="0" w:type="dxa"/>
              <w:left w:w="20" w:type="dxa"/>
              <w:bottom w:w="0" w:type="dxa"/>
              <w:right w:w="20" w:type="dxa"/>
            </w:tcMar>
            <w:vAlign w:val="bottom"/>
          </w:tcPr>
          <w:p w14:paraId="74DDF783"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F784" w14:textId="77777777" w:rsidR="00584EC1" w:rsidRDefault="00871F8D">
            <w:pPr>
              <w:jc w:val="center"/>
              <w:textAlignment w:val="bottom"/>
            </w:pPr>
            <w:r>
              <w:rPr>
                <w:rFonts w:ascii="Arial" w:eastAsia="宋体" w:hAnsi="Arial" w:cs="Arial"/>
                <w:b/>
                <w:bCs/>
                <w:color w:val="000000"/>
                <w:sz w:val="13"/>
                <w:szCs w:val="13"/>
              </w:rPr>
              <w:t>Hedged Item in Fair Value Hedging Relationship</w:t>
            </w:r>
          </w:p>
        </w:tc>
        <w:tc>
          <w:tcPr>
            <w:tcW w:w="0" w:type="auto"/>
            <w:gridSpan w:val="3"/>
            <w:shd w:val="clear" w:color="auto" w:fill="auto"/>
            <w:tcMar>
              <w:top w:w="0" w:type="dxa"/>
              <w:left w:w="20" w:type="dxa"/>
              <w:bottom w:w="0" w:type="dxa"/>
              <w:right w:w="20" w:type="dxa"/>
            </w:tcMar>
            <w:vAlign w:val="bottom"/>
          </w:tcPr>
          <w:p w14:paraId="74DDF785"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F786" w14:textId="77777777" w:rsidR="00584EC1" w:rsidRDefault="00871F8D">
            <w:pPr>
              <w:jc w:val="center"/>
              <w:textAlignment w:val="bottom"/>
            </w:pPr>
            <w:r>
              <w:rPr>
                <w:rFonts w:ascii="Arial" w:eastAsia="宋体" w:hAnsi="Arial" w:cs="Arial"/>
                <w:b/>
                <w:bCs/>
                <w:color w:val="000000"/>
                <w:sz w:val="13"/>
                <w:szCs w:val="13"/>
              </w:rPr>
              <w:t>Location of Gain (Loss) on Hedged Item in Consolidated Statement of Income</w:t>
            </w:r>
          </w:p>
        </w:tc>
        <w:tc>
          <w:tcPr>
            <w:tcW w:w="0" w:type="auto"/>
            <w:gridSpan w:val="3"/>
            <w:shd w:val="clear" w:color="auto" w:fill="auto"/>
            <w:tcMar>
              <w:top w:w="0" w:type="dxa"/>
              <w:left w:w="20" w:type="dxa"/>
              <w:bottom w:w="0" w:type="dxa"/>
              <w:right w:w="20" w:type="dxa"/>
            </w:tcMar>
            <w:vAlign w:val="bottom"/>
          </w:tcPr>
          <w:p w14:paraId="74DDF787" w14:textId="77777777" w:rsidR="00584EC1" w:rsidRDefault="00584EC1">
            <w:pPr>
              <w:rPr>
                <w:rFonts w:ascii="宋体"/>
              </w:rPr>
            </w:pPr>
          </w:p>
        </w:tc>
        <w:tc>
          <w:tcPr>
            <w:tcW w:w="0" w:type="auto"/>
            <w:gridSpan w:val="9"/>
            <w:tcBorders>
              <w:top w:val="single" w:sz="8" w:space="0" w:color="000000"/>
            </w:tcBorders>
            <w:shd w:val="clear" w:color="auto" w:fill="FFFFFF"/>
            <w:tcMar>
              <w:top w:w="40" w:type="dxa"/>
              <w:left w:w="20" w:type="dxa"/>
              <w:bottom w:w="40" w:type="dxa"/>
              <w:right w:w="20" w:type="dxa"/>
            </w:tcMar>
            <w:vAlign w:val="bottom"/>
          </w:tcPr>
          <w:p w14:paraId="74DDF788" w14:textId="77777777" w:rsidR="00584EC1" w:rsidRDefault="00871F8D">
            <w:pPr>
              <w:jc w:val="center"/>
              <w:textAlignment w:val="bottom"/>
            </w:pPr>
            <w:r>
              <w:rPr>
                <w:rFonts w:ascii="Arial" w:eastAsia="宋体" w:hAnsi="Arial" w:cs="Arial"/>
                <w:b/>
                <w:bCs/>
                <w:color w:val="000000"/>
                <w:sz w:val="13"/>
                <w:szCs w:val="13"/>
              </w:rPr>
              <w:t>Amount of Gain</w:t>
            </w:r>
            <w:r>
              <w:rPr>
                <w:rFonts w:ascii="Arial" w:eastAsia="宋体" w:hAnsi="Arial" w:cs="Arial"/>
                <w:b/>
                <w:bCs/>
                <w:color w:val="000000"/>
                <w:sz w:val="13"/>
                <w:szCs w:val="13"/>
              </w:rPr>
              <w:br/>
              <w:t>(Loss) on Hedged</w:t>
            </w:r>
            <w:r>
              <w:rPr>
                <w:rFonts w:ascii="Arial" w:eastAsia="宋体" w:hAnsi="Arial" w:cs="Arial"/>
                <w:b/>
                <w:bCs/>
                <w:color w:val="000000"/>
                <w:sz w:val="13"/>
                <w:szCs w:val="13"/>
              </w:rPr>
              <w:br/>
              <w:t>Item Recognized in</w:t>
            </w:r>
            <w:r>
              <w:rPr>
                <w:rFonts w:ascii="Arial" w:eastAsia="宋体" w:hAnsi="Arial" w:cs="Arial"/>
                <w:b/>
                <w:bCs/>
                <w:color w:val="000000"/>
                <w:sz w:val="13"/>
                <w:szCs w:val="13"/>
              </w:rPr>
              <w:br/>
              <w:t>Consolidated</w:t>
            </w:r>
            <w:r>
              <w:rPr>
                <w:rFonts w:ascii="Arial" w:eastAsia="宋体" w:hAnsi="Arial" w:cs="Arial"/>
                <w:b/>
                <w:bCs/>
                <w:color w:val="000000"/>
                <w:sz w:val="13"/>
                <w:szCs w:val="13"/>
              </w:rPr>
              <w:br/>
              <w:t>Statement of Income</w:t>
            </w:r>
          </w:p>
        </w:tc>
        <w:tc>
          <w:tcPr>
            <w:tcW w:w="0" w:type="auto"/>
            <w:gridSpan w:val="3"/>
            <w:shd w:val="clear" w:color="auto" w:fill="auto"/>
            <w:vAlign w:val="bottom"/>
          </w:tcPr>
          <w:p w14:paraId="74DDF789" w14:textId="77777777" w:rsidR="00584EC1" w:rsidRDefault="00584EC1">
            <w:pPr>
              <w:rPr>
                <w:rFonts w:ascii="宋体"/>
                <w:vanish/>
              </w:rPr>
            </w:pPr>
          </w:p>
        </w:tc>
        <w:tc>
          <w:tcPr>
            <w:tcW w:w="0" w:type="auto"/>
            <w:gridSpan w:val="3"/>
            <w:shd w:val="clear" w:color="auto" w:fill="auto"/>
            <w:vAlign w:val="bottom"/>
          </w:tcPr>
          <w:p w14:paraId="74DDF78A" w14:textId="77777777" w:rsidR="00584EC1" w:rsidRDefault="00584EC1">
            <w:pPr>
              <w:rPr>
                <w:rFonts w:ascii="宋体"/>
                <w:vanish/>
              </w:rPr>
            </w:pPr>
          </w:p>
        </w:tc>
      </w:tr>
      <w:tr w:rsidR="00584EC1" w14:paraId="74DDF79E" w14:textId="77777777">
        <w:tc>
          <w:tcPr>
            <w:tcW w:w="0" w:type="auto"/>
            <w:gridSpan w:val="3"/>
            <w:shd w:val="clear" w:color="auto" w:fill="FFFFFF"/>
            <w:tcMar>
              <w:top w:w="40" w:type="dxa"/>
              <w:left w:w="20" w:type="dxa"/>
              <w:bottom w:w="40" w:type="dxa"/>
              <w:right w:w="20" w:type="dxa"/>
            </w:tcMar>
            <w:vAlign w:val="bottom"/>
          </w:tcPr>
          <w:p w14:paraId="74DDF78C" w14:textId="77777777" w:rsidR="00584EC1" w:rsidRDefault="00871F8D">
            <w:pPr>
              <w:textAlignment w:val="bottom"/>
            </w:pPr>
            <w:r>
              <w:rPr>
                <w:rFonts w:ascii="Arial" w:eastAsia="宋体" w:hAnsi="Arial" w:cs="Arial"/>
                <w:b/>
                <w:bCs/>
                <w:color w:val="000000"/>
                <w:sz w:val="13"/>
                <w:szCs w:val="13"/>
              </w:rPr>
              <w:t>Derivatives designated as fair value hedges: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DF78D"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F78E"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78F"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790"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791" w14:textId="77777777" w:rsidR="00584EC1" w:rsidRDefault="00584EC1">
            <w:pPr>
              <w:rPr>
                <w:rFonts w:ascii="宋体"/>
              </w:rPr>
            </w:pPr>
          </w:p>
        </w:tc>
        <w:tc>
          <w:tcPr>
            <w:tcW w:w="0" w:type="auto"/>
            <w:shd w:val="clear" w:color="auto" w:fill="auto"/>
            <w:vAlign w:val="bottom"/>
          </w:tcPr>
          <w:p w14:paraId="74DDF792" w14:textId="77777777" w:rsidR="00584EC1" w:rsidRDefault="00584EC1">
            <w:pPr>
              <w:rPr>
                <w:rFonts w:ascii="宋体"/>
                <w:vanish/>
              </w:rPr>
            </w:pPr>
          </w:p>
        </w:tc>
        <w:tc>
          <w:tcPr>
            <w:tcW w:w="0" w:type="auto"/>
            <w:shd w:val="clear" w:color="auto" w:fill="auto"/>
            <w:vAlign w:val="bottom"/>
          </w:tcPr>
          <w:p w14:paraId="74DDF793" w14:textId="77777777" w:rsidR="00584EC1" w:rsidRDefault="00584EC1">
            <w:pPr>
              <w:rPr>
                <w:rFonts w:ascii="宋体"/>
                <w:vanish/>
              </w:rPr>
            </w:pPr>
          </w:p>
        </w:tc>
        <w:tc>
          <w:tcPr>
            <w:tcW w:w="0" w:type="auto"/>
            <w:gridSpan w:val="3"/>
            <w:shd w:val="clear" w:color="auto" w:fill="auto"/>
            <w:tcMar>
              <w:top w:w="0" w:type="dxa"/>
              <w:left w:w="20" w:type="dxa"/>
              <w:bottom w:w="0" w:type="dxa"/>
              <w:right w:w="20" w:type="dxa"/>
            </w:tcMar>
            <w:vAlign w:val="bottom"/>
          </w:tcPr>
          <w:p w14:paraId="74DDF794"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79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796"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797"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798"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799"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79A"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79B" w14:textId="77777777" w:rsidR="00584EC1" w:rsidRDefault="00584EC1">
            <w:pPr>
              <w:rPr>
                <w:rFonts w:ascii="宋体"/>
              </w:rPr>
            </w:pPr>
          </w:p>
        </w:tc>
        <w:tc>
          <w:tcPr>
            <w:tcW w:w="0" w:type="auto"/>
            <w:gridSpan w:val="3"/>
            <w:shd w:val="clear" w:color="auto" w:fill="auto"/>
            <w:vAlign w:val="bottom"/>
          </w:tcPr>
          <w:p w14:paraId="74DDF79C" w14:textId="77777777" w:rsidR="00584EC1" w:rsidRDefault="00584EC1">
            <w:pPr>
              <w:rPr>
                <w:rFonts w:ascii="宋体"/>
                <w:vanish/>
              </w:rPr>
            </w:pPr>
          </w:p>
        </w:tc>
        <w:tc>
          <w:tcPr>
            <w:tcW w:w="0" w:type="auto"/>
            <w:gridSpan w:val="3"/>
            <w:shd w:val="clear" w:color="auto" w:fill="auto"/>
            <w:vAlign w:val="bottom"/>
          </w:tcPr>
          <w:p w14:paraId="74DDF79D" w14:textId="77777777" w:rsidR="00584EC1" w:rsidRDefault="00584EC1">
            <w:pPr>
              <w:rPr>
                <w:rFonts w:ascii="宋体"/>
                <w:vanish/>
              </w:rPr>
            </w:pPr>
          </w:p>
        </w:tc>
      </w:tr>
      <w:tr w:rsidR="00584EC1" w14:paraId="74DDF7B1" w14:textId="77777777">
        <w:trPr>
          <w:hidden/>
        </w:trPr>
        <w:tc>
          <w:tcPr>
            <w:tcW w:w="0" w:type="auto"/>
            <w:gridSpan w:val="3"/>
            <w:shd w:val="clear" w:color="auto" w:fill="auto"/>
            <w:vAlign w:val="bottom"/>
          </w:tcPr>
          <w:p w14:paraId="74DDF79F" w14:textId="77777777" w:rsidR="00584EC1" w:rsidRDefault="00584EC1">
            <w:pPr>
              <w:rPr>
                <w:rFonts w:ascii="宋体"/>
                <w:vanish/>
              </w:rPr>
            </w:pPr>
          </w:p>
        </w:tc>
        <w:tc>
          <w:tcPr>
            <w:tcW w:w="0" w:type="auto"/>
            <w:gridSpan w:val="3"/>
            <w:shd w:val="clear" w:color="auto" w:fill="auto"/>
            <w:vAlign w:val="bottom"/>
          </w:tcPr>
          <w:p w14:paraId="74DDF7A0" w14:textId="77777777" w:rsidR="00584EC1" w:rsidRDefault="00584EC1">
            <w:pPr>
              <w:rPr>
                <w:rFonts w:ascii="宋体"/>
                <w:vanish/>
              </w:rPr>
            </w:pPr>
          </w:p>
        </w:tc>
        <w:tc>
          <w:tcPr>
            <w:tcW w:w="0" w:type="auto"/>
            <w:gridSpan w:val="3"/>
            <w:shd w:val="clear" w:color="auto" w:fill="auto"/>
            <w:vAlign w:val="bottom"/>
          </w:tcPr>
          <w:p w14:paraId="74DDF7A1" w14:textId="77777777" w:rsidR="00584EC1" w:rsidRDefault="00584EC1">
            <w:pPr>
              <w:rPr>
                <w:rFonts w:ascii="宋体"/>
                <w:vanish/>
              </w:rPr>
            </w:pPr>
          </w:p>
        </w:tc>
        <w:tc>
          <w:tcPr>
            <w:tcW w:w="0" w:type="auto"/>
            <w:gridSpan w:val="3"/>
            <w:shd w:val="clear" w:color="auto" w:fill="auto"/>
            <w:vAlign w:val="bottom"/>
          </w:tcPr>
          <w:p w14:paraId="74DDF7A2" w14:textId="77777777" w:rsidR="00584EC1" w:rsidRDefault="00584EC1">
            <w:pPr>
              <w:rPr>
                <w:rFonts w:ascii="宋体"/>
                <w:vanish/>
              </w:rPr>
            </w:pPr>
          </w:p>
        </w:tc>
        <w:tc>
          <w:tcPr>
            <w:tcW w:w="0" w:type="auto"/>
            <w:gridSpan w:val="3"/>
            <w:shd w:val="clear" w:color="auto" w:fill="auto"/>
            <w:vAlign w:val="bottom"/>
          </w:tcPr>
          <w:p w14:paraId="74DDF7A3" w14:textId="77777777" w:rsidR="00584EC1" w:rsidRDefault="00584EC1">
            <w:pPr>
              <w:rPr>
                <w:rFonts w:ascii="宋体"/>
                <w:vanish/>
              </w:rPr>
            </w:pPr>
          </w:p>
        </w:tc>
        <w:tc>
          <w:tcPr>
            <w:tcW w:w="0" w:type="auto"/>
            <w:gridSpan w:val="3"/>
            <w:shd w:val="clear" w:color="auto" w:fill="auto"/>
            <w:vAlign w:val="bottom"/>
          </w:tcPr>
          <w:p w14:paraId="74DDF7A4" w14:textId="77777777" w:rsidR="00584EC1" w:rsidRDefault="00584EC1">
            <w:pPr>
              <w:rPr>
                <w:rFonts w:ascii="宋体"/>
                <w:vanish/>
              </w:rPr>
            </w:pPr>
          </w:p>
        </w:tc>
        <w:tc>
          <w:tcPr>
            <w:tcW w:w="0" w:type="auto"/>
            <w:shd w:val="clear" w:color="auto" w:fill="auto"/>
            <w:vAlign w:val="bottom"/>
          </w:tcPr>
          <w:p w14:paraId="74DDF7A5" w14:textId="77777777" w:rsidR="00584EC1" w:rsidRDefault="00584EC1">
            <w:pPr>
              <w:rPr>
                <w:rFonts w:ascii="宋体"/>
                <w:vanish/>
              </w:rPr>
            </w:pPr>
          </w:p>
        </w:tc>
        <w:tc>
          <w:tcPr>
            <w:tcW w:w="0" w:type="auto"/>
            <w:shd w:val="clear" w:color="auto" w:fill="auto"/>
            <w:vAlign w:val="bottom"/>
          </w:tcPr>
          <w:p w14:paraId="74DDF7A6" w14:textId="77777777" w:rsidR="00584EC1" w:rsidRDefault="00584EC1">
            <w:pPr>
              <w:rPr>
                <w:rFonts w:ascii="宋体"/>
                <w:vanish/>
              </w:rPr>
            </w:pPr>
          </w:p>
        </w:tc>
        <w:tc>
          <w:tcPr>
            <w:tcW w:w="0" w:type="auto"/>
            <w:gridSpan w:val="3"/>
            <w:shd w:val="clear" w:color="auto" w:fill="auto"/>
            <w:vAlign w:val="bottom"/>
          </w:tcPr>
          <w:p w14:paraId="74DDF7A7" w14:textId="77777777" w:rsidR="00584EC1" w:rsidRDefault="00584EC1">
            <w:pPr>
              <w:rPr>
                <w:rFonts w:ascii="宋体"/>
                <w:vanish/>
              </w:rPr>
            </w:pPr>
          </w:p>
        </w:tc>
        <w:tc>
          <w:tcPr>
            <w:tcW w:w="0" w:type="auto"/>
            <w:gridSpan w:val="3"/>
            <w:shd w:val="clear" w:color="auto" w:fill="auto"/>
            <w:vAlign w:val="bottom"/>
          </w:tcPr>
          <w:p w14:paraId="74DDF7A8" w14:textId="77777777" w:rsidR="00584EC1" w:rsidRDefault="00584EC1">
            <w:pPr>
              <w:rPr>
                <w:rFonts w:ascii="宋体"/>
                <w:vanish/>
              </w:rPr>
            </w:pPr>
          </w:p>
        </w:tc>
        <w:tc>
          <w:tcPr>
            <w:tcW w:w="0" w:type="auto"/>
            <w:gridSpan w:val="3"/>
            <w:shd w:val="clear" w:color="auto" w:fill="auto"/>
            <w:vAlign w:val="bottom"/>
          </w:tcPr>
          <w:p w14:paraId="74DDF7A9" w14:textId="77777777" w:rsidR="00584EC1" w:rsidRDefault="00584EC1">
            <w:pPr>
              <w:rPr>
                <w:rFonts w:ascii="宋体"/>
                <w:vanish/>
              </w:rPr>
            </w:pPr>
          </w:p>
        </w:tc>
        <w:tc>
          <w:tcPr>
            <w:tcW w:w="0" w:type="auto"/>
            <w:gridSpan w:val="3"/>
            <w:shd w:val="clear" w:color="auto" w:fill="auto"/>
            <w:vAlign w:val="bottom"/>
          </w:tcPr>
          <w:p w14:paraId="74DDF7AA" w14:textId="77777777" w:rsidR="00584EC1" w:rsidRDefault="00584EC1">
            <w:pPr>
              <w:rPr>
                <w:rFonts w:ascii="宋体"/>
                <w:vanish/>
              </w:rPr>
            </w:pPr>
          </w:p>
        </w:tc>
        <w:tc>
          <w:tcPr>
            <w:tcW w:w="0" w:type="auto"/>
            <w:gridSpan w:val="3"/>
            <w:shd w:val="clear" w:color="auto" w:fill="auto"/>
            <w:vAlign w:val="bottom"/>
          </w:tcPr>
          <w:p w14:paraId="74DDF7AB" w14:textId="77777777" w:rsidR="00584EC1" w:rsidRDefault="00584EC1">
            <w:pPr>
              <w:rPr>
                <w:rFonts w:ascii="宋体"/>
                <w:vanish/>
              </w:rPr>
            </w:pPr>
          </w:p>
        </w:tc>
        <w:tc>
          <w:tcPr>
            <w:tcW w:w="0" w:type="auto"/>
            <w:gridSpan w:val="3"/>
            <w:shd w:val="clear" w:color="auto" w:fill="auto"/>
            <w:vAlign w:val="bottom"/>
          </w:tcPr>
          <w:p w14:paraId="74DDF7AC" w14:textId="77777777" w:rsidR="00584EC1" w:rsidRDefault="00584EC1">
            <w:pPr>
              <w:rPr>
                <w:rFonts w:ascii="宋体"/>
                <w:vanish/>
              </w:rPr>
            </w:pPr>
          </w:p>
        </w:tc>
        <w:tc>
          <w:tcPr>
            <w:tcW w:w="0" w:type="auto"/>
            <w:gridSpan w:val="3"/>
            <w:shd w:val="clear" w:color="auto" w:fill="auto"/>
            <w:vAlign w:val="bottom"/>
          </w:tcPr>
          <w:p w14:paraId="74DDF7AD" w14:textId="77777777" w:rsidR="00584EC1" w:rsidRDefault="00584EC1">
            <w:pPr>
              <w:rPr>
                <w:rFonts w:ascii="宋体"/>
                <w:vanish/>
              </w:rPr>
            </w:pPr>
          </w:p>
        </w:tc>
        <w:tc>
          <w:tcPr>
            <w:tcW w:w="0" w:type="auto"/>
            <w:gridSpan w:val="3"/>
            <w:shd w:val="clear" w:color="auto" w:fill="auto"/>
            <w:vAlign w:val="bottom"/>
          </w:tcPr>
          <w:p w14:paraId="74DDF7AE" w14:textId="77777777" w:rsidR="00584EC1" w:rsidRDefault="00584EC1">
            <w:pPr>
              <w:rPr>
                <w:rFonts w:ascii="宋体"/>
                <w:vanish/>
              </w:rPr>
            </w:pPr>
          </w:p>
        </w:tc>
        <w:tc>
          <w:tcPr>
            <w:tcW w:w="0" w:type="auto"/>
            <w:gridSpan w:val="3"/>
            <w:shd w:val="clear" w:color="auto" w:fill="auto"/>
            <w:vAlign w:val="bottom"/>
          </w:tcPr>
          <w:p w14:paraId="74DDF7AF" w14:textId="77777777" w:rsidR="00584EC1" w:rsidRDefault="00584EC1">
            <w:pPr>
              <w:rPr>
                <w:rFonts w:ascii="宋体"/>
                <w:vanish/>
              </w:rPr>
            </w:pPr>
          </w:p>
        </w:tc>
        <w:tc>
          <w:tcPr>
            <w:tcW w:w="0" w:type="auto"/>
            <w:gridSpan w:val="3"/>
            <w:shd w:val="clear" w:color="auto" w:fill="auto"/>
            <w:vAlign w:val="bottom"/>
          </w:tcPr>
          <w:p w14:paraId="74DDF7B0" w14:textId="77777777" w:rsidR="00584EC1" w:rsidRDefault="00584EC1">
            <w:pPr>
              <w:rPr>
                <w:rFonts w:ascii="宋体"/>
                <w:vanish/>
              </w:rPr>
            </w:pPr>
          </w:p>
        </w:tc>
      </w:tr>
      <w:tr w:rsidR="00584EC1" w14:paraId="74DDF7C4" w14:textId="77777777">
        <w:trPr>
          <w:hidden/>
        </w:trPr>
        <w:tc>
          <w:tcPr>
            <w:tcW w:w="0" w:type="auto"/>
            <w:gridSpan w:val="3"/>
            <w:shd w:val="clear" w:color="auto" w:fill="auto"/>
            <w:vAlign w:val="bottom"/>
          </w:tcPr>
          <w:p w14:paraId="74DDF7B2" w14:textId="77777777" w:rsidR="00584EC1" w:rsidRDefault="00584EC1">
            <w:pPr>
              <w:rPr>
                <w:rFonts w:ascii="宋体"/>
                <w:vanish/>
              </w:rPr>
            </w:pPr>
          </w:p>
        </w:tc>
        <w:tc>
          <w:tcPr>
            <w:tcW w:w="0" w:type="auto"/>
            <w:gridSpan w:val="3"/>
            <w:shd w:val="clear" w:color="auto" w:fill="auto"/>
            <w:vAlign w:val="bottom"/>
          </w:tcPr>
          <w:p w14:paraId="74DDF7B3" w14:textId="77777777" w:rsidR="00584EC1" w:rsidRDefault="00584EC1">
            <w:pPr>
              <w:rPr>
                <w:rFonts w:ascii="宋体"/>
                <w:vanish/>
              </w:rPr>
            </w:pPr>
          </w:p>
        </w:tc>
        <w:tc>
          <w:tcPr>
            <w:tcW w:w="0" w:type="auto"/>
            <w:gridSpan w:val="3"/>
            <w:shd w:val="clear" w:color="auto" w:fill="auto"/>
            <w:vAlign w:val="bottom"/>
          </w:tcPr>
          <w:p w14:paraId="74DDF7B4" w14:textId="77777777" w:rsidR="00584EC1" w:rsidRDefault="00584EC1">
            <w:pPr>
              <w:rPr>
                <w:rFonts w:ascii="宋体"/>
                <w:vanish/>
              </w:rPr>
            </w:pPr>
          </w:p>
        </w:tc>
        <w:tc>
          <w:tcPr>
            <w:tcW w:w="0" w:type="auto"/>
            <w:gridSpan w:val="3"/>
            <w:shd w:val="clear" w:color="auto" w:fill="auto"/>
            <w:vAlign w:val="bottom"/>
          </w:tcPr>
          <w:p w14:paraId="74DDF7B5" w14:textId="77777777" w:rsidR="00584EC1" w:rsidRDefault="00584EC1">
            <w:pPr>
              <w:rPr>
                <w:rFonts w:ascii="宋体"/>
                <w:vanish/>
              </w:rPr>
            </w:pPr>
          </w:p>
        </w:tc>
        <w:tc>
          <w:tcPr>
            <w:tcW w:w="0" w:type="auto"/>
            <w:gridSpan w:val="3"/>
            <w:shd w:val="clear" w:color="auto" w:fill="auto"/>
            <w:vAlign w:val="bottom"/>
          </w:tcPr>
          <w:p w14:paraId="74DDF7B6" w14:textId="77777777" w:rsidR="00584EC1" w:rsidRDefault="00584EC1">
            <w:pPr>
              <w:rPr>
                <w:rFonts w:ascii="宋体"/>
                <w:vanish/>
              </w:rPr>
            </w:pPr>
          </w:p>
        </w:tc>
        <w:tc>
          <w:tcPr>
            <w:tcW w:w="0" w:type="auto"/>
            <w:gridSpan w:val="3"/>
            <w:shd w:val="clear" w:color="auto" w:fill="auto"/>
            <w:vAlign w:val="bottom"/>
          </w:tcPr>
          <w:p w14:paraId="74DDF7B7" w14:textId="77777777" w:rsidR="00584EC1" w:rsidRDefault="00584EC1">
            <w:pPr>
              <w:rPr>
                <w:rFonts w:ascii="宋体"/>
                <w:vanish/>
              </w:rPr>
            </w:pPr>
          </w:p>
        </w:tc>
        <w:tc>
          <w:tcPr>
            <w:tcW w:w="0" w:type="auto"/>
            <w:shd w:val="clear" w:color="auto" w:fill="auto"/>
            <w:vAlign w:val="bottom"/>
          </w:tcPr>
          <w:p w14:paraId="74DDF7B8" w14:textId="77777777" w:rsidR="00584EC1" w:rsidRDefault="00584EC1">
            <w:pPr>
              <w:rPr>
                <w:rFonts w:ascii="宋体"/>
                <w:vanish/>
              </w:rPr>
            </w:pPr>
          </w:p>
        </w:tc>
        <w:tc>
          <w:tcPr>
            <w:tcW w:w="0" w:type="auto"/>
            <w:shd w:val="clear" w:color="auto" w:fill="auto"/>
            <w:vAlign w:val="bottom"/>
          </w:tcPr>
          <w:p w14:paraId="74DDF7B9" w14:textId="77777777" w:rsidR="00584EC1" w:rsidRDefault="00584EC1">
            <w:pPr>
              <w:rPr>
                <w:rFonts w:ascii="宋体"/>
                <w:vanish/>
              </w:rPr>
            </w:pPr>
          </w:p>
        </w:tc>
        <w:tc>
          <w:tcPr>
            <w:tcW w:w="0" w:type="auto"/>
            <w:gridSpan w:val="3"/>
            <w:shd w:val="clear" w:color="auto" w:fill="auto"/>
            <w:vAlign w:val="bottom"/>
          </w:tcPr>
          <w:p w14:paraId="74DDF7BA" w14:textId="77777777" w:rsidR="00584EC1" w:rsidRDefault="00584EC1">
            <w:pPr>
              <w:rPr>
                <w:rFonts w:ascii="宋体"/>
                <w:vanish/>
              </w:rPr>
            </w:pPr>
          </w:p>
        </w:tc>
        <w:tc>
          <w:tcPr>
            <w:tcW w:w="0" w:type="auto"/>
            <w:gridSpan w:val="3"/>
            <w:shd w:val="clear" w:color="auto" w:fill="auto"/>
            <w:vAlign w:val="bottom"/>
          </w:tcPr>
          <w:p w14:paraId="74DDF7BB" w14:textId="77777777" w:rsidR="00584EC1" w:rsidRDefault="00584EC1">
            <w:pPr>
              <w:rPr>
                <w:rFonts w:ascii="宋体"/>
                <w:vanish/>
              </w:rPr>
            </w:pPr>
          </w:p>
        </w:tc>
        <w:tc>
          <w:tcPr>
            <w:tcW w:w="0" w:type="auto"/>
            <w:gridSpan w:val="3"/>
            <w:shd w:val="clear" w:color="auto" w:fill="auto"/>
            <w:vAlign w:val="bottom"/>
          </w:tcPr>
          <w:p w14:paraId="74DDF7BC" w14:textId="77777777" w:rsidR="00584EC1" w:rsidRDefault="00584EC1">
            <w:pPr>
              <w:rPr>
                <w:rFonts w:ascii="宋体"/>
                <w:vanish/>
              </w:rPr>
            </w:pPr>
          </w:p>
        </w:tc>
        <w:tc>
          <w:tcPr>
            <w:tcW w:w="0" w:type="auto"/>
            <w:gridSpan w:val="3"/>
            <w:shd w:val="clear" w:color="auto" w:fill="auto"/>
            <w:vAlign w:val="bottom"/>
          </w:tcPr>
          <w:p w14:paraId="74DDF7BD" w14:textId="77777777" w:rsidR="00584EC1" w:rsidRDefault="00584EC1">
            <w:pPr>
              <w:rPr>
                <w:rFonts w:ascii="宋体"/>
                <w:vanish/>
              </w:rPr>
            </w:pPr>
          </w:p>
        </w:tc>
        <w:tc>
          <w:tcPr>
            <w:tcW w:w="0" w:type="auto"/>
            <w:gridSpan w:val="3"/>
            <w:shd w:val="clear" w:color="auto" w:fill="auto"/>
            <w:vAlign w:val="bottom"/>
          </w:tcPr>
          <w:p w14:paraId="74DDF7BE" w14:textId="77777777" w:rsidR="00584EC1" w:rsidRDefault="00584EC1">
            <w:pPr>
              <w:rPr>
                <w:rFonts w:ascii="宋体"/>
                <w:vanish/>
              </w:rPr>
            </w:pPr>
          </w:p>
        </w:tc>
        <w:tc>
          <w:tcPr>
            <w:tcW w:w="0" w:type="auto"/>
            <w:gridSpan w:val="3"/>
            <w:shd w:val="clear" w:color="auto" w:fill="auto"/>
            <w:vAlign w:val="bottom"/>
          </w:tcPr>
          <w:p w14:paraId="74DDF7BF" w14:textId="77777777" w:rsidR="00584EC1" w:rsidRDefault="00584EC1">
            <w:pPr>
              <w:rPr>
                <w:rFonts w:ascii="宋体"/>
                <w:vanish/>
              </w:rPr>
            </w:pPr>
          </w:p>
        </w:tc>
        <w:tc>
          <w:tcPr>
            <w:tcW w:w="0" w:type="auto"/>
            <w:gridSpan w:val="3"/>
            <w:shd w:val="clear" w:color="auto" w:fill="auto"/>
            <w:vAlign w:val="bottom"/>
          </w:tcPr>
          <w:p w14:paraId="74DDF7C0" w14:textId="77777777" w:rsidR="00584EC1" w:rsidRDefault="00584EC1">
            <w:pPr>
              <w:rPr>
                <w:rFonts w:ascii="宋体"/>
                <w:vanish/>
              </w:rPr>
            </w:pPr>
          </w:p>
        </w:tc>
        <w:tc>
          <w:tcPr>
            <w:tcW w:w="0" w:type="auto"/>
            <w:gridSpan w:val="3"/>
            <w:shd w:val="clear" w:color="auto" w:fill="auto"/>
            <w:vAlign w:val="bottom"/>
          </w:tcPr>
          <w:p w14:paraId="74DDF7C1" w14:textId="77777777" w:rsidR="00584EC1" w:rsidRDefault="00584EC1">
            <w:pPr>
              <w:rPr>
                <w:rFonts w:ascii="宋体"/>
                <w:vanish/>
              </w:rPr>
            </w:pPr>
          </w:p>
        </w:tc>
        <w:tc>
          <w:tcPr>
            <w:tcW w:w="0" w:type="auto"/>
            <w:gridSpan w:val="3"/>
            <w:shd w:val="clear" w:color="auto" w:fill="auto"/>
            <w:vAlign w:val="bottom"/>
          </w:tcPr>
          <w:p w14:paraId="74DDF7C2" w14:textId="77777777" w:rsidR="00584EC1" w:rsidRDefault="00584EC1">
            <w:pPr>
              <w:rPr>
                <w:rFonts w:ascii="宋体"/>
                <w:vanish/>
              </w:rPr>
            </w:pPr>
          </w:p>
        </w:tc>
        <w:tc>
          <w:tcPr>
            <w:tcW w:w="0" w:type="auto"/>
            <w:gridSpan w:val="3"/>
            <w:shd w:val="clear" w:color="auto" w:fill="auto"/>
            <w:vAlign w:val="bottom"/>
          </w:tcPr>
          <w:p w14:paraId="74DDF7C3" w14:textId="77777777" w:rsidR="00584EC1" w:rsidRDefault="00584EC1">
            <w:pPr>
              <w:rPr>
                <w:rFonts w:ascii="宋体"/>
                <w:vanish/>
              </w:rPr>
            </w:pPr>
          </w:p>
        </w:tc>
      </w:tr>
      <w:tr w:rsidR="00584EC1" w14:paraId="74DDF7DF" w14:textId="77777777">
        <w:tc>
          <w:tcPr>
            <w:tcW w:w="0" w:type="auto"/>
            <w:gridSpan w:val="3"/>
            <w:shd w:val="clear" w:color="auto" w:fill="CCEEFF"/>
            <w:tcMar>
              <w:top w:w="40" w:type="dxa"/>
              <w:left w:w="20" w:type="dxa"/>
              <w:bottom w:w="40" w:type="dxa"/>
              <w:right w:w="20" w:type="dxa"/>
            </w:tcMar>
            <w:vAlign w:val="bottom"/>
          </w:tcPr>
          <w:p w14:paraId="74DDF7C5" w14:textId="77777777" w:rsidR="00584EC1" w:rsidRDefault="00871F8D">
            <w:pPr>
              <w:textAlignment w:val="bottom"/>
            </w:pPr>
            <w:r>
              <w:rPr>
                <w:rFonts w:ascii="Arial" w:eastAsia="宋体" w:hAnsi="Arial" w:cs="Arial"/>
                <w:color w:val="000000"/>
                <w:sz w:val="13"/>
                <w:szCs w:val="13"/>
              </w:rPr>
              <w:t>Interest rate contracts</w:t>
            </w:r>
          </w:p>
        </w:tc>
        <w:tc>
          <w:tcPr>
            <w:tcW w:w="0" w:type="auto"/>
            <w:gridSpan w:val="3"/>
            <w:shd w:val="clear" w:color="auto" w:fill="CCEEFF"/>
            <w:tcMar>
              <w:top w:w="40" w:type="dxa"/>
              <w:left w:w="20" w:type="dxa"/>
              <w:bottom w:w="40" w:type="dxa"/>
              <w:right w:w="20" w:type="dxa"/>
            </w:tcMar>
            <w:vAlign w:val="bottom"/>
          </w:tcPr>
          <w:p w14:paraId="74DDF7C6" w14:textId="77777777" w:rsidR="00584EC1" w:rsidRDefault="00871F8D">
            <w:pPr>
              <w:textAlignment w:val="bottom"/>
            </w:pPr>
            <w:r>
              <w:rPr>
                <w:rFonts w:ascii="Arial" w:eastAsia="宋体" w:hAnsi="Arial" w:cs="Arial"/>
                <w:color w:val="000000"/>
                <w:sz w:val="13"/>
                <w:szCs w:val="13"/>
              </w:rPr>
              <w:t>Net interest income</w:t>
            </w:r>
          </w:p>
        </w:tc>
        <w:tc>
          <w:tcPr>
            <w:tcW w:w="0" w:type="auto"/>
            <w:gridSpan w:val="3"/>
            <w:shd w:val="clear" w:color="auto" w:fill="CCEEFF"/>
            <w:tcMar>
              <w:top w:w="0" w:type="dxa"/>
              <w:left w:w="20" w:type="dxa"/>
              <w:bottom w:w="0" w:type="dxa"/>
              <w:right w:w="20" w:type="dxa"/>
            </w:tcMar>
            <w:vAlign w:val="bottom"/>
          </w:tcPr>
          <w:p w14:paraId="74DDF7C7"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F7C8" w14:textId="77777777" w:rsidR="00584EC1" w:rsidRDefault="00871F8D">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4DDF7C9" w14:textId="77777777" w:rsidR="00584EC1" w:rsidRDefault="00871F8D">
            <w:pPr>
              <w:jc w:val="right"/>
              <w:textAlignment w:val="bottom"/>
            </w:pPr>
            <w:r>
              <w:rPr>
                <w:rFonts w:ascii="Arial" w:eastAsia="宋体" w:hAnsi="Arial" w:cs="Arial"/>
                <w:b/>
                <w:bCs/>
                <w:color w:val="000000"/>
                <w:sz w:val="13"/>
                <w:szCs w:val="13"/>
              </w:rPr>
              <w:t>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F7C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7CB"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F7CC" w14:textId="77777777" w:rsidR="00584EC1" w:rsidRDefault="00871F8D">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74DDF7CD" w14:textId="77777777" w:rsidR="00584EC1" w:rsidRDefault="00871F8D">
            <w:pPr>
              <w:jc w:val="right"/>
              <w:textAlignment w:val="bottom"/>
            </w:pPr>
            <w:r>
              <w:rPr>
                <w:rFonts w:ascii="Arial" w:eastAsia="宋体" w:hAnsi="Arial" w:cs="Arial"/>
                <w:color w:val="000000"/>
                <w:sz w:val="13"/>
                <w:szCs w:val="13"/>
              </w:rPr>
              <w:t>(3)</w:t>
            </w:r>
          </w:p>
        </w:tc>
        <w:tc>
          <w:tcPr>
            <w:tcW w:w="0" w:type="auto"/>
            <w:shd w:val="clear" w:color="auto" w:fill="CCEEFF"/>
            <w:tcMar>
              <w:top w:w="40" w:type="dxa"/>
              <w:left w:w="0" w:type="dxa"/>
              <w:bottom w:w="40" w:type="dxa"/>
              <w:right w:w="20" w:type="dxa"/>
            </w:tcMar>
            <w:vAlign w:val="bottom"/>
          </w:tcPr>
          <w:p w14:paraId="74DDF7CE" w14:textId="77777777" w:rsidR="00584EC1" w:rsidRDefault="00584EC1">
            <w:pPr>
              <w:jc w:val="right"/>
              <w:rPr>
                <w:rFonts w:ascii="宋体"/>
              </w:rPr>
            </w:pPr>
          </w:p>
        </w:tc>
        <w:tc>
          <w:tcPr>
            <w:tcW w:w="0" w:type="auto"/>
            <w:shd w:val="clear" w:color="auto" w:fill="auto"/>
            <w:vAlign w:val="bottom"/>
          </w:tcPr>
          <w:p w14:paraId="74DDF7CF" w14:textId="77777777" w:rsidR="00584EC1" w:rsidRDefault="00584EC1">
            <w:pPr>
              <w:rPr>
                <w:rFonts w:ascii="宋体"/>
                <w:vanish/>
              </w:rPr>
            </w:pPr>
          </w:p>
        </w:tc>
        <w:tc>
          <w:tcPr>
            <w:tcW w:w="0" w:type="auto"/>
            <w:shd w:val="clear" w:color="auto" w:fill="auto"/>
            <w:vAlign w:val="bottom"/>
          </w:tcPr>
          <w:p w14:paraId="74DDF7D0" w14:textId="77777777" w:rsidR="00584EC1" w:rsidRDefault="00584EC1">
            <w:pPr>
              <w:rPr>
                <w:rFonts w:ascii="宋体"/>
                <w:vanish/>
              </w:rPr>
            </w:pPr>
          </w:p>
        </w:tc>
        <w:tc>
          <w:tcPr>
            <w:tcW w:w="0" w:type="auto"/>
            <w:gridSpan w:val="3"/>
            <w:shd w:val="clear" w:color="auto" w:fill="CCEEFF"/>
            <w:tcMar>
              <w:top w:w="0" w:type="dxa"/>
              <w:left w:w="20" w:type="dxa"/>
              <w:bottom w:w="0" w:type="dxa"/>
              <w:right w:w="20" w:type="dxa"/>
            </w:tcMar>
            <w:vAlign w:val="bottom"/>
          </w:tcPr>
          <w:p w14:paraId="74DDF7D1" w14:textId="77777777" w:rsidR="00584EC1" w:rsidRDefault="00584EC1">
            <w:pPr>
              <w:rPr>
                <w:rFonts w:ascii="宋体"/>
              </w:rPr>
            </w:pPr>
          </w:p>
        </w:tc>
        <w:tc>
          <w:tcPr>
            <w:tcW w:w="0" w:type="auto"/>
            <w:gridSpan w:val="3"/>
            <w:shd w:val="clear" w:color="auto" w:fill="CCEEFF"/>
            <w:tcMar>
              <w:top w:w="40" w:type="dxa"/>
              <w:left w:w="20" w:type="dxa"/>
              <w:bottom w:w="40" w:type="dxa"/>
              <w:right w:w="20" w:type="dxa"/>
            </w:tcMar>
            <w:vAlign w:val="bottom"/>
          </w:tcPr>
          <w:p w14:paraId="74DDF7D2" w14:textId="77777777" w:rsidR="00584EC1" w:rsidRDefault="00871F8D">
            <w:pPr>
              <w:textAlignment w:val="bottom"/>
            </w:pPr>
            <w:r>
              <w:rPr>
                <w:rFonts w:ascii="Arial" w:eastAsia="宋体" w:hAnsi="Arial" w:cs="Arial"/>
                <w:color w:val="000000"/>
                <w:sz w:val="13"/>
                <w:szCs w:val="13"/>
              </w:rPr>
              <w:t>Available-for-sale securities</w:t>
            </w:r>
            <w:r>
              <w:rPr>
                <w:rFonts w:ascii="Arial" w:eastAsia="宋体" w:hAnsi="Arial" w:cs="Arial"/>
                <w:color w:val="000000"/>
                <w:sz w:val="8"/>
                <w:szCs w:val="8"/>
              </w:rPr>
              <w:t>(2)</w:t>
            </w:r>
          </w:p>
        </w:tc>
        <w:tc>
          <w:tcPr>
            <w:tcW w:w="0" w:type="auto"/>
            <w:gridSpan w:val="3"/>
            <w:shd w:val="clear" w:color="auto" w:fill="CCEEFF"/>
            <w:tcMar>
              <w:top w:w="0" w:type="dxa"/>
              <w:left w:w="20" w:type="dxa"/>
              <w:bottom w:w="0" w:type="dxa"/>
              <w:right w:w="20" w:type="dxa"/>
            </w:tcMar>
            <w:vAlign w:val="bottom"/>
          </w:tcPr>
          <w:p w14:paraId="74DDF7D3" w14:textId="77777777" w:rsidR="00584EC1" w:rsidRDefault="00584EC1">
            <w:pPr>
              <w:rPr>
                <w:rFonts w:ascii="宋体"/>
              </w:rPr>
            </w:pPr>
          </w:p>
        </w:tc>
        <w:tc>
          <w:tcPr>
            <w:tcW w:w="0" w:type="auto"/>
            <w:gridSpan w:val="3"/>
            <w:shd w:val="clear" w:color="auto" w:fill="CCEEFF"/>
            <w:tcMar>
              <w:top w:w="40" w:type="dxa"/>
              <w:left w:w="20" w:type="dxa"/>
              <w:bottom w:w="40" w:type="dxa"/>
              <w:right w:w="20" w:type="dxa"/>
            </w:tcMar>
            <w:vAlign w:val="bottom"/>
          </w:tcPr>
          <w:p w14:paraId="74DDF7D4" w14:textId="77777777" w:rsidR="00584EC1" w:rsidRDefault="00871F8D">
            <w:pPr>
              <w:textAlignment w:val="bottom"/>
            </w:pPr>
            <w:r>
              <w:rPr>
                <w:rFonts w:ascii="Arial" w:eastAsia="宋体" w:hAnsi="Arial" w:cs="Arial"/>
                <w:color w:val="000000"/>
                <w:sz w:val="13"/>
                <w:szCs w:val="13"/>
              </w:rPr>
              <w:t>Net interest income</w:t>
            </w:r>
          </w:p>
        </w:tc>
        <w:tc>
          <w:tcPr>
            <w:tcW w:w="0" w:type="auto"/>
            <w:gridSpan w:val="3"/>
            <w:shd w:val="clear" w:color="auto" w:fill="CCEEFF"/>
            <w:tcMar>
              <w:top w:w="0" w:type="dxa"/>
              <w:left w:w="20" w:type="dxa"/>
              <w:bottom w:w="0" w:type="dxa"/>
              <w:right w:w="20" w:type="dxa"/>
            </w:tcMar>
            <w:vAlign w:val="bottom"/>
          </w:tcPr>
          <w:p w14:paraId="74DDF7D5"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F7D6" w14:textId="77777777" w:rsidR="00584EC1" w:rsidRDefault="00871F8D">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4DDF7D7" w14:textId="77777777" w:rsidR="00584EC1" w:rsidRDefault="00871F8D">
            <w:pPr>
              <w:jc w:val="right"/>
              <w:textAlignment w:val="bottom"/>
            </w:pPr>
            <w:r>
              <w:rPr>
                <w:rFonts w:ascii="Arial" w:eastAsia="宋体" w:hAnsi="Arial" w:cs="Arial"/>
                <w:b/>
                <w:bCs/>
                <w:color w:val="000000"/>
                <w:sz w:val="13"/>
                <w:szCs w:val="13"/>
              </w:rPr>
              <w:t>(12)</w:t>
            </w:r>
          </w:p>
        </w:tc>
        <w:tc>
          <w:tcPr>
            <w:tcW w:w="0" w:type="auto"/>
            <w:shd w:val="clear" w:color="auto" w:fill="CCEEFF"/>
            <w:tcMar>
              <w:top w:w="40" w:type="dxa"/>
              <w:left w:w="0" w:type="dxa"/>
              <w:bottom w:w="40" w:type="dxa"/>
              <w:right w:w="20" w:type="dxa"/>
            </w:tcMar>
            <w:vAlign w:val="bottom"/>
          </w:tcPr>
          <w:p w14:paraId="74DDF7D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7D9"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F7DA" w14:textId="77777777" w:rsidR="00584EC1" w:rsidRDefault="00871F8D">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74DDF7DB" w14:textId="77777777" w:rsidR="00584EC1" w:rsidRDefault="00871F8D">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F7DC" w14:textId="77777777" w:rsidR="00584EC1" w:rsidRDefault="00584EC1">
            <w:pPr>
              <w:jc w:val="right"/>
              <w:rPr>
                <w:rFonts w:ascii="宋体"/>
              </w:rPr>
            </w:pPr>
          </w:p>
        </w:tc>
        <w:tc>
          <w:tcPr>
            <w:tcW w:w="0" w:type="auto"/>
            <w:gridSpan w:val="3"/>
            <w:shd w:val="clear" w:color="auto" w:fill="auto"/>
            <w:vAlign w:val="bottom"/>
          </w:tcPr>
          <w:p w14:paraId="74DDF7DD" w14:textId="77777777" w:rsidR="00584EC1" w:rsidRDefault="00584EC1">
            <w:pPr>
              <w:rPr>
                <w:rFonts w:ascii="宋体"/>
                <w:vanish/>
              </w:rPr>
            </w:pPr>
          </w:p>
        </w:tc>
        <w:tc>
          <w:tcPr>
            <w:tcW w:w="0" w:type="auto"/>
            <w:gridSpan w:val="3"/>
            <w:shd w:val="clear" w:color="auto" w:fill="auto"/>
            <w:vAlign w:val="bottom"/>
          </w:tcPr>
          <w:p w14:paraId="74DDF7DE" w14:textId="77777777" w:rsidR="00584EC1" w:rsidRDefault="00584EC1">
            <w:pPr>
              <w:rPr>
                <w:rFonts w:ascii="宋体"/>
                <w:vanish/>
              </w:rPr>
            </w:pPr>
          </w:p>
        </w:tc>
      </w:tr>
      <w:tr w:rsidR="00584EC1" w14:paraId="74DDF7F6" w14:textId="77777777">
        <w:tc>
          <w:tcPr>
            <w:tcW w:w="0" w:type="auto"/>
            <w:gridSpan w:val="3"/>
            <w:shd w:val="clear" w:color="auto" w:fill="auto"/>
            <w:tcMar>
              <w:top w:w="40" w:type="dxa"/>
              <w:left w:w="20" w:type="dxa"/>
              <w:bottom w:w="40" w:type="dxa"/>
              <w:right w:w="20" w:type="dxa"/>
            </w:tcMar>
            <w:vAlign w:val="bottom"/>
          </w:tcPr>
          <w:p w14:paraId="74DDF7E0" w14:textId="77777777" w:rsidR="00584EC1" w:rsidRDefault="00871F8D">
            <w:pPr>
              <w:textAlignment w:val="bottom"/>
            </w:pPr>
            <w:r>
              <w:rPr>
                <w:rFonts w:ascii="Arial" w:eastAsia="宋体" w:hAnsi="Arial" w:cs="Arial"/>
                <w:color w:val="000000"/>
                <w:sz w:val="13"/>
                <w:szCs w:val="13"/>
              </w:rPr>
              <w:t>Interest rate contracts</w:t>
            </w:r>
          </w:p>
        </w:tc>
        <w:tc>
          <w:tcPr>
            <w:tcW w:w="0" w:type="auto"/>
            <w:gridSpan w:val="3"/>
            <w:shd w:val="clear" w:color="auto" w:fill="auto"/>
            <w:tcMar>
              <w:top w:w="40" w:type="dxa"/>
              <w:left w:w="20" w:type="dxa"/>
              <w:bottom w:w="40" w:type="dxa"/>
              <w:right w:w="20" w:type="dxa"/>
            </w:tcMar>
            <w:vAlign w:val="bottom"/>
          </w:tcPr>
          <w:p w14:paraId="74DDF7E1" w14:textId="77777777" w:rsidR="00584EC1" w:rsidRDefault="00871F8D">
            <w:pPr>
              <w:textAlignment w:val="bottom"/>
            </w:pPr>
            <w:r>
              <w:rPr>
                <w:rFonts w:ascii="Arial" w:eastAsia="宋体" w:hAnsi="Arial" w:cs="Arial"/>
                <w:color w:val="000000"/>
                <w:sz w:val="13"/>
                <w:szCs w:val="13"/>
              </w:rPr>
              <w:t xml:space="preserve">Net </w:t>
            </w:r>
            <w:r>
              <w:rPr>
                <w:rFonts w:ascii="Arial" w:eastAsia="宋体" w:hAnsi="Arial" w:cs="Arial"/>
                <w:color w:val="000000"/>
                <w:sz w:val="13"/>
                <w:szCs w:val="13"/>
              </w:rPr>
              <w:t>interest income</w:t>
            </w:r>
          </w:p>
        </w:tc>
        <w:tc>
          <w:tcPr>
            <w:tcW w:w="0" w:type="auto"/>
            <w:gridSpan w:val="3"/>
            <w:shd w:val="clear" w:color="auto" w:fill="auto"/>
            <w:tcMar>
              <w:top w:w="0" w:type="dxa"/>
              <w:left w:w="20" w:type="dxa"/>
              <w:bottom w:w="0" w:type="dxa"/>
              <w:right w:w="20" w:type="dxa"/>
            </w:tcMar>
            <w:vAlign w:val="bottom"/>
          </w:tcPr>
          <w:p w14:paraId="74DDF7E2" w14:textId="77777777" w:rsidR="00584EC1" w:rsidRDefault="00584EC1">
            <w:pPr>
              <w:rPr>
                <w:rFonts w:ascii="宋体"/>
              </w:rPr>
            </w:pPr>
          </w:p>
        </w:tc>
        <w:tc>
          <w:tcPr>
            <w:tcW w:w="0" w:type="auto"/>
            <w:gridSpan w:val="2"/>
            <w:shd w:val="clear" w:color="auto" w:fill="auto"/>
            <w:tcMar>
              <w:top w:w="40" w:type="dxa"/>
              <w:left w:w="20" w:type="dxa"/>
              <w:bottom w:w="40" w:type="dxa"/>
              <w:right w:w="0" w:type="dxa"/>
            </w:tcMar>
            <w:vAlign w:val="bottom"/>
          </w:tcPr>
          <w:p w14:paraId="74DDF7E3" w14:textId="77777777" w:rsidR="00584EC1" w:rsidRDefault="00871F8D">
            <w:pPr>
              <w:jc w:val="right"/>
              <w:textAlignment w:val="bottom"/>
            </w:pPr>
            <w:r>
              <w:rPr>
                <w:rFonts w:ascii="Arial" w:eastAsia="宋体" w:hAnsi="Arial" w:cs="Arial"/>
                <w:b/>
                <w:bCs/>
                <w:color w:val="000000"/>
                <w:sz w:val="13"/>
                <w:szCs w:val="13"/>
              </w:rPr>
              <w:t>(26)</w:t>
            </w:r>
          </w:p>
        </w:tc>
        <w:tc>
          <w:tcPr>
            <w:tcW w:w="0" w:type="auto"/>
            <w:shd w:val="clear" w:color="auto" w:fill="auto"/>
            <w:tcMar>
              <w:top w:w="40" w:type="dxa"/>
              <w:left w:w="0" w:type="dxa"/>
              <w:bottom w:w="40" w:type="dxa"/>
              <w:right w:w="20" w:type="dxa"/>
            </w:tcMar>
            <w:vAlign w:val="bottom"/>
          </w:tcPr>
          <w:p w14:paraId="74DDF7E4" w14:textId="77777777" w:rsidR="00584EC1" w:rsidRDefault="00584EC1">
            <w:pPr>
              <w:jc w:val="right"/>
              <w:rPr>
                <w:rFonts w:ascii="宋体"/>
              </w:rPr>
            </w:pPr>
          </w:p>
        </w:tc>
        <w:tc>
          <w:tcPr>
            <w:tcW w:w="0" w:type="auto"/>
            <w:gridSpan w:val="3"/>
            <w:shd w:val="clear" w:color="auto" w:fill="auto"/>
            <w:tcMar>
              <w:top w:w="0" w:type="dxa"/>
              <w:left w:w="20" w:type="dxa"/>
              <w:bottom w:w="0" w:type="dxa"/>
              <w:right w:w="20" w:type="dxa"/>
            </w:tcMar>
            <w:vAlign w:val="bottom"/>
          </w:tcPr>
          <w:p w14:paraId="74DDF7E5" w14:textId="77777777" w:rsidR="00584EC1" w:rsidRDefault="00584EC1">
            <w:pPr>
              <w:rPr>
                <w:rFonts w:ascii="宋体"/>
              </w:rPr>
            </w:pPr>
          </w:p>
        </w:tc>
        <w:tc>
          <w:tcPr>
            <w:tcW w:w="0" w:type="auto"/>
            <w:gridSpan w:val="2"/>
            <w:shd w:val="clear" w:color="auto" w:fill="auto"/>
            <w:tcMar>
              <w:top w:w="40" w:type="dxa"/>
              <w:left w:w="20" w:type="dxa"/>
              <w:bottom w:w="40" w:type="dxa"/>
              <w:right w:w="0" w:type="dxa"/>
            </w:tcMar>
            <w:vAlign w:val="bottom"/>
          </w:tcPr>
          <w:p w14:paraId="74DDF7E6" w14:textId="77777777" w:rsidR="00584EC1" w:rsidRDefault="00871F8D">
            <w:pPr>
              <w:jc w:val="right"/>
              <w:textAlignment w:val="bottom"/>
            </w:pPr>
            <w:r>
              <w:rPr>
                <w:rFonts w:ascii="Arial" w:eastAsia="宋体" w:hAnsi="Arial" w:cs="Arial"/>
                <w:color w:val="000000"/>
                <w:sz w:val="13"/>
                <w:szCs w:val="13"/>
              </w:rPr>
              <w:t>564 </w:t>
            </w:r>
          </w:p>
        </w:tc>
        <w:tc>
          <w:tcPr>
            <w:tcW w:w="0" w:type="auto"/>
            <w:shd w:val="clear" w:color="auto" w:fill="auto"/>
            <w:tcMar>
              <w:top w:w="40" w:type="dxa"/>
              <w:left w:w="0" w:type="dxa"/>
              <w:bottom w:w="40" w:type="dxa"/>
              <w:right w:w="20" w:type="dxa"/>
            </w:tcMar>
            <w:vAlign w:val="bottom"/>
          </w:tcPr>
          <w:p w14:paraId="74DDF7E7" w14:textId="77777777" w:rsidR="00584EC1" w:rsidRDefault="00584EC1">
            <w:pPr>
              <w:jc w:val="right"/>
              <w:rPr>
                <w:rFonts w:ascii="宋体"/>
              </w:rPr>
            </w:pPr>
          </w:p>
        </w:tc>
        <w:tc>
          <w:tcPr>
            <w:tcW w:w="0" w:type="auto"/>
            <w:shd w:val="clear" w:color="auto" w:fill="auto"/>
            <w:vAlign w:val="bottom"/>
          </w:tcPr>
          <w:p w14:paraId="74DDF7E8" w14:textId="77777777" w:rsidR="00584EC1" w:rsidRDefault="00584EC1">
            <w:pPr>
              <w:rPr>
                <w:rFonts w:ascii="宋体"/>
                <w:vanish/>
              </w:rPr>
            </w:pPr>
          </w:p>
        </w:tc>
        <w:tc>
          <w:tcPr>
            <w:tcW w:w="0" w:type="auto"/>
            <w:shd w:val="clear" w:color="auto" w:fill="auto"/>
            <w:vAlign w:val="bottom"/>
          </w:tcPr>
          <w:p w14:paraId="74DDF7E9" w14:textId="77777777" w:rsidR="00584EC1" w:rsidRDefault="00584EC1">
            <w:pPr>
              <w:rPr>
                <w:rFonts w:ascii="宋体"/>
                <w:vanish/>
              </w:rPr>
            </w:pPr>
          </w:p>
        </w:tc>
        <w:tc>
          <w:tcPr>
            <w:tcW w:w="0" w:type="auto"/>
            <w:gridSpan w:val="3"/>
            <w:shd w:val="clear" w:color="auto" w:fill="auto"/>
            <w:tcMar>
              <w:top w:w="0" w:type="dxa"/>
              <w:left w:w="20" w:type="dxa"/>
              <w:bottom w:w="0" w:type="dxa"/>
              <w:right w:w="20" w:type="dxa"/>
            </w:tcMar>
            <w:vAlign w:val="bottom"/>
          </w:tcPr>
          <w:p w14:paraId="74DDF7EA"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F7EB" w14:textId="77777777" w:rsidR="00584EC1" w:rsidRDefault="00871F8D">
            <w:pPr>
              <w:textAlignment w:val="bottom"/>
            </w:pPr>
            <w:r>
              <w:rPr>
                <w:rFonts w:ascii="Arial" w:eastAsia="宋体" w:hAnsi="Arial" w:cs="Arial"/>
                <w:color w:val="000000"/>
                <w:sz w:val="13"/>
                <w:szCs w:val="13"/>
              </w:rPr>
              <w:t>Long-term debt</w:t>
            </w:r>
          </w:p>
        </w:tc>
        <w:tc>
          <w:tcPr>
            <w:tcW w:w="0" w:type="auto"/>
            <w:gridSpan w:val="3"/>
            <w:shd w:val="clear" w:color="auto" w:fill="auto"/>
            <w:tcMar>
              <w:top w:w="0" w:type="dxa"/>
              <w:left w:w="20" w:type="dxa"/>
              <w:bottom w:w="0" w:type="dxa"/>
              <w:right w:w="20" w:type="dxa"/>
            </w:tcMar>
            <w:vAlign w:val="bottom"/>
          </w:tcPr>
          <w:p w14:paraId="74DDF7EC"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F7ED" w14:textId="77777777" w:rsidR="00584EC1" w:rsidRDefault="00871F8D">
            <w:pPr>
              <w:textAlignment w:val="bottom"/>
            </w:pPr>
            <w:r>
              <w:rPr>
                <w:rFonts w:ascii="Arial" w:eastAsia="宋体" w:hAnsi="Arial" w:cs="Arial"/>
                <w:color w:val="000000"/>
                <w:sz w:val="13"/>
                <w:szCs w:val="13"/>
              </w:rPr>
              <w:t>Net interest income</w:t>
            </w:r>
          </w:p>
        </w:tc>
        <w:tc>
          <w:tcPr>
            <w:tcW w:w="0" w:type="auto"/>
            <w:gridSpan w:val="3"/>
            <w:shd w:val="clear" w:color="auto" w:fill="auto"/>
            <w:tcMar>
              <w:top w:w="0" w:type="dxa"/>
              <w:left w:w="20" w:type="dxa"/>
              <w:bottom w:w="0" w:type="dxa"/>
              <w:right w:w="20" w:type="dxa"/>
            </w:tcMar>
            <w:vAlign w:val="bottom"/>
          </w:tcPr>
          <w:p w14:paraId="74DDF7EE" w14:textId="77777777" w:rsidR="00584EC1" w:rsidRDefault="00584EC1">
            <w:pPr>
              <w:rPr>
                <w:rFonts w:ascii="宋体"/>
              </w:rPr>
            </w:pPr>
          </w:p>
        </w:tc>
        <w:tc>
          <w:tcPr>
            <w:tcW w:w="0" w:type="auto"/>
            <w:gridSpan w:val="2"/>
            <w:shd w:val="clear" w:color="auto" w:fill="auto"/>
            <w:tcMar>
              <w:top w:w="40" w:type="dxa"/>
              <w:left w:w="20" w:type="dxa"/>
              <w:bottom w:w="40" w:type="dxa"/>
              <w:right w:w="0" w:type="dxa"/>
            </w:tcMar>
            <w:vAlign w:val="bottom"/>
          </w:tcPr>
          <w:p w14:paraId="74DDF7EF" w14:textId="77777777" w:rsidR="00584EC1" w:rsidRDefault="00871F8D">
            <w:pPr>
              <w:jc w:val="right"/>
              <w:textAlignment w:val="bottom"/>
            </w:pPr>
            <w:r>
              <w:rPr>
                <w:rFonts w:ascii="Arial" w:eastAsia="宋体" w:hAnsi="Arial" w:cs="Arial"/>
                <w:b/>
                <w:bCs/>
                <w:color w:val="000000"/>
                <w:sz w:val="13"/>
                <w:szCs w:val="13"/>
              </w:rPr>
              <w:t>26</w:t>
            </w:r>
            <w:r>
              <w:rPr>
                <w:rFonts w:ascii="Arial" w:eastAsia="宋体" w:hAnsi="Arial" w:cs="Arial"/>
                <w:color w:val="000000"/>
                <w:sz w:val="13"/>
                <w:szCs w:val="13"/>
              </w:rPr>
              <w:t> </w:t>
            </w:r>
          </w:p>
        </w:tc>
        <w:tc>
          <w:tcPr>
            <w:tcW w:w="0" w:type="auto"/>
            <w:shd w:val="clear" w:color="auto" w:fill="auto"/>
            <w:tcMar>
              <w:top w:w="40" w:type="dxa"/>
              <w:left w:w="0" w:type="dxa"/>
              <w:bottom w:w="40" w:type="dxa"/>
              <w:right w:w="20" w:type="dxa"/>
            </w:tcMar>
            <w:vAlign w:val="bottom"/>
          </w:tcPr>
          <w:p w14:paraId="74DDF7F0" w14:textId="77777777" w:rsidR="00584EC1" w:rsidRDefault="00584EC1">
            <w:pPr>
              <w:jc w:val="right"/>
              <w:rPr>
                <w:rFonts w:ascii="宋体"/>
              </w:rPr>
            </w:pPr>
          </w:p>
        </w:tc>
        <w:tc>
          <w:tcPr>
            <w:tcW w:w="0" w:type="auto"/>
            <w:gridSpan w:val="3"/>
            <w:shd w:val="clear" w:color="auto" w:fill="auto"/>
            <w:tcMar>
              <w:top w:w="0" w:type="dxa"/>
              <w:left w:w="20" w:type="dxa"/>
              <w:bottom w:w="0" w:type="dxa"/>
              <w:right w:w="20" w:type="dxa"/>
            </w:tcMar>
            <w:vAlign w:val="bottom"/>
          </w:tcPr>
          <w:p w14:paraId="74DDF7F1" w14:textId="77777777" w:rsidR="00584EC1" w:rsidRDefault="00584EC1">
            <w:pPr>
              <w:rPr>
                <w:rFonts w:ascii="宋体"/>
              </w:rPr>
            </w:pPr>
          </w:p>
        </w:tc>
        <w:tc>
          <w:tcPr>
            <w:tcW w:w="0" w:type="auto"/>
            <w:gridSpan w:val="2"/>
            <w:shd w:val="clear" w:color="auto" w:fill="auto"/>
            <w:tcMar>
              <w:top w:w="40" w:type="dxa"/>
              <w:left w:w="20" w:type="dxa"/>
              <w:bottom w:w="40" w:type="dxa"/>
              <w:right w:w="0" w:type="dxa"/>
            </w:tcMar>
            <w:vAlign w:val="bottom"/>
          </w:tcPr>
          <w:p w14:paraId="74DDF7F2" w14:textId="77777777" w:rsidR="00584EC1" w:rsidRDefault="00871F8D">
            <w:pPr>
              <w:jc w:val="right"/>
              <w:textAlignment w:val="bottom"/>
            </w:pPr>
            <w:r>
              <w:rPr>
                <w:rFonts w:ascii="Arial" w:eastAsia="宋体" w:hAnsi="Arial" w:cs="Arial"/>
                <w:color w:val="000000"/>
                <w:sz w:val="13"/>
                <w:szCs w:val="13"/>
              </w:rPr>
              <w:t>(557)</w:t>
            </w:r>
          </w:p>
        </w:tc>
        <w:tc>
          <w:tcPr>
            <w:tcW w:w="0" w:type="auto"/>
            <w:shd w:val="clear" w:color="auto" w:fill="auto"/>
            <w:tcMar>
              <w:top w:w="40" w:type="dxa"/>
              <w:left w:w="0" w:type="dxa"/>
              <w:bottom w:w="40" w:type="dxa"/>
              <w:right w:w="20" w:type="dxa"/>
            </w:tcMar>
            <w:vAlign w:val="bottom"/>
          </w:tcPr>
          <w:p w14:paraId="74DDF7F3" w14:textId="77777777" w:rsidR="00584EC1" w:rsidRDefault="00584EC1">
            <w:pPr>
              <w:jc w:val="right"/>
              <w:rPr>
                <w:rFonts w:ascii="宋体"/>
              </w:rPr>
            </w:pPr>
          </w:p>
        </w:tc>
        <w:tc>
          <w:tcPr>
            <w:tcW w:w="0" w:type="auto"/>
            <w:gridSpan w:val="3"/>
            <w:shd w:val="clear" w:color="auto" w:fill="auto"/>
            <w:vAlign w:val="bottom"/>
          </w:tcPr>
          <w:p w14:paraId="74DDF7F4" w14:textId="77777777" w:rsidR="00584EC1" w:rsidRDefault="00584EC1">
            <w:pPr>
              <w:rPr>
                <w:rFonts w:ascii="宋体"/>
                <w:vanish/>
              </w:rPr>
            </w:pPr>
          </w:p>
        </w:tc>
        <w:tc>
          <w:tcPr>
            <w:tcW w:w="0" w:type="auto"/>
            <w:gridSpan w:val="3"/>
            <w:shd w:val="clear" w:color="auto" w:fill="auto"/>
            <w:vAlign w:val="bottom"/>
          </w:tcPr>
          <w:p w14:paraId="74DDF7F5" w14:textId="77777777" w:rsidR="00584EC1" w:rsidRDefault="00584EC1">
            <w:pPr>
              <w:rPr>
                <w:rFonts w:ascii="宋体"/>
                <w:vanish/>
              </w:rPr>
            </w:pPr>
          </w:p>
        </w:tc>
      </w:tr>
      <w:tr w:rsidR="00584EC1" w14:paraId="74DDF809" w14:textId="77777777">
        <w:trPr>
          <w:hidden/>
        </w:trPr>
        <w:tc>
          <w:tcPr>
            <w:tcW w:w="0" w:type="auto"/>
            <w:gridSpan w:val="3"/>
            <w:shd w:val="clear" w:color="auto" w:fill="auto"/>
            <w:vAlign w:val="bottom"/>
          </w:tcPr>
          <w:p w14:paraId="74DDF7F7" w14:textId="77777777" w:rsidR="00584EC1" w:rsidRDefault="00584EC1">
            <w:pPr>
              <w:rPr>
                <w:rFonts w:ascii="宋体"/>
                <w:vanish/>
              </w:rPr>
            </w:pPr>
          </w:p>
        </w:tc>
        <w:tc>
          <w:tcPr>
            <w:tcW w:w="0" w:type="auto"/>
            <w:gridSpan w:val="3"/>
            <w:shd w:val="clear" w:color="auto" w:fill="auto"/>
            <w:vAlign w:val="bottom"/>
          </w:tcPr>
          <w:p w14:paraId="74DDF7F8" w14:textId="77777777" w:rsidR="00584EC1" w:rsidRDefault="00584EC1">
            <w:pPr>
              <w:rPr>
                <w:rFonts w:ascii="宋体"/>
                <w:vanish/>
              </w:rPr>
            </w:pPr>
          </w:p>
        </w:tc>
        <w:tc>
          <w:tcPr>
            <w:tcW w:w="0" w:type="auto"/>
            <w:gridSpan w:val="3"/>
            <w:shd w:val="clear" w:color="auto" w:fill="auto"/>
            <w:vAlign w:val="bottom"/>
          </w:tcPr>
          <w:p w14:paraId="74DDF7F9" w14:textId="77777777" w:rsidR="00584EC1" w:rsidRDefault="00584EC1">
            <w:pPr>
              <w:rPr>
                <w:rFonts w:ascii="宋体"/>
                <w:vanish/>
              </w:rPr>
            </w:pPr>
          </w:p>
        </w:tc>
        <w:tc>
          <w:tcPr>
            <w:tcW w:w="0" w:type="auto"/>
            <w:gridSpan w:val="3"/>
            <w:shd w:val="clear" w:color="auto" w:fill="auto"/>
            <w:vAlign w:val="bottom"/>
          </w:tcPr>
          <w:p w14:paraId="74DDF7FA" w14:textId="77777777" w:rsidR="00584EC1" w:rsidRDefault="00584EC1">
            <w:pPr>
              <w:rPr>
                <w:rFonts w:ascii="宋体"/>
                <w:vanish/>
              </w:rPr>
            </w:pPr>
          </w:p>
        </w:tc>
        <w:tc>
          <w:tcPr>
            <w:tcW w:w="0" w:type="auto"/>
            <w:gridSpan w:val="3"/>
            <w:shd w:val="clear" w:color="auto" w:fill="auto"/>
            <w:vAlign w:val="bottom"/>
          </w:tcPr>
          <w:p w14:paraId="74DDF7FB" w14:textId="77777777" w:rsidR="00584EC1" w:rsidRDefault="00584EC1">
            <w:pPr>
              <w:rPr>
                <w:rFonts w:ascii="宋体"/>
                <w:vanish/>
              </w:rPr>
            </w:pPr>
          </w:p>
        </w:tc>
        <w:tc>
          <w:tcPr>
            <w:tcW w:w="0" w:type="auto"/>
            <w:gridSpan w:val="3"/>
            <w:shd w:val="clear" w:color="auto" w:fill="auto"/>
            <w:vAlign w:val="bottom"/>
          </w:tcPr>
          <w:p w14:paraId="74DDF7FC" w14:textId="77777777" w:rsidR="00584EC1" w:rsidRDefault="00584EC1">
            <w:pPr>
              <w:rPr>
                <w:rFonts w:ascii="宋体"/>
                <w:vanish/>
              </w:rPr>
            </w:pPr>
          </w:p>
        </w:tc>
        <w:tc>
          <w:tcPr>
            <w:tcW w:w="0" w:type="auto"/>
            <w:shd w:val="clear" w:color="auto" w:fill="auto"/>
            <w:vAlign w:val="bottom"/>
          </w:tcPr>
          <w:p w14:paraId="74DDF7FD" w14:textId="77777777" w:rsidR="00584EC1" w:rsidRDefault="00584EC1">
            <w:pPr>
              <w:rPr>
                <w:rFonts w:ascii="宋体"/>
                <w:vanish/>
              </w:rPr>
            </w:pPr>
          </w:p>
        </w:tc>
        <w:tc>
          <w:tcPr>
            <w:tcW w:w="0" w:type="auto"/>
            <w:shd w:val="clear" w:color="auto" w:fill="auto"/>
            <w:vAlign w:val="bottom"/>
          </w:tcPr>
          <w:p w14:paraId="74DDF7FE" w14:textId="77777777" w:rsidR="00584EC1" w:rsidRDefault="00584EC1">
            <w:pPr>
              <w:rPr>
                <w:rFonts w:ascii="宋体"/>
                <w:vanish/>
              </w:rPr>
            </w:pPr>
          </w:p>
        </w:tc>
        <w:tc>
          <w:tcPr>
            <w:tcW w:w="0" w:type="auto"/>
            <w:gridSpan w:val="3"/>
            <w:shd w:val="clear" w:color="auto" w:fill="auto"/>
            <w:vAlign w:val="bottom"/>
          </w:tcPr>
          <w:p w14:paraId="74DDF7FF" w14:textId="77777777" w:rsidR="00584EC1" w:rsidRDefault="00584EC1">
            <w:pPr>
              <w:rPr>
                <w:rFonts w:ascii="宋体"/>
                <w:vanish/>
              </w:rPr>
            </w:pPr>
          </w:p>
        </w:tc>
        <w:tc>
          <w:tcPr>
            <w:tcW w:w="0" w:type="auto"/>
            <w:gridSpan w:val="3"/>
            <w:shd w:val="clear" w:color="auto" w:fill="auto"/>
            <w:vAlign w:val="bottom"/>
          </w:tcPr>
          <w:p w14:paraId="74DDF800" w14:textId="77777777" w:rsidR="00584EC1" w:rsidRDefault="00584EC1">
            <w:pPr>
              <w:rPr>
                <w:rFonts w:ascii="宋体"/>
                <w:vanish/>
              </w:rPr>
            </w:pPr>
          </w:p>
        </w:tc>
        <w:tc>
          <w:tcPr>
            <w:tcW w:w="0" w:type="auto"/>
            <w:gridSpan w:val="3"/>
            <w:shd w:val="clear" w:color="auto" w:fill="auto"/>
            <w:vAlign w:val="bottom"/>
          </w:tcPr>
          <w:p w14:paraId="74DDF801" w14:textId="77777777" w:rsidR="00584EC1" w:rsidRDefault="00584EC1">
            <w:pPr>
              <w:rPr>
                <w:rFonts w:ascii="宋体"/>
                <w:vanish/>
              </w:rPr>
            </w:pPr>
          </w:p>
        </w:tc>
        <w:tc>
          <w:tcPr>
            <w:tcW w:w="0" w:type="auto"/>
            <w:gridSpan w:val="3"/>
            <w:shd w:val="clear" w:color="auto" w:fill="auto"/>
            <w:vAlign w:val="bottom"/>
          </w:tcPr>
          <w:p w14:paraId="74DDF802" w14:textId="77777777" w:rsidR="00584EC1" w:rsidRDefault="00584EC1">
            <w:pPr>
              <w:rPr>
                <w:rFonts w:ascii="宋体"/>
                <w:vanish/>
              </w:rPr>
            </w:pPr>
          </w:p>
        </w:tc>
        <w:tc>
          <w:tcPr>
            <w:tcW w:w="0" w:type="auto"/>
            <w:gridSpan w:val="3"/>
            <w:shd w:val="clear" w:color="auto" w:fill="auto"/>
            <w:vAlign w:val="bottom"/>
          </w:tcPr>
          <w:p w14:paraId="74DDF803" w14:textId="77777777" w:rsidR="00584EC1" w:rsidRDefault="00584EC1">
            <w:pPr>
              <w:rPr>
                <w:rFonts w:ascii="宋体"/>
                <w:vanish/>
              </w:rPr>
            </w:pPr>
          </w:p>
        </w:tc>
        <w:tc>
          <w:tcPr>
            <w:tcW w:w="0" w:type="auto"/>
            <w:gridSpan w:val="3"/>
            <w:shd w:val="clear" w:color="auto" w:fill="auto"/>
            <w:vAlign w:val="bottom"/>
          </w:tcPr>
          <w:p w14:paraId="74DDF804" w14:textId="77777777" w:rsidR="00584EC1" w:rsidRDefault="00584EC1">
            <w:pPr>
              <w:rPr>
                <w:rFonts w:ascii="宋体"/>
                <w:vanish/>
              </w:rPr>
            </w:pPr>
          </w:p>
        </w:tc>
        <w:tc>
          <w:tcPr>
            <w:tcW w:w="0" w:type="auto"/>
            <w:gridSpan w:val="3"/>
            <w:shd w:val="clear" w:color="auto" w:fill="auto"/>
            <w:vAlign w:val="bottom"/>
          </w:tcPr>
          <w:p w14:paraId="74DDF805" w14:textId="77777777" w:rsidR="00584EC1" w:rsidRDefault="00584EC1">
            <w:pPr>
              <w:rPr>
                <w:rFonts w:ascii="宋体"/>
                <w:vanish/>
              </w:rPr>
            </w:pPr>
          </w:p>
        </w:tc>
        <w:tc>
          <w:tcPr>
            <w:tcW w:w="0" w:type="auto"/>
            <w:gridSpan w:val="3"/>
            <w:shd w:val="clear" w:color="auto" w:fill="auto"/>
            <w:vAlign w:val="bottom"/>
          </w:tcPr>
          <w:p w14:paraId="74DDF806" w14:textId="77777777" w:rsidR="00584EC1" w:rsidRDefault="00584EC1">
            <w:pPr>
              <w:rPr>
                <w:rFonts w:ascii="宋体"/>
                <w:vanish/>
              </w:rPr>
            </w:pPr>
          </w:p>
        </w:tc>
        <w:tc>
          <w:tcPr>
            <w:tcW w:w="0" w:type="auto"/>
            <w:gridSpan w:val="3"/>
            <w:shd w:val="clear" w:color="auto" w:fill="auto"/>
            <w:vAlign w:val="bottom"/>
          </w:tcPr>
          <w:p w14:paraId="74DDF807" w14:textId="77777777" w:rsidR="00584EC1" w:rsidRDefault="00584EC1">
            <w:pPr>
              <w:rPr>
                <w:rFonts w:ascii="宋体"/>
                <w:vanish/>
              </w:rPr>
            </w:pPr>
          </w:p>
        </w:tc>
        <w:tc>
          <w:tcPr>
            <w:tcW w:w="0" w:type="auto"/>
            <w:gridSpan w:val="3"/>
            <w:shd w:val="clear" w:color="auto" w:fill="auto"/>
            <w:vAlign w:val="bottom"/>
          </w:tcPr>
          <w:p w14:paraId="74DDF808" w14:textId="77777777" w:rsidR="00584EC1" w:rsidRDefault="00584EC1">
            <w:pPr>
              <w:rPr>
                <w:rFonts w:ascii="宋体"/>
                <w:vanish/>
              </w:rPr>
            </w:pPr>
          </w:p>
        </w:tc>
      </w:tr>
      <w:tr w:rsidR="00584EC1" w14:paraId="74DDF81C" w14:textId="77777777">
        <w:trPr>
          <w:hidden/>
        </w:trPr>
        <w:tc>
          <w:tcPr>
            <w:tcW w:w="0" w:type="auto"/>
            <w:gridSpan w:val="3"/>
            <w:shd w:val="clear" w:color="auto" w:fill="auto"/>
            <w:vAlign w:val="bottom"/>
          </w:tcPr>
          <w:p w14:paraId="74DDF80A" w14:textId="77777777" w:rsidR="00584EC1" w:rsidRDefault="00584EC1">
            <w:pPr>
              <w:rPr>
                <w:rFonts w:ascii="宋体"/>
                <w:vanish/>
              </w:rPr>
            </w:pPr>
          </w:p>
        </w:tc>
        <w:tc>
          <w:tcPr>
            <w:tcW w:w="0" w:type="auto"/>
            <w:gridSpan w:val="3"/>
            <w:shd w:val="clear" w:color="auto" w:fill="auto"/>
            <w:vAlign w:val="bottom"/>
          </w:tcPr>
          <w:p w14:paraId="74DDF80B" w14:textId="77777777" w:rsidR="00584EC1" w:rsidRDefault="00584EC1">
            <w:pPr>
              <w:rPr>
                <w:rFonts w:ascii="宋体"/>
                <w:vanish/>
              </w:rPr>
            </w:pPr>
          </w:p>
        </w:tc>
        <w:tc>
          <w:tcPr>
            <w:tcW w:w="0" w:type="auto"/>
            <w:gridSpan w:val="3"/>
            <w:shd w:val="clear" w:color="auto" w:fill="auto"/>
            <w:vAlign w:val="bottom"/>
          </w:tcPr>
          <w:p w14:paraId="74DDF80C" w14:textId="77777777" w:rsidR="00584EC1" w:rsidRDefault="00584EC1">
            <w:pPr>
              <w:rPr>
                <w:rFonts w:ascii="宋体"/>
                <w:vanish/>
              </w:rPr>
            </w:pPr>
          </w:p>
        </w:tc>
        <w:tc>
          <w:tcPr>
            <w:tcW w:w="0" w:type="auto"/>
            <w:gridSpan w:val="3"/>
            <w:shd w:val="clear" w:color="auto" w:fill="auto"/>
            <w:vAlign w:val="bottom"/>
          </w:tcPr>
          <w:p w14:paraId="74DDF80D" w14:textId="77777777" w:rsidR="00584EC1" w:rsidRDefault="00584EC1">
            <w:pPr>
              <w:rPr>
                <w:rFonts w:ascii="宋体"/>
                <w:vanish/>
              </w:rPr>
            </w:pPr>
          </w:p>
        </w:tc>
        <w:tc>
          <w:tcPr>
            <w:tcW w:w="0" w:type="auto"/>
            <w:gridSpan w:val="3"/>
            <w:shd w:val="clear" w:color="auto" w:fill="auto"/>
            <w:vAlign w:val="bottom"/>
          </w:tcPr>
          <w:p w14:paraId="74DDF80E" w14:textId="77777777" w:rsidR="00584EC1" w:rsidRDefault="00584EC1">
            <w:pPr>
              <w:rPr>
                <w:rFonts w:ascii="宋体"/>
                <w:vanish/>
              </w:rPr>
            </w:pPr>
          </w:p>
        </w:tc>
        <w:tc>
          <w:tcPr>
            <w:tcW w:w="0" w:type="auto"/>
            <w:gridSpan w:val="3"/>
            <w:shd w:val="clear" w:color="auto" w:fill="auto"/>
            <w:vAlign w:val="bottom"/>
          </w:tcPr>
          <w:p w14:paraId="74DDF80F" w14:textId="77777777" w:rsidR="00584EC1" w:rsidRDefault="00584EC1">
            <w:pPr>
              <w:rPr>
                <w:rFonts w:ascii="宋体"/>
                <w:vanish/>
              </w:rPr>
            </w:pPr>
          </w:p>
        </w:tc>
        <w:tc>
          <w:tcPr>
            <w:tcW w:w="0" w:type="auto"/>
            <w:shd w:val="clear" w:color="auto" w:fill="auto"/>
            <w:vAlign w:val="bottom"/>
          </w:tcPr>
          <w:p w14:paraId="74DDF810" w14:textId="77777777" w:rsidR="00584EC1" w:rsidRDefault="00584EC1">
            <w:pPr>
              <w:rPr>
                <w:rFonts w:ascii="宋体"/>
                <w:vanish/>
              </w:rPr>
            </w:pPr>
          </w:p>
        </w:tc>
        <w:tc>
          <w:tcPr>
            <w:tcW w:w="0" w:type="auto"/>
            <w:shd w:val="clear" w:color="auto" w:fill="auto"/>
            <w:vAlign w:val="bottom"/>
          </w:tcPr>
          <w:p w14:paraId="74DDF811" w14:textId="77777777" w:rsidR="00584EC1" w:rsidRDefault="00584EC1">
            <w:pPr>
              <w:rPr>
                <w:rFonts w:ascii="宋体"/>
                <w:vanish/>
              </w:rPr>
            </w:pPr>
          </w:p>
        </w:tc>
        <w:tc>
          <w:tcPr>
            <w:tcW w:w="0" w:type="auto"/>
            <w:gridSpan w:val="3"/>
            <w:shd w:val="clear" w:color="auto" w:fill="auto"/>
            <w:vAlign w:val="bottom"/>
          </w:tcPr>
          <w:p w14:paraId="74DDF812" w14:textId="77777777" w:rsidR="00584EC1" w:rsidRDefault="00584EC1">
            <w:pPr>
              <w:rPr>
                <w:rFonts w:ascii="宋体"/>
                <w:vanish/>
              </w:rPr>
            </w:pPr>
          </w:p>
        </w:tc>
        <w:tc>
          <w:tcPr>
            <w:tcW w:w="0" w:type="auto"/>
            <w:gridSpan w:val="3"/>
            <w:shd w:val="clear" w:color="auto" w:fill="auto"/>
            <w:vAlign w:val="bottom"/>
          </w:tcPr>
          <w:p w14:paraId="74DDF813" w14:textId="77777777" w:rsidR="00584EC1" w:rsidRDefault="00584EC1">
            <w:pPr>
              <w:rPr>
                <w:rFonts w:ascii="宋体"/>
                <w:vanish/>
              </w:rPr>
            </w:pPr>
          </w:p>
        </w:tc>
        <w:tc>
          <w:tcPr>
            <w:tcW w:w="0" w:type="auto"/>
            <w:gridSpan w:val="3"/>
            <w:shd w:val="clear" w:color="auto" w:fill="auto"/>
            <w:vAlign w:val="bottom"/>
          </w:tcPr>
          <w:p w14:paraId="74DDF814" w14:textId="77777777" w:rsidR="00584EC1" w:rsidRDefault="00584EC1">
            <w:pPr>
              <w:rPr>
                <w:rFonts w:ascii="宋体"/>
                <w:vanish/>
              </w:rPr>
            </w:pPr>
          </w:p>
        </w:tc>
        <w:tc>
          <w:tcPr>
            <w:tcW w:w="0" w:type="auto"/>
            <w:gridSpan w:val="3"/>
            <w:shd w:val="clear" w:color="auto" w:fill="auto"/>
            <w:vAlign w:val="bottom"/>
          </w:tcPr>
          <w:p w14:paraId="74DDF815" w14:textId="77777777" w:rsidR="00584EC1" w:rsidRDefault="00584EC1">
            <w:pPr>
              <w:rPr>
                <w:rFonts w:ascii="宋体"/>
                <w:vanish/>
              </w:rPr>
            </w:pPr>
          </w:p>
        </w:tc>
        <w:tc>
          <w:tcPr>
            <w:tcW w:w="0" w:type="auto"/>
            <w:gridSpan w:val="3"/>
            <w:shd w:val="clear" w:color="auto" w:fill="auto"/>
            <w:vAlign w:val="bottom"/>
          </w:tcPr>
          <w:p w14:paraId="74DDF816" w14:textId="77777777" w:rsidR="00584EC1" w:rsidRDefault="00584EC1">
            <w:pPr>
              <w:rPr>
                <w:rFonts w:ascii="宋体"/>
                <w:vanish/>
              </w:rPr>
            </w:pPr>
          </w:p>
        </w:tc>
        <w:tc>
          <w:tcPr>
            <w:tcW w:w="0" w:type="auto"/>
            <w:gridSpan w:val="3"/>
            <w:shd w:val="clear" w:color="auto" w:fill="auto"/>
            <w:vAlign w:val="bottom"/>
          </w:tcPr>
          <w:p w14:paraId="74DDF817" w14:textId="77777777" w:rsidR="00584EC1" w:rsidRDefault="00584EC1">
            <w:pPr>
              <w:rPr>
                <w:rFonts w:ascii="宋体"/>
                <w:vanish/>
              </w:rPr>
            </w:pPr>
          </w:p>
        </w:tc>
        <w:tc>
          <w:tcPr>
            <w:tcW w:w="0" w:type="auto"/>
            <w:gridSpan w:val="3"/>
            <w:shd w:val="clear" w:color="auto" w:fill="auto"/>
            <w:vAlign w:val="bottom"/>
          </w:tcPr>
          <w:p w14:paraId="74DDF818" w14:textId="77777777" w:rsidR="00584EC1" w:rsidRDefault="00584EC1">
            <w:pPr>
              <w:rPr>
                <w:rFonts w:ascii="宋体"/>
                <w:vanish/>
              </w:rPr>
            </w:pPr>
          </w:p>
        </w:tc>
        <w:tc>
          <w:tcPr>
            <w:tcW w:w="0" w:type="auto"/>
            <w:gridSpan w:val="3"/>
            <w:shd w:val="clear" w:color="auto" w:fill="auto"/>
            <w:vAlign w:val="bottom"/>
          </w:tcPr>
          <w:p w14:paraId="74DDF819" w14:textId="77777777" w:rsidR="00584EC1" w:rsidRDefault="00584EC1">
            <w:pPr>
              <w:rPr>
                <w:rFonts w:ascii="宋体"/>
                <w:vanish/>
              </w:rPr>
            </w:pPr>
          </w:p>
        </w:tc>
        <w:tc>
          <w:tcPr>
            <w:tcW w:w="0" w:type="auto"/>
            <w:gridSpan w:val="3"/>
            <w:shd w:val="clear" w:color="auto" w:fill="auto"/>
            <w:vAlign w:val="bottom"/>
          </w:tcPr>
          <w:p w14:paraId="74DDF81A" w14:textId="77777777" w:rsidR="00584EC1" w:rsidRDefault="00584EC1">
            <w:pPr>
              <w:rPr>
                <w:rFonts w:ascii="宋体"/>
                <w:vanish/>
              </w:rPr>
            </w:pPr>
          </w:p>
        </w:tc>
        <w:tc>
          <w:tcPr>
            <w:tcW w:w="0" w:type="auto"/>
            <w:gridSpan w:val="3"/>
            <w:shd w:val="clear" w:color="auto" w:fill="auto"/>
            <w:vAlign w:val="bottom"/>
          </w:tcPr>
          <w:p w14:paraId="74DDF81B" w14:textId="77777777" w:rsidR="00584EC1" w:rsidRDefault="00584EC1">
            <w:pPr>
              <w:rPr>
                <w:rFonts w:ascii="宋体"/>
                <w:vanish/>
              </w:rPr>
            </w:pPr>
          </w:p>
        </w:tc>
      </w:tr>
      <w:tr w:rsidR="00584EC1" w14:paraId="74DDF837" w14:textId="77777777">
        <w:tc>
          <w:tcPr>
            <w:tcW w:w="0" w:type="auto"/>
            <w:gridSpan w:val="3"/>
            <w:shd w:val="clear" w:color="auto" w:fill="CCEEFF"/>
            <w:tcMar>
              <w:top w:w="40" w:type="dxa"/>
              <w:left w:w="20" w:type="dxa"/>
              <w:bottom w:w="40" w:type="dxa"/>
              <w:right w:w="20" w:type="dxa"/>
            </w:tcMar>
            <w:vAlign w:val="bottom"/>
          </w:tcPr>
          <w:p w14:paraId="74DDF81D" w14:textId="77777777" w:rsidR="00584EC1" w:rsidRDefault="00871F8D">
            <w:pPr>
              <w:textAlignment w:val="bottom"/>
            </w:pPr>
            <w:r>
              <w:rPr>
                <w:rFonts w:ascii="Arial" w:eastAsia="宋体" w:hAnsi="Arial" w:cs="Arial"/>
                <w:color w:val="000000"/>
                <w:sz w:val="13"/>
                <w:szCs w:val="13"/>
              </w:rPr>
              <w:t>Total</w:t>
            </w:r>
          </w:p>
        </w:tc>
        <w:tc>
          <w:tcPr>
            <w:tcW w:w="0" w:type="auto"/>
            <w:gridSpan w:val="3"/>
            <w:shd w:val="clear" w:color="auto" w:fill="CCEEFF"/>
            <w:tcMar>
              <w:top w:w="0" w:type="dxa"/>
              <w:left w:w="20" w:type="dxa"/>
              <w:bottom w:w="0" w:type="dxa"/>
              <w:right w:w="20" w:type="dxa"/>
            </w:tcMar>
            <w:vAlign w:val="bottom"/>
          </w:tcPr>
          <w:p w14:paraId="74DDF81E"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F81F"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F820" w14:textId="77777777" w:rsidR="00584EC1" w:rsidRDefault="00871F8D">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F821" w14:textId="77777777" w:rsidR="00584EC1" w:rsidRDefault="00871F8D">
            <w:pPr>
              <w:jc w:val="right"/>
              <w:textAlignment w:val="bottom"/>
            </w:pPr>
            <w:r>
              <w:rPr>
                <w:rFonts w:ascii="Arial" w:eastAsia="宋体" w:hAnsi="Arial" w:cs="Arial"/>
                <w:b/>
                <w:bCs/>
                <w:color w:val="000000"/>
                <w:sz w:val="13"/>
                <w:szCs w:val="13"/>
              </w:rPr>
              <w:t>(17)</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F82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823"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F824" w14:textId="77777777" w:rsidR="00584EC1" w:rsidRDefault="00871F8D">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F825" w14:textId="77777777" w:rsidR="00584EC1" w:rsidRDefault="00871F8D">
            <w:pPr>
              <w:jc w:val="right"/>
              <w:textAlignment w:val="bottom"/>
            </w:pPr>
            <w:r>
              <w:rPr>
                <w:rFonts w:ascii="Arial" w:eastAsia="宋体" w:hAnsi="Arial" w:cs="Arial"/>
                <w:color w:val="000000"/>
                <w:sz w:val="13"/>
                <w:szCs w:val="13"/>
              </w:rPr>
              <w:t>561 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F826" w14:textId="77777777" w:rsidR="00584EC1" w:rsidRDefault="00584EC1">
            <w:pPr>
              <w:jc w:val="right"/>
              <w:rPr>
                <w:rFonts w:ascii="宋体"/>
              </w:rPr>
            </w:pPr>
          </w:p>
        </w:tc>
        <w:tc>
          <w:tcPr>
            <w:tcW w:w="0" w:type="auto"/>
            <w:shd w:val="clear" w:color="auto" w:fill="auto"/>
            <w:vAlign w:val="bottom"/>
          </w:tcPr>
          <w:p w14:paraId="74DDF827" w14:textId="77777777" w:rsidR="00584EC1" w:rsidRDefault="00584EC1">
            <w:pPr>
              <w:rPr>
                <w:rFonts w:ascii="宋体"/>
                <w:vanish/>
              </w:rPr>
            </w:pPr>
          </w:p>
        </w:tc>
        <w:tc>
          <w:tcPr>
            <w:tcW w:w="0" w:type="auto"/>
            <w:shd w:val="clear" w:color="auto" w:fill="auto"/>
            <w:vAlign w:val="bottom"/>
          </w:tcPr>
          <w:p w14:paraId="74DDF828" w14:textId="77777777" w:rsidR="00584EC1" w:rsidRDefault="00584EC1">
            <w:pPr>
              <w:rPr>
                <w:rFonts w:ascii="宋体"/>
                <w:vanish/>
              </w:rPr>
            </w:pPr>
          </w:p>
        </w:tc>
        <w:tc>
          <w:tcPr>
            <w:tcW w:w="0" w:type="auto"/>
            <w:gridSpan w:val="3"/>
            <w:shd w:val="clear" w:color="auto" w:fill="CCEEFF"/>
            <w:tcMar>
              <w:top w:w="0" w:type="dxa"/>
              <w:left w:w="20" w:type="dxa"/>
              <w:bottom w:w="0" w:type="dxa"/>
              <w:right w:w="20" w:type="dxa"/>
            </w:tcMar>
            <w:vAlign w:val="bottom"/>
          </w:tcPr>
          <w:p w14:paraId="74DDF829"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F82A"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F82B"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F82C"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F82D"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F82E" w14:textId="77777777" w:rsidR="00584EC1" w:rsidRDefault="00871F8D">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F82F" w14:textId="77777777" w:rsidR="00584EC1" w:rsidRDefault="00871F8D">
            <w:pPr>
              <w:jc w:val="right"/>
              <w:textAlignment w:val="bottom"/>
            </w:pPr>
            <w:r>
              <w:rPr>
                <w:rFonts w:ascii="Arial" w:eastAsia="宋体" w:hAnsi="Arial" w:cs="Arial"/>
                <w:b/>
                <w:bCs/>
                <w:color w:val="000000"/>
                <w:sz w:val="13"/>
                <w:szCs w:val="13"/>
              </w:rPr>
              <w:t>14</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F83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831"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F832" w14:textId="77777777" w:rsidR="00584EC1" w:rsidRDefault="00871F8D">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F833" w14:textId="77777777" w:rsidR="00584EC1" w:rsidRDefault="00871F8D">
            <w:pPr>
              <w:jc w:val="right"/>
              <w:textAlignment w:val="bottom"/>
            </w:pPr>
            <w:r>
              <w:rPr>
                <w:rFonts w:ascii="Arial" w:eastAsia="宋体" w:hAnsi="Arial" w:cs="Arial"/>
                <w:color w:val="000000"/>
                <w:sz w:val="13"/>
                <w:szCs w:val="13"/>
              </w:rPr>
              <w:t>(557)</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F834" w14:textId="77777777" w:rsidR="00584EC1" w:rsidRDefault="00584EC1">
            <w:pPr>
              <w:jc w:val="right"/>
              <w:rPr>
                <w:rFonts w:ascii="宋体"/>
              </w:rPr>
            </w:pPr>
          </w:p>
        </w:tc>
        <w:tc>
          <w:tcPr>
            <w:tcW w:w="0" w:type="auto"/>
            <w:gridSpan w:val="3"/>
            <w:shd w:val="clear" w:color="auto" w:fill="auto"/>
            <w:vAlign w:val="bottom"/>
          </w:tcPr>
          <w:p w14:paraId="74DDF835" w14:textId="77777777" w:rsidR="00584EC1" w:rsidRDefault="00584EC1">
            <w:pPr>
              <w:rPr>
                <w:rFonts w:ascii="宋体"/>
                <w:vanish/>
              </w:rPr>
            </w:pPr>
          </w:p>
        </w:tc>
        <w:tc>
          <w:tcPr>
            <w:tcW w:w="0" w:type="auto"/>
            <w:gridSpan w:val="3"/>
            <w:shd w:val="clear" w:color="auto" w:fill="auto"/>
            <w:vAlign w:val="bottom"/>
          </w:tcPr>
          <w:p w14:paraId="74DDF836" w14:textId="77777777" w:rsidR="00584EC1" w:rsidRDefault="00584EC1">
            <w:pPr>
              <w:rPr>
                <w:rFonts w:ascii="宋体"/>
                <w:vanish/>
              </w:rPr>
            </w:pPr>
          </w:p>
        </w:tc>
      </w:tr>
    </w:tbl>
    <w:p w14:paraId="74DDF838" w14:textId="77777777" w:rsidR="00584EC1" w:rsidRDefault="00584EC1">
      <w:pPr>
        <w:rPr>
          <w:vanish/>
        </w:rPr>
      </w:pPr>
    </w:p>
    <w:tbl>
      <w:tblPr>
        <w:tblW w:w="10260" w:type="dxa"/>
        <w:tblCellMar>
          <w:top w:w="15" w:type="dxa"/>
          <w:left w:w="15" w:type="dxa"/>
          <w:bottom w:w="15" w:type="dxa"/>
          <w:right w:w="15" w:type="dxa"/>
        </w:tblCellMar>
        <w:tblLook w:val="04A0" w:firstRow="1" w:lastRow="0" w:firstColumn="1" w:lastColumn="0" w:noHBand="0" w:noVBand="1"/>
      </w:tblPr>
      <w:tblGrid>
        <w:gridCol w:w="36"/>
        <w:gridCol w:w="2795"/>
        <w:gridCol w:w="36"/>
        <w:gridCol w:w="36"/>
        <w:gridCol w:w="1452"/>
        <w:gridCol w:w="36"/>
        <w:gridCol w:w="36"/>
        <w:gridCol w:w="1437"/>
        <w:gridCol w:w="36"/>
        <w:gridCol w:w="36"/>
        <w:gridCol w:w="2499"/>
        <w:gridCol w:w="36"/>
        <w:gridCol w:w="36"/>
        <w:gridCol w:w="1717"/>
        <w:gridCol w:w="36"/>
      </w:tblGrid>
      <w:tr w:rsidR="00584EC1" w14:paraId="74DDF848" w14:textId="77777777">
        <w:tc>
          <w:tcPr>
            <w:tcW w:w="20" w:type="dxa"/>
            <w:shd w:val="clear" w:color="auto" w:fill="auto"/>
            <w:vAlign w:val="bottom"/>
          </w:tcPr>
          <w:p w14:paraId="74DDF839" w14:textId="77777777" w:rsidR="00584EC1" w:rsidRDefault="00584EC1">
            <w:pPr>
              <w:rPr>
                <w:rFonts w:ascii="宋体"/>
              </w:rPr>
            </w:pPr>
          </w:p>
        </w:tc>
        <w:tc>
          <w:tcPr>
            <w:tcW w:w="2840" w:type="dxa"/>
            <w:shd w:val="clear" w:color="auto" w:fill="auto"/>
            <w:vAlign w:val="bottom"/>
          </w:tcPr>
          <w:p w14:paraId="74DDF83A" w14:textId="77777777" w:rsidR="00584EC1" w:rsidRDefault="00584EC1">
            <w:pPr>
              <w:rPr>
                <w:rFonts w:ascii="宋体"/>
              </w:rPr>
            </w:pPr>
          </w:p>
        </w:tc>
        <w:tc>
          <w:tcPr>
            <w:tcW w:w="20" w:type="dxa"/>
            <w:shd w:val="clear" w:color="auto" w:fill="auto"/>
            <w:vAlign w:val="bottom"/>
          </w:tcPr>
          <w:p w14:paraId="74DDF83B" w14:textId="77777777" w:rsidR="00584EC1" w:rsidRDefault="00584EC1">
            <w:pPr>
              <w:rPr>
                <w:rFonts w:ascii="宋体"/>
              </w:rPr>
            </w:pPr>
          </w:p>
        </w:tc>
        <w:tc>
          <w:tcPr>
            <w:tcW w:w="20" w:type="dxa"/>
            <w:shd w:val="clear" w:color="auto" w:fill="auto"/>
            <w:vAlign w:val="bottom"/>
          </w:tcPr>
          <w:p w14:paraId="74DDF83C" w14:textId="77777777" w:rsidR="00584EC1" w:rsidRDefault="00584EC1">
            <w:pPr>
              <w:rPr>
                <w:rFonts w:ascii="宋体"/>
              </w:rPr>
            </w:pPr>
          </w:p>
        </w:tc>
        <w:tc>
          <w:tcPr>
            <w:tcW w:w="1475" w:type="dxa"/>
            <w:shd w:val="clear" w:color="auto" w:fill="auto"/>
            <w:vAlign w:val="bottom"/>
          </w:tcPr>
          <w:p w14:paraId="74DDF83D" w14:textId="77777777" w:rsidR="00584EC1" w:rsidRDefault="00584EC1">
            <w:pPr>
              <w:rPr>
                <w:rFonts w:ascii="宋体"/>
              </w:rPr>
            </w:pPr>
          </w:p>
        </w:tc>
        <w:tc>
          <w:tcPr>
            <w:tcW w:w="20" w:type="dxa"/>
            <w:shd w:val="clear" w:color="auto" w:fill="auto"/>
            <w:vAlign w:val="bottom"/>
          </w:tcPr>
          <w:p w14:paraId="74DDF83E" w14:textId="77777777" w:rsidR="00584EC1" w:rsidRDefault="00584EC1">
            <w:pPr>
              <w:rPr>
                <w:rFonts w:ascii="宋体"/>
              </w:rPr>
            </w:pPr>
          </w:p>
        </w:tc>
        <w:tc>
          <w:tcPr>
            <w:tcW w:w="20" w:type="dxa"/>
            <w:shd w:val="clear" w:color="auto" w:fill="auto"/>
            <w:vAlign w:val="bottom"/>
          </w:tcPr>
          <w:p w14:paraId="74DDF83F" w14:textId="77777777" w:rsidR="00584EC1" w:rsidRDefault="00584EC1">
            <w:pPr>
              <w:rPr>
                <w:rFonts w:ascii="宋体"/>
              </w:rPr>
            </w:pPr>
          </w:p>
        </w:tc>
        <w:tc>
          <w:tcPr>
            <w:tcW w:w="1460" w:type="dxa"/>
            <w:shd w:val="clear" w:color="auto" w:fill="auto"/>
            <w:vAlign w:val="bottom"/>
          </w:tcPr>
          <w:p w14:paraId="74DDF840" w14:textId="77777777" w:rsidR="00584EC1" w:rsidRDefault="00584EC1">
            <w:pPr>
              <w:rPr>
                <w:rFonts w:ascii="宋体"/>
              </w:rPr>
            </w:pPr>
          </w:p>
        </w:tc>
        <w:tc>
          <w:tcPr>
            <w:tcW w:w="20" w:type="dxa"/>
            <w:shd w:val="clear" w:color="auto" w:fill="auto"/>
            <w:vAlign w:val="bottom"/>
          </w:tcPr>
          <w:p w14:paraId="74DDF841" w14:textId="77777777" w:rsidR="00584EC1" w:rsidRDefault="00584EC1">
            <w:pPr>
              <w:rPr>
                <w:rFonts w:ascii="宋体"/>
              </w:rPr>
            </w:pPr>
          </w:p>
        </w:tc>
        <w:tc>
          <w:tcPr>
            <w:tcW w:w="20" w:type="dxa"/>
            <w:shd w:val="clear" w:color="auto" w:fill="auto"/>
            <w:vAlign w:val="bottom"/>
          </w:tcPr>
          <w:p w14:paraId="74DDF842" w14:textId="77777777" w:rsidR="00584EC1" w:rsidRDefault="00584EC1">
            <w:pPr>
              <w:rPr>
                <w:rFonts w:ascii="宋体"/>
              </w:rPr>
            </w:pPr>
          </w:p>
        </w:tc>
        <w:tc>
          <w:tcPr>
            <w:tcW w:w="2540" w:type="dxa"/>
            <w:shd w:val="clear" w:color="auto" w:fill="auto"/>
            <w:vAlign w:val="bottom"/>
          </w:tcPr>
          <w:p w14:paraId="74DDF843" w14:textId="77777777" w:rsidR="00584EC1" w:rsidRDefault="00584EC1">
            <w:pPr>
              <w:rPr>
                <w:rFonts w:ascii="宋体"/>
              </w:rPr>
            </w:pPr>
          </w:p>
        </w:tc>
        <w:tc>
          <w:tcPr>
            <w:tcW w:w="20" w:type="dxa"/>
            <w:shd w:val="clear" w:color="auto" w:fill="auto"/>
            <w:vAlign w:val="bottom"/>
          </w:tcPr>
          <w:p w14:paraId="74DDF844" w14:textId="77777777" w:rsidR="00584EC1" w:rsidRDefault="00584EC1">
            <w:pPr>
              <w:rPr>
                <w:rFonts w:ascii="宋体"/>
              </w:rPr>
            </w:pPr>
          </w:p>
        </w:tc>
        <w:tc>
          <w:tcPr>
            <w:tcW w:w="20" w:type="dxa"/>
            <w:shd w:val="clear" w:color="auto" w:fill="auto"/>
            <w:vAlign w:val="bottom"/>
          </w:tcPr>
          <w:p w14:paraId="74DDF845" w14:textId="77777777" w:rsidR="00584EC1" w:rsidRDefault="00584EC1">
            <w:pPr>
              <w:rPr>
                <w:rFonts w:ascii="宋体"/>
              </w:rPr>
            </w:pPr>
          </w:p>
        </w:tc>
        <w:tc>
          <w:tcPr>
            <w:tcW w:w="1745" w:type="dxa"/>
            <w:shd w:val="clear" w:color="auto" w:fill="auto"/>
            <w:vAlign w:val="bottom"/>
          </w:tcPr>
          <w:p w14:paraId="74DDF846" w14:textId="77777777" w:rsidR="00584EC1" w:rsidRDefault="00584EC1">
            <w:pPr>
              <w:rPr>
                <w:rFonts w:ascii="宋体"/>
              </w:rPr>
            </w:pPr>
          </w:p>
        </w:tc>
        <w:tc>
          <w:tcPr>
            <w:tcW w:w="20" w:type="dxa"/>
            <w:shd w:val="clear" w:color="auto" w:fill="auto"/>
            <w:vAlign w:val="bottom"/>
          </w:tcPr>
          <w:p w14:paraId="74DDF847" w14:textId="77777777" w:rsidR="00584EC1" w:rsidRDefault="00584EC1">
            <w:pPr>
              <w:rPr>
                <w:rFonts w:ascii="宋体"/>
              </w:rPr>
            </w:pPr>
          </w:p>
        </w:tc>
      </w:tr>
      <w:tr w:rsidR="00584EC1" w14:paraId="74DDF84E"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4DDF849"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84A"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84B"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84C"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84D" w14:textId="77777777" w:rsidR="00584EC1" w:rsidRDefault="00584EC1">
            <w:pPr>
              <w:rPr>
                <w:rFonts w:ascii="宋体"/>
              </w:rPr>
            </w:pPr>
          </w:p>
        </w:tc>
      </w:tr>
    </w:tbl>
    <w:p w14:paraId="74DDF84F" w14:textId="77777777" w:rsidR="00584EC1" w:rsidRDefault="00871F8D">
      <w:pPr>
        <w:jc w:val="both"/>
      </w:pPr>
      <w:r>
        <w:rPr>
          <w:rFonts w:ascii="Arial" w:eastAsia="宋体" w:hAnsi="Arial" w:cs="Arial"/>
          <w:color w:val="000000"/>
          <w:sz w:val="7"/>
          <w:szCs w:val="7"/>
        </w:rPr>
        <w:t xml:space="preserve">(1) </w:t>
      </w:r>
      <w:r>
        <w:rPr>
          <w:rFonts w:ascii="Arial" w:eastAsia="宋体" w:hAnsi="Arial" w:cs="Arial"/>
          <w:color w:val="000000"/>
          <w:sz w:val="12"/>
          <w:szCs w:val="12"/>
        </w:rPr>
        <w:t xml:space="preserve">In the three months ended September 30, 2021, approximately $13 million of net unrealized gains on AFS investment securities designated in fair value hedges was recognized in OCI compared to $4 million of net unrealized gains in the same </w:t>
      </w:r>
      <w:r>
        <w:rPr>
          <w:rFonts w:ascii="Arial" w:eastAsia="宋体" w:hAnsi="Arial" w:cs="Arial"/>
          <w:color w:val="000000"/>
          <w:sz w:val="12"/>
          <w:szCs w:val="12"/>
        </w:rPr>
        <w:t>period in 2020.</w:t>
      </w:r>
    </w:p>
    <w:p w14:paraId="74DDF850" w14:textId="77777777" w:rsidR="00584EC1" w:rsidRDefault="00871F8D">
      <w:pPr>
        <w:jc w:val="both"/>
      </w:pPr>
      <w:r>
        <w:rPr>
          <w:rFonts w:ascii="Arial" w:eastAsia="宋体" w:hAnsi="Arial" w:cs="Arial"/>
          <w:color w:val="000000"/>
          <w:sz w:val="7"/>
          <w:szCs w:val="7"/>
        </w:rPr>
        <w:t xml:space="preserve">(2) </w:t>
      </w:r>
      <w:r>
        <w:rPr>
          <w:rFonts w:ascii="Arial" w:eastAsia="宋体" w:hAnsi="Arial" w:cs="Arial"/>
          <w:color w:val="000000"/>
          <w:sz w:val="12"/>
          <w:szCs w:val="12"/>
        </w:rPr>
        <w:t>In the nine months ended September 30, 2021, approximately $9 million of net unrealized gains on AFS investment securities designated in fair value hedges was recognized in OCI compared to no net unrealized gains or losses in the same p</w:t>
      </w:r>
      <w:r>
        <w:rPr>
          <w:rFonts w:ascii="Arial" w:eastAsia="宋体" w:hAnsi="Arial" w:cs="Arial"/>
          <w:color w:val="000000"/>
          <w:sz w:val="12"/>
          <w:szCs w:val="12"/>
        </w:rPr>
        <w:t>eriod in 2020.</w:t>
      </w:r>
    </w:p>
    <w:tbl>
      <w:tblPr>
        <w:tblW w:w="5000" w:type="pct"/>
        <w:tblCellMar>
          <w:top w:w="15" w:type="dxa"/>
          <w:left w:w="15" w:type="dxa"/>
          <w:bottom w:w="15" w:type="dxa"/>
          <w:right w:w="15" w:type="dxa"/>
        </w:tblCellMar>
        <w:tblLook w:val="04A0" w:firstRow="1" w:lastRow="0" w:firstColumn="1" w:lastColumn="0" w:noHBand="0" w:noVBand="1"/>
      </w:tblPr>
      <w:tblGrid>
        <w:gridCol w:w="42"/>
        <w:gridCol w:w="1492"/>
        <w:gridCol w:w="36"/>
        <w:gridCol w:w="94"/>
        <w:gridCol w:w="1012"/>
        <w:gridCol w:w="37"/>
        <w:gridCol w:w="37"/>
        <w:gridCol w:w="37"/>
        <w:gridCol w:w="37"/>
        <w:gridCol w:w="94"/>
        <w:gridCol w:w="979"/>
        <w:gridCol w:w="37"/>
        <w:gridCol w:w="46"/>
        <w:gridCol w:w="46"/>
        <w:gridCol w:w="36"/>
        <w:gridCol w:w="36"/>
        <w:gridCol w:w="36"/>
        <w:gridCol w:w="51"/>
        <w:gridCol w:w="1453"/>
        <w:gridCol w:w="37"/>
        <w:gridCol w:w="36"/>
        <w:gridCol w:w="36"/>
        <w:gridCol w:w="36"/>
        <w:gridCol w:w="94"/>
        <w:gridCol w:w="982"/>
        <w:gridCol w:w="37"/>
        <w:gridCol w:w="37"/>
        <w:gridCol w:w="37"/>
        <w:gridCol w:w="37"/>
        <w:gridCol w:w="95"/>
        <w:gridCol w:w="981"/>
        <w:gridCol w:w="37"/>
        <w:gridCol w:w="36"/>
        <w:gridCol w:w="36"/>
        <w:gridCol w:w="36"/>
        <w:gridCol w:w="36"/>
        <w:gridCol w:w="36"/>
        <w:gridCol w:w="36"/>
      </w:tblGrid>
      <w:tr w:rsidR="00584EC1" w14:paraId="74DDF873" w14:textId="77777777">
        <w:tc>
          <w:tcPr>
            <w:tcW w:w="50" w:type="pct"/>
            <w:shd w:val="clear" w:color="auto" w:fill="auto"/>
            <w:vAlign w:val="bottom"/>
          </w:tcPr>
          <w:p w14:paraId="74DDF851" w14:textId="77777777" w:rsidR="00584EC1" w:rsidRDefault="00584EC1">
            <w:pPr>
              <w:rPr>
                <w:rFonts w:ascii="宋体"/>
              </w:rPr>
            </w:pPr>
          </w:p>
        </w:tc>
        <w:tc>
          <w:tcPr>
            <w:tcW w:w="953" w:type="pct"/>
            <w:shd w:val="clear" w:color="auto" w:fill="auto"/>
            <w:vAlign w:val="bottom"/>
          </w:tcPr>
          <w:p w14:paraId="74DDF852" w14:textId="77777777" w:rsidR="00584EC1" w:rsidRDefault="00584EC1">
            <w:pPr>
              <w:rPr>
                <w:rFonts w:ascii="宋体"/>
              </w:rPr>
            </w:pPr>
          </w:p>
        </w:tc>
        <w:tc>
          <w:tcPr>
            <w:tcW w:w="5" w:type="pct"/>
            <w:shd w:val="clear" w:color="auto" w:fill="auto"/>
            <w:vAlign w:val="bottom"/>
          </w:tcPr>
          <w:p w14:paraId="74DDF853" w14:textId="77777777" w:rsidR="00584EC1" w:rsidRDefault="00584EC1">
            <w:pPr>
              <w:rPr>
                <w:rFonts w:ascii="宋体"/>
              </w:rPr>
            </w:pPr>
          </w:p>
        </w:tc>
        <w:tc>
          <w:tcPr>
            <w:tcW w:w="50" w:type="pct"/>
            <w:shd w:val="clear" w:color="auto" w:fill="auto"/>
            <w:vAlign w:val="bottom"/>
          </w:tcPr>
          <w:p w14:paraId="74DDF854" w14:textId="77777777" w:rsidR="00584EC1" w:rsidRDefault="00584EC1">
            <w:pPr>
              <w:rPr>
                <w:rFonts w:ascii="宋体"/>
              </w:rPr>
            </w:pPr>
          </w:p>
        </w:tc>
        <w:tc>
          <w:tcPr>
            <w:tcW w:w="654" w:type="pct"/>
            <w:shd w:val="clear" w:color="auto" w:fill="auto"/>
            <w:vAlign w:val="bottom"/>
          </w:tcPr>
          <w:p w14:paraId="74DDF855" w14:textId="77777777" w:rsidR="00584EC1" w:rsidRDefault="00584EC1">
            <w:pPr>
              <w:rPr>
                <w:rFonts w:ascii="宋体"/>
              </w:rPr>
            </w:pPr>
          </w:p>
        </w:tc>
        <w:tc>
          <w:tcPr>
            <w:tcW w:w="5" w:type="pct"/>
            <w:shd w:val="clear" w:color="auto" w:fill="auto"/>
            <w:vAlign w:val="bottom"/>
          </w:tcPr>
          <w:p w14:paraId="74DDF856" w14:textId="77777777" w:rsidR="00584EC1" w:rsidRDefault="00584EC1">
            <w:pPr>
              <w:rPr>
                <w:rFonts w:ascii="宋体"/>
              </w:rPr>
            </w:pPr>
          </w:p>
        </w:tc>
        <w:tc>
          <w:tcPr>
            <w:tcW w:w="5" w:type="pct"/>
            <w:shd w:val="clear" w:color="auto" w:fill="auto"/>
            <w:vAlign w:val="bottom"/>
          </w:tcPr>
          <w:p w14:paraId="74DDF857" w14:textId="77777777" w:rsidR="00584EC1" w:rsidRDefault="00584EC1">
            <w:pPr>
              <w:rPr>
                <w:rFonts w:ascii="宋体"/>
              </w:rPr>
            </w:pPr>
          </w:p>
        </w:tc>
        <w:tc>
          <w:tcPr>
            <w:tcW w:w="26" w:type="pct"/>
            <w:shd w:val="clear" w:color="auto" w:fill="auto"/>
            <w:vAlign w:val="bottom"/>
          </w:tcPr>
          <w:p w14:paraId="74DDF858" w14:textId="77777777" w:rsidR="00584EC1" w:rsidRDefault="00584EC1">
            <w:pPr>
              <w:rPr>
                <w:rFonts w:ascii="宋体"/>
              </w:rPr>
            </w:pPr>
          </w:p>
        </w:tc>
        <w:tc>
          <w:tcPr>
            <w:tcW w:w="5" w:type="pct"/>
            <w:shd w:val="clear" w:color="auto" w:fill="auto"/>
            <w:vAlign w:val="bottom"/>
          </w:tcPr>
          <w:p w14:paraId="74DDF859" w14:textId="77777777" w:rsidR="00584EC1" w:rsidRDefault="00584EC1">
            <w:pPr>
              <w:rPr>
                <w:rFonts w:ascii="宋体"/>
              </w:rPr>
            </w:pPr>
          </w:p>
        </w:tc>
        <w:tc>
          <w:tcPr>
            <w:tcW w:w="50" w:type="pct"/>
            <w:shd w:val="clear" w:color="auto" w:fill="auto"/>
            <w:vAlign w:val="bottom"/>
          </w:tcPr>
          <w:p w14:paraId="74DDF85A" w14:textId="77777777" w:rsidR="00584EC1" w:rsidRDefault="00584EC1">
            <w:pPr>
              <w:rPr>
                <w:rFonts w:ascii="宋体"/>
              </w:rPr>
            </w:pPr>
          </w:p>
        </w:tc>
        <w:tc>
          <w:tcPr>
            <w:tcW w:w="654" w:type="pct"/>
            <w:shd w:val="clear" w:color="auto" w:fill="auto"/>
            <w:vAlign w:val="bottom"/>
          </w:tcPr>
          <w:p w14:paraId="74DDF85B" w14:textId="77777777" w:rsidR="00584EC1" w:rsidRDefault="00584EC1">
            <w:pPr>
              <w:rPr>
                <w:rFonts w:ascii="宋体"/>
              </w:rPr>
            </w:pPr>
          </w:p>
        </w:tc>
        <w:tc>
          <w:tcPr>
            <w:tcW w:w="5" w:type="pct"/>
            <w:shd w:val="clear" w:color="auto" w:fill="auto"/>
            <w:vAlign w:val="bottom"/>
          </w:tcPr>
          <w:p w14:paraId="74DDF85C" w14:textId="77777777" w:rsidR="00584EC1" w:rsidRDefault="00584EC1">
            <w:pPr>
              <w:rPr>
                <w:rFonts w:ascii="宋体"/>
              </w:rPr>
            </w:pPr>
          </w:p>
        </w:tc>
        <w:tc>
          <w:tcPr>
            <w:tcW w:w="0" w:type="auto"/>
            <w:shd w:val="clear" w:color="auto" w:fill="auto"/>
            <w:vAlign w:val="bottom"/>
          </w:tcPr>
          <w:p w14:paraId="74DDF85D" w14:textId="77777777" w:rsidR="00584EC1" w:rsidRDefault="00584EC1">
            <w:pPr>
              <w:rPr>
                <w:rFonts w:ascii="宋体"/>
                <w:vanish/>
              </w:rPr>
            </w:pPr>
          </w:p>
        </w:tc>
        <w:tc>
          <w:tcPr>
            <w:tcW w:w="0" w:type="auto"/>
            <w:shd w:val="clear" w:color="auto" w:fill="auto"/>
            <w:vAlign w:val="bottom"/>
          </w:tcPr>
          <w:p w14:paraId="74DDF85E" w14:textId="77777777" w:rsidR="00584EC1" w:rsidRDefault="00584EC1">
            <w:pPr>
              <w:rPr>
                <w:rFonts w:ascii="宋体"/>
                <w:vanish/>
              </w:rPr>
            </w:pPr>
          </w:p>
        </w:tc>
        <w:tc>
          <w:tcPr>
            <w:tcW w:w="5" w:type="pct"/>
            <w:shd w:val="clear" w:color="auto" w:fill="auto"/>
            <w:vAlign w:val="bottom"/>
          </w:tcPr>
          <w:p w14:paraId="74DDF85F" w14:textId="77777777" w:rsidR="00584EC1" w:rsidRDefault="00584EC1">
            <w:pPr>
              <w:rPr>
                <w:rFonts w:ascii="宋体"/>
              </w:rPr>
            </w:pPr>
          </w:p>
        </w:tc>
        <w:tc>
          <w:tcPr>
            <w:tcW w:w="26" w:type="pct"/>
            <w:shd w:val="clear" w:color="auto" w:fill="auto"/>
            <w:vAlign w:val="bottom"/>
          </w:tcPr>
          <w:p w14:paraId="74DDF860" w14:textId="77777777" w:rsidR="00584EC1" w:rsidRDefault="00584EC1">
            <w:pPr>
              <w:rPr>
                <w:rFonts w:ascii="宋体"/>
              </w:rPr>
            </w:pPr>
          </w:p>
        </w:tc>
        <w:tc>
          <w:tcPr>
            <w:tcW w:w="5" w:type="pct"/>
            <w:shd w:val="clear" w:color="auto" w:fill="auto"/>
            <w:vAlign w:val="bottom"/>
          </w:tcPr>
          <w:p w14:paraId="74DDF861" w14:textId="77777777" w:rsidR="00584EC1" w:rsidRDefault="00584EC1">
            <w:pPr>
              <w:rPr>
                <w:rFonts w:ascii="宋体"/>
              </w:rPr>
            </w:pPr>
          </w:p>
        </w:tc>
        <w:tc>
          <w:tcPr>
            <w:tcW w:w="50" w:type="pct"/>
            <w:shd w:val="clear" w:color="auto" w:fill="auto"/>
            <w:vAlign w:val="bottom"/>
          </w:tcPr>
          <w:p w14:paraId="74DDF862" w14:textId="77777777" w:rsidR="00584EC1" w:rsidRDefault="00584EC1">
            <w:pPr>
              <w:rPr>
                <w:rFonts w:ascii="宋体"/>
              </w:rPr>
            </w:pPr>
          </w:p>
        </w:tc>
        <w:tc>
          <w:tcPr>
            <w:tcW w:w="953" w:type="pct"/>
            <w:shd w:val="clear" w:color="auto" w:fill="auto"/>
            <w:vAlign w:val="bottom"/>
          </w:tcPr>
          <w:p w14:paraId="74DDF863" w14:textId="77777777" w:rsidR="00584EC1" w:rsidRDefault="00584EC1">
            <w:pPr>
              <w:rPr>
                <w:rFonts w:ascii="宋体"/>
              </w:rPr>
            </w:pPr>
          </w:p>
        </w:tc>
        <w:tc>
          <w:tcPr>
            <w:tcW w:w="5" w:type="pct"/>
            <w:shd w:val="clear" w:color="auto" w:fill="auto"/>
            <w:vAlign w:val="bottom"/>
          </w:tcPr>
          <w:p w14:paraId="74DDF864" w14:textId="77777777" w:rsidR="00584EC1" w:rsidRDefault="00584EC1">
            <w:pPr>
              <w:rPr>
                <w:rFonts w:ascii="宋体"/>
              </w:rPr>
            </w:pPr>
          </w:p>
        </w:tc>
        <w:tc>
          <w:tcPr>
            <w:tcW w:w="5" w:type="pct"/>
            <w:shd w:val="clear" w:color="auto" w:fill="auto"/>
            <w:vAlign w:val="bottom"/>
          </w:tcPr>
          <w:p w14:paraId="74DDF865" w14:textId="77777777" w:rsidR="00584EC1" w:rsidRDefault="00584EC1">
            <w:pPr>
              <w:rPr>
                <w:rFonts w:ascii="宋体"/>
              </w:rPr>
            </w:pPr>
          </w:p>
        </w:tc>
        <w:tc>
          <w:tcPr>
            <w:tcW w:w="26" w:type="pct"/>
            <w:shd w:val="clear" w:color="auto" w:fill="auto"/>
            <w:vAlign w:val="bottom"/>
          </w:tcPr>
          <w:p w14:paraId="74DDF866" w14:textId="77777777" w:rsidR="00584EC1" w:rsidRDefault="00584EC1">
            <w:pPr>
              <w:rPr>
                <w:rFonts w:ascii="宋体"/>
              </w:rPr>
            </w:pPr>
          </w:p>
        </w:tc>
        <w:tc>
          <w:tcPr>
            <w:tcW w:w="5" w:type="pct"/>
            <w:shd w:val="clear" w:color="auto" w:fill="auto"/>
            <w:vAlign w:val="bottom"/>
          </w:tcPr>
          <w:p w14:paraId="74DDF867" w14:textId="77777777" w:rsidR="00584EC1" w:rsidRDefault="00584EC1">
            <w:pPr>
              <w:rPr>
                <w:rFonts w:ascii="宋体"/>
              </w:rPr>
            </w:pPr>
          </w:p>
        </w:tc>
        <w:tc>
          <w:tcPr>
            <w:tcW w:w="50" w:type="pct"/>
            <w:shd w:val="clear" w:color="auto" w:fill="auto"/>
            <w:vAlign w:val="bottom"/>
          </w:tcPr>
          <w:p w14:paraId="74DDF868" w14:textId="77777777" w:rsidR="00584EC1" w:rsidRDefault="00584EC1">
            <w:pPr>
              <w:rPr>
                <w:rFonts w:ascii="宋体"/>
              </w:rPr>
            </w:pPr>
          </w:p>
        </w:tc>
        <w:tc>
          <w:tcPr>
            <w:tcW w:w="654" w:type="pct"/>
            <w:shd w:val="clear" w:color="auto" w:fill="auto"/>
            <w:vAlign w:val="bottom"/>
          </w:tcPr>
          <w:p w14:paraId="74DDF869" w14:textId="77777777" w:rsidR="00584EC1" w:rsidRDefault="00584EC1">
            <w:pPr>
              <w:rPr>
                <w:rFonts w:ascii="宋体"/>
              </w:rPr>
            </w:pPr>
          </w:p>
        </w:tc>
        <w:tc>
          <w:tcPr>
            <w:tcW w:w="5" w:type="pct"/>
            <w:shd w:val="clear" w:color="auto" w:fill="auto"/>
            <w:vAlign w:val="bottom"/>
          </w:tcPr>
          <w:p w14:paraId="74DDF86A" w14:textId="77777777" w:rsidR="00584EC1" w:rsidRDefault="00584EC1">
            <w:pPr>
              <w:rPr>
                <w:rFonts w:ascii="宋体"/>
              </w:rPr>
            </w:pPr>
          </w:p>
        </w:tc>
        <w:tc>
          <w:tcPr>
            <w:tcW w:w="5" w:type="pct"/>
            <w:shd w:val="clear" w:color="auto" w:fill="auto"/>
            <w:vAlign w:val="bottom"/>
          </w:tcPr>
          <w:p w14:paraId="74DDF86B" w14:textId="77777777" w:rsidR="00584EC1" w:rsidRDefault="00584EC1">
            <w:pPr>
              <w:rPr>
                <w:rFonts w:ascii="宋体"/>
              </w:rPr>
            </w:pPr>
          </w:p>
        </w:tc>
        <w:tc>
          <w:tcPr>
            <w:tcW w:w="26" w:type="pct"/>
            <w:shd w:val="clear" w:color="auto" w:fill="auto"/>
            <w:vAlign w:val="bottom"/>
          </w:tcPr>
          <w:p w14:paraId="74DDF86C" w14:textId="77777777" w:rsidR="00584EC1" w:rsidRDefault="00584EC1">
            <w:pPr>
              <w:rPr>
                <w:rFonts w:ascii="宋体"/>
              </w:rPr>
            </w:pPr>
          </w:p>
        </w:tc>
        <w:tc>
          <w:tcPr>
            <w:tcW w:w="5" w:type="pct"/>
            <w:shd w:val="clear" w:color="auto" w:fill="auto"/>
            <w:vAlign w:val="bottom"/>
          </w:tcPr>
          <w:p w14:paraId="74DDF86D" w14:textId="77777777" w:rsidR="00584EC1" w:rsidRDefault="00584EC1">
            <w:pPr>
              <w:rPr>
                <w:rFonts w:ascii="宋体"/>
              </w:rPr>
            </w:pPr>
          </w:p>
        </w:tc>
        <w:tc>
          <w:tcPr>
            <w:tcW w:w="50" w:type="pct"/>
            <w:shd w:val="clear" w:color="auto" w:fill="auto"/>
            <w:vAlign w:val="bottom"/>
          </w:tcPr>
          <w:p w14:paraId="74DDF86E" w14:textId="77777777" w:rsidR="00584EC1" w:rsidRDefault="00584EC1">
            <w:pPr>
              <w:rPr>
                <w:rFonts w:ascii="宋体"/>
              </w:rPr>
            </w:pPr>
          </w:p>
        </w:tc>
        <w:tc>
          <w:tcPr>
            <w:tcW w:w="654" w:type="pct"/>
            <w:shd w:val="clear" w:color="auto" w:fill="auto"/>
            <w:vAlign w:val="bottom"/>
          </w:tcPr>
          <w:p w14:paraId="74DDF86F" w14:textId="77777777" w:rsidR="00584EC1" w:rsidRDefault="00584EC1">
            <w:pPr>
              <w:rPr>
                <w:rFonts w:ascii="宋体"/>
              </w:rPr>
            </w:pPr>
          </w:p>
        </w:tc>
        <w:tc>
          <w:tcPr>
            <w:tcW w:w="5" w:type="pct"/>
            <w:shd w:val="clear" w:color="auto" w:fill="auto"/>
            <w:vAlign w:val="bottom"/>
          </w:tcPr>
          <w:p w14:paraId="74DDF870" w14:textId="77777777" w:rsidR="00584EC1" w:rsidRDefault="00584EC1">
            <w:pPr>
              <w:rPr>
                <w:rFonts w:ascii="宋体"/>
              </w:rPr>
            </w:pPr>
          </w:p>
        </w:tc>
        <w:tc>
          <w:tcPr>
            <w:tcW w:w="0" w:type="auto"/>
            <w:gridSpan w:val="3"/>
            <w:shd w:val="clear" w:color="auto" w:fill="auto"/>
            <w:vAlign w:val="bottom"/>
          </w:tcPr>
          <w:p w14:paraId="74DDF871" w14:textId="77777777" w:rsidR="00584EC1" w:rsidRDefault="00584EC1">
            <w:pPr>
              <w:rPr>
                <w:rFonts w:ascii="宋体"/>
                <w:vanish/>
              </w:rPr>
            </w:pPr>
          </w:p>
        </w:tc>
        <w:tc>
          <w:tcPr>
            <w:tcW w:w="0" w:type="auto"/>
            <w:gridSpan w:val="3"/>
            <w:shd w:val="clear" w:color="auto" w:fill="auto"/>
            <w:vAlign w:val="bottom"/>
          </w:tcPr>
          <w:p w14:paraId="74DDF872" w14:textId="77777777" w:rsidR="00584EC1" w:rsidRDefault="00584EC1">
            <w:pPr>
              <w:rPr>
                <w:rFonts w:ascii="宋体"/>
                <w:vanish/>
              </w:rPr>
            </w:pPr>
          </w:p>
        </w:tc>
      </w:tr>
      <w:tr w:rsidR="00584EC1" w14:paraId="74DDF886" w14:textId="77777777">
        <w:tc>
          <w:tcPr>
            <w:tcW w:w="0" w:type="auto"/>
            <w:gridSpan w:val="3"/>
            <w:shd w:val="clear" w:color="auto" w:fill="auto"/>
            <w:tcMar>
              <w:top w:w="0" w:type="dxa"/>
              <w:left w:w="20" w:type="dxa"/>
              <w:bottom w:w="0" w:type="dxa"/>
              <w:right w:w="20" w:type="dxa"/>
            </w:tcMar>
            <w:vAlign w:val="bottom"/>
          </w:tcPr>
          <w:p w14:paraId="74DDF874" w14:textId="77777777" w:rsidR="00584EC1" w:rsidRDefault="00584EC1">
            <w:pPr>
              <w:rPr>
                <w:rFonts w:ascii="宋体"/>
              </w:rPr>
            </w:pPr>
          </w:p>
        </w:tc>
        <w:tc>
          <w:tcPr>
            <w:tcW w:w="0" w:type="auto"/>
            <w:gridSpan w:val="9"/>
            <w:shd w:val="clear" w:color="auto" w:fill="auto"/>
            <w:tcMar>
              <w:top w:w="40" w:type="dxa"/>
              <w:left w:w="20" w:type="dxa"/>
              <w:bottom w:w="40" w:type="dxa"/>
              <w:right w:w="20" w:type="dxa"/>
            </w:tcMar>
            <w:vAlign w:val="bottom"/>
          </w:tcPr>
          <w:p w14:paraId="74DDF875" w14:textId="77777777" w:rsidR="00584EC1" w:rsidRDefault="00871F8D">
            <w:pPr>
              <w:jc w:val="center"/>
              <w:textAlignment w:val="bottom"/>
            </w:pPr>
            <w:r>
              <w:rPr>
                <w:rFonts w:ascii="Arial" w:eastAsia="宋体" w:hAnsi="Arial" w:cs="Arial"/>
                <w:b/>
                <w:bCs/>
                <w:color w:val="000000"/>
                <w:sz w:val="13"/>
                <w:szCs w:val="13"/>
              </w:rPr>
              <w:t>Three Months Ended September 30,</w:t>
            </w:r>
          </w:p>
        </w:tc>
        <w:tc>
          <w:tcPr>
            <w:tcW w:w="0" w:type="auto"/>
            <w:shd w:val="clear" w:color="auto" w:fill="auto"/>
            <w:tcMar>
              <w:top w:w="0" w:type="dxa"/>
              <w:left w:w="20" w:type="dxa"/>
              <w:bottom w:w="0" w:type="dxa"/>
              <w:right w:w="20" w:type="dxa"/>
            </w:tcMar>
            <w:vAlign w:val="bottom"/>
          </w:tcPr>
          <w:p w14:paraId="74DDF876" w14:textId="77777777" w:rsidR="00584EC1" w:rsidRDefault="00584EC1">
            <w:pPr>
              <w:rPr>
                <w:rFonts w:ascii="宋体"/>
              </w:rPr>
            </w:pPr>
          </w:p>
        </w:tc>
        <w:tc>
          <w:tcPr>
            <w:tcW w:w="0" w:type="auto"/>
            <w:shd w:val="clear" w:color="auto" w:fill="auto"/>
            <w:tcMar>
              <w:top w:w="0" w:type="dxa"/>
              <w:left w:w="20" w:type="dxa"/>
              <w:bottom w:w="0" w:type="dxa"/>
              <w:right w:w="20" w:type="dxa"/>
            </w:tcMar>
            <w:vAlign w:val="bottom"/>
          </w:tcPr>
          <w:p w14:paraId="74DDF877"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878" w14:textId="77777777" w:rsidR="00584EC1" w:rsidRDefault="00584EC1">
            <w:pPr>
              <w:rPr>
                <w:rFonts w:ascii="宋体"/>
              </w:rPr>
            </w:pPr>
          </w:p>
        </w:tc>
        <w:tc>
          <w:tcPr>
            <w:tcW w:w="0" w:type="auto"/>
            <w:gridSpan w:val="9"/>
            <w:shd w:val="clear" w:color="auto" w:fill="auto"/>
            <w:tcMar>
              <w:top w:w="40" w:type="dxa"/>
              <w:left w:w="20" w:type="dxa"/>
              <w:bottom w:w="40" w:type="dxa"/>
              <w:right w:w="20" w:type="dxa"/>
            </w:tcMar>
            <w:vAlign w:val="bottom"/>
          </w:tcPr>
          <w:p w14:paraId="74DDF879" w14:textId="77777777" w:rsidR="00584EC1" w:rsidRDefault="00871F8D">
            <w:pPr>
              <w:jc w:val="center"/>
              <w:textAlignment w:val="bottom"/>
            </w:pPr>
            <w:r>
              <w:rPr>
                <w:rFonts w:ascii="Arial" w:eastAsia="宋体" w:hAnsi="Arial" w:cs="Arial"/>
                <w:b/>
                <w:bCs/>
                <w:color w:val="000000"/>
                <w:sz w:val="13"/>
                <w:szCs w:val="13"/>
              </w:rPr>
              <w:t>Three Months Ended September 30,</w:t>
            </w:r>
          </w:p>
        </w:tc>
        <w:tc>
          <w:tcPr>
            <w:tcW w:w="0" w:type="auto"/>
            <w:shd w:val="clear" w:color="auto" w:fill="auto"/>
            <w:vAlign w:val="bottom"/>
          </w:tcPr>
          <w:p w14:paraId="74DDF87A" w14:textId="77777777" w:rsidR="00584EC1" w:rsidRDefault="00584EC1">
            <w:pPr>
              <w:rPr>
                <w:rFonts w:ascii="宋体"/>
              </w:rPr>
            </w:pPr>
          </w:p>
        </w:tc>
        <w:tc>
          <w:tcPr>
            <w:tcW w:w="0" w:type="auto"/>
            <w:shd w:val="clear" w:color="auto" w:fill="auto"/>
            <w:vAlign w:val="bottom"/>
          </w:tcPr>
          <w:p w14:paraId="74DDF87B" w14:textId="77777777" w:rsidR="00584EC1" w:rsidRDefault="00584EC1">
            <w:pPr>
              <w:rPr>
                <w:rFonts w:ascii="宋体"/>
              </w:rPr>
            </w:pPr>
          </w:p>
        </w:tc>
        <w:tc>
          <w:tcPr>
            <w:tcW w:w="0" w:type="auto"/>
            <w:shd w:val="clear" w:color="auto" w:fill="auto"/>
            <w:vAlign w:val="bottom"/>
          </w:tcPr>
          <w:p w14:paraId="74DDF87C" w14:textId="77777777" w:rsidR="00584EC1" w:rsidRDefault="00584EC1">
            <w:pPr>
              <w:rPr>
                <w:rFonts w:ascii="宋体"/>
              </w:rPr>
            </w:pPr>
          </w:p>
        </w:tc>
        <w:tc>
          <w:tcPr>
            <w:tcW w:w="0" w:type="auto"/>
            <w:shd w:val="clear" w:color="auto" w:fill="auto"/>
            <w:vAlign w:val="bottom"/>
          </w:tcPr>
          <w:p w14:paraId="74DDF87D" w14:textId="77777777" w:rsidR="00584EC1" w:rsidRDefault="00584EC1">
            <w:pPr>
              <w:rPr>
                <w:rFonts w:ascii="宋体"/>
              </w:rPr>
            </w:pPr>
          </w:p>
        </w:tc>
        <w:tc>
          <w:tcPr>
            <w:tcW w:w="0" w:type="auto"/>
            <w:shd w:val="clear" w:color="auto" w:fill="auto"/>
            <w:vAlign w:val="bottom"/>
          </w:tcPr>
          <w:p w14:paraId="74DDF87E" w14:textId="77777777" w:rsidR="00584EC1" w:rsidRDefault="00584EC1">
            <w:pPr>
              <w:rPr>
                <w:rFonts w:ascii="宋体"/>
              </w:rPr>
            </w:pPr>
          </w:p>
        </w:tc>
        <w:tc>
          <w:tcPr>
            <w:tcW w:w="0" w:type="auto"/>
            <w:shd w:val="clear" w:color="auto" w:fill="auto"/>
            <w:vAlign w:val="bottom"/>
          </w:tcPr>
          <w:p w14:paraId="74DDF87F" w14:textId="77777777" w:rsidR="00584EC1" w:rsidRDefault="00584EC1">
            <w:pPr>
              <w:rPr>
                <w:rFonts w:ascii="宋体"/>
              </w:rPr>
            </w:pPr>
          </w:p>
        </w:tc>
        <w:tc>
          <w:tcPr>
            <w:tcW w:w="0" w:type="auto"/>
            <w:shd w:val="clear" w:color="auto" w:fill="auto"/>
            <w:vAlign w:val="bottom"/>
          </w:tcPr>
          <w:p w14:paraId="74DDF880" w14:textId="77777777" w:rsidR="00584EC1" w:rsidRDefault="00584EC1">
            <w:pPr>
              <w:rPr>
                <w:rFonts w:ascii="宋体"/>
              </w:rPr>
            </w:pPr>
          </w:p>
        </w:tc>
        <w:tc>
          <w:tcPr>
            <w:tcW w:w="0" w:type="auto"/>
            <w:shd w:val="clear" w:color="auto" w:fill="auto"/>
            <w:vAlign w:val="bottom"/>
          </w:tcPr>
          <w:p w14:paraId="74DDF881" w14:textId="77777777" w:rsidR="00584EC1" w:rsidRDefault="00584EC1">
            <w:pPr>
              <w:rPr>
                <w:rFonts w:ascii="宋体"/>
              </w:rPr>
            </w:pPr>
          </w:p>
        </w:tc>
        <w:tc>
          <w:tcPr>
            <w:tcW w:w="0" w:type="auto"/>
            <w:shd w:val="clear" w:color="auto" w:fill="auto"/>
            <w:vAlign w:val="bottom"/>
          </w:tcPr>
          <w:p w14:paraId="74DDF882" w14:textId="77777777" w:rsidR="00584EC1" w:rsidRDefault="00584EC1">
            <w:pPr>
              <w:rPr>
                <w:rFonts w:ascii="宋体"/>
              </w:rPr>
            </w:pPr>
          </w:p>
        </w:tc>
        <w:tc>
          <w:tcPr>
            <w:tcW w:w="0" w:type="auto"/>
            <w:shd w:val="clear" w:color="auto" w:fill="auto"/>
            <w:vAlign w:val="bottom"/>
          </w:tcPr>
          <w:p w14:paraId="74DDF883" w14:textId="77777777" w:rsidR="00584EC1" w:rsidRDefault="00584EC1">
            <w:pPr>
              <w:rPr>
                <w:rFonts w:ascii="宋体"/>
              </w:rPr>
            </w:pPr>
          </w:p>
        </w:tc>
        <w:tc>
          <w:tcPr>
            <w:tcW w:w="0" w:type="auto"/>
            <w:shd w:val="clear" w:color="auto" w:fill="auto"/>
            <w:vAlign w:val="bottom"/>
          </w:tcPr>
          <w:p w14:paraId="74DDF884" w14:textId="77777777" w:rsidR="00584EC1" w:rsidRDefault="00584EC1">
            <w:pPr>
              <w:rPr>
                <w:rFonts w:ascii="宋体"/>
              </w:rPr>
            </w:pPr>
          </w:p>
        </w:tc>
        <w:tc>
          <w:tcPr>
            <w:tcW w:w="0" w:type="auto"/>
            <w:shd w:val="clear" w:color="auto" w:fill="auto"/>
            <w:vAlign w:val="bottom"/>
          </w:tcPr>
          <w:p w14:paraId="74DDF885" w14:textId="77777777" w:rsidR="00584EC1" w:rsidRDefault="00584EC1">
            <w:pPr>
              <w:rPr>
                <w:rFonts w:ascii="宋体"/>
              </w:rPr>
            </w:pPr>
          </w:p>
        </w:tc>
      </w:tr>
      <w:tr w:rsidR="00584EC1" w14:paraId="74DDF895" w14:textId="77777777">
        <w:trPr>
          <w:trHeight w:val="220"/>
        </w:trPr>
        <w:tc>
          <w:tcPr>
            <w:tcW w:w="0" w:type="auto"/>
            <w:gridSpan w:val="3"/>
            <w:shd w:val="clear" w:color="auto" w:fill="auto"/>
            <w:tcMar>
              <w:top w:w="0" w:type="dxa"/>
              <w:left w:w="20" w:type="dxa"/>
              <w:bottom w:w="0" w:type="dxa"/>
              <w:right w:w="20" w:type="dxa"/>
            </w:tcMar>
            <w:vAlign w:val="bottom"/>
          </w:tcPr>
          <w:p w14:paraId="74DDF887"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F888" w14:textId="77777777" w:rsidR="00584EC1" w:rsidRDefault="00871F8D">
            <w:pPr>
              <w:jc w:val="center"/>
              <w:textAlignment w:val="bottom"/>
            </w:pPr>
            <w:r>
              <w:rPr>
                <w:rFonts w:ascii="Arial" w:eastAsia="宋体" w:hAnsi="Arial" w:cs="Arial"/>
                <w:b/>
                <w:bCs/>
                <w:color w:val="000000"/>
                <w:sz w:val="13"/>
                <w:szCs w:val="13"/>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889" w14:textId="77777777" w:rsidR="00584EC1" w:rsidRDefault="00584EC1">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4DDF88A" w14:textId="77777777" w:rsidR="00584EC1" w:rsidRDefault="00871F8D">
            <w:pPr>
              <w:jc w:val="center"/>
              <w:textAlignment w:val="bottom"/>
            </w:pPr>
            <w:r>
              <w:rPr>
                <w:rFonts w:ascii="Arial" w:eastAsia="宋体" w:hAnsi="Arial" w:cs="Arial"/>
                <w:b/>
                <w:bCs/>
                <w:color w:val="000000"/>
                <w:sz w:val="13"/>
                <w:szCs w:val="13"/>
              </w:rPr>
              <w:t>2020</w:t>
            </w:r>
          </w:p>
        </w:tc>
        <w:tc>
          <w:tcPr>
            <w:tcW w:w="0" w:type="auto"/>
            <w:shd w:val="clear" w:color="auto" w:fill="auto"/>
            <w:vAlign w:val="bottom"/>
          </w:tcPr>
          <w:p w14:paraId="74DDF88B" w14:textId="77777777" w:rsidR="00584EC1" w:rsidRDefault="00584EC1">
            <w:pPr>
              <w:rPr>
                <w:rFonts w:ascii="宋体"/>
                <w:vanish/>
              </w:rPr>
            </w:pPr>
          </w:p>
        </w:tc>
        <w:tc>
          <w:tcPr>
            <w:tcW w:w="0" w:type="auto"/>
            <w:shd w:val="clear" w:color="auto" w:fill="auto"/>
            <w:vAlign w:val="bottom"/>
          </w:tcPr>
          <w:p w14:paraId="74DDF88C" w14:textId="77777777" w:rsidR="00584EC1" w:rsidRDefault="00584EC1">
            <w:pPr>
              <w:rPr>
                <w:rFonts w:ascii="宋体"/>
                <w:vanish/>
              </w:rPr>
            </w:pPr>
          </w:p>
        </w:tc>
        <w:tc>
          <w:tcPr>
            <w:tcW w:w="0" w:type="auto"/>
            <w:gridSpan w:val="3"/>
            <w:shd w:val="clear" w:color="auto" w:fill="auto"/>
            <w:tcMar>
              <w:top w:w="0" w:type="dxa"/>
              <w:left w:w="20" w:type="dxa"/>
              <w:bottom w:w="0" w:type="dxa"/>
              <w:right w:w="20" w:type="dxa"/>
            </w:tcMar>
            <w:vAlign w:val="bottom"/>
          </w:tcPr>
          <w:p w14:paraId="74DDF88D" w14:textId="77777777" w:rsidR="00584EC1" w:rsidRDefault="00584EC1">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74DDF88E" w14:textId="77777777" w:rsidR="00584EC1" w:rsidRDefault="00871F8D">
            <w:pPr>
              <w:jc w:val="center"/>
              <w:textAlignment w:val="bottom"/>
            </w:pPr>
            <w:r>
              <w:rPr>
                <w:rFonts w:ascii="Arial" w:eastAsia="宋体" w:hAnsi="Arial" w:cs="Arial"/>
                <w:b/>
                <w:bCs/>
                <w:color w:val="000000"/>
                <w:sz w:val="13"/>
                <w:szCs w:val="13"/>
              </w:rPr>
              <w:t xml:space="preserve">Location of Gain or </w:t>
            </w:r>
            <w:r>
              <w:rPr>
                <w:rFonts w:ascii="Arial" w:eastAsia="宋体" w:hAnsi="Arial" w:cs="Arial"/>
                <w:b/>
                <w:bCs/>
                <w:color w:val="000000"/>
                <w:sz w:val="13"/>
                <w:szCs w:val="13"/>
              </w:rPr>
              <w:t>(Loss) Reclassified from Accumulated Other Comprehensive Income into Income</w:t>
            </w:r>
          </w:p>
        </w:tc>
        <w:tc>
          <w:tcPr>
            <w:tcW w:w="0" w:type="auto"/>
            <w:gridSpan w:val="3"/>
            <w:shd w:val="clear" w:color="auto" w:fill="auto"/>
            <w:tcMar>
              <w:top w:w="0" w:type="dxa"/>
              <w:left w:w="20" w:type="dxa"/>
              <w:bottom w:w="0" w:type="dxa"/>
              <w:right w:w="20" w:type="dxa"/>
            </w:tcMar>
            <w:vAlign w:val="bottom"/>
          </w:tcPr>
          <w:p w14:paraId="74DDF88F"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F890" w14:textId="77777777" w:rsidR="00584EC1" w:rsidRDefault="00871F8D">
            <w:pPr>
              <w:jc w:val="center"/>
              <w:textAlignment w:val="bottom"/>
            </w:pPr>
            <w:r>
              <w:rPr>
                <w:rFonts w:ascii="Arial" w:eastAsia="宋体" w:hAnsi="Arial" w:cs="Arial"/>
                <w:b/>
                <w:bCs/>
                <w:color w:val="000000"/>
                <w:sz w:val="13"/>
                <w:szCs w:val="13"/>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891" w14:textId="77777777" w:rsidR="00584EC1" w:rsidRDefault="00584EC1">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4DDF892" w14:textId="77777777" w:rsidR="00584EC1" w:rsidRDefault="00871F8D">
            <w:pPr>
              <w:jc w:val="center"/>
              <w:textAlignment w:val="bottom"/>
            </w:pPr>
            <w:r>
              <w:rPr>
                <w:rFonts w:ascii="Arial" w:eastAsia="宋体" w:hAnsi="Arial" w:cs="Arial"/>
                <w:b/>
                <w:bCs/>
                <w:color w:val="000000"/>
                <w:sz w:val="13"/>
                <w:szCs w:val="13"/>
              </w:rPr>
              <w:t>2020</w:t>
            </w:r>
          </w:p>
        </w:tc>
        <w:tc>
          <w:tcPr>
            <w:tcW w:w="0" w:type="auto"/>
            <w:gridSpan w:val="3"/>
            <w:shd w:val="clear" w:color="auto" w:fill="auto"/>
            <w:vAlign w:val="bottom"/>
          </w:tcPr>
          <w:p w14:paraId="74DDF893" w14:textId="77777777" w:rsidR="00584EC1" w:rsidRDefault="00584EC1">
            <w:pPr>
              <w:rPr>
                <w:rFonts w:ascii="宋体"/>
                <w:vanish/>
              </w:rPr>
            </w:pPr>
          </w:p>
        </w:tc>
        <w:tc>
          <w:tcPr>
            <w:tcW w:w="0" w:type="auto"/>
            <w:gridSpan w:val="3"/>
            <w:shd w:val="clear" w:color="auto" w:fill="auto"/>
            <w:vAlign w:val="bottom"/>
          </w:tcPr>
          <w:p w14:paraId="74DDF894" w14:textId="77777777" w:rsidR="00584EC1" w:rsidRDefault="00584EC1">
            <w:pPr>
              <w:rPr>
                <w:rFonts w:ascii="宋体"/>
                <w:vanish/>
              </w:rPr>
            </w:pPr>
          </w:p>
        </w:tc>
      </w:tr>
      <w:tr w:rsidR="00584EC1" w14:paraId="74DDF8AA" w14:textId="77777777">
        <w:trPr>
          <w:trHeight w:val="460"/>
        </w:trPr>
        <w:tc>
          <w:tcPr>
            <w:tcW w:w="0" w:type="auto"/>
            <w:gridSpan w:val="3"/>
            <w:shd w:val="clear" w:color="auto" w:fill="auto"/>
            <w:tcMar>
              <w:top w:w="40" w:type="dxa"/>
              <w:left w:w="20" w:type="dxa"/>
              <w:bottom w:w="40" w:type="dxa"/>
              <w:right w:w="20" w:type="dxa"/>
            </w:tcMar>
            <w:vAlign w:val="bottom"/>
          </w:tcPr>
          <w:p w14:paraId="74DDF896" w14:textId="77777777" w:rsidR="00584EC1" w:rsidRDefault="00871F8D">
            <w:pPr>
              <w:textAlignment w:val="bottom"/>
            </w:pPr>
            <w:r>
              <w:rPr>
                <w:rFonts w:ascii="Arial" w:eastAsia="宋体" w:hAnsi="Arial" w:cs="Arial"/>
                <w:b/>
                <w:bCs/>
                <w:color w:val="000000"/>
                <w:sz w:val="13"/>
                <w:szCs w:val="13"/>
              </w:rPr>
              <w:t>(In millions)</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4DDF897" w14:textId="77777777" w:rsidR="00584EC1" w:rsidRDefault="00871F8D">
            <w:pPr>
              <w:jc w:val="center"/>
              <w:textAlignment w:val="bottom"/>
            </w:pPr>
            <w:r>
              <w:rPr>
                <w:rFonts w:ascii="Arial" w:eastAsia="宋体" w:hAnsi="Arial" w:cs="Arial"/>
                <w:b/>
                <w:bCs/>
                <w:color w:val="000000"/>
                <w:sz w:val="13"/>
                <w:szCs w:val="13"/>
              </w:rPr>
              <w:t>Amount of Gain or (Loss) Recognized in Other Comprehensive Income on Derivative</w:t>
            </w:r>
          </w:p>
        </w:tc>
        <w:tc>
          <w:tcPr>
            <w:tcW w:w="0" w:type="auto"/>
            <w:shd w:val="clear" w:color="auto" w:fill="auto"/>
            <w:tcMar>
              <w:top w:w="0" w:type="dxa"/>
              <w:left w:w="20" w:type="dxa"/>
              <w:bottom w:w="0" w:type="dxa"/>
              <w:right w:w="20" w:type="dxa"/>
            </w:tcMar>
            <w:vAlign w:val="bottom"/>
          </w:tcPr>
          <w:p w14:paraId="74DDF898" w14:textId="77777777" w:rsidR="00584EC1" w:rsidRDefault="00584EC1">
            <w:pPr>
              <w:rPr>
                <w:rFonts w:ascii="宋体"/>
              </w:rPr>
            </w:pPr>
          </w:p>
        </w:tc>
        <w:tc>
          <w:tcPr>
            <w:tcW w:w="0" w:type="auto"/>
            <w:shd w:val="clear" w:color="auto" w:fill="auto"/>
            <w:tcMar>
              <w:top w:w="0" w:type="dxa"/>
              <w:left w:w="20" w:type="dxa"/>
              <w:bottom w:w="0" w:type="dxa"/>
              <w:right w:w="20" w:type="dxa"/>
            </w:tcMar>
            <w:vAlign w:val="bottom"/>
          </w:tcPr>
          <w:p w14:paraId="74DDF899" w14:textId="77777777" w:rsidR="00584EC1" w:rsidRDefault="00584E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4DDF89A" w14:textId="77777777" w:rsidR="00584EC1" w:rsidRDefault="00871F8D">
            <w:pPr>
              <w:jc w:val="center"/>
              <w:textAlignment w:val="bottom"/>
            </w:pPr>
            <w:r>
              <w:rPr>
                <w:rFonts w:ascii="Arial" w:eastAsia="宋体" w:hAnsi="Arial" w:cs="Arial"/>
                <w:b/>
                <w:bCs/>
                <w:color w:val="000000"/>
                <w:sz w:val="13"/>
                <w:szCs w:val="13"/>
              </w:rPr>
              <w:t xml:space="preserve">Amount of Gain or (Loss) Reclassified from </w:t>
            </w:r>
            <w:r>
              <w:rPr>
                <w:rFonts w:ascii="Arial" w:eastAsia="宋体" w:hAnsi="Arial" w:cs="Arial"/>
                <w:b/>
                <w:bCs/>
                <w:color w:val="000000"/>
                <w:sz w:val="13"/>
                <w:szCs w:val="13"/>
              </w:rPr>
              <w:t>Accumulated Other Comprehensive Income into Income</w:t>
            </w:r>
          </w:p>
        </w:tc>
        <w:tc>
          <w:tcPr>
            <w:tcW w:w="0" w:type="auto"/>
            <w:shd w:val="clear" w:color="auto" w:fill="auto"/>
            <w:vAlign w:val="bottom"/>
          </w:tcPr>
          <w:p w14:paraId="74DDF89B" w14:textId="77777777" w:rsidR="00584EC1" w:rsidRDefault="00584EC1">
            <w:pPr>
              <w:rPr>
                <w:rFonts w:ascii="宋体"/>
              </w:rPr>
            </w:pPr>
          </w:p>
        </w:tc>
        <w:tc>
          <w:tcPr>
            <w:tcW w:w="0" w:type="auto"/>
            <w:shd w:val="clear" w:color="auto" w:fill="auto"/>
            <w:vAlign w:val="bottom"/>
          </w:tcPr>
          <w:p w14:paraId="74DDF89C" w14:textId="77777777" w:rsidR="00584EC1" w:rsidRDefault="00584EC1">
            <w:pPr>
              <w:rPr>
                <w:rFonts w:ascii="宋体"/>
              </w:rPr>
            </w:pPr>
          </w:p>
        </w:tc>
        <w:tc>
          <w:tcPr>
            <w:tcW w:w="0" w:type="auto"/>
            <w:shd w:val="clear" w:color="auto" w:fill="auto"/>
            <w:vAlign w:val="bottom"/>
          </w:tcPr>
          <w:p w14:paraId="74DDF89D" w14:textId="77777777" w:rsidR="00584EC1" w:rsidRDefault="00584EC1">
            <w:pPr>
              <w:rPr>
                <w:rFonts w:ascii="宋体"/>
              </w:rPr>
            </w:pPr>
          </w:p>
        </w:tc>
        <w:tc>
          <w:tcPr>
            <w:tcW w:w="0" w:type="auto"/>
            <w:shd w:val="clear" w:color="auto" w:fill="auto"/>
            <w:vAlign w:val="bottom"/>
          </w:tcPr>
          <w:p w14:paraId="74DDF89E" w14:textId="77777777" w:rsidR="00584EC1" w:rsidRDefault="00584EC1">
            <w:pPr>
              <w:rPr>
                <w:rFonts w:ascii="宋体"/>
              </w:rPr>
            </w:pPr>
          </w:p>
        </w:tc>
        <w:tc>
          <w:tcPr>
            <w:tcW w:w="0" w:type="auto"/>
            <w:shd w:val="clear" w:color="auto" w:fill="auto"/>
            <w:vAlign w:val="bottom"/>
          </w:tcPr>
          <w:p w14:paraId="74DDF89F" w14:textId="77777777" w:rsidR="00584EC1" w:rsidRDefault="00584EC1">
            <w:pPr>
              <w:rPr>
                <w:rFonts w:ascii="宋体"/>
              </w:rPr>
            </w:pPr>
          </w:p>
        </w:tc>
        <w:tc>
          <w:tcPr>
            <w:tcW w:w="0" w:type="auto"/>
            <w:shd w:val="clear" w:color="auto" w:fill="auto"/>
            <w:vAlign w:val="bottom"/>
          </w:tcPr>
          <w:p w14:paraId="74DDF8A0" w14:textId="77777777" w:rsidR="00584EC1" w:rsidRDefault="00584EC1">
            <w:pPr>
              <w:rPr>
                <w:rFonts w:ascii="宋体"/>
              </w:rPr>
            </w:pPr>
          </w:p>
        </w:tc>
        <w:tc>
          <w:tcPr>
            <w:tcW w:w="0" w:type="auto"/>
            <w:shd w:val="clear" w:color="auto" w:fill="auto"/>
            <w:vAlign w:val="bottom"/>
          </w:tcPr>
          <w:p w14:paraId="74DDF8A1" w14:textId="77777777" w:rsidR="00584EC1" w:rsidRDefault="00584EC1">
            <w:pPr>
              <w:rPr>
                <w:rFonts w:ascii="宋体"/>
              </w:rPr>
            </w:pPr>
          </w:p>
        </w:tc>
        <w:tc>
          <w:tcPr>
            <w:tcW w:w="0" w:type="auto"/>
            <w:shd w:val="clear" w:color="auto" w:fill="auto"/>
            <w:vAlign w:val="bottom"/>
          </w:tcPr>
          <w:p w14:paraId="74DDF8A2" w14:textId="77777777" w:rsidR="00584EC1" w:rsidRDefault="00584EC1">
            <w:pPr>
              <w:rPr>
                <w:rFonts w:ascii="宋体"/>
              </w:rPr>
            </w:pPr>
          </w:p>
        </w:tc>
        <w:tc>
          <w:tcPr>
            <w:tcW w:w="0" w:type="auto"/>
            <w:shd w:val="clear" w:color="auto" w:fill="auto"/>
            <w:vAlign w:val="bottom"/>
          </w:tcPr>
          <w:p w14:paraId="74DDF8A3" w14:textId="77777777" w:rsidR="00584EC1" w:rsidRDefault="00584EC1">
            <w:pPr>
              <w:rPr>
                <w:rFonts w:ascii="宋体"/>
              </w:rPr>
            </w:pPr>
          </w:p>
        </w:tc>
        <w:tc>
          <w:tcPr>
            <w:tcW w:w="0" w:type="auto"/>
            <w:shd w:val="clear" w:color="auto" w:fill="auto"/>
            <w:vAlign w:val="bottom"/>
          </w:tcPr>
          <w:p w14:paraId="74DDF8A4" w14:textId="77777777" w:rsidR="00584EC1" w:rsidRDefault="00584EC1">
            <w:pPr>
              <w:rPr>
                <w:rFonts w:ascii="宋体"/>
              </w:rPr>
            </w:pPr>
          </w:p>
        </w:tc>
        <w:tc>
          <w:tcPr>
            <w:tcW w:w="0" w:type="auto"/>
            <w:shd w:val="clear" w:color="auto" w:fill="auto"/>
            <w:vAlign w:val="bottom"/>
          </w:tcPr>
          <w:p w14:paraId="74DDF8A5" w14:textId="77777777" w:rsidR="00584EC1" w:rsidRDefault="00584EC1">
            <w:pPr>
              <w:rPr>
                <w:rFonts w:ascii="宋体"/>
              </w:rPr>
            </w:pPr>
          </w:p>
        </w:tc>
        <w:tc>
          <w:tcPr>
            <w:tcW w:w="0" w:type="auto"/>
            <w:shd w:val="clear" w:color="auto" w:fill="auto"/>
            <w:vAlign w:val="bottom"/>
          </w:tcPr>
          <w:p w14:paraId="74DDF8A6" w14:textId="77777777" w:rsidR="00584EC1" w:rsidRDefault="00584EC1">
            <w:pPr>
              <w:rPr>
                <w:rFonts w:ascii="宋体"/>
              </w:rPr>
            </w:pPr>
          </w:p>
        </w:tc>
        <w:tc>
          <w:tcPr>
            <w:tcW w:w="0" w:type="auto"/>
            <w:shd w:val="clear" w:color="auto" w:fill="auto"/>
            <w:vAlign w:val="bottom"/>
          </w:tcPr>
          <w:p w14:paraId="74DDF8A7" w14:textId="77777777" w:rsidR="00584EC1" w:rsidRDefault="00584EC1">
            <w:pPr>
              <w:rPr>
                <w:rFonts w:ascii="宋体"/>
              </w:rPr>
            </w:pPr>
          </w:p>
        </w:tc>
        <w:tc>
          <w:tcPr>
            <w:tcW w:w="0" w:type="auto"/>
            <w:shd w:val="clear" w:color="auto" w:fill="auto"/>
            <w:vAlign w:val="bottom"/>
          </w:tcPr>
          <w:p w14:paraId="74DDF8A8" w14:textId="77777777" w:rsidR="00584EC1" w:rsidRDefault="00584EC1">
            <w:pPr>
              <w:rPr>
                <w:rFonts w:ascii="宋体"/>
              </w:rPr>
            </w:pPr>
          </w:p>
        </w:tc>
        <w:tc>
          <w:tcPr>
            <w:tcW w:w="0" w:type="auto"/>
            <w:shd w:val="clear" w:color="auto" w:fill="auto"/>
            <w:vAlign w:val="bottom"/>
          </w:tcPr>
          <w:p w14:paraId="74DDF8A9" w14:textId="77777777" w:rsidR="00584EC1" w:rsidRDefault="00584EC1">
            <w:pPr>
              <w:rPr>
                <w:rFonts w:ascii="宋体"/>
              </w:rPr>
            </w:pPr>
          </w:p>
        </w:tc>
      </w:tr>
      <w:tr w:rsidR="00584EC1" w14:paraId="74DDF8B9" w14:textId="77777777">
        <w:tc>
          <w:tcPr>
            <w:tcW w:w="0" w:type="auto"/>
            <w:gridSpan w:val="3"/>
            <w:shd w:val="clear" w:color="auto" w:fill="auto"/>
            <w:tcMar>
              <w:top w:w="40" w:type="dxa"/>
              <w:left w:w="20" w:type="dxa"/>
              <w:bottom w:w="40" w:type="dxa"/>
              <w:right w:w="20" w:type="dxa"/>
            </w:tcMar>
            <w:vAlign w:val="bottom"/>
          </w:tcPr>
          <w:p w14:paraId="74DDF8AB" w14:textId="77777777" w:rsidR="00584EC1" w:rsidRDefault="00871F8D">
            <w:pPr>
              <w:textAlignment w:val="bottom"/>
            </w:pPr>
            <w:r>
              <w:rPr>
                <w:rFonts w:ascii="Arial" w:eastAsia="宋体" w:hAnsi="Arial" w:cs="Arial"/>
                <w:b/>
                <w:bCs/>
                <w:color w:val="000000"/>
                <w:sz w:val="13"/>
                <w:szCs w:val="13"/>
              </w:rPr>
              <w:t>Derivatives designated as cash flow hedges: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8AC"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8AD"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8AE" w14:textId="77777777" w:rsidR="00584EC1" w:rsidRDefault="00584EC1">
            <w:pPr>
              <w:rPr>
                <w:rFonts w:ascii="宋体"/>
              </w:rPr>
            </w:pPr>
          </w:p>
        </w:tc>
        <w:tc>
          <w:tcPr>
            <w:tcW w:w="0" w:type="auto"/>
            <w:shd w:val="clear" w:color="auto" w:fill="auto"/>
            <w:vAlign w:val="bottom"/>
          </w:tcPr>
          <w:p w14:paraId="74DDF8AF" w14:textId="77777777" w:rsidR="00584EC1" w:rsidRDefault="00584EC1">
            <w:pPr>
              <w:rPr>
                <w:rFonts w:ascii="宋体"/>
                <w:vanish/>
              </w:rPr>
            </w:pPr>
          </w:p>
        </w:tc>
        <w:tc>
          <w:tcPr>
            <w:tcW w:w="0" w:type="auto"/>
            <w:shd w:val="clear" w:color="auto" w:fill="auto"/>
            <w:vAlign w:val="bottom"/>
          </w:tcPr>
          <w:p w14:paraId="74DDF8B0" w14:textId="77777777" w:rsidR="00584EC1" w:rsidRDefault="00584EC1">
            <w:pPr>
              <w:rPr>
                <w:rFonts w:ascii="宋体"/>
                <w:vanish/>
              </w:rPr>
            </w:pPr>
          </w:p>
        </w:tc>
        <w:tc>
          <w:tcPr>
            <w:tcW w:w="0" w:type="auto"/>
            <w:gridSpan w:val="3"/>
            <w:shd w:val="clear" w:color="auto" w:fill="auto"/>
            <w:tcMar>
              <w:top w:w="0" w:type="dxa"/>
              <w:left w:w="20" w:type="dxa"/>
              <w:bottom w:w="0" w:type="dxa"/>
              <w:right w:w="20" w:type="dxa"/>
            </w:tcMar>
            <w:vAlign w:val="bottom"/>
          </w:tcPr>
          <w:p w14:paraId="74DDF8B1"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8B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8B3"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8B4"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8B5"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8B6" w14:textId="77777777" w:rsidR="00584EC1" w:rsidRDefault="00584EC1">
            <w:pPr>
              <w:rPr>
                <w:rFonts w:ascii="宋体"/>
              </w:rPr>
            </w:pPr>
          </w:p>
        </w:tc>
        <w:tc>
          <w:tcPr>
            <w:tcW w:w="0" w:type="auto"/>
            <w:gridSpan w:val="3"/>
            <w:shd w:val="clear" w:color="auto" w:fill="auto"/>
            <w:vAlign w:val="bottom"/>
          </w:tcPr>
          <w:p w14:paraId="74DDF8B7" w14:textId="77777777" w:rsidR="00584EC1" w:rsidRDefault="00584EC1">
            <w:pPr>
              <w:rPr>
                <w:rFonts w:ascii="宋体"/>
                <w:vanish/>
              </w:rPr>
            </w:pPr>
          </w:p>
        </w:tc>
        <w:tc>
          <w:tcPr>
            <w:tcW w:w="0" w:type="auto"/>
            <w:gridSpan w:val="3"/>
            <w:shd w:val="clear" w:color="auto" w:fill="auto"/>
            <w:vAlign w:val="bottom"/>
          </w:tcPr>
          <w:p w14:paraId="74DDF8B8" w14:textId="77777777" w:rsidR="00584EC1" w:rsidRDefault="00584EC1">
            <w:pPr>
              <w:rPr>
                <w:rFonts w:ascii="宋体"/>
                <w:vanish/>
              </w:rPr>
            </w:pPr>
          </w:p>
        </w:tc>
      </w:tr>
      <w:tr w:rsidR="00584EC1" w14:paraId="74DDF8D0" w14:textId="77777777">
        <w:tc>
          <w:tcPr>
            <w:tcW w:w="0" w:type="auto"/>
            <w:gridSpan w:val="3"/>
            <w:shd w:val="clear" w:color="auto" w:fill="CCEEFF"/>
            <w:tcMar>
              <w:top w:w="40" w:type="dxa"/>
              <w:left w:w="20" w:type="dxa"/>
              <w:bottom w:w="40" w:type="dxa"/>
              <w:right w:w="20" w:type="dxa"/>
            </w:tcMar>
            <w:vAlign w:val="bottom"/>
          </w:tcPr>
          <w:p w14:paraId="74DDF8BA" w14:textId="77777777" w:rsidR="00584EC1" w:rsidRDefault="00871F8D">
            <w:pPr>
              <w:textAlignment w:val="bottom"/>
            </w:pPr>
            <w:r>
              <w:rPr>
                <w:rFonts w:ascii="Arial" w:eastAsia="宋体" w:hAnsi="Arial" w:cs="Arial"/>
                <w:color w:val="000000"/>
                <w:sz w:val="13"/>
                <w:szCs w:val="13"/>
              </w:rPr>
              <w:t>Interest rate contracts</w:t>
            </w:r>
            <w:r>
              <w:rPr>
                <w:rFonts w:ascii="Arial" w:eastAsia="宋体" w:hAnsi="Arial" w:cs="Arial"/>
                <w:color w:val="000000"/>
                <w:sz w:val="8"/>
                <w:szCs w:val="8"/>
              </w:rPr>
              <w:t>(1)</w:t>
            </w:r>
          </w:p>
        </w:tc>
        <w:tc>
          <w:tcPr>
            <w:tcW w:w="0" w:type="auto"/>
            <w:shd w:val="clear" w:color="auto" w:fill="CCEEFF"/>
            <w:tcMar>
              <w:top w:w="40" w:type="dxa"/>
              <w:left w:w="20" w:type="dxa"/>
              <w:bottom w:w="40" w:type="dxa"/>
              <w:right w:w="0" w:type="dxa"/>
            </w:tcMar>
            <w:vAlign w:val="bottom"/>
          </w:tcPr>
          <w:p w14:paraId="74DDF8BB" w14:textId="77777777" w:rsidR="00584EC1" w:rsidRDefault="00871F8D">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4DDF8BC" w14:textId="77777777" w:rsidR="00584EC1" w:rsidRDefault="00871F8D">
            <w:pPr>
              <w:jc w:val="right"/>
              <w:textAlignment w:val="bottom"/>
            </w:pPr>
            <w:r>
              <w:rPr>
                <w:rFonts w:ascii="Arial" w:eastAsia="宋体" w:hAnsi="Arial" w:cs="Arial"/>
                <w:b/>
                <w:bCs/>
                <w:color w:val="000000"/>
                <w:sz w:val="13"/>
                <w:szCs w:val="13"/>
              </w:rPr>
              <w:t>(3)</w:t>
            </w:r>
          </w:p>
        </w:tc>
        <w:tc>
          <w:tcPr>
            <w:tcW w:w="0" w:type="auto"/>
            <w:shd w:val="clear" w:color="auto" w:fill="CCEEFF"/>
            <w:tcMar>
              <w:top w:w="40" w:type="dxa"/>
              <w:left w:w="0" w:type="dxa"/>
              <w:bottom w:w="40" w:type="dxa"/>
              <w:right w:w="20" w:type="dxa"/>
            </w:tcMar>
            <w:vAlign w:val="bottom"/>
          </w:tcPr>
          <w:p w14:paraId="74DDF8B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8BE"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F8BF" w14:textId="77777777" w:rsidR="00584EC1" w:rsidRDefault="00871F8D">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74DDF8C0" w14:textId="77777777" w:rsidR="00584EC1" w:rsidRDefault="00871F8D">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F8C1" w14:textId="77777777" w:rsidR="00584EC1" w:rsidRDefault="00584EC1">
            <w:pPr>
              <w:jc w:val="right"/>
              <w:rPr>
                <w:rFonts w:ascii="宋体"/>
              </w:rPr>
            </w:pPr>
          </w:p>
        </w:tc>
        <w:tc>
          <w:tcPr>
            <w:tcW w:w="0" w:type="auto"/>
            <w:shd w:val="clear" w:color="auto" w:fill="auto"/>
            <w:vAlign w:val="bottom"/>
          </w:tcPr>
          <w:p w14:paraId="74DDF8C2" w14:textId="77777777" w:rsidR="00584EC1" w:rsidRDefault="00584EC1">
            <w:pPr>
              <w:rPr>
                <w:rFonts w:ascii="宋体"/>
                <w:vanish/>
              </w:rPr>
            </w:pPr>
          </w:p>
        </w:tc>
        <w:tc>
          <w:tcPr>
            <w:tcW w:w="0" w:type="auto"/>
            <w:shd w:val="clear" w:color="auto" w:fill="auto"/>
            <w:vAlign w:val="bottom"/>
          </w:tcPr>
          <w:p w14:paraId="74DDF8C3" w14:textId="77777777" w:rsidR="00584EC1" w:rsidRDefault="00584EC1">
            <w:pPr>
              <w:rPr>
                <w:rFonts w:ascii="宋体"/>
                <w:vanish/>
              </w:rPr>
            </w:pPr>
          </w:p>
        </w:tc>
        <w:tc>
          <w:tcPr>
            <w:tcW w:w="0" w:type="auto"/>
            <w:gridSpan w:val="3"/>
            <w:shd w:val="clear" w:color="auto" w:fill="CCEEFF"/>
            <w:tcMar>
              <w:top w:w="0" w:type="dxa"/>
              <w:left w:w="20" w:type="dxa"/>
              <w:bottom w:w="0" w:type="dxa"/>
              <w:right w:w="20" w:type="dxa"/>
            </w:tcMar>
            <w:vAlign w:val="bottom"/>
          </w:tcPr>
          <w:p w14:paraId="74DDF8C4" w14:textId="77777777" w:rsidR="00584EC1" w:rsidRDefault="00584EC1">
            <w:pPr>
              <w:rPr>
                <w:rFonts w:ascii="宋体"/>
              </w:rPr>
            </w:pPr>
          </w:p>
        </w:tc>
        <w:tc>
          <w:tcPr>
            <w:tcW w:w="0" w:type="auto"/>
            <w:gridSpan w:val="3"/>
            <w:shd w:val="clear" w:color="auto" w:fill="CCEEFF"/>
            <w:tcMar>
              <w:top w:w="40" w:type="dxa"/>
              <w:left w:w="20" w:type="dxa"/>
              <w:bottom w:w="40" w:type="dxa"/>
              <w:right w:w="20" w:type="dxa"/>
            </w:tcMar>
            <w:vAlign w:val="bottom"/>
          </w:tcPr>
          <w:p w14:paraId="74DDF8C5" w14:textId="77777777" w:rsidR="00584EC1" w:rsidRDefault="00871F8D">
            <w:pPr>
              <w:jc w:val="center"/>
              <w:textAlignment w:val="bottom"/>
            </w:pPr>
            <w:r>
              <w:rPr>
                <w:rFonts w:ascii="Arial" w:eastAsia="宋体" w:hAnsi="Arial" w:cs="Arial"/>
                <w:color w:val="000000"/>
                <w:sz w:val="13"/>
                <w:szCs w:val="13"/>
              </w:rPr>
              <w:t>Net interest income</w:t>
            </w:r>
          </w:p>
        </w:tc>
        <w:tc>
          <w:tcPr>
            <w:tcW w:w="0" w:type="auto"/>
            <w:gridSpan w:val="3"/>
            <w:shd w:val="clear" w:color="auto" w:fill="CCEEFF"/>
            <w:tcMar>
              <w:top w:w="0" w:type="dxa"/>
              <w:left w:w="20" w:type="dxa"/>
              <w:bottom w:w="0" w:type="dxa"/>
              <w:right w:w="20" w:type="dxa"/>
            </w:tcMar>
            <w:vAlign w:val="bottom"/>
          </w:tcPr>
          <w:p w14:paraId="74DDF8C6"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F8C7" w14:textId="77777777" w:rsidR="00584EC1" w:rsidRDefault="00871F8D">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4DDF8C8" w14:textId="77777777" w:rsidR="00584EC1" w:rsidRDefault="00871F8D">
            <w:pPr>
              <w:jc w:val="right"/>
              <w:textAlignment w:val="bottom"/>
            </w:pPr>
            <w:r>
              <w:rPr>
                <w:rFonts w:ascii="Arial" w:eastAsia="宋体" w:hAnsi="Arial" w:cs="Arial"/>
                <w:b/>
                <w:bCs/>
                <w:color w:val="000000"/>
                <w:sz w:val="13"/>
                <w:szCs w:val="13"/>
              </w:rPr>
              <w:t>22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F8C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8CA"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F8CB" w14:textId="77777777" w:rsidR="00584EC1" w:rsidRDefault="00871F8D">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74DDF8CC" w14:textId="77777777" w:rsidR="00584EC1" w:rsidRDefault="00871F8D">
            <w:pPr>
              <w:jc w:val="right"/>
              <w:textAlignment w:val="bottom"/>
            </w:pPr>
            <w:r>
              <w:rPr>
                <w:rFonts w:ascii="Arial" w:eastAsia="宋体" w:hAnsi="Arial" w:cs="Arial"/>
                <w:color w:val="000000"/>
                <w:sz w:val="13"/>
                <w:szCs w:val="13"/>
              </w:rPr>
              <w:t>18 </w:t>
            </w:r>
          </w:p>
        </w:tc>
        <w:tc>
          <w:tcPr>
            <w:tcW w:w="0" w:type="auto"/>
            <w:shd w:val="clear" w:color="auto" w:fill="CCEEFF"/>
            <w:tcMar>
              <w:top w:w="40" w:type="dxa"/>
              <w:left w:w="0" w:type="dxa"/>
              <w:bottom w:w="40" w:type="dxa"/>
              <w:right w:w="20" w:type="dxa"/>
            </w:tcMar>
            <w:vAlign w:val="bottom"/>
          </w:tcPr>
          <w:p w14:paraId="74DDF8CD" w14:textId="77777777" w:rsidR="00584EC1" w:rsidRDefault="00584EC1">
            <w:pPr>
              <w:jc w:val="right"/>
              <w:rPr>
                <w:rFonts w:ascii="宋体"/>
              </w:rPr>
            </w:pPr>
          </w:p>
        </w:tc>
        <w:tc>
          <w:tcPr>
            <w:tcW w:w="0" w:type="auto"/>
            <w:gridSpan w:val="3"/>
            <w:shd w:val="clear" w:color="auto" w:fill="auto"/>
            <w:vAlign w:val="bottom"/>
          </w:tcPr>
          <w:p w14:paraId="74DDF8CE" w14:textId="77777777" w:rsidR="00584EC1" w:rsidRDefault="00584EC1">
            <w:pPr>
              <w:rPr>
                <w:rFonts w:ascii="宋体"/>
                <w:vanish/>
              </w:rPr>
            </w:pPr>
          </w:p>
        </w:tc>
        <w:tc>
          <w:tcPr>
            <w:tcW w:w="0" w:type="auto"/>
            <w:gridSpan w:val="3"/>
            <w:shd w:val="clear" w:color="auto" w:fill="auto"/>
            <w:vAlign w:val="bottom"/>
          </w:tcPr>
          <w:p w14:paraId="74DDF8CF" w14:textId="77777777" w:rsidR="00584EC1" w:rsidRDefault="00584EC1">
            <w:pPr>
              <w:rPr>
                <w:rFonts w:ascii="宋体"/>
                <w:vanish/>
              </w:rPr>
            </w:pPr>
          </w:p>
        </w:tc>
      </w:tr>
      <w:tr w:rsidR="00584EC1" w14:paraId="74DDF8E3" w14:textId="77777777">
        <w:tc>
          <w:tcPr>
            <w:tcW w:w="0" w:type="auto"/>
            <w:gridSpan w:val="3"/>
            <w:shd w:val="clear" w:color="auto" w:fill="FFFFFF"/>
            <w:tcMar>
              <w:top w:w="40" w:type="dxa"/>
              <w:left w:w="20" w:type="dxa"/>
              <w:bottom w:w="40" w:type="dxa"/>
              <w:right w:w="20" w:type="dxa"/>
            </w:tcMar>
            <w:vAlign w:val="bottom"/>
          </w:tcPr>
          <w:p w14:paraId="74DDF8D1" w14:textId="77777777" w:rsidR="00584EC1" w:rsidRDefault="00871F8D">
            <w:pPr>
              <w:textAlignment w:val="bottom"/>
            </w:pPr>
            <w:r>
              <w:rPr>
                <w:rFonts w:ascii="Arial" w:eastAsia="宋体" w:hAnsi="Arial" w:cs="Arial"/>
                <w:color w:val="000000"/>
                <w:sz w:val="13"/>
                <w:szCs w:val="13"/>
              </w:rPr>
              <w:t>Foreign exchange contracts</w:t>
            </w:r>
          </w:p>
        </w:tc>
        <w:tc>
          <w:tcPr>
            <w:tcW w:w="0" w:type="auto"/>
            <w:gridSpan w:val="2"/>
            <w:shd w:val="clear" w:color="auto" w:fill="FFFFFF"/>
            <w:tcMar>
              <w:top w:w="40" w:type="dxa"/>
              <w:left w:w="20" w:type="dxa"/>
              <w:bottom w:w="40" w:type="dxa"/>
              <w:right w:w="0" w:type="dxa"/>
            </w:tcMar>
            <w:vAlign w:val="bottom"/>
          </w:tcPr>
          <w:p w14:paraId="74DDF8D2" w14:textId="77777777" w:rsidR="00584EC1" w:rsidRDefault="00871F8D">
            <w:pPr>
              <w:jc w:val="right"/>
              <w:textAlignment w:val="bottom"/>
            </w:pPr>
            <w:r>
              <w:rPr>
                <w:rFonts w:ascii="Arial" w:eastAsia="宋体" w:hAnsi="Arial" w:cs="Arial"/>
                <w:b/>
                <w:bCs/>
                <w:color w:val="000000"/>
                <w:sz w:val="13"/>
                <w:szCs w:val="13"/>
              </w:rPr>
              <w:t>12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F8D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8D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8D5" w14:textId="77777777" w:rsidR="00584EC1" w:rsidRDefault="00871F8D">
            <w:pPr>
              <w:jc w:val="right"/>
              <w:textAlignment w:val="bottom"/>
            </w:pPr>
            <w:r>
              <w:rPr>
                <w:rFonts w:ascii="Arial" w:eastAsia="宋体" w:hAnsi="Arial" w:cs="Arial"/>
                <w:color w:val="000000"/>
                <w:sz w:val="13"/>
                <w:szCs w:val="13"/>
              </w:rPr>
              <w:t>(30)</w:t>
            </w:r>
          </w:p>
        </w:tc>
        <w:tc>
          <w:tcPr>
            <w:tcW w:w="0" w:type="auto"/>
            <w:shd w:val="clear" w:color="auto" w:fill="FFFFFF"/>
            <w:tcMar>
              <w:top w:w="40" w:type="dxa"/>
              <w:left w:w="0" w:type="dxa"/>
              <w:bottom w:w="40" w:type="dxa"/>
              <w:right w:w="20" w:type="dxa"/>
            </w:tcMar>
            <w:vAlign w:val="bottom"/>
          </w:tcPr>
          <w:p w14:paraId="74DDF8D6" w14:textId="77777777" w:rsidR="00584EC1" w:rsidRDefault="00584EC1">
            <w:pPr>
              <w:jc w:val="right"/>
              <w:rPr>
                <w:rFonts w:ascii="宋体"/>
              </w:rPr>
            </w:pPr>
          </w:p>
        </w:tc>
        <w:tc>
          <w:tcPr>
            <w:tcW w:w="0" w:type="auto"/>
            <w:shd w:val="clear" w:color="auto" w:fill="auto"/>
            <w:vAlign w:val="bottom"/>
          </w:tcPr>
          <w:p w14:paraId="74DDF8D7" w14:textId="77777777" w:rsidR="00584EC1" w:rsidRDefault="00584EC1">
            <w:pPr>
              <w:rPr>
                <w:rFonts w:ascii="宋体"/>
                <w:vanish/>
              </w:rPr>
            </w:pPr>
          </w:p>
        </w:tc>
        <w:tc>
          <w:tcPr>
            <w:tcW w:w="0" w:type="auto"/>
            <w:shd w:val="clear" w:color="auto" w:fill="auto"/>
            <w:vAlign w:val="bottom"/>
          </w:tcPr>
          <w:p w14:paraId="74DDF8D8" w14:textId="77777777" w:rsidR="00584EC1" w:rsidRDefault="00584EC1">
            <w:pPr>
              <w:rPr>
                <w:rFonts w:ascii="宋体"/>
                <w:vanish/>
              </w:rPr>
            </w:pPr>
          </w:p>
        </w:tc>
        <w:tc>
          <w:tcPr>
            <w:tcW w:w="0" w:type="auto"/>
            <w:gridSpan w:val="3"/>
            <w:shd w:val="clear" w:color="auto" w:fill="FFFFFF"/>
            <w:tcMar>
              <w:top w:w="0" w:type="dxa"/>
              <w:left w:w="20" w:type="dxa"/>
              <w:bottom w:w="0" w:type="dxa"/>
              <w:right w:w="20" w:type="dxa"/>
            </w:tcMar>
            <w:vAlign w:val="bottom"/>
          </w:tcPr>
          <w:p w14:paraId="74DDF8D9" w14:textId="77777777" w:rsidR="00584EC1" w:rsidRDefault="00584EC1">
            <w:pPr>
              <w:rPr>
                <w:rFonts w:ascii="宋体"/>
              </w:rPr>
            </w:pPr>
          </w:p>
        </w:tc>
        <w:tc>
          <w:tcPr>
            <w:tcW w:w="0" w:type="auto"/>
            <w:gridSpan w:val="3"/>
            <w:shd w:val="clear" w:color="auto" w:fill="FFFFFF"/>
            <w:tcMar>
              <w:top w:w="40" w:type="dxa"/>
              <w:left w:w="20" w:type="dxa"/>
              <w:bottom w:w="40" w:type="dxa"/>
              <w:right w:w="20" w:type="dxa"/>
            </w:tcMar>
            <w:vAlign w:val="bottom"/>
          </w:tcPr>
          <w:p w14:paraId="74DDF8DA" w14:textId="77777777" w:rsidR="00584EC1" w:rsidRDefault="00871F8D">
            <w:pPr>
              <w:jc w:val="center"/>
              <w:textAlignment w:val="bottom"/>
            </w:pPr>
            <w:r>
              <w:rPr>
                <w:rFonts w:ascii="Arial" w:eastAsia="宋体" w:hAnsi="Arial" w:cs="Arial"/>
                <w:color w:val="000000"/>
                <w:sz w:val="13"/>
                <w:szCs w:val="13"/>
              </w:rPr>
              <w:t>Net interest income</w:t>
            </w:r>
          </w:p>
        </w:tc>
        <w:tc>
          <w:tcPr>
            <w:tcW w:w="0" w:type="auto"/>
            <w:gridSpan w:val="3"/>
            <w:shd w:val="clear" w:color="auto" w:fill="FFFFFF"/>
            <w:tcMar>
              <w:top w:w="0" w:type="dxa"/>
              <w:left w:w="20" w:type="dxa"/>
              <w:bottom w:w="0" w:type="dxa"/>
              <w:right w:w="20" w:type="dxa"/>
            </w:tcMar>
            <w:vAlign w:val="bottom"/>
          </w:tcPr>
          <w:p w14:paraId="74DDF8DB"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8DC" w14:textId="77777777" w:rsidR="00584EC1" w:rsidRDefault="00871F8D">
            <w:pPr>
              <w:jc w:val="right"/>
              <w:textAlignment w:val="bottom"/>
            </w:pPr>
            <w:r>
              <w:rPr>
                <w:rFonts w:ascii="Arial" w:eastAsia="宋体" w:hAnsi="Arial" w:cs="Arial"/>
                <w:b/>
                <w:bCs/>
                <w:color w:val="000000"/>
                <w:sz w:val="13"/>
                <w:szCs w:val="13"/>
              </w:rPr>
              <w:t>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F8D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8D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8DF" w14:textId="77777777" w:rsidR="00584EC1" w:rsidRDefault="00871F8D">
            <w:pPr>
              <w:jc w:val="right"/>
              <w:textAlignment w:val="bottom"/>
            </w:pPr>
            <w:r>
              <w:rPr>
                <w:rFonts w:ascii="Arial" w:eastAsia="宋体" w:hAnsi="Arial" w:cs="Arial"/>
                <w:color w:val="000000"/>
                <w:sz w:val="13"/>
                <w:szCs w:val="13"/>
              </w:rPr>
              <w:t>6 </w:t>
            </w:r>
          </w:p>
        </w:tc>
        <w:tc>
          <w:tcPr>
            <w:tcW w:w="0" w:type="auto"/>
            <w:shd w:val="clear" w:color="auto" w:fill="FFFFFF"/>
            <w:tcMar>
              <w:top w:w="40" w:type="dxa"/>
              <w:left w:w="0" w:type="dxa"/>
              <w:bottom w:w="40" w:type="dxa"/>
              <w:right w:w="20" w:type="dxa"/>
            </w:tcMar>
            <w:vAlign w:val="bottom"/>
          </w:tcPr>
          <w:p w14:paraId="74DDF8E0" w14:textId="77777777" w:rsidR="00584EC1" w:rsidRDefault="00584EC1">
            <w:pPr>
              <w:jc w:val="right"/>
              <w:rPr>
                <w:rFonts w:ascii="宋体"/>
              </w:rPr>
            </w:pPr>
          </w:p>
        </w:tc>
        <w:tc>
          <w:tcPr>
            <w:tcW w:w="0" w:type="auto"/>
            <w:gridSpan w:val="3"/>
            <w:shd w:val="clear" w:color="auto" w:fill="auto"/>
            <w:vAlign w:val="bottom"/>
          </w:tcPr>
          <w:p w14:paraId="74DDF8E1" w14:textId="77777777" w:rsidR="00584EC1" w:rsidRDefault="00584EC1">
            <w:pPr>
              <w:rPr>
                <w:rFonts w:ascii="宋体"/>
                <w:vanish/>
              </w:rPr>
            </w:pPr>
          </w:p>
        </w:tc>
        <w:tc>
          <w:tcPr>
            <w:tcW w:w="0" w:type="auto"/>
            <w:gridSpan w:val="3"/>
            <w:shd w:val="clear" w:color="auto" w:fill="auto"/>
            <w:vAlign w:val="bottom"/>
          </w:tcPr>
          <w:p w14:paraId="74DDF8E2" w14:textId="77777777" w:rsidR="00584EC1" w:rsidRDefault="00584EC1">
            <w:pPr>
              <w:rPr>
                <w:rFonts w:ascii="宋体"/>
                <w:vanish/>
              </w:rPr>
            </w:pPr>
          </w:p>
        </w:tc>
      </w:tr>
      <w:tr w:rsidR="00584EC1" w14:paraId="74DDF8FA" w14:textId="77777777">
        <w:tc>
          <w:tcPr>
            <w:tcW w:w="0" w:type="auto"/>
            <w:gridSpan w:val="3"/>
            <w:shd w:val="clear" w:color="auto" w:fill="CCEEFF"/>
            <w:tcMar>
              <w:top w:w="40" w:type="dxa"/>
              <w:left w:w="20" w:type="dxa"/>
              <w:bottom w:w="40" w:type="dxa"/>
              <w:right w:w="20" w:type="dxa"/>
            </w:tcMar>
            <w:vAlign w:val="bottom"/>
          </w:tcPr>
          <w:p w14:paraId="74DDF8E4" w14:textId="77777777" w:rsidR="00584EC1" w:rsidRDefault="00871F8D">
            <w:pPr>
              <w:textAlignment w:val="bottom"/>
            </w:pPr>
            <w:r>
              <w:rPr>
                <w:rFonts w:ascii="Arial" w:eastAsia="宋体" w:hAnsi="Arial" w:cs="Arial"/>
                <w:color w:val="000000"/>
                <w:sz w:val="13"/>
                <w:szCs w:val="13"/>
              </w:rPr>
              <w:t>Total derivatives designated as cash flow hedges</w:t>
            </w:r>
          </w:p>
        </w:tc>
        <w:tc>
          <w:tcPr>
            <w:tcW w:w="0" w:type="auto"/>
            <w:tcBorders>
              <w:top w:val="single" w:sz="8" w:space="0" w:color="000000"/>
            </w:tcBorders>
            <w:shd w:val="clear" w:color="auto" w:fill="CCEEFF"/>
            <w:tcMar>
              <w:top w:w="40" w:type="dxa"/>
              <w:left w:w="20" w:type="dxa"/>
              <w:bottom w:w="40" w:type="dxa"/>
              <w:right w:w="0" w:type="dxa"/>
            </w:tcMar>
            <w:vAlign w:val="bottom"/>
          </w:tcPr>
          <w:p w14:paraId="74DDF8E5" w14:textId="77777777" w:rsidR="00584EC1" w:rsidRDefault="00871F8D">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F8E6" w14:textId="77777777" w:rsidR="00584EC1" w:rsidRDefault="00871F8D">
            <w:pPr>
              <w:jc w:val="right"/>
              <w:textAlignment w:val="bottom"/>
            </w:pPr>
            <w:r>
              <w:rPr>
                <w:rFonts w:ascii="Arial" w:eastAsia="宋体" w:hAnsi="Arial" w:cs="Arial"/>
                <w:b/>
                <w:bCs/>
                <w:color w:val="000000"/>
                <w:sz w:val="13"/>
                <w:szCs w:val="13"/>
              </w:rPr>
              <w:t>9</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F8E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8E8"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F8E9" w14:textId="77777777" w:rsidR="00584EC1" w:rsidRDefault="00871F8D">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F8EA" w14:textId="77777777" w:rsidR="00584EC1" w:rsidRDefault="00871F8D">
            <w:pPr>
              <w:jc w:val="right"/>
              <w:textAlignment w:val="bottom"/>
            </w:pPr>
            <w:r>
              <w:rPr>
                <w:rFonts w:ascii="Arial" w:eastAsia="宋体" w:hAnsi="Arial" w:cs="Arial"/>
                <w:color w:val="000000"/>
                <w:sz w:val="13"/>
                <w:szCs w:val="13"/>
              </w:rPr>
              <w:t>(30)</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F8EB" w14:textId="77777777" w:rsidR="00584EC1" w:rsidRDefault="00584EC1">
            <w:pPr>
              <w:jc w:val="right"/>
              <w:rPr>
                <w:rFonts w:ascii="宋体"/>
              </w:rPr>
            </w:pPr>
          </w:p>
        </w:tc>
        <w:tc>
          <w:tcPr>
            <w:tcW w:w="0" w:type="auto"/>
            <w:shd w:val="clear" w:color="auto" w:fill="auto"/>
            <w:vAlign w:val="bottom"/>
          </w:tcPr>
          <w:p w14:paraId="74DDF8EC" w14:textId="77777777" w:rsidR="00584EC1" w:rsidRDefault="00584EC1">
            <w:pPr>
              <w:rPr>
                <w:rFonts w:ascii="宋体"/>
                <w:vanish/>
              </w:rPr>
            </w:pPr>
          </w:p>
        </w:tc>
        <w:tc>
          <w:tcPr>
            <w:tcW w:w="0" w:type="auto"/>
            <w:shd w:val="clear" w:color="auto" w:fill="auto"/>
            <w:vAlign w:val="bottom"/>
          </w:tcPr>
          <w:p w14:paraId="74DDF8ED" w14:textId="77777777" w:rsidR="00584EC1" w:rsidRDefault="00584EC1">
            <w:pPr>
              <w:rPr>
                <w:rFonts w:ascii="宋体"/>
                <w:vanish/>
              </w:rPr>
            </w:pPr>
          </w:p>
        </w:tc>
        <w:tc>
          <w:tcPr>
            <w:tcW w:w="0" w:type="auto"/>
            <w:gridSpan w:val="3"/>
            <w:shd w:val="clear" w:color="auto" w:fill="CCEEFF"/>
            <w:tcMar>
              <w:top w:w="0" w:type="dxa"/>
              <w:left w:w="20" w:type="dxa"/>
              <w:bottom w:w="0" w:type="dxa"/>
              <w:right w:w="20" w:type="dxa"/>
            </w:tcMar>
            <w:vAlign w:val="bottom"/>
          </w:tcPr>
          <w:p w14:paraId="74DDF8EE"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F8EF"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F8F0"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F8F1" w14:textId="77777777" w:rsidR="00584EC1" w:rsidRDefault="00871F8D">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F8F2" w14:textId="77777777" w:rsidR="00584EC1" w:rsidRDefault="00871F8D">
            <w:pPr>
              <w:jc w:val="right"/>
              <w:textAlignment w:val="bottom"/>
            </w:pPr>
            <w:r>
              <w:rPr>
                <w:rFonts w:ascii="Arial" w:eastAsia="宋体" w:hAnsi="Arial" w:cs="Arial"/>
                <w:b/>
                <w:bCs/>
                <w:color w:val="000000"/>
                <w:sz w:val="13"/>
                <w:szCs w:val="13"/>
              </w:rPr>
              <w:t>24</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F8F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8F4"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F8F5" w14:textId="77777777" w:rsidR="00584EC1" w:rsidRDefault="00871F8D">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F8F6" w14:textId="77777777" w:rsidR="00584EC1" w:rsidRDefault="00871F8D">
            <w:pPr>
              <w:jc w:val="right"/>
              <w:textAlignment w:val="bottom"/>
            </w:pPr>
            <w:r>
              <w:rPr>
                <w:rFonts w:ascii="Arial" w:eastAsia="宋体" w:hAnsi="Arial" w:cs="Arial"/>
                <w:color w:val="000000"/>
                <w:sz w:val="13"/>
                <w:szCs w:val="13"/>
              </w:rPr>
              <w:t>24 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F8F7" w14:textId="77777777" w:rsidR="00584EC1" w:rsidRDefault="00584EC1">
            <w:pPr>
              <w:jc w:val="right"/>
              <w:rPr>
                <w:rFonts w:ascii="宋体"/>
              </w:rPr>
            </w:pPr>
          </w:p>
        </w:tc>
        <w:tc>
          <w:tcPr>
            <w:tcW w:w="0" w:type="auto"/>
            <w:gridSpan w:val="3"/>
            <w:shd w:val="clear" w:color="auto" w:fill="auto"/>
            <w:vAlign w:val="bottom"/>
          </w:tcPr>
          <w:p w14:paraId="74DDF8F8" w14:textId="77777777" w:rsidR="00584EC1" w:rsidRDefault="00584EC1">
            <w:pPr>
              <w:rPr>
                <w:rFonts w:ascii="宋体"/>
                <w:vanish/>
              </w:rPr>
            </w:pPr>
          </w:p>
        </w:tc>
        <w:tc>
          <w:tcPr>
            <w:tcW w:w="0" w:type="auto"/>
            <w:gridSpan w:val="3"/>
            <w:shd w:val="clear" w:color="auto" w:fill="auto"/>
            <w:vAlign w:val="bottom"/>
          </w:tcPr>
          <w:p w14:paraId="74DDF8F9" w14:textId="77777777" w:rsidR="00584EC1" w:rsidRDefault="00584EC1">
            <w:pPr>
              <w:rPr>
                <w:rFonts w:ascii="宋体"/>
                <w:vanish/>
              </w:rPr>
            </w:pPr>
          </w:p>
        </w:tc>
      </w:tr>
      <w:tr w:rsidR="00584EC1" w14:paraId="74DDF909" w14:textId="77777777">
        <w:trPr>
          <w:trHeight w:val="60"/>
        </w:trPr>
        <w:tc>
          <w:tcPr>
            <w:tcW w:w="0" w:type="auto"/>
            <w:gridSpan w:val="3"/>
            <w:shd w:val="clear" w:color="auto" w:fill="auto"/>
            <w:tcMar>
              <w:top w:w="0" w:type="dxa"/>
              <w:left w:w="20" w:type="dxa"/>
              <w:bottom w:w="0" w:type="dxa"/>
              <w:right w:w="20" w:type="dxa"/>
            </w:tcMar>
            <w:vAlign w:val="bottom"/>
          </w:tcPr>
          <w:p w14:paraId="74DDF8FB"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8FC"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8FD"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8FE" w14:textId="77777777" w:rsidR="00584EC1" w:rsidRDefault="00584EC1">
            <w:pPr>
              <w:rPr>
                <w:rFonts w:ascii="宋体"/>
              </w:rPr>
            </w:pPr>
          </w:p>
        </w:tc>
        <w:tc>
          <w:tcPr>
            <w:tcW w:w="0" w:type="auto"/>
            <w:shd w:val="clear" w:color="auto" w:fill="auto"/>
            <w:vAlign w:val="bottom"/>
          </w:tcPr>
          <w:p w14:paraId="74DDF8FF" w14:textId="77777777" w:rsidR="00584EC1" w:rsidRDefault="00584EC1">
            <w:pPr>
              <w:rPr>
                <w:rFonts w:ascii="宋体"/>
                <w:vanish/>
              </w:rPr>
            </w:pPr>
          </w:p>
        </w:tc>
        <w:tc>
          <w:tcPr>
            <w:tcW w:w="0" w:type="auto"/>
            <w:shd w:val="clear" w:color="auto" w:fill="auto"/>
            <w:vAlign w:val="bottom"/>
          </w:tcPr>
          <w:p w14:paraId="74DDF900" w14:textId="77777777" w:rsidR="00584EC1" w:rsidRDefault="00584EC1">
            <w:pPr>
              <w:rPr>
                <w:rFonts w:ascii="宋体"/>
                <w:vanish/>
              </w:rPr>
            </w:pPr>
          </w:p>
        </w:tc>
        <w:tc>
          <w:tcPr>
            <w:tcW w:w="0" w:type="auto"/>
            <w:gridSpan w:val="3"/>
            <w:shd w:val="clear" w:color="auto" w:fill="auto"/>
            <w:tcMar>
              <w:top w:w="0" w:type="dxa"/>
              <w:left w:w="20" w:type="dxa"/>
              <w:bottom w:w="0" w:type="dxa"/>
              <w:right w:w="20" w:type="dxa"/>
            </w:tcMar>
            <w:vAlign w:val="bottom"/>
          </w:tcPr>
          <w:p w14:paraId="74DDF90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90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903"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904"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905"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906" w14:textId="77777777" w:rsidR="00584EC1" w:rsidRDefault="00584EC1">
            <w:pPr>
              <w:rPr>
                <w:rFonts w:ascii="宋体"/>
              </w:rPr>
            </w:pPr>
          </w:p>
        </w:tc>
        <w:tc>
          <w:tcPr>
            <w:tcW w:w="0" w:type="auto"/>
            <w:gridSpan w:val="3"/>
            <w:shd w:val="clear" w:color="auto" w:fill="auto"/>
            <w:vAlign w:val="bottom"/>
          </w:tcPr>
          <w:p w14:paraId="74DDF907" w14:textId="77777777" w:rsidR="00584EC1" w:rsidRDefault="00584EC1">
            <w:pPr>
              <w:rPr>
                <w:rFonts w:ascii="宋体"/>
                <w:vanish/>
              </w:rPr>
            </w:pPr>
          </w:p>
        </w:tc>
        <w:tc>
          <w:tcPr>
            <w:tcW w:w="0" w:type="auto"/>
            <w:gridSpan w:val="3"/>
            <w:shd w:val="clear" w:color="auto" w:fill="auto"/>
            <w:vAlign w:val="bottom"/>
          </w:tcPr>
          <w:p w14:paraId="74DDF908" w14:textId="77777777" w:rsidR="00584EC1" w:rsidRDefault="00584EC1">
            <w:pPr>
              <w:rPr>
                <w:rFonts w:ascii="宋体"/>
                <w:vanish/>
              </w:rPr>
            </w:pPr>
          </w:p>
        </w:tc>
      </w:tr>
      <w:tr w:rsidR="00584EC1" w14:paraId="74DDF918" w14:textId="77777777">
        <w:tc>
          <w:tcPr>
            <w:tcW w:w="0" w:type="auto"/>
            <w:gridSpan w:val="3"/>
            <w:shd w:val="clear" w:color="auto" w:fill="auto"/>
            <w:tcMar>
              <w:top w:w="40" w:type="dxa"/>
              <w:left w:w="20" w:type="dxa"/>
              <w:bottom w:w="40" w:type="dxa"/>
              <w:right w:w="20" w:type="dxa"/>
            </w:tcMar>
            <w:vAlign w:val="bottom"/>
          </w:tcPr>
          <w:p w14:paraId="74DDF90A" w14:textId="77777777" w:rsidR="00584EC1" w:rsidRDefault="00871F8D">
            <w:pPr>
              <w:textAlignment w:val="bottom"/>
            </w:pPr>
            <w:r>
              <w:rPr>
                <w:rFonts w:ascii="Arial" w:eastAsia="宋体" w:hAnsi="Arial" w:cs="Arial"/>
                <w:b/>
                <w:bCs/>
                <w:color w:val="000000"/>
                <w:sz w:val="13"/>
                <w:szCs w:val="13"/>
              </w:rPr>
              <w:t>Derivatives designated as net investment hedges:</w:t>
            </w:r>
          </w:p>
        </w:tc>
        <w:tc>
          <w:tcPr>
            <w:tcW w:w="0" w:type="auto"/>
            <w:gridSpan w:val="3"/>
            <w:shd w:val="clear" w:color="auto" w:fill="auto"/>
            <w:tcMar>
              <w:top w:w="0" w:type="dxa"/>
              <w:left w:w="20" w:type="dxa"/>
              <w:bottom w:w="0" w:type="dxa"/>
              <w:right w:w="20" w:type="dxa"/>
            </w:tcMar>
            <w:vAlign w:val="bottom"/>
          </w:tcPr>
          <w:p w14:paraId="74DDF90B"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90C"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90D" w14:textId="77777777" w:rsidR="00584EC1" w:rsidRDefault="00584EC1">
            <w:pPr>
              <w:rPr>
                <w:rFonts w:ascii="宋体"/>
              </w:rPr>
            </w:pPr>
          </w:p>
        </w:tc>
        <w:tc>
          <w:tcPr>
            <w:tcW w:w="0" w:type="auto"/>
            <w:shd w:val="clear" w:color="auto" w:fill="auto"/>
            <w:vAlign w:val="bottom"/>
          </w:tcPr>
          <w:p w14:paraId="74DDF90E" w14:textId="77777777" w:rsidR="00584EC1" w:rsidRDefault="00584EC1">
            <w:pPr>
              <w:rPr>
                <w:rFonts w:ascii="宋体"/>
                <w:vanish/>
              </w:rPr>
            </w:pPr>
          </w:p>
        </w:tc>
        <w:tc>
          <w:tcPr>
            <w:tcW w:w="0" w:type="auto"/>
            <w:shd w:val="clear" w:color="auto" w:fill="auto"/>
            <w:vAlign w:val="bottom"/>
          </w:tcPr>
          <w:p w14:paraId="74DDF90F" w14:textId="77777777" w:rsidR="00584EC1" w:rsidRDefault="00584EC1">
            <w:pPr>
              <w:rPr>
                <w:rFonts w:ascii="宋体"/>
                <w:vanish/>
              </w:rPr>
            </w:pPr>
          </w:p>
        </w:tc>
        <w:tc>
          <w:tcPr>
            <w:tcW w:w="0" w:type="auto"/>
            <w:gridSpan w:val="3"/>
            <w:shd w:val="clear" w:color="auto" w:fill="auto"/>
            <w:tcMar>
              <w:top w:w="0" w:type="dxa"/>
              <w:left w:w="20" w:type="dxa"/>
              <w:bottom w:w="0" w:type="dxa"/>
              <w:right w:w="20" w:type="dxa"/>
            </w:tcMar>
            <w:vAlign w:val="bottom"/>
          </w:tcPr>
          <w:p w14:paraId="74DDF910"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91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91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913"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914"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915" w14:textId="77777777" w:rsidR="00584EC1" w:rsidRDefault="00584EC1">
            <w:pPr>
              <w:rPr>
                <w:rFonts w:ascii="宋体"/>
              </w:rPr>
            </w:pPr>
          </w:p>
        </w:tc>
        <w:tc>
          <w:tcPr>
            <w:tcW w:w="0" w:type="auto"/>
            <w:gridSpan w:val="3"/>
            <w:shd w:val="clear" w:color="auto" w:fill="auto"/>
            <w:vAlign w:val="bottom"/>
          </w:tcPr>
          <w:p w14:paraId="74DDF916" w14:textId="77777777" w:rsidR="00584EC1" w:rsidRDefault="00584EC1">
            <w:pPr>
              <w:rPr>
                <w:rFonts w:ascii="宋体"/>
                <w:vanish/>
              </w:rPr>
            </w:pPr>
          </w:p>
        </w:tc>
        <w:tc>
          <w:tcPr>
            <w:tcW w:w="0" w:type="auto"/>
            <w:gridSpan w:val="3"/>
            <w:shd w:val="clear" w:color="auto" w:fill="auto"/>
            <w:vAlign w:val="bottom"/>
          </w:tcPr>
          <w:p w14:paraId="74DDF917" w14:textId="77777777" w:rsidR="00584EC1" w:rsidRDefault="00584EC1">
            <w:pPr>
              <w:rPr>
                <w:rFonts w:ascii="宋体"/>
                <w:vanish/>
              </w:rPr>
            </w:pPr>
          </w:p>
        </w:tc>
      </w:tr>
      <w:tr w:rsidR="00584EC1" w14:paraId="74DDF92F" w14:textId="77777777">
        <w:tc>
          <w:tcPr>
            <w:tcW w:w="0" w:type="auto"/>
            <w:gridSpan w:val="3"/>
            <w:shd w:val="clear" w:color="auto" w:fill="CCEEFF"/>
            <w:tcMar>
              <w:top w:w="40" w:type="dxa"/>
              <w:left w:w="20" w:type="dxa"/>
              <w:bottom w:w="40" w:type="dxa"/>
              <w:right w:w="20" w:type="dxa"/>
            </w:tcMar>
            <w:vAlign w:val="bottom"/>
          </w:tcPr>
          <w:p w14:paraId="74DDF919" w14:textId="77777777" w:rsidR="00584EC1" w:rsidRDefault="00871F8D">
            <w:pPr>
              <w:textAlignment w:val="bottom"/>
            </w:pPr>
            <w:r>
              <w:rPr>
                <w:rFonts w:ascii="Arial" w:eastAsia="宋体" w:hAnsi="Arial" w:cs="Arial"/>
                <w:color w:val="000000"/>
                <w:sz w:val="13"/>
                <w:szCs w:val="13"/>
              </w:rPr>
              <w:t xml:space="preserve">Foreign </w:t>
            </w:r>
            <w:r>
              <w:rPr>
                <w:rFonts w:ascii="Arial" w:eastAsia="宋体" w:hAnsi="Arial" w:cs="Arial"/>
                <w:color w:val="000000"/>
                <w:sz w:val="13"/>
                <w:szCs w:val="13"/>
              </w:rPr>
              <w:t>exchange contracts</w:t>
            </w:r>
          </w:p>
        </w:tc>
        <w:tc>
          <w:tcPr>
            <w:tcW w:w="0" w:type="auto"/>
            <w:shd w:val="clear" w:color="auto" w:fill="CCEEFF"/>
            <w:tcMar>
              <w:top w:w="40" w:type="dxa"/>
              <w:left w:w="20" w:type="dxa"/>
              <w:bottom w:w="40" w:type="dxa"/>
              <w:right w:w="0" w:type="dxa"/>
            </w:tcMar>
            <w:vAlign w:val="bottom"/>
          </w:tcPr>
          <w:p w14:paraId="74DDF91A" w14:textId="77777777" w:rsidR="00584EC1" w:rsidRDefault="00871F8D">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4DDF91B" w14:textId="77777777" w:rsidR="00584EC1" w:rsidRDefault="00871F8D">
            <w:pPr>
              <w:jc w:val="right"/>
              <w:textAlignment w:val="bottom"/>
            </w:pPr>
            <w:r>
              <w:rPr>
                <w:rFonts w:ascii="Arial" w:eastAsia="宋体" w:hAnsi="Arial" w:cs="Arial"/>
                <w:b/>
                <w:bCs/>
                <w:color w:val="000000"/>
                <w:sz w:val="13"/>
                <w:szCs w:val="13"/>
              </w:rPr>
              <w:t>111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F91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91D"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F91E" w14:textId="77777777" w:rsidR="00584EC1" w:rsidRDefault="00871F8D">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74DDF91F" w14:textId="77777777" w:rsidR="00584EC1" w:rsidRDefault="00871F8D">
            <w:pPr>
              <w:jc w:val="right"/>
              <w:textAlignment w:val="bottom"/>
            </w:pPr>
            <w:r>
              <w:rPr>
                <w:rFonts w:ascii="Arial" w:eastAsia="宋体" w:hAnsi="Arial" w:cs="Arial"/>
                <w:color w:val="000000"/>
                <w:sz w:val="13"/>
                <w:szCs w:val="13"/>
              </w:rPr>
              <w:t>(122)</w:t>
            </w:r>
          </w:p>
        </w:tc>
        <w:tc>
          <w:tcPr>
            <w:tcW w:w="0" w:type="auto"/>
            <w:shd w:val="clear" w:color="auto" w:fill="CCEEFF"/>
            <w:tcMar>
              <w:top w:w="40" w:type="dxa"/>
              <w:left w:w="0" w:type="dxa"/>
              <w:bottom w:w="40" w:type="dxa"/>
              <w:right w:w="20" w:type="dxa"/>
            </w:tcMar>
            <w:vAlign w:val="bottom"/>
          </w:tcPr>
          <w:p w14:paraId="74DDF920" w14:textId="77777777" w:rsidR="00584EC1" w:rsidRDefault="00584EC1">
            <w:pPr>
              <w:jc w:val="right"/>
              <w:rPr>
                <w:rFonts w:ascii="宋体"/>
              </w:rPr>
            </w:pPr>
          </w:p>
        </w:tc>
        <w:tc>
          <w:tcPr>
            <w:tcW w:w="0" w:type="auto"/>
            <w:shd w:val="clear" w:color="auto" w:fill="auto"/>
            <w:vAlign w:val="bottom"/>
          </w:tcPr>
          <w:p w14:paraId="74DDF921" w14:textId="77777777" w:rsidR="00584EC1" w:rsidRDefault="00584EC1">
            <w:pPr>
              <w:rPr>
                <w:rFonts w:ascii="宋体"/>
                <w:vanish/>
              </w:rPr>
            </w:pPr>
          </w:p>
        </w:tc>
        <w:tc>
          <w:tcPr>
            <w:tcW w:w="0" w:type="auto"/>
            <w:shd w:val="clear" w:color="auto" w:fill="auto"/>
            <w:vAlign w:val="bottom"/>
          </w:tcPr>
          <w:p w14:paraId="74DDF922" w14:textId="77777777" w:rsidR="00584EC1" w:rsidRDefault="00584EC1">
            <w:pPr>
              <w:rPr>
                <w:rFonts w:ascii="宋体"/>
                <w:vanish/>
              </w:rPr>
            </w:pPr>
          </w:p>
        </w:tc>
        <w:tc>
          <w:tcPr>
            <w:tcW w:w="0" w:type="auto"/>
            <w:gridSpan w:val="3"/>
            <w:shd w:val="clear" w:color="auto" w:fill="CCEEFF"/>
            <w:tcMar>
              <w:top w:w="0" w:type="dxa"/>
              <w:left w:w="20" w:type="dxa"/>
              <w:bottom w:w="0" w:type="dxa"/>
              <w:right w:w="20" w:type="dxa"/>
            </w:tcMar>
            <w:vAlign w:val="bottom"/>
          </w:tcPr>
          <w:p w14:paraId="74DDF923" w14:textId="77777777" w:rsidR="00584EC1" w:rsidRDefault="00584EC1">
            <w:pPr>
              <w:rPr>
                <w:rFonts w:ascii="宋体"/>
              </w:rPr>
            </w:pPr>
          </w:p>
        </w:tc>
        <w:tc>
          <w:tcPr>
            <w:tcW w:w="0" w:type="auto"/>
            <w:gridSpan w:val="3"/>
            <w:shd w:val="clear" w:color="auto" w:fill="CCEEFF"/>
            <w:tcMar>
              <w:top w:w="40" w:type="dxa"/>
              <w:left w:w="20" w:type="dxa"/>
              <w:bottom w:w="40" w:type="dxa"/>
              <w:right w:w="20" w:type="dxa"/>
            </w:tcMar>
            <w:vAlign w:val="bottom"/>
          </w:tcPr>
          <w:p w14:paraId="74DDF924" w14:textId="77777777" w:rsidR="00584EC1" w:rsidRDefault="00871F8D">
            <w:pPr>
              <w:jc w:val="center"/>
              <w:textAlignment w:val="bottom"/>
            </w:pPr>
            <w:r>
              <w:rPr>
                <w:rFonts w:ascii="Arial" w:eastAsia="宋体" w:hAnsi="Arial" w:cs="Arial"/>
                <w:color w:val="000000"/>
                <w:sz w:val="13"/>
                <w:szCs w:val="13"/>
              </w:rPr>
              <w:t>Gains (Losses) related to investment securities, net</w:t>
            </w:r>
          </w:p>
        </w:tc>
        <w:tc>
          <w:tcPr>
            <w:tcW w:w="0" w:type="auto"/>
            <w:gridSpan w:val="3"/>
            <w:shd w:val="clear" w:color="auto" w:fill="CCEEFF"/>
            <w:tcMar>
              <w:top w:w="0" w:type="dxa"/>
              <w:left w:w="20" w:type="dxa"/>
              <w:bottom w:w="0" w:type="dxa"/>
              <w:right w:w="20" w:type="dxa"/>
            </w:tcMar>
            <w:vAlign w:val="bottom"/>
          </w:tcPr>
          <w:p w14:paraId="74DDF925"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F926" w14:textId="77777777" w:rsidR="00584EC1" w:rsidRDefault="00871F8D">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4DDF927" w14:textId="77777777" w:rsidR="00584EC1" w:rsidRDefault="00871F8D">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F92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929"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F92A" w14:textId="77777777" w:rsidR="00584EC1" w:rsidRDefault="00871F8D">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74DDF92B" w14:textId="77777777" w:rsidR="00584EC1" w:rsidRDefault="00871F8D">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F92C" w14:textId="77777777" w:rsidR="00584EC1" w:rsidRDefault="00584EC1">
            <w:pPr>
              <w:jc w:val="right"/>
              <w:rPr>
                <w:rFonts w:ascii="宋体"/>
              </w:rPr>
            </w:pPr>
          </w:p>
        </w:tc>
        <w:tc>
          <w:tcPr>
            <w:tcW w:w="0" w:type="auto"/>
            <w:gridSpan w:val="3"/>
            <w:shd w:val="clear" w:color="auto" w:fill="auto"/>
            <w:vAlign w:val="bottom"/>
          </w:tcPr>
          <w:p w14:paraId="74DDF92D" w14:textId="77777777" w:rsidR="00584EC1" w:rsidRDefault="00584EC1">
            <w:pPr>
              <w:rPr>
                <w:rFonts w:ascii="宋体"/>
                <w:vanish/>
              </w:rPr>
            </w:pPr>
          </w:p>
        </w:tc>
        <w:tc>
          <w:tcPr>
            <w:tcW w:w="0" w:type="auto"/>
            <w:gridSpan w:val="3"/>
            <w:shd w:val="clear" w:color="auto" w:fill="auto"/>
            <w:vAlign w:val="bottom"/>
          </w:tcPr>
          <w:p w14:paraId="74DDF92E" w14:textId="77777777" w:rsidR="00584EC1" w:rsidRDefault="00584EC1">
            <w:pPr>
              <w:rPr>
                <w:rFonts w:ascii="宋体"/>
                <w:vanish/>
              </w:rPr>
            </w:pPr>
          </w:p>
        </w:tc>
      </w:tr>
      <w:tr w:rsidR="00584EC1" w14:paraId="74DDF942" w14:textId="77777777">
        <w:tc>
          <w:tcPr>
            <w:tcW w:w="0" w:type="auto"/>
            <w:gridSpan w:val="3"/>
            <w:shd w:val="clear" w:color="auto" w:fill="FFFFFF"/>
            <w:tcMar>
              <w:top w:w="40" w:type="dxa"/>
              <w:left w:w="20" w:type="dxa"/>
              <w:bottom w:w="40" w:type="dxa"/>
              <w:right w:w="20" w:type="dxa"/>
            </w:tcMar>
            <w:vAlign w:val="bottom"/>
          </w:tcPr>
          <w:p w14:paraId="74DDF930" w14:textId="77777777" w:rsidR="00584EC1" w:rsidRDefault="00871F8D">
            <w:pPr>
              <w:textAlignment w:val="bottom"/>
            </w:pPr>
            <w:r>
              <w:rPr>
                <w:rFonts w:ascii="Arial" w:eastAsia="宋体" w:hAnsi="Arial" w:cs="Arial"/>
                <w:color w:val="000000"/>
                <w:sz w:val="13"/>
                <w:szCs w:val="13"/>
              </w:rPr>
              <w:t>Total derivatives designated as net investment hedges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F931" w14:textId="77777777" w:rsidR="00584EC1" w:rsidRDefault="00871F8D">
            <w:pPr>
              <w:jc w:val="right"/>
              <w:textAlignment w:val="bottom"/>
            </w:pPr>
            <w:r>
              <w:rPr>
                <w:rFonts w:ascii="Arial" w:eastAsia="宋体" w:hAnsi="Arial" w:cs="Arial"/>
                <w:b/>
                <w:bCs/>
                <w:color w:val="000000"/>
                <w:sz w:val="13"/>
                <w:szCs w:val="13"/>
              </w:rPr>
              <w:t>111</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F93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933"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F934" w14:textId="77777777" w:rsidR="00584EC1" w:rsidRDefault="00871F8D">
            <w:pPr>
              <w:jc w:val="right"/>
              <w:textAlignment w:val="bottom"/>
            </w:pPr>
            <w:r>
              <w:rPr>
                <w:rFonts w:ascii="Arial" w:eastAsia="宋体" w:hAnsi="Arial" w:cs="Arial"/>
                <w:color w:val="000000"/>
                <w:sz w:val="13"/>
                <w:szCs w:val="13"/>
              </w:rPr>
              <w:t>(122)</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F935" w14:textId="77777777" w:rsidR="00584EC1" w:rsidRDefault="00584EC1">
            <w:pPr>
              <w:jc w:val="right"/>
              <w:rPr>
                <w:rFonts w:ascii="宋体"/>
              </w:rPr>
            </w:pPr>
          </w:p>
        </w:tc>
        <w:tc>
          <w:tcPr>
            <w:tcW w:w="0" w:type="auto"/>
            <w:shd w:val="clear" w:color="auto" w:fill="auto"/>
            <w:vAlign w:val="bottom"/>
          </w:tcPr>
          <w:p w14:paraId="74DDF936" w14:textId="77777777" w:rsidR="00584EC1" w:rsidRDefault="00584EC1">
            <w:pPr>
              <w:rPr>
                <w:rFonts w:ascii="宋体"/>
                <w:vanish/>
              </w:rPr>
            </w:pPr>
          </w:p>
        </w:tc>
        <w:tc>
          <w:tcPr>
            <w:tcW w:w="0" w:type="auto"/>
            <w:shd w:val="clear" w:color="auto" w:fill="auto"/>
            <w:vAlign w:val="bottom"/>
          </w:tcPr>
          <w:p w14:paraId="74DDF937" w14:textId="77777777" w:rsidR="00584EC1" w:rsidRDefault="00584EC1">
            <w:pPr>
              <w:rPr>
                <w:rFonts w:ascii="宋体"/>
                <w:vanish/>
              </w:rPr>
            </w:pPr>
          </w:p>
        </w:tc>
        <w:tc>
          <w:tcPr>
            <w:tcW w:w="0" w:type="auto"/>
            <w:gridSpan w:val="3"/>
            <w:shd w:val="clear" w:color="auto" w:fill="FFFFFF"/>
            <w:tcMar>
              <w:top w:w="0" w:type="dxa"/>
              <w:left w:w="20" w:type="dxa"/>
              <w:bottom w:w="0" w:type="dxa"/>
              <w:right w:w="20" w:type="dxa"/>
            </w:tcMar>
            <w:vAlign w:val="bottom"/>
          </w:tcPr>
          <w:p w14:paraId="74DDF938"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F939"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F93A"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F93B" w14:textId="77777777" w:rsidR="00584EC1" w:rsidRDefault="00871F8D">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F93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93D"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F93E" w14:textId="77777777" w:rsidR="00584EC1" w:rsidRDefault="00871F8D">
            <w:pPr>
              <w:jc w:val="right"/>
              <w:textAlignment w:val="bottom"/>
            </w:pP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F93F" w14:textId="77777777" w:rsidR="00584EC1" w:rsidRDefault="00584EC1">
            <w:pPr>
              <w:jc w:val="right"/>
              <w:rPr>
                <w:rFonts w:ascii="宋体"/>
              </w:rPr>
            </w:pPr>
          </w:p>
        </w:tc>
        <w:tc>
          <w:tcPr>
            <w:tcW w:w="0" w:type="auto"/>
            <w:gridSpan w:val="3"/>
            <w:shd w:val="clear" w:color="auto" w:fill="auto"/>
            <w:vAlign w:val="bottom"/>
          </w:tcPr>
          <w:p w14:paraId="74DDF940" w14:textId="77777777" w:rsidR="00584EC1" w:rsidRDefault="00584EC1">
            <w:pPr>
              <w:rPr>
                <w:rFonts w:ascii="宋体"/>
                <w:vanish/>
              </w:rPr>
            </w:pPr>
          </w:p>
        </w:tc>
        <w:tc>
          <w:tcPr>
            <w:tcW w:w="0" w:type="auto"/>
            <w:gridSpan w:val="3"/>
            <w:shd w:val="clear" w:color="auto" w:fill="auto"/>
            <w:vAlign w:val="bottom"/>
          </w:tcPr>
          <w:p w14:paraId="74DDF941" w14:textId="77777777" w:rsidR="00584EC1" w:rsidRDefault="00584EC1">
            <w:pPr>
              <w:rPr>
                <w:rFonts w:ascii="宋体"/>
                <w:vanish/>
              </w:rPr>
            </w:pPr>
          </w:p>
        </w:tc>
      </w:tr>
      <w:tr w:rsidR="00584EC1" w14:paraId="74DDF959" w14:textId="77777777">
        <w:tc>
          <w:tcPr>
            <w:tcW w:w="0" w:type="auto"/>
            <w:gridSpan w:val="3"/>
            <w:shd w:val="clear" w:color="auto" w:fill="CCEEFF"/>
            <w:tcMar>
              <w:top w:w="40" w:type="dxa"/>
              <w:left w:w="20" w:type="dxa"/>
              <w:bottom w:w="40" w:type="dxa"/>
              <w:right w:w="20" w:type="dxa"/>
            </w:tcMar>
            <w:vAlign w:val="bottom"/>
          </w:tcPr>
          <w:p w14:paraId="74DDF943" w14:textId="77777777" w:rsidR="00584EC1" w:rsidRDefault="00871F8D">
            <w:pPr>
              <w:textAlignment w:val="bottom"/>
            </w:pPr>
            <w:r>
              <w:rPr>
                <w:rFonts w:ascii="Arial" w:eastAsia="宋体" w:hAnsi="Arial" w:cs="Arial"/>
                <w:color w:val="000000"/>
                <w:sz w:val="13"/>
                <w:szCs w:val="13"/>
              </w:rPr>
              <w:t>Total</w:t>
            </w:r>
          </w:p>
        </w:tc>
        <w:tc>
          <w:tcPr>
            <w:tcW w:w="0" w:type="auto"/>
            <w:tcBorders>
              <w:top w:val="single" w:sz="8" w:space="0" w:color="000000"/>
            </w:tcBorders>
            <w:shd w:val="clear" w:color="auto" w:fill="CCEEFF"/>
            <w:tcMar>
              <w:top w:w="40" w:type="dxa"/>
              <w:left w:w="20" w:type="dxa"/>
              <w:bottom w:w="40" w:type="dxa"/>
              <w:right w:w="0" w:type="dxa"/>
            </w:tcMar>
            <w:vAlign w:val="bottom"/>
          </w:tcPr>
          <w:p w14:paraId="74DDF944" w14:textId="77777777" w:rsidR="00584EC1" w:rsidRDefault="00871F8D">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F945" w14:textId="77777777" w:rsidR="00584EC1" w:rsidRDefault="00871F8D">
            <w:pPr>
              <w:jc w:val="right"/>
              <w:textAlignment w:val="bottom"/>
            </w:pPr>
            <w:r>
              <w:rPr>
                <w:rFonts w:ascii="Arial" w:eastAsia="宋体" w:hAnsi="Arial" w:cs="Arial"/>
                <w:b/>
                <w:bCs/>
                <w:color w:val="000000"/>
                <w:sz w:val="13"/>
                <w:szCs w:val="13"/>
              </w:rPr>
              <w:t>120</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F94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947"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F948" w14:textId="77777777" w:rsidR="00584EC1" w:rsidRDefault="00871F8D">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F949" w14:textId="77777777" w:rsidR="00584EC1" w:rsidRDefault="00871F8D">
            <w:pPr>
              <w:jc w:val="right"/>
              <w:textAlignment w:val="bottom"/>
            </w:pPr>
            <w:r>
              <w:rPr>
                <w:rFonts w:ascii="Arial" w:eastAsia="宋体" w:hAnsi="Arial" w:cs="Arial"/>
                <w:color w:val="000000"/>
                <w:sz w:val="13"/>
                <w:szCs w:val="13"/>
              </w:rPr>
              <w:t>(152)</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F94A" w14:textId="77777777" w:rsidR="00584EC1" w:rsidRDefault="00584EC1">
            <w:pPr>
              <w:jc w:val="right"/>
              <w:rPr>
                <w:rFonts w:ascii="宋体"/>
              </w:rPr>
            </w:pPr>
          </w:p>
        </w:tc>
        <w:tc>
          <w:tcPr>
            <w:tcW w:w="0" w:type="auto"/>
            <w:shd w:val="clear" w:color="auto" w:fill="auto"/>
            <w:vAlign w:val="bottom"/>
          </w:tcPr>
          <w:p w14:paraId="74DDF94B" w14:textId="77777777" w:rsidR="00584EC1" w:rsidRDefault="00584EC1">
            <w:pPr>
              <w:rPr>
                <w:rFonts w:ascii="宋体"/>
                <w:vanish/>
              </w:rPr>
            </w:pPr>
          </w:p>
        </w:tc>
        <w:tc>
          <w:tcPr>
            <w:tcW w:w="0" w:type="auto"/>
            <w:shd w:val="clear" w:color="auto" w:fill="auto"/>
            <w:vAlign w:val="bottom"/>
          </w:tcPr>
          <w:p w14:paraId="74DDF94C" w14:textId="77777777" w:rsidR="00584EC1" w:rsidRDefault="00584EC1">
            <w:pPr>
              <w:rPr>
                <w:rFonts w:ascii="宋体"/>
                <w:vanish/>
              </w:rPr>
            </w:pPr>
          </w:p>
        </w:tc>
        <w:tc>
          <w:tcPr>
            <w:tcW w:w="0" w:type="auto"/>
            <w:gridSpan w:val="3"/>
            <w:shd w:val="clear" w:color="auto" w:fill="CCEEFF"/>
            <w:tcMar>
              <w:top w:w="0" w:type="dxa"/>
              <w:left w:w="20" w:type="dxa"/>
              <w:bottom w:w="0" w:type="dxa"/>
              <w:right w:w="20" w:type="dxa"/>
            </w:tcMar>
            <w:vAlign w:val="bottom"/>
          </w:tcPr>
          <w:p w14:paraId="74DDF94D"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F94E"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F94F"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F950" w14:textId="77777777" w:rsidR="00584EC1" w:rsidRDefault="00871F8D">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F951" w14:textId="77777777" w:rsidR="00584EC1" w:rsidRDefault="00871F8D">
            <w:pPr>
              <w:jc w:val="right"/>
              <w:textAlignment w:val="bottom"/>
            </w:pPr>
            <w:r>
              <w:rPr>
                <w:rFonts w:ascii="Arial" w:eastAsia="宋体" w:hAnsi="Arial" w:cs="Arial"/>
                <w:b/>
                <w:bCs/>
                <w:color w:val="000000"/>
                <w:sz w:val="13"/>
                <w:szCs w:val="13"/>
              </w:rPr>
              <w:t>24</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F95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953"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F954" w14:textId="77777777" w:rsidR="00584EC1" w:rsidRDefault="00871F8D">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F955" w14:textId="77777777" w:rsidR="00584EC1" w:rsidRDefault="00871F8D">
            <w:pPr>
              <w:jc w:val="right"/>
              <w:textAlignment w:val="bottom"/>
            </w:pPr>
            <w:r>
              <w:rPr>
                <w:rFonts w:ascii="Arial" w:eastAsia="宋体" w:hAnsi="Arial" w:cs="Arial"/>
                <w:color w:val="000000"/>
                <w:sz w:val="13"/>
                <w:szCs w:val="13"/>
              </w:rPr>
              <w:t>24 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F956" w14:textId="77777777" w:rsidR="00584EC1" w:rsidRDefault="00584EC1">
            <w:pPr>
              <w:jc w:val="right"/>
              <w:rPr>
                <w:rFonts w:ascii="宋体"/>
              </w:rPr>
            </w:pPr>
          </w:p>
        </w:tc>
        <w:tc>
          <w:tcPr>
            <w:tcW w:w="0" w:type="auto"/>
            <w:gridSpan w:val="3"/>
            <w:shd w:val="clear" w:color="auto" w:fill="auto"/>
            <w:vAlign w:val="bottom"/>
          </w:tcPr>
          <w:p w14:paraId="74DDF957" w14:textId="77777777" w:rsidR="00584EC1" w:rsidRDefault="00584EC1">
            <w:pPr>
              <w:rPr>
                <w:rFonts w:ascii="宋体"/>
                <w:vanish/>
              </w:rPr>
            </w:pPr>
          </w:p>
        </w:tc>
        <w:tc>
          <w:tcPr>
            <w:tcW w:w="0" w:type="auto"/>
            <w:gridSpan w:val="3"/>
            <w:shd w:val="clear" w:color="auto" w:fill="auto"/>
            <w:vAlign w:val="bottom"/>
          </w:tcPr>
          <w:p w14:paraId="74DDF958" w14:textId="77777777" w:rsidR="00584EC1" w:rsidRDefault="00584EC1">
            <w:pPr>
              <w:rPr>
                <w:rFonts w:ascii="宋体"/>
                <w:vanish/>
              </w:rPr>
            </w:pPr>
          </w:p>
        </w:tc>
      </w:tr>
      <w:tr w:rsidR="00584EC1" w14:paraId="74DDF968" w14:textId="77777777">
        <w:trPr>
          <w:trHeight w:val="60"/>
        </w:trPr>
        <w:tc>
          <w:tcPr>
            <w:tcW w:w="0" w:type="auto"/>
            <w:gridSpan w:val="3"/>
            <w:shd w:val="clear" w:color="auto" w:fill="auto"/>
            <w:tcMar>
              <w:top w:w="0" w:type="dxa"/>
              <w:left w:w="20" w:type="dxa"/>
              <w:bottom w:w="0" w:type="dxa"/>
              <w:right w:w="20" w:type="dxa"/>
            </w:tcMar>
            <w:vAlign w:val="bottom"/>
          </w:tcPr>
          <w:p w14:paraId="74DDF95A"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DF95B"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95C"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DF95D" w14:textId="77777777" w:rsidR="00584EC1" w:rsidRDefault="00584EC1">
            <w:pPr>
              <w:rPr>
                <w:rFonts w:ascii="宋体"/>
              </w:rPr>
            </w:pPr>
          </w:p>
        </w:tc>
        <w:tc>
          <w:tcPr>
            <w:tcW w:w="0" w:type="auto"/>
            <w:shd w:val="clear" w:color="auto" w:fill="auto"/>
            <w:vAlign w:val="bottom"/>
          </w:tcPr>
          <w:p w14:paraId="74DDF95E" w14:textId="77777777" w:rsidR="00584EC1" w:rsidRDefault="00584EC1">
            <w:pPr>
              <w:rPr>
                <w:rFonts w:ascii="宋体"/>
                <w:vanish/>
              </w:rPr>
            </w:pPr>
          </w:p>
        </w:tc>
        <w:tc>
          <w:tcPr>
            <w:tcW w:w="0" w:type="auto"/>
            <w:shd w:val="clear" w:color="auto" w:fill="auto"/>
            <w:vAlign w:val="bottom"/>
          </w:tcPr>
          <w:p w14:paraId="74DDF95F" w14:textId="77777777" w:rsidR="00584EC1" w:rsidRDefault="00584EC1">
            <w:pPr>
              <w:rPr>
                <w:rFonts w:ascii="宋体"/>
                <w:vanish/>
              </w:rPr>
            </w:pPr>
          </w:p>
        </w:tc>
        <w:tc>
          <w:tcPr>
            <w:tcW w:w="0" w:type="auto"/>
            <w:gridSpan w:val="3"/>
            <w:shd w:val="clear" w:color="auto" w:fill="auto"/>
            <w:tcMar>
              <w:top w:w="0" w:type="dxa"/>
              <w:left w:w="20" w:type="dxa"/>
              <w:bottom w:w="0" w:type="dxa"/>
              <w:right w:w="20" w:type="dxa"/>
            </w:tcMar>
            <w:vAlign w:val="bottom"/>
          </w:tcPr>
          <w:p w14:paraId="74DDF960"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96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962"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DF963"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964"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DF965" w14:textId="77777777" w:rsidR="00584EC1" w:rsidRDefault="00584EC1">
            <w:pPr>
              <w:rPr>
                <w:rFonts w:ascii="宋体"/>
              </w:rPr>
            </w:pPr>
          </w:p>
        </w:tc>
        <w:tc>
          <w:tcPr>
            <w:tcW w:w="0" w:type="auto"/>
            <w:gridSpan w:val="3"/>
            <w:shd w:val="clear" w:color="auto" w:fill="auto"/>
            <w:vAlign w:val="bottom"/>
          </w:tcPr>
          <w:p w14:paraId="74DDF966" w14:textId="77777777" w:rsidR="00584EC1" w:rsidRDefault="00584EC1">
            <w:pPr>
              <w:rPr>
                <w:rFonts w:ascii="宋体"/>
                <w:vanish/>
              </w:rPr>
            </w:pPr>
          </w:p>
        </w:tc>
        <w:tc>
          <w:tcPr>
            <w:tcW w:w="0" w:type="auto"/>
            <w:gridSpan w:val="3"/>
            <w:shd w:val="clear" w:color="auto" w:fill="auto"/>
            <w:vAlign w:val="bottom"/>
          </w:tcPr>
          <w:p w14:paraId="74DDF967" w14:textId="77777777" w:rsidR="00584EC1" w:rsidRDefault="00584EC1">
            <w:pPr>
              <w:rPr>
                <w:rFonts w:ascii="宋体"/>
                <w:vanish/>
              </w:rPr>
            </w:pPr>
          </w:p>
        </w:tc>
      </w:tr>
      <w:tr w:rsidR="00584EC1" w14:paraId="74DDF973" w14:textId="77777777">
        <w:tc>
          <w:tcPr>
            <w:tcW w:w="0" w:type="auto"/>
            <w:gridSpan w:val="3"/>
            <w:shd w:val="clear" w:color="auto" w:fill="auto"/>
            <w:tcMar>
              <w:top w:w="0" w:type="dxa"/>
              <w:left w:w="20" w:type="dxa"/>
              <w:bottom w:w="0" w:type="dxa"/>
              <w:right w:w="20" w:type="dxa"/>
            </w:tcMar>
            <w:vAlign w:val="bottom"/>
          </w:tcPr>
          <w:p w14:paraId="74DDF969" w14:textId="77777777" w:rsidR="00584EC1" w:rsidRDefault="00584EC1">
            <w:pPr>
              <w:rPr>
                <w:rFonts w:ascii="宋体"/>
              </w:rPr>
            </w:pPr>
          </w:p>
        </w:tc>
        <w:tc>
          <w:tcPr>
            <w:tcW w:w="0" w:type="auto"/>
            <w:gridSpan w:val="9"/>
            <w:shd w:val="clear" w:color="auto" w:fill="auto"/>
            <w:tcMar>
              <w:top w:w="40" w:type="dxa"/>
              <w:left w:w="20" w:type="dxa"/>
              <w:bottom w:w="40" w:type="dxa"/>
              <w:right w:w="20" w:type="dxa"/>
            </w:tcMar>
            <w:vAlign w:val="bottom"/>
          </w:tcPr>
          <w:p w14:paraId="74DDF96A" w14:textId="77777777" w:rsidR="00584EC1" w:rsidRDefault="00871F8D">
            <w:pPr>
              <w:jc w:val="center"/>
              <w:textAlignment w:val="bottom"/>
            </w:pPr>
            <w:r>
              <w:rPr>
                <w:rFonts w:ascii="Arial" w:eastAsia="宋体" w:hAnsi="Arial" w:cs="Arial"/>
                <w:b/>
                <w:bCs/>
                <w:color w:val="000000"/>
                <w:sz w:val="13"/>
                <w:szCs w:val="13"/>
              </w:rPr>
              <w:t>Nine Months Ended September 30,</w:t>
            </w:r>
          </w:p>
        </w:tc>
        <w:tc>
          <w:tcPr>
            <w:tcW w:w="0" w:type="auto"/>
            <w:shd w:val="clear" w:color="auto" w:fill="auto"/>
            <w:vAlign w:val="bottom"/>
          </w:tcPr>
          <w:p w14:paraId="74DDF96B" w14:textId="77777777" w:rsidR="00584EC1" w:rsidRDefault="00584EC1">
            <w:pPr>
              <w:rPr>
                <w:rFonts w:ascii="宋体"/>
                <w:vanish/>
              </w:rPr>
            </w:pPr>
          </w:p>
        </w:tc>
        <w:tc>
          <w:tcPr>
            <w:tcW w:w="0" w:type="auto"/>
            <w:shd w:val="clear" w:color="auto" w:fill="auto"/>
            <w:vAlign w:val="bottom"/>
          </w:tcPr>
          <w:p w14:paraId="74DDF96C" w14:textId="77777777" w:rsidR="00584EC1" w:rsidRDefault="00584EC1">
            <w:pPr>
              <w:rPr>
                <w:rFonts w:ascii="宋体"/>
                <w:vanish/>
              </w:rPr>
            </w:pPr>
          </w:p>
        </w:tc>
        <w:tc>
          <w:tcPr>
            <w:tcW w:w="0" w:type="auto"/>
            <w:gridSpan w:val="3"/>
            <w:shd w:val="clear" w:color="auto" w:fill="auto"/>
            <w:tcMar>
              <w:top w:w="0" w:type="dxa"/>
              <w:left w:w="20" w:type="dxa"/>
              <w:bottom w:w="0" w:type="dxa"/>
              <w:right w:w="20" w:type="dxa"/>
            </w:tcMar>
            <w:vAlign w:val="bottom"/>
          </w:tcPr>
          <w:p w14:paraId="74DDF96D"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96E"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96F" w14:textId="77777777" w:rsidR="00584EC1" w:rsidRDefault="00584EC1">
            <w:pPr>
              <w:rPr>
                <w:rFonts w:ascii="宋体"/>
              </w:rPr>
            </w:pPr>
          </w:p>
        </w:tc>
        <w:tc>
          <w:tcPr>
            <w:tcW w:w="0" w:type="auto"/>
            <w:gridSpan w:val="9"/>
            <w:shd w:val="clear" w:color="auto" w:fill="auto"/>
            <w:tcMar>
              <w:top w:w="40" w:type="dxa"/>
              <w:left w:w="20" w:type="dxa"/>
              <w:bottom w:w="40" w:type="dxa"/>
              <w:right w:w="20" w:type="dxa"/>
            </w:tcMar>
            <w:vAlign w:val="bottom"/>
          </w:tcPr>
          <w:p w14:paraId="74DDF970" w14:textId="77777777" w:rsidR="00584EC1" w:rsidRDefault="00871F8D">
            <w:pPr>
              <w:jc w:val="center"/>
              <w:textAlignment w:val="bottom"/>
            </w:pPr>
            <w:r>
              <w:rPr>
                <w:rFonts w:ascii="Arial" w:eastAsia="宋体" w:hAnsi="Arial" w:cs="Arial"/>
                <w:b/>
                <w:bCs/>
                <w:color w:val="000000"/>
                <w:sz w:val="13"/>
                <w:szCs w:val="13"/>
              </w:rPr>
              <w:t>Nine Months Ended September 30,</w:t>
            </w:r>
          </w:p>
        </w:tc>
        <w:tc>
          <w:tcPr>
            <w:tcW w:w="0" w:type="auto"/>
            <w:gridSpan w:val="3"/>
            <w:shd w:val="clear" w:color="auto" w:fill="auto"/>
            <w:vAlign w:val="bottom"/>
          </w:tcPr>
          <w:p w14:paraId="74DDF971" w14:textId="77777777" w:rsidR="00584EC1" w:rsidRDefault="00584EC1">
            <w:pPr>
              <w:rPr>
                <w:rFonts w:ascii="宋体"/>
                <w:vanish/>
              </w:rPr>
            </w:pPr>
          </w:p>
        </w:tc>
        <w:tc>
          <w:tcPr>
            <w:tcW w:w="0" w:type="auto"/>
            <w:gridSpan w:val="3"/>
            <w:shd w:val="clear" w:color="auto" w:fill="auto"/>
            <w:vAlign w:val="bottom"/>
          </w:tcPr>
          <w:p w14:paraId="74DDF972" w14:textId="77777777" w:rsidR="00584EC1" w:rsidRDefault="00584EC1">
            <w:pPr>
              <w:rPr>
                <w:rFonts w:ascii="宋体"/>
                <w:vanish/>
              </w:rPr>
            </w:pPr>
          </w:p>
        </w:tc>
      </w:tr>
      <w:tr w:rsidR="00584EC1" w14:paraId="74DDF982" w14:textId="77777777">
        <w:tc>
          <w:tcPr>
            <w:tcW w:w="0" w:type="auto"/>
            <w:gridSpan w:val="3"/>
            <w:shd w:val="clear" w:color="auto" w:fill="auto"/>
            <w:tcMar>
              <w:top w:w="0" w:type="dxa"/>
              <w:left w:w="20" w:type="dxa"/>
              <w:bottom w:w="0" w:type="dxa"/>
              <w:right w:w="20" w:type="dxa"/>
            </w:tcMar>
            <w:vAlign w:val="bottom"/>
          </w:tcPr>
          <w:p w14:paraId="74DDF974"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F975" w14:textId="77777777" w:rsidR="00584EC1" w:rsidRDefault="00871F8D">
            <w:pPr>
              <w:jc w:val="center"/>
              <w:textAlignment w:val="bottom"/>
            </w:pPr>
            <w:r>
              <w:rPr>
                <w:rFonts w:ascii="Arial" w:eastAsia="宋体" w:hAnsi="Arial" w:cs="Arial"/>
                <w:b/>
                <w:bCs/>
                <w:color w:val="000000"/>
                <w:sz w:val="13"/>
                <w:szCs w:val="13"/>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976" w14:textId="77777777" w:rsidR="00584EC1" w:rsidRDefault="00584EC1">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4DDF977" w14:textId="77777777" w:rsidR="00584EC1" w:rsidRDefault="00871F8D">
            <w:pPr>
              <w:jc w:val="center"/>
              <w:textAlignment w:val="bottom"/>
            </w:pPr>
            <w:r>
              <w:rPr>
                <w:rFonts w:ascii="Arial" w:eastAsia="宋体" w:hAnsi="Arial" w:cs="Arial"/>
                <w:b/>
                <w:bCs/>
                <w:color w:val="000000"/>
                <w:sz w:val="13"/>
                <w:szCs w:val="13"/>
              </w:rPr>
              <w:t>2020</w:t>
            </w:r>
          </w:p>
        </w:tc>
        <w:tc>
          <w:tcPr>
            <w:tcW w:w="0" w:type="auto"/>
            <w:shd w:val="clear" w:color="auto" w:fill="auto"/>
            <w:vAlign w:val="bottom"/>
          </w:tcPr>
          <w:p w14:paraId="74DDF978" w14:textId="77777777" w:rsidR="00584EC1" w:rsidRDefault="00584EC1">
            <w:pPr>
              <w:rPr>
                <w:rFonts w:ascii="宋体"/>
                <w:vanish/>
              </w:rPr>
            </w:pPr>
          </w:p>
        </w:tc>
        <w:tc>
          <w:tcPr>
            <w:tcW w:w="0" w:type="auto"/>
            <w:shd w:val="clear" w:color="auto" w:fill="auto"/>
            <w:vAlign w:val="bottom"/>
          </w:tcPr>
          <w:p w14:paraId="74DDF979" w14:textId="77777777" w:rsidR="00584EC1" w:rsidRDefault="00584EC1">
            <w:pPr>
              <w:rPr>
                <w:rFonts w:ascii="宋体"/>
                <w:vanish/>
              </w:rPr>
            </w:pPr>
          </w:p>
        </w:tc>
        <w:tc>
          <w:tcPr>
            <w:tcW w:w="0" w:type="auto"/>
            <w:gridSpan w:val="3"/>
            <w:shd w:val="clear" w:color="auto" w:fill="auto"/>
            <w:tcMar>
              <w:top w:w="0" w:type="dxa"/>
              <w:left w:w="20" w:type="dxa"/>
              <w:bottom w:w="0" w:type="dxa"/>
              <w:right w:w="20" w:type="dxa"/>
            </w:tcMar>
            <w:vAlign w:val="bottom"/>
          </w:tcPr>
          <w:p w14:paraId="74DDF97A"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97B"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97C"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F97D" w14:textId="77777777" w:rsidR="00584EC1" w:rsidRDefault="00871F8D">
            <w:pPr>
              <w:jc w:val="center"/>
              <w:textAlignment w:val="bottom"/>
            </w:pPr>
            <w:r>
              <w:rPr>
                <w:rFonts w:ascii="Arial" w:eastAsia="宋体" w:hAnsi="Arial" w:cs="Arial"/>
                <w:b/>
                <w:bCs/>
                <w:color w:val="000000"/>
                <w:sz w:val="13"/>
                <w:szCs w:val="13"/>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97E" w14:textId="77777777" w:rsidR="00584EC1" w:rsidRDefault="00584EC1">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4DDF97F" w14:textId="77777777" w:rsidR="00584EC1" w:rsidRDefault="00871F8D">
            <w:pPr>
              <w:jc w:val="center"/>
              <w:textAlignment w:val="bottom"/>
            </w:pPr>
            <w:r>
              <w:rPr>
                <w:rFonts w:ascii="Arial" w:eastAsia="宋体" w:hAnsi="Arial" w:cs="Arial"/>
                <w:b/>
                <w:bCs/>
                <w:color w:val="000000"/>
                <w:sz w:val="13"/>
                <w:szCs w:val="13"/>
              </w:rPr>
              <w:t>2020</w:t>
            </w:r>
          </w:p>
        </w:tc>
        <w:tc>
          <w:tcPr>
            <w:tcW w:w="0" w:type="auto"/>
            <w:gridSpan w:val="3"/>
            <w:shd w:val="clear" w:color="auto" w:fill="auto"/>
            <w:vAlign w:val="bottom"/>
          </w:tcPr>
          <w:p w14:paraId="74DDF980" w14:textId="77777777" w:rsidR="00584EC1" w:rsidRDefault="00584EC1">
            <w:pPr>
              <w:rPr>
                <w:rFonts w:ascii="宋体"/>
                <w:vanish/>
              </w:rPr>
            </w:pPr>
          </w:p>
        </w:tc>
        <w:tc>
          <w:tcPr>
            <w:tcW w:w="0" w:type="auto"/>
            <w:gridSpan w:val="3"/>
            <w:shd w:val="clear" w:color="auto" w:fill="auto"/>
            <w:vAlign w:val="bottom"/>
          </w:tcPr>
          <w:p w14:paraId="74DDF981" w14:textId="77777777" w:rsidR="00584EC1" w:rsidRDefault="00584EC1">
            <w:pPr>
              <w:rPr>
                <w:rFonts w:ascii="宋体"/>
                <w:vanish/>
              </w:rPr>
            </w:pPr>
          </w:p>
        </w:tc>
      </w:tr>
      <w:tr w:rsidR="00584EC1" w14:paraId="74DDF98D" w14:textId="77777777">
        <w:tc>
          <w:tcPr>
            <w:tcW w:w="0" w:type="auto"/>
            <w:gridSpan w:val="3"/>
            <w:shd w:val="clear" w:color="auto" w:fill="auto"/>
            <w:tcMar>
              <w:top w:w="40" w:type="dxa"/>
              <w:left w:w="20" w:type="dxa"/>
              <w:bottom w:w="40" w:type="dxa"/>
              <w:right w:w="20" w:type="dxa"/>
            </w:tcMar>
            <w:vAlign w:val="bottom"/>
          </w:tcPr>
          <w:p w14:paraId="74DDF983" w14:textId="77777777" w:rsidR="00584EC1" w:rsidRDefault="00871F8D">
            <w:pPr>
              <w:textAlignment w:val="bottom"/>
            </w:pPr>
            <w:r>
              <w:rPr>
                <w:rFonts w:ascii="Arial" w:eastAsia="宋体" w:hAnsi="Arial" w:cs="Arial"/>
                <w:b/>
                <w:bCs/>
                <w:color w:val="000000"/>
                <w:sz w:val="13"/>
                <w:szCs w:val="13"/>
              </w:rPr>
              <w:t>(In millio</w:t>
            </w:r>
            <w:r>
              <w:rPr>
                <w:rFonts w:ascii="Arial" w:eastAsia="宋体" w:hAnsi="Arial" w:cs="Arial"/>
                <w:b/>
                <w:bCs/>
                <w:color w:val="000000"/>
                <w:sz w:val="13"/>
                <w:szCs w:val="13"/>
              </w:rPr>
              <w:t>ns)</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4DDF984" w14:textId="77777777" w:rsidR="00584EC1" w:rsidRDefault="00871F8D">
            <w:pPr>
              <w:jc w:val="center"/>
              <w:textAlignment w:val="bottom"/>
            </w:pPr>
            <w:r>
              <w:rPr>
                <w:rFonts w:ascii="Arial" w:eastAsia="宋体" w:hAnsi="Arial" w:cs="Arial"/>
                <w:b/>
                <w:bCs/>
                <w:color w:val="000000"/>
                <w:sz w:val="13"/>
                <w:szCs w:val="13"/>
              </w:rPr>
              <w:t>Amount of Gain or (Loss) Recognized in Other Comprehensive Income on Derivative</w:t>
            </w:r>
          </w:p>
        </w:tc>
        <w:tc>
          <w:tcPr>
            <w:tcW w:w="0" w:type="auto"/>
            <w:shd w:val="clear" w:color="auto" w:fill="auto"/>
            <w:vAlign w:val="bottom"/>
          </w:tcPr>
          <w:p w14:paraId="74DDF985" w14:textId="77777777" w:rsidR="00584EC1" w:rsidRDefault="00584EC1">
            <w:pPr>
              <w:rPr>
                <w:rFonts w:ascii="宋体"/>
                <w:vanish/>
              </w:rPr>
            </w:pPr>
          </w:p>
        </w:tc>
        <w:tc>
          <w:tcPr>
            <w:tcW w:w="0" w:type="auto"/>
            <w:shd w:val="clear" w:color="auto" w:fill="auto"/>
            <w:vAlign w:val="bottom"/>
          </w:tcPr>
          <w:p w14:paraId="74DDF986" w14:textId="77777777" w:rsidR="00584EC1" w:rsidRDefault="00584EC1">
            <w:pPr>
              <w:rPr>
                <w:rFonts w:ascii="宋体"/>
                <w:vanish/>
              </w:rPr>
            </w:pPr>
          </w:p>
        </w:tc>
        <w:tc>
          <w:tcPr>
            <w:tcW w:w="0" w:type="auto"/>
            <w:gridSpan w:val="3"/>
            <w:shd w:val="clear" w:color="auto" w:fill="auto"/>
            <w:tcMar>
              <w:top w:w="0" w:type="dxa"/>
              <w:left w:w="20" w:type="dxa"/>
              <w:bottom w:w="0" w:type="dxa"/>
              <w:right w:w="20" w:type="dxa"/>
            </w:tcMar>
            <w:vAlign w:val="bottom"/>
          </w:tcPr>
          <w:p w14:paraId="74DDF987"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DF988" w14:textId="77777777" w:rsidR="00584EC1" w:rsidRDefault="00871F8D">
            <w:pPr>
              <w:jc w:val="center"/>
              <w:textAlignment w:val="bottom"/>
            </w:pPr>
            <w:r>
              <w:rPr>
                <w:rFonts w:ascii="Arial" w:eastAsia="宋体" w:hAnsi="Arial" w:cs="Arial"/>
                <w:b/>
                <w:bCs/>
                <w:color w:val="000000"/>
                <w:sz w:val="13"/>
                <w:szCs w:val="13"/>
              </w:rPr>
              <w:t>Location of Gain or (Loss) Reclassified from Accumulated Other Comprehensive Income into Income</w:t>
            </w:r>
          </w:p>
        </w:tc>
        <w:tc>
          <w:tcPr>
            <w:tcW w:w="0" w:type="auto"/>
            <w:gridSpan w:val="3"/>
            <w:shd w:val="clear" w:color="auto" w:fill="auto"/>
            <w:tcMar>
              <w:top w:w="0" w:type="dxa"/>
              <w:left w:w="20" w:type="dxa"/>
              <w:bottom w:w="0" w:type="dxa"/>
              <w:right w:w="20" w:type="dxa"/>
            </w:tcMar>
            <w:vAlign w:val="bottom"/>
          </w:tcPr>
          <w:p w14:paraId="74DDF989" w14:textId="77777777" w:rsidR="00584EC1" w:rsidRDefault="00584E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4DDF98A" w14:textId="77777777" w:rsidR="00584EC1" w:rsidRDefault="00871F8D">
            <w:pPr>
              <w:jc w:val="center"/>
              <w:textAlignment w:val="bottom"/>
            </w:pPr>
            <w:r>
              <w:rPr>
                <w:rFonts w:ascii="Arial" w:eastAsia="宋体" w:hAnsi="Arial" w:cs="Arial"/>
                <w:b/>
                <w:bCs/>
                <w:color w:val="000000"/>
                <w:sz w:val="13"/>
                <w:szCs w:val="13"/>
              </w:rPr>
              <w:t>Amount of Gain or (Loss) Reclassified from Accumulated Other Comprehensi</w:t>
            </w:r>
            <w:r>
              <w:rPr>
                <w:rFonts w:ascii="Arial" w:eastAsia="宋体" w:hAnsi="Arial" w:cs="Arial"/>
                <w:b/>
                <w:bCs/>
                <w:color w:val="000000"/>
                <w:sz w:val="13"/>
                <w:szCs w:val="13"/>
              </w:rPr>
              <w:t>ve Income into Income</w:t>
            </w:r>
          </w:p>
        </w:tc>
        <w:tc>
          <w:tcPr>
            <w:tcW w:w="0" w:type="auto"/>
            <w:gridSpan w:val="3"/>
            <w:shd w:val="clear" w:color="auto" w:fill="auto"/>
            <w:vAlign w:val="bottom"/>
          </w:tcPr>
          <w:p w14:paraId="74DDF98B" w14:textId="77777777" w:rsidR="00584EC1" w:rsidRDefault="00584EC1">
            <w:pPr>
              <w:rPr>
                <w:rFonts w:ascii="宋体"/>
                <w:vanish/>
              </w:rPr>
            </w:pPr>
          </w:p>
        </w:tc>
        <w:tc>
          <w:tcPr>
            <w:tcW w:w="0" w:type="auto"/>
            <w:gridSpan w:val="3"/>
            <w:shd w:val="clear" w:color="auto" w:fill="auto"/>
            <w:vAlign w:val="bottom"/>
          </w:tcPr>
          <w:p w14:paraId="74DDF98C" w14:textId="77777777" w:rsidR="00584EC1" w:rsidRDefault="00584EC1">
            <w:pPr>
              <w:rPr>
                <w:rFonts w:ascii="宋体"/>
                <w:vanish/>
              </w:rPr>
            </w:pPr>
          </w:p>
        </w:tc>
      </w:tr>
      <w:tr w:rsidR="00584EC1" w14:paraId="74DDF99C" w14:textId="77777777">
        <w:tc>
          <w:tcPr>
            <w:tcW w:w="0" w:type="auto"/>
            <w:gridSpan w:val="3"/>
            <w:shd w:val="clear" w:color="auto" w:fill="auto"/>
            <w:tcMar>
              <w:top w:w="40" w:type="dxa"/>
              <w:left w:w="20" w:type="dxa"/>
              <w:bottom w:w="40" w:type="dxa"/>
              <w:right w:w="20" w:type="dxa"/>
            </w:tcMar>
            <w:vAlign w:val="bottom"/>
          </w:tcPr>
          <w:p w14:paraId="74DDF98E" w14:textId="77777777" w:rsidR="00584EC1" w:rsidRDefault="00871F8D">
            <w:pPr>
              <w:textAlignment w:val="bottom"/>
            </w:pPr>
            <w:r>
              <w:rPr>
                <w:rFonts w:ascii="Arial" w:eastAsia="宋体" w:hAnsi="Arial" w:cs="Arial"/>
                <w:b/>
                <w:bCs/>
                <w:color w:val="000000"/>
                <w:sz w:val="13"/>
                <w:szCs w:val="13"/>
              </w:rPr>
              <w:t>Derivatives designated as cash flow hedges: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98F"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990"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991" w14:textId="77777777" w:rsidR="00584EC1" w:rsidRDefault="00584EC1">
            <w:pPr>
              <w:rPr>
                <w:rFonts w:ascii="宋体"/>
              </w:rPr>
            </w:pPr>
          </w:p>
        </w:tc>
        <w:tc>
          <w:tcPr>
            <w:tcW w:w="0" w:type="auto"/>
            <w:shd w:val="clear" w:color="auto" w:fill="auto"/>
            <w:vAlign w:val="bottom"/>
          </w:tcPr>
          <w:p w14:paraId="74DDF992" w14:textId="77777777" w:rsidR="00584EC1" w:rsidRDefault="00584EC1">
            <w:pPr>
              <w:rPr>
                <w:rFonts w:ascii="宋体"/>
                <w:vanish/>
              </w:rPr>
            </w:pPr>
          </w:p>
        </w:tc>
        <w:tc>
          <w:tcPr>
            <w:tcW w:w="0" w:type="auto"/>
            <w:shd w:val="clear" w:color="auto" w:fill="auto"/>
            <w:vAlign w:val="bottom"/>
          </w:tcPr>
          <w:p w14:paraId="74DDF993" w14:textId="77777777" w:rsidR="00584EC1" w:rsidRDefault="00584EC1">
            <w:pPr>
              <w:rPr>
                <w:rFonts w:ascii="宋体"/>
                <w:vanish/>
              </w:rPr>
            </w:pPr>
          </w:p>
        </w:tc>
        <w:tc>
          <w:tcPr>
            <w:tcW w:w="0" w:type="auto"/>
            <w:gridSpan w:val="3"/>
            <w:shd w:val="clear" w:color="auto" w:fill="auto"/>
            <w:tcMar>
              <w:top w:w="0" w:type="dxa"/>
              <w:left w:w="20" w:type="dxa"/>
              <w:bottom w:w="0" w:type="dxa"/>
              <w:right w:w="20" w:type="dxa"/>
            </w:tcMar>
            <w:vAlign w:val="bottom"/>
          </w:tcPr>
          <w:p w14:paraId="74DDF994"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99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996"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997"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998"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999" w14:textId="77777777" w:rsidR="00584EC1" w:rsidRDefault="00584EC1">
            <w:pPr>
              <w:rPr>
                <w:rFonts w:ascii="宋体"/>
              </w:rPr>
            </w:pPr>
          </w:p>
        </w:tc>
        <w:tc>
          <w:tcPr>
            <w:tcW w:w="0" w:type="auto"/>
            <w:gridSpan w:val="3"/>
            <w:shd w:val="clear" w:color="auto" w:fill="auto"/>
            <w:vAlign w:val="bottom"/>
          </w:tcPr>
          <w:p w14:paraId="74DDF99A" w14:textId="77777777" w:rsidR="00584EC1" w:rsidRDefault="00584EC1">
            <w:pPr>
              <w:rPr>
                <w:rFonts w:ascii="宋体"/>
                <w:vanish/>
              </w:rPr>
            </w:pPr>
          </w:p>
        </w:tc>
        <w:tc>
          <w:tcPr>
            <w:tcW w:w="0" w:type="auto"/>
            <w:gridSpan w:val="3"/>
            <w:shd w:val="clear" w:color="auto" w:fill="auto"/>
            <w:vAlign w:val="bottom"/>
          </w:tcPr>
          <w:p w14:paraId="74DDF99B" w14:textId="77777777" w:rsidR="00584EC1" w:rsidRDefault="00584EC1">
            <w:pPr>
              <w:rPr>
                <w:rFonts w:ascii="宋体"/>
                <w:vanish/>
              </w:rPr>
            </w:pPr>
          </w:p>
        </w:tc>
      </w:tr>
      <w:tr w:rsidR="00584EC1" w14:paraId="74DDF9B1" w14:textId="77777777">
        <w:tc>
          <w:tcPr>
            <w:tcW w:w="0" w:type="auto"/>
            <w:gridSpan w:val="3"/>
            <w:shd w:val="clear" w:color="auto" w:fill="CCEEFF"/>
            <w:tcMar>
              <w:top w:w="40" w:type="dxa"/>
              <w:left w:w="20" w:type="dxa"/>
              <w:bottom w:w="40" w:type="dxa"/>
              <w:right w:w="20" w:type="dxa"/>
            </w:tcMar>
            <w:vAlign w:val="bottom"/>
          </w:tcPr>
          <w:p w14:paraId="74DDF99D" w14:textId="77777777" w:rsidR="00584EC1" w:rsidRDefault="00871F8D">
            <w:pPr>
              <w:textAlignment w:val="bottom"/>
            </w:pPr>
            <w:r>
              <w:rPr>
                <w:rFonts w:ascii="Arial" w:eastAsia="宋体" w:hAnsi="Arial" w:cs="Arial"/>
                <w:color w:val="000000"/>
                <w:sz w:val="13"/>
                <w:szCs w:val="13"/>
              </w:rPr>
              <w:t>Interest rate contracts</w:t>
            </w:r>
          </w:p>
        </w:tc>
        <w:tc>
          <w:tcPr>
            <w:tcW w:w="0" w:type="auto"/>
            <w:shd w:val="clear" w:color="auto" w:fill="CCEEFF"/>
            <w:tcMar>
              <w:top w:w="40" w:type="dxa"/>
              <w:left w:w="20" w:type="dxa"/>
              <w:bottom w:w="40" w:type="dxa"/>
              <w:right w:w="0" w:type="dxa"/>
            </w:tcMar>
            <w:vAlign w:val="bottom"/>
          </w:tcPr>
          <w:p w14:paraId="74DDF99E" w14:textId="77777777" w:rsidR="00584EC1" w:rsidRDefault="00871F8D">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4DDF99F" w14:textId="77777777" w:rsidR="00584EC1" w:rsidRDefault="00871F8D">
            <w:pPr>
              <w:jc w:val="right"/>
              <w:textAlignment w:val="bottom"/>
            </w:pPr>
            <w:r>
              <w:rPr>
                <w:rFonts w:ascii="Arial" w:eastAsia="宋体" w:hAnsi="Arial" w:cs="Arial"/>
                <w:b/>
                <w:bCs/>
                <w:color w:val="000000"/>
                <w:sz w:val="13"/>
                <w:szCs w:val="13"/>
              </w:rPr>
              <w:t>(9)</w:t>
            </w:r>
          </w:p>
        </w:tc>
        <w:tc>
          <w:tcPr>
            <w:tcW w:w="0" w:type="auto"/>
            <w:shd w:val="clear" w:color="auto" w:fill="CCEEFF"/>
            <w:tcMar>
              <w:top w:w="40" w:type="dxa"/>
              <w:left w:w="0" w:type="dxa"/>
              <w:bottom w:w="40" w:type="dxa"/>
              <w:right w:w="20" w:type="dxa"/>
            </w:tcMar>
            <w:vAlign w:val="bottom"/>
          </w:tcPr>
          <w:p w14:paraId="74DDF9A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9A1" w14:textId="77777777" w:rsidR="00584EC1" w:rsidRDefault="00584EC1">
            <w:pPr>
              <w:rPr>
                <w:rFonts w:ascii="宋体"/>
              </w:rPr>
            </w:pPr>
          </w:p>
        </w:tc>
        <w:tc>
          <w:tcPr>
            <w:tcW w:w="0" w:type="auto"/>
            <w:gridSpan w:val="3"/>
            <w:shd w:val="clear" w:color="auto" w:fill="CCEEFF"/>
            <w:tcMar>
              <w:top w:w="40" w:type="dxa"/>
              <w:left w:w="20" w:type="dxa"/>
              <w:bottom w:w="40" w:type="dxa"/>
              <w:right w:w="20" w:type="dxa"/>
            </w:tcMar>
            <w:vAlign w:val="bottom"/>
          </w:tcPr>
          <w:p w14:paraId="74DDF9A2" w14:textId="77777777" w:rsidR="00584EC1" w:rsidRDefault="00871F8D">
            <w:pPr>
              <w:jc w:val="right"/>
              <w:textAlignment w:val="bottom"/>
            </w:pPr>
            <w:r>
              <w:rPr>
                <w:rFonts w:ascii="Arial" w:eastAsia="宋体" w:hAnsi="Arial" w:cs="Arial"/>
                <w:color w:val="000000"/>
                <w:sz w:val="13"/>
                <w:szCs w:val="13"/>
              </w:rPr>
              <w:t>179</w:t>
            </w:r>
          </w:p>
        </w:tc>
        <w:tc>
          <w:tcPr>
            <w:tcW w:w="0" w:type="auto"/>
            <w:shd w:val="clear" w:color="auto" w:fill="auto"/>
            <w:vAlign w:val="bottom"/>
          </w:tcPr>
          <w:p w14:paraId="74DDF9A3" w14:textId="77777777" w:rsidR="00584EC1" w:rsidRDefault="00584EC1">
            <w:pPr>
              <w:rPr>
                <w:rFonts w:ascii="宋体"/>
                <w:vanish/>
              </w:rPr>
            </w:pPr>
          </w:p>
        </w:tc>
        <w:tc>
          <w:tcPr>
            <w:tcW w:w="0" w:type="auto"/>
            <w:shd w:val="clear" w:color="auto" w:fill="auto"/>
            <w:vAlign w:val="bottom"/>
          </w:tcPr>
          <w:p w14:paraId="74DDF9A4" w14:textId="77777777" w:rsidR="00584EC1" w:rsidRDefault="00584EC1">
            <w:pPr>
              <w:rPr>
                <w:rFonts w:ascii="宋体"/>
                <w:vanish/>
              </w:rPr>
            </w:pPr>
          </w:p>
        </w:tc>
        <w:tc>
          <w:tcPr>
            <w:tcW w:w="0" w:type="auto"/>
            <w:gridSpan w:val="3"/>
            <w:shd w:val="clear" w:color="auto" w:fill="CCEEFF"/>
            <w:tcMar>
              <w:top w:w="0" w:type="dxa"/>
              <w:left w:w="20" w:type="dxa"/>
              <w:bottom w:w="0" w:type="dxa"/>
              <w:right w:w="20" w:type="dxa"/>
            </w:tcMar>
            <w:vAlign w:val="bottom"/>
          </w:tcPr>
          <w:p w14:paraId="74DDF9A5" w14:textId="77777777" w:rsidR="00584EC1" w:rsidRDefault="00584EC1">
            <w:pPr>
              <w:rPr>
                <w:rFonts w:ascii="宋体"/>
              </w:rPr>
            </w:pPr>
          </w:p>
        </w:tc>
        <w:tc>
          <w:tcPr>
            <w:tcW w:w="0" w:type="auto"/>
            <w:gridSpan w:val="3"/>
            <w:shd w:val="clear" w:color="auto" w:fill="CCEEFF"/>
            <w:tcMar>
              <w:top w:w="40" w:type="dxa"/>
              <w:left w:w="20" w:type="dxa"/>
              <w:bottom w:w="40" w:type="dxa"/>
              <w:right w:w="20" w:type="dxa"/>
            </w:tcMar>
            <w:vAlign w:val="bottom"/>
          </w:tcPr>
          <w:p w14:paraId="74DDF9A6" w14:textId="77777777" w:rsidR="00584EC1" w:rsidRDefault="00871F8D">
            <w:pPr>
              <w:jc w:val="center"/>
              <w:textAlignment w:val="bottom"/>
            </w:pPr>
            <w:r>
              <w:rPr>
                <w:rFonts w:ascii="Arial" w:eastAsia="宋体" w:hAnsi="Arial" w:cs="Arial"/>
                <w:color w:val="000000"/>
                <w:sz w:val="13"/>
                <w:szCs w:val="13"/>
              </w:rPr>
              <w:t>Net interest income</w:t>
            </w:r>
          </w:p>
        </w:tc>
        <w:tc>
          <w:tcPr>
            <w:tcW w:w="0" w:type="auto"/>
            <w:gridSpan w:val="3"/>
            <w:shd w:val="clear" w:color="auto" w:fill="CCEEFF"/>
            <w:tcMar>
              <w:top w:w="0" w:type="dxa"/>
              <w:left w:w="20" w:type="dxa"/>
              <w:bottom w:w="0" w:type="dxa"/>
              <w:right w:w="20" w:type="dxa"/>
            </w:tcMar>
            <w:vAlign w:val="bottom"/>
          </w:tcPr>
          <w:p w14:paraId="74DDF9A7"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F9A8" w14:textId="77777777" w:rsidR="00584EC1" w:rsidRDefault="00871F8D">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4DDF9A9" w14:textId="77777777" w:rsidR="00584EC1" w:rsidRDefault="00871F8D">
            <w:pPr>
              <w:jc w:val="right"/>
              <w:textAlignment w:val="bottom"/>
            </w:pPr>
            <w:r>
              <w:rPr>
                <w:rFonts w:ascii="Arial" w:eastAsia="宋体" w:hAnsi="Arial" w:cs="Arial"/>
                <w:b/>
                <w:bCs/>
                <w:color w:val="000000"/>
                <w:sz w:val="13"/>
                <w:szCs w:val="13"/>
              </w:rPr>
              <w:t>62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F9A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9AB"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F9AC" w14:textId="77777777" w:rsidR="00584EC1" w:rsidRDefault="00871F8D">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74DDF9AD" w14:textId="77777777" w:rsidR="00584EC1" w:rsidRDefault="00871F8D">
            <w:pPr>
              <w:jc w:val="right"/>
              <w:textAlignment w:val="bottom"/>
            </w:pPr>
            <w:r>
              <w:rPr>
                <w:rFonts w:ascii="Arial" w:eastAsia="宋体" w:hAnsi="Arial" w:cs="Arial"/>
                <w:color w:val="000000"/>
                <w:sz w:val="13"/>
                <w:szCs w:val="13"/>
              </w:rPr>
              <w:t>32 </w:t>
            </w:r>
          </w:p>
        </w:tc>
        <w:tc>
          <w:tcPr>
            <w:tcW w:w="0" w:type="auto"/>
            <w:shd w:val="clear" w:color="auto" w:fill="CCEEFF"/>
            <w:tcMar>
              <w:top w:w="40" w:type="dxa"/>
              <w:left w:w="0" w:type="dxa"/>
              <w:bottom w:w="40" w:type="dxa"/>
              <w:right w:w="20" w:type="dxa"/>
            </w:tcMar>
            <w:vAlign w:val="bottom"/>
          </w:tcPr>
          <w:p w14:paraId="74DDF9AE" w14:textId="77777777" w:rsidR="00584EC1" w:rsidRDefault="00584EC1">
            <w:pPr>
              <w:jc w:val="right"/>
              <w:rPr>
                <w:rFonts w:ascii="宋体"/>
              </w:rPr>
            </w:pPr>
          </w:p>
        </w:tc>
        <w:tc>
          <w:tcPr>
            <w:tcW w:w="0" w:type="auto"/>
            <w:gridSpan w:val="3"/>
            <w:shd w:val="clear" w:color="auto" w:fill="auto"/>
            <w:vAlign w:val="bottom"/>
          </w:tcPr>
          <w:p w14:paraId="74DDF9AF" w14:textId="77777777" w:rsidR="00584EC1" w:rsidRDefault="00584EC1">
            <w:pPr>
              <w:rPr>
                <w:rFonts w:ascii="宋体"/>
                <w:vanish/>
              </w:rPr>
            </w:pPr>
          </w:p>
        </w:tc>
        <w:tc>
          <w:tcPr>
            <w:tcW w:w="0" w:type="auto"/>
            <w:gridSpan w:val="3"/>
            <w:shd w:val="clear" w:color="auto" w:fill="auto"/>
            <w:vAlign w:val="bottom"/>
          </w:tcPr>
          <w:p w14:paraId="74DDF9B0" w14:textId="77777777" w:rsidR="00584EC1" w:rsidRDefault="00584EC1">
            <w:pPr>
              <w:rPr>
                <w:rFonts w:ascii="宋体"/>
                <w:vanish/>
              </w:rPr>
            </w:pPr>
          </w:p>
        </w:tc>
      </w:tr>
      <w:tr w:rsidR="00584EC1" w14:paraId="74DDF9C5" w14:textId="77777777">
        <w:tc>
          <w:tcPr>
            <w:tcW w:w="0" w:type="auto"/>
            <w:gridSpan w:val="3"/>
            <w:shd w:val="clear" w:color="auto" w:fill="FFFFFF"/>
            <w:tcMar>
              <w:top w:w="40" w:type="dxa"/>
              <w:left w:w="20" w:type="dxa"/>
              <w:bottom w:w="40" w:type="dxa"/>
              <w:right w:w="20" w:type="dxa"/>
            </w:tcMar>
            <w:vAlign w:val="bottom"/>
          </w:tcPr>
          <w:p w14:paraId="74DDF9B2" w14:textId="77777777" w:rsidR="00584EC1" w:rsidRDefault="00871F8D">
            <w:pPr>
              <w:textAlignment w:val="bottom"/>
            </w:pPr>
            <w:r>
              <w:rPr>
                <w:rFonts w:ascii="Arial" w:eastAsia="宋体" w:hAnsi="Arial" w:cs="Arial"/>
                <w:color w:val="000000"/>
                <w:sz w:val="13"/>
                <w:szCs w:val="13"/>
              </w:rPr>
              <w:t>Foreign exchange contracts</w:t>
            </w:r>
          </w:p>
        </w:tc>
        <w:tc>
          <w:tcPr>
            <w:tcW w:w="0" w:type="auto"/>
            <w:gridSpan w:val="2"/>
            <w:shd w:val="clear" w:color="auto" w:fill="FFFFFF"/>
            <w:tcMar>
              <w:top w:w="40" w:type="dxa"/>
              <w:left w:w="20" w:type="dxa"/>
              <w:bottom w:w="40" w:type="dxa"/>
              <w:right w:w="0" w:type="dxa"/>
            </w:tcMar>
            <w:vAlign w:val="bottom"/>
          </w:tcPr>
          <w:p w14:paraId="74DDF9B3" w14:textId="77777777" w:rsidR="00584EC1" w:rsidRDefault="00871F8D">
            <w:pPr>
              <w:jc w:val="right"/>
              <w:textAlignment w:val="bottom"/>
            </w:pPr>
            <w:r>
              <w:rPr>
                <w:rFonts w:ascii="Arial" w:eastAsia="宋体" w:hAnsi="Arial" w:cs="Arial"/>
                <w:b/>
                <w:bCs/>
                <w:color w:val="000000"/>
                <w:sz w:val="13"/>
                <w:szCs w:val="13"/>
              </w:rPr>
              <w:t>55</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F9B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9B5" w14:textId="77777777" w:rsidR="00584EC1" w:rsidRDefault="00584EC1">
            <w:pPr>
              <w:rPr>
                <w:rFonts w:ascii="宋体"/>
              </w:rPr>
            </w:pPr>
          </w:p>
        </w:tc>
        <w:tc>
          <w:tcPr>
            <w:tcW w:w="0" w:type="auto"/>
            <w:shd w:val="clear" w:color="auto" w:fill="FFFFFF"/>
            <w:tcMar>
              <w:top w:w="40" w:type="dxa"/>
              <w:left w:w="20" w:type="dxa"/>
              <w:bottom w:w="40" w:type="dxa"/>
              <w:right w:w="0" w:type="dxa"/>
            </w:tcMar>
            <w:vAlign w:val="bottom"/>
          </w:tcPr>
          <w:p w14:paraId="74DDF9B6" w14:textId="77777777" w:rsidR="00584EC1" w:rsidRDefault="00871F8D">
            <w:pPr>
              <w:textAlignment w:val="bottom"/>
            </w:pPr>
            <w:r>
              <w:rPr>
                <w:rFonts w:ascii="Arial" w:eastAsia="宋体" w:hAnsi="Arial" w:cs="Arial"/>
                <w:color w:val="000000"/>
                <w:sz w:val="13"/>
                <w:szCs w:val="13"/>
              </w:rPr>
              <w:t>$</w:t>
            </w:r>
          </w:p>
        </w:tc>
        <w:tc>
          <w:tcPr>
            <w:tcW w:w="0" w:type="auto"/>
            <w:shd w:val="clear" w:color="auto" w:fill="FFFFFF"/>
            <w:tcMar>
              <w:top w:w="40" w:type="dxa"/>
              <w:left w:w="0" w:type="dxa"/>
              <w:bottom w:w="40" w:type="dxa"/>
              <w:right w:w="0" w:type="dxa"/>
            </w:tcMar>
            <w:vAlign w:val="bottom"/>
          </w:tcPr>
          <w:p w14:paraId="74DDF9B7" w14:textId="77777777" w:rsidR="00584EC1" w:rsidRDefault="00871F8D">
            <w:pPr>
              <w:jc w:val="right"/>
              <w:textAlignment w:val="bottom"/>
            </w:pPr>
            <w:r>
              <w:rPr>
                <w:rFonts w:ascii="Arial" w:eastAsia="宋体" w:hAnsi="Arial" w:cs="Arial"/>
                <w:color w:val="000000"/>
                <w:sz w:val="13"/>
                <w:szCs w:val="13"/>
              </w:rPr>
              <w:t>(11)</w:t>
            </w:r>
          </w:p>
        </w:tc>
        <w:tc>
          <w:tcPr>
            <w:tcW w:w="0" w:type="auto"/>
            <w:shd w:val="clear" w:color="auto" w:fill="FFFFFF"/>
            <w:tcMar>
              <w:top w:w="40" w:type="dxa"/>
              <w:left w:w="0" w:type="dxa"/>
              <w:bottom w:w="40" w:type="dxa"/>
              <w:right w:w="20" w:type="dxa"/>
            </w:tcMar>
            <w:vAlign w:val="bottom"/>
          </w:tcPr>
          <w:p w14:paraId="74DDF9B8" w14:textId="77777777" w:rsidR="00584EC1" w:rsidRDefault="00584EC1">
            <w:pPr>
              <w:jc w:val="right"/>
              <w:rPr>
                <w:rFonts w:ascii="宋体"/>
              </w:rPr>
            </w:pPr>
          </w:p>
        </w:tc>
        <w:tc>
          <w:tcPr>
            <w:tcW w:w="0" w:type="auto"/>
            <w:shd w:val="clear" w:color="auto" w:fill="auto"/>
            <w:vAlign w:val="bottom"/>
          </w:tcPr>
          <w:p w14:paraId="74DDF9B9" w14:textId="77777777" w:rsidR="00584EC1" w:rsidRDefault="00584EC1">
            <w:pPr>
              <w:rPr>
                <w:rFonts w:ascii="宋体"/>
                <w:vanish/>
              </w:rPr>
            </w:pPr>
          </w:p>
        </w:tc>
        <w:tc>
          <w:tcPr>
            <w:tcW w:w="0" w:type="auto"/>
            <w:shd w:val="clear" w:color="auto" w:fill="auto"/>
            <w:vAlign w:val="bottom"/>
          </w:tcPr>
          <w:p w14:paraId="74DDF9BA" w14:textId="77777777" w:rsidR="00584EC1" w:rsidRDefault="00584EC1">
            <w:pPr>
              <w:rPr>
                <w:rFonts w:ascii="宋体"/>
                <w:vanish/>
              </w:rPr>
            </w:pPr>
          </w:p>
        </w:tc>
        <w:tc>
          <w:tcPr>
            <w:tcW w:w="0" w:type="auto"/>
            <w:gridSpan w:val="3"/>
            <w:shd w:val="clear" w:color="auto" w:fill="FFFFFF"/>
            <w:tcMar>
              <w:top w:w="0" w:type="dxa"/>
              <w:left w:w="20" w:type="dxa"/>
              <w:bottom w:w="0" w:type="dxa"/>
              <w:right w:w="20" w:type="dxa"/>
            </w:tcMar>
            <w:vAlign w:val="bottom"/>
          </w:tcPr>
          <w:p w14:paraId="74DDF9BB" w14:textId="77777777" w:rsidR="00584EC1" w:rsidRDefault="00584EC1">
            <w:pPr>
              <w:rPr>
                <w:rFonts w:ascii="宋体"/>
              </w:rPr>
            </w:pPr>
          </w:p>
        </w:tc>
        <w:tc>
          <w:tcPr>
            <w:tcW w:w="0" w:type="auto"/>
            <w:gridSpan w:val="3"/>
            <w:shd w:val="clear" w:color="auto" w:fill="FFFFFF"/>
            <w:tcMar>
              <w:top w:w="40" w:type="dxa"/>
              <w:left w:w="20" w:type="dxa"/>
              <w:bottom w:w="40" w:type="dxa"/>
              <w:right w:w="20" w:type="dxa"/>
            </w:tcMar>
            <w:vAlign w:val="bottom"/>
          </w:tcPr>
          <w:p w14:paraId="74DDF9BC" w14:textId="77777777" w:rsidR="00584EC1" w:rsidRDefault="00871F8D">
            <w:pPr>
              <w:jc w:val="center"/>
              <w:textAlignment w:val="bottom"/>
            </w:pPr>
            <w:r>
              <w:rPr>
                <w:rFonts w:ascii="Arial" w:eastAsia="宋体" w:hAnsi="Arial" w:cs="Arial"/>
                <w:color w:val="000000"/>
                <w:sz w:val="13"/>
                <w:szCs w:val="13"/>
              </w:rPr>
              <w:t>Net interest income</w:t>
            </w:r>
          </w:p>
        </w:tc>
        <w:tc>
          <w:tcPr>
            <w:tcW w:w="0" w:type="auto"/>
            <w:gridSpan w:val="3"/>
            <w:shd w:val="clear" w:color="auto" w:fill="FFFFFF"/>
            <w:tcMar>
              <w:top w:w="0" w:type="dxa"/>
              <w:left w:w="20" w:type="dxa"/>
              <w:bottom w:w="0" w:type="dxa"/>
              <w:right w:w="20" w:type="dxa"/>
            </w:tcMar>
            <w:vAlign w:val="bottom"/>
          </w:tcPr>
          <w:p w14:paraId="74DDF9B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9BE" w14:textId="77777777" w:rsidR="00584EC1" w:rsidRDefault="00871F8D">
            <w:pPr>
              <w:jc w:val="right"/>
              <w:textAlignment w:val="bottom"/>
            </w:pPr>
            <w:r>
              <w:rPr>
                <w:rFonts w:ascii="Arial" w:eastAsia="宋体" w:hAnsi="Arial" w:cs="Arial"/>
                <w:b/>
                <w:bCs/>
                <w:color w:val="000000"/>
                <w:sz w:val="13"/>
                <w:szCs w:val="13"/>
              </w:rPr>
              <w:t>8</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DF9B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9C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9C1" w14:textId="77777777" w:rsidR="00584EC1" w:rsidRDefault="00871F8D">
            <w:pPr>
              <w:jc w:val="right"/>
              <w:textAlignment w:val="bottom"/>
            </w:pPr>
            <w:r>
              <w:rPr>
                <w:rFonts w:ascii="Arial" w:eastAsia="宋体" w:hAnsi="Arial" w:cs="Arial"/>
                <w:color w:val="000000"/>
                <w:sz w:val="13"/>
                <w:szCs w:val="13"/>
              </w:rPr>
              <w:t>20 </w:t>
            </w:r>
          </w:p>
        </w:tc>
        <w:tc>
          <w:tcPr>
            <w:tcW w:w="0" w:type="auto"/>
            <w:shd w:val="clear" w:color="auto" w:fill="FFFFFF"/>
            <w:tcMar>
              <w:top w:w="40" w:type="dxa"/>
              <w:left w:w="0" w:type="dxa"/>
              <w:bottom w:w="40" w:type="dxa"/>
              <w:right w:w="20" w:type="dxa"/>
            </w:tcMar>
            <w:vAlign w:val="bottom"/>
          </w:tcPr>
          <w:p w14:paraId="74DDF9C2" w14:textId="77777777" w:rsidR="00584EC1" w:rsidRDefault="00584EC1">
            <w:pPr>
              <w:jc w:val="right"/>
              <w:rPr>
                <w:rFonts w:ascii="宋体"/>
              </w:rPr>
            </w:pPr>
          </w:p>
        </w:tc>
        <w:tc>
          <w:tcPr>
            <w:tcW w:w="0" w:type="auto"/>
            <w:gridSpan w:val="3"/>
            <w:shd w:val="clear" w:color="auto" w:fill="auto"/>
            <w:vAlign w:val="bottom"/>
          </w:tcPr>
          <w:p w14:paraId="74DDF9C3" w14:textId="77777777" w:rsidR="00584EC1" w:rsidRDefault="00584EC1">
            <w:pPr>
              <w:rPr>
                <w:rFonts w:ascii="宋体"/>
                <w:vanish/>
              </w:rPr>
            </w:pPr>
          </w:p>
        </w:tc>
        <w:tc>
          <w:tcPr>
            <w:tcW w:w="0" w:type="auto"/>
            <w:gridSpan w:val="3"/>
            <w:shd w:val="clear" w:color="auto" w:fill="auto"/>
            <w:vAlign w:val="bottom"/>
          </w:tcPr>
          <w:p w14:paraId="74DDF9C4" w14:textId="77777777" w:rsidR="00584EC1" w:rsidRDefault="00584EC1">
            <w:pPr>
              <w:rPr>
                <w:rFonts w:ascii="宋体"/>
                <w:vanish/>
              </w:rPr>
            </w:pPr>
          </w:p>
        </w:tc>
      </w:tr>
      <w:tr w:rsidR="00584EC1" w14:paraId="74DDF9DC" w14:textId="77777777">
        <w:tc>
          <w:tcPr>
            <w:tcW w:w="0" w:type="auto"/>
            <w:gridSpan w:val="3"/>
            <w:shd w:val="clear" w:color="auto" w:fill="CCEEFF"/>
            <w:tcMar>
              <w:top w:w="40" w:type="dxa"/>
              <w:left w:w="20" w:type="dxa"/>
              <w:bottom w:w="40" w:type="dxa"/>
              <w:right w:w="20" w:type="dxa"/>
            </w:tcMar>
            <w:vAlign w:val="bottom"/>
          </w:tcPr>
          <w:p w14:paraId="74DDF9C6" w14:textId="77777777" w:rsidR="00584EC1" w:rsidRDefault="00871F8D">
            <w:pPr>
              <w:textAlignment w:val="bottom"/>
            </w:pPr>
            <w:r>
              <w:rPr>
                <w:rFonts w:ascii="Arial" w:eastAsia="宋体" w:hAnsi="Arial" w:cs="Arial"/>
                <w:color w:val="000000"/>
                <w:sz w:val="13"/>
                <w:szCs w:val="13"/>
              </w:rPr>
              <w:t>Total derivatives designated as cash flow hedges</w:t>
            </w:r>
          </w:p>
        </w:tc>
        <w:tc>
          <w:tcPr>
            <w:tcW w:w="0" w:type="auto"/>
            <w:tcBorders>
              <w:top w:val="single" w:sz="8" w:space="0" w:color="000000"/>
            </w:tcBorders>
            <w:shd w:val="clear" w:color="auto" w:fill="CCEEFF"/>
            <w:tcMar>
              <w:top w:w="40" w:type="dxa"/>
              <w:left w:w="20" w:type="dxa"/>
              <w:bottom w:w="40" w:type="dxa"/>
              <w:right w:w="0" w:type="dxa"/>
            </w:tcMar>
            <w:vAlign w:val="bottom"/>
          </w:tcPr>
          <w:p w14:paraId="74DDF9C7" w14:textId="77777777" w:rsidR="00584EC1" w:rsidRDefault="00871F8D">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F9C8" w14:textId="77777777" w:rsidR="00584EC1" w:rsidRDefault="00871F8D">
            <w:pPr>
              <w:jc w:val="right"/>
              <w:textAlignment w:val="bottom"/>
            </w:pPr>
            <w:r>
              <w:rPr>
                <w:rFonts w:ascii="Arial" w:eastAsia="宋体" w:hAnsi="Arial" w:cs="Arial"/>
                <w:b/>
                <w:bCs/>
                <w:color w:val="000000"/>
                <w:sz w:val="13"/>
                <w:szCs w:val="13"/>
              </w:rPr>
              <w:t>46</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F9C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9CA"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F9CB" w14:textId="77777777" w:rsidR="00584EC1" w:rsidRDefault="00871F8D">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F9CC" w14:textId="77777777" w:rsidR="00584EC1" w:rsidRDefault="00871F8D">
            <w:pPr>
              <w:jc w:val="right"/>
              <w:textAlignment w:val="bottom"/>
            </w:pPr>
            <w:r>
              <w:rPr>
                <w:rFonts w:ascii="Arial" w:eastAsia="宋体" w:hAnsi="Arial" w:cs="Arial"/>
                <w:color w:val="000000"/>
                <w:sz w:val="13"/>
                <w:szCs w:val="13"/>
              </w:rPr>
              <w:t>168 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F9CD" w14:textId="77777777" w:rsidR="00584EC1" w:rsidRDefault="00584EC1">
            <w:pPr>
              <w:jc w:val="right"/>
              <w:rPr>
                <w:rFonts w:ascii="宋体"/>
              </w:rPr>
            </w:pPr>
          </w:p>
        </w:tc>
        <w:tc>
          <w:tcPr>
            <w:tcW w:w="0" w:type="auto"/>
            <w:shd w:val="clear" w:color="auto" w:fill="auto"/>
            <w:vAlign w:val="bottom"/>
          </w:tcPr>
          <w:p w14:paraId="74DDF9CE" w14:textId="77777777" w:rsidR="00584EC1" w:rsidRDefault="00584EC1">
            <w:pPr>
              <w:rPr>
                <w:rFonts w:ascii="宋体"/>
                <w:vanish/>
              </w:rPr>
            </w:pPr>
          </w:p>
        </w:tc>
        <w:tc>
          <w:tcPr>
            <w:tcW w:w="0" w:type="auto"/>
            <w:shd w:val="clear" w:color="auto" w:fill="auto"/>
            <w:vAlign w:val="bottom"/>
          </w:tcPr>
          <w:p w14:paraId="74DDF9CF" w14:textId="77777777" w:rsidR="00584EC1" w:rsidRDefault="00584EC1">
            <w:pPr>
              <w:rPr>
                <w:rFonts w:ascii="宋体"/>
                <w:vanish/>
              </w:rPr>
            </w:pPr>
          </w:p>
        </w:tc>
        <w:tc>
          <w:tcPr>
            <w:tcW w:w="0" w:type="auto"/>
            <w:gridSpan w:val="3"/>
            <w:shd w:val="clear" w:color="auto" w:fill="CCEEFF"/>
            <w:tcMar>
              <w:top w:w="0" w:type="dxa"/>
              <w:left w:w="20" w:type="dxa"/>
              <w:bottom w:w="0" w:type="dxa"/>
              <w:right w:w="20" w:type="dxa"/>
            </w:tcMar>
            <w:vAlign w:val="bottom"/>
          </w:tcPr>
          <w:p w14:paraId="74DDF9D0"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F9D1"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F9D2"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F9D3" w14:textId="77777777" w:rsidR="00584EC1" w:rsidRDefault="00871F8D">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F9D4" w14:textId="77777777" w:rsidR="00584EC1" w:rsidRDefault="00871F8D">
            <w:pPr>
              <w:jc w:val="right"/>
              <w:textAlignment w:val="bottom"/>
            </w:pPr>
            <w:r>
              <w:rPr>
                <w:rFonts w:ascii="Arial" w:eastAsia="宋体" w:hAnsi="Arial" w:cs="Arial"/>
                <w:b/>
                <w:bCs/>
                <w:color w:val="000000"/>
                <w:sz w:val="13"/>
                <w:szCs w:val="13"/>
              </w:rPr>
              <w:t>70</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F9D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9D6"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DF9D7" w14:textId="77777777" w:rsidR="00584EC1" w:rsidRDefault="00871F8D">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DF9D8" w14:textId="77777777" w:rsidR="00584EC1" w:rsidRDefault="00871F8D">
            <w:pPr>
              <w:jc w:val="right"/>
              <w:textAlignment w:val="bottom"/>
            </w:pPr>
            <w:r>
              <w:rPr>
                <w:rFonts w:ascii="Arial" w:eastAsia="宋体" w:hAnsi="Arial" w:cs="Arial"/>
                <w:color w:val="000000"/>
                <w:sz w:val="13"/>
                <w:szCs w:val="13"/>
              </w:rPr>
              <w:t>52 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F9D9" w14:textId="77777777" w:rsidR="00584EC1" w:rsidRDefault="00584EC1">
            <w:pPr>
              <w:jc w:val="right"/>
              <w:rPr>
                <w:rFonts w:ascii="宋体"/>
              </w:rPr>
            </w:pPr>
          </w:p>
        </w:tc>
        <w:tc>
          <w:tcPr>
            <w:tcW w:w="0" w:type="auto"/>
            <w:gridSpan w:val="3"/>
            <w:shd w:val="clear" w:color="auto" w:fill="auto"/>
            <w:vAlign w:val="bottom"/>
          </w:tcPr>
          <w:p w14:paraId="74DDF9DA" w14:textId="77777777" w:rsidR="00584EC1" w:rsidRDefault="00584EC1">
            <w:pPr>
              <w:rPr>
                <w:rFonts w:ascii="宋体"/>
                <w:vanish/>
              </w:rPr>
            </w:pPr>
          </w:p>
        </w:tc>
        <w:tc>
          <w:tcPr>
            <w:tcW w:w="0" w:type="auto"/>
            <w:gridSpan w:val="3"/>
            <w:shd w:val="clear" w:color="auto" w:fill="auto"/>
            <w:vAlign w:val="bottom"/>
          </w:tcPr>
          <w:p w14:paraId="74DDF9DB" w14:textId="77777777" w:rsidR="00584EC1" w:rsidRDefault="00584EC1">
            <w:pPr>
              <w:rPr>
                <w:rFonts w:ascii="宋体"/>
                <w:vanish/>
              </w:rPr>
            </w:pPr>
          </w:p>
        </w:tc>
      </w:tr>
      <w:tr w:rsidR="00584EC1" w14:paraId="74DDF9EB" w14:textId="77777777">
        <w:trPr>
          <w:trHeight w:val="100"/>
        </w:trPr>
        <w:tc>
          <w:tcPr>
            <w:tcW w:w="0" w:type="auto"/>
            <w:gridSpan w:val="3"/>
            <w:shd w:val="clear" w:color="auto" w:fill="auto"/>
            <w:tcMar>
              <w:top w:w="0" w:type="dxa"/>
              <w:left w:w="20" w:type="dxa"/>
              <w:bottom w:w="0" w:type="dxa"/>
              <w:right w:w="20" w:type="dxa"/>
            </w:tcMar>
            <w:vAlign w:val="bottom"/>
          </w:tcPr>
          <w:p w14:paraId="74DDF9DD"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9DE"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9DF"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9E0" w14:textId="77777777" w:rsidR="00584EC1" w:rsidRDefault="00584EC1">
            <w:pPr>
              <w:rPr>
                <w:rFonts w:ascii="宋体"/>
              </w:rPr>
            </w:pPr>
          </w:p>
        </w:tc>
        <w:tc>
          <w:tcPr>
            <w:tcW w:w="0" w:type="auto"/>
            <w:shd w:val="clear" w:color="auto" w:fill="auto"/>
            <w:vAlign w:val="bottom"/>
          </w:tcPr>
          <w:p w14:paraId="74DDF9E1" w14:textId="77777777" w:rsidR="00584EC1" w:rsidRDefault="00584EC1">
            <w:pPr>
              <w:rPr>
                <w:rFonts w:ascii="宋体"/>
                <w:vanish/>
              </w:rPr>
            </w:pPr>
          </w:p>
        </w:tc>
        <w:tc>
          <w:tcPr>
            <w:tcW w:w="0" w:type="auto"/>
            <w:shd w:val="clear" w:color="auto" w:fill="auto"/>
            <w:vAlign w:val="bottom"/>
          </w:tcPr>
          <w:p w14:paraId="74DDF9E2" w14:textId="77777777" w:rsidR="00584EC1" w:rsidRDefault="00584EC1">
            <w:pPr>
              <w:rPr>
                <w:rFonts w:ascii="宋体"/>
                <w:vanish/>
              </w:rPr>
            </w:pPr>
          </w:p>
        </w:tc>
        <w:tc>
          <w:tcPr>
            <w:tcW w:w="0" w:type="auto"/>
            <w:gridSpan w:val="3"/>
            <w:shd w:val="clear" w:color="auto" w:fill="auto"/>
            <w:tcMar>
              <w:top w:w="0" w:type="dxa"/>
              <w:left w:w="20" w:type="dxa"/>
              <w:bottom w:w="0" w:type="dxa"/>
              <w:right w:w="20" w:type="dxa"/>
            </w:tcMar>
            <w:vAlign w:val="bottom"/>
          </w:tcPr>
          <w:p w14:paraId="74DDF9E3"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9E4"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9E5"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9E6"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9E7"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9E8" w14:textId="77777777" w:rsidR="00584EC1" w:rsidRDefault="00584EC1">
            <w:pPr>
              <w:rPr>
                <w:rFonts w:ascii="宋体"/>
              </w:rPr>
            </w:pPr>
          </w:p>
        </w:tc>
        <w:tc>
          <w:tcPr>
            <w:tcW w:w="0" w:type="auto"/>
            <w:gridSpan w:val="3"/>
            <w:shd w:val="clear" w:color="auto" w:fill="auto"/>
            <w:vAlign w:val="bottom"/>
          </w:tcPr>
          <w:p w14:paraId="74DDF9E9" w14:textId="77777777" w:rsidR="00584EC1" w:rsidRDefault="00584EC1">
            <w:pPr>
              <w:rPr>
                <w:rFonts w:ascii="宋体"/>
                <w:vanish/>
              </w:rPr>
            </w:pPr>
          </w:p>
        </w:tc>
        <w:tc>
          <w:tcPr>
            <w:tcW w:w="0" w:type="auto"/>
            <w:gridSpan w:val="3"/>
            <w:shd w:val="clear" w:color="auto" w:fill="auto"/>
            <w:vAlign w:val="bottom"/>
          </w:tcPr>
          <w:p w14:paraId="74DDF9EA" w14:textId="77777777" w:rsidR="00584EC1" w:rsidRDefault="00584EC1">
            <w:pPr>
              <w:rPr>
                <w:rFonts w:ascii="宋体"/>
                <w:vanish/>
              </w:rPr>
            </w:pPr>
          </w:p>
        </w:tc>
      </w:tr>
      <w:tr w:rsidR="00584EC1" w14:paraId="74DDF9FA" w14:textId="77777777">
        <w:tc>
          <w:tcPr>
            <w:tcW w:w="0" w:type="auto"/>
            <w:gridSpan w:val="3"/>
            <w:shd w:val="clear" w:color="auto" w:fill="auto"/>
            <w:tcMar>
              <w:top w:w="40" w:type="dxa"/>
              <w:left w:w="20" w:type="dxa"/>
              <w:bottom w:w="40" w:type="dxa"/>
              <w:right w:w="20" w:type="dxa"/>
            </w:tcMar>
            <w:vAlign w:val="bottom"/>
          </w:tcPr>
          <w:p w14:paraId="74DDF9EC" w14:textId="77777777" w:rsidR="00584EC1" w:rsidRDefault="00871F8D">
            <w:pPr>
              <w:textAlignment w:val="bottom"/>
            </w:pPr>
            <w:r>
              <w:rPr>
                <w:rFonts w:ascii="Arial" w:eastAsia="宋体" w:hAnsi="Arial" w:cs="Arial"/>
                <w:b/>
                <w:bCs/>
                <w:color w:val="000000"/>
                <w:sz w:val="13"/>
                <w:szCs w:val="13"/>
              </w:rPr>
              <w:t>Derivatives designated as net investment hedges:</w:t>
            </w:r>
          </w:p>
        </w:tc>
        <w:tc>
          <w:tcPr>
            <w:tcW w:w="0" w:type="auto"/>
            <w:gridSpan w:val="3"/>
            <w:shd w:val="clear" w:color="auto" w:fill="auto"/>
            <w:tcMar>
              <w:top w:w="0" w:type="dxa"/>
              <w:left w:w="20" w:type="dxa"/>
              <w:bottom w:w="0" w:type="dxa"/>
              <w:right w:w="20" w:type="dxa"/>
            </w:tcMar>
            <w:vAlign w:val="bottom"/>
          </w:tcPr>
          <w:p w14:paraId="74DDF9ED"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9EE"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9EF" w14:textId="77777777" w:rsidR="00584EC1" w:rsidRDefault="00584EC1">
            <w:pPr>
              <w:rPr>
                <w:rFonts w:ascii="宋体"/>
              </w:rPr>
            </w:pPr>
          </w:p>
        </w:tc>
        <w:tc>
          <w:tcPr>
            <w:tcW w:w="0" w:type="auto"/>
            <w:shd w:val="clear" w:color="auto" w:fill="auto"/>
            <w:vAlign w:val="bottom"/>
          </w:tcPr>
          <w:p w14:paraId="74DDF9F0" w14:textId="77777777" w:rsidR="00584EC1" w:rsidRDefault="00584EC1">
            <w:pPr>
              <w:rPr>
                <w:rFonts w:ascii="宋体"/>
                <w:vanish/>
              </w:rPr>
            </w:pPr>
          </w:p>
        </w:tc>
        <w:tc>
          <w:tcPr>
            <w:tcW w:w="0" w:type="auto"/>
            <w:shd w:val="clear" w:color="auto" w:fill="auto"/>
            <w:vAlign w:val="bottom"/>
          </w:tcPr>
          <w:p w14:paraId="74DDF9F1" w14:textId="77777777" w:rsidR="00584EC1" w:rsidRDefault="00584EC1">
            <w:pPr>
              <w:rPr>
                <w:rFonts w:ascii="宋体"/>
                <w:vanish/>
              </w:rPr>
            </w:pPr>
          </w:p>
        </w:tc>
        <w:tc>
          <w:tcPr>
            <w:tcW w:w="0" w:type="auto"/>
            <w:gridSpan w:val="3"/>
            <w:shd w:val="clear" w:color="auto" w:fill="auto"/>
            <w:tcMar>
              <w:top w:w="0" w:type="dxa"/>
              <w:left w:w="20" w:type="dxa"/>
              <w:bottom w:w="0" w:type="dxa"/>
              <w:right w:w="20" w:type="dxa"/>
            </w:tcMar>
            <w:vAlign w:val="bottom"/>
          </w:tcPr>
          <w:p w14:paraId="74DDF9F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9F3"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9F4"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9F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9F6"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9F7" w14:textId="77777777" w:rsidR="00584EC1" w:rsidRDefault="00584EC1">
            <w:pPr>
              <w:rPr>
                <w:rFonts w:ascii="宋体"/>
              </w:rPr>
            </w:pPr>
          </w:p>
        </w:tc>
        <w:tc>
          <w:tcPr>
            <w:tcW w:w="0" w:type="auto"/>
            <w:gridSpan w:val="3"/>
            <w:shd w:val="clear" w:color="auto" w:fill="auto"/>
            <w:vAlign w:val="bottom"/>
          </w:tcPr>
          <w:p w14:paraId="74DDF9F8" w14:textId="77777777" w:rsidR="00584EC1" w:rsidRDefault="00584EC1">
            <w:pPr>
              <w:rPr>
                <w:rFonts w:ascii="宋体"/>
                <w:vanish/>
              </w:rPr>
            </w:pPr>
          </w:p>
        </w:tc>
        <w:tc>
          <w:tcPr>
            <w:tcW w:w="0" w:type="auto"/>
            <w:gridSpan w:val="3"/>
            <w:shd w:val="clear" w:color="auto" w:fill="auto"/>
            <w:vAlign w:val="bottom"/>
          </w:tcPr>
          <w:p w14:paraId="74DDF9F9" w14:textId="77777777" w:rsidR="00584EC1" w:rsidRDefault="00584EC1">
            <w:pPr>
              <w:rPr>
                <w:rFonts w:ascii="宋体"/>
                <w:vanish/>
              </w:rPr>
            </w:pPr>
          </w:p>
        </w:tc>
      </w:tr>
      <w:tr w:rsidR="00584EC1" w14:paraId="74DDFA11" w14:textId="77777777">
        <w:tc>
          <w:tcPr>
            <w:tcW w:w="0" w:type="auto"/>
            <w:gridSpan w:val="3"/>
            <w:shd w:val="clear" w:color="auto" w:fill="CCEEFF"/>
            <w:tcMar>
              <w:top w:w="40" w:type="dxa"/>
              <w:left w:w="20" w:type="dxa"/>
              <w:bottom w:w="40" w:type="dxa"/>
              <w:right w:w="20" w:type="dxa"/>
            </w:tcMar>
            <w:vAlign w:val="bottom"/>
          </w:tcPr>
          <w:p w14:paraId="74DDF9FB" w14:textId="77777777" w:rsidR="00584EC1" w:rsidRDefault="00871F8D">
            <w:pPr>
              <w:textAlignment w:val="bottom"/>
            </w:pPr>
            <w:r>
              <w:rPr>
                <w:rFonts w:ascii="Arial" w:eastAsia="宋体" w:hAnsi="Arial" w:cs="Arial"/>
                <w:color w:val="000000"/>
                <w:sz w:val="13"/>
                <w:szCs w:val="13"/>
              </w:rPr>
              <w:t xml:space="preserve">Foreign </w:t>
            </w:r>
            <w:r>
              <w:rPr>
                <w:rFonts w:ascii="Arial" w:eastAsia="宋体" w:hAnsi="Arial" w:cs="Arial"/>
                <w:color w:val="000000"/>
                <w:sz w:val="13"/>
                <w:szCs w:val="13"/>
              </w:rPr>
              <w:t>exchange contracts</w:t>
            </w:r>
          </w:p>
        </w:tc>
        <w:tc>
          <w:tcPr>
            <w:tcW w:w="0" w:type="auto"/>
            <w:shd w:val="clear" w:color="auto" w:fill="CCEEFF"/>
            <w:tcMar>
              <w:top w:w="40" w:type="dxa"/>
              <w:left w:w="20" w:type="dxa"/>
              <w:bottom w:w="40" w:type="dxa"/>
              <w:right w:w="0" w:type="dxa"/>
            </w:tcMar>
            <w:vAlign w:val="bottom"/>
          </w:tcPr>
          <w:p w14:paraId="74DDF9FC" w14:textId="77777777" w:rsidR="00584EC1" w:rsidRDefault="00871F8D">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4DDF9FD" w14:textId="77777777" w:rsidR="00584EC1" w:rsidRDefault="00871F8D">
            <w:pPr>
              <w:jc w:val="right"/>
              <w:textAlignment w:val="bottom"/>
            </w:pPr>
            <w:r>
              <w:rPr>
                <w:rFonts w:ascii="Arial" w:eastAsia="宋体" w:hAnsi="Arial" w:cs="Arial"/>
                <w:b/>
                <w:bCs/>
                <w:color w:val="000000"/>
                <w:sz w:val="13"/>
                <w:szCs w:val="13"/>
              </w:rPr>
              <w:t>222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F9F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9FF"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FA00" w14:textId="77777777" w:rsidR="00584EC1" w:rsidRDefault="00871F8D">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74DDFA01" w14:textId="77777777" w:rsidR="00584EC1" w:rsidRDefault="00871F8D">
            <w:pPr>
              <w:jc w:val="right"/>
              <w:textAlignment w:val="bottom"/>
            </w:pPr>
            <w:r>
              <w:rPr>
                <w:rFonts w:ascii="Arial" w:eastAsia="宋体" w:hAnsi="Arial" w:cs="Arial"/>
                <w:color w:val="000000"/>
                <w:sz w:val="13"/>
                <w:szCs w:val="13"/>
              </w:rPr>
              <w:t>(100)</w:t>
            </w:r>
          </w:p>
        </w:tc>
        <w:tc>
          <w:tcPr>
            <w:tcW w:w="0" w:type="auto"/>
            <w:shd w:val="clear" w:color="auto" w:fill="CCEEFF"/>
            <w:tcMar>
              <w:top w:w="40" w:type="dxa"/>
              <w:left w:w="0" w:type="dxa"/>
              <w:bottom w:w="40" w:type="dxa"/>
              <w:right w:w="20" w:type="dxa"/>
            </w:tcMar>
            <w:vAlign w:val="bottom"/>
          </w:tcPr>
          <w:p w14:paraId="74DDFA02" w14:textId="77777777" w:rsidR="00584EC1" w:rsidRDefault="00584EC1">
            <w:pPr>
              <w:jc w:val="right"/>
              <w:rPr>
                <w:rFonts w:ascii="宋体"/>
              </w:rPr>
            </w:pPr>
          </w:p>
        </w:tc>
        <w:tc>
          <w:tcPr>
            <w:tcW w:w="0" w:type="auto"/>
            <w:shd w:val="clear" w:color="auto" w:fill="auto"/>
            <w:vAlign w:val="bottom"/>
          </w:tcPr>
          <w:p w14:paraId="74DDFA03" w14:textId="77777777" w:rsidR="00584EC1" w:rsidRDefault="00584EC1">
            <w:pPr>
              <w:rPr>
                <w:rFonts w:ascii="宋体"/>
                <w:vanish/>
              </w:rPr>
            </w:pPr>
          </w:p>
        </w:tc>
        <w:tc>
          <w:tcPr>
            <w:tcW w:w="0" w:type="auto"/>
            <w:shd w:val="clear" w:color="auto" w:fill="auto"/>
            <w:vAlign w:val="bottom"/>
          </w:tcPr>
          <w:p w14:paraId="74DDFA04" w14:textId="77777777" w:rsidR="00584EC1" w:rsidRDefault="00584EC1">
            <w:pPr>
              <w:rPr>
                <w:rFonts w:ascii="宋体"/>
                <w:vanish/>
              </w:rPr>
            </w:pPr>
          </w:p>
        </w:tc>
        <w:tc>
          <w:tcPr>
            <w:tcW w:w="0" w:type="auto"/>
            <w:gridSpan w:val="3"/>
            <w:shd w:val="clear" w:color="auto" w:fill="CCEEFF"/>
            <w:tcMar>
              <w:top w:w="0" w:type="dxa"/>
              <w:left w:w="20" w:type="dxa"/>
              <w:bottom w:w="0" w:type="dxa"/>
              <w:right w:w="20" w:type="dxa"/>
            </w:tcMar>
            <w:vAlign w:val="bottom"/>
          </w:tcPr>
          <w:p w14:paraId="74DDFA05" w14:textId="77777777" w:rsidR="00584EC1" w:rsidRDefault="00584EC1">
            <w:pPr>
              <w:rPr>
                <w:rFonts w:ascii="宋体"/>
              </w:rPr>
            </w:pPr>
          </w:p>
        </w:tc>
        <w:tc>
          <w:tcPr>
            <w:tcW w:w="0" w:type="auto"/>
            <w:gridSpan w:val="3"/>
            <w:shd w:val="clear" w:color="auto" w:fill="CCEEFF"/>
            <w:tcMar>
              <w:top w:w="40" w:type="dxa"/>
              <w:left w:w="20" w:type="dxa"/>
              <w:bottom w:w="40" w:type="dxa"/>
              <w:right w:w="20" w:type="dxa"/>
            </w:tcMar>
            <w:vAlign w:val="bottom"/>
          </w:tcPr>
          <w:p w14:paraId="74DDFA06" w14:textId="77777777" w:rsidR="00584EC1" w:rsidRDefault="00871F8D">
            <w:pPr>
              <w:jc w:val="center"/>
              <w:textAlignment w:val="bottom"/>
            </w:pPr>
            <w:r>
              <w:rPr>
                <w:rFonts w:ascii="Arial" w:eastAsia="宋体" w:hAnsi="Arial" w:cs="Arial"/>
                <w:color w:val="000000"/>
                <w:sz w:val="13"/>
                <w:szCs w:val="13"/>
              </w:rPr>
              <w:t>Gains (losses) related to investment securities, net</w:t>
            </w:r>
          </w:p>
        </w:tc>
        <w:tc>
          <w:tcPr>
            <w:tcW w:w="0" w:type="auto"/>
            <w:gridSpan w:val="3"/>
            <w:shd w:val="clear" w:color="auto" w:fill="CCEEFF"/>
            <w:tcMar>
              <w:top w:w="0" w:type="dxa"/>
              <w:left w:w="20" w:type="dxa"/>
              <w:bottom w:w="0" w:type="dxa"/>
              <w:right w:w="20" w:type="dxa"/>
            </w:tcMar>
            <w:vAlign w:val="bottom"/>
          </w:tcPr>
          <w:p w14:paraId="74DDFA07"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FA08" w14:textId="77777777" w:rsidR="00584EC1" w:rsidRDefault="00871F8D">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4DDFA09" w14:textId="77777777" w:rsidR="00584EC1" w:rsidRDefault="00871F8D">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FA0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A0B"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FA0C" w14:textId="77777777" w:rsidR="00584EC1" w:rsidRDefault="00871F8D">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74DDFA0D" w14:textId="77777777" w:rsidR="00584EC1" w:rsidRDefault="00871F8D">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DFA0E" w14:textId="77777777" w:rsidR="00584EC1" w:rsidRDefault="00584EC1">
            <w:pPr>
              <w:jc w:val="right"/>
              <w:rPr>
                <w:rFonts w:ascii="宋体"/>
              </w:rPr>
            </w:pPr>
          </w:p>
        </w:tc>
        <w:tc>
          <w:tcPr>
            <w:tcW w:w="0" w:type="auto"/>
            <w:gridSpan w:val="3"/>
            <w:shd w:val="clear" w:color="auto" w:fill="auto"/>
            <w:vAlign w:val="bottom"/>
          </w:tcPr>
          <w:p w14:paraId="74DDFA0F" w14:textId="77777777" w:rsidR="00584EC1" w:rsidRDefault="00584EC1">
            <w:pPr>
              <w:rPr>
                <w:rFonts w:ascii="宋体"/>
                <w:vanish/>
              </w:rPr>
            </w:pPr>
          </w:p>
        </w:tc>
        <w:tc>
          <w:tcPr>
            <w:tcW w:w="0" w:type="auto"/>
            <w:gridSpan w:val="3"/>
            <w:shd w:val="clear" w:color="auto" w:fill="auto"/>
            <w:vAlign w:val="bottom"/>
          </w:tcPr>
          <w:p w14:paraId="74DDFA10" w14:textId="77777777" w:rsidR="00584EC1" w:rsidRDefault="00584EC1">
            <w:pPr>
              <w:rPr>
                <w:rFonts w:ascii="宋体"/>
                <w:vanish/>
              </w:rPr>
            </w:pPr>
          </w:p>
        </w:tc>
      </w:tr>
      <w:tr w:rsidR="00584EC1" w14:paraId="74DDFA24" w14:textId="77777777">
        <w:tc>
          <w:tcPr>
            <w:tcW w:w="0" w:type="auto"/>
            <w:gridSpan w:val="3"/>
            <w:shd w:val="clear" w:color="auto" w:fill="FFFFFF"/>
            <w:tcMar>
              <w:top w:w="40" w:type="dxa"/>
              <w:left w:w="20" w:type="dxa"/>
              <w:bottom w:w="40" w:type="dxa"/>
              <w:right w:w="20" w:type="dxa"/>
            </w:tcMar>
            <w:vAlign w:val="bottom"/>
          </w:tcPr>
          <w:p w14:paraId="74DDFA12" w14:textId="77777777" w:rsidR="00584EC1" w:rsidRDefault="00871F8D">
            <w:pPr>
              <w:textAlignment w:val="bottom"/>
            </w:pPr>
            <w:r>
              <w:rPr>
                <w:rFonts w:ascii="Arial" w:eastAsia="宋体" w:hAnsi="Arial" w:cs="Arial"/>
                <w:color w:val="000000"/>
                <w:sz w:val="13"/>
                <w:szCs w:val="13"/>
              </w:rPr>
              <w:t>Total derivatives designated as net investment hedges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FA13" w14:textId="77777777" w:rsidR="00584EC1" w:rsidRDefault="00871F8D">
            <w:pPr>
              <w:jc w:val="right"/>
              <w:textAlignment w:val="bottom"/>
            </w:pPr>
            <w:r>
              <w:rPr>
                <w:rFonts w:ascii="Arial" w:eastAsia="宋体" w:hAnsi="Arial" w:cs="Arial"/>
                <w:b/>
                <w:bCs/>
                <w:color w:val="000000"/>
                <w:sz w:val="13"/>
                <w:szCs w:val="13"/>
              </w:rPr>
              <w:t>222</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FA1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A15"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FA16" w14:textId="77777777" w:rsidR="00584EC1" w:rsidRDefault="00871F8D">
            <w:pPr>
              <w:jc w:val="right"/>
              <w:textAlignment w:val="bottom"/>
            </w:pPr>
            <w:r>
              <w:rPr>
                <w:rFonts w:ascii="Arial" w:eastAsia="宋体" w:hAnsi="Arial" w:cs="Arial"/>
                <w:color w:val="000000"/>
                <w:sz w:val="13"/>
                <w:szCs w:val="13"/>
              </w:rPr>
              <w:t>(100)</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FA17" w14:textId="77777777" w:rsidR="00584EC1" w:rsidRDefault="00584EC1">
            <w:pPr>
              <w:jc w:val="right"/>
              <w:rPr>
                <w:rFonts w:ascii="宋体"/>
              </w:rPr>
            </w:pPr>
          </w:p>
        </w:tc>
        <w:tc>
          <w:tcPr>
            <w:tcW w:w="0" w:type="auto"/>
            <w:shd w:val="clear" w:color="auto" w:fill="auto"/>
            <w:vAlign w:val="bottom"/>
          </w:tcPr>
          <w:p w14:paraId="74DDFA18" w14:textId="77777777" w:rsidR="00584EC1" w:rsidRDefault="00584EC1">
            <w:pPr>
              <w:rPr>
                <w:rFonts w:ascii="宋体"/>
                <w:vanish/>
              </w:rPr>
            </w:pPr>
          </w:p>
        </w:tc>
        <w:tc>
          <w:tcPr>
            <w:tcW w:w="0" w:type="auto"/>
            <w:shd w:val="clear" w:color="auto" w:fill="auto"/>
            <w:vAlign w:val="bottom"/>
          </w:tcPr>
          <w:p w14:paraId="74DDFA19" w14:textId="77777777" w:rsidR="00584EC1" w:rsidRDefault="00584EC1">
            <w:pPr>
              <w:rPr>
                <w:rFonts w:ascii="宋体"/>
                <w:vanish/>
              </w:rPr>
            </w:pPr>
          </w:p>
        </w:tc>
        <w:tc>
          <w:tcPr>
            <w:tcW w:w="0" w:type="auto"/>
            <w:gridSpan w:val="3"/>
            <w:shd w:val="clear" w:color="auto" w:fill="FFFFFF"/>
            <w:tcMar>
              <w:top w:w="0" w:type="dxa"/>
              <w:left w:w="20" w:type="dxa"/>
              <w:bottom w:w="0" w:type="dxa"/>
              <w:right w:w="20" w:type="dxa"/>
            </w:tcMar>
            <w:vAlign w:val="bottom"/>
          </w:tcPr>
          <w:p w14:paraId="74DDFA1A"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FA1B"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FA1C"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FA1D" w14:textId="77777777" w:rsidR="00584EC1" w:rsidRDefault="00871F8D">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FA1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A1F"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FA20" w14:textId="77777777" w:rsidR="00584EC1" w:rsidRDefault="00871F8D">
            <w:pPr>
              <w:jc w:val="right"/>
              <w:textAlignment w:val="bottom"/>
            </w:pP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FA21" w14:textId="77777777" w:rsidR="00584EC1" w:rsidRDefault="00584EC1">
            <w:pPr>
              <w:jc w:val="right"/>
              <w:rPr>
                <w:rFonts w:ascii="宋体"/>
              </w:rPr>
            </w:pPr>
          </w:p>
        </w:tc>
        <w:tc>
          <w:tcPr>
            <w:tcW w:w="0" w:type="auto"/>
            <w:gridSpan w:val="3"/>
            <w:shd w:val="clear" w:color="auto" w:fill="auto"/>
            <w:vAlign w:val="bottom"/>
          </w:tcPr>
          <w:p w14:paraId="74DDFA22" w14:textId="77777777" w:rsidR="00584EC1" w:rsidRDefault="00584EC1">
            <w:pPr>
              <w:rPr>
                <w:rFonts w:ascii="宋体"/>
                <w:vanish/>
              </w:rPr>
            </w:pPr>
          </w:p>
        </w:tc>
        <w:tc>
          <w:tcPr>
            <w:tcW w:w="0" w:type="auto"/>
            <w:gridSpan w:val="3"/>
            <w:shd w:val="clear" w:color="auto" w:fill="auto"/>
            <w:vAlign w:val="bottom"/>
          </w:tcPr>
          <w:p w14:paraId="74DDFA23" w14:textId="77777777" w:rsidR="00584EC1" w:rsidRDefault="00584EC1">
            <w:pPr>
              <w:rPr>
                <w:rFonts w:ascii="宋体"/>
                <w:vanish/>
              </w:rPr>
            </w:pPr>
          </w:p>
        </w:tc>
      </w:tr>
      <w:tr w:rsidR="00584EC1" w14:paraId="74DDFA33" w14:textId="77777777">
        <w:trPr>
          <w:hidden/>
        </w:trPr>
        <w:tc>
          <w:tcPr>
            <w:tcW w:w="0" w:type="auto"/>
            <w:gridSpan w:val="3"/>
            <w:shd w:val="clear" w:color="auto" w:fill="auto"/>
            <w:vAlign w:val="bottom"/>
          </w:tcPr>
          <w:p w14:paraId="74DDFA25" w14:textId="77777777" w:rsidR="00584EC1" w:rsidRDefault="00584EC1">
            <w:pPr>
              <w:rPr>
                <w:rFonts w:ascii="宋体"/>
                <w:vanish/>
              </w:rPr>
            </w:pPr>
          </w:p>
        </w:tc>
        <w:tc>
          <w:tcPr>
            <w:tcW w:w="0" w:type="auto"/>
            <w:gridSpan w:val="3"/>
            <w:shd w:val="clear" w:color="auto" w:fill="auto"/>
            <w:vAlign w:val="bottom"/>
          </w:tcPr>
          <w:p w14:paraId="74DDFA26" w14:textId="77777777" w:rsidR="00584EC1" w:rsidRDefault="00584EC1">
            <w:pPr>
              <w:rPr>
                <w:rFonts w:ascii="宋体"/>
                <w:vanish/>
              </w:rPr>
            </w:pPr>
          </w:p>
        </w:tc>
        <w:tc>
          <w:tcPr>
            <w:tcW w:w="0" w:type="auto"/>
            <w:gridSpan w:val="3"/>
            <w:shd w:val="clear" w:color="auto" w:fill="auto"/>
            <w:vAlign w:val="bottom"/>
          </w:tcPr>
          <w:p w14:paraId="74DDFA27" w14:textId="77777777" w:rsidR="00584EC1" w:rsidRDefault="00584EC1">
            <w:pPr>
              <w:rPr>
                <w:rFonts w:ascii="宋体"/>
                <w:vanish/>
              </w:rPr>
            </w:pPr>
          </w:p>
        </w:tc>
        <w:tc>
          <w:tcPr>
            <w:tcW w:w="0" w:type="auto"/>
            <w:gridSpan w:val="3"/>
            <w:shd w:val="clear" w:color="auto" w:fill="auto"/>
            <w:vAlign w:val="bottom"/>
          </w:tcPr>
          <w:p w14:paraId="74DDFA28" w14:textId="77777777" w:rsidR="00584EC1" w:rsidRDefault="00584EC1">
            <w:pPr>
              <w:rPr>
                <w:rFonts w:ascii="宋体"/>
                <w:vanish/>
              </w:rPr>
            </w:pPr>
          </w:p>
        </w:tc>
        <w:tc>
          <w:tcPr>
            <w:tcW w:w="0" w:type="auto"/>
            <w:shd w:val="clear" w:color="auto" w:fill="auto"/>
            <w:vAlign w:val="bottom"/>
          </w:tcPr>
          <w:p w14:paraId="74DDFA29" w14:textId="77777777" w:rsidR="00584EC1" w:rsidRDefault="00584EC1">
            <w:pPr>
              <w:rPr>
                <w:rFonts w:ascii="宋体"/>
                <w:vanish/>
              </w:rPr>
            </w:pPr>
          </w:p>
        </w:tc>
        <w:tc>
          <w:tcPr>
            <w:tcW w:w="0" w:type="auto"/>
            <w:shd w:val="clear" w:color="auto" w:fill="auto"/>
            <w:vAlign w:val="bottom"/>
          </w:tcPr>
          <w:p w14:paraId="74DDFA2A" w14:textId="77777777" w:rsidR="00584EC1" w:rsidRDefault="00584EC1">
            <w:pPr>
              <w:rPr>
                <w:rFonts w:ascii="宋体"/>
                <w:vanish/>
              </w:rPr>
            </w:pPr>
          </w:p>
        </w:tc>
        <w:tc>
          <w:tcPr>
            <w:tcW w:w="0" w:type="auto"/>
            <w:gridSpan w:val="3"/>
            <w:shd w:val="clear" w:color="auto" w:fill="auto"/>
            <w:vAlign w:val="bottom"/>
          </w:tcPr>
          <w:p w14:paraId="74DDFA2B" w14:textId="77777777" w:rsidR="00584EC1" w:rsidRDefault="00584EC1">
            <w:pPr>
              <w:rPr>
                <w:rFonts w:ascii="宋体"/>
                <w:vanish/>
              </w:rPr>
            </w:pPr>
          </w:p>
        </w:tc>
        <w:tc>
          <w:tcPr>
            <w:tcW w:w="0" w:type="auto"/>
            <w:gridSpan w:val="3"/>
            <w:shd w:val="clear" w:color="auto" w:fill="auto"/>
            <w:vAlign w:val="bottom"/>
          </w:tcPr>
          <w:p w14:paraId="74DDFA2C" w14:textId="77777777" w:rsidR="00584EC1" w:rsidRDefault="00584EC1">
            <w:pPr>
              <w:rPr>
                <w:rFonts w:ascii="宋体"/>
                <w:vanish/>
              </w:rPr>
            </w:pPr>
          </w:p>
        </w:tc>
        <w:tc>
          <w:tcPr>
            <w:tcW w:w="0" w:type="auto"/>
            <w:gridSpan w:val="3"/>
            <w:shd w:val="clear" w:color="auto" w:fill="auto"/>
            <w:vAlign w:val="bottom"/>
          </w:tcPr>
          <w:p w14:paraId="74DDFA2D" w14:textId="77777777" w:rsidR="00584EC1" w:rsidRDefault="00584EC1">
            <w:pPr>
              <w:rPr>
                <w:rFonts w:ascii="宋体"/>
                <w:vanish/>
              </w:rPr>
            </w:pPr>
          </w:p>
        </w:tc>
        <w:tc>
          <w:tcPr>
            <w:tcW w:w="0" w:type="auto"/>
            <w:gridSpan w:val="3"/>
            <w:shd w:val="clear" w:color="auto" w:fill="auto"/>
            <w:vAlign w:val="bottom"/>
          </w:tcPr>
          <w:p w14:paraId="74DDFA2E" w14:textId="77777777" w:rsidR="00584EC1" w:rsidRDefault="00584EC1">
            <w:pPr>
              <w:rPr>
                <w:rFonts w:ascii="宋体"/>
                <w:vanish/>
              </w:rPr>
            </w:pPr>
          </w:p>
        </w:tc>
        <w:tc>
          <w:tcPr>
            <w:tcW w:w="0" w:type="auto"/>
            <w:gridSpan w:val="3"/>
            <w:shd w:val="clear" w:color="auto" w:fill="auto"/>
            <w:vAlign w:val="bottom"/>
          </w:tcPr>
          <w:p w14:paraId="74DDFA2F" w14:textId="77777777" w:rsidR="00584EC1" w:rsidRDefault="00584EC1">
            <w:pPr>
              <w:rPr>
                <w:rFonts w:ascii="宋体"/>
                <w:vanish/>
              </w:rPr>
            </w:pPr>
          </w:p>
        </w:tc>
        <w:tc>
          <w:tcPr>
            <w:tcW w:w="0" w:type="auto"/>
            <w:gridSpan w:val="3"/>
            <w:shd w:val="clear" w:color="auto" w:fill="auto"/>
            <w:vAlign w:val="bottom"/>
          </w:tcPr>
          <w:p w14:paraId="74DDFA30" w14:textId="77777777" w:rsidR="00584EC1" w:rsidRDefault="00584EC1">
            <w:pPr>
              <w:rPr>
                <w:rFonts w:ascii="宋体"/>
                <w:vanish/>
              </w:rPr>
            </w:pPr>
          </w:p>
        </w:tc>
        <w:tc>
          <w:tcPr>
            <w:tcW w:w="0" w:type="auto"/>
            <w:gridSpan w:val="3"/>
            <w:shd w:val="clear" w:color="auto" w:fill="auto"/>
            <w:vAlign w:val="bottom"/>
          </w:tcPr>
          <w:p w14:paraId="74DDFA31" w14:textId="77777777" w:rsidR="00584EC1" w:rsidRDefault="00584EC1">
            <w:pPr>
              <w:rPr>
                <w:rFonts w:ascii="宋体"/>
                <w:vanish/>
              </w:rPr>
            </w:pPr>
          </w:p>
        </w:tc>
        <w:tc>
          <w:tcPr>
            <w:tcW w:w="0" w:type="auto"/>
            <w:gridSpan w:val="3"/>
            <w:shd w:val="clear" w:color="auto" w:fill="auto"/>
            <w:vAlign w:val="bottom"/>
          </w:tcPr>
          <w:p w14:paraId="74DDFA32" w14:textId="77777777" w:rsidR="00584EC1" w:rsidRDefault="00584EC1">
            <w:pPr>
              <w:rPr>
                <w:rFonts w:ascii="宋体"/>
                <w:vanish/>
              </w:rPr>
            </w:pPr>
          </w:p>
        </w:tc>
      </w:tr>
      <w:tr w:rsidR="00584EC1" w14:paraId="74DDFA4A" w14:textId="77777777">
        <w:tc>
          <w:tcPr>
            <w:tcW w:w="0" w:type="auto"/>
            <w:gridSpan w:val="3"/>
            <w:shd w:val="clear" w:color="auto" w:fill="CCEEFF"/>
            <w:tcMar>
              <w:top w:w="40" w:type="dxa"/>
              <w:left w:w="20" w:type="dxa"/>
              <w:bottom w:w="40" w:type="dxa"/>
              <w:right w:w="20" w:type="dxa"/>
            </w:tcMar>
            <w:vAlign w:val="bottom"/>
          </w:tcPr>
          <w:p w14:paraId="74DDFA34" w14:textId="77777777" w:rsidR="00584EC1" w:rsidRDefault="00871F8D">
            <w:pPr>
              <w:textAlignment w:val="bottom"/>
            </w:pPr>
            <w:r>
              <w:rPr>
                <w:rFonts w:ascii="Arial" w:eastAsia="宋体" w:hAnsi="Arial" w:cs="Arial"/>
                <w:color w:val="000000"/>
                <w:sz w:val="13"/>
                <w:szCs w:val="13"/>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FA35" w14:textId="77777777" w:rsidR="00584EC1" w:rsidRDefault="00871F8D">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FA36" w14:textId="77777777" w:rsidR="00584EC1" w:rsidRDefault="00871F8D">
            <w:pPr>
              <w:jc w:val="right"/>
              <w:textAlignment w:val="bottom"/>
            </w:pPr>
            <w:r>
              <w:rPr>
                <w:rFonts w:ascii="Arial" w:eastAsia="宋体" w:hAnsi="Arial" w:cs="Arial"/>
                <w:b/>
                <w:bCs/>
                <w:color w:val="000000"/>
                <w:sz w:val="13"/>
                <w:szCs w:val="13"/>
              </w:rPr>
              <w:t>268</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FA3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A38"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FA39" w14:textId="77777777" w:rsidR="00584EC1" w:rsidRDefault="00871F8D">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FA3A" w14:textId="77777777" w:rsidR="00584EC1" w:rsidRDefault="00871F8D">
            <w:pPr>
              <w:jc w:val="right"/>
              <w:textAlignment w:val="bottom"/>
            </w:pPr>
            <w:r>
              <w:rPr>
                <w:rFonts w:ascii="Arial" w:eastAsia="宋体" w:hAnsi="Arial" w:cs="Arial"/>
                <w:color w:val="000000"/>
                <w:sz w:val="13"/>
                <w:szCs w:val="13"/>
              </w:rPr>
              <w:t>68 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FA3B" w14:textId="77777777" w:rsidR="00584EC1" w:rsidRDefault="00584EC1">
            <w:pPr>
              <w:jc w:val="right"/>
              <w:rPr>
                <w:rFonts w:ascii="宋体"/>
              </w:rPr>
            </w:pPr>
          </w:p>
        </w:tc>
        <w:tc>
          <w:tcPr>
            <w:tcW w:w="0" w:type="auto"/>
            <w:shd w:val="clear" w:color="auto" w:fill="auto"/>
            <w:vAlign w:val="bottom"/>
          </w:tcPr>
          <w:p w14:paraId="74DDFA3C" w14:textId="77777777" w:rsidR="00584EC1" w:rsidRDefault="00584EC1">
            <w:pPr>
              <w:rPr>
                <w:rFonts w:ascii="宋体"/>
                <w:vanish/>
              </w:rPr>
            </w:pPr>
          </w:p>
        </w:tc>
        <w:tc>
          <w:tcPr>
            <w:tcW w:w="0" w:type="auto"/>
            <w:shd w:val="clear" w:color="auto" w:fill="auto"/>
            <w:vAlign w:val="bottom"/>
          </w:tcPr>
          <w:p w14:paraId="74DDFA3D" w14:textId="77777777" w:rsidR="00584EC1" w:rsidRDefault="00584EC1">
            <w:pPr>
              <w:rPr>
                <w:rFonts w:ascii="宋体"/>
                <w:vanish/>
              </w:rPr>
            </w:pPr>
          </w:p>
        </w:tc>
        <w:tc>
          <w:tcPr>
            <w:tcW w:w="0" w:type="auto"/>
            <w:gridSpan w:val="3"/>
            <w:shd w:val="clear" w:color="auto" w:fill="CCEEFF"/>
            <w:tcMar>
              <w:top w:w="0" w:type="dxa"/>
              <w:left w:w="20" w:type="dxa"/>
              <w:bottom w:w="0" w:type="dxa"/>
              <w:right w:w="20" w:type="dxa"/>
            </w:tcMar>
            <w:vAlign w:val="bottom"/>
          </w:tcPr>
          <w:p w14:paraId="74DDFA3E"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FA3F"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FA40"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FA41" w14:textId="77777777" w:rsidR="00584EC1" w:rsidRDefault="00871F8D">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FA42" w14:textId="77777777" w:rsidR="00584EC1" w:rsidRDefault="00871F8D">
            <w:pPr>
              <w:jc w:val="right"/>
              <w:textAlignment w:val="bottom"/>
            </w:pPr>
            <w:r>
              <w:rPr>
                <w:rFonts w:ascii="Arial" w:eastAsia="宋体" w:hAnsi="Arial" w:cs="Arial"/>
                <w:b/>
                <w:bCs/>
                <w:color w:val="000000"/>
                <w:sz w:val="13"/>
                <w:szCs w:val="13"/>
              </w:rPr>
              <w:t>70</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FA4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A44"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FA45" w14:textId="77777777" w:rsidR="00584EC1" w:rsidRDefault="00871F8D">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FA46" w14:textId="77777777" w:rsidR="00584EC1" w:rsidRDefault="00871F8D">
            <w:pPr>
              <w:jc w:val="right"/>
              <w:textAlignment w:val="bottom"/>
            </w:pPr>
            <w:r>
              <w:rPr>
                <w:rFonts w:ascii="Arial" w:eastAsia="宋体" w:hAnsi="Arial" w:cs="Arial"/>
                <w:color w:val="000000"/>
                <w:sz w:val="13"/>
                <w:szCs w:val="13"/>
              </w:rPr>
              <w:t>52 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FA47" w14:textId="77777777" w:rsidR="00584EC1" w:rsidRDefault="00584EC1">
            <w:pPr>
              <w:jc w:val="right"/>
              <w:rPr>
                <w:rFonts w:ascii="宋体"/>
              </w:rPr>
            </w:pPr>
          </w:p>
        </w:tc>
        <w:tc>
          <w:tcPr>
            <w:tcW w:w="0" w:type="auto"/>
            <w:gridSpan w:val="3"/>
            <w:shd w:val="clear" w:color="auto" w:fill="auto"/>
            <w:vAlign w:val="bottom"/>
          </w:tcPr>
          <w:p w14:paraId="74DDFA48" w14:textId="77777777" w:rsidR="00584EC1" w:rsidRDefault="00584EC1">
            <w:pPr>
              <w:rPr>
                <w:rFonts w:ascii="宋体"/>
                <w:vanish/>
              </w:rPr>
            </w:pPr>
          </w:p>
        </w:tc>
        <w:tc>
          <w:tcPr>
            <w:tcW w:w="0" w:type="auto"/>
            <w:gridSpan w:val="3"/>
            <w:shd w:val="clear" w:color="auto" w:fill="auto"/>
            <w:vAlign w:val="bottom"/>
          </w:tcPr>
          <w:p w14:paraId="74DDFA49" w14:textId="77777777" w:rsidR="00584EC1" w:rsidRDefault="00584EC1">
            <w:pPr>
              <w:rPr>
                <w:rFonts w:ascii="宋体"/>
                <w:vanish/>
              </w:rPr>
            </w:pPr>
          </w:p>
        </w:tc>
      </w:tr>
    </w:tbl>
    <w:p w14:paraId="74DDFA4B" w14:textId="77777777" w:rsidR="00584EC1" w:rsidRDefault="00584EC1">
      <w:pPr>
        <w:rPr>
          <w:vanish/>
        </w:rPr>
      </w:pPr>
    </w:p>
    <w:tbl>
      <w:tblPr>
        <w:tblW w:w="10260" w:type="dxa"/>
        <w:tblCellMar>
          <w:top w:w="15" w:type="dxa"/>
          <w:left w:w="15" w:type="dxa"/>
          <w:bottom w:w="15" w:type="dxa"/>
          <w:right w:w="15" w:type="dxa"/>
        </w:tblCellMar>
        <w:tblLook w:val="04A0" w:firstRow="1" w:lastRow="0" w:firstColumn="1" w:lastColumn="0" w:noHBand="0" w:noVBand="1"/>
      </w:tblPr>
      <w:tblGrid>
        <w:gridCol w:w="36"/>
        <w:gridCol w:w="2795"/>
        <w:gridCol w:w="36"/>
        <w:gridCol w:w="36"/>
        <w:gridCol w:w="1452"/>
        <w:gridCol w:w="36"/>
        <w:gridCol w:w="36"/>
        <w:gridCol w:w="1437"/>
        <w:gridCol w:w="36"/>
        <w:gridCol w:w="36"/>
        <w:gridCol w:w="2499"/>
        <w:gridCol w:w="36"/>
        <w:gridCol w:w="36"/>
        <w:gridCol w:w="1717"/>
        <w:gridCol w:w="36"/>
      </w:tblGrid>
      <w:tr w:rsidR="00584EC1" w14:paraId="74DDFA5B" w14:textId="77777777">
        <w:tc>
          <w:tcPr>
            <w:tcW w:w="20" w:type="dxa"/>
            <w:shd w:val="clear" w:color="auto" w:fill="auto"/>
            <w:vAlign w:val="bottom"/>
          </w:tcPr>
          <w:p w14:paraId="74DDFA4C" w14:textId="77777777" w:rsidR="00584EC1" w:rsidRDefault="00584EC1">
            <w:pPr>
              <w:rPr>
                <w:rFonts w:ascii="宋体"/>
              </w:rPr>
            </w:pPr>
          </w:p>
        </w:tc>
        <w:tc>
          <w:tcPr>
            <w:tcW w:w="2840" w:type="dxa"/>
            <w:shd w:val="clear" w:color="auto" w:fill="auto"/>
            <w:vAlign w:val="bottom"/>
          </w:tcPr>
          <w:p w14:paraId="74DDFA4D" w14:textId="77777777" w:rsidR="00584EC1" w:rsidRDefault="00584EC1">
            <w:pPr>
              <w:rPr>
                <w:rFonts w:ascii="宋体"/>
              </w:rPr>
            </w:pPr>
          </w:p>
        </w:tc>
        <w:tc>
          <w:tcPr>
            <w:tcW w:w="20" w:type="dxa"/>
            <w:shd w:val="clear" w:color="auto" w:fill="auto"/>
            <w:vAlign w:val="bottom"/>
          </w:tcPr>
          <w:p w14:paraId="74DDFA4E" w14:textId="77777777" w:rsidR="00584EC1" w:rsidRDefault="00584EC1">
            <w:pPr>
              <w:rPr>
                <w:rFonts w:ascii="宋体"/>
              </w:rPr>
            </w:pPr>
          </w:p>
        </w:tc>
        <w:tc>
          <w:tcPr>
            <w:tcW w:w="20" w:type="dxa"/>
            <w:shd w:val="clear" w:color="auto" w:fill="auto"/>
            <w:vAlign w:val="bottom"/>
          </w:tcPr>
          <w:p w14:paraId="74DDFA4F" w14:textId="77777777" w:rsidR="00584EC1" w:rsidRDefault="00584EC1">
            <w:pPr>
              <w:rPr>
                <w:rFonts w:ascii="宋体"/>
              </w:rPr>
            </w:pPr>
          </w:p>
        </w:tc>
        <w:tc>
          <w:tcPr>
            <w:tcW w:w="1475" w:type="dxa"/>
            <w:shd w:val="clear" w:color="auto" w:fill="auto"/>
            <w:vAlign w:val="bottom"/>
          </w:tcPr>
          <w:p w14:paraId="74DDFA50" w14:textId="77777777" w:rsidR="00584EC1" w:rsidRDefault="00584EC1">
            <w:pPr>
              <w:rPr>
                <w:rFonts w:ascii="宋体"/>
              </w:rPr>
            </w:pPr>
          </w:p>
        </w:tc>
        <w:tc>
          <w:tcPr>
            <w:tcW w:w="20" w:type="dxa"/>
            <w:shd w:val="clear" w:color="auto" w:fill="auto"/>
            <w:vAlign w:val="bottom"/>
          </w:tcPr>
          <w:p w14:paraId="74DDFA51" w14:textId="77777777" w:rsidR="00584EC1" w:rsidRDefault="00584EC1">
            <w:pPr>
              <w:rPr>
                <w:rFonts w:ascii="宋体"/>
              </w:rPr>
            </w:pPr>
          </w:p>
        </w:tc>
        <w:tc>
          <w:tcPr>
            <w:tcW w:w="20" w:type="dxa"/>
            <w:shd w:val="clear" w:color="auto" w:fill="auto"/>
            <w:vAlign w:val="bottom"/>
          </w:tcPr>
          <w:p w14:paraId="74DDFA52" w14:textId="77777777" w:rsidR="00584EC1" w:rsidRDefault="00584EC1">
            <w:pPr>
              <w:rPr>
                <w:rFonts w:ascii="宋体"/>
              </w:rPr>
            </w:pPr>
          </w:p>
        </w:tc>
        <w:tc>
          <w:tcPr>
            <w:tcW w:w="1460" w:type="dxa"/>
            <w:shd w:val="clear" w:color="auto" w:fill="auto"/>
            <w:vAlign w:val="bottom"/>
          </w:tcPr>
          <w:p w14:paraId="74DDFA53" w14:textId="77777777" w:rsidR="00584EC1" w:rsidRDefault="00584EC1">
            <w:pPr>
              <w:rPr>
                <w:rFonts w:ascii="宋体"/>
              </w:rPr>
            </w:pPr>
          </w:p>
        </w:tc>
        <w:tc>
          <w:tcPr>
            <w:tcW w:w="20" w:type="dxa"/>
            <w:shd w:val="clear" w:color="auto" w:fill="auto"/>
            <w:vAlign w:val="bottom"/>
          </w:tcPr>
          <w:p w14:paraId="74DDFA54" w14:textId="77777777" w:rsidR="00584EC1" w:rsidRDefault="00584EC1">
            <w:pPr>
              <w:rPr>
                <w:rFonts w:ascii="宋体"/>
              </w:rPr>
            </w:pPr>
          </w:p>
        </w:tc>
        <w:tc>
          <w:tcPr>
            <w:tcW w:w="20" w:type="dxa"/>
            <w:shd w:val="clear" w:color="auto" w:fill="auto"/>
            <w:vAlign w:val="bottom"/>
          </w:tcPr>
          <w:p w14:paraId="74DDFA55" w14:textId="77777777" w:rsidR="00584EC1" w:rsidRDefault="00584EC1">
            <w:pPr>
              <w:rPr>
                <w:rFonts w:ascii="宋体"/>
              </w:rPr>
            </w:pPr>
          </w:p>
        </w:tc>
        <w:tc>
          <w:tcPr>
            <w:tcW w:w="2540" w:type="dxa"/>
            <w:shd w:val="clear" w:color="auto" w:fill="auto"/>
            <w:vAlign w:val="bottom"/>
          </w:tcPr>
          <w:p w14:paraId="74DDFA56" w14:textId="77777777" w:rsidR="00584EC1" w:rsidRDefault="00584EC1">
            <w:pPr>
              <w:rPr>
                <w:rFonts w:ascii="宋体"/>
              </w:rPr>
            </w:pPr>
          </w:p>
        </w:tc>
        <w:tc>
          <w:tcPr>
            <w:tcW w:w="20" w:type="dxa"/>
            <w:shd w:val="clear" w:color="auto" w:fill="auto"/>
            <w:vAlign w:val="bottom"/>
          </w:tcPr>
          <w:p w14:paraId="74DDFA57" w14:textId="77777777" w:rsidR="00584EC1" w:rsidRDefault="00584EC1">
            <w:pPr>
              <w:rPr>
                <w:rFonts w:ascii="宋体"/>
              </w:rPr>
            </w:pPr>
          </w:p>
        </w:tc>
        <w:tc>
          <w:tcPr>
            <w:tcW w:w="20" w:type="dxa"/>
            <w:shd w:val="clear" w:color="auto" w:fill="auto"/>
            <w:vAlign w:val="bottom"/>
          </w:tcPr>
          <w:p w14:paraId="74DDFA58" w14:textId="77777777" w:rsidR="00584EC1" w:rsidRDefault="00584EC1">
            <w:pPr>
              <w:rPr>
                <w:rFonts w:ascii="宋体"/>
              </w:rPr>
            </w:pPr>
          </w:p>
        </w:tc>
        <w:tc>
          <w:tcPr>
            <w:tcW w:w="1745" w:type="dxa"/>
            <w:shd w:val="clear" w:color="auto" w:fill="auto"/>
            <w:vAlign w:val="bottom"/>
          </w:tcPr>
          <w:p w14:paraId="74DDFA59" w14:textId="77777777" w:rsidR="00584EC1" w:rsidRDefault="00584EC1">
            <w:pPr>
              <w:rPr>
                <w:rFonts w:ascii="宋体"/>
              </w:rPr>
            </w:pPr>
          </w:p>
        </w:tc>
        <w:tc>
          <w:tcPr>
            <w:tcW w:w="20" w:type="dxa"/>
            <w:shd w:val="clear" w:color="auto" w:fill="auto"/>
            <w:vAlign w:val="bottom"/>
          </w:tcPr>
          <w:p w14:paraId="74DDFA5A" w14:textId="77777777" w:rsidR="00584EC1" w:rsidRDefault="00584EC1">
            <w:pPr>
              <w:rPr>
                <w:rFonts w:ascii="宋体"/>
              </w:rPr>
            </w:pPr>
          </w:p>
        </w:tc>
      </w:tr>
      <w:tr w:rsidR="00584EC1" w14:paraId="74DDFA61"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4DDFA5C"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A5D"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A5E"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A5F"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A60" w14:textId="77777777" w:rsidR="00584EC1" w:rsidRDefault="00584EC1">
            <w:pPr>
              <w:rPr>
                <w:rFonts w:ascii="宋体"/>
              </w:rPr>
            </w:pPr>
          </w:p>
        </w:tc>
      </w:tr>
    </w:tbl>
    <w:p w14:paraId="74DDFA62" w14:textId="77777777" w:rsidR="00584EC1" w:rsidRDefault="00871F8D">
      <w:pPr>
        <w:jc w:val="both"/>
      </w:pPr>
      <w:r>
        <w:rPr>
          <w:rFonts w:ascii="Arial" w:eastAsia="宋体" w:hAnsi="Arial" w:cs="Arial"/>
          <w:color w:val="000000"/>
          <w:sz w:val="8"/>
          <w:szCs w:val="8"/>
        </w:rPr>
        <w:t xml:space="preserve">(1) </w:t>
      </w:r>
      <w:r>
        <w:rPr>
          <w:rFonts w:ascii="Arial" w:eastAsia="宋体" w:hAnsi="Arial" w:cs="Arial"/>
          <w:color w:val="000000"/>
          <w:sz w:val="13"/>
          <w:szCs w:val="13"/>
        </w:rPr>
        <w:t xml:space="preserve">As of September 30, 2021, the </w:t>
      </w:r>
      <w:r>
        <w:rPr>
          <w:rFonts w:ascii="Arial" w:eastAsia="宋体" w:hAnsi="Arial" w:cs="Arial"/>
          <w:color w:val="000000"/>
          <w:sz w:val="13"/>
          <w:szCs w:val="13"/>
        </w:rPr>
        <w:t>maximum maturity date of the underlying hedged items is approximately 5.0 years.</w:t>
      </w:r>
    </w:p>
    <w:p w14:paraId="74DDFA63" w14:textId="77777777" w:rsidR="00584EC1" w:rsidRDefault="00871F8D">
      <w:pPr>
        <w:ind w:firstLine="450"/>
        <w:jc w:val="right"/>
      </w:pPr>
      <w:r>
        <w:rPr>
          <w:rFonts w:ascii="Arial" w:eastAsia="宋体" w:hAnsi="Arial" w:cs="Arial"/>
          <w:color w:val="000000"/>
          <w:sz w:val="18"/>
          <w:szCs w:val="18"/>
        </w:rPr>
        <w:t>State Street Corporation | 79</w:t>
      </w:r>
    </w:p>
    <w:p w14:paraId="74DDFA64" w14:textId="77777777" w:rsidR="00584EC1" w:rsidRDefault="00584EC1">
      <w:pPr>
        <w:ind w:firstLine="450"/>
        <w:jc w:val="center"/>
      </w:pPr>
    </w:p>
    <w:p w14:paraId="74DDFA65" w14:textId="77777777" w:rsidR="00584EC1" w:rsidRDefault="00871F8D">
      <w:r>
        <w:pict w14:anchorId="74DE2A3D">
          <v:rect id="_x0000_i1103" style="width:415.3pt;height:1.5pt" o:hralign="center" o:hrstd="t" o:hr="t" fillcolor="#a0a0a0" stroked="f"/>
        </w:pict>
      </w:r>
    </w:p>
    <w:p w14:paraId="74DDFA66" w14:textId="77777777" w:rsidR="00584EC1" w:rsidRDefault="00871F8D">
      <w:pPr>
        <w:ind w:firstLine="450"/>
        <w:jc w:val="center"/>
      </w:pPr>
      <w:r>
        <w:rPr>
          <w:rFonts w:ascii="Arial" w:eastAsia="宋体" w:hAnsi="Arial" w:cs="Arial"/>
          <w:b/>
          <w:bCs/>
          <w:color w:val="000000"/>
          <w:sz w:val="20"/>
          <w:szCs w:val="20"/>
        </w:rPr>
        <w:t>STATE STREET CORPORATION</w:t>
      </w:r>
    </w:p>
    <w:p w14:paraId="74DDFA67" w14:textId="77777777" w:rsidR="00584EC1" w:rsidRDefault="00871F8D">
      <w:pPr>
        <w:ind w:firstLine="450"/>
        <w:jc w:val="center"/>
      </w:pPr>
      <w:r>
        <w:rPr>
          <w:rFonts w:ascii="Arial" w:eastAsia="宋体" w:hAnsi="Arial" w:cs="Arial"/>
          <w:b/>
          <w:bCs/>
          <w:color w:val="000000"/>
          <w:sz w:val="20"/>
          <w:szCs w:val="20"/>
        </w:rPr>
        <w:t>CONDENSED NOTES TO CONSOLIDATED FINANCIAL STATEMENTS</w:t>
      </w:r>
    </w:p>
    <w:p w14:paraId="74DDFA68" w14:textId="77777777" w:rsidR="00584EC1" w:rsidRDefault="00871F8D">
      <w:pPr>
        <w:ind w:firstLine="450"/>
        <w:jc w:val="center"/>
      </w:pPr>
      <w:r>
        <w:rPr>
          <w:rFonts w:ascii="Arial" w:eastAsia="宋体" w:hAnsi="Arial" w:cs="Arial"/>
          <w:b/>
          <w:bCs/>
          <w:color w:val="000000"/>
          <w:sz w:val="20"/>
          <w:szCs w:val="20"/>
        </w:rPr>
        <w:t>(UNAUDITED)</w:t>
      </w:r>
    </w:p>
    <w:p w14:paraId="74DDFA69" w14:textId="77777777" w:rsidR="00584EC1" w:rsidRDefault="00871F8D">
      <w:pPr>
        <w:spacing w:before="60"/>
        <w:jc w:val="both"/>
      </w:pPr>
      <w:r>
        <w:rPr>
          <w:rFonts w:ascii="Arial" w:eastAsia="宋体" w:hAnsi="Arial" w:cs="Arial"/>
          <w:b/>
          <w:bCs/>
          <w:i/>
          <w:iCs/>
          <w:color w:val="000000"/>
          <w:sz w:val="20"/>
          <w:szCs w:val="20"/>
        </w:rPr>
        <w:t>Derivatives Netting and Credit Contingencies</w:t>
      </w:r>
    </w:p>
    <w:p w14:paraId="74DDFA6A" w14:textId="77777777" w:rsidR="00584EC1" w:rsidRDefault="00871F8D">
      <w:pPr>
        <w:spacing w:before="60"/>
        <w:jc w:val="both"/>
      </w:pPr>
      <w:r>
        <w:rPr>
          <w:rFonts w:ascii="Arial" w:eastAsia="宋体" w:hAnsi="Arial" w:cs="Arial"/>
          <w:i/>
          <w:iCs/>
          <w:color w:val="000000"/>
          <w:sz w:val="20"/>
          <w:szCs w:val="20"/>
        </w:rPr>
        <w:t>Netting</w:t>
      </w:r>
    </w:p>
    <w:p w14:paraId="74DDFA6B" w14:textId="77777777" w:rsidR="00584EC1" w:rsidRDefault="00871F8D">
      <w:pPr>
        <w:spacing w:before="60"/>
        <w:ind w:firstLine="450"/>
        <w:jc w:val="both"/>
      </w:pPr>
      <w:r>
        <w:rPr>
          <w:rFonts w:ascii="Arial" w:eastAsia="宋体" w:hAnsi="Arial" w:cs="Arial"/>
          <w:color w:val="000000"/>
          <w:sz w:val="20"/>
          <w:szCs w:val="20"/>
        </w:rPr>
        <w:t>Derivatives receivable and payable as well as cash collateral from the same counterparty are netted in the consolidated statement of condition for those counterparties with whom we have legally binding master netting agreements in place. In addition to ca</w:t>
      </w:r>
      <w:r>
        <w:rPr>
          <w:rFonts w:ascii="Arial" w:eastAsia="宋体" w:hAnsi="Arial" w:cs="Arial"/>
          <w:color w:val="000000"/>
          <w:sz w:val="20"/>
          <w:szCs w:val="20"/>
        </w:rPr>
        <w:t>sh collateral received and transferred presented on a net basis, we also receive and transfer collateral in the form of securities, which mitigate credit risk but are not eligible for netting. Additional information on netting is provided in Note 8.</w:t>
      </w:r>
    </w:p>
    <w:p w14:paraId="74DDFA6C" w14:textId="77777777" w:rsidR="00584EC1" w:rsidRDefault="00871F8D">
      <w:pPr>
        <w:spacing w:before="60"/>
        <w:jc w:val="both"/>
      </w:pPr>
      <w:r>
        <w:rPr>
          <w:rFonts w:ascii="Arial" w:eastAsia="宋体" w:hAnsi="Arial" w:cs="Arial"/>
          <w:i/>
          <w:iCs/>
          <w:color w:val="000000"/>
          <w:sz w:val="20"/>
          <w:szCs w:val="20"/>
        </w:rPr>
        <w:t>Credit</w:t>
      </w:r>
      <w:r>
        <w:rPr>
          <w:rFonts w:ascii="Arial" w:eastAsia="宋体" w:hAnsi="Arial" w:cs="Arial"/>
          <w:i/>
          <w:iCs/>
          <w:color w:val="000000"/>
          <w:sz w:val="20"/>
          <w:szCs w:val="20"/>
        </w:rPr>
        <w:t xml:space="preserve"> Contingencies </w:t>
      </w:r>
    </w:p>
    <w:p w14:paraId="74DDFA6D" w14:textId="77777777" w:rsidR="00584EC1" w:rsidRDefault="00871F8D">
      <w:pPr>
        <w:spacing w:before="60"/>
        <w:ind w:firstLine="450"/>
        <w:jc w:val="both"/>
      </w:pPr>
      <w:r>
        <w:rPr>
          <w:rFonts w:ascii="Arial" w:eastAsia="宋体" w:hAnsi="Arial" w:cs="Arial"/>
          <w:color w:val="000000"/>
          <w:sz w:val="20"/>
          <w:szCs w:val="20"/>
        </w:rPr>
        <w:t>Certain of our derivatives are subject to master netting agreements with our derivative counterparties containing credit risk-related contingent features, which requires us to maintain an investment grade credit rating with the various cred</w:t>
      </w:r>
      <w:r>
        <w:rPr>
          <w:rFonts w:ascii="Arial" w:eastAsia="宋体" w:hAnsi="Arial" w:cs="Arial"/>
          <w:color w:val="000000"/>
          <w:sz w:val="20"/>
          <w:szCs w:val="20"/>
        </w:rPr>
        <w:t>it rating agencies. If our rating falls below investment grade, we would be in violation of the provisions, and counterparties to the derivatives could request immediate payment or demand full overnight collateralization on derivatives instruments in net l</w:t>
      </w:r>
      <w:r>
        <w:rPr>
          <w:rFonts w:ascii="Arial" w:eastAsia="宋体" w:hAnsi="Arial" w:cs="Arial"/>
          <w:color w:val="000000"/>
          <w:sz w:val="20"/>
          <w:szCs w:val="20"/>
        </w:rPr>
        <w:t>iability positions. The aggregate fair value of all derivatives with credit contingent features and in a liability position as of September 30, 2021 totaled approximately $4.76 billion, against which we provided $3.90 billion of collateral in the normal co</w:t>
      </w:r>
      <w:r>
        <w:rPr>
          <w:rFonts w:ascii="Arial" w:eastAsia="宋体" w:hAnsi="Arial" w:cs="Arial"/>
          <w:color w:val="000000"/>
          <w:sz w:val="20"/>
          <w:szCs w:val="20"/>
        </w:rPr>
        <w:t>urse of business. If our credit related contingent features underlying these agreements were triggered as of September 30, 2021, the maximum additional collateral we would be required to post to our counterparties is approximately $0.86 billion.</w:t>
      </w:r>
    </w:p>
    <w:p w14:paraId="74DDFA6E" w14:textId="77777777" w:rsidR="00584EC1" w:rsidRDefault="00871F8D">
      <w:pPr>
        <w:spacing w:before="180"/>
        <w:jc w:val="both"/>
      </w:pPr>
      <w:r>
        <w:rPr>
          <w:rFonts w:ascii="Arial" w:eastAsia="宋体" w:hAnsi="Arial" w:cs="Arial"/>
          <w:b/>
          <w:bCs/>
          <w:color w:val="000000"/>
          <w:sz w:val="20"/>
          <w:szCs w:val="20"/>
        </w:rPr>
        <w:t xml:space="preserve">Note 8. </w:t>
      </w:r>
      <w:r>
        <w:rPr>
          <w:rFonts w:ascii="Arial" w:eastAsia="宋体" w:hAnsi="Arial" w:cs="Arial"/>
          <w:b/>
          <w:bCs/>
          <w:color w:val="000000"/>
          <w:sz w:val="20"/>
          <w:szCs w:val="20"/>
        </w:rPr>
        <w:t>Offsetting Arrangements</w:t>
      </w:r>
    </w:p>
    <w:p w14:paraId="74DDFA6F" w14:textId="77777777" w:rsidR="00584EC1" w:rsidRDefault="00871F8D">
      <w:pPr>
        <w:spacing w:before="60"/>
        <w:ind w:firstLine="450"/>
        <w:jc w:val="both"/>
      </w:pPr>
      <w:r>
        <w:rPr>
          <w:rFonts w:ascii="Arial" w:eastAsia="宋体" w:hAnsi="Arial" w:cs="Arial"/>
          <w:color w:val="000000"/>
          <w:sz w:val="20"/>
          <w:szCs w:val="20"/>
        </w:rPr>
        <w:t>For additional information on our offsetting arrangements, refer to page 163 in Note 11 to the consolidated financial statements included under Item 8, Financial Statements and Supplementary Data, in our 2020 Form 10-K.</w:t>
      </w:r>
    </w:p>
    <w:p w14:paraId="74DDFA70" w14:textId="77777777" w:rsidR="00584EC1" w:rsidRDefault="00871F8D">
      <w:pPr>
        <w:spacing w:before="60"/>
        <w:ind w:firstLine="450"/>
        <w:jc w:val="both"/>
      </w:pPr>
      <w:r>
        <w:rPr>
          <w:rFonts w:ascii="Arial" w:eastAsia="宋体" w:hAnsi="Arial" w:cs="Arial"/>
          <w:color w:val="000000"/>
          <w:sz w:val="20"/>
          <w:szCs w:val="20"/>
        </w:rPr>
        <w:t>As of Septem</w:t>
      </w:r>
      <w:r>
        <w:rPr>
          <w:rFonts w:ascii="Arial" w:eastAsia="宋体" w:hAnsi="Arial" w:cs="Arial"/>
          <w:color w:val="000000"/>
          <w:sz w:val="20"/>
          <w:szCs w:val="20"/>
        </w:rPr>
        <w:t>ber 30, 2021 and December 31, 2020, the value of securities received as collateral from third parties where we are permitted to transfer or re-pledge the securities totaled $1.97 billion and $6.48 billion, respectively, and the fair value of the portion th</w:t>
      </w:r>
      <w:r>
        <w:rPr>
          <w:rFonts w:ascii="Arial" w:eastAsia="宋体" w:hAnsi="Arial" w:cs="Arial"/>
          <w:color w:val="000000"/>
          <w:sz w:val="20"/>
          <w:szCs w:val="20"/>
        </w:rPr>
        <w:t>at had been transferred or re-pledged as of the same dates was zero and $3.88 billion, respectively</w:t>
      </w:r>
      <w:r>
        <w:rPr>
          <w:rFonts w:ascii="sans-serif" w:eastAsia="宋体" w:hAnsi="sans-serif" w:cs="sans-serif"/>
          <w:color w:val="000000"/>
          <w:sz w:val="22"/>
          <w:szCs w:val="22"/>
        </w:rPr>
        <w:t>.</w:t>
      </w:r>
    </w:p>
    <w:p w14:paraId="74DDFA71" w14:textId="77777777" w:rsidR="00584EC1" w:rsidRDefault="00871F8D">
      <w:pPr>
        <w:spacing w:before="60"/>
        <w:ind w:firstLine="450"/>
        <w:jc w:val="both"/>
      </w:pPr>
      <w:r>
        <w:rPr>
          <w:rFonts w:ascii="Arial" w:eastAsia="宋体" w:hAnsi="Arial" w:cs="Arial"/>
          <w:color w:val="000000"/>
          <w:sz w:val="20"/>
          <w:szCs w:val="20"/>
        </w:rPr>
        <w:t>The following tables present information about the offsetting of assets related to derivative contracts and secured financing transactions, as of the dates</w:t>
      </w:r>
      <w:r>
        <w:rPr>
          <w:rFonts w:ascii="Arial" w:eastAsia="宋体" w:hAnsi="Arial" w:cs="Arial"/>
          <w:color w:val="000000"/>
          <w:sz w:val="20"/>
          <w:szCs w:val="20"/>
        </w:rPr>
        <w:t xml:space="preserve"> indicated:</w:t>
      </w:r>
    </w:p>
    <w:tbl>
      <w:tblPr>
        <w:tblW w:w="5000" w:type="pct"/>
        <w:tblCellMar>
          <w:top w:w="15" w:type="dxa"/>
          <w:left w:w="15" w:type="dxa"/>
          <w:bottom w:w="15" w:type="dxa"/>
          <w:right w:w="15" w:type="dxa"/>
        </w:tblCellMar>
        <w:tblLook w:val="04A0" w:firstRow="1" w:lastRow="0" w:firstColumn="1" w:lastColumn="0" w:noHBand="0" w:noVBand="1"/>
      </w:tblPr>
      <w:tblGrid>
        <w:gridCol w:w="40"/>
        <w:gridCol w:w="2097"/>
        <w:gridCol w:w="38"/>
        <w:gridCol w:w="105"/>
        <w:gridCol w:w="820"/>
        <w:gridCol w:w="36"/>
        <w:gridCol w:w="36"/>
        <w:gridCol w:w="36"/>
        <w:gridCol w:w="36"/>
        <w:gridCol w:w="105"/>
        <w:gridCol w:w="1032"/>
        <w:gridCol w:w="36"/>
        <w:gridCol w:w="36"/>
        <w:gridCol w:w="36"/>
        <w:gridCol w:w="36"/>
        <w:gridCol w:w="105"/>
        <w:gridCol w:w="1007"/>
        <w:gridCol w:w="36"/>
        <w:gridCol w:w="36"/>
        <w:gridCol w:w="36"/>
        <w:gridCol w:w="36"/>
        <w:gridCol w:w="105"/>
        <w:gridCol w:w="940"/>
        <w:gridCol w:w="37"/>
        <w:gridCol w:w="36"/>
        <w:gridCol w:w="36"/>
        <w:gridCol w:w="36"/>
        <w:gridCol w:w="105"/>
        <w:gridCol w:w="755"/>
        <w:gridCol w:w="37"/>
        <w:gridCol w:w="36"/>
        <w:gridCol w:w="36"/>
        <w:gridCol w:w="36"/>
        <w:gridCol w:w="36"/>
        <w:gridCol w:w="36"/>
        <w:gridCol w:w="36"/>
        <w:gridCol w:w="36"/>
        <w:gridCol w:w="36"/>
        <w:gridCol w:w="36"/>
        <w:gridCol w:w="36"/>
        <w:gridCol w:w="36"/>
        <w:gridCol w:w="36"/>
        <w:gridCol w:w="36"/>
      </w:tblGrid>
      <w:tr w:rsidR="00584EC1" w14:paraId="74DDFA95" w14:textId="77777777">
        <w:tc>
          <w:tcPr>
            <w:tcW w:w="50" w:type="pct"/>
            <w:shd w:val="clear" w:color="auto" w:fill="auto"/>
            <w:vAlign w:val="bottom"/>
          </w:tcPr>
          <w:p w14:paraId="74DDFA72" w14:textId="77777777" w:rsidR="00584EC1" w:rsidRDefault="00584EC1">
            <w:pPr>
              <w:rPr>
                <w:rFonts w:ascii="宋体"/>
              </w:rPr>
            </w:pPr>
          </w:p>
        </w:tc>
        <w:tc>
          <w:tcPr>
            <w:tcW w:w="1370" w:type="pct"/>
            <w:shd w:val="clear" w:color="auto" w:fill="auto"/>
            <w:vAlign w:val="bottom"/>
          </w:tcPr>
          <w:p w14:paraId="74DDFA73" w14:textId="77777777" w:rsidR="00584EC1" w:rsidRDefault="00584EC1">
            <w:pPr>
              <w:rPr>
                <w:rFonts w:ascii="宋体"/>
              </w:rPr>
            </w:pPr>
          </w:p>
        </w:tc>
        <w:tc>
          <w:tcPr>
            <w:tcW w:w="5" w:type="pct"/>
            <w:shd w:val="clear" w:color="auto" w:fill="auto"/>
            <w:vAlign w:val="bottom"/>
          </w:tcPr>
          <w:p w14:paraId="74DDFA74" w14:textId="77777777" w:rsidR="00584EC1" w:rsidRDefault="00584EC1">
            <w:pPr>
              <w:rPr>
                <w:rFonts w:ascii="宋体"/>
              </w:rPr>
            </w:pPr>
          </w:p>
        </w:tc>
        <w:tc>
          <w:tcPr>
            <w:tcW w:w="50" w:type="pct"/>
            <w:shd w:val="clear" w:color="auto" w:fill="auto"/>
            <w:vAlign w:val="bottom"/>
          </w:tcPr>
          <w:p w14:paraId="74DDFA75" w14:textId="77777777" w:rsidR="00584EC1" w:rsidRDefault="00584EC1">
            <w:pPr>
              <w:rPr>
                <w:rFonts w:ascii="宋体"/>
              </w:rPr>
            </w:pPr>
          </w:p>
        </w:tc>
        <w:tc>
          <w:tcPr>
            <w:tcW w:w="551" w:type="pct"/>
            <w:shd w:val="clear" w:color="auto" w:fill="auto"/>
            <w:vAlign w:val="bottom"/>
          </w:tcPr>
          <w:p w14:paraId="74DDFA76" w14:textId="77777777" w:rsidR="00584EC1" w:rsidRDefault="00584EC1">
            <w:pPr>
              <w:rPr>
                <w:rFonts w:ascii="宋体"/>
              </w:rPr>
            </w:pPr>
          </w:p>
        </w:tc>
        <w:tc>
          <w:tcPr>
            <w:tcW w:w="5" w:type="pct"/>
            <w:shd w:val="clear" w:color="auto" w:fill="auto"/>
            <w:vAlign w:val="bottom"/>
          </w:tcPr>
          <w:p w14:paraId="74DDFA77" w14:textId="77777777" w:rsidR="00584EC1" w:rsidRDefault="00584EC1">
            <w:pPr>
              <w:rPr>
                <w:rFonts w:ascii="宋体"/>
              </w:rPr>
            </w:pPr>
          </w:p>
        </w:tc>
        <w:tc>
          <w:tcPr>
            <w:tcW w:w="5" w:type="pct"/>
            <w:shd w:val="clear" w:color="auto" w:fill="auto"/>
            <w:vAlign w:val="bottom"/>
          </w:tcPr>
          <w:p w14:paraId="74DDFA78" w14:textId="77777777" w:rsidR="00584EC1" w:rsidRDefault="00584EC1">
            <w:pPr>
              <w:rPr>
                <w:rFonts w:ascii="宋体"/>
              </w:rPr>
            </w:pPr>
          </w:p>
        </w:tc>
        <w:tc>
          <w:tcPr>
            <w:tcW w:w="26" w:type="pct"/>
            <w:shd w:val="clear" w:color="auto" w:fill="auto"/>
            <w:vAlign w:val="bottom"/>
          </w:tcPr>
          <w:p w14:paraId="74DDFA79" w14:textId="77777777" w:rsidR="00584EC1" w:rsidRDefault="00584EC1">
            <w:pPr>
              <w:rPr>
                <w:rFonts w:ascii="宋体"/>
              </w:rPr>
            </w:pPr>
          </w:p>
        </w:tc>
        <w:tc>
          <w:tcPr>
            <w:tcW w:w="5" w:type="pct"/>
            <w:shd w:val="clear" w:color="auto" w:fill="auto"/>
            <w:vAlign w:val="bottom"/>
          </w:tcPr>
          <w:p w14:paraId="74DDFA7A" w14:textId="77777777" w:rsidR="00584EC1" w:rsidRDefault="00584EC1">
            <w:pPr>
              <w:rPr>
                <w:rFonts w:ascii="宋体"/>
              </w:rPr>
            </w:pPr>
          </w:p>
        </w:tc>
        <w:tc>
          <w:tcPr>
            <w:tcW w:w="50" w:type="pct"/>
            <w:shd w:val="clear" w:color="auto" w:fill="auto"/>
            <w:vAlign w:val="bottom"/>
          </w:tcPr>
          <w:p w14:paraId="74DDFA7B" w14:textId="77777777" w:rsidR="00584EC1" w:rsidRDefault="00584EC1">
            <w:pPr>
              <w:rPr>
                <w:rFonts w:ascii="宋体"/>
              </w:rPr>
            </w:pPr>
          </w:p>
        </w:tc>
        <w:tc>
          <w:tcPr>
            <w:tcW w:w="712" w:type="pct"/>
            <w:shd w:val="clear" w:color="auto" w:fill="auto"/>
            <w:vAlign w:val="bottom"/>
          </w:tcPr>
          <w:p w14:paraId="74DDFA7C" w14:textId="77777777" w:rsidR="00584EC1" w:rsidRDefault="00584EC1">
            <w:pPr>
              <w:rPr>
                <w:rFonts w:ascii="宋体"/>
              </w:rPr>
            </w:pPr>
          </w:p>
        </w:tc>
        <w:tc>
          <w:tcPr>
            <w:tcW w:w="5" w:type="pct"/>
            <w:shd w:val="clear" w:color="auto" w:fill="auto"/>
            <w:vAlign w:val="bottom"/>
          </w:tcPr>
          <w:p w14:paraId="74DDFA7D" w14:textId="77777777" w:rsidR="00584EC1" w:rsidRDefault="00584EC1">
            <w:pPr>
              <w:rPr>
                <w:rFonts w:ascii="宋体"/>
              </w:rPr>
            </w:pPr>
          </w:p>
        </w:tc>
        <w:tc>
          <w:tcPr>
            <w:tcW w:w="5" w:type="pct"/>
            <w:shd w:val="clear" w:color="auto" w:fill="auto"/>
            <w:vAlign w:val="bottom"/>
          </w:tcPr>
          <w:p w14:paraId="74DDFA7E" w14:textId="77777777" w:rsidR="00584EC1" w:rsidRDefault="00584EC1">
            <w:pPr>
              <w:rPr>
                <w:rFonts w:ascii="宋体"/>
              </w:rPr>
            </w:pPr>
          </w:p>
        </w:tc>
        <w:tc>
          <w:tcPr>
            <w:tcW w:w="26" w:type="pct"/>
            <w:shd w:val="clear" w:color="auto" w:fill="auto"/>
            <w:vAlign w:val="bottom"/>
          </w:tcPr>
          <w:p w14:paraId="74DDFA7F" w14:textId="77777777" w:rsidR="00584EC1" w:rsidRDefault="00584EC1">
            <w:pPr>
              <w:rPr>
                <w:rFonts w:ascii="宋体"/>
              </w:rPr>
            </w:pPr>
          </w:p>
        </w:tc>
        <w:tc>
          <w:tcPr>
            <w:tcW w:w="5" w:type="pct"/>
            <w:shd w:val="clear" w:color="auto" w:fill="auto"/>
            <w:vAlign w:val="bottom"/>
          </w:tcPr>
          <w:p w14:paraId="74DDFA80" w14:textId="77777777" w:rsidR="00584EC1" w:rsidRDefault="00584EC1">
            <w:pPr>
              <w:rPr>
                <w:rFonts w:ascii="宋体"/>
              </w:rPr>
            </w:pPr>
          </w:p>
        </w:tc>
        <w:tc>
          <w:tcPr>
            <w:tcW w:w="50" w:type="pct"/>
            <w:shd w:val="clear" w:color="auto" w:fill="auto"/>
            <w:vAlign w:val="bottom"/>
          </w:tcPr>
          <w:p w14:paraId="74DDFA81" w14:textId="77777777" w:rsidR="00584EC1" w:rsidRDefault="00584EC1">
            <w:pPr>
              <w:rPr>
                <w:rFonts w:ascii="宋体"/>
              </w:rPr>
            </w:pPr>
          </w:p>
        </w:tc>
        <w:tc>
          <w:tcPr>
            <w:tcW w:w="697" w:type="pct"/>
            <w:shd w:val="clear" w:color="auto" w:fill="auto"/>
            <w:vAlign w:val="bottom"/>
          </w:tcPr>
          <w:p w14:paraId="74DDFA82" w14:textId="77777777" w:rsidR="00584EC1" w:rsidRDefault="00584EC1">
            <w:pPr>
              <w:rPr>
                <w:rFonts w:ascii="宋体"/>
              </w:rPr>
            </w:pPr>
          </w:p>
        </w:tc>
        <w:tc>
          <w:tcPr>
            <w:tcW w:w="5" w:type="pct"/>
            <w:shd w:val="clear" w:color="auto" w:fill="auto"/>
            <w:vAlign w:val="bottom"/>
          </w:tcPr>
          <w:p w14:paraId="74DDFA83" w14:textId="77777777" w:rsidR="00584EC1" w:rsidRDefault="00584EC1">
            <w:pPr>
              <w:rPr>
                <w:rFonts w:ascii="宋体"/>
              </w:rPr>
            </w:pPr>
          </w:p>
        </w:tc>
        <w:tc>
          <w:tcPr>
            <w:tcW w:w="5" w:type="pct"/>
            <w:shd w:val="clear" w:color="auto" w:fill="auto"/>
            <w:vAlign w:val="bottom"/>
          </w:tcPr>
          <w:p w14:paraId="74DDFA84" w14:textId="77777777" w:rsidR="00584EC1" w:rsidRDefault="00584EC1">
            <w:pPr>
              <w:rPr>
                <w:rFonts w:ascii="宋体"/>
              </w:rPr>
            </w:pPr>
          </w:p>
        </w:tc>
        <w:tc>
          <w:tcPr>
            <w:tcW w:w="26" w:type="pct"/>
            <w:shd w:val="clear" w:color="auto" w:fill="auto"/>
            <w:vAlign w:val="bottom"/>
          </w:tcPr>
          <w:p w14:paraId="74DDFA85" w14:textId="77777777" w:rsidR="00584EC1" w:rsidRDefault="00584EC1">
            <w:pPr>
              <w:rPr>
                <w:rFonts w:ascii="宋体"/>
              </w:rPr>
            </w:pPr>
          </w:p>
        </w:tc>
        <w:tc>
          <w:tcPr>
            <w:tcW w:w="5" w:type="pct"/>
            <w:shd w:val="clear" w:color="auto" w:fill="auto"/>
            <w:vAlign w:val="bottom"/>
          </w:tcPr>
          <w:p w14:paraId="74DDFA86" w14:textId="77777777" w:rsidR="00584EC1" w:rsidRDefault="00584EC1">
            <w:pPr>
              <w:rPr>
                <w:rFonts w:ascii="宋体"/>
              </w:rPr>
            </w:pPr>
          </w:p>
        </w:tc>
        <w:tc>
          <w:tcPr>
            <w:tcW w:w="50" w:type="pct"/>
            <w:shd w:val="clear" w:color="auto" w:fill="auto"/>
            <w:vAlign w:val="bottom"/>
          </w:tcPr>
          <w:p w14:paraId="74DDFA87" w14:textId="77777777" w:rsidR="00584EC1" w:rsidRDefault="00584EC1">
            <w:pPr>
              <w:rPr>
                <w:rFonts w:ascii="宋体"/>
              </w:rPr>
            </w:pPr>
          </w:p>
        </w:tc>
        <w:tc>
          <w:tcPr>
            <w:tcW w:w="654" w:type="pct"/>
            <w:shd w:val="clear" w:color="auto" w:fill="auto"/>
            <w:vAlign w:val="bottom"/>
          </w:tcPr>
          <w:p w14:paraId="74DDFA88" w14:textId="77777777" w:rsidR="00584EC1" w:rsidRDefault="00584EC1">
            <w:pPr>
              <w:rPr>
                <w:rFonts w:ascii="宋体"/>
              </w:rPr>
            </w:pPr>
          </w:p>
        </w:tc>
        <w:tc>
          <w:tcPr>
            <w:tcW w:w="5" w:type="pct"/>
            <w:shd w:val="clear" w:color="auto" w:fill="auto"/>
            <w:vAlign w:val="bottom"/>
          </w:tcPr>
          <w:p w14:paraId="74DDFA89" w14:textId="77777777" w:rsidR="00584EC1" w:rsidRDefault="00584EC1">
            <w:pPr>
              <w:rPr>
                <w:rFonts w:ascii="宋体"/>
              </w:rPr>
            </w:pPr>
          </w:p>
        </w:tc>
        <w:tc>
          <w:tcPr>
            <w:tcW w:w="5" w:type="pct"/>
            <w:shd w:val="clear" w:color="auto" w:fill="auto"/>
            <w:vAlign w:val="bottom"/>
          </w:tcPr>
          <w:p w14:paraId="74DDFA8A" w14:textId="77777777" w:rsidR="00584EC1" w:rsidRDefault="00584EC1">
            <w:pPr>
              <w:rPr>
                <w:rFonts w:ascii="宋体"/>
              </w:rPr>
            </w:pPr>
          </w:p>
        </w:tc>
        <w:tc>
          <w:tcPr>
            <w:tcW w:w="26" w:type="pct"/>
            <w:shd w:val="clear" w:color="auto" w:fill="auto"/>
            <w:vAlign w:val="bottom"/>
          </w:tcPr>
          <w:p w14:paraId="74DDFA8B" w14:textId="77777777" w:rsidR="00584EC1" w:rsidRDefault="00584EC1">
            <w:pPr>
              <w:rPr>
                <w:rFonts w:ascii="宋体"/>
              </w:rPr>
            </w:pPr>
          </w:p>
        </w:tc>
        <w:tc>
          <w:tcPr>
            <w:tcW w:w="5" w:type="pct"/>
            <w:shd w:val="clear" w:color="auto" w:fill="auto"/>
            <w:vAlign w:val="bottom"/>
          </w:tcPr>
          <w:p w14:paraId="74DDFA8C" w14:textId="77777777" w:rsidR="00584EC1" w:rsidRDefault="00584EC1">
            <w:pPr>
              <w:rPr>
                <w:rFonts w:ascii="宋体"/>
              </w:rPr>
            </w:pPr>
          </w:p>
        </w:tc>
        <w:tc>
          <w:tcPr>
            <w:tcW w:w="50" w:type="pct"/>
            <w:shd w:val="clear" w:color="auto" w:fill="auto"/>
            <w:vAlign w:val="bottom"/>
          </w:tcPr>
          <w:p w14:paraId="74DDFA8D" w14:textId="77777777" w:rsidR="00584EC1" w:rsidRDefault="00584EC1">
            <w:pPr>
              <w:rPr>
                <w:rFonts w:ascii="宋体"/>
              </w:rPr>
            </w:pPr>
          </w:p>
        </w:tc>
        <w:tc>
          <w:tcPr>
            <w:tcW w:w="537" w:type="pct"/>
            <w:shd w:val="clear" w:color="auto" w:fill="auto"/>
            <w:vAlign w:val="bottom"/>
          </w:tcPr>
          <w:p w14:paraId="74DDFA8E" w14:textId="77777777" w:rsidR="00584EC1" w:rsidRDefault="00584EC1">
            <w:pPr>
              <w:rPr>
                <w:rFonts w:ascii="宋体"/>
              </w:rPr>
            </w:pPr>
          </w:p>
        </w:tc>
        <w:tc>
          <w:tcPr>
            <w:tcW w:w="5" w:type="pct"/>
            <w:shd w:val="clear" w:color="auto" w:fill="auto"/>
            <w:vAlign w:val="bottom"/>
          </w:tcPr>
          <w:p w14:paraId="74DDFA8F" w14:textId="77777777" w:rsidR="00584EC1" w:rsidRDefault="00584EC1">
            <w:pPr>
              <w:rPr>
                <w:rFonts w:ascii="宋体"/>
              </w:rPr>
            </w:pPr>
          </w:p>
        </w:tc>
        <w:tc>
          <w:tcPr>
            <w:tcW w:w="0" w:type="auto"/>
            <w:shd w:val="clear" w:color="auto" w:fill="auto"/>
            <w:vAlign w:val="bottom"/>
          </w:tcPr>
          <w:p w14:paraId="74DDFA90" w14:textId="77777777" w:rsidR="00584EC1" w:rsidRDefault="00584EC1">
            <w:pPr>
              <w:rPr>
                <w:rFonts w:ascii="宋体"/>
                <w:vanish/>
              </w:rPr>
            </w:pPr>
          </w:p>
        </w:tc>
        <w:tc>
          <w:tcPr>
            <w:tcW w:w="0" w:type="auto"/>
            <w:gridSpan w:val="3"/>
            <w:shd w:val="clear" w:color="auto" w:fill="auto"/>
            <w:vAlign w:val="bottom"/>
          </w:tcPr>
          <w:p w14:paraId="74DDFA91" w14:textId="77777777" w:rsidR="00584EC1" w:rsidRDefault="00584EC1">
            <w:pPr>
              <w:rPr>
                <w:rFonts w:ascii="宋体"/>
                <w:vanish/>
              </w:rPr>
            </w:pPr>
          </w:p>
        </w:tc>
        <w:tc>
          <w:tcPr>
            <w:tcW w:w="0" w:type="auto"/>
            <w:gridSpan w:val="3"/>
            <w:shd w:val="clear" w:color="auto" w:fill="auto"/>
            <w:vAlign w:val="bottom"/>
          </w:tcPr>
          <w:p w14:paraId="74DDFA92" w14:textId="77777777" w:rsidR="00584EC1" w:rsidRDefault="00584EC1">
            <w:pPr>
              <w:rPr>
                <w:rFonts w:ascii="宋体"/>
                <w:vanish/>
              </w:rPr>
            </w:pPr>
          </w:p>
        </w:tc>
        <w:tc>
          <w:tcPr>
            <w:tcW w:w="0" w:type="auto"/>
            <w:gridSpan w:val="3"/>
            <w:shd w:val="clear" w:color="auto" w:fill="auto"/>
            <w:vAlign w:val="bottom"/>
          </w:tcPr>
          <w:p w14:paraId="74DDFA93" w14:textId="77777777" w:rsidR="00584EC1" w:rsidRDefault="00584EC1">
            <w:pPr>
              <w:rPr>
                <w:rFonts w:ascii="宋体"/>
                <w:vanish/>
              </w:rPr>
            </w:pPr>
          </w:p>
        </w:tc>
        <w:tc>
          <w:tcPr>
            <w:tcW w:w="0" w:type="auto"/>
            <w:gridSpan w:val="3"/>
            <w:shd w:val="clear" w:color="auto" w:fill="auto"/>
            <w:vAlign w:val="bottom"/>
          </w:tcPr>
          <w:p w14:paraId="74DDFA94" w14:textId="77777777" w:rsidR="00584EC1" w:rsidRDefault="00584EC1">
            <w:pPr>
              <w:rPr>
                <w:rFonts w:ascii="宋体"/>
                <w:vanish/>
              </w:rPr>
            </w:pPr>
          </w:p>
        </w:tc>
      </w:tr>
      <w:tr w:rsidR="00584EC1" w14:paraId="74DDFAA5" w14:textId="77777777">
        <w:tc>
          <w:tcPr>
            <w:tcW w:w="0" w:type="auto"/>
            <w:gridSpan w:val="3"/>
            <w:shd w:val="clear" w:color="auto" w:fill="auto"/>
            <w:tcMar>
              <w:top w:w="40" w:type="dxa"/>
              <w:left w:w="20" w:type="dxa"/>
              <w:bottom w:w="40" w:type="dxa"/>
              <w:right w:w="20" w:type="dxa"/>
            </w:tcMar>
            <w:vAlign w:val="bottom"/>
          </w:tcPr>
          <w:p w14:paraId="74DDFA96" w14:textId="77777777" w:rsidR="00584EC1" w:rsidRDefault="00871F8D">
            <w:pPr>
              <w:textAlignment w:val="bottom"/>
            </w:pPr>
            <w:r>
              <w:rPr>
                <w:rFonts w:ascii="Arial" w:eastAsia="宋体" w:hAnsi="Arial" w:cs="Arial"/>
                <w:b/>
                <w:bCs/>
                <w:color w:val="000000"/>
                <w:sz w:val="15"/>
                <w:szCs w:val="15"/>
              </w:rPr>
              <w:t>Assets:</w:t>
            </w:r>
          </w:p>
        </w:tc>
        <w:tc>
          <w:tcPr>
            <w:tcW w:w="0" w:type="auto"/>
            <w:gridSpan w:val="27"/>
            <w:tcBorders>
              <w:bottom w:val="single" w:sz="8" w:space="0" w:color="000000"/>
            </w:tcBorders>
            <w:shd w:val="clear" w:color="auto" w:fill="auto"/>
            <w:tcMar>
              <w:top w:w="40" w:type="dxa"/>
              <w:left w:w="20" w:type="dxa"/>
              <w:bottom w:w="40" w:type="dxa"/>
              <w:right w:w="20" w:type="dxa"/>
            </w:tcMar>
            <w:vAlign w:val="bottom"/>
          </w:tcPr>
          <w:p w14:paraId="74DDFA97" w14:textId="77777777" w:rsidR="00584EC1" w:rsidRDefault="00871F8D">
            <w:pPr>
              <w:jc w:val="center"/>
              <w:textAlignment w:val="bottom"/>
            </w:pPr>
            <w:r>
              <w:rPr>
                <w:rFonts w:ascii="Arial" w:eastAsia="宋体" w:hAnsi="Arial" w:cs="Arial"/>
                <w:b/>
                <w:bCs/>
                <w:color w:val="000000"/>
                <w:sz w:val="15"/>
                <w:szCs w:val="15"/>
              </w:rPr>
              <w:t>September 30, 2021</w:t>
            </w:r>
          </w:p>
        </w:tc>
        <w:tc>
          <w:tcPr>
            <w:tcW w:w="0" w:type="auto"/>
            <w:shd w:val="clear" w:color="auto" w:fill="auto"/>
            <w:vAlign w:val="bottom"/>
          </w:tcPr>
          <w:p w14:paraId="74DDFA98" w14:textId="77777777" w:rsidR="00584EC1" w:rsidRDefault="00584EC1">
            <w:pPr>
              <w:rPr>
                <w:rFonts w:ascii="宋体"/>
                <w:vanish/>
              </w:rPr>
            </w:pPr>
          </w:p>
        </w:tc>
        <w:tc>
          <w:tcPr>
            <w:tcW w:w="0" w:type="auto"/>
            <w:shd w:val="clear" w:color="auto" w:fill="auto"/>
            <w:vAlign w:val="bottom"/>
          </w:tcPr>
          <w:p w14:paraId="74DDFA99" w14:textId="77777777" w:rsidR="00584EC1" w:rsidRDefault="00584EC1">
            <w:pPr>
              <w:rPr>
                <w:rFonts w:ascii="宋体"/>
              </w:rPr>
            </w:pPr>
          </w:p>
        </w:tc>
        <w:tc>
          <w:tcPr>
            <w:tcW w:w="0" w:type="auto"/>
            <w:shd w:val="clear" w:color="auto" w:fill="auto"/>
            <w:vAlign w:val="bottom"/>
          </w:tcPr>
          <w:p w14:paraId="74DDFA9A" w14:textId="77777777" w:rsidR="00584EC1" w:rsidRDefault="00584EC1">
            <w:pPr>
              <w:rPr>
                <w:rFonts w:ascii="宋体"/>
              </w:rPr>
            </w:pPr>
          </w:p>
        </w:tc>
        <w:tc>
          <w:tcPr>
            <w:tcW w:w="0" w:type="auto"/>
            <w:shd w:val="clear" w:color="auto" w:fill="auto"/>
            <w:vAlign w:val="bottom"/>
          </w:tcPr>
          <w:p w14:paraId="74DDFA9B" w14:textId="77777777" w:rsidR="00584EC1" w:rsidRDefault="00584EC1">
            <w:pPr>
              <w:rPr>
                <w:rFonts w:ascii="宋体"/>
              </w:rPr>
            </w:pPr>
          </w:p>
        </w:tc>
        <w:tc>
          <w:tcPr>
            <w:tcW w:w="0" w:type="auto"/>
            <w:shd w:val="clear" w:color="auto" w:fill="auto"/>
            <w:vAlign w:val="bottom"/>
          </w:tcPr>
          <w:p w14:paraId="74DDFA9C" w14:textId="77777777" w:rsidR="00584EC1" w:rsidRDefault="00584EC1">
            <w:pPr>
              <w:rPr>
                <w:rFonts w:ascii="宋体"/>
              </w:rPr>
            </w:pPr>
          </w:p>
        </w:tc>
        <w:tc>
          <w:tcPr>
            <w:tcW w:w="0" w:type="auto"/>
            <w:shd w:val="clear" w:color="auto" w:fill="auto"/>
            <w:vAlign w:val="bottom"/>
          </w:tcPr>
          <w:p w14:paraId="74DDFA9D" w14:textId="77777777" w:rsidR="00584EC1" w:rsidRDefault="00584EC1">
            <w:pPr>
              <w:rPr>
                <w:rFonts w:ascii="宋体"/>
              </w:rPr>
            </w:pPr>
          </w:p>
        </w:tc>
        <w:tc>
          <w:tcPr>
            <w:tcW w:w="0" w:type="auto"/>
            <w:shd w:val="clear" w:color="auto" w:fill="auto"/>
            <w:vAlign w:val="bottom"/>
          </w:tcPr>
          <w:p w14:paraId="74DDFA9E" w14:textId="77777777" w:rsidR="00584EC1" w:rsidRDefault="00584EC1">
            <w:pPr>
              <w:rPr>
                <w:rFonts w:ascii="宋体"/>
              </w:rPr>
            </w:pPr>
          </w:p>
        </w:tc>
        <w:tc>
          <w:tcPr>
            <w:tcW w:w="0" w:type="auto"/>
            <w:shd w:val="clear" w:color="auto" w:fill="auto"/>
            <w:vAlign w:val="bottom"/>
          </w:tcPr>
          <w:p w14:paraId="74DDFA9F" w14:textId="77777777" w:rsidR="00584EC1" w:rsidRDefault="00584EC1">
            <w:pPr>
              <w:rPr>
                <w:rFonts w:ascii="宋体"/>
              </w:rPr>
            </w:pPr>
          </w:p>
        </w:tc>
        <w:tc>
          <w:tcPr>
            <w:tcW w:w="0" w:type="auto"/>
            <w:shd w:val="clear" w:color="auto" w:fill="auto"/>
            <w:vAlign w:val="bottom"/>
          </w:tcPr>
          <w:p w14:paraId="74DDFAA0" w14:textId="77777777" w:rsidR="00584EC1" w:rsidRDefault="00584EC1">
            <w:pPr>
              <w:rPr>
                <w:rFonts w:ascii="宋体"/>
              </w:rPr>
            </w:pPr>
          </w:p>
        </w:tc>
        <w:tc>
          <w:tcPr>
            <w:tcW w:w="0" w:type="auto"/>
            <w:shd w:val="clear" w:color="auto" w:fill="auto"/>
            <w:vAlign w:val="bottom"/>
          </w:tcPr>
          <w:p w14:paraId="74DDFAA1" w14:textId="77777777" w:rsidR="00584EC1" w:rsidRDefault="00584EC1">
            <w:pPr>
              <w:rPr>
                <w:rFonts w:ascii="宋体"/>
              </w:rPr>
            </w:pPr>
          </w:p>
        </w:tc>
        <w:tc>
          <w:tcPr>
            <w:tcW w:w="0" w:type="auto"/>
            <w:shd w:val="clear" w:color="auto" w:fill="auto"/>
            <w:vAlign w:val="bottom"/>
          </w:tcPr>
          <w:p w14:paraId="74DDFAA2" w14:textId="77777777" w:rsidR="00584EC1" w:rsidRDefault="00584EC1">
            <w:pPr>
              <w:rPr>
                <w:rFonts w:ascii="宋体"/>
              </w:rPr>
            </w:pPr>
          </w:p>
        </w:tc>
        <w:tc>
          <w:tcPr>
            <w:tcW w:w="0" w:type="auto"/>
            <w:shd w:val="clear" w:color="auto" w:fill="auto"/>
            <w:vAlign w:val="bottom"/>
          </w:tcPr>
          <w:p w14:paraId="74DDFAA3" w14:textId="77777777" w:rsidR="00584EC1" w:rsidRDefault="00584EC1">
            <w:pPr>
              <w:rPr>
                <w:rFonts w:ascii="宋体"/>
              </w:rPr>
            </w:pPr>
          </w:p>
        </w:tc>
        <w:tc>
          <w:tcPr>
            <w:tcW w:w="0" w:type="auto"/>
            <w:shd w:val="clear" w:color="auto" w:fill="auto"/>
            <w:vAlign w:val="bottom"/>
          </w:tcPr>
          <w:p w14:paraId="74DDFAA4" w14:textId="77777777" w:rsidR="00584EC1" w:rsidRDefault="00584EC1">
            <w:pPr>
              <w:rPr>
                <w:rFonts w:ascii="宋体"/>
              </w:rPr>
            </w:pPr>
          </w:p>
        </w:tc>
      </w:tr>
      <w:tr w:rsidR="00584EC1" w14:paraId="74DDFAB4" w14:textId="77777777">
        <w:trPr>
          <w:trHeight w:val="400"/>
        </w:trPr>
        <w:tc>
          <w:tcPr>
            <w:tcW w:w="0" w:type="auto"/>
            <w:gridSpan w:val="3"/>
            <w:shd w:val="clear" w:color="auto" w:fill="auto"/>
            <w:tcMar>
              <w:top w:w="0" w:type="dxa"/>
              <w:left w:w="20" w:type="dxa"/>
              <w:bottom w:w="0" w:type="dxa"/>
              <w:right w:w="20" w:type="dxa"/>
            </w:tcMar>
            <w:vAlign w:val="bottom"/>
          </w:tcPr>
          <w:p w14:paraId="74DDFAA6" w14:textId="77777777" w:rsidR="00584EC1" w:rsidRDefault="00584EC1">
            <w:pPr>
              <w:rPr>
                <w:rFonts w:ascii="宋体"/>
              </w:rPr>
            </w:pPr>
          </w:p>
        </w:tc>
        <w:tc>
          <w:tcPr>
            <w:tcW w:w="0" w:type="auto"/>
            <w:gridSpan w:val="3"/>
            <w:vMerge w:val="restart"/>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4DDFAA7" w14:textId="77777777" w:rsidR="00584EC1" w:rsidRDefault="00871F8D">
            <w:pPr>
              <w:jc w:val="center"/>
              <w:textAlignment w:val="bottom"/>
            </w:pPr>
            <w:r>
              <w:rPr>
                <w:rFonts w:ascii="Arial" w:eastAsia="宋体" w:hAnsi="Arial" w:cs="Arial"/>
                <w:b/>
                <w:bCs/>
                <w:color w:val="000000"/>
                <w:sz w:val="15"/>
                <w:szCs w:val="15"/>
              </w:rPr>
              <w:t xml:space="preserve">Gross Amounts of Recognized </w:t>
            </w:r>
          </w:p>
          <w:p w14:paraId="74DDFAA8" w14:textId="77777777" w:rsidR="00584EC1" w:rsidRDefault="00871F8D">
            <w:pPr>
              <w:jc w:val="center"/>
              <w:textAlignment w:val="bottom"/>
            </w:pPr>
            <w:r>
              <w:rPr>
                <w:rFonts w:ascii="Arial" w:eastAsia="宋体" w:hAnsi="Arial" w:cs="Arial"/>
                <w:b/>
                <w:bCs/>
                <w:color w:val="000000"/>
                <w:sz w:val="15"/>
                <w:szCs w:val="15"/>
              </w:rPr>
              <w:t>Assets</w:t>
            </w:r>
            <w:r>
              <w:rPr>
                <w:rFonts w:ascii="Arial" w:eastAsia="宋体" w:hAnsi="Arial" w:cs="Arial"/>
                <w:b/>
                <w:bCs/>
                <w:color w:val="000000"/>
                <w:sz w:val="9"/>
                <w:szCs w:val="9"/>
              </w:rPr>
              <w:t>(1)(2)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AA9" w14:textId="77777777" w:rsidR="00584EC1" w:rsidRDefault="00584EC1">
            <w:pPr>
              <w:rPr>
                <w:rFonts w:ascii="宋体"/>
              </w:rPr>
            </w:pPr>
          </w:p>
        </w:tc>
        <w:tc>
          <w:tcPr>
            <w:tcW w:w="0" w:type="auto"/>
            <w:gridSpan w:val="3"/>
            <w:vMerge w:val="restart"/>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4DDFAAA" w14:textId="77777777" w:rsidR="00584EC1" w:rsidRDefault="00871F8D">
            <w:pPr>
              <w:jc w:val="center"/>
              <w:textAlignment w:val="bottom"/>
            </w:pPr>
            <w:r>
              <w:rPr>
                <w:rFonts w:ascii="Arial" w:eastAsia="宋体" w:hAnsi="Arial" w:cs="Arial"/>
                <w:b/>
                <w:bCs/>
                <w:color w:val="000000"/>
                <w:sz w:val="15"/>
                <w:szCs w:val="15"/>
              </w:rPr>
              <w:t xml:space="preserve">Gross Amounts Offset in Statement of </w:t>
            </w:r>
            <w:r>
              <w:rPr>
                <w:rFonts w:ascii="Arial" w:eastAsia="宋体" w:hAnsi="Arial" w:cs="Arial"/>
                <w:b/>
                <w:bCs/>
                <w:color w:val="000000"/>
                <w:sz w:val="15"/>
                <w:szCs w:val="15"/>
              </w:rPr>
              <w:t>Condition</w:t>
            </w:r>
            <w:r>
              <w:rPr>
                <w:rFonts w:ascii="Arial" w:eastAsia="宋体" w:hAnsi="Arial" w:cs="Arial"/>
                <w:b/>
                <w:bCs/>
                <w:color w:val="000000"/>
                <w:sz w:val="9"/>
                <w:szCs w:val="9"/>
              </w:rPr>
              <w:t>(3)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AAB" w14:textId="77777777" w:rsidR="00584EC1" w:rsidRDefault="00584EC1">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4DDFAAC" w14:textId="77777777" w:rsidR="00584EC1" w:rsidRDefault="00871F8D">
            <w:pPr>
              <w:jc w:val="center"/>
              <w:textAlignment w:val="bottom"/>
            </w:pPr>
            <w:r>
              <w:rPr>
                <w:rFonts w:ascii="Arial" w:eastAsia="宋体" w:hAnsi="Arial" w:cs="Arial"/>
                <w:b/>
                <w:bCs/>
                <w:color w:val="000000"/>
                <w:sz w:val="15"/>
                <w:szCs w:val="15"/>
              </w:rPr>
              <w:t>Net Amounts of Assets Presented in Statement of Condition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AAD" w14:textId="77777777" w:rsidR="00584EC1" w:rsidRDefault="00584E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4DDFAAE" w14:textId="77777777" w:rsidR="00584EC1" w:rsidRDefault="00871F8D">
            <w:pPr>
              <w:jc w:val="center"/>
              <w:textAlignment w:val="bottom"/>
            </w:pPr>
            <w:r>
              <w:rPr>
                <w:rFonts w:ascii="Arial" w:eastAsia="宋体" w:hAnsi="Arial" w:cs="Arial"/>
                <w:b/>
                <w:bCs/>
                <w:color w:val="000000"/>
                <w:sz w:val="15"/>
                <w:szCs w:val="15"/>
              </w:rPr>
              <w:t>Gross Amounts Not Offset in Statement of Condition</w:t>
            </w:r>
          </w:p>
        </w:tc>
        <w:tc>
          <w:tcPr>
            <w:tcW w:w="0" w:type="auto"/>
            <w:shd w:val="clear" w:color="auto" w:fill="auto"/>
            <w:vAlign w:val="bottom"/>
          </w:tcPr>
          <w:p w14:paraId="74DDFAAF" w14:textId="77777777" w:rsidR="00584EC1" w:rsidRDefault="00584EC1">
            <w:pPr>
              <w:rPr>
                <w:rFonts w:ascii="宋体"/>
                <w:vanish/>
              </w:rPr>
            </w:pPr>
          </w:p>
        </w:tc>
        <w:tc>
          <w:tcPr>
            <w:tcW w:w="0" w:type="auto"/>
            <w:gridSpan w:val="3"/>
            <w:shd w:val="clear" w:color="auto" w:fill="auto"/>
            <w:vAlign w:val="bottom"/>
          </w:tcPr>
          <w:p w14:paraId="74DDFAB0" w14:textId="77777777" w:rsidR="00584EC1" w:rsidRDefault="00584EC1">
            <w:pPr>
              <w:rPr>
                <w:rFonts w:ascii="宋体"/>
                <w:vanish/>
              </w:rPr>
            </w:pPr>
          </w:p>
        </w:tc>
        <w:tc>
          <w:tcPr>
            <w:tcW w:w="0" w:type="auto"/>
            <w:gridSpan w:val="3"/>
            <w:shd w:val="clear" w:color="auto" w:fill="auto"/>
            <w:vAlign w:val="bottom"/>
          </w:tcPr>
          <w:p w14:paraId="74DDFAB1" w14:textId="77777777" w:rsidR="00584EC1" w:rsidRDefault="00584EC1">
            <w:pPr>
              <w:rPr>
                <w:rFonts w:ascii="宋体"/>
                <w:vanish/>
              </w:rPr>
            </w:pPr>
          </w:p>
        </w:tc>
        <w:tc>
          <w:tcPr>
            <w:tcW w:w="0" w:type="auto"/>
            <w:gridSpan w:val="3"/>
            <w:shd w:val="clear" w:color="auto" w:fill="auto"/>
            <w:vAlign w:val="bottom"/>
          </w:tcPr>
          <w:p w14:paraId="74DDFAB2" w14:textId="77777777" w:rsidR="00584EC1" w:rsidRDefault="00584EC1">
            <w:pPr>
              <w:rPr>
                <w:rFonts w:ascii="宋体"/>
                <w:vanish/>
              </w:rPr>
            </w:pPr>
          </w:p>
        </w:tc>
        <w:tc>
          <w:tcPr>
            <w:tcW w:w="0" w:type="auto"/>
            <w:gridSpan w:val="3"/>
            <w:shd w:val="clear" w:color="auto" w:fill="auto"/>
            <w:vAlign w:val="bottom"/>
          </w:tcPr>
          <w:p w14:paraId="74DDFAB3" w14:textId="77777777" w:rsidR="00584EC1" w:rsidRDefault="00584EC1">
            <w:pPr>
              <w:rPr>
                <w:rFonts w:ascii="宋体"/>
                <w:vanish/>
              </w:rPr>
            </w:pPr>
          </w:p>
        </w:tc>
      </w:tr>
      <w:tr w:rsidR="00584EC1" w14:paraId="74DDFAC4" w14:textId="77777777">
        <w:trPr>
          <w:trHeight w:val="540"/>
        </w:trPr>
        <w:tc>
          <w:tcPr>
            <w:tcW w:w="0" w:type="auto"/>
            <w:gridSpan w:val="3"/>
            <w:shd w:val="clear" w:color="auto" w:fill="auto"/>
            <w:tcMar>
              <w:top w:w="40" w:type="dxa"/>
              <w:left w:w="20" w:type="dxa"/>
              <w:bottom w:w="40" w:type="dxa"/>
              <w:right w:w="20" w:type="dxa"/>
            </w:tcMar>
            <w:vAlign w:val="bottom"/>
          </w:tcPr>
          <w:p w14:paraId="74DDFAB5" w14:textId="77777777" w:rsidR="00584EC1" w:rsidRDefault="00871F8D">
            <w:pPr>
              <w:textAlignment w:val="bottom"/>
            </w:pPr>
            <w:r>
              <w:rPr>
                <w:rFonts w:ascii="Arial" w:eastAsia="宋体" w:hAnsi="Arial" w:cs="Arial"/>
                <w:b/>
                <w:bCs/>
                <w:color w:val="000000"/>
                <w:sz w:val="15"/>
                <w:szCs w:val="15"/>
              </w:rPr>
              <w:t>(In millions)</w:t>
            </w:r>
          </w:p>
        </w:tc>
        <w:tc>
          <w:tcPr>
            <w:tcW w:w="0" w:type="auto"/>
            <w:gridSpan w:val="3"/>
            <w:vMerge/>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4DDFAB6"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AB7" w14:textId="77777777" w:rsidR="00584EC1" w:rsidRDefault="00584EC1">
            <w:pPr>
              <w:rPr>
                <w:rFonts w:ascii="宋体"/>
              </w:rPr>
            </w:pPr>
          </w:p>
        </w:tc>
        <w:tc>
          <w:tcPr>
            <w:tcW w:w="0" w:type="auto"/>
            <w:gridSpan w:val="3"/>
            <w:vMerge/>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4DDFAB8"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AB9" w14:textId="77777777" w:rsidR="00584EC1" w:rsidRDefault="00584EC1">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4DDFABA" w14:textId="77777777" w:rsidR="00584EC1" w:rsidRDefault="00584EC1">
            <w:pPr>
              <w:jc w:val="center"/>
              <w:rPr>
                <w:rFonts w:ascii="宋体"/>
              </w:rPr>
            </w:pPr>
          </w:p>
        </w:tc>
        <w:tc>
          <w:tcPr>
            <w:tcW w:w="0" w:type="auto"/>
            <w:gridSpan w:val="3"/>
            <w:shd w:val="clear" w:color="auto" w:fill="auto"/>
            <w:tcMar>
              <w:top w:w="0" w:type="dxa"/>
              <w:left w:w="20" w:type="dxa"/>
              <w:bottom w:w="0" w:type="dxa"/>
              <w:right w:w="20" w:type="dxa"/>
            </w:tcMar>
            <w:vAlign w:val="bottom"/>
          </w:tcPr>
          <w:p w14:paraId="74DDFABB"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FABC" w14:textId="77777777" w:rsidR="00584EC1" w:rsidRDefault="00871F8D">
            <w:pPr>
              <w:jc w:val="center"/>
              <w:textAlignment w:val="bottom"/>
            </w:pPr>
            <w:r>
              <w:rPr>
                <w:rFonts w:ascii="Arial" w:eastAsia="宋体" w:hAnsi="Arial" w:cs="Arial"/>
                <w:b/>
                <w:bCs/>
                <w:color w:val="000000"/>
                <w:sz w:val="15"/>
                <w:szCs w:val="15"/>
              </w:rPr>
              <w:t>Cash and Securities Received</w:t>
            </w:r>
            <w:r>
              <w:rPr>
                <w:rFonts w:ascii="Arial" w:eastAsia="宋体" w:hAnsi="Arial" w:cs="Arial"/>
                <w:b/>
                <w:bCs/>
                <w:color w:val="000000"/>
                <w:sz w:val="9"/>
                <w:szCs w:val="9"/>
              </w:rPr>
              <w:t>(4)</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ABD"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FABE" w14:textId="77777777" w:rsidR="00584EC1" w:rsidRDefault="00871F8D">
            <w:pPr>
              <w:jc w:val="center"/>
              <w:textAlignment w:val="bottom"/>
            </w:pPr>
            <w:r>
              <w:rPr>
                <w:rFonts w:ascii="Arial" w:eastAsia="宋体" w:hAnsi="Arial" w:cs="Arial"/>
                <w:b/>
                <w:bCs/>
                <w:color w:val="000000"/>
                <w:sz w:val="15"/>
                <w:szCs w:val="15"/>
              </w:rPr>
              <w:t>Net Amount</w:t>
            </w:r>
            <w:r>
              <w:rPr>
                <w:rFonts w:ascii="Arial" w:eastAsia="宋体" w:hAnsi="Arial" w:cs="Arial"/>
                <w:b/>
                <w:bCs/>
                <w:color w:val="000000"/>
                <w:sz w:val="9"/>
                <w:szCs w:val="9"/>
              </w:rPr>
              <w:t>(5)</w:t>
            </w:r>
          </w:p>
        </w:tc>
        <w:tc>
          <w:tcPr>
            <w:tcW w:w="0" w:type="auto"/>
            <w:shd w:val="clear" w:color="auto" w:fill="auto"/>
            <w:vAlign w:val="bottom"/>
          </w:tcPr>
          <w:p w14:paraId="74DDFABF" w14:textId="77777777" w:rsidR="00584EC1" w:rsidRDefault="00584EC1">
            <w:pPr>
              <w:rPr>
                <w:rFonts w:ascii="宋体"/>
                <w:vanish/>
              </w:rPr>
            </w:pPr>
          </w:p>
        </w:tc>
        <w:tc>
          <w:tcPr>
            <w:tcW w:w="0" w:type="auto"/>
            <w:gridSpan w:val="3"/>
            <w:shd w:val="clear" w:color="auto" w:fill="auto"/>
            <w:vAlign w:val="bottom"/>
          </w:tcPr>
          <w:p w14:paraId="74DDFAC0" w14:textId="77777777" w:rsidR="00584EC1" w:rsidRDefault="00584EC1">
            <w:pPr>
              <w:rPr>
                <w:rFonts w:ascii="宋体"/>
                <w:vanish/>
              </w:rPr>
            </w:pPr>
          </w:p>
        </w:tc>
        <w:tc>
          <w:tcPr>
            <w:tcW w:w="0" w:type="auto"/>
            <w:gridSpan w:val="3"/>
            <w:shd w:val="clear" w:color="auto" w:fill="auto"/>
            <w:vAlign w:val="bottom"/>
          </w:tcPr>
          <w:p w14:paraId="74DDFAC1" w14:textId="77777777" w:rsidR="00584EC1" w:rsidRDefault="00584EC1">
            <w:pPr>
              <w:rPr>
                <w:rFonts w:ascii="宋体"/>
                <w:vanish/>
              </w:rPr>
            </w:pPr>
          </w:p>
        </w:tc>
        <w:tc>
          <w:tcPr>
            <w:tcW w:w="0" w:type="auto"/>
            <w:gridSpan w:val="3"/>
            <w:shd w:val="clear" w:color="auto" w:fill="auto"/>
            <w:vAlign w:val="bottom"/>
          </w:tcPr>
          <w:p w14:paraId="74DDFAC2" w14:textId="77777777" w:rsidR="00584EC1" w:rsidRDefault="00584EC1">
            <w:pPr>
              <w:rPr>
                <w:rFonts w:ascii="宋体"/>
                <w:vanish/>
              </w:rPr>
            </w:pPr>
          </w:p>
        </w:tc>
        <w:tc>
          <w:tcPr>
            <w:tcW w:w="0" w:type="auto"/>
            <w:gridSpan w:val="3"/>
            <w:shd w:val="clear" w:color="auto" w:fill="auto"/>
            <w:vAlign w:val="bottom"/>
          </w:tcPr>
          <w:p w14:paraId="74DDFAC3" w14:textId="77777777" w:rsidR="00584EC1" w:rsidRDefault="00584EC1">
            <w:pPr>
              <w:rPr>
                <w:rFonts w:ascii="宋体"/>
                <w:vanish/>
              </w:rPr>
            </w:pPr>
          </w:p>
        </w:tc>
      </w:tr>
      <w:tr w:rsidR="00584EC1" w14:paraId="74DDFAD1" w14:textId="77777777">
        <w:tc>
          <w:tcPr>
            <w:tcW w:w="0" w:type="auto"/>
            <w:gridSpan w:val="12"/>
            <w:shd w:val="clear" w:color="auto" w:fill="auto"/>
            <w:tcMar>
              <w:top w:w="40" w:type="dxa"/>
              <w:left w:w="20" w:type="dxa"/>
              <w:bottom w:w="40" w:type="dxa"/>
              <w:right w:w="20" w:type="dxa"/>
            </w:tcMar>
            <w:vAlign w:val="bottom"/>
          </w:tcPr>
          <w:p w14:paraId="74DDFAC5" w14:textId="77777777" w:rsidR="00584EC1" w:rsidRDefault="00871F8D">
            <w:pPr>
              <w:textAlignment w:val="bottom"/>
            </w:pPr>
            <w:r>
              <w:rPr>
                <w:rFonts w:ascii="Arial" w:eastAsia="宋体" w:hAnsi="Arial" w:cs="Arial"/>
                <w:b/>
                <w:bCs/>
                <w:color w:val="000000"/>
                <w:sz w:val="15"/>
                <w:szCs w:val="15"/>
              </w:rPr>
              <w:t>Derivatives:</w:t>
            </w:r>
          </w:p>
        </w:tc>
        <w:tc>
          <w:tcPr>
            <w:tcW w:w="0" w:type="auto"/>
            <w:gridSpan w:val="3"/>
            <w:shd w:val="clear" w:color="auto" w:fill="auto"/>
            <w:tcMar>
              <w:top w:w="0" w:type="dxa"/>
              <w:left w:w="20" w:type="dxa"/>
              <w:bottom w:w="0" w:type="dxa"/>
              <w:right w:w="20" w:type="dxa"/>
            </w:tcMar>
            <w:vAlign w:val="bottom"/>
          </w:tcPr>
          <w:p w14:paraId="74DDFAC6"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AC7"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AC8"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AC9"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ACA"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ACB" w14:textId="77777777" w:rsidR="00584EC1" w:rsidRDefault="00584EC1">
            <w:pPr>
              <w:rPr>
                <w:rFonts w:ascii="宋体"/>
              </w:rPr>
            </w:pPr>
          </w:p>
        </w:tc>
        <w:tc>
          <w:tcPr>
            <w:tcW w:w="0" w:type="auto"/>
            <w:shd w:val="clear" w:color="auto" w:fill="auto"/>
            <w:vAlign w:val="bottom"/>
          </w:tcPr>
          <w:p w14:paraId="74DDFACC" w14:textId="77777777" w:rsidR="00584EC1" w:rsidRDefault="00584EC1">
            <w:pPr>
              <w:rPr>
                <w:rFonts w:ascii="宋体"/>
                <w:vanish/>
              </w:rPr>
            </w:pPr>
          </w:p>
        </w:tc>
        <w:tc>
          <w:tcPr>
            <w:tcW w:w="0" w:type="auto"/>
            <w:gridSpan w:val="3"/>
            <w:shd w:val="clear" w:color="auto" w:fill="auto"/>
            <w:vAlign w:val="bottom"/>
          </w:tcPr>
          <w:p w14:paraId="74DDFACD" w14:textId="77777777" w:rsidR="00584EC1" w:rsidRDefault="00584EC1">
            <w:pPr>
              <w:rPr>
                <w:rFonts w:ascii="宋体"/>
                <w:vanish/>
              </w:rPr>
            </w:pPr>
          </w:p>
        </w:tc>
        <w:tc>
          <w:tcPr>
            <w:tcW w:w="0" w:type="auto"/>
            <w:gridSpan w:val="3"/>
            <w:shd w:val="clear" w:color="auto" w:fill="auto"/>
            <w:vAlign w:val="bottom"/>
          </w:tcPr>
          <w:p w14:paraId="74DDFACE" w14:textId="77777777" w:rsidR="00584EC1" w:rsidRDefault="00584EC1">
            <w:pPr>
              <w:rPr>
                <w:rFonts w:ascii="宋体"/>
                <w:vanish/>
              </w:rPr>
            </w:pPr>
          </w:p>
        </w:tc>
        <w:tc>
          <w:tcPr>
            <w:tcW w:w="0" w:type="auto"/>
            <w:gridSpan w:val="3"/>
            <w:shd w:val="clear" w:color="auto" w:fill="auto"/>
            <w:vAlign w:val="bottom"/>
          </w:tcPr>
          <w:p w14:paraId="74DDFACF" w14:textId="77777777" w:rsidR="00584EC1" w:rsidRDefault="00584EC1">
            <w:pPr>
              <w:rPr>
                <w:rFonts w:ascii="宋体"/>
                <w:vanish/>
              </w:rPr>
            </w:pPr>
          </w:p>
        </w:tc>
        <w:tc>
          <w:tcPr>
            <w:tcW w:w="0" w:type="auto"/>
            <w:gridSpan w:val="3"/>
            <w:shd w:val="clear" w:color="auto" w:fill="auto"/>
            <w:vAlign w:val="bottom"/>
          </w:tcPr>
          <w:p w14:paraId="74DDFAD0" w14:textId="77777777" w:rsidR="00584EC1" w:rsidRDefault="00584EC1">
            <w:pPr>
              <w:rPr>
                <w:rFonts w:ascii="宋体"/>
                <w:vanish/>
              </w:rPr>
            </w:pPr>
          </w:p>
        </w:tc>
      </w:tr>
      <w:tr w:rsidR="00584EC1" w14:paraId="74DDFAEB" w14:textId="77777777">
        <w:tc>
          <w:tcPr>
            <w:tcW w:w="0" w:type="auto"/>
            <w:gridSpan w:val="3"/>
            <w:shd w:val="clear" w:color="auto" w:fill="CCEEFF"/>
            <w:tcMar>
              <w:top w:w="40" w:type="dxa"/>
              <w:left w:w="20" w:type="dxa"/>
              <w:bottom w:w="40" w:type="dxa"/>
              <w:right w:w="20" w:type="dxa"/>
            </w:tcMar>
            <w:vAlign w:val="bottom"/>
          </w:tcPr>
          <w:p w14:paraId="74DDFAD2" w14:textId="77777777" w:rsidR="00584EC1" w:rsidRDefault="00871F8D">
            <w:pPr>
              <w:textAlignment w:val="bottom"/>
            </w:pPr>
            <w:r>
              <w:rPr>
                <w:rFonts w:ascii="Arial" w:eastAsia="宋体" w:hAnsi="Arial" w:cs="Arial"/>
                <w:color w:val="000000"/>
                <w:sz w:val="15"/>
                <w:szCs w:val="15"/>
              </w:rPr>
              <w:t>Foreign exchange contracts</w:t>
            </w:r>
          </w:p>
        </w:tc>
        <w:tc>
          <w:tcPr>
            <w:tcW w:w="0" w:type="auto"/>
            <w:shd w:val="clear" w:color="auto" w:fill="CCEEFF"/>
            <w:tcMar>
              <w:top w:w="40" w:type="dxa"/>
              <w:left w:w="20" w:type="dxa"/>
              <w:bottom w:w="40" w:type="dxa"/>
              <w:right w:w="0" w:type="dxa"/>
            </w:tcMar>
            <w:vAlign w:val="bottom"/>
          </w:tcPr>
          <w:p w14:paraId="74DDFAD3" w14:textId="77777777" w:rsidR="00584EC1" w:rsidRDefault="00871F8D">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4DDFAD4" w14:textId="77777777" w:rsidR="00584EC1" w:rsidRDefault="00871F8D">
            <w:pPr>
              <w:jc w:val="right"/>
              <w:textAlignment w:val="bottom"/>
            </w:pPr>
            <w:r>
              <w:rPr>
                <w:rFonts w:ascii="Arial" w:eastAsia="宋体" w:hAnsi="Arial" w:cs="Arial"/>
                <w:b/>
                <w:bCs/>
                <w:color w:val="000000"/>
                <w:sz w:val="15"/>
                <w:szCs w:val="15"/>
              </w:rPr>
              <w:t>16,453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FAD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AD6"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FAD7" w14:textId="77777777" w:rsidR="00584EC1" w:rsidRDefault="00871F8D">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4DDFAD8" w14:textId="77777777" w:rsidR="00584EC1" w:rsidRDefault="00871F8D">
            <w:pPr>
              <w:jc w:val="right"/>
              <w:textAlignment w:val="bottom"/>
            </w:pPr>
            <w:r>
              <w:rPr>
                <w:rFonts w:ascii="Arial" w:eastAsia="宋体" w:hAnsi="Arial" w:cs="Arial"/>
                <w:b/>
                <w:bCs/>
                <w:color w:val="000000"/>
                <w:sz w:val="15"/>
                <w:szCs w:val="15"/>
              </w:rPr>
              <w:t>(7,667)</w:t>
            </w:r>
          </w:p>
        </w:tc>
        <w:tc>
          <w:tcPr>
            <w:tcW w:w="0" w:type="auto"/>
            <w:shd w:val="clear" w:color="auto" w:fill="CCEEFF"/>
            <w:tcMar>
              <w:top w:w="40" w:type="dxa"/>
              <w:left w:w="0" w:type="dxa"/>
              <w:bottom w:w="40" w:type="dxa"/>
              <w:right w:w="20" w:type="dxa"/>
            </w:tcMar>
            <w:vAlign w:val="bottom"/>
          </w:tcPr>
          <w:p w14:paraId="74DDFAD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ADA"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FADB" w14:textId="77777777" w:rsidR="00584EC1" w:rsidRDefault="00871F8D">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4DDFADC" w14:textId="77777777" w:rsidR="00584EC1" w:rsidRDefault="00871F8D">
            <w:pPr>
              <w:jc w:val="right"/>
              <w:textAlignment w:val="bottom"/>
            </w:pPr>
            <w:r>
              <w:rPr>
                <w:rFonts w:ascii="Arial" w:eastAsia="宋体" w:hAnsi="Arial" w:cs="Arial"/>
                <w:b/>
                <w:bCs/>
                <w:color w:val="000000"/>
                <w:sz w:val="15"/>
                <w:szCs w:val="15"/>
              </w:rPr>
              <w:t>8,786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FAD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ADE"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FADF" w14:textId="77777777" w:rsidR="00584EC1" w:rsidRDefault="00871F8D">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4DDFAE0"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FAE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AE2"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FAE3" w14:textId="77777777" w:rsidR="00584EC1" w:rsidRDefault="00871F8D">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4DDFAE4" w14:textId="77777777" w:rsidR="00584EC1" w:rsidRDefault="00871F8D">
            <w:pPr>
              <w:jc w:val="right"/>
              <w:textAlignment w:val="bottom"/>
            </w:pPr>
            <w:r>
              <w:rPr>
                <w:rFonts w:ascii="Arial" w:eastAsia="宋体" w:hAnsi="Arial" w:cs="Arial"/>
                <w:b/>
                <w:bCs/>
                <w:color w:val="000000"/>
                <w:sz w:val="15"/>
                <w:szCs w:val="15"/>
              </w:rPr>
              <w:t>8,786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FAE5" w14:textId="77777777" w:rsidR="00584EC1" w:rsidRDefault="00584EC1">
            <w:pPr>
              <w:jc w:val="right"/>
              <w:rPr>
                <w:rFonts w:ascii="宋体"/>
              </w:rPr>
            </w:pPr>
          </w:p>
        </w:tc>
        <w:tc>
          <w:tcPr>
            <w:tcW w:w="0" w:type="auto"/>
            <w:shd w:val="clear" w:color="auto" w:fill="auto"/>
            <w:vAlign w:val="bottom"/>
          </w:tcPr>
          <w:p w14:paraId="74DDFAE6" w14:textId="77777777" w:rsidR="00584EC1" w:rsidRDefault="00584EC1">
            <w:pPr>
              <w:rPr>
                <w:rFonts w:ascii="宋体"/>
                <w:vanish/>
              </w:rPr>
            </w:pPr>
          </w:p>
        </w:tc>
        <w:tc>
          <w:tcPr>
            <w:tcW w:w="0" w:type="auto"/>
            <w:gridSpan w:val="3"/>
            <w:shd w:val="clear" w:color="auto" w:fill="auto"/>
            <w:vAlign w:val="bottom"/>
          </w:tcPr>
          <w:p w14:paraId="74DDFAE7" w14:textId="77777777" w:rsidR="00584EC1" w:rsidRDefault="00584EC1">
            <w:pPr>
              <w:rPr>
                <w:rFonts w:ascii="宋体"/>
                <w:vanish/>
              </w:rPr>
            </w:pPr>
          </w:p>
        </w:tc>
        <w:tc>
          <w:tcPr>
            <w:tcW w:w="0" w:type="auto"/>
            <w:gridSpan w:val="3"/>
            <w:shd w:val="clear" w:color="auto" w:fill="auto"/>
            <w:vAlign w:val="bottom"/>
          </w:tcPr>
          <w:p w14:paraId="74DDFAE8" w14:textId="77777777" w:rsidR="00584EC1" w:rsidRDefault="00584EC1">
            <w:pPr>
              <w:rPr>
                <w:rFonts w:ascii="宋体"/>
                <w:vanish/>
              </w:rPr>
            </w:pPr>
          </w:p>
        </w:tc>
        <w:tc>
          <w:tcPr>
            <w:tcW w:w="0" w:type="auto"/>
            <w:gridSpan w:val="3"/>
            <w:shd w:val="clear" w:color="auto" w:fill="auto"/>
            <w:vAlign w:val="bottom"/>
          </w:tcPr>
          <w:p w14:paraId="74DDFAE9" w14:textId="77777777" w:rsidR="00584EC1" w:rsidRDefault="00584EC1">
            <w:pPr>
              <w:rPr>
                <w:rFonts w:ascii="宋体"/>
                <w:vanish/>
              </w:rPr>
            </w:pPr>
          </w:p>
        </w:tc>
        <w:tc>
          <w:tcPr>
            <w:tcW w:w="0" w:type="auto"/>
            <w:gridSpan w:val="3"/>
            <w:shd w:val="clear" w:color="auto" w:fill="auto"/>
            <w:vAlign w:val="bottom"/>
          </w:tcPr>
          <w:p w14:paraId="74DDFAEA" w14:textId="77777777" w:rsidR="00584EC1" w:rsidRDefault="00584EC1">
            <w:pPr>
              <w:rPr>
                <w:rFonts w:ascii="宋体"/>
                <w:vanish/>
              </w:rPr>
            </w:pPr>
          </w:p>
        </w:tc>
      </w:tr>
      <w:tr w:rsidR="00584EC1" w14:paraId="74DDFB00" w14:textId="77777777">
        <w:tc>
          <w:tcPr>
            <w:tcW w:w="0" w:type="auto"/>
            <w:gridSpan w:val="3"/>
            <w:shd w:val="clear" w:color="auto" w:fill="FFFFFF"/>
            <w:tcMar>
              <w:top w:w="40" w:type="dxa"/>
              <w:left w:w="20" w:type="dxa"/>
              <w:bottom w:w="40" w:type="dxa"/>
              <w:right w:w="20" w:type="dxa"/>
            </w:tcMar>
            <w:vAlign w:val="bottom"/>
          </w:tcPr>
          <w:p w14:paraId="74DDFAEC" w14:textId="77777777" w:rsidR="00584EC1" w:rsidRDefault="00871F8D">
            <w:pPr>
              <w:textAlignment w:val="bottom"/>
            </w:pPr>
            <w:r>
              <w:rPr>
                <w:rFonts w:ascii="Arial" w:eastAsia="宋体" w:hAnsi="Arial" w:cs="Arial"/>
                <w:color w:val="000000"/>
                <w:sz w:val="15"/>
                <w:szCs w:val="15"/>
              </w:rPr>
              <w:t>Interest rate contracts</w:t>
            </w:r>
            <w:r>
              <w:rPr>
                <w:rFonts w:ascii="Arial" w:eastAsia="宋体" w:hAnsi="Arial" w:cs="Arial"/>
                <w:color w:val="000000"/>
                <w:sz w:val="9"/>
                <w:szCs w:val="9"/>
              </w:rPr>
              <w:t>(6)</w:t>
            </w:r>
          </w:p>
        </w:tc>
        <w:tc>
          <w:tcPr>
            <w:tcW w:w="0" w:type="auto"/>
            <w:gridSpan w:val="2"/>
            <w:shd w:val="clear" w:color="auto" w:fill="FFFFFF"/>
            <w:tcMar>
              <w:top w:w="40" w:type="dxa"/>
              <w:left w:w="20" w:type="dxa"/>
              <w:bottom w:w="40" w:type="dxa"/>
              <w:right w:w="0" w:type="dxa"/>
            </w:tcMar>
            <w:vAlign w:val="bottom"/>
          </w:tcPr>
          <w:p w14:paraId="74DDFAED" w14:textId="77777777" w:rsidR="00584EC1" w:rsidRDefault="00871F8D">
            <w:pPr>
              <w:jc w:val="right"/>
              <w:textAlignment w:val="bottom"/>
            </w:pPr>
            <w:r>
              <w:rPr>
                <w:rFonts w:ascii="Arial" w:eastAsia="宋体" w:hAnsi="Arial" w:cs="Arial"/>
                <w:b/>
                <w:bCs/>
                <w:color w:val="000000"/>
                <w:sz w:val="15"/>
                <w:szCs w:val="15"/>
              </w:rPr>
              <w:t>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FAE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AE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AF0"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FAF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AF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AF3" w14:textId="77777777" w:rsidR="00584EC1" w:rsidRDefault="00871F8D">
            <w:pPr>
              <w:jc w:val="right"/>
              <w:textAlignment w:val="bottom"/>
            </w:pPr>
            <w:r>
              <w:rPr>
                <w:rFonts w:ascii="Arial" w:eastAsia="宋体" w:hAnsi="Arial" w:cs="Arial"/>
                <w:b/>
                <w:bCs/>
                <w:color w:val="000000"/>
                <w:sz w:val="15"/>
                <w:szCs w:val="15"/>
              </w:rPr>
              <w:t>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FAF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AF5"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AF6"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FAF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AF8"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AF9" w14:textId="77777777" w:rsidR="00584EC1" w:rsidRDefault="00871F8D">
            <w:pPr>
              <w:jc w:val="right"/>
              <w:textAlignment w:val="bottom"/>
            </w:pPr>
            <w:r>
              <w:rPr>
                <w:rFonts w:ascii="Arial" w:eastAsia="宋体" w:hAnsi="Arial" w:cs="Arial"/>
                <w:b/>
                <w:bCs/>
                <w:color w:val="000000"/>
                <w:sz w:val="15"/>
                <w:szCs w:val="15"/>
              </w:rPr>
              <w:t>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FAFA" w14:textId="77777777" w:rsidR="00584EC1" w:rsidRDefault="00584EC1">
            <w:pPr>
              <w:jc w:val="right"/>
              <w:rPr>
                <w:rFonts w:ascii="宋体"/>
              </w:rPr>
            </w:pPr>
          </w:p>
        </w:tc>
        <w:tc>
          <w:tcPr>
            <w:tcW w:w="0" w:type="auto"/>
            <w:shd w:val="clear" w:color="auto" w:fill="auto"/>
            <w:vAlign w:val="bottom"/>
          </w:tcPr>
          <w:p w14:paraId="74DDFAFB" w14:textId="77777777" w:rsidR="00584EC1" w:rsidRDefault="00584EC1">
            <w:pPr>
              <w:rPr>
                <w:rFonts w:ascii="宋体"/>
                <w:vanish/>
              </w:rPr>
            </w:pPr>
          </w:p>
        </w:tc>
        <w:tc>
          <w:tcPr>
            <w:tcW w:w="0" w:type="auto"/>
            <w:gridSpan w:val="3"/>
            <w:shd w:val="clear" w:color="auto" w:fill="auto"/>
            <w:vAlign w:val="bottom"/>
          </w:tcPr>
          <w:p w14:paraId="74DDFAFC" w14:textId="77777777" w:rsidR="00584EC1" w:rsidRDefault="00584EC1">
            <w:pPr>
              <w:rPr>
                <w:rFonts w:ascii="宋体"/>
                <w:vanish/>
              </w:rPr>
            </w:pPr>
          </w:p>
        </w:tc>
        <w:tc>
          <w:tcPr>
            <w:tcW w:w="0" w:type="auto"/>
            <w:gridSpan w:val="3"/>
            <w:shd w:val="clear" w:color="auto" w:fill="auto"/>
            <w:vAlign w:val="bottom"/>
          </w:tcPr>
          <w:p w14:paraId="74DDFAFD" w14:textId="77777777" w:rsidR="00584EC1" w:rsidRDefault="00584EC1">
            <w:pPr>
              <w:rPr>
                <w:rFonts w:ascii="宋体"/>
                <w:vanish/>
              </w:rPr>
            </w:pPr>
          </w:p>
        </w:tc>
        <w:tc>
          <w:tcPr>
            <w:tcW w:w="0" w:type="auto"/>
            <w:gridSpan w:val="3"/>
            <w:shd w:val="clear" w:color="auto" w:fill="auto"/>
            <w:vAlign w:val="bottom"/>
          </w:tcPr>
          <w:p w14:paraId="74DDFAFE" w14:textId="77777777" w:rsidR="00584EC1" w:rsidRDefault="00584EC1">
            <w:pPr>
              <w:rPr>
                <w:rFonts w:ascii="宋体"/>
                <w:vanish/>
              </w:rPr>
            </w:pPr>
          </w:p>
        </w:tc>
        <w:tc>
          <w:tcPr>
            <w:tcW w:w="0" w:type="auto"/>
            <w:gridSpan w:val="3"/>
            <w:shd w:val="clear" w:color="auto" w:fill="auto"/>
            <w:vAlign w:val="bottom"/>
          </w:tcPr>
          <w:p w14:paraId="74DDFAFF" w14:textId="77777777" w:rsidR="00584EC1" w:rsidRDefault="00584EC1">
            <w:pPr>
              <w:rPr>
                <w:rFonts w:ascii="宋体"/>
                <w:vanish/>
              </w:rPr>
            </w:pPr>
          </w:p>
        </w:tc>
      </w:tr>
      <w:tr w:rsidR="00584EC1" w14:paraId="74DDFB10" w14:textId="77777777">
        <w:trPr>
          <w:hidden/>
        </w:trPr>
        <w:tc>
          <w:tcPr>
            <w:tcW w:w="0" w:type="auto"/>
            <w:gridSpan w:val="3"/>
            <w:shd w:val="clear" w:color="auto" w:fill="auto"/>
            <w:vAlign w:val="bottom"/>
          </w:tcPr>
          <w:p w14:paraId="74DDFB01" w14:textId="77777777" w:rsidR="00584EC1" w:rsidRDefault="00584EC1">
            <w:pPr>
              <w:rPr>
                <w:rFonts w:ascii="宋体"/>
                <w:vanish/>
              </w:rPr>
            </w:pPr>
          </w:p>
        </w:tc>
        <w:tc>
          <w:tcPr>
            <w:tcW w:w="0" w:type="auto"/>
            <w:gridSpan w:val="3"/>
            <w:shd w:val="clear" w:color="auto" w:fill="auto"/>
            <w:vAlign w:val="bottom"/>
          </w:tcPr>
          <w:p w14:paraId="74DDFB02" w14:textId="77777777" w:rsidR="00584EC1" w:rsidRDefault="00584EC1">
            <w:pPr>
              <w:rPr>
                <w:rFonts w:ascii="宋体"/>
                <w:vanish/>
              </w:rPr>
            </w:pPr>
          </w:p>
        </w:tc>
        <w:tc>
          <w:tcPr>
            <w:tcW w:w="0" w:type="auto"/>
            <w:gridSpan w:val="3"/>
            <w:shd w:val="clear" w:color="auto" w:fill="auto"/>
            <w:vAlign w:val="bottom"/>
          </w:tcPr>
          <w:p w14:paraId="74DDFB03" w14:textId="77777777" w:rsidR="00584EC1" w:rsidRDefault="00584EC1">
            <w:pPr>
              <w:rPr>
                <w:rFonts w:ascii="宋体"/>
                <w:vanish/>
              </w:rPr>
            </w:pPr>
          </w:p>
        </w:tc>
        <w:tc>
          <w:tcPr>
            <w:tcW w:w="0" w:type="auto"/>
            <w:gridSpan w:val="3"/>
            <w:shd w:val="clear" w:color="auto" w:fill="auto"/>
            <w:vAlign w:val="bottom"/>
          </w:tcPr>
          <w:p w14:paraId="74DDFB04" w14:textId="77777777" w:rsidR="00584EC1" w:rsidRDefault="00584EC1">
            <w:pPr>
              <w:rPr>
                <w:rFonts w:ascii="宋体"/>
                <w:vanish/>
              </w:rPr>
            </w:pPr>
          </w:p>
        </w:tc>
        <w:tc>
          <w:tcPr>
            <w:tcW w:w="0" w:type="auto"/>
            <w:gridSpan w:val="3"/>
            <w:shd w:val="clear" w:color="auto" w:fill="auto"/>
            <w:vAlign w:val="bottom"/>
          </w:tcPr>
          <w:p w14:paraId="74DDFB05" w14:textId="77777777" w:rsidR="00584EC1" w:rsidRDefault="00584EC1">
            <w:pPr>
              <w:rPr>
                <w:rFonts w:ascii="宋体"/>
                <w:vanish/>
              </w:rPr>
            </w:pPr>
          </w:p>
        </w:tc>
        <w:tc>
          <w:tcPr>
            <w:tcW w:w="0" w:type="auto"/>
            <w:gridSpan w:val="3"/>
            <w:shd w:val="clear" w:color="auto" w:fill="auto"/>
            <w:vAlign w:val="bottom"/>
          </w:tcPr>
          <w:p w14:paraId="74DDFB06" w14:textId="77777777" w:rsidR="00584EC1" w:rsidRDefault="00584EC1">
            <w:pPr>
              <w:rPr>
                <w:rFonts w:ascii="宋体"/>
                <w:vanish/>
              </w:rPr>
            </w:pPr>
          </w:p>
        </w:tc>
        <w:tc>
          <w:tcPr>
            <w:tcW w:w="0" w:type="auto"/>
            <w:gridSpan w:val="3"/>
            <w:shd w:val="clear" w:color="auto" w:fill="auto"/>
            <w:vAlign w:val="bottom"/>
          </w:tcPr>
          <w:p w14:paraId="74DDFB07" w14:textId="77777777" w:rsidR="00584EC1" w:rsidRDefault="00584EC1">
            <w:pPr>
              <w:rPr>
                <w:rFonts w:ascii="宋体"/>
                <w:vanish/>
              </w:rPr>
            </w:pPr>
          </w:p>
        </w:tc>
        <w:tc>
          <w:tcPr>
            <w:tcW w:w="0" w:type="auto"/>
            <w:gridSpan w:val="3"/>
            <w:shd w:val="clear" w:color="auto" w:fill="auto"/>
            <w:vAlign w:val="bottom"/>
          </w:tcPr>
          <w:p w14:paraId="74DDFB08" w14:textId="77777777" w:rsidR="00584EC1" w:rsidRDefault="00584EC1">
            <w:pPr>
              <w:rPr>
                <w:rFonts w:ascii="宋体"/>
                <w:vanish/>
              </w:rPr>
            </w:pPr>
          </w:p>
        </w:tc>
        <w:tc>
          <w:tcPr>
            <w:tcW w:w="0" w:type="auto"/>
            <w:gridSpan w:val="3"/>
            <w:shd w:val="clear" w:color="auto" w:fill="auto"/>
            <w:vAlign w:val="bottom"/>
          </w:tcPr>
          <w:p w14:paraId="74DDFB09" w14:textId="77777777" w:rsidR="00584EC1" w:rsidRDefault="00584EC1">
            <w:pPr>
              <w:rPr>
                <w:rFonts w:ascii="宋体"/>
                <w:vanish/>
              </w:rPr>
            </w:pPr>
          </w:p>
        </w:tc>
        <w:tc>
          <w:tcPr>
            <w:tcW w:w="0" w:type="auto"/>
            <w:gridSpan w:val="3"/>
            <w:shd w:val="clear" w:color="auto" w:fill="auto"/>
            <w:vAlign w:val="bottom"/>
          </w:tcPr>
          <w:p w14:paraId="74DDFB0A" w14:textId="77777777" w:rsidR="00584EC1" w:rsidRDefault="00584EC1">
            <w:pPr>
              <w:rPr>
                <w:rFonts w:ascii="宋体"/>
                <w:vanish/>
              </w:rPr>
            </w:pPr>
          </w:p>
        </w:tc>
        <w:tc>
          <w:tcPr>
            <w:tcW w:w="0" w:type="auto"/>
            <w:shd w:val="clear" w:color="auto" w:fill="auto"/>
            <w:vAlign w:val="bottom"/>
          </w:tcPr>
          <w:p w14:paraId="74DDFB0B" w14:textId="77777777" w:rsidR="00584EC1" w:rsidRDefault="00584EC1">
            <w:pPr>
              <w:rPr>
                <w:rFonts w:ascii="宋体"/>
                <w:vanish/>
              </w:rPr>
            </w:pPr>
          </w:p>
        </w:tc>
        <w:tc>
          <w:tcPr>
            <w:tcW w:w="0" w:type="auto"/>
            <w:gridSpan w:val="3"/>
            <w:shd w:val="clear" w:color="auto" w:fill="auto"/>
            <w:vAlign w:val="bottom"/>
          </w:tcPr>
          <w:p w14:paraId="74DDFB0C" w14:textId="77777777" w:rsidR="00584EC1" w:rsidRDefault="00584EC1">
            <w:pPr>
              <w:rPr>
                <w:rFonts w:ascii="宋体"/>
                <w:vanish/>
              </w:rPr>
            </w:pPr>
          </w:p>
        </w:tc>
        <w:tc>
          <w:tcPr>
            <w:tcW w:w="0" w:type="auto"/>
            <w:gridSpan w:val="3"/>
            <w:shd w:val="clear" w:color="auto" w:fill="auto"/>
            <w:vAlign w:val="bottom"/>
          </w:tcPr>
          <w:p w14:paraId="74DDFB0D" w14:textId="77777777" w:rsidR="00584EC1" w:rsidRDefault="00584EC1">
            <w:pPr>
              <w:rPr>
                <w:rFonts w:ascii="宋体"/>
                <w:vanish/>
              </w:rPr>
            </w:pPr>
          </w:p>
        </w:tc>
        <w:tc>
          <w:tcPr>
            <w:tcW w:w="0" w:type="auto"/>
            <w:gridSpan w:val="3"/>
            <w:shd w:val="clear" w:color="auto" w:fill="auto"/>
            <w:vAlign w:val="bottom"/>
          </w:tcPr>
          <w:p w14:paraId="74DDFB0E" w14:textId="77777777" w:rsidR="00584EC1" w:rsidRDefault="00584EC1">
            <w:pPr>
              <w:rPr>
                <w:rFonts w:ascii="宋体"/>
                <w:vanish/>
              </w:rPr>
            </w:pPr>
          </w:p>
        </w:tc>
        <w:tc>
          <w:tcPr>
            <w:tcW w:w="0" w:type="auto"/>
            <w:gridSpan w:val="3"/>
            <w:shd w:val="clear" w:color="auto" w:fill="auto"/>
            <w:vAlign w:val="bottom"/>
          </w:tcPr>
          <w:p w14:paraId="74DDFB0F" w14:textId="77777777" w:rsidR="00584EC1" w:rsidRDefault="00584EC1">
            <w:pPr>
              <w:rPr>
                <w:rFonts w:ascii="宋体"/>
                <w:vanish/>
              </w:rPr>
            </w:pPr>
          </w:p>
        </w:tc>
      </w:tr>
      <w:tr w:rsidR="00584EC1" w14:paraId="74DDFB20" w14:textId="77777777">
        <w:trPr>
          <w:hidden/>
        </w:trPr>
        <w:tc>
          <w:tcPr>
            <w:tcW w:w="0" w:type="auto"/>
            <w:gridSpan w:val="3"/>
            <w:shd w:val="clear" w:color="auto" w:fill="auto"/>
            <w:vAlign w:val="bottom"/>
          </w:tcPr>
          <w:p w14:paraId="74DDFB11" w14:textId="77777777" w:rsidR="00584EC1" w:rsidRDefault="00584EC1">
            <w:pPr>
              <w:rPr>
                <w:rFonts w:ascii="宋体"/>
                <w:vanish/>
              </w:rPr>
            </w:pPr>
          </w:p>
        </w:tc>
        <w:tc>
          <w:tcPr>
            <w:tcW w:w="0" w:type="auto"/>
            <w:gridSpan w:val="3"/>
            <w:shd w:val="clear" w:color="auto" w:fill="auto"/>
            <w:vAlign w:val="bottom"/>
          </w:tcPr>
          <w:p w14:paraId="74DDFB12" w14:textId="77777777" w:rsidR="00584EC1" w:rsidRDefault="00584EC1">
            <w:pPr>
              <w:rPr>
                <w:rFonts w:ascii="宋体"/>
                <w:vanish/>
              </w:rPr>
            </w:pPr>
          </w:p>
        </w:tc>
        <w:tc>
          <w:tcPr>
            <w:tcW w:w="0" w:type="auto"/>
            <w:gridSpan w:val="3"/>
            <w:shd w:val="clear" w:color="auto" w:fill="auto"/>
            <w:vAlign w:val="bottom"/>
          </w:tcPr>
          <w:p w14:paraId="74DDFB13" w14:textId="77777777" w:rsidR="00584EC1" w:rsidRDefault="00584EC1">
            <w:pPr>
              <w:rPr>
                <w:rFonts w:ascii="宋体"/>
                <w:vanish/>
              </w:rPr>
            </w:pPr>
          </w:p>
        </w:tc>
        <w:tc>
          <w:tcPr>
            <w:tcW w:w="0" w:type="auto"/>
            <w:gridSpan w:val="3"/>
            <w:shd w:val="clear" w:color="auto" w:fill="auto"/>
            <w:vAlign w:val="bottom"/>
          </w:tcPr>
          <w:p w14:paraId="74DDFB14" w14:textId="77777777" w:rsidR="00584EC1" w:rsidRDefault="00584EC1">
            <w:pPr>
              <w:rPr>
                <w:rFonts w:ascii="宋体"/>
                <w:vanish/>
              </w:rPr>
            </w:pPr>
          </w:p>
        </w:tc>
        <w:tc>
          <w:tcPr>
            <w:tcW w:w="0" w:type="auto"/>
            <w:gridSpan w:val="3"/>
            <w:shd w:val="clear" w:color="auto" w:fill="auto"/>
            <w:vAlign w:val="bottom"/>
          </w:tcPr>
          <w:p w14:paraId="74DDFB15" w14:textId="77777777" w:rsidR="00584EC1" w:rsidRDefault="00584EC1">
            <w:pPr>
              <w:rPr>
                <w:rFonts w:ascii="宋体"/>
                <w:vanish/>
              </w:rPr>
            </w:pPr>
          </w:p>
        </w:tc>
        <w:tc>
          <w:tcPr>
            <w:tcW w:w="0" w:type="auto"/>
            <w:gridSpan w:val="3"/>
            <w:shd w:val="clear" w:color="auto" w:fill="auto"/>
            <w:vAlign w:val="bottom"/>
          </w:tcPr>
          <w:p w14:paraId="74DDFB16" w14:textId="77777777" w:rsidR="00584EC1" w:rsidRDefault="00584EC1">
            <w:pPr>
              <w:rPr>
                <w:rFonts w:ascii="宋体"/>
                <w:vanish/>
              </w:rPr>
            </w:pPr>
          </w:p>
        </w:tc>
        <w:tc>
          <w:tcPr>
            <w:tcW w:w="0" w:type="auto"/>
            <w:gridSpan w:val="3"/>
            <w:shd w:val="clear" w:color="auto" w:fill="auto"/>
            <w:vAlign w:val="bottom"/>
          </w:tcPr>
          <w:p w14:paraId="74DDFB17" w14:textId="77777777" w:rsidR="00584EC1" w:rsidRDefault="00584EC1">
            <w:pPr>
              <w:rPr>
                <w:rFonts w:ascii="宋体"/>
                <w:vanish/>
              </w:rPr>
            </w:pPr>
          </w:p>
        </w:tc>
        <w:tc>
          <w:tcPr>
            <w:tcW w:w="0" w:type="auto"/>
            <w:gridSpan w:val="3"/>
            <w:shd w:val="clear" w:color="auto" w:fill="auto"/>
            <w:vAlign w:val="bottom"/>
          </w:tcPr>
          <w:p w14:paraId="74DDFB18" w14:textId="77777777" w:rsidR="00584EC1" w:rsidRDefault="00584EC1">
            <w:pPr>
              <w:rPr>
                <w:rFonts w:ascii="宋体"/>
                <w:vanish/>
              </w:rPr>
            </w:pPr>
          </w:p>
        </w:tc>
        <w:tc>
          <w:tcPr>
            <w:tcW w:w="0" w:type="auto"/>
            <w:gridSpan w:val="3"/>
            <w:shd w:val="clear" w:color="auto" w:fill="auto"/>
            <w:vAlign w:val="bottom"/>
          </w:tcPr>
          <w:p w14:paraId="74DDFB19" w14:textId="77777777" w:rsidR="00584EC1" w:rsidRDefault="00584EC1">
            <w:pPr>
              <w:rPr>
                <w:rFonts w:ascii="宋体"/>
                <w:vanish/>
              </w:rPr>
            </w:pPr>
          </w:p>
        </w:tc>
        <w:tc>
          <w:tcPr>
            <w:tcW w:w="0" w:type="auto"/>
            <w:gridSpan w:val="3"/>
            <w:shd w:val="clear" w:color="auto" w:fill="auto"/>
            <w:vAlign w:val="bottom"/>
          </w:tcPr>
          <w:p w14:paraId="74DDFB1A" w14:textId="77777777" w:rsidR="00584EC1" w:rsidRDefault="00584EC1">
            <w:pPr>
              <w:rPr>
                <w:rFonts w:ascii="宋体"/>
                <w:vanish/>
              </w:rPr>
            </w:pPr>
          </w:p>
        </w:tc>
        <w:tc>
          <w:tcPr>
            <w:tcW w:w="0" w:type="auto"/>
            <w:shd w:val="clear" w:color="auto" w:fill="auto"/>
            <w:vAlign w:val="bottom"/>
          </w:tcPr>
          <w:p w14:paraId="74DDFB1B" w14:textId="77777777" w:rsidR="00584EC1" w:rsidRDefault="00584EC1">
            <w:pPr>
              <w:rPr>
                <w:rFonts w:ascii="宋体"/>
                <w:vanish/>
              </w:rPr>
            </w:pPr>
          </w:p>
        </w:tc>
        <w:tc>
          <w:tcPr>
            <w:tcW w:w="0" w:type="auto"/>
            <w:gridSpan w:val="3"/>
            <w:shd w:val="clear" w:color="auto" w:fill="auto"/>
            <w:vAlign w:val="bottom"/>
          </w:tcPr>
          <w:p w14:paraId="74DDFB1C" w14:textId="77777777" w:rsidR="00584EC1" w:rsidRDefault="00584EC1">
            <w:pPr>
              <w:rPr>
                <w:rFonts w:ascii="宋体"/>
                <w:vanish/>
              </w:rPr>
            </w:pPr>
          </w:p>
        </w:tc>
        <w:tc>
          <w:tcPr>
            <w:tcW w:w="0" w:type="auto"/>
            <w:gridSpan w:val="3"/>
            <w:shd w:val="clear" w:color="auto" w:fill="auto"/>
            <w:vAlign w:val="bottom"/>
          </w:tcPr>
          <w:p w14:paraId="74DDFB1D" w14:textId="77777777" w:rsidR="00584EC1" w:rsidRDefault="00584EC1">
            <w:pPr>
              <w:rPr>
                <w:rFonts w:ascii="宋体"/>
                <w:vanish/>
              </w:rPr>
            </w:pPr>
          </w:p>
        </w:tc>
        <w:tc>
          <w:tcPr>
            <w:tcW w:w="0" w:type="auto"/>
            <w:gridSpan w:val="3"/>
            <w:shd w:val="clear" w:color="auto" w:fill="auto"/>
            <w:vAlign w:val="bottom"/>
          </w:tcPr>
          <w:p w14:paraId="74DDFB1E" w14:textId="77777777" w:rsidR="00584EC1" w:rsidRDefault="00584EC1">
            <w:pPr>
              <w:rPr>
                <w:rFonts w:ascii="宋体"/>
                <w:vanish/>
              </w:rPr>
            </w:pPr>
          </w:p>
        </w:tc>
        <w:tc>
          <w:tcPr>
            <w:tcW w:w="0" w:type="auto"/>
            <w:gridSpan w:val="3"/>
            <w:shd w:val="clear" w:color="auto" w:fill="auto"/>
            <w:vAlign w:val="bottom"/>
          </w:tcPr>
          <w:p w14:paraId="74DDFB1F" w14:textId="77777777" w:rsidR="00584EC1" w:rsidRDefault="00584EC1">
            <w:pPr>
              <w:rPr>
                <w:rFonts w:ascii="宋体"/>
                <w:vanish/>
              </w:rPr>
            </w:pPr>
          </w:p>
        </w:tc>
      </w:tr>
      <w:tr w:rsidR="00584EC1" w14:paraId="74DDFB30" w14:textId="77777777">
        <w:trPr>
          <w:hidden/>
        </w:trPr>
        <w:tc>
          <w:tcPr>
            <w:tcW w:w="0" w:type="auto"/>
            <w:gridSpan w:val="3"/>
            <w:shd w:val="clear" w:color="auto" w:fill="auto"/>
            <w:vAlign w:val="bottom"/>
          </w:tcPr>
          <w:p w14:paraId="74DDFB21" w14:textId="77777777" w:rsidR="00584EC1" w:rsidRDefault="00584EC1">
            <w:pPr>
              <w:rPr>
                <w:rFonts w:ascii="宋体"/>
                <w:vanish/>
              </w:rPr>
            </w:pPr>
          </w:p>
        </w:tc>
        <w:tc>
          <w:tcPr>
            <w:tcW w:w="0" w:type="auto"/>
            <w:gridSpan w:val="3"/>
            <w:shd w:val="clear" w:color="auto" w:fill="auto"/>
            <w:vAlign w:val="bottom"/>
          </w:tcPr>
          <w:p w14:paraId="74DDFB22" w14:textId="77777777" w:rsidR="00584EC1" w:rsidRDefault="00584EC1">
            <w:pPr>
              <w:rPr>
                <w:rFonts w:ascii="宋体"/>
                <w:vanish/>
              </w:rPr>
            </w:pPr>
          </w:p>
        </w:tc>
        <w:tc>
          <w:tcPr>
            <w:tcW w:w="0" w:type="auto"/>
            <w:gridSpan w:val="3"/>
            <w:shd w:val="clear" w:color="auto" w:fill="auto"/>
            <w:vAlign w:val="bottom"/>
          </w:tcPr>
          <w:p w14:paraId="74DDFB23" w14:textId="77777777" w:rsidR="00584EC1" w:rsidRDefault="00584EC1">
            <w:pPr>
              <w:rPr>
                <w:rFonts w:ascii="宋体"/>
                <w:vanish/>
              </w:rPr>
            </w:pPr>
          </w:p>
        </w:tc>
        <w:tc>
          <w:tcPr>
            <w:tcW w:w="0" w:type="auto"/>
            <w:gridSpan w:val="3"/>
            <w:shd w:val="clear" w:color="auto" w:fill="auto"/>
            <w:vAlign w:val="bottom"/>
          </w:tcPr>
          <w:p w14:paraId="74DDFB24" w14:textId="77777777" w:rsidR="00584EC1" w:rsidRDefault="00584EC1">
            <w:pPr>
              <w:rPr>
                <w:rFonts w:ascii="宋体"/>
                <w:vanish/>
              </w:rPr>
            </w:pPr>
          </w:p>
        </w:tc>
        <w:tc>
          <w:tcPr>
            <w:tcW w:w="0" w:type="auto"/>
            <w:gridSpan w:val="3"/>
            <w:shd w:val="clear" w:color="auto" w:fill="auto"/>
            <w:vAlign w:val="bottom"/>
          </w:tcPr>
          <w:p w14:paraId="74DDFB25" w14:textId="77777777" w:rsidR="00584EC1" w:rsidRDefault="00584EC1">
            <w:pPr>
              <w:rPr>
                <w:rFonts w:ascii="宋体"/>
                <w:vanish/>
              </w:rPr>
            </w:pPr>
          </w:p>
        </w:tc>
        <w:tc>
          <w:tcPr>
            <w:tcW w:w="0" w:type="auto"/>
            <w:gridSpan w:val="3"/>
            <w:shd w:val="clear" w:color="auto" w:fill="auto"/>
            <w:vAlign w:val="bottom"/>
          </w:tcPr>
          <w:p w14:paraId="74DDFB26" w14:textId="77777777" w:rsidR="00584EC1" w:rsidRDefault="00584EC1">
            <w:pPr>
              <w:rPr>
                <w:rFonts w:ascii="宋体"/>
                <w:vanish/>
              </w:rPr>
            </w:pPr>
          </w:p>
        </w:tc>
        <w:tc>
          <w:tcPr>
            <w:tcW w:w="0" w:type="auto"/>
            <w:gridSpan w:val="3"/>
            <w:shd w:val="clear" w:color="auto" w:fill="auto"/>
            <w:vAlign w:val="bottom"/>
          </w:tcPr>
          <w:p w14:paraId="74DDFB27" w14:textId="77777777" w:rsidR="00584EC1" w:rsidRDefault="00584EC1">
            <w:pPr>
              <w:rPr>
                <w:rFonts w:ascii="宋体"/>
                <w:vanish/>
              </w:rPr>
            </w:pPr>
          </w:p>
        </w:tc>
        <w:tc>
          <w:tcPr>
            <w:tcW w:w="0" w:type="auto"/>
            <w:gridSpan w:val="3"/>
            <w:shd w:val="clear" w:color="auto" w:fill="auto"/>
            <w:vAlign w:val="bottom"/>
          </w:tcPr>
          <w:p w14:paraId="74DDFB28" w14:textId="77777777" w:rsidR="00584EC1" w:rsidRDefault="00584EC1">
            <w:pPr>
              <w:rPr>
                <w:rFonts w:ascii="宋体"/>
                <w:vanish/>
              </w:rPr>
            </w:pPr>
          </w:p>
        </w:tc>
        <w:tc>
          <w:tcPr>
            <w:tcW w:w="0" w:type="auto"/>
            <w:gridSpan w:val="3"/>
            <w:shd w:val="clear" w:color="auto" w:fill="auto"/>
            <w:vAlign w:val="bottom"/>
          </w:tcPr>
          <w:p w14:paraId="74DDFB29" w14:textId="77777777" w:rsidR="00584EC1" w:rsidRDefault="00584EC1">
            <w:pPr>
              <w:rPr>
                <w:rFonts w:ascii="宋体"/>
                <w:vanish/>
              </w:rPr>
            </w:pPr>
          </w:p>
        </w:tc>
        <w:tc>
          <w:tcPr>
            <w:tcW w:w="0" w:type="auto"/>
            <w:gridSpan w:val="3"/>
            <w:shd w:val="clear" w:color="auto" w:fill="auto"/>
            <w:vAlign w:val="bottom"/>
          </w:tcPr>
          <w:p w14:paraId="74DDFB2A" w14:textId="77777777" w:rsidR="00584EC1" w:rsidRDefault="00584EC1">
            <w:pPr>
              <w:rPr>
                <w:rFonts w:ascii="宋体"/>
                <w:vanish/>
              </w:rPr>
            </w:pPr>
          </w:p>
        </w:tc>
        <w:tc>
          <w:tcPr>
            <w:tcW w:w="0" w:type="auto"/>
            <w:shd w:val="clear" w:color="auto" w:fill="auto"/>
            <w:vAlign w:val="bottom"/>
          </w:tcPr>
          <w:p w14:paraId="74DDFB2B" w14:textId="77777777" w:rsidR="00584EC1" w:rsidRDefault="00584EC1">
            <w:pPr>
              <w:rPr>
                <w:rFonts w:ascii="宋体"/>
                <w:vanish/>
              </w:rPr>
            </w:pPr>
          </w:p>
        </w:tc>
        <w:tc>
          <w:tcPr>
            <w:tcW w:w="0" w:type="auto"/>
            <w:gridSpan w:val="3"/>
            <w:shd w:val="clear" w:color="auto" w:fill="auto"/>
            <w:vAlign w:val="bottom"/>
          </w:tcPr>
          <w:p w14:paraId="74DDFB2C" w14:textId="77777777" w:rsidR="00584EC1" w:rsidRDefault="00584EC1">
            <w:pPr>
              <w:rPr>
                <w:rFonts w:ascii="宋体"/>
                <w:vanish/>
              </w:rPr>
            </w:pPr>
          </w:p>
        </w:tc>
        <w:tc>
          <w:tcPr>
            <w:tcW w:w="0" w:type="auto"/>
            <w:gridSpan w:val="3"/>
            <w:shd w:val="clear" w:color="auto" w:fill="auto"/>
            <w:vAlign w:val="bottom"/>
          </w:tcPr>
          <w:p w14:paraId="74DDFB2D" w14:textId="77777777" w:rsidR="00584EC1" w:rsidRDefault="00584EC1">
            <w:pPr>
              <w:rPr>
                <w:rFonts w:ascii="宋体"/>
                <w:vanish/>
              </w:rPr>
            </w:pPr>
          </w:p>
        </w:tc>
        <w:tc>
          <w:tcPr>
            <w:tcW w:w="0" w:type="auto"/>
            <w:gridSpan w:val="3"/>
            <w:shd w:val="clear" w:color="auto" w:fill="auto"/>
            <w:vAlign w:val="bottom"/>
          </w:tcPr>
          <w:p w14:paraId="74DDFB2E" w14:textId="77777777" w:rsidR="00584EC1" w:rsidRDefault="00584EC1">
            <w:pPr>
              <w:rPr>
                <w:rFonts w:ascii="宋体"/>
                <w:vanish/>
              </w:rPr>
            </w:pPr>
          </w:p>
        </w:tc>
        <w:tc>
          <w:tcPr>
            <w:tcW w:w="0" w:type="auto"/>
            <w:gridSpan w:val="3"/>
            <w:shd w:val="clear" w:color="auto" w:fill="auto"/>
            <w:vAlign w:val="bottom"/>
          </w:tcPr>
          <w:p w14:paraId="74DDFB2F" w14:textId="77777777" w:rsidR="00584EC1" w:rsidRDefault="00584EC1">
            <w:pPr>
              <w:rPr>
                <w:rFonts w:ascii="宋体"/>
                <w:vanish/>
              </w:rPr>
            </w:pPr>
          </w:p>
        </w:tc>
      </w:tr>
      <w:tr w:rsidR="00584EC1" w14:paraId="74DDFB44" w14:textId="77777777">
        <w:tc>
          <w:tcPr>
            <w:tcW w:w="0" w:type="auto"/>
            <w:gridSpan w:val="3"/>
            <w:shd w:val="clear" w:color="auto" w:fill="CCEEFF"/>
            <w:tcMar>
              <w:top w:w="40" w:type="dxa"/>
              <w:left w:w="20" w:type="dxa"/>
              <w:bottom w:w="40" w:type="dxa"/>
              <w:right w:w="20" w:type="dxa"/>
            </w:tcMar>
            <w:vAlign w:val="bottom"/>
          </w:tcPr>
          <w:p w14:paraId="74DDFB31" w14:textId="77777777" w:rsidR="00584EC1" w:rsidRDefault="00871F8D">
            <w:pPr>
              <w:textAlignment w:val="bottom"/>
            </w:pPr>
            <w:r>
              <w:rPr>
                <w:rFonts w:ascii="Arial" w:eastAsia="宋体" w:hAnsi="Arial" w:cs="Arial"/>
                <w:color w:val="000000"/>
                <w:sz w:val="15"/>
                <w:szCs w:val="15"/>
              </w:rPr>
              <w:t>Cash collateral and securities netting</w:t>
            </w:r>
          </w:p>
        </w:tc>
        <w:tc>
          <w:tcPr>
            <w:tcW w:w="0" w:type="auto"/>
            <w:gridSpan w:val="3"/>
            <w:shd w:val="clear" w:color="auto" w:fill="CCEEFF"/>
            <w:tcMar>
              <w:top w:w="40" w:type="dxa"/>
              <w:left w:w="20" w:type="dxa"/>
              <w:bottom w:w="40" w:type="dxa"/>
              <w:right w:w="20" w:type="dxa"/>
            </w:tcMar>
            <w:vAlign w:val="bottom"/>
          </w:tcPr>
          <w:p w14:paraId="74DDFB32" w14:textId="77777777" w:rsidR="00584EC1" w:rsidRDefault="00871F8D">
            <w:pPr>
              <w:jc w:val="right"/>
              <w:textAlignment w:val="bottom"/>
            </w:pPr>
            <w:r>
              <w:rPr>
                <w:rFonts w:ascii="Arial" w:eastAsia="宋体" w:hAnsi="Arial" w:cs="Arial"/>
                <w:b/>
                <w:bCs/>
                <w:color w:val="000000"/>
                <w:sz w:val="15"/>
                <w:szCs w:val="15"/>
              </w:rPr>
              <w:t>NA</w:t>
            </w:r>
          </w:p>
        </w:tc>
        <w:tc>
          <w:tcPr>
            <w:tcW w:w="0" w:type="auto"/>
            <w:gridSpan w:val="3"/>
            <w:shd w:val="clear" w:color="auto" w:fill="CCEEFF"/>
            <w:tcMar>
              <w:top w:w="0" w:type="dxa"/>
              <w:left w:w="20" w:type="dxa"/>
              <w:bottom w:w="0" w:type="dxa"/>
              <w:right w:w="20" w:type="dxa"/>
            </w:tcMar>
            <w:vAlign w:val="bottom"/>
          </w:tcPr>
          <w:p w14:paraId="74DDFB33"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FB34" w14:textId="77777777" w:rsidR="00584EC1" w:rsidRDefault="00871F8D">
            <w:pPr>
              <w:jc w:val="right"/>
              <w:textAlignment w:val="bottom"/>
            </w:pPr>
            <w:r>
              <w:rPr>
                <w:rFonts w:ascii="Arial" w:eastAsia="宋体" w:hAnsi="Arial" w:cs="Arial"/>
                <w:b/>
                <w:bCs/>
                <w:color w:val="000000"/>
                <w:sz w:val="15"/>
                <w:szCs w:val="15"/>
              </w:rPr>
              <w:t>(1,225)</w:t>
            </w:r>
          </w:p>
        </w:tc>
        <w:tc>
          <w:tcPr>
            <w:tcW w:w="0" w:type="auto"/>
            <w:shd w:val="clear" w:color="auto" w:fill="CCEEFF"/>
            <w:tcMar>
              <w:top w:w="40" w:type="dxa"/>
              <w:left w:w="0" w:type="dxa"/>
              <w:bottom w:w="40" w:type="dxa"/>
              <w:right w:w="20" w:type="dxa"/>
            </w:tcMar>
            <w:vAlign w:val="bottom"/>
          </w:tcPr>
          <w:p w14:paraId="74DDFB3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B3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FB37" w14:textId="77777777" w:rsidR="00584EC1" w:rsidRDefault="00871F8D">
            <w:pPr>
              <w:jc w:val="right"/>
              <w:textAlignment w:val="bottom"/>
            </w:pPr>
            <w:r>
              <w:rPr>
                <w:rFonts w:ascii="Arial" w:eastAsia="宋体" w:hAnsi="Arial" w:cs="Arial"/>
                <w:b/>
                <w:bCs/>
                <w:color w:val="000000"/>
                <w:sz w:val="15"/>
                <w:szCs w:val="15"/>
              </w:rPr>
              <w:t>(1,225)</w:t>
            </w:r>
          </w:p>
        </w:tc>
        <w:tc>
          <w:tcPr>
            <w:tcW w:w="0" w:type="auto"/>
            <w:shd w:val="clear" w:color="auto" w:fill="CCEEFF"/>
            <w:tcMar>
              <w:top w:w="40" w:type="dxa"/>
              <w:left w:w="0" w:type="dxa"/>
              <w:bottom w:w="40" w:type="dxa"/>
              <w:right w:w="20" w:type="dxa"/>
            </w:tcMar>
            <w:vAlign w:val="bottom"/>
          </w:tcPr>
          <w:p w14:paraId="74DDFB3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B3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FB3A" w14:textId="77777777" w:rsidR="00584EC1" w:rsidRDefault="00871F8D">
            <w:pPr>
              <w:jc w:val="right"/>
              <w:textAlignment w:val="bottom"/>
            </w:pPr>
            <w:r>
              <w:rPr>
                <w:rFonts w:ascii="Arial" w:eastAsia="宋体" w:hAnsi="Arial" w:cs="Arial"/>
                <w:b/>
                <w:bCs/>
                <w:color w:val="000000"/>
                <w:sz w:val="15"/>
                <w:szCs w:val="15"/>
              </w:rPr>
              <w:t>(1,086)</w:t>
            </w:r>
          </w:p>
        </w:tc>
        <w:tc>
          <w:tcPr>
            <w:tcW w:w="0" w:type="auto"/>
            <w:shd w:val="clear" w:color="auto" w:fill="CCEEFF"/>
            <w:tcMar>
              <w:top w:w="40" w:type="dxa"/>
              <w:left w:w="0" w:type="dxa"/>
              <w:bottom w:w="40" w:type="dxa"/>
              <w:right w:w="20" w:type="dxa"/>
            </w:tcMar>
            <w:vAlign w:val="bottom"/>
          </w:tcPr>
          <w:p w14:paraId="74DDFB3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B3C"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FB3D" w14:textId="77777777" w:rsidR="00584EC1" w:rsidRDefault="00871F8D">
            <w:pPr>
              <w:jc w:val="right"/>
              <w:textAlignment w:val="bottom"/>
            </w:pPr>
            <w:r>
              <w:rPr>
                <w:rFonts w:ascii="Arial" w:eastAsia="宋体" w:hAnsi="Arial" w:cs="Arial"/>
                <w:b/>
                <w:bCs/>
                <w:color w:val="000000"/>
                <w:sz w:val="15"/>
                <w:szCs w:val="15"/>
              </w:rPr>
              <w:t>(2,311)</w:t>
            </w:r>
          </w:p>
        </w:tc>
        <w:tc>
          <w:tcPr>
            <w:tcW w:w="0" w:type="auto"/>
            <w:shd w:val="clear" w:color="auto" w:fill="CCEEFF"/>
            <w:tcMar>
              <w:top w:w="40" w:type="dxa"/>
              <w:left w:w="0" w:type="dxa"/>
              <w:bottom w:w="40" w:type="dxa"/>
              <w:right w:w="20" w:type="dxa"/>
            </w:tcMar>
            <w:vAlign w:val="bottom"/>
          </w:tcPr>
          <w:p w14:paraId="74DDFB3E" w14:textId="77777777" w:rsidR="00584EC1" w:rsidRDefault="00584EC1">
            <w:pPr>
              <w:jc w:val="right"/>
              <w:rPr>
                <w:rFonts w:ascii="宋体"/>
              </w:rPr>
            </w:pPr>
          </w:p>
        </w:tc>
        <w:tc>
          <w:tcPr>
            <w:tcW w:w="0" w:type="auto"/>
            <w:shd w:val="clear" w:color="auto" w:fill="auto"/>
            <w:vAlign w:val="bottom"/>
          </w:tcPr>
          <w:p w14:paraId="74DDFB3F" w14:textId="77777777" w:rsidR="00584EC1" w:rsidRDefault="00584EC1">
            <w:pPr>
              <w:rPr>
                <w:rFonts w:ascii="宋体"/>
                <w:vanish/>
              </w:rPr>
            </w:pPr>
          </w:p>
        </w:tc>
        <w:tc>
          <w:tcPr>
            <w:tcW w:w="0" w:type="auto"/>
            <w:gridSpan w:val="3"/>
            <w:shd w:val="clear" w:color="auto" w:fill="auto"/>
            <w:vAlign w:val="bottom"/>
          </w:tcPr>
          <w:p w14:paraId="74DDFB40" w14:textId="77777777" w:rsidR="00584EC1" w:rsidRDefault="00584EC1">
            <w:pPr>
              <w:rPr>
                <w:rFonts w:ascii="宋体"/>
                <w:vanish/>
              </w:rPr>
            </w:pPr>
          </w:p>
        </w:tc>
        <w:tc>
          <w:tcPr>
            <w:tcW w:w="0" w:type="auto"/>
            <w:gridSpan w:val="3"/>
            <w:shd w:val="clear" w:color="auto" w:fill="auto"/>
            <w:vAlign w:val="bottom"/>
          </w:tcPr>
          <w:p w14:paraId="74DDFB41" w14:textId="77777777" w:rsidR="00584EC1" w:rsidRDefault="00584EC1">
            <w:pPr>
              <w:rPr>
                <w:rFonts w:ascii="宋体"/>
                <w:vanish/>
              </w:rPr>
            </w:pPr>
          </w:p>
        </w:tc>
        <w:tc>
          <w:tcPr>
            <w:tcW w:w="0" w:type="auto"/>
            <w:gridSpan w:val="3"/>
            <w:shd w:val="clear" w:color="auto" w:fill="auto"/>
            <w:vAlign w:val="bottom"/>
          </w:tcPr>
          <w:p w14:paraId="74DDFB42" w14:textId="77777777" w:rsidR="00584EC1" w:rsidRDefault="00584EC1">
            <w:pPr>
              <w:rPr>
                <w:rFonts w:ascii="宋体"/>
                <w:vanish/>
              </w:rPr>
            </w:pPr>
          </w:p>
        </w:tc>
        <w:tc>
          <w:tcPr>
            <w:tcW w:w="0" w:type="auto"/>
            <w:gridSpan w:val="3"/>
            <w:shd w:val="clear" w:color="auto" w:fill="auto"/>
            <w:vAlign w:val="bottom"/>
          </w:tcPr>
          <w:p w14:paraId="74DDFB43" w14:textId="77777777" w:rsidR="00584EC1" w:rsidRDefault="00584EC1">
            <w:pPr>
              <w:rPr>
                <w:rFonts w:ascii="宋体"/>
                <w:vanish/>
              </w:rPr>
            </w:pPr>
          </w:p>
        </w:tc>
      </w:tr>
      <w:tr w:rsidR="00584EC1" w14:paraId="74DDFB59" w14:textId="77777777">
        <w:tc>
          <w:tcPr>
            <w:tcW w:w="0" w:type="auto"/>
            <w:gridSpan w:val="3"/>
            <w:shd w:val="clear" w:color="auto" w:fill="FFFFFF"/>
            <w:tcMar>
              <w:top w:w="40" w:type="dxa"/>
              <w:left w:w="20" w:type="dxa"/>
              <w:bottom w:w="40" w:type="dxa"/>
              <w:right w:w="20" w:type="dxa"/>
            </w:tcMar>
            <w:vAlign w:val="bottom"/>
          </w:tcPr>
          <w:p w14:paraId="74DDFB45" w14:textId="77777777" w:rsidR="00584EC1" w:rsidRDefault="00871F8D">
            <w:pPr>
              <w:textAlignment w:val="bottom"/>
            </w:pPr>
            <w:r>
              <w:rPr>
                <w:rFonts w:ascii="Arial" w:eastAsia="宋体" w:hAnsi="Arial" w:cs="Arial"/>
                <w:color w:val="000000"/>
                <w:sz w:val="15"/>
                <w:szCs w:val="15"/>
              </w:rPr>
              <w:t>Total derivatives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FB46" w14:textId="77777777" w:rsidR="00584EC1" w:rsidRDefault="00871F8D">
            <w:pPr>
              <w:jc w:val="right"/>
              <w:textAlignment w:val="bottom"/>
            </w:pPr>
            <w:r>
              <w:rPr>
                <w:rFonts w:ascii="Arial" w:eastAsia="宋体" w:hAnsi="Arial" w:cs="Arial"/>
                <w:b/>
                <w:bCs/>
                <w:color w:val="000000"/>
                <w:sz w:val="15"/>
                <w:szCs w:val="15"/>
              </w:rPr>
              <w:t>16,457</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FB4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B48"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FB49" w14:textId="77777777" w:rsidR="00584EC1" w:rsidRDefault="00871F8D">
            <w:pPr>
              <w:jc w:val="right"/>
              <w:textAlignment w:val="bottom"/>
            </w:pPr>
            <w:r>
              <w:rPr>
                <w:rFonts w:ascii="Arial" w:eastAsia="宋体" w:hAnsi="Arial" w:cs="Arial"/>
                <w:b/>
                <w:bCs/>
                <w:color w:val="000000"/>
                <w:sz w:val="15"/>
                <w:szCs w:val="15"/>
              </w:rPr>
              <w:t>(8,892)</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FB4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B4B"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FB4C" w14:textId="77777777" w:rsidR="00584EC1" w:rsidRDefault="00871F8D">
            <w:pPr>
              <w:jc w:val="right"/>
              <w:textAlignment w:val="bottom"/>
            </w:pPr>
            <w:r>
              <w:rPr>
                <w:rFonts w:ascii="Arial" w:eastAsia="宋体" w:hAnsi="Arial" w:cs="Arial"/>
                <w:b/>
                <w:bCs/>
                <w:color w:val="000000"/>
                <w:sz w:val="15"/>
                <w:szCs w:val="15"/>
              </w:rPr>
              <w:t>7,565</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FB4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B4E"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FB4F" w14:textId="77777777" w:rsidR="00584EC1" w:rsidRDefault="00871F8D">
            <w:pPr>
              <w:jc w:val="right"/>
              <w:textAlignment w:val="bottom"/>
            </w:pPr>
            <w:r>
              <w:rPr>
                <w:rFonts w:ascii="Arial" w:eastAsia="宋体" w:hAnsi="Arial" w:cs="Arial"/>
                <w:b/>
                <w:bCs/>
                <w:color w:val="000000"/>
                <w:sz w:val="15"/>
                <w:szCs w:val="15"/>
              </w:rPr>
              <w:t>(1,086)</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FB5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B51"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FB52" w14:textId="77777777" w:rsidR="00584EC1" w:rsidRDefault="00871F8D">
            <w:pPr>
              <w:jc w:val="right"/>
              <w:textAlignment w:val="bottom"/>
            </w:pPr>
            <w:r>
              <w:rPr>
                <w:rFonts w:ascii="Arial" w:eastAsia="宋体" w:hAnsi="Arial" w:cs="Arial"/>
                <w:b/>
                <w:bCs/>
                <w:color w:val="000000"/>
                <w:sz w:val="15"/>
                <w:szCs w:val="15"/>
              </w:rPr>
              <w:t>6,479</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FB53" w14:textId="77777777" w:rsidR="00584EC1" w:rsidRDefault="00584EC1">
            <w:pPr>
              <w:jc w:val="right"/>
              <w:rPr>
                <w:rFonts w:ascii="宋体"/>
              </w:rPr>
            </w:pPr>
          </w:p>
        </w:tc>
        <w:tc>
          <w:tcPr>
            <w:tcW w:w="0" w:type="auto"/>
            <w:shd w:val="clear" w:color="auto" w:fill="auto"/>
            <w:vAlign w:val="bottom"/>
          </w:tcPr>
          <w:p w14:paraId="74DDFB54" w14:textId="77777777" w:rsidR="00584EC1" w:rsidRDefault="00584EC1">
            <w:pPr>
              <w:rPr>
                <w:rFonts w:ascii="宋体"/>
                <w:vanish/>
              </w:rPr>
            </w:pPr>
          </w:p>
        </w:tc>
        <w:tc>
          <w:tcPr>
            <w:tcW w:w="0" w:type="auto"/>
            <w:gridSpan w:val="3"/>
            <w:shd w:val="clear" w:color="auto" w:fill="auto"/>
            <w:vAlign w:val="bottom"/>
          </w:tcPr>
          <w:p w14:paraId="74DDFB55" w14:textId="77777777" w:rsidR="00584EC1" w:rsidRDefault="00584EC1">
            <w:pPr>
              <w:rPr>
                <w:rFonts w:ascii="宋体"/>
                <w:vanish/>
              </w:rPr>
            </w:pPr>
          </w:p>
        </w:tc>
        <w:tc>
          <w:tcPr>
            <w:tcW w:w="0" w:type="auto"/>
            <w:gridSpan w:val="3"/>
            <w:shd w:val="clear" w:color="auto" w:fill="auto"/>
            <w:vAlign w:val="bottom"/>
          </w:tcPr>
          <w:p w14:paraId="74DDFB56" w14:textId="77777777" w:rsidR="00584EC1" w:rsidRDefault="00584EC1">
            <w:pPr>
              <w:rPr>
                <w:rFonts w:ascii="宋体"/>
                <w:vanish/>
              </w:rPr>
            </w:pPr>
          </w:p>
        </w:tc>
        <w:tc>
          <w:tcPr>
            <w:tcW w:w="0" w:type="auto"/>
            <w:gridSpan w:val="3"/>
            <w:shd w:val="clear" w:color="auto" w:fill="auto"/>
            <w:vAlign w:val="bottom"/>
          </w:tcPr>
          <w:p w14:paraId="74DDFB57" w14:textId="77777777" w:rsidR="00584EC1" w:rsidRDefault="00584EC1">
            <w:pPr>
              <w:rPr>
                <w:rFonts w:ascii="宋体"/>
                <w:vanish/>
              </w:rPr>
            </w:pPr>
          </w:p>
        </w:tc>
        <w:tc>
          <w:tcPr>
            <w:tcW w:w="0" w:type="auto"/>
            <w:gridSpan w:val="3"/>
            <w:shd w:val="clear" w:color="auto" w:fill="auto"/>
            <w:vAlign w:val="bottom"/>
          </w:tcPr>
          <w:p w14:paraId="74DDFB58" w14:textId="77777777" w:rsidR="00584EC1" w:rsidRDefault="00584EC1">
            <w:pPr>
              <w:rPr>
                <w:rFonts w:ascii="宋体"/>
                <w:vanish/>
              </w:rPr>
            </w:pPr>
          </w:p>
        </w:tc>
      </w:tr>
      <w:tr w:rsidR="00584EC1" w14:paraId="74DDFB69" w14:textId="77777777">
        <w:tc>
          <w:tcPr>
            <w:tcW w:w="0" w:type="auto"/>
            <w:gridSpan w:val="3"/>
            <w:shd w:val="clear" w:color="auto" w:fill="CCEEFF"/>
            <w:tcMar>
              <w:top w:w="40" w:type="dxa"/>
              <w:left w:w="20" w:type="dxa"/>
              <w:bottom w:w="40" w:type="dxa"/>
              <w:right w:w="20" w:type="dxa"/>
            </w:tcMar>
            <w:vAlign w:val="bottom"/>
          </w:tcPr>
          <w:p w14:paraId="74DDFB5A" w14:textId="77777777" w:rsidR="00584EC1" w:rsidRDefault="00871F8D">
            <w:pPr>
              <w:textAlignment w:val="bottom"/>
            </w:pPr>
            <w:r>
              <w:rPr>
                <w:rFonts w:ascii="Arial" w:eastAsia="宋体" w:hAnsi="Arial" w:cs="Arial"/>
                <w:b/>
                <w:bCs/>
                <w:color w:val="000000"/>
                <w:sz w:val="15"/>
                <w:szCs w:val="15"/>
              </w:rPr>
              <w:t>Other financial instruments:</w:t>
            </w:r>
          </w:p>
        </w:tc>
        <w:tc>
          <w:tcPr>
            <w:tcW w:w="0" w:type="auto"/>
            <w:gridSpan w:val="3"/>
            <w:shd w:val="clear" w:color="auto" w:fill="CCEEFF"/>
            <w:tcMar>
              <w:top w:w="0" w:type="dxa"/>
              <w:left w:w="20" w:type="dxa"/>
              <w:bottom w:w="0" w:type="dxa"/>
              <w:right w:w="20" w:type="dxa"/>
            </w:tcMar>
            <w:vAlign w:val="bottom"/>
          </w:tcPr>
          <w:p w14:paraId="74DDFB5B"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FB5C"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FB5D"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FB5E"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FB5F"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FB60"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FB61"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FB62"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FB63" w14:textId="77777777" w:rsidR="00584EC1" w:rsidRDefault="00584EC1">
            <w:pPr>
              <w:rPr>
                <w:rFonts w:ascii="宋体"/>
              </w:rPr>
            </w:pPr>
          </w:p>
        </w:tc>
        <w:tc>
          <w:tcPr>
            <w:tcW w:w="0" w:type="auto"/>
            <w:shd w:val="clear" w:color="auto" w:fill="auto"/>
            <w:vAlign w:val="bottom"/>
          </w:tcPr>
          <w:p w14:paraId="74DDFB64" w14:textId="77777777" w:rsidR="00584EC1" w:rsidRDefault="00584EC1">
            <w:pPr>
              <w:rPr>
                <w:rFonts w:ascii="宋体"/>
                <w:vanish/>
              </w:rPr>
            </w:pPr>
          </w:p>
        </w:tc>
        <w:tc>
          <w:tcPr>
            <w:tcW w:w="0" w:type="auto"/>
            <w:gridSpan w:val="3"/>
            <w:shd w:val="clear" w:color="auto" w:fill="auto"/>
            <w:vAlign w:val="bottom"/>
          </w:tcPr>
          <w:p w14:paraId="74DDFB65" w14:textId="77777777" w:rsidR="00584EC1" w:rsidRDefault="00584EC1">
            <w:pPr>
              <w:rPr>
                <w:rFonts w:ascii="宋体"/>
                <w:vanish/>
              </w:rPr>
            </w:pPr>
          </w:p>
        </w:tc>
        <w:tc>
          <w:tcPr>
            <w:tcW w:w="0" w:type="auto"/>
            <w:gridSpan w:val="3"/>
            <w:shd w:val="clear" w:color="auto" w:fill="auto"/>
            <w:vAlign w:val="bottom"/>
          </w:tcPr>
          <w:p w14:paraId="74DDFB66" w14:textId="77777777" w:rsidR="00584EC1" w:rsidRDefault="00584EC1">
            <w:pPr>
              <w:rPr>
                <w:rFonts w:ascii="宋体"/>
                <w:vanish/>
              </w:rPr>
            </w:pPr>
          </w:p>
        </w:tc>
        <w:tc>
          <w:tcPr>
            <w:tcW w:w="0" w:type="auto"/>
            <w:gridSpan w:val="3"/>
            <w:shd w:val="clear" w:color="auto" w:fill="auto"/>
            <w:vAlign w:val="bottom"/>
          </w:tcPr>
          <w:p w14:paraId="74DDFB67" w14:textId="77777777" w:rsidR="00584EC1" w:rsidRDefault="00584EC1">
            <w:pPr>
              <w:rPr>
                <w:rFonts w:ascii="宋体"/>
                <w:vanish/>
              </w:rPr>
            </w:pPr>
          </w:p>
        </w:tc>
        <w:tc>
          <w:tcPr>
            <w:tcW w:w="0" w:type="auto"/>
            <w:gridSpan w:val="3"/>
            <w:shd w:val="clear" w:color="auto" w:fill="auto"/>
            <w:vAlign w:val="bottom"/>
          </w:tcPr>
          <w:p w14:paraId="74DDFB68" w14:textId="77777777" w:rsidR="00584EC1" w:rsidRDefault="00584EC1">
            <w:pPr>
              <w:rPr>
                <w:rFonts w:ascii="宋体"/>
                <w:vanish/>
              </w:rPr>
            </w:pPr>
          </w:p>
        </w:tc>
      </w:tr>
      <w:tr w:rsidR="00584EC1" w14:paraId="74DDFB79" w14:textId="77777777">
        <w:trPr>
          <w:hidden/>
        </w:trPr>
        <w:tc>
          <w:tcPr>
            <w:tcW w:w="0" w:type="auto"/>
            <w:gridSpan w:val="3"/>
            <w:shd w:val="clear" w:color="auto" w:fill="auto"/>
            <w:vAlign w:val="bottom"/>
          </w:tcPr>
          <w:p w14:paraId="74DDFB6A" w14:textId="77777777" w:rsidR="00584EC1" w:rsidRDefault="00584EC1">
            <w:pPr>
              <w:rPr>
                <w:rFonts w:ascii="宋体"/>
                <w:vanish/>
              </w:rPr>
            </w:pPr>
          </w:p>
        </w:tc>
        <w:tc>
          <w:tcPr>
            <w:tcW w:w="0" w:type="auto"/>
            <w:gridSpan w:val="3"/>
            <w:shd w:val="clear" w:color="auto" w:fill="auto"/>
            <w:vAlign w:val="bottom"/>
          </w:tcPr>
          <w:p w14:paraId="74DDFB6B" w14:textId="77777777" w:rsidR="00584EC1" w:rsidRDefault="00584EC1">
            <w:pPr>
              <w:rPr>
                <w:rFonts w:ascii="宋体"/>
                <w:vanish/>
              </w:rPr>
            </w:pPr>
          </w:p>
        </w:tc>
        <w:tc>
          <w:tcPr>
            <w:tcW w:w="0" w:type="auto"/>
            <w:gridSpan w:val="3"/>
            <w:shd w:val="clear" w:color="auto" w:fill="auto"/>
            <w:vAlign w:val="bottom"/>
          </w:tcPr>
          <w:p w14:paraId="74DDFB6C" w14:textId="77777777" w:rsidR="00584EC1" w:rsidRDefault="00584EC1">
            <w:pPr>
              <w:rPr>
                <w:rFonts w:ascii="宋体"/>
                <w:vanish/>
              </w:rPr>
            </w:pPr>
          </w:p>
        </w:tc>
        <w:tc>
          <w:tcPr>
            <w:tcW w:w="0" w:type="auto"/>
            <w:gridSpan w:val="3"/>
            <w:shd w:val="clear" w:color="auto" w:fill="auto"/>
            <w:vAlign w:val="bottom"/>
          </w:tcPr>
          <w:p w14:paraId="74DDFB6D" w14:textId="77777777" w:rsidR="00584EC1" w:rsidRDefault="00584EC1">
            <w:pPr>
              <w:rPr>
                <w:rFonts w:ascii="宋体"/>
                <w:vanish/>
              </w:rPr>
            </w:pPr>
          </w:p>
        </w:tc>
        <w:tc>
          <w:tcPr>
            <w:tcW w:w="0" w:type="auto"/>
            <w:gridSpan w:val="3"/>
            <w:shd w:val="clear" w:color="auto" w:fill="auto"/>
            <w:vAlign w:val="bottom"/>
          </w:tcPr>
          <w:p w14:paraId="74DDFB6E" w14:textId="77777777" w:rsidR="00584EC1" w:rsidRDefault="00584EC1">
            <w:pPr>
              <w:rPr>
                <w:rFonts w:ascii="宋体"/>
                <w:vanish/>
              </w:rPr>
            </w:pPr>
          </w:p>
        </w:tc>
        <w:tc>
          <w:tcPr>
            <w:tcW w:w="0" w:type="auto"/>
            <w:gridSpan w:val="3"/>
            <w:shd w:val="clear" w:color="auto" w:fill="auto"/>
            <w:vAlign w:val="bottom"/>
          </w:tcPr>
          <w:p w14:paraId="74DDFB6F" w14:textId="77777777" w:rsidR="00584EC1" w:rsidRDefault="00584EC1">
            <w:pPr>
              <w:rPr>
                <w:rFonts w:ascii="宋体"/>
                <w:vanish/>
              </w:rPr>
            </w:pPr>
          </w:p>
        </w:tc>
        <w:tc>
          <w:tcPr>
            <w:tcW w:w="0" w:type="auto"/>
            <w:gridSpan w:val="3"/>
            <w:shd w:val="clear" w:color="auto" w:fill="auto"/>
            <w:vAlign w:val="bottom"/>
          </w:tcPr>
          <w:p w14:paraId="74DDFB70" w14:textId="77777777" w:rsidR="00584EC1" w:rsidRDefault="00584EC1">
            <w:pPr>
              <w:rPr>
                <w:rFonts w:ascii="宋体"/>
                <w:vanish/>
              </w:rPr>
            </w:pPr>
          </w:p>
        </w:tc>
        <w:tc>
          <w:tcPr>
            <w:tcW w:w="0" w:type="auto"/>
            <w:gridSpan w:val="3"/>
            <w:shd w:val="clear" w:color="auto" w:fill="auto"/>
            <w:vAlign w:val="bottom"/>
          </w:tcPr>
          <w:p w14:paraId="74DDFB71" w14:textId="77777777" w:rsidR="00584EC1" w:rsidRDefault="00584EC1">
            <w:pPr>
              <w:rPr>
                <w:rFonts w:ascii="宋体"/>
                <w:vanish/>
              </w:rPr>
            </w:pPr>
          </w:p>
        </w:tc>
        <w:tc>
          <w:tcPr>
            <w:tcW w:w="0" w:type="auto"/>
            <w:gridSpan w:val="3"/>
            <w:shd w:val="clear" w:color="auto" w:fill="auto"/>
            <w:vAlign w:val="bottom"/>
          </w:tcPr>
          <w:p w14:paraId="74DDFB72" w14:textId="77777777" w:rsidR="00584EC1" w:rsidRDefault="00584EC1">
            <w:pPr>
              <w:rPr>
                <w:rFonts w:ascii="宋体"/>
                <w:vanish/>
              </w:rPr>
            </w:pPr>
          </w:p>
        </w:tc>
        <w:tc>
          <w:tcPr>
            <w:tcW w:w="0" w:type="auto"/>
            <w:gridSpan w:val="3"/>
            <w:shd w:val="clear" w:color="auto" w:fill="auto"/>
            <w:vAlign w:val="bottom"/>
          </w:tcPr>
          <w:p w14:paraId="74DDFB73" w14:textId="77777777" w:rsidR="00584EC1" w:rsidRDefault="00584EC1">
            <w:pPr>
              <w:rPr>
                <w:rFonts w:ascii="宋体"/>
                <w:vanish/>
              </w:rPr>
            </w:pPr>
          </w:p>
        </w:tc>
        <w:tc>
          <w:tcPr>
            <w:tcW w:w="0" w:type="auto"/>
            <w:shd w:val="clear" w:color="auto" w:fill="auto"/>
            <w:vAlign w:val="bottom"/>
          </w:tcPr>
          <w:p w14:paraId="74DDFB74" w14:textId="77777777" w:rsidR="00584EC1" w:rsidRDefault="00584EC1">
            <w:pPr>
              <w:rPr>
                <w:rFonts w:ascii="宋体"/>
                <w:vanish/>
              </w:rPr>
            </w:pPr>
          </w:p>
        </w:tc>
        <w:tc>
          <w:tcPr>
            <w:tcW w:w="0" w:type="auto"/>
            <w:gridSpan w:val="3"/>
            <w:shd w:val="clear" w:color="auto" w:fill="auto"/>
            <w:vAlign w:val="bottom"/>
          </w:tcPr>
          <w:p w14:paraId="74DDFB75" w14:textId="77777777" w:rsidR="00584EC1" w:rsidRDefault="00584EC1">
            <w:pPr>
              <w:rPr>
                <w:rFonts w:ascii="宋体"/>
                <w:vanish/>
              </w:rPr>
            </w:pPr>
          </w:p>
        </w:tc>
        <w:tc>
          <w:tcPr>
            <w:tcW w:w="0" w:type="auto"/>
            <w:gridSpan w:val="3"/>
            <w:shd w:val="clear" w:color="auto" w:fill="auto"/>
            <w:vAlign w:val="bottom"/>
          </w:tcPr>
          <w:p w14:paraId="74DDFB76" w14:textId="77777777" w:rsidR="00584EC1" w:rsidRDefault="00584EC1">
            <w:pPr>
              <w:rPr>
                <w:rFonts w:ascii="宋体"/>
                <w:vanish/>
              </w:rPr>
            </w:pPr>
          </w:p>
        </w:tc>
        <w:tc>
          <w:tcPr>
            <w:tcW w:w="0" w:type="auto"/>
            <w:gridSpan w:val="3"/>
            <w:shd w:val="clear" w:color="auto" w:fill="auto"/>
            <w:vAlign w:val="bottom"/>
          </w:tcPr>
          <w:p w14:paraId="74DDFB77" w14:textId="77777777" w:rsidR="00584EC1" w:rsidRDefault="00584EC1">
            <w:pPr>
              <w:rPr>
                <w:rFonts w:ascii="宋体"/>
                <w:vanish/>
              </w:rPr>
            </w:pPr>
          </w:p>
        </w:tc>
        <w:tc>
          <w:tcPr>
            <w:tcW w:w="0" w:type="auto"/>
            <w:gridSpan w:val="3"/>
            <w:shd w:val="clear" w:color="auto" w:fill="auto"/>
            <w:vAlign w:val="bottom"/>
          </w:tcPr>
          <w:p w14:paraId="74DDFB78" w14:textId="77777777" w:rsidR="00584EC1" w:rsidRDefault="00584EC1">
            <w:pPr>
              <w:rPr>
                <w:rFonts w:ascii="宋体"/>
                <w:vanish/>
              </w:rPr>
            </w:pPr>
          </w:p>
        </w:tc>
      </w:tr>
      <w:tr w:rsidR="00584EC1" w14:paraId="74DDFB89" w14:textId="77777777">
        <w:trPr>
          <w:hidden/>
        </w:trPr>
        <w:tc>
          <w:tcPr>
            <w:tcW w:w="0" w:type="auto"/>
            <w:gridSpan w:val="3"/>
            <w:shd w:val="clear" w:color="auto" w:fill="auto"/>
            <w:vAlign w:val="bottom"/>
          </w:tcPr>
          <w:p w14:paraId="74DDFB7A" w14:textId="77777777" w:rsidR="00584EC1" w:rsidRDefault="00584EC1">
            <w:pPr>
              <w:rPr>
                <w:rFonts w:ascii="宋体"/>
                <w:vanish/>
              </w:rPr>
            </w:pPr>
          </w:p>
        </w:tc>
        <w:tc>
          <w:tcPr>
            <w:tcW w:w="0" w:type="auto"/>
            <w:gridSpan w:val="3"/>
            <w:shd w:val="clear" w:color="auto" w:fill="auto"/>
            <w:vAlign w:val="bottom"/>
          </w:tcPr>
          <w:p w14:paraId="74DDFB7B" w14:textId="77777777" w:rsidR="00584EC1" w:rsidRDefault="00584EC1">
            <w:pPr>
              <w:rPr>
                <w:rFonts w:ascii="宋体"/>
                <w:vanish/>
              </w:rPr>
            </w:pPr>
          </w:p>
        </w:tc>
        <w:tc>
          <w:tcPr>
            <w:tcW w:w="0" w:type="auto"/>
            <w:gridSpan w:val="3"/>
            <w:shd w:val="clear" w:color="auto" w:fill="auto"/>
            <w:vAlign w:val="bottom"/>
          </w:tcPr>
          <w:p w14:paraId="74DDFB7C" w14:textId="77777777" w:rsidR="00584EC1" w:rsidRDefault="00584EC1">
            <w:pPr>
              <w:rPr>
                <w:rFonts w:ascii="宋体"/>
                <w:vanish/>
              </w:rPr>
            </w:pPr>
          </w:p>
        </w:tc>
        <w:tc>
          <w:tcPr>
            <w:tcW w:w="0" w:type="auto"/>
            <w:gridSpan w:val="3"/>
            <w:shd w:val="clear" w:color="auto" w:fill="auto"/>
            <w:vAlign w:val="bottom"/>
          </w:tcPr>
          <w:p w14:paraId="74DDFB7D" w14:textId="77777777" w:rsidR="00584EC1" w:rsidRDefault="00584EC1">
            <w:pPr>
              <w:rPr>
                <w:rFonts w:ascii="宋体"/>
                <w:vanish/>
              </w:rPr>
            </w:pPr>
          </w:p>
        </w:tc>
        <w:tc>
          <w:tcPr>
            <w:tcW w:w="0" w:type="auto"/>
            <w:gridSpan w:val="3"/>
            <w:shd w:val="clear" w:color="auto" w:fill="auto"/>
            <w:vAlign w:val="bottom"/>
          </w:tcPr>
          <w:p w14:paraId="74DDFB7E" w14:textId="77777777" w:rsidR="00584EC1" w:rsidRDefault="00584EC1">
            <w:pPr>
              <w:rPr>
                <w:rFonts w:ascii="宋体"/>
                <w:vanish/>
              </w:rPr>
            </w:pPr>
          </w:p>
        </w:tc>
        <w:tc>
          <w:tcPr>
            <w:tcW w:w="0" w:type="auto"/>
            <w:gridSpan w:val="3"/>
            <w:shd w:val="clear" w:color="auto" w:fill="auto"/>
            <w:vAlign w:val="bottom"/>
          </w:tcPr>
          <w:p w14:paraId="74DDFB7F" w14:textId="77777777" w:rsidR="00584EC1" w:rsidRDefault="00584EC1">
            <w:pPr>
              <w:rPr>
                <w:rFonts w:ascii="宋体"/>
                <w:vanish/>
              </w:rPr>
            </w:pPr>
          </w:p>
        </w:tc>
        <w:tc>
          <w:tcPr>
            <w:tcW w:w="0" w:type="auto"/>
            <w:gridSpan w:val="3"/>
            <w:shd w:val="clear" w:color="auto" w:fill="auto"/>
            <w:vAlign w:val="bottom"/>
          </w:tcPr>
          <w:p w14:paraId="74DDFB80" w14:textId="77777777" w:rsidR="00584EC1" w:rsidRDefault="00584EC1">
            <w:pPr>
              <w:rPr>
                <w:rFonts w:ascii="宋体"/>
                <w:vanish/>
              </w:rPr>
            </w:pPr>
          </w:p>
        </w:tc>
        <w:tc>
          <w:tcPr>
            <w:tcW w:w="0" w:type="auto"/>
            <w:gridSpan w:val="3"/>
            <w:shd w:val="clear" w:color="auto" w:fill="auto"/>
            <w:vAlign w:val="bottom"/>
          </w:tcPr>
          <w:p w14:paraId="74DDFB81" w14:textId="77777777" w:rsidR="00584EC1" w:rsidRDefault="00584EC1">
            <w:pPr>
              <w:rPr>
                <w:rFonts w:ascii="宋体"/>
                <w:vanish/>
              </w:rPr>
            </w:pPr>
          </w:p>
        </w:tc>
        <w:tc>
          <w:tcPr>
            <w:tcW w:w="0" w:type="auto"/>
            <w:gridSpan w:val="3"/>
            <w:shd w:val="clear" w:color="auto" w:fill="auto"/>
            <w:vAlign w:val="bottom"/>
          </w:tcPr>
          <w:p w14:paraId="74DDFB82" w14:textId="77777777" w:rsidR="00584EC1" w:rsidRDefault="00584EC1">
            <w:pPr>
              <w:rPr>
                <w:rFonts w:ascii="宋体"/>
                <w:vanish/>
              </w:rPr>
            </w:pPr>
          </w:p>
        </w:tc>
        <w:tc>
          <w:tcPr>
            <w:tcW w:w="0" w:type="auto"/>
            <w:gridSpan w:val="3"/>
            <w:shd w:val="clear" w:color="auto" w:fill="auto"/>
            <w:vAlign w:val="bottom"/>
          </w:tcPr>
          <w:p w14:paraId="74DDFB83" w14:textId="77777777" w:rsidR="00584EC1" w:rsidRDefault="00584EC1">
            <w:pPr>
              <w:rPr>
                <w:rFonts w:ascii="宋体"/>
                <w:vanish/>
              </w:rPr>
            </w:pPr>
          </w:p>
        </w:tc>
        <w:tc>
          <w:tcPr>
            <w:tcW w:w="0" w:type="auto"/>
            <w:shd w:val="clear" w:color="auto" w:fill="auto"/>
            <w:vAlign w:val="bottom"/>
          </w:tcPr>
          <w:p w14:paraId="74DDFB84" w14:textId="77777777" w:rsidR="00584EC1" w:rsidRDefault="00584EC1">
            <w:pPr>
              <w:rPr>
                <w:rFonts w:ascii="宋体"/>
                <w:vanish/>
              </w:rPr>
            </w:pPr>
          </w:p>
        </w:tc>
        <w:tc>
          <w:tcPr>
            <w:tcW w:w="0" w:type="auto"/>
            <w:gridSpan w:val="3"/>
            <w:shd w:val="clear" w:color="auto" w:fill="auto"/>
            <w:vAlign w:val="bottom"/>
          </w:tcPr>
          <w:p w14:paraId="74DDFB85" w14:textId="77777777" w:rsidR="00584EC1" w:rsidRDefault="00584EC1">
            <w:pPr>
              <w:rPr>
                <w:rFonts w:ascii="宋体"/>
                <w:vanish/>
              </w:rPr>
            </w:pPr>
          </w:p>
        </w:tc>
        <w:tc>
          <w:tcPr>
            <w:tcW w:w="0" w:type="auto"/>
            <w:gridSpan w:val="3"/>
            <w:shd w:val="clear" w:color="auto" w:fill="auto"/>
            <w:vAlign w:val="bottom"/>
          </w:tcPr>
          <w:p w14:paraId="74DDFB86" w14:textId="77777777" w:rsidR="00584EC1" w:rsidRDefault="00584EC1">
            <w:pPr>
              <w:rPr>
                <w:rFonts w:ascii="宋体"/>
                <w:vanish/>
              </w:rPr>
            </w:pPr>
          </w:p>
        </w:tc>
        <w:tc>
          <w:tcPr>
            <w:tcW w:w="0" w:type="auto"/>
            <w:gridSpan w:val="3"/>
            <w:shd w:val="clear" w:color="auto" w:fill="auto"/>
            <w:vAlign w:val="bottom"/>
          </w:tcPr>
          <w:p w14:paraId="74DDFB87" w14:textId="77777777" w:rsidR="00584EC1" w:rsidRDefault="00584EC1">
            <w:pPr>
              <w:rPr>
                <w:rFonts w:ascii="宋体"/>
                <w:vanish/>
              </w:rPr>
            </w:pPr>
          </w:p>
        </w:tc>
        <w:tc>
          <w:tcPr>
            <w:tcW w:w="0" w:type="auto"/>
            <w:gridSpan w:val="3"/>
            <w:shd w:val="clear" w:color="auto" w:fill="auto"/>
            <w:vAlign w:val="bottom"/>
          </w:tcPr>
          <w:p w14:paraId="74DDFB88" w14:textId="77777777" w:rsidR="00584EC1" w:rsidRDefault="00584EC1">
            <w:pPr>
              <w:rPr>
                <w:rFonts w:ascii="宋体"/>
                <w:vanish/>
              </w:rPr>
            </w:pPr>
          </w:p>
        </w:tc>
      </w:tr>
      <w:tr w:rsidR="00584EC1" w14:paraId="74DDFB9E" w14:textId="77777777">
        <w:tc>
          <w:tcPr>
            <w:tcW w:w="0" w:type="auto"/>
            <w:gridSpan w:val="3"/>
            <w:shd w:val="clear" w:color="auto" w:fill="FFFFFF"/>
            <w:tcMar>
              <w:top w:w="40" w:type="dxa"/>
              <w:left w:w="20" w:type="dxa"/>
              <w:bottom w:w="40" w:type="dxa"/>
              <w:right w:w="20" w:type="dxa"/>
            </w:tcMar>
            <w:vAlign w:val="bottom"/>
          </w:tcPr>
          <w:p w14:paraId="74DDFB8A" w14:textId="77777777" w:rsidR="00584EC1" w:rsidRDefault="00871F8D">
            <w:pPr>
              <w:textAlignment w:val="bottom"/>
            </w:pPr>
            <w:r>
              <w:rPr>
                <w:rFonts w:ascii="Arial" w:eastAsia="宋体" w:hAnsi="Arial" w:cs="Arial"/>
                <w:color w:val="000000"/>
                <w:sz w:val="15"/>
                <w:szCs w:val="15"/>
              </w:rPr>
              <w:t xml:space="preserve">Resale agreements and </w:t>
            </w:r>
            <w:r>
              <w:rPr>
                <w:rFonts w:ascii="Arial" w:eastAsia="宋体" w:hAnsi="Arial" w:cs="Arial"/>
                <w:color w:val="000000"/>
                <w:sz w:val="15"/>
                <w:szCs w:val="15"/>
              </w:rPr>
              <w:t>securities borrowing</w:t>
            </w:r>
            <w:r>
              <w:rPr>
                <w:rFonts w:ascii="Arial" w:eastAsia="宋体" w:hAnsi="Arial" w:cs="Arial"/>
                <w:color w:val="000000"/>
                <w:sz w:val="9"/>
                <w:szCs w:val="9"/>
              </w:rPr>
              <w:t>(7)(8)</w:t>
            </w:r>
          </w:p>
        </w:tc>
        <w:tc>
          <w:tcPr>
            <w:tcW w:w="0" w:type="auto"/>
            <w:gridSpan w:val="2"/>
            <w:shd w:val="clear" w:color="auto" w:fill="FFFFFF"/>
            <w:tcMar>
              <w:top w:w="40" w:type="dxa"/>
              <w:left w:w="20" w:type="dxa"/>
              <w:bottom w:w="40" w:type="dxa"/>
              <w:right w:w="0" w:type="dxa"/>
            </w:tcMar>
            <w:vAlign w:val="bottom"/>
          </w:tcPr>
          <w:p w14:paraId="74DDFB8B" w14:textId="77777777" w:rsidR="00584EC1" w:rsidRDefault="00871F8D">
            <w:pPr>
              <w:jc w:val="right"/>
              <w:textAlignment w:val="bottom"/>
            </w:pPr>
            <w:r>
              <w:rPr>
                <w:rFonts w:ascii="Arial" w:eastAsia="宋体" w:hAnsi="Arial" w:cs="Arial"/>
                <w:b/>
                <w:bCs/>
                <w:color w:val="000000"/>
                <w:sz w:val="15"/>
                <w:szCs w:val="15"/>
              </w:rPr>
              <w:t>87,099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FB8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B8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B8E" w14:textId="77777777" w:rsidR="00584EC1" w:rsidRDefault="00871F8D">
            <w:pPr>
              <w:jc w:val="right"/>
              <w:textAlignment w:val="bottom"/>
            </w:pPr>
            <w:r>
              <w:rPr>
                <w:rFonts w:ascii="Arial" w:eastAsia="宋体" w:hAnsi="Arial" w:cs="Arial"/>
                <w:b/>
                <w:bCs/>
                <w:color w:val="000000"/>
                <w:sz w:val="15"/>
                <w:szCs w:val="15"/>
              </w:rPr>
              <w:t>(57,609)</w:t>
            </w:r>
          </w:p>
        </w:tc>
        <w:tc>
          <w:tcPr>
            <w:tcW w:w="0" w:type="auto"/>
            <w:shd w:val="clear" w:color="auto" w:fill="FFFFFF"/>
            <w:tcMar>
              <w:top w:w="40" w:type="dxa"/>
              <w:left w:w="0" w:type="dxa"/>
              <w:bottom w:w="40" w:type="dxa"/>
              <w:right w:w="20" w:type="dxa"/>
            </w:tcMar>
            <w:vAlign w:val="bottom"/>
          </w:tcPr>
          <w:p w14:paraId="74DDFB8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B9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B91" w14:textId="77777777" w:rsidR="00584EC1" w:rsidRDefault="00871F8D">
            <w:pPr>
              <w:jc w:val="right"/>
              <w:textAlignment w:val="bottom"/>
            </w:pPr>
            <w:r>
              <w:rPr>
                <w:rFonts w:ascii="Arial" w:eastAsia="宋体" w:hAnsi="Arial" w:cs="Arial"/>
                <w:b/>
                <w:bCs/>
                <w:color w:val="000000"/>
                <w:sz w:val="15"/>
                <w:szCs w:val="15"/>
              </w:rPr>
              <w:t>29,490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FB9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B9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B94" w14:textId="77777777" w:rsidR="00584EC1" w:rsidRDefault="00871F8D">
            <w:pPr>
              <w:jc w:val="right"/>
              <w:textAlignment w:val="bottom"/>
            </w:pPr>
            <w:r>
              <w:rPr>
                <w:rFonts w:ascii="Arial" w:eastAsia="宋体" w:hAnsi="Arial" w:cs="Arial"/>
                <w:b/>
                <w:bCs/>
                <w:color w:val="000000"/>
                <w:sz w:val="15"/>
                <w:szCs w:val="15"/>
              </w:rPr>
              <w:t>(29,242)</w:t>
            </w:r>
          </w:p>
        </w:tc>
        <w:tc>
          <w:tcPr>
            <w:tcW w:w="0" w:type="auto"/>
            <w:shd w:val="clear" w:color="auto" w:fill="FFFFFF"/>
            <w:tcMar>
              <w:top w:w="40" w:type="dxa"/>
              <w:left w:w="0" w:type="dxa"/>
              <w:bottom w:w="40" w:type="dxa"/>
              <w:right w:w="20" w:type="dxa"/>
            </w:tcMar>
            <w:vAlign w:val="bottom"/>
          </w:tcPr>
          <w:p w14:paraId="74DDFB9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B9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B97" w14:textId="77777777" w:rsidR="00584EC1" w:rsidRDefault="00871F8D">
            <w:pPr>
              <w:jc w:val="right"/>
              <w:textAlignment w:val="bottom"/>
            </w:pPr>
            <w:r>
              <w:rPr>
                <w:rFonts w:ascii="Arial" w:eastAsia="宋体" w:hAnsi="Arial" w:cs="Arial"/>
                <w:b/>
                <w:bCs/>
                <w:color w:val="000000"/>
                <w:sz w:val="15"/>
                <w:szCs w:val="15"/>
              </w:rPr>
              <w:t>248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FB98" w14:textId="77777777" w:rsidR="00584EC1" w:rsidRDefault="00584EC1">
            <w:pPr>
              <w:jc w:val="right"/>
              <w:rPr>
                <w:rFonts w:ascii="宋体"/>
              </w:rPr>
            </w:pPr>
          </w:p>
        </w:tc>
        <w:tc>
          <w:tcPr>
            <w:tcW w:w="0" w:type="auto"/>
            <w:shd w:val="clear" w:color="auto" w:fill="auto"/>
            <w:vAlign w:val="bottom"/>
          </w:tcPr>
          <w:p w14:paraId="74DDFB99" w14:textId="77777777" w:rsidR="00584EC1" w:rsidRDefault="00584EC1">
            <w:pPr>
              <w:rPr>
                <w:rFonts w:ascii="宋体"/>
                <w:vanish/>
              </w:rPr>
            </w:pPr>
          </w:p>
        </w:tc>
        <w:tc>
          <w:tcPr>
            <w:tcW w:w="0" w:type="auto"/>
            <w:gridSpan w:val="3"/>
            <w:shd w:val="clear" w:color="auto" w:fill="auto"/>
            <w:vAlign w:val="bottom"/>
          </w:tcPr>
          <w:p w14:paraId="74DDFB9A" w14:textId="77777777" w:rsidR="00584EC1" w:rsidRDefault="00584EC1">
            <w:pPr>
              <w:rPr>
                <w:rFonts w:ascii="宋体"/>
                <w:vanish/>
              </w:rPr>
            </w:pPr>
          </w:p>
        </w:tc>
        <w:tc>
          <w:tcPr>
            <w:tcW w:w="0" w:type="auto"/>
            <w:gridSpan w:val="3"/>
            <w:shd w:val="clear" w:color="auto" w:fill="auto"/>
            <w:vAlign w:val="bottom"/>
          </w:tcPr>
          <w:p w14:paraId="74DDFB9B" w14:textId="77777777" w:rsidR="00584EC1" w:rsidRDefault="00584EC1">
            <w:pPr>
              <w:rPr>
                <w:rFonts w:ascii="宋体"/>
                <w:vanish/>
              </w:rPr>
            </w:pPr>
          </w:p>
        </w:tc>
        <w:tc>
          <w:tcPr>
            <w:tcW w:w="0" w:type="auto"/>
            <w:gridSpan w:val="3"/>
            <w:shd w:val="clear" w:color="auto" w:fill="auto"/>
            <w:vAlign w:val="bottom"/>
          </w:tcPr>
          <w:p w14:paraId="74DDFB9C" w14:textId="77777777" w:rsidR="00584EC1" w:rsidRDefault="00584EC1">
            <w:pPr>
              <w:rPr>
                <w:rFonts w:ascii="宋体"/>
                <w:vanish/>
              </w:rPr>
            </w:pPr>
          </w:p>
        </w:tc>
        <w:tc>
          <w:tcPr>
            <w:tcW w:w="0" w:type="auto"/>
            <w:gridSpan w:val="3"/>
            <w:shd w:val="clear" w:color="auto" w:fill="auto"/>
            <w:vAlign w:val="bottom"/>
          </w:tcPr>
          <w:p w14:paraId="74DDFB9D" w14:textId="77777777" w:rsidR="00584EC1" w:rsidRDefault="00584EC1">
            <w:pPr>
              <w:rPr>
                <w:rFonts w:ascii="宋体"/>
                <w:vanish/>
              </w:rPr>
            </w:pPr>
          </w:p>
        </w:tc>
      </w:tr>
      <w:tr w:rsidR="00584EC1" w14:paraId="74DDFBB8" w14:textId="77777777">
        <w:tc>
          <w:tcPr>
            <w:tcW w:w="0" w:type="auto"/>
            <w:gridSpan w:val="3"/>
            <w:shd w:val="clear" w:color="auto" w:fill="CCEEFF"/>
            <w:tcMar>
              <w:top w:w="40" w:type="dxa"/>
              <w:left w:w="20" w:type="dxa"/>
              <w:bottom w:w="40" w:type="dxa"/>
              <w:right w:w="20" w:type="dxa"/>
            </w:tcMar>
            <w:vAlign w:val="bottom"/>
          </w:tcPr>
          <w:p w14:paraId="74DDFB9F" w14:textId="77777777" w:rsidR="00584EC1" w:rsidRDefault="00871F8D">
            <w:pPr>
              <w:textAlignment w:val="bottom"/>
            </w:pPr>
            <w:r>
              <w:rPr>
                <w:rFonts w:ascii="Arial" w:eastAsia="宋体" w:hAnsi="Arial" w:cs="Arial"/>
                <w:color w:val="000000"/>
                <w:sz w:val="15"/>
                <w:szCs w:val="15"/>
              </w:rPr>
              <w:t>Total derivatives and other financial instruments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FBA0" w14:textId="77777777" w:rsidR="00584EC1" w:rsidRDefault="00871F8D">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FBA1" w14:textId="77777777" w:rsidR="00584EC1" w:rsidRDefault="00871F8D">
            <w:pPr>
              <w:jc w:val="right"/>
              <w:textAlignment w:val="bottom"/>
            </w:pPr>
            <w:r>
              <w:rPr>
                <w:rFonts w:ascii="Arial" w:eastAsia="宋体" w:hAnsi="Arial" w:cs="Arial"/>
                <w:b/>
                <w:bCs/>
                <w:color w:val="000000"/>
                <w:sz w:val="15"/>
                <w:szCs w:val="15"/>
              </w:rPr>
              <w:t>103,556</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FBA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BA3"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FBA4" w14:textId="77777777" w:rsidR="00584EC1" w:rsidRDefault="00871F8D">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FBA5" w14:textId="77777777" w:rsidR="00584EC1" w:rsidRDefault="00871F8D">
            <w:pPr>
              <w:jc w:val="right"/>
              <w:textAlignment w:val="bottom"/>
            </w:pPr>
            <w:r>
              <w:rPr>
                <w:rFonts w:ascii="Arial" w:eastAsia="宋体" w:hAnsi="Arial" w:cs="Arial"/>
                <w:b/>
                <w:bCs/>
                <w:color w:val="000000"/>
                <w:sz w:val="15"/>
                <w:szCs w:val="15"/>
              </w:rPr>
              <w:t>(66,501)</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FBA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BA7"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FBA8" w14:textId="77777777" w:rsidR="00584EC1" w:rsidRDefault="00871F8D">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FBA9" w14:textId="77777777" w:rsidR="00584EC1" w:rsidRDefault="00871F8D">
            <w:pPr>
              <w:jc w:val="right"/>
              <w:textAlignment w:val="bottom"/>
            </w:pPr>
            <w:r>
              <w:rPr>
                <w:rFonts w:ascii="Arial" w:eastAsia="宋体" w:hAnsi="Arial" w:cs="Arial"/>
                <w:b/>
                <w:bCs/>
                <w:color w:val="000000"/>
                <w:sz w:val="15"/>
                <w:szCs w:val="15"/>
              </w:rPr>
              <w:t>37,055</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FBA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BAB"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FBAC" w14:textId="77777777" w:rsidR="00584EC1" w:rsidRDefault="00871F8D">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FBAD" w14:textId="77777777" w:rsidR="00584EC1" w:rsidRDefault="00871F8D">
            <w:pPr>
              <w:jc w:val="right"/>
              <w:textAlignment w:val="bottom"/>
            </w:pPr>
            <w:r>
              <w:rPr>
                <w:rFonts w:ascii="Arial" w:eastAsia="宋体" w:hAnsi="Arial" w:cs="Arial"/>
                <w:b/>
                <w:bCs/>
                <w:color w:val="000000"/>
                <w:sz w:val="15"/>
                <w:szCs w:val="15"/>
              </w:rPr>
              <w:t>(30,328)</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FBA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BAF"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FBB0" w14:textId="77777777" w:rsidR="00584EC1" w:rsidRDefault="00871F8D">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FBB1" w14:textId="77777777" w:rsidR="00584EC1" w:rsidRDefault="00871F8D">
            <w:pPr>
              <w:jc w:val="right"/>
              <w:textAlignment w:val="bottom"/>
            </w:pPr>
            <w:r>
              <w:rPr>
                <w:rFonts w:ascii="Arial" w:eastAsia="宋体" w:hAnsi="Arial" w:cs="Arial"/>
                <w:b/>
                <w:bCs/>
                <w:color w:val="000000"/>
                <w:sz w:val="15"/>
                <w:szCs w:val="15"/>
              </w:rPr>
              <w:t>6,727</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FBB2" w14:textId="77777777" w:rsidR="00584EC1" w:rsidRDefault="00584EC1">
            <w:pPr>
              <w:jc w:val="right"/>
              <w:rPr>
                <w:rFonts w:ascii="宋体"/>
              </w:rPr>
            </w:pPr>
          </w:p>
        </w:tc>
        <w:tc>
          <w:tcPr>
            <w:tcW w:w="0" w:type="auto"/>
            <w:shd w:val="clear" w:color="auto" w:fill="auto"/>
            <w:vAlign w:val="bottom"/>
          </w:tcPr>
          <w:p w14:paraId="74DDFBB3" w14:textId="77777777" w:rsidR="00584EC1" w:rsidRDefault="00584EC1">
            <w:pPr>
              <w:rPr>
                <w:rFonts w:ascii="宋体"/>
                <w:vanish/>
              </w:rPr>
            </w:pPr>
          </w:p>
        </w:tc>
        <w:tc>
          <w:tcPr>
            <w:tcW w:w="0" w:type="auto"/>
            <w:gridSpan w:val="3"/>
            <w:shd w:val="clear" w:color="auto" w:fill="auto"/>
            <w:vAlign w:val="bottom"/>
          </w:tcPr>
          <w:p w14:paraId="74DDFBB4" w14:textId="77777777" w:rsidR="00584EC1" w:rsidRDefault="00584EC1">
            <w:pPr>
              <w:rPr>
                <w:rFonts w:ascii="宋体"/>
                <w:vanish/>
              </w:rPr>
            </w:pPr>
          </w:p>
        </w:tc>
        <w:tc>
          <w:tcPr>
            <w:tcW w:w="0" w:type="auto"/>
            <w:gridSpan w:val="3"/>
            <w:shd w:val="clear" w:color="auto" w:fill="auto"/>
            <w:vAlign w:val="bottom"/>
          </w:tcPr>
          <w:p w14:paraId="74DDFBB5" w14:textId="77777777" w:rsidR="00584EC1" w:rsidRDefault="00584EC1">
            <w:pPr>
              <w:rPr>
                <w:rFonts w:ascii="宋体"/>
                <w:vanish/>
              </w:rPr>
            </w:pPr>
          </w:p>
        </w:tc>
        <w:tc>
          <w:tcPr>
            <w:tcW w:w="0" w:type="auto"/>
            <w:gridSpan w:val="3"/>
            <w:shd w:val="clear" w:color="auto" w:fill="auto"/>
            <w:vAlign w:val="bottom"/>
          </w:tcPr>
          <w:p w14:paraId="74DDFBB6" w14:textId="77777777" w:rsidR="00584EC1" w:rsidRDefault="00584EC1">
            <w:pPr>
              <w:rPr>
                <w:rFonts w:ascii="宋体"/>
                <w:vanish/>
              </w:rPr>
            </w:pPr>
          </w:p>
        </w:tc>
        <w:tc>
          <w:tcPr>
            <w:tcW w:w="0" w:type="auto"/>
            <w:gridSpan w:val="3"/>
            <w:shd w:val="clear" w:color="auto" w:fill="auto"/>
            <w:vAlign w:val="bottom"/>
          </w:tcPr>
          <w:p w14:paraId="74DDFBB7" w14:textId="77777777" w:rsidR="00584EC1" w:rsidRDefault="00584EC1">
            <w:pPr>
              <w:rPr>
                <w:rFonts w:ascii="宋体"/>
                <w:vanish/>
              </w:rPr>
            </w:pPr>
          </w:p>
        </w:tc>
      </w:tr>
    </w:tbl>
    <w:p w14:paraId="74DDFBB9" w14:textId="77777777" w:rsidR="00584EC1" w:rsidRDefault="00871F8D">
      <w:pPr>
        <w:ind w:firstLine="450"/>
        <w:jc w:val="right"/>
      </w:pPr>
      <w:r>
        <w:rPr>
          <w:rFonts w:ascii="Arial" w:eastAsia="宋体" w:hAnsi="Arial" w:cs="Arial"/>
          <w:color w:val="000000"/>
          <w:sz w:val="18"/>
          <w:szCs w:val="18"/>
        </w:rPr>
        <w:t>State Street Corporation | 80</w:t>
      </w:r>
    </w:p>
    <w:p w14:paraId="74DDFBBA" w14:textId="77777777" w:rsidR="00584EC1" w:rsidRDefault="00584EC1">
      <w:pPr>
        <w:ind w:firstLine="450"/>
        <w:jc w:val="center"/>
      </w:pPr>
    </w:p>
    <w:p w14:paraId="74DDFBBB" w14:textId="77777777" w:rsidR="00584EC1" w:rsidRDefault="00871F8D">
      <w:r>
        <w:pict w14:anchorId="74DE2A3E">
          <v:rect id="_x0000_i1104" style="width:415.3pt;height:1.5pt" o:hralign="center" o:hrstd="t" o:hr="t" fillcolor="#a0a0a0" stroked="f"/>
        </w:pict>
      </w:r>
    </w:p>
    <w:p w14:paraId="74DDFBBC" w14:textId="77777777" w:rsidR="00584EC1" w:rsidRDefault="00871F8D">
      <w:pPr>
        <w:ind w:firstLine="450"/>
        <w:jc w:val="center"/>
      </w:pPr>
      <w:r>
        <w:rPr>
          <w:rFonts w:ascii="Arial" w:eastAsia="宋体" w:hAnsi="Arial" w:cs="Arial"/>
          <w:b/>
          <w:bCs/>
          <w:color w:val="000000"/>
          <w:sz w:val="20"/>
          <w:szCs w:val="20"/>
        </w:rPr>
        <w:t>STATE STREET CORPORATION</w:t>
      </w:r>
    </w:p>
    <w:p w14:paraId="74DDFBBD" w14:textId="77777777" w:rsidR="00584EC1" w:rsidRDefault="00871F8D">
      <w:pPr>
        <w:ind w:firstLine="450"/>
        <w:jc w:val="center"/>
      </w:pPr>
      <w:r>
        <w:rPr>
          <w:rFonts w:ascii="Arial" w:eastAsia="宋体" w:hAnsi="Arial" w:cs="Arial"/>
          <w:b/>
          <w:bCs/>
          <w:color w:val="000000"/>
          <w:sz w:val="20"/>
          <w:szCs w:val="20"/>
        </w:rPr>
        <w:t>CONDENSED NOTES TO CONSOLIDATED FINANCIAL STATEMENTS</w:t>
      </w:r>
    </w:p>
    <w:p w14:paraId="74DDFBBE" w14:textId="77777777" w:rsidR="00584EC1" w:rsidRDefault="00871F8D">
      <w:pPr>
        <w:ind w:firstLine="450"/>
        <w:jc w:val="center"/>
      </w:pPr>
      <w:r>
        <w:rPr>
          <w:rFonts w:ascii="Arial" w:eastAsia="宋体" w:hAnsi="Arial" w:cs="Arial"/>
          <w:b/>
          <w:bCs/>
          <w:color w:val="000000"/>
          <w:sz w:val="20"/>
          <w:szCs w:val="20"/>
        </w:rPr>
        <w:t>(UNAUDITED)</w:t>
      </w:r>
    </w:p>
    <w:tbl>
      <w:tblPr>
        <w:tblW w:w="4993" w:type="pct"/>
        <w:tblCellMar>
          <w:top w:w="15" w:type="dxa"/>
          <w:left w:w="15" w:type="dxa"/>
          <w:bottom w:w="15" w:type="dxa"/>
          <w:right w:w="15" w:type="dxa"/>
        </w:tblCellMar>
        <w:tblLook w:val="04A0" w:firstRow="1" w:lastRow="0" w:firstColumn="1" w:lastColumn="0" w:noHBand="0" w:noVBand="1"/>
      </w:tblPr>
      <w:tblGrid>
        <w:gridCol w:w="40"/>
        <w:gridCol w:w="2200"/>
        <w:gridCol w:w="37"/>
        <w:gridCol w:w="105"/>
        <w:gridCol w:w="949"/>
        <w:gridCol w:w="36"/>
        <w:gridCol w:w="36"/>
        <w:gridCol w:w="36"/>
        <w:gridCol w:w="36"/>
        <w:gridCol w:w="105"/>
        <w:gridCol w:w="1032"/>
        <w:gridCol w:w="36"/>
        <w:gridCol w:w="36"/>
        <w:gridCol w:w="36"/>
        <w:gridCol w:w="36"/>
        <w:gridCol w:w="105"/>
        <w:gridCol w:w="1179"/>
        <w:gridCol w:w="36"/>
        <w:gridCol w:w="36"/>
        <w:gridCol w:w="36"/>
        <w:gridCol w:w="36"/>
        <w:gridCol w:w="105"/>
        <w:gridCol w:w="1009"/>
        <w:gridCol w:w="37"/>
        <w:gridCol w:w="36"/>
        <w:gridCol w:w="36"/>
        <w:gridCol w:w="36"/>
        <w:gridCol w:w="105"/>
        <w:gridCol w:w="739"/>
        <w:gridCol w:w="37"/>
      </w:tblGrid>
      <w:tr w:rsidR="00584EC1" w14:paraId="74DDFBDD" w14:textId="77777777">
        <w:tc>
          <w:tcPr>
            <w:tcW w:w="50" w:type="pct"/>
            <w:shd w:val="clear" w:color="auto" w:fill="auto"/>
            <w:vAlign w:val="bottom"/>
          </w:tcPr>
          <w:p w14:paraId="74DDFBBF" w14:textId="77777777" w:rsidR="00584EC1" w:rsidRDefault="00584EC1">
            <w:pPr>
              <w:rPr>
                <w:rFonts w:ascii="宋体"/>
              </w:rPr>
            </w:pPr>
          </w:p>
        </w:tc>
        <w:tc>
          <w:tcPr>
            <w:tcW w:w="1350" w:type="pct"/>
            <w:shd w:val="clear" w:color="auto" w:fill="auto"/>
            <w:vAlign w:val="bottom"/>
          </w:tcPr>
          <w:p w14:paraId="74DDFBC0" w14:textId="77777777" w:rsidR="00584EC1" w:rsidRDefault="00584EC1">
            <w:pPr>
              <w:rPr>
                <w:rFonts w:ascii="宋体"/>
              </w:rPr>
            </w:pPr>
          </w:p>
        </w:tc>
        <w:tc>
          <w:tcPr>
            <w:tcW w:w="5" w:type="pct"/>
            <w:shd w:val="clear" w:color="auto" w:fill="auto"/>
            <w:vAlign w:val="bottom"/>
          </w:tcPr>
          <w:p w14:paraId="74DDFBC1" w14:textId="77777777" w:rsidR="00584EC1" w:rsidRDefault="00584EC1">
            <w:pPr>
              <w:rPr>
                <w:rFonts w:ascii="宋体"/>
              </w:rPr>
            </w:pPr>
          </w:p>
        </w:tc>
        <w:tc>
          <w:tcPr>
            <w:tcW w:w="50" w:type="pct"/>
            <w:shd w:val="clear" w:color="auto" w:fill="auto"/>
            <w:vAlign w:val="bottom"/>
          </w:tcPr>
          <w:p w14:paraId="74DDFBC2" w14:textId="77777777" w:rsidR="00584EC1" w:rsidRDefault="00584EC1">
            <w:pPr>
              <w:rPr>
                <w:rFonts w:ascii="宋体"/>
              </w:rPr>
            </w:pPr>
          </w:p>
        </w:tc>
        <w:tc>
          <w:tcPr>
            <w:tcW w:w="596" w:type="pct"/>
            <w:shd w:val="clear" w:color="auto" w:fill="auto"/>
            <w:vAlign w:val="bottom"/>
          </w:tcPr>
          <w:p w14:paraId="74DDFBC3" w14:textId="77777777" w:rsidR="00584EC1" w:rsidRDefault="00584EC1">
            <w:pPr>
              <w:rPr>
                <w:rFonts w:ascii="宋体"/>
              </w:rPr>
            </w:pPr>
          </w:p>
        </w:tc>
        <w:tc>
          <w:tcPr>
            <w:tcW w:w="5" w:type="pct"/>
            <w:shd w:val="clear" w:color="auto" w:fill="auto"/>
            <w:vAlign w:val="bottom"/>
          </w:tcPr>
          <w:p w14:paraId="74DDFBC4" w14:textId="77777777" w:rsidR="00584EC1" w:rsidRDefault="00584EC1">
            <w:pPr>
              <w:rPr>
                <w:rFonts w:ascii="宋体"/>
              </w:rPr>
            </w:pPr>
          </w:p>
        </w:tc>
        <w:tc>
          <w:tcPr>
            <w:tcW w:w="5" w:type="pct"/>
            <w:shd w:val="clear" w:color="auto" w:fill="auto"/>
            <w:vAlign w:val="bottom"/>
          </w:tcPr>
          <w:p w14:paraId="74DDFBC5" w14:textId="77777777" w:rsidR="00584EC1" w:rsidRDefault="00584EC1">
            <w:pPr>
              <w:rPr>
                <w:rFonts w:ascii="宋体"/>
              </w:rPr>
            </w:pPr>
          </w:p>
        </w:tc>
        <w:tc>
          <w:tcPr>
            <w:tcW w:w="26" w:type="pct"/>
            <w:shd w:val="clear" w:color="auto" w:fill="auto"/>
            <w:vAlign w:val="bottom"/>
          </w:tcPr>
          <w:p w14:paraId="74DDFBC6" w14:textId="77777777" w:rsidR="00584EC1" w:rsidRDefault="00584EC1">
            <w:pPr>
              <w:rPr>
                <w:rFonts w:ascii="宋体"/>
              </w:rPr>
            </w:pPr>
          </w:p>
        </w:tc>
        <w:tc>
          <w:tcPr>
            <w:tcW w:w="5" w:type="pct"/>
            <w:shd w:val="clear" w:color="auto" w:fill="auto"/>
            <w:vAlign w:val="bottom"/>
          </w:tcPr>
          <w:p w14:paraId="74DDFBC7" w14:textId="77777777" w:rsidR="00584EC1" w:rsidRDefault="00584EC1">
            <w:pPr>
              <w:rPr>
                <w:rFonts w:ascii="宋体"/>
              </w:rPr>
            </w:pPr>
          </w:p>
        </w:tc>
        <w:tc>
          <w:tcPr>
            <w:tcW w:w="50" w:type="pct"/>
            <w:shd w:val="clear" w:color="auto" w:fill="auto"/>
            <w:vAlign w:val="bottom"/>
          </w:tcPr>
          <w:p w14:paraId="74DDFBC8" w14:textId="77777777" w:rsidR="00584EC1" w:rsidRDefault="00584EC1">
            <w:pPr>
              <w:rPr>
                <w:rFonts w:ascii="宋体"/>
              </w:rPr>
            </w:pPr>
          </w:p>
        </w:tc>
        <w:tc>
          <w:tcPr>
            <w:tcW w:w="669" w:type="pct"/>
            <w:shd w:val="clear" w:color="auto" w:fill="auto"/>
            <w:vAlign w:val="bottom"/>
          </w:tcPr>
          <w:p w14:paraId="74DDFBC9" w14:textId="77777777" w:rsidR="00584EC1" w:rsidRDefault="00584EC1">
            <w:pPr>
              <w:rPr>
                <w:rFonts w:ascii="宋体"/>
              </w:rPr>
            </w:pPr>
          </w:p>
        </w:tc>
        <w:tc>
          <w:tcPr>
            <w:tcW w:w="5" w:type="pct"/>
            <w:shd w:val="clear" w:color="auto" w:fill="auto"/>
            <w:vAlign w:val="bottom"/>
          </w:tcPr>
          <w:p w14:paraId="74DDFBCA" w14:textId="77777777" w:rsidR="00584EC1" w:rsidRDefault="00584EC1">
            <w:pPr>
              <w:rPr>
                <w:rFonts w:ascii="宋体"/>
              </w:rPr>
            </w:pPr>
          </w:p>
        </w:tc>
        <w:tc>
          <w:tcPr>
            <w:tcW w:w="5" w:type="pct"/>
            <w:shd w:val="clear" w:color="auto" w:fill="auto"/>
            <w:vAlign w:val="bottom"/>
          </w:tcPr>
          <w:p w14:paraId="74DDFBCB" w14:textId="77777777" w:rsidR="00584EC1" w:rsidRDefault="00584EC1">
            <w:pPr>
              <w:rPr>
                <w:rFonts w:ascii="宋体"/>
              </w:rPr>
            </w:pPr>
          </w:p>
        </w:tc>
        <w:tc>
          <w:tcPr>
            <w:tcW w:w="26" w:type="pct"/>
            <w:shd w:val="clear" w:color="auto" w:fill="auto"/>
            <w:vAlign w:val="bottom"/>
          </w:tcPr>
          <w:p w14:paraId="74DDFBCC" w14:textId="77777777" w:rsidR="00584EC1" w:rsidRDefault="00584EC1">
            <w:pPr>
              <w:rPr>
                <w:rFonts w:ascii="宋体"/>
              </w:rPr>
            </w:pPr>
          </w:p>
        </w:tc>
        <w:tc>
          <w:tcPr>
            <w:tcW w:w="5" w:type="pct"/>
            <w:shd w:val="clear" w:color="auto" w:fill="auto"/>
            <w:vAlign w:val="bottom"/>
          </w:tcPr>
          <w:p w14:paraId="74DDFBCD" w14:textId="77777777" w:rsidR="00584EC1" w:rsidRDefault="00584EC1">
            <w:pPr>
              <w:rPr>
                <w:rFonts w:ascii="宋体"/>
              </w:rPr>
            </w:pPr>
          </w:p>
        </w:tc>
        <w:tc>
          <w:tcPr>
            <w:tcW w:w="50" w:type="pct"/>
            <w:shd w:val="clear" w:color="auto" w:fill="auto"/>
            <w:vAlign w:val="bottom"/>
          </w:tcPr>
          <w:p w14:paraId="74DDFBCE" w14:textId="77777777" w:rsidR="00584EC1" w:rsidRDefault="00584EC1">
            <w:pPr>
              <w:rPr>
                <w:rFonts w:ascii="宋体"/>
              </w:rPr>
            </w:pPr>
          </w:p>
        </w:tc>
        <w:tc>
          <w:tcPr>
            <w:tcW w:w="757" w:type="pct"/>
            <w:shd w:val="clear" w:color="auto" w:fill="auto"/>
            <w:vAlign w:val="bottom"/>
          </w:tcPr>
          <w:p w14:paraId="74DDFBCF" w14:textId="77777777" w:rsidR="00584EC1" w:rsidRDefault="00584EC1">
            <w:pPr>
              <w:rPr>
                <w:rFonts w:ascii="宋体"/>
              </w:rPr>
            </w:pPr>
          </w:p>
        </w:tc>
        <w:tc>
          <w:tcPr>
            <w:tcW w:w="5" w:type="pct"/>
            <w:shd w:val="clear" w:color="auto" w:fill="auto"/>
            <w:vAlign w:val="bottom"/>
          </w:tcPr>
          <w:p w14:paraId="74DDFBD0" w14:textId="77777777" w:rsidR="00584EC1" w:rsidRDefault="00584EC1">
            <w:pPr>
              <w:rPr>
                <w:rFonts w:ascii="宋体"/>
              </w:rPr>
            </w:pPr>
          </w:p>
        </w:tc>
        <w:tc>
          <w:tcPr>
            <w:tcW w:w="5" w:type="pct"/>
            <w:shd w:val="clear" w:color="auto" w:fill="auto"/>
            <w:vAlign w:val="bottom"/>
          </w:tcPr>
          <w:p w14:paraId="74DDFBD1" w14:textId="77777777" w:rsidR="00584EC1" w:rsidRDefault="00584EC1">
            <w:pPr>
              <w:rPr>
                <w:rFonts w:ascii="宋体"/>
              </w:rPr>
            </w:pPr>
          </w:p>
        </w:tc>
        <w:tc>
          <w:tcPr>
            <w:tcW w:w="26" w:type="pct"/>
            <w:shd w:val="clear" w:color="auto" w:fill="auto"/>
            <w:vAlign w:val="bottom"/>
          </w:tcPr>
          <w:p w14:paraId="74DDFBD2" w14:textId="77777777" w:rsidR="00584EC1" w:rsidRDefault="00584EC1">
            <w:pPr>
              <w:rPr>
                <w:rFonts w:ascii="宋体"/>
              </w:rPr>
            </w:pPr>
          </w:p>
        </w:tc>
        <w:tc>
          <w:tcPr>
            <w:tcW w:w="5" w:type="pct"/>
            <w:shd w:val="clear" w:color="auto" w:fill="auto"/>
            <w:vAlign w:val="bottom"/>
          </w:tcPr>
          <w:p w14:paraId="74DDFBD3" w14:textId="77777777" w:rsidR="00584EC1" w:rsidRDefault="00584EC1">
            <w:pPr>
              <w:rPr>
                <w:rFonts w:ascii="宋体"/>
              </w:rPr>
            </w:pPr>
          </w:p>
        </w:tc>
        <w:tc>
          <w:tcPr>
            <w:tcW w:w="50" w:type="pct"/>
            <w:shd w:val="clear" w:color="auto" w:fill="auto"/>
            <w:vAlign w:val="bottom"/>
          </w:tcPr>
          <w:p w14:paraId="74DDFBD4" w14:textId="77777777" w:rsidR="00584EC1" w:rsidRDefault="00584EC1">
            <w:pPr>
              <w:rPr>
                <w:rFonts w:ascii="宋体"/>
              </w:rPr>
            </w:pPr>
          </w:p>
        </w:tc>
        <w:tc>
          <w:tcPr>
            <w:tcW w:w="655" w:type="pct"/>
            <w:shd w:val="clear" w:color="auto" w:fill="auto"/>
            <w:vAlign w:val="bottom"/>
          </w:tcPr>
          <w:p w14:paraId="74DDFBD5" w14:textId="77777777" w:rsidR="00584EC1" w:rsidRDefault="00584EC1">
            <w:pPr>
              <w:rPr>
                <w:rFonts w:ascii="宋体"/>
              </w:rPr>
            </w:pPr>
          </w:p>
        </w:tc>
        <w:tc>
          <w:tcPr>
            <w:tcW w:w="5" w:type="pct"/>
            <w:shd w:val="clear" w:color="auto" w:fill="auto"/>
            <w:vAlign w:val="bottom"/>
          </w:tcPr>
          <w:p w14:paraId="74DDFBD6" w14:textId="77777777" w:rsidR="00584EC1" w:rsidRDefault="00584EC1">
            <w:pPr>
              <w:rPr>
                <w:rFonts w:ascii="宋体"/>
              </w:rPr>
            </w:pPr>
          </w:p>
        </w:tc>
        <w:tc>
          <w:tcPr>
            <w:tcW w:w="5" w:type="pct"/>
            <w:shd w:val="clear" w:color="auto" w:fill="auto"/>
            <w:vAlign w:val="bottom"/>
          </w:tcPr>
          <w:p w14:paraId="74DDFBD7" w14:textId="77777777" w:rsidR="00584EC1" w:rsidRDefault="00584EC1">
            <w:pPr>
              <w:rPr>
                <w:rFonts w:ascii="宋体"/>
              </w:rPr>
            </w:pPr>
          </w:p>
        </w:tc>
        <w:tc>
          <w:tcPr>
            <w:tcW w:w="26" w:type="pct"/>
            <w:shd w:val="clear" w:color="auto" w:fill="auto"/>
            <w:vAlign w:val="bottom"/>
          </w:tcPr>
          <w:p w14:paraId="74DDFBD8" w14:textId="77777777" w:rsidR="00584EC1" w:rsidRDefault="00584EC1">
            <w:pPr>
              <w:rPr>
                <w:rFonts w:ascii="宋体"/>
              </w:rPr>
            </w:pPr>
          </w:p>
        </w:tc>
        <w:tc>
          <w:tcPr>
            <w:tcW w:w="5" w:type="pct"/>
            <w:shd w:val="clear" w:color="auto" w:fill="auto"/>
            <w:vAlign w:val="bottom"/>
          </w:tcPr>
          <w:p w14:paraId="74DDFBD9" w14:textId="77777777" w:rsidR="00584EC1" w:rsidRDefault="00584EC1">
            <w:pPr>
              <w:rPr>
                <w:rFonts w:ascii="宋体"/>
              </w:rPr>
            </w:pPr>
          </w:p>
        </w:tc>
        <w:tc>
          <w:tcPr>
            <w:tcW w:w="50" w:type="pct"/>
            <w:shd w:val="clear" w:color="auto" w:fill="auto"/>
            <w:vAlign w:val="bottom"/>
          </w:tcPr>
          <w:p w14:paraId="74DDFBDA" w14:textId="77777777" w:rsidR="00584EC1" w:rsidRDefault="00584EC1">
            <w:pPr>
              <w:rPr>
                <w:rFonts w:ascii="宋体"/>
              </w:rPr>
            </w:pPr>
          </w:p>
        </w:tc>
        <w:tc>
          <w:tcPr>
            <w:tcW w:w="494" w:type="pct"/>
            <w:shd w:val="clear" w:color="auto" w:fill="auto"/>
            <w:vAlign w:val="bottom"/>
          </w:tcPr>
          <w:p w14:paraId="74DDFBDB" w14:textId="77777777" w:rsidR="00584EC1" w:rsidRDefault="00584EC1">
            <w:pPr>
              <w:rPr>
                <w:rFonts w:ascii="宋体"/>
              </w:rPr>
            </w:pPr>
          </w:p>
        </w:tc>
        <w:tc>
          <w:tcPr>
            <w:tcW w:w="5" w:type="pct"/>
            <w:shd w:val="clear" w:color="auto" w:fill="auto"/>
            <w:vAlign w:val="bottom"/>
          </w:tcPr>
          <w:p w14:paraId="74DDFBDC" w14:textId="77777777" w:rsidR="00584EC1" w:rsidRDefault="00584EC1">
            <w:pPr>
              <w:rPr>
                <w:rFonts w:ascii="宋体"/>
              </w:rPr>
            </w:pPr>
          </w:p>
        </w:tc>
      </w:tr>
      <w:tr w:rsidR="00584EC1" w14:paraId="74DDFBE0" w14:textId="77777777">
        <w:tc>
          <w:tcPr>
            <w:tcW w:w="0" w:type="auto"/>
            <w:gridSpan w:val="3"/>
            <w:shd w:val="clear" w:color="auto" w:fill="auto"/>
            <w:tcMar>
              <w:top w:w="40" w:type="dxa"/>
              <w:left w:w="20" w:type="dxa"/>
              <w:bottom w:w="40" w:type="dxa"/>
              <w:right w:w="20" w:type="dxa"/>
            </w:tcMar>
            <w:vAlign w:val="bottom"/>
          </w:tcPr>
          <w:p w14:paraId="74DDFBDE" w14:textId="77777777" w:rsidR="00584EC1" w:rsidRDefault="00871F8D">
            <w:pPr>
              <w:textAlignment w:val="bottom"/>
            </w:pPr>
            <w:r>
              <w:rPr>
                <w:rFonts w:ascii="Arial" w:eastAsia="宋体" w:hAnsi="Arial" w:cs="Arial"/>
                <w:b/>
                <w:bCs/>
                <w:color w:val="000000"/>
                <w:sz w:val="15"/>
                <w:szCs w:val="15"/>
              </w:rPr>
              <w:t>Assets:</w:t>
            </w:r>
          </w:p>
        </w:tc>
        <w:tc>
          <w:tcPr>
            <w:tcW w:w="0" w:type="auto"/>
            <w:gridSpan w:val="27"/>
            <w:tcBorders>
              <w:bottom w:val="single" w:sz="8" w:space="0" w:color="000000"/>
            </w:tcBorders>
            <w:shd w:val="clear" w:color="auto" w:fill="auto"/>
            <w:tcMar>
              <w:top w:w="40" w:type="dxa"/>
              <w:left w:w="20" w:type="dxa"/>
              <w:bottom w:w="40" w:type="dxa"/>
              <w:right w:w="20" w:type="dxa"/>
            </w:tcMar>
            <w:vAlign w:val="bottom"/>
          </w:tcPr>
          <w:p w14:paraId="74DDFBDF" w14:textId="77777777" w:rsidR="00584EC1" w:rsidRDefault="00871F8D">
            <w:pPr>
              <w:jc w:val="center"/>
              <w:textAlignment w:val="bottom"/>
            </w:pPr>
            <w:r>
              <w:rPr>
                <w:rFonts w:ascii="Arial" w:eastAsia="宋体" w:hAnsi="Arial" w:cs="Arial"/>
                <w:b/>
                <w:bCs/>
                <w:color w:val="000000"/>
                <w:sz w:val="15"/>
                <w:szCs w:val="15"/>
              </w:rPr>
              <w:t>December 31, 2020</w:t>
            </w:r>
          </w:p>
        </w:tc>
      </w:tr>
      <w:tr w:rsidR="00584EC1" w14:paraId="74DDFBEA" w14:textId="77777777">
        <w:trPr>
          <w:trHeight w:val="400"/>
        </w:trPr>
        <w:tc>
          <w:tcPr>
            <w:tcW w:w="0" w:type="auto"/>
            <w:gridSpan w:val="3"/>
            <w:shd w:val="clear" w:color="auto" w:fill="auto"/>
            <w:tcMar>
              <w:top w:w="0" w:type="dxa"/>
              <w:left w:w="20" w:type="dxa"/>
              <w:bottom w:w="0" w:type="dxa"/>
              <w:right w:w="20" w:type="dxa"/>
            </w:tcMar>
            <w:vAlign w:val="bottom"/>
          </w:tcPr>
          <w:p w14:paraId="74DDFBE1" w14:textId="77777777" w:rsidR="00584EC1" w:rsidRDefault="00584EC1">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4DDFBE2" w14:textId="77777777" w:rsidR="00584EC1" w:rsidRDefault="00871F8D">
            <w:pPr>
              <w:jc w:val="center"/>
              <w:textAlignment w:val="bottom"/>
            </w:pPr>
            <w:r>
              <w:rPr>
                <w:rFonts w:ascii="Arial" w:eastAsia="宋体" w:hAnsi="Arial" w:cs="Arial"/>
                <w:b/>
                <w:bCs/>
                <w:color w:val="000000"/>
                <w:sz w:val="15"/>
                <w:szCs w:val="15"/>
              </w:rPr>
              <w:t xml:space="preserve">Gross Amounts of Recognized </w:t>
            </w:r>
          </w:p>
          <w:p w14:paraId="74DDFBE3" w14:textId="77777777" w:rsidR="00584EC1" w:rsidRDefault="00871F8D">
            <w:pPr>
              <w:jc w:val="center"/>
              <w:textAlignment w:val="bottom"/>
            </w:pPr>
            <w:r>
              <w:rPr>
                <w:rFonts w:ascii="Arial" w:eastAsia="宋体" w:hAnsi="Arial" w:cs="Arial"/>
                <w:b/>
                <w:bCs/>
                <w:color w:val="000000"/>
                <w:sz w:val="15"/>
                <w:szCs w:val="15"/>
              </w:rPr>
              <w:t>Assets</w:t>
            </w:r>
            <w:r>
              <w:rPr>
                <w:rFonts w:ascii="Arial" w:eastAsia="宋体" w:hAnsi="Arial" w:cs="Arial"/>
                <w:b/>
                <w:bCs/>
                <w:color w:val="000000"/>
                <w:sz w:val="9"/>
                <w:szCs w:val="9"/>
              </w:rPr>
              <w:t>(1)(2)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BE4" w14:textId="77777777" w:rsidR="00584EC1" w:rsidRDefault="00584EC1">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4DDFBE5" w14:textId="77777777" w:rsidR="00584EC1" w:rsidRDefault="00871F8D">
            <w:pPr>
              <w:jc w:val="center"/>
              <w:textAlignment w:val="bottom"/>
            </w:pPr>
            <w:r>
              <w:rPr>
                <w:rFonts w:ascii="Arial" w:eastAsia="宋体" w:hAnsi="Arial" w:cs="Arial"/>
                <w:b/>
                <w:bCs/>
                <w:color w:val="000000"/>
                <w:sz w:val="15"/>
                <w:szCs w:val="15"/>
              </w:rPr>
              <w:t>Gross Amounts Offset in Statement of Condition</w:t>
            </w:r>
            <w:r>
              <w:rPr>
                <w:rFonts w:ascii="Arial" w:eastAsia="宋体" w:hAnsi="Arial" w:cs="Arial"/>
                <w:b/>
                <w:bCs/>
                <w:color w:val="000000"/>
                <w:sz w:val="9"/>
                <w:szCs w:val="9"/>
              </w:rPr>
              <w:t>(3)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BE6" w14:textId="77777777" w:rsidR="00584EC1" w:rsidRDefault="00584EC1">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4DDFBE7" w14:textId="77777777" w:rsidR="00584EC1" w:rsidRDefault="00871F8D">
            <w:pPr>
              <w:jc w:val="center"/>
              <w:textAlignment w:val="bottom"/>
            </w:pPr>
            <w:r>
              <w:rPr>
                <w:rFonts w:ascii="Arial" w:eastAsia="宋体" w:hAnsi="Arial" w:cs="Arial"/>
                <w:b/>
                <w:bCs/>
                <w:color w:val="000000"/>
                <w:sz w:val="15"/>
                <w:szCs w:val="15"/>
              </w:rPr>
              <w:t xml:space="preserve">Net Amounts of Assets Presented in </w:t>
            </w:r>
            <w:r>
              <w:rPr>
                <w:rFonts w:ascii="Arial" w:eastAsia="宋体" w:hAnsi="Arial" w:cs="Arial"/>
                <w:b/>
                <w:bCs/>
                <w:color w:val="000000"/>
                <w:sz w:val="15"/>
                <w:szCs w:val="15"/>
              </w:rPr>
              <w:t>Statement of Condition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BE8" w14:textId="77777777" w:rsidR="00584EC1" w:rsidRDefault="00584E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4DDFBE9" w14:textId="77777777" w:rsidR="00584EC1" w:rsidRDefault="00871F8D">
            <w:pPr>
              <w:jc w:val="center"/>
              <w:textAlignment w:val="bottom"/>
            </w:pPr>
            <w:r>
              <w:rPr>
                <w:rFonts w:ascii="Arial" w:eastAsia="宋体" w:hAnsi="Arial" w:cs="Arial"/>
                <w:b/>
                <w:bCs/>
                <w:color w:val="000000"/>
                <w:sz w:val="15"/>
                <w:szCs w:val="15"/>
              </w:rPr>
              <w:t>Gross Amounts Not Offset in Statement of Condition</w:t>
            </w:r>
          </w:p>
        </w:tc>
      </w:tr>
      <w:tr w:rsidR="00584EC1" w14:paraId="74DDFBF5" w14:textId="77777777">
        <w:trPr>
          <w:trHeight w:val="540"/>
        </w:trPr>
        <w:tc>
          <w:tcPr>
            <w:tcW w:w="0" w:type="auto"/>
            <w:gridSpan w:val="3"/>
            <w:shd w:val="clear" w:color="auto" w:fill="auto"/>
            <w:tcMar>
              <w:top w:w="40" w:type="dxa"/>
              <w:left w:w="20" w:type="dxa"/>
              <w:bottom w:w="40" w:type="dxa"/>
              <w:right w:w="20" w:type="dxa"/>
            </w:tcMar>
            <w:vAlign w:val="bottom"/>
          </w:tcPr>
          <w:p w14:paraId="74DDFBEB" w14:textId="77777777" w:rsidR="00584EC1" w:rsidRDefault="00871F8D">
            <w:pPr>
              <w:textAlignment w:val="bottom"/>
            </w:pPr>
            <w:r>
              <w:rPr>
                <w:rFonts w:ascii="Arial" w:eastAsia="宋体" w:hAnsi="Arial" w:cs="Arial"/>
                <w:b/>
                <w:bCs/>
                <w:color w:val="000000"/>
                <w:sz w:val="15"/>
                <w:szCs w:val="15"/>
              </w:rPr>
              <w:t>(In millions)</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4DDFBEC"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BED" w14:textId="77777777" w:rsidR="00584EC1" w:rsidRDefault="00584EC1">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4DDFBEE"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BEF" w14:textId="77777777" w:rsidR="00584EC1" w:rsidRDefault="00584EC1">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4DDFBF0" w14:textId="77777777" w:rsidR="00584EC1" w:rsidRDefault="00584EC1">
            <w:pPr>
              <w:jc w:val="center"/>
              <w:rPr>
                <w:rFonts w:ascii="宋体"/>
              </w:rPr>
            </w:pPr>
          </w:p>
        </w:tc>
        <w:tc>
          <w:tcPr>
            <w:tcW w:w="0" w:type="auto"/>
            <w:gridSpan w:val="3"/>
            <w:shd w:val="clear" w:color="auto" w:fill="auto"/>
            <w:tcMar>
              <w:top w:w="0" w:type="dxa"/>
              <w:left w:w="20" w:type="dxa"/>
              <w:bottom w:w="0" w:type="dxa"/>
              <w:right w:w="20" w:type="dxa"/>
            </w:tcMar>
            <w:vAlign w:val="bottom"/>
          </w:tcPr>
          <w:p w14:paraId="74DDFBF1"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FBF2" w14:textId="77777777" w:rsidR="00584EC1" w:rsidRDefault="00871F8D">
            <w:pPr>
              <w:jc w:val="center"/>
              <w:textAlignment w:val="bottom"/>
            </w:pPr>
            <w:r>
              <w:rPr>
                <w:rFonts w:ascii="Arial" w:eastAsia="宋体" w:hAnsi="Arial" w:cs="Arial"/>
                <w:b/>
                <w:bCs/>
                <w:color w:val="000000"/>
                <w:sz w:val="15"/>
                <w:szCs w:val="15"/>
              </w:rPr>
              <w:t>Cash and Securities Received</w:t>
            </w:r>
            <w:r>
              <w:rPr>
                <w:rFonts w:ascii="Arial" w:eastAsia="宋体" w:hAnsi="Arial" w:cs="Arial"/>
                <w:b/>
                <w:bCs/>
                <w:color w:val="000000"/>
                <w:sz w:val="9"/>
                <w:szCs w:val="9"/>
              </w:rPr>
              <w:t>(4)</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BF3"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FBF4" w14:textId="77777777" w:rsidR="00584EC1" w:rsidRDefault="00871F8D">
            <w:pPr>
              <w:jc w:val="center"/>
              <w:textAlignment w:val="bottom"/>
            </w:pPr>
            <w:r>
              <w:rPr>
                <w:rFonts w:ascii="Arial" w:eastAsia="宋体" w:hAnsi="Arial" w:cs="Arial"/>
                <w:b/>
                <w:bCs/>
                <w:color w:val="000000"/>
                <w:sz w:val="15"/>
                <w:szCs w:val="15"/>
              </w:rPr>
              <w:t>Net Amount</w:t>
            </w:r>
            <w:r>
              <w:rPr>
                <w:rFonts w:ascii="Arial" w:eastAsia="宋体" w:hAnsi="Arial" w:cs="Arial"/>
                <w:b/>
                <w:bCs/>
                <w:color w:val="000000"/>
                <w:sz w:val="9"/>
                <w:szCs w:val="9"/>
              </w:rPr>
              <w:t>(5)</w:t>
            </w:r>
          </w:p>
        </w:tc>
      </w:tr>
      <w:tr w:rsidR="00584EC1" w14:paraId="74DDFC00" w14:textId="77777777">
        <w:tc>
          <w:tcPr>
            <w:tcW w:w="0" w:type="auto"/>
            <w:gridSpan w:val="3"/>
            <w:shd w:val="clear" w:color="auto" w:fill="auto"/>
            <w:tcMar>
              <w:top w:w="40" w:type="dxa"/>
              <w:left w:w="20" w:type="dxa"/>
              <w:bottom w:w="40" w:type="dxa"/>
              <w:right w:w="20" w:type="dxa"/>
            </w:tcMar>
            <w:vAlign w:val="bottom"/>
          </w:tcPr>
          <w:p w14:paraId="74DDFBF6" w14:textId="77777777" w:rsidR="00584EC1" w:rsidRDefault="00871F8D">
            <w:pPr>
              <w:textAlignment w:val="bottom"/>
            </w:pPr>
            <w:r>
              <w:rPr>
                <w:rFonts w:ascii="Arial" w:eastAsia="宋体" w:hAnsi="Arial" w:cs="Arial"/>
                <w:b/>
                <w:bCs/>
                <w:color w:val="000000"/>
                <w:sz w:val="15"/>
                <w:szCs w:val="15"/>
              </w:rPr>
              <w:t>Derivatives: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BF7"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BF8"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BF9"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BFA"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BFB"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BFC"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BFD"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BFE"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BFF" w14:textId="77777777" w:rsidR="00584EC1" w:rsidRDefault="00584EC1">
            <w:pPr>
              <w:rPr>
                <w:rFonts w:ascii="宋体"/>
              </w:rPr>
            </w:pPr>
          </w:p>
        </w:tc>
      </w:tr>
      <w:tr w:rsidR="00584EC1" w14:paraId="74DDFC15" w14:textId="77777777">
        <w:tc>
          <w:tcPr>
            <w:tcW w:w="0" w:type="auto"/>
            <w:gridSpan w:val="3"/>
            <w:shd w:val="clear" w:color="auto" w:fill="CCEEFF"/>
            <w:tcMar>
              <w:top w:w="40" w:type="dxa"/>
              <w:left w:w="20" w:type="dxa"/>
              <w:bottom w:w="40" w:type="dxa"/>
              <w:right w:w="20" w:type="dxa"/>
            </w:tcMar>
            <w:vAlign w:val="bottom"/>
          </w:tcPr>
          <w:p w14:paraId="74DDFC01" w14:textId="77777777" w:rsidR="00584EC1" w:rsidRDefault="00871F8D">
            <w:pPr>
              <w:textAlignment w:val="bottom"/>
            </w:pPr>
            <w:r>
              <w:rPr>
                <w:rFonts w:ascii="Arial" w:eastAsia="宋体" w:hAnsi="Arial" w:cs="Arial"/>
                <w:color w:val="000000"/>
                <w:sz w:val="15"/>
                <w:szCs w:val="15"/>
              </w:rPr>
              <w:t>Foreign exchange contracts</w:t>
            </w:r>
          </w:p>
        </w:tc>
        <w:tc>
          <w:tcPr>
            <w:tcW w:w="0" w:type="auto"/>
            <w:shd w:val="clear" w:color="auto" w:fill="CCEEFF"/>
            <w:tcMar>
              <w:top w:w="40" w:type="dxa"/>
              <w:left w:w="20" w:type="dxa"/>
              <w:bottom w:w="40" w:type="dxa"/>
              <w:right w:w="0" w:type="dxa"/>
            </w:tcMar>
            <w:vAlign w:val="bottom"/>
          </w:tcPr>
          <w:p w14:paraId="74DDFC02" w14:textId="77777777" w:rsidR="00584EC1" w:rsidRDefault="00871F8D">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4DDFC03" w14:textId="77777777" w:rsidR="00584EC1" w:rsidRDefault="00871F8D">
            <w:pPr>
              <w:jc w:val="right"/>
              <w:textAlignment w:val="bottom"/>
            </w:pPr>
            <w:r>
              <w:rPr>
                <w:rFonts w:ascii="Arial" w:eastAsia="宋体" w:hAnsi="Arial" w:cs="Arial"/>
                <w:color w:val="000000"/>
                <w:sz w:val="15"/>
                <w:szCs w:val="15"/>
              </w:rPr>
              <w:t>25,943 </w:t>
            </w:r>
          </w:p>
        </w:tc>
        <w:tc>
          <w:tcPr>
            <w:tcW w:w="0" w:type="auto"/>
            <w:shd w:val="clear" w:color="auto" w:fill="CCEEFF"/>
            <w:tcMar>
              <w:top w:w="40" w:type="dxa"/>
              <w:left w:w="0" w:type="dxa"/>
              <w:bottom w:w="40" w:type="dxa"/>
              <w:right w:w="20" w:type="dxa"/>
            </w:tcMar>
            <w:vAlign w:val="bottom"/>
          </w:tcPr>
          <w:p w14:paraId="74DDFC0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C05"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FC06" w14:textId="77777777" w:rsidR="00584EC1" w:rsidRDefault="00871F8D">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4DDFC07" w14:textId="77777777" w:rsidR="00584EC1" w:rsidRDefault="00871F8D">
            <w:pPr>
              <w:jc w:val="right"/>
              <w:textAlignment w:val="bottom"/>
            </w:pPr>
            <w:r>
              <w:rPr>
                <w:rFonts w:ascii="Arial" w:eastAsia="宋体" w:hAnsi="Arial" w:cs="Arial"/>
                <w:color w:val="000000"/>
                <w:sz w:val="15"/>
                <w:szCs w:val="15"/>
              </w:rPr>
              <w:t>(14,271)</w:t>
            </w:r>
          </w:p>
        </w:tc>
        <w:tc>
          <w:tcPr>
            <w:tcW w:w="0" w:type="auto"/>
            <w:shd w:val="clear" w:color="auto" w:fill="CCEEFF"/>
            <w:tcMar>
              <w:top w:w="40" w:type="dxa"/>
              <w:left w:w="0" w:type="dxa"/>
              <w:bottom w:w="40" w:type="dxa"/>
              <w:right w:w="20" w:type="dxa"/>
            </w:tcMar>
            <w:vAlign w:val="bottom"/>
          </w:tcPr>
          <w:p w14:paraId="74DDFC0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C09"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FC0A" w14:textId="77777777" w:rsidR="00584EC1" w:rsidRDefault="00871F8D">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4DDFC0B" w14:textId="77777777" w:rsidR="00584EC1" w:rsidRDefault="00871F8D">
            <w:pPr>
              <w:jc w:val="right"/>
              <w:textAlignment w:val="bottom"/>
            </w:pPr>
            <w:r>
              <w:rPr>
                <w:rFonts w:ascii="Arial" w:eastAsia="宋体" w:hAnsi="Arial" w:cs="Arial"/>
                <w:color w:val="000000"/>
                <w:sz w:val="15"/>
                <w:szCs w:val="15"/>
              </w:rPr>
              <w:t>11,672 </w:t>
            </w:r>
          </w:p>
        </w:tc>
        <w:tc>
          <w:tcPr>
            <w:tcW w:w="0" w:type="auto"/>
            <w:shd w:val="clear" w:color="auto" w:fill="CCEEFF"/>
            <w:tcMar>
              <w:top w:w="40" w:type="dxa"/>
              <w:left w:w="0" w:type="dxa"/>
              <w:bottom w:w="40" w:type="dxa"/>
              <w:right w:w="20" w:type="dxa"/>
            </w:tcMar>
            <w:vAlign w:val="bottom"/>
          </w:tcPr>
          <w:p w14:paraId="74DDFC0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C0D"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FC0E" w14:textId="77777777" w:rsidR="00584EC1" w:rsidRDefault="00871F8D">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4DDFC0F"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FC1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C11"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FC12" w14:textId="77777777" w:rsidR="00584EC1" w:rsidRDefault="00871F8D">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4DDFC13" w14:textId="77777777" w:rsidR="00584EC1" w:rsidRDefault="00871F8D">
            <w:pPr>
              <w:jc w:val="right"/>
              <w:textAlignment w:val="bottom"/>
            </w:pPr>
            <w:r>
              <w:rPr>
                <w:rFonts w:ascii="Arial" w:eastAsia="宋体" w:hAnsi="Arial" w:cs="Arial"/>
                <w:color w:val="000000"/>
                <w:sz w:val="15"/>
                <w:szCs w:val="15"/>
              </w:rPr>
              <w:t>11,672 </w:t>
            </w:r>
          </w:p>
        </w:tc>
        <w:tc>
          <w:tcPr>
            <w:tcW w:w="0" w:type="auto"/>
            <w:shd w:val="clear" w:color="auto" w:fill="CCEEFF"/>
            <w:tcMar>
              <w:top w:w="40" w:type="dxa"/>
              <w:left w:w="0" w:type="dxa"/>
              <w:bottom w:w="40" w:type="dxa"/>
              <w:right w:w="20" w:type="dxa"/>
            </w:tcMar>
            <w:vAlign w:val="bottom"/>
          </w:tcPr>
          <w:p w14:paraId="74DDFC14" w14:textId="77777777" w:rsidR="00584EC1" w:rsidRDefault="00584EC1">
            <w:pPr>
              <w:jc w:val="right"/>
              <w:rPr>
                <w:rFonts w:ascii="宋体"/>
              </w:rPr>
            </w:pPr>
          </w:p>
        </w:tc>
      </w:tr>
      <w:tr w:rsidR="00584EC1" w14:paraId="74DDFC25" w14:textId="77777777">
        <w:tc>
          <w:tcPr>
            <w:tcW w:w="0" w:type="auto"/>
            <w:gridSpan w:val="3"/>
            <w:shd w:val="clear" w:color="auto" w:fill="FFFFFF"/>
            <w:tcMar>
              <w:top w:w="40" w:type="dxa"/>
              <w:left w:w="20" w:type="dxa"/>
              <w:bottom w:w="40" w:type="dxa"/>
              <w:right w:w="20" w:type="dxa"/>
            </w:tcMar>
            <w:vAlign w:val="bottom"/>
          </w:tcPr>
          <w:p w14:paraId="74DDFC16" w14:textId="77777777" w:rsidR="00584EC1" w:rsidRDefault="00871F8D">
            <w:pPr>
              <w:textAlignment w:val="bottom"/>
            </w:pPr>
            <w:r>
              <w:rPr>
                <w:rFonts w:ascii="Arial" w:eastAsia="宋体" w:hAnsi="Arial" w:cs="Arial"/>
                <w:color w:val="000000"/>
                <w:sz w:val="15"/>
                <w:szCs w:val="15"/>
              </w:rPr>
              <w:t>Interest rate contracts</w:t>
            </w:r>
            <w:r>
              <w:rPr>
                <w:rFonts w:ascii="Arial" w:eastAsia="宋体" w:hAnsi="Arial" w:cs="Arial"/>
                <w:color w:val="000000"/>
                <w:sz w:val="9"/>
                <w:szCs w:val="9"/>
              </w:rPr>
              <w:t>(6)</w:t>
            </w:r>
          </w:p>
        </w:tc>
        <w:tc>
          <w:tcPr>
            <w:tcW w:w="0" w:type="auto"/>
            <w:gridSpan w:val="2"/>
            <w:shd w:val="clear" w:color="auto" w:fill="FFFFFF"/>
            <w:tcMar>
              <w:top w:w="40" w:type="dxa"/>
              <w:left w:w="20" w:type="dxa"/>
              <w:bottom w:w="40" w:type="dxa"/>
              <w:right w:w="0" w:type="dxa"/>
            </w:tcMar>
            <w:vAlign w:val="bottom"/>
          </w:tcPr>
          <w:p w14:paraId="74DDFC17" w14:textId="77777777" w:rsidR="00584EC1" w:rsidRDefault="00871F8D">
            <w:pPr>
              <w:jc w:val="right"/>
              <w:textAlignment w:val="bottom"/>
            </w:pPr>
            <w:r>
              <w:rPr>
                <w:rFonts w:ascii="Arial" w:eastAsia="宋体" w:hAnsi="Arial" w:cs="Arial"/>
                <w:color w:val="000000"/>
                <w:sz w:val="15"/>
                <w:szCs w:val="15"/>
              </w:rPr>
              <w:t>1 </w:t>
            </w:r>
          </w:p>
        </w:tc>
        <w:tc>
          <w:tcPr>
            <w:tcW w:w="0" w:type="auto"/>
            <w:shd w:val="clear" w:color="auto" w:fill="FFFFFF"/>
            <w:tcMar>
              <w:top w:w="40" w:type="dxa"/>
              <w:left w:w="0" w:type="dxa"/>
              <w:bottom w:w="40" w:type="dxa"/>
              <w:right w:w="20" w:type="dxa"/>
            </w:tcMar>
            <w:vAlign w:val="bottom"/>
          </w:tcPr>
          <w:p w14:paraId="74DDFC1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C1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C1A"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FC1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C1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C1D" w14:textId="77777777" w:rsidR="00584EC1" w:rsidRDefault="00871F8D">
            <w:pPr>
              <w:jc w:val="right"/>
              <w:textAlignment w:val="bottom"/>
            </w:pPr>
            <w:r>
              <w:rPr>
                <w:rFonts w:ascii="Arial" w:eastAsia="宋体" w:hAnsi="Arial" w:cs="Arial"/>
                <w:color w:val="000000"/>
                <w:sz w:val="15"/>
                <w:szCs w:val="15"/>
              </w:rPr>
              <w:t>1 </w:t>
            </w:r>
          </w:p>
        </w:tc>
        <w:tc>
          <w:tcPr>
            <w:tcW w:w="0" w:type="auto"/>
            <w:shd w:val="clear" w:color="auto" w:fill="FFFFFF"/>
            <w:tcMar>
              <w:top w:w="40" w:type="dxa"/>
              <w:left w:w="0" w:type="dxa"/>
              <w:bottom w:w="40" w:type="dxa"/>
              <w:right w:w="20" w:type="dxa"/>
            </w:tcMar>
            <w:vAlign w:val="bottom"/>
          </w:tcPr>
          <w:p w14:paraId="74DDFC1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C1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C20"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FC2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C2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C23" w14:textId="77777777" w:rsidR="00584EC1" w:rsidRDefault="00871F8D">
            <w:pPr>
              <w:jc w:val="right"/>
              <w:textAlignment w:val="bottom"/>
            </w:pPr>
            <w:r>
              <w:rPr>
                <w:rFonts w:ascii="Arial" w:eastAsia="宋体" w:hAnsi="Arial" w:cs="Arial"/>
                <w:color w:val="000000"/>
                <w:sz w:val="15"/>
                <w:szCs w:val="15"/>
              </w:rPr>
              <w:t>1 </w:t>
            </w:r>
          </w:p>
        </w:tc>
        <w:tc>
          <w:tcPr>
            <w:tcW w:w="0" w:type="auto"/>
            <w:shd w:val="clear" w:color="auto" w:fill="FFFFFF"/>
            <w:tcMar>
              <w:top w:w="40" w:type="dxa"/>
              <w:left w:w="0" w:type="dxa"/>
              <w:bottom w:w="40" w:type="dxa"/>
              <w:right w:w="20" w:type="dxa"/>
            </w:tcMar>
            <w:vAlign w:val="bottom"/>
          </w:tcPr>
          <w:p w14:paraId="74DDFC24" w14:textId="77777777" w:rsidR="00584EC1" w:rsidRDefault="00584EC1">
            <w:pPr>
              <w:jc w:val="right"/>
              <w:rPr>
                <w:rFonts w:ascii="宋体"/>
              </w:rPr>
            </w:pPr>
          </w:p>
        </w:tc>
      </w:tr>
      <w:tr w:rsidR="00584EC1" w14:paraId="74DDFC30" w14:textId="77777777">
        <w:trPr>
          <w:hidden/>
        </w:trPr>
        <w:tc>
          <w:tcPr>
            <w:tcW w:w="0" w:type="auto"/>
            <w:gridSpan w:val="3"/>
            <w:shd w:val="clear" w:color="auto" w:fill="auto"/>
            <w:vAlign w:val="bottom"/>
          </w:tcPr>
          <w:p w14:paraId="74DDFC26" w14:textId="77777777" w:rsidR="00584EC1" w:rsidRDefault="00584EC1">
            <w:pPr>
              <w:rPr>
                <w:rFonts w:ascii="宋体"/>
                <w:vanish/>
              </w:rPr>
            </w:pPr>
          </w:p>
        </w:tc>
        <w:tc>
          <w:tcPr>
            <w:tcW w:w="0" w:type="auto"/>
            <w:gridSpan w:val="3"/>
            <w:shd w:val="clear" w:color="auto" w:fill="auto"/>
            <w:vAlign w:val="bottom"/>
          </w:tcPr>
          <w:p w14:paraId="74DDFC27" w14:textId="77777777" w:rsidR="00584EC1" w:rsidRDefault="00584EC1">
            <w:pPr>
              <w:rPr>
                <w:rFonts w:ascii="宋体"/>
                <w:vanish/>
              </w:rPr>
            </w:pPr>
          </w:p>
        </w:tc>
        <w:tc>
          <w:tcPr>
            <w:tcW w:w="0" w:type="auto"/>
            <w:gridSpan w:val="3"/>
            <w:shd w:val="clear" w:color="auto" w:fill="auto"/>
            <w:vAlign w:val="bottom"/>
          </w:tcPr>
          <w:p w14:paraId="74DDFC28" w14:textId="77777777" w:rsidR="00584EC1" w:rsidRDefault="00584EC1">
            <w:pPr>
              <w:rPr>
                <w:rFonts w:ascii="宋体"/>
                <w:vanish/>
              </w:rPr>
            </w:pPr>
          </w:p>
        </w:tc>
        <w:tc>
          <w:tcPr>
            <w:tcW w:w="0" w:type="auto"/>
            <w:gridSpan w:val="3"/>
            <w:shd w:val="clear" w:color="auto" w:fill="auto"/>
            <w:vAlign w:val="bottom"/>
          </w:tcPr>
          <w:p w14:paraId="74DDFC29" w14:textId="77777777" w:rsidR="00584EC1" w:rsidRDefault="00584EC1">
            <w:pPr>
              <w:rPr>
                <w:rFonts w:ascii="宋体"/>
                <w:vanish/>
              </w:rPr>
            </w:pPr>
          </w:p>
        </w:tc>
        <w:tc>
          <w:tcPr>
            <w:tcW w:w="0" w:type="auto"/>
            <w:gridSpan w:val="3"/>
            <w:shd w:val="clear" w:color="auto" w:fill="auto"/>
            <w:vAlign w:val="bottom"/>
          </w:tcPr>
          <w:p w14:paraId="74DDFC2A" w14:textId="77777777" w:rsidR="00584EC1" w:rsidRDefault="00584EC1">
            <w:pPr>
              <w:rPr>
                <w:rFonts w:ascii="宋体"/>
                <w:vanish/>
              </w:rPr>
            </w:pPr>
          </w:p>
        </w:tc>
        <w:tc>
          <w:tcPr>
            <w:tcW w:w="0" w:type="auto"/>
            <w:gridSpan w:val="3"/>
            <w:shd w:val="clear" w:color="auto" w:fill="auto"/>
            <w:vAlign w:val="bottom"/>
          </w:tcPr>
          <w:p w14:paraId="74DDFC2B" w14:textId="77777777" w:rsidR="00584EC1" w:rsidRDefault="00584EC1">
            <w:pPr>
              <w:rPr>
                <w:rFonts w:ascii="宋体"/>
                <w:vanish/>
              </w:rPr>
            </w:pPr>
          </w:p>
        </w:tc>
        <w:tc>
          <w:tcPr>
            <w:tcW w:w="0" w:type="auto"/>
            <w:gridSpan w:val="3"/>
            <w:shd w:val="clear" w:color="auto" w:fill="auto"/>
            <w:vAlign w:val="bottom"/>
          </w:tcPr>
          <w:p w14:paraId="74DDFC2C" w14:textId="77777777" w:rsidR="00584EC1" w:rsidRDefault="00584EC1">
            <w:pPr>
              <w:rPr>
                <w:rFonts w:ascii="宋体"/>
                <w:vanish/>
              </w:rPr>
            </w:pPr>
          </w:p>
        </w:tc>
        <w:tc>
          <w:tcPr>
            <w:tcW w:w="0" w:type="auto"/>
            <w:gridSpan w:val="3"/>
            <w:shd w:val="clear" w:color="auto" w:fill="auto"/>
            <w:vAlign w:val="bottom"/>
          </w:tcPr>
          <w:p w14:paraId="74DDFC2D" w14:textId="77777777" w:rsidR="00584EC1" w:rsidRDefault="00584EC1">
            <w:pPr>
              <w:rPr>
                <w:rFonts w:ascii="宋体"/>
                <w:vanish/>
              </w:rPr>
            </w:pPr>
          </w:p>
        </w:tc>
        <w:tc>
          <w:tcPr>
            <w:tcW w:w="0" w:type="auto"/>
            <w:gridSpan w:val="3"/>
            <w:shd w:val="clear" w:color="auto" w:fill="auto"/>
            <w:vAlign w:val="bottom"/>
          </w:tcPr>
          <w:p w14:paraId="74DDFC2E" w14:textId="77777777" w:rsidR="00584EC1" w:rsidRDefault="00584EC1">
            <w:pPr>
              <w:rPr>
                <w:rFonts w:ascii="宋体"/>
                <w:vanish/>
              </w:rPr>
            </w:pPr>
          </w:p>
        </w:tc>
        <w:tc>
          <w:tcPr>
            <w:tcW w:w="0" w:type="auto"/>
            <w:gridSpan w:val="3"/>
            <w:shd w:val="clear" w:color="auto" w:fill="auto"/>
            <w:vAlign w:val="bottom"/>
          </w:tcPr>
          <w:p w14:paraId="74DDFC2F" w14:textId="77777777" w:rsidR="00584EC1" w:rsidRDefault="00584EC1">
            <w:pPr>
              <w:rPr>
                <w:rFonts w:ascii="宋体"/>
                <w:vanish/>
              </w:rPr>
            </w:pPr>
          </w:p>
        </w:tc>
      </w:tr>
      <w:tr w:rsidR="00584EC1" w14:paraId="74DDFC3B" w14:textId="77777777">
        <w:trPr>
          <w:hidden/>
        </w:trPr>
        <w:tc>
          <w:tcPr>
            <w:tcW w:w="0" w:type="auto"/>
            <w:gridSpan w:val="3"/>
            <w:shd w:val="clear" w:color="auto" w:fill="auto"/>
            <w:vAlign w:val="bottom"/>
          </w:tcPr>
          <w:p w14:paraId="74DDFC31" w14:textId="77777777" w:rsidR="00584EC1" w:rsidRDefault="00584EC1">
            <w:pPr>
              <w:rPr>
                <w:rFonts w:ascii="宋体"/>
                <w:vanish/>
              </w:rPr>
            </w:pPr>
          </w:p>
        </w:tc>
        <w:tc>
          <w:tcPr>
            <w:tcW w:w="0" w:type="auto"/>
            <w:gridSpan w:val="3"/>
            <w:shd w:val="clear" w:color="auto" w:fill="auto"/>
            <w:vAlign w:val="bottom"/>
          </w:tcPr>
          <w:p w14:paraId="74DDFC32" w14:textId="77777777" w:rsidR="00584EC1" w:rsidRDefault="00584EC1">
            <w:pPr>
              <w:rPr>
                <w:rFonts w:ascii="宋体"/>
                <w:vanish/>
              </w:rPr>
            </w:pPr>
          </w:p>
        </w:tc>
        <w:tc>
          <w:tcPr>
            <w:tcW w:w="0" w:type="auto"/>
            <w:gridSpan w:val="3"/>
            <w:shd w:val="clear" w:color="auto" w:fill="auto"/>
            <w:vAlign w:val="bottom"/>
          </w:tcPr>
          <w:p w14:paraId="74DDFC33" w14:textId="77777777" w:rsidR="00584EC1" w:rsidRDefault="00584EC1">
            <w:pPr>
              <w:rPr>
                <w:rFonts w:ascii="宋体"/>
                <w:vanish/>
              </w:rPr>
            </w:pPr>
          </w:p>
        </w:tc>
        <w:tc>
          <w:tcPr>
            <w:tcW w:w="0" w:type="auto"/>
            <w:gridSpan w:val="3"/>
            <w:shd w:val="clear" w:color="auto" w:fill="auto"/>
            <w:vAlign w:val="bottom"/>
          </w:tcPr>
          <w:p w14:paraId="74DDFC34" w14:textId="77777777" w:rsidR="00584EC1" w:rsidRDefault="00584EC1">
            <w:pPr>
              <w:rPr>
                <w:rFonts w:ascii="宋体"/>
                <w:vanish/>
              </w:rPr>
            </w:pPr>
          </w:p>
        </w:tc>
        <w:tc>
          <w:tcPr>
            <w:tcW w:w="0" w:type="auto"/>
            <w:gridSpan w:val="3"/>
            <w:shd w:val="clear" w:color="auto" w:fill="auto"/>
            <w:vAlign w:val="bottom"/>
          </w:tcPr>
          <w:p w14:paraId="74DDFC35" w14:textId="77777777" w:rsidR="00584EC1" w:rsidRDefault="00584EC1">
            <w:pPr>
              <w:rPr>
                <w:rFonts w:ascii="宋体"/>
                <w:vanish/>
              </w:rPr>
            </w:pPr>
          </w:p>
        </w:tc>
        <w:tc>
          <w:tcPr>
            <w:tcW w:w="0" w:type="auto"/>
            <w:gridSpan w:val="3"/>
            <w:shd w:val="clear" w:color="auto" w:fill="auto"/>
            <w:vAlign w:val="bottom"/>
          </w:tcPr>
          <w:p w14:paraId="74DDFC36" w14:textId="77777777" w:rsidR="00584EC1" w:rsidRDefault="00584EC1">
            <w:pPr>
              <w:rPr>
                <w:rFonts w:ascii="宋体"/>
                <w:vanish/>
              </w:rPr>
            </w:pPr>
          </w:p>
        </w:tc>
        <w:tc>
          <w:tcPr>
            <w:tcW w:w="0" w:type="auto"/>
            <w:gridSpan w:val="3"/>
            <w:shd w:val="clear" w:color="auto" w:fill="auto"/>
            <w:vAlign w:val="bottom"/>
          </w:tcPr>
          <w:p w14:paraId="74DDFC37" w14:textId="77777777" w:rsidR="00584EC1" w:rsidRDefault="00584EC1">
            <w:pPr>
              <w:rPr>
                <w:rFonts w:ascii="宋体"/>
                <w:vanish/>
              </w:rPr>
            </w:pPr>
          </w:p>
        </w:tc>
        <w:tc>
          <w:tcPr>
            <w:tcW w:w="0" w:type="auto"/>
            <w:gridSpan w:val="3"/>
            <w:shd w:val="clear" w:color="auto" w:fill="auto"/>
            <w:vAlign w:val="bottom"/>
          </w:tcPr>
          <w:p w14:paraId="74DDFC38" w14:textId="77777777" w:rsidR="00584EC1" w:rsidRDefault="00584EC1">
            <w:pPr>
              <w:rPr>
                <w:rFonts w:ascii="宋体"/>
                <w:vanish/>
              </w:rPr>
            </w:pPr>
          </w:p>
        </w:tc>
        <w:tc>
          <w:tcPr>
            <w:tcW w:w="0" w:type="auto"/>
            <w:gridSpan w:val="3"/>
            <w:shd w:val="clear" w:color="auto" w:fill="auto"/>
            <w:vAlign w:val="bottom"/>
          </w:tcPr>
          <w:p w14:paraId="74DDFC39" w14:textId="77777777" w:rsidR="00584EC1" w:rsidRDefault="00584EC1">
            <w:pPr>
              <w:rPr>
                <w:rFonts w:ascii="宋体"/>
                <w:vanish/>
              </w:rPr>
            </w:pPr>
          </w:p>
        </w:tc>
        <w:tc>
          <w:tcPr>
            <w:tcW w:w="0" w:type="auto"/>
            <w:gridSpan w:val="3"/>
            <w:shd w:val="clear" w:color="auto" w:fill="auto"/>
            <w:vAlign w:val="bottom"/>
          </w:tcPr>
          <w:p w14:paraId="74DDFC3A" w14:textId="77777777" w:rsidR="00584EC1" w:rsidRDefault="00584EC1">
            <w:pPr>
              <w:rPr>
                <w:rFonts w:ascii="宋体"/>
                <w:vanish/>
              </w:rPr>
            </w:pPr>
          </w:p>
        </w:tc>
      </w:tr>
      <w:tr w:rsidR="00584EC1" w14:paraId="74DDFC46" w14:textId="77777777">
        <w:trPr>
          <w:hidden/>
        </w:trPr>
        <w:tc>
          <w:tcPr>
            <w:tcW w:w="0" w:type="auto"/>
            <w:gridSpan w:val="3"/>
            <w:shd w:val="clear" w:color="auto" w:fill="auto"/>
            <w:vAlign w:val="bottom"/>
          </w:tcPr>
          <w:p w14:paraId="74DDFC3C" w14:textId="77777777" w:rsidR="00584EC1" w:rsidRDefault="00584EC1">
            <w:pPr>
              <w:rPr>
                <w:rFonts w:ascii="宋体"/>
                <w:vanish/>
              </w:rPr>
            </w:pPr>
          </w:p>
        </w:tc>
        <w:tc>
          <w:tcPr>
            <w:tcW w:w="0" w:type="auto"/>
            <w:gridSpan w:val="3"/>
            <w:shd w:val="clear" w:color="auto" w:fill="auto"/>
            <w:vAlign w:val="bottom"/>
          </w:tcPr>
          <w:p w14:paraId="74DDFC3D" w14:textId="77777777" w:rsidR="00584EC1" w:rsidRDefault="00584EC1">
            <w:pPr>
              <w:rPr>
                <w:rFonts w:ascii="宋体"/>
                <w:vanish/>
              </w:rPr>
            </w:pPr>
          </w:p>
        </w:tc>
        <w:tc>
          <w:tcPr>
            <w:tcW w:w="0" w:type="auto"/>
            <w:gridSpan w:val="3"/>
            <w:shd w:val="clear" w:color="auto" w:fill="auto"/>
            <w:vAlign w:val="bottom"/>
          </w:tcPr>
          <w:p w14:paraId="74DDFC3E" w14:textId="77777777" w:rsidR="00584EC1" w:rsidRDefault="00584EC1">
            <w:pPr>
              <w:rPr>
                <w:rFonts w:ascii="宋体"/>
                <w:vanish/>
              </w:rPr>
            </w:pPr>
          </w:p>
        </w:tc>
        <w:tc>
          <w:tcPr>
            <w:tcW w:w="0" w:type="auto"/>
            <w:gridSpan w:val="3"/>
            <w:shd w:val="clear" w:color="auto" w:fill="auto"/>
            <w:vAlign w:val="bottom"/>
          </w:tcPr>
          <w:p w14:paraId="74DDFC3F" w14:textId="77777777" w:rsidR="00584EC1" w:rsidRDefault="00584EC1">
            <w:pPr>
              <w:rPr>
                <w:rFonts w:ascii="宋体"/>
                <w:vanish/>
              </w:rPr>
            </w:pPr>
          </w:p>
        </w:tc>
        <w:tc>
          <w:tcPr>
            <w:tcW w:w="0" w:type="auto"/>
            <w:gridSpan w:val="3"/>
            <w:shd w:val="clear" w:color="auto" w:fill="auto"/>
            <w:vAlign w:val="bottom"/>
          </w:tcPr>
          <w:p w14:paraId="74DDFC40" w14:textId="77777777" w:rsidR="00584EC1" w:rsidRDefault="00584EC1">
            <w:pPr>
              <w:rPr>
                <w:rFonts w:ascii="宋体"/>
                <w:vanish/>
              </w:rPr>
            </w:pPr>
          </w:p>
        </w:tc>
        <w:tc>
          <w:tcPr>
            <w:tcW w:w="0" w:type="auto"/>
            <w:gridSpan w:val="3"/>
            <w:shd w:val="clear" w:color="auto" w:fill="auto"/>
            <w:vAlign w:val="bottom"/>
          </w:tcPr>
          <w:p w14:paraId="74DDFC41" w14:textId="77777777" w:rsidR="00584EC1" w:rsidRDefault="00584EC1">
            <w:pPr>
              <w:rPr>
                <w:rFonts w:ascii="宋体"/>
                <w:vanish/>
              </w:rPr>
            </w:pPr>
          </w:p>
        </w:tc>
        <w:tc>
          <w:tcPr>
            <w:tcW w:w="0" w:type="auto"/>
            <w:gridSpan w:val="3"/>
            <w:shd w:val="clear" w:color="auto" w:fill="auto"/>
            <w:vAlign w:val="bottom"/>
          </w:tcPr>
          <w:p w14:paraId="74DDFC42" w14:textId="77777777" w:rsidR="00584EC1" w:rsidRDefault="00584EC1">
            <w:pPr>
              <w:rPr>
                <w:rFonts w:ascii="宋体"/>
                <w:vanish/>
              </w:rPr>
            </w:pPr>
          </w:p>
        </w:tc>
        <w:tc>
          <w:tcPr>
            <w:tcW w:w="0" w:type="auto"/>
            <w:gridSpan w:val="3"/>
            <w:shd w:val="clear" w:color="auto" w:fill="auto"/>
            <w:vAlign w:val="bottom"/>
          </w:tcPr>
          <w:p w14:paraId="74DDFC43" w14:textId="77777777" w:rsidR="00584EC1" w:rsidRDefault="00584EC1">
            <w:pPr>
              <w:rPr>
                <w:rFonts w:ascii="宋体"/>
                <w:vanish/>
              </w:rPr>
            </w:pPr>
          </w:p>
        </w:tc>
        <w:tc>
          <w:tcPr>
            <w:tcW w:w="0" w:type="auto"/>
            <w:gridSpan w:val="3"/>
            <w:shd w:val="clear" w:color="auto" w:fill="auto"/>
            <w:vAlign w:val="bottom"/>
          </w:tcPr>
          <w:p w14:paraId="74DDFC44" w14:textId="77777777" w:rsidR="00584EC1" w:rsidRDefault="00584EC1">
            <w:pPr>
              <w:rPr>
                <w:rFonts w:ascii="宋体"/>
                <w:vanish/>
              </w:rPr>
            </w:pPr>
          </w:p>
        </w:tc>
        <w:tc>
          <w:tcPr>
            <w:tcW w:w="0" w:type="auto"/>
            <w:gridSpan w:val="3"/>
            <w:shd w:val="clear" w:color="auto" w:fill="auto"/>
            <w:vAlign w:val="bottom"/>
          </w:tcPr>
          <w:p w14:paraId="74DDFC45" w14:textId="77777777" w:rsidR="00584EC1" w:rsidRDefault="00584EC1">
            <w:pPr>
              <w:rPr>
                <w:rFonts w:ascii="宋体"/>
                <w:vanish/>
              </w:rPr>
            </w:pPr>
          </w:p>
        </w:tc>
      </w:tr>
      <w:tr w:rsidR="00584EC1" w14:paraId="74DDFC55" w14:textId="77777777">
        <w:tc>
          <w:tcPr>
            <w:tcW w:w="0" w:type="auto"/>
            <w:gridSpan w:val="3"/>
            <w:shd w:val="clear" w:color="auto" w:fill="CCEEFF"/>
            <w:tcMar>
              <w:top w:w="40" w:type="dxa"/>
              <w:left w:w="20" w:type="dxa"/>
              <w:bottom w:w="40" w:type="dxa"/>
              <w:right w:w="20" w:type="dxa"/>
            </w:tcMar>
            <w:vAlign w:val="bottom"/>
          </w:tcPr>
          <w:p w14:paraId="74DDFC47" w14:textId="77777777" w:rsidR="00584EC1" w:rsidRDefault="00871F8D">
            <w:pPr>
              <w:textAlignment w:val="bottom"/>
            </w:pPr>
            <w:r>
              <w:rPr>
                <w:rFonts w:ascii="Arial" w:eastAsia="宋体" w:hAnsi="Arial" w:cs="Arial"/>
                <w:color w:val="000000"/>
                <w:sz w:val="15"/>
                <w:szCs w:val="15"/>
              </w:rPr>
              <w:t>Cash collateral and securities netting</w:t>
            </w:r>
          </w:p>
        </w:tc>
        <w:tc>
          <w:tcPr>
            <w:tcW w:w="0" w:type="auto"/>
            <w:gridSpan w:val="3"/>
            <w:shd w:val="clear" w:color="auto" w:fill="CCEEFF"/>
            <w:tcMar>
              <w:top w:w="40" w:type="dxa"/>
              <w:left w:w="20" w:type="dxa"/>
              <w:bottom w:w="40" w:type="dxa"/>
              <w:right w:w="20" w:type="dxa"/>
            </w:tcMar>
            <w:vAlign w:val="bottom"/>
          </w:tcPr>
          <w:p w14:paraId="74DDFC48" w14:textId="77777777" w:rsidR="00584EC1" w:rsidRDefault="00871F8D">
            <w:pPr>
              <w:jc w:val="right"/>
              <w:textAlignment w:val="bottom"/>
            </w:pPr>
            <w:r>
              <w:rPr>
                <w:rFonts w:ascii="Arial" w:eastAsia="宋体" w:hAnsi="Arial" w:cs="Arial"/>
                <w:color w:val="000000"/>
                <w:sz w:val="15"/>
                <w:szCs w:val="15"/>
              </w:rPr>
              <w:t>NA</w:t>
            </w:r>
          </w:p>
        </w:tc>
        <w:tc>
          <w:tcPr>
            <w:tcW w:w="0" w:type="auto"/>
            <w:gridSpan w:val="3"/>
            <w:shd w:val="clear" w:color="auto" w:fill="CCEEFF"/>
            <w:tcMar>
              <w:top w:w="0" w:type="dxa"/>
              <w:left w:w="20" w:type="dxa"/>
              <w:bottom w:w="0" w:type="dxa"/>
              <w:right w:w="20" w:type="dxa"/>
            </w:tcMar>
            <w:vAlign w:val="bottom"/>
          </w:tcPr>
          <w:p w14:paraId="74DDFC4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FC4A" w14:textId="77777777" w:rsidR="00584EC1" w:rsidRDefault="00871F8D">
            <w:pPr>
              <w:jc w:val="right"/>
              <w:textAlignment w:val="bottom"/>
            </w:pPr>
            <w:r>
              <w:rPr>
                <w:rFonts w:ascii="Arial" w:eastAsia="宋体" w:hAnsi="Arial" w:cs="Arial"/>
                <w:color w:val="000000"/>
                <w:sz w:val="15"/>
                <w:szCs w:val="15"/>
              </w:rPr>
              <w:t>(5,869)</w:t>
            </w:r>
          </w:p>
        </w:tc>
        <w:tc>
          <w:tcPr>
            <w:tcW w:w="0" w:type="auto"/>
            <w:shd w:val="clear" w:color="auto" w:fill="CCEEFF"/>
            <w:tcMar>
              <w:top w:w="40" w:type="dxa"/>
              <w:left w:w="0" w:type="dxa"/>
              <w:bottom w:w="40" w:type="dxa"/>
              <w:right w:w="20" w:type="dxa"/>
            </w:tcMar>
            <w:vAlign w:val="bottom"/>
          </w:tcPr>
          <w:p w14:paraId="74DDFC4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C4C"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FC4D" w14:textId="77777777" w:rsidR="00584EC1" w:rsidRDefault="00871F8D">
            <w:pPr>
              <w:jc w:val="right"/>
              <w:textAlignment w:val="bottom"/>
            </w:pPr>
            <w:r>
              <w:rPr>
                <w:rFonts w:ascii="Arial" w:eastAsia="宋体" w:hAnsi="Arial" w:cs="Arial"/>
                <w:color w:val="000000"/>
                <w:sz w:val="15"/>
                <w:szCs w:val="15"/>
              </w:rPr>
              <w:t>(5,869)</w:t>
            </w:r>
          </w:p>
        </w:tc>
        <w:tc>
          <w:tcPr>
            <w:tcW w:w="0" w:type="auto"/>
            <w:shd w:val="clear" w:color="auto" w:fill="CCEEFF"/>
            <w:tcMar>
              <w:top w:w="40" w:type="dxa"/>
              <w:left w:w="0" w:type="dxa"/>
              <w:bottom w:w="40" w:type="dxa"/>
              <w:right w:w="20" w:type="dxa"/>
            </w:tcMar>
            <w:vAlign w:val="bottom"/>
          </w:tcPr>
          <w:p w14:paraId="74DDFC4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C4F"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FC50" w14:textId="77777777" w:rsidR="00584EC1" w:rsidRDefault="00871F8D">
            <w:pPr>
              <w:jc w:val="right"/>
              <w:textAlignment w:val="bottom"/>
            </w:pPr>
            <w:r>
              <w:rPr>
                <w:rFonts w:ascii="Arial" w:eastAsia="宋体" w:hAnsi="Arial" w:cs="Arial"/>
                <w:color w:val="000000"/>
                <w:sz w:val="15"/>
                <w:szCs w:val="15"/>
              </w:rPr>
              <w:t>(1,105)</w:t>
            </w:r>
          </w:p>
        </w:tc>
        <w:tc>
          <w:tcPr>
            <w:tcW w:w="0" w:type="auto"/>
            <w:shd w:val="clear" w:color="auto" w:fill="CCEEFF"/>
            <w:tcMar>
              <w:top w:w="40" w:type="dxa"/>
              <w:left w:w="0" w:type="dxa"/>
              <w:bottom w:w="40" w:type="dxa"/>
              <w:right w:w="20" w:type="dxa"/>
            </w:tcMar>
            <w:vAlign w:val="bottom"/>
          </w:tcPr>
          <w:p w14:paraId="74DDFC5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C52"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FC53" w14:textId="77777777" w:rsidR="00584EC1" w:rsidRDefault="00871F8D">
            <w:pPr>
              <w:jc w:val="right"/>
              <w:textAlignment w:val="bottom"/>
            </w:pPr>
            <w:r>
              <w:rPr>
                <w:rFonts w:ascii="Arial" w:eastAsia="宋体" w:hAnsi="Arial" w:cs="Arial"/>
                <w:color w:val="000000"/>
                <w:sz w:val="15"/>
                <w:szCs w:val="15"/>
              </w:rPr>
              <w:t>(6,974)</w:t>
            </w:r>
          </w:p>
        </w:tc>
        <w:tc>
          <w:tcPr>
            <w:tcW w:w="0" w:type="auto"/>
            <w:shd w:val="clear" w:color="auto" w:fill="CCEEFF"/>
            <w:tcMar>
              <w:top w:w="40" w:type="dxa"/>
              <w:left w:w="0" w:type="dxa"/>
              <w:bottom w:w="40" w:type="dxa"/>
              <w:right w:w="20" w:type="dxa"/>
            </w:tcMar>
            <w:vAlign w:val="bottom"/>
          </w:tcPr>
          <w:p w14:paraId="74DDFC54" w14:textId="77777777" w:rsidR="00584EC1" w:rsidRDefault="00584EC1">
            <w:pPr>
              <w:jc w:val="right"/>
              <w:rPr>
                <w:rFonts w:ascii="宋体"/>
              </w:rPr>
            </w:pPr>
          </w:p>
        </w:tc>
      </w:tr>
      <w:tr w:rsidR="00584EC1" w14:paraId="74DDFC65" w14:textId="77777777">
        <w:tc>
          <w:tcPr>
            <w:tcW w:w="0" w:type="auto"/>
            <w:gridSpan w:val="3"/>
            <w:shd w:val="clear" w:color="auto" w:fill="FFFFFF"/>
            <w:tcMar>
              <w:top w:w="40" w:type="dxa"/>
              <w:left w:w="20" w:type="dxa"/>
              <w:bottom w:w="40" w:type="dxa"/>
              <w:right w:w="20" w:type="dxa"/>
            </w:tcMar>
            <w:vAlign w:val="bottom"/>
          </w:tcPr>
          <w:p w14:paraId="74DDFC56" w14:textId="77777777" w:rsidR="00584EC1" w:rsidRDefault="00871F8D">
            <w:pPr>
              <w:textAlignment w:val="bottom"/>
            </w:pPr>
            <w:r>
              <w:rPr>
                <w:rFonts w:ascii="Arial" w:eastAsia="宋体" w:hAnsi="Arial" w:cs="Arial"/>
                <w:color w:val="000000"/>
                <w:sz w:val="15"/>
                <w:szCs w:val="15"/>
              </w:rPr>
              <w:t>Total derivatives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FC57" w14:textId="77777777" w:rsidR="00584EC1" w:rsidRDefault="00871F8D">
            <w:pPr>
              <w:jc w:val="right"/>
              <w:textAlignment w:val="bottom"/>
            </w:pPr>
            <w:r>
              <w:rPr>
                <w:rFonts w:ascii="Arial" w:eastAsia="宋体" w:hAnsi="Arial" w:cs="Arial"/>
                <w:color w:val="000000"/>
                <w:sz w:val="15"/>
                <w:szCs w:val="15"/>
              </w:rPr>
              <w:t>25,944 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FC5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C59"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FC5A" w14:textId="77777777" w:rsidR="00584EC1" w:rsidRDefault="00871F8D">
            <w:pPr>
              <w:jc w:val="right"/>
              <w:textAlignment w:val="bottom"/>
            </w:pPr>
            <w:r>
              <w:rPr>
                <w:rFonts w:ascii="Arial" w:eastAsia="宋体" w:hAnsi="Arial" w:cs="Arial"/>
                <w:color w:val="000000"/>
                <w:sz w:val="15"/>
                <w:szCs w:val="15"/>
              </w:rPr>
              <w:t>(20,140)</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FC5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C5C"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FC5D" w14:textId="77777777" w:rsidR="00584EC1" w:rsidRDefault="00871F8D">
            <w:pPr>
              <w:jc w:val="right"/>
              <w:textAlignment w:val="bottom"/>
            </w:pPr>
            <w:r>
              <w:rPr>
                <w:rFonts w:ascii="Arial" w:eastAsia="宋体" w:hAnsi="Arial" w:cs="Arial"/>
                <w:color w:val="000000"/>
                <w:sz w:val="15"/>
                <w:szCs w:val="15"/>
              </w:rPr>
              <w:t>5,804 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FC5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C5F"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FC60" w14:textId="77777777" w:rsidR="00584EC1" w:rsidRDefault="00871F8D">
            <w:pPr>
              <w:jc w:val="right"/>
              <w:textAlignment w:val="bottom"/>
            </w:pPr>
            <w:r>
              <w:rPr>
                <w:rFonts w:ascii="Arial" w:eastAsia="宋体" w:hAnsi="Arial" w:cs="Arial"/>
                <w:color w:val="000000"/>
                <w:sz w:val="15"/>
                <w:szCs w:val="15"/>
              </w:rPr>
              <w:t>(1,105)</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FC6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C62"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FC63" w14:textId="77777777" w:rsidR="00584EC1" w:rsidRDefault="00871F8D">
            <w:pPr>
              <w:jc w:val="right"/>
              <w:textAlignment w:val="bottom"/>
            </w:pPr>
            <w:r>
              <w:rPr>
                <w:rFonts w:ascii="Arial" w:eastAsia="宋体" w:hAnsi="Arial" w:cs="Arial"/>
                <w:color w:val="000000"/>
                <w:sz w:val="15"/>
                <w:szCs w:val="15"/>
              </w:rPr>
              <w:t>4,699 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FC64" w14:textId="77777777" w:rsidR="00584EC1" w:rsidRDefault="00584EC1">
            <w:pPr>
              <w:jc w:val="right"/>
              <w:rPr>
                <w:rFonts w:ascii="宋体"/>
              </w:rPr>
            </w:pPr>
          </w:p>
        </w:tc>
      </w:tr>
      <w:tr w:rsidR="00584EC1" w14:paraId="74DDFC70" w14:textId="77777777">
        <w:tc>
          <w:tcPr>
            <w:tcW w:w="0" w:type="auto"/>
            <w:gridSpan w:val="3"/>
            <w:shd w:val="clear" w:color="auto" w:fill="CCEEFF"/>
            <w:tcMar>
              <w:top w:w="40" w:type="dxa"/>
              <w:left w:w="20" w:type="dxa"/>
              <w:bottom w:w="40" w:type="dxa"/>
              <w:right w:w="20" w:type="dxa"/>
            </w:tcMar>
            <w:vAlign w:val="bottom"/>
          </w:tcPr>
          <w:p w14:paraId="74DDFC66" w14:textId="77777777" w:rsidR="00584EC1" w:rsidRDefault="00871F8D">
            <w:pPr>
              <w:textAlignment w:val="bottom"/>
            </w:pPr>
            <w:r>
              <w:rPr>
                <w:rFonts w:ascii="Arial" w:eastAsia="宋体" w:hAnsi="Arial" w:cs="Arial"/>
                <w:b/>
                <w:bCs/>
                <w:color w:val="000000"/>
                <w:sz w:val="15"/>
                <w:szCs w:val="15"/>
              </w:rPr>
              <w:t>Other financial instruments:</w:t>
            </w:r>
          </w:p>
        </w:tc>
        <w:tc>
          <w:tcPr>
            <w:tcW w:w="0" w:type="auto"/>
            <w:gridSpan w:val="3"/>
            <w:shd w:val="clear" w:color="auto" w:fill="CCEEFF"/>
            <w:tcMar>
              <w:top w:w="0" w:type="dxa"/>
              <w:left w:w="20" w:type="dxa"/>
              <w:bottom w:w="0" w:type="dxa"/>
              <w:right w:w="20" w:type="dxa"/>
            </w:tcMar>
            <w:vAlign w:val="bottom"/>
          </w:tcPr>
          <w:p w14:paraId="74DDFC67"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FC68"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FC69"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FC6A"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FC6B"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FC6C"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FC6D"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FC6E"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FC6F" w14:textId="77777777" w:rsidR="00584EC1" w:rsidRDefault="00584EC1">
            <w:pPr>
              <w:rPr>
                <w:rFonts w:ascii="宋体"/>
              </w:rPr>
            </w:pPr>
          </w:p>
        </w:tc>
      </w:tr>
      <w:tr w:rsidR="00584EC1" w14:paraId="74DDFC80" w14:textId="77777777">
        <w:tc>
          <w:tcPr>
            <w:tcW w:w="0" w:type="auto"/>
            <w:gridSpan w:val="3"/>
            <w:shd w:val="clear" w:color="auto" w:fill="FFFFFF"/>
            <w:tcMar>
              <w:top w:w="40" w:type="dxa"/>
              <w:left w:w="20" w:type="dxa"/>
              <w:bottom w:w="40" w:type="dxa"/>
              <w:right w:w="20" w:type="dxa"/>
            </w:tcMar>
            <w:vAlign w:val="bottom"/>
          </w:tcPr>
          <w:p w14:paraId="74DDFC71" w14:textId="77777777" w:rsidR="00584EC1" w:rsidRDefault="00871F8D">
            <w:pPr>
              <w:textAlignment w:val="bottom"/>
            </w:pPr>
            <w:r>
              <w:rPr>
                <w:rFonts w:ascii="Arial" w:eastAsia="宋体" w:hAnsi="Arial" w:cs="Arial"/>
                <w:color w:val="000000"/>
                <w:sz w:val="15"/>
                <w:szCs w:val="15"/>
              </w:rPr>
              <w:t>Resale agreements and securities borrowing</w:t>
            </w:r>
            <w:r>
              <w:rPr>
                <w:rFonts w:ascii="Arial" w:eastAsia="宋体" w:hAnsi="Arial" w:cs="Arial"/>
                <w:color w:val="000000"/>
                <w:sz w:val="9"/>
                <w:szCs w:val="9"/>
              </w:rPr>
              <w:t>(7)(8)</w:t>
            </w:r>
          </w:p>
        </w:tc>
        <w:tc>
          <w:tcPr>
            <w:tcW w:w="0" w:type="auto"/>
            <w:gridSpan w:val="2"/>
            <w:shd w:val="clear" w:color="auto" w:fill="FFFFFF"/>
            <w:tcMar>
              <w:top w:w="40" w:type="dxa"/>
              <w:left w:w="20" w:type="dxa"/>
              <w:bottom w:w="40" w:type="dxa"/>
              <w:right w:w="0" w:type="dxa"/>
            </w:tcMar>
            <w:vAlign w:val="bottom"/>
          </w:tcPr>
          <w:p w14:paraId="74DDFC72" w14:textId="77777777" w:rsidR="00584EC1" w:rsidRDefault="00871F8D">
            <w:pPr>
              <w:jc w:val="right"/>
              <w:textAlignment w:val="bottom"/>
            </w:pPr>
            <w:r>
              <w:rPr>
                <w:rFonts w:ascii="Arial" w:eastAsia="宋体" w:hAnsi="Arial" w:cs="Arial"/>
                <w:color w:val="000000"/>
                <w:sz w:val="15"/>
                <w:szCs w:val="15"/>
              </w:rPr>
              <w:t>174,461 </w:t>
            </w:r>
          </w:p>
        </w:tc>
        <w:tc>
          <w:tcPr>
            <w:tcW w:w="0" w:type="auto"/>
            <w:shd w:val="clear" w:color="auto" w:fill="FFFFFF"/>
            <w:tcMar>
              <w:top w:w="40" w:type="dxa"/>
              <w:left w:w="0" w:type="dxa"/>
              <w:bottom w:w="40" w:type="dxa"/>
              <w:right w:w="20" w:type="dxa"/>
            </w:tcMar>
            <w:vAlign w:val="bottom"/>
          </w:tcPr>
          <w:p w14:paraId="74DDFC7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C7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C75" w14:textId="77777777" w:rsidR="00584EC1" w:rsidRDefault="00871F8D">
            <w:pPr>
              <w:jc w:val="right"/>
              <w:textAlignment w:val="bottom"/>
            </w:pPr>
            <w:r>
              <w:rPr>
                <w:rFonts w:ascii="Arial" w:eastAsia="宋体" w:hAnsi="Arial" w:cs="Arial"/>
                <w:color w:val="000000"/>
                <w:sz w:val="15"/>
                <w:szCs w:val="15"/>
              </w:rPr>
              <w:t>(153,025)</w:t>
            </w:r>
          </w:p>
        </w:tc>
        <w:tc>
          <w:tcPr>
            <w:tcW w:w="0" w:type="auto"/>
            <w:shd w:val="clear" w:color="auto" w:fill="FFFFFF"/>
            <w:tcMar>
              <w:top w:w="40" w:type="dxa"/>
              <w:left w:w="0" w:type="dxa"/>
              <w:bottom w:w="40" w:type="dxa"/>
              <w:right w:w="20" w:type="dxa"/>
            </w:tcMar>
            <w:vAlign w:val="bottom"/>
          </w:tcPr>
          <w:p w14:paraId="74DDFC7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C7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C78" w14:textId="77777777" w:rsidR="00584EC1" w:rsidRDefault="00871F8D">
            <w:pPr>
              <w:jc w:val="right"/>
              <w:textAlignment w:val="bottom"/>
            </w:pPr>
            <w:r>
              <w:rPr>
                <w:rFonts w:ascii="Arial" w:eastAsia="宋体" w:hAnsi="Arial" w:cs="Arial"/>
                <w:color w:val="000000"/>
                <w:sz w:val="15"/>
                <w:szCs w:val="15"/>
              </w:rPr>
              <w:t>21,436 </w:t>
            </w:r>
          </w:p>
        </w:tc>
        <w:tc>
          <w:tcPr>
            <w:tcW w:w="0" w:type="auto"/>
            <w:shd w:val="clear" w:color="auto" w:fill="FFFFFF"/>
            <w:tcMar>
              <w:top w:w="40" w:type="dxa"/>
              <w:left w:w="0" w:type="dxa"/>
              <w:bottom w:w="40" w:type="dxa"/>
              <w:right w:w="20" w:type="dxa"/>
            </w:tcMar>
            <w:vAlign w:val="bottom"/>
          </w:tcPr>
          <w:p w14:paraId="74DDFC7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C7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C7B" w14:textId="77777777" w:rsidR="00584EC1" w:rsidRDefault="00871F8D">
            <w:pPr>
              <w:jc w:val="right"/>
              <w:textAlignment w:val="bottom"/>
            </w:pPr>
            <w:r>
              <w:rPr>
                <w:rFonts w:ascii="Arial" w:eastAsia="宋体" w:hAnsi="Arial" w:cs="Arial"/>
                <w:color w:val="000000"/>
                <w:sz w:val="15"/>
                <w:szCs w:val="15"/>
              </w:rPr>
              <w:t>(20,568)</w:t>
            </w:r>
          </w:p>
        </w:tc>
        <w:tc>
          <w:tcPr>
            <w:tcW w:w="0" w:type="auto"/>
            <w:shd w:val="clear" w:color="auto" w:fill="FFFFFF"/>
            <w:tcMar>
              <w:top w:w="40" w:type="dxa"/>
              <w:left w:w="0" w:type="dxa"/>
              <w:bottom w:w="40" w:type="dxa"/>
              <w:right w:w="20" w:type="dxa"/>
            </w:tcMar>
            <w:vAlign w:val="bottom"/>
          </w:tcPr>
          <w:p w14:paraId="74DDFC7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C7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C7E" w14:textId="77777777" w:rsidR="00584EC1" w:rsidRDefault="00871F8D">
            <w:pPr>
              <w:jc w:val="right"/>
              <w:textAlignment w:val="bottom"/>
            </w:pPr>
            <w:r>
              <w:rPr>
                <w:rFonts w:ascii="Arial" w:eastAsia="宋体" w:hAnsi="Arial" w:cs="Arial"/>
                <w:color w:val="000000"/>
                <w:sz w:val="15"/>
                <w:szCs w:val="15"/>
              </w:rPr>
              <w:t>868 </w:t>
            </w:r>
          </w:p>
        </w:tc>
        <w:tc>
          <w:tcPr>
            <w:tcW w:w="0" w:type="auto"/>
            <w:shd w:val="clear" w:color="auto" w:fill="FFFFFF"/>
            <w:tcMar>
              <w:top w:w="40" w:type="dxa"/>
              <w:left w:w="0" w:type="dxa"/>
              <w:bottom w:w="40" w:type="dxa"/>
              <w:right w:w="20" w:type="dxa"/>
            </w:tcMar>
            <w:vAlign w:val="bottom"/>
          </w:tcPr>
          <w:p w14:paraId="74DDFC7F" w14:textId="77777777" w:rsidR="00584EC1" w:rsidRDefault="00584EC1">
            <w:pPr>
              <w:jc w:val="right"/>
              <w:rPr>
                <w:rFonts w:ascii="宋体"/>
              </w:rPr>
            </w:pPr>
          </w:p>
        </w:tc>
      </w:tr>
      <w:tr w:rsidR="00584EC1" w14:paraId="74DDFC95" w14:textId="77777777">
        <w:tc>
          <w:tcPr>
            <w:tcW w:w="0" w:type="auto"/>
            <w:gridSpan w:val="3"/>
            <w:shd w:val="clear" w:color="auto" w:fill="CCEEFF"/>
            <w:tcMar>
              <w:top w:w="40" w:type="dxa"/>
              <w:left w:w="20" w:type="dxa"/>
              <w:bottom w:w="40" w:type="dxa"/>
              <w:right w:w="20" w:type="dxa"/>
            </w:tcMar>
            <w:vAlign w:val="bottom"/>
          </w:tcPr>
          <w:p w14:paraId="74DDFC81" w14:textId="77777777" w:rsidR="00584EC1" w:rsidRDefault="00871F8D">
            <w:pPr>
              <w:textAlignment w:val="bottom"/>
            </w:pPr>
            <w:r>
              <w:rPr>
                <w:rFonts w:ascii="Arial" w:eastAsia="宋体" w:hAnsi="Arial" w:cs="Arial"/>
                <w:color w:val="000000"/>
                <w:sz w:val="15"/>
                <w:szCs w:val="15"/>
              </w:rPr>
              <w:t>Total derivatives and other financial instruments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FC82"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FC83" w14:textId="77777777" w:rsidR="00584EC1" w:rsidRDefault="00871F8D">
            <w:pPr>
              <w:jc w:val="right"/>
              <w:textAlignment w:val="bottom"/>
            </w:pPr>
            <w:r>
              <w:rPr>
                <w:rFonts w:ascii="Arial" w:eastAsia="宋体" w:hAnsi="Arial" w:cs="Arial"/>
                <w:color w:val="000000"/>
                <w:sz w:val="15"/>
                <w:szCs w:val="15"/>
              </w:rPr>
              <w:t>200,405 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FC8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C85"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FC86"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FC87" w14:textId="77777777" w:rsidR="00584EC1" w:rsidRDefault="00871F8D">
            <w:pPr>
              <w:jc w:val="right"/>
              <w:textAlignment w:val="bottom"/>
            </w:pPr>
            <w:r>
              <w:rPr>
                <w:rFonts w:ascii="Arial" w:eastAsia="宋体" w:hAnsi="Arial" w:cs="Arial"/>
                <w:color w:val="000000"/>
                <w:sz w:val="15"/>
                <w:szCs w:val="15"/>
              </w:rPr>
              <w:t>(173,165)</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FC8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C89"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FC8A"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FC8B" w14:textId="77777777" w:rsidR="00584EC1" w:rsidRDefault="00871F8D">
            <w:pPr>
              <w:jc w:val="right"/>
              <w:textAlignment w:val="bottom"/>
            </w:pPr>
            <w:r>
              <w:rPr>
                <w:rFonts w:ascii="Arial" w:eastAsia="宋体" w:hAnsi="Arial" w:cs="Arial"/>
                <w:color w:val="000000"/>
                <w:sz w:val="15"/>
                <w:szCs w:val="15"/>
              </w:rPr>
              <w:t>27,240 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FC8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C8D"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FC8E"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FC8F" w14:textId="77777777" w:rsidR="00584EC1" w:rsidRDefault="00871F8D">
            <w:pPr>
              <w:jc w:val="right"/>
              <w:textAlignment w:val="bottom"/>
            </w:pPr>
            <w:r>
              <w:rPr>
                <w:rFonts w:ascii="Arial" w:eastAsia="宋体" w:hAnsi="Arial" w:cs="Arial"/>
                <w:color w:val="000000"/>
                <w:sz w:val="15"/>
                <w:szCs w:val="15"/>
              </w:rPr>
              <w:t>(21,673)</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FC9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C91"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DFC92"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DFC93" w14:textId="77777777" w:rsidR="00584EC1" w:rsidRDefault="00871F8D">
            <w:pPr>
              <w:jc w:val="right"/>
              <w:textAlignment w:val="bottom"/>
            </w:pPr>
            <w:r>
              <w:rPr>
                <w:rFonts w:ascii="Arial" w:eastAsia="宋体" w:hAnsi="Arial" w:cs="Arial"/>
                <w:color w:val="000000"/>
                <w:sz w:val="15"/>
                <w:szCs w:val="15"/>
              </w:rPr>
              <w:t>5,567 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DFC94" w14:textId="77777777" w:rsidR="00584EC1" w:rsidRDefault="00584EC1">
            <w:pPr>
              <w:jc w:val="right"/>
              <w:rPr>
                <w:rFonts w:ascii="宋体"/>
              </w:rPr>
            </w:pPr>
          </w:p>
        </w:tc>
      </w:tr>
    </w:tbl>
    <w:p w14:paraId="74DDFC96" w14:textId="77777777" w:rsidR="00584EC1" w:rsidRDefault="00584E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733"/>
        <w:gridCol w:w="36"/>
        <w:gridCol w:w="69"/>
        <w:gridCol w:w="1516"/>
        <w:gridCol w:w="36"/>
        <w:gridCol w:w="70"/>
        <w:gridCol w:w="1516"/>
        <w:gridCol w:w="36"/>
        <w:gridCol w:w="70"/>
        <w:gridCol w:w="809"/>
        <w:gridCol w:w="36"/>
      </w:tblGrid>
      <w:tr w:rsidR="00584EC1" w14:paraId="74DDFCA6" w14:textId="77777777">
        <w:tc>
          <w:tcPr>
            <w:tcW w:w="50" w:type="pct"/>
            <w:shd w:val="clear" w:color="auto" w:fill="auto"/>
            <w:vAlign w:val="bottom"/>
          </w:tcPr>
          <w:p w14:paraId="74DDFC97" w14:textId="77777777" w:rsidR="00584EC1" w:rsidRDefault="00584EC1">
            <w:pPr>
              <w:rPr>
                <w:rFonts w:ascii="宋体"/>
              </w:rPr>
            </w:pPr>
          </w:p>
        </w:tc>
        <w:tc>
          <w:tcPr>
            <w:tcW w:w="1348" w:type="pct"/>
            <w:shd w:val="clear" w:color="auto" w:fill="auto"/>
            <w:vAlign w:val="bottom"/>
          </w:tcPr>
          <w:p w14:paraId="74DDFC98" w14:textId="77777777" w:rsidR="00584EC1" w:rsidRDefault="00584EC1">
            <w:pPr>
              <w:rPr>
                <w:rFonts w:ascii="宋体"/>
              </w:rPr>
            </w:pPr>
          </w:p>
        </w:tc>
        <w:tc>
          <w:tcPr>
            <w:tcW w:w="5" w:type="pct"/>
            <w:shd w:val="clear" w:color="auto" w:fill="auto"/>
            <w:vAlign w:val="bottom"/>
          </w:tcPr>
          <w:p w14:paraId="74DDFC99" w14:textId="77777777" w:rsidR="00584EC1" w:rsidRDefault="00584EC1">
            <w:pPr>
              <w:rPr>
                <w:rFonts w:ascii="宋体"/>
              </w:rPr>
            </w:pPr>
          </w:p>
        </w:tc>
        <w:tc>
          <w:tcPr>
            <w:tcW w:w="50" w:type="pct"/>
            <w:shd w:val="clear" w:color="auto" w:fill="auto"/>
            <w:vAlign w:val="bottom"/>
          </w:tcPr>
          <w:p w14:paraId="74DDFC9A" w14:textId="77777777" w:rsidR="00584EC1" w:rsidRDefault="00584EC1">
            <w:pPr>
              <w:rPr>
                <w:rFonts w:ascii="宋体"/>
              </w:rPr>
            </w:pPr>
          </w:p>
        </w:tc>
        <w:tc>
          <w:tcPr>
            <w:tcW w:w="1048" w:type="pct"/>
            <w:shd w:val="clear" w:color="auto" w:fill="auto"/>
            <w:vAlign w:val="bottom"/>
          </w:tcPr>
          <w:p w14:paraId="74DDFC9B" w14:textId="77777777" w:rsidR="00584EC1" w:rsidRDefault="00584EC1">
            <w:pPr>
              <w:rPr>
                <w:rFonts w:ascii="宋体"/>
              </w:rPr>
            </w:pPr>
          </w:p>
        </w:tc>
        <w:tc>
          <w:tcPr>
            <w:tcW w:w="5" w:type="pct"/>
            <w:shd w:val="clear" w:color="auto" w:fill="auto"/>
            <w:vAlign w:val="bottom"/>
          </w:tcPr>
          <w:p w14:paraId="74DDFC9C" w14:textId="77777777" w:rsidR="00584EC1" w:rsidRDefault="00584EC1">
            <w:pPr>
              <w:rPr>
                <w:rFonts w:ascii="宋体"/>
              </w:rPr>
            </w:pPr>
          </w:p>
        </w:tc>
        <w:tc>
          <w:tcPr>
            <w:tcW w:w="50" w:type="pct"/>
            <w:shd w:val="clear" w:color="auto" w:fill="auto"/>
            <w:vAlign w:val="bottom"/>
          </w:tcPr>
          <w:p w14:paraId="74DDFC9D" w14:textId="77777777" w:rsidR="00584EC1" w:rsidRDefault="00584EC1">
            <w:pPr>
              <w:rPr>
                <w:rFonts w:ascii="宋体"/>
              </w:rPr>
            </w:pPr>
          </w:p>
        </w:tc>
        <w:tc>
          <w:tcPr>
            <w:tcW w:w="917" w:type="pct"/>
            <w:shd w:val="clear" w:color="auto" w:fill="auto"/>
            <w:vAlign w:val="bottom"/>
          </w:tcPr>
          <w:p w14:paraId="74DDFC9E" w14:textId="77777777" w:rsidR="00584EC1" w:rsidRDefault="00584EC1">
            <w:pPr>
              <w:rPr>
                <w:rFonts w:ascii="宋体"/>
              </w:rPr>
            </w:pPr>
          </w:p>
        </w:tc>
        <w:tc>
          <w:tcPr>
            <w:tcW w:w="5" w:type="pct"/>
            <w:shd w:val="clear" w:color="auto" w:fill="auto"/>
            <w:vAlign w:val="bottom"/>
          </w:tcPr>
          <w:p w14:paraId="74DDFC9F" w14:textId="77777777" w:rsidR="00584EC1" w:rsidRDefault="00584EC1">
            <w:pPr>
              <w:rPr>
                <w:rFonts w:ascii="宋体"/>
              </w:rPr>
            </w:pPr>
          </w:p>
        </w:tc>
        <w:tc>
          <w:tcPr>
            <w:tcW w:w="50" w:type="pct"/>
            <w:shd w:val="clear" w:color="auto" w:fill="auto"/>
            <w:vAlign w:val="bottom"/>
          </w:tcPr>
          <w:p w14:paraId="74DDFCA0" w14:textId="77777777" w:rsidR="00584EC1" w:rsidRDefault="00584EC1">
            <w:pPr>
              <w:rPr>
                <w:rFonts w:ascii="宋体"/>
              </w:rPr>
            </w:pPr>
          </w:p>
        </w:tc>
        <w:tc>
          <w:tcPr>
            <w:tcW w:w="917" w:type="pct"/>
            <w:shd w:val="clear" w:color="auto" w:fill="auto"/>
            <w:vAlign w:val="bottom"/>
          </w:tcPr>
          <w:p w14:paraId="74DDFCA1" w14:textId="77777777" w:rsidR="00584EC1" w:rsidRDefault="00584EC1">
            <w:pPr>
              <w:rPr>
                <w:rFonts w:ascii="宋体"/>
              </w:rPr>
            </w:pPr>
          </w:p>
        </w:tc>
        <w:tc>
          <w:tcPr>
            <w:tcW w:w="5" w:type="pct"/>
            <w:shd w:val="clear" w:color="auto" w:fill="auto"/>
            <w:vAlign w:val="bottom"/>
          </w:tcPr>
          <w:p w14:paraId="74DDFCA2" w14:textId="77777777" w:rsidR="00584EC1" w:rsidRDefault="00584EC1">
            <w:pPr>
              <w:rPr>
                <w:rFonts w:ascii="宋体"/>
              </w:rPr>
            </w:pPr>
          </w:p>
        </w:tc>
        <w:tc>
          <w:tcPr>
            <w:tcW w:w="50" w:type="pct"/>
            <w:shd w:val="clear" w:color="auto" w:fill="auto"/>
            <w:vAlign w:val="bottom"/>
          </w:tcPr>
          <w:p w14:paraId="74DDFCA3" w14:textId="77777777" w:rsidR="00584EC1" w:rsidRDefault="00584EC1">
            <w:pPr>
              <w:rPr>
                <w:rFonts w:ascii="宋体"/>
              </w:rPr>
            </w:pPr>
          </w:p>
        </w:tc>
        <w:tc>
          <w:tcPr>
            <w:tcW w:w="493" w:type="pct"/>
            <w:shd w:val="clear" w:color="auto" w:fill="auto"/>
            <w:vAlign w:val="bottom"/>
          </w:tcPr>
          <w:p w14:paraId="74DDFCA4" w14:textId="77777777" w:rsidR="00584EC1" w:rsidRDefault="00584EC1">
            <w:pPr>
              <w:rPr>
                <w:rFonts w:ascii="宋体"/>
              </w:rPr>
            </w:pPr>
          </w:p>
        </w:tc>
        <w:tc>
          <w:tcPr>
            <w:tcW w:w="5" w:type="pct"/>
            <w:shd w:val="clear" w:color="auto" w:fill="auto"/>
            <w:vAlign w:val="bottom"/>
          </w:tcPr>
          <w:p w14:paraId="74DDFCA5" w14:textId="77777777" w:rsidR="00584EC1" w:rsidRDefault="00584EC1">
            <w:pPr>
              <w:rPr>
                <w:rFonts w:ascii="宋体"/>
              </w:rPr>
            </w:pPr>
          </w:p>
        </w:tc>
      </w:tr>
      <w:tr w:rsidR="00584EC1" w14:paraId="74DDFCAC"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4DDFCA7"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CA8"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CA9"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CAA"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CAB" w14:textId="77777777" w:rsidR="00584EC1" w:rsidRDefault="00584EC1">
            <w:pPr>
              <w:rPr>
                <w:rFonts w:ascii="宋体"/>
              </w:rPr>
            </w:pPr>
          </w:p>
        </w:tc>
      </w:tr>
    </w:tbl>
    <w:p w14:paraId="74DDFCAD" w14:textId="77777777" w:rsidR="00584EC1" w:rsidRDefault="00871F8D">
      <w:pPr>
        <w:spacing w:before="60"/>
        <w:jc w:val="both"/>
      </w:pPr>
      <w:r>
        <w:rPr>
          <w:rFonts w:ascii="Arial" w:eastAsia="宋体" w:hAnsi="Arial" w:cs="Arial"/>
          <w:color w:val="000000"/>
          <w:sz w:val="9"/>
          <w:szCs w:val="9"/>
        </w:rPr>
        <w:t xml:space="preserve">(1) </w:t>
      </w:r>
      <w:r>
        <w:rPr>
          <w:rFonts w:ascii="Arial" w:eastAsia="宋体" w:hAnsi="Arial" w:cs="Arial"/>
          <w:color w:val="000000"/>
          <w:sz w:val="14"/>
          <w:szCs w:val="14"/>
        </w:rPr>
        <w:t>Amounts include all transactions regardless of whether or not they are subject to an enforceable netting arrangement.</w:t>
      </w:r>
    </w:p>
    <w:p w14:paraId="74DDFCAE" w14:textId="77777777" w:rsidR="00584EC1" w:rsidRDefault="00871F8D">
      <w:pPr>
        <w:spacing w:before="60"/>
        <w:jc w:val="both"/>
      </w:pPr>
      <w:r>
        <w:rPr>
          <w:rFonts w:ascii="Arial" w:eastAsia="宋体" w:hAnsi="Arial" w:cs="Arial"/>
          <w:color w:val="000000"/>
          <w:sz w:val="9"/>
          <w:szCs w:val="9"/>
        </w:rPr>
        <w:t xml:space="preserve">(2) </w:t>
      </w:r>
      <w:r>
        <w:rPr>
          <w:rFonts w:ascii="Arial" w:eastAsia="宋体" w:hAnsi="Arial" w:cs="Arial"/>
          <w:color w:val="000000"/>
          <w:sz w:val="14"/>
          <w:szCs w:val="14"/>
        </w:rPr>
        <w:t>Refer to Note 1 and Note 2 for additional information about the measurement basis of derivative instruments.</w:t>
      </w:r>
    </w:p>
    <w:p w14:paraId="74DDFCAF" w14:textId="77777777" w:rsidR="00584EC1" w:rsidRDefault="00871F8D">
      <w:pPr>
        <w:spacing w:before="60"/>
        <w:jc w:val="both"/>
      </w:pPr>
      <w:r>
        <w:rPr>
          <w:rFonts w:ascii="Arial" w:eastAsia="宋体" w:hAnsi="Arial" w:cs="Arial"/>
          <w:color w:val="000000"/>
          <w:sz w:val="9"/>
          <w:szCs w:val="9"/>
        </w:rPr>
        <w:t xml:space="preserve">(3) </w:t>
      </w:r>
      <w:r>
        <w:rPr>
          <w:rFonts w:ascii="Arial" w:eastAsia="宋体" w:hAnsi="Arial" w:cs="Arial"/>
          <w:color w:val="000000"/>
          <w:sz w:val="14"/>
          <w:szCs w:val="14"/>
        </w:rPr>
        <w:t>Amounts subje</w:t>
      </w:r>
      <w:r>
        <w:rPr>
          <w:rFonts w:ascii="Arial" w:eastAsia="宋体" w:hAnsi="Arial" w:cs="Arial"/>
          <w:color w:val="000000"/>
          <w:sz w:val="14"/>
          <w:szCs w:val="14"/>
        </w:rPr>
        <w:t>ct to netting arrangements which have been determined to be legally enforceable and eligible for netting in the consolidated statement of condition.</w:t>
      </w:r>
    </w:p>
    <w:p w14:paraId="74DDFCB0" w14:textId="77777777" w:rsidR="00584EC1" w:rsidRDefault="00871F8D">
      <w:pPr>
        <w:spacing w:before="60"/>
        <w:jc w:val="both"/>
      </w:pPr>
      <w:r>
        <w:rPr>
          <w:rFonts w:ascii="Arial" w:eastAsia="宋体" w:hAnsi="Arial" w:cs="Arial"/>
          <w:color w:val="000000"/>
          <w:sz w:val="9"/>
          <w:szCs w:val="9"/>
        </w:rPr>
        <w:t>(4)</w:t>
      </w:r>
      <w:r>
        <w:rPr>
          <w:rFonts w:ascii="Arial" w:eastAsia="宋体" w:hAnsi="Arial" w:cs="Arial"/>
          <w:color w:val="000000"/>
          <w:sz w:val="14"/>
          <w:szCs w:val="14"/>
        </w:rPr>
        <w:t xml:space="preserve"> Includes securities in connection with our securities borrowing transactions.</w:t>
      </w:r>
    </w:p>
    <w:p w14:paraId="74DDFCB1" w14:textId="77777777" w:rsidR="00584EC1" w:rsidRDefault="00871F8D">
      <w:pPr>
        <w:spacing w:before="60"/>
        <w:jc w:val="both"/>
      </w:pPr>
      <w:r>
        <w:rPr>
          <w:rFonts w:ascii="Arial" w:eastAsia="宋体" w:hAnsi="Arial" w:cs="Arial"/>
          <w:color w:val="000000"/>
          <w:sz w:val="9"/>
          <w:szCs w:val="9"/>
        </w:rPr>
        <w:t xml:space="preserve">(5) </w:t>
      </w:r>
      <w:r>
        <w:rPr>
          <w:rFonts w:ascii="Arial" w:eastAsia="宋体" w:hAnsi="Arial" w:cs="Arial"/>
          <w:color w:val="000000"/>
          <w:sz w:val="14"/>
          <w:szCs w:val="14"/>
        </w:rPr>
        <w:t>Includes amounts secu</w:t>
      </w:r>
      <w:r>
        <w:rPr>
          <w:rFonts w:ascii="Arial" w:eastAsia="宋体" w:hAnsi="Arial" w:cs="Arial"/>
          <w:color w:val="000000"/>
          <w:sz w:val="14"/>
          <w:szCs w:val="14"/>
        </w:rPr>
        <w:t>red by collateral not determined to be subject to enforceable netting arrangements.</w:t>
      </w:r>
    </w:p>
    <w:p w14:paraId="74DDFCB2" w14:textId="77777777" w:rsidR="00584EC1" w:rsidRDefault="00871F8D">
      <w:pPr>
        <w:spacing w:before="60"/>
        <w:jc w:val="both"/>
      </w:pPr>
      <w:r>
        <w:rPr>
          <w:rFonts w:ascii="Arial" w:eastAsia="宋体" w:hAnsi="Arial" w:cs="Arial"/>
          <w:color w:val="000000"/>
          <w:sz w:val="9"/>
          <w:szCs w:val="9"/>
        </w:rPr>
        <w:t>(6)</w:t>
      </w:r>
      <w:r>
        <w:rPr>
          <w:rFonts w:ascii="Arial" w:eastAsia="宋体" w:hAnsi="Arial" w:cs="Arial"/>
          <w:color w:val="000000"/>
          <w:sz w:val="14"/>
          <w:szCs w:val="14"/>
        </w:rPr>
        <w:t xml:space="preserve"> Variation margin payments presented as settlements rather than collateral.</w:t>
      </w:r>
    </w:p>
    <w:p w14:paraId="74DDFCB3" w14:textId="77777777" w:rsidR="00584EC1" w:rsidRDefault="00871F8D">
      <w:pPr>
        <w:spacing w:before="60"/>
        <w:jc w:val="both"/>
      </w:pPr>
      <w:r>
        <w:rPr>
          <w:rFonts w:ascii="Arial" w:eastAsia="宋体" w:hAnsi="Arial" w:cs="Arial"/>
          <w:color w:val="000000"/>
          <w:sz w:val="9"/>
          <w:szCs w:val="9"/>
        </w:rPr>
        <w:t xml:space="preserve">(7) </w:t>
      </w:r>
      <w:r>
        <w:rPr>
          <w:rFonts w:ascii="Arial" w:eastAsia="宋体" w:hAnsi="Arial" w:cs="Arial"/>
          <w:color w:val="000000"/>
          <w:sz w:val="14"/>
          <w:szCs w:val="14"/>
        </w:rPr>
        <w:t>Included in the $29.49 billion as of September 30, 2021 were $2.85 billion of resale agre</w:t>
      </w:r>
      <w:r>
        <w:rPr>
          <w:rFonts w:ascii="Arial" w:eastAsia="宋体" w:hAnsi="Arial" w:cs="Arial"/>
          <w:color w:val="000000"/>
          <w:sz w:val="14"/>
          <w:szCs w:val="14"/>
        </w:rPr>
        <w:t>ements and $26.64 billion of collateral provided related to securities borrowing. Included in the $21.44 billion as of December 31, 2020 were $3.11 billion of resale agreements and $18.33 billion of collateral provided related to securities borrowing. Resa</w:t>
      </w:r>
      <w:r>
        <w:rPr>
          <w:rFonts w:ascii="Arial" w:eastAsia="宋体" w:hAnsi="Arial" w:cs="Arial"/>
          <w:color w:val="000000"/>
          <w:sz w:val="14"/>
          <w:szCs w:val="14"/>
        </w:rPr>
        <w:t xml:space="preserve">le agreements and collateral provided related to securities borrowing were recorded in securities purchased under resale agreements and other assets, respectively, in our consolidated statement of condition. Refer to Note 9 for additional information with </w:t>
      </w:r>
      <w:r>
        <w:rPr>
          <w:rFonts w:ascii="Arial" w:eastAsia="宋体" w:hAnsi="Arial" w:cs="Arial"/>
          <w:color w:val="000000"/>
          <w:sz w:val="14"/>
          <w:szCs w:val="14"/>
        </w:rPr>
        <w:t>respect to principal securities finance transactions.</w:t>
      </w:r>
    </w:p>
    <w:p w14:paraId="74DDFCB4" w14:textId="77777777" w:rsidR="00584EC1" w:rsidRDefault="00871F8D">
      <w:pPr>
        <w:spacing w:before="60"/>
        <w:jc w:val="both"/>
      </w:pPr>
      <w:r>
        <w:rPr>
          <w:rFonts w:ascii="Arial" w:eastAsia="宋体" w:hAnsi="Arial" w:cs="Arial"/>
          <w:color w:val="000000"/>
          <w:sz w:val="9"/>
          <w:szCs w:val="9"/>
        </w:rPr>
        <w:t xml:space="preserve">(8) </w:t>
      </w:r>
      <w:r>
        <w:rPr>
          <w:rFonts w:ascii="Arial" w:eastAsia="宋体" w:hAnsi="Arial" w:cs="Arial"/>
          <w:color w:val="000000"/>
          <w:sz w:val="14"/>
          <w:szCs w:val="14"/>
        </w:rPr>
        <w:t>Offsetting of resale agreements primarily relates to our involvement in FICC, where we settle transactions on a net basis for payment and delivery through the Fedwire system.</w:t>
      </w:r>
    </w:p>
    <w:p w14:paraId="74DDFCB5" w14:textId="77777777" w:rsidR="00584EC1" w:rsidRDefault="00871F8D">
      <w:pPr>
        <w:spacing w:before="60"/>
        <w:jc w:val="both"/>
      </w:pPr>
      <w:r>
        <w:rPr>
          <w:rFonts w:ascii="Arial" w:eastAsia="宋体" w:hAnsi="Arial" w:cs="Arial"/>
          <w:color w:val="000000"/>
          <w:sz w:val="9"/>
          <w:szCs w:val="9"/>
        </w:rPr>
        <w:t>NA</w:t>
      </w:r>
      <w:r>
        <w:rPr>
          <w:rFonts w:ascii="Arial" w:eastAsia="宋体" w:hAnsi="Arial" w:cs="Arial"/>
          <w:color w:val="000000"/>
          <w:sz w:val="14"/>
          <w:szCs w:val="14"/>
        </w:rPr>
        <w:t xml:space="preserve"> Not applicable</w:t>
      </w:r>
    </w:p>
    <w:p w14:paraId="74DDFCB6" w14:textId="77777777" w:rsidR="00584EC1" w:rsidRDefault="00871F8D">
      <w:pPr>
        <w:spacing w:before="60"/>
        <w:ind w:firstLine="450"/>
      </w:pPr>
      <w:r>
        <w:rPr>
          <w:rFonts w:ascii="Arial" w:eastAsia="宋体" w:hAnsi="Arial" w:cs="Arial"/>
          <w:color w:val="000000"/>
          <w:sz w:val="20"/>
          <w:szCs w:val="20"/>
        </w:rPr>
        <w:t>The following tables present information about the offsetting of liabilities related to derivative contracts and secured financing transactions,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1777"/>
        <w:gridCol w:w="37"/>
        <w:gridCol w:w="105"/>
        <w:gridCol w:w="958"/>
        <w:gridCol w:w="36"/>
        <w:gridCol w:w="36"/>
        <w:gridCol w:w="36"/>
        <w:gridCol w:w="36"/>
        <w:gridCol w:w="105"/>
        <w:gridCol w:w="1100"/>
        <w:gridCol w:w="36"/>
        <w:gridCol w:w="36"/>
        <w:gridCol w:w="36"/>
        <w:gridCol w:w="36"/>
        <w:gridCol w:w="105"/>
        <w:gridCol w:w="1192"/>
        <w:gridCol w:w="36"/>
        <w:gridCol w:w="36"/>
        <w:gridCol w:w="36"/>
        <w:gridCol w:w="36"/>
        <w:gridCol w:w="105"/>
        <w:gridCol w:w="962"/>
        <w:gridCol w:w="37"/>
        <w:gridCol w:w="36"/>
        <w:gridCol w:w="36"/>
        <w:gridCol w:w="36"/>
        <w:gridCol w:w="105"/>
        <w:gridCol w:w="664"/>
        <w:gridCol w:w="37"/>
        <w:gridCol w:w="36"/>
        <w:gridCol w:w="36"/>
        <w:gridCol w:w="36"/>
        <w:gridCol w:w="36"/>
        <w:gridCol w:w="36"/>
        <w:gridCol w:w="36"/>
        <w:gridCol w:w="36"/>
        <w:gridCol w:w="36"/>
        <w:gridCol w:w="36"/>
        <w:gridCol w:w="36"/>
        <w:gridCol w:w="36"/>
        <w:gridCol w:w="36"/>
        <w:gridCol w:w="36"/>
      </w:tblGrid>
      <w:tr w:rsidR="00584EC1" w14:paraId="74DDFCDA" w14:textId="77777777">
        <w:tc>
          <w:tcPr>
            <w:tcW w:w="50" w:type="pct"/>
            <w:shd w:val="clear" w:color="auto" w:fill="auto"/>
            <w:vAlign w:val="bottom"/>
          </w:tcPr>
          <w:p w14:paraId="74DDFCB7" w14:textId="77777777" w:rsidR="00584EC1" w:rsidRDefault="00584EC1">
            <w:pPr>
              <w:rPr>
                <w:rFonts w:ascii="宋体"/>
              </w:rPr>
            </w:pPr>
          </w:p>
        </w:tc>
        <w:tc>
          <w:tcPr>
            <w:tcW w:w="1165" w:type="pct"/>
            <w:shd w:val="clear" w:color="auto" w:fill="auto"/>
            <w:vAlign w:val="bottom"/>
          </w:tcPr>
          <w:p w14:paraId="74DDFCB8" w14:textId="77777777" w:rsidR="00584EC1" w:rsidRDefault="00584EC1">
            <w:pPr>
              <w:rPr>
                <w:rFonts w:ascii="宋体"/>
              </w:rPr>
            </w:pPr>
          </w:p>
        </w:tc>
        <w:tc>
          <w:tcPr>
            <w:tcW w:w="5" w:type="pct"/>
            <w:shd w:val="clear" w:color="auto" w:fill="auto"/>
            <w:vAlign w:val="bottom"/>
          </w:tcPr>
          <w:p w14:paraId="74DDFCB9" w14:textId="77777777" w:rsidR="00584EC1" w:rsidRDefault="00584EC1">
            <w:pPr>
              <w:rPr>
                <w:rFonts w:ascii="宋体"/>
              </w:rPr>
            </w:pPr>
          </w:p>
        </w:tc>
        <w:tc>
          <w:tcPr>
            <w:tcW w:w="50" w:type="pct"/>
            <w:shd w:val="clear" w:color="auto" w:fill="auto"/>
            <w:vAlign w:val="bottom"/>
          </w:tcPr>
          <w:p w14:paraId="74DDFCBA" w14:textId="77777777" w:rsidR="00584EC1" w:rsidRDefault="00584EC1">
            <w:pPr>
              <w:rPr>
                <w:rFonts w:ascii="宋体"/>
              </w:rPr>
            </w:pPr>
          </w:p>
        </w:tc>
        <w:tc>
          <w:tcPr>
            <w:tcW w:w="639" w:type="pct"/>
            <w:shd w:val="clear" w:color="auto" w:fill="auto"/>
            <w:vAlign w:val="bottom"/>
          </w:tcPr>
          <w:p w14:paraId="74DDFCBB" w14:textId="77777777" w:rsidR="00584EC1" w:rsidRDefault="00584EC1">
            <w:pPr>
              <w:rPr>
                <w:rFonts w:ascii="宋体"/>
              </w:rPr>
            </w:pPr>
          </w:p>
        </w:tc>
        <w:tc>
          <w:tcPr>
            <w:tcW w:w="5" w:type="pct"/>
            <w:shd w:val="clear" w:color="auto" w:fill="auto"/>
            <w:vAlign w:val="bottom"/>
          </w:tcPr>
          <w:p w14:paraId="74DDFCBC" w14:textId="77777777" w:rsidR="00584EC1" w:rsidRDefault="00584EC1">
            <w:pPr>
              <w:rPr>
                <w:rFonts w:ascii="宋体"/>
              </w:rPr>
            </w:pPr>
          </w:p>
        </w:tc>
        <w:tc>
          <w:tcPr>
            <w:tcW w:w="5" w:type="pct"/>
            <w:shd w:val="clear" w:color="auto" w:fill="auto"/>
            <w:vAlign w:val="bottom"/>
          </w:tcPr>
          <w:p w14:paraId="74DDFCBD" w14:textId="77777777" w:rsidR="00584EC1" w:rsidRDefault="00584EC1">
            <w:pPr>
              <w:rPr>
                <w:rFonts w:ascii="宋体"/>
              </w:rPr>
            </w:pPr>
          </w:p>
        </w:tc>
        <w:tc>
          <w:tcPr>
            <w:tcW w:w="26" w:type="pct"/>
            <w:shd w:val="clear" w:color="auto" w:fill="auto"/>
            <w:vAlign w:val="bottom"/>
          </w:tcPr>
          <w:p w14:paraId="74DDFCBE" w14:textId="77777777" w:rsidR="00584EC1" w:rsidRDefault="00584EC1">
            <w:pPr>
              <w:rPr>
                <w:rFonts w:ascii="宋体"/>
              </w:rPr>
            </w:pPr>
          </w:p>
        </w:tc>
        <w:tc>
          <w:tcPr>
            <w:tcW w:w="5" w:type="pct"/>
            <w:shd w:val="clear" w:color="auto" w:fill="auto"/>
            <w:vAlign w:val="bottom"/>
          </w:tcPr>
          <w:p w14:paraId="74DDFCBF" w14:textId="77777777" w:rsidR="00584EC1" w:rsidRDefault="00584EC1">
            <w:pPr>
              <w:rPr>
                <w:rFonts w:ascii="宋体"/>
              </w:rPr>
            </w:pPr>
          </w:p>
        </w:tc>
        <w:tc>
          <w:tcPr>
            <w:tcW w:w="50" w:type="pct"/>
            <w:shd w:val="clear" w:color="auto" w:fill="auto"/>
            <w:vAlign w:val="bottom"/>
          </w:tcPr>
          <w:p w14:paraId="74DDFCC0" w14:textId="77777777" w:rsidR="00584EC1" w:rsidRDefault="00584EC1">
            <w:pPr>
              <w:rPr>
                <w:rFonts w:ascii="宋体"/>
              </w:rPr>
            </w:pPr>
          </w:p>
        </w:tc>
        <w:tc>
          <w:tcPr>
            <w:tcW w:w="756" w:type="pct"/>
            <w:shd w:val="clear" w:color="auto" w:fill="auto"/>
            <w:vAlign w:val="bottom"/>
          </w:tcPr>
          <w:p w14:paraId="74DDFCC1" w14:textId="77777777" w:rsidR="00584EC1" w:rsidRDefault="00584EC1">
            <w:pPr>
              <w:rPr>
                <w:rFonts w:ascii="宋体"/>
              </w:rPr>
            </w:pPr>
          </w:p>
        </w:tc>
        <w:tc>
          <w:tcPr>
            <w:tcW w:w="5" w:type="pct"/>
            <w:shd w:val="clear" w:color="auto" w:fill="auto"/>
            <w:vAlign w:val="bottom"/>
          </w:tcPr>
          <w:p w14:paraId="74DDFCC2" w14:textId="77777777" w:rsidR="00584EC1" w:rsidRDefault="00584EC1">
            <w:pPr>
              <w:rPr>
                <w:rFonts w:ascii="宋体"/>
              </w:rPr>
            </w:pPr>
          </w:p>
        </w:tc>
        <w:tc>
          <w:tcPr>
            <w:tcW w:w="5" w:type="pct"/>
            <w:shd w:val="clear" w:color="auto" w:fill="auto"/>
            <w:vAlign w:val="bottom"/>
          </w:tcPr>
          <w:p w14:paraId="74DDFCC3" w14:textId="77777777" w:rsidR="00584EC1" w:rsidRDefault="00584EC1">
            <w:pPr>
              <w:rPr>
                <w:rFonts w:ascii="宋体"/>
              </w:rPr>
            </w:pPr>
          </w:p>
        </w:tc>
        <w:tc>
          <w:tcPr>
            <w:tcW w:w="26" w:type="pct"/>
            <w:shd w:val="clear" w:color="auto" w:fill="auto"/>
            <w:vAlign w:val="bottom"/>
          </w:tcPr>
          <w:p w14:paraId="74DDFCC4" w14:textId="77777777" w:rsidR="00584EC1" w:rsidRDefault="00584EC1">
            <w:pPr>
              <w:rPr>
                <w:rFonts w:ascii="宋体"/>
              </w:rPr>
            </w:pPr>
          </w:p>
        </w:tc>
        <w:tc>
          <w:tcPr>
            <w:tcW w:w="5" w:type="pct"/>
            <w:shd w:val="clear" w:color="auto" w:fill="auto"/>
            <w:vAlign w:val="bottom"/>
          </w:tcPr>
          <w:p w14:paraId="74DDFCC5" w14:textId="77777777" w:rsidR="00584EC1" w:rsidRDefault="00584EC1">
            <w:pPr>
              <w:rPr>
                <w:rFonts w:ascii="宋体"/>
              </w:rPr>
            </w:pPr>
          </w:p>
        </w:tc>
        <w:tc>
          <w:tcPr>
            <w:tcW w:w="50" w:type="pct"/>
            <w:shd w:val="clear" w:color="auto" w:fill="auto"/>
            <w:vAlign w:val="bottom"/>
          </w:tcPr>
          <w:p w14:paraId="74DDFCC6" w14:textId="77777777" w:rsidR="00584EC1" w:rsidRDefault="00584EC1">
            <w:pPr>
              <w:rPr>
                <w:rFonts w:ascii="宋体"/>
              </w:rPr>
            </w:pPr>
          </w:p>
        </w:tc>
        <w:tc>
          <w:tcPr>
            <w:tcW w:w="814" w:type="pct"/>
            <w:shd w:val="clear" w:color="auto" w:fill="auto"/>
            <w:vAlign w:val="bottom"/>
          </w:tcPr>
          <w:p w14:paraId="74DDFCC7" w14:textId="77777777" w:rsidR="00584EC1" w:rsidRDefault="00584EC1">
            <w:pPr>
              <w:rPr>
                <w:rFonts w:ascii="宋体"/>
              </w:rPr>
            </w:pPr>
          </w:p>
        </w:tc>
        <w:tc>
          <w:tcPr>
            <w:tcW w:w="5" w:type="pct"/>
            <w:shd w:val="clear" w:color="auto" w:fill="auto"/>
            <w:vAlign w:val="bottom"/>
          </w:tcPr>
          <w:p w14:paraId="74DDFCC8" w14:textId="77777777" w:rsidR="00584EC1" w:rsidRDefault="00584EC1">
            <w:pPr>
              <w:rPr>
                <w:rFonts w:ascii="宋体"/>
              </w:rPr>
            </w:pPr>
          </w:p>
        </w:tc>
        <w:tc>
          <w:tcPr>
            <w:tcW w:w="5" w:type="pct"/>
            <w:shd w:val="clear" w:color="auto" w:fill="auto"/>
            <w:vAlign w:val="bottom"/>
          </w:tcPr>
          <w:p w14:paraId="74DDFCC9" w14:textId="77777777" w:rsidR="00584EC1" w:rsidRDefault="00584EC1">
            <w:pPr>
              <w:rPr>
                <w:rFonts w:ascii="宋体"/>
              </w:rPr>
            </w:pPr>
          </w:p>
        </w:tc>
        <w:tc>
          <w:tcPr>
            <w:tcW w:w="26" w:type="pct"/>
            <w:shd w:val="clear" w:color="auto" w:fill="auto"/>
            <w:vAlign w:val="bottom"/>
          </w:tcPr>
          <w:p w14:paraId="74DDFCCA" w14:textId="77777777" w:rsidR="00584EC1" w:rsidRDefault="00584EC1">
            <w:pPr>
              <w:rPr>
                <w:rFonts w:ascii="宋体"/>
              </w:rPr>
            </w:pPr>
          </w:p>
        </w:tc>
        <w:tc>
          <w:tcPr>
            <w:tcW w:w="5" w:type="pct"/>
            <w:shd w:val="clear" w:color="auto" w:fill="auto"/>
            <w:vAlign w:val="bottom"/>
          </w:tcPr>
          <w:p w14:paraId="74DDFCCB" w14:textId="77777777" w:rsidR="00584EC1" w:rsidRDefault="00584EC1">
            <w:pPr>
              <w:rPr>
                <w:rFonts w:ascii="宋体"/>
              </w:rPr>
            </w:pPr>
          </w:p>
        </w:tc>
        <w:tc>
          <w:tcPr>
            <w:tcW w:w="50" w:type="pct"/>
            <w:shd w:val="clear" w:color="auto" w:fill="auto"/>
            <w:vAlign w:val="bottom"/>
          </w:tcPr>
          <w:p w14:paraId="74DDFCCC" w14:textId="77777777" w:rsidR="00584EC1" w:rsidRDefault="00584EC1">
            <w:pPr>
              <w:rPr>
                <w:rFonts w:ascii="宋体"/>
              </w:rPr>
            </w:pPr>
          </w:p>
        </w:tc>
        <w:tc>
          <w:tcPr>
            <w:tcW w:w="668" w:type="pct"/>
            <w:shd w:val="clear" w:color="auto" w:fill="auto"/>
            <w:vAlign w:val="bottom"/>
          </w:tcPr>
          <w:p w14:paraId="74DDFCCD" w14:textId="77777777" w:rsidR="00584EC1" w:rsidRDefault="00584EC1">
            <w:pPr>
              <w:rPr>
                <w:rFonts w:ascii="宋体"/>
              </w:rPr>
            </w:pPr>
          </w:p>
        </w:tc>
        <w:tc>
          <w:tcPr>
            <w:tcW w:w="5" w:type="pct"/>
            <w:shd w:val="clear" w:color="auto" w:fill="auto"/>
            <w:vAlign w:val="bottom"/>
          </w:tcPr>
          <w:p w14:paraId="74DDFCCE" w14:textId="77777777" w:rsidR="00584EC1" w:rsidRDefault="00584EC1">
            <w:pPr>
              <w:rPr>
                <w:rFonts w:ascii="宋体"/>
              </w:rPr>
            </w:pPr>
          </w:p>
        </w:tc>
        <w:tc>
          <w:tcPr>
            <w:tcW w:w="5" w:type="pct"/>
            <w:shd w:val="clear" w:color="auto" w:fill="auto"/>
            <w:vAlign w:val="bottom"/>
          </w:tcPr>
          <w:p w14:paraId="74DDFCCF" w14:textId="77777777" w:rsidR="00584EC1" w:rsidRDefault="00584EC1">
            <w:pPr>
              <w:rPr>
                <w:rFonts w:ascii="宋体"/>
              </w:rPr>
            </w:pPr>
          </w:p>
        </w:tc>
        <w:tc>
          <w:tcPr>
            <w:tcW w:w="26" w:type="pct"/>
            <w:shd w:val="clear" w:color="auto" w:fill="auto"/>
            <w:vAlign w:val="bottom"/>
          </w:tcPr>
          <w:p w14:paraId="74DDFCD0" w14:textId="77777777" w:rsidR="00584EC1" w:rsidRDefault="00584EC1">
            <w:pPr>
              <w:rPr>
                <w:rFonts w:ascii="宋体"/>
              </w:rPr>
            </w:pPr>
          </w:p>
        </w:tc>
        <w:tc>
          <w:tcPr>
            <w:tcW w:w="5" w:type="pct"/>
            <w:shd w:val="clear" w:color="auto" w:fill="auto"/>
            <w:vAlign w:val="bottom"/>
          </w:tcPr>
          <w:p w14:paraId="74DDFCD1" w14:textId="77777777" w:rsidR="00584EC1" w:rsidRDefault="00584EC1">
            <w:pPr>
              <w:rPr>
                <w:rFonts w:ascii="宋体"/>
              </w:rPr>
            </w:pPr>
          </w:p>
        </w:tc>
        <w:tc>
          <w:tcPr>
            <w:tcW w:w="50" w:type="pct"/>
            <w:shd w:val="clear" w:color="auto" w:fill="auto"/>
            <w:vAlign w:val="bottom"/>
          </w:tcPr>
          <w:p w14:paraId="74DDFCD2" w14:textId="77777777" w:rsidR="00584EC1" w:rsidRDefault="00584EC1">
            <w:pPr>
              <w:rPr>
                <w:rFonts w:ascii="宋体"/>
              </w:rPr>
            </w:pPr>
          </w:p>
        </w:tc>
        <w:tc>
          <w:tcPr>
            <w:tcW w:w="478" w:type="pct"/>
            <w:shd w:val="clear" w:color="auto" w:fill="auto"/>
            <w:vAlign w:val="bottom"/>
          </w:tcPr>
          <w:p w14:paraId="74DDFCD3" w14:textId="77777777" w:rsidR="00584EC1" w:rsidRDefault="00584EC1">
            <w:pPr>
              <w:rPr>
                <w:rFonts w:ascii="宋体"/>
              </w:rPr>
            </w:pPr>
          </w:p>
        </w:tc>
        <w:tc>
          <w:tcPr>
            <w:tcW w:w="5" w:type="pct"/>
            <w:shd w:val="clear" w:color="auto" w:fill="auto"/>
            <w:vAlign w:val="bottom"/>
          </w:tcPr>
          <w:p w14:paraId="74DDFCD4" w14:textId="77777777" w:rsidR="00584EC1" w:rsidRDefault="00584EC1">
            <w:pPr>
              <w:rPr>
                <w:rFonts w:ascii="宋体"/>
              </w:rPr>
            </w:pPr>
          </w:p>
        </w:tc>
        <w:tc>
          <w:tcPr>
            <w:tcW w:w="0" w:type="auto"/>
            <w:shd w:val="clear" w:color="auto" w:fill="auto"/>
            <w:vAlign w:val="bottom"/>
          </w:tcPr>
          <w:p w14:paraId="74DDFCD5" w14:textId="77777777" w:rsidR="00584EC1" w:rsidRDefault="00584EC1">
            <w:pPr>
              <w:rPr>
                <w:rFonts w:ascii="宋体"/>
                <w:vanish/>
              </w:rPr>
            </w:pPr>
          </w:p>
        </w:tc>
        <w:tc>
          <w:tcPr>
            <w:tcW w:w="0" w:type="auto"/>
            <w:gridSpan w:val="3"/>
            <w:shd w:val="clear" w:color="auto" w:fill="auto"/>
            <w:vAlign w:val="bottom"/>
          </w:tcPr>
          <w:p w14:paraId="74DDFCD6" w14:textId="77777777" w:rsidR="00584EC1" w:rsidRDefault="00584EC1">
            <w:pPr>
              <w:rPr>
                <w:rFonts w:ascii="宋体"/>
                <w:vanish/>
              </w:rPr>
            </w:pPr>
          </w:p>
        </w:tc>
        <w:tc>
          <w:tcPr>
            <w:tcW w:w="0" w:type="auto"/>
            <w:gridSpan w:val="3"/>
            <w:shd w:val="clear" w:color="auto" w:fill="auto"/>
            <w:vAlign w:val="bottom"/>
          </w:tcPr>
          <w:p w14:paraId="74DDFCD7" w14:textId="77777777" w:rsidR="00584EC1" w:rsidRDefault="00584EC1">
            <w:pPr>
              <w:rPr>
                <w:rFonts w:ascii="宋体"/>
                <w:vanish/>
              </w:rPr>
            </w:pPr>
          </w:p>
        </w:tc>
        <w:tc>
          <w:tcPr>
            <w:tcW w:w="0" w:type="auto"/>
            <w:gridSpan w:val="3"/>
            <w:shd w:val="clear" w:color="auto" w:fill="auto"/>
            <w:vAlign w:val="bottom"/>
          </w:tcPr>
          <w:p w14:paraId="74DDFCD8" w14:textId="77777777" w:rsidR="00584EC1" w:rsidRDefault="00584EC1">
            <w:pPr>
              <w:rPr>
                <w:rFonts w:ascii="宋体"/>
                <w:vanish/>
              </w:rPr>
            </w:pPr>
          </w:p>
        </w:tc>
        <w:tc>
          <w:tcPr>
            <w:tcW w:w="0" w:type="auto"/>
            <w:gridSpan w:val="3"/>
            <w:shd w:val="clear" w:color="auto" w:fill="auto"/>
            <w:vAlign w:val="bottom"/>
          </w:tcPr>
          <w:p w14:paraId="74DDFCD9" w14:textId="77777777" w:rsidR="00584EC1" w:rsidRDefault="00584EC1">
            <w:pPr>
              <w:rPr>
                <w:rFonts w:ascii="宋体"/>
                <w:vanish/>
              </w:rPr>
            </w:pPr>
          </w:p>
        </w:tc>
      </w:tr>
      <w:tr w:rsidR="00584EC1" w14:paraId="74DDFCEA" w14:textId="77777777">
        <w:tc>
          <w:tcPr>
            <w:tcW w:w="0" w:type="auto"/>
            <w:gridSpan w:val="3"/>
            <w:shd w:val="clear" w:color="auto" w:fill="auto"/>
            <w:tcMar>
              <w:top w:w="40" w:type="dxa"/>
              <w:left w:w="20" w:type="dxa"/>
              <w:bottom w:w="40" w:type="dxa"/>
              <w:right w:w="20" w:type="dxa"/>
            </w:tcMar>
            <w:vAlign w:val="bottom"/>
          </w:tcPr>
          <w:p w14:paraId="74DDFCDB" w14:textId="77777777" w:rsidR="00584EC1" w:rsidRDefault="00871F8D">
            <w:pPr>
              <w:textAlignment w:val="bottom"/>
            </w:pPr>
            <w:r>
              <w:rPr>
                <w:rFonts w:ascii="Arial" w:eastAsia="宋体" w:hAnsi="Arial" w:cs="Arial"/>
                <w:b/>
                <w:bCs/>
                <w:color w:val="000000"/>
                <w:sz w:val="15"/>
                <w:szCs w:val="15"/>
              </w:rPr>
              <w:t>Liabilities:</w:t>
            </w:r>
          </w:p>
        </w:tc>
        <w:tc>
          <w:tcPr>
            <w:tcW w:w="0" w:type="auto"/>
            <w:gridSpan w:val="27"/>
            <w:tcBorders>
              <w:bottom w:val="single" w:sz="8" w:space="0" w:color="000000"/>
            </w:tcBorders>
            <w:shd w:val="clear" w:color="auto" w:fill="auto"/>
            <w:tcMar>
              <w:top w:w="40" w:type="dxa"/>
              <w:left w:w="20" w:type="dxa"/>
              <w:bottom w:w="40" w:type="dxa"/>
              <w:right w:w="20" w:type="dxa"/>
            </w:tcMar>
            <w:vAlign w:val="bottom"/>
          </w:tcPr>
          <w:p w14:paraId="74DDFCDC" w14:textId="77777777" w:rsidR="00584EC1" w:rsidRDefault="00871F8D">
            <w:pPr>
              <w:jc w:val="center"/>
              <w:textAlignment w:val="bottom"/>
            </w:pPr>
            <w:r>
              <w:rPr>
                <w:rFonts w:ascii="Arial" w:eastAsia="宋体" w:hAnsi="Arial" w:cs="Arial"/>
                <w:b/>
                <w:bCs/>
                <w:color w:val="000000"/>
                <w:sz w:val="15"/>
                <w:szCs w:val="15"/>
              </w:rPr>
              <w:t>September 30, 2021</w:t>
            </w:r>
          </w:p>
        </w:tc>
        <w:tc>
          <w:tcPr>
            <w:tcW w:w="0" w:type="auto"/>
            <w:shd w:val="clear" w:color="auto" w:fill="auto"/>
            <w:vAlign w:val="bottom"/>
          </w:tcPr>
          <w:p w14:paraId="74DDFCDD" w14:textId="77777777" w:rsidR="00584EC1" w:rsidRDefault="00584EC1">
            <w:pPr>
              <w:rPr>
                <w:rFonts w:ascii="宋体"/>
                <w:vanish/>
              </w:rPr>
            </w:pPr>
          </w:p>
        </w:tc>
        <w:tc>
          <w:tcPr>
            <w:tcW w:w="0" w:type="auto"/>
            <w:shd w:val="clear" w:color="auto" w:fill="auto"/>
            <w:vAlign w:val="bottom"/>
          </w:tcPr>
          <w:p w14:paraId="74DDFCDE" w14:textId="77777777" w:rsidR="00584EC1" w:rsidRDefault="00584EC1">
            <w:pPr>
              <w:rPr>
                <w:rFonts w:ascii="宋体"/>
              </w:rPr>
            </w:pPr>
          </w:p>
        </w:tc>
        <w:tc>
          <w:tcPr>
            <w:tcW w:w="0" w:type="auto"/>
            <w:shd w:val="clear" w:color="auto" w:fill="auto"/>
            <w:vAlign w:val="bottom"/>
          </w:tcPr>
          <w:p w14:paraId="74DDFCDF" w14:textId="77777777" w:rsidR="00584EC1" w:rsidRDefault="00584EC1">
            <w:pPr>
              <w:rPr>
                <w:rFonts w:ascii="宋体"/>
              </w:rPr>
            </w:pPr>
          </w:p>
        </w:tc>
        <w:tc>
          <w:tcPr>
            <w:tcW w:w="0" w:type="auto"/>
            <w:shd w:val="clear" w:color="auto" w:fill="auto"/>
            <w:vAlign w:val="bottom"/>
          </w:tcPr>
          <w:p w14:paraId="74DDFCE0" w14:textId="77777777" w:rsidR="00584EC1" w:rsidRDefault="00584EC1">
            <w:pPr>
              <w:rPr>
                <w:rFonts w:ascii="宋体"/>
              </w:rPr>
            </w:pPr>
          </w:p>
        </w:tc>
        <w:tc>
          <w:tcPr>
            <w:tcW w:w="0" w:type="auto"/>
            <w:shd w:val="clear" w:color="auto" w:fill="auto"/>
            <w:vAlign w:val="bottom"/>
          </w:tcPr>
          <w:p w14:paraId="74DDFCE1" w14:textId="77777777" w:rsidR="00584EC1" w:rsidRDefault="00584EC1">
            <w:pPr>
              <w:rPr>
                <w:rFonts w:ascii="宋体"/>
              </w:rPr>
            </w:pPr>
          </w:p>
        </w:tc>
        <w:tc>
          <w:tcPr>
            <w:tcW w:w="0" w:type="auto"/>
            <w:shd w:val="clear" w:color="auto" w:fill="auto"/>
            <w:vAlign w:val="bottom"/>
          </w:tcPr>
          <w:p w14:paraId="74DDFCE2" w14:textId="77777777" w:rsidR="00584EC1" w:rsidRDefault="00584EC1">
            <w:pPr>
              <w:rPr>
                <w:rFonts w:ascii="宋体"/>
              </w:rPr>
            </w:pPr>
          </w:p>
        </w:tc>
        <w:tc>
          <w:tcPr>
            <w:tcW w:w="0" w:type="auto"/>
            <w:shd w:val="clear" w:color="auto" w:fill="auto"/>
            <w:vAlign w:val="bottom"/>
          </w:tcPr>
          <w:p w14:paraId="74DDFCE3" w14:textId="77777777" w:rsidR="00584EC1" w:rsidRDefault="00584EC1">
            <w:pPr>
              <w:rPr>
                <w:rFonts w:ascii="宋体"/>
              </w:rPr>
            </w:pPr>
          </w:p>
        </w:tc>
        <w:tc>
          <w:tcPr>
            <w:tcW w:w="0" w:type="auto"/>
            <w:shd w:val="clear" w:color="auto" w:fill="auto"/>
            <w:vAlign w:val="bottom"/>
          </w:tcPr>
          <w:p w14:paraId="74DDFCE4" w14:textId="77777777" w:rsidR="00584EC1" w:rsidRDefault="00584EC1">
            <w:pPr>
              <w:rPr>
                <w:rFonts w:ascii="宋体"/>
              </w:rPr>
            </w:pPr>
          </w:p>
        </w:tc>
        <w:tc>
          <w:tcPr>
            <w:tcW w:w="0" w:type="auto"/>
            <w:shd w:val="clear" w:color="auto" w:fill="auto"/>
            <w:vAlign w:val="bottom"/>
          </w:tcPr>
          <w:p w14:paraId="74DDFCE5" w14:textId="77777777" w:rsidR="00584EC1" w:rsidRDefault="00584EC1">
            <w:pPr>
              <w:rPr>
                <w:rFonts w:ascii="宋体"/>
              </w:rPr>
            </w:pPr>
          </w:p>
        </w:tc>
        <w:tc>
          <w:tcPr>
            <w:tcW w:w="0" w:type="auto"/>
            <w:shd w:val="clear" w:color="auto" w:fill="auto"/>
            <w:vAlign w:val="bottom"/>
          </w:tcPr>
          <w:p w14:paraId="74DDFCE6" w14:textId="77777777" w:rsidR="00584EC1" w:rsidRDefault="00584EC1">
            <w:pPr>
              <w:rPr>
                <w:rFonts w:ascii="宋体"/>
              </w:rPr>
            </w:pPr>
          </w:p>
        </w:tc>
        <w:tc>
          <w:tcPr>
            <w:tcW w:w="0" w:type="auto"/>
            <w:shd w:val="clear" w:color="auto" w:fill="auto"/>
            <w:vAlign w:val="bottom"/>
          </w:tcPr>
          <w:p w14:paraId="74DDFCE7" w14:textId="77777777" w:rsidR="00584EC1" w:rsidRDefault="00584EC1">
            <w:pPr>
              <w:rPr>
                <w:rFonts w:ascii="宋体"/>
              </w:rPr>
            </w:pPr>
          </w:p>
        </w:tc>
        <w:tc>
          <w:tcPr>
            <w:tcW w:w="0" w:type="auto"/>
            <w:shd w:val="clear" w:color="auto" w:fill="auto"/>
            <w:vAlign w:val="bottom"/>
          </w:tcPr>
          <w:p w14:paraId="74DDFCE8" w14:textId="77777777" w:rsidR="00584EC1" w:rsidRDefault="00584EC1">
            <w:pPr>
              <w:rPr>
                <w:rFonts w:ascii="宋体"/>
              </w:rPr>
            </w:pPr>
          </w:p>
        </w:tc>
        <w:tc>
          <w:tcPr>
            <w:tcW w:w="0" w:type="auto"/>
            <w:shd w:val="clear" w:color="auto" w:fill="auto"/>
            <w:vAlign w:val="bottom"/>
          </w:tcPr>
          <w:p w14:paraId="74DDFCE9" w14:textId="77777777" w:rsidR="00584EC1" w:rsidRDefault="00584EC1">
            <w:pPr>
              <w:rPr>
                <w:rFonts w:ascii="宋体"/>
              </w:rPr>
            </w:pPr>
          </w:p>
        </w:tc>
      </w:tr>
      <w:tr w:rsidR="00584EC1" w14:paraId="74DDFCF8" w14:textId="77777777">
        <w:trPr>
          <w:trHeight w:val="400"/>
        </w:trPr>
        <w:tc>
          <w:tcPr>
            <w:tcW w:w="0" w:type="auto"/>
            <w:gridSpan w:val="3"/>
            <w:shd w:val="clear" w:color="auto" w:fill="auto"/>
            <w:tcMar>
              <w:top w:w="0" w:type="dxa"/>
              <w:left w:w="20" w:type="dxa"/>
              <w:bottom w:w="0" w:type="dxa"/>
              <w:right w:w="20" w:type="dxa"/>
            </w:tcMar>
            <w:vAlign w:val="bottom"/>
          </w:tcPr>
          <w:p w14:paraId="74DDFCEB" w14:textId="77777777" w:rsidR="00584EC1" w:rsidRDefault="00584EC1">
            <w:pPr>
              <w:rPr>
                <w:rFonts w:ascii="宋体"/>
              </w:rPr>
            </w:pPr>
          </w:p>
        </w:tc>
        <w:tc>
          <w:tcPr>
            <w:tcW w:w="0" w:type="auto"/>
            <w:gridSpan w:val="3"/>
            <w:vMerge w:val="restart"/>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4DDFCEC" w14:textId="77777777" w:rsidR="00584EC1" w:rsidRDefault="00871F8D">
            <w:pPr>
              <w:jc w:val="center"/>
              <w:textAlignment w:val="bottom"/>
            </w:pPr>
            <w:r>
              <w:rPr>
                <w:rFonts w:ascii="Arial" w:eastAsia="宋体" w:hAnsi="Arial" w:cs="Arial"/>
                <w:b/>
                <w:bCs/>
                <w:color w:val="000000"/>
                <w:sz w:val="15"/>
                <w:szCs w:val="15"/>
              </w:rPr>
              <w:t>Gross Amounts of Recognized Liabilities</w:t>
            </w:r>
            <w:r>
              <w:rPr>
                <w:rFonts w:ascii="Arial" w:eastAsia="宋体" w:hAnsi="Arial" w:cs="Arial"/>
                <w:b/>
                <w:bCs/>
                <w:color w:val="000000"/>
                <w:sz w:val="9"/>
                <w:szCs w:val="9"/>
              </w:rPr>
              <w:t>(1)(2)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CED" w14:textId="77777777" w:rsidR="00584EC1" w:rsidRDefault="00584EC1">
            <w:pPr>
              <w:rPr>
                <w:rFonts w:ascii="宋体"/>
              </w:rPr>
            </w:pPr>
          </w:p>
        </w:tc>
        <w:tc>
          <w:tcPr>
            <w:tcW w:w="0" w:type="auto"/>
            <w:gridSpan w:val="3"/>
            <w:vMerge w:val="restart"/>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4DDFCEE" w14:textId="77777777" w:rsidR="00584EC1" w:rsidRDefault="00871F8D">
            <w:pPr>
              <w:jc w:val="center"/>
              <w:textAlignment w:val="bottom"/>
            </w:pPr>
            <w:r>
              <w:rPr>
                <w:rFonts w:ascii="Arial" w:eastAsia="宋体" w:hAnsi="Arial" w:cs="Arial"/>
                <w:b/>
                <w:bCs/>
                <w:color w:val="000000"/>
                <w:sz w:val="15"/>
                <w:szCs w:val="15"/>
              </w:rPr>
              <w:t xml:space="preserve">Gross Amounts Offset in Statement of </w:t>
            </w:r>
            <w:r>
              <w:rPr>
                <w:rFonts w:ascii="Arial" w:eastAsia="宋体" w:hAnsi="Arial" w:cs="Arial"/>
                <w:b/>
                <w:bCs/>
                <w:color w:val="000000"/>
                <w:sz w:val="15"/>
                <w:szCs w:val="15"/>
              </w:rPr>
              <w:t>Condition</w:t>
            </w:r>
            <w:r>
              <w:rPr>
                <w:rFonts w:ascii="Arial" w:eastAsia="宋体" w:hAnsi="Arial" w:cs="Arial"/>
                <w:b/>
                <w:bCs/>
                <w:color w:val="000000"/>
                <w:sz w:val="9"/>
                <w:szCs w:val="9"/>
              </w:rPr>
              <w:t>(3)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CEF" w14:textId="77777777" w:rsidR="00584EC1" w:rsidRDefault="00584EC1">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4DDFCF0" w14:textId="77777777" w:rsidR="00584EC1" w:rsidRDefault="00871F8D">
            <w:pPr>
              <w:jc w:val="center"/>
              <w:textAlignment w:val="bottom"/>
            </w:pPr>
            <w:r>
              <w:rPr>
                <w:rFonts w:ascii="Arial" w:eastAsia="宋体" w:hAnsi="Arial" w:cs="Arial"/>
                <w:b/>
                <w:bCs/>
                <w:color w:val="000000"/>
                <w:sz w:val="15"/>
                <w:szCs w:val="15"/>
              </w:rPr>
              <w:t>Net Amounts of Liabilities Presented in Statement of Condition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CF1" w14:textId="77777777" w:rsidR="00584EC1" w:rsidRDefault="00584E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4DDFCF2" w14:textId="77777777" w:rsidR="00584EC1" w:rsidRDefault="00871F8D">
            <w:pPr>
              <w:jc w:val="center"/>
              <w:textAlignment w:val="bottom"/>
            </w:pPr>
            <w:r>
              <w:rPr>
                <w:rFonts w:ascii="Arial" w:eastAsia="宋体" w:hAnsi="Arial" w:cs="Arial"/>
                <w:b/>
                <w:bCs/>
                <w:color w:val="000000"/>
                <w:sz w:val="15"/>
                <w:szCs w:val="15"/>
              </w:rPr>
              <w:t>Gross Amounts Not Offset in Statement of Condition</w:t>
            </w:r>
          </w:p>
        </w:tc>
        <w:tc>
          <w:tcPr>
            <w:tcW w:w="0" w:type="auto"/>
            <w:shd w:val="clear" w:color="auto" w:fill="auto"/>
            <w:vAlign w:val="bottom"/>
          </w:tcPr>
          <w:p w14:paraId="74DDFCF3" w14:textId="77777777" w:rsidR="00584EC1" w:rsidRDefault="00584EC1">
            <w:pPr>
              <w:rPr>
                <w:rFonts w:ascii="宋体"/>
                <w:vanish/>
              </w:rPr>
            </w:pPr>
          </w:p>
        </w:tc>
        <w:tc>
          <w:tcPr>
            <w:tcW w:w="0" w:type="auto"/>
            <w:gridSpan w:val="3"/>
            <w:shd w:val="clear" w:color="auto" w:fill="auto"/>
            <w:vAlign w:val="bottom"/>
          </w:tcPr>
          <w:p w14:paraId="74DDFCF4" w14:textId="77777777" w:rsidR="00584EC1" w:rsidRDefault="00584EC1">
            <w:pPr>
              <w:rPr>
                <w:rFonts w:ascii="宋体"/>
                <w:vanish/>
              </w:rPr>
            </w:pPr>
          </w:p>
        </w:tc>
        <w:tc>
          <w:tcPr>
            <w:tcW w:w="0" w:type="auto"/>
            <w:gridSpan w:val="3"/>
            <w:shd w:val="clear" w:color="auto" w:fill="auto"/>
            <w:vAlign w:val="bottom"/>
          </w:tcPr>
          <w:p w14:paraId="74DDFCF5" w14:textId="77777777" w:rsidR="00584EC1" w:rsidRDefault="00584EC1">
            <w:pPr>
              <w:rPr>
                <w:rFonts w:ascii="宋体"/>
                <w:vanish/>
              </w:rPr>
            </w:pPr>
          </w:p>
        </w:tc>
        <w:tc>
          <w:tcPr>
            <w:tcW w:w="0" w:type="auto"/>
            <w:gridSpan w:val="3"/>
            <w:shd w:val="clear" w:color="auto" w:fill="auto"/>
            <w:vAlign w:val="bottom"/>
          </w:tcPr>
          <w:p w14:paraId="74DDFCF6" w14:textId="77777777" w:rsidR="00584EC1" w:rsidRDefault="00584EC1">
            <w:pPr>
              <w:rPr>
                <w:rFonts w:ascii="宋体"/>
                <w:vanish/>
              </w:rPr>
            </w:pPr>
          </w:p>
        </w:tc>
        <w:tc>
          <w:tcPr>
            <w:tcW w:w="0" w:type="auto"/>
            <w:gridSpan w:val="3"/>
            <w:shd w:val="clear" w:color="auto" w:fill="auto"/>
            <w:vAlign w:val="bottom"/>
          </w:tcPr>
          <w:p w14:paraId="74DDFCF7" w14:textId="77777777" w:rsidR="00584EC1" w:rsidRDefault="00584EC1">
            <w:pPr>
              <w:rPr>
                <w:rFonts w:ascii="宋体"/>
                <w:vanish/>
              </w:rPr>
            </w:pPr>
          </w:p>
        </w:tc>
      </w:tr>
      <w:tr w:rsidR="00584EC1" w14:paraId="74DDFD08" w14:textId="77777777">
        <w:trPr>
          <w:trHeight w:val="540"/>
        </w:trPr>
        <w:tc>
          <w:tcPr>
            <w:tcW w:w="0" w:type="auto"/>
            <w:gridSpan w:val="3"/>
            <w:shd w:val="clear" w:color="auto" w:fill="auto"/>
            <w:tcMar>
              <w:top w:w="40" w:type="dxa"/>
              <w:left w:w="20" w:type="dxa"/>
              <w:bottom w:w="40" w:type="dxa"/>
              <w:right w:w="20" w:type="dxa"/>
            </w:tcMar>
            <w:vAlign w:val="bottom"/>
          </w:tcPr>
          <w:p w14:paraId="74DDFCF9" w14:textId="77777777" w:rsidR="00584EC1" w:rsidRDefault="00871F8D">
            <w:pPr>
              <w:textAlignment w:val="bottom"/>
            </w:pPr>
            <w:r>
              <w:rPr>
                <w:rFonts w:ascii="Arial" w:eastAsia="宋体" w:hAnsi="Arial" w:cs="Arial"/>
                <w:b/>
                <w:bCs/>
                <w:color w:val="000000"/>
                <w:sz w:val="15"/>
                <w:szCs w:val="15"/>
              </w:rPr>
              <w:t>(In millions)</w:t>
            </w:r>
          </w:p>
        </w:tc>
        <w:tc>
          <w:tcPr>
            <w:tcW w:w="0" w:type="auto"/>
            <w:gridSpan w:val="3"/>
            <w:vMerge/>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4DDFCFA"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CFB" w14:textId="77777777" w:rsidR="00584EC1" w:rsidRDefault="00584EC1">
            <w:pPr>
              <w:rPr>
                <w:rFonts w:ascii="宋体"/>
              </w:rPr>
            </w:pPr>
          </w:p>
        </w:tc>
        <w:tc>
          <w:tcPr>
            <w:tcW w:w="0" w:type="auto"/>
            <w:gridSpan w:val="3"/>
            <w:vMerge/>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4DDFCFC"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CFD" w14:textId="77777777" w:rsidR="00584EC1" w:rsidRDefault="00584EC1">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4DDFCFE" w14:textId="77777777" w:rsidR="00584EC1" w:rsidRDefault="00584EC1">
            <w:pPr>
              <w:jc w:val="center"/>
              <w:rPr>
                <w:rFonts w:ascii="宋体"/>
              </w:rPr>
            </w:pPr>
          </w:p>
        </w:tc>
        <w:tc>
          <w:tcPr>
            <w:tcW w:w="0" w:type="auto"/>
            <w:gridSpan w:val="3"/>
            <w:shd w:val="clear" w:color="auto" w:fill="auto"/>
            <w:tcMar>
              <w:top w:w="0" w:type="dxa"/>
              <w:left w:w="20" w:type="dxa"/>
              <w:bottom w:w="0" w:type="dxa"/>
              <w:right w:w="20" w:type="dxa"/>
            </w:tcMar>
            <w:vAlign w:val="bottom"/>
          </w:tcPr>
          <w:p w14:paraId="74DDFCFF"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FD00" w14:textId="77777777" w:rsidR="00584EC1" w:rsidRDefault="00871F8D">
            <w:pPr>
              <w:jc w:val="center"/>
              <w:textAlignment w:val="bottom"/>
            </w:pPr>
            <w:r>
              <w:rPr>
                <w:rFonts w:ascii="Arial" w:eastAsia="宋体" w:hAnsi="Arial" w:cs="Arial"/>
                <w:b/>
                <w:bCs/>
                <w:color w:val="000000"/>
                <w:sz w:val="15"/>
                <w:szCs w:val="15"/>
              </w:rPr>
              <w:t>Cash and Securities Received</w:t>
            </w:r>
            <w:r>
              <w:rPr>
                <w:rFonts w:ascii="Arial" w:eastAsia="宋体" w:hAnsi="Arial" w:cs="Arial"/>
                <w:b/>
                <w:bCs/>
                <w:color w:val="000000"/>
                <w:sz w:val="9"/>
                <w:szCs w:val="9"/>
              </w:rPr>
              <w:t>(4)</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D01"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FD02" w14:textId="77777777" w:rsidR="00584EC1" w:rsidRDefault="00871F8D">
            <w:pPr>
              <w:jc w:val="center"/>
              <w:textAlignment w:val="bottom"/>
            </w:pPr>
            <w:r>
              <w:rPr>
                <w:rFonts w:ascii="Arial" w:eastAsia="宋体" w:hAnsi="Arial" w:cs="Arial"/>
                <w:b/>
                <w:bCs/>
                <w:color w:val="000000"/>
                <w:sz w:val="15"/>
                <w:szCs w:val="15"/>
              </w:rPr>
              <w:t>Net Amount</w:t>
            </w:r>
            <w:r>
              <w:rPr>
                <w:rFonts w:ascii="Arial" w:eastAsia="宋体" w:hAnsi="Arial" w:cs="Arial"/>
                <w:b/>
                <w:bCs/>
                <w:color w:val="000000"/>
                <w:sz w:val="9"/>
                <w:szCs w:val="9"/>
              </w:rPr>
              <w:t>(5)</w:t>
            </w:r>
          </w:p>
        </w:tc>
        <w:tc>
          <w:tcPr>
            <w:tcW w:w="0" w:type="auto"/>
            <w:shd w:val="clear" w:color="auto" w:fill="auto"/>
            <w:vAlign w:val="bottom"/>
          </w:tcPr>
          <w:p w14:paraId="74DDFD03" w14:textId="77777777" w:rsidR="00584EC1" w:rsidRDefault="00584EC1">
            <w:pPr>
              <w:rPr>
                <w:rFonts w:ascii="宋体"/>
                <w:vanish/>
              </w:rPr>
            </w:pPr>
          </w:p>
        </w:tc>
        <w:tc>
          <w:tcPr>
            <w:tcW w:w="0" w:type="auto"/>
            <w:gridSpan w:val="3"/>
            <w:shd w:val="clear" w:color="auto" w:fill="auto"/>
            <w:vAlign w:val="bottom"/>
          </w:tcPr>
          <w:p w14:paraId="74DDFD04" w14:textId="77777777" w:rsidR="00584EC1" w:rsidRDefault="00584EC1">
            <w:pPr>
              <w:rPr>
                <w:rFonts w:ascii="宋体"/>
                <w:vanish/>
              </w:rPr>
            </w:pPr>
          </w:p>
        </w:tc>
        <w:tc>
          <w:tcPr>
            <w:tcW w:w="0" w:type="auto"/>
            <w:gridSpan w:val="3"/>
            <w:shd w:val="clear" w:color="auto" w:fill="auto"/>
            <w:vAlign w:val="bottom"/>
          </w:tcPr>
          <w:p w14:paraId="74DDFD05" w14:textId="77777777" w:rsidR="00584EC1" w:rsidRDefault="00584EC1">
            <w:pPr>
              <w:rPr>
                <w:rFonts w:ascii="宋体"/>
                <w:vanish/>
              </w:rPr>
            </w:pPr>
          </w:p>
        </w:tc>
        <w:tc>
          <w:tcPr>
            <w:tcW w:w="0" w:type="auto"/>
            <w:gridSpan w:val="3"/>
            <w:shd w:val="clear" w:color="auto" w:fill="auto"/>
            <w:vAlign w:val="bottom"/>
          </w:tcPr>
          <w:p w14:paraId="74DDFD06" w14:textId="77777777" w:rsidR="00584EC1" w:rsidRDefault="00584EC1">
            <w:pPr>
              <w:rPr>
                <w:rFonts w:ascii="宋体"/>
                <w:vanish/>
              </w:rPr>
            </w:pPr>
          </w:p>
        </w:tc>
        <w:tc>
          <w:tcPr>
            <w:tcW w:w="0" w:type="auto"/>
            <w:gridSpan w:val="3"/>
            <w:shd w:val="clear" w:color="auto" w:fill="auto"/>
            <w:vAlign w:val="bottom"/>
          </w:tcPr>
          <w:p w14:paraId="74DDFD07" w14:textId="77777777" w:rsidR="00584EC1" w:rsidRDefault="00584EC1">
            <w:pPr>
              <w:rPr>
                <w:rFonts w:ascii="宋体"/>
                <w:vanish/>
              </w:rPr>
            </w:pPr>
          </w:p>
        </w:tc>
      </w:tr>
      <w:tr w:rsidR="00584EC1" w14:paraId="74DDFD15" w14:textId="77777777">
        <w:tc>
          <w:tcPr>
            <w:tcW w:w="0" w:type="auto"/>
            <w:gridSpan w:val="12"/>
            <w:shd w:val="clear" w:color="auto" w:fill="auto"/>
            <w:tcMar>
              <w:top w:w="40" w:type="dxa"/>
              <w:left w:w="20" w:type="dxa"/>
              <w:bottom w:w="40" w:type="dxa"/>
              <w:right w:w="20" w:type="dxa"/>
            </w:tcMar>
            <w:vAlign w:val="bottom"/>
          </w:tcPr>
          <w:p w14:paraId="74DDFD09" w14:textId="77777777" w:rsidR="00584EC1" w:rsidRDefault="00871F8D">
            <w:pPr>
              <w:textAlignment w:val="bottom"/>
            </w:pPr>
            <w:r>
              <w:rPr>
                <w:rFonts w:ascii="Arial" w:eastAsia="宋体" w:hAnsi="Arial" w:cs="Arial"/>
                <w:b/>
                <w:bCs/>
                <w:color w:val="000000"/>
                <w:sz w:val="15"/>
                <w:szCs w:val="15"/>
              </w:rPr>
              <w:t>Derivatives:</w:t>
            </w:r>
          </w:p>
        </w:tc>
        <w:tc>
          <w:tcPr>
            <w:tcW w:w="0" w:type="auto"/>
            <w:gridSpan w:val="3"/>
            <w:shd w:val="clear" w:color="auto" w:fill="auto"/>
            <w:tcMar>
              <w:top w:w="0" w:type="dxa"/>
              <w:left w:w="20" w:type="dxa"/>
              <w:bottom w:w="0" w:type="dxa"/>
              <w:right w:w="20" w:type="dxa"/>
            </w:tcMar>
            <w:vAlign w:val="bottom"/>
          </w:tcPr>
          <w:p w14:paraId="74DDFD0A"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D0B"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D0C"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D0D"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D0E"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D0F" w14:textId="77777777" w:rsidR="00584EC1" w:rsidRDefault="00584EC1">
            <w:pPr>
              <w:rPr>
                <w:rFonts w:ascii="宋体"/>
              </w:rPr>
            </w:pPr>
          </w:p>
        </w:tc>
        <w:tc>
          <w:tcPr>
            <w:tcW w:w="0" w:type="auto"/>
            <w:shd w:val="clear" w:color="auto" w:fill="auto"/>
            <w:vAlign w:val="bottom"/>
          </w:tcPr>
          <w:p w14:paraId="74DDFD10" w14:textId="77777777" w:rsidR="00584EC1" w:rsidRDefault="00584EC1">
            <w:pPr>
              <w:rPr>
                <w:rFonts w:ascii="宋体"/>
                <w:vanish/>
              </w:rPr>
            </w:pPr>
          </w:p>
        </w:tc>
        <w:tc>
          <w:tcPr>
            <w:tcW w:w="0" w:type="auto"/>
            <w:gridSpan w:val="3"/>
            <w:shd w:val="clear" w:color="auto" w:fill="auto"/>
            <w:vAlign w:val="bottom"/>
          </w:tcPr>
          <w:p w14:paraId="74DDFD11" w14:textId="77777777" w:rsidR="00584EC1" w:rsidRDefault="00584EC1">
            <w:pPr>
              <w:rPr>
                <w:rFonts w:ascii="宋体"/>
                <w:vanish/>
              </w:rPr>
            </w:pPr>
          </w:p>
        </w:tc>
        <w:tc>
          <w:tcPr>
            <w:tcW w:w="0" w:type="auto"/>
            <w:gridSpan w:val="3"/>
            <w:shd w:val="clear" w:color="auto" w:fill="auto"/>
            <w:vAlign w:val="bottom"/>
          </w:tcPr>
          <w:p w14:paraId="74DDFD12" w14:textId="77777777" w:rsidR="00584EC1" w:rsidRDefault="00584EC1">
            <w:pPr>
              <w:rPr>
                <w:rFonts w:ascii="宋体"/>
                <w:vanish/>
              </w:rPr>
            </w:pPr>
          </w:p>
        </w:tc>
        <w:tc>
          <w:tcPr>
            <w:tcW w:w="0" w:type="auto"/>
            <w:gridSpan w:val="3"/>
            <w:shd w:val="clear" w:color="auto" w:fill="auto"/>
            <w:vAlign w:val="bottom"/>
          </w:tcPr>
          <w:p w14:paraId="74DDFD13" w14:textId="77777777" w:rsidR="00584EC1" w:rsidRDefault="00584EC1">
            <w:pPr>
              <w:rPr>
                <w:rFonts w:ascii="宋体"/>
                <w:vanish/>
              </w:rPr>
            </w:pPr>
          </w:p>
        </w:tc>
        <w:tc>
          <w:tcPr>
            <w:tcW w:w="0" w:type="auto"/>
            <w:gridSpan w:val="3"/>
            <w:shd w:val="clear" w:color="auto" w:fill="auto"/>
            <w:vAlign w:val="bottom"/>
          </w:tcPr>
          <w:p w14:paraId="74DDFD14" w14:textId="77777777" w:rsidR="00584EC1" w:rsidRDefault="00584EC1">
            <w:pPr>
              <w:rPr>
                <w:rFonts w:ascii="宋体"/>
                <w:vanish/>
              </w:rPr>
            </w:pPr>
          </w:p>
        </w:tc>
      </w:tr>
      <w:tr w:rsidR="00584EC1" w14:paraId="74DDFD2F" w14:textId="77777777">
        <w:tc>
          <w:tcPr>
            <w:tcW w:w="0" w:type="auto"/>
            <w:gridSpan w:val="3"/>
            <w:shd w:val="clear" w:color="auto" w:fill="CCEEFF"/>
            <w:tcMar>
              <w:top w:w="40" w:type="dxa"/>
              <w:left w:w="20" w:type="dxa"/>
              <w:bottom w:w="40" w:type="dxa"/>
              <w:right w:w="20" w:type="dxa"/>
            </w:tcMar>
            <w:vAlign w:val="bottom"/>
          </w:tcPr>
          <w:p w14:paraId="74DDFD16" w14:textId="77777777" w:rsidR="00584EC1" w:rsidRDefault="00871F8D">
            <w:pPr>
              <w:textAlignment w:val="bottom"/>
            </w:pPr>
            <w:r>
              <w:rPr>
                <w:rFonts w:ascii="Arial" w:eastAsia="宋体" w:hAnsi="Arial" w:cs="Arial"/>
                <w:color w:val="000000"/>
                <w:sz w:val="15"/>
                <w:szCs w:val="15"/>
              </w:rPr>
              <w:t>Foreign exchange contracts</w:t>
            </w:r>
          </w:p>
        </w:tc>
        <w:tc>
          <w:tcPr>
            <w:tcW w:w="0" w:type="auto"/>
            <w:shd w:val="clear" w:color="auto" w:fill="CCEEFF"/>
            <w:tcMar>
              <w:top w:w="40" w:type="dxa"/>
              <w:left w:w="20" w:type="dxa"/>
              <w:bottom w:w="40" w:type="dxa"/>
              <w:right w:w="0" w:type="dxa"/>
            </w:tcMar>
            <w:vAlign w:val="bottom"/>
          </w:tcPr>
          <w:p w14:paraId="74DDFD17" w14:textId="77777777" w:rsidR="00584EC1" w:rsidRDefault="00871F8D">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4DDFD18" w14:textId="77777777" w:rsidR="00584EC1" w:rsidRDefault="00871F8D">
            <w:pPr>
              <w:jc w:val="right"/>
              <w:textAlignment w:val="bottom"/>
            </w:pPr>
            <w:r>
              <w:rPr>
                <w:rFonts w:ascii="Arial" w:eastAsia="宋体" w:hAnsi="Arial" w:cs="Arial"/>
                <w:b/>
                <w:bCs/>
                <w:color w:val="000000"/>
                <w:sz w:val="15"/>
                <w:szCs w:val="15"/>
              </w:rPr>
              <w:t>15,735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FD1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D1A"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FD1B" w14:textId="77777777" w:rsidR="00584EC1" w:rsidRDefault="00871F8D">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4DDFD1C" w14:textId="77777777" w:rsidR="00584EC1" w:rsidRDefault="00871F8D">
            <w:pPr>
              <w:jc w:val="right"/>
              <w:textAlignment w:val="bottom"/>
            </w:pPr>
            <w:r>
              <w:rPr>
                <w:rFonts w:ascii="Arial" w:eastAsia="宋体" w:hAnsi="Arial" w:cs="Arial"/>
                <w:b/>
                <w:bCs/>
                <w:color w:val="000000"/>
                <w:sz w:val="15"/>
                <w:szCs w:val="15"/>
              </w:rPr>
              <w:t>(7,663)</w:t>
            </w:r>
          </w:p>
        </w:tc>
        <w:tc>
          <w:tcPr>
            <w:tcW w:w="0" w:type="auto"/>
            <w:shd w:val="clear" w:color="auto" w:fill="CCEEFF"/>
            <w:tcMar>
              <w:top w:w="40" w:type="dxa"/>
              <w:left w:w="0" w:type="dxa"/>
              <w:bottom w:w="40" w:type="dxa"/>
              <w:right w:w="20" w:type="dxa"/>
            </w:tcMar>
            <w:vAlign w:val="bottom"/>
          </w:tcPr>
          <w:p w14:paraId="74DDFD1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D1E"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FD1F" w14:textId="77777777" w:rsidR="00584EC1" w:rsidRDefault="00871F8D">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4DDFD20" w14:textId="77777777" w:rsidR="00584EC1" w:rsidRDefault="00871F8D">
            <w:pPr>
              <w:jc w:val="right"/>
              <w:textAlignment w:val="bottom"/>
            </w:pPr>
            <w:r>
              <w:rPr>
                <w:rFonts w:ascii="Arial" w:eastAsia="宋体" w:hAnsi="Arial" w:cs="Arial"/>
                <w:b/>
                <w:bCs/>
                <w:color w:val="000000"/>
                <w:sz w:val="15"/>
                <w:szCs w:val="15"/>
              </w:rPr>
              <w:t>8,072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FD2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D22"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FD23" w14:textId="77777777" w:rsidR="00584EC1" w:rsidRDefault="00871F8D">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4DDFD24"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FD2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D26"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FD27" w14:textId="77777777" w:rsidR="00584EC1" w:rsidRDefault="00871F8D">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4DDFD28" w14:textId="77777777" w:rsidR="00584EC1" w:rsidRDefault="00871F8D">
            <w:pPr>
              <w:jc w:val="right"/>
              <w:textAlignment w:val="bottom"/>
            </w:pPr>
            <w:r>
              <w:rPr>
                <w:rFonts w:ascii="Arial" w:eastAsia="宋体" w:hAnsi="Arial" w:cs="Arial"/>
                <w:b/>
                <w:bCs/>
                <w:color w:val="000000"/>
                <w:sz w:val="15"/>
                <w:szCs w:val="15"/>
              </w:rPr>
              <w:t>8,072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FD29" w14:textId="77777777" w:rsidR="00584EC1" w:rsidRDefault="00584EC1">
            <w:pPr>
              <w:jc w:val="right"/>
              <w:rPr>
                <w:rFonts w:ascii="宋体"/>
              </w:rPr>
            </w:pPr>
          </w:p>
        </w:tc>
        <w:tc>
          <w:tcPr>
            <w:tcW w:w="0" w:type="auto"/>
            <w:shd w:val="clear" w:color="auto" w:fill="auto"/>
            <w:vAlign w:val="bottom"/>
          </w:tcPr>
          <w:p w14:paraId="74DDFD2A" w14:textId="77777777" w:rsidR="00584EC1" w:rsidRDefault="00584EC1">
            <w:pPr>
              <w:rPr>
                <w:rFonts w:ascii="宋体"/>
                <w:vanish/>
              </w:rPr>
            </w:pPr>
          </w:p>
        </w:tc>
        <w:tc>
          <w:tcPr>
            <w:tcW w:w="0" w:type="auto"/>
            <w:gridSpan w:val="3"/>
            <w:shd w:val="clear" w:color="auto" w:fill="auto"/>
            <w:vAlign w:val="bottom"/>
          </w:tcPr>
          <w:p w14:paraId="74DDFD2B" w14:textId="77777777" w:rsidR="00584EC1" w:rsidRDefault="00584EC1">
            <w:pPr>
              <w:rPr>
                <w:rFonts w:ascii="宋体"/>
                <w:vanish/>
              </w:rPr>
            </w:pPr>
          </w:p>
        </w:tc>
        <w:tc>
          <w:tcPr>
            <w:tcW w:w="0" w:type="auto"/>
            <w:gridSpan w:val="3"/>
            <w:shd w:val="clear" w:color="auto" w:fill="auto"/>
            <w:vAlign w:val="bottom"/>
          </w:tcPr>
          <w:p w14:paraId="74DDFD2C" w14:textId="77777777" w:rsidR="00584EC1" w:rsidRDefault="00584EC1">
            <w:pPr>
              <w:rPr>
                <w:rFonts w:ascii="宋体"/>
                <w:vanish/>
              </w:rPr>
            </w:pPr>
          </w:p>
        </w:tc>
        <w:tc>
          <w:tcPr>
            <w:tcW w:w="0" w:type="auto"/>
            <w:gridSpan w:val="3"/>
            <w:shd w:val="clear" w:color="auto" w:fill="auto"/>
            <w:vAlign w:val="bottom"/>
          </w:tcPr>
          <w:p w14:paraId="74DDFD2D" w14:textId="77777777" w:rsidR="00584EC1" w:rsidRDefault="00584EC1">
            <w:pPr>
              <w:rPr>
                <w:rFonts w:ascii="宋体"/>
                <w:vanish/>
              </w:rPr>
            </w:pPr>
          </w:p>
        </w:tc>
        <w:tc>
          <w:tcPr>
            <w:tcW w:w="0" w:type="auto"/>
            <w:gridSpan w:val="3"/>
            <w:shd w:val="clear" w:color="auto" w:fill="auto"/>
            <w:vAlign w:val="bottom"/>
          </w:tcPr>
          <w:p w14:paraId="74DDFD2E" w14:textId="77777777" w:rsidR="00584EC1" w:rsidRDefault="00584EC1">
            <w:pPr>
              <w:rPr>
                <w:rFonts w:ascii="宋体"/>
                <w:vanish/>
              </w:rPr>
            </w:pPr>
          </w:p>
        </w:tc>
      </w:tr>
      <w:tr w:rsidR="00584EC1" w14:paraId="74DDFD44" w14:textId="77777777">
        <w:tc>
          <w:tcPr>
            <w:tcW w:w="0" w:type="auto"/>
            <w:gridSpan w:val="3"/>
            <w:shd w:val="clear" w:color="auto" w:fill="FFFFFF"/>
            <w:tcMar>
              <w:top w:w="40" w:type="dxa"/>
              <w:left w:w="20" w:type="dxa"/>
              <w:bottom w:w="40" w:type="dxa"/>
              <w:right w:w="20" w:type="dxa"/>
            </w:tcMar>
            <w:vAlign w:val="bottom"/>
          </w:tcPr>
          <w:p w14:paraId="74DDFD30" w14:textId="77777777" w:rsidR="00584EC1" w:rsidRDefault="00871F8D">
            <w:pPr>
              <w:textAlignment w:val="bottom"/>
            </w:pPr>
            <w:r>
              <w:rPr>
                <w:rFonts w:ascii="Arial" w:eastAsia="宋体" w:hAnsi="Arial" w:cs="Arial"/>
                <w:color w:val="000000"/>
                <w:sz w:val="15"/>
                <w:szCs w:val="15"/>
              </w:rPr>
              <w:t>Interest rate contracts</w:t>
            </w:r>
            <w:r>
              <w:rPr>
                <w:rFonts w:ascii="Arial" w:eastAsia="宋体" w:hAnsi="Arial" w:cs="Arial"/>
                <w:color w:val="000000"/>
                <w:sz w:val="9"/>
                <w:szCs w:val="9"/>
              </w:rPr>
              <w:t>(6)</w:t>
            </w:r>
          </w:p>
        </w:tc>
        <w:tc>
          <w:tcPr>
            <w:tcW w:w="0" w:type="auto"/>
            <w:gridSpan w:val="2"/>
            <w:shd w:val="clear" w:color="auto" w:fill="FFFFFF"/>
            <w:tcMar>
              <w:top w:w="40" w:type="dxa"/>
              <w:left w:w="20" w:type="dxa"/>
              <w:bottom w:w="40" w:type="dxa"/>
              <w:right w:w="0" w:type="dxa"/>
            </w:tcMar>
            <w:vAlign w:val="bottom"/>
          </w:tcPr>
          <w:p w14:paraId="74DDFD31" w14:textId="77777777" w:rsidR="00584EC1" w:rsidRDefault="00871F8D">
            <w:pPr>
              <w:jc w:val="right"/>
              <w:textAlignment w:val="bottom"/>
            </w:pPr>
            <w:r>
              <w:rPr>
                <w:rFonts w:ascii="Arial" w:eastAsia="宋体" w:hAnsi="Arial" w:cs="Arial"/>
                <w:b/>
                <w:bCs/>
                <w:color w:val="000000"/>
                <w:sz w:val="15"/>
                <w:szCs w:val="15"/>
              </w:rPr>
              <w:t>27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FD3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D3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D34" w14:textId="77777777" w:rsidR="00584EC1" w:rsidRDefault="00871F8D">
            <w:pPr>
              <w:jc w:val="right"/>
              <w:textAlignment w:val="bottom"/>
            </w:pPr>
            <w:r>
              <w:rPr>
                <w:rFonts w:ascii="Arial" w:eastAsia="宋体" w:hAnsi="Arial" w:cs="Arial"/>
                <w:b/>
                <w:bCs/>
                <w:color w:val="000000"/>
                <w:sz w:val="15"/>
                <w:szCs w:val="15"/>
              </w:rPr>
              <w:t>(4)</w:t>
            </w:r>
          </w:p>
        </w:tc>
        <w:tc>
          <w:tcPr>
            <w:tcW w:w="0" w:type="auto"/>
            <w:shd w:val="clear" w:color="auto" w:fill="FFFFFF"/>
            <w:tcMar>
              <w:top w:w="40" w:type="dxa"/>
              <w:left w:w="0" w:type="dxa"/>
              <w:bottom w:w="40" w:type="dxa"/>
              <w:right w:w="20" w:type="dxa"/>
            </w:tcMar>
            <w:vAlign w:val="bottom"/>
          </w:tcPr>
          <w:p w14:paraId="74DDFD3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D3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D37" w14:textId="77777777" w:rsidR="00584EC1" w:rsidRDefault="00871F8D">
            <w:pPr>
              <w:jc w:val="right"/>
              <w:textAlignment w:val="bottom"/>
            </w:pPr>
            <w:r>
              <w:rPr>
                <w:rFonts w:ascii="Arial" w:eastAsia="宋体" w:hAnsi="Arial" w:cs="Arial"/>
                <w:b/>
                <w:bCs/>
                <w:color w:val="000000"/>
                <w:sz w:val="15"/>
                <w:szCs w:val="15"/>
              </w:rPr>
              <w:t>23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FD3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D3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D3A"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FD3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D3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D3D" w14:textId="77777777" w:rsidR="00584EC1" w:rsidRDefault="00871F8D">
            <w:pPr>
              <w:jc w:val="right"/>
              <w:textAlignment w:val="bottom"/>
            </w:pPr>
            <w:r>
              <w:rPr>
                <w:rFonts w:ascii="Arial" w:eastAsia="宋体" w:hAnsi="Arial" w:cs="Arial"/>
                <w:b/>
                <w:bCs/>
                <w:color w:val="000000"/>
                <w:sz w:val="15"/>
                <w:szCs w:val="15"/>
              </w:rPr>
              <w:t>23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FD3E" w14:textId="77777777" w:rsidR="00584EC1" w:rsidRDefault="00584EC1">
            <w:pPr>
              <w:jc w:val="right"/>
              <w:rPr>
                <w:rFonts w:ascii="宋体"/>
              </w:rPr>
            </w:pPr>
          </w:p>
        </w:tc>
        <w:tc>
          <w:tcPr>
            <w:tcW w:w="0" w:type="auto"/>
            <w:shd w:val="clear" w:color="auto" w:fill="auto"/>
            <w:vAlign w:val="bottom"/>
          </w:tcPr>
          <w:p w14:paraId="74DDFD3F" w14:textId="77777777" w:rsidR="00584EC1" w:rsidRDefault="00584EC1">
            <w:pPr>
              <w:rPr>
                <w:rFonts w:ascii="宋体"/>
                <w:vanish/>
              </w:rPr>
            </w:pPr>
          </w:p>
        </w:tc>
        <w:tc>
          <w:tcPr>
            <w:tcW w:w="0" w:type="auto"/>
            <w:gridSpan w:val="3"/>
            <w:shd w:val="clear" w:color="auto" w:fill="auto"/>
            <w:vAlign w:val="bottom"/>
          </w:tcPr>
          <w:p w14:paraId="74DDFD40" w14:textId="77777777" w:rsidR="00584EC1" w:rsidRDefault="00584EC1">
            <w:pPr>
              <w:rPr>
                <w:rFonts w:ascii="宋体"/>
                <w:vanish/>
              </w:rPr>
            </w:pPr>
          </w:p>
        </w:tc>
        <w:tc>
          <w:tcPr>
            <w:tcW w:w="0" w:type="auto"/>
            <w:gridSpan w:val="3"/>
            <w:shd w:val="clear" w:color="auto" w:fill="auto"/>
            <w:vAlign w:val="bottom"/>
          </w:tcPr>
          <w:p w14:paraId="74DDFD41" w14:textId="77777777" w:rsidR="00584EC1" w:rsidRDefault="00584EC1">
            <w:pPr>
              <w:rPr>
                <w:rFonts w:ascii="宋体"/>
                <w:vanish/>
              </w:rPr>
            </w:pPr>
          </w:p>
        </w:tc>
        <w:tc>
          <w:tcPr>
            <w:tcW w:w="0" w:type="auto"/>
            <w:gridSpan w:val="3"/>
            <w:shd w:val="clear" w:color="auto" w:fill="auto"/>
            <w:vAlign w:val="bottom"/>
          </w:tcPr>
          <w:p w14:paraId="74DDFD42" w14:textId="77777777" w:rsidR="00584EC1" w:rsidRDefault="00584EC1">
            <w:pPr>
              <w:rPr>
                <w:rFonts w:ascii="宋体"/>
                <w:vanish/>
              </w:rPr>
            </w:pPr>
          </w:p>
        </w:tc>
        <w:tc>
          <w:tcPr>
            <w:tcW w:w="0" w:type="auto"/>
            <w:gridSpan w:val="3"/>
            <w:shd w:val="clear" w:color="auto" w:fill="auto"/>
            <w:vAlign w:val="bottom"/>
          </w:tcPr>
          <w:p w14:paraId="74DDFD43" w14:textId="77777777" w:rsidR="00584EC1" w:rsidRDefault="00584EC1">
            <w:pPr>
              <w:rPr>
                <w:rFonts w:ascii="宋体"/>
                <w:vanish/>
              </w:rPr>
            </w:pPr>
          </w:p>
        </w:tc>
      </w:tr>
      <w:tr w:rsidR="00584EC1" w14:paraId="74DDFD59" w14:textId="77777777">
        <w:tc>
          <w:tcPr>
            <w:tcW w:w="0" w:type="auto"/>
            <w:gridSpan w:val="3"/>
            <w:shd w:val="clear" w:color="auto" w:fill="CCEEFF"/>
            <w:tcMar>
              <w:top w:w="40" w:type="dxa"/>
              <w:left w:w="20" w:type="dxa"/>
              <w:bottom w:w="40" w:type="dxa"/>
              <w:right w:w="20" w:type="dxa"/>
            </w:tcMar>
            <w:vAlign w:val="bottom"/>
          </w:tcPr>
          <w:p w14:paraId="74DDFD45" w14:textId="77777777" w:rsidR="00584EC1" w:rsidRDefault="00871F8D">
            <w:pPr>
              <w:textAlignment w:val="bottom"/>
            </w:pPr>
            <w:r>
              <w:rPr>
                <w:rFonts w:ascii="Arial" w:eastAsia="宋体" w:hAnsi="Arial" w:cs="Arial"/>
                <w:color w:val="000000"/>
                <w:sz w:val="15"/>
                <w:szCs w:val="15"/>
              </w:rPr>
              <w:t>Other derivative contracts</w:t>
            </w:r>
          </w:p>
        </w:tc>
        <w:tc>
          <w:tcPr>
            <w:tcW w:w="0" w:type="auto"/>
            <w:gridSpan w:val="2"/>
            <w:shd w:val="clear" w:color="auto" w:fill="CCEEFF"/>
            <w:tcMar>
              <w:top w:w="40" w:type="dxa"/>
              <w:left w:w="20" w:type="dxa"/>
              <w:bottom w:w="40" w:type="dxa"/>
              <w:right w:w="0" w:type="dxa"/>
            </w:tcMar>
            <w:vAlign w:val="bottom"/>
          </w:tcPr>
          <w:p w14:paraId="74DDFD46" w14:textId="77777777" w:rsidR="00584EC1" w:rsidRDefault="00871F8D">
            <w:pPr>
              <w:jc w:val="right"/>
              <w:textAlignment w:val="bottom"/>
            </w:pPr>
            <w:r>
              <w:rPr>
                <w:rFonts w:ascii="Arial" w:eastAsia="宋体" w:hAnsi="Arial" w:cs="Arial"/>
                <w:b/>
                <w:bCs/>
                <w:color w:val="000000"/>
                <w:sz w:val="15"/>
                <w:szCs w:val="15"/>
              </w:rPr>
              <w:t>176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FD4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D48"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FD49"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FD4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D4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FD4C" w14:textId="77777777" w:rsidR="00584EC1" w:rsidRDefault="00871F8D">
            <w:pPr>
              <w:jc w:val="right"/>
              <w:textAlignment w:val="bottom"/>
            </w:pPr>
            <w:r>
              <w:rPr>
                <w:rFonts w:ascii="Arial" w:eastAsia="宋体" w:hAnsi="Arial" w:cs="Arial"/>
                <w:b/>
                <w:bCs/>
                <w:color w:val="000000"/>
                <w:sz w:val="15"/>
                <w:szCs w:val="15"/>
              </w:rPr>
              <w:t>176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FD4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D4E"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FD4F"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FD5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D5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FD52" w14:textId="77777777" w:rsidR="00584EC1" w:rsidRDefault="00871F8D">
            <w:pPr>
              <w:jc w:val="right"/>
              <w:textAlignment w:val="bottom"/>
            </w:pPr>
            <w:r>
              <w:rPr>
                <w:rFonts w:ascii="Arial" w:eastAsia="宋体" w:hAnsi="Arial" w:cs="Arial"/>
                <w:b/>
                <w:bCs/>
                <w:color w:val="000000"/>
                <w:sz w:val="15"/>
                <w:szCs w:val="15"/>
              </w:rPr>
              <w:t>176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FD53" w14:textId="77777777" w:rsidR="00584EC1" w:rsidRDefault="00584EC1">
            <w:pPr>
              <w:jc w:val="right"/>
              <w:rPr>
                <w:rFonts w:ascii="宋体"/>
              </w:rPr>
            </w:pPr>
          </w:p>
        </w:tc>
        <w:tc>
          <w:tcPr>
            <w:tcW w:w="0" w:type="auto"/>
            <w:shd w:val="clear" w:color="auto" w:fill="auto"/>
            <w:vAlign w:val="bottom"/>
          </w:tcPr>
          <w:p w14:paraId="74DDFD54" w14:textId="77777777" w:rsidR="00584EC1" w:rsidRDefault="00584EC1">
            <w:pPr>
              <w:rPr>
                <w:rFonts w:ascii="宋体"/>
                <w:vanish/>
              </w:rPr>
            </w:pPr>
          </w:p>
        </w:tc>
        <w:tc>
          <w:tcPr>
            <w:tcW w:w="0" w:type="auto"/>
            <w:gridSpan w:val="3"/>
            <w:shd w:val="clear" w:color="auto" w:fill="auto"/>
            <w:vAlign w:val="bottom"/>
          </w:tcPr>
          <w:p w14:paraId="74DDFD55" w14:textId="77777777" w:rsidR="00584EC1" w:rsidRDefault="00584EC1">
            <w:pPr>
              <w:rPr>
                <w:rFonts w:ascii="宋体"/>
                <w:vanish/>
              </w:rPr>
            </w:pPr>
          </w:p>
        </w:tc>
        <w:tc>
          <w:tcPr>
            <w:tcW w:w="0" w:type="auto"/>
            <w:gridSpan w:val="3"/>
            <w:shd w:val="clear" w:color="auto" w:fill="auto"/>
            <w:vAlign w:val="bottom"/>
          </w:tcPr>
          <w:p w14:paraId="74DDFD56" w14:textId="77777777" w:rsidR="00584EC1" w:rsidRDefault="00584EC1">
            <w:pPr>
              <w:rPr>
                <w:rFonts w:ascii="宋体"/>
                <w:vanish/>
              </w:rPr>
            </w:pPr>
          </w:p>
        </w:tc>
        <w:tc>
          <w:tcPr>
            <w:tcW w:w="0" w:type="auto"/>
            <w:gridSpan w:val="3"/>
            <w:shd w:val="clear" w:color="auto" w:fill="auto"/>
            <w:vAlign w:val="bottom"/>
          </w:tcPr>
          <w:p w14:paraId="74DDFD57" w14:textId="77777777" w:rsidR="00584EC1" w:rsidRDefault="00584EC1">
            <w:pPr>
              <w:rPr>
                <w:rFonts w:ascii="宋体"/>
                <w:vanish/>
              </w:rPr>
            </w:pPr>
          </w:p>
        </w:tc>
        <w:tc>
          <w:tcPr>
            <w:tcW w:w="0" w:type="auto"/>
            <w:gridSpan w:val="3"/>
            <w:shd w:val="clear" w:color="auto" w:fill="auto"/>
            <w:vAlign w:val="bottom"/>
          </w:tcPr>
          <w:p w14:paraId="74DDFD58" w14:textId="77777777" w:rsidR="00584EC1" w:rsidRDefault="00584EC1">
            <w:pPr>
              <w:rPr>
                <w:rFonts w:ascii="宋体"/>
                <w:vanish/>
              </w:rPr>
            </w:pPr>
          </w:p>
        </w:tc>
      </w:tr>
      <w:tr w:rsidR="00584EC1" w14:paraId="74DDFD6D" w14:textId="77777777">
        <w:tc>
          <w:tcPr>
            <w:tcW w:w="0" w:type="auto"/>
            <w:gridSpan w:val="3"/>
            <w:shd w:val="clear" w:color="auto" w:fill="FFFFFF"/>
            <w:tcMar>
              <w:top w:w="40" w:type="dxa"/>
              <w:left w:w="20" w:type="dxa"/>
              <w:bottom w:w="40" w:type="dxa"/>
              <w:right w:w="20" w:type="dxa"/>
            </w:tcMar>
            <w:vAlign w:val="bottom"/>
          </w:tcPr>
          <w:p w14:paraId="74DDFD5A" w14:textId="77777777" w:rsidR="00584EC1" w:rsidRDefault="00871F8D">
            <w:pPr>
              <w:textAlignment w:val="bottom"/>
            </w:pPr>
            <w:r>
              <w:rPr>
                <w:rFonts w:ascii="Arial" w:eastAsia="宋体" w:hAnsi="Arial" w:cs="Arial"/>
                <w:color w:val="000000"/>
                <w:sz w:val="15"/>
                <w:szCs w:val="15"/>
              </w:rPr>
              <w:t>Cash collateral and securities netting</w:t>
            </w:r>
          </w:p>
        </w:tc>
        <w:tc>
          <w:tcPr>
            <w:tcW w:w="0" w:type="auto"/>
            <w:gridSpan w:val="3"/>
            <w:shd w:val="clear" w:color="auto" w:fill="FFFFFF"/>
            <w:tcMar>
              <w:top w:w="40" w:type="dxa"/>
              <w:left w:w="20" w:type="dxa"/>
              <w:bottom w:w="40" w:type="dxa"/>
              <w:right w:w="20" w:type="dxa"/>
            </w:tcMar>
            <w:vAlign w:val="bottom"/>
          </w:tcPr>
          <w:p w14:paraId="74DDFD5B" w14:textId="77777777" w:rsidR="00584EC1" w:rsidRDefault="00871F8D">
            <w:pPr>
              <w:jc w:val="right"/>
              <w:textAlignment w:val="bottom"/>
            </w:pPr>
            <w:r>
              <w:rPr>
                <w:rFonts w:ascii="Arial" w:eastAsia="宋体" w:hAnsi="Arial" w:cs="Arial"/>
                <w:b/>
                <w:bCs/>
                <w:color w:val="000000"/>
                <w:sz w:val="15"/>
                <w:szCs w:val="15"/>
              </w:rPr>
              <w:t>NA</w:t>
            </w:r>
          </w:p>
        </w:tc>
        <w:tc>
          <w:tcPr>
            <w:tcW w:w="0" w:type="auto"/>
            <w:gridSpan w:val="3"/>
            <w:shd w:val="clear" w:color="auto" w:fill="FFFFFF"/>
            <w:tcMar>
              <w:top w:w="0" w:type="dxa"/>
              <w:left w:w="20" w:type="dxa"/>
              <w:bottom w:w="0" w:type="dxa"/>
              <w:right w:w="20" w:type="dxa"/>
            </w:tcMar>
            <w:vAlign w:val="bottom"/>
          </w:tcPr>
          <w:p w14:paraId="74DDFD5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D5D" w14:textId="77777777" w:rsidR="00584EC1" w:rsidRDefault="00871F8D">
            <w:pPr>
              <w:jc w:val="right"/>
              <w:textAlignment w:val="bottom"/>
            </w:pPr>
            <w:r>
              <w:rPr>
                <w:rFonts w:ascii="Arial" w:eastAsia="宋体" w:hAnsi="Arial" w:cs="Arial"/>
                <w:b/>
                <w:bCs/>
                <w:color w:val="000000"/>
                <w:sz w:val="15"/>
                <w:szCs w:val="15"/>
              </w:rPr>
              <w:t>(3,956)</w:t>
            </w:r>
          </w:p>
        </w:tc>
        <w:tc>
          <w:tcPr>
            <w:tcW w:w="0" w:type="auto"/>
            <w:shd w:val="clear" w:color="auto" w:fill="FFFFFF"/>
            <w:tcMar>
              <w:top w:w="40" w:type="dxa"/>
              <w:left w:w="0" w:type="dxa"/>
              <w:bottom w:w="40" w:type="dxa"/>
              <w:right w:w="20" w:type="dxa"/>
            </w:tcMar>
            <w:vAlign w:val="bottom"/>
          </w:tcPr>
          <w:p w14:paraId="74DDFD5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D5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D60" w14:textId="77777777" w:rsidR="00584EC1" w:rsidRDefault="00871F8D">
            <w:pPr>
              <w:jc w:val="right"/>
              <w:textAlignment w:val="bottom"/>
            </w:pPr>
            <w:r>
              <w:rPr>
                <w:rFonts w:ascii="Arial" w:eastAsia="宋体" w:hAnsi="Arial" w:cs="Arial"/>
                <w:b/>
                <w:bCs/>
                <w:color w:val="000000"/>
                <w:sz w:val="15"/>
                <w:szCs w:val="15"/>
              </w:rPr>
              <w:t>(3,956)</w:t>
            </w:r>
          </w:p>
        </w:tc>
        <w:tc>
          <w:tcPr>
            <w:tcW w:w="0" w:type="auto"/>
            <w:shd w:val="clear" w:color="auto" w:fill="FFFFFF"/>
            <w:tcMar>
              <w:top w:w="40" w:type="dxa"/>
              <w:left w:w="0" w:type="dxa"/>
              <w:bottom w:w="40" w:type="dxa"/>
              <w:right w:w="20" w:type="dxa"/>
            </w:tcMar>
            <w:vAlign w:val="bottom"/>
          </w:tcPr>
          <w:p w14:paraId="74DDFD6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D6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D63" w14:textId="77777777" w:rsidR="00584EC1" w:rsidRDefault="00871F8D">
            <w:pPr>
              <w:jc w:val="right"/>
              <w:textAlignment w:val="bottom"/>
            </w:pPr>
            <w:r>
              <w:rPr>
                <w:rFonts w:ascii="Arial" w:eastAsia="宋体" w:hAnsi="Arial" w:cs="Arial"/>
                <w:b/>
                <w:bCs/>
                <w:color w:val="000000"/>
                <w:sz w:val="15"/>
                <w:szCs w:val="15"/>
              </w:rPr>
              <w:t>(1,269)</w:t>
            </w:r>
          </w:p>
        </w:tc>
        <w:tc>
          <w:tcPr>
            <w:tcW w:w="0" w:type="auto"/>
            <w:shd w:val="clear" w:color="auto" w:fill="FFFFFF"/>
            <w:tcMar>
              <w:top w:w="40" w:type="dxa"/>
              <w:left w:w="0" w:type="dxa"/>
              <w:bottom w:w="40" w:type="dxa"/>
              <w:right w:w="20" w:type="dxa"/>
            </w:tcMar>
            <w:vAlign w:val="bottom"/>
          </w:tcPr>
          <w:p w14:paraId="74DDFD6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D65"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D66" w14:textId="77777777" w:rsidR="00584EC1" w:rsidRDefault="00871F8D">
            <w:pPr>
              <w:jc w:val="right"/>
              <w:textAlignment w:val="bottom"/>
            </w:pPr>
            <w:r>
              <w:rPr>
                <w:rFonts w:ascii="Arial" w:eastAsia="宋体" w:hAnsi="Arial" w:cs="Arial"/>
                <w:b/>
                <w:bCs/>
                <w:color w:val="000000"/>
                <w:sz w:val="15"/>
                <w:szCs w:val="15"/>
              </w:rPr>
              <w:t>(5,225)</w:t>
            </w:r>
          </w:p>
        </w:tc>
        <w:tc>
          <w:tcPr>
            <w:tcW w:w="0" w:type="auto"/>
            <w:shd w:val="clear" w:color="auto" w:fill="FFFFFF"/>
            <w:tcMar>
              <w:top w:w="40" w:type="dxa"/>
              <w:left w:w="0" w:type="dxa"/>
              <w:bottom w:w="40" w:type="dxa"/>
              <w:right w:w="20" w:type="dxa"/>
            </w:tcMar>
            <w:vAlign w:val="bottom"/>
          </w:tcPr>
          <w:p w14:paraId="74DDFD67" w14:textId="77777777" w:rsidR="00584EC1" w:rsidRDefault="00584EC1">
            <w:pPr>
              <w:jc w:val="right"/>
              <w:rPr>
                <w:rFonts w:ascii="宋体"/>
              </w:rPr>
            </w:pPr>
          </w:p>
        </w:tc>
        <w:tc>
          <w:tcPr>
            <w:tcW w:w="0" w:type="auto"/>
            <w:shd w:val="clear" w:color="auto" w:fill="auto"/>
            <w:vAlign w:val="bottom"/>
          </w:tcPr>
          <w:p w14:paraId="74DDFD68" w14:textId="77777777" w:rsidR="00584EC1" w:rsidRDefault="00584EC1">
            <w:pPr>
              <w:rPr>
                <w:rFonts w:ascii="宋体"/>
                <w:vanish/>
              </w:rPr>
            </w:pPr>
          </w:p>
        </w:tc>
        <w:tc>
          <w:tcPr>
            <w:tcW w:w="0" w:type="auto"/>
            <w:gridSpan w:val="3"/>
            <w:shd w:val="clear" w:color="auto" w:fill="auto"/>
            <w:vAlign w:val="bottom"/>
          </w:tcPr>
          <w:p w14:paraId="74DDFD69" w14:textId="77777777" w:rsidR="00584EC1" w:rsidRDefault="00584EC1">
            <w:pPr>
              <w:rPr>
                <w:rFonts w:ascii="宋体"/>
                <w:vanish/>
              </w:rPr>
            </w:pPr>
          </w:p>
        </w:tc>
        <w:tc>
          <w:tcPr>
            <w:tcW w:w="0" w:type="auto"/>
            <w:gridSpan w:val="3"/>
            <w:shd w:val="clear" w:color="auto" w:fill="auto"/>
            <w:vAlign w:val="bottom"/>
          </w:tcPr>
          <w:p w14:paraId="74DDFD6A" w14:textId="77777777" w:rsidR="00584EC1" w:rsidRDefault="00584EC1">
            <w:pPr>
              <w:rPr>
                <w:rFonts w:ascii="宋体"/>
                <w:vanish/>
              </w:rPr>
            </w:pPr>
          </w:p>
        </w:tc>
        <w:tc>
          <w:tcPr>
            <w:tcW w:w="0" w:type="auto"/>
            <w:gridSpan w:val="3"/>
            <w:shd w:val="clear" w:color="auto" w:fill="auto"/>
            <w:vAlign w:val="bottom"/>
          </w:tcPr>
          <w:p w14:paraId="74DDFD6B" w14:textId="77777777" w:rsidR="00584EC1" w:rsidRDefault="00584EC1">
            <w:pPr>
              <w:rPr>
                <w:rFonts w:ascii="宋体"/>
                <w:vanish/>
              </w:rPr>
            </w:pPr>
          </w:p>
        </w:tc>
        <w:tc>
          <w:tcPr>
            <w:tcW w:w="0" w:type="auto"/>
            <w:gridSpan w:val="3"/>
            <w:shd w:val="clear" w:color="auto" w:fill="auto"/>
            <w:vAlign w:val="bottom"/>
          </w:tcPr>
          <w:p w14:paraId="74DDFD6C" w14:textId="77777777" w:rsidR="00584EC1" w:rsidRDefault="00584EC1">
            <w:pPr>
              <w:rPr>
                <w:rFonts w:ascii="宋体"/>
                <w:vanish/>
              </w:rPr>
            </w:pPr>
          </w:p>
        </w:tc>
      </w:tr>
      <w:tr w:rsidR="00584EC1" w14:paraId="74DDFD82" w14:textId="77777777">
        <w:tc>
          <w:tcPr>
            <w:tcW w:w="0" w:type="auto"/>
            <w:gridSpan w:val="3"/>
            <w:shd w:val="clear" w:color="auto" w:fill="CCEEFF"/>
            <w:tcMar>
              <w:top w:w="40" w:type="dxa"/>
              <w:left w:w="20" w:type="dxa"/>
              <w:bottom w:w="40" w:type="dxa"/>
              <w:right w:w="20" w:type="dxa"/>
            </w:tcMar>
            <w:vAlign w:val="bottom"/>
          </w:tcPr>
          <w:p w14:paraId="74DDFD6E" w14:textId="77777777" w:rsidR="00584EC1" w:rsidRDefault="00871F8D">
            <w:pPr>
              <w:textAlignment w:val="bottom"/>
            </w:pPr>
            <w:r>
              <w:rPr>
                <w:rFonts w:ascii="Arial" w:eastAsia="宋体" w:hAnsi="Arial" w:cs="Arial"/>
                <w:color w:val="000000"/>
                <w:sz w:val="15"/>
                <w:szCs w:val="15"/>
              </w:rPr>
              <w:t>Total derivatives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FD6F" w14:textId="77777777" w:rsidR="00584EC1" w:rsidRDefault="00871F8D">
            <w:pPr>
              <w:jc w:val="right"/>
              <w:textAlignment w:val="bottom"/>
            </w:pPr>
            <w:r>
              <w:rPr>
                <w:rFonts w:ascii="Arial" w:eastAsia="宋体" w:hAnsi="Arial" w:cs="Arial"/>
                <w:b/>
                <w:bCs/>
                <w:color w:val="000000"/>
                <w:sz w:val="15"/>
                <w:szCs w:val="15"/>
              </w:rPr>
              <w:t>15,938</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FD7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D71"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FD72" w14:textId="77777777" w:rsidR="00584EC1" w:rsidRDefault="00871F8D">
            <w:pPr>
              <w:jc w:val="right"/>
              <w:textAlignment w:val="bottom"/>
            </w:pPr>
            <w:r>
              <w:rPr>
                <w:rFonts w:ascii="Arial" w:eastAsia="宋体" w:hAnsi="Arial" w:cs="Arial"/>
                <w:b/>
                <w:bCs/>
                <w:color w:val="000000"/>
                <w:sz w:val="15"/>
                <w:szCs w:val="15"/>
              </w:rPr>
              <w:t>(11,623)</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FD7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D74"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FD75" w14:textId="77777777" w:rsidR="00584EC1" w:rsidRDefault="00871F8D">
            <w:pPr>
              <w:jc w:val="right"/>
              <w:textAlignment w:val="bottom"/>
            </w:pPr>
            <w:r>
              <w:rPr>
                <w:rFonts w:ascii="Arial" w:eastAsia="宋体" w:hAnsi="Arial" w:cs="Arial"/>
                <w:b/>
                <w:bCs/>
                <w:color w:val="000000"/>
                <w:sz w:val="15"/>
                <w:szCs w:val="15"/>
              </w:rPr>
              <w:t>4,315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FD7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D77"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FD78" w14:textId="77777777" w:rsidR="00584EC1" w:rsidRDefault="00871F8D">
            <w:pPr>
              <w:jc w:val="right"/>
              <w:textAlignment w:val="bottom"/>
            </w:pPr>
            <w:r>
              <w:rPr>
                <w:rFonts w:ascii="Arial" w:eastAsia="宋体" w:hAnsi="Arial" w:cs="Arial"/>
                <w:b/>
                <w:bCs/>
                <w:color w:val="000000"/>
                <w:sz w:val="15"/>
                <w:szCs w:val="15"/>
              </w:rPr>
              <w:t>(1,269)</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FD7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D7A"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FD7B" w14:textId="77777777" w:rsidR="00584EC1" w:rsidRDefault="00871F8D">
            <w:pPr>
              <w:jc w:val="right"/>
              <w:textAlignment w:val="bottom"/>
            </w:pPr>
            <w:r>
              <w:rPr>
                <w:rFonts w:ascii="Arial" w:eastAsia="宋体" w:hAnsi="Arial" w:cs="Arial"/>
                <w:b/>
                <w:bCs/>
                <w:color w:val="000000"/>
                <w:sz w:val="15"/>
                <w:szCs w:val="15"/>
              </w:rPr>
              <w:t>3,046</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FD7C" w14:textId="77777777" w:rsidR="00584EC1" w:rsidRDefault="00584EC1">
            <w:pPr>
              <w:jc w:val="right"/>
              <w:rPr>
                <w:rFonts w:ascii="宋体"/>
              </w:rPr>
            </w:pPr>
          </w:p>
        </w:tc>
        <w:tc>
          <w:tcPr>
            <w:tcW w:w="0" w:type="auto"/>
            <w:shd w:val="clear" w:color="auto" w:fill="auto"/>
            <w:vAlign w:val="bottom"/>
          </w:tcPr>
          <w:p w14:paraId="74DDFD7D" w14:textId="77777777" w:rsidR="00584EC1" w:rsidRDefault="00584EC1">
            <w:pPr>
              <w:rPr>
                <w:rFonts w:ascii="宋体"/>
                <w:vanish/>
              </w:rPr>
            </w:pPr>
          </w:p>
        </w:tc>
        <w:tc>
          <w:tcPr>
            <w:tcW w:w="0" w:type="auto"/>
            <w:gridSpan w:val="3"/>
            <w:shd w:val="clear" w:color="auto" w:fill="auto"/>
            <w:vAlign w:val="bottom"/>
          </w:tcPr>
          <w:p w14:paraId="74DDFD7E" w14:textId="77777777" w:rsidR="00584EC1" w:rsidRDefault="00584EC1">
            <w:pPr>
              <w:rPr>
                <w:rFonts w:ascii="宋体"/>
                <w:vanish/>
              </w:rPr>
            </w:pPr>
          </w:p>
        </w:tc>
        <w:tc>
          <w:tcPr>
            <w:tcW w:w="0" w:type="auto"/>
            <w:gridSpan w:val="3"/>
            <w:shd w:val="clear" w:color="auto" w:fill="auto"/>
            <w:vAlign w:val="bottom"/>
          </w:tcPr>
          <w:p w14:paraId="74DDFD7F" w14:textId="77777777" w:rsidR="00584EC1" w:rsidRDefault="00584EC1">
            <w:pPr>
              <w:rPr>
                <w:rFonts w:ascii="宋体"/>
                <w:vanish/>
              </w:rPr>
            </w:pPr>
          </w:p>
        </w:tc>
        <w:tc>
          <w:tcPr>
            <w:tcW w:w="0" w:type="auto"/>
            <w:gridSpan w:val="3"/>
            <w:shd w:val="clear" w:color="auto" w:fill="auto"/>
            <w:vAlign w:val="bottom"/>
          </w:tcPr>
          <w:p w14:paraId="74DDFD80" w14:textId="77777777" w:rsidR="00584EC1" w:rsidRDefault="00584EC1">
            <w:pPr>
              <w:rPr>
                <w:rFonts w:ascii="宋体"/>
                <w:vanish/>
              </w:rPr>
            </w:pPr>
          </w:p>
        </w:tc>
        <w:tc>
          <w:tcPr>
            <w:tcW w:w="0" w:type="auto"/>
            <w:gridSpan w:val="3"/>
            <w:shd w:val="clear" w:color="auto" w:fill="auto"/>
            <w:vAlign w:val="bottom"/>
          </w:tcPr>
          <w:p w14:paraId="74DDFD81" w14:textId="77777777" w:rsidR="00584EC1" w:rsidRDefault="00584EC1">
            <w:pPr>
              <w:rPr>
                <w:rFonts w:ascii="宋体"/>
                <w:vanish/>
              </w:rPr>
            </w:pPr>
          </w:p>
        </w:tc>
      </w:tr>
      <w:tr w:rsidR="00584EC1" w14:paraId="74DDFD92" w14:textId="77777777">
        <w:tc>
          <w:tcPr>
            <w:tcW w:w="0" w:type="auto"/>
            <w:gridSpan w:val="3"/>
            <w:shd w:val="clear" w:color="auto" w:fill="FFFFFF"/>
            <w:tcMar>
              <w:top w:w="40" w:type="dxa"/>
              <w:left w:w="20" w:type="dxa"/>
              <w:bottom w:w="40" w:type="dxa"/>
              <w:right w:w="20" w:type="dxa"/>
            </w:tcMar>
            <w:vAlign w:val="bottom"/>
          </w:tcPr>
          <w:p w14:paraId="74DDFD83" w14:textId="77777777" w:rsidR="00584EC1" w:rsidRDefault="00871F8D">
            <w:pPr>
              <w:textAlignment w:val="bottom"/>
            </w:pPr>
            <w:r>
              <w:rPr>
                <w:rFonts w:ascii="Arial" w:eastAsia="宋体" w:hAnsi="Arial" w:cs="Arial"/>
                <w:b/>
                <w:bCs/>
                <w:color w:val="000000"/>
                <w:sz w:val="15"/>
                <w:szCs w:val="15"/>
              </w:rPr>
              <w:t>Other financial instruments:</w:t>
            </w:r>
          </w:p>
        </w:tc>
        <w:tc>
          <w:tcPr>
            <w:tcW w:w="0" w:type="auto"/>
            <w:gridSpan w:val="3"/>
            <w:shd w:val="clear" w:color="auto" w:fill="FFFFFF"/>
            <w:tcMar>
              <w:top w:w="0" w:type="dxa"/>
              <w:left w:w="20" w:type="dxa"/>
              <w:bottom w:w="0" w:type="dxa"/>
              <w:right w:w="20" w:type="dxa"/>
            </w:tcMar>
            <w:vAlign w:val="bottom"/>
          </w:tcPr>
          <w:p w14:paraId="74DDFD84"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FD85"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FD86"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FD87"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FD88"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FD89"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FD8A"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FD8B"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FD8C" w14:textId="77777777" w:rsidR="00584EC1" w:rsidRDefault="00584EC1">
            <w:pPr>
              <w:rPr>
                <w:rFonts w:ascii="宋体"/>
              </w:rPr>
            </w:pPr>
          </w:p>
        </w:tc>
        <w:tc>
          <w:tcPr>
            <w:tcW w:w="0" w:type="auto"/>
            <w:shd w:val="clear" w:color="auto" w:fill="auto"/>
            <w:vAlign w:val="bottom"/>
          </w:tcPr>
          <w:p w14:paraId="74DDFD8D" w14:textId="77777777" w:rsidR="00584EC1" w:rsidRDefault="00584EC1">
            <w:pPr>
              <w:rPr>
                <w:rFonts w:ascii="宋体"/>
                <w:vanish/>
              </w:rPr>
            </w:pPr>
          </w:p>
        </w:tc>
        <w:tc>
          <w:tcPr>
            <w:tcW w:w="0" w:type="auto"/>
            <w:gridSpan w:val="3"/>
            <w:shd w:val="clear" w:color="auto" w:fill="auto"/>
            <w:vAlign w:val="bottom"/>
          </w:tcPr>
          <w:p w14:paraId="74DDFD8E" w14:textId="77777777" w:rsidR="00584EC1" w:rsidRDefault="00584EC1">
            <w:pPr>
              <w:rPr>
                <w:rFonts w:ascii="宋体"/>
                <w:vanish/>
              </w:rPr>
            </w:pPr>
          </w:p>
        </w:tc>
        <w:tc>
          <w:tcPr>
            <w:tcW w:w="0" w:type="auto"/>
            <w:gridSpan w:val="3"/>
            <w:shd w:val="clear" w:color="auto" w:fill="auto"/>
            <w:vAlign w:val="bottom"/>
          </w:tcPr>
          <w:p w14:paraId="74DDFD8F" w14:textId="77777777" w:rsidR="00584EC1" w:rsidRDefault="00584EC1">
            <w:pPr>
              <w:rPr>
                <w:rFonts w:ascii="宋体"/>
                <w:vanish/>
              </w:rPr>
            </w:pPr>
          </w:p>
        </w:tc>
        <w:tc>
          <w:tcPr>
            <w:tcW w:w="0" w:type="auto"/>
            <w:gridSpan w:val="3"/>
            <w:shd w:val="clear" w:color="auto" w:fill="auto"/>
            <w:vAlign w:val="bottom"/>
          </w:tcPr>
          <w:p w14:paraId="74DDFD90" w14:textId="77777777" w:rsidR="00584EC1" w:rsidRDefault="00584EC1">
            <w:pPr>
              <w:rPr>
                <w:rFonts w:ascii="宋体"/>
                <w:vanish/>
              </w:rPr>
            </w:pPr>
          </w:p>
        </w:tc>
        <w:tc>
          <w:tcPr>
            <w:tcW w:w="0" w:type="auto"/>
            <w:gridSpan w:val="3"/>
            <w:shd w:val="clear" w:color="auto" w:fill="auto"/>
            <w:vAlign w:val="bottom"/>
          </w:tcPr>
          <w:p w14:paraId="74DDFD91" w14:textId="77777777" w:rsidR="00584EC1" w:rsidRDefault="00584EC1">
            <w:pPr>
              <w:rPr>
                <w:rFonts w:ascii="宋体"/>
                <w:vanish/>
              </w:rPr>
            </w:pPr>
          </w:p>
        </w:tc>
      </w:tr>
      <w:tr w:rsidR="00584EC1" w14:paraId="74DDFDA2" w14:textId="77777777">
        <w:trPr>
          <w:hidden/>
        </w:trPr>
        <w:tc>
          <w:tcPr>
            <w:tcW w:w="0" w:type="auto"/>
            <w:gridSpan w:val="3"/>
            <w:shd w:val="clear" w:color="auto" w:fill="auto"/>
            <w:vAlign w:val="bottom"/>
          </w:tcPr>
          <w:p w14:paraId="74DDFD93" w14:textId="77777777" w:rsidR="00584EC1" w:rsidRDefault="00584EC1">
            <w:pPr>
              <w:rPr>
                <w:rFonts w:ascii="宋体"/>
                <w:vanish/>
              </w:rPr>
            </w:pPr>
          </w:p>
        </w:tc>
        <w:tc>
          <w:tcPr>
            <w:tcW w:w="0" w:type="auto"/>
            <w:gridSpan w:val="3"/>
            <w:shd w:val="clear" w:color="auto" w:fill="auto"/>
            <w:vAlign w:val="bottom"/>
          </w:tcPr>
          <w:p w14:paraId="74DDFD94" w14:textId="77777777" w:rsidR="00584EC1" w:rsidRDefault="00584EC1">
            <w:pPr>
              <w:rPr>
                <w:rFonts w:ascii="宋体"/>
                <w:vanish/>
              </w:rPr>
            </w:pPr>
          </w:p>
        </w:tc>
        <w:tc>
          <w:tcPr>
            <w:tcW w:w="0" w:type="auto"/>
            <w:gridSpan w:val="3"/>
            <w:shd w:val="clear" w:color="auto" w:fill="auto"/>
            <w:vAlign w:val="bottom"/>
          </w:tcPr>
          <w:p w14:paraId="74DDFD95" w14:textId="77777777" w:rsidR="00584EC1" w:rsidRDefault="00584EC1">
            <w:pPr>
              <w:rPr>
                <w:rFonts w:ascii="宋体"/>
                <w:vanish/>
              </w:rPr>
            </w:pPr>
          </w:p>
        </w:tc>
        <w:tc>
          <w:tcPr>
            <w:tcW w:w="0" w:type="auto"/>
            <w:gridSpan w:val="3"/>
            <w:shd w:val="clear" w:color="auto" w:fill="auto"/>
            <w:vAlign w:val="bottom"/>
          </w:tcPr>
          <w:p w14:paraId="74DDFD96" w14:textId="77777777" w:rsidR="00584EC1" w:rsidRDefault="00584EC1">
            <w:pPr>
              <w:rPr>
                <w:rFonts w:ascii="宋体"/>
                <w:vanish/>
              </w:rPr>
            </w:pPr>
          </w:p>
        </w:tc>
        <w:tc>
          <w:tcPr>
            <w:tcW w:w="0" w:type="auto"/>
            <w:gridSpan w:val="3"/>
            <w:shd w:val="clear" w:color="auto" w:fill="auto"/>
            <w:vAlign w:val="bottom"/>
          </w:tcPr>
          <w:p w14:paraId="74DDFD97" w14:textId="77777777" w:rsidR="00584EC1" w:rsidRDefault="00584EC1">
            <w:pPr>
              <w:rPr>
                <w:rFonts w:ascii="宋体"/>
                <w:vanish/>
              </w:rPr>
            </w:pPr>
          </w:p>
        </w:tc>
        <w:tc>
          <w:tcPr>
            <w:tcW w:w="0" w:type="auto"/>
            <w:gridSpan w:val="3"/>
            <w:shd w:val="clear" w:color="auto" w:fill="auto"/>
            <w:vAlign w:val="bottom"/>
          </w:tcPr>
          <w:p w14:paraId="74DDFD98" w14:textId="77777777" w:rsidR="00584EC1" w:rsidRDefault="00584EC1">
            <w:pPr>
              <w:rPr>
                <w:rFonts w:ascii="宋体"/>
                <w:vanish/>
              </w:rPr>
            </w:pPr>
          </w:p>
        </w:tc>
        <w:tc>
          <w:tcPr>
            <w:tcW w:w="0" w:type="auto"/>
            <w:gridSpan w:val="3"/>
            <w:shd w:val="clear" w:color="auto" w:fill="auto"/>
            <w:vAlign w:val="bottom"/>
          </w:tcPr>
          <w:p w14:paraId="74DDFD99" w14:textId="77777777" w:rsidR="00584EC1" w:rsidRDefault="00584EC1">
            <w:pPr>
              <w:rPr>
                <w:rFonts w:ascii="宋体"/>
                <w:vanish/>
              </w:rPr>
            </w:pPr>
          </w:p>
        </w:tc>
        <w:tc>
          <w:tcPr>
            <w:tcW w:w="0" w:type="auto"/>
            <w:gridSpan w:val="3"/>
            <w:shd w:val="clear" w:color="auto" w:fill="auto"/>
            <w:vAlign w:val="bottom"/>
          </w:tcPr>
          <w:p w14:paraId="74DDFD9A" w14:textId="77777777" w:rsidR="00584EC1" w:rsidRDefault="00584EC1">
            <w:pPr>
              <w:rPr>
                <w:rFonts w:ascii="宋体"/>
                <w:vanish/>
              </w:rPr>
            </w:pPr>
          </w:p>
        </w:tc>
        <w:tc>
          <w:tcPr>
            <w:tcW w:w="0" w:type="auto"/>
            <w:gridSpan w:val="3"/>
            <w:shd w:val="clear" w:color="auto" w:fill="auto"/>
            <w:vAlign w:val="bottom"/>
          </w:tcPr>
          <w:p w14:paraId="74DDFD9B" w14:textId="77777777" w:rsidR="00584EC1" w:rsidRDefault="00584EC1">
            <w:pPr>
              <w:rPr>
                <w:rFonts w:ascii="宋体"/>
                <w:vanish/>
              </w:rPr>
            </w:pPr>
          </w:p>
        </w:tc>
        <w:tc>
          <w:tcPr>
            <w:tcW w:w="0" w:type="auto"/>
            <w:gridSpan w:val="3"/>
            <w:shd w:val="clear" w:color="auto" w:fill="auto"/>
            <w:vAlign w:val="bottom"/>
          </w:tcPr>
          <w:p w14:paraId="74DDFD9C" w14:textId="77777777" w:rsidR="00584EC1" w:rsidRDefault="00584EC1">
            <w:pPr>
              <w:rPr>
                <w:rFonts w:ascii="宋体"/>
                <w:vanish/>
              </w:rPr>
            </w:pPr>
          </w:p>
        </w:tc>
        <w:tc>
          <w:tcPr>
            <w:tcW w:w="0" w:type="auto"/>
            <w:shd w:val="clear" w:color="auto" w:fill="auto"/>
            <w:vAlign w:val="bottom"/>
          </w:tcPr>
          <w:p w14:paraId="74DDFD9D" w14:textId="77777777" w:rsidR="00584EC1" w:rsidRDefault="00584EC1">
            <w:pPr>
              <w:rPr>
                <w:rFonts w:ascii="宋体"/>
                <w:vanish/>
              </w:rPr>
            </w:pPr>
          </w:p>
        </w:tc>
        <w:tc>
          <w:tcPr>
            <w:tcW w:w="0" w:type="auto"/>
            <w:gridSpan w:val="3"/>
            <w:shd w:val="clear" w:color="auto" w:fill="auto"/>
            <w:vAlign w:val="bottom"/>
          </w:tcPr>
          <w:p w14:paraId="74DDFD9E" w14:textId="77777777" w:rsidR="00584EC1" w:rsidRDefault="00584EC1">
            <w:pPr>
              <w:rPr>
                <w:rFonts w:ascii="宋体"/>
                <w:vanish/>
              </w:rPr>
            </w:pPr>
          </w:p>
        </w:tc>
        <w:tc>
          <w:tcPr>
            <w:tcW w:w="0" w:type="auto"/>
            <w:gridSpan w:val="3"/>
            <w:shd w:val="clear" w:color="auto" w:fill="auto"/>
            <w:vAlign w:val="bottom"/>
          </w:tcPr>
          <w:p w14:paraId="74DDFD9F" w14:textId="77777777" w:rsidR="00584EC1" w:rsidRDefault="00584EC1">
            <w:pPr>
              <w:rPr>
                <w:rFonts w:ascii="宋体"/>
                <w:vanish/>
              </w:rPr>
            </w:pPr>
          </w:p>
        </w:tc>
        <w:tc>
          <w:tcPr>
            <w:tcW w:w="0" w:type="auto"/>
            <w:gridSpan w:val="3"/>
            <w:shd w:val="clear" w:color="auto" w:fill="auto"/>
            <w:vAlign w:val="bottom"/>
          </w:tcPr>
          <w:p w14:paraId="74DDFDA0" w14:textId="77777777" w:rsidR="00584EC1" w:rsidRDefault="00584EC1">
            <w:pPr>
              <w:rPr>
                <w:rFonts w:ascii="宋体"/>
                <w:vanish/>
              </w:rPr>
            </w:pPr>
          </w:p>
        </w:tc>
        <w:tc>
          <w:tcPr>
            <w:tcW w:w="0" w:type="auto"/>
            <w:gridSpan w:val="3"/>
            <w:shd w:val="clear" w:color="auto" w:fill="auto"/>
            <w:vAlign w:val="bottom"/>
          </w:tcPr>
          <w:p w14:paraId="74DDFDA1" w14:textId="77777777" w:rsidR="00584EC1" w:rsidRDefault="00584EC1">
            <w:pPr>
              <w:rPr>
                <w:rFonts w:ascii="宋体"/>
                <w:vanish/>
              </w:rPr>
            </w:pPr>
          </w:p>
        </w:tc>
      </w:tr>
      <w:tr w:rsidR="00584EC1" w14:paraId="74DDFDB2" w14:textId="77777777">
        <w:trPr>
          <w:hidden/>
        </w:trPr>
        <w:tc>
          <w:tcPr>
            <w:tcW w:w="0" w:type="auto"/>
            <w:gridSpan w:val="3"/>
            <w:shd w:val="clear" w:color="auto" w:fill="auto"/>
            <w:vAlign w:val="bottom"/>
          </w:tcPr>
          <w:p w14:paraId="74DDFDA3" w14:textId="77777777" w:rsidR="00584EC1" w:rsidRDefault="00584EC1">
            <w:pPr>
              <w:rPr>
                <w:rFonts w:ascii="宋体"/>
                <w:vanish/>
              </w:rPr>
            </w:pPr>
          </w:p>
        </w:tc>
        <w:tc>
          <w:tcPr>
            <w:tcW w:w="0" w:type="auto"/>
            <w:gridSpan w:val="3"/>
            <w:shd w:val="clear" w:color="auto" w:fill="auto"/>
            <w:vAlign w:val="bottom"/>
          </w:tcPr>
          <w:p w14:paraId="74DDFDA4" w14:textId="77777777" w:rsidR="00584EC1" w:rsidRDefault="00584EC1">
            <w:pPr>
              <w:rPr>
                <w:rFonts w:ascii="宋体"/>
                <w:vanish/>
              </w:rPr>
            </w:pPr>
          </w:p>
        </w:tc>
        <w:tc>
          <w:tcPr>
            <w:tcW w:w="0" w:type="auto"/>
            <w:gridSpan w:val="3"/>
            <w:shd w:val="clear" w:color="auto" w:fill="auto"/>
            <w:vAlign w:val="bottom"/>
          </w:tcPr>
          <w:p w14:paraId="74DDFDA5" w14:textId="77777777" w:rsidR="00584EC1" w:rsidRDefault="00584EC1">
            <w:pPr>
              <w:rPr>
                <w:rFonts w:ascii="宋体"/>
                <w:vanish/>
              </w:rPr>
            </w:pPr>
          </w:p>
        </w:tc>
        <w:tc>
          <w:tcPr>
            <w:tcW w:w="0" w:type="auto"/>
            <w:gridSpan w:val="3"/>
            <w:shd w:val="clear" w:color="auto" w:fill="auto"/>
            <w:vAlign w:val="bottom"/>
          </w:tcPr>
          <w:p w14:paraId="74DDFDA6" w14:textId="77777777" w:rsidR="00584EC1" w:rsidRDefault="00584EC1">
            <w:pPr>
              <w:rPr>
                <w:rFonts w:ascii="宋体"/>
                <w:vanish/>
              </w:rPr>
            </w:pPr>
          </w:p>
        </w:tc>
        <w:tc>
          <w:tcPr>
            <w:tcW w:w="0" w:type="auto"/>
            <w:gridSpan w:val="3"/>
            <w:shd w:val="clear" w:color="auto" w:fill="auto"/>
            <w:vAlign w:val="bottom"/>
          </w:tcPr>
          <w:p w14:paraId="74DDFDA7" w14:textId="77777777" w:rsidR="00584EC1" w:rsidRDefault="00584EC1">
            <w:pPr>
              <w:rPr>
                <w:rFonts w:ascii="宋体"/>
                <w:vanish/>
              </w:rPr>
            </w:pPr>
          </w:p>
        </w:tc>
        <w:tc>
          <w:tcPr>
            <w:tcW w:w="0" w:type="auto"/>
            <w:gridSpan w:val="3"/>
            <w:shd w:val="clear" w:color="auto" w:fill="auto"/>
            <w:vAlign w:val="bottom"/>
          </w:tcPr>
          <w:p w14:paraId="74DDFDA8" w14:textId="77777777" w:rsidR="00584EC1" w:rsidRDefault="00584EC1">
            <w:pPr>
              <w:rPr>
                <w:rFonts w:ascii="宋体"/>
                <w:vanish/>
              </w:rPr>
            </w:pPr>
          </w:p>
        </w:tc>
        <w:tc>
          <w:tcPr>
            <w:tcW w:w="0" w:type="auto"/>
            <w:gridSpan w:val="3"/>
            <w:shd w:val="clear" w:color="auto" w:fill="auto"/>
            <w:vAlign w:val="bottom"/>
          </w:tcPr>
          <w:p w14:paraId="74DDFDA9" w14:textId="77777777" w:rsidR="00584EC1" w:rsidRDefault="00584EC1">
            <w:pPr>
              <w:rPr>
                <w:rFonts w:ascii="宋体"/>
                <w:vanish/>
              </w:rPr>
            </w:pPr>
          </w:p>
        </w:tc>
        <w:tc>
          <w:tcPr>
            <w:tcW w:w="0" w:type="auto"/>
            <w:gridSpan w:val="3"/>
            <w:shd w:val="clear" w:color="auto" w:fill="auto"/>
            <w:vAlign w:val="bottom"/>
          </w:tcPr>
          <w:p w14:paraId="74DDFDAA" w14:textId="77777777" w:rsidR="00584EC1" w:rsidRDefault="00584EC1">
            <w:pPr>
              <w:rPr>
                <w:rFonts w:ascii="宋体"/>
                <w:vanish/>
              </w:rPr>
            </w:pPr>
          </w:p>
        </w:tc>
        <w:tc>
          <w:tcPr>
            <w:tcW w:w="0" w:type="auto"/>
            <w:gridSpan w:val="3"/>
            <w:shd w:val="clear" w:color="auto" w:fill="auto"/>
            <w:vAlign w:val="bottom"/>
          </w:tcPr>
          <w:p w14:paraId="74DDFDAB" w14:textId="77777777" w:rsidR="00584EC1" w:rsidRDefault="00584EC1">
            <w:pPr>
              <w:rPr>
                <w:rFonts w:ascii="宋体"/>
                <w:vanish/>
              </w:rPr>
            </w:pPr>
          </w:p>
        </w:tc>
        <w:tc>
          <w:tcPr>
            <w:tcW w:w="0" w:type="auto"/>
            <w:gridSpan w:val="3"/>
            <w:shd w:val="clear" w:color="auto" w:fill="auto"/>
            <w:vAlign w:val="bottom"/>
          </w:tcPr>
          <w:p w14:paraId="74DDFDAC" w14:textId="77777777" w:rsidR="00584EC1" w:rsidRDefault="00584EC1">
            <w:pPr>
              <w:rPr>
                <w:rFonts w:ascii="宋体"/>
                <w:vanish/>
              </w:rPr>
            </w:pPr>
          </w:p>
        </w:tc>
        <w:tc>
          <w:tcPr>
            <w:tcW w:w="0" w:type="auto"/>
            <w:shd w:val="clear" w:color="auto" w:fill="auto"/>
            <w:vAlign w:val="bottom"/>
          </w:tcPr>
          <w:p w14:paraId="74DDFDAD" w14:textId="77777777" w:rsidR="00584EC1" w:rsidRDefault="00584EC1">
            <w:pPr>
              <w:rPr>
                <w:rFonts w:ascii="宋体"/>
                <w:vanish/>
              </w:rPr>
            </w:pPr>
          </w:p>
        </w:tc>
        <w:tc>
          <w:tcPr>
            <w:tcW w:w="0" w:type="auto"/>
            <w:gridSpan w:val="3"/>
            <w:shd w:val="clear" w:color="auto" w:fill="auto"/>
            <w:vAlign w:val="bottom"/>
          </w:tcPr>
          <w:p w14:paraId="74DDFDAE" w14:textId="77777777" w:rsidR="00584EC1" w:rsidRDefault="00584EC1">
            <w:pPr>
              <w:rPr>
                <w:rFonts w:ascii="宋体"/>
                <w:vanish/>
              </w:rPr>
            </w:pPr>
          </w:p>
        </w:tc>
        <w:tc>
          <w:tcPr>
            <w:tcW w:w="0" w:type="auto"/>
            <w:gridSpan w:val="3"/>
            <w:shd w:val="clear" w:color="auto" w:fill="auto"/>
            <w:vAlign w:val="bottom"/>
          </w:tcPr>
          <w:p w14:paraId="74DDFDAF" w14:textId="77777777" w:rsidR="00584EC1" w:rsidRDefault="00584EC1">
            <w:pPr>
              <w:rPr>
                <w:rFonts w:ascii="宋体"/>
                <w:vanish/>
              </w:rPr>
            </w:pPr>
          </w:p>
        </w:tc>
        <w:tc>
          <w:tcPr>
            <w:tcW w:w="0" w:type="auto"/>
            <w:gridSpan w:val="3"/>
            <w:shd w:val="clear" w:color="auto" w:fill="auto"/>
            <w:vAlign w:val="bottom"/>
          </w:tcPr>
          <w:p w14:paraId="74DDFDB0" w14:textId="77777777" w:rsidR="00584EC1" w:rsidRDefault="00584EC1">
            <w:pPr>
              <w:rPr>
                <w:rFonts w:ascii="宋体"/>
                <w:vanish/>
              </w:rPr>
            </w:pPr>
          </w:p>
        </w:tc>
        <w:tc>
          <w:tcPr>
            <w:tcW w:w="0" w:type="auto"/>
            <w:gridSpan w:val="3"/>
            <w:shd w:val="clear" w:color="auto" w:fill="auto"/>
            <w:vAlign w:val="bottom"/>
          </w:tcPr>
          <w:p w14:paraId="74DDFDB1" w14:textId="77777777" w:rsidR="00584EC1" w:rsidRDefault="00584EC1">
            <w:pPr>
              <w:rPr>
                <w:rFonts w:ascii="宋体"/>
                <w:vanish/>
              </w:rPr>
            </w:pPr>
          </w:p>
        </w:tc>
      </w:tr>
      <w:tr w:rsidR="00584EC1" w14:paraId="74DDFDC7" w14:textId="77777777">
        <w:tc>
          <w:tcPr>
            <w:tcW w:w="0" w:type="auto"/>
            <w:gridSpan w:val="3"/>
            <w:shd w:val="clear" w:color="auto" w:fill="CCEEFF"/>
            <w:tcMar>
              <w:top w:w="40" w:type="dxa"/>
              <w:left w:w="20" w:type="dxa"/>
              <w:bottom w:w="40" w:type="dxa"/>
              <w:right w:w="20" w:type="dxa"/>
            </w:tcMar>
            <w:vAlign w:val="bottom"/>
          </w:tcPr>
          <w:p w14:paraId="74DDFDB3" w14:textId="77777777" w:rsidR="00584EC1" w:rsidRDefault="00871F8D">
            <w:pPr>
              <w:textAlignment w:val="bottom"/>
            </w:pPr>
            <w:r>
              <w:rPr>
                <w:rFonts w:ascii="Arial" w:eastAsia="宋体" w:hAnsi="Arial" w:cs="Arial"/>
                <w:color w:val="000000"/>
                <w:sz w:val="15"/>
                <w:szCs w:val="15"/>
              </w:rPr>
              <w:t xml:space="preserve">Repurchase agreements and </w:t>
            </w:r>
            <w:r>
              <w:rPr>
                <w:rFonts w:ascii="Arial" w:eastAsia="宋体" w:hAnsi="Arial" w:cs="Arial"/>
                <w:color w:val="000000"/>
                <w:sz w:val="15"/>
                <w:szCs w:val="15"/>
              </w:rPr>
              <w:t>securities lending</w:t>
            </w:r>
            <w:r>
              <w:rPr>
                <w:rFonts w:ascii="Arial" w:eastAsia="宋体" w:hAnsi="Arial" w:cs="Arial"/>
                <w:color w:val="000000"/>
                <w:sz w:val="9"/>
                <w:szCs w:val="9"/>
              </w:rPr>
              <w:t>(7)(8)</w:t>
            </w:r>
          </w:p>
        </w:tc>
        <w:tc>
          <w:tcPr>
            <w:tcW w:w="0" w:type="auto"/>
            <w:gridSpan w:val="2"/>
            <w:shd w:val="clear" w:color="auto" w:fill="CCEEFF"/>
            <w:tcMar>
              <w:top w:w="40" w:type="dxa"/>
              <w:left w:w="20" w:type="dxa"/>
              <w:bottom w:w="40" w:type="dxa"/>
              <w:right w:w="0" w:type="dxa"/>
            </w:tcMar>
            <w:vAlign w:val="bottom"/>
          </w:tcPr>
          <w:p w14:paraId="74DDFDB4" w14:textId="77777777" w:rsidR="00584EC1" w:rsidRDefault="00871F8D">
            <w:pPr>
              <w:jc w:val="right"/>
              <w:textAlignment w:val="bottom"/>
            </w:pPr>
            <w:r>
              <w:rPr>
                <w:rFonts w:ascii="Arial" w:eastAsia="宋体" w:hAnsi="Arial" w:cs="Arial"/>
                <w:b/>
                <w:bCs/>
                <w:color w:val="000000"/>
                <w:sz w:val="15"/>
                <w:szCs w:val="15"/>
              </w:rPr>
              <w:t>66,016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FDB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DB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FDB7" w14:textId="77777777" w:rsidR="00584EC1" w:rsidRDefault="00871F8D">
            <w:pPr>
              <w:jc w:val="right"/>
              <w:textAlignment w:val="bottom"/>
            </w:pPr>
            <w:r>
              <w:rPr>
                <w:rFonts w:ascii="Arial" w:eastAsia="宋体" w:hAnsi="Arial" w:cs="Arial"/>
                <w:b/>
                <w:bCs/>
                <w:color w:val="000000"/>
                <w:sz w:val="15"/>
                <w:szCs w:val="15"/>
              </w:rPr>
              <w:t>(57,609)</w:t>
            </w:r>
          </w:p>
        </w:tc>
        <w:tc>
          <w:tcPr>
            <w:tcW w:w="0" w:type="auto"/>
            <w:shd w:val="clear" w:color="auto" w:fill="CCEEFF"/>
            <w:tcMar>
              <w:top w:w="40" w:type="dxa"/>
              <w:left w:w="0" w:type="dxa"/>
              <w:bottom w:w="40" w:type="dxa"/>
              <w:right w:w="20" w:type="dxa"/>
            </w:tcMar>
            <w:vAlign w:val="bottom"/>
          </w:tcPr>
          <w:p w14:paraId="74DDFDB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DB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FDBA" w14:textId="77777777" w:rsidR="00584EC1" w:rsidRDefault="00871F8D">
            <w:pPr>
              <w:jc w:val="right"/>
              <w:textAlignment w:val="bottom"/>
            </w:pPr>
            <w:r>
              <w:rPr>
                <w:rFonts w:ascii="Arial" w:eastAsia="宋体" w:hAnsi="Arial" w:cs="Arial"/>
                <w:b/>
                <w:bCs/>
                <w:color w:val="000000"/>
                <w:sz w:val="15"/>
                <w:szCs w:val="15"/>
              </w:rPr>
              <w:t>8,407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FDB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DBC"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FDBD" w14:textId="77777777" w:rsidR="00584EC1" w:rsidRDefault="00871F8D">
            <w:pPr>
              <w:jc w:val="right"/>
              <w:textAlignment w:val="bottom"/>
            </w:pPr>
            <w:r>
              <w:rPr>
                <w:rFonts w:ascii="Arial" w:eastAsia="宋体" w:hAnsi="Arial" w:cs="Arial"/>
                <w:b/>
                <w:bCs/>
                <w:color w:val="000000"/>
                <w:sz w:val="15"/>
                <w:szCs w:val="15"/>
              </w:rPr>
              <w:t>(7,802)</w:t>
            </w:r>
          </w:p>
        </w:tc>
        <w:tc>
          <w:tcPr>
            <w:tcW w:w="0" w:type="auto"/>
            <w:shd w:val="clear" w:color="auto" w:fill="CCEEFF"/>
            <w:tcMar>
              <w:top w:w="40" w:type="dxa"/>
              <w:left w:w="0" w:type="dxa"/>
              <w:bottom w:w="40" w:type="dxa"/>
              <w:right w:w="20" w:type="dxa"/>
            </w:tcMar>
            <w:vAlign w:val="bottom"/>
          </w:tcPr>
          <w:p w14:paraId="74DDFDB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DBF"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FDC0" w14:textId="77777777" w:rsidR="00584EC1" w:rsidRDefault="00871F8D">
            <w:pPr>
              <w:jc w:val="right"/>
              <w:textAlignment w:val="bottom"/>
            </w:pPr>
            <w:r>
              <w:rPr>
                <w:rFonts w:ascii="Arial" w:eastAsia="宋体" w:hAnsi="Arial" w:cs="Arial"/>
                <w:b/>
                <w:bCs/>
                <w:color w:val="000000"/>
                <w:sz w:val="15"/>
                <w:szCs w:val="15"/>
              </w:rPr>
              <w:t>605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FDC1" w14:textId="77777777" w:rsidR="00584EC1" w:rsidRDefault="00584EC1">
            <w:pPr>
              <w:jc w:val="right"/>
              <w:rPr>
                <w:rFonts w:ascii="宋体"/>
              </w:rPr>
            </w:pPr>
          </w:p>
        </w:tc>
        <w:tc>
          <w:tcPr>
            <w:tcW w:w="0" w:type="auto"/>
            <w:shd w:val="clear" w:color="auto" w:fill="auto"/>
            <w:vAlign w:val="bottom"/>
          </w:tcPr>
          <w:p w14:paraId="74DDFDC2" w14:textId="77777777" w:rsidR="00584EC1" w:rsidRDefault="00584EC1">
            <w:pPr>
              <w:rPr>
                <w:rFonts w:ascii="宋体"/>
                <w:vanish/>
              </w:rPr>
            </w:pPr>
          </w:p>
        </w:tc>
        <w:tc>
          <w:tcPr>
            <w:tcW w:w="0" w:type="auto"/>
            <w:gridSpan w:val="3"/>
            <w:shd w:val="clear" w:color="auto" w:fill="auto"/>
            <w:vAlign w:val="bottom"/>
          </w:tcPr>
          <w:p w14:paraId="74DDFDC3" w14:textId="77777777" w:rsidR="00584EC1" w:rsidRDefault="00584EC1">
            <w:pPr>
              <w:rPr>
                <w:rFonts w:ascii="宋体"/>
                <w:vanish/>
              </w:rPr>
            </w:pPr>
          </w:p>
        </w:tc>
        <w:tc>
          <w:tcPr>
            <w:tcW w:w="0" w:type="auto"/>
            <w:gridSpan w:val="3"/>
            <w:shd w:val="clear" w:color="auto" w:fill="auto"/>
            <w:vAlign w:val="bottom"/>
          </w:tcPr>
          <w:p w14:paraId="74DDFDC4" w14:textId="77777777" w:rsidR="00584EC1" w:rsidRDefault="00584EC1">
            <w:pPr>
              <w:rPr>
                <w:rFonts w:ascii="宋体"/>
                <w:vanish/>
              </w:rPr>
            </w:pPr>
          </w:p>
        </w:tc>
        <w:tc>
          <w:tcPr>
            <w:tcW w:w="0" w:type="auto"/>
            <w:gridSpan w:val="3"/>
            <w:shd w:val="clear" w:color="auto" w:fill="auto"/>
            <w:vAlign w:val="bottom"/>
          </w:tcPr>
          <w:p w14:paraId="74DDFDC5" w14:textId="77777777" w:rsidR="00584EC1" w:rsidRDefault="00584EC1">
            <w:pPr>
              <w:rPr>
                <w:rFonts w:ascii="宋体"/>
                <w:vanish/>
              </w:rPr>
            </w:pPr>
          </w:p>
        </w:tc>
        <w:tc>
          <w:tcPr>
            <w:tcW w:w="0" w:type="auto"/>
            <w:gridSpan w:val="3"/>
            <w:shd w:val="clear" w:color="auto" w:fill="auto"/>
            <w:vAlign w:val="bottom"/>
          </w:tcPr>
          <w:p w14:paraId="74DDFDC6" w14:textId="77777777" w:rsidR="00584EC1" w:rsidRDefault="00584EC1">
            <w:pPr>
              <w:rPr>
                <w:rFonts w:ascii="宋体"/>
                <w:vanish/>
              </w:rPr>
            </w:pPr>
          </w:p>
        </w:tc>
      </w:tr>
      <w:tr w:rsidR="00584EC1" w14:paraId="74DDFDE1" w14:textId="77777777">
        <w:tc>
          <w:tcPr>
            <w:tcW w:w="0" w:type="auto"/>
            <w:gridSpan w:val="3"/>
            <w:shd w:val="clear" w:color="auto" w:fill="FFFFFF"/>
            <w:tcMar>
              <w:top w:w="40" w:type="dxa"/>
              <w:left w:w="20" w:type="dxa"/>
              <w:bottom w:w="40" w:type="dxa"/>
              <w:right w:w="20" w:type="dxa"/>
            </w:tcMar>
            <w:vAlign w:val="bottom"/>
          </w:tcPr>
          <w:p w14:paraId="74DDFDC8" w14:textId="77777777" w:rsidR="00584EC1" w:rsidRDefault="00871F8D">
            <w:pPr>
              <w:textAlignment w:val="bottom"/>
            </w:pPr>
            <w:r>
              <w:rPr>
                <w:rFonts w:ascii="Arial" w:eastAsia="宋体" w:hAnsi="Arial" w:cs="Arial"/>
                <w:color w:val="000000"/>
                <w:sz w:val="15"/>
                <w:szCs w:val="15"/>
              </w:rPr>
              <w:t>Total derivatives and other financial instruments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FDC9" w14:textId="77777777" w:rsidR="00584EC1" w:rsidRDefault="00871F8D">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FDCA" w14:textId="77777777" w:rsidR="00584EC1" w:rsidRDefault="00871F8D">
            <w:pPr>
              <w:jc w:val="right"/>
              <w:textAlignment w:val="bottom"/>
            </w:pPr>
            <w:r>
              <w:rPr>
                <w:rFonts w:ascii="Arial" w:eastAsia="宋体" w:hAnsi="Arial" w:cs="Arial"/>
                <w:b/>
                <w:bCs/>
                <w:color w:val="000000"/>
                <w:sz w:val="15"/>
                <w:szCs w:val="15"/>
              </w:rPr>
              <w:t>81,954</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FDC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DCC"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FDCD" w14:textId="77777777" w:rsidR="00584EC1" w:rsidRDefault="00871F8D">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FDCE" w14:textId="77777777" w:rsidR="00584EC1" w:rsidRDefault="00871F8D">
            <w:pPr>
              <w:jc w:val="right"/>
              <w:textAlignment w:val="bottom"/>
            </w:pPr>
            <w:r>
              <w:rPr>
                <w:rFonts w:ascii="Arial" w:eastAsia="宋体" w:hAnsi="Arial" w:cs="Arial"/>
                <w:b/>
                <w:bCs/>
                <w:color w:val="000000"/>
                <w:sz w:val="15"/>
                <w:szCs w:val="15"/>
              </w:rPr>
              <w:t>(69,232)</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FDC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DD0"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FDD1" w14:textId="77777777" w:rsidR="00584EC1" w:rsidRDefault="00871F8D">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FDD2" w14:textId="77777777" w:rsidR="00584EC1" w:rsidRDefault="00871F8D">
            <w:pPr>
              <w:jc w:val="right"/>
              <w:textAlignment w:val="bottom"/>
            </w:pPr>
            <w:r>
              <w:rPr>
                <w:rFonts w:ascii="Arial" w:eastAsia="宋体" w:hAnsi="Arial" w:cs="Arial"/>
                <w:b/>
                <w:bCs/>
                <w:color w:val="000000"/>
                <w:sz w:val="15"/>
                <w:szCs w:val="15"/>
              </w:rPr>
              <w:t>12,722</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FDD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DD4"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FDD5" w14:textId="77777777" w:rsidR="00584EC1" w:rsidRDefault="00871F8D">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FDD6" w14:textId="77777777" w:rsidR="00584EC1" w:rsidRDefault="00871F8D">
            <w:pPr>
              <w:jc w:val="right"/>
              <w:textAlignment w:val="bottom"/>
            </w:pPr>
            <w:r>
              <w:rPr>
                <w:rFonts w:ascii="Arial" w:eastAsia="宋体" w:hAnsi="Arial" w:cs="Arial"/>
                <w:b/>
                <w:bCs/>
                <w:color w:val="000000"/>
                <w:sz w:val="15"/>
                <w:szCs w:val="15"/>
              </w:rPr>
              <w:t>(9,071)</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FDD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DD8"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FDD9" w14:textId="77777777" w:rsidR="00584EC1" w:rsidRDefault="00871F8D">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FDDA" w14:textId="77777777" w:rsidR="00584EC1" w:rsidRDefault="00871F8D">
            <w:pPr>
              <w:jc w:val="right"/>
              <w:textAlignment w:val="bottom"/>
            </w:pPr>
            <w:r>
              <w:rPr>
                <w:rFonts w:ascii="Arial" w:eastAsia="宋体" w:hAnsi="Arial" w:cs="Arial"/>
                <w:b/>
                <w:bCs/>
                <w:color w:val="000000"/>
                <w:sz w:val="15"/>
                <w:szCs w:val="15"/>
              </w:rPr>
              <w:t>3,651</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FDDB" w14:textId="77777777" w:rsidR="00584EC1" w:rsidRDefault="00584EC1">
            <w:pPr>
              <w:jc w:val="right"/>
              <w:rPr>
                <w:rFonts w:ascii="宋体"/>
              </w:rPr>
            </w:pPr>
          </w:p>
        </w:tc>
        <w:tc>
          <w:tcPr>
            <w:tcW w:w="0" w:type="auto"/>
            <w:shd w:val="clear" w:color="auto" w:fill="auto"/>
            <w:vAlign w:val="bottom"/>
          </w:tcPr>
          <w:p w14:paraId="74DDFDDC" w14:textId="77777777" w:rsidR="00584EC1" w:rsidRDefault="00584EC1">
            <w:pPr>
              <w:rPr>
                <w:rFonts w:ascii="宋体"/>
                <w:vanish/>
              </w:rPr>
            </w:pPr>
          </w:p>
        </w:tc>
        <w:tc>
          <w:tcPr>
            <w:tcW w:w="0" w:type="auto"/>
            <w:gridSpan w:val="3"/>
            <w:shd w:val="clear" w:color="auto" w:fill="auto"/>
            <w:vAlign w:val="bottom"/>
          </w:tcPr>
          <w:p w14:paraId="74DDFDDD" w14:textId="77777777" w:rsidR="00584EC1" w:rsidRDefault="00584EC1">
            <w:pPr>
              <w:rPr>
                <w:rFonts w:ascii="宋体"/>
                <w:vanish/>
              </w:rPr>
            </w:pPr>
          </w:p>
        </w:tc>
        <w:tc>
          <w:tcPr>
            <w:tcW w:w="0" w:type="auto"/>
            <w:gridSpan w:val="3"/>
            <w:shd w:val="clear" w:color="auto" w:fill="auto"/>
            <w:vAlign w:val="bottom"/>
          </w:tcPr>
          <w:p w14:paraId="74DDFDDE" w14:textId="77777777" w:rsidR="00584EC1" w:rsidRDefault="00584EC1">
            <w:pPr>
              <w:rPr>
                <w:rFonts w:ascii="宋体"/>
                <w:vanish/>
              </w:rPr>
            </w:pPr>
          </w:p>
        </w:tc>
        <w:tc>
          <w:tcPr>
            <w:tcW w:w="0" w:type="auto"/>
            <w:gridSpan w:val="3"/>
            <w:shd w:val="clear" w:color="auto" w:fill="auto"/>
            <w:vAlign w:val="bottom"/>
          </w:tcPr>
          <w:p w14:paraId="74DDFDDF" w14:textId="77777777" w:rsidR="00584EC1" w:rsidRDefault="00584EC1">
            <w:pPr>
              <w:rPr>
                <w:rFonts w:ascii="宋体"/>
                <w:vanish/>
              </w:rPr>
            </w:pPr>
          </w:p>
        </w:tc>
        <w:tc>
          <w:tcPr>
            <w:tcW w:w="0" w:type="auto"/>
            <w:gridSpan w:val="3"/>
            <w:shd w:val="clear" w:color="auto" w:fill="auto"/>
            <w:vAlign w:val="bottom"/>
          </w:tcPr>
          <w:p w14:paraId="74DDFDE0" w14:textId="77777777" w:rsidR="00584EC1" w:rsidRDefault="00584EC1">
            <w:pPr>
              <w:rPr>
                <w:rFonts w:ascii="宋体"/>
                <w:vanish/>
              </w:rPr>
            </w:pPr>
          </w:p>
        </w:tc>
      </w:tr>
    </w:tbl>
    <w:p w14:paraId="74DDFDE2" w14:textId="77777777" w:rsidR="00584EC1" w:rsidRDefault="00871F8D">
      <w:pPr>
        <w:ind w:firstLine="450"/>
        <w:jc w:val="right"/>
      </w:pPr>
      <w:r>
        <w:rPr>
          <w:rFonts w:ascii="Arial" w:eastAsia="宋体" w:hAnsi="Arial" w:cs="Arial"/>
          <w:color w:val="000000"/>
          <w:sz w:val="18"/>
          <w:szCs w:val="18"/>
        </w:rPr>
        <w:t>State Street Corporation | 81</w:t>
      </w:r>
    </w:p>
    <w:p w14:paraId="74DDFDE3" w14:textId="77777777" w:rsidR="00584EC1" w:rsidRDefault="00584EC1">
      <w:pPr>
        <w:ind w:firstLine="450"/>
        <w:jc w:val="center"/>
      </w:pPr>
    </w:p>
    <w:p w14:paraId="74DDFDE4" w14:textId="77777777" w:rsidR="00584EC1" w:rsidRDefault="00871F8D">
      <w:r>
        <w:pict w14:anchorId="74DE2A3F">
          <v:rect id="_x0000_i1105" style="width:415.3pt;height:1.5pt" o:hralign="center" o:hrstd="t" o:hr="t" fillcolor="#a0a0a0" stroked="f"/>
        </w:pict>
      </w:r>
    </w:p>
    <w:p w14:paraId="74DDFDE5" w14:textId="77777777" w:rsidR="00584EC1" w:rsidRDefault="00871F8D">
      <w:pPr>
        <w:ind w:firstLine="450"/>
        <w:jc w:val="center"/>
      </w:pPr>
      <w:r>
        <w:rPr>
          <w:rFonts w:ascii="Arial" w:eastAsia="宋体" w:hAnsi="Arial" w:cs="Arial"/>
          <w:b/>
          <w:bCs/>
          <w:color w:val="000000"/>
          <w:sz w:val="20"/>
          <w:szCs w:val="20"/>
        </w:rPr>
        <w:t>STATE STREET CORPORATION</w:t>
      </w:r>
    </w:p>
    <w:p w14:paraId="74DDFDE6" w14:textId="77777777" w:rsidR="00584EC1" w:rsidRDefault="00871F8D">
      <w:pPr>
        <w:ind w:firstLine="450"/>
        <w:jc w:val="center"/>
      </w:pPr>
      <w:r>
        <w:rPr>
          <w:rFonts w:ascii="Arial" w:eastAsia="宋体" w:hAnsi="Arial" w:cs="Arial"/>
          <w:b/>
          <w:bCs/>
          <w:color w:val="000000"/>
          <w:sz w:val="20"/>
          <w:szCs w:val="20"/>
        </w:rPr>
        <w:t>CONDENSED NOTES TO CONSOLIDATED FINANCIAL STATEMENTS</w:t>
      </w:r>
    </w:p>
    <w:p w14:paraId="74DDFDE7" w14:textId="77777777" w:rsidR="00584EC1" w:rsidRDefault="00871F8D">
      <w:pPr>
        <w:ind w:firstLine="450"/>
        <w:jc w:val="center"/>
      </w:pPr>
      <w:r>
        <w:rPr>
          <w:rFonts w:ascii="Arial" w:eastAsia="宋体" w:hAnsi="Arial" w:cs="Arial"/>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39"/>
        <w:gridCol w:w="1896"/>
        <w:gridCol w:w="37"/>
        <w:gridCol w:w="105"/>
        <w:gridCol w:w="1022"/>
        <w:gridCol w:w="36"/>
        <w:gridCol w:w="36"/>
        <w:gridCol w:w="36"/>
        <w:gridCol w:w="36"/>
        <w:gridCol w:w="105"/>
        <w:gridCol w:w="1179"/>
        <w:gridCol w:w="36"/>
        <w:gridCol w:w="36"/>
        <w:gridCol w:w="36"/>
        <w:gridCol w:w="36"/>
        <w:gridCol w:w="105"/>
        <w:gridCol w:w="1276"/>
        <w:gridCol w:w="36"/>
        <w:gridCol w:w="36"/>
        <w:gridCol w:w="36"/>
        <w:gridCol w:w="36"/>
        <w:gridCol w:w="105"/>
        <w:gridCol w:w="1032"/>
        <w:gridCol w:w="37"/>
        <w:gridCol w:w="36"/>
        <w:gridCol w:w="36"/>
        <w:gridCol w:w="36"/>
        <w:gridCol w:w="105"/>
        <w:gridCol w:w="716"/>
        <w:gridCol w:w="37"/>
      </w:tblGrid>
      <w:tr w:rsidR="00584EC1" w14:paraId="74DDFE06" w14:textId="77777777">
        <w:tc>
          <w:tcPr>
            <w:tcW w:w="50" w:type="pct"/>
            <w:shd w:val="clear" w:color="auto" w:fill="auto"/>
            <w:vAlign w:val="bottom"/>
          </w:tcPr>
          <w:p w14:paraId="74DDFDE8" w14:textId="77777777" w:rsidR="00584EC1" w:rsidRDefault="00584EC1">
            <w:pPr>
              <w:rPr>
                <w:rFonts w:ascii="宋体"/>
              </w:rPr>
            </w:pPr>
          </w:p>
        </w:tc>
        <w:tc>
          <w:tcPr>
            <w:tcW w:w="1165" w:type="pct"/>
            <w:shd w:val="clear" w:color="auto" w:fill="auto"/>
            <w:vAlign w:val="bottom"/>
          </w:tcPr>
          <w:p w14:paraId="74DDFDE9" w14:textId="77777777" w:rsidR="00584EC1" w:rsidRDefault="00584EC1">
            <w:pPr>
              <w:rPr>
                <w:rFonts w:ascii="宋体"/>
              </w:rPr>
            </w:pPr>
          </w:p>
        </w:tc>
        <w:tc>
          <w:tcPr>
            <w:tcW w:w="5" w:type="pct"/>
            <w:shd w:val="clear" w:color="auto" w:fill="auto"/>
            <w:vAlign w:val="bottom"/>
          </w:tcPr>
          <w:p w14:paraId="74DDFDEA" w14:textId="77777777" w:rsidR="00584EC1" w:rsidRDefault="00584EC1">
            <w:pPr>
              <w:rPr>
                <w:rFonts w:ascii="宋体"/>
              </w:rPr>
            </w:pPr>
          </w:p>
        </w:tc>
        <w:tc>
          <w:tcPr>
            <w:tcW w:w="50" w:type="pct"/>
            <w:shd w:val="clear" w:color="auto" w:fill="auto"/>
            <w:vAlign w:val="bottom"/>
          </w:tcPr>
          <w:p w14:paraId="74DDFDEB" w14:textId="77777777" w:rsidR="00584EC1" w:rsidRDefault="00584EC1">
            <w:pPr>
              <w:rPr>
                <w:rFonts w:ascii="宋体"/>
              </w:rPr>
            </w:pPr>
          </w:p>
        </w:tc>
        <w:tc>
          <w:tcPr>
            <w:tcW w:w="639" w:type="pct"/>
            <w:shd w:val="clear" w:color="auto" w:fill="auto"/>
            <w:vAlign w:val="bottom"/>
          </w:tcPr>
          <w:p w14:paraId="74DDFDEC" w14:textId="77777777" w:rsidR="00584EC1" w:rsidRDefault="00584EC1">
            <w:pPr>
              <w:rPr>
                <w:rFonts w:ascii="宋体"/>
              </w:rPr>
            </w:pPr>
          </w:p>
        </w:tc>
        <w:tc>
          <w:tcPr>
            <w:tcW w:w="5" w:type="pct"/>
            <w:shd w:val="clear" w:color="auto" w:fill="auto"/>
            <w:vAlign w:val="bottom"/>
          </w:tcPr>
          <w:p w14:paraId="74DDFDED" w14:textId="77777777" w:rsidR="00584EC1" w:rsidRDefault="00584EC1">
            <w:pPr>
              <w:rPr>
                <w:rFonts w:ascii="宋体"/>
              </w:rPr>
            </w:pPr>
          </w:p>
        </w:tc>
        <w:tc>
          <w:tcPr>
            <w:tcW w:w="5" w:type="pct"/>
            <w:shd w:val="clear" w:color="auto" w:fill="auto"/>
            <w:vAlign w:val="bottom"/>
          </w:tcPr>
          <w:p w14:paraId="74DDFDEE" w14:textId="77777777" w:rsidR="00584EC1" w:rsidRDefault="00584EC1">
            <w:pPr>
              <w:rPr>
                <w:rFonts w:ascii="宋体"/>
              </w:rPr>
            </w:pPr>
          </w:p>
        </w:tc>
        <w:tc>
          <w:tcPr>
            <w:tcW w:w="26" w:type="pct"/>
            <w:shd w:val="clear" w:color="auto" w:fill="auto"/>
            <w:vAlign w:val="bottom"/>
          </w:tcPr>
          <w:p w14:paraId="74DDFDEF" w14:textId="77777777" w:rsidR="00584EC1" w:rsidRDefault="00584EC1">
            <w:pPr>
              <w:rPr>
                <w:rFonts w:ascii="宋体"/>
              </w:rPr>
            </w:pPr>
          </w:p>
        </w:tc>
        <w:tc>
          <w:tcPr>
            <w:tcW w:w="5" w:type="pct"/>
            <w:shd w:val="clear" w:color="auto" w:fill="auto"/>
            <w:vAlign w:val="bottom"/>
          </w:tcPr>
          <w:p w14:paraId="74DDFDF0" w14:textId="77777777" w:rsidR="00584EC1" w:rsidRDefault="00584EC1">
            <w:pPr>
              <w:rPr>
                <w:rFonts w:ascii="宋体"/>
              </w:rPr>
            </w:pPr>
          </w:p>
        </w:tc>
        <w:tc>
          <w:tcPr>
            <w:tcW w:w="50" w:type="pct"/>
            <w:shd w:val="clear" w:color="auto" w:fill="auto"/>
            <w:vAlign w:val="bottom"/>
          </w:tcPr>
          <w:p w14:paraId="74DDFDF1" w14:textId="77777777" w:rsidR="00584EC1" w:rsidRDefault="00584EC1">
            <w:pPr>
              <w:rPr>
                <w:rFonts w:ascii="宋体"/>
              </w:rPr>
            </w:pPr>
          </w:p>
        </w:tc>
        <w:tc>
          <w:tcPr>
            <w:tcW w:w="756" w:type="pct"/>
            <w:shd w:val="clear" w:color="auto" w:fill="auto"/>
            <w:vAlign w:val="bottom"/>
          </w:tcPr>
          <w:p w14:paraId="74DDFDF2" w14:textId="77777777" w:rsidR="00584EC1" w:rsidRDefault="00584EC1">
            <w:pPr>
              <w:rPr>
                <w:rFonts w:ascii="宋体"/>
              </w:rPr>
            </w:pPr>
          </w:p>
        </w:tc>
        <w:tc>
          <w:tcPr>
            <w:tcW w:w="5" w:type="pct"/>
            <w:shd w:val="clear" w:color="auto" w:fill="auto"/>
            <w:vAlign w:val="bottom"/>
          </w:tcPr>
          <w:p w14:paraId="74DDFDF3" w14:textId="77777777" w:rsidR="00584EC1" w:rsidRDefault="00584EC1">
            <w:pPr>
              <w:rPr>
                <w:rFonts w:ascii="宋体"/>
              </w:rPr>
            </w:pPr>
          </w:p>
        </w:tc>
        <w:tc>
          <w:tcPr>
            <w:tcW w:w="5" w:type="pct"/>
            <w:shd w:val="clear" w:color="auto" w:fill="auto"/>
            <w:vAlign w:val="bottom"/>
          </w:tcPr>
          <w:p w14:paraId="74DDFDF4" w14:textId="77777777" w:rsidR="00584EC1" w:rsidRDefault="00584EC1">
            <w:pPr>
              <w:rPr>
                <w:rFonts w:ascii="宋体"/>
              </w:rPr>
            </w:pPr>
          </w:p>
        </w:tc>
        <w:tc>
          <w:tcPr>
            <w:tcW w:w="26" w:type="pct"/>
            <w:shd w:val="clear" w:color="auto" w:fill="auto"/>
            <w:vAlign w:val="bottom"/>
          </w:tcPr>
          <w:p w14:paraId="74DDFDF5" w14:textId="77777777" w:rsidR="00584EC1" w:rsidRDefault="00584EC1">
            <w:pPr>
              <w:rPr>
                <w:rFonts w:ascii="宋体"/>
              </w:rPr>
            </w:pPr>
          </w:p>
        </w:tc>
        <w:tc>
          <w:tcPr>
            <w:tcW w:w="5" w:type="pct"/>
            <w:shd w:val="clear" w:color="auto" w:fill="auto"/>
            <w:vAlign w:val="bottom"/>
          </w:tcPr>
          <w:p w14:paraId="74DDFDF6" w14:textId="77777777" w:rsidR="00584EC1" w:rsidRDefault="00584EC1">
            <w:pPr>
              <w:rPr>
                <w:rFonts w:ascii="宋体"/>
              </w:rPr>
            </w:pPr>
          </w:p>
        </w:tc>
        <w:tc>
          <w:tcPr>
            <w:tcW w:w="50" w:type="pct"/>
            <w:shd w:val="clear" w:color="auto" w:fill="auto"/>
            <w:vAlign w:val="bottom"/>
          </w:tcPr>
          <w:p w14:paraId="74DDFDF7" w14:textId="77777777" w:rsidR="00584EC1" w:rsidRDefault="00584EC1">
            <w:pPr>
              <w:rPr>
                <w:rFonts w:ascii="宋体"/>
              </w:rPr>
            </w:pPr>
          </w:p>
        </w:tc>
        <w:tc>
          <w:tcPr>
            <w:tcW w:w="814" w:type="pct"/>
            <w:shd w:val="clear" w:color="auto" w:fill="auto"/>
            <w:vAlign w:val="bottom"/>
          </w:tcPr>
          <w:p w14:paraId="74DDFDF8" w14:textId="77777777" w:rsidR="00584EC1" w:rsidRDefault="00584EC1">
            <w:pPr>
              <w:rPr>
                <w:rFonts w:ascii="宋体"/>
              </w:rPr>
            </w:pPr>
          </w:p>
        </w:tc>
        <w:tc>
          <w:tcPr>
            <w:tcW w:w="5" w:type="pct"/>
            <w:shd w:val="clear" w:color="auto" w:fill="auto"/>
            <w:vAlign w:val="bottom"/>
          </w:tcPr>
          <w:p w14:paraId="74DDFDF9" w14:textId="77777777" w:rsidR="00584EC1" w:rsidRDefault="00584EC1">
            <w:pPr>
              <w:rPr>
                <w:rFonts w:ascii="宋体"/>
              </w:rPr>
            </w:pPr>
          </w:p>
        </w:tc>
        <w:tc>
          <w:tcPr>
            <w:tcW w:w="5" w:type="pct"/>
            <w:shd w:val="clear" w:color="auto" w:fill="auto"/>
            <w:vAlign w:val="bottom"/>
          </w:tcPr>
          <w:p w14:paraId="74DDFDFA" w14:textId="77777777" w:rsidR="00584EC1" w:rsidRDefault="00584EC1">
            <w:pPr>
              <w:rPr>
                <w:rFonts w:ascii="宋体"/>
              </w:rPr>
            </w:pPr>
          </w:p>
        </w:tc>
        <w:tc>
          <w:tcPr>
            <w:tcW w:w="26" w:type="pct"/>
            <w:shd w:val="clear" w:color="auto" w:fill="auto"/>
            <w:vAlign w:val="bottom"/>
          </w:tcPr>
          <w:p w14:paraId="74DDFDFB" w14:textId="77777777" w:rsidR="00584EC1" w:rsidRDefault="00584EC1">
            <w:pPr>
              <w:rPr>
                <w:rFonts w:ascii="宋体"/>
              </w:rPr>
            </w:pPr>
          </w:p>
        </w:tc>
        <w:tc>
          <w:tcPr>
            <w:tcW w:w="5" w:type="pct"/>
            <w:shd w:val="clear" w:color="auto" w:fill="auto"/>
            <w:vAlign w:val="bottom"/>
          </w:tcPr>
          <w:p w14:paraId="74DDFDFC" w14:textId="77777777" w:rsidR="00584EC1" w:rsidRDefault="00584EC1">
            <w:pPr>
              <w:rPr>
                <w:rFonts w:ascii="宋体"/>
              </w:rPr>
            </w:pPr>
          </w:p>
        </w:tc>
        <w:tc>
          <w:tcPr>
            <w:tcW w:w="50" w:type="pct"/>
            <w:shd w:val="clear" w:color="auto" w:fill="auto"/>
            <w:vAlign w:val="bottom"/>
          </w:tcPr>
          <w:p w14:paraId="74DDFDFD" w14:textId="77777777" w:rsidR="00584EC1" w:rsidRDefault="00584EC1">
            <w:pPr>
              <w:rPr>
                <w:rFonts w:ascii="宋体"/>
              </w:rPr>
            </w:pPr>
          </w:p>
        </w:tc>
        <w:tc>
          <w:tcPr>
            <w:tcW w:w="668" w:type="pct"/>
            <w:shd w:val="clear" w:color="auto" w:fill="auto"/>
            <w:vAlign w:val="bottom"/>
          </w:tcPr>
          <w:p w14:paraId="74DDFDFE" w14:textId="77777777" w:rsidR="00584EC1" w:rsidRDefault="00584EC1">
            <w:pPr>
              <w:rPr>
                <w:rFonts w:ascii="宋体"/>
              </w:rPr>
            </w:pPr>
          </w:p>
        </w:tc>
        <w:tc>
          <w:tcPr>
            <w:tcW w:w="5" w:type="pct"/>
            <w:shd w:val="clear" w:color="auto" w:fill="auto"/>
            <w:vAlign w:val="bottom"/>
          </w:tcPr>
          <w:p w14:paraId="74DDFDFF" w14:textId="77777777" w:rsidR="00584EC1" w:rsidRDefault="00584EC1">
            <w:pPr>
              <w:rPr>
                <w:rFonts w:ascii="宋体"/>
              </w:rPr>
            </w:pPr>
          </w:p>
        </w:tc>
        <w:tc>
          <w:tcPr>
            <w:tcW w:w="5" w:type="pct"/>
            <w:shd w:val="clear" w:color="auto" w:fill="auto"/>
            <w:vAlign w:val="bottom"/>
          </w:tcPr>
          <w:p w14:paraId="74DDFE00" w14:textId="77777777" w:rsidR="00584EC1" w:rsidRDefault="00584EC1">
            <w:pPr>
              <w:rPr>
                <w:rFonts w:ascii="宋体"/>
              </w:rPr>
            </w:pPr>
          </w:p>
        </w:tc>
        <w:tc>
          <w:tcPr>
            <w:tcW w:w="26" w:type="pct"/>
            <w:shd w:val="clear" w:color="auto" w:fill="auto"/>
            <w:vAlign w:val="bottom"/>
          </w:tcPr>
          <w:p w14:paraId="74DDFE01" w14:textId="77777777" w:rsidR="00584EC1" w:rsidRDefault="00584EC1">
            <w:pPr>
              <w:rPr>
                <w:rFonts w:ascii="宋体"/>
              </w:rPr>
            </w:pPr>
          </w:p>
        </w:tc>
        <w:tc>
          <w:tcPr>
            <w:tcW w:w="5" w:type="pct"/>
            <w:shd w:val="clear" w:color="auto" w:fill="auto"/>
            <w:vAlign w:val="bottom"/>
          </w:tcPr>
          <w:p w14:paraId="74DDFE02" w14:textId="77777777" w:rsidR="00584EC1" w:rsidRDefault="00584EC1">
            <w:pPr>
              <w:rPr>
                <w:rFonts w:ascii="宋体"/>
              </w:rPr>
            </w:pPr>
          </w:p>
        </w:tc>
        <w:tc>
          <w:tcPr>
            <w:tcW w:w="50" w:type="pct"/>
            <w:shd w:val="clear" w:color="auto" w:fill="auto"/>
            <w:vAlign w:val="bottom"/>
          </w:tcPr>
          <w:p w14:paraId="74DDFE03" w14:textId="77777777" w:rsidR="00584EC1" w:rsidRDefault="00584EC1">
            <w:pPr>
              <w:rPr>
                <w:rFonts w:ascii="宋体"/>
              </w:rPr>
            </w:pPr>
          </w:p>
        </w:tc>
        <w:tc>
          <w:tcPr>
            <w:tcW w:w="478" w:type="pct"/>
            <w:shd w:val="clear" w:color="auto" w:fill="auto"/>
            <w:vAlign w:val="bottom"/>
          </w:tcPr>
          <w:p w14:paraId="74DDFE04" w14:textId="77777777" w:rsidR="00584EC1" w:rsidRDefault="00584EC1">
            <w:pPr>
              <w:rPr>
                <w:rFonts w:ascii="宋体"/>
              </w:rPr>
            </w:pPr>
          </w:p>
        </w:tc>
        <w:tc>
          <w:tcPr>
            <w:tcW w:w="5" w:type="pct"/>
            <w:shd w:val="clear" w:color="auto" w:fill="auto"/>
            <w:vAlign w:val="bottom"/>
          </w:tcPr>
          <w:p w14:paraId="74DDFE05" w14:textId="77777777" w:rsidR="00584EC1" w:rsidRDefault="00584EC1">
            <w:pPr>
              <w:rPr>
                <w:rFonts w:ascii="宋体"/>
              </w:rPr>
            </w:pPr>
          </w:p>
        </w:tc>
      </w:tr>
      <w:tr w:rsidR="00584EC1" w14:paraId="74DDFE09" w14:textId="77777777">
        <w:tc>
          <w:tcPr>
            <w:tcW w:w="0" w:type="auto"/>
            <w:gridSpan w:val="3"/>
            <w:shd w:val="clear" w:color="auto" w:fill="auto"/>
            <w:tcMar>
              <w:top w:w="40" w:type="dxa"/>
              <w:left w:w="20" w:type="dxa"/>
              <w:bottom w:w="40" w:type="dxa"/>
              <w:right w:w="20" w:type="dxa"/>
            </w:tcMar>
            <w:vAlign w:val="bottom"/>
          </w:tcPr>
          <w:p w14:paraId="74DDFE07" w14:textId="77777777" w:rsidR="00584EC1" w:rsidRDefault="00871F8D">
            <w:pPr>
              <w:textAlignment w:val="bottom"/>
            </w:pPr>
            <w:r>
              <w:rPr>
                <w:rFonts w:ascii="Arial" w:eastAsia="宋体" w:hAnsi="Arial" w:cs="Arial"/>
                <w:b/>
                <w:bCs/>
                <w:color w:val="000000"/>
                <w:sz w:val="15"/>
                <w:szCs w:val="15"/>
              </w:rPr>
              <w:t>Liabilities:</w:t>
            </w:r>
          </w:p>
        </w:tc>
        <w:tc>
          <w:tcPr>
            <w:tcW w:w="0" w:type="auto"/>
            <w:gridSpan w:val="27"/>
            <w:tcBorders>
              <w:bottom w:val="single" w:sz="8" w:space="0" w:color="000000"/>
            </w:tcBorders>
            <w:shd w:val="clear" w:color="auto" w:fill="auto"/>
            <w:tcMar>
              <w:top w:w="40" w:type="dxa"/>
              <w:left w:w="20" w:type="dxa"/>
              <w:bottom w:w="40" w:type="dxa"/>
              <w:right w:w="20" w:type="dxa"/>
            </w:tcMar>
            <w:vAlign w:val="bottom"/>
          </w:tcPr>
          <w:p w14:paraId="74DDFE08" w14:textId="77777777" w:rsidR="00584EC1" w:rsidRDefault="00871F8D">
            <w:pPr>
              <w:jc w:val="center"/>
              <w:textAlignment w:val="bottom"/>
            </w:pPr>
            <w:r>
              <w:rPr>
                <w:rFonts w:ascii="Arial" w:eastAsia="宋体" w:hAnsi="Arial" w:cs="Arial"/>
                <w:b/>
                <w:bCs/>
                <w:color w:val="000000"/>
                <w:sz w:val="15"/>
                <w:szCs w:val="15"/>
              </w:rPr>
              <w:t>December 31, 2020</w:t>
            </w:r>
          </w:p>
        </w:tc>
      </w:tr>
      <w:tr w:rsidR="00584EC1" w14:paraId="74DDFE12" w14:textId="77777777">
        <w:trPr>
          <w:trHeight w:val="360"/>
        </w:trPr>
        <w:tc>
          <w:tcPr>
            <w:tcW w:w="0" w:type="auto"/>
            <w:gridSpan w:val="3"/>
            <w:shd w:val="clear" w:color="auto" w:fill="auto"/>
            <w:tcMar>
              <w:top w:w="0" w:type="dxa"/>
              <w:left w:w="20" w:type="dxa"/>
              <w:bottom w:w="0" w:type="dxa"/>
              <w:right w:w="20" w:type="dxa"/>
            </w:tcMar>
            <w:vAlign w:val="bottom"/>
          </w:tcPr>
          <w:p w14:paraId="74DDFE0A" w14:textId="77777777" w:rsidR="00584EC1" w:rsidRDefault="00584EC1">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4DDFE0B" w14:textId="77777777" w:rsidR="00584EC1" w:rsidRDefault="00871F8D">
            <w:pPr>
              <w:jc w:val="center"/>
              <w:textAlignment w:val="bottom"/>
            </w:pPr>
            <w:r>
              <w:rPr>
                <w:rFonts w:ascii="Arial" w:eastAsia="宋体" w:hAnsi="Arial" w:cs="Arial"/>
                <w:b/>
                <w:bCs/>
                <w:color w:val="000000"/>
                <w:sz w:val="15"/>
                <w:szCs w:val="15"/>
              </w:rPr>
              <w:t>Gross Amounts of Recognized Liabilities</w:t>
            </w:r>
            <w:r>
              <w:rPr>
                <w:rFonts w:ascii="Arial" w:eastAsia="宋体" w:hAnsi="Arial" w:cs="Arial"/>
                <w:b/>
                <w:bCs/>
                <w:color w:val="000000"/>
                <w:sz w:val="9"/>
                <w:szCs w:val="9"/>
              </w:rPr>
              <w:t>(1)(2)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E0C" w14:textId="77777777" w:rsidR="00584EC1" w:rsidRDefault="00584EC1">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4DDFE0D" w14:textId="77777777" w:rsidR="00584EC1" w:rsidRDefault="00871F8D">
            <w:pPr>
              <w:jc w:val="center"/>
              <w:textAlignment w:val="bottom"/>
            </w:pPr>
            <w:r>
              <w:rPr>
                <w:rFonts w:ascii="Arial" w:eastAsia="宋体" w:hAnsi="Arial" w:cs="Arial"/>
                <w:b/>
                <w:bCs/>
                <w:color w:val="000000"/>
                <w:sz w:val="15"/>
                <w:szCs w:val="15"/>
              </w:rPr>
              <w:t>Gross Amounts Offset in Statement of Condition</w:t>
            </w:r>
            <w:r>
              <w:rPr>
                <w:rFonts w:ascii="Arial" w:eastAsia="宋体" w:hAnsi="Arial" w:cs="Arial"/>
                <w:b/>
                <w:bCs/>
                <w:color w:val="000000"/>
                <w:sz w:val="9"/>
                <w:szCs w:val="9"/>
              </w:rPr>
              <w:t>(3)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E0E" w14:textId="77777777" w:rsidR="00584EC1" w:rsidRDefault="00584EC1">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4DDFE0F" w14:textId="77777777" w:rsidR="00584EC1" w:rsidRDefault="00871F8D">
            <w:pPr>
              <w:jc w:val="center"/>
              <w:textAlignment w:val="bottom"/>
            </w:pPr>
            <w:r>
              <w:rPr>
                <w:rFonts w:ascii="Arial" w:eastAsia="宋体" w:hAnsi="Arial" w:cs="Arial"/>
                <w:b/>
                <w:bCs/>
                <w:color w:val="000000"/>
                <w:sz w:val="15"/>
                <w:szCs w:val="15"/>
              </w:rPr>
              <w:t xml:space="preserve">Net Amounts of </w:t>
            </w:r>
            <w:r>
              <w:rPr>
                <w:rFonts w:ascii="Arial" w:eastAsia="宋体" w:hAnsi="Arial" w:cs="Arial"/>
                <w:b/>
                <w:bCs/>
                <w:color w:val="000000"/>
                <w:sz w:val="15"/>
                <w:szCs w:val="15"/>
              </w:rPr>
              <w:t>Liabilities Presented in Statement of Condition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E10" w14:textId="77777777" w:rsidR="00584EC1" w:rsidRDefault="00584E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4DDFE11" w14:textId="77777777" w:rsidR="00584EC1" w:rsidRDefault="00871F8D">
            <w:pPr>
              <w:jc w:val="center"/>
              <w:textAlignment w:val="bottom"/>
            </w:pPr>
            <w:r>
              <w:rPr>
                <w:rFonts w:ascii="Arial" w:eastAsia="宋体" w:hAnsi="Arial" w:cs="Arial"/>
                <w:b/>
                <w:bCs/>
                <w:color w:val="000000"/>
                <w:sz w:val="15"/>
                <w:szCs w:val="15"/>
              </w:rPr>
              <w:t>Gross Amounts Not Offset in Statement of Condition</w:t>
            </w:r>
          </w:p>
        </w:tc>
      </w:tr>
      <w:tr w:rsidR="00584EC1" w14:paraId="74DDFE1D" w14:textId="77777777">
        <w:trPr>
          <w:trHeight w:val="520"/>
        </w:trPr>
        <w:tc>
          <w:tcPr>
            <w:tcW w:w="0" w:type="auto"/>
            <w:gridSpan w:val="3"/>
            <w:shd w:val="clear" w:color="auto" w:fill="auto"/>
            <w:tcMar>
              <w:top w:w="40" w:type="dxa"/>
              <w:left w:w="20" w:type="dxa"/>
              <w:bottom w:w="40" w:type="dxa"/>
              <w:right w:w="20" w:type="dxa"/>
            </w:tcMar>
            <w:vAlign w:val="bottom"/>
          </w:tcPr>
          <w:p w14:paraId="74DDFE13" w14:textId="77777777" w:rsidR="00584EC1" w:rsidRDefault="00871F8D">
            <w:pPr>
              <w:textAlignment w:val="bottom"/>
            </w:pPr>
            <w:r>
              <w:rPr>
                <w:rFonts w:ascii="Arial" w:eastAsia="宋体" w:hAnsi="Arial" w:cs="Arial"/>
                <w:b/>
                <w:bCs/>
                <w:color w:val="000000"/>
                <w:sz w:val="15"/>
                <w:szCs w:val="15"/>
              </w:rPr>
              <w:t>(In millions)</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4DDFE14"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E15" w14:textId="77777777" w:rsidR="00584EC1" w:rsidRDefault="00584EC1">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4DDFE16"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E17" w14:textId="77777777" w:rsidR="00584EC1" w:rsidRDefault="00584EC1">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4DDFE18" w14:textId="77777777" w:rsidR="00584EC1" w:rsidRDefault="00584EC1">
            <w:pPr>
              <w:jc w:val="center"/>
              <w:rPr>
                <w:rFonts w:ascii="宋体"/>
              </w:rPr>
            </w:pPr>
          </w:p>
        </w:tc>
        <w:tc>
          <w:tcPr>
            <w:tcW w:w="0" w:type="auto"/>
            <w:gridSpan w:val="3"/>
            <w:shd w:val="clear" w:color="auto" w:fill="auto"/>
            <w:tcMar>
              <w:top w:w="0" w:type="dxa"/>
              <w:left w:w="20" w:type="dxa"/>
              <w:bottom w:w="0" w:type="dxa"/>
              <w:right w:w="20" w:type="dxa"/>
            </w:tcMar>
            <w:vAlign w:val="bottom"/>
          </w:tcPr>
          <w:p w14:paraId="74DDFE19"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FE1A" w14:textId="77777777" w:rsidR="00584EC1" w:rsidRDefault="00871F8D">
            <w:pPr>
              <w:jc w:val="center"/>
              <w:textAlignment w:val="bottom"/>
            </w:pPr>
            <w:r>
              <w:rPr>
                <w:rFonts w:ascii="Arial" w:eastAsia="宋体" w:hAnsi="Arial" w:cs="Arial"/>
                <w:b/>
                <w:bCs/>
                <w:color w:val="000000"/>
                <w:sz w:val="15"/>
                <w:szCs w:val="15"/>
              </w:rPr>
              <w:t>Cash and Securities Received</w:t>
            </w:r>
            <w:r>
              <w:rPr>
                <w:rFonts w:ascii="Arial" w:eastAsia="宋体" w:hAnsi="Arial" w:cs="Arial"/>
                <w:b/>
                <w:bCs/>
                <w:color w:val="000000"/>
                <w:sz w:val="9"/>
                <w:szCs w:val="9"/>
              </w:rPr>
              <w:t>(4)</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E1B"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FE1C" w14:textId="77777777" w:rsidR="00584EC1" w:rsidRDefault="00871F8D">
            <w:pPr>
              <w:jc w:val="center"/>
              <w:textAlignment w:val="bottom"/>
            </w:pPr>
            <w:r>
              <w:rPr>
                <w:rFonts w:ascii="Arial" w:eastAsia="宋体" w:hAnsi="Arial" w:cs="Arial"/>
                <w:b/>
                <w:bCs/>
                <w:color w:val="000000"/>
                <w:sz w:val="15"/>
                <w:szCs w:val="15"/>
              </w:rPr>
              <w:t>Net Amount</w:t>
            </w:r>
            <w:r>
              <w:rPr>
                <w:rFonts w:ascii="Arial" w:eastAsia="宋体" w:hAnsi="Arial" w:cs="Arial"/>
                <w:b/>
                <w:bCs/>
                <w:color w:val="000000"/>
                <w:sz w:val="9"/>
                <w:szCs w:val="9"/>
              </w:rPr>
              <w:t>(5)</w:t>
            </w:r>
          </w:p>
        </w:tc>
      </w:tr>
      <w:tr w:rsidR="00584EC1" w14:paraId="74DDFE28" w14:textId="77777777">
        <w:tc>
          <w:tcPr>
            <w:tcW w:w="0" w:type="auto"/>
            <w:gridSpan w:val="3"/>
            <w:shd w:val="clear" w:color="auto" w:fill="auto"/>
            <w:tcMar>
              <w:top w:w="40" w:type="dxa"/>
              <w:left w:w="20" w:type="dxa"/>
              <w:bottom w:w="40" w:type="dxa"/>
              <w:right w:w="20" w:type="dxa"/>
            </w:tcMar>
            <w:vAlign w:val="bottom"/>
          </w:tcPr>
          <w:p w14:paraId="74DDFE1E" w14:textId="77777777" w:rsidR="00584EC1" w:rsidRDefault="00871F8D">
            <w:pPr>
              <w:textAlignment w:val="bottom"/>
            </w:pPr>
            <w:r>
              <w:rPr>
                <w:rFonts w:ascii="Arial" w:eastAsia="宋体" w:hAnsi="Arial" w:cs="Arial"/>
                <w:b/>
                <w:bCs/>
                <w:color w:val="000000"/>
                <w:sz w:val="15"/>
                <w:szCs w:val="15"/>
              </w:rPr>
              <w:t>Derivatives: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E1F"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E20"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E2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E22"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E23"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E24"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E2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E26"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E27" w14:textId="77777777" w:rsidR="00584EC1" w:rsidRDefault="00584EC1">
            <w:pPr>
              <w:rPr>
                <w:rFonts w:ascii="宋体"/>
              </w:rPr>
            </w:pPr>
          </w:p>
        </w:tc>
      </w:tr>
      <w:tr w:rsidR="00584EC1" w14:paraId="74DDFE3D" w14:textId="77777777">
        <w:tc>
          <w:tcPr>
            <w:tcW w:w="0" w:type="auto"/>
            <w:gridSpan w:val="3"/>
            <w:shd w:val="clear" w:color="auto" w:fill="CCEEFF"/>
            <w:tcMar>
              <w:top w:w="40" w:type="dxa"/>
              <w:left w:w="20" w:type="dxa"/>
              <w:bottom w:w="40" w:type="dxa"/>
              <w:right w:w="20" w:type="dxa"/>
            </w:tcMar>
            <w:vAlign w:val="bottom"/>
          </w:tcPr>
          <w:p w14:paraId="74DDFE29" w14:textId="77777777" w:rsidR="00584EC1" w:rsidRDefault="00871F8D">
            <w:pPr>
              <w:textAlignment w:val="bottom"/>
            </w:pPr>
            <w:r>
              <w:rPr>
                <w:rFonts w:ascii="Arial" w:eastAsia="宋体" w:hAnsi="Arial" w:cs="Arial"/>
                <w:color w:val="000000"/>
                <w:sz w:val="15"/>
                <w:szCs w:val="15"/>
              </w:rPr>
              <w:t>Foreign exchange contracts</w:t>
            </w:r>
          </w:p>
        </w:tc>
        <w:tc>
          <w:tcPr>
            <w:tcW w:w="0" w:type="auto"/>
            <w:shd w:val="clear" w:color="auto" w:fill="CCEEFF"/>
            <w:tcMar>
              <w:top w:w="40" w:type="dxa"/>
              <w:left w:w="20" w:type="dxa"/>
              <w:bottom w:w="40" w:type="dxa"/>
              <w:right w:w="0" w:type="dxa"/>
            </w:tcMar>
            <w:vAlign w:val="bottom"/>
          </w:tcPr>
          <w:p w14:paraId="74DDFE2A" w14:textId="77777777" w:rsidR="00584EC1" w:rsidRDefault="00871F8D">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4DDFE2B" w14:textId="77777777" w:rsidR="00584EC1" w:rsidRDefault="00871F8D">
            <w:pPr>
              <w:jc w:val="right"/>
              <w:textAlignment w:val="bottom"/>
            </w:pPr>
            <w:r>
              <w:rPr>
                <w:rFonts w:ascii="Arial" w:eastAsia="宋体" w:hAnsi="Arial" w:cs="Arial"/>
                <w:color w:val="000000"/>
                <w:sz w:val="15"/>
                <w:szCs w:val="15"/>
              </w:rPr>
              <w:t>25,927 </w:t>
            </w:r>
          </w:p>
        </w:tc>
        <w:tc>
          <w:tcPr>
            <w:tcW w:w="0" w:type="auto"/>
            <w:shd w:val="clear" w:color="auto" w:fill="CCEEFF"/>
            <w:tcMar>
              <w:top w:w="40" w:type="dxa"/>
              <w:left w:w="0" w:type="dxa"/>
              <w:bottom w:w="40" w:type="dxa"/>
              <w:right w:w="20" w:type="dxa"/>
            </w:tcMar>
            <w:vAlign w:val="bottom"/>
          </w:tcPr>
          <w:p w14:paraId="74DDFE2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E2D"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FE2E" w14:textId="77777777" w:rsidR="00584EC1" w:rsidRDefault="00871F8D">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4DDFE2F" w14:textId="77777777" w:rsidR="00584EC1" w:rsidRDefault="00871F8D">
            <w:pPr>
              <w:jc w:val="right"/>
              <w:textAlignment w:val="bottom"/>
            </w:pPr>
            <w:r>
              <w:rPr>
                <w:rFonts w:ascii="Arial" w:eastAsia="宋体" w:hAnsi="Arial" w:cs="Arial"/>
                <w:color w:val="000000"/>
                <w:sz w:val="15"/>
                <w:szCs w:val="15"/>
              </w:rPr>
              <w:t>(14,271)</w:t>
            </w:r>
          </w:p>
        </w:tc>
        <w:tc>
          <w:tcPr>
            <w:tcW w:w="0" w:type="auto"/>
            <w:shd w:val="clear" w:color="auto" w:fill="CCEEFF"/>
            <w:tcMar>
              <w:top w:w="40" w:type="dxa"/>
              <w:left w:w="0" w:type="dxa"/>
              <w:bottom w:w="40" w:type="dxa"/>
              <w:right w:w="20" w:type="dxa"/>
            </w:tcMar>
            <w:vAlign w:val="bottom"/>
          </w:tcPr>
          <w:p w14:paraId="74DDFE3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E31"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FE32" w14:textId="77777777" w:rsidR="00584EC1" w:rsidRDefault="00871F8D">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4DDFE33" w14:textId="77777777" w:rsidR="00584EC1" w:rsidRDefault="00871F8D">
            <w:pPr>
              <w:jc w:val="right"/>
              <w:textAlignment w:val="bottom"/>
            </w:pPr>
            <w:r>
              <w:rPr>
                <w:rFonts w:ascii="Arial" w:eastAsia="宋体" w:hAnsi="Arial" w:cs="Arial"/>
                <w:color w:val="000000"/>
                <w:sz w:val="15"/>
                <w:szCs w:val="15"/>
              </w:rPr>
              <w:t>11,656 </w:t>
            </w:r>
          </w:p>
        </w:tc>
        <w:tc>
          <w:tcPr>
            <w:tcW w:w="0" w:type="auto"/>
            <w:shd w:val="clear" w:color="auto" w:fill="CCEEFF"/>
            <w:tcMar>
              <w:top w:w="40" w:type="dxa"/>
              <w:left w:w="0" w:type="dxa"/>
              <w:bottom w:w="40" w:type="dxa"/>
              <w:right w:w="20" w:type="dxa"/>
            </w:tcMar>
            <w:vAlign w:val="bottom"/>
          </w:tcPr>
          <w:p w14:paraId="74DDFE3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E35"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FE36" w14:textId="77777777" w:rsidR="00584EC1" w:rsidRDefault="00871F8D">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4DDFE37"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FE3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E39"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FE3A" w14:textId="77777777" w:rsidR="00584EC1" w:rsidRDefault="00871F8D">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4DDFE3B" w14:textId="77777777" w:rsidR="00584EC1" w:rsidRDefault="00871F8D">
            <w:pPr>
              <w:jc w:val="right"/>
              <w:textAlignment w:val="bottom"/>
            </w:pPr>
            <w:r>
              <w:rPr>
                <w:rFonts w:ascii="Arial" w:eastAsia="宋体" w:hAnsi="Arial" w:cs="Arial"/>
                <w:color w:val="000000"/>
                <w:sz w:val="15"/>
                <w:szCs w:val="15"/>
              </w:rPr>
              <w:t>11,656 </w:t>
            </w:r>
          </w:p>
        </w:tc>
        <w:tc>
          <w:tcPr>
            <w:tcW w:w="0" w:type="auto"/>
            <w:shd w:val="clear" w:color="auto" w:fill="CCEEFF"/>
            <w:tcMar>
              <w:top w:w="40" w:type="dxa"/>
              <w:left w:w="0" w:type="dxa"/>
              <w:bottom w:w="40" w:type="dxa"/>
              <w:right w:w="20" w:type="dxa"/>
            </w:tcMar>
            <w:vAlign w:val="bottom"/>
          </w:tcPr>
          <w:p w14:paraId="74DDFE3C" w14:textId="77777777" w:rsidR="00584EC1" w:rsidRDefault="00584EC1">
            <w:pPr>
              <w:jc w:val="right"/>
              <w:rPr>
                <w:rFonts w:ascii="宋体"/>
              </w:rPr>
            </w:pPr>
          </w:p>
        </w:tc>
      </w:tr>
      <w:tr w:rsidR="00584EC1" w14:paraId="74DDFE4D" w14:textId="77777777">
        <w:tc>
          <w:tcPr>
            <w:tcW w:w="0" w:type="auto"/>
            <w:gridSpan w:val="3"/>
            <w:shd w:val="clear" w:color="auto" w:fill="FFFFFF"/>
            <w:tcMar>
              <w:top w:w="40" w:type="dxa"/>
              <w:left w:w="20" w:type="dxa"/>
              <w:bottom w:w="40" w:type="dxa"/>
              <w:right w:w="20" w:type="dxa"/>
            </w:tcMar>
            <w:vAlign w:val="bottom"/>
          </w:tcPr>
          <w:p w14:paraId="74DDFE3E" w14:textId="77777777" w:rsidR="00584EC1" w:rsidRDefault="00871F8D">
            <w:pPr>
              <w:textAlignment w:val="bottom"/>
            </w:pPr>
            <w:r>
              <w:rPr>
                <w:rFonts w:ascii="Arial" w:eastAsia="宋体" w:hAnsi="Arial" w:cs="Arial"/>
                <w:color w:val="000000"/>
                <w:sz w:val="15"/>
                <w:szCs w:val="15"/>
              </w:rPr>
              <w:t>Interest rate contracts</w:t>
            </w:r>
            <w:r>
              <w:rPr>
                <w:rFonts w:ascii="Arial" w:eastAsia="宋体" w:hAnsi="Arial" w:cs="Arial"/>
                <w:color w:val="000000"/>
                <w:sz w:val="9"/>
                <w:szCs w:val="9"/>
              </w:rPr>
              <w:t>(6)</w:t>
            </w:r>
          </w:p>
        </w:tc>
        <w:tc>
          <w:tcPr>
            <w:tcW w:w="0" w:type="auto"/>
            <w:gridSpan w:val="2"/>
            <w:shd w:val="clear" w:color="auto" w:fill="FFFFFF"/>
            <w:tcMar>
              <w:top w:w="40" w:type="dxa"/>
              <w:left w:w="20" w:type="dxa"/>
              <w:bottom w:w="40" w:type="dxa"/>
              <w:right w:w="0" w:type="dxa"/>
            </w:tcMar>
            <w:vAlign w:val="bottom"/>
          </w:tcPr>
          <w:p w14:paraId="74DDFE3F" w14:textId="77777777" w:rsidR="00584EC1" w:rsidRDefault="00871F8D">
            <w:pPr>
              <w:jc w:val="right"/>
              <w:textAlignment w:val="bottom"/>
            </w:pPr>
            <w:r>
              <w:rPr>
                <w:rFonts w:ascii="Arial" w:eastAsia="宋体" w:hAnsi="Arial" w:cs="Arial"/>
                <w:color w:val="000000"/>
                <w:sz w:val="15"/>
                <w:szCs w:val="15"/>
              </w:rPr>
              <w:t>42 </w:t>
            </w:r>
          </w:p>
        </w:tc>
        <w:tc>
          <w:tcPr>
            <w:tcW w:w="0" w:type="auto"/>
            <w:shd w:val="clear" w:color="auto" w:fill="FFFFFF"/>
            <w:tcMar>
              <w:top w:w="40" w:type="dxa"/>
              <w:left w:w="0" w:type="dxa"/>
              <w:bottom w:w="40" w:type="dxa"/>
              <w:right w:w="20" w:type="dxa"/>
            </w:tcMar>
            <w:vAlign w:val="bottom"/>
          </w:tcPr>
          <w:p w14:paraId="74DDFE4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E4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E42"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FE4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E4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E45" w14:textId="77777777" w:rsidR="00584EC1" w:rsidRDefault="00871F8D">
            <w:pPr>
              <w:jc w:val="right"/>
              <w:textAlignment w:val="bottom"/>
            </w:pPr>
            <w:r>
              <w:rPr>
                <w:rFonts w:ascii="Arial" w:eastAsia="宋体" w:hAnsi="Arial" w:cs="Arial"/>
                <w:color w:val="000000"/>
                <w:sz w:val="15"/>
                <w:szCs w:val="15"/>
              </w:rPr>
              <w:t>42 </w:t>
            </w:r>
          </w:p>
        </w:tc>
        <w:tc>
          <w:tcPr>
            <w:tcW w:w="0" w:type="auto"/>
            <w:shd w:val="clear" w:color="auto" w:fill="FFFFFF"/>
            <w:tcMar>
              <w:top w:w="40" w:type="dxa"/>
              <w:left w:w="0" w:type="dxa"/>
              <w:bottom w:w="40" w:type="dxa"/>
              <w:right w:w="20" w:type="dxa"/>
            </w:tcMar>
            <w:vAlign w:val="bottom"/>
          </w:tcPr>
          <w:p w14:paraId="74DDFE4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E4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E48"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FE4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E4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E4B" w14:textId="77777777" w:rsidR="00584EC1" w:rsidRDefault="00871F8D">
            <w:pPr>
              <w:jc w:val="right"/>
              <w:textAlignment w:val="bottom"/>
            </w:pPr>
            <w:r>
              <w:rPr>
                <w:rFonts w:ascii="Arial" w:eastAsia="宋体" w:hAnsi="Arial" w:cs="Arial"/>
                <w:color w:val="000000"/>
                <w:sz w:val="15"/>
                <w:szCs w:val="15"/>
              </w:rPr>
              <w:t>42 </w:t>
            </w:r>
          </w:p>
        </w:tc>
        <w:tc>
          <w:tcPr>
            <w:tcW w:w="0" w:type="auto"/>
            <w:shd w:val="clear" w:color="auto" w:fill="FFFFFF"/>
            <w:tcMar>
              <w:top w:w="40" w:type="dxa"/>
              <w:left w:w="0" w:type="dxa"/>
              <w:bottom w:w="40" w:type="dxa"/>
              <w:right w:w="20" w:type="dxa"/>
            </w:tcMar>
            <w:vAlign w:val="bottom"/>
          </w:tcPr>
          <w:p w14:paraId="74DDFE4C" w14:textId="77777777" w:rsidR="00584EC1" w:rsidRDefault="00584EC1">
            <w:pPr>
              <w:jc w:val="right"/>
              <w:rPr>
                <w:rFonts w:ascii="宋体"/>
              </w:rPr>
            </w:pPr>
          </w:p>
        </w:tc>
      </w:tr>
      <w:tr w:rsidR="00584EC1" w14:paraId="74DDFE5D" w14:textId="77777777">
        <w:tc>
          <w:tcPr>
            <w:tcW w:w="0" w:type="auto"/>
            <w:gridSpan w:val="3"/>
            <w:shd w:val="clear" w:color="auto" w:fill="CCEEFF"/>
            <w:tcMar>
              <w:top w:w="40" w:type="dxa"/>
              <w:left w:w="20" w:type="dxa"/>
              <w:bottom w:w="40" w:type="dxa"/>
              <w:right w:w="20" w:type="dxa"/>
            </w:tcMar>
            <w:vAlign w:val="bottom"/>
          </w:tcPr>
          <w:p w14:paraId="74DDFE4E" w14:textId="77777777" w:rsidR="00584EC1" w:rsidRDefault="00871F8D">
            <w:pPr>
              <w:textAlignment w:val="bottom"/>
            </w:pPr>
            <w:r>
              <w:rPr>
                <w:rFonts w:ascii="Arial" w:eastAsia="宋体" w:hAnsi="Arial" w:cs="Arial"/>
                <w:color w:val="000000"/>
                <w:sz w:val="15"/>
                <w:szCs w:val="15"/>
              </w:rPr>
              <w:t>Other derivative contracts</w:t>
            </w:r>
          </w:p>
        </w:tc>
        <w:tc>
          <w:tcPr>
            <w:tcW w:w="0" w:type="auto"/>
            <w:gridSpan w:val="2"/>
            <w:shd w:val="clear" w:color="auto" w:fill="CCEEFF"/>
            <w:tcMar>
              <w:top w:w="40" w:type="dxa"/>
              <w:left w:w="20" w:type="dxa"/>
              <w:bottom w:w="40" w:type="dxa"/>
              <w:right w:w="0" w:type="dxa"/>
            </w:tcMar>
            <w:vAlign w:val="bottom"/>
          </w:tcPr>
          <w:p w14:paraId="74DDFE4F" w14:textId="77777777" w:rsidR="00584EC1" w:rsidRDefault="00871F8D">
            <w:pPr>
              <w:jc w:val="right"/>
              <w:textAlignment w:val="bottom"/>
            </w:pPr>
            <w:r>
              <w:rPr>
                <w:rFonts w:ascii="Arial" w:eastAsia="宋体" w:hAnsi="Arial" w:cs="Arial"/>
                <w:color w:val="000000"/>
                <w:sz w:val="15"/>
                <w:szCs w:val="15"/>
              </w:rPr>
              <w:t>157 </w:t>
            </w:r>
          </w:p>
        </w:tc>
        <w:tc>
          <w:tcPr>
            <w:tcW w:w="0" w:type="auto"/>
            <w:shd w:val="clear" w:color="auto" w:fill="CCEEFF"/>
            <w:tcMar>
              <w:top w:w="40" w:type="dxa"/>
              <w:left w:w="0" w:type="dxa"/>
              <w:bottom w:w="40" w:type="dxa"/>
              <w:right w:w="20" w:type="dxa"/>
            </w:tcMar>
            <w:vAlign w:val="bottom"/>
          </w:tcPr>
          <w:p w14:paraId="74DDFE5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E5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FE52"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FE5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E54"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FE55" w14:textId="77777777" w:rsidR="00584EC1" w:rsidRDefault="00871F8D">
            <w:pPr>
              <w:jc w:val="right"/>
              <w:textAlignment w:val="bottom"/>
            </w:pPr>
            <w:r>
              <w:rPr>
                <w:rFonts w:ascii="Arial" w:eastAsia="宋体" w:hAnsi="Arial" w:cs="Arial"/>
                <w:color w:val="000000"/>
                <w:sz w:val="15"/>
                <w:szCs w:val="15"/>
              </w:rPr>
              <w:t>157 </w:t>
            </w:r>
          </w:p>
        </w:tc>
        <w:tc>
          <w:tcPr>
            <w:tcW w:w="0" w:type="auto"/>
            <w:shd w:val="clear" w:color="auto" w:fill="CCEEFF"/>
            <w:tcMar>
              <w:top w:w="40" w:type="dxa"/>
              <w:left w:w="0" w:type="dxa"/>
              <w:bottom w:w="40" w:type="dxa"/>
              <w:right w:w="20" w:type="dxa"/>
            </w:tcMar>
            <w:vAlign w:val="bottom"/>
          </w:tcPr>
          <w:p w14:paraId="74DDFE5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E5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FE58"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FE5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E5A"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FE5B" w14:textId="77777777" w:rsidR="00584EC1" w:rsidRDefault="00871F8D">
            <w:pPr>
              <w:jc w:val="right"/>
              <w:textAlignment w:val="bottom"/>
            </w:pPr>
            <w:r>
              <w:rPr>
                <w:rFonts w:ascii="Arial" w:eastAsia="宋体" w:hAnsi="Arial" w:cs="Arial"/>
                <w:color w:val="000000"/>
                <w:sz w:val="15"/>
                <w:szCs w:val="15"/>
              </w:rPr>
              <w:t>157 </w:t>
            </w:r>
          </w:p>
        </w:tc>
        <w:tc>
          <w:tcPr>
            <w:tcW w:w="0" w:type="auto"/>
            <w:shd w:val="clear" w:color="auto" w:fill="CCEEFF"/>
            <w:tcMar>
              <w:top w:w="40" w:type="dxa"/>
              <w:left w:w="0" w:type="dxa"/>
              <w:bottom w:w="40" w:type="dxa"/>
              <w:right w:w="20" w:type="dxa"/>
            </w:tcMar>
            <w:vAlign w:val="bottom"/>
          </w:tcPr>
          <w:p w14:paraId="74DDFE5C" w14:textId="77777777" w:rsidR="00584EC1" w:rsidRDefault="00584EC1">
            <w:pPr>
              <w:jc w:val="right"/>
              <w:rPr>
                <w:rFonts w:ascii="宋体"/>
              </w:rPr>
            </w:pPr>
          </w:p>
        </w:tc>
      </w:tr>
      <w:tr w:rsidR="00584EC1" w14:paraId="74DDFE6C" w14:textId="77777777">
        <w:tc>
          <w:tcPr>
            <w:tcW w:w="0" w:type="auto"/>
            <w:gridSpan w:val="3"/>
            <w:shd w:val="clear" w:color="auto" w:fill="FFFFFF"/>
            <w:tcMar>
              <w:top w:w="40" w:type="dxa"/>
              <w:left w:w="20" w:type="dxa"/>
              <w:bottom w:w="40" w:type="dxa"/>
              <w:right w:w="20" w:type="dxa"/>
            </w:tcMar>
            <w:vAlign w:val="bottom"/>
          </w:tcPr>
          <w:p w14:paraId="74DDFE5E" w14:textId="77777777" w:rsidR="00584EC1" w:rsidRDefault="00871F8D">
            <w:pPr>
              <w:textAlignment w:val="bottom"/>
            </w:pPr>
            <w:r>
              <w:rPr>
                <w:rFonts w:ascii="Arial" w:eastAsia="宋体" w:hAnsi="Arial" w:cs="Arial"/>
                <w:color w:val="000000"/>
                <w:sz w:val="15"/>
                <w:szCs w:val="15"/>
              </w:rPr>
              <w:t>Cash collateral and securities netting</w:t>
            </w:r>
          </w:p>
        </w:tc>
        <w:tc>
          <w:tcPr>
            <w:tcW w:w="0" w:type="auto"/>
            <w:gridSpan w:val="3"/>
            <w:shd w:val="clear" w:color="auto" w:fill="FFFFFF"/>
            <w:tcMar>
              <w:top w:w="40" w:type="dxa"/>
              <w:left w:w="20" w:type="dxa"/>
              <w:bottom w:w="40" w:type="dxa"/>
              <w:right w:w="20" w:type="dxa"/>
            </w:tcMar>
            <w:vAlign w:val="bottom"/>
          </w:tcPr>
          <w:p w14:paraId="74DDFE5F" w14:textId="77777777" w:rsidR="00584EC1" w:rsidRDefault="00871F8D">
            <w:pPr>
              <w:jc w:val="right"/>
              <w:textAlignment w:val="bottom"/>
            </w:pPr>
            <w:r>
              <w:rPr>
                <w:rFonts w:ascii="Arial" w:eastAsia="宋体" w:hAnsi="Arial" w:cs="Arial"/>
                <w:color w:val="000000"/>
                <w:sz w:val="15"/>
                <w:szCs w:val="15"/>
              </w:rPr>
              <w:t>NA</w:t>
            </w:r>
          </w:p>
        </w:tc>
        <w:tc>
          <w:tcPr>
            <w:tcW w:w="0" w:type="auto"/>
            <w:gridSpan w:val="3"/>
            <w:shd w:val="clear" w:color="auto" w:fill="FFFFFF"/>
            <w:tcMar>
              <w:top w:w="0" w:type="dxa"/>
              <w:left w:w="20" w:type="dxa"/>
              <w:bottom w:w="0" w:type="dxa"/>
              <w:right w:w="20" w:type="dxa"/>
            </w:tcMar>
            <w:vAlign w:val="bottom"/>
          </w:tcPr>
          <w:p w14:paraId="74DDFE6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E61" w14:textId="77777777" w:rsidR="00584EC1" w:rsidRDefault="00871F8D">
            <w:pPr>
              <w:jc w:val="right"/>
              <w:textAlignment w:val="bottom"/>
            </w:pPr>
            <w:r>
              <w:rPr>
                <w:rFonts w:ascii="Arial" w:eastAsia="宋体" w:hAnsi="Arial" w:cs="Arial"/>
                <w:color w:val="000000"/>
                <w:sz w:val="15"/>
                <w:szCs w:val="15"/>
              </w:rPr>
              <w:t>(1,287)</w:t>
            </w:r>
          </w:p>
        </w:tc>
        <w:tc>
          <w:tcPr>
            <w:tcW w:w="0" w:type="auto"/>
            <w:shd w:val="clear" w:color="auto" w:fill="FFFFFF"/>
            <w:tcMar>
              <w:top w:w="40" w:type="dxa"/>
              <w:left w:w="0" w:type="dxa"/>
              <w:bottom w:w="40" w:type="dxa"/>
              <w:right w:w="20" w:type="dxa"/>
            </w:tcMar>
            <w:vAlign w:val="bottom"/>
          </w:tcPr>
          <w:p w14:paraId="74DDFE6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E6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E64" w14:textId="77777777" w:rsidR="00584EC1" w:rsidRDefault="00871F8D">
            <w:pPr>
              <w:jc w:val="right"/>
              <w:textAlignment w:val="bottom"/>
            </w:pPr>
            <w:r>
              <w:rPr>
                <w:rFonts w:ascii="Arial" w:eastAsia="宋体" w:hAnsi="Arial" w:cs="Arial"/>
                <w:color w:val="000000"/>
                <w:sz w:val="15"/>
                <w:szCs w:val="15"/>
              </w:rPr>
              <w:t>(1,287)</w:t>
            </w:r>
          </w:p>
        </w:tc>
        <w:tc>
          <w:tcPr>
            <w:tcW w:w="0" w:type="auto"/>
            <w:shd w:val="clear" w:color="auto" w:fill="FFFFFF"/>
            <w:tcMar>
              <w:top w:w="40" w:type="dxa"/>
              <w:left w:w="0" w:type="dxa"/>
              <w:bottom w:w="40" w:type="dxa"/>
              <w:right w:w="20" w:type="dxa"/>
            </w:tcMar>
            <w:vAlign w:val="bottom"/>
          </w:tcPr>
          <w:p w14:paraId="74DDFE6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E6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E67" w14:textId="77777777" w:rsidR="00584EC1" w:rsidRDefault="00871F8D">
            <w:pPr>
              <w:jc w:val="right"/>
              <w:textAlignment w:val="bottom"/>
            </w:pPr>
            <w:r>
              <w:rPr>
                <w:rFonts w:ascii="Arial" w:eastAsia="宋体" w:hAnsi="Arial" w:cs="Arial"/>
                <w:color w:val="000000"/>
                <w:sz w:val="15"/>
                <w:szCs w:val="15"/>
              </w:rPr>
              <w:t>(1,732)</w:t>
            </w:r>
          </w:p>
        </w:tc>
        <w:tc>
          <w:tcPr>
            <w:tcW w:w="0" w:type="auto"/>
            <w:shd w:val="clear" w:color="auto" w:fill="FFFFFF"/>
            <w:tcMar>
              <w:top w:w="40" w:type="dxa"/>
              <w:left w:w="0" w:type="dxa"/>
              <w:bottom w:w="40" w:type="dxa"/>
              <w:right w:w="20" w:type="dxa"/>
            </w:tcMar>
            <w:vAlign w:val="bottom"/>
          </w:tcPr>
          <w:p w14:paraId="74DDFE6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E6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E6A" w14:textId="77777777" w:rsidR="00584EC1" w:rsidRDefault="00871F8D">
            <w:pPr>
              <w:jc w:val="right"/>
              <w:textAlignment w:val="bottom"/>
            </w:pPr>
            <w:r>
              <w:rPr>
                <w:rFonts w:ascii="Arial" w:eastAsia="宋体" w:hAnsi="Arial" w:cs="Arial"/>
                <w:color w:val="000000"/>
                <w:sz w:val="15"/>
                <w:szCs w:val="15"/>
              </w:rPr>
              <w:t>(3,019)</w:t>
            </w:r>
          </w:p>
        </w:tc>
        <w:tc>
          <w:tcPr>
            <w:tcW w:w="0" w:type="auto"/>
            <w:shd w:val="clear" w:color="auto" w:fill="FFFFFF"/>
            <w:tcMar>
              <w:top w:w="40" w:type="dxa"/>
              <w:left w:w="0" w:type="dxa"/>
              <w:bottom w:w="40" w:type="dxa"/>
              <w:right w:w="20" w:type="dxa"/>
            </w:tcMar>
            <w:vAlign w:val="bottom"/>
          </w:tcPr>
          <w:p w14:paraId="74DDFE6B" w14:textId="77777777" w:rsidR="00584EC1" w:rsidRDefault="00584EC1">
            <w:pPr>
              <w:jc w:val="right"/>
              <w:rPr>
                <w:rFonts w:ascii="宋体"/>
              </w:rPr>
            </w:pPr>
          </w:p>
        </w:tc>
      </w:tr>
      <w:tr w:rsidR="00584EC1" w14:paraId="74DDFE7C" w14:textId="77777777">
        <w:tc>
          <w:tcPr>
            <w:tcW w:w="0" w:type="auto"/>
            <w:gridSpan w:val="3"/>
            <w:shd w:val="clear" w:color="auto" w:fill="CCEEFF"/>
            <w:tcMar>
              <w:top w:w="40" w:type="dxa"/>
              <w:left w:w="20" w:type="dxa"/>
              <w:bottom w:w="40" w:type="dxa"/>
              <w:right w:w="20" w:type="dxa"/>
            </w:tcMar>
            <w:vAlign w:val="bottom"/>
          </w:tcPr>
          <w:p w14:paraId="74DDFE6D" w14:textId="77777777" w:rsidR="00584EC1" w:rsidRDefault="00871F8D">
            <w:pPr>
              <w:textAlignment w:val="bottom"/>
            </w:pPr>
            <w:r>
              <w:rPr>
                <w:rFonts w:ascii="Arial" w:eastAsia="宋体" w:hAnsi="Arial" w:cs="Arial"/>
                <w:color w:val="000000"/>
                <w:sz w:val="15"/>
                <w:szCs w:val="15"/>
              </w:rPr>
              <w:t>Total derivatives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FE6E" w14:textId="77777777" w:rsidR="00584EC1" w:rsidRDefault="00871F8D">
            <w:pPr>
              <w:jc w:val="right"/>
              <w:textAlignment w:val="bottom"/>
            </w:pPr>
            <w:r>
              <w:rPr>
                <w:rFonts w:ascii="Arial" w:eastAsia="宋体" w:hAnsi="Arial" w:cs="Arial"/>
                <w:color w:val="000000"/>
                <w:sz w:val="15"/>
                <w:szCs w:val="15"/>
              </w:rPr>
              <w:t>26,126 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FE6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E70"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FE71" w14:textId="77777777" w:rsidR="00584EC1" w:rsidRDefault="00871F8D">
            <w:pPr>
              <w:jc w:val="right"/>
              <w:textAlignment w:val="bottom"/>
            </w:pPr>
            <w:r>
              <w:rPr>
                <w:rFonts w:ascii="Arial" w:eastAsia="宋体" w:hAnsi="Arial" w:cs="Arial"/>
                <w:color w:val="000000"/>
                <w:sz w:val="15"/>
                <w:szCs w:val="15"/>
              </w:rPr>
              <w:t>(15,558)</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FE7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E73"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FE74" w14:textId="77777777" w:rsidR="00584EC1" w:rsidRDefault="00871F8D">
            <w:pPr>
              <w:jc w:val="right"/>
              <w:textAlignment w:val="bottom"/>
            </w:pPr>
            <w:r>
              <w:rPr>
                <w:rFonts w:ascii="Arial" w:eastAsia="宋体" w:hAnsi="Arial" w:cs="Arial"/>
                <w:color w:val="000000"/>
                <w:sz w:val="15"/>
                <w:szCs w:val="15"/>
              </w:rPr>
              <w:t>10,568 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FE7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E76"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FE77" w14:textId="77777777" w:rsidR="00584EC1" w:rsidRDefault="00871F8D">
            <w:pPr>
              <w:jc w:val="right"/>
              <w:textAlignment w:val="bottom"/>
            </w:pPr>
            <w:r>
              <w:rPr>
                <w:rFonts w:ascii="Arial" w:eastAsia="宋体" w:hAnsi="Arial" w:cs="Arial"/>
                <w:color w:val="000000"/>
                <w:sz w:val="15"/>
                <w:szCs w:val="15"/>
              </w:rPr>
              <w:t>(1,732)</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FE7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E79"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DFE7A" w14:textId="77777777" w:rsidR="00584EC1" w:rsidRDefault="00871F8D">
            <w:pPr>
              <w:jc w:val="right"/>
              <w:textAlignment w:val="bottom"/>
            </w:pPr>
            <w:r>
              <w:rPr>
                <w:rFonts w:ascii="Arial" w:eastAsia="宋体" w:hAnsi="Arial" w:cs="Arial"/>
                <w:color w:val="000000"/>
                <w:sz w:val="15"/>
                <w:szCs w:val="15"/>
              </w:rPr>
              <w:t>8,836 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DFE7B" w14:textId="77777777" w:rsidR="00584EC1" w:rsidRDefault="00584EC1">
            <w:pPr>
              <w:jc w:val="right"/>
              <w:rPr>
                <w:rFonts w:ascii="宋体"/>
              </w:rPr>
            </w:pPr>
          </w:p>
        </w:tc>
      </w:tr>
      <w:tr w:rsidR="00584EC1" w14:paraId="74DDFE87" w14:textId="77777777">
        <w:tc>
          <w:tcPr>
            <w:tcW w:w="0" w:type="auto"/>
            <w:gridSpan w:val="3"/>
            <w:shd w:val="clear" w:color="auto" w:fill="FFFFFF"/>
            <w:tcMar>
              <w:top w:w="40" w:type="dxa"/>
              <w:left w:w="20" w:type="dxa"/>
              <w:bottom w:w="40" w:type="dxa"/>
              <w:right w:w="20" w:type="dxa"/>
            </w:tcMar>
            <w:vAlign w:val="bottom"/>
          </w:tcPr>
          <w:p w14:paraId="74DDFE7D" w14:textId="77777777" w:rsidR="00584EC1" w:rsidRDefault="00871F8D">
            <w:pPr>
              <w:textAlignment w:val="bottom"/>
            </w:pPr>
            <w:r>
              <w:rPr>
                <w:rFonts w:ascii="Arial" w:eastAsia="宋体" w:hAnsi="Arial" w:cs="Arial"/>
                <w:b/>
                <w:bCs/>
                <w:color w:val="000000"/>
                <w:sz w:val="15"/>
                <w:szCs w:val="15"/>
              </w:rPr>
              <w:t>Other financial instruments:</w:t>
            </w:r>
          </w:p>
        </w:tc>
        <w:tc>
          <w:tcPr>
            <w:tcW w:w="0" w:type="auto"/>
            <w:gridSpan w:val="3"/>
            <w:shd w:val="clear" w:color="auto" w:fill="FFFFFF"/>
            <w:tcMar>
              <w:top w:w="0" w:type="dxa"/>
              <w:left w:w="20" w:type="dxa"/>
              <w:bottom w:w="0" w:type="dxa"/>
              <w:right w:w="20" w:type="dxa"/>
            </w:tcMar>
            <w:vAlign w:val="bottom"/>
          </w:tcPr>
          <w:p w14:paraId="74DDFE7E"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FE7F"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FE80"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FE81"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FE8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FE83"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FE84"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FE85"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DFE86" w14:textId="77777777" w:rsidR="00584EC1" w:rsidRDefault="00584EC1">
            <w:pPr>
              <w:rPr>
                <w:rFonts w:ascii="宋体"/>
              </w:rPr>
            </w:pPr>
          </w:p>
        </w:tc>
      </w:tr>
      <w:tr w:rsidR="00584EC1" w14:paraId="74DDFE97" w14:textId="77777777">
        <w:tc>
          <w:tcPr>
            <w:tcW w:w="0" w:type="auto"/>
            <w:gridSpan w:val="3"/>
            <w:shd w:val="clear" w:color="auto" w:fill="CCEEFF"/>
            <w:tcMar>
              <w:top w:w="40" w:type="dxa"/>
              <w:left w:w="20" w:type="dxa"/>
              <w:bottom w:w="40" w:type="dxa"/>
              <w:right w:w="20" w:type="dxa"/>
            </w:tcMar>
            <w:vAlign w:val="bottom"/>
          </w:tcPr>
          <w:p w14:paraId="74DDFE88" w14:textId="77777777" w:rsidR="00584EC1" w:rsidRDefault="00871F8D">
            <w:pPr>
              <w:textAlignment w:val="bottom"/>
            </w:pPr>
            <w:r>
              <w:rPr>
                <w:rFonts w:ascii="Arial" w:eastAsia="宋体" w:hAnsi="Arial" w:cs="Arial"/>
                <w:color w:val="000000"/>
                <w:sz w:val="15"/>
                <w:szCs w:val="15"/>
              </w:rPr>
              <w:t>Repurchase agreements and securities lending</w:t>
            </w:r>
            <w:r>
              <w:rPr>
                <w:rFonts w:ascii="Arial" w:eastAsia="宋体" w:hAnsi="Arial" w:cs="Arial"/>
                <w:color w:val="000000"/>
                <w:sz w:val="9"/>
                <w:szCs w:val="9"/>
              </w:rPr>
              <w:t>(7)(8)</w:t>
            </w:r>
          </w:p>
        </w:tc>
        <w:tc>
          <w:tcPr>
            <w:tcW w:w="0" w:type="auto"/>
            <w:gridSpan w:val="2"/>
            <w:shd w:val="clear" w:color="auto" w:fill="CCEEFF"/>
            <w:tcMar>
              <w:top w:w="40" w:type="dxa"/>
              <w:left w:w="20" w:type="dxa"/>
              <w:bottom w:w="40" w:type="dxa"/>
              <w:right w:w="0" w:type="dxa"/>
            </w:tcMar>
            <w:vAlign w:val="bottom"/>
          </w:tcPr>
          <w:p w14:paraId="74DDFE89" w14:textId="77777777" w:rsidR="00584EC1" w:rsidRDefault="00871F8D">
            <w:pPr>
              <w:jc w:val="right"/>
              <w:textAlignment w:val="bottom"/>
            </w:pPr>
            <w:r>
              <w:rPr>
                <w:rFonts w:ascii="Arial" w:eastAsia="宋体" w:hAnsi="Arial" w:cs="Arial"/>
                <w:color w:val="000000"/>
                <w:sz w:val="15"/>
                <w:szCs w:val="15"/>
              </w:rPr>
              <w:t>165,793 </w:t>
            </w:r>
          </w:p>
        </w:tc>
        <w:tc>
          <w:tcPr>
            <w:tcW w:w="0" w:type="auto"/>
            <w:shd w:val="clear" w:color="auto" w:fill="CCEEFF"/>
            <w:tcMar>
              <w:top w:w="40" w:type="dxa"/>
              <w:left w:w="0" w:type="dxa"/>
              <w:bottom w:w="40" w:type="dxa"/>
              <w:right w:w="20" w:type="dxa"/>
            </w:tcMar>
            <w:vAlign w:val="bottom"/>
          </w:tcPr>
          <w:p w14:paraId="74DDFE8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E8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FE8C" w14:textId="77777777" w:rsidR="00584EC1" w:rsidRDefault="00871F8D">
            <w:pPr>
              <w:jc w:val="right"/>
              <w:textAlignment w:val="bottom"/>
            </w:pPr>
            <w:r>
              <w:rPr>
                <w:rFonts w:ascii="Arial" w:eastAsia="宋体" w:hAnsi="Arial" w:cs="Arial"/>
                <w:color w:val="000000"/>
                <w:sz w:val="15"/>
                <w:szCs w:val="15"/>
              </w:rPr>
              <w:t>(153,025)</w:t>
            </w:r>
          </w:p>
        </w:tc>
        <w:tc>
          <w:tcPr>
            <w:tcW w:w="0" w:type="auto"/>
            <w:shd w:val="clear" w:color="auto" w:fill="CCEEFF"/>
            <w:tcMar>
              <w:top w:w="40" w:type="dxa"/>
              <w:left w:w="0" w:type="dxa"/>
              <w:bottom w:w="40" w:type="dxa"/>
              <w:right w:w="20" w:type="dxa"/>
            </w:tcMar>
            <w:vAlign w:val="bottom"/>
          </w:tcPr>
          <w:p w14:paraId="74DDFE8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E8E"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FE8F" w14:textId="77777777" w:rsidR="00584EC1" w:rsidRDefault="00871F8D">
            <w:pPr>
              <w:jc w:val="right"/>
              <w:textAlignment w:val="bottom"/>
            </w:pPr>
            <w:r>
              <w:rPr>
                <w:rFonts w:ascii="Arial" w:eastAsia="宋体" w:hAnsi="Arial" w:cs="Arial"/>
                <w:color w:val="000000"/>
                <w:sz w:val="15"/>
                <w:szCs w:val="15"/>
              </w:rPr>
              <w:t>12,768 </w:t>
            </w:r>
          </w:p>
        </w:tc>
        <w:tc>
          <w:tcPr>
            <w:tcW w:w="0" w:type="auto"/>
            <w:shd w:val="clear" w:color="auto" w:fill="CCEEFF"/>
            <w:tcMar>
              <w:top w:w="40" w:type="dxa"/>
              <w:left w:w="0" w:type="dxa"/>
              <w:bottom w:w="40" w:type="dxa"/>
              <w:right w:w="20" w:type="dxa"/>
            </w:tcMar>
            <w:vAlign w:val="bottom"/>
          </w:tcPr>
          <w:p w14:paraId="74DDFE9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E9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FE92" w14:textId="77777777" w:rsidR="00584EC1" w:rsidRDefault="00871F8D">
            <w:pPr>
              <w:jc w:val="right"/>
              <w:textAlignment w:val="bottom"/>
            </w:pPr>
            <w:r>
              <w:rPr>
                <w:rFonts w:ascii="Arial" w:eastAsia="宋体" w:hAnsi="Arial" w:cs="Arial"/>
                <w:color w:val="000000"/>
                <w:sz w:val="15"/>
                <w:szCs w:val="15"/>
              </w:rPr>
              <w:t>(12,448)</w:t>
            </w:r>
          </w:p>
        </w:tc>
        <w:tc>
          <w:tcPr>
            <w:tcW w:w="0" w:type="auto"/>
            <w:shd w:val="clear" w:color="auto" w:fill="CCEEFF"/>
            <w:tcMar>
              <w:top w:w="40" w:type="dxa"/>
              <w:left w:w="0" w:type="dxa"/>
              <w:bottom w:w="40" w:type="dxa"/>
              <w:right w:w="20" w:type="dxa"/>
            </w:tcMar>
            <w:vAlign w:val="bottom"/>
          </w:tcPr>
          <w:p w14:paraId="74DDFE9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E94"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DFE95" w14:textId="77777777" w:rsidR="00584EC1" w:rsidRDefault="00871F8D">
            <w:pPr>
              <w:jc w:val="right"/>
              <w:textAlignment w:val="bottom"/>
            </w:pPr>
            <w:r>
              <w:rPr>
                <w:rFonts w:ascii="Arial" w:eastAsia="宋体" w:hAnsi="Arial" w:cs="Arial"/>
                <w:color w:val="000000"/>
                <w:sz w:val="15"/>
                <w:szCs w:val="15"/>
              </w:rPr>
              <w:t>320 </w:t>
            </w:r>
          </w:p>
        </w:tc>
        <w:tc>
          <w:tcPr>
            <w:tcW w:w="0" w:type="auto"/>
            <w:shd w:val="clear" w:color="auto" w:fill="CCEEFF"/>
            <w:tcMar>
              <w:top w:w="40" w:type="dxa"/>
              <w:left w:w="0" w:type="dxa"/>
              <w:bottom w:w="40" w:type="dxa"/>
              <w:right w:w="20" w:type="dxa"/>
            </w:tcMar>
            <w:vAlign w:val="bottom"/>
          </w:tcPr>
          <w:p w14:paraId="74DDFE96" w14:textId="77777777" w:rsidR="00584EC1" w:rsidRDefault="00584EC1">
            <w:pPr>
              <w:jc w:val="right"/>
              <w:rPr>
                <w:rFonts w:ascii="宋体"/>
              </w:rPr>
            </w:pPr>
          </w:p>
        </w:tc>
      </w:tr>
      <w:tr w:rsidR="00584EC1" w14:paraId="74DDFEAC" w14:textId="77777777">
        <w:tc>
          <w:tcPr>
            <w:tcW w:w="0" w:type="auto"/>
            <w:gridSpan w:val="3"/>
            <w:shd w:val="clear" w:color="auto" w:fill="FFFFFF"/>
            <w:tcMar>
              <w:top w:w="40" w:type="dxa"/>
              <w:left w:w="20" w:type="dxa"/>
              <w:bottom w:w="40" w:type="dxa"/>
              <w:right w:w="20" w:type="dxa"/>
            </w:tcMar>
            <w:vAlign w:val="bottom"/>
          </w:tcPr>
          <w:p w14:paraId="74DDFE98" w14:textId="77777777" w:rsidR="00584EC1" w:rsidRDefault="00871F8D">
            <w:pPr>
              <w:textAlignment w:val="bottom"/>
            </w:pPr>
            <w:r>
              <w:rPr>
                <w:rFonts w:ascii="Arial" w:eastAsia="宋体" w:hAnsi="Arial" w:cs="Arial"/>
                <w:color w:val="000000"/>
                <w:sz w:val="15"/>
                <w:szCs w:val="15"/>
              </w:rPr>
              <w:t>Total derivatives and other financial instruments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FE99"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FE9A" w14:textId="77777777" w:rsidR="00584EC1" w:rsidRDefault="00871F8D">
            <w:pPr>
              <w:jc w:val="right"/>
              <w:textAlignment w:val="bottom"/>
            </w:pPr>
            <w:r>
              <w:rPr>
                <w:rFonts w:ascii="Arial" w:eastAsia="宋体" w:hAnsi="Arial" w:cs="Arial"/>
                <w:color w:val="000000"/>
                <w:sz w:val="15"/>
                <w:szCs w:val="15"/>
              </w:rPr>
              <w:t>191,919 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FE9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E9C"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FE9D"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FE9E" w14:textId="77777777" w:rsidR="00584EC1" w:rsidRDefault="00871F8D">
            <w:pPr>
              <w:jc w:val="right"/>
              <w:textAlignment w:val="bottom"/>
            </w:pPr>
            <w:r>
              <w:rPr>
                <w:rFonts w:ascii="Arial" w:eastAsia="宋体" w:hAnsi="Arial" w:cs="Arial"/>
                <w:color w:val="000000"/>
                <w:sz w:val="15"/>
                <w:szCs w:val="15"/>
              </w:rPr>
              <w:t>(168,583)</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FE9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EA0"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FEA1"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FEA2" w14:textId="77777777" w:rsidR="00584EC1" w:rsidRDefault="00871F8D">
            <w:pPr>
              <w:jc w:val="right"/>
              <w:textAlignment w:val="bottom"/>
            </w:pPr>
            <w:r>
              <w:rPr>
                <w:rFonts w:ascii="Arial" w:eastAsia="宋体" w:hAnsi="Arial" w:cs="Arial"/>
                <w:color w:val="000000"/>
                <w:sz w:val="15"/>
                <w:szCs w:val="15"/>
              </w:rPr>
              <w:t>23,336 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FEA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EA4"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FEA5"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FEA6" w14:textId="77777777" w:rsidR="00584EC1" w:rsidRDefault="00871F8D">
            <w:pPr>
              <w:jc w:val="right"/>
              <w:textAlignment w:val="bottom"/>
            </w:pPr>
            <w:r>
              <w:rPr>
                <w:rFonts w:ascii="Arial" w:eastAsia="宋体" w:hAnsi="Arial" w:cs="Arial"/>
                <w:color w:val="000000"/>
                <w:sz w:val="15"/>
                <w:szCs w:val="15"/>
              </w:rPr>
              <w:t>(14,180)</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FEA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EA8"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DFEA9"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DFEAA" w14:textId="77777777" w:rsidR="00584EC1" w:rsidRDefault="00871F8D">
            <w:pPr>
              <w:jc w:val="right"/>
              <w:textAlignment w:val="bottom"/>
            </w:pPr>
            <w:r>
              <w:rPr>
                <w:rFonts w:ascii="Arial" w:eastAsia="宋体" w:hAnsi="Arial" w:cs="Arial"/>
                <w:color w:val="000000"/>
                <w:sz w:val="15"/>
                <w:szCs w:val="15"/>
              </w:rPr>
              <w:t>9,156 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DFEAB" w14:textId="77777777" w:rsidR="00584EC1" w:rsidRDefault="00584EC1">
            <w:pPr>
              <w:jc w:val="right"/>
              <w:rPr>
                <w:rFonts w:ascii="宋体"/>
              </w:rPr>
            </w:pPr>
          </w:p>
        </w:tc>
      </w:tr>
    </w:tbl>
    <w:p w14:paraId="74DDFEAD" w14:textId="77777777" w:rsidR="00584EC1" w:rsidRDefault="00584E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733"/>
        <w:gridCol w:w="36"/>
        <w:gridCol w:w="69"/>
        <w:gridCol w:w="1516"/>
        <w:gridCol w:w="36"/>
        <w:gridCol w:w="70"/>
        <w:gridCol w:w="1516"/>
        <w:gridCol w:w="36"/>
        <w:gridCol w:w="70"/>
        <w:gridCol w:w="809"/>
        <w:gridCol w:w="36"/>
      </w:tblGrid>
      <w:tr w:rsidR="00584EC1" w14:paraId="74DDFEBD" w14:textId="77777777">
        <w:tc>
          <w:tcPr>
            <w:tcW w:w="50" w:type="pct"/>
            <w:shd w:val="clear" w:color="auto" w:fill="auto"/>
            <w:vAlign w:val="bottom"/>
          </w:tcPr>
          <w:p w14:paraId="74DDFEAE" w14:textId="77777777" w:rsidR="00584EC1" w:rsidRDefault="00584EC1">
            <w:pPr>
              <w:rPr>
                <w:rFonts w:ascii="宋体"/>
              </w:rPr>
            </w:pPr>
          </w:p>
        </w:tc>
        <w:tc>
          <w:tcPr>
            <w:tcW w:w="1348" w:type="pct"/>
            <w:shd w:val="clear" w:color="auto" w:fill="auto"/>
            <w:vAlign w:val="bottom"/>
          </w:tcPr>
          <w:p w14:paraId="74DDFEAF" w14:textId="77777777" w:rsidR="00584EC1" w:rsidRDefault="00584EC1">
            <w:pPr>
              <w:rPr>
                <w:rFonts w:ascii="宋体"/>
              </w:rPr>
            </w:pPr>
          </w:p>
        </w:tc>
        <w:tc>
          <w:tcPr>
            <w:tcW w:w="5" w:type="pct"/>
            <w:shd w:val="clear" w:color="auto" w:fill="auto"/>
            <w:vAlign w:val="bottom"/>
          </w:tcPr>
          <w:p w14:paraId="74DDFEB0" w14:textId="77777777" w:rsidR="00584EC1" w:rsidRDefault="00584EC1">
            <w:pPr>
              <w:rPr>
                <w:rFonts w:ascii="宋体"/>
              </w:rPr>
            </w:pPr>
          </w:p>
        </w:tc>
        <w:tc>
          <w:tcPr>
            <w:tcW w:w="50" w:type="pct"/>
            <w:shd w:val="clear" w:color="auto" w:fill="auto"/>
            <w:vAlign w:val="bottom"/>
          </w:tcPr>
          <w:p w14:paraId="74DDFEB1" w14:textId="77777777" w:rsidR="00584EC1" w:rsidRDefault="00584EC1">
            <w:pPr>
              <w:rPr>
                <w:rFonts w:ascii="宋体"/>
              </w:rPr>
            </w:pPr>
          </w:p>
        </w:tc>
        <w:tc>
          <w:tcPr>
            <w:tcW w:w="1048" w:type="pct"/>
            <w:shd w:val="clear" w:color="auto" w:fill="auto"/>
            <w:vAlign w:val="bottom"/>
          </w:tcPr>
          <w:p w14:paraId="74DDFEB2" w14:textId="77777777" w:rsidR="00584EC1" w:rsidRDefault="00584EC1">
            <w:pPr>
              <w:rPr>
                <w:rFonts w:ascii="宋体"/>
              </w:rPr>
            </w:pPr>
          </w:p>
        </w:tc>
        <w:tc>
          <w:tcPr>
            <w:tcW w:w="5" w:type="pct"/>
            <w:shd w:val="clear" w:color="auto" w:fill="auto"/>
            <w:vAlign w:val="bottom"/>
          </w:tcPr>
          <w:p w14:paraId="74DDFEB3" w14:textId="77777777" w:rsidR="00584EC1" w:rsidRDefault="00584EC1">
            <w:pPr>
              <w:rPr>
                <w:rFonts w:ascii="宋体"/>
              </w:rPr>
            </w:pPr>
          </w:p>
        </w:tc>
        <w:tc>
          <w:tcPr>
            <w:tcW w:w="50" w:type="pct"/>
            <w:shd w:val="clear" w:color="auto" w:fill="auto"/>
            <w:vAlign w:val="bottom"/>
          </w:tcPr>
          <w:p w14:paraId="74DDFEB4" w14:textId="77777777" w:rsidR="00584EC1" w:rsidRDefault="00584EC1">
            <w:pPr>
              <w:rPr>
                <w:rFonts w:ascii="宋体"/>
              </w:rPr>
            </w:pPr>
          </w:p>
        </w:tc>
        <w:tc>
          <w:tcPr>
            <w:tcW w:w="917" w:type="pct"/>
            <w:shd w:val="clear" w:color="auto" w:fill="auto"/>
            <w:vAlign w:val="bottom"/>
          </w:tcPr>
          <w:p w14:paraId="74DDFEB5" w14:textId="77777777" w:rsidR="00584EC1" w:rsidRDefault="00584EC1">
            <w:pPr>
              <w:rPr>
                <w:rFonts w:ascii="宋体"/>
              </w:rPr>
            </w:pPr>
          </w:p>
        </w:tc>
        <w:tc>
          <w:tcPr>
            <w:tcW w:w="5" w:type="pct"/>
            <w:shd w:val="clear" w:color="auto" w:fill="auto"/>
            <w:vAlign w:val="bottom"/>
          </w:tcPr>
          <w:p w14:paraId="74DDFEB6" w14:textId="77777777" w:rsidR="00584EC1" w:rsidRDefault="00584EC1">
            <w:pPr>
              <w:rPr>
                <w:rFonts w:ascii="宋体"/>
              </w:rPr>
            </w:pPr>
          </w:p>
        </w:tc>
        <w:tc>
          <w:tcPr>
            <w:tcW w:w="50" w:type="pct"/>
            <w:shd w:val="clear" w:color="auto" w:fill="auto"/>
            <w:vAlign w:val="bottom"/>
          </w:tcPr>
          <w:p w14:paraId="74DDFEB7" w14:textId="77777777" w:rsidR="00584EC1" w:rsidRDefault="00584EC1">
            <w:pPr>
              <w:rPr>
                <w:rFonts w:ascii="宋体"/>
              </w:rPr>
            </w:pPr>
          </w:p>
        </w:tc>
        <w:tc>
          <w:tcPr>
            <w:tcW w:w="917" w:type="pct"/>
            <w:shd w:val="clear" w:color="auto" w:fill="auto"/>
            <w:vAlign w:val="bottom"/>
          </w:tcPr>
          <w:p w14:paraId="74DDFEB8" w14:textId="77777777" w:rsidR="00584EC1" w:rsidRDefault="00584EC1">
            <w:pPr>
              <w:rPr>
                <w:rFonts w:ascii="宋体"/>
              </w:rPr>
            </w:pPr>
          </w:p>
        </w:tc>
        <w:tc>
          <w:tcPr>
            <w:tcW w:w="5" w:type="pct"/>
            <w:shd w:val="clear" w:color="auto" w:fill="auto"/>
            <w:vAlign w:val="bottom"/>
          </w:tcPr>
          <w:p w14:paraId="74DDFEB9" w14:textId="77777777" w:rsidR="00584EC1" w:rsidRDefault="00584EC1">
            <w:pPr>
              <w:rPr>
                <w:rFonts w:ascii="宋体"/>
              </w:rPr>
            </w:pPr>
          </w:p>
        </w:tc>
        <w:tc>
          <w:tcPr>
            <w:tcW w:w="50" w:type="pct"/>
            <w:shd w:val="clear" w:color="auto" w:fill="auto"/>
            <w:vAlign w:val="bottom"/>
          </w:tcPr>
          <w:p w14:paraId="74DDFEBA" w14:textId="77777777" w:rsidR="00584EC1" w:rsidRDefault="00584EC1">
            <w:pPr>
              <w:rPr>
                <w:rFonts w:ascii="宋体"/>
              </w:rPr>
            </w:pPr>
          </w:p>
        </w:tc>
        <w:tc>
          <w:tcPr>
            <w:tcW w:w="493" w:type="pct"/>
            <w:shd w:val="clear" w:color="auto" w:fill="auto"/>
            <w:vAlign w:val="bottom"/>
          </w:tcPr>
          <w:p w14:paraId="74DDFEBB" w14:textId="77777777" w:rsidR="00584EC1" w:rsidRDefault="00584EC1">
            <w:pPr>
              <w:rPr>
                <w:rFonts w:ascii="宋体"/>
              </w:rPr>
            </w:pPr>
          </w:p>
        </w:tc>
        <w:tc>
          <w:tcPr>
            <w:tcW w:w="5" w:type="pct"/>
            <w:shd w:val="clear" w:color="auto" w:fill="auto"/>
            <w:vAlign w:val="bottom"/>
          </w:tcPr>
          <w:p w14:paraId="74DDFEBC" w14:textId="77777777" w:rsidR="00584EC1" w:rsidRDefault="00584EC1">
            <w:pPr>
              <w:rPr>
                <w:rFonts w:ascii="宋体"/>
              </w:rPr>
            </w:pPr>
          </w:p>
        </w:tc>
      </w:tr>
      <w:tr w:rsidR="00584EC1" w14:paraId="74DDFEC3"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4DDFEBE"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EBF"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EC0"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EC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EC2" w14:textId="77777777" w:rsidR="00584EC1" w:rsidRDefault="00584EC1">
            <w:pPr>
              <w:rPr>
                <w:rFonts w:ascii="宋体"/>
              </w:rPr>
            </w:pPr>
          </w:p>
        </w:tc>
      </w:tr>
    </w:tbl>
    <w:p w14:paraId="74DDFEC4" w14:textId="77777777" w:rsidR="00584EC1" w:rsidRDefault="00871F8D">
      <w:pPr>
        <w:spacing w:before="60"/>
        <w:jc w:val="both"/>
      </w:pPr>
      <w:r>
        <w:rPr>
          <w:rFonts w:ascii="Arial" w:eastAsia="宋体" w:hAnsi="Arial" w:cs="Arial"/>
          <w:color w:val="000000"/>
          <w:sz w:val="9"/>
          <w:szCs w:val="9"/>
        </w:rPr>
        <w:t xml:space="preserve">(1) </w:t>
      </w:r>
      <w:r>
        <w:rPr>
          <w:rFonts w:ascii="Arial" w:eastAsia="宋体" w:hAnsi="Arial" w:cs="Arial"/>
          <w:color w:val="000000"/>
          <w:sz w:val="14"/>
          <w:szCs w:val="14"/>
        </w:rPr>
        <w:t>Amounts include all transactions regardless of whether or not they are subject to an enforceable netting arrangement.</w:t>
      </w:r>
    </w:p>
    <w:p w14:paraId="74DDFEC5" w14:textId="77777777" w:rsidR="00584EC1" w:rsidRDefault="00871F8D">
      <w:pPr>
        <w:spacing w:before="60"/>
        <w:jc w:val="both"/>
      </w:pPr>
      <w:r>
        <w:rPr>
          <w:rFonts w:ascii="Arial" w:eastAsia="宋体" w:hAnsi="Arial" w:cs="Arial"/>
          <w:color w:val="000000"/>
          <w:sz w:val="9"/>
          <w:szCs w:val="9"/>
        </w:rPr>
        <w:t xml:space="preserve">(2) </w:t>
      </w:r>
      <w:r>
        <w:rPr>
          <w:rFonts w:ascii="Arial" w:eastAsia="宋体" w:hAnsi="Arial" w:cs="Arial"/>
          <w:color w:val="000000"/>
          <w:sz w:val="14"/>
          <w:szCs w:val="14"/>
        </w:rPr>
        <w:t>Refer to Note 1 and Note 2 for additional information about the measurement basis of derivative instruments.</w:t>
      </w:r>
    </w:p>
    <w:p w14:paraId="74DDFEC6" w14:textId="77777777" w:rsidR="00584EC1" w:rsidRDefault="00871F8D">
      <w:pPr>
        <w:spacing w:before="60"/>
        <w:jc w:val="both"/>
      </w:pPr>
      <w:r>
        <w:rPr>
          <w:rFonts w:ascii="Arial" w:eastAsia="宋体" w:hAnsi="Arial" w:cs="Arial"/>
          <w:color w:val="000000"/>
          <w:sz w:val="9"/>
          <w:szCs w:val="9"/>
        </w:rPr>
        <w:t xml:space="preserve">(3) </w:t>
      </w:r>
      <w:r>
        <w:rPr>
          <w:rFonts w:ascii="Arial" w:eastAsia="宋体" w:hAnsi="Arial" w:cs="Arial"/>
          <w:color w:val="000000"/>
          <w:sz w:val="14"/>
          <w:szCs w:val="14"/>
        </w:rPr>
        <w:t>Amounts subje</w:t>
      </w:r>
      <w:r>
        <w:rPr>
          <w:rFonts w:ascii="Arial" w:eastAsia="宋体" w:hAnsi="Arial" w:cs="Arial"/>
          <w:color w:val="000000"/>
          <w:sz w:val="14"/>
          <w:szCs w:val="14"/>
        </w:rPr>
        <w:t>ct to netting arrangements which have been determined to be legally enforceable and eligible for netting in the consolidated statement of condition.</w:t>
      </w:r>
    </w:p>
    <w:p w14:paraId="74DDFEC7" w14:textId="77777777" w:rsidR="00584EC1" w:rsidRDefault="00871F8D">
      <w:pPr>
        <w:spacing w:before="60"/>
        <w:jc w:val="both"/>
      </w:pPr>
      <w:r>
        <w:rPr>
          <w:rFonts w:ascii="Arial" w:eastAsia="宋体" w:hAnsi="Arial" w:cs="Arial"/>
          <w:color w:val="000000"/>
          <w:sz w:val="9"/>
          <w:szCs w:val="9"/>
        </w:rPr>
        <w:t xml:space="preserve">(4) </w:t>
      </w:r>
      <w:r>
        <w:rPr>
          <w:rFonts w:ascii="Arial" w:eastAsia="宋体" w:hAnsi="Arial" w:cs="Arial"/>
          <w:color w:val="000000"/>
          <w:sz w:val="14"/>
          <w:szCs w:val="14"/>
        </w:rPr>
        <w:t>Includes securities provided in connection with our securities lending transactions.</w:t>
      </w:r>
    </w:p>
    <w:p w14:paraId="74DDFEC8" w14:textId="77777777" w:rsidR="00584EC1" w:rsidRDefault="00871F8D">
      <w:pPr>
        <w:spacing w:before="60"/>
        <w:jc w:val="both"/>
      </w:pPr>
      <w:r>
        <w:rPr>
          <w:rFonts w:ascii="Arial" w:eastAsia="宋体" w:hAnsi="Arial" w:cs="Arial"/>
          <w:color w:val="000000"/>
          <w:sz w:val="9"/>
          <w:szCs w:val="9"/>
        </w:rPr>
        <w:t xml:space="preserve">(5) </w:t>
      </w:r>
      <w:r>
        <w:rPr>
          <w:rFonts w:ascii="Arial" w:eastAsia="宋体" w:hAnsi="Arial" w:cs="Arial"/>
          <w:color w:val="000000"/>
          <w:sz w:val="14"/>
          <w:szCs w:val="14"/>
        </w:rPr>
        <w:t>Includes amoun</w:t>
      </w:r>
      <w:r>
        <w:rPr>
          <w:rFonts w:ascii="Arial" w:eastAsia="宋体" w:hAnsi="Arial" w:cs="Arial"/>
          <w:color w:val="000000"/>
          <w:sz w:val="14"/>
          <w:szCs w:val="14"/>
        </w:rPr>
        <w:t>ts secured by collateral not determined to be subject to enforceable netting arrangements.</w:t>
      </w:r>
    </w:p>
    <w:p w14:paraId="74DDFEC9" w14:textId="77777777" w:rsidR="00584EC1" w:rsidRDefault="00871F8D">
      <w:pPr>
        <w:spacing w:before="60"/>
        <w:jc w:val="both"/>
      </w:pPr>
      <w:r>
        <w:rPr>
          <w:rFonts w:ascii="Arial" w:eastAsia="宋体" w:hAnsi="Arial" w:cs="Arial"/>
          <w:color w:val="000000"/>
          <w:sz w:val="9"/>
          <w:szCs w:val="9"/>
        </w:rPr>
        <w:t xml:space="preserve">(6) </w:t>
      </w:r>
      <w:r>
        <w:rPr>
          <w:rFonts w:ascii="Arial" w:eastAsia="宋体" w:hAnsi="Arial" w:cs="Arial"/>
          <w:color w:val="000000"/>
          <w:sz w:val="14"/>
          <w:szCs w:val="14"/>
        </w:rPr>
        <w:t>Variation margin payments presented as settlements rather than collateral.</w:t>
      </w:r>
    </w:p>
    <w:p w14:paraId="74DDFECA" w14:textId="77777777" w:rsidR="00584EC1" w:rsidRDefault="00871F8D">
      <w:pPr>
        <w:spacing w:before="60"/>
        <w:jc w:val="both"/>
      </w:pPr>
      <w:r>
        <w:rPr>
          <w:rFonts w:ascii="Arial" w:eastAsia="宋体" w:hAnsi="Arial" w:cs="Arial"/>
          <w:color w:val="000000"/>
          <w:sz w:val="9"/>
          <w:szCs w:val="9"/>
        </w:rPr>
        <w:t xml:space="preserve">(7) </w:t>
      </w:r>
      <w:r>
        <w:rPr>
          <w:rFonts w:ascii="Arial" w:eastAsia="宋体" w:hAnsi="Arial" w:cs="Arial"/>
          <w:color w:val="000000"/>
          <w:sz w:val="14"/>
          <w:szCs w:val="14"/>
        </w:rPr>
        <w:t>Included in the $8.41 billion as of September 30, 2021 were $0.64 billion of repur</w:t>
      </w:r>
      <w:r>
        <w:rPr>
          <w:rFonts w:ascii="Arial" w:eastAsia="宋体" w:hAnsi="Arial" w:cs="Arial"/>
          <w:color w:val="000000"/>
          <w:sz w:val="14"/>
          <w:szCs w:val="14"/>
        </w:rPr>
        <w:t>chase agreements and $7.77 billion of collateral received related to securities lending transactions. Included in the $12.77 billion as of December 31, 2020 were $3.41 billion of repurchase agreements and $9.36 billion of collateral received related to sec</w:t>
      </w:r>
      <w:r>
        <w:rPr>
          <w:rFonts w:ascii="Arial" w:eastAsia="宋体" w:hAnsi="Arial" w:cs="Arial"/>
          <w:color w:val="000000"/>
          <w:sz w:val="14"/>
          <w:szCs w:val="14"/>
        </w:rPr>
        <w:t>urities lending transactions. Repurchase agreements and collateral received related to securities lending were recorded in securities sold under repurchase agreements and accrued expenses and other liabilities, respectively, in our consolidated statement o</w:t>
      </w:r>
      <w:r>
        <w:rPr>
          <w:rFonts w:ascii="Arial" w:eastAsia="宋体" w:hAnsi="Arial" w:cs="Arial"/>
          <w:color w:val="000000"/>
          <w:sz w:val="14"/>
          <w:szCs w:val="14"/>
        </w:rPr>
        <w:t>f condition. Refer to Note 9 for additional information with respect to principal securities finance transactions.</w:t>
      </w:r>
    </w:p>
    <w:p w14:paraId="74DDFECB" w14:textId="77777777" w:rsidR="00584EC1" w:rsidRDefault="00871F8D">
      <w:pPr>
        <w:spacing w:before="60"/>
        <w:jc w:val="both"/>
      </w:pPr>
      <w:r>
        <w:rPr>
          <w:rFonts w:ascii="Arial" w:eastAsia="宋体" w:hAnsi="Arial" w:cs="Arial"/>
          <w:color w:val="000000"/>
          <w:sz w:val="9"/>
          <w:szCs w:val="9"/>
        </w:rPr>
        <w:t>(8)</w:t>
      </w:r>
      <w:r>
        <w:rPr>
          <w:rFonts w:ascii="Arial" w:eastAsia="宋体" w:hAnsi="Arial" w:cs="Arial"/>
          <w:color w:val="000000"/>
          <w:sz w:val="14"/>
          <w:szCs w:val="14"/>
        </w:rPr>
        <w:t xml:space="preserve"> Offsetting of repurchase agreements primarily relates to our involvement in FICC, where we settle transactions on a net basis for payment</w:t>
      </w:r>
      <w:r>
        <w:rPr>
          <w:rFonts w:ascii="Arial" w:eastAsia="宋体" w:hAnsi="Arial" w:cs="Arial"/>
          <w:color w:val="000000"/>
          <w:sz w:val="14"/>
          <w:szCs w:val="14"/>
        </w:rPr>
        <w:t xml:space="preserve"> and delivery through the Fedwire system.</w:t>
      </w:r>
    </w:p>
    <w:p w14:paraId="74DDFECC" w14:textId="77777777" w:rsidR="00584EC1" w:rsidRDefault="00871F8D">
      <w:pPr>
        <w:spacing w:before="60"/>
        <w:jc w:val="both"/>
      </w:pPr>
      <w:r>
        <w:rPr>
          <w:rFonts w:ascii="Arial" w:eastAsia="宋体" w:hAnsi="Arial" w:cs="Arial"/>
          <w:color w:val="000000"/>
          <w:sz w:val="9"/>
          <w:szCs w:val="9"/>
        </w:rPr>
        <w:t xml:space="preserve">NA </w:t>
      </w:r>
      <w:r>
        <w:rPr>
          <w:rFonts w:ascii="Arial" w:eastAsia="宋体" w:hAnsi="Arial" w:cs="Arial"/>
          <w:color w:val="000000"/>
          <w:sz w:val="14"/>
          <w:szCs w:val="14"/>
        </w:rPr>
        <w:t>Not applicable</w:t>
      </w:r>
    </w:p>
    <w:p w14:paraId="74DDFECD" w14:textId="77777777" w:rsidR="00584EC1" w:rsidRDefault="00871F8D">
      <w:pPr>
        <w:spacing w:before="60"/>
        <w:ind w:firstLine="450"/>
        <w:jc w:val="both"/>
      </w:pPr>
      <w:r>
        <w:rPr>
          <w:rFonts w:ascii="Arial" w:eastAsia="宋体" w:hAnsi="Arial" w:cs="Arial"/>
          <w:color w:val="000000"/>
          <w:sz w:val="20"/>
          <w:szCs w:val="20"/>
        </w:rPr>
        <w:t>The securities transferred under resale and repurchase agreements typically are U.S. Treasury, agency and agency MBS. In our principal securities borrowing and lending arrangements, the securities</w:t>
      </w:r>
      <w:r>
        <w:rPr>
          <w:rFonts w:ascii="Arial" w:eastAsia="宋体" w:hAnsi="Arial" w:cs="Arial"/>
          <w:color w:val="000000"/>
          <w:sz w:val="20"/>
          <w:szCs w:val="20"/>
        </w:rPr>
        <w:t xml:space="preserve"> transferred are predominantly equity securities and some corporate debt securities. The fair value of the securities transferred may increase in value to an amount greater than the amount received under our repurchase and securities lending arrangements, </w:t>
      </w:r>
      <w:r>
        <w:rPr>
          <w:rFonts w:ascii="Arial" w:eastAsia="宋体" w:hAnsi="Arial" w:cs="Arial"/>
          <w:color w:val="000000"/>
          <w:sz w:val="20"/>
          <w:szCs w:val="20"/>
        </w:rPr>
        <w:t>which exposes us to counterparty risk. We require the review of the price of the underlying securities in relation to the carrying value of the repurchase agreements and securities lending arrangements on a daily basis and when appropriate, adjust the cash</w:t>
      </w:r>
      <w:r>
        <w:rPr>
          <w:rFonts w:ascii="Arial" w:eastAsia="宋体" w:hAnsi="Arial" w:cs="Arial"/>
          <w:color w:val="000000"/>
          <w:sz w:val="20"/>
          <w:szCs w:val="20"/>
        </w:rPr>
        <w:t xml:space="preserve"> or security to be obtained or returned to counterparties that is reflective of the required collateral levels. </w:t>
      </w:r>
    </w:p>
    <w:p w14:paraId="74DDFECE" w14:textId="77777777" w:rsidR="00584EC1" w:rsidRDefault="00871F8D">
      <w:pPr>
        <w:spacing w:before="60"/>
        <w:ind w:firstLine="450"/>
        <w:jc w:val="both"/>
      </w:pPr>
      <w:r>
        <w:rPr>
          <w:rFonts w:ascii="Arial" w:eastAsia="宋体" w:hAnsi="Arial" w:cs="Arial"/>
          <w:color w:val="000000"/>
          <w:sz w:val="20"/>
          <w:szCs w:val="20"/>
        </w:rPr>
        <w:t xml:space="preserve">The following table summarizes our repurchase agreements and securities lending transactions by category of collateral pledged and </w:t>
      </w:r>
      <w:r>
        <w:rPr>
          <w:rFonts w:ascii="Arial" w:eastAsia="宋体" w:hAnsi="Arial" w:cs="Arial"/>
          <w:color w:val="000000"/>
          <w:sz w:val="20"/>
          <w:szCs w:val="20"/>
        </w:rPr>
        <w:t>remaining maturity of these agreements as of the periods indicated:</w:t>
      </w:r>
    </w:p>
    <w:tbl>
      <w:tblPr>
        <w:tblW w:w="4993" w:type="pct"/>
        <w:tblCellMar>
          <w:top w:w="15" w:type="dxa"/>
          <w:left w:w="15" w:type="dxa"/>
          <w:bottom w:w="15" w:type="dxa"/>
          <w:right w:w="15" w:type="dxa"/>
        </w:tblCellMar>
        <w:tblLook w:val="04A0" w:firstRow="1" w:lastRow="0" w:firstColumn="1" w:lastColumn="0" w:noHBand="0" w:noVBand="1"/>
      </w:tblPr>
      <w:tblGrid>
        <w:gridCol w:w="52"/>
        <w:gridCol w:w="919"/>
        <w:gridCol w:w="36"/>
        <w:gridCol w:w="105"/>
        <w:gridCol w:w="766"/>
        <w:gridCol w:w="36"/>
        <w:gridCol w:w="36"/>
        <w:gridCol w:w="36"/>
        <w:gridCol w:w="36"/>
        <w:gridCol w:w="105"/>
        <w:gridCol w:w="336"/>
        <w:gridCol w:w="36"/>
        <w:gridCol w:w="36"/>
        <w:gridCol w:w="36"/>
        <w:gridCol w:w="36"/>
        <w:gridCol w:w="105"/>
        <w:gridCol w:w="351"/>
        <w:gridCol w:w="36"/>
        <w:gridCol w:w="36"/>
        <w:gridCol w:w="36"/>
        <w:gridCol w:w="36"/>
        <w:gridCol w:w="105"/>
        <w:gridCol w:w="482"/>
        <w:gridCol w:w="36"/>
        <w:gridCol w:w="36"/>
        <w:gridCol w:w="36"/>
        <w:gridCol w:w="36"/>
        <w:gridCol w:w="104"/>
        <w:gridCol w:w="498"/>
        <w:gridCol w:w="36"/>
        <w:gridCol w:w="36"/>
        <w:gridCol w:w="36"/>
        <w:gridCol w:w="36"/>
        <w:gridCol w:w="105"/>
        <w:gridCol w:w="766"/>
        <w:gridCol w:w="36"/>
        <w:gridCol w:w="36"/>
        <w:gridCol w:w="36"/>
        <w:gridCol w:w="36"/>
        <w:gridCol w:w="105"/>
        <w:gridCol w:w="336"/>
        <w:gridCol w:w="36"/>
        <w:gridCol w:w="36"/>
        <w:gridCol w:w="36"/>
        <w:gridCol w:w="36"/>
        <w:gridCol w:w="105"/>
        <w:gridCol w:w="351"/>
        <w:gridCol w:w="36"/>
        <w:gridCol w:w="36"/>
        <w:gridCol w:w="36"/>
        <w:gridCol w:w="36"/>
        <w:gridCol w:w="105"/>
        <w:gridCol w:w="482"/>
        <w:gridCol w:w="36"/>
        <w:gridCol w:w="36"/>
        <w:gridCol w:w="36"/>
        <w:gridCol w:w="36"/>
        <w:gridCol w:w="104"/>
        <w:gridCol w:w="581"/>
        <w:gridCol w:w="36"/>
      </w:tblGrid>
      <w:tr w:rsidR="00584EC1" w14:paraId="74DDFF0B" w14:textId="77777777">
        <w:tc>
          <w:tcPr>
            <w:tcW w:w="50" w:type="pct"/>
            <w:shd w:val="clear" w:color="auto" w:fill="auto"/>
            <w:vAlign w:val="bottom"/>
          </w:tcPr>
          <w:p w14:paraId="74DDFECF" w14:textId="77777777" w:rsidR="00584EC1" w:rsidRDefault="00584EC1">
            <w:pPr>
              <w:rPr>
                <w:rFonts w:ascii="宋体"/>
              </w:rPr>
            </w:pPr>
          </w:p>
        </w:tc>
        <w:tc>
          <w:tcPr>
            <w:tcW w:w="882" w:type="pct"/>
            <w:shd w:val="clear" w:color="auto" w:fill="auto"/>
            <w:vAlign w:val="bottom"/>
          </w:tcPr>
          <w:p w14:paraId="74DDFED0" w14:textId="77777777" w:rsidR="00584EC1" w:rsidRDefault="00584EC1">
            <w:pPr>
              <w:rPr>
                <w:rFonts w:ascii="宋体"/>
              </w:rPr>
            </w:pPr>
          </w:p>
        </w:tc>
        <w:tc>
          <w:tcPr>
            <w:tcW w:w="5" w:type="pct"/>
            <w:shd w:val="clear" w:color="auto" w:fill="auto"/>
            <w:vAlign w:val="bottom"/>
          </w:tcPr>
          <w:p w14:paraId="74DDFED1" w14:textId="77777777" w:rsidR="00584EC1" w:rsidRDefault="00584EC1">
            <w:pPr>
              <w:rPr>
                <w:rFonts w:ascii="宋体"/>
              </w:rPr>
            </w:pPr>
          </w:p>
        </w:tc>
        <w:tc>
          <w:tcPr>
            <w:tcW w:w="50" w:type="pct"/>
            <w:shd w:val="clear" w:color="auto" w:fill="auto"/>
            <w:vAlign w:val="bottom"/>
          </w:tcPr>
          <w:p w14:paraId="74DDFED2" w14:textId="77777777" w:rsidR="00584EC1" w:rsidRDefault="00584EC1">
            <w:pPr>
              <w:rPr>
                <w:rFonts w:ascii="宋体"/>
              </w:rPr>
            </w:pPr>
          </w:p>
        </w:tc>
        <w:tc>
          <w:tcPr>
            <w:tcW w:w="406" w:type="pct"/>
            <w:shd w:val="clear" w:color="auto" w:fill="auto"/>
            <w:vAlign w:val="bottom"/>
          </w:tcPr>
          <w:p w14:paraId="74DDFED3" w14:textId="77777777" w:rsidR="00584EC1" w:rsidRDefault="00584EC1">
            <w:pPr>
              <w:rPr>
                <w:rFonts w:ascii="宋体"/>
              </w:rPr>
            </w:pPr>
          </w:p>
        </w:tc>
        <w:tc>
          <w:tcPr>
            <w:tcW w:w="5" w:type="pct"/>
            <w:shd w:val="clear" w:color="auto" w:fill="auto"/>
            <w:vAlign w:val="bottom"/>
          </w:tcPr>
          <w:p w14:paraId="74DDFED4" w14:textId="77777777" w:rsidR="00584EC1" w:rsidRDefault="00584EC1">
            <w:pPr>
              <w:rPr>
                <w:rFonts w:ascii="宋体"/>
              </w:rPr>
            </w:pPr>
          </w:p>
        </w:tc>
        <w:tc>
          <w:tcPr>
            <w:tcW w:w="5" w:type="pct"/>
            <w:shd w:val="clear" w:color="auto" w:fill="auto"/>
            <w:vAlign w:val="bottom"/>
          </w:tcPr>
          <w:p w14:paraId="74DDFED5" w14:textId="77777777" w:rsidR="00584EC1" w:rsidRDefault="00584EC1">
            <w:pPr>
              <w:rPr>
                <w:rFonts w:ascii="宋体"/>
              </w:rPr>
            </w:pPr>
          </w:p>
        </w:tc>
        <w:tc>
          <w:tcPr>
            <w:tcW w:w="26" w:type="pct"/>
            <w:shd w:val="clear" w:color="auto" w:fill="auto"/>
            <w:vAlign w:val="bottom"/>
          </w:tcPr>
          <w:p w14:paraId="74DDFED6" w14:textId="77777777" w:rsidR="00584EC1" w:rsidRDefault="00584EC1">
            <w:pPr>
              <w:rPr>
                <w:rFonts w:ascii="宋体"/>
              </w:rPr>
            </w:pPr>
          </w:p>
        </w:tc>
        <w:tc>
          <w:tcPr>
            <w:tcW w:w="5" w:type="pct"/>
            <w:shd w:val="clear" w:color="auto" w:fill="auto"/>
            <w:vAlign w:val="bottom"/>
          </w:tcPr>
          <w:p w14:paraId="74DDFED7" w14:textId="77777777" w:rsidR="00584EC1" w:rsidRDefault="00584EC1">
            <w:pPr>
              <w:rPr>
                <w:rFonts w:ascii="宋体"/>
              </w:rPr>
            </w:pPr>
          </w:p>
        </w:tc>
        <w:tc>
          <w:tcPr>
            <w:tcW w:w="50" w:type="pct"/>
            <w:shd w:val="clear" w:color="auto" w:fill="auto"/>
            <w:vAlign w:val="bottom"/>
          </w:tcPr>
          <w:p w14:paraId="74DDFED8" w14:textId="77777777" w:rsidR="00584EC1" w:rsidRDefault="00584EC1">
            <w:pPr>
              <w:rPr>
                <w:rFonts w:ascii="宋体"/>
              </w:rPr>
            </w:pPr>
          </w:p>
        </w:tc>
        <w:tc>
          <w:tcPr>
            <w:tcW w:w="303" w:type="pct"/>
            <w:shd w:val="clear" w:color="auto" w:fill="auto"/>
            <w:vAlign w:val="bottom"/>
          </w:tcPr>
          <w:p w14:paraId="74DDFED9" w14:textId="77777777" w:rsidR="00584EC1" w:rsidRDefault="00584EC1">
            <w:pPr>
              <w:rPr>
                <w:rFonts w:ascii="宋体"/>
              </w:rPr>
            </w:pPr>
          </w:p>
        </w:tc>
        <w:tc>
          <w:tcPr>
            <w:tcW w:w="5" w:type="pct"/>
            <w:shd w:val="clear" w:color="auto" w:fill="auto"/>
            <w:vAlign w:val="bottom"/>
          </w:tcPr>
          <w:p w14:paraId="74DDFEDA" w14:textId="77777777" w:rsidR="00584EC1" w:rsidRDefault="00584EC1">
            <w:pPr>
              <w:rPr>
                <w:rFonts w:ascii="宋体"/>
              </w:rPr>
            </w:pPr>
          </w:p>
        </w:tc>
        <w:tc>
          <w:tcPr>
            <w:tcW w:w="5" w:type="pct"/>
            <w:shd w:val="clear" w:color="auto" w:fill="auto"/>
            <w:vAlign w:val="bottom"/>
          </w:tcPr>
          <w:p w14:paraId="74DDFEDB" w14:textId="77777777" w:rsidR="00584EC1" w:rsidRDefault="00584EC1">
            <w:pPr>
              <w:rPr>
                <w:rFonts w:ascii="宋体"/>
              </w:rPr>
            </w:pPr>
          </w:p>
        </w:tc>
        <w:tc>
          <w:tcPr>
            <w:tcW w:w="26" w:type="pct"/>
            <w:shd w:val="clear" w:color="auto" w:fill="auto"/>
            <w:vAlign w:val="bottom"/>
          </w:tcPr>
          <w:p w14:paraId="74DDFEDC" w14:textId="77777777" w:rsidR="00584EC1" w:rsidRDefault="00584EC1">
            <w:pPr>
              <w:rPr>
                <w:rFonts w:ascii="宋体"/>
              </w:rPr>
            </w:pPr>
          </w:p>
        </w:tc>
        <w:tc>
          <w:tcPr>
            <w:tcW w:w="5" w:type="pct"/>
            <w:shd w:val="clear" w:color="auto" w:fill="auto"/>
            <w:vAlign w:val="bottom"/>
          </w:tcPr>
          <w:p w14:paraId="74DDFEDD" w14:textId="77777777" w:rsidR="00584EC1" w:rsidRDefault="00584EC1">
            <w:pPr>
              <w:rPr>
                <w:rFonts w:ascii="宋体"/>
              </w:rPr>
            </w:pPr>
          </w:p>
        </w:tc>
        <w:tc>
          <w:tcPr>
            <w:tcW w:w="50" w:type="pct"/>
            <w:shd w:val="clear" w:color="auto" w:fill="auto"/>
            <w:vAlign w:val="bottom"/>
          </w:tcPr>
          <w:p w14:paraId="74DDFEDE" w14:textId="77777777" w:rsidR="00584EC1" w:rsidRDefault="00584EC1">
            <w:pPr>
              <w:rPr>
                <w:rFonts w:ascii="宋体"/>
              </w:rPr>
            </w:pPr>
          </w:p>
        </w:tc>
        <w:tc>
          <w:tcPr>
            <w:tcW w:w="274" w:type="pct"/>
            <w:shd w:val="clear" w:color="auto" w:fill="auto"/>
            <w:vAlign w:val="bottom"/>
          </w:tcPr>
          <w:p w14:paraId="74DDFEDF" w14:textId="77777777" w:rsidR="00584EC1" w:rsidRDefault="00584EC1">
            <w:pPr>
              <w:rPr>
                <w:rFonts w:ascii="宋体"/>
              </w:rPr>
            </w:pPr>
          </w:p>
        </w:tc>
        <w:tc>
          <w:tcPr>
            <w:tcW w:w="5" w:type="pct"/>
            <w:shd w:val="clear" w:color="auto" w:fill="auto"/>
            <w:vAlign w:val="bottom"/>
          </w:tcPr>
          <w:p w14:paraId="74DDFEE0" w14:textId="77777777" w:rsidR="00584EC1" w:rsidRDefault="00584EC1">
            <w:pPr>
              <w:rPr>
                <w:rFonts w:ascii="宋体"/>
              </w:rPr>
            </w:pPr>
          </w:p>
        </w:tc>
        <w:tc>
          <w:tcPr>
            <w:tcW w:w="5" w:type="pct"/>
            <w:shd w:val="clear" w:color="auto" w:fill="auto"/>
            <w:vAlign w:val="bottom"/>
          </w:tcPr>
          <w:p w14:paraId="74DDFEE1" w14:textId="77777777" w:rsidR="00584EC1" w:rsidRDefault="00584EC1">
            <w:pPr>
              <w:rPr>
                <w:rFonts w:ascii="宋体"/>
              </w:rPr>
            </w:pPr>
          </w:p>
        </w:tc>
        <w:tc>
          <w:tcPr>
            <w:tcW w:w="26" w:type="pct"/>
            <w:shd w:val="clear" w:color="auto" w:fill="auto"/>
            <w:vAlign w:val="bottom"/>
          </w:tcPr>
          <w:p w14:paraId="74DDFEE2" w14:textId="77777777" w:rsidR="00584EC1" w:rsidRDefault="00584EC1">
            <w:pPr>
              <w:rPr>
                <w:rFonts w:ascii="宋体"/>
              </w:rPr>
            </w:pPr>
          </w:p>
        </w:tc>
        <w:tc>
          <w:tcPr>
            <w:tcW w:w="5" w:type="pct"/>
            <w:shd w:val="clear" w:color="auto" w:fill="auto"/>
            <w:vAlign w:val="bottom"/>
          </w:tcPr>
          <w:p w14:paraId="74DDFEE3" w14:textId="77777777" w:rsidR="00584EC1" w:rsidRDefault="00584EC1">
            <w:pPr>
              <w:rPr>
                <w:rFonts w:ascii="宋体"/>
              </w:rPr>
            </w:pPr>
          </w:p>
        </w:tc>
        <w:tc>
          <w:tcPr>
            <w:tcW w:w="50" w:type="pct"/>
            <w:shd w:val="clear" w:color="auto" w:fill="auto"/>
            <w:vAlign w:val="bottom"/>
          </w:tcPr>
          <w:p w14:paraId="74DDFEE4" w14:textId="77777777" w:rsidR="00584EC1" w:rsidRDefault="00584EC1">
            <w:pPr>
              <w:rPr>
                <w:rFonts w:ascii="宋体"/>
              </w:rPr>
            </w:pPr>
          </w:p>
        </w:tc>
        <w:tc>
          <w:tcPr>
            <w:tcW w:w="303" w:type="pct"/>
            <w:shd w:val="clear" w:color="auto" w:fill="auto"/>
            <w:vAlign w:val="bottom"/>
          </w:tcPr>
          <w:p w14:paraId="74DDFEE5" w14:textId="77777777" w:rsidR="00584EC1" w:rsidRDefault="00584EC1">
            <w:pPr>
              <w:rPr>
                <w:rFonts w:ascii="宋体"/>
              </w:rPr>
            </w:pPr>
          </w:p>
        </w:tc>
        <w:tc>
          <w:tcPr>
            <w:tcW w:w="5" w:type="pct"/>
            <w:shd w:val="clear" w:color="auto" w:fill="auto"/>
            <w:vAlign w:val="bottom"/>
          </w:tcPr>
          <w:p w14:paraId="74DDFEE6" w14:textId="77777777" w:rsidR="00584EC1" w:rsidRDefault="00584EC1">
            <w:pPr>
              <w:rPr>
                <w:rFonts w:ascii="宋体"/>
              </w:rPr>
            </w:pPr>
          </w:p>
        </w:tc>
        <w:tc>
          <w:tcPr>
            <w:tcW w:w="5" w:type="pct"/>
            <w:shd w:val="clear" w:color="auto" w:fill="auto"/>
            <w:vAlign w:val="bottom"/>
          </w:tcPr>
          <w:p w14:paraId="74DDFEE7" w14:textId="77777777" w:rsidR="00584EC1" w:rsidRDefault="00584EC1">
            <w:pPr>
              <w:rPr>
                <w:rFonts w:ascii="宋体"/>
              </w:rPr>
            </w:pPr>
          </w:p>
        </w:tc>
        <w:tc>
          <w:tcPr>
            <w:tcW w:w="26" w:type="pct"/>
            <w:shd w:val="clear" w:color="auto" w:fill="auto"/>
            <w:vAlign w:val="bottom"/>
          </w:tcPr>
          <w:p w14:paraId="74DDFEE8" w14:textId="77777777" w:rsidR="00584EC1" w:rsidRDefault="00584EC1">
            <w:pPr>
              <w:rPr>
                <w:rFonts w:ascii="宋体"/>
              </w:rPr>
            </w:pPr>
          </w:p>
        </w:tc>
        <w:tc>
          <w:tcPr>
            <w:tcW w:w="5" w:type="pct"/>
            <w:shd w:val="clear" w:color="auto" w:fill="auto"/>
            <w:vAlign w:val="bottom"/>
          </w:tcPr>
          <w:p w14:paraId="74DDFEE9" w14:textId="77777777" w:rsidR="00584EC1" w:rsidRDefault="00584EC1">
            <w:pPr>
              <w:rPr>
                <w:rFonts w:ascii="宋体"/>
              </w:rPr>
            </w:pPr>
          </w:p>
        </w:tc>
        <w:tc>
          <w:tcPr>
            <w:tcW w:w="50" w:type="pct"/>
            <w:shd w:val="clear" w:color="auto" w:fill="auto"/>
            <w:vAlign w:val="bottom"/>
          </w:tcPr>
          <w:p w14:paraId="74DDFEEA" w14:textId="77777777" w:rsidR="00584EC1" w:rsidRDefault="00584EC1">
            <w:pPr>
              <w:rPr>
                <w:rFonts w:ascii="宋体"/>
              </w:rPr>
            </w:pPr>
          </w:p>
        </w:tc>
        <w:tc>
          <w:tcPr>
            <w:tcW w:w="303" w:type="pct"/>
            <w:shd w:val="clear" w:color="auto" w:fill="auto"/>
            <w:vAlign w:val="bottom"/>
          </w:tcPr>
          <w:p w14:paraId="74DDFEEB" w14:textId="77777777" w:rsidR="00584EC1" w:rsidRDefault="00584EC1">
            <w:pPr>
              <w:rPr>
                <w:rFonts w:ascii="宋体"/>
              </w:rPr>
            </w:pPr>
          </w:p>
        </w:tc>
        <w:tc>
          <w:tcPr>
            <w:tcW w:w="5" w:type="pct"/>
            <w:shd w:val="clear" w:color="auto" w:fill="auto"/>
            <w:vAlign w:val="bottom"/>
          </w:tcPr>
          <w:p w14:paraId="74DDFEEC" w14:textId="77777777" w:rsidR="00584EC1" w:rsidRDefault="00584EC1">
            <w:pPr>
              <w:rPr>
                <w:rFonts w:ascii="宋体"/>
              </w:rPr>
            </w:pPr>
          </w:p>
        </w:tc>
        <w:tc>
          <w:tcPr>
            <w:tcW w:w="5" w:type="pct"/>
            <w:shd w:val="clear" w:color="auto" w:fill="auto"/>
            <w:vAlign w:val="bottom"/>
          </w:tcPr>
          <w:p w14:paraId="74DDFEED" w14:textId="77777777" w:rsidR="00584EC1" w:rsidRDefault="00584EC1">
            <w:pPr>
              <w:rPr>
                <w:rFonts w:ascii="宋体"/>
              </w:rPr>
            </w:pPr>
          </w:p>
        </w:tc>
        <w:tc>
          <w:tcPr>
            <w:tcW w:w="26" w:type="pct"/>
            <w:shd w:val="clear" w:color="auto" w:fill="auto"/>
            <w:vAlign w:val="bottom"/>
          </w:tcPr>
          <w:p w14:paraId="74DDFEEE" w14:textId="77777777" w:rsidR="00584EC1" w:rsidRDefault="00584EC1">
            <w:pPr>
              <w:rPr>
                <w:rFonts w:ascii="宋体"/>
              </w:rPr>
            </w:pPr>
          </w:p>
        </w:tc>
        <w:tc>
          <w:tcPr>
            <w:tcW w:w="5" w:type="pct"/>
            <w:shd w:val="clear" w:color="auto" w:fill="auto"/>
            <w:vAlign w:val="bottom"/>
          </w:tcPr>
          <w:p w14:paraId="74DDFEEF" w14:textId="77777777" w:rsidR="00584EC1" w:rsidRDefault="00584EC1">
            <w:pPr>
              <w:rPr>
                <w:rFonts w:ascii="宋体"/>
              </w:rPr>
            </w:pPr>
          </w:p>
        </w:tc>
        <w:tc>
          <w:tcPr>
            <w:tcW w:w="50" w:type="pct"/>
            <w:shd w:val="clear" w:color="auto" w:fill="auto"/>
            <w:vAlign w:val="bottom"/>
          </w:tcPr>
          <w:p w14:paraId="74DDFEF0" w14:textId="77777777" w:rsidR="00584EC1" w:rsidRDefault="00584EC1">
            <w:pPr>
              <w:rPr>
                <w:rFonts w:ascii="宋体"/>
              </w:rPr>
            </w:pPr>
          </w:p>
        </w:tc>
        <w:tc>
          <w:tcPr>
            <w:tcW w:w="406" w:type="pct"/>
            <w:shd w:val="clear" w:color="auto" w:fill="auto"/>
            <w:vAlign w:val="bottom"/>
          </w:tcPr>
          <w:p w14:paraId="74DDFEF1" w14:textId="77777777" w:rsidR="00584EC1" w:rsidRDefault="00584EC1">
            <w:pPr>
              <w:rPr>
                <w:rFonts w:ascii="宋体"/>
              </w:rPr>
            </w:pPr>
          </w:p>
        </w:tc>
        <w:tc>
          <w:tcPr>
            <w:tcW w:w="5" w:type="pct"/>
            <w:shd w:val="clear" w:color="auto" w:fill="auto"/>
            <w:vAlign w:val="bottom"/>
          </w:tcPr>
          <w:p w14:paraId="74DDFEF2" w14:textId="77777777" w:rsidR="00584EC1" w:rsidRDefault="00584EC1">
            <w:pPr>
              <w:rPr>
                <w:rFonts w:ascii="宋体"/>
              </w:rPr>
            </w:pPr>
          </w:p>
        </w:tc>
        <w:tc>
          <w:tcPr>
            <w:tcW w:w="5" w:type="pct"/>
            <w:shd w:val="clear" w:color="auto" w:fill="auto"/>
            <w:vAlign w:val="bottom"/>
          </w:tcPr>
          <w:p w14:paraId="74DDFEF3" w14:textId="77777777" w:rsidR="00584EC1" w:rsidRDefault="00584EC1">
            <w:pPr>
              <w:rPr>
                <w:rFonts w:ascii="宋体"/>
              </w:rPr>
            </w:pPr>
          </w:p>
        </w:tc>
        <w:tc>
          <w:tcPr>
            <w:tcW w:w="26" w:type="pct"/>
            <w:shd w:val="clear" w:color="auto" w:fill="auto"/>
            <w:vAlign w:val="bottom"/>
          </w:tcPr>
          <w:p w14:paraId="74DDFEF4" w14:textId="77777777" w:rsidR="00584EC1" w:rsidRDefault="00584EC1">
            <w:pPr>
              <w:rPr>
                <w:rFonts w:ascii="宋体"/>
              </w:rPr>
            </w:pPr>
          </w:p>
        </w:tc>
        <w:tc>
          <w:tcPr>
            <w:tcW w:w="5" w:type="pct"/>
            <w:shd w:val="clear" w:color="auto" w:fill="auto"/>
            <w:vAlign w:val="bottom"/>
          </w:tcPr>
          <w:p w14:paraId="74DDFEF5" w14:textId="77777777" w:rsidR="00584EC1" w:rsidRDefault="00584EC1">
            <w:pPr>
              <w:rPr>
                <w:rFonts w:ascii="宋体"/>
              </w:rPr>
            </w:pPr>
          </w:p>
        </w:tc>
        <w:tc>
          <w:tcPr>
            <w:tcW w:w="50" w:type="pct"/>
            <w:shd w:val="clear" w:color="auto" w:fill="auto"/>
            <w:vAlign w:val="bottom"/>
          </w:tcPr>
          <w:p w14:paraId="74DDFEF6" w14:textId="77777777" w:rsidR="00584EC1" w:rsidRDefault="00584EC1">
            <w:pPr>
              <w:rPr>
                <w:rFonts w:ascii="宋体"/>
              </w:rPr>
            </w:pPr>
          </w:p>
        </w:tc>
        <w:tc>
          <w:tcPr>
            <w:tcW w:w="303" w:type="pct"/>
            <w:shd w:val="clear" w:color="auto" w:fill="auto"/>
            <w:vAlign w:val="bottom"/>
          </w:tcPr>
          <w:p w14:paraId="74DDFEF7" w14:textId="77777777" w:rsidR="00584EC1" w:rsidRDefault="00584EC1">
            <w:pPr>
              <w:rPr>
                <w:rFonts w:ascii="宋体"/>
              </w:rPr>
            </w:pPr>
          </w:p>
        </w:tc>
        <w:tc>
          <w:tcPr>
            <w:tcW w:w="5" w:type="pct"/>
            <w:shd w:val="clear" w:color="auto" w:fill="auto"/>
            <w:vAlign w:val="bottom"/>
          </w:tcPr>
          <w:p w14:paraId="74DDFEF8" w14:textId="77777777" w:rsidR="00584EC1" w:rsidRDefault="00584EC1">
            <w:pPr>
              <w:rPr>
                <w:rFonts w:ascii="宋体"/>
              </w:rPr>
            </w:pPr>
          </w:p>
        </w:tc>
        <w:tc>
          <w:tcPr>
            <w:tcW w:w="5" w:type="pct"/>
            <w:shd w:val="clear" w:color="auto" w:fill="auto"/>
            <w:vAlign w:val="bottom"/>
          </w:tcPr>
          <w:p w14:paraId="74DDFEF9" w14:textId="77777777" w:rsidR="00584EC1" w:rsidRDefault="00584EC1">
            <w:pPr>
              <w:rPr>
                <w:rFonts w:ascii="宋体"/>
              </w:rPr>
            </w:pPr>
          </w:p>
        </w:tc>
        <w:tc>
          <w:tcPr>
            <w:tcW w:w="26" w:type="pct"/>
            <w:shd w:val="clear" w:color="auto" w:fill="auto"/>
            <w:vAlign w:val="bottom"/>
          </w:tcPr>
          <w:p w14:paraId="74DDFEFA" w14:textId="77777777" w:rsidR="00584EC1" w:rsidRDefault="00584EC1">
            <w:pPr>
              <w:rPr>
                <w:rFonts w:ascii="宋体"/>
              </w:rPr>
            </w:pPr>
          </w:p>
        </w:tc>
        <w:tc>
          <w:tcPr>
            <w:tcW w:w="5" w:type="pct"/>
            <w:shd w:val="clear" w:color="auto" w:fill="auto"/>
            <w:vAlign w:val="bottom"/>
          </w:tcPr>
          <w:p w14:paraId="74DDFEFB" w14:textId="77777777" w:rsidR="00584EC1" w:rsidRDefault="00584EC1">
            <w:pPr>
              <w:rPr>
                <w:rFonts w:ascii="宋体"/>
              </w:rPr>
            </w:pPr>
          </w:p>
        </w:tc>
        <w:tc>
          <w:tcPr>
            <w:tcW w:w="50" w:type="pct"/>
            <w:shd w:val="clear" w:color="auto" w:fill="auto"/>
            <w:vAlign w:val="bottom"/>
          </w:tcPr>
          <w:p w14:paraId="74DDFEFC" w14:textId="77777777" w:rsidR="00584EC1" w:rsidRDefault="00584EC1">
            <w:pPr>
              <w:rPr>
                <w:rFonts w:ascii="宋体"/>
              </w:rPr>
            </w:pPr>
          </w:p>
        </w:tc>
        <w:tc>
          <w:tcPr>
            <w:tcW w:w="274" w:type="pct"/>
            <w:shd w:val="clear" w:color="auto" w:fill="auto"/>
            <w:vAlign w:val="bottom"/>
          </w:tcPr>
          <w:p w14:paraId="74DDFEFD" w14:textId="77777777" w:rsidR="00584EC1" w:rsidRDefault="00584EC1">
            <w:pPr>
              <w:rPr>
                <w:rFonts w:ascii="宋体"/>
              </w:rPr>
            </w:pPr>
          </w:p>
        </w:tc>
        <w:tc>
          <w:tcPr>
            <w:tcW w:w="5" w:type="pct"/>
            <w:shd w:val="clear" w:color="auto" w:fill="auto"/>
            <w:vAlign w:val="bottom"/>
          </w:tcPr>
          <w:p w14:paraId="74DDFEFE" w14:textId="77777777" w:rsidR="00584EC1" w:rsidRDefault="00584EC1">
            <w:pPr>
              <w:rPr>
                <w:rFonts w:ascii="宋体"/>
              </w:rPr>
            </w:pPr>
          </w:p>
        </w:tc>
        <w:tc>
          <w:tcPr>
            <w:tcW w:w="5" w:type="pct"/>
            <w:shd w:val="clear" w:color="auto" w:fill="auto"/>
            <w:vAlign w:val="bottom"/>
          </w:tcPr>
          <w:p w14:paraId="74DDFEFF" w14:textId="77777777" w:rsidR="00584EC1" w:rsidRDefault="00584EC1">
            <w:pPr>
              <w:rPr>
                <w:rFonts w:ascii="宋体"/>
              </w:rPr>
            </w:pPr>
          </w:p>
        </w:tc>
        <w:tc>
          <w:tcPr>
            <w:tcW w:w="26" w:type="pct"/>
            <w:shd w:val="clear" w:color="auto" w:fill="auto"/>
            <w:vAlign w:val="bottom"/>
          </w:tcPr>
          <w:p w14:paraId="74DDFF00" w14:textId="77777777" w:rsidR="00584EC1" w:rsidRDefault="00584EC1">
            <w:pPr>
              <w:rPr>
                <w:rFonts w:ascii="宋体"/>
              </w:rPr>
            </w:pPr>
          </w:p>
        </w:tc>
        <w:tc>
          <w:tcPr>
            <w:tcW w:w="5" w:type="pct"/>
            <w:shd w:val="clear" w:color="auto" w:fill="auto"/>
            <w:vAlign w:val="bottom"/>
          </w:tcPr>
          <w:p w14:paraId="74DDFF01" w14:textId="77777777" w:rsidR="00584EC1" w:rsidRDefault="00584EC1">
            <w:pPr>
              <w:rPr>
                <w:rFonts w:ascii="宋体"/>
              </w:rPr>
            </w:pPr>
          </w:p>
        </w:tc>
        <w:tc>
          <w:tcPr>
            <w:tcW w:w="50" w:type="pct"/>
            <w:shd w:val="clear" w:color="auto" w:fill="auto"/>
            <w:vAlign w:val="bottom"/>
          </w:tcPr>
          <w:p w14:paraId="74DDFF02" w14:textId="77777777" w:rsidR="00584EC1" w:rsidRDefault="00584EC1">
            <w:pPr>
              <w:rPr>
                <w:rFonts w:ascii="宋体"/>
              </w:rPr>
            </w:pPr>
          </w:p>
        </w:tc>
        <w:tc>
          <w:tcPr>
            <w:tcW w:w="303" w:type="pct"/>
            <w:shd w:val="clear" w:color="auto" w:fill="auto"/>
            <w:vAlign w:val="bottom"/>
          </w:tcPr>
          <w:p w14:paraId="74DDFF03" w14:textId="77777777" w:rsidR="00584EC1" w:rsidRDefault="00584EC1">
            <w:pPr>
              <w:rPr>
                <w:rFonts w:ascii="宋体"/>
              </w:rPr>
            </w:pPr>
          </w:p>
        </w:tc>
        <w:tc>
          <w:tcPr>
            <w:tcW w:w="5" w:type="pct"/>
            <w:shd w:val="clear" w:color="auto" w:fill="auto"/>
            <w:vAlign w:val="bottom"/>
          </w:tcPr>
          <w:p w14:paraId="74DDFF04" w14:textId="77777777" w:rsidR="00584EC1" w:rsidRDefault="00584EC1">
            <w:pPr>
              <w:rPr>
                <w:rFonts w:ascii="宋体"/>
              </w:rPr>
            </w:pPr>
          </w:p>
        </w:tc>
        <w:tc>
          <w:tcPr>
            <w:tcW w:w="5" w:type="pct"/>
            <w:shd w:val="clear" w:color="auto" w:fill="auto"/>
            <w:vAlign w:val="bottom"/>
          </w:tcPr>
          <w:p w14:paraId="74DDFF05" w14:textId="77777777" w:rsidR="00584EC1" w:rsidRDefault="00584EC1">
            <w:pPr>
              <w:rPr>
                <w:rFonts w:ascii="宋体"/>
              </w:rPr>
            </w:pPr>
          </w:p>
        </w:tc>
        <w:tc>
          <w:tcPr>
            <w:tcW w:w="26" w:type="pct"/>
            <w:shd w:val="clear" w:color="auto" w:fill="auto"/>
            <w:vAlign w:val="bottom"/>
          </w:tcPr>
          <w:p w14:paraId="74DDFF06" w14:textId="77777777" w:rsidR="00584EC1" w:rsidRDefault="00584EC1">
            <w:pPr>
              <w:rPr>
                <w:rFonts w:ascii="宋体"/>
              </w:rPr>
            </w:pPr>
          </w:p>
        </w:tc>
        <w:tc>
          <w:tcPr>
            <w:tcW w:w="5" w:type="pct"/>
            <w:shd w:val="clear" w:color="auto" w:fill="auto"/>
            <w:vAlign w:val="bottom"/>
          </w:tcPr>
          <w:p w14:paraId="74DDFF07" w14:textId="77777777" w:rsidR="00584EC1" w:rsidRDefault="00584EC1">
            <w:pPr>
              <w:rPr>
                <w:rFonts w:ascii="宋体"/>
              </w:rPr>
            </w:pPr>
          </w:p>
        </w:tc>
        <w:tc>
          <w:tcPr>
            <w:tcW w:w="50" w:type="pct"/>
            <w:shd w:val="clear" w:color="auto" w:fill="auto"/>
            <w:vAlign w:val="bottom"/>
          </w:tcPr>
          <w:p w14:paraId="74DDFF08" w14:textId="77777777" w:rsidR="00584EC1" w:rsidRDefault="00584EC1">
            <w:pPr>
              <w:rPr>
                <w:rFonts w:ascii="宋体"/>
              </w:rPr>
            </w:pPr>
          </w:p>
        </w:tc>
        <w:tc>
          <w:tcPr>
            <w:tcW w:w="303" w:type="pct"/>
            <w:shd w:val="clear" w:color="auto" w:fill="auto"/>
            <w:vAlign w:val="bottom"/>
          </w:tcPr>
          <w:p w14:paraId="74DDFF09" w14:textId="77777777" w:rsidR="00584EC1" w:rsidRDefault="00584EC1">
            <w:pPr>
              <w:rPr>
                <w:rFonts w:ascii="宋体"/>
              </w:rPr>
            </w:pPr>
          </w:p>
        </w:tc>
        <w:tc>
          <w:tcPr>
            <w:tcW w:w="5" w:type="pct"/>
            <w:shd w:val="clear" w:color="auto" w:fill="auto"/>
            <w:vAlign w:val="bottom"/>
          </w:tcPr>
          <w:p w14:paraId="74DDFF0A" w14:textId="77777777" w:rsidR="00584EC1" w:rsidRDefault="00584EC1">
            <w:pPr>
              <w:rPr>
                <w:rFonts w:ascii="宋体"/>
              </w:rPr>
            </w:pPr>
          </w:p>
        </w:tc>
      </w:tr>
      <w:tr w:rsidR="00584EC1" w14:paraId="74DDFF34" w14:textId="77777777">
        <w:trPr>
          <w:hidden/>
        </w:trPr>
        <w:tc>
          <w:tcPr>
            <w:tcW w:w="0" w:type="auto"/>
            <w:gridSpan w:val="3"/>
            <w:shd w:val="clear" w:color="auto" w:fill="auto"/>
            <w:vAlign w:val="bottom"/>
          </w:tcPr>
          <w:p w14:paraId="74DDFF0C" w14:textId="77777777" w:rsidR="00584EC1" w:rsidRDefault="00584EC1">
            <w:pPr>
              <w:rPr>
                <w:rFonts w:ascii="宋体"/>
                <w:vanish/>
              </w:rPr>
            </w:pPr>
          </w:p>
        </w:tc>
        <w:tc>
          <w:tcPr>
            <w:tcW w:w="0" w:type="auto"/>
            <w:gridSpan w:val="3"/>
            <w:shd w:val="clear" w:color="auto" w:fill="auto"/>
            <w:vAlign w:val="bottom"/>
          </w:tcPr>
          <w:p w14:paraId="74DDFF0D" w14:textId="77777777" w:rsidR="00584EC1" w:rsidRDefault="00584EC1">
            <w:pPr>
              <w:rPr>
                <w:rFonts w:ascii="宋体"/>
                <w:vanish/>
              </w:rPr>
            </w:pPr>
          </w:p>
        </w:tc>
        <w:tc>
          <w:tcPr>
            <w:tcW w:w="0" w:type="auto"/>
            <w:gridSpan w:val="3"/>
            <w:shd w:val="clear" w:color="auto" w:fill="auto"/>
            <w:vAlign w:val="bottom"/>
          </w:tcPr>
          <w:p w14:paraId="74DDFF0E" w14:textId="77777777" w:rsidR="00584EC1" w:rsidRDefault="00584EC1">
            <w:pPr>
              <w:rPr>
                <w:rFonts w:ascii="宋体"/>
                <w:vanish/>
              </w:rPr>
            </w:pPr>
          </w:p>
        </w:tc>
        <w:tc>
          <w:tcPr>
            <w:tcW w:w="0" w:type="auto"/>
            <w:gridSpan w:val="3"/>
            <w:shd w:val="clear" w:color="auto" w:fill="auto"/>
            <w:vAlign w:val="bottom"/>
          </w:tcPr>
          <w:p w14:paraId="74DDFF0F" w14:textId="77777777" w:rsidR="00584EC1" w:rsidRDefault="00584EC1">
            <w:pPr>
              <w:rPr>
                <w:rFonts w:ascii="宋体"/>
                <w:vanish/>
              </w:rPr>
            </w:pPr>
          </w:p>
        </w:tc>
        <w:tc>
          <w:tcPr>
            <w:tcW w:w="0" w:type="auto"/>
            <w:gridSpan w:val="3"/>
            <w:shd w:val="clear" w:color="auto" w:fill="auto"/>
            <w:vAlign w:val="bottom"/>
          </w:tcPr>
          <w:p w14:paraId="74DDFF10" w14:textId="77777777" w:rsidR="00584EC1" w:rsidRDefault="00584EC1">
            <w:pPr>
              <w:rPr>
                <w:rFonts w:ascii="宋体"/>
                <w:vanish/>
              </w:rPr>
            </w:pPr>
          </w:p>
        </w:tc>
        <w:tc>
          <w:tcPr>
            <w:tcW w:w="0" w:type="auto"/>
            <w:gridSpan w:val="3"/>
            <w:shd w:val="clear" w:color="auto" w:fill="auto"/>
            <w:vAlign w:val="bottom"/>
          </w:tcPr>
          <w:p w14:paraId="74DDFF11" w14:textId="77777777" w:rsidR="00584EC1" w:rsidRDefault="00584EC1">
            <w:pPr>
              <w:rPr>
                <w:rFonts w:ascii="宋体"/>
                <w:vanish/>
              </w:rPr>
            </w:pPr>
          </w:p>
        </w:tc>
        <w:tc>
          <w:tcPr>
            <w:tcW w:w="0" w:type="auto"/>
            <w:gridSpan w:val="3"/>
            <w:shd w:val="clear" w:color="auto" w:fill="auto"/>
            <w:vAlign w:val="bottom"/>
          </w:tcPr>
          <w:p w14:paraId="74DDFF12" w14:textId="77777777" w:rsidR="00584EC1" w:rsidRDefault="00584EC1">
            <w:pPr>
              <w:rPr>
                <w:rFonts w:ascii="宋体"/>
                <w:vanish/>
              </w:rPr>
            </w:pPr>
          </w:p>
        </w:tc>
        <w:tc>
          <w:tcPr>
            <w:tcW w:w="0" w:type="auto"/>
            <w:gridSpan w:val="3"/>
            <w:shd w:val="clear" w:color="auto" w:fill="auto"/>
            <w:vAlign w:val="bottom"/>
          </w:tcPr>
          <w:p w14:paraId="74DDFF13" w14:textId="77777777" w:rsidR="00584EC1" w:rsidRDefault="00584EC1">
            <w:pPr>
              <w:rPr>
                <w:rFonts w:ascii="宋体"/>
                <w:vanish/>
              </w:rPr>
            </w:pPr>
          </w:p>
        </w:tc>
        <w:tc>
          <w:tcPr>
            <w:tcW w:w="0" w:type="auto"/>
            <w:gridSpan w:val="3"/>
            <w:shd w:val="clear" w:color="auto" w:fill="auto"/>
            <w:vAlign w:val="bottom"/>
          </w:tcPr>
          <w:p w14:paraId="74DDFF14" w14:textId="77777777" w:rsidR="00584EC1" w:rsidRDefault="00584EC1">
            <w:pPr>
              <w:rPr>
                <w:rFonts w:ascii="宋体"/>
                <w:vanish/>
              </w:rPr>
            </w:pPr>
          </w:p>
        </w:tc>
        <w:tc>
          <w:tcPr>
            <w:tcW w:w="0" w:type="auto"/>
            <w:gridSpan w:val="3"/>
            <w:shd w:val="clear" w:color="auto" w:fill="auto"/>
            <w:vAlign w:val="bottom"/>
          </w:tcPr>
          <w:p w14:paraId="74DDFF15" w14:textId="77777777" w:rsidR="00584EC1" w:rsidRDefault="00584EC1">
            <w:pPr>
              <w:rPr>
                <w:rFonts w:ascii="宋体"/>
                <w:vanish/>
              </w:rPr>
            </w:pPr>
          </w:p>
        </w:tc>
        <w:tc>
          <w:tcPr>
            <w:tcW w:w="0" w:type="auto"/>
            <w:shd w:val="clear" w:color="auto" w:fill="auto"/>
            <w:vAlign w:val="bottom"/>
          </w:tcPr>
          <w:p w14:paraId="74DDFF16" w14:textId="77777777" w:rsidR="00584EC1" w:rsidRDefault="00584EC1">
            <w:pPr>
              <w:rPr>
                <w:rFonts w:ascii="宋体"/>
              </w:rPr>
            </w:pPr>
          </w:p>
        </w:tc>
        <w:tc>
          <w:tcPr>
            <w:tcW w:w="0" w:type="auto"/>
            <w:shd w:val="clear" w:color="auto" w:fill="auto"/>
            <w:vAlign w:val="bottom"/>
          </w:tcPr>
          <w:p w14:paraId="74DDFF17" w14:textId="77777777" w:rsidR="00584EC1" w:rsidRDefault="00584EC1">
            <w:pPr>
              <w:rPr>
                <w:rFonts w:ascii="宋体"/>
              </w:rPr>
            </w:pPr>
          </w:p>
        </w:tc>
        <w:tc>
          <w:tcPr>
            <w:tcW w:w="0" w:type="auto"/>
            <w:shd w:val="clear" w:color="auto" w:fill="auto"/>
            <w:vAlign w:val="bottom"/>
          </w:tcPr>
          <w:p w14:paraId="74DDFF18" w14:textId="77777777" w:rsidR="00584EC1" w:rsidRDefault="00584EC1">
            <w:pPr>
              <w:rPr>
                <w:rFonts w:ascii="宋体"/>
              </w:rPr>
            </w:pPr>
          </w:p>
        </w:tc>
        <w:tc>
          <w:tcPr>
            <w:tcW w:w="0" w:type="auto"/>
            <w:shd w:val="clear" w:color="auto" w:fill="auto"/>
            <w:vAlign w:val="bottom"/>
          </w:tcPr>
          <w:p w14:paraId="74DDFF19" w14:textId="77777777" w:rsidR="00584EC1" w:rsidRDefault="00584EC1">
            <w:pPr>
              <w:rPr>
                <w:rFonts w:ascii="宋体"/>
              </w:rPr>
            </w:pPr>
          </w:p>
        </w:tc>
        <w:tc>
          <w:tcPr>
            <w:tcW w:w="0" w:type="auto"/>
            <w:shd w:val="clear" w:color="auto" w:fill="auto"/>
            <w:vAlign w:val="bottom"/>
          </w:tcPr>
          <w:p w14:paraId="74DDFF1A" w14:textId="77777777" w:rsidR="00584EC1" w:rsidRDefault="00584EC1">
            <w:pPr>
              <w:rPr>
                <w:rFonts w:ascii="宋体"/>
              </w:rPr>
            </w:pPr>
          </w:p>
        </w:tc>
        <w:tc>
          <w:tcPr>
            <w:tcW w:w="0" w:type="auto"/>
            <w:shd w:val="clear" w:color="auto" w:fill="auto"/>
            <w:vAlign w:val="bottom"/>
          </w:tcPr>
          <w:p w14:paraId="74DDFF1B" w14:textId="77777777" w:rsidR="00584EC1" w:rsidRDefault="00584EC1">
            <w:pPr>
              <w:rPr>
                <w:rFonts w:ascii="宋体"/>
              </w:rPr>
            </w:pPr>
          </w:p>
        </w:tc>
        <w:tc>
          <w:tcPr>
            <w:tcW w:w="0" w:type="auto"/>
            <w:shd w:val="clear" w:color="auto" w:fill="auto"/>
            <w:vAlign w:val="bottom"/>
          </w:tcPr>
          <w:p w14:paraId="74DDFF1C" w14:textId="77777777" w:rsidR="00584EC1" w:rsidRDefault="00584EC1">
            <w:pPr>
              <w:rPr>
                <w:rFonts w:ascii="宋体"/>
              </w:rPr>
            </w:pPr>
          </w:p>
        </w:tc>
        <w:tc>
          <w:tcPr>
            <w:tcW w:w="0" w:type="auto"/>
            <w:shd w:val="clear" w:color="auto" w:fill="auto"/>
            <w:vAlign w:val="bottom"/>
          </w:tcPr>
          <w:p w14:paraId="74DDFF1D" w14:textId="77777777" w:rsidR="00584EC1" w:rsidRDefault="00584EC1">
            <w:pPr>
              <w:rPr>
                <w:rFonts w:ascii="宋体"/>
              </w:rPr>
            </w:pPr>
          </w:p>
        </w:tc>
        <w:tc>
          <w:tcPr>
            <w:tcW w:w="0" w:type="auto"/>
            <w:shd w:val="clear" w:color="auto" w:fill="auto"/>
            <w:vAlign w:val="bottom"/>
          </w:tcPr>
          <w:p w14:paraId="74DDFF1E" w14:textId="77777777" w:rsidR="00584EC1" w:rsidRDefault="00584EC1">
            <w:pPr>
              <w:rPr>
                <w:rFonts w:ascii="宋体"/>
              </w:rPr>
            </w:pPr>
          </w:p>
        </w:tc>
        <w:tc>
          <w:tcPr>
            <w:tcW w:w="0" w:type="auto"/>
            <w:shd w:val="clear" w:color="auto" w:fill="auto"/>
            <w:vAlign w:val="bottom"/>
          </w:tcPr>
          <w:p w14:paraId="74DDFF1F" w14:textId="77777777" w:rsidR="00584EC1" w:rsidRDefault="00584EC1">
            <w:pPr>
              <w:rPr>
                <w:rFonts w:ascii="宋体"/>
              </w:rPr>
            </w:pPr>
          </w:p>
        </w:tc>
        <w:tc>
          <w:tcPr>
            <w:tcW w:w="0" w:type="auto"/>
            <w:shd w:val="clear" w:color="auto" w:fill="auto"/>
            <w:vAlign w:val="bottom"/>
          </w:tcPr>
          <w:p w14:paraId="74DDFF20" w14:textId="77777777" w:rsidR="00584EC1" w:rsidRDefault="00584EC1">
            <w:pPr>
              <w:rPr>
                <w:rFonts w:ascii="宋体"/>
              </w:rPr>
            </w:pPr>
          </w:p>
        </w:tc>
        <w:tc>
          <w:tcPr>
            <w:tcW w:w="0" w:type="auto"/>
            <w:shd w:val="clear" w:color="auto" w:fill="auto"/>
            <w:vAlign w:val="bottom"/>
          </w:tcPr>
          <w:p w14:paraId="74DDFF21" w14:textId="77777777" w:rsidR="00584EC1" w:rsidRDefault="00584EC1">
            <w:pPr>
              <w:rPr>
                <w:rFonts w:ascii="宋体"/>
              </w:rPr>
            </w:pPr>
          </w:p>
        </w:tc>
        <w:tc>
          <w:tcPr>
            <w:tcW w:w="0" w:type="auto"/>
            <w:shd w:val="clear" w:color="auto" w:fill="auto"/>
            <w:vAlign w:val="bottom"/>
          </w:tcPr>
          <w:p w14:paraId="74DDFF22" w14:textId="77777777" w:rsidR="00584EC1" w:rsidRDefault="00584EC1">
            <w:pPr>
              <w:rPr>
                <w:rFonts w:ascii="宋体"/>
              </w:rPr>
            </w:pPr>
          </w:p>
        </w:tc>
        <w:tc>
          <w:tcPr>
            <w:tcW w:w="0" w:type="auto"/>
            <w:shd w:val="clear" w:color="auto" w:fill="auto"/>
            <w:vAlign w:val="bottom"/>
          </w:tcPr>
          <w:p w14:paraId="74DDFF23" w14:textId="77777777" w:rsidR="00584EC1" w:rsidRDefault="00584EC1">
            <w:pPr>
              <w:rPr>
                <w:rFonts w:ascii="宋体"/>
              </w:rPr>
            </w:pPr>
          </w:p>
        </w:tc>
        <w:tc>
          <w:tcPr>
            <w:tcW w:w="0" w:type="auto"/>
            <w:shd w:val="clear" w:color="auto" w:fill="auto"/>
            <w:vAlign w:val="bottom"/>
          </w:tcPr>
          <w:p w14:paraId="74DDFF24" w14:textId="77777777" w:rsidR="00584EC1" w:rsidRDefault="00584EC1">
            <w:pPr>
              <w:rPr>
                <w:rFonts w:ascii="宋体"/>
              </w:rPr>
            </w:pPr>
          </w:p>
        </w:tc>
        <w:tc>
          <w:tcPr>
            <w:tcW w:w="0" w:type="auto"/>
            <w:shd w:val="clear" w:color="auto" w:fill="auto"/>
            <w:vAlign w:val="bottom"/>
          </w:tcPr>
          <w:p w14:paraId="74DDFF25" w14:textId="77777777" w:rsidR="00584EC1" w:rsidRDefault="00584EC1">
            <w:pPr>
              <w:rPr>
                <w:rFonts w:ascii="宋体"/>
              </w:rPr>
            </w:pPr>
          </w:p>
        </w:tc>
        <w:tc>
          <w:tcPr>
            <w:tcW w:w="0" w:type="auto"/>
            <w:shd w:val="clear" w:color="auto" w:fill="auto"/>
            <w:vAlign w:val="bottom"/>
          </w:tcPr>
          <w:p w14:paraId="74DDFF26" w14:textId="77777777" w:rsidR="00584EC1" w:rsidRDefault="00584EC1">
            <w:pPr>
              <w:rPr>
                <w:rFonts w:ascii="宋体"/>
              </w:rPr>
            </w:pPr>
          </w:p>
        </w:tc>
        <w:tc>
          <w:tcPr>
            <w:tcW w:w="0" w:type="auto"/>
            <w:shd w:val="clear" w:color="auto" w:fill="auto"/>
            <w:vAlign w:val="bottom"/>
          </w:tcPr>
          <w:p w14:paraId="74DDFF27" w14:textId="77777777" w:rsidR="00584EC1" w:rsidRDefault="00584EC1">
            <w:pPr>
              <w:rPr>
                <w:rFonts w:ascii="宋体"/>
              </w:rPr>
            </w:pPr>
          </w:p>
        </w:tc>
        <w:tc>
          <w:tcPr>
            <w:tcW w:w="0" w:type="auto"/>
            <w:shd w:val="clear" w:color="auto" w:fill="auto"/>
            <w:vAlign w:val="bottom"/>
          </w:tcPr>
          <w:p w14:paraId="74DDFF28" w14:textId="77777777" w:rsidR="00584EC1" w:rsidRDefault="00584EC1">
            <w:pPr>
              <w:rPr>
                <w:rFonts w:ascii="宋体"/>
              </w:rPr>
            </w:pPr>
          </w:p>
        </w:tc>
        <w:tc>
          <w:tcPr>
            <w:tcW w:w="0" w:type="auto"/>
            <w:shd w:val="clear" w:color="auto" w:fill="auto"/>
            <w:vAlign w:val="bottom"/>
          </w:tcPr>
          <w:p w14:paraId="74DDFF29" w14:textId="77777777" w:rsidR="00584EC1" w:rsidRDefault="00584EC1">
            <w:pPr>
              <w:rPr>
                <w:rFonts w:ascii="宋体"/>
              </w:rPr>
            </w:pPr>
          </w:p>
        </w:tc>
        <w:tc>
          <w:tcPr>
            <w:tcW w:w="0" w:type="auto"/>
            <w:shd w:val="clear" w:color="auto" w:fill="auto"/>
            <w:vAlign w:val="bottom"/>
          </w:tcPr>
          <w:p w14:paraId="74DDFF2A" w14:textId="77777777" w:rsidR="00584EC1" w:rsidRDefault="00584EC1">
            <w:pPr>
              <w:rPr>
                <w:rFonts w:ascii="宋体"/>
              </w:rPr>
            </w:pPr>
          </w:p>
        </w:tc>
        <w:tc>
          <w:tcPr>
            <w:tcW w:w="0" w:type="auto"/>
            <w:shd w:val="clear" w:color="auto" w:fill="auto"/>
            <w:vAlign w:val="bottom"/>
          </w:tcPr>
          <w:p w14:paraId="74DDFF2B" w14:textId="77777777" w:rsidR="00584EC1" w:rsidRDefault="00584EC1">
            <w:pPr>
              <w:rPr>
                <w:rFonts w:ascii="宋体"/>
              </w:rPr>
            </w:pPr>
          </w:p>
        </w:tc>
        <w:tc>
          <w:tcPr>
            <w:tcW w:w="0" w:type="auto"/>
            <w:shd w:val="clear" w:color="auto" w:fill="auto"/>
            <w:vAlign w:val="bottom"/>
          </w:tcPr>
          <w:p w14:paraId="74DDFF2C" w14:textId="77777777" w:rsidR="00584EC1" w:rsidRDefault="00584EC1">
            <w:pPr>
              <w:rPr>
                <w:rFonts w:ascii="宋体"/>
              </w:rPr>
            </w:pPr>
          </w:p>
        </w:tc>
        <w:tc>
          <w:tcPr>
            <w:tcW w:w="0" w:type="auto"/>
            <w:shd w:val="clear" w:color="auto" w:fill="auto"/>
            <w:vAlign w:val="bottom"/>
          </w:tcPr>
          <w:p w14:paraId="74DDFF2D" w14:textId="77777777" w:rsidR="00584EC1" w:rsidRDefault="00584EC1">
            <w:pPr>
              <w:rPr>
                <w:rFonts w:ascii="宋体"/>
              </w:rPr>
            </w:pPr>
          </w:p>
        </w:tc>
        <w:tc>
          <w:tcPr>
            <w:tcW w:w="0" w:type="auto"/>
            <w:shd w:val="clear" w:color="auto" w:fill="auto"/>
            <w:vAlign w:val="bottom"/>
          </w:tcPr>
          <w:p w14:paraId="74DDFF2E" w14:textId="77777777" w:rsidR="00584EC1" w:rsidRDefault="00584EC1">
            <w:pPr>
              <w:rPr>
                <w:rFonts w:ascii="宋体"/>
              </w:rPr>
            </w:pPr>
          </w:p>
        </w:tc>
        <w:tc>
          <w:tcPr>
            <w:tcW w:w="0" w:type="auto"/>
            <w:shd w:val="clear" w:color="auto" w:fill="auto"/>
            <w:vAlign w:val="bottom"/>
          </w:tcPr>
          <w:p w14:paraId="74DDFF2F" w14:textId="77777777" w:rsidR="00584EC1" w:rsidRDefault="00584EC1">
            <w:pPr>
              <w:rPr>
                <w:rFonts w:ascii="宋体"/>
              </w:rPr>
            </w:pPr>
          </w:p>
        </w:tc>
        <w:tc>
          <w:tcPr>
            <w:tcW w:w="0" w:type="auto"/>
            <w:shd w:val="clear" w:color="auto" w:fill="auto"/>
            <w:vAlign w:val="bottom"/>
          </w:tcPr>
          <w:p w14:paraId="74DDFF30" w14:textId="77777777" w:rsidR="00584EC1" w:rsidRDefault="00584EC1">
            <w:pPr>
              <w:rPr>
                <w:rFonts w:ascii="宋体"/>
              </w:rPr>
            </w:pPr>
          </w:p>
        </w:tc>
        <w:tc>
          <w:tcPr>
            <w:tcW w:w="0" w:type="auto"/>
            <w:shd w:val="clear" w:color="auto" w:fill="auto"/>
            <w:vAlign w:val="bottom"/>
          </w:tcPr>
          <w:p w14:paraId="74DDFF31" w14:textId="77777777" w:rsidR="00584EC1" w:rsidRDefault="00584EC1">
            <w:pPr>
              <w:rPr>
                <w:rFonts w:ascii="宋体"/>
              </w:rPr>
            </w:pPr>
          </w:p>
        </w:tc>
        <w:tc>
          <w:tcPr>
            <w:tcW w:w="0" w:type="auto"/>
            <w:shd w:val="clear" w:color="auto" w:fill="auto"/>
            <w:vAlign w:val="bottom"/>
          </w:tcPr>
          <w:p w14:paraId="74DDFF32" w14:textId="77777777" w:rsidR="00584EC1" w:rsidRDefault="00584EC1">
            <w:pPr>
              <w:rPr>
                <w:rFonts w:ascii="宋体"/>
              </w:rPr>
            </w:pPr>
          </w:p>
        </w:tc>
        <w:tc>
          <w:tcPr>
            <w:tcW w:w="0" w:type="auto"/>
            <w:shd w:val="clear" w:color="auto" w:fill="auto"/>
            <w:vAlign w:val="bottom"/>
          </w:tcPr>
          <w:p w14:paraId="74DDFF33" w14:textId="77777777" w:rsidR="00584EC1" w:rsidRDefault="00584EC1">
            <w:pPr>
              <w:rPr>
                <w:rFonts w:ascii="宋体"/>
              </w:rPr>
            </w:pPr>
          </w:p>
        </w:tc>
      </w:tr>
      <w:tr w:rsidR="00584EC1" w14:paraId="74DDFF6D" w14:textId="77777777">
        <w:trPr>
          <w:hidden/>
        </w:trPr>
        <w:tc>
          <w:tcPr>
            <w:tcW w:w="0" w:type="auto"/>
            <w:gridSpan w:val="3"/>
            <w:shd w:val="clear" w:color="auto" w:fill="auto"/>
            <w:vAlign w:val="bottom"/>
          </w:tcPr>
          <w:p w14:paraId="74DDFF35" w14:textId="77777777" w:rsidR="00584EC1" w:rsidRDefault="00584EC1">
            <w:pPr>
              <w:rPr>
                <w:rFonts w:ascii="宋体"/>
                <w:vanish/>
              </w:rPr>
            </w:pPr>
          </w:p>
        </w:tc>
        <w:tc>
          <w:tcPr>
            <w:tcW w:w="0" w:type="auto"/>
            <w:gridSpan w:val="3"/>
            <w:shd w:val="clear" w:color="auto" w:fill="auto"/>
            <w:vAlign w:val="bottom"/>
          </w:tcPr>
          <w:p w14:paraId="74DDFF36" w14:textId="77777777" w:rsidR="00584EC1" w:rsidRDefault="00584EC1">
            <w:pPr>
              <w:rPr>
                <w:rFonts w:ascii="宋体"/>
                <w:vanish/>
              </w:rPr>
            </w:pPr>
          </w:p>
        </w:tc>
        <w:tc>
          <w:tcPr>
            <w:tcW w:w="0" w:type="auto"/>
            <w:shd w:val="clear" w:color="auto" w:fill="auto"/>
            <w:vAlign w:val="bottom"/>
          </w:tcPr>
          <w:p w14:paraId="74DDFF37" w14:textId="77777777" w:rsidR="00584EC1" w:rsidRDefault="00584EC1">
            <w:pPr>
              <w:rPr>
                <w:rFonts w:ascii="宋体"/>
              </w:rPr>
            </w:pPr>
          </w:p>
        </w:tc>
        <w:tc>
          <w:tcPr>
            <w:tcW w:w="0" w:type="auto"/>
            <w:shd w:val="clear" w:color="auto" w:fill="auto"/>
            <w:vAlign w:val="bottom"/>
          </w:tcPr>
          <w:p w14:paraId="74DDFF38" w14:textId="77777777" w:rsidR="00584EC1" w:rsidRDefault="00584EC1">
            <w:pPr>
              <w:rPr>
                <w:rFonts w:ascii="宋体"/>
              </w:rPr>
            </w:pPr>
          </w:p>
        </w:tc>
        <w:tc>
          <w:tcPr>
            <w:tcW w:w="0" w:type="auto"/>
            <w:shd w:val="clear" w:color="auto" w:fill="auto"/>
            <w:vAlign w:val="bottom"/>
          </w:tcPr>
          <w:p w14:paraId="74DDFF39" w14:textId="77777777" w:rsidR="00584EC1" w:rsidRDefault="00584EC1">
            <w:pPr>
              <w:rPr>
                <w:rFonts w:ascii="宋体"/>
              </w:rPr>
            </w:pPr>
          </w:p>
        </w:tc>
        <w:tc>
          <w:tcPr>
            <w:tcW w:w="0" w:type="auto"/>
            <w:shd w:val="clear" w:color="auto" w:fill="auto"/>
            <w:vAlign w:val="bottom"/>
          </w:tcPr>
          <w:p w14:paraId="74DDFF3A" w14:textId="77777777" w:rsidR="00584EC1" w:rsidRDefault="00584EC1">
            <w:pPr>
              <w:rPr>
                <w:rFonts w:ascii="宋体"/>
              </w:rPr>
            </w:pPr>
          </w:p>
        </w:tc>
        <w:tc>
          <w:tcPr>
            <w:tcW w:w="0" w:type="auto"/>
            <w:shd w:val="clear" w:color="auto" w:fill="auto"/>
            <w:vAlign w:val="bottom"/>
          </w:tcPr>
          <w:p w14:paraId="74DDFF3B" w14:textId="77777777" w:rsidR="00584EC1" w:rsidRDefault="00584EC1">
            <w:pPr>
              <w:rPr>
                <w:rFonts w:ascii="宋体"/>
              </w:rPr>
            </w:pPr>
          </w:p>
        </w:tc>
        <w:tc>
          <w:tcPr>
            <w:tcW w:w="0" w:type="auto"/>
            <w:shd w:val="clear" w:color="auto" w:fill="auto"/>
            <w:vAlign w:val="bottom"/>
          </w:tcPr>
          <w:p w14:paraId="74DDFF3C" w14:textId="77777777" w:rsidR="00584EC1" w:rsidRDefault="00584EC1">
            <w:pPr>
              <w:rPr>
                <w:rFonts w:ascii="宋体"/>
              </w:rPr>
            </w:pPr>
          </w:p>
        </w:tc>
        <w:tc>
          <w:tcPr>
            <w:tcW w:w="0" w:type="auto"/>
            <w:shd w:val="clear" w:color="auto" w:fill="auto"/>
            <w:vAlign w:val="bottom"/>
          </w:tcPr>
          <w:p w14:paraId="74DDFF3D" w14:textId="77777777" w:rsidR="00584EC1" w:rsidRDefault="00584EC1">
            <w:pPr>
              <w:rPr>
                <w:rFonts w:ascii="宋体"/>
              </w:rPr>
            </w:pPr>
          </w:p>
        </w:tc>
        <w:tc>
          <w:tcPr>
            <w:tcW w:w="0" w:type="auto"/>
            <w:shd w:val="clear" w:color="auto" w:fill="auto"/>
            <w:vAlign w:val="bottom"/>
          </w:tcPr>
          <w:p w14:paraId="74DDFF3E" w14:textId="77777777" w:rsidR="00584EC1" w:rsidRDefault="00584EC1">
            <w:pPr>
              <w:rPr>
                <w:rFonts w:ascii="宋体"/>
              </w:rPr>
            </w:pPr>
          </w:p>
        </w:tc>
        <w:tc>
          <w:tcPr>
            <w:tcW w:w="0" w:type="auto"/>
            <w:shd w:val="clear" w:color="auto" w:fill="auto"/>
            <w:vAlign w:val="bottom"/>
          </w:tcPr>
          <w:p w14:paraId="74DDFF3F" w14:textId="77777777" w:rsidR="00584EC1" w:rsidRDefault="00584EC1">
            <w:pPr>
              <w:rPr>
                <w:rFonts w:ascii="宋体"/>
              </w:rPr>
            </w:pPr>
          </w:p>
        </w:tc>
        <w:tc>
          <w:tcPr>
            <w:tcW w:w="0" w:type="auto"/>
            <w:shd w:val="clear" w:color="auto" w:fill="auto"/>
            <w:vAlign w:val="bottom"/>
          </w:tcPr>
          <w:p w14:paraId="74DDFF40" w14:textId="77777777" w:rsidR="00584EC1" w:rsidRDefault="00584EC1">
            <w:pPr>
              <w:rPr>
                <w:rFonts w:ascii="宋体"/>
              </w:rPr>
            </w:pPr>
          </w:p>
        </w:tc>
        <w:tc>
          <w:tcPr>
            <w:tcW w:w="0" w:type="auto"/>
            <w:shd w:val="clear" w:color="auto" w:fill="auto"/>
            <w:vAlign w:val="bottom"/>
          </w:tcPr>
          <w:p w14:paraId="74DDFF41" w14:textId="77777777" w:rsidR="00584EC1" w:rsidRDefault="00584EC1">
            <w:pPr>
              <w:rPr>
                <w:rFonts w:ascii="宋体"/>
              </w:rPr>
            </w:pPr>
          </w:p>
        </w:tc>
        <w:tc>
          <w:tcPr>
            <w:tcW w:w="0" w:type="auto"/>
            <w:shd w:val="clear" w:color="auto" w:fill="auto"/>
            <w:vAlign w:val="bottom"/>
          </w:tcPr>
          <w:p w14:paraId="74DDFF42" w14:textId="77777777" w:rsidR="00584EC1" w:rsidRDefault="00584EC1">
            <w:pPr>
              <w:rPr>
                <w:rFonts w:ascii="宋体"/>
              </w:rPr>
            </w:pPr>
          </w:p>
        </w:tc>
        <w:tc>
          <w:tcPr>
            <w:tcW w:w="0" w:type="auto"/>
            <w:shd w:val="clear" w:color="auto" w:fill="auto"/>
            <w:vAlign w:val="bottom"/>
          </w:tcPr>
          <w:p w14:paraId="74DDFF43" w14:textId="77777777" w:rsidR="00584EC1" w:rsidRDefault="00584EC1">
            <w:pPr>
              <w:rPr>
                <w:rFonts w:ascii="宋体"/>
              </w:rPr>
            </w:pPr>
          </w:p>
        </w:tc>
        <w:tc>
          <w:tcPr>
            <w:tcW w:w="0" w:type="auto"/>
            <w:shd w:val="clear" w:color="auto" w:fill="auto"/>
            <w:vAlign w:val="bottom"/>
          </w:tcPr>
          <w:p w14:paraId="74DDFF44" w14:textId="77777777" w:rsidR="00584EC1" w:rsidRDefault="00584EC1">
            <w:pPr>
              <w:rPr>
                <w:rFonts w:ascii="宋体"/>
              </w:rPr>
            </w:pPr>
          </w:p>
        </w:tc>
        <w:tc>
          <w:tcPr>
            <w:tcW w:w="0" w:type="auto"/>
            <w:shd w:val="clear" w:color="auto" w:fill="auto"/>
            <w:vAlign w:val="bottom"/>
          </w:tcPr>
          <w:p w14:paraId="74DDFF45" w14:textId="77777777" w:rsidR="00584EC1" w:rsidRDefault="00584EC1">
            <w:pPr>
              <w:rPr>
                <w:rFonts w:ascii="宋体"/>
              </w:rPr>
            </w:pPr>
          </w:p>
        </w:tc>
        <w:tc>
          <w:tcPr>
            <w:tcW w:w="0" w:type="auto"/>
            <w:shd w:val="clear" w:color="auto" w:fill="auto"/>
            <w:vAlign w:val="bottom"/>
          </w:tcPr>
          <w:p w14:paraId="74DDFF46" w14:textId="77777777" w:rsidR="00584EC1" w:rsidRDefault="00584EC1">
            <w:pPr>
              <w:rPr>
                <w:rFonts w:ascii="宋体"/>
              </w:rPr>
            </w:pPr>
          </w:p>
        </w:tc>
        <w:tc>
          <w:tcPr>
            <w:tcW w:w="0" w:type="auto"/>
            <w:shd w:val="clear" w:color="auto" w:fill="auto"/>
            <w:vAlign w:val="bottom"/>
          </w:tcPr>
          <w:p w14:paraId="74DDFF47" w14:textId="77777777" w:rsidR="00584EC1" w:rsidRDefault="00584EC1">
            <w:pPr>
              <w:rPr>
                <w:rFonts w:ascii="宋体"/>
              </w:rPr>
            </w:pPr>
          </w:p>
        </w:tc>
        <w:tc>
          <w:tcPr>
            <w:tcW w:w="0" w:type="auto"/>
            <w:shd w:val="clear" w:color="auto" w:fill="auto"/>
            <w:vAlign w:val="bottom"/>
          </w:tcPr>
          <w:p w14:paraId="74DDFF48" w14:textId="77777777" w:rsidR="00584EC1" w:rsidRDefault="00584EC1">
            <w:pPr>
              <w:rPr>
                <w:rFonts w:ascii="宋体"/>
              </w:rPr>
            </w:pPr>
          </w:p>
        </w:tc>
        <w:tc>
          <w:tcPr>
            <w:tcW w:w="0" w:type="auto"/>
            <w:shd w:val="clear" w:color="auto" w:fill="auto"/>
            <w:vAlign w:val="bottom"/>
          </w:tcPr>
          <w:p w14:paraId="74DDFF49" w14:textId="77777777" w:rsidR="00584EC1" w:rsidRDefault="00584EC1">
            <w:pPr>
              <w:rPr>
                <w:rFonts w:ascii="宋体"/>
              </w:rPr>
            </w:pPr>
          </w:p>
        </w:tc>
        <w:tc>
          <w:tcPr>
            <w:tcW w:w="0" w:type="auto"/>
            <w:shd w:val="clear" w:color="auto" w:fill="auto"/>
            <w:vAlign w:val="bottom"/>
          </w:tcPr>
          <w:p w14:paraId="74DDFF4A" w14:textId="77777777" w:rsidR="00584EC1" w:rsidRDefault="00584EC1">
            <w:pPr>
              <w:rPr>
                <w:rFonts w:ascii="宋体"/>
              </w:rPr>
            </w:pPr>
          </w:p>
        </w:tc>
        <w:tc>
          <w:tcPr>
            <w:tcW w:w="0" w:type="auto"/>
            <w:shd w:val="clear" w:color="auto" w:fill="auto"/>
            <w:vAlign w:val="bottom"/>
          </w:tcPr>
          <w:p w14:paraId="74DDFF4B" w14:textId="77777777" w:rsidR="00584EC1" w:rsidRDefault="00584EC1">
            <w:pPr>
              <w:rPr>
                <w:rFonts w:ascii="宋体"/>
              </w:rPr>
            </w:pPr>
          </w:p>
        </w:tc>
        <w:tc>
          <w:tcPr>
            <w:tcW w:w="0" w:type="auto"/>
            <w:shd w:val="clear" w:color="auto" w:fill="auto"/>
            <w:vAlign w:val="bottom"/>
          </w:tcPr>
          <w:p w14:paraId="74DDFF4C" w14:textId="77777777" w:rsidR="00584EC1" w:rsidRDefault="00584EC1">
            <w:pPr>
              <w:rPr>
                <w:rFonts w:ascii="宋体"/>
              </w:rPr>
            </w:pPr>
          </w:p>
        </w:tc>
        <w:tc>
          <w:tcPr>
            <w:tcW w:w="0" w:type="auto"/>
            <w:shd w:val="clear" w:color="auto" w:fill="auto"/>
            <w:vAlign w:val="bottom"/>
          </w:tcPr>
          <w:p w14:paraId="74DDFF4D" w14:textId="77777777" w:rsidR="00584EC1" w:rsidRDefault="00584EC1">
            <w:pPr>
              <w:rPr>
                <w:rFonts w:ascii="宋体"/>
              </w:rPr>
            </w:pPr>
          </w:p>
        </w:tc>
        <w:tc>
          <w:tcPr>
            <w:tcW w:w="0" w:type="auto"/>
            <w:shd w:val="clear" w:color="auto" w:fill="auto"/>
            <w:vAlign w:val="bottom"/>
          </w:tcPr>
          <w:p w14:paraId="74DDFF4E" w14:textId="77777777" w:rsidR="00584EC1" w:rsidRDefault="00584EC1">
            <w:pPr>
              <w:rPr>
                <w:rFonts w:ascii="宋体"/>
              </w:rPr>
            </w:pPr>
          </w:p>
        </w:tc>
        <w:tc>
          <w:tcPr>
            <w:tcW w:w="0" w:type="auto"/>
            <w:shd w:val="clear" w:color="auto" w:fill="auto"/>
            <w:vAlign w:val="bottom"/>
          </w:tcPr>
          <w:p w14:paraId="74DDFF4F" w14:textId="77777777" w:rsidR="00584EC1" w:rsidRDefault="00584EC1">
            <w:pPr>
              <w:rPr>
                <w:rFonts w:ascii="宋体"/>
              </w:rPr>
            </w:pPr>
          </w:p>
        </w:tc>
        <w:tc>
          <w:tcPr>
            <w:tcW w:w="0" w:type="auto"/>
            <w:shd w:val="clear" w:color="auto" w:fill="auto"/>
            <w:vAlign w:val="bottom"/>
          </w:tcPr>
          <w:p w14:paraId="74DDFF50" w14:textId="77777777" w:rsidR="00584EC1" w:rsidRDefault="00584EC1">
            <w:pPr>
              <w:rPr>
                <w:rFonts w:ascii="宋体"/>
              </w:rPr>
            </w:pPr>
          </w:p>
        </w:tc>
        <w:tc>
          <w:tcPr>
            <w:tcW w:w="0" w:type="auto"/>
            <w:shd w:val="clear" w:color="auto" w:fill="auto"/>
            <w:vAlign w:val="bottom"/>
          </w:tcPr>
          <w:p w14:paraId="74DDFF51" w14:textId="77777777" w:rsidR="00584EC1" w:rsidRDefault="00584EC1">
            <w:pPr>
              <w:rPr>
                <w:rFonts w:ascii="宋体"/>
              </w:rPr>
            </w:pPr>
          </w:p>
        </w:tc>
        <w:tc>
          <w:tcPr>
            <w:tcW w:w="0" w:type="auto"/>
            <w:shd w:val="clear" w:color="auto" w:fill="auto"/>
            <w:vAlign w:val="bottom"/>
          </w:tcPr>
          <w:p w14:paraId="74DDFF52" w14:textId="77777777" w:rsidR="00584EC1" w:rsidRDefault="00584EC1">
            <w:pPr>
              <w:rPr>
                <w:rFonts w:ascii="宋体"/>
              </w:rPr>
            </w:pPr>
          </w:p>
        </w:tc>
        <w:tc>
          <w:tcPr>
            <w:tcW w:w="0" w:type="auto"/>
            <w:shd w:val="clear" w:color="auto" w:fill="auto"/>
            <w:vAlign w:val="bottom"/>
          </w:tcPr>
          <w:p w14:paraId="74DDFF53" w14:textId="77777777" w:rsidR="00584EC1" w:rsidRDefault="00584EC1">
            <w:pPr>
              <w:rPr>
                <w:rFonts w:ascii="宋体"/>
              </w:rPr>
            </w:pPr>
          </w:p>
        </w:tc>
        <w:tc>
          <w:tcPr>
            <w:tcW w:w="0" w:type="auto"/>
            <w:shd w:val="clear" w:color="auto" w:fill="auto"/>
            <w:vAlign w:val="bottom"/>
          </w:tcPr>
          <w:p w14:paraId="74DDFF54" w14:textId="77777777" w:rsidR="00584EC1" w:rsidRDefault="00584EC1">
            <w:pPr>
              <w:rPr>
                <w:rFonts w:ascii="宋体"/>
              </w:rPr>
            </w:pPr>
          </w:p>
        </w:tc>
        <w:tc>
          <w:tcPr>
            <w:tcW w:w="0" w:type="auto"/>
            <w:shd w:val="clear" w:color="auto" w:fill="auto"/>
            <w:vAlign w:val="bottom"/>
          </w:tcPr>
          <w:p w14:paraId="74DDFF55" w14:textId="77777777" w:rsidR="00584EC1" w:rsidRDefault="00584EC1">
            <w:pPr>
              <w:rPr>
                <w:rFonts w:ascii="宋体"/>
              </w:rPr>
            </w:pPr>
          </w:p>
        </w:tc>
        <w:tc>
          <w:tcPr>
            <w:tcW w:w="0" w:type="auto"/>
            <w:shd w:val="clear" w:color="auto" w:fill="auto"/>
            <w:vAlign w:val="bottom"/>
          </w:tcPr>
          <w:p w14:paraId="74DDFF56" w14:textId="77777777" w:rsidR="00584EC1" w:rsidRDefault="00584EC1">
            <w:pPr>
              <w:rPr>
                <w:rFonts w:ascii="宋体"/>
              </w:rPr>
            </w:pPr>
          </w:p>
        </w:tc>
        <w:tc>
          <w:tcPr>
            <w:tcW w:w="0" w:type="auto"/>
            <w:shd w:val="clear" w:color="auto" w:fill="auto"/>
            <w:vAlign w:val="bottom"/>
          </w:tcPr>
          <w:p w14:paraId="74DDFF57" w14:textId="77777777" w:rsidR="00584EC1" w:rsidRDefault="00584EC1">
            <w:pPr>
              <w:rPr>
                <w:rFonts w:ascii="宋体"/>
              </w:rPr>
            </w:pPr>
          </w:p>
        </w:tc>
        <w:tc>
          <w:tcPr>
            <w:tcW w:w="0" w:type="auto"/>
            <w:shd w:val="clear" w:color="auto" w:fill="auto"/>
            <w:vAlign w:val="bottom"/>
          </w:tcPr>
          <w:p w14:paraId="74DDFF58" w14:textId="77777777" w:rsidR="00584EC1" w:rsidRDefault="00584EC1">
            <w:pPr>
              <w:rPr>
                <w:rFonts w:ascii="宋体"/>
              </w:rPr>
            </w:pPr>
          </w:p>
        </w:tc>
        <w:tc>
          <w:tcPr>
            <w:tcW w:w="0" w:type="auto"/>
            <w:shd w:val="clear" w:color="auto" w:fill="auto"/>
            <w:vAlign w:val="bottom"/>
          </w:tcPr>
          <w:p w14:paraId="74DDFF59" w14:textId="77777777" w:rsidR="00584EC1" w:rsidRDefault="00584EC1">
            <w:pPr>
              <w:rPr>
                <w:rFonts w:ascii="宋体"/>
              </w:rPr>
            </w:pPr>
          </w:p>
        </w:tc>
        <w:tc>
          <w:tcPr>
            <w:tcW w:w="0" w:type="auto"/>
            <w:shd w:val="clear" w:color="auto" w:fill="auto"/>
            <w:vAlign w:val="bottom"/>
          </w:tcPr>
          <w:p w14:paraId="74DDFF5A" w14:textId="77777777" w:rsidR="00584EC1" w:rsidRDefault="00584EC1">
            <w:pPr>
              <w:rPr>
                <w:rFonts w:ascii="宋体"/>
              </w:rPr>
            </w:pPr>
          </w:p>
        </w:tc>
        <w:tc>
          <w:tcPr>
            <w:tcW w:w="0" w:type="auto"/>
            <w:shd w:val="clear" w:color="auto" w:fill="auto"/>
            <w:vAlign w:val="bottom"/>
          </w:tcPr>
          <w:p w14:paraId="74DDFF5B" w14:textId="77777777" w:rsidR="00584EC1" w:rsidRDefault="00584EC1">
            <w:pPr>
              <w:rPr>
                <w:rFonts w:ascii="宋体"/>
              </w:rPr>
            </w:pPr>
          </w:p>
        </w:tc>
        <w:tc>
          <w:tcPr>
            <w:tcW w:w="0" w:type="auto"/>
            <w:shd w:val="clear" w:color="auto" w:fill="auto"/>
            <w:vAlign w:val="bottom"/>
          </w:tcPr>
          <w:p w14:paraId="74DDFF5C" w14:textId="77777777" w:rsidR="00584EC1" w:rsidRDefault="00584EC1">
            <w:pPr>
              <w:rPr>
                <w:rFonts w:ascii="宋体"/>
              </w:rPr>
            </w:pPr>
          </w:p>
        </w:tc>
        <w:tc>
          <w:tcPr>
            <w:tcW w:w="0" w:type="auto"/>
            <w:shd w:val="clear" w:color="auto" w:fill="auto"/>
            <w:vAlign w:val="bottom"/>
          </w:tcPr>
          <w:p w14:paraId="74DDFF5D" w14:textId="77777777" w:rsidR="00584EC1" w:rsidRDefault="00584EC1">
            <w:pPr>
              <w:rPr>
                <w:rFonts w:ascii="宋体"/>
              </w:rPr>
            </w:pPr>
          </w:p>
        </w:tc>
        <w:tc>
          <w:tcPr>
            <w:tcW w:w="0" w:type="auto"/>
            <w:shd w:val="clear" w:color="auto" w:fill="auto"/>
            <w:vAlign w:val="bottom"/>
          </w:tcPr>
          <w:p w14:paraId="74DDFF5E" w14:textId="77777777" w:rsidR="00584EC1" w:rsidRDefault="00584EC1">
            <w:pPr>
              <w:rPr>
                <w:rFonts w:ascii="宋体"/>
              </w:rPr>
            </w:pPr>
          </w:p>
        </w:tc>
        <w:tc>
          <w:tcPr>
            <w:tcW w:w="0" w:type="auto"/>
            <w:shd w:val="clear" w:color="auto" w:fill="auto"/>
            <w:vAlign w:val="bottom"/>
          </w:tcPr>
          <w:p w14:paraId="74DDFF5F" w14:textId="77777777" w:rsidR="00584EC1" w:rsidRDefault="00584EC1">
            <w:pPr>
              <w:rPr>
                <w:rFonts w:ascii="宋体"/>
              </w:rPr>
            </w:pPr>
          </w:p>
        </w:tc>
        <w:tc>
          <w:tcPr>
            <w:tcW w:w="0" w:type="auto"/>
            <w:shd w:val="clear" w:color="auto" w:fill="auto"/>
            <w:vAlign w:val="bottom"/>
          </w:tcPr>
          <w:p w14:paraId="74DDFF60" w14:textId="77777777" w:rsidR="00584EC1" w:rsidRDefault="00584EC1">
            <w:pPr>
              <w:rPr>
                <w:rFonts w:ascii="宋体"/>
              </w:rPr>
            </w:pPr>
          </w:p>
        </w:tc>
        <w:tc>
          <w:tcPr>
            <w:tcW w:w="0" w:type="auto"/>
            <w:shd w:val="clear" w:color="auto" w:fill="auto"/>
            <w:vAlign w:val="bottom"/>
          </w:tcPr>
          <w:p w14:paraId="74DDFF61" w14:textId="77777777" w:rsidR="00584EC1" w:rsidRDefault="00584EC1">
            <w:pPr>
              <w:rPr>
                <w:rFonts w:ascii="宋体"/>
              </w:rPr>
            </w:pPr>
          </w:p>
        </w:tc>
        <w:tc>
          <w:tcPr>
            <w:tcW w:w="0" w:type="auto"/>
            <w:shd w:val="clear" w:color="auto" w:fill="auto"/>
            <w:vAlign w:val="bottom"/>
          </w:tcPr>
          <w:p w14:paraId="74DDFF62" w14:textId="77777777" w:rsidR="00584EC1" w:rsidRDefault="00584EC1">
            <w:pPr>
              <w:rPr>
                <w:rFonts w:ascii="宋体"/>
              </w:rPr>
            </w:pPr>
          </w:p>
        </w:tc>
        <w:tc>
          <w:tcPr>
            <w:tcW w:w="0" w:type="auto"/>
            <w:shd w:val="clear" w:color="auto" w:fill="auto"/>
            <w:vAlign w:val="bottom"/>
          </w:tcPr>
          <w:p w14:paraId="74DDFF63" w14:textId="77777777" w:rsidR="00584EC1" w:rsidRDefault="00584EC1">
            <w:pPr>
              <w:rPr>
                <w:rFonts w:ascii="宋体"/>
              </w:rPr>
            </w:pPr>
          </w:p>
        </w:tc>
        <w:tc>
          <w:tcPr>
            <w:tcW w:w="0" w:type="auto"/>
            <w:shd w:val="clear" w:color="auto" w:fill="auto"/>
            <w:vAlign w:val="bottom"/>
          </w:tcPr>
          <w:p w14:paraId="74DDFF64" w14:textId="77777777" w:rsidR="00584EC1" w:rsidRDefault="00584EC1">
            <w:pPr>
              <w:rPr>
                <w:rFonts w:ascii="宋体"/>
              </w:rPr>
            </w:pPr>
          </w:p>
        </w:tc>
        <w:tc>
          <w:tcPr>
            <w:tcW w:w="0" w:type="auto"/>
            <w:shd w:val="clear" w:color="auto" w:fill="auto"/>
            <w:vAlign w:val="bottom"/>
          </w:tcPr>
          <w:p w14:paraId="74DDFF65" w14:textId="77777777" w:rsidR="00584EC1" w:rsidRDefault="00584EC1">
            <w:pPr>
              <w:rPr>
                <w:rFonts w:ascii="宋体"/>
              </w:rPr>
            </w:pPr>
          </w:p>
        </w:tc>
        <w:tc>
          <w:tcPr>
            <w:tcW w:w="0" w:type="auto"/>
            <w:shd w:val="clear" w:color="auto" w:fill="auto"/>
            <w:vAlign w:val="bottom"/>
          </w:tcPr>
          <w:p w14:paraId="74DDFF66" w14:textId="77777777" w:rsidR="00584EC1" w:rsidRDefault="00584EC1">
            <w:pPr>
              <w:rPr>
                <w:rFonts w:ascii="宋体"/>
              </w:rPr>
            </w:pPr>
          </w:p>
        </w:tc>
        <w:tc>
          <w:tcPr>
            <w:tcW w:w="0" w:type="auto"/>
            <w:shd w:val="clear" w:color="auto" w:fill="auto"/>
            <w:vAlign w:val="bottom"/>
          </w:tcPr>
          <w:p w14:paraId="74DDFF67" w14:textId="77777777" w:rsidR="00584EC1" w:rsidRDefault="00584EC1">
            <w:pPr>
              <w:rPr>
                <w:rFonts w:ascii="宋体"/>
              </w:rPr>
            </w:pPr>
          </w:p>
        </w:tc>
        <w:tc>
          <w:tcPr>
            <w:tcW w:w="0" w:type="auto"/>
            <w:shd w:val="clear" w:color="auto" w:fill="auto"/>
            <w:vAlign w:val="bottom"/>
          </w:tcPr>
          <w:p w14:paraId="74DDFF68" w14:textId="77777777" w:rsidR="00584EC1" w:rsidRDefault="00584EC1">
            <w:pPr>
              <w:rPr>
                <w:rFonts w:ascii="宋体"/>
              </w:rPr>
            </w:pPr>
          </w:p>
        </w:tc>
        <w:tc>
          <w:tcPr>
            <w:tcW w:w="0" w:type="auto"/>
            <w:shd w:val="clear" w:color="auto" w:fill="auto"/>
            <w:vAlign w:val="bottom"/>
          </w:tcPr>
          <w:p w14:paraId="74DDFF69" w14:textId="77777777" w:rsidR="00584EC1" w:rsidRDefault="00584EC1">
            <w:pPr>
              <w:rPr>
                <w:rFonts w:ascii="宋体"/>
              </w:rPr>
            </w:pPr>
          </w:p>
        </w:tc>
        <w:tc>
          <w:tcPr>
            <w:tcW w:w="0" w:type="auto"/>
            <w:shd w:val="clear" w:color="auto" w:fill="auto"/>
            <w:vAlign w:val="bottom"/>
          </w:tcPr>
          <w:p w14:paraId="74DDFF6A" w14:textId="77777777" w:rsidR="00584EC1" w:rsidRDefault="00584EC1">
            <w:pPr>
              <w:rPr>
                <w:rFonts w:ascii="宋体"/>
              </w:rPr>
            </w:pPr>
          </w:p>
        </w:tc>
        <w:tc>
          <w:tcPr>
            <w:tcW w:w="0" w:type="auto"/>
            <w:shd w:val="clear" w:color="auto" w:fill="auto"/>
            <w:vAlign w:val="bottom"/>
          </w:tcPr>
          <w:p w14:paraId="74DDFF6B" w14:textId="77777777" w:rsidR="00584EC1" w:rsidRDefault="00584EC1">
            <w:pPr>
              <w:rPr>
                <w:rFonts w:ascii="宋体"/>
              </w:rPr>
            </w:pPr>
          </w:p>
        </w:tc>
        <w:tc>
          <w:tcPr>
            <w:tcW w:w="0" w:type="auto"/>
            <w:shd w:val="clear" w:color="auto" w:fill="auto"/>
            <w:vAlign w:val="bottom"/>
          </w:tcPr>
          <w:p w14:paraId="74DDFF6C" w14:textId="77777777" w:rsidR="00584EC1" w:rsidRDefault="00584EC1">
            <w:pPr>
              <w:rPr>
                <w:rFonts w:ascii="宋体"/>
              </w:rPr>
            </w:pPr>
          </w:p>
        </w:tc>
      </w:tr>
      <w:tr w:rsidR="00584EC1" w14:paraId="74DDFF72" w14:textId="77777777">
        <w:tc>
          <w:tcPr>
            <w:tcW w:w="0" w:type="auto"/>
            <w:gridSpan w:val="3"/>
            <w:shd w:val="clear" w:color="auto" w:fill="auto"/>
            <w:tcMar>
              <w:top w:w="0" w:type="dxa"/>
              <w:left w:w="20" w:type="dxa"/>
              <w:bottom w:w="0" w:type="dxa"/>
              <w:right w:w="20" w:type="dxa"/>
            </w:tcMar>
            <w:vAlign w:val="bottom"/>
          </w:tcPr>
          <w:p w14:paraId="74DDFF6E" w14:textId="77777777" w:rsidR="00584EC1" w:rsidRDefault="00584EC1">
            <w:pPr>
              <w:rPr>
                <w:rFonts w:ascii="宋体"/>
              </w:rPr>
            </w:pPr>
          </w:p>
        </w:tc>
        <w:tc>
          <w:tcPr>
            <w:tcW w:w="0" w:type="auto"/>
            <w:gridSpan w:val="27"/>
            <w:shd w:val="clear" w:color="auto" w:fill="auto"/>
            <w:tcMar>
              <w:top w:w="40" w:type="dxa"/>
              <w:left w:w="20" w:type="dxa"/>
              <w:bottom w:w="40" w:type="dxa"/>
              <w:right w:w="20" w:type="dxa"/>
            </w:tcMar>
            <w:vAlign w:val="bottom"/>
          </w:tcPr>
          <w:p w14:paraId="74DDFF6F" w14:textId="77777777" w:rsidR="00584EC1" w:rsidRDefault="00871F8D">
            <w:pPr>
              <w:jc w:val="center"/>
              <w:textAlignment w:val="bottom"/>
            </w:pPr>
            <w:r>
              <w:rPr>
                <w:rFonts w:ascii="Arial" w:eastAsia="宋体" w:hAnsi="Arial" w:cs="Arial"/>
                <w:b/>
                <w:bCs/>
                <w:color w:val="000000"/>
                <w:sz w:val="15"/>
                <w:szCs w:val="15"/>
              </w:rPr>
              <w:t>As of September 30, 2021</w:t>
            </w:r>
          </w:p>
        </w:tc>
        <w:tc>
          <w:tcPr>
            <w:tcW w:w="0" w:type="auto"/>
            <w:gridSpan w:val="3"/>
            <w:shd w:val="clear" w:color="auto" w:fill="auto"/>
            <w:tcMar>
              <w:top w:w="0" w:type="dxa"/>
              <w:left w:w="20" w:type="dxa"/>
              <w:bottom w:w="0" w:type="dxa"/>
              <w:right w:w="20" w:type="dxa"/>
            </w:tcMar>
            <w:vAlign w:val="bottom"/>
          </w:tcPr>
          <w:p w14:paraId="74DDFF70" w14:textId="77777777" w:rsidR="00584EC1" w:rsidRDefault="00584EC1">
            <w:pPr>
              <w:rPr>
                <w:rFonts w:ascii="宋体"/>
              </w:rPr>
            </w:pPr>
          </w:p>
        </w:tc>
        <w:tc>
          <w:tcPr>
            <w:tcW w:w="0" w:type="auto"/>
            <w:gridSpan w:val="27"/>
            <w:shd w:val="clear" w:color="auto" w:fill="auto"/>
            <w:tcMar>
              <w:top w:w="40" w:type="dxa"/>
              <w:left w:w="20" w:type="dxa"/>
              <w:bottom w:w="40" w:type="dxa"/>
              <w:right w:w="20" w:type="dxa"/>
            </w:tcMar>
            <w:vAlign w:val="bottom"/>
          </w:tcPr>
          <w:p w14:paraId="74DDFF71" w14:textId="77777777" w:rsidR="00584EC1" w:rsidRDefault="00871F8D">
            <w:pPr>
              <w:jc w:val="center"/>
              <w:textAlignment w:val="bottom"/>
            </w:pPr>
            <w:r>
              <w:rPr>
                <w:rFonts w:ascii="Arial" w:eastAsia="宋体" w:hAnsi="Arial" w:cs="Arial"/>
                <w:b/>
                <w:bCs/>
                <w:color w:val="000000"/>
                <w:sz w:val="15"/>
                <w:szCs w:val="15"/>
              </w:rPr>
              <w:t>As of December 31, 2020</w:t>
            </w:r>
          </w:p>
        </w:tc>
      </w:tr>
      <w:tr w:rsidR="00584EC1" w14:paraId="74DDFF87" w14:textId="77777777">
        <w:tc>
          <w:tcPr>
            <w:tcW w:w="0" w:type="auto"/>
            <w:gridSpan w:val="3"/>
            <w:shd w:val="clear" w:color="auto" w:fill="auto"/>
            <w:tcMar>
              <w:top w:w="40" w:type="dxa"/>
              <w:left w:w="20" w:type="dxa"/>
              <w:bottom w:w="40" w:type="dxa"/>
              <w:right w:w="20" w:type="dxa"/>
            </w:tcMar>
            <w:vAlign w:val="bottom"/>
          </w:tcPr>
          <w:p w14:paraId="74DDFF73" w14:textId="77777777" w:rsidR="00584EC1" w:rsidRDefault="00871F8D">
            <w:pPr>
              <w:textAlignment w:val="bottom"/>
            </w:pPr>
            <w:r>
              <w:rPr>
                <w:rFonts w:ascii="Arial" w:eastAsia="宋体" w:hAnsi="Arial" w:cs="Arial"/>
                <w:b/>
                <w:bCs/>
                <w:color w:val="000000"/>
                <w:sz w:val="15"/>
                <w:szCs w:val="15"/>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FF74" w14:textId="77777777" w:rsidR="00584EC1" w:rsidRDefault="00871F8D">
            <w:pPr>
              <w:jc w:val="center"/>
              <w:textAlignment w:val="bottom"/>
            </w:pPr>
            <w:r>
              <w:rPr>
                <w:rFonts w:ascii="Arial" w:eastAsia="宋体" w:hAnsi="Arial" w:cs="Arial"/>
                <w:b/>
                <w:bCs/>
                <w:color w:val="000000"/>
                <w:sz w:val="15"/>
                <w:szCs w:val="15"/>
              </w:rPr>
              <w:t>Overnight and Continuous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F75"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FF76" w14:textId="77777777" w:rsidR="00584EC1" w:rsidRDefault="00871F8D">
            <w:pPr>
              <w:jc w:val="center"/>
              <w:textAlignment w:val="bottom"/>
            </w:pPr>
            <w:r>
              <w:rPr>
                <w:rFonts w:ascii="Arial" w:eastAsia="宋体" w:hAnsi="Arial" w:cs="Arial"/>
                <w:b/>
                <w:bCs/>
                <w:color w:val="000000"/>
                <w:sz w:val="15"/>
                <w:szCs w:val="15"/>
              </w:rPr>
              <w:t xml:space="preserve">Up to 30 </w:t>
            </w:r>
            <w:r>
              <w:rPr>
                <w:rFonts w:ascii="Arial" w:eastAsia="宋体" w:hAnsi="Arial" w:cs="Arial"/>
                <w:b/>
                <w:bCs/>
                <w:color w:val="000000"/>
                <w:sz w:val="15"/>
                <w:szCs w:val="15"/>
              </w:rPr>
              <w:t>Days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F77"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FF78" w14:textId="77777777" w:rsidR="00584EC1" w:rsidRDefault="00871F8D">
            <w:pPr>
              <w:jc w:val="center"/>
              <w:textAlignment w:val="bottom"/>
            </w:pPr>
            <w:r>
              <w:rPr>
                <w:rFonts w:ascii="Arial" w:eastAsia="宋体" w:hAnsi="Arial" w:cs="Arial"/>
                <w:b/>
                <w:bCs/>
                <w:color w:val="000000"/>
                <w:sz w:val="15"/>
                <w:szCs w:val="15"/>
              </w:rPr>
              <w:t>30-90 days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F79"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FF7A" w14:textId="77777777" w:rsidR="00584EC1" w:rsidRDefault="00871F8D">
            <w:pPr>
              <w:jc w:val="center"/>
              <w:textAlignment w:val="bottom"/>
            </w:pPr>
            <w:r>
              <w:rPr>
                <w:rFonts w:ascii="Arial" w:eastAsia="宋体" w:hAnsi="Arial" w:cs="Arial"/>
                <w:b/>
                <w:bCs/>
                <w:color w:val="000000"/>
                <w:sz w:val="15"/>
                <w:szCs w:val="15"/>
              </w:rPr>
              <w:t>Greater than 90 Days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F7B"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FF7C" w14:textId="77777777" w:rsidR="00584EC1" w:rsidRDefault="00871F8D">
            <w:pPr>
              <w:jc w:val="center"/>
              <w:textAlignment w:val="bottom"/>
            </w:pPr>
            <w:r>
              <w:rPr>
                <w:rFonts w:ascii="Arial" w:eastAsia="宋体" w:hAnsi="Arial" w:cs="Arial"/>
                <w:b/>
                <w:bCs/>
                <w:color w:val="000000"/>
                <w:sz w:val="15"/>
                <w:szCs w:val="15"/>
              </w:rPr>
              <w:t>Total</w:t>
            </w:r>
          </w:p>
        </w:tc>
        <w:tc>
          <w:tcPr>
            <w:tcW w:w="0" w:type="auto"/>
            <w:gridSpan w:val="3"/>
            <w:shd w:val="clear" w:color="auto" w:fill="auto"/>
            <w:tcMar>
              <w:top w:w="0" w:type="dxa"/>
              <w:left w:w="20" w:type="dxa"/>
              <w:bottom w:w="0" w:type="dxa"/>
              <w:right w:w="20" w:type="dxa"/>
            </w:tcMar>
            <w:vAlign w:val="bottom"/>
          </w:tcPr>
          <w:p w14:paraId="74DDFF7D"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FF7E" w14:textId="77777777" w:rsidR="00584EC1" w:rsidRDefault="00871F8D">
            <w:pPr>
              <w:jc w:val="center"/>
              <w:textAlignment w:val="bottom"/>
            </w:pPr>
            <w:r>
              <w:rPr>
                <w:rFonts w:ascii="Arial" w:eastAsia="宋体" w:hAnsi="Arial" w:cs="Arial"/>
                <w:b/>
                <w:bCs/>
                <w:color w:val="000000"/>
                <w:sz w:val="15"/>
                <w:szCs w:val="15"/>
              </w:rPr>
              <w:t>Overnight and Continuous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F7F"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FF80" w14:textId="77777777" w:rsidR="00584EC1" w:rsidRDefault="00871F8D">
            <w:pPr>
              <w:jc w:val="center"/>
              <w:textAlignment w:val="bottom"/>
            </w:pPr>
            <w:r>
              <w:rPr>
                <w:rFonts w:ascii="Arial" w:eastAsia="宋体" w:hAnsi="Arial" w:cs="Arial"/>
                <w:b/>
                <w:bCs/>
                <w:color w:val="000000"/>
                <w:sz w:val="15"/>
                <w:szCs w:val="15"/>
              </w:rPr>
              <w:t>Up to 30 Days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F81"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FF82" w14:textId="77777777" w:rsidR="00584EC1" w:rsidRDefault="00871F8D">
            <w:pPr>
              <w:jc w:val="center"/>
              <w:textAlignment w:val="bottom"/>
            </w:pPr>
            <w:r>
              <w:rPr>
                <w:rFonts w:ascii="Arial" w:eastAsia="宋体" w:hAnsi="Arial" w:cs="Arial"/>
                <w:b/>
                <w:bCs/>
                <w:color w:val="000000"/>
                <w:sz w:val="15"/>
                <w:szCs w:val="15"/>
              </w:rPr>
              <w:t>30-90 days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F83"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FF84" w14:textId="77777777" w:rsidR="00584EC1" w:rsidRDefault="00871F8D">
            <w:pPr>
              <w:jc w:val="center"/>
              <w:textAlignment w:val="bottom"/>
            </w:pPr>
            <w:r>
              <w:rPr>
                <w:rFonts w:ascii="Arial" w:eastAsia="宋体" w:hAnsi="Arial" w:cs="Arial"/>
                <w:b/>
                <w:bCs/>
                <w:color w:val="000000"/>
                <w:sz w:val="15"/>
                <w:szCs w:val="15"/>
              </w:rPr>
              <w:t>Greater than 90 Days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F85"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DFF86" w14:textId="77777777" w:rsidR="00584EC1" w:rsidRDefault="00871F8D">
            <w:pPr>
              <w:jc w:val="center"/>
              <w:textAlignment w:val="bottom"/>
            </w:pPr>
            <w:r>
              <w:rPr>
                <w:rFonts w:ascii="Arial" w:eastAsia="宋体" w:hAnsi="Arial" w:cs="Arial"/>
                <w:b/>
                <w:bCs/>
                <w:color w:val="000000"/>
                <w:sz w:val="15"/>
                <w:szCs w:val="15"/>
              </w:rPr>
              <w:t>Total</w:t>
            </w:r>
          </w:p>
        </w:tc>
      </w:tr>
      <w:tr w:rsidR="00584EC1" w14:paraId="74DDFF9C" w14:textId="77777777">
        <w:tc>
          <w:tcPr>
            <w:tcW w:w="0" w:type="auto"/>
            <w:gridSpan w:val="3"/>
            <w:shd w:val="clear" w:color="auto" w:fill="auto"/>
            <w:tcMar>
              <w:top w:w="40" w:type="dxa"/>
              <w:left w:w="20" w:type="dxa"/>
              <w:bottom w:w="40" w:type="dxa"/>
              <w:right w:w="20" w:type="dxa"/>
            </w:tcMar>
            <w:vAlign w:val="bottom"/>
          </w:tcPr>
          <w:p w14:paraId="74DDFF88" w14:textId="77777777" w:rsidR="00584EC1" w:rsidRDefault="00871F8D">
            <w:pPr>
              <w:textAlignment w:val="bottom"/>
            </w:pPr>
            <w:r>
              <w:rPr>
                <w:rFonts w:ascii="Arial" w:eastAsia="宋体" w:hAnsi="Arial" w:cs="Arial"/>
                <w:b/>
                <w:bCs/>
                <w:color w:val="000000"/>
                <w:sz w:val="15"/>
                <w:szCs w:val="15"/>
              </w:rPr>
              <w:t>Repurchase agreements: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F89"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F8A"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F8B"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F8C"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F8D"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F8E"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F8F"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F90"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F9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F92"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F93"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F94"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F9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F96"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F97"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F98"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F99"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DFF9A"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DFF9B" w14:textId="77777777" w:rsidR="00584EC1" w:rsidRDefault="00584EC1">
            <w:pPr>
              <w:rPr>
                <w:rFonts w:ascii="宋体"/>
              </w:rPr>
            </w:pPr>
          </w:p>
        </w:tc>
      </w:tr>
      <w:tr w:rsidR="00871F8D" w14:paraId="74DDFFC5" w14:textId="77777777">
        <w:tc>
          <w:tcPr>
            <w:tcW w:w="0" w:type="auto"/>
            <w:gridSpan w:val="3"/>
            <w:shd w:val="clear" w:color="auto" w:fill="CCEEFF"/>
            <w:tcMar>
              <w:top w:w="40" w:type="dxa"/>
              <w:left w:w="20" w:type="dxa"/>
              <w:bottom w:w="40" w:type="dxa"/>
              <w:right w:w="20" w:type="dxa"/>
            </w:tcMar>
            <w:vAlign w:val="bottom"/>
          </w:tcPr>
          <w:p w14:paraId="74DDFF9D" w14:textId="77777777" w:rsidR="00584EC1" w:rsidRDefault="00871F8D">
            <w:pPr>
              <w:textAlignment w:val="bottom"/>
            </w:pPr>
            <w:r>
              <w:rPr>
                <w:rFonts w:ascii="Arial" w:eastAsia="宋体" w:hAnsi="Arial" w:cs="Arial"/>
                <w:color w:val="000000"/>
                <w:sz w:val="15"/>
                <w:szCs w:val="15"/>
              </w:rPr>
              <w:t>U.S. Treasury and agency securities</w:t>
            </w:r>
          </w:p>
        </w:tc>
        <w:tc>
          <w:tcPr>
            <w:tcW w:w="0" w:type="auto"/>
            <w:shd w:val="clear" w:color="auto" w:fill="CCEEFF"/>
            <w:tcMar>
              <w:top w:w="40" w:type="dxa"/>
              <w:left w:w="20" w:type="dxa"/>
              <w:bottom w:w="40" w:type="dxa"/>
              <w:right w:w="0" w:type="dxa"/>
            </w:tcMar>
            <w:vAlign w:val="bottom"/>
          </w:tcPr>
          <w:p w14:paraId="74DDFF9E" w14:textId="77777777" w:rsidR="00584EC1" w:rsidRDefault="00871F8D">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4DDFF9F" w14:textId="77777777" w:rsidR="00584EC1" w:rsidRDefault="00871F8D">
            <w:pPr>
              <w:jc w:val="right"/>
              <w:textAlignment w:val="bottom"/>
            </w:pPr>
            <w:r>
              <w:rPr>
                <w:rFonts w:ascii="Arial" w:eastAsia="宋体" w:hAnsi="Arial" w:cs="Arial"/>
                <w:b/>
                <w:bCs/>
                <w:color w:val="000000"/>
                <w:sz w:val="15"/>
                <w:szCs w:val="15"/>
              </w:rPr>
              <w:t>53,915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FFA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FA1"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FFA2" w14:textId="77777777" w:rsidR="00584EC1" w:rsidRDefault="00871F8D">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4DDFFA3"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FFA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FA5"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FFA6" w14:textId="77777777" w:rsidR="00584EC1" w:rsidRDefault="00871F8D">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4DDFFA7"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FFA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FA9"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FFAA" w14:textId="77777777" w:rsidR="00584EC1" w:rsidRDefault="00871F8D">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4DDFFAB"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FFA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FAD"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FFAE" w14:textId="77777777" w:rsidR="00584EC1" w:rsidRDefault="00871F8D">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4DDFFAF" w14:textId="77777777" w:rsidR="00584EC1" w:rsidRDefault="00871F8D">
            <w:pPr>
              <w:jc w:val="right"/>
              <w:textAlignment w:val="bottom"/>
            </w:pPr>
            <w:r>
              <w:rPr>
                <w:rFonts w:ascii="Arial" w:eastAsia="宋体" w:hAnsi="Arial" w:cs="Arial"/>
                <w:b/>
                <w:bCs/>
                <w:color w:val="000000"/>
                <w:sz w:val="15"/>
                <w:szCs w:val="15"/>
              </w:rPr>
              <w:t>53,915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FFB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FB1"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FFB2" w14:textId="77777777" w:rsidR="00584EC1" w:rsidRDefault="00871F8D">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4DDFFB3" w14:textId="77777777" w:rsidR="00584EC1" w:rsidRDefault="00871F8D">
            <w:pPr>
              <w:jc w:val="right"/>
              <w:textAlignment w:val="bottom"/>
            </w:pPr>
            <w:r>
              <w:rPr>
                <w:rFonts w:ascii="Arial" w:eastAsia="宋体" w:hAnsi="Arial" w:cs="Arial"/>
                <w:color w:val="000000"/>
                <w:sz w:val="15"/>
                <w:szCs w:val="15"/>
              </w:rPr>
              <w:t>152,140 </w:t>
            </w:r>
          </w:p>
        </w:tc>
        <w:tc>
          <w:tcPr>
            <w:tcW w:w="0" w:type="auto"/>
            <w:shd w:val="clear" w:color="auto" w:fill="CCEEFF"/>
            <w:tcMar>
              <w:top w:w="40" w:type="dxa"/>
              <w:left w:w="0" w:type="dxa"/>
              <w:bottom w:w="40" w:type="dxa"/>
              <w:right w:w="20" w:type="dxa"/>
            </w:tcMar>
            <w:vAlign w:val="bottom"/>
          </w:tcPr>
          <w:p w14:paraId="74DDFFB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FB5"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FFB6" w14:textId="77777777" w:rsidR="00584EC1" w:rsidRDefault="00871F8D">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4DDFFB7"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FFB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FB9"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FFBA" w14:textId="77777777" w:rsidR="00584EC1" w:rsidRDefault="00871F8D">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4DDFFBB"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FFB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FBD"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FFBE" w14:textId="77777777" w:rsidR="00584EC1" w:rsidRDefault="00871F8D">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4DDFFBF"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DFFC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DFFC1"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DFFC2" w14:textId="77777777" w:rsidR="00584EC1" w:rsidRDefault="00871F8D">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4DDFFC3" w14:textId="77777777" w:rsidR="00584EC1" w:rsidRDefault="00871F8D">
            <w:pPr>
              <w:jc w:val="right"/>
              <w:textAlignment w:val="bottom"/>
            </w:pPr>
            <w:r>
              <w:rPr>
                <w:rFonts w:ascii="Arial" w:eastAsia="宋体" w:hAnsi="Arial" w:cs="Arial"/>
                <w:color w:val="000000"/>
                <w:sz w:val="15"/>
                <w:szCs w:val="15"/>
              </w:rPr>
              <w:t>152,140 </w:t>
            </w:r>
          </w:p>
        </w:tc>
        <w:tc>
          <w:tcPr>
            <w:tcW w:w="0" w:type="auto"/>
            <w:shd w:val="clear" w:color="auto" w:fill="CCEEFF"/>
            <w:tcMar>
              <w:top w:w="40" w:type="dxa"/>
              <w:left w:w="0" w:type="dxa"/>
              <w:bottom w:w="40" w:type="dxa"/>
              <w:right w:w="20" w:type="dxa"/>
            </w:tcMar>
            <w:vAlign w:val="bottom"/>
          </w:tcPr>
          <w:p w14:paraId="74DDFFC4" w14:textId="77777777" w:rsidR="00584EC1" w:rsidRDefault="00584EC1">
            <w:pPr>
              <w:jc w:val="right"/>
              <w:rPr>
                <w:rFonts w:ascii="宋体"/>
              </w:rPr>
            </w:pPr>
          </w:p>
        </w:tc>
      </w:tr>
      <w:tr w:rsidR="00584EC1" w14:paraId="74DDFFE4" w14:textId="77777777">
        <w:tc>
          <w:tcPr>
            <w:tcW w:w="0" w:type="auto"/>
            <w:gridSpan w:val="3"/>
            <w:shd w:val="clear" w:color="auto" w:fill="FFFFFF"/>
            <w:tcMar>
              <w:top w:w="40" w:type="dxa"/>
              <w:left w:w="20" w:type="dxa"/>
              <w:bottom w:w="40" w:type="dxa"/>
              <w:right w:w="20" w:type="dxa"/>
            </w:tcMar>
            <w:vAlign w:val="bottom"/>
          </w:tcPr>
          <w:p w14:paraId="74DDFFC6" w14:textId="77777777" w:rsidR="00584EC1" w:rsidRDefault="00871F8D">
            <w:pPr>
              <w:textAlignment w:val="bottom"/>
            </w:pPr>
            <w:r>
              <w:rPr>
                <w:rFonts w:ascii="Arial" w:eastAsia="宋体" w:hAnsi="Arial" w:cs="Arial"/>
                <w:color w:val="000000"/>
                <w:sz w:val="15"/>
                <w:szCs w:val="15"/>
              </w:rPr>
              <w:t>Total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FFC7" w14:textId="77777777" w:rsidR="00584EC1" w:rsidRDefault="00871F8D">
            <w:pPr>
              <w:jc w:val="right"/>
              <w:textAlignment w:val="bottom"/>
            </w:pPr>
            <w:r>
              <w:rPr>
                <w:rFonts w:ascii="Arial" w:eastAsia="宋体" w:hAnsi="Arial" w:cs="Arial"/>
                <w:b/>
                <w:bCs/>
                <w:color w:val="000000"/>
                <w:sz w:val="15"/>
                <w:szCs w:val="15"/>
              </w:rPr>
              <w:t>53,915</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FFC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FC9"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FFCA"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FFC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FCC"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FFCD"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FFC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FCF"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FFD0"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FFD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FD2"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FFD3" w14:textId="77777777" w:rsidR="00584EC1" w:rsidRDefault="00871F8D">
            <w:pPr>
              <w:jc w:val="right"/>
              <w:textAlignment w:val="bottom"/>
            </w:pPr>
            <w:r>
              <w:rPr>
                <w:rFonts w:ascii="Arial" w:eastAsia="宋体" w:hAnsi="Arial" w:cs="Arial"/>
                <w:b/>
                <w:bCs/>
                <w:color w:val="000000"/>
                <w:sz w:val="15"/>
                <w:szCs w:val="15"/>
              </w:rPr>
              <w:t>53,915</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FFD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FD5"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FFD6" w14:textId="77777777" w:rsidR="00584EC1" w:rsidRDefault="00871F8D">
            <w:pPr>
              <w:jc w:val="right"/>
              <w:textAlignment w:val="bottom"/>
            </w:pPr>
            <w:r>
              <w:rPr>
                <w:rFonts w:ascii="Arial" w:eastAsia="宋体" w:hAnsi="Arial" w:cs="Arial"/>
                <w:color w:val="000000"/>
                <w:sz w:val="15"/>
                <w:szCs w:val="15"/>
              </w:rPr>
              <w:t>152,140 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FFD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FD8"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FFD9" w14:textId="77777777" w:rsidR="00584EC1" w:rsidRDefault="00871F8D">
            <w:pPr>
              <w:jc w:val="right"/>
              <w:textAlignment w:val="bottom"/>
            </w:pP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FFD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FDB"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FFDC" w14:textId="77777777" w:rsidR="00584EC1" w:rsidRDefault="00871F8D">
            <w:pPr>
              <w:jc w:val="right"/>
              <w:textAlignment w:val="bottom"/>
            </w:pP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FFD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FDE"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FFDF" w14:textId="77777777" w:rsidR="00584EC1" w:rsidRDefault="00871F8D">
            <w:pPr>
              <w:jc w:val="right"/>
              <w:textAlignment w:val="bottom"/>
            </w:pP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FFE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FE1"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DFFE2" w14:textId="77777777" w:rsidR="00584EC1" w:rsidRDefault="00871F8D">
            <w:pPr>
              <w:jc w:val="right"/>
              <w:textAlignment w:val="bottom"/>
            </w:pPr>
            <w:r>
              <w:rPr>
                <w:rFonts w:ascii="Arial" w:eastAsia="宋体" w:hAnsi="Arial" w:cs="Arial"/>
                <w:color w:val="000000"/>
                <w:sz w:val="15"/>
                <w:szCs w:val="15"/>
              </w:rPr>
              <w:t>152,140 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DFFE3" w14:textId="77777777" w:rsidR="00584EC1" w:rsidRDefault="00584EC1">
            <w:pPr>
              <w:jc w:val="right"/>
              <w:rPr>
                <w:rFonts w:ascii="宋体"/>
              </w:rPr>
            </w:pPr>
          </w:p>
        </w:tc>
      </w:tr>
      <w:tr w:rsidR="00584EC1" w14:paraId="74DDFFF9" w14:textId="77777777">
        <w:tc>
          <w:tcPr>
            <w:tcW w:w="0" w:type="auto"/>
            <w:gridSpan w:val="3"/>
            <w:shd w:val="clear" w:color="auto" w:fill="CCEEFF"/>
            <w:tcMar>
              <w:top w:w="40" w:type="dxa"/>
              <w:left w:w="20" w:type="dxa"/>
              <w:bottom w:w="40" w:type="dxa"/>
              <w:right w:w="20" w:type="dxa"/>
            </w:tcMar>
            <w:vAlign w:val="bottom"/>
          </w:tcPr>
          <w:p w14:paraId="74DDFFE5" w14:textId="77777777" w:rsidR="00584EC1" w:rsidRDefault="00871F8D">
            <w:pPr>
              <w:textAlignment w:val="bottom"/>
            </w:pPr>
            <w:r>
              <w:rPr>
                <w:rFonts w:ascii="Arial" w:eastAsia="宋体" w:hAnsi="Arial" w:cs="Arial"/>
                <w:b/>
                <w:bCs/>
                <w:color w:val="000000"/>
                <w:sz w:val="15"/>
                <w:szCs w:val="15"/>
              </w:rPr>
              <w:t>Securities lending transactions: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4DDFFE6"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FFE7" w14:textId="77777777" w:rsidR="00584EC1" w:rsidRDefault="00584EC1">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4DDFFE8"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FFE9" w14:textId="77777777" w:rsidR="00584EC1" w:rsidRDefault="00584EC1">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4DDFFEA"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FFEB" w14:textId="77777777" w:rsidR="00584EC1" w:rsidRDefault="00584EC1">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4DDFFEC"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FFED" w14:textId="77777777" w:rsidR="00584EC1" w:rsidRDefault="00584EC1">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4DDFFEE"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FFEF" w14:textId="77777777" w:rsidR="00584EC1" w:rsidRDefault="00584EC1">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4DDFFF0"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FFF1" w14:textId="77777777" w:rsidR="00584EC1" w:rsidRDefault="00584EC1">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4DDFFF2"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FFF3" w14:textId="77777777" w:rsidR="00584EC1" w:rsidRDefault="00584EC1">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4DDFFF4"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FFF5" w14:textId="77777777" w:rsidR="00584EC1" w:rsidRDefault="00584EC1">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4DDFFF6"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DFFF7" w14:textId="77777777" w:rsidR="00584EC1" w:rsidRDefault="00584EC1">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4DDFFF8" w14:textId="77777777" w:rsidR="00584EC1" w:rsidRDefault="00584EC1">
            <w:pPr>
              <w:rPr>
                <w:rFonts w:ascii="宋体"/>
              </w:rPr>
            </w:pPr>
          </w:p>
        </w:tc>
      </w:tr>
      <w:tr w:rsidR="00584EC1" w14:paraId="74DE0018" w14:textId="77777777">
        <w:tc>
          <w:tcPr>
            <w:tcW w:w="0" w:type="auto"/>
            <w:gridSpan w:val="3"/>
            <w:shd w:val="clear" w:color="auto" w:fill="FFFFFF"/>
            <w:tcMar>
              <w:top w:w="40" w:type="dxa"/>
              <w:left w:w="20" w:type="dxa"/>
              <w:bottom w:w="40" w:type="dxa"/>
              <w:right w:w="20" w:type="dxa"/>
            </w:tcMar>
            <w:vAlign w:val="bottom"/>
          </w:tcPr>
          <w:p w14:paraId="74DDFFFA" w14:textId="77777777" w:rsidR="00584EC1" w:rsidRDefault="00871F8D">
            <w:pPr>
              <w:textAlignment w:val="bottom"/>
            </w:pPr>
            <w:r>
              <w:rPr>
                <w:rFonts w:ascii="Arial" w:eastAsia="宋体" w:hAnsi="Arial" w:cs="Arial"/>
                <w:color w:val="000000"/>
                <w:sz w:val="15"/>
                <w:szCs w:val="15"/>
              </w:rPr>
              <w:t>US Treasury and agency securities</w:t>
            </w:r>
          </w:p>
        </w:tc>
        <w:tc>
          <w:tcPr>
            <w:tcW w:w="0" w:type="auto"/>
            <w:gridSpan w:val="2"/>
            <w:shd w:val="clear" w:color="auto" w:fill="FFFFFF"/>
            <w:tcMar>
              <w:top w:w="40" w:type="dxa"/>
              <w:left w:w="20" w:type="dxa"/>
              <w:bottom w:w="40" w:type="dxa"/>
              <w:right w:w="0" w:type="dxa"/>
            </w:tcMar>
            <w:vAlign w:val="bottom"/>
          </w:tcPr>
          <w:p w14:paraId="74DDFFFB" w14:textId="77777777" w:rsidR="00584EC1" w:rsidRDefault="00871F8D">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FFF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DFFF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DFFFE"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DFFF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00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001"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E000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00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004"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E000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00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007" w14:textId="77777777" w:rsidR="00584EC1" w:rsidRDefault="00871F8D">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E000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00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00A"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E000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00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00D"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E000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00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010"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E001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01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013"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E001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015"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016"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E0017" w14:textId="77777777" w:rsidR="00584EC1" w:rsidRDefault="00584EC1">
            <w:pPr>
              <w:jc w:val="right"/>
              <w:rPr>
                <w:rFonts w:ascii="宋体"/>
              </w:rPr>
            </w:pPr>
          </w:p>
        </w:tc>
      </w:tr>
      <w:tr w:rsidR="00584EC1" w14:paraId="74DE0037" w14:textId="77777777">
        <w:tc>
          <w:tcPr>
            <w:tcW w:w="0" w:type="auto"/>
            <w:gridSpan w:val="3"/>
            <w:shd w:val="clear" w:color="auto" w:fill="CCEEFF"/>
            <w:tcMar>
              <w:top w:w="40" w:type="dxa"/>
              <w:left w:w="20" w:type="dxa"/>
              <w:bottom w:w="40" w:type="dxa"/>
              <w:right w:w="20" w:type="dxa"/>
            </w:tcMar>
            <w:vAlign w:val="bottom"/>
          </w:tcPr>
          <w:p w14:paraId="74DE0019" w14:textId="77777777" w:rsidR="00584EC1" w:rsidRDefault="00871F8D">
            <w:pPr>
              <w:textAlignment w:val="bottom"/>
            </w:pPr>
            <w:r>
              <w:rPr>
                <w:rFonts w:ascii="Arial" w:eastAsia="宋体" w:hAnsi="Arial" w:cs="Arial"/>
                <w:color w:val="000000"/>
                <w:sz w:val="15"/>
                <w:szCs w:val="15"/>
              </w:rPr>
              <w:t>Corporate debt securities</w:t>
            </w:r>
          </w:p>
        </w:tc>
        <w:tc>
          <w:tcPr>
            <w:tcW w:w="0" w:type="auto"/>
            <w:gridSpan w:val="2"/>
            <w:shd w:val="clear" w:color="auto" w:fill="CCEEFF"/>
            <w:tcMar>
              <w:top w:w="40" w:type="dxa"/>
              <w:left w:w="20" w:type="dxa"/>
              <w:bottom w:w="40" w:type="dxa"/>
              <w:right w:w="0" w:type="dxa"/>
            </w:tcMar>
            <w:vAlign w:val="bottom"/>
          </w:tcPr>
          <w:p w14:paraId="74DE001A" w14:textId="77777777" w:rsidR="00584EC1" w:rsidRDefault="00871F8D">
            <w:pPr>
              <w:jc w:val="right"/>
              <w:textAlignment w:val="bottom"/>
            </w:pPr>
            <w:r>
              <w:rPr>
                <w:rFonts w:ascii="Arial" w:eastAsia="宋体" w:hAnsi="Arial" w:cs="Arial"/>
                <w:b/>
                <w:bCs/>
                <w:color w:val="000000"/>
                <w:sz w:val="15"/>
                <w:szCs w:val="15"/>
              </w:rPr>
              <w:t>149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E001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01C"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01D"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E001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01F"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020"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E002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022"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023"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E002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02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026" w14:textId="77777777" w:rsidR="00584EC1" w:rsidRDefault="00871F8D">
            <w:pPr>
              <w:jc w:val="right"/>
              <w:textAlignment w:val="bottom"/>
            </w:pPr>
            <w:r>
              <w:rPr>
                <w:rFonts w:ascii="Arial" w:eastAsia="宋体" w:hAnsi="Arial" w:cs="Arial"/>
                <w:b/>
                <w:bCs/>
                <w:color w:val="000000"/>
                <w:sz w:val="15"/>
                <w:szCs w:val="15"/>
              </w:rPr>
              <w:t>149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E002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028"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029" w14:textId="77777777" w:rsidR="00584EC1" w:rsidRDefault="00871F8D">
            <w:pPr>
              <w:jc w:val="right"/>
              <w:textAlignment w:val="bottom"/>
            </w:pPr>
            <w:r>
              <w:rPr>
                <w:rFonts w:ascii="Arial" w:eastAsia="宋体" w:hAnsi="Arial" w:cs="Arial"/>
                <w:color w:val="000000"/>
                <w:sz w:val="15"/>
                <w:szCs w:val="15"/>
              </w:rPr>
              <w:t>110 </w:t>
            </w:r>
          </w:p>
        </w:tc>
        <w:tc>
          <w:tcPr>
            <w:tcW w:w="0" w:type="auto"/>
            <w:shd w:val="clear" w:color="auto" w:fill="CCEEFF"/>
            <w:tcMar>
              <w:top w:w="40" w:type="dxa"/>
              <w:left w:w="0" w:type="dxa"/>
              <w:bottom w:w="40" w:type="dxa"/>
              <w:right w:w="20" w:type="dxa"/>
            </w:tcMar>
            <w:vAlign w:val="bottom"/>
          </w:tcPr>
          <w:p w14:paraId="74DE002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02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02C"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E002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02E"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02F"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E003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03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032"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E003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034"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035" w14:textId="77777777" w:rsidR="00584EC1" w:rsidRDefault="00871F8D">
            <w:pPr>
              <w:jc w:val="right"/>
              <w:textAlignment w:val="bottom"/>
            </w:pPr>
            <w:r>
              <w:rPr>
                <w:rFonts w:ascii="Arial" w:eastAsia="宋体" w:hAnsi="Arial" w:cs="Arial"/>
                <w:color w:val="000000"/>
                <w:sz w:val="15"/>
                <w:szCs w:val="15"/>
              </w:rPr>
              <w:t>110 </w:t>
            </w:r>
          </w:p>
        </w:tc>
        <w:tc>
          <w:tcPr>
            <w:tcW w:w="0" w:type="auto"/>
            <w:shd w:val="clear" w:color="auto" w:fill="CCEEFF"/>
            <w:tcMar>
              <w:top w:w="40" w:type="dxa"/>
              <w:left w:w="0" w:type="dxa"/>
              <w:bottom w:w="40" w:type="dxa"/>
              <w:right w:w="20" w:type="dxa"/>
            </w:tcMar>
            <w:vAlign w:val="bottom"/>
          </w:tcPr>
          <w:p w14:paraId="74DE0036" w14:textId="77777777" w:rsidR="00584EC1" w:rsidRDefault="00584EC1">
            <w:pPr>
              <w:jc w:val="right"/>
              <w:rPr>
                <w:rFonts w:ascii="宋体"/>
              </w:rPr>
            </w:pPr>
          </w:p>
        </w:tc>
      </w:tr>
      <w:tr w:rsidR="00584EC1" w14:paraId="74DE0055" w14:textId="77777777">
        <w:tc>
          <w:tcPr>
            <w:tcW w:w="0" w:type="auto"/>
            <w:gridSpan w:val="3"/>
            <w:shd w:val="clear" w:color="auto" w:fill="FFFFFF"/>
            <w:tcMar>
              <w:top w:w="40" w:type="dxa"/>
              <w:left w:w="20" w:type="dxa"/>
              <w:bottom w:w="40" w:type="dxa"/>
              <w:right w:w="20" w:type="dxa"/>
            </w:tcMar>
            <w:vAlign w:val="bottom"/>
          </w:tcPr>
          <w:p w14:paraId="74DE0038" w14:textId="77777777" w:rsidR="00584EC1" w:rsidRDefault="00871F8D">
            <w:pPr>
              <w:textAlignment w:val="bottom"/>
            </w:pPr>
            <w:r>
              <w:rPr>
                <w:rFonts w:ascii="Arial" w:eastAsia="宋体" w:hAnsi="Arial" w:cs="Arial"/>
                <w:color w:val="000000"/>
                <w:sz w:val="15"/>
                <w:szCs w:val="15"/>
              </w:rPr>
              <w:t>Equity securities</w:t>
            </w:r>
          </w:p>
        </w:tc>
        <w:tc>
          <w:tcPr>
            <w:tcW w:w="0" w:type="auto"/>
            <w:gridSpan w:val="2"/>
            <w:shd w:val="clear" w:color="auto" w:fill="FFFFFF"/>
            <w:tcMar>
              <w:top w:w="40" w:type="dxa"/>
              <w:left w:w="20" w:type="dxa"/>
              <w:bottom w:w="40" w:type="dxa"/>
              <w:right w:w="0" w:type="dxa"/>
            </w:tcMar>
            <w:vAlign w:val="bottom"/>
          </w:tcPr>
          <w:p w14:paraId="74DE0039" w14:textId="77777777" w:rsidR="00584EC1" w:rsidRDefault="00871F8D">
            <w:pPr>
              <w:jc w:val="right"/>
              <w:textAlignment w:val="bottom"/>
            </w:pPr>
            <w:r>
              <w:rPr>
                <w:rFonts w:ascii="Arial" w:eastAsia="宋体" w:hAnsi="Arial" w:cs="Arial"/>
                <w:b/>
                <w:bCs/>
                <w:color w:val="000000"/>
                <w:sz w:val="15"/>
                <w:szCs w:val="15"/>
              </w:rPr>
              <w:t>9,876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E003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03B"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03C" w14:textId="77777777" w:rsidR="00584EC1" w:rsidRDefault="00871F8D">
            <w:pPr>
              <w:jc w:val="right"/>
              <w:textAlignment w:val="bottom"/>
            </w:pPr>
            <w:r>
              <w:rPr>
                <w:rFonts w:ascii="Arial" w:eastAsia="宋体" w:hAnsi="Arial" w:cs="Arial"/>
                <w:b/>
                <w:bCs/>
                <w:color w:val="000000"/>
                <w:sz w:val="15"/>
                <w:szCs w:val="15"/>
              </w:rPr>
              <w:t>54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E003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03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03F" w14:textId="77777777" w:rsidR="00584EC1" w:rsidRDefault="00871F8D">
            <w:pPr>
              <w:jc w:val="right"/>
              <w:textAlignment w:val="bottom"/>
            </w:pPr>
            <w:r>
              <w:rPr>
                <w:rFonts w:ascii="Arial" w:eastAsia="宋体" w:hAnsi="Arial" w:cs="Arial"/>
                <w:b/>
                <w:bCs/>
                <w:color w:val="000000"/>
                <w:sz w:val="15"/>
                <w:szCs w:val="15"/>
              </w:rPr>
              <w:t>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E004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04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042" w14:textId="77777777" w:rsidR="00584EC1" w:rsidRDefault="00871F8D">
            <w:pPr>
              <w:jc w:val="right"/>
              <w:textAlignment w:val="bottom"/>
            </w:pPr>
            <w:r>
              <w:rPr>
                <w:rFonts w:ascii="Arial" w:eastAsia="宋体" w:hAnsi="Arial" w:cs="Arial"/>
                <w:b/>
                <w:bCs/>
                <w:color w:val="000000"/>
                <w:sz w:val="15"/>
                <w:szCs w:val="15"/>
              </w:rPr>
              <w:t>2,016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E004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04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045" w14:textId="77777777" w:rsidR="00584EC1" w:rsidRDefault="00871F8D">
            <w:pPr>
              <w:jc w:val="right"/>
              <w:textAlignment w:val="bottom"/>
            </w:pPr>
            <w:r>
              <w:rPr>
                <w:rFonts w:ascii="Arial" w:eastAsia="宋体" w:hAnsi="Arial" w:cs="Arial"/>
                <w:b/>
                <w:bCs/>
                <w:color w:val="000000"/>
                <w:sz w:val="15"/>
                <w:szCs w:val="15"/>
              </w:rPr>
              <w:t>11,949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E004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04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048" w14:textId="77777777" w:rsidR="00584EC1" w:rsidRDefault="00871F8D">
            <w:pPr>
              <w:jc w:val="right"/>
              <w:textAlignment w:val="bottom"/>
            </w:pPr>
            <w:r>
              <w:rPr>
                <w:rFonts w:ascii="Arial" w:eastAsia="宋体" w:hAnsi="Arial" w:cs="Arial"/>
                <w:color w:val="000000"/>
                <w:sz w:val="15"/>
                <w:szCs w:val="15"/>
              </w:rPr>
              <w:t>7,578 </w:t>
            </w:r>
          </w:p>
        </w:tc>
        <w:tc>
          <w:tcPr>
            <w:tcW w:w="0" w:type="auto"/>
            <w:shd w:val="clear" w:color="auto" w:fill="FFFFFF"/>
            <w:tcMar>
              <w:top w:w="40" w:type="dxa"/>
              <w:left w:w="0" w:type="dxa"/>
              <w:bottom w:w="40" w:type="dxa"/>
              <w:right w:w="20" w:type="dxa"/>
            </w:tcMar>
            <w:vAlign w:val="bottom"/>
          </w:tcPr>
          <w:p w14:paraId="74DE004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04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04B" w14:textId="77777777" w:rsidR="00584EC1" w:rsidRDefault="00871F8D">
            <w:pPr>
              <w:jc w:val="right"/>
              <w:textAlignment w:val="bottom"/>
            </w:pPr>
            <w:r>
              <w:rPr>
                <w:rFonts w:ascii="Arial" w:eastAsia="宋体" w:hAnsi="Arial" w:cs="Arial"/>
                <w:color w:val="000000"/>
                <w:sz w:val="15"/>
                <w:szCs w:val="15"/>
              </w:rPr>
              <w:t>56 </w:t>
            </w:r>
          </w:p>
        </w:tc>
        <w:tc>
          <w:tcPr>
            <w:tcW w:w="0" w:type="auto"/>
            <w:shd w:val="clear" w:color="auto" w:fill="FFFFFF"/>
            <w:tcMar>
              <w:top w:w="40" w:type="dxa"/>
              <w:left w:w="0" w:type="dxa"/>
              <w:bottom w:w="40" w:type="dxa"/>
              <w:right w:w="20" w:type="dxa"/>
            </w:tcMar>
            <w:vAlign w:val="bottom"/>
          </w:tcPr>
          <w:p w14:paraId="74DE004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04D"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E004E"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E004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050" w14:textId="77777777" w:rsidR="00584EC1" w:rsidRDefault="00871F8D">
            <w:pPr>
              <w:jc w:val="right"/>
              <w:textAlignment w:val="bottom"/>
            </w:pPr>
            <w:r>
              <w:rPr>
                <w:rFonts w:ascii="Arial" w:eastAsia="宋体" w:hAnsi="Arial" w:cs="Arial"/>
                <w:color w:val="000000"/>
                <w:sz w:val="15"/>
                <w:szCs w:val="15"/>
              </w:rPr>
              <w:t>1,156 </w:t>
            </w:r>
          </w:p>
        </w:tc>
        <w:tc>
          <w:tcPr>
            <w:tcW w:w="0" w:type="auto"/>
            <w:shd w:val="clear" w:color="auto" w:fill="FFFFFF"/>
            <w:tcMar>
              <w:top w:w="40" w:type="dxa"/>
              <w:left w:w="0" w:type="dxa"/>
              <w:bottom w:w="40" w:type="dxa"/>
              <w:right w:w="20" w:type="dxa"/>
            </w:tcMar>
            <w:vAlign w:val="bottom"/>
          </w:tcPr>
          <w:p w14:paraId="74DE005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05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053" w14:textId="77777777" w:rsidR="00584EC1" w:rsidRDefault="00871F8D">
            <w:pPr>
              <w:jc w:val="right"/>
              <w:textAlignment w:val="bottom"/>
            </w:pPr>
            <w:r>
              <w:rPr>
                <w:rFonts w:ascii="Arial" w:eastAsia="宋体" w:hAnsi="Arial" w:cs="Arial"/>
                <w:color w:val="000000"/>
                <w:sz w:val="15"/>
                <w:szCs w:val="15"/>
              </w:rPr>
              <w:t>8,790 </w:t>
            </w:r>
          </w:p>
        </w:tc>
        <w:tc>
          <w:tcPr>
            <w:tcW w:w="0" w:type="auto"/>
            <w:shd w:val="clear" w:color="auto" w:fill="FFFFFF"/>
            <w:tcMar>
              <w:top w:w="40" w:type="dxa"/>
              <w:left w:w="0" w:type="dxa"/>
              <w:bottom w:w="40" w:type="dxa"/>
              <w:right w:w="20" w:type="dxa"/>
            </w:tcMar>
            <w:vAlign w:val="bottom"/>
          </w:tcPr>
          <w:p w14:paraId="74DE0054" w14:textId="77777777" w:rsidR="00584EC1" w:rsidRDefault="00584EC1">
            <w:pPr>
              <w:jc w:val="right"/>
              <w:rPr>
                <w:rFonts w:ascii="宋体"/>
              </w:rPr>
            </w:pPr>
          </w:p>
        </w:tc>
      </w:tr>
      <w:tr w:rsidR="00584EC1" w14:paraId="74DE0074" w14:textId="77777777">
        <w:tc>
          <w:tcPr>
            <w:tcW w:w="0" w:type="auto"/>
            <w:gridSpan w:val="3"/>
            <w:shd w:val="clear" w:color="auto" w:fill="CCEEFF"/>
            <w:tcMar>
              <w:top w:w="40" w:type="dxa"/>
              <w:left w:w="20" w:type="dxa"/>
              <w:bottom w:w="40" w:type="dxa"/>
              <w:right w:w="20" w:type="dxa"/>
            </w:tcMar>
            <w:vAlign w:val="bottom"/>
          </w:tcPr>
          <w:p w14:paraId="74DE0056" w14:textId="77777777" w:rsidR="00584EC1" w:rsidRDefault="00871F8D">
            <w:pPr>
              <w:textAlignment w:val="bottom"/>
            </w:pPr>
            <w:r>
              <w:rPr>
                <w:rFonts w:ascii="Arial" w:eastAsia="宋体" w:hAnsi="Arial" w:cs="Arial"/>
                <w:color w:val="000000"/>
                <w:sz w:val="15"/>
                <w:szCs w:val="15"/>
              </w:rPr>
              <w:t>Other</w:t>
            </w:r>
            <w:r>
              <w:rPr>
                <w:rFonts w:ascii="Arial" w:eastAsia="宋体" w:hAnsi="Arial" w:cs="Arial"/>
                <w:color w:val="000000"/>
                <w:sz w:val="9"/>
                <w:szCs w:val="9"/>
              </w:rPr>
              <w:t>(1)</w:t>
            </w:r>
          </w:p>
        </w:tc>
        <w:tc>
          <w:tcPr>
            <w:tcW w:w="0" w:type="auto"/>
            <w:gridSpan w:val="2"/>
            <w:shd w:val="clear" w:color="auto" w:fill="CCEEFF"/>
            <w:tcMar>
              <w:top w:w="40" w:type="dxa"/>
              <w:left w:w="20" w:type="dxa"/>
              <w:bottom w:w="40" w:type="dxa"/>
              <w:right w:w="0" w:type="dxa"/>
            </w:tcMar>
            <w:vAlign w:val="bottom"/>
          </w:tcPr>
          <w:p w14:paraId="74DE0057" w14:textId="77777777" w:rsidR="00584EC1" w:rsidRDefault="00871F8D">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E005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05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05A"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E005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05C"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05D"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E005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05F"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060"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E006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062"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063" w14:textId="77777777" w:rsidR="00584EC1" w:rsidRDefault="00871F8D">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E006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06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066" w14:textId="77777777" w:rsidR="00584EC1" w:rsidRDefault="00871F8D">
            <w:pPr>
              <w:jc w:val="right"/>
              <w:textAlignment w:val="bottom"/>
            </w:pPr>
            <w:r>
              <w:rPr>
                <w:rFonts w:ascii="Arial" w:eastAsia="宋体" w:hAnsi="Arial" w:cs="Arial"/>
                <w:color w:val="000000"/>
                <w:sz w:val="15"/>
                <w:szCs w:val="15"/>
              </w:rPr>
              <w:t>4,753 </w:t>
            </w:r>
          </w:p>
        </w:tc>
        <w:tc>
          <w:tcPr>
            <w:tcW w:w="0" w:type="auto"/>
            <w:shd w:val="clear" w:color="auto" w:fill="CCEEFF"/>
            <w:tcMar>
              <w:top w:w="40" w:type="dxa"/>
              <w:left w:w="0" w:type="dxa"/>
              <w:bottom w:w="40" w:type="dxa"/>
              <w:right w:w="20" w:type="dxa"/>
            </w:tcMar>
            <w:vAlign w:val="bottom"/>
          </w:tcPr>
          <w:p w14:paraId="74DE006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068"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069"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E006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06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06C"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E006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06E"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06F"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E007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07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072" w14:textId="77777777" w:rsidR="00584EC1" w:rsidRDefault="00871F8D">
            <w:pPr>
              <w:jc w:val="right"/>
              <w:textAlignment w:val="bottom"/>
            </w:pPr>
            <w:r>
              <w:rPr>
                <w:rFonts w:ascii="Arial" w:eastAsia="宋体" w:hAnsi="Arial" w:cs="Arial"/>
                <w:color w:val="000000"/>
                <w:sz w:val="15"/>
                <w:szCs w:val="15"/>
              </w:rPr>
              <w:t>4,753 </w:t>
            </w:r>
          </w:p>
        </w:tc>
        <w:tc>
          <w:tcPr>
            <w:tcW w:w="0" w:type="auto"/>
            <w:shd w:val="clear" w:color="auto" w:fill="CCEEFF"/>
            <w:tcMar>
              <w:top w:w="40" w:type="dxa"/>
              <w:left w:w="0" w:type="dxa"/>
              <w:bottom w:w="40" w:type="dxa"/>
              <w:right w:w="20" w:type="dxa"/>
            </w:tcMar>
            <w:vAlign w:val="bottom"/>
          </w:tcPr>
          <w:p w14:paraId="74DE0073" w14:textId="77777777" w:rsidR="00584EC1" w:rsidRDefault="00584EC1">
            <w:pPr>
              <w:jc w:val="right"/>
              <w:rPr>
                <w:rFonts w:ascii="宋体"/>
              </w:rPr>
            </w:pPr>
          </w:p>
        </w:tc>
      </w:tr>
      <w:tr w:rsidR="00584EC1" w14:paraId="74DE0093" w14:textId="77777777">
        <w:tc>
          <w:tcPr>
            <w:tcW w:w="0" w:type="auto"/>
            <w:gridSpan w:val="3"/>
            <w:shd w:val="clear" w:color="auto" w:fill="FFFFFF"/>
            <w:tcMar>
              <w:top w:w="40" w:type="dxa"/>
              <w:left w:w="20" w:type="dxa"/>
              <w:bottom w:w="40" w:type="dxa"/>
              <w:right w:w="20" w:type="dxa"/>
            </w:tcMar>
            <w:vAlign w:val="bottom"/>
          </w:tcPr>
          <w:p w14:paraId="74DE0075" w14:textId="77777777" w:rsidR="00584EC1" w:rsidRDefault="00871F8D">
            <w:pPr>
              <w:textAlignment w:val="bottom"/>
            </w:pPr>
            <w:r>
              <w:rPr>
                <w:rFonts w:ascii="Arial" w:eastAsia="宋体" w:hAnsi="Arial" w:cs="Arial"/>
                <w:color w:val="000000"/>
                <w:sz w:val="15"/>
                <w:szCs w:val="15"/>
              </w:rPr>
              <w:t>Total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0076" w14:textId="77777777" w:rsidR="00584EC1" w:rsidRDefault="00871F8D">
            <w:pPr>
              <w:jc w:val="right"/>
              <w:textAlignment w:val="bottom"/>
            </w:pPr>
            <w:r>
              <w:rPr>
                <w:rFonts w:ascii="Arial" w:eastAsia="宋体" w:hAnsi="Arial" w:cs="Arial"/>
                <w:b/>
                <w:bCs/>
                <w:color w:val="000000"/>
                <w:sz w:val="15"/>
                <w:szCs w:val="15"/>
              </w:rPr>
              <w:t>10,028</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007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078"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0079" w14:textId="77777777" w:rsidR="00584EC1" w:rsidRDefault="00871F8D">
            <w:pPr>
              <w:jc w:val="right"/>
              <w:textAlignment w:val="bottom"/>
            </w:pPr>
            <w:r>
              <w:rPr>
                <w:rFonts w:ascii="Arial" w:eastAsia="宋体" w:hAnsi="Arial" w:cs="Arial"/>
                <w:b/>
                <w:bCs/>
                <w:color w:val="000000"/>
                <w:sz w:val="15"/>
                <w:szCs w:val="15"/>
              </w:rPr>
              <w:t>54</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007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07B"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007C" w14:textId="77777777" w:rsidR="00584EC1" w:rsidRDefault="00871F8D">
            <w:pPr>
              <w:jc w:val="right"/>
              <w:textAlignment w:val="bottom"/>
            </w:pPr>
            <w:r>
              <w:rPr>
                <w:rFonts w:ascii="Arial" w:eastAsia="宋体" w:hAnsi="Arial" w:cs="Arial"/>
                <w:b/>
                <w:bCs/>
                <w:color w:val="000000"/>
                <w:sz w:val="15"/>
                <w:szCs w:val="15"/>
              </w:rPr>
              <w:t>3</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007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07E"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007F" w14:textId="77777777" w:rsidR="00584EC1" w:rsidRDefault="00871F8D">
            <w:pPr>
              <w:jc w:val="right"/>
              <w:textAlignment w:val="bottom"/>
            </w:pPr>
            <w:r>
              <w:rPr>
                <w:rFonts w:ascii="Arial" w:eastAsia="宋体" w:hAnsi="Arial" w:cs="Arial"/>
                <w:b/>
                <w:bCs/>
                <w:color w:val="000000"/>
                <w:sz w:val="15"/>
                <w:szCs w:val="15"/>
              </w:rPr>
              <w:t>2,016</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008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081"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0082" w14:textId="77777777" w:rsidR="00584EC1" w:rsidRDefault="00871F8D">
            <w:pPr>
              <w:jc w:val="right"/>
              <w:textAlignment w:val="bottom"/>
            </w:pPr>
            <w:r>
              <w:rPr>
                <w:rFonts w:ascii="Arial" w:eastAsia="宋体" w:hAnsi="Arial" w:cs="Arial"/>
                <w:b/>
                <w:bCs/>
                <w:color w:val="000000"/>
                <w:sz w:val="15"/>
                <w:szCs w:val="15"/>
              </w:rPr>
              <w:t>12,101</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008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084"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0085" w14:textId="77777777" w:rsidR="00584EC1" w:rsidRDefault="00871F8D">
            <w:pPr>
              <w:jc w:val="right"/>
              <w:textAlignment w:val="bottom"/>
            </w:pPr>
            <w:r>
              <w:rPr>
                <w:rFonts w:ascii="Arial" w:eastAsia="宋体" w:hAnsi="Arial" w:cs="Arial"/>
                <w:color w:val="000000"/>
                <w:sz w:val="15"/>
                <w:szCs w:val="15"/>
              </w:rPr>
              <w:t>12,441 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008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087"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0088" w14:textId="77777777" w:rsidR="00584EC1" w:rsidRDefault="00871F8D">
            <w:pPr>
              <w:jc w:val="right"/>
              <w:textAlignment w:val="bottom"/>
            </w:pPr>
            <w:r>
              <w:rPr>
                <w:rFonts w:ascii="Arial" w:eastAsia="宋体" w:hAnsi="Arial" w:cs="Arial"/>
                <w:color w:val="000000"/>
                <w:sz w:val="15"/>
                <w:szCs w:val="15"/>
              </w:rPr>
              <w:t>56 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008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08A"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008B" w14:textId="77777777" w:rsidR="00584EC1" w:rsidRDefault="00871F8D">
            <w:pPr>
              <w:jc w:val="right"/>
              <w:textAlignment w:val="bottom"/>
            </w:pP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008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08D"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008E" w14:textId="77777777" w:rsidR="00584EC1" w:rsidRDefault="00871F8D">
            <w:pPr>
              <w:jc w:val="right"/>
              <w:textAlignment w:val="bottom"/>
            </w:pPr>
            <w:r>
              <w:rPr>
                <w:rFonts w:ascii="Arial" w:eastAsia="宋体" w:hAnsi="Arial" w:cs="Arial"/>
                <w:color w:val="000000"/>
                <w:sz w:val="15"/>
                <w:szCs w:val="15"/>
              </w:rPr>
              <w:t>1,156 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008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090"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0091" w14:textId="77777777" w:rsidR="00584EC1" w:rsidRDefault="00871F8D">
            <w:pPr>
              <w:jc w:val="right"/>
              <w:textAlignment w:val="bottom"/>
            </w:pPr>
            <w:r>
              <w:rPr>
                <w:rFonts w:ascii="Arial" w:eastAsia="宋体" w:hAnsi="Arial" w:cs="Arial"/>
                <w:color w:val="000000"/>
                <w:sz w:val="15"/>
                <w:szCs w:val="15"/>
              </w:rPr>
              <w:t>13,653 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0092" w14:textId="77777777" w:rsidR="00584EC1" w:rsidRDefault="00584EC1">
            <w:pPr>
              <w:jc w:val="right"/>
              <w:rPr>
                <w:rFonts w:ascii="宋体"/>
              </w:rPr>
            </w:pPr>
          </w:p>
        </w:tc>
      </w:tr>
      <w:tr w:rsidR="00871F8D" w14:paraId="74DE00BC" w14:textId="77777777">
        <w:tc>
          <w:tcPr>
            <w:tcW w:w="0" w:type="auto"/>
            <w:gridSpan w:val="3"/>
            <w:shd w:val="clear" w:color="auto" w:fill="CCEEFF"/>
            <w:tcMar>
              <w:top w:w="40" w:type="dxa"/>
              <w:left w:w="20" w:type="dxa"/>
              <w:bottom w:w="40" w:type="dxa"/>
              <w:right w:w="20" w:type="dxa"/>
            </w:tcMar>
            <w:vAlign w:val="bottom"/>
          </w:tcPr>
          <w:p w14:paraId="74DE0094" w14:textId="77777777" w:rsidR="00584EC1" w:rsidRDefault="00871F8D">
            <w:pPr>
              <w:textAlignment w:val="bottom"/>
            </w:pPr>
            <w:r>
              <w:rPr>
                <w:rFonts w:ascii="Arial" w:eastAsia="宋体" w:hAnsi="Arial" w:cs="Arial"/>
                <w:b/>
                <w:bCs/>
                <w:color w:val="000000"/>
                <w:sz w:val="15"/>
                <w:szCs w:val="15"/>
              </w:rPr>
              <w:t>Gross amount of recognized liabilities for repurchase agree</w:t>
            </w:r>
            <w:r>
              <w:rPr>
                <w:rFonts w:ascii="Arial" w:eastAsia="宋体" w:hAnsi="Arial" w:cs="Arial"/>
                <w:b/>
                <w:bCs/>
                <w:color w:val="000000"/>
                <w:sz w:val="15"/>
                <w:szCs w:val="15"/>
              </w:rPr>
              <w:t>ments and securities lending</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E0095" w14:textId="77777777" w:rsidR="00584EC1" w:rsidRDefault="00871F8D">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E0096" w14:textId="77777777" w:rsidR="00584EC1" w:rsidRDefault="00871F8D">
            <w:pPr>
              <w:jc w:val="right"/>
              <w:textAlignment w:val="bottom"/>
            </w:pPr>
            <w:r>
              <w:rPr>
                <w:rFonts w:ascii="Arial" w:eastAsia="宋体" w:hAnsi="Arial" w:cs="Arial"/>
                <w:b/>
                <w:bCs/>
                <w:color w:val="000000"/>
                <w:sz w:val="15"/>
                <w:szCs w:val="15"/>
              </w:rPr>
              <w:t>63,943</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E009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098"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E0099" w14:textId="77777777" w:rsidR="00584EC1" w:rsidRDefault="00871F8D">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E009A" w14:textId="77777777" w:rsidR="00584EC1" w:rsidRDefault="00871F8D">
            <w:pPr>
              <w:jc w:val="right"/>
              <w:textAlignment w:val="bottom"/>
            </w:pPr>
            <w:r>
              <w:rPr>
                <w:rFonts w:ascii="Arial" w:eastAsia="宋体" w:hAnsi="Arial" w:cs="Arial"/>
                <w:b/>
                <w:bCs/>
                <w:color w:val="000000"/>
                <w:sz w:val="15"/>
                <w:szCs w:val="15"/>
              </w:rPr>
              <w:t>54</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E009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09C"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E009D" w14:textId="77777777" w:rsidR="00584EC1" w:rsidRDefault="00871F8D">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E009E" w14:textId="77777777" w:rsidR="00584EC1" w:rsidRDefault="00871F8D">
            <w:pPr>
              <w:jc w:val="right"/>
              <w:textAlignment w:val="bottom"/>
            </w:pPr>
            <w:r>
              <w:rPr>
                <w:rFonts w:ascii="Arial" w:eastAsia="宋体" w:hAnsi="Arial" w:cs="Arial"/>
                <w:b/>
                <w:bCs/>
                <w:color w:val="000000"/>
                <w:sz w:val="15"/>
                <w:szCs w:val="15"/>
              </w:rPr>
              <w:t>3</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E009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0A0"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E00A1" w14:textId="77777777" w:rsidR="00584EC1" w:rsidRDefault="00871F8D">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E00A2" w14:textId="77777777" w:rsidR="00584EC1" w:rsidRDefault="00871F8D">
            <w:pPr>
              <w:jc w:val="right"/>
              <w:textAlignment w:val="bottom"/>
            </w:pPr>
            <w:r>
              <w:rPr>
                <w:rFonts w:ascii="Arial" w:eastAsia="宋体" w:hAnsi="Arial" w:cs="Arial"/>
                <w:b/>
                <w:bCs/>
                <w:color w:val="000000"/>
                <w:sz w:val="15"/>
                <w:szCs w:val="15"/>
              </w:rPr>
              <w:t>2,016</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E00A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0A4"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E00A5" w14:textId="77777777" w:rsidR="00584EC1" w:rsidRDefault="00871F8D">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E00A6" w14:textId="77777777" w:rsidR="00584EC1" w:rsidRDefault="00871F8D">
            <w:pPr>
              <w:jc w:val="right"/>
              <w:textAlignment w:val="bottom"/>
            </w:pPr>
            <w:r>
              <w:rPr>
                <w:rFonts w:ascii="Arial" w:eastAsia="宋体" w:hAnsi="Arial" w:cs="Arial"/>
                <w:b/>
                <w:bCs/>
                <w:color w:val="000000"/>
                <w:sz w:val="15"/>
                <w:szCs w:val="15"/>
              </w:rPr>
              <w:t>66,016</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E00A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0A8"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E00A9"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E00AA" w14:textId="77777777" w:rsidR="00584EC1" w:rsidRDefault="00871F8D">
            <w:pPr>
              <w:jc w:val="right"/>
              <w:textAlignment w:val="bottom"/>
            </w:pPr>
            <w:r>
              <w:rPr>
                <w:rFonts w:ascii="Arial" w:eastAsia="宋体" w:hAnsi="Arial" w:cs="Arial"/>
                <w:color w:val="000000"/>
                <w:sz w:val="15"/>
                <w:szCs w:val="15"/>
              </w:rPr>
              <w:t>164,581 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E00A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0AC"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E00AD"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E00AE" w14:textId="77777777" w:rsidR="00584EC1" w:rsidRDefault="00871F8D">
            <w:pPr>
              <w:jc w:val="right"/>
              <w:textAlignment w:val="bottom"/>
            </w:pPr>
            <w:r>
              <w:rPr>
                <w:rFonts w:ascii="Arial" w:eastAsia="宋体" w:hAnsi="Arial" w:cs="Arial"/>
                <w:color w:val="000000"/>
                <w:sz w:val="15"/>
                <w:szCs w:val="15"/>
              </w:rPr>
              <w:t>56 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E00A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0B0"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E00B1"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E00B2" w14:textId="77777777" w:rsidR="00584EC1" w:rsidRDefault="00871F8D">
            <w:pPr>
              <w:jc w:val="right"/>
              <w:textAlignment w:val="bottom"/>
            </w:pP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E00B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0B4"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E00B5"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E00B6" w14:textId="77777777" w:rsidR="00584EC1" w:rsidRDefault="00871F8D">
            <w:pPr>
              <w:jc w:val="right"/>
              <w:textAlignment w:val="bottom"/>
            </w:pPr>
            <w:r>
              <w:rPr>
                <w:rFonts w:ascii="Arial" w:eastAsia="宋体" w:hAnsi="Arial" w:cs="Arial"/>
                <w:color w:val="000000"/>
                <w:sz w:val="15"/>
                <w:szCs w:val="15"/>
              </w:rPr>
              <w:t>1,156 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E00B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0B8"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E00B9"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E00BA" w14:textId="77777777" w:rsidR="00584EC1" w:rsidRDefault="00871F8D">
            <w:pPr>
              <w:jc w:val="right"/>
              <w:textAlignment w:val="bottom"/>
            </w:pPr>
            <w:r>
              <w:rPr>
                <w:rFonts w:ascii="Arial" w:eastAsia="宋体" w:hAnsi="Arial" w:cs="Arial"/>
                <w:color w:val="000000"/>
                <w:sz w:val="15"/>
                <w:szCs w:val="15"/>
              </w:rPr>
              <w:t>165,793 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E00BB" w14:textId="77777777" w:rsidR="00584EC1" w:rsidRDefault="00584EC1">
            <w:pPr>
              <w:jc w:val="right"/>
              <w:rPr>
                <w:rFonts w:ascii="宋体"/>
              </w:rPr>
            </w:pPr>
          </w:p>
        </w:tc>
      </w:tr>
    </w:tbl>
    <w:p w14:paraId="74DE00BD" w14:textId="77777777" w:rsidR="00584EC1" w:rsidRDefault="00584E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733"/>
        <w:gridCol w:w="36"/>
        <w:gridCol w:w="69"/>
        <w:gridCol w:w="1516"/>
        <w:gridCol w:w="36"/>
        <w:gridCol w:w="70"/>
        <w:gridCol w:w="1516"/>
        <w:gridCol w:w="36"/>
        <w:gridCol w:w="70"/>
        <w:gridCol w:w="809"/>
        <w:gridCol w:w="36"/>
      </w:tblGrid>
      <w:tr w:rsidR="00584EC1" w14:paraId="74DE00CD" w14:textId="77777777">
        <w:tc>
          <w:tcPr>
            <w:tcW w:w="50" w:type="pct"/>
            <w:shd w:val="clear" w:color="auto" w:fill="auto"/>
            <w:vAlign w:val="bottom"/>
          </w:tcPr>
          <w:p w14:paraId="74DE00BE" w14:textId="77777777" w:rsidR="00584EC1" w:rsidRDefault="00584EC1">
            <w:pPr>
              <w:rPr>
                <w:rFonts w:ascii="宋体"/>
              </w:rPr>
            </w:pPr>
          </w:p>
        </w:tc>
        <w:tc>
          <w:tcPr>
            <w:tcW w:w="1348" w:type="pct"/>
            <w:shd w:val="clear" w:color="auto" w:fill="auto"/>
            <w:vAlign w:val="bottom"/>
          </w:tcPr>
          <w:p w14:paraId="74DE00BF" w14:textId="77777777" w:rsidR="00584EC1" w:rsidRDefault="00584EC1">
            <w:pPr>
              <w:rPr>
                <w:rFonts w:ascii="宋体"/>
              </w:rPr>
            </w:pPr>
          </w:p>
        </w:tc>
        <w:tc>
          <w:tcPr>
            <w:tcW w:w="5" w:type="pct"/>
            <w:shd w:val="clear" w:color="auto" w:fill="auto"/>
            <w:vAlign w:val="bottom"/>
          </w:tcPr>
          <w:p w14:paraId="74DE00C0" w14:textId="77777777" w:rsidR="00584EC1" w:rsidRDefault="00584EC1">
            <w:pPr>
              <w:rPr>
                <w:rFonts w:ascii="宋体"/>
              </w:rPr>
            </w:pPr>
          </w:p>
        </w:tc>
        <w:tc>
          <w:tcPr>
            <w:tcW w:w="50" w:type="pct"/>
            <w:shd w:val="clear" w:color="auto" w:fill="auto"/>
            <w:vAlign w:val="bottom"/>
          </w:tcPr>
          <w:p w14:paraId="74DE00C1" w14:textId="77777777" w:rsidR="00584EC1" w:rsidRDefault="00584EC1">
            <w:pPr>
              <w:rPr>
                <w:rFonts w:ascii="宋体"/>
              </w:rPr>
            </w:pPr>
          </w:p>
        </w:tc>
        <w:tc>
          <w:tcPr>
            <w:tcW w:w="1048" w:type="pct"/>
            <w:shd w:val="clear" w:color="auto" w:fill="auto"/>
            <w:vAlign w:val="bottom"/>
          </w:tcPr>
          <w:p w14:paraId="74DE00C2" w14:textId="77777777" w:rsidR="00584EC1" w:rsidRDefault="00584EC1">
            <w:pPr>
              <w:rPr>
                <w:rFonts w:ascii="宋体"/>
              </w:rPr>
            </w:pPr>
          </w:p>
        </w:tc>
        <w:tc>
          <w:tcPr>
            <w:tcW w:w="5" w:type="pct"/>
            <w:shd w:val="clear" w:color="auto" w:fill="auto"/>
            <w:vAlign w:val="bottom"/>
          </w:tcPr>
          <w:p w14:paraId="74DE00C3" w14:textId="77777777" w:rsidR="00584EC1" w:rsidRDefault="00584EC1">
            <w:pPr>
              <w:rPr>
                <w:rFonts w:ascii="宋体"/>
              </w:rPr>
            </w:pPr>
          </w:p>
        </w:tc>
        <w:tc>
          <w:tcPr>
            <w:tcW w:w="50" w:type="pct"/>
            <w:shd w:val="clear" w:color="auto" w:fill="auto"/>
            <w:vAlign w:val="bottom"/>
          </w:tcPr>
          <w:p w14:paraId="74DE00C4" w14:textId="77777777" w:rsidR="00584EC1" w:rsidRDefault="00584EC1">
            <w:pPr>
              <w:rPr>
                <w:rFonts w:ascii="宋体"/>
              </w:rPr>
            </w:pPr>
          </w:p>
        </w:tc>
        <w:tc>
          <w:tcPr>
            <w:tcW w:w="917" w:type="pct"/>
            <w:shd w:val="clear" w:color="auto" w:fill="auto"/>
            <w:vAlign w:val="bottom"/>
          </w:tcPr>
          <w:p w14:paraId="74DE00C5" w14:textId="77777777" w:rsidR="00584EC1" w:rsidRDefault="00584EC1">
            <w:pPr>
              <w:rPr>
                <w:rFonts w:ascii="宋体"/>
              </w:rPr>
            </w:pPr>
          </w:p>
        </w:tc>
        <w:tc>
          <w:tcPr>
            <w:tcW w:w="5" w:type="pct"/>
            <w:shd w:val="clear" w:color="auto" w:fill="auto"/>
            <w:vAlign w:val="bottom"/>
          </w:tcPr>
          <w:p w14:paraId="74DE00C6" w14:textId="77777777" w:rsidR="00584EC1" w:rsidRDefault="00584EC1">
            <w:pPr>
              <w:rPr>
                <w:rFonts w:ascii="宋体"/>
              </w:rPr>
            </w:pPr>
          </w:p>
        </w:tc>
        <w:tc>
          <w:tcPr>
            <w:tcW w:w="50" w:type="pct"/>
            <w:shd w:val="clear" w:color="auto" w:fill="auto"/>
            <w:vAlign w:val="bottom"/>
          </w:tcPr>
          <w:p w14:paraId="74DE00C7" w14:textId="77777777" w:rsidR="00584EC1" w:rsidRDefault="00584EC1">
            <w:pPr>
              <w:rPr>
                <w:rFonts w:ascii="宋体"/>
              </w:rPr>
            </w:pPr>
          </w:p>
        </w:tc>
        <w:tc>
          <w:tcPr>
            <w:tcW w:w="917" w:type="pct"/>
            <w:shd w:val="clear" w:color="auto" w:fill="auto"/>
            <w:vAlign w:val="bottom"/>
          </w:tcPr>
          <w:p w14:paraId="74DE00C8" w14:textId="77777777" w:rsidR="00584EC1" w:rsidRDefault="00584EC1">
            <w:pPr>
              <w:rPr>
                <w:rFonts w:ascii="宋体"/>
              </w:rPr>
            </w:pPr>
          </w:p>
        </w:tc>
        <w:tc>
          <w:tcPr>
            <w:tcW w:w="5" w:type="pct"/>
            <w:shd w:val="clear" w:color="auto" w:fill="auto"/>
            <w:vAlign w:val="bottom"/>
          </w:tcPr>
          <w:p w14:paraId="74DE00C9" w14:textId="77777777" w:rsidR="00584EC1" w:rsidRDefault="00584EC1">
            <w:pPr>
              <w:rPr>
                <w:rFonts w:ascii="宋体"/>
              </w:rPr>
            </w:pPr>
          </w:p>
        </w:tc>
        <w:tc>
          <w:tcPr>
            <w:tcW w:w="50" w:type="pct"/>
            <w:shd w:val="clear" w:color="auto" w:fill="auto"/>
            <w:vAlign w:val="bottom"/>
          </w:tcPr>
          <w:p w14:paraId="74DE00CA" w14:textId="77777777" w:rsidR="00584EC1" w:rsidRDefault="00584EC1">
            <w:pPr>
              <w:rPr>
                <w:rFonts w:ascii="宋体"/>
              </w:rPr>
            </w:pPr>
          </w:p>
        </w:tc>
        <w:tc>
          <w:tcPr>
            <w:tcW w:w="493" w:type="pct"/>
            <w:shd w:val="clear" w:color="auto" w:fill="auto"/>
            <w:vAlign w:val="bottom"/>
          </w:tcPr>
          <w:p w14:paraId="74DE00CB" w14:textId="77777777" w:rsidR="00584EC1" w:rsidRDefault="00584EC1">
            <w:pPr>
              <w:rPr>
                <w:rFonts w:ascii="宋体"/>
              </w:rPr>
            </w:pPr>
          </w:p>
        </w:tc>
        <w:tc>
          <w:tcPr>
            <w:tcW w:w="5" w:type="pct"/>
            <w:shd w:val="clear" w:color="auto" w:fill="auto"/>
            <w:vAlign w:val="bottom"/>
          </w:tcPr>
          <w:p w14:paraId="74DE00CC" w14:textId="77777777" w:rsidR="00584EC1" w:rsidRDefault="00584EC1">
            <w:pPr>
              <w:rPr>
                <w:rFonts w:ascii="宋体"/>
              </w:rPr>
            </w:pPr>
          </w:p>
        </w:tc>
      </w:tr>
      <w:tr w:rsidR="00584EC1" w14:paraId="74DE00D3"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4DE00CE"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0CF"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0D0"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0D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0D2" w14:textId="77777777" w:rsidR="00584EC1" w:rsidRDefault="00584EC1">
            <w:pPr>
              <w:rPr>
                <w:rFonts w:ascii="宋体"/>
              </w:rPr>
            </w:pPr>
          </w:p>
        </w:tc>
      </w:tr>
    </w:tbl>
    <w:p w14:paraId="74DE00D4" w14:textId="77777777" w:rsidR="00584EC1" w:rsidRDefault="00871F8D">
      <w:pPr>
        <w:jc w:val="both"/>
      </w:pPr>
      <w:r>
        <w:rPr>
          <w:rFonts w:ascii="Arial" w:eastAsia="宋体" w:hAnsi="Arial" w:cs="Arial"/>
          <w:color w:val="000000"/>
          <w:sz w:val="9"/>
          <w:szCs w:val="9"/>
        </w:rPr>
        <w:t>(1)</w:t>
      </w:r>
      <w:r>
        <w:rPr>
          <w:rFonts w:ascii="Arial" w:eastAsia="宋体" w:hAnsi="Arial" w:cs="Arial"/>
          <w:color w:val="000000"/>
          <w:sz w:val="14"/>
          <w:szCs w:val="14"/>
        </w:rPr>
        <w:t xml:space="preserve"> Represents a security interest in underlying client assets related to our enhanced custody business, which assets clients have allowed us to transfer and re-pledge.</w:t>
      </w:r>
    </w:p>
    <w:p w14:paraId="74DE00D5" w14:textId="77777777" w:rsidR="00584EC1" w:rsidRDefault="00871F8D">
      <w:pPr>
        <w:ind w:firstLine="450"/>
        <w:jc w:val="right"/>
      </w:pPr>
      <w:r>
        <w:rPr>
          <w:rFonts w:ascii="Arial" w:eastAsia="宋体" w:hAnsi="Arial" w:cs="Arial"/>
          <w:color w:val="000000"/>
          <w:sz w:val="18"/>
          <w:szCs w:val="18"/>
        </w:rPr>
        <w:t>State Street Corporation | 82</w:t>
      </w:r>
    </w:p>
    <w:p w14:paraId="74DE00D6" w14:textId="77777777" w:rsidR="00584EC1" w:rsidRDefault="00584EC1">
      <w:pPr>
        <w:ind w:firstLine="450"/>
        <w:jc w:val="center"/>
      </w:pPr>
    </w:p>
    <w:p w14:paraId="74DE00D7" w14:textId="77777777" w:rsidR="00584EC1" w:rsidRDefault="00871F8D">
      <w:r>
        <w:pict w14:anchorId="74DE2A40">
          <v:rect id="_x0000_i1106" style="width:415.3pt;height:1.5pt" o:hralign="center" o:hrstd="t" o:hr="t" fillcolor="#a0a0a0" stroked="f"/>
        </w:pict>
      </w:r>
    </w:p>
    <w:p w14:paraId="74DE00D8" w14:textId="77777777" w:rsidR="00584EC1" w:rsidRDefault="00871F8D">
      <w:pPr>
        <w:ind w:firstLine="450"/>
        <w:jc w:val="center"/>
      </w:pPr>
      <w:r>
        <w:rPr>
          <w:rFonts w:ascii="Arial" w:eastAsia="宋体" w:hAnsi="Arial" w:cs="Arial"/>
          <w:b/>
          <w:bCs/>
          <w:color w:val="000000"/>
          <w:sz w:val="20"/>
          <w:szCs w:val="20"/>
        </w:rPr>
        <w:t>STATE STREET CORPORATION</w:t>
      </w:r>
    </w:p>
    <w:p w14:paraId="74DE00D9" w14:textId="77777777" w:rsidR="00584EC1" w:rsidRDefault="00871F8D">
      <w:pPr>
        <w:ind w:firstLine="450"/>
        <w:jc w:val="center"/>
      </w:pPr>
      <w:r>
        <w:rPr>
          <w:rFonts w:ascii="Arial" w:eastAsia="宋体" w:hAnsi="Arial" w:cs="Arial"/>
          <w:b/>
          <w:bCs/>
          <w:color w:val="000000"/>
          <w:sz w:val="20"/>
          <w:szCs w:val="20"/>
        </w:rPr>
        <w:t xml:space="preserve">CONDENSED NOTES TO CONSOLIDATED </w:t>
      </w:r>
      <w:r>
        <w:rPr>
          <w:rFonts w:ascii="Arial" w:eastAsia="宋体" w:hAnsi="Arial" w:cs="Arial"/>
          <w:b/>
          <w:bCs/>
          <w:color w:val="000000"/>
          <w:sz w:val="20"/>
          <w:szCs w:val="20"/>
        </w:rPr>
        <w:t>FINANCIAL STATEMENTS</w:t>
      </w:r>
    </w:p>
    <w:p w14:paraId="74DE00DA" w14:textId="77777777" w:rsidR="00584EC1" w:rsidRDefault="00871F8D">
      <w:pPr>
        <w:ind w:firstLine="450"/>
        <w:jc w:val="center"/>
      </w:pPr>
      <w:r>
        <w:rPr>
          <w:rFonts w:ascii="Arial" w:eastAsia="宋体" w:hAnsi="Arial" w:cs="Arial"/>
          <w:b/>
          <w:bCs/>
          <w:color w:val="000000"/>
          <w:sz w:val="20"/>
          <w:szCs w:val="20"/>
        </w:rPr>
        <w:t>(UNAUDITED)</w:t>
      </w:r>
    </w:p>
    <w:p w14:paraId="74DE00DB" w14:textId="77777777" w:rsidR="00584EC1" w:rsidRDefault="00871F8D">
      <w:pPr>
        <w:spacing w:before="180"/>
        <w:jc w:val="both"/>
        <w:textAlignment w:val="top"/>
      </w:pPr>
      <w:r>
        <w:rPr>
          <w:rFonts w:ascii="Arial" w:eastAsia="宋体" w:hAnsi="Arial" w:cs="Arial"/>
          <w:b/>
          <w:bCs/>
          <w:color w:val="000000"/>
          <w:sz w:val="20"/>
          <w:szCs w:val="20"/>
        </w:rPr>
        <w:t>Note 9.    Commitments and Guarantees</w:t>
      </w:r>
    </w:p>
    <w:p w14:paraId="74DE00DC" w14:textId="77777777" w:rsidR="00584EC1" w:rsidRDefault="00871F8D">
      <w:pPr>
        <w:spacing w:before="60"/>
        <w:ind w:firstLine="450"/>
        <w:jc w:val="both"/>
        <w:textAlignment w:val="top"/>
      </w:pPr>
      <w:r>
        <w:rPr>
          <w:rFonts w:ascii="Arial" w:eastAsia="宋体" w:hAnsi="Arial" w:cs="Arial"/>
          <w:color w:val="000000"/>
          <w:sz w:val="20"/>
          <w:szCs w:val="20"/>
        </w:rPr>
        <w:t xml:space="preserve">For additional information on the nature of the obligations and related business activities for our commitments and guarantees, refer to page 166 in Note 12 to the </w:t>
      </w:r>
      <w:r>
        <w:rPr>
          <w:rFonts w:ascii="Arial" w:eastAsia="宋体" w:hAnsi="Arial" w:cs="Arial"/>
          <w:color w:val="000000"/>
          <w:sz w:val="20"/>
          <w:szCs w:val="20"/>
        </w:rPr>
        <w:t>consolidated financial statements included under Item 8, Financial Statements and Supplementary Data, in our 2020 Form 10-K.</w:t>
      </w:r>
    </w:p>
    <w:p w14:paraId="74DE00DD" w14:textId="77777777" w:rsidR="00584EC1" w:rsidRDefault="00871F8D">
      <w:pPr>
        <w:spacing w:before="60"/>
        <w:ind w:firstLine="450"/>
        <w:jc w:val="both"/>
        <w:textAlignment w:val="top"/>
      </w:pPr>
      <w:r>
        <w:rPr>
          <w:rFonts w:ascii="Arial" w:eastAsia="宋体" w:hAnsi="Arial" w:cs="Arial"/>
          <w:color w:val="000000"/>
          <w:sz w:val="20"/>
          <w:szCs w:val="20"/>
        </w:rPr>
        <w:t xml:space="preserve">The following table presents the aggregate gross contractual amounts of our off-balance sheet commitments and </w:t>
      </w:r>
      <w:r>
        <w:rPr>
          <w:rFonts w:ascii="Arial" w:eastAsia="宋体" w:hAnsi="Arial" w:cs="Arial"/>
          <w:color w:val="000000"/>
          <w:sz w:val="20"/>
          <w:szCs w:val="20"/>
        </w:rPr>
        <w:t>off-balance sheet guarantees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9"/>
        <w:gridCol w:w="3886"/>
        <w:gridCol w:w="36"/>
        <w:gridCol w:w="99"/>
        <w:gridCol w:w="1972"/>
        <w:gridCol w:w="36"/>
        <w:gridCol w:w="36"/>
        <w:gridCol w:w="79"/>
        <w:gridCol w:w="36"/>
        <w:gridCol w:w="99"/>
        <w:gridCol w:w="1972"/>
        <w:gridCol w:w="36"/>
      </w:tblGrid>
      <w:tr w:rsidR="00584EC1" w14:paraId="74DE00EA" w14:textId="77777777">
        <w:tc>
          <w:tcPr>
            <w:tcW w:w="50" w:type="pct"/>
            <w:shd w:val="clear" w:color="auto" w:fill="auto"/>
            <w:vAlign w:val="bottom"/>
          </w:tcPr>
          <w:p w14:paraId="74DE00DE" w14:textId="77777777" w:rsidR="00584EC1" w:rsidRDefault="00584EC1">
            <w:pPr>
              <w:rPr>
                <w:rFonts w:ascii="宋体"/>
              </w:rPr>
            </w:pPr>
          </w:p>
        </w:tc>
        <w:tc>
          <w:tcPr>
            <w:tcW w:w="2350" w:type="pct"/>
            <w:shd w:val="clear" w:color="auto" w:fill="auto"/>
            <w:vAlign w:val="bottom"/>
          </w:tcPr>
          <w:p w14:paraId="74DE00DF" w14:textId="77777777" w:rsidR="00584EC1" w:rsidRDefault="00584EC1">
            <w:pPr>
              <w:rPr>
                <w:rFonts w:ascii="宋体"/>
              </w:rPr>
            </w:pPr>
          </w:p>
        </w:tc>
        <w:tc>
          <w:tcPr>
            <w:tcW w:w="5" w:type="pct"/>
            <w:shd w:val="clear" w:color="auto" w:fill="auto"/>
            <w:vAlign w:val="bottom"/>
          </w:tcPr>
          <w:p w14:paraId="74DE00E0" w14:textId="77777777" w:rsidR="00584EC1" w:rsidRDefault="00584EC1">
            <w:pPr>
              <w:rPr>
                <w:rFonts w:ascii="宋体"/>
              </w:rPr>
            </w:pPr>
          </w:p>
        </w:tc>
        <w:tc>
          <w:tcPr>
            <w:tcW w:w="50" w:type="pct"/>
            <w:shd w:val="clear" w:color="auto" w:fill="auto"/>
            <w:vAlign w:val="bottom"/>
          </w:tcPr>
          <w:p w14:paraId="74DE00E1" w14:textId="77777777" w:rsidR="00584EC1" w:rsidRDefault="00584EC1">
            <w:pPr>
              <w:rPr>
                <w:rFonts w:ascii="宋体"/>
              </w:rPr>
            </w:pPr>
          </w:p>
        </w:tc>
        <w:tc>
          <w:tcPr>
            <w:tcW w:w="1202" w:type="pct"/>
            <w:shd w:val="clear" w:color="auto" w:fill="auto"/>
            <w:vAlign w:val="bottom"/>
          </w:tcPr>
          <w:p w14:paraId="74DE00E2" w14:textId="77777777" w:rsidR="00584EC1" w:rsidRDefault="00584EC1">
            <w:pPr>
              <w:rPr>
                <w:rFonts w:ascii="宋体"/>
              </w:rPr>
            </w:pPr>
          </w:p>
        </w:tc>
        <w:tc>
          <w:tcPr>
            <w:tcW w:w="5" w:type="pct"/>
            <w:shd w:val="clear" w:color="auto" w:fill="auto"/>
            <w:vAlign w:val="bottom"/>
          </w:tcPr>
          <w:p w14:paraId="74DE00E3" w14:textId="77777777" w:rsidR="00584EC1" w:rsidRDefault="00584EC1">
            <w:pPr>
              <w:rPr>
                <w:rFonts w:ascii="宋体"/>
              </w:rPr>
            </w:pPr>
          </w:p>
        </w:tc>
        <w:tc>
          <w:tcPr>
            <w:tcW w:w="5" w:type="pct"/>
            <w:shd w:val="clear" w:color="auto" w:fill="auto"/>
            <w:vAlign w:val="bottom"/>
          </w:tcPr>
          <w:p w14:paraId="74DE00E4" w14:textId="77777777" w:rsidR="00584EC1" w:rsidRDefault="00584EC1">
            <w:pPr>
              <w:rPr>
                <w:rFonts w:ascii="宋体"/>
              </w:rPr>
            </w:pPr>
          </w:p>
        </w:tc>
        <w:tc>
          <w:tcPr>
            <w:tcW w:w="68" w:type="pct"/>
            <w:shd w:val="clear" w:color="auto" w:fill="auto"/>
            <w:vAlign w:val="bottom"/>
          </w:tcPr>
          <w:p w14:paraId="74DE00E5" w14:textId="77777777" w:rsidR="00584EC1" w:rsidRDefault="00584EC1">
            <w:pPr>
              <w:rPr>
                <w:rFonts w:ascii="宋体"/>
              </w:rPr>
            </w:pPr>
          </w:p>
        </w:tc>
        <w:tc>
          <w:tcPr>
            <w:tcW w:w="5" w:type="pct"/>
            <w:shd w:val="clear" w:color="auto" w:fill="auto"/>
            <w:vAlign w:val="bottom"/>
          </w:tcPr>
          <w:p w14:paraId="74DE00E6" w14:textId="77777777" w:rsidR="00584EC1" w:rsidRDefault="00584EC1">
            <w:pPr>
              <w:rPr>
                <w:rFonts w:ascii="宋体"/>
              </w:rPr>
            </w:pPr>
          </w:p>
        </w:tc>
        <w:tc>
          <w:tcPr>
            <w:tcW w:w="50" w:type="pct"/>
            <w:shd w:val="clear" w:color="auto" w:fill="auto"/>
            <w:vAlign w:val="bottom"/>
          </w:tcPr>
          <w:p w14:paraId="74DE00E7" w14:textId="77777777" w:rsidR="00584EC1" w:rsidRDefault="00584EC1">
            <w:pPr>
              <w:rPr>
                <w:rFonts w:ascii="宋体"/>
              </w:rPr>
            </w:pPr>
          </w:p>
        </w:tc>
        <w:tc>
          <w:tcPr>
            <w:tcW w:w="1202" w:type="pct"/>
            <w:shd w:val="clear" w:color="auto" w:fill="auto"/>
            <w:vAlign w:val="bottom"/>
          </w:tcPr>
          <w:p w14:paraId="74DE00E8" w14:textId="77777777" w:rsidR="00584EC1" w:rsidRDefault="00584EC1">
            <w:pPr>
              <w:rPr>
                <w:rFonts w:ascii="宋体"/>
              </w:rPr>
            </w:pPr>
          </w:p>
        </w:tc>
        <w:tc>
          <w:tcPr>
            <w:tcW w:w="5" w:type="pct"/>
            <w:shd w:val="clear" w:color="auto" w:fill="auto"/>
            <w:vAlign w:val="bottom"/>
          </w:tcPr>
          <w:p w14:paraId="74DE00E9" w14:textId="77777777" w:rsidR="00584EC1" w:rsidRDefault="00584EC1">
            <w:pPr>
              <w:rPr>
                <w:rFonts w:ascii="宋体"/>
              </w:rPr>
            </w:pPr>
          </w:p>
        </w:tc>
      </w:tr>
      <w:tr w:rsidR="00584EC1" w14:paraId="74DE00EF" w14:textId="77777777">
        <w:tc>
          <w:tcPr>
            <w:tcW w:w="0" w:type="auto"/>
            <w:gridSpan w:val="3"/>
            <w:shd w:val="clear" w:color="auto" w:fill="auto"/>
            <w:tcMar>
              <w:top w:w="40" w:type="dxa"/>
              <w:left w:w="20" w:type="dxa"/>
              <w:bottom w:w="40" w:type="dxa"/>
              <w:right w:w="20" w:type="dxa"/>
            </w:tcMar>
            <w:vAlign w:val="bottom"/>
          </w:tcPr>
          <w:p w14:paraId="74DE00EB" w14:textId="77777777" w:rsidR="00584EC1" w:rsidRDefault="00871F8D">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74DE00EC" w14:textId="77777777" w:rsidR="00584EC1" w:rsidRDefault="00871F8D">
            <w:pPr>
              <w:jc w:val="center"/>
              <w:textAlignment w:val="bottom"/>
            </w:pPr>
            <w:r>
              <w:rPr>
                <w:rFonts w:ascii="Arial" w:eastAsia="宋体" w:hAnsi="Arial" w:cs="Arial"/>
                <w:b/>
                <w:bCs/>
                <w:color w:val="000000"/>
                <w:sz w:val="14"/>
                <w:szCs w:val="14"/>
              </w:rPr>
              <w:t>September 30, 2021</w:t>
            </w:r>
          </w:p>
        </w:tc>
        <w:tc>
          <w:tcPr>
            <w:tcW w:w="0" w:type="auto"/>
            <w:gridSpan w:val="3"/>
            <w:shd w:val="clear" w:color="auto" w:fill="auto"/>
            <w:tcMar>
              <w:top w:w="0" w:type="dxa"/>
              <w:left w:w="20" w:type="dxa"/>
              <w:bottom w:w="0" w:type="dxa"/>
              <w:right w:w="20" w:type="dxa"/>
            </w:tcMar>
            <w:vAlign w:val="bottom"/>
          </w:tcPr>
          <w:p w14:paraId="74DE00ED"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E00EE" w14:textId="77777777" w:rsidR="00584EC1" w:rsidRDefault="00871F8D">
            <w:pPr>
              <w:jc w:val="center"/>
              <w:textAlignment w:val="bottom"/>
            </w:pPr>
            <w:r>
              <w:rPr>
                <w:rFonts w:ascii="Arial" w:eastAsia="宋体" w:hAnsi="Arial" w:cs="Arial"/>
                <w:b/>
                <w:bCs/>
                <w:color w:val="000000"/>
                <w:sz w:val="14"/>
                <w:szCs w:val="14"/>
              </w:rPr>
              <w:t>December 31, 2020</w:t>
            </w:r>
          </w:p>
        </w:tc>
      </w:tr>
      <w:tr w:rsidR="00584EC1" w14:paraId="74DE00F4" w14:textId="77777777">
        <w:tc>
          <w:tcPr>
            <w:tcW w:w="0" w:type="auto"/>
            <w:gridSpan w:val="3"/>
            <w:shd w:val="clear" w:color="auto" w:fill="auto"/>
            <w:tcMar>
              <w:top w:w="40" w:type="dxa"/>
              <w:left w:w="20" w:type="dxa"/>
              <w:bottom w:w="40" w:type="dxa"/>
              <w:right w:w="20" w:type="dxa"/>
            </w:tcMar>
            <w:vAlign w:val="bottom"/>
          </w:tcPr>
          <w:p w14:paraId="74DE00F0" w14:textId="77777777" w:rsidR="00584EC1" w:rsidRDefault="00871F8D">
            <w:pPr>
              <w:textAlignment w:val="bottom"/>
            </w:pPr>
            <w:r>
              <w:rPr>
                <w:rFonts w:ascii="Arial" w:eastAsia="宋体" w:hAnsi="Arial" w:cs="Arial"/>
                <w:b/>
                <w:bCs/>
                <w:color w:val="000000"/>
                <w:sz w:val="14"/>
                <w:szCs w:val="14"/>
              </w:rPr>
              <w:t>Commitments: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00F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0F2"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00F3" w14:textId="77777777" w:rsidR="00584EC1" w:rsidRDefault="00584EC1">
            <w:pPr>
              <w:rPr>
                <w:rFonts w:ascii="宋体"/>
              </w:rPr>
            </w:pPr>
          </w:p>
        </w:tc>
      </w:tr>
      <w:tr w:rsidR="00584EC1" w14:paraId="74DE00FD" w14:textId="77777777">
        <w:tc>
          <w:tcPr>
            <w:tcW w:w="0" w:type="auto"/>
            <w:gridSpan w:val="3"/>
            <w:shd w:val="clear" w:color="auto" w:fill="CCEEFF"/>
            <w:tcMar>
              <w:top w:w="40" w:type="dxa"/>
              <w:left w:w="20" w:type="dxa"/>
              <w:bottom w:w="40" w:type="dxa"/>
              <w:right w:w="20" w:type="dxa"/>
            </w:tcMar>
            <w:vAlign w:val="bottom"/>
          </w:tcPr>
          <w:p w14:paraId="74DE00F5" w14:textId="77777777" w:rsidR="00584EC1" w:rsidRDefault="00871F8D">
            <w:pPr>
              <w:textAlignment w:val="bottom"/>
            </w:pPr>
            <w:r>
              <w:rPr>
                <w:rFonts w:ascii="Arial" w:eastAsia="宋体" w:hAnsi="Arial" w:cs="Arial"/>
                <w:color w:val="000000"/>
                <w:sz w:val="14"/>
                <w:szCs w:val="14"/>
              </w:rPr>
              <w:t>Unfunded credit facilities</w:t>
            </w:r>
          </w:p>
        </w:tc>
        <w:tc>
          <w:tcPr>
            <w:tcW w:w="0" w:type="auto"/>
            <w:shd w:val="clear" w:color="auto" w:fill="CCEEFF"/>
            <w:tcMar>
              <w:top w:w="40" w:type="dxa"/>
              <w:left w:w="20" w:type="dxa"/>
              <w:bottom w:w="40" w:type="dxa"/>
              <w:right w:w="0" w:type="dxa"/>
            </w:tcMar>
            <w:vAlign w:val="bottom"/>
          </w:tcPr>
          <w:p w14:paraId="74DE00F6" w14:textId="77777777" w:rsidR="00584EC1" w:rsidRDefault="00871F8D">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4DE00F7" w14:textId="77777777" w:rsidR="00584EC1" w:rsidRDefault="00871F8D">
            <w:pPr>
              <w:jc w:val="right"/>
              <w:textAlignment w:val="bottom"/>
            </w:pPr>
            <w:r>
              <w:rPr>
                <w:rFonts w:ascii="Arial" w:eastAsia="宋体" w:hAnsi="Arial" w:cs="Arial"/>
                <w:b/>
                <w:bCs/>
                <w:color w:val="000000"/>
                <w:sz w:val="14"/>
                <w:szCs w:val="14"/>
              </w:rPr>
              <w:t>34,471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E00F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0F9"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E00FA"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E00FB" w14:textId="77777777" w:rsidR="00584EC1" w:rsidRDefault="00871F8D">
            <w:pPr>
              <w:jc w:val="right"/>
              <w:textAlignment w:val="bottom"/>
            </w:pPr>
            <w:r>
              <w:rPr>
                <w:rFonts w:ascii="Arial" w:eastAsia="宋体" w:hAnsi="Arial" w:cs="Arial"/>
                <w:color w:val="000000"/>
                <w:sz w:val="14"/>
                <w:szCs w:val="14"/>
              </w:rPr>
              <w:t>34,213 </w:t>
            </w:r>
          </w:p>
        </w:tc>
        <w:tc>
          <w:tcPr>
            <w:tcW w:w="0" w:type="auto"/>
            <w:shd w:val="clear" w:color="auto" w:fill="CCEEFF"/>
            <w:tcMar>
              <w:top w:w="40" w:type="dxa"/>
              <w:left w:w="0" w:type="dxa"/>
              <w:bottom w:w="40" w:type="dxa"/>
              <w:right w:w="20" w:type="dxa"/>
            </w:tcMar>
            <w:vAlign w:val="bottom"/>
          </w:tcPr>
          <w:p w14:paraId="74DE00FC" w14:textId="77777777" w:rsidR="00584EC1" w:rsidRDefault="00584EC1">
            <w:pPr>
              <w:jc w:val="right"/>
              <w:rPr>
                <w:rFonts w:ascii="宋体"/>
              </w:rPr>
            </w:pPr>
          </w:p>
        </w:tc>
      </w:tr>
      <w:tr w:rsidR="00584EC1" w14:paraId="74DE0102" w14:textId="77777777">
        <w:tc>
          <w:tcPr>
            <w:tcW w:w="0" w:type="auto"/>
            <w:gridSpan w:val="3"/>
            <w:shd w:val="clear" w:color="auto" w:fill="FFFFFF"/>
            <w:tcMar>
              <w:top w:w="40" w:type="dxa"/>
              <w:left w:w="20" w:type="dxa"/>
              <w:bottom w:w="40" w:type="dxa"/>
              <w:right w:w="20" w:type="dxa"/>
            </w:tcMar>
            <w:vAlign w:val="bottom"/>
          </w:tcPr>
          <w:p w14:paraId="74DE00FE" w14:textId="77777777" w:rsidR="00584EC1" w:rsidRDefault="00871F8D">
            <w:pPr>
              <w:textAlignment w:val="bottom"/>
            </w:pPr>
            <w:r>
              <w:rPr>
                <w:rFonts w:ascii="Arial" w:eastAsia="宋体" w:hAnsi="Arial" w:cs="Arial"/>
                <w:b/>
                <w:bCs/>
                <w:color w:val="000000"/>
                <w:sz w:val="14"/>
                <w:szCs w:val="14"/>
              </w:rPr>
              <w:t>Guarantees</w:t>
            </w:r>
            <w:r>
              <w:rPr>
                <w:rFonts w:ascii="Arial" w:eastAsia="宋体" w:hAnsi="Arial" w:cs="Arial"/>
                <w:color w:val="000000"/>
                <w:sz w:val="9"/>
                <w:szCs w:val="9"/>
              </w:rPr>
              <w:t>(1)</w:t>
            </w:r>
            <w:r>
              <w:rPr>
                <w:rFonts w:ascii="Arial" w:eastAsia="宋体" w:hAnsi="Arial" w:cs="Arial"/>
                <w:b/>
                <w:bCs/>
                <w:color w:val="000000"/>
                <w:sz w:val="14"/>
                <w:szCs w:val="14"/>
              </w:rPr>
              <w:t>:</w:t>
            </w:r>
          </w:p>
        </w:tc>
        <w:tc>
          <w:tcPr>
            <w:tcW w:w="0" w:type="auto"/>
            <w:gridSpan w:val="3"/>
            <w:shd w:val="clear" w:color="auto" w:fill="FFFFFF"/>
            <w:tcMar>
              <w:top w:w="0" w:type="dxa"/>
              <w:left w:w="20" w:type="dxa"/>
              <w:bottom w:w="0" w:type="dxa"/>
              <w:right w:w="20" w:type="dxa"/>
            </w:tcMar>
            <w:vAlign w:val="bottom"/>
          </w:tcPr>
          <w:p w14:paraId="74DE00FF"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E0100"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E0101" w14:textId="77777777" w:rsidR="00584EC1" w:rsidRDefault="00584EC1">
            <w:pPr>
              <w:rPr>
                <w:rFonts w:ascii="宋体"/>
              </w:rPr>
            </w:pPr>
          </w:p>
        </w:tc>
      </w:tr>
      <w:tr w:rsidR="00584EC1" w14:paraId="74DE010B" w14:textId="77777777">
        <w:tc>
          <w:tcPr>
            <w:tcW w:w="0" w:type="auto"/>
            <w:gridSpan w:val="3"/>
            <w:shd w:val="clear" w:color="auto" w:fill="CCEEFF"/>
            <w:tcMar>
              <w:top w:w="40" w:type="dxa"/>
              <w:left w:w="20" w:type="dxa"/>
              <w:bottom w:w="40" w:type="dxa"/>
              <w:right w:w="20" w:type="dxa"/>
            </w:tcMar>
            <w:vAlign w:val="bottom"/>
          </w:tcPr>
          <w:p w14:paraId="74DE0103" w14:textId="77777777" w:rsidR="00584EC1" w:rsidRDefault="00871F8D">
            <w:pPr>
              <w:textAlignment w:val="bottom"/>
            </w:pPr>
            <w:r>
              <w:rPr>
                <w:rFonts w:ascii="Arial" w:eastAsia="宋体" w:hAnsi="Arial" w:cs="Arial"/>
                <w:color w:val="000000"/>
                <w:sz w:val="14"/>
                <w:szCs w:val="14"/>
              </w:rPr>
              <w:t>Indemnified securities financing</w:t>
            </w:r>
          </w:p>
        </w:tc>
        <w:tc>
          <w:tcPr>
            <w:tcW w:w="0" w:type="auto"/>
            <w:shd w:val="clear" w:color="auto" w:fill="CCEEFF"/>
            <w:tcMar>
              <w:top w:w="40" w:type="dxa"/>
              <w:left w:w="20" w:type="dxa"/>
              <w:bottom w:w="40" w:type="dxa"/>
              <w:right w:w="0" w:type="dxa"/>
            </w:tcMar>
            <w:vAlign w:val="bottom"/>
          </w:tcPr>
          <w:p w14:paraId="74DE0104" w14:textId="77777777" w:rsidR="00584EC1" w:rsidRDefault="00871F8D">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4DE0105" w14:textId="77777777" w:rsidR="00584EC1" w:rsidRDefault="00871F8D">
            <w:pPr>
              <w:jc w:val="right"/>
              <w:textAlignment w:val="bottom"/>
            </w:pPr>
            <w:r>
              <w:rPr>
                <w:rFonts w:ascii="Arial" w:eastAsia="宋体" w:hAnsi="Arial" w:cs="Arial"/>
                <w:b/>
                <w:bCs/>
                <w:color w:val="000000"/>
                <w:sz w:val="14"/>
                <w:szCs w:val="14"/>
              </w:rPr>
              <w:t>402,369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E010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107"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E0108"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E0109" w14:textId="77777777" w:rsidR="00584EC1" w:rsidRDefault="00871F8D">
            <w:pPr>
              <w:jc w:val="right"/>
              <w:textAlignment w:val="bottom"/>
            </w:pPr>
            <w:r>
              <w:rPr>
                <w:rFonts w:ascii="Arial" w:eastAsia="宋体" w:hAnsi="Arial" w:cs="Arial"/>
                <w:color w:val="000000"/>
                <w:sz w:val="14"/>
                <w:szCs w:val="14"/>
              </w:rPr>
              <w:t>440,875 </w:t>
            </w:r>
          </w:p>
        </w:tc>
        <w:tc>
          <w:tcPr>
            <w:tcW w:w="0" w:type="auto"/>
            <w:shd w:val="clear" w:color="auto" w:fill="CCEEFF"/>
            <w:tcMar>
              <w:top w:w="40" w:type="dxa"/>
              <w:left w:w="0" w:type="dxa"/>
              <w:bottom w:w="40" w:type="dxa"/>
              <w:right w:w="20" w:type="dxa"/>
            </w:tcMar>
            <w:vAlign w:val="bottom"/>
          </w:tcPr>
          <w:p w14:paraId="74DE010A" w14:textId="77777777" w:rsidR="00584EC1" w:rsidRDefault="00584EC1">
            <w:pPr>
              <w:jc w:val="right"/>
              <w:rPr>
                <w:rFonts w:ascii="宋体"/>
              </w:rPr>
            </w:pPr>
          </w:p>
        </w:tc>
      </w:tr>
      <w:tr w:rsidR="00584EC1" w14:paraId="74DE0112" w14:textId="77777777">
        <w:tc>
          <w:tcPr>
            <w:tcW w:w="0" w:type="auto"/>
            <w:gridSpan w:val="3"/>
            <w:shd w:val="clear" w:color="auto" w:fill="FFFFFF"/>
            <w:tcMar>
              <w:top w:w="40" w:type="dxa"/>
              <w:left w:w="20" w:type="dxa"/>
              <w:bottom w:w="40" w:type="dxa"/>
              <w:right w:w="20" w:type="dxa"/>
            </w:tcMar>
            <w:vAlign w:val="bottom"/>
          </w:tcPr>
          <w:p w14:paraId="74DE010C" w14:textId="77777777" w:rsidR="00584EC1" w:rsidRDefault="00871F8D">
            <w:pPr>
              <w:textAlignment w:val="bottom"/>
            </w:pPr>
            <w:r>
              <w:rPr>
                <w:rFonts w:ascii="Arial" w:eastAsia="宋体" w:hAnsi="Arial" w:cs="Arial"/>
                <w:color w:val="000000"/>
                <w:sz w:val="14"/>
                <w:szCs w:val="14"/>
              </w:rPr>
              <w:t>Standby letters of credit</w:t>
            </w:r>
          </w:p>
        </w:tc>
        <w:tc>
          <w:tcPr>
            <w:tcW w:w="0" w:type="auto"/>
            <w:gridSpan w:val="2"/>
            <w:shd w:val="clear" w:color="auto" w:fill="auto"/>
            <w:tcMar>
              <w:top w:w="40" w:type="dxa"/>
              <w:left w:w="20" w:type="dxa"/>
              <w:bottom w:w="40" w:type="dxa"/>
              <w:right w:w="0" w:type="dxa"/>
            </w:tcMar>
            <w:vAlign w:val="bottom"/>
          </w:tcPr>
          <w:p w14:paraId="74DE010D" w14:textId="77777777" w:rsidR="00584EC1" w:rsidRDefault="00871F8D">
            <w:pPr>
              <w:jc w:val="right"/>
              <w:textAlignment w:val="bottom"/>
            </w:pPr>
            <w:r>
              <w:rPr>
                <w:rFonts w:ascii="Arial" w:eastAsia="宋体" w:hAnsi="Arial" w:cs="Arial"/>
                <w:b/>
                <w:bCs/>
                <w:color w:val="000000"/>
                <w:sz w:val="14"/>
                <w:szCs w:val="14"/>
              </w:rPr>
              <w:t>3,333</w:t>
            </w:r>
            <w:r>
              <w:rPr>
                <w:rFonts w:ascii="Arial" w:eastAsia="宋体" w:hAnsi="Arial" w:cs="Arial"/>
                <w:color w:val="000000"/>
                <w:sz w:val="14"/>
                <w:szCs w:val="14"/>
              </w:rPr>
              <w:t> </w:t>
            </w:r>
          </w:p>
        </w:tc>
        <w:tc>
          <w:tcPr>
            <w:tcW w:w="0" w:type="auto"/>
            <w:shd w:val="clear" w:color="auto" w:fill="auto"/>
            <w:tcMar>
              <w:top w:w="40" w:type="dxa"/>
              <w:left w:w="0" w:type="dxa"/>
              <w:bottom w:w="40" w:type="dxa"/>
              <w:right w:w="20" w:type="dxa"/>
            </w:tcMar>
            <w:vAlign w:val="bottom"/>
          </w:tcPr>
          <w:p w14:paraId="74DE010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10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110" w14:textId="77777777" w:rsidR="00584EC1" w:rsidRDefault="00871F8D">
            <w:pPr>
              <w:jc w:val="right"/>
              <w:textAlignment w:val="bottom"/>
            </w:pPr>
            <w:r>
              <w:rPr>
                <w:rFonts w:ascii="Arial" w:eastAsia="宋体" w:hAnsi="Arial" w:cs="Arial"/>
                <w:color w:val="000000"/>
                <w:sz w:val="14"/>
                <w:szCs w:val="14"/>
              </w:rPr>
              <w:t>3,330 </w:t>
            </w:r>
          </w:p>
        </w:tc>
        <w:tc>
          <w:tcPr>
            <w:tcW w:w="0" w:type="auto"/>
            <w:shd w:val="clear" w:color="auto" w:fill="FFFFFF"/>
            <w:tcMar>
              <w:top w:w="40" w:type="dxa"/>
              <w:left w:w="0" w:type="dxa"/>
              <w:bottom w:w="40" w:type="dxa"/>
              <w:right w:w="20" w:type="dxa"/>
            </w:tcMar>
            <w:vAlign w:val="bottom"/>
          </w:tcPr>
          <w:p w14:paraId="74DE0111" w14:textId="77777777" w:rsidR="00584EC1" w:rsidRDefault="00584EC1">
            <w:pPr>
              <w:jc w:val="right"/>
              <w:rPr>
                <w:rFonts w:ascii="宋体"/>
              </w:rPr>
            </w:pPr>
          </w:p>
        </w:tc>
      </w:tr>
    </w:tbl>
    <w:p w14:paraId="74DE0113" w14:textId="77777777" w:rsidR="00584EC1" w:rsidRDefault="00584E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3736"/>
        <w:gridCol w:w="36"/>
        <w:gridCol w:w="69"/>
        <w:gridCol w:w="4390"/>
        <w:gridCol w:w="36"/>
      </w:tblGrid>
      <w:tr w:rsidR="00584EC1" w14:paraId="74DE011A" w14:textId="77777777">
        <w:tc>
          <w:tcPr>
            <w:tcW w:w="50" w:type="pct"/>
            <w:shd w:val="clear" w:color="auto" w:fill="auto"/>
            <w:vAlign w:val="bottom"/>
          </w:tcPr>
          <w:p w14:paraId="74DE0114" w14:textId="77777777" w:rsidR="00584EC1" w:rsidRDefault="00584EC1">
            <w:pPr>
              <w:rPr>
                <w:rFonts w:ascii="宋体"/>
              </w:rPr>
            </w:pPr>
          </w:p>
        </w:tc>
        <w:tc>
          <w:tcPr>
            <w:tcW w:w="2249" w:type="pct"/>
            <w:shd w:val="clear" w:color="auto" w:fill="auto"/>
            <w:vAlign w:val="bottom"/>
          </w:tcPr>
          <w:p w14:paraId="74DE0115" w14:textId="77777777" w:rsidR="00584EC1" w:rsidRDefault="00584EC1">
            <w:pPr>
              <w:rPr>
                <w:rFonts w:ascii="宋体"/>
              </w:rPr>
            </w:pPr>
          </w:p>
        </w:tc>
        <w:tc>
          <w:tcPr>
            <w:tcW w:w="5" w:type="pct"/>
            <w:shd w:val="clear" w:color="auto" w:fill="auto"/>
            <w:vAlign w:val="bottom"/>
          </w:tcPr>
          <w:p w14:paraId="74DE0116" w14:textId="77777777" w:rsidR="00584EC1" w:rsidRDefault="00584EC1">
            <w:pPr>
              <w:rPr>
                <w:rFonts w:ascii="宋体"/>
              </w:rPr>
            </w:pPr>
          </w:p>
        </w:tc>
        <w:tc>
          <w:tcPr>
            <w:tcW w:w="50" w:type="pct"/>
            <w:shd w:val="clear" w:color="auto" w:fill="auto"/>
            <w:vAlign w:val="bottom"/>
          </w:tcPr>
          <w:p w14:paraId="74DE0117" w14:textId="77777777" w:rsidR="00584EC1" w:rsidRDefault="00584EC1">
            <w:pPr>
              <w:rPr>
                <w:rFonts w:ascii="宋体"/>
              </w:rPr>
            </w:pPr>
          </w:p>
        </w:tc>
        <w:tc>
          <w:tcPr>
            <w:tcW w:w="2640" w:type="pct"/>
            <w:shd w:val="clear" w:color="auto" w:fill="auto"/>
            <w:vAlign w:val="bottom"/>
          </w:tcPr>
          <w:p w14:paraId="74DE0118" w14:textId="77777777" w:rsidR="00584EC1" w:rsidRDefault="00584EC1">
            <w:pPr>
              <w:rPr>
                <w:rFonts w:ascii="宋体"/>
              </w:rPr>
            </w:pPr>
          </w:p>
        </w:tc>
        <w:tc>
          <w:tcPr>
            <w:tcW w:w="5" w:type="pct"/>
            <w:shd w:val="clear" w:color="auto" w:fill="auto"/>
            <w:vAlign w:val="bottom"/>
          </w:tcPr>
          <w:p w14:paraId="74DE0119" w14:textId="77777777" w:rsidR="00584EC1" w:rsidRDefault="00584EC1">
            <w:pPr>
              <w:rPr>
                <w:rFonts w:ascii="宋体"/>
              </w:rPr>
            </w:pPr>
          </w:p>
        </w:tc>
      </w:tr>
      <w:tr w:rsidR="00584EC1" w14:paraId="74DE011D"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4DE011B"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11C" w14:textId="77777777" w:rsidR="00584EC1" w:rsidRDefault="00584EC1">
            <w:pPr>
              <w:rPr>
                <w:rFonts w:ascii="宋体"/>
              </w:rPr>
            </w:pPr>
          </w:p>
        </w:tc>
      </w:tr>
    </w:tbl>
    <w:p w14:paraId="74DE011E" w14:textId="77777777" w:rsidR="00584EC1" w:rsidRDefault="00871F8D">
      <w:pPr>
        <w:spacing w:before="60"/>
        <w:jc w:val="both"/>
        <w:textAlignment w:val="top"/>
      </w:pPr>
      <w:r>
        <w:rPr>
          <w:rFonts w:ascii="Arial" w:eastAsia="宋体" w:hAnsi="Arial" w:cs="Arial"/>
          <w:color w:val="000000"/>
          <w:sz w:val="9"/>
          <w:szCs w:val="9"/>
        </w:rPr>
        <w:t xml:space="preserve">(1) </w:t>
      </w:r>
      <w:r>
        <w:rPr>
          <w:rFonts w:ascii="Arial" w:eastAsia="宋体" w:hAnsi="Arial" w:cs="Arial"/>
          <w:color w:val="000000"/>
          <w:sz w:val="14"/>
          <w:szCs w:val="14"/>
        </w:rPr>
        <w:t xml:space="preserve">The potential losses associated with these guarantees equal the gross contractual amounts and do not consider the value of any collateral or reflect any </w:t>
      </w:r>
      <w:r>
        <w:rPr>
          <w:rFonts w:ascii="Arial" w:eastAsia="宋体" w:hAnsi="Arial" w:cs="Arial"/>
          <w:color w:val="000000"/>
          <w:sz w:val="14"/>
          <w:szCs w:val="14"/>
        </w:rPr>
        <w:t>participations to independent third parties.</w:t>
      </w:r>
    </w:p>
    <w:p w14:paraId="74DE011F" w14:textId="77777777" w:rsidR="00584EC1" w:rsidRDefault="00871F8D">
      <w:pPr>
        <w:spacing w:before="60"/>
        <w:ind w:firstLine="450"/>
        <w:jc w:val="both"/>
        <w:textAlignment w:val="top"/>
      </w:pPr>
      <w:r>
        <w:rPr>
          <w:rFonts w:ascii="Arial" w:eastAsia="宋体" w:hAnsi="Arial" w:cs="Arial"/>
          <w:color w:val="000000"/>
          <w:sz w:val="20"/>
          <w:szCs w:val="20"/>
        </w:rPr>
        <w:t>Approximately 73% of our unfunded commitments to extend credit expire within one year as of both September 30, 2021 and December 31, 2020.</w:t>
      </w:r>
    </w:p>
    <w:p w14:paraId="74DE0120" w14:textId="77777777" w:rsidR="00584EC1" w:rsidRDefault="00871F8D">
      <w:pPr>
        <w:spacing w:before="60"/>
        <w:jc w:val="both"/>
        <w:textAlignment w:val="top"/>
      </w:pPr>
      <w:r>
        <w:rPr>
          <w:rFonts w:ascii="Arial" w:eastAsia="宋体" w:hAnsi="Arial" w:cs="Arial"/>
          <w:i/>
          <w:iCs/>
          <w:color w:val="000000"/>
          <w:sz w:val="20"/>
          <w:szCs w:val="20"/>
        </w:rPr>
        <w:t>Indemnified Securities Financing</w:t>
      </w:r>
    </w:p>
    <w:p w14:paraId="74DE0121" w14:textId="77777777" w:rsidR="00584EC1" w:rsidRDefault="00871F8D">
      <w:pPr>
        <w:spacing w:before="60"/>
        <w:ind w:firstLine="450"/>
        <w:jc w:val="both"/>
        <w:textAlignment w:val="top"/>
      </w:pPr>
      <w:r>
        <w:rPr>
          <w:rFonts w:ascii="Arial" w:eastAsia="宋体" w:hAnsi="Arial" w:cs="Arial"/>
          <w:color w:val="000000"/>
          <w:sz w:val="20"/>
          <w:szCs w:val="20"/>
        </w:rPr>
        <w:t xml:space="preserve">For additional information on our </w:t>
      </w:r>
      <w:r>
        <w:rPr>
          <w:rFonts w:ascii="Arial" w:eastAsia="宋体" w:hAnsi="Arial" w:cs="Arial"/>
          <w:color w:val="000000"/>
          <w:sz w:val="20"/>
          <w:szCs w:val="20"/>
        </w:rPr>
        <w:t>indemnified securities financing, refer to page 166 in Note 12 to the consolidated financial statements included under Item 8, Financial Statements and Supplementary Data, in our 2020 Form 10-K.</w:t>
      </w:r>
    </w:p>
    <w:p w14:paraId="74DE0122" w14:textId="77777777" w:rsidR="00584EC1" w:rsidRDefault="00871F8D">
      <w:pPr>
        <w:spacing w:before="60"/>
        <w:ind w:firstLine="450"/>
        <w:jc w:val="both"/>
        <w:textAlignment w:val="top"/>
      </w:pPr>
      <w:r>
        <w:rPr>
          <w:rFonts w:ascii="Arial" w:eastAsia="宋体" w:hAnsi="Arial" w:cs="Arial"/>
          <w:color w:val="000000"/>
          <w:sz w:val="20"/>
          <w:szCs w:val="20"/>
        </w:rPr>
        <w:t>The following table summarizes the aggregate fair values of i</w:t>
      </w:r>
      <w:r>
        <w:rPr>
          <w:rFonts w:ascii="Arial" w:eastAsia="宋体" w:hAnsi="Arial" w:cs="Arial"/>
          <w:color w:val="000000"/>
          <w:sz w:val="20"/>
          <w:szCs w:val="20"/>
        </w:rPr>
        <w:t>ndemnified securities financing and related collateral, as well as collateral invested in indemnified repurchase agreements, as of the dates indicated:</w:t>
      </w:r>
    </w:p>
    <w:tbl>
      <w:tblPr>
        <w:tblW w:w="4906" w:type="pct"/>
        <w:tblCellMar>
          <w:top w:w="15" w:type="dxa"/>
          <w:left w:w="15" w:type="dxa"/>
          <w:bottom w:w="15" w:type="dxa"/>
          <w:right w:w="15" w:type="dxa"/>
        </w:tblCellMar>
        <w:tblLook w:val="04A0" w:firstRow="1" w:lastRow="0" w:firstColumn="1" w:lastColumn="0" w:noHBand="0" w:noVBand="1"/>
      </w:tblPr>
      <w:tblGrid>
        <w:gridCol w:w="47"/>
        <w:gridCol w:w="3727"/>
        <w:gridCol w:w="37"/>
        <w:gridCol w:w="99"/>
        <w:gridCol w:w="1972"/>
        <w:gridCol w:w="36"/>
        <w:gridCol w:w="36"/>
        <w:gridCol w:w="81"/>
        <w:gridCol w:w="36"/>
        <w:gridCol w:w="99"/>
        <w:gridCol w:w="1973"/>
        <w:gridCol w:w="36"/>
      </w:tblGrid>
      <w:tr w:rsidR="00584EC1" w14:paraId="74DE012F" w14:textId="77777777">
        <w:tc>
          <w:tcPr>
            <w:tcW w:w="50" w:type="pct"/>
            <w:shd w:val="clear" w:color="auto" w:fill="auto"/>
            <w:vAlign w:val="bottom"/>
          </w:tcPr>
          <w:p w14:paraId="74DE0123" w14:textId="77777777" w:rsidR="00584EC1" w:rsidRDefault="00584EC1">
            <w:pPr>
              <w:rPr>
                <w:rFonts w:ascii="宋体"/>
              </w:rPr>
            </w:pPr>
          </w:p>
        </w:tc>
        <w:tc>
          <w:tcPr>
            <w:tcW w:w="2300" w:type="pct"/>
            <w:shd w:val="clear" w:color="auto" w:fill="auto"/>
            <w:vAlign w:val="bottom"/>
          </w:tcPr>
          <w:p w14:paraId="74DE0124" w14:textId="77777777" w:rsidR="00584EC1" w:rsidRDefault="00584EC1">
            <w:pPr>
              <w:rPr>
                <w:rFonts w:ascii="宋体"/>
              </w:rPr>
            </w:pPr>
          </w:p>
        </w:tc>
        <w:tc>
          <w:tcPr>
            <w:tcW w:w="5" w:type="pct"/>
            <w:shd w:val="clear" w:color="auto" w:fill="auto"/>
            <w:vAlign w:val="bottom"/>
          </w:tcPr>
          <w:p w14:paraId="74DE0125" w14:textId="77777777" w:rsidR="00584EC1" w:rsidRDefault="00584EC1">
            <w:pPr>
              <w:rPr>
                <w:rFonts w:ascii="宋体"/>
              </w:rPr>
            </w:pPr>
          </w:p>
        </w:tc>
        <w:tc>
          <w:tcPr>
            <w:tcW w:w="50" w:type="pct"/>
            <w:shd w:val="clear" w:color="auto" w:fill="auto"/>
            <w:vAlign w:val="bottom"/>
          </w:tcPr>
          <w:p w14:paraId="74DE0126" w14:textId="77777777" w:rsidR="00584EC1" w:rsidRDefault="00584EC1">
            <w:pPr>
              <w:rPr>
                <w:rFonts w:ascii="宋体"/>
              </w:rPr>
            </w:pPr>
          </w:p>
        </w:tc>
        <w:tc>
          <w:tcPr>
            <w:tcW w:w="1227" w:type="pct"/>
            <w:shd w:val="clear" w:color="auto" w:fill="auto"/>
            <w:vAlign w:val="bottom"/>
          </w:tcPr>
          <w:p w14:paraId="74DE0127" w14:textId="77777777" w:rsidR="00584EC1" w:rsidRDefault="00584EC1">
            <w:pPr>
              <w:rPr>
                <w:rFonts w:ascii="宋体"/>
              </w:rPr>
            </w:pPr>
          </w:p>
        </w:tc>
        <w:tc>
          <w:tcPr>
            <w:tcW w:w="5" w:type="pct"/>
            <w:shd w:val="clear" w:color="auto" w:fill="auto"/>
            <w:vAlign w:val="bottom"/>
          </w:tcPr>
          <w:p w14:paraId="74DE0128" w14:textId="77777777" w:rsidR="00584EC1" w:rsidRDefault="00584EC1">
            <w:pPr>
              <w:rPr>
                <w:rFonts w:ascii="宋体"/>
              </w:rPr>
            </w:pPr>
          </w:p>
        </w:tc>
        <w:tc>
          <w:tcPr>
            <w:tcW w:w="5" w:type="pct"/>
            <w:shd w:val="clear" w:color="auto" w:fill="auto"/>
            <w:vAlign w:val="bottom"/>
          </w:tcPr>
          <w:p w14:paraId="74DE0129" w14:textId="77777777" w:rsidR="00584EC1" w:rsidRDefault="00584EC1">
            <w:pPr>
              <w:rPr>
                <w:rFonts w:ascii="宋体"/>
              </w:rPr>
            </w:pPr>
          </w:p>
        </w:tc>
        <w:tc>
          <w:tcPr>
            <w:tcW w:w="70" w:type="pct"/>
            <w:shd w:val="clear" w:color="auto" w:fill="auto"/>
            <w:vAlign w:val="bottom"/>
          </w:tcPr>
          <w:p w14:paraId="74DE012A" w14:textId="77777777" w:rsidR="00584EC1" w:rsidRDefault="00584EC1">
            <w:pPr>
              <w:rPr>
                <w:rFonts w:ascii="宋体"/>
              </w:rPr>
            </w:pPr>
          </w:p>
        </w:tc>
        <w:tc>
          <w:tcPr>
            <w:tcW w:w="5" w:type="pct"/>
            <w:shd w:val="clear" w:color="auto" w:fill="auto"/>
            <w:vAlign w:val="bottom"/>
          </w:tcPr>
          <w:p w14:paraId="74DE012B" w14:textId="77777777" w:rsidR="00584EC1" w:rsidRDefault="00584EC1">
            <w:pPr>
              <w:rPr>
                <w:rFonts w:ascii="宋体"/>
              </w:rPr>
            </w:pPr>
          </w:p>
        </w:tc>
        <w:tc>
          <w:tcPr>
            <w:tcW w:w="50" w:type="pct"/>
            <w:shd w:val="clear" w:color="auto" w:fill="auto"/>
            <w:vAlign w:val="bottom"/>
          </w:tcPr>
          <w:p w14:paraId="74DE012C" w14:textId="77777777" w:rsidR="00584EC1" w:rsidRDefault="00584EC1">
            <w:pPr>
              <w:rPr>
                <w:rFonts w:ascii="宋体"/>
              </w:rPr>
            </w:pPr>
          </w:p>
        </w:tc>
        <w:tc>
          <w:tcPr>
            <w:tcW w:w="1227" w:type="pct"/>
            <w:shd w:val="clear" w:color="auto" w:fill="auto"/>
            <w:vAlign w:val="bottom"/>
          </w:tcPr>
          <w:p w14:paraId="74DE012D" w14:textId="77777777" w:rsidR="00584EC1" w:rsidRDefault="00584EC1">
            <w:pPr>
              <w:rPr>
                <w:rFonts w:ascii="宋体"/>
              </w:rPr>
            </w:pPr>
          </w:p>
        </w:tc>
        <w:tc>
          <w:tcPr>
            <w:tcW w:w="5" w:type="pct"/>
            <w:shd w:val="clear" w:color="auto" w:fill="auto"/>
            <w:vAlign w:val="bottom"/>
          </w:tcPr>
          <w:p w14:paraId="74DE012E" w14:textId="77777777" w:rsidR="00584EC1" w:rsidRDefault="00584EC1">
            <w:pPr>
              <w:rPr>
                <w:rFonts w:ascii="宋体"/>
              </w:rPr>
            </w:pPr>
          </w:p>
        </w:tc>
      </w:tr>
      <w:tr w:rsidR="00584EC1" w14:paraId="74DE0134" w14:textId="77777777">
        <w:tc>
          <w:tcPr>
            <w:tcW w:w="0" w:type="auto"/>
            <w:gridSpan w:val="3"/>
            <w:shd w:val="clear" w:color="auto" w:fill="auto"/>
            <w:tcMar>
              <w:top w:w="40" w:type="dxa"/>
              <w:left w:w="20" w:type="dxa"/>
              <w:bottom w:w="40" w:type="dxa"/>
              <w:right w:w="20" w:type="dxa"/>
            </w:tcMar>
            <w:vAlign w:val="bottom"/>
          </w:tcPr>
          <w:p w14:paraId="74DE0130" w14:textId="77777777" w:rsidR="00584EC1" w:rsidRDefault="00871F8D">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74DE0131" w14:textId="77777777" w:rsidR="00584EC1" w:rsidRDefault="00871F8D">
            <w:pPr>
              <w:jc w:val="center"/>
              <w:textAlignment w:val="bottom"/>
            </w:pPr>
            <w:r>
              <w:rPr>
                <w:rFonts w:ascii="Arial" w:eastAsia="宋体" w:hAnsi="Arial" w:cs="Arial"/>
                <w:b/>
                <w:bCs/>
                <w:color w:val="000000"/>
                <w:sz w:val="14"/>
                <w:szCs w:val="14"/>
              </w:rPr>
              <w:t>September 30, 2021</w:t>
            </w:r>
          </w:p>
        </w:tc>
        <w:tc>
          <w:tcPr>
            <w:tcW w:w="0" w:type="auto"/>
            <w:gridSpan w:val="3"/>
            <w:shd w:val="clear" w:color="auto" w:fill="auto"/>
            <w:tcMar>
              <w:top w:w="0" w:type="dxa"/>
              <w:left w:w="20" w:type="dxa"/>
              <w:bottom w:w="0" w:type="dxa"/>
              <w:right w:w="20" w:type="dxa"/>
            </w:tcMar>
            <w:vAlign w:val="bottom"/>
          </w:tcPr>
          <w:p w14:paraId="74DE0132"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E0133" w14:textId="77777777" w:rsidR="00584EC1" w:rsidRDefault="00871F8D">
            <w:pPr>
              <w:jc w:val="center"/>
              <w:textAlignment w:val="bottom"/>
            </w:pPr>
            <w:r>
              <w:rPr>
                <w:rFonts w:ascii="Arial" w:eastAsia="宋体" w:hAnsi="Arial" w:cs="Arial"/>
                <w:b/>
                <w:bCs/>
                <w:color w:val="000000"/>
                <w:sz w:val="14"/>
                <w:szCs w:val="14"/>
              </w:rPr>
              <w:t>December 31, 2020</w:t>
            </w:r>
          </w:p>
        </w:tc>
      </w:tr>
      <w:tr w:rsidR="00584EC1" w14:paraId="74DE013D" w14:textId="77777777">
        <w:tc>
          <w:tcPr>
            <w:tcW w:w="0" w:type="auto"/>
            <w:gridSpan w:val="3"/>
            <w:shd w:val="clear" w:color="auto" w:fill="CCEEFF"/>
            <w:tcMar>
              <w:top w:w="40" w:type="dxa"/>
              <w:left w:w="20" w:type="dxa"/>
              <w:bottom w:w="40" w:type="dxa"/>
              <w:right w:w="20" w:type="dxa"/>
            </w:tcMar>
            <w:vAlign w:val="bottom"/>
          </w:tcPr>
          <w:p w14:paraId="74DE0135" w14:textId="77777777" w:rsidR="00584EC1" w:rsidRDefault="00871F8D">
            <w:pPr>
              <w:textAlignment w:val="bottom"/>
            </w:pPr>
            <w:r>
              <w:rPr>
                <w:rFonts w:ascii="Arial" w:eastAsia="宋体" w:hAnsi="Arial" w:cs="Arial"/>
                <w:color w:val="000000"/>
                <w:sz w:val="14"/>
                <w:szCs w:val="14"/>
              </w:rPr>
              <w:t xml:space="preserve">Fair value of indemnified </w:t>
            </w:r>
            <w:r>
              <w:rPr>
                <w:rFonts w:ascii="Arial" w:eastAsia="宋体" w:hAnsi="Arial" w:cs="Arial"/>
                <w:color w:val="000000"/>
                <w:sz w:val="14"/>
                <w:szCs w:val="14"/>
              </w:rPr>
              <w:t>securities financing</w:t>
            </w:r>
          </w:p>
        </w:tc>
        <w:tc>
          <w:tcPr>
            <w:tcW w:w="0" w:type="auto"/>
            <w:tcBorders>
              <w:top w:val="single" w:sz="8" w:space="0" w:color="000000"/>
            </w:tcBorders>
            <w:shd w:val="clear" w:color="auto" w:fill="CCEEFF"/>
            <w:tcMar>
              <w:top w:w="40" w:type="dxa"/>
              <w:left w:w="20" w:type="dxa"/>
              <w:bottom w:w="40" w:type="dxa"/>
              <w:right w:w="0" w:type="dxa"/>
            </w:tcMar>
            <w:vAlign w:val="bottom"/>
          </w:tcPr>
          <w:p w14:paraId="74DE0136"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0137" w14:textId="77777777" w:rsidR="00584EC1" w:rsidRDefault="00871F8D">
            <w:pPr>
              <w:jc w:val="right"/>
              <w:textAlignment w:val="bottom"/>
            </w:pPr>
            <w:r>
              <w:rPr>
                <w:rFonts w:ascii="Arial" w:eastAsia="宋体" w:hAnsi="Arial" w:cs="Arial"/>
                <w:b/>
                <w:bCs/>
                <w:color w:val="000000"/>
                <w:sz w:val="14"/>
                <w:szCs w:val="14"/>
              </w:rPr>
              <w:t>402,369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13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139"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013A"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013B" w14:textId="77777777" w:rsidR="00584EC1" w:rsidRDefault="00871F8D">
            <w:pPr>
              <w:jc w:val="right"/>
              <w:textAlignment w:val="bottom"/>
            </w:pPr>
            <w:r>
              <w:rPr>
                <w:rFonts w:ascii="Arial" w:eastAsia="宋体" w:hAnsi="Arial" w:cs="Arial"/>
                <w:color w:val="000000"/>
                <w:sz w:val="14"/>
                <w:szCs w:val="14"/>
              </w:rPr>
              <w:t>440,875 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13C" w14:textId="77777777" w:rsidR="00584EC1" w:rsidRDefault="00584EC1">
            <w:pPr>
              <w:jc w:val="right"/>
              <w:rPr>
                <w:rFonts w:ascii="宋体"/>
              </w:rPr>
            </w:pPr>
          </w:p>
        </w:tc>
      </w:tr>
      <w:tr w:rsidR="00584EC1" w14:paraId="74DE0144" w14:textId="77777777">
        <w:tc>
          <w:tcPr>
            <w:tcW w:w="0" w:type="auto"/>
            <w:gridSpan w:val="3"/>
            <w:shd w:val="clear" w:color="auto" w:fill="FFFFFF"/>
            <w:tcMar>
              <w:top w:w="40" w:type="dxa"/>
              <w:left w:w="20" w:type="dxa"/>
              <w:bottom w:w="40" w:type="dxa"/>
              <w:right w:w="20" w:type="dxa"/>
            </w:tcMar>
            <w:vAlign w:val="bottom"/>
          </w:tcPr>
          <w:p w14:paraId="74DE013E" w14:textId="77777777" w:rsidR="00584EC1" w:rsidRDefault="00871F8D">
            <w:pPr>
              <w:textAlignment w:val="bottom"/>
            </w:pPr>
            <w:r>
              <w:rPr>
                <w:rFonts w:ascii="Arial" w:eastAsia="宋体" w:hAnsi="Arial" w:cs="Arial"/>
                <w:color w:val="000000"/>
                <w:sz w:val="14"/>
                <w:szCs w:val="14"/>
              </w:rPr>
              <w:t>Fair value of cash and securities held by us, as agent, as collateral for indemnified securities financing</w:t>
            </w:r>
          </w:p>
        </w:tc>
        <w:tc>
          <w:tcPr>
            <w:tcW w:w="0" w:type="auto"/>
            <w:gridSpan w:val="2"/>
            <w:shd w:val="clear" w:color="auto" w:fill="auto"/>
            <w:tcMar>
              <w:top w:w="40" w:type="dxa"/>
              <w:left w:w="20" w:type="dxa"/>
              <w:bottom w:w="40" w:type="dxa"/>
              <w:right w:w="0" w:type="dxa"/>
            </w:tcMar>
            <w:vAlign w:val="bottom"/>
          </w:tcPr>
          <w:p w14:paraId="74DE013F" w14:textId="77777777" w:rsidR="00584EC1" w:rsidRDefault="00871F8D">
            <w:pPr>
              <w:jc w:val="right"/>
              <w:textAlignment w:val="bottom"/>
            </w:pPr>
            <w:r>
              <w:rPr>
                <w:rFonts w:ascii="Arial" w:eastAsia="宋体" w:hAnsi="Arial" w:cs="Arial"/>
                <w:b/>
                <w:bCs/>
                <w:color w:val="000000"/>
                <w:sz w:val="14"/>
                <w:szCs w:val="14"/>
              </w:rPr>
              <w:t>422,882</w:t>
            </w:r>
            <w:r>
              <w:rPr>
                <w:rFonts w:ascii="Arial" w:eastAsia="宋体" w:hAnsi="Arial" w:cs="Arial"/>
                <w:color w:val="000000"/>
                <w:sz w:val="14"/>
                <w:szCs w:val="14"/>
              </w:rPr>
              <w:t> </w:t>
            </w:r>
          </w:p>
        </w:tc>
        <w:tc>
          <w:tcPr>
            <w:tcW w:w="0" w:type="auto"/>
            <w:shd w:val="clear" w:color="auto" w:fill="auto"/>
            <w:tcMar>
              <w:top w:w="40" w:type="dxa"/>
              <w:left w:w="0" w:type="dxa"/>
              <w:bottom w:w="40" w:type="dxa"/>
              <w:right w:w="20" w:type="dxa"/>
            </w:tcMar>
            <w:vAlign w:val="bottom"/>
          </w:tcPr>
          <w:p w14:paraId="74DE014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14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142" w14:textId="77777777" w:rsidR="00584EC1" w:rsidRDefault="00871F8D">
            <w:pPr>
              <w:jc w:val="right"/>
              <w:textAlignment w:val="bottom"/>
            </w:pPr>
            <w:r>
              <w:rPr>
                <w:rFonts w:ascii="Arial" w:eastAsia="宋体" w:hAnsi="Arial" w:cs="Arial"/>
                <w:color w:val="000000"/>
                <w:sz w:val="14"/>
                <w:szCs w:val="14"/>
              </w:rPr>
              <w:t>463,273 </w:t>
            </w:r>
          </w:p>
        </w:tc>
        <w:tc>
          <w:tcPr>
            <w:tcW w:w="0" w:type="auto"/>
            <w:shd w:val="clear" w:color="auto" w:fill="FFFFFF"/>
            <w:tcMar>
              <w:top w:w="40" w:type="dxa"/>
              <w:left w:w="0" w:type="dxa"/>
              <w:bottom w:w="40" w:type="dxa"/>
              <w:right w:w="20" w:type="dxa"/>
            </w:tcMar>
            <w:vAlign w:val="bottom"/>
          </w:tcPr>
          <w:p w14:paraId="74DE0143" w14:textId="77777777" w:rsidR="00584EC1" w:rsidRDefault="00584EC1">
            <w:pPr>
              <w:jc w:val="right"/>
              <w:rPr>
                <w:rFonts w:ascii="宋体"/>
              </w:rPr>
            </w:pPr>
          </w:p>
        </w:tc>
      </w:tr>
      <w:tr w:rsidR="00584EC1" w14:paraId="74DE014B" w14:textId="77777777">
        <w:tc>
          <w:tcPr>
            <w:tcW w:w="0" w:type="auto"/>
            <w:gridSpan w:val="3"/>
            <w:shd w:val="clear" w:color="auto" w:fill="CCEEFF"/>
            <w:tcMar>
              <w:top w:w="40" w:type="dxa"/>
              <w:left w:w="20" w:type="dxa"/>
              <w:bottom w:w="40" w:type="dxa"/>
              <w:right w:w="20" w:type="dxa"/>
            </w:tcMar>
            <w:vAlign w:val="bottom"/>
          </w:tcPr>
          <w:p w14:paraId="74DE0145" w14:textId="77777777" w:rsidR="00584EC1" w:rsidRDefault="00871F8D">
            <w:pPr>
              <w:textAlignment w:val="bottom"/>
            </w:pPr>
            <w:r>
              <w:rPr>
                <w:rFonts w:ascii="Arial" w:eastAsia="宋体" w:hAnsi="Arial" w:cs="Arial"/>
                <w:color w:val="000000"/>
                <w:sz w:val="14"/>
                <w:szCs w:val="14"/>
              </w:rPr>
              <w:t xml:space="preserve">Fair value of collateral for indemnified securities financing invested in </w:t>
            </w:r>
            <w:r>
              <w:rPr>
                <w:rFonts w:ascii="Arial" w:eastAsia="宋体" w:hAnsi="Arial" w:cs="Arial"/>
                <w:color w:val="000000"/>
                <w:sz w:val="14"/>
                <w:szCs w:val="14"/>
              </w:rPr>
              <w:t>indemnified repurchase agreements</w:t>
            </w:r>
          </w:p>
        </w:tc>
        <w:tc>
          <w:tcPr>
            <w:tcW w:w="0" w:type="auto"/>
            <w:gridSpan w:val="2"/>
            <w:shd w:val="clear" w:color="auto" w:fill="CCEEFF"/>
            <w:tcMar>
              <w:top w:w="40" w:type="dxa"/>
              <w:left w:w="20" w:type="dxa"/>
              <w:bottom w:w="40" w:type="dxa"/>
              <w:right w:w="0" w:type="dxa"/>
            </w:tcMar>
            <w:vAlign w:val="bottom"/>
          </w:tcPr>
          <w:p w14:paraId="74DE0146" w14:textId="77777777" w:rsidR="00584EC1" w:rsidRDefault="00871F8D">
            <w:pPr>
              <w:jc w:val="right"/>
              <w:textAlignment w:val="bottom"/>
            </w:pPr>
            <w:r>
              <w:rPr>
                <w:rFonts w:ascii="Arial" w:eastAsia="宋体" w:hAnsi="Arial" w:cs="Arial"/>
                <w:b/>
                <w:bCs/>
                <w:color w:val="000000"/>
                <w:sz w:val="14"/>
                <w:szCs w:val="14"/>
              </w:rPr>
              <w:t>67,833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E014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148"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149" w14:textId="77777777" w:rsidR="00584EC1" w:rsidRDefault="00871F8D">
            <w:pPr>
              <w:jc w:val="right"/>
              <w:textAlignment w:val="bottom"/>
            </w:pPr>
            <w:r>
              <w:rPr>
                <w:rFonts w:ascii="Arial" w:eastAsia="宋体" w:hAnsi="Arial" w:cs="Arial"/>
                <w:color w:val="000000"/>
                <w:sz w:val="14"/>
                <w:szCs w:val="14"/>
              </w:rPr>
              <w:t>54,432 </w:t>
            </w:r>
          </w:p>
        </w:tc>
        <w:tc>
          <w:tcPr>
            <w:tcW w:w="0" w:type="auto"/>
            <w:shd w:val="clear" w:color="auto" w:fill="CCEEFF"/>
            <w:tcMar>
              <w:top w:w="40" w:type="dxa"/>
              <w:left w:w="0" w:type="dxa"/>
              <w:bottom w:w="40" w:type="dxa"/>
              <w:right w:w="20" w:type="dxa"/>
            </w:tcMar>
            <w:vAlign w:val="bottom"/>
          </w:tcPr>
          <w:p w14:paraId="74DE014A" w14:textId="77777777" w:rsidR="00584EC1" w:rsidRDefault="00584EC1">
            <w:pPr>
              <w:jc w:val="right"/>
              <w:rPr>
                <w:rFonts w:ascii="宋体"/>
              </w:rPr>
            </w:pPr>
          </w:p>
        </w:tc>
      </w:tr>
      <w:tr w:rsidR="00584EC1" w14:paraId="74DE0152" w14:textId="77777777">
        <w:tc>
          <w:tcPr>
            <w:tcW w:w="0" w:type="auto"/>
            <w:gridSpan w:val="3"/>
            <w:shd w:val="clear" w:color="auto" w:fill="FFFFFF"/>
            <w:tcMar>
              <w:top w:w="40" w:type="dxa"/>
              <w:left w:w="20" w:type="dxa"/>
              <w:bottom w:w="40" w:type="dxa"/>
              <w:right w:w="20" w:type="dxa"/>
            </w:tcMar>
            <w:vAlign w:val="bottom"/>
          </w:tcPr>
          <w:p w14:paraId="74DE014C" w14:textId="77777777" w:rsidR="00584EC1" w:rsidRDefault="00871F8D">
            <w:pPr>
              <w:textAlignment w:val="bottom"/>
            </w:pPr>
            <w:r>
              <w:rPr>
                <w:rFonts w:ascii="Arial" w:eastAsia="宋体" w:hAnsi="Arial" w:cs="Arial"/>
                <w:color w:val="000000"/>
                <w:sz w:val="14"/>
                <w:szCs w:val="14"/>
              </w:rPr>
              <w:t>Fair value of cash and securities held by us or our agents as collateral for investments in indemnified repurchase agreements</w:t>
            </w:r>
          </w:p>
        </w:tc>
        <w:tc>
          <w:tcPr>
            <w:tcW w:w="0" w:type="auto"/>
            <w:gridSpan w:val="2"/>
            <w:shd w:val="clear" w:color="auto" w:fill="auto"/>
            <w:tcMar>
              <w:top w:w="40" w:type="dxa"/>
              <w:left w:w="20" w:type="dxa"/>
              <w:bottom w:w="40" w:type="dxa"/>
              <w:right w:w="0" w:type="dxa"/>
            </w:tcMar>
            <w:vAlign w:val="bottom"/>
          </w:tcPr>
          <w:p w14:paraId="74DE014D" w14:textId="77777777" w:rsidR="00584EC1" w:rsidRDefault="00871F8D">
            <w:pPr>
              <w:jc w:val="right"/>
              <w:textAlignment w:val="bottom"/>
            </w:pPr>
            <w:r>
              <w:rPr>
                <w:rFonts w:ascii="Arial" w:eastAsia="宋体" w:hAnsi="Arial" w:cs="Arial"/>
                <w:b/>
                <w:bCs/>
                <w:color w:val="000000"/>
                <w:sz w:val="14"/>
                <w:szCs w:val="14"/>
              </w:rPr>
              <w:t>73,176</w:t>
            </w:r>
            <w:r>
              <w:rPr>
                <w:rFonts w:ascii="Arial" w:eastAsia="宋体" w:hAnsi="Arial" w:cs="Arial"/>
                <w:color w:val="000000"/>
                <w:sz w:val="14"/>
                <w:szCs w:val="14"/>
              </w:rPr>
              <w:t> </w:t>
            </w:r>
          </w:p>
        </w:tc>
        <w:tc>
          <w:tcPr>
            <w:tcW w:w="0" w:type="auto"/>
            <w:shd w:val="clear" w:color="auto" w:fill="auto"/>
            <w:tcMar>
              <w:top w:w="40" w:type="dxa"/>
              <w:left w:w="0" w:type="dxa"/>
              <w:bottom w:w="40" w:type="dxa"/>
              <w:right w:w="20" w:type="dxa"/>
            </w:tcMar>
            <w:vAlign w:val="bottom"/>
          </w:tcPr>
          <w:p w14:paraId="74DE014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14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150" w14:textId="77777777" w:rsidR="00584EC1" w:rsidRDefault="00871F8D">
            <w:pPr>
              <w:jc w:val="right"/>
              <w:textAlignment w:val="bottom"/>
            </w:pPr>
            <w:r>
              <w:rPr>
                <w:rFonts w:ascii="Arial" w:eastAsia="宋体" w:hAnsi="Arial" w:cs="Arial"/>
                <w:color w:val="000000"/>
                <w:sz w:val="14"/>
                <w:szCs w:val="14"/>
              </w:rPr>
              <w:t>58,092 </w:t>
            </w:r>
          </w:p>
        </w:tc>
        <w:tc>
          <w:tcPr>
            <w:tcW w:w="0" w:type="auto"/>
            <w:shd w:val="clear" w:color="auto" w:fill="FFFFFF"/>
            <w:tcMar>
              <w:top w:w="40" w:type="dxa"/>
              <w:left w:w="0" w:type="dxa"/>
              <w:bottom w:w="40" w:type="dxa"/>
              <w:right w:w="20" w:type="dxa"/>
            </w:tcMar>
            <w:vAlign w:val="bottom"/>
          </w:tcPr>
          <w:p w14:paraId="74DE0151" w14:textId="77777777" w:rsidR="00584EC1" w:rsidRDefault="00584EC1">
            <w:pPr>
              <w:jc w:val="right"/>
              <w:rPr>
                <w:rFonts w:ascii="宋体"/>
              </w:rPr>
            </w:pPr>
          </w:p>
        </w:tc>
      </w:tr>
    </w:tbl>
    <w:p w14:paraId="74DE0153" w14:textId="77777777" w:rsidR="00584EC1" w:rsidRDefault="00871F8D">
      <w:pPr>
        <w:spacing w:before="60"/>
        <w:ind w:firstLine="450"/>
        <w:jc w:val="both"/>
        <w:textAlignment w:val="top"/>
      </w:pPr>
      <w:r>
        <w:rPr>
          <w:rFonts w:ascii="Arial" w:eastAsia="宋体" w:hAnsi="Arial" w:cs="Arial"/>
          <w:color w:val="000000"/>
          <w:sz w:val="20"/>
          <w:szCs w:val="20"/>
        </w:rPr>
        <w:t>In certain cases, we participate in securities finance transactions as a principal. As a principal, we borrow securities from the lending client and then lend such securities to the subsequent borrower, either our client or a broker/dealer. Our right to re</w:t>
      </w:r>
      <w:r>
        <w:rPr>
          <w:rFonts w:ascii="Arial" w:eastAsia="宋体" w:hAnsi="Arial" w:cs="Arial"/>
          <w:color w:val="000000"/>
          <w:sz w:val="20"/>
          <w:szCs w:val="20"/>
        </w:rPr>
        <w:t xml:space="preserve">ceive and obligation to return collateral in connection with our securities lending transactions </w:t>
      </w:r>
    </w:p>
    <w:p w14:paraId="74DE0154" w14:textId="77777777" w:rsidR="00584EC1" w:rsidRDefault="00871F8D">
      <w:pPr>
        <w:spacing w:before="60"/>
        <w:jc w:val="both"/>
        <w:textAlignment w:val="top"/>
      </w:pPr>
      <w:r>
        <w:rPr>
          <w:rFonts w:ascii="Arial" w:eastAsia="宋体" w:hAnsi="Arial" w:cs="Arial"/>
          <w:color w:val="000000"/>
          <w:sz w:val="20"/>
          <w:szCs w:val="20"/>
        </w:rPr>
        <w:t xml:space="preserve">are recorded in other assets and other liabilities, respectively, in our consolidated statement of condition. As of September 30, 2021 and December 31, 2020, </w:t>
      </w:r>
      <w:r>
        <w:rPr>
          <w:rFonts w:ascii="Arial" w:eastAsia="宋体" w:hAnsi="Arial" w:cs="Arial"/>
          <w:color w:val="000000"/>
          <w:sz w:val="20"/>
          <w:szCs w:val="20"/>
        </w:rPr>
        <w:t>we had approximately $26.64 billion and $18.33 billion, respectively, of collateral provided and approximately $7.77 billion and $9.36 billion, respectively, of collateral received from clients in connection with our participation in principal securities f</w:t>
      </w:r>
      <w:r>
        <w:rPr>
          <w:rFonts w:ascii="Arial" w:eastAsia="宋体" w:hAnsi="Arial" w:cs="Arial"/>
          <w:color w:val="000000"/>
          <w:sz w:val="20"/>
          <w:szCs w:val="20"/>
        </w:rPr>
        <w:t>inance transactions.</w:t>
      </w:r>
    </w:p>
    <w:p w14:paraId="74DE0155" w14:textId="77777777" w:rsidR="00584EC1" w:rsidRDefault="00871F8D">
      <w:pPr>
        <w:spacing w:before="60"/>
        <w:jc w:val="both"/>
        <w:textAlignment w:val="top"/>
      </w:pPr>
      <w:r>
        <w:rPr>
          <w:rFonts w:ascii="Arial" w:eastAsia="宋体" w:hAnsi="Arial" w:cs="Arial"/>
          <w:i/>
          <w:iCs/>
          <w:color w:val="000000"/>
          <w:sz w:val="20"/>
          <w:szCs w:val="20"/>
        </w:rPr>
        <w:t>FICC Guarantee</w:t>
      </w:r>
    </w:p>
    <w:p w14:paraId="74DE0156" w14:textId="77777777" w:rsidR="00584EC1" w:rsidRDefault="00871F8D">
      <w:pPr>
        <w:spacing w:before="60"/>
        <w:ind w:firstLine="450"/>
        <w:jc w:val="both"/>
        <w:textAlignment w:val="top"/>
      </w:pPr>
      <w:r>
        <w:rPr>
          <w:rFonts w:ascii="Arial" w:eastAsia="宋体" w:hAnsi="Arial" w:cs="Arial"/>
          <w:color w:val="000000"/>
          <w:sz w:val="20"/>
          <w:szCs w:val="20"/>
        </w:rPr>
        <w:t>As a sponsoring member in the FICC member program, we provide a guarantee to FICC in the event a customer fails to perform its obligations under a transaction. In order to minimize the risk associated with this guarantee</w:t>
      </w:r>
      <w:r>
        <w:rPr>
          <w:rFonts w:ascii="Arial" w:eastAsia="宋体" w:hAnsi="Arial" w:cs="Arial"/>
          <w:color w:val="000000"/>
          <w:sz w:val="20"/>
          <w:szCs w:val="20"/>
        </w:rPr>
        <w:t>, sponsored members acting as buyers generally grant a security interest in the subject securities received under and held on their behalf by State Street. For additional information on our repurchase and reverse repurchase agreements, please refer to Note</w:t>
      </w:r>
      <w:r>
        <w:rPr>
          <w:rFonts w:ascii="Arial" w:eastAsia="宋体" w:hAnsi="Arial" w:cs="Arial"/>
          <w:color w:val="000000"/>
          <w:sz w:val="20"/>
          <w:szCs w:val="20"/>
        </w:rPr>
        <w:t xml:space="preserve"> 8 to the consolidated financial statements in this Form 10-Q.</w:t>
      </w:r>
    </w:p>
    <w:p w14:paraId="74DE0157" w14:textId="77777777" w:rsidR="00584EC1" w:rsidRDefault="00871F8D">
      <w:pPr>
        <w:spacing w:before="180"/>
        <w:textAlignment w:val="top"/>
      </w:pPr>
      <w:r>
        <w:rPr>
          <w:rFonts w:ascii="Arial" w:eastAsia="宋体" w:hAnsi="Arial" w:cs="Arial"/>
          <w:b/>
          <w:bCs/>
          <w:color w:val="000000"/>
          <w:sz w:val="20"/>
          <w:szCs w:val="20"/>
        </w:rPr>
        <w:t>Note 10.    Contingencies</w:t>
      </w:r>
    </w:p>
    <w:p w14:paraId="74DE0158" w14:textId="77777777" w:rsidR="00584EC1" w:rsidRDefault="00871F8D">
      <w:pPr>
        <w:spacing w:before="60"/>
        <w:textAlignment w:val="top"/>
      </w:pPr>
      <w:r>
        <w:rPr>
          <w:rFonts w:ascii="Arial" w:eastAsia="宋体" w:hAnsi="Arial" w:cs="Arial"/>
          <w:b/>
          <w:bCs/>
          <w:i/>
          <w:iCs/>
          <w:color w:val="000000"/>
          <w:sz w:val="20"/>
          <w:szCs w:val="20"/>
        </w:rPr>
        <w:t>Legal and Regulatory Matters</w:t>
      </w:r>
    </w:p>
    <w:p w14:paraId="74DE0159" w14:textId="77777777" w:rsidR="00584EC1" w:rsidRDefault="00871F8D">
      <w:pPr>
        <w:spacing w:before="60"/>
        <w:ind w:firstLine="450"/>
        <w:jc w:val="both"/>
        <w:textAlignment w:val="top"/>
      </w:pPr>
      <w:r>
        <w:rPr>
          <w:rFonts w:ascii="Arial" w:eastAsia="宋体" w:hAnsi="Arial" w:cs="Arial"/>
          <w:color w:val="000000"/>
          <w:sz w:val="20"/>
          <w:szCs w:val="20"/>
        </w:rPr>
        <w:t>In the ordinary course of business, we and our subsidiaries are involved in disputes, litigation, and governmental or regulatory inquiries and investigations, both pending and threatened. These matters, if resolved adversely against us or settled, may resu</w:t>
      </w:r>
      <w:r>
        <w:rPr>
          <w:rFonts w:ascii="Arial" w:eastAsia="宋体" w:hAnsi="Arial" w:cs="Arial"/>
          <w:color w:val="000000"/>
          <w:sz w:val="20"/>
          <w:szCs w:val="20"/>
        </w:rPr>
        <w:t xml:space="preserve">lt in monetary awards or payments, fines and penalties or require changes in our business practices. The resolution or settlement of these matters is inherently difficult to predict. Based on our assessment of these pending matters, we do not believe that </w:t>
      </w:r>
      <w:r>
        <w:rPr>
          <w:rFonts w:ascii="Arial" w:eastAsia="宋体" w:hAnsi="Arial" w:cs="Arial"/>
          <w:color w:val="000000"/>
          <w:sz w:val="20"/>
          <w:szCs w:val="20"/>
        </w:rPr>
        <w:t>the amount of any judgment, settlement or other action arising from any pending matter is likely to have a material adverse effect on our consolidated financial condition. However, an adverse outcome or development in certain of the matters described below</w:t>
      </w:r>
      <w:r>
        <w:rPr>
          <w:rFonts w:ascii="Arial" w:eastAsia="宋体" w:hAnsi="Arial" w:cs="Arial"/>
          <w:color w:val="000000"/>
          <w:sz w:val="20"/>
          <w:szCs w:val="20"/>
        </w:rPr>
        <w:t xml:space="preserve"> could have a material adverse effect on our consolidated results of operations for the period in which such matter is resolved, or an accrual is determined to be required, on our consolidated financial condition, or on our reputation. </w:t>
      </w:r>
    </w:p>
    <w:p w14:paraId="74DE015A" w14:textId="77777777" w:rsidR="00584EC1" w:rsidRDefault="00871F8D">
      <w:pPr>
        <w:spacing w:before="60"/>
        <w:ind w:firstLine="450"/>
        <w:jc w:val="both"/>
        <w:textAlignment w:val="top"/>
      </w:pPr>
      <w:r>
        <w:rPr>
          <w:rFonts w:ascii="Arial" w:eastAsia="宋体" w:hAnsi="Arial" w:cs="Arial"/>
          <w:color w:val="000000"/>
          <w:sz w:val="20"/>
          <w:szCs w:val="20"/>
        </w:rPr>
        <w:t>We evaluate our nee</w:t>
      </w:r>
      <w:r>
        <w:rPr>
          <w:rFonts w:ascii="Arial" w:eastAsia="宋体" w:hAnsi="Arial" w:cs="Arial"/>
          <w:color w:val="000000"/>
          <w:sz w:val="20"/>
          <w:szCs w:val="20"/>
        </w:rPr>
        <w:t>ds for accruals of loss contingencies related to legal and regulatory proceedings on a case-by-case basis. When we have a liability that we deem probable, and we deem the amount of such liability can be reasonably estimated as of the date of our consolidat</w:t>
      </w:r>
      <w:r>
        <w:rPr>
          <w:rFonts w:ascii="Arial" w:eastAsia="宋体" w:hAnsi="Arial" w:cs="Arial"/>
          <w:color w:val="000000"/>
          <w:sz w:val="20"/>
          <w:szCs w:val="20"/>
        </w:rPr>
        <w:t xml:space="preserve">ed financial statements, we accrue our estimate of the amount of loss. We also consider a loss probable and establish an accrual when we make, or intend to make, an offer of settlement. Once established, an accrual is subject to subsequent adjustment as a </w:t>
      </w:r>
      <w:r>
        <w:rPr>
          <w:rFonts w:ascii="Arial" w:eastAsia="宋体" w:hAnsi="Arial" w:cs="Arial"/>
          <w:color w:val="000000"/>
          <w:sz w:val="20"/>
          <w:szCs w:val="20"/>
        </w:rPr>
        <w:t xml:space="preserve">result of additional information. The resolution of legal and regulatory </w:t>
      </w:r>
    </w:p>
    <w:p w14:paraId="74DE015B" w14:textId="77777777" w:rsidR="00584EC1" w:rsidRDefault="00871F8D">
      <w:pPr>
        <w:ind w:firstLine="450"/>
        <w:jc w:val="right"/>
      </w:pPr>
      <w:r>
        <w:rPr>
          <w:rFonts w:ascii="Arial" w:eastAsia="宋体" w:hAnsi="Arial" w:cs="Arial"/>
          <w:color w:val="000000"/>
          <w:sz w:val="18"/>
          <w:szCs w:val="18"/>
        </w:rPr>
        <w:t>State Street Corporation | 83</w:t>
      </w:r>
    </w:p>
    <w:p w14:paraId="74DE015C" w14:textId="77777777" w:rsidR="00584EC1" w:rsidRDefault="00584EC1">
      <w:pPr>
        <w:ind w:firstLine="450"/>
        <w:jc w:val="center"/>
      </w:pPr>
    </w:p>
    <w:p w14:paraId="74DE015D" w14:textId="77777777" w:rsidR="00584EC1" w:rsidRDefault="00871F8D">
      <w:r>
        <w:pict w14:anchorId="74DE2A41">
          <v:rect id="_x0000_i1107" style="width:415.3pt;height:1.5pt" o:hralign="center" o:hrstd="t" o:hr="t" fillcolor="#a0a0a0" stroked="f"/>
        </w:pict>
      </w:r>
    </w:p>
    <w:p w14:paraId="74DE015E" w14:textId="77777777" w:rsidR="00584EC1" w:rsidRDefault="00871F8D">
      <w:pPr>
        <w:ind w:firstLine="450"/>
        <w:jc w:val="center"/>
      </w:pPr>
      <w:r>
        <w:rPr>
          <w:rFonts w:ascii="Arial" w:eastAsia="宋体" w:hAnsi="Arial" w:cs="Arial"/>
          <w:b/>
          <w:bCs/>
          <w:color w:val="000000"/>
          <w:sz w:val="20"/>
          <w:szCs w:val="20"/>
        </w:rPr>
        <w:t>STATE STREET CORPORATION</w:t>
      </w:r>
    </w:p>
    <w:p w14:paraId="74DE015F" w14:textId="77777777" w:rsidR="00584EC1" w:rsidRDefault="00871F8D">
      <w:pPr>
        <w:ind w:firstLine="450"/>
        <w:jc w:val="center"/>
      </w:pPr>
      <w:r>
        <w:rPr>
          <w:rFonts w:ascii="Arial" w:eastAsia="宋体" w:hAnsi="Arial" w:cs="Arial"/>
          <w:b/>
          <w:bCs/>
          <w:color w:val="000000"/>
          <w:sz w:val="20"/>
          <w:szCs w:val="20"/>
        </w:rPr>
        <w:t>CONDENSED NOTES TO CONSOLIDATED FINANCIAL STATEMENTS</w:t>
      </w:r>
    </w:p>
    <w:p w14:paraId="74DE0160" w14:textId="77777777" w:rsidR="00584EC1" w:rsidRDefault="00871F8D">
      <w:pPr>
        <w:ind w:firstLine="450"/>
        <w:jc w:val="center"/>
      </w:pPr>
      <w:r>
        <w:rPr>
          <w:rFonts w:ascii="Arial" w:eastAsia="宋体" w:hAnsi="Arial" w:cs="Arial"/>
          <w:b/>
          <w:bCs/>
          <w:color w:val="000000"/>
          <w:sz w:val="20"/>
          <w:szCs w:val="20"/>
        </w:rPr>
        <w:t>(UNAUDITED)</w:t>
      </w:r>
    </w:p>
    <w:p w14:paraId="74DE0161" w14:textId="77777777" w:rsidR="00584EC1" w:rsidRDefault="00871F8D">
      <w:pPr>
        <w:spacing w:before="60"/>
        <w:jc w:val="both"/>
        <w:textAlignment w:val="top"/>
      </w:pPr>
      <w:r>
        <w:rPr>
          <w:rFonts w:ascii="Arial" w:eastAsia="宋体" w:hAnsi="Arial" w:cs="Arial"/>
          <w:color w:val="000000"/>
          <w:sz w:val="20"/>
          <w:szCs w:val="20"/>
        </w:rPr>
        <w:t>proceedings and the amount of reasonably estimable loss (or</w:t>
      </w:r>
      <w:r>
        <w:rPr>
          <w:rFonts w:ascii="Arial" w:eastAsia="宋体" w:hAnsi="Arial" w:cs="Arial"/>
          <w:color w:val="000000"/>
          <w:sz w:val="20"/>
          <w:szCs w:val="20"/>
        </w:rPr>
        <w:t xml:space="preserve"> range thereof) are inherently difficult to predict, especially in the early stages of proceedings. Even if a loss is probable, an amount (or range) of loss might not be reasonably estimated until the later stages of the proceeding due to many factors such</w:t>
      </w:r>
      <w:r>
        <w:rPr>
          <w:rFonts w:ascii="Arial" w:eastAsia="宋体" w:hAnsi="Arial" w:cs="Arial"/>
          <w:color w:val="000000"/>
          <w:sz w:val="20"/>
          <w:szCs w:val="20"/>
        </w:rPr>
        <w:t xml:space="preserve"> as the presence of complex or novel legal theories, the discretion of governmental authorities in seeking sanctions or negotiating resolutions in civil and criminal matters, the pace and timing of discovery and other assessments of facts and the procedura</w:t>
      </w:r>
      <w:r>
        <w:rPr>
          <w:rFonts w:ascii="Arial" w:eastAsia="宋体" w:hAnsi="Arial" w:cs="Arial"/>
          <w:color w:val="000000"/>
          <w:sz w:val="20"/>
          <w:szCs w:val="20"/>
        </w:rPr>
        <w:t xml:space="preserve">l posture of the matter (collectively, "factors influencing reasonable estimates"). </w:t>
      </w:r>
    </w:p>
    <w:p w14:paraId="74DE0162" w14:textId="77777777" w:rsidR="00584EC1" w:rsidRDefault="00871F8D">
      <w:pPr>
        <w:spacing w:before="60"/>
        <w:ind w:firstLine="450"/>
        <w:jc w:val="both"/>
        <w:textAlignment w:val="top"/>
      </w:pPr>
      <w:r>
        <w:rPr>
          <w:rFonts w:ascii="Arial" w:eastAsia="宋体" w:hAnsi="Arial" w:cs="Arial"/>
          <w:color w:val="000000"/>
          <w:sz w:val="20"/>
          <w:szCs w:val="20"/>
        </w:rPr>
        <w:t>As of September 30, 2021, our aggregate accruals for loss contingencies for legal, regulatory and related matters totaled approximately $19 million, including potential fi</w:t>
      </w:r>
      <w:r>
        <w:rPr>
          <w:rFonts w:ascii="Arial" w:eastAsia="宋体" w:hAnsi="Arial" w:cs="Arial"/>
          <w:color w:val="000000"/>
          <w:sz w:val="20"/>
          <w:szCs w:val="20"/>
        </w:rPr>
        <w:t>nes by government agencies and civil litigation with respect to the matters specifically discussed below. To the extent that we have established accruals in our consolidated statement of condition for probable loss contingencies, such accruals may not be s</w:t>
      </w:r>
      <w:r>
        <w:rPr>
          <w:rFonts w:ascii="Arial" w:eastAsia="宋体" w:hAnsi="Arial" w:cs="Arial"/>
          <w:color w:val="000000"/>
          <w:sz w:val="20"/>
          <w:szCs w:val="20"/>
        </w:rPr>
        <w:t>ufficient to cover our ultimate financial exposure associated with any settlements or judgments. Any such ultimate financial exposure, or proceedings to which we may become subject in the future, could have a material adverse effect on our businesses, on o</w:t>
      </w:r>
      <w:r>
        <w:rPr>
          <w:rFonts w:ascii="Arial" w:eastAsia="宋体" w:hAnsi="Arial" w:cs="Arial"/>
          <w:color w:val="000000"/>
          <w:sz w:val="20"/>
          <w:szCs w:val="20"/>
        </w:rPr>
        <w:t xml:space="preserve">ur future consolidated financial statements or on our reputation. </w:t>
      </w:r>
    </w:p>
    <w:p w14:paraId="74DE0163" w14:textId="77777777" w:rsidR="00584EC1" w:rsidRDefault="00871F8D">
      <w:pPr>
        <w:spacing w:before="60"/>
        <w:ind w:firstLine="450"/>
        <w:jc w:val="both"/>
        <w:textAlignment w:val="top"/>
      </w:pPr>
      <w:r>
        <w:rPr>
          <w:rFonts w:ascii="Arial" w:eastAsia="宋体" w:hAnsi="Arial" w:cs="Arial"/>
          <w:color w:val="000000"/>
          <w:sz w:val="20"/>
          <w:szCs w:val="20"/>
        </w:rPr>
        <w:t>As of September 30, 2021, for those matters for which we have accrued probable loss contingencies (including the Invoicing Matter described below) and for other matters for which loss is re</w:t>
      </w:r>
      <w:r>
        <w:rPr>
          <w:rFonts w:ascii="Arial" w:eastAsia="宋体" w:hAnsi="Arial" w:cs="Arial"/>
          <w:color w:val="000000"/>
          <w:sz w:val="20"/>
          <w:szCs w:val="20"/>
        </w:rPr>
        <w:t>asonably possible (but not probable) in future periods, and for which we are able to estimate a range of reasonably possible loss, our estimate of the aggregate reasonably possible loss (in excess of any accrued amounts) ranges up to approximately $45 mill</w:t>
      </w:r>
      <w:r>
        <w:rPr>
          <w:rFonts w:ascii="Arial" w:eastAsia="宋体" w:hAnsi="Arial" w:cs="Arial"/>
          <w:color w:val="000000"/>
          <w:sz w:val="20"/>
          <w:szCs w:val="20"/>
        </w:rPr>
        <w:t>ion. Our estimate with respect to the aggregate reasonably possible loss is based upon currently available information and is subject to significant judgment and a variety of assumptions and known and unknown uncertainties, which may change quickly and sig</w:t>
      </w:r>
      <w:r>
        <w:rPr>
          <w:rFonts w:ascii="Arial" w:eastAsia="宋体" w:hAnsi="Arial" w:cs="Arial"/>
          <w:color w:val="000000"/>
          <w:sz w:val="20"/>
          <w:szCs w:val="20"/>
        </w:rPr>
        <w:t>nificantly from time to time, particularly if and as we engage with applicable governmental agencies or plaintiffs in connection with a proceeding. Also, the matters underlying the reasonably possible loss will change from time to time. As a result, actual</w:t>
      </w:r>
      <w:r>
        <w:rPr>
          <w:rFonts w:ascii="Arial" w:eastAsia="宋体" w:hAnsi="Arial" w:cs="Arial"/>
          <w:color w:val="000000"/>
          <w:sz w:val="20"/>
          <w:szCs w:val="20"/>
        </w:rPr>
        <w:t xml:space="preserve"> results may vary significantly from the current estimate.</w:t>
      </w:r>
    </w:p>
    <w:p w14:paraId="74DE0164" w14:textId="77777777" w:rsidR="00584EC1" w:rsidRDefault="00871F8D">
      <w:pPr>
        <w:spacing w:before="60"/>
        <w:ind w:firstLine="450"/>
        <w:jc w:val="both"/>
        <w:textAlignment w:val="top"/>
      </w:pPr>
      <w:r>
        <w:rPr>
          <w:rFonts w:ascii="Arial" w:eastAsia="宋体" w:hAnsi="Arial" w:cs="Arial"/>
          <w:color w:val="000000"/>
          <w:sz w:val="20"/>
          <w:szCs w:val="20"/>
        </w:rPr>
        <w:t>In certain pending matters, it is not currently feasible to reasonably estimate the amount or a range of reasonably possible loss, and such losses, which may be significant, are not included in the</w:t>
      </w:r>
      <w:r>
        <w:rPr>
          <w:rFonts w:ascii="Arial" w:eastAsia="宋体" w:hAnsi="Arial" w:cs="Arial"/>
          <w:color w:val="000000"/>
          <w:sz w:val="20"/>
          <w:szCs w:val="20"/>
        </w:rPr>
        <w:t xml:space="preserve"> estimate of reasonably possible loss discussed above. This is due to, among other factors, the factors influencing reasonable estimates described above. An adverse outcome in one or more of the matters for which we have not estimated the amount </w:t>
      </w:r>
    </w:p>
    <w:p w14:paraId="74DE0165" w14:textId="77777777" w:rsidR="00584EC1" w:rsidRDefault="00871F8D">
      <w:pPr>
        <w:spacing w:before="60"/>
        <w:jc w:val="both"/>
        <w:textAlignment w:val="top"/>
      </w:pPr>
      <w:r>
        <w:rPr>
          <w:rFonts w:ascii="Arial" w:eastAsia="宋体" w:hAnsi="Arial" w:cs="Arial"/>
          <w:color w:val="000000"/>
          <w:sz w:val="20"/>
          <w:szCs w:val="20"/>
        </w:rPr>
        <w:t>or a rang</w:t>
      </w:r>
      <w:r>
        <w:rPr>
          <w:rFonts w:ascii="Arial" w:eastAsia="宋体" w:hAnsi="Arial" w:cs="Arial"/>
          <w:color w:val="000000"/>
          <w:sz w:val="20"/>
          <w:szCs w:val="20"/>
        </w:rPr>
        <w:t>e of reasonably possible loss, individually or in the aggregate, could have a material adverse effect on our businesses, on our future consolidated financial statements or on our reputation. Given that our actual losses from any legal or regulatory proceed</w:t>
      </w:r>
      <w:r>
        <w:rPr>
          <w:rFonts w:ascii="Arial" w:eastAsia="宋体" w:hAnsi="Arial" w:cs="Arial"/>
          <w:color w:val="000000"/>
          <w:sz w:val="20"/>
          <w:szCs w:val="20"/>
        </w:rPr>
        <w:t>ing for which we have provided an estimate of the reasonably possible loss could significantly exceed such estimate, and given that we cannot estimate reasonably possible loss for all legal and regulatory proceedings as to which we may be subject now or in</w:t>
      </w:r>
      <w:r>
        <w:rPr>
          <w:rFonts w:ascii="Arial" w:eastAsia="宋体" w:hAnsi="Arial" w:cs="Arial"/>
          <w:color w:val="000000"/>
          <w:sz w:val="20"/>
          <w:szCs w:val="20"/>
        </w:rPr>
        <w:t xml:space="preserve"> the future, no conclusion as to our ultimate exposure from current pending or potential legal or regulatory proceedings should be drawn from the current estimate of reasonably possible loss. </w:t>
      </w:r>
    </w:p>
    <w:p w14:paraId="74DE0166" w14:textId="77777777" w:rsidR="00584EC1" w:rsidRDefault="00871F8D">
      <w:pPr>
        <w:spacing w:before="60"/>
        <w:ind w:firstLine="450"/>
        <w:jc w:val="both"/>
        <w:textAlignment w:val="top"/>
      </w:pPr>
      <w:r>
        <w:rPr>
          <w:rFonts w:ascii="Arial" w:eastAsia="宋体" w:hAnsi="Arial" w:cs="Arial"/>
          <w:color w:val="000000"/>
          <w:sz w:val="20"/>
          <w:szCs w:val="20"/>
        </w:rPr>
        <w:t>The following discussion provides information with respect to s</w:t>
      </w:r>
      <w:r>
        <w:rPr>
          <w:rFonts w:ascii="Arial" w:eastAsia="宋体" w:hAnsi="Arial" w:cs="Arial"/>
          <w:color w:val="000000"/>
          <w:sz w:val="20"/>
          <w:szCs w:val="20"/>
        </w:rPr>
        <w:t xml:space="preserve">ignificant legal, governmental and regulatory matters. </w:t>
      </w:r>
    </w:p>
    <w:p w14:paraId="74DE0167" w14:textId="77777777" w:rsidR="00584EC1" w:rsidRDefault="00871F8D">
      <w:pPr>
        <w:spacing w:before="60"/>
        <w:jc w:val="both"/>
        <w:textAlignment w:val="top"/>
      </w:pPr>
      <w:r>
        <w:rPr>
          <w:rFonts w:ascii="Arial" w:eastAsia="宋体" w:hAnsi="Arial" w:cs="Arial"/>
          <w:i/>
          <w:iCs/>
          <w:color w:val="000000"/>
          <w:sz w:val="20"/>
          <w:szCs w:val="20"/>
        </w:rPr>
        <w:t>Invoicing Matter</w:t>
      </w:r>
    </w:p>
    <w:p w14:paraId="74DE0168" w14:textId="77777777" w:rsidR="00584EC1" w:rsidRDefault="00871F8D">
      <w:pPr>
        <w:spacing w:before="60"/>
        <w:ind w:firstLine="450"/>
        <w:jc w:val="both"/>
        <w:textAlignment w:val="top"/>
      </w:pPr>
      <w:r>
        <w:rPr>
          <w:rFonts w:ascii="Arial" w:eastAsia="宋体" w:hAnsi="Arial" w:cs="Arial"/>
          <w:color w:val="000000"/>
          <w:sz w:val="20"/>
          <w:szCs w:val="20"/>
        </w:rPr>
        <w:t>In 2015, we determined that we had incorrectly invoiced clients for certain expenses. We have reimbursed most of our affected customers for those expenses, and we have implemented enh</w:t>
      </w:r>
      <w:r>
        <w:rPr>
          <w:rFonts w:ascii="Arial" w:eastAsia="宋体" w:hAnsi="Arial" w:cs="Arial"/>
          <w:color w:val="000000"/>
          <w:sz w:val="20"/>
          <w:szCs w:val="20"/>
        </w:rPr>
        <w:t>ancements to our billing processes. In connection with our enhancements to our billing processes, we continue to review historical billing practices and may from time to time identify additional remediation. In 2017, we identified an additional area of inc</w:t>
      </w:r>
      <w:r>
        <w:rPr>
          <w:rFonts w:ascii="Arial" w:eastAsia="宋体" w:hAnsi="Arial" w:cs="Arial"/>
          <w:color w:val="000000"/>
          <w:sz w:val="20"/>
          <w:szCs w:val="20"/>
        </w:rPr>
        <w:t>orrect expense billing associated with mailing services in our retirement services business. We currently expect the cumulative total of our payments to customers for these invoicing errors, including the error in the retirement services business, to be at</w:t>
      </w:r>
      <w:r>
        <w:rPr>
          <w:rFonts w:ascii="Arial" w:eastAsia="宋体" w:hAnsi="Arial" w:cs="Arial"/>
          <w:color w:val="000000"/>
          <w:sz w:val="20"/>
          <w:szCs w:val="20"/>
        </w:rPr>
        <w:t xml:space="preserve"> least $360 million, all of which has been paid or is accrued. However, we may identify additional remediation costs.</w:t>
      </w:r>
    </w:p>
    <w:p w14:paraId="74DE0169" w14:textId="77777777" w:rsidR="00584EC1" w:rsidRDefault="00871F8D">
      <w:pPr>
        <w:spacing w:before="60"/>
        <w:ind w:firstLine="450"/>
        <w:jc w:val="both"/>
        <w:textAlignment w:val="top"/>
      </w:pPr>
      <w:r>
        <w:rPr>
          <w:rFonts w:ascii="Arial" w:eastAsia="宋体" w:hAnsi="Arial" w:cs="Arial"/>
          <w:color w:val="000000"/>
          <w:sz w:val="20"/>
          <w:szCs w:val="20"/>
        </w:rPr>
        <w:t xml:space="preserve">In March 2017, a purported class action was commenced against us alleging that our invoicing practices violated duties owed to retirement </w:t>
      </w:r>
      <w:r>
        <w:rPr>
          <w:rFonts w:ascii="Arial" w:eastAsia="宋体" w:hAnsi="Arial" w:cs="Arial"/>
          <w:color w:val="000000"/>
          <w:sz w:val="20"/>
          <w:szCs w:val="20"/>
        </w:rPr>
        <w:t>plan customers under the Employee Retirement Income Security Act. We have agreed, subject to court approval, to resolve this matter and pay a cost that is within our established accruals for loss contingencies. In addition, we have received a purported cla</w:t>
      </w:r>
      <w:r>
        <w:rPr>
          <w:rFonts w:ascii="Arial" w:eastAsia="宋体" w:hAnsi="Arial" w:cs="Arial"/>
          <w:color w:val="000000"/>
          <w:sz w:val="20"/>
          <w:szCs w:val="20"/>
        </w:rPr>
        <w:t>ss action demand letter alleging that our invoicing practices were unfair and deceptive under Massachusetts law. A class of customers, or particular customers, may assert that we have not paid to them all amounts incorrectly invoiced, and may seek double o</w:t>
      </w:r>
      <w:r>
        <w:rPr>
          <w:rFonts w:ascii="Arial" w:eastAsia="宋体" w:hAnsi="Arial" w:cs="Arial"/>
          <w:color w:val="000000"/>
          <w:sz w:val="20"/>
          <w:szCs w:val="20"/>
        </w:rPr>
        <w:t xml:space="preserve">r treble damages under Massachusetts law. </w:t>
      </w:r>
    </w:p>
    <w:p w14:paraId="74DE016A" w14:textId="77777777" w:rsidR="00584EC1" w:rsidRDefault="00871F8D">
      <w:pPr>
        <w:spacing w:before="60"/>
        <w:ind w:firstLine="450"/>
        <w:jc w:val="both"/>
        <w:textAlignment w:val="top"/>
      </w:pPr>
      <w:r>
        <w:rPr>
          <w:rFonts w:ascii="Arial" w:eastAsia="宋体" w:hAnsi="Arial" w:cs="Arial"/>
          <w:color w:val="000000"/>
          <w:sz w:val="20"/>
          <w:szCs w:val="20"/>
        </w:rPr>
        <w:t xml:space="preserve">We have agreed with the office of the United States Attorney for the District of Massachusetts to resolve potential criminal claims arising from these matters by entering into a deferred prosecution agreement and paying a $115 million penalty in May 2021. </w:t>
      </w:r>
      <w:r>
        <w:rPr>
          <w:rFonts w:ascii="Arial" w:eastAsia="宋体" w:hAnsi="Arial" w:cs="Arial"/>
          <w:color w:val="000000"/>
          <w:sz w:val="20"/>
          <w:szCs w:val="20"/>
        </w:rPr>
        <w:t xml:space="preserve">In June 2019, we reached an agreement with the SEC to settle its claims that we violated the </w:t>
      </w:r>
    </w:p>
    <w:p w14:paraId="74DE016B" w14:textId="77777777" w:rsidR="00584EC1" w:rsidRDefault="00871F8D">
      <w:pPr>
        <w:ind w:firstLine="450"/>
        <w:jc w:val="right"/>
      </w:pPr>
      <w:r>
        <w:rPr>
          <w:rFonts w:ascii="Arial" w:eastAsia="宋体" w:hAnsi="Arial" w:cs="Arial"/>
          <w:color w:val="000000"/>
          <w:sz w:val="18"/>
          <w:szCs w:val="18"/>
        </w:rPr>
        <w:t>State Street Corporation | 84</w:t>
      </w:r>
    </w:p>
    <w:p w14:paraId="74DE016C" w14:textId="77777777" w:rsidR="00584EC1" w:rsidRDefault="00584EC1">
      <w:pPr>
        <w:ind w:firstLine="450"/>
        <w:jc w:val="center"/>
      </w:pPr>
    </w:p>
    <w:p w14:paraId="74DE016D" w14:textId="77777777" w:rsidR="00584EC1" w:rsidRDefault="00871F8D">
      <w:r>
        <w:pict w14:anchorId="74DE2A42">
          <v:rect id="_x0000_i1108" style="width:415.3pt;height:1.5pt" o:hralign="center" o:hrstd="t" o:hr="t" fillcolor="#a0a0a0" stroked="f"/>
        </w:pict>
      </w:r>
    </w:p>
    <w:p w14:paraId="74DE016E" w14:textId="77777777" w:rsidR="00584EC1" w:rsidRDefault="00871F8D">
      <w:pPr>
        <w:ind w:firstLine="450"/>
        <w:jc w:val="center"/>
      </w:pPr>
      <w:r>
        <w:rPr>
          <w:rFonts w:ascii="Arial" w:eastAsia="宋体" w:hAnsi="Arial" w:cs="Arial"/>
          <w:b/>
          <w:bCs/>
          <w:color w:val="000000"/>
          <w:sz w:val="20"/>
          <w:szCs w:val="20"/>
        </w:rPr>
        <w:t>STATE STREET CORPORATION</w:t>
      </w:r>
    </w:p>
    <w:p w14:paraId="74DE016F" w14:textId="77777777" w:rsidR="00584EC1" w:rsidRDefault="00871F8D">
      <w:pPr>
        <w:ind w:firstLine="450"/>
        <w:jc w:val="center"/>
      </w:pPr>
      <w:r>
        <w:rPr>
          <w:rFonts w:ascii="Arial" w:eastAsia="宋体" w:hAnsi="Arial" w:cs="Arial"/>
          <w:b/>
          <w:bCs/>
          <w:color w:val="000000"/>
          <w:sz w:val="20"/>
          <w:szCs w:val="20"/>
        </w:rPr>
        <w:t>CONDENSED NOTES TO CONSOLIDATED FINANCIAL STATEMENTS</w:t>
      </w:r>
    </w:p>
    <w:p w14:paraId="74DE0170" w14:textId="77777777" w:rsidR="00584EC1" w:rsidRDefault="00871F8D">
      <w:pPr>
        <w:ind w:firstLine="450"/>
        <w:jc w:val="center"/>
      </w:pPr>
      <w:r>
        <w:rPr>
          <w:rFonts w:ascii="Arial" w:eastAsia="宋体" w:hAnsi="Arial" w:cs="Arial"/>
          <w:b/>
          <w:bCs/>
          <w:color w:val="000000"/>
          <w:sz w:val="20"/>
          <w:szCs w:val="20"/>
        </w:rPr>
        <w:t>(UNAUDITED)</w:t>
      </w:r>
    </w:p>
    <w:p w14:paraId="74DE0171" w14:textId="77777777" w:rsidR="00584EC1" w:rsidRDefault="00871F8D">
      <w:pPr>
        <w:spacing w:before="60"/>
        <w:jc w:val="both"/>
        <w:textAlignment w:val="top"/>
      </w:pPr>
      <w:r>
        <w:rPr>
          <w:rFonts w:ascii="Arial" w:eastAsia="宋体" w:hAnsi="Arial" w:cs="Arial"/>
          <w:color w:val="000000"/>
          <w:sz w:val="20"/>
          <w:szCs w:val="20"/>
        </w:rPr>
        <w:t>recordkeeping provisions of Section 34(</w:t>
      </w:r>
      <w:r>
        <w:rPr>
          <w:rFonts w:ascii="Arial" w:eastAsia="宋体" w:hAnsi="Arial" w:cs="Arial"/>
          <w:color w:val="000000"/>
          <w:sz w:val="20"/>
          <w:szCs w:val="20"/>
        </w:rPr>
        <w:t xml:space="preserve">b) of the Investment Company Act of 1940 and caused violations of Section 31(a) of the Investment Company Act and Rules 31a-1(a) and 31a-1(b) thereunder in connection with our overcharges of customers which are registered investment companies. In reaching </w:t>
      </w:r>
      <w:r>
        <w:rPr>
          <w:rFonts w:ascii="Arial" w:eastAsia="宋体" w:hAnsi="Arial" w:cs="Arial"/>
          <w:color w:val="000000"/>
          <w:sz w:val="20"/>
          <w:szCs w:val="20"/>
        </w:rPr>
        <w:t>this settlement, we neither admitted nor denied the claims contained in the SEC’s order, and agreed to pay a civil monetary penalty of $40 million. Also in June 2019, we reached an agreement with the Massachusetts Attorney General’s office to resolve its c</w:t>
      </w:r>
      <w:r>
        <w:rPr>
          <w:rFonts w:ascii="Arial" w:eastAsia="宋体" w:hAnsi="Arial" w:cs="Arial"/>
          <w:color w:val="000000"/>
          <w:sz w:val="20"/>
          <w:szCs w:val="20"/>
        </w:rPr>
        <w:t>laims related to this matter. In reaching this settlement, we neither admitted nor denied the claims in the order, and agreed to pay a civil monetary penalty of $5.5 million. The SEC and Massachusetts Attorney General’s office settlements both recognize th</w:t>
      </w:r>
      <w:r>
        <w:rPr>
          <w:rFonts w:ascii="Arial" w:eastAsia="宋体" w:hAnsi="Arial" w:cs="Arial"/>
          <w:color w:val="000000"/>
          <w:sz w:val="20"/>
          <w:szCs w:val="20"/>
        </w:rPr>
        <w:t>at the payment of $48.8 million in disgorgement and interest is satisfied by our direct reimbursements of our customers. We paid fines to resolve claims of the Securities Divisions of the Secretaries of the State of Massachusetts and New Hampshire. The cos</w:t>
      </w:r>
      <w:r>
        <w:rPr>
          <w:rFonts w:ascii="Arial" w:eastAsia="宋体" w:hAnsi="Arial" w:cs="Arial"/>
          <w:color w:val="000000"/>
          <w:sz w:val="20"/>
          <w:szCs w:val="20"/>
        </w:rPr>
        <w:t>ts associated with the settlements discussed above were within our related previously established accruals for loss contingencies.</w:t>
      </w:r>
    </w:p>
    <w:p w14:paraId="74DE0172" w14:textId="77777777" w:rsidR="00584EC1" w:rsidRDefault="00871F8D">
      <w:pPr>
        <w:spacing w:before="60"/>
        <w:ind w:firstLine="450"/>
        <w:jc w:val="both"/>
        <w:textAlignment w:val="top"/>
      </w:pPr>
      <w:r>
        <w:rPr>
          <w:rFonts w:ascii="Arial" w:eastAsia="宋体" w:hAnsi="Arial" w:cs="Arial"/>
          <w:color w:val="000000"/>
          <w:sz w:val="20"/>
          <w:szCs w:val="20"/>
        </w:rPr>
        <w:t xml:space="preserve">We have not resolved certain claims that may be made by the U.S. Department of Labor. We do not know whether any such claims </w:t>
      </w:r>
      <w:r>
        <w:rPr>
          <w:rFonts w:ascii="Arial" w:eastAsia="宋体" w:hAnsi="Arial" w:cs="Arial"/>
          <w:color w:val="000000"/>
          <w:sz w:val="20"/>
          <w:szCs w:val="20"/>
        </w:rPr>
        <w:t>will be brought, and there can be no assurance that any settlement of any such claims will be reached on financial terms acceptable to us or at all. The aggregate amount of penalties that may potentially be imposed upon us in connection with the resolution</w:t>
      </w:r>
      <w:r>
        <w:rPr>
          <w:rFonts w:ascii="Arial" w:eastAsia="宋体" w:hAnsi="Arial" w:cs="Arial"/>
          <w:color w:val="000000"/>
          <w:sz w:val="20"/>
          <w:szCs w:val="20"/>
        </w:rPr>
        <w:t xml:space="preserve"> of any such matters is not currently known. </w:t>
      </w:r>
    </w:p>
    <w:p w14:paraId="74DE0173" w14:textId="77777777" w:rsidR="00584EC1" w:rsidRDefault="00871F8D">
      <w:pPr>
        <w:spacing w:before="60"/>
        <w:jc w:val="both"/>
        <w:textAlignment w:val="top"/>
      </w:pPr>
      <w:r>
        <w:rPr>
          <w:rFonts w:ascii="Arial" w:eastAsia="宋体" w:hAnsi="Arial" w:cs="Arial"/>
          <w:i/>
          <w:iCs/>
          <w:color w:val="000000"/>
          <w:sz w:val="20"/>
          <w:szCs w:val="20"/>
        </w:rPr>
        <w:t>Shareholder Litigation</w:t>
      </w:r>
    </w:p>
    <w:p w14:paraId="74DE0174" w14:textId="77777777" w:rsidR="00584EC1" w:rsidRDefault="00871F8D">
      <w:pPr>
        <w:spacing w:before="60"/>
        <w:ind w:firstLine="450"/>
        <w:jc w:val="both"/>
        <w:textAlignment w:val="top"/>
      </w:pPr>
      <w:r>
        <w:rPr>
          <w:rFonts w:ascii="Arial" w:eastAsia="宋体" w:hAnsi="Arial" w:cs="Arial"/>
          <w:color w:val="000000"/>
          <w:sz w:val="20"/>
          <w:szCs w:val="20"/>
        </w:rPr>
        <w:t>A shareholder of ours filed a derivative complaint against certain of the Company’s past and present officers and directors to recover alleged losses incurred by the Company relating to the invoicing matter and to the Ohio public retirement plans matter. T</w:t>
      </w:r>
      <w:r>
        <w:rPr>
          <w:rFonts w:ascii="Arial" w:eastAsia="宋体" w:hAnsi="Arial" w:cs="Arial"/>
          <w:color w:val="000000"/>
          <w:sz w:val="20"/>
          <w:szCs w:val="20"/>
        </w:rPr>
        <w:t>he Suffolk Superior Court Department of the Trial Court of the Commonwealth of Massachusetts, without objection, approved a settlement of the claim in which we agreed to take, or to continue to take, specified steps to improve our ongoing governance and co</w:t>
      </w:r>
      <w:r>
        <w:rPr>
          <w:rFonts w:ascii="Arial" w:eastAsia="宋体" w:hAnsi="Arial" w:cs="Arial"/>
          <w:color w:val="000000"/>
          <w:sz w:val="20"/>
          <w:szCs w:val="20"/>
        </w:rPr>
        <w:t xml:space="preserve">mpliance policies, and to pay a fee to plaintiff's counsel. </w:t>
      </w:r>
    </w:p>
    <w:p w14:paraId="74DE0175" w14:textId="77777777" w:rsidR="00584EC1" w:rsidRDefault="00871F8D">
      <w:pPr>
        <w:spacing w:before="60"/>
        <w:jc w:val="both"/>
        <w:textAlignment w:val="top"/>
      </w:pPr>
      <w:r>
        <w:rPr>
          <w:rFonts w:ascii="Arial" w:eastAsia="宋体" w:hAnsi="Arial" w:cs="Arial"/>
          <w:i/>
          <w:iCs/>
          <w:color w:val="000000"/>
          <w:sz w:val="20"/>
          <w:szCs w:val="20"/>
        </w:rPr>
        <w:t>Gomes, et al. v. State Street Corp.</w:t>
      </w:r>
    </w:p>
    <w:p w14:paraId="74DE0176" w14:textId="77777777" w:rsidR="00584EC1" w:rsidRDefault="00871F8D">
      <w:pPr>
        <w:spacing w:before="60"/>
        <w:ind w:firstLine="450"/>
        <w:jc w:val="both"/>
        <w:textAlignment w:val="top"/>
      </w:pPr>
      <w:r>
        <w:rPr>
          <w:rFonts w:ascii="Arial" w:eastAsia="宋体" w:hAnsi="Arial" w:cs="Arial"/>
          <w:color w:val="000000"/>
          <w:sz w:val="20"/>
          <w:szCs w:val="20"/>
        </w:rPr>
        <w:t>Eight participants in our Salary Savings Program filed a purported class action complaint in May 2021 on behalf of participants and beneficiaries who participa</w:t>
      </w:r>
      <w:r>
        <w:rPr>
          <w:rFonts w:ascii="Arial" w:eastAsia="宋体" w:hAnsi="Arial" w:cs="Arial"/>
          <w:color w:val="000000"/>
          <w:sz w:val="20"/>
          <w:szCs w:val="20"/>
        </w:rPr>
        <w:t xml:space="preserve">ted in the Program and invested in our proprietary investment fund options between May 2015 and the present. The complaint names the Plan Sponsor as well as the committees overseeing the Plan and their respective members as defendants, </w:t>
      </w:r>
    </w:p>
    <w:p w14:paraId="74DE0177" w14:textId="77777777" w:rsidR="00584EC1" w:rsidRDefault="00871F8D">
      <w:pPr>
        <w:spacing w:before="60"/>
        <w:jc w:val="both"/>
        <w:textAlignment w:val="top"/>
      </w:pPr>
      <w:r>
        <w:rPr>
          <w:rFonts w:ascii="Arial" w:eastAsia="宋体" w:hAnsi="Arial" w:cs="Arial"/>
          <w:color w:val="000000"/>
          <w:sz w:val="20"/>
          <w:szCs w:val="20"/>
        </w:rPr>
        <w:t xml:space="preserve">and alleges breach </w:t>
      </w:r>
      <w:r>
        <w:rPr>
          <w:rFonts w:ascii="Arial" w:eastAsia="宋体" w:hAnsi="Arial" w:cs="Arial"/>
          <w:color w:val="000000"/>
          <w:sz w:val="20"/>
          <w:szCs w:val="20"/>
        </w:rPr>
        <w:t>of fiduciary duty and violations of other duties owed to retirement plan participants under the Employee Retirement Income and Security Act. We and the other named defendants deny the alleged claims and are proceeding with a defense of the matter.</w:t>
      </w:r>
    </w:p>
    <w:p w14:paraId="74DE0178" w14:textId="77777777" w:rsidR="00584EC1" w:rsidRDefault="00871F8D">
      <w:pPr>
        <w:spacing w:before="60"/>
        <w:jc w:val="both"/>
        <w:textAlignment w:val="top"/>
      </w:pPr>
      <w:r>
        <w:rPr>
          <w:rFonts w:ascii="Arial" w:eastAsia="宋体" w:hAnsi="Arial" w:cs="Arial"/>
          <w:i/>
          <w:iCs/>
          <w:color w:val="000000"/>
          <w:sz w:val="20"/>
          <w:szCs w:val="20"/>
        </w:rPr>
        <w:t>Edmar Fi</w:t>
      </w:r>
      <w:r>
        <w:rPr>
          <w:rFonts w:ascii="Arial" w:eastAsia="宋体" w:hAnsi="Arial" w:cs="Arial"/>
          <w:i/>
          <w:iCs/>
          <w:color w:val="000000"/>
          <w:sz w:val="20"/>
          <w:szCs w:val="20"/>
        </w:rPr>
        <w:t>nancial Company, LLC et al v. Currenex, Inc. et al</w:t>
      </w:r>
    </w:p>
    <w:p w14:paraId="74DE0179" w14:textId="77777777" w:rsidR="00584EC1" w:rsidRDefault="00871F8D">
      <w:pPr>
        <w:spacing w:before="60"/>
        <w:ind w:firstLine="450"/>
        <w:jc w:val="both"/>
        <w:textAlignment w:val="top"/>
      </w:pPr>
      <w:r>
        <w:rPr>
          <w:rFonts w:ascii="Arial" w:eastAsia="宋体" w:hAnsi="Arial" w:cs="Arial"/>
          <w:color w:val="000000"/>
          <w:sz w:val="20"/>
          <w:szCs w:val="20"/>
        </w:rPr>
        <w:t>In August 2021, two former Currenex clients filed a putative civil class action lawsuit in the Southern District of New York alleging antitrust violations, fraud and a civil Racketeer Influenced and Corrup</w:t>
      </w:r>
      <w:r>
        <w:rPr>
          <w:rFonts w:ascii="Arial" w:eastAsia="宋体" w:hAnsi="Arial" w:cs="Arial"/>
          <w:color w:val="000000"/>
          <w:sz w:val="20"/>
          <w:szCs w:val="20"/>
        </w:rPr>
        <w:t>t Organization Act violation against Currenex, State Street and others.</w:t>
      </w:r>
    </w:p>
    <w:p w14:paraId="74DE017A" w14:textId="77777777" w:rsidR="00584EC1" w:rsidRDefault="00871F8D">
      <w:pPr>
        <w:spacing w:before="60"/>
        <w:textAlignment w:val="top"/>
      </w:pPr>
      <w:r>
        <w:rPr>
          <w:rFonts w:ascii="Arial" w:eastAsia="宋体" w:hAnsi="Arial" w:cs="Arial"/>
          <w:b/>
          <w:bCs/>
          <w:i/>
          <w:iCs/>
          <w:color w:val="000000"/>
          <w:sz w:val="20"/>
          <w:szCs w:val="20"/>
        </w:rPr>
        <w:t>Income Taxes</w:t>
      </w:r>
    </w:p>
    <w:p w14:paraId="74DE017B" w14:textId="77777777" w:rsidR="00584EC1" w:rsidRDefault="00871F8D">
      <w:pPr>
        <w:spacing w:before="60"/>
        <w:ind w:firstLine="450"/>
        <w:jc w:val="both"/>
        <w:textAlignment w:val="top"/>
      </w:pPr>
      <w:r>
        <w:rPr>
          <w:rFonts w:ascii="Arial" w:eastAsia="宋体" w:hAnsi="Arial" w:cs="Arial"/>
          <w:color w:val="000000"/>
          <w:sz w:val="20"/>
          <w:szCs w:val="20"/>
        </w:rPr>
        <w:t>In determining our provision for income taxes, we make certain judgments and interpretations with respect to tax laws in jurisdictions in which we have business operations</w:t>
      </w:r>
      <w:r>
        <w:rPr>
          <w:rFonts w:ascii="Arial" w:eastAsia="宋体" w:hAnsi="Arial" w:cs="Arial"/>
          <w:color w:val="000000"/>
          <w:sz w:val="20"/>
          <w:szCs w:val="20"/>
        </w:rPr>
        <w:t>. Because of the complex nature of these laws, in the normal course of our business, we are subject to challenges from U.S. and non-U.S. income tax authorities regarding the amount of income taxes due. These challenges may result in adjustments to the timi</w:t>
      </w:r>
      <w:r>
        <w:rPr>
          <w:rFonts w:ascii="Arial" w:eastAsia="宋体" w:hAnsi="Arial" w:cs="Arial"/>
          <w:color w:val="000000"/>
          <w:sz w:val="20"/>
          <w:szCs w:val="20"/>
        </w:rPr>
        <w:t>ng or amount of taxable income or deductions or the allocation of taxable income among tax jurisdictions. We recognize a tax benefit when it is more likely than not that our position will result in a tax deduction or credit. Unrecognized tax benefits of ap</w:t>
      </w:r>
      <w:r>
        <w:rPr>
          <w:rFonts w:ascii="Arial" w:eastAsia="宋体" w:hAnsi="Arial" w:cs="Arial"/>
          <w:color w:val="000000"/>
          <w:sz w:val="20"/>
          <w:szCs w:val="20"/>
        </w:rPr>
        <w:t xml:space="preserve">proximately $295 million as of September 30, 2021 decreased from $308 million as of December 31, 2020. </w:t>
      </w:r>
    </w:p>
    <w:p w14:paraId="74DE017C" w14:textId="77777777" w:rsidR="00584EC1" w:rsidRDefault="00871F8D">
      <w:pPr>
        <w:spacing w:before="60"/>
        <w:ind w:firstLine="450"/>
        <w:jc w:val="both"/>
        <w:textAlignment w:val="top"/>
      </w:pPr>
      <w:r>
        <w:rPr>
          <w:rFonts w:ascii="Arial" w:eastAsia="宋体" w:hAnsi="Arial" w:cs="Arial"/>
          <w:color w:val="000000"/>
          <w:sz w:val="20"/>
          <w:szCs w:val="20"/>
        </w:rPr>
        <w:t>We are presently under audit by a number of tax authorities, and the Internal Revenue Service is currently reviewing our U.S. income tax returns, includ</w:t>
      </w:r>
      <w:r>
        <w:rPr>
          <w:rFonts w:ascii="Arial" w:eastAsia="宋体" w:hAnsi="Arial" w:cs="Arial"/>
          <w:color w:val="000000"/>
          <w:sz w:val="20"/>
          <w:szCs w:val="20"/>
        </w:rPr>
        <w:t>ing amended returns, for tax years 2014-2018. The earliest tax year open to examination in jurisdictions where we have material operations is 2013. Management believes that we have sufficiently accrued liabilities as of September 30, 2021 for potential tax</w:t>
      </w:r>
      <w:r>
        <w:rPr>
          <w:rFonts w:ascii="Arial" w:eastAsia="宋体" w:hAnsi="Arial" w:cs="Arial"/>
          <w:color w:val="000000"/>
          <w:sz w:val="20"/>
          <w:szCs w:val="20"/>
        </w:rPr>
        <w:t xml:space="preserve"> exposures.</w:t>
      </w:r>
    </w:p>
    <w:p w14:paraId="74DE017D" w14:textId="77777777" w:rsidR="00584EC1" w:rsidRDefault="00871F8D">
      <w:pPr>
        <w:ind w:firstLine="450"/>
        <w:jc w:val="right"/>
      </w:pPr>
      <w:r>
        <w:rPr>
          <w:rFonts w:ascii="Arial" w:eastAsia="宋体" w:hAnsi="Arial" w:cs="Arial"/>
          <w:color w:val="000000"/>
          <w:sz w:val="18"/>
          <w:szCs w:val="18"/>
        </w:rPr>
        <w:t>State Street Corporation | 85</w:t>
      </w:r>
    </w:p>
    <w:p w14:paraId="74DE017E" w14:textId="77777777" w:rsidR="00584EC1" w:rsidRDefault="00584EC1">
      <w:pPr>
        <w:ind w:firstLine="450"/>
        <w:jc w:val="center"/>
      </w:pPr>
    </w:p>
    <w:p w14:paraId="74DE017F" w14:textId="77777777" w:rsidR="00584EC1" w:rsidRDefault="00871F8D">
      <w:r>
        <w:pict w14:anchorId="74DE2A43">
          <v:rect id="_x0000_i1109" style="width:415.3pt;height:1.5pt" o:hralign="center" o:hrstd="t" o:hr="t" fillcolor="#a0a0a0" stroked="f"/>
        </w:pict>
      </w:r>
    </w:p>
    <w:p w14:paraId="74DE0180" w14:textId="77777777" w:rsidR="00584EC1" w:rsidRDefault="00871F8D">
      <w:pPr>
        <w:ind w:firstLine="450"/>
        <w:jc w:val="center"/>
      </w:pPr>
      <w:r>
        <w:rPr>
          <w:rFonts w:ascii="Arial" w:eastAsia="宋体" w:hAnsi="Arial" w:cs="Arial"/>
          <w:b/>
          <w:bCs/>
          <w:color w:val="000000"/>
          <w:sz w:val="20"/>
          <w:szCs w:val="20"/>
        </w:rPr>
        <w:t>STATE STREET CORPORATION</w:t>
      </w:r>
    </w:p>
    <w:p w14:paraId="74DE0181" w14:textId="77777777" w:rsidR="00584EC1" w:rsidRDefault="00871F8D">
      <w:pPr>
        <w:ind w:firstLine="450"/>
        <w:jc w:val="center"/>
      </w:pPr>
      <w:r>
        <w:rPr>
          <w:rFonts w:ascii="Arial" w:eastAsia="宋体" w:hAnsi="Arial" w:cs="Arial"/>
          <w:b/>
          <w:bCs/>
          <w:color w:val="000000"/>
          <w:sz w:val="20"/>
          <w:szCs w:val="20"/>
        </w:rPr>
        <w:t>CONDENSED NOTES TO CONSOLIDATED FINANCIAL STATEMENTS</w:t>
      </w:r>
    </w:p>
    <w:p w14:paraId="74DE0182" w14:textId="77777777" w:rsidR="00584EC1" w:rsidRDefault="00871F8D">
      <w:pPr>
        <w:ind w:firstLine="450"/>
        <w:jc w:val="center"/>
      </w:pPr>
      <w:r>
        <w:rPr>
          <w:rFonts w:ascii="Arial" w:eastAsia="宋体" w:hAnsi="Arial" w:cs="Arial"/>
          <w:b/>
          <w:bCs/>
          <w:color w:val="000000"/>
          <w:sz w:val="20"/>
          <w:szCs w:val="20"/>
        </w:rPr>
        <w:t>(UNAUDITED)</w:t>
      </w:r>
    </w:p>
    <w:p w14:paraId="74DE0183" w14:textId="77777777" w:rsidR="00584EC1" w:rsidRDefault="00871F8D">
      <w:pPr>
        <w:spacing w:before="90"/>
      </w:pPr>
      <w:r>
        <w:rPr>
          <w:rFonts w:ascii="Arial" w:eastAsia="宋体" w:hAnsi="Arial" w:cs="Arial"/>
          <w:b/>
          <w:bCs/>
          <w:color w:val="000000"/>
          <w:sz w:val="20"/>
          <w:szCs w:val="20"/>
        </w:rPr>
        <w:t>Note 11.    Variable Interest Entities</w:t>
      </w:r>
    </w:p>
    <w:p w14:paraId="74DE0184" w14:textId="77777777" w:rsidR="00584EC1" w:rsidRDefault="00871F8D">
      <w:pPr>
        <w:spacing w:before="60"/>
        <w:ind w:firstLine="450"/>
        <w:jc w:val="both"/>
      </w:pPr>
      <w:r>
        <w:rPr>
          <w:rFonts w:ascii="Arial" w:eastAsia="宋体" w:hAnsi="Arial" w:cs="Arial"/>
          <w:color w:val="000000"/>
          <w:sz w:val="20"/>
          <w:szCs w:val="20"/>
        </w:rPr>
        <w:t xml:space="preserve">For additional information on our accounting policy and our use of </w:t>
      </w:r>
      <w:r>
        <w:rPr>
          <w:rFonts w:ascii="Arial" w:eastAsia="宋体" w:hAnsi="Arial" w:cs="Arial"/>
          <w:color w:val="000000"/>
          <w:sz w:val="20"/>
          <w:szCs w:val="20"/>
        </w:rPr>
        <w:t>variable interest entities (VIEs), refer to pages 169 to 170 in Note 14 to the consolidated financial statements included under Item 8, Financial Statements and Supplementary Data, "Variable Interest Entities", in our 2020 Form 10-K.</w:t>
      </w:r>
    </w:p>
    <w:p w14:paraId="74DE0185" w14:textId="77777777" w:rsidR="00584EC1" w:rsidRDefault="00871F8D">
      <w:pPr>
        <w:spacing w:before="60"/>
        <w:jc w:val="both"/>
      </w:pPr>
      <w:r>
        <w:rPr>
          <w:rFonts w:ascii="Arial" w:eastAsia="宋体" w:hAnsi="Arial" w:cs="Arial"/>
          <w:b/>
          <w:bCs/>
          <w:i/>
          <w:iCs/>
          <w:color w:val="000000"/>
          <w:sz w:val="20"/>
          <w:szCs w:val="20"/>
        </w:rPr>
        <w:t xml:space="preserve">Tax-Exempt Investment </w:t>
      </w:r>
      <w:r>
        <w:rPr>
          <w:rFonts w:ascii="Arial" w:eastAsia="宋体" w:hAnsi="Arial" w:cs="Arial"/>
          <w:b/>
          <w:bCs/>
          <w:i/>
          <w:iCs/>
          <w:color w:val="000000"/>
          <w:sz w:val="20"/>
          <w:szCs w:val="20"/>
        </w:rPr>
        <w:t>Program</w:t>
      </w:r>
    </w:p>
    <w:p w14:paraId="74DE0186" w14:textId="77777777" w:rsidR="00584EC1" w:rsidRDefault="00871F8D">
      <w:pPr>
        <w:spacing w:before="60"/>
        <w:ind w:firstLine="450"/>
        <w:jc w:val="both"/>
      </w:pPr>
      <w:r>
        <w:rPr>
          <w:rFonts w:ascii="Arial" w:eastAsia="宋体" w:hAnsi="Arial" w:cs="Arial"/>
          <w:color w:val="000000"/>
          <w:sz w:val="20"/>
          <w:szCs w:val="20"/>
        </w:rPr>
        <w:t>In the normal course of our business, we structure and sell certificated interests in pools of tax-exempt investment grade assets, principally to our mutual fund clients. We structure these pools as partnership trusts, and the assets and liabilitie</w:t>
      </w:r>
      <w:r>
        <w:rPr>
          <w:rFonts w:ascii="Arial" w:eastAsia="宋体" w:hAnsi="Arial" w:cs="Arial"/>
          <w:color w:val="000000"/>
          <w:sz w:val="20"/>
          <w:szCs w:val="20"/>
        </w:rPr>
        <w:t>s of the trusts are recorded in our consolidated statement of condition as AFS investment securities and other short-term borrowings. As of September 30, 2021 and December 31, 2020, we carried AFS investment securities, composed of securities related to st</w:t>
      </w:r>
      <w:r>
        <w:rPr>
          <w:rFonts w:ascii="Arial" w:eastAsia="宋体" w:hAnsi="Arial" w:cs="Arial"/>
          <w:color w:val="000000"/>
          <w:sz w:val="20"/>
          <w:szCs w:val="20"/>
        </w:rPr>
        <w:t>ate and political subdivisions, with a fair value of $0.61 billion and $0.70 billion, respectively, and other short-term borrowings of $0.43 billion and $0.62 billion, respectively, in our consolidated statement of condition in connection with these trusts</w:t>
      </w:r>
      <w:r>
        <w:rPr>
          <w:rFonts w:ascii="Arial" w:eastAsia="宋体" w:hAnsi="Arial" w:cs="Arial"/>
          <w:color w:val="000000"/>
          <w:sz w:val="20"/>
          <w:szCs w:val="20"/>
        </w:rPr>
        <w:t>. The interest income and interest expense generated by the investments and certificated interests, respectively, are recorded as components of NII when earned or incurred.</w:t>
      </w:r>
    </w:p>
    <w:p w14:paraId="74DE0187" w14:textId="77777777" w:rsidR="00584EC1" w:rsidRDefault="00871F8D">
      <w:pPr>
        <w:spacing w:before="60"/>
        <w:ind w:firstLine="450"/>
        <w:jc w:val="both"/>
      </w:pPr>
      <w:r>
        <w:rPr>
          <w:rFonts w:ascii="Arial" w:eastAsia="宋体" w:hAnsi="Arial" w:cs="Arial"/>
          <w:color w:val="000000"/>
          <w:sz w:val="20"/>
          <w:szCs w:val="20"/>
        </w:rPr>
        <w:t>The trusts had a weighted-average life of approximately 2.2 years as of September 3</w:t>
      </w:r>
      <w:r>
        <w:rPr>
          <w:rFonts w:ascii="Arial" w:eastAsia="宋体" w:hAnsi="Arial" w:cs="Arial"/>
          <w:color w:val="000000"/>
          <w:sz w:val="20"/>
          <w:szCs w:val="20"/>
        </w:rPr>
        <w:t>0, 2021, compared to approximately 2.7 years as of December 31, 2020.</w:t>
      </w:r>
    </w:p>
    <w:p w14:paraId="74DE0188" w14:textId="77777777" w:rsidR="00584EC1" w:rsidRDefault="00871F8D">
      <w:pPr>
        <w:spacing w:before="60"/>
        <w:jc w:val="both"/>
      </w:pPr>
      <w:r>
        <w:rPr>
          <w:rFonts w:ascii="Arial" w:eastAsia="宋体" w:hAnsi="Arial" w:cs="Arial"/>
          <w:b/>
          <w:bCs/>
          <w:i/>
          <w:iCs/>
          <w:color w:val="000000"/>
          <w:sz w:val="20"/>
          <w:szCs w:val="20"/>
        </w:rPr>
        <w:t>Interests in Investment Funds</w:t>
      </w:r>
    </w:p>
    <w:p w14:paraId="74DE0189" w14:textId="77777777" w:rsidR="00584EC1" w:rsidRDefault="00871F8D">
      <w:pPr>
        <w:spacing w:before="60"/>
        <w:ind w:firstLine="450"/>
        <w:jc w:val="both"/>
      </w:pPr>
      <w:r>
        <w:rPr>
          <w:rFonts w:ascii="Arial" w:eastAsia="宋体" w:hAnsi="Arial" w:cs="Arial"/>
          <w:color w:val="000000"/>
          <w:sz w:val="20"/>
          <w:szCs w:val="20"/>
        </w:rPr>
        <w:t>As of September 30, 2021, we had no consolidated funds. As of December 31, 2020, the aggregate assets and liabilities of our consolidated sponsored investme</w:t>
      </w:r>
      <w:r>
        <w:rPr>
          <w:rFonts w:ascii="Arial" w:eastAsia="宋体" w:hAnsi="Arial" w:cs="Arial"/>
          <w:color w:val="000000"/>
          <w:sz w:val="20"/>
          <w:szCs w:val="20"/>
        </w:rPr>
        <w:t xml:space="preserve">nt funds totaled $17 million and $4 million, respectively. As of December 31, 2020, our maximum total exposure associated with the consolidated sponsored investment funds totaled $13 million, and represented the value of our economic ownership interest in </w:t>
      </w:r>
      <w:r>
        <w:rPr>
          <w:rFonts w:ascii="Arial" w:eastAsia="宋体" w:hAnsi="Arial" w:cs="Arial"/>
          <w:color w:val="000000"/>
          <w:sz w:val="20"/>
          <w:szCs w:val="20"/>
        </w:rPr>
        <w:t xml:space="preserve">the funds. </w:t>
      </w:r>
    </w:p>
    <w:p w14:paraId="74DE018A" w14:textId="77777777" w:rsidR="00584EC1" w:rsidRDefault="00871F8D">
      <w:pPr>
        <w:spacing w:before="60"/>
        <w:ind w:firstLine="450"/>
        <w:jc w:val="both"/>
      </w:pPr>
      <w:r>
        <w:rPr>
          <w:rFonts w:ascii="Arial" w:eastAsia="宋体" w:hAnsi="Arial" w:cs="Arial"/>
          <w:color w:val="000000"/>
          <w:sz w:val="20"/>
          <w:szCs w:val="20"/>
        </w:rPr>
        <w:t>As of September 30, 2021 and December 31, 2020, we managed certain funds, considered VIEs, in which we held a variable interest but for which we were not deemed to be the primary beneficiary. Our potential maximum loss exposure related to these</w:t>
      </w:r>
      <w:r>
        <w:rPr>
          <w:rFonts w:ascii="Arial" w:eastAsia="宋体" w:hAnsi="Arial" w:cs="Arial"/>
          <w:color w:val="000000"/>
          <w:sz w:val="20"/>
          <w:szCs w:val="20"/>
        </w:rPr>
        <w:t xml:space="preserve"> unconsolidated funds totaled $11 million and $22 million as of September 30, 2021 and December 31, 2020, respectively, and represented the carrying value of our investments, which are recorded in other assets in our consolidated statement of condition. Th</w:t>
      </w:r>
      <w:r>
        <w:rPr>
          <w:rFonts w:ascii="Arial" w:eastAsia="宋体" w:hAnsi="Arial" w:cs="Arial"/>
          <w:color w:val="000000"/>
          <w:sz w:val="20"/>
          <w:szCs w:val="20"/>
        </w:rPr>
        <w:t>e amount of loss we may recognize during any period is limited to the carrying amount of our investments in the unconsolidated funds.</w:t>
      </w:r>
    </w:p>
    <w:p w14:paraId="74DE018B" w14:textId="77777777" w:rsidR="00584EC1" w:rsidRDefault="00871F8D">
      <w:pPr>
        <w:spacing w:before="180"/>
      </w:pPr>
      <w:r>
        <w:rPr>
          <w:rFonts w:ascii="Arial" w:eastAsia="宋体" w:hAnsi="Arial" w:cs="Arial"/>
          <w:b/>
          <w:bCs/>
          <w:color w:val="000000"/>
          <w:sz w:val="20"/>
          <w:szCs w:val="20"/>
        </w:rPr>
        <w:t>Note 12.    Shareholders' Equity</w:t>
      </w:r>
    </w:p>
    <w:p w14:paraId="74DE018C" w14:textId="77777777" w:rsidR="00584EC1" w:rsidRDefault="00871F8D">
      <w:pPr>
        <w:spacing w:before="60"/>
      </w:pPr>
      <w:r>
        <w:rPr>
          <w:rFonts w:ascii="Arial" w:eastAsia="宋体" w:hAnsi="Arial" w:cs="Arial"/>
          <w:b/>
          <w:bCs/>
          <w:i/>
          <w:iCs/>
          <w:color w:val="000000"/>
          <w:sz w:val="20"/>
          <w:szCs w:val="20"/>
        </w:rPr>
        <w:t xml:space="preserve">Preferred Stock </w:t>
      </w:r>
    </w:p>
    <w:p w14:paraId="74DE018D" w14:textId="77777777" w:rsidR="00584EC1" w:rsidRDefault="00871F8D">
      <w:pPr>
        <w:spacing w:before="60"/>
        <w:jc w:val="both"/>
      </w:pPr>
      <w:r>
        <w:rPr>
          <w:rFonts w:ascii="Arial" w:eastAsia="宋体" w:hAnsi="Arial" w:cs="Arial"/>
          <w:b/>
          <w:bCs/>
          <w:i/>
          <w:iCs/>
          <w:color w:val="000000"/>
          <w:sz w:val="20"/>
          <w:szCs w:val="20"/>
        </w:rPr>
        <w:t>    </w:t>
      </w:r>
      <w:r>
        <w:rPr>
          <w:rFonts w:ascii="Arial" w:eastAsia="宋体" w:hAnsi="Arial" w:cs="Arial"/>
          <w:color w:val="000000"/>
          <w:sz w:val="20"/>
          <w:szCs w:val="20"/>
        </w:rPr>
        <w:t xml:space="preserve">The following table summarizes selected terms of each of the series </w:t>
      </w:r>
      <w:r>
        <w:rPr>
          <w:rFonts w:ascii="Arial" w:eastAsia="宋体" w:hAnsi="Arial" w:cs="Arial"/>
          <w:color w:val="000000"/>
          <w:sz w:val="20"/>
          <w:szCs w:val="20"/>
        </w:rPr>
        <w:t>of the preferred stock issued and outstanding as of September 30, 2021:</w:t>
      </w:r>
    </w:p>
    <w:tbl>
      <w:tblPr>
        <w:tblW w:w="5000" w:type="pct"/>
        <w:tblCellMar>
          <w:top w:w="15" w:type="dxa"/>
          <w:left w:w="15" w:type="dxa"/>
          <w:bottom w:w="15" w:type="dxa"/>
          <w:right w:w="15" w:type="dxa"/>
        </w:tblCellMar>
        <w:tblLook w:val="04A0" w:firstRow="1" w:lastRow="0" w:firstColumn="1" w:lastColumn="0" w:noHBand="0" w:noVBand="1"/>
      </w:tblPr>
      <w:tblGrid>
        <w:gridCol w:w="85"/>
        <w:gridCol w:w="441"/>
        <w:gridCol w:w="36"/>
        <w:gridCol w:w="40"/>
        <w:gridCol w:w="33"/>
        <w:gridCol w:w="36"/>
        <w:gridCol w:w="60"/>
        <w:gridCol w:w="517"/>
        <w:gridCol w:w="37"/>
        <w:gridCol w:w="40"/>
        <w:gridCol w:w="33"/>
        <w:gridCol w:w="36"/>
        <w:gridCol w:w="84"/>
        <w:gridCol w:w="524"/>
        <w:gridCol w:w="36"/>
        <w:gridCol w:w="40"/>
        <w:gridCol w:w="33"/>
        <w:gridCol w:w="36"/>
        <w:gridCol w:w="89"/>
        <w:gridCol w:w="575"/>
        <w:gridCol w:w="36"/>
        <w:gridCol w:w="40"/>
        <w:gridCol w:w="31"/>
        <w:gridCol w:w="35"/>
        <w:gridCol w:w="82"/>
        <w:gridCol w:w="521"/>
        <w:gridCol w:w="35"/>
        <w:gridCol w:w="40"/>
        <w:gridCol w:w="31"/>
        <w:gridCol w:w="35"/>
        <w:gridCol w:w="85"/>
        <w:gridCol w:w="542"/>
        <w:gridCol w:w="35"/>
        <w:gridCol w:w="40"/>
        <w:gridCol w:w="31"/>
        <w:gridCol w:w="35"/>
        <w:gridCol w:w="85"/>
        <w:gridCol w:w="542"/>
        <w:gridCol w:w="35"/>
        <w:gridCol w:w="40"/>
        <w:gridCol w:w="31"/>
        <w:gridCol w:w="35"/>
        <w:gridCol w:w="51"/>
        <w:gridCol w:w="580"/>
        <w:gridCol w:w="36"/>
        <w:gridCol w:w="40"/>
        <w:gridCol w:w="31"/>
        <w:gridCol w:w="35"/>
        <w:gridCol w:w="100"/>
        <w:gridCol w:w="630"/>
        <w:gridCol w:w="36"/>
        <w:gridCol w:w="40"/>
        <w:gridCol w:w="31"/>
        <w:gridCol w:w="35"/>
        <w:gridCol w:w="84"/>
        <w:gridCol w:w="528"/>
        <w:gridCol w:w="35"/>
        <w:gridCol w:w="40"/>
        <w:gridCol w:w="31"/>
        <w:gridCol w:w="35"/>
        <w:gridCol w:w="79"/>
        <w:gridCol w:w="591"/>
        <w:gridCol w:w="35"/>
      </w:tblGrid>
      <w:tr w:rsidR="00584EC1" w14:paraId="74DE01CD" w14:textId="77777777">
        <w:tc>
          <w:tcPr>
            <w:tcW w:w="50" w:type="pct"/>
            <w:shd w:val="clear" w:color="auto" w:fill="auto"/>
            <w:vAlign w:val="bottom"/>
          </w:tcPr>
          <w:p w14:paraId="74DE018E" w14:textId="77777777" w:rsidR="00584EC1" w:rsidRDefault="00584EC1">
            <w:pPr>
              <w:rPr>
                <w:rFonts w:ascii="宋体"/>
              </w:rPr>
            </w:pPr>
          </w:p>
        </w:tc>
        <w:tc>
          <w:tcPr>
            <w:tcW w:w="273" w:type="pct"/>
            <w:shd w:val="clear" w:color="auto" w:fill="auto"/>
            <w:vAlign w:val="bottom"/>
          </w:tcPr>
          <w:p w14:paraId="74DE018F" w14:textId="77777777" w:rsidR="00584EC1" w:rsidRDefault="00584EC1">
            <w:pPr>
              <w:rPr>
                <w:rFonts w:ascii="宋体"/>
              </w:rPr>
            </w:pPr>
          </w:p>
        </w:tc>
        <w:tc>
          <w:tcPr>
            <w:tcW w:w="5" w:type="pct"/>
            <w:shd w:val="clear" w:color="auto" w:fill="auto"/>
            <w:vAlign w:val="bottom"/>
          </w:tcPr>
          <w:p w14:paraId="74DE0190" w14:textId="77777777" w:rsidR="00584EC1" w:rsidRDefault="00584EC1">
            <w:pPr>
              <w:rPr>
                <w:rFonts w:ascii="宋体"/>
              </w:rPr>
            </w:pPr>
          </w:p>
        </w:tc>
        <w:tc>
          <w:tcPr>
            <w:tcW w:w="5" w:type="pct"/>
            <w:shd w:val="clear" w:color="auto" w:fill="auto"/>
            <w:vAlign w:val="bottom"/>
          </w:tcPr>
          <w:p w14:paraId="74DE0191" w14:textId="77777777" w:rsidR="00584EC1" w:rsidRDefault="00584EC1">
            <w:pPr>
              <w:rPr>
                <w:rFonts w:ascii="宋体"/>
              </w:rPr>
            </w:pPr>
          </w:p>
        </w:tc>
        <w:tc>
          <w:tcPr>
            <w:tcW w:w="19" w:type="pct"/>
            <w:shd w:val="clear" w:color="auto" w:fill="auto"/>
            <w:vAlign w:val="bottom"/>
          </w:tcPr>
          <w:p w14:paraId="74DE0192" w14:textId="77777777" w:rsidR="00584EC1" w:rsidRDefault="00584EC1">
            <w:pPr>
              <w:rPr>
                <w:rFonts w:ascii="宋体"/>
              </w:rPr>
            </w:pPr>
          </w:p>
        </w:tc>
        <w:tc>
          <w:tcPr>
            <w:tcW w:w="5" w:type="pct"/>
            <w:shd w:val="clear" w:color="auto" w:fill="auto"/>
            <w:vAlign w:val="bottom"/>
          </w:tcPr>
          <w:p w14:paraId="74DE0193" w14:textId="77777777" w:rsidR="00584EC1" w:rsidRDefault="00584EC1">
            <w:pPr>
              <w:rPr>
                <w:rFonts w:ascii="宋体"/>
              </w:rPr>
            </w:pPr>
          </w:p>
        </w:tc>
        <w:tc>
          <w:tcPr>
            <w:tcW w:w="50" w:type="pct"/>
            <w:shd w:val="clear" w:color="auto" w:fill="auto"/>
            <w:vAlign w:val="bottom"/>
          </w:tcPr>
          <w:p w14:paraId="74DE0194" w14:textId="77777777" w:rsidR="00584EC1" w:rsidRDefault="00584EC1">
            <w:pPr>
              <w:rPr>
                <w:rFonts w:ascii="宋体"/>
              </w:rPr>
            </w:pPr>
          </w:p>
        </w:tc>
        <w:tc>
          <w:tcPr>
            <w:tcW w:w="463" w:type="pct"/>
            <w:shd w:val="clear" w:color="auto" w:fill="auto"/>
            <w:vAlign w:val="bottom"/>
          </w:tcPr>
          <w:p w14:paraId="74DE0195" w14:textId="77777777" w:rsidR="00584EC1" w:rsidRDefault="00584EC1">
            <w:pPr>
              <w:rPr>
                <w:rFonts w:ascii="宋体"/>
              </w:rPr>
            </w:pPr>
          </w:p>
        </w:tc>
        <w:tc>
          <w:tcPr>
            <w:tcW w:w="5" w:type="pct"/>
            <w:shd w:val="clear" w:color="auto" w:fill="auto"/>
            <w:vAlign w:val="bottom"/>
          </w:tcPr>
          <w:p w14:paraId="74DE0196" w14:textId="77777777" w:rsidR="00584EC1" w:rsidRDefault="00584EC1">
            <w:pPr>
              <w:rPr>
                <w:rFonts w:ascii="宋体"/>
              </w:rPr>
            </w:pPr>
          </w:p>
        </w:tc>
        <w:tc>
          <w:tcPr>
            <w:tcW w:w="5" w:type="pct"/>
            <w:shd w:val="clear" w:color="auto" w:fill="auto"/>
            <w:vAlign w:val="bottom"/>
          </w:tcPr>
          <w:p w14:paraId="74DE0197" w14:textId="77777777" w:rsidR="00584EC1" w:rsidRDefault="00584EC1">
            <w:pPr>
              <w:rPr>
                <w:rFonts w:ascii="宋体"/>
              </w:rPr>
            </w:pPr>
          </w:p>
        </w:tc>
        <w:tc>
          <w:tcPr>
            <w:tcW w:w="19" w:type="pct"/>
            <w:shd w:val="clear" w:color="auto" w:fill="auto"/>
            <w:vAlign w:val="bottom"/>
          </w:tcPr>
          <w:p w14:paraId="74DE0198" w14:textId="77777777" w:rsidR="00584EC1" w:rsidRDefault="00584EC1">
            <w:pPr>
              <w:rPr>
                <w:rFonts w:ascii="宋体"/>
              </w:rPr>
            </w:pPr>
          </w:p>
        </w:tc>
        <w:tc>
          <w:tcPr>
            <w:tcW w:w="5" w:type="pct"/>
            <w:shd w:val="clear" w:color="auto" w:fill="auto"/>
            <w:vAlign w:val="bottom"/>
          </w:tcPr>
          <w:p w14:paraId="74DE0199" w14:textId="77777777" w:rsidR="00584EC1" w:rsidRDefault="00584EC1">
            <w:pPr>
              <w:rPr>
                <w:rFonts w:ascii="宋体"/>
              </w:rPr>
            </w:pPr>
          </w:p>
        </w:tc>
        <w:tc>
          <w:tcPr>
            <w:tcW w:w="50" w:type="pct"/>
            <w:shd w:val="clear" w:color="auto" w:fill="auto"/>
            <w:vAlign w:val="bottom"/>
          </w:tcPr>
          <w:p w14:paraId="74DE019A" w14:textId="77777777" w:rsidR="00584EC1" w:rsidRDefault="00584EC1">
            <w:pPr>
              <w:rPr>
                <w:rFonts w:ascii="宋体"/>
              </w:rPr>
            </w:pPr>
          </w:p>
        </w:tc>
        <w:tc>
          <w:tcPr>
            <w:tcW w:w="332" w:type="pct"/>
            <w:shd w:val="clear" w:color="auto" w:fill="auto"/>
            <w:vAlign w:val="bottom"/>
          </w:tcPr>
          <w:p w14:paraId="74DE019B" w14:textId="77777777" w:rsidR="00584EC1" w:rsidRDefault="00584EC1">
            <w:pPr>
              <w:rPr>
                <w:rFonts w:ascii="宋体"/>
              </w:rPr>
            </w:pPr>
          </w:p>
        </w:tc>
        <w:tc>
          <w:tcPr>
            <w:tcW w:w="5" w:type="pct"/>
            <w:shd w:val="clear" w:color="auto" w:fill="auto"/>
            <w:vAlign w:val="bottom"/>
          </w:tcPr>
          <w:p w14:paraId="74DE019C" w14:textId="77777777" w:rsidR="00584EC1" w:rsidRDefault="00584EC1">
            <w:pPr>
              <w:rPr>
                <w:rFonts w:ascii="宋体"/>
              </w:rPr>
            </w:pPr>
          </w:p>
        </w:tc>
        <w:tc>
          <w:tcPr>
            <w:tcW w:w="5" w:type="pct"/>
            <w:shd w:val="clear" w:color="auto" w:fill="auto"/>
            <w:vAlign w:val="bottom"/>
          </w:tcPr>
          <w:p w14:paraId="74DE019D" w14:textId="77777777" w:rsidR="00584EC1" w:rsidRDefault="00584EC1">
            <w:pPr>
              <w:rPr>
                <w:rFonts w:ascii="宋体"/>
              </w:rPr>
            </w:pPr>
          </w:p>
        </w:tc>
        <w:tc>
          <w:tcPr>
            <w:tcW w:w="19" w:type="pct"/>
            <w:shd w:val="clear" w:color="auto" w:fill="auto"/>
            <w:vAlign w:val="bottom"/>
          </w:tcPr>
          <w:p w14:paraId="74DE019E" w14:textId="77777777" w:rsidR="00584EC1" w:rsidRDefault="00584EC1">
            <w:pPr>
              <w:rPr>
                <w:rFonts w:ascii="宋体"/>
              </w:rPr>
            </w:pPr>
          </w:p>
        </w:tc>
        <w:tc>
          <w:tcPr>
            <w:tcW w:w="5" w:type="pct"/>
            <w:shd w:val="clear" w:color="auto" w:fill="auto"/>
            <w:vAlign w:val="bottom"/>
          </w:tcPr>
          <w:p w14:paraId="74DE019F" w14:textId="77777777" w:rsidR="00584EC1" w:rsidRDefault="00584EC1">
            <w:pPr>
              <w:rPr>
                <w:rFonts w:ascii="宋体"/>
              </w:rPr>
            </w:pPr>
          </w:p>
        </w:tc>
        <w:tc>
          <w:tcPr>
            <w:tcW w:w="50" w:type="pct"/>
            <w:shd w:val="clear" w:color="auto" w:fill="auto"/>
            <w:vAlign w:val="bottom"/>
          </w:tcPr>
          <w:p w14:paraId="74DE01A0" w14:textId="77777777" w:rsidR="00584EC1" w:rsidRDefault="00584EC1">
            <w:pPr>
              <w:rPr>
                <w:rFonts w:ascii="宋体"/>
              </w:rPr>
            </w:pPr>
          </w:p>
        </w:tc>
        <w:tc>
          <w:tcPr>
            <w:tcW w:w="339" w:type="pct"/>
            <w:shd w:val="clear" w:color="auto" w:fill="auto"/>
            <w:vAlign w:val="bottom"/>
          </w:tcPr>
          <w:p w14:paraId="74DE01A1" w14:textId="77777777" w:rsidR="00584EC1" w:rsidRDefault="00584EC1">
            <w:pPr>
              <w:rPr>
                <w:rFonts w:ascii="宋体"/>
              </w:rPr>
            </w:pPr>
          </w:p>
        </w:tc>
        <w:tc>
          <w:tcPr>
            <w:tcW w:w="5" w:type="pct"/>
            <w:shd w:val="clear" w:color="auto" w:fill="auto"/>
            <w:vAlign w:val="bottom"/>
          </w:tcPr>
          <w:p w14:paraId="74DE01A2" w14:textId="77777777" w:rsidR="00584EC1" w:rsidRDefault="00584EC1">
            <w:pPr>
              <w:rPr>
                <w:rFonts w:ascii="宋体"/>
              </w:rPr>
            </w:pPr>
          </w:p>
        </w:tc>
        <w:tc>
          <w:tcPr>
            <w:tcW w:w="5" w:type="pct"/>
            <w:shd w:val="clear" w:color="auto" w:fill="auto"/>
            <w:vAlign w:val="bottom"/>
          </w:tcPr>
          <w:p w14:paraId="74DE01A3" w14:textId="77777777" w:rsidR="00584EC1" w:rsidRDefault="00584EC1">
            <w:pPr>
              <w:rPr>
                <w:rFonts w:ascii="宋体"/>
              </w:rPr>
            </w:pPr>
          </w:p>
        </w:tc>
        <w:tc>
          <w:tcPr>
            <w:tcW w:w="19" w:type="pct"/>
            <w:shd w:val="clear" w:color="auto" w:fill="auto"/>
            <w:vAlign w:val="bottom"/>
          </w:tcPr>
          <w:p w14:paraId="74DE01A4" w14:textId="77777777" w:rsidR="00584EC1" w:rsidRDefault="00584EC1">
            <w:pPr>
              <w:rPr>
                <w:rFonts w:ascii="宋体"/>
              </w:rPr>
            </w:pPr>
          </w:p>
        </w:tc>
        <w:tc>
          <w:tcPr>
            <w:tcW w:w="5" w:type="pct"/>
            <w:shd w:val="clear" w:color="auto" w:fill="auto"/>
            <w:vAlign w:val="bottom"/>
          </w:tcPr>
          <w:p w14:paraId="74DE01A5" w14:textId="77777777" w:rsidR="00584EC1" w:rsidRDefault="00584EC1">
            <w:pPr>
              <w:rPr>
                <w:rFonts w:ascii="宋体"/>
              </w:rPr>
            </w:pPr>
          </w:p>
        </w:tc>
        <w:tc>
          <w:tcPr>
            <w:tcW w:w="50" w:type="pct"/>
            <w:shd w:val="clear" w:color="auto" w:fill="auto"/>
            <w:vAlign w:val="bottom"/>
          </w:tcPr>
          <w:p w14:paraId="74DE01A6" w14:textId="77777777" w:rsidR="00584EC1" w:rsidRDefault="00584EC1">
            <w:pPr>
              <w:rPr>
                <w:rFonts w:ascii="宋体"/>
              </w:rPr>
            </w:pPr>
          </w:p>
        </w:tc>
        <w:tc>
          <w:tcPr>
            <w:tcW w:w="332" w:type="pct"/>
            <w:shd w:val="clear" w:color="auto" w:fill="auto"/>
            <w:vAlign w:val="bottom"/>
          </w:tcPr>
          <w:p w14:paraId="74DE01A7" w14:textId="77777777" w:rsidR="00584EC1" w:rsidRDefault="00584EC1">
            <w:pPr>
              <w:rPr>
                <w:rFonts w:ascii="宋体"/>
              </w:rPr>
            </w:pPr>
          </w:p>
        </w:tc>
        <w:tc>
          <w:tcPr>
            <w:tcW w:w="5" w:type="pct"/>
            <w:shd w:val="clear" w:color="auto" w:fill="auto"/>
            <w:vAlign w:val="bottom"/>
          </w:tcPr>
          <w:p w14:paraId="74DE01A8" w14:textId="77777777" w:rsidR="00584EC1" w:rsidRDefault="00584EC1">
            <w:pPr>
              <w:rPr>
                <w:rFonts w:ascii="宋体"/>
              </w:rPr>
            </w:pPr>
          </w:p>
        </w:tc>
        <w:tc>
          <w:tcPr>
            <w:tcW w:w="5" w:type="pct"/>
            <w:shd w:val="clear" w:color="auto" w:fill="auto"/>
            <w:vAlign w:val="bottom"/>
          </w:tcPr>
          <w:p w14:paraId="74DE01A9" w14:textId="77777777" w:rsidR="00584EC1" w:rsidRDefault="00584EC1">
            <w:pPr>
              <w:rPr>
                <w:rFonts w:ascii="宋体"/>
              </w:rPr>
            </w:pPr>
          </w:p>
        </w:tc>
        <w:tc>
          <w:tcPr>
            <w:tcW w:w="19" w:type="pct"/>
            <w:shd w:val="clear" w:color="auto" w:fill="auto"/>
            <w:vAlign w:val="bottom"/>
          </w:tcPr>
          <w:p w14:paraId="74DE01AA" w14:textId="77777777" w:rsidR="00584EC1" w:rsidRDefault="00584EC1">
            <w:pPr>
              <w:rPr>
                <w:rFonts w:ascii="宋体"/>
              </w:rPr>
            </w:pPr>
          </w:p>
        </w:tc>
        <w:tc>
          <w:tcPr>
            <w:tcW w:w="5" w:type="pct"/>
            <w:shd w:val="clear" w:color="auto" w:fill="auto"/>
            <w:vAlign w:val="bottom"/>
          </w:tcPr>
          <w:p w14:paraId="74DE01AB" w14:textId="77777777" w:rsidR="00584EC1" w:rsidRDefault="00584EC1">
            <w:pPr>
              <w:rPr>
                <w:rFonts w:ascii="宋体"/>
              </w:rPr>
            </w:pPr>
          </w:p>
        </w:tc>
        <w:tc>
          <w:tcPr>
            <w:tcW w:w="50" w:type="pct"/>
            <w:shd w:val="clear" w:color="auto" w:fill="auto"/>
            <w:vAlign w:val="bottom"/>
          </w:tcPr>
          <w:p w14:paraId="74DE01AC" w14:textId="77777777" w:rsidR="00584EC1" w:rsidRDefault="00584EC1">
            <w:pPr>
              <w:rPr>
                <w:rFonts w:ascii="宋体"/>
              </w:rPr>
            </w:pPr>
          </w:p>
        </w:tc>
        <w:tc>
          <w:tcPr>
            <w:tcW w:w="332" w:type="pct"/>
            <w:shd w:val="clear" w:color="auto" w:fill="auto"/>
            <w:vAlign w:val="bottom"/>
          </w:tcPr>
          <w:p w14:paraId="74DE01AD" w14:textId="77777777" w:rsidR="00584EC1" w:rsidRDefault="00584EC1">
            <w:pPr>
              <w:rPr>
                <w:rFonts w:ascii="宋体"/>
              </w:rPr>
            </w:pPr>
          </w:p>
        </w:tc>
        <w:tc>
          <w:tcPr>
            <w:tcW w:w="5" w:type="pct"/>
            <w:shd w:val="clear" w:color="auto" w:fill="auto"/>
            <w:vAlign w:val="bottom"/>
          </w:tcPr>
          <w:p w14:paraId="74DE01AE" w14:textId="77777777" w:rsidR="00584EC1" w:rsidRDefault="00584EC1">
            <w:pPr>
              <w:rPr>
                <w:rFonts w:ascii="宋体"/>
              </w:rPr>
            </w:pPr>
          </w:p>
        </w:tc>
        <w:tc>
          <w:tcPr>
            <w:tcW w:w="5" w:type="pct"/>
            <w:shd w:val="clear" w:color="auto" w:fill="auto"/>
            <w:vAlign w:val="bottom"/>
          </w:tcPr>
          <w:p w14:paraId="74DE01AF" w14:textId="77777777" w:rsidR="00584EC1" w:rsidRDefault="00584EC1">
            <w:pPr>
              <w:rPr>
                <w:rFonts w:ascii="宋体"/>
              </w:rPr>
            </w:pPr>
          </w:p>
        </w:tc>
        <w:tc>
          <w:tcPr>
            <w:tcW w:w="19" w:type="pct"/>
            <w:shd w:val="clear" w:color="auto" w:fill="auto"/>
            <w:vAlign w:val="bottom"/>
          </w:tcPr>
          <w:p w14:paraId="74DE01B0" w14:textId="77777777" w:rsidR="00584EC1" w:rsidRDefault="00584EC1">
            <w:pPr>
              <w:rPr>
                <w:rFonts w:ascii="宋体"/>
              </w:rPr>
            </w:pPr>
          </w:p>
        </w:tc>
        <w:tc>
          <w:tcPr>
            <w:tcW w:w="5" w:type="pct"/>
            <w:shd w:val="clear" w:color="auto" w:fill="auto"/>
            <w:vAlign w:val="bottom"/>
          </w:tcPr>
          <w:p w14:paraId="74DE01B1" w14:textId="77777777" w:rsidR="00584EC1" w:rsidRDefault="00584EC1">
            <w:pPr>
              <w:rPr>
                <w:rFonts w:ascii="宋体"/>
              </w:rPr>
            </w:pPr>
          </w:p>
        </w:tc>
        <w:tc>
          <w:tcPr>
            <w:tcW w:w="50" w:type="pct"/>
            <w:shd w:val="clear" w:color="auto" w:fill="auto"/>
            <w:vAlign w:val="bottom"/>
          </w:tcPr>
          <w:p w14:paraId="74DE01B2" w14:textId="77777777" w:rsidR="00584EC1" w:rsidRDefault="00584EC1">
            <w:pPr>
              <w:rPr>
                <w:rFonts w:ascii="宋体"/>
              </w:rPr>
            </w:pPr>
          </w:p>
        </w:tc>
        <w:tc>
          <w:tcPr>
            <w:tcW w:w="332" w:type="pct"/>
            <w:shd w:val="clear" w:color="auto" w:fill="auto"/>
            <w:vAlign w:val="bottom"/>
          </w:tcPr>
          <w:p w14:paraId="74DE01B3" w14:textId="77777777" w:rsidR="00584EC1" w:rsidRDefault="00584EC1">
            <w:pPr>
              <w:rPr>
                <w:rFonts w:ascii="宋体"/>
              </w:rPr>
            </w:pPr>
          </w:p>
        </w:tc>
        <w:tc>
          <w:tcPr>
            <w:tcW w:w="5" w:type="pct"/>
            <w:shd w:val="clear" w:color="auto" w:fill="auto"/>
            <w:vAlign w:val="bottom"/>
          </w:tcPr>
          <w:p w14:paraId="74DE01B4" w14:textId="77777777" w:rsidR="00584EC1" w:rsidRDefault="00584EC1">
            <w:pPr>
              <w:rPr>
                <w:rFonts w:ascii="宋体"/>
              </w:rPr>
            </w:pPr>
          </w:p>
        </w:tc>
        <w:tc>
          <w:tcPr>
            <w:tcW w:w="5" w:type="pct"/>
            <w:shd w:val="clear" w:color="auto" w:fill="auto"/>
            <w:vAlign w:val="bottom"/>
          </w:tcPr>
          <w:p w14:paraId="74DE01B5" w14:textId="77777777" w:rsidR="00584EC1" w:rsidRDefault="00584EC1">
            <w:pPr>
              <w:rPr>
                <w:rFonts w:ascii="宋体"/>
              </w:rPr>
            </w:pPr>
          </w:p>
        </w:tc>
        <w:tc>
          <w:tcPr>
            <w:tcW w:w="19" w:type="pct"/>
            <w:shd w:val="clear" w:color="auto" w:fill="auto"/>
            <w:vAlign w:val="bottom"/>
          </w:tcPr>
          <w:p w14:paraId="74DE01B6" w14:textId="77777777" w:rsidR="00584EC1" w:rsidRDefault="00584EC1">
            <w:pPr>
              <w:rPr>
                <w:rFonts w:ascii="宋体"/>
              </w:rPr>
            </w:pPr>
          </w:p>
        </w:tc>
        <w:tc>
          <w:tcPr>
            <w:tcW w:w="5" w:type="pct"/>
            <w:shd w:val="clear" w:color="auto" w:fill="auto"/>
            <w:vAlign w:val="bottom"/>
          </w:tcPr>
          <w:p w14:paraId="74DE01B7" w14:textId="77777777" w:rsidR="00584EC1" w:rsidRDefault="00584EC1">
            <w:pPr>
              <w:rPr>
                <w:rFonts w:ascii="宋体"/>
              </w:rPr>
            </w:pPr>
          </w:p>
        </w:tc>
        <w:tc>
          <w:tcPr>
            <w:tcW w:w="50" w:type="pct"/>
            <w:shd w:val="clear" w:color="auto" w:fill="auto"/>
            <w:vAlign w:val="bottom"/>
          </w:tcPr>
          <w:p w14:paraId="74DE01B8" w14:textId="77777777" w:rsidR="00584EC1" w:rsidRDefault="00584EC1">
            <w:pPr>
              <w:rPr>
                <w:rFonts w:ascii="宋体"/>
              </w:rPr>
            </w:pPr>
          </w:p>
        </w:tc>
        <w:tc>
          <w:tcPr>
            <w:tcW w:w="617" w:type="pct"/>
            <w:shd w:val="clear" w:color="auto" w:fill="auto"/>
            <w:vAlign w:val="bottom"/>
          </w:tcPr>
          <w:p w14:paraId="74DE01B9" w14:textId="77777777" w:rsidR="00584EC1" w:rsidRDefault="00584EC1">
            <w:pPr>
              <w:rPr>
                <w:rFonts w:ascii="宋体"/>
              </w:rPr>
            </w:pPr>
          </w:p>
        </w:tc>
        <w:tc>
          <w:tcPr>
            <w:tcW w:w="5" w:type="pct"/>
            <w:shd w:val="clear" w:color="auto" w:fill="auto"/>
            <w:vAlign w:val="bottom"/>
          </w:tcPr>
          <w:p w14:paraId="74DE01BA" w14:textId="77777777" w:rsidR="00584EC1" w:rsidRDefault="00584EC1">
            <w:pPr>
              <w:rPr>
                <w:rFonts w:ascii="宋体"/>
              </w:rPr>
            </w:pPr>
          </w:p>
        </w:tc>
        <w:tc>
          <w:tcPr>
            <w:tcW w:w="5" w:type="pct"/>
            <w:shd w:val="clear" w:color="auto" w:fill="auto"/>
            <w:vAlign w:val="bottom"/>
          </w:tcPr>
          <w:p w14:paraId="74DE01BB" w14:textId="77777777" w:rsidR="00584EC1" w:rsidRDefault="00584EC1">
            <w:pPr>
              <w:rPr>
                <w:rFonts w:ascii="宋体"/>
              </w:rPr>
            </w:pPr>
          </w:p>
        </w:tc>
        <w:tc>
          <w:tcPr>
            <w:tcW w:w="19" w:type="pct"/>
            <w:shd w:val="clear" w:color="auto" w:fill="auto"/>
            <w:vAlign w:val="bottom"/>
          </w:tcPr>
          <w:p w14:paraId="74DE01BC" w14:textId="77777777" w:rsidR="00584EC1" w:rsidRDefault="00584EC1">
            <w:pPr>
              <w:rPr>
                <w:rFonts w:ascii="宋体"/>
              </w:rPr>
            </w:pPr>
          </w:p>
        </w:tc>
        <w:tc>
          <w:tcPr>
            <w:tcW w:w="5" w:type="pct"/>
            <w:shd w:val="clear" w:color="auto" w:fill="auto"/>
            <w:vAlign w:val="bottom"/>
          </w:tcPr>
          <w:p w14:paraId="74DE01BD" w14:textId="77777777" w:rsidR="00584EC1" w:rsidRDefault="00584EC1">
            <w:pPr>
              <w:rPr>
                <w:rFonts w:ascii="宋体"/>
              </w:rPr>
            </w:pPr>
          </w:p>
        </w:tc>
        <w:tc>
          <w:tcPr>
            <w:tcW w:w="50" w:type="pct"/>
            <w:shd w:val="clear" w:color="auto" w:fill="auto"/>
            <w:vAlign w:val="bottom"/>
          </w:tcPr>
          <w:p w14:paraId="74DE01BE" w14:textId="77777777" w:rsidR="00584EC1" w:rsidRDefault="00584EC1">
            <w:pPr>
              <w:rPr>
                <w:rFonts w:ascii="宋体"/>
              </w:rPr>
            </w:pPr>
          </w:p>
        </w:tc>
        <w:tc>
          <w:tcPr>
            <w:tcW w:w="325" w:type="pct"/>
            <w:shd w:val="clear" w:color="auto" w:fill="auto"/>
            <w:vAlign w:val="bottom"/>
          </w:tcPr>
          <w:p w14:paraId="74DE01BF" w14:textId="77777777" w:rsidR="00584EC1" w:rsidRDefault="00584EC1">
            <w:pPr>
              <w:rPr>
                <w:rFonts w:ascii="宋体"/>
              </w:rPr>
            </w:pPr>
          </w:p>
        </w:tc>
        <w:tc>
          <w:tcPr>
            <w:tcW w:w="5" w:type="pct"/>
            <w:shd w:val="clear" w:color="auto" w:fill="auto"/>
            <w:vAlign w:val="bottom"/>
          </w:tcPr>
          <w:p w14:paraId="74DE01C0" w14:textId="77777777" w:rsidR="00584EC1" w:rsidRDefault="00584EC1">
            <w:pPr>
              <w:rPr>
                <w:rFonts w:ascii="宋体"/>
              </w:rPr>
            </w:pPr>
          </w:p>
        </w:tc>
        <w:tc>
          <w:tcPr>
            <w:tcW w:w="5" w:type="pct"/>
            <w:shd w:val="clear" w:color="auto" w:fill="auto"/>
            <w:vAlign w:val="bottom"/>
          </w:tcPr>
          <w:p w14:paraId="74DE01C1" w14:textId="77777777" w:rsidR="00584EC1" w:rsidRDefault="00584EC1">
            <w:pPr>
              <w:rPr>
                <w:rFonts w:ascii="宋体"/>
              </w:rPr>
            </w:pPr>
          </w:p>
        </w:tc>
        <w:tc>
          <w:tcPr>
            <w:tcW w:w="19" w:type="pct"/>
            <w:shd w:val="clear" w:color="auto" w:fill="auto"/>
            <w:vAlign w:val="bottom"/>
          </w:tcPr>
          <w:p w14:paraId="74DE01C2" w14:textId="77777777" w:rsidR="00584EC1" w:rsidRDefault="00584EC1">
            <w:pPr>
              <w:rPr>
                <w:rFonts w:ascii="宋体"/>
              </w:rPr>
            </w:pPr>
          </w:p>
        </w:tc>
        <w:tc>
          <w:tcPr>
            <w:tcW w:w="5" w:type="pct"/>
            <w:shd w:val="clear" w:color="auto" w:fill="auto"/>
            <w:vAlign w:val="bottom"/>
          </w:tcPr>
          <w:p w14:paraId="74DE01C3" w14:textId="77777777" w:rsidR="00584EC1" w:rsidRDefault="00584EC1">
            <w:pPr>
              <w:rPr>
                <w:rFonts w:ascii="宋体"/>
              </w:rPr>
            </w:pPr>
          </w:p>
        </w:tc>
        <w:tc>
          <w:tcPr>
            <w:tcW w:w="50" w:type="pct"/>
            <w:shd w:val="clear" w:color="auto" w:fill="auto"/>
            <w:vAlign w:val="bottom"/>
          </w:tcPr>
          <w:p w14:paraId="74DE01C4" w14:textId="77777777" w:rsidR="00584EC1" w:rsidRDefault="00584EC1">
            <w:pPr>
              <w:rPr>
                <w:rFonts w:ascii="宋体"/>
              </w:rPr>
            </w:pPr>
          </w:p>
        </w:tc>
        <w:tc>
          <w:tcPr>
            <w:tcW w:w="361" w:type="pct"/>
            <w:shd w:val="clear" w:color="auto" w:fill="auto"/>
            <w:vAlign w:val="bottom"/>
          </w:tcPr>
          <w:p w14:paraId="74DE01C5" w14:textId="77777777" w:rsidR="00584EC1" w:rsidRDefault="00584EC1">
            <w:pPr>
              <w:rPr>
                <w:rFonts w:ascii="宋体"/>
              </w:rPr>
            </w:pPr>
          </w:p>
        </w:tc>
        <w:tc>
          <w:tcPr>
            <w:tcW w:w="5" w:type="pct"/>
            <w:shd w:val="clear" w:color="auto" w:fill="auto"/>
            <w:vAlign w:val="bottom"/>
          </w:tcPr>
          <w:p w14:paraId="74DE01C6" w14:textId="77777777" w:rsidR="00584EC1" w:rsidRDefault="00584EC1">
            <w:pPr>
              <w:rPr>
                <w:rFonts w:ascii="宋体"/>
              </w:rPr>
            </w:pPr>
          </w:p>
        </w:tc>
        <w:tc>
          <w:tcPr>
            <w:tcW w:w="5" w:type="pct"/>
            <w:shd w:val="clear" w:color="auto" w:fill="auto"/>
            <w:vAlign w:val="bottom"/>
          </w:tcPr>
          <w:p w14:paraId="74DE01C7" w14:textId="77777777" w:rsidR="00584EC1" w:rsidRDefault="00584EC1">
            <w:pPr>
              <w:rPr>
                <w:rFonts w:ascii="宋体"/>
              </w:rPr>
            </w:pPr>
          </w:p>
        </w:tc>
        <w:tc>
          <w:tcPr>
            <w:tcW w:w="19" w:type="pct"/>
            <w:shd w:val="clear" w:color="auto" w:fill="auto"/>
            <w:vAlign w:val="bottom"/>
          </w:tcPr>
          <w:p w14:paraId="74DE01C8" w14:textId="77777777" w:rsidR="00584EC1" w:rsidRDefault="00584EC1">
            <w:pPr>
              <w:rPr>
                <w:rFonts w:ascii="宋体"/>
              </w:rPr>
            </w:pPr>
          </w:p>
        </w:tc>
        <w:tc>
          <w:tcPr>
            <w:tcW w:w="5" w:type="pct"/>
            <w:shd w:val="clear" w:color="auto" w:fill="auto"/>
            <w:vAlign w:val="bottom"/>
          </w:tcPr>
          <w:p w14:paraId="74DE01C9" w14:textId="77777777" w:rsidR="00584EC1" w:rsidRDefault="00584EC1">
            <w:pPr>
              <w:rPr>
                <w:rFonts w:ascii="宋体"/>
              </w:rPr>
            </w:pPr>
          </w:p>
        </w:tc>
        <w:tc>
          <w:tcPr>
            <w:tcW w:w="50" w:type="pct"/>
            <w:shd w:val="clear" w:color="auto" w:fill="auto"/>
            <w:vAlign w:val="bottom"/>
          </w:tcPr>
          <w:p w14:paraId="74DE01CA" w14:textId="77777777" w:rsidR="00584EC1" w:rsidRDefault="00584EC1">
            <w:pPr>
              <w:rPr>
                <w:rFonts w:ascii="宋体"/>
              </w:rPr>
            </w:pPr>
          </w:p>
        </w:tc>
        <w:tc>
          <w:tcPr>
            <w:tcW w:w="391" w:type="pct"/>
            <w:shd w:val="clear" w:color="auto" w:fill="auto"/>
            <w:vAlign w:val="bottom"/>
          </w:tcPr>
          <w:p w14:paraId="74DE01CB" w14:textId="77777777" w:rsidR="00584EC1" w:rsidRDefault="00584EC1">
            <w:pPr>
              <w:rPr>
                <w:rFonts w:ascii="宋体"/>
              </w:rPr>
            </w:pPr>
          </w:p>
        </w:tc>
        <w:tc>
          <w:tcPr>
            <w:tcW w:w="5" w:type="pct"/>
            <w:shd w:val="clear" w:color="auto" w:fill="auto"/>
            <w:vAlign w:val="bottom"/>
          </w:tcPr>
          <w:p w14:paraId="74DE01CC" w14:textId="77777777" w:rsidR="00584EC1" w:rsidRDefault="00584EC1">
            <w:pPr>
              <w:rPr>
                <w:rFonts w:ascii="宋体"/>
              </w:rPr>
            </w:pPr>
          </w:p>
        </w:tc>
      </w:tr>
      <w:tr w:rsidR="00584EC1" w14:paraId="74DE01E3" w14:textId="77777777">
        <w:tc>
          <w:tcPr>
            <w:tcW w:w="0" w:type="auto"/>
            <w:gridSpan w:val="3"/>
            <w:shd w:val="clear" w:color="auto" w:fill="auto"/>
            <w:tcMar>
              <w:top w:w="40" w:type="dxa"/>
              <w:left w:w="20" w:type="dxa"/>
              <w:bottom w:w="40" w:type="dxa"/>
              <w:right w:w="20" w:type="dxa"/>
            </w:tcMar>
            <w:vAlign w:val="bottom"/>
          </w:tcPr>
          <w:p w14:paraId="74DE01CE" w14:textId="77777777" w:rsidR="00584EC1" w:rsidRDefault="00871F8D">
            <w:pPr>
              <w:textAlignment w:val="bottom"/>
            </w:pPr>
            <w:r>
              <w:rPr>
                <w:rFonts w:ascii="Arial" w:eastAsia="宋体" w:hAnsi="Arial" w:cs="Arial"/>
                <w:b/>
                <w:bCs/>
                <w:color w:val="000000"/>
                <w:sz w:val="12"/>
                <w:szCs w:val="12"/>
              </w:rPr>
              <w:t>Preferred Stock</w:t>
            </w:r>
            <w:r>
              <w:rPr>
                <w:rFonts w:ascii="Arial" w:eastAsia="宋体" w:hAnsi="Arial" w:cs="Arial"/>
                <w:b/>
                <w:bCs/>
                <w:color w:val="000000"/>
                <w:sz w:val="7"/>
                <w:szCs w:val="7"/>
              </w:rPr>
              <w:t>(1)</w:t>
            </w:r>
            <w:r>
              <w:rPr>
                <w:rFonts w:ascii="Arial" w:eastAsia="宋体" w:hAnsi="Arial" w:cs="Arial"/>
                <w:b/>
                <w:bCs/>
                <w:color w:val="000000"/>
                <w:sz w:val="12"/>
                <w:szCs w:val="12"/>
              </w:rPr>
              <w:t>:</w:t>
            </w:r>
          </w:p>
        </w:tc>
        <w:tc>
          <w:tcPr>
            <w:tcW w:w="0" w:type="auto"/>
            <w:gridSpan w:val="3"/>
            <w:shd w:val="clear" w:color="auto" w:fill="auto"/>
            <w:tcMar>
              <w:top w:w="0" w:type="dxa"/>
              <w:left w:w="20" w:type="dxa"/>
              <w:bottom w:w="0" w:type="dxa"/>
              <w:right w:w="20" w:type="dxa"/>
            </w:tcMar>
            <w:vAlign w:val="bottom"/>
          </w:tcPr>
          <w:p w14:paraId="74DE01CF"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E01D0" w14:textId="77777777" w:rsidR="00584EC1" w:rsidRDefault="00871F8D">
            <w:pPr>
              <w:jc w:val="center"/>
              <w:textAlignment w:val="bottom"/>
            </w:pPr>
            <w:r>
              <w:rPr>
                <w:rFonts w:ascii="Arial" w:eastAsia="宋体" w:hAnsi="Arial" w:cs="Arial"/>
                <w:b/>
                <w:bCs/>
                <w:color w:val="000000"/>
                <w:sz w:val="12"/>
                <w:szCs w:val="12"/>
              </w:rPr>
              <w:t>Issuance Date</w:t>
            </w:r>
          </w:p>
        </w:tc>
        <w:tc>
          <w:tcPr>
            <w:tcW w:w="0" w:type="auto"/>
            <w:gridSpan w:val="3"/>
            <w:shd w:val="clear" w:color="auto" w:fill="auto"/>
            <w:tcMar>
              <w:top w:w="0" w:type="dxa"/>
              <w:left w:w="20" w:type="dxa"/>
              <w:bottom w:w="0" w:type="dxa"/>
              <w:right w:w="20" w:type="dxa"/>
            </w:tcMar>
            <w:vAlign w:val="bottom"/>
          </w:tcPr>
          <w:p w14:paraId="74DE01D1"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E01D2" w14:textId="77777777" w:rsidR="00584EC1" w:rsidRDefault="00871F8D">
            <w:pPr>
              <w:jc w:val="center"/>
              <w:textAlignment w:val="bottom"/>
            </w:pPr>
            <w:r>
              <w:rPr>
                <w:rFonts w:ascii="Arial" w:eastAsia="宋体" w:hAnsi="Arial" w:cs="Arial"/>
                <w:b/>
                <w:bCs/>
                <w:color w:val="000000"/>
                <w:sz w:val="12"/>
                <w:szCs w:val="12"/>
              </w:rPr>
              <w:t>Depositary Shares Issued</w:t>
            </w:r>
          </w:p>
        </w:tc>
        <w:tc>
          <w:tcPr>
            <w:tcW w:w="0" w:type="auto"/>
            <w:gridSpan w:val="3"/>
            <w:shd w:val="clear" w:color="auto" w:fill="auto"/>
            <w:tcMar>
              <w:top w:w="0" w:type="dxa"/>
              <w:left w:w="20" w:type="dxa"/>
              <w:bottom w:w="0" w:type="dxa"/>
              <w:right w:w="20" w:type="dxa"/>
            </w:tcMar>
            <w:vAlign w:val="bottom"/>
          </w:tcPr>
          <w:p w14:paraId="74DE01D3"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E01D4" w14:textId="77777777" w:rsidR="00584EC1" w:rsidRDefault="00871F8D">
            <w:pPr>
              <w:jc w:val="center"/>
              <w:textAlignment w:val="bottom"/>
            </w:pPr>
            <w:r>
              <w:rPr>
                <w:rFonts w:ascii="Arial" w:eastAsia="宋体" w:hAnsi="Arial" w:cs="Arial"/>
                <w:b/>
                <w:bCs/>
                <w:color w:val="000000"/>
                <w:sz w:val="12"/>
                <w:szCs w:val="12"/>
              </w:rPr>
              <w:t>Amount outstanding (in millions)</w:t>
            </w:r>
          </w:p>
        </w:tc>
        <w:tc>
          <w:tcPr>
            <w:tcW w:w="0" w:type="auto"/>
            <w:gridSpan w:val="3"/>
            <w:shd w:val="clear" w:color="auto" w:fill="auto"/>
            <w:tcMar>
              <w:top w:w="0" w:type="dxa"/>
              <w:left w:w="20" w:type="dxa"/>
              <w:bottom w:w="0" w:type="dxa"/>
              <w:right w:w="20" w:type="dxa"/>
            </w:tcMar>
            <w:vAlign w:val="bottom"/>
          </w:tcPr>
          <w:p w14:paraId="74DE01D5"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E01D6" w14:textId="77777777" w:rsidR="00584EC1" w:rsidRDefault="00871F8D">
            <w:pPr>
              <w:jc w:val="center"/>
              <w:textAlignment w:val="bottom"/>
            </w:pPr>
            <w:r>
              <w:rPr>
                <w:rFonts w:ascii="Arial" w:eastAsia="宋体" w:hAnsi="Arial" w:cs="Arial"/>
                <w:b/>
                <w:bCs/>
                <w:color w:val="000000"/>
                <w:sz w:val="12"/>
                <w:szCs w:val="12"/>
              </w:rPr>
              <w:t>Ownership Interest Per Depositary Share</w:t>
            </w:r>
          </w:p>
        </w:tc>
        <w:tc>
          <w:tcPr>
            <w:tcW w:w="0" w:type="auto"/>
            <w:gridSpan w:val="3"/>
            <w:shd w:val="clear" w:color="auto" w:fill="auto"/>
            <w:tcMar>
              <w:top w:w="0" w:type="dxa"/>
              <w:left w:w="20" w:type="dxa"/>
              <w:bottom w:w="0" w:type="dxa"/>
              <w:right w:w="20" w:type="dxa"/>
            </w:tcMar>
            <w:vAlign w:val="bottom"/>
          </w:tcPr>
          <w:p w14:paraId="74DE01D7"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E01D8" w14:textId="77777777" w:rsidR="00584EC1" w:rsidRDefault="00871F8D">
            <w:pPr>
              <w:jc w:val="center"/>
              <w:textAlignment w:val="bottom"/>
            </w:pPr>
            <w:r>
              <w:rPr>
                <w:rFonts w:ascii="Arial" w:eastAsia="宋体" w:hAnsi="Arial" w:cs="Arial"/>
                <w:b/>
                <w:bCs/>
                <w:color w:val="000000"/>
                <w:sz w:val="12"/>
                <w:szCs w:val="12"/>
              </w:rPr>
              <w:t>Liquidation Preference Per Share</w:t>
            </w:r>
          </w:p>
        </w:tc>
        <w:tc>
          <w:tcPr>
            <w:tcW w:w="0" w:type="auto"/>
            <w:gridSpan w:val="3"/>
            <w:shd w:val="clear" w:color="auto" w:fill="auto"/>
            <w:tcMar>
              <w:top w:w="0" w:type="dxa"/>
              <w:left w:w="20" w:type="dxa"/>
              <w:bottom w:w="0" w:type="dxa"/>
              <w:right w:w="20" w:type="dxa"/>
            </w:tcMar>
            <w:vAlign w:val="bottom"/>
          </w:tcPr>
          <w:p w14:paraId="74DE01D9"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E01DA" w14:textId="77777777" w:rsidR="00584EC1" w:rsidRDefault="00871F8D">
            <w:pPr>
              <w:jc w:val="center"/>
              <w:textAlignment w:val="bottom"/>
            </w:pPr>
            <w:r>
              <w:rPr>
                <w:rFonts w:ascii="Arial" w:eastAsia="宋体" w:hAnsi="Arial" w:cs="Arial"/>
                <w:b/>
                <w:bCs/>
                <w:color w:val="000000"/>
                <w:sz w:val="12"/>
                <w:szCs w:val="12"/>
              </w:rPr>
              <w:t>Liquidation Preference Per Depositary Share</w:t>
            </w:r>
          </w:p>
        </w:tc>
        <w:tc>
          <w:tcPr>
            <w:tcW w:w="0" w:type="auto"/>
            <w:gridSpan w:val="3"/>
            <w:shd w:val="clear" w:color="auto" w:fill="auto"/>
            <w:tcMar>
              <w:top w:w="0" w:type="dxa"/>
              <w:left w:w="20" w:type="dxa"/>
              <w:bottom w:w="0" w:type="dxa"/>
              <w:right w:w="20" w:type="dxa"/>
            </w:tcMar>
            <w:vAlign w:val="bottom"/>
          </w:tcPr>
          <w:p w14:paraId="74DE01DB"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E01DC" w14:textId="77777777" w:rsidR="00584EC1" w:rsidRDefault="00871F8D">
            <w:pPr>
              <w:jc w:val="center"/>
              <w:textAlignment w:val="bottom"/>
            </w:pPr>
            <w:r>
              <w:rPr>
                <w:rFonts w:ascii="Arial" w:eastAsia="宋体" w:hAnsi="Arial" w:cs="Arial"/>
                <w:b/>
                <w:bCs/>
                <w:color w:val="000000"/>
                <w:sz w:val="12"/>
                <w:szCs w:val="12"/>
              </w:rPr>
              <w:t>Per Annum Dividend Rate</w:t>
            </w:r>
          </w:p>
        </w:tc>
        <w:tc>
          <w:tcPr>
            <w:tcW w:w="0" w:type="auto"/>
            <w:gridSpan w:val="3"/>
            <w:shd w:val="clear" w:color="auto" w:fill="auto"/>
            <w:tcMar>
              <w:top w:w="0" w:type="dxa"/>
              <w:left w:w="20" w:type="dxa"/>
              <w:bottom w:w="0" w:type="dxa"/>
              <w:right w:w="20" w:type="dxa"/>
            </w:tcMar>
            <w:vAlign w:val="bottom"/>
          </w:tcPr>
          <w:p w14:paraId="74DE01DD"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E01DE" w14:textId="77777777" w:rsidR="00584EC1" w:rsidRDefault="00871F8D">
            <w:pPr>
              <w:jc w:val="center"/>
              <w:textAlignment w:val="bottom"/>
            </w:pPr>
            <w:r>
              <w:rPr>
                <w:rFonts w:ascii="Arial" w:eastAsia="宋体" w:hAnsi="Arial" w:cs="Arial"/>
                <w:b/>
                <w:bCs/>
                <w:color w:val="000000"/>
                <w:sz w:val="12"/>
                <w:szCs w:val="12"/>
              </w:rPr>
              <w:t>Dividend Payment Frequency</w:t>
            </w:r>
          </w:p>
        </w:tc>
        <w:tc>
          <w:tcPr>
            <w:tcW w:w="0" w:type="auto"/>
            <w:gridSpan w:val="3"/>
            <w:shd w:val="clear" w:color="auto" w:fill="auto"/>
            <w:tcMar>
              <w:top w:w="0" w:type="dxa"/>
              <w:left w:w="20" w:type="dxa"/>
              <w:bottom w:w="0" w:type="dxa"/>
              <w:right w:w="20" w:type="dxa"/>
            </w:tcMar>
            <w:vAlign w:val="bottom"/>
          </w:tcPr>
          <w:p w14:paraId="74DE01DF"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E01E0" w14:textId="77777777" w:rsidR="00584EC1" w:rsidRDefault="00871F8D">
            <w:pPr>
              <w:jc w:val="center"/>
              <w:textAlignment w:val="bottom"/>
            </w:pPr>
            <w:r>
              <w:rPr>
                <w:rFonts w:ascii="Arial" w:eastAsia="宋体" w:hAnsi="Arial" w:cs="Arial"/>
                <w:b/>
                <w:bCs/>
                <w:color w:val="000000"/>
                <w:sz w:val="12"/>
                <w:szCs w:val="12"/>
              </w:rPr>
              <w:t>Carrying Value as of September 30, 2021</w:t>
            </w:r>
            <w:r>
              <w:rPr>
                <w:rFonts w:ascii="Arial" w:eastAsia="宋体" w:hAnsi="Arial" w:cs="Arial"/>
                <w:b/>
                <w:bCs/>
                <w:color w:val="000000"/>
                <w:sz w:val="12"/>
                <w:szCs w:val="12"/>
              </w:rPr>
              <w:br/>
              <w:t>(In millions)</w:t>
            </w:r>
          </w:p>
        </w:tc>
        <w:tc>
          <w:tcPr>
            <w:tcW w:w="0" w:type="auto"/>
            <w:gridSpan w:val="3"/>
            <w:shd w:val="clear" w:color="auto" w:fill="auto"/>
            <w:tcMar>
              <w:top w:w="0" w:type="dxa"/>
              <w:left w:w="20" w:type="dxa"/>
              <w:bottom w:w="0" w:type="dxa"/>
              <w:right w:w="20" w:type="dxa"/>
            </w:tcMar>
            <w:vAlign w:val="bottom"/>
          </w:tcPr>
          <w:p w14:paraId="74DE01E1"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E01E2" w14:textId="77777777" w:rsidR="00584EC1" w:rsidRDefault="00871F8D">
            <w:pPr>
              <w:jc w:val="center"/>
              <w:textAlignment w:val="bottom"/>
            </w:pPr>
            <w:r>
              <w:rPr>
                <w:rFonts w:ascii="Arial" w:eastAsia="宋体" w:hAnsi="Arial" w:cs="Arial"/>
                <w:b/>
                <w:bCs/>
                <w:color w:val="000000"/>
                <w:sz w:val="12"/>
                <w:szCs w:val="12"/>
              </w:rPr>
              <w:t>Redemption Date</w:t>
            </w:r>
            <w:r>
              <w:rPr>
                <w:rFonts w:ascii="Arial" w:eastAsia="宋体" w:hAnsi="Arial" w:cs="Arial"/>
                <w:b/>
                <w:bCs/>
                <w:color w:val="000000"/>
                <w:sz w:val="7"/>
                <w:szCs w:val="7"/>
              </w:rPr>
              <w:t>(2)</w:t>
            </w:r>
          </w:p>
        </w:tc>
      </w:tr>
      <w:tr w:rsidR="00584EC1" w14:paraId="74DE01F9" w14:textId="77777777">
        <w:trPr>
          <w:hidden/>
        </w:trPr>
        <w:tc>
          <w:tcPr>
            <w:tcW w:w="0" w:type="auto"/>
            <w:gridSpan w:val="3"/>
            <w:shd w:val="clear" w:color="auto" w:fill="auto"/>
            <w:vAlign w:val="bottom"/>
          </w:tcPr>
          <w:p w14:paraId="74DE01E4" w14:textId="77777777" w:rsidR="00584EC1" w:rsidRDefault="00584EC1">
            <w:pPr>
              <w:rPr>
                <w:rFonts w:ascii="宋体"/>
                <w:vanish/>
              </w:rPr>
            </w:pPr>
          </w:p>
        </w:tc>
        <w:tc>
          <w:tcPr>
            <w:tcW w:w="0" w:type="auto"/>
            <w:gridSpan w:val="3"/>
            <w:shd w:val="clear" w:color="auto" w:fill="auto"/>
            <w:vAlign w:val="bottom"/>
          </w:tcPr>
          <w:p w14:paraId="74DE01E5" w14:textId="77777777" w:rsidR="00584EC1" w:rsidRDefault="00584EC1">
            <w:pPr>
              <w:rPr>
                <w:rFonts w:ascii="宋体"/>
                <w:vanish/>
              </w:rPr>
            </w:pPr>
          </w:p>
        </w:tc>
        <w:tc>
          <w:tcPr>
            <w:tcW w:w="0" w:type="auto"/>
            <w:gridSpan w:val="3"/>
            <w:shd w:val="clear" w:color="auto" w:fill="auto"/>
            <w:vAlign w:val="bottom"/>
          </w:tcPr>
          <w:p w14:paraId="74DE01E6" w14:textId="77777777" w:rsidR="00584EC1" w:rsidRDefault="00584EC1">
            <w:pPr>
              <w:rPr>
                <w:rFonts w:ascii="宋体"/>
                <w:vanish/>
              </w:rPr>
            </w:pPr>
          </w:p>
        </w:tc>
        <w:tc>
          <w:tcPr>
            <w:tcW w:w="0" w:type="auto"/>
            <w:gridSpan w:val="3"/>
            <w:shd w:val="clear" w:color="auto" w:fill="auto"/>
            <w:vAlign w:val="bottom"/>
          </w:tcPr>
          <w:p w14:paraId="74DE01E7" w14:textId="77777777" w:rsidR="00584EC1" w:rsidRDefault="00584EC1">
            <w:pPr>
              <w:rPr>
                <w:rFonts w:ascii="宋体"/>
                <w:vanish/>
              </w:rPr>
            </w:pPr>
          </w:p>
        </w:tc>
        <w:tc>
          <w:tcPr>
            <w:tcW w:w="0" w:type="auto"/>
            <w:gridSpan w:val="3"/>
            <w:shd w:val="clear" w:color="auto" w:fill="auto"/>
            <w:vAlign w:val="bottom"/>
          </w:tcPr>
          <w:p w14:paraId="74DE01E8" w14:textId="77777777" w:rsidR="00584EC1" w:rsidRDefault="00584EC1">
            <w:pPr>
              <w:rPr>
                <w:rFonts w:ascii="宋体"/>
                <w:vanish/>
              </w:rPr>
            </w:pPr>
          </w:p>
        </w:tc>
        <w:tc>
          <w:tcPr>
            <w:tcW w:w="0" w:type="auto"/>
            <w:gridSpan w:val="3"/>
            <w:shd w:val="clear" w:color="auto" w:fill="auto"/>
            <w:vAlign w:val="bottom"/>
          </w:tcPr>
          <w:p w14:paraId="74DE01E9" w14:textId="77777777" w:rsidR="00584EC1" w:rsidRDefault="00584EC1">
            <w:pPr>
              <w:rPr>
                <w:rFonts w:ascii="宋体"/>
                <w:vanish/>
              </w:rPr>
            </w:pPr>
          </w:p>
        </w:tc>
        <w:tc>
          <w:tcPr>
            <w:tcW w:w="0" w:type="auto"/>
            <w:gridSpan w:val="3"/>
            <w:shd w:val="clear" w:color="auto" w:fill="auto"/>
            <w:vAlign w:val="bottom"/>
          </w:tcPr>
          <w:p w14:paraId="74DE01EA" w14:textId="77777777" w:rsidR="00584EC1" w:rsidRDefault="00584EC1">
            <w:pPr>
              <w:rPr>
                <w:rFonts w:ascii="宋体"/>
                <w:vanish/>
              </w:rPr>
            </w:pPr>
          </w:p>
        </w:tc>
        <w:tc>
          <w:tcPr>
            <w:tcW w:w="0" w:type="auto"/>
            <w:gridSpan w:val="3"/>
            <w:shd w:val="clear" w:color="auto" w:fill="auto"/>
            <w:vAlign w:val="bottom"/>
          </w:tcPr>
          <w:p w14:paraId="74DE01EB" w14:textId="77777777" w:rsidR="00584EC1" w:rsidRDefault="00584EC1">
            <w:pPr>
              <w:rPr>
                <w:rFonts w:ascii="宋体"/>
                <w:vanish/>
              </w:rPr>
            </w:pPr>
          </w:p>
        </w:tc>
        <w:tc>
          <w:tcPr>
            <w:tcW w:w="0" w:type="auto"/>
            <w:gridSpan w:val="3"/>
            <w:shd w:val="clear" w:color="auto" w:fill="auto"/>
            <w:vAlign w:val="bottom"/>
          </w:tcPr>
          <w:p w14:paraId="74DE01EC" w14:textId="77777777" w:rsidR="00584EC1" w:rsidRDefault="00584EC1">
            <w:pPr>
              <w:rPr>
                <w:rFonts w:ascii="宋体"/>
                <w:vanish/>
              </w:rPr>
            </w:pPr>
          </w:p>
        </w:tc>
        <w:tc>
          <w:tcPr>
            <w:tcW w:w="0" w:type="auto"/>
            <w:gridSpan w:val="3"/>
            <w:shd w:val="clear" w:color="auto" w:fill="auto"/>
            <w:vAlign w:val="bottom"/>
          </w:tcPr>
          <w:p w14:paraId="74DE01ED" w14:textId="77777777" w:rsidR="00584EC1" w:rsidRDefault="00584EC1">
            <w:pPr>
              <w:rPr>
                <w:rFonts w:ascii="宋体"/>
                <w:vanish/>
              </w:rPr>
            </w:pPr>
          </w:p>
        </w:tc>
        <w:tc>
          <w:tcPr>
            <w:tcW w:w="0" w:type="auto"/>
            <w:gridSpan w:val="3"/>
            <w:shd w:val="clear" w:color="auto" w:fill="auto"/>
            <w:vAlign w:val="bottom"/>
          </w:tcPr>
          <w:p w14:paraId="74DE01EE" w14:textId="77777777" w:rsidR="00584EC1" w:rsidRDefault="00584EC1">
            <w:pPr>
              <w:rPr>
                <w:rFonts w:ascii="宋体"/>
                <w:vanish/>
              </w:rPr>
            </w:pPr>
          </w:p>
        </w:tc>
        <w:tc>
          <w:tcPr>
            <w:tcW w:w="0" w:type="auto"/>
            <w:gridSpan w:val="3"/>
            <w:shd w:val="clear" w:color="auto" w:fill="auto"/>
            <w:vAlign w:val="bottom"/>
          </w:tcPr>
          <w:p w14:paraId="74DE01EF" w14:textId="77777777" w:rsidR="00584EC1" w:rsidRDefault="00584EC1">
            <w:pPr>
              <w:rPr>
                <w:rFonts w:ascii="宋体"/>
                <w:vanish/>
              </w:rPr>
            </w:pPr>
          </w:p>
        </w:tc>
        <w:tc>
          <w:tcPr>
            <w:tcW w:w="0" w:type="auto"/>
            <w:gridSpan w:val="3"/>
            <w:shd w:val="clear" w:color="auto" w:fill="auto"/>
            <w:vAlign w:val="bottom"/>
          </w:tcPr>
          <w:p w14:paraId="74DE01F0" w14:textId="77777777" w:rsidR="00584EC1" w:rsidRDefault="00584EC1">
            <w:pPr>
              <w:rPr>
                <w:rFonts w:ascii="宋体"/>
                <w:vanish/>
              </w:rPr>
            </w:pPr>
          </w:p>
        </w:tc>
        <w:tc>
          <w:tcPr>
            <w:tcW w:w="0" w:type="auto"/>
            <w:gridSpan w:val="3"/>
            <w:shd w:val="clear" w:color="auto" w:fill="auto"/>
            <w:vAlign w:val="bottom"/>
          </w:tcPr>
          <w:p w14:paraId="74DE01F1" w14:textId="77777777" w:rsidR="00584EC1" w:rsidRDefault="00584EC1">
            <w:pPr>
              <w:rPr>
                <w:rFonts w:ascii="宋体"/>
                <w:vanish/>
              </w:rPr>
            </w:pPr>
          </w:p>
        </w:tc>
        <w:tc>
          <w:tcPr>
            <w:tcW w:w="0" w:type="auto"/>
            <w:gridSpan w:val="3"/>
            <w:shd w:val="clear" w:color="auto" w:fill="auto"/>
            <w:vAlign w:val="bottom"/>
          </w:tcPr>
          <w:p w14:paraId="74DE01F2" w14:textId="77777777" w:rsidR="00584EC1" w:rsidRDefault="00584EC1">
            <w:pPr>
              <w:rPr>
                <w:rFonts w:ascii="宋体"/>
                <w:vanish/>
              </w:rPr>
            </w:pPr>
          </w:p>
        </w:tc>
        <w:tc>
          <w:tcPr>
            <w:tcW w:w="0" w:type="auto"/>
            <w:gridSpan w:val="3"/>
            <w:shd w:val="clear" w:color="auto" w:fill="auto"/>
            <w:vAlign w:val="bottom"/>
          </w:tcPr>
          <w:p w14:paraId="74DE01F3" w14:textId="77777777" w:rsidR="00584EC1" w:rsidRDefault="00584EC1">
            <w:pPr>
              <w:rPr>
                <w:rFonts w:ascii="宋体"/>
                <w:vanish/>
              </w:rPr>
            </w:pPr>
          </w:p>
        </w:tc>
        <w:tc>
          <w:tcPr>
            <w:tcW w:w="0" w:type="auto"/>
            <w:gridSpan w:val="3"/>
            <w:shd w:val="clear" w:color="auto" w:fill="auto"/>
            <w:vAlign w:val="bottom"/>
          </w:tcPr>
          <w:p w14:paraId="74DE01F4" w14:textId="77777777" w:rsidR="00584EC1" w:rsidRDefault="00584EC1">
            <w:pPr>
              <w:rPr>
                <w:rFonts w:ascii="宋体"/>
                <w:vanish/>
              </w:rPr>
            </w:pPr>
          </w:p>
        </w:tc>
        <w:tc>
          <w:tcPr>
            <w:tcW w:w="0" w:type="auto"/>
            <w:gridSpan w:val="3"/>
            <w:shd w:val="clear" w:color="auto" w:fill="auto"/>
            <w:vAlign w:val="bottom"/>
          </w:tcPr>
          <w:p w14:paraId="74DE01F5" w14:textId="77777777" w:rsidR="00584EC1" w:rsidRDefault="00584EC1">
            <w:pPr>
              <w:rPr>
                <w:rFonts w:ascii="宋体"/>
                <w:vanish/>
              </w:rPr>
            </w:pPr>
          </w:p>
        </w:tc>
        <w:tc>
          <w:tcPr>
            <w:tcW w:w="0" w:type="auto"/>
            <w:gridSpan w:val="3"/>
            <w:shd w:val="clear" w:color="auto" w:fill="auto"/>
            <w:vAlign w:val="bottom"/>
          </w:tcPr>
          <w:p w14:paraId="74DE01F6" w14:textId="77777777" w:rsidR="00584EC1" w:rsidRDefault="00584EC1">
            <w:pPr>
              <w:rPr>
                <w:rFonts w:ascii="宋体"/>
                <w:vanish/>
              </w:rPr>
            </w:pPr>
          </w:p>
        </w:tc>
        <w:tc>
          <w:tcPr>
            <w:tcW w:w="0" w:type="auto"/>
            <w:gridSpan w:val="3"/>
            <w:shd w:val="clear" w:color="auto" w:fill="auto"/>
            <w:vAlign w:val="bottom"/>
          </w:tcPr>
          <w:p w14:paraId="74DE01F7" w14:textId="77777777" w:rsidR="00584EC1" w:rsidRDefault="00584EC1">
            <w:pPr>
              <w:rPr>
                <w:rFonts w:ascii="宋体"/>
                <w:vanish/>
              </w:rPr>
            </w:pPr>
          </w:p>
        </w:tc>
        <w:tc>
          <w:tcPr>
            <w:tcW w:w="0" w:type="auto"/>
            <w:gridSpan w:val="3"/>
            <w:shd w:val="clear" w:color="auto" w:fill="auto"/>
            <w:vAlign w:val="bottom"/>
          </w:tcPr>
          <w:p w14:paraId="74DE01F8" w14:textId="77777777" w:rsidR="00584EC1" w:rsidRDefault="00584EC1">
            <w:pPr>
              <w:rPr>
                <w:rFonts w:ascii="宋体"/>
                <w:vanish/>
              </w:rPr>
            </w:pPr>
          </w:p>
        </w:tc>
      </w:tr>
      <w:tr w:rsidR="00871F8D" w14:paraId="74DE0218" w14:textId="77777777">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74DE01FA" w14:textId="77777777" w:rsidR="00584EC1" w:rsidRDefault="00871F8D">
            <w:pPr>
              <w:textAlignment w:val="center"/>
            </w:pPr>
            <w:r>
              <w:rPr>
                <w:rFonts w:ascii="Arial" w:eastAsia="宋体" w:hAnsi="Arial" w:cs="Arial"/>
                <w:color w:val="000000"/>
                <w:sz w:val="12"/>
                <w:szCs w:val="12"/>
              </w:rPr>
              <w:t>Series D</w:t>
            </w:r>
          </w:p>
        </w:tc>
        <w:tc>
          <w:tcPr>
            <w:tcW w:w="0" w:type="auto"/>
            <w:gridSpan w:val="3"/>
            <w:shd w:val="clear" w:color="auto" w:fill="CCEEFF"/>
            <w:tcMar>
              <w:top w:w="0" w:type="dxa"/>
              <w:left w:w="20" w:type="dxa"/>
              <w:bottom w:w="0" w:type="dxa"/>
              <w:right w:w="20" w:type="dxa"/>
            </w:tcMar>
            <w:vAlign w:val="bottom"/>
          </w:tcPr>
          <w:p w14:paraId="74DE01FB" w14:textId="77777777" w:rsidR="00584EC1" w:rsidRDefault="00584EC1">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74DE01FC" w14:textId="77777777" w:rsidR="00584EC1" w:rsidRDefault="00871F8D">
            <w:pPr>
              <w:textAlignment w:val="center"/>
            </w:pPr>
            <w:r>
              <w:rPr>
                <w:rFonts w:ascii="Arial" w:eastAsia="宋体" w:hAnsi="Arial" w:cs="Arial"/>
                <w:color w:val="000000"/>
                <w:sz w:val="12"/>
                <w:szCs w:val="12"/>
              </w:rPr>
              <w:t>February 2014</w:t>
            </w:r>
          </w:p>
        </w:tc>
        <w:tc>
          <w:tcPr>
            <w:tcW w:w="0" w:type="auto"/>
            <w:gridSpan w:val="3"/>
            <w:shd w:val="clear" w:color="auto" w:fill="CCEEFF"/>
            <w:tcMar>
              <w:top w:w="0" w:type="dxa"/>
              <w:left w:w="20" w:type="dxa"/>
              <w:bottom w:w="0" w:type="dxa"/>
              <w:right w:w="20" w:type="dxa"/>
            </w:tcMar>
            <w:vAlign w:val="bottom"/>
          </w:tcPr>
          <w:p w14:paraId="74DE01FD"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4DE01FE" w14:textId="77777777" w:rsidR="00584EC1" w:rsidRDefault="00871F8D">
            <w:pPr>
              <w:jc w:val="right"/>
              <w:textAlignment w:val="center"/>
            </w:pPr>
            <w:r>
              <w:rPr>
                <w:rFonts w:ascii="Arial" w:eastAsia="宋体" w:hAnsi="Arial" w:cs="Arial"/>
                <w:color w:val="000000"/>
                <w:sz w:val="12"/>
                <w:szCs w:val="12"/>
              </w:rPr>
              <w:t>30,000,000 </w:t>
            </w:r>
          </w:p>
        </w:tc>
        <w:tc>
          <w:tcPr>
            <w:tcW w:w="0" w:type="auto"/>
            <w:tcBorders>
              <w:top w:val="single" w:sz="8" w:space="0" w:color="000000"/>
            </w:tcBorders>
            <w:shd w:val="clear" w:color="auto" w:fill="CCEEFF"/>
            <w:tcMar>
              <w:top w:w="40" w:type="dxa"/>
              <w:left w:w="0" w:type="dxa"/>
              <w:bottom w:w="40" w:type="dxa"/>
              <w:right w:w="20" w:type="dxa"/>
            </w:tcMar>
            <w:vAlign w:val="center"/>
          </w:tcPr>
          <w:p w14:paraId="74DE01F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200"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4DE0201" w14:textId="77777777" w:rsidR="00584EC1" w:rsidRDefault="00871F8D">
            <w:pPr>
              <w:textAlignment w:val="center"/>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4DE0202" w14:textId="77777777" w:rsidR="00584EC1" w:rsidRDefault="00871F8D">
            <w:pPr>
              <w:jc w:val="right"/>
              <w:textAlignment w:val="center"/>
            </w:pPr>
            <w:r>
              <w:rPr>
                <w:rFonts w:ascii="Arial" w:eastAsia="宋体" w:hAnsi="Arial" w:cs="Arial"/>
                <w:color w:val="000000"/>
                <w:sz w:val="12"/>
                <w:szCs w:val="12"/>
              </w:rPr>
              <w:t>750 </w:t>
            </w:r>
          </w:p>
        </w:tc>
        <w:tc>
          <w:tcPr>
            <w:tcW w:w="0" w:type="auto"/>
            <w:tcBorders>
              <w:top w:val="single" w:sz="8" w:space="0" w:color="000000"/>
            </w:tcBorders>
            <w:shd w:val="clear" w:color="auto" w:fill="CCEEFF"/>
            <w:tcMar>
              <w:top w:w="40" w:type="dxa"/>
              <w:left w:w="0" w:type="dxa"/>
              <w:bottom w:w="40" w:type="dxa"/>
              <w:right w:w="20" w:type="dxa"/>
            </w:tcMar>
            <w:vAlign w:val="center"/>
          </w:tcPr>
          <w:p w14:paraId="74DE020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204" w14:textId="77777777" w:rsidR="00584EC1" w:rsidRDefault="00584EC1">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74DE0205" w14:textId="77777777" w:rsidR="00584EC1" w:rsidRDefault="00871F8D">
            <w:pPr>
              <w:textAlignment w:val="center"/>
            </w:pPr>
            <w:r>
              <w:rPr>
                <w:rFonts w:ascii="Arial" w:eastAsia="宋体" w:hAnsi="Arial" w:cs="Arial"/>
                <w:color w:val="000000"/>
                <w:sz w:val="12"/>
                <w:szCs w:val="12"/>
              </w:rPr>
              <w:t>1/4,000th</w:t>
            </w:r>
          </w:p>
        </w:tc>
        <w:tc>
          <w:tcPr>
            <w:tcW w:w="0" w:type="auto"/>
            <w:gridSpan w:val="3"/>
            <w:shd w:val="clear" w:color="auto" w:fill="CCEEFF"/>
            <w:tcMar>
              <w:top w:w="0" w:type="dxa"/>
              <w:left w:w="20" w:type="dxa"/>
              <w:bottom w:w="0" w:type="dxa"/>
              <w:right w:w="20" w:type="dxa"/>
            </w:tcMar>
            <w:vAlign w:val="bottom"/>
          </w:tcPr>
          <w:p w14:paraId="74DE0206"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4DE0207" w14:textId="77777777" w:rsidR="00584EC1" w:rsidRDefault="00871F8D">
            <w:pPr>
              <w:textAlignment w:val="center"/>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4DE0208" w14:textId="77777777" w:rsidR="00584EC1" w:rsidRDefault="00871F8D">
            <w:pPr>
              <w:jc w:val="right"/>
              <w:textAlignment w:val="center"/>
            </w:pPr>
            <w:r>
              <w:rPr>
                <w:rFonts w:ascii="Arial" w:eastAsia="宋体" w:hAnsi="Arial" w:cs="Arial"/>
                <w:color w:val="000000"/>
                <w:sz w:val="12"/>
                <w:szCs w:val="12"/>
              </w:rPr>
              <w:t>100,000 </w:t>
            </w:r>
          </w:p>
        </w:tc>
        <w:tc>
          <w:tcPr>
            <w:tcW w:w="0" w:type="auto"/>
            <w:tcBorders>
              <w:top w:val="single" w:sz="8" w:space="0" w:color="000000"/>
            </w:tcBorders>
            <w:shd w:val="clear" w:color="auto" w:fill="CCEEFF"/>
            <w:tcMar>
              <w:top w:w="40" w:type="dxa"/>
              <w:left w:w="0" w:type="dxa"/>
              <w:bottom w:w="40" w:type="dxa"/>
              <w:right w:w="20" w:type="dxa"/>
            </w:tcMar>
            <w:vAlign w:val="center"/>
          </w:tcPr>
          <w:p w14:paraId="74DE020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20A"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4DE020B" w14:textId="77777777" w:rsidR="00584EC1" w:rsidRDefault="00871F8D">
            <w:pPr>
              <w:textAlignment w:val="center"/>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4DE020C" w14:textId="77777777" w:rsidR="00584EC1" w:rsidRDefault="00871F8D">
            <w:pPr>
              <w:jc w:val="right"/>
              <w:textAlignment w:val="center"/>
            </w:pPr>
            <w:r>
              <w:rPr>
                <w:rFonts w:ascii="Arial" w:eastAsia="宋体" w:hAnsi="Arial" w:cs="Arial"/>
                <w:color w:val="000000"/>
                <w:sz w:val="12"/>
                <w:szCs w:val="12"/>
              </w:rPr>
              <w:t>25 </w:t>
            </w:r>
          </w:p>
        </w:tc>
        <w:tc>
          <w:tcPr>
            <w:tcW w:w="0" w:type="auto"/>
            <w:tcBorders>
              <w:top w:val="single" w:sz="8" w:space="0" w:color="000000"/>
            </w:tcBorders>
            <w:shd w:val="clear" w:color="auto" w:fill="CCEEFF"/>
            <w:tcMar>
              <w:top w:w="40" w:type="dxa"/>
              <w:left w:w="0" w:type="dxa"/>
              <w:bottom w:w="40" w:type="dxa"/>
              <w:right w:w="20" w:type="dxa"/>
            </w:tcMar>
            <w:vAlign w:val="center"/>
          </w:tcPr>
          <w:p w14:paraId="74DE020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20E" w14:textId="77777777" w:rsidR="00584EC1" w:rsidRDefault="00584EC1">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74DE020F" w14:textId="77777777" w:rsidR="00584EC1" w:rsidRDefault="00871F8D">
            <w:pPr>
              <w:textAlignment w:val="center"/>
            </w:pPr>
            <w:r>
              <w:rPr>
                <w:rFonts w:ascii="Arial" w:eastAsia="宋体" w:hAnsi="Arial" w:cs="Arial"/>
                <w:color w:val="000000"/>
                <w:sz w:val="12"/>
                <w:szCs w:val="12"/>
              </w:rPr>
              <w:t xml:space="preserve">5.90% to but </w:t>
            </w:r>
            <w:r>
              <w:rPr>
                <w:rFonts w:ascii="Arial" w:eastAsia="宋体" w:hAnsi="Arial" w:cs="Arial"/>
                <w:color w:val="000000"/>
                <w:sz w:val="12"/>
                <w:szCs w:val="12"/>
              </w:rPr>
              <w:t>excluding March 15, 2024, then a floating rate equal to the three-month LIBOR plus 3.108%</w:t>
            </w:r>
          </w:p>
        </w:tc>
        <w:tc>
          <w:tcPr>
            <w:tcW w:w="0" w:type="auto"/>
            <w:gridSpan w:val="3"/>
            <w:shd w:val="clear" w:color="auto" w:fill="CCEEFF"/>
            <w:tcMar>
              <w:top w:w="0" w:type="dxa"/>
              <w:left w:w="20" w:type="dxa"/>
              <w:bottom w:w="0" w:type="dxa"/>
              <w:right w:w="20" w:type="dxa"/>
            </w:tcMar>
            <w:vAlign w:val="bottom"/>
          </w:tcPr>
          <w:p w14:paraId="74DE0210" w14:textId="77777777" w:rsidR="00584EC1" w:rsidRDefault="00584EC1">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74DE0211" w14:textId="77777777" w:rsidR="00584EC1" w:rsidRDefault="00871F8D">
            <w:pPr>
              <w:textAlignment w:val="center"/>
            </w:pPr>
            <w:r>
              <w:rPr>
                <w:rFonts w:ascii="Arial" w:eastAsia="宋体" w:hAnsi="Arial" w:cs="Arial"/>
                <w:color w:val="000000"/>
                <w:sz w:val="12"/>
                <w:szCs w:val="12"/>
              </w:rPr>
              <w:t>Quarterly</w:t>
            </w:r>
          </w:p>
        </w:tc>
        <w:tc>
          <w:tcPr>
            <w:tcW w:w="0" w:type="auto"/>
            <w:gridSpan w:val="3"/>
            <w:shd w:val="clear" w:color="auto" w:fill="CCEEFF"/>
            <w:tcMar>
              <w:top w:w="0" w:type="dxa"/>
              <w:left w:w="20" w:type="dxa"/>
              <w:bottom w:w="0" w:type="dxa"/>
              <w:right w:w="20" w:type="dxa"/>
            </w:tcMar>
            <w:vAlign w:val="bottom"/>
          </w:tcPr>
          <w:p w14:paraId="74DE0212"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4DE0213" w14:textId="77777777" w:rsidR="00584EC1" w:rsidRDefault="00871F8D">
            <w:pPr>
              <w:textAlignment w:val="center"/>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4DE0214" w14:textId="77777777" w:rsidR="00584EC1" w:rsidRDefault="00871F8D">
            <w:pPr>
              <w:jc w:val="right"/>
              <w:textAlignment w:val="center"/>
            </w:pPr>
            <w:r>
              <w:rPr>
                <w:rFonts w:ascii="Arial" w:eastAsia="宋体" w:hAnsi="Arial" w:cs="Arial"/>
                <w:color w:val="000000"/>
                <w:sz w:val="12"/>
                <w:szCs w:val="12"/>
              </w:rPr>
              <w:t>742 </w:t>
            </w:r>
          </w:p>
        </w:tc>
        <w:tc>
          <w:tcPr>
            <w:tcW w:w="0" w:type="auto"/>
            <w:tcBorders>
              <w:top w:val="single" w:sz="8" w:space="0" w:color="000000"/>
            </w:tcBorders>
            <w:shd w:val="clear" w:color="auto" w:fill="CCEEFF"/>
            <w:tcMar>
              <w:top w:w="40" w:type="dxa"/>
              <w:left w:w="0" w:type="dxa"/>
              <w:bottom w:w="40" w:type="dxa"/>
              <w:right w:w="20" w:type="dxa"/>
            </w:tcMar>
            <w:vAlign w:val="center"/>
          </w:tcPr>
          <w:p w14:paraId="74DE021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216" w14:textId="77777777" w:rsidR="00584EC1" w:rsidRDefault="00584EC1">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74DE0217" w14:textId="77777777" w:rsidR="00584EC1" w:rsidRDefault="00871F8D">
            <w:pPr>
              <w:textAlignment w:val="center"/>
            </w:pPr>
            <w:r>
              <w:rPr>
                <w:rFonts w:ascii="Arial" w:eastAsia="宋体" w:hAnsi="Arial" w:cs="Arial"/>
                <w:color w:val="000000"/>
                <w:sz w:val="12"/>
                <w:szCs w:val="12"/>
              </w:rPr>
              <w:t>March 15, 2024</w:t>
            </w:r>
          </w:p>
        </w:tc>
      </w:tr>
      <w:tr w:rsidR="00584EC1" w14:paraId="74DE0233" w14:textId="77777777">
        <w:tc>
          <w:tcPr>
            <w:tcW w:w="0" w:type="auto"/>
            <w:gridSpan w:val="3"/>
            <w:shd w:val="clear" w:color="auto" w:fill="FFFFFF"/>
            <w:tcMar>
              <w:top w:w="40" w:type="dxa"/>
              <w:left w:w="20" w:type="dxa"/>
              <w:bottom w:w="40" w:type="dxa"/>
              <w:right w:w="20" w:type="dxa"/>
            </w:tcMar>
            <w:vAlign w:val="center"/>
          </w:tcPr>
          <w:p w14:paraId="74DE0219" w14:textId="77777777" w:rsidR="00584EC1" w:rsidRDefault="00871F8D">
            <w:pPr>
              <w:textAlignment w:val="center"/>
            </w:pPr>
            <w:r>
              <w:rPr>
                <w:rFonts w:ascii="Arial" w:eastAsia="宋体" w:hAnsi="Arial" w:cs="Arial"/>
                <w:color w:val="000000"/>
                <w:sz w:val="12"/>
                <w:szCs w:val="12"/>
              </w:rPr>
              <w:t>Series F</w:t>
            </w:r>
            <w:r>
              <w:rPr>
                <w:rFonts w:ascii="Arial" w:eastAsia="宋体" w:hAnsi="Arial" w:cs="Arial"/>
                <w:color w:val="000000"/>
                <w:sz w:val="7"/>
                <w:szCs w:val="7"/>
              </w:rPr>
              <w:t>(3)</w:t>
            </w:r>
          </w:p>
        </w:tc>
        <w:tc>
          <w:tcPr>
            <w:tcW w:w="0" w:type="auto"/>
            <w:gridSpan w:val="3"/>
            <w:shd w:val="clear" w:color="auto" w:fill="FFFFFF"/>
            <w:tcMar>
              <w:top w:w="0" w:type="dxa"/>
              <w:left w:w="20" w:type="dxa"/>
              <w:bottom w:w="0" w:type="dxa"/>
              <w:right w:w="20" w:type="dxa"/>
            </w:tcMar>
            <w:vAlign w:val="bottom"/>
          </w:tcPr>
          <w:p w14:paraId="74DE021A" w14:textId="77777777" w:rsidR="00584EC1" w:rsidRDefault="00584EC1">
            <w:pPr>
              <w:rPr>
                <w:rFonts w:ascii="宋体"/>
              </w:rPr>
            </w:pPr>
          </w:p>
        </w:tc>
        <w:tc>
          <w:tcPr>
            <w:tcW w:w="0" w:type="auto"/>
            <w:gridSpan w:val="3"/>
            <w:shd w:val="clear" w:color="auto" w:fill="FFFFFF"/>
            <w:tcMar>
              <w:top w:w="40" w:type="dxa"/>
              <w:left w:w="20" w:type="dxa"/>
              <w:bottom w:w="40" w:type="dxa"/>
              <w:right w:w="20" w:type="dxa"/>
            </w:tcMar>
            <w:vAlign w:val="center"/>
          </w:tcPr>
          <w:p w14:paraId="74DE021B" w14:textId="77777777" w:rsidR="00584EC1" w:rsidRDefault="00871F8D">
            <w:pPr>
              <w:textAlignment w:val="center"/>
            </w:pPr>
            <w:r>
              <w:rPr>
                <w:rFonts w:ascii="Arial" w:eastAsia="宋体" w:hAnsi="Arial" w:cs="Arial"/>
                <w:color w:val="000000"/>
                <w:sz w:val="12"/>
                <w:szCs w:val="12"/>
              </w:rPr>
              <w:t>May 2015</w:t>
            </w:r>
          </w:p>
        </w:tc>
        <w:tc>
          <w:tcPr>
            <w:tcW w:w="0" w:type="auto"/>
            <w:gridSpan w:val="3"/>
            <w:shd w:val="clear" w:color="auto" w:fill="FFFFFF"/>
            <w:tcMar>
              <w:top w:w="0" w:type="dxa"/>
              <w:left w:w="20" w:type="dxa"/>
              <w:bottom w:w="0" w:type="dxa"/>
              <w:right w:w="20" w:type="dxa"/>
            </w:tcMar>
            <w:vAlign w:val="bottom"/>
          </w:tcPr>
          <w:p w14:paraId="74DE021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center"/>
          </w:tcPr>
          <w:p w14:paraId="74DE021D" w14:textId="77777777" w:rsidR="00584EC1" w:rsidRDefault="00871F8D">
            <w:pPr>
              <w:jc w:val="right"/>
              <w:textAlignment w:val="center"/>
            </w:pPr>
            <w:r>
              <w:rPr>
                <w:rFonts w:ascii="Arial" w:eastAsia="宋体" w:hAnsi="Arial" w:cs="Arial"/>
                <w:color w:val="000000"/>
                <w:sz w:val="12"/>
                <w:szCs w:val="12"/>
              </w:rPr>
              <w:t>250,000 </w:t>
            </w:r>
          </w:p>
        </w:tc>
        <w:tc>
          <w:tcPr>
            <w:tcW w:w="0" w:type="auto"/>
            <w:shd w:val="clear" w:color="auto" w:fill="FFFFFF"/>
            <w:tcMar>
              <w:top w:w="40" w:type="dxa"/>
              <w:left w:w="0" w:type="dxa"/>
              <w:bottom w:w="40" w:type="dxa"/>
              <w:right w:w="20" w:type="dxa"/>
            </w:tcMar>
            <w:vAlign w:val="center"/>
          </w:tcPr>
          <w:p w14:paraId="74DE021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21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center"/>
          </w:tcPr>
          <w:p w14:paraId="74DE0220" w14:textId="77777777" w:rsidR="00584EC1" w:rsidRDefault="00871F8D">
            <w:pPr>
              <w:jc w:val="right"/>
              <w:textAlignment w:val="center"/>
            </w:pPr>
            <w:r>
              <w:rPr>
                <w:rFonts w:ascii="Arial" w:eastAsia="宋体" w:hAnsi="Arial" w:cs="Arial"/>
                <w:color w:val="000000"/>
                <w:sz w:val="12"/>
                <w:szCs w:val="12"/>
              </w:rPr>
              <w:t>250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74DE022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222" w14:textId="77777777" w:rsidR="00584EC1" w:rsidRDefault="00584EC1">
            <w:pPr>
              <w:rPr>
                <w:rFonts w:ascii="宋体"/>
              </w:rPr>
            </w:pPr>
          </w:p>
        </w:tc>
        <w:tc>
          <w:tcPr>
            <w:tcW w:w="0" w:type="auto"/>
            <w:gridSpan w:val="3"/>
            <w:shd w:val="clear" w:color="auto" w:fill="FFFFFF"/>
            <w:tcMar>
              <w:top w:w="40" w:type="dxa"/>
              <w:left w:w="20" w:type="dxa"/>
              <w:bottom w:w="40" w:type="dxa"/>
              <w:right w:w="20" w:type="dxa"/>
            </w:tcMar>
            <w:vAlign w:val="center"/>
          </w:tcPr>
          <w:p w14:paraId="74DE0223" w14:textId="77777777" w:rsidR="00584EC1" w:rsidRDefault="00871F8D">
            <w:pPr>
              <w:textAlignment w:val="center"/>
            </w:pPr>
            <w:r>
              <w:rPr>
                <w:rFonts w:ascii="Arial" w:eastAsia="宋体" w:hAnsi="Arial" w:cs="Arial"/>
                <w:color w:val="000000"/>
                <w:sz w:val="12"/>
                <w:szCs w:val="12"/>
              </w:rPr>
              <w:t>1/100th</w:t>
            </w:r>
          </w:p>
        </w:tc>
        <w:tc>
          <w:tcPr>
            <w:tcW w:w="0" w:type="auto"/>
            <w:gridSpan w:val="3"/>
            <w:shd w:val="clear" w:color="auto" w:fill="FFFFFF"/>
            <w:tcMar>
              <w:top w:w="0" w:type="dxa"/>
              <w:left w:w="20" w:type="dxa"/>
              <w:bottom w:w="0" w:type="dxa"/>
              <w:right w:w="20" w:type="dxa"/>
            </w:tcMar>
            <w:vAlign w:val="bottom"/>
          </w:tcPr>
          <w:p w14:paraId="74DE022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center"/>
          </w:tcPr>
          <w:p w14:paraId="74DE0225" w14:textId="77777777" w:rsidR="00584EC1" w:rsidRDefault="00871F8D">
            <w:pPr>
              <w:jc w:val="right"/>
              <w:textAlignment w:val="center"/>
            </w:pPr>
            <w:r>
              <w:rPr>
                <w:rFonts w:ascii="Arial" w:eastAsia="宋体" w:hAnsi="Arial" w:cs="Arial"/>
                <w:color w:val="000000"/>
                <w:sz w:val="12"/>
                <w:szCs w:val="12"/>
              </w:rPr>
              <w:t>100,000 </w:t>
            </w:r>
          </w:p>
        </w:tc>
        <w:tc>
          <w:tcPr>
            <w:tcW w:w="0" w:type="auto"/>
            <w:shd w:val="clear" w:color="auto" w:fill="FFFFFF"/>
            <w:tcMar>
              <w:top w:w="40" w:type="dxa"/>
              <w:left w:w="0" w:type="dxa"/>
              <w:bottom w:w="40" w:type="dxa"/>
              <w:right w:w="20" w:type="dxa"/>
            </w:tcMar>
            <w:vAlign w:val="center"/>
          </w:tcPr>
          <w:p w14:paraId="74DE022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22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center"/>
          </w:tcPr>
          <w:p w14:paraId="74DE0228" w14:textId="77777777" w:rsidR="00584EC1" w:rsidRDefault="00871F8D">
            <w:pPr>
              <w:jc w:val="right"/>
              <w:textAlignment w:val="center"/>
            </w:pPr>
            <w:r>
              <w:rPr>
                <w:rFonts w:ascii="Arial" w:eastAsia="宋体" w:hAnsi="Arial" w:cs="Arial"/>
                <w:color w:val="000000"/>
                <w:sz w:val="12"/>
                <w:szCs w:val="12"/>
              </w:rPr>
              <w:t>1,000 </w:t>
            </w:r>
          </w:p>
        </w:tc>
        <w:tc>
          <w:tcPr>
            <w:tcW w:w="0" w:type="auto"/>
            <w:shd w:val="clear" w:color="auto" w:fill="FFFFFF"/>
            <w:tcMar>
              <w:top w:w="40" w:type="dxa"/>
              <w:left w:w="0" w:type="dxa"/>
              <w:bottom w:w="40" w:type="dxa"/>
              <w:right w:w="20" w:type="dxa"/>
            </w:tcMar>
            <w:vAlign w:val="center"/>
          </w:tcPr>
          <w:p w14:paraId="74DE022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22A" w14:textId="77777777" w:rsidR="00584EC1" w:rsidRDefault="00584EC1">
            <w:pPr>
              <w:rPr>
                <w:rFonts w:ascii="宋体"/>
              </w:rPr>
            </w:pPr>
          </w:p>
        </w:tc>
        <w:tc>
          <w:tcPr>
            <w:tcW w:w="0" w:type="auto"/>
            <w:gridSpan w:val="3"/>
            <w:shd w:val="clear" w:color="auto" w:fill="FFFFFF"/>
            <w:tcMar>
              <w:top w:w="40" w:type="dxa"/>
              <w:left w:w="20" w:type="dxa"/>
              <w:bottom w:w="40" w:type="dxa"/>
              <w:right w:w="20" w:type="dxa"/>
            </w:tcMar>
            <w:vAlign w:val="center"/>
          </w:tcPr>
          <w:p w14:paraId="74DE022B" w14:textId="77777777" w:rsidR="00584EC1" w:rsidRDefault="00871F8D">
            <w:pPr>
              <w:textAlignment w:val="center"/>
            </w:pPr>
            <w:r>
              <w:rPr>
                <w:rFonts w:ascii="Arial" w:eastAsia="宋体" w:hAnsi="Arial" w:cs="Arial"/>
                <w:color w:val="000000"/>
                <w:sz w:val="12"/>
                <w:szCs w:val="12"/>
              </w:rPr>
              <w:t>5.25% to but excluding September 15, 2020, then a floating rate equal to the three-month LIBOR plus 3.597%, or 3.7130% effective September 15, 2021</w:t>
            </w:r>
          </w:p>
        </w:tc>
        <w:tc>
          <w:tcPr>
            <w:tcW w:w="0" w:type="auto"/>
            <w:gridSpan w:val="3"/>
            <w:shd w:val="clear" w:color="auto" w:fill="FFFFFF"/>
            <w:tcMar>
              <w:top w:w="0" w:type="dxa"/>
              <w:left w:w="20" w:type="dxa"/>
              <w:bottom w:w="0" w:type="dxa"/>
              <w:right w:w="20" w:type="dxa"/>
            </w:tcMar>
            <w:vAlign w:val="bottom"/>
          </w:tcPr>
          <w:p w14:paraId="74DE022C" w14:textId="77777777" w:rsidR="00584EC1" w:rsidRDefault="00584EC1">
            <w:pPr>
              <w:rPr>
                <w:rFonts w:ascii="宋体"/>
              </w:rPr>
            </w:pPr>
          </w:p>
        </w:tc>
        <w:tc>
          <w:tcPr>
            <w:tcW w:w="0" w:type="auto"/>
            <w:gridSpan w:val="3"/>
            <w:shd w:val="clear" w:color="auto" w:fill="FFFFFF"/>
            <w:tcMar>
              <w:top w:w="40" w:type="dxa"/>
              <w:left w:w="20" w:type="dxa"/>
              <w:bottom w:w="40" w:type="dxa"/>
              <w:right w:w="20" w:type="dxa"/>
            </w:tcMar>
            <w:vAlign w:val="center"/>
          </w:tcPr>
          <w:p w14:paraId="74DE022D" w14:textId="77777777" w:rsidR="00584EC1" w:rsidRDefault="00871F8D">
            <w:pPr>
              <w:textAlignment w:val="center"/>
            </w:pPr>
            <w:r>
              <w:rPr>
                <w:rFonts w:ascii="Arial" w:eastAsia="宋体" w:hAnsi="Arial" w:cs="Arial"/>
                <w:color w:val="000000"/>
                <w:sz w:val="12"/>
                <w:szCs w:val="12"/>
              </w:rPr>
              <w:t>Quarterly</w:t>
            </w:r>
          </w:p>
        </w:tc>
        <w:tc>
          <w:tcPr>
            <w:tcW w:w="0" w:type="auto"/>
            <w:gridSpan w:val="3"/>
            <w:shd w:val="clear" w:color="auto" w:fill="FFFFFF"/>
            <w:tcMar>
              <w:top w:w="0" w:type="dxa"/>
              <w:left w:w="20" w:type="dxa"/>
              <w:bottom w:w="0" w:type="dxa"/>
              <w:right w:w="20" w:type="dxa"/>
            </w:tcMar>
            <w:vAlign w:val="bottom"/>
          </w:tcPr>
          <w:p w14:paraId="74DE022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center"/>
          </w:tcPr>
          <w:p w14:paraId="74DE022F" w14:textId="77777777" w:rsidR="00584EC1" w:rsidRDefault="00871F8D">
            <w:pPr>
              <w:jc w:val="right"/>
              <w:textAlignment w:val="center"/>
            </w:pPr>
            <w:r>
              <w:rPr>
                <w:rFonts w:ascii="Arial" w:eastAsia="宋体" w:hAnsi="Arial" w:cs="Arial"/>
                <w:color w:val="000000"/>
                <w:sz w:val="12"/>
                <w:szCs w:val="12"/>
              </w:rPr>
              <w:t>247 </w:t>
            </w:r>
          </w:p>
        </w:tc>
        <w:tc>
          <w:tcPr>
            <w:tcW w:w="0" w:type="auto"/>
            <w:shd w:val="clear" w:color="auto" w:fill="FFFFFF"/>
            <w:tcMar>
              <w:top w:w="40" w:type="dxa"/>
              <w:left w:w="0" w:type="dxa"/>
              <w:bottom w:w="40" w:type="dxa"/>
              <w:right w:w="20" w:type="dxa"/>
            </w:tcMar>
            <w:vAlign w:val="center"/>
          </w:tcPr>
          <w:p w14:paraId="74DE023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231" w14:textId="77777777" w:rsidR="00584EC1" w:rsidRDefault="00584EC1">
            <w:pPr>
              <w:rPr>
                <w:rFonts w:ascii="宋体"/>
              </w:rPr>
            </w:pPr>
          </w:p>
        </w:tc>
        <w:tc>
          <w:tcPr>
            <w:tcW w:w="0" w:type="auto"/>
            <w:gridSpan w:val="3"/>
            <w:shd w:val="clear" w:color="auto" w:fill="FFFFFF"/>
            <w:tcMar>
              <w:top w:w="40" w:type="dxa"/>
              <w:left w:w="20" w:type="dxa"/>
              <w:bottom w:w="40" w:type="dxa"/>
              <w:right w:w="20" w:type="dxa"/>
            </w:tcMar>
            <w:vAlign w:val="center"/>
          </w:tcPr>
          <w:p w14:paraId="74DE0232" w14:textId="77777777" w:rsidR="00584EC1" w:rsidRDefault="00871F8D">
            <w:pPr>
              <w:textAlignment w:val="center"/>
            </w:pPr>
            <w:r>
              <w:rPr>
                <w:rFonts w:ascii="Arial" w:eastAsia="宋体" w:hAnsi="Arial" w:cs="Arial"/>
                <w:color w:val="000000"/>
                <w:sz w:val="12"/>
                <w:szCs w:val="12"/>
              </w:rPr>
              <w:t>September 15, 2020</w:t>
            </w:r>
          </w:p>
        </w:tc>
      </w:tr>
      <w:tr w:rsidR="00584EC1" w14:paraId="74DE024E" w14:textId="77777777">
        <w:tc>
          <w:tcPr>
            <w:tcW w:w="0" w:type="auto"/>
            <w:gridSpan w:val="3"/>
            <w:shd w:val="clear" w:color="auto" w:fill="CCEEFF"/>
            <w:tcMar>
              <w:top w:w="40" w:type="dxa"/>
              <w:left w:w="20" w:type="dxa"/>
              <w:bottom w:w="40" w:type="dxa"/>
              <w:right w:w="20" w:type="dxa"/>
            </w:tcMar>
            <w:vAlign w:val="center"/>
          </w:tcPr>
          <w:p w14:paraId="74DE0234" w14:textId="77777777" w:rsidR="00584EC1" w:rsidRDefault="00871F8D">
            <w:pPr>
              <w:textAlignment w:val="center"/>
            </w:pPr>
            <w:r>
              <w:rPr>
                <w:rFonts w:ascii="Arial" w:eastAsia="宋体" w:hAnsi="Arial" w:cs="Arial"/>
                <w:color w:val="000000"/>
                <w:sz w:val="12"/>
                <w:szCs w:val="12"/>
              </w:rPr>
              <w:t>Series G</w:t>
            </w:r>
          </w:p>
        </w:tc>
        <w:tc>
          <w:tcPr>
            <w:tcW w:w="0" w:type="auto"/>
            <w:gridSpan w:val="3"/>
            <w:shd w:val="clear" w:color="auto" w:fill="CCEEFF"/>
            <w:tcMar>
              <w:top w:w="0" w:type="dxa"/>
              <w:left w:w="20" w:type="dxa"/>
              <w:bottom w:w="0" w:type="dxa"/>
              <w:right w:w="20" w:type="dxa"/>
            </w:tcMar>
            <w:vAlign w:val="bottom"/>
          </w:tcPr>
          <w:p w14:paraId="74DE0235" w14:textId="77777777" w:rsidR="00584EC1" w:rsidRDefault="00584EC1">
            <w:pPr>
              <w:rPr>
                <w:rFonts w:ascii="宋体"/>
              </w:rPr>
            </w:pPr>
          </w:p>
        </w:tc>
        <w:tc>
          <w:tcPr>
            <w:tcW w:w="0" w:type="auto"/>
            <w:gridSpan w:val="3"/>
            <w:shd w:val="clear" w:color="auto" w:fill="CCEEFF"/>
            <w:tcMar>
              <w:top w:w="40" w:type="dxa"/>
              <w:left w:w="20" w:type="dxa"/>
              <w:bottom w:w="40" w:type="dxa"/>
              <w:right w:w="20" w:type="dxa"/>
            </w:tcMar>
            <w:vAlign w:val="center"/>
          </w:tcPr>
          <w:p w14:paraId="74DE0236" w14:textId="77777777" w:rsidR="00584EC1" w:rsidRDefault="00871F8D">
            <w:pPr>
              <w:textAlignment w:val="center"/>
            </w:pPr>
            <w:r>
              <w:rPr>
                <w:rFonts w:ascii="Arial" w:eastAsia="宋体" w:hAnsi="Arial" w:cs="Arial"/>
                <w:color w:val="000000"/>
                <w:sz w:val="12"/>
                <w:szCs w:val="12"/>
              </w:rPr>
              <w:t>April 2016</w:t>
            </w:r>
          </w:p>
        </w:tc>
        <w:tc>
          <w:tcPr>
            <w:tcW w:w="0" w:type="auto"/>
            <w:gridSpan w:val="3"/>
            <w:shd w:val="clear" w:color="auto" w:fill="CCEEFF"/>
            <w:tcMar>
              <w:top w:w="0" w:type="dxa"/>
              <w:left w:w="20" w:type="dxa"/>
              <w:bottom w:w="0" w:type="dxa"/>
              <w:right w:w="20" w:type="dxa"/>
            </w:tcMar>
            <w:vAlign w:val="bottom"/>
          </w:tcPr>
          <w:p w14:paraId="74DE023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center"/>
          </w:tcPr>
          <w:p w14:paraId="74DE0238" w14:textId="77777777" w:rsidR="00584EC1" w:rsidRDefault="00871F8D">
            <w:pPr>
              <w:jc w:val="right"/>
              <w:textAlignment w:val="center"/>
            </w:pPr>
            <w:r>
              <w:rPr>
                <w:rFonts w:ascii="Arial" w:eastAsia="宋体" w:hAnsi="Arial" w:cs="Arial"/>
                <w:color w:val="000000"/>
                <w:sz w:val="12"/>
                <w:szCs w:val="12"/>
              </w:rPr>
              <w:t>20,000,000 </w:t>
            </w:r>
          </w:p>
        </w:tc>
        <w:tc>
          <w:tcPr>
            <w:tcW w:w="0" w:type="auto"/>
            <w:shd w:val="clear" w:color="auto" w:fill="CCEEFF"/>
            <w:tcMar>
              <w:top w:w="40" w:type="dxa"/>
              <w:left w:w="0" w:type="dxa"/>
              <w:bottom w:w="40" w:type="dxa"/>
              <w:right w:w="20" w:type="dxa"/>
            </w:tcMar>
            <w:vAlign w:val="center"/>
          </w:tcPr>
          <w:p w14:paraId="74DE023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23A"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center"/>
          </w:tcPr>
          <w:p w14:paraId="74DE023B" w14:textId="77777777" w:rsidR="00584EC1" w:rsidRDefault="00871F8D">
            <w:pPr>
              <w:jc w:val="right"/>
              <w:textAlignment w:val="center"/>
            </w:pPr>
            <w:r>
              <w:rPr>
                <w:rFonts w:ascii="Arial" w:eastAsia="宋体" w:hAnsi="Arial" w:cs="Arial"/>
                <w:color w:val="000000"/>
                <w:sz w:val="12"/>
                <w:szCs w:val="12"/>
              </w:rPr>
              <w:t>500 </w:t>
            </w:r>
          </w:p>
        </w:tc>
        <w:tc>
          <w:tcPr>
            <w:tcW w:w="0" w:type="auto"/>
            <w:shd w:val="clear" w:color="auto" w:fill="CCEEFF"/>
            <w:tcMar>
              <w:top w:w="40" w:type="dxa"/>
              <w:left w:w="0" w:type="dxa"/>
              <w:bottom w:w="40" w:type="dxa"/>
              <w:right w:w="20" w:type="dxa"/>
            </w:tcMar>
            <w:vAlign w:val="center"/>
          </w:tcPr>
          <w:p w14:paraId="74DE023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23D" w14:textId="77777777" w:rsidR="00584EC1" w:rsidRDefault="00584EC1">
            <w:pPr>
              <w:rPr>
                <w:rFonts w:ascii="宋体"/>
              </w:rPr>
            </w:pPr>
          </w:p>
        </w:tc>
        <w:tc>
          <w:tcPr>
            <w:tcW w:w="0" w:type="auto"/>
            <w:gridSpan w:val="3"/>
            <w:shd w:val="clear" w:color="auto" w:fill="CCEEFF"/>
            <w:tcMar>
              <w:top w:w="40" w:type="dxa"/>
              <w:left w:w="20" w:type="dxa"/>
              <w:bottom w:w="40" w:type="dxa"/>
              <w:right w:w="20" w:type="dxa"/>
            </w:tcMar>
            <w:vAlign w:val="center"/>
          </w:tcPr>
          <w:p w14:paraId="74DE023E" w14:textId="77777777" w:rsidR="00584EC1" w:rsidRDefault="00871F8D">
            <w:pPr>
              <w:textAlignment w:val="center"/>
            </w:pPr>
            <w:r>
              <w:rPr>
                <w:rFonts w:ascii="Arial" w:eastAsia="宋体" w:hAnsi="Arial" w:cs="Arial"/>
                <w:color w:val="000000"/>
                <w:sz w:val="12"/>
                <w:szCs w:val="12"/>
              </w:rPr>
              <w:t>1/4,000th</w:t>
            </w:r>
          </w:p>
        </w:tc>
        <w:tc>
          <w:tcPr>
            <w:tcW w:w="0" w:type="auto"/>
            <w:gridSpan w:val="3"/>
            <w:shd w:val="clear" w:color="auto" w:fill="CCEEFF"/>
            <w:tcMar>
              <w:top w:w="0" w:type="dxa"/>
              <w:left w:w="20" w:type="dxa"/>
              <w:bottom w:w="0" w:type="dxa"/>
              <w:right w:w="20" w:type="dxa"/>
            </w:tcMar>
            <w:vAlign w:val="bottom"/>
          </w:tcPr>
          <w:p w14:paraId="74DE023F"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center"/>
          </w:tcPr>
          <w:p w14:paraId="74DE0240" w14:textId="77777777" w:rsidR="00584EC1" w:rsidRDefault="00871F8D">
            <w:pPr>
              <w:jc w:val="right"/>
              <w:textAlignment w:val="center"/>
            </w:pPr>
            <w:r>
              <w:rPr>
                <w:rFonts w:ascii="Arial" w:eastAsia="宋体" w:hAnsi="Arial" w:cs="Arial"/>
                <w:color w:val="000000"/>
                <w:sz w:val="12"/>
                <w:szCs w:val="12"/>
              </w:rPr>
              <w:t>100,000 </w:t>
            </w:r>
          </w:p>
        </w:tc>
        <w:tc>
          <w:tcPr>
            <w:tcW w:w="0" w:type="auto"/>
            <w:shd w:val="clear" w:color="auto" w:fill="CCEEFF"/>
            <w:tcMar>
              <w:top w:w="40" w:type="dxa"/>
              <w:left w:w="0" w:type="dxa"/>
              <w:bottom w:w="40" w:type="dxa"/>
              <w:right w:w="20" w:type="dxa"/>
            </w:tcMar>
            <w:vAlign w:val="center"/>
          </w:tcPr>
          <w:p w14:paraId="74DE024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242"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center"/>
          </w:tcPr>
          <w:p w14:paraId="74DE0243" w14:textId="77777777" w:rsidR="00584EC1" w:rsidRDefault="00871F8D">
            <w:pPr>
              <w:jc w:val="right"/>
              <w:textAlignment w:val="center"/>
            </w:pPr>
            <w:r>
              <w:rPr>
                <w:rFonts w:ascii="Arial" w:eastAsia="宋体" w:hAnsi="Arial" w:cs="Arial"/>
                <w:color w:val="000000"/>
                <w:sz w:val="12"/>
                <w:szCs w:val="12"/>
              </w:rPr>
              <w:t>25 </w:t>
            </w:r>
          </w:p>
        </w:tc>
        <w:tc>
          <w:tcPr>
            <w:tcW w:w="0" w:type="auto"/>
            <w:shd w:val="clear" w:color="auto" w:fill="CCEEFF"/>
            <w:tcMar>
              <w:top w:w="40" w:type="dxa"/>
              <w:left w:w="0" w:type="dxa"/>
              <w:bottom w:w="40" w:type="dxa"/>
              <w:right w:w="20" w:type="dxa"/>
            </w:tcMar>
            <w:vAlign w:val="center"/>
          </w:tcPr>
          <w:p w14:paraId="74DE024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245" w14:textId="77777777" w:rsidR="00584EC1" w:rsidRDefault="00584EC1">
            <w:pPr>
              <w:rPr>
                <w:rFonts w:ascii="宋体"/>
              </w:rPr>
            </w:pPr>
          </w:p>
        </w:tc>
        <w:tc>
          <w:tcPr>
            <w:tcW w:w="0" w:type="auto"/>
            <w:gridSpan w:val="3"/>
            <w:shd w:val="clear" w:color="auto" w:fill="CCEEFF"/>
            <w:tcMar>
              <w:top w:w="40" w:type="dxa"/>
              <w:left w:w="20" w:type="dxa"/>
              <w:bottom w:w="40" w:type="dxa"/>
              <w:right w:w="20" w:type="dxa"/>
            </w:tcMar>
            <w:vAlign w:val="center"/>
          </w:tcPr>
          <w:p w14:paraId="74DE0246" w14:textId="77777777" w:rsidR="00584EC1" w:rsidRDefault="00871F8D">
            <w:pPr>
              <w:textAlignment w:val="center"/>
            </w:pPr>
            <w:r>
              <w:rPr>
                <w:rFonts w:ascii="Arial" w:eastAsia="宋体" w:hAnsi="Arial" w:cs="Arial"/>
                <w:color w:val="000000"/>
                <w:sz w:val="12"/>
                <w:szCs w:val="12"/>
              </w:rPr>
              <w:t>5.35% to but excluding March 15, 2026, then a floating rate equal to the three-month LIBOR plus 3.709%</w:t>
            </w:r>
          </w:p>
        </w:tc>
        <w:tc>
          <w:tcPr>
            <w:tcW w:w="0" w:type="auto"/>
            <w:gridSpan w:val="3"/>
            <w:shd w:val="clear" w:color="auto" w:fill="CCEEFF"/>
            <w:tcMar>
              <w:top w:w="0" w:type="dxa"/>
              <w:left w:w="20" w:type="dxa"/>
              <w:bottom w:w="0" w:type="dxa"/>
              <w:right w:w="20" w:type="dxa"/>
            </w:tcMar>
            <w:vAlign w:val="bottom"/>
          </w:tcPr>
          <w:p w14:paraId="74DE0247" w14:textId="77777777" w:rsidR="00584EC1" w:rsidRDefault="00584EC1">
            <w:pPr>
              <w:rPr>
                <w:rFonts w:ascii="宋体"/>
              </w:rPr>
            </w:pPr>
          </w:p>
        </w:tc>
        <w:tc>
          <w:tcPr>
            <w:tcW w:w="0" w:type="auto"/>
            <w:gridSpan w:val="3"/>
            <w:shd w:val="clear" w:color="auto" w:fill="CCEEFF"/>
            <w:tcMar>
              <w:top w:w="40" w:type="dxa"/>
              <w:left w:w="20" w:type="dxa"/>
              <w:bottom w:w="40" w:type="dxa"/>
              <w:right w:w="20" w:type="dxa"/>
            </w:tcMar>
            <w:vAlign w:val="center"/>
          </w:tcPr>
          <w:p w14:paraId="74DE0248" w14:textId="77777777" w:rsidR="00584EC1" w:rsidRDefault="00871F8D">
            <w:pPr>
              <w:textAlignment w:val="center"/>
            </w:pPr>
            <w:r>
              <w:rPr>
                <w:rFonts w:ascii="Arial" w:eastAsia="宋体" w:hAnsi="Arial" w:cs="Arial"/>
                <w:color w:val="000000"/>
                <w:sz w:val="12"/>
                <w:szCs w:val="12"/>
              </w:rPr>
              <w:t>Quarterly</w:t>
            </w:r>
          </w:p>
        </w:tc>
        <w:tc>
          <w:tcPr>
            <w:tcW w:w="0" w:type="auto"/>
            <w:gridSpan w:val="3"/>
            <w:shd w:val="clear" w:color="auto" w:fill="CCEEFF"/>
            <w:tcMar>
              <w:top w:w="0" w:type="dxa"/>
              <w:left w:w="20" w:type="dxa"/>
              <w:bottom w:w="0" w:type="dxa"/>
              <w:right w:w="20" w:type="dxa"/>
            </w:tcMar>
            <w:vAlign w:val="bottom"/>
          </w:tcPr>
          <w:p w14:paraId="74DE024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center"/>
          </w:tcPr>
          <w:p w14:paraId="74DE024A" w14:textId="77777777" w:rsidR="00584EC1" w:rsidRDefault="00871F8D">
            <w:pPr>
              <w:jc w:val="right"/>
              <w:textAlignment w:val="center"/>
            </w:pPr>
            <w:r>
              <w:rPr>
                <w:rFonts w:ascii="Arial" w:eastAsia="宋体" w:hAnsi="Arial" w:cs="Arial"/>
                <w:color w:val="000000"/>
                <w:sz w:val="12"/>
                <w:szCs w:val="12"/>
              </w:rPr>
              <w:t>493 </w:t>
            </w:r>
          </w:p>
        </w:tc>
        <w:tc>
          <w:tcPr>
            <w:tcW w:w="0" w:type="auto"/>
            <w:shd w:val="clear" w:color="auto" w:fill="CCEEFF"/>
            <w:tcMar>
              <w:top w:w="40" w:type="dxa"/>
              <w:left w:w="0" w:type="dxa"/>
              <w:bottom w:w="40" w:type="dxa"/>
              <w:right w:w="20" w:type="dxa"/>
            </w:tcMar>
            <w:vAlign w:val="center"/>
          </w:tcPr>
          <w:p w14:paraId="74DE024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24C" w14:textId="77777777" w:rsidR="00584EC1" w:rsidRDefault="00584EC1">
            <w:pPr>
              <w:rPr>
                <w:rFonts w:ascii="宋体"/>
              </w:rPr>
            </w:pPr>
          </w:p>
        </w:tc>
        <w:tc>
          <w:tcPr>
            <w:tcW w:w="0" w:type="auto"/>
            <w:gridSpan w:val="3"/>
            <w:shd w:val="clear" w:color="auto" w:fill="CCEEFF"/>
            <w:tcMar>
              <w:top w:w="40" w:type="dxa"/>
              <w:left w:w="20" w:type="dxa"/>
              <w:bottom w:w="40" w:type="dxa"/>
              <w:right w:w="20" w:type="dxa"/>
            </w:tcMar>
            <w:vAlign w:val="center"/>
          </w:tcPr>
          <w:p w14:paraId="74DE024D" w14:textId="77777777" w:rsidR="00584EC1" w:rsidRDefault="00871F8D">
            <w:pPr>
              <w:textAlignment w:val="center"/>
            </w:pPr>
            <w:r>
              <w:rPr>
                <w:rFonts w:ascii="Arial" w:eastAsia="宋体" w:hAnsi="Arial" w:cs="Arial"/>
                <w:color w:val="000000"/>
                <w:sz w:val="12"/>
                <w:szCs w:val="12"/>
              </w:rPr>
              <w:t>March 15, 2026</w:t>
            </w:r>
          </w:p>
        </w:tc>
      </w:tr>
      <w:tr w:rsidR="00584EC1" w14:paraId="74DE0269" w14:textId="77777777">
        <w:tc>
          <w:tcPr>
            <w:tcW w:w="0" w:type="auto"/>
            <w:gridSpan w:val="3"/>
            <w:shd w:val="clear" w:color="auto" w:fill="FFFFFF"/>
            <w:tcMar>
              <w:top w:w="40" w:type="dxa"/>
              <w:left w:w="20" w:type="dxa"/>
              <w:bottom w:w="40" w:type="dxa"/>
              <w:right w:w="20" w:type="dxa"/>
            </w:tcMar>
            <w:vAlign w:val="center"/>
          </w:tcPr>
          <w:p w14:paraId="74DE024F" w14:textId="77777777" w:rsidR="00584EC1" w:rsidRDefault="00871F8D">
            <w:pPr>
              <w:textAlignment w:val="center"/>
            </w:pPr>
            <w:r>
              <w:rPr>
                <w:rFonts w:ascii="Arial" w:eastAsia="宋体" w:hAnsi="Arial" w:cs="Arial"/>
                <w:color w:val="000000"/>
                <w:sz w:val="12"/>
                <w:szCs w:val="12"/>
              </w:rPr>
              <w:t>Series H</w:t>
            </w:r>
          </w:p>
        </w:tc>
        <w:tc>
          <w:tcPr>
            <w:tcW w:w="0" w:type="auto"/>
            <w:gridSpan w:val="3"/>
            <w:shd w:val="clear" w:color="auto" w:fill="FFFFFF"/>
            <w:tcMar>
              <w:top w:w="0" w:type="dxa"/>
              <w:left w:w="20" w:type="dxa"/>
              <w:bottom w:w="0" w:type="dxa"/>
              <w:right w:w="20" w:type="dxa"/>
            </w:tcMar>
            <w:vAlign w:val="bottom"/>
          </w:tcPr>
          <w:p w14:paraId="74DE0250" w14:textId="77777777" w:rsidR="00584EC1" w:rsidRDefault="00584EC1">
            <w:pPr>
              <w:rPr>
                <w:rFonts w:ascii="宋体"/>
              </w:rPr>
            </w:pPr>
          </w:p>
        </w:tc>
        <w:tc>
          <w:tcPr>
            <w:tcW w:w="0" w:type="auto"/>
            <w:gridSpan w:val="3"/>
            <w:shd w:val="clear" w:color="auto" w:fill="FFFFFF"/>
            <w:tcMar>
              <w:top w:w="40" w:type="dxa"/>
              <w:left w:w="20" w:type="dxa"/>
              <w:bottom w:w="40" w:type="dxa"/>
              <w:right w:w="20" w:type="dxa"/>
            </w:tcMar>
            <w:vAlign w:val="center"/>
          </w:tcPr>
          <w:p w14:paraId="74DE0251" w14:textId="77777777" w:rsidR="00584EC1" w:rsidRDefault="00871F8D">
            <w:pPr>
              <w:textAlignment w:val="center"/>
            </w:pPr>
            <w:r>
              <w:rPr>
                <w:rFonts w:ascii="Arial" w:eastAsia="宋体" w:hAnsi="Arial" w:cs="Arial"/>
                <w:color w:val="000000"/>
                <w:sz w:val="12"/>
                <w:szCs w:val="12"/>
              </w:rPr>
              <w:t>September 2018</w:t>
            </w:r>
          </w:p>
        </w:tc>
        <w:tc>
          <w:tcPr>
            <w:tcW w:w="0" w:type="auto"/>
            <w:gridSpan w:val="3"/>
            <w:shd w:val="clear" w:color="auto" w:fill="FFFFFF"/>
            <w:tcMar>
              <w:top w:w="0" w:type="dxa"/>
              <w:left w:w="20" w:type="dxa"/>
              <w:bottom w:w="0" w:type="dxa"/>
              <w:right w:w="20" w:type="dxa"/>
            </w:tcMar>
            <w:vAlign w:val="bottom"/>
          </w:tcPr>
          <w:p w14:paraId="74DE025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center"/>
          </w:tcPr>
          <w:p w14:paraId="74DE0253" w14:textId="77777777" w:rsidR="00584EC1" w:rsidRDefault="00871F8D">
            <w:pPr>
              <w:jc w:val="right"/>
              <w:textAlignment w:val="center"/>
            </w:pPr>
            <w:r>
              <w:rPr>
                <w:rFonts w:ascii="Arial" w:eastAsia="宋体" w:hAnsi="Arial" w:cs="Arial"/>
                <w:color w:val="000000"/>
                <w:sz w:val="12"/>
                <w:szCs w:val="12"/>
              </w:rPr>
              <w:t>500,000 </w:t>
            </w:r>
          </w:p>
        </w:tc>
        <w:tc>
          <w:tcPr>
            <w:tcW w:w="0" w:type="auto"/>
            <w:shd w:val="clear" w:color="auto" w:fill="FFFFFF"/>
            <w:tcMar>
              <w:top w:w="40" w:type="dxa"/>
              <w:left w:w="0" w:type="dxa"/>
              <w:bottom w:w="40" w:type="dxa"/>
              <w:right w:w="20" w:type="dxa"/>
            </w:tcMar>
            <w:vAlign w:val="center"/>
          </w:tcPr>
          <w:p w14:paraId="74DE025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255"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center"/>
          </w:tcPr>
          <w:p w14:paraId="74DE0256" w14:textId="77777777" w:rsidR="00584EC1" w:rsidRDefault="00871F8D">
            <w:pPr>
              <w:jc w:val="right"/>
              <w:textAlignment w:val="center"/>
            </w:pPr>
            <w:r>
              <w:rPr>
                <w:rFonts w:ascii="Arial" w:eastAsia="宋体" w:hAnsi="Arial" w:cs="Arial"/>
                <w:color w:val="000000"/>
                <w:sz w:val="12"/>
                <w:szCs w:val="12"/>
              </w:rPr>
              <w:t>500 </w:t>
            </w:r>
          </w:p>
        </w:tc>
        <w:tc>
          <w:tcPr>
            <w:tcW w:w="0" w:type="auto"/>
            <w:shd w:val="clear" w:color="auto" w:fill="FFFFFF"/>
            <w:tcMar>
              <w:top w:w="40" w:type="dxa"/>
              <w:left w:w="0" w:type="dxa"/>
              <w:bottom w:w="40" w:type="dxa"/>
              <w:right w:w="20" w:type="dxa"/>
            </w:tcMar>
            <w:vAlign w:val="center"/>
          </w:tcPr>
          <w:p w14:paraId="74DE025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258" w14:textId="77777777" w:rsidR="00584EC1" w:rsidRDefault="00584EC1">
            <w:pPr>
              <w:rPr>
                <w:rFonts w:ascii="宋体"/>
              </w:rPr>
            </w:pPr>
          </w:p>
        </w:tc>
        <w:tc>
          <w:tcPr>
            <w:tcW w:w="0" w:type="auto"/>
            <w:gridSpan w:val="3"/>
            <w:shd w:val="clear" w:color="auto" w:fill="FFFFFF"/>
            <w:tcMar>
              <w:top w:w="40" w:type="dxa"/>
              <w:left w:w="20" w:type="dxa"/>
              <w:bottom w:w="40" w:type="dxa"/>
              <w:right w:w="20" w:type="dxa"/>
            </w:tcMar>
            <w:vAlign w:val="center"/>
          </w:tcPr>
          <w:p w14:paraId="74DE0259" w14:textId="77777777" w:rsidR="00584EC1" w:rsidRDefault="00871F8D">
            <w:pPr>
              <w:textAlignment w:val="center"/>
            </w:pPr>
            <w:r>
              <w:rPr>
                <w:rFonts w:ascii="Arial" w:eastAsia="宋体" w:hAnsi="Arial" w:cs="Arial"/>
                <w:color w:val="000000"/>
                <w:sz w:val="12"/>
                <w:szCs w:val="12"/>
              </w:rPr>
              <w:t>1/100th</w:t>
            </w:r>
          </w:p>
        </w:tc>
        <w:tc>
          <w:tcPr>
            <w:tcW w:w="0" w:type="auto"/>
            <w:gridSpan w:val="3"/>
            <w:shd w:val="clear" w:color="auto" w:fill="FFFFFF"/>
            <w:tcMar>
              <w:top w:w="0" w:type="dxa"/>
              <w:left w:w="20" w:type="dxa"/>
              <w:bottom w:w="0" w:type="dxa"/>
              <w:right w:w="20" w:type="dxa"/>
            </w:tcMar>
            <w:vAlign w:val="bottom"/>
          </w:tcPr>
          <w:p w14:paraId="74DE025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center"/>
          </w:tcPr>
          <w:p w14:paraId="74DE025B" w14:textId="77777777" w:rsidR="00584EC1" w:rsidRDefault="00871F8D">
            <w:pPr>
              <w:jc w:val="right"/>
              <w:textAlignment w:val="center"/>
            </w:pPr>
            <w:r>
              <w:rPr>
                <w:rFonts w:ascii="Arial" w:eastAsia="宋体" w:hAnsi="Arial" w:cs="Arial"/>
                <w:color w:val="000000"/>
                <w:sz w:val="12"/>
                <w:szCs w:val="12"/>
              </w:rPr>
              <w:t>100,000 </w:t>
            </w:r>
          </w:p>
        </w:tc>
        <w:tc>
          <w:tcPr>
            <w:tcW w:w="0" w:type="auto"/>
            <w:shd w:val="clear" w:color="auto" w:fill="FFFFFF"/>
            <w:tcMar>
              <w:top w:w="40" w:type="dxa"/>
              <w:left w:w="0" w:type="dxa"/>
              <w:bottom w:w="40" w:type="dxa"/>
              <w:right w:w="20" w:type="dxa"/>
            </w:tcMar>
            <w:vAlign w:val="center"/>
          </w:tcPr>
          <w:p w14:paraId="74DE025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25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center"/>
          </w:tcPr>
          <w:p w14:paraId="74DE025E" w14:textId="77777777" w:rsidR="00584EC1" w:rsidRDefault="00871F8D">
            <w:pPr>
              <w:jc w:val="right"/>
              <w:textAlignment w:val="center"/>
            </w:pPr>
            <w:r>
              <w:rPr>
                <w:rFonts w:ascii="Arial" w:eastAsia="宋体" w:hAnsi="Arial" w:cs="Arial"/>
                <w:color w:val="000000"/>
                <w:sz w:val="12"/>
                <w:szCs w:val="12"/>
              </w:rPr>
              <w:t>1,000 </w:t>
            </w:r>
          </w:p>
        </w:tc>
        <w:tc>
          <w:tcPr>
            <w:tcW w:w="0" w:type="auto"/>
            <w:shd w:val="clear" w:color="auto" w:fill="FFFFFF"/>
            <w:tcMar>
              <w:top w:w="40" w:type="dxa"/>
              <w:left w:w="0" w:type="dxa"/>
              <w:bottom w:w="40" w:type="dxa"/>
              <w:right w:w="20" w:type="dxa"/>
            </w:tcMar>
            <w:vAlign w:val="center"/>
          </w:tcPr>
          <w:p w14:paraId="74DE025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260" w14:textId="77777777" w:rsidR="00584EC1" w:rsidRDefault="00584EC1">
            <w:pPr>
              <w:rPr>
                <w:rFonts w:ascii="宋体"/>
              </w:rPr>
            </w:pPr>
          </w:p>
        </w:tc>
        <w:tc>
          <w:tcPr>
            <w:tcW w:w="0" w:type="auto"/>
            <w:gridSpan w:val="3"/>
            <w:shd w:val="clear" w:color="auto" w:fill="FFFFFF"/>
            <w:tcMar>
              <w:top w:w="40" w:type="dxa"/>
              <w:left w:w="20" w:type="dxa"/>
              <w:bottom w:w="40" w:type="dxa"/>
              <w:right w:w="20" w:type="dxa"/>
            </w:tcMar>
            <w:vAlign w:val="center"/>
          </w:tcPr>
          <w:p w14:paraId="74DE0261" w14:textId="77777777" w:rsidR="00584EC1" w:rsidRDefault="00871F8D">
            <w:pPr>
              <w:textAlignment w:val="center"/>
            </w:pPr>
            <w:r>
              <w:rPr>
                <w:rFonts w:ascii="Arial" w:eastAsia="宋体" w:hAnsi="Arial" w:cs="Arial"/>
                <w:color w:val="000000"/>
                <w:sz w:val="12"/>
                <w:szCs w:val="12"/>
              </w:rPr>
              <w:t xml:space="preserve">5.625% to but excluding December 15, 2023, then a floating rate equal to </w:t>
            </w:r>
            <w:r>
              <w:rPr>
                <w:rFonts w:ascii="Arial" w:eastAsia="宋体" w:hAnsi="Arial" w:cs="Arial"/>
                <w:color w:val="000000"/>
                <w:sz w:val="12"/>
                <w:szCs w:val="12"/>
              </w:rPr>
              <w:t>the three-month LIBOR plus 2.539%</w:t>
            </w:r>
          </w:p>
        </w:tc>
        <w:tc>
          <w:tcPr>
            <w:tcW w:w="0" w:type="auto"/>
            <w:gridSpan w:val="3"/>
            <w:shd w:val="clear" w:color="auto" w:fill="FFFFFF"/>
            <w:tcMar>
              <w:top w:w="0" w:type="dxa"/>
              <w:left w:w="20" w:type="dxa"/>
              <w:bottom w:w="0" w:type="dxa"/>
              <w:right w:w="20" w:type="dxa"/>
            </w:tcMar>
            <w:vAlign w:val="bottom"/>
          </w:tcPr>
          <w:p w14:paraId="74DE0262" w14:textId="77777777" w:rsidR="00584EC1" w:rsidRDefault="00584EC1">
            <w:pPr>
              <w:rPr>
                <w:rFonts w:ascii="宋体"/>
              </w:rPr>
            </w:pPr>
          </w:p>
        </w:tc>
        <w:tc>
          <w:tcPr>
            <w:tcW w:w="0" w:type="auto"/>
            <w:gridSpan w:val="3"/>
            <w:shd w:val="clear" w:color="auto" w:fill="FFFFFF"/>
            <w:tcMar>
              <w:top w:w="40" w:type="dxa"/>
              <w:left w:w="20" w:type="dxa"/>
              <w:bottom w:w="40" w:type="dxa"/>
              <w:right w:w="20" w:type="dxa"/>
            </w:tcMar>
            <w:vAlign w:val="center"/>
          </w:tcPr>
          <w:p w14:paraId="74DE0263" w14:textId="77777777" w:rsidR="00584EC1" w:rsidRDefault="00871F8D">
            <w:pPr>
              <w:textAlignment w:val="center"/>
            </w:pPr>
            <w:r>
              <w:rPr>
                <w:rFonts w:ascii="Arial" w:eastAsia="宋体" w:hAnsi="Arial" w:cs="Arial"/>
                <w:color w:val="000000"/>
                <w:sz w:val="12"/>
                <w:szCs w:val="12"/>
              </w:rPr>
              <w:t>Semi-annually</w:t>
            </w:r>
          </w:p>
        </w:tc>
        <w:tc>
          <w:tcPr>
            <w:tcW w:w="0" w:type="auto"/>
            <w:gridSpan w:val="3"/>
            <w:shd w:val="clear" w:color="auto" w:fill="FFFFFF"/>
            <w:tcMar>
              <w:top w:w="0" w:type="dxa"/>
              <w:left w:w="20" w:type="dxa"/>
              <w:bottom w:w="0" w:type="dxa"/>
              <w:right w:w="20" w:type="dxa"/>
            </w:tcMar>
            <w:vAlign w:val="bottom"/>
          </w:tcPr>
          <w:p w14:paraId="74DE026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center"/>
          </w:tcPr>
          <w:p w14:paraId="74DE0265" w14:textId="77777777" w:rsidR="00584EC1" w:rsidRDefault="00871F8D">
            <w:pPr>
              <w:jc w:val="right"/>
              <w:textAlignment w:val="center"/>
            </w:pPr>
            <w:r>
              <w:rPr>
                <w:rFonts w:ascii="Arial" w:eastAsia="宋体" w:hAnsi="Arial" w:cs="Arial"/>
                <w:color w:val="000000"/>
                <w:sz w:val="12"/>
                <w:szCs w:val="12"/>
              </w:rPr>
              <w:t>494 </w:t>
            </w:r>
          </w:p>
        </w:tc>
        <w:tc>
          <w:tcPr>
            <w:tcW w:w="0" w:type="auto"/>
            <w:shd w:val="clear" w:color="auto" w:fill="FFFFFF"/>
            <w:tcMar>
              <w:top w:w="40" w:type="dxa"/>
              <w:left w:w="0" w:type="dxa"/>
              <w:bottom w:w="40" w:type="dxa"/>
              <w:right w:w="20" w:type="dxa"/>
            </w:tcMar>
            <w:vAlign w:val="center"/>
          </w:tcPr>
          <w:p w14:paraId="74DE026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267" w14:textId="77777777" w:rsidR="00584EC1" w:rsidRDefault="00584EC1">
            <w:pPr>
              <w:rPr>
                <w:rFonts w:ascii="宋体"/>
              </w:rPr>
            </w:pPr>
          </w:p>
        </w:tc>
        <w:tc>
          <w:tcPr>
            <w:tcW w:w="0" w:type="auto"/>
            <w:gridSpan w:val="3"/>
            <w:shd w:val="clear" w:color="auto" w:fill="FFFFFF"/>
            <w:tcMar>
              <w:top w:w="40" w:type="dxa"/>
              <w:left w:w="20" w:type="dxa"/>
              <w:bottom w:w="40" w:type="dxa"/>
              <w:right w:w="20" w:type="dxa"/>
            </w:tcMar>
            <w:vAlign w:val="center"/>
          </w:tcPr>
          <w:p w14:paraId="74DE0268" w14:textId="77777777" w:rsidR="00584EC1" w:rsidRDefault="00871F8D">
            <w:pPr>
              <w:textAlignment w:val="center"/>
            </w:pPr>
            <w:r>
              <w:rPr>
                <w:rFonts w:ascii="Arial" w:eastAsia="宋体" w:hAnsi="Arial" w:cs="Arial"/>
                <w:color w:val="000000"/>
                <w:sz w:val="12"/>
                <w:szCs w:val="12"/>
              </w:rPr>
              <w:t>December 15, 2023</w:t>
            </w:r>
          </w:p>
        </w:tc>
      </w:tr>
    </w:tbl>
    <w:p w14:paraId="74DE026A" w14:textId="77777777" w:rsidR="00584EC1" w:rsidRDefault="00584EC1">
      <w:pPr>
        <w:rPr>
          <w:vanish/>
        </w:rPr>
      </w:pPr>
    </w:p>
    <w:tbl>
      <w:tblPr>
        <w:tblW w:w="4971" w:type="pct"/>
        <w:jc w:val="center"/>
        <w:tblCellMar>
          <w:top w:w="15" w:type="dxa"/>
          <w:left w:w="15" w:type="dxa"/>
          <w:bottom w:w="15" w:type="dxa"/>
          <w:right w:w="15" w:type="dxa"/>
        </w:tblCellMar>
        <w:tblLook w:val="04A0" w:firstRow="1" w:lastRow="0" w:firstColumn="1" w:lastColumn="0" w:noHBand="0" w:noVBand="1"/>
      </w:tblPr>
      <w:tblGrid>
        <w:gridCol w:w="69"/>
        <w:gridCol w:w="2224"/>
        <w:gridCol w:w="36"/>
        <w:gridCol w:w="69"/>
        <w:gridCol w:w="1503"/>
        <w:gridCol w:w="36"/>
        <w:gridCol w:w="69"/>
        <w:gridCol w:w="1503"/>
        <w:gridCol w:w="36"/>
        <w:gridCol w:w="69"/>
        <w:gridCol w:w="2638"/>
        <w:gridCol w:w="36"/>
      </w:tblGrid>
      <w:tr w:rsidR="00584EC1" w14:paraId="74DE0277" w14:textId="77777777">
        <w:trPr>
          <w:jc w:val="center"/>
        </w:trPr>
        <w:tc>
          <w:tcPr>
            <w:tcW w:w="50" w:type="pct"/>
            <w:shd w:val="clear" w:color="auto" w:fill="auto"/>
            <w:vAlign w:val="bottom"/>
          </w:tcPr>
          <w:p w14:paraId="74DE026B" w14:textId="77777777" w:rsidR="00584EC1" w:rsidRDefault="00584EC1">
            <w:pPr>
              <w:rPr>
                <w:rFonts w:ascii="宋体"/>
              </w:rPr>
            </w:pPr>
          </w:p>
        </w:tc>
        <w:tc>
          <w:tcPr>
            <w:tcW w:w="1349" w:type="pct"/>
            <w:shd w:val="clear" w:color="auto" w:fill="auto"/>
            <w:vAlign w:val="bottom"/>
          </w:tcPr>
          <w:p w14:paraId="74DE026C" w14:textId="77777777" w:rsidR="00584EC1" w:rsidRDefault="00584EC1">
            <w:pPr>
              <w:rPr>
                <w:rFonts w:ascii="宋体"/>
              </w:rPr>
            </w:pPr>
          </w:p>
        </w:tc>
        <w:tc>
          <w:tcPr>
            <w:tcW w:w="5" w:type="pct"/>
            <w:shd w:val="clear" w:color="auto" w:fill="auto"/>
            <w:vAlign w:val="bottom"/>
          </w:tcPr>
          <w:p w14:paraId="74DE026D" w14:textId="77777777" w:rsidR="00584EC1" w:rsidRDefault="00584EC1">
            <w:pPr>
              <w:rPr>
                <w:rFonts w:ascii="宋体"/>
              </w:rPr>
            </w:pPr>
          </w:p>
        </w:tc>
        <w:tc>
          <w:tcPr>
            <w:tcW w:w="50" w:type="pct"/>
            <w:shd w:val="clear" w:color="auto" w:fill="auto"/>
            <w:vAlign w:val="bottom"/>
          </w:tcPr>
          <w:p w14:paraId="74DE026E" w14:textId="77777777" w:rsidR="00584EC1" w:rsidRDefault="00584EC1">
            <w:pPr>
              <w:rPr>
                <w:rFonts w:ascii="宋体"/>
              </w:rPr>
            </w:pPr>
          </w:p>
        </w:tc>
        <w:tc>
          <w:tcPr>
            <w:tcW w:w="915" w:type="pct"/>
            <w:shd w:val="clear" w:color="auto" w:fill="auto"/>
            <w:vAlign w:val="bottom"/>
          </w:tcPr>
          <w:p w14:paraId="74DE026F" w14:textId="77777777" w:rsidR="00584EC1" w:rsidRDefault="00584EC1">
            <w:pPr>
              <w:rPr>
                <w:rFonts w:ascii="宋体"/>
              </w:rPr>
            </w:pPr>
          </w:p>
        </w:tc>
        <w:tc>
          <w:tcPr>
            <w:tcW w:w="5" w:type="pct"/>
            <w:shd w:val="clear" w:color="auto" w:fill="auto"/>
            <w:vAlign w:val="bottom"/>
          </w:tcPr>
          <w:p w14:paraId="74DE0270" w14:textId="77777777" w:rsidR="00584EC1" w:rsidRDefault="00584EC1">
            <w:pPr>
              <w:rPr>
                <w:rFonts w:ascii="宋体"/>
              </w:rPr>
            </w:pPr>
          </w:p>
        </w:tc>
        <w:tc>
          <w:tcPr>
            <w:tcW w:w="50" w:type="pct"/>
            <w:shd w:val="clear" w:color="auto" w:fill="auto"/>
            <w:vAlign w:val="bottom"/>
          </w:tcPr>
          <w:p w14:paraId="74DE0271" w14:textId="77777777" w:rsidR="00584EC1" w:rsidRDefault="00584EC1">
            <w:pPr>
              <w:rPr>
                <w:rFonts w:ascii="宋体"/>
              </w:rPr>
            </w:pPr>
          </w:p>
        </w:tc>
        <w:tc>
          <w:tcPr>
            <w:tcW w:w="915" w:type="pct"/>
            <w:shd w:val="clear" w:color="auto" w:fill="auto"/>
            <w:vAlign w:val="bottom"/>
          </w:tcPr>
          <w:p w14:paraId="74DE0272" w14:textId="77777777" w:rsidR="00584EC1" w:rsidRDefault="00584EC1">
            <w:pPr>
              <w:rPr>
                <w:rFonts w:ascii="宋体"/>
              </w:rPr>
            </w:pPr>
          </w:p>
        </w:tc>
        <w:tc>
          <w:tcPr>
            <w:tcW w:w="5" w:type="pct"/>
            <w:shd w:val="clear" w:color="auto" w:fill="auto"/>
            <w:vAlign w:val="bottom"/>
          </w:tcPr>
          <w:p w14:paraId="74DE0273" w14:textId="77777777" w:rsidR="00584EC1" w:rsidRDefault="00584EC1">
            <w:pPr>
              <w:rPr>
                <w:rFonts w:ascii="宋体"/>
              </w:rPr>
            </w:pPr>
          </w:p>
        </w:tc>
        <w:tc>
          <w:tcPr>
            <w:tcW w:w="50" w:type="pct"/>
            <w:shd w:val="clear" w:color="auto" w:fill="auto"/>
            <w:vAlign w:val="bottom"/>
          </w:tcPr>
          <w:p w14:paraId="74DE0274" w14:textId="77777777" w:rsidR="00584EC1" w:rsidRDefault="00584EC1">
            <w:pPr>
              <w:rPr>
                <w:rFonts w:ascii="宋体"/>
              </w:rPr>
            </w:pPr>
          </w:p>
        </w:tc>
        <w:tc>
          <w:tcPr>
            <w:tcW w:w="1599" w:type="pct"/>
            <w:shd w:val="clear" w:color="auto" w:fill="auto"/>
            <w:vAlign w:val="bottom"/>
          </w:tcPr>
          <w:p w14:paraId="74DE0275" w14:textId="77777777" w:rsidR="00584EC1" w:rsidRDefault="00584EC1">
            <w:pPr>
              <w:rPr>
                <w:rFonts w:ascii="宋体"/>
              </w:rPr>
            </w:pPr>
          </w:p>
        </w:tc>
        <w:tc>
          <w:tcPr>
            <w:tcW w:w="5" w:type="pct"/>
            <w:shd w:val="clear" w:color="auto" w:fill="auto"/>
            <w:vAlign w:val="bottom"/>
          </w:tcPr>
          <w:p w14:paraId="74DE0276" w14:textId="77777777" w:rsidR="00584EC1" w:rsidRDefault="00584EC1">
            <w:pPr>
              <w:rPr>
                <w:rFonts w:ascii="宋体"/>
              </w:rPr>
            </w:pPr>
          </w:p>
        </w:tc>
      </w:tr>
      <w:tr w:rsidR="00584EC1" w14:paraId="74DE027C" w14:textId="77777777">
        <w:trPr>
          <w:trHeight w:val="60"/>
          <w:jc w:val="center"/>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4DE0278"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279"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27A"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27B" w14:textId="77777777" w:rsidR="00584EC1" w:rsidRDefault="00584EC1">
            <w:pPr>
              <w:rPr>
                <w:rFonts w:ascii="宋体"/>
              </w:rPr>
            </w:pPr>
          </w:p>
        </w:tc>
      </w:tr>
    </w:tbl>
    <w:p w14:paraId="74DE027D" w14:textId="77777777" w:rsidR="00584EC1" w:rsidRDefault="00871F8D">
      <w:pPr>
        <w:spacing w:before="20"/>
        <w:jc w:val="both"/>
      </w:pPr>
      <w:r>
        <w:rPr>
          <w:rFonts w:ascii="Arial" w:eastAsia="宋体" w:hAnsi="Arial" w:cs="Arial"/>
          <w:color w:val="000000"/>
          <w:sz w:val="7"/>
          <w:szCs w:val="7"/>
        </w:rPr>
        <w:t xml:space="preserve">(1) </w:t>
      </w:r>
      <w:r>
        <w:rPr>
          <w:rFonts w:ascii="Arial" w:eastAsia="宋体" w:hAnsi="Arial" w:cs="Arial"/>
          <w:color w:val="000000"/>
          <w:sz w:val="12"/>
          <w:szCs w:val="12"/>
        </w:rPr>
        <w:t xml:space="preserve">The preferred stock and corresponding depositary shares may be redeemed at our </w:t>
      </w:r>
      <w:r>
        <w:rPr>
          <w:rFonts w:ascii="Arial" w:eastAsia="宋体" w:hAnsi="Arial" w:cs="Arial"/>
          <w:color w:val="000000"/>
          <w:sz w:val="12"/>
          <w:szCs w:val="12"/>
        </w:rPr>
        <w:t>option in whole, but not in part, prior to the redemption date upon the occurrence of a regulatory capital treatment event, as defined in the certificate of designation, at a redemption price equal to the liquidation price per share and liquidation price p</w:t>
      </w:r>
      <w:r>
        <w:rPr>
          <w:rFonts w:ascii="Arial" w:eastAsia="宋体" w:hAnsi="Arial" w:cs="Arial"/>
          <w:color w:val="000000"/>
          <w:sz w:val="12"/>
          <w:szCs w:val="12"/>
        </w:rPr>
        <w:t>er depositary share plus any declared and unpaid dividends, without accumulation of any undeclared dividends.</w:t>
      </w:r>
    </w:p>
    <w:p w14:paraId="74DE027E" w14:textId="77777777" w:rsidR="00584EC1" w:rsidRDefault="00871F8D">
      <w:pPr>
        <w:spacing w:before="20"/>
        <w:jc w:val="both"/>
      </w:pPr>
      <w:r>
        <w:rPr>
          <w:rFonts w:ascii="Arial" w:eastAsia="宋体" w:hAnsi="Arial" w:cs="Arial"/>
          <w:color w:val="000000"/>
          <w:sz w:val="7"/>
          <w:szCs w:val="7"/>
        </w:rPr>
        <w:t xml:space="preserve">(2) </w:t>
      </w:r>
      <w:r>
        <w:rPr>
          <w:rFonts w:ascii="Arial" w:eastAsia="宋体" w:hAnsi="Arial" w:cs="Arial"/>
          <w:color w:val="000000"/>
          <w:sz w:val="12"/>
          <w:szCs w:val="12"/>
        </w:rPr>
        <w:t>On the redemption date, or any dividend payment date thereafter, the preferred stock and corresponding depositary shares may be redeemed by us</w:t>
      </w:r>
      <w:r>
        <w:rPr>
          <w:rFonts w:ascii="Arial" w:eastAsia="宋体" w:hAnsi="Arial" w:cs="Arial"/>
          <w:color w:val="000000"/>
          <w:sz w:val="12"/>
          <w:szCs w:val="12"/>
        </w:rPr>
        <w:t>, in whole or in part, at the liquidation price per share and liquidation price per depositary share plus any declared and unpaid dividends, without accumulation of any undeclared dividends.</w:t>
      </w:r>
    </w:p>
    <w:p w14:paraId="74DE027F" w14:textId="77777777" w:rsidR="00584EC1" w:rsidRDefault="00871F8D">
      <w:pPr>
        <w:spacing w:before="20"/>
        <w:jc w:val="both"/>
      </w:pPr>
      <w:r>
        <w:rPr>
          <w:rFonts w:ascii="Arial" w:eastAsia="宋体" w:hAnsi="Arial" w:cs="Arial"/>
          <w:color w:val="000000"/>
          <w:sz w:val="7"/>
          <w:szCs w:val="7"/>
        </w:rPr>
        <w:t>(3)</w:t>
      </w:r>
      <w:r>
        <w:rPr>
          <w:rFonts w:ascii="Arial" w:eastAsia="宋体" w:hAnsi="Arial" w:cs="Arial"/>
          <w:color w:val="000000"/>
          <w:sz w:val="12"/>
          <w:szCs w:val="12"/>
        </w:rPr>
        <w:t xml:space="preserve"> Series F preferred stock is redeemable on September 15, 2020 </w:t>
      </w:r>
      <w:r>
        <w:rPr>
          <w:rFonts w:ascii="Arial" w:eastAsia="宋体" w:hAnsi="Arial" w:cs="Arial"/>
          <w:color w:val="000000"/>
          <w:sz w:val="12"/>
          <w:szCs w:val="12"/>
        </w:rPr>
        <w:t>and on each succeeding dividend payment date. We did not elect redemption on September 15, 2020, December 15, 2020, June 15, 2021 or September 15, 2021.</w:t>
      </w:r>
    </w:p>
    <w:p w14:paraId="74DE0280" w14:textId="77777777" w:rsidR="00584EC1" w:rsidRDefault="00871F8D">
      <w:pPr>
        <w:ind w:firstLine="450"/>
        <w:jc w:val="right"/>
      </w:pPr>
      <w:r>
        <w:rPr>
          <w:rFonts w:ascii="Arial" w:eastAsia="宋体" w:hAnsi="Arial" w:cs="Arial"/>
          <w:color w:val="000000"/>
          <w:sz w:val="18"/>
          <w:szCs w:val="18"/>
        </w:rPr>
        <w:t>State Street Corporation | 86</w:t>
      </w:r>
    </w:p>
    <w:p w14:paraId="74DE0281" w14:textId="77777777" w:rsidR="00584EC1" w:rsidRDefault="00584EC1">
      <w:pPr>
        <w:ind w:firstLine="450"/>
        <w:jc w:val="center"/>
      </w:pPr>
    </w:p>
    <w:p w14:paraId="74DE0282" w14:textId="77777777" w:rsidR="00584EC1" w:rsidRDefault="00871F8D">
      <w:r>
        <w:pict w14:anchorId="74DE2A44">
          <v:rect id="_x0000_i1110" style="width:415.3pt;height:1.5pt" o:hralign="center" o:hrstd="t" o:hr="t" fillcolor="#a0a0a0" stroked="f"/>
        </w:pict>
      </w:r>
    </w:p>
    <w:p w14:paraId="74DE0283" w14:textId="77777777" w:rsidR="00584EC1" w:rsidRDefault="00871F8D">
      <w:pPr>
        <w:ind w:firstLine="450"/>
        <w:jc w:val="center"/>
      </w:pPr>
      <w:r>
        <w:rPr>
          <w:rFonts w:ascii="Arial" w:eastAsia="宋体" w:hAnsi="Arial" w:cs="Arial"/>
          <w:b/>
          <w:bCs/>
          <w:color w:val="000000"/>
          <w:sz w:val="20"/>
          <w:szCs w:val="20"/>
        </w:rPr>
        <w:t>STATE STREET CORPORATION</w:t>
      </w:r>
    </w:p>
    <w:p w14:paraId="74DE0284" w14:textId="77777777" w:rsidR="00584EC1" w:rsidRDefault="00871F8D">
      <w:pPr>
        <w:ind w:firstLine="450"/>
        <w:jc w:val="center"/>
      </w:pPr>
      <w:r>
        <w:rPr>
          <w:rFonts w:ascii="Arial" w:eastAsia="宋体" w:hAnsi="Arial" w:cs="Arial"/>
          <w:b/>
          <w:bCs/>
          <w:color w:val="000000"/>
          <w:sz w:val="20"/>
          <w:szCs w:val="20"/>
        </w:rPr>
        <w:t>CONDENSED NOTES TO CONSOLIDATED FINANCIAL STA</w:t>
      </w:r>
      <w:r>
        <w:rPr>
          <w:rFonts w:ascii="Arial" w:eastAsia="宋体" w:hAnsi="Arial" w:cs="Arial"/>
          <w:b/>
          <w:bCs/>
          <w:color w:val="000000"/>
          <w:sz w:val="20"/>
          <w:szCs w:val="20"/>
        </w:rPr>
        <w:t>TEMENTS</w:t>
      </w:r>
    </w:p>
    <w:p w14:paraId="74DE0285" w14:textId="77777777" w:rsidR="00584EC1" w:rsidRDefault="00871F8D">
      <w:pPr>
        <w:ind w:firstLine="450"/>
        <w:jc w:val="center"/>
      </w:pPr>
      <w:r>
        <w:rPr>
          <w:rFonts w:ascii="Arial" w:eastAsia="宋体" w:hAnsi="Arial" w:cs="Arial"/>
          <w:b/>
          <w:bCs/>
          <w:color w:val="000000"/>
          <w:sz w:val="20"/>
          <w:szCs w:val="20"/>
        </w:rPr>
        <w:t>(UNAUDITED)</w:t>
      </w:r>
    </w:p>
    <w:p w14:paraId="74DE0286" w14:textId="77777777" w:rsidR="00584EC1" w:rsidRDefault="00871F8D">
      <w:pPr>
        <w:spacing w:before="60"/>
        <w:ind w:firstLine="450"/>
        <w:jc w:val="both"/>
      </w:pPr>
      <w:r>
        <w:rPr>
          <w:rFonts w:ascii="Arial" w:eastAsia="宋体" w:hAnsi="Arial" w:cs="Arial"/>
          <w:color w:val="000000"/>
          <w:sz w:val="20"/>
          <w:szCs w:val="20"/>
        </w:rPr>
        <w:t xml:space="preserve">On March 15, 2021, we redeemed an aggregate of $500 million, or 5,000 of the 7,500 outstanding shares of our non-cumulative perpetual preferred stock, Series F, for cash at a redemption price of $100,000 per share (equivalent to $1,000 </w:t>
      </w:r>
      <w:r>
        <w:rPr>
          <w:rFonts w:ascii="Arial" w:eastAsia="宋体" w:hAnsi="Arial" w:cs="Arial"/>
          <w:color w:val="000000"/>
          <w:sz w:val="20"/>
          <w:szCs w:val="20"/>
        </w:rPr>
        <w:t>per depositary share) plus all declared and unpaid dividends.</w:t>
      </w:r>
    </w:p>
    <w:p w14:paraId="74DE0287" w14:textId="77777777" w:rsidR="00584EC1" w:rsidRDefault="00871F8D">
      <w:pPr>
        <w:spacing w:before="60"/>
        <w:ind w:firstLine="450"/>
        <w:jc w:val="both"/>
      </w:pPr>
      <w:r>
        <w:rPr>
          <w:rFonts w:ascii="Arial" w:eastAsia="宋体" w:hAnsi="Arial" w:cs="Arial"/>
          <w:color w:val="000000"/>
          <w:sz w:val="20"/>
          <w:szCs w:val="20"/>
        </w:rPr>
        <w:t>The following table presents the dividends declared for each of the series of preferred stock issued and outstanding for the periods indicated:</w:t>
      </w:r>
    </w:p>
    <w:tbl>
      <w:tblPr>
        <w:tblW w:w="4978" w:type="pct"/>
        <w:tblCellMar>
          <w:top w:w="15" w:type="dxa"/>
          <w:left w:w="15" w:type="dxa"/>
          <w:bottom w:w="15" w:type="dxa"/>
          <w:right w:w="15" w:type="dxa"/>
        </w:tblCellMar>
        <w:tblLook w:val="04A0" w:firstRow="1" w:lastRow="0" w:firstColumn="1" w:lastColumn="0" w:noHBand="0" w:noVBand="1"/>
      </w:tblPr>
      <w:tblGrid>
        <w:gridCol w:w="37"/>
        <w:gridCol w:w="1665"/>
        <w:gridCol w:w="36"/>
        <w:gridCol w:w="105"/>
        <w:gridCol w:w="886"/>
        <w:gridCol w:w="36"/>
        <w:gridCol w:w="36"/>
        <w:gridCol w:w="36"/>
        <w:gridCol w:w="36"/>
        <w:gridCol w:w="105"/>
        <w:gridCol w:w="859"/>
        <w:gridCol w:w="36"/>
        <w:gridCol w:w="36"/>
        <w:gridCol w:w="36"/>
        <w:gridCol w:w="36"/>
        <w:gridCol w:w="105"/>
        <w:gridCol w:w="861"/>
        <w:gridCol w:w="36"/>
        <w:gridCol w:w="36"/>
        <w:gridCol w:w="36"/>
        <w:gridCol w:w="36"/>
        <w:gridCol w:w="105"/>
        <w:gridCol w:w="848"/>
        <w:gridCol w:w="36"/>
        <w:gridCol w:w="36"/>
        <w:gridCol w:w="36"/>
        <w:gridCol w:w="36"/>
        <w:gridCol w:w="105"/>
        <w:gridCol w:w="861"/>
        <w:gridCol w:w="36"/>
        <w:gridCol w:w="36"/>
        <w:gridCol w:w="36"/>
        <w:gridCol w:w="36"/>
        <w:gridCol w:w="104"/>
        <w:gridCol w:w="861"/>
        <w:gridCol w:w="36"/>
      </w:tblGrid>
      <w:tr w:rsidR="00584EC1" w14:paraId="74DE02AC" w14:textId="77777777">
        <w:tc>
          <w:tcPr>
            <w:tcW w:w="50" w:type="pct"/>
            <w:shd w:val="clear" w:color="auto" w:fill="auto"/>
            <w:vAlign w:val="bottom"/>
          </w:tcPr>
          <w:p w14:paraId="74DE0288" w14:textId="77777777" w:rsidR="00584EC1" w:rsidRDefault="00584EC1">
            <w:pPr>
              <w:rPr>
                <w:rFonts w:ascii="宋体"/>
              </w:rPr>
            </w:pPr>
          </w:p>
        </w:tc>
        <w:tc>
          <w:tcPr>
            <w:tcW w:w="1031" w:type="pct"/>
            <w:shd w:val="clear" w:color="auto" w:fill="auto"/>
            <w:vAlign w:val="bottom"/>
          </w:tcPr>
          <w:p w14:paraId="74DE0289" w14:textId="77777777" w:rsidR="00584EC1" w:rsidRDefault="00584EC1">
            <w:pPr>
              <w:rPr>
                <w:rFonts w:ascii="宋体"/>
              </w:rPr>
            </w:pPr>
          </w:p>
        </w:tc>
        <w:tc>
          <w:tcPr>
            <w:tcW w:w="5" w:type="pct"/>
            <w:shd w:val="clear" w:color="auto" w:fill="auto"/>
            <w:vAlign w:val="bottom"/>
          </w:tcPr>
          <w:p w14:paraId="74DE028A" w14:textId="77777777" w:rsidR="00584EC1" w:rsidRDefault="00584EC1">
            <w:pPr>
              <w:rPr>
                <w:rFonts w:ascii="宋体"/>
              </w:rPr>
            </w:pPr>
          </w:p>
        </w:tc>
        <w:tc>
          <w:tcPr>
            <w:tcW w:w="50" w:type="pct"/>
            <w:shd w:val="clear" w:color="auto" w:fill="auto"/>
            <w:vAlign w:val="bottom"/>
          </w:tcPr>
          <w:p w14:paraId="74DE028B" w14:textId="77777777" w:rsidR="00584EC1" w:rsidRDefault="00584EC1">
            <w:pPr>
              <w:rPr>
                <w:rFonts w:ascii="宋体"/>
              </w:rPr>
            </w:pPr>
          </w:p>
        </w:tc>
        <w:tc>
          <w:tcPr>
            <w:tcW w:w="561" w:type="pct"/>
            <w:shd w:val="clear" w:color="auto" w:fill="auto"/>
            <w:vAlign w:val="bottom"/>
          </w:tcPr>
          <w:p w14:paraId="74DE028C" w14:textId="77777777" w:rsidR="00584EC1" w:rsidRDefault="00584EC1">
            <w:pPr>
              <w:rPr>
                <w:rFonts w:ascii="宋体"/>
              </w:rPr>
            </w:pPr>
          </w:p>
        </w:tc>
        <w:tc>
          <w:tcPr>
            <w:tcW w:w="5" w:type="pct"/>
            <w:shd w:val="clear" w:color="auto" w:fill="auto"/>
            <w:vAlign w:val="bottom"/>
          </w:tcPr>
          <w:p w14:paraId="74DE028D" w14:textId="77777777" w:rsidR="00584EC1" w:rsidRDefault="00584EC1">
            <w:pPr>
              <w:rPr>
                <w:rFonts w:ascii="宋体"/>
              </w:rPr>
            </w:pPr>
          </w:p>
        </w:tc>
        <w:tc>
          <w:tcPr>
            <w:tcW w:w="5" w:type="pct"/>
            <w:shd w:val="clear" w:color="auto" w:fill="auto"/>
            <w:vAlign w:val="bottom"/>
          </w:tcPr>
          <w:p w14:paraId="74DE028E" w14:textId="77777777" w:rsidR="00584EC1" w:rsidRDefault="00584EC1">
            <w:pPr>
              <w:rPr>
                <w:rFonts w:ascii="宋体"/>
              </w:rPr>
            </w:pPr>
          </w:p>
        </w:tc>
        <w:tc>
          <w:tcPr>
            <w:tcW w:w="26" w:type="pct"/>
            <w:shd w:val="clear" w:color="auto" w:fill="auto"/>
            <w:vAlign w:val="bottom"/>
          </w:tcPr>
          <w:p w14:paraId="74DE028F" w14:textId="77777777" w:rsidR="00584EC1" w:rsidRDefault="00584EC1">
            <w:pPr>
              <w:rPr>
                <w:rFonts w:ascii="宋体"/>
              </w:rPr>
            </w:pPr>
          </w:p>
        </w:tc>
        <w:tc>
          <w:tcPr>
            <w:tcW w:w="5" w:type="pct"/>
            <w:shd w:val="clear" w:color="auto" w:fill="auto"/>
            <w:vAlign w:val="bottom"/>
          </w:tcPr>
          <w:p w14:paraId="74DE0290" w14:textId="77777777" w:rsidR="00584EC1" w:rsidRDefault="00584EC1">
            <w:pPr>
              <w:rPr>
                <w:rFonts w:ascii="宋体"/>
              </w:rPr>
            </w:pPr>
          </w:p>
        </w:tc>
        <w:tc>
          <w:tcPr>
            <w:tcW w:w="50" w:type="pct"/>
            <w:shd w:val="clear" w:color="auto" w:fill="auto"/>
            <w:vAlign w:val="bottom"/>
          </w:tcPr>
          <w:p w14:paraId="74DE0291" w14:textId="77777777" w:rsidR="00584EC1" w:rsidRDefault="00584EC1">
            <w:pPr>
              <w:rPr>
                <w:rFonts w:ascii="宋体"/>
              </w:rPr>
            </w:pPr>
          </w:p>
        </w:tc>
        <w:tc>
          <w:tcPr>
            <w:tcW w:w="569" w:type="pct"/>
            <w:shd w:val="clear" w:color="auto" w:fill="auto"/>
            <w:vAlign w:val="bottom"/>
          </w:tcPr>
          <w:p w14:paraId="74DE0292" w14:textId="77777777" w:rsidR="00584EC1" w:rsidRDefault="00584EC1">
            <w:pPr>
              <w:rPr>
                <w:rFonts w:ascii="宋体"/>
              </w:rPr>
            </w:pPr>
          </w:p>
        </w:tc>
        <w:tc>
          <w:tcPr>
            <w:tcW w:w="5" w:type="pct"/>
            <w:shd w:val="clear" w:color="auto" w:fill="auto"/>
            <w:vAlign w:val="bottom"/>
          </w:tcPr>
          <w:p w14:paraId="74DE0293" w14:textId="77777777" w:rsidR="00584EC1" w:rsidRDefault="00584EC1">
            <w:pPr>
              <w:rPr>
                <w:rFonts w:ascii="宋体"/>
              </w:rPr>
            </w:pPr>
          </w:p>
        </w:tc>
        <w:tc>
          <w:tcPr>
            <w:tcW w:w="5" w:type="pct"/>
            <w:shd w:val="clear" w:color="auto" w:fill="auto"/>
            <w:vAlign w:val="bottom"/>
          </w:tcPr>
          <w:p w14:paraId="74DE0294" w14:textId="77777777" w:rsidR="00584EC1" w:rsidRDefault="00584EC1">
            <w:pPr>
              <w:rPr>
                <w:rFonts w:ascii="宋体"/>
              </w:rPr>
            </w:pPr>
          </w:p>
        </w:tc>
        <w:tc>
          <w:tcPr>
            <w:tcW w:w="26" w:type="pct"/>
            <w:shd w:val="clear" w:color="auto" w:fill="auto"/>
            <w:vAlign w:val="bottom"/>
          </w:tcPr>
          <w:p w14:paraId="74DE0295" w14:textId="77777777" w:rsidR="00584EC1" w:rsidRDefault="00584EC1">
            <w:pPr>
              <w:rPr>
                <w:rFonts w:ascii="宋体"/>
              </w:rPr>
            </w:pPr>
          </w:p>
        </w:tc>
        <w:tc>
          <w:tcPr>
            <w:tcW w:w="5" w:type="pct"/>
            <w:shd w:val="clear" w:color="auto" w:fill="auto"/>
            <w:vAlign w:val="bottom"/>
          </w:tcPr>
          <w:p w14:paraId="74DE0296" w14:textId="77777777" w:rsidR="00584EC1" w:rsidRDefault="00584EC1">
            <w:pPr>
              <w:rPr>
                <w:rFonts w:ascii="宋体"/>
              </w:rPr>
            </w:pPr>
          </w:p>
        </w:tc>
        <w:tc>
          <w:tcPr>
            <w:tcW w:w="50" w:type="pct"/>
            <w:shd w:val="clear" w:color="auto" w:fill="auto"/>
            <w:vAlign w:val="bottom"/>
          </w:tcPr>
          <w:p w14:paraId="74DE0297" w14:textId="77777777" w:rsidR="00584EC1" w:rsidRDefault="00584EC1">
            <w:pPr>
              <w:rPr>
                <w:rFonts w:ascii="宋体"/>
              </w:rPr>
            </w:pPr>
          </w:p>
        </w:tc>
        <w:tc>
          <w:tcPr>
            <w:tcW w:w="569" w:type="pct"/>
            <w:shd w:val="clear" w:color="auto" w:fill="auto"/>
            <w:vAlign w:val="bottom"/>
          </w:tcPr>
          <w:p w14:paraId="74DE0298" w14:textId="77777777" w:rsidR="00584EC1" w:rsidRDefault="00584EC1">
            <w:pPr>
              <w:rPr>
                <w:rFonts w:ascii="宋体"/>
              </w:rPr>
            </w:pPr>
          </w:p>
        </w:tc>
        <w:tc>
          <w:tcPr>
            <w:tcW w:w="5" w:type="pct"/>
            <w:shd w:val="clear" w:color="auto" w:fill="auto"/>
            <w:vAlign w:val="bottom"/>
          </w:tcPr>
          <w:p w14:paraId="74DE0299" w14:textId="77777777" w:rsidR="00584EC1" w:rsidRDefault="00584EC1">
            <w:pPr>
              <w:rPr>
                <w:rFonts w:ascii="宋体"/>
              </w:rPr>
            </w:pPr>
          </w:p>
        </w:tc>
        <w:tc>
          <w:tcPr>
            <w:tcW w:w="5" w:type="pct"/>
            <w:shd w:val="clear" w:color="auto" w:fill="auto"/>
            <w:vAlign w:val="bottom"/>
          </w:tcPr>
          <w:p w14:paraId="74DE029A" w14:textId="77777777" w:rsidR="00584EC1" w:rsidRDefault="00584EC1">
            <w:pPr>
              <w:rPr>
                <w:rFonts w:ascii="宋体"/>
              </w:rPr>
            </w:pPr>
          </w:p>
        </w:tc>
        <w:tc>
          <w:tcPr>
            <w:tcW w:w="26" w:type="pct"/>
            <w:shd w:val="clear" w:color="auto" w:fill="auto"/>
            <w:vAlign w:val="bottom"/>
          </w:tcPr>
          <w:p w14:paraId="74DE029B" w14:textId="77777777" w:rsidR="00584EC1" w:rsidRDefault="00584EC1">
            <w:pPr>
              <w:rPr>
                <w:rFonts w:ascii="宋体"/>
              </w:rPr>
            </w:pPr>
          </w:p>
        </w:tc>
        <w:tc>
          <w:tcPr>
            <w:tcW w:w="5" w:type="pct"/>
            <w:shd w:val="clear" w:color="auto" w:fill="auto"/>
            <w:vAlign w:val="bottom"/>
          </w:tcPr>
          <w:p w14:paraId="74DE029C" w14:textId="77777777" w:rsidR="00584EC1" w:rsidRDefault="00584EC1">
            <w:pPr>
              <w:rPr>
                <w:rFonts w:ascii="宋体"/>
              </w:rPr>
            </w:pPr>
          </w:p>
        </w:tc>
        <w:tc>
          <w:tcPr>
            <w:tcW w:w="50" w:type="pct"/>
            <w:shd w:val="clear" w:color="auto" w:fill="auto"/>
            <w:vAlign w:val="bottom"/>
          </w:tcPr>
          <w:p w14:paraId="74DE029D" w14:textId="77777777" w:rsidR="00584EC1" w:rsidRDefault="00584EC1">
            <w:pPr>
              <w:rPr>
                <w:rFonts w:ascii="宋体"/>
              </w:rPr>
            </w:pPr>
          </w:p>
        </w:tc>
        <w:tc>
          <w:tcPr>
            <w:tcW w:w="561" w:type="pct"/>
            <w:shd w:val="clear" w:color="auto" w:fill="auto"/>
            <w:vAlign w:val="bottom"/>
          </w:tcPr>
          <w:p w14:paraId="74DE029E" w14:textId="77777777" w:rsidR="00584EC1" w:rsidRDefault="00584EC1">
            <w:pPr>
              <w:rPr>
                <w:rFonts w:ascii="宋体"/>
              </w:rPr>
            </w:pPr>
          </w:p>
        </w:tc>
        <w:tc>
          <w:tcPr>
            <w:tcW w:w="5" w:type="pct"/>
            <w:shd w:val="clear" w:color="auto" w:fill="auto"/>
            <w:vAlign w:val="bottom"/>
          </w:tcPr>
          <w:p w14:paraId="74DE029F" w14:textId="77777777" w:rsidR="00584EC1" w:rsidRDefault="00584EC1">
            <w:pPr>
              <w:rPr>
                <w:rFonts w:ascii="宋体"/>
              </w:rPr>
            </w:pPr>
          </w:p>
        </w:tc>
        <w:tc>
          <w:tcPr>
            <w:tcW w:w="5" w:type="pct"/>
            <w:shd w:val="clear" w:color="auto" w:fill="auto"/>
            <w:vAlign w:val="bottom"/>
          </w:tcPr>
          <w:p w14:paraId="74DE02A0" w14:textId="77777777" w:rsidR="00584EC1" w:rsidRDefault="00584EC1">
            <w:pPr>
              <w:rPr>
                <w:rFonts w:ascii="宋体"/>
              </w:rPr>
            </w:pPr>
          </w:p>
        </w:tc>
        <w:tc>
          <w:tcPr>
            <w:tcW w:w="26" w:type="pct"/>
            <w:shd w:val="clear" w:color="auto" w:fill="auto"/>
            <w:vAlign w:val="bottom"/>
          </w:tcPr>
          <w:p w14:paraId="74DE02A1" w14:textId="77777777" w:rsidR="00584EC1" w:rsidRDefault="00584EC1">
            <w:pPr>
              <w:rPr>
                <w:rFonts w:ascii="宋体"/>
              </w:rPr>
            </w:pPr>
          </w:p>
        </w:tc>
        <w:tc>
          <w:tcPr>
            <w:tcW w:w="5" w:type="pct"/>
            <w:shd w:val="clear" w:color="auto" w:fill="auto"/>
            <w:vAlign w:val="bottom"/>
          </w:tcPr>
          <w:p w14:paraId="74DE02A2" w14:textId="77777777" w:rsidR="00584EC1" w:rsidRDefault="00584EC1">
            <w:pPr>
              <w:rPr>
                <w:rFonts w:ascii="宋体"/>
              </w:rPr>
            </w:pPr>
          </w:p>
        </w:tc>
        <w:tc>
          <w:tcPr>
            <w:tcW w:w="50" w:type="pct"/>
            <w:shd w:val="clear" w:color="auto" w:fill="auto"/>
            <w:vAlign w:val="bottom"/>
          </w:tcPr>
          <w:p w14:paraId="74DE02A3" w14:textId="77777777" w:rsidR="00584EC1" w:rsidRDefault="00584EC1">
            <w:pPr>
              <w:rPr>
                <w:rFonts w:ascii="宋体"/>
              </w:rPr>
            </w:pPr>
          </w:p>
        </w:tc>
        <w:tc>
          <w:tcPr>
            <w:tcW w:w="569" w:type="pct"/>
            <w:shd w:val="clear" w:color="auto" w:fill="auto"/>
            <w:vAlign w:val="bottom"/>
          </w:tcPr>
          <w:p w14:paraId="74DE02A4" w14:textId="77777777" w:rsidR="00584EC1" w:rsidRDefault="00584EC1">
            <w:pPr>
              <w:rPr>
                <w:rFonts w:ascii="宋体"/>
              </w:rPr>
            </w:pPr>
          </w:p>
        </w:tc>
        <w:tc>
          <w:tcPr>
            <w:tcW w:w="5" w:type="pct"/>
            <w:shd w:val="clear" w:color="auto" w:fill="auto"/>
            <w:vAlign w:val="bottom"/>
          </w:tcPr>
          <w:p w14:paraId="74DE02A5" w14:textId="77777777" w:rsidR="00584EC1" w:rsidRDefault="00584EC1">
            <w:pPr>
              <w:rPr>
                <w:rFonts w:ascii="宋体"/>
              </w:rPr>
            </w:pPr>
          </w:p>
        </w:tc>
        <w:tc>
          <w:tcPr>
            <w:tcW w:w="5" w:type="pct"/>
            <w:shd w:val="clear" w:color="auto" w:fill="auto"/>
            <w:vAlign w:val="bottom"/>
          </w:tcPr>
          <w:p w14:paraId="74DE02A6" w14:textId="77777777" w:rsidR="00584EC1" w:rsidRDefault="00584EC1">
            <w:pPr>
              <w:rPr>
                <w:rFonts w:ascii="宋体"/>
              </w:rPr>
            </w:pPr>
          </w:p>
        </w:tc>
        <w:tc>
          <w:tcPr>
            <w:tcW w:w="26" w:type="pct"/>
            <w:shd w:val="clear" w:color="auto" w:fill="auto"/>
            <w:vAlign w:val="bottom"/>
          </w:tcPr>
          <w:p w14:paraId="74DE02A7" w14:textId="77777777" w:rsidR="00584EC1" w:rsidRDefault="00584EC1">
            <w:pPr>
              <w:rPr>
                <w:rFonts w:ascii="宋体"/>
              </w:rPr>
            </w:pPr>
          </w:p>
        </w:tc>
        <w:tc>
          <w:tcPr>
            <w:tcW w:w="5" w:type="pct"/>
            <w:shd w:val="clear" w:color="auto" w:fill="auto"/>
            <w:vAlign w:val="bottom"/>
          </w:tcPr>
          <w:p w14:paraId="74DE02A8" w14:textId="77777777" w:rsidR="00584EC1" w:rsidRDefault="00584EC1">
            <w:pPr>
              <w:rPr>
                <w:rFonts w:ascii="宋体"/>
              </w:rPr>
            </w:pPr>
          </w:p>
        </w:tc>
        <w:tc>
          <w:tcPr>
            <w:tcW w:w="50" w:type="pct"/>
            <w:shd w:val="clear" w:color="auto" w:fill="auto"/>
            <w:vAlign w:val="bottom"/>
          </w:tcPr>
          <w:p w14:paraId="74DE02A9" w14:textId="77777777" w:rsidR="00584EC1" w:rsidRDefault="00584EC1">
            <w:pPr>
              <w:rPr>
                <w:rFonts w:ascii="宋体"/>
              </w:rPr>
            </w:pPr>
          </w:p>
        </w:tc>
        <w:tc>
          <w:tcPr>
            <w:tcW w:w="569" w:type="pct"/>
            <w:shd w:val="clear" w:color="auto" w:fill="auto"/>
            <w:vAlign w:val="bottom"/>
          </w:tcPr>
          <w:p w14:paraId="74DE02AA" w14:textId="77777777" w:rsidR="00584EC1" w:rsidRDefault="00584EC1">
            <w:pPr>
              <w:rPr>
                <w:rFonts w:ascii="宋体"/>
              </w:rPr>
            </w:pPr>
          </w:p>
        </w:tc>
        <w:tc>
          <w:tcPr>
            <w:tcW w:w="5" w:type="pct"/>
            <w:shd w:val="clear" w:color="auto" w:fill="auto"/>
            <w:vAlign w:val="bottom"/>
          </w:tcPr>
          <w:p w14:paraId="74DE02AB" w14:textId="77777777" w:rsidR="00584EC1" w:rsidRDefault="00584EC1">
            <w:pPr>
              <w:rPr>
                <w:rFonts w:ascii="宋体"/>
              </w:rPr>
            </w:pPr>
          </w:p>
        </w:tc>
      </w:tr>
      <w:tr w:rsidR="00584EC1" w14:paraId="74DE02AE" w14:textId="77777777">
        <w:trPr>
          <w:trHeight w:val="60"/>
        </w:trPr>
        <w:tc>
          <w:tcPr>
            <w:tcW w:w="0" w:type="auto"/>
            <w:gridSpan w:val="36"/>
            <w:shd w:val="clear" w:color="auto" w:fill="auto"/>
            <w:tcMar>
              <w:top w:w="0" w:type="dxa"/>
              <w:left w:w="20" w:type="dxa"/>
              <w:bottom w:w="0" w:type="dxa"/>
              <w:right w:w="20" w:type="dxa"/>
            </w:tcMar>
            <w:vAlign w:val="bottom"/>
          </w:tcPr>
          <w:p w14:paraId="74DE02AD" w14:textId="77777777" w:rsidR="00584EC1" w:rsidRDefault="00584EC1">
            <w:pPr>
              <w:rPr>
                <w:rFonts w:ascii="宋体"/>
              </w:rPr>
            </w:pPr>
          </w:p>
        </w:tc>
      </w:tr>
      <w:tr w:rsidR="00584EC1" w14:paraId="74DE02B1" w14:textId="77777777">
        <w:tc>
          <w:tcPr>
            <w:tcW w:w="0" w:type="auto"/>
            <w:gridSpan w:val="3"/>
            <w:shd w:val="clear" w:color="auto" w:fill="auto"/>
            <w:tcMar>
              <w:top w:w="0" w:type="dxa"/>
              <w:left w:w="20" w:type="dxa"/>
              <w:bottom w:w="0" w:type="dxa"/>
              <w:right w:w="20" w:type="dxa"/>
            </w:tcMar>
            <w:vAlign w:val="bottom"/>
          </w:tcPr>
          <w:p w14:paraId="74DE02AF" w14:textId="77777777" w:rsidR="00584EC1" w:rsidRDefault="00584EC1">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74DE02B0" w14:textId="77777777" w:rsidR="00584EC1" w:rsidRDefault="00871F8D">
            <w:pPr>
              <w:jc w:val="center"/>
              <w:textAlignment w:val="bottom"/>
            </w:pPr>
            <w:r>
              <w:rPr>
                <w:rFonts w:ascii="Arial" w:eastAsia="宋体" w:hAnsi="Arial" w:cs="Arial"/>
                <w:b/>
                <w:bCs/>
                <w:color w:val="000000"/>
                <w:sz w:val="15"/>
                <w:szCs w:val="15"/>
              </w:rPr>
              <w:t>Three Months Ended September 30,</w:t>
            </w:r>
          </w:p>
        </w:tc>
      </w:tr>
      <w:tr w:rsidR="00584EC1" w14:paraId="74DE02B6" w14:textId="77777777">
        <w:tc>
          <w:tcPr>
            <w:tcW w:w="0" w:type="auto"/>
            <w:gridSpan w:val="3"/>
            <w:shd w:val="clear" w:color="auto" w:fill="auto"/>
            <w:tcMar>
              <w:top w:w="0" w:type="dxa"/>
              <w:left w:w="20" w:type="dxa"/>
              <w:bottom w:w="0" w:type="dxa"/>
              <w:right w:w="20" w:type="dxa"/>
            </w:tcMar>
            <w:vAlign w:val="bottom"/>
          </w:tcPr>
          <w:p w14:paraId="74DE02B2" w14:textId="77777777" w:rsidR="00584EC1" w:rsidRDefault="00584EC1">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4DE02B3" w14:textId="77777777" w:rsidR="00584EC1" w:rsidRDefault="00871F8D">
            <w:pPr>
              <w:jc w:val="center"/>
              <w:textAlignment w:val="bottom"/>
            </w:pPr>
            <w:r>
              <w:rPr>
                <w:rFonts w:ascii="Arial" w:eastAsia="宋体" w:hAnsi="Arial" w:cs="Arial"/>
                <w:b/>
                <w:bCs/>
                <w:color w:val="000000"/>
                <w:sz w:val="15"/>
                <w:szCs w:val="15"/>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02B4" w14:textId="77777777" w:rsidR="00584EC1" w:rsidRDefault="00584EC1">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4DE02B5" w14:textId="77777777" w:rsidR="00584EC1" w:rsidRDefault="00871F8D">
            <w:pPr>
              <w:jc w:val="center"/>
              <w:textAlignment w:val="bottom"/>
            </w:pPr>
            <w:r>
              <w:rPr>
                <w:rFonts w:ascii="Arial" w:eastAsia="宋体" w:hAnsi="Arial" w:cs="Arial"/>
                <w:b/>
                <w:bCs/>
                <w:color w:val="000000"/>
                <w:sz w:val="15"/>
                <w:szCs w:val="15"/>
              </w:rPr>
              <w:t>2020</w:t>
            </w:r>
          </w:p>
        </w:tc>
      </w:tr>
      <w:tr w:rsidR="00584EC1" w14:paraId="74DE02C3" w14:textId="77777777">
        <w:tc>
          <w:tcPr>
            <w:tcW w:w="0" w:type="auto"/>
            <w:gridSpan w:val="3"/>
            <w:shd w:val="clear" w:color="auto" w:fill="auto"/>
            <w:tcMar>
              <w:top w:w="40" w:type="dxa"/>
              <w:left w:w="20" w:type="dxa"/>
              <w:bottom w:w="40" w:type="dxa"/>
              <w:right w:w="20" w:type="dxa"/>
            </w:tcMar>
            <w:vAlign w:val="bottom"/>
          </w:tcPr>
          <w:p w14:paraId="74DE02B7" w14:textId="77777777" w:rsidR="00584EC1" w:rsidRDefault="00871F8D">
            <w:pPr>
              <w:textAlignment w:val="bottom"/>
            </w:pPr>
            <w:r>
              <w:rPr>
                <w:rFonts w:ascii="Arial" w:eastAsia="宋体" w:hAnsi="Arial" w:cs="Arial"/>
                <w:b/>
                <w:bCs/>
                <w:color w:val="000000"/>
                <w:sz w:val="14"/>
                <w:szCs w:val="14"/>
              </w:rPr>
              <w:t>(Dollars in millions, except per share amounts)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02B8" w14:textId="77777777" w:rsidR="00584EC1" w:rsidRDefault="00871F8D">
            <w:pPr>
              <w:jc w:val="center"/>
              <w:textAlignment w:val="bottom"/>
            </w:pPr>
            <w:r>
              <w:rPr>
                <w:rFonts w:ascii="Arial" w:eastAsia="宋体" w:hAnsi="Arial" w:cs="Arial"/>
                <w:b/>
                <w:bCs/>
                <w:color w:val="000000"/>
                <w:sz w:val="15"/>
                <w:szCs w:val="15"/>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02B9"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02BA" w14:textId="77777777" w:rsidR="00584EC1" w:rsidRDefault="00871F8D">
            <w:pPr>
              <w:jc w:val="center"/>
              <w:textAlignment w:val="bottom"/>
            </w:pPr>
            <w:r>
              <w:rPr>
                <w:rFonts w:ascii="Arial" w:eastAsia="宋体" w:hAnsi="Arial" w:cs="Arial"/>
                <w:b/>
                <w:bCs/>
                <w:color w:val="000000"/>
                <w:sz w:val="15"/>
                <w:szCs w:val="15"/>
              </w:rPr>
              <w:t>Dividends Declared per Depositary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02BB"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02BC" w14:textId="77777777" w:rsidR="00584EC1" w:rsidRDefault="00871F8D">
            <w:pPr>
              <w:jc w:val="center"/>
              <w:textAlignment w:val="bottom"/>
            </w:pPr>
            <w:r>
              <w:rPr>
                <w:rFonts w:ascii="Arial" w:eastAsia="宋体" w:hAnsi="Arial" w:cs="Arial"/>
                <w:b/>
                <w:bCs/>
                <w:color w:val="000000"/>
                <w:sz w:val="15"/>
                <w:szCs w:val="15"/>
              </w:rPr>
              <w:t>Total</w:t>
            </w:r>
          </w:p>
        </w:tc>
        <w:tc>
          <w:tcPr>
            <w:tcW w:w="0" w:type="auto"/>
            <w:gridSpan w:val="3"/>
            <w:shd w:val="clear" w:color="auto" w:fill="auto"/>
            <w:tcMar>
              <w:top w:w="0" w:type="dxa"/>
              <w:left w:w="20" w:type="dxa"/>
              <w:bottom w:w="0" w:type="dxa"/>
              <w:right w:w="20" w:type="dxa"/>
            </w:tcMar>
            <w:vAlign w:val="bottom"/>
          </w:tcPr>
          <w:p w14:paraId="74DE02BD"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02BE" w14:textId="77777777" w:rsidR="00584EC1" w:rsidRDefault="00871F8D">
            <w:pPr>
              <w:jc w:val="center"/>
              <w:textAlignment w:val="bottom"/>
            </w:pPr>
            <w:r>
              <w:rPr>
                <w:rFonts w:ascii="Arial" w:eastAsia="宋体" w:hAnsi="Arial" w:cs="Arial"/>
                <w:b/>
                <w:bCs/>
                <w:color w:val="000000"/>
                <w:sz w:val="15"/>
                <w:szCs w:val="15"/>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02BF"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02C0" w14:textId="77777777" w:rsidR="00584EC1" w:rsidRDefault="00871F8D">
            <w:pPr>
              <w:jc w:val="center"/>
              <w:textAlignment w:val="bottom"/>
            </w:pPr>
            <w:r>
              <w:rPr>
                <w:rFonts w:ascii="Arial" w:eastAsia="宋体" w:hAnsi="Arial" w:cs="Arial"/>
                <w:b/>
                <w:bCs/>
                <w:color w:val="000000"/>
                <w:sz w:val="15"/>
                <w:szCs w:val="15"/>
              </w:rPr>
              <w:t>Dividends Declared per Depositary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02C1"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02C2" w14:textId="77777777" w:rsidR="00584EC1" w:rsidRDefault="00871F8D">
            <w:pPr>
              <w:jc w:val="center"/>
              <w:textAlignment w:val="bottom"/>
            </w:pPr>
            <w:r>
              <w:rPr>
                <w:rFonts w:ascii="Arial" w:eastAsia="宋体" w:hAnsi="Arial" w:cs="Arial"/>
                <w:b/>
                <w:bCs/>
                <w:color w:val="000000"/>
                <w:sz w:val="15"/>
                <w:szCs w:val="15"/>
              </w:rPr>
              <w:t>Total</w:t>
            </w:r>
          </w:p>
        </w:tc>
      </w:tr>
      <w:tr w:rsidR="00584EC1" w14:paraId="74DE02D0" w14:textId="77777777">
        <w:tc>
          <w:tcPr>
            <w:tcW w:w="0" w:type="auto"/>
            <w:gridSpan w:val="3"/>
            <w:shd w:val="clear" w:color="auto" w:fill="auto"/>
            <w:tcMar>
              <w:top w:w="40" w:type="dxa"/>
              <w:left w:w="20" w:type="dxa"/>
              <w:bottom w:w="40" w:type="dxa"/>
              <w:right w:w="20" w:type="dxa"/>
            </w:tcMar>
            <w:vAlign w:val="bottom"/>
          </w:tcPr>
          <w:p w14:paraId="74DE02C4" w14:textId="77777777" w:rsidR="00584EC1" w:rsidRDefault="00871F8D">
            <w:pPr>
              <w:textAlignment w:val="bottom"/>
            </w:pPr>
            <w:r>
              <w:rPr>
                <w:rFonts w:ascii="Arial" w:eastAsia="宋体" w:hAnsi="Arial" w:cs="Arial"/>
                <w:b/>
                <w:bCs/>
                <w:color w:val="000000"/>
                <w:sz w:val="15"/>
                <w:szCs w:val="15"/>
              </w:rPr>
              <w:t xml:space="preserve">Preferred </w:t>
            </w:r>
            <w:r>
              <w:rPr>
                <w:rFonts w:ascii="Arial" w:eastAsia="宋体" w:hAnsi="Arial" w:cs="Arial"/>
                <w:b/>
                <w:bCs/>
                <w:color w:val="000000"/>
                <w:sz w:val="15"/>
                <w:szCs w:val="15"/>
              </w:rPr>
              <w:t>Stock: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02C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2C6"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02C7"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2C8"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02C9"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2CA"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02CB"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2CC"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02CD"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2CE"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02CF" w14:textId="77777777" w:rsidR="00584EC1" w:rsidRDefault="00584EC1">
            <w:pPr>
              <w:rPr>
                <w:rFonts w:ascii="宋体"/>
              </w:rPr>
            </w:pPr>
          </w:p>
        </w:tc>
      </w:tr>
      <w:tr w:rsidR="00584EC1" w14:paraId="74DE02DD" w14:textId="77777777">
        <w:trPr>
          <w:hidden/>
        </w:trPr>
        <w:tc>
          <w:tcPr>
            <w:tcW w:w="0" w:type="auto"/>
            <w:gridSpan w:val="3"/>
            <w:shd w:val="clear" w:color="auto" w:fill="auto"/>
            <w:vAlign w:val="bottom"/>
          </w:tcPr>
          <w:p w14:paraId="74DE02D1" w14:textId="77777777" w:rsidR="00584EC1" w:rsidRDefault="00584EC1">
            <w:pPr>
              <w:rPr>
                <w:rFonts w:ascii="宋体"/>
                <w:vanish/>
              </w:rPr>
            </w:pPr>
          </w:p>
        </w:tc>
        <w:tc>
          <w:tcPr>
            <w:tcW w:w="0" w:type="auto"/>
            <w:gridSpan w:val="3"/>
            <w:shd w:val="clear" w:color="auto" w:fill="auto"/>
            <w:vAlign w:val="bottom"/>
          </w:tcPr>
          <w:p w14:paraId="74DE02D2" w14:textId="77777777" w:rsidR="00584EC1" w:rsidRDefault="00584EC1">
            <w:pPr>
              <w:rPr>
                <w:rFonts w:ascii="宋体"/>
                <w:vanish/>
              </w:rPr>
            </w:pPr>
          </w:p>
        </w:tc>
        <w:tc>
          <w:tcPr>
            <w:tcW w:w="0" w:type="auto"/>
            <w:gridSpan w:val="3"/>
            <w:shd w:val="clear" w:color="auto" w:fill="auto"/>
            <w:vAlign w:val="bottom"/>
          </w:tcPr>
          <w:p w14:paraId="74DE02D3" w14:textId="77777777" w:rsidR="00584EC1" w:rsidRDefault="00584EC1">
            <w:pPr>
              <w:rPr>
                <w:rFonts w:ascii="宋体"/>
                <w:vanish/>
              </w:rPr>
            </w:pPr>
          </w:p>
        </w:tc>
        <w:tc>
          <w:tcPr>
            <w:tcW w:w="0" w:type="auto"/>
            <w:gridSpan w:val="3"/>
            <w:shd w:val="clear" w:color="auto" w:fill="auto"/>
            <w:vAlign w:val="bottom"/>
          </w:tcPr>
          <w:p w14:paraId="74DE02D4" w14:textId="77777777" w:rsidR="00584EC1" w:rsidRDefault="00584EC1">
            <w:pPr>
              <w:rPr>
                <w:rFonts w:ascii="宋体"/>
                <w:vanish/>
              </w:rPr>
            </w:pPr>
          </w:p>
        </w:tc>
        <w:tc>
          <w:tcPr>
            <w:tcW w:w="0" w:type="auto"/>
            <w:gridSpan w:val="3"/>
            <w:shd w:val="clear" w:color="auto" w:fill="auto"/>
            <w:vAlign w:val="bottom"/>
          </w:tcPr>
          <w:p w14:paraId="74DE02D5" w14:textId="77777777" w:rsidR="00584EC1" w:rsidRDefault="00584EC1">
            <w:pPr>
              <w:rPr>
                <w:rFonts w:ascii="宋体"/>
                <w:vanish/>
              </w:rPr>
            </w:pPr>
          </w:p>
        </w:tc>
        <w:tc>
          <w:tcPr>
            <w:tcW w:w="0" w:type="auto"/>
            <w:gridSpan w:val="3"/>
            <w:shd w:val="clear" w:color="auto" w:fill="auto"/>
            <w:vAlign w:val="bottom"/>
          </w:tcPr>
          <w:p w14:paraId="74DE02D6" w14:textId="77777777" w:rsidR="00584EC1" w:rsidRDefault="00584EC1">
            <w:pPr>
              <w:rPr>
                <w:rFonts w:ascii="宋体"/>
                <w:vanish/>
              </w:rPr>
            </w:pPr>
          </w:p>
        </w:tc>
        <w:tc>
          <w:tcPr>
            <w:tcW w:w="0" w:type="auto"/>
            <w:gridSpan w:val="3"/>
            <w:shd w:val="clear" w:color="auto" w:fill="auto"/>
            <w:vAlign w:val="bottom"/>
          </w:tcPr>
          <w:p w14:paraId="74DE02D7" w14:textId="77777777" w:rsidR="00584EC1" w:rsidRDefault="00584EC1">
            <w:pPr>
              <w:rPr>
                <w:rFonts w:ascii="宋体"/>
                <w:vanish/>
              </w:rPr>
            </w:pPr>
          </w:p>
        </w:tc>
        <w:tc>
          <w:tcPr>
            <w:tcW w:w="0" w:type="auto"/>
            <w:gridSpan w:val="3"/>
            <w:shd w:val="clear" w:color="auto" w:fill="auto"/>
            <w:vAlign w:val="bottom"/>
          </w:tcPr>
          <w:p w14:paraId="74DE02D8" w14:textId="77777777" w:rsidR="00584EC1" w:rsidRDefault="00584EC1">
            <w:pPr>
              <w:rPr>
                <w:rFonts w:ascii="宋体"/>
                <w:vanish/>
              </w:rPr>
            </w:pPr>
          </w:p>
        </w:tc>
        <w:tc>
          <w:tcPr>
            <w:tcW w:w="0" w:type="auto"/>
            <w:gridSpan w:val="3"/>
            <w:shd w:val="clear" w:color="auto" w:fill="auto"/>
            <w:vAlign w:val="bottom"/>
          </w:tcPr>
          <w:p w14:paraId="74DE02D9" w14:textId="77777777" w:rsidR="00584EC1" w:rsidRDefault="00584EC1">
            <w:pPr>
              <w:rPr>
                <w:rFonts w:ascii="宋体"/>
                <w:vanish/>
              </w:rPr>
            </w:pPr>
          </w:p>
        </w:tc>
        <w:tc>
          <w:tcPr>
            <w:tcW w:w="0" w:type="auto"/>
            <w:gridSpan w:val="3"/>
            <w:shd w:val="clear" w:color="auto" w:fill="auto"/>
            <w:vAlign w:val="bottom"/>
          </w:tcPr>
          <w:p w14:paraId="74DE02DA" w14:textId="77777777" w:rsidR="00584EC1" w:rsidRDefault="00584EC1">
            <w:pPr>
              <w:rPr>
                <w:rFonts w:ascii="宋体"/>
                <w:vanish/>
              </w:rPr>
            </w:pPr>
          </w:p>
        </w:tc>
        <w:tc>
          <w:tcPr>
            <w:tcW w:w="0" w:type="auto"/>
            <w:gridSpan w:val="3"/>
            <w:shd w:val="clear" w:color="auto" w:fill="auto"/>
            <w:vAlign w:val="bottom"/>
          </w:tcPr>
          <w:p w14:paraId="74DE02DB" w14:textId="77777777" w:rsidR="00584EC1" w:rsidRDefault="00584EC1">
            <w:pPr>
              <w:rPr>
                <w:rFonts w:ascii="宋体"/>
                <w:vanish/>
              </w:rPr>
            </w:pPr>
          </w:p>
        </w:tc>
        <w:tc>
          <w:tcPr>
            <w:tcW w:w="0" w:type="auto"/>
            <w:gridSpan w:val="3"/>
            <w:shd w:val="clear" w:color="auto" w:fill="auto"/>
            <w:vAlign w:val="bottom"/>
          </w:tcPr>
          <w:p w14:paraId="74DE02DC" w14:textId="77777777" w:rsidR="00584EC1" w:rsidRDefault="00584EC1">
            <w:pPr>
              <w:rPr>
                <w:rFonts w:ascii="宋体"/>
                <w:vanish/>
              </w:rPr>
            </w:pPr>
          </w:p>
        </w:tc>
      </w:tr>
      <w:tr w:rsidR="00584EC1" w14:paraId="74DE02F6" w14:textId="77777777">
        <w:tc>
          <w:tcPr>
            <w:tcW w:w="0" w:type="auto"/>
            <w:gridSpan w:val="3"/>
            <w:shd w:val="clear" w:color="auto" w:fill="CCEEFF"/>
            <w:tcMar>
              <w:top w:w="40" w:type="dxa"/>
              <w:left w:w="20" w:type="dxa"/>
              <w:bottom w:w="40" w:type="dxa"/>
              <w:right w:w="20" w:type="dxa"/>
            </w:tcMar>
            <w:vAlign w:val="bottom"/>
          </w:tcPr>
          <w:p w14:paraId="74DE02DE" w14:textId="77777777" w:rsidR="00584EC1" w:rsidRDefault="00871F8D">
            <w:pPr>
              <w:textAlignment w:val="bottom"/>
            </w:pPr>
            <w:r>
              <w:rPr>
                <w:rFonts w:ascii="Arial" w:eastAsia="宋体" w:hAnsi="Arial" w:cs="Arial"/>
                <w:color w:val="000000"/>
                <w:sz w:val="15"/>
                <w:szCs w:val="15"/>
              </w:rPr>
              <w:t>Series D</w:t>
            </w:r>
          </w:p>
        </w:tc>
        <w:tc>
          <w:tcPr>
            <w:tcW w:w="0" w:type="auto"/>
            <w:shd w:val="clear" w:color="auto" w:fill="CCEEFF"/>
            <w:tcMar>
              <w:top w:w="40" w:type="dxa"/>
              <w:left w:w="20" w:type="dxa"/>
              <w:bottom w:w="40" w:type="dxa"/>
              <w:right w:w="0" w:type="dxa"/>
            </w:tcMar>
            <w:vAlign w:val="bottom"/>
          </w:tcPr>
          <w:p w14:paraId="74DE02DF" w14:textId="77777777" w:rsidR="00584EC1" w:rsidRDefault="00871F8D">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4DE02E0" w14:textId="77777777" w:rsidR="00584EC1" w:rsidRDefault="00871F8D">
            <w:pPr>
              <w:jc w:val="right"/>
              <w:textAlignment w:val="bottom"/>
            </w:pPr>
            <w:r>
              <w:rPr>
                <w:rFonts w:ascii="Arial" w:eastAsia="宋体" w:hAnsi="Arial" w:cs="Arial"/>
                <w:b/>
                <w:bCs/>
                <w:color w:val="000000"/>
                <w:sz w:val="15"/>
                <w:szCs w:val="15"/>
              </w:rPr>
              <w:t>1,475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E02E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2E2"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E02E3" w14:textId="77777777" w:rsidR="00584EC1" w:rsidRDefault="00871F8D">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4DE02E4" w14:textId="77777777" w:rsidR="00584EC1" w:rsidRDefault="00871F8D">
            <w:pPr>
              <w:jc w:val="right"/>
              <w:textAlignment w:val="bottom"/>
            </w:pPr>
            <w:r>
              <w:rPr>
                <w:rFonts w:ascii="Arial" w:eastAsia="宋体" w:hAnsi="Arial" w:cs="Arial"/>
                <w:b/>
                <w:bCs/>
                <w:color w:val="000000"/>
                <w:sz w:val="15"/>
                <w:szCs w:val="15"/>
              </w:rPr>
              <w:t>0.37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E02E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2E6"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E02E7" w14:textId="77777777" w:rsidR="00584EC1" w:rsidRDefault="00871F8D">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4DE02E8" w14:textId="77777777" w:rsidR="00584EC1" w:rsidRDefault="00871F8D">
            <w:pPr>
              <w:jc w:val="right"/>
              <w:textAlignment w:val="bottom"/>
            </w:pPr>
            <w:r>
              <w:rPr>
                <w:rFonts w:ascii="Arial" w:eastAsia="宋体" w:hAnsi="Arial" w:cs="Arial"/>
                <w:b/>
                <w:bCs/>
                <w:color w:val="000000"/>
                <w:sz w:val="15"/>
                <w:szCs w:val="15"/>
              </w:rPr>
              <w:t>11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E02E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2EA"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E02EB" w14:textId="77777777" w:rsidR="00584EC1" w:rsidRDefault="00871F8D">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4DE02EC" w14:textId="77777777" w:rsidR="00584EC1" w:rsidRDefault="00871F8D">
            <w:pPr>
              <w:jc w:val="right"/>
              <w:textAlignment w:val="bottom"/>
            </w:pPr>
            <w:r>
              <w:rPr>
                <w:rFonts w:ascii="Arial" w:eastAsia="宋体" w:hAnsi="Arial" w:cs="Arial"/>
                <w:color w:val="000000"/>
                <w:sz w:val="15"/>
                <w:szCs w:val="15"/>
              </w:rPr>
              <w:t>1,475 </w:t>
            </w:r>
          </w:p>
        </w:tc>
        <w:tc>
          <w:tcPr>
            <w:tcW w:w="0" w:type="auto"/>
            <w:shd w:val="clear" w:color="auto" w:fill="CCEEFF"/>
            <w:tcMar>
              <w:top w:w="40" w:type="dxa"/>
              <w:left w:w="0" w:type="dxa"/>
              <w:bottom w:w="40" w:type="dxa"/>
              <w:right w:w="20" w:type="dxa"/>
            </w:tcMar>
            <w:vAlign w:val="bottom"/>
          </w:tcPr>
          <w:p w14:paraId="74DE02E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2EE"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E02EF" w14:textId="77777777" w:rsidR="00584EC1" w:rsidRDefault="00871F8D">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4DE02F0" w14:textId="77777777" w:rsidR="00584EC1" w:rsidRDefault="00871F8D">
            <w:pPr>
              <w:jc w:val="right"/>
              <w:textAlignment w:val="bottom"/>
            </w:pPr>
            <w:r>
              <w:rPr>
                <w:rFonts w:ascii="Arial" w:eastAsia="宋体" w:hAnsi="Arial" w:cs="Arial"/>
                <w:color w:val="000000"/>
                <w:sz w:val="15"/>
                <w:szCs w:val="15"/>
              </w:rPr>
              <w:t>0.37 </w:t>
            </w:r>
          </w:p>
        </w:tc>
        <w:tc>
          <w:tcPr>
            <w:tcW w:w="0" w:type="auto"/>
            <w:shd w:val="clear" w:color="auto" w:fill="CCEEFF"/>
            <w:tcMar>
              <w:top w:w="40" w:type="dxa"/>
              <w:left w:w="0" w:type="dxa"/>
              <w:bottom w:w="40" w:type="dxa"/>
              <w:right w:w="20" w:type="dxa"/>
            </w:tcMar>
            <w:vAlign w:val="bottom"/>
          </w:tcPr>
          <w:p w14:paraId="74DE02F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2F2"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E02F3" w14:textId="77777777" w:rsidR="00584EC1" w:rsidRDefault="00871F8D">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4DE02F4" w14:textId="77777777" w:rsidR="00584EC1" w:rsidRDefault="00871F8D">
            <w:pPr>
              <w:jc w:val="right"/>
              <w:textAlignment w:val="bottom"/>
            </w:pPr>
            <w:r>
              <w:rPr>
                <w:rFonts w:ascii="Arial" w:eastAsia="宋体" w:hAnsi="Arial" w:cs="Arial"/>
                <w:color w:val="000000"/>
                <w:sz w:val="15"/>
                <w:szCs w:val="15"/>
              </w:rPr>
              <w:t>11 </w:t>
            </w:r>
          </w:p>
        </w:tc>
        <w:tc>
          <w:tcPr>
            <w:tcW w:w="0" w:type="auto"/>
            <w:shd w:val="clear" w:color="auto" w:fill="CCEEFF"/>
            <w:tcMar>
              <w:top w:w="40" w:type="dxa"/>
              <w:left w:w="0" w:type="dxa"/>
              <w:bottom w:w="40" w:type="dxa"/>
              <w:right w:w="20" w:type="dxa"/>
            </w:tcMar>
            <w:vAlign w:val="bottom"/>
          </w:tcPr>
          <w:p w14:paraId="74DE02F5" w14:textId="77777777" w:rsidR="00584EC1" w:rsidRDefault="00584EC1">
            <w:pPr>
              <w:jc w:val="right"/>
              <w:rPr>
                <w:rFonts w:ascii="宋体"/>
              </w:rPr>
            </w:pPr>
          </w:p>
        </w:tc>
      </w:tr>
      <w:tr w:rsidR="00584EC1" w14:paraId="74DE0303" w14:textId="77777777">
        <w:trPr>
          <w:hidden/>
        </w:trPr>
        <w:tc>
          <w:tcPr>
            <w:tcW w:w="0" w:type="auto"/>
            <w:gridSpan w:val="3"/>
            <w:shd w:val="clear" w:color="auto" w:fill="auto"/>
            <w:vAlign w:val="bottom"/>
          </w:tcPr>
          <w:p w14:paraId="74DE02F7" w14:textId="77777777" w:rsidR="00584EC1" w:rsidRDefault="00584EC1">
            <w:pPr>
              <w:rPr>
                <w:rFonts w:ascii="宋体"/>
                <w:vanish/>
              </w:rPr>
            </w:pPr>
          </w:p>
        </w:tc>
        <w:tc>
          <w:tcPr>
            <w:tcW w:w="0" w:type="auto"/>
            <w:gridSpan w:val="3"/>
            <w:shd w:val="clear" w:color="auto" w:fill="auto"/>
            <w:vAlign w:val="bottom"/>
          </w:tcPr>
          <w:p w14:paraId="74DE02F8" w14:textId="77777777" w:rsidR="00584EC1" w:rsidRDefault="00584EC1">
            <w:pPr>
              <w:rPr>
                <w:rFonts w:ascii="宋体"/>
                <w:vanish/>
              </w:rPr>
            </w:pPr>
          </w:p>
        </w:tc>
        <w:tc>
          <w:tcPr>
            <w:tcW w:w="0" w:type="auto"/>
            <w:gridSpan w:val="3"/>
            <w:shd w:val="clear" w:color="auto" w:fill="auto"/>
            <w:vAlign w:val="bottom"/>
          </w:tcPr>
          <w:p w14:paraId="74DE02F9" w14:textId="77777777" w:rsidR="00584EC1" w:rsidRDefault="00584EC1">
            <w:pPr>
              <w:rPr>
                <w:rFonts w:ascii="宋体"/>
                <w:vanish/>
              </w:rPr>
            </w:pPr>
          </w:p>
        </w:tc>
        <w:tc>
          <w:tcPr>
            <w:tcW w:w="0" w:type="auto"/>
            <w:gridSpan w:val="3"/>
            <w:shd w:val="clear" w:color="auto" w:fill="auto"/>
            <w:vAlign w:val="bottom"/>
          </w:tcPr>
          <w:p w14:paraId="74DE02FA" w14:textId="77777777" w:rsidR="00584EC1" w:rsidRDefault="00584EC1">
            <w:pPr>
              <w:rPr>
                <w:rFonts w:ascii="宋体"/>
                <w:vanish/>
              </w:rPr>
            </w:pPr>
          </w:p>
        </w:tc>
        <w:tc>
          <w:tcPr>
            <w:tcW w:w="0" w:type="auto"/>
            <w:gridSpan w:val="3"/>
            <w:shd w:val="clear" w:color="auto" w:fill="auto"/>
            <w:vAlign w:val="bottom"/>
          </w:tcPr>
          <w:p w14:paraId="74DE02FB" w14:textId="77777777" w:rsidR="00584EC1" w:rsidRDefault="00584EC1">
            <w:pPr>
              <w:rPr>
                <w:rFonts w:ascii="宋体"/>
                <w:vanish/>
              </w:rPr>
            </w:pPr>
          </w:p>
        </w:tc>
        <w:tc>
          <w:tcPr>
            <w:tcW w:w="0" w:type="auto"/>
            <w:gridSpan w:val="3"/>
            <w:shd w:val="clear" w:color="auto" w:fill="auto"/>
            <w:vAlign w:val="bottom"/>
          </w:tcPr>
          <w:p w14:paraId="74DE02FC" w14:textId="77777777" w:rsidR="00584EC1" w:rsidRDefault="00584EC1">
            <w:pPr>
              <w:rPr>
                <w:rFonts w:ascii="宋体"/>
                <w:vanish/>
              </w:rPr>
            </w:pPr>
          </w:p>
        </w:tc>
        <w:tc>
          <w:tcPr>
            <w:tcW w:w="0" w:type="auto"/>
            <w:gridSpan w:val="3"/>
            <w:shd w:val="clear" w:color="auto" w:fill="auto"/>
            <w:vAlign w:val="bottom"/>
          </w:tcPr>
          <w:p w14:paraId="74DE02FD" w14:textId="77777777" w:rsidR="00584EC1" w:rsidRDefault="00584EC1">
            <w:pPr>
              <w:rPr>
                <w:rFonts w:ascii="宋体"/>
                <w:vanish/>
              </w:rPr>
            </w:pPr>
          </w:p>
        </w:tc>
        <w:tc>
          <w:tcPr>
            <w:tcW w:w="0" w:type="auto"/>
            <w:gridSpan w:val="3"/>
            <w:shd w:val="clear" w:color="auto" w:fill="auto"/>
            <w:vAlign w:val="bottom"/>
          </w:tcPr>
          <w:p w14:paraId="74DE02FE" w14:textId="77777777" w:rsidR="00584EC1" w:rsidRDefault="00584EC1">
            <w:pPr>
              <w:rPr>
                <w:rFonts w:ascii="宋体"/>
                <w:vanish/>
              </w:rPr>
            </w:pPr>
          </w:p>
        </w:tc>
        <w:tc>
          <w:tcPr>
            <w:tcW w:w="0" w:type="auto"/>
            <w:gridSpan w:val="3"/>
            <w:shd w:val="clear" w:color="auto" w:fill="auto"/>
            <w:vAlign w:val="bottom"/>
          </w:tcPr>
          <w:p w14:paraId="74DE02FF" w14:textId="77777777" w:rsidR="00584EC1" w:rsidRDefault="00584EC1">
            <w:pPr>
              <w:rPr>
                <w:rFonts w:ascii="宋体"/>
                <w:vanish/>
              </w:rPr>
            </w:pPr>
          </w:p>
        </w:tc>
        <w:tc>
          <w:tcPr>
            <w:tcW w:w="0" w:type="auto"/>
            <w:gridSpan w:val="3"/>
            <w:shd w:val="clear" w:color="auto" w:fill="auto"/>
            <w:vAlign w:val="bottom"/>
          </w:tcPr>
          <w:p w14:paraId="74DE0300" w14:textId="77777777" w:rsidR="00584EC1" w:rsidRDefault="00584EC1">
            <w:pPr>
              <w:rPr>
                <w:rFonts w:ascii="宋体"/>
                <w:vanish/>
              </w:rPr>
            </w:pPr>
          </w:p>
        </w:tc>
        <w:tc>
          <w:tcPr>
            <w:tcW w:w="0" w:type="auto"/>
            <w:gridSpan w:val="3"/>
            <w:shd w:val="clear" w:color="auto" w:fill="auto"/>
            <w:vAlign w:val="bottom"/>
          </w:tcPr>
          <w:p w14:paraId="74DE0301" w14:textId="77777777" w:rsidR="00584EC1" w:rsidRDefault="00584EC1">
            <w:pPr>
              <w:rPr>
                <w:rFonts w:ascii="宋体"/>
                <w:vanish/>
              </w:rPr>
            </w:pPr>
          </w:p>
        </w:tc>
        <w:tc>
          <w:tcPr>
            <w:tcW w:w="0" w:type="auto"/>
            <w:gridSpan w:val="3"/>
            <w:shd w:val="clear" w:color="auto" w:fill="auto"/>
            <w:vAlign w:val="bottom"/>
          </w:tcPr>
          <w:p w14:paraId="74DE0302" w14:textId="77777777" w:rsidR="00584EC1" w:rsidRDefault="00584EC1">
            <w:pPr>
              <w:rPr>
                <w:rFonts w:ascii="宋体"/>
                <w:vanish/>
              </w:rPr>
            </w:pPr>
          </w:p>
        </w:tc>
      </w:tr>
      <w:tr w:rsidR="00584EC1" w14:paraId="74DE0316" w14:textId="77777777">
        <w:tc>
          <w:tcPr>
            <w:tcW w:w="0" w:type="auto"/>
            <w:gridSpan w:val="3"/>
            <w:shd w:val="clear" w:color="auto" w:fill="FFFFFF"/>
            <w:tcMar>
              <w:top w:w="40" w:type="dxa"/>
              <w:left w:w="20" w:type="dxa"/>
              <w:bottom w:w="40" w:type="dxa"/>
              <w:right w:w="20" w:type="dxa"/>
            </w:tcMar>
            <w:vAlign w:val="bottom"/>
          </w:tcPr>
          <w:p w14:paraId="74DE0304" w14:textId="77777777" w:rsidR="00584EC1" w:rsidRDefault="00871F8D">
            <w:pPr>
              <w:textAlignment w:val="bottom"/>
            </w:pPr>
            <w:r>
              <w:rPr>
                <w:rFonts w:ascii="Arial" w:eastAsia="宋体" w:hAnsi="Arial" w:cs="Arial"/>
                <w:color w:val="000000"/>
                <w:sz w:val="15"/>
                <w:szCs w:val="15"/>
              </w:rPr>
              <w:t>Series F</w:t>
            </w:r>
          </w:p>
        </w:tc>
        <w:tc>
          <w:tcPr>
            <w:tcW w:w="0" w:type="auto"/>
            <w:gridSpan w:val="2"/>
            <w:shd w:val="clear" w:color="auto" w:fill="FFFFFF"/>
            <w:tcMar>
              <w:top w:w="40" w:type="dxa"/>
              <w:left w:w="20" w:type="dxa"/>
              <w:bottom w:w="40" w:type="dxa"/>
              <w:right w:w="0" w:type="dxa"/>
            </w:tcMar>
            <w:vAlign w:val="bottom"/>
          </w:tcPr>
          <w:p w14:paraId="74DE0305" w14:textId="77777777" w:rsidR="00584EC1" w:rsidRDefault="00871F8D">
            <w:pPr>
              <w:jc w:val="right"/>
              <w:textAlignment w:val="bottom"/>
            </w:pPr>
            <w:r>
              <w:rPr>
                <w:rFonts w:ascii="Arial" w:eastAsia="宋体" w:hAnsi="Arial" w:cs="Arial"/>
                <w:b/>
                <w:bCs/>
                <w:color w:val="000000"/>
                <w:sz w:val="15"/>
                <w:szCs w:val="15"/>
              </w:rPr>
              <w:t>950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E030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30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308" w14:textId="77777777" w:rsidR="00584EC1" w:rsidRDefault="00871F8D">
            <w:pPr>
              <w:jc w:val="right"/>
              <w:textAlignment w:val="bottom"/>
            </w:pPr>
            <w:r>
              <w:rPr>
                <w:rFonts w:ascii="Arial" w:eastAsia="宋体" w:hAnsi="Arial" w:cs="Arial"/>
                <w:b/>
                <w:bCs/>
                <w:color w:val="000000"/>
                <w:sz w:val="15"/>
                <w:szCs w:val="15"/>
              </w:rPr>
              <w:t>9.50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E030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30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30B" w14:textId="77777777" w:rsidR="00584EC1" w:rsidRDefault="00871F8D">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E030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30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30E" w14:textId="77777777" w:rsidR="00584EC1" w:rsidRDefault="00871F8D">
            <w:pPr>
              <w:jc w:val="right"/>
              <w:textAlignment w:val="bottom"/>
            </w:pPr>
            <w:r>
              <w:rPr>
                <w:rFonts w:ascii="Arial" w:eastAsia="宋体" w:hAnsi="Arial" w:cs="Arial"/>
                <w:color w:val="000000"/>
                <w:sz w:val="15"/>
                <w:szCs w:val="15"/>
              </w:rPr>
              <w:t>2,625 </w:t>
            </w:r>
          </w:p>
        </w:tc>
        <w:tc>
          <w:tcPr>
            <w:tcW w:w="0" w:type="auto"/>
            <w:shd w:val="clear" w:color="auto" w:fill="FFFFFF"/>
            <w:tcMar>
              <w:top w:w="40" w:type="dxa"/>
              <w:left w:w="0" w:type="dxa"/>
              <w:bottom w:w="40" w:type="dxa"/>
              <w:right w:w="20" w:type="dxa"/>
            </w:tcMar>
            <w:vAlign w:val="bottom"/>
          </w:tcPr>
          <w:p w14:paraId="74DE030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31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311" w14:textId="77777777" w:rsidR="00584EC1" w:rsidRDefault="00871F8D">
            <w:pPr>
              <w:jc w:val="right"/>
              <w:textAlignment w:val="bottom"/>
            </w:pPr>
            <w:r>
              <w:rPr>
                <w:rFonts w:ascii="Arial" w:eastAsia="宋体" w:hAnsi="Arial" w:cs="Arial"/>
                <w:color w:val="000000"/>
                <w:sz w:val="15"/>
                <w:szCs w:val="15"/>
              </w:rPr>
              <w:t>26.25 </w:t>
            </w:r>
          </w:p>
        </w:tc>
        <w:tc>
          <w:tcPr>
            <w:tcW w:w="0" w:type="auto"/>
            <w:shd w:val="clear" w:color="auto" w:fill="FFFFFF"/>
            <w:tcMar>
              <w:top w:w="40" w:type="dxa"/>
              <w:left w:w="0" w:type="dxa"/>
              <w:bottom w:w="40" w:type="dxa"/>
              <w:right w:w="20" w:type="dxa"/>
            </w:tcMar>
            <w:vAlign w:val="bottom"/>
          </w:tcPr>
          <w:p w14:paraId="74DE031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31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314" w14:textId="77777777" w:rsidR="00584EC1" w:rsidRDefault="00871F8D">
            <w:pPr>
              <w:jc w:val="right"/>
              <w:textAlignment w:val="bottom"/>
            </w:pPr>
            <w:r>
              <w:rPr>
                <w:rFonts w:ascii="Arial" w:eastAsia="宋体" w:hAnsi="Arial" w:cs="Arial"/>
                <w:color w:val="000000"/>
                <w:sz w:val="15"/>
                <w:szCs w:val="15"/>
              </w:rPr>
              <w:t>20 </w:t>
            </w:r>
          </w:p>
        </w:tc>
        <w:tc>
          <w:tcPr>
            <w:tcW w:w="0" w:type="auto"/>
            <w:shd w:val="clear" w:color="auto" w:fill="FFFFFF"/>
            <w:tcMar>
              <w:top w:w="40" w:type="dxa"/>
              <w:left w:w="0" w:type="dxa"/>
              <w:bottom w:w="40" w:type="dxa"/>
              <w:right w:w="20" w:type="dxa"/>
            </w:tcMar>
            <w:vAlign w:val="bottom"/>
          </w:tcPr>
          <w:p w14:paraId="74DE0315" w14:textId="77777777" w:rsidR="00584EC1" w:rsidRDefault="00584EC1">
            <w:pPr>
              <w:jc w:val="right"/>
              <w:rPr>
                <w:rFonts w:ascii="宋体"/>
              </w:rPr>
            </w:pPr>
          </w:p>
        </w:tc>
      </w:tr>
      <w:tr w:rsidR="00584EC1" w14:paraId="74DE0329" w14:textId="77777777">
        <w:tc>
          <w:tcPr>
            <w:tcW w:w="0" w:type="auto"/>
            <w:gridSpan w:val="3"/>
            <w:shd w:val="clear" w:color="auto" w:fill="CCEEFF"/>
            <w:tcMar>
              <w:top w:w="40" w:type="dxa"/>
              <w:left w:w="20" w:type="dxa"/>
              <w:bottom w:w="40" w:type="dxa"/>
              <w:right w:w="20" w:type="dxa"/>
            </w:tcMar>
            <w:vAlign w:val="bottom"/>
          </w:tcPr>
          <w:p w14:paraId="74DE0317" w14:textId="77777777" w:rsidR="00584EC1" w:rsidRDefault="00871F8D">
            <w:pPr>
              <w:textAlignment w:val="bottom"/>
            </w:pPr>
            <w:r>
              <w:rPr>
                <w:rFonts w:ascii="Arial" w:eastAsia="宋体" w:hAnsi="Arial" w:cs="Arial"/>
                <w:color w:val="000000"/>
                <w:sz w:val="15"/>
                <w:szCs w:val="15"/>
              </w:rPr>
              <w:t>Series G</w:t>
            </w:r>
          </w:p>
        </w:tc>
        <w:tc>
          <w:tcPr>
            <w:tcW w:w="0" w:type="auto"/>
            <w:gridSpan w:val="2"/>
            <w:shd w:val="clear" w:color="auto" w:fill="CCEEFF"/>
            <w:tcMar>
              <w:top w:w="40" w:type="dxa"/>
              <w:left w:w="20" w:type="dxa"/>
              <w:bottom w:w="40" w:type="dxa"/>
              <w:right w:w="0" w:type="dxa"/>
            </w:tcMar>
            <w:vAlign w:val="bottom"/>
          </w:tcPr>
          <w:p w14:paraId="74DE0318" w14:textId="77777777" w:rsidR="00584EC1" w:rsidRDefault="00871F8D">
            <w:pPr>
              <w:jc w:val="right"/>
              <w:textAlignment w:val="bottom"/>
            </w:pPr>
            <w:r>
              <w:rPr>
                <w:rFonts w:ascii="Arial" w:eastAsia="宋体" w:hAnsi="Arial" w:cs="Arial"/>
                <w:b/>
                <w:bCs/>
                <w:color w:val="000000"/>
                <w:sz w:val="15"/>
                <w:szCs w:val="15"/>
              </w:rPr>
              <w:t>1,338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E031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31A"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31B" w14:textId="77777777" w:rsidR="00584EC1" w:rsidRDefault="00871F8D">
            <w:pPr>
              <w:jc w:val="right"/>
              <w:textAlignment w:val="bottom"/>
            </w:pPr>
            <w:r>
              <w:rPr>
                <w:rFonts w:ascii="Arial" w:eastAsia="宋体" w:hAnsi="Arial" w:cs="Arial"/>
                <w:b/>
                <w:bCs/>
                <w:color w:val="000000"/>
                <w:sz w:val="15"/>
                <w:szCs w:val="15"/>
              </w:rPr>
              <w:t>0.33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E031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31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31E" w14:textId="77777777" w:rsidR="00584EC1" w:rsidRDefault="00871F8D">
            <w:pPr>
              <w:jc w:val="right"/>
              <w:textAlignment w:val="bottom"/>
            </w:pPr>
            <w:r>
              <w:rPr>
                <w:rFonts w:ascii="Arial" w:eastAsia="宋体" w:hAnsi="Arial" w:cs="Arial"/>
                <w:b/>
                <w:bCs/>
                <w:color w:val="000000"/>
                <w:sz w:val="15"/>
                <w:szCs w:val="15"/>
              </w:rPr>
              <w:t>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E031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32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321" w14:textId="77777777" w:rsidR="00584EC1" w:rsidRDefault="00871F8D">
            <w:pPr>
              <w:jc w:val="right"/>
              <w:textAlignment w:val="bottom"/>
            </w:pPr>
            <w:r>
              <w:rPr>
                <w:rFonts w:ascii="Arial" w:eastAsia="宋体" w:hAnsi="Arial" w:cs="Arial"/>
                <w:color w:val="000000"/>
                <w:sz w:val="15"/>
                <w:szCs w:val="15"/>
              </w:rPr>
              <w:t>1,338 </w:t>
            </w:r>
          </w:p>
        </w:tc>
        <w:tc>
          <w:tcPr>
            <w:tcW w:w="0" w:type="auto"/>
            <w:shd w:val="clear" w:color="auto" w:fill="CCEEFF"/>
            <w:tcMar>
              <w:top w:w="40" w:type="dxa"/>
              <w:left w:w="0" w:type="dxa"/>
              <w:bottom w:w="40" w:type="dxa"/>
              <w:right w:w="20" w:type="dxa"/>
            </w:tcMar>
            <w:vAlign w:val="bottom"/>
          </w:tcPr>
          <w:p w14:paraId="74DE032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323"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324" w14:textId="77777777" w:rsidR="00584EC1" w:rsidRDefault="00871F8D">
            <w:pPr>
              <w:jc w:val="right"/>
              <w:textAlignment w:val="bottom"/>
            </w:pPr>
            <w:r>
              <w:rPr>
                <w:rFonts w:ascii="Arial" w:eastAsia="宋体" w:hAnsi="Arial" w:cs="Arial"/>
                <w:color w:val="000000"/>
                <w:sz w:val="15"/>
                <w:szCs w:val="15"/>
              </w:rPr>
              <w:t>0.33 </w:t>
            </w:r>
          </w:p>
        </w:tc>
        <w:tc>
          <w:tcPr>
            <w:tcW w:w="0" w:type="auto"/>
            <w:shd w:val="clear" w:color="auto" w:fill="CCEEFF"/>
            <w:tcMar>
              <w:top w:w="40" w:type="dxa"/>
              <w:left w:w="0" w:type="dxa"/>
              <w:bottom w:w="40" w:type="dxa"/>
              <w:right w:w="20" w:type="dxa"/>
            </w:tcMar>
            <w:vAlign w:val="bottom"/>
          </w:tcPr>
          <w:p w14:paraId="74DE032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32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327" w14:textId="77777777" w:rsidR="00584EC1" w:rsidRDefault="00871F8D">
            <w:pPr>
              <w:jc w:val="right"/>
              <w:textAlignment w:val="bottom"/>
            </w:pPr>
            <w:r>
              <w:rPr>
                <w:rFonts w:ascii="Arial" w:eastAsia="宋体" w:hAnsi="Arial" w:cs="Arial"/>
                <w:color w:val="000000"/>
                <w:sz w:val="15"/>
                <w:szCs w:val="15"/>
              </w:rPr>
              <w:t>7 </w:t>
            </w:r>
          </w:p>
        </w:tc>
        <w:tc>
          <w:tcPr>
            <w:tcW w:w="0" w:type="auto"/>
            <w:shd w:val="clear" w:color="auto" w:fill="CCEEFF"/>
            <w:tcMar>
              <w:top w:w="40" w:type="dxa"/>
              <w:left w:w="0" w:type="dxa"/>
              <w:bottom w:w="40" w:type="dxa"/>
              <w:right w:w="20" w:type="dxa"/>
            </w:tcMar>
            <w:vAlign w:val="bottom"/>
          </w:tcPr>
          <w:p w14:paraId="74DE0328" w14:textId="77777777" w:rsidR="00584EC1" w:rsidRDefault="00584EC1">
            <w:pPr>
              <w:jc w:val="right"/>
              <w:rPr>
                <w:rFonts w:ascii="宋体"/>
              </w:rPr>
            </w:pPr>
          </w:p>
        </w:tc>
      </w:tr>
      <w:tr w:rsidR="00584EC1" w14:paraId="74DE033C" w14:textId="77777777">
        <w:tc>
          <w:tcPr>
            <w:tcW w:w="0" w:type="auto"/>
            <w:gridSpan w:val="3"/>
            <w:shd w:val="clear" w:color="auto" w:fill="FFFFFF"/>
            <w:tcMar>
              <w:top w:w="40" w:type="dxa"/>
              <w:left w:w="20" w:type="dxa"/>
              <w:bottom w:w="40" w:type="dxa"/>
              <w:right w:w="20" w:type="dxa"/>
            </w:tcMar>
            <w:vAlign w:val="bottom"/>
          </w:tcPr>
          <w:p w14:paraId="74DE032A" w14:textId="77777777" w:rsidR="00584EC1" w:rsidRDefault="00871F8D">
            <w:pPr>
              <w:textAlignment w:val="bottom"/>
            </w:pPr>
            <w:r>
              <w:rPr>
                <w:rFonts w:ascii="Arial" w:eastAsia="宋体" w:hAnsi="Arial" w:cs="Arial"/>
                <w:color w:val="000000"/>
                <w:sz w:val="15"/>
                <w:szCs w:val="15"/>
              </w:rPr>
              <w:t>Series H</w:t>
            </w:r>
          </w:p>
        </w:tc>
        <w:tc>
          <w:tcPr>
            <w:tcW w:w="0" w:type="auto"/>
            <w:gridSpan w:val="2"/>
            <w:shd w:val="clear" w:color="auto" w:fill="FFFFFF"/>
            <w:tcMar>
              <w:top w:w="40" w:type="dxa"/>
              <w:left w:w="20" w:type="dxa"/>
              <w:bottom w:w="40" w:type="dxa"/>
              <w:right w:w="0" w:type="dxa"/>
            </w:tcMar>
            <w:vAlign w:val="bottom"/>
          </w:tcPr>
          <w:p w14:paraId="74DE032B"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E032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32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32E"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E032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33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331"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E033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33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334"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E033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33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337"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E033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33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33A" w14:textId="77777777" w:rsidR="00584EC1" w:rsidRDefault="00871F8D">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E033B" w14:textId="77777777" w:rsidR="00584EC1" w:rsidRDefault="00584EC1">
            <w:pPr>
              <w:jc w:val="right"/>
              <w:rPr>
                <w:rFonts w:ascii="宋体"/>
              </w:rPr>
            </w:pPr>
          </w:p>
        </w:tc>
      </w:tr>
      <w:tr w:rsidR="00584EC1" w14:paraId="74DE034D" w14:textId="77777777">
        <w:tc>
          <w:tcPr>
            <w:tcW w:w="0" w:type="auto"/>
            <w:gridSpan w:val="3"/>
            <w:shd w:val="clear" w:color="auto" w:fill="CCEEFF"/>
            <w:tcMar>
              <w:top w:w="40" w:type="dxa"/>
              <w:left w:w="20" w:type="dxa"/>
              <w:bottom w:w="40" w:type="dxa"/>
              <w:right w:w="20" w:type="dxa"/>
            </w:tcMar>
            <w:vAlign w:val="bottom"/>
          </w:tcPr>
          <w:p w14:paraId="74DE033D" w14:textId="77777777" w:rsidR="00584EC1" w:rsidRDefault="00871F8D">
            <w:pPr>
              <w:textAlignment w:val="bottom"/>
            </w:pPr>
            <w:r>
              <w:rPr>
                <w:rFonts w:ascii="Arial" w:eastAsia="宋体" w:hAnsi="Arial" w:cs="Arial"/>
                <w:color w:val="000000"/>
                <w:sz w:val="15"/>
                <w:szCs w:val="15"/>
              </w:rPr>
              <w:t>Total</w:t>
            </w:r>
          </w:p>
        </w:tc>
        <w:tc>
          <w:tcPr>
            <w:tcW w:w="0" w:type="auto"/>
            <w:gridSpan w:val="3"/>
            <w:shd w:val="clear" w:color="auto" w:fill="CCEEFF"/>
            <w:tcMar>
              <w:top w:w="0" w:type="dxa"/>
              <w:left w:w="20" w:type="dxa"/>
              <w:bottom w:w="0" w:type="dxa"/>
              <w:right w:w="20" w:type="dxa"/>
            </w:tcMar>
            <w:vAlign w:val="bottom"/>
          </w:tcPr>
          <w:p w14:paraId="74DE033E"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E033F"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E0340"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E0341"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0342" w14:textId="77777777" w:rsidR="00584EC1" w:rsidRDefault="00871F8D">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0343" w14:textId="77777777" w:rsidR="00584EC1" w:rsidRDefault="00871F8D">
            <w:pPr>
              <w:jc w:val="right"/>
              <w:textAlignment w:val="bottom"/>
            </w:pPr>
            <w:r>
              <w:rPr>
                <w:rFonts w:ascii="Arial" w:eastAsia="宋体" w:hAnsi="Arial" w:cs="Arial"/>
                <w:b/>
                <w:bCs/>
                <w:color w:val="000000"/>
                <w:sz w:val="15"/>
                <w:szCs w:val="15"/>
              </w:rPr>
              <w:t>20</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34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345"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E0346"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E0347"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E0348"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E0349"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034A"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034B" w14:textId="77777777" w:rsidR="00584EC1" w:rsidRDefault="00871F8D">
            <w:pPr>
              <w:jc w:val="right"/>
              <w:textAlignment w:val="bottom"/>
            </w:pPr>
            <w:r>
              <w:rPr>
                <w:rFonts w:ascii="Arial" w:eastAsia="宋体" w:hAnsi="Arial" w:cs="Arial"/>
                <w:color w:val="000000"/>
                <w:sz w:val="15"/>
                <w:szCs w:val="15"/>
              </w:rPr>
              <w:t>38 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34C" w14:textId="77777777" w:rsidR="00584EC1" w:rsidRDefault="00584EC1">
            <w:pPr>
              <w:jc w:val="right"/>
              <w:rPr>
                <w:rFonts w:ascii="宋体"/>
              </w:rPr>
            </w:pPr>
          </w:p>
        </w:tc>
      </w:tr>
      <w:tr w:rsidR="00584EC1" w14:paraId="74DE035A" w14:textId="77777777">
        <w:trPr>
          <w:trHeight w:val="60"/>
        </w:trPr>
        <w:tc>
          <w:tcPr>
            <w:tcW w:w="0" w:type="auto"/>
            <w:gridSpan w:val="3"/>
            <w:shd w:val="clear" w:color="auto" w:fill="auto"/>
            <w:tcMar>
              <w:top w:w="0" w:type="dxa"/>
              <w:left w:w="20" w:type="dxa"/>
              <w:bottom w:w="0" w:type="dxa"/>
              <w:right w:w="20" w:type="dxa"/>
            </w:tcMar>
            <w:vAlign w:val="bottom"/>
          </w:tcPr>
          <w:p w14:paraId="74DE034E"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34F"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350"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35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352"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E0353"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354"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35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356"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357"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358"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E0359" w14:textId="77777777" w:rsidR="00584EC1" w:rsidRDefault="00584EC1">
            <w:pPr>
              <w:rPr>
                <w:rFonts w:ascii="宋体"/>
              </w:rPr>
            </w:pPr>
          </w:p>
        </w:tc>
      </w:tr>
      <w:tr w:rsidR="00584EC1" w14:paraId="74DE035D" w14:textId="77777777">
        <w:tc>
          <w:tcPr>
            <w:tcW w:w="0" w:type="auto"/>
            <w:gridSpan w:val="3"/>
            <w:shd w:val="clear" w:color="auto" w:fill="auto"/>
            <w:tcMar>
              <w:top w:w="0" w:type="dxa"/>
              <w:left w:w="20" w:type="dxa"/>
              <w:bottom w:w="0" w:type="dxa"/>
              <w:right w:w="20" w:type="dxa"/>
            </w:tcMar>
            <w:vAlign w:val="bottom"/>
          </w:tcPr>
          <w:p w14:paraId="74DE035B" w14:textId="77777777" w:rsidR="00584EC1" w:rsidRDefault="00584EC1">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74DE035C" w14:textId="77777777" w:rsidR="00584EC1" w:rsidRDefault="00871F8D">
            <w:pPr>
              <w:jc w:val="center"/>
              <w:textAlignment w:val="bottom"/>
            </w:pPr>
            <w:r>
              <w:rPr>
                <w:rFonts w:ascii="Arial" w:eastAsia="宋体" w:hAnsi="Arial" w:cs="Arial"/>
                <w:b/>
                <w:bCs/>
                <w:color w:val="000000"/>
                <w:sz w:val="15"/>
                <w:szCs w:val="15"/>
              </w:rPr>
              <w:t>Nine Months Ended September 30,</w:t>
            </w:r>
          </w:p>
        </w:tc>
      </w:tr>
      <w:tr w:rsidR="00584EC1" w14:paraId="74DE0362" w14:textId="77777777">
        <w:tc>
          <w:tcPr>
            <w:tcW w:w="0" w:type="auto"/>
            <w:gridSpan w:val="3"/>
            <w:shd w:val="clear" w:color="auto" w:fill="auto"/>
            <w:tcMar>
              <w:top w:w="0" w:type="dxa"/>
              <w:left w:w="20" w:type="dxa"/>
              <w:bottom w:w="0" w:type="dxa"/>
              <w:right w:w="20" w:type="dxa"/>
            </w:tcMar>
            <w:vAlign w:val="bottom"/>
          </w:tcPr>
          <w:p w14:paraId="74DE035E" w14:textId="77777777" w:rsidR="00584EC1" w:rsidRDefault="00584EC1">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4DE035F" w14:textId="77777777" w:rsidR="00584EC1" w:rsidRDefault="00871F8D">
            <w:pPr>
              <w:jc w:val="center"/>
              <w:textAlignment w:val="bottom"/>
            </w:pPr>
            <w:r>
              <w:rPr>
                <w:rFonts w:ascii="Arial" w:eastAsia="宋体" w:hAnsi="Arial" w:cs="Arial"/>
                <w:b/>
                <w:bCs/>
                <w:color w:val="000000"/>
                <w:sz w:val="15"/>
                <w:szCs w:val="15"/>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0360" w14:textId="77777777" w:rsidR="00584EC1" w:rsidRDefault="00584EC1">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4DE0361" w14:textId="77777777" w:rsidR="00584EC1" w:rsidRDefault="00871F8D">
            <w:pPr>
              <w:jc w:val="center"/>
              <w:textAlignment w:val="bottom"/>
            </w:pPr>
            <w:r>
              <w:rPr>
                <w:rFonts w:ascii="Arial" w:eastAsia="宋体" w:hAnsi="Arial" w:cs="Arial"/>
                <w:b/>
                <w:bCs/>
                <w:color w:val="000000"/>
                <w:sz w:val="15"/>
                <w:szCs w:val="15"/>
              </w:rPr>
              <w:t>2020</w:t>
            </w:r>
          </w:p>
        </w:tc>
      </w:tr>
      <w:tr w:rsidR="00584EC1" w14:paraId="74DE036F" w14:textId="77777777">
        <w:tc>
          <w:tcPr>
            <w:tcW w:w="0" w:type="auto"/>
            <w:gridSpan w:val="3"/>
            <w:shd w:val="clear" w:color="auto" w:fill="auto"/>
            <w:tcMar>
              <w:top w:w="40" w:type="dxa"/>
              <w:left w:w="20" w:type="dxa"/>
              <w:bottom w:w="40" w:type="dxa"/>
              <w:right w:w="20" w:type="dxa"/>
            </w:tcMar>
            <w:vAlign w:val="bottom"/>
          </w:tcPr>
          <w:p w14:paraId="74DE0363" w14:textId="77777777" w:rsidR="00584EC1" w:rsidRDefault="00871F8D">
            <w:pPr>
              <w:textAlignment w:val="bottom"/>
            </w:pPr>
            <w:r>
              <w:rPr>
                <w:rFonts w:ascii="Arial" w:eastAsia="宋体" w:hAnsi="Arial" w:cs="Arial"/>
                <w:b/>
                <w:bCs/>
                <w:color w:val="000000"/>
                <w:sz w:val="14"/>
                <w:szCs w:val="14"/>
              </w:rPr>
              <w:t>(Dollars in millions, except per share amounts)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0364" w14:textId="77777777" w:rsidR="00584EC1" w:rsidRDefault="00871F8D">
            <w:pPr>
              <w:jc w:val="center"/>
              <w:textAlignment w:val="bottom"/>
            </w:pPr>
            <w:r>
              <w:rPr>
                <w:rFonts w:ascii="Arial" w:eastAsia="宋体" w:hAnsi="Arial" w:cs="Arial"/>
                <w:b/>
                <w:bCs/>
                <w:color w:val="000000"/>
                <w:sz w:val="15"/>
                <w:szCs w:val="15"/>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0365"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0366" w14:textId="77777777" w:rsidR="00584EC1" w:rsidRDefault="00871F8D">
            <w:pPr>
              <w:jc w:val="center"/>
              <w:textAlignment w:val="bottom"/>
            </w:pPr>
            <w:r>
              <w:rPr>
                <w:rFonts w:ascii="Arial" w:eastAsia="宋体" w:hAnsi="Arial" w:cs="Arial"/>
                <w:b/>
                <w:bCs/>
                <w:color w:val="000000"/>
                <w:sz w:val="15"/>
                <w:szCs w:val="15"/>
              </w:rPr>
              <w:t>Dividends Declared per Depositary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0367"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0368" w14:textId="77777777" w:rsidR="00584EC1" w:rsidRDefault="00871F8D">
            <w:pPr>
              <w:jc w:val="center"/>
              <w:textAlignment w:val="bottom"/>
            </w:pPr>
            <w:r>
              <w:rPr>
                <w:rFonts w:ascii="Arial" w:eastAsia="宋体" w:hAnsi="Arial" w:cs="Arial"/>
                <w:b/>
                <w:bCs/>
                <w:color w:val="000000"/>
                <w:sz w:val="15"/>
                <w:szCs w:val="15"/>
              </w:rPr>
              <w:t>Total</w:t>
            </w:r>
          </w:p>
        </w:tc>
        <w:tc>
          <w:tcPr>
            <w:tcW w:w="0" w:type="auto"/>
            <w:gridSpan w:val="3"/>
            <w:shd w:val="clear" w:color="auto" w:fill="auto"/>
            <w:tcMar>
              <w:top w:w="0" w:type="dxa"/>
              <w:left w:w="20" w:type="dxa"/>
              <w:bottom w:w="0" w:type="dxa"/>
              <w:right w:w="20" w:type="dxa"/>
            </w:tcMar>
            <w:vAlign w:val="bottom"/>
          </w:tcPr>
          <w:p w14:paraId="74DE0369"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036A" w14:textId="77777777" w:rsidR="00584EC1" w:rsidRDefault="00871F8D">
            <w:pPr>
              <w:jc w:val="center"/>
              <w:textAlignment w:val="bottom"/>
            </w:pPr>
            <w:r>
              <w:rPr>
                <w:rFonts w:ascii="Arial" w:eastAsia="宋体" w:hAnsi="Arial" w:cs="Arial"/>
                <w:b/>
                <w:bCs/>
                <w:color w:val="000000"/>
                <w:sz w:val="15"/>
                <w:szCs w:val="15"/>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036B"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036C" w14:textId="77777777" w:rsidR="00584EC1" w:rsidRDefault="00871F8D">
            <w:pPr>
              <w:jc w:val="center"/>
              <w:textAlignment w:val="bottom"/>
            </w:pPr>
            <w:r>
              <w:rPr>
                <w:rFonts w:ascii="Arial" w:eastAsia="宋体" w:hAnsi="Arial" w:cs="Arial"/>
                <w:b/>
                <w:bCs/>
                <w:color w:val="000000"/>
                <w:sz w:val="15"/>
                <w:szCs w:val="15"/>
              </w:rPr>
              <w:t xml:space="preserve">Dividends </w:t>
            </w:r>
            <w:r>
              <w:rPr>
                <w:rFonts w:ascii="Arial" w:eastAsia="宋体" w:hAnsi="Arial" w:cs="Arial"/>
                <w:b/>
                <w:bCs/>
                <w:color w:val="000000"/>
                <w:sz w:val="15"/>
                <w:szCs w:val="15"/>
              </w:rPr>
              <w:t>Declared per Depositary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036D"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036E" w14:textId="77777777" w:rsidR="00584EC1" w:rsidRDefault="00871F8D">
            <w:pPr>
              <w:jc w:val="center"/>
              <w:textAlignment w:val="bottom"/>
            </w:pPr>
            <w:r>
              <w:rPr>
                <w:rFonts w:ascii="Arial" w:eastAsia="宋体" w:hAnsi="Arial" w:cs="Arial"/>
                <w:b/>
                <w:bCs/>
                <w:color w:val="000000"/>
                <w:sz w:val="15"/>
                <w:szCs w:val="15"/>
              </w:rPr>
              <w:t>Total</w:t>
            </w:r>
          </w:p>
        </w:tc>
      </w:tr>
      <w:tr w:rsidR="00584EC1" w14:paraId="74DE037C" w14:textId="77777777">
        <w:tc>
          <w:tcPr>
            <w:tcW w:w="0" w:type="auto"/>
            <w:gridSpan w:val="3"/>
            <w:shd w:val="clear" w:color="auto" w:fill="auto"/>
            <w:tcMar>
              <w:top w:w="40" w:type="dxa"/>
              <w:left w:w="20" w:type="dxa"/>
              <w:bottom w:w="40" w:type="dxa"/>
              <w:right w:w="20" w:type="dxa"/>
            </w:tcMar>
            <w:vAlign w:val="bottom"/>
          </w:tcPr>
          <w:p w14:paraId="74DE0370" w14:textId="77777777" w:rsidR="00584EC1" w:rsidRDefault="00871F8D">
            <w:pPr>
              <w:textAlignment w:val="bottom"/>
            </w:pPr>
            <w:r>
              <w:rPr>
                <w:rFonts w:ascii="Arial" w:eastAsia="宋体" w:hAnsi="Arial" w:cs="Arial"/>
                <w:b/>
                <w:bCs/>
                <w:color w:val="000000"/>
                <w:sz w:val="15"/>
                <w:szCs w:val="15"/>
              </w:rPr>
              <w:t xml:space="preserve">Preferred </w:t>
            </w:r>
            <w:r>
              <w:rPr>
                <w:rFonts w:ascii="Arial" w:eastAsia="宋体" w:hAnsi="Arial" w:cs="Arial"/>
                <w:b/>
                <w:bCs/>
                <w:color w:val="000000"/>
                <w:sz w:val="15"/>
                <w:szCs w:val="15"/>
              </w:rPr>
              <w:t>Stock: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0371"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E0372"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0373"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E0374"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037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376"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0377"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378"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0379"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37A"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037B" w14:textId="77777777" w:rsidR="00584EC1" w:rsidRDefault="00584EC1">
            <w:pPr>
              <w:rPr>
                <w:rFonts w:ascii="宋体"/>
              </w:rPr>
            </w:pPr>
          </w:p>
        </w:tc>
      </w:tr>
      <w:tr w:rsidR="00584EC1" w14:paraId="74DE0395" w14:textId="77777777">
        <w:tc>
          <w:tcPr>
            <w:tcW w:w="0" w:type="auto"/>
            <w:gridSpan w:val="3"/>
            <w:shd w:val="clear" w:color="auto" w:fill="CCEEFF"/>
            <w:tcMar>
              <w:top w:w="40" w:type="dxa"/>
              <w:left w:w="20" w:type="dxa"/>
              <w:bottom w:w="40" w:type="dxa"/>
              <w:right w:w="20" w:type="dxa"/>
            </w:tcMar>
            <w:vAlign w:val="bottom"/>
          </w:tcPr>
          <w:p w14:paraId="74DE037D" w14:textId="77777777" w:rsidR="00584EC1" w:rsidRDefault="00871F8D">
            <w:pPr>
              <w:textAlignment w:val="bottom"/>
            </w:pPr>
            <w:r>
              <w:rPr>
                <w:rFonts w:ascii="Arial" w:eastAsia="宋体" w:hAnsi="Arial" w:cs="Arial"/>
                <w:color w:val="000000"/>
                <w:sz w:val="15"/>
                <w:szCs w:val="15"/>
              </w:rPr>
              <w:t>Series C</w:t>
            </w:r>
          </w:p>
        </w:tc>
        <w:tc>
          <w:tcPr>
            <w:tcW w:w="0" w:type="auto"/>
            <w:shd w:val="clear" w:color="auto" w:fill="CCEEFF"/>
            <w:tcMar>
              <w:top w:w="40" w:type="dxa"/>
              <w:left w:w="20" w:type="dxa"/>
              <w:bottom w:w="40" w:type="dxa"/>
              <w:right w:w="0" w:type="dxa"/>
            </w:tcMar>
            <w:vAlign w:val="bottom"/>
          </w:tcPr>
          <w:p w14:paraId="74DE037E" w14:textId="77777777" w:rsidR="00584EC1" w:rsidRDefault="00871F8D">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4DE037F"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E038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381"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E0382" w14:textId="77777777" w:rsidR="00584EC1" w:rsidRDefault="00871F8D">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4DE0383"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E038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385"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E0386" w14:textId="77777777" w:rsidR="00584EC1" w:rsidRDefault="00871F8D">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4DE0387" w14:textId="77777777" w:rsidR="00584EC1" w:rsidRDefault="00871F8D">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E038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389"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E038A" w14:textId="77777777" w:rsidR="00584EC1" w:rsidRDefault="00871F8D">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4DE038B" w14:textId="77777777" w:rsidR="00584EC1" w:rsidRDefault="00871F8D">
            <w:pPr>
              <w:jc w:val="right"/>
              <w:textAlignment w:val="bottom"/>
            </w:pPr>
            <w:r>
              <w:rPr>
                <w:rFonts w:ascii="Arial" w:eastAsia="宋体" w:hAnsi="Arial" w:cs="Arial"/>
                <w:color w:val="000000"/>
                <w:sz w:val="15"/>
                <w:szCs w:val="15"/>
              </w:rPr>
              <w:t>1,313 </w:t>
            </w:r>
          </w:p>
        </w:tc>
        <w:tc>
          <w:tcPr>
            <w:tcW w:w="0" w:type="auto"/>
            <w:shd w:val="clear" w:color="auto" w:fill="CCEEFF"/>
            <w:tcMar>
              <w:top w:w="40" w:type="dxa"/>
              <w:left w:w="0" w:type="dxa"/>
              <w:bottom w:w="40" w:type="dxa"/>
              <w:right w:w="20" w:type="dxa"/>
            </w:tcMar>
            <w:vAlign w:val="bottom"/>
          </w:tcPr>
          <w:p w14:paraId="74DE038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38D"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E038E" w14:textId="77777777" w:rsidR="00584EC1" w:rsidRDefault="00871F8D">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4DE038F" w14:textId="77777777" w:rsidR="00584EC1" w:rsidRDefault="00871F8D">
            <w:pPr>
              <w:jc w:val="right"/>
              <w:textAlignment w:val="bottom"/>
            </w:pPr>
            <w:r>
              <w:rPr>
                <w:rFonts w:ascii="Arial" w:eastAsia="宋体" w:hAnsi="Arial" w:cs="Arial"/>
                <w:color w:val="000000"/>
                <w:sz w:val="15"/>
                <w:szCs w:val="15"/>
              </w:rPr>
              <w:t>0.33 </w:t>
            </w:r>
          </w:p>
        </w:tc>
        <w:tc>
          <w:tcPr>
            <w:tcW w:w="0" w:type="auto"/>
            <w:shd w:val="clear" w:color="auto" w:fill="CCEEFF"/>
            <w:tcMar>
              <w:top w:w="40" w:type="dxa"/>
              <w:left w:w="0" w:type="dxa"/>
              <w:bottom w:w="40" w:type="dxa"/>
              <w:right w:w="20" w:type="dxa"/>
            </w:tcMar>
            <w:vAlign w:val="bottom"/>
          </w:tcPr>
          <w:p w14:paraId="74DE039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391"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E0392" w14:textId="77777777" w:rsidR="00584EC1" w:rsidRDefault="00871F8D">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4DE0393" w14:textId="77777777" w:rsidR="00584EC1" w:rsidRDefault="00871F8D">
            <w:pPr>
              <w:jc w:val="right"/>
              <w:textAlignment w:val="bottom"/>
            </w:pPr>
            <w:r>
              <w:rPr>
                <w:rFonts w:ascii="Arial" w:eastAsia="宋体" w:hAnsi="Arial" w:cs="Arial"/>
                <w:color w:val="000000"/>
                <w:sz w:val="15"/>
                <w:szCs w:val="15"/>
              </w:rPr>
              <w:t>6 </w:t>
            </w:r>
          </w:p>
        </w:tc>
        <w:tc>
          <w:tcPr>
            <w:tcW w:w="0" w:type="auto"/>
            <w:shd w:val="clear" w:color="auto" w:fill="CCEEFF"/>
            <w:tcMar>
              <w:top w:w="40" w:type="dxa"/>
              <w:left w:w="0" w:type="dxa"/>
              <w:bottom w:w="40" w:type="dxa"/>
              <w:right w:w="20" w:type="dxa"/>
            </w:tcMar>
            <w:vAlign w:val="bottom"/>
          </w:tcPr>
          <w:p w14:paraId="74DE0394" w14:textId="77777777" w:rsidR="00584EC1" w:rsidRDefault="00584EC1">
            <w:pPr>
              <w:jc w:val="right"/>
              <w:rPr>
                <w:rFonts w:ascii="宋体"/>
              </w:rPr>
            </w:pPr>
          </w:p>
        </w:tc>
      </w:tr>
      <w:tr w:rsidR="00584EC1" w14:paraId="74DE03A8" w14:textId="77777777">
        <w:tc>
          <w:tcPr>
            <w:tcW w:w="0" w:type="auto"/>
            <w:gridSpan w:val="3"/>
            <w:shd w:val="clear" w:color="auto" w:fill="FFFFFF"/>
            <w:tcMar>
              <w:top w:w="40" w:type="dxa"/>
              <w:left w:w="20" w:type="dxa"/>
              <w:bottom w:w="40" w:type="dxa"/>
              <w:right w:w="20" w:type="dxa"/>
            </w:tcMar>
            <w:vAlign w:val="bottom"/>
          </w:tcPr>
          <w:p w14:paraId="74DE0396" w14:textId="77777777" w:rsidR="00584EC1" w:rsidRDefault="00871F8D">
            <w:pPr>
              <w:textAlignment w:val="bottom"/>
            </w:pPr>
            <w:r>
              <w:rPr>
                <w:rFonts w:ascii="Arial" w:eastAsia="宋体" w:hAnsi="Arial" w:cs="Arial"/>
                <w:color w:val="000000"/>
                <w:sz w:val="15"/>
                <w:szCs w:val="15"/>
              </w:rPr>
              <w:t>Series D</w:t>
            </w:r>
          </w:p>
        </w:tc>
        <w:tc>
          <w:tcPr>
            <w:tcW w:w="0" w:type="auto"/>
            <w:gridSpan w:val="2"/>
            <w:shd w:val="clear" w:color="auto" w:fill="FFFFFF"/>
            <w:tcMar>
              <w:top w:w="40" w:type="dxa"/>
              <w:left w:w="20" w:type="dxa"/>
              <w:bottom w:w="40" w:type="dxa"/>
              <w:right w:w="0" w:type="dxa"/>
            </w:tcMar>
            <w:vAlign w:val="bottom"/>
          </w:tcPr>
          <w:p w14:paraId="74DE0397" w14:textId="77777777" w:rsidR="00584EC1" w:rsidRDefault="00871F8D">
            <w:pPr>
              <w:jc w:val="right"/>
              <w:textAlignment w:val="bottom"/>
            </w:pPr>
            <w:r>
              <w:rPr>
                <w:rFonts w:ascii="Arial" w:eastAsia="宋体" w:hAnsi="Arial" w:cs="Arial"/>
                <w:b/>
                <w:bCs/>
                <w:color w:val="000000"/>
                <w:sz w:val="15"/>
                <w:szCs w:val="15"/>
              </w:rPr>
              <w:t>4,425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E039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39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39A" w14:textId="77777777" w:rsidR="00584EC1" w:rsidRDefault="00871F8D">
            <w:pPr>
              <w:jc w:val="right"/>
              <w:textAlignment w:val="bottom"/>
            </w:pPr>
            <w:r>
              <w:rPr>
                <w:rFonts w:ascii="Arial" w:eastAsia="宋体" w:hAnsi="Arial" w:cs="Arial"/>
                <w:b/>
                <w:bCs/>
                <w:color w:val="000000"/>
                <w:sz w:val="15"/>
                <w:szCs w:val="15"/>
              </w:rPr>
              <w:t>1.11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E039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39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39D" w14:textId="77777777" w:rsidR="00584EC1" w:rsidRDefault="00871F8D">
            <w:pPr>
              <w:jc w:val="right"/>
              <w:textAlignment w:val="bottom"/>
            </w:pPr>
            <w:r>
              <w:rPr>
                <w:rFonts w:ascii="Arial" w:eastAsia="宋体" w:hAnsi="Arial" w:cs="Arial"/>
                <w:b/>
                <w:bCs/>
                <w:color w:val="000000"/>
                <w:sz w:val="15"/>
                <w:szCs w:val="15"/>
              </w:rPr>
              <w:t>33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E039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39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3A0" w14:textId="77777777" w:rsidR="00584EC1" w:rsidRDefault="00871F8D">
            <w:pPr>
              <w:jc w:val="right"/>
              <w:textAlignment w:val="bottom"/>
            </w:pPr>
            <w:r>
              <w:rPr>
                <w:rFonts w:ascii="Arial" w:eastAsia="宋体" w:hAnsi="Arial" w:cs="Arial"/>
                <w:color w:val="000000"/>
                <w:sz w:val="15"/>
                <w:szCs w:val="15"/>
              </w:rPr>
              <w:t>4,425 </w:t>
            </w:r>
          </w:p>
        </w:tc>
        <w:tc>
          <w:tcPr>
            <w:tcW w:w="0" w:type="auto"/>
            <w:shd w:val="clear" w:color="auto" w:fill="FFFFFF"/>
            <w:tcMar>
              <w:top w:w="40" w:type="dxa"/>
              <w:left w:w="0" w:type="dxa"/>
              <w:bottom w:w="40" w:type="dxa"/>
              <w:right w:w="20" w:type="dxa"/>
            </w:tcMar>
            <w:vAlign w:val="bottom"/>
          </w:tcPr>
          <w:p w14:paraId="74DE03A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3A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3A3" w14:textId="77777777" w:rsidR="00584EC1" w:rsidRDefault="00871F8D">
            <w:pPr>
              <w:jc w:val="right"/>
              <w:textAlignment w:val="bottom"/>
            </w:pPr>
            <w:r>
              <w:rPr>
                <w:rFonts w:ascii="Arial" w:eastAsia="宋体" w:hAnsi="Arial" w:cs="Arial"/>
                <w:color w:val="000000"/>
                <w:sz w:val="15"/>
                <w:szCs w:val="15"/>
              </w:rPr>
              <w:t>1.11 </w:t>
            </w:r>
          </w:p>
        </w:tc>
        <w:tc>
          <w:tcPr>
            <w:tcW w:w="0" w:type="auto"/>
            <w:shd w:val="clear" w:color="auto" w:fill="FFFFFF"/>
            <w:tcMar>
              <w:top w:w="40" w:type="dxa"/>
              <w:left w:w="0" w:type="dxa"/>
              <w:bottom w:w="40" w:type="dxa"/>
              <w:right w:w="20" w:type="dxa"/>
            </w:tcMar>
            <w:vAlign w:val="bottom"/>
          </w:tcPr>
          <w:p w14:paraId="74DE03A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3A5"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3A6" w14:textId="77777777" w:rsidR="00584EC1" w:rsidRDefault="00871F8D">
            <w:pPr>
              <w:jc w:val="right"/>
              <w:textAlignment w:val="bottom"/>
            </w:pPr>
            <w:r>
              <w:rPr>
                <w:rFonts w:ascii="Arial" w:eastAsia="宋体" w:hAnsi="Arial" w:cs="Arial"/>
                <w:color w:val="000000"/>
                <w:sz w:val="15"/>
                <w:szCs w:val="15"/>
              </w:rPr>
              <w:t>33 </w:t>
            </w:r>
          </w:p>
        </w:tc>
        <w:tc>
          <w:tcPr>
            <w:tcW w:w="0" w:type="auto"/>
            <w:shd w:val="clear" w:color="auto" w:fill="FFFFFF"/>
            <w:tcMar>
              <w:top w:w="40" w:type="dxa"/>
              <w:left w:w="0" w:type="dxa"/>
              <w:bottom w:w="40" w:type="dxa"/>
              <w:right w:w="20" w:type="dxa"/>
            </w:tcMar>
            <w:vAlign w:val="bottom"/>
          </w:tcPr>
          <w:p w14:paraId="74DE03A7" w14:textId="77777777" w:rsidR="00584EC1" w:rsidRDefault="00584EC1">
            <w:pPr>
              <w:jc w:val="right"/>
              <w:rPr>
                <w:rFonts w:ascii="宋体"/>
              </w:rPr>
            </w:pPr>
          </w:p>
        </w:tc>
      </w:tr>
      <w:tr w:rsidR="00584EC1" w14:paraId="74DE03B5" w14:textId="77777777">
        <w:trPr>
          <w:hidden/>
        </w:trPr>
        <w:tc>
          <w:tcPr>
            <w:tcW w:w="0" w:type="auto"/>
            <w:gridSpan w:val="3"/>
            <w:shd w:val="clear" w:color="auto" w:fill="auto"/>
            <w:vAlign w:val="bottom"/>
          </w:tcPr>
          <w:p w14:paraId="74DE03A9" w14:textId="77777777" w:rsidR="00584EC1" w:rsidRDefault="00584EC1">
            <w:pPr>
              <w:rPr>
                <w:rFonts w:ascii="宋体"/>
                <w:vanish/>
              </w:rPr>
            </w:pPr>
          </w:p>
        </w:tc>
        <w:tc>
          <w:tcPr>
            <w:tcW w:w="0" w:type="auto"/>
            <w:gridSpan w:val="3"/>
            <w:shd w:val="clear" w:color="auto" w:fill="auto"/>
            <w:vAlign w:val="bottom"/>
          </w:tcPr>
          <w:p w14:paraId="74DE03AA" w14:textId="77777777" w:rsidR="00584EC1" w:rsidRDefault="00584EC1">
            <w:pPr>
              <w:rPr>
                <w:rFonts w:ascii="宋体"/>
                <w:vanish/>
              </w:rPr>
            </w:pPr>
          </w:p>
        </w:tc>
        <w:tc>
          <w:tcPr>
            <w:tcW w:w="0" w:type="auto"/>
            <w:gridSpan w:val="3"/>
            <w:shd w:val="clear" w:color="auto" w:fill="auto"/>
            <w:vAlign w:val="bottom"/>
          </w:tcPr>
          <w:p w14:paraId="74DE03AB" w14:textId="77777777" w:rsidR="00584EC1" w:rsidRDefault="00584EC1">
            <w:pPr>
              <w:rPr>
                <w:rFonts w:ascii="宋体"/>
                <w:vanish/>
              </w:rPr>
            </w:pPr>
          </w:p>
        </w:tc>
        <w:tc>
          <w:tcPr>
            <w:tcW w:w="0" w:type="auto"/>
            <w:gridSpan w:val="3"/>
            <w:shd w:val="clear" w:color="auto" w:fill="auto"/>
            <w:vAlign w:val="bottom"/>
          </w:tcPr>
          <w:p w14:paraId="74DE03AC" w14:textId="77777777" w:rsidR="00584EC1" w:rsidRDefault="00584EC1">
            <w:pPr>
              <w:rPr>
                <w:rFonts w:ascii="宋体"/>
                <w:vanish/>
              </w:rPr>
            </w:pPr>
          </w:p>
        </w:tc>
        <w:tc>
          <w:tcPr>
            <w:tcW w:w="0" w:type="auto"/>
            <w:gridSpan w:val="3"/>
            <w:shd w:val="clear" w:color="auto" w:fill="auto"/>
            <w:vAlign w:val="bottom"/>
          </w:tcPr>
          <w:p w14:paraId="74DE03AD" w14:textId="77777777" w:rsidR="00584EC1" w:rsidRDefault="00584EC1">
            <w:pPr>
              <w:rPr>
                <w:rFonts w:ascii="宋体"/>
                <w:vanish/>
              </w:rPr>
            </w:pPr>
          </w:p>
        </w:tc>
        <w:tc>
          <w:tcPr>
            <w:tcW w:w="0" w:type="auto"/>
            <w:gridSpan w:val="3"/>
            <w:shd w:val="clear" w:color="auto" w:fill="auto"/>
            <w:vAlign w:val="bottom"/>
          </w:tcPr>
          <w:p w14:paraId="74DE03AE" w14:textId="77777777" w:rsidR="00584EC1" w:rsidRDefault="00584EC1">
            <w:pPr>
              <w:rPr>
                <w:rFonts w:ascii="宋体"/>
                <w:vanish/>
              </w:rPr>
            </w:pPr>
          </w:p>
        </w:tc>
        <w:tc>
          <w:tcPr>
            <w:tcW w:w="0" w:type="auto"/>
            <w:gridSpan w:val="3"/>
            <w:shd w:val="clear" w:color="auto" w:fill="auto"/>
            <w:vAlign w:val="bottom"/>
          </w:tcPr>
          <w:p w14:paraId="74DE03AF" w14:textId="77777777" w:rsidR="00584EC1" w:rsidRDefault="00584EC1">
            <w:pPr>
              <w:rPr>
                <w:rFonts w:ascii="宋体"/>
                <w:vanish/>
              </w:rPr>
            </w:pPr>
          </w:p>
        </w:tc>
        <w:tc>
          <w:tcPr>
            <w:tcW w:w="0" w:type="auto"/>
            <w:gridSpan w:val="3"/>
            <w:shd w:val="clear" w:color="auto" w:fill="auto"/>
            <w:vAlign w:val="bottom"/>
          </w:tcPr>
          <w:p w14:paraId="74DE03B0" w14:textId="77777777" w:rsidR="00584EC1" w:rsidRDefault="00584EC1">
            <w:pPr>
              <w:rPr>
                <w:rFonts w:ascii="宋体"/>
                <w:vanish/>
              </w:rPr>
            </w:pPr>
          </w:p>
        </w:tc>
        <w:tc>
          <w:tcPr>
            <w:tcW w:w="0" w:type="auto"/>
            <w:gridSpan w:val="3"/>
            <w:shd w:val="clear" w:color="auto" w:fill="auto"/>
            <w:vAlign w:val="bottom"/>
          </w:tcPr>
          <w:p w14:paraId="74DE03B1" w14:textId="77777777" w:rsidR="00584EC1" w:rsidRDefault="00584EC1">
            <w:pPr>
              <w:rPr>
                <w:rFonts w:ascii="宋体"/>
                <w:vanish/>
              </w:rPr>
            </w:pPr>
          </w:p>
        </w:tc>
        <w:tc>
          <w:tcPr>
            <w:tcW w:w="0" w:type="auto"/>
            <w:gridSpan w:val="3"/>
            <w:shd w:val="clear" w:color="auto" w:fill="auto"/>
            <w:vAlign w:val="bottom"/>
          </w:tcPr>
          <w:p w14:paraId="74DE03B2" w14:textId="77777777" w:rsidR="00584EC1" w:rsidRDefault="00584EC1">
            <w:pPr>
              <w:rPr>
                <w:rFonts w:ascii="宋体"/>
                <w:vanish/>
              </w:rPr>
            </w:pPr>
          </w:p>
        </w:tc>
        <w:tc>
          <w:tcPr>
            <w:tcW w:w="0" w:type="auto"/>
            <w:gridSpan w:val="3"/>
            <w:shd w:val="clear" w:color="auto" w:fill="auto"/>
            <w:vAlign w:val="bottom"/>
          </w:tcPr>
          <w:p w14:paraId="74DE03B3" w14:textId="77777777" w:rsidR="00584EC1" w:rsidRDefault="00584EC1">
            <w:pPr>
              <w:rPr>
                <w:rFonts w:ascii="宋体"/>
                <w:vanish/>
              </w:rPr>
            </w:pPr>
          </w:p>
        </w:tc>
        <w:tc>
          <w:tcPr>
            <w:tcW w:w="0" w:type="auto"/>
            <w:gridSpan w:val="3"/>
            <w:shd w:val="clear" w:color="auto" w:fill="auto"/>
            <w:vAlign w:val="bottom"/>
          </w:tcPr>
          <w:p w14:paraId="74DE03B4" w14:textId="77777777" w:rsidR="00584EC1" w:rsidRDefault="00584EC1">
            <w:pPr>
              <w:rPr>
                <w:rFonts w:ascii="宋体"/>
                <w:vanish/>
              </w:rPr>
            </w:pPr>
          </w:p>
        </w:tc>
      </w:tr>
      <w:tr w:rsidR="00584EC1" w14:paraId="74DE03C8" w14:textId="77777777">
        <w:tc>
          <w:tcPr>
            <w:tcW w:w="0" w:type="auto"/>
            <w:gridSpan w:val="3"/>
            <w:shd w:val="clear" w:color="auto" w:fill="CCEEFF"/>
            <w:tcMar>
              <w:top w:w="40" w:type="dxa"/>
              <w:left w:w="20" w:type="dxa"/>
              <w:bottom w:w="40" w:type="dxa"/>
              <w:right w:w="20" w:type="dxa"/>
            </w:tcMar>
            <w:vAlign w:val="bottom"/>
          </w:tcPr>
          <w:p w14:paraId="74DE03B6" w14:textId="77777777" w:rsidR="00584EC1" w:rsidRDefault="00871F8D">
            <w:pPr>
              <w:textAlignment w:val="bottom"/>
            </w:pPr>
            <w:r>
              <w:rPr>
                <w:rFonts w:ascii="Arial" w:eastAsia="宋体" w:hAnsi="Arial" w:cs="Arial"/>
                <w:color w:val="000000"/>
                <w:sz w:val="15"/>
                <w:szCs w:val="15"/>
              </w:rPr>
              <w:t>Series F</w:t>
            </w:r>
          </w:p>
        </w:tc>
        <w:tc>
          <w:tcPr>
            <w:tcW w:w="0" w:type="auto"/>
            <w:gridSpan w:val="2"/>
            <w:shd w:val="clear" w:color="auto" w:fill="CCEEFF"/>
            <w:tcMar>
              <w:top w:w="40" w:type="dxa"/>
              <w:left w:w="20" w:type="dxa"/>
              <w:bottom w:w="40" w:type="dxa"/>
              <w:right w:w="0" w:type="dxa"/>
            </w:tcMar>
            <w:vAlign w:val="bottom"/>
          </w:tcPr>
          <w:p w14:paraId="74DE03B7" w14:textId="77777777" w:rsidR="00584EC1" w:rsidRDefault="00871F8D">
            <w:pPr>
              <w:jc w:val="right"/>
              <w:textAlignment w:val="bottom"/>
            </w:pPr>
            <w:r>
              <w:rPr>
                <w:rFonts w:ascii="Arial" w:eastAsia="宋体" w:hAnsi="Arial" w:cs="Arial"/>
                <w:b/>
                <w:bCs/>
                <w:color w:val="000000"/>
                <w:sz w:val="15"/>
                <w:szCs w:val="15"/>
              </w:rPr>
              <w:t>2,869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E03B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3B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3BA" w14:textId="77777777" w:rsidR="00584EC1" w:rsidRDefault="00871F8D">
            <w:pPr>
              <w:jc w:val="right"/>
              <w:textAlignment w:val="bottom"/>
            </w:pPr>
            <w:r>
              <w:rPr>
                <w:rFonts w:ascii="Arial" w:eastAsia="宋体" w:hAnsi="Arial" w:cs="Arial"/>
                <w:b/>
                <w:bCs/>
                <w:color w:val="000000"/>
                <w:sz w:val="15"/>
                <w:szCs w:val="15"/>
              </w:rPr>
              <w:t>28.69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E03B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3BC"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3BD" w14:textId="77777777" w:rsidR="00584EC1" w:rsidRDefault="00871F8D">
            <w:pPr>
              <w:jc w:val="right"/>
              <w:textAlignment w:val="bottom"/>
            </w:pPr>
            <w:r>
              <w:rPr>
                <w:rFonts w:ascii="Arial" w:eastAsia="宋体" w:hAnsi="Arial" w:cs="Arial"/>
                <w:b/>
                <w:bCs/>
                <w:color w:val="000000"/>
                <w:sz w:val="15"/>
                <w:szCs w:val="15"/>
              </w:rPr>
              <w:t>11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E03B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3BF"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3C0" w14:textId="77777777" w:rsidR="00584EC1" w:rsidRDefault="00871F8D">
            <w:pPr>
              <w:jc w:val="right"/>
              <w:textAlignment w:val="bottom"/>
            </w:pPr>
            <w:r>
              <w:rPr>
                <w:rFonts w:ascii="Arial" w:eastAsia="宋体" w:hAnsi="Arial" w:cs="Arial"/>
                <w:color w:val="000000"/>
                <w:sz w:val="15"/>
                <w:szCs w:val="15"/>
              </w:rPr>
              <w:t>5,250 </w:t>
            </w:r>
          </w:p>
        </w:tc>
        <w:tc>
          <w:tcPr>
            <w:tcW w:w="0" w:type="auto"/>
            <w:shd w:val="clear" w:color="auto" w:fill="CCEEFF"/>
            <w:tcMar>
              <w:top w:w="40" w:type="dxa"/>
              <w:left w:w="0" w:type="dxa"/>
              <w:bottom w:w="40" w:type="dxa"/>
              <w:right w:w="20" w:type="dxa"/>
            </w:tcMar>
            <w:vAlign w:val="bottom"/>
          </w:tcPr>
          <w:p w14:paraId="74DE03C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3C2"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3C3" w14:textId="77777777" w:rsidR="00584EC1" w:rsidRDefault="00871F8D">
            <w:pPr>
              <w:jc w:val="right"/>
              <w:textAlignment w:val="bottom"/>
            </w:pPr>
            <w:r>
              <w:rPr>
                <w:rFonts w:ascii="Arial" w:eastAsia="宋体" w:hAnsi="Arial" w:cs="Arial"/>
                <w:color w:val="000000"/>
                <w:sz w:val="15"/>
                <w:szCs w:val="15"/>
              </w:rPr>
              <w:t>52.50 </w:t>
            </w:r>
          </w:p>
        </w:tc>
        <w:tc>
          <w:tcPr>
            <w:tcW w:w="0" w:type="auto"/>
            <w:shd w:val="clear" w:color="auto" w:fill="CCEEFF"/>
            <w:tcMar>
              <w:top w:w="40" w:type="dxa"/>
              <w:left w:w="0" w:type="dxa"/>
              <w:bottom w:w="40" w:type="dxa"/>
              <w:right w:w="20" w:type="dxa"/>
            </w:tcMar>
            <w:vAlign w:val="bottom"/>
          </w:tcPr>
          <w:p w14:paraId="74DE03C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3C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3C6" w14:textId="77777777" w:rsidR="00584EC1" w:rsidRDefault="00871F8D">
            <w:pPr>
              <w:jc w:val="right"/>
              <w:textAlignment w:val="bottom"/>
            </w:pPr>
            <w:r>
              <w:rPr>
                <w:rFonts w:ascii="Arial" w:eastAsia="宋体" w:hAnsi="Arial" w:cs="Arial"/>
                <w:color w:val="000000"/>
                <w:sz w:val="15"/>
                <w:szCs w:val="15"/>
              </w:rPr>
              <w:t>40 </w:t>
            </w:r>
          </w:p>
        </w:tc>
        <w:tc>
          <w:tcPr>
            <w:tcW w:w="0" w:type="auto"/>
            <w:shd w:val="clear" w:color="auto" w:fill="CCEEFF"/>
            <w:tcMar>
              <w:top w:w="40" w:type="dxa"/>
              <w:left w:w="0" w:type="dxa"/>
              <w:bottom w:w="40" w:type="dxa"/>
              <w:right w:w="20" w:type="dxa"/>
            </w:tcMar>
            <w:vAlign w:val="bottom"/>
          </w:tcPr>
          <w:p w14:paraId="74DE03C7" w14:textId="77777777" w:rsidR="00584EC1" w:rsidRDefault="00584EC1">
            <w:pPr>
              <w:jc w:val="right"/>
              <w:rPr>
                <w:rFonts w:ascii="宋体"/>
              </w:rPr>
            </w:pPr>
          </w:p>
        </w:tc>
      </w:tr>
      <w:tr w:rsidR="00584EC1" w14:paraId="74DE03DB" w14:textId="77777777">
        <w:tc>
          <w:tcPr>
            <w:tcW w:w="0" w:type="auto"/>
            <w:gridSpan w:val="3"/>
            <w:shd w:val="clear" w:color="auto" w:fill="FFFFFF"/>
            <w:tcMar>
              <w:top w:w="40" w:type="dxa"/>
              <w:left w:w="20" w:type="dxa"/>
              <w:bottom w:w="40" w:type="dxa"/>
              <w:right w:w="20" w:type="dxa"/>
            </w:tcMar>
            <w:vAlign w:val="bottom"/>
          </w:tcPr>
          <w:p w14:paraId="74DE03C9" w14:textId="77777777" w:rsidR="00584EC1" w:rsidRDefault="00871F8D">
            <w:pPr>
              <w:textAlignment w:val="bottom"/>
            </w:pPr>
            <w:r>
              <w:rPr>
                <w:rFonts w:ascii="Arial" w:eastAsia="宋体" w:hAnsi="Arial" w:cs="Arial"/>
                <w:color w:val="000000"/>
                <w:sz w:val="15"/>
                <w:szCs w:val="15"/>
              </w:rPr>
              <w:t>Series G</w:t>
            </w:r>
          </w:p>
        </w:tc>
        <w:tc>
          <w:tcPr>
            <w:tcW w:w="0" w:type="auto"/>
            <w:gridSpan w:val="2"/>
            <w:shd w:val="clear" w:color="auto" w:fill="FFFFFF"/>
            <w:tcMar>
              <w:top w:w="40" w:type="dxa"/>
              <w:left w:w="20" w:type="dxa"/>
              <w:bottom w:w="40" w:type="dxa"/>
              <w:right w:w="0" w:type="dxa"/>
            </w:tcMar>
            <w:vAlign w:val="bottom"/>
          </w:tcPr>
          <w:p w14:paraId="74DE03CA" w14:textId="77777777" w:rsidR="00584EC1" w:rsidRDefault="00871F8D">
            <w:pPr>
              <w:jc w:val="right"/>
              <w:textAlignment w:val="bottom"/>
            </w:pPr>
            <w:r>
              <w:rPr>
                <w:rFonts w:ascii="Arial" w:eastAsia="宋体" w:hAnsi="Arial" w:cs="Arial"/>
                <w:b/>
                <w:bCs/>
                <w:color w:val="000000"/>
                <w:sz w:val="15"/>
                <w:szCs w:val="15"/>
              </w:rPr>
              <w:t>4,014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E03C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3C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3CD" w14:textId="77777777" w:rsidR="00584EC1" w:rsidRDefault="00871F8D">
            <w:pPr>
              <w:jc w:val="right"/>
              <w:textAlignment w:val="bottom"/>
            </w:pPr>
            <w:r>
              <w:rPr>
                <w:rFonts w:ascii="Arial" w:eastAsia="宋体" w:hAnsi="Arial" w:cs="Arial"/>
                <w:b/>
                <w:bCs/>
                <w:color w:val="000000"/>
                <w:sz w:val="15"/>
                <w:szCs w:val="15"/>
              </w:rPr>
              <w:t>0.99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E03C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3C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3D0" w14:textId="77777777" w:rsidR="00584EC1" w:rsidRDefault="00871F8D">
            <w:pPr>
              <w:jc w:val="right"/>
              <w:textAlignment w:val="bottom"/>
            </w:pPr>
            <w:r>
              <w:rPr>
                <w:rFonts w:ascii="Arial" w:eastAsia="宋体" w:hAnsi="Arial" w:cs="Arial"/>
                <w:b/>
                <w:bCs/>
                <w:color w:val="000000"/>
                <w:sz w:val="15"/>
                <w:szCs w:val="15"/>
              </w:rPr>
              <w:t>21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4DE03D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3D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3D3" w14:textId="77777777" w:rsidR="00584EC1" w:rsidRDefault="00871F8D">
            <w:pPr>
              <w:jc w:val="right"/>
              <w:textAlignment w:val="bottom"/>
            </w:pPr>
            <w:r>
              <w:rPr>
                <w:rFonts w:ascii="Arial" w:eastAsia="宋体" w:hAnsi="Arial" w:cs="Arial"/>
                <w:color w:val="000000"/>
                <w:sz w:val="15"/>
                <w:szCs w:val="15"/>
              </w:rPr>
              <w:t>4,014 </w:t>
            </w:r>
          </w:p>
        </w:tc>
        <w:tc>
          <w:tcPr>
            <w:tcW w:w="0" w:type="auto"/>
            <w:shd w:val="clear" w:color="auto" w:fill="FFFFFF"/>
            <w:tcMar>
              <w:top w:w="40" w:type="dxa"/>
              <w:left w:w="0" w:type="dxa"/>
              <w:bottom w:w="40" w:type="dxa"/>
              <w:right w:w="20" w:type="dxa"/>
            </w:tcMar>
            <w:vAlign w:val="bottom"/>
          </w:tcPr>
          <w:p w14:paraId="74DE03D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3D5"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3D6" w14:textId="77777777" w:rsidR="00584EC1" w:rsidRDefault="00871F8D">
            <w:pPr>
              <w:jc w:val="right"/>
              <w:textAlignment w:val="bottom"/>
            </w:pPr>
            <w:r>
              <w:rPr>
                <w:rFonts w:ascii="Arial" w:eastAsia="宋体" w:hAnsi="Arial" w:cs="Arial"/>
                <w:color w:val="000000"/>
                <w:sz w:val="15"/>
                <w:szCs w:val="15"/>
              </w:rPr>
              <w:t>0.99 </w:t>
            </w:r>
          </w:p>
        </w:tc>
        <w:tc>
          <w:tcPr>
            <w:tcW w:w="0" w:type="auto"/>
            <w:shd w:val="clear" w:color="auto" w:fill="FFFFFF"/>
            <w:tcMar>
              <w:top w:w="40" w:type="dxa"/>
              <w:left w:w="0" w:type="dxa"/>
              <w:bottom w:w="40" w:type="dxa"/>
              <w:right w:w="20" w:type="dxa"/>
            </w:tcMar>
            <w:vAlign w:val="bottom"/>
          </w:tcPr>
          <w:p w14:paraId="74DE03D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3D8"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3D9" w14:textId="77777777" w:rsidR="00584EC1" w:rsidRDefault="00871F8D">
            <w:pPr>
              <w:jc w:val="right"/>
              <w:textAlignment w:val="bottom"/>
            </w:pPr>
            <w:r>
              <w:rPr>
                <w:rFonts w:ascii="Arial" w:eastAsia="宋体" w:hAnsi="Arial" w:cs="Arial"/>
                <w:color w:val="000000"/>
                <w:sz w:val="15"/>
                <w:szCs w:val="15"/>
              </w:rPr>
              <w:t>21 </w:t>
            </w:r>
          </w:p>
        </w:tc>
        <w:tc>
          <w:tcPr>
            <w:tcW w:w="0" w:type="auto"/>
            <w:shd w:val="clear" w:color="auto" w:fill="FFFFFF"/>
            <w:tcMar>
              <w:top w:w="40" w:type="dxa"/>
              <w:left w:w="0" w:type="dxa"/>
              <w:bottom w:w="40" w:type="dxa"/>
              <w:right w:w="20" w:type="dxa"/>
            </w:tcMar>
            <w:vAlign w:val="bottom"/>
          </w:tcPr>
          <w:p w14:paraId="74DE03DA" w14:textId="77777777" w:rsidR="00584EC1" w:rsidRDefault="00584EC1">
            <w:pPr>
              <w:jc w:val="right"/>
              <w:rPr>
                <w:rFonts w:ascii="宋体"/>
              </w:rPr>
            </w:pPr>
          </w:p>
        </w:tc>
      </w:tr>
      <w:tr w:rsidR="00584EC1" w14:paraId="74DE03EE" w14:textId="77777777">
        <w:tc>
          <w:tcPr>
            <w:tcW w:w="0" w:type="auto"/>
            <w:gridSpan w:val="3"/>
            <w:shd w:val="clear" w:color="auto" w:fill="CCEEFF"/>
            <w:tcMar>
              <w:top w:w="40" w:type="dxa"/>
              <w:left w:w="20" w:type="dxa"/>
              <w:bottom w:w="40" w:type="dxa"/>
              <w:right w:w="20" w:type="dxa"/>
            </w:tcMar>
            <w:vAlign w:val="bottom"/>
          </w:tcPr>
          <w:p w14:paraId="74DE03DC" w14:textId="77777777" w:rsidR="00584EC1" w:rsidRDefault="00871F8D">
            <w:pPr>
              <w:textAlignment w:val="bottom"/>
            </w:pPr>
            <w:r>
              <w:rPr>
                <w:rFonts w:ascii="Arial" w:eastAsia="宋体" w:hAnsi="Arial" w:cs="Arial"/>
                <w:color w:val="000000"/>
                <w:sz w:val="15"/>
                <w:szCs w:val="15"/>
              </w:rPr>
              <w:t>Series H</w:t>
            </w:r>
          </w:p>
        </w:tc>
        <w:tc>
          <w:tcPr>
            <w:tcW w:w="0" w:type="auto"/>
            <w:gridSpan w:val="2"/>
            <w:shd w:val="clear" w:color="auto" w:fill="CCEEFF"/>
            <w:tcMar>
              <w:top w:w="40" w:type="dxa"/>
              <w:left w:w="20" w:type="dxa"/>
              <w:bottom w:w="40" w:type="dxa"/>
              <w:right w:w="0" w:type="dxa"/>
            </w:tcMar>
            <w:vAlign w:val="bottom"/>
          </w:tcPr>
          <w:p w14:paraId="74DE03DD" w14:textId="77777777" w:rsidR="00584EC1" w:rsidRDefault="00871F8D">
            <w:pPr>
              <w:jc w:val="right"/>
              <w:textAlignment w:val="bottom"/>
            </w:pPr>
            <w:r>
              <w:rPr>
                <w:rFonts w:ascii="Arial" w:eastAsia="宋体" w:hAnsi="Arial" w:cs="Arial"/>
                <w:b/>
                <w:bCs/>
                <w:color w:val="000000"/>
                <w:sz w:val="15"/>
                <w:szCs w:val="15"/>
              </w:rPr>
              <w:t>2,813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E03D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3DF"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3E0" w14:textId="77777777" w:rsidR="00584EC1" w:rsidRDefault="00871F8D">
            <w:pPr>
              <w:jc w:val="right"/>
              <w:textAlignment w:val="bottom"/>
            </w:pPr>
            <w:r>
              <w:rPr>
                <w:rFonts w:ascii="Arial" w:eastAsia="宋体" w:hAnsi="Arial" w:cs="Arial"/>
                <w:b/>
                <w:bCs/>
                <w:color w:val="000000"/>
                <w:sz w:val="15"/>
                <w:szCs w:val="15"/>
              </w:rPr>
              <w:t>28.13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E03E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3E2"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3E3" w14:textId="77777777" w:rsidR="00584EC1" w:rsidRDefault="00871F8D">
            <w:pPr>
              <w:jc w:val="right"/>
              <w:textAlignment w:val="bottom"/>
            </w:pPr>
            <w:r>
              <w:rPr>
                <w:rFonts w:ascii="Arial" w:eastAsia="宋体" w:hAnsi="Arial" w:cs="Arial"/>
                <w:b/>
                <w:bCs/>
                <w:color w:val="000000"/>
                <w:sz w:val="15"/>
                <w:szCs w:val="15"/>
              </w:rPr>
              <w:t>14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4DE03E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3E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3E6" w14:textId="77777777" w:rsidR="00584EC1" w:rsidRDefault="00871F8D">
            <w:pPr>
              <w:jc w:val="right"/>
              <w:textAlignment w:val="bottom"/>
            </w:pPr>
            <w:r>
              <w:rPr>
                <w:rFonts w:ascii="Arial" w:eastAsia="宋体" w:hAnsi="Arial" w:cs="Arial"/>
                <w:color w:val="000000"/>
                <w:sz w:val="15"/>
                <w:szCs w:val="15"/>
              </w:rPr>
              <w:t>2,813 </w:t>
            </w:r>
          </w:p>
        </w:tc>
        <w:tc>
          <w:tcPr>
            <w:tcW w:w="0" w:type="auto"/>
            <w:shd w:val="clear" w:color="auto" w:fill="CCEEFF"/>
            <w:tcMar>
              <w:top w:w="40" w:type="dxa"/>
              <w:left w:w="0" w:type="dxa"/>
              <w:bottom w:w="40" w:type="dxa"/>
              <w:right w:w="20" w:type="dxa"/>
            </w:tcMar>
            <w:vAlign w:val="bottom"/>
          </w:tcPr>
          <w:p w14:paraId="74DE03E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3E8"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3E9" w14:textId="77777777" w:rsidR="00584EC1" w:rsidRDefault="00871F8D">
            <w:pPr>
              <w:jc w:val="right"/>
              <w:textAlignment w:val="bottom"/>
            </w:pPr>
            <w:r>
              <w:rPr>
                <w:rFonts w:ascii="Arial" w:eastAsia="宋体" w:hAnsi="Arial" w:cs="Arial"/>
                <w:color w:val="000000"/>
                <w:sz w:val="15"/>
                <w:szCs w:val="15"/>
              </w:rPr>
              <w:t>28.13 </w:t>
            </w:r>
          </w:p>
        </w:tc>
        <w:tc>
          <w:tcPr>
            <w:tcW w:w="0" w:type="auto"/>
            <w:shd w:val="clear" w:color="auto" w:fill="CCEEFF"/>
            <w:tcMar>
              <w:top w:w="40" w:type="dxa"/>
              <w:left w:w="0" w:type="dxa"/>
              <w:bottom w:w="40" w:type="dxa"/>
              <w:right w:w="20" w:type="dxa"/>
            </w:tcMar>
            <w:vAlign w:val="bottom"/>
          </w:tcPr>
          <w:p w14:paraId="74DE03E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3E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3EC" w14:textId="77777777" w:rsidR="00584EC1" w:rsidRDefault="00871F8D">
            <w:pPr>
              <w:jc w:val="right"/>
              <w:textAlignment w:val="bottom"/>
            </w:pPr>
            <w:r>
              <w:rPr>
                <w:rFonts w:ascii="Arial" w:eastAsia="宋体" w:hAnsi="Arial" w:cs="Arial"/>
                <w:color w:val="000000"/>
                <w:sz w:val="15"/>
                <w:szCs w:val="15"/>
              </w:rPr>
              <w:t>14 </w:t>
            </w:r>
          </w:p>
        </w:tc>
        <w:tc>
          <w:tcPr>
            <w:tcW w:w="0" w:type="auto"/>
            <w:shd w:val="clear" w:color="auto" w:fill="CCEEFF"/>
            <w:tcMar>
              <w:top w:w="40" w:type="dxa"/>
              <w:left w:w="0" w:type="dxa"/>
              <w:bottom w:w="40" w:type="dxa"/>
              <w:right w:w="20" w:type="dxa"/>
            </w:tcMar>
            <w:vAlign w:val="bottom"/>
          </w:tcPr>
          <w:p w14:paraId="74DE03ED" w14:textId="77777777" w:rsidR="00584EC1" w:rsidRDefault="00584EC1">
            <w:pPr>
              <w:jc w:val="right"/>
              <w:rPr>
                <w:rFonts w:ascii="宋体"/>
              </w:rPr>
            </w:pPr>
          </w:p>
        </w:tc>
      </w:tr>
      <w:tr w:rsidR="00584EC1" w14:paraId="74DE03FF" w14:textId="77777777">
        <w:tc>
          <w:tcPr>
            <w:tcW w:w="0" w:type="auto"/>
            <w:gridSpan w:val="3"/>
            <w:shd w:val="clear" w:color="auto" w:fill="FFFFFF"/>
            <w:tcMar>
              <w:top w:w="40" w:type="dxa"/>
              <w:left w:w="20" w:type="dxa"/>
              <w:bottom w:w="40" w:type="dxa"/>
              <w:right w:w="20" w:type="dxa"/>
            </w:tcMar>
            <w:vAlign w:val="bottom"/>
          </w:tcPr>
          <w:p w14:paraId="74DE03EF" w14:textId="77777777" w:rsidR="00584EC1" w:rsidRDefault="00871F8D">
            <w:pPr>
              <w:textAlignment w:val="bottom"/>
            </w:pPr>
            <w:r>
              <w:rPr>
                <w:rFonts w:ascii="Arial" w:eastAsia="宋体" w:hAnsi="Arial" w:cs="Arial"/>
                <w:color w:val="000000"/>
                <w:sz w:val="15"/>
                <w:szCs w:val="15"/>
              </w:rPr>
              <w:t>Total</w:t>
            </w:r>
          </w:p>
        </w:tc>
        <w:tc>
          <w:tcPr>
            <w:tcW w:w="0" w:type="auto"/>
            <w:gridSpan w:val="3"/>
            <w:shd w:val="clear" w:color="auto" w:fill="FFFFFF"/>
            <w:tcMar>
              <w:top w:w="0" w:type="dxa"/>
              <w:left w:w="20" w:type="dxa"/>
              <w:bottom w:w="0" w:type="dxa"/>
              <w:right w:w="20" w:type="dxa"/>
            </w:tcMar>
            <w:vAlign w:val="bottom"/>
          </w:tcPr>
          <w:p w14:paraId="74DE03F0"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E03F1"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E03F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E03F3"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E03F4" w14:textId="77777777" w:rsidR="00584EC1" w:rsidRDefault="00871F8D">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E03F5" w14:textId="77777777" w:rsidR="00584EC1" w:rsidRDefault="00871F8D">
            <w:pPr>
              <w:jc w:val="right"/>
              <w:textAlignment w:val="bottom"/>
            </w:pPr>
            <w:r>
              <w:rPr>
                <w:rFonts w:ascii="Arial" w:eastAsia="宋体" w:hAnsi="Arial" w:cs="Arial"/>
                <w:b/>
                <w:bCs/>
                <w:color w:val="000000"/>
                <w:sz w:val="15"/>
                <w:szCs w:val="15"/>
              </w:rPr>
              <w:t>79</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03F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3F7"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E03F8"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E03F9"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E03FA"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E03FB"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E03FC" w14:textId="77777777" w:rsidR="00584EC1" w:rsidRDefault="00871F8D">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E03FD" w14:textId="77777777" w:rsidR="00584EC1" w:rsidRDefault="00871F8D">
            <w:pPr>
              <w:jc w:val="right"/>
              <w:textAlignment w:val="bottom"/>
            </w:pPr>
            <w:r>
              <w:rPr>
                <w:rFonts w:ascii="Arial" w:eastAsia="宋体" w:hAnsi="Arial" w:cs="Arial"/>
                <w:color w:val="000000"/>
                <w:sz w:val="15"/>
                <w:szCs w:val="15"/>
              </w:rPr>
              <w:t>114 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03FE" w14:textId="77777777" w:rsidR="00584EC1" w:rsidRDefault="00584EC1">
            <w:pPr>
              <w:jc w:val="right"/>
              <w:rPr>
                <w:rFonts w:ascii="宋体"/>
              </w:rPr>
            </w:pPr>
          </w:p>
        </w:tc>
      </w:tr>
      <w:tr w:rsidR="00584EC1" w14:paraId="74DE040C" w14:textId="77777777">
        <w:trPr>
          <w:trHeight w:val="100"/>
        </w:trPr>
        <w:tc>
          <w:tcPr>
            <w:tcW w:w="0" w:type="auto"/>
            <w:gridSpan w:val="3"/>
            <w:shd w:val="clear" w:color="auto" w:fill="auto"/>
            <w:tcMar>
              <w:top w:w="0" w:type="dxa"/>
              <w:left w:w="20" w:type="dxa"/>
              <w:bottom w:w="0" w:type="dxa"/>
              <w:right w:w="20" w:type="dxa"/>
            </w:tcMar>
            <w:vAlign w:val="bottom"/>
          </w:tcPr>
          <w:p w14:paraId="74DE0400"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40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40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403"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404"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E040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406"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407"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408"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409"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40A"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E040B" w14:textId="77777777" w:rsidR="00584EC1" w:rsidRDefault="00584EC1">
            <w:pPr>
              <w:rPr>
                <w:rFonts w:ascii="宋体"/>
              </w:rPr>
            </w:pPr>
          </w:p>
        </w:tc>
      </w:tr>
    </w:tbl>
    <w:p w14:paraId="74DE040D" w14:textId="77777777" w:rsidR="00584EC1" w:rsidRDefault="00871F8D">
      <w:pPr>
        <w:spacing w:after="60"/>
        <w:ind w:firstLine="450"/>
        <w:jc w:val="both"/>
      </w:pPr>
      <w:r>
        <w:rPr>
          <w:rFonts w:ascii="Arial" w:eastAsia="宋体" w:hAnsi="Arial" w:cs="Arial"/>
          <w:color w:val="000000"/>
          <w:sz w:val="20"/>
          <w:szCs w:val="20"/>
        </w:rPr>
        <w:t xml:space="preserve">In October 2021, we declared dividends on our series D, F, G and H preferred stock of approximately $1,475, $939, $1,338 and $2,813, respectively, per share, or approximately $0.37, $9.39, $0.33 and $28.13, </w:t>
      </w:r>
      <w:r>
        <w:rPr>
          <w:rFonts w:ascii="Arial" w:eastAsia="宋体" w:hAnsi="Arial" w:cs="Arial"/>
          <w:color w:val="000000"/>
          <w:sz w:val="20"/>
          <w:szCs w:val="20"/>
        </w:rPr>
        <w:t>respectively, per depositary share. These dividends total approximately $11 million, $2 million, $7 million and $14 million on our series D, F, G and H preferred stock, respectively, which will be paid in December 2021.</w:t>
      </w:r>
    </w:p>
    <w:p w14:paraId="74DE040E" w14:textId="77777777" w:rsidR="00584EC1" w:rsidRDefault="00871F8D">
      <w:pPr>
        <w:spacing w:before="60"/>
        <w:jc w:val="both"/>
      </w:pPr>
      <w:r>
        <w:rPr>
          <w:rFonts w:ascii="Arial" w:eastAsia="宋体" w:hAnsi="Arial" w:cs="Arial"/>
          <w:b/>
          <w:bCs/>
          <w:i/>
          <w:iCs/>
          <w:color w:val="000000"/>
          <w:sz w:val="20"/>
          <w:szCs w:val="20"/>
        </w:rPr>
        <w:t>Common Stock</w:t>
      </w:r>
    </w:p>
    <w:p w14:paraId="74DE040F" w14:textId="77777777" w:rsidR="00584EC1" w:rsidRDefault="00871F8D">
      <w:pPr>
        <w:spacing w:before="60"/>
        <w:ind w:firstLine="450"/>
        <w:jc w:val="both"/>
      </w:pPr>
      <w:r>
        <w:rPr>
          <w:rFonts w:ascii="Arial" w:eastAsia="宋体" w:hAnsi="Arial" w:cs="Arial"/>
          <w:color w:val="000000"/>
          <w:sz w:val="20"/>
          <w:szCs w:val="20"/>
        </w:rPr>
        <w:t xml:space="preserve">In September 2021, we </w:t>
      </w:r>
      <w:r>
        <w:rPr>
          <w:rFonts w:ascii="Arial" w:eastAsia="宋体" w:hAnsi="Arial" w:cs="Arial"/>
          <w:color w:val="000000"/>
          <w:sz w:val="20"/>
          <w:szCs w:val="20"/>
        </w:rPr>
        <w:t>completed a public offering of approximately 21.7 million shares of our common stock. The offering price was $87.60 per share and net proceeds totaled approximately $1.9 billion. We expect to use these net proceeds to finance our proposed acquisition of th</w:t>
      </w:r>
      <w:r>
        <w:rPr>
          <w:rFonts w:ascii="Arial" w:eastAsia="宋体" w:hAnsi="Arial" w:cs="Arial"/>
          <w:color w:val="000000"/>
          <w:sz w:val="20"/>
          <w:szCs w:val="20"/>
        </w:rPr>
        <w:t>e BBH Investor Services business.</w:t>
      </w:r>
    </w:p>
    <w:p w14:paraId="74DE0410" w14:textId="77777777" w:rsidR="00584EC1" w:rsidRDefault="00871F8D">
      <w:pPr>
        <w:spacing w:before="60"/>
        <w:ind w:firstLine="450"/>
        <w:jc w:val="both"/>
      </w:pPr>
      <w:r>
        <w:rPr>
          <w:rFonts w:ascii="Arial" w:eastAsia="宋体" w:hAnsi="Arial" w:cs="Arial"/>
          <w:color w:val="000000"/>
          <w:sz w:val="20"/>
          <w:szCs w:val="20"/>
        </w:rPr>
        <w:t>In June 2019, our Board approved a common share repurchase program authorizing the repurchase of up to $2.0 billion of our common stock from July 1, 2019 through June 30, 2020 (the 2019 Program). We repurchased $500 millio</w:t>
      </w:r>
      <w:r>
        <w:rPr>
          <w:rFonts w:ascii="Arial" w:eastAsia="宋体" w:hAnsi="Arial" w:cs="Arial"/>
          <w:color w:val="000000"/>
          <w:sz w:val="20"/>
          <w:szCs w:val="20"/>
        </w:rPr>
        <w:t>n of our common stock in each of the third and fourth quarters of 2019 and the first quarter of 2020 under the 2019 Program.</w:t>
      </w:r>
    </w:p>
    <w:p w14:paraId="74DE0411" w14:textId="77777777" w:rsidR="00584EC1" w:rsidRDefault="00871F8D">
      <w:pPr>
        <w:spacing w:before="60"/>
        <w:ind w:firstLine="450"/>
        <w:jc w:val="both"/>
      </w:pPr>
      <w:r>
        <w:rPr>
          <w:rFonts w:ascii="Arial" w:eastAsia="宋体" w:hAnsi="Arial" w:cs="Arial"/>
          <w:color w:val="000000"/>
          <w:sz w:val="20"/>
          <w:szCs w:val="20"/>
        </w:rPr>
        <w:t xml:space="preserve">On March 16, 2020, we, along with the other U.S. G-SIBs, suspended common share repurchases and maintained this suspension through </w:t>
      </w:r>
      <w:r>
        <w:rPr>
          <w:rFonts w:ascii="Arial" w:eastAsia="宋体" w:hAnsi="Arial" w:cs="Arial"/>
          <w:color w:val="000000"/>
          <w:sz w:val="20"/>
          <w:szCs w:val="20"/>
        </w:rPr>
        <w:t>the fourth quarter of 2020 in response to the COVID-19 pandemic. This suspension was consistent with limitations imposed by the Federal Reserve beginning in the second quarter of 2020. As a result, we had no repurchases of our common stock in the second, t</w:t>
      </w:r>
      <w:r>
        <w:rPr>
          <w:rFonts w:ascii="Arial" w:eastAsia="宋体" w:hAnsi="Arial" w:cs="Arial"/>
          <w:color w:val="000000"/>
          <w:sz w:val="20"/>
          <w:szCs w:val="20"/>
        </w:rPr>
        <w:t>hird or fourth quarters of 2020.</w:t>
      </w:r>
    </w:p>
    <w:p w14:paraId="74DE0412" w14:textId="77777777" w:rsidR="00584EC1" w:rsidRDefault="00871F8D">
      <w:pPr>
        <w:spacing w:before="60"/>
        <w:ind w:firstLine="450"/>
        <w:jc w:val="both"/>
      </w:pPr>
      <w:r>
        <w:rPr>
          <w:rFonts w:ascii="Arial" w:eastAsia="宋体" w:hAnsi="Arial" w:cs="Arial"/>
          <w:color w:val="000000"/>
          <w:sz w:val="20"/>
          <w:szCs w:val="20"/>
        </w:rPr>
        <w:t>In December 2020, the Federal Reserve issued results of 2020 resubmission stress tests and authorized us to continue to pay common stock dividends at current levels and to resume repurchasing common shares in the first quar</w:t>
      </w:r>
      <w:r>
        <w:rPr>
          <w:rFonts w:ascii="Arial" w:eastAsia="宋体" w:hAnsi="Arial" w:cs="Arial"/>
          <w:color w:val="000000"/>
          <w:sz w:val="20"/>
          <w:szCs w:val="20"/>
        </w:rPr>
        <w:t>ter of 2021. In January 2021, our Board authorized a share repurchase program for the repurchase of up to $475 million of our common stock through March 31, 2021. In April 2021, our Board authorized a share repurchase program for the repurchase of up to $4</w:t>
      </w:r>
      <w:r>
        <w:rPr>
          <w:rFonts w:ascii="Arial" w:eastAsia="宋体" w:hAnsi="Arial" w:cs="Arial"/>
          <w:color w:val="000000"/>
          <w:sz w:val="20"/>
          <w:szCs w:val="20"/>
        </w:rPr>
        <w:t>25 million of our common stock through June 30, 2021, consistent with the limit set by the Federal Reserve. In July 2021, our Board authorized a share repurchase program for the repurchase of up to $3.0 billion of our common stock through the end of 2022.</w:t>
      </w:r>
    </w:p>
    <w:p w14:paraId="74DE0413" w14:textId="77777777" w:rsidR="00584EC1" w:rsidRDefault="00871F8D">
      <w:pPr>
        <w:ind w:firstLine="450"/>
        <w:jc w:val="right"/>
      </w:pPr>
      <w:r>
        <w:rPr>
          <w:rFonts w:ascii="Arial" w:eastAsia="宋体" w:hAnsi="Arial" w:cs="Arial"/>
          <w:color w:val="000000"/>
          <w:sz w:val="18"/>
          <w:szCs w:val="18"/>
        </w:rPr>
        <w:t>State Street Corporation | 87</w:t>
      </w:r>
    </w:p>
    <w:p w14:paraId="74DE0414" w14:textId="77777777" w:rsidR="00584EC1" w:rsidRDefault="00584EC1">
      <w:pPr>
        <w:ind w:firstLine="450"/>
        <w:jc w:val="center"/>
      </w:pPr>
    </w:p>
    <w:p w14:paraId="74DE0415" w14:textId="77777777" w:rsidR="00584EC1" w:rsidRDefault="00871F8D">
      <w:r>
        <w:pict w14:anchorId="74DE2A45">
          <v:rect id="_x0000_i1111" style="width:415.3pt;height:1.5pt" o:hralign="center" o:hrstd="t" o:hr="t" fillcolor="#a0a0a0" stroked="f"/>
        </w:pict>
      </w:r>
    </w:p>
    <w:p w14:paraId="74DE0416" w14:textId="77777777" w:rsidR="00584EC1" w:rsidRDefault="00871F8D">
      <w:pPr>
        <w:ind w:firstLine="450"/>
        <w:jc w:val="center"/>
      </w:pPr>
      <w:r>
        <w:rPr>
          <w:rFonts w:ascii="Arial" w:eastAsia="宋体" w:hAnsi="Arial" w:cs="Arial"/>
          <w:b/>
          <w:bCs/>
          <w:color w:val="000000"/>
          <w:sz w:val="20"/>
          <w:szCs w:val="20"/>
        </w:rPr>
        <w:t>STATE STREET CORPORATION</w:t>
      </w:r>
    </w:p>
    <w:p w14:paraId="74DE0417" w14:textId="77777777" w:rsidR="00584EC1" w:rsidRDefault="00871F8D">
      <w:pPr>
        <w:ind w:firstLine="450"/>
        <w:jc w:val="center"/>
      </w:pPr>
      <w:r>
        <w:rPr>
          <w:rFonts w:ascii="Arial" w:eastAsia="宋体" w:hAnsi="Arial" w:cs="Arial"/>
          <w:b/>
          <w:bCs/>
          <w:color w:val="000000"/>
          <w:sz w:val="20"/>
          <w:szCs w:val="20"/>
        </w:rPr>
        <w:t>CONDENSED NOTES TO CONSOLIDATED FINANCIAL STATEMENTS</w:t>
      </w:r>
    </w:p>
    <w:p w14:paraId="74DE0418" w14:textId="77777777" w:rsidR="00584EC1" w:rsidRDefault="00871F8D">
      <w:pPr>
        <w:ind w:firstLine="450"/>
        <w:jc w:val="center"/>
      </w:pPr>
      <w:r>
        <w:rPr>
          <w:rFonts w:ascii="Arial" w:eastAsia="宋体" w:hAnsi="Arial" w:cs="Arial"/>
          <w:b/>
          <w:bCs/>
          <w:color w:val="000000"/>
          <w:sz w:val="20"/>
          <w:szCs w:val="20"/>
        </w:rPr>
        <w:t>(UNAUDITED)</w:t>
      </w:r>
    </w:p>
    <w:p w14:paraId="74DE0419" w14:textId="77777777" w:rsidR="00584EC1" w:rsidRDefault="00871F8D">
      <w:pPr>
        <w:spacing w:before="60"/>
        <w:ind w:firstLine="360"/>
        <w:jc w:val="both"/>
      </w:pPr>
      <w:r>
        <w:rPr>
          <w:rFonts w:ascii="Arial" w:eastAsia="宋体" w:hAnsi="Arial" w:cs="Arial"/>
          <w:color w:val="000000"/>
          <w:sz w:val="20"/>
          <w:szCs w:val="20"/>
        </w:rPr>
        <w:t>In connection with our proposed acquisition of the BBH Investor Services business, we did not purchase any common stock during the th</w:t>
      </w:r>
      <w:r>
        <w:rPr>
          <w:rFonts w:ascii="Arial" w:eastAsia="宋体" w:hAnsi="Arial" w:cs="Arial"/>
          <w:color w:val="000000"/>
          <w:sz w:val="20"/>
          <w:szCs w:val="20"/>
        </w:rPr>
        <w:t>ird quarter of 2021 under the common share repurchase plan approved by our Board in July 2021, and we do not intend to repurchase any common stock during the fourth quarter of 2021 and the first quarter of 2022. We intend to resume our common share repurch</w:t>
      </w:r>
      <w:r>
        <w:rPr>
          <w:rFonts w:ascii="Arial" w:eastAsia="宋体" w:hAnsi="Arial" w:cs="Arial"/>
          <w:color w:val="000000"/>
          <w:sz w:val="20"/>
          <w:szCs w:val="20"/>
        </w:rPr>
        <w:t>ases during the second quarter of 2022.</w:t>
      </w:r>
    </w:p>
    <w:p w14:paraId="74DE041A" w14:textId="77777777" w:rsidR="00584EC1" w:rsidRDefault="00871F8D">
      <w:pPr>
        <w:spacing w:before="60"/>
        <w:ind w:firstLine="360"/>
        <w:jc w:val="both"/>
      </w:pPr>
      <w:r>
        <w:rPr>
          <w:rFonts w:ascii="Arial" w:eastAsia="宋体" w:hAnsi="Arial" w:cs="Arial"/>
          <w:color w:val="000000"/>
          <w:sz w:val="20"/>
          <w:szCs w:val="20"/>
        </w:rPr>
        <w:t>The tables below present the activity under our common share repurchase program for the periods indicated:</w:t>
      </w:r>
    </w:p>
    <w:tbl>
      <w:tblPr>
        <w:tblW w:w="4993" w:type="pct"/>
        <w:tblCellMar>
          <w:top w:w="15" w:type="dxa"/>
          <w:left w:w="15" w:type="dxa"/>
          <w:bottom w:w="15" w:type="dxa"/>
          <w:right w:w="15" w:type="dxa"/>
        </w:tblCellMar>
        <w:tblLook w:val="04A0" w:firstRow="1" w:lastRow="0" w:firstColumn="1" w:lastColumn="0" w:noHBand="0" w:noVBand="1"/>
      </w:tblPr>
      <w:tblGrid>
        <w:gridCol w:w="36"/>
        <w:gridCol w:w="791"/>
        <w:gridCol w:w="36"/>
        <w:gridCol w:w="36"/>
        <w:gridCol w:w="36"/>
        <w:gridCol w:w="164"/>
        <w:gridCol w:w="164"/>
        <w:gridCol w:w="164"/>
        <w:gridCol w:w="164"/>
        <w:gridCol w:w="45"/>
        <w:gridCol w:w="949"/>
        <w:gridCol w:w="36"/>
        <w:gridCol w:w="36"/>
        <w:gridCol w:w="36"/>
        <w:gridCol w:w="36"/>
        <w:gridCol w:w="99"/>
        <w:gridCol w:w="974"/>
        <w:gridCol w:w="37"/>
        <w:gridCol w:w="36"/>
        <w:gridCol w:w="36"/>
        <w:gridCol w:w="36"/>
        <w:gridCol w:w="99"/>
        <w:gridCol w:w="945"/>
        <w:gridCol w:w="37"/>
        <w:gridCol w:w="36"/>
        <w:gridCol w:w="36"/>
        <w:gridCol w:w="36"/>
        <w:gridCol w:w="49"/>
        <w:gridCol w:w="847"/>
        <w:gridCol w:w="36"/>
        <w:gridCol w:w="36"/>
        <w:gridCol w:w="36"/>
        <w:gridCol w:w="36"/>
        <w:gridCol w:w="99"/>
        <w:gridCol w:w="974"/>
        <w:gridCol w:w="36"/>
        <w:gridCol w:w="36"/>
        <w:gridCol w:w="36"/>
        <w:gridCol w:w="36"/>
        <w:gridCol w:w="99"/>
        <w:gridCol w:w="796"/>
        <w:gridCol w:w="36"/>
      </w:tblGrid>
      <w:tr w:rsidR="00584EC1" w14:paraId="74DE0445" w14:textId="77777777">
        <w:tc>
          <w:tcPr>
            <w:tcW w:w="50" w:type="pct"/>
            <w:shd w:val="clear" w:color="auto" w:fill="auto"/>
            <w:vAlign w:val="bottom"/>
          </w:tcPr>
          <w:p w14:paraId="74DE041B" w14:textId="77777777" w:rsidR="00584EC1" w:rsidRDefault="00584EC1">
            <w:pPr>
              <w:rPr>
                <w:rFonts w:ascii="宋体"/>
              </w:rPr>
            </w:pPr>
          </w:p>
        </w:tc>
        <w:tc>
          <w:tcPr>
            <w:tcW w:w="567" w:type="pct"/>
            <w:shd w:val="clear" w:color="auto" w:fill="auto"/>
            <w:vAlign w:val="bottom"/>
          </w:tcPr>
          <w:p w14:paraId="74DE041C" w14:textId="77777777" w:rsidR="00584EC1" w:rsidRDefault="00584EC1">
            <w:pPr>
              <w:rPr>
                <w:rFonts w:ascii="宋体"/>
              </w:rPr>
            </w:pPr>
          </w:p>
        </w:tc>
        <w:tc>
          <w:tcPr>
            <w:tcW w:w="5" w:type="pct"/>
            <w:shd w:val="clear" w:color="auto" w:fill="auto"/>
            <w:vAlign w:val="bottom"/>
          </w:tcPr>
          <w:p w14:paraId="74DE041D" w14:textId="77777777" w:rsidR="00584EC1" w:rsidRDefault="00584EC1">
            <w:pPr>
              <w:rPr>
                <w:rFonts w:ascii="宋体"/>
              </w:rPr>
            </w:pPr>
          </w:p>
        </w:tc>
        <w:tc>
          <w:tcPr>
            <w:tcW w:w="0" w:type="auto"/>
            <w:shd w:val="clear" w:color="auto" w:fill="auto"/>
            <w:vAlign w:val="bottom"/>
          </w:tcPr>
          <w:p w14:paraId="74DE041E" w14:textId="77777777" w:rsidR="00584EC1" w:rsidRDefault="00584EC1">
            <w:pPr>
              <w:rPr>
                <w:rFonts w:ascii="宋体"/>
                <w:vanish/>
              </w:rPr>
            </w:pPr>
          </w:p>
        </w:tc>
        <w:tc>
          <w:tcPr>
            <w:tcW w:w="0" w:type="auto"/>
            <w:shd w:val="clear" w:color="auto" w:fill="auto"/>
            <w:vAlign w:val="bottom"/>
          </w:tcPr>
          <w:p w14:paraId="74DE041F" w14:textId="77777777" w:rsidR="00584EC1" w:rsidRDefault="00584EC1">
            <w:pPr>
              <w:rPr>
                <w:rFonts w:ascii="宋体"/>
                <w:vanish/>
              </w:rPr>
            </w:pPr>
          </w:p>
        </w:tc>
        <w:tc>
          <w:tcPr>
            <w:tcW w:w="0" w:type="auto"/>
            <w:shd w:val="clear" w:color="auto" w:fill="auto"/>
            <w:vAlign w:val="bottom"/>
          </w:tcPr>
          <w:p w14:paraId="74DE0420" w14:textId="77777777" w:rsidR="00584EC1" w:rsidRDefault="00584EC1">
            <w:pPr>
              <w:rPr>
                <w:rFonts w:ascii="宋体"/>
                <w:vanish/>
              </w:rPr>
            </w:pPr>
          </w:p>
        </w:tc>
        <w:tc>
          <w:tcPr>
            <w:tcW w:w="0" w:type="auto"/>
            <w:shd w:val="clear" w:color="auto" w:fill="auto"/>
            <w:vAlign w:val="bottom"/>
          </w:tcPr>
          <w:p w14:paraId="74DE0421" w14:textId="77777777" w:rsidR="00584EC1" w:rsidRDefault="00584EC1">
            <w:pPr>
              <w:rPr>
                <w:rFonts w:ascii="宋体"/>
                <w:vanish/>
              </w:rPr>
            </w:pPr>
          </w:p>
        </w:tc>
        <w:tc>
          <w:tcPr>
            <w:tcW w:w="0" w:type="auto"/>
            <w:shd w:val="clear" w:color="auto" w:fill="auto"/>
            <w:vAlign w:val="bottom"/>
          </w:tcPr>
          <w:p w14:paraId="74DE0422" w14:textId="77777777" w:rsidR="00584EC1" w:rsidRDefault="00584EC1">
            <w:pPr>
              <w:rPr>
                <w:rFonts w:ascii="宋体"/>
                <w:vanish/>
              </w:rPr>
            </w:pPr>
          </w:p>
        </w:tc>
        <w:tc>
          <w:tcPr>
            <w:tcW w:w="0" w:type="auto"/>
            <w:shd w:val="clear" w:color="auto" w:fill="auto"/>
            <w:vAlign w:val="bottom"/>
          </w:tcPr>
          <w:p w14:paraId="74DE0423" w14:textId="77777777" w:rsidR="00584EC1" w:rsidRDefault="00584EC1">
            <w:pPr>
              <w:rPr>
                <w:rFonts w:ascii="宋体"/>
                <w:vanish/>
              </w:rPr>
            </w:pPr>
          </w:p>
        </w:tc>
        <w:tc>
          <w:tcPr>
            <w:tcW w:w="50" w:type="pct"/>
            <w:shd w:val="clear" w:color="auto" w:fill="auto"/>
            <w:vAlign w:val="bottom"/>
          </w:tcPr>
          <w:p w14:paraId="74DE0424" w14:textId="77777777" w:rsidR="00584EC1" w:rsidRDefault="00584EC1">
            <w:pPr>
              <w:rPr>
                <w:rFonts w:ascii="宋体"/>
              </w:rPr>
            </w:pPr>
          </w:p>
        </w:tc>
        <w:tc>
          <w:tcPr>
            <w:tcW w:w="677" w:type="pct"/>
            <w:shd w:val="clear" w:color="auto" w:fill="auto"/>
            <w:vAlign w:val="bottom"/>
          </w:tcPr>
          <w:p w14:paraId="74DE0425" w14:textId="77777777" w:rsidR="00584EC1" w:rsidRDefault="00584EC1">
            <w:pPr>
              <w:rPr>
                <w:rFonts w:ascii="宋体"/>
              </w:rPr>
            </w:pPr>
          </w:p>
        </w:tc>
        <w:tc>
          <w:tcPr>
            <w:tcW w:w="5" w:type="pct"/>
            <w:shd w:val="clear" w:color="auto" w:fill="auto"/>
            <w:vAlign w:val="bottom"/>
          </w:tcPr>
          <w:p w14:paraId="74DE0426" w14:textId="77777777" w:rsidR="00584EC1" w:rsidRDefault="00584EC1">
            <w:pPr>
              <w:rPr>
                <w:rFonts w:ascii="宋体"/>
              </w:rPr>
            </w:pPr>
          </w:p>
        </w:tc>
        <w:tc>
          <w:tcPr>
            <w:tcW w:w="5" w:type="pct"/>
            <w:shd w:val="clear" w:color="auto" w:fill="auto"/>
            <w:vAlign w:val="bottom"/>
          </w:tcPr>
          <w:p w14:paraId="74DE0427" w14:textId="77777777" w:rsidR="00584EC1" w:rsidRDefault="00584EC1">
            <w:pPr>
              <w:rPr>
                <w:rFonts w:ascii="宋体"/>
              </w:rPr>
            </w:pPr>
          </w:p>
        </w:tc>
        <w:tc>
          <w:tcPr>
            <w:tcW w:w="19" w:type="pct"/>
            <w:shd w:val="clear" w:color="auto" w:fill="auto"/>
            <w:vAlign w:val="bottom"/>
          </w:tcPr>
          <w:p w14:paraId="74DE0428" w14:textId="77777777" w:rsidR="00584EC1" w:rsidRDefault="00584EC1">
            <w:pPr>
              <w:rPr>
                <w:rFonts w:ascii="宋体"/>
              </w:rPr>
            </w:pPr>
          </w:p>
        </w:tc>
        <w:tc>
          <w:tcPr>
            <w:tcW w:w="5" w:type="pct"/>
            <w:shd w:val="clear" w:color="auto" w:fill="auto"/>
            <w:vAlign w:val="bottom"/>
          </w:tcPr>
          <w:p w14:paraId="74DE0429" w14:textId="77777777" w:rsidR="00584EC1" w:rsidRDefault="00584EC1">
            <w:pPr>
              <w:rPr>
                <w:rFonts w:ascii="宋体"/>
              </w:rPr>
            </w:pPr>
          </w:p>
        </w:tc>
        <w:tc>
          <w:tcPr>
            <w:tcW w:w="50" w:type="pct"/>
            <w:shd w:val="clear" w:color="auto" w:fill="auto"/>
            <w:vAlign w:val="bottom"/>
          </w:tcPr>
          <w:p w14:paraId="74DE042A" w14:textId="77777777" w:rsidR="00584EC1" w:rsidRDefault="00584EC1">
            <w:pPr>
              <w:rPr>
                <w:rFonts w:ascii="宋体"/>
              </w:rPr>
            </w:pPr>
          </w:p>
        </w:tc>
        <w:tc>
          <w:tcPr>
            <w:tcW w:w="677" w:type="pct"/>
            <w:shd w:val="clear" w:color="auto" w:fill="auto"/>
            <w:vAlign w:val="bottom"/>
          </w:tcPr>
          <w:p w14:paraId="74DE042B" w14:textId="77777777" w:rsidR="00584EC1" w:rsidRDefault="00584EC1">
            <w:pPr>
              <w:rPr>
                <w:rFonts w:ascii="宋体"/>
              </w:rPr>
            </w:pPr>
          </w:p>
        </w:tc>
        <w:tc>
          <w:tcPr>
            <w:tcW w:w="5" w:type="pct"/>
            <w:shd w:val="clear" w:color="auto" w:fill="auto"/>
            <w:vAlign w:val="bottom"/>
          </w:tcPr>
          <w:p w14:paraId="74DE042C" w14:textId="77777777" w:rsidR="00584EC1" w:rsidRDefault="00584EC1">
            <w:pPr>
              <w:rPr>
                <w:rFonts w:ascii="宋体"/>
              </w:rPr>
            </w:pPr>
          </w:p>
        </w:tc>
        <w:tc>
          <w:tcPr>
            <w:tcW w:w="5" w:type="pct"/>
            <w:shd w:val="clear" w:color="auto" w:fill="auto"/>
            <w:vAlign w:val="bottom"/>
          </w:tcPr>
          <w:p w14:paraId="74DE042D" w14:textId="77777777" w:rsidR="00584EC1" w:rsidRDefault="00584EC1">
            <w:pPr>
              <w:rPr>
                <w:rFonts w:ascii="宋体"/>
              </w:rPr>
            </w:pPr>
          </w:p>
        </w:tc>
        <w:tc>
          <w:tcPr>
            <w:tcW w:w="41" w:type="pct"/>
            <w:shd w:val="clear" w:color="auto" w:fill="auto"/>
            <w:vAlign w:val="bottom"/>
          </w:tcPr>
          <w:p w14:paraId="74DE042E" w14:textId="77777777" w:rsidR="00584EC1" w:rsidRDefault="00584EC1">
            <w:pPr>
              <w:rPr>
                <w:rFonts w:ascii="宋体"/>
              </w:rPr>
            </w:pPr>
          </w:p>
        </w:tc>
        <w:tc>
          <w:tcPr>
            <w:tcW w:w="5" w:type="pct"/>
            <w:shd w:val="clear" w:color="auto" w:fill="auto"/>
            <w:vAlign w:val="bottom"/>
          </w:tcPr>
          <w:p w14:paraId="74DE042F" w14:textId="77777777" w:rsidR="00584EC1" w:rsidRDefault="00584EC1">
            <w:pPr>
              <w:rPr>
                <w:rFonts w:ascii="宋体"/>
              </w:rPr>
            </w:pPr>
          </w:p>
        </w:tc>
        <w:tc>
          <w:tcPr>
            <w:tcW w:w="50" w:type="pct"/>
            <w:shd w:val="clear" w:color="auto" w:fill="auto"/>
            <w:vAlign w:val="bottom"/>
          </w:tcPr>
          <w:p w14:paraId="74DE0430" w14:textId="77777777" w:rsidR="00584EC1" w:rsidRDefault="00584EC1">
            <w:pPr>
              <w:rPr>
                <w:rFonts w:ascii="宋体"/>
              </w:rPr>
            </w:pPr>
          </w:p>
        </w:tc>
        <w:tc>
          <w:tcPr>
            <w:tcW w:w="677" w:type="pct"/>
            <w:shd w:val="clear" w:color="auto" w:fill="auto"/>
            <w:vAlign w:val="bottom"/>
          </w:tcPr>
          <w:p w14:paraId="74DE0431" w14:textId="77777777" w:rsidR="00584EC1" w:rsidRDefault="00584EC1">
            <w:pPr>
              <w:rPr>
                <w:rFonts w:ascii="宋体"/>
              </w:rPr>
            </w:pPr>
          </w:p>
        </w:tc>
        <w:tc>
          <w:tcPr>
            <w:tcW w:w="5" w:type="pct"/>
            <w:shd w:val="clear" w:color="auto" w:fill="auto"/>
            <w:vAlign w:val="bottom"/>
          </w:tcPr>
          <w:p w14:paraId="74DE0432" w14:textId="77777777" w:rsidR="00584EC1" w:rsidRDefault="00584EC1">
            <w:pPr>
              <w:rPr>
                <w:rFonts w:ascii="宋体"/>
              </w:rPr>
            </w:pPr>
          </w:p>
        </w:tc>
        <w:tc>
          <w:tcPr>
            <w:tcW w:w="5" w:type="pct"/>
            <w:shd w:val="clear" w:color="auto" w:fill="auto"/>
            <w:vAlign w:val="bottom"/>
          </w:tcPr>
          <w:p w14:paraId="74DE0433" w14:textId="77777777" w:rsidR="00584EC1" w:rsidRDefault="00584EC1">
            <w:pPr>
              <w:rPr>
                <w:rFonts w:ascii="宋体"/>
              </w:rPr>
            </w:pPr>
          </w:p>
        </w:tc>
        <w:tc>
          <w:tcPr>
            <w:tcW w:w="19" w:type="pct"/>
            <w:shd w:val="clear" w:color="auto" w:fill="auto"/>
            <w:vAlign w:val="bottom"/>
          </w:tcPr>
          <w:p w14:paraId="74DE0434" w14:textId="77777777" w:rsidR="00584EC1" w:rsidRDefault="00584EC1">
            <w:pPr>
              <w:rPr>
                <w:rFonts w:ascii="宋体"/>
              </w:rPr>
            </w:pPr>
          </w:p>
        </w:tc>
        <w:tc>
          <w:tcPr>
            <w:tcW w:w="5" w:type="pct"/>
            <w:shd w:val="clear" w:color="auto" w:fill="auto"/>
            <w:vAlign w:val="bottom"/>
          </w:tcPr>
          <w:p w14:paraId="74DE0435" w14:textId="77777777" w:rsidR="00584EC1" w:rsidRDefault="00584EC1">
            <w:pPr>
              <w:rPr>
                <w:rFonts w:ascii="宋体"/>
              </w:rPr>
            </w:pPr>
          </w:p>
        </w:tc>
        <w:tc>
          <w:tcPr>
            <w:tcW w:w="50" w:type="pct"/>
            <w:shd w:val="clear" w:color="auto" w:fill="auto"/>
            <w:vAlign w:val="bottom"/>
          </w:tcPr>
          <w:p w14:paraId="74DE0436" w14:textId="77777777" w:rsidR="00584EC1" w:rsidRDefault="00584EC1">
            <w:pPr>
              <w:rPr>
                <w:rFonts w:ascii="宋体"/>
              </w:rPr>
            </w:pPr>
          </w:p>
        </w:tc>
        <w:tc>
          <w:tcPr>
            <w:tcW w:w="611" w:type="pct"/>
            <w:shd w:val="clear" w:color="auto" w:fill="auto"/>
            <w:vAlign w:val="bottom"/>
          </w:tcPr>
          <w:p w14:paraId="74DE0437" w14:textId="77777777" w:rsidR="00584EC1" w:rsidRDefault="00584EC1">
            <w:pPr>
              <w:rPr>
                <w:rFonts w:ascii="宋体"/>
              </w:rPr>
            </w:pPr>
          </w:p>
        </w:tc>
        <w:tc>
          <w:tcPr>
            <w:tcW w:w="5" w:type="pct"/>
            <w:shd w:val="clear" w:color="auto" w:fill="auto"/>
            <w:vAlign w:val="bottom"/>
          </w:tcPr>
          <w:p w14:paraId="74DE0438" w14:textId="77777777" w:rsidR="00584EC1" w:rsidRDefault="00584EC1">
            <w:pPr>
              <w:rPr>
                <w:rFonts w:ascii="宋体"/>
              </w:rPr>
            </w:pPr>
          </w:p>
        </w:tc>
        <w:tc>
          <w:tcPr>
            <w:tcW w:w="5" w:type="pct"/>
            <w:shd w:val="clear" w:color="auto" w:fill="auto"/>
            <w:vAlign w:val="bottom"/>
          </w:tcPr>
          <w:p w14:paraId="74DE0439" w14:textId="77777777" w:rsidR="00584EC1" w:rsidRDefault="00584EC1">
            <w:pPr>
              <w:rPr>
                <w:rFonts w:ascii="宋体"/>
              </w:rPr>
            </w:pPr>
          </w:p>
        </w:tc>
        <w:tc>
          <w:tcPr>
            <w:tcW w:w="19" w:type="pct"/>
            <w:shd w:val="clear" w:color="auto" w:fill="auto"/>
            <w:vAlign w:val="bottom"/>
          </w:tcPr>
          <w:p w14:paraId="74DE043A" w14:textId="77777777" w:rsidR="00584EC1" w:rsidRDefault="00584EC1">
            <w:pPr>
              <w:rPr>
                <w:rFonts w:ascii="宋体"/>
              </w:rPr>
            </w:pPr>
          </w:p>
        </w:tc>
        <w:tc>
          <w:tcPr>
            <w:tcW w:w="5" w:type="pct"/>
            <w:shd w:val="clear" w:color="auto" w:fill="auto"/>
            <w:vAlign w:val="bottom"/>
          </w:tcPr>
          <w:p w14:paraId="74DE043B" w14:textId="77777777" w:rsidR="00584EC1" w:rsidRDefault="00584EC1">
            <w:pPr>
              <w:rPr>
                <w:rFonts w:ascii="宋体"/>
              </w:rPr>
            </w:pPr>
          </w:p>
        </w:tc>
        <w:tc>
          <w:tcPr>
            <w:tcW w:w="50" w:type="pct"/>
            <w:shd w:val="clear" w:color="auto" w:fill="auto"/>
            <w:vAlign w:val="bottom"/>
          </w:tcPr>
          <w:p w14:paraId="74DE043C" w14:textId="77777777" w:rsidR="00584EC1" w:rsidRDefault="00584EC1">
            <w:pPr>
              <w:rPr>
                <w:rFonts w:ascii="宋体"/>
              </w:rPr>
            </w:pPr>
          </w:p>
        </w:tc>
        <w:tc>
          <w:tcPr>
            <w:tcW w:w="677" w:type="pct"/>
            <w:shd w:val="clear" w:color="auto" w:fill="auto"/>
            <w:vAlign w:val="bottom"/>
          </w:tcPr>
          <w:p w14:paraId="74DE043D" w14:textId="77777777" w:rsidR="00584EC1" w:rsidRDefault="00584EC1">
            <w:pPr>
              <w:rPr>
                <w:rFonts w:ascii="宋体"/>
              </w:rPr>
            </w:pPr>
          </w:p>
        </w:tc>
        <w:tc>
          <w:tcPr>
            <w:tcW w:w="5" w:type="pct"/>
            <w:shd w:val="clear" w:color="auto" w:fill="auto"/>
            <w:vAlign w:val="bottom"/>
          </w:tcPr>
          <w:p w14:paraId="74DE043E" w14:textId="77777777" w:rsidR="00584EC1" w:rsidRDefault="00584EC1">
            <w:pPr>
              <w:rPr>
                <w:rFonts w:ascii="宋体"/>
              </w:rPr>
            </w:pPr>
          </w:p>
        </w:tc>
        <w:tc>
          <w:tcPr>
            <w:tcW w:w="5" w:type="pct"/>
            <w:shd w:val="clear" w:color="auto" w:fill="auto"/>
            <w:vAlign w:val="bottom"/>
          </w:tcPr>
          <w:p w14:paraId="74DE043F" w14:textId="77777777" w:rsidR="00584EC1" w:rsidRDefault="00584EC1">
            <w:pPr>
              <w:rPr>
                <w:rFonts w:ascii="宋体"/>
              </w:rPr>
            </w:pPr>
          </w:p>
        </w:tc>
        <w:tc>
          <w:tcPr>
            <w:tcW w:w="19" w:type="pct"/>
            <w:shd w:val="clear" w:color="auto" w:fill="auto"/>
            <w:vAlign w:val="bottom"/>
          </w:tcPr>
          <w:p w14:paraId="74DE0440" w14:textId="77777777" w:rsidR="00584EC1" w:rsidRDefault="00584EC1">
            <w:pPr>
              <w:rPr>
                <w:rFonts w:ascii="宋体"/>
              </w:rPr>
            </w:pPr>
          </w:p>
        </w:tc>
        <w:tc>
          <w:tcPr>
            <w:tcW w:w="5" w:type="pct"/>
            <w:shd w:val="clear" w:color="auto" w:fill="auto"/>
            <w:vAlign w:val="bottom"/>
          </w:tcPr>
          <w:p w14:paraId="74DE0441" w14:textId="77777777" w:rsidR="00584EC1" w:rsidRDefault="00584EC1">
            <w:pPr>
              <w:rPr>
                <w:rFonts w:ascii="宋体"/>
              </w:rPr>
            </w:pPr>
          </w:p>
        </w:tc>
        <w:tc>
          <w:tcPr>
            <w:tcW w:w="50" w:type="pct"/>
            <w:shd w:val="clear" w:color="auto" w:fill="auto"/>
            <w:vAlign w:val="bottom"/>
          </w:tcPr>
          <w:p w14:paraId="74DE0442" w14:textId="77777777" w:rsidR="00584EC1" w:rsidRDefault="00584EC1">
            <w:pPr>
              <w:rPr>
                <w:rFonts w:ascii="宋体"/>
              </w:rPr>
            </w:pPr>
          </w:p>
        </w:tc>
        <w:tc>
          <w:tcPr>
            <w:tcW w:w="560" w:type="pct"/>
            <w:shd w:val="clear" w:color="auto" w:fill="auto"/>
            <w:vAlign w:val="bottom"/>
          </w:tcPr>
          <w:p w14:paraId="74DE0443" w14:textId="77777777" w:rsidR="00584EC1" w:rsidRDefault="00584EC1">
            <w:pPr>
              <w:rPr>
                <w:rFonts w:ascii="宋体"/>
              </w:rPr>
            </w:pPr>
          </w:p>
        </w:tc>
        <w:tc>
          <w:tcPr>
            <w:tcW w:w="5" w:type="pct"/>
            <w:shd w:val="clear" w:color="auto" w:fill="auto"/>
            <w:vAlign w:val="bottom"/>
          </w:tcPr>
          <w:p w14:paraId="74DE0444" w14:textId="77777777" w:rsidR="00584EC1" w:rsidRDefault="00584EC1">
            <w:pPr>
              <w:rPr>
                <w:rFonts w:ascii="宋体"/>
              </w:rPr>
            </w:pPr>
          </w:p>
        </w:tc>
      </w:tr>
      <w:tr w:rsidR="00584EC1" w14:paraId="74DE0458" w14:textId="77777777">
        <w:tc>
          <w:tcPr>
            <w:tcW w:w="0" w:type="auto"/>
            <w:gridSpan w:val="3"/>
            <w:shd w:val="clear" w:color="auto" w:fill="auto"/>
            <w:tcMar>
              <w:top w:w="0" w:type="dxa"/>
              <w:left w:w="20" w:type="dxa"/>
              <w:bottom w:w="0" w:type="dxa"/>
              <w:right w:w="20" w:type="dxa"/>
            </w:tcMar>
            <w:vAlign w:val="bottom"/>
          </w:tcPr>
          <w:p w14:paraId="74DE0446" w14:textId="77777777" w:rsidR="00584EC1" w:rsidRDefault="00584EC1">
            <w:pPr>
              <w:rPr>
                <w:rFonts w:ascii="宋体"/>
              </w:rPr>
            </w:pPr>
          </w:p>
        </w:tc>
        <w:tc>
          <w:tcPr>
            <w:tcW w:w="0" w:type="auto"/>
            <w:shd w:val="clear" w:color="auto" w:fill="auto"/>
            <w:vAlign w:val="bottom"/>
          </w:tcPr>
          <w:p w14:paraId="74DE0447" w14:textId="77777777" w:rsidR="00584EC1" w:rsidRDefault="00584EC1">
            <w:pPr>
              <w:rPr>
                <w:rFonts w:ascii="宋体"/>
                <w:vanish/>
              </w:rPr>
            </w:pPr>
          </w:p>
        </w:tc>
        <w:tc>
          <w:tcPr>
            <w:tcW w:w="0" w:type="auto"/>
            <w:shd w:val="clear" w:color="auto" w:fill="auto"/>
            <w:vAlign w:val="bottom"/>
          </w:tcPr>
          <w:p w14:paraId="74DE0448" w14:textId="77777777" w:rsidR="00584EC1" w:rsidRDefault="00584EC1">
            <w:pPr>
              <w:rPr>
                <w:rFonts w:ascii="宋体"/>
                <w:vanish/>
              </w:rPr>
            </w:pPr>
          </w:p>
        </w:tc>
        <w:tc>
          <w:tcPr>
            <w:tcW w:w="0" w:type="auto"/>
            <w:gridSpan w:val="7"/>
            <w:shd w:val="clear" w:color="auto" w:fill="auto"/>
            <w:tcMar>
              <w:top w:w="40" w:type="dxa"/>
              <w:left w:w="20" w:type="dxa"/>
              <w:bottom w:w="40" w:type="dxa"/>
              <w:right w:w="20" w:type="dxa"/>
            </w:tcMar>
            <w:vAlign w:val="bottom"/>
          </w:tcPr>
          <w:p w14:paraId="74DE0449" w14:textId="77777777" w:rsidR="00584EC1" w:rsidRDefault="00871F8D">
            <w:pPr>
              <w:jc w:val="center"/>
              <w:textAlignment w:val="bottom"/>
            </w:pPr>
            <w:r>
              <w:rPr>
                <w:rFonts w:ascii="Arial" w:eastAsia="宋体" w:hAnsi="Arial" w:cs="Arial"/>
                <w:b/>
                <w:bCs/>
                <w:color w:val="000000"/>
                <w:sz w:val="14"/>
                <w:szCs w:val="14"/>
              </w:rPr>
              <w:t>Three Months Ended September 30, 2021</w:t>
            </w:r>
          </w:p>
        </w:tc>
        <w:tc>
          <w:tcPr>
            <w:tcW w:w="0" w:type="auto"/>
            <w:gridSpan w:val="3"/>
            <w:shd w:val="clear" w:color="auto" w:fill="auto"/>
            <w:tcMar>
              <w:top w:w="0" w:type="dxa"/>
              <w:left w:w="20" w:type="dxa"/>
              <w:bottom w:w="0" w:type="dxa"/>
              <w:right w:w="20" w:type="dxa"/>
            </w:tcMar>
            <w:vAlign w:val="bottom"/>
          </w:tcPr>
          <w:p w14:paraId="74DE044A" w14:textId="77777777" w:rsidR="00584EC1" w:rsidRDefault="00584EC1">
            <w:pPr>
              <w:rPr>
                <w:rFonts w:ascii="宋体"/>
              </w:rPr>
            </w:pPr>
          </w:p>
        </w:tc>
        <w:tc>
          <w:tcPr>
            <w:tcW w:w="0" w:type="auto"/>
            <w:gridSpan w:val="15"/>
            <w:shd w:val="clear" w:color="auto" w:fill="auto"/>
            <w:tcMar>
              <w:top w:w="40" w:type="dxa"/>
              <w:left w:w="20" w:type="dxa"/>
              <w:bottom w:w="40" w:type="dxa"/>
              <w:right w:w="20" w:type="dxa"/>
            </w:tcMar>
            <w:vAlign w:val="bottom"/>
          </w:tcPr>
          <w:p w14:paraId="74DE044B" w14:textId="77777777" w:rsidR="00584EC1" w:rsidRDefault="00871F8D">
            <w:pPr>
              <w:jc w:val="center"/>
              <w:textAlignment w:val="bottom"/>
            </w:pPr>
            <w:r>
              <w:rPr>
                <w:rFonts w:ascii="Arial" w:eastAsia="宋体" w:hAnsi="Arial" w:cs="Arial"/>
                <w:b/>
                <w:bCs/>
                <w:color w:val="000000"/>
                <w:sz w:val="14"/>
                <w:szCs w:val="14"/>
              </w:rPr>
              <w:t xml:space="preserve">Nine Months Ended </w:t>
            </w:r>
            <w:r>
              <w:rPr>
                <w:rFonts w:ascii="Arial" w:eastAsia="宋体" w:hAnsi="Arial" w:cs="Arial"/>
                <w:b/>
                <w:bCs/>
                <w:color w:val="000000"/>
                <w:sz w:val="14"/>
                <w:szCs w:val="14"/>
              </w:rPr>
              <w:t>September 30, 2021</w:t>
            </w:r>
          </w:p>
        </w:tc>
        <w:tc>
          <w:tcPr>
            <w:tcW w:w="0" w:type="auto"/>
            <w:shd w:val="clear" w:color="auto" w:fill="auto"/>
            <w:vAlign w:val="bottom"/>
          </w:tcPr>
          <w:p w14:paraId="74DE044C" w14:textId="77777777" w:rsidR="00584EC1" w:rsidRDefault="00584EC1">
            <w:pPr>
              <w:rPr>
                <w:rFonts w:ascii="宋体"/>
              </w:rPr>
            </w:pPr>
          </w:p>
        </w:tc>
        <w:tc>
          <w:tcPr>
            <w:tcW w:w="0" w:type="auto"/>
            <w:shd w:val="clear" w:color="auto" w:fill="auto"/>
            <w:vAlign w:val="bottom"/>
          </w:tcPr>
          <w:p w14:paraId="74DE044D" w14:textId="77777777" w:rsidR="00584EC1" w:rsidRDefault="00584EC1">
            <w:pPr>
              <w:rPr>
                <w:rFonts w:ascii="宋体"/>
              </w:rPr>
            </w:pPr>
          </w:p>
        </w:tc>
        <w:tc>
          <w:tcPr>
            <w:tcW w:w="0" w:type="auto"/>
            <w:shd w:val="clear" w:color="auto" w:fill="auto"/>
            <w:vAlign w:val="bottom"/>
          </w:tcPr>
          <w:p w14:paraId="74DE044E" w14:textId="77777777" w:rsidR="00584EC1" w:rsidRDefault="00584EC1">
            <w:pPr>
              <w:rPr>
                <w:rFonts w:ascii="宋体"/>
              </w:rPr>
            </w:pPr>
          </w:p>
        </w:tc>
        <w:tc>
          <w:tcPr>
            <w:tcW w:w="0" w:type="auto"/>
            <w:shd w:val="clear" w:color="auto" w:fill="auto"/>
            <w:vAlign w:val="bottom"/>
          </w:tcPr>
          <w:p w14:paraId="74DE044F" w14:textId="77777777" w:rsidR="00584EC1" w:rsidRDefault="00584EC1">
            <w:pPr>
              <w:rPr>
                <w:rFonts w:ascii="宋体"/>
              </w:rPr>
            </w:pPr>
          </w:p>
        </w:tc>
        <w:tc>
          <w:tcPr>
            <w:tcW w:w="0" w:type="auto"/>
            <w:shd w:val="clear" w:color="auto" w:fill="auto"/>
            <w:vAlign w:val="bottom"/>
          </w:tcPr>
          <w:p w14:paraId="74DE0450" w14:textId="77777777" w:rsidR="00584EC1" w:rsidRDefault="00584EC1">
            <w:pPr>
              <w:rPr>
                <w:rFonts w:ascii="宋体"/>
              </w:rPr>
            </w:pPr>
          </w:p>
        </w:tc>
        <w:tc>
          <w:tcPr>
            <w:tcW w:w="0" w:type="auto"/>
            <w:shd w:val="clear" w:color="auto" w:fill="auto"/>
            <w:vAlign w:val="bottom"/>
          </w:tcPr>
          <w:p w14:paraId="74DE0451" w14:textId="77777777" w:rsidR="00584EC1" w:rsidRDefault="00584EC1">
            <w:pPr>
              <w:rPr>
                <w:rFonts w:ascii="宋体"/>
              </w:rPr>
            </w:pPr>
          </w:p>
        </w:tc>
        <w:tc>
          <w:tcPr>
            <w:tcW w:w="0" w:type="auto"/>
            <w:shd w:val="clear" w:color="auto" w:fill="auto"/>
            <w:vAlign w:val="bottom"/>
          </w:tcPr>
          <w:p w14:paraId="74DE0452" w14:textId="77777777" w:rsidR="00584EC1" w:rsidRDefault="00584EC1">
            <w:pPr>
              <w:rPr>
                <w:rFonts w:ascii="宋体"/>
              </w:rPr>
            </w:pPr>
          </w:p>
        </w:tc>
        <w:tc>
          <w:tcPr>
            <w:tcW w:w="0" w:type="auto"/>
            <w:shd w:val="clear" w:color="auto" w:fill="auto"/>
            <w:vAlign w:val="bottom"/>
          </w:tcPr>
          <w:p w14:paraId="74DE0453" w14:textId="77777777" w:rsidR="00584EC1" w:rsidRDefault="00584EC1">
            <w:pPr>
              <w:rPr>
                <w:rFonts w:ascii="宋体"/>
              </w:rPr>
            </w:pPr>
          </w:p>
        </w:tc>
        <w:tc>
          <w:tcPr>
            <w:tcW w:w="0" w:type="auto"/>
            <w:shd w:val="clear" w:color="auto" w:fill="auto"/>
            <w:vAlign w:val="bottom"/>
          </w:tcPr>
          <w:p w14:paraId="74DE0454" w14:textId="77777777" w:rsidR="00584EC1" w:rsidRDefault="00584EC1">
            <w:pPr>
              <w:rPr>
                <w:rFonts w:ascii="宋体"/>
              </w:rPr>
            </w:pPr>
          </w:p>
        </w:tc>
        <w:tc>
          <w:tcPr>
            <w:tcW w:w="0" w:type="auto"/>
            <w:shd w:val="clear" w:color="auto" w:fill="auto"/>
            <w:vAlign w:val="bottom"/>
          </w:tcPr>
          <w:p w14:paraId="74DE0455" w14:textId="77777777" w:rsidR="00584EC1" w:rsidRDefault="00584EC1">
            <w:pPr>
              <w:rPr>
                <w:rFonts w:ascii="宋体"/>
              </w:rPr>
            </w:pPr>
          </w:p>
        </w:tc>
        <w:tc>
          <w:tcPr>
            <w:tcW w:w="0" w:type="auto"/>
            <w:shd w:val="clear" w:color="auto" w:fill="auto"/>
            <w:vAlign w:val="bottom"/>
          </w:tcPr>
          <w:p w14:paraId="74DE0456" w14:textId="77777777" w:rsidR="00584EC1" w:rsidRDefault="00584EC1">
            <w:pPr>
              <w:rPr>
                <w:rFonts w:ascii="宋体"/>
              </w:rPr>
            </w:pPr>
          </w:p>
        </w:tc>
        <w:tc>
          <w:tcPr>
            <w:tcW w:w="0" w:type="auto"/>
            <w:shd w:val="clear" w:color="auto" w:fill="auto"/>
            <w:vAlign w:val="bottom"/>
          </w:tcPr>
          <w:p w14:paraId="74DE0457" w14:textId="77777777" w:rsidR="00584EC1" w:rsidRDefault="00584EC1">
            <w:pPr>
              <w:rPr>
                <w:rFonts w:ascii="宋体"/>
              </w:rPr>
            </w:pPr>
          </w:p>
        </w:tc>
      </w:tr>
      <w:tr w:rsidR="00584EC1" w14:paraId="74DE046B" w14:textId="77777777">
        <w:tc>
          <w:tcPr>
            <w:tcW w:w="0" w:type="auto"/>
            <w:gridSpan w:val="3"/>
            <w:shd w:val="clear" w:color="auto" w:fill="auto"/>
            <w:tcMar>
              <w:top w:w="0" w:type="dxa"/>
              <w:left w:w="20" w:type="dxa"/>
              <w:bottom w:w="0" w:type="dxa"/>
              <w:right w:w="20" w:type="dxa"/>
            </w:tcMar>
            <w:vAlign w:val="bottom"/>
          </w:tcPr>
          <w:p w14:paraId="74DE0459" w14:textId="77777777" w:rsidR="00584EC1" w:rsidRDefault="00584EC1">
            <w:pPr>
              <w:rPr>
                <w:rFonts w:ascii="宋体"/>
              </w:rPr>
            </w:pPr>
          </w:p>
        </w:tc>
        <w:tc>
          <w:tcPr>
            <w:tcW w:w="0" w:type="auto"/>
            <w:shd w:val="clear" w:color="auto" w:fill="auto"/>
            <w:vAlign w:val="bottom"/>
          </w:tcPr>
          <w:p w14:paraId="74DE045A" w14:textId="77777777" w:rsidR="00584EC1" w:rsidRDefault="00584EC1">
            <w:pPr>
              <w:rPr>
                <w:rFonts w:ascii="宋体"/>
                <w:vanish/>
              </w:rPr>
            </w:pPr>
          </w:p>
        </w:tc>
        <w:tc>
          <w:tcPr>
            <w:tcW w:w="0" w:type="auto"/>
            <w:shd w:val="clear" w:color="auto" w:fill="auto"/>
            <w:vAlign w:val="bottom"/>
          </w:tcPr>
          <w:p w14:paraId="74DE045B" w14:textId="77777777" w:rsidR="00584EC1" w:rsidRDefault="00584EC1">
            <w:pPr>
              <w:rPr>
                <w:rFonts w:ascii="宋体"/>
                <w:vanish/>
              </w:rPr>
            </w:pPr>
          </w:p>
        </w:tc>
        <w:tc>
          <w:tcPr>
            <w:tcW w:w="0" w:type="auto"/>
            <w:shd w:val="clear" w:color="auto" w:fill="auto"/>
            <w:vAlign w:val="bottom"/>
          </w:tcPr>
          <w:p w14:paraId="74DE045C" w14:textId="77777777" w:rsidR="00584EC1" w:rsidRDefault="00584EC1">
            <w:pPr>
              <w:rPr>
                <w:rFonts w:ascii="宋体"/>
                <w:vanish/>
              </w:rPr>
            </w:pPr>
          </w:p>
        </w:tc>
        <w:tc>
          <w:tcPr>
            <w:tcW w:w="0" w:type="auto"/>
            <w:shd w:val="clear" w:color="auto" w:fill="auto"/>
            <w:vAlign w:val="bottom"/>
          </w:tcPr>
          <w:p w14:paraId="74DE045D" w14:textId="77777777" w:rsidR="00584EC1" w:rsidRDefault="00584EC1">
            <w:pPr>
              <w:rPr>
                <w:rFonts w:ascii="宋体"/>
                <w:vanish/>
              </w:rPr>
            </w:pPr>
          </w:p>
        </w:tc>
        <w:tc>
          <w:tcPr>
            <w:tcW w:w="0" w:type="auto"/>
            <w:shd w:val="clear" w:color="auto" w:fill="auto"/>
            <w:vAlign w:val="bottom"/>
          </w:tcPr>
          <w:p w14:paraId="74DE045E" w14:textId="77777777" w:rsidR="00584EC1" w:rsidRDefault="00584EC1">
            <w:pPr>
              <w:rPr>
                <w:rFonts w:ascii="宋体"/>
                <w:vanish/>
              </w:rPr>
            </w:pPr>
          </w:p>
        </w:tc>
        <w:tc>
          <w:tcPr>
            <w:tcW w:w="0" w:type="auto"/>
            <w:shd w:val="clear" w:color="auto" w:fill="auto"/>
            <w:vAlign w:val="bottom"/>
          </w:tcPr>
          <w:p w14:paraId="74DE045F" w14:textId="77777777" w:rsidR="00584EC1" w:rsidRDefault="00584EC1">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0460" w14:textId="77777777" w:rsidR="00584EC1" w:rsidRDefault="00871F8D">
            <w:pPr>
              <w:jc w:val="center"/>
              <w:textAlignment w:val="bottom"/>
            </w:pPr>
            <w:r>
              <w:rPr>
                <w:rFonts w:ascii="Arial" w:eastAsia="宋体" w:hAnsi="Arial" w:cs="Arial"/>
                <w:b/>
                <w:bCs/>
                <w:color w:val="000000"/>
                <w:sz w:val="14"/>
                <w:szCs w:val="14"/>
              </w:rPr>
              <w:t xml:space="preserve">Shares Acquired </w:t>
            </w:r>
            <w:r>
              <w:rPr>
                <w:rFonts w:ascii="Arial" w:eastAsia="宋体" w:hAnsi="Arial" w:cs="Arial"/>
                <w:b/>
                <w:bCs/>
                <w:color w:val="000000"/>
                <w:sz w:val="14"/>
                <w:szCs w:val="14"/>
              </w:rPr>
              <w:br/>
              <w:t>(In millions)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0461"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0462" w14:textId="77777777" w:rsidR="00584EC1" w:rsidRDefault="00871F8D">
            <w:pPr>
              <w:jc w:val="center"/>
              <w:textAlignment w:val="bottom"/>
            </w:pPr>
            <w:r>
              <w:rPr>
                <w:rFonts w:ascii="Arial" w:eastAsia="宋体" w:hAnsi="Arial" w:cs="Arial"/>
                <w:b/>
                <w:bCs/>
                <w:color w:val="000000"/>
                <w:sz w:val="14"/>
                <w:szCs w:val="14"/>
              </w:rPr>
              <w:t>Average Cost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0463"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0464" w14:textId="77777777" w:rsidR="00584EC1" w:rsidRDefault="00871F8D">
            <w:pPr>
              <w:jc w:val="center"/>
              <w:textAlignment w:val="bottom"/>
            </w:pPr>
            <w:r>
              <w:rPr>
                <w:rFonts w:ascii="Arial" w:eastAsia="宋体" w:hAnsi="Arial" w:cs="Arial"/>
                <w:b/>
                <w:bCs/>
                <w:color w:val="000000"/>
                <w:sz w:val="14"/>
                <w:szCs w:val="14"/>
              </w:rPr>
              <w:t xml:space="preserve">Total Acquired </w:t>
            </w:r>
            <w:r>
              <w:rPr>
                <w:rFonts w:ascii="Arial" w:eastAsia="宋体" w:hAnsi="Arial" w:cs="Arial"/>
                <w:b/>
                <w:bCs/>
                <w:color w:val="000000"/>
                <w:sz w:val="14"/>
                <w:szCs w:val="14"/>
              </w:rPr>
              <w:br/>
              <w:t>(In millions)</w:t>
            </w:r>
          </w:p>
        </w:tc>
        <w:tc>
          <w:tcPr>
            <w:tcW w:w="0" w:type="auto"/>
            <w:gridSpan w:val="3"/>
            <w:shd w:val="clear" w:color="auto" w:fill="auto"/>
            <w:tcMar>
              <w:top w:w="0" w:type="dxa"/>
              <w:left w:w="20" w:type="dxa"/>
              <w:bottom w:w="0" w:type="dxa"/>
              <w:right w:w="20" w:type="dxa"/>
            </w:tcMar>
            <w:vAlign w:val="bottom"/>
          </w:tcPr>
          <w:p w14:paraId="74DE0465"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0466" w14:textId="77777777" w:rsidR="00584EC1" w:rsidRDefault="00871F8D">
            <w:pPr>
              <w:jc w:val="center"/>
              <w:textAlignment w:val="bottom"/>
            </w:pPr>
            <w:r>
              <w:rPr>
                <w:rFonts w:ascii="Arial" w:eastAsia="宋体" w:hAnsi="Arial" w:cs="Arial"/>
                <w:b/>
                <w:bCs/>
                <w:color w:val="000000"/>
                <w:sz w:val="14"/>
                <w:szCs w:val="14"/>
              </w:rPr>
              <w:t>Shares Acquired (In millions)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0467"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0468" w14:textId="77777777" w:rsidR="00584EC1" w:rsidRDefault="00871F8D">
            <w:pPr>
              <w:jc w:val="center"/>
              <w:textAlignment w:val="bottom"/>
            </w:pPr>
            <w:r>
              <w:rPr>
                <w:rFonts w:ascii="Arial" w:eastAsia="宋体" w:hAnsi="Arial" w:cs="Arial"/>
                <w:b/>
                <w:bCs/>
                <w:color w:val="000000"/>
                <w:sz w:val="14"/>
                <w:szCs w:val="14"/>
              </w:rPr>
              <w:t>Average Cost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0469"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046A" w14:textId="77777777" w:rsidR="00584EC1" w:rsidRDefault="00871F8D">
            <w:pPr>
              <w:jc w:val="center"/>
              <w:textAlignment w:val="bottom"/>
            </w:pPr>
            <w:r>
              <w:rPr>
                <w:rFonts w:ascii="Arial" w:eastAsia="宋体" w:hAnsi="Arial" w:cs="Arial"/>
                <w:b/>
                <w:bCs/>
                <w:color w:val="000000"/>
                <w:sz w:val="14"/>
                <w:szCs w:val="14"/>
              </w:rPr>
              <w:t>Total Acquired (In millions)</w:t>
            </w:r>
          </w:p>
        </w:tc>
      </w:tr>
      <w:tr w:rsidR="00584EC1" w14:paraId="74DE047E" w14:textId="77777777">
        <w:trPr>
          <w:hidden/>
        </w:trPr>
        <w:tc>
          <w:tcPr>
            <w:tcW w:w="0" w:type="auto"/>
            <w:gridSpan w:val="3"/>
            <w:shd w:val="clear" w:color="auto" w:fill="auto"/>
            <w:vAlign w:val="bottom"/>
          </w:tcPr>
          <w:p w14:paraId="74DE046C" w14:textId="77777777" w:rsidR="00584EC1" w:rsidRDefault="00584EC1">
            <w:pPr>
              <w:rPr>
                <w:rFonts w:ascii="宋体"/>
                <w:vanish/>
              </w:rPr>
            </w:pPr>
          </w:p>
        </w:tc>
        <w:tc>
          <w:tcPr>
            <w:tcW w:w="0" w:type="auto"/>
            <w:shd w:val="clear" w:color="auto" w:fill="auto"/>
            <w:vAlign w:val="bottom"/>
          </w:tcPr>
          <w:p w14:paraId="74DE046D" w14:textId="77777777" w:rsidR="00584EC1" w:rsidRDefault="00584EC1">
            <w:pPr>
              <w:rPr>
                <w:rFonts w:ascii="宋体"/>
                <w:vanish/>
              </w:rPr>
            </w:pPr>
          </w:p>
        </w:tc>
        <w:tc>
          <w:tcPr>
            <w:tcW w:w="0" w:type="auto"/>
            <w:shd w:val="clear" w:color="auto" w:fill="auto"/>
            <w:vAlign w:val="bottom"/>
          </w:tcPr>
          <w:p w14:paraId="74DE046E" w14:textId="77777777" w:rsidR="00584EC1" w:rsidRDefault="00584EC1">
            <w:pPr>
              <w:rPr>
                <w:rFonts w:ascii="宋体"/>
                <w:vanish/>
              </w:rPr>
            </w:pPr>
          </w:p>
        </w:tc>
        <w:tc>
          <w:tcPr>
            <w:tcW w:w="0" w:type="auto"/>
            <w:shd w:val="clear" w:color="auto" w:fill="auto"/>
            <w:vAlign w:val="bottom"/>
          </w:tcPr>
          <w:p w14:paraId="74DE046F" w14:textId="77777777" w:rsidR="00584EC1" w:rsidRDefault="00584EC1">
            <w:pPr>
              <w:rPr>
                <w:rFonts w:ascii="宋体"/>
                <w:vanish/>
              </w:rPr>
            </w:pPr>
          </w:p>
        </w:tc>
        <w:tc>
          <w:tcPr>
            <w:tcW w:w="0" w:type="auto"/>
            <w:shd w:val="clear" w:color="auto" w:fill="auto"/>
            <w:vAlign w:val="bottom"/>
          </w:tcPr>
          <w:p w14:paraId="74DE0470" w14:textId="77777777" w:rsidR="00584EC1" w:rsidRDefault="00584EC1">
            <w:pPr>
              <w:rPr>
                <w:rFonts w:ascii="宋体"/>
                <w:vanish/>
              </w:rPr>
            </w:pPr>
          </w:p>
        </w:tc>
        <w:tc>
          <w:tcPr>
            <w:tcW w:w="0" w:type="auto"/>
            <w:shd w:val="clear" w:color="auto" w:fill="auto"/>
            <w:vAlign w:val="bottom"/>
          </w:tcPr>
          <w:p w14:paraId="74DE0471" w14:textId="77777777" w:rsidR="00584EC1" w:rsidRDefault="00584EC1">
            <w:pPr>
              <w:rPr>
                <w:rFonts w:ascii="宋体"/>
                <w:vanish/>
              </w:rPr>
            </w:pPr>
          </w:p>
        </w:tc>
        <w:tc>
          <w:tcPr>
            <w:tcW w:w="0" w:type="auto"/>
            <w:shd w:val="clear" w:color="auto" w:fill="auto"/>
            <w:vAlign w:val="bottom"/>
          </w:tcPr>
          <w:p w14:paraId="74DE0472" w14:textId="77777777" w:rsidR="00584EC1" w:rsidRDefault="00584EC1">
            <w:pPr>
              <w:rPr>
                <w:rFonts w:ascii="宋体"/>
                <w:vanish/>
              </w:rPr>
            </w:pPr>
          </w:p>
        </w:tc>
        <w:tc>
          <w:tcPr>
            <w:tcW w:w="0" w:type="auto"/>
            <w:gridSpan w:val="3"/>
            <w:shd w:val="clear" w:color="auto" w:fill="auto"/>
            <w:vAlign w:val="bottom"/>
          </w:tcPr>
          <w:p w14:paraId="74DE0473" w14:textId="77777777" w:rsidR="00584EC1" w:rsidRDefault="00584EC1">
            <w:pPr>
              <w:rPr>
                <w:rFonts w:ascii="宋体"/>
                <w:vanish/>
              </w:rPr>
            </w:pPr>
          </w:p>
        </w:tc>
        <w:tc>
          <w:tcPr>
            <w:tcW w:w="0" w:type="auto"/>
            <w:gridSpan w:val="3"/>
            <w:shd w:val="clear" w:color="auto" w:fill="auto"/>
            <w:vAlign w:val="bottom"/>
          </w:tcPr>
          <w:p w14:paraId="74DE0474" w14:textId="77777777" w:rsidR="00584EC1" w:rsidRDefault="00584EC1">
            <w:pPr>
              <w:rPr>
                <w:rFonts w:ascii="宋体"/>
                <w:vanish/>
              </w:rPr>
            </w:pPr>
          </w:p>
        </w:tc>
        <w:tc>
          <w:tcPr>
            <w:tcW w:w="0" w:type="auto"/>
            <w:gridSpan w:val="3"/>
            <w:shd w:val="clear" w:color="auto" w:fill="auto"/>
            <w:vAlign w:val="bottom"/>
          </w:tcPr>
          <w:p w14:paraId="74DE0475" w14:textId="77777777" w:rsidR="00584EC1" w:rsidRDefault="00584EC1">
            <w:pPr>
              <w:rPr>
                <w:rFonts w:ascii="宋体"/>
                <w:vanish/>
              </w:rPr>
            </w:pPr>
          </w:p>
        </w:tc>
        <w:tc>
          <w:tcPr>
            <w:tcW w:w="0" w:type="auto"/>
            <w:gridSpan w:val="3"/>
            <w:shd w:val="clear" w:color="auto" w:fill="auto"/>
            <w:vAlign w:val="bottom"/>
          </w:tcPr>
          <w:p w14:paraId="74DE0476" w14:textId="77777777" w:rsidR="00584EC1" w:rsidRDefault="00584EC1">
            <w:pPr>
              <w:rPr>
                <w:rFonts w:ascii="宋体"/>
                <w:vanish/>
              </w:rPr>
            </w:pPr>
          </w:p>
        </w:tc>
        <w:tc>
          <w:tcPr>
            <w:tcW w:w="0" w:type="auto"/>
            <w:gridSpan w:val="3"/>
            <w:shd w:val="clear" w:color="auto" w:fill="auto"/>
            <w:vAlign w:val="bottom"/>
          </w:tcPr>
          <w:p w14:paraId="74DE0477" w14:textId="77777777" w:rsidR="00584EC1" w:rsidRDefault="00584EC1">
            <w:pPr>
              <w:rPr>
                <w:rFonts w:ascii="宋体"/>
                <w:vanish/>
              </w:rPr>
            </w:pPr>
          </w:p>
        </w:tc>
        <w:tc>
          <w:tcPr>
            <w:tcW w:w="0" w:type="auto"/>
            <w:gridSpan w:val="3"/>
            <w:shd w:val="clear" w:color="auto" w:fill="auto"/>
            <w:vAlign w:val="bottom"/>
          </w:tcPr>
          <w:p w14:paraId="74DE0478" w14:textId="77777777" w:rsidR="00584EC1" w:rsidRDefault="00584EC1">
            <w:pPr>
              <w:rPr>
                <w:rFonts w:ascii="宋体"/>
                <w:vanish/>
              </w:rPr>
            </w:pPr>
          </w:p>
        </w:tc>
        <w:tc>
          <w:tcPr>
            <w:tcW w:w="0" w:type="auto"/>
            <w:gridSpan w:val="3"/>
            <w:shd w:val="clear" w:color="auto" w:fill="auto"/>
            <w:vAlign w:val="bottom"/>
          </w:tcPr>
          <w:p w14:paraId="74DE0479" w14:textId="77777777" w:rsidR="00584EC1" w:rsidRDefault="00584EC1">
            <w:pPr>
              <w:rPr>
                <w:rFonts w:ascii="宋体"/>
                <w:vanish/>
              </w:rPr>
            </w:pPr>
          </w:p>
        </w:tc>
        <w:tc>
          <w:tcPr>
            <w:tcW w:w="0" w:type="auto"/>
            <w:gridSpan w:val="3"/>
            <w:shd w:val="clear" w:color="auto" w:fill="auto"/>
            <w:vAlign w:val="bottom"/>
          </w:tcPr>
          <w:p w14:paraId="74DE047A" w14:textId="77777777" w:rsidR="00584EC1" w:rsidRDefault="00584EC1">
            <w:pPr>
              <w:rPr>
                <w:rFonts w:ascii="宋体"/>
                <w:vanish/>
              </w:rPr>
            </w:pPr>
          </w:p>
        </w:tc>
        <w:tc>
          <w:tcPr>
            <w:tcW w:w="0" w:type="auto"/>
            <w:gridSpan w:val="3"/>
            <w:shd w:val="clear" w:color="auto" w:fill="auto"/>
            <w:vAlign w:val="bottom"/>
          </w:tcPr>
          <w:p w14:paraId="74DE047B" w14:textId="77777777" w:rsidR="00584EC1" w:rsidRDefault="00584EC1">
            <w:pPr>
              <w:rPr>
                <w:rFonts w:ascii="宋体"/>
                <w:vanish/>
              </w:rPr>
            </w:pPr>
          </w:p>
        </w:tc>
        <w:tc>
          <w:tcPr>
            <w:tcW w:w="0" w:type="auto"/>
            <w:gridSpan w:val="3"/>
            <w:shd w:val="clear" w:color="auto" w:fill="auto"/>
            <w:vAlign w:val="bottom"/>
          </w:tcPr>
          <w:p w14:paraId="74DE047C" w14:textId="77777777" w:rsidR="00584EC1" w:rsidRDefault="00584EC1">
            <w:pPr>
              <w:rPr>
                <w:rFonts w:ascii="宋体"/>
                <w:vanish/>
              </w:rPr>
            </w:pPr>
          </w:p>
        </w:tc>
        <w:tc>
          <w:tcPr>
            <w:tcW w:w="0" w:type="auto"/>
            <w:gridSpan w:val="3"/>
            <w:shd w:val="clear" w:color="auto" w:fill="auto"/>
            <w:vAlign w:val="bottom"/>
          </w:tcPr>
          <w:p w14:paraId="74DE047D" w14:textId="77777777" w:rsidR="00584EC1" w:rsidRDefault="00584EC1">
            <w:pPr>
              <w:rPr>
                <w:rFonts w:ascii="宋体"/>
                <w:vanish/>
              </w:rPr>
            </w:pPr>
          </w:p>
        </w:tc>
      </w:tr>
      <w:tr w:rsidR="00584EC1" w14:paraId="74DE049B" w14:textId="77777777">
        <w:tc>
          <w:tcPr>
            <w:tcW w:w="0" w:type="auto"/>
            <w:gridSpan w:val="3"/>
            <w:shd w:val="clear" w:color="auto" w:fill="CCEEFF"/>
            <w:tcMar>
              <w:top w:w="0" w:type="dxa"/>
              <w:left w:w="20" w:type="dxa"/>
              <w:bottom w:w="0" w:type="dxa"/>
              <w:right w:w="20" w:type="dxa"/>
            </w:tcMar>
            <w:vAlign w:val="bottom"/>
          </w:tcPr>
          <w:p w14:paraId="74DE047F" w14:textId="77777777" w:rsidR="00584EC1" w:rsidRDefault="00584EC1">
            <w:pPr>
              <w:rPr>
                <w:rFonts w:ascii="宋体"/>
              </w:rPr>
            </w:pPr>
          </w:p>
        </w:tc>
        <w:tc>
          <w:tcPr>
            <w:tcW w:w="0" w:type="auto"/>
            <w:shd w:val="clear" w:color="auto" w:fill="auto"/>
            <w:vAlign w:val="bottom"/>
          </w:tcPr>
          <w:p w14:paraId="74DE0480" w14:textId="77777777" w:rsidR="00584EC1" w:rsidRDefault="00584EC1">
            <w:pPr>
              <w:rPr>
                <w:rFonts w:ascii="宋体"/>
                <w:vanish/>
              </w:rPr>
            </w:pPr>
          </w:p>
        </w:tc>
        <w:tc>
          <w:tcPr>
            <w:tcW w:w="0" w:type="auto"/>
            <w:shd w:val="clear" w:color="auto" w:fill="auto"/>
            <w:vAlign w:val="bottom"/>
          </w:tcPr>
          <w:p w14:paraId="74DE0481" w14:textId="77777777" w:rsidR="00584EC1" w:rsidRDefault="00584EC1">
            <w:pPr>
              <w:rPr>
                <w:rFonts w:ascii="宋体"/>
                <w:vanish/>
              </w:rPr>
            </w:pPr>
          </w:p>
        </w:tc>
        <w:tc>
          <w:tcPr>
            <w:tcW w:w="0" w:type="auto"/>
            <w:shd w:val="clear" w:color="auto" w:fill="auto"/>
            <w:vAlign w:val="bottom"/>
          </w:tcPr>
          <w:p w14:paraId="74DE0482" w14:textId="77777777" w:rsidR="00584EC1" w:rsidRDefault="00584EC1">
            <w:pPr>
              <w:rPr>
                <w:rFonts w:ascii="宋体"/>
                <w:vanish/>
              </w:rPr>
            </w:pPr>
          </w:p>
        </w:tc>
        <w:tc>
          <w:tcPr>
            <w:tcW w:w="0" w:type="auto"/>
            <w:shd w:val="clear" w:color="auto" w:fill="auto"/>
            <w:vAlign w:val="bottom"/>
          </w:tcPr>
          <w:p w14:paraId="74DE0483" w14:textId="77777777" w:rsidR="00584EC1" w:rsidRDefault="00584EC1">
            <w:pPr>
              <w:rPr>
                <w:rFonts w:ascii="宋体"/>
                <w:vanish/>
              </w:rPr>
            </w:pPr>
          </w:p>
        </w:tc>
        <w:tc>
          <w:tcPr>
            <w:tcW w:w="0" w:type="auto"/>
            <w:shd w:val="clear" w:color="auto" w:fill="auto"/>
            <w:vAlign w:val="bottom"/>
          </w:tcPr>
          <w:p w14:paraId="74DE0484" w14:textId="77777777" w:rsidR="00584EC1" w:rsidRDefault="00584EC1">
            <w:pPr>
              <w:rPr>
                <w:rFonts w:ascii="宋体"/>
                <w:vanish/>
              </w:rPr>
            </w:pPr>
          </w:p>
        </w:tc>
        <w:tc>
          <w:tcPr>
            <w:tcW w:w="0" w:type="auto"/>
            <w:shd w:val="clear" w:color="auto" w:fill="auto"/>
            <w:vAlign w:val="bottom"/>
          </w:tcPr>
          <w:p w14:paraId="74DE0485" w14:textId="77777777" w:rsidR="00584EC1" w:rsidRDefault="00584EC1">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E0486"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48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488"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0489"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048A"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48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48C"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048D"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048E"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48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490"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E0491" w14:textId="77777777" w:rsidR="00584EC1" w:rsidRDefault="00871F8D">
            <w:pPr>
              <w:jc w:val="right"/>
              <w:textAlignment w:val="bottom"/>
            </w:pPr>
            <w:r>
              <w:rPr>
                <w:rFonts w:ascii="Arial" w:eastAsia="宋体" w:hAnsi="Arial" w:cs="Arial"/>
                <w:b/>
                <w:bCs/>
                <w:color w:val="000000"/>
                <w:sz w:val="14"/>
                <w:szCs w:val="14"/>
              </w:rPr>
              <w:t>11.2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49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493"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0494"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0495" w14:textId="77777777" w:rsidR="00584EC1" w:rsidRDefault="00871F8D">
            <w:pPr>
              <w:jc w:val="right"/>
              <w:textAlignment w:val="bottom"/>
            </w:pPr>
            <w:r>
              <w:rPr>
                <w:rFonts w:ascii="Arial" w:eastAsia="宋体" w:hAnsi="Arial" w:cs="Arial"/>
                <w:b/>
                <w:bCs/>
                <w:color w:val="000000"/>
                <w:sz w:val="14"/>
                <w:szCs w:val="14"/>
              </w:rPr>
              <w:t>80.00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49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497"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0498"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0499" w14:textId="77777777" w:rsidR="00584EC1" w:rsidRDefault="00871F8D">
            <w:pPr>
              <w:jc w:val="right"/>
              <w:textAlignment w:val="bottom"/>
            </w:pPr>
            <w:r>
              <w:rPr>
                <w:rFonts w:ascii="Arial" w:eastAsia="宋体" w:hAnsi="Arial" w:cs="Arial"/>
                <w:b/>
                <w:bCs/>
                <w:color w:val="000000"/>
                <w:sz w:val="14"/>
                <w:szCs w:val="14"/>
              </w:rPr>
              <w:t>900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49A" w14:textId="77777777" w:rsidR="00584EC1" w:rsidRDefault="00584EC1">
            <w:pPr>
              <w:jc w:val="right"/>
              <w:rPr>
                <w:rFonts w:ascii="宋体"/>
              </w:rPr>
            </w:pPr>
          </w:p>
        </w:tc>
      </w:tr>
      <w:tr w:rsidR="00584EC1" w14:paraId="74DE04AE" w14:textId="77777777">
        <w:trPr>
          <w:hidden/>
        </w:trPr>
        <w:tc>
          <w:tcPr>
            <w:tcW w:w="0" w:type="auto"/>
            <w:gridSpan w:val="3"/>
            <w:shd w:val="clear" w:color="auto" w:fill="auto"/>
            <w:vAlign w:val="bottom"/>
          </w:tcPr>
          <w:p w14:paraId="74DE049C" w14:textId="77777777" w:rsidR="00584EC1" w:rsidRDefault="00584EC1">
            <w:pPr>
              <w:rPr>
                <w:rFonts w:ascii="宋体"/>
                <w:vanish/>
              </w:rPr>
            </w:pPr>
          </w:p>
        </w:tc>
        <w:tc>
          <w:tcPr>
            <w:tcW w:w="0" w:type="auto"/>
            <w:shd w:val="clear" w:color="auto" w:fill="auto"/>
            <w:vAlign w:val="bottom"/>
          </w:tcPr>
          <w:p w14:paraId="74DE049D" w14:textId="77777777" w:rsidR="00584EC1" w:rsidRDefault="00584EC1">
            <w:pPr>
              <w:rPr>
                <w:rFonts w:ascii="宋体"/>
                <w:vanish/>
              </w:rPr>
            </w:pPr>
          </w:p>
        </w:tc>
        <w:tc>
          <w:tcPr>
            <w:tcW w:w="0" w:type="auto"/>
            <w:shd w:val="clear" w:color="auto" w:fill="auto"/>
            <w:vAlign w:val="bottom"/>
          </w:tcPr>
          <w:p w14:paraId="74DE049E" w14:textId="77777777" w:rsidR="00584EC1" w:rsidRDefault="00584EC1">
            <w:pPr>
              <w:rPr>
                <w:rFonts w:ascii="宋体"/>
                <w:vanish/>
              </w:rPr>
            </w:pPr>
          </w:p>
        </w:tc>
        <w:tc>
          <w:tcPr>
            <w:tcW w:w="0" w:type="auto"/>
            <w:shd w:val="clear" w:color="auto" w:fill="auto"/>
            <w:vAlign w:val="bottom"/>
          </w:tcPr>
          <w:p w14:paraId="74DE049F" w14:textId="77777777" w:rsidR="00584EC1" w:rsidRDefault="00584EC1">
            <w:pPr>
              <w:rPr>
                <w:rFonts w:ascii="宋体"/>
                <w:vanish/>
              </w:rPr>
            </w:pPr>
          </w:p>
        </w:tc>
        <w:tc>
          <w:tcPr>
            <w:tcW w:w="0" w:type="auto"/>
            <w:shd w:val="clear" w:color="auto" w:fill="auto"/>
            <w:vAlign w:val="bottom"/>
          </w:tcPr>
          <w:p w14:paraId="74DE04A0" w14:textId="77777777" w:rsidR="00584EC1" w:rsidRDefault="00584EC1">
            <w:pPr>
              <w:rPr>
                <w:rFonts w:ascii="宋体"/>
                <w:vanish/>
              </w:rPr>
            </w:pPr>
          </w:p>
        </w:tc>
        <w:tc>
          <w:tcPr>
            <w:tcW w:w="0" w:type="auto"/>
            <w:shd w:val="clear" w:color="auto" w:fill="auto"/>
            <w:vAlign w:val="bottom"/>
          </w:tcPr>
          <w:p w14:paraId="74DE04A1" w14:textId="77777777" w:rsidR="00584EC1" w:rsidRDefault="00584EC1">
            <w:pPr>
              <w:rPr>
                <w:rFonts w:ascii="宋体"/>
                <w:vanish/>
              </w:rPr>
            </w:pPr>
          </w:p>
        </w:tc>
        <w:tc>
          <w:tcPr>
            <w:tcW w:w="0" w:type="auto"/>
            <w:shd w:val="clear" w:color="auto" w:fill="auto"/>
            <w:vAlign w:val="bottom"/>
          </w:tcPr>
          <w:p w14:paraId="74DE04A2" w14:textId="77777777" w:rsidR="00584EC1" w:rsidRDefault="00584EC1">
            <w:pPr>
              <w:rPr>
                <w:rFonts w:ascii="宋体"/>
                <w:vanish/>
              </w:rPr>
            </w:pPr>
          </w:p>
        </w:tc>
        <w:tc>
          <w:tcPr>
            <w:tcW w:w="0" w:type="auto"/>
            <w:gridSpan w:val="3"/>
            <w:shd w:val="clear" w:color="auto" w:fill="auto"/>
            <w:vAlign w:val="bottom"/>
          </w:tcPr>
          <w:p w14:paraId="74DE04A3" w14:textId="77777777" w:rsidR="00584EC1" w:rsidRDefault="00584EC1">
            <w:pPr>
              <w:rPr>
                <w:rFonts w:ascii="宋体"/>
                <w:vanish/>
              </w:rPr>
            </w:pPr>
          </w:p>
        </w:tc>
        <w:tc>
          <w:tcPr>
            <w:tcW w:w="0" w:type="auto"/>
            <w:gridSpan w:val="3"/>
            <w:shd w:val="clear" w:color="auto" w:fill="auto"/>
            <w:vAlign w:val="bottom"/>
          </w:tcPr>
          <w:p w14:paraId="74DE04A4" w14:textId="77777777" w:rsidR="00584EC1" w:rsidRDefault="00584EC1">
            <w:pPr>
              <w:rPr>
                <w:rFonts w:ascii="宋体"/>
                <w:vanish/>
              </w:rPr>
            </w:pPr>
          </w:p>
        </w:tc>
        <w:tc>
          <w:tcPr>
            <w:tcW w:w="0" w:type="auto"/>
            <w:gridSpan w:val="3"/>
            <w:shd w:val="clear" w:color="auto" w:fill="auto"/>
            <w:vAlign w:val="bottom"/>
          </w:tcPr>
          <w:p w14:paraId="74DE04A5" w14:textId="77777777" w:rsidR="00584EC1" w:rsidRDefault="00584EC1">
            <w:pPr>
              <w:rPr>
                <w:rFonts w:ascii="宋体"/>
                <w:vanish/>
              </w:rPr>
            </w:pPr>
          </w:p>
        </w:tc>
        <w:tc>
          <w:tcPr>
            <w:tcW w:w="0" w:type="auto"/>
            <w:gridSpan w:val="3"/>
            <w:shd w:val="clear" w:color="auto" w:fill="auto"/>
            <w:vAlign w:val="bottom"/>
          </w:tcPr>
          <w:p w14:paraId="74DE04A6" w14:textId="77777777" w:rsidR="00584EC1" w:rsidRDefault="00584EC1">
            <w:pPr>
              <w:rPr>
                <w:rFonts w:ascii="宋体"/>
                <w:vanish/>
              </w:rPr>
            </w:pPr>
          </w:p>
        </w:tc>
        <w:tc>
          <w:tcPr>
            <w:tcW w:w="0" w:type="auto"/>
            <w:gridSpan w:val="3"/>
            <w:shd w:val="clear" w:color="auto" w:fill="auto"/>
            <w:vAlign w:val="bottom"/>
          </w:tcPr>
          <w:p w14:paraId="74DE04A7" w14:textId="77777777" w:rsidR="00584EC1" w:rsidRDefault="00584EC1">
            <w:pPr>
              <w:rPr>
                <w:rFonts w:ascii="宋体"/>
                <w:vanish/>
              </w:rPr>
            </w:pPr>
          </w:p>
        </w:tc>
        <w:tc>
          <w:tcPr>
            <w:tcW w:w="0" w:type="auto"/>
            <w:gridSpan w:val="3"/>
            <w:shd w:val="clear" w:color="auto" w:fill="auto"/>
            <w:vAlign w:val="bottom"/>
          </w:tcPr>
          <w:p w14:paraId="74DE04A8" w14:textId="77777777" w:rsidR="00584EC1" w:rsidRDefault="00584EC1">
            <w:pPr>
              <w:rPr>
                <w:rFonts w:ascii="宋体"/>
                <w:vanish/>
              </w:rPr>
            </w:pPr>
          </w:p>
        </w:tc>
        <w:tc>
          <w:tcPr>
            <w:tcW w:w="0" w:type="auto"/>
            <w:gridSpan w:val="3"/>
            <w:shd w:val="clear" w:color="auto" w:fill="auto"/>
            <w:vAlign w:val="bottom"/>
          </w:tcPr>
          <w:p w14:paraId="74DE04A9" w14:textId="77777777" w:rsidR="00584EC1" w:rsidRDefault="00584EC1">
            <w:pPr>
              <w:rPr>
                <w:rFonts w:ascii="宋体"/>
                <w:vanish/>
              </w:rPr>
            </w:pPr>
          </w:p>
        </w:tc>
        <w:tc>
          <w:tcPr>
            <w:tcW w:w="0" w:type="auto"/>
            <w:gridSpan w:val="3"/>
            <w:shd w:val="clear" w:color="auto" w:fill="auto"/>
            <w:vAlign w:val="bottom"/>
          </w:tcPr>
          <w:p w14:paraId="74DE04AA" w14:textId="77777777" w:rsidR="00584EC1" w:rsidRDefault="00584EC1">
            <w:pPr>
              <w:rPr>
                <w:rFonts w:ascii="宋体"/>
                <w:vanish/>
              </w:rPr>
            </w:pPr>
          </w:p>
        </w:tc>
        <w:tc>
          <w:tcPr>
            <w:tcW w:w="0" w:type="auto"/>
            <w:gridSpan w:val="3"/>
            <w:shd w:val="clear" w:color="auto" w:fill="auto"/>
            <w:vAlign w:val="bottom"/>
          </w:tcPr>
          <w:p w14:paraId="74DE04AB" w14:textId="77777777" w:rsidR="00584EC1" w:rsidRDefault="00584EC1">
            <w:pPr>
              <w:rPr>
                <w:rFonts w:ascii="宋体"/>
                <w:vanish/>
              </w:rPr>
            </w:pPr>
          </w:p>
        </w:tc>
        <w:tc>
          <w:tcPr>
            <w:tcW w:w="0" w:type="auto"/>
            <w:gridSpan w:val="3"/>
            <w:shd w:val="clear" w:color="auto" w:fill="auto"/>
            <w:vAlign w:val="bottom"/>
          </w:tcPr>
          <w:p w14:paraId="74DE04AC" w14:textId="77777777" w:rsidR="00584EC1" w:rsidRDefault="00584EC1">
            <w:pPr>
              <w:rPr>
                <w:rFonts w:ascii="宋体"/>
                <w:vanish/>
              </w:rPr>
            </w:pPr>
          </w:p>
        </w:tc>
        <w:tc>
          <w:tcPr>
            <w:tcW w:w="0" w:type="auto"/>
            <w:gridSpan w:val="3"/>
            <w:shd w:val="clear" w:color="auto" w:fill="auto"/>
            <w:vAlign w:val="bottom"/>
          </w:tcPr>
          <w:p w14:paraId="74DE04AD" w14:textId="77777777" w:rsidR="00584EC1" w:rsidRDefault="00584EC1">
            <w:pPr>
              <w:rPr>
                <w:rFonts w:ascii="宋体"/>
                <w:vanish/>
              </w:rPr>
            </w:pPr>
          </w:p>
        </w:tc>
      </w:tr>
    </w:tbl>
    <w:p w14:paraId="74DE04AF" w14:textId="77777777" w:rsidR="00584EC1" w:rsidRDefault="00584E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47"/>
        <w:gridCol w:w="812"/>
        <w:gridCol w:w="36"/>
        <w:gridCol w:w="36"/>
        <w:gridCol w:w="46"/>
        <w:gridCol w:w="217"/>
        <w:gridCol w:w="217"/>
        <w:gridCol w:w="217"/>
        <w:gridCol w:w="36"/>
        <w:gridCol w:w="36"/>
        <w:gridCol w:w="36"/>
        <w:gridCol w:w="45"/>
        <w:gridCol w:w="945"/>
        <w:gridCol w:w="36"/>
        <w:gridCol w:w="36"/>
        <w:gridCol w:w="36"/>
        <w:gridCol w:w="36"/>
        <w:gridCol w:w="99"/>
        <w:gridCol w:w="953"/>
        <w:gridCol w:w="37"/>
        <w:gridCol w:w="36"/>
        <w:gridCol w:w="36"/>
        <w:gridCol w:w="36"/>
        <w:gridCol w:w="99"/>
        <w:gridCol w:w="953"/>
        <w:gridCol w:w="37"/>
        <w:gridCol w:w="36"/>
        <w:gridCol w:w="36"/>
        <w:gridCol w:w="36"/>
        <w:gridCol w:w="49"/>
        <w:gridCol w:w="841"/>
        <w:gridCol w:w="36"/>
        <w:gridCol w:w="36"/>
        <w:gridCol w:w="36"/>
        <w:gridCol w:w="36"/>
        <w:gridCol w:w="99"/>
        <w:gridCol w:w="874"/>
        <w:gridCol w:w="36"/>
        <w:gridCol w:w="36"/>
        <w:gridCol w:w="36"/>
        <w:gridCol w:w="36"/>
        <w:gridCol w:w="99"/>
        <w:gridCol w:w="786"/>
        <w:gridCol w:w="36"/>
      </w:tblGrid>
      <w:tr w:rsidR="00584EC1" w14:paraId="74DE04DC" w14:textId="77777777">
        <w:tc>
          <w:tcPr>
            <w:tcW w:w="50" w:type="pct"/>
            <w:shd w:val="clear" w:color="auto" w:fill="auto"/>
            <w:vAlign w:val="bottom"/>
          </w:tcPr>
          <w:p w14:paraId="74DE04B0" w14:textId="77777777" w:rsidR="00584EC1" w:rsidRDefault="00584EC1">
            <w:pPr>
              <w:rPr>
                <w:rFonts w:ascii="宋体"/>
              </w:rPr>
            </w:pPr>
          </w:p>
        </w:tc>
        <w:tc>
          <w:tcPr>
            <w:tcW w:w="566" w:type="pct"/>
            <w:shd w:val="clear" w:color="auto" w:fill="auto"/>
            <w:vAlign w:val="bottom"/>
          </w:tcPr>
          <w:p w14:paraId="74DE04B1" w14:textId="77777777" w:rsidR="00584EC1" w:rsidRDefault="00584EC1">
            <w:pPr>
              <w:rPr>
                <w:rFonts w:ascii="宋体"/>
              </w:rPr>
            </w:pPr>
          </w:p>
        </w:tc>
        <w:tc>
          <w:tcPr>
            <w:tcW w:w="5" w:type="pct"/>
            <w:shd w:val="clear" w:color="auto" w:fill="auto"/>
            <w:vAlign w:val="bottom"/>
          </w:tcPr>
          <w:p w14:paraId="74DE04B2" w14:textId="77777777" w:rsidR="00584EC1" w:rsidRDefault="00584EC1">
            <w:pPr>
              <w:rPr>
                <w:rFonts w:ascii="宋体"/>
              </w:rPr>
            </w:pPr>
          </w:p>
        </w:tc>
        <w:tc>
          <w:tcPr>
            <w:tcW w:w="0" w:type="auto"/>
            <w:shd w:val="clear" w:color="auto" w:fill="auto"/>
            <w:vAlign w:val="bottom"/>
          </w:tcPr>
          <w:p w14:paraId="74DE04B3" w14:textId="77777777" w:rsidR="00584EC1" w:rsidRDefault="00584EC1">
            <w:pPr>
              <w:rPr>
                <w:rFonts w:ascii="宋体"/>
                <w:vanish/>
              </w:rPr>
            </w:pPr>
          </w:p>
        </w:tc>
        <w:tc>
          <w:tcPr>
            <w:tcW w:w="0" w:type="auto"/>
            <w:shd w:val="clear" w:color="auto" w:fill="auto"/>
            <w:vAlign w:val="bottom"/>
          </w:tcPr>
          <w:p w14:paraId="74DE04B4" w14:textId="77777777" w:rsidR="00584EC1" w:rsidRDefault="00584EC1">
            <w:pPr>
              <w:rPr>
                <w:rFonts w:ascii="宋体"/>
                <w:vanish/>
              </w:rPr>
            </w:pPr>
          </w:p>
        </w:tc>
        <w:tc>
          <w:tcPr>
            <w:tcW w:w="0" w:type="auto"/>
            <w:shd w:val="clear" w:color="auto" w:fill="auto"/>
            <w:vAlign w:val="bottom"/>
          </w:tcPr>
          <w:p w14:paraId="74DE04B5" w14:textId="77777777" w:rsidR="00584EC1" w:rsidRDefault="00584EC1">
            <w:pPr>
              <w:rPr>
                <w:rFonts w:ascii="宋体"/>
                <w:vanish/>
              </w:rPr>
            </w:pPr>
          </w:p>
        </w:tc>
        <w:tc>
          <w:tcPr>
            <w:tcW w:w="0" w:type="auto"/>
            <w:shd w:val="clear" w:color="auto" w:fill="auto"/>
            <w:vAlign w:val="bottom"/>
          </w:tcPr>
          <w:p w14:paraId="74DE04B6" w14:textId="77777777" w:rsidR="00584EC1" w:rsidRDefault="00584EC1">
            <w:pPr>
              <w:rPr>
                <w:rFonts w:ascii="宋体"/>
                <w:vanish/>
              </w:rPr>
            </w:pPr>
          </w:p>
        </w:tc>
        <w:tc>
          <w:tcPr>
            <w:tcW w:w="0" w:type="auto"/>
            <w:shd w:val="clear" w:color="auto" w:fill="auto"/>
            <w:vAlign w:val="bottom"/>
          </w:tcPr>
          <w:p w14:paraId="74DE04B7" w14:textId="77777777" w:rsidR="00584EC1" w:rsidRDefault="00584EC1">
            <w:pPr>
              <w:rPr>
                <w:rFonts w:ascii="宋体"/>
                <w:vanish/>
              </w:rPr>
            </w:pPr>
          </w:p>
        </w:tc>
        <w:tc>
          <w:tcPr>
            <w:tcW w:w="5" w:type="pct"/>
            <w:shd w:val="clear" w:color="auto" w:fill="auto"/>
            <w:vAlign w:val="bottom"/>
          </w:tcPr>
          <w:p w14:paraId="74DE04B8" w14:textId="77777777" w:rsidR="00584EC1" w:rsidRDefault="00584EC1">
            <w:pPr>
              <w:rPr>
                <w:rFonts w:ascii="宋体"/>
              </w:rPr>
            </w:pPr>
          </w:p>
        </w:tc>
        <w:tc>
          <w:tcPr>
            <w:tcW w:w="26" w:type="pct"/>
            <w:shd w:val="clear" w:color="auto" w:fill="auto"/>
            <w:vAlign w:val="bottom"/>
          </w:tcPr>
          <w:p w14:paraId="74DE04B9" w14:textId="77777777" w:rsidR="00584EC1" w:rsidRDefault="00584EC1">
            <w:pPr>
              <w:rPr>
                <w:rFonts w:ascii="宋体"/>
              </w:rPr>
            </w:pPr>
          </w:p>
        </w:tc>
        <w:tc>
          <w:tcPr>
            <w:tcW w:w="5" w:type="pct"/>
            <w:shd w:val="clear" w:color="auto" w:fill="auto"/>
            <w:vAlign w:val="bottom"/>
          </w:tcPr>
          <w:p w14:paraId="74DE04BA" w14:textId="77777777" w:rsidR="00584EC1" w:rsidRDefault="00584EC1">
            <w:pPr>
              <w:rPr>
                <w:rFonts w:ascii="宋体"/>
              </w:rPr>
            </w:pPr>
          </w:p>
        </w:tc>
        <w:tc>
          <w:tcPr>
            <w:tcW w:w="50" w:type="pct"/>
            <w:shd w:val="clear" w:color="auto" w:fill="auto"/>
            <w:vAlign w:val="bottom"/>
          </w:tcPr>
          <w:p w14:paraId="74DE04BB" w14:textId="77777777" w:rsidR="00584EC1" w:rsidRDefault="00584EC1">
            <w:pPr>
              <w:rPr>
                <w:rFonts w:ascii="宋体"/>
              </w:rPr>
            </w:pPr>
          </w:p>
        </w:tc>
        <w:tc>
          <w:tcPr>
            <w:tcW w:w="675" w:type="pct"/>
            <w:shd w:val="clear" w:color="auto" w:fill="auto"/>
            <w:vAlign w:val="bottom"/>
          </w:tcPr>
          <w:p w14:paraId="74DE04BC" w14:textId="77777777" w:rsidR="00584EC1" w:rsidRDefault="00584EC1">
            <w:pPr>
              <w:rPr>
                <w:rFonts w:ascii="宋体"/>
              </w:rPr>
            </w:pPr>
          </w:p>
        </w:tc>
        <w:tc>
          <w:tcPr>
            <w:tcW w:w="5" w:type="pct"/>
            <w:shd w:val="clear" w:color="auto" w:fill="auto"/>
            <w:vAlign w:val="bottom"/>
          </w:tcPr>
          <w:p w14:paraId="74DE04BD" w14:textId="77777777" w:rsidR="00584EC1" w:rsidRDefault="00584EC1">
            <w:pPr>
              <w:rPr>
                <w:rFonts w:ascii="宋体"/>
              </w:rPr>
            </w:pPr>
          </w:p>
        </w:tc>
        <w:tc>
          <w:tcPr>
            <w:tcW w:w="5" w:type="pct"/>
            <w:shd w:val="clear" w:color="auto" w:fill="auto"/>
            <w:vAlign w:val="bottom"/>
          </w:tcPr>
          <w:p w14:paraId="74DE04BE" w14:textId="77777777" w:rsidR="00584EC1" w:rsidRDefault="00584EC1">
            <w:pPr>
              <w:rPr>
                <w:rFonts w:ascii="宋体"/>
              </w:rPr>
            </w:pPr>
          </w:p>
        </w:tc>
        <w:tc>
          <w:tcPr>
            <w:tcW w:w="26" w:type="pct"/>
            <w:shd w:val="clear" w:color="auto" w:fill="auto"/>
            <w:vAlign w:val="bottom"/>
          </w:tcPr>
          <w:p w14:paraId="74DE04BF" w14:textId="77777777" w:rsidR="00584EC1" w:rsidRDefault="00584EC1">
            <w:pPr>
              <w:rPr>
                <w:rFonts w:ascii="宋体"/>
              </w:rPr>
            </w:pPr>
          </w:p>
        </w:tc>
        <w:tc>
          <w:tcPr>
            <w:tcW w:w="5" w:type="pct"/>
            <w:shd w:val="clear" w:color="auto" w:fill="auto"/>
            <w:vAlign w:val="bottom"/>
          </w:tcPr>
          <w:p w14:paraId="74DE04C0" w14:textId="77777777" w:rsidR="00584EC1" w:rsidRDefault="00584EC1">
            <w:pPr>
              <w:rPr>
                <w:rFonts w:ascii="宋体"/>
              </w:rPr>
            </w:pPr>
          </w:p>
        </w:tc>
        <w:tc>
          <w:tcPr>
            <w:tcW w:w="50" w:type="pct"/>
            <w:shd w:val="clear" w:color="auto" w:fill="auto"/>
            <w:vAlign w:val="bottom"/>
          </w:tcPr>
          <w:p w14:paraId="74DE04C1" w14:textId="77777777" w:rsidR="00584EC1" w:rsidRDefault="00584EC1">
            <w:pPr>
              <w:rPr>
                <w:rFonts w:ascii="宋体"/>
              </w:rPr>
            </w:pPr>
          </w:p>
        </w:tc>
        <w:tc>
          <w:tcPr>
            <w:tcW w:w="675" w:type="pct"/>
            <w:shd w:val="clear" w:color="auto" w:fill="auto"/>
            <w:vAlign w:val="bottom"/>
          </w:tcPr>
          <w:p w14:paraId="74DE04C2" w14:textId="77777777" w:rsidR="00584EC1" w:rsidRDefault="00584EC1">
            <w:pPr>
              <w:rPr>
                <w:rFonts w:ascii="宋体"/>
              </w:rPr>
            </w:pPr>
          </w:p>
        </w:tc>
        <w:tc>
          <w:tcPr>
            <w:tcW w:w="5" w:type="pct"/>
            <w:shd w:val="clear" w:color="auto" w:fill="auto"/>
            <w:vAlign w:val="bottom"/>
          </w:tcPr>
          <w:p w14:paraId="74DE04C3" w14:textId="77777777" w:rsidR="00584EC1" w:rsidRDefault="00584EC1">
            <w:pPr>
              <w:rPr>
                <w:rFonts w:ascii="宋体"/>
              </w:rPr>
            </w:pPr>
          </w:p>
        </w:tc>
        <w:tc>
          <w:tcPr>
            <w:tcW w:w="5" w:type="pct"/>
            <w:shd w:val="clear" w:color="auto" w:fill="auto"/>
            <w:vAlign w:val="bottom"/>
          </w:tcPr>
          <w:p w14:paraId="74DE04C4" w14:textId="77777777" w:rsidR="00584EC1" w:rsidRDefault="00584EC1">
            <w:pPr>
              <w:rPr>
                <w:rFonts w:ascii="宋体"/>
              </w:rPr>
            </w:pPr>
          </w:p>
        </w:tc>
        <w:tc>
          <w:tcPr>
            <w:tcW w:w="26" w:type="pct"/>
            <w:shd w:val="clear" w:color="auto" w:fill="auto"/>
            <w:vAlign w:val="bottom"/>
          </w:tcPr>
          <w:p w14:paraId="74DE04C5" w14:textId="77777777" w:rsidR="00584EC1" w:rsidRDefault="00584EC1">
            <w:pPr>
              <w:rPr>
                <w:rFonts w:ascii="宋体"/>
              </w:rPr>
            </w:pPr>
          </w:p>
        </w:tc>
        <w:tc>
          <w:tcPr>
            <w:tcW w:w="5" w:type="pct"/>
            <w:shd w:val="clear" w:color="auto" w:fill="auto"/>
            <w:vAlign w:val="bottom"/>
          </w:tcPr>
          <w:p w14:paraId="74DE04C6" w14:textId="77777777" w:rsidR="00584EC1" w:rsidRDefault="00584EC1">
            <w:pPr>
              <w:rPr>
                <w:rFonts w:ascii="宋体"/>
              </w:rPr>
            </w:pPr>
          </w:p>
        </w:tc>
        <w:tc>
          <w:tcPr>
            <w:tcW w:w="50" w:type="pct"/>
            <w:shd w:val="clear" w:color="auto" w:fill="auto"/>
            <w:vAlign w:val="bottom"/>
          </w:tcPr>
          <w:p w14:paraId="74DE04C7" w14:textId="77777777" w:rsidR="00584EC1" w:rsidRDefault="00584EC1">
            <w:pPr>
              <w:rPr>
                <w:rFonts w:ascii="宋体"/>
              </w:rPr>
            </w:pPr>
          </w:p>
        </w:tc>
        <w:tc>
          <w:tcPr>
            <w:tcW w:w="675" w:type="pct"/>
            <w:shd w:val="clear" w:color="auto" w:fill="auto"/>
            <w:vAlign w:val="bottom"/>
          </w:tcPr>
          <w:p w14:paraId="74DE04C8" w14:textId="77777777" w:rsidR="00584EC1" w:rsidRDefault="00584EC1">
            <w:pPr>
              <w:rPr>
                <w:rFonts w:ascii="宋体"/>
              </w:rPr>
            </w:pPr>
          </w:p>
        </w:tc>
        <w:tc>
          <w:tcPr>
            <w:tcW w:w="5" w:type="pct"/>
            <w:shd w:val="clear" w:color="auto" w:fill="auto"/>
            <w:vAlign w:val="bottom"/>
          </w:tcPr>
          <w:p w14:paraId="74DE04C9" w14:textId="77777777" w:rsidR="00584EC1" w:rsidRDefault="00584EC1">
            <w:pPr>
              <w:rPr>
                <w:rFonts w:ascii="宋体"/>
              </w:rPr>
            </w:pPr>
          </w:p>
        </w:tc>
        <w:tc>
          <w:tcPr>
            <w:tcW w:w="5" w:type="pct"/>
            <w:shd w:val="clear" w:color="auto" w:fill="auto"/>
            <w:vAlign w:val="bottom"/>
          </w:tcPr>
          <w:p w14:paraId="74DE04CA" w14:textId="77777777" w:rsidR="00584EC1" w:rsidRDefault="00584EC1">
            <w:pPr>
              <w:rPr>
                <w:rFonts w:ascii="宋体"/>
              </w:rPr>
            </w:pPr>
          </w:p>
        </w:tc>
        <w:tc>
          <w:tcPr>
            <w:tcW w:w="26" w:type="pct"/>
            <w:shd w:val="clear" w:color="auto" w:fill="auto"/>
            <w:vAlign w:val="bottom"/>
          </w:tcPr>
          <w:p w14:paraId="74DE04CB" w14:textId="77777777" w:rsidR="00584EC1" w:rsidRDefault="00584EC1">
            <w:pPr>
              <w:rPr>
                <w:rFonts w:ascii="宋体"/>
              </w:rPr>
            </w:pPr>
          </w:p>
        </w:tc>
        <w:tc>
          <w:tcPr>
            <w:tcW w:w="5" w:type="pct"/>
            <w:shd w:val="clear" w:color="auto" w:fill="auto"/>
            <w:vAlign w:val="bottom"/>
          </w:tcPr>
          <w:p w14:paraId="74DE04CC" w14:textId="77777777" w:rsidR="00584EC1" w:rsidRDefault="00584EC1">
            <w:pPr>
              <w:rPr>
                <w:rFonts w:ascii="宋体"/>
              </w:rPr>
            </w:pPr>
          </w:p>
        </w:tc>
        <w:tc>
          <w:tcPr>
            <w:tcW w:w="50" w:type="pct"/>
            <w:shd w:val="clear" w:color="auto" w:fill="auto"/>
            <w:vAlign w:val="bottom"/>
          </w:tcPr>
          <w:p w14:paraId="74DE04CD" w14:textId="77777777" w:rsidR="00584EC1" w:rsidRDefault="00584EC1">
            <w:pPr>
              <w:rPr>
                <w:rFonts w:ascii="宋体"/>
              </w:rPr>
            </w:pPr>
          </w:p>
        </w:tc>
        <w:tc>
          <w:tcPr>
            <w:tcW w:w="610" w:type="pct"/>
            <w:shd w:val="clear" w:color="auto" w:fill="auto"/>
            <w:vAlign w:val="bottom"/>
          </w:tcPr>
          <w:p w14:paraId="74DE04CE" w14:textId="77777777" w:rsidR="00584EC1" w:rsidRDefault="00584EC1">
            <w:pPr>
              <w:rPr>
                <w:rFonts w:ascii="宋体"/>
              </w:rPr>
            </w:pPr>
          </w:p>
        </w:tc>
        <w:tc>
          <w:tcPr>
            <w:tcW w:w="5" w:type="pct"/>
            <w:shd w:val="clear" w:color="auto" w:fill="auto"/>
            <w:vAlign w:val="bottom"/>
          </w:tcPr>
          <w:p w14:paraId="74DE04CF" w14:textId="77777777" w:rsidR="00584EC1" w:rsidRDefault="00584EC1">
            <w:pPr>
              <w:rPr>
                <w:rFonts w:ascii="宋体"/>
              </w:rPr>
            </w:pPr>
          </w:p>
        </w:tc>
        <w:tc>
          <w:tcPr>
            <w:tcW w:w="5" w:type="pct"/>
            <w:shd w:val="clear" w:color="auto" w:fill="auto"/>
            <w:vAlign w:val="bottom"/>
          </w:tcPr>
          <w:p w14:paraId="74DE04D0" w14:textId="77777777" w:rsidR="00584EC1" w:rsidRDefault="00584EC1">
            <w:pPr>
              <w:rPr>
                <w:rFonts w:ascii="宋体"/>
              </w:rPr>
            </w:pPr>
          </w:p>
        </w:tc>
        <w:tc>
          <w:tcPr>
            <w:tcW w:w="26" w:type="pct"/>
            <w:shd w:val="clear" w:color="auto" w:fill="auto"/>
            <w:vAlign w:val="bottom"/>
          </w:tcPr>
          <w:p w14:paraId="74DE04D1" w14:textId="77777777" w:rsidR="00584EC1" w:rsidRDefault="00584EC1">
            <w:pPr>
              <w:rPr>
                <w:rFonts w:ascii="宋体"/>
              </w:rPr>
            </w:pPr>
          </w:p>
        </w:tc>
        <w:tc>
          <w:tcPr>
            <w:tcW w:w="5" w:type="pct"/>
            <w:shd w:val="clear" w:color="auto" w:fill="auto"/>
            <w:vAlign w:val="bottom"/>
          </w:tcPr>
          <w:p w14:paraId="74DE04D2" w14:textId="77777777" w:rsidR="00584EC1" w:rsidRDefault="00584EC1">
            <w:pPr>
              <w:rPr>
                <w:rFonts w:ascii="宋体"/>
              </w:rPr>
            </w:pPr>
          </w:p>
        </w:tc>
        <w:tc>
          <w:tcPr>
            <w:tcW w:w="50" w:type="pct"/>
            <w:shd w:val="clear" w:color="auto" w:fill="auto"/>
            <w:vAlign w:val="bottom"/>
          </w:tcPr>
          <w:p w14:paraId="74DE04D3" w14:textId="77777777" w:rsidR="00584EC1" w:rsidRDefault="00584EC1">
            <w:pPr>
              <w:rPr>
                <w:rFonts w:ascii="宋体"/>
              </w:rPr>
            </w:pPr>
          </w:p>
        </w:tc>
        <w:tc>
          <w:tcPr>
            <w:tcW w:w="624" w:type="pct"/>
            <w:shd w:val="clear" w:color="auto" w:fill="auto"/>
            <w:vAlign w:val="bottom"/>
          </w:tcPr>
          <w:p w14:paraId="74DE04D4" w14:textId="77777777" w:rsidR="00584EC1" w:rsidRDefault="00584EC1">
            <w:pPr>
              <w:rPr>
                <w:rFonts w:ascii="宋体"/>
              </w:rPr>
            </w:pPr>
          </w:p>
        </w:tc>
        <w:tc>
          <w:tcPr>
            <w:tcW w:w="5" w:type="pct"/>
            <w:shd w:val="clear" w:color="auto" w:fill="auto"/>
            <w:vAlign w:val="bottom"/>
          </w:tcPr>
          <w:p w14:paraId="74DE04D5" w14:textId="77777777" w:rsidR="00584EC1" w:rsidRDefault="00584EC1">
            <w:pPr>
              <w:rPr>
                <w:rFonts w:ascii="宋体"/>
              </w:rPr>
            </w:pPr>
          </w:p>
        </w:tc>
        <w:tc>
          <w:tcPr>
            <w:tcW w:w="5" w:type="pct"/>
            <w:shd w:val="clear" w:color="auto" w:fill="auto"/>
            <w:vAlign w:val="bottom"/>
          </w:tcPr>
          <w:p w14:paraId="74DE04D6" w14:textId="77777777" w:rsidR="00584EC1" w:rsidRDefault="00584EC1">
            <w:pPr>
              <w:rPr>
                <w:rFonts w:ascii="宋体"/>
              </w:rPr>
            </w:pPr>
          </w:p>
        </w:tc>
        <w:tc>
          <w:tcPr>
            <w:tcW w:w="26" w:type="pct"/>
            <w:shd w:val="clear" w:color="auto" w:fill="auto"/>
            <w:vAlign w:val="bottom"/>
          </w:tcPr>
          <w:p w14:paraId="74DE04D7" w14:textId="77777777" w:rsidR="00584EC1" w:rsidRDefault="00584EC1">
            <w:pPr>
              <w:rPr>
                <w:rFonts w:ascii="宋体"/>
              </w:rPr>
            </w:pPr>
          </w:p>
        </w:tc>
        <w:tc>
          <w:tcPr>
            <w:tcW w:w="5" w:type="pct"/>
            <w:shd w:val="clear" w:color="auto" w:fill="auto"/>
            <w:vAlign w:val="bottom"/>
          </w:tcPr>
          <w:p w14:paraId="74DE04D8" w14:textId="77777777" w:rsidR="00584EC1" w:rsidRDefault="00584EC1">
            <w:pPr>
              <w:rPr>
                <w:rFonts w:ascii="宋体"/>
              </w:rPr>
            </w:pPr>
          </w:p>
        </w:tc>
        <w:tc>
          <w:tcPr>
            <w:tcW w:w="50" w:type="pct"/>
            <w:shd w:val="clear" w:color="auto" w:fill="auto"/>
            <w:vAlign w:val="bottom"/>
          </w:tcPr>
          <w:p w14:paraId="74DE04D9" w14:textId="77777777" w:rsidR="00584EC1" w:rsidRDefault="00584EC1">
            <w:pPr>
              <w:rPr>
                <w:rFonts w:ascii="宋体"/>
              </w:rPr>
            </w:pPr>
          </w:p>
        </w:tc>
        <w:tc>
          <w:tcPr>
            <w:tcW w:w="566" w:type="pct"/>
            <w:shd w:val="clear" w:color="auto" w:fill="auto"/>
            <w:vAlign w:val="bottom"/>
          </w:tcPr>
          <w:p w14:paraId="74DE04DA" w14:textId="77777777" w:rsidR="00584EC1" w:rsidRDefault="00584EC1">
            <w:pPr>
              <w:rPr>
                <w:rFonts w:ascii="宋体"/>
              </w:rPr>
            </w:pPr>
          </w:p>
        </w:tc>
        <w:tc>
          <w:tcPr>
            <w:tcW w:w="5" w:type="pct"/>
            <w:shd w:val="clear" w:color="auto" w:fill="auto"/>
            <w:vAlign w:val="bottom"/>
          </w:tcPr>
          <w:p w14:paraId="74DE04DB" w14:textId="77777777" w:rsidR="00584EC1" w:rsidRDefault="00584EC1">
            <w:pPr>
              <w:rPr>
                <w:rFonts w:ascii="宋体"/>
              </w:rPr>
            </w:pPr>
          </w:p>
        </w:tc>
      </w:tr>
      <w:tr w:rsidR="00584EC1" w14:paraId="74DE04EF" w14:textId="77777777">
        <w:tc>
          <w:tcPr>
            <w:tcW w:w="0" w:type="auto"/>
            <w:gridSpan w:val="3"/>
            <w:shd w:val="clear" w:color="auto" w:fill="auto"/>
            <w:tcMar>
              <w:top w:w="0" w:type="dxa"/>
              <w:left w:w="20" w:type="dxa"/>
              <w:bottom w:w="0" w:type="dxa"/>
              <w:right w:w="20" w:type="dxa"/>
            </w:tcMar>
            <w:vAlign w:val="bottom"/>
          </w:tcPr>
          <w:p w14:paraId="74DE04DD" w14:textId="77777777" w:rsidR="00584EC1" w:rsidRDefault="00584EC1">
            <w:pPr>
              <w:rPr>
                <w:rFonts w:ascii="宋体"/>
              </w:rPr>
            </w:pPr>
          </w:p>
        </w:tc>
        <w:tc>
          <w:tcPr>
            <w:tcW w:w="0" w:type="auto"/>
            <w:shd w:val="clear" w:color="auto" w:fill="auto"/>
            <w:vAlign w:val="bottom"/>
          </w:tcPr>
          <w:p w14:paraId="74DE04DE" w14:textId="77777777" w:rsidR="00584EC1" w:rsidRDefault="00584EC1">
            <w:pPr>
              <w:rPr>
                <w:rFonts w:ascii="宋体"/>
                <w:vanish/>
              </w:rPr>
            </w:pPr>
          </w:p>
        </w:tc>
        <w:tc>
          <w:tcPr>
            <w:tcW w:w="0" w:type="auto"/>
            <w:shd w:val="clear" w:color="auto" w:fill="auto"/>
            <w:tcMar>
              <w:top w:w="0" w:type="dxa"/>
              <w:left w:w="20" w:type="dxa"/>
              <w:bottom w:w="0" w:type="dxa"/>
              <w:right w:w="20" w:type="dxa"/>
            </w:tcMar>
            <w:vAlign w:val="bottom"/>
          </w:tcPr>
          <w:p w14:paraId="74DE04DF" w14:textId="77777777" w:rsidR="00584EC1" w:rsidRDefault="00584EC1">
            <w:pPr>
              <w:rPr>
                <w:rFonts w:ascii="宋体"/>
              </w:rPr>
            </w:pPr>
          </w:p>
        </w:tc>
        <w:tc>
          <w:tcPr>
            <w:tcW w:w="0" w:type="auto"/>
            <w:gridSpan w:val="9"/>
            <w:shd w:val="clear" w:color="auto" w:fill="auto"/>
            <w:tcMar>
              <w:top w:w="40" w:type="dxa"/>
              <w:left w:w="20" w:type="dxa"/>
              <w:bottom w:w="40" w:type="dxa"/>
              <w:right w:w="20" w:type="dxa"/>
            </w:tcMar>
            <w:vAlign w:val="bottom"/>
          </w:tcPr>
          <w:p w14:paraId="74DE04E0" w14:textId="77777777" w:rsidR="00584EC1" w:rsidRDefault="00871F8D">
            <w:pPr>
              <w:jc w:val="center"/>
              <w:textAlignment w:val="bottom"/>
            </w:pPr>
            <w:r>
              <w:rPr>
                <w:rFonts w:ascii="Arial" w:eastAsia="宋体" w:hAnsi="Arial" w:cs="Arial"/>
                <w:b/>
                <w:bCs/>
                <w:color w:val="000000"/>
                <w:sz w:val="14"/>
                <w:szCs w:val="14"/>
              </w:rPr>
              <w:t>Three Months Ended September 30, 2020</w:t>
            </w:r>
          </w:p>
        </w:tc>
        <w:tc>
          <w:tcPr>
            <w:tcW w:w="0" w:type="auto"/>
            <w:gridSpan w:val="3"/>
            <w:shd w:val="clear" w:color="auto" w:fill="auto"/>
            <w:tcMar>
              <w:top w:w="0" w:type="dxa"/>
              <w:left w:w="20" w:type="dxa"/>
              <w:bottom w:w="0" w:type="dxa"/>
              <w:right w:w="20" w:type="dxa"/>
            </w:tcMar>
            <w:vAlign w:val="bottom"/>
          </w:tcPr>
          <w:p w14:paraId="74DE04E1" w14:textId="77777777" w:rsidR="00584EC1" w:rsidRDefault="00584EC1">
            <w:pPr>
              <w:rPr>
                <w:rFonts w:ascii="宋体"/>
              </w:rPr>
            </w:pPr>
          </w:p>
        </w:tc>
        <w:tc>
          <w:tcPr>
            <w:tcW w:w="0" w:type="auto"/>
            <w:gridSpan w:val="15"/>
            <w:shd w:val="clear" w:color="auto" w:fill="auto"/>
            <w:tcMar>
              <w:top w:w="40" w:type="dxa"/>
              <w:left w:w="20" w:type="dxa"/>
              <w:bottom w:w="40" w:type="dxa"/>
              <w:right w:w="20" w:type="dxa"/>
            </w:tcMar>
            <w:vAlign w:val="bottom"/>
          </w:tcPr>
          <w:p w14:paraId="74DE04E2" w14:textId="77777777" w:rsidR="00584EC1" w:rsidRDefault="00871F8D">
            <w:pPr>
              <w:jc w:val="center"/>
              <w:textAlignment w:val="bottom"/>
            </w:pPr>
            <w:r>
              <w:rPr>
                <w:rFonts w:ascii="Arial" w:eastAsia="宋体" w:hAnsi="Arial" w:cs="Arial"/>
                <w:b/>
                <w:bCs/>
                <w:color w:val="000000"/>
                <w:sz w:val="14"/>
                <w:szCs w:val="14"/>
              </w:rPr>
              <w:t>Nine Months Ended September 30, 2020</w:t>
            </w:r>
          </w:p>
        </w:tc>
        <w:tc>
          <w:tcPr>
            <w:tcW w:w="0" w:type="auto"/>
            <w:shd w:val="clear" w:color="auto" w:fill="auto"/>
            <w:vAlign w:val="bottom"/>
          </w:tcPr>
          <w:p w14:paraId="74DE04E3" w14:textId="77777777" w:rsidR="00584EC1" w:rsidRDefault="00584EC1">
            <w:pPr>
              <w:rPr>
                <w:rFonts w:ascii="宋体"/>
              </w:rPr>
            </w:pPr>
          </w:p>
        </w:tc>
        <w:tc>
          <w:tcPr>
            <w:tcW w:w="0" w:type="auto"/>
            <w:shd w:val="clear" w:color="auto" w:fill="auto"/>
            <w:vAlign w:val="bottom"/>
          </w:tcPr>
          <w:p w14:paraId="74DE04E4" w14:textId="77777777" w:rsidR="00584EC1" w:rsidRDefault="00584EC1">
            <w:pPr>
              <w:rPr>
                <w:rFonts w:ascii="宋体"/>
              </w:rPr>
            </w:pPr>
          </w:p>
        </w:tc>
        <w:tc>
          <w:tcPr>
            <w:tcW w:w="0" w:type="auto"/>
            <w:shd w:val="clear" w:color="auto" w:fill="auto"/>
            <w:vAlign w:val="bottom"/>
          </w:tcPr>
          <w:p w14:paraId="74DE04E5" w14:textId="77777777" w:rsidR="00584EC1" w:rsidRDefault="00584EC1">
            <w:pPr>
              <w:rPr>
                <w:rFonts w:ascii="宋体"/>
              </w:rPr>
            </w:pPr>
          </w:p>
        </w:tc>
        <w:tc>
          <w:tcPr>
            <w:tcW w:w="0" w:type="auto"/>
            <w:shd w:val="clear" w:color="auto" w:fill="auto"/>
            <w:vAlign w:val="bottom"/>
          </w:tcPr>
          <w:p w14:paraId="74DE04E6" w14:textId="77777777" w:rsidR="00584EC1" w:rsidRDefault="00584EC1">
            <w:pPr>
              <w:rPr>
                <w:rFonts w:ascii="宋体"/>
              </w:rPr>
            </w:pPr>
          </w:p>
        </w:tc>
        <w:tc>
          <w:tcPr>
            <w:tcW w:w="0" w:type="auto"/>
            <w:shd w:val="clear" w:color="auto" w:fill="auto"/>
            <w:vAlign w:val="bottom"/>
          </w:tcPr>
          <w:p w14:paraId="74DE04E7" w14:textId="77777777" w:rsidR="00584EC1" w:rsidRDefault="00584EC1">
            <w:pPr>
              <w:rPr>
                <w:rFonts w:ascii="宋体"/>
              </w:rPr>
            </w:pPr>
          </w:p>
        </w:tc>
        <w:tc>
          <w:tcPr>
            <w:tcW w:w="0" w:type="auto"/>
            <w:shd w:val="clear" w:color="auto" w:fill="auto"/>
            <w:vAlign w:val="bottom"/>
          </w:tcPr>
          <w:p w14:paraId="74DE04E8" w14:textId="77777777" w:rsidR="00584EC1" w:rsidRDefault="00584EC1">
            <w:pPr>
              <w:rPr>
                <w:rFonts w:ascii="宋体"/>
              </w:rPr>
            </w:pPr>
          </w:p>
        </w:tc>
        <w:tc>
          <w:tcPr>
            <w:tcW w:w="0" w:type="auto"/>
            <w:shd w:val="clear" w:color="auto" w:fill="auto"/>
            <w:vAlign w:val="bottom"/>
          </w:tcPr>
          <w:p w14:paraId="74DE04E9" w14:textId="77777777" w:rsidR="00584EC1" w:rsidRDefault="00584EC1">
            <w:pPr>
              <w:rPr>
                <w:rFonts w:ascii="宋体"/>
              </w:rPr>
            </w:pPr>
          </w:p>
        </w:tc>
        <w:tc>
          <w:tcPr>
            <w:tcW w:w="0" w:type="auto"/>
            <w:shd w:val="clear" w:color="auto" w:fill="auto"/>
            <w:vAlign w:val="bottom"/>
          </w:tcPr>
          <w:p w14:paraId="74DE04EA" w14:textId="77777777" w:rsidR="00584EC1" w:rsidRDefault="00584EC1">
            <w:pPr>
              <w:rPr>
                <w:rFonts w:ascii="宋体"/>
              </w:rPr>
            </w:pPr>
          </w:p>
        </w:tc>
        <w:tc>
          <w:tcPr>
            <w:tcW w:w="0" w:type="auto"/>
            <w:shd w:val="clear" w:color="auto" w:fill="auto"/>
            <w:vAlign w:val="bottom"/>
          </w:tcPr>
          <w:p w14:paraId="74DE04EB" w14:textId="77777777" w:rsidR="00584EC1" w:rsidRDefault="00584EC1">
            <w:pPr>
              <w:rPr>
                <w:rFonts w:ascii="宋体"/>
              </w:rPr>
            </w:pPr>
          </w:p>
        </w:tc>
        <w:tc>
          <w:tcPr>
            <w:tcW w:w="0" w:type="auto"/>
            <w:shd w:val="clear" w:color="auto" w:fill="auto"/>
            <w:vAlign w:val="bottom"/>
          </w:tcPr>
          <w:p w14:paraId="74DE04EC" w14:textId="77777777" w:rsidR="00584EC1" w:rsidRDefault="00584EC1">
            <w:pPr>
              <w:rPr>
                <w:rFonts w:ascii="宋体"/>
              </w:rPr>
            </w:pPr>
          </w:p>
        </w:tc>
        <w:tc>
          <w:tcPr>
            <w:tcW w:w="0" w:type="auto"/>
            <w:shd w:val="clear" w:color="auto" w:fill="auto"/>
            <w:vAlign w:val="bottom"/>
          </w:tcPr>
          <w:p w14:paraId="74DE04ED" w14:textId="77777777" w:rsidR="00584EC1" w:rsidRDefault="00584EC1">
            <w:pPr>
              <w:rPr>
                <w:rFonts w:ascii="宋体"/>
              </w:rPr>
            </w:pPr>
          </w:p>
        </w:tc>
        <w:tc>
          <w:tcPr>
            <w:tcW w:w="0" w:type="auto"/>
            <w:shd w:val="clear" w:color="auto" w:fill="auto"/>
            <w:vAlign w:val="bottom"/>
          </w:tcPr>
          <w:p w14:paraId="74DE04EE" w14:textId="77777777" w:rsidR="00584EC1" w:rsidRDefault="00584EC1">
            <w:pPr>
              <w:rPr>
                <w:rFonts w:ascii="宋体"/>
              </w:rPr>
            </w:pPr>
          </w:p>
        </w:tc>
      </w:tr>
      <w:tr w:rsidR="00584EC1" w14:paraId="74DE0502" w14:textId="77777777">
        <w:tc>
          <w:tcPr>
            <w:tcW w:w="0" w:type="auto"/>
            <w:gridSpan w:val="3"/>
            <w:shd w:val="clear" w:color="auto" w:fill="auto"/>
            <w:tcMar>
              <w:top w:w="0" w:type="dxa"/>
              <w:left w:w="20" w:type="dxa"/>
              <w:bottom w:w="0" w:type="dxa"/>
              <w:right w:w="20" w:type="dxa"/>
            </w:tcMar>
            <w:vAlign w:val="bottom"/>
          </w:tcPr>
          <w:p w14:paraId="74DE04F0" w14:textId="77777777" w:rsidR="00584EC1" w:rsidRDefault="00584EC1">
            <w:pPr>
              <w:rPr>
                <w:rFonts w:ascii="宋体"/>
              </w:rPr>
            </w:pPr>
          </w:p>
        </w:tc>
        <w:tc>
          <w:tcPr>
            <w:tcW w:w="0" w:type="auto"/>
            <w:shd w:val="clear" w:color="auto" w:fill="auto"/>
            <w:vAlign w:val="bottom"/>
          </w:tcPr>
          <w:p w14:paraId="74DE04F1" w14:textId="77777777" w:rsidR="00584EC1" w:rsidRDefault="00584EC1">
            <w:pPr>
              <w:rPr>
                <w:rFonts w:ascii="宋体"/>
                <w:vanish/>
              </w:rPr>
            </w:pPr>
          </w:p>
        </w:tc>
        <w:tc>
          <w:tcPr>
            <w:tcW w:w="0" w:type="auto"/>
            <w:shd w:val="clear" w:color="auto" w:fill="auto"/>
            <w:vAlign w:val="bottom"/>
          </w:tcPr>
          <w:p w14:paraId="74DE04F2" w14:textId="77777777" w:rsidR="00584EC1" w:rsidRDefault="00584EC1">
            <w:pPr>
              <w:rPr>
                <w:rFonts w:ascii="宋体"/>
                <w:vanish/>
              </w:rPr>
            </w:pPr>
          </w:p>
        </w:tc>
        <w:tc>
          <w:tcPr>
            <w:tcW w:w="0" w:type="auto"/>
            <w:shd w:val="clear" w:color="auto" w:fill="auto"/>
            <w:vAlign w:val="bottom"/>
          </w:tcPr>
          <w:p w14:paraId="74DE04F3" w14:textId="77777777" w:rsidR="00584EC1" w:rsidRDefault="00584EC1">
            <w:pPr>
              <w:rPr>
                <w:rFonts w:ascii="宋体"/>
                <w:vanish/>
              </w:rPr>
            </w:pPr>
          </w:p>
        </w:tc>
        <w:tc>
          <w:tcPr>
            <w:tcW w:w="0" w:type="auto"/>
            <w:shd w:val="clear" w:color="auto" w:fill="auto"/>
            <w:vAlign w:val="bottom"/>
          </w:tcPr>
          <w:p w14:paraId="74DE04F4" w14:textId="77777777" w:rsidR="00584EC1" w:rsidRDefault="00584EC1">
            <w:pPr>
              <w:rPr>
                <w:rFonts w:ascii="宋体"/>
                <w:vanish/>
              </w:rPr>
            </w:pPr>
          </w:p>
        </w:tc>
        <w:tc>
          <w:tcPr>
            <w:tcW w:w="0" w:type="auto"/>
            <w:shd w:val="clear" w:color="auto" w:fill="auto"/>
            <w:vAlign w:val="bottom"/>
          </w:tcPr>
          <w:p w14:paraId="74DE04F5" w14:textId="77777777" w:rsidR="00584EC1" w:rsidRDefault="00584EC1">
            <w:pPr>
              <w:rPr>
                <w:rFonts w:ascii="宋体"/>
                <w:vanish/>
              </w:rPr>
            </w:pPr>
          </w:p>
        </w:tc>
        <w:tc>
          <w:tcPr>
            <w:tcW w:w="0" w:type="auto"/>
            <w:gridSpan w:val="3"/>
            <w:shd w:val="clear" w:color="auto" w:fill="auto"/>
            <w:tcMar>
              <w:top w:w="0" w:type="dxa"/>
              <w:left w:w="20" w:type="dxa"/>
              <w:bottom w:w="0" w:type="dxa"/>
              <w:right w:w="20" w:type="dxa"/>
            </w:tcMar>
            <w:vAlign w:val="bottom"/>
          </w:tcPr>
          <w:p w14:paraId="74DE04F6"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04F7" w14:textId="77777777" w:rsidR="00584EC1" w:rsidRDefault="00871F8D">
            <w:pPr>
              <w:jc w:val="center"/>
              <w:textAlignment w:val="bottom"/>
            </w:pPr>
            <w:r>
              <w:rPr>
                <w:rFonts w:ascii="Arial" w:eastAsia="宋体" w:hAnsi="Arial" w:cs="Arial"/>
                <w:b/>
                <w:bCs/>
                <w:color w:val="000000"/>
                <w:sz w:val="14"/>
                <w:szCs w:val="14"/>
              </w:rPr>
              <w:t xml:space="preserve">Shares Acquired </w:t>
            </w:r>
            <w:r>
              <w:rPr>
                <w:rFonts w:ascii="Arial" w:eastAsia="宋体" w:hAnsi="Arial" w:cs="Arial"/>
                <w:b/>
                <w:bCs/>
                <w:color w:val="000000"/>
                <w:sz w:val="14"/>
                <w:szCs w:val="14"/>
              </w:rPr>
              <w:br/>
              <w:t>(In millions)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04F8"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04F9" w14:textId="77777777" w:rsidR="00584EC1" w:rsidRDefault="00871F8D">
            <w:pPr>
              <w:jc w:val="center"/>
              <w:textAlignment w:val="bottom"/>
            </w:pPr>
            <w:r>
              <w:rPr>
                <w:rFonts w:ascii="Arial" w:eastAsia="宋体" w:hAnsi="Arial" w:cs="Arial"/>
                <w:b/>
                <w:bCs/>
                <w:color w:val="000000"/>
                <w:sz w:val="14"/>
                <w:szCs w:val="14"/>
              </w:rPr>
              <w:t>Average Cost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04FA"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04FB" w14:textId="77777777" w:rsidR="00584EC1" w:rsidRDefault="00871F8D">
            <w:pPr>
              <w:jc w:val="center"/>
              <w:textAlignment w:val="bottom"/>
            </w:pPr>
            <w:r>
              <w:rPr>
                <w:rFonts w:ascii="Arial" w:eastAsia="宋体" w:hAnsi="Arial" w:cs="Arial"/>
                <w:b/>
                <w:bCs/>
                <w:color w:val="000000"/>
                <w:sz w:val="14"/>
                <w:szCs w:val="14"/>
              </w:rPr>
              <w:t xml:space="preserve">Total Acquired </w:t>
            </w:r>
            <w:r>
              <w:rPr>
                <w:rFonts w:ascii="Arial" w:eastAsia="宋体" w:hAnsi="Arial" w:cs="Arial"/>
                <w:b/>
                <w:bCs/>
                <w:color w:val="000000"/>
                <w:sz w:val="14"/>
                <w:szCs w:val="14"/>
              </w:rPr>
              <w:br/>
              <w:t>(In millions)</w:t>
            </w:r>
          </w:p>
        </w:tc>
        <w:tc>
          <w:tcPr>
            <w:tcW w:w="0" w:type="auto"/>
            <w:gridSpan w:val="3"/>
            <w:shd w:val="clear" w:color="auto" w:fill="auto"/>
            <w:tcMar>
              <w:top w:w="0" w:type="dxa"/>
              <w:left w:w="20" w:type="dxa"/>
              <w:bottom w:w="0" w:type="dxa"/>
              <w:right w:w="20" w:type="dxa"/>
            </w:tcMar>
            <w:vAlign w:val="bottom"/>
          </w:tcPr>
          <w:p w14:paraId="74DE04FC"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04FD" w14:textId="77777777" w:rsidR="00584EC1" w:rsidRDefault="00871F8D">
            <w:pPr>
              <w:jc w:val="center"/>
              <w:textAlignment w:val="bottom"/>
            </w:pPr>
            <w:r>
              <w:rPr>
                <w:rFonts w:ascii="Arial" w:eastAsia="宋体" w:hAnsi="Arial" w:cs="Arial"/>
                <w:b/>
                <w:bCs/>
                <w:color w:val="000000"/>
                <w:sz w:val="14"/>
                <w:szCs w:val="14"/>
              </w:rPr>
              <w:t>Shares Acquired (In millions)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04FE"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04FF" w14:textId="77777777" w:rsidR="00584EC1" w:rsidRDefault="00871F8D">
            <w:pPr>
              <w:jc w:val="center"/>
              <w:textAlignment w:val="bottom"/>
            </w:pPr>
            <w:r>
              <w:rPr>
                <w:rFonts w:ascii="Arial" w:eastAsia="宋体" w:hAnsi="Arial" w:cs="Arial"/>
                <w:b/>
                <w:bCs/>
                <w:color w:val="000000"/>
                <w:sz w:val="14"/>
                <w:szCs w:val="14"/>
              </w:rPr>
              <w:t>Average Cost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0500"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0501" w14:textId="77777777" w:rsidR="00584EC1" w:rsidRDefault="00871F8D">
            <w:pPr>
              <w:jc w:val="center"/>
              <w:textAlignment w:val="bottom"/>
            </w:pPr>
            <w:r>
              <w:rPr>
                <w:rFonts w:ascii="Arial" w:eastAsia="宋体" w:hAnsi="Arial" w:cs="Arial"/>
                <w:b/>
                <w:bCs/>
                <w:color w:val="000000"/>
                <w:sz w:val="14"/>
                <w:szCs w:val="14"/>
              </w:rPr>
              <w:t>Total Acquired (In millions)</w:t>
            </w:r>
          </w:p>
        </w:tc>
      </w:tr>
      <w:tr w:rsidR="00584EC1" w14:paraId="74DE0515" w14:textId="77777777">
        <w:trPr>
          <w:hidden/>
        </w:trPr>
        <w:tc>
          <w:tcPr>
            <w:tcW w:w="0" w:type="auto"/>
            <w:gridSpan w:val="3"/>
            <w:shd w:val="clear" w:color="auto" w:fill="auto"/>
            <w:vAlign w:val="bottom"/>
          </w:tcPr>
          <w:p w14:paraId="74DE0503" w14:textId="77777777" w:rsidR="00584EC1" w:rsidRDefault="00584EC1">
            <w:pPr>
              <w:rPr>
                <w:rFonts w:ascii="宋体"/>
                <w:vanish/>
              </w:rPr>
            </w:pPr>
          </w:p>
        </w:tc>
        <w:tc>
          <w:tcPr>
            <w:tcW w:w="0" w:type="auto"/>
            <w:shd w:val="clear" w:color="auto" w:fill="auto"/>
            <w:vAlign w:val="bottom"/>
          </w:tcPr>
          <w:p w14:paraId="74DE0504" w14:textId="77777777" w:rsidR="00584EC1" w:rsidRDefault="00584EC1">
            <w:pPr>
              <w:rPr>
                <w:rFonts w:ascii="宋体"/>
                <w:vanish/>
              </w:rPr>
            </w:pPr>
          </w:p>
        </w:tc>
        <w:tc>
          <w:tcPr>
            <w:tcW w:w="0" w:type="auto"/>
            <w:shd w:val="clear" w:color="auto" w:fill="auto"/>
            <w:vAlign w:val="bottom"/>
          </w:tcPr>
          <w:p w14:paraId="74DE0505" w14:textId="77777777" w:rsidR="00584EC1" w:rsidRDefault="00584EC1">
            <w:pPr>
              <w:rPr>
                <w:rFonts w:ascii="宋体"/>
                <w:vanish/>
              </w:rPr>
            </w:pPr>
          </w:p>
        </w:tc>
        <w:tc>
          <w:tcPr>
            <w:tcW w:w="0" w:type="auto"/>
            <w:shd w:val="clear" w:color="auto" w:fill="auto"/>
            <w:vAlign w:val="bottom"/>
          </w:tcPr>
          <w:p w14:paraId="74DE0506" w14:textId="77777777" w:rsidR="00584EC1" w:rsidRDefault="00584EC1">
            <w:pPr>
              <w:rPr>
                <w:rFonts w:ascii="宋体"/>
                <w:vanish/>
              </w:rPr>
            </w:pPr>
          </w:p>
        </w:tc>
        <w:tc>
          <w:tcPr>
            <w:tcW w:w="0" w:type="auto"/>
            <w:shd w:val="clear" w:color="auto" w:fill="auto"/>
            <w:vAlign w:val="bottom"/>
          </w:tcPr>
          <w:p w14:paraId="74DE0507" w14:textId="77777777" w:rsidR="00584EC1" w:rsidRDefault="00584EC1">
            <w:pPr>
              <w:rPr>
                <w:rFonts w:ascii="宋体"/>
                <w:vanish/>
              </w:rPr>
            </w:pPr>
          </w:p>
        </w:tc>
        <w:tc>
          <w:tcPr>
            <w:tcW w:w="0" w:type="auto"/>
            <w:shd w:val="clear" w:color="auto" w:fill="auto"/>
            <w:vAlign w:val="bottom"/>
          </w:tcPr>
          <w:p w14:paraId="74DE0508" w14:textId="77777777" w:rsidR="00584EC1" w:rsidRDefault="00584EC1">
            <w:pPr>
              <w:rPr>
                <w:rFonts w:ascii="宋体"/>
                <w:vanish/>
              </w:rPr>
            </w:pPr>
          </w:p>
        </w:tc>
        <w:tc>
          <w:tcPr>
            <w:tcW w:w="0" w:type="auto"/>
            <w:gridSpan w:val="3"/>
            <w:shd w:val="clear" w:color="auto" w:fill="auto"/>
            <w:vAlign w:val="bottom"/>
          </w:tcPr>
          <w:p w14:paraId="74DE0509" w14:textId="77777777" w:rsidR="00584EC1" w:rsidRDefault="00584EC1">
            <w:pPr>
              <w:rPr>
                <w:rFonts w:ascii="宋体"/>
                <w:vanish/>
              </w:rPr>
            </w:pPr>
          </w:p>
        </w:tc>
        <w:tc>
          <w:tcPr>
            <w:tcW w:w="0" w:type="auto"/>
            <w:gridSpan w:val="3"/>
            <w:shd w:val="clear" w:color="auto" w:fill="auto"/>
            <w:vAlign w:val="bottom"/>
          </w:tcPr>
          <w:p w14:paraId="74DE050A" w14:textId="77777777" w:rsidR="00584EC1" w:rsidRDefault="00584EC1">
            <w:pPr>
              <w:rPr>
                <w:rFonts w:ascii="宋体"/>
                <w:vanish/>
              </w:rPr>
            </w:pPr>
          </w:p>
        </w:tc>
        <w:tc>
          <w:tcPr>
            <w:tcW w:w="0" w:type="auto"/>
            <w:gridSpan w:val="3"/>
            <w:shd w:val="clear" w:color="auto" w:fill="auto"/>
            <w:vAlign w:val="bottom"/>
          </w:tcPr>
          <w:p w14:paraId="74DE050B" w14:textId="77777777" w:rsidR="00584EC1" w:rsidRDefault="00584EC1">
            <w:pPr>
              <w:rPr>
                <w:rFonts w:ascii="宋体"/>
                <w:vanish/>
              </w:rPr>
            </w:pPr>
          </w:p>
        </w:tc>
        <w:tc>
          <w:tcPr>
            <w:tcW w:w="0" w:type="auto"/>
            <w:gridSpan w:val="3"/>
            <w:shd w:val="clear" w:color="auto" w:fill="auto"/>
            <w:vAlign w:val="bottom"/>
          </w:tcPr>
          <w:p w14:paraId="74DE050C" w14:textId="77777777" w:rsidR="00584EC1" w:rsidRDefault="00584EC1">
            <w:pPr>
              <w:rPr>
                <w:rFonts w:ascii="宋体"/>
                <w:vanish/>
              </w:rPr>
            </w:pPr>
          </w:p>
        </w:tc>
        <w:tc>
          <w:tcPr>
            <w:tcW w:w="0" w:type="auto"/>
            <w:gridSpan w:val="3"/>
            <w:shd w:val="clear" w:color="auto" w:fill="auto"/>
            <w:vAlign w:val="bottom"/>
          </w:tcPr>
          <w:p w14:paraId="74DE050D" w14:textId="77777777" w:rsidR="00584EC1" w:rsidRDefault="00584EC1">
            <w:pPr>
              <w:rPr>
                <w:rFonts w:ascii="宋体"/>
                <w:vanish/>
              </w:rPr>
            </w:pPr>
          </w:p>
        </w:tc>
        <w:tc>
          <w:tcPr>
            <w:tcW w:w="0" w:type="auto"/>
            <w:gridSpan w:val="3"/>
            <w:shd w:val="clear" w:color="auto" w:fill="auto"/>
            <w:vAlign w:val="bottom"/>
          </w:tcPr>
          <w:p w14:paraId="74DE050E" w14:textId="77777777" w:rsidR="00584EC1" w:rsidRDefault="00584EC1">
            <w:pPr>
              <w:rPr>
                <w:rFonts w:ascii="宋体"/>
                <w:vanish/>
              </w:rPr>
            </w:pPr>
          </w:p>
        </w:tc>
        <w:tc>
          <w:tcPr>
            <w:tcW w:w="0" w:type="auto"/>
            <w:gridSpan w:val="3"/>
            <w:shd w:val="clear" w:color="auto" w:fill="auto"/>
            <w:vAlign w:val="bottom"/>
          </w:tcPr>
          <w:p w14:paraId="74DE050F" w14:textId="77777777" w:rsidR="00584EC1" w:rsidRDefault="00584EC1">
            <w:pPr>
              <w:rPr>
                <w:rFonts w:ascii="宋体"/>
                <w:vanish/>
              </w:rPr>
            </w:pPr>
          </w:p>
        </w:tc>
        <w:tc>
          <w:tcPr>
            <w:tcW w:w="0" w:type="auto"/>
            <w:gridSpan w:val="3"/>
            <w:shd w:val="clear" w:color="auto" w:fill="auto"/>
            <w:vAlign w:val="bottom"/>
          </w:tcPr>
          <w:p w14:paraId="74DE0510" w14:textId="77777777" w:rsidR="00584EC1" w:rsidRDefault="00584EC1">
            <w:pPr>
              <w:rPr>
                <w:rFonts w:ascii="宋体"/>
                <w:vanish/>
              </w:rPr>
            </w:pPr>
          </w:p>
        </w:tc>
        <w:tc>
          <w:tcPr>
            <w:tcW w:w="0" w:type="auto"/>
            <w:gridSpan w:val="3"/>
            <w:shd w:val="clear" w:color="auto" w:fill="auto"/>
            <w:vAlign w:val="bottom"/>
          </w:tcPr>
          <w:p w14:paraId="74DE0511" w14:textId="77777777" w:rsidR="00584EC1" w:rsidRDefault="00584EC1">
            <w:pPr>
              <w:rPr>
                <w:rFonts w:ascii="宋体"/>
                <w:vanish/>
              </w:rPr>
            </w:pPr>
          </w:p>
        </w:tc>
        <w:tc>
          <w:tcPr>
            <w:tcW w:w="0" w:type="auto"/>
            <w:gridSpan w:val="3"/>
            <w:shd w:val="clear" w:color="auto" w:fill="auto"/>
            <w:vAlign w:val="bottom"/>
          </w:tcPr>
          <w:p w14:paraId="74DE0512" w14:textId="77777777" w:rsidR="00584EC1" w:rsidRDefault="00584EC1">
            <w:pPr>
              <w:rPr>
                <w:rFonts w:ascii="宋体"/>
                <w:vanish/>
              </w:rPr>
            </w:pPr>
          </w:p>
        </w:tc>
        <w:tc>
          <w:tcPr>
            <w:tcW w:w="0" w:type="auto"/>
            <w:gridSpan w:val="3"/>
            <w:shd w:val="clear" w:color="auto" w:fill="auto"/>
            <w:vAlign w:val="bottom"/>
          </w:tcPr>
          <w:p w14:paraId="74DE0513" w14:textId="77777777" w:rsidR="00584EC1" w:rsidRDefault="00584EC1">
            <w:pPr>
              <w:rPr>
                <w:rFonts w:ascii="宋体"/>
                <w:vanish/>
              </w:rPr>
            </w:pPr>
          </w:p>
        </w:tc>
        <w:tc>
          <w:tcPr>
            <w:tcW w:w="0" w:type="auto"/>
            <w:gridSpan w:val="3"/>
            <w:shd w:val="clear" w:color="auto" w:fill="auto"/>
            <w:vAlign w:val="bottom"/>
          </w:tcPr>
          <w:p w14:paraId="74DE0514" w14:textId="77777777" w:rsidR="00584EC1" w:rsidRDefault="00584EC1">
            <w:pPr>
              <w:rPr>
                <w:rFonts w:ascii="宋体"/>
                <w:vanish/>
              </w:rPr>
            </w:pPr>
          </w:p>
        </w:tc>
      </w:tr>
      <w:tr w:rsidR="00584EC1" w14:paraId="74DE0532" w14:textId="77777777">
        <w:tc>
          <w:tcPr>
            <w:tcW w:w="0" w:type="auto"/>
            <w:gridSpan w:val="3"/>
            <w:shd w:val="clear" w:color="auto" w:fill="CCEEFF"/>
            <w:tcMar>
              <w:top w:w="40" w:type="dxa"/>
              <w:left w:w="20" w:type="dxa"/>
              <w:bottom w:w="40" w:type="dxa"/>
              <w:right w:w="20" w:type="dxa"/>
            </w:tcMar>
            <w:vAlign w:val="bottom"/>
          </w:tcPr>
          <w:p w14:paraId="74DE0516" w14:textId="77777777" w:rsidR="00584EC1" w:rsidRDefault="00871F8D">
            <w:pPr>
              <w:textAlignment w:val="bottom"/>
            </w:pPr>
            <w:r>
              <w:rPr>
                <w:rFonts w:ascii="Arial" w:eastAsia="宋体" w:hAnsi="Arial" w:cs="Arial"/>
                <w:color w:val="000000"/>
                <w:sz w:val="14"/>
                <w:szCs w:val="14"/>
              </w:rPr>
              <w:t>2019 Program</w:t>
            </w:r>
          </w:p>
        </w:tc>
        <w:tc>
          <w:tcPr>
            <w:tcW w:w="0" w:type="auto"/>
            <w:shd w:val="clear" w:color="auto" w:fill="auto"/>
            <w:vAlign w:val="bottom"/>
          </w:tcPr>
          <w:p w14:paraId="74DE0517" w14:textId="77777777" w:rsidR="00584EC1" w:rsidRDefault="00584EC1">
            <w:pPr>
              <w:rPr>
                <w:rFonts w:ascii="宋体"/>
                <w:vanish/>
              </w:rPr>
            </w:pPr>
          </w:p>
        </w:tc>
        <w:tc>
          <w:tcPr>
            <w:tcW w:w="0" w:type="auto"/>
            <w:shd w:val="clear" w:color="auto" w:fill="auto"/>
            <w:vAlign w:val="bottom"/>
          </w:tcPr>
          <w:p w14:paraId="74DE0518" w14:textId="77777777" w:rsidR="00584EC1" w:rsidRDefault="00584EC1">
            <w:pPr>
              <w:rPr>
                <w:rFonts w:ascii="宋体"/>
                <w:vanish/>
              </w:rPr>
            </w:pPr>
          </w:p>
        </w:tc>
        <w:tc>
          <w:tcPr>
            <w:tcW w:w="0" w:type="auto"/>
            <w:shd w:val="clear" w:color="auto" w:fill="auto"/>
            <w:vAlign w:val="bottom"/>
          </w:tcPr>
          <w:p w14:paraId="74DE0519" w14:textId="77777777" w:rsidR="00584EC1" w:rsidRDefault="00584EC1">
            <w:pPr>
              <w:rPr>
                <w:rFonts w:ascii="宋体"/>
                <w:vanish/>
              </w:rPr>
            </w:pPr>
          </w:p>
        </w:tc>
        <w:tc>
          <w:tcPr>
            <w:tcW w:w="0" w:type="auto"/>
            <w:shd w:val="clear" w:color="auto" w:fill="auto"/>
            <w:vAlign w:val="bottom"/>
          </w:tcPr>
          <w:p w14:paraId="74DE051A" w14:textId="77777777" w:rsidR="00584EC1" w:rsidRDefault="00584EC1">
            <w:pPr>
              <w:rPr>
                <w:rFonts w:ascii="宋体"/>
                <w:vanish/>
              </w:rPr>
            </w:pPr>
          </w:p>
        </w:tc>
        <w:tc>
          <w:tcPr>
            <w:tcW w:w="0" w:type="auto"/>
            <w:shd w:val="clear" w:color="auto" w:fill="auto"/>
            <w:vAlign w:val="bottom"/>
          </w:tcPr>
          <w:p w14:paraId="74DE051B" w14:textId="77777777" w:rsidR="00584EC1" w:rsidRDefault="00584EC1">
            <w:pPr>
              <w:rPr>
                <w:rFonts w:ascii="宋体"/>
                <w:vanish/>
              </w:rPr>
            </w:pPr>
          </w:p>
        </w:tc>
        <w:tc>
          <w:tcPr>
            <w:tcW w:w="0" w:type="auto"/>
            <w:gridSpan w:val="3"/>
            <w:shd w:val="clear" w:color="auto" w:fill="CCEEFF"/>
            <w:tcMar>
              <w:top w:w="0" w:type="dxa"/>
              <w:left w:w="20" w:type="dxa"/>
              <w:bottom w:w="0" w:type="dxa"/>
              <w:right w:w="20" w:type="dxa"/>
            </w:tcMar>
            <w:vAlign w:val="bottom"/>
          </w:tcPr>
          <w:p w14:paraId="74DE051C"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E051D"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51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51F"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0520"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0521"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52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523"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0524"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0525"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52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527"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E0528" w14:textId="77777777" w:rsidR="00584EC1" w:rsidRDefault="00871F8D">
            <w:pPr>
              <w:jc w:val="right"/>
              <w:textAlignment w:val="bottom"/>
            </w:pPr>
            <w:r>
              <w:rPr>
                <w:rFonts w:ascii="Arial" w:eastAsia="宋体" w:hAnsi="Arial" w:cs="Arial"/>
                <w:color w:val="000000"/>
                <w:sz w:val="14"/>
                <w:szCs w:val="14"/>
              </w:rPr>
              <w:t>6.5 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52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52A"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052B"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052C" w14:textId="77777777" w:rsidR="00584EC1" w:rsidRDefault="00871F8D">
            <w:pPr>
              <w:jc w:val="right"/>
              <w:textAlignment w:val="bottom"/>
            </w:pPr>
            <w:r>
              <w:rPr>
                <w:rFonts w:ascii="Arial" w:eastAsia="宋体" w:hAnsi="Arial" w:cs="Arial"/>
                <w:color w:val="000000"/>
                <w:sz w:val="14"/>
                <w:szCs w:val="14"/>
              </w:rPr>
              <w:t>77.35 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52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52E"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052F"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0530" w14:textId="77777777" w:rsidR="00584EC1" w:rsidRDefault="00871F8D">
            <w:pPr>
              <w:jc w:val="right"/>
              <w:textAlignment w:val="bottom"/>
            </w:pPr>
            <w:r>
              <w:rPr>
                <w:rFonts w:ascii="Arial" w:eastAsia="宋体" w:hAnsi="Arial" w:cs="Arial"/>
                <w:color w:val="000000"/>
                <w:sz w:val="14"/>
                <w:szCs w:val="14"/>
              </w:rPr>
              <w:t>500 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531" w14:textId="77777777" w:rsidR="00584EC1" w:rsidRDefault="00584EC1">
            <w:pPr>
              <w:jc w:val="right"/>
              <w:rPr>
                <w:rFonts w:ascii="宋体"/>
              </w:rPr>
            </w:pPr>
          </w:p>
        </w:tc>
      </w:tr>
      <w:tr w:rsidR="00584EC1" w14:paraId="74DE0545" w14:textId="77777777">
        <w:trPr>
          <w:hidden/>
        </w:trPr>
        <w:tc>
          <w:tcPr>
            <w:tcW w:w="0" w:type="auto"/>
            <w:gridSpan w:val="3"/>
            <w:shd w:val="clear" w:color="auto" w:fill="auto"/>
            <w:vAlign w:val="bottom"/>
          </w:tcPr>
          <w:p w14:paraId="74DE0533" w14:textId="77777777" w:rsidR="00584EC1" w:rsidRDefault="00584EC1">
            <w:pPr>
              <w:rPr>
                <w:rFonts w:ascii="宋体"/>
                <w:vanish/>
              </w:rPr>
            </w:pPr>
          </w:p>
        </w:tc>
        <w:tc>
          <w:tcPr>
            <w:tcW w:w="0" w:type="auto"/>
            <w:shd w:val="clear" w:color="auto" w:fill="auto"/>
            <w:vAlign w:val="bottom"/>
          </w:tcPr>
          <w:p w14:paraId="74DE0534" w14:textId="77777777" w:rsidR="00584EC1" w:rsidRDefault="00584EC1">
            <w:pPr>
              <w:rPr>
                <w:rFonts w:ascii="宋体"/>
                <w:vanish/>
              </w:rPr>
            </w:pPr>
          </w:p>
        </w:tc>
        <w:tc>
          <w:tcPr>
            <w:tcW w:w="0" w:type="auto"/>
            <w:shd w:val="clear" w:color="auto" w:fill="auto"/>
            <w:vAlign w:val="bottom"/>
          </w:tcPr>
          <w:p w14:paraId="74DE0535" w14:textId="77777777" w:rsidR="00584EC1" w:rsidRDefault="00584EC1">
            <w:pPr>
              <w:rPr>
                <w:rFonts w:ascii="宋体"/>
                <w:vanish/>
              </w:rPr>
            </w:pPr>
          </w:p>
        </w:tc>
        <w:tc>
          <w:tcPr>
            <w:tcW w:w="0" w:type="auto"/>
            <w:shd w:val="clear" w:color="auto" w:fill="auto"/>
            <w:vAlign w:val="bottom"/>
          </w:tcPr>
          <w:p w14:paraId="74DE0536" w14:textId="77777777" w:rsidR="00584EC1" w:rsidRDefault="00584EC1">
            <w:pPr>
              <w:rPr>
                <w:rFonts w:ascii="宋体"/>
                <w:vanish/>
              </w:rPr>
            </w:pPr>
          </w:p>
        </w:tc>
        <w:tc>
          <w:tcPr>
            <w:tcW w:w="0" w:type="auto"/>
            <w:shd w:val="clear" w:color="auto" w:fill="auto"/>
            <w:vAlign w:val="bottom"/>
          </w:tcPr>
          <w:p w14:paraId="74DE0537" w14:textId="77777777" w:rsidR="00584EC1" w:rsidRDefault="00584EC1">
            <w:pPr>
              <w:rPr>
                <w:rFonts w:ascii="宋体"/>
                <w:vanish/>
              </w:rPr>
            </w:pPr>
          </w:p>
        </w:tc>
        <w:tc>
          <w:tcPr>
            <w:tcW w:w="0" w:type="auto"/>
            <w:shd w:val="clear" w:color="auto" w:fill="auto"/>
            <w:vAlign w:val="bottom"/>
          </w:tcPr>
          <w:p w14:paraId="74DE0538" w14:textId="77777777" w:rsidR="00584EC1" w:rsidRDefault="00584EC1">
            <w:pPr>
              <w:rPr>
                <w:rFonts w:ascii="宋体"/>
                <w:vanish/>
              </w:rPr>
            </w:pPr>
          </w:p>
        </w:tc>
        <w:tc>
          <w:tcPr>
            <w:tcW w:w="0" w:type="auto"/>
            <w:gridSpan w:val="3"/>
            <w:shd w:val="clear" w:color="auto" w:fill="auto"/>
            <w:vAlign w:val="bottom"/>
          </w:tcPr>
          <w:p w14:paraId="74DE0539" w14:textId="77777777" w:rsidR="00584EC1" w:rsidRDefault="00584EC1">
            <w:pPr>
              <w:rPr>
                <w:rFonts w:ascii="宋体"/>
                <w:vanish/>
              </w:rPr>
            </w:pPr>
          </w:p>
        </w:tc>
        <w:tc>
          <w:tcPr>
            <w:tcW w:w="0" w:type="auto"/>
            <w:gridSpan w:val="3"/>
            <w:shd w:val="clear" w:color="auto" w:fill="auto"/>
            <w:vAlign w:val="bottom"/>
          </w:tcPr>
          <w:p w14:paraId="74DE053A" w14:textId="77777777" w:rsidR="00584EC1" w:rsidRDefault="00584EC1">
            <w:pPr>
              <w:rPr>
                <w:rFonts w:ascii="宋体"/>
                <w:vanish/>
              </w:rPr>
            </w:pPr>
          </w:p>
        </w:tc>
        <w:tc>
          <w:tcPr>
            <w:tcW w:w="0" w:type="auto"/>
            <w:gridSpan w:val="3"/>
            <w:shd w:val="clear" w:color="auto" w:fill="auto"/>
            <w:vAlign w:val="bottom"/>
          </w:tcPr>
          <w:p w14:paraId="74DE053B" w14:textId="77777777" w:rsidR="00584EC1" w:rsidRDefault="00584EC1">
            <w:pPr>
              <w:rPr>
                <w:rFonts w:ascii="宋体"/>
                <w:vanish/>
              </w:rPr>
            </w:pPr>
          </w:p>
        </w:tc>
        <w:tc>
          <w:tcPr>
            <w:tcW w:w="0" w:type="auto"/>
            <w:gridSpan w:val="3"/>
            <w:shd w:val="clear" w:color="auto" w:fill="auto"/>
            <w:vAlign w:val="bottom"/>
          </w:tcPr>
          <w:p w14:paraId="74DE053C" w14:textId="77777777" w:rsidR="00584EC1" w:rsidRDefault="00584EC1">
            <w:pPr>
              <w:rPr>
                <w:rFonts w:ascii="宋体"/>
                <w:vanish/>
              </w:rPr>
            </w:pPr>
          </w:p>
        </w:tc>
        <w:tc>
          <w:tcPr>
            <w:tcW w:w="0" w:type="auto"/>
            <w:gridSpan w:val="3"/>
            <w:shd w:val="clear" w:color="auto" w:fill="auto"/>
            <w:vAlign w:val="bottom"/>
          </w:tcPr>
          <w:p w14:paraId="74DE053D" w14:textId="77777777" w:rsidR="00584EC1" w:rsidRDefault="00584EC1">
            <w:pPr>
              <w:rPr>
                <w:rFonts w:ascii="宋体"/>
                <w:vanish/>
              </w:rPr>
            </w:pPr>
          </w:p>
        </w:tc>
        <w:tc>
          <w:tcPr>
            <w:tcW w:w="0" w:type="auto"/>
            <w:gridSpan w:val="3"/>
            <w:shd w:val="clear" w:color="auto" w:fill="auto"/>
            <w:vAlign w:val="bottom"/>
          </w:tcPr>
          <w:p w14:paraId="74DE053E" w14:textId="77777777" w:rsidR="00584EC1" w:rsidRDefault="00584EC1">
            <w:pPr>
              <w:rPr>
                <w:rFonts w:ascii="宋体"/>
                <w:vanish/>
              </w:rPr>
            </w:pPr>
          </w:p>
        </w:tc>
        <w:tc>
          <w:tcPr>
            <w:tcW w:w="0" w:type="auto"/>
            <w:gridSpan w:val="3"/>
            <w:shd w:val="clear" w:color="auto" w:fill="auto"/>
            <w:vAlign w:val="bottom"/>
          </w:tcPr>
          <w:p w14:paraId="74DE053F" w14:textId="77777777" w:rsidR="00584EC1" w:rsidRDefault="00584EC1">
            <w:pPr>
              <w:rPr>
                <w:rFonts w:ascii="宋体"/>
                <w:vanish/>
              </w:rPr>
            </w:pPr>
          </w:p>
        </w:tc>
        <w:tc>
          <w:tcPr>
            <w:tcW w:w="0" w:type="auto"/>
            <w:gridSpan w:val="3"/>
            <w:shd w:val="clear" w:color="auto" w:fill="auto"/>
            <w:vAlign w:val="bottom"/>
          </w:tcPr>
          <w:p w14:paraId="74DE0540" w14:textId="77777777" w:rsidR="00584EC1" w:rsidRDefault="00584EC1">
            <w:pPr>
              <w:rPr>
                <w:rFonts w:ascii="宋体"/>
                <w:vanish/>
              </w:rPr>
            </w:pPr>
          </w:p>
        </w:tc>
        <w:tc>
          <w:tcPr>
            <w:tcW w:w="0" w:type="auto"/>
            <w:gridSpan w:val="3"/>
            <w:shd w:val="clear" w:color="auto" w:fill="auto"/>
            <w:vAlign w:val="bottom"/>
          </w:tcPr>
          <w:p w14:paraId="74DE0541" w14:textId="77777777" w:rsidR="00584EC1" w:rsidRDefault="00584EC1">
            <w:pPr>
              <w:rPr>
                <w:rFonts w:ascii="宋体"/>
                <w:vanish/>
              </w:rPr>
            </w:pPr>
          </w:p>
        </w:tc>
        <w:tc>
          <w:tcPr>
            <w:tcW w:w="0" w:type="auto"/>
            <w:gridSpan w:val="3"/>
            <w:shd w:val="clear" w:color="auto" w:fill="auto"/>
            <w:vAlign w:val="bottom"/>
          </w:tcPr>
          <w:p w14:paraId="74DE0542" w14:textId="77777777" w:rsidR="00584EC1" w:rsidRDefault="00584EC1">
            <w:pPr>
              <w:rPr>
                <w:rFonts w:ascii="宋体"/>
                <w:vanish/>
              </w:rPr>
            </w:pPr>
          </w:p>
        </w:tc>
        <w:tc>
          <w:tcPr>
            <w:tcW w:w="0" w:type="auto"/>
            <w:gridSpan w:val="3"/>
            <w:shd w:val="clear" w:color="auto" w:fill="auto"/>
            <w:vAlign w:val="bottom"/>
          </w:tcPr>
          <w:p w14:paraId="74DE0543" w14:textId="77777777" w:rsidR="00584EC1" w:rsidRDefault="00584EC1">
            <w:pPr>
              <w:rPr>
                <w:rFonts w:ascii="宋体"/>
                <w:vanish/>
              </w:rPr>
            </w:pPr>
          </w:p>
        </w:tc>
        <w:tc>
          <w:tcPr>
            <w:tcW w:w="0" w:type="auto"/>
            <w:gridSpan w:val="3"/>
            <w:shd w:val="clear" w:color="auto" w:fill="auto"/>
            <w:vAlign w:val="bottom"/>
          </w:tcPr>
          <w:p w14:paraId="74DE0544" w14:textId="77777777" w:rsidR="00584EC1" w:rsidRDefault="00584EC1">
            <w:pPr>
              <w:rPr>
                <w:rFonts w:ascii="宋体"/>
                <w:vanish/>
              </w:rPr>
            </w:pPr>
          </w:p>
        </w:tc>
      </w:tr>
    </w:tbl>
    <w:p w14:paraId="74DE0546" w14:textId="77777777" w:rsidR="00584EC1" w:rsidRDefault="00871F8D">
      <w:pPr>
        <w:ind w:firstLine="450"/>
      </w:pPr>
      <w:r>
        <w:rPr>
          <w:rFonts w:ascii="Arial" w:eastAsia="宋体" w:hAnsi="Arial" w:cs="Arial"/>
          <w:color w:val="000000"/>
          <w:sz w:val="20"/>
          <w:szCs w:val="20"/>
        </w:rPr>
        <w:t>The table below presents the dividends declared on common stock for the periods indicated:</w:t>
      </w:r>
    </w:p>
    <w:tbl>
      <w:tblPr>
        <w:tblW w:w="4985" w:type="pct"/>
        <w:tblCellMar>
          <w:top w:w="15" w:type="dxa"/>
          <w:left w:w="15" w:type="dxa"/>
          <w:bottom w:w="15" w:type="dxa"/>
          <w:right w:w="15" w:type="dxa"/>
        </w:tblCellMar>
        <w:tblLook w:val="04A0" w:firstRow="1" w:lastRow="0" w:firstColumn="1" w:lastColumn="0" w:noHBand="0" w:noVBand="1"/>
      </w:tblPr>
      <w:tblGrid>
        <w:gridCol w:w="39"/>
        <w:gridCol w:w="1052"/>
        <w:gridCol w:w="36"/>
        <w:gridCol w:w="99"/>
        <w:gridCol w:w="1430"/>
        <w:gridCol w:w="36"/>
        <w:gridCol w:w="36"/>
        <w:gridCol w:w="36"/>
        <w:gridCol w:w="36"/>
        <w:gridCol w:w="99"/>
        <w:gridCol w:w="1390"/>
        <w:gridCol w:w="36"/>
        <w:gridCol w:w="36"/>
        <w:gridCol w:w="36"/>
        <w:gridCol w:w="36"/>
        <w:gridCol w:w="99"/>
        <w:gridCol w:w="1390"/>
        <w:gridCol w:w="36"/>
        <w:gridCol w:w="36"/>
        <w:gridCol w:w="36"/>
        <w:gridCol w:w="36"/>
        <w:gridCol w:w="99"/>
        <w:gridCol w:w="1390"/>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584EC1" w14:paraId="74DE0567" w14:textId="77777777">
        <w:tc>
          <w:tcPr>
            <w:tcW w:w="50" w:type="pct"/>
            <w:shd w:val="clear" w:color="auto" w:fill="auto"/>
            <w:vAlign w:val="bottom"/>
          </w:tcPr>
          <w:p w14:paraId="74DE0547" w14:textId="77777777" w:rsidR="00584EC1" w:rsidRDefault="00584EC1">
            <w:pPr>
              <w:rPr>
                <w:rFonts w:ascii="宋体"/>
              </w:rPr>
            </w:pPr>
          </w:p>
        </w:tc>
        <w:tc>
          <w:tcPr>
            <w:tcW w:w="729" w:type="pct"/>
            <w:shd w:val="clear" w:color="auto" w:fill="auto"/>
            <w:vAlign w:val="bottom"/>
          </w:tcPr>
          <w:p w14:paraId="74DE0548" w14:textId="77777777" w:rsidR="00584EC1" w:rsidRDefault="00584EC1">
            <w:pPr>
              <w:rPr>
                <w:rFonts w:ascii="宋体"/>
              </w:rPr>
            </w:pPr>
          </w:p>
        </w:tc>
        <w:tc>
          <w:tcPr>
            <w:tcW w:w="5" w:type="pct"/>
            <w:shd w:val="clear" w:color="auto" w:fill="auto"/>
            <w:vAlign w:val="bottom"/>
          </w:tcPr>
          <w:p w14:paraId="74DE0549" w14:textId="77777777" w:rsidR="00584EC1" w:rsidRDefault="00584EC1">
            <w:pPr>
              <w:rPr>
                <w:rFonts w:ascii="宋体"/>
              </w:rPr>
            </w:pPr>
          </w:p>
        </w:tc>
        <w:tc>
          <w:tcPr>
            <w:tcW w:w="50" w:type="pct"/>
            <w:shd w:val="clear" w:color="auto" w:fill="auto"/>
            <w:vAlign w:val="bottom"/>
          </w:tcPr>
          <w:p w14:paraId="74DE054A" w14:textId="77777777" w:rsidR="00584EC1" w:rsidRDefault="00584EC1">
            <w:pPr>
              <w:rPr>
                <w:rFonts w:ascii="宋体"/>
              </w:rPr>
            </w:pPr>
          </w:p>
        </w:tc>
        <w:tc>
          <w:tcPr>
            <w:tcW w:w="971" w:type="pct"/>
            <w:shd w:val="clear" w:color="auto" w:fill="auto"/>
            <w:vAlign w:val="bottom"/>
          </w:tcPr>
          <w:p w14:paraId="74DE054B" w14:textId="77777777" w:rsidR="00584EC1" w:rsidRDefault="00584EC1">
            <w:pPr>
              <w:rPr>
                <w:rFonts w:ascii="宋体"/>
              </w:rPr>
            </w:pPr>
          </w:p>
        </w:tc>
        <w:tc>
          <w:tcPr>
            <w:tcW w:w="5" w:type="pct"/>
            <w:shd w:val="clear" w:color="auto" w:fill="auto"/>
            <w:vAlign w:val="bottom"/>
          </w:tcPr>
          <w:p w14:paraId="74DE054C" w14:textId="77777777" w:rsidR="00584EC1" w:rsidRDefault="00584EC1">
            <w:pPr>
              <w:rPr>
                <w:rFonts w:ascii="宋体"/>
              </w:rPr>
            </w:pPr>
          </w:p>
        </w:tc>
        <w:tc>
          <w:tcPr>
            <w:tcW w:w="5" w:type="pct"/>
            <w:shd w:val="clear" w:color="auto" w:fill="auto"/>
            <w:vAlign w:val="bottom"/>
          </w:tcPr>
          <w:p w14:paraId="74DE054D" w14:textId="77777777" w:rsidR="00584EC1" w:rsidRDefault="00584EC1">
            <w:pPr>
              <w:rPr>
                <w:rFonts w:ascii="宋体"/>
              </w:rPr>
            </w:pPr>
          </w:p>
        </w:tc>
        <w:tc>
          <w:tcPr>
            <w:tcW w:w="26" w:type="pct"/>
            <w:shd w:val="clear" w:color="auto" w:fill="auto"/>
            <w:vAlign w:val="bottom"/>
          </w:tcPr>
          <w:p w14:paraId="74DE054E" w14:textId="77777777" w:rsidR="00584EC1" w:rsidRDefault="00584EC1">
            <w:pPr>
              <w:rPr>
                <w:rFonts w:ascii="宋体"/>
              </w:rPr>
            </w:pPr>
          </w:p>
        </w:tc>
        <w:tc>
          <w:tcPr>
            <w:tcW w:w="5" w:type="pct"/>
            <w:shd w:val="clear" w:color="auto" w:fill="auto"/>
            <w:vAlign w:val="bottom"/>
          </w:tcPr>
          <w:p w14:paraId="74DE054F" w14:textId="77777777" w:rsidR="00584EC1" w:rsidRDefault="00584EC1">
            <w:pPr>
              <w:rPr>
                <w:rFonts w:ascii="宋体"/>
              </w:rPr>
            </w:pPr>
          </w:p>
        </w:tc>
        <w:tc>
          <w:tcPr>
            <w:tcW w:w="50" w:type="pct"/>
            <w:shd w:val="clear" w:color="auto" w:fill="auto"/>
            <w:vAlign w:val="bottom"/>
          </w:tcPr>
          <w:p w14:paraId="74DE0550" w14:textId="77777777" w:rsidR="00584EC1" w:rsidRDefault="00584EC1">
            <w:pPr>
              <w:rPr>
                <w:rFonts w:ascii="宋体"/>
              </w:rPr>
            </w:pPr>
          </w:p>
        </w:tc>
        <w:tc>
          <w:tcPr>
            <w:tcW w:w="971" w:type="pct"/>
            <w:shd w:val="clear" w:color="auto" w:fill="auto"/>
            <w:vAlign w:val="bottom"/>
          </w:tcPr>
          <w:p w14:paraId="74DE0551" w14:textId="77777777" w:rsidR="00584EC1" w:rsidRDefault="00584EC1">
            <w:pPr>
              <w:rPr>
                <w:rFonts w:ascii="宋体"/>
              </w:rPr>
            </w:pPr>
          </w:p>
        </w:tc>
        <w:tc>
          <w:tcPr>
            <w:tcW w:w="5" w:type="pct"/>
            <w:shd w:val="clear" w:color="auto" w:fill="auto"/>
            <w:vAlign w:val="bottom"/>
          </w:tcPr>
          <w:p w14:paraId="74DE0552" w14:textId="77777777" w:rsidR="00584EC1" w:rsidRDefault="00584EC1">
            <w:pPr>
              <w:rPr>
                <w:rFonts w:ascii="宋体"/>
              </w:rPr>
            </w:pPr>
          </w:p>
        </w:tc>
        <w:tc>
          <w:tcPr>
            <w:tcW w:w="5" w:type="pct"/>
            <w:shd w:val="clear" w:color="auto" w:fill="auto"/>
            <w:vAlign w:val="bottom"/>
          </w:tcPr>
          <w:p w14:paraId="74DE0553" w14:textId="77777777" w:rsidR="00584EC1" w:rsidRDefault="00584EC1">
            <w:pPr>
              <w:rPr>
                <w:rFonts w:ascii="宋体"/>
              </w:rPr>
            </w:pPr>
          </w:p>
        </w:tc>
        <w:tc>
          <w:tcPr>
            <w:tcW w:w="26" w:type="pct"/>
            <w:shd w:val="clear" w:color="auto" w:fill="auto"/>
            <w:vAlign w:val="bottom"/>
          </w:tcPr>
          <w:p w14:paraId="74DE0554" w14:textId="77777777" w:rsidR="00584EC1" w:rsidRDefault="00584EC1">
            <w:pPr>
              <w:rPr>
                <w:rFonts w:ascii="宋体"/>
              </w:rPr>
            </w:pPr>
          </w:p>
        </w:tc>
        <w:tc>
          <w:tcPr>
            <w:tcW w:w="5" w:type="pct"/>
            <w:shd w:val="clear" w:color="auto" w:fill="auto"/>
            <w:vAlign w:val="bottom"/>
          </w:tcPr>
          <w:p w14:paraId="74DE0555" w14:textId="77777777" w:rsidR="00584EC1" w:rsidRDefault="00584EC1">
            <w:pPr>
              <w:rPr>
                <w:rFonts w:ascii="宋体"/>
              </w:rPr>
            </w:pPr>
          </w:p>
        </w:tc>
        <w:tc>
          <w:tcPr>
            <w:tcW w:w="50" w:type="pct"/>
            <w:shd w:val="clear" w:color="auto" w:fill="auto"/>
            <w:vAlign w:val="bottom"/>
          </w:tcPr>
          <w:p w14:paraId="74DE0556" w14:textId="77777777" w:rsidR="00584EC1" w:rsidRDefault="00584EC1">
            <w:pPr>
              <w:rPr>
                <w:rFonts w:ascii="宋体"/>
              </w:rPr>
            </w:pPr>
          </w:p>
        </w:tc>
        <w:tc>
          <w:tcPr>
            <w:tcW w:w="971" w:type="pct"/>
            <w:shd w:val="clear" w:color="auto" w:fill="auto"/>
            <w:vAlign w:val="bottom"/>
          </w:tcPr>
          <w:p w14:paraId="74DE0557" w14:textId="77777777" w:rsidR="00584EC1" w:rsidRDefault="00584EC1">
            <w:pPr>
              <w:rPr>
                <w:rFonts w:ascii="宋体"/>
              </w:rPr>
            </w:pPr>
          </w:p>
        </w:tc>
        <w:tc>
          <w:tcPr>
            <w:tcW w:w="5" w:type="pct"/>
            <w:shd w:val="clear" w:color="auto" w:fill="auto"/>
            <w:vAlign w:val="bottom"/>
          </w:tcPr>
          <w:p w14:paraId="74DE0558" w14:textId="77777777" w:rsidR="00584EC1" w:rsidRDefault="00584EC1">
            <w:pPr>
              <w:rPr>
                <w:rFonts w:ascii="宋体"/>
              </w:rPr>
            </w:pPr>
          </w:p>
        </w:tc>
        <w:tc>
          <w:tcPr>
            <w:tcW w:w="5" w:type="pct"/>
            <w:shd w:val="clear" w:color="auto" w:fill="auto"/>
            <w:vAlign w:val="bottom"/>
          </w:tcPr>
          <w:p w14:paraId="74DE0559" w14:textId="77777777" w:rsidR="00584EC1" w:rsidRDefault="00584EC1">
            <w:pPr>
              <w:rPr>
                <w:rFonts w:ascii="宋体"/>
              </w:rPr>
            </w:pPr>
          </w:p>
        </w:tc>
        <w:tc>
          <w:tcPr>
            <w:tcW w:w="26" w:type="pct"/>
            <w:shd w:val="clear" w:color="auto" w:fill="auto"/>
            <w:vAlign w:val="bottom"/>
          </w:tcPr>
          <w:p w14:paraId="74DE055A" w14:textId="77777777" w:rsidR="00584EC1" w:rsidRDefault="00584EC1">
            <w:pPr>
              <w:rPr>
                <w:rFonts w:ascii="宋体"/>
              </w:rPr>
            </w:pPr>
          </w:p>
        </w:tc>
        <w:tc>
          <w:tcPr>
            <w:tcW w:w="5" w:type="pct"/>
            <w:shd w:val="clear" w:color="auto" w:fill="auto"/>
            <w:vAlign w:val="bottom"/>
          </w:tcPr>
          <w:p w14:paraId="74DE055B" w14:textId="77777777" w:rsidR="00584EC1" w:rsidRDefault="00584EC1">
            <w:pPr>
              <w:rPr>
                <w:rFonts w:ascii="宋体"/>
              </w:rPr>
            </w:pPr>
          </w:p>
        </w:tc>
        <w:tc>
          <w:tcPr>
            <w:tcW w:w="50" w:type="pct"/>
            <w:shd w:val="clear" w:color="auto" w:fill="auto"/>
            <w:vAlign w:val="bottom"/>
          </w:tcPr>
          <w:p w14:paraId="74DE055C" w14:textId="77777777" w:rsidR="00584EC1" w:rsidRDefault="00584EC1">
            <w:pPr>
              <w:rPr>
                <w:rFonts w:ascii="宋体"/>
              </w:rPr>
            </w:pPr>
          </w:p>
        </w:tc>
        <w:tc>
          <w:tcPr>
            <w:tcW w:w="971" w:type="pct"/>
            <w:shd w:val="clear" w:color="auto" w:fill="auto"/>
            <w:vAlign w:val="bottom"/>
          </w:tcPr>
          <w:p w14:paraId="74DE055D" w14:textId="77777777" w:rsidR="00584EC1" w:rsidRDefault="00584EC1">
            <w:pPr>
              <w:rPr>
                <w:rFonts w:ascii="宋体"/>
              </w:rPr>
            </w:pPr>
          </w:p>
        </w:tc>
        <w:tc>
          <w:tcPr>
            <w:tcW w:w="5" w:type="pct"/>
            <w:shd w:val="clear" w:color="auto" w:fill="auto"/>
            <w:vAlign w:val="bottom"/>
          </w:tcPr>
          <w:p w14:paraId="74DE055E" w14:textId="77777777" w:rsidR="00584EC1" w:rsidRDefault="00584EC1">
            <w:pPr>
              <w:rPr>
                <w:rFonts w:ascii="宋体"/>
              </w:rPr>
            </w:pPr>
          </w:p>
        </w:tc>
        <w:tc>
          <w:tcPr>
            <w:tcW w:w="0" w:type="auto"/>
            <w:shd w:val="clear" w:color="auto" w:fill="auto"/>
            <w:vAlign w:val="bottom"/>
          </w:tcPr>
          <w:p w14:paraId="74DE055F" w14:textId="77777777" w:rsidR="00584EC1" w:rsidRDefault="00584EC1">
            <w:pPr>
              <w:rPr>
                <w:rFonts w:ascii="宋体"/>
                <w:vanish/>
              </w:rPr>
            </w:pPr>
          </w:p>
        </w:tc>
        <w:tc>
          <w:tcPr>
            <w:tcW w:w="0" w:type="auto"/>
            <w:shd w:val="clear" w:color="auto" w:fill="auto"/>
            <w:vAlign w:val="bottom"/>
          </w:tcPr>
          <w:p w14:paraId="74DE0560" w14:textId="77777777" w:rsidR="00584EC1" w:rsidRDefault="00584EC1">
            <w:pPr>
              <w:rPr>
                <w:rFonts w:ascii="宋体"/>
                <w:vanish/>
              </w:rPr>
            </w:pPr>
          </w:p>
        </w:tc>
        <w:tc>
          <w:tcPr>
            <w:tcW w:w="0" w:type="auto"/>
            <w:gridSpan w:val="3"/>
            <w:shd w:val="clear" w:color="auto" w:fill="auto"/>
            <w:vAlign w:val="bottom"/>
          </w:tcPr>
          <w:p w14:paraId="74DE0561" w14:textId="77777777" w:rsidR="00584EC1" w:rsidRDefault="00584EC1">
            <w:pPr>
              <w:rPr>
                <w:rFonts w:ascii="宋体"/>
                <w:vanish/>
              </w:rPr>
            </w:pPr>
          </w:p>
        </w:tc>
        <w:tc>
          <w:tcPr>
            <w:tcW w:w="0" w:type="auto"/>
            <w:gridSpan w:val="3"/>
            <w:shd w:val="clear" w:color="auto" w:fill="auto"/>
            <w:vAlign w:val="bottom"/>
          </w:tcPr>
          <w:p w14:paraId="74DE0562" w14:textId="77777777" w:rsidR="00584EC1" w:rsidRDefault="00584EC1">
            <w:pPr>
              <w:rPr>
                <w:rFonts w:ascii="宋体"/>
                <w:vanish/>
              </w:rPr>
            </w:pPr>
          </w:p>
        </w:tc>
        <w:tc>
          <w:tcPr>
            <w:tcW w:w="0" w:type="auto"/>
            <w:gridSpan w:val="3"/>
            <w:shd w:val="clear" w:color="auto" w:fill="auto"/>
            <w:vAlign w:val="bottom"/>
          </w:tcPr>
          <w:p w14:paraId="74DE0563" w14:textId="77777777" w:rsidR="00584EC1" w:rsidRDefault="00584EC1">
            <w:pPr>
              <w:rPr>
                <w:rFonts w:ascii="宋体"/>
                <w:vanish/>
              </w:rPr>
            </w:pPr>
          </w:p>
        </w:tc>
        <w:tc>
          <w:tcPr>
            <w:tcW w:w="0" w:type="auto"/>
            <w:gridSpan w:val="3"/>
            <w:shd w:val="clear" w:color="auto" w:fill="auto"/>
            <w:vAlign w:val="bottom"/>
          </w:tcPr>
          <w:p w14:paraId="74DE0564" w14:textId="77777777" w:rsidR="00584EC1" w:rsidRDefault="00584EC1">
            <w:pPr>
              <w:rPr>
                <w:rFonts w:ascii="宋体"/>
                <w:vanish/>
              </w:rPr>
            </w:pPr>
          </w:p>
        </w:tc>
        <w:tc>
          <w:tcPr>
            <w:tcW w:w="0" w:type="auto"/>
            <w:gridSpan w:val="3"/>
            <w:shd w:val="clear" w:color="auto" w:fill="auto"/>
            <w:vAlign w:val="bottom"/>
          </w:tcPr>
          <w:p w14:paraId="74DE0565" w14:textId="77777777" w:rsidR="00584EC1" w:rsidRDefault="00584EC1">
            <w:pPr>
              <w:rPr>
                <w:rFonts w:ascii="宋体"/>
                <w:vanish/>
              </w:rPr>
            </w:pPr>
          </w:p>
        </w:tc>
        <w:tc>
          <w:tcPr>
            <w:tcW w:w="0" w:type="auto"/>
            <w:gridSpan w:val="3"/>
            <w:shd w:val="clear" w:color="auto" w:fill="auto"/>
            <w:vAlign w:val="bottom"/>
          </w:tcPr>
          <w:p w14:paraId="74DE0566" w14:textId="77777777" w:rsidR="00584EC1" w:rsidRDefault="00584EC1">
            <w:pPr>
              <w:rPr>
                <w:rFonts w:ascii="宋体"/>
                <w:vanish/>
              </w:rPr>
            </w:pPr>
          </w:p>
        </w:tc>
      </w:tr>
      <w:tr w:rsidR="00584EC1" w14:paraId="74DE057E" w14:textId="77777777">
        <w:tc>
          <w:tcPr>
            <w:tcW w:w="0" w:type="auto"/>
            <w:gridSpan w:val="3"/>
            <w:shd w:val="clear" w:color="auto" w:fill="auto"/>
            <w:tcMar>
              <w:top w:w="0" w:type="dxa"/>
              <w:left w:w="20" w:type="dxa"/>
              <w:bottom w:w="0" w:type="dxa"/>
              <w:right w:w="20" w:type="dxa"/>
            </w:tcMar>
            <w:vAlign w:val="bottom"/>
          </w:tcPr>
          <w:p w14:paraId="74DE0568" w14:textId="77777777" w:rsidR="00584EC1" w:rsidRDefault="00584EC1">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74DE0569" w14:textId="77777777" w:rsidR="00584EC1" w:rsidRDefault="00871F8D">
            <w:pPr>
              <w:jc w:val="center"/>
              <w:textAlignment w:val="bottom"/>
            </w:pPr>
            <w:r>
              <w:rPr>
                <w:rFonts w:ascii="Arial" w:eastAsia="宋体" w:hAnsi="Arial" w:cs="Arial"/>
                <w:b/>
                <w:bCs/>
                <w:color w:val="000000"/>
                <w:sz w:val="14"/>
                <w:szCs w:val="14"/>
              </w:rPr>
              <w:t>Three Months Ended September 30,</w:t>
            </w:r>
          </w:p>
        </w:tc>
        <w:tc>
          <w:tcPr>
            <w:tcW w:w="0" w:type="auto"/>
            <w:shd w:val="clear" w:color="auto" w:fill="auto"/>
            <w:vAlign w:val="bottom"/>
          </w:tcPr>
          <w:p w14:paraId="74DE056A" w14:textId="77777777" w:rsidR="00584EC1" w:rsidRDefault="00584EC1">
            <w:pPr>
              <w:rPr>
                <w:rFonts w:ascii="宋体"/>
                <w:vanish/>
              </w:rPr>
            </w:pPr>
          </w:p>
        </w:tc>
        <w:tc>
          <w:tcPr>
            <w:tcW w:w="0" w:type="auto"/>
            <w:shd w:val="clear" w:color="auto" w:fill="auto"/>
            <w:vAlign w:val="bottom"/>
          </w:tcPr>
          <w:p w14:paraId="74DE056B" w14:textId="77777777" w:rsidR="00584EC1" w:rsidRDefault="00584EC1">
            <w:pPr>
              <w:rPr>
                <w:rFonts w:ascii="宋体"/>
                <w:vanish/>
              </w:rPr>
            </w:pPr>
          </w:p>
        </w:tc>
        <w:tc>
          <w:tcPr>
            <w:tcW w:w="0" w:type="auto"/>
            <w:shd w:val="clear" w:color="auto" w:fill="auto"/>
            <w:vAlign w:val="bottom"/>
          </w:tcPr>
          <w:p w14:paraId="74DE056C" w14:textId="77777777" w:rsidR="00584EC1" w:rsidRDefault="00584EC1">
            <w:pPr>
              <w:rPr>
                <w:rFonts w:ascii="宋体"/>
              </w:rPr>
            </w:pPr>
          </w:p>
        </w:tc>
        <w:tc>
          <w:tcPr>
            <w:tcW w:w="0" w:type="auto"/>
            <w:shd w:val="clear" w:color="auto" w:fill="auto"/>
            <w:vAlign w:val="bottom"/>
          </w:tcPr>
          <w:p w14:paraId="74DE056D" w14:textId="77777777" w:rsidR="00584EC1" w:rsidRDefault="00584EC1">
            <w:pPr>
              <w:rPr>
                <w:rFonts w:ascii="宋体"/>
              </w:rPr>
            </w:pPr>
          </w:p>
        </w:tc>
        <w:tc>
          <w:tcPr>
            <w:tcW w:w="0" w:type="auto"/>
            <w:shd w:val="clear" w:color="auto" w:fill="auto"/>
            <w:vAlign w:val="bottom"/>
          </w:tcPr>
          <w:p w14:paraId="74DE056E" w14:textId="77777777" w:rsidR="00584EC1" w:rsidRDefault="00584EC1">
            <w:pPr>
              <w:rPr>
                <w:rFonts w:ascii="宋体"/>
              </w:rPr>
            </w:pPr>
          </w:p>
        </w:tc>
        <w:tc>
          <w:tcPr>
            <w:tcW w:w="0" w:type="auto"/>
            <w:shd w:val="clear" w:color="auto" w:fill="auto"/>
            <w:vAlign w:val="bottom"/>
          </w:tcPr>
          <w:p w14:paraId="74DE056F" w14:textId="77777777" w:rsidR="00584EC1" w:rsidRDefault="00584EC1">
            <w:pPr>
              <w:rPr>
                <w:rFonts w:ascii="宋体"/>
              </w:rPr>
            </w:pPr>
          </w:p>
        </w:tc>
        <w:tc>
          <w:tcPr>
            <w:tcW w:w="0" w:type="auto"/>
            <w:shd w:val="clear" w:color="auto" w:fill="auto"/>
            <w:vAlign w:val="bottom"/>
          </w:tcPr>
          <w:p w14:paraId="74DE0570" w14:textId="77777777" w:rsidR="00584EC1" w:rsidRDefault="00584EC1">
            <w:pPr>
              <w:rPr>
                <w:rFonts w:ascii="宋体"/>
              </w:rPr>
            </w:pPr>
          </w:p>
        </w:tc>
        <w:tc>
          <w:tcPr>
            <w:tcW w:w="0" w:type="auto"/>
            <w:shd w:val="clear" w:color="auto" w:fill="auto"/>
            <w:vAlign w:val="bottom"/>
          </w:tcPr>
          <w:p w14:paraId="74DE0571" w14:textId="77777777" w:rsidR="00584EC1" w:rsidRDefault="00584EC1">
            <w:pPr>
              <w:rPr>
                <w:rFonts w:ascii="宋体"/>
              </w:rPr>
            </w:pPr>
          </w:p>
        </w:tc>
        <w:tc>
          <w:tcPr>
            <w:tcW w:w="0" w:type="auto"/>
            <w:shd w:val="clear" w:color="auto" w:fill="auto"/>
            <w:vAlign w:val="bottom"/>
          </w:tcPr>
          <w:p w14:paraId="74DE0572" w14:textId="77777777" w:rsidR="00584EC1" w:rsidRDefault="00584EC1">
            <w:pPr>
              <w:rPr>
                <w:rFonts w:ascii="宋体"/>
              </w:rPr>
            </w:pPr>
          </w:p>
        </w:tc>
        <w:tc>
          <w:tcPr>
            <w:tcW w:w="0" w:type="auto"/>
            <w:shd w:val="clear" w:color="auto" w:fill="auto"/>
            <w:vAlign w:val="bottom"/>
          </w:tcPr>
          <w:p w14:paraId="74DE0573" w14:textId="77777777" w:rsidR="00584EC1" w:rsidRDefault="00584EC1">
            <w:pPr>
              <w:rPr>
                <w:rFonts w:ascii="宋体"/>
              </w:rPr>
            </w:pPr>
          </w:p>
        </w:tc>
        <w:tc>
          <w:tcPr>
            <w:tcW w:w="0" w:type="auto"/>
            <w:shd w:val="clear" w:color="auto" w:fill="auto"/>
            <w:vAlign w:val="bottom"/>
          </w:tcPr>
          <w:p w14:paraId="74DE0574" w14:textId="77777777" w:rsidR="00584EC1" w:rsidRDefault="00584EC1">
            <w:pPr>
              <w:rPr>
                <w:rFonts w:ascii="宋体"/>
              </w:rPr>
            </w:pPr>
          </w:p>
        </w:tc>
        <w:tc>
          <w:tcPr>
            <w:tcW w:w="0" w:type="auto"/>
            <w:shd w:val="clear" w:color="auto" w:fill="auto"/>
            <w:vAlign w:val="bottom"/>
          </w:tcPr>
          <w:p w14:paraId="74DE0575" w14:textId="77777777" w:rsidR="00584EC1" w:rsidRDefault="00584EC1">
            <w:pPr>
              <w:rPr>
                <w:rFonts w:ascii="宋体"/>
              </w:rPr>
            </w:pPr>
          </w:p>
        </w:tc>
        <w:tc>
          <w:tcPr>
            <w:tcW w:w="0" w:type="auto"/>
            <w:shd w:val="clear" w:color="auto" w:fill="auto"/>
            <w:vAlign w:val="bottom"/>
          </w:tcPr>
          <w:p w14:paraId="74DE0576" w14:textId="77777777" w:rsidR="00584EC1" w:rsidRDefault="00584EC1">
            <w:pPr>
              <w:rPr>
                <w:rFonts w:ascii="宋体"/>
              </w:rPr>
            </w:pPr>
          </w:p>
        </w:tc>
        <w:tc>
          <w:tcPr>
            <w:tcW w:w="0" w:type="auto"/>
            <w:shd w:val="clear" w:color="auto" w:fill="auto"/>
            <w:vAlign w:val="bottom"/>
          </w:tcPr>
          <w:p w14:paraId="74DE0577" w14:textId="77777777" w:rsidR="00584EC1" w:rsidRDefault="00584EC1">
            <w:pPr>
              <w:rPr>
                <w:rFonts w:ascii="宋体"/>
              </w:rPr>
            </w:pPr>
          </w:p>
        </w:tc>
        <w:tc>
          <w:tcPr>
            <w:tcW w:w="0" w:type="auto"/>
            <w:shd w:val="clear" w:color="auto" w:fill="auto"/>
            <w:vAlign w:val="bottom"/>
          </w:tcPr>
          <w:p w14:paraId="74DE0578" w14:textId="77777777" w:rsidR="00584EC1" w:rsidRDefault="00584EC1">
            <w:pPr>
              <w:rPr>
                <w:rFonts w:ascii="宋体"/>
              </w:rPr>
            </w:pPr>
          </w:p>
        </w:tc>
        <w:tc>
          <w:tcPr>
            <w:tcW w:w="0" w:type="auto"/>
            <w:shd w:val="clear" w:color="auto" w:fill="auto"/>
            <w:vAlign w:val="bottom"/>
          </w:tcPr>
          <w:p w14:paraId="74DE0579" w14:textId="77777777" w:rsidR="00584EC1" w:rsidRDefault="00584EC1">
            <w:pPr>
              <w:rPr>
                <w:rFonts w:ascii="宋体"/>
              </w:rPr>
            </w:pPr>
          </w:p>
        </w:tc>
        <w:tc>
          <w:tcPr>
            <w:tcW w:w="0" w:type="auto"/>
            <w:shd w:val="clear" w:color="auto" w:fill="auto"/>
            <w:vAlign w:val="bottom"/>
          </w:tcPr>
          <w:p w14:paraId="74DE057A" w14:textId="77777777" w:rsidR="00584EC1" w:rsidRDefault="00584EC1">
            <w:pPr>
              <w:rPr>
                <w:rFonts w:ascii="宋体"/>
              </w:rPr>
            </w:pPr>
          </w:p>
        </w:tc>
        <w:tc>
          <w:tcPr>
            <w:tcW w:w="0" w:type="auto"/>
            <w:shd w:val="clear" w:color="auto" w:fill="auto"/>
            <w:vAlign w:val="bottom"/>
          </w:tcPr>
          <w:p w14:paraId="74DE057B" w14:textId="77777777" w:rsidR="00584EC1" w:rsidRDefault="00584EC1">
            <w:pPr>
              <w:rPr>
                <w:rFonts w:ascii="宋体"/>
              </w:rPr>
            </w:pPr>
          </w:p>
        </w:tc>
        <w:tc>
          <w:tcPr>
            <w:tcW w:w="0" w:type="auto"/>
            <w:shd w:val="clear" w:color="auto" w:fill="auto"/>
            <w:vAlign w:val="bottom"/>
          </w:tcPr>
          <w:p w14:paraId="74DE057C" w14:textId="77777777" w:rsidR="00584EC1" w:rsidRDefault="00584EC1">
            <w:pPr>
              <w:rPr>
                <w:rFonts w:ascii="宋体"/>
              </w:rPr>
            </w:pPr>
          </w:p>
        </w:tc>
        <w:tc>
          <w:tcPr>
            <w:tcW w:w="0" w:type="auto"/>
            <w:shd w:val="clear" w:color="auto" w:fill="auto"/>
            <w:vAlign w:val="bottom"/>
          </w:tcPr>
          <w:p w14:paraId="74DE057D" w14:textId="77777777" w:rsidR="00584EC1" w:rsidRDefault="00584EC1">
            <w:pPr>
              <w:rPr>
                <w:rFonts w:ascii="宋体"/>
              </w:rPr>
            </w:pPr>
          </w:p>
        </w:tc>
      </w:tr>
      <w:tr w:rsidR="00584EC1" w14:paraId="74DE0593" w14:textId="77777777">
        <w:tc>
          <w:tcPr>
            <w:tcW w:w="0" w:type="auto"/>
            <w:gridSpan w:val="3"/>
            <w:shd w:val="clear" w:color="auto" w:fill="auto"/>
            <w:tcMar>
              <w:top w:w="0" w:type="dxa"/>
              <w:left w:w="20" w:type="dxa"/>
              <w:bottom w:w="0" w:type="dxa"/>
              <w:right w:w="20" w:type="dxa"/>
            </w:tcMar>
            <w:vAlign w:val="bottom"/>
          </w:tcPr>
          <w:p w14:paraId="74DE057F" w14:textId="77777777" w:rsidR="00584EC1" w:rsidRDefault="00584E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4DE0580" w14:textId="77777777" w:rsidR="00584EC1" w:rsidRDefault="00871F8D">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0581" w14:textId="77777777" w:rsidR="00584EC1" w:rsidRDefault="00584E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4DE0582" w14:textId="77777777" w:rsidR="00584EC1" w:rsidRDefault="00871F8D">
            <w:pPr>
              <w:jc w:val="center"/>
              <w:textAlignment w:val="bottom"/>
            </w:pPr>
            <w:r>
              <w:rPr>
                <w:rFonts w:ascii="Arial" w:eastAsia="宋体" w:hAnsi="Arial" w:cs="Arial"/>
                <w:b/>
                <w:bCs/>
                <w:color w:val="000000"/>
                <w:sz w:val="14"/>
                <w:szCs w:val="14"/>
              </w:rPr>
              <w:t>2020</w:t>
            </w:r>
          </w:p>
        </w:tc>
        <w:tc>
          <w:tcPr>
            <w:tcW w:w="0" w:type="auto"/>
            <w:shd w:val="clear" w:color="auto" w:fill="auto"/>
            <w:vAlign w:val="bottom"/>
          </w:tcPr>
          <w:p w14:paraId="74DE0583" w14:textId="77777777" w:rsidR="00584EC1" w:rsidRDefault="00584EC1">
            <w:pPr>
              <w:rPr>
                <w:rFonts w:ascii="宋体"/>
                <w:vanish/>
              </w:rPr>
            </w:pPr>
          </w:p>
        </w:tc>
        <w:tc>
          <w:tcPr>
            <w:tcW w:w="0" w:type="auto"/>
            <w:shd w:val="clear" w:color="auto" w:fill="auto"/>
            <w:vAlign w:val="bottom"/>
          </w:tcPr>
          <w:p w14:paraId="74DE0584" w14:textId="77777777" w:rsidR="00584EC1" w:rsidRDefault="00584EC1">
            <w:pPr>
              <w:rPr>
                <w:rFonts w:ascii="宋体"/>
                <w:vanish/>
              </w:rPr>
            </w:pPr>
          </w:p>
        </w:tc>
        <w:tc>
          <w:tcPr>
            <w:tcW w:w="0" w:type="auto"/>
            <w:gridSpan w:val="3"/>
            <w:shd w:val="clear" w:color="auto" w:fill="auto"/>
            <w:vAlign w:val="bottom"/>
          </w:tcPr>
          <w:p w14:paraId="74DE0585" w14:textId="77777777" w:rsidR="00584EC1" w:rsidRDefault="00584EC1">
            <w:pPr>
              <w:rPr>
                <w:rFonts w:ascii="宋体"/>
                <w:vanish/>
              </w:rPr>
            </w:pPr>
          </w:p>
        </w:tc>
        <w:tc>
          <w:tcPr>
            <w:tcW w:w="0" w:type="auto"/>
            <w:gridSpan w:val="3"/>
            <w:shd w:val="clear" w:color="auto" w:fill="auto"/>
            <w:vAlign w:val="bottom"/>
          </w:tcPr>
          <w:p w14:paraId="74DE0586" w14:textId="77777777" w:rsidR="00584EC1" w:rsidRDefault="00584EC1">
            <w:pPr>
              <w:rPr>
                <w:rFonts w:ascii="宋体"/>
                <w:vanish/>
              </w:rPr>
            </w:pPr>
          </w:p>
        </w:tc>
        <w:tc>
          <w:tcPr>
            <w:tcW w:w="0" w:type="auto"/>
            <w:shd w:val="clear" w:color="auto" w:fill="auto"/>
            <w:vAlign w:val="bottom"/>
          </w:tcPr>
          <w:p w14:paraId="74DE0587" w14:textId="77777777" w:rsidR="00584EC1" w:rsidRDefault="00584EC1">
            <w:pPr>
              <w:rPr>
                <w:rFonts w:ascii="宋体"/>
              </w:rPr>
            </w:pPr>
          </w:p>
        </w:tc>
        <w:tc>
          <w:tcPr>
            <w:tcW w:w="0" w:type="auto"/>
            <w:shd w:val="clear" w:color="auto" w:fill="auto"/>
            <w:vAlign w:val="bottom"/>
          </w:tcPr>
          <w:p w14:paraId="74DE0588" w14:textId="77777777" w:rsidR="00584EC1" w:rsidRDefault="00584EC1">
            <w:pPr>
              <w:rPr>
                <w:rFonts w:ascii="宋体"/>
              </w:rPr>
            </w:pPr>
          </w:p>
        </w:tc>
        <w:tc>
          <w:tcPr>
            <w:tcW w:w="0" w:type="auto"/>
            <w:shd w:val="clear" w:color="auto" w:fill="auto"/>
            <w:vAlign w:val="bottom"/>
          </w:tcPr>
          <w:p w14:paraId="74DE0589" w14:textId="77777777" w:rsidR="00584EC1" w:rsidRDefault="00584EC1">
            <w:pPr>
              <w:rPr>
                <w:rFonts w:ascii="宋体"/>
              </w:rPr>
            </w:pPr>
          </w:p>
        </w:tc>
        <w:tc>
          <w:tcPr>
            <w:tcW w:w="0" w:type="auto"/>
            <w:shd w:val="clear" w:color="auto" w:fill="auto"/>
            <w:vAlign w:val="bottom"/>
          </w:tcPr>
          <w:p w14:paraId="74DE058A" w14:textId="77777777" w:rsidR="00584EC1" w:rsidRDefault="00584EC1">
            <w:pPr>
              <w:rPr>
                <w:rFonts w:ascii="宋体"/>
              </w:rPr>
            </w:pPr>
          </w:p>
        </w:tc>
        <w:tc>
          <w:tcPr>
            <w:tcW w:w="0" w:type="auto"/>
            <w:shd w:val="clear" w:color="auto" w:fill="auto"/>
            <w:vAlign w:val="bottom"/>
          </w:tcPr>
          <w:p w14:paraId="74DE058B" w14:textId="77777777" w:rsidR="00584EC1" w:rsidRDefault="00584EC1">
            <w:pPr>
              <w:rPr>
                <w:rFonts w:ascii="宋体"/>
              </w:rPr>
            </w:pPr>
          </w:p>
        </w:tc>
        <w:tc>
          <w:tcPr>
            <w:tcW w:w="0" w:type="auto"/>
            <w:shd w:val="clear" w:color="auto" w:fill="auto"/>
            <w:vAlign w:val="bottom"/>
          </w:tcPr>
          <w:p w14:paraId="74DE058C" w14:textId="77777777" w:rsidR="00584EC1" w:rsidRDefault="00584EC1">
            <w:pPr>
              <w:rPr>
                <w:rFonts w:ascii="宋体"/>
              </w:rPr>
            </w:pPr>
          </w:p>
        </w:tc>
        <w:tc>
          <w:tcPr>
            <w:tcW w:w="0" w:type="auto"/>
            <w:shd w:val="clear" w:color="auto" w:fill="auto"/>
            <w:vAlign w:val="bottom"/>
          </w:tcPr>
          <w:p w14:paraId="74DE058D" w14:textId="77777777" w:rsidR="00584EC1" w:rsidRDefault="00584EC1">
            <w:pPr>
              <w:rPr>
                <w:rFonts w:ascii="宋体"/>
              </w:rPr>
            </w:pPr>
          </w:p>
        </w:tc>
        <w:tc>
          <w:tcPr>
            <w:tcW w:w="0" w:type="auto"/>
            <w:shd w:val="clear" w:color="auto" w:fill="auto"/>
            <w:vAlign w:val="bottom"/>
          </w:tcPr>
          <w:p w14:paraId="74DE058E" w14:textId="77777777" w:rsidR="00584EC1" w:rsidRDefault="00584EC1">
            <w:pPr>
              <w:rPr>
                <w:rFonts w:ascii="宋体"/>
              </w:rPr>
            </w:pPr>
          </w:p>
        </w:tc>
        <w:tc>
          <w:tcPr>
            <w:tcW w:w="0" w:type="auto"/>
            <w:shd w:val="clear" w:color="auto" w:fill="auto"/>
            <w:vAlign w:val="bottom"/>
          </w:tcPr>
          <w:p w14:paraId="74DE058F" w14:textId="77777777" w:rsidR="00584EC1" w:rsidRDefault="00584EC1">
            <w:pPr>
              <w:rPr>
                <w:rFonts w:ascii="宋体"/>
              </w:rPr>
            </w:pPr>
          </w:p>
        </w:tc>
        <w:tc>
          <w:tcPr>
            <w:tcW w:w="0" w:type="auto"/>
            <w:shd w:val="clear" w:color="auto" w:fill="auto"/>
            <w:vAlign w:val="bottom"/>
          </w:tcPr>
          <w:p w14:paraId="74DE0590" w14:textId="77777777" w:rsidR="00584EC1" w:rsidRDefault="00584EC1">
            <w:pPr>
              <w:rPr>
                <w:rFonts w:ascii="宋体"/>
              </w:rPr>
            </w:pPr>
          </w:p>
        </w:tc>
        <w:tc>
          <w:tcPr>
            <w:tcW w:w="0" w:type="auto"/>
            <w:shd w:val="clear" w:color="auto" w:fill="auto"/>
            <w:vAlign w:val="bottom"/>
          </w:tcPr>
          <w:p w14:paraId="74DE0591" w14:textId="77777777" w:rsidR="00584EC1" w:rsidRDefault="00584EC1">
            <w:pPr>
              <w:rPr>
                <w:rFonts w:ascii="宋体"/>
              </w:rPr>
            </w:pPr>
          </w:p>
        </w:tc>
        <w:tc>
          <w:tcPr>
            <w:tcW w:w="0" w:type="auto"/>
            <w:shd w:val="clear" w:color="auto" w:fill="auto"/>
            <w:vAlign w:val="bottom"/>
          </w:tcPr>
          <w:p w14:paraId="74DE0592" w14:textId="77777777" w:rsidR="00584EC1" w:rsidRDefault="00584EC1">
            <w:pPr>
              <w:rPr>
                <w:rFonts w:ascii="宋体"/>
              </w:rPr>
            </w:pPr>
          </w:p>
        </w:tc>
      </w:tr>
      <w:tr w:rsidR="00584EC1" w14:paraId="74DE05A4" w14:textId="77777777">
        <w:tc>
          <w:tcPr>
            <w:tcW w:w="0" w:type="auto"/>
            <w:gridSpan w:val="3"/>
            <w:shd w:val="clear" w:color="auto" w:fill="FFFFFF"/>
            <w:tcMar>
              <w:top w:w="0" w:type="dxa"/>
              <w:left w:w="20" w:type="dxa"/>
              <w:bottom w:w="0" w:type="dxa"/>
              <w:right w:w="20" w:type="dxa"/>
            </w:tcMar>
            <w:vAlign w:val="bottom"/>
          </w:tcPr>
          <w:p w14:paraId="74DE0594"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0595" w14:textId="77777777" w:rsidR="00584EC1" w:rsidRDefault="00871F8D">
            <w:pPr>
              <w:jc w:val="center"/>
              <w:textAlignment w:val="bottom"/>
            </w:pPr>
            <w:r>
              <w:rPr>
                <w:rFonts w:ascii="Arial" w:eastAsia="宋体" w:hAnsi="Arial" w:cs="Arial"/>
                <w:b/>
                <w:bCs/>
                <w:color w:val="000000"/>
                <w:sz w:val="14"/>
                <w:szCs w:val="14"/>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0596"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0597" w14:textId="77777777" w:rsidR="00584EC1" w:rsidRDefault="00871F8D">
            <w:pPr>
              <w:jc w:val="center"/>
              <w:textAlignment w:val="bottom"/>
            </w:pPr>
            <w:r>
              <w:rPr>
                <w:rFonts w:ascii="Arial" w:eastAsia="宋体" w:hAnsi="Arial" w:cs="Arial"/>
                <w:b/>
                <w:bCs/>
                <w:color w:val="000000"/>
                <w:sz w:val="14"/>
                <w:szCs w:val="14"/>
              </w:rPr>
              <w:t>Total (In millions)</w:t>
            </w:r>
          </w:p>
        </w:tc>
        <w:tc>
          <w:tcPr>
            <w:tcW w:w="0" w:type="auto"/>
            <w:gridSpan w:val="3"/>
            <w:shd w:val="clear" w:color="auto" w:fill="auto"/>
            <w:tcMar>
              <w:top w:w="0" w:type="dxa"/>
              <w:left w:w="20" w:type="dxa"/>
              <w:bottom w:w="0" w:type="dxa"/>
              <w:right w:w="20" w:type="dxa"/>
            </w:tcMar>
            <w:vAlign w:val="bottom"/>
          </w:tcPr>
          <w:p w14:paraId="74DE0598"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0599" w14:textId="77777777" w:rsidR="00584EC1" w:rsidRDefault="00871F8D">
            <w:pPr>
              <w:jc w:val="center"/>
              <w:textAlignment w:val="bottom"/>
            </w:pPr>
            <w:r>
              <w:rPr>
                <w:rFonts w:ascii="Arial" w:eastAsia="宋体" w:hAnsi="Arial" w:cs="Arial"/>
                <w:b/>
                <w:bCs/>
                <w:color w:val="000000"/>
                <w:sz w:val="14"/>
                <w:szCs w:val="14"/>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059A"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059B" w14:textId="77777777" w:rsidR="00584EC1" w:rsidRDefault="00871F8D">
            <w:pPr>
              <w:jc w:val="center"/>
              <w:textAlignment w:val="bottom"/>
            </w:pPr>
            <w:r>
              <w:rPr>
                <w:rFonts w:ascii="Arial" w:eastAsia="宋体" w:hAnsi="Arial" w:cs="Arial"/>
                <w:b/>
                <w:bCs/>
                <w:color w:val="000000"/>
                <w:sz w:val="14"/>
                <w:szCs w:val="14"/>
              </w:rPr>
              <w:t xml:space="preserve">Total (In </w:t>
            </w:r>
            <w:r>
              <w:rPr>
                <w:rFonts w:ascii="Arial" w:eastAsia="宋体" w:hAnsi="Arial" w:cs="Arial"/>
                <w:b/>
                <w:bCs/>
                <w:color w:val="000000"/>
                <w:sz w:val="14"/>
                <w:szCs w:val="14"/>
              </w:rPr>
              <w:t>millions)</w:t>
            </w:r>
          </w:p>
        </w:tc>
        <w:tc>
          <w:tcPr>
            <w:tcW w:w="0" w:type="auto"/>
            <w:shd w:val="clear" w:color="auto" w:fill="auto"/>
            <w:vAlign w:val="bottom"/>
          </w:tcPr>
          <w:p w14:paraId="74DE059C" w14:textId="77777777" w:rsidR="00584EC1" w:rsidRDefault="00584EC1">
            <w:pPr>
              <w:rPr>
                <w:rFonts w:ascii="宋体"/>
                <w:vanish/>
              </w:rPr>
            </w:pPr>
          </w:p>
        </w:tc>
        <w:tc>
          <w:tcPr>
            <w:tcW w:w="0" w:type="auto"/>
            <w:shd w:val="clear" w:color="auto" w:fill="auto"/>
            <w:vAlign w:val="bottom"/>
          </w:tcPr>
          <w:p w14:paraId="74DE059D" w14:textId="77777777" w:rsidR="00584EC1" w:rsidRDefault="00584EC1">
            <w:pPr>
              <w:rPr>
                <w:rFonts w:ascii="宋体"/>
                <w:vanish/>
              </w:rPr>
            </w:pPr>
          </w:p>
        </w:tc>
        <w:tc>
          <w:tcPr>
            <w:tcW w:w="0" w:type="auto"/>
            <w:gridSpan w:val="3"/>
            <w:shd w:val="clear" w:color="auto" w:fill="auto"/>
            <w:vAlign w:val="bottom"/>
          </w:tcPr>
          <w:p w14:paraId="74DE059E" w14:textId="77777777" w:rsidR="00584EC1" w:rsidRDefault="00584EC1">
            <w:pPr>
              <w:rPr>
                <w:rFonts w:ascii="宋体"/>
                <w:vanish/>
              </w:rPr>
            </w:pPr>
          </w:p>
        </w:tc>
        <w:tc>
          <w:tcPr>
            <w:tcW w:w="0" w:type="auto"/>
            <w:gridSpan w:val="3"/>
            <w:shd w:val="clear" w:color="auto" w:fill="auto"/>
            <w:vAlign w:val="bottom"/>
          </w:tcPr>
          <w:p w14:paraId="74DE059F" w14:textId="77777777" w:rsidR="00584EC1" w:rsidRDefault="00584EC1">
            <w:pPr>
              <w:rPr>
                <w:rFonts w:ascii="宋体"/>
                <w:vanish/>
              </w:rPr>
            </w:pPr>
          </w:p>
        </w:tc>
        <w:tc>
          <w:tcPr>
            <w:tcW w:w="0" w:type="auto"/>
            <w:gridSpan w:val="3"/>
            <w:shd w:val="clear" w:color="auto" w:fill="auto"/>
            <w:vAlign w:val="bottom"/>
          </w:tcPr>
          <w:p w14:paraId="74DE05A0" w14:textId="77777777" w:rsidR="00584EC1" w:rsidRDefault="00584EC1">
            <w:pPr>
              <w:rPr>
                <w:rFonts w:ascii="宋体"/>
                <w:vanish/>
              </w:rPr>
            </w:pPr>
          </w:p>
        </w:tc>
        <w:tc>
          <w:tcPr>
            <w:tcW w:w="0" w:type="auto"/>
            <w:gridSpan w:val="3"/>
            <w:shd w:val="clear" w:color="auto" w:fill="auto"/>
            <w:vAlign w:val="bottom"/>
          </w:tcPr>
          <w:p w14:paraId="74DE05A1" w14:textId="77777777" w:rsidR="00584EC1" w:rsidRDefault="00584EC1">
            <w:pPr>
              <w:rPr>
                <w:rFonts w:ascii="宋体"/>
                <w:vanish/>
              </w:rPr>
            </w:pPr>
          </w:p>
        </w:tc>
        <w:tc>
          <w:tcPr>
            <w:tcW w:w="0" w:type="auto"/>
            <w:gridSpan w:val="3"/>
            <w:shd w:val="clear" w:color="auto" w:fill="auto"/>
            <w:vAlign w:val="bottom"/>
          </w:tcPr>
          <w:p w14:paraId="74DE05A2" w14:textId="77777777" w:rsidR="00584EC1" w:rsidRDefault="00584EC1">
            <w:pPr>
              <w:rPr>
                <w:rFonts w:ascii="宋体"/>
                <w:vanish/>
              </w:rPr>
            </w:pPr>
          </w:p>
        </w:tc>
        <w:tc>
          <w:tcPr>
            <w:tcW w:w="0" w:type="auto"/>
            <w:gridSpan w:val="3"/>
            <w:shd w:val="clear" w:color="auto" w:fill="auto"/>
            <w:vAlign w:val="bottom"/>
          </w:tcPr>
          <w:p w14:paraId="74DE05A3" w14:textId="77777777" w:rsidR="00584EC1" w:rsidRDefault="00584EC1">
            <w:pPr>
              <w:rPr>
                <w:rFonts w:ascii="宋体"/>
                <w:vanish/>
              </w:rPr>
            </w:pPr>
          </w:p>
        </w:tc>
      </w:tr>
      <w:tr w:rsidR="00584EC1" w14:paraId="74DE05BD" w14:textId="77777777">
        <w:tc>
          <w:tcPr>
            <w:tcW w:w="0" w:type="auto"/>
            <w:gridSpan w:val="3"/>
            <w:shd w:val="clear" w:color="auto" w:fill="CCEEFF"/>
            <w:tcMar>
              <w:top w:w="40" w:type="dxa"/>
              <w:left w:w="20" w:type="dxa"/>
              <w:bottom w:w="40" w:type="dxa"/>
              <w:right w:w="20" w:type="dxa"/>
            </w:tcMar>
            <w:vAlign w:val="bottom"/>
          </w:tcPr>
          <w:p w14:paraId="74DE05A5" w14:textId="77777777" w:rsidR="00584EC1" w:rsidRDefault="00871F8D">
            <w:pPr>
              <w:textAlignment w:val="bottom"/>
            </w:pPr>
            <w:r>
              <w:rPr>
                <w:rFonts w:ascii="Arial" w:eastAsia="宋体" w:hAnsi="Arial" w:cs="Arial"/>
                <w:color w:val="000000"/>
                <w:sz w:val="14"/>
                <w:szCs w:val="14"/>
              </w:rPr>
              <w:t>Common Stock</w:t>
            </w:r>
          </w:p>
        </w:tc>
        <w:tc>
          <w:tcPr>
            <w:tcW w:w="0" w:type="auto"/>
            <w:tcBorders>
              <w:top w:val="single" w:sz="8" w:space="0" w:color="000000"/>
            </w:tcBorders>
            <w:shd w:val="clear" w:color="auto" w:fill="CCEEFF"/>
            <w:tcMar>
              <w:top w:w="40" w:type="dxa"/>
              <w:left w:w="20" w:type="dxa"/>
              <w:bottom w:w="40" w:type="dxa"/>
              <w:right w:w="0" w:type="dxa"/>
            </w:tcMar>
            <w:vAlign w:val="bottom"/>
          </w:tcPr>
          <w:p w14:paraId="74DE05A6"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05A7" w14:textId="77777777" w:rsidR="00584EC1" w:rsidRDefault="00871F8D">
            <w:pPr>
              <w:jc w:val="right"/>
              <w:textAlignment w:val="bottom"/>
            </w:pPr>
            <w:r>
              <w:rPr>
                <w:rFonts w:ascii="Arial" w:eastAsia="宋体" w:hAnsi="Arial" w:cs="Arial"/>
                <w:b/>
                <w:bCs/>
                <w:color w:val="000000"/>
                <w:sz w:val="14"/>
                <w:szCs w:val="14"/>
              </w:rPr>
              <w:t>0.57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5A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5A9"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05AA"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05AB" w14:textId="77777777" w:rsidR="00584EC1" w:rsidRDefault="00871F8D">
            <w:pPr>
              <w:jc w:val="right"/>
              <w:textAlignment w:val="bottom"/>
            </w:pPr>
            <w:r>
              <w:rPr>
                <w:rFonts w:ascii="Arial" w:eastAsia="宋体" w:hAnsi="Arial" w:cs="Arial"/>
                <w:b/>
                <w:bCs/>
                <w:color w:val="000000"/>
                <w:sz w:val="14"/>
                <w:szCs w:val="14"/>
              </w:rPr>
              <w:t>209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5A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5AD"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05AE"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05AF" w14:textId="77777777" w:rsidR="00584EC1" w:rsidRDefault="00871F8D">
            <w:pPr>
              <w:jc w:val="right"/>
              <w:textAlignment w:val="bottom"/>
            </w:pPr>
            <w:r>
              <w:rPr>
                <w:rFonts w:ascii="Arial" w:eastAsia="宋体" w:hAnsi="Arial" w:cs="Arial"/>
                <w:color w:val="000000"/>
                <w:sz w:val="14"/>
                <w:szCs w:val="14"/>
              </w:rPr>
              <w:t>0.52 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5B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5B1"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05B2"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05B3" w14:textId="77777777" w:rsidR="00584EC1" w:rsidRDefault="00871F8D">
            <w:pPr>
              <w:jc w:val="right"/>
              <w:textAlignment w:val="bottom"/>
            </w:pPr>
            <w:r>
              <w:rPr>
                <w:rFonts w:ascii="Arial" w:eastAsia="宋体" w:hAnsi="Arial" w:cs="Arial"/>
                <w:color w:val="000000"/>
                <w:sz w:val="14"/>
                <w:szCs w:val="14"/>
              </w:rPr>
              <w:t>184 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5B4" w14:textId="77777777" w:rsidR="00584EC1" w:rsidRDefault="00584EC1">
            <w:pPr>
              <w:jc w:val="right"/>
              <w:rPr>
                <w:rFonts w:ascii="宋体"/>
              </w:rPr>
            </w:pPr>
          </w:p>
        </w:tc>
        <w:tc>
          <w:tcPr>
            <w:tcW w:w="0" w:type="auto"/>
            <w:shd w:val="clear" w:color="auto" w:fill="auto"/>
            <w:vAlign w:val="bottom"/>
          </w:tcPr>
          <w:p w14:paraId="74DE05B5" w14:textId="77777777" w:rsidR="00584EC1" w:rsidRDefault="00584EC1">
            <w:pPr>
              <w:rPr>
                <w:rFonts w:ascii="宋体"/>
                <w:vanish/>
              </w:rPr>
            </w:pPr>
          </w:p>
        </w:tc>
        <w:tc>
          <w:tcPr>
            <w:tcW w:w="0" w:type="auto"/>
            <w:shd w:val="clear" w:color="auto" w:fill="auto"/>
            <w:vAlign w:val="bottom"/>
          </w:tcPr>
          <w:p w14:paraId="74DE05B6" w14:textId="77777777" w:rsidR="00584EC1" w:rsidRDefault="00584EC1">
            <w:pPr>
              <w:rPr>
                <w:rFonts w:ascii="宋体"/>
                <w:vanish/>
              </w:rPr>
            </w:pPr>
          </w:p>
        </w:tc>
        <w:tc>
          <w:tcPr>
            <w:tcW w:w="0" w:type="auto"/>
            <w:gridSpan w:val="3"/>
            <w:shd w:val="clear" w:color="auto" w:fill="auto"/>
            <w:vAlign w:val="bottom"/>
          </w:tcPr>
          <w:p w14:paraId="74DE05B7" w14:textId="77777777" w:rsidR="00584EC1" w:rsidRDefault="00584EC1">
            <w:pPr>
              <w:rPr>
                <w:rFonts w:ascii="宋体"/>
                <w:vanish/>
              </w:rPr>
            </w:pPr>
          </w:p>
        </w:tc>
        <w:tc>
          <w:tcPr>
            <w:tcW w:w="0" w:type="auto"/>
            <w:gridSpan w:val="3"/>
            <w:shd w:val="clear" w:color="auto" w:fill="auto"/>
            <w:vAlign w:val="bottom"/>
          </w:tcPr>
          <w:p w14:paraId="74DE05B8" w14:textId="77777777" w:rsidR="00584EC1" w:rsidRDefault="00584EC1">
            <w:pPr>
              <w:rPr>
                <w:rFonts w:ascii="宋体"/>
                <w:vanish/>
              </w:rPr>
            </w:pPr>
          </w:p>
        </w:tc>
        <w:tc>
          <w:tcPr>
            <w:tcW w:w="0" w:type="auto"/>
            <w:gridSpan w:val="3"/>
            <w:shd w:val="clear" w:color="auto" w:fill="auto"/>
            <w:vAlign w:val="bottom"/>
          </w:tcPr>
          <w:p w14:paraId="74DE05B9" w14:textId="77777777" w:rsidR="00584EC1" w:rsidRDefault="00584EC1">
            <w:pPr>
              <w:rPr>
                <w:rFonts w:ascii="宋体"/>
                <w:vanish/>
              </w:rPr>
            </w:pPr>
          </w:p>
        </w:tc>
        <w:tc>
          <w:tcPr>
            <w:tcW w:w="0" w:type="auto"/>
            <w:gridSpan w:val="3"/>
            <w:shd w:val="clear" w:color="auto" w:fill="auto"/>
            <w:vAlign w:val="bottom"/>
          </w:tcPr>
          <w:p w14:paraId="74DE05BA" w14:textId="77777777" w:rsidR="00584EC1" w:rsidRDefault="00584EC1">
            <w:pPr>
              <w:rPr>
                <w:rFonts w:ascii="宋体"/>
                <w:vanish/>
              </w:rPr>
            </w:pPr>
          </w:p>
        </w:tc>
        <w:tc>
          <w:tcPr>
            <w:tcW w:w="0" w:type="auto"/>
            <w:gridSpan w:val="3"/>
            <w:shd w:val="clear" w:color="auto" w:fill="auto"/>
            <w:vAlign w:val="bottom"/>
          </w:tcPr>
          <w:p w14:paraId="74DE05BB" w14:textId="77777777" w:rsidR="00584EC1" w:rsidRDefault="00584EC1">
            <w:pPr>
              <w:rPr>
                <w:rFonts w:ascii="宋体"/>
                <w:vanish/>
              </w:rPr>
            </w:pPr>
          </w:p>
        </w:tc>
        <w:tc>
          <w:tcPr>
            <w:tcW w:w="0" w:type="auto"/>
            <w:gridSpan w:val="3"/>
            <w:shd w:val="clear" w:color="auto" w:fill="auto"/>
            <w:vAlign w:val="bottom"/>
          </w:tcPr>
          <w:p w14:paraId="74DE05BC" w14:textId="77777777" w:rsidR="00584EC1" w:rsidRDefault="00584EC1">
            <w:pPr>
              <w:rPr>
                <w:rFonts w:ascii="宋体"/>
                <w:vanish/>
              </w:rPr>
            </w:pPr>
          </w:p>
        </w:tc>
      </w:tr>
      <w:tr w:rsidR="00584EC1" w14:paraId="74DE05CE" w14:textId="77777777">
        <w:trPr>
          <w:trHeight w:val="100"/>
        </w:trPr>
        <w:tc>
          <w:tcPr>
            <w:tcW w:w="0" w:type="auto"/>
            <w:gridSpan w:val="3"/>
            <w:shd w:val="clear" w:color="auto" w:fill="auto"/>
            <w:tcMar>
              <w:top w:w="0" w:type="dxa"/>
              <w:left w:w="20" w:type="dxa"/>
              <w:bottom w:w="0" w:type="dxa"/>
              <w:right w:w="20" w:type="dxa"/>
            </w:tcMar>
            <w:vAlign w:val="bottom"/>
          </w:tcPr>
          <w:p w14:paraId="74DE05BE"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5BF"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5C0"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5C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5C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5C3"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5C4"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5C5" w14:textId="77777777" w:rsidR="00584EC1" w:rsidRDefault="00584EC1">
            <w:pPr>
              <w:rPr>
                <w:rFonts w:ascii="宋体"/>
              </w:rPr>
            </w:pPr>
          </w:p>
        </w:tc>
        <w:tc>
          <w:tcPr>
            <w:tcW w:w="0" w:type="auto"/>
            <w:shd w:val="clear" w:color="auto" w:fill="auto"/>
            <w:vAlign w:val="bottom"/>
          </w:tcPr>
          <w:p w14:paraId="74DE05C6" w14:textId="77777777" w:rsidR="00584EC1" w:rsidRDefault="00584EC1">
            <w:pPr>
              <w:rPr>
                <w:rFonts w:ascii="宋体"/>
                <w:vanish/>
              </w:rPr>
            </w:pPr>
          </w:p>
        </w:tc>
        <w:tc>
          <w:tcPr>
            <w:tcW w:w="0" w:type="auto"/>
            <w:shd w:val="clear" w:color="auto" w:fill="auto"/>
            <w:vAlign w:val="bottom"/>
          </w:tcPr>
          <w:p w14:paraId="74DE05C7" w14:textId="77777777" w:rsidR="00584EC1" w:rsidRDefault="00584EC1">
            <w:pPr>
              <w:rPr>
                <w:rFonts w:ascii="宋体"/>
                <w:vanish/>
              </w:rPr>
            </w:pPr>
          </w:p>
        </w:tc>
        <w:tc>
          <w:tcPr>
            <w:tcW w:w="0" w:type="auto"/>
            <w:gridSpan w:val="3"/>
            <w:shd w:val="clear" w:color="auto" w:fill="auto"/>
            <w:vAlign w:val="bottom"/>
          </w:tcPr>
          <w:p w14:paraId="74DE05C8" w14:textId="77777777" w:rsidR="00584EC1" w:rsidRDefault="00584EC1">
            <w:pPr>
              <w:rPr>
                <w:rFonts w:ascii="宋体"/>
                <w:vanish/>
              </w:rPr>
            </w:pPr>
          </w:p>
        </w:tc>
        <w:tc>
          <w:tcPr>
            <w:tcW w:w="0" w:type="auto"/>
            <w:gridSpan w:val="3"/>
            <w:shd w:val="clear" w:color="auto" w:fill="auto"/>
            <w:vAlign w:val="bottom"/>
          </w:tcPr>
          <w:p w14:paraId="74DE05C9" w14:textId="77777777" w:rsidR="00584EC1" w:rsidRDefault="00584EC1">
            <w:pPr>
              <w:rPr>
                <w:rFonts w:ascii="宋体"/>
                <w:vanish/>
              </w:rPr>
            </w:pPr>
          </w:p>
        </w:tc>
        <w:tc>
          <w:tcPr>
            <w:tcW w:w="0" w:type="auto"/>
            <w:gridSpan w:val="3"/>
            <w:shd w:val="clear" w:color="auto" w:fill="auto"/>
            <w:vAlign w:val="bottom"/>
          </w:tcPr>
          <w:p w14:paraId="74DE05CA" w14:textId="77777777" w:rsidR="00584EC1" w:rsidRDefault="00584EC1">
            <w:pPr>
              <w:rPr>
                <w:rFonts w:ascii="宋体"/>
                <w:vanish/>
              </w:rPr>
            </w:pPr>
          </w:p>
        </w:tc>
        <w:tc>
          <w:tcPr>
            <w:tcW w:w="0" w:type="auto"/>
            <w:gridSpan w:val="3"/>
            <w:shd w:val="clear" w:color="auto" w:fill="auto"/>
            <w:vAlign w:val="bottom"/>
          </w:tcPr>
          <w:p w14:paraId="74DE05CB" w14:textId="77777777" w:rsidR="00584EC1" w:rsidRDefault="00584EC1">
            <w:pPr>
              <w:rPr>
                <w:rFonts w:ascii="宋体"/>
                <w:vanish/>
              </w:rPr>
            </w:pPr>
          </w:p>
        </w:tc>
        <w:tc>
          <w:tcPr>
            <w:tcW w:w="0" w:type="auto"/>
            <w:gridSpan w:val="3"/>
            <w:shd w:val="clear" w:color="auto" w:fill="auto"/>
            <w:vAlign w:val="bottom"/>
          </w:tcPr>
          <w:p w14:paraId="74DE05CC" w14:textId="77777777" w:rsidR="00584EC1" w:rsidRDefault="00584EC1">
            <w:pPr>
              <w:rPr>
                <w:rFonts w:ascii="宋体"/>
                <w:vanish/>
              </w:rPr>
            </w:pPr>
          </w:p>
        </w:tc>
        <w:tc>
          <w:tcPr>
            <w:tcW w:w="0" w:type="auto"/>
            <w:gridSpan w:val="3"/>
            <w:shd w:val="clear" w:color="auto" w:fill="auto"/>
            <w:vAlign w:val="bottom"/>
          </w:tcPr>
          <w:p w14:paraId="74DE05CD" w14:textId="77777777" w:rsidR="00584EC1" w:rsidRDefault="00584EC1">
            <w:pPr>
              <w:rPr>
                <w:rFonts w:ascii="宋体"/>
                <w:vanish/>
              </w:rPr>
            </w:pPr>
          </w:p>
        </w:tc>
      </w:tr>
      <w:tr w:rsidR="00584EC1" w14:paraId="74DE05E5" w14:textId="77777777">
        <w:tc>
          <w:tcPr>
            <w:tcW w:w="0" w:type="auto"/>
            <w:gridSpan w:val="3"/>
            <w:shd w:val="clear" w:color="auto" w:fill="auto"/>
            <w:tcMar>
              <w:top w:w="0" w:type="dxa"/>
              <w:left w:w="20" w:type="dxa"/>
              <w:bottom w:w="0" w:type="dxa"/>
              <w:right w:w="20" w:type="dxa"/>
            </w:tcMar>
            <w:vAlign w:val="bottom"/>
          </w:tcPr>
          <w:p w14:paraId="74DE05CF" w14:textId="77777777" w:rsidR="00584EC1" w:rsidRDefault="00584EC1">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74DE05D0" w14:textId="77777777" w:rsidR="00584EC1" w:rsidRDefault="00871F8D">
            <w:pPr>
              <w:jc w:val="center"/>
              <w:textAlignment w:val="bottom"/>
            </w:pPr>
            <w:r>
              <w:rPr>
                <w:rFonts w:ascii="Arial" w:eastAsia="宋体" w:hAnsi="Arial" w:cs="Arial"/>
                <w:b/>
                <w:bCs/>
                <w:color w:val="000000"/>
                <w:sz w:val="14"/>
                <w:szCs w:val="14"/>
              </w:rPr>
              <w:t>Nine Months Ended September 30,</w:t>
            </w:r>
          </w:p>
        </w:tc>
        <w:tc>
          <w:tcPr>
            <w:tcW w:w="0" w:type="auto"/>
            <w:shd w:val="clear" w:color="auto" w:fill="auto"/>
            <w:vAlign w:val="bottom"/>
          </w:tcPr>
          <w:p w14:paraId="74DE05D1" w14:textId="77777777" w:rsidR="00584EC1" w:rsidRDefault="00584EC1">
            <w:pPr>
              <w:rPr>
                <w:rFonts w:ascii="宋体"/>
                <w:vanish/>
              </w:rPr>
            </w:pPr>
          </w:p>
        </w:tc>
        <w:tc>
          <w:tcPr>
            <w:tcW w:w="0" w:type="auto"/>
            <w:shd w:val="clear" w:color="auto" w:fill="auto"/>
            <w:vAlign w:val="bottom"/>
          </w:tcPr>
          <w:p w14:paraId="74DE05D2" w14:textId="77777777" w:rsidR="00584EC1" w:rsidRDefault="00584EC1">
            <w:pPr>
              <w:rPr>
                <w:rFonts w:ascii="宋体"/>
                <w:vanish/>
              </w:rPr>
            </w:pPr>
          </w:p>
        </w:tc>
        <w:tc>
          <w:tcPr>
            <w:tcW w:w="0" w:type="auto"/>
            <w:shd w:val="clear" w:color="auto" w:fill="auto"/>
            <w:vAlign w:val="bottom"/>
          </w:tcPr>
          <w:p w14:paraId="74DE05D3" w14:textId="77777777" w:rsidR="00584EC1" w:rsidRDefault="00584EC1">
            <w:pPr>
              <w:rPr>
                <w:rFonts w:ascii="宋体"/>
              </w:rPr>
            </w:pPr>
          </w:p>
        </w:tc>
        <w:tc>
          <w:tcPr>
            <w:tcW w:w="0" w:type="auto"/>
            <w:shd w:val="clear" w:color="auto" w:fill="auto"/>
            <w:vAlign w:val="bottom"/>
          </w:tcPr>
          <w:p w14:paraId="74DE05D4" w14:textId="77777777" w:rsidR="00584EC1" w:rsidRDefault="00584EC1">
            <w:pPr>
              <w:rPr>
                <w:rFonts w:ascii="宋体"/>
              </w:rPr>
            </w:pPr>
          </w:p>
        </w:tc>
        <w:tc>
          <w:tcPr>
            <w:tcW w:w="0" w:type="auto"/>
            <w:shd w:val="clear" w:color="auto" w:fill="auto"/>
            <w:vAlign w:val="bottom"/>
          </w:tcPr>
          <w:p w14:paraId="74DE05D5" w14:textId="77777777" w:rsidR="00584EC1" w:rsidRDefault="00584EC1">
            <w:pPr>
              <w:rPr>
                <w:rFonts w:ascii="宋体"/>
              </w:rPr>
            </w:pPr>
          </w:p>
        </w:tc>
        <w:tc>
          <w:tcPr>
            <w:tcW w:w="0" w:type="auto"/>
            <w:shd w:val="clear" w:color="auto" w:fill="auto"/>
            <w:vAlign w:val="bottom"/>
          </w:tcPr>
          <w:p w14:paraId="74DE05D6" w14:textId="77777777" w:rsidR="00584EC1" w:rsidRDefault="00584EC1">
            <w:pPr>
              <w:rPr>
                <w:rFonts w:ascii="宋体"/>
              </w:rPr>
            </w:pPr>
          </w:p>
        </w:tc>
        <w:tc>
          <w:tcPr>
            <w:tcW w:w="0" w:type="auto"/>
            <w:shd w:val="clear" w:color="auto" w:fill="auto"/>
            <w:vAlign w:val="bottom"/>
          </w:tcPr>
          <w:p w14:paraId="74DE05D7" w14:textId="77777777" w:rsidR="00584EC1" w:rsidRDefault="00584EC1">
            <w:pPr>
              <w:rPr>
                <w:rFonts w:ascii="宋体"/>
              </w:rPr>
            </w:pPr>
          </w:p>
        </w:tc>
        <w:tc>
          <w:tcPr>
            <w:tcW w:w="0" w:type="auto"/>
            <w:shd w:val="clear" w:color="auto" w:fill="auto"/>
            <w:vAlign w:val="bottom"/>
          </w:tcPr>
          <w:p w14:paraId="74DE05D8" w14:textId="77777777" w:rsidR="00584EC1" w:rsidRDefault="00584EC1">
            <w:pPr>
              <w:rPr>
                <w:rFonts w:ascii="宋体"/>
              </w:rPr>
            </w:pPr>
          </w:p>
        </w:tc>
        <w:tc>
          <w:tcPr>
            <w:tcW w:w="0" w:type="auto"/>
            <w:shd w:val="clear" w:color="auto" w:fill="auto"/>
            <w:vAlign w:val="bottom"/>
          </w:tcPr>
          <w:p w14:paraId="74DE05D9" w14:textId="77777777" w:rsidR="00584EC1" w:rsidRDefault="00584EC1">
            <w:pPr>
              <w:rPr>
                <w:rFonts w:ascii="宋体"/>
              </w:rPr>
            </w:pPr>
          </w:p>
        </w:tc>
        <w:tc>
          <w:tcPr>
            <w:tcW w:w="0" w:type="auto"/>
            <w:shd w:val="clear" w:color="auto" w:fill="auto"/>
            <w:vAlign w:val="bottom"/>
          </w:tcPr>
          <w:p w14:paraId="74DE05DA" w14:textId="77777777" w:rsidR="00584EC1" w:rsidRDefault="00584EC1">
            <w:pPr>
              <w:rPr>
                <w:rFonts w:ascii="宋体"/>
              </w:rPr>
            </w:pPr>
          </w:p>
        </w:tc>
        <w:tc>
          <w:tcPr>
            <w:tcW w:w="0" w:type="auto"/>
            <w:shd w:val="clear" w:color="auto" w:fill="auto"/>
            <w:vAlign w:val="bottom"/>
          </w:tcPr>
          <w:p w14:paraId="74DE05DB" w14:textId="77777777" w:rsidR="00584EC1" w:rsidRDefault="00584EC1">
            <w:pPr>
              <w:rPr>
                <w:rFonts w:ascii="宋体"/>
              </w:rPr>
            </w:pPr>
          </w:p>
        </w:tc>
        <w:tc>
          <w:tcPr>
            <w:tcW w:w="0" w:type="auto"/>
            <w:shd w:val="clear" w:color="auto" w:fill="auto"/>
            <w:vAlign w:val="bottom"/>
          </w:tcPr>
          <w:p w14:paraId="74DE05DC" w14:textId="77777777" w:rsidR="00584EC1" w:rsidRDefault="00584EC1">
            <w:pPr>
              <w:rPr>
                <w:rFonts w:ascii="宋体"/>
              </w:rPr>
            </w:pPr>
          </w:p>
        </w:tc>
        <w:tc>
          <w:tcPr>
            <w:tcW w:w="0" w:type="auto"/>
            <w:shd w:val="clear" w:color="auto" w:fill="auto"/>
            <w:vAlign w:val="bottom"/>
          </w:tcPr>
          <w:p w14:paraId="74DE05DD" w14:textId="77777777" w:rsidR="00584EC1" w:rsidRDefault="00584EC1">
            <w:pPr>
              <w:rPr>
                <w:rFonts w:ascii="宋体"/>
              </w:rPr>
            </w:pPr>
          </w:p>
        </w:tc>
        <w:tc>
          <w:tcPr>
            <w:tcW w:w="0" w:type="auto"/>
            <w:shd w:val="clear" w:color="auto" w:fill="auto"/>
            <w:vAlign w:val="bottom"/>
          </w:tcPr>
          <w:p w14:paraId="74DE05DE" w14:textId="77777777" w:rsidR="00584EC1" w:rsidRDefault="00584EC1">
            <w:pPr>
              <w:rPr>
                <w:rFonts w:ascii="宋体"/>
              </w:rPr>
            </w:pPr>
          </w:p>
        </w:tc>
        <w:tc>
          <w:tcPr>
            <w:tcW w:w="0" w:type="auto"/>
            <w:shd w:val="clear" w:color="auto" w:fill="auto"/>
            <w:vAlign w:val="bottom"/>
          </w:tcPr>
          <w:p w14:paraId="74DE05DF" w14:textId="77777777" w:rsidR="00584EC1" w:rsidRDefault="00584EC1">
            <w:pPr>
              <w:rPr>
                <w:rFonts w:ascii="宋体"/>
              </w:rPr>
            </w:pPr>
          </w:p>
        </w:tc>
        <w:tc>
          <w:tcPr>
            <w:tcW w:w="0" w:type="auto"/>
            <w:shd w:val="clear" w:color="auto" w:fill="auto"/>
            <w:vAlign w:val="bottom"/>
          </w:tcPr>
          <w:p w14:paraId="74DE05E0" w14:textId="77777777" w:rsidR="00584EC1" w:rsidRDefault="00584EC1">
            <w:pPr>
              <w:rPr>
                <w:rFonts w:ascii="宋体"/>
              </w:rPr>
            </w:pPr>
          </w:p>
        </w:tc>
        <w:tc>
          <w:tcPr>
            <w:tcW w:w="0" w:type="auto"/>
            <w:shd w:val="clear" w:color="auto" w:fill="auto"/>
            <w:vAlign w:val="bottom"/>
          </w:tcPr>
          <w:p w14:paraId="74DE05E1" w14:textId="77777777" w:rsidR="00584EC1" w:rsidRDefault="00584EC1">
            <w:pPr>
              <w:rPr>
                <w:rFonts w:ascii="宋体"/>
              </w:rPr>
            </w:pPr>
          </w:p>
        </w:tc>
        <w:tc>
          <w:tcPr>
            <w:tcW w:w="0" w:type="auto"/>
            <w:shd w:val="clear" w:color="auto" w:fill="auto"/>
            <w:vAlign w:val="bottom"/>
          </w:tcPr>
          <w:p w14:paraId="74DE05E2" w14:textId="77777777" w:rsidR="00584EC1" w:rsidRDefault="00584EC1">
            <w:pPr>
              <w:rPr>
                <w:rFonts w:ascii="宋体"/>
              </w:rPr>
            </w:pPr>
          </w:p>
        </w:tc>
        <w:tc>
          <w:tcPr>
            <w:tcW w:w="0" w:type="auto"/>
            <w:shd w:val="clear" w:color="auto" w:fill="auto"/>
            <w:vAlign w:val="bottom"/>
          </w:tcPr>
          <w:p w14:paraId="74DE05E3" w14:textId="77777777" w:rsidR="00584EC1" w:rsidRDefault="00584EC1">
            <w:pPr>
              <w:rPr>
                <w:rFonts w:ascii="宋体"/>
              </w:rPr>
            </w:pPr>
          </w:p>
        </w:tc>
        <w:tc>
          <w:tcPr>
            <w:tcW w:w="0" w:type="auto"/>
            <w:shd w:val="clear" w:color="auto" w:fill="auto"/>
            <w:vAlign w:val="bottom"/>
          </w:tcPr>
          <w:p w14:paraId="74DE05E4" w14:textId="77777777" w:rsidR="00584EC1" w:rsidRDefault="00584EC1">
            <w:pPr>
              <w:rPr>
                <w:rFonts w:ascii="宋体"/>
              </w:rPr>
            </w:pPr>
          </w:p>
        </w:tc>
      </w:tr>
      <w:tr w:rsidR="00584EC1" w14:paraId="74DE05FA" w14:textId="77777777">
        <w:tc>
          <w:tcPr>
            <w:tcW w:w="0" w:type="auto"/>
            <w:gridSpan w:val="3"/>
            <w:shd w:val="clear" w:color="auto" w:fill="auto"/>
            <w:tcMar>
              <w:top w:w="0" w:type="dxa"/>
              <w:left w:w="20" w:type="dxa"/>
              <w:bottom w:w="0" w:type="dxa"/>
              <w:right w:w="20" w:type="dxa"/>
            </w:tcMar>
            <w:vAlign w:val="bottom"/>
          </w:tcPr>
          <w:p w14:paraId="74DE05E6" w14:textId="77777777" w:rsidR="00584EC1" w:rsidRDefault="00584E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4DE05E7" w14:textId="77777777" w:rsidR="00584EC1" w:rsidRDefault="00871F8D">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05E8" w14:textId="77777777" w:rsidR="00584EC1" w:rsidRDefault="00584E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4DE05E9" w14:textId="77777777" w:rsidR="00584EC1" w:rsidRDefault="00871F8D">
            <w:pPr>
              <w:jc w:val="center"/>
              <w:textAlignment w:val="bottom"/>
            </w:pPr>
            <w:r>
              <w:rPr>
                <w:rFonts w:ascii="Arial" w:eastAsia="宋体" w:hAnsi="Arial" w:cs="Arial"/>
                <w:b/>
                <w:bCs/>
                <w:color w:val="000000"/>
                <w:sz w:val="14"/>
                <w:szCs w:val="14"/>
              </w:rPr>
              <w:t>2020</w:t>
            </w:r>
          </w:p>
        </w:tc>
        <w:tc>
          <w:tcPr>
            <w:tcW w:w="0" w:type="auto"/>
            <w:shd w:val="clear" w:color="auto" w:fill="auto"/>
            <w:vAlign w:val="bottom"/>
          </w:tcPr>
          <w:p w14:paraId="74DE05EA" w14:textId="77777777" w:rsidR="00584EC1" w:rsidRDefault="00584EC1">
            <w:pPr>
              <w:rPr>
                <w:rFonts w:ascii="宋体"/>
                <w:vanish/>
              </w:rPr>
            </w:pPr>
          </w:p>
        </w:tc>
        <w:tc>
          <w:tcPr>
            <w:tcW w:w="0" w:type="auto"/>
            <w:shd w:val="clear" w:color="auto" w:fill="auto"/>
            <w:vAlign w:val="bottom"/>
          </w:tcPr>
          <w:p w14:paraId="74DE05EB" w14:textId="77777777" w:rsidR="00584EC1" w:rsidRDefault="00584EC1">
            <w:pPr>
              <w:rPr>
                <w:rFonts w:ascii="宋体"/>
                <w:vanish/>
              </w:rPr>
            </w:pPr>
          </w:p>
        </w:tc>
        <w:tc>
          <w:tcPr>
            <w:tcW w:w="0" w:type="auto"/>
            <w:gridSpan w:val="3"/>
            <w:shd w:val="clear" w:color="auto" w:fill="auto"/>
            <w:vAlign w:val="bottom"/>
          </w:tcPr>
          <w:p w14:paraId="74DE05EC" w14:textId="77777777" w:rsidR="00584EC1" w:rsidRDefault="00584EC1">
            <w:pPr>
              <w:rPr>
                <w:rFonts w:ascii="宋体"/>
                <w:vanish/>
              </w:rPr>
            </w:pPr>
          </w:p>
        </w:tc>
        <w:tc>
          <w:tcPr>
            <w:tcW w:w="0" w:type="auto"/>
            <w:gridSpan w:val="3"/>
            <w:shd w:val="clear" w:color="auto" w:fill="auto"/>
            <w:vAlign w:val="bottom"/>
          </w:tcPr>
          <w:p w14:paraId="74DE05ED" w14:textId="77777777" w:rsidR="00584EC1" w:rsidRDefault="00584EC1">
            <w:pPr>
              <w:rPr>
                <w:rFonts w:ascii="宋体"/>
                <w:vanish/>
              </w:rPr>
            </w:pPr>
          </w:p>
        </w:tc>
        <w:tc>
          <w:tcPr>
            <w:tcW w:w="0" w:type="auto"/>
            <w:shd w:val="clear" w:color="auto" w:fill="auto"/>
            <w:vAlign w:val="bottom"/>
          </w:tcPr>
          <w:p w14:paraId="74DE05EE" w14:textId="77777777" w:rsidR="00584EC1" w:rsidRDefault="00584EC1">
            <w:pPr>
              <w:rPr>
                <w:rFonts w:ascii="宋体"/>
              </w:rPr>
            </w:pPr>
          </w:p>
        </w:tc>
        <w:tc>
          <w:tcPr>
            <w:tcW w:w="0" w:type="auto"/>
            <w:shd w:val="clear" w:color="auto" w:fill="auto"/>
            <w:vAlign w:val="bottom"/>
          </w:tcPr>
          <w:p w14:paraId="74DE05EF" w14:textId="77777777" w:rsidR="00584EC1" w:rsidRDefault="00584EC1">
            <w:pPr>
              <w:rPr>
                <w:rFonts w:ascii="宋体"/>
              </w:rPr>
            </w:pPr>
          </w:p>
        </w:tc>
        <w:tc>
          <w:tcPr>
            <w:tcW w:w="0" w:type="auto"/>
            <w:shd w:val="clear" w:color="auto" w:fill="auto"/>
            <w:vAlign w:val="bottom"/>
          </w:tcPr>
          <w:p w14:paraId="74DE05F0" w14:textId="77777777" w:rsidR="00584EC1" w:rsidRDefault="00584EC1">
            <w:pPr>
              <w:rPr>
                <w:rFonts w:ascii="宋体"/>
              </w:rPr>
            </w:pPr>
          </w:p>
        </w:tc>
        <w:tc>
          <w:tcPr>
            <w:tcW w:w="0" w:type="auto"/>
            <w:shd w:val="clear" w:color="auto" w:fill="auto"/>
            <w:vAlign w:val="bottom"/>
          </w:tcPr>
          <w:p w14:paraId="74DE05F1" w14:textId="77777777" w:rsidR="00584EC1" w:rsidRDefault="00584EC1">
            <w:pPr>
              <w:rPr>
                <w:rFonts w:ascii="宋体"/>
              </w:rPr>
            </w:pPr>
          </w:p>
        </w:tc>
        <w:tc>
          <w:tcPr>
            <w:tcW w:w="0" w:type="auto"/>
            <w:shd w:val="clear" w:color="auto" w:fill="auto"/>
            <w:vAlign w:val="bottom"/>
          </w:tcPr>
          <w:p w14:paraId="74DE05F2" w14:textId="77777777" w:rsidR="00584EC1" w:rsidRDefault="00584EC1">
            <w:pPr>
              <w:rPr>
                <w:rFonts w:ascii="宋体"/>
              </w:rPr>
            </w:pPr>
          </w:p>
        </w:tc>
        <w:tc>
          <w:tcPr>
            <w:tcW w:w="0" w:type="auto"/>
            <w:shd w:val="clear" w:color="auto" w:fill="auto"/>
            <w:vAlign w:val="bottom"/>
          </w:tcPr>
          <w:p w14:paraId="74DE05F3" w14:textId="77777777" w:rsidR="00584EC1" w:rsidRDefault="00584EC1">
            <w:pPr>
              <w:rPr>
                <w:rFonts w:ascii="宋体"/>
              </w:rPr>
            </w:pPr>
          </w:p>
        </w:tc>
        <w:tc>
          <w:tcPr>
            <w:tcW w:w="0" w:type="auto"/>
            <w:shd w:val="clear" w:color="auto" w:fill="auto"/>
            <w:vAlign w:val="bottom"/>
          </w:tcPr>
          <w:p w14:paraId="74DE05F4" w14:textId="77777777" w:rsidR="00584EC1" w:rsidRDefault="00584EC1">
            <w:pPr>
              <w:rPr>
                <w:rFonts w:ascii="宋体"/>
              </w:rPr>
            </w:pPr>
          </w:p>
        </w:tc>
        <w:tc>
          <w:tcPr>
            <w:tcW w:w="0" w:type="auto"/>
            <w:shd w:val="clear" w:color="auto" w:fill="auto"/>
            <w:vAlign w:val="bottom"/>
          </w:tcPr>
          <w:p w14:paraId="74DE05F5" w14:textId="77777777" w:rsidR="00584EC1" w:rsidRDefault="00584EC1">
            <w:pPr>
              <w:rPr>
                <w:rFonts w:ascii="宋体"/>
              </w:rPr>
            </w:pPr>
          </w:p>
        </w:tc>
        <w:tc>
          <w:tcPr>
            <w:tcW w:w="0" w:type="auto"/>
            <w:shd w:val="clear" w:color="auto" w:fill="auto"/>
            <w:vAlign w:val="bottom"/>
          </w:tcPr>
          <w:p w14:paraId="74DE05F6" w14:textId="77777777" w:rsidR="00584EC1" w:rsidRDefault="00584EC1">
            <w:pPr>
              <w:rPr>
                <w:rFonts w:ascii="宋体"/>
              </w:rPr>
            </w:pPr>
          </w:p>
        </w:tc>
        <w:tc>
          <w:tcPr>
            <w:tcW w:w="0" w:type="auto"/>
            <w:shd w:val="clear" w:color="auto" w:fill="auto"/>
            <w:vAlign w:val="bottom"/>
          </w:tcPr>
          <w:p w14:paraId="74DE05F7" w14:textId="77777777" w:rsidR="00584EC1" w:rsidRDefault="00584EC1">
            <w:pPr>
              <w:rPr>
                <w:rFonts w:ascii="宋体"/>
              </w:rPr>
            </w:pPr>
          </w:p>
        </w:tc>
        <w:tc>
          <w:tcPr>
            <w:tcW w:w="0" w:type="auto"/>
            <w:shd w:val="clear" w:color="auto" w:fill="auto"/>
            <w:vAlign w:val="bottom"/>
          </w:tcPr>
          <w:p w14:paraId="74DE05F8" w14:textId="77777777" w:rsidR="00584EC1" w:rsidRDefault="00584EC1">
            <w:pPr>
              <w:rPr>
                <w:rFonts w:ascii="宋体"/>
              </w:rPr>
            </w:pPr>
          </w:p>
        </w:tc>
        <w:tc>
          <w:tcPr>
            <w:tcW w:w="0" w:type="auto"/>
            <w:shd w:val="clear" w:color="auto" w:fill="auto"/>
            <w:vAlign w:val="bottom"/>
          </w:tcPr>
          <w:p w14:paraId="74DE05F9" w14:textId="77777777" w:rsidR="00584EC1" w:rsidRDefault="00584EC1">
            <w:pPr>
              <w:rPr>
                <w:rFonts w:ascii="宋体"/>
              </w:rPr>
            </w:pPr>
          </w:p>
        </w:tc>
      </w:tr>
      <w:tr w:rsidR="00584EC1" w14:paraId="74DE060B" w14:textId="77777777">
        <w:tc>
          <w:tcPr>
            <w:tcW w:w="0" w:type="auto"/>
            <w:gridSpan w:val="3"/>
            <w:shd w:val="clear" w:color="auto" w:fill="auto"/>
            <w:tcMar>
              <w:top w:w="0" w:type="dxa"/>
              <w:left w:w="20" w:type="dxa"/>
              <w:bottom w:w="0" w:type="dxa"/>
              <w:right w:w="20" w:type="dxa"/>
            </w:tcMar>
            <w:vAlign w:val="bottom"/>
          </w:tcPr>
          <w:p w14:paraId="74DE05FB"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05FC" w14:textId="77777777" w:rsidR="00584EC1" w:rsidRDefault="00871F8D">
            <w:pPr>
              <w:jc w:val="center"/>
              <w:textAlignment w:val="bottom"/>
            </w:pPr>
            <w:r>
              <w:rPr>
                <w:rFonts w:ascii="Arial" w:eastAsia="宋体" w:hAnsi="Arial" w:cs="Arial"/>
                <w:b/>
                <w:bCs/>
                <w:color w:val="000000"/>
                <w:sz w:val="14"/>
                <w:szCs w:val="14"/>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05FD"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05FE" w14:textId="77777777" w:rsidR="00584EC1" w:rsidRDefault="00871F8D">
            <w:pPr>
              <w:jc w:val="center"/>
              <w:textAlignment w:val="bottom"/>
            </w:pPr>
            <w:r>
              <w:rPr>
                <w:rFonts w:ascii="Arial" w:eastAsia="宋体" w:hAnsi="Arial" w:cs="Arial"/>
                <w:b/>
                <w:bCs/>
                <w:color w:val="000000"/>
                <w:sz w:val="14"/>
                <w:szCs w:val="14"/>
              </w:rPr>
              <w:t>Total (In millions)</w:t>
            </w:r>
          </w:p>
        </w:tc>
        <w:tc>
          <w:tcPr>
            <w:tcW w:w="0" w:type="auto"/>
            <w:gridSpan w:val="3"/>
            <w:shd w:val="clear" w:color="auto" w:fill="auto"/>
            <w:tcMar>
              <w:top w:w="0" w:type="dxa"/>
              <w:left w:w="20" w:type="dxa"/>
              <w:bottom w:w="0" w:type="dxa"/>
              <w:right w:w="20" w:type="dxa"/>
            </w:tcMar>
            <w:vAlign w:val="bottom"/>
          </w:tcPr>
          <w:p w14:paraId="74DE05FF"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0600" w14:textId="77777777" w:rsidR="00584EC1" w:rsidRDefault="00871F8D">
            <w:pPr>
              <w:jc w:val="center"/>
              <w:textAlignment w:val="bottom"/>
            </w:pPr>
            <w:r>
              <w:rPr>
                <w:rFonts w:ascii="Arial" w:eastAsia="宋体" w:hAnsi="Arial" w:cs="Arial"/>
                <w:b/>
                <w:bCs/>
                <w:color w:val="000000"/>
                <w:sz w:val="14"/>
                <w:szCs w:val="14"/>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0601"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0602" w14:textId="77777777" w:rsidR="00584EC1" w:rsidRDefault="00871F8D">
            <w:pPr>
              <w:jc w:val="center"/>
              <w:textAlignment w:val="bottom"/>
            </w:pPr>
            <w:r>
              <w:rPr>
                <w:rFonts w:ascii="Arial" w:eastAsia="宋体" w:hAnsi="Arial" w:cs="Arial"/>
                <w:b/>
                <w:bCs/>
                <w:color w:val="000000"/>
                <w:sz w:val="14"/>
                <w:szCs w:val="14"/>
              </w:rPr>
              <w:t>Total (In millions)</w:t>
            </w:r>
          </w:p>
        </w:tc>
        <w:tc>
          <w:tcPr>
            <w:tcW w:w="0" w:type="auto"/>
            <w:shd w:val="clear" w:color="auto" w:fill="auto"/>
            <w:vAlign w:val="bottom"/>
          </w:tcPr>
          <w:p w14:paraId="74DE0603" w14:textId="77777777" w:rsidR="00584EC1" w:rsidRDefault="00584EC1">
            <w:pPr>
              <w:rPr>
                <w:rFonts w:ascii="宋体"/>
                <w:vanish/>
              </w:rPr>
            </w:pPr>
          </w:p>
        </w:tc>
        <w:tc>
          <w:tcPr>
            <w:tcW w:w="0" w:type="auto"/>
            <w:shd w:val="clear" w:color="auto" w:fill="auto"/>
            <w:vAlign w:val="bottom"/>
          </w:tcPr>
          <w:p w14:paraId="74DE0604" w14:textId="77777777" w:rsidR="00584EC1" w:rsidRDefault="00584EC1">
            <w:pPr>
              <w:rPr>
                <w:rFonts w:ascii="宋体"/>
                <w:vanish/>
              </w:rPr>
            </w:pPr>
          </w:p>
        </w:tc>
        <w:tc>
          <w:tcPr>
            <w:tcW w:w="0" w:type="auto"/>
            <w:gridSpan w:val="3"/>
            <w:shd w:val="clear" w:color="auto" w:fill="auto"/>
            <w:vAlign w:val="bottom"/>
          </w:tcPr>
          <w:p w14:paraId="74DE0605" w14:textId="77777777" w:rsidR="00584EC1" w:rsidRDefault="00584EC1">
            <w:pPr>
              <w:rPr>
                <w:rFonts w:ascii="宋体"/>
                <w:vanish/>
              </w:rPr>
            </w:pPr>
          </w:p>
        </w:tc>
        <w:tc>
          <w:tcPr>
            <w:tcW w:w="0" w:type="auto"/>
            <w:gridSpan w:val="3"/>
            <w:shd w:val="clear" w:color="auto" w:fill="auto"/>
            <w:vAlign w:val="bottom"/>
          </w:tcPr>
          <w:p w14:paraId="74DE0606" w14:textId="77777777" w:rsidR="00584EC1" w:rsidRDefault="00584EC1">
            <w:pPr>
              <w:rPr>
                <w:rFonts w:ascii="宋体"/>
                <w:vanish/>
              </w:rPr>
            </w:pPr>
          </w:p>
        </w:tc>
        <w:tc>
          <w:tcPr>
            <w:tcW w:w="0" w:type="auto"/>
            <w:gridSpan w:val="3"/>
            <w:shd w:val="clear" w:color="auto" w:fill="auto"/>
            <w:vAlign w:val="bottom"/>
          </w:tcPr>
          <w:p w14:paraId="74DE0607" w14:textId="77777777" w:rsidR="00584EC1" w:rsidRDefault="00584EC1">
            <w:pPr>
              <w:rPr>
                <w:rFonts w:ascii="宋体"/>
                <w:vanish/>
              </w:rPr>
            </w:pPr>
          </w:p>
        </w:tc>
        <w:tc>
          <w:tcPr>
            <w:tcW w:w="0" w:type="auto"/>
            <w:gridSpan w:val="3"/>
            <w:shd w:val="clear" w:color="auto" w:fill="auto"/>
            <w:vAlign w:val="bottom"/>
          </w:tcPr>
          <w:p w14:paraId="74DE0608" w14:textId="77777777" w:rsidR="00584EC1" w:rsidRDefault="00584EC1">
            <w:pPr>
              <w:rPr>
                <w:rFonts w:ascii="宋体"/>
                <w:vanish/>
              </w:rPr>
            </w:pPr>
          </w:p>
        </w:tc>
        <w:tc>
          <w:tcPr>
            <w:tcW w:w="0" w:type="auto"/>
            <w:gridSpan w:val="3"/>
            <w:shd w:val="clear" w:color="auto" w:fill="auto"/>
            <w:vAlign w:val="bottom"/>
          </w:tcPr>
          <w:p w14:paraId="74DE0609" w14:textId="77777777" w:rsidR="00584EC1" w:rsidRDefault="00584EC1">
            <w:pPr>
              <w:rPr>
                <w:rFonts w:ascii="宋体"/>
                <w:vanish/>
              </w:rPr>
            </w:pPr>
          </w:p>
        </w:tc>
        <w:tc>
          <w:tcPr>
            <w:tcW w:w="0" w:type="auto"/>
            <w:gridSpan w:val="3"/>
            <w:shd w:val="clear" w:color="auto" w:fill="auto"/>
            <w:vAlign w:val="bottom"/>
          </w:tcPr>
          <w:p w14:paraId="74DE060A" w14:textId="77777777" w:rsidR="00584EC1" w:rsidRDefault="00584EC1">
            <w:pPr>
              <w:rPr>
                <w:rFonts w:ascii="宋体"/>
                <w:vanish/>
              </w:rPr>
            </w:pPr>
          </w:p>
        </w:tc>
      </w:tr>
      <w:tr w:rsidR="00584EC1" w14:paraId="74DE0624" w14:textId="77777777">
        <w:tc>
          <w:tcPr>
            <w:tcW w:w="0" w:type="auto"/>
            <w:gridSpan w:val="3"/>
            <w:shd w:val="clear" w:color="auto" w:fill="CCEEFF"/>
            <w:tcMar>
              <w:top w:w="40" w:type="dxa"/>
              <w:left w:w="20" w:type="dxa"/>
              <w:bottom w:w="40" w:type="dxa"/>
              <w:right w:w="20" w:type="dxa"/>
            </w:tcMar>
            <w:vAlign w:val="bottom"/>
          </w:tcPr>
          <w:p w14:paraId="74DE060C" w14:textId="77777777" w:rsidR="00584EC1" w:rsidRDefault="00871F8D">
            <w:pPr>
              <w:textAlignment w:val="bottom"/>
            </w:pPr>
            <w:r>
              <w:rPr>
                <w:rFonts w:ascii="Arial" w:eastAsia="宋体" w:hAnsi="Arial" w:cs="Arial"/>
                <w:color w:val="000000"/>
                <w:sz w:val="14"/>
                <w:szCs w:val="14"/>
              </w:rPr>
              <w:t>Common Stock</w:t>
            </w:r>
          </w:p>
        </w:tc>
        <w:tc>
          <w:tcPr>
            <w:tcW w:w="0" w:type="auto"/>
            <w:tcBorders>
              <w:top w:val="single" w:sz="8" w:space="0" w:color="000000"/>
            </w:tcBorders>
            <w:shd w:val="clear" w:color="auto" w:fill="CCEEFF"/>
            <w:tcMar>
              <w:top w:w="40" w:type="dxa"/>
              <w:left w:w="20" w:type="dxa"/>
              <w:bottom w:w="40" w:type="dxa"/>
              <w:right w:w="0" w:type="dxa"/>
            </w:tcMar>
            <w:vAlign w:val="bottom"/>
          </w:tcPr>
          <w:p w14:paraId="74DE060D"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060E" w14:textId="77777777" w:rsidR="00584EC1" w:rsidRDefault="00871F8D">
            <w:pPr>
              <w:jc w:val="right"/>
              <w:textAlignment w:val="bottom"/>
            </w:pPr>
            <w:r>
              <w:rPr>
                <w:rFonts w:ascii="Arial" w:eastAsia="宋体" w:hAnsi="Arial" w:cs="Arial"/>
                <w:b/>
                <w:bCs/>
                <w:color w:val="000000"/>
                <w:sz w:val="14"/>
                <w:szCs w:val="14"/>
              </w:rPr>
              <w:t>1.61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60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610"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0611"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0612" w14:textId="77777777" w:rsidR="00584EC1" w:rsidRDefault="00871F8D">
            <w:pPr>
              <w:jc w:val="right"/>
              <w:textAlignment w:val="bottom"/>
            </w:pPr>
            <w:r>
              <w:rPr>
                <w:rFonts w:ascii="Arial" w:eastAsia="宋体" w:hAnsi="Arial" w:cs="Arial"/>
                <w:b/>
                <w:bCs/>
                <w:color w:val="000000"/>
                <w:sz w:val="14"/>
                <w:szCs w:val="14"/>
              </w:rPr>
              <w:t>570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61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614"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0615"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0616" w14:textId="77777777" w:rsidR="00584EC1" w:rsidRDefault="00871F8D">
            <w:pPr>
              <w:jc w:val="right"/>
              <w:textAlignment w:val="bottom"/>
            </w:pPr>
            <w:r>
              <w:rPr>
                <w:rFonts w:ascii="Arial" w:eastAsia="宋体" w:hAnsi="Arial" w:cs="Arial"/>
                <w:color w:val="000000"/>
                <w:sz w:val="14"/>
                <w:szCs w:val="14"/>
              </w:rPr>
              <w:t>1.56 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61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618"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0619"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061A" w14:textId="77777777" w:rsidR="00584EC1" w:rsidRDefault="00871F8D">
            <w:pPr>
              <w:jc w:val="right"/>
              <w:textAlignment w:val="bottom"/>
            </w:pPr>
            <w:r>
              <w:rPr>
                <w:rFonts w:ascii="Arial" w:eastAsia="宋体" w:hAnsi="Arial" w:cs="Arial"/>
                <w:color w:val="000000"/>
                <w:sz w:val="14"/>
                <w:szCs w:val="14"/>
              </w:rPr>
              <w:t>550 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61B" w14:textId="77777777" w:rsidR="00584EC1" w:rsidRDefault="00584EC1">
            <w:pPr>
              <w:jc w:val="right"/>
              <w:rPr>
                <w:rFonts w:ascii="宋体"/>
              </w:rPr>
            </w:pPr>
          </w:p>
        </w:tc>
        <w:tc>
          <w:tcPr>
            <w:tcW w:w="0" w:type="auto"/>
            <w:shd w:val="clear" w:color="auto" w:fill="auto"/>
            <w:vAlign w:val="bottom"/>
          </w:tcPr>
          <w:p w14:paraId="74DE061C" w14:textId="77777777" w:rsidR="00584EC1" w:rsidRDefault="00584EC1">
            <w:pPr>
              <w:rPr>
                <w:rFonts w:ascii="宋体"/>
                <w:vanish/>
              </w:rPr>
            </w:pPr>
          </w:p>
        </w:tc>
        <w:tc>
          <w:tcPr>
            <w:tcW w:w="0" w:type="auto"/>
            <w:shd w:val="clear" w:color="auto" w:fill="auto"/>
            <w:vAlign w:val="bottom"/>
          </w:tcPr>
          <w:p w14:paraId="74DE061D" w14:textId="77777777" w:rsidR="00584EC1" w:rsidRDefault="00584EC1">
            <w:pPr>
              <w:rPr>
                <w:rFonts w:ascii="宋体"/>
                <w:vanish/>
              </w:rPr>
            </w:pPr>
          </w:p>
        </w:tc>
        <w:tc>
          <w:tcPr>
            <w:tcW w:w="0" w:type="auto"/>
            <w:gridSpan w:val="3"/>
            <w:shd w:val="clear" w:color="auto" w:fill="auto"/>
            <w:vAlign w:val="bottom"/>
          </w:tcPr>
          <w:p w14:paraId="74DE061E" w14:textId="77777777" w:rsidR="00584EC1" w:rsidRDefault="00584EC1">
            <w:pPr>
              <w:rPr>
                <w:rFonts w:ascii="宋体"/>
                <w:vanish/>
              </w:rPr>
            </w:pPr>
          </w:p>
        </w:tc>
        <w:tc>
          <w:tcPr>
            <w:tcW w:w="0" w:type="auto"/>
            <w:gridSpan w:val="3"/>
            <w:shd w:val="clear" w:color="auto" w:fill="auto"/>
            <w:vAlign w:val="bottom"/>
          </w:tcPr>
          <w:p w14:paraId="74DE061F" w14:textId="77777777" w:rsidR="00584EC1" w:rsidRDefault="00584EC1">
            <w:pPr>
              <w:rPr>
                <w:rFonts w:ascii="宋体"/>
                <w:vanish/>
              </w:rPr>
            </w:pPr>
          </w:p>
        </w:tc>
        <w:tc>
          <w:tcPr>
            <w:tcW w:w="0" w:type="auto"/>
            <w:gridSpan w:val="3"/>
            <w:shd w:val="clear" w:color="auto" w:fill="auto"/>
            <w:vAlign w:val="bottom"/>
          </w:tcPr>
          <w:p w14:paraId="74DE0620" w14:textId="77777777" w:rsidR="00584EC1" w:rsidRDefault="00584EC1">
            <w:pPr>
              <w:rPr>
                <w:rFonts w:ascii="宋体"/>
                <w:vanish/>
              </w:rPr>
            </w:pPr>
          </w:p>
        </w:tc>
        <w:tc>
          <w:tcPr>
            <w:tcW w:w="0" w:type="auto"/>
            <w:gridSpan w:val="3"/>
            <w:shd w:val="clear" w:color="auto" w:fill="auto"/>
            <w:vAlign w:val="bottom"/>
          </w:tcPr>
          <w:p w14:paraId="74DE0621" w14:textId="77777777" w:rsidR="00584EC1" w:rsidRDefault="00584EC1">
            <w:pPr>
              <w:rPr>
                <w:rFonts w:ascii="宋体"/>
                <w:vanish/>
              </w:rPr>
            </w:pPr>
          </w:p>
        </w:tc>
        <w:tc>
          <w:tcPr>
            <w:tcW w:w="0" w:type="auto"/>
            <w:gridSpan w:val="3"/>
            <w:shd w:val="clear" w:color="auto" w:fill="auto"/>
            <w:vAlign w:val="bottom"/>
          </w:tcPr>
          <w:p w14:paraId="74DE0622" w14:textId="77777777" w:rsidR="00584EC1" w:rsidRDefault="00584EC1">
            <w:pPr>
              <w:rPr>
                <w:rFonts w:ascii="宋体"/>
                <w:vanish/>
              </w:rPr>
            </w:pPr>
          </w:p>
        </w:tc>
        <w:tc>
          <w:tcPr>
            <w:tcW w:w="0" w:type="auto"/>
            <w:gridSpan w:val="3"/>
            <w:shd w:val="clear" w:color="auto" w:fill="auto"/>
            <w:vAlign w:val="bottom"/>
          </w:tcPr>
          <w:p w14:paraId="74DE0623" w14:textId="77777777" w:rsidR="00584EC1" w:rsidRDefault="00584EC1">
            <w:pPr>
              <w:rPr>
                <w:rFonts w:ascii="宋体"/>
                <w:vanish/>
              </w:rPr>
            </w:pPr>
          </w:p>
        </w:tc>
      </w:tr>
      <w:tr w:rsidR="00584EC1" w14:paraId="74DE0635" w14:textId="77777777">
        <w:trPr>
          <w:trHeight w:val="100"/>
        </w:trPr>
        <w:tc>
          <w:tcPr>
            <w:tcW w:w="0" w:type="auto"/>
            <w:gridSpan w:val="3"/>
            <w:shd w:val="clear" w:color="auto" w:fill="auto"/>
            <w:tcMar>
              <w:top w:w="0" w:type="dxa"/>
              <w:left w:w="20" w:type="dxa"/>
              <w:bottom w:w="0" w:type="dxa"/>
              <w:right w:w="20" w:type="dxa"/>
            </w:tcMar>
            <w:vAlign w:val="bottom"/>
          </w:tcPr>
          <w:p w14:paraId="74DE062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626"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627"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628"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629"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62A"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62B"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62C" w14:textId="77777777" w:rsidR="00584EC1" w:rsidRDefault="00584EC1">
            <w:pPr>
              <w:rPr>
                <w:rFonts w:ascii="宋体"/>
              </w:rPr>
            </w:pPr>
          </w:p>
        </w:tc>
        <w:tc>
          <w:tcPr>
            <w:tcW w:w="0" w:type="auto"/>
            <w:shd w:val="clear" w:color="auto" w:fill="auto"/>
            <w:vAlign w:val="bottom"/>
          </w:tcPr>
          <w:p w14:paraId="74DE062D" w14:textId="77777777" w:rsidR="00584EC1" w:rsidRDefault="00584EC1">
            <w:pPr>
              <w:rPr>
                <w:rFonts w:ascii="宋体"/>
                <w:vanish/>
              </w:rPr>
            </w:pPr>
          </w:p>
        </w:tc>
        <w:tc>
          <w:tcPr>
            <w:tcW w:w="0" w:type="auto"/>
            <w:shd w:val="clear" w:color="auto" w:fill="auto"/>
            <w:vAlign w:val="bottom"/>
          </w:tcPr>
          <w:p w14:paraId="74DE062E" w14:textId="77777777" w:rsidR="00584EC1" w:rsidRDefault="00584EC1">
            <w:pPr>
              <w:rPr>
                <w:rFonts w:ascii="宋体"/>
                <w:vanish/>
              </w:rPr>
            </w:pPr>
          </w:p>
        </w:tc>
        <w:tc>
          <w:tcPr>
            <w:tcW w:w="0" w:type="auto"/>
            <w:gridSpan w:val="3"/>
            <w:shd w:val="clear" w:color="auto" w:fill="auto"/>
            <w:vAlign w:val="bottom"/>
          </w:tcPr>
          <w:p w14:paraId="74DE062F" w14:textId="77777777" w:rsidR="00584EC1" w:rsidRDefault="00584EC1">
            <w:pPr>
              <w:rPr>
                <w:rFonts w:ascii="宋体"/>
                <w:vanish/>
              </w:rPr>
            </w:pPr>
          </w:p>
        </w:tc>
        <w:tc>
          <w:tcPr>
            <w:tcW w:w="0" w:type="auto"/>
            <w:gridSpan w:val="3"/>
            <w:shd w:val="clear" w:color="auto" w:fill="auto"/>
            <w:vAlign w:val="bottom"/>
          </w:tcPr>
          <w:p w14:paraId="74DE0630" w14:textId="77777777" w:rsidR="00584EC1" w:rsidRDefault="00584EC1">
            <w:pPr>
              <w:rPr>
                <w:rFonts w:ascii="宋体"/>
                <w:vanish/>
              </w:rPr>
            </w:pPr>
          </w:p>
        </w:tc>
        <w:tc>
          <w:tcPr>
            <w:tcW w:w="0" w:type="auto"/>
            <w:gridSpan w:val="3"/>
            <w:shd w:val="clear" w:color="auto" w:fill="auto"/>
            <w:vAlign w:val="bottom"/>
          </w:tcPr>
          <w:p w14:paraId="74DE0631" w14:textId="77777777" w:rsidR="00584EC1" w:rsidRDefault="00584EC1">
            <w:pPr>
              <w:rPr>
                <w:rFonts w:ascii="宋体"/>
                <w:vanish/>
              </w:rPr>
            </w:pPr>
          </w:p>
        </w:tc>
        <w:tc>
          <w:tcPr>
            <w:tcW w:w="0" w:type="auto"/>
            <w:gridSpan w:val="3"/>
            <w:shd w:val="clear" w:color="auto" w:fill="auto"/>
            <w:vAlign w:val="bottom"/>
          </w:tcPr>
          <w:p w14:paraId="74DE0632" w14:textId="77777777" w:rsidR="00584EC1" w:rsidRDefault="00584EC1">
            <w:pPr>
              <w:rPr>
                <w:rFonts w:ascii="宋体"/>
                <w:vanish/>
              </w:rPr>
            </w:pPr>
          </w:p>
        </w:tc>
        <w:tc>
          <w:tcPr>
            <w:tcW w:w="0" w:type="auto"/>
            <w:gridSpan w:val="3"/>
            <w:shd w:val="clear" w:color="auto" w:fill="auto"/>
            <w:vAlign w:val="bottom"/>
          </w:tcPr>
          <w:p w14:paraId="74DE0633" w14:textId="77777777" w:rsidR="00584EC1" w:rsidRDefault="00584EC1">
            <w:pPr>
              <w:rPr>
                <w:rFonts w:ascii="宋体"/>
                <w:vanish/>
              </w:rPr>
            </w:pPr>
          </w:p>
        </w:tc>
        <w:tc>
          <w:tcPr>
            <w:tcW w:w="0" w:type="auto"/>
            <w:gridSpan w:val="3"/>
            <w:shd w:val="clear" w:color="auto" w:fill="auto"/>
            <w:vAlign w:val="bottom"/>
          </w:tcPr>
          <w:p w14:paraId="74DE0634" w14:textId="77777777" w:rsidR="00584EC1" w:rsidRDefault="00584EC1">
            <w:pPr>
              <w:rPr>
                <w:rFonts w:ascii="宋体"/>
                <w:vanish/>
              </w:rPr>
            </w:pPr>
          </w:p>
        </w:tc>
      </w:tr>
    </w:tbl>
    <w:p w14:paraId="74DE0636" w14:textId="77777777" w:rsidR="00584EC1" w:rsidRDefault="00871F8D">
      <w:pPr>
        <w:spacing w:before="60"/>
      </w:pPr>
      <w:r>
        <w:rPr>
          <w:rFonts w:ascii="Arial" w:eastAsia="宋体" w:hAnsi="Arial" w:cs="Arial"/>
          <w:b/>
          <w:bCs/>
          <w:i/>
          <w:iCs/>
          <w:color w:val="000000"/>
          <w:sz w:val="20"/>
          <w:szCs w:val="20"/>
        </w:rPr>
        <w:t>Accumulated Other Comprehensive Income (Loss)</w:t>
      </w:r>
    </w:p>
    <w:p w14:paraId="74DE0637" w14:textId="77777777" w:rsidR="00584EC1" w:rsidRDefault="00871F8D">
      <w:pPr>
        <w:spacing w:before="60"/>
        <w:ind w:firstLine="450"/>
      </w:pPr>
      <w:r>
        <w:rPr>
          <w:rFonts w:ascii="Arial" w:eastAsia="宋体" w:hAnsi="Arial" w:cs="Arial"/>
          <w:color w:val="000000"/>
          <w:sz w:val="20"/>
          <w:szCs w:val="20"/>
        </w:rPr>
        <w:t xml:space="preserve">The following table </w:t>
      </w:r>
      <w:r>
        <w:rPr>
          <w:rFonts w:ascii="Arial" w:eastAsia="宋体" w:hAnsi="Arial" w:cs="Arial"/>
          <w:color w:val="000000"/>
          <w:sz w:val="20"/>
          <w:szCs w:val="20"/>
        </w:rPr>
        <w:t>presents the after-tax components of AOCI for the periods indicated:</w:t>
      </w:r>
    </w:p>
    <w:tbl>
      <w:tblPr>
        <w:tblW w:w="4993" w:type="pct"/>
        <w:tblCellMar>
          <w:top w:w="15" w:type="dxa"/>
          <w:left w:w="15" w:type="dxa"/>
          <w:bottom w:w="15" w:type="dxa"/>
          <w:right w:w="15" w:type="dxa"/>
        </w:tblCellMar>
        <w:tblLook w:val="04A0" w:firstRow="1" w:lastRow="0" w:firstColumn="1" w:lastColumn="0" w:noHBand="0" w:noVBand="1"/>
      </w:tblPr>
      <w:tblGrid>
        <w:gridCol w:w="49"/>
        <w:gridCol w:w="5484"/>
        <w:gridCol w:w="39"/>
        <w:gridCol w:w="93"/>
        <w:gridCol w:w="1134"/>
        <w:gridCol w:w="36"/>
        <w:gridCol w:w="36"/>
        <w:gridCol w:w="36"/>
        <w:gridCol w:w="36"/>
        <w:gridCol w:w="93"/>
        <w:gridCol w:w="1108"/>
        <w:gridCol w:w="36"/>
        <w:gridCol w:w="36"/>
        <w:gridCol w:w="36"/>
        <w:gridCol w:w="36"/>
        <w:gridCol w:w="36"/>
      </w:tblGrid>
      <w:tr w:rsidR="00584EC1" w14:paraId="74DE0648" w14:textId="77777777">
        <w:tc>
          <w:tcPr>
            <w:tcW w:w="50" w:type="pct"/>
            <w:shd w:val="clear" w:color="auto" w:fill="auto"/>
            <w:vAlign w:val="bottom"/>
          </w:tcPr>
          <w:p w14:paraId="74DE0638" w14:textId="77777777" w:rsidR="00584EC1" w:rsidRDefault="00584EC1">
            <w:pPr>
              <w:rPr>
                <w:rFonts w:ascii="宋体"/>
              </w:rPr>
            </w:pPr>
          </w:p>
        </w:tc>
        <w:tc>
          <w:tcPr>
            <w:tcW w:w="3371" w:type="pct"/>
            <w:shd w:val="clear" w:color="auto" w:fill="auto"/>
            <w:vAlign w:val="bottom"/>
          </w:tcPr>
          <w:p w14:paraId="74DE0639" w14:textId="77777777" w:rsidR="00584EC1" w:rsidRDefault="00584EC1">
            <w:pPr>
              <w:rPr>
                <w:rFonts w:ascii="宋体"/>
              </w:rPr>
            </w:pPr>
          </w:p>
        </w:tc>
        <w:tc>
          <w:tcPr>
            <w:tcW w:w="5" w:type="pct"/>
            <w:shd w:val="clear" w:color="auto" w:fill="auto"/>
            <w:vAlign w:val="bottom"/>
          </w:tcPr>
          <w:p w14:paraId="74DE063A" w14:textId="77777777" w:rsidR="00584EC1" w:rsidRDefault="00584EC1">
            <w:pPr>
              <w:rPr>
                <w:rFonts w:ascii="宋体"/>
              </w:rPr>
            </w:pPr>
          </w:p>
        </w:tc>
        <w:tc>
          <w:tcPr>
            <w:tcW w:w="50" w:type="pct"/>
            <w:shd w:val="clear" w:color="auto" w:fill="auto"/>
            <w:vAlign w:val="bottom"/>
          </w:tcPr>
          <w:p w14:paraId="74DE063B" w14:textId="77777777" w:rsidR="00584EC1" w:rsidRDefault="00584EC1">
            <w:pPr>
              <w:rPr>
                <w:rFonts w:ascii="宋体"/>
              </w:rPr>
            </w:pPr>
          </w:p>
        </w:tc>
        <w:tc>
          <w:tcPr>
            <w:tcW w:w="713" w:type="pct"/>
            <w:shd w:val="clear" w:color="auto" w:fill="auto"/>
            <w:vAlign w:val="bottom"/>
          </w:tcPr>
          <w:p w14:paraId="74DE063C" w14:textId="77777777" w:rsidR="00584EC1" w:rsidRDefault="00584EC1">
            <w:pPr>
              <w:rPr>
                <w:rFonts w:ascii="宋体"/>
              </w:rPr>
            </w:pPr>
          </w:p>
        </w:tc>
        <w:tc>
          <w:tcPr>
            <w:tcW w:w="5" w:type="pct"/>
            <w:shd w:val="clear" w:color="auto" w:fill="auto"/>
            <w:vAlign w:val="bottom"/>
          </w:tcPr>
          <w:p w14:paraId="74DE063D" w14:textId="77777777" w:rsidR="00584EC1" w:rsidRDefault="00584EC1">
            <w:pPr>
              <w:rPr>
                <w:rFonts w:ascii="宋体"/>
              </w:rPr>
            </w:pPr>
          </w:p>
        </w:tc>
        <w:tc>
          <w:tcPr>
            <w:tcW w:w="5" w:type="pct"/>
            <w:shd w:val="clear" w:color="auto" w:fill="auto"/>
            <w:vAlign w:val="bottom"/>
          </w:tcPr>
          <w:p w14:paraId="74DE063E" w14:textId="77777777" w:rsidR="00584EC1" w:rsidRDefault="00584EC1">
            <w:pPr>
              <w:rPr>
                <w:rFonts w:ascii="宋体"/>
              </w:rPr>
            </w:pPr>
          </w:p>
        </w:tc>
        <w:tc>
          <w:tcPr>
            <w:tcW w:w="26" w:type="pct"/>
            <w:shd w:val="clear" w:color="auto" w:fill="auto"/>
            <w:vAlign w:val="bottom"/>
          </w:tcPr>
          <w:p w14:paraId="74DE063F" w14:textId="77777777" w:rsidR="00584EC1" w:rsidRDefault="00584EC1">
            <w:pPr>
              <w:rPr>
                <w:rFonts w:ascii="宋体"/>
              </w:rPr>
            </w:pPr>
          </w:p>
        </w:tc>
        <w:tc>
          <w:tcPr>
            <w:tcW w:w="5" w:type="pct"/>
            <w:shd w:val="clear" w:color="auto" w:fill="auto"/>
            <w:vAlign w:val="bottom"/>
          </w:tcPr>
          <w:p w14:paraId="74DE0640" w14:textId="77777777" w:rsidR="00584EC1" w:rsidRDefault="00584EC1">
            <w:pPr>
              <w:rPr>
                <w:rFonts w:ascii="宋体"/>
              </w:rPr>
            </w:pPr>
          </w:p>
        </w:tc>
        <w:tc>
          <w:tcPr>
            <w:tcW w:w="50" w:type="pct"/>
            <w:shd w:val="clear" w:color="auto" w:fill="auto"/>
            <w:vAlign w:val="bottom"/>
          </w:tcPr>
          <w:p w14:paraId="74DE0641" w14:textId="77777777" w:rsidR="00584EC1" w:rsidRDefault="00584EC1">
            <w:pPr>
              <w:rPr>
                <w:rFonts w:ascii="宋体"/>
              </w:rPr>
            </w:pPr>
          </w:p>
        </w:tc>
        <w:tc>
          <w:tcPr>
            <w:tcW w:w="713" w:type="pct"/>
            <w:shd w:val="clear" w:color="auto" w:fill="auto"/>
            <w:vAlign w:val="bottom"/>
          </w:tcPr>
          <w:p w14:paraId="74DE0642" w14:textId="77777777" w:rsidR="00584EC1" w:rsidRDefault="00584EC1">
            <w:pPr>
              <w:rPr>
                <w:rFonts w:ascii="宋体"/>
              </w:rPr>
            </w:pPr>
          </w:p>
        </w:tc>
        <w:tc>
          <w:tcPr>
            <w:tcW w:w="5" w:type="pct"/>
            <w:shd w:val="clear" w:color="auto" w:fill="auto"/>
            <w:vAlign w:val="bottom"/>
          </w:tcPr>
          <w:p w14:paraId="74DE0643" w14:textId="77777777" w:rsidR="00584EC1" w:rsidRDefault="00584EC1">
            <w:pPr>
              <w:rPr>
                <w:rFonts w:ascii="宋体"/>
              </w:rPr>
            </w:pPr>
          </w:p>
        </w:tc>
        <w:tc>
          <w:tcPr>
            <w:tcW w:w="0" w:type="auto"/>
            <w:shd w:val="clear" w:color="auto" w:fill="auto"/>
            <w:vAlign w:val="bottom"/>
          </w:tcPr>
          <w:p w14:paraId="74DE0644" w14:textId="77777777" w:rsidR="00584EC1" w:rsidRDefault="00584EC1">
            <w:pPr>
              <w:rPr>
                <w:rFonts w:ascii="宋体"/>
                <w:vanish/>
              </w:rPr>
            </w:pPr>
          </w:p>
        </w:tc>
        <w:tc>
          <w:tcPr>
            <w:tcW w:w="0" w:type="auto"/>
            <w:shd w:val="clear" w:color="auto" w:fill="auto"/>
            <w:vAlign w:val="bottom"/>
          </w:tcPr>
          <w:p w14:paraId="74DE0645" w14:textId="77777777" w:rsidR="00584EC1" w:rsidRDefault="00584EC1">
            <w:pPr>
              <w:rPr>
                <w:rFonts w:ascii="宋体"/>
                <w:vanish/>
              </w:rPr>
            </w:pPr>
          </w:p>
        </w:tc>
        <w:tc>
          <w:tcPr>
            <w:tcW w:w="0" w:type="auto"/>
            <w:shd w:val="clear" w:color="auto" w:fill="auto"/>
            <w:vAlign w:val="bottom"/>
          </w:tcPr>
          <w:p w14:paraId="74DE0646" w14:textId="77777777" w:rsidR="00584EC1" w:rsidRDefault="00584EC1">
            <w:pPr>
              <w:rPr>
                <w:rFonts w:ascii="宋体"/>
                <w:vanish/>
              </w:rPr>
            </w:pPr>
          </w:p>
        </w:tc>
        <w:tc>
          <w:tcPr>
            <w:tcW w:w="0" w:type="auto"/>
            <w:shd w:val="clear" w:color="auto" w:fill="auto"/>
            <w:vAlign w:val="bottom"/>
          </w:tcPr>
          <w:p w14:paraId="74DE0647" w14:textId="77777777" w:rsidR="00584EC1" w:rsidRDefault="00584EC1">
            <w:pPr>
              <w:rPr>
                <w:rFonts w:ascii="宋体"/>
                <w:vanish/>
              </w:rPr>
            </w:pPr>
          </w:p>
        </w:tc>
      </w:tr>
      <w:tr w:rsidR="00584EC1" w14:paraId="74DE064F" w14:textId="77777777">
        <w:tc>
          <w:tcPr>
            <w:tcW w:w="0" w:type="auto"/>
            <w:gridSpan w:val="3"/>
            <w:shd w:val="clear" w:color="auto" w:fill="auto"/>
            <w:tcMar>
              <w:top w:w="0" w:type="dxa"/>
              <w:left w:w="20" w:type="dxa"/>
              <w:bottom w:w="0" w:type="dxa"/>
              <w:right w:w="20" w:type="dxa"/>
            </w:tcMar>
            <w:vAlign w:val="bottom"/>
          </w:tcPr>
          <w:p w14:paraId="74DE0649" w14:textId="77777777" w:rsidR="00584EC1" w:rsidRDefault="00584EC1">
            <w:pPr>
              <w:rPr>
                <w:rFonts w:ascii="宋体"/>
              </w:rPr>
            </w:pPr>
          </w:p>
        </w:tc>
        <w:tc>
          <w:tcPr>
            <w:tcW w:w="0" w:type="auto"/>
            <w:gridSpan w:val="9"/>
            <w:shd w:val="clear" w:color="auto" w:fill="auto"/>
            <w:tcMar>
              <w:top w:w="40" w:type="dxa"/>
              <w:left w:w="20" w:type="dxa"/>
              <w:bottom w:w="40" w:type="dxa"/>
              <w:right w:w="20" w:type="dxa"/>
            </w:tcMar>
            <w:vAlign w:val="bottom"/>
          </w:tcPr>
          <w:p w14:paraId="74DE064A" w14:textId="77777777" w:rsidR="00584EC1" w:rsidRDefault="00871F8D">
            <w:pPr>
              <w:jc w:val="center"/>
              <w:textAlignment w:val="bottom"/>
            </w:pPr>
            <w:r>
              <w:rPr>
                <w:rFonts w:ascii="Arial" w:eastAsia="宋体" w:hAnsi="Arial" w:cs="Arial"/>
                <w:b/>
                <w:bCs/>
                <w:color w:val="000000"/>
                <w:sz w:val="13"/>
                <w:szCs w:val="13"/>
              </w:rPr>
              <w:t>Nine Months Ended September 30,</w:t>
            </w:r>
          </w:p>
        </w:tc>
        <w:tc>
          <w:tcPr>
            <w:tcW w:w="0" w:type="auto"/>
            <w:shd w:val="clear" w:color="auto" w:fill="auto"/>
            <w:vAlign w:val="bottom"/>
          </w:tcPr>
          <w:p w14:paraId="74DE064B" w14:textId="77777777" w:rsidR="00584EC1" w:rsidRDefault="00584EC1">
            <w:pPr>
              <w:rPr>
                <w:rFonts w:ascii="宋体"/>
                <w:vanish/>
              </w:rPr>
            </w:pPr>
          </w:p>
        </w:tc>
        <w:tc>
          <w:tcPr>
            <w:tcW w:w="0" w:type="auto"/>
            <w:shd w:val="clear" w:color="auto" w:fill="auto"/>
            <w:vAlign w:val="bottom"/>
          </w:tcPr>
          <w:p w14:paraId="74DE064C" w14:textId="77777777" w:rsidR="00584EC1" w:rsidRDefault="00584EC1">
            <w:pPr>
              <w:rPr>
                <w:rFonts w:ascii="宋体"/>
                <w:vanish/>
              </w:rPr>
            </w:pPr>
          </w:p>
        </w:tc>
        <w:tc>
          <w:tcPr>
            <w:tcW w:w="0" w:type="auto"/>
            <w:shd w:val="clear" w:color="auto" w:fill="auto"/>
            <w:vAlign w:val="bottom"/>
          </w:tcPr>
          <w:p w14:paraId="74DE064D" w14:textId="77777777" w:rsidR="00584EC1" w:rsidRDefault="00584EC1">
            <w:pPr>
              <w:rPr>
                <w:rFonts w:ascii="宋体"/>
                <w:vanish/>
              </w:rPr>
            </w:pPr>
          </w:p>
        </w:tc>
        <w:tc>
          <w:tcPr>
            <w:tcW w:w="0" w:type="auto"/>
            <w:shd w:val="clear" w:color="auto" w:fill="auto"/>
            <w:vAlign w:val="bottom"/>
          </w:tcPr>
          <w:p w14:paraId="74DE064E" w14:textId="77777777" w:rsidR="00584EC1" w:rsidRDefault="00584EC1">
            <w:pPr>
              <w:rPr>
                <w:rFonts w:ascii="宋体"/>
                <w:vanish/>
              </w:rPr>
            </w:pPr>
          </w:p>
        </w:tc>
      </w:tr>
      <w:tr w:rsidR="00584EC1" w14:paraId="74DE0658" w14:textId="77777777">
        <w:tc>
          <w:tcPr>
            <w:tcW w:w="0" w:type="auto"/>
            <w:gridSpan w:val="3"/>
            <w:shd w:val="clear" w:color="auto" w:fill="auto"/>
            <w:tcMar>
              <w:top w:w="40" w:type="dxa"/>
              <w:left w:w="20" w:type="dxa"/>
              <w:bottom w:w="40" w:type="dxa"/>
              <w:right w:w="20" w:type="dxa"/>
            </w:tcMar>
            <w:vAlign w:val="bottom"/>
          </w:tcPr>
          <w:p w14:paraId="74DE0650" w14:textId="77777777" w:rsidR="00584EC1" w:rsidRDefault="00871F8D">
            <w:pPr>
              <w:textAlignment w:val="bottom"/>
            </w:pPr>
            <w:r>
              <w:rPr>
                <w:rFonts w:ascii="Arial" w:eastAsia="宋体" w:hAnsi="Arial" w:cs="Arial"/>
                <w:b/>
                <w:bCs/>
                <w:color w:val="000000"/>
                <w:sz w:val="13"/>
                <w:szCs w:val="13"/>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0651" w14:textId="77777777" w:rsidR="00584EC1" w:rsidRDefault="00871F8D">
            <w:pPr>
              <w:jc w:val="center"/>
              <w:textAlignment w:val="bottom"/>
            </w:pPr>
            <w:r>
              <w:rPr>
                <w:rFonts w:ascii="Arial" w:eastAsia="宋体" w:hAnsi="Arial" w:cs="Arial"/>
                <w:b/>
                <w:bCs/>
                <w:color w:val="000000"/>
                <w:sz w:val="13"/>
                <w:szCs w:val="13"/>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0652"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0653" w14:textId="77777777" w:rsidR="00584EC1" w:rsidRDefault="00871F8D">
            <w:pPr>
              <w:jc w:val="center"/>
              <w:textAlignment w:val="bottom"/>
            </w:pPr>
            <w:r>
              <w:rPr>
                <w:rFonts w:ascii="Arial" w:eastAsia="宋体" w:hAnsi="Arial" w:cs="Arial"/>
                <w:b/>
                <w:bCs/>
                <w:color w:val="000000"/>
                <w:sz w:val="13"/>
                <w:szCs w:val="13"/>
              </w:rPr>
              <w:t>2020</w:t>
            </w:r>
          </w:p>
        </w:tc>
        <w:tc>
          <w:tcPr>
            <w:tcW w:w="0" w:type="auto"/>
            <w:shd w:val="clear" w:color="auto" w:fill="auto"/>
            <w:vAlign w:val="bottom"/>
          </w:tcPr>
          <w:p w14:paraId="74DE0654" w14:textId="77777777" w:rsidR="00584EC1" w:rsidRDefault="00584EC1">
            <w:pPr>
              <w:rPr>
                <w:rFonts w:ascii="宋体"/>
                <w:vanish/>
              </w:rPr>
            </w:pPr>
          </w:p>
        </w:tc>
        <w:tc>
          <w:tcPr>
            <w:tcW w:w="0" w:type="auto"/>
            <w:shd w:val="clear" w:color="auto" w:fill="auto"/>
            <w:vAlign w:val="bottom"/>
          </w:tcPr>
          <w:p w14:paraId="74DE0655" w14:textId="77777777" w:rsidR="00584EC1" w:rsidRDefault="00584EC1">
            <w:pPr>
              <w:rPr>
                <w:rFonts w:ascii="宋体"/>
                <w:vanish/>
              </w:rPr>
            </w:pPr>
          </w:p>
        </w:tc>
        <w:tc>
          <w:tcPr>
            <w:tcW w:w="0" w:type="auto"/>
            <w:shd w:val="clear" w:color="auto" w:fill="auto"/>
            <w:vAlign w:val="bottom"/>
          </w:tcPr>
          <w:p w14:paraId="74DE0656" w14:textId="77777777" w:rsidR="00584EC1" w:rsidRDefault="00584EC1">
            <w:pPr>
              <w:rPr>
                <w:rFonts w:ascii="宋体"/>
                <w:vanish/>
              </w:rPr>
            </w:pPr>
          </w:p>
        </w:tc>
        <w:tc>
          <w:tcPr>
            <w:tcW w:w="0" w:type="auto"/>
            <w:shd w:val="clear" w:color="auto" w:fill="auto"/>
            <w:vAlign w:val="bottom"/>
          </w:tcPr>
          <w:p w14:paraId="74DE0657" w14:textId="77777777" w:rsidR="00584EC1" w:rsidRDefault="00584EC1">
            <w:pPr>
              <w:rPr>
                <w:rFonts w:ascii="宋体"/>
                <w:vanish/>
              </w:rPr>
            </w:pPr>
          </w:p>
        </w:tc>
      </w:tr>
      <w:tr w:rsidR="00584EC1" w14:paraId="74DE0665" w14:textId="77777777">
        <w:tc>
          <w:tcPr>
            <w:tcW w:w="0" w:type="auto"/>
            <w:gridSpan w:val="3"/>
            <w:shd w:val="clear" w:color="auto" w:fill="CCEEFF"/>
            <w:tcMar>
              <w:top w:w="40" w:type="dxa"/>
              <w:left w:w="20" w:type="dxa"/>
              <w:bottom w:w="40" w:type="dxa"/>
              <w:right w:w="20" w:type="dxa"/>
            </w:tcMar>
            <w:vAlign w:val="bottom"/>
          </w:tcPr>
          <w:p w14:paraId="74DE0659" w14:textId="77777777" w:rsidR="00584EC1" w:rsidRDefault="00871F8D">
            <w:pPr>
              <w:textAlignment w:val="bottom"/>
            </w:pPr>
            <w:r>
              <w:rPr>
                <w:rFonts w:ascii="Arial" w:eastAsia="宋体" w:hAnsi="Arial" w:cs="Arial"/>
                <w:color w:val="000000"/>
                <w:sz w:val="13"/>
                <w:szCs w:val="13"/>
              </w:rPr>
              <w:t>Net unrealized gains (losses) on cash flow hedges</w:t>
            </w:r>
          </w:p>
        </w:tc>
        <w:tc>
          <w:tcPr>
            <w:tcW w:w="0" w:type="auto"/>
            <w:tcBorders>
              <w:top w:val="single" w:sz="8" w:space="0" w:color="000000"/>
            </w:tcBorders>
            <w:shd w:val="clear" w:color="auto" w:fill="CCEEFF"/>
            <w:tcMar>
              <w:top w:w="40" w:type="dxa"/>
              <w:left w:w="20" w:type="dxa"/>
              <w:bottom w:w="40" w:type="dxa"/>
              <w:right w:w="0" w:type="dxa"/>
            </w:tcMar>
            <w:vAlign w:val="bottom"/>
          </w:tcPr>
          <w:p w14:paraId="74DE065A" w14:textId="77777777" w:rsidR="00584EC1" w:rsidRDefault="00871F8D">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065B" w14:textId="77777777" w:rsidR="00584EC1" w:rsidRDefault="00871F8D">
            <w:pPr>
              <w:jc w:val="right"/>
              <w:textAlignment w:val="bottom"/>
            </w:pPr>
            <w:r>
              <w:rPr>
                <w:rFonts w:ascii="Arial" w:eastAsia="宋体" w:hAnsi="Arial" w:cs="Arial"/>
                <w:b/>
                <w:bCs/>
                <w:color w:val="000000"/>
                <w:sz w:val="13"/>
                <w:szCs w:val="13"/>
              </w:rPr>
              <w:t>41</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65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65D"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065E" w14:textId="77777777" w:rsidR="00584EC1" w:rsidRDefault="00871F8D">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065F" w14:textId="77777777" w:rsidR="00584EC1" w:rsidRDefault="00871F8D">
            <w:pPr>
              <w:jc w:val="right"/>
              <w:textAlignment w:val="bottom"/>
            </w:pPr>
            <w:r>
              <w:rPr>
                <w:rFonts w:ascii="Arial" w:eastAsia="宋体" w:hAnsi="Arial" w:cs="Arial"/>
                <w:color w:val="000000"/>
                <w:sz w:val="13"/>
                <w:szCs w:val="13"/>
              </w:rPr>
              <w:t>82 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660" w14:textId="77777777" w:rsidR="00584EC1" w:rsidRDefault="00584EC1">
            <w:pPr>
              <w:jc w:val="right"/>
              <w:rPr>
                <w:rFonts w:ascii="宋体"/>
              </w:rPr>
            </w:pPr>
          </w:p>
        </w:tc>
        <w:tc>
          <w:tcPr>
            <w:tcW w:w="0" w:type="auto"/>
            <w:shd w:val="clear" w:color="auto" w:fill="auto"/>
            <w:vAlign w:val="bottom"/>
          </w:tcPr>
          <w:p w14:paraId="74DE0661" w14:textId="77777777" w:rsidR="00584EC1" w:rsidRDefault="00584EC1">
            <w:pPr>
              <w:rPr>
                <w:rFonts w:ascii="宋体"/>
                <w:vanish/>
              </w:rPr>
            </w:pPr>
          </w:p>
        </w:tc>
        <w:tc>
          <w:tcPr>
            <w:tcW w:w="0" w:type="auto"/>
            <w:shd w:val="clear" w:color="auto" w:fill="auto"/>
            <w:vAlign w:val="bottom"/>
          </w:tcPr>
          <w:p w14:paraId="74DE0662" w14:textId="77777777" w:rsidR="00584EC1" w:rsidRDefault="00584EC1">
            <w:pPr>
              <w:rPr>
                <w:rFonts w:ascii="宋体"/>
                <w:vanish/>
              </w:rPr>
            </w:pPr>
          </w:p>
        </w:tc>
        <w:tc>
          <w:tcPr>
            <w:tcW w:w="0" w:type="auto"/>
            <w:shd w:val="clear" w:color="auto" w:fill="auto"/>
            <w:vAlign w:val="bottom"/>
          </w:tcPr>
          <w:p w14:paraId="74DE0663" w14:textId="77777777" w:rsidR="00584EC1" w:rsidRDefault="00584EC1">
            <w:pPr>
              <w:rPr>
                <w:rFonts w:ascii="宋体"/>
                <w:vanish/>
              </w:rPr>
            </w:pPr>
          </w:p>
        </w:tc>
        <w:tc>
          <w:tcPr>
            <w:tcW w:w="0" w:type="auto"/>
            <w:shd w:val="clear" w:color="auto" w:fill="auto"/>
            <w:vAlign w:val="bottom"/>
          </w:tcPr>
          <w:p w14:paraId="74DE0664" w14:textId="77777777" w:rsidR="00584EC1" w:rsidRDefault="00584EC1">
            <w:pPr>
              <w:rPr>
                <w:rFonts w:ascii="宋体"/>
                <w:vanish/>
              </w:rPr>
            </w:pPr>
          </w:p>
        </w:tc>
      </w:tr>
      <w:tr w:rsidR="00584EC1" w14:paraId="74DE0670" w14:textId="77777777">
        <w:tc>
          <w:tcPr>
            <w:tcW w:w="0" w:type="auto"/>
            <w:gridSpan w:val="3"/>
            <w:shd w:val="clear" w:color="auto" w:fill="FFFFFF"/>
            <w:tcMar>
              <w:top w:w="40" w:type="dxa"/>
              <w:left w:w="155" w:type="dxa"/>
              <w:bottom w:w="40" w:type="dxa"/>
              <w:right w:w="20" w:type="dxa"/>
            </w:tcMar>
            <w:vAlign w:val="bottom"/>
          </w:tcPr>
          <w:p w14:paraId="74DE0666" w14:textId="77777777" w:rsidR="00584EC1" w:rsidRDefault="00871F8D">
            <w:pPr>
              <w:textAlignment w:val="bottom"/>
            </w:pPr>
            <w:r>
              <w:rPr>
                <w:rFonts w:ascii="Arial" w:eastAsia="宋体" w:hAnsi="Arial" w:cs="Arial"/>
                <w:color w:val="000000"/>
                <w:sz w:val="13"/>
                <w:szCs w:val="13"/>
              </w:rPr>
              <w:t xml:space="preserve">Net unrealized gains </w:t>
            </w:r>
            <w:r>
              <w:rPr>
                <w:rFonts w:ascii="Arial" w:eastAsia="宋体" w:hAnsi="Arial" w:cs="Arial"/>
                <w:color w:val="000000"/>
                <w:sz w:val="13"/>
                <w:szCs w:val="13"/>
              </w:rPr>
              <w:t>(losses) on available-for-sale securities portfolio</w:t>
            </w:r>
          </w:p>
        </w:tc>
        <w:tc>
          <w:tcPr>
            <w:tcW w:w="0" w:type="auto"/>
            <w:gridSpan w:val="2"/>
            <w:shd w:val="clear" w:color="auto" w:fill="FFFFFF"/>
            <w:tcMar>
              <w:top w:w="40" w:type="dxa"/>
              <w:left w:w="20" w:type="dxa"/>
              <w:bottom w:w="40" w:type="dxa"/>
              <w:right w:w="0" w:type="dxa"/>
            </w:tcMar>
            <w:vAlign w:val="bottom"/>
          </w:tcPr>
          <w:p w14:paraId="74DE0667" w14:textId="77777777" w:rsidR="00584EC1" w:rsidRDefault="00871F8D">
            <w:pPr>
              <w:jc w:val="right"/>
              <w:textAlignment w:val="bottom"/>
            </w:pPr>
            <w:r>
              <w:rPr>
                <w:rFonts w:ascii="Arial" w:eastAsia="宋体" w:hAnsi="Arial" w:cs="Arial"/>
                <w:b/>
                <w:bCs/>
                <w:color w:val="000000"/>
                <w:sz w:val="13"/>
                <w:szCs w:val="13"/>
              </w:rPr>
              <w:t>353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E066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66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66A" w14:textId="77777777" w:rsidR="00584EC1" w:rsidRDefault="00871F8D">
            <w:pPr>
              <w:jc w:val="right"/>
              <w:textAlignment w:val="bottom"/>
            </w:pPr>
            <w:r>
              <w:rPr>
                <w:rFonts w:ascii="Arial" w:eastAsia="宋体" w:hAnsi="Arial" w:cs="Arial"/>
                <w:color w:val="000000"/>
                <w:sz w:val="13"/>
                <w:szCs w:val="13"/>
              </w:rPr>
              <w:t>976 </w:t>
            </w:r>
          </w:p>
        </w:tc>
        <w:tc>
          <w:tcPr>
            <w:tcW w:w="0" w:type="auto"/>
            <w:shd w:val="clear" w:color="auto" w:fill="FFFFFF"/>
            <w:tcMar>
              <w:top w:w="40" w:type="dxa"/>
              <w:left w:w="0" w:type="dxa"/>
              <w:bottom w:w="40" w:type="dxa"/>
              <w:right w:w="20" w:type="dxa"/>
            </w:tcMar>
            <w:vAlign w:val="bottom"/>
          </w:tcPr>
          <w:p w14:paraId="74DE066B" w14:textId="77777777" w:rsidR="00584EC1" w:rsidRDefault="00584EC1">
            <w:pPr>
              <w:jc w:val="right"/>
              <w:rPr>
                <w:rFonts w:ascii="宋体"/>
              </w:rPr>
            </w:pPr>
          </w:p>
        </w:tc>
        <w:tc>
          <w:tcPr>
            <w:tcW w:w="0" w:type="auto"/>
            <w:shd w:val="clear" w:color="auto" w:fill="auto"/>
            <w:vAlign w:val="bottom"/>
          </w:tcPr>
          <w:p w14:paraId="74DE066C" w14:textId="77777777" w:rsidR="00584EC1" w:rsidRDefault="00584EC1">
            <w:pPr>
              <w:rPr>
                <w:rFonts w:ascii="宋体"/>
                <w:vanish/>
              </w:rPr>
            </w:pPr>
          </w:p>
        </w:tc>
        <w:tc>
          <w:tcPr>
            <w:tcW w:w="0" w:type="auto"/>
            <w:shd w:val="clear" w:color="auto" w:fill="auto"/>
            <w:vAlign w:val="bottom"/>
          </w:tcPr>
          <w:p w14:paraId="74DE066D" w14:textId="77777777" w:rsidR="00584EC1" w:rsidRDefault="00584EC1">
            <w:pPr>
              <w:rPr>
                <w:rFonts w:ascii="宋体"/>
                <w:vanish/>
              </w:rPr>
            </w:pPr>
          </w:p>
        </w:tc>
        <w:tc>
          <w:tcPr>
            <w:tcW w:w="0" w:type="auto"/>
            <w:shd w:val="clear" w:color="auto" w:fill="auto"/>
            <w:vAlign w:val="bottom"/>
          </w:tcPr>
          <w:p w14:paraId="74DE066E" w14:textId="77777777" w:rsidR="00584EC1" w:rsidRDefault="00584EC1">
            <w:pPr>
              <w:rPr>
                <w:rFonts w:ascii="宋体"/>
                <w:vanish/>
              </w:rPr>
            </w:pPr>
          </w:p>
        </w:tc>
        <w:tc>
          <w:tcPr>
            <w:tcW w:w="0" w:type="auto"/>
            <w:shd w:val="clear" w:color="auto" w:fill="auto"/>
            <w:vAlign w:val="bottom"/>
          </w:tcPr>
          <w:p w14:paraId="74DE066F" w14:textId="77777777" w:rsidR="00584EC1" w:rsidRDefault="00584EC1">
            <w:pPr>
              <w:rPr>
                <w:rFonts w:ascii="宋体"/>
                <w:vanish/>
              </w:rPr>
            </w:pPr>
          </w:p>
        </w:tc>
      </w:tr>
      <w:tr w:rsidR="00584EC1" w14:paraId="74DE067B" w14:textId="77777777">
        <w:tc>
          <w:tcPr>
            <w:tcW w:w="0" w:type="auto"/>
            <w:gridSpan w:val="3"/>
            <w:shd w:val="clear" w:color="auto" w:fill="CCEEFF"/>
            <w:tcMar>
              <w:top w:w="40" w:type="dxa"/>
              <w:left w:w="155" w:type="dxa"/>
              <w:bottom w:w="40" w:type="dxa"/>
              <w:right w:w="20" w:type="dxa"/>
            </w:tcMar>
            <w:vAlign w:val="bottom"/>
          </w:tcPr>
          <w:p w14:paraId="74DE0671" w14:textId="77777777" w:rsidR="00584EC1" w:rsidRDefault="00871F8D">
            <w:pPr>
              <w:textAlignment w:val="bottom"/>
            </w:pPr>
            <w:r>
              <w:rPr>
                <w:rFonts w:ascii="Arial" w:eastAsia="宋体" w:hAnsi="Arial" w:cs="Arial"/>
                <w:color w:val="000000"/>
                <w:sz w:val="13"/>
                <w:szCs w:val="13"/>
              </w:rPr>
              <w:t>Net unrealized gains (losses) related to reclassified available-for-sale securities</w:t>
            </w:r>
          </w:p>
        </w:tc>
        <w:tc>
          <w:tcPr>
            <w:tcW w:w="0" w:type="auto"/>
            <w:gridSpan w:val="2"/>
            <w:shd w:val="clear" w:color="auto" w:fill="CCEEFF"/>
            <w:tcMar>
              <w:top w:w="40" w:type="dxa"/>
              <w:left w:w="20" w:type="dxa"/>
              <w:bottom w:w="40" w:type="dxa"/>
              <w:right w:w="0" w:type="dxa"/>
            </w:tcMar>
            <w:vAlign w:val="bottom"/>
          </w:tcPr>
          <w:p w14:paraId="74DE0672" w14:textId="77777777" w:rsidR="00584EC1" w:rsidRDefault="00871F8D">
            <w:pPr>
              <w:jc w:val="right"/>
              <w:textAlignment w:val="bottom"/>
            </w:pPr>
            <w:r>
              <w:rPr>
                <w:rFonts w:ascii="Arial" w:eastAsia="宋体" w:hAnsi="Arial" w:cs="Arial"/>
                <w:b/>
                <w:bCs/>
                <w:color w:val="000000"/>
                <w:sz w:val="13"/>
                <w:szCs w:val="13"/>
              </w:rPr>
              <w:t>(39)</w:t>
            </w:r>
          </w:p>
        </w:tc>
        <w:tc>
          <w:tcPr>
            <w:tcW w:w="0" w:type="auto"/>
            <w:shd w:val="clear" w:color="auto" w:fill="CCEEFF"/>
            <w:tcMar>
              <w:top w:w="40" w:type="dxa"/>
              <w:left w:w="0" w:type="dxa"/>
              <w:bottom w:w="40" w:type="dxa"/>
              <w:right w:w="20" w:type="dxa"/>
            </w:tcMar>
            <w:vAlign w:val="bottom"/>
          </w:tcPr>
          <w:p w14:paraId="74DE067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674"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675" w14:textId="77777777" w:rsidR="00584EC1" w:rsidRDefault="00871F8D">
            <w:pPr>
              <w:jc w:val="right"/>
              <w:textAlignment w:val="bottom"/>
            </w:pPr>
            <w:r>
              <w:rPr>
                <w:rFonts w:ascii="Arial" w:eastAsia="宋体" w:hAnsi="Arial" w:cs="Arial"/>
                <w:color w:val="000000"/>
                <w:sz w:val="13"/>
                <w:szCs w:val="13"/>
              </w:rPr>
              <w:t>(68)</w:t>
            </w:r>
          </w:p>
        </w:tc>
        <w:tc>
          <w:tcPr>
            <w:tcW w:w="0" w:type="auto"/>
            <w:shd w:val="clear" w:color="auto" w:fill="CCEEFF"/>
            <w:tcMar>
              <w:top w:w="40" w:type="dxa"/>
              <w:left w:w="0" w:type="dxa"/>
              <w:bottom w:w="40" w:type="dxa"/>
              <w:right w:w="20" w:type="dxa"/>
            </w:tcMar>
            <w:vAlign w:val="bottom"/>
          </w:tcPr>
          <w:p w14:paraId="74DE0676" w14:textId="77777777" w:rsidR="00584EC1" w:rsidRDefault="00584EC1">
            <w:pPr>
              <w:jc w:val="right"/>
              <w:rPr>
                <w:rFonts w:ascii="宋体"/>
              </w:rPr>
            </w:pPr>
          </w:p>
        </w:tc>
        <w:tc>
          <w:tcPr>
            <w:tcW w:w="0" w:type="auto"/>
            <w:shd w:val="clear" w:color="auto" w:fill="auto"/>
            <w:vAlign w:val="bottom"/>
          </w:tcPr>
          <w:p w14:paraId="74DE0677" w14:textId="77777777" w:rsidR="00584EC1" w:rsidRDefault="00584EC1">
            <w:pPr>
              <w:rPr>
                <w:rFonts w:ascii="宋体"/>
                <w:vanish/>
              </w:rPr>
            </w:pPr>
          </w:p>
        </w:tc>
        <w:tc>
          <w:tcPr>
            <w:tcW w:w="0" w:type="auto"/>
            <w:shd w:val="clear" w:color="auto" w:fill="auto"/>
            <w:vAlign w:val="bottom"/>
          </w:tcPr>
          <w:p w14:paraId="74DE0678" w14:textId="77777777" w:rsidR="00584EC1" w:rsidRDefault="00584EC1">
            <w:pPr>
              <w:rPr>
                <w:rFonts w:ascii="宋体"/>
                <w:vanish/>
              </w:rPr>
            </w:pPr>
          </w:p>
        </w:tc>
        <w:tc>
          <w:tcPr>
            <w:tcW w:w="0" w:type="auto"/>
            <w:shd w:val="clear" w:color="auto" w:fill="auto"/>
            <w:vAlign w:val="bottom"/>
          </w:tcPr>
          <w:p w14:paraId="74DE0679" w14:textId="77777777" w:rsidR="00584EC1" w:rsidRDefault="00584EC1">
            <w:pPr>
              <w:rPr>
                <w:rFonts w:ascii="宋体"/>
                <w:vanish/>
              </w:rPr>
            </w:pPr>
          </w:p>
        </w:tc>
        <w:tc>
          <w:tcPr>
            <w:tcW w:w="0" w:type="auto"/>
            <w:shd w:val="clear" w:color="auto" w:fill="auto"/>
            <w:vAlign w:val="bottom"/>
          </w:tcPr>
          <w:p w14:paraId="74DE067A" w14:textId="77777777" w:rsidR="00584EC1" w:rsidRDefault="00584EC1">
            <w:pPr>
              <w:rPr>
                <w:rFonts w:ascii="宋体"/>
                <w:vanish/>
              </w:rPr>
            </w:pPr>
          </w:p>
        </w:tc>
      </w:tr>
      <w:tr w:rsidR="00584EC1" w14:paraId="74DE0686" w14:textId="77777777">
        <w:tc>
          <w:tcPr>
            <w:tcW w:w="0" w:type="auto"/>
            <w:gridSpan w:val="3"/>
            <w:shd w:val="clear" w:color="auto" w:fill="FFFFFF"/>
            <w:tcMar>
              <w:top w:w="40" w:type="dxa"/>
              <w:left w:w="20" w:type="dxa"/>
              <w:bottom w:w="40" w:type="dxa"/>
              <w:right w:w="20" w:type="dxa"/>
            </w:tcMar>
            <w:vAlign w:val="bottom"/>
          </w:tcPr>
          <w:p w14:paraId="74DE067C" w14:textId="77777777" w:rsidR="00584EC1" w:rsidRDefault="00871F8D">
            <w:pPr>
              <w:textAlignment w:val="bottom"/>
            </w:pPr>
            <w:r>
              <w:rPr>
                <w:rFonts w:ascii="Arial" w:eastAsia="宋体" w:hAnsi="Arial" w:cs="Arial"/>
                <w:color w:val="000000"/>
                <w:sz w:val="13"/>
                <w:szCs w:val="13"/>
              </w:rPr>
              <w:t>Net unrealized gains (losses) on available-for-sale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067D" w14:textId="77777777" w:rsidR="00584EC1" w:rsidRDefault="00871F8D">
            <w:pPr>
              <w:jc w:val="right"/>
              <w:textAlignment w:val="bottom"/>
            </w:pPr>
            <w:r>
              <w:rPr>
                <w:rFonts w:ascii="Arial" w:eastAsia="宋体" w:hAnsi="Arial" w:cs="Arial"/>
                <w:b/>
                <w:bCs/>
                <w:color w:val="000000"/>
                <w:sz w:val="13"/>
                <w:szCs w:val="13"/>
              </w:rPr>
              <w:t>314</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067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67F"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0680" w14:textId="77777777" w:rsidR="00584EC1" w:rsidRDefault="00871F8D">
            <w:pPr>
              <w:jc w:val="right"/>
              <w:textAlignment w:val="bottom"/>
            </w:pPr>
            <w:r>
              <w:rPr>
                <w:rFonts w:ascii="Arial" w:eastAsia="宋体" w:hAnsi="Arial" w:cs="Arial"/>
                <w:color w:val="000000"/>
                <w:sz w:val="13"/>
                <w:szCs w:val="13"/>
              </w:rPr>
              <w:t>908 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0681" w14:textId="77777777" w:rsidR="00584EC1" w:rsidRDefault="00584EC1">
            <w:pPr>
              <w:jc w:val="right"/>
              <w:rPr>
                <w:rFonts w:ascii="宋体"/>
              </w:rPr>
            </w:pPr>
          </w:p>
        </w:tc>
        <w:tc>
          <w:tcPr>
            <w:tcW w:w="0" w:type="auto"/>
            <w:shd w:val="clear" w:color="auto" w:fill="auto"/>
            <w:vAlign w:val="bottom"/>
          </w:tcPr>
          <w:p w14:paraId="74DE0682" w14:textId="77777777" w:rsidR="00584EC1" w:rsidRDefault="00584EC1">
            <w:pPr>
              <w:rPr>
                <w:rFonts w:ascii="宋体"/>
                <w:vanish/>
              </w:rPr>
            </w:pPr>
          </w:p>
        </w:tc>
        <w:tc>
          <w:tcPr>
            <w:tcW w:w="0" w:type="auto"/>
            <w:shd w:val="clear" w:color="auto" w:fill="auto"/>
            <w:vAlign w:val="bottom"/>
          </w:tcPr>
          <w:p w14:paraId="74DE0683" w14:textId="77777777" w:rsidR="00584EC1" w:rsidRDefault="00584EC1">
            <w:pPr>
              <w:rPr>
                <w:rFonts w:ascii="宋体"/>
                <w:vanish/>
              </w:rPr>
            </w:pPr>
          </w:p>
        </w:tc>
        <w:tc>
          <w:tcPr>
            <w:tcW w:w="0" w:type="auto"/>
            <w:shd w:val="clear" w:color="auto" w:fill="auto"/>
            <w:vAlign w:val="bottom"/>
          </w:tcPr>
          <w:p w14:paraId="74DE0684" w14:textId="77777777" w:rsidR="00584EC1" w:rsidRDefault="00584EC1">
            <w:pPr>
              <w:rPr>
                <w:rFonts w:ascii="宋体"/>
                <w:vanish/>
              </w:rPr>
            </w:pPr>
          </w:p>
        </w:tc>
        <w:tc>
          <w:tcPr>
            <w:tcW w:w="0" w:type="auto"/>
            <w:shd w:val="clear" w:color="auto" w:fill="auto"/>
            <w:vAlign w:val="bottom"/>
          </w:tcPr>
          <w:p w14:paraId="74DE0685" w14:textId="77777777" w:rsidR="00584EC1" w:rsidRDefault="00584EC1">
            <w:pPr>
              <w:rPr>
                <w:rFonts w:ascii="宋体"/>
                <w:vanish/>
              </w:rPr>
            </w:pPr>
          </w:p>
        </w:tc>
      </w:tr>
      <w:tr w:rsidR="00584EC1" w14:paraId="74DE0691" w14:textId="77777777">
        <w:tc>
          <w:tcPr>
            <w:tcW w:w="0" w:type="auto"/>
            <w:gridSpan w:val="3"/>
            <w:shd w:val="clear" w:color="auto" w:fill="CCEEFF"/>
            <w:tcMar>
              <w:top w:w="40" w:type="dxa"/>
              <w:left w:w="20" w:type="dxa"/>
              <w:bottom w:w="40" w:type="dxa"/>
              <w:right w:w="20" w:type="dxa"/>
            </w:tcMar>
            <w:vAlign w:val="bottom"/>
          </w:tcPr>
          <w:p w14:paraId="74DE0687" w14:textId="77777777" w:rsidR="00584EC1" w:rsidRDefault="00871F8D">
            <w:pPr>
              <w:textAlignment w:val="bottom"/>
            </w:pPr>
            <w:r>
              <w:rPr>
                <w:rFonts w:ascii="Arial" w:eastAsia="宋体" w:hAnsi="Arial" w:cs="Arial"/>
                <w:color w:val="000000"/>
                <w:sz w:val="13"/>
                <w:szCs w:val="13"/>
              </w:rPr>
              <w:t>Net unrealized (losses) on available-for-sale securities designated in fair value hedges</w:t>
            </w:r>
          </w:p>
        </w:tc>
        <w:tc>
          <w:tcPr>
            <w:tcW w:w="0" w:type="auto"/>
            <w:gridSpan w:val="2"/>
            <w:shd w:val="clear" w:color="auto" w:fill="CCEEFF"/>
            <w:tcMar>
              <w:top w:w="40" w:type="dxa"/>
              <w:left w:w="20" w:type="dxa"/>
              <w:bottom w:w="40" w:type="dxa"/>
              <w:right w:w="0" w:type="dxa"/>
            </w:tcMar>
            <w:vAlign w:val="bottom"/>
          </w:tcPr>
          <w:p w14:paraId="74DE0688" w14:textId="77777777" w:rsidR="00584EC1" w:rsidRDefault="00871F8D">
            <w:pPr>
              <w:jc w:val="right"/>
              <w:textAlignment w:val="bottom"/>
            </w:pPr>
            <w:r>
              <w:rPr>
                <w:rFonts w:ascii="Arial" w:eastAsia="宋体" w:hAnsi="Arial" w:cs="Arial"/>
                <w:b/>
                <w:bCs/>
                <w:color w:val="000000"/>
                <w:sz w:val="13"/>
                <w:szCs w:val="13"/>
              </w:rPr>
              <w:t>(24)</w:t>
            </w:r>
          </w:p>
        </w:tc>
        <w:tc>
          <w:tcPr>
            <w:tcW w:w="0" w:type="auto"/>
            <w:shd w:val="clear" w:color="auto" w:fill="CCEEFF"/>
            <w:tcMar>
              <w:top w:w="40" w:type="dxa"/>
              <w:left w:w="0" w:type="dxa"/>
              <w:bottom w:w="40" w:type="dxa"/>
              <w:right w:w="20" w:type="dxa"/>
            </w:tcMar>
            <w:vAlign w:val="bottom"/>
          </w:tcPr>
          <w:p w14:paraId="74DE068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68A"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68B" w14:textId="77777777" w:rsidR="00584EC1" w:rsidRDefault="00871F8D">
            <w:pPr>
              <w:jc w:val="right"/>
              <w:textAlignment w:val="bottom"/>
            </w:pPr>
            <w:r>
              <w:rPr>
                <w:rFonts w:ascii="Arial" w:eastAsia="宋体" w:hAnsi="Arial" w:cs="Arial"/>
                <w:color w:val="000000"/>
                <w:sz w:val="13"/>
                <w:szCs w:val="13"/>
              </w:rPr>
              <w:t>(36)</w:t>
            </w:r>
          </w:p>
        </w:tc>
        <w:tc>
          <w:tcPr>
            <w:tcW w:w="0" w:type="auto"/>
            <w:shd w:val="clear" w:color="auto" w:fill="CCEEFF"/>
            <w:tcMar>
              <w:top w:w="40" w:type="dxa"/>
              <w:left w:w="0" w:type="dxa"/>
              <w:bottom w:w="40" w:type="dxa"/>
              <w:right w:w="20" w:type="dxa"/>
            </w:tcMar>
            <w:vAlign w:val="bottom"/>
          </w:tcPr>
          <w:p w14:paraId="74DE068C" w14:textId="77777777" w:rsidR="00584EC1" w:rsidRDefault="00584EC1">
            <w:pPr>
              <w:jc w:val="right"/>
              <w:rPr>
                <w:rFonts w:ascii="宋体"/>
              </w:rPr>
            </w:pPr>
          </w:p>
        </w:tc>
        <w:tc>
          <w:tcPr>
            <w:tcW w:w="0" w:type="auto"/>
            <w:shd w:val="clear" w:color="auto" w:fill="auto"/>
            <w:vAlign w:val="bottom"/>
          </w:tcPr>
          <w:p w14:paraId="74DE068D" w14:textId="77777777" w:rsidR="00584EC1" w:rsidRDefault="00584EC1">
            <w:pPr>
              <w:rPr>
                <w:rFonts w:ascii="宋体"/>
                <w:vanish/>
              </w:rPr>
            </w:pPr>
          </w:p>
        </w:tc>
        <w:tc>
          <w:tcPr>
            <w:tcW w:w="0" w:type="auto"/>
            <w:shd w:val="clear" w:color="auto" w:fill="auto"/>
            <w:vAlign w:val="bottom"/>
          </w:tcPr>
          <w:p w14:paraId="74DE068E" w14:textId="77777777" w:rsidR="00584EC1" w:rsidRDefault="00584EC1">
            <w:pPr>
              <w:rPr>
                <w:rFonts w:ascii="宋体"/>
                <w:vanish/>
              </w:rPr>
            </w:pPr>
          </w:p>
        </w:tc>
        <w:tc>
          <w:tcPr>
            <w:tcW w:w="0" w:type="auto"/>
            <w:shd w:val="clear" w:color="auto" w:fill="auto"/>
            <w:vAlign w:val="bottom"/>
          </w:tcPr>
          <w:p w14:paraId="74DE068F" w14:textId="77777777" w:rsidR="00584EC1" w:rsidRDefault="00584EC1">
            <w:pPr>
              <w:rPr>
                <w:rFonts w:ascii="宋体"/>
                <w:vanish/>
              </w:rPr>
            </w:pPr>
          </w:p>
        </w:tc>
        <w:tc>
          <w:tcPr>
            <w:tcW w:w="0" w:type="auto"/>
            <w:shd w:val="clear" w:color="auto" w:fill="auto"/>
            <w:vAlign w:val="bottom"/>
          </w:tcPr>
          <w:p w14:paraId="74DE0690" w14:textId="77777777" w:rsidR="00584EC1" w:rsidRDefault="00584EC1">
            <w:pPr>
              <w:rPr>
                <w:rFonts w:ascii="宋体"/>
                <w:vanish/>
              </w:rPr>
            </w:pPr>
          </w:p>
        </w:tc>
      </w:tr>
      <w:tr w:rsidR="00584EC1" w14:paraId="74DE069A" w14:textId="77777777">
        <w:trPr>
          <w:hidden/>
        </w:trPr>
        <w:tc>
          <w:tcPr>
            <w:tcW w:w="0" w:type="auto"/>
            <w:gridSpan w:val="3"/>
            <w:shd w:val="clear" w:color="auto" w:fill="auto"/>
            <w:vAlign w:val="bottom"/>
          </w:tcPr>
          <w:p w14:paraId="74DE0692" w14:textId="77777777" w:rsidR="00584EC1" w:rsidRDefault="00584EC1">
            <w:pPr>
              <w:rPr>
                <w:rFonts w:ascii="宋体"/>
                <w:vanish/>
              </w:rPr>
            </w:pPr>
          </w:p>
        </w:tc>
        <w:tc>
          <w:tcPr>
            <w:tcW w:w="0" w:type="auto"/>
            <w:gridSpan w:val="3"/>
            <w:shd w:val="clear" w:color="auto" w:fill="auto"/>
            <w:vAlign w:val="bottom"/>
          </w:tcPr>
          <w:p w14:paraId="74DE0693" w14:textId="77777777" w:rsidR="00584EC1" w:rsidRDefault="00584EC1">
            <w:pPr>
              <w:rPr>
                <w:rFonts w:ascii="宋体"/>
                <w:vanish/>
              </w:rPr>
            </w:pPr>
          </w:p>
        </w:tc>
        <w:tc>
          <w:tcPr>
            <w:tcW w:w="0" w:type="auto"/>
            <w:gridSpan w:val="3"/>
            <w:shd w:val="clear" w:color="auto" w:fill="auto"/>
            <w:vAlign w:val="bottom"/>
          </w:tcPr>
          <w:p w14:paraId="74DE0694" w14:textId="77777777" w:rsidR="00584EC1" w:rsidRDefault="00584EC1">
            <w:pPr>
              <w:rPr>
                <w:rFonts w:ascii="宋体"/>
                <w:vanish/>
              </w:rPr>
            </w:pPr>
          </w:p>
        </w:tc>
        <w:tc>
          <w:tcPr>
            <w:tcW w:w="0" w:type="auto"/>
            <w:gridSpan w:val="3"/>
            <w:shd w:val="clear" w:color="auto" w:fill="auto"/>
            <w:vAlign w:val="bottom"/>
          </w:tcPr>
          <w:p w14:paraId="74DE0695" w14:textId="77777777" w:rsidR="00584EC1" w:rsidRDefault="00584EC1">
            <w:pPr>
              <w:rPr>
                <w:rFonts w:ascii="宋体"/>
                <w:vanish/>
              </w:rPr>
            </w:pPr>
          </w:p>
        </w:tc>
        <w:tc>
          <w:tcPr>
            <w:tcW w:w="0" w:type="auto"/>
            <w:shd w:val="clear" w:color="auto" w:fill="auto"/>
            <w:vAlign w:val="bottom"/>
          </w:tcPr>
          <w:p w14:paraId="74DE0696" w14:textId="77777777" w:rsidR="00584EC1" w:rsidRDefault="00584EC1">
            <w:pPr>
              <w:rPr>
                <w:rFonts w:ascii="宋体"/>
                <w:vanish/>
              </w:rPr>
            </w:pPr>
          </w:p>
        </w:tc>
        <w:tc>
          <w:tcPr>
            <w:tcW w:w="0" w:type="auto"/>
            <w:shd w:val="clear" w:color="auto" w:fill="auto"/>
            <w:vAlign w:val="bottom"/>
          </w:tcPr>
          <w:p w14:paraId="74DE0697" w14:textId="77777777" w:rsidR="00584EC1" w:rsidRDefault="00584EC1">
            <w:pPr>
              <w:rPr>
                <w:rFonts w:ascii="宋体"/>
                <w:vanish/>
              </w:rPr>
            </w:pPr>
          </w:p>
        </w:tc>
        <w:tc>
          <w:tcPr>
            <w:tcW w:w="0" w:type="auto"/>
            <w:shd w:val="clear" w:color="auto" w:fill="auto"/>
            <w:vAlign w:val="bottom"/>
          </w:tcPr>
          <w:p w14:paraId="74DE0698" w14:textId="77777777" w:rsidR="00584EC1" w:rsidRDefault="00584EC1">
            <w:pPr>
              <w:rPr>
                <w:rFonts w:ascii="宋体"/>
                <w:vanish/>
              </w:rPr>
            </w:pPr>
          </w:p>
        </w:tc>
        <w:tc>
          <w:tcPr>
            <w:tcW w:w="0" w:type="auto"/>
            <w:shd w:val="clear" w:color="auto" w:fill="auto"/>
            <w:vAlign w:val="bottom"/>
          </w:tcPr>
          <w:p w14:paraId="74DE0699" w14:textId="77777777" w:rsidR="00584EC1" w:rsidRDefault="00584EC1">
            <w:pPr>
              <w:rPr>
                <w:rFonts w:ascii="宋体"/>
                <w:vanish/>
              </w:rPr>
            </w:pPr>
          </w:p>
        </w:tc>
      </w:tr>
      <w:tr w:rsidR="00584EC1" w14:paraId="74DE06A5" w14:textId="77777777">
        <w:tc>
          <w:tcPr>
            <w:tcW w:w="0" w:type="auto"/>
            <w:gridSpan w:val="3"/>
            <w:shd w:val="clear" w:color="auto" w:fill="FFFFFF"/>
            <w:tcMar>
              <w:top w:w="40" w:type="dxa"/>
              <w:left w:w="20" w:type="dxa"/>
              <w:bottom w:w="40" w:type="dxa"/>
              <w:right w:w="20" w:type="dxa"/>
            </w:tcMar>
            <w:vAlign w:val="bottom"/>
          </w:tcPr>
          <w:p w14:paraId="74DE069B" w14:textId="77777777" w:rsidR="00584EC1" w:rsidRDefault="00871F8D">
            <w:pPr>
              <w:textAlignment w:val="bottom"/>
            </w:pPr>
            <w:r>
              <w:rPr>
                <w:rFonts w:ascii="Arial" w:eastAsia="宋体" w:hAnsi="Arial" w:cs="Arial"/>
                <w:color w:val="000000"/>
                <w:sz w:val="13"/>
                <w:szCs w:val="13"/>
              </w:rPr>
              <w:t>Net unrealized gains (losses) on hedges of net investments in non-U.S. subsidiaries</w:t>
            </w:r>
          </w:p>
        </w:tc>
        <w:tc>
          <w:tcPr>
            <w:tcW w:w="0" w:type="auto"/>
            <w:gridSpan w:val="2"/>
            <w:shd w:val="clear" w:color="auto" w:fill="FFFFFF"/>
            <w:tcMar>
              <w:top w:w="40" w:type="dxa"/>
              <w:left w:w="20" w:type="dxa"/>
              <w:bottom w:w="40" w:type="dxa"/>
              <w:right w:w="0" w:type="dxa"/>
            </w:tcMar>
            <w:vAlign w:val="bottom"/>
          </w:tcPr>
          <w:p w14:paraId="74DE069C" w14:textId="77777777" w:rsidR="00584EC1" w:rsidRDefault="00871F8D">
            <w:pPr>
              <w:jc w:val="right"/>
              <w:textAlignment w:val="bottom"/>
            </w:pPr>
            <w:r>
              <w:rPr>
                <w:rFonts w:ascii="Arial" w:eastAsia="宋体" w:hAnsi="Arial" w:cs="Arial"/>
                <w:b/>
                <w:bCs/>
                <w:color w:val="000000"/>
                <w:sz w:val="13"/>
                <w:szCs w:val="13"/>
              </w:rPr>
              <w:t>18</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E069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69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69F" w14:textId="77777777" w:rsidR="00584EC1" w:rsidRDefault="00871F8D">
            <w:pPr>
              <w:jc w:val="right"/>
              <w:textAlignment w:val="bottom"/>
            </w:pPr>
            <w:r>
              <w:rPr>
                <w:rFonts w:ascii="Arial" w:eastAsia="宋体" w:hAnsi="Arial" w:cs="Arial"/>
                <w:color w:val="000000"/>
                <w:sz w:val="13"/>
                <w:szCs w:val="13"/>
              </w:rPr>
              <w:t>(54)</w:t>
            </w:r>
          </w:p>
        </w:tc>
        <w:tc>
          <w:tcPr>
            <w:tcW w:w="0" w:type="auto"/>
            <w:shd w:val="clear" w:color="auto" w:fill="FFFFFF"/>
            <w:tcMar>
              <w:top w:w="40" w:type="dxa"/>
              <w:left w:w="0" w:type="dxa"/>
              <w:bottom w:w="40" w:type="dxa"/>
              <w:right w:w="20" w:type="dxa"/>
            </w:tcMar>
            <w:vAlign w:val="bottom"/>
          </w:tcPr>
          <w:p w14:paraId="74DE06A0" w14:textId="77777777" w:rsidR="00584EC1" w:rsidRDefault="00584EC1">
            <w:pPr>
              <w:jc w:val="right"/>
              <w:rPr>
                <w:rFonts w:ascii="宋体"/>
              </w:rPr>
            </w:pPr>
          </w:p>
        </w:tc>
        <w:tc>
          <w:tcPr>
            <w:tcW w:w="0" w:type="auto"/>
            <w:shd w:val="clear" w:color="auto" w:fill="auto"/>
            <w:vAlign w:val="bottom"/>
          </w:tcPr>
          <w:p w14:paraId="74DE06A1" w14:textId="77777777" w:rsidR="00584EC1" w:rsidRDefault="00584EC1">
            <w:pPr>
              <w:rPr>
                <w:rFonts w:ascii="宋体"/>
                <w:vanish/>
              </w:rPr>
            </w:pPr>
          </w:p>
        </w:tc>
        <w:tc>
          <w:tcPr>
            <w:tcW w:w="0" w:type="auto"/>
            <w:shd w:val="clear" w:color="auto" w:fill="auto"/>
            <w:vAlign w:val="bottom"/>
          </w:tcPr>
          <w:p w14:paraId="74DE06A2" w14:textId="77777777" w:rsidR="00584EC1" w:rsidRDefault="00584EC1">
            <w:pPr>
              <w:rPr>
                <w:rFonts w:ascii="宋体"/>
                <w:vanish/>
              </w:rPr>
            </w:pPr>
          </w:p>
        </w:tc>
        <w:tc>
          <w:tcPr>
            <w:tcW w:w="0" w:type="auto"/>
            <w:shd w:val="clear" w:color="auto" w:fill="auto"/>
            <w:vAlign w:val="bottom"/>
          </w:tcPr>
          <w:p w14:paraId="74DE06A3" w14:textId="77777777" w:rsidR="00584EC1" w:rsidRDefault="00584EC1">
            <w:pPr>
              <w:rPr>
                <w:rFonts w:ascii="宋体"/>
                <w:vanish/>
              </w:rPr>
            </w:pPr>
          </w:p>
        </w:tc>
        <w:tc>
          <w:tcPr>
            <w:tcW w:w="0" w:type="auto"/>
            <w:shd w:val="clear" w:color="auto" w:fill="auto"/>
            <w:vAlign w:val="bottom"/>
          </w:tcPr>
          <w:p w14:paraId="74DE06A4" w14:textId="77777777" w:rsidR="00584EC1" w:rsidRDefault="00584EC1">
            <w:pPr>
              <w:rPr>
                <w:rFonts w:ascii="宋体"/>
                <w:vanish/>
              </w:rPr>
            </w:pPr>
          </w:p>
        </w:tc>
      </w:tr>
      <w:tr w:rsidR="00584EC1" w14:paraId="74DE06B0" w14:textId="77777777">
        <w:tc>
          <w:tcPr>
            <w:tcW w:w="0" w:type="auto"/>
            <w:gridSpan w:val="3"/>
            <w:shd w:val="clear" w:color="auto" w:fill="CCEEFF"/>
            <w:tcMar>
              <w:top w:w="40" w:type="dxa"/>
              <w:left w:w="20" w:type="dxa"/>
              <w:bottom w:w="40" w:type="dxa"/>
              <w:right w:w="20" w:type="dxa"/>
            </w:tcMar>
            <w:vAlign w:val="bottom"/>
          </w:tcPr>
          <w:p w14:paraId="74DE06A6" w14:textId="77777777" w:rsidR="00584EC1" w:rsidRDefault="00871F8D">
            <w:pPr>
              <w:textAlignment w:val="bottom"/>
            </w:pPr>
            <w:r>
              <w:rPr>
                <w:rFonts w:ascii="Arial" w:eastAsia="宋体" w:hAnsi="Arial" w:cs="Arial"/>
                <w:color w:val="000000"/>
                <w:sz w:val="13"/>
                <w:szCs w:val="13"/>
              </w:rPr>
              <w:t>Other-than-temporary impairment on held-to-maturity securities related to factors other than credit</w:t>
            </w:r>
          </w:p>
        </w:tc>
        <w:tc>
          <w:tcPr>
            <w:tcW w:w="0" w:type="auto"/>
            <w:gridSpan w:val="2"/>
            <w:shd w:val="clear" w:color="auto" w:fill="CCEEFF"/>
            <w:tcMar>
              <w:top w:w="40" w:type="dxa"/>
              <w:left w:w="20" w:type="dxa"/>
              <w:bottom w:w="40" w:type="dxa"/>
              <w:right w:w="0" w:type="dxa"/>
            </w:tcMar>
            <w:vAlign w:val="bottom"/>
          </w:tcPr>
          <w:p w14:paraId="74DE06A7" w14:textId="77777777" w:rsidR="00584EC1" w:rsidRDefault="00871F8D">
            <w:pPr>
              <w:jc w:val="right"/>
              <w:textAlignment w:val="bottom"/>
            </w:pPr>
            <w:r>
              <w:rPr>
                <w:rFonts w:ascii="Arial" w:eastAsia="宋体" w:hAnsi="Arial" w:cs="Arial"/>
                <w:b/>
                <w:bCs/>
                <w:color w:val="000000"/>
                <w:sz w:val="13"/>
                <w:szCs w:val="13"/>
              </w:rPr>
              <w:t>(2)</w:t>
            </w:r>
          </w:p>
        </w:tc>
        <w:tc>
          <w:tcPr>
            <w:tcW w:w="0" w:type="auto"/>
            <w:shd w:val="clear" w:color="auto" w:fill="CCEEFF"/>
            <w:tcMar>
              <w:top w:w="40" w:type="dxa"/>
              <w:left w:w="0" w:type="dxa"/>
              <w:bottom w:w="40" w:type="dxa"/>
              <w:right w:w="20" w:type="dxa"/>
            </w:tcMar>
            <w:vAlign w:val="bottom"/>
          </w:tcPr>
          <w:p w14:paraId="74DE06A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6A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6AA" w14:textId="77777777" w:rsidR="00584EC1" w:rsidRDefault="00871F8D">
            <w:pPr>
              <w:jc w:val="right"/>
              <w:textAlignment w:val="bottom"/>
            </w:pPr>
            <w:r>
              <w:rPr>
                <w:rFonts w:ascii="Arial" w:eastAsia="宋体" w:hAnsi="Arial" w:cs="Arial"/>
                <w:color w:val="000000"/>
                <w:sz w:val="13"/>
                <w:szCs w:val="13"/>
              </w:rPr>
              <w:t>(2)</w:t>
            </w:r>
          </w:p>
        </w:tc>
        <w:tc>
          <w:tcPr>
            <w:tcW w:w="0" w:type="auto"/>
            <w:shd w:val="clear" w:color="auto" w:fill="CCEEFF"/>
            <w:tcMar>
              <w:top w:w="40" w:type="dxa"/>
              <w:left w:w="0" w:type="dxa"/>
              <w:bottom w:w="40" w:type="dxa"/>
              <w:right w:w="20" w:type="dxa"/>
            </w:tcMar>
            <w:vAlign w:val="bottom"/>
          </w:tcPr>
          <w:p w14:paraId="74DE06AB" w14:textId="77777777" w:rsidR="00584EC1" w:rsidRDefault="00584EC1">
            <w:pPr>
              <w:jc w:val="right"/>
              <w:rPr>
                <w:rFonts w:ascii="宋体"/>
              </w:rPr>
            </w:pPr>
          </w:p>
        </w:tc>
        <w:tc>
          <w:tcPr>
            <w:tcW w:w="0" w:type="auto"/>
            <w:shd w:val="clear" w:color="auto" w:fill="auto"/>
            <w:vAlign w:val="bottom"/>
          </w:tcPr>
          <w:p w14:paraId="74DE06AC" w14:textId="77777777" w:rsidR="00584EC1" w:rsidRDefault="00584EC1">
            <w:pPr>
              <w:rPr>
                <w:rFonts w:ascii="宋体"/>
                <w:vanish/>
              </w:rPr>
            </w:pPr>
          </w:p>
        </w:tc>
        <w:tc>
          <w:tcPr>
            <w:tcW w:w="0" w:type="auto"/>
            <w:shd w:val="clear" w:color="auto" w:fill="auto"/>
            <w:vAlign w:val="bottom"/>
          </w:tcPr>
          <w:p w14:paraId="74DE06AD" w14:textId="77777777" w:rsidR="00584EC1" w:rsidRDefault="00584EC1">
            <w:pPr>
              <w:rPr>
                <w:rFonts w:ascii="宋体"/>
                <w:vanish/>
              </w:rPr>
            </w:pPr>
          </w:p>
        </w:tc>
        <w:tc>
          <w:tcPr>
            <w:tcW w:w="0" w:type="auto"/>
            <w:shd w:val="clear" w:color="auto" w:fill="auto"/>
            <w:vAlign w:val="bottom"/>
          </w:tcPr>
          <w:p w14:paraId="74DE06AE" w14:textId="77777777" w:rsidR="00584EC1" w:rsidRDefault="00584EC1">
            <w:pPr>
              <w:rPr>
                <w:rFonts w:ascii="宋体"/>
                <w:vanish/>
              </w:rPr>
            </w:pPr>
          </w:p>
        </w:tc>
        <w:tc>
          <w:tcPr>
            <w:tcW w:w="0" w:type="auto"/>
            <w:shd w:val="clear" w:color="auto" w:fill="auto"/>
            <w:vAlign w:val="bottom"/>
          </w:tcPr>
          <w:p w14:paraId="74DE06AF" w14:textId="77777777" w:rsidR="00584EC1" w:rsidRDefault="00584EC1">
            <w:pPr>
              <w:rPr>
                <w:rFonts w:ascii="宋体"/>
                <w:vanish/>
              </w:rPr>
            </w:pPr>
          </w:p>
        </w:tc>
      </w:tr>
      <w:tr w:rsidR="00584EC1" w14:paraId="74DE06BB" w14:textId="77777777">
        <w:tc>
          <w:tcPr>
            <w:tcW w:w="0" w:type="auto"/>
            <w:gridSpan w:val="3"/>
            <w:shd w:val="clear" w:color="auto" w:fill="FFFFFF"/>
            <w:tcMar>
              <w:top w:w="40" w:type="dxa"/>
              <w:left w:w="20" w:type="dxa"/>
              <w:bottom w:w="40" w:type="dxa"/>
              <w:right w:w="20" w:type="dxa"/>
            </w:tcMar>
            <w:vAlign w:val="bottom"/>
          </w:tcPr>
          <w:p w14:paraId="74DE06B1" w14:textId="77777777" w:rsidR="00584EC1" w:rsidRDefault="00871F8D">
            <w:pPr>
              <w:textAlignment w:val="bottom"/>
            </w:pPr>
            <w:r>
              <w:rPr>
                <w:rFonts w:ascii="Arial" w:eastAsia="宋体" w:hAnsi="Arial" w:cs="Arial"/>
                <w:color w:val="000000"/>
                <w:sz w:val="13"/>
                <w:szCs w:val="13"/>
              </w:rPr>
              <w:t>Net unrealized (losses) on retirement plans</w:t>
            </w:r>
          </w:p>
        </w:tc>
        <w:tc>
          <w:tcPr>
            <w:tcW w:w="0" w:type="auto"/>
            <w:gridSpan w:val="2"/>
            <w:shd w:val="clear" w:color="auto" w:fill="FFFFFF"/>
            <w:tcMar>
              <w:top w:w="40" w:type="dxa"/>
              <w:left w:w="20" w:type="dxa"/>
              <w:bottom w:w="40" w:type="dxa"/>
              <w:right w:w="0" w:type="dxa"/>
            </w:tcMar>
            <w:vAlign w:val="bottom"/>
          </w:tcPr>
          <w:p w14:paraId="74DE06B2" w14:textId="77777777" w:rsidR="00584EC1" w:rsidRDefault="00871F8D">
            <w:pPr>
              <w:jc w:val="right"/>
              <w:textAlignment w:val="bottom"/>
            </w:pPr>
            <w:r>
              <w:rPr>
                <w:rFonts w:ascii="Arial" w:eastAsia="宋体" w:hAnsi="Arial" w:cs="Arial"/>
                <w:b/>
                <w:bCs/>
                <w:color w:val="000000"/>
                <w:sz w:val="13"/>
                <w:szCs w:val="13"/>
              </w:rPr>
              <w:t>(166)</w:t>
            </w:r>
          </w:p>
        </w:tc>
        <w:tc>
          <w:tcPr>
            <w:tcW w:w="0" w:type="auto"/>
            <w:shd w:val="clear" w:color="auto" w:fill="FFFFFF"/>
            <w:tcMar>
              <w:top w:w="40" w:type="dxa"/>
              <w:left w:w="0" w:type="dxa"/>
              <w:bottom w:w="40" w:type="dxa"/>
              <w:right w:w="20" w:type="dxa"/>
            </w:tcMar>
            <w:vAlign w:val="bottom"/>
          </w:tcPr>
          <w:p w14:paraId="74DE06B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6B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6B5" w14:textId="77777777" w:rsidR="00584EC1" w:rsidRDefault="00871F8D">
            <w:pPr>
              <w:jc w:val="right"/>
              <w:textAlignment w:val="bottom"/>
            </w:pPr>
            <w:r>
              <w:rPr>
                <w:rFonts w:ascii="Arial" w:eastAsia="宋体" w:hAnsi="Arial" w:cs="Arial"/>
                <w:color w:val="000000"/>
                <w:sz w:val="13"/>
                <w:szCs w:val="13"/>
              </w:rPr>
              <w:t>(172)</w:t>
            </w:r>
          </w:p>
        </w:tc>
        <w:tc>
          <w:tcPr>
            <w:tcW w:w="0" w:type="auto"/>
            <w:shd w:val="clear" w:color="auto" w:fill="FFFFFF"/>
            <w:tcMar>
              <w:top w:w="40" w:type="dxa"/>
              <w:left w:w="0" w:type="dxa"/>
              <w:bottom w:w="40" w:type="dxa"/>
              <w:right w:w="20" w:type="dxa"/>
            </w:tcMar>
            <w:vAlign w:val="bottom"/>
          </w:tcPr>
          <w:p w14:paraId="74DE06B6" w14:textId="77777777" w:rsidR="00584EC1" w:rsidRDefault="00584EC1">
            <w:pPr>
              <w:jc w:val="right"/>
              <w:rPr>
                <w:rFonts w:ascii="宋体"/>
              </w:rPr>
            </w:pPr>
          </w:p>
        </w:tc>
        <w:tc>
          <w:tcPr>
            <w:tcW w:w="0" w:type="auto"/>
            <w:shd w:val="clear" w:color="auto" w:fill="auto"/>
            <w:vAlign w:val="bottom"/>
          </w:tcPr>
          <w:p w14:paraId="74DE06B7" w14:textId="77777777" w:rsidR="00584EC1" w:rsidRDefault="00584EC1">
            <w:pPr>
              <w:rPr>
                <w:rFonts w:ascii="宋体"/>
                <w:vanish/>
              </w:rPr>
            </w:pPr>
          </w:p>
        </w:tc>
        <w:tc>
          <w:tcPr>
            <w:tcW w:w="0" w:type="auto"/>
            <w:shd w:val="clear" w:color="auto" w:fill="auto"/>
            <w:vAlign w:val="bottom"/>
          </w:tcPr>
          <w:p w14:paraId="74DE06B8" w14:textId="77777777" w:rsidR="00584EC1" w:rsidRDefault="00584EC1">
            <w:pPr>
              <w:rPr>
                <w:rFonts w:ascii="宋体"/>
                <w:vanish/>
              </w:rPr>
            </w:pPr>
          </w:p>
        </w:tc>
        <w:tc>
          <w:tcPr>
            <w:tcW w:w="0" w:type="auto"/>
            <w:shd w:val="clear" w:color="auto" w:fill="auto"/>
            <w:vAlign w:val="bottom"/>
          </w:tcPr>
          <w:p w14:paraId="74DE06B9" w14:textId="77777777" w:rsidR="00584EC1" w:rsidRDefault="00584EC1">
            <w:pPr>
              <w:rPr>
                <w:rFonts w:ascii="宋体"/>
                <w:vanish/>
              </w:rPr>
            </w:pPr>
          </w:p>
        </w:tc>
        <w:tc>
          <w:tcPr>
            <w:tcW w:w="0" w:type="auto"/>
            <w:shd w:val="clear" w:color="auto" w:fill="auto"/>
            <w:vAlign w:val="bottom"/>
          </w:tcPr>
          <w:p w14:paraId="74DE06BA" w14:textId="77777777" w:rsidR="00584EC1" w:rsidRDefault="00584EC1">
            <w:pPr>
              <w:rPr>
                <w:rFonts w:ascii="宋体"/>
                <w:vanish/>
              </w:rPr>
            </w:pPr>
          </w:p>
        </w:tc>
      </w:tr>
      <w:tr w:rsidR="00584EC1" w14:paraId="74DE06C6" w14:textId="77777777">
        <w:tc>
          <w:tcPr>
            <w:tcW w:w="0" w:type="auto"/>
            <w:gridSpan w:val="3"/>
            <w:shd w:val="clear" w:color="auto" w:fill="CCEEFF"/>
            <w:tcMar>
              <w:top w:w="40" w:type="dxa"/>
              <w:left w:w="20" w:type="dxa"/>
              <w:bottom w:w="40" w:type="dxa"/>
              <w:right w:w="20" w:type="dxa"/>
            </w:tcMar>
            <w:vAlign w:val="bottom"/>
          </w:tcPr>
          <w:p w14:paraId="74DE06BC" w14:textId="77777777" w:rsidR="00584EC1" w:rsidRDefault="00871F8D">
            <w:pPr>
              <w:textAlignment w:val="bottom"/>
            </w:pPr>
            <w:r>
              <w:rPr>
                <w:rFonts w:ascii="Arial" w:eastAsia="宋体" w:hAnsi="Arial" w:cs="Arial"/>
                <w:color w:val="000000"/>
                <w:sz w:val="13"/>
                <w:szCs w:val="13"/>
              </w:rPr>
              <w:t>Foreign currency translation</w:t>
            </w:r>
          </w:p>
        </w:tc>
        <w:tc>
          <w:tcPr>
            <w:tcW w:w="0" w:type="auto"/>
            <w:gridSpan w:val="2"/>
            <w:shd w:val="clear" w:color="auto" w:fill="CCEEFF"/>
            <w:tcMar>
              <w:top w:w="40" w:type="dxa"/>
              <w:left w:w="20" w:type="dxa"/>
              <w:bottom w:w="40" w:type="dxa"/>
              <w:right w:w="0" w:type="dxa"/>
            </w:tcMar>
            <w:vAlign w:val="bottom"/>
          </w:tcPr>
          <w:p w14:paraId="74DE06BD" w14:textId="77777777" w:rsidR="00584EC1" w:rsidRDefault="00871F8D">
            <w:pPr>
              <w:jc w:val="right"/>
              <w:textAlignment w:val="bottom"/>
            </w:pPr>
            <w:r>
              <w:rPr>
                <w:rFonts w:ascii="Arial" w:eastAsia="宋体" w:hAnsi="Arial" w:cs="Arial"/>
                <w:b/>
                <w:bCs/>
                <w:color w:val="000000"/>
                <w:sz w:val="13"/>
                <w:szCs w:val="13"/>
              </w:rPr>
              <w:t>(863)</w:t>
            </w:r>
          </w:p>
        </w:tc>
        <w:tc>
          <w:tcPr>
            <w:tcW w:w="0" w:type="auto"/>
            <w:shd w:val="clear" w:color="auto" w:fill="CCEEFF"/>
            <w:tcMar>
              <w:top w:w="40" w:type="dxa"/>
              <w:left w:w="0" w:type="dxa"/>
              <w:bottom w:w="40" w:type="dxa"/>
              <w:right w:w="20" w:type="dxa"/>
            </w:tcMar>
            <w:vAlign w:val="bottom"/>
          </w:tcPr>
          <w:p w14:paraId="74DE06B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6BF"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6C0" w14:textId="77777777" w:rsidR="00584EC1" w:rsidRDefault="00871F8D">
            <w:pPr>
              <w:jc w:val="right"/>
              <w:textAlignment w:val="bottom"/>
            </w:pPr>
            <w:r>
              <w:rPr>
                <w:rFonts w:ascii="Arial" w:eastAsia="宋体" w:hAnsi="Arial" w:cs="Arial"/>
                <w:color w:val="000000"/>
                <w:sz w:val="13"/>
                <w:szCs w:val="13"/>
              </w:rPr>
              <w:t>(837)</w:t>
            </w:r>
          </w:p>
        </w:tc>
        <w:tc>
          <w:tcPr>
            <w:tcW w:w="0" w:type="auto"/>
            <w:shd w:val="clear" w:color="auto" w:fill="CCEEFF"/>
            <w:tcMar>
              <w:top w:w="40" w:type="dxa"/>
              <w:left w:w="0" w:type="dxa"/>
              <w:bottom w:w="40" w:type="dxa"/>
              <w:right w:w="20" w:type="dxa"/>
            </w:tcMar>
            <w:vAlign w:val="bottom"/>
          </w:tcPr>
          <w:p w14:paraId="74DE06C1" w14:textId="77777777" w:rsidR="00584EC1" w:rsidRDefault="00584EC1">
            <w:pPr>
              <w:jc w:val="right"/>
              <w:rPr>
                <w:rFonts w:ascii="宋体"/>
              </w:rPr>
            </w:pPr>
          </w:p>
        </w:tc>
        <w:tc>
          <w:tcPr>
            <w:tcW w:w="0" w:type="auto"/>
            <w:shd w:val="clear" w:color="auto" w:fill="auto"/>
            <w:vAlign w:val="bottom"/>
          </w:tcPr>
          <w:p w14:paraId="74DE06C2" w14:textId="77777777" w:rsidR="00584EC1" w:rsidRDefault="00584EC1">
            <w:pPr>
              <w:rPr>
                <w:rFonts w:ascii="宋体"/>
                <w:vanish/>
              </w:rPr>
            </w:pPr>
          </w:p>
        </w:tc>
        <w:tc>
          <w:tcPr>
            <w:tcW w:w="0" w:type="auto"/>
            <w:shd w:val="clear" w:color="auto" w:fill="auto"/>
            <w:vAlign w:val="bottom"/>
          </w:tcPr>
          <w:p w14:paraId="74DE06C3" w14:textId="77777777" w:rsidR="00584EC1" w:rsidRDefault="00584EC1">
            <w:pPr>
              <w:rPr>
                <w:rFonts w:ascii="宋体"/>
                <w:vanish/>
              </w:rPr>
            </w:pPr>
          </w:p>
        </w:tc>
        <w:tc>
          <w:tcPr>
            <w:tcW w:w="0" w:type="auto"/>
            <w:shd w:val="clear" w:color="auto" w:fill="auto"/>
            <w:vAlign w:val="bottom"/>
          </w:tcPr>
          <w:p w14:paraId="74DE06C4" w14:textId="77777777" w:rsidR="00584EC1" w:rsidRDefault="00584EC1">
            <w:pPr>
              <w:rPr>
                <w:rFonts w:ascii="宋体"/>
                <w:vanish/>
              </w:rPr>
            </w:pPr>
          </w:p>
        </w:tc>
        <w:tc>
          <w:tcPr>
            <w:tcW w:w="0" w:type="auto"/>
            <w:shd w:val="clear" w:color="auto" w:fill="auto"/>
            <w:vAlign w:val="bottom"/>
          </w:tcPr>
          <w:p w14:paraId="74DE06C5" w14:textId="77777777" w:rsidR="00584EC1" w:rsidRDefault="00584EC1">
            <w:pPr>
              <w:rPr>
                <w:rFonts w:ascii="宋体"/>
                <w:vanish/>
              </w:rPr>
            </w:pPr>
          </w:p>
        </w:tc>
      </w:tr>
      <w:tr w:rsidR="00584EC1" w14:paraId="74DE06D3" w14:textId="77777777">
        <w:tc>
          <w:tcPr>
            <w:tcW w:w="0" w:type="auto"/>
            <w:gridSpan w:val="3"/>
            <w:shd w:val="clear" w:color="auto" w:fill="FFFFFF"/>
            <w:tcMar>
              <w:top w:w="40" w:type="dxa"/>
              <w:left w:w="20" w:type="dxa"/>
              <w:bottom w:w="40" w:type="dxa"/>
              <w:right w:w="20" w:type="dxa"/>
            </w:tcMar>
            <w:vAlign w:val="bottom"/>
          </w:tcPr>
          <w:p w14:paraId="74DE06C7" w14:textId="77777777" w:rsidR="00584EC1" w:rsidRDefault="00871F8D">
            <w:pPr>
              <w:textAlignment w:val="bottom"/>
            </w:pPr>
            <w:r>
              <w:rPr>
                <w:rFonts w:ascii="Arial" w:eastAsia="宋体" w:hAnsi="Arial" w:cs="Arial"/>
                <w:color w:val="000000"/>
                <w:sz w:val="13"/>
                <w:szCs w:val="13"/>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E06C8" w14:textId="77777777" w:rsidR="00584EC1" w:rsidRDefault="00871F8D">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E06C9" w14:textId="77777777" w:rsidR="00584EC1" w:rsidRDefault="00871F8D">
            <w:pPr>
              <w:jc w:val="right"/>
              <w:textAlignment w:val="bottom"/>
            </w:pPr>
            <w:r>
              <w:rPr>
                <w:rFonts w:ascii="Arial" w:eastAsia="宋体" w:hAnsi="Arial" w:cs="Arial"/>
                <w:b/>
                <w:bCs/>
                <w:color w:val="000000"/>
                <w:sz w:val="13"/>
                <w:szCs w:val="13"/>
              </w:rPr>
              <w:t>(682)</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E06C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6CB"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E06CC" w14:textId="77777777" w:rsidR="00584EC1" w:rsidRDefault="00871F8D">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E06CD" w14:textId="77777777" w:rsidR="00584EC1" w:rsidRDefault="00871F8D">
            <w:pPr>
              <w:jc w:val="right"/>
              <w:textAlignment w:val="bottom"/>
            </w:pPr>
            <w:r>
              <w:rPr>
                <w:rFonts w:ascii="Arial" w:eastAsia="宋体" w:hAnsi="Arial" w:cs="Arial"/>
                <w:color w:val="000000"/>
                <w:sz w:val="13"/>
                <w:szCs w:val="13"/>
              </w:rPr>
              <w:t>(111)</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E06CE" w14:textId="77777777" w:rsidR="00584EC1" w:rsidRDefault="00584EC1">
            <w:pPr>
              <w:jc w:val="right"/>
              <w:rPr>
                <w:rFonts w:ascii="宋体"/>
              </w:rPr>
            </w:pPr>
          </w:p>
        </w:tc>
        <w:tc>
          <w:tcPr>
            <w:tcW w:w="0" w:type="auto"/>
            <w:shd w:val="clear" w:color="auto" w:fill="auto"/>
            <w:vAlign w:val="bottom"/>
          </w:tcPr>
          <w:p w14:paraId="74DE06CF" w14:textId="77777777" w:rsidR="00584EC1" w:rsidRDefault="00584EC1">
            <w:pPr>
              <w:rPr>
                <w:rFonts w:ascii="宋体"/>
                <w:vanish/>
              </w:rPr>
            </w:pPr>
          </w:p>
        </w:tc>
        <w:tc>
          <w:tcPr>
            <w:tcW w:w="0" w:type="auto"/>
            <w:shd w:val="clear" w:color="auto" w:fill="auto"/>
            <w:vAlign w:val="bottom"/>
          </w:tcPr>
          <w:p w14:paraId="74DE06D0" w14:textId="77777777" w:rsidR="00584EC1" w:rsidRDefault="00584EC1">
            <w:pPr>
              <w:rPr>
                <w:rFonts w:ascii="宋体"/>
                <w:vanish/>
              </w:rPr>
            </w:pPr>
          </w:p>
        </w:tc>
        <w:tc>
          <w:tcPr>
            <w:tcW w:w="0" w:type="auto"/>
            <w:shd w:val="clear" w:color="auto" w:fill="auto"/>
            <w:vAlign w:val="bottom"/>
          </w:tcPr>
          <w:p w14:paraId="74DE06D1" w14:textId="77777777" w:rsidR="00584EC1" w:rsidRDefault="00584EC1">
            <w:pPr>
              <w:rPr>
                <w:rFonts w:ascii="宋体"/>
                <w:vanish/>
              </w:rPr>
            </w:pPr>
          </w:p>
        </w:tc>
        <w:tc>
          <w:tcPr>
            <w:tcW w:w="0" w:type="auto"/>
            <w:shd w:val="clear" w:color="auto" w:fill="auto"/>
            <w:vAlign w:val="bottom"/>
          </w:tcPr>
          <w:p w14:paraId="74DE06D2" w14:textId="77777777" w:rsidR="00584EC1" w:rsidRDefault="00584EC1">
            <w:pPr>
              <w:rPr>
                <w:rFonts w:ascii="宋体"/>
                <w:vanish/>
              </w:rPr>
            </w:pPr>
          </w:p>
        </w:tc>
      </w:tr>
    </w:tbl>
    <w:p w14:paraId="74DE06D4" w14:textId="77777777" w:rsidR="00584EC1" w:rsidRDefault="00871F8D">
      <w:pPr>
        <w:spacing w:before="60"/>
        <w:ind w:firstLine="450"/>
      </w:pPr>
      <w:r>
        <w:rPr>
          <w:rFonts w:ascii="Arial" w:eastAsia="宋体" w:hAnsi="Arial" w:cs="Arial"/>
          <w:color w:val="000000"/>
          <w:sz w:val="20"/>
          <w:szCs w:val="20"/>
        </w:rPr>
        <w:t>The following table presents changes in AOCI by component, net of related taxes,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1379"/>
        <w:gridCol w:w="38"/>
        <w:gridCol w:w="94"/>
        <w:gridCol w:w="628"/>
        <w:gridCol w:w="36"/>
        <w:gridCol w:w="36"/>
        <w:gridCol w:w="36"/>
        <w:gridCol w:w="36"/>
        <w:gridCol w:w="113"/>
        <w:gridCol w:w="1015"/>
        <w:gridCol w:w="36"/>
        <w:gridCol w:w="36"/>
        <w:gridCol w:w="36"/>
        <w:gridCol w:w="36"/>
        <w:gridCol w:w="94"/>
        <w:gridCol w:w="746"/>
        <w:gridCol w:w="36"/>
        <w:gridCol w:w="36"/>
        <w:gridCol w:w="36"/>
        <w:gridCol w:w="36"/>
        <w:gridCol w:w="133"/>
        <w:gridCol w:w="1310"/>
        <w:gridCol w:w="36"/>
        <w:gridCol w:w="36"/>
        <w:gridCol w:w="36"/>
        <w:gridCol w:w="36"/>
        <w:gridCol w:w="94"/>
        <w:gridCol w:w="623"/>
        <w:gridCol w:w="36"/>
        <w:gridCol w:w="36"/>
        <w:gridCol w:w="36"/>
        <w:gridCol w:w="36"/>
        <w:gridCol w:w="94"/>
        <w:gridCol w:w="639"/>
        <w:gridCol w:w="36"/>
        <w:gridCol w:w="36"/>
        <w:gridCol w:w="36"/>
        <w:gridCol w:w="36"/>
        <w:gridCol w:w="93"/>
        <w:gridCol w:w="304"/>
        <w:gridCol w:w="36"/>
      </w:tblGrid>
      <w:tr w:rsidR="00584EC1" w14:paraId="74DE06FF" w14:textId="77777777">
        <w:tc>
          <w:tcPr>
            <w:tcW w:w="50" w:type="pct"/>
            <w:shd w:val="clear" w:color="auto" w:fill="auto"/>
            <w:vAlign w:val="bottom"/>
          </w:tcPr>
          <w:p w14:paraId="74DE06D5" w14:textId="77777777" w:rsidR="00584EC1" w:rsidRDefault="00584EC1">
            <w:pPr>
              <w:rPr>
                <w:rFonts w:ascii="宋体"/>
              </w:rPr>
            </w:pPr>
          </w:p>
        </w:tc>
        <w:tc>
          <w:tcPr>
            <w:tcW w:w="1319" w:type="pct"/>
            <w:shd w:val="clear" w:color="auto" w:fill="auto"/>
            <w:vAlign w:val="bottom"/>
          </w:tcPr>
          <w:p w14:paraId="74DE06D6" w14:textId="77777777" w:rsidR="00584EC1" w:rsidRDefault="00584EC1">
            <w:pPr>
              <w:rPr>
                <w:rFonts w:ascii="宋体"/>
              </w:rPr>
            </w:pPr>
          </w:p>
        </w:tc>
        <w:tc>
          <w:tcPr>
            <w:tcW w:w="5" w:type="pct"/>
            <w:shd w:val="clear" w:color="auto" w:fill="auto"/>
            <w:vAlign w:val="bottom"/>
          </w:tcPr>
          <w:p w14:paraId="74DE06D7" w14:textId="77777777" w:rsidR="00584EC1" w:rsidRDefault="00584EC1">
            <w:pPr>
              <w:rPr>
                <w:rFonts w:ascii="宋体"/>
              </w:rPr>
            </w:pPr>
          </w:p>
        </w:tc>
        <w:tc>
          <w:tcPr>
            <w:tcW w:w="50" w:type="pct"/>
            <w:shd w:val="clear" w:color="auto" w:fill="auto"/>
            <w:vAlign w:val="bottom"/>
          </w:tcPr>
          <w:p w14:paraId="74DE06D8" w14:textId="77777777" w:rsidR="00584EC1" w:rsidRDefault="00584EC1">
            <w:pPr>
              <w:rPr>
                <w:rFonts w:ascii="宋体"/>
              </w:rPr>
            </w:pPr>
          </w:p>
        </w:tc>
        <w:tc>
          <w:tcPr>
            <w:tcW w:w="493" w:type="pct"/>
            <w:shd w:val="clear" w:color="auto" w:fill="auto"/>
            <w:vAlign w:val="bottom"/>
          </w:tcPr>
          <w:p w14:paraId="74DE06D9" w14:textId="77777777" w:rsidR="00584EC1" w:rsidRDefault="00584EC1">
            <w:pPr>
              <w:rPr>
                <w:rFonts w:ascii="宋体"/>
              </w:rPr>
            </w:pPr>
          </w:p>
        </w:tc>
        <w:tc>
          <w:tcPr>
            <w:tcW w:w="5" w:type="pct"/>
            <w:shd w:val="clear" w:color="auto" w:fill="auto"/>
            <w:vAlign w:val="bottom"/>
          </w:tcPr>
          <w:p w14:paraId="74DE06DA" w14:textId="77777777" w:rsidR="00584EC1" w:rsidRDefault="00584EC1">
            <w:pPr>
              <w:rPr>
                <w:rFonts w:ascii="宋体"/>
              </w:rPr>
            </w:pPr>
          </w:p>
        </w:tc>
        <w:tc>
          <w:tcPr>
            <w:tcW w:w="5" w:type="pct"/>
            <w:shd w:val="clear" w:color="auto" w:fill="auto"/>
            <w:vAlign w:val="bottom"/>
          </w:tcPr>
          <w:p w14:paraId="74DE06DB" w14:textId="77777777" w:rsidR="00584EC1" w:rsidRDefault="00584EC1">
            <w:pPr>
              <w:rPr>
                <w:rFonts w:ascii="宋体"/>
              </w:rPr>
            </w:pPr>
          </w:p>
        </w:tc>
        <w:tc>
          <w:tcPr>
            <w:tcW w:w="19" w:type="pct"/>
            <w:shd w:val="clear" w:color="auto" w:fill="auto"/>
            <w:vAlign w:val="bottom"/>
          </w:tcPr>
          <w:p w14:paraId="74DE06DC" w14:textId="77777777" w:rsidR="00584EC1" w:rsidRDefault="00584EC1">
            <w:pPr>
              <w:rPr>
                <w:rFonts w:ascii="宋体"/>
              </w:rPr>
            </w:pPr>
          </w:p>
        </w:tc>
        <w:tc>
          <w:tcPr>
            <w:tcW w:w="5" w:type="pct"/>
            <w:shd w:val="clear" w:color="auto" w:fill="auto"/>
            <w:vAlign w:val="bottom"/>
          </w:tcPr>
          <w:p w14:paraId="74DE06DD" w14:textId="77777777" w:rsidR="00584EC1" w:rsidRDefault="00584EC1">
            <w:pPr>
              <w:rPr>
                <w:rFonts w:ascii="宋体"/>
              </w:rPr>
            </w:pPr>
          </w:p>
        </w:tc>
        <w:tc>
          <w:tcPr>
            <w:tcW w:w="50" w:type="pct"/>
            <w:shd w:val="clear" w:color="auto" w:fill="auto"/>
            <w:vAlign w:val="bottom"/>
          </w:tcPr>
          <w:p w14:paraId="74DE06DE" w14:textId="77777777" w:rsidR="00584EC1" w:rsidRDefault="00584EC1">
            <w:pPr>
              <w:rPr>
                <w:rFonts w:ascii="宋体"/>
              </w:rPr>
            </w:pPr>
          </w:p>
        </w:tc>
        <w:tc>
          <w:tcPr>
            <w:tcW w:w="449" w:type="pct"/>
            <w:shd w:val="clear" w:color="auto" w:fill="auto"/>
            <w:vAlign w:val="bottom"/>
          </w:tcPr>
          <w:p w14:paraId="74DE06DF" w14:textId="77777777" w:rsidR="00584EC1" w:rsidRDefault="00584EC1">
            <w:pPr>
              <w:rPr>
                <w:rFonts w:ascii="宋体"/>
              </w:rPr>
            </w:pPr>
          </w:p>
        </w:tc>
        <w:tc>
          <w:tcPr>
            <w:tcW w:w="5" w:type="pct"/>
            <w:shd w:val="clear" w:color="auto" w:fill="auto"/>
            <w:vAlign w:val="bottom"/>
          </w:tcPr>
          <w:p w14:paraId="74DE06E0" w14:textId="77777777" w:rsidR="00584EC1" w:rsidRDefault="00584EC1">
            <w:pPr>
              <w:rPr>
                <w:rFonts w:ascii="宋体"/>
              </w:rPr>
            </w:pPr>
          </w:p>
        </w:tc>
        <w:tc>
          <w:tcPr>
            <w:tcW w:w="5" w:type="pct"/>
            <w:shd w:val="clear" w:color="auto" w:fill="auto"/>
            <w:vAlign w:val="bottom"/>
          </w:tcPr>
          <w:p w14:paraId="74DE06E1" w14:textId="77777777" w:rsidR="00584EC1" w:rsidRDefault="00584EC1">
            <w:pPr>
              <w:rPr>
                <w:rFonts w:ascii="宋体"/>
              </w:rPr>
            </w:pPr>
          </w:p>
        </w:tc>
        <w:tc>
          <w:tcPr>
            <w:tcW w:w="19" w:type="pct"/>
            <w:shd w:val="clear" w:color="auto" w:fill="auto"/>
            <w:vAlign w:val="bottom"/>
          </w:tcPr>
          <w:p w14:paraId="74DE06E2" w14:textId="77777777" w:rsidR="00584EC1" w:rsidRDefault="00584EC1">
            <w:pPr>
              <w:rPr>
                <w:rFonts w:ascii="宋体"/>
              </w:rPr>
            </w:pPr>
          </w:p>
        </w:tc>
        <w:tc>
          <w:tcPr>
            <w:tcW w:w="5" w:type="pct"/>
            <w:shd w:val="clear" w:color="auto" w:fill="auto"/>
            <w:vAlign w:val="bottom"/>
          </w:tcPr>
          <w:p w14:paraId="74DE06E3" w14:textId="77777777" w:rsidR="00584EC1" w:rsidRDefault="00584EC1">
            <w:pPr>
              <w:rPr>
                <w:rFonts w:ascii="宋体"/>
              </w:rPr>
            </w:pPr>
          </w:p>
        </w:tc>
        <w:tc>
          <w:tcPr>
            <w:tcW w:w="50" w:type="pct"/>
            <w:shd w:val="clear" w:color="auto" w:fill="auto"/>
            <w:vAlign w:val="bottom"/>
          </w:tcPr>
          <w:p w14:paraId="74DE06E4" w14:textId="77777777" w:rsidR="00584EC1" w:rsidRDefault="00584EC1">
            <w:pPr>
              <w:rPr>
                <w:rFonts w:ascii="宋体"/>
              </w:rPr>
            </w:pPr>
          </w:p>
        </w:tc>
        <w:tc>
          <w:tcPr>
            <w:tcW w:w="610" w:type="pct"/>
            <w:shd w:val="clear" w:color="auto" w:fill="auto"/>
            <w:vAlign w:val="bottom"/>
          </w:tcPr>
          <w:p w14:paraId="74DE06E5" w14:textId="77777777" w:rsidR="00584EC1" w:rsidRDefault="00584EC1">
            <w:pPr>
              <w:rPr>
                <w:rFonts w:ascii="宋体"/>
              </w:rPr>
            </w:pPr>
          </w:p>
        </w:tc>
        <w:tc>
          <w:tcPr>
            <w:tcW w:w="5" w:type="pct"/>
            <w:shd w:val="clear" w:color="auto" w:fill="auto"/>
            <w:vAlign w:val="bottom"/>
          </w:tcPr>
          <w:p w14:paraId="74DE06E6" w14:textId="77777777" w:rsidR="00584EC1" w:rsidRDefault="00584EC1">
            <w:pPr>
              <w:rPr>
                <w:rFonts w:ascii="宋体"/>
              </w:rPr>
            </w:pPr>
          </w:p>
        </w:tc>
        <w:tc>
          <w:tcPr>
            <w:tcW w:w="5" w:type="pct"/>
            <w:shd w:val="clear" w:color="auto" w:fill="auto"/>
            <w:vAlign w:val="bottom"/>
          </w:tcPr>
          <w:p w14:paraId="74DE06E7" w14:textId="77777777" w:rsidR="00584EC1" w:rsidRDefault="00584EC1">
            <w:pPr>
              <w:rPr>
                <w:rFonts w:ascii="宋体"/>
              </w:rPr>
            </w:pPr>
          </w:p>
        </w:tc>
        <w:tc>
          <w:tcPr>
            <w:tcW w:w="19" w:type="pct"/>
            <w:shd w:val="clear" w:color="auto" w:fill="auto"/>
            <w:vAlign w:val="bottom"/>
          </w:tcPr>
          <w:p w14:paraId="74DE06E8" w14:textId="77777777" w:rsidR="00584EC1" w:rsidRDefault="00584EC1">
            <w:pPr>
              <w:rPr>
                <w:rFonts w:ascii="宋体"/>
              </w:rPr>
            </w:pPr>
          </w:p>
        </w:tc>
        <w:tc>
          <w:tcPr>
            <w:tcW w:w="5" w:type="pct"/>
            <w:shd w:val="clear" w:color="auto" w:fill="auto"/>
            <w:vAlign w:val="bottom"/>
          </w:tcPr>
          <w:p w14:paraId="74DE06E9" w14:textId="77777777" w:rsidR="00584EC1" w:rsidRDefault="00584EC1">
            <w:pPr>
              <w:rPr>
                <w:rFonts w:ascii="宋体"/>
              </w:rPr>
            </w:pPr>
          </w:p>
        </w:tc>
        <w:tc>
          <w:tcPr>
            <w:tcW w:w="50" w:type="pct"/>
            <w:shd w:val="clear" w:color="auto" w:fill="auto"/>
            <w:vAlign w:val="bottom"/>
          </w:tcPr>
          <w:p w14:paraId="74DE06EA" w14:textId="77777777" w:rsidR="00584EC1" w:rsidRDefault="00584EC1">
            <w:pPr>
              <w:rPr>
                <w:rFonts w:ascii="宋体"/>
              </w:rPr>
            </w:pPr>
          </w:p>
        </w:tc>
        <w:tc>
          <w:tcPr>
            <w:tcW w:w="493" w:type="pct"/>
            <w:shd w:val="clear" w:color="auto" w:fill="auto"/>
            <w:vAlign w:val="bottom"/>
          </w:tcPr>
          <w:p w14:paraId="74DE06EB" w14:textId="77777777" w:rsidR="00584EC1" w:rsidRDefault="00584EC1">
            <w:pPr>
              <w:rPr>
                <w:rFonts w:ascii="宋体"/>
              </w:rPr>
            </w:pPr>
          </w:p>
        </w:tc>
        <w:tc>
          <w:tcPr>
            <w:tcW w:w="5" w:type="pct"/>
            <w:shd w:val="clear" w:color="auto" w:fill="auto"/>
            <w:vAlign w:val="bottom"/>
          </w:tcPr>
          <w:p w14:paraId="74DE06EC" w14:textId="77777777" w:rsidR="00584EC1" w:rsidRDefault="00584EC1">
            <w:pPr>
              <w:rPr>
                <w:rFonts w:ascii="宋体"/>
              </w:rPr>
            </w:pPr>
          </w:p>
        </w:tc>
        <w:tc>
          <w:tcPr>
            <w:tcW w:w="5" w:type="pct"/>
            <w:shd w:val="clear" w:color="auto" w:fill="auto"/>
            <w:vAlign w:val="bottom"/>
          </w:tcPr>
          <w:p w14:paraId="74DE06ED" w14:textId="77777777" w:rsidR="00584EC1" w:rsidRDefault="00584EC1">
            <w:pPr>
              <w:rPr>
                <w:rFonts w:ascii="宋体"/>
              </w:rPr>
            </w:pPr>
          </w:p>
        </w:tc>
        <w:tc>
          <w:tcPr>
            <w:tcW w:w="19" w:type="pct"/>
            <w:shd w:val="clear" w:color="auto" w:fill="auto"/>
            <w:vAlign w:val="bottom"/>
          </w:tcPr>
          <w:p w14:paraId="74DE06EE" w14:textId="77777777" w:rsidR="00584EC1" w:rsidRDefault="00584EC1">
            <w:pPr>
              <w:rPr>
                <w:rFonts w:ascii="宋体"/>
              </w:rPr>
            </w:pPr>
          </w:p>
        </w:tc>
        <w:tc>
          <w:tcPr>
            <w:tcW w:w="5" w:type="pct"/>
            <w:shd w:val="clear" w:color="auto" w:fill="auto"/>
            <w:vAlign w:val="bottom"/>
          </w:tcPr>
          <w:p w14:paraId="74DE06EF" w14:textId="77777777" w:rsidR="00584EC1" w:rsidRDefault="00584EC1">
            <w:pPr>
              <w:rPr>
                <w:rFonts w:ascii="宋体"/>
              </w:rPr>
            </w:pPr>
          </w:p>
        </w:tc>
        <w:tc>
          <w:tcPr>
            <w:tcW w:w="50" w:type="pct"/>
            <w:shd w:val="clear" w:color="auto" w:fill="auto"/>
            <w:vAlign w:val="bottom"/>
          </w:tcPr>
          <w:p w14:paraId="74DE06F0" w14:textId="77777777" w:rsidR="00584EC1" w:rsidRDefault="00584EC1">
            <w:pPr>
              <w:rPr>
                <w:rFonts w:ascii="宋体"/>
              </w:rPr>
            </w:pPr>
          </w:p>
        </w:tc>
        <w:tc>
          <w:tcPr>
            <w:tcW w:w="354" w:type="pct"/>
            <w:shd w:val="clear" w:color="auto" w:fill="auto"/>
            <w:vAlign w:val="bottom"/>
          </w:tcPr>
          <w:p w14:paraId="74DE06F1" w14:textId="77777777" w:rsidR="00584EC1" w:rsidRDefault="00584EC1">
            <w:pPr>
              <w:rPr>
                <w:rFonts w:ascii="宋体"/>
              </w:rPr>
            </w:pPr>
          </w:p>
        </w:tc>
        <w:tc>
          <w:tcPr>
            <w:tcW w:w="5" w:type="pct"/>
            <w:shd w:val="clear" w:color="auto" w:fill="auto"/>
            <w:vAlign w:val="bottom"/>
          </w:tcPr>
          <w:p w14:paraId="74DE06F2" w14:textId="77777777" w:rsidR="00584EC1" w:rsidRDefault="00584EC1">
            <w:pPr>
              <w:rPr>
                <w:rFonts w:ascii="宋体"/>
              </w:rPr>
            </w:pPr>
          </w:p>
        </w:tc>
        <w:tc>
          <w:tcPr>
            <w:tcW w:w="5" w:type="pct"/>
            <w:shd w:val="clear" w:color="auto" w:fill="auto"/>
            <w:vAlign w:val="bottom"/>
          </w:tcPr>
          <w:p w14:paraId="74DE06F3" w14:textId="77777777" w:rsidR="00584EC1" w:rsidRDefault="00584EC1">
            <w:pPr>
              <w:rPr>
                <w:rFonts w:ascii="宋体"/>
              </w:rPr>
            </w:pPr>
          </w:p>
        </w:tc>
        <w:tc>
          <w:tcPr>
            <w:tcW w:w="19" w:type="pct"/>
            <w:shd w:val="clear" w:color="auto" w:fill="auto"/>
            <w:vAlign w:val="bottom"/>
          </w:tcPr>
          <w:p w14:paraId="74DE06F4" w14:textId="77777777" w:rsidR="00584EC1" w:rsidRDefault="00584EC1">
            <w:pPr>
              <w:rPr>
                <w:rFonts w:ascii="宋体"/>
              </w:rPr>
            </w:pPr>
          </w:p>
        </w:tc>
        <w:tc>
          <w:tcPr>
            <w:tcW w:w="5" w:type="pct"/>
            <w:shd w:val="clear" w:color="auto" w:fill="auto"/>
            <w:vAlign w:val="bottom"/>
          </w:tcPr>
          <w:p w14:paraId="74DE06F5" w14:textId="77777777" w:rsidR="00584EC1" w:rsidRDefault="00584EC1">
            <w:pPr>
              <w:rPr>
                <w:rFonts w:ascii="宋体"/>
              </w:rPr>
            </w:pPr>
          </w:p>
        </w:tc>
        <w:tc>
          <w:tcPr>
            <w:tcW w:w="50" w:type="pct"/>
            <w:shd w:val="clear" w:color="auto" w:fill="auto"/>
            <w:vAlign w:val="bottom"/>
          </w:tcPr>
          <w:p w14:paraId="74DE06F6" w14:textId="77777777" w:rsidR="00584EC1" w:rsidRDefault="00584EC1">
            <w:pPr>
              <w:rPr>
                <w:rFonts w:ascii="宋体"/>
              </w:rPr>
            </w:pPr>
          </w:p>
        </w:tc>
        <w:tc>
          <w:tcPr>
            <w:tcW w:w="347" w:type="pct"/>
            <w:shd w:val="clear" w:color="auto" w:fill="auto"/>
            <w:vAlign w:val="bottom"/>
          </w:tcPr>
          <w:p w14:paraId="74DE06F7" w14:textId="77777777" w:rsidR="00584EC1" w:rsidRDefault="00584EC1">
            <w:pPr>
              <w:rPr>
                <w:rFonts w:ascii="宋体"/>
              </w:rPr>
            </w:pPr>
          </w:p>
        </w:tc>
        <w:tc>
          <w:tcPr>
            <w:tcW w:w="5" w:type="pct"/>
            <w:shd w:val="clear" w:color="auto" w:fill="auto"/>
            <w:vAlign w:val="bottom"/>
          </w:tcPr>
          <w:p w14:paraId="74DE06F8" w14:textId="77777777" w:rsidR="00584EC1" w:rsidRDefault="00584EC1">
            <w:pPr>
              <w:rPr>
                <w:rFonts w:ascii="宋体"/>
              </w:rPr>
            </w:pPr>
          </w:p>
        </w:tc>
        <w:tc>
          <w:tcPr>
            <w:tcW w:w="5" w:type="pct"/>
            <w:shd w:val="clear" w:color="auto" w:fill="auto"/>
            <w:vAlign w:val="bottom"/>
          </w:tcPr>
          <w:p w14:paraId="74DE06F9" w14:textId="77777777" w:rsidR="00584EC1" w:rsidRDefault="00584EC1">
            <w:pPr>
              <w:rPr>
                <w:rFonts w:ascii="宋体"/>
              </w:rPr>
            </w:pPr>
          </w:p>
        </w:tc>
        <w:tc>
          <w:tcPr>
            <w:tcW w:w="19" w:type="pct"/>
            <w:shd w:val="clear" w:color="auto" w:fill="auto"/>
            <w:vAlign w:val="bottom"/>
          </w:tcPr>
          <w:p w14:paraId="74DE06FA" w14:textId="77777777" w:rsidR="00584EC1" w:rsidRDefault="00584EC1">
            <w:pPr>
              <w:rPr>
                <w:rFonts w:ascii="宋体"/>
              </w:rPr>
            </w:pPr>
          </w:p>
        </w:tc>
        <w:tc>
          <w:tcPr>
            <w:tcW w:w="5" w:type="pct"/>
            <w:shd w:val="clear" w:color="auto" w:fill="auto"/>
            <w:vAlign w:val="bottom"/>
          </w:tcPr>
          <w:p w14:paraId="74DE06FB" w14:textId="77777777" w:rsidR="00584EC1" w:rsidRDefault="00584EC1">
            <w:pPr>
              <w:rPr>
                <w:rFonts w:ascii="宋体"/>
              </w:rPr>
            </w:pPr>
          </w:p>
        </w:tc>
        <w:tc>
          <w:tcPr>
            <w:tcW w:w="50" w:type="pct"/>
            <w:shd w:val="clear" w:color="auto" w:fill="auto"/>
            <w:vAlign w:val="bottom"/>
          </w:tcPr>
          <w:p w14:paraId="74DE06FC" w14:textId="77777777" w:rsidR="00584EC1" w:rsidRDefault="00584EC1">
            <w:pPr>
              <w:rPr>
                <w:rFonts w:ascii="宋体"/>
              </w:rPr>
            </w:pPr>
          </w:p>
        </w:tc>
        <w:tc>
          <w:tcPr>
            <w:tcW w:w="318" w:type="pct"/>
            <w:shd w:val="clear" w:color="auto" w:fill="auto"/>
            <w:vAlign w:val="bottom"/>
          </w:tcPr>
          <w:p w14:paraId="74DE06FD" w14:textId="77777777" w:rsidR="00584EC1" w:rsidRDefault="00584EC1">
            <w:pPr>
              <w:rPr>
                <w:rFonts w:ascii="宋体"/>
              </w:rPr>
            </w:pPr>
          </w:p>
        </w:tc>
        <w:tc>
          <w:tcPr>
            <w:tcW w:w="5" w:type="pct"/>
            <w:shd w:val="clear" w:color="auto" w:fill="auto"/>
            <w:vAlign w:val="bottom"/>
          </w:tcPr>
          <w:p w14:paraId="74DE06FE" w14:textId="77777777" w:rsidR="00584EC1" w:rsidRDefault="00584EC1">
            <w:pPr>
              <w:rPr>
                <w:rFonts w:ascii="宋体"/>
              </w:rPr>
            </w:pPr>
          </w:p>
        </w:tc>
      </w:tr>
      <w:tr w:rsidR="00584EC1" w14:paraId="74DE070E" w14:textId="77777777">
        <w:tc>
          <w:tcPr>
            <w:tcW w:w="0" w:type="auto"/>
            <w:gridSpan w:val="3"/>
            <w:shd w:val="clear" w:color="auto" w:fill="auto"/>
            <w:tcMar>
              <w:top w:w="40" w:type="dxa"/>
              <w:left w:w="20" w:type="dxa"/>
              <w:bottom w:w="40" w:type="dxa"/>
              <w:right w:w="20" w:type="dxa"/>
            </w:tcMar>
            <w:vAlign w:val="bottom"/>
          </w:tcPr>
          <w:p w14:paraId="74DE0700" w14:textId="77777777" w:rsidR="00584EC1" w:rsidRDefault="00871F8D">
            <w:pPr>
              <w:textAlignment w:val="bottom"/>
            </w:pPr>
            <w:r>
              <w:rPr>
                <w:rFonts w:ascii="Arial" w:eastAsia="宋体" w:hAnsi="Arial" w:cs="Arial"/>
                <w:b/>
                <w:bCs/>
                <w:color w:val="000000"/>
                <w:sz w:val="13"/>
                <w:szCs w:val="13"/>
              </w:rPr>
              <w:t>(In millions)</w:t>
            </w:r>
          </w:p>
        </w:tc>
        <w:tc>
          <w:tcPr>
            <w:tcW w:w="0" w:type="auto"/>
            <w:gridSpan w:val="3"/>
            <w:shd w:val="clear" w:color="auto" w:fill="auto"/>
            <w:tcMar>
              <w:top w:w="40" w:type="dxa"/>
              <w:left w:w="20" w:type="dxa"/>
              <w:bottom w:w="40" w:type="dxa"/>
              <w:right w:w="20" w:type="dxa"/>
            </w:tcMar>
            <w:vAlign w:val="bottom"/>
          </w:tcPr>
          <w:p w14:paraId="74DE0701" w14:textId="77777777" w:rsidR="00584EC1" w:rsidRDefault="00871F8D">
            <w:pPr>
              <w:jc w:val="center"/>
              <w:textAlignment w:val="bottom"/>
            </w:pPr>
            <w:r>
              <w:rPr>
                <w:rFonts w:ascii="Arial" w:eastAsia="宋体" w:hAnsi="Arial" w:cs="Arial"/>
                <w:b/>
                <w:bCs/>
                <w:color w:val="000000"/>
                <w:sz w:val="13"/>
                <w:szCs w:val="13"/>
              </w:rPr>
              <w:t>Net Unrealized Gains (Losses) on Cash</w:t>
            </w:r>
            <w:r>
              <w:rPr>
                <w:rFonts w:ascii="Arial" w:eastAsia="宋体" w:hAnsi="Arial" w:cs="Arial"/>
                <w:b/>
                <w:bCs/>
                <w:color w:val="000000"/>
                <w:sz w:val="13"/>
                <w:szCs w:val="13"/>
              </w:rPr>
              <w:t xml:space="preserve"> Flow Hedges</w:t>
            </w:r>
          </w:p>
        </w:tc>
        <w:tc>
          <w:tcPr>
            <w:tcW w:w="0" w:type="auto"/>
            <w:gridSpan w:val="3"/>
            <w:shd w:val="clear" w:color="auto" w:fill="auto"/>
            <w:tcMar>
              <w:top w:w="0" w:type="dxa"/>
              <w:left w:w="20" w:type="dxa"/>
              <w:bottom w:w="0" w:type="dxa"/>
              <w:right w:w="20" w:type="dxa"/>
            </w:tcMar>
            <w:vAlign w:val="bottom"/>
          </w:tcPr>
          <w:p w14:paraId="74DE0702"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E0703" w14:textId="77777777" w:rsidR="00584EC1" w:rsidRDefault="00871F8D">
            <w:pPr>
              <w:jc w:val="center"/>
              <w:textAlignment w:val="bottom"/>
            </w:pPr>
            <w:r>
              <w:rPr>
                <w:rFonts w:ascii="Arial" w:eastAsia="宋体" w:hAnsi="Arial" w:cs="Arial"/>
                <w:b/>
                <w:bCs/>
                <w:color w:val="000000"/>
                <w:sz w:val="13"/>
                <w:szCs w:val="13"/>
              </w:rPr>
              <w:t>Net Unrealized Gains (Losses) on Available-for-Sale Securities</w:t>
            </w:r>
          </w:p>
        </w:tc>
        <w:tc>
          <w:tcPr>
            <w:tcW w:w="0" w:type="auto"/>
            <w:gridSpan w:val="3"/>
            <w:shd w:val="clear" w:color="auto" w:fill="auto"/>
            <w:tcMar>
              <w:top w:w="0" w:type="dxa"/>
              <w:left w:w="20" w:type="dxa"/>
              <w:bottom w:w="0" w:type="dxa"/>
              <w:right w:w="20" w:type="dxa"/>
            </w:tcMar>
            <w:vAlign w:val="bottom"/>
          </w:tcPr>
          <w:p w14:paraId="74DE0704"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E0705" w14:textId="77777777" w:rsidR="00584EC1" w:rsidRDefault="00871F8D">
            <w:pPr>
              <w:jc w:val="center"/>
              <w:textAlignment w:val="bottom"/>
            </w:pPr>
            <w:r>
              <w:rPr>
                <w:rFonts w:ascii="Arial" w:eastAsia="宋体" w:hAnsi="Arial" w:cs="Arial"/>
                <w:b/>
                <w:bCs/>
                <w:color w:val="000000"/>
                <w:sz w:val="13"/>
                <w:szCs w:val="13"/>
              </w:rPr>
              <w:t>Net Unrealized Gains (Losses) on Hedges of Net Investments in Non-U.S. Subsidiaries</w:t>
            </w:r>
          </w:p>
        </w:tc>
        <w:tc>
          <w:tcPr>
            <w:tcW w:w="0" w:type="auto"/>
            <w:gridSpan w:val="3"/>
            <w:shd w:val="clear" w:color="auto" w:fill="auto"/>
            <w:tcMar>
              <w:top w:w="0" w:type="dxa"/>
              <w:left w:w="20" w:type="dxa"/>
              <w:bottom w:w="0" w:type="dxa"/>
              <w:right w:w="20" w:type="dxa"/>
            </w:tcMar>
            <w:vAlign w:val="bottom"/>
          </w:tcPr>
          <w:p w14:paraId="74DE0706"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E0707" w14:textId="77777777" w:rsidR="00584EC1" w:rsidRDefault="00871F8D">
            <w:pPr>
              <w:jc w:val="center"/>
              <w:textAlignment w:val="bottom"/>
            </w:pPr>
            <w:r>
              <w:rPr>
                <w:rFonts w:ascii="Arial" w:eastAsia="宋体" w:hAnsi="Arial" w:cs="Arial"/>
                <w:b/>
                <w:bCs/>
                <w:color w:val="000000"/>
                <w:sz w:val="13"/>
                <w:szCs w:val="13"/>
              </w:rPr>
              <w:t>Other-Than-Temporary Impairment on Held-to-Maturity Securities</w:t>
            </w:r>
          </w:p>
        </w:tc>
        <w:tc>
          <w:tcPr>
            <w:tcW w:w="0" w:type="auto"/>
            <w:gridSpan w:val="3"/>
            <w:shd w:val="clear" w:color="auto" w:fill="auto"/>
            <w:tcMar>
              <w:top w:w="0" w:type="dxa"/>
              <w:left w:w="20" w:type="dxa"/>
              <w:bottom w:w="0" w:type="dxa"/>
              <w:right w:w="20" w:type="dxa"/>
            </w:tcMar>
            <w:vAlign w:val="bottom"/>
          </w:tcPr>
          <w:p w14:paraId="74DE0708"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E0709" w14:textId="77777777" w:rsidR="00584EC1" w:rsidRDefault="00871F8D">
            <w:pPr>
              <w:jc w:val="center"/>
              <w:textAlignment w:val="bottom"/>
            </w:pPr>
            <w:r>
              <w:rPr>
                <w:rFonts w:ascii="Arial" w:eastAsia="宋体" w:hAnsi="Arial" w:cs="Arial"/>
                <w:b/>
                <w:bCs/>
                <w:color w:val="000000"/>
                <w:sz w:val="13"/>
                <w:szCs w:val="13"/>
              </w:rPr>
              <w:t xml:space="preserve">Net Unrealized Losses on </w:t>
            </w:r>
            <w:r>
              <w:rPr>
                <w:rFonts w:ascii="Arial" w:eastAsia="宋体" w:hAnsi="Arial" w:cs="Arial"/>
                <w:b/>
                <w:bCs/>
                <w:color w:val="000000"/>
                <w:sz w:val="13"/>
                <w:szCs w:val="13"/>
              </w:rPr>
              <w:t>Retirement Plans</w:t>
            </w:r>
          </w:p>
        </w:tc>
        <w:tc>
          <w:tcPr>
            <w:tcW w:w="0" w:type="auto"/>
            <w:gridSpan w:val="3"/>
            <w:shd w:val="clear" w:color="auto" w:fill="auto"/>
            <w:tcMar>
              <w:top w:w="0" w:type="dxa"/>
              <w:left w:w="20" w:type="dxa"/>
              <w:bottom w:w="0" w:type="dxa"/>
              <w:right w:w="20" w:type="dxa"/>
            </w:tcMar>
            <w:vAlign w:val="bottom"/>
          </w:tcPr>
          <w:p w14:paraId="74DE070A"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E070B" w14:textId="77777777" w:rsidR="00584EC1" w:rsidRDefault="00871F8D">
            <w:pPr>
              <w:jc w:val="center"/>
              <w:textAlignment w:val="bottom"/>
            </w:pPr>
            <w:r>
              <w:rPr>
                <w:rFonts w:ascii="Arial" w:eastAsia="宋体" w:hAnsi="Arial" w:cs="Arial"/>
                <w:b/>
                <w:bCs/>
                <w:color w:val="000000"/>
                <w:sz w:val="13"/>
                <w:szCs w:val="13"/>
              </w:rPr>
              <w:t>Foreign Currency Translation</w:t>
            </w:r>
          </w:p>
        </w:tc>
        <w:tc>
          <w:tcPr>
            <w:tcW w:w="0" w:type="auto"/>
            <w:gridSpan w:val="3"/>
            <w:shd w:val="clear" w:color="auto" w:fill="auto"/>
            <w:tcMar>
              <w:top w:w="0" w:type="dxa"/>
              <w:left w:w="20" w:type="dxa"/>
              <w:bottom w:w="0" w:type="dxa"/>
              <w:right w:w="20" w:type="dxa"/>
            </w:tcMar>
            <w:vAlign w:val="bottom"/>
          </w:tcPr>
          <w:p w14:paraId="74DE070C"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E070D" w14:textId="77777777" w:rsidR="00584EC1" w:rsidRDefault="00871F8D">
            <w:pPr>
              <w:jc w:val="center"/>
              <w:textAlignment w:val="bottom"/>
            </w:pPr>
            <w:r>
              <w:rPr>
                <w:rFonts w:ascii="Arial" w:eastAsia="宋体" w:hAnsi="Arial" w:cs="Arial"/>
                <w:b/>
                <w:bCs/>
                <w:color w:val="000000"/>
                <w:sz w:val="13"/>
                <w:szCs w:val="13"/>
              </w:rPr>
              <w:t>Total</w:t>
            </w:r>
          </w:p>
        </w:tc>
      </w:tr>
      <w:tr w:rsidR="00584EC1" w14:paraId="74DE071D" w14:textId="77777777">
        <w:trPr>
          <w:hidden/>
        </w:trPr>
        <w:tc>
          <w:tcPr>
            <w:tcW w:w="0" w:type="auto"/>
            <w:gridSpan w:val="3"/>
            <w:shd w:val="clear" w:color="auto" w:fill="auto"/>
            <w:vAlign w:val="bottom"/>
          </w:tcPr>
          <w:p w14:paraId="74DE070F" w14:textId="77777777" w:rsidR="00584EC1" w:rsidRDefault="00584EC1">
            <w:pPr>
              <w:rPr>
                <w:rFonts w:ascii="宋体"/>
                <w:vanish/>
              </w:rPr>
            </w:pPr>
          </w:p>
        </w:tc>
        <w:tc>
          <w:tcPr>
            <w:tcW w:w="0" w:type="auto"/>
            <w:gridSpan w:val="3"/>
            <w:shd w:val="clear" w:color="auto" w:fill="auto"/>
            <w:vAlign w:val="bottom"/>
          </w:tcPr>
          <w:p w14:paraId="74DE0710" w14:textId="77777777" w:rsidR="00584EC1" w:rsidRDefault="00584EC1">
            <w:pPr>
              <w:rPr>
                <w:rFonts w:ascii="宋体"/>
                <w:vanish/>
              </w:rPr>
            </w:pPr>
          </w:p>
        </w:tc>
        <w:tc>
          <w:tcPr>
            <w:tcW w:w="0" w:type="auto"/>
            <w:gridSpan w:val="3"/>
            <w:shd w:val="clear" w:color="auto" w:fill="auto"/>
            <w:vAlign w:val="bottom"/>
          </w:tcPr>
          <w:p w14:paraId="74DE0711" w14:textId="77777777" w:rsidR="00584EC1" w:rsidRDefault="00584EC1">
            <w:pPr>
              <w:rPr>
                <w:rFonts w:ascii="宋体"/>
                <w:vanish/>
              </w:rPr>
            </w:pPr>
          </w:p>
        </w:tc>
        <w:tc>
          <w:tcPr>
            <w:tcW w:w="0" w:type="auto"/>
            <w:gridSpan w:val="3"/>
            <w:shd w:val="clear" w:color="auto" w:fill="auto"/>
            <w:vAlign w:val="bottom"/>
          </w:tcPr>
          <w:p w14:paraId="74DE0712" w14:textId="77777777" w:rsidR="00584EC1" w:rsidRDefault="00584EC1">
            <w:pPr>
              <w:rPr>
                <w:rFonts w:ascii="宋体"/>
                <w:vanish/>
              </w:rPr>
            </w:pPr>
          </w:p>
        </w:tc>
        <w:tc>
          <w:tcPr>
            <w:tcW w:w="0" w:type="auto"/>
            <w:gridSpan w:val="3"/>
            <w:shd w:val="clear" w:color="auto" w:fill="auto"/>
            <w:vAlign w:val="bottom"/>
          </w:tcPr>
          <w:p w14:paraId="74DE0713" w14:textId="77777777" w:rsidR="00584EC1" w:rsidRDefault="00584EC1">
            <w:pPr>
              <w:rPr>
                <w:rFonts w:ascii="宋体"/>
                <w:vanish/>
              </w:rPr>
            </w:pPr>
          </w:p>
        </w:tc>
        <w:tc>
          <w:tcPr>
            <w:tcW w:w="0" w:type="auto"/>
            <w:gridSpan w:val="3"/>
            <w:shd w:val="clear" w:color="auto" w:fill="auto"/>
            <w:vAlign w:val="bottom"/>
          </w:tcPr>
          <w:p w14:paraId="74DE0714" w14:textId="77777777" w:rsidR="00584EC1" w:rsidRDefault="00584EC1">
            <w:pPr>
              <w:rPr>
                <w:rFonts w:ascii="宋体"/>
                <w:vanish/>
              </w:rPr>
            </w:pPr>
          </w:p>
        </w:tc>
        <w:tc>
          <w:tcPr>
            <w:tcW w:w="0" w:type="auto"/>
            <w:gridSpan w:val="3"/>
            <w:shd w:val="clear" w:color="auto" w:fill="auto"/>
            <w:vAlign w:val="bottom"/>
          </w:tcPr>
          <w:p w14:paraId="74DE0715" w14:textId="77777777" w:rsidR="00584EC1" w:rsidRDefault="00584EC1">
            <w:pPr>
              <w:rPr>
                <w:rFonts w:ascii="宋体"/>
                <w:vanish/>
              </w:rPr>
            </w:pPr>
          </w:p>
        </w:tc>
        <w:tc>
          <w:tcPr>
            <w:tcW w:w="0" w:type="auto"/>
            <w:gridSpan w:val="3"/>
            <w:shd w:val="clear" w:color="auto" w:fill="auto"/>
            <w:vAlign w:val="bottom"/>
          </w:tcPr>
          <w:p w14:paraId="74DE0716" w14:textId="77777777" w:rsidR="00584EC1" w:rsidRDefault="00584EC1">
            <w:pPr>
              <w:rPr>
                <w:rFonts w:ascii="宋体"/>
                <w:vanish/>
              </w:rPr>
            </w:pPr>
          </w:p>
        </w:tc>
        <w:tc>
          <w:tcPr>
            <w:tcW w:w="0" w:type="auto"/>
            <w:gridSpan w:val="3"/>
            <w:shd w:val="clear" w:color="auto" w:fill="auto"/>
            <w:vAlign w:val="bottom"/>
          </w:tcPr>
          <w:p w14:paraId="74DE0717" w14:textId="77777777" w:rsidR="00584EC1" w:rsidRDefault="00584EC1">
            <w:pPr>
              <w:rPr>
                <w:rFonts w:ascii="宋体"/>
                <w:vanish/>
              </w:rPr>
            </w:pPr>
          </w:p>
        </w:tc>
        <w:tc>
          <w:tcPr>
            <w:tcW w:w="0" w:type="auto"/>
            <w:gridSpan w:val="3"/>
            <w:shd w:val="clear" w:color="auto" w:fill="auto"/>
            <w:vAlign w:val="bottom"/>
          </w:tcPr>
          <w:p w14:paraId="74DE0718" w14:textId="77777777" w:rsidR="00584EC1" w:rsidRDefault="00584EC1">
            <w:pPr>
              <w:rPr>
                <w:rFonts w:ascii="宋体"/>
                <w:vanish/>
              </w:rPr>
            </w:pPr>
          </w:p>
        </w:tc>
        <w:tc>
          <w:tcPr>
            <w:tcW w:w="0" w:type="auto"/>
            <w:gridSpan w:val="3"/>
            <w:shd w:val="clear" w:color="auto" w:fill="auto"/>
            <w:vAlign w:val="bottom"/>
          </w:tcPr>
          <w:p w14:paraId="74DE0719" w14:textId="77777777" w:rsidR="00584EC1" w:rsidRDefault="00584EC1">
            <w:pPr>
              <w:rPr>
                <w:rFonts w:ascii="宋体"/>
                <w:vanish/>
              </w:rPr>
            </w:pPr>
          </w:p>
        </w:tc>
        <w:tc>
          <w:tcPr>
            <w:tcW w:w="0" w:type="auto"/>
            <w:gridSpan w:val="3"/>
            <w:shd w:val="clear" w:color="auto" w:fill="auto"/>
            <w:vAlign w:val="bottom"/>
          </w:tcPr>
          <w:p w14:paraId="74DE071A" w14:textId="77777777" w:rsidR="00584EC1" w:rsidRDefault="00584EC1">
            <w:pPr>
              <w:rPr>
                <w:rFonts w:ascii="宋体"/>
                <w:vanish/>
              </w:rPr>
            </w:pPr>
          </w:p>
        </w:tc>
        <w:tc>
          <w:tcPr>
            <w:tcW w:w="0" w:type="auto"/>
            <w:gridSpan w:val="3"/>
            <w:shd w:val="clear" w:color="auto" w:fill="auto"/>
            <w:vAlign w:val="bottom"/>
          </w:tcPr>
          <w:p w14:paraId="74DE071B" w14:textId="77777777" w:rsidR="00584EC1" w:rsidRDefault="00584EC1">
            <w:pPr>
              <w:rPr>
                <w:rFonts w:ascii="宋体"/>
                <w:vanish/>
              </w:rPr>
            </w:pPr>
          </w:p>
        </w:tc>
        <w:tc>
          <w:tcPr>
            <w:tcW w:w="0" w:type="auto"/>
            <w:gridSpan w:val="3"/>
            <w:shd w:val="clear" w:color="auto" w:fill="auto"/>
            <w:vAlign w:val="bottom"/>
          </w:tcPr>
          <w:p w14:paraId="74DE071C" w14:textId="77777777" w:rsidR="00584EC1" w:rsidRDefault="00584EC1">
            <w:pPr>
              <w:rPr>
                <w:rFonts w:ascii="宋体"/>
                <w:vanish/>
              </w:rPr>
            </w:pPr>
          </w:p>
        </w:tc>
      </w:tr>
      <w:tr w:rsidR="00584EC1" w14:paraId="74DE072C" w14:textId="77777777">
        <w:trPr>
          <w:hidden/>
        </w:trPr>
        <w:tc>
          <w:tcPr>
            <w:tcW w:w="0" w:type="auto"/>
            <w:gridSpan w:val="3"/>
            <w:shd w:val="clear" w:color="auto" w:fill="auto"/>
            <w:vAlign w:val="bottom"/>
          </w:tcPr>
          <w:p w14:paraId="74DE071E" w14:textId="77777777" w:rsidR="00584EC1" w:rsidRDefault="00584EC1">
            <w:pPr>
              <w:rPr>
                <w:rFonts w:ascii="宋体"/>
                <w:vanish/>
              </w:rPr>
            </w:pPr>
          </w:p>
        </w:tc>
        <w:tc>
          <w:tcPr>
            <w:tcW w:w="0" w:type="auto"/>
            <w:gridSpan w:val="3"/>
            <w:shd w:val="clear" w:color="auto" w:fill="auto"/>
            <w:vAlign w:val="bottom"/>
          </w:tcPr>
          <w:p w14:paraId="74DE071F" w14:textId="77777777" w:rsidR="00584EC1" w:rsidRDefault="00584EC1">
            <w:pPr>
              <w:rPr>
                <w:rFonts w:ascii="宋体"/>
                <w:vanish/>
              </w:rPr>
            </w:pPr>
          </w:p>
        </w:tc>
        <w:tc>
          <w:tcPr>
            <w:tcW w:w="0" w:type="auto"/>
            <w:gridSpan w:val="3"/>
            <w:shd w:val="clear" w:color="auto" w:fill="auto"/>
            <w:vAlign w:val="bottom"/>
          </w:tcPr>
          <w:p w14:paraId="74DE0720" w14:textId="77777777" w:rsidR="00584EC1" w:rsidRDefault="00584EC1">
            <w:pPr>
              <w:rPr>
                <w:rFonts w:ascii="宋体"/>
                <w:vanish/>
              </w:rPr>
            </w:pPr>
          </w:p>
        </w:tc>
        <w:tc>
          <w:tcPr>
            <w:tcW w:w="0" w:type="auto"/>
            <w:gridSpan w:val="3"/>
            <w:shd w:val="clear" w:color="auto" w:fill="auto"/>
            <w:vAlign w:val="bottom"/>
          </w:tcPr>
          <w:p w14:paraId="74DE0721" w14:textId="77777777" w:rsidR="00584EC1" w:rsidRDefault="00584EC1">
            <w:pPr>
              <w:rPr>
                <w:rFonts w:ascii="宋体"/>
                <w:vanish/>
              </w:rPr>
            </w:pPr>
          </w:p>
        </w:tc>
        <w:tc>
          <w:tcPr>
            <w:tcW w:w="0" w:type="auto"/>
            <w:gridSpan w:val="3"/>
            <w:shd w:val="clear" w:color="auto" w:fill="auto"/>
            <w:vAlign w:val="bottom"/>
          </w:tcPr>
          <w:p w14:paraId="74DE0722" w14:textId="77777777" w:rsidR="00584EC1" w:rsidRDefault="00584EC1">
            <w:pPr>
              <w:rPr>
                <w:rFonts w:ascii="宋体"/>
                <w:vanish/>
              </w:rPr>
            </w:pPr>
          </w:p>
        </w:tc>
        <w:tc>
          <w:tcPr>
            <w:tcW w:w="0" w:type="auto"/>
            <w:gridSpan w:val="3"/>
            <w:shd w:val="clear" w:color="auto" w:fill="auto"/>
            <w:vAlign w:val="bottom"/>
          </w:tcPr>
          <w:p w14:paraId="74DE0723" w14:textId="77777777" w:rsidR="00584EC1" w:rsidRDefault="00584EC1">
            <w:pPr>
              <w:rPr>
                <w:rFonts w:ascii="宋体"/>
                <w:vanish/>
              </w:rPr>
            </w:pPr>
          </w:p>
        </w:tc>
        <w:tc>
          <w:tcPr>
            <w:tcW w:w="0" w:type="auto"/>
            <w:gridSpan w:val="3"/>
            <w:shd w:val="clear" w:color="auto" w:fill="auto"/>
            <w:vAlign w:val="bottom"/>
          </w:tcPr>
          <w:p w14:paraId="74DE0724" w14:textId="77777777" w:rsidR="00584EC1" w:rsidRDefault="00584EC1">
            <w:pPr>
              <w:rPr>
                <w:rFonts w:ascii="宋体"/>
                <w:vanish/>
              </w:rPr>
            </w:pPr>
          </w:p>
        </w:tc>
        <w:tc>
          <w:tcPr>
            <w:tcW w:w="0" w:type="auto"/>
            <w:gridSpan w:val="3"/>
            <w:shd w:val="clear" w:color="auto" w:fill="auto"/>
            <w:vAlign w:val="bottom"/>
          </w:tcPr>
          <w:p w14:paraId="74DE0725" w14:textId="77777777" w:rsidR="00584EC1" w:rsidRDefault="00584EC1">
            <w:pPr>
              <w:rPr>
                <w:rFonts w:ascii="宋体"/>
                <w:vanish/>
              </w:rPr>
            </w:pPr>
          </w:p>
        </w:tc>
        <w:tc>
          <w:tcPr>
            <w:tcW w:w="0" w:type="auto"/>
            <w:gridSpan w:val="3"/>
            <w:shd w:val="clear" w:color="auto" w:fill="auto"/>
            <w:vAlign w:val="bottom"/>
          </w:tcPr>
          <w:p w14:paraId="74DE0726" w14:textId="77777777" w:rsidR="00584EC1" w:rsidRDefault="00584EC1">
            <w:pPr>
              <w:rPr>
                <w:rFonts w:ascii="宋体"/>
                <w:vanish/>
              </w:rPr>
            </w:pPr>
          </w:p>
        </w:tc>
        <w:tc>
          <w:tcPr>
            <w:tcW w:w="0" w:type="auto"/>
            <w:gridSpan w:val="3"/>
            <w:shd w:val="clear" w:color="auto" w:fill="auto"/>
            <w:vAlign w:val="bottom"/>
          </w:tcPr>
          <w:p w14:paraId="74DE0727" w14:textId="77777777" w:rsidR="00584EC1" w:rsidRDefault="00584EC1">
            <w:pPr>
              <w:rPr>
                <w:rFonts w:ascii="宋体"/>
                <w:vanish/>
              </w:rPr>
            </w:pPr>
          </w:p>
        </w:tc>
        <w:tc>
          <w:tcPr>
            <w:tcW w:w="0" w:type="auto"/>
            <w:gridSpan w:val="3"/>
            <w:shd w:val="clear" w:color="auto" w:fill="auto"/>
            <w:vAlign w:val="bottom"/>
          </w:tcPr>
          <w:p w14:paraId="74DE0728" w14:textId="77777777" w:rsidR="00584EC1" w:rsidRDefault="00584EC1">
            <w:pPr>
              <w:rPr>
                <w:rFonts w:ascii="宋体"/>
                <w:vanish/>
              </w:rPr>
            </w:pPr>
          </w:p>
        </w:tc>
        <w:tc>
          <w:tcPr>
            <w:tcW w:w="0" w:type="auto"/>
            <w:gridSpan w:val="3"/>
            <w:shd w:val="clear" w:color="auto" w:fill="auto"/>
            <w:vAlign w:val="bottom"/>
          </w:tcPr>
          <w:p w14:paraId="74DE0729" w14:textId="77777777" w:rsidR="00584EC1" w:rsidRDefault="00584EC1">
            <w:pPr>
              <w:rPr>
                <w:rFonts w:ascii="宋体"/>
                <w:vanish/>
              </w:rPr>
            </w:pPr>
          </w:p>
        </w:tc>
        <w:tc>
          <w:tcPr>
            <w:tcW w:w="0" w:type="auto"/>
            <w:gridSpan w:val="3"/>
            <w:shd w:val="clear" w:color="auto" w:fill="auto"/>
            <w:vAlign w:val="bottom"/>
          </w:tcPr>
          <w:p w14:paraId="74DE072A" w14:textId="77777777" w:rsidR="00584EC1" w:rsidRDefault="00584EC1">
            <w:pPr>
              <w:rPr>
                <w:rFonts w:ascii="宋体"/>
                <w:vanish/>
              </w:rPr>
            </w:pPr>
          </w:p>
        </w:tc>
        <w:tc>
          <w:tcPr>
            <w:tcW w:w="0" w:type="auto"/>
            <w:gridSpan w:val="3"/>
            <w:shd w:val="clear" w:color="auto" w:fill="auto"/>
            <w:vAlign w:val="bottom"/>
          </w:tcPr>
          <w:p w14:paraId="74DE072B" w14:textId="77777777" w:rsidR="00584EC1" w:rsidRDefault="00584EC1">
            <w:pPr>
              <w:rPr>
                <w:rFonts w:ascii="宋体"/>
                <w:vanish/>
              </w:rPr>
            </w:pPr>
          </w:p>
        </w:tc>
      </w:tr>
      <w:tr w:rsidR="00584EC1" w14:paraId="74DE073B" w14:textId="77777777">
        <w:trPr>
          <w:hidden/>
        </w:trPr>
        <w:tc>
          <w:tcPr>
            <w:tcW w:w="0" w:type="auto"/>
            <w:gridSpan w:val="3"/>
            <w:shd w:val="clear" w:color="auto" w:fill="auto"/>
            <w:vAlign w:val="bottom"/>
          </w:tcPr>
          <w:p w14:paraId="74DE072D" w14:textId="77777777" w:rsidR="00584EC1" w:rsidRDefault="00584EC1">
            <w:pPr>
              <w:rPr>
                <w:rFonts w:ascii="宋体"/>
                <w:vanish/>
              </w:rPr>
            </w:pPr>
          </w:p>
        </w:tc>
        <w:tc>
          <w:tcPr>
            <w:tcW w:w="0" w:type="auto"/>
            <w:gridSpan w:val="3"/>
            <w:shd w:val="clear" w:color="auto" w:fill="auto"/>
            <w:vAlign w:val="bottom"/>
          </w:tcPr>
          <w:p w14:paraId="74DE072E" w14:textId="77777777" w:rsidR="00584EC1" w:rsidRDefault="00584EC1">
            <w:pPr>
              <w:rPr>
                <w:rFonts w:ascii="宋体"/>
                <w:vanish/>
              </w:rPr>
            </w:pPr>
          </w:p>
        </w:tc>
        <w:tc>
          <w:tcPr>
            <w:tcW w:w="0" w:type="auto"/>
            <w:gridSpan w:val="3"/>
            <w:shd w:val="clear" w:color="auto" w:fill="auto"/>
            <w:vAlign w:val="bottom"/>
          </w:tcPr>
          <w:p w14:paraId="74DE072F" w14:textId="77777777" w:rsidR="00584EC1" w:rsidRDefault="00584EC1">
            <w:pPr>
              <w:rPr>
                <w:rFonts w:ascii="宋体"/>
                <w:vanish/>
              </w:rPr>
            </w:pPr>
          </w:p>
        </w:tc>
        <w:tc>
          <w:tcPr>
            <w:tcW w:w="0" w:type="auto"/>
            <w:gridSpan w:val="3"/>
            <w:shd w:val="clear" w:color="auto" w:fill="auto"/>
            <w:vAlign w:val="bottom"/>
          </w:tcPr>
          <w:p w14:paraId="74DE0730" w14:textId="77777777" w:rsidR="00584EC1" w:rsidRDefault="00584EC1">
            <w:pPr>
              <w:rPr>
                <w:rFonts w:ascii="宋体"/>
                <w:vanish/>
              </w:rPr>
            </w:pPr>
          </w:p>
        </w:tc>
        <w:tc>
          <w:tcPr>
            <w:tcW w:w="0" w:type="auto"/>
            <w:gridSpan w:val="3"/>
            <w:shd w:val="clear" w:color="auto" w:fill="auto"/>
            <w:vAlign w:val="bottom"/>
          </w:tcPr>
          <w:p w14:paraId="74DE0731" w14:textId="77777777" w:rsidR="00584EC1" w:rsidRDefault="00584EC1">
            <w:pPr>
              <w:rPr>
                <w:rFonts w:ascii="宋体"/>
                <w:vanish/>
              </w:rPr>
            </w:pPr>
          </w:p>
        </w:tc>
        <w:tc>
          <w:tcPr>
            <w:tcW w:w="0" w:type="auto"/>
            <w:gridSpan w:val="3"/>
            <w:shd w:val="clear" w:color="auto" w:fill="auto"/>
            <w:vAlign w:val="bottom"/>
          </w:tcPr>
          <w:p w14:paraId="74DE0732" w14:textId="77777777" w:rsidR="00584EC1" w:rsidRDefault="00584EC1">
            <w:pPr>
              <w:rPr>
                <w:rFonts w:ascii="宋体"/>
                <w:vanish/>
              </w:rPr>
            </w:pPr>
          </w:p>
        </w:tc>
        <w:tc>
          <w:tcPr>
            <w:tcW w:w="0" w:type="auto"/>
            <w:gridSpan w:val="3"/>
            <w:shd w:val="clear" w:color="auto" w:fill="auto"/>
            <w:vAlign w:val="bottom"/>
          </w:tcPr>
          <w:p w14:paraId="74DE0733" w14:textId="77777777" w:rsidR="00584EC1" w:rsidRDefault="00584EC1">
            <w:pPr>
              <w:rPr>
                <w:rFonts w:ascii="宋体"/>
                <w:vanish/>
              </w:rPr>
            </w:pPr>
          </w:p>
        </w:tc>
        <w:tc>
          <w:tcPr>
            <w:tcW w:w="0" w:type="auto"/>
            <w:gridSpan w:val="3"/>
            <w:shd w:val="clear" w:color="auto" w:fill="auto"/>
            <w:vAlign w:val="bottom"/>
          </w:tcPr>
          <w:p w14:paraId="74DE0734" w14:textId="77777777" w:rsidR="00584EC1" w:rsidRDefault="00584EC1">
            <w:pPr>
              <w:rPr>
                <w:rFonts w:ascii="宋体"/>
                <w:vanish/>
              </w:rPr>
            </w:pPr>
          </w:p>
        </w:tc>
        <w:tc>
          <w:tcPr>
            <w:tcW w:w="0" w:type="auto"/>
            <w:gridSpan w:val="3"/>
            <w:shd w:val="clear" w:color="auto" w:fill="auto"/>
            <w:vAlign w:val="bottom"/>
          </w:tcPr>
          <w:p w14:paraId="74DE0735" w14:textId="77777777" w:rsidR="00584EC1" w:rsidRDefault="00584EC1">
            <w:pPr>
              <w:rPr>
                <w:rFonts w:ascii="宋体"/>
                <w:vanish/>
              </w:rPr>
            </w:pPr>
          </w:p>
        </w:tc>
        <w:tc>
          <w:tcPr>
            <w:tcW w:w="0" w:type="auto"/>
            <w:gridSpan w:val="3"/>
            <w:shd w:val="clear" w:color="auto" w:fill="auto"/>
            <w:vAlign w:val="bottom"/>
          </w:tcPr>
          <w:p w14:paraId="74DE0736" w14:textId="77777777" w:rsidR="00584EC1" w:rsidRDefault="00584EC1">
            <w:pPr>
              <w:rPr>
                <w:rFonts w:ascii="宋体"/>
                <w:vanish/>
              </w:rPr>
            </w:pPr>
          </w:p>
        </w:tc>
        <w:tc>
          <w:tcPr>
            <w:tcW w:w="0" w:type="auto"/>
            <w:gridSpan w:val="3"/>
            <w:shd w:val="clear" w:color="auto" w:fill="auto"/>
            <w:vAlign w:val="bottom"/>
          </w:tcPr>
          <w:p w14:paraId="74DE0737" w14:textId="77777777" w:rsidR="00584EC1" w:rsidRDefault="00584EC1">
            <w:pPr>
              <w:rPr>
                <w:rFonts w:ascii="宋体"/>
                <w:vanish/>
              </w:rPr>
            </w:pPr>
          </w:p>
        </w:tc>
        <w:tc>
          <w:tcPr>
            <w:tcW w:w="0" w:type="auto"/>
            <w:gridSpan w:val="3"/>
            <w:shd w:val="clear" w:color="auto" w:fill="auto"/>
            <w:vAlign w:val="bottom"/>
          </w:tcPr>
          <w:p w14:paraId="74DE0738" w14:textId="77777777" w:rsidR="00584EC1" w:rsidRDefault="00584EC1">
            <w:pPr>
              <w:rPr>
                <w:rFonts w:ascii="宋体"/>
                <w:vanish/>
              </w:rPr>
            </w:pPr>
          </w:p>
        </w:tc>
        <w:tc>
          <w:tcPr>
            <w:tcW w:w="0" w:type="auto"/>
            <w:gridSpan w:val="3"/>
            <w:shd w:val="clear" w:color="auto" w:fill="auto"/>
            <w:vAlign w:val="bottom"/>
          </w:tcPr>
          <w:p w14:paraId="74DE0739" w14:textId="77777777" w:rsidR="00584EC1" w:rsidRDefault="00584EC1">
            <w:pPr>
              <w:rPr>
                <w:rFonts w:ascii="宋体"/>
                <w:vanish/>
              </w:rPr>
            </w:pPr>
          </w:p>
        </w:tc>
        <w:tc>
          <w:tcPr>
            <w:tcW w:w="0" w:type="auto"/>
            <w:gridSpan w:val="3"/>
            <w:shd w:val="clear" w:color="auto" w:fill="auto"/>
            <w:vAlign w:val="bottom"/>
          </w:tcPr>
          <w:p w14:paraId="74DE073A" w14:textId="77777777" w:rsidR="00584EC1" w:rsidRDefault="00584EC1">
            <w:pPr>
              <w:rPr>
                <w:rFonts w:ascii="宋体"/>
                <w:vanish/>
              </w:rPr>
            </w:pPr>
          </w:p>
        </w:tc>
      </w:tr>
      <w:tr w:rsidR="00584EC1" w14:paraId="74DE074A" w14:textId="77777777">
        <w:trPr>
          <w:hidden/>
        </w:trPr>
        <w:tc>
          <w:tcPr>
            <w:tcW w:w="0" w:type="auto"/>
            <w:gridSpan w:val="3"/>
            <w:shd w:val="clear" w:color="auto" w:fill="auto"/>
            <w:vAlign w:val="bottom"/>
          </w:tcPr>
          <w:p w14:paraId="74DE073C" w14:textId="77777777" w:rsidR="00584EC1" w:rsidRDefault="00584EC1">
            <w:pPr>
              <w:rPr>
                <w:rFonts w:ascii="宋体"/>
                <w:vanish/>
              </w:rPr>
            </w:pPr>
          </w:p>
        </w:tc>
        <w:tc>
          <w:tcPr>
            <w:tcW w:w="0" w:type="auto"/>
            <w:gridSpan w:val="3"/>
            <w:shd w:val="clear" w:color="auto" w:fill="auto"/>
            <w:vAlign w:val="bottom"/>
          </w:tcPr>
          <w:p w14:paraId="74DE073D" w14:textId="77777777" w:rsidR="00584EC1" w:rsidRDefault="00584EC1">
            <w:pPr>
              <w:rPr>
                <w:rFonts w:ascii="宋体"/>
                <w:vanish/>
              </w:rPr>
            </w:pPr>
          </w:p>
        </w:tc>
        <w:tc>
          <w:tcPr>
            <w:tcW w:w="0" w:type="auto"/>
            <w:gridSpan w:val="3"/>
            <w:shd w:val="clear" w:color="auto" w:fill="auto"/>
            <w:vAlign w:val="bottom"/>
          </w:tcPr>
          <w:p w14:paraId="74DE073E" w14:textId="77777777" w:rsidR="00584EC1" w:rsidRDefault="00584EC1">
            <w:pPr>
              <w:rPr>
                <w:rFonts w:ascii="宋体"/>
                <w:vanish/>
              </w:rPr>
            </w:pPr>
          </w:p>
        </w:tc>
        <w:tc>
          <w:tcPr>
            <w:tcW w:w="0" w:type="auto"/>
            <w:gridSpan w:val="3"/>
            <w:shd w:val="clear" w:color="auto" w:fill="auto"/>
            <w:vAlign w:val="bottom"/>
          </w:tcPr>
          <w:p w14:paraId="74DE073F" w14:textId="77777777" w:rsidR="00584EC1" w:rsidRDefault="00584EC1">
            <w:pPr>
              <w:rPr>
                <w:rFonts w:ascii="宋体"/>
                <w:vanish/>
              </w:rPr>
            </w:pPr>
          </w:p>
        </w:tc>
        <w:tc>
          <w:tcPr>
            <w:tcW w:w="0" w:type="auto"/>
            <w:gridSpan w:val="3"/>
            <w:shd w:val="clear" w:color="auto" w:fill="auto"/>
            <w:vAlign w:val="bottom"/>
          </w:tcPr>
          <w:p w14:paraId="74DE0740" w14:textId="77777777" w:rsidR="00584EC1" w:rsidRDefault="00584EC1">
            <w:pPr>
              <w:rPr>
                <w:rFonts w:ascii="宋体"/>
                <w:vanish/>
              </w:rPr>
            </w:pPr>
          </w:p>
        </w:tc>
        <w:tc>
          <w:tcPr>
            <w:tcW w:w="0" w:type="auto"/>
            <w:gridSpan w:val="3"/>
            <w:shd w:val="clear" w:color="auto" w:fill="auto"/>
            <w:vAlign w:val="bottom"/>
          </w:tcPr>
          <w:p w14:paraId="74DE0741" w14:textId="77777777" w:rsidR="00584EC1" w:rsidRDefault="00584EC1">
            <w:pPr>
              <w:rPr>
                <w:rFonts w:ascii="宋体"/>
                <w:vanish/>
              </w:rPr>
            </w:pPr>
          </w:p>
        </w:tc>
        <w:tc>
          <w:tcPr>
            <w:tcW w:w="0" w:type="auto"/>
            <w:gridSpan w:val="3"/>
            <w:shd w:val="clear" w:color="auto" w:fill="auto"/>
            <w:vAlign w:val="bottom"/>
          </w:tcPr>
          <w:p w14:paraId="74DE0742" w14:textId="77777777" w:rsidR="00584EC1" w:rsidRDefault="00584EC1">
            <w:pPr>
              <w:rPr>
                <w:rFonts w:ascii="宋体"/>
                <w:vanish/>
              </w:rPr>
            </w:pPr>
          </w:p>
        </w:tc>
        <w:tc>
          <w:tcPr>
            <w:tcW w:w="0" w:type="auto"/>
            <w:gridSpan w:val="3"/>
            <w:shd w:val="clear" w:color="auto" w:fill="auto"/>
            <w:vAlign w:val="bottom"/>
          </w:tcPr>
          <w:p w14:paraId="74DE0743" w14:textId="77777777" w:rsidR="00584EC1" w:rsidRDefault="00584EC1">
            <w:pPr>
              <w:rPr>
                <w:rFonts w:ascii="宋体"/>
                <w:vanish/>
              </w:rPr>
            </w:pPr>
          </w:p>
        </w:tc>
        <w:tc>
          <w:tcPr>
            <w:tcW w:w="0" w:type="auto"/>
            <w:gridSpan w:val="3"/>
            <w:shd w:val="clear" w:color="auto" w:fill="auto"/>
            <w:vAlign w:val="bottom"/>
          </w:tcPr>
          <w:p w14:paraId="74DE0744" w14:textId="77777777" w:rsidR="00584EC1" w:rsidRDefault="00584EC1">
            <w:pPr>
              <w:rPr>
                <w:rFonts w:ascii="宋体"/>
                <w:vanish/>
              </w:rPr>
            </w:pPr>
          </w:p>
        </w:tc>
        <w:tc>
          <w:tcPr>
            <w:tcW w:w="0" w:type="auto"/>
            <w:gridSpan w:val="3"/>
            <w:shd w:val="clear" w:color="auto" w:fill="auto"/>
            <w:vAlign w:val="bottom"/>
          </w:tcPr>
          <w:p w14:paraId="74DE0745" w14:textId="77777777" w:rsidR="00584EC1" w:rsidRDefault="00584EC1">
            <w:pPr>
              <w:rPr>
                <w:rFonts w:ascii="宋体"/>
                <w:vanish/>
              </w:rPr>
            </w:pPr>
          </w:p>
        </w:tc>
        <w:tc>
          <w:tcPr>
            <w:tcW w:w="0" w:type="auto"/>
            <w:gridSpan w:val="3"/>
            <w:shd w:val="clear" w:color="auto" w:fill="auto"/>
            <w:vAlign w:val="bottom"/>
          </w:tcPr>
          <w:p w14:paraId="74DE0746" w14:textId="77777777" w:rsidR="00584EC1" w:rsidRDefault="00584EC1">
            <w:pPr>
              <w:rPr>
                <w:rFonts w:ascii="宋体"/>
                <w:vanish/>
              </w:rPr>
            </w:pPr>
          </w:p>
        </w:tc>
        <w:tc>
          <w:tcPr>
            <w:tcW w:w="0" w:type="auto"/>
            <w:gridSpan w:val="3"/>
            <w:shd w:val="clear" w:color="auto" w:fill="auto"/>
            <w:vAlign w:val="bottom"/>
          </w:tcPr>
          <w:p w14:paraId="74DE0747" w14:textId="77777777" w:rsidR="00584EC1" w:rsidRDefault="00584EC1">
            <w:pPr>
              <w:rPr>
                <w:rFonts w:ascii="宋体"/>
                <w:vanish/>
              </w:rPr>
            </w:pPr>
          </w:p>
        </w:tc>
        <w:tc>
          <w:tcPr>
            <w:tcW w:w="0" w:type="auto"/>
            <w:gridSpan w:val="3"/>
            <w:shd w:val="clear" w:color="auto" w:fill="auto"/>
            <w:vAlign w:val="bottom"/>
          </w:tcPr>
          <w:p w14:paraId="74DE0748" w14:textId="77777777" w:rsidR="00584EC1" w:rsidRDefault="00584EC1">
            <w:pPr>
              <w:rPr>
                <w:rFonts w:ascii="宋体"/>
                <w:vanish/>
              </w:rPr>
            </w:pPr>
          </w:p>
        </w:tc>
        <w:tc>
          <w:tcPr>
            <w:tcW w:w="0" w:type="auto"/>
            <w:gridSpan w:val="3"/>
            <w:shd w:val="clear" w:color="auto" w:fill="auto"/>
            <w:vAlign w:val="bottom"/>
          </w:tcPr>
          <w:p w14:paraId="74DE0749" w14:textId="77777777" w:rsidR="00584EC1" w:rsidRDefault="00584EC1">
            <w:pPr>
              <w:rPr>
                <w:rFonts w:ascii="宋体"/>
                <w:vanish/>
              </w:rPr>
            </w:pPr>
          </w:p>
        </w:tc>
      </w:tr>
      <w:tr w:rsidR="00584EC1" w14:paraId="74DE0759" w14:textId="77777777">
        <w:trPr>
          <w:hidden/>
        </w:trPr>
        <w:tc>
          <w:tcPr>
            <w:tcW w:w="0" w:type="auto"/>
            <w:gridSpan w:val="3"/>
            <w:shd w:val="clear" w:color="auto" w:fill="auto"/>
            <w:vAlign w:val="bottom"/>
          </w:tcPr>
          <w:p w14:paraId="74DE074B" w14:textId="77777777" w:rsidR="00584EC1" w:rsidRDefault="00584EC1">
            <w:pPr>
              <w:rPr>
                <w:rFonts w:ascii="宋体"/>
                <w:vanish/>
              </w:rPr>
            </w:pPr>
          </w:p>
        </w:tc>
        <w:tc>
          <w:tcPr>
            <w:tcW w:w="0" w:type="auto"/>
            <w:gridSpan w:val="3"/>
            <w:shd w:val="clear" w:color="auto" w:fill="auto"/>
            <w:vAlign w:val="bottom"/>
          </w:tcPr>
          <w:p w14:paraId="74DE074C" w14:textId="77777777" w:rsidR="00584EC1" w:rsidRDefault="00584EC1">
            <w:pPr>
              <w:rPr>
                <w:rFonts w:ascii="宋体"/>
                <w:vanish/>
              </w:rPr>
            </w:pPr>
          </w:p>
        </w:tc>
        <w:tc>
          <w:tcPr>
            <w:tcW w:w="0" w:type="auto"/>
            <w:gridSpan w:val="3"/>
            <w:shd w:val="clear" w:color="auto" w:fill="auto"/>
            <w:vAlign w:val="bottom"/>
          </w:tcPr>
          <w:p w14:paraId="74DE074D" w14:textId="77777777" w:rsidR="00584EC1" w:rsidRDefault="00584EC1">
            <w:pPr>
              <w:rPr>
                <w:rFonts w:ascii="宋体"/>
                <w:vanish/>
              </w:rPr>
            </w:pPr>
          </w:p>
        </w:tc>
        <w:tc>
          <w:tcPr>
            <w:tcW w:w="0" w:type="auto"/>
            <w:gridSpan w:val="3"/>
            <w:shd w:val="clear" w:color="auto" w:fill="auto"/>
            <w:vAlign w:val="bottom"/>
          </w:tcPr>
          <w:p w14:paraId="74DE074E" w14:textId="77777777" w:rsidR="00584EC1" w:rsidRDefault="00584EC1">
            <w:pPr>
              <w:rPr>
                <w:rFonts w:ascii="宋体"/>
                <w:vanish/>
              </w:rPr>
            </w:pPr>
          </w:p>
        </w:tc>
        <w:tc>
          <w:tcPr>
            <w:tcW w:w="0" w:type="auto"/>
            <w:gridSpan w:val="3"/>
            <w:shd w:val="clear" w:color="auto" w:fill="auto"/>
            <w:vAlign w:val="bottom"/>
          </w:tcPr>
          <w:p w14:paraId="74DE074F" w14:textId="77777777" w:rsidR="00584EC1" w:rsidRDefault="00584EC1">
            <w:pPr>
              <w:rPr>
                <w:rFonts w:ascii="宋体"/>
                <w:vanish/>
              </w:rPr>
            </w:pPr>
          </w:p>
        </w:tc>
        <w:tc>
          <w:tcPr>
            <w:tcW w:w="0" w:type="auto"/>
            <w:gridSpan w:val="3"/>
            <w:shd w:val="clear" w:color="auto" w:fill="auto"/>
            <w:vAlign w:val="bottom"/>
          </w:tcPr>
          <w:p w14:paraId="74DE0750" w14:textId="77777777" w:rsidR="00584EC1" w:rsidRDefault="00584EC1">
            <w:pPr>
              <w:rPr>
                <w:rFonts w:ascii="宋体"/>
                <w:vanish/>
              </w:rPr>
            </w:pPr>
          </w:p>
        </w:tc>
        <w:tc>
          <w:tcPr>
            <w:tcW w:w="0" w:type="auto"/>
            <w:gridSpan w:val="3"/>
            <w:shd w:val="clear" w:color="auto" w:fill="auto"/>
            <w:vAlign w:val="bottom"/>
          </w:tcPr>
          <w:p w14:paraId="74DE0751" w14:textId="77777777" w:rsidR="00584EC1" w:rsidRDefault="00584EC1">
            <w:pPr>
              <w:rPr>
                <w:rFonts w:ascii="宋体"/>
                <w:vanish/>
              </w:rPr>
            </w:pPr>
          </w:p>
        </w:tc>
        <w:tc>
          <w:tcPr>
            <w:tcW w:w="0" w:type="auto"/>
            <w:gridSpan w:val="3"/>
            <w:shd w:val="clear" w:color="auto" w:fill="auto"/>
            <w:vAlign w:val="bottom"/>
          </w:tcPr>
          <w:p w14:paraId="74DE0752" w14:textId="77777777" w:rsidR="00584EC1" w:rsidRDefault="00584EC1">
            <w:pPr>
              <w:rPr>
                <w:rFonts w:ascii="宋体"/>
                <w:vanish/>
              </w:rPr>
            </w:pPr>
          </w:p>
        </w:tc>
        <w:tc>
          <w:tcPr>
            <w:tcW w:w="0" w:type="auto"/>
            <w:gridSpan w:val="3"/>
            <w:shd w:val="clear" w:color="auto" w:fill="auto"/>
            <w:vAlign w:val="bottom"/>
          </w:tcPr>
          <w:p w14:paraId="74DE0753" w14:textId="77777777" w:rsidR="00584EC1" w:rsidRDefault="00584EC1">
            <w:pPr>
              <w:rPr>
                <w:rFonts w:ascii="宋体"/>
                <w:vanish/>
              </w:rPr>
            </w:pPr>
          </w:p>
        </w:tc>
        <w:tc>
          <w:tcPr>
            <w:tcW w:w="0" w:type="auto"/>
            <w:gridSpan w:val="3"/>
            <w:shd w:val="clear" w:color="auto" w:fill="auto"/>
            <w:vAlign w:val="bottom"/>
          </w:tcPr>
          <w:p w14:paraId="74DE0754" w14:textId="77777777" w:rsidR="00584EC1" w:rsidRDefault="00584EC1">
            <w:pPr>
              <w:rPr>
                <w:rFonts w:ascii="宋体"/>
                <w:vanish/>
              </w:rPr>
            </w:pPr>
          </w:p>
        </w:tc>
        <w:tc>
          <w:tcPr>
            <w:tcW w:w="0" w:type="auto"/>
            <w:gridSpan w:val="3"/>
            <w:shd w:val="clear" w:color="auto" w:fill="auto"/>
            <w:vAlign w:val="bottom"/>
          </w:tcPr>
          <w:p w14:paraId="74DE0755" w14:textId="77777777" w:rsidR="00584EC1" w:rsidRDefault="00584EC1">
            <w:pPr>
              <w:rPr>
                <w:rFonts w:ascii="宋体"/>
                <w:vanish/>
              </w:rPr>
            </w:pPr>
          </w:p>
        </w:tc>
        <w:tc>
          <w:tcPr>
            <w:tcW w:w="0" w:type="auto"/>
            <w:gridSpan w:val="3"/>
            <w:shd w:val="clear" w:color="auto" w:fill="auto"/>
            <w:vAlign w:val="bottom"/>
          </w:tcPr>
          <w:p w14:paraId="74DE0756" w14:textId="77777777" w:rsidR="00584EC1" w:rsidRDefault="00584EC1">
            <w:pPr>
              <w:rPr>
                <w:rFonts w:ascii="宋体"/>
                <w:vanish/>
              </w:rPr>
            </w:pPr>
          </w:p>
        </w:tc>
        <w:tc>
          <w:tcPr>
            <w:tcW w:w="0" w:type="auto"/>
            <w:gridSpan w:val="3"/>
            <w:shd w:val="clear" w:color="auto" w:fill="auto"/>
            <w:vAlign w:val="bottom"/>
          </w:tcPr>
          <w:p w14:paraId="74DE0757" w14:textId="77777777" w:rsidR="00584EC1" w:rsidRDefault="00584EC1">
            <w:pPr>
              <w:rPr>
                <w:rFonts w:ascii="宋体"/>
                <w:vanish/>
              </w:rPr>
            </w:pPr>
          </w:p>
        </w:tc>
        <w:tc>
          <w:tcPr>
            <w:tcW w:w="0" w:type="auto"/>
            <w:gridSpan w:val="3"/>
            <w:shd w:val="clear" w:color="auto" w:fill="auto"/>
            <w:vAlign w:val="bottom"/>
          </w:tcPr>
          <w:p w14:paraId="74DE0758" w14:textId="77777777" w:rsidR="00584EC1" w:rsidRDefault="00584EC1">
            <w:pPr>
              <w:rPr>
                <w:rFonts w:ascii="宋体"/>
                <w:vanish/>
              </w:rPr>
            </w:pPr>
          </w:p>
        </w:tc>
      </w:tr>
      <w:tr w:rsidR="00584EC1" w14:paraId="74DE0776" w14:textId="77777777">
        <w:tc>
          <w:tcPr>
            <w:tcW w:w="0" w:type="auto"/>
            <w:gridSpan w:val="3"/>
            <w:shd w:val="clear" w:color="auto" w:fill="CCEEFF"/>
            <w:tcMar>
              <w:top w:w="40" w:type="dxa"/>
              <w:left w:w="20" w:type="dxa"/>
              <w:bottom w:w="40" w:type="dxa"/>
              <w:right w:w="20" w:type="dxa"/>
            </w:tcMar>
            <w:vAlign w:val="bottom"/>
          </w:tcPr>
          <w:p w14:paraId="74DE075A" w14:textId="77777777" w:rsidR="00584EC1" w:rsidRDefault="00871F8D">
            <w:pPr>
              <w:textAlignment w:val="bottom"/>
            </w:pPr>
            <w:r>
              <w:rPr>
                <w:rFonts w:ascii="Arial" w:eastAsia="宋体" w:hAnsi="Arial" w:cs="Arial"/>
                <w:b/>
                <w:bCs/>
                <w:color w:val="000000"/>
                <w:sz w:val="13"/>
                <w:szCs w:val="13"/>
              </w:rPr>
              <w:t>Balance as of December 31, 2020</w:t>
            </w:r>
          </w:p>
        </w:tc>
        <w:tc>
          <w:tcPr>
            <w:tcW w:w="0" w:type="auto"/>
            <w:tcBorders>
              <w:top w:val="single" w:sz="8" w:space="0" w:color="000000"/>
            </w:tcBorders>
            <w:shd w:val="clear" w:color="auto" w:fill="CCEEFF"/>
            <w:tcMar>
              <w:top w:w="40" w:type="dxa"/>
              <w:left w:w="20" w:type="dxa"/>
              <w:bottom w:w="40" w:type="dxa"/>
              <w:right w:w="0" w:type="dxa"/>
            </w:tcMar>
            <w:vAlign w:val="bottom"/>
          </w:tcPr>
          <w:p w14:paraId="74DE075B" w14:textId="77777777" w:rsidR="00584EC1" w:rsidRDefault="00871F8D">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075C" w14:textId="77777777" w:rsidR="00584EC1" w:rsidRDefault="00871F8D">
            <w:pPr>
              <w:jc w:val="right"/>
              <w:textAlignment w:val="bottom"/>
            </w:pPr>
            <w:r>
              <w:rPr>
                <w:rFonts w:ascii="Arial" w:eastAsia="宋体" w:hAnsi="Arial" w:cs="Arial"/>
                <w:color w:val="000000"/>
                <w:sz w:val="13"/>
                <w:szCs w:val="13"/>
              </w:rPr>
              <w:t>57 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75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75E"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075F" w14:textId="77777777" w:rsidR="00584EC1" w:rsidRDefault="00871F8D">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0760" w14:textId="77777777" w:rsidR="00584EC1" w:rsidRDefault="00871F8D">
            <w:pPr>
              <w:jc w:val="right"/>
              <w:textAlignment w:val="bottom"/>
            </w:pPr>
            <w:r>
              <w:rPr>
                <w:rFonts w:ascii="Arial" w:eastAsia="宋体" w:hAnsi="Arial" w:cs="Arial"/>
                <w:color w:val="000000"/>
                <w:sz w:val="13"/>
                <w:szCs w:val="13"/>
              </w:rPr>
              <w:t>848 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76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762"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0763" w14:textId="77777777" w:rsidR="00584EC1" w:rsidRDefault="00871F8D">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0764" w14:textId="77777777" w:rsidR="00584EC1" w:rsidRDefault="00871F8D">
            <w:pPr>
              <w:jc w:val="right"/>
              <w:textAlignment w:val="bottom"/>
            </w:pPr>
            <w:r>
              <w:rPr>
                <w:rFonts w:ascii="Arial" w:eastAsia="宋体" w:hAnsi="Arial" w:cs="Arial"/>
                <w:color w:val="000000"/>
                <w:sz w:val="13"/>
                <w:szCs w:val="13"/>
              </w:rPr>
              <w:t>(204)</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76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766"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0767" w14:textId="77777777" w:rsidR="00584EC1" w:rsidRDefault="00871F8D">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0768" w14:textId="77777777" w:rsidR="00584EC1" w:rsidRDefault="00871F8D">
            <w:pPr>
              <w:jc w:val="right"/>
              <w:textAlignment w:val="bottom"/>
            </w:pPr>
            <w:r>
              <w:rPr>
                <w:rFonts w:ascii="Arial" w:eastAsia="宋体" w:hAnsi="Arial" w:cs="Arial"/>
                <w:color w:val="000000"/>
                <w:sz w:val="13"/>
                <w:szCs w:val="13"/>
              </w:rPr>
              <w:t>(2)</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76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76A"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076B" w14:textId="77777777" w:rsidR="00584EC1" w:rsidRDefault="00871F8D">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076C" w14:textId="77777777" w:rsidR="00584EC1" w:rsidRDefault="00871F8D">
            <w:pPr>
              <w:jc w:val="right"/>
              <w:textAlignment w:val="bottom"/>
            </w:pPr>
            <w:r>
              <w:rPr>
                <w:rFonts w:ascii="Arial" w:eastAsia="宋体" w:hAnsi="Arial" w:cs="Arial"/>
                <w:color w:val="000000"/>
                <w:sz w:val="13"/>
                <w:szCs w:val="13"/>
              </w:rPr>
              <w:t>(178)</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76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76E"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076F" w14:textId="77777777" w:rsidR="00584EC1" w:rsidRDefault="00871F8D">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0770" w14:textId="77777777" w:rsidR="00584EC1" w:rsidRDefault="00871F8D">
            <w:pPr>
              <w:jc w:val="right"/>
              <w:textAlignment w:val="bottom"/>
            </w:pPr>
            <w:r>
              <w:rPr>
                <w:rFonts w:ascii="Arial" w:eastAsia="宋体" w:hAnsi="Arial" w:cs="Arial"/>
                <w:color w:val="000000"/>
                <w:sz w:val="13"/>
                <w:szCs w:val="13"/>
              </w:rPr>
              <w:t>(334)</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77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772"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0773" w14:textId="77777777" w:rsidR="00584EC1" w:rsidRDefault="00871F8D">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0774" w14:textId="77777777" w:rsidR="00584EC1" w:rsidRDefault="00871F8D">
            <w:pPr>
              <w:jc w:val="right"/>
              <w:textAlignment w:val="bottom"/>
            </w:pPr>
            <w:r>
              <w:rPr>
                <w:rFonts w:ascii="Arial" w:eastAsia="宋体" w:hAnsi="Arial" w:cs="Arial"/>
                <w:color w:val="000000"/>
                <w:sz w:val="13"/>
                <w:szCs w:val="13"/>
              </w:rPr>
              <w:t>187 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775" w14:textId="77777777" w:rsidR="00584EC1" w:rsidRDefault="00584EC1">
            <w:pPr>
              <w:jc w:val="right"/>
              <w:rPr>
                <w:rFonts w:ascii="宋体"/>
              </w:rPr>
            </w:pPr>
          </w:p>
        </w:tc>
      </w:tr>
      <w:tr w:rsidR="00584EC1" w14:paraId="74DE078C" w14:textId="77777777">
        <w:tc>
          <w:tcPr>
            <w:tcW w:w="0" w:type="auto"/>
            <w:gridSpan w:val="3"/>
            <w:shd w:val="clear" w:color="auto" w:fill="FFFFFF"/>
            <w:tcMar>
              <w:top w:w="40" w:type="dxa"/>
              <w:left w:w="20" w:type="dxa"/>
              <w:bottom w:w="40" w:type="dxa"/>
              <w:right w:w="20" w:type="dxa"/>
            </w:tcMar>
            <w:vAlign w:val="bottom"/>
          </w:tcPr>
          <w:p w14:paraId="74DE0777" w14:textId="77777777" w:rsidR="00584EC1" w:rsidRDefault="00871F8D">
            <w:pPr>
              <w:textAlignment w:val="bottom"/>
            </w:pPr>
            <w:r>
              <w:rPr>
                <w:rFonts w:ascii="Arial" w:eastAsia="宋体" w:hAnsi="Arial" w:cs="Arial"/>
                <w:color w:val="000000"/>
                <w:sz w:val="13"/>
                <w:szCs w:val="13"/>
              </w:rPr>
              <w:t>Other comprehensive income (loss) before reclassifications</w:t>
            </w:r>
          </w:p>
        </w:tc>
        <w:tc>
          <w:tcPr>
            <w:tcW w:w="0" w:type="auto"/>
            <w:gridSpan w:val="2"/>
            <w:shd w:val="clear" w:color="auto" w:fill="FFFFFF"/>
            <w:tcMar>
              <w:top w:w="40" w:type="dxa"/>
              <w:left w:w="20" w:type="dxa"/>
              <w:bottom w:w="40" w:type="dxa"/>
              <w:right w:w="0" w:type="dxa"/>
            </w:tcMar>
            <w:vAlign w:val="bottom"/>
          </w:tcPr>
          <w:p w14:paraId="74DE0778" w14:textId="77777777" w:rsidR="00584EC1" w:rsidRDefault="00871F8D">
            <w:pPr>
              <w:jc w:val="right"/>
              <w:textAlignment w:val="bottom"/>
            </w:pPr>
            <w:r>
              <w:rPr>
                <w:rFonts w:ascii="Arial" w:eastAsia="宋体" w:hAnsi="Arial" w:cs="Arial"/>
                <w:b/>
                <w:bCs/>
                <w:color w:val="000000"/>
                <w:sz w:val="13"/>
                <w:szCs w:val="13"/>
              </w:rPr>
              <w:t>35</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E077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77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77B" w14:textId="77777777" w:rsidR="00584EC1" w:rsidRDefault="00871F8D">
            <w:pPr>
              <w:jc w:val="right"/>
              <w:textAlignment w:val="bottom"/>
            </w:pPr>
            <w:r>
              <w:rPr>
                <w:rFonts w:ascii="Arial" w:eastAsia="宋体" w:hAnsi="Arial" w:cs="Arial"/>
                <w:b/>
                <w:bCs/>
                <w:color w:val="000000"/>
                <w:sz w:val="13"/>
                <w:szCs w:val="13"/>
              </w:rPr>
              <w:t>(558)</w:t>
            </w:r>
          </w:p>
        </w:tc>
        <w:tc>
          <w:tcPr>
            <w:tcW w:w="0" w:type="auto"/>
            <w:shd w:val="clear" w:color="auto" w:fill="FFFFFF"/>
            <w:tcMar>
              <w:top w:w="40" w:type="dxa"/>
              <w:left w:w="0" w:type="dxa"/>
              <w:bottom w:w="40" w:type="dxa"/>
              <w:right w:w="20" w:type="dxa"/>
            </w:tcMar>
            <w:vAlign w:val="bottom"/>
          </w:tcPr>
          <w:p w14:paraId="74DE077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77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77E" w14:textId="77777777" w:rsidR="00584EC1" w:rsidRDefault="00871F8D">
            <w:pPr>
              <w:jc w:val="right"/>
              <w:textAlignment w:val="bottom"/>
            </w:pPr>
            <w:r>
              <w:rPr>
                <w:rFonts w:ascii="Arial" w:eastAsia="宋体" w:hAnsi="Arial" w:cs="Arial"/>
                <w:b/>
                <w:bCs/>
                <w:color w:val="000000"/>
                <w:sz w:val="13"/>
                <w:szCs w:val="13"/>
              </w:rPr>
              <w:t>222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E077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78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781" w14:textId="77777777" w:rsidR="00584EC1" w:rsidRDefault="00871F8D">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E078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78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784" w14:textId="77777777" w:rsidR="00584EC1" w:rsidRDefault="00871F8D">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E078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78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787" w14:textId="77777777" w:rsidR="00584EC1" w:rsidRDefault="00871F8D">
            <w:pPr>
              <w:jc w:val="right"/>
              <w:textAlignment w:val="bottom"/>
            </w:pPr>
            <w:r>
              <w:rPr>
                <w:rFonts w:ascii="Arial" w:eastAsia="宋体" w:hAnsi="Arial" w:cs="Arial"/>
                <w:b/>
                <w:bCs/>
                <w:color w:val="000000"/>
                <w:sz w:val="13"/>
                <w:szCs w:val="13"/>
              </w:rPr>
              <w:t>(529)</w:t>
            </w:r>
          </w:p>
        </w:tc>
        <w:tc>
          <w:tcPr>
            <w:tcW w:w="0" w:type="auto"/>
            <w:shd w:val="clear" w:color="auto" w:fill="FFFFFF"/>
            <w:tcMar>
              <w:top w:w="40" w:type="dxa"/>
              <w:left w:w="0" w:type="dxa"/>
              <w:bottom w:w="40" w:type="dxa"/>
              <w:right w:w="20" w:type="dxa"/>
            </w:tcMar>
            <w:vAlign w:val="bottom"/>
          </w:tcPr>
          <w:p w14:paraId="74DE078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78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78A" w14:textId="77777777" w:rsidR="00584EC1" w:rsidRDefault="00871F8D">
            <w:pPr>
              <w:jc w:val="right"/>
              <w:textAlignment w:val="bottom"/>
            </w:pPr>
            <w:r>
              <w:rPr>
                <w:rFonts w:ascii="Arial" w:eastAsia="宋体" w:hAnsi="Arial" w:cs="Arial"/>
                <w:b/>
                <w:bCs/>
                <w:color w:val="000000"/>
                <w:sz w:val="13"/>
                <w:szCs w:val="13"/>
              </w:rPr>
              <w:t>(830)</w:t>
            </w:r>
          </w:p>
        </w:tc>
        <w:tc>
          <w:tcPr>
            <w:tcW w:w="0" w:type="auto"/>
            <w:shd w:val="clear" w:color="auto" w:fill="FFFFFF"/>
            <w:tcMar>
              <w:top w:w="40" w:type="dxa"/>
              <w:left w:w="0" w:type="dxa"/>
              <w:bottom w:w="40" w:type="dxa"/>
              <w:right w:w="20" w:type="dxa"/>
            </w:tcMar>
            <w:vAlign w:val="bottom"/>
          </w:tcPr>
          <w:p w14:paraId="74DE078B" w14:textId="77777777" w:rsidR="00584EC1" w:rsidRDefault="00584EC1">
            <w:pPr>
              <w:jc w:val="right"/>
              <w:rPr>
                <w:rFonts w:ascii="宋体"/>
              </w:rPr>
            </w:pPr>
          </w:p>
        </w:tc>
      </w:tr>
      <w:tr w:rsidR="00584EC1" w14:paraId="74DE079B" w14:textId="77777777">
        <w:trPr>
          <w:hidden/>
        </w:trPr>
        <w:tc>
          <w:tcPr>
            <w:tcW w:w="0" w:type="auto"/>
            <w:gridSpan w:val="3"/>
            <w:shd w:val="clear" w:color="auto" w:fill="auto"/>
            <w:vAlign w:val="bottom"/>
          </w:tcPr>
          <w:p w14:paraId="74DE078D" w14:textId="77777777" w:rsidR="00584EC1" w:rsidRDefault="00584EC1">
            <w:pPr>
              <w:rPr>
                <w:rFonts w:ascii="宋体"/>
                <w:vanish/>
              </w:rPr>
            </w:pPr>
          </w:p>
        </w:tc>
        <w:tc>
          <w:tcPr>
            <w:tcW w:w="0" w:type="auto"/>
            <w:gridSpan w:val="3"/>
            <w:shd w:val="clear" w:color="auto" w:fill="auto"/>
            <w:vAlign w:val="bottom"/>
          </w:tcPr>
          <w:p w14:paraId="74DE078E" w14:textId="77777777" w:rsidR="00584EC1" w:rsidRDefault="00584EC1">
            <w:pPr>
              <w:rPr>
                <w:rFonts w:ascii="宋体"/>
                <w:vanish/>
              </w:rPr>
            </w:pPr>
          </w:p>
        </w:tc>
        <w:tc>
          <w:tcPr>
            <w:tcW w:w="0" w:type="auto"/>
            <w:gridSpan w:val="3"/>
            <w:shd w:val="clear" w:color="auto" w:fill="auto"/>
            <w:vAlign w:val="bottom"/>
          </w:tcPr>
          <w:p w14:paraId="74DE078F" w14:textId="77777777" w:rsidR="00584EC1" w:rsidRDefault="00584EC1">
            <w:pPr>
              <w:rPr>
                <w:rFonts w:ascii="宋体"/>
                <w:vanish/>
              </w:rPr>
            </w:pPr>
          </w:p>
        </w:tc>
        <w:tc>
          <w:tcPr>
            <w:tcW w:w="0" w:type="auto"/>
            <w:gridSpan w:val="3"/>
            <w:shd w:val="clear" w:color="auto" w:fill="auto"/>
            <w:vAlign w:val="bottom"/>
          </w:tcPr>
          <w:p w14:paraId="74DE0790" w14:textId="77777777" w:rsidR="00584EC1" w:rsidRDefault="00584EC1">
            <w:pPr>
              <w:rPr>
                <w:rFonts w:ascii="宋体"/>
                <w:vanish/>
              </w:rPr>
            </w:pPr>
          </w:p>
        </w:tc>
        <w:tc>
          <w:tcPr>
            <w:tcW w:w="0" w:type="auto"/>
            <w:gridSpan w:val="3"/>
            <w:shd w:val="clear" w:color="auto" w:fill="auto"/>
            <w:vAlign w:val="bottom"/>
          </w:tcPr>
          <w:p w14:paraId="74DE0791" w14:textId="77777777" w:rsidR="00584EC1" w:rsidRDefault="00584EC1">
            <w:pPr>
              <w:rPr>
                <w:rFonts w:ascii="宋体"/>
                <w:vanish/>
              </w:rPr>
            </w:pPr>
          </w:p>
        </w:tc>
        <w:tc>
          <w:tcPr>
            <w:tcW w:w="0" w:type="auto"/>
            <w:gridSpan w:val="3"/>
            <w:shd w:val="clear" w:color="auto" w:fill="auto"/>
            <w:vAlign w:val="bottom"/>
          </w:tcPr>
          <w:p w14:paraId="74DE0792" w14:textId="77777777" w:rsidR="00584EC1" w:rsidRDefault="00584EC1">
            <w:pPr>
              <w:rPr>
                <w:rFonts w:ascii="宋体"/>
                <w:vanish/>
              </w:rPr>
            </w:pPr>
          </w:p>
        </w:tc>
        <w:tc>
          <w:tcPr>
            <w:tcW w:w="0" w:type="auto"/>
            <w:gridSpan w:val="3"/>
            <w:shd w:val="clear" w:color="auto" w:fill="auto"/>
            <w:vAlign w:val="bottom"/>
          </w:tcPr>
          <w:p w14:paraId="74DE0793" w14:textId="77777777" w:rsidR="00584EC1" w:rsidRDefault="00584EC1">
            <w:pPr>
              <w:rPr>
                <w:rFonts w:ascii="宋体"/>
                <w:vanish/>
              </w:rPr>
            </w:pPr>
          </w:p>
        </w:tc>
        <w:tc>
          <w:tcPr>
            <w:tcW w:w="0" w:type="auto"/>
            <w:gridSpan w:val="3"/>
            <w:shd w:val="clear" w:color="auto" w:fill="auto"/>
            <w:vAlign w:val="bottom"/>
          </w:tcPr>
          <w:p w14:paraId="74DE0794" w14:textId="77777777" w:rsidR="00584EC1" w:rsidRDefault="00584EC1">
            <w:pPr>
              <w:rPr>
                <w:rFonts w:ascii="宋体"/>
                <w:vanish/>
              </w:rPr>
            </w:pPr>
          </w:p>
        </w:tc>
        <w:tc>
          <w:tcPr>
            <w:tcW w:w="0" w:type="auto"/>
            <w:gridSpan w:val="3"/>
            <w:shd w:val="clear" w:color="auto" w:fill="auto"/>
            <w:vAlign w:val="bottom"/>
          </w:tcPr>
          <w:p w14:paraId="74DE0795" w14:textId="77777777" w:rsidR="00584EC1" w:rsidRDefault="00584EC1">
            <w:pPr>
              <w:rPr>
                <w:rFonts w:ascii="宋体"/>
                <w:vanish/>
              </w:rPr>
            </w:pPr>
          </w:p>
        </w:tc>
        <w:tc>
          <w:tcPr>
            <w:tcW w:w="0" w:type="auto"/>
            <w:gridSpan w:val="3"/>
            <w:shd w:val="clear" w:color="auto" w:fill="auto"/>
            <w:vAlign w:val="bottom"/>
          </w:tcPr>
          <w:p w14:paraId="74DE0796" w14:textId="77777777" w:rsidR="00584EC1" w:rsidRDefault="00584EC1">
            <w:pPr>
              <w:rPr>
                <w:rFonts w:ascii="宋体"/>
                <w:vanish/>
              </w:rPr>
            </w:pPr>
          </w:p>
        </w:tc>
        <w:tc>
          <w:tcPr>
            <w:tcW w:w="0" w:type="auto"/>
            <w:gridSpan w:val="3"/>
            <w:shd w:val="clear" w:color="auto" w:fill="auto"/>
            <w:vAlign w:val="bottom"/>
          </w:tcPr>
          <w:p w14:paraId="74DE0797" w14:textId="77777777" w:rsidR="00584EC1" w:rsidRDefault="00584EC1">
            <w:pPr>
              <w:rPr>
                <w:rFonts w:ascii="宋体"/>
                <w:vanish/>
              </w:rPr>
            </w:pPr>
          </w:p>
        </w:tc>
        <w:tc>
          <w:tcPr>
            <w:tcW w:w="0" w:type="auto"/>
            <w:gridSpan w:val="3"/>
            <w:shd w:val="clear" w:color="auto" w:fill="auto"/>
            <w:vAlign w:val="bottom"/>
          </w:tcPr>
          <w:p w14:paraId="74DE0798" w14:textId="77777777" w:rsidR="00584EC1" w:rsidRDefault="00584EC1">
            <w:pPr>
              <w:rPr>
                <w:rFonts w:ascii="宋体"/>
                <w:vanish/>
              </w:rPr>
            </w:pPr>
          </w:p>
        </w:tc>
        <w:tc>
          <w:tcPr>
            <w:tcW w:w="0" w:type="auto"/>
            <w:gridSpan w:val="3"/>
            <w:shd w:val="clear" w:color="auto" w:fill="auto"/>
            <w:vAlign w:val="bottom"/>
          </w:tcPr>
          <w:p w14:paraId="74DE0799" w14:textId="77777777" w:rsidR="00584EC1" w:rsidRDefault="00584EC1">
            <w:pPr>
              <w:rPr>
                <w:rFonts w:ascii="宋体"/>
                <w:vanish/>
              </w:rPr>
            </w:pPr>
          </w:p>
        </w:tc>
        <w:tc>
          <w:tcPr>
            <w:tcW w:w="0" w:type="auto"/>
            <w:gridSpan w:val="3"/>
            <w:shd w:val="clear" w:color="auto" w:fill="auto"/>
            <w:vAlign w:val="bottom"/>
          </w:tcPr>
          <w:p w14:paraId="74DE079A" w14:textId="77777777" w:rsidR="00584EC1" w:rsidRDefault="00584EC1">
            <w:pPr>
              <w:rPr>
                <w:rFonts w:ascii="宋体"/>
                <w:vanish/>
              </w:rPr>
            </w:pPr>
          </w:p>
        </w:tc>
      </w:tr>
      <w:tr w:rsidR="00584EC1" w14:paraId="74DE07B1" w14:textId="77777777">
        <w:tc>
          <w:tcPr>
            <w:tcW w:w="0" w:type="auto"/>
            <w:gridSpan w:val="3"/>
            <w:shd w:val="clear" w:color="auto" w:fill="CCEEFF"/>
            <w:tcMar>
              <w:top w:w="40" w:type="dxa"/>
              <w:left w:w="20" w:type="dxa"/>
              <w:bottom w:w="40" w:type="dxa"/>
              <w:right w:w="20" w:type="dxa"/>
            </w:tcMar>
            <w:vAlign w:val="bottom"/>
          </w:tcPr>
          <w:p w14:paraId="74DE079C" w14:textId="77777777" w:rsidR="00584EC1" w:rsidRDefault="00871F8D">
            <w:pPr>
              <w:textAlignment w:val="bottom"/>
            </w:pPr>
            <w:r>
              <w:rPr>
                <w:rFonts w:ascii="Arial" w:eastAsia="宋体" w:hAnsi="Arial" w:cs="Arial"/>
                <w:color w:val="000000"/>
                <w:sz w:val="13"/>
                <w:szCs w:val="13"/>
              </w:rPr>
              <w:t xml:space="preserve">Amounts reclassified into (out of) </w:t>
            </w:r>
            <w:r>
              <w:rPr>
                <w:rFonts w:ascii="Arial" w:eastAsia="宋体" w:hAnsi="Arial" w:cs="Arial"/>
                <w:color w:val="000000"/>
                <w:sz w:val="13"/>
                <w:szCs w:val="13"/>
              </w:rPr>
              <w:t>accumulated other comprehensive loss</w:t>
            </w:r>
          </w:p>
        </w:tc>
        <w:tc>
          <w:tcPr>
            <w:tcW w:w="0" w:type="auto"/>
            <w:gridSpan w:val="2"/>
            <w:shd w:val="clear" w:color="auto" w:fill="CCEEFF"/>
            <w:tcMar>
              <w:top w:w="40" w:type="dxa"/>
              <w:left w:w="20" w:type="dxa"/>
              <w:bottom w:w="40" w:type="dxa"/>
              <w:right w:w="0" w:type="dxa"/>
            </w:tcMar>
            <w:vAlign w:val="bottom"/>
          </w:tcPr>
          <w:p w14:paraId="74DE079D" w14:textId="77777777" w:rsidR="00584EC1" w:rsidRDefault="00871F8D">
            <w:pPr>
              <w:jc w:val="right"/>
              <w:textAlignment w:val="bottom"/>
            </w:pPr>
            <w:r>
              <w:rPr>
                <w:rFonts w:ascii="Arial" w:eastAsia="宋体" w:hAnsi="Arial" w:cs="Arial"/>
                <w:b/>
                <w:bCs/>
                <w:color w:val="000000"/>
                <w:sz w:val="13"/>
                <w:szCs w:val="13"/>
              </w:rPr>
              <w:t>(51)</w:t>
            </w:r>
          </w:p>
        </w:tc>
        <w:tc>
          <w:tcPr>
            <w:tcW w:w="0" w:type="auto"/>
            <w:shd w:val="clear" w:color="auto" w:fill="CCEEFF"/>
            <w:tcMar>
              <w:top w:w="40" w:type="dxa"/>
              <w:left w:w="0" w:type="dxa"/>
              <w:bottom w:w="40" w:type="dxa"/>
              <w:right w:w="20" w:type="dxa"/>
            </w:tcMar>
            <w:vAlign w:val="bottom"/>
          </w:tcPr>
          <w:p w14:paraId="74DE079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79F"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7A0" w14:textId="77777777" w:rsidR="00584EC1" w:rsidRDefault="00871F8D">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E07A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7A2"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7A3" w14:textId="77777777" w:rsidR="00584EC1" w:rsidRDefault="00871F8D">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E07A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7A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7A6" w14:textId="77777777" w:rsidR="00584EC1" w:rsidRDefault="00871F8D">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E07A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7A8"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7A9" w14:textId="77777777" w:rsidR="00584EC1" w:rsidRDefault="00871F8D">
            <w:pPr>
              <w:jc w:val="right"/>
              <w:textAlignment w:val="bottom"/>
            </w:pPr>
            <w:r>
              <w:rPr>
                <w:rFonts w:ascii="Arial" w:eastAsia="宋体" w:hAnsi="Arial" w:cs="Arial"/>
                <w:b/>
                <w:bCs/>
                <w:color w:val="000000"/>
                <w:sz w:val="13"/>
                <w:szCs w:val="13"/>
              </w:rPr>
              <w:t>12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E07A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7A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7AC" w14:textId="77777777" w:rsidR="00584EC1" w:rsidRDefault="00871F8D">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E07A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7AE"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7AF" w14:textId="77777777" w:rsidR="00584EC1" w:rsidRDefault="00871F8D">
            <w:pPr>
              <w:jc w:val="right"/>
              <w:textAlignment w:val="bottom"/>
            </w:pPr>
            <w:r>
              <w:rPr>
                <w:rFonts w:ascii="Arial" w:eastAsia="宋体" w:hAnsi="Arial" w:cs="Arial"/>
                <w:b/>
                <w:bCs/>
                <w:color w:val="000000"/>
                <w:sz w:val="13"/>
                <w:szCs w:val="13"/>
              </w:rPr>
              <w:t>(39)</w:t>
            </w:r>
          </w:p>
        </w:tc>
        <w:tc>
          <w:tcPr>
            <w:tcW w:w="0" w:type="auto"/>
            <w:shd w:val="clear" w:color="auto" w:fill="CCEEFF"/>
            <w:tcMar>
              <w:top w:w="40" w:type="dxa"/>
              <w:left w:w="0" w:type="dxa"/>
              <w:bottom w:w="40" w:type="dxa"/>
              <w:right w:w="20" w:type="dxa"/>
            </w:tcMar>
            <w:vAlign w:val="bottom"/>
          </w:tcPr>
          <w:p w14:paraId="74DE07B0" w14:textId="77777777" w:rsidR="00584EC1" w:rsidRDefault="00584EC1">
            <w:pPr>
              <w:jc w:val="right"/>
              <w:rPr>
                <w:rFonts w:ascii="宋体"/>
              </w:rPr>
            </w:pPr>
          </w:p>
        </w:tc>
      </w:tr>
      <w:tr w:rsidR="00584EC1" w14:paraId="74DE07C7" w14:textId="77777777">
        <w:tc>
          <w:tcPr>
            <w:tcW w:w="0" w:type="auto"/>
            <w:gridSpan w:val="3"/>
            <w:shd w:val="clear" w:color="auto" w:fill="FFFFFF"/>
            <w:tcMar>
              <w:top w:w="40" w:type="dxa"/>
              <w:left w:w="20" w:type="dxa"/>
              <w:bottom w:w="40" w:type="dxa"/>
              <w:right w:w="20" w:type="dxa"/>
            </w:tcMar>
            <w:vAlign w:val="bottom"/>
          </w:tcPr>
          <w:p w14:paraId="74DE07B2" w14:textId="77777777" w:rsidR="00584EC1" w:rsidRDefault="00871F8D">
            <w:pPr>
              <w:textAlignment w:val="bottom"/>
            </w:pPr>
            <w:r>
              <w:rPr>
                <w:rFonts w:ascii="Arial" w:eastAsia="宋体" w:hAnsi="Arial" w:cs="Arial"/>
                <w:color w:val="000000"/>
                <w:sz w:val="13"/>
                <w:szCs w:val="13"/>
              </w:rPr>
              <w:t>Other comprehensive income (loss)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07B3" w14:textId="77777777" w:rsidR="00584EC1" w:rsidRDefault="00871F8D">
            <w:pPr>
              <w:jc w:val="right"/>
              <w:textAlignment w:val="bottom"/>
            </w:pPr>
            <w:r>
              <w:rPr>
                <w:rFonts w:ascii="Arial" w:eastAsia="宋体" w:hAnsi="Arial" w:cs="Arial"/>
                <w:b/>
                <w:bCs/>
                <w:color w:val="000000"/>
                <w:sz w:val="13"/>
                <w:szCs w:val="13"/>
              </w:rPr>
              <w:t>(16)</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07B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7B5"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07B6" w14:textId="77777777" w:rsidR="00584EC1" w:rsidRDefault="00871F8D">
            <w:pPr>
              <w:jc w:val="right"/>
              <w:textAlignment w:val="bottom"/>
            </w:pPr>
            <w:r>
              <w:rPr>
                <w:rFonts w:ascii="Arial" w:eastAsia="宋体" w:hAnsi="Arial" w:cs="Arial"/>
                <w:b/>
                <w:bCs/>
                <w:color w:val="000000"/>
                <w:sz w:val="13"/>
                <w:szCs w:val="13"/>
              </w:rPr>
              <w:t>(558)</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07B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7B8"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07B9" w14:textId="77777777" w:rsidR="00584EC1" w:rsidRDefault="00871F8D">
            <w:pPr>
              <w:jc w:val="right"/>
              <w:textAlignment w:val="bottom"/>
            </w:pPr>
            <w:r>
              <w:rPr>
                <w:rFonts w:ascii="Arial" w:eastAsia="宋体" w:hAnsi="Arial" w:cs="Arial"/>
                <w:b/>
                <w:bCs/>
                <w:color w:val="000000"/>
                <w:sz w:val="13"/>
                <w:szCs w:val="13"/>
              </w:rPr>
              <w:t>222</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07B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7BB"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07BC" w14:textId="77777777" w:rsidR="00584EC1" w:rsidRDefault="00871F8D">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07B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7BE"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07BF" w14:textId="77777777" w:rsidR="00584EC1" w:rsidRDefault="00871F8D">
            <w:pPr>
              <w:jc w:val="right"/>
              <w:textAlignment w:val="bottom"/>
            </w:pPr>
            <w:r>
              <w:rPr>
                <w:rFonts w:ascii="Arial" w:eastAsia="宋体" w:hAnsi="Arial" w:cs="Arial"/>
                <w:b/>
                <w:bCs/>
                <w:color w:val="000000"/>
                <w:sz w:val="13"/>
                <w:szCs w:val="13"/>
              </w:rPr>
              <w:t>12</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07C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7C1"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07C2" w14:textId="77777777" w:rsidR="00584EC1" w:rsidRDefault="00871F8D">
            <w:pPr>
              <w:jc w:val="right"/>
              <w:textAlignment w:val="bottom"/>
            </w:pPr>
            <w:r>
              <w:rPr>
                <w:rFonts w:ascii="Arial" w:eastAsia="宋体" w:hAnsi="Arial" w:cs="Arial"/>
                <w:b/>
                <w:bCs/>
                <w:color w:val="000000"/>
                <w:sz w:val="13"/>
                <w:szCs w:val="13"/>
              </w:rPr>
              <w:t>(529)</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07C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7C4"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07C5" w14:textId="77777777" w:rsidR="00584EC1" w:rsidRDefault="00871F8D">
            <w:pPr>
              <w:jc w:val="right"/>
              <w:textAlignment w:val="bottom"/>
            </w:pPr>
            <w:r>
              <w:rPr>
                <w:rFonts w:ascii="Arial" w:eastAsia="宋体" w:hAnsi="Arial" w:cs="Arial"/>
                <w:b/>
                <w:bCs/>
                <w:color w:val="000000"/>
                <w:sz w:val="13"/>
                <w:szCs w:val="13"/>
              </w:rPr>
              <w:t>(869)</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07C6" w14:textId="77777777" w:rsidR="00584EC1" w:rsidRDefault="00584EC1">
            <w:pPr>
              <w:jc w:val="right"/>
              <w:rPr>
                <w:rFonts w:ascii="宋体"/>
              </w:rPr>
            </w:pPr>
          </w:p>
        </w:tc>
      </w:tr>
      <w:tr w:rsidR="00584EC1" w14:paraId="74DE07E4" w14:textId="77777777">
        <w:tc>
          <w:tcPr>
            <w:tcW w:w="0" w:type="auto"/>
            <w:gridSpan w:val="3"/>
            <w:shd w:val="clear" w:color="auto" w:fill="CCEEFF"/>
            <w:tcMar>
              <w:top w:w="40" w:type="dxa"/>
              <w:left w:w="20" w:type="dxa"/>
              <w:bottom w:w="40" w:type="dxa"/>
              <w:right w:w="20" w:type="dxa"/>
            </w:tcMar>
            <w:vAlign w:val="bottom"/>
          </w:tcPr>
          <w:p w14:paraId="74DE07C8" w14:textId="77777777" w:rsidR="00584EC1" w:rsidRDefault="00871F8D">
            <w:pPr>
              <w:textAlignment w:val="bottom"/>
            </w:pPr>
            <w:r>
              <w:rPr>
                <w:rFonts w:ascii="Arial" w:eastAsia="宋体" w:hAnsi="Arial" w:cs="Arial"/>
                <w:b/>
                <w:bCs/>
                <w:color w:val="000000"/>
                <w:sz w:val="13"/>
                <w:szCs w:val="13"/>
              </w:rPr>
              <w:t>Balance as of September 30, 2021</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E07C9" w14:textId="77777777" w:rsidR="00584EC1" w:rsidRDefault="00871F8D">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E07CA" w14:textId="77777777" w:rsidR="00584EC1" w:rsidRDefault="00871F8D">
            <w:pPr>
              <w:jc w:val="right"/>
              <w:textAlignment w:val="bottom"/>
            </w:pPr>
            <w:r>
              <w:rPr>
                <w:rFonts w:ascii="Arial" w:eastAsia="宋体" w:hAnsi="Arial" w:cs="Arial"/>
                <w:b/>
                <w:bCs/>
                <w:color w:val="000000"/>
                <w:sz w:val="13"/>
                <w:szCs w:val="13"/>
              </w:rPr>
              <w:t>41</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E07C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7CC"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E07CD" w14:textId="77777777" w:rsidR="00584EC1" w:rsidRDefault="00871F8D">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E07CE" w14:textId="77777777" w:rsidR="00584EC1" w:rsidRDefault="00871F8D">
            <w:pPr>
              <w:jc w:val="right"/>
              <w:textAlignment w:val="bottom"/>
            </w:pPr>
            <w:r>
              <w:rPr>
                <w:rFonts w:ascii="Arial" w:eastAsia="宋体" w:hAnsi="Arial" w:cs="Arial"/>
                <w:b/>
                <w:bCs/>
                <w:color w:val="000000"/>
                <w:sz w:val="13"/>
                <w:szCs w:val="13"/>
              </w:rPr>
              <w:t>290</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E07C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7D0"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E07D1" w14:textId="77777777" w:rsidR="00584EC1" w:rsidRDefault="00871F8D">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E07D2" w14:textId="77777777" w:rsidR="00584EC1" w:rsidRDefault="00871F8D">
            <w:pPr>
              <w:jc w:val="right"/>
              <w:textAlignment w:val="bottom"/>
            </w:pPr>
            <w:r>
              <w:rPr>
                <w:rFonts w:ascii="Arial" w:eastAsia="宋体" w:hAnsi="Arial" w:cs="Arial"/>
                <w:b/>
                <w:bCs/>
                <w:color w:val="000000"/>
                <w:sz w:val="13"/>
                <w:szCs w:val="13"/>
              </w:rPr>
              <w:t>18</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E07D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7D4"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E07D5" w14:textId="77777777" w:rsidR="00584EC1" w:rsidRDefault="00871F8D">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E07D6" w14:textId="77777777" w:rsidR="00584EC1" w:rsidRDefault="00871F8D">
            <w:pPr>
              <w:jc w:val="right"/>
              <w:textAlignment w:val="bottom"/>
            </w:pPr>
            <w:r>
              <w:rPr>
                <w:rFonts w:ascii="Arial" w:eastAsia="宋体" w:hAnsi="Arial" w:cs="Arial"/>
                <w:b/>
                <w:bCs/>
                <w:color w:val="000000"/>
                <w:sz w:val="13"/>
                <w:szCs w:val="13"/>
              </w:rPr>
              <w:t>(2)</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E07D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7D8"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E07D9" w14:textId="77777777" w:rsidR="00584EC1" w:rsidRDefault="00871F8D">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E07DA" w14:textId="77777777" w:rsidR="00584EC1" w:rsidRDefault="00871F8D">
            <w:pPr>
              <w:jc w:val="right"/>
              <w:textAlignment w:val="bottom"/>
            </w:pPr>
            <w:r>
              <w:rPr>
                <w:rFonts w:ascii="Arial" w:eastAsia="宋体" w:hAnsi="Arial" w:cs="Arial"/>
                <w:b/>
                <w:bCs/>
                <w:color w:val="000000"/>
                <w:sz w:val="13"/>
                <w:szCs w:val="13"/>
              </w:rPr>
              <w:t>(166)</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E07D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7DC"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E07DD" w14:textId="77777777" w:rsidR="00584EC1" w:rsidRDefault="00871F8D">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E07DE" w14:textId="77777777" w:rsidR="00584EC1" w:rsidRDefault="00871F8D">
            <w:pPr>
              <w:jc w:val="right"/>
              <w:textAlignment w:val="bottom"/>
            </w:pPr>
            <w:r>
              <w:rPr>
                <w:rFonts w:ascii="Arial" w:eastAsia="宋体" w:hAnsi="Arial" w:cs="Arial"/>
                <w:b/>
                <w:bCs/>
                <w:color w:val="000000"/>
                <w:sz w:val="13"/>
                <w:szCs w:val="13"/>
              </w:rPr>
              <w:t>(863)</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E07D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7E0"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E07E1" w14:textId="77777777" w:rsidR="00584EC1" w:rsidRDefault="00871F8D">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E07E2" w14:textId="77777777" w:rsidR="00584EC1" w:rsidRDefault="00871F8D">
            <w:pPr>
              <w:jc w:val="right"/>
              <w:textAlignment w:val="bottom"/>
            </w:pPr>
            <w:r>
              <w:rPr>
                <w:rFonts w:ascii="Arial" w:eastAsia="宋体" w:hAnsi="Arial" w:cs="Arial"/>
                <w:b/>
                <w:bCs/>
                <w:color w:val="000000"/>
                <w:sz w:val="13"/>
                <w:szCs w:val="13"/>
              </w:rPr>
              <w:t>(682)</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E07E3" w14:textId="77777777" w:rsidR="00584EC1" w:rsidRDefault="00584EC1">
            <w:pPr>
              <w:jc w:val="right"/>
              <w:rPr>
                <w:rFonts w:ascii="宋体"/>
              </w:rPr>
            </w:pPr>
          </w:p>
        </w:tc>
      </w:tr>
    </w:tbl>
    <w:p w14:paraId="74DE07E5" w14:textId="77777777" w:rsidR="00584EC1" w:rsidRDefault="00584EC1">
      <w:pPr>
        <w:ind w:firstLine="450"/>
      </w:pPr>
    </w:p>
    <w:p w14:paraId="74DE07E6" w14:textId="77777777" w:rsidR="00584EC1" w:rsidRDefault="00871F8D">
      <w:pPr>
        <w:ind w:firstLine="450"/>
        <w:jc w:val="right"/>
      </w:pPr>
      <w:r>
        <w:rPr>
          <w:rFonts w:ascii="Arial" w:eastAsia="宋体" w:hAnsi="Arial" w:cs="Arial"/>
          <w:color w:val="000000"/>
          <w:sz w:val="18"/>
          <w:szCs w:val="18"/>
        </w:rPr>
        <w:t>State Street Corporation | 88</w:t>
      </w:r>
    </w:p>
    <w:p w14:paraId="74DE07E7" w14:textId="77777777" w:rsidR="00584EC1" w:rsidRDefault="00584EC1">
      <w:pPr>
        <w:ind w:firstLine="450"/>
        <w:jc w:val="center"/>
      </w:pPr>
    </w:p>
    <w:p w14:paraId="74DE07E8" w14:textId="77777777" w:rsidR="00584EC1" w:rsidRDefault="00871F8D">
      <w:r>
        <w:pict w14:anchorId="74DE2A46">
          <v:rect id="_x0000_i1112" style="width:415.3pt;height:1.5pt" o:hralign="center" o:hrstd="t" o:hr="t" fillcolor="#a0a0a0" stroked="f"/>
        </w:pict>
      </w:r>
    </w:p>
    <w:p w14:paraId="74DE07E9" w14:textId="77777777" w:rsidR="00584EC1" w:rsidRDefault="00871F8D">
      <w:pPr>
        <w:ind w:firstLine="450"/>
        <w:jc w:val="center"/>
      </w:pPr>
      <w:r>
        <w:rPr>
          <w:rFonts w:ascii="Arial" w:eastAsia="宋体" w:hAnsi="Arial" w:cs="Arial"/>
          <w:b/>
          <w:bCs/>
          <w:color w:val="000000"/>
          <w:sz w:val="20"/>
          <w:szCs w:val="20"/>
        </w:rPr>
        <w:t>STATE STREET CORPORATION</w:t>
      </w:r>
    </w:p>
    <w:p w14:paraId="74DE07EA" w14:textId="77777777" w:rsidR="00584EC1" w:rsidRDefault="00871F8D">
      <w:pPr>
        <w:ind w:firstLine="450"/>
        <w:jc w:val="center"/>
      </w:pPr>
      <w:r>
        <w:rPr>
          <w:rFonts w:ascii="Arial" w:eastAsia="宋体" w:hAnsi="Arial" w:cs="Arial"/>
          <w:b/>
          <w:bCs/>
          <w:color w:val="000000"/>
          <w:sz w:val="20"/>
          <w:szCs w:val="20"/>
        </w:rPr>
        <w:t>CONDENSED NOTES TO CONSOLIDATED F</w:t>
      </w:r>
      <w:r>
        <w:rPr>
          <w:rFonts w:ascii="Arial" w:eastAsia="宋体" w:hAnsi="Arial" w:cs="Arial"/>
          <w:b/>
          <w:bCs/>
          <w:color w:val="000000"/>
          <w:sz w:val="20"/>
          <w:szCs w:val="20"/>
        </w:rPr>
        <w:t>INANCIAL STATEMENTS</w:t>
      </w:r>
    </w:p>
    <w:p w14:paraId="74DE07EB" w14:textId="77777777" w:rsidR="00584EC1" w:rsidRDefault="00871F8D">
      <w:pPr>
        <w:ind w:firstLine="450"/>
        <w:jc w:val="center"/>
      </w:pPr>
      <w:r>
        <w:rPr>
          <w:rFonts w:ascii="Arial" w:eastAsia="宋体" w:hAnsi="Arial" w:cs="Arial"/>
          <w:b/>
          <w:bCs/>
          <w:color w:val="000000"/>
          <w:sz w:val="20"/>
          <w:szCs w:val="20"/>
        </w:rPr>
        <w:t>(UNAUDITED)</w:t>
      </w:r>
    </w:p>
    <w:tbl>
      <w:tblPr>
        <w:tblW w:w="4978" w:type="pct"/>
        <w:tblCellMar>
          <w:top w:w="15" w:type="dxa"/>
          <w:left w:w="15" w:type="dxa"/>
          <w:bottom w:w="15" w:type="dxa"/>
          <w:right w:w="15" w:type="dxa"/>
        </w:tblCellMar>
        <w:tblLook w:val="04A0" w:firstRow="1" w:lastRow="0" w:firstColumn="1" w:lastColumn="0" w:noHBand="0" w:noVBand="1"/>
      </w:tblPr>
      <w:tblGrid>
        <w:gridCol w:w="39"/>
        <w:gridCol w:w="1339"/>
        <w:gridCol w:w="38"/>
        <w:gridCol w:w="94"/>
        <w:gridCol w:w="628"/>
        <w:gridCol w:w="36"/>
        <w:gridCol w:w="36"/>
        <w:gridCol w:w="36"/>
        <w:gridCol w:w="36"/>
        <w:gridCol w:w="113"/>
        <w:gridCol w:w="1015"/>
        <w:gridCol w:w="36"/>
        <w:gridCol w:w="36"/>
        <w:gridCol w:w="36"/>
        <w:gridCol w:w="36"/>
        <w:gridCol w:w="94"/>
        <w:gridCol w:w="747"/>
        <w:gridCol w:w="36"/>
        <w:gridCol w:w="36"/>
        <w:gridCol w:w="36"/>
        <w:gridCol w:w="36"/>
        <w:gridCol w:w="133"/>
        <w:gridCol w:w="1310"/>
        <w:gridCol w:w="36"/>
        <w:gridCol w:w="36"/>
        <w:gridCol w:w="36"/>
        <w:gridCol w:w="36"/>
        <w:gridCol w:w="94"/>
        <w:gridCol w:w="624"/>
        <w:gridCol w:w="36"/>
        <w:gridCol w:w="36"/>
        <w:gridCol w:w="36"/>
        <w:gridCol w:w="36"/>
        <w:gridCol w:w="94"/>
        <w:gridCol w:w="640"/>
        <w:gridCol w:w="36"/>
        <w:gridCol w:w="36"/>
        <w:gridCol w:w="36"/>
        <w:gridCol w:w="36"/>
        <w:gridCol w:w="93"/>
        <w:gridCol w:w="304"/>
        <w:gridCol w:w="36"/>
      </w:tblGrid>
      <w:tr w:rsidR="00584EC1" w14:paraId="74DE0816" w14:textId="77777777">
        <w:tc>
          <w:tcPr>
            <w:tcW w:w="50" w:type="pct"/>
            <w:shd w:val="clear" w:color="auto" w:fill="auto"/>
            <w:vAlign w:val="bottom"/>
          </w:tcPr>
          <w:p w14:paraId="74DE07EC" w14:textId="77777777" w:rsidR="00584EC1" w:rsidRDefault="00584EC1">
            <w:pPr>
              <w:rPr>
                <w:rFonts w:ascii="宋体"/>
              </w:rPr>
            </w:pPr>
          </w:p>
        </w:tc>
        <w:tc>
          <w:tcPr>
            <w:tcW w:w="1303" w:type="pct"/>
            <w:shd w:val="clear" w:color="auto" w:fill="auto"/>
            <w:vAlign w:val="bottom"/>
          </w:tcPr>
          <w:p w14:paraId="74DE07ED" w14:textId="77777777" w:rsidR="00584EC1" w:rsidRDefault="00584EC1">
            <w:pPr>
              <w:rPr>
                <w:rFonts w:ascii="宋体"/>
              </w:rPr>
            </w:pPr>
          </w:p>
        </w:tc>
        <w:tc>
          <w:tcPr>
            <w:tcW w:w="5" w:type="pct"/>
            <w:shd w:val="clear" w:color="auto" w:fill="auto"/>
            <w:vAlign w:val="bottom"/>
          </w:tcPr>
          <w:p w14:paraId="74DE07EE" w14:textId="77777777" w:rsidR="00584EC1" w:rsidRDefault="00584EC1">
            <w:pPr>
              <w:rPr>
                <w:rFonts w:ascii="宋体"/>
              </w:rPr>
            </w:pPr>
          </w:p>
        </w:tc>
        <w:tc>
          <w:tcPr>
            <w:tcW w:w="50" w:type="pct"/>
            <w:shd w:val="clear" w:color="auto" w:fill="auto"/>
            <w:vAlign w:val="bottom"/>
          </w:tcPr>
          <w:p w14:paraId="74DE07EF" w14:textId="77777777" w:rsidR="00584EC1" w:rsidRDefault="00584EC1">
            <w:pPr>
              <w:rPr>
                <w:rFonts w:ascii="宋体"/>
              </w:rPr>
            </w:pPr>
          </w:p>
        </w:tc>
        <w:tc>
          <w:tcPr>
            <w:tcW w:w="495" w:type="pct"/>
            <w:shd w:val="clear" w:color="auto" w:fill="auto"/>
            <w:vAlign w:val="bottom"/>
          </w:tcPr>
          <w:p w14:paraId="74DE07F0" w14:textId="77777777" w:rsidR="00584EC1" w:rsidRDefault="00584EC1">
            <w:pPr>
              <w:rPr>
                <w:rFonts w:ascii="宋体"/>
              </w:rPr>
            </w:pPr>
          </w:p>
        </w:tc>
        <w:tc>
          <w:tcPr>
            <w:tcW w:w="5" w:type="pct"/>
            <w:shd w:val="clear" w:color="auto" w:fill="auto"/>
            <w:vAlign w:val="bottom"/>
          </w:tcPr>
          <w:p w14:paraId="74DE07F1" w14:textId="77777777" w:rsidR="00584EC1" w:rsidRDefault="00584EC1">
            <w:pPr>
              <w:rPr>
                <w:rFonts w:ascii="宋体"/>
              </w:rPr>
            </w:pPr>
          </w:p>
        </w:tc>
        <w:tc>
          <w:tcPr>
            <w:tcW w:w="5" w:type="pct"/>
            <w:shd w:val="clear" w:color="auto" w:fill="auto"/>
            <w:vAlign w:val="bottom"/>
          </w:tcPr>
          <w:p w14:paraId="74DE07F2" w14:textId="77777777" w:rsidR="00584EC1" w:rsidRDefault="00584EC1">
            <w:pPr>
              <w:rPr>
                <w:rFonts w:ascii="宋体"/>
              </w:rPr>
            </w:pPr>
          </w:p>
        </w:tc>
        <w:tc>
          <w:tcPr>
            <w:tcW w:w="19" w:type="pct"/>
            <w:shd w:val="clear" w:color="auto" w:fill="auto"/>
            <w:vAlign w:val="bottom"/>
          </w:tcPr>
          <w:p w14:paraId="74DE07F3" w14:textId="77777777" w:rsidR="00584EC1" w:rsidRDefault="00584EC1">
            <w:pPr>
              <w:rPr>
                <w:rFonts w:ascii="宋体"/>
              </w:rPr>
            </w:pPr>
          </w:p>
        </w:tc>
        <w:tc>
          <w:tcPr>
            <w:tcW w:w="5" w:type="pct"/>
            <w:shd w:val="clear" w:color="auto" w:fill="auto"/>
            <w:vAlign w:val="bottom"/>
          </w:tcPr>
          <w:p w14:paraId="74DE07F4" w14:textId="77777777" w:rsidR="00584EC1" w:rsidRDefault="00584EC1">
            <w:pPr>
              <w:rPr>
                <w:rFonts w:ascii="宋体"/>
              </w:rPr>
            </w:pPr>
          </w:p>
        </w:tc>
        <w:tc>
          <w:tcPr>
            <w:tcW w:w="50" w:type="pct"/>
            <w:shd w:val="clear" w:color="auto" w:fill="auto"/>
            <w:vAlign w:val="bottom"/>
          </w:tcPr>
          <w:p w14:paraId="74DE07F5" w14:textId="77777777" w:rsidR="00584EC1" w:rsidRDefault="00584EC1">
            <w:pPr>
              <w:rPr>
                <w:rFonts w:ascii="宋体"/>
              </w:rPr>
            </w:pPr>
          </w:p>
        </w:tc>
        <w:tc>
          <w:tcPr>
            <w:tcW w:w="451" w:type="pct"/>
            <w:shd w:val="clear" w:color="auto" w:fill="auto"/>
            <w:vAlign w:val="bottom"/>
          </w:tcPr>
          <w:p w14:paraId="74DE07F6" w14:textId="77777777" w:rsidR="00584EC1" w:rsidRDefault="00584EC1">
            <w:pPr>
              <w:rPr>
                <w:rFonts w:ascii="宋体"/>
              </w:rPr>
            </w:pPr>
          </w:p>
        </w:tc>
        <w:tc>
          <w:tcPr>
            <w:tcW w:w="5" w:type="pct"/>
            <w:shd w:val="clear" w:color="auto" w:fill="auto"/>
            <w:vAlign w:val="bottom"/>
          </w:tcPr>
          <w:p w14:paraId="74DE07F7" w14:textId="77777777" w:rsidR="00584EC1" w:rsidRDefault="00584EC1">
            <w:pPr>
              <w:rPr>
                <w:rFonts w:ascii="宋体"/>
              </w:rPr>
            </w:pPr>
          </w:p>
        </w:tc>
        <w:tc>
          <w:tcPr>
            <w:tcW w:w="5" w:type="pct"/>
            <w:shd w:val="clear" w:color="auto" w:fill="auto"/>
            <w:vAlign w:val="bottom"/>
          </w:tcPr>
          <w:p w14:paraId="74DE07F8" w14:textId="77777777" w:rsidR="00584EC1" w:rsidRDefault="00584EC1">
            <w:pPr>
              <w:rPr>
                <w:rFonts w:ascii="宋体"/>
              </w:rPr>
            </w:pPr>
          </w:p>
        </w:tc>
        <w:tc>
          <w:tcPr>
            <w:tcW w:w="19" w:type="pct"/>
            <w:shd w:val="clear" w:color="auto" w:fill="auto"/>
            <w:vAlign w:val="bottom"/>
          </w:tcPr>
          <w:p w14:paraId="74DE07F9" w14:textId="77777777" w:rsidR="00584EC1" w:rsidRDefault="00584EC1">
            <w:pPr>
              <w:rPr>
                <w:rFonts w:ascii="宋体"/>
              </w:rPr>
            </w:pPr>
          </w:p>
        </w:tc>
        <w:tc>
          <w:tcPr>
            <w:tcW w:w="5" w:type="pct"/>
            <w:shd w:val="clear" w:color="auto" w:fill="auto"/>
            <w:vAlign w:val="bottom"/>
          </w:tcPr>
          <w:p w14:paraId="74DE07FA" w14:textId="77777777" w:rsidR="00584EC1" w:rsidRDefault="00584EC1">
            <w:pPr>
              <w:rPr>
                <w:rFonts w:ascii="宋体"/>
              </w:rPr>
            </w:pPr>
          </w:p>
        </w:tc>
        <w:tc>
          <w:tcPr>
            <w:tcW w:w="50" w:type="pct"/>
            <w:shd w:val="clear" w:color="auto" w:fill="auto"/>
            <w:vAlign w:val="bottom"/>
          </w:tcPr>
          <w:p w14:paraId="74DE07FB" w14:textId="77777777" w:rsidR="00584EC1" w:rsidRDefault="00584EC1">
            <w:pPr>
              <w:rPr>
                <w:rFonts w:ascii="宋体"/>
              </w:rPr>
            </w:pPr>
          </w:p>
        </w:tc>
        <w:tc>
          <w:tcPr>
            <w:tcW w:w="613" w:type="pct"/>
            <w:shd w:val="clear" w:color="auto" w:fill="auto"/>
            <w:vAlign w:val="bottom"/>
          </w:tcPr>
          <w:p w14:paraId="74DE07FC" w14:textId="77777777" w:rsidR="00584EC1" w:rsidRDefault="00584EC1">
            <w:pPr>
              <w:rPr>
                <w:rFonts w:ascii="宋体"/>
              </w:rPr>
            </w:pPr>
          </w:p>
        </w:tc>
        <w:tc>
          <w:tcPr>
            <w:tcW w:w="5" w:type="pct"/>
            <w:shd w:val="clear" w:color="auto" w:fill="auto"/>
            <w:vAlign w:val="bottom"/>
          </w:tcPr>
          <w:p w14:paraId="74DE07FD" w14:textId="77777777" w:rsidR="00584EC1" w:rsidRDefault="00584EC1">
            <w:pPr>
              <w:rPr>
                <w:rFonts w:ascii="宋体"/>
              </w:rPr>
            </w:pPr>
          </w:p>
        </w:tc>
        <w:tc>
          <w:tcPr>
            <w:tcW w:w="5" w:type="pct"/>
            <w:shd w:val="clear" w:color="auto" w:fill="auto"/>
            <w:vAlign w:val="bottom"/>
          </w:tcPr>
          <w:p w14:paraId="74DE07FE" w14:textId="77777777" w:rsidR="00584EC1" w:rsidRDefault="00584EC1">
            <w:pPr>
              <w:rPr>
                <w:rFonts w:ascii="宋体"/>
              </w:rPr>
            </w:pPr>
          </w:p>
        </w:tc>
        <w:tc>
          <w:tcPr>
            <w:tcW w:w="19" w:type="pct"/>
            <w:shd w:val="clear" w:color="auto" w:fill="auto"/>
            <w:vAlign w:val="bottom"/>
          </w:tcPr>
          <w:p w14:paraId="74DE07FF" w14:textId="77777777" w:rsidR="00584EC1" w:rsidRDefault="00584EC1">
            <w:pPr>
              <w:rPr>
                <w:rFonts w:ascii="宋体"/>
              </w:rPr>
            </w:pPr>
          </w:p>
        </w:tc>
        <w:tc>
          <w:tcPr>
            <w:tcW w:w="5" w:type="pct"/>
            <w:shd w:val="clear" w:color="auto" w:fill="auto"/>
            <w:vAlign w:val="bottom"/>
          </w:tcPr>
          <w:p w14:paraId="74DE0800" w14:textId="77777777" w:rsidR="00584EC1" w:rsidRDefault="00584EC1">
            <w:pPr>
              <w:rPr>
                <w:rFonts w:ascii="宋体"/>
              </w:rPr>
            </w:pPr>
          </w:p>
        </w:tc>
        <w:tc>
          <w:tcPr>
            <w:tcW w:w="50" w:type="pct"/>
            <w:shd w:val="clear" w:color="auto" w:fill="auto"/>
            <w:vAlign w:val="bottom"/>
          </w:tcPr>
          <w:p w14:paraId="74DE0801" w14:textId="77777777" w:rsidR="00584EC1" w:rsidRDefault="00584EC1">
            <w:pPr>
              <w:rPr>
                <w:rFonts w:ascii="宋体"/>
              </w:rPr>
            </w:pPr>
          </w:p>
        </w:tc>
        <w:tc>
          <w:tcPr>
            <w:tcW w:w="495" w:type="pct"/>
            <w:shd w:val="clear" w:color="auto" w:fill="auto"/>
            <w:vAlign w:val="bottom"/>
          </w:tcPr>
          <w:p w14:paraId="74DE0802" w14:textId="77777777" w:rsidR="00584EC1" w:rsidRDefault="00584EC1">
            <w:pPr>
              <w:rPr>
                <w:rFonts w:ascii="宋体"/>
              </w:rPr>
            </w:pPr>
          </w:p>
        </w:tc>
        <w:tc>
          <w:tcPr>
            <w:tcW w:w="5" w:type="pct"/>
            <w:shd w:val="clear" w:color="auto" w:fill="auto"/>
            <w:vAlign w:val="bottom"/>
          </w:tcPr>
          <w:p w14:paraId="74DE0803" w14:textId="77777777" w:rsidR="00584EC1" w:rsidRDefault="00584EC1">
            <w:pPr>
              <w:rPr>
                <w:rFonts w:ascii="宋体"/>
              </w:rPr>
            </w:pPr>
          </w:p>
        </w:tc>
        <w:tc>
          <w:tcPr>
            <w:tcW w:w="5" w:type="pct"/>
            <w:shd w:val="clear" w:color="auto" w:fill="auto"/>
            <w:vAlign w:val="bottom"/>
          </w:tcPr>
          <w:p w14:paraId="74DE0804" w14:textId="77777777" w:rsidR="00584EC1" w:rsidRDefault="00584EC1">
            <w:pPr>
              <w:rPr>
                <w:rFonts w:ascii="宋体"/>
              </w:rPr>
            </w:pPr>
          </w:p>
        </w:tc>
        <w:tc>
          <w:tcPr>
            <w:tcW w:w="19" w:type="pct"/>
            <w:shd w:val="clear" w:color="auto" w:fill="auto"/>
            <w:vAlign w:val="bottom"/>
          </w:tcPr>
          <w:p w14:paraId="74DE0805" w14:textId="77777777" w:rsidR="00584EC1" w:rsidRDefault="00584EC1">
            <w:pPr>
              <w:rPr>
                <w:rFonts w:ascii="宋体"/>
              </w:rPr>
            </w:pPr>
          </w:p>
        </w:tc>
        <w:tc>
          <w:tcPr>
            <w:tcW w:w="5" w:type="pct"/>
            <w:shd w:val="clear" w:color="auto" w:fill="auto"/>
            <w:vAlign w:val="bottom"/>
          </w:tcPr>
          <w:p w14:paraId="74DE0806" w14:textId="77777777" w:rsidR="00584EC1" w:rsidRDefault="00584EC1">
            <w:pPr>
              <w:rPr>
                <w:rFonts w:ascii="宋体"/>
              </w:rPr>
            </w:pPr>
          </w:p>
        </w:tc>
        <w:tc>
          <w:tcPr>
            <w:tcW w:w="50" w:type="pct"/>
            <w:shd w:val="clear" w:color="auto" w:fill="auto"/>
            <w:vAlign w:val="bottom"/>
          </w:tcPr>
          <w:p w14:paraId="74DE0807" w14:textId="77777777" w:rsidR="00584EC1" w:rsidRDefault="00584EC1">
            <w:pPr>
              <w:rPr>
                <w:rFonts w:ascii="宋体"/>
              </w:rPr>
            </w:pPr>
          </w:p>
        </w:tc>
        <w:tc>
          <w:tcPr>
            <w:tcW w:w="356" w:type="pct"/>
            <w:shd w:val="clear" w:color="auto" w:fill="auto"/>
            <w:vAlign w:val="bottom"/>
          </w:tcPr>
          <w:p w14:paraId="74DE0808" w14:textId="77777777" w:rsidR="00584EC1" w:rsidRDefault="00584EC1">
            <w:pPr>
              <w:rPr>
                <w:rFonts w:ascii="宋体"/>
              </w:rPr>
            </w:pPr>
          </w:p>
        </w:tc>
        <w:tc>
          <w:tcPr>
            <w:tcW w:w="5" w:type="pct"/>
            <w:shd w:val="clear" w:color="auto" w:fill="auto"/>
            <w:vAlign w:val="bottom"/>
          </w:tcPr>
          <w:p w14:paraId="74DE0809" w14:textId="77777777" w:rsidR="00584EC1" w:rsidRDefault="00584EC1">
            <w:pPr>
              <w:rPr>
                <w:rFonts w:ascii="宋体"/>
              </w:rPr>
            </w:pPr>
          </w:p>
        </w:tc>
        <w:tc>
          <w:tcPr>
            <w:tcW w:w="5" w:type="pct"/>
            <w:shd w:val="clear" w:color="auto" w:fill="auto"/>
            <w:vAlign w:val="bottom"/>
          </w:tcPr>
          <w:p w14:paraId="74DE080A" w14:textId="77777777" w:rsidR="00584EC1" w:rsidRDefault="00584EC1">
            <w:pPr>
              <w:rPr>
                <w:rFonts w:ascii="宋体"/>
              </w:rPr>
            </w:pPr>
          </w:p>
        </w:tc>
        <w:tc>
          <w:tcPr>
            <w:tcW w:w="19" w:type="pct"/>
            <w:shd w:val="clear" w:color="auto" w:fill="auto"/>
            <w:vAlign w:val="bottom"/>
          </w:tcPr>
          <w:p w14:paraId="74DE080B" w14:textId="77777777" w:rsidR="00584EC1" w:rsidRDefault="00584EC1">
            <w:pPr>
              <w:rPr>
                <w:rFonts w:ascii="宋体"/>
              </w:rPr>
            </w:pPr>
          </w:p>
        </w:tc>
        <w:tc>
          <w:tcPr>
            <w:tcW w:w="5" w:type="pct"/>
            <w:shd w:val="clear" w:color="auto" w:fill="auto"/>
            <w:vAlign w:val="bottom"/>
          </w:tcPr>
          <w:p w14:paraId="74DE080C" w14:textId="77777777" w:rsidR="00584EC1" w:rsidRDefault="00584EC1">
            <w:pPr>
              <w:rPr>
                <w:rFonts w:ascii="宋体"/>
              </w:rPr>
            </w:pPr>
          </w:p>
        </w:tc>
        <w:tc>
          <w:tcPr>
            <w:tcW w:w="50" w:type="pct"/>
            <w:shd w:val="clear" w:color="auto" w:fill="auto"/>
            <w:vAlign w:val="bottom"/>
          </w:tcPr>
          <w:p w14:paraId="74DE080D" w14:textId="77777777" w:rsidR="00584EC1" w:rsidRDefault="00584EC1">
            <w:pPr>
              <w:rPr>
                <w:rFonts w:ascii="宋体"/>
              </w:rPr>
            </w:pPr>
          </w:p>
        </w:tc>
        <w:tc>
          <w:tcPr>
            <w:tcW w:w="348" w:type="pct"/>
            <w:shd w:val="clear" w:color="auto" w:fill="auto"/>
            <w:vAlign w:val="bottom"/>
          </w:tcPr>
          <w:p w14:paraId="74DE080E" w14:textId="77777777" w:rsidR="00584EC1" w:rsidRDefault="00584EC1">
            <w:pPr>
              <w:rPr>
                <w:rFonts w:ascii="宋体"/>
              </w:rPr>
            </w:pPr>
          </w:p>
        </w:tc>
        <w:tc>
          <w:tcPr>
            <w:tcW w:w="5" w:type="pct"/>
            <w:shd w:val="clear" w:color="auto" w:fill="auto"/>
            <w:vAlign w:val="bottom"/>
          </w:tcPr>
          <w:p w14:paraId="74DE080F" w14:textId="77777777" w:rsidR="00584EC1" w:rsidRDefault="00584EC1">
            <w:pPr>
              <w:rPr>
                <w:rFonts w:ascii="宋体"/>
              </w:rPr>
            </w:pPr>
          </w:p>
        </w:tc>
        <w:tc>
          <w:tcPr>
            <w:tcW w:w="5" w:type="pct"/>
            <w:shd w:val="clear" w:color="auto" w:fill="auto"/>
            <w:vAlign w:val="bottom"/>
          </w:tcPr>
          <w:p w14:paraId="74DE0810" w14:textId="77777777" w:rsidR="00584EC1" w:rsidRDefault="00584EC1">
            <w:pPr>
              <w:rPr>
                <w:rFonts w:ascii="宋体"/>
              </w:rPr>
            </w:pPr>
          </w:p>
        </w:tc>
        <w:tc>
          <w:tcPr>
            <w:tcW w:w="19" w:type="pct"/>
            <w:shd w:val="clear" w:color="auto" w:fill="auto"/>
            <w:vAlign w:val="bottom"/>
          </w:tcPr>
          <w:p w14:paraId="74DE0811" w14:textId="77777777" w:rsidR="00584EC1" w:rsidRDefault="00584EC1">
            <w:pPr>
              <w:rPr>
                <w:rFonts w:ascii="宋体"/>
              </w:rPr>
            </w:pPr>
          </w:p>
        </w:tc>
        <w:tc>
          <w:tcPr>
            <w:tcW w:w="5" w:type="pct"/>
            <w:shd w:val="clear" w:color="auto" w:fill="auto"/>
            <w:vAlign w:val="bottom"/>
          </w:tcPr>
          <w:p w14:paraId="74DE0812" w14:textId="77777777" w:rsidR="00584EC1" w:rsidRDefault="00584EC1">
            <w:pPr>
              <w:rPr>
                <w:rFonts w:ascii="宋体"/>
              </w:rPr>
            </w:pPr>
          </w:p>
        </w:tc>
        <w:tc>
          <w:tcPr>
            <w:tcW w:w="50" w:type="pct"/>
            <w:shd w:val="clear" w:color="auto" w:fill="auto"/>
            <w:vAlign w:val="bottom"/>
          </w:tcPr>
          <w:p w14:paraId="74DE0813" w14:textId="77777777" w:rsidR="00584EC1" w:rsidRDefault="00584EC1">
            <w:pPr>
              <w:rPr>
                <w:rFonts w:ascii="宋体"/>
              </w:rPr>
            </w:pPr>
          </w:p>
        </w:tc>
        <w:tc>
          <w:tcPr>
            <w:tcW w:w="319" w:type="pct"/>
            <w:shd w:val="clear" w:color="auto" w:fill="auto"/>
            <w:vAlign w:val="bottom"/>
          </w:tcPr>
          <w:p w14:paraId="74DE0814" w14:textId="77777777" w:rsidR="00584EC1" w:rsidRDefault="00584EC1">
            <w:pPr>
              <w:rPr>
                <w:rFonts w:ascii="宋体"/>
              </w:rPr>
            </w:pPr>
          </w:p>
        </w:tc>
        <w:tc>
          <w:tcPr>
            <w:tcW w:w="5" w:type="pct"/>
            <w:shd w:val="clear" w:color="auto" w:fill="auto"/>
            <w:vAlign w:val="bottom"/>
          </w:tcPr>
          <w:p w14:paraId="74DE0815" w14:textId="77777777" w:rsidR="00584EC1" w:rsidRDefault="00584EC1">
            <w:pPr>
              <w:rPr>
                <w:rFonts w:ascii="宋体"/>
              </w:rPr>
            </w:pPr>
          </w:p>
        </w:tc>
      </w:tr>
      <w:tr w:rsidR="00584EC1" w14:paraId="74DE0825" w14:textId="77777777">
        <w:tc>
          <w:tcPr>
            <w:tcW w:w="0" w:type="auto"/>
            <w:gridSpan w:val="3"/>
            <w:shd w:val="clear" w:color="auto" w:fill="auto"/>
            <w:tcMar>
              <w:top w:w="40" w:type="dxa"/>
              <w:left w:w="20" w:type="dxa"/>
              <w:bottom w:w="40" w:type="dxa"/>
              <w:right w:w="20" w:type="dxa"/>
            </w:tcMar>
            <w:vAlign w:val="bottom"/>
          </w:tcPr>
          <w:p w14:paraId="74DE0817" w14:textId="77777777" w:rsidR="00584EC1" w:rsidRDefault="00871F8D">
            <w:pPr>
              <w:textAlignment w:val="bottom"/>
            </w:pPr>
            <w:r>
              <w:rPr>
                <w:rFonts w:ascii="Arial" w:eastAsia="宋体" w:hAnsi="Arial" w:cs="Arial"/>
                <w:b/>
                <w:bCs/>
                <w:color w:val="000000"/>
                <w:sz w:val="13"/>
                <w:szCs w:val="13"/>
              </w:rPr>
              <w:t>(In millions)</w:t>
            </w:r>
          </w:p>
        </w:tc>
        <w:tc>
          <w:tcPr>
            <w:tcW w:w="0" w:type="auto"/>
            <w:gridSpan w:val="3"/>
            <w:shd w:val="clear" w:color="auto" w:fill="auto"/>
            <w:tcMar>
              <w:top w:w="40" w:type="dxa"/>
              <w:left w:w="20" w:type="dxa"/>
              <w:bottom w:w="40" w:type="dxa"/>
              <w:right w:w="20" w:type="dxa"/>
            </w:tcMar>
            <w:vAlign w:val="bottom"/>
          </w:tcPr>
          <w:p w14:paraId="74DE0818" w14:textId="77777777" w:rsidR="00584EC1" w:rsidRDefault="00871F8D">
            <w:pPr>
              <w:jc w:val="center"/>
              <w:textAlignment w:val="bottom"/>
            </w:pPr>
            <w:r>
              <w:rPr>
                <w:rFonts w:ascii="Arial" w:eastAsia="宋体" w:hAnsi="Arial" w:cs="Arial"/>
                <w:b/>
                <w:bCs/>
                <w:color w:val="000000"/>
                <w:sz w:val="13"/>
                <w:szCs w:val="13"/>
              </w:rPr>
              <w:t xml:space="preserve">Net Unrealized Gains </w:t>
            </w:r>
            <w:r>
              <w:rPr>
                <w:rFonts w:ascii="Arial" w:eastAsia="宋体" w:hAnsi="Arial" w:cs="Arial"/>
                <w:b/>
                <w:bCs/>
                <w:color w:val="000000"/>
                <w:sz w:val="13"/>
                <w:szCs w:val="13"/>
              </w:rPr>
              <w:t>(Losses) on Cash Flow Hedges</w:t>
            </w:r>
          </w:p>
        </w:tc>
        <w:tc>
          <w:tcPr>
            <w:tcW w:w="0" w:type="auto"/>
            <w:gridSpan w:val="3"/>
            <w:shd w:val="clear" w:color="auto" w:fill="auto"/>
            <w:tcMar>
              <w:top w:w="0" w:type="dxa"/>
              <w:left w:w="20" w:type="dxa"/>
              <w:bottom w:w="0" w:type="dxa"/>
              <w:right w:w="20" w:type="dxa"/>
            </w:tcMar>
            <w:vAlign w:val="bottom"/>
          </w:tcPr>
          <w:p w14:paraId="74DE0819"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E081A" w14:textId="77777777" w:rsidR="00584EC1" w:rsidRDefault="00871F8D">
            <w:pPr>
              <w:jc w:val="center"/>
              <w:textAlignment w:val="bottom"/>
            </w:pPr>
            <w:r>
              <w:rPr>
                <w:rFonts w:ascii="Arial" w:eastAsia="宋体" w:hAnsi="Arial" w:cs="Arial"/>
                <w:b/>
                <w:bCs/>
                <w:color w:val="000000"/>
                <w:sz w:val="13"/>
                <w:szCs w:val="13"/>
              </w:rPr>
              <w:t>Net Unrealized Gains (Losses) on Available-for-Sale Securities</w:t>
            </w:r>
          </w:p>
        </w:tc>
        <w:tc>
          <w:tcPr>
            <w:tcW w:w="0" w:type="auto"/>
            <w:gridSpan w:val="3"/>
            <w:shd w:val="clear" w:color="auto" w:fill="auto"/>
            <w:tcMar>
              <w:top w:w="0" w:type="dxa"/>
              <w:left w:w="20" w:type="dxa"/>
              <w:bottom w:w="0" w:type="dxa"/>
              <w:right w:w="20" w:type="dxa"/>
            </w:tcMar>
            <w:vAlign w:val="bottom"/>
          </w:tcPr>
          <w:p w14:paraId="74DE081B"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E081C" w14:textId="77777777" w:rsidR="00584EC1" w:rsidRDefault="00871F8D">
            <w:pPr>
              <w:jc w:val="center"/>
              <w:textAlignment w:val="bottom"/>
            </w:pPr>
            <w:r>
              <w:rPr>
                <w:rFonts w:ascii="Arial" w:eastAsia="宋体" w:hAnsi="Arial" w:cs="Arial"/>
                <w:b/>
                <w:bCs/>
                <w:color w:val="000000"/>
                <w:sz w:val="13"/>
                <w:szCs w:val="13"/>
              </w:rPr>
              <w:t>Net Unrealized Gains (Losses) on Hedges of Net Investments in Non-U.S. Subsidiaries</w:t>
            </w:r>
          </w:p>
        </w:tc>
        <w:tc>
          <w:tcPr>
            <w:tcW w:w="0" w:type="auto"/>
            <w:gridSpan w:val="3"/>
            <w:shd w:val="clear" w:color="auto" w:fill="auto"/>
            <w:tcMar>
              <w:top w:w="0" w:type="dxa"/>
              <w:left w:w="20" w:type="dxa"/>
              <w:bottom w:w="0" w:type="dxa"/>
              <w:right w:w="20" w:type="dxa"/>
            </w:tcMar>
            <w:vAlign w:val="bottom"/>
          </w:tcPr>
          <w:p w14:paraId="74DE081D"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E081E" w14:textId="77777777" w:rsidR="00584EC1" w:rsidRDefault="00871F8D">
            <w:pPr>
              <w:jc w:val="center"/>
              <w:textAlignment w:val="bottom"/>
            </w:pPr>
            <w:r>
              <w:rPr>
                <w:rFonts w:ascii="Arial" w:eastAsia="宋体" w:hAnsi="Arial" w:cs="Arial"/>
                <w:b/>
                <w:bCs/>
                <w:color w:val="000000"/>
                <w:sz w:val="13"/>
                <w:szCs w:val="13"/>
              </w:rPr>
              <w:t>Other-Than-Temporary Impairment on Held-to-Maturity Securities</w:t>
            </w:r>
          </w:p>
        </w:tc>
        <w:tc>
          <w:tcPr>
            <w:tcW w:w="0" w:type="auto"/>
            <w:gridSpan w:val="3"/>
            <w:shd w:val="clear" w:color="auto" w:fill="auto"/>
            <w:tcMar>
              <w:top w:w="0" w:type="dxa"/>
              <w:left w:w="20" w:type="dxa"/>
              <w:bottom w:w="0" w:type="dxa"/>
              <w:right w:w="20" w:type="dxa"/>
            </w:tcMar>
            <w:vAlign w:val="bottom"/>
          </w:tcPr>
          <w:p w14:paraId="74DE081F"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E0820" w14:textId="77777777" w:rsidR="00584EC1" w:rsidRDefault="00871F8D">
            <w:pPr>
              <w:jc w:val="center"/>
              <w:textAlignment w:val="bottom"/>
            </w:pPr>
            <w:r>
              <w:rPr>
                <w:rFonts w:ascii="Arial" w:eastAsia="宋体" w:hAnsi="Arial" w:cs="Arial"/>
                <w:b/>
                <w:bCs/>
                <w:color w:val="000000"/>
                <w:sz w:val="13"/>
                <w:szCs w:val="13"/>
              </w:rPr>
              <w:t>Net Unrealize</w:t>
            </w:r>
            <w:r>
              <w:rPr>
                <w:rFonts w:ascii="Arial" w:eastAsia="宋体" w:hAnsi="Arial" w:cs="Arial"/>
                <w:b/>
                <w:bCs/>
                <w:color w:val="000000"/>
                <w:sz w:val="13"/>
                <w:szCs w:val="13"/>
              </w:rPr>
              <w:t>d Losses on Retirement Plans</w:t>
            </w:r>
          </w:p>
        </w:tc>
        <w:tc>
          <w:tcPr>
            <w:tcW w:w="0" w:type="auto"/>
            <w:gridSpan w:val="3"/>
            <w:shd w:val="clear" w:color="auto" w:fill="auto"/>
            <w:tcMar>
              <w:top w:w="0" w:type="dxa"/>
              <w:left w:w="20" w:type="dxa"/>
              <w:bottom w:w="0" w:type="dxa"/>
              <w:right w:w="20" w:type="dxa"/>
            </w:tcMar>
            <w:vAlign w:val="bottom"/>
          </w:tcPr>
          <w:p w14:paraId="74DE0821"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E0822" w14:textId="77777777" w:rsidR="00584EC1" w:rsidRDefault="00871F8D">
            <w:pPr>
              <w:jc w:val="center"/>
              <w:textAlignment w:val="bottom"/>
            </w:pPr>
            <w:r>
              <w:rPr>
                <w:rFonts w:ascii="Arial" w:eastAsia="宋体" w:hAnsi="Arial" w:cs="Arial"/>
                <w:b/>
                <w:bCs/>
                <w:color w:val="000000"/>
                <w:sz w:val="13"/>
                <w:szCs w:val="13"/>
              </w:rPr>
              <w:t>Foreign Currency Translation</w:t>
            </w:r>
          </w:p>
        </w:tc>
        <w:tc>
          <w:tcPr>
            <w:tcW w:w="0" w:type="auto"/>
            <w:gridSpan w:val="3"/>
            <w:shd w:val="clear" w:color="auto" w:fill="auto"/>
            <w:tcMar>
              <w:top w:w="0" w:type="dxa"/>
              <w:left w:w="20" w:type="dxa"/>
              <w:bottom w:w="0" w:type="dxa"/>
              <w:right w:w="20" w:type="dxa"/>
            </w:tcMar>
            <w:vAlign w:val="bottom"/>
          </w:tcPr>
          <w:p w14:paraId="74DE0823"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E0824" w14:textId="77777777" w:rsidR="00584EC1" w:rsidRDefault="00871F8D">
            <w:pPr>
              <w:jc w:val="center"/>
              <w:textAlignment w:val="bottom"/>
            </w:pPr>
            <w:r>
              <w:rPr>
                <w:rFonts w:ascii="Arial" w:eastAsia="宋体" w:hAnsi="Arial" w:cs="Arial"/>
                <w:b/>
                <w:bCs/>
                <w:color w:val="000000"/>
                <w:sz w:val="13"/>
                <w:szCs w:val="13"/>
              </w:rPr>
              <w:t>Total</w:t>
            </w:r>
          </w:p>
        </w:tc>
      </w:tr>
      <w:tr w:rsidR="00584EC1" w14:paraId="74DE0842" w14:textId="77777777">
        <w:tc>
          <w:tcPr>
            <w:tcW w:w="0" w:type="auto"/>
            <w:gridSpan w:val="3"/>
            <w:shd w:val="clear" w:color="auto" w:fill="CCEEFF"/>
            <w:tcMar>
              <w:top w:w="40" w:type="dxa"/>
              <w:left w:w="20" w:type="dxa"/>
              <w:bottom w:w="40" w:type="dxa"/>
              <w:right w:w="20" w:type="dxa"/>
            </w:tcMar>
            <w:vAlign w:val="bottom"/>
          </w:tcPr>
          <w:p w14:paraId="74DE0826" w14:textId="77777777" w:rsidR="00584EC1" w:rsidRDefault="00871F8D">
            <w:pPr>
              <w:textAlignment w:val="bottom"/>
            </w:pPr>
            <w:r>
              <w:rPr>
                <w:rFonts w:ascii="Arial" w:eastAsia="宋体" w:hAnsi="Arial" w:cs="Arial"/>
                <w:b/>
                <w:bCs/>
                <w:color w:val="000000"/>
                <w:sz w:val="13"/>
                <w:szCs w:val="13"/>
              </w:rPr>
              <w:t>Balance as of December 31, 2019</w:t>
            </w:r>
          </w:p>
        </w:tc>
        <w:tc>
          <w:tcPr>
            <w:tcW w:w="0" w:type="auto"/>
            <w:tcBorders>
              <w:top w:val="single" w:sz="8" w:space="0" w:color="000000"/>
            </w:tcBorders>
            <w:shd w:val="clear" w:color="auto" w:fill="CCEEFF"/>
            <w:tcMar>
              <w:top w:w="40" w:type="dxa"/>
              <w:left w:w="20" w:type="dxa"/>
              <w:bottom w:w="40" w:type="dxa"/>
              <w:right w:w="0" w:type="dxa"/>
            </w:tcMar>
            <w:vAlign w:val="bottom"/>
          </w:tcPr>
          <w:p w14:paraId="74DE0827" w14:textId="77777777" w:rsidR="00584EC1" w:rsidRDefault="00871F8D">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0828" w14:textId="77777777" w:rsidR="00584EC1" w:rsidRDefault="00871F8D">
            <w:pPr>
              <w:jc w:val="right"/>
              <w:textAlignment w:val="bottom"/>
            </w:pPr>
            <w:r>
              <w:rPr>
                <w:rFonts w:ascii="Arial" w:eastAsia="宋体" w:hAnsi="Arial" w:cs="Arial"/>
                <w:color w:val="000000"/>
                <w:sz w:val="13"/>
                <w:szCs w:val="13"/>
              </w:rPr>
              <w:t>(70)</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82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82A"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082B" w14:textId="77777777" w:rsidR="00584EC1" w:rsidRDefault="00871F8D">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082C" w14:textId="77777777" w:rsidR="00584EC1" w:rsidRDefault="00871F8D">
            <w:pPr>
              <w:jc w:val="right"/>
              <w:textAlignment w:val="bottom"/>
            </w:pPr>
            <w:r>
              <w:rPr>
                <w:rFonts w:ascii="Arial" w:eastAsia="宋体" w:hAnsi="Arial" w:cs="Arial"/>
                <w:color w:val="000000"/>
                <w:sz w:val="13"/>
                <w:szCs w:val="13"/>
              </w:rPr>
              <w:t>409 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82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82E"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082F" w14:textId="77777777" w:rsidR="00584EC1" w:rsidRDefault="00871F8D">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0830" w14:textId="77777777" w:rsidR="00584EC1" w:rsidRDefault="00871F8D">
            <w:pPr>
              <w:jc w:val="right"/>
              <w:textAlignment w:val="bottom"/>
            </w:pPr>
            <w:r>
              <w:rPr>
                <w:rFonts w:ascii="Arial" w:eastAsia="宋体" w:hAnsi="Arial" w:cs="Arial"/>
                <w:color w:val="000000"/>
                <w:sz w:val="13"/>
                <w:szCs w:val="13"/>
              </w:rPr>
              <w:t>46 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83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832"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0833" w14:textId="77777777" w:rsidR="00584EC1" w:rsidRDefault="00871F8D">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0834" w14:textId="77777777" w:rsidR="00584EC1" w:rsidRDefault="00871F8D">
            <w:pPr>
              <w:jc w:val="right"/>
              <w:textAlignment w:val="bottom"/>
            </w:pPr>
            <w:r>
              <w:rPr>
                <w:rFonts w:ascii="Arial" w:eastAsia="宋体" w:hAnsi="Arial" w:cs="Arial"/>
                <w:color w:val="000000"/>
                <w:sz w:val="13"/>
                <w:szCs w:val="13"/>
              </w:rPr>
              <w:t>(2)</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83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836"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0837" w14:textId="77777777" w:rsidR="00584EC1" w:rsidRDefault="00871F8D">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0838" w14:textId="77777777" w:rsidR="00584EC1" w:rsidRDefault="00871F8D">
            <w:pPr>
              <w:jc w:val="right"/>
              <w:textAlignment w:val="bottom"/>
            </w:pPr>
            <w:r>
              <w:rPr>
                <w:rFonts w:ascii="Arial" w:eastAsia="宋体" w:hAnsi="Arial" w:cs="Arial"/>
                <w:color w:val="000000"/>
                <w:sz w:val="13"/>
                <w:szCs w:val="13"/>
              </w:rPr>
              <w:t>(187)</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83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83A"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083B" w14:textId="77777777" w:rsidR="00584EC1" w:rsidRDefault="00871F8D">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083C" w14:textId="77777777" w:rsidR="00584EC1" w:rsidRDefault="00871F8D">
            <w:pPr>
              <w:jc w:val="right"/>
              <w:textAlignment w:val="bottom"/>
            </w:pPr>
            <w:r>
              <w:rPr>
                <w:rFonts w:ascii="Arial" w:eastAsia="宋体" w:hAnsi="Arial" w:cs="Arial"/>
                <w:color w:val="000000"/>
                <w:sz w:val="13"/>
                <w:szCs w:val="13"/>
              </w:rPr>
              <w:t>(1,072)</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83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83E"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083F" w14:textId="77777777" w:rsidR="00584EC1" w:rsidRDefault="00871F8D">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0840" w14:textId="77777777" w:rsidR="00584EC1" w:rsidRDefault="00871F8D">
            <w:pPr>
              <w:jc w:val="right"/>
              <w:textAlignment w:val="bottom"/>
            </w:pPr>
            <w:r>
              <w:rPr>
                <w:rFonts w:ascii="Arial" w:eastAsia="宋体" w:hAnsi="Arial" w:cs="Arial"/>
                <w:color w:val="000000"/>
                <w:sz w:val="13"/>
                <w:szCs w:val="13"/>
              </w:rPr>
              <w:t>(876)</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841" w14:textId="77777777" w:rsidR="00584EC1" w:rsidRDefault="00584EC1">
            <w:pPr>
              <w:jc w:val="right"/>
              <w:rPr>
                <w:rFonts w:ascii="宋体"/>
              </w:rPr>
            </w:pPr>
          </w:p>
        </w:tc>
      </w:tr>
      <w:tr w:rsidR="00584EC1" w14:paraId="74DE0858" w14:textId="77777777">
        <w:tc>
          <w:tcPr>
            <w:tcW w:w="0" w:type="auto"/>
            <w:gridSpan w:val="3"/>
            <w:shd w:val="clear" w:color="auto" w:fill="FFFFFF"/>
            <w:tcMar>
              <w:top w:w="40" w:type="dxa"/>
              <w:left w:w="20" w:type="dxa"/>
              <w:bottom w:w="40" w:type="dxa"/>
              <w:right w:w="20" w:type="dxa"/>
            </w:tcMar>
            <w:vAlign w:val="bottom"/>
          </w:tcPr>
          <w:p w14:paraId="74DE0843" w14:textId="77777777" w:rsidR="00584EC1" w:rsidRDefault="00871F8D">
            <w:pPr>
              <w:textAlignment w:val="bottom"/>
            </w:pPr>
            <w:r>
              <w:rPr>
                <w:rFonts w:ascii="Arial" w:eastAsia="宋体" w:hAnsi="Arial" w:cs="Arial"/>
                <w:color w:val="000000"/>
                <w:sz w:val="13"/>
                <w:szCs w:val="13"/>
              </w:rPr>
              <w:t>Other comprehensive income (loss) before reclassifications</w:t>
            </w:r>
          </w:p>
        </w:tc>
        <w:tc>
          <w:tcPr>
            <w:tcW w:w="0" w:type="auto"/>
            <w:gridSpan w:val="2"/>
            <w:shd w:val="clear" w:color="auto" w:fill="FFFFFF"/>
            <w:tcMar>
              <w:top w:w="40" w:type="dxa"/>
              <w:left w:w="20" w:type="dxa"/>
              <w:bottom w:w="40" w:type="dxa"/>
              <w:right w:w="0" w:type="dxa"/>
            </w:tcMar>
            <w:vAlign w:val="bottom"/>
          </w:tcPr>
          <w:p w14:paraId="74DE0844" w14:textId="77777777" w:rsidR="00584EC1" w:rsidRDefault="00871F8D">
            <w:pPr>
              <w:jc w:val="right"/>
              <w:textAlignment w:val="bottom"/>
            </w:pPr>
            <w:r>
              <w:rPr>
                <w:rFonts w:ascii="Arial" w:eastAsia="宋体" w:hAnsi="Arial" w:cs="Arial"/>
                <w:color w:val="000000"/>
                <w:sz w:val="13"/>
                <w:szCs w:val="13"/>
              </w:rPr>
              <w:t>189 </w:t>
            </w:r>
          </w:p>
        </w:tc>
        <w:tc>
          <w:tcPr>
            <w:tcW w:w="0" w:type="auto"/>
            <w:shd w:val="clear" w:color="auto" w:fill="FFFFFF"/>
            <w:tcMar>
              <w:top w:w="40" w:type="dxa"/>
              <w:left w:w="0" w:type="dxa"/>
              <w:bottom w:w="40" w:type="dxa"/>
              <w:right w:w="20" w:type="dxa"/>
            </w:tcMar>
            <w:vAlign w:val="bottom"/>
          </w:tcPr>
          <w:p w14:paraId="74DE084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84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847" w14:textId="77777777" w:rsidR="00584EC1" w:rsidRDefault="00871F8D">
            <w:pPr>
              <w:jc w:val="right"/>
              <w:textAlignment w:val="bottom"/>
            </w:pPr>
            <w:r>
              <w:rPr>
                <w:rFonts w:ascii="Arial" w:eastAsia="宋体" w:hAnsi="Arial" w:cs="Arial"/>
                <w:color w:val="000000"/>
                <w:sz w:val="13"/>
                <w:szCs w:val="13"/>
              </w:rPr>
              <w:t>462 </w:t>
            </w:r>
          </w:p>
        </w:tc>
        <w:tc>
          <w:tcPr>
            <w:tcW w:w="0" w:type="auto"/>
            <w:shd w:val="clear" w:color="auto" w:fill="FFFFFF"/>
            <w:tcMar>
              <w:top w:w="40" w:type="dxa"/>
              <w:left w:w="0" w:type="dxa"/>
              <w:bottom w:w="40" w:type="dxa"/>
              <w:right w:w="20" w:type="dxa"/>
            </w:tcMar>
            <w:vAlign w:val="bottom"/>
          </w:tcPr>
          <w:p w14:paraId="74DE084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84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84A" w14:textId="77777777" w:rsidR="00584EC1" w:rsidRDefault="00871F8D">
            <w:pPr>
              <w:jc w:val="right"/>
              <w:textAlignment w:val="bottom"/>
            </w:pPr>
            <w:r>
              <w:rPr>
                <w:rFonts w:ascii="Arial" w:eastAsia="宋体" w:hAnsi="Arial" w:cs="Arial"/>
                <w:color w:val="000000"/>
                <w:sz w:val="13"/>
                <w:szCs w:val="13"/>
              </w:rPr>
              <w:t>(100)</w:t>
            </w:r>
          </w:p>
        </w:tc>
        <w:tc>
          <w:tcPr>
            <w:tcW w:w="0" w:type="auto"/>
            <w:shd w:val="clear" w:color="auto" w:fill="FFFFFF"/>
            <w:tcMar>
              <w:top w:w="40" w:type="dxa"/>
              <w:left w:w="0" w:type="dxa"/>
              <w:bottom w:w="40" w:type="dxa"/>
              <w:right w:w="20" w:type="dxa"/>
            </w:tcMar>
            <w:vAlign w:val="bottom"/>
          </w:tcPr>
          <w:p w14:paraId="74DE084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84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84D" w14:textId="77777777" w:rsidR="00584EC1" w:rsidRDefault="00871F8D">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E084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84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850" w14:textId="77777777" w:rsidR="00584EC1" w:rsidRDefault="00871F8D">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4DE085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85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853" w14:textId="77777777" w:rsidR="00584EC1" w:rsidRDefault="00871F8D">
            <w:pPr>
              <w:jc w:val="right"/>
              <w:textAlignment w:val="bottom"/>
            </w:pPr>
            <w:r>
              <w:rPr>
                <w:rFonts w:ascii="Arial" w:eastAsia="宋体" w:hAnsi="Arial" w:cs="Arial"/>
                <w:color w:val="000000"/>
                <w:sz w:val="13"/>
                <w:szCs w:val="13"/>
              </w:rPr>
              <w:t>235 </w:t>
            </w:r>
          </w:p>
        </w:tc>
        <w:tc>
          <w:tcPr>
            <w:tcW w:w="0" w:type="auto"/>
            <w:shd w:val="clear" w:color="auto" w:fill="FFFFFF"/>
            <w:tcMar>
              <w:top w:w="40" w:type="dxa"/>
              <w:left w:w="0" w:type="dxa"/>
              <w:bottom w:w="40" w:type="dxa"/>
              <w:right w:w="20" w:type="dxa"/>
            </w:tcMar>
            <w:vAlign w:val="bottom"/>
          </w:tcPr>
          <w:p w14:paraId="74DE085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855"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856" w14:textId="77777777" w:rsidR="00584EC1" w:rsidRDefault="00871F8D">
            <w:pPr>
              <w:jc w:val="right"/>
              <w:textAlignment w:val="bottom"/>
            </w:pPr>
            <w:r>
              <w:rPr>
                <w:rFonts w:ascii="Arial" w:eastAsia="宋体" w:hAnsi="Arial" w:cs="Arial"/>
                <w:color w:val="000000"/>
                <w:sz w:val="13"/>
                <w:szCs w:val="13"/>
              </w:rPr>
              <w:t>786 </w:t>
            </w:r>
          </w:p>
        </w:tc>
        <w:tc>
          <w:tcPr>
            <w:tcW w:w="0" w:type="auto"/>
            <w:shd w:val="clear" w:color="auto" w:fill="FFFFFF"/>
            <w:tcMar>
              <w:top w:w="40" w:type="dxa"/>
              <w:left w:w="0" w:type="dxa"/>
              <w:bottom w:w="40" w:type="dxa"/>
              <w:right w:w="20" w:type="dxa"/>
            </w:tcMar>
            <w:vAlign w:val="bottom"/>
          </w:tcPr>
          <w:p w14:paraId="74DE0857" w14:textId="77777777" w:rsidR="00584EC1" w:rsidRDefault="00584EC1">
            <w:pPr>
              <w:jc w:val="right"/>
              <w:rPr>
                <w:rFonts w:ascii="宋体"/>
              </w:rPr>
            </w:pPr>
          </w:p>
        </w:tc>
      </w:tr>
      <w:tr w:rsidR="00584EC1" w14:paraId="74DE0867" w14:textId="77777777">
        <w:trPr>
          <w:hidden/>
        </w:trPr>
        <w:tc>
          <w:tcPr>
            <w:tcW w:w="0" w:type="auto"/>
            <w:gridSpan w:val="3"/>
            <w:shd w:val="clear" w:color="auto" w:fill="auto"/>
            <w:vAlign w:val="bottom"/>
          </w:tcPr>
          <w:p w14:paraId="74DE0859" w14:textId="77777777" w:rsidR="00584EC1" w:rsidRDefault="00584EC1">
            <w:pPr>
              <w:rPr>
                <w:rFonts w:ascii="宋体"/>
                <w:vanish/>
              </w:rPr>
            </w:pPr>
          </w:p>
        </w:tc>
        <w:tc>
          <w:tcPr>
            <w:tcW w:w="0" w:type="auto"/>
            <w:gridSpan w:val="3"/>
            <w:shd w:val="clear" w:color="auto" w:fill="auto"/>
            <w:vAlign w:val="bottom"/>
          </w:tcPr>
          <w:p w14:paraId="74DE085A" w14:textId="77777777" w:rsidR="00584EC1" w:rsidRDefault="00584EC1">
            <w:pPr>
              <w:rPr>
                <w:rFonts w:ascii="宋体"/>
                <w:vanish/>
              </w:rPr>
            </w:pPr>
          </w:p>
        </w:tc>
        <w:tc>
          <w:tcPr>
            <w:tcW w:w="0" w:type="auto"/>
            <w:gridSpan w:val="3"/>
            <w:shd w:val="clear" w:color="auto" w:fill="auto"/>
            <w:vAlign w:val="bottom"/>
          </w:tcPr>
          <w:p w14:paraId="74DE085B" w14:textId="77777777" w:rsidR="00584EC1" w:rsidRDefault="00584EC1">
            <w:pPr>
              <w:rPr>
                <w:rFonts w:ascii="宋体"/>
                <w:vanish/>
              </w:rPr>
            </w:pPr>
          </w:p>
        </w:tc>
        <w:tc>
          <w:tcPr>
            <w:tcW w:w="0" w:type="auto"/>
            <w:gridSpan w:val="3"/>
            <w:shd w:val="clear" w:color="auto" w:fill="auto"/>
            <w:vAlign w:val="bottom"/>
          </w:tcPr>
          <w:p w14:paraId="74DE085C" w14:textId="77777777" w:rsidR="00584EC1" w:rsidRDefault="00584EC1">
            <w:pPr>
              <w:rPr>
                <w:rFonts w:ascii="宋体"/>
                <w:vanish/>
              </w:rPr>
            </w:pPr>
          </w:p>
        </w:tc>
        <w:tc>
          <w:tcPr>
            <w:tcW w:w="0" w:type="auto"/>
            <w:gridSpan w:val="3"/>
            <w:shd w:val="clear" w:color="auto" w:fill="auto"/>
            <w:vAlign w:val="bottom"/>
          </w:tcPr>
          <w:p w14:paraId="74DE085D" w14:textId="77777777" w:rsidR="00584EC1" w:rsidRDefault="00584EC1">
            <w:pPr>
              <w:rPr>
                <w:rFonts w:ascii="宋体"/>
                <w:vanish/>
              </w:rPr>
            </w:pPr>
          </w:p>
        </w:tc>
        <w:tc>
          <w:tcPr>
            <w:tcW w:w="0" w:type="auto"/>
            <w:gridSpan w:val="3"/>
            <w:shd w:val="clear" w:color="auto" w:fill="auto"/>
            <w:vAlign w:val="bottom"/>
          </w:tcPr>
          <w:p w14:paraId="74DE085E" w14:textId="77777777" w:rsidR="00584EC1" w:rsidRDefault="00584EC1">
            <w:pPr>
              <w:rPr>
                <w:rFonts w:ascii="宋体"/>
                <w:vanish/>
              </w:rPr>
            </w:pPr>
          </w:p>
        </w:tc>
        <w:tc>
          <w:tcPr>
            <w:tcW w:w="0" w:type="auto"/>
            <w:gridSpan w:val="3"/>
            <w:shd w:val="clear" w:color="auto" w:fill="auto"/>
            <w:vAlign w:val="bottom"/>
          </w:tcPr>
          <w:p w14:paraId="74DE085F" w14:textId="77777777" w:rsidR="00584EC1" w:rsidRDefault="00584EC1">
            <w:pPr>
              <w:rPr>
                <w:rFonts w:ascii="宋体"/>
                <w:vanish/>
              </w:rPr>
            </w:pPr>
          </w:p>
        </w:tc>
        <w:tc>
          <w:tcPr>
            <w:tcW w:w="0" w:type="auto"/>
            <w:gridSpan w:val="3"/>
            <w:shd w:val="clear" w:color="auto" w:fill="auto"/>
            <w:vAlign w:val="bottom"/>
          </w:tcPr>
          <w:p w14:paraId="74DE0860" w14:textId="77777777" w:rsidR="00584EC1" w:rsidRDefault="00584EC1">
            <w:pPr>
              <w:rPr>
                <w:rFonts w:ascii="宋体"/>
                <w:vanish/>
              </w:rPr>
            </w:pPr>
          </w:p>
        </w:tc>
        <w:tc>
          <w:tcPr>
            <w:tcW w:w="0" w:type="auto"/>
            <w:gridSpan w:val="3"/>
            <w:shd w:val="clear" w:color="auto" w:fill="auto"/>
            <w:vAlign w:val="bottom"/>
          </w:tcPr>
          <w:p w14:paraId="74DE0861" w14:textId="77777777" w:rsidR="00584EC1" w:rsidRDefault="00584EC1">
            <w:pPr>
              <w:rPr>
                <w:rFonts w:ascii="宋体"/>
                <w:vanish/>
              </w:rPr>
            </w:pPr>
          </w:p>
        </w:tc>
        <w:tc>
          <w:tcPr>
            <w:tcW w:w="0" w:type="auto"/>
            <w:gridSpan w:val="3"/>
            <w:shd w:val="clear" w:color="auto" w:fill="auto"/>
            <w:vAlign w:val="bottom"/>
          </w:tcPr>
          <w:p w14:paraId="74DE0862" w14:textId="77777777" w:rsidR="00584EC1" w:rsidRDefault="00584EC1">
            <w:pPr>
              <w:rPr>
                <w:rFonts w:ascii="宋体"/>
                <w:vanish/>
              </w:rPr>
            </w:pPr>
          </w:p>
        </w:tc>
        <w:tc>
          <w:tcPr>
            <w:tcW w:w="0" w:type="auto"/>
            <w:gridSpan w:val="3"/>
            <w:shd w:val="clear" w:color="auto" w:fill="auto"/>
            <w:vAlign w:val="bottom"/>
          </w:tcPr>
          <w:p w14:paraId="74DE0863" w14:textId="77777777" w:rsidR="00584EC1" w:rsidRDefault="00584EC1">
            <w:pPr>
              <w:rPr>
                <w:rFonts w:ascii="宋体"/>
                <w:vanish/>
              </w:rPr>
            </w:pPr>
          </w:p>
        </w:tc>
        <w:tc>
          <w:tcPr>
            <w:tcW w:w="0" w:type="auto"/>
            <w:gridSpan w:val="3"/>
            <w:shd w:val="clear" w:color="auto" w:fill="auto"/>
            <w:vAlign w:val="bottom"/>
          </w:tcPr>
          <w:p w14:paraId="74DE0864" w14:textId="77777777" w:rsidR="00584EC1" w:rsidRDefault="00584EC1">
            <w:pPr>
              <w:rPr>
                <w:rFonts w:ascii="宋体"/>
                <w:vanish/>
              </w:rPr>
            </w:pPr>
          </w:p>
        </w:tc>
        <w:tc>
          <w:tcPr>
            <w:tcW w:w="0" w:type="auto"/>
            <w:gridSpan w:val="3"/>
            <w:shd w:val="clear" w:color="auto" w:fill="auto"/>
            <w:vAlign w:val="bottom"/>
          </w:tcPr>
          <w:p w14:paraId="74DE0865" w14:textId="77777777" w:rsidR="00584EC1" w:rsidRDefault="00584EC1">
            <w:pPr>
              <w:rPr>
                <w:rFonts w:ascii="宋体"/>
                <w:vanish/>
              </w:rPr>
            </w:pPr>
          </w:p>
        </w:tc>
        <w:tc>
          <w:tcPr>
            <w:tcW w:w="0" w:type="auto"/>
            <w:gridSpan w:val="3"/>
            <w:shd w:val="clear" w:color="auto" w:fill="auto"/>
            <w:vAlign w:val="bottom"/>
          </w:tcPr>
          <w:p w14:paraId="74DE0866" w14:textId="77777777" w:rsidR="00584EC1" w:rsidRDefault="00584EC1">
            <w:pPr>
              <w:rPr>
                <w:rFonts w:ascii="宋体"/>
                <w:vanish/>
              </w:rPr>
            </w:pPr>
          </w:p>
        </w:tc>
      </w:tr>
      <w:tr w:rsidR="00584EC1" w14:paraId="74DE087D" w14:textId="77777777">
        <w:tc>
          <w:tcPr>
            <w:tcW w:w="0" w:type="auto"/>
            <w:gridSpan w:val="3"/>
            <w:shd w:val="clear" w:color="auto" w:fill="CCEEFF"/>
            <w:tcMar>
              <w:top w:w="40" w:type="dxa"/>
              <w:left w:w="20" w:type="dxa"/>
              <w:bottom w:w="40" w:type="dxa"/>
              <w:right w:w="20" w:type="dxa"/>
            </w:tcMar>
            <w:vAlign w:val="bottom"/>
          </w:tcPr>
          <w:p w14:paraId="74DE0868" w14:textId="77777777" w:rsidR="00584EC1" w:rsidRDefault="00871F8D">
            <w:pPr>
              <w:textAlignment w:val="bottom"/>
            </w:pPr>
            <w:r>
              <w:rPr>
                <w:rFonts w:ascii="Arial" w:eastAsia="宋体" w:hAnsi="Arial" w:cs="Arial"/>
                <w:color w:val="000000"/>
                <w:sz w:val="13"/>
                <w:szCs w:val="13"/>
              </w:rPr>
              <w:t xml:space="preserve">Amounts reclassified into (out of) </w:t>
            </w:r>
            <w:r>
              <w:rPr>
                <w:rFonts w:ascii="Arial" w:eastAsia="宋体" w:hAnsi="Arial" w:cs="Arial"/>
                <w:color w:val="000000"/>
                <w:sz w:val="13"/>
                <w:szCs w:val="13"/>
              </w:rPr>
              <w:t>accumulated other comprehensive loss</w:t>
            </w:r>
          </w:p>
        </w:tc>
        <w:tc>
          <w:tcPr>
            <w:tcW w:w="0" w:type="auto"/>
            <w:gridSpan w:val="2"/>
            <w:shd w:val="clear" w:color="auto" w:fill="CCEEFF"/>
            <w:tcMar>
              <w:top w:w="40" w:type="dxa"/>
              <w:left w:w="20" w:type="dxa"/>
              <w:bottom w:w="40" w:type="dxa"/>
              <w:right w:w="0" w:type="dxa"/>
            </w:tcMar>
            <w:vAlign w:val="bottom"/>
          </w:tcPr>
          <w:p w14:paraId="74DE0869" w14:textId="77777777" w:rsidR="00584EC1" w:rsidRDefault="00871F8D">
            <w:pPr>
              <w:jc w:val="right"/>
              <w:textAlignment w:val="bottom"/>
            </w:pPr>
            <w:r>
              <w:rPr>
                <w:rFonts w:ascii="Arial" w:eastAsia="宋体" w:hAnsi="Arial" w:cs="Arial"/>
                <w:color w:val="000000"/>
                <w:sz w:val="13"/>
                <w:szCs w:val="13"/>
              </w:rPr>
              <w:t>(37)</w:t>
            </w:r>
          </w:p>
        </w:tc>
        <w:tc>
          <w:tcPr>
            <w:tcW w:w="0" w:type="auto"/>
            <w:shd w:val="clear" w:color="auto" w:fill="CCEEFF"/>
            <w:tcMar>
              <w:top w:w="40" w:type="dxa"/>
              <w:left w:w="0" w:type="dxa"/>
              <w:bottom w:w="40" w:type="dxa"/>
              <w:right w:w="20" w:type="dxa"/>
            </w:tcMar>
            <w:vAlign w:val="bottom"/>
          </w:tcPr>
          <w:p w14:paraId="74DE086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86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86C" w14:textId="77777777" w:rsidR="00584EC1" w:rsidRDefault="00871F8D">
            <w:pPr>
              <w:jc w:val="right"/>
              <w:textAlignment w:val="bottom"/>
            </w:pPr>
            <w:r>
              <w:rPr>
                <w:rFonts w:ascii="Arial" w:eastAsia="宋体" w:hAnsi="Arial" w:cs="Arial"/>
                <w:color w:val="000000"/>
                <w:sz w:val="13"/>
                <w:szCs w:val="13"/>
              </w:rPr>
              <w:t>1 </w:t>
            </w:r>
          </w:p>
        </w:tc>
        <w:tc>
          <w:tcPr>
            <w:tcW w:w="0" w:type="auto"/>
            <w:shd w:val="clear" w:color="auto" w:fill="CCEEFF"/>
            <w:tcMar>
              <w:top w:w="40" w:type="dxa"/>
              <w:left w:w="0" w:type="dxa"/>
              <w:bottom w:w="40" w:type="dxa"/>
              <w:right w:w="20" w:type="dxa"/>
            </w:tcMar>
            <w:vAlign w:val="bottom"/>
          </w:tcPr>
          <w:p w14:paraId="74DE086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86E"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86F" w14:textId="77777777" w:rsidR="00584EC1" w:rsidRDefault="00871F8D">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E087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87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872" w14:textId="77777777" w:rsidR="00584EC1" w:rsidRDefault="00871F8D">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E087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874"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875" w14:textId="77777777" w:rsidR="00584EC1" w:rsidRDefault="00871F8D">
            <w:pPr>
              <w:jc w:val="right"/>
              <w:textAlignment w:val="bottom"/>
            </w:pPr>
            <w:r>
              <w:rPr>
                <w:rFonts w:ascii="Arial" w:eastAsia="宋体" w:hAnsi="Arial" w:cs="Arial"/>
                <w:color w:val="000000"/>
                <w:sz w:val="13"/>
                <w:szCs w:val="13"/>
              </w:rPr>
              <w:t>15 </w:t>
            </w:r>
          </w:p>
        </w:tc>
        <w:tc>
          <w:tcPr>
            <w:tcW w:w="0" w:type="auto"/>
            <w:shd w:val="clear" w:color="auto" w:fill="CCEEFF"/>
            <w:tcMar>
              <w:top w:w="40" w:type="dxa"/>
              <w:left w:w="0" w:type="dxa"/>
              <w:bottom w:w="40" w:type="dxa"/>
              <w:right w:w="20" w:type="dxa"/>
            </w:tcMar>
            <w:vAlign w:val="bottom"/>
          </w:tcPr>
          <w:p w14:paraId="74DE087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87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878" w14:textId="77777777" w:rsidR="00584EC1" w:rsidRDefault="00871F8D">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4DE087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87A"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87B" w14:textId="77777777" w:rsidR="00584EC1" w:rsidRDefault="00871F8D">
            <w:pPr>
              <w:jc w:val="right"/>
              <w:textAlignment w:val="bottom"/>
            </w:pPr>
            <w:r>
              <w:rPr>
                <w:rFonts w:ascii="Arial" w:eastAsia="宋体" w:hAnsi="Arial" w:cs="Arial"/>
                <w:color w:val="000000"/>
                <w:sz w:val="13"/>
                <w:szCs w:val="13"/>
              </w:rPr>
              <w:t>(21)</w:t>
            </w:r>
          </w:p>
        </w:tc>
        <w:tc>
          <w:tcPr>
            <w:tcW w:w="0" w:type="auto"/>
            <w:shd w:val="clear" w:color="auto" w:fill="CCEEFF"/>
            <w:tcMar>
              <w:top w:w="40" w:type="dxa"/>
              <w:left w:w="0" w:type="dxa"/>
              <w:bottom w:w="40" w:type="dxa"/>
              <w:right w:w="20" w:type="dxa"/>
            </w:tcMar>
            <w:vAlign w:val="bottom"/>
          </w:tcPr>
          <w:p w14:paraId="74DE087C" w14:textId="77777777" w:rsidR="00584EC1" w:rsidRDefault="00584EC1">
            <w:pPr>
              <w:jc w:val="right"/>
              <w:rPr>
                <w:rFonts w:ascii="宋体"/>
              </w:rPr>
            </w:pPr>
          </w:p>
        </w:tc>
      </w:tr>
      <w:tr w:rsidR="00584EC1" w14:paraId="74DE0893" w14:textId="77777777">
        <w:tc>
          <w:tcPr>
            <w:tcW w:w="0" w:type="auto"/>
            <w:gridSpan w:val="3"/>
            <w:shd w:val="clear" w:color="auto" w:fill="FFFFFF"/>
            <w:tcMar>
              <w:top w:w="40" w:type="dxa"/>
              <w:left w:w="20" w:type="dxa"/>
              <w:bottom w:w="40" w:type="dxa"/>
              <w:right w:w="20" w:type="dxa"/>
            </w:tcMar>
            <w:vAlign w:val="bottom"/>
          </w:tcPr>
          <w:p w14:paraId="74DE087E" w14:textId="77777777" w:rsidR="00584EC1" w:rsidRDefault="00871F8D">
            <w:pPr>
              <w:textAlignment w:val="bottom"/>
            </w:pPr>
            <w:r>
              <w:rPr>
                <w:rFonts w:ascii="Arial" w:eastAsia="宋体" w:hAnsi="Arial" w:cs="Arial"/>
                <w:color w:val="000000"/>
                <w:sz w:val="13"/>
                <w:szCs w:val="13"/>
              </w:rPr>
              <w:t>Other comprehensive income (loss)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087F" w14:textId="77777777" w:rsidR="00584EC1" w:rsidRDefault="00871F8D">
            <w:pPr>
              <w:jc w:val="right"/>
              <w:textAlignment w:val="bottom"/>
            </w:pPr>
            <w:r>
              <w:rPr>
                <w:rFonts w:ascii="Arial" w:eastAsia="宋体" w:hAnsi="Arial" w:cs="Arial"/>
                <w:color w:val="000000"/>
                <w:sz w:val="13"/>
                <w:szCs w:val="13"/>
              </w:rPr>
              <w:t>152 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088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881"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0882" w14:textId="77777777" w:rsidR="00584EC1" w:rsidRDefault="00871F8D">
            <w:pPr>
              <w:jc w:val="right"/>
              <w:textAlignment w:val="bottom"/>
            </w:pPr>
            <w:r>
              <w:rPr>
                <w:rFonts w:ascii="Arial" w:eastAsia="宋体" w:hAnsi="Arial" w:cs="Arial"/>
                <w:color w:val="000000"/>
                <w:sz w:val="13"/>
                <w:szCs w:val="13"/>
              </w:rPr>
              <w:t>463 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088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884"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0885" w14:textId="77777777" w:rsidR="00584EC1" w:rsidRDefault="00871F8D">
            <w:pPr>
              <w:jc w:val="right"/>
              <w:textAlignment w:val="bottom"/>
            </w:pPr>
            <w:r>
              <w:rPr>
                <w:rFonts w:ascii="Arial" w:eastAsia="宋体" w:hAnsi="Arial" w:cs="Arial"/>
                <w:color w:val="000000"/>
                <w:sz w:val="13"/>
                <w:szCs w:val="13"/>
              </w:rPr>
              <w:t>(100)</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088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887"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0888" w14:textId="77777777" w:rsidR="00584EC1" w:rsidRDefault="00871F8D">
            <w:pPr>
              <w:jc w:val="right"/>
              <w:textAlignment w:val="bottom"/>
            </w:pP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088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88A"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088B" w14:textId="77777777" w:rsidR="00584EC1" w:rsidRDefault="00871F8D">
            <w:pPr>
              <w:jc w:val="right"/>
              <w:textAlignment w:val="bottom"/>
            </w:pPr>
            <w:r>
              <w:rPr>
                <w:rFonts w:ascii="Arial" w:eastAsia="宋体" w:hAnsi="Arial" w:cs="Arial"/>
                <w:color w:val="000000"/>
                <w:sz w:val="13"/>
                <w:szCs w:val="13"/>
              </w:rPr>
              <w:t>15 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088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88D"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088E" w14:textId="77777777" w:rsidR="00584EC1" w:rsidRDefault="00871F8D">
            <w:pPr>
              <w:jc w:val="right"/>
              <w:textAlignment w:val="bottom"/>
            </w:pPr>
            <w:r>
              <w:rPr>
                <w:rFonts w:ascii="Arial" w:eastAsia="宋体" w:hAnsi="Arial" w:cs="Arial"/>
                <w:color w:val="000000"/>
                <w:sz w:val="13"/>
                <w:szCs w:val="13"/>
              </w:rPr>
              <w:t>235 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088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890"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0891" w14:textId="77777777" w:rsidR="00584EC1" w:rsidRDefault="00871F8D">
            <w:pPr>
              <w:jc w:val="right"/>
              <w:textAlignment w:val="bottom"/>
            </w:pPr>
            <w:r>
              <w:rPr>
                <w:rFonts w:ascii="Arial" w:eastAsia="宋体" w:hAnsi="Arial" w:cs="Arial"/>
                <w:color w:val="000000"/>
                <w:sz w:val="13"/>
                <w:szCs w:val="13"/>
              </w:rPr>
              <w:t>765 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0892" w14:textId="77777777" w:rsidR="00584EC1" w:rsidRDefault="00584EC1">
            <w:pPr>
              <w:jc w:val="right"/>
              <w:rPr>
                <w:rFonts w:ascii="宋体"/>
              </w:rPr>
            </w:pPr>
          </w:p>
        </w:tc>
      </w:tr>
      <w:tr w:rsidR="00584EC1" w14:paraId="74DE08B0" w14:textId="77777777">
        <w:tc>
          <w:tcPr>
            <w:tcW w:w="0" w:type="auto"/>
            <w:gridSpan w:val="3"/>
            <w:shd w:val="clear" w:color="auto" w:fill="CCEEFF"/>
            <w:tcMar>
              <w:top w:w="40" w:type="dxa"/>
              <w:left w:w="20" w:type="dxa"/>
              <w:bottom w:w="40" w:type="dxa"/>
              <w:right w:w="20" w:type="dxa"/>
            </w:tcMar>
            <w:vAlign w:val="bottom"/>
          </w:tcPr>
          <w:p w14:paraId="74DE0894" w14:textId="77777777" w:rsidR="00584EC1" w:rsidRDefault="00871F8D">
            <w:pPr>
              <w:textAlignment w:val="bottom"/>
            </w:pPr>
            <w:r>
              <w:rPr>
                <w:rFonts w:ascii="Arial" w:eastAsia="宋体" w:hAnsi="Arial" w:cs="Arial"/>
                <w:b/>
                <w:bCs/>
                <w:color w:val="000000"/>
                <w:sz w:val="13"/>
                <w:szCs w:val="13"/>
              </w:rPr>
              <w:t>Balanc</w:t>
            </w:r>
            <w:r>
              <w:rPr>
                <w:rFonts w:ascii="Arial" w:eastAsia="宋体" w:hAnsi="Arial" w:cs="Arial"/>
                <w:b/>
                <w:bCs/>
                <w:color w:val="000000"/>
                <w:sz w:val="13"/>
                <w:szCs w:val="13"/>
              </w:rPr>
              <w:t>e as of September 30, 2020</w:t>
            </w:r>
          </w:p>
        </w:tc>
        <w:tc>
          <w:tcPr>
            <w:tcW w:w="0" w:type="auto"/>
            <w:tcBorders>
              <w:top w:val="single" w:sz="8" w:space="0" w:color="000000"/>
            </w:tcBorders>
            <w:shd w:val="clear" w:color="auto" w:fill="CCEEFF"/>
            <w:tcMar>
              <w:top w:w="40" w:type="dxa"/>
              <w:left w:w="20" w:type="dxa"/>
              <w:bottom w:w="40" w:type="dxa"/>
              <w:right w:w="0" w:type="dxa"/>
            </w:tcMar>
            <w:vAlign w:val="bottom"/>
          </w:tcPr>
          <w:p w14:paraId="74DE0895" w14:textId="77777777" w:rsidR="00584EC1" w:rsidRDefault="00871F8D">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0896" w14:textId="77777777" w:rsidR="00584EC1" w:rsidRDefault="00871F8D">
            <w:pPr>
              <w:jc w:val="right"/>
              <w:textAlignment w:val="bottom"/>
            </w:pPr>
            <w:r>
              <w:rPr>
                <w:rFonts w:ascii="Arial" w:eastAsia="宋体" w:hAnsi="Arial" w:cs="Arial"/>
                <w:color w:val="000000"/>
                <w:sz w:val="13"/>
                <w:szCs w:val="13"/>
              </w:rPr>
              <w:t>82 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89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898"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0899" w14:textId="77777777" w:rsidR="00584EC1" w:rsidRDefault="00871F8D">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089A" w14:textId="77777777" w:rsidR="00584EC1" w:rsidRDefault="00871F8D">
            <w:pPr>
              <w:jc w:val="right"/>
              <w:textAlignment w:val="bottom"/>
            </w:pPr>
            <w:r>
              <w:rPr>
                <w:rFonts w:ascii="Arial" w:eastAsia="宋体" w:hAnsi="Arial" w:cs="Arial"/>
                <w:color w:val="000000"/>
                <w:sz w:val="13"/>
                <w:szCs w:val="13"/>
              </w:rPr>
              <w:t>872 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89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89C"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089D" w14:textId="77777777" w:rsidR="00584EC1" w:rsidRDefault="00871F8D">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089E" w14:textId="77777777" w:rsidR="00584EC1" w:rsidRDefault="00871F8D">
            <w:pPr>
              <w:jc w:val="right"/>
              <w:textAlignment w:val="bottom"/>
            </w:pPr>
            <w:r>
              <w:rPr>
                <w:rFonts w:ascii="Arial" w:eastAsia="宋体" w:hAnsi="Arial" w:cs="Arial"/>
                <w:color w:val="000000"/>
                <w:sz w:val="13"/>
                <w:szCs w:val="13"/>
              </w:rPr>
              <w:t>(54)</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89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8A0"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08A1" w14:textId="77777777" w:rsidR="00584EC1" w:rsidRDefault="00871F8D">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08A2" w14:textId="77777777" w:rsidR="00584EC1" w:rsidRDefault="00871F8D">
            <w:pPr>
              <w:jc w:val="right"/>
              <w:textAlignment w:val="bottom"/>
            </w:pPr>
            <w:r>
              <w:rPr>
                <w:rFonts w:ascii="Arial" w:eastAsia="宋体" w:hAnsi="Arial" w:cs="Arial"/>
                <w:color w:val="000000"/>
                <w:sz w:val="13"/>
                <w:szCs w:val="13"/>
              </w:rPr>
              <w:t>(2)</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8A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8A4"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08A5" w14:textId="77777777" w:rsidR="00584EC1" w:rsidRDefault="00871F8D">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08A6" w14:textId="77777777" w:rsidR="00584EC1" w:rsidRDefault="00871F8D">
            <w:pPr>
              <w:jc w:val="right"/>
              <w:textAlignment w:val="bottom"/>
            </w:pPr>
            <w:r>
              <w:rPr>
                <w:rFonts w:ascii="Arial" w:eastAsia="宋体" w:hAnsi="Arial" w:cs="Arial"/>
                <w:color w:val="000000"/>
                <w:sz w:val="13"/>
                <w:szCs w:val="13"/>
              </w:rPr>
              <w:t>(172)</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8A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8A8"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08A9" w14:textId="77777777" w:rsidR="00584EC1" w:rsidRDefault="00871F8D">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08AA" w14:textId="77777777" w:rsidR="00584EC1" w:rsidRDefault="00871F8D">
            <w:pPr>
              <w:jc w:val="right"/>
              <w:textAlignment w:val="bottom"/>
            </w:pPr>
            <w:r>
              <w:rPr>
                <w:rFonts w:ascii="Arial" w:eastAsia="宋体" w:hAnsi="Arial" w:cs="Arial"/>
                <w:color w:val="000000"/>
                <w:sz w:val="13"/>
                <w:szCs w:val="13"/>
              </w:rPr>
              <w:t>(837)</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8A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8AC"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08AD" w14:textId="77777777" w:rsidR="00584EC1" w:rsidRDefault="00871F8D">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08AE" w14:textId="77777777" w:rsidR="00584EC1" w:rsidRDefault="00871F8D">
            <w:pPr>
              <w:jc w:val="right"/>
              <w:textAlignment w:val="bottom"/>
            </w:pPr>
            <w:r>
              <w:rPr>
                <w:rFonts w:ascii="Arial" w:eastAsia="宋体" w:hAnsi="Arial" w:cs="Arial"/>
                <w:color w:val="000000"/>
                <w:sz w:val="13"/>
                <w:szCs w:val="13"/>
              </w:rPr>
              <w:t>(111)</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8AF" w14:textId="77777777" w:rsidR="00584EC1" w:rsidRDefault="00584EC1">
            <w:pPr>
              <w:jc w:val="right"/>
              <w:rPr>
                <w:rFonts w:ascii="宋体"/>
              </w:rPr>
            </w:pPr>
          </w:p>
        </w:tc>
      </w:tr>
      <w:tr w:rsidR="00584EC1" w14:paraId="74DE08BF" w14:textId="77777777">
        <w:trPr>
          <w:trHeight w:val="120"/>
        </w:trPr>
        <w:tc>
          <w:tcPr>
            <w:tcW w:w="0" w:type="auto"/>
            <w:gridSpan w:val="3"/>
            <w:shd w:val="clear" w:color="auto" w:fill="FFFFFF"/>
            <w:tcMar>
              <w:top w:w="0" w:type="dxa"/>
              <w:left w:w="20" w:type="dxa"/>
              <w:bottom w:w="0" w:type="dxa"/>
              <w:right w:w="20" w:type="dxa"/>
            </w:tcMar>
            <w:vAlign w:val="bottom"/>
          </w:tcPr>
          <w:p w14:paraId="74DE08B1"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E08B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E08B3"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E08B4"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E08B5"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E08B6"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E08B7"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E08B8"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E08B9"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E08BA"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E08BB"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E08BC"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E08BD"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E08BE" w14:textId="77777777" w:rsidR="00584EC1" w:rsidRDefault="00584EC1">
            <w:pPr>
              <w:rPr>
                <w:rFonts w:ascii="宋体"/>
              </w:rPr>
            </w:pPr>
          </w:p>
        </w:tc>
      </w:tr>
    </w:tbl>
    <w:p w14:paraId="74DE08C0" w14:textId="77777777" w:rsidR="00584EC1" w:rsidRDefault="00871F8D">
      <w:pPr>
        <w:ind w:firstLine="450"/>
      </w:pPr>
      <w:r>
        <w:rPr>
          <w:rFonts w:ascii="Arial" w:eastAsia="宋体" w:hAnsi="Arial" w:cs="Arial"/>
          <w:color w:val="000000"/>
          <w:sz w:val="20"/>
          <w:szCs w:val="20"/>
        </w:rPr>
        <w:t>The following table presents after-tax reclassifications into earnings for the periods indicated:</w:t>
      </w:r>
    </w:p>
    <w:tbl>
      <w:tblPr>
        <w:tblW w:w="4993" w:type="pct"/>
        <w:tblCellMar>
          <w:top w:w="15" w:type="dxa"/>
          <w:left w:w="15" w:type="dxa"/>
          <w:bottom w:w="15" w:type="dxa"/>
          <w:right w:w="15" w:type="dxa"/>
        </w:tblCellMar>
        <w:tblLook w:val="04A0" w:firstRow="1" w:lastRow="0" w:firstColumn="1" w:lastColumn="0" w:noHBand="0" w:noVBand="1"/>
      </w:tblPr>
      <w:tblGrid>
        <w:gridCol w:w="51"/>
        <w:gridCol w:w="3912"/>
        <w:gridCol w:w="38"/>
        <w:gridCol w:w="98"/>
        <w:gridCol w:w="850"/>
        <w:gridCol w:w="36"/>
        <w:gridCol w:w="36"/>
        <w:gridCol w:w="36"/>
        <w:gridCol w:w="36"/>
        <w:gridCol w:w="98"/>
        <w:gridCol w:w="838"/>
        <w:gridCol w:w="36"/>
        <w:gridCol w:w="36"/>
        <w:gridCol w:w="36"/>
        <w:gridCol w:w="36"/>
        <w:gridCol w:w="42"/>
        <w:gridCol w:w="2071"/>
        <w:gridCol w:w="38"/>
      </w:tblGrid>
      <w:tr w:rsidR="00584EC1" w14:paraId="74DE08D3" w14:textId="77777777">
        <w:tc>
          <w:tcPr>
            <w:tcW w:w="50" w:type="pct"/>
            <w:shd w:val="clear" w:color="auto" w:fill="auto"/>
            <w:vAlign w:val="bottom"/>
          </w:tcPr>
          <w:p w14:paraId="74DE08C1" w14:textId="77777777" w:rsidR="00584EC1" w:rsidRDefault="00584EC1">
            <w:pPr>
              <w:rPr>
                <w:rFonts w:ascii="宋体"/>
              </w:rPr>
            </w:pPr>
          </w:p>
        </w:tc>
        <w:tc>
          <w:tcPr>
            <w:tcW w:w="2368" w:type="pct"/>
            <w:shd w:val="clear" w:color="auto" w:fill="auto"/>
            <w:vAlign w:val="bottom"/>
          </w:tcPr>
          <w:p w14:paraId="74DE08C2" w14:textId="77777777" w:rsidR="00584EC1" w:rsidRDefault="00584EC1">
            <w:pPr>
              <w:rPr>
                <w:rFonts w:ascii="宋体"/>
              </w:rPr>
            </w:pPr>
          </w:p>
        </w:tc>
        <w:tc>
          <w:tcPr>
            <w:tcW w:w="5" w:type="pct"/>
            <w:shd w:val="clear" w:color="auto" w:fill="auto"/>
            <w:vAlign w:val="bottom"/>
          </w:tcPr>
          <w:p w14:paraId="74DE08C3" w14:textId="77777777" w:rsidR="00584EC1" w:rsidRDefault="00584EC1">
            <w:pPr>
              <w:rPr>
                <w:rFonts w:ascii="宋体"/>
              </w:rPr>
            </w:pPr>
          </w:p>
        </w:tc>
        <w:tc>
          <w:tcPr>
            <w:tcW w:w="50" w:type="pct"/>
            <w:shd w:val="clear" w:color="auto" w:fill="auto"/>
            <w:vAlign w:val="bottom"/>
          </w:tcPr>
          <w:p w14:paraId="74DE08C4" w14:textId="77777777" w:rsidR="00584EC1" w:rsidRDefault="00584EC1">
            <w:pPr>
              <w:rPr>
                <w:rFonts w:ascii="宋体"/>
              </w:rPr>
            </w:pPr>
          </w:p>
        </w:tc>
        <w:tc>
          <w:tcPr>
            <w:tcW w:w="530" w:type="pct"/>
            <w:shd w:val="clear" w:color="auto" w:fill="auto"/>
            <w:vAlign w:val="bottom"/>
          </w:tcPr>
          <w:p w14:paraId="74DE08C5" w14:textId="77777777" w:rsidR="00584EC1" w:rsidRDefault="00584EC1">
            <w:pPr>
              <w:rPr>
                <w:rFonts w:ascii="宋体"/>
              </w:rPr>
            </w:pPr>
          </w:p>
        </w:tc>
        <w:tc>
          <w:tcPr>
            <w:tcW w:w="5" w:type="pct"/>
            <w:shd w:val="clear" w:color="auto" w:fill="auto"/>
            <w:vAlign w:val="bottom"/>
          </w:tcPr>
          <w:p w14:paraId="74DE08C6" w14:textId="77777777" w:rsidR="00584EC1" w:rsidRDefault="00584EC1">
            <w:pPr>
              <w:rPr>
                <w:rFonts w:ascii="宋体"/>
              </w:rPr>
            </w:pPr>
          </w:p>
        </w:tc>
        <w:tc>
          <w:tcPr>
            <w:tcW w:w="5" w:type="pct"/>
            <w:shd w:val="clear" w:color="auto" w:fill="auto"/>
            <w:vAlign w:val="bottom"/>
          </w:tcPr>
          <w:p w14:paraId="74DE08C7" w14:textId="77777777" w:rsidR="00584EC1" w:rsidRDefault="00584EC1">
            <w:pPr>
              <w:rPr>
                <w:rFonts w:ascii="宋体"/>
              </w:rPr>
            </w:pPr>
          </w:p>
        </w:tc>
        <w:tc>
          <w:tcPr>
            <w:tcW w:w="26" w:type="pct"/>
            <w:shd w:val="clear" w:color="auto" w:fill="auto"/>
            <w:vAlign w:val="bottom"/>
          </w:tcPr>
          <w:p w14:paraId="74DE08C8" w14:textId="77777777" w:rsidR="00584EC1" w:rsidRDefault="00584EC1">
            <w:pPr>
              <w:rPr>
                <w:rFonts w:ascii="宋体"/>
              </w:rPr>
            </w:pPr>
          </w:p>
        </w:tc>
        <w:tc>
          <w:tcPr>
            <w:tcW w:w="5" w:type="pct"/>
            <w:shd w:val="clear" w:color="auto" w:fill="auto"/>
            <w:vAlign w:val="bottom"/>
          </w:tcPr>
          <w:p w14:paraId="74DE08C9" w14:textId="77777777" w:rsidR="00584EC1" w:rsidRDefault="00584EC1">
            <w:pPr>
              <w:rPr>
                <w:rFonts w:ascii="宋体"/>
              </w:rPr>
            </w:pPr>
          </w:p>
        </w:tc>
        <w:tc>
          <w:tcPr>
            <w:tcW w:w="50" w:type="pct"/>
            <w:shd w:val="clear" w:color="auto" w:fill="auto"/>
            <w:vAlign w:val="bottom"/>
          </w:tcPr>
          <w:p w14:paraId="74DE08CA" w14:textId="77777777" w:rsidR="00584EC1" w:rsidRDefault="00584EC1">
            <w:pPr>
              <w:rPr>
                <w:rFonts w:ascii="宋体"/>
              </w:rPr>
            </w:pPr>
          </w:p>
        </w:tc>
        <w:tc>
          <w:tcPr>
            <w:tcW w:w="537" w:type="pct"/>
            <w:shd w:val="clear" w:color="auto" w:fill="auto"/>
            <w:vAlign w:val="bottom"/>
          </w:tcPr>
          <w:p w14:paraId="74DE08CB" w14:textId="77777777" w:rsidR="00584EC1" w:rsidRDefault="00584EC1">
            <w:pPr>
              <w:rPr>
                <w:rFonts w:ascii="宋体"/>
              </w:rPr>
            </w:pPr>
          </w:p>
        </w:tc>
        <w:tc>
          <w:tcPr>
            <w:tcW w:w="5" w:type="pct"/>
            <w:shd w:val="clear" w:color="auto" w:fill="auto"/>
            <w:vAlign w:val="bottom"/>
          </w:tcPr>
          <w:p w14:paraId="74DE08CC" w14:textId="77777777" w:rsidR="00584EC1" w:rsidRDefault="00584EC1">
            <w:pPr>
              <w:rPr>
                <w:rFonts w:ascii="宋体"/>
              </w:rPr>
            </w:pPr>
          </w:p>
        </w:tc>
        <w:tc>
          <w:tcPr>
            <w:tcW w:w="5" w:type="pct"/>
            <w:shd w:val="clear" w:color="auto" w:fill="auto"/>
            <w:vAlign w:val="bottom"/>
          </w:tcPr>
          <w:p w14:paraId="74DE08CD" w14:textId="77777777" w:rsidR="00584EC1" w:rsidRDefault="00584EC1">
            <w:pPr>
              <w:rPr>
                <w:rFonts w:ascii="宋体"/>
              </w:rPr>
            </w:pPr>
          </w:p>
        </w:tc>
        <w:tc>
          <w:tcPr>
            <w:tcW w:w="26" w:type="pct"/>
            <w:shd w:val="clear" w:color="auto" w:fill="auto"/>
            <w:vAlign w:val="bottom"/>
          </w:tcPr>
          <w:p w14:paraId="74DE08CE" w14:textId="77777777" w:rsidR="00584EC1" w:rsidRDefault="00584EC1">
            <w:pPr>
              <w:rPr>
                <w:rFonts w:ascii="宋体"/>
              </w:rPr>
            </w:pPr>
          </w:p>
        </w:tc>
        <w:tc>
          <w:tcPr>
            <w:tcW w:w="5" w:type="pct"/>
            <w:shd w:val="clear" w:color="auto" w:fill="auto"/>
            <w:vAlign w:val="bottom"/>
          </w:tcPr>
          <w:p w14:paraId="74DE08CF" w14:textId="77777777" w:rsidR="00584EC1" w:rsidRDefault="00584EC1">
            <w:pPr>
              <w:rPr>
                <w:rFonts w:ascii="宋体"/>
              </w:rPr>
            </w:pPr>
          </w:p>
        </w:tc>
        <w:tc>
          <w:tcPr>
            <w:tcW w:w="50" w:type="pct"/>
            <w:shd w:val="clear" w:color="auto" w:fill="auto"/>
            <w:vAlign w:val="bottom"/>
          </w:tcPr>
          <w:p w14:paraId="74DE08D0" w14:textId="77777777" w:rsidR="00584EC1" w:rsidRDefault="00584EC1">
            <w:pPr>
              <w:rPr>
                <w:rFonts w:ascii="宋体"/>
              </w:rPr>
            </w:pPr>
          </w:p>
        </w:tc>
        <w:tc>
          <w:tcPr>
            <w:tcW w:w="1270" w:type="pct"/>
            <w:shd w:val="clear" w:color="auto" w:fill="auto"/>
            <w:vAlign w:val="bottom"/>
          </w:tcPr>
          <w:p w14:paraId="74DE08D1" w14:textId="77777777" w:rsidR="00584EC1" w:rsidRDefault="00584EC1">
            <w:pPr>
              <w:rPr>
                <w:rFonts w:ascii="宋体"/>
              </w:rPr>
            </w:pPr>
          </w:p>
        </w:tc>
        <w:tc>
          <w:tcPr>
            <w:tcW w:w="5" w:type="pct"/>
            <w:shd w:val="clear" w:color="auto" w:fill="auto"/>
            <w:vAlign w:val="bottom"/>
          </w:tcPr>
          <w:p w14:paraId="74DE08D2" w14:textId="77777777" w:rsidR="00584EC1" w:rsidRDefault="00584EC1">
            <w:pPr>
              <w:rPr>
                <w:rFonts w:ascii="宋体"/>
              </w:rPr>
            </w:pPr>
          </w:p>
        </w:tc>
      </w:tr>
      <w:tr w:rsidR="00584EC1" w14:paraId="74DE08D8" w14:textId="77777777">
        <w:tc>
          <w:tcPr>
            <w:tcW w:w="0" w:type="auto"/>
            <w:gridSpan w:val="3"/>
            <w:shd w:val="clear" w:color="auto" w:fill="auto"/>
            <w:tcMar>
              <w:top w:w="0" w:type="dxa"/>
              <w:left w:w="20" w:type="dxa"/>
              <w:bottom w:w="0" w:type="dxa"/>
              <w:right w:w="20" w:type="dxa"/>
            </w:tcMar>
            <w:vAlign w:val="bottom"/>
          </w:tcPr>
          <w:p w14:paraId="74DE08D4" w14:textId="77777777" w:rsidR="00584EC1" w:rsidRDefault="00584EC1">
            <w:pPr>
              <w:rPr>
                <w:rFonts w:ascii="宋体"/>
              </w:rPr>
            </w:pPr>
          </w:p>
        </w:tc>
        <w:tc>
          <w:tcPr>
            <w:tcW w:w="0" w:type="auto"/>
            <w:gridSpan w:val="9"/>
            <w:shd w:val="clear" w:color="auto" w:fill="auto"/>
            <w:tcMar>
              <w:top w:w="40" w:type="dxa"/>
              <w:left w:w="20" w:type="dxa"/>
              <w:bottom w:w="40" w:type="dxa"/>
              <w:right w:w="20" w:type="dxa"/>
            </w:tcMar>
            <w:vAlign w:val="bottom"/>
          </w:tcPr>
          <w:p w14:paraId="74DE08D5" w14:textId="77777777" w:rsidR="00584EC1" w:rsidRDefault="00871F8D">
            <w:pPr>
              <w:jc w:val="center"/>
              <w:textAlignment w:val="bottom"/>
            </w:pPr>
            <w:r>
              <w:rPr>
                <w:rFonts w:ascii="Arial" w:eastAsia="宋体" w:hAnsi="Arial" w:cs="Arial"/>
                <w:b/>
                <w:bCs/>
                <w:color w:val="000000"/>
                <w:sz w:val="14"/>
                <w:szCs w:val="14"/>
              </w:rPr>
              <w:t>Three Months Ended September 30,</w:t>
            </w:r>
          </w:p>
        </w:tc>
        <w:tc>
          <w:tcPr>
            <w:tcW w:w="0" w:type="auto"/>
            <w:gridSpan w:val="3"/>
            <w:shd w:val="clear" w:color="auto" w:fill="auto"/>
            <w:tcMar>
              <w:top w:w="0" w:type="dxa"/>
              <w:left w:w="20" w:type="dxa"/>
              <w:bottom w:w="0" w:type="dxa"/>
              <w:right w:w="20" w:type="dxa"/>
            </w:tcMar>
            <w:vAlign w:val="bottom"/>
          </w:tcPr>
          <w:p w14:paraId="74DE08D6"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8D7" w14:textId="77777777" w:rsidR="00584EC1" w:rsidRDefault="00584EC1">
            <w:pPr>
              <w:rPr>
                <w:rFonts w:ascii="宋体"/>
              </w:rPr>
            </w:pPr>
          </w:p>
        </w:tc>
      </w:tr>
      <w:tr w:rsidR="00584EC1" w14:paraId="74DE08DF" w14:textId="77777777">
        <w:tc>
          <w:tcPr>
            <w:tcW w:w="0" w:type="auto"/>
            <w:gridSpan w:val="3"/>
            <w:shd w:val="clear" w:color="auto" w:fill="auto"/>
            <w:tcMar>
              <w:top w:w="0" w:type="dxa"/>
              <w:left w:w="20" w:type="dxa"/>
              <w:bottom w:w="0" w:type="dxa"/>
              <w:right w:w="20" w:type="dxa"/>
            </w:tcMar>
            <w:vAlign w:val="bottom"/>
          </w:tcPr>
          <w:p w14:paraId="74DE08D9"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08DA" w14:textId="77777777" w:rsidR="00584EC1" w:rsidRDefault="00871F8D">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08DB" w14:textId="77777777" w:rsidR="00584EC1" w:rsidRDefault="00584EC1">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4DE08DC" w14:textId="77777777" w:rsidR="00584EC1" w:rsidRDefault="00871F8D">
            <w:pPr>
              <w:jc w:val="center"/>
              <w:textAlignment w:val="bottom"/>
            </w:pPr>
            <w:r>
              <w:rPr>
                <w:rFonts w:ascii="Arial" w:eastAsia="宋体" w:hAnsi="Arial" w:cs="Arial"/>
                <w:b/>
                <w:bCs/>
                <w:color w:val="000000"/>
                <w:sz w:val="14"/>
                <w:szCs w:val="14"/>
              </w:rPr>
              <w:t>2020</w:t>
            </w:r>
          </w:p>
        </w:tc>
        <w:tc>
          <w:tcPr>
            <w:tcW w:w="0" w:type="auto"/>
            <w:gridSpan w:val="3"/>
            <w:shd w:val="clear" w:color="auto" w:fill="auto"/>
            <w:tcMar>
              <w:top w:w="0" w:type="dxa"/>
              <w:left w:w="20" w:type="dxa"/>
              <w:bottom w:w="0" w:type="dxa"/>
              <w:right w:w="20" w:type="dxa"/>
            </w:tcMar>
            <w:vAlign w:val="bottom"/>
          </w:tcPr>
          <w:p w14:paraId="74DE08DD"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8DE" w14:textId="77777777" w:rsidR="00584EC1" w:rsidRDefault="00584EC1">
            <w:pPr>
              <w:rPr>
                <w:rFonts w:ascii="宋体"/>
              </w:rPr>
            </w:pPr>
          </w:p>
        </w:tc>
      </w:tr>
      <w:tr w:rsidR="00584EC1" w14:paraId="74DE08E4" w14:textId="77777777">
        <w:tc>
          <w:tcPr>
            <w:tcW w:w="0" w:type="auto"/>
            <w:gridSpan w:val="3"/>
            <w:shd w:val="clear" w:color="auto" w:fill="auto"/>
            <w:tcMar>
              <w:top w:w="40" w:type="dxa"/>
              <w:left w:w="20" w:type="dxa"/>
              <w:bottom w:w="40" w:type="dxa"/>
              <w:right w:w="20" w:type="dxa"/>
            </w:tcMar>
            <w:vAlign w:val="bottom"/>
          </w:tcPr>
          <w:p w14:paraId="74DE08E0" w14:textId="77777777" w:rsidR="00584EC1" w:rsidRDefault="00871F8D">
            <w:pPr>
              <w:textAlignment w:val="bottom"/>
            </w:pPr>
            <w:r>
              <w:rPr>
                <w:rFonts w:ascii="Arial" w:eastAsia="宋体" w:hAnsi="Arial" w:cs="Arial"/>
                <w:b/>
                <w:bCs/>
                <w:color w:val="000000"/>
                <w:sz w:val="14"/>
                <w:szCs w:val="14"/>
              </w:rPr>
              <w:t>(In millions)</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4DE08E1" w14:textId="77777777" w:rsidR="00584EC1" w:rsidRDefault="00871F8D">
            <w:pPr>
              <w:jc w:val="center"/>
              <w:textAlignment w:val="bottom"/>
            </w:pPr>
            <w:r>
              <w:rPr>
                <w:rFonts w:ascii="Arial" w:eastAsia="宋体" w:hAnsi="Arial" w:cs="Arial"/>
                <w:b/>
                <w:bCs/>
                <w:color w:val="000000"/>
                <w:sz w:val="14"/>
                <w:szCs w:val="14"/>
              </w:rPr>
              <w:t>Amounts Reclassified (into)</w:t>
            </w:r>
            <w:r>
              <w:rPr>
                <w:rFonts w:ascii="Arial" w:eastAsia="宋体" w:hAnsi="Arial" w:cs="Arial"/>
                <w:b/>
                <w:bCs/>
                <w:color w:val="000000"/>
                <w:sz w:val="14"/>
                <w:szCs w:val="14"/>
              </w:rPr>
              <w:br/>
              <w:t>out of Earnings</w:t>
            </w:r>
          </w:p>
        </w:tc>
        <w:tc>
          <w:tcPr>
            <w:tcW w:w="0" w:type="auto"/>
            <w:gridSpan w:val="3"/>
            <w:shd w:val="clear" w:color="auto" w:fill="auto"/>
            <w:tcMar>
              <w:top w:w="0" w:type="dxa"/>
              <w:left w:w="20" w:type="dxa"/>
              <w:bottom w:w="0" w:type="dxa"/>
              <w:right w:w="20" w:type="dxa"/>
            </w:tcMar>
            <w:vAlign w:val="bottom"/>
          </w:tcPr>
          <w:p w14:paraId="74DE08E2"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E08E3" w14:textId="77777777" w:rsidR="00584EC1" w:rsidRDefault="00871F8D">
            <w:pPr>
              <w:jc w:val="center"/>
              <w:textAlignment w:val="bottom"/>
            </w:pPr>
            <w:r>
              <w:rPr>
                <w:rFonts w:ascii="Arial" w:eastAsia="宋体" w:hAnsi="Arial" w:cs="Arial"/>
                <w:b/>
                <w:bCs/>
                <w:color w:val="000000"/>
                <w:sz w:val="14"/>
                <w:szCs w:val="14"/>
              </w:rPr>
              <w:t>Affected Line Item in Consolidated Statement of Income</w:t>
            </w:r>
          </w:p>
        </w:tc>
      </w:tr>
      <w:tr w:rsidR="00584EC1" w14:paraId="74DE08EB" w14:textId="77777777">
        <w:trPr>
          <w:hidden/>
        </w:trPr>
        <w:tc>
          <w:tcPr>
            <w:tcW w:w="0" w:type="auto"/>
            <w:gridSpan w:val="3"/>
            <w:shd w:val="clear" w:color="auto" w:fill="auto"/>
            <w:vAlign w:val="bottom"/>
          </w:tcPr>
          <w:p w14:paraId="74DE08E5" w14:textId="77777777" w:rsidR="00584EC1" w:rsidRDefault="00584EC1">
            <w:pPr>
              <w:rPr>
                <w:rFonts w:ascii="宋体"/>
                <w:vanish/>
              </w:rPr>
            </w:pPr>
          </w:p>
        </w:tc>
        <w:tc>
          <w:tcPr>
            <w:tcW w:w="0" w:type="auto"/>
            <w:gridSpan w:val="3"/>
            <w:shd w:val="clear" w:color="auto" w:fill="auto"/>
            <w:vAlign w:val="bottom"/>
          </w:tcPr>
          <w:p w14:paraId="74DE08E6" w14:textId="77777777" w:rsidR="00584EC1" w:rsidRDefault="00584EC1">
            <w:pPr>
              <w:rPr>
                <w:rFonts w:ascii="宋体"/>
                <w:vanish/>
              </w:rPr>
            </w:pPr>
          </w:p>
        </w:tc>
        <w:tc>
          <w:tcPr>
            <w:tcW w:w="0" w:type="auto"/>
            <w:gridSpan w:val="3"/>
            <w:shd w:val="clear" w:color="auto" w:fill="auto"/>
            <w:vAlign w:val="bottom"/>
          </w:tcPr>
          <w:p w14:paraId="74DE08E7" w14:textId="77777777" w:rsidR="00584EC1" w:rsidRDefault="00584EC1">
            <w:pPr>
              <w:rPr>
                <w:rFonts w:ascii="宋体"/>
                <w:vanish/>
              </w:rPr>
            </w:pPr>
          </w:p>
        </w:tc>
        <w:tc>
          <w:tcPr>
            <w:tcW w:w="0" w:type="auto"/>
            <w:gridSpan w:val="3"/>
            <w:shd w:val="clear" w:color="auto" w:fill="auto"/>
            <w:vAlign w:val="bottom"/>
          </w:tcPr>
          <w:p w14:paraId="74DE08E8" w14:textId="77777777" w:rsidR="00584EC1" w:rsidRDefault="00584EC1">
            <w:pPr>
              <w:rPr>
                <w:rFonts w:ascii="宋体"/>
                <w:vanish/>
              </w:rPr>
            </w:pPr>
          </w:p>
        </w:tc>
        <w:tc>
          <w:tcPr>
            <w:tcW w:w="0" w:type="auto"/>
            <w:gridSpan w:val="3"/>
            <w:shd w:val="clear" w:color="auto" w:fill="auto"/>
            <w:vAlign w:val="bottom"/>
          </w:tcPr>
          <w:p w14:paraId="74DE08E9" w14:textId="77777777" w:rsidR="00584EC1" w:rsidRDefault="00584EC1">
            <w:pPr>
              <w:rPr>
                <w:rFonts w:ascii="宋体"/>
                <w:vanish/>
              </w:rPr>
            </w:pPr>
          </w:p>
        </w:tc>
        <w:tc>
          <w:tcPr>
            <w:tcW w:w="0" w:type="auto"/>
            <w:gridSpan w:val="3"/>
            <w:shd w:val="clear" w:color="auto" w:fill="auto"/>
            <w:vAlign w:val="bottom"/>
          </w:tcPr>
          <w:p w14:paraId="74DE08EA" w14:textId="77777777" w:rsidR="00584EC1" w:rsidRDefault="00584EC1">
            <w:pPr>
              <w:rPr>
                <w:rFonts w:ascii="宋体"/>
                <w:vanish/>
              </w:rPr>
            </w:pPr>
          </w:p>
        </w:tc>
      </w:tr>
      <w:tr w:rsidR="00584EC1" w14:paraId="74DE08F2" w14:textId="77777777">
        <w:trPr>
          <w:hidden/>
        </w:trPr>
        <w:tc>
          <w:tcPr>
            <w:tcW w:w="0" w:type="auto"/>
            <w:gridSpan w:val="3"/>
            <w:shd w:val="clear" w:color="auto" w:fill="auto"/>
            <w:vAlign w:val="bottom"/>
          </w:tcPr>
          <w:p w14:paraId="74DE08EC" w14:textId="77777777" w:rsidR="00584EC1" w:rsidRDefault="00584EC1">
            <w:pPr>
              <w:rPr>
                <w:rFonts w:ascii="宋体"/>
                <w:vanish/>
              </w:rPr>
            </w:pPr>
          </w:p>
        </w:tc>
        <w:tc>
          <w:tcPr>
            <w:tcW w:w="0" w:type="auto"/>
            <w:gridSpan w:val="3"/>
            <w:shd w:val="clear" w:color="auto" w:fill="auto"/>
            <w:vAlign w:val="bottom"/>
          </w:tcPr>
          <w:p w14:paraId="74DE08ED" w14:textId="77777777" w:rsidR="00584EC1" w:rsidRDefault="00584EC1">
            <w:pPr>
              <w:rPr>
                <w:rFonts w:ascii="宋体"/>
                <w:vanish/>
              </w:rPr>
            </w:pPr>
          </w:p>
        </w:tc>
        <w:tc>
          <w:tcPr>
            <w:tcW w:w="0" w:type="auto"/>
            <w:gridSpan w:val="3"/>
            <w:shd w:val="clear" w:color="auto" w:fill="auto"/>
            <w:vAlign w:val="bottom"/>
          </w:tcPr>
          <w:p w14:paraId="74DE08EE" w14:textId="77777777" w:rsidR="00584EC1" w:rsidRDefault="00584EC1">
            <w:pPr>
              <w:rPr>
                <w:rFonts w:ascii="宋体"/>
                <w:vanish/>
              </w:rPr>
            </w:pPr>
          </w:p>
        </w:tc>
        <w:tc>
          <w:tcPr>
            <w:tcW w:w="0" w:type="auto"/>
            <w:gridSpan w:val="3"/>
            <w:shd w:val="clear" w:color="auto" w:fill="auto"/>
            <w:vAlign w:val="bottom"/>
          </w:tcPr>
          <w:p w14:paraId="74DE08EF" w14:textId="77777777" w:rsidR="00584EC1" w:rsidRDefault="00584EC1">
            <w:pPr>
              <w:rPr>
                <w:rFonts w:ascii="宋体"/>
                <w:vanish/>
              </w:rPr>
            </w:pPr>
          </w:p>
        </w:tc>
        <w:tc>
          <w:tcPr>
            <w:tcW w:w="0" w:type="auto"/>
            <w:gridSpan w:val="3"/>
            <w:shd w:val="clear" w:color="auto" w:fill="auto"/>
            <w:vAlign w:val="bottom"/>
          </w:tcPr>
          <w:p w14:paraId="74DE08F0" w14:textId="77777777" w:rsidR="00584EC1" w:rsidRDefault="00584EC1">
            <w:pPr>
              <w:rPr>
                <w:rFonts w:ascii="宋体"/>
                <w:vanish/>
              </w:rPr>
            </w:pPr>
          </w:p>
        </w:tc>
        <w:tc>
          <w:tcPr>
            <w:tcW w:w="0" w:type="auto"/>
            <w:gridSpan w:val="3"/>
            <w:shd w:val="clear" w:color="auto" w:fill="auto"/>
            <w:vAlign w:val="bottom"/>
          </w:tcPr>
          <w:p w14:paraId="74DE08F1" w14:textId="77777777" w:rsidR="00584EC1" w:rsidRDefault="00584EC1">
            <w:pPr>
              <w:rPr>
                <w:rFonts w:ascii="宋体"/>
                <w:vanish/>
              </w:rPr>
            </w:pPr>
          </w:p>
        </w:tc>
      </w:tr>
      <w:tr w:rsidR="00584EC1" w14:paraId="74DE08F9" w14:textId="77777777">
        <w:trPr>
          <w:hidden/>
        </w:trPr>
        <w:tc>
          <w:tcPr>
            <w:tcW w:w="0" w:type="auto"/>
            <w:gridSpan w:val="3"/>
            <w:shd w:val="clear" w:color="auto" w:fill="auto"/>
            <w:vAlign w:val="bottom"/>
          </w:tcPr>
          <w:p w14:paraId="74DE08F3" w14:textId="77777777" w:rsidR="00584EC1" w:rsidRDefault="00584EC1">
            <w:pPr>
              <w:rPr>
                <w:rFonts w:ascii="宋体"/>
                <w:vanish/>
              </w:rPr>
            </w:pPr>
          </w:p>
        </w:tc>
        <w:tc>
          <w:tcPr>
            <w:tcW w:w="0" w:type="auto"/>
            <w:gridSpan w:val="3"/>
            <w:shd w:val="clear" w:color="auto" w:fill="auto"/>
            <w:vAlign w:val="bottom"/>
          </w:tcPr>
          <w:p w14:paraId="74DE08F4" w14:textId="77777777" w:rsidR="00584EC1" w:rsidRDefault="00584EC1">
            <w:pPr>
              <w:rPr>
                <w:rFonts w:ascii="宋体"/>
                <w:vanish/>
              </w:rPr>
            </w:pPr>
          </w:p>
        </w:tc>
        <w:tc>
          <w:tcPr>
            <w:tcW w:w="0" w:type="auto"/>
            <w:gridSpan w:val="3"/>
            <w:shd w:val="clear" w:color="auto" w:fill="auto"/>
            <w:vAlign w:val="bottom"/>
          </w:tcPr>
          <w:p w14:paraId="74DE08F5" w14:textId="77777777" w:rsidR="00584EC1" w:rsidRDefault="00584EC1">
            <w:pPr>
              <w:rPr>
                <w:rFonts w:ascii="宋体"/>
                <w:vanish/>
              </w:rPr>
            </w:pPr>
          </w:p>
        </w:tc>
        <w:tc>
          <w:tcPr>
            <w:tcW w:w="0" w:type="auto"/>
            <w:gridSpan w:val="3"/>
            <w:shd w:val="clear" w:color="auto" w:fill="auto"/>
            <w:vAlign w:val="bottom"/>
          </w:tcPr>
          <w:p w14:paraId="74DE08F6" w14:textId="77777777" w:rsidR="00584EC1" w:rsidRDefault="00584EC1">
            <w:pPr>
              <w:rPr>
                <w:rFonts w:ascii="宋体"/>
                <w:vanish/>
              </w:rPr>
            </w:pPr>
          </w:p>
        </w:tc>
        <w:tc>
          <w:tcPr>
            <w:tcW w:w="0" w:type="auto"/>
            <w:gridSpan w:val="3"/>
            <w:shd w:val="clear" w:color="auto" w:fill="auto"/>
            <w:vAlign w:val="bottom"/>
          </w:tcPr>
          <w:p w14:paraId="74DE08F7" w14:textId="77777777" w:rsidR="00584EC1" w:rsidRDefault="00584EC1">
            <w:pPr>
              <w:rPr>
                <w:rFonts w:ascii="宋体"/>
                <w:vanish/>
              </w:rPr>
            </w:pPr>
          </w:p>
        </w:tc>
        <w:tc>
          <w:tcPr>
            <w:tcW w:w="0" w:type="auto"/>
            <w:gridSpan w:val="3"/>
            <w:shd w:val="clear" w:color="auto" w:fill="auto"/>
            <w:vAlign w:val="bottom"/>
          </w:tcPr>
          <w:p w14:paraId="74DE08F8" w14:textId="77777777" w:rsidR="00584EC1" w:rsidRDefault="00584EC1">
            <w:pPr>
              <w:rPr>
                <w:rFonts w:ascii="宋体"/>
                <w:vanish/>
              </w:rPr>
            </w:pPr>
          </w:p>
        </w:tc>
      </w:tr>
      <w:tr w:rsidR="00584EC1" w14:paraId="74DE0900" w14:textId="77777777">
        <w:trPr>
          <w:hidden/>
        </w:trPr>
        <w:tc>
          <w:tcPr>
            <w:tcW w:w="0" w:type="auto"/>
            <w:gridSpan w:val="3"/>
            <w:shd w:val="clear" w:color="auto" w:fill="auto"/>
            <w:vAlign w:val="bottom"/>
          </w:tcPr>
          <w:p w14:paraId="74DE08FA" w14:textId="77777777" w:rsidR="00584EC1" w:rsidRDefault="00584EC1">
            <w:pPr>
              <w:rPr>
                <w:rFonts w:ascii="宋体"/>
                <w:vanish/>
              </w:rPr>
            </w:pPr>
          </w:p>
        </w:tc>
        <w:tc>
          <w:tcPr>
            <w:tcW w:w="0" w:type="auto"/>
            <w:gridSpan w:val="3"/>
            <w:shd w:val="clear" w:color="auto" w:fill="auto"/>
            <w:vAlign w:val="bottom"/>
          </w:tcPr>
          <w:p w14:paraId="74DE08FB" w14:textId="77777777" w:rsidR="00584EC1" w:rsidRDefault="00584EC1">
            <w:pPr>
              <w:rPr>
                <w:rFonts w:ascii="宋体"/>
                <w:vanish/>
              </w:rPr>
            </w:pPr>
          </w:p>
        </w:tc>
        <w:tc>
          <w:tcPr>
            <w:tcW w:w="0" w:type="auto"/>
            <w:gridSpan w:val="3"/>
            <w:shd w:val="clear" w:color="auto" w:fill="auto"/>
            <w:vAlign w:val="bottom"/>
          </w:tcPr>
          <w:p w14:paraId="74DE08FC" w14:textId="77777777" w:rsidR="00584EC1" w:rsidRDefault="00584EC1">
            <w:pPr>
              <w:rPr>
                <w:rFonts w:ascii="宋体"/>
                <w:vanish/>
              </w:rPr>
            </w:pPr>
          </w:p>
        </w:tc>
        <w:tc>
          <w:tcPr>
            <w:tcW w:w="0" w:type="auto"/>
            <w:gridSpan w:val="3"/>
            <w:shd w:val="clear" w:color="auto" w:fill="auto"/>
            <w:vAlign w:val="bottom"/>
          </w:tcPr>
          <w:p w14:paraId="74DE08FD" w14:textId="77777777" w:rsidR="00584EC1" w:rsidRDefault="00584EC1">
            <w:pPr>
              <w:rPr>
                <w:rFonts w:ascii="宋体"/>
                <w:vanish/>
              </w:rPr>
            </w:pPr>
          </w:p>
        </w:tc>
        <w:tc>
          <w:tcPr>
            <w:tcW w:w="0" w:type="auto"/>
            <w:gridSpan w:val="3"/>
            <w:shd w:val="clear" w:color="auto" w:fill="auto"/>
            <w:vAlign w:val="bottom"/>
          </w:tcPr>
          <w:p w14:paraId="74DE08FE" w14:textId="77777777" w:rsidR="00584EC1" w:rsidRDefault="00584EC1">
            <w:pPr>
              <w:rPr>
                <w:rFonts w:ascii="宋体"/>
                <w:vanish/>
              </w:rPr>
            </w:pPr>
          </w:p>
        </w:tc>
        <w:tc>
          <w:tcPr>
            <w:tcW w:w="0" w:type="auto"/>
            <w:gridSpan w:val="3"/>
            <w:shd w:val="clear" w:color="auto" w:fill="auto"/>
            <w:vAlign w:val="bottom"/>
          </w:tcPr>
          <w:p w14:paraId="74DE08FF" w14:textId="77777777" w:rsidR="00584EC1" w:rsidRDefault="00584EC1">
            <w:pPr>
              <w:rPr>
                <w:rFonts w:ascii="宋体"/>
                <w:vanish/>
              </w:rPr>
            </w:pPr>
          </w:p>
        </w:tc>
      </w:tr>
      <w:tr w:rsidR="00584EC1" w14:paraId="74DE0907" w14:textId="77777777">
        <w:trPr>
          <w:hidden/>
        </w:trPr>
        <w:tc>
          <w:tcPr>
            <w:tcW w:w="0" w:type="auto"/>
            <w:gridSpan w:val="3"/>
            <w:shd w:val="clear" w:color="auto" w:fill="auto"/>
            <w:vAlign w:val="bottom"/>
          </w:tcPr>
          <w:p w14:paraId="74DE0901" w14:textId="77777777" w:rsidR="00584EC1" w:rsidRDefault="00584EC1">
            <w:pPr>
              <w:rPr>
                <w:rFonts w:ascii="宋体"/>
                <w:vanish/>
              </w:rPr>
            </w:pPr>
          </w:p>
        </w:tc>
        <w:tc>
          <w:tcPr>
            <w:tcW w:w="0" w:type="auto"/>
            <w:gridSpan w:val="3"/>
            <w:shd w:val="clear" w:color="auto" w:fill="auto"/>
            <w:vAlign w:val="bottom"/>
          </w:tcPr>
          <w:p w14:paraId="74DE0902" w14:textId="77777777" w:rsidR="00584EC1" w:rsidRDefault="00584EC1">
            <w:pPr>
              <w:rPr>
                <w:rFonts w:ascii="宋体"/>
                <w:vanish/>
              </w:rPr>
            </w:pPr>
          </w:p>
        </w:tc>
        <w:tc>
          <w:tcPr>
            <w:tcW w:w="0" w:type="auto"/>
            <w:gridSpan w:val="3"/>
            <w:shd w:val="clear" w:color="auto" w:fill="auto"/>
            <w:vAlign w:val="bottom"/>
          </w:tcPr>
          <w:p w14:paraId="74DE0903" w14:textId="77777777" w:rsidR="00584EC1" w:rsidRDefault="00584EC1">
            <w:pPr>
              <w:rPr>
                <w:rFonts w:ascii="宋体"/>
                <w:vanish/>
              </w:rPr>
            </w:pPr>
          </w:p>
        </w:tc>
        <w:tc>
          <w:tcPr>
            <w:tcW w:w="0" w:type="auto"/>
            <w:gridSpan w:val="3"/>
            <w:shd w:val="clear" w:color="auto" w:fill="auto"/>
            <w:vAlign w:val="bottom"/>
          </w:tcPr>
          <w:p w14:paraId="74DE0904" w14:textId="77777777" w:rsidR="00584EC1" w:rsidRDefault="00584EC1">
            <w:pPr>
              <w:rPr>
                <w:rFonts w:ascii="宋体"/>
                <w:vanish/>
              </w:rPr>
            </w:pPr>
          </w:p>
        </w:tc>
        <w:tc>
          <w:tcPr>
            <w:tcW w:w="0" w:type="auto"/>
            <w:gridSpan w:val="3"/>
            <w:shd w:val="clear" w:color="auto" w:fill="auto"/>
            <w:vAlign w:val="bottom"/>
          </w:tcPr>
          <w:p w14:paraId="74DE0905" w14:textId="77777777" w:rsidR="00584EC1" w:rsidRDefault="00584EC1">
            <w:pPr>
              <w:rPr>
                <w:rFonts w:ascii="宋体"/>
                <w:vanish/>
              </w:rPr>
            </w:pPr>
          </w:p>
        </w:tc>
        <w:tc>
          <w:tcPr>
            <w:tcW w:w="0" w:type="auto"/>
            <w:gridSpan w:val="3"/>
            <w:shd w:val="clear" w:color="auto" w:fill="auto"/>
            <w:vAlign w:val="bottom"/>
          </w:tcPr>
          <w:p w14:paraId="74DE0906" w14:textId="77777777" w:rsidR="00584EC1" w:rsidRDefault="00584EC1">
            <w:pPr>
              <w:rPr>
                <w:rFonts w:ascii="宋体"/>
                <w:vanish/>
              </w:rPr>
            </w:pPr>
          </w:p>
        </w:tc>
      </w:tr>
      <w:tr w:rsidR="00584EC1" w14:paraId="74DE090E" w14:textId="77777777">
        <w:trPr>
          <w:hidden/>
        </w:trPr>
        <w:tc>
          <w:tcPr>
            <w:tcW w:w="0" w:type="auto"/>
            <w:gridSpan w:val="3"/>
            <w:shd w:val="clear" w:color="auto" w:fill="auto"/>
            <w:vAlign w:val="bottom"/>
          </w:tcPr>
          <w:p w14:paraId="74DE0908" w14:textId="77777777" w:rsidR="00584EC1" w:rsidRDefault="00584EC1">
            <w:pPr>
              <w:rPr>
                <w:rFonts w:ascii="宋体"/>
                <w:vanish/>
              </w:rPr>
            </w:pPr>
          </w:p>
        </w:tc>
        <w:tc>
          <w:tcPr>
            <w:tcW w:w="0" w:type="auto"/>
            <w:gridSpan w:val="3"/>
            <w:shd w:val="clear" w:color="auto" w:fill="auto"/>
            <w:vAlign w:val="bottom"/>
          </w:tcPr>
          <w:p w14:paraId="74DE0909" w14:textId="77777777" w:rsidR="00584EC1" w:rsidRDefault="00584EC1">
            <w:pPr>
              <w:rPr>
                <w:rFonts w:ascii="宋体"/>
                <w:vanish/>
              </w:rPr>
            </w:pPr>
          </w:p>
        </w:tc>
        <w:tc>
          <w:tcPr>
            <w:tcW w:w="0" w:type="auto"/>
            <w:gridSpan w:val="3"/>
            <w:shd w:val="clear" w:color="auto" w:fill="auto"/>
            <w:vAlign w:val="bottom"/>
          </w:tcPr>
          <w:p w14:paraId="74DE090A" w14:textId="77777777" w:rsidR="00584EC1" w:rsidRDefault="00584EC1">
            <w:pPr>
              <w:rPr>
                <w:rFonts w:ascii="宋体"/>
                <w:vanish/>
              </w:rPr>
            </w:pPr>
          </w:p>
        </w:tc>
        <w:tc>
          <w:tcPr>
            <w:tcW w:w="0" w:type="auto"/>
            <w:gridSpan w:val="3"/>
            <w:shd w:val="clear" w:color="auto" w:fill="auto"/>
            <w:vAlign w:val="bottom"/>
          </w:tcPr>
          <w:p w14:paraId="74DE090B" w14:textId="77777777" w:rsidR="00584EC1" w:rsidRDefault="00584EC1">
            <w:pPr>
              <w:rPr>
                <w:rFonts w:ascii="宋体"/>
                <w:vanish/>
              </w:rPr>
            </w:pPr>
          </w:p>
        </w:tc>
        <w:tc>
          <w:tcPr>
            <w:tcW w:w="0" w:type="auto"/>
            <w:gridSpan w:val="3"/>
            <w:shd w:val="clear" w:color="auto" w:fill="auto"/>
            <w:vAlign w:val="bottom"/>
          </w:tcPr>
          <w:p w14:paraId="74DE090C" w14:textId="77777777" w:rsidR="00584EC1" w:rsidRDefault="00584EC1">
            <w:pPr>
              <w:rPr>
                <w:rFonts w:ascii="宋体"/>
                <w:vanish/>
              </w:rPr>
            </w:pPr>
          </w:p>
        </w:tc>
        <w:tc>
          <w:tcPr>
            <w:tcW w:w="0" w:type="auto"/>
            <w:gridSpan w:val="3"/>
            <w:shd w:val="clear" w:color="auto" w:fill="auto"/>
            <w:vAlign w:val="bottom"/>
          </w:tcPr>
          <w:p w14:paraId="74DE090D" w14:textId="77777777" w:rsidR="00584EC1" w:rsidRDefault="00584EC1">
            <w:pPr>
              <w:rPr>
                <w:rFonts w:ascii="宋体"/>
                <w:vanish/>
              </w:rPr>
            </w:pPr>
          </w:p>
        </w:tc>
      </w:tr>
      <w:tr w:rsidR="00584EC1" w14:paraId="74DE0915" w14:textId="77777777">
        <w:trPr>
          <w:hidden/>
        </w:trPr>
        <w:tc>
          <w:tcPr>
            <w:tcW w:w="0" w:type="auto"/>
            <w:gridSpan w:val="3"/>
            <w:shd w:val="clear" w:color="auto" w:fill="auto"/>
            <w:vAlign w:val="bottom"/>
          </w:tcPr>
          <w:p w14:paraId="74DE090F" w14:textId="77777777" w:rsidR="00584EC1" w:rsidRDefault="00584EC1">
            <w:pPr>
              <w:rPr>
                <w:rFonts w:ascii="宋体"/>
                <w:vanish/>
              </w:rPr>
            </w:pPr>
          </w:p>
        </w:tc>
        <w:tc>
          <w:tcPr>
            <w:tcW w:w="0" w:type="auto"/>
            <w:gridSpan w:val="3"/>
            <w:shd w:val="clear" w:color="auto" w:fill="auto"/>
            <w:vAlign w:val="bottom"/>
          </w:tcPr>
          <w:p w14:paraId="74DE0910" w14:textId="77777777" w:rsidR="00584EC1" w:rsidRDefault="00584EC1">
            <w:pPr>
              <w:rPr>
                <w:rFonts w:ascii="宋体"/>
                <w:vanish/>
              </w:rPr>
            </w:pPr>
          </w:p>
        </w:tc>
        <w:tc>
          <w:tcPr>
            <w:tcW w:w="0" w:type="auto"/>
            <w:gridSpan w:val="3"/>
            <w:shd w:val="clear" w:color="auto" w:fill="auto"/>
            <w:vAlign w:val="bottom"/>
          </w:tcPr>
          <w:p w14:paraId="74DE0911" w14:textId="77777777" w:rsidR="00584EC1" w:rsidRDefault="00584EC1">
            <w:pPr>
              <w:rPr>
                <w:rFonts w:ascii="宋体"/>
                <w:vanish/>
              </w:rPr>
            </w:pPr>
          </w:p>
        </w:tc>
        <w:tc>
          <w:tcPr>
            <w:tcW w:w="0" w:type="auto"/>
            <w:gridSpan w:val="3"/>
            <w:shd w:val="clear" w:color="auto" w:fill="auto"/>
            <w:vAlign w:val="bottom"/>
          </w:tcPr>
          <w:p w14:paraId="74DE0912" w14:textId="77777777" w:rsidR="00584EC1" w:rsidRDefault="00584EC1">
            <w:pPr>
              <w:rPr>
                <w:rFonts w:ascii="宋体"/>
                <w:vanish/>
              </w:rPr>
            </w:pPr>
          </w:p>
        </w:tc>
        <w:tc>
          <w:tcPr>
            <w:tcW w:w="0" w:type="auto"/>
            <w:gridSpan w:val="3"/>
            <w:shd w:val="clear" w:color="auto" w:fill="auto"/>
            <w:vAlign w:val="bottom"/>
          </w:tcPr>
          <w:p w14:paraId="74DE0913" w14:textId="77777777" w:rsidR="00584EC1" w:rsidRDefault="00584EC1">
            <w:pPr>
              <w:rPr>
                <w:rFonts w:ascii="宋体"/>
                <w:vanish/>
              </w:rPr>
            </w:pPr>
          </w:p>
        </w:tc>
        <w:tc>
          <w:tcPr>
            <w:tcW w:w="0" w:type="auto"/>
            <w:gridSpan w:val="3"/>
            <w:shd w:val="clear" w:color="auto" w:fill="auto"/>
            <w:vAlign w:val="bottom"/>
          </w:tcPr>
          <w:p w14:paraId="74DE0914" w14:textId="77777777" w:rsidR="00584EC1" w:rsidRDefault="00584EC1">
            <w:pPr>
              <w:rPr>
                <w:rFonts w:ascii="宋体"/>
                <w:vanish/>
              </w:rPr>
            </w:pPr>
          </w:p>
        </w:tc>
      </w:tr>
      <w:tr w:rsidR="00584EC1" w14:paraId="74DE091C" w14:textId="77777777">
        <w:tc>
          <w:tcPr>
            <w:tcW w:w="0" w:type="auto"/>
            <w:gridSpan w:val="3"/>
            <w:shd w:val="clear" w:color="auto" w:fill="auto"/>
            <w:tcMar>
              <w:top w:w="40" w:type="dxa"/>
              <w:left w:w="20" w:type="dxa"/>
              <w:bottom w:w="40" w:type="dxa"/>
              <w:right w:w="20" w:type="dxa"/>
            </w:tcMar>
            <w:vAlign w:val="bottom"/>
          </w:tcPr>
          <w:p w14:paraId="74DE0916" w14:textId="77777777" w:rsidR="00584EC1" w:rsidRDefault="00871F8D">
            <w:pPr>
              <w:textAlignment w:val="bottom"/>
            </w:pPr>
            <w:r>
              <w:rPr>
                <w:rFonts w:ascii="Arial" w:eastAsia="宋体" w:hAnsi="Arial" w:cs="Arial"/>
                <w:b/>
                <w:bCs/>
                <w:color w:val="000000"/>
                <w:sz w:val="14"/>
                <w:szCs w:val="14"/>
              </w:rPr>
              <w:t>Cash flow hedges: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0917"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0918"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0919"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91A"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091B" w14:textId="77777777" w:rsidR="00584EC1" w:rsidRDefault="00584EC1">
            <w:pPr>
              <w:rPr>
                <w:rFonts w:ascii="宋体"/>
              </w:rPr>
            </w:pPr>
          </w:p>
        </w:tc>
      </w:tr>
      <w:tr w:rsidR="00584EC1" w14:paraId="74DE0927" w14:textId="77777777">
        <w:tc>
          <w:tcPr>
            <w:tcW w:w="0" w:type="auto"/>
            <w:gridSpan w:val="3"/>
            <w:shd w:val="clear" w:color="auto" w:fill="CCEEFF"/>
            <w:tcMar>
              <w:top w:w="40" w:type="dxa"/>
              <w:left w:w="20" w:type="dxa"/>
              <w:bottom w:w="40" w:type="dxa"/>
              <w:right w:w="20" w:type="dxa"/>
            </w:tcMar>
            <w:vAlign w:val="bottom"/>
          </w:tcPr>
          <w:p w14:paraId="74DE091D" w14:textId="77777777" w:rsidR="00584EC1" w:rsidRDefault="00871F8D">
            <w:pPr>
              <w:textAlignment w:val="bottom"/>
            </w:pPr>
            <w:r>
              <w:rPr>
                <w:rFonts w:ascii="Arial" w:eastAsia="宋体" w:hAnsi="Arial" w:cs="Arial"/>
                <w:color w:val="000000"/>
                <w:sz w:val="14"/>
                <w:szCs w:val="14"/>
              </w:rPr>
              <w:t xml:space="preserve">(Gain) </w:t>
            </w:r>
            <w:r>
              <w:rPr>
                <w:rFonts w:ascii="Arial" w:eastAsia="宋体" w:hAnsi="Arial" w:cs="Arial"/>
                <w:color w:val="000000"/>
                <w:sz w:val="14"/>
                <w:szCs w:val="14"/>
              </w:rPr>
              <w:t>reclassified from accumulated other comprehensive income into income, net of related taxes of $6 and $7, respectively</w:t>
            </w:r>
          </w:p>
        </w:tc>
        <w:tc>
          <w:tcPr>
            <w:tcW w:w="0" w:type="auto"/>
            <w:shd w:val="clear" w:color="auto" w:fill="CCEEFF"/>
            <w:tcMar>
              <w:top w:w="40" w:type="dxa"/>
              <w:left w:w="20" w:type="dxa"/>
              <w:bottom w:w="40" w:type="dxa"/>
              <w:right w:w="0" w:type="dxa"/>
            </w:tcMar>
            <w:vAlign w:val="bottom"/>
          </w:tcPr>
          <w:p w14:paraId="74DE091E" w14:textId="77777777" w:rsidR="00584EC1" w:rsidRDefault="00871F8D">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4DE091F" w14:textId="77777777" w:rsidR="00584EC1" w:rsidRDefault="00871F8D">
            <w:pPr>
              <w:jc w:val="right"/>
              <w:textAlignment w:val="bottom"/>
            </w:pPr>
            <w:r>
              <w:rPr>
                <w:rFonts w:ascii="Arial" w:eastAsia="宋体" w:hAnsi="Arial" w:cs="Arial"/>
                <w:b/>
                <w:bCs/>
                <w:color w:val="000000"/>
                <w:sz w:val="14"/>
                <w:szCs w:val="14"/>
              </w:rPr>
              <w:t>(18)</w:t>
            </w:r>
          </w:p>
        </w:tc>
        <w:tc>
          <w:tcPr>
            <w:tcW w:w="0" w:type="auto"/>
            <w:shd w:val="clear" w:color="auto" w:fill="CCEEFF"/>
            <w:tcMar>
              <w:top w:w="40" w:type="dxa"/>
              <w:left w:w="0" w:type="dxa"/>
              <w:bottom w:w="40" w:type="dxa"/>
              <w:right w:w="20" w:type="dxa"/>
            </w:tcMar>
            <w:vAlign w:val="bottom"/>
          </w:tcPr>
          <w:p w14:paraId="74DE092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921"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E0922"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E0923" w14:textId="77777777" w:rsidR="00584EC1" w:rsidRDefault="00871F8D">
            <w:pPr>
              <w:jc w:val="right"/>
              <w:textAlignment w:val="bottom"/>
            </w:pPr>
            <w:r>
              <w:rPr>
                <w:rFonts w:ascii="Arial" w:eastAsia="宋体" w:hAnsi="Arial" w:cs="Arial"/>
                <w:color w:val="000000"/>
                <w:sz w:val="14"/>
                <w:szCs w:val="14"/>
              </w:rPr>
              <w:t>(17)</w:t>
            </w:r>
          </w:p>
        </w:tc>
        <w:tc>
          <w:tcPr>
            <w:tcW w:w="0" w:type="auto"/>
            <w:shd w:val="clear" w:color="auto" w:fill="CCEEFF"/>
            <w:tcMar>
              <w:top w:w="40" w:type="dxa"/>
              <w:left w:w="0" w:type="dxa"/>
              <w:bottom w:w="40" w:type="dxa"/>
              <w:right w:w="20" w:type="dxa"/>
            </w:tcMar>
            <w:vAlign w:val="bottom"/>
          </w:tcPr>
          <w:p w14:paraId="74DE092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925" w14:textId="77777777" w:rsidR="00584EC1" w:rsidRDefault="00584EC1">
            <w:pPr>
              <w:rPr>
                <w:rFonts w:ascii="宋体"/>
              </w:rPr>
            </w:pPr>
          </w:p>
        </w:tc>
        <w:tc>
          <w:tcPr>
            <w:tcW w:w="0" w:type="auto"/>
            <w:gridSpan w:val="3"/>
            <w:shd w:val="clear" w:color="auto" w:fill="CCEEFF"/>
            <w:tcMar>
              <w:top w:w="40" w:type="dxa"/>
              <w:left w:w="20" w:type="dxa"/>
              <w:bottom w:w="40" w:type="dxa"/>
              <w:right w:w="20" w:type="dxa"/>
            </w:tcMar>
            <w:vAlign w:val="bottom"/>
          </w:tcPr>
          <w:p w14:paraId="74DE0926" w14:textId="77777777" w:rsidR="00584EC1" w:rsidRDefault="00871F8D">
            <w:pPr>
              <w:textAlignment w:val="bottom"/>
            </w:pPr>
            <w:r>
              <w:rPr>
                <w:rFonts w:ascii="Arial" w:eastAsia="宋体" w:hAnsi="Arial" w:cs="Arial"/>
                <w:color w:val="000000"/>
                <w:sz w:val="14"/>
                <w:szCs w:val="14"/>
              </w:rPr>
              <w:t>Net interest income reclassified from other comprehensive income</w:t>
            </w:r>
          </w:p>
        </w:tc>
      </w:tr>
      <w:tr w:rsidR="00584EC1" w14:paraId="74DE092E" w14:textId="77777777">
        <w:tc>
          <w:tcPr>
            <w:tcW w:w="0" w:type="auto"/>
            <w:gridSpan w:val="3"/>
            <w:shd w:val="clear" w:color="auto" w:fill="FFFFFF"/>
            <w:tcMar>
              <w:top w:w="40" w:type="dxa"/>
              <w:left w:w="20" w:type="dxa"/>
              <w:bottom w:w="40" w:type="dxa"/>
              <w:right w:w="20" w:type="dxa"/>
            </w:tcMar>
            <w:vAlign w:val="bottom"/>
          </w:tcPr>
          <w:p w14:paraId="74DE0928" w14:textId="77777777" w:rsidR="00584EC1" w:rsidRDefault="00871F8D">
            <w:pPr>
              <w:textAlignment w:val="bottom"/>
            </w:pPr>
            <w:r>
              <w:rPr>
                <w:rFonts w:ascii="Arial" w:eastAsia="宋体" w:hAnsi="Arial" w:cs="Arial"/>
                <w:b/>
                <w:bCs/>
                <w:color w:val="000000"/>
                <w:sz w:val="14"/>
                <w:szCs w:val="14"/>
              </w:rPr>
              <w:t>Retirement plans:</w:t>
            </w:r>
          </w:p>
        </w:tc>
        <w:tc>
          <w:tcPr>
            <w:tcW w:w="0" w:type="auto"/>
            <w:gridSpan w:val="3"/>
            <w:shd w:val="clear" w:color="auto" w:fill="FFFFFF"/>
            <w:tcMar>
              <w:top w:w="0" w:type="dxa"/>
              <w:left w:w="20" w:type="dxa"/>
              <w:bottom w:w="0" w:type="dxa"/>
              <w:right w:w="20" w:type="dxa"/>
            </w:tcMar>
            <w:vAlign w:val="bottom"/>
          </w:tcPr>
          <w:p w14:paraId="74DE0929"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E092A"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E092B"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E092C"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E092D" w14:textId="77777777" w:rsidR="00584EC1" w:rsidRDefault="00584EC1">
            <w:pPr>
              <w:rPr>
                <w:rFonts w:ascii="宋体"/>
              </w:rPr>
            </w:pPr>
          </w:p>
        </w:tc>
      </w:tr>
      <w:tr w:rsidR="00584EC1" w14:paraId="74DE0937" w14:textId="77777777">
        <w:tc>
          <w:tcPr>
            <w:tcW w:w="0" w:type="auto"/>
            <w:gridSpan w:val="3"/>
            <w:shd w:val="clear" w:color="auto" w:fill="CCEEFF"/>
            <w:tcMar>
              <w:top w:w="40" w:type="dxa"/>
              <w:left w:w="20" w:type="dxa"/>
              <w:bottom w:w="40" w:type="dxa"/>
              <w:right w:w="20" w:type="dxa"/>
            </w:tcMar>
            <w:vAlign w:val="bottom"/>
          </w:tcPr>
          <w:p w14:paraId="74DE092F" w14:textId="77777777" w:rsidR="00584EC1" w:rsidRDefault="00871F8D">
            <w:pPr>
              <w:textAlignment w:val="bottom"/>
            </w:pPr>
            <w:r>
              <w:rPr>
                <w:rFonts w:ascii="Arial" w:eastAsia="宋体" w:hAnsi="Arial" w:cs="Arial"/>
                <w:color w:val="000000"/>
                <w:sz w:val="14"/>
                <w:szCs w:val="14"/>
              </w:rPr>
              <w:t xml:space="preserve">Amortization of </w:t>
            </w:r>
            <w:r>
              <w:rPr>
                <w:rFonts w:ascii="Arial" w:eastAsia="宋体" w:hAnsi="Arial" w:cs="Arial"/>
                <w:color w:val="000000"/>
                <w:sz w:val="14"/>
                <w:szCs w:val="14"/>
              </w:rPr>
              <w:t>actuarial losses, net of related taxes of $1 and $1, respectively</w:t>
            </w:r>
          </w:p>
        </w:tc>
        <w:tc>
          <w:tcPr>
            <w:tcW w:w="0" w:type="auto"/>
            <w:gridSpan w:val="2"/>
            <w:shd w:val="clear" w:color="auto" w:fill="CCEEFF"/>
            <w:tcMar>
              <w:top w:w="40" w:type="dxa"/>
              <w:left w:w="20" w:type="dxa"/>
              <w:bottom w:w="40" w:type="dxa"/>
              <w:right w:w="0" w:type="dxa"/>
            </w:tcMar>
            <w:vAlign w:val="bottom"/>
          </w:tcPr>
          <w:p w14:paraId="74DE0930" w14:textId="77777777" w:rsidR="00584EC1" w:rsidRDefault="00871F8D">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E093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932"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933" w14:textId="77777777" w:rsidR="00584EC1" w:rsidRDefault="00871F8D">
            <w:pPr>
              <w:jc w:val="right"/>
              <w:textAlignment w:val="bottom"/>
            </w:pPr>
            <w:r>
              <w:rPr>
                <w:rFonts w:ascii="Arial" w:eastAsia="宋体" w:hAnsi="Arial" w:cs="Arial"/>
                <w:color w:val="000000"/>
                <w:sz w:val="14"/>
                <w:szCs w:val="14"/>
              </w:rPr>
              <w:t>1 </w:t>
            </w:r>
          </w:p>
        </w:tc>
        <w:tc>
          <w:tcPr>
            <w:tcW w:w="0" w:type="auto"/>
            <w:shd w:val="clear" w:color="auto" w:fill="CCEEFF"/>
            <w:tcMar>
              <w:top w:w="40" w:type="dxa"/>
              <w:left w:w="0" w:type="dxa"/>
              <w:bottom w:w="40" w:type="dxa"/>
              <w:right w:w="20" w:type="dxa"/>
            </w:tcMar>
            <w:vAlign w:val="bottom"/>
          </w:tcPr>
          <w:p w14:paraId="74DE093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935" w14:textId="77777777" w:rsidR="00584EC1" w:rsidRDefault="00584EC1">
            <w:pPr>
              <w:rPr>
                <w:rFonts w:ascii="宋体"/>
              </w:rPr>
            </w:pPr>
          </w:p>
        </w:tc>
        <w:tc>
          <w:tcPr>
            <w:tcW w:w="0" w:type="auto"/>
            <w:gridSpan w:val="3"/>
            <w:shd w:val="clear" w:color="auto" w:fill="CCEEFF"/>
            <w:tcMar>
              <w:top w:w="40" w:type="dxa"/>
              <w:left w:w="20" w:type="dxa"/>
              <w:bottom w:w="40" w:type="dxa"/>
              <w:right w:w="20" w:type="dxa"/>
            </w:tcMar>
            <w:vAlign w:val="bottom"/>
          </w:tcPr>
          <w:p w14:paraId="74DE0936" w14:textId="77777777" w:rsidR="00584EC1" w:rsidRDefault="00871F8D">
            <w:pPr>
              <w:textAlignment w:val="bottom"/>
            </w:pPr>
            <w:r>
              <w:rPr>
                <w:rFonts w:ascii="Arial" w:eastAsia="宋体" w:hAnsi="Arial" w:cs="Arial"/>
                <w:color w:val="000000"/>
                <w:sz w:val="14"/>
                <w:szCs w:val="14"/>
              </w:rPr>
              <w:t>Compensation and employee benefits expenses</w:t>
            </w:r>
          </w:p>
        </w:tc>
      </w:tr>
      <w:tr w:rsidR="00584EC1" w14:paraId="74DE093E" w14:textId="77777777">
        <w:trPr>
          <w:hidden/>
        </w:trPr>
        <w:tc>
          <w:tcPr>
            <w:tcW w:w="0" w:type="auto"/>
            <w:gridSpan w:val="3"/>
            <w:shd w:val="clear" w:color="auto" w:fill="auto"/>
            <w:vAlign w:val="bottom"/>
          </w:tcPr>
          <w:p w14:paraId="74DE0938" w14:textId="77777777" w:rsidR="00584EC1" w:rsidRDefault="00584EC1">
            <w:pPr>
              <w:rPr>
                <w:rFonts w:ascii="宋体"/>
                <w:vanish/>
              </w:rPr>
            </w:pPr>
          </w:p>
        </w:tc>
        <w:tc>
          <w:tcPr>
            <w:tcW w:w="0" w:type="auto"/>
            <w:gridSpan w:val="3"/>
            <w:shd w:val="clear" w:color="auto" w:fill="auto"/>
            <w:vAlign w:val="bottom"/>
          </w:tcPr>
          <w:p w14:paraId="74DE0939" w14:textId="77777777" w:rsidR="00584EC1" w:rsidRDefault="00584EC1">
            <w:pPr>
              <w:rPr>
                <w:rFonts w:ascii="宋体"/>
                <w:vanish/>
              </w:rPr>
            </w:pPr>
          </w:p>
        </w:tc>
        <w:tc>
          <w:tcPr>
            <w:tcW w:w="0" w:type="auto"/>
            <w:gridSpan w:val="3"/>
            <w:shd w:val="clear" w:color="auto" w:fill="auto"/>
            <w:vAlign w:val="bottom"/>
          </w:tcPr>
          <w:p w14:paraId="74DE093A" w14:textId="77777777" w:rsidR="00584EC1" w:rsidRDefault="00584EC1">
            <w:pPr>
              <w:rPr>
                <w:rFonts w:ascii="宋体"/>
                <w:vanish/>
              </w:rPr>
            </w:pPr>
          </w:p>
        </w:tc>
        <w:tc>
          <w:tcPr>
            <w:tcW w:w="0" w:type="auto"/>
            <w:gridSpan w:val="3"/>
            <w:shd w:val="clear" w:color="auto" w:fill="auto"/>
            <w:vAlign w:val="bottom"/>
          </w:tcPr>
          <w:p w14:paraId="74DE093B" w14:textId="77777777" w:rsidR="00584EC1" w:rsidRDefault="00584EC1">
            <w:pPr>
              <w:rPr>
                <w:rFonts w:ascii="宋体"/>
                <w:vanish/>
              </w:rPr>
            </w:pPr>
          </w:p>
        </w:tc>
        <w:tc>
          <w:tcPr>
            <w:tcW w:w="0" w:type="auto"/>
            <w:gridSpan w:val="3"/>
            <w:shd w:val="clear" w:color="auto" w:fill="auto"/>
            <w:vAlign w:val="bottom"/>
          </w:tcPr>
          <w:p w14:paraId="74DE093C" w14:textId="77777777" w:rsidR="00584EC1" w:rsidRDefault="00584EC1">
            <w:pPr>
              <w:rPr>
                <w:rFonts w:ascii="宋体"/>
                <w:vanish/>
              </w:rPr>
            </w:pPr>
          </w:p>
        </w:tc>
        <w:tc>
          <w:tcPr>
            <w:tcW w:w="0" w:type="auto"/>
            <w:gridSpan w:val="3"/>
            <w:shd w:val="clear" w:color="auto" w:fill="auto"/>
            <w:vAlign w:val="bottom"/>
          </w:tcPr>
          <w:p w14:paraId="74DE093D" w14:textId="77777777" w:rsidR="00584EC1" w:rsidRDefault="00584EC1">
            <w:pPr>
              <w:rPr>
                <w:rFonts w:ascii="宋体"/>
                <w:vanish/>
              </w:rPr>
            </w:pPr>
          </w:p>
        </w:tc>
      </w:tr>
      <w:tr w:rsidR="00584EC1" w14:paraId="74DE0945" w14:textId="77777777">
        <w:trPr>
          <w:hidden/>
        </w:trPr>
        <w:tc>
          <w:tcPr>
            <w:tcW w:w="0" w:type="auto"/>
            <w:gridSpan w:val="3"/>
            <w:shd w:val="clear" w:color="auto" w:fill="auto"/>
            <w:vAlign w:val="bottom"/>
          </w:tcPr>
          <w:p w14:paraId="74DE093F" w14:textId="77777777" w:rsidR="00584EC1" w:rsidRDefault="00584EC1">
            <w:pPr>
              <w:rPr>
                <w:rFonts w:ascii="宋体"/>
                <w:vanish/>
              </w:rPr>
            </w:pPr>
          </w:p>
        </w:tc>
        <w:tc>
          <w:tcPr>
            <w:tcW w:w="0" w:type="auto"/>
            <w:gridSpan w:val="3"/>
            <w:shd w:val="clear" w:color="auto" w:fill="auto"/>
            <w:vAlign w:val="bottom"/>
          </w:tcPr>
          <w:p w14:paraId="74DE0940" w14:textId="77777777" w:rsidR="00584EC1" w:rsidRDefault="00584EC1">
            <w:pPr>
              <w:rPr>
                <w:rFonts w:ascii="宋体"/>
                <w:vanish/>
              </w:rPr>
            </w:pPr>
          </w:p>
        </w:tc>
        <w:tc>
          <w:tcPr>
            <w:tcW w:w="0" w:type="auto"/>
            <w:gridSpan w:val="3"/>
            <w:shd w:val="clear" w:color="auto" w:fill="auto"/>
            <w:vAlign w:val="bottom"/>
          </w:tcPr>
          <w:p w14:paraId="74DE0941" w14:textId="77777777" w:rsidR="00584EC1" w:rsidRDefault="00584EC1">
            <w:pPr>
              <w:rPr>
                <w:rFonts w:ascii="宋体"/>
                <w:vanish/>
              </w:rPr>
            </w:pPr>
          </w:p>
        </w:tc>
        <w:tc>
          <w:tcPr>
            <w:tcW w:w="0" w:type="auto"/>
            <w:gridSpan w:val="3"/>
            <w:shd w:val="clear" w:color="auto" w:fill="auto"/>
            <w:vAlign w:val="bottom"/>
          </w:tcPr>
          <w:p w14:paraId="74DE0942" w14:textId="77777777" w:rsidR="00584EC1" w:rsidRDefault="00584EC1">
            <w:pPr>
              <w:rPr>
                <w:rFonts w:ascii="宋体"/>
                <w:vanish/>
              </w:rPr>
            </w:pPr>
          </w:p>
        </w:tc>
        <w:tc>
          <w:tcPr>
            <w:tcW w:w="0" w:type="auto"/>
            <w:gridSpan w:val="3"/>
            <w:shd w:val="clear" w:color="auto" w:fill="auto"/>
            <w:vAlign w:val="bottom"/>
          </w:tcPr>
          <w:p w14:paraId="74DE0943" w14:textId="77777777" w:rsidR="00584EC1" w:rsidRDefault="00584EC1">
            <w:pPr>
              <w:rPr>
                <w:rFonts w:ascii="宋体"/>
                <w:vanish/>
              </w:rPr>
            </w:pPr>
          </w:p>
        </w:tc>
        <w:tc>
          <w:tcPr>
            <w:tcW w:w="0" w:type="auto"/>
            <w:gridSpan w:val="3"/>
            <w:shd w:val="clear" w:color="auto" w:fill="auto"/>
            <w:vAlign w:val="bottom"/>
          </w:tcPr>
          <w:p w14:paraId="74DE0944" w14:textId="77777777" w:rsidR="00584EC1" w:rsidRDefault="00584EC1">
            <w:pPr>
              <w:rPr>
                <w:rFonts w:ascii="宋体"/>
                <w:vanish/>
              </w:rPr>
            </w:pPr>
          </w:p>
        </w:tc>
      </w:tr>
      <w:tr w:rsidR="00584EC1" w14:paraId="74DE094C" w14:textId="77777777">
        <w:trPr>
          <w:hidden/>
        </w:trPr>
        <w:tc>
          <w:tcPr>
            <w:tcW w:w="0" w:type="auto"/>
            <w:gridSpan w:val="3"/>
            <w:shd w:val="clear" w:color="auto" w:fill="auto"/>
            <w:vAlign w:val="bottom"/>
          </w:tcPr>
          <w:p w14:paraId="74DE0946" w14:textId="77777777" w:rsidR="00584EC1" w:rsidRDefault="00584EC1">
            <w:pPr>
              <w:rPr>
                <w:rFonts w:ascii="宋体"/>
                <w:vanish/>
              </w:rPr>
            </w:pPr>
          </w:p>
        </w:tc>
        <w:tc>
          <w:tcPr>
            <w:tcW w:w="0" w:type="auto"/>
            <w:gridSpan w:val="3"/>
            <w:shd w:val="clear" w:color="auto" w:fill="auto"/>
            <w:vAlign w:val="bottom"/>
          </w:tcPr>
          <w:p w14:paraId="74DE0947" w14:textId="77777777" w:rsidR="00584EC1" w:rsidRDefault="00584EC1">
            <w:pPr>
              <w:rPr>
                <w:rFonts w:ascii="宋体"/>
                <w:vanish/>
              </w:rPr>
            </w:pPr>
          </w:p>
        </w:tc>
        <w:tc>
          <w:tcPr>
            <w:tcW w:w="0" w:type="auto"/>
            <w:gridSpan w:val="3"/>
            <w:shd w:val="clear" w:color="auto" w:fill="auto"/>
            <w:vAlign w:val="bottom"/>
          </w:tcPr>
          <w:p w14:paraId="74DE0948" w14:textId="77777777" w:rsidR="00584EC1" w:rsidRDefault="00584EC1">
            <w:pPr>
              <w:rPr>
                <w:rFonts w:ascii="宋体"/>
                <w:vanish/>
              </w:rPr>
            </w:pPr>
          </w:p>
        </w:tc>
        <w:tc>
          <w:tcPr>
            <w:tcW w:w="0" w:type="auto"/>
            <w:gridSpan w:val="3"/>
            <w:shd w:val="clear" w:color="auto" w:fill="auto"/>
            <w:vAlign w:val="bottom"/>
          </w:tcPr>
          <w:p w14:paraId="74DE0949" w14:textId="77777777" w:rsidR="00584EC1" w:rsidRDefault="00584EC1">
            <w:pPr>
              <w:rPr>
                <w:rFonts w:ascii="宋体"/>
                <w:vanish/>
              </w:rPr>
            </w:pPr>
          </w:p>
        </w:tc>
        <w:tc>
          <w:tcPr>
            <w:tcW w:w="0" w:type="auto"/>
            <w:gridSpan w:val="3"/>
            <w:shd w:val="clear" w:color="auto" w:fill="auto"/>
            <w:vAlign w:val="bottom"/>
          </w:tcPr>
          <w:p w14:paraId="74DE094A" w14:textId="77777777" w:rsidR="00584EC1" w:rsidRDefault="00584EC1">
            <w:pPr>
              <w:rPr>
                <w:rFonts w:ascii="宋体"/>
                <w:vanish/>
              </w:rPr>
            </w:pPr>
          </w:p>
        </w:tc>
        <w:tc>
          <w:tcPr>
            <w:tcW w:w="0" w:type="auto"/>
            <w:gridSpan w:val="3"/>
            <w:shd w:val="clear" w:color="auto" w:fill="auto"/>
            <w:vAlign w:val="bottom"/>
          </w:tcPr>
          <w:p w14:paraId="74DE094B" w14:textId="77777777" w:rsidR="00584EC1" w:rsidRDefault="00584EC1">
            <w:pPr>
              <w:rPr>
                <w:rFonts w:ascii="宋体"/>
                <w:vanish/>
              </w:rPr>
            </w:pPr>
          </w:p>
        </w:tc>
      </w:tr>
      <w:tr w:rsidR="00584EC1" w14:paraId="74DE0957" w14:textId="77777777">
        <w:tc>
          <w:tcPr>
            <w:tcW w:w="0" w:type="auto"/>
            <w:gridSpan w:val="3"/>
            <w:shd w:val="clear" w:color="auto" w:fill="FFFFFF"/>
            <w:tcMar>
              <w:top w:w="40" w:type="dxa"/>
              <w:left w:w="20" w:type="dxa"/>
              <w:bottom w:w="40" w:type="dxa"/>
              <w:right w:w="20" w:type="dxa"/>
            </w:tcMar>
            <w:vAlign w:val="bottom"/>
          </w:tcPr>
          <w:p w14:paraId="74DE094D" w14:textId="77777777" w:rsidR="00584EC1" w:rsidRDefault="00871F8D">
            <w:pPr>
              <w:textAlignment w:val="bottom"/>
            </w:pPr>
            <w:r>
              <w:rPr>
                <w:rFonts w:ascii="Arial" w:eastAsia="宋体" w:hAnsi="Arial" w:cs="Arial"/>
                <w:color w:val="000000"/>
                <w:sz w:val="14"/>
                <w:szCs w:val="14"/>
              </w:rPr>
              <w:t>Total reclassifications into (out of) Accumulated other comprehensive loss</w:t>
            </w:r>
          </w:p>
        </w:tc>
        <w:tc>
          <w:tcPr>
            <w:tcW w:w="0" w:type="auto"/>
            <w:tcBorders>
              <w:top w:val="single" w:sz="8" w:space="0" w:color="000000"/>
            </w:tcBorders>
            <w:shd w:val="clear" w:color="auto" w:fill="FFFFFF"/>
            <w:tcMar>
              <w:top w:w="40" w:type="dxa"/>
              <w:left w:w="20" w:type="dxa"/>
              <w:bottom w:w="40" w:type="dxa"/>
              <w:right w:w="0" w:type="dxa"/>
            </w:tcMar>
            <w:vAlign w:val="bottom"/>
          </w:tcPr>
          <w:p w14:paraId="74DE094E"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E094F" w14:textId="77777777" w:rsidR="00584EC1" w:rsidRDefault="00871F8D">
            <w:pPr>
              <w:jc w:val="right"/>
              <w:textAlignment w:val="bottom"/>
            </w:pPr>
            <w:r>
              <w:rPr>
                <w:rFonts w:ascii="Arial" w:eastAsia="宋体" w:hAnsi="Arial" w:cs="Arial"/>
                <w:b/>
                <w:bCs/>
                <w:color w:val="000000"/>
                <w:sz w:val="14"/>
                <w:szCs w:val="14"/>
              </w:rPr>
              <w:t>(16)</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095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951"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E0952"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E0953" w14:textId="77777777" w:rsidR="00584EC1" w:rsidRDefault="00871F8D">
            <w:pPr>
              <w:jc w:val="right"/>
              <w:textAlignment w:val="bottom"/>
            </w:pPr>
            <w:r>
              <w:rPr>
                <w:rFonts w:ascii="Arial" w:eastAsia="宋体" w:hAnsi="Arial" w:cs="Arial"/>
                <w:color w:val="000000"/>
                <w:sz w:val="14"/>
                <w:szCs w:val="14"/>
              </w:rPr>
              <w:t>(16)</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095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955"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E0956" w14:textId="77777777" w:rsidR="00584EC1" w:rsidRDefault="00584EC1">
            <w:pPr>
              <w:rPr>
                <w:rFonts w:ascii="宋体"/>
              </w:rPr>
            </w:pPr>
          </w:p>
        </w:tc>
      </w:tr>
      <w:tr w:rsidR="00584EC1" w14:paraId="74DE095E" w14:textId="77777777">
        <w:trPr>
          <w:trHeight w:val="60"/>
        </w:trPr>
        <w:tc>
          <w:tcPr>
            <w:tcW w:w="0" w:type="auto"/>
            <w:gridSpan w:val="3"/>
            <w:shd w:val="clear" w:color="auto" w:fill="auto"/>
            <w:tcMar>
              <w:top w:w="0" w:type="dxa"/>
              <w:left w:w="20" w:type="dxa"/>
              <w:bottom w:w="0" w:type="dxa"/>
              <w:right w:w="20" w:type="dxa"/>
            </w:tcMar>
            <w:vAlign w:val="bottom"/>
          </w:tcPr>
          <w:p w14:paraId="74DE0958"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E0959"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95A"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E095B"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95C"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95D" w14:textId="77777777" w:rsidR="00584EC1" w:rsidRDefault="00584EC1">
            <w:pPr>
              <w:rPr>
                <w:rFonts w:ascii="宋体"/>
              </w:rPr>
            </w:pPr>
          </w:p>
        </w:tc>
      </w:tr>
      <w:tr w:rsidR="00584EC1" w14:paraId="74DE0963" w14:textId="77777777">
        <w:tc>
          <w:tcPr>
            <w:tcW w:w="0" w:type="auto"/>
            <w:gridSpan w:val="3"/>
            <w:shd w:val="clear" w:color="auto" w:fill="auto"/>
            <w:tcMar>
              <w:top w:w="0" w:type="dxa"/>
              <w:left w:w="20" w:type="dxa"/>
              <w:bottom w:w="0" w:type="dxa"/>
              <w:right w:w="20" w:type="dxa"/>
            </w:tcMar>
            <w:vAlign w:val="bottom"/>
          </w:tcPr>
          <w:p w14:paraId="74DE095F" w14:textId="77777777" w:rsidR="00584EC1" w:rsidRDefault="00584EC1">
            <w:pPr>
              <w:rPr>
                <w:rFonts w:ascii="宋体"/>
              </w:rPr>
            </w:pPr>
          </w:p>
        </w:tc>
        <w:tc>
          <w:tcPr>
            <w:tcW w:w="0" w:type="auto"/>
            <w:gridSpan w:val="9"/>
            <w:shd w:val="clear" w:color="auto" w:fill="auto"/>
            <w:tcMar>
              <w:top w:w="40" w:type="dxa"/>
              <w:left w:w="20" w:type="dxa"/>
              <w:bottom w:w="40" w:type="dxa"/>
              <w:right w:w="20" w:type="dxa"/>
            </w:tcMar>
            <w:vAlign w:val="bottom"/>
          </w:tcPr>
          <w:p w14:paraId="74DE0960" w14:textId="77777777" w:rsidR="00584EC1" w:rsidRDefault="00871F8D">
            <w:pPr>
              <w:jc w:val="center"/>
              <w:textAlignment w:val="bottom"/>
            </w:pPr>
            <w:r>
              <w:rPr>
                <w:rFonts w:ascii="Arial" w:eastAsia="宋体" w:hAnsi="Arial" w:cs="Arial"/>
                <w:b/>
                <w:bCs/>
                <w:color w:val="000000"/>
                <w:sz w:val="14"/>
                <w:szCs w:val="14"/>
              </w:rPr>
              <w:t xml:space="preserve">Nine </w:t>
            </w:r>
            <w:r>
              <w:rPr>
                <w:rFonts w:ascii="Arial" w:eastAsia="宋体" w:hAnsi="Arial" w:cs="Arial"/>
                <w:b/>
                <w:bCs/>
                <w:color w:val="000000"/>
                <w:sz w:val="14"/>
                <w:szCs w:val="14"/>
              </w:rPr>
              <w:t>Months Ended September 30,</w:t>
            </w:r>
          </w:p>
        </w:tc>
        <w:tc>
          <w:tcPr>
            <w:tcW w:w="0" w:type="auto"/>
            <w:gridSpan w:val="3"/>
            <w:shd w:val="clear" w:color="auto" w:fill="auto"/>
            <w:tcMar>
              <w:top w:w="0" w:type="dxa"/>
              <w:left w:w="20" w:type="dxa"/>
              <w:bottom w:w="0" w:type="dxa"/>
              <w:right w:w="20" w:type="dxa"/>
            </w:tcMar>
            <w:vAlign w:val="bottom"/>
          </w:tcPr>
          <w:p w14:paraId="74DE096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962" w14:textId="77777777" w:rsidR="00584EC1" w:rsidRDefault="00584EC1">
            <w:pPr>
              <w:rPr>
                <w:rFonts w:ascii="宋体"/>
              </w:rPr>
            </w:pPr>
          </w:p>
        </w:tc>
      </w:tr>
      <w:tr w:rsidR="00584EC1" w14:paraId="74DE096A" w14:textId="77777777">
        <w:tc>
          <w:tcPr>
            <w:tcW w:w="0" w:type="auto"/>
            <w:gridSpan w:val="3"/>
            <w:shd w:val="clear" w:color="auto" w:fill="auto"/>
            <w:tcMar>
              <w:top w:w="0" w:type="dxa"/>
              <w:left w:w="20" w:type="dxa"/>
              <w:bottom w:w="0" w:type="dxa"/>
              <w:right w:w="20" w:type="dxa"/>
            </w:tcMar>
            <w:vAlign w:val="bottom"/>
          </w:tcPr>
          <w:p w14:paraId="74DE0964"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0965" w14:textId="77777777" w:rsidR="00584EC1" w:rsidRDefault="00871F8D">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0966" w14:textId="77777777" w:rsidR="00584EC1" w:rsidRDefault="00584EC1">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4DE0967" w14:textId="77777777" w:rsidR="00584EC1" w:rsidRDefault="00871F8D">
            <w:pPr>
              <w:jc w:val="center"/>
              <w:textAlignment w:val="bottom"/>
            </w:pPr>
            <w:r>
              <w:rPr>
                <w:rFonts w:ascii="Arial" w:eastAsia="宋体" w:hAnsi="Arial" w:cs="Arial"/>
                <w:b/>
                <w:bCs/>
                <w:color w:val="000000"/>
                <w:sz w:val="14"/>
                <w:szCs w:val="14"/>
              </w:rPr>
              <w:t>2020</w:t>
            </w:r>
          </w:p>
        </w:tc>
        <w:tc>
          <w:tcPr>
            <w:tcW w:w="0" w:type="auto"/>
            <w:gridSpan w:val="3"/>
            <w:shd w:val="clear" w:color="auto" w:fill="auto"/>
            <w:tcMar>
              <w:top w:w="0" w:type="dxa"/>
              <w:left w:w="20" w:type="dxa"/>
              <w:bottom w:w="0" w:type="dxa"/>
              <w:right w:w="20" w:type="dxa"/>
            </w:tcMar>
            <w:vAlign w:val="bottom"/>
          </w:tcPr>
          <w:p w14:paraId="74DE0968"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969" w14:textId="77777777" w:rsidR="00584EC1" w:rsidRDefault="00584EC1">
            <w:pPr>
              <w:rPr>
                <w:rFonts w:ascii="宋体"/>
              </w:rPr>
            </w:pPr>
          </w:p>
        </w:tc>
      </w:tr>
      <w:tr w:rsidR="00584EC1" w14:paraId="74DE096F" w14:textId="77777777">
        <w:tc>
          <w:tcPr>
            <w:tcW w:w="0" w:type="auto"/>
            <w:gridSpan w:val="3"/>
            <w:shd w:val="clear" w:color="auto" w:fill="auto"/>
            <w:tcMar>
              <w:top w:w="40" w:type="dxa"/>
              <w:left w:w="20" w:type="dxa"/>
              <w:bottom w:w="40" w:type="dxa"/>
              <w:right w:w="20" w:type="dxa"/>
            </w:tcMar>
            <w:vAlign w:val="bottom"/>
          </w:tcPr>
          <w:p w14:paraId="74DE096B" w14:textId="77777777" w:rsidR="00584EC1" w:rsidRDefault="00871F8D">
            <w:pPr>
              <w:textAlignment w:val="bottom"/>
            </w:pPr>
            <w:r>
              <w:rPr>
                <w:rFonts w:ascii="Arial" w:eastAsia="宋体" w:hAnsi="Arial" w:cs="Arial"/>
                <w:b/>
                <w:bCs/>
                <w:color w:val="000000"/>
                <w:sz w:val="14"/>
                <w:szCs w:val="14"/>
              </w:rPr>
              <w:t>(In millions)</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4DE096C" w14:textId="77777777" w:rsidR="00584EC1" w:rsidRDefault="00871F8D">
            <w:pPr>
              <w:jc w:val="center"/>
              <w:textAlignment w:val="bottom"/>
            </w:pPr>
            <w:r>
              <w:rPr>
                <w:rFonts w:ascii="Arial" w:eastAsia="宋体" w:hAnsi="Arial" w:cs="Arial"/>
                <w:b/>
                <w:bCs/>
                <w:color w:val="000000"/>
                <w:sz w:val="14"/>
                <w:szCs w:val="14"/>
              </w:rPr>
              <w:t>Amounts Reclassified (into)</w:t>
            </w:r>
            <w:r>
              <w:rPr>
                <w:rFonts w:ascii="Arial" w:eastAsia="宋体" w:hAnsi="Arial" w:cs="Arial"/>
                <w:b/>
                <w:bCs/>
                <w:color w:val="000000"/>
                <w:sz w:val="14"/>
                <w:szCs w:val="14"/>
              </w:rPr>
              <w:br/>
              <w:t>out of Earnings</w:t>
            </w:r>
          </w:p>
        </w:tc>
        <w:tc>
          <w:tcPr>
            <w:tcW w:w="0" w:type="auto"/>
            <w:gridSpan w:val="3"/>
            <w:shd w:val="clear" w:color="auto" w:fill="auto"/>
            <w:tcMar>
              <w:top w:w="0" w:type="dxa"/>
              <w:left w:w="20" w:type="dxa"/>
              <w:bottom w:w="0" w:type="dxa"/>
              <w:right w:w="20" w:type="dxa"/>
            </w:tcMar>
            <w:vAlign w:val="bottom"/>
          </w:tcPr>
          <w:p w14:paraId="74DE096D"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E096E" w14:textId="77777777" w:rsidR="00584EC1" w:rsidRDefault="00871F8D">
            <w:pPr>
              <w:jc w:val="center"/>
              <w:textAlignment w:val="bottom"/>
            </w:pPr>
            <w:r>
              <w:rPr>
                <w:rFonts w:ascii="Arial" w:eastAsia="宋体" w:hAnsi="Arial" w:cs="Arial"/>
                <w:b/>
                <w:bCs/>
                <w:color w:val="000000"/>
                <w:sz w:val="14"/>
                <w:szCs w:val="14"/>
              </w:rPr>
              <w:t>Affected Line Item in Consolidated Statement of Income</w:t>
            </w:r>
          </w:p>
        </w:tc>
      </w:tr>
      <w:tr w:rsidR="00584EC1" w14:paraId="74DE0976" w14:textId="77777777">
        <w:trPr>
          <w:hidden/>
        </w:trPr>
        <w:tc>
          <w:tcPr>
            <w:tcW w:w="0" w:type="auto"/>
            <w:gridSpan w:val="3"/>
            <w:shd w:val="clear" w:color="auto" w:fill="auto"/>
            <w:vAlign w:val="bottom"/>
          </w:tcPr>
          <w:p w14:paraId="74DE0970" w14:textId="77777777" w:rsidR="00584EC1" w:rsidRDefault="00584EC1">
            <w:pPr>
              <w:rPr>
                <w:rFonts w:ascii="宋体"/>
                <w:vanish/>
              </w:rPr>
            </w:pPr>
          </w:p>
        </w:tc>
        <w:tc>
          <w:tcPr>
            <w:tcW w:w="0" w:type="auto"/>
            <w:gridSpan w:val="3"/>
            <w:shd w:val="clear" w:color="auto" w:fill="auto"/>
            <w:vAlign w:val="bottom"/>
          </w:tcPr>
          <w:p w14:paraId="74DE0971" w14:textId="77777777" w:rsidR="00584EC1" w:rsidRDefault="00584EC1">
            <w:pPr>
              <w:rPr>
                <w:rFonts w:ascii="宋体"/>
                <w:vanish/>
              </w:rPr>
            </w:pPr>
          </w:p>
        </w:tc>
        <w:tc>
          <w:tcPr>
            <w:tcW w:w="0" w:type="auto"/>
            <w:gridSpan w:val="3"/>
            <w:shd w:val="clear" w:color="auto" w:fill="auto"/>
            <w:vAlign w:val="bottom"/>
          </w:tcPr>
          <w:p w14:paraId="74DE0972" w14:textId="77777777" w:rsidR="00584EC1" w:rsidRDefault="00584EC1">
            <w:pPr>
              <w:rPr>
                <w:rFonts w:ascii="宋体"/>
                <w:vanish/>
              </w:rPr>
            </w:pPr>
          </w:p>
        </w:tc>
        <w:tc>
          <w:tcPr>
            <w:tcW w:w="0" w:type="auto"/>
            <w:gridSpan w:val="3"/>
            <w:shd w:val="clear" w:color="auto" w:fill="auto"/>
            <w:vAlign w:val="bottom"/>
          </w:tcPr>
          <w:p w14:paraId="74DE0973" w14:textId="77777777" w:rsidR="00584EC1" w:rsidRDefault="00584EC1">
            <w:pPr>
              <w:rPr>
                <w:rFonts w:ascii="宋体"/>
                <w:vanish/>
              </w:rPr>
            </w:pPr>
          </w:p>
        </w:tc>
        <w:tc>
          <w:tcPr>
            <w:tcW w:w="0" w:type="auto"/>
            <w:gridSpan w:val="3"/>
            <w:shd w:val="clear" w:color="auto" w:fill="auto"/>
            <w:vAlign w:val="bottom"/>
          </w:tcPr>
          <w:p w14:paraId="74DE0974" w14:textId="77777777" w:rsidR="00584EC1" w:rsidRDefault="00584EC1">
            <w:pPr>
              <w:rPr>
                <w:rFonts w:ascii="宋体"/>
                <w:vanish/>
              </w:rPr>
            </w:pPr>
          </w:p>
        </w:tc>
        <w:tc>
          <w:tcPr>
            <w:tcW w:w="0" w:type="auto"/>
            <w:gridSpan w:val="3"/>
            <w:shd w:val="clear" w:color="auto" w:fill="auto"/>
            <w:vAlign w:val="bottom"/>
          </w:tcPr>
          <w:p w14:paraId="74DE0975" w14:textId="77777777" w:rsidR="00584EC1" w:rsidRDefault="00584EC1">
            <w:pPr>
              <w:rPr>
                <w:rFonts w:ascii="宋体"/>
                <w:vanish/>
              </w:rPr>
            </w:pPr>
          </w:p>
        </w:tc>
      </w:tr>
      <w:tr w:rsidR="00584EC1" w14:paraId="74DE097D" w14:textId="77777777">
        <w:trPr>
          <w:hidden/>
        </w:trPr>
        <w:tc>
          <w:tcPr>
            <w:tcW w:w="0" w:type="auto"/>
            <w:gridSpan w:val="3"/>
            <w:shd w:val="clear" w:color="auto" w:fill="auto"/>
            <w:vAlign w:val="bottom"/>
          </w:tcPr>
          <w:p w14:paraId="74DE0977" w14:textId="77777777" w:rsidR="00584EC1" w:rsidRDefault="00584EC1">
            <w:pPr>
              <w:rPr>
                <w:rFonts w:ascii="宋体"/>
                <w:vanish/>
              </w:rPr>
            </w:pPr>
          </w:p>
        </w:tc>
        <w:tc>
          <w:tcPr>
            <w:tcW w:w="0" w:type="auto"/>
            <w:gridSpan w:val="3"/>
            <w:shd w:val="clear" w:color="auto" w:fill="auto"/>
            <w:vAlign w:val="bottom"/>
          </w:tcPr>
          <w:p w14:paraId="74DE0978" w14:textId="77777777" w:rsidR="00584EC1" w:rsidRDefault="00584EC1">
            <w:pPr>
              <w:rPr>
                <w:rFonts w:ascii="宋体"/>
                <w:vanish/>
              </w:rPr>
            </w:pPr>
          </w:p>
        </w:tc>
        <w:tc>
          <w:tcPr>
            <w:tcW w:w="0" w:type="auto"/>
            <w:gridSpan w:val="3"/>
            <w:shd w:val="clear" w:color="auto" w:fill="auto"/>
            <w:vAlign w:val="bottom"/>
          </w:tcPr>
          <w:p w14:paraId="74DE0979" w14:textId="77777777" w:rsidR="00584EC1" w:rsidRDefault="00584EC1">
            <w:pPr>
              <w:rPr>
                <w:rFonts w:ascii="宋体"/>
                <w:vanish/>
              </w:rPr>
            </w:pPr>
          </w:p>
        </w:tc>
        <w:tc>
          <w:tcPr>
            <w:tcW w:w="0" w:type="auto"/>
            <w:gridSpan w:val="3"/>
            <w:shd w:val="clear" w:color="auto" w:fill="auto"/>
            <w:vAlign w:val="bottom"/>
          </w:tcPr>
          <w:p w14:paraId="74DE097A" w14:textId="77777777" w:rsidR="00584EC1" w:rsidRDefault="00584EC1">
            <w:pPr>
              <w:rPr>
                <w:rFonts w:ascii="宋体"/>
                <w:vanish/>
              </w:rPr>
            </w:pPr>
          </w:p>
        </w:tc>
        <w:tc>
          <w:tcPr>
            <w:tcW w:w="0" w:type="auto"/>
            <w:gridSpan w:val="3"/>
            <w:shd w:val="clear" w:color="auto" w:fill="auto"/>
            <w:vAlign w:val="bottom"/>
          </w:tcPr>
          <w:p w14:paraId="74DE097B" w14:textId="77777777" w:rsidR="00584EC1" w:rsidRDefault="00584EC1">
            <w:pPr>
              <w:rPr>
                <w:rFonts w:ascii="宋体"/>
                <w:vanish/>
              </w:rPr>
            </w:pPr>
          </w:p>
        </w:tc>
        <w:tc>
          <w:tcPr>
            <w:tcW w:w="0" w:type="auto"/>
            <w:gridSpan w:val="3"/>
            <w:shd w:val="clear" w:color="auto" w:fill="auto"/>
            <w:vAlign w:val="bottom"/>
          </w:tcPr>
          <w:p w14:paraId="74DE097C" w14:textId="77777777" w:rsidR="00584EC1" w:rsidRDefault="00584EC1">
            <w:pPr>
              <w:rPr>
                <w:rFonts w:ascii="宋体"/>
                <w:vanish/>
              </w:rPr>
            </w:pPr>
          </w:p>
        </w:tc>
      </w:tr>
      <w:tr w:rsidR="00584EC1" w14:paraId="74DE0984" w14:textId="77777777">
        <w:trPr>
          <w:hidden/>
        </w:trPr>
        <w:tc>
          <w:tcPr>
            <w:tcW w:w="0" w:type="auto"/>
            <w:gridSpan w:val="3"/>
            <w:shd w:val="clear" w:color="auto" w:fill="auto"/>
            <w:vAlign w:val="bottom"/>
          </w:tcPr>
          <w:p w14:paraId="74DE097E" w14:textId="77777777" w:rsidR="00584EC1" w:rsidRDefault="00584EC1">
            <w:pPr>
              <w:rPr>
                <w:rFonts w:ascii="宋体"/>
                <w:vanish/>
              </w:rPr>
            </w:pPr>
          </w:p>
        </w:tc>
        <w:tc>
          <w:tcPr>
            <w:tcW w:w="0" w:type="auto"/>
            <w:gridSpan w:val="3"/>
            <w:shd w:val="clear" w:color="auto" w:fill="auto"/>
            <w:vAlign w:val="bottom"/>
          </w:tcPr>
          <w:p w14:paraId="74DE097F" w14:textId="77777777" w:rsidR="00584EC1" w:rsidRDefault="00584EC1">
            <w:pPr>
              <w:rPr>
                <w:rFonts w:ascii="宋体"/>
                <w:vanish/>
              </w:rPr>
            </w:pPr>
          </w:p>
        </w:tc>
        <w:tc>
          <w:tcPr>
            <w:tcW w:w="0" w:type="auto"/>
            <w:gridSpan w:val="3"/>
            <w:shd w:val="clear" w:color="auto" w:fill="auto"/>
            <w:vAlign w:val="bottom"/>
          </w:tcPr>
          <w:p w14:paraId="74DE0980" w14:textId="77777777" w:rsidR="00584EC1" w:rsidRDefault="00584EC1">
            <w:pPr>
              <w:rPr>
                <w:rFonts w:ascii="宋体"/>
                <w:vanish/>
              </w:rPr>
            </w:pPr>
          </w:p>
        </w:tc>
        <w:tc>
          <w:tcPr>
            <w:tcW w:w="0" w:type="auto"/>
            <w:gridSpan w:val="3"/>
            <w:shd w:val="clear" w:color="auto" w:fill="auto"/>
            <w:vAlign w:val="bottom"/>
          </w:tcPr>
          <w:p w14:paraId="74DE0981" w14:textId="77777777" w:rsidR="00584EC1" w:rsidRDefault="00584EC1">
            <w:pPr>
              <w:rPr>
                <w:rFonts w:ascii="宋体"/>
                <w:vanish/>
              </w:rPr>
            </w:pPr>
          </w:p>
        </w:tc>
        <w:tc>
          <w:tcPr>
            <w:tcW w:w="0" w:type="auto"/>
            <w:gridSpan w:val="3"/>
            <w:shd w:val="clear" w:color="auto" w:fill="auto"/>
            <w:vAlign w:val="bottom"/>
          </w:tcPr>
          <w:p w14:paraId="74DE0982" w14:textId="77777777" w:rsidR="00584EC1" w:rsidRDefault="00584EC1">
            <w:pPr>
              <w:rPr>
                <w:rFonts w:ascii="宋体"/>
                <w:vanish/>
              </w:rPr>
            </w:pPr>
          </w:p>
        </w:tc>
        <w:tc>
          <w:tcPr>
            <w:tcW w:w="0" w:type="auto"/>
            <w:gridSpan w:val="3"/>
            <w:shd w:val="clear" w:color="auto" w:fill="auto"/>
            <w:vAlign w:val="bottom"/>
          </w:tcPr>
          <w:p w14:paraId="74DE0983" w14:textId="77777777" w:rsidR="00584EC1" w:rsidRDefault="00584EC1">
            <w:pPr>
              <w:rPr>
                <w:rFonts w:ascii="宋体"/>
                <w:vanish/>
              </w:rPr>
            </w:pPr>
          </w:p>
        </w:tc>
      </w:tr>
      <w:tr w:rsidR="00584EC1" w14:paraId="74DE098B" w14:textId="77777777">
        <w:tc>
          <w:tcPr>
            <w:tcW w:w="0" w:type="auto"/>
            <w:gridSpan w:val="3"/>
            <w:shd w:val="clear" w:color="auto" w:fill="FFFFFF"/>
            <w:tcMar>
              <w:top w:w="40" w:type="dxa"/>
              <w:left w:w="20" w:type="dxa"/>
              <w:bottom w:w="40" w:type="dxa"/>
              <w:right w:w="20" w:type="dxa"/>
            </w:tcMar>
            <w:vAlign w:val="bottom"/>
          </w:tcPr>
          <w:p w14:paraId="74DE0985" w14:textId="77777777" w:rsidR="00584EC1" w:rsidRDefault="00871F8D">
            <w:pPr>
              <w:textAlignment w:val="bottom"/>
            </w:pPr>
            <w:r>
              <w:rPr>
                <w:rFonts w:ascii="Arial" w:eastAsia="宋体" w:hAnsi="Arial" w:cs="Arial"/>
                <w:b/>
                <w:bCs/>
                <w:color w:val="000000"/>
                <w:sz w:val="14"/>
                <w:szCs w:val="14"/>
              </w:rPr>
              <w:t>Available-for-sale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E0986"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E0987"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E0988"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E0989" w14:textId="77777777" w:rsidR="00584EC1" w:rsidRDefault="00584E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E098A" w14:textId="77777777" w:rsidR="00584EC1" w:rsidRDefault="00584EC1">
            <w:pPr>
              <w:rPr>
                <w:rFonts w:ascii="宋体"/>
              </w:rPr>
            </w:pPr>
          </w:p>
        </w:tc>
      </w:tr>
      <w:tr w:rsidR="00584EC1" w14:paraId="74DE0996" w14:textId="77777777">
        <w:tc>
          <w:tcPr>
            <w:tcW w:w="0" w:type="auto"/>
            <w:gridSpan w:val="3"/>
            <w:shd w:val="clear" w:color="auto" w:fill="CCEEFF"/>
            <w:tcMar>
              <w:top w:w="40" w:type="dxa"/>
              <w:left w:w="20" w:type="dxa"/>
              <w:bottom w:w="40" w:type="dxa"/>
              <w:right w:w="20" w:type="dxa"/>
            </w:tcMar>
            <w:vAlign w:val="bottom"/>
          </w:tcPr>
          <w:p w14:paraId="74DE098C" w14:textId="77777777" w:rsidR="00584EC1" w:rsidRDefault="00871F8D">
            <w:pPr>
              <w:textAlignment w:val="bottom"/>
            </w:pPr>
            <w:r>
              <w:rPr>
                <w:rFonts w:ascii="Arial" w:eastAsia="宋体" w:hAnsi="Arial" w:cs="Arial"/>
                <w:color w:val="000000"/>
                <w:sz w:val="14"/>
                <w:szCs w:val="14"/>
              </w:rPr>
              <w:t xml:space="preserve">Net realized gains (losses) from </w:t>
            </w:r>
            <w:r>
              <w:rPr>
                <w:rFonts w:ascii="Arial" w:eastAsia="宋体" w:hAnsi="Arial" w:cs="Arial"/>
                <w:color w:val="000000"/>
                <w:sz w:val="14"/>
                <w:szCs w:val="14"/>
              </w:rPr>
              <w:t>sales of available-for-sale securities, net of related taxes of $0 and $1, respectively</w:t>
            </w:r>
          </w:p>
        </w:tc>
        <w:tc>
          <w:tcPr>
            <w:tcW w:w="0" w:type="auto"/>
            <w:shd w:val="clear" w:color="auto" w:fill="CCEEFF"/>
            <w:tcMar>
              <w:top w:w="40" w:type="dxa"/>
              <w:left w:w="20" w:type="dxa"/>
              <w:bottom w:w="40" w:type="dxa"/>
              <w:right w:w="0" w:type="dxa"/>
            </w:tcMar>
            <w:vAlign w:val="bottom"/>
          </w:tcPr>
          <w:p w14:paraId="74DE098D" w14:textId="77777777" w:rsidR="00584EC1" w:rsidRDefault="00871F8D">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4DE098E"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E098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990"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E0991"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E0992" w14:textId="77777777" w:rsidR="00584EC1" w:rsidRDefault="00871F8D">
            <w:pPr>
              <w:jc w:val="right"/>
              <w:textAlignment w:val="bottom"/>
            </w:pPr>
            <w:r>
              <w:rPr>
                <w:rFonts w:ascii="Arial" w:eastAsia="宋体" w:hAnsi="Arial" w:cs="Arial"/>
                <w:color w:val="000000"/>
                <w:sz w:val="14"/>
                <w:szCs w:val="14"/>
              </w:rPr>
              <w:t>1 </w:t>
            </w:r>
          </w:p>
        </w:tc>
        <w:tc>
          <w:tcPr>
            <w:tcW w:w="0" w:type="auto"/>
            <w:shd w:val="clear" w:color="auto" w:fill="CCEEFF"/>
            <w:tcMar>
              <w:top w:w="40" w:type="dxa"/>
              <w:left w:w="0" w:type="dxa"/>
              <w:bottom w:w="40" w:type="dxa"/>
              <w:right w:w="20" w:type="dxa"/>
            </w:tcMar>
            <w:vAlign w:val="bottom"/>
          </w:tcPr>
          <w:p w14:paraId="74DE099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994" w14:textId="77777777" w:rsidR="00584EC1" w:rsidRDefault="00584EC1">
            <w:pPr>
              <w:rPr>
                <w:rFonts w:ascii="宋体"/>
              </w:rPr>
            </w:pPr>
          </w:p>
        </w:tc>
        <w:tc>
          <w:tcPr>
            <w:tcW w:w="0" w:type="auto"/>
            <w:gridSpan w:val="3"/>
            <w:shd w:val="clear" w:color="auto" w:fill="CCEEFF"/>
            <w:tcMar>
              <w:top w:w="40" w:type="dxa"/>
              <w:left w:w="20" w:type="dxa"/>
              <w:bottom w:w="40" w:type="dxa"/>
              <w:right w:w="20" w:type="dxa"/>
            </w:tcMar>
            <w:vAlign w:val="bottom"/>
          </w:tcPr>
          <w:p w14:paraId="74DE0995" w14:textId="77777777" w:rsidR="00584EC1" w:rsidRDefault="00871F8D">
            <w:pPr>
              <w:textAlignment w:val="bottom"/>
            </w:pPr>
            <w:r>
              <w:rPr>
                <w:rFonts w:ascii="Arial" w:eastAsia="宋体" w:hAnsi="Arial" w:cs="Arial"/>
                <w:color w:val="000000"/>
                <w:sz w:val="14"/>
                <w:szCs w:val="14"/>
              </w:rPr>
              <w:t>Net gains (losses) from sales of available-for-sale securities</w:t>
            </w:r>
          </w:p>
        </w:tc>
      </w:tr>
      <w:tr w:rsidR="00584EC1" w14:paraId="74DE099D" w14:textId="77777777">
        <w:trPr>
          <w:hidden/>
        </w:trPr>
        <w:tc>
          <w:tcPr>
            <w:tcW w:w="0" w:type="auto"/>
            <w:gridSpan w:val="3"/>
            <w:shd w:val="clear" w:color="auto" w:fill="auto"/>
            <w:vAlign w:val="bottom"/>
          </w:tcPr>
          <w:p w14:paraId="74DE0997" w14:textId="77777777" w:rsidR="00584EC1" w:rsidRDefault="00584EC1">
            <w:pPr>
              <w:rPr>
                <w:rFonts w:ascii="宋体"/>
                <w:vanish/>
              </w:rPr>
            </w:pPr>
          </w:p>
        </w:tc>
        <w:tc>
          <w:tcPr>
            <w:tcW w:w="0" w:type="auto"/>
            <w:gridSpan w:val="3"/>
            <w:shd w:val="clear" w:color="auto" w:fill="auto"/>
            <w:vAlign w:val="bottom"/>
          </w:tcPr>
          <w:p w14:paraId="74DE0998" w14:textId="77777777" w:rsidR="00584EC1" w:rsidRDefault="00584EC1">
            <w:pPr>
              <w:rPr>
                <w:rFonts w:ascii="宋体"/>
                <w:vanish/>
              </w:rPr>
            </w:pPr>
          </w:p>
        </w:tc>
        <w:tc>
          <w:tcPr>
            <w:tcW w:w="0" w:type="auto"/>
            <w:gridSpan w:val="3"/>
            <w:shd w:val="clear" w:color="auto" w:fill="auto"/>
            <w:vAlign w:val="bottom"/>
          </w:tcPr>
          <w:p w14:paraId="74DE0999" w14:textId="77777777" w:rsidR="00584EC1" w:rsidRDefault="00584EC1">
            <w:pPr>
              <w:rPr>
                <w:rFonts w:ascii="宋体"/>
                <w:vanish/>
              </w:rPr>
            </w:pPr>
          </w:p>
        </w:tc>
        <w:tc>
          <w:tcPr>
            <w:tcW w:w="0" w:type="auto"/>
            <w:gridSpan w:val="3"/>
            <w:shd w:val="clear" w:color="auto" w:fill="auto"/>
            <w:vAlign w:val="bottom"/>
          </w:tcPr>
          <w:p w14:paraId="74DE099A" w14:textId="77777777" w:rsidR="00584EC1" w:rsidRDefault="00584EC1">
            <w:pPr>
              <w:rPr>
                <w:rFonts w:ascii="宋体"/>
                <w:vanish/>
              </w:rPr>
            </w:pPr>
          </w:p>
        </w:tc>
        <w:tc>
          <w:tcPr>
            <w:tcW w:w="0" w:type="auto"/>
            <w:gridSpan w:val="3"/>
            <w:shd w:val="clear" w:color="auto" w:fill="auto"/>
            <w:vAlign w:val="bottom"/>
          </w:tcPr>
          <w:p w14:paraId="74DE099B" w14:textId="77777777" w:rsidR="00584EC1" w:rsidRDefault="00584EC1">
            <w:pPr>
              <w:rPr>
                <w:rFonts w:ascii="宋体"/>
                <w:vanish/>
              </w:rPr>
            </w:pPr>
          </w:p>
        </w:tc>
        <w:tc>
          <w:tcPr>
            <w:tcW w:w="0" w:type="auto"/>
            <w:gridSpan w:val="3"/>
            <w:shd w:val="clear" w:color="auto" w:fill="auto"/>
            <w:vAlign w:val="bottom"/>
          </w:tcPr>
          <w:p w14:paraId="74DE099C" w14:textId="77777777" w:rsidR="00584EC1" w:rsidRDefault="00584EC1">
            <w:pPr>
              <w:rPr>
                <w:rFonts w:ascii="宋体"/>
                <w:vanish/>
              </w:rPr>
            </w:pPr>
          </w:p>
        </w:tc>
      </w:tr>
      <w:tr w:rsidR="00584EC1" w14:paraId="74DE09A4" w14:textId="77777777">
        <w:trPr>
          <w:hidden/>
        </w:trPr>
        <w:tc>
          <w:tcPr>
            <w:tcW w:w="0" w:type="auto"/>
            <w:gridSpan w:val="3"/>
            <w:shd w:val="clear" w:color="auto" w:fill="auto"/>
            <w:vAlign w:val="bottom"/>
          </w:tcPr>
          <w:p w14:paraId="74DE099E" w14:textId="77777777" w:rsidR="00584EC1" w:rsidRDefault="00584EC1">
            <w:pPr>
              <w:rPr>
                <w:rFonts w:ascii="宋体"/>
                <w:vanish/>
              </w:rPr>
            </w:pPr>
          </w:p>
        </w:tc>
        <w:tc>
          <w:tcPr>
            <w:tcW w:w="0" w:type="auto"/>
            <w:gridSpan w:val="3"/>
            <w:shd w:val="clear" w:color="auto" w:fill="auto"/>
            <w:vAlign w:val="bottom"/>
          </w:tcPr>
          <w:p w14:paraId="74DE099F" w14:textId="77777777" w:rsidR="00584EC1" w:rsidRDefault="00584EC1">
            <w:pPr>
              <w:rPr>
                <w:rFonts w:ascii="宋体"/>
                <w:vanish/>
              </w:rPr>
            </w:pPr>
          </w:p>
        </w:tc>
        <w:tc>
          <w:tcPr>
            <w:tcW w:w="0" w:type="auto"/>
            <w:gridSpan w:val="3"/>
            <w:shd w:val="clear" w:color="auto" w:fill="auto"/>
            <w:vAlign w:val="bottom"/>
          </w:tcPr>
          <w:p w14:paraId="74DE09A0" w14:textId="77777777" w:rsidR="00584EC1" w:rsidRDefault="00584EC1">
            <w:pPr>
              <w:rPr>
                <w:rFonts w:ascii="宋体"/>
                <w:vanish/>
              </w:rPr>
            </w:pPr>
          </w:p>
        </w:tc>
        <w:tc>
          <w:tcPr>
            <w:tcW w:w="0" w:type="auto"/>
            <w:gridSpan w:val="3"/>
            <w:shd w:val="clear" w:color="auto" w:fill="auto"/>
            <w:vAlign w:val="bottom"/>
          </w:tcPr>
          <w:p w14:paraId="74DE09A1" w14:textId="77777777" w:rsidR="00584EC1" w:rsidRDefault="00584EC1">
            <w:pPr>
              <w:rPr>
                <w:rFonts w:ascii="宋体"/>
                <w:vanish/>
              </w:rPr>
            </w:pPr>
          </w:p>
        </w:tc>
        <w:tc>
          <w:tcPr>
            <w:tcW w:w="0" w:type="auto"/>
            <w:gridSpan w:val="3"/>
            <w:shd w:val="clear" w:color="auto" w:fill="auto"/>
            <w:vAlign w:val="bottom"/>
          </w:tcPr>
          <w:p w14:paraId="74DE09A2" w14:textId="77777777" w:rsidR="00584EC1" w:rsidRDefault="00584EC1">
            <w:pPr>
              <w:rPr>
                <w:rFonts w:ascii="宋体"/>
                <w:vanish/>
              </w:rPr>
            </w:pPr>
          </w:p>
        </w:tc>
        <w:tc>
          <w:tcPr>
            <w:tcW w:w="0" w:type="auto"/>
            <w:gridSpan w:val="3"/>
            <w:shd w:val="clear" w:color="auto" w:fill="auto"/>
            <w:vAlign w:val="bottom"/>
          </w:tcPr>
          <w:p w14:paraId="74DE09A3" w14:textId="77777777" w:rsidR="00584EC1" w:rsidRDefault="00584EC1">
            <w:pPr>
              <w:rPr>
                <w:rFonts w:ascii="宋体"/>
                <w:vanish/>
              </w:rPr>
            </w:pPr>
          </w:p>
        </w:tc>
      </w:tr>
      <w:tr w:rsidR="00584EC1" w14:paraId="74DE09AB" w14:textId="77777777">
        <w:trPr>
          <w:hidden/>
        </w:trPr>
        <w:tc>
          <w:tcPr>
            <w:tcW w:w="0" w:type="auto"/>
            <w:gridSpan w:val="3"/>
            <w:shd w:val="clear" w:color="auto" w:fill="auto"/>
            <w:vAlign w:val="bottom"/>
          </w:tcPr>
          <w:p w14:paraId="74DE09A5" w14:textId="77777777" w:rsidR="00584EC1" w:rsidRDefault="00584EC1">
            <w:pPr>
              <w:rPr>
                <w:rFonts w:ascii="宋体"/>
                <w:vanish/>
              </w:rPr>
            </w:pPr>
          </w:p>
        </w:tc>
        <w:tc>
          <w:tcPr>
            <w:tcW w:w="0" w:type="auto"/>
            <w:gridSpan w:val="3"/>
            <w:shd w:val="clear" w:color="auto" w:fill="auto"/>
            <w:vAlign w:val="bottom"/>
          </w:tcPr>
          <w:p w14:paraId="74DE09A6" w14:textId="77777777" w:rsidR="00584EC1" w:rsidRDefault="00584EC1">
            <w:pPr>
              <w:rPr>
                <w:rFonts w:ascii="宋体"/>
                <w:vanish/>
              </w:rPr>
            </w:pPr>
          </w:p>
        </w:tc>
        <w:tc>
          <w:tcPr>
            <w:tcW w:w="0" w:type="auto"/>
            <w:gridSpan w:val="3"/>
            <w:shd w:val="clear" w:color="auto" w:fill="auto"/>
            <w:vAlign w:val="bottom"/>
          </w:tcPr>
          <w:p w14:paraId="74DE09A7" w14:textId="77777777" w:rsidR="00584EC1" w:rsidRDefault="00584EC1">
            <w:pPr>
              <w:rPr>
                <w:rFonts w:ascii="宋体"/>
                <w:vanish/>
              </w:rPr>
            </w:pPr>
          </w:p>
        </w:tc>
        <w:tc>
          <w:tcPr>
            <w:tcW w:w="0" w:type="auto"/>
            <w:gridSpan w:val="3"/>
            <w:shd w:val="clear" w:color="auto" w:fill="auto"/>
            <w:vAlign w:val="bottom"/>
          </w:tcPr>
          <w:p w14:paraId="74DE09A8" w14:textId="77777777" w:rsidR="00584EC1" w:rsidRDefault="00584EC1">
            <w:pPr>
              <w:rPr>
                <w:rFonts w:ascii="宋体"/>
                <w:vanish/>
              </w:rPr>
            </w:pPr>
          </w:p>
        </w:tc>
        <w:tc>
          <w:tcPr>
            <w:tcW w:w="0" w:type="auto"/>
            <w:gridSpan w:val="3"/>
            <w:shd w:val="clear" w:color="auto" w:fill="auto"/>
            <w:vAlign w:val="bottom"/>
          </w:tcPr>
          <w:p w14:paraId="74DE09A9" w14:textId="77777777" w:rsidR="00584EC1" w:rsidRDefault="00584EC1">
            <w:pPr>
              <w:rPr>
                <w:rFonts w:ascii="宋体"/>
                <w:vanish/>
              </w:rPr>
            </w:pPr>
          </w:p>
        </w:tc>
        <w:tc>
          <w:tcPr>
            <w:tcW w:w="0" w:type="auto"/>
            <w:gridSpan w:val="3"/>
            <w:shd w:val="clear" w:color="auto" w:fill="auto"/>
            <w:vAlign w:val="bottom"/>
          </w:tcPr>
          <w:p w14:paraId="74DE09AA" w14:textId="77777777" w:rsidR="00584EC1" w:rsidRDefault="00584EC1">
            <w:pPr>
              <w:rPr>
                <w:rFonts w:ascii="宋体"/>
                <w:vanish/>
              </w:rPr>
            </w:pPr>
          </w:p>
        </w:tc>
      </w:tr>
      <w:tr w:rsidR="00584EC1" w14:paraId="74DE09B2" w14:textId="77777777">
        <w:tc>
          <w:tcPr>
            <w:tcW w:w="0" w:type="auto"/>
            <w:gridSpan w:val="3"/>
            <w:shd w:val="clear" w:color="auto" w:fill="FFFFFF"/>
            <w:tcMar>
              <w:top w:w="40" w:type="dxa"/>
              <w:left w:w="20" w:type="dxa"/>
              <w:bottom w:w="40" w:type="dxa"/>
              <w:right w:w="20" w:type="dxa"/>
            </w:tcMar>
            <w:vAlign w:val="bottom"/>
          </w:tcPr>
          <w:p w14:paraId="74DE09AC" w14:textId="77777777" w:rsidR="00584EC1" w:rsidRDefault="00871F8D">
            <w:pPr>
              <w:textAlignment w:val="bottom"/>
            </w:pPr>
            <w:r>
              <w:rPr>
                <w:rFonts w:ascii="Arial" w:eastAsia="宋体" w:hAnsi="Arial" w:cs="Arial"/>
                <w:b/>
                <w:bCs/>
                <w:color w:val="000000"/>
                <w:sz w:val="14"/>
                <w:szCs w:val="14"/>
              </w:rPr>
              <w:t>Cash flow hedges:</w:t>
            </w:r>
          </w:p>
        </w:tc>
        <w:tc>
          <w:tcPr>
            <w:tcW w:w="0" w:type="auto"/>
            <w:gridSpan w:val="3"/>
            <w:shd w:val="clear" w:color="auto" w:fill="FFFFFF"/>
            <w:tcMar>
              <w:top w:w="0" w:type="dxa"/>
              <w:left w:w="20" w:type="dxa"/>
              <w:bottom w:w="0" w:type="dxa"/>
              <w:right w:w="20" w:type="dxa"/>
            </w:tcMar>
            <w:vAlign w:val="bottom"/>
          </w:tcPr>
          <w:p w14:paraId="74DE09AD"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E09AE"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E09AF"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E09B0"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E09B1" w14:textId="77777777" w:rsidR="00584EC1" w:rsidRDefault="00584EC1">
            <w:pPr>
              <w:rPr>
                <w:rFonts w:ascii="宋体"/>
              </w:rPr>
            </w:pPr>
          </w:p>
        </w:tc>
      </w:tr>
      <w:tr w:rsidR="00584EC1" w14:paraId="74DE09BB" w14:textId="77777777">
        <w:tc>
          <w:tcPr>
            <w:tcW w:w="0" w:type="auto"/>
            <w:gridSpan w:val="3"/>
            <w:shd w:val="clear" w:color="auto" w:fill="CCEEFF"/>
            <w:tcMar>
              <w:top w:w="40" w:type="dxa"/>
              <w:left w:w="20" w:type="dxa"/>
              <w:bottom w:w="40" w:type="dxa"/>
              <w:right w:w="20" w:type="dxa"/>
            </w:tcMar>
            <w:vAlign w:val="bottom"/>
          </w:tcPr>
          <w:p w14:paraId="74DE09B3" w14:textId="77777777" w:rsidR="00584EC1" w:rsidRDefault="00871F8D">
            <w:pPr>
              <w:textAlignment w:val="bottom"/>
            </w:pPr>
            <w:r>
              <w:rPr>
                <w:rFonts w:ascii="Arial" w:eastAsia="宋体" w:hAnsi="Arial" w:cs="Arial"/>
                <w:color w:val="000000"/>
                <w:sz w:val="14"/>
                <w:szCs w:val="14"/>
              </w:rPr>
              <w:t xml:space="preserve">(Gain) reclassified from </w:t>
            </w:r>
            <w:r>
              <w:rPr>
                <w:rFonts w:ascii="Arial" w:eastAsia="宋体" w:hAnsi="Arial" w:cs="Arial"/>
                <w:color w:val="000000"/>
                <w:sz w:val="14"/>
                <w:szCs w:val="14"/>
              </w:rPr>
              <w:t>accumulated other comprehensive income into income, net of related taxes of $19 and $14, respectively</w:t>
            </w:r>
          </w:p>
        </w:tc>
        <w:tc>
          <w:tcPr>
            <w:tcW w:w="0" w:type="auto"/>
            <w:gridSpan w:val="2"/>
            <w:shd w:val="clear" w:color="auto" w:fill="CCEEFF"/>
            <w:tcMar>
              <w:top w:w="40" w:type="dxa"/>
              <w:left w:w="20" w:type="dxa"/>
              <w:bottom w:w="40" w:type="dxa"/>
              <w:right w:w="0" w:type="dxa"/>
            </w:tcMar>
            <w:vAlign w:val="bottom"/>
          </w:tcPr>
          <w:p w14:paraId="74DE09B4" w14:textId="77777777" w:rsidR="00584EC1" w:rsidRDefault="00871F8D">
            <w:pPr>
              <w:jc w:val="right"/>
              <w:textAlignment w:val="bottom"/>
            </w:pPr>
            <w:r>
              <w:rPr>
                <w:rFonts w:ascii="Arial" w:eastAsia="宋体" w:hAnsi="Arial" w:cs="Arial"/>
                <w:b/>
                <w:bCs/>
                <w:color w:val="000000"/>
                <w:sz w:val="14"/>
                <w:szCs w:val="14"/>
              </w:rPr>
              <w:t>(51)</w:t>
            </w:r>
          </w:p>
        </w:tc>
        <w:tc>
          <w:tcPr>
            <w:tcW w:w="0" w:type="auto"/>
            <w:shd w:val="clear" w:color="auto" w:fill="CCEEFF"/>
            <w:tcMar>
              <w:top w:w="40" w:type="dxa"/>
              <w:left w:w="0" w:type="dxa"/>
              <w:bottom w:w="40" w:type="dxa"/>
              <w:right w:w="20" w:type="dxa"/>
            </w:tcMar>
            <w:vAlign w:val="bottom"/>
          </w:tcPr>
          <w:p w14:paraId="74DE09B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9B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9B7" w14:textId="77777777" w:rsidR="00584EC1" w:rsidRDefault="00871F8D">
            <w:pPr>
              <w:jc w:val="right"/>
              <w:textAlignment w:val="bottom"/>
            </w:pPr>
            <w:r>
              <w:rPr>
                <w:rFonts w:ascii="Arial" w:eastAsia="宋体" w:hAnsi="Arial" w:cs="Arial"/>
                <w:color w:val="000000"/>
                <w:sz w:val="14"/>
                <w:szCs w:val="14"/>
              </w:rPr>
              <w:t>(37)</w:t>
            </w:r>
          </w:p>
        </w:tc>
        <w:tc>
          <w:tcPr>
            <w:tcW w:w="0" w:type="auto"/>
            <w:shd w:val="clear" w:color="auto" w:fill="CCEEFF"/>
            <w:tcMar>
              <w:top w:w="40" w:type="dxa"/>
              <w:left w:w="0" w:type="dxa"/>
              <w:bottom w:w="40" w:type="dxa"/>
              <w:right w:w="20" w:type="dxa"/>
            </w:tcMar>
            <w:vAlign w:val="bottom"/>
          </w:tcPr>
          <w:p w14:paraId="74DE09B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9B9" w14:textId="77777777" w:rsidR="00584EC1" w:rsidRDefault="00584EC1">
            <w:pPr>
              <w:rPr>
                <w:rFonts w:ascii="宋体"/>
              </w:rPr>
            </w:pPr>
          </w:p>
        </w:tc>
        <w:tc>
          <w:tcPr>
            <w:tcW w:w="0" w:type="auto"/>
            <w:gridSpan w:val="3"/>
            <w:shd w:val="clear" w:color="auto" w:fill="CCEEFF"/>
            <w:tcMar>
              <w:top w:w="40" w:type="dxa"/>
              <w:left w:w="20" w:type="dxa"/>
              <w:bottom w:w="40" w:type="dxa"/>
              <w:right w:w="20" w:type="dxa"/>
            </w:tcMar>
            <w:vAlign w:val="bottom"/>
          </w:tcPr>
          <w:p w14:paraId="74DE09BA" w14:textId="77777777" w:rsidR="00584EC1" w:rsidRDefault="00871F8D">
            <w:pPr>
              <w:textAlignment w:val="bottom"/>
            </w:pPr>
            <w:r>
              <w:rPr>
                <w:rFonts w:ascii="Arial" w:eastAsia="宋体" w:hAnsi="Arial" w:cs="Arial"/>
                <w:color w:val="000000"/>
                <w:sz w:val="14"/>
                <w:szCs w:val="14"/>
              </w:rPr>
              <w:t>Net interest income reclassified from other comprehensive income</w:t>
            </w:r>
          </w:p>
        </w:tc>
      </w:tr>
      <w:tr w:rsidR="00584EC1" w14:paraId="74DE09C2" w14:textId="77777777">
        <w:tc>
          <w:tcPr>
            <w:tcW w:w="0" w:type="auto"/>
            <w:gridSpan w:val="3"/>
            <w:shd w:val="clear" w:color="auto" w:fill="FFFFFF"/>
            <w:tcMar>
              <w:top w:w="40" w:type="dxa"/>
              <w:left w:w="20" w:type="dxa"/>
              <w:bottom w:w="40" w:type="dxa"/>
              <w:right w:w="20" w:type="dxa"/>
            </w:tcMar>
            <w:vAlign w:val="bottom"/>
          </w:tcPr>
          <w:p w14:paraId="74DE09BC" w14:textId="77777777" w:rsidR="00584EC1" w:rsidRDefault="00871F8D">
            <w:pPr>
              <w:textAlignment w:val="bottom"/>
            </w:pPr>
            <w:r>
              <w:rPr>
                <w:rFonts w:ascii="Arial" w:eastAsia="宋体" w:hAnsi="Arial" w:cs="Arial"/>
                <w:b/>
                <w:bCs/>
                <w:color w:val="000000"/>
                <w:sz w:val="14"/>
                <w:szCs w:val="14"/>
              </w:rPr>
              <w:t>Retirement plans:</w:t>
            </w:r>
          </w:p>
        </w:tc>
        <w:tc>
          <w:tcPr>
            <w:tcW w:w="0" w:type="auto"/>
            <w:gridSpan w:val="3"/>
            <w:shd w:val="clear" w:color="auto" w:fill="FFFFFF"/>
            <w:tcMar>
              <w:top w:w="0" w:type="dxa"/>
              <w:left w:w="20" w:type="dxa"/>
              <w:bottom w:w="0" w:type="dxa"/>
              <w:right w:w="20" w:type="dxa"/>
            </w:tcMar>
            <w:vAlign w:val="bottom"/>
          </w:tcPr>
          <w:p w14:paraId="74DE09BD"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E09BE"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E09BF"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E09C0"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E09C1" w14:textId="77777777" w:rsidR="00584EC1" w:rsidRDefault="00584EC1">
            <w:pPr>
              <w:rPr>
                <w:rFonts w:ascii="宋体"/>
              </w:rPr>
            </w:pPr>
          </w:p>
        </w:tc>
      </w:tr>
      <w:tr w:rsidR="00584EC1" w14:paraId="74DE09CB" w14:textId="77777777">
        <w:tc>
          <w:tcPr>
            <w:tcW w:w="0" w:type="auto"/>
            <w:gridSpan w:val="3"/>
            <w:shd w:val="clear" w:color="auto" w:fill="CCEEFF"/>
            <w:tcMar>
              <w:top w:w="40" w:type="dxa"/>
              <w:left w:w="20" w:type="dxa"/>
              <w:bottom w:w="40" w:type="dxa"/>
              <w:right w:w="20" w:type="dxa"/>
            </w:tcMar>
            <w:vAlign w:val="bottom"/>
          </w:tcPr>
          <w:p w14:paraId="74DE09C3" w14:textId="77777777" w:rsidR="00584EC1" w:rsidRDefault="00871F8D">
            <w:pPr>
              <w:textAlignment w:val="bottom"/>
            </w:pPr>
            <w:r>
              <w:rPr>
                <w:rFonts w:ascii="Arial" w:eastAsia="宋体" w:hAnsi="Arial" w:cs="Arial"/>
                <w:color w:val="000000"/>
                <w:sz w:val="14"/>
                <w:szCs w:val="14"/>
              </w:rPr>
              <w:t xml:space="preserve">Amortization of actuarial losses, net of </w:t>
            </w:r>
            <w:r>
              <w:rPr>
                <w:rFonts w:ascii="Arial" w:eastAsia="宋体" w:hAnsi="Arial" w:cs="Arial"/>
                <w:color w:val="000000"/>
                <w:sz w:val="14"/>
                <w:szCs w:val="14"/>
              </w:rPr>
              <w:t>related taxes of $5 and $5, respectively</w:t>
            </w:r>
          </w:p>
        </w:tc>
        <w:tc>
          <w:tcPr>
            <w:tcW w:w="0" w:type="auto"/>
            <w:gridSpan w:val="2"/>
            <w:shd w:val="clear" w:color="auto" w:fill="CCEEFF"/>
            <w:tcMar>
              <w:top w:w="40" w:type="dxa"/>
              <w:left w:w="20" w:type="dxa"/>
              <w:bottom w:w="40" w:type="dxa"/>
              <w:right w:w="0" w:type="dxa"/>
            </w:tcMar>
            <w:vAlign w:val="bottom"/>
          </w:tcPr>
          <w:p w14:paraId="74DE09C4" w14:textId="77777777" w:rsidR="00584EC1" w:rsidRDefault="00871F8D">
            <w:pPr>
              <w:jc w:val="right"/>
              <w:textAlignment w:val="bottom"/>
            </w:pPr>
            <w:r>
              <w:rPr>
                <w:rFonts w:ascii="Arial" w:eastAsia="宋体" w:hAnsi="Arial" w:cs="Arial"/>
                <w:b/>
                <w:bCs/>
                <w:color w:val="000000"/>
                <w:sz w:val="14"/>
                <w:szCs w:val="14"/>
              </w:rPr>
              <w:t>12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E09C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9C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9C7" w14:textId="77777777" w:rsidR="00584EC1" w:rsidRDefault="00871F8D">
            <w:pPr>
              <w:jc w:val="right"/>
              <w:textAlignment w:val="bottom"/>
            </w:pPr>
            <w:r>
              <w:rPr>
                <w:rFonts w:ascii="Arial" w:eastAsia="宋体" w:hAnsi="Arial" w:cs="Arial"/>
                <w:color w:val="000000"/>
                <w:sz w:val="14"/>
                <w:szCs w:val="14"/>
              </w:rPr>
              <w:t>15 </w:t>
            </w:r>
          </w:p>
        </w:tc>
        <w:tc>
          <w:tcPr>
            <w:tcW w:w="0" w:type="auto"/>
            <w:shd w:val="clear" w:color="auto" w:fill="CCEEFF"/>
            <w:tcMar>
              <w:top w:w="40" w:type="dxa"/>
              <w:left w:w="0" w:type="dxa"/>
              <w:bottom w:w="40" w:type="dxa"/>
              <w:right w:w="20" w:type="dxa"/>
            </w:tcMar>
            <w:vAlign w:val="bottom"/>
          </w:tcPr>
          <w:p w14:paraId="74DE09C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9C9" w14:textId="77777777" w:rsidR="00584EC1" w:rsidRDefault="00584EC1">
            <w:pPr>
              <w:rPr>
                <w:rFonts w:ascii="宋体"/>
              </w:rPr>
            </w:pPr>
          </w:p>
        </w:tc>
        <w:tc>
          <w:tcPr>
            <w:tcW w:w="0" w:type="auto"/>
            <w:gridSpan w:val="3"/>
            <w:shd w:val="clear" w:color="auto" w:fill="CCEEFF"/>
            <w:tcMar>
              <w:top w:w="40" w:type="dxa"/>
              <w:left w:w="20" w:type="dxa"/>
              <w:bottom w:w="40" w:type="dxa"/>
              <w:right w:w="20" w:type="dxa"/>
            </w:tcMar>
            <w:vAlign w:val="bottom"/>
          </w:tcPr>
          <w:p w14:paraId="74DE09CA" w14:textId="77777777" w:rsidR="00584EC1" w:rsidRDefault="00871F8D">
            <w:pPr>
              <w:textAlignment w:val="bottom"/>
            </w:pPr>
            <w:r>
              <w:rPr>
                <w:rFonts w:ascii="Arial" w:eastAsia="宋体" w:hAnsi="Arial" w:cs="Arial"/>
                <w:color w:val="000000"/>
                <w:sz w:val="14"/>
                <w:szCs w:val="14"/>
              </w:rPr>
              <w:t>Compensation and employee benefits expenses</w:t>
            </w:r>
          </w:p>
        </w:tc>
      </w:tr>
      <w:tr w:rsidR="00584EC1" w14:paraId="74DE09D2" w14:textId="77777777">
        <w:trPr>
          <w:hidden/>
        </w:trPr>
        <w:tc>
          <w:tcPr>
            <w:tcW w:w="0" w:type="auto"/>
            <w:gridSpan w:val="3"/>
            <w:shd w:val="clear" w:color="auto" w:fill="auto"/>
            <w:vAlign w:val="bottom"/>
          </w:tcPr>
          <w:p w14:paraId="74DE09CC" w14:textId="77777777" w:rsidR="00584EC1" w:rsidRDefault="00584EC1">
            <w:pPr>
              <w:rPr>
                <w:rFonts w:ascii="宋体"/>
                <w:vanish/>
              </w:rPr>
            </w:pPr>
          </w:p>
        </w:tc>
        <w:tc>
          <w:tcPr>
            <w:tcW w:w="0" w:type="auto"/>
            <w:gridSpan w:val="3"/>
            <w:shd w:val="clear" w:color="auto" w:fill="auto"/>
            <w:vAlign w:val="bottom"/>
          </w:tcPr>
          <w:p w14:paraId="74DE09CD" w14:textId="77777777" w:rsidR="00584EC1" w:rsidRDefault="00584EC1">
            <w:pPr>
              <w:rPr>
                <w:rFonts w:ascii="宋体"/>
                <w:vanish/>
              </w:rPr>
            </w:pPr>
          </w:p>
        </w:tc>
        <w:tc>
          <w:tcPr>
            <w:tcW w:w="0" w:type="auto"/>
            <w:gridSpan w:val="3"/>
            <w:shd w:val="clear" w:color="auto" w:fill="auto"/>
            <w:vAlign w:val="bottom"/>
          </w:tcPr>
          <w:p w14:paraId="74DE09CE" w14:textId="77777777" w:rsidR="00584EC1" w:rsidRDefault="00584EC1">
            <w:pPr>
              <w:rPr>
                <w:rFonts w:ascii="宋体"/>
                <w:vanish/>
              </w:rPr>
            </w:pPr>
          </w:p>
        </w:tc>
        <w:tc>
          <w:tcPr>
            <w:tcW w:w="0" w:type="auto"/>
            <w:gridSpan w:val="3"/>
            <w:shd w:val="clear" w:color="auto" w:fill="auto"/>
            <w:vAlign w:val="bottom"/>
          </w:tcPr>
          <w:p w14:paraId="74DE09CF" w14:textId="77777777" w:rsidR="00584EC1" w:rsidRDefault="00584EC1">
            <w:pPr>
              <w:rPr>
                <w:rFonts w:ascii="宋体"/>
                <w:vanish/>
              </w:rPr>
            </w:pPr>
          </w:p>
        </w:tc>
        <w:tc>
          <w:tcPr>
            <w:tcW w:w="0" w:type="auto"/>
            <w:gridSpan w:val="3"/>
            <w:shd w:val="clear" w:color="auto" w:fill="auto"/>
            <w:vAlign w:val="bottom"/>
          </w:tcPr>
          <w:p w14:paraId="74DE09D0" w14:textId="77777777" w:rsidR="00584EC1" w:rsidRDefault="00584EC1">
            <w:pPr>
              <w:rPr>
                <w:rFonts w:ascii="宋体"/>
                <w:vanish/>
              </w:rPr>
            </w:pPr>
          </w:p>
        </w:tc>
        <w:tc>
          <w:tcPr>
            <w:tcW w:w="0" w:type="auto"/>
            <w:gridSpan w:val="3"/>
            <w:shd w:val="clear" w:color="auto" w:fill="auto"/>
            <w:vAlign w:val="bottom"/>
          </w:tcPr>
          <w:p w14:paraId="74DE09D1" w14:textId="77777777" w:rsidR="00584EC1" w:rsidRDefault="00584EC1">
            <w:pPr>
              <w:rPr>
                <w:rFonts w:ascii="宋体"/>
                <w:vanish/>
              </w:rPr>
            </w:pPr>
          </w:p>
        </w:tc>
      </w:tr>
      <w:tr w:rsidR="00584EC1" w14:paraId="74DE09D9" w14:textId="77777777">
        <w:trPr>
          <w:hidden/>
        </w:trPr>
        <w:tc>
          <w:tcPr>
            <w:tcW w:w="0" w:type="auto"/>
            <w:gridSpan w:val="3"/>
            <w:shd w:val="clear" w:color="auto" w:fill="auto"/>
            <w:vAlign w:val="bottom"/>
          </w:tcPr>
          <w:p w14:paraId="74DE09D3" w14:textId="77777777" w:rsidR="00584EC1" w:rsidRDefault="00584EC1">
            <w:pPr>
              <w:rPr>
                <w:rFonts w:ascii="宋体"/>
                <w:vanish/>
              </w:rPr>
            </w:pPr>
          </w:p>
        </w:tc>
        <w:tc>
          <w:tcPr>
            <w:tcW w:w="0" w:type="auto"/>
            <w:gridSpan w:val="3"/>
            <w:shd w:val="clear" w:color="auto" w:fill="auto"/>
            <w:vAlign w:val="bottom"/>
          </w:tcPr>
          <w:p w14:paraId="74DE09D4" w14:textId="77777777" w:rsidR="00584EC1" w:rsidRDefault="00584EC1">
            <w:pPr>
              <w:rPr>
                <w:rFonts w:ascii="宋体"/>
                <w:vanish/>
              </w:rPr>
            </w:pPr>
          </w:p>
        </w:tc>
        <w:tc>
          <w:tcPr>
            <w:tcW w:w="0" w:type="auto"/>
            <w:gridSpan w:val="3"/>
            <w:shd w:val="clear" w:color="auto" w:fill="auto"/>
            <w:vAlign w:val="bottom"/>
          </w:tcPr>
          <w:p w14:paraId="74DE09D5" w14:textId="77777777" w:rsidR="00584EC1" w:rsidRDefault="00584EC1">
            <w:pPr>
              <w:rPr>
                <w:rFonts w:ascii="宋体"/>
                <w:vanish/>
              </w:rPr>
            </w:pPr>
          </w:p>
        </w:tc>
        <w:tc>
          <w:tcPr>
            <w:tcW w:w="0" w:type="auto"/>
            <w:gridSpan w:val="3"/>
            <w:shd w:val="clear" w:color="auto" w:fill="auto"/>
            <w:vAlign w:val="bottom"/>
          </w:tcPr>
          <w:p w14:paraId="74DE09D6" w14:textId="77777777" w:rsidR="00584EC1" w:rsidRDefault="00584EC1">
            <w:pPr>
              <w:rPr>
                <w:rFonts w:ascii="宋体"/>
                <w:vanish/>
              </w:rPr>
            </w:pPr>
          </w:p>
        </w:tc>
        <w:tc>
          <w:tcPr>
            <w:tcW w:w="0" w:type="auto"/>
            <w:gridSpan w:val="3"/>
            <w:shd w:val="clear" w:color="auto" w:fill="auto"/>
            <w:vAlign w:val="bottom"/>
          </w:tcPr>
          <w:p w14:paraId="74DE09D7" w14:textId="77777777" w:rsidR="00584EC1" w:rsidRDefault="00584EC1">
            <w:pPr>
              <w:rPr>
                <w:rFonts w:ascii="宋体"/>
                <w:vanish/>
              </w:rPr>
            </w:pPr>
          </w:p>
        </w:tc>
        <w:tc>
          <w:tcPr>
            <w:tcW w:w="0" w:type="auto"/>
            <w:gridSpan w:val="3"/>
            <w:shd w:val="clear" w:color="auto" w:fill="auto"/>
            <w:vAlign w:val="bottom"/>
          </w:tcPr>
          <w:p w14:paraId="74DE09D8" w14:textId="77777777" w:rsidR="00584EC1" w:rsidRDefault="00584EC1">
            <w:pPr>
              <w:rPr>
                <w:rFonts w:ascii="宋体"/>
                <w:vanish/>
              </w:rPr>
            </w:pPr>
          </w:p>
        </w:tc>
      </w:tr>
      <w:tr w:rsidR="00584EC1" w14:paraId="74DE09E0" w14:textId="77777777">
        <w:trPr>
          <w:hidden/>
        </w:trPr>
        <w:tc>
          <w:tcPr>
            <w:tcW w:w="0" w:type="auto"/>
            <w:gridSpan w:val="3"/>
            <w:shd w:val="clear" w:color="auto" w:fill="auto"/>
            <w:vAlign w:val="bottom"/>
          </w:tcPr>
          <w:p w14:paraId="74DE09DA" w14:textId="77777777" w:rsidR="00584EC1" w:rsidRDefault="00584EC1">
            <w:pPr>
              <w:rPr>
                <w:rFonts w:ascii="宋体"/>
                <w:vanish/>
              </w:rPr>
            </w:pPr>
          </w:p>
        </w:tc>
        <w:tc>
          <w:tcPr>
            <w:tcW w:w="0" w:type="auto"/>
            <w:gridSpan w:val="3"/>
            <w:shd w:val="clear" w:color="auto" w:fill="auto"/>
            <w:vAlign w:val="bottom"/>
          </w:tcPr>
          <w:p w14:paraId="74DE09DB" w14:textId="77777777" w:rsidR="00584EC1" w:rsidRDefault="00584EC1">
            <w:pPr>
              <w:rPr>
                <w:rFonts w:ascii="宋体"/>
                <w:vanish/>
              </w:rPr>
            </w:pPr>
          </w:p>
        </w:tc>
        <w:tc>
          <w:tcPr>
            <w:tcW w:w="0" w:type="auto"/>
            <w:gridSpan w:val="3"/>
            <w:shd w:val="clear" w:color="auto" w:fill="auto"/>
            <w:vAlign w:val="bottom"/>
          </w:tcPr>
          <w:p w14:paraId="74DE09DC" w14:textId="77777777" w:rsidR="00584EC1" w:rsidRDefault="00584EC1">
            <w:pPr>
              <w:rPr>
                <w:rFonts w:ascii="宋体"/>
                <w:vanish/>
              </w:rPr>
            </w:pPr>
          </w:p>
        </w:tc>
        <w:tc>
          <w:tcPr>
            <w:tcW w:w="0" w:type="auto"/>
            <w:gridSpan w:val="3"/>
            <w:shd w:val="clear" w:color="auto" w:fill="auto"/>
            <w:vAlign w:val="bottom"/>
          </w:tcPr>
          <w:p w14:paraId="74DE09DD" w14:textId="77777777" w:rsidR="00584EC1" w:rsidRDefault="00584EC1">
            <w:pPr>
              <w:rPr>
                <w:rFonts w:ascii="宋体"/>
                <w:vanish/>
              </w:rPr>
            </w:pPr>
          </w:p>
        </w:tc>
        <w:tc>
          <w:tcPr>
            <w:tcW w:w="0" w:type="auto"/>
            <w:gridSpan w:val="3"/>
            <w:shd w:val="clear" w:color="auto" w:fill="auto"/>
            <w:vAlign w:val="bottom"/>
          </w:tcPr>
          <w:p w14:paraId="74DE09DE" w14:textId="77777777" w:rsidR="00584EC1" w:rsidRDefault="00584EC1">
            <w:pPr>
              <w:rPr>
                <w:rFonts w:ascii="宋体"/>
                <w:vanish/>
              </w:rPr>
            </w:pPr>
          </w:p>
        </w:tc>
        <w:tc>
          <w:tcPr>
            <w:tcW w:w="0" w:type="auto"/>
            <w:gridSpan w:val="3"/>
            <w:shd w:val="clear" w:color="auto" w:fill="auto"/>
            <w:vAlign w:val="bottom"/>
          </w:tcPr>
          <w:p w14:paraId="74DE09DF" w14:textId="77777777" w:rsidR="00584EC1" w:rsidRDefault="00584EC1">
            <w:pPr>
              <w:rPr>
                <w:rFonts w:ascii="宋体"/>
                <w:vanish/>
              </w:rPr>
            </w:pPr>
          </w:p>
        </w:tc>
      </w:tr>
      <w:tr w:rsidR="00584EC1" w14:paraId="74DE09EB" w14:textId="77777777">
        <w:tc>
          <w:tcPr>
            <w:tcW w:w="0" w:type="auto"/>
            <w:gridSpan w:val="3"/>
            <w:shd w:val="clear" w:color="auto" w:fill="FFFFFF"/>
            <w:tcMar>
              <w:top w:w="40" w:type="dxa"/>
              <w:left w:w="20" w:type="dxa"/>
              <w:bottom w:w="40" w:type="dxa"/>
              <w:right w:w="20" w:type="dxa"/>
            </w:tcMar>
            <w:vAlign w:val="bottom"/>
          </w:tcPr>
          <w:p w14:paraId="74DE09E1" w14:textId="77777777" w:rsidR="00584EC1" w:rsidRDefault="00871F8D">
            <w:pPr>
              <w:textAlignment w:val="bottom"/>
            </w:pPr>
            <w:r>
              <w:rPr>
                <w:rFonts w:ascii="Arial" w:eastAsia="宋体" w:hAnsi="Arial" w:cs="Arial"/>
                <w:color w:val="000000"/>
                <w:sz w:val="14"/>
                <w:szCs w:val="14"/>
              </w:rPr>
              <w:t>Total reclassifications into (out of) Accumulated other comprehensive loss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E09E2"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E09E3" w14:textId="77777777" w:rsidR="00584EC1" w:rsidRDefault="00871F8D">
            <w:pPr>
              <w:jc w:val="right"/>
              <w:textAlignment w:val="bottom"/>
            </w:pPr>
            <w:r>
              <w:rPr>
                <w:rFonts w:ascii="Arial" w:eastAsia="宋体" w:hAnsi="Arial" w:cs="Arial"/>
                <w:b/>
                <w:bCs/>
                <w:color w:val="000000"/>
                <w:sz w:val="14"/>
                <w:szCs w:val="14"/>
              </w:rPr>
              <w:t>(39)</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E09E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9E5"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E09E6"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E09E7" w14:textId="77777777" w:rsidR="00584EC1" w:rsidRDefault="00871F8D">
            <w:pPr>
              <w:jc w:val="right"/>
              <w:textAlignment w:val="bottom"/>
            </w:pPr>
            <w:r>
              <w:rPr>
                <w:rFonts w:ascii="Arial" w:eastAsia="宋体" w:hAnsi="Arial" w:cs="Arial"/>
                <w:color w:val="000000"/>
                <w:sz w:val="14"/>
                <w:szCs w:val="14"/>
              </w:rPr>
              <w:t>(21)</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E09E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9E9"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E09EA" w14:textId="77777777" w:rsidR="00584EC1" w:rsidRDefault="00584EC1">
            <w:pPr>
              <w:rPr>
                <w:rFonts w:ascii="宋体"/>
              </w:rPr>
            </w:pPr>
          </w:p>
        </w:tc>
      </w:tr>
    </w:tbl>
    <w:p w14:paraId="74DE09EC" w14:textId="77777777" w:rsidR="00584EC1" w:rsidRDefault="00871F8D">
      <w:pPr>
        <w:ind w:firstLine="450"/>
        <w:jc w:val="right"/>
      </w:pPr>
      <w:r>
        <w:rPr>
          <w:rFonts w:ascii="Arial" w:eastAsia="宋体" w:hAnsi="Arial" w:cs="Arial"/>
          <w:color w:val="000000"/>
          <w:sz w:val="18"/>
          <w:szCs w:val="18"/>
        </w:rPr>
        <w:t>State Street Corporation | 89</w:t>
      </w:r>
    </w:p>
    <w:p w14:paraId="74DE09ED" w14:textId="77777777" w:rsidR="00584EC1" w:rsidRDefault="00584EC1">
      <w:pPr>
        <w:ind w:firstLine="450"/>
        <w:jc w:val="center"/>
      </w:pPr>
    </w:p>
    <w:p w14:paraId="74DE09EE" w14:textId="77777777" w:rsidR="00584EC1" w:rsidRDefault="00871F8D">
      <w:r>
        <w:pict w14:anchorId="74DE2A47">
          <v:rect id="_x0000_i1113" style="width:415.3pt;height:1.5pt" o:hralign="center" o:hrstd="t" o:hr="t" fillcolor="#a0a0a0" stroked="f"/>
        </w:pict>
      </w:r>
    </w:p>
    <w:p w14:paraId="74DE09EF" w14:textId="77777777" w:rsidR="00584EC1" w:rsidRDefault="00871F8D">
      <w:pPr>
        <w:ind w:firstLine="450"/>
        <w:jc w:val="center"/>
      </w:pPr>
      <w:r>
        <w:rPr>
          <w:rFonts w:ascii="Arial" w:eastAsia="宋体" w:hAnsi="Arial" w:cs="Arial"/>
          <w:b/>
          <w:bCs/>
          <w:color w:val="000000"/>
          <w:sz w:val="20"/>
          <w:szCs w:val="20"/>
        </w:rPr>
        <w:t>STATE STREET CORPORATION</w:t>
      </w:r>
    </w:p>
    <w:p w14:paraId="74DE09F0" w14:textId="77777777" w:rsidR="00584EC1" w:rsidRDefault="00871F8D">
      <w:pPr>
        <w:ind w:firstLine="450"/>
        <w:jc w:val="center"/>
      </w:pPr>
      <w:r>
        <w:rPr>
          <w:rFonts w:ascii="Arial" w:eastAsia="宋体" w:hAnsi="Arial" w:cs="Arial"/>
          <w:b/>
          <w:bCs/>
          <w:color w:val="000000"/>
          <w:sz w:val="20"/>
          <w:szCs w:val="20"/>
        </w:rPr>
        <w:t>CONDENSED NOTES TO CONSOLIDATED FINANCIAL STATEMENTS</w:t>
      </w:r>
    </w:p>
    <w:p w14:paraId="74DE09F1" w14:textId="77777777" w:rsidR="00584EC1" w:rsidRDefault="00871F8D">
      <w:pPr>
        <w:ind w:firstLine="450"/>
        <w:jc w:val="center"/>
      </w:pPr>
      <w:r>
        <w:rPr>
          <w:rFonts w:ascii="Arial" w:eastAsia="宋体" w:hAnsi="Arial" w:cs="Arial"/>
          <w:b/>
          <w:bCs/>
          <w:color w:val="000000"/>
          <w:sz w:val="20"/>
          <w:szCs w:val="20"/>
        </w:rPr>
        <w:t>(UNAUDITED)</w:t>
      </w:r>
    </w:p>
    <w:p w14:paraId="74DE09F2" w14:textId="77777777" w:rsidR="00584EC1" w:rsidRDefault="00871F8D">
      <w:pPr>
        <w:spacing w:before="60"/>
        <w:jc w:val="both"/>
      </w:pPr>
      <w:r>
        <w:rPr>
          <w:rFonts w:ascii="Arial" w:eastAsia="宋体" w:hAnsi="Arial" w:cs="Arial"/>
          <w:b/>
          <w:bCs/>
          <w:color w:val="000000"/>
          <w:sz w:val="20"/>
          <w:szCs w:val="20"/>
        </w:rPr>
        <w:t>Note 13.    Regulatory Capital</w:t>
      </w:r>
    </w:p>
    <w:p w14:paraId="74DE09F3" w14:textId="77777777" w:rsidR="00584EC1" w:rsidRDefault="00871F8D">
      <w:pPr>
        <w:spacing w:before="60"/>
        <w:ind w:firstLine="450"/>
        <w:jc w:val="both"/>
      </w:pPr>
      <w:r>
        <w:rPr>
          <w:rFonts w:ascii="Arial" w:eastAsia="宋体" w:hAnsi="Arial" w:cs="Arial"/>
          <w:color w:val="000000"/>
          <w:sz w:val="20"/>
          <w:szCs w:val="20"/>
        </w:rPr>
        <w:t>For additional information on our regulatory capital, including the regulatory capital requirements administered by federal banking age</w:t>
      </w:r>
      <w:r>
        <w:rPr>
          <w:rFonts w:ascii="Arial" w:eastAsia="宋体" w:hAnsi="Arial" w:cs="Arial"/>
          <w:color w:val="000000"/>
          <w:sz w:val="20"/>
          <w:szCs w:val="20"/>
        </w:rPr>
        <w:t>ncies, and to which we are subject, refer to page 174 in Note 16 to the consolidated financial statements included under Item 8, Financial Statements and Supplementary Data, in our 2020 Form 10-K.</w:t>
      </w:r>
    </w:p>
    <w:p w14:paraId="74DE09F4" w14:textId="77777777" w:rsidR="00584EC1" w:rsidRDefault="00871F8D">
      <w:pPr>
        <w:spacing w:before="60"/>
        <w:ind w:firstLine="450"/>
        <w:jc w:val="both"/>
      </w:pPr>
      <w:r>
        <w:rPr>
          <w:rFonts w:ascii="Arial" w:eastAsia="宋体" w:hAnsi="Arial" w:cs="Arial"/>
          <w:color w:val="000000"/>
          <w:sz w:val="20"/>
          <w:szCs w:val="20"/>
        </w:rPr>
        <w:t>As of September 30, 2021, we and State Street Bank exceeded</w:t>
      </w:r>
      <w:r>
        <w:rPr>
          <w:rFonts w:ascii="Arial" w:eastAsia="宋体" w:hAnsi="Arial" w:cs="Arial"/>
          <w:color w:val="000000"/>
          <w:sz w:val="20"/>
          <w:szCs w:val="20"/>
        </w:rPr>
        <w:t xml:space="preserve"> all regulatory capital adequacy requirements to which we were subject to. As of September 30, 2021, State Street Bank was categorized as “well capitalized” under the applicable regulatory capital adequacy framework, and exceeded all “well capitalized” rat</w:t>
      </w:r>
      <w:r>
        <w:rPr>
          <w:rFonts w:ascii="Arial" w:eastAsia="宋体" w:hAnsi="Arial" w:cs="Arial"/>
          <w:color w:val="000000"/>
          <w:sz w:val="20"/>
          <w:szCs w:val="20"/>
        </w:rPr>
        <w:t>io guidelines to which it was subject. Management believes that no conditions or events have occurred since September 30, 2021 that have changed the capital categorization of State Street Bank.</w:t>
      </w:r>
    </w:p>
    <w:p w14:paraId="74DE09F5" w14:textId="77777777" w:rsidR="00584EC1" w:rsidRDefault="00871F8D">
      <w:pPr>
        <w:spacing w:before="60"/>
        <w:ind w:firstLine="450"/>
        <w:jc w:val="both"/>
      </w:pPr>
      <w:r>
        <w:rPr>
          <w:rFonts w:ascii="Arial" w:eastAsia="宋体" w:hAnsi="Arial" w:cs="Arial"/>
          <w:color w:val="000000"/>
          <w:sz w:val="20"/>
          <w:szCs w:val="20"/>
        </w:rPr>
        <w:t>The following table presents the regulatory capital structure,</w:t>
      </w:r>
      <w:r>
        <w:rPr>
          <w:rFonts w:ascii="Arial" w:eastAsia="宋体" w:hAnsi="Arial" w:cs="Arial"/>
          <w:color w:val="000000"/>
          <w:sz w:val="20"/>
          <w:szCs w:val="20"/>
        </w:rPr>
        <w:t xml:space="preserve"> total RWA, related regulatory capital ratios and the minimum required regulatory capital ratios for us and State Street Bank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104"/>
        <w:gridCol w:w="427"/>
        <w:gridCol w:w="37"/>
        <w:gridCol w:w="84"/>
        <w:gridCol w:w="646"/>
        <w:gridCol w:w="112"/>
        <w:gridCol w:w="85"/>
        <w:gridCol w:w="647"/>
        <w:gridCol w:w="113"/>
        <w:gridCol w:w="79"/>
        <w:gridCol w:w="395"/>
        <w:gridCol w:w="111"/>
        <w:gridCol w:w="37"/>
        <w:gridCol w:w="35"/>
        <w:gridCol w:w="35"/>
        <w:gridCol w:w="100"/>
        <w:gridCol w:w="537"/>
        <w:gridCol w:w="111"/>
        <w:gridCol w:w="37"/>
        <w:gridCol w:w="35"/>
        <w:gridCol w:w="35"/>
        <w:gridCol w:w="79"/>
        <w:gridCol w:w="395"/>
        <w:gridCol w:w="111"/>
        <w:gridCol w:w="37"/>
        <w:gridCol w:w="35"/>
        <w:gridCol w:w="35"/>
        <w:gridCol w:w="100"/>
        <w:gridCol w:w="537"/>
        <w:gridCol w:w="111"/>
        <w:gridCol w:w="37"/>
        <w:gridCol w:w="35"/>
        <w:gridCol w:w="35"/>
        <w:gridCol w:w="79"/>
        <w:gridCol w:w="395"/>
        <w:gridCol w:w="111"/>
        <w:gridCol w:w="37"/>
        <w:gridCol w:w="35"/>
        <w:gridCol w:w="35"/>
        <w:gridCol w:w="100"/>
        <w:gridCol w:w="537"/>
        <w:gridCol w:w="111"/>
        <w:gridCol w:w="37"/>
        <w:gridCol w:w="35"/>
        <w:gridCol w:w="35"/>
        <w:gridCol w:w="79"/>
        <w:gridCol w:w="395"/>
        <w:gridCol w:w="111"/>
        <w:gridCol w:w="37"/>
        <w:gridCol w:w="35"/>
        <w:gridCol w:w="35"/>
        <w:gridCol w:w="100"/>
        <w:gridCol w:w="537"/>
        <w:gridCol w:w="111"/>
      </w:tblGrid>
      <w:tr w:rsidR="00584EC1" w14:paraId="74DE0A2C" w14:textId="77777777">
        <w:tc>
          <w:tcPr>
            <w:tcW w:w="50" w:type="pct"/>
            <w:shd w:val="clear" w:color="auto" w:fill="auto"/>
            <w:vAlign w:val="bottom"/>
          </w:tcPr>
          <w:p w14:paraId="74DE09F6" w14:textId="77777777" w:rsidR="00584EC1" w:rsidRDefault="00584EC1">
            <w:pPr>
              <w:rPr>
                <w:rFonts w:ascii="宋体"/>
              </w:rPr>
            </w:pPr>
          </w:p>
        </w:tc>
        <w:tc>
          <w:tcPr>
            <w:tcW w:w="354" w:type="pct"/>
            <w:shd w:val="clear" w:color="auto" w:fill="auto"/>
            <w:vAlign w:val="bottom"/>
          </w:tcPr>
          <w:p w14:paraId="74DE09F7" w14:textId="77777777" w:rsidR="00584EC1" w:rsidRDefault="00584EC1">
            <w:pPr>
              <w:rPr>
                <w:rFonts w:ascii="宋体"/>
              </w:rPr>
            </w:pPr>
          </w:p>
        </w:tc>
        <w:tc>
          <w:tcPr>
            <w:tcW w:w="5" w:type="pct"/>
            <w:shd w:val="clear" w:color="auto" w:fill="auto"/>
            <w:vAlign w:val="bottom"/>
          </w:tcPr>
          <w:p w14:paraId="74DE09F8" w14:textId="77777777" w:rsidR="00584EC1" w:rsidRDefault="00584EC1">
            <w:pPr>
              <w:rPr>
                <w:rFonts w:ascii="宋体"/>
              </w:rPr>
            </w:pPr>
          </w:p>
        </w:tc>
        <w:tc>
          <w:tcPr>
            <w:tcW w:w="50" w:type="pct"/>
            <w:shd w:val="clear" w:color="auto" w:fill="auto"/>
            <w:vAlign w:val="bottom"/>
          </w:tcPr>
          <w:p w14:paraId="74DE09F9" w14:textId="77777777" w:rsidR="00584EC1" w:rsidRDefault="00584EC1">
            <w:pPr>
              <w:rPr>
                <w:rFonts w:ascii="宋体"/>
              </w:rPr>
            </w:pPr>
          </w:p>
        </w:tc>
        <w:tc>
          <w:tcPr>
            <w:tcW w:w="412" w:type="pct"/>
            <w:shd w:val="clear" w:color="auto" w:fill="auto"/>
            <w:vAlign w:val="bottom"/>
          </w:tcPr>
          <w:p w14:paraId="74DE09FA" w14:textId="77777777" w:rsidR="00584EC1" w:rsidRDefault="00584EC1">
            <w:pPr>
              <w:rPr>
                <w:rFonts w:ascii="宋体"/>
              </w:rPr>
            </w:pPr>
          </w:p>
        </w:tc>
        <w:tc>
          <w:tcPr>
            <w:tcW w:w="5" w:type="pct"/>
            <w:shd w:val="clear" w:color="auto" w:fill="auto"/>
            <w:vAlign w:val="bottom"/>
          </w:tcPr>
          <w:p w14:paraId="74DE09FB" w14:textId="77777777" w:rsidR="00584EC1" w:rsidRDefault="00584EC1">
            <w:pPr>
              <w:rPr>
                <w:rFonts w:ascii="宋体"/>
              </w:rPr>
            </w:pPr>
          </w:p>
        </w:tc>
        <w:tc>
          <w:tcPr>
            <w:tcW w:w="50" w:type="pct"/>
            <w:shd w:val="clear" w:color="auto" w:fill="auto"/>
            <w:vAlign w:val="bottom"/>
          </w:tcPr>
          <w:p w14:paraId="74DE09FC" w14:textId="77777777" w:rsidR="00584EC1" w:rsidRDefault="00584EC1">
            <w:pPr>
              <w:rPr>
                <w:rFonts w:ascii="宋体"/>
              </w:rPr>
            </w:pPr>
          </w:p>
        </w:tc>
        <w:tc>
          <w:tcPr>
            <w:tcW w:w="412" w:type="pct"/>
            <w:shd w:val="clear" w:color="auto" w:fill="auto"/>
            <w:vAlign w:val="bottom"/>
          </w:tcPr>
          <w:p w14:paraId="74DE09FD" w14:textId="77777777" w:rsidR="00584EC1" w:rsidRDefault="00584EC1">
            <w:pPr>
              <w:rPr>
                <w:rFonts w:ascii="宋体"/>
              </w:rPr>
            </w:pPr>
          </w:p>
        </w:tc>
        <w:tc>
          <w:tcPr>
            <w:tcW w:w="5" w:type="pct"/>
            <w:shd w:val="clear" w:color="auto" w:fill="auto"/>
            <w:vAlign w:val="bottom"/>
          </w:tcPr>
          <w:p w14:paraId="74DE09FE" w14:textId="77777777" w:rsidR="00584EC1" w:rsidRDefault="00584EC1">
            <w:pPr>
              <w:rPr>
                <w:rFonts w:ascii="宋体"/>
              </w:rPr>
            </w:pPr>
          </w:p>
        </w:tc>
        <w:tc>
          <w:tcPr>
            <w:tcW w:w="50" w:type="pct"/>
            <w:shd w:val="clear" w:color="auto" w:fill="auto"/>
            <w:vAlign w:val="bottom"/>
          </w:tcPr>
          <w:p w14:paraId="74DE09FF" w14:textId="77777777" w:rsidR="00584EC1" w:rsidRDefault="00584EC1">
            <w:pPr>
              <w:rPr>
                <w:rFonts w:ascii="宋体"/>
              </w:rPr>
            </w:pPr>
          </w:p>
        </w:tc>
        <w:tc>
          <w:tcPr>
            <w:tcW w:w="376" w:type="pct"/>
            <w:shd w:val="clear" w:color="auto" w:fill="auto"/>
            <w:vAlign w:val="bottom"/>
          </w:tcPr>
          <w:p w14:paraId="74DE0A00" w14:textId="77777777" w:rsidR="00584EC1" w:rsidRDefault="00584EC1">
            <w:pPr>
              <w:rPr>
                <w:rFonts w:ascii="宋体"/>
              </w:rPr>
            </w:pPr>
          </w:p>
        </w:tc>
        <w:tc>
          <w:tcPr>
            <w:tcW w:w="5" w:type="pct"/>
            <w:shd w:val="clear" w:color="auto" w:fill="auto"/>
            <w:vAlign w:val="bottom"/>
          </w:tcPr>
          <w:p w14:paraId="74DE0A01" w14:textId="77777777" w:rsidR="00584EC1" w:rsidRDefault="00584EC1">
            <w:pPr>
              <w:rPr>
                <w:rFonts w:ascii="宋体"/>
              </w:rPr>
            </w:pPr>
          </w:p>
        </w:tc>
        <w:tc>
          <w:tcPr>
            <w:tcW w:w="5" w:type="pct"/>
            <w:shd w:val="clear" w:color="auto" w:fill="auto"/>
            <w:vAlign w:val="bottom"/>
          </w:tcPr>
          <w:p w14:paraId="74DE0A02" w14:textId="77777777" w:rsidR="00584EC1" w:rsidRDefault="00584EC1">
            <w:pPr>
              <w:rPr>
                <w:rFonts w:ascii="宋体"/>
              </w:rPr>
            </w:pPr>
          </w:p>
        </w:tc>
        <w:tc>
          <w:tcPr>
            <w:tcW w:w="19" w:type="pct"/>
            <w:shd w:val="clear" w:color="auto" w:fill="auto"/>
            <w:vAlign w:val="bottom"/>
          </w:tcPr>
          <w:p w14:paraId="74DE0A03" w14:textId="77777777" w:rsidR="00584EC1" w:rsidRDefault="00584EC1">
            <w:pPr>
              <w:rPr>
                <w:rFonts w:ascii="宋体"/>
              </w:rPr>
            </w:pPr>
          </w:p>
        </w:tc>
        <w:tc>
          <w:tcPr>
            <w:tcW w:w="5" w:type="pct"/>
            <w:shd w:val="clear" w:color="auto" w:fill="auto"/>
            <w:vAlign w:val="bottom"/>
          </w:tcPr>
          <w:p w14:paraId="74DE0A04" w14:textId="77777777" w:rsidR="00584EC1" w:rsidRDefault="00584EC1">
            <w:pPr>
              <w:rPr>
                <w:rFonts w:ascii="宋体"/>
              </w:rPr>
            </w:pPr>
          </w:p>
        </w:tc>
        <w:tc>
          <w:tcPr>
            <w:tcW w:w="50" w:type="pct"/>
            <w:shd w:val="clear" w:color="auto" w:fill="auto"/>
            <w:vAlign w:val="bottom"/>
          </w:tcPr>
          <w:p w14:paraId="74DE0A05" w14:textId="77777777" w:rsidR="00584EC1" w:rsidRDefault="00584EC1">
            <w:pPr>
              <w:rPr>
                <w:rFonts w:ascii="宋体"/>
              </w:rPr>
            </w:pPr>
          </w:p>
        </w:tc>
        <w:tc>
          <w:tcPr>
            <w:tcW w:w="376" w:type="pct"/>
            <w:shd w:val="clear" w:color="auto" w:fill="auto"/>
            <w:vAlign w:val="bottom"/>
          </w:tcPr>
          <w:p w14:paraId="74DE0A06" w14:textId="77777777" w:rsidR="00584EC1" w:rsidRDefault="00584EC1">
            <w:pPr>
              <w:rPr>
                <w:rFonts w:ascii="宋体"/>
              </w:rPr>
            </w:pPr>
          </w:p>
        </w:tc>
        <w:tc>
          <w:tcPr>
            <w:tcW w:w="5" w:type="pct"/>
            <w:shd w:val="clear" w:color="auto" w:fill="auto"/>
            <w:vAlign w:val="bottom"/>
          </w:tcPr>
          <w:p w14:paraId="74DE0A07" w14:textId="77777777" w:rsidR="00584EC1" w:rsidRDefault="00584EC1">
            <w:pPr>
              <w:rPr>
                <w:rFonts w:ascii="宋体"/>
              </w:rPr>
            </w:pPr>
          </w:p>
        </w:tc>
        <w:tc>
          <w:tcPr>
            <w:tcW w:w="5" w:type="pct"/>
            <w:shd w:val="clear" w:color="auto" w:fill="auto"/>
            <w:vAlign w:val="bottom"/>
          </w:tcPr>
          <w:p w14:paraId="74DE0A08" w14:textId="77777777" w:rsidR="00584EC1" w:rsidRDefault="00584EC1">
            <w:pPr>
              <w:rPr>
                <w:rFonts w:ascii="宋体"/>
              </w:rPr>
            </w:pPr>
          </w:p>
        </w:tc>
        <w:tc>
          <w:tcPr>
            <w:tcW w:w="19" w:type="pct"/>
            <w:shd w:val="clear" w:color="auto" w:fill="auto"/>
            <w:vAlign w:val="bottom"/>
          </w:tcPr>
          <w:p w14:paraId="74DE0A09" w14:textId="77777777" w:rsidR="00584EC1" w:rsidRDefault="00584EC1">
            <w:pPr>
              <w:rPr>
                <w:rFonts w:ascii="宋体"/>
              </w:rPr>
            </w:pPr>
          </w:p>
        </w:tc>
        <w:tc>
          <w:tcPr>
            <w:tcW w:w="5" w:type="pct"/>
            <w:shd w:val="clear" w:color="auto" w:fill="auto"/>
            <w:vAlign w:val="bottom"/>
          </w:tcPr>
          <w:p w14:paraId="74DE0A0A" w14:textId="77777777" w:rsidR="00584EC1" w:rsidRDefault="00584EC1">
            <w:pPr>
              <w:rPr>
                <w:rFonts w:ascii="宋体"/>
              </w:rPr>
            </w:pPr>
          </w:p>
        </w:tc>
        <w:tc>
          <w:tcPr>
            <w:tcW w:w="50" w:type="pct"/>
            <w:shd w:val="clear" w:color="auto" w:fill="auto"/>
            <w:vAlign w:val="bottom"/>
          </w:tcPr>
          <w:p w14:paraId="74DE0A0B" w14:textId="77777777" w:rsidR="00584EC1" w:rsidRDefault="00584EC1">
            <w:pPr>
              <w:rPr>
                <w:rFonts w:ascii="宋体"/>
              </w:rPr>
            </w:pPr>
          </w:p>
        </w:tc>
        <w:tc>
          <w:tcPr>
            <w:tcW w:w="376" w:type="pct"/>
            <w:shd w:val="clear" w:color="auto" w:fill="auto"/>
            <w:vAlign w:val="bottom"/>
          </w:tcPr>
          <w:p w14:paraId="74DE0A0C" w14:textId="77777777" w:rsidR="00584EC1" w:rsidRDefault="00584EC1">
            <w:pPr>
              <w:rPr>
                <w:rFonts w:ascii="宋体"/>
              </w:rPr>
            </w:pPr>
          </w:p>
        </w:tc>
        <w:tc>
          <w:tcPr>
            <w:tcW w:w="5" w:type="pct"/>
            <w:shd w:val="clear" w:color="auto" w:fill="auto"/>
            <w:vAlign w:val="bottom"/>
          </w:tcPr>
          <w:p w14:paraId="74DE0A0D" w14:textId="77777777" w:rsidR="00584EC1" w:rsidRDefault="00584EC1">
            <w:pPr>
              <w:rPr>
                <w:rFonts w:ascii="宋体"/>
              </w:rPr>
            </w:pPr>
          </w:p>
        </w:tc>
        <w:tc>
          <w:tcPr>
            <w:tcW w:w="5" w:type="pct"/>
            <w:shd w:val="clear" w:color="auto" w:fill="auto"/>
            <w:vAlign w:val="bottom"/>
          </w:tcPr>
          <w:p w14:paraId="74DE0A0E" w14:textId="77777777" w:rsidR="00584EC1" w:rsidRDefault="00584EC1">
            <w:pPr>
              <w:rPr>
                <w:rFonts w:ascii="宋体"/>
              </w:rPr>
            </w:pPr>
          </w:p>
        </w:tc>
        <w:tc>
          <w:tcPr>
            <w:tcW w:w="19" w:type="pct"/>
            <w:shd w:val="clear" w:color="auto" w:fill="auto"/>
            <w:vAlign w:val="bottom"/>
          </w:tcPr>
          <w:p w14:paraId="74DE0A0F" w14:textId="77777777" w:rsidR="00584EC1" w:rsidRDefault="00584EC1">
            <w:pPr>
              <w:rPr>
                <w:rFonts w:ascii="宋体"/>
              </w:rPr>
            </w:pPr>
          </w:p>
        </w:tc>
        <w:tc>
          <w:tcPr>
            <w:tcW w:w="5" w:type="pct"/>
            <w:shd w:val="clear" w:color="auto" w:fill="auto"/>
            <w:vAlign w:val="bottom"/>
          </w:tcPr>
          <w:p w14:paraId="74DE0A10" w14:textId="77777777" w:rsidR="00584EC1" w:rsidRDefault="00584EC1">
            <w:pPr>
              <w:rPr>
                <w:rFonts w:ascii="宋体"/>
              </w:rPr>
            </w:pPr>
          </w:p>
        </w:tc>
        <w:tc>
          <w:tcPr>
            <w:tcW w:w="50" w:type="pct"/>
            <w:shd w:val="clear" w:color="auto" w:fill="auto"/>
            <w:vAlign w:val="bottom"/>
          </w:tcPr>
          <w:p w14:paraId="74DE0A11" w14:textId="77777777" w:rsidR="00584EC1" w:rsidRDefault="00584EC1">
            <w:pPr>
              <w:rPr>
                <w:rFonts w:ascii="宋体"/>
              </w:rPr>
            </w:pPr>
          </w:p>
        </w:tc>
        <w:tc>
          <w:tcPr>
            <w:tcW w:w="376" w:type="pct"/>
            <w:shd w:val="clear" w:color="auto" w:fill="auto"/>
            <w:vAlign w:val="bottom"/>
          </w:tcPr>
          <w:p w14:paraId="74DE0A12" w14:textId="77777777" w:rsidR="00584EC1" w:rsidRDefault="00584EC1">
            <w:pPr>
              <w:rPr>
                <w:rFonts w:ascii="宋体"/>
              </w:rPr>
            </w:pPr>
          </w:p>
        </w:tc>
        <w:tc>
          <w:tcPr>
            <w:tcW w:w="5" w:type="pct"/>
            <w:shd w:val="clear" w:color="auto" w:fill="auto"/>
            <w:vAlign w:val="bottom"/>
          </w:tcPr>
          <w:p w14:paraId="74DE0A13" w14:textId="77777777" w:rsidR="00584EC1" w:rsidRDefault="00584EC1">
            <w:pPr>
              <w:rPr>
                <w:rFonts w:ascii="宋体"/>
              </w:rPr>
            </w:pPr>
          </w:p>
        </w:tc>
        <w:tc>
          <w:tcPr>
            <w:tcW w:w="5" w:type="pct"/>
            <w:shd w:val="clear" w:color="auto" w:fill="auto"/>
            <w:vAlign w:val="bottom"/>
          </w:tcPr>
          <w:p w14:paraId="74DE0A14" w14:textId="77777777" w:rsidR="00584EC1" w:rsidRDefault="00584EC1">
            <w:pPr>
              <w:rPr>
                <w:rFonts w:ascii="宋体"/>
              </w:rPr>
            </w:pPr>
          </w:p>
        </w:tc>
        <w:tc>
          <w:tcPr>
            <w:tcW w:w="19" w:type="pct"/>
            <w:shd w:val="clear" w:color="auto" w:fill="auto"/>
            <w:vAlign w:val="bottom"/>
          </w:tcPr>
          <w:p w14:paraId="74DE0A15" w14:textId="77777777" w:rsidR="00584EC1" w:rsidRDefault="00584EC1">
            <w:pPr>
              <w:rPr>
                <w:rFonts w:ascii="宋体"/>
              </w:rPr>
            </w:pPr>
          </w:p>
        </w:tc>
        <w:tc>
          <w:tcPr>
            <w:tcW w:w="5" w:type="pct"/>
            <w:shd w:val="clear" w:color="auto" w:fill="auto"/>
            <w:vAlign w:val="bottom"/>
          </w:tcPr>
          <w:p w14:paraId="74DE0A16" w14:textId="77777777" w:rsidR="00584EC1" w:rsidRDefault="00584EC1">
            <w:pPr>
              <w:rPr>
                <w:rFonts w:ascii="宋体"/>
              </w:rPr>
            </w:pPr>
          </w:p>
        </w:tc>
        <w:tc>
          <w:tcPr>
            <w:tcW w:w="50" w:type="pct"/>
            <w:shd w:val="clear" w:color="auto" w:fill="auto"/>
            <w:vAlign w:val="bottom"/>
          </w:tcPr>
          <w:p w14:paraId="74DE0A17" w14:textId="77777777" w:rsidR="00584EC1" w:rsidRDefault="00584EC1">
            <w:pPr>
              <w:rPr>
                <w:rFonts w:ascii="宋体"/>
              </w:rPr>
            </w:pPr>
          </w:p>
        </w:tc>
        <w:tc>
          <w:tcPr>
            <w:tcW w:w="376" w:type="pct"/>
            <w:shd w:val="clear" w:color="auto" w:fill="auto"/>
            <w:vAlign w:val="bottom"/>
          </w:tcPr>
          <w:p w14:paraId="74DE0A18" w14:textId="77777777" w:rsidR="00584EC1" w:rsidRDefault="00584EC1">
            <w:pPr>
              <w:rPr>
                <w:rFonts w:ascii="宋体"/>
              </w:rPr>
            </w:pPr>
          </w:p>
        </w:tc>
        <w:tc>
          <w:tcPr>
            <w:tcW w:w="5" w:type="pct"/>
            <w:shd w:val="clear" w:color="auto" w:fill="auto"/>
            <w:vAlign w:val="bottom"/>
          </w:tcPr>
          <w:p w14:paraId="74DE0A19" w14:textId="77777777" w:rsidR="00584EC1" w:rsidRDefault="00584EC1">
            <w:pPr>
              <w:rPr>
                <w:rFonts w:ascii="宋体"/>
              </w:rPr>
            </w:pPr>
          </w:p>
        </w:tc>
        <w:tc>
          <w:tcPr>
            <w:tcW w:w="5" w:type="pct"/>
            <w:shd w:val="clear" w:color="auto" w:fill="auto"/>
            <w:vAlign w:val="bottom"/>
          </w:tcPr>
          <w:p w14:paraId="74DE0A1A" w14:textId="77777777" w:rsidR="00584EC1" w:rsidRDefault="00584EC1">
            <w:pPr>
              <w:rPr>
                <w:rFonts w:ascii="宋体"/>
              </w:rPr>
            </w:pPr>
          </w:p>
        </w:tc>
        <w:tc>
          <w:tcPr>
            <w:tcW w:w="19" w:type="pct"/>
            <w:shd w:val="clear" w:color="auto" w:fill="auto"/>
            <w:vAlign w:val="bottom"/>
          </w:tcPr>
          <w:p w14:paraId="74DE0A1B" w14:textId="77777777" w:rsidR="00584EC1" w:rsidRDefault="00584EC1">
            <w:pPr>
              <w:rPr>
                <w:rFonts w:ascii="宋体"/>
              </w:rPr>
            </w:pPr>
          </w:p>
        </w:tc>
        <w:tc>
          <w:tcPr>
            <w:tcW w:w="5" w:type="pct"/>
            <w:shd w:val="clear" w:color="auto" w:fill="auto"/>
            <w:vAlign w:val="bottom"/>
          </w:tcPr>
          <w:p w14:paraId="74DE0A1C" w14:textId="77777777" w:rsidR="00584EC1" w:rsidRDefault="00584EC1">
            <w:pPr>
              <w:rPr>
                <w:rFonts w:ascii="宋体"/>
              </w:rPr>
            </w:pPr>
          </w:p>
        </w:tc>
        <w:tc>
          <w:tcPr>
            <w:tcW w:w="50" w:type="pct"/>
            <w:shd w:val="clear" w:color="auto" w:fill="auto"/>
            <w:vAlign w:val="bottom"/>
          </w:tcPr>
          <w:p w14:paraId="74DE0A1D" w14:textId="77777777" w:rsidR="00584EC1" w:rsidRDefault="00584EC1">
            <w:pPr>
              <w:rPr>
                <w:rFonts w:ascii="宋体"/>
              </w:rPr>
            </w:pPr>
          </w:p>
        </w:tc>
        <w:tc>
          <w:tcPr>
            <w:tcW w:w="376" w:type="pct"/>
            <w:shd w:val="clear" w:color="auto" w:fill="auto"/>
            <w:vAlign w:val="bottom"/>
          </w:tcPr>
          <w:p w14:paraId="74DE0A1E" w14:textId="77777777" w:rsidR="00584EC1" w:rsidRDefault="00584EC1">
            <w:pPr>
              <w:rPr>
                <w:rFonts w:ascii="宋体"/>
              </w:rPr>
            </w:pPr>
          </w:p>
        </w:tc>
        <w:tc>
          <w:tcPr>
            <w:tcW w:w="5" w:type="pct"/>
            <w:shd w:val="clear" w:color="auto" w:fill="auto"/>
            <w:vAlign w:val="bottom"/>
          </w:tcPr>
          <w:p w14:paraId="74DE0A1F" w14:textId="77777777" w:rsidR="00584EC1" w:rsidRDefault="00584EC1">
            <w:pPr>
              <w:rPr>
                <w:rFonts w:ascii="宋体"/>
              </w:rPr>
            </w:pPr>
          </w:p>
        </w:tc>
        <w:tc>
          <w:tcPr>
            <w:tcW w:w="5" w:type="pct"/>
            <w:shd w:val="clear" w:color="auto" w:fill="auto"/>
            <w:vAlign w:val="bottom"/>
          </w:tcPr>
          <w:p w14:paraId="74DE0A20" w14:textId="77777777" w:rsidR="00584EC1" w:rsidRDefault="00584EC1">
            <w:pPr>
              <w:rPr>
                <w:rFonts w:ascii="宋体"/>
              </w:rPr>
            </w:pPr>
          </w:p>
        </w:tc>
        <w:tc>
          <w:tcPr>
            <w:tcW w:w="19" w:type="pct"/>
            <w:shd w:val="clear" w:color="auto" w:fill="auto"/>
            <w:vAlign w:val="bottom"/>
          </w:tcPr>
          <w:p w14:paraId="74DE0A21" w14:textId="77777777" w:rsidR="00584EC1" w:rsidRDefault="00584EC1">
            <w:pPr>
              <w:rPr>
                <w:rFonts w:ascii="宋体"/>
              </w:rPr>
            </w:pPr>
          </w:p>
        </w:tc>
        <w:tc>
          <w:tcPr>
            <w:tcW w:w="5" w:type="pct"/>
            <w:shd w:val="clear" w:color="auto" w:fill="auto"/>
            <w:vAlign w:val="bottom"/>
          </w:tcPr>
          <w:p w14:paraId="74DE0A22" w14:textId="77777777" w:rsidR="00584EC1" w:rsidRDefault="00584EC1">
            <w:pPr>
              <w:rPr>
                <w:rFonts w:ascii="宋体"/>
              </w:rPr>
            </w:pPr>
          </w:p>
        </w:tc>
        <w:tc>
          <w:tcPr>
            <w:tcW w:w="50" w:type="pct"/>
            <w:shd w:val="clear" w:color="auto" w:fill="auto"/>
            <w:vAlign w:val="bottom"/>
          </w:tcPr>
          <w:p w14:paraId="74DE0A23" w14:textId="77777777" w:rsidR="00584EC1" w:rsidRDefault="00584EC1">
            <w:pPr>
              <w:rPr>
                <w:rFonts w:ascii="宋体"/>
              </w:rPr>
            </w:pPr>
          </w:p>
        </w:tc>
        <w:tc>
          <w:tcPr>
            <w:tcW w:w="376" w:type="pct"/>
            <w:shd w:val="clear" w:color="auto" w:fill="auto"/>
            <w:vAlign w:val="bottom"/>
          </w:tcPr>
          <w:p w14:paraId="74DE0A24" w14:textId="77777777" w:rsidR="00584EC1" w:rsidRDefault="00584EC1">
            <w:pPr>
              <w:rPr>
                <w:rFonts w:ascii="宋体"/>
              </w:rPr>
            </w:pPr>
          </w:p>
        </w:tc>
        <w:tc>
          <w:tcPr>
            <w:tcW w:w="5" w:type="pct"/>
            <w:shd w:val="clear" w:color="auto" w:fill="auto"/>
            <w:vAlign w:val="bottom"/>
          </w:tcPr>
          <w:p w14:paraId="74DE0A25" w14:textId="77777777" w:rsidR="00584EC1" w:rsidRDefault="00584EC1">
            <w:pPr>
              <w:rPr>
                <w:rFonts w:ascii="宋体"/>
              </w:rPr>
            </w:pPr>
          </w:p>
        </w:tc>
        <w:tc>
          <w:tcPr>
            <w:tcW w:w="5" w:type="pct"/>
            <w:shd w:val="clear" w:color="auto" w:fill="auto"/>
            <w:vAlign w:val="bottom"/>
          </w:tcPr>
          <w:p w14:paraId="74DE0A26" w14:textId="77777777" w:rsidR="00584EC1" w:rsidRDefault="00584EC1">
            <w:pPr>
              <w:rPr>
                <w:rFonts w:ascii="宋体"/>
              </w:rPr>
            </w:pPr>
          </w:p>
        </w:tc>
        <w:tc>
          <w:tcPr>
            <w:tcW w:w="19" w:type="pct"/>
            <w:shd w:val="clear" w:color="auto" w:fill="auto"/>
            <w:vAlign w:val="bottom"/>
          </w:tcPr>
          <w:p w14:paraId="74DE0A27" w14:textId="77777777" w:rsidR="00584EC1" w:rsidRDefault="00584EC1">
            <w:pPr>
              <w:rPr>
                <w:rFonts w:ascii="宋体"/>
              </w:rPr>
            </w:pPr>
          </w:p>
        </w:tc>
        <w:tc>
          <w:tcPr>
            <w:tcW w:w="5" w:type="pct"/>
            <w:shd w:val="clear" w:color="auto" w:fill="auto"/>
            <w:vAlign w:val="bottom"/>
          </w:tcPr>
          <w:p w14:paraId="74DE0A28" w14:textId="77777777" w:rsidR="00584EC1" w:rsidRDefault="00584EC1">
            <w:pPr>
              <w:rPr>
                <w:rFonts w:ascii="宋体"/>
              </w:rPr>
            </w:pPr>
          </w:p>
        </w:tc>
        <w:tc>
          <w:tcPr>
            <w:tcW w:w="50" w:type="pct"/>
            <w:shd w:val="clear" w:color="auto" w:fill="auto"/>
            <w:vAlign w:val="bottom"/>
          </w:tcPr>
          <w:p w14:paraId="74DE0A29" w14:textId="77777777" w:rsidR="00584EC1" w:rsidRDefault="00584EC1">
            <w:pPr>
              <w:rPr>
                <w:rFonts w:ascii="宋体"/>
              </w:rPr>
            </w:pPr>
          </w:p>
        </w:tc>
        <w:tc>
          <w:tcPr>
            <w:tcW w:w="376" w:type="pct"/>
            <w:shd w:val="clear" w:color="auto" w:fill="auto"/>
            <w:vAlign w:val="bottom"/>
          </w:tcPr>
          <w:p w14:paraId="74DE0A2A" w14:textId="77777777" w:rsidR="00584EC1" w:rsidRDefault="00584EC1">
            <w:pPr>
              <w:rPr>
                <w:rFonts w:ascii="宋体"/>
              </w:rPr>
            </w:pPr>
          </w:p>
        </w:tc>
        <w:tc>
          <w:tcPr>
            <w:tcW w:w="5" w:type="pct"/>
            <w:shd w:val="clear" w:color="auto" w:fill="auto"/>
            <w:vAlign w:val="bottom"/>
          </w:tcPr>
          <w:p w14:paraId="74DE0A2B" w14:textId="77777777" w:rsidR="00584EC1" w:rsidRDefault="00584EC1">
            <w:pPr>
              <w:rPr>
                <w:rFonts w:ascii="宋体"/>
              </w:rPr>
            </w:pPr>
          </w:p>
        </w:tc>
      </w:tr>
      <w:tr w:rsidR="00584EC1" w14:paraId="74DE0A31" w14:textId="77777777">
        <w:tc>
          <w:tcPr>
            <w:tcW w:w="0" w:type="auto"/>
            <w:gridSpan w:val="9"/>
            <w:shd w:val="clear" w:color="auto" w:fill="auto"/>
            <w:tcMar>
              <w:top w:w="0" w:type="dxa"/>
              <w:left w:w="20" w:type="dxa"/>
              <w:bottom w:w="0" w:type="dxa"/>
              <w:right w:w="20" w:type="dxa"/>
            </w:tcMar>
            <w:vAlign w:val="bottom"/>
          </w:tcPr>
          <w:p w14:paraId="74DE0A2D" w14:textId="77777777" w:rsidR="00584EC1" w:rsidRDefault="00584EC1">
            <w:pPr>
              <w:rPr>
                <w:rFonts w:ascii="宋体"/>
              </w:rPr>
            </w:pPr>
          </w:p>
        </w:tc>
        <w:tc>
          <w:tcPr>
            <w:tcW w:w="0" w:type="auto"/>
            <w:gridSpan w:val="21"/>
            <w:shd w:val="clear" w:color="auto" w:fill="FFFFFF"/>
            <w:tcMar>
              <w:top w:w="40" w:type="dxa"/>
              <w:left w:w="20" w:type="dxa"/>
              <w:bottom w:w="40" w:type="dxa"/>
              <w:right w:w="20" w:type="dxa"/>
            </w:tcMar>
            <w:vAlign w:val="bottom"/>
          </w:tcPr>
          <w:p w14:paraId="74DE0A2E" w14:textId="77777777" w:rsidR="00584EC1" w:rsidRDefault="00871F8D">
            <w:pPr>
              <w:jc w:val="center"/>
              <w:textAlignment w:val="bottom"/>
            </w:pPr>
            <w:r>
              <w:rPr>
                <w:rFonts w:ascii="Arial" w:eastAsia="宋体" w:hAnsi="Arial" w:cs="Arial"/>
                <w:b/>
                <w:bCs/>
                <w:color w:val="000000"/>
                <w:sz w:val="12"/>
                <w:szCs w:val="12"/>
              </w:rPr>
              <w:t>State Street Corporation</w:t>
            </w:r>
          </w:p>
        </w:tc>
        <w:tc>
          <w:tcPr>
            <w:tcW w:w="0" w:type="auto"/>
            <w:gridSpan w:val="3"/>
            <w:shd w:val="clear" w:color="auto" w:fill="auto"/>
            <w:tcMar>
              <w:top w:w="0" w:type="dxa"/>
              <w:left w:w="20" w:type="dxa"/>
              <w:bottom w:w="0" w:type="dxa"/>
              <w:right w:w="20" w:type="dxa"/>
            </w:tcMar>
            <w:vAlign w:val="bottom"/>
          </w:tcPr>
          <w:p w14:paraId="74DE0A2F" w14:textId="77777777" w:rsidR="00584EC1" w:rsidRDefault="00584EC1">
            <w:pPr>
              <w:rPr>
                <w:rFonts w:ascii="宋体"/>
              </w:rPr>
            </w:pPr>
          </w:p>
        </w:tc>
        <w:tc>
          <w:tcPr>
            <w:tcW w:w="0" w:type="auto"/>
            <w:gridSpan w:val="21"/>
            <w:shd w:val="clear" w:color="auto" w:fill="FFFFFF"/>
            <w:tcMar>
              <w:top w:w="40" w:type="dxa"/>
              <w:left w:w="20" w:type="dxa"/>
              <w:bottom w:w="40" w:type="dxa"/>
              <w:right w:w="20" w:type="dxa"/>
            </w:tcMar>
            <w:vAlign w:val="bottom"/>
          </w:tcPr>
          <w:p w14:paraId="74DE0A30" w14:textId="77777777" w:rsidR="00584EC1" w:rsidRDefault="00871F8D">
            <w:pPr>
              <w:jc w:val="center"/>
              <w:textAlignment w:val="bottom"/>
            </w:pPr>
            <w:r>
              <w:rPr>
                <w:rFonts w:ascii="Arial" w:eastAsia="宋体" w:hAnsi="Arial" w:cs="Arial"/>
                <w:b/>
                <w:bCs/>
                <w:color w:val="000000"/>
                <w:sz w:val="12"/>
                <w:szCs w:val="12"/>
              </w:rPr>
              <w:t>State Street Bank</w:t>
            </w:r>
          </w:p>
        </w:tc>
      </w:tr>
      <w:tr w:rsidR="00584EC1" w14:paraId="74DE0A42" w14:textId="77777777">
        <w:tc>
          <w:tcPr>
            <w:tcW w:w="0" w:type="auto"/>
            <w:gridSpan w:val="9"/>
            <w:shd w:val="clear" w:color="auto" w:fill="auto"/>
            <w:tcMar>
              <w:top w:w="40" w:type="dxa"/>
              <w:left w:w="20" w:type="dxa"/>
              <w:bottom w:w="40" w:type="dxa"/>
              <w:right w:w="20" w:type="dxa"/>
            </w:tcMar>
            <w:vAlign w:val="bottom"/>
          </w:tcPr>
          <w:p w14:paraId="74DE0A32" w14:textId="77777777" w:rsidR="00584EC1" w:rsidRDefault="00871F8D">
            <w:pPr>
              <w:textAlignment w:val="bottom"/>
            </w:pPr>
            <w:r>
              <w:rPr>
                <w:rFonts w:ascii="Arial" w:eastAsia="宋体" w:hAnsi="Arial" w:cs="Arial"/>
                <w:b/>
                <w:bCs/>
                <w:color w:val="000000"/>
                <w:sz w:val="11"/>
                <w:szCs w:val="11"/>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0A33" w14:textId="77777777" w:rsidR="00584EC1" w:rsidRDefault="00871F8D">
            <w:pPr>
              <w:jc w:val="center"/>
              <w:textAlignment w:val="bottom"/>
            </w:pPr>
            <w:r>
              <w:rPr>
                <w:rFonts w:ascii="Arial" w:eastAsia="宋体" w:hAnsi="Arial" w:cs="Arial"/>
                <w:b/>
                <w:bCs/>
                <w:color w:val="000000"/>
                <w:sz w:val="11"/>
                <w:szCs w:val="11"/>
              </w:rPr>
              <w:t>Basel III Advanced Approaches September 30,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0A34"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0A35" w14:textId="77777777" w:rsidR="00584EC1" w:rsidRDefault="00871F8D">
            <w:pPr>
              <w:jc w:val="center"/>
              <w:textAlignment w:val="bottom"/>
            </w:pPr>
            <w:r>
              <w:rPr>
                <w:rFonts w:ascii="Arial" w:eastAsia="宋体" w:hAnsi="Arial" w:cs="Arial"/>
                <w:b/>
                <w:bCs/>
                <w:color w:val="000000"/>
                <w:sz w:val="11"/>
                <w:szCs w:val="11"/>
              </w:rPr>
              <w:t xml:space="preserve">Basel III Standardized </w:t>
            </w:r>
            <w:r>
              <w:rPr>
                <w:rFonts w:ascii="Arial" w:eastAsia="宋体" w:hAnsi="Arial" w:cs="Arial"/>
                <w:b/>
                <w:bCs/>
                <w:color w:val="000000"/>
                <w:sz w:val="11"/>
                <w:szCs w:val="11"/>
              </w:rPr>
              <w:t>Approach September 30,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0A36"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0A37" w14:textId="77777777" w:rsidR="00584EC1" w:rsidRDefault="00871F8D">
            <w:pPr>
              <w:jc w:val="center"/>
              <w:textAlignment w:val="bottom"/>
            </w:pPr>
            <w:r>
              <w:rPr>
                <w:rFonts w:ascii="Arial" w:eastAsia="宋体" w:hAnsi="Arial" w:cs="Arial"/>
                <w:b/>
                <w:bCs/>
                <w:color w:val="000000"/>
                <w:sz w:val="11"/>
                <w:szCs w:val="11"/>
              </w:rPr>
              <w:t>Basel III Advanced Approaches December 31, 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0A38"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0A39" w14:textId="77777777" w:rsidR="00584EC1" w:rsidRDefault="00871F8D">
            <w:pPr>
              <w:jc w:val="center"/>
              <w:textAlignment w:val="bottom"/>
            </w:pPr>
            <w:r>
              <w:rPr>
                <w:rFonts w:ascii="Arial" w:eastAsia="宋体" w:hAnsi="Arial" w:cs="Arial"/>
                <w:b/>
                <w:bCs/>
                <w:color w:val="000000"/>
                <w:sz w:val="11"/>
                <w:szCs w:val="11"/>
              </w:rPr>
              <w:t>Basel III Standardized Approach December 31, 2020</w:t>
            </w:r>
          </w:p>
        </w:tc>
        <w:tc>
          <w:tcPr>
            <w:tcW w:w="0" w:type="auto"/>
            <w:gridSpan w:val="3"/>
            <w:shd w:val="clear" w:color="auto" w:fill="auto"/>
            <w:tcMar>
              <w:top w:w="0" w:type="dxa"/>
              <w:left w:w="20" w:type="dxa"/>
              <w:bottom w:w="0" w:type="dxa"/>
              <w:right w:w="20" w:type="dxa"/>
            </w:tcMar>
            <w:vAlign w:val="bottom"/>
          </w:tcPr>
          <w:p w14:paraId="74DE0A3A"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0A3B" w14:textId="77777777" w:rsidR="00584EC1" w:rsidRDefault="00871F8D">
            <w:pPr>
              <w:jc w:val="center"/>
              <w:textAlignment w:val="bottom"/>
            </w:pPr>
            <w:r>
              <w:rPr>
                <w:rFonts w:ascii="Arial" w:eastAsia="宋体" w:hAnsi="Arial" w:cs="Arial"/>
                <w:b/>
                <w:bCs/>
                <w:color w:val="000000"/>
                <w:sz w:val="11"/>
                <w:szCs w:val="11"/>
              </w:rPr>
              <w:t>Basel III Advanced Approaches September 30,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0A3C"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0A3D" w14:textId="77777777" w:rsidR="00584EC1" w:rsidRDefault="00871F8D">
            <w:pPr>
              <w:jc w:val="center"/>
              <w:textAlignment w:val="bottom"/>
            </w:pPr>
            <w:r>
              <w:rPr>
                <w:rFonts w:ascii="Arial" w:eastAsia="宋体" w:hAnsi="Arial" w:cs="Arial"/>
                <w:b/>
                <w:bCs/>
                <w:color w:val="000000"/>
                <w:sz w:val="11"/>
                <w:szCs w:val="11"/>
              </w:rPr>
              <w:t>Basel III Standardized Approach September 30,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0A3E"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0A3F" w14:textId="77777777" w:rsidR="00584EC1" w:rsidRDefault="00871F8D">
            <w:pPr>
              <w:jc w:val="center"/>
              <w:textAlignment w:val="bottom"/>
            </w:pPr>
            <w:r>
              <w:rPr>
                <w:rFonts w:ascii="Arial" w:eastAsia="宋体" w:hAnsi="Arial" w:cs="Arial"/>
                <w:b/>
                <w:bCs/>
                <w:color w:val="000000"/>
                <w:sz w:val="11"/>
                <w:szCs w:val="11"/>
              </w:rPr>
              <w:t xml:space="preserve">Basel III </w:t>
            </w:r>
            <w:r>
              <w:rPr>
                <w:rFonts w:ascii="Arial" w:eastAsia="宋体" w:hAnsi="Arial" w:cs="Arial"/>
                <w:b/>
                <w:bCs/>
                <w:color w:val="000000"/>
                <w:sz w:val="11"/>
                <w:szCs w:val="11"/>
              </w:rPr>
              <w:t>Advanced Approaches December 31, 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0A40"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0A41" w14:textId="77777777" w:rsidR="00584EC1" w:rsidRDefault="00871F8D">
            <w:pPr>
              <w:jc w:val="center"/>
              <w:textAlignment w:val="bottom"/>
            </w:pPr>
            <w:r>
              <w:rPr>
                <w:rFonts w:ascii="Arial" w:eastAsia="宋体" w:hAnsi="Arial" w:cs="Arial"/>
                <w:b/>
                <w:bCs/>
                <w:color w:val="000000"/>
                <w:sz w:val="11"/>
                <w:szCs w:val="11"/>
              </w:rPr>
              <w:t>Basel III Standardized Approach December 31, 2020</w:t>
            </w:r>
          </w:p>
        </w:tc>
      </w:tr>
      <w:tr w:rsidR="00584EC1" w14:paraId="74DE0A53" w14:textId="77777777">
        <w:tc>
          <w:tcPr>
            <w:tcW w:w="0" w:type="auto"/>
            <w:gridSpan w:val="9"/>
            <w:shd w:val="clear" w:color="auto" w:fill="auto"/>
            <w:tcMar>
              <w:top w:w="40" w:type="dxa"/>
              <w:left w:w="20" w:type="dxa"/>
              <w:bottom w:w="40" w:type="dxa"/>
              <w:right w:w="20" w:type="dxa"/>
            </w:tcMar>
            <w:vAlign w:val="bottom"/>
          </w:tcPr>
          <w:p w14:paraId="74DE0A43" w14:textId="77777777" w:rsidR="00584EC1" w:rsidRDefault="00871F8D">
            <w:pPr>
              <w:textAlignment w:val="bottom"/>
            </w:pPr>
            <w:r>
              <w:rPr>
                <w:rFonts w:ascii="Arial" w:eastAsia="宋体" w:hAnsi="Arial" w:cs="Arial"/>
                <w:b/>
                <w:bCs/>
                <w:color w:val="000000"/>
                <w:sz w:val="12"/>
                <w:szCs w:val="12"/>
              </w:rPr>
              <w:t> Common shareholders' equity:</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0A44"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A45"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0A46"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A47"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0A48"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A49"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0A4A"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A4B"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0A4C"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A4D"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0A4E"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A4F"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0A50"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A51"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0A52" w14:textId="77777777" w:rsidR="00584EC1" w:rsidRDefault="00584EC1">
            <w:pPr>
              <w:rPr>
                <w:rFonts w:ascii="宋体"/>
              </w:rPr>
            </w:pPr>
          </w:p>
        </w:tc>
      </w:tr>
      <w:tr w:rsidR="00871F8D" w14:paraId="74DE0A74" w14:textId="77777777">
        <w:tc>
          <w:tcPr>
            <w:tcW w:w="0" w:type="auto"/>
            <w:gridSpan w:val="9"/>
            <w:shd w:val="clear" w:color="auto" w:fill="CCEEFF"/>
            <w:tcMar>
              <w:top w:w="40" w:type="dxa"/>
              <w:left w:w="245" w:type="dxa"/>
              <w:bottom w:w="40" w:type="dxa"/>
              <w:right w:w="20" w:type="dxa"/>
            </w:tcMar>
            <w:vAlign w:val="bottom"/>
          </w:tcPr>
          <w:p w14:paraId="74DE0A54" w14:textId="77777777" w:rsidR="00584EC1" w:rsidRDefault="00871F8D">
            <w:pPr>
              <w:textAlignment w:val="bottom"/>
            </w:pPr>
            <w:r>
              <w:rPr>
                <w:rFonts w:ascii="Arial" w:eastAsia="宋体" w:hAnsi="Arial" w:cs="Arial"/>
                <w:color w:val="000000"/>
                <w:sz w:val="12"/>
                <w:szCs w:val="12"/>
              </w:rPr>
              <w:t>Common stock and related surplus</w:t>
            </w:r>
          </w:p>
        </w:tc>
        <w:tc>
          <w:tcPr>
            <w:tcW w:w="0" w:type="auto"/>
            <w:shd w:val="clear" w:color="auto" w:fill="CCEEFF"/>
            <w:tcMar>
              <w:top w:w="40" w:type="dxa"/>
              <w:left w:w="20" w:type="dxa"/>
              <w:bottom w:w="40" w:type="dxa"/>
              <w:right w:w="0" w:type="dxa"/>
            </w:tcMar>
            <w:vAlign w:val="bottom"/>
          </w:tcPr>
          <w:p w14:paraId="74DE0A55" w14:textId="77777777" w:rsidR="00584EC1" w:rsidRDefault="00871F8D">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74DE0A56" w14:textId="77777777" w:rsidR="00584EC1" w:rsidRDefault="00871F8D">
            <w:pPr>
              <w:jc w:val="right"/>
              <w:textAlignment w:val="bottom"/>
            </w:pPr>
            <w:r>
              <w:rPr>
                <w:rFonts w:ascii="Arial" w:eastAsia="宋体" w:hAnsi="Arial" w:cs="Arial"/>
                <w:b/>
                <w:bCs/>
                <w:color w:val="000000"/>
                <w:sz w:val="12"/>
                <w:szCs w:val="12"/>
              </w:rPr>
              <w:t>11,267</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0A5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A58"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E0A59" w14:textId="77777777" w:rsidR="00584EC1" w:rsidRDefault="00871F8D">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74DE0A5A" w14:textId="77777777" w:rsidR="00584EC1" w:rsidRDefault="00871F8D">
            <w:pPr>
              <w:jc w:val="right"/>
              <w:textAlignment w:val="bottom"/>
            </w:pPr>
            <w:r>
              <w:rPr>
                <w:rFonts w:ascii="Arial" w:eastAsia="宋体" w:hAnsi="Arial" w:cs="Arial"/>
                <w:b/>
                <w:bCs/>
                <w:color w:val="000000"/>
                <w:sz w:val="12"/>
                <w:szCs w:val="12"/>
              </w:rPr>
              <w:t>11,267</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0A5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A5C"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E0A5D" w14:textId="77777777" w:rsidR="00584EC1" w:rsidRDefault="00871F8D">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74DE0A5E" w14:textId="77777777" w:rsidR="00584EC1" w:rsidRDefault="00871F8D">
            <w:pPr>
              <w:jc w:val="right"/>
              <w:textAlignment w:val="bottom"/>
            </w:pPr>
            <w:r>
              <w:rPr>
                <w:rFonts w:ascii="Arial" w:eastAsia="宋体" w:hAnsi="Arial" w:cs="Arial"/>
                <w:color w:val="000000"/>
                <w:sz w:val="12"/>
                <w:szCs w:val="12"/>
              </w:rPr>
              <w:t>10,709 </w:t>
            </w:r>
          </w:p>
        </w:tc>
        <w:tc>
          <w:tcPr>
            <w:tcW w:w="0" w:type="auto"/>
            <w:shd w:val="clear" w:color="auto" w:fill="CCEEFF"/>
            <w:tcMar>
              <w:top w:w="40" w:type="dxa"/>
              <w:left w:w="0" w:type="dxa"/>
              <w:bottom w:w="40" w:type="dxa"/>
              <w:right w:w="20" w:type="dxa"/>
            </w:tcMar>
            <w:vAlign w:val="bottom"/>
          </w:tcPr>
          <w:p w14:paraId="74DE0A5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A60"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E0A61" w14:textId="77777777" w:rsidR="00584EC1" w:rsidRDefault="00871F8D">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74DE0A62" w14:textId="77777777" w:rsidR="00584EC1" w:rsidRDefault="00871F8D">
            <w:pPr>
              <w:jc w:val="right"/>
              <w:textAlignment w:val="bottom"/>
            </w:pPr>
            <w:r>
              <w:rPr>
                <w:rFonts w:ascii="Arial" w:eastAsia="宋体" w:hAnsi="Arial" w:cs="Arial"/>
                <w:color w:val="000000"/>
                <w:sz w:val="12"/>
                <w:szCs w:val="12"/>
              </w:rPr>
              <w:t>10,709 </w:t>
            </w:r>
          </w:p>
        </w:tc>
        <w:tc>
          <w:tcPr>
            <w:tcW w:w="0" w:type="auto"/>
            <w:shd w:val="clear" w:color="auto" w:fill="CCEEFF"/>
            <w:tcMar>
              <w:top w:w="40" w:type="dxa"/>
              <w:left w:w="0" w:type="dxa"/>
              <w:bottom w:w="40" w:type="dxa"/>
              <w:right w:w="20" w:type="dxa"/>
            </w:tcMar>
            <w:vAlign w:val="bottom"/>
          </w:tcPr>
          <w:p w14:paraId="74DE0A6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A64"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E0A65" w14:textId="77777777" w:rsidR="00584EC1" w:rsidRDefault="00871F8D">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74DE0A66" w14:textId="77777777" w:rsidR="00584EC1" w:rsidRDefault="00871F8D">
            <w:pPr>
              <w:jc w:val="right"/>
              <w:textAlignment w:val="bottom"/>
            </w:pPr>
            <w:r>
              <w:rPr>
                <w:rFonts w:ascii="Arial" w:eastAsia="宋体" w:hAnsi="Arial" w:cs="Arial"/>
                <w:b/>
                <w:bCs/>
                <w:color w:val="000000"/>
                <w:sz w:val="12"/>
                <w:szCs w:val="12"/>
              </w:rPr>
              <w:t>12,887</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0A6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A68"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E0A69" w14:textId="77777777" w:rsidR="00584EC1" w:rsidRDefault="00871F8D">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74DE0A6A" w14:textId="77777777" w:rsidR="00584EC1" w:rsidRDefault="00871F8D">
            <w:pPr>
              <w:jc w:val="right"/>
              <w:textAlignment w:val="bottom"/>
            </w:pPr>
            <w:r>
              <w:rPr>
                <w:rFonts w:ascii="Arial" w:eastAsia="宋体" w:hAnsi="Arial" w:cs="Arial"/>
                <w:b/>
                <w:bCs/>
                <w:color w:val="000000"/>
                <w:sz w:val="12"/>
                <w:szCs w:val="12"/>
              </w:rPr>
              <w:t>12,887</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0A6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A6C"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E0A6D" w14:textId="77777777" w:rsidR="00584EC1" w:rsidRDefault="00871F8D">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74DE0A6E" w14:textId="77777777" w:rsidR="00584EC1" w:rsidRDefault="00871F8D">
            <w:pPr>
              <w:jc w:val="right"/>
              <w:textAlignment w:val="bottom"/>
            </w:pPr>
            <w:r>
              <w:rPr>
                <w:rFonts w:ascii="Arial" w:eastAsia="宋体" w:hAnsi="Arial" w:cs="Arial"/>
                <w:color w:val="000000"/>
                <w:sz w:val="12"/>
                <w:szCs w:val="12"/>
              </w:rPr>
              <w:t>12,893 </w:t>
            </w:r>
          </w:p>
        </w:tc>
        <w:tc>
          <w:tcPr>
            <w:tcW w:w="0" w:type="auto"/>
            <w:shd w:val="clear" w:color="auto" w:fill="CCEEFF"/>
            <w:tcMar>
              <w:top w:w="40" w:type="dxa"/>
              <w:left w:w="0" w:type="dxa"/>
              <w:bottom w:w="40" w:type="dxa"/>
              <w:right w:w="20" w:type="dxa"/>
            </w:tcMar>
            <w:vAlign w:val="bottom"/>
          </w:tcPr>
          <w:p w14:paraId="74DE0A6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A70"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E0A71" w14:textId="77777777" w:rsidR="00584EC1" w:rsidRDefault="00871F8D">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74DE0A72" w14:textId="77777777" w:rsidR="00584EC1" w:rsidRDefault="00871F8D">
            <w:pPr>
              <w:jc w:val="right"/>
              <w:textAlignment w:val="bottom"/>
            </w:pPr>
            <w:r>
              <w:rPr>
                <w:rFonts w:ascii="Arial" w:eastAsia="宋体" w:hAnsi="Arial" w:cs="Arial"/>
                <w:color w:val="000000"/>
                <w:sz w:val="12"/>
                <w:szCs w:val="12"/>
              </w:rPr>
              <w:t>12,893 </w:t>
            </w:r>
          </w:p>
        </w:tc>
        <w:tc>
          <w:tcPr>
            <w:tcW w:w="0" w:type="auto"/>
            <w:shd w:val="clear" w:color="auto" w:fill="CCEEFF"/>
            <w:tcMar>
              <w:top w:w="40" w:type="dxa"/>
              <w:left w:w="0" w:type="dxa"/>
              <w:bottom w:w="40" w:type="dxa"/>
              <w:right w:w="20" w:type="dxa"/>
            </w:tcMar>
            <w:vAlign w:val="bottom"/>
          </w:tcPr>
          <w:p w14:paraId="74DE0A73" w14:textId="77777777" w:rsidR="00584EC1" w:rsidRDefault="00584EC1">
            <w:pPr>
              <w:jc w:val="right"/>
              <w:rPr>
                <w:rFonts w:ascii="宋体"/>
              </w:rPr>
            </w:pPr>
          </w:p>
        </w:tc>
      </w:tr>
      <w:tr w:rsidR="00584EC1" w14:paraId="74DE0A8D" w14:textId="77777777">
        <w:tc>
          <w:tcPr>
            <w:tcW w:w="0" w:type="auto"/>
            <w:gridSpan w:val="9"/>
            <w:shd w:val="clear" w:color="auto" w:fill="FFFFFF"/>
            <w:tcMar>
              <w:top w:w="40" w:type="dxa"/>
              <w:left w:w="245" w:type="dxa"/>
              <w:bottom w:w="40" w:type="dxa"/>
              <w:right w:w="20" w:type="dxa"/>
            </w:tcMar>
            <w:vAlign w:val="bottom"/>
          </w:tcPr>
          <w:p w14:paraId="74DE0A75" w14:textId="77777777" w:rsidR="00584EC1" w:rsidRDefault="00871F8D">
            <w:pPr>
              <w:textAlignment w:val="bottom"/>
            </w:pPr>
            <w:r>
              <w:rPr>
                <w:rFonts w:ascii="Arial" w:eastAsia="宋体" w:hAnsi="Arial" w:cs="Arial"/>
                <w:color w:val="000000"/>
                <w:sz w:val="12"/>
                <w:szCs w:val="12"/>
              </w:rPr>
              <w:t>Retained earnings</w:t>
            </w:r>
          </w:p>
        </w:tc>
        <w:tc>
          <w:tcPr>
            <w:tcW w:w="0" w:type="auto"/>
            <w:gridSpan w:val="2"/>
            <w:shd w:val="clear" w:color="auto" w:fill="FFFFFF"/>
            <w:tcMar>
              <w:top w:w="40" w:type="dxa"/>
              <w:left w:w="20" w:type="dxa"/>
              <w:bottom w:w="40" w:type="dxa"/>
              <w:right w:w="0" w:type="dxa"/>
            </w:tcMar>
            <w:vAlign w:val="bottom"/>
          </w:tcPr>
          <w:p w14:paraId="74DE0A76" w14:textId="77777777" w:rsidR="00584EC1" w:rsidRDefault="00871F8D">
            <w:pPr>
              <w:jc w:val="right"/>
              <w:textAlignment w:val="bottom"/>
            </w:pPr>
            <w:r>
              <w:rPr>
                <w:rFonts w:ascii="Arial" w:eastAsia="宋体" w:hAnsi="Arial" w:cs="Arial"/>
                <w:b/>
                <w:bCs/>
                <w:color w:val="000000"/>
                <w:sz w:val="12"/>
                <w:szCs w:val="12"/>
              </w:rPr>
              <w:t>24,785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0A7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A78"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A79" w14:textId="77777777" w:rsidR="00584EC1" w:rsidRDefault="00871F8D">
            <w:pPr>
              <w:jc w:val="right"/>
              <w:textAlignment w:val="bottom"/>
            </w:pPr>
            <w:r>
              <w:rPr>
                <w:rFonts w:ascii="Arial" w:eastAsia="宋体" w:hAnsi="Arial" w:cs="Arial"/>
                <w:b/>
                <w:bCs/>
                <w:color w:val="000000"/>
                <w:sz w:val="12"/>
                <w:szCs w:val="12"/>
              </w:rPr>
              <w:t>24,785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0A7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A7B"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A7C" w14:textId="77777777" w:rsidR="00584EC1" w:rsidRDefault="00871F8D">
            <w:pPr>
              <w:jc w:val="right"/>
              <w:textAlignment w:val="bottom"/>
            </w:pPr>
            <w:r>
              <w:rPr>
                <w:rFonts w:ascii="Arial" w:eastAsia="宋体" w:hAnsi="Arial" w:cs="Arial"/>
                <w:color w:val="000000"/>
                <w:sz w:val="12"/>
                <w:szCs w:val="12"/>
              </w:rPr>
              <w:t>23,442 </w:t>
            </w:r>
          </w:p>
        </w:tc>
        <w:tc>
          <w:tcPr>
            <w:tcW w:w="0" w:type="auto"/>
            <w:shd w:val="clear" w:color="auto" w:fill="FFFFFF"/>
            <w:tcMar>
              <w:top w:w="40" w:type="dxa"/>
              <w:left w:w="0" w:type="dxa"/>
              <w:bottom w:w="40" w:type="dxa"/>
              <w:right w:w="20" w:type="dxa"/>
            </w:tcMar>
            <w:vAlign w:val="bottom"/>
          </w:tcPr>
          <w:p w14:paraId="74DE0A7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A7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A7F" w14:textId="77777777" w:rsidR="00584EC1" w:rsidRDefault="00871F8D">
            <w:pPr>
              <w:jc w:val="right"/>
              <w:textAlignment w:val="bottom"/>
            </w:pPr>
            <w:r>
              <w:rPr>
                <w:rFonts w:ascii="Arial" w:eastAsia="宋体" w:hAnsi="Arial" w:cs="Arial"/>
                <w:color w:val="000000"/>
                <w:sz w:val="12"/>
                <w:szCs w:val="12"/>
              </w:rPr>
              <w:t>23,442 </w:t>
            </w:r>
          </w:p>
        </w:tc>
        <w:tc>
          <w:tcPr>
            <w:tcW w:w="0" w:type="auto"/>
            <w:shd w:val="clear" w:color="auto" w:fill="FFFFFF"/>
            <w:tcMar>
              <w:top w:w="40" w:type="dxa"/>
              <w:left w:w="0" w:type="dxa"/>
              <w:bottom w:w="40" w:type="dxa"/>
              <w:right w:w="20" w:type="dxa"/>
            </w:tcMar>
            <w:vAlign w:val="bottom"/>
          </w:tcPr>
          <w:p w14:paraId="74DE0A8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A8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A82" w14:textId="77777777" w:rsidR="00584EC1" w:rsidRDefault="00871F8D">
            <w:pPr>
              <w:jc w:val="right"/>
              <w:textAlignment w:val="bottom"/>
            </w:pPr>
            <w:r>
              <w:rPr>
                <w:rFonts w:ascii="Arial" w:eastAsia="宋体" w:hAnsi="Arial" w:cs="Arial"/>
                <w:b/>
                <w:bCs/>
                <w:color w:val="000000"/>
                <w:sz w:val="12"/>
                <w:szCs w:val="12"/>
              </w:rPr>
              <w:t>14,919</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0A8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A8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A85" w14:textId="77777777" w:rsidR="00584EC1" w:rsidRDefault="00871F8D">
            <w:pPr>
              <w:jc w:val="right"/>
              <w:textAlignment w:val="bottom"/>
            </w:pPr>
            <w:r>
              <w:rPr>
                <w:rFonts w:ascii="Arial" w:eastAsia="宋体" w:hAnsi="Arial" w:cs="Arial"/>
                <w:b/>
                <w:bCs/>
                <w:color w:val="000000"/>
                <w:sz w:val="12"/>
                <w:szCs w:val="12"/>
              </w:rPr>
              <w:t>14,919</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0A8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A8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A88" w14:textId="77777777" w:rsidR="00584EC1" w:rsidRDefault="00871F8D">
            <w:pPr>
              <w:jc w:val="right"/>
              <w:textAlignment w:val="bottom"/>
            </w:pPr>
            <w:r>
              <w:rPr>
                <w:rFonts w:ascii="Arial" w:eastAsia="宋体" w:hAnsi="Arial" w:cs="Arial"/>
                <w:color w:val="000000"/>
                <w:sz w:val="12"/>
                <w:szCs w:val="12"/>
              </w:rPr>
              <w:t>12,939 </w:t>
            </w:r>
          </w:p>
        </w:tc>
        <w:tc>
          <w:tcPr>
            <w:tcW w:w="0" w:type="auto"/>
            <w:shd w:val="clear" w:color="auto" w:fill="FFFFFF"/>
            <w:tcMar>
              <w:top w:w="40" w:type="dxa"/>
              <w:left w:w="0" w:type="dxa"/>
              <w:bottom w:w="40" w:type="dxa"/>
              <w:right w:w="20" w:type="dxa"/>
            </w:tcMar>
            <w:vAlign w:val="bottom"/>
          </w:tcPr>
          <w:p w14:paraId="74DE0A8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A8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A8B" w14:textId="77777777" w:rsidR="00584EC1" w:rsidRDefault="00871F8D">
            <w:pPr>
              <w:jc w:val="right"/>
              <w:textAlignment w:val="bottom"/>
            </w:pPr>
            <w:r>
              <w:rPr>
                <w:rFonts w:ascii="Arial" w:eastAsia="宋体" w:hAnsi="Arial" w:cs="Arial"/>
                <w:color w:val="000000"/>
                <w:sz w:val="12"/>
                <w:szCs w:val="12"/>
              </w:rPr>
              <w:t>12,939 </w:t>
            </w:r>
          </w:p>
        </w:tc>
        <w:tc>
          <w:tcPr>
            <w:tcW w:w="0" w:type="auto"/>
            <w:shd w:val="clear" w:color="auto" w:fill="FFFFFF"/>
            <w:tcMar>
              <w:top w:w="40" w:type="dxa"/>
              <w:left w:w="0" w:type="dxa"/>
              <w:bottom w:w="40" w:type="dxa"/>
              <w:right w:w="20" w:type="dxa"/>
            </w:tcMar>
            <w:vAlign w:val="bottom"/>
          </w:tcPr>
          <w:p w14:paraId="74DE0A8C" w14:textId="77777777" w:rsidR="00584EC1" w:rsidRDefault="00584EC1">
            <w:pPr>
              <w:jc w:val="right"/>
              <w:rPr>
                <w:rFonts w:ascii="宋体"/>
              </w:rPr>
            </w:pPr>
          </w:p>
        </w:tc>
      </w:tr>
      <w:tr w:rsidR="00584EC1" w14:paraId="74DE0AA6" w14:textId="77777777">
        <w:tc>
          <w:tcPr>
            <w:tcW w:w="0" w:type="auto"/>
            <w:gridSpan w:val="9"/>
            <w:shd w:val="clear" w:color="auto" w:fill="CCEEFF"/>
            <w:tcMar>
              <w:top w:w="40" w:type="dxa"/>
              <w:left w:w="245" w:type="dxa"/>
              <w:bottom w:w="40" w:type="dxa"/>
              <w:right w:w="20" w:type="dxa"/>
            </w:tcMar>
            <w:vAlign w:val="bottom"/>
          </w:tcPr>
          <w:p w14:paraId="74DE0A8E" w14:textId="77777777" w:rsidR="00584EC1" w:rsidRDefault="00871F8D">
            <w:pPr>
              <w:textAlignment w:val="bottom"/>
            </w:pPr>
            <w:r>
              <w:rPr>
                <w:rFonts w:ascii="Arial" w:eastAsia="宋体" w:hAnsi="Arial" w:cs="Arial"/>
                <w:color w:val="000000"/>
                <w:sz w:val="12"/>
                <w:szCs w:val="12"/>
              </w:rPr>
              <w:t>Accumulated other comprehensive income (loss)</w:t>
            </w:r>
          </w:p>
        </w:tc>
        <w:tc>
          <w:tcPr>
            <w:tcW w:w="0" w:type="auto"/>
            <w:gridSpan w:val="2"/>
            <w:shd w:val="clear" w:color="auto" w:fill="CCEEFF"/>
            <w:tcMar>
              <w:top w:w="40" w:type="dxa"/>
              <w:left w:w="20" w:type="dxa"/>
              <w:bottom w:w="40" w:type="dxa"/>
              <w:right w:w="0" w:type="dxa"/>
            </w:tcMar>
            <w:vAlign w:val="bottom"/>
          </w:tcPr>
          <w:p w14:paraId="74DE0A8F" w14:textId="77777777" w:rsidR="00584EC1" w:rsidRDefault="00871F8D">
            <w:pPr>
              <w:jc w:val="right"/>
              <w:textAlignment w:val="bottom"/>
            </w:pPr>
            <w:r>
              <w:rPr>
                <w:rFonts w:ascii="Arial" w:eastAsia="宋体" w:hAnsi="Arial" w:cs="Arial"/>
                <w:b/>
                <w:bCs/>
                <w:color w:val="000000"/>
                <w:sz w:val="12"/>
                <w:szCs w:val="12"/>
              </w:rPr>
              <w:t>(682)</w:t>
            </w:r>
          </w:p>
        </w:tc>
        <w:tc>
          <w:tcPr>
            <w:tcW w:w="0" w:type="auto"/>
            <w:shd w:val="clear" w:color="auto" w:fill="CCEEFF"/>
            <w:tcMar>
              <w:top w:w="40" w:type="dxa"/>
              <w:left w:w="0" w:type="dxa"/>
              <w:bottom w:w="40" w:type="dxa"/>
              <w:right w:w="20" w:type="dxa"/>
            </w:tcMar>
            <w:vAlign w:val="bottom"/>
          </w:tcPr>
          <w:p w14:paraId="74DE0A9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A9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A92" w14:textId="77777777" w:rsidR="00584EC1" w:rsidRDefault="00871F8D">
            <w:pPr>
              <w:jc w:val="right"/>
              <w:textAlignment w:val="bottom"/>
            </w:pPr>
            <w:r>
              <w:rPr>
                <w:rFonts w:ascii="Arial" w:eastAsia="宋体" w:hAnsi="Arial" w:cs="Arial"/>
                <w:b/>
                <w:bCs/>
                <w:color w:val="000000"/>
                <w:sz w:val="12"/>
                <w:szCs w:val="12"/>
              </w:rPr>
              <w:t>(682)</w:t>
            </w:r>
          </w:p>
        </w:tc>
        <w:tc>
          <w:tcPr>
            <w:tcW w:w="0" w:type="auto"/>
            <w:shd w:val="clear" w:color="auto" w:fill="CCEEFF"/>
            <w:tcMar>
              <w:top w:w="40" w:type="dxa"/>
              <w:left w:w="0" w:type="dxa"/>
              <w:bottom w:w="40" w:type="dxa"/>
              <w:right w:w="20" w:type="dxa"/>
            </w:tcMar>
            <w:vAlign w:val="bottom"/>
          </w:tcPr>
          <w:p w14:paraId="74DE0A9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A94"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A95" w14:textId="77777777" w:rsidR="00584EC1" w:rsidRDefault="00871F8D">
            <w:pPr>
              <w:jc w:val="right"/>
              <w:textAlignment w:val="bottom"/>
            </w:pPr>
            <w:r>
              <w:rPr>
                <w:rFonts w:ascii="Arial" w:eastAsia="宋体" w:hAnsi="Arial" w:cs="Arial"/>
                <w:color w:val="000000"/>
                <w:sz w:val="12"/>
                <w:szCs w:val="12"/>
              </w:rPr>
              <w:t>187 </w:t>
            </w:r>
          </w:p>
        </w:tc>
        <w:tc>
          <w:tcPr>
            <w:tcW w:w="0" w:type="auto"/>
            <w:shd w:val="clear" w:color="auto" w:fill="CCEEFF"/>
            <w:tcMar>
              <w:top w:w="40" w:type="dxa"/>
              <w:left w:w="0" w:type="dxa"/>
              <w:bottom w:w="40" w:type="dxa"/>
              <w:right w:w="20" w:type="dxa"/>
            </w:tcMar>
            <w:vAlign w:val="bottom"/>
          </w:tcPr>
          <w:p w14:paraId="74DE0A9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A9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A98" w14:textId="77777777" w:rsidR="00584EC1" w:rsidRDefault="00871F8D">
            <w:pPr>
              <w:jc w:val="right"/>
              <w:textAlignment w:val="bottom"/>
            </w:pPr>
            <w:r>
              <w:rPr>
                <w:rFonts w:ascii="Arial" w:eastAsia="宋体" w:hAnsi="Arial" w:cs="Arial"/>
                <w:color w:val="000000"/>
                <w:sz w:val="12"/>
                <w:szCs w:val="12"/>
              </w:rPr>
              <w:t>187 </w:t>
            </w:r>
          </w:p>
        </w:tc>
        <w:tc>
          <w:tcPr>
            <w:tcW w:w="0" w:type="auto"/>
            <w:shd w:val="clear" w:color="auto" w:fill="CCEEFF"/>
            <w:tcMar>
              <w:top w:w="40" w:type="dxa"/>
              <w:left w:w="0" w:type="dxa"/>
              <w:bottom w:w="40" w:type="dxa"/>
              <w:right w:w="20" w:type="dxa"/>
            </w:tcMar>
            <w:vAlign w:val="bottom"/>
          </w:tcPr>
          <w:p w14:paraId="74DE0A9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A9A"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A9B" w14:textId="77777777" w:rsidR="00584EC1" w:rsidRDefault="00871F8D">
            <w:pPr>
              <w:jc w:val="right"/>
              <w:textAlignment w:val="bottom"/>
            </w:pPr>
            <w:r>
              <w:rPr>
                <w:rFonts w:ascii="Arial" w:eastAsia="宋体" w:hAnsi="Arial" w:cs="Arial"/>
                <w:b/>
                <w:bCs/>
                <w:color w:val="000000"/>
                <w:sz w:val="12"/>
                <w:szCs w:val="12"/>
              </w:rPr>
              <w:t>(465)</w:t>
            </w:r>
          </w:p>
        </w:tc>
        <w:tc>
          <w:tcPr>
            <w:tcW w:w="0" w:type="auto"/>
            <w:shd w:val="clear" w:color="auto" w:fill="CCEEFF"/>
            <w:tcMar>
              <w:top w:w="40" w:type="dxa"/>
              <w:left w:w="0" w:type="dxa"/>
              <w:bottom w:w="40" w:type="dxa"/>
              <w:right w:w="20" w:type="dxa"/>
            </w:tcMar>
            <w:vAlign w:val="bottom"/>
          </w:tcPr>
          <w:p w14:paraId="74DE0A9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A9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A9E" w14:textId="77777777" w:rsidR="00584EC1" w:rsidRDefault="00871F8D">
            <w:pPr>
              <w:jc w:val="right"/>
              <w:textAlignment w:val="bottom"/>
            </w:pPr>
            <w:r>
              <w:rPr>
                <w:rFonts w:ascii="Arial" w:eastAsia="宋体" w:hAnsi="Arial" w:cs="Arial"/>
                <w:b/>
                <w:bCs/>
                <w:color w:val="000000"/>
                <w:sz w:val="12"/>
                <w:szCs w:val="12"/>
              </w:rPr>
              <w:t>(465)</w:t>
            </w:r>
          </w:p>
        </w:tc>
        <w:tc>
          <w:tcPr>
            <w:tcW w:w="0" w:type="auto"/>
            <w:shd w:val="clear" w:color="auto" w:fill="CCEEFF"/>
            <w:tcMar>
              <w:top w:w="40" w:type="dxa"/>
              <w:left w:w="0" w:type="dxa"/>
              <w:bottom w:w="40" w:type="dxa"/>
              <w:right w:w="20" w:type="dxa"/>
            </w:tcMar>
            <w:vAlign w:val="bottom"/>
          </w:tcPr>
          <w:p w14:paraId="74DE0A9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AA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AA1" w14:textId="77777777" w:rsidR="00584EC1" w:rsidRDefault="00871F8D">
            <w:pPr>
              <w:jc w:val="right"/>
              <w:textAlignment w:val="bottom"/>
            </w:pPr>
            <w:r>
              <w:rPr>
                <w:rFonts w:ascii="Arial" w:eastAsia="宋体" w:hAnsi="Arial" w:cs="Arial"/>
                <w:color w:val="000000"/>
                <w:sz w:val="12"/>
                <w:szCs w:val="12"/>
              </w:rPr>
              <w:t>371 </w:t>
            </w:r>
          </w:p>
        </w:tc>
        <w:tc>
          <w:tcPr>
            <w:tcW w:w="0" w:type="auto"/>
            <w:shd w:val="clear" w:color="auto" w:fill="CCEEFF"/>
            <w:tcMar>
              <w:top w:w="40" w:type="dxa"/>
              <w:left w:w="0" w:type="dxa"/>
              <w:bottom w:w="40" w:type="dxa"/>
              <w:right w:w="20" w:type="dxa"/>
            </w:tcMar>
            <w:vAlign w:val="bottom"/>
          </w:tcPr>
          <w:p w14:paraId="74DE0AA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AA3"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AA4" w14:textId="77777777" w:rsidR="00584EC1" w:rsidRDefault="00871F8D">
            <w:pPr>
              <w:jc w:val="right"/>
              <w:textAlignment w:val="bottom"/>
            </w:pPr>
            <w:r>
              <w:rPr>
                <w:rFonts w:ascii="Arial" w:eastAsia="宋体" w:hAnsi="Arial" w:cs="Arial"/>
                <w:color w:val="000000"/>
                <w:sz w:val="12"/>
                <w:szCs w:val="12"/>
              </w:rPr>
              <w:t>371 </w:t>
            </w:r>
          </w:p>
        </w:tc>
        <w:tc>
          <w:tcPr>
            <w:tcW w:w="0" w:type="auto"/>
            <w:shd w:val="clear" w:color="auto" w:fill="CCEEFF"/>
            <w:tcMar>
              <w:top w:w="40" w:type="dxa"/>
              <w:left w:w="0" w:type="dxa"/>
              <w:bottom w:w="40" w:type="dxa"/>
              <w:right w:w="20" w:type="dxa"/>
            </w:tcMar>
            <w:vAlign w:val="bottom"/>
          </w:tcPr>
          <w:p w14:paraId="74DE0AA5" w14:textId="77777777" w:rsidR="00584EC1" w:rsidRDefault="00584EC1">
            <w:pPr>
              <w:jc w:val="right"/>
              <w:rPr>
                <w:rFonts w:ascii="宋体"/>
              </w:rPr>
            </w:pPr>
          </w:p>
        </w:tc>
      </w:tr>
      <w:tr w:rsidR="00584EC1" w14:paraId="74DE0ABF" w14:textId="77777777">
        <w:tc>
          <w:tcPr>
            <w:tcW w:w="0" w:type="auto"/>
            <w:gridSpan w:val="9"/>
            <w:shd w:val="clear" w:color="auto" w:fill="FFFFFF"/>
            <w:tcMar>
              <w:top w:w="40" w:type="dxa"/>
              <w:left w:w="245" w:type="dxa"/>
              <w:bottom w:w="40" w:type="dxa"/>
              <w:right w:w="20" w:type="dxa"/>
            </w:tcMar>
            <w:vAlign w:val="bottom"/>
          </w:tcPr>
          <w:p w14:paraId="74DE0AA7" w14:textId="77777777" w:rsidR="00584EC1" w:rsidRDefault="00871F8D">
            <w:pPr>
              <w:textAlignment w:val="bottom"/>
            </w:pPr>
            <w:r>
              <w:rPr>
                <w:rFonts w:ascii="Arial" w:eastAsia="宋体" w:hAnsi="Arial" w:cs="Arial"/>
                <w:color w:val="000000"/>
                <w:sz w:val="12"/>
                <w:szCs w:val="12"/>
              </w:rPr>
              <w:t>Treasury stock, at cost</w:t>
            </w:r>
          </w:p>
        </w:tc>
        <w:tc>
          <w:tcPr>
            <w:tcW w:w="0" w:type="auto"/>
            <w:gridSpan w:val="2"/>
            <w:shd w:val="clear" w:color="auto" w:fill="FFFFFF"/>
            <w:tcMar>
              <w:top w:w="40" w:type="dxa"/>
              <w:left w:w="20" w:type="dxa"/>
              <w:bottom w:w="40" w:type="dxa"/>
              <w:right w:w="0" w:type="dxa"/>
            </w:tcMar>
            <w:vAlign w:val="bottom"/>
          </w:tcPr>
          <w:p w14:paraId="74DE0AA8" w14:textId="77777777" w:rsidR="00584EC1" w:rsidRDefault="00871F8D">
            <w:pPr>
              <w:jc w:val="right"/>
              <w:textAlignment w:val="bottom"/>
            </w:pPr>
            <w:r>
              <w:rPr>
                <w:rFonts w:ascii="Arial" w:eastAsia="宋体" w:hAnsi="Arial" w:cs="Arial"/>
                <w:b/>
                <w:bCs/>
                <w:color w:val="000000"/>
                <w:sz w:val="12"/>
                <w:szCs w:val="12"/>
              </w:rPr>
              <w:t>(10,032)</w:t>
            </w:r>
          </w:p>
        </w:tc>
        <w:tc>
          <w:tcPr>
            <w:tcW w:w="0" w:type="auto"/>
            <w:shd w:val="clear" w:color="auto" w:fill="FFFFFF"/>
            <w:tcMar>
              <w:top w:w="40" w:type="dxa"/>
              <w:left w:w="0" w:type="dxa"/>
              <w:bottom w:w="40" w:type="dxa"/>
              <w:right w:w="20" w:type="dxa"/>
            </w:tcMar>
            <w:vAlign w:val="bottom"/>
          </w:tcPr>
          <w:p w14:paraId="74DE0AA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AA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AAB" w14:textId="77777777" w:rsidR="00584EC1" w:rsidRDefault="00871F8D">
            <w:pPr>
              <w:jc w:val="right"/>
              <w:textAlignment w:val="bottom"/>
            </w:pPr>
            <w:r>
              <w:rPr>
                <w:rFonts w:ascii="Arial" w:eastAsia="宋体" w:hAnsi="Arial" w:cs="Arial"/>
                <w:b/>
                <w:bCs/>
                <w:color w:val="000000"/>
                <w:sz w:val="12"/>
                <w:szCs w:val="12"/>
              </w:rPr>
              <w:t>(10,032)</w:t>
            </w:r>
          </w:p>
        </w:tc>
        <w:tc>
          <w:tcPr>
            <w:tcW w:w="0" w:type="auto"/>
            <w:shd w:val="clear" w:color="auto" w:fill="FFFFFF"/>
            <w:tcMar>
              <w:top w:w="40" w:type="dxa"/>
              <w:left w:w="0" w:type="dxa"/>
              <w:bottom w:w="40" w:type="dxa"/>
              <w:right w:w="20" w:type="dxa"/>
            </w:tcMar>
            <w:vAlign w:val="bottom"/>
          </w:tcPr>
          <w:p w14:paraId="74DE0AA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AA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AAE" w14:textId="77777777" w:rsidR="00584EC1" w:rsidRDefault="00871F8D">
            <w:pPr>
              <w:jc w:val="right"/>
              <w:textAlignment w:val="bottom"/>
            </w:pPr>
            <w:r>
              <w:rPr>
                <w:rFonts w:ascii="Arial" w:eastAsia="宋体" w:hAnsi="Arial" w:cs="Arial"/>
                <w:color w:val="000000"/>
                <w:sz w:val="12"/>
                <w:szCs w:val="12"/>
              </w:rPr>
              <w:t>(10,609)</w:t>
            </w:r>
          </w:p>
        </w:tc>
        <w:tc>
          <w:tcPr>
            <w:tcW w:w="0" w:type="auto"/>
            <w:shd w:val="clear" w:color="auto" w:fill="FFFFFF"/>
            <w:tcMar>
              <w:top w:w="40" w:type="dxa"/>
              <w:left w:w="0" w:type="dxa"/>
              <w:bottom w:w="40" w:type="dxa"/>
              <w:right w:w="20" w:type="dxa"/>
            </w:tcMar>
            <w:vAlign w:val="bottom"/>
          </w:tcPr>
          <w:p w14:paraId="74DE0AA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AB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AB1" w14:textId="77777777" w:rsidR="00584EC1" w:rsidRDefault="00871F8D">
            <w:pPr>
              <w:jc w:val="right"/>
              <w:textAlignment w:val="bottom"/>
            </w:pPr>
            <w:r>
              <w:rPr>
                <w:rFonts w:ascii="Arial" w:eastAsia="宋体" w:hAnsi="Arial" w:cs="Arial"/>
                <w:color w:val="000000"/>
                <w:sz w:val="12"/>
                <w:szCs w:val="12"/>
              </w:rPr>
              <w:t>(10,609)</w:t>
            </w:r>
          </w:p>
        </w:tc>
        <w:tc>
          <w:tcPr>
            <w:tcW w:w="0" w:type="auto"/>
            <w:shd w:val="clear" w:color="auto" w:fill="FFFFFF"/>
            <w:tcMar>
              <w:top w:w="40" w:type="dxa"/>
              <w:left w:w="0" w:type="dxa"/>
              <w:bottom w:w="40" w:type="dxa"/>
              <w:right w:w="20" w:type="dxa"/>
            </w:tcMar>
            <w:vAlign w:val="bottom"/>
          </w:tcPr>
          <w:p w14:paraId="74DE0AB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AB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AB4"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0AB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AB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AB7"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0AB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AB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ABA" w14:textId="77777777" w:rsidR="00584EC1" w:rsidRDefault="00871F8D">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0AB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AB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ABD" w14:textId="77777777" w:rsidR="00584EC1" w:rsidRDefault="00871F8D">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0ABE" w14:textId="77777777" w:rsidR="00584EC1" w:rsidRDefault="00584EC1">
            <w:pPr>
              <w:jc w:val="right"/>
              <w:rPr>
                <w:rFonts w:ascii="宋体"/>
              </w:rPr>
            </w:pPr>
          </w:p>
        </w:tc>
      </w:tr>
      <w:tr w:rsidR="00584EC1" w14:paraId="74DE0AD8" w14:textId="77777777">
        <w:tc>
          <w:tcPr>
            <w:tcW w:w="0" w:type="auto"/>
            <w:gridSpan w:val="9"/>
            <w:shd w:val="clear" w:color="auto" w:fill="CCEEFF"/>
            <w:tcMar>
              <w:top w:w="40" w:type="dxa"/>
              <w:left w:w="155" w:type="dxa"/>
              <w:bottom w:w="40" w:type="dxa"/>
              <w:right w:w="20" w:type="dxa"/>
            </w:tcMar>
            <w:vAlign w:val="bottom"/>
          </w:tcPr>
          <w:p w14:paraId="74DE0AC0" w14:textId="77777777" w:rsidR="00584EC1" w:rsidRDefault="00871F8D">
            <w:pPr>
              <w:textAlignment w:val="bottom"/>
            </w:pPr>
            <w:r>
              <w:rPr>
                <w:rFonts w:ascii="Arial" w:eastAsia="宋体" w:hAnsi="Arial" w:cs="Arial"/>
                <w:b/>
                <w:bCs/>
                <w:color w:val="000000"/>
                <w:sz w:val="12"/>
                <w:szCs w:val="12"/>
              </w:rPr>
              <w:t>Total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E0AC1" w14:textId="77777777" w:rsidR="00584EC1" w:rsidRDefault="00871F8D">
            <w:pPr>
              <w:jc w:val="right"/>
              <w:textAlignment w:val="bottom"/>
            </w:pPr>
            <w:r>
              <w:rPr>
                <w:rFonts w:ascii="Arial" w:eastAsia="宋体" w:hAnsi="Arial" w:cs="Arial"/>
                <w:b/>
                <w:bCs/>
                <w:color w:val="000000"/>
                <w:sz w:val="12"/>
                <w:szCs w:val="12"/>
              </w:rPr>
              <w:t>25,338</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AC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AC3"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E0AC4" w14:textId="77777777" w:rsidR="00584EC1" w:rsidRDefault="00871F8D">
            <w:pPr>
              <w:jc w:val="right"/>
              <w:textAlignment w:val="bottom"/>
            </w:pPr>
            <w:r>
              <w:rPr>
                <w:rFonts w:ascii="Arial" w:eastAsia="宋体" w:hAnsi="Arial" w:cs="Arial"/>
                <w:b/>
                <w:bCs/>
                <w:color w:val="000000"/>
                <w:sz w:val="12"/>
                <w:szCs w:val="12"/>
              </w:rPr>
              <w:t>25,338</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AC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AC6"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E0AC7" w14:textId="77777777" w:rsidR="00584EC1" w:rsidRDefault="00871F8D">
            <w:pPr>
              <w:jc w:val="right"/>
              <w:textAlignment w:val="bottom"/>
            </w:pPr>
            <w:r>
              <w:rPr>
                <w:rFonts w:ascii="Arial" w:eastAsia="宋体" w:hAnsi="Arial" w:cs="Arial"/>
                <w:color w:val="000000"/>
                <w:sz w:val="12"/>
                <w:szCs w:val="12"/>
              </w:rPr>
              <w:t>23,729 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AC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AC9"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E0ACA" w14:textId="77777777" w:rsidR="00584EC1" w:rsidRDefault="00871F8D">
            <w:pPr>
              <w:jc w:val="right"/>
              <w:textAlignment w:val="bottom"/>
            </w:pPr>
            <w:r>
              <w:rPr>
                <w:rFonts w:ascii="Arial" w:eastAsia="宋体" w:hAnsi="Arial" w:cs="Arial"/>
                <w:color w:val="000000"/>
                <w:sz w:val="12"/>
                <w:szCs w:val="12"/>
              </w:rPr>
              <w:t>23,729 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AC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ACC"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E0ACD" w14:textId="77777777" w:rsidR="00584EC1" w:rsidRDefault="00871F8D">
            <w:pPr>
              <w:jc w:val="right"/>
              <w:textAlignment w:val="bottom"/>
            </w:pPr>
            <w:r>
              <w:rPr>
                <w:rFonts w:ascii="Arial" w:eastAsia="宋体" w:hAnsi="Arial" w:cs="Arial"/>
                <w:b/>
                <w:bCs/>
                <w:color w:val="000000"/>
                <w:sz w:val="12"/>
                <w:szCs w:val="12"/>
              </w:rPr>
              <w:t>27,341</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AC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ACF"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E0AD0" w14:textId="77777777" w:rsidR="00584EC1" w:rsidRDefault="00871F8D">
            <w:pPr>
              <w:jc w:val="right"/>
              <w:textAlignment w:val="bottom"/>
            </w:pPr>
            <w:r>
              <w:rPr>
                <w:rFonts w:ascii="Arial" w:eastAsia="宋体" w:hAnsi="Arial" w:cs="Arial"/>
                <w:b/>
                <w:bCs/>
                <w:color w:val="000000"/>
                <w:sz w:val="12"/>
                <w:szCs w:val="12"/>
              </w:rPr>
              <w:t>27,341</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AD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AD2"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E0AD3" w14:textId="77777777" w:rsidR="00584EC1" w:rsidRDefault="00871F8D">
            <w:pPr>
              <w:jc w:val="right"/>
              <w:textAlignment w:val="bottom"/>
            </w:pPr>
            <w:r>
              <w:rPr>
                <w:rFonts w:ascii="Arial" w:eastAsia="宋体" w:hAnsi="Arial" w:cs="Arial"/>
                <w:color w:val="000000"/>
                <w:sz w:val="12"/>
                <w:szCs w:val="12"/>
              </w:rPr>
              <w:t>26,203 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AD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AD5"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E0AD6" w14:textId="77777777" w:rsidR="00584EC1" w:rsidRDefault="00871F8D">
            <w:pPr>
              <w:jc w:val="right"/>
              <w:textAlignment w:val="bottom"/>
            </w:pPr>
            <w:r>
              <w:rPr>
                <w:rFonts w:ascii="Arial" w:eastAsia="宋体" w:hAnsi="Arial" w:cs="Arial"/>
                <w:color w:val="000000"/>
                <w:sz w:val="12"/>
                <w:szCs w:val="12"/>
              </w:rPr>
              <w:t>26,203 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AD7" w14:textId="77777777" w:rsidR="00584EC1" w:rsidRDefault="00584EC1">
            <w:pPr>
              <w:jc w:val="right"/>
              <w:rPr>
                <w:rFonts w:ascii="宋体"/>
              </w:rPr>
            </w:pPr>
          </w:p>
        </w:tc>
      </w:tr>
      <w:tr w:rsidR="00584EC1" w14:paraId="74DE0AE9" w14:textId="77777777">
        <w:tc>
          <w:tcPr>
            <w:tcW w:w="0" w:type="auto"/>
            <w:gridSpan w:val="9"/>
            <w:shd w:val="clear" w:color="auto" w:fill="FFFFFF"/>
            <w:tcMar>
              <w:top w:w="40" w:type="dxa"/>
              <w:left w:w="155" w:type="dxa"/>
              <w:bottom w:w="40" w:type="dxa"/>
              <w:right w:w="20" w:type="dxa"/>
            </w:tcMar>
            <w:vAlign w:val="bottom"/>
          </w:tcPr>
          <w:p w14:paraId="74DE0AD9" w14:textId="77777777" w:rsidR="00584EC1" w:rsidRDefault="00871F8D">
            <w:pPr>
              <w:textAlignment w:val="bottom"/>
            </w:pPr>
            <w:r>
              <w:rPr>
                <w:rFonts w:ascii="Arial" w:eastAsia="宋体" w:hAnsi="Arial" w:cs="Arial"/>
                <w:color w:val="000000"/>
                <w:sz w:val="12"/>
                <w:szCs w:val="12"/>
              </w:rPr>
              <w:t>Regulatory capital adjustments:</w:t>
            </w:r>
          </w:p>
        </w:tc>
        <w:tc>
          <w:tcPr>
            <w:tcW w:w="0" w:type="auto"/>
            <w:gridSpan w:val="3"/>
            <w:shd w:val="clear" w:color="auto" w:fill="FFFFFF"/>
            <w:tcMar>
              <w:top w:w="0" w:type="dxa"/>
              <w:left w:w="20" w:type="dxa"/>
              <w:bottom w:w="0" w:type="dxa"/>
              <w:right w:w="20" w:type="dxa"/>
            </w:tcMar>
            <w:vAlign w:val="bottom"/>
          </w:tcPr>
          <w:p w14:paraId="74DE0ADA"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E0ADB"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E0ADC"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E0ADD"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E0ADE"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E0ADF"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E0AE0"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E0AE1"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E0AE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E0AE3"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E0AE4"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E0AE5"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E0AE6"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E0AE7"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E0AE8" w14:textId="77777777" w:rsidR="00584EC1" w:rsidRDefault="00584EC1">
            <w:pPr>
              <w:rPr>
                <w:rFonts w:ascii="宋体"/>
              </w:rPr>
            </w:pPr>
          </w:p>
        </w:tc>
      </w:tr>
      <w:tr w:rsidR="00584EC1" w14:paraId="74DE0B02" w14:textId="77777777">
        <w:tc>
          <w:tcPr>
            <w:tcW w:w="0" w:type="auto"/>
            <w:gridSpan w:val="9"/>
            <w:shd w:val="clear" w:color="auto" w:fill="CCEEFF"/>
            <w:tcMar>
              <w:top w:w="40" w:type="dxa"/>
              <w:left w:w="245" w:type="dxa"/>
              <w:bottom w:w="40" w:type="dxa"/>
              <w:right w:w="20" w:type="dxa"/>
            </w:tcMar>
            <w:vAlign w:val="bottom"/>
          </w:tcPr>
          <w:p w14:paraId="74DE0AEA" w14:textId="77777777" w:rsidR="00584EC1" w:rsidRDefault="00871F8D">
            <w:pPr>
              <w:textAlignment w:val="bottom"/>
            </w:pPr>
            <w:r>
              <w:rPr>
                <w:rFonts w:ascii="Arial" w:eastAsia="宋体" w:hAnsi="Arial" w:cs="Arial"/>
                <w:color w:val="000000"/>
                <w:sz w:val="12"/>
                <w:szCs w:val="12"/>
              </w:rPr>
              <w:t>Goodwill and other intangible assets, net of associated deferred tax liabilities</w:t>
            </w:r>
          </w:p>
        </w:tc>
        <w:tc>
          <w:tcPr>
            <w:tcW w:w="0" w:type="auto"/>
            <w:gridSpan w:val="2"/>
            <w:shd w:val="clear" w:color="auto" w:fill="CCEEFF"/>
            <w:tcMar>
              <w:top w:w="40" w:type="dxa"/>
              <w:left w:w="20" w:type="dxa"/>
              <w:bottom w:w="40" w:type="dxa"/>
              <w:right w:w="0" w:type="dxa"/>
            </w:tcMar>
            <w:vAlign w:val="bottom"/>
          </w:tcPr>
          <w:p w14:paraId="74DE0AEB" w14:textId="77777777" w:rsidR="00584EC1" w:rsidRDefault="00871F8D">
            <w:pPr>
              <w:jc w:val="right"/>
              <w:textAlignment w:val="bottom"/>
            </w:pPr>
            <w:r>
              <w:rPr>
                <w:rFonts w:ascii="Arial" w:eastAsia="宋体" w:hAnsi="Arial" w:cs="Arial"/>
                <w:b/>
                <w:bCs/>
                <w:color w:val="000000"/>
                <w:sz w:val="12"/>
                <w:szCs w:val="12"/>
              </w:rPr>
              <w:t>(9,040)</w:t>
            </w:r>
          </w:p>
        </w:tc>
        <w:tc>
          <w:tcPr>
            <w:tcW w:w="0" w:type="auto"/>
            <w:shd w:val="clear" w:color="auto" w:fill="CCEEFF"/>
            <w:tcMar>
              <w:top w:w="40" w:type="dxa"/>
              <w:left w:w="0" w:type="dxa"/>
              <w:bottom w:w="40" w:type="dxa"/>
              <w:right w:w="20" w:type="dxa"/>
            </w:tcMar>
            <w:vAlign w:val="bottom"/>
          </w:tcPr>
          <w:p w14:paraId="74DE0AE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AE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AEE" w14:textId="77777777" w:rsidR="00584EC1" w:rsidRDefault="00871F8D">
            <w:pPr>
              <w:jc w:val="right"/>
              <w:textAlignment w:val="bottom"/>
            </w:pPr>
            <w:r>
              <w:rPr>
                <w:rFonts w:ascii="Arial" w:eastAsia="宋体" w:hAnsi="Arial" w:cs="Arial"/>
                <w:b/>
                <w:bCs/>
                <w:color w:val="000000"/>
                <w:sz w:val="12"/>
                <w:szCs w:val="12"/>
              </w:rPr>
              <w:t>(9,040)</w:t>
            </w:r>
          </w:p>
        </w:tc>
        <w:tc>
          <w:tcPr>
            <w:tcW w:w="0" w:type="auto"/>
            <w:shd w:val="clear" w:color="auto" w:fill="CCEEFF"/>
            <w:tcMar>
              <w:top w:w="40" w:type="dxa"/>
              <w:left w:w="0" w:type="dxa"/>
              <w:bottom w:w="40" w:type="dxa"/>
              <w:right w:w="20" w:type="dxa"/>
            </w:tcMar>
            <w:vAlign w:val="bottom"/>
          </w:tcPr>
          <w:p w14:paraId="74DE0AE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AF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AF1" w14:textId="77777777" w:rsidR="00584EC1" w:rsidRDefault="00871F8D">
            <w:pPr>
              <w:jc w:val="right"/>
              <w:textAlignment w:val="bottom"/>
            </w:pPr>
            <w:r>
              <w:rPr>
                <w:rFonts w:ascii="Arial" w:eastAsia="宋体" w:hAnsi="Arial" w:cs="Arial"/>
                <w:color w:val="000000"/>
                <w:sz w:val="12"/>
                <w:szCs w:val="12"/>
              </w:rPr>
              <w:t>(9,019)</w:t>
            </w:r>
          </w:p>
        </w:tc>
        <w:tc>
          <w:tcPr>
            <w:tcW w:w="0" w:type="auto"/>
            <w:shd w:val="clear" w:color="auto" w:fill="CCEEFF"/>
            <w:tcMar>
              <w:top w:w="40" w:type="dxa"/>
              <w:left w:w="0" w:type="dxa"/>
              <w:bottom w:w="40" w:type="dxa"/>
              <w:right w:w="20" w:type="dxa"/>
            </w:tcMar>
            <w:vAlign w:val="bottom"/>
          </w:tcPr>
          <w:p w14:paraId="74DE0AF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AF3"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AF4" w14:textId="77777777" w:rsidR="00584EC1" w:rsidRDefault="00871F8D">
            <w:pPr>
              <w:jc w:val="right"/>
              <w:textAlignment w:val="bottom"/>
            </w:pPr>
            <w:r>
              <w:rPr>
                <w:rFonts w:ascii="Arial" w:eastAsia="宋体" w:hAnsi="Arial" w:cs="Arial"/>
                <w:color w:val="000000"/>
                <w:sz w:val="12"/>
                <w:szCs w:val="12"/>
              </w:rPr>
              <w:t>(9,019)</w:t>
            </w:r>
          </w:p>
        </w:tc>
        <w:tc>
          <w:tcPr>
            <w:tcW w:w="0" w:type="auto"/>
            <w:shd w:val="clear" w:color="auto" w:fill="CCEEFF"/>
            <w:tcMar>
              <w:top w:w="40" w:type="dxa"/>
              <w:left w:w="0" w:type="dxa"/>
              <w:bottom w:w="40" w:type="dxa"/>
              <w:right w:w="20" w:type="dxa"/>
            </w:tcMar>
            <w:vAlign w:val="bottom"/>
          </w:tcPr>
          <w:p w14:paraId="74DE0AF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AF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AF7" w14:textId="77777777" w:rsidR="00584EC1" w:rsidRDefault="00871F8D">
            <w:pPr>
              <w:jc w:val="right"/>
              <w:textAlignment w:val="bottom"/>
            </w:pPr>
            <w:r>
              <w:rPr>
                <w:rFonts w:ascii="Arial" w:eastAsia="宋体" w:hAnsi="Arial" w:cs="Arial"/>
                <w:b/>
                <w:bCs/>
                <w:color w:val="000000"/>
                <w:sz w:val="12"/>
                <w:szCs w:val="12"/>
              </w:rPr>
              <w:t>(8,770)</w:t>
            </w:r>
          </w:p>
        </w:tc>
        <w:tc>
          <w:tcPr>
            <w:tcW w:w="0" w:type="auto"/>
            <w:shd w:val="clear" w:color="auto" w:fill="CCEEFF"/>
            <w:tcMar>
              <w:top w:w="40" w:type="dxa"/>
              <w:left w:w="0" w:type="dxa"/>
              <w:bottom w:w="40" w:type="dxa"/>
              <w:right w:w="20" w:type="dxa"/>
            </w:tcMar>
            <w:vAlign w:val="bottom"/>
          </w:tcPr>
          <w:p w14:paraId="74DE0AF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AF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AFA" w14:textId="77777777" w:rsidR="00584EC1" w:rsidRDefault="00871F8D">
            <w:pPr>
              <w:jc w:val="right"/>
              <w:textAlignment w:val="bottom"/>
            </w:pPr>
            <w:r>
              <w:rPr>
                <w:rFonts w:ascii="Arial" w:eastAsia="宋体" w:hAnsi="Arial" w:cs="Arial"/>
                <w:b/>
                <w:bCs/>
                <w:color w:val="000000"/>
                <w:sz w:val="12"/>
                <w:szCs w:val="12"/>
              </w:rPr>
              <w:t>(8,770)</w:t>
            </w:r>
          </w:p>
        </w:tc>
        <w:tc>
          <w:tcPr>
            <w:tcW w:w="0" w:type="auto"/>
            <w:shd w:val="clear" w:color="auto" w:fill="CCEEFF"/>
            <w:tcMar>
              <w:top w:w="40" w:type="dxa"/>
              <w:left w:w="0" w:type="dxa"/>
              <w:bottom w:w="40" w:type="dxa"/>
              <w:right w:w="20" w:type="dxa"/>
            </w:tcMar>
            <w:vAlign w:val="bottom"/>
          </w:tcPr>
          <w:p w14:paraId="74DE0AF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AFC"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AFD" w14:textId="77777777" w:rsidR="00584EC1" w:rsidRDefault="00871F8D">
            <w:pPr>
              <w:jc w:val="right"/>
              <w:textAlignment w:val="bottom"/>
            </w:pPr>
            <w:r>
              <w:rPr>
                <w:rFonts w:ascii="Arial" w:eastAsia="宋体" w:hAnsi="Arial" w:cs="Arial"/>
                <w:color w:val="000000"/>
                <w:sz w:val="12"/>
                <w:szCs w:val="12"/>
              </w:rPr>
              <w:t>(8,745)</w:t>
            </w:r>
          </w:p>
        </w:tc>
        <w:tc>
          <w:tcPr>
            <w:tcW w:w="0" w:type="auto"/>
            <w:shd w:val="clear" w:color="auto" w:fill="CCEEFF"/>
            <w:tcMar>
              <w:top w:w="40" w:type="dxa"/>
              <w:left w:w="0" w:type="dxa"/>
              <w:bottom w:w="40" w:type="dxa"/>
              <w:right w:w="20" w:type="dxa"/>
            </w:tcMar>
            <w:vAlign w:val="bottom"/>
          </w:tcPr>
          <w:p w14:paraId="74DE0AF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AFF"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B00" w14:textId="77777777" w:rsidR="00584EC1" w:rsidRDefault="00871F8D">
            <w:pPr>
              <w:jc w:val="right"/>
              <w:textAlignment w:val="bottom"/>
            </w:pPr>
            <w:r>
              <w:rPr>
                <w:rFonts w:ascii="Arial" w:eastAsia="宋体" w:hAnsi="Arial" w:cs="Arial"/>
                <w:color w:val="000000"/>
                <w:sz w:val="12"/>
                <w:szCs w:val="12"/>
              </w:rPr>
              <w:t>(8,745)</w:t>
            </w:r>
          </w:p>
        </w:tc>
        <w:tc>
          <w:tcPr>
            <w:tcW w:w="0" w:type="auto"/>
            <w:shd w:val="clear" w:color="auto" w:fill="CCEEFF"/>
            <w:tcMar>
              <w:top w:w="40" w:type="dxa"/>
              <w:left w:w="0" w:type="dxa"/>
              <w:bottom w:w="40" w:type="dxa"/>
              <w:right w:w="20" w:type="dxa"/>
            </w:tcMar>
            <w:vAlign w:val="bottom"/>
          </w:tcPr>
          <w:p w14:paraId="74DE0B01" w14:textId="77777777" w:rsidR="00584EC1" w:rsidRDefault="00584EC1">
            <w:pPr>
              <w:jc w:val="right"/>
              <w:rPr>
                <w:rFonts w:ascii="宋体"/>
              </w:rPr>
            </w:pPr>
          </w:p>
        </w:tc>
      </w:tr>
      <w:tr w:rsidR="00584EC1" w14:paraId="74DE0B1B" w14:textId="77777777">
        <w:tc>
          <w:tcPr>
            <w:tcW w:w="0" w:type="auto"/>
            <w:gridSpan w:val="9"/>
            <w:shd w:val="clear" w:color="auto" w:fill="FFFFFF"/>
            <w:tcMar>
              <w:top w:w="40" w:type="dxa"/>
              <w:left w:w="20" w:type="dxa"/>
              <w:bottom w:w="40" w:type="dxa"/>
              <w:right w:w="20" w:type="dxa"/>
            </w:tcMar>
            <w:vAlign w:val="bottom"/>
          </w:tcPr>
          <w:p w14:paraId="74DE0B03" w14:textId="77777777" w:rsidR="00584EC1" w:rsidRDefault="00871F8D">
            <w:pPr>
              <w:textAlignment w:val="bottom"/>
            </w:pPr>
            <w:r>
              <w:rPr>
                <w:rFonts w:ascii="Arial" w:eastAsia="宋体" w:hAnsi="Arial" w:cs="Arial"/>
                <w:color w:val="000000"/>
                <w:sz w:val="12"/>
                <w:szCs w:val="12"/>
              </w:rPr>
              <w:t>Other adjustments</w:t>
            </w:r>
            <w:r>
              <w:rPr>
                <w:rFonts w:ascii="Arial" w:eastAsia="宋体" w:hAnsi="Arial" w:cs="Arial"/>
                <w:color w:val="000000"/>
                <w:sz w:val="7"/>
                <w:szCs w:val="7"/>
              </w:rPr>
              <w:t>(1)</w:t>
            </w:r>
          </w:p>
        </w:tc>
        <w:tc>
          <w:tcPr>
            <w:tcW w:w="0" w:type="auto"/>
            <w:gridSpan w:val="2"/>
            <w:shd w:val="clear" w:color="auto" w:fill="FFFFFF"/>
            <w:tcMar>
              <w:top w:w="40" w:type="dxa"/>
              <w:left w:w="20" w:type="dxa"/>
              <w:bottom w:w="40" w:type="dxa"/>
              <w:right w:w="0" w:type="dxa"/>
            </w:tcMar>
            <w:vAlign w:val="bottom"/>
          </w:tcPr>
          <w:p w14:paraId="74DE0B04" w14:textId="77777777" w:rsidR="00584EC1" w:rsidRDefault="00871F8D">
            <w:pPr>
              <w:jc w:val="right"/>
              <w:textAlignment w:val="bottom"/>
            </w:pPr>
            <w:r>
              <w:rPr>
                <w:rFonts w:ascii="Arial" w:eastAsia="宋体" w:hAnsi="Arial" w:cs="Arial"/>
                <w:b/>
                <w:bCs/>
                <w:color w:val="000000"/>
                <w:sz w:val="12"/>
                <w:szCs w:val="12"/>
              </w:rPr>
              <w:t>(467)</w:t>
            </w:r>
          </w:p>
        </w:tc>
        <w:tc>
          <w:tcPr>
            <w:tcW w:w="0" w:type="auto"/>
            <w:shd w:val="clear" w:color="auto" w:fill="FFFFFF"/>
            <w:tcMar>
              <w:top w:w="40" w:type="dxa"/>
              <w:left w:w="0" w:type="dxa"/>
              <w:bottom w:w="40" w:type="dxa"/>
              <w:right w:w="20" w:type="dxa"/>
            </w:tcMar>
            <w:vAlign w:val="bottom"/>
          </w:tcPr>
          <w:p w14:paraId="74DE0B0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B0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B07" w14:textId="77777777" w:rsidR="00584EC1" w:rsidRDefault="00871F8D">
            <w:pPr>
              <w:jc w:val="right"/>
              <w:textAlignment w:val="bottom"/>
            </w:pPr>
            <w:r>
              <w:rPr>
                <w:rFonts w:ascii="Arial" w:eastAsia="宋体" w:hAnsi="Arial" w:cs="Arial"/>
                <w:b/>
                <w:bCs/>
                <w:color w:val="000000"/>
                <w:sz w:val="12"/>
                <w:szCs w:val="12"/>
              </w:rPr>
              <w:t>(467)</w:t>
            </w:r>
          </w:p>
        </w:tc>
        <w:tc>
          <w:tcPr>
            <w:tcW w:w="0" w:type="auto"/>
            <w:shd w:val="clear" w:color="auto" w:fill="FFFFFF"/>
            <w:tcMar>
              <w:top w:w="40" w:type="dxa"/>
              <w:left w:w="0" w:type="dxa"/>
              <w:bottom w:w="40" w:type="dxa"/>
              <w:right w:w="20" w:type="dxa"/>
            </w:tcMar>
            <w:vAlign w:val="bottom"/>
          </w:tcPr>
          <w:p w14:paraId="74DE0B0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B0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B0A" w14:textId="77777777" w:rsidR="00584EC1" w:rsidRDefault="00871F8D">
            <w:pPr>
              <w:jc w:val="right"/>
              <w:textAlignment w:val="bottom"/>
            </w:pPr>
            <w:r>
              <w:rPr>
                <w:rFonts w:ascii="Arial" w:eastAsia="宋体" w:hAnsi="Arial" w:cs="Arial"/>
                <w:color w:val="000000"/>
                <w:sz w:val="12"/>
                <w:szCs w:val="12"/>
              </w:rPr>
              <w:t>(333)</w:t>
            </w:r>
          </w:p>
        </w:tc>
        <w:tc>
          <w:tcPr>
            <w:tcW w:w="0" w:type="auto"/>
            <w:shd w:val="clear" w:color="auto" w:fill="FFFFFF"/>
            <w:tcMar>
              <w:top w:w="40" w:type="dxa"/>
              <w:left w:w="0" w:type="dxa"/>
              <w:bottom w:w="40" w:type="dxa"/>
              <w:right w:w="20" w:type="dxa"/>
            </w:tcMar>
            <w:vAlign w:val="bottom"/>
          </w:tcPr>
          <w:p w14:paraId="74DE0B0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B0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B0D" w14:textId="77777777" w:rsidR="00584EC1" w:rsidRDefault="00871F8D">
            <w:pPr>
              <w:jc w:val="right"/>
              <w:textAlignment w:val="bottom"/>
            </w:pPr>
            <w:r>
              <w:rPr>
                <w:rFonts w:ascii="Arial" w:eastAsia="宋体" w:hAnsi="Arial" w:cs="Arial"/>
                <w:color w:val="000000"/>
                <w:sz w:val="12"/>
                <w:szCs w:val="12"/>
              </w:rPr>
              <w:t>(333)</w:t>
            </w:r>
          </w:p>
        </w:tc>
        <w:tc>
          <w:tcPr>
            <w:tcW w:w="0" w:type="auto"/>
            <w:shd w:val="clear" w:color="auto" w:fill="FFFFFF"/>
            <w:tcMar>
              <w:top w:w="40" w:type="dxa"/>
              <w:left w:w="0" w:type="dxa"/>
              <w:bottom w:w="40" w:type="dxa"/>
              <w:right w:w="20" w:type="dxa"/>
            </w:tcMar>
            <w:vAlign w:val="bottom"/>
          </w:tcPr>
          <w:p w14:paraId="74DE0B0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B0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B10" w14:textId="77777777" w:rsidR="00584EC1" w:rsidRDefault="00871F8D">
            <w:pPr>
              <w:jc w:val="right"/>
              <w:textAlignment w:val="bottom"/>
            </w:pPr>
            <w:r>
              <w:rPr>
                <w:rFonts w:ascii="Arial" w:eastAsia="宋体" w:hAnsi="Arial" w:cs="Arial"/>
                <w:b/>
                <w:bCs/>
                <w:color w:val="000000"/>
                <w:sz w:val="12"/>
                <w:szCs w:val="12"/>
              </w:rPr>
              <w:t>(281)</w:t>
            </w:r>
          </w:p>
        </w:tc>
        <w:tc>
          <w:tcPr>
            <w:tcW w:w="0" w:type="auto"/>
            <w:shd w:val="clear" w:color="auto" w:fill="FFFFFF"/>
            <w:tcMar>
              <w:top w:w="40" w:type="dxa"/>
              <w:left w:w="0" w:type="dxa"/>
              <w:bottom w:w="40" w:type="dxa"/>
              <w:right w:w="20" w:type="dxa"/>
            </w:tcMar>
            <w:vAlign w:val="bottom"/>
          </w:tcPr>
          <w:p w14:paraId="74DE0B1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B1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B13" w14:textId="77777777" w:rsidR="00584EC1" w:rsidRDefault="00871F8D">
            <w:pPr>
              <w:jc w:val="right"/>
              <w:textAlignment w:val="bottom"/>
            </w:pPr>
            <w:r>
              <w:rPr>
                <w:rFonts w:ascii="Arial" w:eastAsia="宋体" w:hAnsi="Arial" w:cs="Arial"/>
                <w:b/>
                <w:bCs/>
                <w:color w:val="000000"/>
                <w:sz w:val="12"/>
                <w:szCs w:val="12"/>
              </w:rPr>
              <w:t>(281)</w:t>
            </w:r>
          </w:p>
        </w:tc>
        <w:tc>
          <w:tcPr>
            <w:tcW w:w="0" w:type="auto"/>
            <w:shd w:val="clear" w:color="auto" w:fill="FFFFFF"/>
            <w:tcMar>
              <w:top w:w="40" w:type="dxa"/>
              <w:left w:w="0" w:type="dxa"/>
              <w:bottom w:w="40" w:type="dxa"/>
              <w:right w:w="20" w:type="dxa"/>
            </w:tcMar>
            <w:vAlign w:val="bottom"/>
          </w:tcPr>
          <w:p w14:paraId="74DE0B1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B15"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B16" w14:textId="77777777" w:rsidR="00584EC1" w:rsidRDefault="00871F8D">
            <w:pPr>
              <w:jc w:val="right"/>
              <w:textAlignment w:val="bottom"/>
            </w:pPr>
            <w:r>
              <w:rPr>
                <w:rFonts w:ascii="Arial" w:eastAsia="宋体" w:hAnsi="Arial" w:cs="Arial"/>
                <w:color w:val="000000"/>
                <w:sz w:val="12"/>
                <w:szCs w:val="12"/>
              </w:rPr>
              <w:t>(152)</w:t>
            </w:r>
          </w:p>
        </w:tc>
        <w:tc>
          <w:tcPr>
            <w:tcW w:w="0" w:type="auto"/>
            <w:shd w:val="clear" w:color="auto" w:fill="FFFFFF"/>
            <w:tcMar>
              <w:top w:w="40" w:type="dxa"/>
              <w:left w:w="0" w:type="dxa"/>
              <w:bottom w:w="40" w:type="dxa"/>
              <w:right w:w="20" w:type="dxa"/>
            </w:tcMar>
            <w:vAlign w:val="bottom"/>
          </w:tcPr>
          <w:p w14:paraId="74DE0B1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B18"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B19" w14:textId="77777777" w:rsidR="00584EC1" w:rsidRDefault="00871F8D">
            <w:pPr>
              <w:jc w:val="right"/>
              <w:textAlignment w:val="bottom"/>
            </w:pPr>
            <w:r>
              <w:rPr>
                <w:rFonts w:ascii="Arial" w:eastAsia="宋体" w:hAnsi="Arial" w:cs="Arial"/>
                <w:color w:val="000000"/>
                <w:sz w:val="12"/>
                <w:szCs w:val="12"/>
              </w:rPr>
              <w:t>(152)</w:t>
            </w:r>
          </w:p>
        </w:tc>
        <w:tc>
          <w:tcPr>
            <w:tcW w:w="0" w:type="auto"/>
            <w:shd w:val="clear" w:color="auto" w:fill="FFFFFF"/>
            <w:tcMar>
              <w:top w:w="40" w:type="dxa"/>
              <w:left w:w="0" w:type="dxa"/>
              <w:bottom w:w="40" w:type="dxa"/>
              <w:right w:w="20" w:type="dxa"/>
            </w:tcMar>
            <w:vAlign w:val="bottom"/>
          </w:tcPr>
          <w:p w14:paraId="74DE0B1A" w14:textId="77777777" w:rsidR="00584EC1" w:rsidRDefault="00584EC1">
            <w:pPr>
              <w:jc w:val="right"/>
              <w:rPr>
                <w:rFonts w:ascii="宋体"/>
              </w:rPr>
            </w:pPr>
          </w:p>
        </w:tc>
      </w:tr>
      <w:tr w:rsidR="00584EC1" w14:paraId="74DE0B34" w14:textId="77777777">
        <w:tc>
          <w:tcPr>
            <w:tcW w:w="0" w:type="auto"/>
            <w:gridSpan w:val="9"/>
            <w:shd w:val="clear" w:color="auto" w:fill="CCEEFF"/>
            <w:tcMar>
              <w:top w:w="40" w:type="dxa"/>
              <w:left w:w="20" w:type="dxa"/>
              <w:bottom w:w="40" w:type="dxa"/>
              <w:right w:w="20" w:type="dxa"/>
            </w:tcMar>
            <w:vAlign w:val="bottom"/>
          </w:tcPr>
          <w:p w14:paraId="74DE0B1C" w14:textId="77777777" w:rsidR="00584EC1" w:rsidRDefault="00871F8D">
            <w:pPr>
              <w:textAlignment w:val="bottom"/>
            </w:pPr>
            <w:r>
              <w:rPr>
                <w:rFonts w:ascii="Arial" w:eastAsia="宋体" w:hAnsi="Arial" w:cs="Arial"/>
                <w:b/>
                <w:bCs/>
                <w:color w:val="000000"/>
                <w:sz w:val="12"/>
                <w:szCs w:val="12"/>
              </w:rPr>
              <w:t> Common equity tier 1 capital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E0B1D" w14:textId="77777777" w:rsidR="00584EC1" w:rsidRDefault="00871F8D">
            <w:pPr>
              <w:jc w:val="right"/>
              <w:textAlignment w:val="bottom"/>
            </w:pPr>
            <w:r>
              <w:rPr>
                <w:rFonts w:ascii="Arial" w:eastAsia="宋体" w:hAnsi="Arial" w:cs="Arial"/>
                <w:b/>
                <w:bCs/>
                <w:color w:val="000000"/>
                <w:sz w:val="12"/>
                <w:szCs w:val="12"/>
              </w:rPr>
              <w:t>15,831</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B1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B1F"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E0B20" w14:textId="77777777" w:rsidR="00584EC1" w:rsidRDefault="00871F8D">
            <w:pPr>
              <w:jc w:val="right"/>
              <w:textAlignment w:val="bottom"/>
            </w:pPr>
            <w:r>
              <w:rPr>
                <w:rFonts w:ascii="Arial" w:eastAsia="宋体" w:hAnsi="Arial" w:cs="Arial"/>
                <w:b/>
                <w:bCs/>
                <w:color w:val="000000"/>
                <w:sz w:val="12"/>
                <w:szCs w:val="12"/>
              </w:rPr>
              <w:t>15,831</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B2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B22"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E0B23" w14:textId="77777777" w:rsidR="00584EC1" w:rsidRDefault="00871F8D">
            <w:pPr>
              <w:jc w:val="right"/>
              <w:textAlignment w:val="bottom"/>
            </w:pPr>
            <w:r>
              <w:rPr>
                <w:rFonts w:ascii="Arial" w:eastAsia="宋体" w:hAnsi="Arial" w:cs="Arial"/>
                <w:color w:val="000000"/>
                <w:sz w:val="12"/>
                <w:szCs w:val="12"/>
              </w:rPr>
              <w:t>14,377 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B2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B25"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E0B26" w14:textId="77777777" w:rsidR="00584EC1" w:rsidRDefault="00871F8D">
            <w:pPr>
              <w:jc w:val="right"/>
              <w:textAlignment w:val="bottom"/>
            </w:pPr>
            <w:r>
              <w:rPr>
                <w:rFonts w:ascii="Arial" w:eastAsia="宋体" w:hAnsi="Arial" w:cs="Arial"/>
                <w:color w:val="000000"/>
                <w:sz w:val="12"/>
                <w:szCs w:val="12"/>
              </w:rPr>
              <w:t>14,377 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B2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B28"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E0B29" w14:textId="77777777" w:rsidR="00584EC1" w:rsidRDefault="00871F8D">
            <w:pPr>
              <w:jc w:val="right"/>
              <w:textAlignment w:val="bottom"/>
            </w:pPr>
            <w:r>
              <w:rPr>
                <w:rFonts w:ascii="Arial" w:eastAsia="宋体" w:hAnsi="Arial" w:cs="Arial"/>
                <w:b/>
                <w:bCs/>
                <w:color w:val="000000"/>
                <w:sz w:val="12"/>
                <w:szCs w:val="12"/>
              </w:rPr>
              <w:t>18,290</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B2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B2B"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E0B2C" w14:textId="77777777" w:rsidR="00584EC1" w:rsidRDefault="00871F8D">
            <w:pPr>
              <w:jc w:val="right"/>
              <w:textAlignment w:val="bottom"/>
            </w:pPr>
            <w:r>
              <w:rPr>
                <w:rFonts w:ascii="Arial" w:eastAsia="宋体" w:hAnsi="Arial" w:cs="Arial"/>
                <w:b/>
                <w:bCs/>
                <w:color w:val="000000"/>
                <w:sz w:val="12"/>
                <w:szCs w:val="12"/>
              </w:rPr>
              <w:t>18,290</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B2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B2E"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E0B2F" w14:textId="77777777" w:rsidR="00584EC1" w:rsidRDefault="00871F8D">
            <w:pPr>
              <w:jc w:val="right"/>
              <w:textAlignment w:val="bottom"/>
            </w:pPr>
            <w:r>
              <w:rPr>
                <w:rFonts w:ascii="Arial" w:eastAsia="宋体" w:hAnsi="Arial" w:cs="Arial"/>
                <w:color w:val="000000"/>
                <w:sz w:val="12"/>
                <w:szCs w:val="12"/>
              </w:rPr>
              <w:t>17,306 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B3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B31"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E0B32" w14:textId="77777777" w:rsidR="00584EC1" w:rsidRDefault="00871F8D">
            <w:pPr>
              <w:jc w:val="right"/>
              <w:textAlignment w:val="bottom"/>
            </w:pPr>
            <w:r>
              <w:rPr>
                <w:rFonts w:ascii="Arial" w:eastAsia="宋体" w:hAnsi="Arial" w:cs="Arial"/>
                <w:color w:val="000000"/>
                <w:sz w:val="12"/>
                <w:szCs w:val="12"/>
              </w:rPr>
              <w:t>17,306 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B33" w14:textId="77777777" w:rsidR="00584EC1" w:rsidRDefault="00584EC1">
            <w:pPr>
              <w:jc w:val="right"/>
              <w:rPr>
                <w:rFonts w:ascii="宋体"/>
              </w:rPr>
            </w:pPr>
          </w:p>
        </w:tc>
      </w:tr>
      <w:tr w:rsidR="00584EC1" w14:paraId="74DE0B4D" w14:textId="77777777">
        <w:tc>
          <w:tcPr>
            <w:tcW w:w="0" w:type="auto"/>
            <w:gridSpan w:val="9"/>
            <w:shd w:val="clear" w:color="auto" w:fill="FFFFFF"/>
            <w:tcMar>
              <w:top w:w="40" w:type="dxa"/>
              <w:left w:w="245" w:type="dxa"/>
              <w:bottom w:w="40" w:type="dxa"/>
              <w:right w:w="20" w:type="dxa"/>
            </w:tcMar>
            <w:vAlign w:val="bottom"/>
          </w:tcPr>
          <w:p w14:paraId="74DE0B35" w14:textId="77777777" w:rsidR="00584EC1" w:rsidRDefault="00871F8D">
            <w:pPr>
              <w:textAlignment w:val="bottom"/>
            </w:pPr>
            <w:r>
              <w:rPr>
                <w:rFonts w:ascii="Arial" w:eastAsia="宋体" w:hAnsi="Arial" w:cs="Arial"/>
                <w:color w:val="000000"/>
                <w:sz w:val="12"/>
                <w:szCs w:val="12"/>
              </w:rPr>
              <w:t>Preferred stock</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0B36" w14:textId="77777777" w:rsidR="00584EC1" w:rsidRDefault="00871F8D">
            <w:pPr>
              <w:jc w:val="right"/>
              <w:textAlignment w:val="bottom"/>
            </w:pPr>
            <w:r>
              <w:rPr>
                <w:rFonts w:ascii="Arial" w:eastAsia="宋体" w:hAnsi="Arial" w:cs="Arial"/>
                <w:b/>
                <w:bCs/>
                <w:color w:val="000000"/>
                <w:sz w:val="12"/>
                <w:szCs w:val="12"/>
              </w:rPr>
              <w:t>1,976</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0B3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B38"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0B39" w14:textId="77777777" w:rsidR="00584EC1" w:rsidRDefault="00871F8D">
            <w:pPr>
              <w:jc w:val="right"/>
              <w:textAlignment w:val="bottom"/>
            </w:pPr>
            <w:r>
              <w:rPr>
                <w:rFonts w:ascii="Arial" w:eastAsia="宋体" w:hAnsi="Arial" w:cs="Arial"/>
                <w:b/>
                <w:bCs/>
                <w:color w:val="000000"/>
                <w:sz w:val="12"/>
                <w:szCs w:val="12"/>
              </w:rPr>
              <w:t>1,976</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0B3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B3B"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0B3C" w14:textId="77777777" w:rsidR="00584EC1" w:rsidRDefault="00871F8D">
            <w:pPr>
              <w:jc w:val="right"/>
              <w:textAlignment w:val="bottom"/>
            </w:pPr>
            <w:r>
              <w:rPr>
                <w:rFonts w:ascii="Arial" w:eastAsia="宋体" w:hAnsi="Arial" w:cs="Arial"/>
                <w:color w:val="000000"/>
                <w:sz w:val="12"/>
                <w:szCs w:val="12"/>
              </w:rPr>
              <w:t>2,471 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0B3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B3E"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0B3F" w14:textId="77777777" w:rsidR="00584EC1" w:rsidRDefault="00871F8D">
            <w:pPr>
              <w:jc w:val="right"/>
              <w:textAlignment w:val="bottom"/>
            </w:pPr>
            <w:r>
              <w:rPr>
                <w:rFonts w:ascii="Arial" w:eastAsia="宋体" w:hAnsi="Arial" w:cs="Arial"/>
                <w:color w:val="000000"/>
                <w:sz w:val="12"/>
                <w:szCs w:val="12"/>
              </w:rPr>
              <w:t>2,471 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0B4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B41"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0B42"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0B4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B44"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0B45"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0B4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B47"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0B48" w14:textId="77777777" w:rsidR="00584EC1" w:rsidRDefault="00871F8D">
            <w:pPr>
              <w:jc w:val="right"/>
              <w:textAlignment w:val="bottom"/>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0B4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B4A"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0B4B" w14:textId="77777777" w:rsidR="00584EC1" w:rsidRDefault="00871F8D">
            <w:pPr>
              <w:jc w:val="right"/>
              <w:textAlignment w:val="bottom"/>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0B4C" w14:textId="77777777" w:rsidR="00584EC1" w:rsidRDefault="00584EC1">
            <w:pPr>
              <w:jc w:val="right"/>
              <w:rPr>
                <w:rFonts w:ascii="宋体"/>
              </w:rPr>
            </w:pPr>
          </w:p>
        </w:tc>
      </w:tr>
      <w:tr w:rsidR="00584EC1" w14:paraId="74DE0B64" w14:textId="77777777">
        <w:trPr>
          <w:hidden/>
        </w:trPr>
        <w:tc>
          <w:tcPr>
            <w:tcW w:w="0" w:type="auto"/>
            <w:gridSpan w:val="3"/>
            <w:shd w:val="clear" w:color="auto" w:fill="auto"/>
            <w:vAlign w:val="bottom"/>
          </w:tcPr>
          <w:p w14:paraId="74DE0B4E" w14:textId="77777777" w:rsidR="00584EC1" w:rsidRDefault="00584EC1">
            <w:pPr>
              <w:rPr>
                <w:rFonts w:ascii="宋体"/>
                <w:vanish/>
              </w:rPr>
            </w:pPr>
          </w:p>
        </w:tc>
        <w:tc>
          <w:tcPr>
            <w:tcW w:w="0" w:type="auto"/>
            <w:gridSpan w:val="3"/>
            <w:shd w:val="clear" w:color="auto" w:fill="auto"/>
            <w:vAlign w:val="bottom"/>
          </w:tcPr>
          <w:p w14:paraId="74DE0B4F" w14:textId="77777777" w:rsidR="00584EC1" w:rsidRDefault="00584EC1">
            <w:pPr>
              <w:rPr>
                <w:rFonts w:ascii="宋体"/>
                <w:vanish/>
              </w:rPr>
            </w:pPr>
          </w:p>
        </w:tc>
        <w:tc>
          <w:tcPr>
            <w:tcW w:w="0" w:type="auto"/>
            <w:gridSpan w:val="3"/>
            <w:shd w:val="clear" w:color="auto" w:fill="auto"/>
            <w:vAlign w:val="bottom"/>
          </w:tcPr>
          <w:p w14:paraId="74DE0B50" w14:textId="77777777" w:rsidR="00584EC1" w:rsidRDefault="00584EC1">
            <w:pPr>
              <w:rPr>
                <w:rFonts w:ascii="宋体"/>
                <w:vanish/>
              </w:rPr>
            </w:pPr>
          </w:p>
        </w:tc>
        <w:tc>
          <w:tcPr>
            <w:tcW w:w="0" w:type="auto"/>
            <w:gridSpan w:val="3"/>
            <w:shd w:val="clear" w:color="auto" w:fill="auto"/>
            <w:vAlign w:val="bottom"/>
          </w:tcPr>
          <w:p w14:paraId="74DE0B51" w14:textId="77777777" w:rsidR="00584EC1" w:rsidRDefault="00584EC1">
            <w:pPr>
              <w:rPr>
                <w:rFonts w:ascii="宋体"/>
                <w:vanish/>
              </w:rPr>
            </w:pPr>
          </w:p>
        </w:tc>
        <w:tc>
          <w:tcPr>
            <w:tcW w:w="0" w:type="auto"/>
            <w:gridSpan w:val="3"/>
            <w:shd w:val="clear" w:color="auto" w:fill="auto"/>
            <w:vAlign w:val="bottom"/>
          </w:tcPr>
          <w:p w14:paraId="74DE0B52" w14:textId="77777777" w:rsidR="00584EC1" w:rsidRDefault="00584EC1">
            <w:pPr>
              <w:rPr>
                <w:rFonts w:ascii="宋体"/>
                <w:vanish/>
              </w:rPr>
            </w:pPr>
          </w:p>
        </w:tc>
        <w:tc>
          <w:tcPr>
            <w:tcW w:w="0" w:type="auto"/>
            <w:gridSpan w:val="3"/>
            <w:shd w:val="clear" w:color="auto" w:fill="auto"/>
            <w:vAlign w:val="bottom"/>
          </w:tcPr>
          <w:p w14:paraId="74DE0B53" w14:textId="77777777" w:rsidR="00584EC1" w:rsidRDefault="00584EC1">
            <w:pPr>
              <w:rPr>
                <w:rFonts w:ascii="宋体"/>
                <w:vanish/>
              </w:rPr>
            </w:pPr>
          </w:p>
        </w:tc>
        <w:tc>
          <w:tcPr>
            <w:tcW w:w="0" w:type="auto"/>
            <w:gridSpan w:val="3"/>
            <w:shd w:val="clear" w:color="auto" w:fill="auto"/>
            <w:vAlign w:val="bottom"/>
          </w:tcPr>
          <w:p w14:paraId="74DE0B54" w14:textId="77777777" w:rsidR="00584EC1" w:rsidRDefault="00584EC1">
            <w:pPr>
              <w:rPr>
                <w:rFonts w:ascii="宋体"/>
                <w:vanish/>
              </w:rPr>
            </w:pPr>
          </w:p>
        </w:tc>
        <w:tc>
          <w:tcPr>
            <w:tcW w:w="0" w:type="auto"/>
            <w:gridSpan w:val="3"/>
            <w:shd w:val="clear" w:color="auto" w:fill="auto"/>
            <w:vAlign w:val="bottom"/>
          </w:tcPr>
          <w:p w14:paraId="74DE0B55" w14:textId="77777777" w:rsidR="00584EC1" w:rsidRDefault="00584EC1">
            <w:pPr>
              <w:rPr>
                <w:rFonts w:ascii="宋体"/>
                <w:vanish/>
              </w:rPr>
            </w:pPr>
          </w:p>
        </w:tc>
        <w:tc>
          <w:tcPr>
            <w:tcW w:w="0" w:type="auto"/>
            <w:gridSpan w:val="3"/>
            <w:shd w:val="clear" w:color="auto" w:fill="auto"/>
            <w:vAlign w:val="bottom"/>
          </w:tcPr>
          <w:p w14:paraId="74DE0B56" w14:textId="77777777" w:rsidR="00584EC1" w:rsidRDefault="00584EC1">
            <w:pPr>
              <w:rPr>
                <w:rFonts w:ascii="宋体"/>
                <w:vanish/>
              </w:rPr>
            </w:pPr>
          </w:p>
        </w:tc>
        <w:tc>
          <w:tcPr>
            <w:tcW w:w="0" w:type="auto"/>
            <w:gridSpan w:val="3"/>
            <w:shd w:val="clear" w:color="auto" w:fill="auto"/>
            <w:vAlign w:val="bottom"/>
          </w:tcPr>
          <w:p w14:paraId="74DE0B57" w14:textId="77777777" w:rsidR="00584EC1" w:rsidRDefault="00584EC1">
            <w:pPr>
              <w:rPr>
                <w:rFonts w:ascii="宋体"/>
                <w:vanish/>
              </w:rPr>
            </w:pPr>
          </w:p>
        </w:tc>
        <w:tc>
          <w:tcPr>
            <w:tcW w:w="0" w:type="auto"/>
            <w:gridSpan w:val="3"/>
            <w:shd w:val="clear" w:color="auto" w:fill="auto"/>
            <w:vAlign w:val="bottom"/>
          </w:tcPr>
          <w:p w14:paraId="74DE0B58" w14:textId="77777777" w:rsidR="00584EC1" w:rsidRDefault="00584EC1">
            <w:pPr>
              <w:rPr>
                <w:rFonts w:ascii="宋体"/>
                <w:vanish/>
              </w:rPr>
            </w:pPr>
          </w:p>
        </w:tc>
        <w:tc>
          <w:tcPr>
            <w:tcW w:w="0" w:type="auto"/>
            <w:gridSpan w:val="3"/>
            <w:shd w:val="clear" w:color="auto" w:fill="auto"/>
            <w:vAlign w:val="bottom"/>
          </w:tcPr>
          <w:p w14:paraId="74DE0B59" w14:textId="77777777" w:rsidR="00584EC1" w:rsidRDefault="00584EC1">
            <w:pPr>
              <w:rPr>
                <w:rFonts w:ascii="宋体"/>
                <w:vanish/>
              </w:rPr>
            </w:pPr>
          </w:p>
        </w:tc>
        <w:tc>
          <w:tcPr>
            <w:tcW w:w="0" w:type="auto"/>
            <w:gridSpan w:val="3"/>
            <w:shd w:val="clear" w:color="auto" w:fill="auto"/>
            <w:vAlign w:val="bottom"/>
          </w:tcPr>
          <w:p w14:paraId="74DE0B5A" w14:textId="77777777" w:rsidR="00584EC1" w:rsidRDefault="00584EC1">
            <w:pPr>
              <w:rPr>
                <w:rFonts w:ascii="宋体"/>
                <w:vanish/>
              </w:rPr>
            </w:pPr>
          </w:p>
        </w:tc>
        <w:tc>
          <w:tcPr>
            <w:tcW w:w="0" w:type="auto"/>
            <w:gridSpan w:val="3"/>
            <w:shd w:val="clear" w:color="auto" w:fill="auto"/>
            <w:vAlign w:val="bottom"/>
          </w:tcPr>
          <w:p w14:paraId="74DE0B5B" w14:textId="77777777" w:rsidR="00584EC1" w:rsidRDefault="00584EC1">
            <w:pPr>
              <w:rPr>
                <w:rFonts w:ascii="宋体"/>
                <w:vanish/>
              </w:rPr>
            </w:pPr>
          </w:p>
        </w:tc>
        <w:tc>
          <w:tcPr>
            <w:tcW w:w="0" w:type="auto"/>
            <w:gridSpan w:val="3"/>
            <w:shd w:val="clear" w:color="auto" w:fill="auto"/>
            <w:vAlign w:val="bottom"/>
          </w:tcPr>
          <w:p w14:paraId="74DE0B5C" w14:textId="77777777" w:rsidR="00584EC1" w:rsidRDefault="00584EC1">
            <w:pPr>
              <w:rPr>
                <w:rFonts w:ascii="宋体"/>
                <w:vanish/>
              </w:rPr>
            </w:pPr>
          </w:p>
        </w:tc>
        <w:tc>
          <w:tcPr>
            <w:tcW w:w="0" w:type="auto"/>
            <w:gridSpan w:val="3"/>
            <w:shd w:val="clear" w:color="auto" w:fill="auto"/>
            <w:vAlign w:val="bottom"/>
          </w:tcPr>
          <w:p w14:paraId="74DE0B5D" w14:textId="77777777" w:rsidR="00584EC1" w:rsidRDefault="00584EC1">
            <w:pPr>
              <w:rPr>
                <w:rFonts w:ascii="宋体"/>
                <w:vanish/>
              </w:rPr>
            </w:pPr>
          </w:p>
        </w:tc>
        <w:tc>
          <w:tcPr>
            <w:tcW w:w="0" w:type="auto"/>
            <w:shd w:val="clear" w:color="auto" w:fill="auto"/>
            <w:vAlign w:val="bottom"/>
          </w:tcPr>
          <w:p w14:paraId="74DE0B5E" w14:textId="77777777" w:rsidR="00584EC1" w:rsidRDefault="00584EC1">
            <w:pPr>
              <w:rPr>
                <w:rFonts w:ascii="宋体"/>
              </w:rPr>
            </w:pPr>
          </w:p>
        </w:tc>
        <w:tc>
          <w:tcPr>
            <w:tcW w:w="0" w:type="auto"/>
            <w:shd w:val="clear" w:color="auto" w:fill="auto"/>
            <w:vAlign w:val="bottom"/>
          </w:tcPr>
          <w:p w14:paraId="74DE0B5F" w14:textId="77777777" w:rsidR="00584EC1" w:rsidRDefault="00584EC1">
            <w:pPr>
              <w:rPr>
                <w:rFonts w:ascii="宋体"/>
              </w:rPr>
            </w:pPr>
          </w:p>
        </w:tc>
        <w:tc>
          <w:tcPr>
            <w:tcW w:w="0" w:type="auto"/>
            <w:shd w:val="clear" w:color="auto" w:fill="auto"/>
            <w:vAlign w:val="bottom"/>
          </w:tcPr>
          <w:p w14:paraId="74DE0B60" w14:textId="77777777" w:rsidR="00584EC1" w:rsidRDefault="00584EC1">
            <w:pPr>
              <w:rPr>
                <w:rFonts w:ascii="宋体"/>
              </w:rPr>
            </w:pPr>
          </w:p>
        </w:tc>
        <w:tc>
          <w:tcPr>
            <w:tcW w:w="0" w:type="auto"/>
            <w:shd w:val="clear" w:color="auto" w:fill="auto"/>
            <w:vAlign w:val="bottom"/>
          </w:tcPr>
          <w:p w14:paraId="74DE0B61" w14:textId="77777777" w:rsidR="00584EC1" w:rsidRDefault="00584EC1">
            <w:pPr>
              <w:rPr>
                <w:rFonts w:ascii="宋体"/>
              </w:rPr>
            </w:pPr>
          </w:p>
        </w:tc>
        <w:tc>
          <w:tcPr>
            <w:tcW w:w="0" w:type="auto"/>
            <w:shd w:val="clear" w:color="auto" w:fill="auto"/>
            <w:vAlign w:val="bottom"/>
          </w:tcPr>
          <w:p w14:paraId="74DE0B62" w14:textId="77777777" w:rsidR="00584EC1" w:rsidRDefault="00584EC1">
            <w:pPr>
              <w:rPr>
                <w:rFonts w:ascii="宋体"/>
              </w:rPr>
            </w:pPr>
          </w:p>
        </w:tc>
        <w:tc>
          <w:tcPr>
            <w:tcW w:w="0" w:type="auto"/>
            <w:shd w:val="clear" w:color="auto" w:fill="auto"/>
            <w:vAlign w:val="bottom"/>
          </w:tcPr>
          <w:p w14:paraId="74DE0B63" w14:textId="77777777" w:rsidR="00584EC1" w:rsidRDefault="00584EC1">
            <w:pPr>
              <w:rPr>
                <w:rFonts w:ascii="宋体"/>
              </w:rPr>
            </w:pPr>
          </w:p>
        </w:tc>
      </w:tr>
      <w:tr w:rsidR="00584EC1" w14:paraId="74DE0B7B" w14:textId="77777777">
        <w:trPr>
          <w:hidden/>
        </w:trPr>
        <w:tc>
          <w:tcPr>
            <w:tcW w:w="0" w:type="auto"/>
            <w:gridSpan w:val="3"/>
            <w:shd w:val="clear" w:color="auto" w:fill="auto"/>
            <w:vAlign w:val="bottom"/>
          </w:tcPr>
          <w:p w14:paraId="74DE0B65" w14:textId="77777777" w:rsidR="00584EC1" w:rsidRDefault="00584EC1">
            <w:pPr>
              <w:rPr>
                <w:rFonts w:ascii="宋体"/>
                <w:vanish/>
              </w:rPr>
            </w:pPr>
          </w:p>
        </w:tc>
        <w:tc>
          <w:tcPr>
            <w:tcW w:w="0" w:type="auto"/>
            <w:gridSpan w:val="3"/>
            <w:shd w:val="clear" w:color="auto" w:fill="auto"/>
            <w:vAlign w:val="bottom"/>
          </w:tcPr>
          <w:p w14:paraId="74DE0B66" w14:textId="77777777" w:rsidR="00584EC1" w:rsidRDefault="00584EC1">
            <w:pPr>
              <w:rPr>
                <w:rFonts w:ascii="宋体"/>
                <w:vanish/>
              </w:rPr>
            </w:pPr>
          </w:p>
        </w:tc>
        <w:tc>
          <w:tcPr>
            <w:tcW w:w="0" w:type="auto"/>
            <w:gridSpan w:val="3"/>
            <w:shd w:val="clear" w:color="auto" w:fill="auto"/>
            <w:vAlign w:val="bottom"/>
          </w:tcPr>
          <w:p w14:paraId="74DE0B67" w14:textId="77777777" w:rsidR="00584EC1" w:rsidRDefault="00584EC1">
            <w:pPr>
              <w:rPr>
                <w:rFonts w:ascii="宋体"/>
                <w:vanish/>
              </w:rPr>
            </w:pPr>
          </w:p>
        </w:tc>
        <w:tc>
          <w:tcPr>
            <w:tcW w:w="0" w:type="auto"/>
            <w:gridSpan w:val="3"/>
            <w:shd w:val="clear" w:color="auto" w:fill="auto"/>
            <w:vAlign w:val="bottom"/>
          </w:tcPr>
          <w:p w14:paraId="74DE0B68" w14:textId="77777777" w:rsidR="00584EC1" w:rsidRDefault="00584EC1">
            <w:pPr>
              <w:rPr>
                <w:rFonts w:ascii="宋体"/>
                <w:vanish/>
              </w:rPr>
            </w:pPr>
          </w:p>
        </w:tc>
        <w:tc>
          <w:tcPr>
            <w:tcW w:w="0" w:type="auto"/>
            <w:gridSpan w:val="3"/>
            <w:shd w:val="clear" w:color="auto" w:fill="auto"/>
            <w:vAlign w:val="bottom"/>
          </w:tcPr>
          <w:p w14:paraId="74DE0B69" w14:textId="77777777" w:rsidR="00584EC1" w:rsidRDefault="00584EC1">
            <w:pPr>
              <w:rPr>
                <w:rFonts w:ascii="宋体"/>
                <w:vanish/>
              </w:rPr>
            </w:pPr>
          </w:p>
        </w:tc>
        <w:tc>
          <w:tcPr>
            <w:tcW w:w="0" w:type="auto"/>
            <w:gridSpan w:val="3"/>
            <w:shd w:val="clear" w:color="auto" w:fill="auto"/>
            <w:vAlign w:val="bottom"/>
          </w:tcPr>
          <w:p w14:paraId="74DE0B6A" w14:textId="77777777" w:rsidR="00584EC1" w:rsidRDefault="00584EC1">
            <w:pPr>
              <w:rPr>
                <w:rFonts w:ascii="宋体"/>
                <w:vanish/>
              </w:rPr>
            </w:pPr>
          </w:p>
        </w:tc>
        <w:tc>
          <w:tcPr>
            <w:tcW w:w="0" w:type="auto"/>
            <w:gridSpan w:val="3"/>
            <w:shd w:val="clear" w:color="auto" w:fill="auto"/>
            <w:vAlign w:val="bottom"/>
          </w:tcPr>
          <w:p w14:paraId="74DE0B6B" w14:textId="77777777" w:rsidR="00584EC1" w:rsidRDefault="00584EC1">
            <w:pPr>
              <w:rPr>
                <w:rFonts w:ascii="宋体"/>
                <w:vanish/>
              </w:rPr>
            </w:pPr>
          </w:p>
        </w:tc>
        <w:tc>
          <w:tcPr>
            <w:tcW w:w="0" w:type="auto"/>
            <w:gridSpan w:val="3"/>
            <w:shd w:val="clear" w:color="auto" w:fill="auto"/>
            <w:vAlign w:val="bottom"/>
          </w:tcPr>
          <w:p w14:paraId="74DE0B6C" w14:textId="77777777" w:rsidR="00584EC1" w:rsidRDefault="00584EC1">
            <w:pPr>
              <w:rPr>
                <w:rFonts w:ascii="宋体"/>
                <w:vanish/>
              </w:rPr>
            </w:pPr>
          </w:p>
        </w:tc>
        <w:tc>
          <w:tcPr>
            <w:tcW w:w="0" w:type="auto"/>
            <w:gridSpan w:val="3"/>
            <w:shd w:val="clear" w:color="auto" w:fill="auto"/>
            <w:vAlign w:val="bottom"/>
          </w:tcPr>
          <w:p w14:paraId="74DE0B6D" w14:textId="77777777" w:rsidR="00584EC1" w:rsidRDefault="00584EC1">
            <w:pPr>
              <w:rPr>
                <w:rFonts w:ascii="宋体"/>
                <w:vanish/>
              </w:rPr>
            </w:pPr>
          </w:p>
        </w:tc>
        <w:tc>
          <w:tcPr>
            <w:tcW w:w="0" w:type="auto"/>
            <w:gridSpan w:val="3"/>
            <w:shd w:val="clear" w:color="auto" w:fill="auto"/>
            <w:vAlign w:val="bottom"/>
          </w:tcPr>
          <w:p w14:paraId="74DE0B6E" w14:textId="77777777" w:rsidR="00584EC1" w:rsidRDefault="00584EC1">
            <w:pPr>
              <w:rPr>
                <w:rFonts w:ascii="宋体"/>
                <w:vanish/>
              </w:rPr>
            </w:pPr>
          </w:p>
        </w:tc>
        <w:tc>
          <w:tcPr>
            <w:tcW w:w="0" w:type="auto"/>
            <w:gridSpan w:val="3"/>
            <w:shd w:val="clear" w:color="auto" w:fill="auto"/>
            <w:vAlign w:val="bottom"/>
          </w:tcPr>
          <w:p w14:paraId="74DE0B6F" w14:textId="77777777" w:rsidR="00584EC1" w:rsidRDefault="00584EC1">
            <w:pPr>
              <w:rPr>
                <w:rFonts w:ascii="宋体"/>
                <w:vanish/>
              </w:rPr>
            </w:pPr>
          </w:p>
        </w:tc>
        <w:tc>
          <w:tcPr>
            <w:tcW w:w="0" w:type="auto"/>
            <w:gridSpan w:val="3"/>
            <w:shd w:val="clear" w:color="auto" w:fill="auto"/>
            <w:vAlign w:val="bottom"/>
          </w:tcPr>
          <w:p w14:paraId="74DE0B70" w14:textId="77777777" w:rsidR="00584EC1" w:rsidRDefault="00584EC1">
            <w:pPr>
              <w:rPr>
                <w:rFonts w:ascii="宋体"/>
                <w:vanish/>
              </w:rPr>
            </w:pPr>
          </w:p>
        </w:tc>
        <w:tc>
          <w:tcPr>
            <w:tcW w:w="0" w:type="auto"/>
            <w:gridSpan w:val="3"/>
            <w:shd w:val="clear" w:color="auto" w:fill="auto"/>
            <w:vAlign w:val="bottom"/>
          </w:tcPr>
          <w:p w14:paraId="74DE0B71" w14:textId="77777777" w:rsidR="00584EC1" w:rsidRDefault="00584EC1">
            <w:pPr>
              <w:rPr>
                <w:rFonts w:ascii="宋体"/>
                <w:vanish/>
              </w:rPr>
            </w:pPr>
          </w:p>
        </w:tc>
        <w:tc>
          <w:tcPr>
            <w:tcW w:w="0" w:type="auto"/>
            <w:gridSpan w:val="3"/>
            <w:shd w:val="clear" w:color="auto" w:fill="auto"/>
            <w:vAlign w:val="bottom"/>
          </w:tcPr>
          <w:p w14:paraId="74DE0B72" w14:textId="77777777" w:rsidR="00584EC1" w:rsidRDefault="00584EC1">
            <w:pPr>
              <w:rPr>
                <w:rFonts w:ascii="宋体"/>
                <w:vanish/>
              </w:rPr>
            </w:pPr>
          </w:p>
        </w:tc>
        <w:tc>
          <w:tcPr>
            <w:tcW w:w="0" w:type="auto"/>
            <w:gridSpan w:val="3"/>
            <w:shd w:val="clear" w:color="auto" w:fill="auto"/>
            <w:vAlign w:val="bottom"/>
          </w:tcPr>
          <w:p w14:paraId="74DE0B73" w14:textId="77777777" w:rsidR="00584EC1" w:rsidRDefault="00584EC1">
            <w:pPr>
              <w:rPr>
                <w:rFonts w:ascii="宋体"/>
                <w:vanish/>
              </w:rPr>
            </w:pPr>
          </w:p>
        </w:tc>
        <w:tc>
          <w:tcPr>
            <w:tcW w:w="0" w:type="auto"/>
            <w:gridSpan w:val="3"/>
            <w:shd w:val="clear" w:color="auto" w:fill="auto"/>
            <w:vAlign w:val="bottom"/>
          </w:tcPr>
          <w:p w14:paraId="74DE0B74" w14:textId="77777777" w:rsidR="00584EC1" w:rsidRDefault="00584EC1">
            <w:pPr>
              <w:rPr>
                <w:rFonts w:ascii="宋体"/>
                <w:vanish/>
              </w:rPr>
            </w:pPr>
          </w:p>
        </w:tc>
        <w:tc>
          <w:tcPr>
            <w:tcW w:w="0" w:type="auto"/>
            <w:shd w:val="clear" w:color="auto" w:fill="auto"/>
            <w:vAlign w:val="bottom"/>
          </w:tcPr>
          <w:p w14:paraId="74DE0B75" w14:textId="77777777" w:rsidR="00584EC1" w:rsidRDefault="00584EC1">
            <w:pPr>
              <w:rPr>
                <w:rFonts w:ascii="宋体"/>
              </w:rPr>
            </w:pPr>
          </w:p>
        </w:tc>
        <w:tc>
          <w:tcPr>
            <w:tcW w:w="0" w:type="auto"/>
            <w:shd w:val="clear" w:color="auto" w:fill="auto"/>
            <w:vAlign w:val="bottom"/>
          </w:tcPr>
          <w:p w14:paraId="74DE0B76" w14:textId="77777777" w:rsidR="00584EC1" w:rsidRDefault="00584EC1">
            <w:pPr>
              <w:rPr>
                <w:rFonts w:ascii="宋体"/>
              </w:rPr>
            </w:pPr>
          </w:p>
        </w:tc>
        <w:tc>
          <w:tcPr>
            <w:tcW w:w="0" w:type="auto"/>
            <w:shd w:val="clear" w:color="auto" w:fill="auto"/>
            <w:vAlign w:val="bottom"/>
          </w:tcPr>
          <w:p w14:paraId="74DE0B77" w14:textId="77777777" w:rsidR="00584EC1" w:rsidRDefault="00584EC1">
            <w:pPr>
              <w:rPr>
                <w:rFonts w:ascii="宋体"/>
              </w:rPr>
            </w:pPr>
          </w:p>
        </w:tc>
        <w:tc>
          <w:tcPr>
            <w:tcW w:w="0" w:type="auto"/>
            <w:shd w:val="clear" w:color="auto" w:fill="auto"/>
            <w:vAlign w:val="bottom"/>
          </w:tcPr>
          <w:p w14:paraId="74DE0B78" w14:textId="77777777" w:rsidR="00584EC1" w:rsidRDefault="00584EC1">
            <w:pPr>
              <w:rPr>
                <w:rFonts w:ascii="宋体"/>
              </w:rPr>
            </w:pPr>
          </w:p>
        </w:tc>
        <w:tc>
          <w:tcPr>
            <w:tcW w:w="0" w:type="auto"/>
            <w:shd w:val="clear" w:color="auto" w:fill="auto"/>
            <w:vAlign w:val="bottom"/>
          </w:tcPr>
          <w:p w14:paraId="74DE0B79" w14:textId="77777777" w:rsidR="00584EC1" w:rsidRDefault="00584EC1">
            <w:pPr>
              <w:rPr>
                <w:rFonts w:ascii="宋体"/>
              </w:rPr>
            </w:pPr>
          </w:p>
        </w:tc>
        <w:tc>
          <w:tcPr>
            <w:tcW w:w="0" w:type="auto"/>
            <w:shd w:val="clear" w:color="auto" w:fill="auto"/>
            <w:vAlign w:val="bottom"/>
          </w:tcPr>
          <w:p w14:paraId="74DE0B7A" w14:textId="77777777" w:rsidR="00584EC1" w:rsidRDefault="00584EC1">
            <w:pPr>
              <w:rPr>
                <w:rFonts w:ascii="宋体"/>
              </w:rPr>
            </w:pPr>
          </w:p>
        </w:tc>
      </w:tr>
      <w:tr w:rsidR="00584EC1" w14:paraId="74DE0B94" w14:textId="77777777">
        <w:tc>
          <w:tcPr>
            <w:tcW w:w="0" w:type="auto"/>
            <w:gridSpan w:val="9"/>
            <w:shd w:val="clear" w:color="auto" w:fill="CCEEFF"/>
            <w:tcMar>
              <w:top w:w="40" w:type="dxa"/>
              <w:left w:w="20" w:type="dxa"/>
              <w:bottom w:w="40" w:type="dxa"/>
              <w:right w:w="20" w:type="dxa"/>
            </w:tcMar>
            <w:vAlign w:val="bottom"/>
          </w:tcPr>
          <w:p w14:paraId="74DE0B7C" w14:textId="77777777" w:rsidR="00584EC1" w:rsidRDefault="00871F8D">
            <w:pPr>
              <w:textAlignment w:val="bottom"/>
            </w:pPr>
            <w:r>
              <w:rPr>
                <w:rFonts w:ascii="Arial" w:eastAsia="宋体" w:hAnsi="Arial" w:cs="Arial"/>
                <w:b/>
                <w:bCs/>
                <w:color w:val="000000"/>
                <w:sz w:val="12"/>
                <w:szCs w:val="12"/>
              </w:rPr>
              <w:t> Tier 1 capital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E0B7D" w14:textId="77777777" w:rsidR="00584EC1" w:rsidRDefault="00871F8D">
            <w:pPr>
              <w:jc w:val="right"/>
              <w:textAlignment w:val="bottom"/>
            </w:pPr>
            <w:r>
              <w:rPr>
                <w:rFonts w:ascii="Arial" w:eastAsia="宋体" w:hAnsi="Arial" w:cs="Arial"/>
                <w:b/>
                <w:bCs/>
                <w:color w:val="000000"/>
                <w:sz w:val="12"/>
                <w:szCs w:val="12"/>
              </w:rPr>
              <w:t>17,807</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B7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B7F"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E0B80" w14:textId="77777777" w:rsidR="00584EC1" w:rsidRDefault="00871F8D">
            <w:pPr>
              <w:jc w:val="right"/>
              <w:textAlignment w:val="bottom"/>
            </w:pPr>
            <w:r>
              <w:rPr>
                <w:rFonts w:ascii="Arial" w:eastAsia="宋体" w:hAnsi="Arial" w:cs="Arial"/>
                <w:b/>
                <w:bCs/>
                <w:color w:val="000000"/>
                <w:sz w:val="12"/>
                <w:szCs w:val="12"/>
              </w:rPr>
              <w:t>17,807</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B8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B82"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E0B83" w14:textId="77777777" w:rsidR="00584EC1" w:rsidRDefault="00871F8D">
            <w:pPr>
              <w:jc w:val="right"/>
              <w:textAlignment w:val="bottom"/>
            </w:pPr>
            <w:r>
              <w:rPr>
                <w:rFonts w:ascii="Arial" w:eastAsia="宋体" w:hAnsi="Arial" w:cs="Arial"/>
                <w:color w:val="000000"/>
                <w:sz w:val="12"/>
                <w:szCs w:val="12"/>
              </w:rPr>
              <w:t>16,848 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B8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B85"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E0B86" w14:textId="77777777" w:rsidR="00584EC1" w:rsidRDefault="00871F8D">
            <w:pPr>
              <w:jc w:val="right"/>
              <w:textAlignment w:val="bottom"/>
            </w:pPr>
            <w:r>
              <w:rPr>
                <w:rFonts w:ascii="Arial" w:eastAsia="宋体" w:hAnsi="Arial" w:cs="Arial"/>
                <w:color w:val="000000"/>
                <w:sz w:val="12"/>
                <w:szCs w:val="12"/>
              </w:rPr>
              <w:t>16,848 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B8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B88"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E0B89" w14:textId="77777777" w:rsidR="00584EC1" w:rsidRDefault="00871F8D">
            <w:pPr>
              <w:jc w:val="right"/>
              <w:textAlignment w:val="bottom"/>
            </w:pPr>
            <w:r>
              <w:rPr>
                <w:rFonts w:ascii="Arial" w:eastAsia="宋体" w:hAnsi="Arial" w:cs="Arial"/>
                <w:b/>
                <w:bCs/>
                <w:color w:val="000000"/>
                <w:sz w:val="12"/>
                <w:szCs w:val="12"/>
              </w:rPr>
              <w:t>18,290</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B8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B8B"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E0B8C" w14:textId="77777777" w:rsidR="00584EC1" w:rsidRDefault="00871F8D">
            <w:pPr>
              <w:jc w:val="right"/>
              <w:textAlignment w:val="bottom"/>
            </w:pPr>
            <w:r>
              <w:rPr>
                <w:rFonts w:ascii="Arial" w:eastAsia="宋体" w:hAnsi="Arial" w:cs="Arial"/>
                <w:b/>
                <w:bCs/>
                <w:color w:val="000000"/>
                <w:sz w:val="12"/>
                <w:szCs w:val="12"/>
              </w:rPr>
              <w:t>18,290</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B8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B8E"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E0B8F" w14:textId="77777777" w:rsidR="00584EC1" w:rsidRDefault="00871F8D">
            <w:pPr>
              <w:jc w:val="right"/>
              <w:textAlignment w:val="bottom"/>
            </w:pPr>
            <w:r>
              <w:rPr>
                <w:rFonts w:ascii="Arial" w:eastAsia="宋体" w:hAnsi="Arial" w:cs="Arial"/>
                <w:color w:val="000000"/>
                <w:sz w:val="12"/>
                <w:szCs w:val="12"/>
              </w:rPr>
              <w:t>17,306 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B9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B91"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E0B92" w14:textId="77777777" w:rsidR="00584EC1" w:rsidRDefault="00871F8D">
            <w:pPr>
              <w:jc w:val="right"/>
              <w:textAlignment w:val="bottom"/>
            </w:pPr>
            <w:r>
              <w:rPr>
                <w:rFonts w:ascii="Arial" w:eastAsia="宋体" w:hAnsi="Arial" w:cs="Arial"/>
                <w:color w:val="000000"/>
                <w:sz w:val="12"/>
                <w:szCs w:val="12"/>
              </w:rPr>
              <w:t>17,306 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B93" w14:textId="77777777" w:rsidR="00584EC1" w:rsidRDefault="00584EC1">
            <w:pPr>
              <w:jc w:val="right"/>
              <w:rPr>
                <w:rFonts w:ascii="宋体"/>
              </w:rPr>
            </w:pPr>
          </w:p>
        </w:tc>
      </w:tr>
      <w:tr w:rsidR="00584EC1" w14:paraId="74DE0BAD" w14:textId="77777777">
        <w:tc>
          <w:tcPr>
            <w:tcW w:w="0" w:type="auto"/>
            <w:gridSpan w:val="9"/>
            <w:shd w:val="clear" w:color="auto" w:fill="FFFFFF"/>
            <w:tcMar>
              <w:top w:w="40" w:type="dxa"/>
              <w:left w:w="245" w:type="dxa"/>
              <w:bottom w:w="40" w:type="dxa"/>
              <w:right w:w="20" w:type="dxa"/>
            </w:tcMar>
            <w:vAlign w:val="bottom"/>
          </w:tcPr>
          <w:p w14:paraId="74DE0B95" w14:textId="77777777" w:rsidR="00584EC1" w:rsidRDefault="00871F8D">
            <w:pPr>
              <w:textAlignment w:val="bottom"/>
            </w:pPr>
            <w:r>
              <w:rPr>
                <w:rFonts w:ascii="Arial" w:eastAsia="宋体" w:hAnsi="Arial" w:cs="Arial"/>
                <w:color w:val="000000"/>
                <w:sz w:val="12"/>
                <w:szCs w:val="12"/>
              </w:rPr>
              <w:t>Qualifying subordinated long-term debt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0B96" w14:textId="77777777" w:rsidR="00584EC1" w:rsidRDefault="00871F8D">
            <w:pPr>
              <w:jc w:val="right"/>
              <w:textAlignment w:val="bottom"/>
            </w:pPr>
            <w:r>
              <w:rPr>
                <w:rFonts w:ascii="Arial" w:eastAsia="宋体" w:hAnsi="Arial" w:cs="Arial"/>
                <w:b/>
                <w:bCs/>
                <w:color w:val="000000"/>
                <w:sz w:val="12"/>
                <w:szCs w:val="12"/>
              </w:rPr>
              <w:t>1,590</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0B9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B98"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0B99" w14:textId="77777777" w:rsidR="00584EC1" w:rsidRDefault="00871F8D">
            <w:pPr>
              <w:jc w:val="right"/>
              <w:textAlignment w:val="bottom"/>
            </w:pPr>
            <w:r>
              <w:rPr>
                <w:rFonts w:ascii="Arial" w:eastAsia="宋体" w:hAnsi="Arial" w:cs="Arial"/>
                <w:b/>
                <w:bCs/>
                <w:color w:val="000000"/>
                <w:sz w:val="12"/>
                <w:szCs w:val="12"/>
              </w:rPr>
              <w:t>1,590</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0B9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B9B"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0B9C" w14:textId="77777777" w:rsidR="00584EC1" w:rsidRDefault="00871F8D">
            <w:pPr>
              <w:jc w:val="right"/>
              <w:textAlignment w:val="bottom"/>
            </w:pPr>
            <w:r>
              <w:rPr>
                <w:rFonts w:ascii="Arial" w:eastAsia="宋体" w:hAnsi="Arial" w:cs="Arial"/>
                <w:color w:val="000000"/>
                <w:sz w:val="12"/>
                <w:szCs w:val="12"/>
              </w:rPr>
              <w:t>961 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0B9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B9E"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0B9F" w14:textId="77777777" w:rsidR="00584EC1" w:rsidRDefault="00871F8D">
            <w:pPr>
              <w:jc w:val="right"/>
              <w:textAlignment w:val="bottom"/>
            </w:pPr>
            <w:r>
              <w:rPr>
                <w:rFonts w:ascii="Arial" w:eastAsia="宋体" w:hAnsi="Arial" w:cs="Arial"/>
                <w:color w:val="000000"/>
                <w:sz w:val="12"/>
                <w:szCs w:val="12"/>
              </w:rPr>
              <w:t>961 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0BA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BA1"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0BA2" w14:textId="77777777" w:rsidR="00584EC1" w:rsidRDefault="00871F8D">
            <w:pPr>
              <w:jc w:val="right"/>
              <w:textAlignment w:val="bottom"/>
            </w:pPr>
            <w:r>
              <w:rPr>
                <w:rFonts w:ascii="Arial" w:eastAsia="宋体" w:hAnsi="Arial" w:cs="Arial"/>
                <w:b/>
                <w:bCs/>
                <w:color w:val="000000"/>
                <w:sz w:val="12"/>
                <w:szCs w:val="12"/>
              </w:rPr>
              <w:t>754</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0BA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BA4"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0BA5" w14:textId="77777777" w:rsidR="00584EC1" w:rsidRDefault="00871F8D">
            <w:pPr>
              <w:jc w:val="right"/>
              <w:textAlignment w:val="bottom"/>
            </w:pPr>
            <w:r>
              <w:rPr>
                <w:rFonts w:ascii="Arial" w:eastAsia="宋体" w:hAnsi="Arial" w:cs="Arial"/>
                <w:b/>
                <w:bCs/>
                <w:color w:val="000000"/>
                <w:sz w:val="12"/>
                <w:szCs w:val="12"/>
              </w:rPr>
              <w:t>754</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0BA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BA7"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0BA8" w14:textId="77777777" w:rsidR="00584EC1" w:rsidRDefault="00871F8D">
            <w:pPr>
              <w:jc w:val="right"/>
              <w:textAlignment w:val="bottom"/>
            </w:pPr>
            <w:r>
              <w:rPr>
                <w:rFonts w:ascii="Arial" w:eastAsia="宋体" w:hAnsi="Arial" w:cs="Arial"/>
                <w:color w:val="000000"/>
                <w:sz w:val="12"/>
                <w:szCs w:val="12"/>
              </w:rPr>
              <w:t>966 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0BA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BAA"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0BAB" w14:textId="77777777" w:rsidR="00584EC1" w:rsidRDefault="00871F8D">
            <w:pPr>
              <w:jc w:val="right"/>
              <w:textAlignment w:val="bottom"/>
            </w:pPr>
            <w:r>
              <w:rPr>
                <w:rFonts w:ascii="Arial" w:eastAsia="宋体" w:hAnsi="Arial" w:cs="Arial"/>
                <w:color w:val="000000"/>
                <w:sz w:val="12"/>
                <w:szCs w:val="12"/>
              </w:rPr>
              <w:t>966 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0BAC" w14:textId="77777777" w:rsidR="00584EC1" w:rsidRDefault="00584EC1">
            <w:pPr>
              <w:jc w:val="right"/>
              <w:rPr>
                <w:rFonts w:ascii="宋体"/>
              </w:rPr>
            </w:pPr>
          </w:p>
        </w:tc>
      </w:tr>
      <w:tr w:rsidR="00584EC1" w14:paraId="74DE0BC4" w14:textId="77777777">
        <w:trPr>
          <w:hidden/>
        </w:trPr>
        <w:tc>
          <w:tcPr>
            <w:tcW w:w="0" w:type="auto"/>
            <w:gridSpan w:val="3"/>
            <w:shd w:val="clear" w:color="auto" w:fill="auto"/>
            <w:vAlign w:val="bottom"/>
          </w:tcPr>
          <w:p w14:paraId="74DE0BAE" w14:textId="77777777" w:rsidR="00584EC1" w:rsidRDefault="00584EC1">
            <w:pPr>
              <w:rPr>
                <w:rFonts w:ascii="宋体"/>
                <w:vanish/>
              </w:rPr>
            </w:pPr>
          </w:p>
        </w:tc>
        <w:tc>
          <w:tcPr>
            <w:tcW w:w="0" w:type="auto"/>
            <w:gridSpan w:val="3"/>
            <w:shd w:val="clear" w:color="auto" w:fill="auto"/>
            <w:vAlign w:val="bottom"/>
          </w:tcPr>
          <w:p w14:paraId="74DE0BAF" w14:textId="77777777" w:rsidR="00584EC1" w:rsidRDefault="00584EC1">
            <w:pPr>
              <w:rPr>
                <w:rFonts w:ascii="宋体"/>
                <w:vanish/>
              </w:rPr>
            </w:pPr>
          </w:p>
        </w:tc>
        <w:tc>
          <w:tcPr>
            <w:tcW w:w="0" w:type="auto"/>
            <w:gridSpan w:val="3"/>
            <w:shd w:val="clear" w:color="auto" w:fill="auto"/>
            <w:vAlign w:val="bottom"/>
          </w:tcPr>
          <w:p w14:paraId="74DE0BB0" w14:textId="77777777" w:rsidR="00584EC1" w:rsidRDefault="00584EC1">
            <w:pPr>
              <w:rPr>
                <w:rFonts w:ascii="宋体"/>
                <w:vanish/>
              </w:rPr>
            </w:pPr>
          </w:p>
        </w:tc>
        <w:tc>
          <w:tcPr>
            <w:tcW w:w="0" w:type="auto"/>
            <w:gridSpan w:val="3"/>
            <w:shd w:val="clear" w:color="auto" w:fill="auto"/>
            <w:vAlign w:val="bottom"/>
          </w:tcPr>
          <w:p w14:paraId="74DE0BB1" w14:textId="77777777" w:rsidR="00584EC1" w:rsidRDefault="00584EC1">
            <w:pPr>
              <w:rPr>
                <w:rFonts w:ascii="宋体"/>
                <w:vanish/>
              </w:rPr>
            </w:pPr>
          </w:p>
        </w:tc>
        <w:tc>
          <w:tcPr>
            <w:tcW w:w="0" w:type="auto"/>
            <w:gridSpan w:val="3"/>
            <w:shd w:val="clear" w:color="auto" w:fill="auto"/>
            <w:vAlign w:val="bottom"/>
          </w:tcPr>
          <w:p w14:paraId="74DE0BB2" w14:textId="77777777" w:rsidR="00584EC1" w:rsidRDefault="00584EC1">
            <w:pPr>
              <w:rPr>
                <w:rFonts w:ascii="宋体"/>
                <w:vanish/>
              </w:rPr>
            </w:pPr>
          </w:p>
        </w:tc>
        <w:tc>
          <w:tcPr>
            <w:tcW w:w="0" w:type="auto"/>
            <w:gridSpan w:val="3"/>
            <w:shd w:val="clear" w:color="auto" w:fill="auto"/>
            <w:vAlign w:val="bottom"/>
          </w:tcPr>
          <w:p w14:paraId="74DE0BB3" w14:textId="77777777" w:rsidR="00584EC1" w:rsidRDefault="00584EC1">
            <w:pPr>
              <w:rPr>
                <w:rFonts w:ascii="宋体"/>
                <w:vanish/>
              </w:rPr>
            </w:pPr>
          </w:p>
        </w:tc>
        <w:tc>
          <w:tcPr>
            <w:tcW w:w="0" w:type="auto"/>
            <w:gridSpan w:val="3"/>
            <w:shd w:val="clear" w:color="auto" w:fill="auto"/>
            <w:vAlign w:val="bottom"/>
          </w:tcPr>
          <w:p w14:paraId="74DE0BB4" w14:textId="77777777" w:rsidR="00584EC1" w:rsidRDefault="00584EC1">
            <w:pPr>
              <w:rPr>
                <w:rFonts w:ascii="宋体"/>
                <w:vanish/>
              </w:rPr>
            </w:pPr>
          </w:p>
        </w:tc>
        <w:tc>
          <w:tcPr>
            <w:tcW w:w="0" w:type="auto"/>
            <w:gridSpan w:val="3"/>
            <w:shd w:val="clear" w:color="auto" w:fill="auto"/>
            <w:vAlign w:val="bottom"/>
          </w:tcPr>
          <w:p w14:paraId="74DE0BB5" w14:textId="77777777" w:rsidR="00584EC1" w:rsidRDefault="00584EC1">
            <w:pPr>
              <w:rPr>
                <w:rFonts w:ascii="宋体"/>
                <w:vanish/>
              </w:rPr>
            </w:pPr>
          </w:p>
        </w:tc>
        <w:tc>
          <w:tcPr>
            <w:tcW w:w="0" w:type="auto"/>
            <w:gridSpan w:val="3"/>
            <w:shd w:val="clear" w:color="auto" w:fill="auto"/>
            <w:vAlign w:val="bottom"/>
          </w:tcPr>
          <w:p w14:paraId="74DE0BB6" w14:textId="77777777" w:rsidR="00584EC1" w:rsidRDefault="00584EC1">
            <w:pPr>
              <w:rPr>
                <w:rFonts w:ascii="宋体"/>
                <w:vanish/>
              </w:rPr>
            </w:pPr>
          </w:p>
        </w:tc>
        <w:tc>
          <w:tcPr>
            <w:tcW w:w="0" w:type="auto"/>
            <w:gridSpan w:val="3"/>
            <w:shd w:val="clear" w:color="auto" w:fill="auto"/>
            <w:vAlign w:val="bottom"/>
          </w:tcPr>
          <w:p w14:paraId="74DE0BB7" w14:textId="77777777" w:rsidR="00584EC1" w:rsidRDefault="00584EC1">
            <w:pPr>
              <w:rPr>
                <w:rFonts w:ascii="宋体"/>
                <w:vanish/>
              </w:rPr>
            </w:pPr>
          </w:p>
        </w:tc>
        <w:tc>
          <w:tcPr>
            <w:tcW w:w="0" w:type="auto"/>
            <w:gridSpan w:val="3"/>
            <w:shd w:val="clear" w:color="auto" w:fill="auto"/>
            <w:vAlign w:val="bottom"/>
          </w:tcPr>
          <w:p w14:paraId="74DE0BB8" w14:textId="77777777" w:rsidR="00584EC1" w:rsidRDefault="00584EC1">
            <w:pPr>
              <w:rPr>
                <w:rFonts w:ascii="宋体"/>
                <w:vanish/>
              </w:rPr>
            </w:pPr>
          </w:p>
        </w:tc>
        <w:tc>
          <w:tcPr>
            <w:tcW w:w="0" w:type="auto"/>
            <w:gridSpan w:val="3"/>
            <w:shd w:val="clear" w:color="auto" w:fill="auto"/>
            <w:vAlign w:val="bottom"/>
          </w:tcPr>
          <w:p w14:paraId="74DE0BB9" w14:textId="77777777" w:rsidR="00584EC1" w:rsidRDefault="00584EC1">
            <w:pPr>
              <w:rPr>
                <w:rFonts w:ascii="宋体"/>
                <w:vanish/>
              </w:rPr>
            </w:pPr>
          </w:p>
        </w:tc>
        <w:tc>
          <w:tcPr>
            <w:tcW w:w="0" w:type="auto"/>
            <w:gridSpan w:val="3"/>
            <w:shd w:val="clear" w:color="auto" w:fill="auto"/>
            <w:vAlign w:val="bottom"/>
          </w:tcPr>
          <w:p w14:paraId="74DE0BBA" w14:textId="77777777" w:rsidR="00584EC1" w:rsidRDefault="00584EC1">
            <w:pPr>
              <w:rPr>
                <w:rFonts w:ascii="宋体"/>
                <w:vanish/>
              </w:rPr>
            </w:pPr>
          </w:p>
        </w:tc>
        <w:tc>
          <w:tcPr>
            <w:tcW w:w="0" w:type="auto"/>
            <w:gridSpan w:val="3"/>
            <w:shd w:val="clear" w:color="auto" w:fill="auto"/>
            <w:vAlign w:val="bottom"/>
          </w:tcPr>
          <w:p w14:paraId="74DE0BBB" w14:textId="77777777" w:rsidR="00584EC1" w:rsidRDefault="00584EC1">
            <w:pPr>
              <w:rPr>
                <w:rFonts w:ascii="宋体"/>
                <w:vanish/>
              </w:rPr>
            </w:pPr>
          </w:p>
        </w:tc>
        <w:tc>
          <w:tcPr>
            <w:tcW w:w="0" w:type="auto"/>
            <w:gridSpan w:val="3"/>
            <w:shd w:val="clear" w:color="auto" w:fill="auto"/>
            <w:vAlign w:val="bottom"/>
          </w:tcPr>
          <w:p w14:paraId="74DE0BBC" w14:textId="77777777" w:rsidR="00584EC1" w:rsidRDefault="00584EC1">
            <w:pPr>
              <w:rPr>
                <w:rFonts w:ascii="宋体"/>
                <w:vanish/>
              </w:rPr>
            </w:pPr>
          </w:p>
        </w:tc>
        <w:tc>
          <w:tcPr>
            <w:tcW w:w="0" w:type="auto"/>
            <w:gridSpan w:val="3"/>
            <w:shd w:val="clear" w:color="auto" w:fill="auto"/>
            <w:vAlign w:val="bottom"/>
          </w:tcPr>
          <w:p w14:paraId="74DE0BBD" w14:textId="77777777" w:rsidR="00584EC1" w:rsidRDefault="00584EC1">
            <w:pPr>
              <w:rPr>
                <w:rFonts w:ascii="宋体"/>
                <w:vanish/>
              </w:rPr>
            </w:pPr>
          </w:p>
        </w:tc>
        <w:tc>
          <w:tcPr>
            <w:tcW w:w="0" w:type="auto"/>
            <w:shd w:val="clear" w:color="auto" w:fill="auto"/>
            <w:vAlign w:val="bottom"/>
          </w:tcPr>
          <w:p w14:paraId="74DE0BBE" w14:textId="77777777" w:rsidR="00584EC1" w:rsidRDefault="00584EC1">
            <w:pPr>
              <w:rPr>
                <w:rFonts w:ascii="宋体"/>
              </w:rPr>
            </w:pPr>
          </w:p>
        </w:tc>
        <w:tc>
          <w:tcPr>
            <w:tcW w:w="0" w:type="auto"/>
            <w:shd w:val="clear" w:color="auto" w:fill="auto"/>
            <w:vAlign w:val="bottom"/>
          </w:tcPr>
          <w:p w14:paraId="74DE0BBF" w14:textId="77777777" w:rsidR="00584EC1" w:rsidRDefault="00584EC1">
            <w:pPr>
              <w:rPr>
                <w:rFonts w:ascii="宋体"/>
              </w:rPr>
            </w:pPr>
          </w:p>
        </w:tc>
        <w:tc>
          <w:tcPr>
            <w:tcW w:w="0" w:type="auto"/>
            <w:shd w:val="clear" w:color="auto" w:fill="auto"/>
            <w:vAlign w:val="bottom"/>
          </w:tcPr>
          <w:p w14:paraId="74DE0BC0" w14:textId="77777777" w:rsidR="00584EC1" w:rsidRDefault="00584EC1">
            <w:pPr>
              <w:rPr>
                <w:rFonts w:ascii="宋体"/>
              </w:rPr>
            </w:pPr>
          </w:p>
        </w:tc>
        <w:tc>
          <w:tcPr>
            <w:tcW w:w="0" w:type="auto"/>
            <w:shd w:val="clear" w:color="auto" w:fill="auto"/>
            <w:vAlign w:val="bottom"/>
          </w:tcPr>
          <w:p w14:paraId="74DE0BC1" w14:textId="77777777" w:rsidR="00584EC1" w:rsidRDefault="00584EC1">
            <w:pPr>
              <w:rPr>
                <w:rFonts w:ascii="宋体"/>
              </w:rPr>
            </w:pPr>
          </w:p>
        </w:tc>
        <w:tc>
          <w:tcPr>
            <w:tcW w:w="0" w:type="auto"/>
            <w:shd w:val="clear" w:color="auto" w:fill="auto"/>
            <w:vAlign w:val="bottom"/>
          </w:tcPr>
          <w:p w14:paraId="74DE0BC2" w14:textId="77777777" w:rsidR="00584EC1" w:rsidRDefault="00584EC1">
            <w:pPr>
              <w:rPr>
                <w:rFonts w:ascii="宋体"/>
              </w:rPr>
            </w:pPr>
          </w:p>
        </w:tc>
        <w:tc>
          <w:tcPr>
            <w:tcW w:w="0" w:type="auto"/>
            <w:shd w:val="clear" w:color="auto" w:fill="auto"/>
            <w:vAlign w:val="bottom"/>
          </w:tcPr>
          <w:p w14:paraId="74DE0BC3" w14:textId="77777777" w:rsidR="00584EC1" w:rsidRDefault="00584EC1">
            <w:pPr>
              <w:rPr>
                <w:rFonts w:ascii="宋体"/>
              </w:rPr>
            </w:pPr>
          </w:p>
        </w:tc>
      </w:tr>
      <w:tr w:rsidR="00584EC1" w14:paraId="74DE0BDD" w14:textId="77777777">
        <w:tc>
          <w:tcPr>
            <w:tcW w:w="0" w:type="auto"/>
            <w:gridSpan w:val="9"/>
            <w:shd w:val="clear" w:color="auto" w:fill="CCEEFF"/>
            <w:tcMar>
              <w:top w:w="40" w:type="dxa"/>
              <w:left w:w="245" w:type="dxa"/>
              <w:bottom w:w="40" w:type="dxa"/>
              <w:right w:w="20" w:type="dxa"/>
            </w:tcMar>
            <w:vAlign w:val="bottom"/>
          </w:tcPr>
          <w:p w14:paraId="74DE0BC5" w14:textId="77777777" w:rsidR="00584EC1" w:rsidRDefault="00871F8D">
            <w:pPr>
              <w:textAlignment w:val="bottom"/>
            </w:pPr>
            <w:r>
              <w:rPr>
                <w:rFonts w:ascii="Arial" w:eastAsia="宋体" w:hAnsi="Arial" w:cs="Arial"/>
                <w:color w:val="000000"/>
                <w:sz w:val="12"/>
                <w:szCs w:val="12"/>
              </w:rPr>
              <w:t>Allowance for credit losses</w:t>
            </w:r>
          </w:p>
        </w:tc>
        <w:tc>
          <w:tcPr>
            <w:tcW w:w="0" w:type="auto"/>
            <w:gridSpan w:val="2"/>
            <w:shd w:val="clear" w:color="auto" w:fill="CCEEFF"/>
            <w:tcMar>
              <w:top w:w="40" w:type="dxa"/>
              <w:left w:w="20" w:type="dxa"/>
              <w:bottom w:w="40" w:type="dxa"/>
              <w:right w:w="0" w:type="dxa"/>
            </w:tcMar>
            <w:vAlign w:val="bottom"/>
          </w:tcPr>
          <w:p w14:paraId="74DE0BC6"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0BC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BC8"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BC9" w14:textId="77777777" w:rsidR="00584EC1" w:rsidRDefault="00871F8D">
            <w:pPr>
              <w:jc w:val="right"/>
              <w:textAlignment w:val="bottom"/>
            </w:pPr>
            <w:r>
              <w:rPr>
                <w:rFonts w:ascii="Arial" w:eastAsia="宋体" w:hAnsi="Arial" w:cs="Arial"/>
                <w:b/>
                <w:bCs/>
                <w:color w:val="000000"/>
                <w:sz w:val="12"/>
                <w:szCs w:val="12"/>
              </w:rPr>
              <w:t>117</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0BC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BC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BCC" w14:textId="77777777" w:rsidR="00584EC1" w:rsidRDefault="00871F8D">
            <w:pPr>
              <w:jc w:val="right"/>
              <w:textAlignment w:val="bottom"/>
            </w:pPr>
            <w:r>
              <w:rPr>
                <w:rFonts w:ascii="Arial" w:eastAsia="宋体" w:hAnsi="Arial" w:cs="Arial"/>
                <w:color w:val="000000"/>
                <w:sz w:val="12"/>
                <w:szCs w:val="12"/>
              </w:rPr>
              <w:t>1 </w:t>
            </w:r>
          </w:p>
        </w:tc>
        <w:tc>
          <w:tcPr>
            <w:tcW w:w="0" w:type="auto"/>
            <w:shd w:val="clear" w:color="auto" w:fill="CCEEFF"/>
            <w:tcMar>
              <w:top w:w="40" w:type="dxa"/>
              <w:left w:w="0" w:type="dxa"/>
              <w:bottom w:w="40" w:type="dxa"/>
              <w:right w:w="20" w:type="dxa"/>
            </w:tcMar>
            <w:vAlign w:val="bottom"/>
          </w:tcPr>
          <w:p w14:paraId="74DE0BC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BCE"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BCF" w14:textId="77777777" w:rsidR="00584EC1" w:rsidRDefault="00871F8D">
            <w:pPr>
              <w:jc w:val="right"/>
              <w:textAlignment w:val="bottom"/>
            </w:pPr>
            <w:r>
              <w:rPr>
                <w:rFonts w:ascii="Arial" w:eastAsia="宋体" w:hAnsi="Arial" w:cs="Arial"/>
                <w:color w:val="000000"/>
                <w:sz w:val="12"/>
                <w:szCs w:val="12"/>
              </w:rPr>
              <w:t>148 </w:t>
            </w:r>
          </w:p>
        </w:tc>
        <w:tc>
          <w:tcPr>
            <w:tcW w:w="0" w:type="auto"/>
            <w:shd w:val="clear" w:color="auto" w:fill="CCEEFF"/>
            <w:tcMar>
              <w:top w:w="40" w:type="dxa"/>
              <w:left w:w="0" w:type="dxa"/>
              <w:bottom w:w="40" w:type="dxa"/>
              <w:right w:w="20" w:type="dxa"/>
            </w:tcMar>
            <w:vAlign w:val="bottom"/>
          </w:tcPr>
          <w:p w14:paraId="74DE0BD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BD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BD2"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0BD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BD4"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BD5" w14:textId="77777777" w:rsidR="00584EC1" w:rsidRDefault="00871F8D">
            <w:pPr>
              <w:jc w:val="right"/>
              <w:textAlignment w:val="bottom"/>
            </w:pPr>
            <w:r>
              <w:rPr>
                <w:rFonts w:ascii="Arial" w:eastAsia="宋体" w:hAnsi="Arial" w:cs="Arial"/>
                <w:b/>
                <w:bCs/>
                <w:color w:val="000000"/>
                <w:sz w:val="12"/>
                <w:szCs w:val="12"/>
              </w:rPr>
              <w:t>117</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0BD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BD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BD8" w14:textId="77777777" w:rsidR="00584EC1" w:rsidRDefault="00871F8D">
            <w:pPr>
              <w:jc w:val="right"/>
              <w:textAlignment w:val="bottom"/>
            </w:pPr>
            <w:r>
              <w:rPr>
                <w:rFonts w:ascii="Arial" w:eastAsia="宋体" w:hAnsi="Arial" w:cs="Arial"/>
                <w:color w:val="000000"/>
                <w:sz w:val="12"/>
                <w:szCs w:val="12"/>
              </w:rPr>
              <w:t>10 </w:t>
            </w:r>
          </w:p>
        </w:tc>
        <w:tc>
          <w:tcPr>
            <w:tcW w:w="0" w:type="auto"/>
            <w:shd w:val="clear" w:color="auto" w:fill="CCEEFF"/>
            <w:tcMar>
              <w:top w:w="40" w:type="dxa"/>
              <w:left w:w="0" w:type="dxa"/>
              <w:bottom w:w="40" w:type="dxa"/>
              <w:right w:w="20" w:type="dxa"/>
            </w:tcMar>
            <w:vAlign w:val="bottom"/>
          </w:tcPr>
          <w:p w14:paraId="74DE0BD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BDA"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BDB" w14:textId="77777777" w:rsidR="00584EC1" w:rsidRDefault="00871F8D">
            <w:pPr>
              <w:jc w:val="right"/>
              <w:textAlignment w:val="bottom"/>
            </w:pPr>
            <w:r>
              <w:rPr>
                <w:rFonts w:ascii="Arial" w:eastAsia="宋体" w:hAnsi="Arial" w:cs="Arial"/>
                <w:color w:val="000000"/>
                <w:sz w:val="12"/>
                <w:szCs w:val="12"/>
              </w:rPr>
              <w:t>148 </w:t>
            </w:r>
          </w:p>
        </w:tc>
        <w:tc>
          <w:tcPr>
            <w:tcW w:w="0" w:type="auto"/>
            <w:shd w:val="clear" w:color="auto" w:fill="CCEEFF"/>
            <w:tcMar>
              <w:top w:w="40" w:type="dxa"/>
              <w:left w:w="0" w:type="dxa"/>
              <w:bottom w:w="40" w:type="dxa"/>
              <w:right w:w="20" w:type="dxa"/>
            </w:tcMar>
            <w:vAlign w:val="bottom"/>
          </w:tcPr>
          <w:p w14:paraId="74DE0BDC" w14:textId="77777777" w:rsidR="00584EC1" w:rsidRDefault="00584EC1">
            <w:pPr>
              <w:jc w:val="right"/>
              <w:rPr>
                <w:rFonts w:ascii="宋体"/>
              </w:rPr>
            </w:pPr>
          </w:p>
        </w:tc>
      </w:tr>
      <w:tr w:rsidR="00584EC1" w14:paraId="74DE0BF4" w14:textId="77777777">
        <w:trPr>
          <w:hidden/>
        </w:trPr>
        <w:tc>
          <w:tcPr>
            <w:tcW w:w="0" w:type="auto"/>
            <w:gridSpan w:val="3"/>
            <w:shd w:val="clear" w:color="auto" w:fill="auto"/>
            <w:vAlign w:val="bottom"/>
          </w:tcPr>
          <w:p w14:paraId="74DE0BDE" w14:textId="77777777" w:rsidR="00584EC1" w:rsidRDefault="00584EC1">
            <w:pPr>
              <w:rPr>
                <w:rFonts w:ascii="宋体"/>
                <w:vanish/>
              </w:rPr>
            </w:pPr>
          </w:p>
        </w:tc>
        <w:tc>
          <w:tcPr>
            <w:tcW w:w="0" w:type="auto"/>
            <w:gridSpan w:val="3"/>
            <w:shd w:val="clear" w:color="auto" w:fill="auto"/>
            <w:vAlign w:val="bottom"/>
          </w:tcPr>
          <w:p w14:paraId="74DE0BDF" w14:textId="77777777" w:rsidR="00584EC1" w:rsidRDefault="00584EC1">
            <w:pPr>
              <w:rPr>
                <w:rFonts w:ascii="宋体"/>
                <w:vanish/>
              </w:rPr>
            </w:pPr>
          </w:p>
        </w:tc>
        <w:tc>
          <w:tcPr>
            <w:tcW w:w="0" w:type="auto"/>
            <w:gridSpan w:val="3"/>
            <w:shd w:val="clear" w:color="auto" w:fill="auto"/>
            <w:vAlign w:val="bottom"/>
          </w:tcPr>
          <w:p w14:paraId="74DE0BE0" w14:textId="77777777" w:rsidR="00584EC1" w:rsidRDefault="00584EC1">
            <w:pPr>
              <w:rPr>
                <w:rFonts w:ascii="宋体"/>
                <w:vanish/>
              </w:rPr>
            </w:pPr>
          </w:p>
        </w:tc>
        <w:tc>
          <w:tcPr>
            <w:tcW w:w="0" w:type="auto"/>
            <w:gridSpan w:val="3"/>
            <w:shd w:val="clear" w:color="auto" w:fill="auto"/>
            <w:vAlign w:val="bottom"/>
          </w:tcPr>
          <w:p w14:paraId="74DE0BE1" w14:textId="77777777" w:rsidR="00584EC1" w:rsidRDefault="00584EC1">
            <w:pPr>
              <w:rPr>
                <w:rFonts w:ascii="宋体"/>
                <w:vanish/>
              </w:rPr>
            </w:pPr>
          </w:p>
        </w:tc>
        <w:tc>
          <w:tcPr>
            <w:tcW w:w="0" w:type="auto"/>
            <w:gridSpan w:val="3"/>
            <w:shd w:val="clear" w:color="auto" w:fill="auto"/>
            <w:vAlign w:val="bottom"/>
          </w:tcPr>
          <w:p w14:paraId="74DE0BE2" w14:textId="77777777" w:rsidR="00584EC1" w:rsidRDefault="00584EC1">
            <w:pPr>
              <w:rPr>
                <w:rFonts w:ascii="宋体"/>
                <w:vanish/>
              </w:rPr>
            </w:pPr>
          </w:p>
        </w:tc>
        <w:tc>
          <w:tcPr>
            <w:tcW w:w="0" w:type="auto"/>
            <w:gridSpan w:val="3"/>
            <w:shd w:val="clear" w:color="auto" w:fill="auto"/>
            <w:vAlign w:val="bottom"/>
          </w:tcPr>
          <w:p w14:paraId="74DE0BE3" w14:textId="77777777" w:rsidR="00584EC1" w:rsidRDefault="00584EC1">
            <w:pPr>
              <w:rPr>
                <w:rFonts w:ascii="宋体"/>
                <w:vanish/>
              </w:rPr>
            </w:pPr>
          </w:p>
        </w:tc>
        <w:tc>
          <w:tcPr>
            <w:tcW w:w="0" w:type="auto"/>
            <w:gridSpan w:val="3"/>
            <w:shd w:val="clear" w:color="auto" w:fill="auto"/>
            <w:vAlign w:val="bottom"/>
          </w:tcPr>
          <w:p w14:paraId="74DE0BE4" w14:textId="77777777" w:rsidR="00584EC1" w:rsidRDefault="00584EC1">
            <w:pPr>
              <w:rPr>
                <w:rFonts w:ascii="宋体"/>
                <w:vanish/>
              </w:rPr>
            </w:pPr>
          </w:p>
        </w:tc>
        <w:tc>
          <w:tcPr>
            <w:tcW w:w="0" w:type="auto"/>
            <w:gridSpan w:val="3"/>
            <w:shd w:val="clear" w:color="auto" w:fill="auto"/>
            <w:vAlign w:val="bottom"/>
          </w:tcPr>
          <w:p w14:paraId="74DE0BE5" w14:textId="77777777" w:rsidR="00584EC1" w:rsidRDefault="00584EC1">
            <w:pPr>
              <w:rPr>
                <w:rFonts w:ascii="宋体"/>
                <w:vanish/>
              </w:rPr>
            </w:pPr>
          </w:p>
        </w:tc>
        <w:tc>
          <w:tcPr>
            <w:tcW w:w="0" w:type="auto"/>
            <w:gridSpan w:val="3"/>
            <w:shd w:val="clear" w:color="auto" w:fill="auto"/>
            <w:vAlign w:val="bottom"/>
          </w:tcPr>
          <w:p w14:paraId="74DE0BE6" w14:textId="77777777" w:rsidR="00584EC1" w:rsidRDefault="00584EC1">
            <w:pPr>
              <w:rPr>
                <w:rFonts w:ascii="宋体"/>
                <w:vanish/>
              </w:rPr>
            </w:pPr>
          </w:p>
        </w:tc>
        <w:tc>
          <w:tcPr>
            <w:tcW w:w="0" w:type="auto"/>
            <w:gridSpan w:val="3"/>
            <w:shd w:val="clear" w:color="auto" w:fill="auto"/>
            <w:vAlign w:val="bottom"/>
          </w:tcPr>
          <w:p w14:paraId="74DE0BE7" w14:textId="77777777" w:rsidR="00584EC1" w:rsidRDefault="00584EC1">
            <w:pPr>
              <w:rPr>
                <w:rFonts w:ascii="宋体"/>
                <w:vanish/>
              </w:rPr>
            </w:pPr>
          </w:p>
        </w:tc>
        <w:tc>
          <w:tcPr>
            <w:tcW w:w="0" w:type="auto"/>
            <w:gridSpan w:val="3"/>
            <w:shd w:val="clear" w:color="auto" w:fill="auto"/>
            <w:vAlign w:val="bottom"/>
          </w:tcPr>
          <w:p w14:paraId="74DE0BE8" w14:textId="77777777" w:rsidR="00584EC1" w:rsidRDefault="00584EC1">
            <w:pPr>
              <w:rPr>
                <w:rFonts w:ascii="宋体"/>
                <w:vanish/>
              </w:rPr>
            </w:pPr>
          </w:p>
        </w:tc>
        <w:tc>
          <w:tcPr>
            <w:tcW w:w="0" w:type="auto"/>
            <w:gridSpan w:val="3"/>
            <w:shd w:val="clear" w:color="auto" w:fill="auto"/>
            <w:vAlign w:val="bottom"/>
          </w:tcPr>
          <w:p w14:paraId="74DE0BE9" w14:textId="77777777" w:rsidR="00584EC1" w:rsidRDefault="00584EC1">
            <w:pPr>
              <w:rPr>
                <w:rFonts w:ascii="宋体"/>
                <w:vanish/>
              </w:rPr>
            </w:pPr>
          </w:p>
        </w:tc>
        <w:tc>
          <w:tcPr>
            <w:tcW w:w="0" w:type="auto"/>
            <w:gridSpan w:val="3"/>
            <w:shd w:val="clear" w:color="auto" w:fill="auto"/>
            <w:vAlign w:val="bottom"/>
          </w:tcPr>
          <w:p w14:paraId="74DE0BEA" w14:textId="77777777" w:rsidR="00584EC1" w:rsidRDefault="00584EC1">
            <w:pPr>
              <w:rPr>
                <w:rFonts w:ascii="宋体"/>
                <w:vanish/>
              </w:rPr>
            </w:pPr>
          </w:p>
        </w:tc>
        <w:tc>
          <w:tcPr>
            <w:tcW w:w="0" w:type="auto"/>
            <w:gridSpan w:val="3"/>
            <w:shd w:val="clear" w:color="auto" w:fill="auto"/>
            <w:vAlign w:val="bottom"/>
          </w:tcPr>
          <w:p w14:paraId="74DE0BEB" w14:textId="77777777" w:rsidR="00584EC1" w:rsidRDefault="00584EC1">
            <w:pPr>
              <w:rPr>
                <w:rFonts w:ascii="宋体"/>
                <w:vanish/>
              </w:rPr>
            </w:pPr>
          </w:p>
        </w:tc>
        <w:tc>
          <w:tcPr>
            <w:tcW w:w="0" w:type="auto"/>
            <w:gridSpan w:val="3"/>
            <w:shd w:val="clear" w:color="auto" w:fill="auto"/>
            <w:vAlign w:val="bottom"/>
          </w:tcPr>
          <w:p w14:paraId="74DE0BEC" w14:textId="77777777" w:rsidR="00584EC1" w:rsidRDefault="00584EC1">
            <w:pPr>
              <w:rPr>
                <w:rFonts w:ascii="宋体"/>
                <w:vanish/>
              </w:rPr>
            </w:pPr>
          </w:p>
        </w:tc>
        <w:tc>
          <w:tcPr>
            <w:tcW w:w="0" w:type="auto"/>
            <w:gridSpan w:val="3"/>
            <w:shd w:val="clear" w:color="auto" w:fill="auto"/>
            <w:vAlign w:val="bottom"/>
          </w:tcPr>
          <w:p w14:paraId="74DE0BED" w14:textId="77777777" w:rsidR="00584EC1" w:rsidRDefault="00584EC1">
            <w:pPr>
              <w:rPr>
                <w:rFonts w:ascii="宋体"/>
                <w:vanish/>
              </w:rPr>
            </w:pPr>
          </w:p>
        </w:tc>
        <w:tc>
          <w:tcPr>
            <w:tcW w:w="0" w:type="auto"/>
            <w:shd w:val="clear" w:color="auto" w:fill="auto"/>
            <w:vAlign w:val="bottom"/>
          </w:tcPr>
          <w:p w14:paraId="74DE0BEE" w14:textId="77777777" w:rsidR="00584EC1" w:rsidRDefault="00584EC1">
            <w:pPr>
              <w:rPr>
                <w:rFonts w:ascii="宋体"/>
              </w:rPr>
            </w:pPr>
          </w:p>
        </w:tc>
        <w:tc>
          <w:tcPr>
            <w:tcW w:w="0" w:type="auto"/>
            <w:shd w:val="clear" w:color="auto" w:fill="auto"/>
            <w:vAlign w:val="bottom"/>
          </w:tcPr>
          <w:p w14:paraId="74DE0BEF" w14:textId="77777777" w:rsidR="00584EC1" w:rsidRDefault="00584EC1">
            <w:pPr>
              <w:rPr>
                <w:rFonts w:ascii="宋体"/>
              </w:rPr>
            </w:pPr>
          </w:p>
        </w:tc>
        <w:tc>
          <w:tcPr>
            <w:tcW w:w="0" w:type="auto"/>
            <w:shd w:val="clear" w:color="auto" w:fill="auto"/>
            <w:vAlign w:val="bottom"/>
          </w:tcPr>
          <w:p w14:paraId="74DE0BF0" w14:textId="77777777" w:rsidR="00584EC1" w:rsidRDefault="00584EC1">
            <w:pPr>
              <w:rPr>
                <w:rFonts w:ascii="宋体"/>
              </w:rPr>
            </w:pPr>
          </w:p>
        </w:tc>
        <w:tc>
          <w:tcPr>
            <w:tcW w:w="0" w:type="auto"/>
            <w:shd w:val="clear" w:color="auto" w:fill="auto"/>
            <w:vAlign w:val="bottom"/>
          </w:tcPr>
          <w:p w14:paraId="74DE0BF1" w14:textId="77777777" w:rsidR="00584EC1" w:rsidRDefault="00584EC1">
            <w:pPr>
              <w:rPr>
                <w:rFonts w:ascii="宋体"/>
              </w:rPr>
            </w:pPr>
          </w:p>
        </w:tc>
        <w:tc>
          <w:tcPr>
            <w:tcW w:w="0" w:type="auto"/>
            <w:shd w:val="clear" w:color="auto" w:fill="auto"/>
            <w:vAlign w:val="bottom"/>
          </w:tcPr>
          <w:p w14:paraId="74DE0BF2" w14:textId="77777777" w:rsidR="00584EC1" w:rsidRDefault="00584EC1">
            <w:pPr>
              <w:rPr>
                <w:rFonts w:ascii="宋体"/>
              </w:rPr>
            </w:pPr>
          </w:p>
        </w:tc>
        <w:tc>
          <w:tcPr>
            <w:tcW w:w="0" w:type="auto"/>
            <w:shd w:val="clear" w:color="auto" w:fill="auto"/>
            <w:vAlign w:val="bottom"/>
          </w:tcPr>
          <w:p w14:paraId="74DE0BF3" w14:textId="77777777" w:rsidR="00584EC1" w:rsidRDefault="00584EC1">
            <w:pPr>
              <w:rPr>
                <w:rFonts w:ascii="宋体"/>
              </w:rPr>
            </w:pPr>
          </w:p>
        </w:tc>
      </w:tr>
      <w:tr w:rsidR="00871F8D" w14:paraId="74DE0C15" w14:textId="77777777">
        <w:tc>
          <w:tcPr>
            <w:tcW w:w="0" w:type="auto"/>
            <w:gridSpan w:val="9"/>
            <w:shd w:val="clear" w:color="auto" w:fill="FFFFFF"/>
            <w:tcMar>
              <w:top w:w="40" w:type="dxa"/>
              <w:left w:w="20" w:type="dxa"/>
              <w:bottom w:w="40" w:type="dxa"/>
              <w:right w:w="20" w:type="dxa"/>
            </w:tcMar>
            <w:vAlign w:val="bottom"/>
          </w:tcPr>
          <w:p w14:paraId="74DE0BF5" w14:textId="77777777" w:rsidR="00584EC1" w:rsidRDefault="00871F8D">
            <w:pPr>
              <w:textAlignment w:val="bottom"/>
            </w:pPr>
            <w:r>
              <w:rPr>
                <w:rFonts w:ascii="Arial" w:eastAsia="宋体" w:hAnsi="Arial" w:cs="Arial"/>
                <w:b/>
                <w:bCs/>
                <w:color w:val="000000"/>
                <w:sz w:val="12"/>
                <w:szCs w:val="12"/>
              </w:rPr>
              <w:t> Total capital</w:t>
            </w:r>
          </w:p>
        </w:tc>
        <w:tc>
          <w:tcPr>
            <w:tcW w:w="0" w:type="auto"/>
            <w:tcBorders>
              <w:top w:val="single" w:sz="8" w:space="0" w:color="000000"/>
            </w:tcBorders>
            <w:shd w:val="clear" w:color="auto" w:fill="FFFFFF"/>
            <w:tcMar>
              <w:top w:w="40" w:type="dxa"/>
              <w:left w:w="20" w:type="dxa"/>
              <w:bottom w:w="40" w:type="dxa"/>
              <w:right w:w="0" w:type="dxa"/>
            </w:tcMar>
            <w:vAlign w:val="bottom"/>
          </w:tcPr>
          <w:p w14:paraId="74DE0BF6"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E0BF7" w14:textId="77777777" w:rsidR="00584EC1" w:rsidRDefault="00871F8D">
            <w:pPr>
              <w:jc w:val="right"/>
              <w:textAlignment w:val="bottom"/>
            </w:pPr>
            <w:r>
              <w:rPr>
                <w:rFonts w:ascii="Arial" w:eastAsia="宋体" w:hAnsi="Arial" w:cs="Arial"/>
                <w:b/>
                <w:bCs/>
                <w:color w:val="000000"/>
                <w:sz w:val="12"/>
                <w:szCs w:val="12"/>
              </w:rPr>
              <w:t>19,397</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0BF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BF9"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E0BFA"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E0BFB" w14:textId="77777777" w:rsidR="00584EC1" w:rsidRDefault="00871F8D">
            <w:pPr>
              <w:jc w:val="right"/>
              <w:textAlignment w:val="bottom"/>
            </w:pPr>
            <w:r>
              <w:rPr>
                <w:rFonts w:ascii="Arial" w:eastAsia="宋体" w:hAnsi="Arial" w:cs="Arial"/>
                <w:b/>
                <w:bCs/>
                <w:color w:val="000000"/>
                <w:sz w:val="12"/>
                <w:szCs w:val="12"/>
              </w:rPr>
              <w:t>19,514</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0BF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BFD"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E0BFE"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E0BFF" w14:textId="77777777" w:rsidR="00584EC1" w:rsidRDefault="00871F8D">
            <w:pPr>
              <w:jc w:val="right"/>
              <w:textAlignment w:val="bottom"/>
            </w:pPr>
            <w:r>
              <w:rPr>
                <w:rFonts w:ascii="Arial" w:eastAsia="宋体" w:hAnsi="Arial" w:cs="Arial"/>
                <w:color w:val="000000"/>
                <w:sz w:val="12"/>
                <w:szCs w:val="12"/>
              </w:rPr>
              <w:t>17,810 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0C0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C01"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E0C02"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E0C03" w14:textId="77777777" w:rsidR="00584EC1" w:rsidRDefault="00871F8D">
            <w:pPr>
              <w:jc w:val="right"/>
              <w:textAlignment w:val="bottom"/>
            </w:pPr>
            <w:r>
              <w:rPr>
                <w:rFonts w:ascii="Arial" w:eastAsia="宋体" w:hAnsi="Arial" w:cs="Arial"/>
                <w:color w:val="000000"/>
                <w:sz w:val="12"/>
                <w:szCs w:val="12"/>
              </w:rPr>
              <w:t>17,957 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0C0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C05"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E0C06"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E0C07" w14:textId="77777777" w:rsidR="00584EC1" w:rsidRDefault="00871F8D">
            <w:pPr>
              <w:jc w:val="right"/>
              <w:textAlignment w:val="bottom"/>
            </w:pPr>
            <w:r>
              <w:rPr>
                <w:rFonts w:ascii="Arial" w:eastAsia="宋体" w:hAnsi="Arial" w:cs="Arial"/>
                <w:b/>
                <w:bCs/>
                <w:color w:val="000000"/>
                <w:sz w:val="12"/>
                <w:szCs w:val="12"/>
              </w:rPr>
              <w:t>19,044</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0C0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C09"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E0C0A"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E0C0B" w14:textId="77777777" w:rsidR="00584EC1" w:rsidRDefault="00871F8D">
            <w:pPr>
              <w:jc w:val="right"/>
              <w:textAlignment w:val="bottom"/>
            </w:pPr>
            <w:r>
              <w:rPr>
                <w:rFonts w:ascii="Arial" w:eastAsia="宋体" w:hAnsi="Arial" w:cs="Arial"/>
                <w:b/>
                <w:bCs/>
                <w:color w:val="000000"/>
                <w:sz w:val="12"/>
                <w:szCs w:val="12"/>
              </w:rPr>
              <w:t>19,161</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0C0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C0D"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E0C0E"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E0C0F" w14:textId="77777777" w:rsidR="00584EC1" w:rsidRDefault="00871F8D">
            <w:pPr>
              <w:jc w:val="right"/>
              <w:textAlignment w:val="bottom"/>
            </w:pPr>
            <w:r>
              <w:rPr>
                <w:rFonts w:ascii="Arial" w:eastAsia="宋体" w:hAnsi="Arial" w:cs="Arial"/>
                <w:color w:val="000000"/>
                <w:sz w:val="12"/>
                <w:szCs w:val="12"/>
              </w:rPr>
              <w:t>18,282 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0C1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C11"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E0C12"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E0C13" w14:textId="77777777" w:rsidR="00584EC1" w:rsidRDefault="00871F8D">
            <w:pPr>
              <w:jc w:val="right"/>
              <w:textAlignment w:val="bottom"/>
            </w:pPr>
            <w:r>
              <w:rPr>
                <w:rFonts w:ascii="Arial" w:eastAsia="宋体" w:hAnsi="Arial" w:cs="Arial"/>
                <w:color w:val="000000"/>
                <w:sz w:val="12"/>
                <w:szCs w:val="12"/>
              </w:rPr>
              <w:t>18,420 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0C14" w14:textId="77777777" w:rsidR="00584EC1" w:rsidRDefault="00584EC1">
            <w:pPr>
              <w:jc w:val="right"/>
              <w:rPr>
                <w:rFonts w:ascii="宋体"/>
              </w:rPr>
            </w:pPr>
          </w:p>
        </w:tc>
      </w:tr>
      <w:tr w:rsidR="00584EC1" w14:paraId="74DE0C26" w14:textId="77777777">
        <w:tc>
          <w:tcPr>
            <w:tcW w:w="0" w:type="auto"/>
            <w:gridSpan w:val="9"/>
            <w:shd w:val="clear" w:color="auto" w:fill="CCEEFF"/>
            <w:tcMar>
              <w:top w:w="40" w:type="dxa"/>
              <w:left w:w="20" w:type="dxa"/>
              <w:bottom w:w="40" w:type="dxa"/>
              <w:right w:w="20" w:type="dxa"/>
            </w:tcMar>
            <w:vAlign w:val="bottom"/>
          </w:tcPr>
          <w:p w14:paraId="74DE0C16" w14:textId="77777777" w:rsidR="00584EC1" w:rsidRDefault="00871F8D">
            <w:pPr>
              <w:textAlignment w:val="bottom"/>
            </w:pPr>
            <w:r>
              <w:rPr>
                <w:rFonts w:ascii="Arial" w:eastAsia="宋体" w:hAnsi="Arial" w:cs="Arial"/>
                <w:b/>
                <w:bCs/>
                <w:color w:val="000000"/>
                <w:sz w:val="12"/>
                <w:szCs w:val="12"/>
              </w:rPr>
              <w:t> Risk-weighted assets:</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4DE0C17"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E0C18" w14:textId="77777777" w:rsidR="00584EC1" w:rsidRDefault="00584EC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4DE0C19"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E0C1A" w14:textId="77777777" w:rsidR="00584EC1" w:rsidRDefault="00584EC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4DE0C1B"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E0C1C" w14:textId="77777777" w:rsidR="00584EC1" w:rsidRDefault="00584EC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4DE0C1D"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E0C1E" w14:textId="77777777" w:rsidR="00584EC1" w:rsidRDefault="00584EC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4DE0C1F"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E0C20" w14:textId="77777777" w:rsidR="00584EC1" w:rsidRDefault="00584EC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4DE0C21"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E0C22" w14:textId="77777777" w:rsidR="00584EC1" w:rsidRDefault="00584EC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4DE0C23"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E0C24" w14:textId="77777777" w:rsidR="00584EC1" w:rsidRDefault="00584EC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4DE0C25" w14:textId="77777777" w:rsidR="00584EC1" w:rsidRDefault="00584EC1">
            <w:pPr>
              <w:rPr>
                <w:rFonts w:ascii="宋体"/>
              </w:rPr>
            </w:pPr>
          </w:p>
        </w:tc>
      </w:tr>
      <w:tr w:rsidR="00871F8D" w14:paraId="74DE0C47" w14:textId="77777777">
        <w:tc>
          <w:tcPr>
            <w:tcW w:w="0" w:type="auto"/>
            <w:gridSpan w:val="9"/>
            <w:shd w:val="clear" w:color="auto" w:fill="FFFFFF"/>
            <w:tcMar>
              <w:top w:w="40" w:type="dxa"/>
              <w:left w:w="20" w:type="dxa"/>
              <w:bottom w:w="40" w:type="dxa"/>
              <w:right w:w="20" w:type="dxa"/>
            </w:tcMar>
            <w:vAlign w:val="bottom"/>
          </w:tcPr>
          <w:p w14:paraId="74DE0C27" w14:textId="77777777" w:rsidR="00584EC1" w:rsidRDefault="00871F8D">
            <w:pPr>
              <w:textAlignment w:val="bottom"/>
            </w:pPr>
            <w:r>
              <w:rPr>
                <w:rFonts w:ascii="Arial" w:eastAsia="宋体" w:hAnsi="Arial" w:cs="Arial"/>
                <w:color w:val="000000"/>
                <w:sz w:val="12"/>
                <w:szCs w:val="12"/>
              </w:rPr>
              <w:t>Credit risk</w:t>
            </w:r>
            <w:r>
              <w:rPr>
                <w:rFonts w:ascii="Arial" w:eastAsia="宋体" w:hAnsi="Arial" w:cs="Arial"/>
                <w:color w:val="000000"/>
                <w:sz w:val="7"/>
                <w:szCs w:val="7"/>
              </w:rPr>
              <w:t>(2)</w:t>
            </w:r>
          </w:p>
        </w:tc>
        <w:tc>
          <w:tcPr>
            <w:tcW w:w="0" w:type="auto"/>
            <w:shd w:val="clear" w:color="auto" w:fill="FFFFFF"/>
            <w:tcMar>
              <w:top w:w="40" w:type="dxa"/>
              <w:left w:w="20" w:type="dxa"/>
              <w:bottom w:w="40" w:type="dxa"/>
              <w:right w:w="0" w:type="dxa"/>
            </w:tcMar>
            <w:vAlign w:val="bottom"/>
          </w:tcPr>
          <w:p w14:paraId="74DE0C28" w14:textId="77777777" w:rsidR="00584EC1" w:rsidRDefault="00871F8D">
            <w:pPr>
              <w:textAlignment w:val="bottom"/>
            </w:pPr>
            <w:r>
              <w:rPr>
                <w:rFonts w:ascii="Arial" w:eastAsia="宋体" w:hAnsi="Arial" w:cs="Arial"/>
                <w:b/>
                <w:bCs/>
                <w:color w:val="000000"/>
                <w:sz w:val="12"/>
                <w:szCs w:val="12"/>
              </w:rPr>
              <w:t>$</w:t>
            </w:r>
          </w:p>
        </w:tc>
        <w:tc>
          <w:tcPr>
            <w:tcW w:w="0" w:type="auto"/>
            <w:shd w:val="clear" w:color="auto" w:fill="FFFFFF"/>
            <w:tcMar>
              <w:top w:w="40" w:type="dxa"/>
              <w:left w:w="0" w:type="dxa"/>
              <w:bottom w:w="40" w:type="dxa"/>
              <w:right w:w="0" w:type="dxa"/>
            </w:tcMar>
            <w:vAlign w:val="bottom"/>
          </w:tcPr>
          <w:p w14:paraId="74DE0C29" w14:textId="77777777" w:rsidR="00584EC1" w:rsidRDefault="00871F8D">
            <w:pPr>
              <w:jc w:val="right"/>
              <w:textAlignment w:val="bottom"/>
            </w:pPr>
            <w:r>
              <w:rPr>
                <w:rFonts w:ascii="Arial" w:eastAsia="宋体" w:hAnsi="Arial" w:cs="Arial"/>
                <w:b/>
                <w:bCs/>
                <w:color w:val="000000"/>
                <w:sz w:val="12"/>
                <w:szCs w:val="12"/>
              </w:rPr>
              <w:t>66,503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0C2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C2B" w14:textId="77777777" w:rsidR="00584EC1" w:rsidRDefault="00584EC1">
            <w:pPr>
              <w:rPr>
                <w:rFonts w:ascii="宋体"/>
              </w:rPr>
            </w:pPr>
          </w:p>
        </w:tc>
        <w:tc>
          <w:tcPr>
            <w:tcW w:w="0" w:type="auto"/>
            <w:shd w:val="clear" w:color="auto" w:fill="FFFFFF"/>
            <w:tcMar>
              <w:top w:w="40" w:type="dxa"/>
              <w:left w:w="20" w:type="dxa"/>
              <w:bottom w:w="40" w:type="dxa"/>
              <w:right w:w="0" w:type="dxa"/>
            </w:tcMar>
            <w:vAlign w:val="bottom"/>
          </w:tcPr>
          <w:p w14:paraId="74DE0C2C" w14:textId="77777777" w:rsidR="00584EC1" w:rsidRDefault="00871F8D">
            <w:pPr>
              <w:textAlignment w:val="bottom"/>
            </w:pPr>
            <w:r>
              <w:rPr>
                <w:rFonts w:ascii="Arial" w:eastAsia="宋体" w:hAnsi="Arial" w:cs="Arial"/>
                <w:b/>
                <w:bCs/>
                <w:color w:val="000000"/>
                <w:sz w:val="12"/>
                <w:szCs w:val="12"/>
              </w:rPr>
              <w:t>$</w:t>
            </w:r>
          </w:p>
        </w:tc>
        <w:tc>
          <w:tcPr>
            <w:tcW w:w="0" w:type="auto"/>
            <w:shd w:val="clear" w:color="auto" w:fill="FFFFFF"/>
            <w:tcMar>
              <w:top w:w="40" w:type="dxa"/>
              <w:left w:w="0" w:type="dxa"/>
              <w:bottom w:w="40" w:type="dxa"/>
              <w:right w:w="0" w:type="dxa"/>
            </w:tcMar>
            <w:vAlign w:val="bottom"/>
          </w:tcPr>
          <w:p w14:paraId="74DE0C2D" w14:textId="77777777" w:rsidR="00584EC1" w:rsidRDefault="00871F8D">
            <w:pPr>
              <w:jc w:val="right"/>
              <w:textAlignment w:val="bottom"/>
            </w:pPr>
            <w:r>
              <w:rPr>
                <w:rFonts w:ascii="Arial" w:eastAsia="宋体" w:hAnsi="Arial" w:cs="Arial"/>
                <w:b/>
                <w:bCs/>
                <w:color w:val="000000"/>
                <w:sz w:val="12"/>
                <w:szCs w:val="12"/>
              </w:rPr>
              <w:t>114,604</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0C2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C2F" w14:textId="77777777" w:rsidR="00584EC1" w:rsidRDefault="00584EC1">
            <w:pPr>
              <w:rPr>
                <w:rFonts w:ascii="宋体"/>
              </w:rPr>
            </w:pPr>
          </w:p>
        </w:tc>
        <w:tc>
          <w:tcPr>
            <w:tcW w:w="0" w:type="auto"/>
            <w:shd w:val="clear" w:color="auto" w:fill="FFFFFF"/>
            <w:tcMar>
              <w:top w:w="40" w:type="dxa"/>
              <w:left w:w="20" w:type="dxa"/>
              <w:bottom w:w="40" w:type="dxa"/>
              <w:right w:w="0" w:type="dxa"/>
            </w:tcMar>
            <w:vAlign w:val="bottom"/>
          </w:tcPr>
          <w:p w14:paraId="74DE0C30" w14:textId="77777777" w:rsidR="00584EC1" w:rsidRDefault="00871F8D">
            <w:pPr>
              <w:textAlignment w:val="bottom"/>
            </w:pPr>
            <w:r>
              <w:rPr>
                <w:rFonts w:ascii="Arial" w:eastAsia="宋体" w:hAnsi="Arial" w:cs="Arial"/>
                <w:color w:val="000000"/>
                <w:sz w:val="12"/>
                <w:szCs w:val="12"/>
              </w:rPr>
              <w:t>$</w:t>
            </w:r>
          </w:p>
        </w:tc>
        <w:tc>
          <w:tcPr>
            <w:tcW w:w="0" w:type="auto"/>
            <w:shd w:val="clear" w:color="auto" w:fill="FFFFFF"/>
            <w:tcMar>
              <w:top w:w="40" w:type="dxa"/>
              <w:left w:w="0" w:type="dxa"/>
              <w:bottom w:w="40" w:type="dxa"/>
              <w:right w:w="0" w:type="dxa"/>
            </w:tcMar>
            <w:vAlign w:val="bottom"/>
          </w:tcPr>
          <w:p w14:paraId="74DE0C31" w14:textId="77777777" w:rsidR="00584EC1" w:rsidRDefault="00871F8D">
            <w:pPr>
              <w:jc w:val="right"/>
              <w:textAlignment w:val="bottom"/>
            </w:pPr>
            <w:r>
              <w:rPr>
                <w:rFonts w:ascii="Arial" w:eastAsia="宋体" w:hAnsi="Arial" w:cs="Arial"/>
                <w:color w:val="000000"/>
                <w:sz w:val="12"/>
                <w:szCs w:val="12"/>
              </w:rPr>
              <w:t>63,367 </w:t>
            </w:r>
          </w:p>
        </w:tc>
        <w:tc>
          <w:tcPr>
            <w:tcW w:w="0" w:type="auto"/>
            <w:shd w:val="clear" w:color="auto" w:fill="FFFFFF"/>
            <w:tcMar>
              <w:top w:w="40" w:type="dxa"/>
              <w:left w:w="0" w:type="dxa"/>
              <w:bottom w:w="40" w:type="dxa"/>
              <w:right w:w="20" w:type="dxa"/>
            </w:tcMar>
            <w:vAlign w:val="bottom"/>
          </w:tcPr>
          <w:p w14:paraId="74DE0C3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C33" w14:textId="77777777" w:rsidR="00584EC1" w:rsidRDefault="00584EC1">
            <w:pPr>
              <w:rPr>
                <w:rFonts w:ascii="宋体"/>
              </w:rPr>
            </w:pPr>
          </w:p>
        </w:tc>
        <w:tc>
          <w:tcPr>
            <w:tcW w:w="0" w:type="auto"/>
            <w:shd w:val="clear" w:color="auto" w:fill="FFFFFF"/>
            <w:tcMar>
              <w:top w:w="40" w:type="dxa"/>
              <w:left w:w="20" w:type="dxa"/>
              <w:bottom w:w="40" w:type="dxa"/>
              <w:right w:w="0" w:type="dxa"/>
            </w:tcMar>
            <w:vAlign w:val="bottom"/>
          </w:tcPr>
          <w:p w14:paraId="74DE0C34" w14:textId="77777777" w:rsidR="00584EC1" w:rsidRDefault="00871F8D">
            <w:pPr>
              <w:textAlignment w:val="bottom"/>
            </w:pPr>
            <w:r>
              <w:rPr>
                <w:rFonts w:ascii="Arial" w:eastAsia="宋体" w:hAnsi="Arial" w:cs="Arial"/>
                <w:color w:val="000000"/>
                <w:sz w:val="12"/>
                <w:szCs w:val="12"/>
              </w:rPr>
              <w:t>$</w:t>
            </w:r>
          </w:p>
        </w:tc>
        <w:tc>
          <w:tcPr>
            <w:tcW w:w="0" w:type="auto"/>
            <w:shd w:val="clear" w:color="auto" w:fill="FFFFFF"/>
            <w:tcMar>
              <w:top w:w="40" w:type="dxa"/>
              <w:left w:w="0" w:type="dxa"/>
              <w:bottom w:w="40" w:type="dxa"/>
              <w:right w:w="0" w:type="dxa"/>
            </w:tcMar>
            <w:vAlign w:val="bottom"/>
          </w:tcPr>
          <w:p w14:paraId="74DE0C35" w14:textId="77777777" w:rsidR="00584EC1" w:rsidRDefault="00871F8D">
            <w:pPr>
              <w:jc w:val="right"/>
              <w:textAlignment w:val="bottom"/>
            </w:pPr>
            <w:r>
              <w:rPr>
                <w:rFonts w:ascii="Arial" w:eastAsia="宋体" w:hAnsi="Arial" w:cs="Arial"/>
                <w:color w:val="000000"/>
                <w:sz w:val="12"/>
                <w:szCs w:val="12"/>
              </w:rPr>
              <w:t>114,892 </w:t>
            </w:r>
          </w:p>
        </w:tc>
        <w:tc>
          <w:tcPr>
            <w:tcW w:w="0" w:type="auto"/>
            <w:shd w:val="clear" w:color="auto" w:fill="FFFFFF"/>
            <w:tcMar>
              <w:top w:w="40" w:type="dxa"/>
              <w:left w:w="0" w:type="dxa"/>
              <w:bottom w:w="40" w:type="dxa"/>
              <w:right w:w="20" w:type="dxa"/>
            </w:tcMar>
            <w:vAlign w:val="bottom"/>
          </w:tcPr>
          <w:p w14:paraId="74DE0C3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C37" w14:textId="77777777" w:rsidR="00584EC1" w:rsidRDefault="00584EC1">
            <w:pPr>
              <w:rPr>
                <w:rFonts w:ascii="宋体"/>
              </w:rPr>
            </w:pPr>
          </w:p>
        </w:tc>
        <w:tc>
          <w:tcPr>
            <w:tcW w:w="0" w:type="auto"/>
            <w:shd w:val="clear" w:color="auto" w:fill="FFFFFF"/>
            <w:tcMar>
              <w:top w:w="40" w:type="dxa"/>
              <w:left w:w="20" w:type="dxa"/>
              <w:bottom w:w="40" w:type="dxa"/>
              <w:right w:w="0" w:type="dxa"/>
            </w:tcMar>
            <w:vAlign w:val="bottom"/>
          </w:tcPr>
          <w:p w14:paraId="74DE0C38" w14:textId="77777777" w:rsidR="00584EC1" w:rsidRDefault="00871F8D">
            <w:pPr>
              <w:textAlignment w:val="bottom"/>
            </w:pPr>
            <w:r>
              <w:rPr>
                <w:rFonts w:ascii="Arial" w:eastAsia="宋体" w:hAnsi="Arial" w:cs="Arial"/>
                <w:b/>
                <w:bCs/>
                <w:color w:val="000000"/>
                <w:sz w:val="12"/>
                <w:szCs w:val="12"/>
              </w:rPr>
              <w:t>$</w:t>
            </w:r>
          </w:p>
        </w:tc>
        <w:tc>
          <w:tcPr>
            <w:tcW w:w="0" w:type="auto"/>
            <w:shd w:val="clear" w:color="auto" w:fill="FFFFFF"/>
            <w:tcMar>
              <w:top w:w="40" w:type="dxa"/>
              <w:left w:w="0" w:type="dxa"/>
              <w:bottom w:w="40" w:type="dxa"/>
              <w:right w:w="0" w:type="dxa"/>
            </w:tcMar>
            <w:vAlign w:val="bottom"/>
          </w:tcPr>
          <w:p w14:paraId="74DE0C39" w14:textId="77777777" w:rsidR="00584EC1" w:rsidRDefault="00871F8D">
            <w:pPr>
              <w:jc w:val="right"/>
              <w:textAlignment w:val="bottom"/>
            </w:pPr>
            <w:r>
              <w:rPr>
                <w:rFonts w:ascii="Arial" w:eastAsia="宋体" w:hAnsi="Arial" w:cs="Arial"/>
                <w:b/>
                <w:bCs/>
                <w:color w:val="000000"/>
                <w:sz w:val="12"/>
                <w:szCs w:val="12"/>
              </w:rPr>
              <w:t>59,635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0C3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C3B" w14:textId="77777777" w:rsidR="00584EC1" w:rsidRDefault="00584EC1">
            <w:pPr>
              <w:rPr>
                <w:rFonts w:ascii="宋体"/>
              </w:rPr>
            </w:pPr>
          </w:p>
        </w:tc>
        <w:tc>
          <w:tcPr>
            <w:tcW w:w="0" w:type="auto"/>
            <w:shd w:val="clear" w:color="auto" w:fill="FFFFFF"/>
            <w:tcMar>
              <w:top w:w="40" w:type="dxa"/>
              <w:left w:w="20" w:type="dxa"/>
              <w:bottom w:w="40" w:type="dxa"/>
              <w:right w:w="0" w:type="dxa"/>
            </w:tcMar>
            <w:vAlign w:val="bottom"/>
          </w:tcPr>
          <w:p w14:paraId="74DE0C3C" w14:textId="77777777" w:rsidR="00584EC1" w:rsidRDefault="00871F8D">
            <w:pPr>
              <w:textAlignment w:val="bottom"/>
            </w:pPr>
            <w:r>
              <w:rPr>
                <w:rFonts w:ascii="Arial" w:eastAsia="宋体" w:hAnsi="Arial" w:cs="Arial"/>
                <w:b/>
                <w:bCs/>
                <w:color w:val="000000"/>
                <w:sz w:val="12"/>
                <w:szCs w:val="12"/>
              </w:rPr>
              <w:t>$</w:t>
            </w:r>
          </w:p>
        </w:tc>
        <w:tc>
          <w:tcPr>
            <w:tcW w:w="0" w:type="auto"/>
            <w:shd w:val="clear" w:color="auto" w:fill="FFFFFF"/>
            <w:tcMar>
              <w:top w:w="40" w:type="dxa"/>
              <w:left w:w="0" w:type="dxa"/>
              <w:bottom w:w="40" w:type="dxa"/>
              <w:right w:w="0" w:type="dxa"/>
            </w:tcMar>
            <w:vAlign w:val="bottom"/>
          </w:tcPr>
          <w:p w14:paraId="74DE0C3D" w14:textId="77777777" w:rsidR="00584EC1" w:rsidRDefault="00871F8D">
            <w:pPr>
              <w:jc w:val="right"/>
              <w:textAlignment w:val="bottom"/>
            </w:pPr>
            <w:r>
              <w:rPr>
                <w:rFonts w:ascii="Arial" w:eastAsia="宋体" w:hAnsi="Arial" w:cs="Arial"/>
                <w:b/>
                <w:bCs/>
                <w:color w:val="000000"/>
                <w:sz w:val="12"/>
                <w:szCs w:val="12"/>
              </w:rPr>
              <w:t>111,464</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0C3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C3F" w14:textId="77777777" w:rsidR="00584EC1" w:rsidRDefault="00584EC1">
            <w:pPr>
              <w:rPr>
                <w:rFonts w:ascii="宋体"/>
              </w:rPr>
            </w:pPr>
          </w:p>
        </w:tc>
        <w:tc>
          <w:tcPr>
            <w:tcW w:w="0" w:type="auto"/>
            <w:shd w:val="clear" w:color="auto" w:fill="FFFFFF"/>
            <w:tcMar>
              <w:top w:w="40" w:type="dxa"/>
              <w:left w:w="20" w:type="dxa"/>
              <w:bottom w:w="40" w:type="dxa"/>
              <w:right w:w="0" w:type="dxa"/>
            </w:tcMar>
            <w:vAlign w:val="bottom"/>
          </w:tcPr>
          <w:p w14:paraId="74DE0C40" w14:textId="77777777" w:rsidR="00584EC1" w:rsidRDefault="00871F8D">
            <w:pPr>
              <w:textAlignment w:val="bottom"/>
            </w:pPr>
            <w:r>
              <w:rPr>
                <w:rFonts w:ascii="Arial" w:eastAsia="宋体" w:hAnsi="Arial" w:cs="Arial"/>
                <w:color w:val="000000"/>
                <w:sz w:val="12"/>
                <w:szCs w:val="12"/>
              </w:rPr>
              <w:t>$</w:t>
            </w:r>
          </w:p>
        </w:tc>
        <w:tc>
          <w:tcPr>
            <w:tcW w:w="0" w:type="auto"/>
            <w:shd w:val="clear" w:color="auto" w:fill="FFFFFF"/>
            <w:tcMar>
              <w:top w:w="40" w:type="dxa"/>
              <w:left w:w="0" w:type="dxa"/>
              <w:bottom w:w="40" w:type="dxa"/>
              <w:right w:w="0" w:type="dxa"/>
            </w:tcMar>
            <w:vAlign w:val="bottom"/>
          </w:tcPr>
          <w:p w14:paraId="74DE0C41" w14:textId="77777777" w:rsidR="00584EC1" w:rsidRDefault="00871F8D">
            <w:pPr>
              <w:jc w:val="right"/>
              <w:textAlignment w:val="bottom"/>
            </w:pPr>
            <w:r>
              <w:rPr>
                <w:rFonts w:ascii="Arial" w:eastAsia="宋体" w:hAnsi="Arial" w:cs="Arial"/>
                <w:color w:val="000000"/>
                <w:sz w:val="12"/>
                <w:szCs w:val="12"/>
              </w:rPr>
              <w:t>58,960 </w:t>
            </w:r>
          </w:p>
        </w:tc>
        <w:tc>
          <w:tcPr>
            <w:tcW w:w="0" w:type="auto"/>
            <w:shd w:val="clear" w:color="auto" w:fill="FFFFFF"/>
            <w:tcMar>
              <w:top w:w="40" w:type="dxa"/>
              <w:left w:w="0" w:type="dxa"/>
              <w:bottom w:w="40" w:type="dxa"/>
              <w:right w:w="20" w:type="dxa"/>
            </w:tcMar>
            <w:vAlign w:val="bottom"/>
          </w:tcPr>
          <w:p w14:paraId="74DE0C4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C43" w14:textId="77777777" w:rsidR="00584EC1" w:rsidRDefault="00584EC1">
            <w:pPr>
              <w:rPr>
                <w:rFonts w:ascii="宋体"/>
              </w:rPr>
            </w:pPr>
          </w:p>
        </w:tc>
        <w:tc>
          <w:tcPr>
            <w:tcW w:w="0" w:type="auto"/>
            <w:shd w:val="clear" w:color="auto" w:fill="FFFFFF"/>
            <w:tcMar>
              <w:top w:w="40" w:type="dxa"/>
              <w:left w:w="20" w:type="dxa"/>
              <w:bottom w:w="40" w:type="dxa"/>
              <w:right w:w="0" w:type="dxa"/>
            </w:tcMar>
            <w:vAlign w:val="bottom"/>
          </w:tcPr>
          <w:p w14:paraId="74DE0C44" w14:textId="77777777" w:rsidR="00584EC1" w:rsidRDefault="00871F8D">
            <w:pPr>
              <w:textAlignment w:val="bottom"/>
            </w:pPr>
            <w:r>
              <w:rPr>
                <w:rFonts w:ascii="Arial" w:eastAsia="宋体" w:hAnsi="Arial" w:cs="Arial"/>
                <w:color w:val="000000"/>
                <w:sz w:val="12"/>
                <w:szCs w:val="12"/>
              </w:rPr>
              <w:t>$</w:t>
            </w:r>
          </w:p>
        </w:tc>
        <w:tc>
          <w:tcPr>
            <w:tcW w:w="0" w:type="auto"/>
            <w:shd w:val="clear" w:color="auto" w:fill="FFFFFF"/>
            <w:tcMar>
              <w:top w:w="40" w:type="dxa"/>
              <w:left w:w="0" w:type="dxa"/>
              <w:bottom w:w="40" w:type="dxa"/>
              <w:right w:w="0" w:type="dxa"/>
            </w:tcMar>
            <w:vAlign w:val="bottom"/>
          </w:tcPr>
          <w:p w14:paraId="74DE0C45" w14:textId="77777777" w:rsidR="00584EC1" w:rsidRDefault="00871F8D">
            <w:pPr>
              <w:jc w:val="right"/>
              <w:textAlignment w:val="bottom"/>
            </w:pPr>
            <w:r>
              <w:rPr>
                <w:rFonts w:ascii="Arial" w:eastAsia="宋体" w:hAnsi="Arial" w:cs="Arial"/>
                <w:color w:val="000000"/>
                <w:sz w:val="12"/>
                <w:szCs w:val="12"/>
              </w:rPr>
              <w:t>110,797 </w:t>
            </w:r>
          </w:p>
        </w:tc>
        <w:tc>
          <w:tcPr>
            <w:tcW w:w="0" w:type="auto"/>
            <w:shd w:val="clear" w:color="auto" w:fill="FFFFFF"/>
            <w:tcMar>
              <w:top w:w="40" w:type="dxa"/>
              <w:left w:w="0" w:type="dxa"/>
              <w:bottom w:w="40" w:type="dxa"/>
              <w:right w:w="20" w:type="dxa"/>
            </w:tcMar>
            <w:vAlign w:val="bottom"/>
          </w:tcPr>
          <w:p w14:paraId="74DE0C46" w14:textId="77777777" w:rsidR="00584EC1" w:rsidRDefault="00584EC1">
            <w:pPr>
              <w:jc w:val="right"/>
              <w:rPr>
                <w:rFonts w:ascii="宋体"/>
              </w:rPr>
            </w:pPr>
          </w:p>
        </w:tc>
      </w:tr>
      <w:tr w:rsidR="00584EC1" w14:paraId="74DE0C5C" w14:textId="77777777">
        <w:tc>
          <w:tcPr>
            <w:tcW w:w="0" w:type="auto"/>
            <w:gridSpan w:val="9"/>
            <w:shd w:val="clear" w:color="auto" w:fill="CCEEFF"/>
            <w:tcMar>
              <w:top w:w="40" w:type="dxa"/>
              <w:left w:w="20" w:type="dxa"/>
              <w:bottom w:w="40" w:type="dxa"/>
              <w:right w:w="20" w:type="dxa"/>
            </w:tcMar>
            <w:vAlign w:val="bottom"/>
          </w:tcPr>
          <w:p w14:paraId="74DE0C48" w14:textId="77777777" w:rsidR="00584EC1" w:rsidRDefault="00871F8D">
            <w:pPr>
              <w:textAlignment w:val="bottom"/>
            </w:pPr>
            <w:r>
              <w:rPr>
                <w:rFonts w:ascii="Arial" w:eastAsia="宋体" w:hAnsi="Arial" w:cs="Arial"/>
                <w:color w:val="000000"/>
                <w:sz w:val="12"/>
                <w:szCs w:val="12"/>
              </w:rPr>
              <w:t>Operational risk</w:t>
            </w:r>
            <w:r>
              <w:rPr>
                <w:rFonts w:ascii="Arial" w:eastAsia="宋体" w:hAnsi="Arial" w:cs="Arial"/>
                <w:color w:val="000000"/>
                <w:sz w:val="7"/>
                <w:szCs w:val="7"/>
              </w:rPr>
              <w:t>(3)</w:t>
            </w:r>
          </w:p>
        </w:tc>
        <w:tc>
          <w:tcPr>
            <w:tcW w:w="0" w:type="auto"/>
            <w:gridSpan w:val="2"/>
            <w:shd w:val="clear" w:color="auto" w:fill="CCEEFF"/>
            <w:tcMar>
              <w:top w:w="40" w:type="dxa"/>
              <w:left w:w="20" w:type="dxa"/>
              <w:bottom w:w="40" w:type="dxa"/>
              <w:right w:w="0" w:type="dxa"/>
            </w:tcMar>
            <w:vAlign w:val="bottom"/>
          </w:tcPr>
          <w:p w14:paraId="74DE0C49" w14:textId="77777777" w:rsidR="00584EC1" w:rsidRDefault="00871F8D">
            <w:pPr>
              <w:jc w:val="right"/>
              <w:textAlignment w:val="bottom"/>
            </w:pPr>
            <w:r>
              <w:rPr>
                <w:rFonts w:ascii="Arial" w:eastAsia="宋体" w:hAnsi="Arial" w:cs="Arial"/>
                <w:b/>
                <w:bCs/>
                <w:color w:val="000000"/>
                <w:sz w:val="12"/>
                <w:szCs w:val="12"/>
              </w:rPr>
              <w:t>45,750</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0C4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C4B" w14:textId="77777777" w:rsidR="00584EC1" w:rsidRDefault="00584EC1">
            <w:pPr>
              <w:rPr>
                <w:rFonts w:ascii="宋体"/>
              </w:rPr>
            </w:pPr>
          </w:p>
        </w:tc>
        <w:tc>
          <w:tcPr>
            <w:tcW w:w="0" w:type="auto"/>
            <w:gridSpan w:val="3"/>
            <w:shd w:val="clear" w:color="auto" w:fill="CCEEFF"/>
            <w:tcMar>
              <w:top w:w="40" w:type="dxa"/>
              <w:left w:w="20" w:type="dxa"/>
              <w:bottom w:w="40" w:type="dxa"/>
              <w:right w:w="140" w:type="dxa"/>
            </w:tcMar>
            <w:vAlign w:val="bottom"/>
          </w:tcPr>
          <w:p w14:paraId="74DE0C4C" w14:textId="77777777" w:rsidR="00584EC1" w:rsidRDefault="00871F8D">
            <w:pPr>
              <w:jc w:val="right"/>
              <w:textAlignment w:val="bottom"/>
            </w:pPr>
            <w:r>
              <w:rPr>
                <w:rFonts w:ascii="Arial" w:eastAsia="宋体" w:hAnsi="Arial" w:cs="Arial"/>
                <w:b/>
                <w:bCs/>
                <w:color w:val="000000"/>
                <w:sz w:val="12"/>
                <w:szCs w:val="12"/>
              </w:rPr>
              <w:t>NA</w:t>
            </w:r>
          </w:p>
        </w:tc>
        <w:tc>
          <w:tcPr>
            <w:tcW w:w="0" w:type="auto"/>
            <w:gridSpan w:val="3"/>
            <w:shd w:val="clear" w:color="auto" w:fill="CCEEFF"/>
            <w:tcMar>
              <w:top w:w="0" w:type="dxa"/>
              <w:left w:w="20" w:type="dxa"/>
              <w:bottom w:w="0" w:type="dxa"/>
              <w:right w:w="20" w:type="dxa"/>
            </w:tcMar>
            <w:vAlign w:val="bottom"/>
          </w:tcPr>
          <w:p w14:paraId="74DE0C4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C4E" w14:textId="77777777" w:rsidR="00584EC1" w:rsidRDefault="00871F8D">
            <w:pPr>
              <w:jc w:val="right"/>
              <w:textAlignment w:val="bottom"/>
            </w:pPr>
            <w:r>
              <w:rPr>
                <w:rFonts w:ascii="Arial" w:eastAsia="宋体" w:hAnsi="Arial" w:cs="Arial"/>
                <w:color w:val="000000"/>
                <w:sz w:val="12"/>
                <w:szCs w:val="12"/>
              </w:rPr>
              <w:t>44,150 </w:t>
            </w:r>
          </w:p>
        </w:tc>
        <w:tc>
          <w:tcPr>
            <w:tcW w:w="0" w:type="auto"/>
            <w:shd w:val="clear" w:color="auto" w:fill="CCEEFF"/>
            <w:tcMar>
              <w:top w:w="40" w:type="dxa"/>
              <w:left w:w="0" w:type="dxa"/>
              <w:bottom w:w="40" w:type="dxa"/>
              <w:right w:w="20" w:type="dxa"/>
            </w:tcMar>
            <w:vAlign w:val="bottom"/>
          </w:tcPr>
          <w:p w14:paraId="74DE0C4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C50" w14:textId="77777777" w:rsidR="00584EC1" w:rsidRDefault="00584EC1">
            <w:pPr>
              <w:rPr>
                <w:rFonts w:ascii="宋体"/>
              </w:rPr>
            </w:pPr>
          </w:p>
        </w:tc>
        <w:tc>
          <w:tcPr>
            <w:tcW w:w="0" w:type="auto"/>
            <w:gridSpan w:val="3"/>
            <w:shd w:val="clear" w:color="auto" w:fill="CCEEFF"/>
            <w:tcMar>
              <w:top w:w="40" w:type="dxa"/>
              <w:left w:w="20" w:type="dxa"/>
              <w:bottom w:w="40" w:type="dxa"/>
              <w:right w:w="140" w:type="dxa"/>
            </w:tcMar>
            <w:vAlign w:val="bottom"/>
          </w:tcPr>
          <w:p w14:paraId="74DE0C51" w14:textId="77777777" w:rsidR="00584EC1" w:rsidRDefault="00871F8D">
            <w:pPr>
              <w:jc w:val="right"/>
              <w:textAlignment w:val="bottom"/>
            </w:pPr>
            <w:r>
              <w:rPr>
                <w:rFonts w:ascii="Arial" w:eastAsia="宋体" w:hAnsi="Arial" w:cs="Arial"/>
                <w:color w:val="000000"/>
                <w:sz w:val="12"/>
                <w:szCs w:val="12"/>
              </w:rPr>
              <w:t>NA</w:t>
            </w:r>
          </w:p>
        </w:tc>
        <w:tc>
          <w:tcPr>
            <w:tcW w:w="0" w:type="auto"/>
            <w:gridSpan w:val="3"/>
            <w:shd w:val="clear" w:color="auto" w:fill="CCEEFF"/>
            <w:tcMar>
              <w:top w:w="0" w:type="dxa"/>
              <w:left w:w="20" w:type="dxa"/>
              <w:bottom w:w="0" w:type="dxa"/>
              <w:right w:w="20" w:type="dxa"/>
            </w:tcMar>
            <w:vAlign w:val="bottom"/>
          </w:tcPr>
          <w:p w14:paraId="74DE0C52"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C53" w14:textId="77777777" w:rsidR="00584EC1" w:rsidRDefault="00871F8D">
            <w:pPr>
              <w:jc w:val="right"/>
              <w:textAlignment w:val="bottom"/>
            </w:pPr>
            <w:r>
              <w:rPr>
                <w:rFonts w:ascii="Arial" w:eastAsia="宋体" w:hAnsi="Arial" w:cs="Arial"/>
                <w:b/>
                <w:bCs/>
                <w:color w:val="000000"/>
                <w:sz w:val="12"/>
                <w:szCs w:val="12"/>
              </w:rPr>
              <w:t>43,113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0C5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C55" w14:textId="77777777" w:rsidR="00584EC1" w:rsidRDefault="00584EC1">
            <w:pPr>
              <w:rPr>
                <w:rFonts w:ascii="宋体"/>
              </w:rPr>
            </w:pPr>
          </w:p>
        </w:tc>
        <w:tc>
          <w:tcPr>
            <w:tcW w:w="0" w:type="auto"/>
            <w:gridSpan w:val="3"/>
            <w:shd w:val="clear" w:color="auto" w:fill="CCEEFF"/>
            <w:tcMar>
              <w:top w:w="40" w:type="dxa"/>
              <w:left w:w="20" w:type="dxa"/>
              <w:bottom w:w="40" w:type="dxa"/>
              <w:right w:w="140" w:type="dxa"/>
            </w:tcMar>
            <w:vAlign w:val="bottom"/>
          </w:tcPr>
          <w:p w14:paraId="74DE0C56" w14:textId="77777777" w:rsidR="00584EC1" w:rsidRDefault="00871F8D">
            <w:pPr>
              <w:jc w:val="right"/>
              <w:textAlignment w:val="bottom"/>
            </w:pPr>
            <w:r>
              <w:rPr>
                <w:rFonts w:ascii="Arial" w:eastAsia="宋体" w:hAnsi="Arial" w:cs="Arial"/>
                <w:b/>
                <w:bCs/>
                <w:color w:val="000000"/>
                <w:sz w:val="12"/>
                <w:szCs w:val="12"/>
              </w:rPr>
              <w:t>NA</w:t>
            </w:r>
          </w:p>
        </w:tc>
        <w:tc>
          <w:tcPr>
            <w:tcW w:w="0" w:type="auto"/>
            <w:gridSpan w:val="3"/>
            <w:shd w:val="clear" w:color="auto" w:fill="CCEEFF"/>
            <w:tcMar>
              <w:top w:w="0" w:type="dxa"/>
              <w:left w:w="20" w:type="dxa"/>
              <w:bottom w:w="0" w:type="dxa"/>
              <w:right w:w="20" w:type="dxa"/>
            </w:tcMar>
            <w:vAlign w:val="bottom"/>
          </w:tcPr>
          <w:p w14:paraId="74DE0C5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C58" w14:textId="77777777" w:rsidR="00584EC1" w:rsidRDefault="00871F8D">
            <w:pPr>
              <w:jc w:val="right"/>
              <w:textAlignment w:val="bottom"/>
            </w:pPr>
            <w:r>
              <w:rPr>
                <w:rFonts w:ascii="Arial" w:eastAsia="宋体" w:hAnsi="Arial" w:cs="Arial"/>
                <w:color w:val="000000"/>
                <w:sz w:val="12"/>
                <w:szCs w:val="12"/>
              </w:rPr>
              <w:t>43,663 </w:t>
            </w:r>
          </w:p>
        </w:tc>
        <w:tc>
          <w:tcPr>
            <w:tcW w:w="0" w:type="auto"/>
            <w:shd w:val="clear" w:color="auto" w:fill="CCEEFF"/>
            <w:tcMar>
              <w:top w:w="40" w:type="dxa"/>
              <w:left w:w="0" w:type="dxa"/>
              <w:bottom w:w="40" w:type="dxa"/>
              <w:right w:w="20" w:type="dxa"/>
            </w:tcMar>
            <w:vAlign w:val="bottom"/>
          </w:tcPr>
          <w:p w14:paraId="74DE0C5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C5A" w14:textId="77777777" w:rsidR="00584EC1" w:rsidRDefault="00584EC1">
            <w:pPr>
              <w:rPr>
                <w:rFonts w:ascii="宋体"/>
              </w:rPr>
            </w:pPr>
          </w:p>
        </w:tc>
        <w:tc>
          <w:tcPr>
            <w:tcW w:w="0" w:type="auto"/>
            <w:gridSpan w:val="3"/>
            <w:shd w:val="clear" w:color="auto" w:fill="CCEEFF"/>
            <w:tcMar>
              <w:top w:w="40" w:type="dxa"/>
              <w:left w:w="20" w:type="dxa"/>
              <w:bottom w:w="40" w:type="dxa"/>
              <w:right w:w="140" w:type="dxa"/>
            </w:tcMar>
            <w:vAlign w:val="bottom"/>
          </w:tcPr>
          <w:p w14:paraId="74DE0C5B" w14:textId="77777777" w:rsidR="00584EC1" w:rsidRDefault="00871F8D">
            <w:pPr>
              <w:jc w:val="right"/>
              <w:textAlignment w:val="bottom"/>
            </w:pPr>
            <w:r>
              <w:rPr>
                <w:rFonts w:ascii="Arial" w:eastAsia="宋体" w:hAnsi="Arial" w:cs="Arial"/>
                <w:color w:val="000000"/>
                <w:sz w:val="12"/>
                <w:szCs w:val="12"/>
              </w:rPr>
              <w:t>NA</w:t>
            </w:r>
          </w:p>
        </w:tc>
      </w:tr>
      <w:tr w:rsidR="00584EC1" w14:paraId="74DE0C75" w14:textId="77777777">
        <w:tc>
          <w:tcPr>
            <w:tcW w:w="0" w:type="auto"/>
            <w:gridSpan w:val="9"/>
            <w:shd w:val="clear" w:color="auto" w:fill="FFFFFF"/>
            <w:tcMar>
              <w:top w:w="40" w:type="dxa"/>
              <w:left w:w="155" w:type="dxa"/>
              <w:bottom w:w="40" w:type="dxa"/>
              <w:right w:w="20" w:type="dxa"/>
            </w:tcMar>
            <w:vAlign w:val="bottom"/>
          </w:tcPr>
          <w:p w14:paraId="74DE0C5D" w14:textId="77777777" w:rsidR="00584EC1" w:rsidRDefault="00871F8D">
            <w:pPr>
              <w:textAlignment w:val="bottom"/>
            </w:pPr>
            <w:r>
              <w:rPr>
                <w:rFonts w:ascii="Arial" w:eastAsia="宋体" w:hAnsi="Arial" w:cs="Arial"/>
                <w:color w:val="000000"/>
                <w:sz w:val="12"/>
                <w:szCs w:val="12"/>
              </w:rPr>
              <w:t>Market risk</w:t>
            </w:r>
          </w:p>
        </w:tc>
        <w:tc>
          <w:tcPr>
            <w:tcW w:w="0" w:type="auto"/>
            <w:gridSpan w:val="2"/>
            <w:shd w:val="clear" w:color="auto" w:fill="FFFFFF"/>
            <w:tcMar>
              <w:top w:w="40" w:type="dxa"/>
              <w:left w:w="20" w:type="dxa"/>
              <w:bottom w:w="40" w:type="dxa"/>
              <w:right w:w="0" w:type="dxa"/>
            </w:tcMar>
            <w:vAlign w:val="bottom"/>
          </w:tcPr>
          <w:p w14:paraId="74DE0C5E" w14:textId="77777777" w:rsidR="00584EC1" w:rsidRDefault="00871F8D">
            <w:pPr>
              <w:jc w:val="right"/>
              <w:textAlignment w:val="bottom"/>
            </w:pPr>
            <w:r>
              <w:rPr>
                <w:rFonts w:ascii="Arial" w:eastAsia="宋体" w:hAnsi="Arial" w:cs="Arial"/>
                <w:b/>
                <w:bCs/>
                <w:color w:val="000000"/>
                <w:sz w:val="12"/>
                <w:szCs w:val="12"/>
              </w:rPr>
              <w:t>2,625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0C5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C6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C61" w14:textId="77777777" w:rsidR="00584EC1" w:rsidRDefault="00871F8D">
            <w:pPr>
              <w:jc w:val="right"/>
              <w:textAlignment w:val="bottom"/>
            </w:pPr>
            <w:r>
              <w:rPr>
                <w:rFonts w:ascii="Arial" w:eastAsia="宋体" w:hAnsi="Arial" w:cs="Arial"/>
                <w:b/>
                <w:bCs/>
                <w:color w:val="000000"/>
                <w:sz w:val="12"/>
                <w:szCs w:val="12"/>
              </w:rPr>
              <w:t>2,625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0C6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C6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C64" w14:textId="77777777" w:rsidR="00584EC1" w:rsidRDefault="00871F8D">
            <w:pPr>
              <w:jc w:val="right"/>
              <w:textAlignment w:val="bottom"/>
            </w:pPr>
            <w:r>
              <w:rPr>
                <w:rFonts w:ascii="Arial" w:eastAsia="宋体" w:hAnsi="Arial" w:cs="Arial"/>
                <w:color w:val="000000"/>
                <w:sz w:val="12"/>
                <w:szCs w:val="12"/>
              </w:rPr>
              <w:t>2,188 </w:t>
            </w:r>
          </w:p>
        </w:tc>
        <w:tc>
          <w:tcPr>
            <w:tcW w:w="0" w:type="auto"/>
            <w:shd w:val="clear" w:color="auto" w:fill="FFFFFF"/>
            <w:tcMar>
              <w:top w:w="40" w:type="dxa"/>
              <w:left w:w="0" w:type="dxa"/>
              <w:bottom w:w="40" w:type="dxa"/>
              <w:right w:w="20" w:type="dxa"/>
            </w:tcMar>
            <w:vAlign w:val="bottom"/>
          </w:tcPr>
          <w:p w14:paraId="74DE0C6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C6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C67" w14:textId="77777777" w:rsidR="00584EC1" w:rsidRDefault="00871F8D">
            <w:pPr>
              <w:jc w:val="right"/>
              <w:textAlignment w:val="bottom"/>
            </w:pPr>
            <w:r>
              <w:rPr>
                <w:rFonts w:ascii="Arial" w:eastAsia="宋体" w:hAnsi="Arial" w:cs="Arial"/>
                <w:color w:val="000000"/>
                <w:sz w:val="12"/>
                <w:szCs w:val="12"/>
              </w:rPr>
              <w:t>2,188 </w:t>
            </w:r>
          </w:p>
        </w:tc>
        <w:tc>
          <w:tcPr>
            <w:tcW w:w="0" w:type="auto"/>
            <w:shd w:val="clear" w:color="auto" w:fill="FFFFFF"/>
            <w:tcMar>
              <w:top w:w="40" w:type="dxa"/>
              <w:left w:w="0" w:type="dxa"/>
              <w:bottom w:w="40" w:type="dxa"/>
              <w:right w:w="20" w:type="dxa"/>
            </w:tcMar>
            <w:vAlign w:val="bottom"/>
          </w:tcPr>
          <w:p w14:paraId="74DE0C6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C6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C6A" w14:textId="77777777" w:rsidR="00584EC1" w:rsidRDefault="00871F8D">
            <w:pPr>
              <w:jc w:val="right"/>
              <w:textAlignment w:val="bottom"/>
            </w:pPr>
            <w:r>
              <w:rPr>
                <w:rFonts w:ascii="Arial" w:eastAsia="宋体" w:hAnsi="Arial" w:cs="Arial"/>
                <w:b/>
                <w:bCs/>
                <w:color w:val="000000"/>
                <w:sz w:val="12"/>
                <w:szCs w:val="12"/>
              </w:rPr>
              <w:t>2,625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0C6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C6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C6D" w14:textId="77777777" w:rsidR="00584EC1" w:rsidRDefault="00871F8D">
            <w:pPr>
              <w:jc w:val="right"/>
              <w:textAlignment w:val="bottom"/>
            </w:pPr>
            <w:r>
              <w:rPr>
                <w:rFonts w:ascii="Arial" w:eastAsia="宋体" w:hAnsi="Arial" w:cs="Arial"/>
                <w:b/>
                <w:bCs/>
                <w:color w:val="000000"/>
                <w:sz w:val="12"/>
                <w:szCs w:val="12"/>
              </w:rPr>
              <w:t>2,625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0C6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C6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C70" w14:textId="77777777" w:rsidR="00584EC1" w:rsidRDefault="00871F8D">
            <w:pPr>
              <w:jc w:val="right"/>
              <w:textAlignment w:val="bottom"/>
            </w:pPr>
            <w:r>
              <w:rPr>
                <w:rFonts w:ascii="Arial" w:eastAsia="宋体" w:hAnsi="Arial" w:cs="Arial"/>
                <w:color w:val="000000"/>
                <w:sz w:val="12"/>
                <w:szCs w:val="12"/>
              </w:rPr>
              <w:t>2,188 </w:t>
            </w:r>
          </w:p>
        </w:tc>
        <w:tc>
          <w:tcPr>
            <w:tcW w:w="0" w:type="auto"/>
            <w:shd w:val="clear" w:color="auto" w:fill="FFFFFF"/>
            <w:tcMar>
              <w:top w:w="40" w:type="dxa"/>
              <w:left w:w="0" w:type="dxa"/>
              <w:bottom w:w="40" w:type="dxa"/>
              <w:right w:w="20" w:type="dxa"/>
            </w:tcMar>
            <w:vAlign w:val="bottom"/>
          </w:tcPr>
          <w:p w14:paraId="74DE0C7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C7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C73" w14:textId="77777777" w:rsidR="00584EC1" w:rsidRDefault="00871F8D">
            <w:pPr>
              <w:jc w:val="right"/>
              <w:textAlignment w:val="bottom"/>
            </w:pPr>
            <w:r>
              <w:rPr>
                <w:rFonts w:ascii="Arial" w:eastAsia="宋体" w:hAnsi="Arial" w:cs="Arial"/>
                <w:color w:val="000000"/>
                <w:sz w:val="12"/>
                <w:szCs w:val="12"/>
              </w:rPr>
              <w:t>2,188 </w:t>
            </w:r>
          </w:p>
        </w:tc>
        <w:tc>
          <w:tcPr>
            <w:tcW w:w="0" w:type="auto"/>
            <w:shd w:val="clear" w:color="auto" w:fill="FFFFFF"/>
            <w:tcMar>
              <w:top w:w="40" w:type="dxa"/>
              <w:left w:w="0" w:type="dxa"/>
              <w:bottom w:w="40" w:type="dxa"/>
              <w:right w:w="20" w:type="dxa"/>
            </w:tcMar>
            <w:vAlign w:val="bottom"/>
          </w:tcPr>
          <w:p w14:paraId="74DE0C74" w14:textId="77777777" w:rsidR="00584EC1" w:rsidRDefault="00584EC1">
            <w:pPr>
              <w:jc w:val="right"/>
              <w:rPr>
                <w:rFonts w:ascii="宋体"/>
              </w:rPr>
            </w:pPr>
          </w:p>
        </w:tc>
      </w:tr>
      <w:tr w:rsidR="00871F8D" w14:paraId="74DE0C96" w14:textId="77777777">
        <w:tc>
          <w:tcPr>
            <w:tcW w:w="0" w:type="auto"/>
            <w:gridSpan w:val="9"/>
            <w:shd w:val="clear" w:color="auto" w:fill="CCEEFF"/>
            <w:tcMar>
              <w:top w:w="40" w:type="dxa"/>
              <w:left w:w="20" w:type="dxa"/>
              <w:bottom w:w="40" w:type="dxa"/>
              <w:right w:w="20" w:type="dxa"/>
            </w:tcMar>
            <w:vAlign w:val="bottom"/>
          </w:tcPr>
          <w:p w14:paraId="74DE0C76" w14:textId="77777777" w:rsidR="00584EC1" w:rsidRDefault="00871F8D">
            <w:pPr>
              <w:textAlignment w:val="bottom"/>
            </w:pPr>
            <w:r>
              <w:rPr>
                <w:rFonts w:ascii="Arial" w:eastAsia="宋体" w:hAnsi="Arial" w:cs="Arial"/>
                <w:b/>
                <w:bCs/>
                <w:color w:val="000000"/>
                <w:sz w:val="12"/>
                <w:szCs w:val="12"/>
              </w:rPr>
              <w:t>Total risk-weighted assets</w:t>
            </w:r>
          </w:p>
        </w:tc>
        <w:tc>
          <w:tcPr>
            <w:tcW w:w="0" w:type="auto"/>
            <w:tcBorders>
              <w:top w:val="single" w:sz="8" w:space="0" w:color="000000"/>
            </w:tcBorders>
            <w:shd w:val="clear" w:color="auto" w:fill="CCEEFF"/>
            <w:tcMar>
              <w:top w:w="40" w:type="dxa"/>
              <w:left w:w="20" w:type="dxa"/>
              <w:bottom w:w="40" w:type="dxa"/>
              <w:right w:w="0" w:type="dxa"/>
            </w:tcMar>
            <w:vAlign w:val="bottom"/>
          </w:tcPr>
          <w:p w14:paraId="74DE0C77"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0C78" w14:textId="77777777" w:rsidR="00584EC1" w:rsidRDefault="00871F8D">
            <w:pPr>
              <w:jc w:val="right"/>
              <w:textAlignment w:val="bottom"/>
            </w:pPr>
            <w:r>
              <w:rPr>
                <w:rFonts w:ascii="Arial" w:eastAsia="宋体" w:hAnsi="Arial" w:cs="Arial"/>
                <w:b/>
                <w:bCs/>
                <w:color w:val="000000"/>
                <w:sz w:val="12"/>
                <w:szCs w:val="12"/>
              </w:rPr>
              <w:t>114,878</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C7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C7A"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0C7B"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0C7C" w14:textId="77777777" w:rsidR="00584EC1" w:rsidRDefault="00871F8D">
            <w:pPr>
              <w:jc w:val="right"/>
              <w:textAlignment w:val="bottom"/>
            </w:pPr>
            <w:r>
              <w:rPr>
                <w:rFonts w:ascii="Arial" w:eastAsia="宋体" w:hAnsi="Arial" w:cs="Arial"/>
                <w:b/>
                <w:bCs/>
                <w:color w:val="000000"/>
                <w:sz w:val="12"/>
                <w:szCs w:val="12"/>
              </w:rPr>
              <w:t>117,229</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C7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C7E"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0C7F"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0C80" w14:textId="77777777" w:rsidR="00584EC1" w:rsidRDefault="00871F8D">
            <w:pPr>
              <w:jc w:val="right"/>
              <w:textAlignment w:val="bottom"/>
            </w:pPr>
            <w:r>
              <w:rPr>
                <w:rFonts w:ascii="Arial" w:eastAsia="宋体" w:hAnsi="Arial" w:cs="Arial"/>
                <w:color w:val="000000"/>
                <w:sz w:val="12"/>
                <w:szCs w:val="12"/>
              </w:rPr>
              <w:t>109,705 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C8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C82"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0C83"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0C84" w14:textId="77777777" w:rsidR="00584EC1" w:rsidRDefault="00871F8D">
            <w:pPr>
              <w:jc w:val="right"/>
              <w:textAlignment w:val="bottom"/>
            </w:pPr>
            <w:r>
              <w:rPr>
                <w:rFonts w:ascii="Arial" w:eastAsia="宋体" w:hAnsi="Arial" w:cs="Arial"/>
                <w:color w:val="000000"/>
                <w:sz w:val="12"/>
                <w:szCs w:val="12"/>
              </w:rPr>
              <w:t>117,080 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C8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C86"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0C87"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0C88" w14:textId="77777777" w:rsidR="00584EC1" w:rsidRDefault="00871F8D">
            <w:pPr>
              <w:jc w:val="right"/>
              <w:textAlignment w:val="bottom"/>
            </w:pPr>
            <w:r>
              <w:rPr>
                <w:rFonts w:ascii="Arial" w:eastAsia="宋体" w:hAnsi="Arial" w:cs="Arial"/>
                <w:b/>
                <w:bCs/>
                <w:color w:val="000000"/>
                <w:sz w:val="12"/>
                <w:szCs w:val="12"/>
              </w:rPr>
              <w:t>105,373</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C8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C8A"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0C8B"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0C8C" w14:textId="77777777" w:rsidR="00584EC1" w:rsidRDefault="00871F8D">
            <w:pPr>
              <w:jc w:val="right"/>
              <w:textAlignment w:val="bottom"/>
            </w:pPr>
            <w:r>
              <w:rPr>
                <w:rFonts w:ascii="Arial" w:eastAsia="宋体" w:hAnsi="Arial" w:cs="Arial"/>
                <w:b/>
                <w:bCs/>
                <w:color w:val="000000"/>
                <w:sz w:val="12"/>
                <w:szCs w:val="12"/>
              </w:rPr>
              <w:t>114,089</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C8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C8E"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0C8F"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0C90" w14:textId="77777777" w:rsidR="00584EC1" w:rsidRDefault="00871F8D">
            <w:pPr>
              <w:jc w:val="right"/>
              <w:textAlignment w:val="bottom"/>
            </w:pPr>
            <w:r>
              <w:rPr>
                <w:rFonts w:ascii="Arial" w:eastAsia="宋体" w:hAnsi="Arial" w:cs="Arial"/>
                <w:color w:val="000000"/>
                <w:sz w:val="12"/>
                <w:szCs w:val="12"/>
              </w:rPr>
              <w:t>104,811 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C9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C92"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0C93"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0C94" w14:textId="77777777" w:rsidR="00584EC1" w:rsidRDefault="00871F8D">
            <w:pPr>
              <w:jc w:val="right"/>
              <w:textAlignment w:val="bottom"/>
            </w:pPr>
            <w:r>
              <w:rPr>
                <w:rFonts w:ascii="Arial" w:eastAsia="宋体" w:hAnsi="Arial" w:cs="Arial"/>
                <w:color w:val="000000"/>
                <w:sz w:val="12"/>
                <w:szCs w:val="12"/>
              </w:rPr>
              <w:t>112,985 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C95" w14:textId="77777777" w:rsidR="00584EC1" w:rsidRDefault="00584EC1">
            <w:pPr>
              <w:jc w:val="right"/>
              <w:rPr>
                <w:rFonts w:ascii="宋体"/>
              </w:rPr>
            </w:pPr>
          </w:p>
        </w:tc>
      </w:tr>
      <w:tr w:rsidR="00584EC1" w14:paraId="74DE0CA9" w14:textId="77777777">
        <w:trPr>
          <w:trHeight w:val="220"/>
        </w:trPr>
        <w:tc>
          <w:tcPr>
            <w:tcW w:w="0" w:type="auto"/>
            <w:gridSpan w:val="3"/>
            <w:shd w:val="clear" w:color="auto" w:fill="FFFFFF"/>
            <w:tcMar>
              <w:top w:w="0" w:type="dxa"/>
              <w:left w:w="20" w:type="dxa"/>
              <w:bottom w:w="0" w:type="dxa"/>
              <w:right w:w="20" w:type="dxa"/>
            </w:tcMar>
            <w:vAlign w:val="bottom"/>
          </w:tcPr>
          <w:p w14:paraId="74DE0C97"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E0C98"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E0C99"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E0C9A"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E0C9B"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E0C9C"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E0C9D"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E0C9E"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E0C9F"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E0CA0"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E0CA1"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E0CA2"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E0CA3"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E0CA4"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E0CA5"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E0CA6"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E0CA7" w14:textId="77777777" w:rsidR="00584EC1" w:rsidRDefault="00584E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4DE0CA8" w14:textId="77777777" w:rsidR="00584EC1" w:rsidRDefault="00584EC1">
            <w:pPr>
              <w:rPr>
                <w:rFonts w:ascii="宋体"/>
              </w:rPr>
            </w:pPr>
          </w:p>
        </w:tc>
      </w:tr>
      <w:tr w:rsidR="00871F8D" w14:paraId="74DE0CCA" w14:textId="77777777">
        <w:tc>
          <w:tcPr>
            <w:tcW w:w="0" w:type="auto"/>
            <w:gridSpan w:val="9"/>
            <w:shd w:val="clear" w:color="auto" w:fill="CCEEFF"/>
            <w:tcMar>
              <w:top w:w="40" w:type="dxa"/>
              <w:left w:w="20" w:type="dxa"/>
              <w:bottom w:w="40" w:type="dxa"/>
              <w:right w:w="20" w:type="dxa"/>
            </w:tcMar>
            <w:vAlign w:val="bottom"/>
          </w:tcPr>
          <w:p w14:paraId="74DE0CAA" w14:textId="77777777" w:rsidR="00584EC1" w:rsidRDefault="00871F8D">
            <w:pPr>
              <w:textAlignment w:val="bottom"/>
            </w:pPr>
            <w:r>
              <w:rPr>
                <w:rFonts w:ascii="Arial" w:eastAsia="宋体" w:hAnsi="Arial" w:cs="Arial"/>
                <w:b/>
                <w:bCs/>
                <w:color w:val="000000"/>
                <w:sz w:val="12"/>
                <w:szCs w:val="12"/>
              </w:rPr>
              <w:t>Adjusted qu</w:t>
            </w:r>
            <w:r>
              <w:rPr>
                <w:rFonts w:ascii="Arial" w:eastAsia="宋体" w:hAnsi="Arial" w:cs="Arial"/>
                <w:b/>
                <w:bCs/>
                <w:color w:val="000000"/>
                <w:sz w:val="12"/>
                <w:szCs w:val="12"/>
              </w:rPr>
              <w:t>arterly average assets</w:t>
            </w:r>
          </w:p>
        </w:tc>
        <w:tc>
          <w:tcPr>
            <w:tcW w:w="0" w:type="auto"/>
            <w:shd w:val="clear" w:color="auto" w:fill="CCEEFF"/>
            <w:tcMar>
              <w:top w:w="40" w:type="dxa"/>
              <w:left w:w="20" w:type="dxa"/>
              <w:bottom w:w="40" w:type="dxa"/>
              <w:right w:w="0" w:type="dxa"/>
            </w:tcMar>
            <w:vAlign w:val="bottom"/>
          </w:tcPr>
          <w:p w14:paraId="74DE0CAB" w14:textId="77777777" w:rsidR="00584EC1" w:rsidRDefault="00871F8D">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74DE0CAC" w14:textId="77777777" w:rsidR="00584EC1" w:rsidRDefault="00871F8D">
            <w:pPr>
              <w:jc w:val="right"/>
              <w:textAlignment w:val="bottom"/>
            </w:pPr>
            <w:r>
              <w:rPr>
                <w:rFonts w:ascii="Arial" w:eastAsia="宋体" w:hAnsi="Arial" w:cs="Arial"/>
                <w:b/>
                <w:bCs/>
                <w:color w:val="000000"/>
                <w:sz w:val="12"/>
                <w:szCs w:val="12"/>
              </w:rPr>
              <w:t>281,952</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0CA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CAE"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E0CAF" w14:textId="77777777" w:rsidR="00584EC1" w:rsidRDefault="00871F8D">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74DE0CB0" w14:textId="77777777" w:rsidR="00584EC1" w:rsidRDefault="00871F8D">
            <w:pPr>
              <w:jc w:val="right"/>
              <w:textAlignment w:val="bottom"/>
            </w:pPr>
            <w:r>
              <w:rPr>
                <w:rFonts w:ascii="Arial" w:eastAsia="宋体" w:hAnsi="Arial" w:cs="Arial"/>
                <w:b/>
                <w:bCs/>
                <w:color w:val="000000"/>
                <w:sz w:val="12"/>
                <w:szCs w:val="12"/>
              </w:rPr>
              <w:t>281,952</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0CB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CB2"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E0CB3" w14:textId="77777777" w:rsidR="00584EC1" w:rsidRDefault="00871F8D">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74DE0CB4" w14:textId="77777777" w:rsidR="00584EC1" w:rsidRDefault="00871F8D">
            <w:pPr>
              <w:jc w:val="right"/>
              <w:textAlignment w:val="bottom"/>
            </w:pPr>
            <w:r>
              <w:rPr>
                <w:rFonts w:ascii="Arial" w:eastAsia="宋体" w:hAnsi="Arial" w:cs="Arial"/>
                <w:color w:val="000000"/>
                <w:sz w:val="12"/>
                <w:szCs w:val="12"/>
              </w:rPr>
              <w:t>263,490 </w:t>
            </w:r>
          </w:p>
        </w:tc>
        <w:tc>
          <w:tcPr>
            <w:tcW w:w="0" w:type="auto"/>
            <w:shd w:val="clear" w:color="auto" w:fill="CCEEFF"/>
            <w:tcMar>
              <w:top w:w="40" w:type="dxa"/>
              <w:left w:w="0" w:type="dxa"/>
              <w:bottom w:w="40" w:type="dxa"/>
              <w:right w:w="20" w:type="dxa"/>
            </w:tcMar>
            <w:vAlign w:val="bottom"/>
          </w:tcPr>
          <w:p w14:paraId="74DE0CB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CB6"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E0CB7" w14:textId="77777777" w:rsidR="00584EC1" w:rsidRDefault="00871F8D">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74DE0CB8" w14:textId="77777777" w:rsidR="00584EC1" w:rsidRDefault="00871F8D">
            <w:pPr>
              <w:jc w:val="right"/>
              <w:textAlignment w:val="bottom"/>
            </w:pPr>
            <w:r>
              <w:rPr>
                <w:rFonts w:ascii="Arial" w:eastAsia="宋体" w:hAnsi="Arial" w:cs="Arial"/>
                <w:color w:val="000000"/>
                <w:sz w:val="12"/>
                <w:szCs w:val="12"/>
              </w:rPr>
              <w:t>263,490 </w:t>
            </w:r>
          </w:p>
        </w:tc>
        <w:tc>
          <w:tcPr>
            <w:tcW w:w="0" w:type="auto"/>
            <w:shd w:val="clear" w:color="auto" w:fill="CCEEFF"/>
            <w:tcMar>
              <w:top w:w="40" w:type="dxa"/>
              <w:left w:w="0" w:type="dxa"/>
              <w:bottom w:w="40" w:type="dxa"/>
              <w:right w:w="20" w:type="dxa"/>
            </w:tcMar>
            <w:vAlign w:val="bottom"/>
          </w:tcPr>
          <w:p w14:paraId="74DE0CB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CBA"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E0CBB" w14:textId="77777777" w:rsidR="00584EC1" w:rsidRDefault="00871F8D">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74DE0CBC" w14:textId="77777777" w:rsidR="00584EC1" w:rsidRDefault="00871F8D">
            <w:pPr>
              <w:jc w:val="right"/>
              <w:textAlignment w:val="bottom"/>
            </w:pPr>
            <w:r>
              <w:rPr>
                <w:rFonts w:ascii="Arial" w:eastAsia="宋体" w:hAnsi="Arial" w:cs="Arial"/>
                <w:b/>
                <w:bCs/>
                <w:color w:val="000000"/>
                <w:sz w:val="12"/>
                <w:szCs w:val="12"/>
              </w:rPr>
              <w:t>278,705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0CB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CBE"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E0CBF" w14:textId="77777777" w:rsidR="00584EC1" w:rsidRDefault="00871F8D">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74DE0CC0" w14:textId="77777777" w:rsidR="00584EC1" w:rsidRDefault="00871F8D">
            <w:pPr>
              <w:jc w:val="right"/>
              <w:textAlignment w:val="bottom"/>
            </w:pPr>
            <w:r>
              <w:rPr>
                <w:rFonts w:ascii="Arial" w:eastAsia="宋体" w:hAnsi="Arial" w:cs="Arial"/>
                <w:b/>
                <w:bCs/>
                <w:color w:val="000000"/>
                <w:sz w:val="12"/>
                <w:szCs w:val="12"/>
              </w:rPr>
              <w:t>278,705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0CC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CC2"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E0CC3" w14:textId="77777777" w:rsidR="00584EC1" w:rsidRDefault="00871F8D">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74DE0CC4" w14:textId="77777777" w:rsidR="00584EC1" w:rsidRDefault="00871F8D">
            <w:pPr>
              <w:jc w:val="right"/>
              <w:textAlignment w:val="bottom"/>
            </w:pPr>
            <w:r>
              <w:rPr>
                <w:rFonts w:ascii="Arial" w:eastAsia="宋体" w:hAnsi="Arial" w:cs="Arial"/>
                <w:color w:val="000000"/>
                <w:sz w:val="12"/>
                <w:szCs w:val="12"/>
              </w:rPr>
              <w:t>260,489 </w:t>
            </w:r>
          </w:p>
        </w:tc>
        <w:tc>
          <w:tcPr>
            <w:tcW w:w="0" w:type="auto"/>
            <w:shd w:val="clear" w:color="auto" w:fill="CCEEFF"/>
            <w:tcMar>
              <w:top w:w="40" w:type="dxa"/>
              <w:left w:w="0" w:type="dxa"/>
              <w:bottom w:w="40" w:type="dxa"/>
              <w:right w:w="20" w:type="dxa"/>
            </w:tcMar>
            <w:vAlign w:val="bottom"/>
          </w:tcPr>
          <w:p w14:paraId="74DE0CC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CC6"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E0CC7" w14:textId="77777777" w:rsidR="00584EC1" w:rsidRDefault="00871F8D">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74DE0CC8" w14:textId="77777777" w:rsidR="00584EC1" w:rsidRDefault="00871F8D">
            <w:pPr>
              <w:jc w:val="right"/>
              <w:textAlignment w:val="bottom"/>
            </w:pPr>
            <w:r>
              <w:rPr>
                <w:rFonts w:ascii="Arial" w:eastAsia="宋体" w:hAnsi="Arial" w:cs="Arial"/>
                <w:color w:val="000000"/>
                <w:sz w:val="12"/>
                <w:szCs w:val="12"/>
              </w:rPr>
              <w:t>260,489 </w:t>
            </w:r>
          </w:p>
        </w:tc>
        <w:tc>
          <w:tcPr>
            <w:tcW w:w="0" w:type="auto"/>
            <w:shd w:val="clear" w:color="auto" w:fill="CCEEFF"/>
            <w:tcMar>
              <w:top w:w="40" w:type="dxa"/>
              <w:left w:w="0" w:type="dxa"/>
              <w:bottom w:w="40" w:type="dxa"/>
              <w:right w:w="20" w:type="dxa"/>
            </w:tcMar>
            <w:vAlign w:val="bottom"/>
          </w:tcPr>
          <w:p w14:paraId="74DE0CC9" w14:textId="77777777" w:rsidR="00584EC1" w:rsidRDefault="00584EC1">
            <w:pPr>
              <w:jc w:val="right"/>
              <w:rPr>
                <w:rFonts w:ascii="宋体"/>
              </w:rPr>
            </w:pPr>
          </w:p>
        </w:tc>
      </w:tr>
      <w:tr w:rsidR="00584EC1" w14:paraId="74DE0CDD" w14:textId="77777777">
        <w:trPr>
          <w:trHeight w:val="100"/>
        </w:trPr>
        <w:tc>
          <w:tcPr>
            <w:tcW w:w="0" w:type="auto"/>
            <w:gridSpan w:val="3"/>
            <w:shd w:val="clear" w:color="auto" w:fill="auto"/>
            <w:tcMar>
              <w:top w:w="0" w:type="dxa"/>
              <w:left w:w="20" w:type="dxa"/>
              <w:bottom w:w="0" w:type="dxa"/>
              <w:right w:w="20" w:type="dxa"/>
            </w:tcMar>
            <w:vAlign w:val="bottom"/>
          </w:tcPr>
          <w:p w14:paraId="74DE0CCB"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CCC"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CCD"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CCE"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CCF"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CD0"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CD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CD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CD3"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CD4"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CD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CD6"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CD7"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CD8"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CD9"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CDA"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CDB"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CDC" w14:textId="77777777" w:rsidR="00584EC1" w:rsidRDefault="00584EC1">
            <w:pPr>
              <w:rPr>
                <w:rFonts w:ascii="宋体"/>
              </w:rPr>
            </w:pPr>
          </w:p>
        </w:tc>
      </w:tr>
      <w:tr w:rsidR="00584EC1" w14:paraId="74DE0CF0" w14:textId="77777777">
        <w:tc>
          <w:tcPr>
            <w:tcW w:w="0" w:type="auto"/>
            <w:gridSpan w:val="3"/>
            <w:shd w:val="clear" w:color="auto" w:fill="auto"/>
            <w:tcMar>
              <w:top w:w="40" w:type="dxa"/>
              <w:left w:w="20" w:type="dxa"/>
              <w:bottom w:w="40" w:type="dxa"/>
              <w:right w:w="20" w:type="dxa"/>
            </w:tcMar>
            <w:vAlign w:val="bottom"/>
          </w:tcPr>
          <w:p w14:paraId="74DE0CDE" w14:textId="77777777" w:rsidR="00584EC1" w:rsidRDefault="00871F8D">
            <w:pPr>
              <w:textAlignment w:val="bottom"/>
            </w:pPr>
            <w:r>
              <w:rPr>
                <w:rFonts w:ascii="Arial" w:eastAsia="宋体" w:hAnsi="Arial" w:cs="Arial"/>
                <w:b/>
                <w:bCs/>
                <w:color w:val="000000"/>
                <w:sz w:val="12"/>
                <w:szCs w:val="12"/>
              </w:rPr>
              <w:t>Capital Ratios:</w:t>
            </w:r>
          </w:p>
        </w:tc>
        <w:tc>
          <w:tcPr>
            <w:tcW w:w="0" w:type="auto"/>
            <w:gridSpan w:val="3"/>
            <w:shd w:val="clear" w:color="auto" w:fill="auto"/>
            <w:tcMar>
              <w:top w:w="40" w:type="dxa"/>
              <w:left w:w="20" w:type="dxa"/>
              <w:bottom w:w="40" w:type="dxa"/>
              <w:right w:w="20" w:type="dxa"/>
            </w:tcMar>
            <w:vAlign w:val="bottom"/>
          </w:tcPr>
          <w:p w14:paraId="74DE0CDF" w14:textId="77777777" w:rsidR="00584EC1" w:rsidRDefault="00871F8D">
            <w:pPr>
              <w:jc w:val="center"/>
              <w:textAlignment w:val="bottom"/>
            </w:pPr>
            <w:r>
              <w:rPr>
                <w:rFonts w:ascii="Arial" w:eastAsia="宋体" w:hAnsi="Arial" w:cs="Arial"/>
                <w:color w:val="000000"/>
                <w:sz w:val="12"/>
                <w:szCs w:val="12"/>
              </w:rPr>
              <w:t>2021 Minimum Requirements</w:t>
            </w:r>
            <w:r>
              <w:rPr>
                <w:rFonts w:ascii="Arial" w:eastAsia="宋体" w:hAnsi="Arial" w:cs="Arial"/>
                <w:color w:val="000000"/>
                <w:sz w:val="7"/>
                <w:szCs w:val="7"/>
              </w:rPr>
              <w:t>(4)</w:t>
            </w:r>
          </w:p>
        </w:tc>
        <w:tc>
          <w:tcPr>
            <w:tcW w:w="0" w:type="auto"/>
            <w:gridSpan w:val="3"/>
            <w:shd w:val="clear" w:color="auto" w:fill="auto"/>
            <w:tcMar>
              <w:top w:w="40" w:type="dxa"/>
              <w:left w:w="20" w:type="dxa"/>
              <w:bottom w:w="40" w:type="dxa"/>
              <w:right w:w="20" w:type="dxa"/>
            </w:tcMar>
            <w:vAlign w:val="bottom"/>
          </w:tcPr>
          <w:p w14:paraId="74DE0CE0" w14:textId="77777777" w:rsidR="00584EC1" w:rsidRDefault="00871F8D">
            <w:pPr>
              <w:jc w:val="center"/>
              <w:textAlignment w:val="bottom"/>
            </w:pPr>
            <w:r>
              <w:rPr>
                <w:rFonts w:ascii="Arial" w:eastAsia="宋体" w:hAnsi="Arial" w:cs="Arial"/>
                <w:color w:val="000000"/>
                <w:sz w:val="12"/>
                <w:szCs w:val="12"/>
              </w:rPr>
              <w:t>2020 Minimum Requirements</w:t>
            </w:r>
            <w:r>
              <w:rPr>
                <w:rFonts w:ascii="Arial" w:eastAsia="宋体" w:hAnsi="Arial" w:cs="Arial"/>
                <w:color w:val="000000"/>
                <w:sz w:val="7"/>
                <w:szCs w:val="7"/>
              </w:rPr>
              <w:t>(4)</w:t>
            </w:r>
          </w:p>
        </w:tc>
        <w:tc>
          <w:tcPr>
            <w:tcW w:w="0" w:type="auto"/>
            <w:gridSpan w:val="3"/>
            <w:shd w:val="clear" w:color="auto" w:fill="auto"/>
            <w:tcMar>
              <w:top w:w="0" w:type="dxa"/>
              <w:left w:w="20" w:type="dxa"/>
              <w:bottom w:w="0" w:type="dxa"/>
              <w:right w:w="20" w:type="dxa"/>
            </w:tcMar>
            <w:vAlign w:val="bottom"/>
          </w:tcPr>
          <w:p w14:paraId="74DE0CE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CE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CE3"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CE4"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CE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CE6"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CE7"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CE8"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CE9"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E0CEA"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CEB"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CEC"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CED"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CEE"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CEF" w14:textId="77777777" w:rsidR="00584EC1" w:rsidRDefault="00584EC1">
            <w:pPr>
              <w:rPr>
                <w:rFonts w:ascii="宋体"/>
              </w:rPr>
            </w:pPr>
          </w:p>
        </w:tc>
      </w:tr>
      <w:tr w:rsidR="00871F8D" w14:paraId="74DE0D0D" w14:textId="77777777">
        <w:tc>
          <w:tcPr>
            <w:tcW w:w="0" w:type="auto"/>
            <w:gridSpan w:val="3"/>
            <w:shd w:val="clear" w:color="auto" w:fill="CCEEFF"/>
            <w:tcMar>
              <w:top w:w="40" w:type="dxa"/>
              <w:left w:w="20" w:type="dxa"/>
              <w:bottom w:w="40" w:type="dxa"/>
              <w:right w:w="20" w:type="dxa"/>
            </w:tcMar>
            <w:vAlign w:val="bottom"/>
          </w:tcPr>
          <w:p w14:paraId="74DE0CF1" w14:textId="77777777" w:rsidR="00584EC1" w:rsidRDefault="00871F8D">
            <w:pPr>
              <w:textAlignment w:val="bottom"/>
            </w:pPr>
            <w:r>
              <w:rPr>
                <w:rFonts w:ascii="Arial" w:eastAsia="宋体" w:hAnsi="Arial" w:cs="Arial"/>
                <w:color w:val="000000"/>
                <w:sz w:val="12"/>
                <w:szCs w:val="12"/>
              </w:rPr>
              <w:t>Common equity tier 1 capital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E0CF2" w14:textId="77777777" w:rsidR="00584EC1" w:rsidRDefault="00871F8D">
            <w:pPr>
              <w:jc w:val="right"/>
              <w:textAlignment w:val="bottom"/>
            </w:pPr>
            <w:r>
              <w:rPr>
                <w:rFonts w:ascii="Arial" w:eastAsia="宋体" w:hAnsi="Arial" w:cs="Arial"/>
                <w:b/>
                <w:bCs/>
                <w:color w:val="000000"/>
                <w:sz w:val="12"/>
                <w:szCs w:val="12"/>
              </w:rPr>
              <w:t>8.0</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CF3" w14:textId="77777777" w:rsidR="00584EC1" w:rsidRDefault="00871F8D">
            <w:pPr>
              <w:jc w:val="right"/>
              <w:textAlignment w:val="bottom"/>
            </w:pPr>
            <w:r>
              <w:rPr>
                <w:rFonts w:ascii="Arial" w:eastAsia="宋体" w:hAnsi="Arial" w:cs="Arial"/>
                <w:b/>
                <w:bCs/>
                <w:color w:val="000000"/>
                <w:sz w:val="12"/>
                <w:szCs w:val="12"/>
              </w:rPr>
              <w: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E0CF4" w14:textId="77777777" w:rsidR="00584EC1" w:rsidRDefault="00871F8D">
            <w:pPr>
              <w:jc w:val="right"/>
              <w:textAlignment w:val="bottom"/>
            </w:pPr>
            <w:r>
              <w:rPr>
                <w:rFonts w:ascii="Arial" w:eastAsia="宋体" w:hAnsi="Arial" w:cs="Arial"/>
                <w:color w:val="000000"/>
                <w:sz w:val="12"/>
                <w:szCs w:val="12"/>
              </w:rPr>
              <w:t>8.0 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CF5" w14:textId="77777777" w:rsidR="00584EC1" w:rsidRDefault="00871F8D">
            <w:pPr>
              <w:jc w:val="right"/>
              <w:textAlignment w:val="bottom"/>
            </w:pPr>
            <w:r>
              <w:rPr>
                <w:rFonts w:ascii="Arial" w:eastAsia="宋体" w:hAnsi="Arial" w:cs="Arial"/>
                <w:color w:val="000000"/>
                <w:sz w:val="12"/>
                <w:szCs w:val="12"/>
              </w:rPr>
              <w:t>%</w:t>
            </w:r>
          </w:p>
        </w:tc>
        <w:tc>
          <w:tcPr>
            <w:tcW w:w="0" w:type="auto"/>
            <w:gridSpan w:val="2"/>
            <w:shd w:val="clear" w:color="auto" w:fill="CCEEFF"/>
            <w:tcMar>
              <w:top w:w="40" w:type="dxa"/>
              <w:left w:w="20" w:type="dxa"/>
              <w:bottom w:w="40" w:type="dxa"/>
              <w:right w:w="0" w:type="dxa"/>
            </w:tcMar>
            <w:vAlign w:val="bottom"/>
          </w:tcPr>
          <w:p w14:paraId="74DE0CF6" w14:textId="77777777" w:rsidR="00584EC1" w:rsidRDefault="00871F8D">
            <w:pPr>
              <w:jc w:val="right"/>
              <w:textAlignment w:val="bottom"/>
            </w:pPr>
            <w:r>
              <w:rPr>
                <w:rFonts w:ascii="Arial" w:eastAsia="宋体" w:hAnsi="Arial" w:cs="Arial"/>
                <w:b/>
                <w:bCs/>
                <w:color w:val="000000"/>
                <w:sz w:val="12"/>
                <w:szCs w:val="12"/>
              </w:rPr>
              <w:t>13.8</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0CF7" w14:textId="77777777" w:rsidR="00584EC1" w:rsidRDefault="00871F8D">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vAlign w:val="bottom"/>
          </w:tcPr>
          <w:p w14:paraId="74DE0CF8"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CF9" w14:textId="77777777" w:rsidR="00584EC1" w:rsidRDefault="00871F8D">
            <w:pPr>
              <w:jc w:val="right"/>
              <w:textAlignment w:val="bottom"/>
            </w:pPr>
            <w:r>
              <w:rPr>
                <w:rFonts w:ascii="Arial" w:eastAsia="宋体" w:hAnsi="Arial" w:cs="Arial"/>
                <w:b/>
                <w:bCs/>
                <w:color w:val="000000"/>
                <w:sz w:val="12"/>
                <w:szCs w:val="12"/>
              </w:rPr>
              <w:t>13.5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0CFA" w14:textId="77777777" w:rsidR="00584EC1" w:rsidRDefault="00871F8D">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vAlign w:val="bottom"/>
          </w:tcPr>
          <w:p w14:paraId="74DE0CF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CFC" w14:textId="77777777" w:rsidR="00584EC1" w:rsidRDefault="00871F8D">
            <w:pPr>
              <w:jc w:val="right"/>
              <w:textAlignment w:val="bottom"/>
            </w:pPr>
            <w:r>
              <w:rPr>
                <w:rFonts w:ascii="Arial" w:eastAsia="宋体" w:hAnsi="Arial" w:cs="Arial"/>
                <w:color w:val="000000"/>
                <w:sz w:val="12"/>
                <w:szCs w:val="12"/>
              </w:rPr>
              <w:t>13.1 </w:t>
            </w:r>
          </w:p>
        </w:tc>
        <w:tc>
          <w:tcPr>
            <w:tcW w:w="0" w:type="auto"/>
            <w:shd w:val="clear" w:color="auto" w:fill="CCEEFF"/>
            <w:tcMar>
              <w:top w:w="40" w:type="dxa"/>
              <w:left w:w="0" w:type="dxa"/>
              <w:bottom w:w="40" w:type="dxa"/>
              <w:right w:w="20" w:type="dxa"/>
            </w:tcMar>
            <w:vAlign w:val="bottom"/>
          </w:tcPr>
          <w:p w14:paraId="74DE0CFD" w14:textId="77777777" w:rsidR="00584EC1" w:rsidRDefault="00871F8D">
            <w:pPr>
              <w:jc w:val="right"/>
              <w:textAlignment w:val="bottom"/>
            </w:pPr>
            <w:r>
              <w:rPr>
                <w:rFonts w:ascii="Arial" w:eastAsia="宋体" w:hAnsi="Arial" w:cs="Arial"/>
                <w:color w:val="000000"/>
                <w:sz w:val="12"/>
                <w:szCs w:val="12"/>
              </w:rPr>
              <w:t>%</w:t>
            </w:r>
          </w:p>
        </w:tc>
        <w:tc>
          <w:tcPr>
            <w:tcW w:w="0" w:type="auto"/>
            <w:gridSpan w:val="3"/>
            <w:shd w:val="clear" w:color="auto" w:fill="CCEEFF"/>
            <w:tcMar>
              <w:top w:w="0" w:type="dxa"/>
              <w:left w:w="20" w:type="dxa"/>
              <w:bottom w:w="0" w:type="dxa"/>
              <w:right w:w="20" w:type="dxa"/>
            </w:tcMar>
            <w:vAlign w:val="bottom"/>
          </w:tcPr>
          <w:p w14:paraId="74DE0CFE"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CFF" w14:textId="77777777" w:rsidR="00584EC1" w:rsidRDefault="00871F8D">
            <w:pPr>
              <w:jc w:val="right"/>
              <w:textAlignment w:val="bottom"/>
            </w:pPr>
            <w:r>
              <w:rPr>
                <w:rFonts w:ascii="Arial" w:eastAsia="宋体" w:hAnsi="Arial" w:cs="Arial"/>
                <w:color w:val="000000"/>
                <w:sz w:val="12"/>
                <w:szCs w:val="12"/>
              </w:rPr>
              <w:t>12.3 </w:t>
            </w:r>
          </w:p>
        </w:tc>
        <w:tc>
          <w:tcPr>
            <w:tcW w:w="0" w:type="auto"/>
            <w:shd w:val="clear" w:color="auto" w:fill="CCEEFF"/>
            <w:tcMar>
              <w:top w:w="40" w:type="dxa"/>
              <w:left w:w="0" w:type="dxa"/>
              <w:bottom w:w="40" w:type="dxa"/>
              <w:right w:w="20" w:type="dxa"/>
            </w:tcMar>
            <w:vAlign w:val="bottom"/>
          </w:tcPr>
          <w:p w14:paraId="74DE0D00" w14:textId="77777777" w:rsidR="00584EC1" w:rsidRDefault="00871F8D">
            <w:pPr>
              <w:jc w:val="right"/>
              <w:textAlignment w:val="bottom"/>
            </w:pPr>
            <w:r>
              <w:rPr>
                <w:rFonts w:ascii="Arial" w:eastAsia="宋体" w:hAnsi="Arial" w:cs="Arial"/>
                <w:color w:val="000000"/>
                <w:sz w:val="12"/>
                <w:szCs w:val="12"/>
              </w:rPr>
              <w:t>%</w:t>
            </w:r>
          </w:p>
        </w:tc>
        <w:tc>
          <w:tcPr>
            <w:tcW w:w="0" w:type="auto"/>
            <w:gridSpan w:val="3"/>
            <w:shd w:val="clear" w:color="auto" w:fill="CCEEFF"/>
            <w:tcMar>
              <w:top w:w="0" w:type="dxa"/>
              <w:left w:w="20" w:type="dxa"/>
              <w:bottom w:w="0" w:type="dxa"/>
              <w:right w:w="20" w:type="dxa"/>
            </w:tcMar>
            <w:vAlign w:val="bottom"/>
          </w:tcPr>
          <w:p w14:paraId="74DE0D0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D02" w14:textId="77777777" w:rsidR="00584EC1" w:rsidRDefault="00871F8D">
            <w:pPr>
              <w:jc w:val="right"/>
              <w:textAlignment w:val="bottom"/>
            </w:pPr>
            <w:r>
              <w:rPr>
                <w:rFonts w:ascii="Arial" w:eastAsia="宋体" w:hAnsi="Arial" w:cs="Arial"/>
                <w:b/>
                <w:bCs/>
                <w:color w:val="000000"/>
                <w:sz w:val="12"/>
                <w:szCs w:val="12"/>
              </w:rPr>
              <w:t>17.4</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0D03" w14:textId="77777777" w:rsidR="00584EC1" w:rsidRDefault="00871F8D">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vAlign w:val="bottom"/>
          </w:tcPr>
          <w:p w14:paraId="74DE0D04"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D05" w14:textId="77777777" w:rsidR="00584EC1" w:rsidRDefault="00871F8D">
            <w:pPr>
              <w:jc w:val="right"/>
              <w:textAlignment w:val="bottom"/>
            </w:pPr>
            <w:r>
              <w:rPr>
                <w:rFonts w:ascii="Arial" w:eastAsia="宋体" w:hAnsi="Arial" w:cs="Arial"/>
                <w:b/>
                <w:bCs/>
                <w:color w:val="000000"/>
                <w:sz w:val="12"/>
                <w:szCs w:val="12"/>
              </w:rPr>
              <w:t>16.0</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0D06" w14:textId="77777777" w:rsidR="00584EC1" w:rsidRDefault="00871F8D">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vAlign w:val="bottom"/>
          </w:tcPr>
          <w:p w14:paraId="74DE0D0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D08" w14:textId="77777777" w:rsidR="00584EC1" w:rsidRDefault="00871F8D">
            <w:pPr>
              <w:jc w:val="right"/>
              <w:textAlignment w:val="bottom"/>
            </w:pPr>
            <w:r>
              <w:rPr>
                <w:rFonts w:ascii="Arial" w:eastAsia="宋体" w:hAnsi="Arial" w:cs="Arial"/>
                <w:color w:val="000000"/>
                <w:sz w:val="12"/>
                <w:szCs w:val="12"/>
              </w:rPr>
              <w:t>16.5 </w:t>
            </w:r>
          </w:p>
        </w:tc>
        <w:tc>
          <w:tcPr>
            <w:tcW w:w="0" w:type="auto"/>
            <w:shd w:val="clear" w:color="auto" w:fill="CCEEFF"/>
            <w:tcMar>
              <w:top w:w="40" w:type="dxa"/>
              <w:left w:w="0" w:type="dxa"/>
              <w:bottom w:w="40" w:type="dxa"/>
              <w:right w:w="20" w:type="dxa"/>
            </w:tcMar>
            <w:vAlign w:val="bottom"/>
          </w:tcPr>
          <w:p w14:paraId="74DE0D09" w14:textId="77777777" w:rsidR="00584EC1" w:rsidRDefault="00871F8D">
            <w:pPr>
              <w:jc w:val="right"/>
              <w:textAlignment w:val="bottom"/>
            </w:pPr>
            <w:r>
              <w:rPr>
                <w:rFonts w:ascii="Arial" w:eastAsia="宋体" w:hAnsi="Arial" w:cs="Arial"/>
                <w:color w:val="000000"/>
                <w:sz w:val="12"/>
                <w:szCs w:val="12"/>
              </w:rPr>
              <w:t>%</w:t>
            </w:r>
          </w:p>
        </w:tc>
        <w:tc>
          <w:tcPr>
            <w:tcW w:w="0" w:type="auto"/>
            <w:gridSpan w:val="3"/>
            <w:shd w:val="clear" w:color="auto" w:fill="CCEEFF"/>
            <w:tcMar>
              <w:top w:w="0" w:type="dxa"/>
              <w:left w:w="20" w:type="dxa"/>
              <w:bottom w:w="0" w:type="dxa"/>
              <w:right w:w="20" w:type="dxa"/>
            </w:tcMar>
            <w:vAlign w:val="bottom"/>
          </w:tcPr>
          <w:p w14:paraId="74DE0D0A"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D0B" w14:textId="77777777" w:rsidR="00584EC1" w:rsidRDefault="00871F8D">
            <w:pPr>
              <w:jc w:val="right"/>
              <w:textAlignment w:val="bottom"/>
            </w:pPr>
            <w:r>
              <w:rPr>
                <w:rFonts w:ascii="Arial" w:eastAsia="宋体" w:hAnsi="Arial" w:cs="Arial"/>
                <w:color w:val="000000"/>
                <w:sz w:val="12"/>
                <w:szCs w:val="12"/>
              </w:rPr>
              <w:t>15.3 </w:t>
            </w:r>
          </w:p>
        </w:tc>
        <w:tc>
          <w:tcPr>
            <w:tcW w:w="0" w:type="auto"/>
            <w:shd w:val="clear" w:color="auto" w:fill="CCEEFF"/>
            <w:tcMar>
              <w:top w:w="40" w:type="dxa"/>
              <w:left w:w="0" w:type="dxa"/>
              <w:bottom w:w="40" w:type="dxa"/>
              <w:right w:w="20" w:type="dxa"/>
            </w:tcMar>
            <w:vAlign w:val="bottom"/>
          </w:tcPr>
          <w:p w14:paraId="74DE0D0C" w14:textId="77777777" w:rsidR="00584EC1" w:rsidRDefault="00871F8D">
            <w:pPr>
              <w:jc w:val="right"/>
              <w:textAlignment w:val="bottom"/>
            </w:pPr>
            <w:r>
              <w:rPr>
                <w:rFonts w:ascii="Arial" w:eastAsia="宋体" w:hAnsi="Arial" w:cs="Arial"/>
                <w:color w:val="000000"/>
                <w:sz w:val="12"/>
                <w:szCs w:val="12"/>
              </w:rPr>
              <w:t>%</w:t>
            </w:r>
          </w:p>
        </w:tc>
      </w:tr>
      <w:tr w:rsidR="00871F8D" w14:paraId="74DE0D2A" w14:textId="77777777">
        <w:tc>
          <w:tcPr>
            <w:tcW w:w="0" w:type="auto"/>
            <w:gridSpan w:val="3"/>
            <w:shd w:val="clear" w:color="auto" w:fill="FFFFFF"/>
            <w:tcMar>
              <w:top w:w="40" w:type="dxa"/>
              <w:left w:w="20" w:type="dxa"/>
              <w:bottom w:w="40" w:type="dxa"/>
              <w:right w:w="20" w:type="dxa"/>
            </w:tcMar>
            <w:vAlign w:val="bottom"/>
          </w:tcPr>
          <w:p w14:paraId="74DE0D0E" w14:textId="77777777" w:rsidR="00584EC1" w:rsidRDefault="00871F8D">
            <w:pPr>
              <w:textAlignment w:val="bottom"/>
            </w:pPr>
            <w:r>
              <w:rPr>
                <w:rFonts w:ascii="Arial" w:eastAsia="宋体" w:hAnsi="Arial" w:cs="Arial"/>
                <w:color w:val="000000"/>
                <w:sz w:val="12"/>
                <w:szCs w:val="12"/>
              </w:rPr>
              <w:t>Tier 1 capital</w:t>
            </w:r>
          </w:p>
        </w:tc>
        <w:tc>
          <w:tcPr>
            <w:tcW w:w="0" w:type="auto"/>
            <w:gridSpan w:val="2"/>
            <w:shd w:val="clear" w:color="auto" w:fill="FFFFFF"/>
            <w:tcMar>
              <w:top w:w="40" w:type="dxa"/>
              <w:left w:w="20" w:type="dxa"/>
              <w:bottom w:w="40" w:type="dxa"/>
              <w:right w:w="0" w:type="dxa"/>
            </w:tcMar>
            <w:vAlign w:val="bottom"/>
          </w:tcPr>
          <w:p w14:paraId="74DE0D0F" w14:textId="77777777" w:rsidR="00584EC1" w:rsidRDefault="00871F8D">
            <w:pPr>
              <w:jc w:val="right"/>
              <w:textAlignment w:val="bottom"/>
            </w:pPr>
            <w:r>
              <w:rPr>
                <w:rFonts w:ascii="Arial" w:eastAsia="宋体" w:hAnsi="Arial" w:cs="Arial"/>
                <w:b/>
                <w:bCs/>
                <w:color w:val="000000"/>
                <w:sz w:val="12"/>
                <w:szCs w:val="12"/>
              </w:rPr>
              <w:t>9.5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0D10" w14:textId="77777777" w:rsidR="00584EC1" w:rsidRDefault="00584EC1">
            <w:pPr>
              <w:jc w:val="right"/>
              <w:rPr>
                <w:rFonts w:ascii="宋体"/>
              </w:rPr>
            </w:pPr>
          </w:p>
        </w:tc>
        <w:tc>
          <w:tcPr>
            <w:tcW w:w="0" w:type="auto"/>
            <w:gridSpan w:val="2"/>
            <w:shd w:val="clear" w:color="auto" w:fill="FFFFFF"/>
            <w:tcMar>
              <w:top w:w="40" w:type="dxa"/>
              <w:left w:w="20" w:type="dxa"/>
              <w:bottom w:w="40" w:type="dxa"/>
              <w:right w:w="0" w:type="dxa"/>
            </w:tcMar>
            <w:vAlign w:val="bottom"/>
          </w:tcPr>
          <w:p w14:paraId="74DE0D11" w14:textId="77777777" w:rsidR="00584EC1" w:rsidRDefault="00871F8D">
            <w:pPr>
              <w:jc w:val="right"/>
              <w:textAlignment w:val="bottom"/>
            </w:pPr>
            <w:r>
              <w:rPr>
                <w:rFonts w:ascii="Arial" w:eastAsia="宋体" w:hAnsi="Arial" w:cs="Arial"/>
                <w:color w:val="000000"/>
                <w:sz w:val="12"/>
                <w:szCs w:val="12"/>
              </w:rPr>
              <w:t>9.5 </w:t>
            </w:r>
          </w:p>
        </w:tc>
        <w:tc>
          <w:tcPr>
            <w:tcW w:w="0" w:type="auto"/>
            <w:shd w:val="clear" w:color="auto" w:fill="FFFFFF"/>
            <w:tcMar>
              <w:top w:w="40" w:type="dxa"/>
              <w:left w:w="0" w:type="dxa"/>
              <w:bottom w:w="40" w:type="dxa"/>
              <w:right w:w="20" w:type="dxa"/>
            </w:tcMar>
            <w:vAlign w:val="bottom"/>
          </w:tcPr>
          <w:p w14:paraId="74DE0D12" w14:textId="77777777" w:rsidR="00584EC1" w:rsidRDefault="00584EC1">
            <w:pPr>
              <w:jc w:val="right"/>
              <w:rPr>
                <w:rFonts w:ascii="宋体"/>
              </w:rPr>
            </w:pPr>
          </w:p>
        </w:tc>
        <w:tc>
          <w:tcPr>
            <w:tcW w:w="0" w:type="auto"/>
            <w:gridSpan w:val="2"/>
            <w:shd w:val="clear" w:color="auto" w:fill="FFFFFF"/>
            <w:tcMar>
              <w:top w:w="40" w:type="dxa"/>
              <w:left w:w="20" w:type="dxa"/>
              <w:bottom w:w="40" w:type="dxa"/>
              <w:right w:w="0" w:type="dxa"/>
            </w:tcMar>
            <w:vAlign w:val="bottom"/>
          </w:tcPr>
          <w:p w14:paraId="74DE0D13" w14:textId="77777777" w:rsidR="00584EC1" w:rsidRDefault="00871F8D">
            <w:pPr>
              <w:jc w:val="right"/>
              <w:textAlignment w:val="bottom"/>
            </w:pPr>
            <w:r>
              <w:rPr>
                <w:rFonts w:ascii="Arial" w:eastAsia="宋体" w:hAnsi="Arial" w:cs="Arial"/>
                <w:b/>
                <w:bCs/>
                <w:color w:val="000000"/>
                <w:sz w:val="12"/>
                <w:szCs w:val="12"/>
              </w:rPr>
              <w:t>15.5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0D1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D15"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D16" w14:textId="77777777" w:rsidR="00584EC1" w:rsidRDefault="00871F8D">
            <w:pPr>
              <w:jc w:val="right"/>
              <w:textAlignment w:val="bottom"/>
            </w:pPr>
            <w:r>
              <w:rPr>
                <w:rFonts w:ascii="Arial" w:eastAsia="宋体" w:hAnsi="Arial" w:cs="Arial"/>
                <w:b/>
                <w:bCs/>
                <w:color w:val="000000"/>
                <w:sz w:val="12"/>
                <w:szCs w:val="12"/>
              </w:rPr>
              <w:t>15.2</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0D1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D18"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D19" w14:textId="77777777" w:rsidR="00584EC1" w:rsidRDefault="00871F8D">
            <w:pPr>
              <w:jc w:val="right"/>
              <w:textAlignment w:val="bottom"/>
            </w:pPr>
            <w:r>
              <w:rPr>
                <w:rFonts w:ascii="Arial" w:eastAsia="宋体" w:hAnsi="Arial" w:cs="Arial"/>
                <w:color w:val="000000"/>
                <w:sz w:val="12"/>
                <w:szCs w:val="12"/>
              </w:rPr>
              <w:t>15.4 </w:t>
            </w:r>
          </w:p>
        </w:tc>
        <w:tc>
          <w:tcPr>
            <w:tcW w:w="0" w:type="auto"/>
            <w:shd w:val="clear" w:color="auto" w:fill="FFFFFF"/>
            <w:tcMar>
              <w:top w:w="40" w:type="dxa"/>
              <w:left w:w="0" w:type="dxa"/>
              <w:bottom w:w="40" w:type="dxa"/>
              <w:right w:w="20" w:type="dxa"/>
            </w:tcMar>
            <w:vAlign w:val="bottom"/>
          </w:tcPr>
          <w:p w14:paraId="74DE0D1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D1B"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D1C" w14:textId="77777777" w:rsidR="00584EC1" w:rsidRDefault="00871F8D">
            <w:pPr>
              <w:jc w:val="right"/>
              <w:textAlignment w:val="bottom"/>
            </w:pPr>
            <w:r>
              <w:rPr>
                <w:rFonts w:ascii="Arial" w:eastAsia="宋体" w:hAnsi="Arial" w:cs="Arial"/>
                <w:color w:val="000000"/>
                <w:sz w:val="12"/>
                <w:szCs w:val="12"/>
              </w:rPr>
              <w:t>14.4 </w:t>
            </w:r>
          </w:p>
        </w:tc>
        <w:tc>
          <w:tcPr>
            <w:tcW w:w="0" w:type="auto"/>
            <w:shd w:val="clear" w:color="auto" w:fill="FFFFFF"/>
            <w:tcMar>
              <w:top w:w="40" w:type="dxa"/>
              <w:left w:w="0" w:type="dxa"/>
              <w:bottom w:w="40" w:type="dxa"/>
              <w:right w:w="20" w:type="dxa"/>
            </w:tcMar>
            <w:vAlign w:val="bottom"/>
          </w:tcPr>
          <w:p w14:paraId="74DE0D1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D1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D1F" w14:textId="77777777" w:rsidR="00584EC1" w:rsidRDefault="00871F8D">
            <w:pPr>
              <w:jc w:val="right"/>
              <w:textAlignment w:val="bottom"/>
            </w:pPr>
            <w:r>
              <w:rPr>
                <w:rFonts w:ascii="Arial" w:eastAsia="宋体" w:hAnsi="Arial" w:cs="Arial"/>
                <w:b/>
                <w:bCs/>
                <w:color w:val="000000"/>
                <w:sz w:val="12"/>
                <w:szCs w:val="12"/>
              </w:rPr>
              <w:t>17.4</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0D2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D2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D22" w14:textId="77777777" w:rsidR="00584EC1" w:rsidRDefault="00871F8D">
            <w:pPr>
              <w:jc w:val="right"/>
              <w:textAlignment w:val="bottom"/>
            </w:pPr>
            <w:r>
              <w:rPr>
                <w:rFonts w:ascii="Arial" w:eastAsia="宋体" w:hAnsi="Arial" w:cs="Arial"/>
                <w:b/>
                <w:bCs/>
                <w:color w:val="000000"/>
                <w:sz w:val="12"/>
                <w:szCs w:val="12"/>
              </w:rPr>
              <w:t>16.0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0D2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D2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D25" w14:textId="77777777" w:rsidR="00584EC1" w:rsidRDefault="00871F8D">
            <w:pPr>
              <w:jc w:val="right"/>
              <w:textAlignment w:val="bottom"/>
            </w:pPr>
            <w:r>
              <w:rPr>
                <w:rFonts w:ascii="Arial" w:eastAsia="宋体" w:hAnsi="Arial" w:cs="Arial"/>
                <w:color w:val="000000"/>
                <w:sz w:val="12"/>
                <w:szCs w:val="12"/>
              </w:rPr>
              <w:t>16.5 </w:t>
            </w:r>
          </w:p>
        </w:tc>
        <w:tc>
          <w:tcPr>
            <w:tcW w:w="0" w:type="auto"/>
            <w:shd w:val="clear" w:color="auto" w:fill="FFFFFF"/>
            <w:tcMar>
              <w:top w:w="40" w:type="dxa"/>
              <w:left w:w="0" w:type="dxa"/>
              <w:bottom w:w="40" w:type="dxa"/>
              <w:right w:w="20" w:type="dxa"/>
            </w:tcMar>
            <w:vAlign w:val="bottom"/>
          </w:tcPr>
          <w:p w14:paraId="74DE0D2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D2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D28" w14:textId="77777777" w:rsidR="00584EC1" w:rsidRDefault="00871F8D">
            <w:pPr>
              <w:jc w:val="right"/>
              <w:textAlignment w:val="bottom"/>
            </w:pPr>
            <w:r>
              <w:rPr>
                <w:rFonts w:ascii="Arial" w:eastAsia="宋体" w:hAnsi="Arial" w:cs="Arial"/>
                <w:color w:val="000000"/>
                <w:sz w:val="12"/>
                <w:szCs w:val="12"/>
              </w:rPr>
              <w:t>15.3 </w:t>
            </w:r>
          </w:p>
        </w:tc>
        <w:tc>
          <w:tcPr>
            <w:tcW w:w="0" w:type="auto"/>
            <w:shd w:val="clear" w:color="auto" w:fill="FFFFFF"/>
            <w:tcMar>
              <w:top w:w="40" w:type="dxa"/>
              <w:left w:w="0" w:type="dxa"/>
              <w:bottom w:w="40" w:type="dxa"/>
              <w:right w:w="20" w:type="dxa"/>
            </w:tcMar>
            <w:vAlign w:val="bottom"/>
          </w:tcPr>
          <w:p w14:paraId="74DE0D29" w14:textId="77777777" w:rsidR="00584EC1" w:rsidRDefault="00584EC1">
            <w:pPr>
              <w:jc w:val="right"/>
              <w:rPr>
                <w:rFonts w:ascii="宋体"/>
              </w:rPr>
            </w:pPr>
          </w:p>
        </w:tc>
      </w:tr>
      <w:tr w:rsidR="00871F8D" w14:paraId="74DE0D47" w14:textId="77777777">
        <w:tc>
          <w:tcPr>
            <w:tcW w:w="0" w:type="auto"/>
            <w:gridSpan w:val="3"/>
            <w:shd w:val="clear" w:color="auto" w:fill="CCEEFF"/>
            <w:tcMar>
              <w:top w:w="40" w:type="dxa"/>
              <w:left w:w="20" w:type="dxa"/>
              <w:bottom w:w="40" w:type="dxa"/>
              <w:right w:w="20" w:type="dxa"/>
            </w:tcMar>
            <w:vAlign w:val="bottom"/>
          </w:tcPr>
          <w:p w14:paraId="74DE0D2B" w14:textId="77777777" w:rsidR="00584EC1" w:rsidRDefault="00871F8D">
            <w:pPr>
              <w:textAlignment w:val="bottom"/>
            </w:pPr>
            <w:r>
              <w:rPr>
                <w:rFonts w:ascii="Arial" w:eastAsia="宋体" w:hAnsi="Arial" w:cs="Arial"/>
                <w:color w:val="000000"/>
                <w:sz w:val="12"/>
                <w:szCs w:val="12"/>
              </w:rPr>
              <w:t>Total capital</w:t>
            </w:r>
          </w:p>
        </w:tc>
        <w:tc>
          <w:tcPr>
            <w:tcW w:w="0" w:type="auto"/>
            <w:gridSpan w:val="2"/>
            <w:shd w:val="clear" w:color="auto" w:fill="CCEEFF"/>
            <w:tcMar>
              <w:top w:w="40" w:type="dxa"/>
              <w:left w:w="20" w:type="dxa"/>
              <w:bottom w:w="40" w:type="dxa"/>
              <w:right w:w="0" w:type="dxa"/>
            </w:tcMar>
            <w:vAlign w:val="bottom"/>
          </w:tcPr>
          <w:p w14:paraId="74DE0D2C" w14:textId="77777777" w:rsidR="00584EC1" w:rsidRDefault="00871F8D">
            <w:pPr>
              <w:jc w:val="right"/>
              <w:textAlignment w:val="bottom"/>
            </w:pPr>
            <w:r>
              <w:rPr>
                <w:rFonts w:ascii="Arial" w:eastAsia="宋体" w:hAnsi="Arial" w:cs="Arial"/>
                <w:b/>
                <w:bCs/>
                <w:color w:val="000000"/>
                <w:sz w:val="12"/>
                <w:szCs w:val="12"/>
              </w:rPr>
              <w:t>11.5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0D2D" w14:textId="77777777" w:rsidR="00584EC1" w:rsidRDefault="00584EC1">
            <w:pPr>
              <w:jc w:val="right"/>
              <w:rPr>
                <w:rFonts w:ascii="宋体"/>
              </w:rPr>
            </w:pPr>
          </w:p>
        </w:tc>
        <w:tc>
          <w:tcPr>
            <w:tcW w:w="0" w:type="auto"/>
            <w:gridSpan w:val="2"/>
            <w:shd w:val="clear" w:color="auto" w:fill="CCEEFF"/>
            <w:tcMar>
              <w:top w:w="40" w:type="dxa"/>
              <w:left w:w="20" w:type="dxa"/>
              <w:bottom w:w="40" w:type="dxa"/>
              <w:right w:w="0" w:type="dxa"/>
            </w:tcMar>
            <w:vAlign w:val="bottom"/>
          </w:tcPr>
          <w:p w14:paraId="74DE0D2E" w14:textId="77777777" w:rsidR="00584EC1" w:rsidRDefault="00871F8D">
            <w:pPr>
              <w:jc w:val="right"/>
              <w:textAlignment w:val="bottom"/>
            </w:pPr>
            <w:r>
              <w:rPr>
                <w:rFonts w:ascii="Arial" w:eastAsia="宋体" w:hAnsi="Arial" w:cs="Arial"/>
                <w:color w:val="000000"/>
                <w:sz w:val="12"/>
                <w:szCs w:val="12"/>
              </w:rPr>
              <w:t>11.5 </w:t>
            </w:r>
          </w:p>
        </w:tc>
        <w:tc>
          <w:tcPr>
            <w:tcW w:w="0" w:type="auto"/>
            <w:shd w:val="clear" w:color="auto" w:fill="CCEEFF"/>
            <w:tcMar>
              <w:top w:w="40" w:type="dxa"/>
              <w:left w:w="0" w:type="dxa"/>
              <w:bottom w:w="40" w:type="dxa"/>
              <w:right w:w="20" w:type="dxa"/>
            </w:tcMar>
            <w:vAlign w:val="bottom"/>
          </w:tcPr>
          <w:p w14:paraId="74DE0D2F" w14:textId="77777777" w:rsidR="00584EC1" w:rsidRDefault="00584EC1">
            <w:pPr>
              <w:jc w:val="right"/>
              <w:rPr>
                <w:rFonts w:ascii="宋体"/>
              </w:rPr>
            </w:pPr>
          </w:p>
        </w:tc>
        <w:tc>
          <w:tcPr>
            <w:tcW w:w="0" w:type="auto"/>
            <w:gridSpan w:val="2"/>
            <w:shd w:val="clear" w:color="auto" w:fill="CCEEFF"/>
            <w:tcMar>
              <w:top w:w="40" w:type="dxa"/>
              <w:left w:w="20" w:type="dxa"/>
              <w:bottom w:w="40" w:type="dxa"/>
              <w:right w:w="0" w:type="dxa"/>
            </w:tcMar>
            <w:vAlign w:val="bottom"/>
          </w:tcPr>
          <w:p w14:paraId="74DE0D30" w14:textId="77777777" w:rsidR="00584EC1" w:rsidRDefault="00871F8D">
            <w:pPr>
              <w:jc w:val="right"/>
              <w:textAlignment w:val="bottom"/>
            </w:pPr>
            <w:r>
              <w:rPr>
                <w:rFonts w:ascii="Arial" w:eastAsia="宋体" w:hAnsi="Arial" w:cs="Arial"/>
                <w:b/>
                <w:bCs/>
                <w:color w:val="000000"/>
                <w:sz w:val="12"/>
                <w:szCs w:val="12"/>
              </w:rPr>
              <w:t>16.9</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0D3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D32"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D33" w14:textId="77777777" w:rsidR="00584EC1" w:rsidRDefault="00871F8D">
            <w:pPr>
              <w:jc w:val="right"/>
              <w:textAlignment w:val="bottom"/>
            </w:pPr>
            <w:r>
              <w:rPr>
                <w:rFonts w:ascii="Arial" w:eastAsia="宋体" w:hAnsi="Arial" w:cs="Arial"/>
                <w:b/>
                <w:bCs/>
                <w:color w:val="000000"/>
                <w:sz w:val="12"/>
                <w:szCs w:val="12"/>
              </w:rPr>
              <w:t>16.6</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0D3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D3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D36" w14:textId="77777777" w:rsidR="00584EC1" w:rsidRDefault="00871F8D">
            <w:pPr>
              <w:jc w:val="right"/>
              <w:textAlignment w:val="bottom"/>
            </w:pPr>
            <w:r>
              <w:rPr>
                <w:rFonts w:ascii="Arial" w:eastAsia="宋体" w:hAnsi="Arial" w:cs="Arial"/>
                <w:color w:val="000000"/>
                <w:sz w:val="12"/>
                <w:szCs w:val="12"/>
              </w:rPr>
              <w:t>16.2 </w:t>
            </w:r>
          </w:p>
        </w:tc>
        <w:tc>
          <w:tcPr>
            <w:tcW w:w="0" w:type="auto"/>
            <w:shd w:val="clear" w:color="auto" w:fill="CCEEFF"/>
            <w:tcMar>
              <w:top w:w="40" w:type="dxa"/>
              <w:left w:w="0" w:type="dxa"/>
              <w:bottom w:w="40" w:type="dxa"/>
              <w:right w:w="20" w:type="dxa"/>
            </w:tcMar>
            <w:vAlign w:val="bottom"/>
          </w:tcPr>
          <w:p w14:paraId="74DE0D3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D38"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D39" w14:textId="77777777" w:rsidR="00584EC1" w:rsidRDefault="00871F8D">
            <w:pPr>
              <w:jc w:val="right"/>
              <w:textAlignment w:val="bottom"/>
            </w:pPr>
            <w:r>
              <w:rPr>
                <w:rFonts w:ascii="Arial" w:eastAsia="宋体" w:hAnsi="Arial" w:cs="Arial"/>
                <w:color w:val="000000"/>
                <w:sz w:val="12"/>
                <w:szCs w:val="12"/>
              </w:rPr>
              <w:t>15.3 </w:t>
            </w:r>
          </w:p>
        </w:tc>
        <w:tc>
          <w:tcPr>
            <w:tcW w:w="0" w:type="auto"/>
            <w:shd w:val="clear" w:color="auto" w:fill="CCEEFF"/>
            <w:tcMar>
              <w:top w:w="40" w:type="dxa"/>
              <w:left w:w="0" w:type="dxa"/>
              <w:bottom w:w="40" w:type="dxa"/>
              <w:right w:w="20" w:type="dxa"/>
            </w:tcMar>
            <w:vAlign w:val="bottom"/>
          </w:tcPr>
          <w:p w14:paraId="74DE0D3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D3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D3C" w14:textId="77777777" w:rsidR="00584EC1" w:rsidRDefault="00871F8D">
            <w:pPr>
              <w:jc w:val="right"/>
              <w:textAlignment w:val="bottom"/>
            </w:pPr>
            <w:r>
              <w:rPr>
                <w:rFonts w:ascii="Arial" w:eastAsia="宋体" w:hAnsi="Arial" w:cs="Arial"/>
                <w:b/>
                <w:bCs/>
                <w:color w:val="000000"/>
                <w:sz w:val="12"/>
                <w:szCs w:val="12"/>
              </w:rPr>
              <w:t>18.1</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0D3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D3E"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D3F" w14:textId="77777777" w:rsidR="00584EC1" w:rsidRDefault="00871F8D">
            <w:pPr>
              <w:jc w:val="right"/>
              <w:textAlignment w:val="bottom"/>
            </w:pPr>
            <w:r>
              <w:rPr>
                <w:rFonts w:ascii="Arial" w:eastAsia="宋体" w:hAnsi="Arial" w:cs="Arial"/>
                <w:b/>
                <w:bCs/>
                <w:color w:val="000000"/>
                <w:sz w:val="12"/>
                <w:szCs w:val="12"/>
              </w:rPr>
              <w:t>16.8</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0D4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D4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D42" w14:textId="77777777" w:rsidR="00584EC1" w:rsidRDefault="00871F8D">
            <w:pPr>
              <w:jc w:val="right"/>
              <w:textAlignment w:val="bottom"/>
            </w:pPr>
            <w:r>
              <w:rPr>
                <w:rFonts w:ascii="Arial" w:eastAsia="宋体" w:hAnsi="Arial" w:cs="Arial"/>
                <w:color w:val="000000"/>
                <w:sz w:val="12"/>
                <w:szCs w:val="12"/>
              </w:rPr>
              <w:t>17.4 </w:t>
            </w:r>
          </w:p>
        </w:tc>
        <w:tc>
          <w:tcPr>
            <w:tcW w:w="0" w:type="auto"/>
            <w:shd w:val="clear" w:color="auto" w:fill="CCEEFF"/>
            <w:tcMar>
              <w:top w:w="40" w:type="dxa"/>
              <w:left w:w="0" w:type="dxa"/>
              <w:bottom w:w="40" w:type="dxa"/>
              <w:right w:w="20" w:type="dxa"/>
            </w:tcMar>
            <w:vAlign w:val="bottom"/>
          </w:tcPr>
          <w:p w14:paraId="74DE0D4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D44"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D45" w14:textId="77777777" w:rsidR="00584EC1" w:rsidRDefault="00871F8D">
            <w:pPr>
              <w:jc w:val="right"/>
              <w:textAlignment w:val="bottom"/>
            </w:pPr>
            <w:r>
              <w:rPr>
                <w:rFonts w:ascii="Arial" w:eastAsia="宋体" w:hAnsi="Arial" w:cs="Arial"/>
                <w:color w:val="000000"/>
                <w:sz w:val="12"/>
                <w:szCs w:val="12"/>
              </w:rPr>
              <w:t>16.3 </w:t>
            </w:r>
          </w:p>
        </w:tc>
        <w:tc>
          <w:tcPr>
            <w:tcW w:w="0" w:type="auto"/>
            <w:shd w:val="clear" w:color="auto" w:fill="CCEEFF"/>
            <w:tcMar>
              <w:top w:w="40" w:type="dxa"/>
              <w:left w:w="0" w:type="dxa"/>
              <w:bottom w:w="40" w:type="dxa"/>
              <w:right w:w="20" w:type="dxa"/>
            </w:tcMar>
            <w:vAlign w:val="bottom"/>
          </w:tcPr>
          <w:p w14:paraId="74DE0D46" w14:textId="77777777" w:rsidR="00584EC1" w:rsidRDefault="00584EC1">
            <w:pPr>
              <w:jc w:val="right"/>
              <w:rPr>
                <w:rFonts w:ascii="宋体"/>
              </w:rPr>
            </w:pPr>
          </w:p>
        </w:tc>
      </w:tr>
      <w:tr w:rsidR="00871F8D" w14:paraId="74DE0D64" w14:textId="77777777">
        <w:tc>
          <w:tcPr>
            <w:tcW w:w="0" w:type="auto"/>
            <w:gridSpan w:val="3"/>
            <w:shd w:val="clear" w:color="auto" w:fill="FFFFFF"/>
            <w:tcMar>
              <w:top w:w="40" w:type="dxa"/>
              <w:left w:w="20" w:type="dxa"/>
              <w:bottom w:w="40" w:type="dxa"/>
              <w:right w:w="20" w:type="dxa"/>
            </w:tcMar>
            <w:vAlign w:val="bottom"/>
          </w:tcPr>
          <w:p w14:paraId="74DE0D48" w14:textId="77777777" w:rsidR="00584EC1" w:rsidRDefault="00871F8D">
            <w:pPr>
              <w:textAlignment w:val="bottom"/>
            </w:pPr>
            <w:r>
              <w:rPr>
                <w:rFonts w:ascii="Arial" w:eastAsia="宋体" w:hAnsi="Arial" w:cs="Arial"/>
                <w:color w:val="000000"/>
                <w:sz w:val="12"/>
                <w:szCs w:val="12"/>
              </w:rPr>
              <w:t>Tier 1 leverage</w:t>
            </w:r>
            <w:r>
              <w:rPr>
                <w:rFonts w:ascii="Arial" w:eastAsia="宋体" w:hAnsi="Arial" w:cs="Arial"/>
                <w:color w:val="000000"/>
                <w:sz w:val="7"/>
                <w:szCs w:val="7"/>
              </w:rPr>
              <w:t>(5)</w:t>
            </w:r>
          </w:p>
        </w:tc>
        <w:tc>
          <w:tcPr>
            <w:tcW w:w="0" w:type="auto"/>
            <w:gridSpan w:val="2"/>
            <w:shd w:val="clear" w:color="auto" w:fill="FFFFFF"/>
            <w:tcMar>
              <w:top w:w="40" w:type="dxa"/>
              <w:left w:w="20" w:type="dxa"/>
              <w:bottom w:w="40" w:type="dxa"/>
              <w:right w:w="0" w:type="dxa"/>
            </w:tcMar>
            <w:vAlign w:val="bottom"/>
          </w:tcPr>
          <w:p w14:paraId="74DE0D49" w14:textId="77777777" w:rsidR="00584EC1" w:rsidRDefault="00871F8D">
            <w:pPr>
              <w:jc w:val="right"/>
              <w:textAlignment w:val="bottom"/>
            </w:pPr>
            <w:r>
              <w:rPr>
                <w:rFonts w:ascii="Arial" w:eastAsia="宋体" w:hAnsi="Arial" w:cs="Arial"/>
                <w:b/>
                <w:bCs/>
                <w:color w:val="000000"/>
                <w:sz w:val="12"/>
                <w:szCs w:val="12"/>
              </w:rPr>
              <w:t>4.0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0D4A" w14:textId="77777777" w:rsidR="00584EC1" w:rsidRDefault="00584EC1">
            <w:pPr>
              <w:jc w:val="right"/>
              <w:rPr>
                <w:rFonts w:ascii="宋体"/>
              </w:rPr>
            </w:pPr>
          </w:p>
        </w:tc>
        <w:tc>
          <w:tcPr>
            <w:tcW w:w="0" w:type="auto"/>
            <w:gridSpan w:val="2"/>
            <w:shd w:val="clear" w:color="auto" w:fill="FFFFFF"/>
            <w:tcMar>
              <w:top w:w="40" w:type="dxa"/>
              <w:left w:w="20" w:type="dxa"/>
              <w:bottom w:w="40" w:type="dxa"/>
              <w:right w:w="0" w:type="dxa"/>
            </w:tcMar>
            <w:vAlign w:val="bottom"/>
          </w:tcPr>
          <w:p w14:paraId="74DE0D4B" w14:textId="77777777" w:rsidR="00584EC1" w:rsidRDefault="00871F8D">
            <w:pPr>
              <w:jc w:val="right"/>
              <w:textAlignment w:val="bottom"/>
            </w:pPr>
            <w:r>
              <w:rPr>
                <w:rFonts w:ascii="Arial" w:eastAsia="宋体" w:hAnsi="Arial" w:cs="Arial"/>
                <w:color w:val="000000"/>
                <w:sz w:val="12"/>
                <w:szCs w:val="12"/>
              </w:rPr>
              <w:t>4.0 </w:t>
            </w:r>
          </w:p>
        </w:tc>
        <w:tc>
          <w:tcPr>
            <w:tcW w:w="0" w:type="auto"/>
            <w:shd w:val="clear" w:color="auto" w:fill="FFFFFF"/>
            <w:tcMar>
              <w:top w:w="40" w:type="dxa"/>
              <w:left w:w="0" w:type="dxa"/>
              <w:bottom w:w="40" w:type="dxa"/>
              <w:right w:w="20" w:type="dxa"/>
            </w:tcMar>
            <w:vAlign w:val="bottom"/>
          </w:tcPr>
          <w:p w14:paraId="74DE0D4C" w14:textId="77777777" w:rsidR="00584EC1" w:rsidRDefault="00584EC1">
            <w:pPr>
              <w:jc w:val="right"/>
              <w:rPr>
                <w:rFonts w:ascii="宋体"/>
              </w:rPr>
            </w:pPr>
          </w:p>
        </w:tc>
        <w:tc>
          <w:tcPr>
            <w:tcW w:w="0" w:type="auto"/>
            <w:gridSpan w:val="2"/>
            <w:shd w:val="clear" w:color="auto" w:fill="FFFFFF"/>
            <w:tcMar>
              <w:top w:w="40" w:type="dxa"/>
              <w:left w:w="20" w:type="dxa"/>
              <w:bottom w:w="40" w:type="dxa"/>
              <w:right w:w="0" w:type="dxa"/>
            </w:tcMar>
            <w:vAlign w:val="bottom"/>
          </w:tcPr>
          <w:p w14:paraId="74DE0D4D" w14:textId="77777777" w:rsidR="00584EC1" w:rsidRDefault="00871F8D">
            <w:pPr>
              <w:jc w:val="right"/>
              <w:textAlignment w:val="bottom"/>
            </w:pPr>
            <w:r>
              <w:rPr>
                <w:rFonts w:ascii="Arial" w:eastAsia="宋体" w:hAnsi="Arial" w:cs="Arial"/>
                <w:b/>
                <w:bCs/>
                <w:color w:val="000000"/>
                <w:sz w:val="12"/>
                <w:szCs w:val="12"/>
              </w:rPr>
              <w:t>6.3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0D4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D4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D50" w14:textId="77777777" w:rsidR="00584EC1" w:rsidRDefault="00871F8D">
            <w:pPr>
              <w:jc w:val="right"/>
              <w:textAlignment w:val="bottom"/>
            </w:pPr>
            <w:r>
              <w:rPr>
                <w:rFonts w:ascii="Arial" w:eastAsia="宋体" w:hAnsi="Arial" w:cs="Arial"/>
                <w:b/>
                <w:bCs/>
                <w:color w:val="000000"/>
                <w:sz w:val="12"/>
                <w:szCs w:val="12"/>
              </w:rPr>
              <w:t>6.3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0D5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D5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D53" w14:textId="77777777" w:rsidR="00584EC1" w:rsidRDefault="00871F8D">
            <w:pPr>
              <w:jc w:val="right"/>
              <w:textAlignment w:val="bottom"/>
            </w:pPr>
            <w:r>
              <w:rPr>
                <w:rFonts w:ascii="Arial" w:eastAsia="宋体" w:hAnsi="Arial" w:cs="Arial"/>
                <w:color w:val="000000"/>
                <w:sz w:val="12"/>
                <w:szCs w:val="12"/>
              </w:rPr>
              <w:t>6.4 </w:t>
            </w:r>
          </w:p>
        </w:tc>
        <w:tc>
          <w:tcPr>
            <w:tcW w:w="0" w:type="auto"/>
            <w:shd w:val="clear" w:color="auto" w:fill="FFFFFF"/>
            <w:tcMar>
              <w:top w:w="40" w:type="dxa"/>
              <w:left w:w="0" w:type="dxa"/>
              <w:bottom w:w="40" w:type="dxa"/>
              <w:right w:w="20" w:type="dxa"/>
            </w:tcMar>
            <w:vAlign w:val="bottom"/>
          </w:tcPr>
          <w:p w14:paraId="74DE0D5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D55"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D56" w14:textId="77777777" w:rsidR="00584EC1" w:rsidRDefault="00871F8D">
            <w:pPr>
              <w:jc w:val="right"/>
              <w:textAlignment w:val="bottom"/>
            </w:pPr>
            <w:r>
              <w:rPr>
                <w:rFonts w:ascii="Arial" w:eastAsia="宋体" w:hAnsi="Arial" w:cs="Arial"/>
                <w:color w:val="000000"/>
                <w:sz w:val="12"/>
                <w:szCs w:val="12"/>
              </w:rPr>
              <w:t>6.4 </w:t>
            </w:r>
          </w:p>
        </w:tc>
        <w:tc>
          <w:tcPr>
            <w:tcW w:w="0" w:type="auto"/>
            <w:shd w:val="clear" w:color="auto" w:fill="FFFFFF"/>
            <w:tcMar>
              <w:top w:w="40" w:type="dxa"/>
              <w:left w:w="0" w:type="dxa"/>
              <w:bottom w:w="40" w:type="dxa"/>
              <w:right w:w="20" w:type="dxa"/>
            </w:tcMar>
            <w:vAlign w:val="bottom"/>
          </w:tcPr>
          <w:p w14:paraId="74DE0D5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D58"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D59" w14:textId="77777777" w:rsidR="00584EC1" w:rsidRDefault="00871F8D">
            <w:pPr>
              <w:jc w:val="right"/>
              <w:textAlignment w:val="bottom"/>
            </w:pPr>
            <w:r>
              <w:rPr>
                <w:rFonts w:ascii="Arial" w:eastAsia="宋体" w:hAnsi="Arial" w:cs="Arial"/>
                <w:b/>
                <w:bCs/>
                <w:color w:val="000000"/>
                <w:sz w:val="12"/>
                <w:szCs w:val="12"/>
              </w:rPr>
              <w:t>6.6</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0D5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D5B"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D5C" w14:textId="77777777" w:rsidR="00584EC1" w:rsidRDefault="00871F8D">
            <w:pPr>
              <w:jc w:val="right"/>
              <w:textAlignment w:val="bottom"/>
            </w:pPr>
            <w:r>
              <w:rPr>
                <w:rFonts w:ascii="Arial" w:eastAsia="宋体" w:hAnsi="Arial" w:cs="Arial"/>
                <w:b/>
                <w:bCs/>
                <w:color w:val="000000"/>
                <w:sz w:val="12"/>
                <w:szCs w:val="12"/>
              </w:rPr>
              <w:t>6.6</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0D5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D5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D5F" w14:textId="77777777" w:rsidR="00584EC1" w:rsidRDefault="00871F8D">
            <w:pPr>
              <w:jc w:val="right"/>
              <w:textAlignment w:val="bottom"/>
            </w:pPr>
            <w:r>
              <w:rPr>
                <w:rFonts w:ascii="Arial" w:eastAsia="宋体" w:hAnsi="Arial" w:cs="Arial"/>
                <w:color w:val="000000"/>
                <w:sz w:val="12"/>
                <w:szCs w:val="12"/>
              </w:rPr>
              <w:t>6.6 </w:t>
            </w:r>
          </w:p>
        </w:tc>
        <w:tc>
          <w:tcPr>
            <w:tcW w:w="0" w:type="auto"/>
            <w:shd w:val="clear" w:color="auto" w:fill="FFFFFF"/>
            <w:tcMar>
              <w:top w:w="40" w:type="dxa"/>
              <w:left w:w="0" w:type="dxa"/>
              <w:bottom w:w="40" w:type="dxa"/>
              <w:right w:w="20" w:type="dxa"/>
            </w:tcMar>
            <w:vAlign w:val="bottom"/>
          </w:tcPr>
          <w:p w14:paraId="74DE0D6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D6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D62" w14:textId="77777777" w:rsidR="00584EC1" w:rsidRDefault="00871F8D">
            <w:pPr>
              <w:jc w:val="right"/>
              <w:textAlignment w:val="bottom"/>
            </w:pPr>
            <w:r>
              <w:rPr>
                <w:rFonts w:ascii="Arial" w:eastAsia="宋体" w:hAnsi="Arial" w:cs="Arial"/>
                <w:color w:val="000000"/>
                <w:sz w:val="12"/>
                <w:szCs w:val="12"/>
              </w:rPr>
              <w:t>6.6 </w:t>
            </w:r>
          </w:p>
        </w:tc>
        <w:tc>
          <w:tcPr>
            <w:tcW w:w="0" w:type="auto"/>
            <w:shd w:val="clear" w:color="auto" w:fill="FFFFFF"/>
            <w:tcMar>
              <w:top w:w="40" w:type="dxa"/>
              <w:left w:w="0" w:type="dxa"/>
              <w:bottom w:w="40" w:type="dxa"/>
              <w:right w:w="20" w:type="dxa"/>
            </w:tcMar>
            <w:vAlign w:val="bottom"/>
          </w:tcPr>
          <w:p w14:paraId="74DE0D63" w14:textId="77777777" w:rsidR="00584EC1" w:rsidRDefault="00584EC1">
            <w:pPr>
              <w:jc w:val="right"/>
              <w:rPr>
                <w:rFonts w:ascii="宋体"/>
              </w:rPr>
            </w:pPr>
          </w:p>
        </w:tc>
      </w:tr>
    </w:tbl>
    <w:p w14:paraId="74DE0D65" w14:textId="77777777" w:rsidR="00584EC1" w:rsidRDefault="00584E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584EC1" w14:paraId="74DE0D6C" w14:textId="77777777">
        <w:tc>
          <w:tcPr>
            <w:tcW w:w="50" w:type="pct"/>
            <w:shd w:val="clear" w:color="auto" w:fill="auto"/>
            <w:vAlign w:val="bottom"/>
          </w:tcPr>
          <w:p w14:paraId="74DE0D66" w14:textId="77777777" w:rsidR="00584EC1" w:rsidRDefault="00584EC1">
            <w:pPr>
              <w:rPr>
                <w:rFonts w:ascii="宋体"/>
              </w:rPr>
            </w:pPr>
          </w:p>
        </w:tc>
        <w:tc>
          <w:tcPr>
            <w:tcW w:w="1348" w:type="pct"/>
            <w:shd w:val="clear" w:color="auto" w:fill="auto"/>
            <w:vAlign w:val="bottom"/>
          </w:tcPr>
          <w:p w14:paraId="74DE0D67" w14:textId="77777777" w:rsidR="00584EC1" w:rsidRDefault="00584EC1">
            <w:pPr>
              <w:rPr>
                <w:rFonts w:ascii="宋体"/>
              </w:rPr>
            </w:pPr>
          </w:p>
        </w:tc>
        <w:tc>
          <w:tcPr>
            <w:tcW w:w="5" w:type="pct"/>
            <w:shd w:val="clear" w:color="auto" w:fill="auto"/>
            <w:vAlign w:val="bottom"/>
          </w:tcPr>
          <w:p w14:paraId="74DE0D68" w14:textId="77777777" w:rsidR="00584EC1" w:rsidRDefault="00584EC1">
            <w:pPr>
              <w:rPr>
                <w:rFonts w:ascii="宋体"/>
              </w:rPr>
            </w:pPr>
          </w:p>
        </w:tc>
        <w:tc>
          <w:tcPr>
            <w:tcW w:w="50" w:type="pct"/>
            <w:shd w:val="clear" w:color="auto" w:fill="auto"/>
            <w:vAlign w:val="bottom"/>
          </w:tcPr>
          <w:p w14:paraId="74DE0D69" w14:textId="77777777" w:rsidR="00584EC1" w:rsidRDefault="00584EC1">
            <w:pPr>
              <w:rPr>
                <w:rFonts w:ascii="宋体"/>
              </w:rPr>
            </w:pPr>
          </w:p>
        </w:tc>
        <w:tc>
          <w:tcPr>
            <w:tcW w:w="3541" w:type="pct"/>
            <w:shd w:val="clear" w:color="auto" w:fill="auto"/>
            <w:vAlign w:val="bottom"/>
          </w:tcPr>
          <w:p w14:paraId="74DE0D6A" w14:textId="77777777" w:rsidR="00584EC1" w:rsidRDefault="00584EC1">
            <w:pPr>
              <w:rPr>
                <w:rFonts w:ascii="宋体"/>
              </w:rPr>
            </w:pPr>
          </w:p>
        </w:tc>
        <w:tc>
          <w:tcPr>
            <w:tcW w:w="5" w:type="pct"/>
            <w:shd w:val="clear" w:color="auto" w:fill="auto"/>
            <w:vAlign w:val="bottom"/>
          </w:tcPr>
          <w:p w14:paraId="74DE0D6B" w14:textId="77777777" w:rsidR="00584EC1" w:rsidRDefault="00584EC1">
            <w:pPr>
              <w:rPr>
                <w:rFonts w:ascii="宋体"/>
              </w:rPr>
            </w:pPr>
          </w:p>
        </w:tc>
      </w:tr>
      <w:tr w:rsidR="00584EC1" w14:paraId="74DE0D6F"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4DE0D6D"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D6E" w14:textId="77777777" w:rsidR="00584EC1" w:rsidRDefault="00584EC1">
            <w:pPr>
              <w:rPr>
                <w:rFonts w:ascii="宋体"/>
              </w:rPr>
            </w:pPr>
          </w:p>
        </w:tc>
      </w:tr>
    </w:tbl>
    <w:p w14:paraId="74DE0D70" w14:textId="77777777" w:rsidR="00584EC1" w:rsidRDefault="00871F8D">
      <w:pPr>
        <w:jc w:val="both"/>
      </w:pPr>
      <w:r>
        <w:rPr>
          <w:rFonts w:ascii="Arial" w:eastAsia="宋体" w:hAnsi="Arial" w:cs="Arial"/>
          <w:color w:val="000000"/>
          <w:sz w:val="7"/>
          <w:szCs w:val="7"/>
        </w:rPr>
        <w:t>(1)</w:t>
      </w:r>
      <w:r>
        <w:rPr>
          <w:rFonts w:ascii="Arial" w:eastAsia="宋体" w:hAnsi="Arial" w:cs="Arial"/>
          <w:color w:val="000000"/>
          <w:sz w:val="12"/>
          <w:szCs w:val="12"/>
        </w:rPr>
        <w:t xml:space="preserve"> Other adjustments within CET1 capital primarily include the overfunded portion of our defined benefit pension plan obligation net of associated deferred tax liabilities, disallowed deferred tax assets, and other required credit risk-based deductions.</w:t>
      </w:r>
    </w:p>
    <w:p w14:paraId="74DE0D71" w14:textId="77777777" w:rsidR="00584EC1" w:rsidRDefault="00871F8D">
      <w:pPr>
        <w:spacing w:before="60"/>
        <w:jc w:val="both"/>
      </w:pPr>
      <w:r>
        <w:rPr>
          <w:rFonts w:ascii="Arial" w:eastAsia="宋体" w:hAnsi="Arial" w:cs="Arial"/>
          <w:color w:val="000000"/>
          <w:sz w:val="7"/>
          <w:szCs w:val="7"/>
        </w:rPr>
        <w:t xml:space="preserve">(2) </w:t>
      </w:r>
      <w:r>
        <w:rPr>
          <w:rFonts w:ascii="Arial" w:eastAsia="宋体" w:hAnsi="Arial" w:cs="Arial"/>
          <w:color w:val="000000"/>
          <w:sz w:val="12"/>
          <w:szCs w:val="12"/>
        </w:rPr>
        <w:t>Includes a CVA which reflects the risk of potential fair value adjustments for credit risk reflected in our valuation of OTC derivative contracts. We used a simple CVA approach in conformity with the Basel III advanced approaches.</w:t>
      </w:r>
    </w:p>
    <w:p w14:paraId="74DE0D72" w14:textId="77777777" w:rsidR="00584EC1" w:rsidRDefault="00871F8D">
      <w:pPr>
        <w:spacing w:before="60"/>
      </w:pPr>
      <w:r>
        <w:rPr>
          <w:rFonts w:ascii="Arial" w:eastAsia="宋体" w:hAnsi="Arial" w:cs="Arial"/>
          <w:color w:val="000000"/>
          <w:sz w:val="7"/>
          <w:szCs w:val="7"/>
        </w:rPr>
        <w:t>(3)</w:t>
      </w:r>
      <w:r>
        <w:rPr>
          <w:rFonts w:ascii="Arial" w:eastAsia="宋体" w:hAnsi="Arial" w:cs="Arial"/>
          <w:color w:val="000000"/>
          <w:sz w:val="12"/>
          <w:szCs w:val="12"/>
        </w:rPr>
        <w:t xml:space="preserve"> Under the current adv</w:t>
      </w:r>
      <w:r>
        <w:rPr>
          <w:rFonts w:ascii="Arial" w:eastAsia="宋体" w:hAnsi="Arial" w:cs="Arial"/>
          <w:color w:val="000000"/>
          <w:sz w:val="12"/>
          <w:szCs w:val="12"/>
        </w:rPr>
        <w:t>anced approaches rules and regulatory guidance concerning operational risk models, RWA attributable to operational risk can vary substantially from period-to-period, without direct correlation to the effects of a particular loss event on our results of ope</w:t>
      </w:r>
      <w:r>
        <w:rPr>
          <w:rFonts w:ascii="Arial" w:eastAsia="宋体" w:hAnsi="Arial" w:cs="Arial"/>
          <w:color w:val="000000"/>
          <w:sz w:val="12"/>
          <w:szCs w:val="12"/>
        </w:rPr>
        <w:t>rations and financial condition and impacting dates and periods that may differ from the dates and periods as of and during which the loss event is reflected in our financial statements, with the timing and categorization dependent on the processes for mod</w:t>
      </w:r>
      <w:r>
        <w:rPr>
          <w:rFonts w:ascii="Arial" w:eastAsia="宋体" w:hAnsi="Arial" w:cs="Arial"/>
          <w:color w:val="000000"/>
          <w:sz w:val="12"/>
          <w:szCs w:val="12"/>
        </w:rPr>
        <w:t>el updates and, if applicable, model revalidation and regulatory review and related supervisory processes. An individual loss event can have a significant effect on the output of our operational RWA under the advanced approaches depending on the severity o</w:t>
      </w:r>
      <w:r>
        <w:rPr>
          <w:rFonts w:ascii="Arial" w:eastAsia="宋体" w:hAnsi="Arial" w:cs="Arial"/>
          <w:color w:val="000000"/>
          <w:sz w:val="12"/>
          <w:szCs w:val="12"/>
        </w:rPr>
        <w:t>f the loss event and its categorization among the seven Basel-defined UOMs.</w:t>
      </w:r>
      <w:r>
        <w:rPr>
          <w:rFonts w:ascii="Arial" w:eastAsia="宋体" w:hAnsi="Arial" w:cs="Arial"/>
          <w:color w:val="000000"/>
          <w:sz w:val="7"/>
          <w:szCs w:val="7"/>
        </w:rPr>
        <w:br/>
        <w:t>(4)</w:t>
      </w:r>
      <w:r>
        <w:rPr>
          <w:rFonts w:ascii="Arial" w:eastAsia="宋体" w:hAnsi="Arial" w:cs="Arial"/>
          <w:color w:val="000000"/>
          <w:sz w:val="12"/>
          <w:szCs w:val="12"/>
        </w:rPr>
        <w:t xml:space="preserve"> Minimum requirements include a CCB of 2.5% and a SCB of 2.5% for the advanced approaches and the standardized approach, respectively, a G-SIB surcharge of 1.0% and a countercyc</w:t>
      </w:r>
      <w:r>
        <w:rPr>
          <w:rFonts w:ascii="Arial" w:eastAsia="宋体" w:hAnsi="Arial" w:cs="Arial"/>
          <w:color w:val="000000"/>
          <w:sz w:val="12"/>
          <w:szCs w:val="12"/>
        </w:rPr>
        <w:t>lical buffer of 0%.</w:t>
      </w:r>
      <w:r>
        <w:rPr>
          <w:rFonts w:ascii="Arial" w:eastAsia="宋体" w:hAnsi="Arial" w:cs="Arial"/>
          <w:color w:val="000000"/>
          <w:sz w:val="7"/>
          <w:szCs w:val="7"/>
        </w:rPr>
        <w:br/>
        <w:t xml:space="preserve">(5) </w:t>
      </w:r>
      <w:r>
        <w:rPr>
          <w:rFonts w:ascii="Arial" w:eastAsia="宋体" w:hAnsi="Arial" w:cs="Arial"/>
          <w:color w:val="000000"/>
          <w:sz w:val="12"/>
          <w:szCs w:val="12"/>
        </w:rPr>
        <w:t>State Street Bank is required to maintain a minimum Tier 1 leverage ratio of 5.0% as it is the insured depository institution subsidiary of State Street Corporation, a U.S. G-SIB.</w:t>
      </w:r>
      <w:r>
        <w:rPr>
          <w:rFonts w:ascii="Arial" w:eastAsia="宋体" w:hAnsi="Arial" w:cs="Arial"/>
          <w:color w:val="000000"/>
          <w:sz w:val="12"/>
          <w:szCs w:val="12"/>
        </w:rPr>
        <w:br/>
      </w:r>
      <w:r>
        <w:rPr>
          <w:rFonts w:ascii="Arial" w:eastAsia="宋体" w:hAnsi="Arial" w:cs="Arial"/>
          <w:color w:val="000000"/>
          <w:sz w:val="7"/>
          <w:szCs w:val="7"/>
        </w:rPr>
        <w:t>NA</w:t>
      </w:r>
      <w:r>
        <w:rPr>
          <w:rFonts w:ascii="Arial" w:eastAsia="宋体" w:hAnsi="Arial" w:cs="Arial"/>
          <w:color w:val="000000"/>
          <w:sz w:val="12"/>
          <w:szCs w:val="12"/>
        </w:rPr>
        <w:t xml:space="preserve"> Not applicable</w:t>
      </w:r>
    </w:p>
    <w:p w14:paraId="74DE0D73" w14:textId="77777777" w:rsidR="00584EC1" w:rsidRDefault="00871F8D">
      <w:pPr>
        <w:ind w:firstLine="450"/>
        <w:jc w:val="right"/>
      </w:pPr>
      <w:r>
        <w:rPr>
          <w:rFonts w:ascii="Arial" w:eastAsia="宋体" w:hAnsi="Arial" w:cs="Arial"/>
          <w:color w:val="000000"/>
          <w:sz w:val="18"/>
          <w:szCs w:val="18"/>
        </w:rPr>
        <w:t>State Street Corporation | 90</w:t>
      </w:r>
    </w:p>
    <w:p w14:paraId="74DE0D74" w14:textId="77777777" w:rsidR="00584EC1" w:rsidRDefault="00584EC1">
      <w:pPr>
        <w:ind w:firstLine="450"/>
        <w:jc w:val="center"/>
      </w:pPr>
    </w:p>
    <w:p w14:paraId="74DE0D75" w14:textId="77777777" w:rsidR="00584EC1" w:rsidRDefault="00871F8D">
      <w:r>
        <w:pict w14:anchorId="74DE2A48">
          <v:rect id="_x0000_i1114" style="width:415.3pt;height:1.5pt" o:hralign="center" o:hrstd="t" o:hr="t" fillcolor="#a0a0a0" stroked="f"/>
        </w:pict>
      </w:r>
    </w:p>
    <w:p w14:paraId="74DE0D76" w14:textId="77777777" w:rsidR="00584EC1" w:rsidRDefault="00871F8D">
      <w:pPr>
        <w:ind w:firstLine="450"/>
        <w:jc w:val="center"/>
      </w:pPr>
      <w:r>
        <w:rPr>
          <w:rFonts w:ascii="Arial" w:eastAsia="宋体" w:hAnsi="Arial" w:cs="Arial"/>
          <w:b/>
          <w:bCs/>
          <w:color w:val="000000"/>
          <w:sz w:val="20"/>
          <w:szCs w:val="20"/>
        </w:rPr>
        <w:t>S</w:t>
      </w:r>
      <w:r>
        <w:rPr>
          <w:rFonts w:ascii="Arial" w:eastAsia="宋体" w:hAnsi="Arial" w:cs="Arial"/>
          <w:b/>
          <w:bCs/>
          <w:color w:val="000000"/>
          <w:sz w:val="20"/>
          <w:szCs w:val="20"/>
        </w:rPr>
        <w:t>TATE STREET CORPORATION</w:t>
      </w:r>
    </w:p>
    <w:p w14:paraId="74DE0D77" w14:textId="77777777" w:rsidR="00584EC1" w:rsidRDefault="00871F8D">
      <w:pPr>
        <w:ind w:firstLine="450"/>
        <w:jc w:val="center"/>
      </w:pPr>
      <w:r>
        <w:rPr>
          <w:rFonts w:ascii="Arial" w:eastAsia="宋体" w:hAnsi="Arial" w:cs="Arial"/>
          <w:b/>
          <w:bCs/>
          <w:color w:val="000000"/>
          <w:sz w:val="20"/>
          <w:szCs w:val="20"/>
        </w:rPr>
        <w:t>CONDENSED NOTES TO CONSOLIDATED FINANCIAL STATEMENTS</w:t>
      </w:r>
    </w:p>
    <w:p w14:paraId="74DE0D78" w14:textId="77777777" w:rsidR="00584EC1" w:rsidRDefault="00871F8D">
      <w:pPr>
        <w:ind w:firstLine="450"/>
        <w:jc w:val="center"/>
      </w:pPr>
      <w:r>
        <w:rPr>
          <w:rFonts w:ascii="Arial" w:eastAsia="宋体" w:hAnsi="Arial" w:cs="Arial"/>
          <w:b/>
          <w:bCs/>
          <w:color w:val="000000"/>
          <w:sz w:val="20"/>
          <w:szCs w:val="20"/>
        </w:rPr>
        <w:t>(UNAUDITED)</w:t>
      </w:r>
    </w:p>
    <w:p w14:paraId="74DE0D79" w14:textId="77777777" w:rsidR="00584EC1" w:rsidRDefault="00871F8D">
      <w:pPr>
        <w:spacing w:before="180"/>
        <w:jc w:val="both"/>
      </w:pPr>
      <w:r>
        <w:rPr>
          <w:rFonts w:ascii="Arial" w:eastAsia="宋体" w:hAnsi="Arial" w:cs="Arial"/>
          <w:b/>
          <w:bCs/>
          <w:color w:val="000000"/>
          <w:sz w:val="20"/>
          <w:szCs w:val="20"/>
        </w:rPr>
        <w:t>Note 14.    Net Interest Income</w:t>
      </w:r>
    </w:p>
    <w:p w14:paraId="74DE0D7A" w14:textId="77777777" w:rsidR="00584EC1" w:rsidRDefault="00871F8D">
      <w:pPr>
        <w:spacing w:before="60"/>
        <w:ind w:firstLine="450"/>
        <w:jc w:val="both"/>
      </w:pPr>
      <w:r>
        <w:rPr>
          <w:rFonts w:ascii="Arial" w:eastAsia="宋体" w:hAnsi="Arial" w:cs="Arial"/>
          <w:color w:val="000000"/>
          <w:sz w:val="20"/>
          <w:szCs w:val="20"/>
        </w:rPr>
        <w:t xml:space="preserve">The following table presents the components of interest income and interest expense, and related NII, for the periods </w:t>
      </w:r>
      <w:r>
        <w:rPr>
          <w:rFonts w:ascii="Arial" w:eastAsia="宋体" w:hAnsi="Arial" w:cs="Arial"/>
          <w:color w:val="000000"/>
          <w:sz w:val="20"/>
          <w:szCs w:val="20"/>
        </w:rPr>
        <w:t>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3004"/>
        <w:gridCol w:w="38"/>
        <w:gridCol w:w="98"/>
        <w:gridCol w:w="1044"/>
        <w:gridCol w:w="36"/>
        <w:gridCol w:w="36"/>
        <w:gridCol w:w="36"/>
        <w:gridCol w:w="36"/>
        <w:gridCol w:w="98"/>
        <w:gridCol w:w="1045"/>
        <w:gridCol w:w="36"/>
        <w:gridCol w:w="36"/>
        <w:gridCol w:w="36"/>
        <w:gridCol w:w="36"/>
        <w:gridCol w:w="98"/>
        <w:gridCol w:w="1045"/>
        <w:gridCol w:w="36"/>
        <w:gridCol w:w="36"/>
        <w:gridCol w:w="36"/>
        <w:gridCol w:w="36"/>
        <w:gridCol w:w="98"/>
        <w:gridCol w:w="1045"/>
        <w:gridCol w:w="36"/>
        <w:gridCol w:w="36"/>
        <w:gridCol w:w="36"/>
        <w:gridCol w:w="36"/>
        <w:gridCol w:w="36"/>
        <w:gridCol w:w="36"/>
        <w:gridCol w:w="36"/>
      </w:tblGrid>
      <w:tr w:rsidR="00584EC1" w14:paraId="74DE0D95" w14:textId="77777777">
        <w:tc>
          <w:tcPr>
            <w:tcW w:w="50" w:type="pct"/>
            <w:shd w:val="clear" w:color="auto" w:fill="auto"/>
            <w:vAlign w:val="bottom"/>
          </w:tcPr>
          <w:p w14:paraId="74DE0D7B" w14:textId="77777777" w:rsidR="00584EC1" w:rsidRDefault="00584EC1">
            <w:pPr>
              <w:rPr>
                <w:rFonts w:ascii="宋体"/>
              </w:rPr>
            </w:pPr>
          </w:p>
        </w:tc>
        <w:tc>
          <w:tcPr>
            <w:tcW w:w="1904" w:type="pct"/>
            <w:shd w:val="clear" w:color="auto" w:fill="auto"/>
            <w:vAlign w:val="bottom"/>
          </w:tcPr>
          <w:p w14:paraId="74DE0D7C" w14:textId="77777777" w:rsidR="00584EC1" w:rsidRDefault="00584EC1">
            <w:pPr>
              <w:rPr>
                <w:rFonts w:ascii="宋体"/>
              </w:rPr>
            </w:pPr>
          </w:p>
        </w:tc>
        <w:tc>
          <w:tcPr>
            <w:tcW w:w="5" w:type="pct"/>
            <w:shd w:val="clear" w:color="auto" w:fill="auto"/>
            <w:vAlign w:val="bottom"/>
          </w:tcPr>
          <w:p w14:paraId="74DE0D7D" w14:textId="77777777" w:rsidR="00584EC1" w:rsidRDefault="00584EC1">
            <w:pPr>
              <w:rPr>
                <w:rFonts w:ascii="宋体"/>
              </w:rPr>
            </w:pPr>
          </w:p>
        </w:tc>
        <w:tc>
          <w:tcPr>
            <w:tcW w:w="50" w:type="pct"/>
            <w:shd w:val="clear" w:color="auto" w:fill="auto"/>
            <w:vAlign w:val="bottom"/>
          </w:tcPr>
          <w:p w14:paraId="74DE0D7E" w14:textId="77777777" w:rsidR="00584EC1" w:rsidRDefault="00584EC1">
            <w:pPr>
              <w:rPr>
                <w:rFonts w:ascii="宋体"/>
              </w:rPr>
            </w:pPr>
          </w:p>
        </w:tc>
        <w:tc>
          <w:tcPr>
            <w:tcW w:w="683" w:type="pct"/>
            <w:shd w:val="clear" w:color="auto" w:fill="auto"/>
            <w:vAlign w:val="bottom"/>
          </w:tcPr>
          <w:p w14:paraId="74DE0D7F" w14:textId="77777777" w:rsidR="00584EC1" w:rsidRDefault="00584EC1">
            <w:pPr>
              <w:rPr>
                <w:rFonts w:ascii="宋体"/>
              </w:rPr>
            </w:pPr>
          </w:p>
        </w:tc>
        <w:tc>
          <w:tcPr>
            <w:tcW w:w="5" w:type="pct"/>
            <w:shd w:val="clear" w:color="auto" w:fill="auto"/>
            <w:vAlign w:val="bottom"/>
          </w:tcPr>
          <w:p w14:paraId="74DE0D80" w14:textId="77777777" w:rsidR="00584EC1" w:rsidRDefault="00584EC1">
            <w:pPr>
              <w:rPr>
                <w:rFonts w:ascii="宋体"/>
              </w:rPr>
            </w:pPr>
          </w:p>
        </w:tc>
        <w:tc>
          <w:tcPr>
            <w:tcW w:w="5" w:type="pct"/>
            <w:shd w:val="clear" w:color="auto" w:fill="auto"/>
            <w:vAlign w:val="bottom"/>
          </w:tcPr>
          <w:p w14:paraId="74DE0D81" w14:textId="77777777" w:rsidR="00584EC1" w:rsidRDefault="00584EC1">
            <w:pPr>
              <w:rPr>
                <w:rFonts w:ascii="宋体"/>
              </w:rPr>
            </w:pPr>
          </w:p>
        </w:tc>
        <w:tc>
          <w:tcPr>
            <w:tcW w:w="19" w:type="pct"/>
            <w:shd w:val="clear" w:color="auto" w:fill="auto"/>
            <w:vAlign w:val="bottom"/>
          </w:tcPr>
          <w:p w14:paraId="74DE0D82" w14:textId="77777777" w:rsidR="00584EC1" w:rsidRDefault="00584EC1">
            <w:pPr>
              <w:rPr>
                <w:rFonts w:ascii="宋体"/>
              </w:rPr>
            </w:pPr>
          </w:p>
        </w:tc>
        <w:tc>
          <w:tcPr>
            <w:tcW w:w="5" w:type="pct"/>
            <w:shd w:val="clear" w:color="auto" w:fill="auto"/>
            <w:vAlign w:val="bottom"/>
          </w:tcPr>
          <w:p w14:paraId="74DE0D83" w14:textId="77777777" w:rsidR="00584EC1" w:rsidRDefault="00584EC1">
            <w:pPr>
              <w:rPr>
                <w:rFonts w:ascii="宋体"/>
              </w:rPr>
            </w:pPr>
          </w:p>
        </w:tc>
        <w:tc>
          <w:tcPr>
            <w:tcW w:w="50" w:type="pct"/>
            <w:shd w:val="clear" w:color="auto" w:fill="auto"/>
            <w:vAlign w:val="bottom"/>
          </w:tcPr>
          <w:p w14:paraId="74DE0D84" w14:textId="77777777" w:rsidR="00584EC1" w:rsidRDefault="00584EC1">
            <w:pPr>
              <w:rPr>
                <w:rFonts w:ascii="宋体"/>
              </w:rPr>
            </w:pPr>
          </w:p>
        </w:tc>
        <w:tc>
          <w:tcPr>
            <w:tcW w:w="683" w:type="pct"/>
            <w:shd w:val="clear" w:color="auto" w:fill="auto"/>
            <w:vAlign w:val="bottom"/>
          </w:tcPr>
          <w:p w14:paraId="74DE0D85" w14:textId="77777777" w:rsidR="00584EC1" w:rsidRDefault="00584EC1">
            <w:pPr>
              <w:rPr>
                <w:rFonts w:ascii="宋体"/>
              </w:rPr>
            </w:pPr>
          </w:p>
        </w:tc>
        <w:tc>
          <w:tcPr>
            <w:tcW w:w="5" w:type="pct"/>
            <w:shd w:val="clear" w:color="auto" w:fill="auto"/>
            <w:vAlign w:val="bottom"/>
          </w:tcPr>
          <w:p w14:paraId="74DE0D86" w14:textId="77777777" w:rsidR="00584EC1" w:rsidRDefault="00584EC1">
            <w:pPr>
              <w:rPr>
                <w:rFonts w:ascii="宋体"/>
              </w:rPr>
            </w:pPr>
          </w:p>
        </w:tc>
        <w:tc>
          <w:tcPr>
            <w:tcW w:w="5" w:type="pct"/>
            <w:shd w:val="clear" w:color="auto" w:fill="auto"/>
            <w:vAlign w:val="bottom"/>
          </w:tcPr>
          <w:p w14:paraId="74DE0D87" w14:textId="77777777" w:rsidR="00584EC1" w:rsidRDefault="00584EC1">
            <w:pPr>
              <w:rPr>
                <w:rFonts w:ascii="宋体"/>
              </w:rPr>
            </w:pPr>
          </w:p>
        </w:tc>
        <w:tc>
          <w:tcPr>
            <w:tcW w:w="19" w:type="pct"/>
            <w:shd w:val="clear" w:color="auto" w:fill="auto"/>
            <w:vAlign w:val="bottom"/>
          </w:tcPr>
          <w:p w14:paraId="74DE0D88" w14:textId="77777777" w:rsidR="00584EC1" w:rsidRDefault="00584EC1">
            <w:pPr>
              <w:rPr>
                <w:rFonts w:ascii="宋体"/>
              </w:rPr>
            </w:pPr>
          </w:p>
        </w:tc>
        <w:tc>
          <w:tcPr>
            <w:tcW w:w="5" w:type="pct"/>
            <w:shd w:val="clear" w:color="auto" w:fill="auto"/>
            <w:vAlign w:val="bottom"/>
          </w:tcPr>
          <w:p w14:paraId="74DE0D89" w14:textId="77777777" w:rsidR="00584EC1" w:rsidRDefault="00584EC1">
            <w:pPr>
              <w:rPr>
                <w:rFonts w:ascii="宋体"/>
              </w:rPr>
            </w:pPr>
          </w:p>
        </w:tc>
        <w:tc>
          <w:tcPr>
            <w:tcW w:w="50" w:type="pct"/>
            <w:shd w:val="clear" w:color="auto" w:fill="auto"/>
            <w:vAlign w:val="bottom"/>
          </w:tcPr>
          <w:p w14:paraId="74DE0D8A" w14:textId="77777777" w:rsidR="00584EC1" w:rsidRDefault="00584EC1">
            <w:pPr>
              <w:rPr>
                <w:rFonts w:ascii="宋体"/>
              </w:rPr>
            </w:pPr>
          </w:p>
        </w:tc>
        <w:tc>
          <w:tcPr>
            <w:tcW w:w="683" w:type="pct"/>
            <w:shd w:val="clear" w:color="auto" w:fill="auto"/>
            <w:vAlign w:val="bottom"/>
          </w:tcPr>
          <w:p w14:paraId="74DE0D8B" w14:textId="77777777" w:rsidR="00584EC1" w:rsidRDefault="00584EC1">
            <w:pPr>
              <w:rPr>
                <w:rFonts w:ascii="宋体"/>
              </w:rPr>
            </w:pPr>
          </w:p>
        </w:tc>
        <w:tc>
          <w:tcPr>
            <w:tcW w:w="5" w:type="pct"/>
            <w:shd w:val="clear" w:color="auto" w:fill="auto"/>
            <w:vAlign w:val="bottom"/>
          </w:tcPr>
          <w:p w14:paraId="74DE0D8C" w14:textId="77777777" w:rsidR="00584EC1" w:rsidRDefault="00584EC1">
            <w:pPr>
              <w:rPr>
                <w:rFonts w:ascii="宋体"/>
              </w:rPr>
            </w:pPr>
          </w:p>
        </w:tc>
        <w:tc>
          <w:tcPr>
            <w:tcW w:w="5" w:type="pct"/>
            <w:shd w:val="clear" w:color="auto" w:fill="auto"/>
            <w:vAlign w:val="bottom"/>
          </w:tcPr>
          <w:p w14:paraId="74DE0D8D" w14:textId="77777777" w:rsidR="00584EC1" w:rsidRDefault="00584EC1">
            <w:pPr>
              <w:rPr>
                <w:rFonts w:ascii="宋体"/>
              </w:rPr>
            </w:pPr>
          </w:p>
        </w:tc>
        <w:tc>
          <w:tcPr>
            <w:tcW w:w="19" w:type="pct"/>
            <w:shd w:val="clear" w:color="auto" w:fill="auto"/>
            <w:vAlign w:val="bottom"/>
          </w:tcPr>
          <w:p w14:paraId="74DE0D8E" w14:textId="77777777" w:rsidR="00584EC1" w:rsidRDefault="00584EC1">
            <w:pPr>
              <w:rPr>
                <w:rFonts w:ascii="宋体"/>
              </w:rPr>
            </w:pPr>
          </w:p>
        </w:tc>
        <w:tc>
          <w:tcPr>
            <w:tcW w:w="5" w:type="pct"/>
            <w:shd w:val="clear" w:color="auto" w:fill="auto"/>
            <w:vAlign w:val="bottom"/>
          </w:tcPr>
          <w:p w14:paraId="74DE0D8F" w14:textId="77777777" w:rsidR="00584EC1" w:rsidRDefault="00584EC1">
            <w:pPr>
              <w:rPr>
                <w:rFonts w:ascii="宋体"/>
              </w:rPr>
            </w:pPr>
          </w:p>
        </w:tc>
        <w:tc>
          <w:tcPr>
            <w:tcW w:w="50" w:type="pct"/>
            <w:shd w:val="clear" w:color="auto" w:fill="auto"/>
            <w:vAlign w:val="bottom"/>
          </w:tcPr>
          <w:p w14:paraId="74DE0D90" w14:textId="77777777" w:rsidR="00584EC1" w:rsidRDefault="00584EC1">
            <w:pPr>
              <w:rPr>
                <w:rFonts w:ascii="宋体"/>
              </w:rPr>
            </w:pPr>
          </w:p>
        </w:tc>
        <w:tc>
          <w:tcPr>
            <w:tcW w:w="683" w:type="pct"/>
            <w:shd w:val="clear" w:color="auto" w:fill="auto"/>
            <w:vAlign w:val="bottom"/>
          </w:tcPr>
          <w:p w14:paraId="74DE0D91" w14:textId="77777777" w:rsidR="00584EC1" w:rsidRDefault="00584EC1">
            <w:pPr>
              <w:rPr>
                <w:rFonts w:ascii="宋体"/>
              </w:rPr>
            </w:pPr>
          </w:p>
        </w:tc>
        <w:tc>
          <w:tcPr>
            <w:tcW w:w="5" w:type="pct"/>
            <w:shd w:val="clear" w:color="auto" w:fill="auto"/>
            <w:vAlign w:val="bottom"/>
          </w:tcPr>
          <w:p w14:paraId="74DE0D92" w14:textId="77777777" w:rsidR="00584EC1" w:rsidRDefault="00584EC1">
            <w:pPr>
              <w:rPr>
                <w:rFonts w:ascii="宋体"/>
              </w:rPr>
            </w:pPr>
          </w:p>
        </w:tc>
        <w:tc>
          <w:tcPr>
            <w:tcW w:w="0" w:type="auto"/>
            <w:gridSpan w:val="3"/>
            <w:shd w:val="clear" w:color="auto" w:fill="auto"/>
            <w:vAlign w:val="bottom"/>
          </w:tcPr>
          <w:p w14:paraId="74DE0D93" w14:textId="77777777" w:rsidR="00584EC1" w:rsidRDefault="00584EC1">
            <w:pPr>
              <w:rPr>
                <w:rFonts w:ascii="宋体"/>
                <w:vanish/>
              </w:rPr>
            </w:pPr>
          </w:p>
        </w:tc>
        <w:tc>
          <w:tcPr>
            <w:tcW w:w="0" w:type="auto"/>
            <w:gridSpan w:val="3"/>
            <w:shd w:val="clear" w:color="auto" w:fill="auto"/>
            <w:vAlign w:val="bottom"/>
          </w:tcPr>
          <w:p w14:paraId="74DE0D94" w14:textId="77777777" w:rsidR="00584EC1" w:rsidRDefault="00584EC1">
            <w:pPr>
              <w:rPr>
                <w:rFonts w:ascii="宋体"/>
                <w:vanish/>
              </w:rPr>
            </w:pPr>
          </w:p>
        </w:tc>
      </w:tr>
      <w:tr w:rsidR="00584EC1" w14:paraId="74DE0DA0" w14:textId="77777777">
        <w:tc>
          <w:tcPr>
            <w:tcW w:w="0" w:type="auto"/>
            <w:gridSpan w:val="3"/>
            <w:shd w:val="clear" w:color="auto" w:fill="auto"/>
            <w:tcMar>
              <w:top w:w="0" w:type="dxa"/>
              <w:left w:w="20" w:type="dxa"/>
              <w:bottom w:w="0" w:type="dxa"/>
              <w:right w:w="20" w:type="dxa"/>
            </w:tcMar>
            <w:vAlign w:val="bottom"/>
          </w:tcPr>
          <w:p w14:paraId="74DE0D96" w14:textId="77777777" w:rsidR="00584EC1" w:rsidRDefault="00584EC1">
            <w:pPr>
              <w:rPr>
                <w:rFonts w:ascii="宋体"/>
              </w:rPr>
            </w:pPr>
          </w:p>
        </w:tc>
        <w:tc>
          <w:tcPr>
            <w:tcW w:w="0" w:type="auto"/>
            <w:gridSpan w:val="9"/>
            <w:shd w:val="clear" w:color="auto" w:fill="auto"/>
            <w:tcMar>
              <w:top w:w="40" w:type="dxa"/>
              <w:left w:w="20" w:type="dxa"/>
              <w:bottom w:w="40" w:type="dxa"/>
              <w:right w:w="20" w:type="dxa"/>
            </w:tcMar>
            <w:vAlign w:val="bottom"/>
          </w:tcPr>
          <w:p w14:paraId="74DE0D97" w14:textId="77777777" w:rsidR="00584EC1" w:rsidRDefault="00871F8D">
            <w:pPr>
              <w:jc w:val="center"/>
              <w:textAlignment w:val="bottom"/>
            </w:pPr>
            <w:r>
              <w:rPr>
                <w:rFonts w:ascii="Arial" w:eastAsia="宋体" w:hAnsi="Arial" w:cs="Arial"/>
                <w:b/>
                <w:bCs/>
                <w:color w:val="000000"/>
                <w:sz w:val="14"/>
                <w:szCs w:val="14"/>
              </w:rPr>
              <w:t>Three Months Ended September 30,</w:t>
            </w:r>
          </w:p>
        </w:tc>
        <w:tc>
          <w:tcPr>
            <w:tcW w:w="0" w:type="auto"/>
            <w:gridSpan w:val="3"/>
            <w:shd w:val="clear" w:color="auto" w:fill="auto"/>
            <w:tcMar>
              <w:top w:w="0" w:type="dxa"/>
              <w:left w:w="20" w:type="dxa"/>
              <w:bottom w:w="0" w:type="dxa"/>
              <w:right w:w="20" w:type="dxa"/>
            </w:tcMar>
            <w:vAlign w:val="bottom"/>
          </w:tcPr>
          <w:p w14:paraId="74DE0D98" w14:textId="77777777" w:rsidR="00584EC1" w:rsidRDefault="00584EC1">
            <w:pPr>
              <w:rPr>
                <w:rFonts w:ascii="宋体"/>
              </w:rPr>
            </w:pPr>
          </w:p>
        </w:tc>
        <w:tc>
          <w:tcPr>
            <w:tcW w:w="0" w:type="auto"/>
            <w:gridSpan w:val="9"/>
            <w:shd w:val="clear" w:color="auto" w:fill="auto"/>
            <w:tcMar>
              <w:top w:w="40" w:type="dxa"/>
              <w:left w:w="20" w:type="dxa"/>
              <w:bottom w:w="40" w:type="dxa"/>
              <w:right w:w="20" w:type="dxa"/>
            </w:tcMar>
            <w:vAlign w:val="bottom"/>
          </w:tcPr>
          <w:p w14:paraId="74DE0D99" w14:textId="77777777" w:rsidR="00584EC1" w:rsidRDefault="00871F8D">
            <w:pPr>
              <w:jc w:val="center"/>
              <w:textAlignment w:val="bottom"/>
            </w:pPr>
            <w:r>
              <w:rPr>
                <w:rFonts w:ascii="Arial" w:eastAsia="宋体" w:hAnsi="Arial" w:cs="Arial"/>
                <w:b/>
                <w:bCs/>
                <w:color w:val="000000"/>
                <w:sz w:val="14"/>
                <w:szCs w:val="14"/>
              </w:rPr>
              <w:t>Nine Months Ended September 30,</w:t>
            </w:r>
          </w:p>
        </w:tc>
        <w:tc>
          <w:tcPr>
            <w:tcW w:w="0" w:type="auto"/>
            <w:shd w:val="clear" w:color="auto" w:fill="auto"/>
            <w:vAlign w:val="bottom"/>
          </w:tcPr>
          <w:p w14:paraId="74DE0D9A" w14:textId="77777777" w:rsidR="00584EC1" w:rsidRDefault="00584EC1">
            <w:pPr>
              <w:rPr>
                <w:rFonts w:ascii="宋体"/>
              </w:rPr>
            </w:pPr>
          </w:p>
        </w:tc>
        <w:tc>
          <w:tcPr>
            <w:tcW w:w="0" w:type="auto"/>
            <w:shd w:val="clear" w:color="auto" w:fill="auto"/>
            <w:vAlign w:val="bottom"/>
          </w:tcPr>
          <w:p w14:paraId="74DE0D9B" w14:textId="77777777" w:rsidR="00584EC1" w:rsidRDefault="00584EC1">
            <w:pPr>
              <w:rPr>
                <w:rFonts w:ascii="宋体"/>
              </w:rPr>
            </w:pPr>
          </w:p>
        </w:tc>
        <w:tc>
          <w:tcPr>
            <w:tcW w:w="0" w:type="auto"/>
            <w:shd w:val="clear" w:color="auto" w:fill="auto"/>
            <w:vAlign w:val="bottom"/>
          </w:tcPr>
          <w:p w14:paraId="74DE0D9C" w14:textId="77777777" w:rsidR="00584EC1" w:rsidRDefault="00584EC1">
            <w:pPr>
              <w:rPr>
                <w:rFonts w:ascii="宋体"/>
              </w:rPr>
            </w:pPr>
          </w:p>
        </w:tc>
        <w:tc>
          <w:tcPr>
            <w:tcW w:w="0" w:type="auto"/>
            <w:shd w:val="clear" w:color="auto" w:fill="auto"/>
            <w:vAlign w:val="bottom"/>
          </w:tcPr>
          <w:p w14:paraId="74DE0D9D" w14:textId="77777777" w:rsidR="00584EC1" w:rsidRDefault="00584EC1">
            <w:pPr>
              <w:rPr>
                <w:rFonts w:ascii="宋体"/>
              </w:rPr>
            </w:pPr>
          </w:p>
        </w:tc>
        <w:tc>
          <w:tcPr>
            <w:tcW w:w="0" w:type="auto"/>
            <w:shd w:val="clear" w:color="auto" w:fill="auto"/>
            <w:vAlign w:val="bottom"/>
          </w:tcPr>
          <w:p w14:paraId="74DE0D9E" w14:textId="77777777" w:rsidR="00584EC1" w:rsidRDefault="00584EC1">
            <w:pPr>
              <w:rPr>
                <w:rFonts w:ascii="宋体"/>
              </w:rPr>
            </w:pPr>
          </w:p>
        </w:tc>
        <w:tc>
          <w:tcPr>
            <w:tcW w:w="0" w:type="auto"/>
            <w:shd w:val="clear" w:color="auto" w:fill="auto"/>
            <w:vAlign w:val="bottom"/>
          </w:tcPr>
          <w:p w14:paraId="74DE0D9F" w14:textId="77777777" w:rsidR="00584EC1" w:rsidRDefault="00584EC1">
            <w:pPr>
              <w:rPr>
                <w:rFonts w:ascii="宋体"/>
              </w:rPr>
            </w:pPr>
          </w:p>
        </w:tc>
      </w:tr>
      <w:tr w:rsidR="00584EC1" w14:paraId="74DE0DAB" w14:textId="77777777">
        <w:tc>
          <w:tcPr>
            <w:tcW w:w="0" w:type="auto"/>
            <w:gridSpan w:val="3"/>
            <w:shd w:val="clear" w:color="auto" w:fill="auto"/>
            <w:tcMar>
              <w:top w:w="40" w:type="dxa"/>
              <w:left w:w="20" w:type="dxa"/>
              <w:bottom w:w="40" w:type="dxa"/>
              <w:right w:w="20" w:type="dxa"/>
            </w:tcMar>
            <w:vAlign w:val="bottom"/>
          </w:tcPr>
          <w:p w14:paraId="74DE0DA1" w14:textId="77777777" w:rsidR="00584EC1" w:rsidRDefault="00871F8D">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0DA2" w14:textId="77777777" w:rsidR="00584EC1" w:rsidRDefault="00871F8D">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0DA3"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0DA4" w14:textId="77777777" w:rsidR="00584EC1" w:rsidRDefault="00871F8D">
            <w:pPr>
              <w:jc w:val="center"/>
              <w:textAlignment w:val="bottom"/>
            </w:pPr>
            <w:r>
              <w:rPr>
                <w:rFonts w:ascii="Arial" w:eastAsia="宋体" w:hAnsi="Arial" w:cs="Arial"/>
                <w:b/>
                <w:bCs/>
                <w:color w:val="000000"/>
                <w:sz w:val="14"/>
                <w:szCs w:val="14"/>
              </w:rPr>
              <w:t>2020</w:t>
            </w:r>
          </w:p>
        </w:tc>
        <w:tc>
          <w:tcPr>
            <w:tcW w:w="0" w:type="auto"/>
            <w:gridSpan w:val="3"/>
            <w:shd w:val="clear" w:color="auto" w:fill="auto"/>
            <w:tcMar>
              <w:top w:w="0" w:type="dxa"/>
              <w:left w:w="20" w:type="dxa"/>
              <w:bottom w:w="0" w:type="dxa"/>
              <w:right w:w="20" w:type="dxa"/>
            </w:tcMar>
            <w:vAlign w:val="bottom"/>
          </w:tcPr>
          <w:p w14:paraId="74DE0DA5"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0DA6" w14:textId="77777777" w:rsidR="00584EC1" w:rsidRDefault="00871F8D">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0DA7"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0DA8" w14:textId="77777777" w:rsidR="00584EC1" w:rsidRDefault="00871F8D">
            <w:pPr>
              <w:jc w:val="center"/>
              <w:textAlignment w:val="bottom"/>
            </w:pPr>
            <w:r>
              <w:rPr>
                <w:rFonts w:ascii="Arial" w:eastAsia="宋体" w:hAnsi="Arial" w:cs="Arial"/>
                <w:b/>
                <w:bCs/>
                <w:color w:val="000000"/>
                <w:sz w:val="14"/>
                <w:szCs w:val="14"/>
              </w:rPr>
              <w:t>2020</w:t>
            </w:r>
          </w:p>
        </w:tc>
        <w:tc>
          <w:tcPr>
            <w:tcW w:w="0" w:type="auto"/>
            <w:gridSpan w:val="3"/>
            <w:shd w:val="clear" w:color="auto" w:fill="auto"/>
            <w:vAlign w:val="bottom"/>
          </w:tcPr>
          <w:p w14:paraId="74DE0DA9" w14:textId="77777777" w:rsidR="00584EC1" w:rsidRDefault="00584EC1">
            <w:pPr>
              <w:rPr>
                <w:rFonts w:ascii="宋体"/>
                <w:vanish/>
              </w:rPr>
            </w:pPr>
          </w:p>
        </w:tc>
        <w:tc>
          <w:tcPr>
            <w:tcW w:w="0" w:type="auto"/>
            <w:gridSpan w:val="3"/>
            <w:shd w:val="clear" w:color="auto" w:fill="auto"/>
            <w:vAlign w:val="bottom"/>
          </w:tcPr>
          <w:p w14:paraId="74DE0DAA" w14:textId="77777777" w:rsidR="00584EC1" w:rsidRDefault="00584EC1">
            <w:pPr>
              <w:rPr>
                <w:rFonts w:ascii="宋体"/>
                <w:vanish/>
              </w:rPr>
            </w:pPr>
          </w:p>
        </w:tc>
      </w:tr>
      <w:tr w:rsidR="00584EC1" w14:paraId="74DE0DB6" w14:textId="77777777">
        <w:tc>
          <w:tcPr>
            <w:tcW w:w="0" w:type="auto"/>
            <w:gridSpan w:val="3"/>
            <w:shd w:val="clear" w:color="auto" w:fill="auto"/>
            <w:tcMar>
              <w:top w:w="40" w:type="dxa"/>
              <w:left w:w="20" w:type="dxa"/>
              <w:bottom w:w="40" w:type="dxa"/>
              <w:right w:w="20" w:type="dxa"/>
            </w:tcMar>
            <w:vAlign w:val="bottom"/>
          </w:tcPr>
          <w:p w14:paraId="74DE0DAC" w14:textId="77777777" w:rsidR="00584EC1" w:rsidRDefault="00871F8D">
            <w:pPr>
              <w:textAlignment w:val="bottom"/>
            </w:pPr>
            <w:r>
              <w:rPr>
                <w:rFonts w:ascii="Arial" w:eastAsia="宋体" w:hAnsi="Arial" w:cs="Arial"/>
                <w:b/>
                <w:bCs/>
                <w:color w:val="000000"/>
                <w:sz w:val="14"/>
                <w:szCs w:val="14"/>
              </w:rPr>
              <w:t>Interest income: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0DAD"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DAE"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0DAF"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DB0"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0DB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0DB2"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0DB3" w14:textId="77777777" w:rsidR="00584EC1" w:rsidRDefault="00584EC1">
            <w:pPr>
              <w:rPr>
                <w:rFonts w:ascii="宋体"/>
              </w:rPr>
            </w:pPr>
          </w:p>
        </w:tc>
        <w:tc>
          <w:tcPr>
            <w:tcW w:w="0" w:type="auto"/>
            <w:gridSpan w:val="3"/>
            <w:shd w:val="clear" w:color="auto" w:fill="auto"/>
            <w:vAlign w:val="bottom"/>
          </w:tcPr>
          <w:p w14:paraId="74DE0DB4" w14:textId="77777777" w:rsidR="00584EC1" w:rsidRDefault="00584EC1">
            <w:pPr>
              <w:rPr>
                <w:rFonts w:ascii="宋体"/>
                <w:vanish/>
              </w:rPr>
            </w:pPr>
          </w:p>
        </w:tc>
        <w:tc>
          <w:tcPr>
            <w:tcW w:w="0" w:type="auto"/>
            <w:gridSpan w:val="3"/>
            <w:shd w:val="clear" w:color="auto" w:fill="auto"/>
            <w:vAlign w:val="bottom"/>
          </w:tcPr>
          <w:p w14:paraId="74DE0DB5" w14:textId="77777777" w:rsidR="00584EC1" w:rsidRDefault="00584EC1">
            <w:pPr>
              <w:rPr>
                <w:rFonts w:ascii="宋体"/>
                <w:vanish/>
              </w:rPr>
            </w:pPr>
          </w:p>
        </w:tc>
      </w:tr>
      <w:tr w:rsidR="00584EC1" w14:paraId="74DE0DC9" w14:textId="77777777">
        <w:tc>
          <w:tcPr>
            <w:tcW w:w="0" w:type="auto"/>
            <w:gridSpan w:val="3"/>
            <w:shd w:val="clear" w:color="auto" w:fill="CCEEFF"/>
            <w:tcMar>
              <w:top w:w="40" w:type="dxa"/>
              <w:left w:w="20" w:type="dxa"/>
              <w:bottom w:w="40" w:type="dxa"/>
              <w:right w:w="20" w:type="dxa"/>
            </w:tcMar>
            <w:vAlign w:val="bottom"/>
          </w:tcPr>
          <w:p w14:paraId="74DE0DB7" w14:textId="77777777" w:rsidR="00584EC1" w:rsidRDefault="00871F8D">
            <w:pPr>
              <w:textAlignment w:val="bottom"/>
            </w:pPr>
            <w:r>
              <w:rPr>
                <w:rFonts w:ascii="Arial" w:eastAsia="宋体" w:hAnsi="Arial" w:cs="Arial"/>
                <w:color w:val="000000"/>
                <w:sz w:val="14"/>
                <w:szCs w:val="14"/>
              </w:rPr>
              <w:t>Interest-bearing deposits with banks</w:t>
            </w:r>
          </w:p>
        </w:tc>
        <w:tc>
          <w:tcPr>
            <w:tcW w:w="0" w:type="auto"/>
            <w:shd w:val="clear" w:color="auto" w:fill="CCEEFF"/>
            <w:tcMar>
              <w:top w:w="40" w:type="dxa"/>
              <w:left w:w="20" w:type="dxa"/>
              <w:bottom w:w="40" w:type="dxa"/>
              <w:right w:w="0" w:type="dxa"/>
            </w:tcMar>
            <w:vAlign w:val="bottom"/>
          </w:tcPr>
          <w:p w14:paraId="74DE0DB8" w14:textId="77777777" w:rsidR="00584EC1" w:rsidRDefault="00871F8D">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4DE0DB9"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E0DB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DBB"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E0DBC"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E0DBD" w14:textId="77777777" w:rsidR="00584EC1" w:rsidRDefault="00871F8D">
            <w:pPr>
              <w:jc w:val="right"/>
              <w:textAlignment w:val="bottom"/>
            </w:pPr>
            <w:r>
              <w:rPr>
                <w:rFonts w:ascii="Arial" w:eastAsia="宋体" w:hAnsi="Arial" w:cs="Arial"/>
                <w:color w:val="000000"/>
                <w:sz w:val="14"/>
                <w:szCs w:val="14"/>
              </w:rPr>
              <w:t>(6)</w:t>
            </w:r>
          </w:p>
        </w:tc>
        <w:tc>
          <w:tcPr>
            <w:tcW w:w="0" w:type="auto"/>
            <w:shd w:val="clear" w:color="auto" w:fill="CCEEFF"/>
            <w:tcMar>
              <w:top w:w="40" w:type="dxa"/>
              <w:left w:w="0" w:type="dxa"/>
              <w:bottom w:w="40" w:type="dxa"/>
              <w:right w:w="20" w:type="dxa"/>
            </w:tcMar>
            <w:vAlign w:val="bottom"/>
          </w:tcPr>
          <w:p w14:paraId="74DE0DB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DBF"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E0DC0" w14:textId="77777777" w:rsidR="00584EC1" w:rsidRDefault="00871F8D">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4DE0DC1" w14:textId="77777777" w:rsidR="00584EC1" w:rsidRDefault="00871F8D">
            <w:pPr>
              <w:jc w:val="right"/>
              <w:textAlignment w:val="bottom"/>
            </w:pPr>
            <w:r>
              <w:rPr>
                <w:rFonts w:ascii="Arial" w:eastAsia="宋体" w:hAnsi="Arial" w:cs="Arial"/>
                <w:b/>
                <w:bCs/>
                <w:color w:val="000000"/>
                <w:sz w:val="14"/>
                <w:szCs w:val="14"/>
              </w:rPr>
              <w:t>(13)</w:t>
            </w:r>
          </w:p>
        </w:tc>
        <w:tc>
          <w:tcPr>
            <w:tcW w:w="0" w:type="auto"/>
            <w:shd w:val="clear" w:color="auto" w:fill="CCEEFF"/>
            <w:tcMar>
              <w:top w:w="40" w:type="dxa"/>
              <w:left w:w="0" w:type="dxa"/>
              <w:bottom w:w="40" w:type="dxa"/>
              <w:right w:w="20" w:type="dxa"/>
            </w:tcMar>
            <w:vAlign w:val="bottom"/>
          </w:tcPr>
          <w:p w14:paraId="74DE0DC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DC3"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E0DC4" w14:textId="77777777" w:rsidR="00584EC1" w:rsidRDefault="00871F8D">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4DE0DC5" w14:textId="77777777" w:rsidR="00584EC1" w:rsidRDefault="00871F8D">
            <w:pPr>
              <w:jc w:val="right"/>
              <w:textAlignment w:val="bottom"/>
            </w:pPr>
            <w:r>
              <w:rPr>
                <w:rFonts w:ascii="Arial" w:eastAsia="宋体" w:hAnsi="Arial" w:cs="Arial"/>
                <w:color w:val="000000"/>
                <w:sz w:val="14"/>
                <w:szCs w:val="14"/>
              </w:rPr>
              <w:t>79 </w:t>
            </w:r>
          </w:p>
        </w:tc>
        <w:tc>
          <w:tcPr>
            <w:tcW w:w="0" w:type="auto"/>
            <w:shd w:val="clear" w:color="auto" w:fill="CCEEFF"/>
            <w:tcMar>
              <w:top w:w="40" w:type="dxa"/>
              <w:left w:w="0" w:type="dxa"/>
              <w:bottom w:w="40" w:type="dxa"/>
              <w:right w:w="20" w:type="dxa"/>
            </w:tcMar>
            <w:vAlign w:val="bottom"/>
          </w:tcPr>
          <w:p w14:paraId="74DE0DC6" w14:textId="77777777" w:rsidR="00584EC1" w:rsidRDefault="00584EC1">
            <w:pPr>
              <w:jc w:val="right"/>
              <w:rPr>
                <w:rFonts w:ascii="宋体"/>
              </w:rPr>
            </w:pPr>
          </w:p>
        </w:tc>
        <w:tc>
          <w:tcPr>
            <w:tcW w:w="0" w:type="auto"/>
            <w:gridSpan w:val="3"/>
            <w:shd w:val="clear" w:color="auto" w:fill="auto"/>
            <w:vAlign w:val="bottom"/>
          </w:tcPr>
          <w:p w14:paraId="74DE0DC7" w14:textId="77777777" w:rsidR="00584EC1" w:rsidRDefault="00584EC1">
            <w:pPr>
              <w:rPr>
                <w:rFonts w:ascii="宋体"/>
                <w:vanish/>
              </w:rPr>
            </w:pPr>
          </w:p>
        </w:tc>
        <w:tc>
          <w:tcPr>
            <w:tcW w:w="0" w:type="auto"/>
            <w:gridSpan w:val="3"/>
            <w:shd w:val="clear" w:color="auto" w:fill="auto"/>
            <w:vAlign w:val="bottom"/>
          </w:tcPr>
          <w:p w14:paraId="74DE0DC8" w14:textId="77777777" w:rsidR="00584EC1" w:rsidRDefault="00584EC1">
            <w:pPr>
              <w:rPr>
                <w:rFonts w:ascii="宋体"/>
                <w:vanish/>
              </w:rPr>
            </w:pPr>
          </w:p>
        </w:tc>
      </w:tr>
      <w:tr w:rsidR="00584EC1" w14:paraId="74DE0DD4" w14:textId="77777777">
        <w:tc>
          <w:tcPr>
            <w:tcW w:w="0" w:type="auto"/>
            <w:gridSpan w:val="3"/>
            <w:shd w:val="clear" w:color="auto" w:fill="FFFFFF"/>
            <w:tcMar>
              <w:top w:w="40" w:type="dxa"/>
              <w:left w:w="20" w:type="dxa"/>
              <w:bottom w:w="40" w:type="dxa"/>
              <w:right w:w="20" w:type="dxa"/>
            </w:tcMar>
            <w:vAlign w:val="bottom"/>
          </w:tcPr>
          <w:p w14:paraId="74DE0DCA" w14:textId="77777777" w:rsidR="00584EC1" w:rsidRDefault="00871F8D">
            <w:pPr>
              <w:textAlignment w:val="bottom"/>
            </w:pPr>
            <w:r>
              <w:rPr>
                <w:rFonts w:ascii="Arial" w:eastAsia="宋体" w:hAnsi="Arial" w:cs="Arial"/>
                <w:color w:val="000000"/>
                <w:sz w:val="14"/>
                <w:szCs w:val="14"/>
              </w:rPr>
              <w:t>Investment securities:</w:t>
            </w:r>
          </w:p>
        </w:tc>
        <w:tc>
          <w:tcPr>
            <w:tcW w:w="0" w:type="auto"/>
            <w:gridSpan w:val="3"/>
            <w:shd w:val="clear" w:color="auto" w:fill="FFFFFF"/>
            <w:tcMar>
              <w:top w:w="0" w:type="dxa"/>
              <w:left w:w="20" w:type="dxa"/>
              <w:bottom w:w="0" w:type="dxa"/>
              <w:right w:w="20" w:type="dxa"/>
            </w:tcMar>
            <w:vAlign w:val="bottom"/>
          </w:tcPr>
          <w:p w14:paraId="74DE0DCB"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E0DCC"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E0DCD"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E0DCE"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E0DCF"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E0DD0" w14:textId="77777777" w:rsidR="00584EC1" w:rsidRDefault="00584EC1">
            <w:pPr>
              <w:rPr>
                <w:rFonts w:ascii="宋体"/>
              </w:rPr>
            </w:pPr>
          </w:p>
        </w:tc>
        <w:tc>
          <w:tcPr>
            <w:tcW w:w="0" w:type="auto"/>
            <w:gridSpan w:val="3"/>
            <w:shd w:val="clear" w:color="auto" w:fill="FFFFFF"/>
            <w:tcMar>
              <w:top w:w="0" w:type="dxa"/>
              <w:left w:w="20" w:type="dxa"/>
              <w:bottom w:w="0" w:type="dxa"/>
              <w:right w:w="20" w:type="dxa"/>
            </w:tcMar>
            <w:vAlign w:val="bottom"/>
          </w:tcPr>
          <w:p w14:paraId="74DE0DD1" w14:textId="77777777" w:rsidR="00584EC1" w:rsidRDefault="00584EC1">
            <w:pPr>
              <w:rPr>
                <w:rFonts w:ascii="宋体"/>
              </w:rPr>
            </w:pPr>
          </w:p>
        </w:tc>
        <w:tc>
          <w:tcPr>
            <w:tcW w:w="0" w:type="auto"/>
            <w:gridSpan w:val="3"/>
            <w:shd w:val="clear" w:color="auto" w:fill="auto"/>
            <w:vAlign w:val="bottom"/>
          </w:tcPr>
          <w:p w14:paraId="74DE0DD2" w14:textId="77777777" w:rsidR="00584EC1" w:rsidRDefault="00584EC1">
            <w:pPr>
              <w:rPr>
                <w:rFonts w:ascii="宋体"/>
                <w:vanish/>
              </w:rPr>
            </w:pPr>
          </w:p>
        </w:tc>
        <w:tc>
          <w:tcPr>
            <w:tcW w:w="0" w:type="auto"/>
            <w:gridSpan w:val="3"/>
            <w:shd w:val="clear" w:color="auto" w:fill="auto"/>
            <w:vAlign w:val="bottom"/>
          </w:tcPr>
          <w:p w14:paraId="74DE0DD3" w14:textId="77777777" w:rsidR="00584EC1" w:rsidRDefault="00584EC1">
            <w:pPr>
              <w:rPr>
                <w:rFonts w:ascii="宋体"/>
                <w:vanish/>
              </w:rPr>
            </w:pPr>
          </w:p>
        </w:tc>
      </w:tr>
      <w:tr w:rsidR="00584EC1" w14:paraId="74DE0DDF" w14:textId="77777777">
        <w:trPr>
          <w:hidden/>
        </w:trPr>
        <w:tc>
          <w:tcPr>
            <w:tcW w:w="0" w:type="auto"/>
            <w:gridSpan w:val="3"/>
            <w:shd w:val="clear" w:color="auto" w:fill="auto"/>
            <w:vAlign w:val="bottom"/>
          </w:tcPr>
          <w:p w14:paraId="74DE0DD5" w14:textId="77777777" w:rsidR="00584EC1" w:rsidRDefault="00584EC1">
            <w:pPr>
              <w:rPr>
                <w:rFonts w:ascii="宋体"/>
                <w:vanish/>
              </w:rPr>
            </w:pPr>
          </w:p>
        </w:tc>
        <w:tc>
          <w:tcPr>
            <w:tcW w:w="0" w:type="auto"/>
            <w:gridSpan w:val="3"/>
            <w:shd w:val="clear" w:color="auto" w:fill="auto"/>
            <w:vAlign w:val="bottom"/>
          </w:tcPr>
          <w:p w14:paraId="74DE0DD6" w14:textId="77777777" w:rsidR="00584EC1" w:rsidRDefault="00584EC1">
            <w:pPr>
              <w:rPr>
                <w:rFonts w:ascii="宋体"/>
                <w:vanish/>
              </w:rPr>
            </w:pPr>
          </w:p>
        </w:tc>
        <w:tc>
          <w:tcPr>
            <w:tcW w:w="0" w:type="auto"/>
            <w:gridSpan w:val="3"/>
            <w:shd w:val="clear" w:color="auto" w:fill="auto"/>
            <w:vAlign w:val="bottom"/>
          </w:tcPr>
          <w:p w14:paraId="74DE0DD7" w14:textId="77777777" w:rsidR="00584EC1" w:rsidRDefault="00584EC1">
            <w:pPr>
              <w:rPr>
                <w:rFonts w:ascii="宋体"/>
                <w:vanish/>
              </w:rPr>
            </w:pPr>
          </w:p>
        </w:tc>
        <w:tc>
          <w:tcPr>
            <w:tcW w:w="0" w:type="auto"/>
            <w:gridSpan w:val="3"/>
            <w:shd w:val="clear" w:color="auto" w:fill="auto"/>
            <w:vAlign w:val="bottom"/>
          </w:tcPr>
          <w:p w14:paraId="74DE0DD8" w14:textId="77777777" w:rsidR="00584EC1" w:rsidRDefault="00584EC1">
            <w:pPr>
              <w:rPr>
                <w:rFonts w:ascii="宋体"/>
                <w:vanish/>
              </w:rPr>
            </w:pPr>
          </w:p>
        </w:tc>
        <w:tc>
          <w:tcPr>
            <w:tcW w:w="0" w:type="auto"/>
            <w:gridSpan w:val="3"/>
            <w:shd w:val="clear" w:color="auto" w:fill="auto"/>
            <w:vAlign w:val="bottom"/>
          </w:tcPr>
          <w:p w14:paraId="74DE0DD9" w14:textId="77777777" w:rsidR="00584EC1" w:rsidRDefault="00584EC1">
            <w:pPr>
              <w:rPr>
                <w:rFonts w:ascii="宋体"/>
                <w:vanish/>
              </w:rPr>
            </w:pPr>
          </w:p>
        </w:tc>
        <w:tc>
          <w:tcPr>
            <w:tcW w:w="0" w:type="auto"/>
            <w:gridSpan w:val="3"/>
            <w:shd w:val="clear" w:color="auto" w:fill="auto"/>
            <w:vAlign w:val="bottom"/>
          </w:tcPr>
          <w:p w14:paraId="74DE0DDA" w14:textId="77777777" w:rsidR="00584EC1" w:rsidRDefault="00584EC1">
            <w:pPr>
              <w:rPr>
                <w:rFonts w:ascii="宋体"/>
                <w:vanish/>
              </w:rPr>
            </w:pPr>
          </w:p>
        </w:tc>
        <w:tc>
          <w:tcPr>
            <w:tcW w:w="0" w:type="auto"/>
            <w:gridSpan w:val="3"/>
            <w:shd w:val="clear" w:color="auto" w:fill="auto"/>
            <w:vAlign w:val="bottom"/>
          </w:tcPr>
          <w:p w14:paraId="74DE0DDB" w14:textId="77777777" w:rsidR="00584EC1" w:rsidRDefault="00584EC1">
            <w:pPr>
              <w:rPr>
                <w:rFonts w:ascii="宋体"/>
                <w:vanish/>
              </w:rPr>
            </w:pPr>
          </w:p>
        </w:tc>
        <w:tc>
          <w:tcPr>
            <w:tcW w:w="0" w:type="auto"/>
            <w:gridSpan w:val="3"/>
            <w:shd w:val="clear" w:color="auto" w:fill="auto"/>
            <w:vAlign w:val="bottom"/>
          </w:tcPr>
          <w:p w14:paraId="74DE0DDC" w14:textId="77777777" w:rsidR="00584EC1" w:rsidRDefault="00584EC1">
            <w:pPr>
              <w:rPr>
                <w:rFonts w:ascii="宋体"/>
                <w:vanish/>
              </w:rPr>
            </w:pPr>
          </w:p>
        </w:tc>
        <w:tc>
          <w:tcPr>
            <w:tcW w:w="0" w:type="auto"/>
            <w:gridSpan w:val="3"/>
            <w:shd w:val="clear" w:color="auto" w:fill="auto"/>
            <w:vAlign w:val="bottom"/>
          </w:tcPr>
          <w:p w14:paraId="74DE0DDD" w14:textId="77777777" w:rsidR="00584EC1" w:rsidRDefault="00584EC1">
            <w:pPr>
              <w:rPr>
                <w:rFonts w:ascii="宋体"/>
                <w:vanish/>
              </w:rPr>
            </w:pPr>
          </w:p>
        </w:tc>
        <w:tc>
          <w:tcPr>
            <w:tcW w:w="0" w:type="auto"/>
            <w:gridSpan w:val="3"/>
            <w:shd w:val="clear" w:color="auto" w:fill="auto"/>
            <w:vAlign w:val="bottom"/>
          </w:tcPr>
          <w:p w14:paraId="74DE0DDE" w14:textId="77777777" w:rsidR="00584EC1" w:rsidRDefault="00584EC1">
            <w:pPr>
              <w:rPr>
                <w:rFonts w:ascii="宋体"/>
                <w:vanish/>
              </w:rPr>
            </w:pPr>
          </w:p>
        </w:tc>
      </w:tr>
      <w:tr w:rsidR="00584EC1" w14:paraId="74DE0DEA" w14:textId="77777777">
        <w:trPr>
          <w:hidden/>
        </w:trPr>
        <w:tc>
          <w:tcPr>
            <w:tcW w:w="0" w:type="auto"/>
            <w:gridSpan w:val="3"/>
            <w:shd w:val="clear" w:color="auto" w:fill="auto"/>
            <w:vAlign w:val="bottom"/>
          </w:tcPr>
          <w:p w14:paraId="74DE0DE0" w14:textId="77777777" w:rsidR="00584EC1" w:rsidRDefault="00584EC1">
            <w:pPr>
              <w:rPr>
                <w:rFonts w:ascii="宋体"/>
                <w:vanish/>
              </w:rPr>
            </w:pPr>
          </w:p>
        </w:tc>
        <w:tc>
          <w:tcPr>
            <w:tcW w:w="0" w:type="auto"/>
            <w:gridSpan w:val="3"/>
            <w:shd w:val="clear" w:color="auto" w:fill="auto"/>
            <w:vAlign w:val="bottom"/>
          </w:tcPr>
          <w:p w14:paraId="74DE0DE1" w14:textId="77777777" w:rsidR="00584EC1" w:rsidRDefault="00584EC1">
            <w:pPr>
              <w:rPr>
                <w:rFonts w:ascii="宋体"/>
                <w:vanish/>
              </w:rPr>
            </w:pPr>
          </w:p>
        </w:tc>
        <w:tc>
          <w:tcPr>
            <w:tcW w:w="0" w:type="auto"/>
            <w:gridSpan w:val="3"/>
            <w:shd w:val="clear" w:color="auto" w:fill="auto"/>
            <w:vAlign w:val="bottom"/>
          </w:tcPr>
          <w:p w14:paraId="74DE0DE2" w14:textId="77777777" w:rsidR="00584EC1" w:rsidRDefault="00584EC1">
            <w:pPr>
              <w:rPr>
                <w:rFonts w:ascii="宋体"/>
                <w:vanish/>
              </w:rPr>
            </w:pPr>
          </w:p>
        </w:tc>
        <w:tc>
          <w:tcPr>
            <w:tcW w:w="0" w:type="auto"/>
            <w:gridSpan w:val="3"/>
            <w:shd w:val="clear" w:color="auto" w:fill="auto"/>
            <w:vAlign w:val="bottom"/>
          </w:tcPr>
          <w:p w14:paraId="74DE0DE3" w14:textId="77777777" w:rsidR="00584EC1" w:rsidRDefault="00584EC1">
            <w:pPr>
              <w:rPr>
                <w:rFonts w:ascii="宋体"/>
                <w:vanish/>
              </w:rPr>
            </w:pPr>
          </w:p>
        </w:tc>
        <w:tc>
          <w:tcPr>
            <w:tcW w:w="0" w:type="auto"/>
            <w:gridSpan w:val="3"/>
            <w:shd w:val="clear" w:color="auto" w:fill="auto"/>
            <w:vAlign w:val="bottom"/>
          </w:tcPr>
          <w:p w14:paraId="74DE0DE4" w14:textId="77777777" w:rsidR="00584EC1" w:rsidRDefault="00584EC1">
            <w:pPr>
              <w:rPr>
                <w:rFonts w:ascii="宋体"/>
                <w:vanish/>
              </w:rPr>
            </w:pPr>
          </w:p>
        </w:tc>
        <w:tc>
          <w:tcPr>
            <w:tcW w:w="0" w:type="auto"/>
            <w:gridSpan w:val="3"/>
            <w:shd w:val="clear" w:color="auto" w:fill="auto"/>
            <w:vAlign w:val="bottom"/>
          </w:tcPr>
          <w:p w14:paraId="74DE0DE5" w14:textId="77777777" w:rsidR="00584EC1" w:rsidRDefault="00584EC1">
            <w:pPr>
              <w:rPr>
                <w:rFonts w:ascii="宋体"/>
                <w:vanish/>
              </w:rPr>
            </w:pPr>
          </w:p>
        </w:tc>
        <w:tc>
          <w:tcPr>
            <w:tcW w:w="0" w:type="auto"/>
            <w:gridSpan w:val="3"/>
            <w:shd w:val="clear" w:color="auto" w:fill="auto"/>
            <w:vAlign w:val="bottom"/>
          </w:tcPr>
          <w:p w14:paraId="74DE0DE6" w14:textId="77777777" w:rsidR="00584EC1" w:rsidRDefault="00584EC1">
            <w:pPr>
              <w:rPr>
                <w:rFonts w:ascii="宋体"/>
                <w:vanish/>
              </w:rPr>
            </w:pPr>
          </w:p>
        </w:tc>
        <w:tc>
          <w:tcPr>
            <w:tcW w:w="0" w:type="auto"/>
            <w:gridSpan w:val="3"/>
            <w:shd w:val="clear" w:color="auto" w:fill="auto"/>
            <w:vAlign w:val="bottom"/>
          </w:tcPr>
          <w:p w14:paraId="74DE0DE7" w14:textId="77777777" w:rsidR="00584EC1" w:rsidRDefault="00584EC1">
            <w:pPr>
              <w:rPr>
                <w:rFonts w:ascii="宋体"/>
                <w:vanish/>
              </w:rPr>
            </w:pPr>
          </w:p>
        </w:tc>
        <w:tc>
          <w:tcPr>
            <w:tcW w:w="0" w:type="auto"/>
            <w:gridSpan w:val="3"/>
            <w:shd w:val="clear" w:color="auto" w:fill="auto"/>
            <w:vAlign w:val="bottom"/>
          </w:tcPr>
          <w:p w14:paraId="74DE0DE8" w14:textId="77777777" w:rsidR="00584EC1" w:rsidRDefault="00584EC1">
            <w:pPr>
              <w:rPr>
                <w:rFonts w:ascii="宋体"/>
                <w:vanish/>
              </w:rPr>
            </w:pPr>
          </w:p>
        </w:tc>
        <w:tc>
          <w:tcPr>
            <w:tcW w:w="0" w:type="auto"/>
            <w:gridSpan w:val="3"/>
            <w:shd w:val="clear" w:color="auto" w:fill="auto"/>
            <w:vAlign w:val="bottom"/>
          </w:tcPr>
          <w:p w14:paraId="74DE0DE9" w14:textId="77777777" w:rsidR="00584EC1" w:rsidRDefault="00584EC1">
            <w:pPr>
              <w:rPr>
                <w:rFonts w:ascii="宋体"/>
                <w:vanish/>
              </w:rPr>
            </w:pPr>
          </w:p>
        </w:tc>
      </w:tr>
      <w:tr w:rsidR="00584EC1" w14:paraId="74DE0DF5" w14:textId="77777777">
        <w:trPr>
          <w:hidden/>
        </w:trPr>
        <w:tc>
          <w:tcPr>
            <w:tcW w:w="0" w:type="auto"/>
            <w:gridSpan w:val="3"/>
            <w:shd w:val="clear" w:color="auto" w:fill="auto"/>
            <w:vAlign w:val="bottom"/>
          </w:tcPr>
          <w:p w14:paraId="74DE0DEB" w14:textId="77777777" w:rsidR="00584EC1" w:rsidRDefault="00584EC1">
            <w:pPr>
              <w:rPr>
                <w:rFonts w:ascii="宋体"/>
                <w:vanish/>
              </w:rPr>
            </w:pPr>
          </w:p>
        </w:tc>
        <w:tc>
          <w:tcPr>
            <w:tcW w:w="0" w:type="auto"/>
            <w:gridSpan w:val="3"/>
            <w:shd w:val="clear" w:color="auto" w:fill="auto"/>
            <w:vAlign w:val="bottom"/>
          </w:tcPr>
          <w:p w14:paraId="74DE0DEC" w14:textId="77777777" w:rsidR="00584EC1" w:rsidRDefault="00584EC1">
            <w:pPr>
              <w:rPr>
                <w:rFonts w:ascii="宋体"/>
                <w:vanish/>
              </w:rPr>
            </w:pPr>
          </w:p>
        </w:tc>
        <w:tc>
          <w:tcPr>
            <w:tcW w:w="0" w:type="auto"/>
            <w:gridSpan w:val="3"/>
            <w:shd w:val="clear" w:color="auto" w:fill="auto"/>
            <w:vAlign w:val="bottom"/>
          </w:tcPr>
          <w:p w14:paraId="74DE0DED" w14:textId="77777777" w:rsidR="00584EC1" w:rsidRDefault="00584EC1">
            <w:pPr>
              <w:rPr>
                <w:rFonts w:ascii="宋体"/>
                <w:vanish/>
              </w:rPr>
            </w:pPr>
          </w:p>
        </w:tc>
        <w:tc>
          <w:tcPr>
            <w:tcW w:w="0" w:type="auto"/>
            <w:gridSpan w:val="3"/>
            <w:shd w:val="clear" w:color="auto" w:fill="auto"/>
            <w:vAlign w:val="bottom"/>
          </w:tcPr>
          <w:p w14:paraId="74DE0DEE" w14:textId="77777777" w:rsidR="00584EC1" w:rsidRDefault="00584EC1">
            <w:pPr>
              <w:rPr>
                <w:rFonts w:ascii="宋体"/>
                <w:vanish/>
              </w:rPr>
            </w:pPr>
          </w:p>
        </w:tc>
        <w:tc>
          <w:tcPr>
            <w:tcW w:w="0" w:type="auto"/>
            <w:gridSpan w:val="3"/>
            <w:shd w:val="clear" w:color="auto" w:fill="auto"/>
            <w:vAlign w:val="bottom"/>
          </w:tcPr>
          <w:p w14:paraId="74DE0DEF" w14:textId="77777777" w:rsidR="00584EC1" w:rsidRDefault="00584EC1">
            <w:pPr>
              <w:rPr>
                <w:rFonts w:ascii="宋体"/>
                <w:vanish/>
              </w:rPr>
            </w:pPr>
          </w:p>
        </w:tc>
        <w:tc>
          <w:tcPr>
            <w:tcW w:w="0" w:type="auto"/>
            <w:gridSpan w:val="3"/>
            <w:shd w:val="clear" w:color="auto" w:fill="auto"/>
            <w:vAlign w:val="bottom"/>
          </w:tcPr>
          <w:p w14:paraId="74DE0DF0" w14:textId="77777777" w:rsidR="00584EC1" w:rsidRDefault="00584EC1">
            <w:pPr>
              <w:rPr>
                <w:rFonts w:ascii="宋体"/>
                <w:vanish/>
              </w:rPr>
            </w:pPr>
          </w:p>
        </w:tc>
        <w:tc>
          <w:tcPr>
            <w:tcW w:w="0" w:type="auto"/>
            <w:gridSpan w:val="3"/>
            <w:shd w:val="clear" w:color="auto" w:fill="auto"/>
            <w:vAlign w:val="bottom"/>
          </w:tcPr>
          <w:p w14:paraId="74DE0DF1" w14:textId="77777777" w:rsidR="00584EC1" w:rsidRDefault="00584EC1">
            <w:pPr>
              <w:rPr>
                <w:rFonts w:ascii="宋体"/>
                <w:vanish/>
              </w:rPr>
            </w:pPr>
          </w:p>
        </w:tc>
        <w:tc>
          <w:tcPr>
            <w:tcW w:w="0" w:type="auto"/>
            <w:gridSpan w:val="3"/>
            <w:shd w:val="clear" w:color="auto" w:fill="auto"/>
            <w:vAlign w:val="bottom"/>
          </w:tcPr>
          <w:p w14:paraId="74DE0DF2" w14:textId="77777777" w:rsidR="00584EC1" w:rsidRDefault="00584EC1">
            <w:pPr>
              <w:rPr>
                <w:rFonts w:ascii="宋体"/>
                <w:vanish/>
              </w:rPr>
            </w:pPr>
          </w:p>
        </w:tc>
        <w:tc>
          <w:tcPr>
            <w:tcW w:w="0" w:type="auto"/>
            <w:gridSpan w:val="3"/>
            <w:shd w:val="clear" w:color="auto" w:fill="auto"/>
            <w:vAlign w:val="bottom"/>
          </w:tcPr>
          <w:p w14:paraId="74DE0DF3" w14:textId="77777777" w:rsidR="00584EC1" w:rsidRDefault="00584EC1">
            <w:pPr>
              <w:rPr>
                <w:rFonts w:ascii="宋体"/>
                <w:vanish/>
              </w:rPr>
            </w:pPr>
          </w:p>
        </w:tc>
        <w:tc>
          <w:tcPr>
            <w:tcW w:w="0" w:type="auto"/>
            <w:gridSpan w:val="3"/>
            <w:shd w:val="clear" w:color="auto" w:fill="auto"/>
            <w:vAlign w:val="bottom"/>
          </w:tcPr>
          <w:p w14:paraId="74DE0DF4" w14:textId="77777777" w:rsidR="00584EC1" w:rsidRDefault="00584EC1">
            <w:pPr>
              <w:rPr>
                <w:rFonts w:ascii="宋体"/>
                <w:vanish/>
              </w:rPr>
            </w:pPr>
          </w:p>
        </w:tc>
      </w:tr>
      <w:tr w:rsidR="00584EC1" w14:paraId="74DE0E04" w14:textId="77777777">
        <w:tc>
          <w:tcPr>
            <w:tcW w:w="0" w:type="auto"/>
            <w:gridSpan w:val="3"/>
            <w:shd w:val="clear" w:color="auto" w:fill="CCEEFF"/>
            <w:tcMar>
              <w:top w:w="40" w:type="dxa"/>
              <w:left w:w="140" w:type="dxa"/>
              <w:bottom w:w="40" w:type="dxa"/>
              <w:right w:w="20" w:type="dxa"/>
            </w:tcMar>
            <w:vAlign w:val="bottom"/>
          </w:tcPr>
          <w:p w14:paraId="74DE0DF6" w14:textId="77777777" w:rsidR="00584EC1" w:rsidRDefault="00871F8D">
            <w:pPr>
              <w:textAlignment w:val="bottom"/>
            </w:pPr>
            <w:r>
              <w:rPr>
                <w:rFonts w:ascii="Arial" w:eastAsia="宋体" w:hAnsi="Arial" w:cs="Arial"/>
                <w:color w:val="000000"/>
                <w:sz w:val="14"/>
                <w:szCs w:val="14"/>
              </w:rPr>
              <w:t>Investment securities available-for-sale</w:t>
            </w:r>
          </w:p>
        </w:tc>
        <w:tc>
          <w:tcPr>
            <w:tcW w:w="0" w:type="auto"/>
            <w:gridSpan w:val="2"/>
            <w:shd w:val="clear" w:color="auto" w:fill="CCEEFF"/>
            <w:tcMar>
              <w:top w:w="40" w:type="dxa"/>
              <w:left w:w="20" w:type="dxa"/>
              <w:bottom w:w="40" w:type="dxa"/>
              <w:right w:w="0" w:type="dxa"/>
            </w:tcMar>
            <w:vAlign w:val="bottom"/>
          </w:tcPr>
          <w:p w14:paraId="74DE0DF7" w14:textId="77777777" w:rsidR="00584EC1" w:rsidRDefault="00871F8D">
            <w:pPr>
              <w:jc w:val="right"/>
              <w:textAlignment w:val="bottom"/>
            </w:pPr>
            <w:r>
              <w:rPr>
                <w:rFonts w:ascii="Arial" w:eastAsia="宋体" w:hAnsi="Arial" w:cs="Arial"/>
                <w:b/>
                <w:bCs/>
                <w:color w:val="000000"/>
                <w:sz w:val="14"/>
                <w:szCs w:val="14"/>
              </w:rPr>
              <w:t>150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E0DF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DF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DFA" w14:textId="77777777" w:rsidR="00584EC1" w:rsidRDefault="00871F8D">
            <w:pPr>
              <w:jc w:val="right"/>
              <w:textAlignment w:val="bottom"/>
            </w:pPr>
            <w:r>
              <w:rPr>
                <w:rFonts w:ascii="Arial" w:eastAsia="宋体" w:hAnsi="Arial" w:cs="Arial"/>
                <w:color w:val="000000"/>
                <w:sz w:val="14"/>
                <w:szCs w:val="14"/>
              </w:rPr>
              <w:t>169 </w:t>
            </w:r>
          </w:p>
        </w:tc>
        <w:tc>
          <w:tcPr>
            <w:tcW w:w="0" w:type="auto"/>
            <w:shd w:val="clear" w:color="auto" w:fill="CCEEFF"/>
            <w:tcMar>
              <w:top w:w="40" w:type="dxa"/>
              <w:left w:w="0" w:type="dxa"/>
              <w:bottom w:w="40" w:type="dxa"/>
              <w:right w:w="20" w:type="dxa"/>
            </w:tcMar>
            <w:vAlign w:val="bottom"/>
          </w:tcPr>
          <w:p w14:paraId="74DE0DF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DFC"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DFD" w14:textId="77777777" w:rsidR="00584EC1" w:rsidRDefault="00871F8D">
            <w:pPr>
              <w:jc w:val="right"/>
              <w:textAlignment w:val="bottom"/>
            </w:pPr>
            <w:r>
              <w:rPr>
                <w:rFonts w:ascii="Arial" w:eastAsia="宋体" w:hAnsi="Arial" w:cs="Arial"/>
                <w:b/>
                <w:bCs/>
                <w:color w:val="000000"/>
                <w:sz w:val="14"/>
                <w:szCs w:val="14"/>
              </w:rPr>
              <w:t>435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E0DF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DFF"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E00" w14:textId="77777777" w:rsidR="00584EC1" w:rsidRDefault="00871F8D">
            <w:pPr>
              <w:jc w:val="right"/>
              <w:textAlignment w:val="bottom"/>
            </w:pPr>
            <w:r>
              <w:rPr>
                <w:rFonts w:ascii="Arial" w:eastAsia="宋体" w:hAnsi="Arial" w:cs="Arial"/>
                <w:color w:val="000000"/>
                <w:sz w:val="14"/>
                <w:szCs w:val="14"/>
              </w:rPr>
              <w:t>609 </w:t>
            </w:r>
          </w:p>
        </w:tc>
        <w:tc>
          <w:tcPr>
            <w:tcW w:w="0" w:type="auto"/>
            <w:shd w:val="clear" w:color="auto" w:fill="CCEEFF"/>
            <w:tcMar>
              <w:top w:w="40" w:type="dxa"/>
              <w:left w:w="0" w:type="dxa"/>
              <w:bottom w:w="40" w:type="dxa"/>
              <w:right w:w="20" w:type="dxa"/>
            </w:tcMar>
            <w:vAlign w:val="bottom"/>
          </w:tcPr>
          <w:p w14:paraId="74DE0E01" w14:textId="77777777" w:rsidR="00584EC1" w:rsidRDefault="00584EC1">
            <w:pPr>
              <w:jc w:val="right"/>
              <w:rPr>
                <w:rFonts w:ascii="宋体"/>
              </w:rPr>
            </w:pPr>
          </w:p>
        </w:tc>
        <w:tc>
          <w:tcPr>
            <w:tcW w:w="0" w:type="auto"/>
            <w:gridSpan w:val="3"/>
            <w:shd w:val="clear" w:color="auto" w:fill="auto"/>
            <w:vAlign w:val="bottom"/>
          </w:tcPr>
          <w:p w14:paraId="74DE0E02" w14:textId="77777777" w:rsidR="00584EC1" w:rsidRDefault="00584EC1">
            <w:pPr>
              <w:rPr>
                <w:rFonts w:ascii="宋体"/>
                <w:vanish/>
              </w:rPr>
            </w:pPr>
          </w:p>
        </w:tc>
        <w:tc>
          <w:tcPr>
            <w:tcW w:w="0" w:type="auto"/>
            <w:gridSpan w:val="3"/>
            <w:shd w:val="clear" w:color="auto" w:fill="auto"/>
            <w:vAlign w:val="bottom"/>
          </w:tcPr>
          <w:p w14:paraId="74DE0E03" w14:textId="77777777" w:rsidR="00584EC1" w:rsidRDefault="00584EC1">
            <w:pPr>
              <w:rPr>
                <w:rFonts w:ascii="宋体"/>
                <w:vanish/>
              </w:rPr>
            </w:pPr>
          </w:p>
        </w:tc>
      </w:tr>
      <w:tr w:rsidR="00584EC1" w14:paraId="74DE0E13" w14:textId="77777777">
        <w:tc>
          <w:tcPr>
            <w:tcW w:w="0" w:type="auto"/>
            <w:gridSpan w:val="3"/>
            <w:shd w:val="clear" w:color="auto" w:fill="FFFFFF"/>
            <w:tcMar>
              <w:top w:w="40" w:type="dxa"/>
              <w:left w:w="140" w:type="dxa"/>
              <w:bottom w:w="40" w:type="dxa"/>
              <w:right w:w="20" w:type="dxa"/>
            </w:tcMar>
            <w:vAlign w:val="bottom"/>
          </w:tcPr>
          <w:p w14:paraId="74DE0E05" w14:textId="77777777" w:rsidR="00584EC1" w:rsidRDefault="00871F8D">
            <w:pPr>
              <w:textAlignment w:val="bottom"/>
            </w:pPr>
            <w:r>
              <w:rPr>
                <w:rFonts w:ascii="Arial" w:eastAsia="宋体" w:hAnsi="Arial" w:cs="Arial"/>
                <w:color w:val="000000"/>
                <w:sz w:val="14"/>
                <w:szCs w:val="14"/>
              </w:rPr>
              <w:t>Investment securities held-to-maturity</w:t>
            </w:r>
          </w:p>
        </w:tc>
        <w:tc>
          <w:tcPr>
            <w:tcW w:w="0" w:type="auto"/>
            <w:gridSpan w:val="2"/>
            <w:shd w:val="clear" w:color="auto" w:fill="FFFFFF"/>
            <w:tcMar>
              <w:top w:w="40" w:type="dxa"/>
              <w:left w:w="20" w:type="dxa"/>
              <w:bottom w:w="40" w:type="dxa"/>
              <w:right w:w="0" w:type="dxa"/>
            </w:tcMar>
            <w:vAlign w:val="bottom"/>
          </w:tcPr>
          <w:p w14:paraId="74DE0E06" w14:textId="77777777" w:rsidR="00584EC1" w:rsidRDefault="00871F8D">
            <w:pPr>
              <w:jc w:val="right"/>
              <w:textAlignment w:val="bottom"/>
            </w:pPr>
            <w:r>
              <w:rPr>
                <w:rFonts w:ascii="Arial" w:eastAsia="宋体" w:hAnsi="Arial" w:cs="Arial"/>
                <w:b/>
                <w:bCs/>
                <w:color w:val="000000"/>
                <w:sz w:val="14"/>
                <w:szCs w:val="14"/>
              </w:rPr>
              <w:t>158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E0E0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E08"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E09" w14:textId="77777777" w:rsidR="00584EC1" w:rsidRDefault="00871F8D">
            <w:pPr>
              <w:jc w:val="right"/>
              <w:textAlignment w:val="bottom"/>
            </w:pPr>
            <w:r>
              <w:rPr>
                <w:rFonts w:ascii="Arial" w:eastAsia="宋体" w:hAnsi="Arial" w:cs="Arial"/>
                <w:color w:val="000000"/>
                <w:sz w:val="14"/>
                <w:szCs w:val="14"/>
              </w:rPr>
              <w:t>171 </w:t>
            </w:r>
          </w:p>
        </w:tc>
        <w:tc>
          <w:tcPr>
            <w:tcW w:w="0" w:type="auto"/>
            <w:shd w:val="clear" w:color="auto" w:fill="FFFFFF"/>
            <w:tcMar>
              <w:top w:w="40" w:type="dxa"/>
              <w:left w:w="0" w:type="dxa"/>
              <w:bottom w:w="40" w:type="dxa"/>
              <w:right w:w="20" w:type="dxa"/>
            </w:tcMar>
            <w:vAlign w:val="bottom"/>
          </w:tcPr>
          <w:p w14:paraId="74DE0E0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E0B"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E0C" w14:textId="77777777" w:rsidR="00584EC1" w:rsidRDefault="00871F8D">
            <w:pPr>
              <w:jc w:val="right"/>
              <w:textAlignment w:val="bottom"/>
            </w:pPr>
            <w:r>
              <w:rPr>
                <w:rFonts w:ascii="Arial" w:eastAsia="宋体" w:hAnsi="Arial" w:cs="Arial"/>
                <w:b/>
                <w:bCs/>
                <w:color w:val="000000"/>
                <w:sz w:val="14"/>
                <w:szCs w:val="14"/>
              </w:rPr>
              <w:t>501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E0E0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E0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E0F" w14:textId="77777777" w:rsidR="00584EC1" w:rsidRDefault="00871F8D">
            <w:pPr>
              <w:jc w:val="right"/>
              <w:textAlignment w:val="bottom"/>
            </w:pPr>
            <w:r>
              <w:rPr>
                <w:rFonts w:ascii="Arial" w:eastAsia="宋体" w:hAnsi="Arial" w:cs="Arial"/>
                <w:color w:val="000000"/>
                <w:sz w:val="14"/>
                <w:szCs w:val="14"/>
              </w:rPr>
              <w:t>631 </w:t>
            </w:r>
          </w:p>
        </w:tc>
        <w:tc>
          <w:tcPr>
            <w:tcW w:w="0" w:type="auto"/>
            <w:shd w:val="clear" w:color="auto" w:fill="FFFFFF"/>
            <w:tcMar>
              <w:top w:w="40" w:type="dxa"/>
              <w:left w:w="0" w:type="dxa"/>
              <w:bottom w:w="40" w:type="dxa"/>
              <w:right w:w="20" w:type="dxa"/>
            </w:tcMar>
            <w:vAlign w:val="bottom"/>
          </w:tcPr>
          <w:p w14:paraId="74DE0E10" w14:textId="77777777" w:rsidR="00584EC1" w:rsidRDefault="00584EC1">
            <w:pPr>
              <w:jc w:val="right"/>
              <w:rPr>
                <w:rFonts w:ascii="宋体"/>
              </w:rPr>
            </w:pPr>
          </w:p>
        </w:tc>
        <w:tc>
          <w:tcPr>
            <w:tcW w:w="0" w:type="auto"/>
            <w:gridSpan w:val="3"/>
            <w:shd w:val="clear" w:color="auto" w:fill="auto"/>
            <w:vAlign w:val="bottom"/>
          </w:tcPr>
          <w:p w14:paraId="74DE0E11" w14:textId="77777777" w:rsidR="00584EC1" w:rsidRDefault="00584EC1">
            <w:pPr>
              <w:rPr>
                <w:rFonts w:ascii="宋体"/>
                <w:vanish/>
              </w:rPr>
            </w:pPr>
          </w:p>
        </w:tc>
        <w:tc>
          <w:tcPr>
            <w:tcW w:w="0" w:type="auto"/>
            <w:gridSpan w:val="3"/>
            <w:shd w:val="clear" w:color="auto" w:fill="auto"/>
            <w:vAlign w:val="bottom"/>
          </w:tcPr>
          <w:p w14:paraId="74DE0E12" w14:textId="77777777" w:rsidR="00584EC1" w:rsidRDefault="00584EC1">
            <w:pPr>
              <w:rPr>
                <w:rFonts w:ascii="宋体"/>
                <w:vanish/>
              </w:rPr>
            </w:pPr>
          </w:p>
        </w:tc>
      </w:tr>
      <w:tr w:rsidR="00584EC1" w14:paraId="74DE0E22" w14:textId="77777777">
        <w:tc>
          <w:tcPr>
            <w:tcW w:w="0" w:type="auto"/>
            <w:gridSpan w:val="3"/>
            <w:shd w:val="clear" w:color="auto" w:fill="CCEEFF"/>
            <w:tcMar>
              <w:top w:w="40" w:type="dxa"/>
              <w:left w:w="155" w:type="dxa"/>
              <w:bottom w:w="40" w:type="dxa"/>
              <w:right w:w="20" w:type="dxa"/>
            </w:tcMar>
            <w:vAlign w:val="bottom"/>
          </w:tcPr>
          <w:p w14:paraId="74DE0E14" w14:textId="77777777" w:rsidR="00584EC1" w:rsidRDefault="00871F8D">
            <w:pPr>
              <w:textAlignment w:val="bottom"/>
            </w:pPr>
            <w:r>
              <w:rPr>
                <w:rFonts w:ascii="Arial" w:eastAsia="宋体" w:hAnsi="Arial" w:cs="Arial"/>
                <w:color w:val="000000"/>
                <w:sz w:val="14"/>
                <w:szCs w:val="14"/>
              </w:rPr>
              <w:t>Investment securities purchased under money market liquidity facility</w:t>
            </w:r>
          </w:p>
        </w:tc>
        <w:tc>
          <w:tcPr>
            <w:tcW w:w="0" w:type="auto"/>
            <w:gridSpan w:val="2"/>
            <w:shd w:val="clear" w:color="auto" w:fill="CCEEFF"/>
            <w:tcMar>
              <w:top w:w="40" w:type="dxa"/>
              <w:left w:w="20" w:type="dxa"/>
              <w:bottom w:w="40" w:type="dxa"/>
              <w:right w:w="0" w:type="dxa"/>
            </w:tcMar>
            <w:vAlign w:val="bottom"/>
          </w:tcPr>
          <w:p w14:paraId="74DE0E15"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E0E1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E1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E18" w14:textId="77777777" w:rsidR="00584EC1" w:rsidRDefault="00871F8D">
            <w:pPr>
              <w:jc w:val="right"/>
              <w:textAlignment w:val="bottom"/>
            </w:pPr>
            <w:r>
              <w:rPr>
                <w:rFonts w:ascii="Arial" w:eastAsia="宋体" w:hAnsi="Arial" w:cs="Arial"/>
                <w:color w:val="000000"/>
                <w:sz w:val="14"/>
                <w:szCs w:val="14"/>
              </w:rPr>
              <w:t>25 </w:t>
            </w:r>
          </w:p>
        </w:tc>
        <w:tc>
          <w:tcPr>
            <w:tcW w:w="0" w:type="auto"/>
            <w:shd w:val="clear" w:color="auto" w:fill="CCEEFF"/>
            <w:tcMar>
              <w:top w:w="40" w:type="dxa"/>
              <w:left w:w="0" w:type="dxa"/>
              <w:bottom w:w="40" w:type="dxa"/>
              <w:right w:w="20" w:type="dxa"/>
            </w:tcMar>
            <w:vAlign w:val="bottom"/>
          </w:tcPr>
          <w:p w14:paraId="74DE0E1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E1A"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E1B" w14:textId="77777777" w:rsidR="00584EC1" w:rsidRDefault="00871F8D">
            <w:pPr>
              <w:jc w:val="right"/>
              <w:textAlignment w:val="bottom"/>
            </w:pPr>
            <w:r>
              <w:rPr>
                <w:rFonts w:ascii="Arial" w:eastAsia="宋体" w:hAnsi="Arial" w:cs="Arial"/>
                <w:b/>
                <w:bCs/>
                <w:color w:val="000000"/>
                <w:sz w:val="14"/>
                <w:szCs w:val="14"/>
              </w:rPr>
              <w:t>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E0E1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E1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E1E" w14:textId="77777777" w:rsidR="00584EC1" w:rsidRDefault="00871F8D">
            <w:pPr>
              <w:jc w:val="right"/>
              <w:textAlignment w:val="bottom"/>
            </w:pPr>
            <w:r>
              <w:rPr>
                <w:rFonts w:ascii="Arial" w:eastAsia="宋体" w:hAnsi="Arial" w:cs="Arial"/>
                <w:color w:val="000000"/>
                <w:sz w:val="14"/>
                <w:szCs w:val="14"/>
              </w:rPr>
              <w:t>103 </w:t>
            </w:r>
          </w:p>
        </w:tc>
        <w:tc>
          <w:tcPr>
            <w:tcW w:w="0" w:type="auto"/>
            <w:shd w:val="clear" w:color="auto" w:fill="CCEEFF"/>
            <w:tcMar>
              <w:top w:w="40" w:type="dxa"/>
              <w:left w:w="0" w:type="dxa"/>
              <w:bottom w:w="40" w:type="dxa"/>
              <w:right w:w="20" w:type="dxa"/>
            </w:tcMar>
            <w:vAlign w:val="bottom"/>
          </w:tcPr>
          <w:p w14:paraId="74DE0E1F" w14:textId="77777777" w:rsidR="00584EC1" w:rsidRDefault="00584EC1">
            <w:pPr>
              <w:jc w:val="right"/>
              <w:rPr>
                <w:rFonts w:ascii="宋体"/>
              </w:rPr>
            </w:pPr>
          </w:p>
        </w:tc>
        <w:tc>
          <w:tcPr>
            <w:tcW w:w="0" w:type="auto"/>
            <w:gridSpan w:val="3"/>
            <w:shd w:val="clear" w:color="auto" w:fill="auto"/>
            <w:vAlign w:val="bottom"/>
          </w:tcPr>
          <w:p w14:paraId="74DE0E20" w14:textId="77777777" w:rsidR="00584EC1" w:rsidRDefault="00584EC1">
            <w:pPr>
              <w:rPr>
                <w:rFonts w:ascii="宋体"/>
                <w:vanish/>
              </w:rPr>
            </w:pPr>
          </w:p>
        </w:tc>
        <w:tc>
          <w:tcPr>
            <w:tcW w:w="0" w:type="auto"/>
            <w:gridSpan w:val="3"/>
            <w:shd w:val="clear" w:color="auto" w:fill="auto"/>
            <w:vAlign w:val="bottom"/>
          </w:tcPr>
          <w:p w14:paraId="74DE0E21" w14:textId="77777777" w:rsidR="00584EC1" w:rsidRDefault="00584EC1">
            <w:pPr>
              <w:rPr>
                <w:rFonts w:ascii="宋体"/>
                <w:vanish/>
              </w:rPr>
            </w:pPr>
          </w:p>
        </w:tc>
      </w:tr>
      <w:tr w:rsidR="00584EC1" w14:paraId="74DE0E31" w14:textId="77777777">
        <w:tc>
          <w:tcPr>
            <w:tcW w:w="0" w:type="auto"/>
            <w:gridSpan w:val="3"/>
            <w:shd w:val="clear" w:color="auto" w:fill="FFFFFF"/>
            <w:tcMar>
              <w:top w:w="40" w:type="dxa"/>
              <w:left w:w="20" w:type="dxa"/>
              <w:bottom w:w="40" w:type="dxa"/>
              <w:right w:w="20" w:type="dxa"/>
            </w:tcMar>
            <w:vAlign w:val="bottom"/>
          </w:tcPr>
          <w:p w14:paraId="74DE0E23" w14:textId="77777777" w:rsidR="00584EC1" w:rsidRDefault="00871F8D">
            <w:pPr>
              <w:textAlignment w:val="bottom"/>
            </w:pPr>
            <w:r>
              <w:rPr>
                <w:rFonts w:ascii="Arial" w:eastAsia="宋体" w:hAnsi="Arial" w:cs="Arial"/>
                <w:color w:val="000000"/>
                <w:sz w:val="14"/>
                <w:szCs w:val="14"/>
              </w:rPr>
              <w:t>Total investment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0E24" w14:textId="77777777" w:rsidR="00584EC1" w:rsidRDefault="00871F8D">
            <w:pPr>
              <w:jc w:val="right"/>
              <w:textAlignment w:val="bottom"/>
            </w:pPr>
            <w:r>
              <w:rPr>
                <w:rFonts w:ascii="Arial" w:eastAsia="宋体" w:hAnsi="Arial" w:cs="Arial"/>
                <w:b/>
                <w:bCs/>
                <w:color w:val="000000"/>
                <w:sz w:val="14"/>
                <w:szCs w:val="14"/>
              </w:rPr>
              <w:t>308</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0E2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E26"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0E27" w14:textId="77777777" w:rsidR="00584EC1" w:rsidRDefault="00871F8D">
            <w:pPr>
              <w:jc w:val="right"/>
              <w:textAlignment w:val="bottom"/>
            </w:pPr>
            <w:r>
              <w:rPr>
                <w:rFonts w:ascii="Arial" w:eastAsia="宋体" w:hAnsi="Arial" w:cs="Arial"/>
                <w:color w:val="000000"/>
                <w:sz w:val="14"/>
                <w:szCs w:val="14"/>
              </w:rPr>
              <w:t>365 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0E2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E29"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0E2A" w14:textId="77777777" w:rsidR="00584EC1" w:rsidRDefault="00871F8D">
            <w:pPr>
              <w:jc w:val="right"/>
              <w:textAlignment w:val="bottom"/>
            </w:pPr>
            <w:r>
              <w:rPr>
                <w:rFonts w:ascii="Arial" w:eastAsia="宋体" w:hAnsi="Arial" w:cs="Arial"/>
                <w:b/>
                <w:bCs/>
                <w:color w:val="000000"/>
                <w:sz w:val="14"/>
                <w:szCs w:val="14"/>
              </w:rPr>
              <w:t>940</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0E2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E2C"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0E2D" w14:textId="77777777" w:rsidR="00584EC1" w:rsidRDefault="00871F8D">
            <w:pPr>
              <w:jc w:val="right"/>
              <w:textAlignment w:val="bottom"/>
            </w:pPr>
            <w:r>
              <w:rPr>
                <w:rFonts w:ascii="Arial" w:eastAsia="宋体" w:hAnsi="Arial" w:cs="Arial"/>
                <w:color w:val="000000"/>
                <w:sz w:val="14"/>
                <w:szCs w:val="14"/>
              </w:rPr>
              <w:t>1,343 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0E2E" w14:textId="77777777" w:rsidR="00584EC1" w:rsidRDefault="00584EC1">
            <w:pPr>
              <w:jc w:val="right"/>
              <w:rPr>
                <w:rFonts w:ascii="宋体"/>
              </w:rPr>
            </w:pPr>
          </w:p>
        </w:tc>
        <w:tc>
          <w:tcPr>
            <w:tcW w:w="0" w:type="auto"/>
            <w:gridSpan w:val="3"/>
            <w:shd w:val="clear" w:color="auto" w:fill="auto"/>
            <w:vAlign w:val="bottom"/>
          </w:tcPr>
          <w:p w14:paraId="74DE0E2F" w14:textId="77777777" w:rsidR="00584EC1" w:rsidRDefault="00584EC1">
            <w:pPr>
              <w:rPr>
                <w:rFonts w:ascii="宋体"/>
                <w:vanish/>
              </w:rPr>
            </w:pPr>
          </w:p>
        </w:tc>
        <w:tc>
          <w:tcPr>
            <w:tcW w:w="0" w:type="auto"/>
            <w:gridSpan w:val="3"/>
            <w:shd w:val="clear" w:color="auto" w:fill="auto"/>
            <w:vAlign w:val="bottom"/>
          </w:tcPr>
          <w:p w14:paraId="74DE0E30" w14:textId="77777777" w:rsidR="00584EC1" w:rsidRDefault="00584EC1">
            <w:pPr>
              <w:rPr>
                <w:rFonts w:ascii="宋体"/>
                <w:vanish/>
              </w:rPr>
            </w:pPr>
          </w:p>
        </w:tc>
      </w:tr>
      <w:tr w:rsidR="00584EC1" w14:paraId="74DE0E40" w14:textId="77777777">
        <w:tc>
          <w:tcPr>
            <w:tcW w:w="0" w:type="auto"/>
            <w:gridSpan w:val="3"/>
            <w:shd w:val="clear" w:color="auto" w:fill="CCEEFF"/>
            <w:tcMar>
              <w:top w:w="40" w:type="dxa"/>
              <w:left w:w="20" w:type="dxa"/>
              <w:bottom w:w="40" w:type="dxa"/>
              <w:right w:w="20" w:type="dxa"/>
            </w:tcMar>
            <w:vAlign w:val="bottom"/>
          </w:tcPr>
          <w:p w14:paraId="74DE0E32" w14:textId="77777777" w:rsidR="00584EC1" w:rsidRDefault="00871F8D">
            <w:pPr>
              <w:textAlignment w:val="bottom"/>
            </w:pPr>
            <w:r>
              <w:rPr>
                <w:rFonts w:ascii="Arial" w:eastAsia="宋体" w:hAnsi="Arial" w:cs="Arial"/>
                <w:color w:val="000000"/>
                <w:sz w:val="14"/>
                <w:szCs w:val="14"/>
              </w:rPr>
              <w:t>Securities purchased under resale agreements</w:t>
            </w:r>
          </w:p>
        </w:tc>
        <w:tc>
          <w:tcPr>
            <w:tcW w:w="0" w:type="auto"/>
            <w:gridSpan w:val="2"/>
            <w:shd w:val="clear" w:color="auto" w:fill="CCEEFF"/>
            <w:tcMar>
              <w:top w:w="40" w:type="dxa"/>
              <w:left w:w="20" w:type="dxa"/>
              <w:bottom w:w="40" w:type="dxa"/>
              <w:right w:w="0" w:type="dxa"/>
            </w:tcMar>
            <w:vAlign w:val="bottom"/>
          </w:tcPr>
          <w:p w14:paraId="74DE0E33" w14:textId="77777777" w:rsidR="00584EC1" w:rsidRDefault="00871F8D">
            <w:pPr>
              <w:jc w:val="right"/>
              <w:textAlignment w:val="bottom"/>
            </w:pPr>
            <w:r>
              <w:rPr>
                <w:rFonts w:ascii="Arial" w:eastAsia="宋体" w:hAnsi="Arial" w:cs="Arial"/>
                <w:b/>
                <w:bCs/>
                <w:color w:val="000000"/>
                <w:sz w:val="14"/>
                <w:szCs w:val="14"/>
              </w:rPr>
              <w:t>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E0E3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E3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E36" w14:textId="77777777" w:rsidR="00584EC1" w:rsidRDefault="00871F8D">
            <w:pPr>
              <w:jc w:val="right"/>
              <w:textAlignment w:val="bottom"/>
            </w:pPr>
            <w:r>
              <w:rPr>
                <w:rFonts w:ascii="Arial" w:eastAsia="宋体" w:hAnsi="Arial" w:cs="Arial"/>
                <w:color w:val="000000"/>
                <w:sz w:val="14"/>
                <w:szCs w:val="14"/>
              </w:rPr>
              <w:t>20 </w:t>
            </w:r>
          </w:p>
        </w:tc>
        <w:tc>
          <w:tcPr>
            <w:tcW w:w="0" w:type="auto"/>
            <w:shd w:val="clear" w:color="auto" w:fill="CCEEFF"/>
            <w:tcMar>
              <w:top w:w="40" w:type="dxa"/>
              <w:left w:w="0" w:type="dxa"/>
              <w:bottom w:w="40" w:type="dxa"/>
              <w:right w:w="20" w:type="dxa"/>
            </w:tcMar>
            <w:vAlign w:val="bottom"/>
          </w:tcPr>
          <w:p w14:paraId="74DE0E3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E38"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E39" w14:textId="77777777" w:rsidR="00584EC1" w:rsidRDefault="00871F8D">
            <w:pPr>
              <w:jc w:val="right"/>
              <w:textAlignment w:val="bottom"/>
            </w:pPr>
            <w:r>
              <w:rPr>
                <w:rFonts w:ascii="Arial" w:eastAsia="宋体" w:hAnsi="Arial" w:cs="Arial"/>
                <w:b/>
                <w:bCs/>
                <w:color w:val="000000"/>
                <w:sz w:val="14"/>
                <w:szCs w:val="14"/>
              </w:rPr>
              <w:t>19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E0E3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E3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E3C" w14:textId="77777777" w:rsidR="00584EC1" w:rsidRDefault="00871F8D">
            <w:pPr>
              <w:jc w:val="right"/>
              <w:textAlignment w:val="bottom"/>
            </w:pPr>
            <w:r>
              <w:rPr>
                <w:rFonts w:ascii="Arial" w:eastAsia="宋体" w:hAnsi="Arial" w:cs="Arial"/>
                <w:color w:val="000000"/>
                <w:sz w:val="14"/>
                <w:szCs w:val="14"/>
              </w:rPr>
              <w:t>109 </w:t>
            </w:r>
          </w:p>
        </w:tc>
        <w:tc>
          <w:tcPr>
            <w:tcW w:w="0" w:type="auto"/>
            <w:shd w:val="clear" w:color="auto" w:fill="CCEEFF"/>
            <w:tcMar>
              <w:top w:w="40" w:type="dxa"/>
              <w:left w:w="0" w:type="dxa"/>
              <w:bottom w:w="40" w:type="dxa"/>
              <w:right w:w="20" w:type="dxa"/>
            </w:tcMar>
            <w:vAlign w:val="bottom"/>
          </w:tcPr>
          <w:p w14:paraId="74DE0E3D" w14:textId="77777777" w:rsidR="00584EC1" w:rsidRDefault="00584EC1">
            <w:pPr>
              <w:jc w:val="right"/>
              <w:rPr>
                <w:rFonts w:ascii="宋体"/>
              </w:rPr>
            </w:pPr>
          </w:p>
        </w:tc>
        <w:tc>
          <w:tcPr>
            <w:tcW w:w="0" w:type="auto"/>
            <w:gridSpan w:val="3"/>
            <w:shd w:val="clear" w:color="auto" w:fill="auto"/>
            <w:vAlign w:val="bottom"/>
          </w:tcPr>
          <w:p w14:paraId="74DE0E3E" w14:textId="77777777" w:rsidR="00584EC1" w:rsidRDefault="00584EC1">
            <w:pPr>
              <w:rPr>
                <w:rFonts w:ascii="宋体"/>
                <w:vanish/>
              </w:rPr>
            </w:pPr>
          </w:p>
        </w:tc>
        <w:tc>
          <w:tcPr>
            <w:tcW w:w="0" w:type="auto"/>
            <w:gridSpan w:val="3"/>
            <w:shd w:val="clear" w:color="auto" w:fill="auto"/>
            <w:vAlign w:val="bottom"/>
          </w:tcPr>
          <w:p w14:paraId="74DE0E3F" w14:textId="77777777" w:rsidR="00584EC1" w:rsidRDefault="00584EC1">
            <w:pPr>
              <w:rPr>
                <w:rFonts w:ascii="宋体"/>
                <w:vanish/>
              </w:rPr>
            </w:pPr>
          </w:p>
        </w:tc>
      </w:tr>
      <w:tr w:rsidR="00584EC1" w14:paraId="74DE0E4F" w14:textId="77777777">
        <w:tc>
          <w:tcPr>
            <w:tcW w:w="0" w:type="auto"/>
            <w:gridSpan w:val="3"/>
            <w:shd w:val="clear" w:color="auto" w:fill="FFFFFF"/>
            <w:tcMar>
              <w:top w:w="40" w:type="dxa"/>
              <w:left w:w="20" w:type="dxa"/>
              <w:bottom w:w="40" w:type="dxa"/>
              <w:right w:w="20" w:type="dxa"/>
            </w:tcMar>
            <w:vAlign w:val="bottom"/>
          </w:tcPr>
          <w:p w14:paraId="74DE0E41" w14:textId="77777777" w:rsidR="00584EC1" w:rsidRDefault="00871F8D">
            <w:pPr>
              <w:textAlignment w:val="bottom"/>
            </w:pPr>
            <w:r>
              <w:rPr>
                <w:rFonts w:ascii="Arial" w:eastAsia="宋体" w:hAnsi="Arial" w:cs="Arial"/>
                <w:color w:val="000000"/>
                <w:sz w:val="14"/>
                <w:szCs w:val="14"/>
              </w:rPr>
              <w:t>Loans</w:t>
            </w:r>
          </w:p>
        </w:tc>
        <w:tc>
          <w:tcPr>
            <w:tcW w:w="0" w:type="auto"/>
            <w:gridSpan w:val="2"/>
            <w:shd w:val="clear" w:color="auto" w:fill="FFFFFF"/>
            <w:tcMar>
              <w:top w:w="40" w:type="dxa"/>
              <w:left w:w="20" w:type="dxa"/>
              <w:bottom w:w="40" w:type="dxa"/>
              <w:right w:w="0" w:type="dxa"/>
            </w:tcMar>
            <w:vAlign w:val="bottom"/>
          </w:tcPr>
          <w:p w14:paraId="74DE0E42" w14:textId="77777777" w:rsidR="00584EC1" w:rsidRDefault="00871F8D">
            <w:pPr>
              <w:jc w:val="right"/>
              <w:textAlignment w:val="bottom"/>
            </w:pPr>
            <w:r>
              <w:rPr>
                <w:rFonts w:ascii="Arial" w:eastAsia="宋体" w:hAnsi="Arial" w:cs="Arial"/>
                <w:b/>
                <w:bCs/>
                <w:color w:val="000000"/>
                <w:sz w:val="14"/>
                <w:szCs w:val="14"/>
              </w:rPr>
              <w:t>168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E0E4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E4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E45" w14:textId="77777777" w:rsidR="00584EC1" w:rsidRDefault="00871F8D">
            <w:pPr>
              <w:jc w:val="right"/>
              <w:textAlignment w:val="bottom"/>
            </w:pPr>
            <w:r>
              <w:rPr>
                <w:rFonts w:ascii="Arial" w:eastAsia="宋体" w:hAnsi="Arial" w:cs="Arial"/>
                <w:color w:val="000000"/>
                <w:sz w:val="14"/>
                <w:szCs w:val="14"/>
              </w:rPr>
              <w:t>138 </w:t>
            </w:r>
          </w:p>
        </w:tc>
        <w:tc>
          <w:tcPr>
            <w:tcW w:w="0" w:type="auto"/>
            <w:shd w:val="clear" w:color="auto" w:fill="FFFFFF"/>
            <w:tcMar>
              <w:top w:w="40" w:type="dxa"/>
              <w:left w:w="0" w:type="dxa"/>
              <w:bottom w:w="40" w:type="dxa"/>
              <w:right w:w="20" w:type="dxa"/>
            </w:tcMar>
            <w:vAlign w:val="bottom"/>
          </w:tcPr>
          <w:p w14:paraId="74DE0E4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E4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E48" w14:textId="77777777" w:rsidR="00584EC1" w:rsidRDefault="00871F8D">
            <w:pPr>
              <w:jc w:val="right"/>
              <w:textAlignment w:val="bottom"/>
            </w:pPr>
            <w:r>
              <w:rPr>
                <w:rFonts w:ascii="Arial" w:eastAsia="宋体" w:hAnsi="Arial" w:cs="Arial"/>
                <w:b/>
                <w:bCs/>
                <w:color w:val="000000"/>
                <w:sz w:val="14"/>
                <w:szCs w:val="14"/>
              </w:rPr>
              <w:t>466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E0E4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E4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E4B" w14:textId="77777777" w:rsidR="00584EC1" w:rsidRDefault="00871F8D">
            <w:pPr>
              <w:jc w:val="right"/>
              <w:textAlignment w:val="bottom"/>
            </w:pPr>
            <w:r>
              <w:rPr>
                <w:rFonts w:ascii="Arial" w:eastAsia="宋体" w:hAnsi="Arial" w:cs="Arial"/>
                <w:color w:val="000000"/>
                <w:sz w:val="14"/>
                <w:szCs w:val="14"/>
              </w:rPr>
              <w:t>479 </w:t>
            </w:r>
          </w:p>
        </w:tc>
        <w:tc>
          <w:tcPr>
            <w:tcW w:w="0" w:type="auto"/>
            <w:shd w:val="clear" w:color="auto" w:fill="FFFFFF"/>
            <w:tcMar>
              <w:top w:w="40" w:type="dxa"/>
              <w:left w:w="0" w:type="dxa"/>
              <w:bottom w:w="40" w:type="dxa"/>
              <w:right w:w="20" w:type="dxa"/>
            </w:tcMar>
            <w:vAlign w:val="bottom"/>
          </w:tcPr>
          <w:p w14:paraId="74DE0E4C" w14:textId="77777777" w:rsidR="00584EC1" w:rsidRDefault="00584EC1">
            <w:pPr>
              <w:jc w:val="right"/>
              <w:rPr>
                <w:rFonts w:ascii="宋体"/>
              </w:rPr>
            </w:pPr>
          </w:p>
        </w:tc>
        <w:tc>
          <w:tcPr>
            <w:tcW w:w="0" w:type="auto"/>
            <w:gridSpan w:val="3"/>
            <w:shd w:val="clear" w:color="auto" w:fill="auto"/>
            <w:vAlign w:val="bottom"/>
          </w:tcPr>
          <w:p w14:paraId="74DE0E4D" w14:textId="77777777" w:rsidR="00584EC1" w:rsidRDefault="00584EC1">
            <w:pPr>
              <w:rPr>
                <w:rFonts w:ascii="宋体"/>
                <w:vanish/>
              </w:rPr>
            </w:pPr>
          </w:p>
        </w:tc>
        <w:tc>
          <w:tcPr>
            <w:tcW w:w="0" w:type="auto"/>
            <w:gridSpan w:val="3"/>
            <w:shd w:val="clear" w:color="auto" w:fill="auto"/>
            <w:vAlign w:val="bottom"/>
          </w:tcPr>
          <w:p w14:paraId="74DE0E4E" w14:textId="77777777" w:rsidR="00584EC1" w:rsidRDefault="00584EC1">
            <w:pPr>
              <w:rPr>
                <w:rFonts w:ascii="宋体"/>
                <w:vanish/>
              </w:rPr>
            </w:pPr>
          </w:p>
        </w:tc>
      </w:tr>
      <w:tr w:rsidR="00584EC1" w14:paraId="74DE0E5E" w14:textId="77777777">
        <w:tc>
          <w:tcPr>
            <w:tcW w:w="0" w:type="auto"/>
            <w:gridSpan w:val="3"/>
            <w:shd w:val="clear" w:color="auto" w:fill="CCEEFF"/>
            <w:tcMar>
              <w:top w:w="40" w:type="dxa"/>
              <w:left w:w="20" w:type="dxa"/>
              <w:bottom w:w="40" w:type="dxa"/>
              <w:right w:w="20" w:type="dxa"/>
            </w:tcMar>
            <w:vAlign w:val="bottom"/>
          </w:tcPr>
          <w:p w14:paraId="74DE0E50" w14:textId="77777777" w:rsidR="00584EC1" w:rsidRDefault="00871F8D">
            <w:pPr>
              <w:textAlignment w:val="bottom"/>
            </w:pPr>
            <w:r>
              <w:rPr>
                <w:rFonts w:ascii="Arial" w:eastAsia="宋体" w:hAnsi="Arial" w:cs="Arial"/>
                <w:color w:val="000000"/>
                <w:sz w:val="14"/>
                <w:szCs w:val="14"/>
              </w:rPr>
              <w:t>Other interest-earning assets</w:t>
            </w:r>
          </w:p>
        </w:tc>
        <w:tc>
          <w:tcPr>
            <w:tcW w:w="0" w:type="auto"/>
            <w:gridSpan w:val="2"/>
            <w:shd w:val="clear" w:color="auto" w:fill="CCEEFF"/>
            <w:tcMar>
              <w:top w:w="40" w:type="dxa"/>
              <w:left w:w="20" w:type="dxa"/>
              <w:bottom w:w="40" w:type="dxa"/>
              <w:right w:w="0" w:type="dxa"/>
            </w:tcMar>
            <w:vAlign w:val="bottom"/>
          </w:tcPr>
          <w:p w14:paraId="74DE0E51" w14:textId="77777777" w:rsidR="00584EC1" w:rsidRDefault="00871F8D">
            <w:pPr>
              <w:jc w:val="right"/>
              <w:textAlignment w:val="bottom"/>
            </w:pPr>
            <w:r>
              <w:rPr>
                <w:rFonts w:ascii="Arial" w:eastAsia="宋体" w:hAnsi="Arial" w:cs="Arial"/>
                <w:b/>
                <w:bCs/>
                <w:color w:val="000000"/>
                <w:sz w:val="14"/>
                <w:szCs w:val="14"/>
              </w:rPr>
              <w:t>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E0E5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E53"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E54" w14:textId="77777777" w:rsidR="00584EC1" w:rsidRDefault="00871F8D">
            <w:pPr>
              <w:jc w:val="right"/>
              <w:textAlignment w:val="bottom"/>
            </w:pPr>
            <w:r>
              <w:rPr>
                <w:rFonts w:ascii="Arial" w:eastAsia="宋体" w:hAnsi="Arial" w:cs="Arial"/>
                <w:color w:val="000000"/>
                <w:sz w:val="14"/>
                <w:szCs w:val="14"/>
              </w:rPr>
              <w:t>3 </w:t>
            </w:r>
          </w:p>
        </w:tc>
        <w:tc>
          <w:tcPr>
            <w:tcW w:w="0" w:type="auto"/>
            <w:shd w:val="clear" w:color="auto" w:fill="CCEEFF"/>
            <w:tcMar>
              <w:top w:w="40" w:type="dxa"/>
              <w:left w:w="0" w:type="dxa"/>
              <w:bottom w:w="40" w:type="dxa"/>
              <w:right w:w="20" w:type="dxa"/>
            </w:tcMar>
            <w:vAlign w:val="bottom"/>
          </w:tcPr>
          <w:p w14:paraId="74DE0E5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E5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E57" w14:textId="77777777" w:rsidR="00584EC1" w:rsidRDefault="00871F8D">
            <w:pPr>
              <w:jc w:val="right"/>
              <w:textAlignment w:val="bottom"/>
            </w:pPr>
            <w:r>
              <w:rPr>
                <w:rFonts w:ascii="Arial" w:eastAsia="宋体" w:hAnsi="Arial" w:cs="Arial"/>
                <w:b/>
                <w:bCs/>
                <w:color w:val="000000"/>
                <w:sz w:val="14"/>
                <w:szCs w:val="14"/>
              </w:rPr>
              <w:t>13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E0E5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E5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E5A" w14:textId="77777777" w:rsidR="00584EC1" w:rsidRDefault="00871F8D">
            <w:pPr>
              <w:jc w:val="right"/>
              <w:textAlignment w:val="bottom"/>
            </w:pPr>
            <w:r>
              <w:rPr>
                <w:rFonts w:ascii="Arial" w:eastAsia="宋体" w:hAnsi="Arial" w:cs="Arial"/>
                <w:color w:val="000000"/>
                <w:sz w:val="14"/>
                <w:szCs w:val="14"/>
              </w:rPr>
              <w:t>52 </w:t>
            </w:r>
          </w:p>
        </w:tc>
        <w:tc>
          <w:tcPr>
            <w:tcW w:w="0" w:type="auto"/>
            <w:shd w:val="clear" w:color="auto" w:fill="CCEEFF"/>
            <w:tcMar>
              <w:top w:w="40" w:type="dxa"/>
              <w:left w:w="0" w:type="dxa"/>
              <w:bottom w:w="40" w:type="dxa"/>
              <w:right w:w="20" w:type="dxa"/>
            </w:tcMar>
            <w:vAlign w:val="bottom"/>
          </w:tcPr>
          <w:p w14:paraId="74DE0E5B" w14:textId="77777777" w:rsidR="00584EC1" w:rsidRDefault="00584EC1">
            <w:pPr>
              <w:jc w:val="right"/>
              <w:rPr>
                <w:rFonts w:ascii="宋体"/>
              </w:rPr>
            </w:pPr>
          </w:p>
        </w:tc>
        <w:tc>
          <w:tcPr>
            <w:tcW w:w="0" w:type="auto"/>
            <w:gridSpan w:val="3"/>
            <w:shd w:val="clear" w:color="auto" w:fill="auto"/>
            <w:vAlign w:val="bottom"/>
          </w:tcPr>
          <w:p w14:paraId="74DE0E5C" w14:textId="77777777" w:rsidR="00584EC1" w:rsidRDefault="00584EC1">
            <w:pPr>
              <w:rPr>
                <w:rFonts w:ascii="宋体"/>
                <w:vanish/>
              </w:rPr>
            </w:pPr>
          </w:p>
        </w:tc>
        <w:tc>
          <w:tcPr>
            <w:tcW w:w="0" w:type="auto"/>
            <w:gridSpan w:val="3"/>
            <w:shd w:val="clear" w:color="auto" w:fill="auto"/>
            <w:vAlign w:val="bottom"/>
          </w:tcPr>
          <w:p w14:paraId="74DE0E5D" w14:textId="77777777" w:rsidR="00584EC1" w:rsidRDefault="00584EC1">
            <w:pPr>
              <w:rPr>
                <w:rFonts w:ascii="宋体"/>
                <w:vanish/>
              </w:rPr>
            </w:pPr>
          </w:p>
        </w:tc>
      </w:tr>
      <w:tr w:rsidR="00584EC1" w14:paraId="74DE0E6D" w14:textId="77777777">
        <w:tc>
          <w:tcPr>
            <w:tcW w:w="0" w:type="auto"/>
            <w:gridSpan w:val="3"/>
            <w:shd w:val="clear" w:color="auto" w:fill="FFFFFF"/>
            <w:tcMar>
              <w:top w:w="40" w:type="dxa"/>
              <w:left w:w="20" w:type="dxa"/>
              <w:bottom w:w="40" w:type="dxa"/>
              <w:right w:w="20" w:type="dxa"/>
            </w:tcMar>
            <w:vAlign w:val="bottom"/>
          </w:tcPr>
          <w:p w14:paraId="74DE0E5F" w14:textId="77777777" w:rsidR="00584EC1" w:rsidRDefault="00871F8D">
            <w:pPr>
              <w:textAlignment w:val="bottom"/>
            </w:pPr>
            <w:r>
              <w:rPr>
                <w:rFonts w:ascii="Arial" w:eastAsia="宋体" w:hAnsi="Arial" w:cs="Arial"/>
                <w:color w:val="000000"/>
                <w:sz w:val="14"/>
                <w:szCs w:val="14"/>
              </w:rPr>
              <w:t>Total interest income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0E60" w14:textId="77777777" w:rsidR="00584EC1" w:rsidRDefault="00871F8D">
            <w:pPr>
              <w:jc w:val="right"/>
              <w:textAlignment w:val="bottom"/>
            </w:pPr>
            <w:r>
              <w:rPr>
                <w:rFonts w:ascii="Arial" w:eastAsia="宋体" w:hAnsi="Arial" w:cs="Arial"/>
                <w:b/>
                <w:bCs/>
                <w:color w:val="000000"/>
                <w:sz w:val="14"/>
                <w:szCs w:val="14"/>
              </w:rPr>
              <w:t>487</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0E6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E62"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0E63" w14:textId="77777777" w:rsidR="00584EC1" w:rsidRDefault="00871F8D">
            <w:pPr>
              <w:jc w:val="right"/>
              <w:textAlignment w:val="bottom"/>
            </w:pPr>
            <w:r>
              <w:rPr>
                <w:rFonts w:ascii="Arial" w:eastAsia="宋体" w:hAnsi="Arial" w:cs="Arial"/>
                <w:color w:val="000000"/>
                <w:sz w:val="14"/>
                <w:szCs w:val="14"/>
              </w:rPr>
              <w:t>520 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0E6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E65"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0E66" w14:textId="77777777" w:rsidR="00584EC1" w:rsidRDefault="00871F8D">
            <w:pPr>
              <w:jc w:val="right"/>
              <w:textAlignment w:val="bottom"/>
            </w:pPr>
            <w:r>
              <w:rPr>
                <w:rFonts w:ascii="Arial" w:eastAsia="宋体" w:hAnsi="Arial" w:cs="Arial"/>
                <w:b/>
                <w:bCs/>
                <w:color w:val="000000"/>
                <w:sz w:val="14"/>
                <w:szCs w:val="14"/>
              </w:rPr>
              <w:t>1,425</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0E6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E68"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0E69" w14:textId="77777777" w:rsidR="00584EC1" w:rsidRDefault="00871F8D">
            <w:pPr>
              <w:jc w:val="right"/>
              <w:textAlignment w:val="bottom"/>
            </w:pPr>
            <w:r>
              <w:rPr>
                <w:rFonts w:ascii="Arial" w:eastAsia="宋体" w:hAnsi="Arial" w:cs="Arial"/>
                <w:color w:val="000000"/>
                <w:sz w:val="14"/>
                <w:szCs w:val="14"/>
              </w:rPr>
              <w:t>2,062 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0E6A" w14:textId="77777777" w:rsidR="00584EC1" w:rsidRDefault="00584EC1">
            <w:pPr>
              <w:jc w:val="right"/>
              <w:rPr>
                <w:rFonts w:ascii="宋体"/>
              </w:rPr>
            </w:pPr>
          </w:p>
        </w:tc>
        <w:tc>
          <w:tcPr>
            <w:tcW w:w="0" w:type="auto"/>
            <w:gridSpan w:val="3"/>
            <w:shd w:val="clear" w:color="auto" w:fill="auto"/>
            <w:vAlign w:val="bottom"/>
          </w:tcPr>
          <w:p w14:paraId="74DE0E6B" w14:textId="77777777" w:rsidR="00584EC1" w:rsidRDefault="00584EC1">
            <w:pPr>
              <w:rPr>
                <w:rFonts w:ascii="宋体"/>
                <w:vanish/>
              </w:rPr>
            </w:pPr>
          </w:p>
        </w:tc>
        <w:tc>
          <w:tcPr>
            <w:tcW w:w="0" w:type="auto"/>
            <w:gridSpan w:val="3"/>
            <w:shd w:val="clear" w:color="auto" w:fill="auto"/>
            <w:vAlign w:val="bottom"/>
          </w:tcPr>
          <w:p w14:paraId="74DE0E6C" w14:textId="77777777" w:rsidR="00584EC1" w:rsidRDefault="00584EC1">
            <w:pPr>
              <w:rPr>
                <w:rFonts w:ascii="宋体"/>
                <w:vanish/>
              </w:rPr>
            </w:pPr>
          </w:p>
        </w:tc>
      </w:tr>
      <w:tr w:rsidR="00584EC1" w14:paraId="74DE0E78" w14:textId="77777777">
        <w:tc>
          <w:tcPr>
            <w:tcW w:w="0" w:type="auto"/>
            <w:gridSpan w:val="3"/>
            <w:shd w:val="clear" w:color="auto" w:fill="CCEEFF"/>
            <w:tcMar>
              <w:top w:w="40" w:type="dxa"/>
              <w:left w:w="20" w:type="dxa"/>
              <w:bottom w:w="40" w:type="dxa"/>
              <w:right w:w="20" w:type="dxa"/>
            </w:tcMar>
            <w:vAlign w:val="bottom"/>
          </w:tcPr>
          <w:p w14:paraId="74DE0E6E" w14:textId="77777777" w:rsidR="00584EC1" w:rsidRDefault="00871F8D">
            <w:pPr>
              <w:textAlignment w:val="bottom"/>
            </w:pPr>
            <w:r>
              <w:rPr>
                <w:rFonts w:ascii="Arial" w:eastAsia="宋体" w:hAnsi="Arial" w:cs="Arial"/>
                <w:b/>
                <w:bCs/>
                <w:color w:val="000000"/>
                <w:sz w:val="14"/>
                <w:szCs w:val="14"/>
              </w:rPr>
              <w:t>Interest expense:</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4DE0E6F"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E0E70" w14:textId="77777777" w:rsidR="00584EC1" w:rsidRDefault="00584EC1">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4DE0E71"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E0E72" w14:textId="77777777" w:rsidR="00584EC1" w:rsidRDefault="00584EC1">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4DE0E73"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E0E74" w14:textId="77777777" w:rsidR="00584EC1" w:rsidRDefault="00584EC1">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4DE0E75" w14:textId="77777777" w:rsidR="00584EC1" w:rsidRDefault="00584EC1">
            <w:pPr>
              <w:rPr>
                <w:rFonts w:ascii="宋体"/>
              </w:rPr>
            </w:pPr>
          </w:p>
        </w:tc>
        <w:tc>
          <w:tcPr>
            <w:tcW w:w="0" w:type="auto"/>
            <w:gridSpan w:val="3"/>
            <w:shd w:val="clear" w:color="auto" w:fill="auto"/>
            <w:vAlign w:val="bottom"/>
          </w:tcPr>
          <w:p w14:paraId="74DE0E76" w14:textId="77777777" w:rsidR="00584EC1" w:rsidRDefault="00584EC1">
            <w:pPr>
              <w:rPr>
                <w:rFonts w:ascii="宋体"/>
                <w:vanish/>
              </w:rPr>
            </w:pPr>
          </w:p>
        </w:tc>
        <w:tc>
          <w:tcPr>
            <w:tcW w:w="0" w:type="auto"/>
            <w:gridSpan w:val="3"/>
            <w:shd w:val="clear" w:color="auto" w:fill="auto"/>
            <w:vAlign w:val="bottom"/>
          </w:tcPr>
          <w:p w14:paraId="74DE0E77" w14:textId="77777777" w:rsidR="00584EC1" w:rsidRDefault="00584EC1">
            <w:pPr>
              <w:rPr>
                <w:rFonts w:ascii="宋体"/>
                <w:vanish/>
              </w:rPr>
            </w:pPr>
          </w:p>
        </w:tc>
      </w:tr>
      <w:tr w:rsidR="00584EC1" w14:paraId="74DE0E87" w14:textId="77777777">
        <w:tc>
          <w:tcPr>
            <w:tcW w:w="0" w:type="auto"/>
            <w:gridSpan w:val="3"/>
            <w:shd w:val="clear" w:color="auto" w:fill="FFFFFF"/>
            <w:tcMar>
              <w:top w:w="40" w:type="dxa"/>
              <w:left w:w="20" w:type="dxa"/>
              <w:bottom w:w="40" w:type="dxa"/>
              <w:right w:w="20" w:type="dxa"/>
            </w:tcMar>
            <w:vAlign w:val="bottom"/>
          </w:tcPr>
          <w:p w14:paraId="74DE0E79" w14:textId="77777777" w:rsidR="00584EC1" w:rsidRDefault="00871F8D">
            <w:pPr>
              <w:textAlignment w:val="bottom"/>
            </w:pPr>
            <w:r>
              <w:rPr>
                <w:rFonts w:ascii="Arial" w:eastAsia="宋体" w:hAnsi="Arial" w:cs="Arial"/>
                <w:color w:val="000000"/>
                <w:sz w:val="14"/>
                <w:szCs w:val="14"/>
              </w:rPr>
              <w:t>Interest-bearing deposits</w:t>
            </w:r>
          </w:p>
        </w:tc>
        <w:tc>
          <w:tcPr>
            <w:tcW w:w="0" w:type="auto"/>
            <w:gridSpan w:val="2"/>
            <w:shd w:val="clear" w:color="auto" w:fill="FFFFFF"/>
            <w:tcMar>
              <w:top w:w="40" w:type="dxa"/>
              <w:left w:w="20" w:type="dxa"/>
              <w:bottom w:w="40" w:type="dxa"/>
              <w:right w:w="0" w:type="dxa"/>
            </w:tcMar>
            <w:vAlign w:val="bottom"/>
          </w:tcPr>
          <w:p w14:paraId="74DE0E7A" w14:textId="77777777" w:rsidR="00584EC1" w:rsidRDefault="00871F8D">
            <w:pPr>
              <w:jc w:val="right"/>
              <w:textAlignment w:val="bottom"/>
            </w:pPr>
            <w:r>
              <w:rPr>
                <w:rFonts w:ascii="Arial" w:eastAsia="宋体" w:hAnsi="Arial" w:cs="Arial"/>
                <w:b/>
                <w:bCs/>
                <w:color w:val="000000"/>
                <w:sz w:val="14"/>
                <w:szCs w:val="14"/>
              </w:rPr>
              <w:t>(62)</w:t>
            </w:r>
          </w:p>
        </w:tc>
        <w:tc>
          <w:tcPr>
            <w:tcW w:w="0" w:type="auto"/>
            <w:shd w:val="clear" w:color="auto" w:fill="FFFFFF"/>
            <w:tcMar>
              <w:top w:w="40" w:type="dxa"/>
              <w:left w:w="0" w:type="dxa"/>
              <w:bottom w:w="40" w:type="dxa"/>
              <w:right w:w="20" w:type="dxa"/>
            </w:tcMar>
            <w:vAlign w:val="bottom"/>
          </w:tcPr>
          <w:p w14:paraId="74DE0E7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E7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E7D" w14:textId="77777777" w:rsidR="00584EC1" w:rsidRDefault="00871F8D">
            <w:pPr>
              <w:jc w:val="right"/>
              <w:textAlignment w:val="bottom"/>
            </w:pPr>
            <w:r>
              <w:rPr>
                <w:rFonts w:ascii="Arial" w:eastAsia="宋体" w:hAnsi="Arial" w:cs="Arial"/>
                <w:color w:val="000000"/>
                <w:sz w:val="14"/>
                <w:szCs w:val="14"/>
              </w:rPr>
              <w:t>(61)</w:t>
            </w:r>
          </w:p>
        </w:tc>
        <w:tc>
          <w:tcPr>
            <w:tcW w:w="0" w:type="auto"/>
            <w:shd w:val="clear" w:color="auto" w:fill="FFFFFF"/>
            <w:tcMar>
              <w:top w:w="40" w:type="dxa"/>
              <w:left w:w="0" w:type="dxa"/>
              <w:bottom w:w="40" w:type="dxa"/>
              <w:right w:w="20" w:type="dxa"/>
            </w:tcMar>
            <w:vAlign w:val="bottom"/>
          </w:tcPr>
          <w:p w14:paraId="74DE0E7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E7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E80" w14:textId="77777777" w:rsidR="00584EC1" w:rsidRDefault="00871F8D">
            <w:pPr>
              <w:jc w:val="right"/>
              <w:textAlignment w:val="bottom"/>
            </w:pPr>
            <w:r>
              <w:rPr>
                <w:rFonts w:ascii="Arial" w:eastAsia="宋体" w:hAnsi="Arial" w:cs="Arial"/>
                <w:b/>
                <w:bCs/>
                <w:color w:val="000000"/>
                <w:sz w:val="14"/>
                <w:szCs w:val="14"/>
              </w:rPr>
              <w:t>(196)</w:t>
            </w:r>
          </w:p>
        </w:tc>
        <w:tc>
          <w:tcPr>
            <w:tcW w:w="0" w:type="auto"/>
            <w:shd w:val="clear" w:color="auto" w:fill="FFFFFF"/>
            <w:tcMar>
              <w:top w:w="40" w:type="dxa"/>
              <w:left w:w="0" w:type="dxa"/>
              <w:bottom w:w="40" w:type="dxa"/>
              <w:right w:w="20" w:type="dxa"/>
            </w:tcMar>
            <w:vAlign w:val="bottom"/>
          </w:tcPr>
          <w:p w14:paraId="74DE0E8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E8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E83" w14:textId="77777777" w:rsidR="00584EC1" w:rsidRDefault="00871F8D">
            <w:pPr>
              <w:jc w:val="right"/>
              <w:textAlignment w:val="bottom"/>
            </w:pPr>
            <w:r>
              <w:rPr>
                <w:rFonts w:ascii="Arial" w:eastAsia="宋体" w:hAnsi="Arial" w:cs="Arial"/>
                <w:color w:val="000000"/>
                <w:sz w:val="14"/>
                <w:szCs w:val="14"/>
              </w:rPr>
              <w:t>(47)</w:t>
            </w:r>
          </w:p>
        </w:tc>
        <w:tc>
          <w:tcPr>
            <w:tcW w:w="0" w:type="auto"/>
            <w:shd w:val="clear" w:color="auto" w:fill="FFFFFF"/>
            <w:tcMar>
              <w:top w:w="40" w:type="dxa"/>
              <w:left w:w="0" w:type="dxa"/>
              <w:bottom w:w="40" w:type="dxa"/>
              <w:right w:w="20" w:type="dxa"/>
            </w:tcMar>
            <w:vAlign w:val="bottom"/>
          </w:tcPr>
          <w:p w14:paraId="74DE0E84" w14:textId="77777777" w:rsidR="00584EC1" w:rsidRDefault="00584EC1">
            <w:pPr>
              <w:jc w:val="right"/>
              <w:rPr>
                <w:rFonts w:ascii="宋体"/>
              </w:rPr>
            </w:pPr>
          </w:p>
        </w:tc>
        <w:tc>
          <w:tcPr>
            <w:tcW w:w="0" w:type="auto"/>
            <w:gridSpan w:val="3"/>
            <w:shd w:val="clear" w:color="auto" w:fill="auto"/>
            <w:vAlign w:val="bottom"/>
          </w:tcPr>
          <w:p w14:paraId="74DE0E85" w14:textId="77777777" w:rsidR="00584EC1" w:rsidRDefault="00584EC1">
            <w:pPr>
              <w:rPr>
                <w:rFonts w:ascii="宋体"/>
                <w:vanish/>
              </w:rPr>
            </w:pPr>
          </w:p>
        </w:tc>
        <w:tc>
          <w:tcPr>
            <w:tcW w:w="0" w:type="auto"/>
            <w:gridSpan w:val="3"/>
            <w:shd w:val="clear" w:color="auto" w:fill="auto"/>
            <w:vAlign w:val="bottom"/>
          </w:tcPr>
          <w:p w14:paraId="74DE0E86" w14:textId="77777777" w:rsidR="00584EC1" w:rsidRDefault="00584EC1">
            <w:pPr>
              <w:rPr>
                <w:rFonts w:ascii="宋体"/>
                <w:vanish/>
              </w:rPr>
            </w:pPr>
          </w:p>
        </w:tc>
      </w:tr>
      <w:tr w:rsidR="00584EC1" w14:paraId="74DE0E96" w14:textId="77777777">
        <w:tc>
          <w:tcPr>
            <w:tcW w:w="0" w:type="auto"/>
            <w:gridSpan w:val="3"/>
            <w:shd w:val="clear" w:color="auto" w:fill="CCEEFF"/>
            <w:tcMar>
              <w:top w:w="40" w:type="dxa"/>
              <w:left w:w="20" w:type="dxa"/>
              <w:bottom w:w="40" w:type="dxa"/>
              <w:right w:w="20" w:type="dxa"/>
            </w:tcMar>
            <w:vAlign w:val="bottom"/>
          </w:tcPr>
          <w:p w14:paraId="74DE0E88" w14:textId="77777777" w:rsidR="00584EC1" w:rsidRDefault="00871F8D">
            <w:pPr>
              <w:textAlignment w:val="bottom"/>
            </w:pPr>
            <w:r>
              <w:rPr>
                <w:rFonts w:ascii="Arial" w:eastAsia="宋体" w:hAnsi="Arial" w:cs="Arial"/>
                <w:color w:val="000000"/>
                <w:sz w:val="14"/>
                <w:szCs w:val="14"/>
              </w:rPr>
              <w:t>Short-term borrowings under money market liquidity facility</w:t>
            </w:r>
          </w:p>
        </w:tc>
        <w:tc>
          <w:tcPr>
            <w:tcW w:w="0" w:type="auto"/>
            <w:gridSpan w:val="2"/>
            <w:shd w:val="clear" w:color="auto" w:fill="CCEEFF"/>
            <w:tcMar>
              <w:top w:w="40" w:type="dxa"/>
              <w:left w:w="20" w:type="dxa"/>
              <w:bottom w:w="40" w:type="dxa"/>
              <w:right w:w="0" w:type="dxa"/>
            </w:tcMar>
            <w:vAlign w:val="bottom"/>
          </w:tcPr>
          <w:p w14:paraId="74DE0E89"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E0E8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E8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E8C" w14:textId="77777777" w:rsidR="00584EC1" w:rsidRDefault="00871F8D">
            <w:pPr>
              <w:jc w:val="right"/>
              <w:textAlignment w:val="bottom"/>
            </w:pPr>
            <w:r>
              <w:rPr>
                <w:rFonts w:ascii="Arial" w:eastAsia="宋体" w:hAnsi="Arial" w:cs="Arial"/>
                <w:color w:val="000000"/>
                <w:sz w:val="14"/>
                <w:szCs w:val="14"/>
              </w:rPr>
              <w:t>23 </w:t>
            </w:r>
          </w:p>
        </w:tc>
        <w:tc>
          <w:tcPr>
            <w:tcW w:w="0" w:type="auto"/>
            <w:shd w:val="clear" w:color="auto" w:fill="CCEEFF"/>
            <w:tcMar>
              <w:top w:w="40" w:type="dxa"/>
              <w:left w:w="0" w:type="dxa"/>
              <w:bottom w:w="40" w:type="dxa"/>
              <w:right w:w="20" w:type="dxa"/>
            </w:tcMar>
            <w:vAlign w:val="bottom"/>
          </w:tcPr>
          <w:p w14:paraId="74DE0E8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E8E"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E8F" w14:textId="77777777" w:rsidR="00584EC1" w:rsidRDefault="00871F8D">
            <w:pPr>
              <w:jc w:val="right"/>
              <w:textAlignment w:val="bottom"/>
            </w:pPr>
            <w:r>
              <w:rPr>
                <w:rFonts w:ascii="Arial" w:eastAsia="宋体" w:hAnsi="Arial" w:cs="Arial"/>
                <w:b/>
                <w:bCs/>
                <w:color w:val="000000"/>
                <w:sz w:val="14"/>
                <w:szCs w:val="14"/>
              </w:rPr>
              <w:t>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E0E9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E9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E92" w14:textId="77777777" w:rsidR="00584EC1" w:rsidRDefault="00871F8D">
            <w:pPr>
              <w:jc w:val="right"/>
              <w:textAlignment w:val="bottom"/>
            </w:pPr>
            <w:r>
              <w:rPr>
                <w:rFonts w:ascii="Arial" w:eastAsia="宋体" w:hAnsi="Arial" w:cs="Arial"/>
                <w:color w:val="000000"/>
                <w:sz w:val="14"/>
                <w:szCs w:val="14"/>
              </w:rPr>
              <w:t>87 </w:t>
            </w:r>
          </w:p>
        </w:tc>
        <w:tc>
          <w:tcPr>
            <w:tcW w:w="0" w:type="auto"/>
            <w:shd w:val="clear" w:color="auto" w:fill="CCEEFF"/>
            <w:tcMar>
              <w:top w:w="40" w:type="dxa"/>
              <w:left w:w="0" w:type="dxa"/>
              <w:bottom w:w="40" w:type="dxa"/>
              <w:right w:w="20" w:type="dxa"/>
            </w:tcMar>
            <w:vAlign w:val="bottom"/>
          </w:tcPr>
          <w:p w14:paraId="74DE0E93" w14:textId="77777777" w:rsidR="00584EC1" w:rsidRDefault="00584EC1">
            <w:pPr>
              <w:jc w:val="right"/>
              <w:rPr>
                <w:rFonts w:ascii="宋体"/>
              </w:rPr>
            </w:pPr>
          </w:p>
        </w:tc>
        <w:tc>
          <w:tcPr>
            <w:tcW w:w="0" w:type="auto"/>
            <w:gridSpan w:val="3"/>
            <w:shd w:val="clear" w:color="auto" w:fill="auto"/>
            <w:vAlign w:val="bottom"/>
          </w:tcPr>
          <w:p w14:paraId="74DE0E94" w14:textId="77777777" w:rsidR="00584EC1" w:rsidRDefault="00584EC1">
            <w:pPr>
              <w:rPr>
                <w:rFonts w:ascii="宋体"/>
                <w:vanish/>
              </w:rPr>
            </w:pPr>
          </w:p>
        </w:tc>
        <w:tc>
          <w:tcPr>
            <w:tcW w:w="0" w:type="auto"/>
            <w:gridSpan w:val="3"/>
            <w:shd w:val="clear" w:color="auto" w:fill="auto"/>
            <w:vAlign w:val="bottom"/>
          </w:tcPr>
          <w:p w14:paraId="74DE0E95" w14:textId="77777777" w:rsidR="00584EC1" w:rsidRDefault="00584EC1">
            <w:pPr>
              <w:rPr>
                <w:rFonts w:ascii="宋体"/>
                <w:vanish/>
              </w:rPr>
            </w:pPr>
          </w:p>
        </w:tc>
      </w:tr>
      <w:tr w:rsidR="00584EC1" w14:paraId="74DE0EA5" w14:textId="77777777">
        <w:tc>
          <w:tcPr>
            <w:tcW w:w="0" w:type="auto"/>
            <w:gridSpan w:val="3"/>
            <w:shd w:val="clear" w:color="auto" w:fill="FFFFFF"/>
            <w:tcMar>
              <w:top w:w="40" w:type="dxa"/>
              <w:left w:w="20" w:type="dxa"/>
              <w:bottom w:w="40" w:type="dxa"/>
              <w:right w:w="20" w:type="dxa"/>
            </w:tcMar>
            <w:vAlign w:val="bottom"/>
          </w:tcPr>
          <w:p w14:paraId="74DE0E97" w14:textId="77777777" w:rsidR="00584EC1" w:rsidRDefault="00871F8D">
            <w:pPr>
              <w:textAlignment w:val="bottom"/>
            </w:pPr>
            <w:r>
              <w:rPr>
                <w:rFonts w:ascii="Arial" w:eastAsia="宋体" w:hAnsi="Arial" w:cs="Arial"/>
                <w:color w:val="000000"/>
                <w:sz w:val="14"/>
                <w:szCs w:val="14"/>
              </w:rPr>
              <w:t>Securities sold under repurchase agreements</w:t>
            </w:r>
          </w:p>
        </w:tc>
        <w:tc>
          <w:tcPr>
            <w:tcW w:w="0" w:type="auto"/>
            <w:gridSpan w:val="2"/>
            <w:shd w:val="clear" w:color="auto" w:fill="FFFFFF"/>
            <w:tcMar>
              <w:top w:w="40" w:type="dxa"/>
              <w:left w:w="20" w:type="dxa"/>
              <w:bottom w:w="40" w:type="dxa"/>
              <w:right w:w="0" w:type="dxa"/>
            </w:tcMar>
            <w:vAlign w:val="bottom"/>
          </w:tcPr>
          <w:p w14:paraId="74DE0E98"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E0E9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E9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E9B"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E0E9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E9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E9E"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E0E9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EA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EA1" w14:textId="77777777" w:rsidR="00584EC1" w:rsidRDefault="00871F8D">
            <w:pPr>
              <w:jc w:val="right"/>
              <w:textAlignment w:val="bottom"/>
            </w:pPr>
            <w:r>
              <w:rPr>
                <w:rFonts w:ascii="Arial" w:eastAsia="宋体" w:hAnsi="Arial" w:cs="Arial"/>
                <w:color w:val="000000"/>
                <w:sz w:val="14"/>
                <w:szCs w:val="14"/>
              </w:rPr>
              <w:t>3 </w:t>
            </w:r>
          </w:p>
        </w:tc>
        <w:tc>
          <w:tcPr>
            <w:tcW w:w="0" w:type="auto"/>
            <w:shd w:val="clear" w:color="auto" w:fill="FFFFFF"/>
            <w:tcMar>
              <w:top w:w="40" w:type="dxa"/>
              <w:left w:w="0" w:type="dxa"/>
              <w:bottom w:w="40" w:type="dxa"/>
              <w:right w:w="20" w:type="dxa"/>
            </w:tcMar>
            <w:vAlign w:val="bottom"/>
          </w:tcPr>
          <w:p w14:paraId="74DE0EA2" w14:textId="77777777" w:rsidR="00584EC1" w:rsidRDefault="00584EC1">
            <w:pPr>
              <w:jc w:val="right"/>
              <w:rPr>
                <w:rFonts w:ascii="宋体"/>
              </w:rPr>
            </w:pPr>
          </w:p>
        </w:tc>
        <w:tc>
          <w:tcPr>
            <w:tcW w:w="0" w:type="auto"/>
            <w:gridSpan w:val="3"/>
            <w:shd w:val="clear" w:color="auto" w:fill="auto"/>
            <w:vAlign w:val="bottom"/>
          </w:tcPr>
          <w:p w14:paraId="74DE0EA3" w14:textId="77777777" w:rsidR="00584EC1" w:rsidRDefault="00584EC1">
            <w:pPr>
              <w:rPr>
                <w:rFonts w:ascii="宋体"/>
                <w:vanish/>
              </w:rPr>
            </w:pPr>
          </w:p>
        </w:tc>
        <w:tc>
          <w:tcPr>
            <w:tcW w:w="0" w:type="auto"/>
            <w:gridSpan w:val="3"/>
            <w:shd w:val="clear" w:color="auto" w:fill="auto"/>
            <w:vAlign w:val="bottom"/>
          </w:tcPr>
          <w:p w14:paraId="74DE0EA4" w14:textId="77777777" w:rsidR="00584EC1" w:rsidRDefault="00584EC1">
            <w:pPr>
              <w:rPr>
                <w:rFonts w:ascii="宋体"/>
                <w:vanish/>
              </w:rPr>
            </w:pPr>
          </w:p>
        </w:tc>
      </w:tr>
      <w:tr w:rsidR="00584EC1" w14:paraId="74DE0EB4" w14:textId="77777777">
        <w:tc>
          <w:tcPr>
            <w:tcW w:w="0" w:type="auto"/>
            <w:gridSpan w:val="3"/>
            <w:shd w:val="clear" w:color="auto" w:fill="CCEEFF"/>
            <w:tcMar>
              <w:top w:w="40" w:type="dxa"/>
              <w:left w:w="20" w:type="dxa"/>
              <w:bottom w:w="40" w:type="dxa"/>
              <w:right w:w="20" w:type="dxa"/>
            </w:tcMar>
            <w:vAlign w:val="bottom"/>
          </w:tcPr>
          <w:p w14:paraId="74DE0EA6" w14:textId="77777777" w:rsidR="00584EC1" w:rsidRDefault="00871F8D">
            <w:pPr>
              <w:textAlignment w:val="bottom"/>
            </w:pPr>
            <w:r>
              <w:rPr>
                <w:rFonts w:ascii="Arial" w:eastAsia="宋体" w:hAnsi="Arial" w:cs="Arial"/>
                <w:color w:val="000000"/>
                <w:sz w:val="14"/>
                <w:szCs w:val="14"/>
              </w:rPr>
              <w:t>Other short-term borrowings</w:t>
            </w:r>
          </w:p>
        </w:tc>
        <w:tc>
          <w:tcPr>
            <w:tcW w:w="0" w:type="auto"/>
            <w:gridSpan w:val="2"/>
            <w:shd w:val="clear" w:color="auto" w:fill="CCEEFF"/>
            <w:tcMar>
              <w:top w:w="40" w:type="dxa"/>
              <w:left w:w="20" w:type="dxa"/>
              <w:bottom w:w="40" w:type="dxa"/>
              <w:right w:w="0" w:type="dxa"/>
            </w:tcMar>
            <w:vAlign w:val="bottom"/>
          </w:tcPr>
          <w:p w14:paraId="74DE0EA7"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E0EA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EA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EAA" w14:textId="77777777" w:rsidR="00584EC1" w:rsidRDefault="00871F8D">
            <w:pPr>
              <w:jc w:val="right"/>
              <w:textAlignment w:val="bottom"/>
            </w:pPr>
            <w:r>
              <w:rPr>
                <w:rFonts w:ascii="Arial" w:eastAsia="宋体" w:hAnsi="Arial" w:cs="Arial"/>
                <w:color w:val="000000"/>
                <w:sz w:val="14"/>
                <w:szCs w:val="14"/>
              </w:rPr>
              <w:t>2 </w:t>
            </w:r>
          </w:p>
        </w:tc>
        <w:tc>
          <w:tcPr>
            <w:tcW w:w="0" w:type="auto"/>
            <w:shd w:val="clear" w:color="auto" w:fill="CCEEFF"/>
            <w:tcMar>
              <w:top w:w="40" w:type="dxa"/>
              <w:left w:w="0" w:type="dxa"/>
              <w:bottom w:w="40" w:type="dxa"/>
              <w:right w:w="20" w:type="dxa"/>
            </w:tcMar>
            <w:vAlign w:val="bottom"/>
          </w:tcPr>
          <w:p w14:paraId="74DE0EA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EAC"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EAD" w14:textId="77777777" w:rsidR="00584EC1" w:rsidRDefault="00871F8D">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E0EA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EAF"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EB0" w14:textId="77777777" w:rsidR="00584EC1" w:rsidRDefault="00871F8D">
            <w:pPr>
              <w:jc w:val="right"/>
              <w:textAlignment w:val="bottom"/>
            </w:pPr>
            <w:r>
              <w:rPr>
                <w:rFonts w:ascii="Arial" w:eastAsia="宋体" w:hAnsi="Arial" w:cs="Arial"/>
                <w:color w:val="000000"/>
                <w:sz w:val="14"/>
                <w:szCs w:val="14"/>
              </w:rPr>
              <w:t>17 </w:t>
            </w:r>
          </w:p>
        </w:tc>
        <w:tc>
          <w:tcPr>
            <w:tcW w:w="0" w:type="auto"/>
            <w:shd w:val="clear" w:color="auto" w:fill="CCEEFF"/>
            <w:tcMar>
              <w:top w:w="40" w:type="dxa"/>
              <w:left w:w="0" w:type="dxa"/>
              <w:bottom w:w="40" w:type="dxa"/>
              <w:right w:w="20" w:type="dxa"/>
            </w:tcMar>
            <w:vAlign w:val="bottom"/>
          </w:tcPr>
          <w:p w14:paraId="74DE0EB1" w14:textId="77777777" w:rsidR="00584EC1" w:rsidRDefault="00584EC1">
            <w:pPr>
              <w:jc w:val="right"/>
              <w:rPr>
                <w:rFonts w:ascii="宋体"/>
              </w:rPr>
            </w:pPr>
          </w:p>
        </w:tc>
        <w:tc>
          <w:tcPr>
            <w:tcW w:w="0" w:type="auto"/>
            <w:gridSpan w:val="3"/>
            <w:shd w:val="clear" w:color="auto" w:fill="auto"/>
            <w:vAlign w:val="bottom"/>
          </w:tcPr>
          <w:p w14:paraId="74DE0EB2" w14:textId="77777777" w:rsidR="00584EC1" w:rsidRDefault="00584EC1">
            <w:pPr>
              <w:rPr>
                <w:rFonts w:ascii="宋体"/>
                <w:vanish/>
              </w:rPr>
            </w:pPr>
          </w:p>
        </w:tc>
        <w:tc>
          <w:tcPr>
            <w:tcW w:w="0" w:type="auto"/>
            <w:gridSpan w:val="3"/>
            <w:shd w:val="clear" w:color="auto" w:fill="auto"/>
            <w:vAlign w:val="bottom"/>
          </w:tcPr>
          <w:p w14:paraId="74DE0EB3" w14:textId="77777777" w:rsidR="00584EC1" w:rsidRDefault="00584EC1">
            <w:pPr>
              <w:rPr>
                <w:rFonts w:ascii="宋体"/>
                <w:vanish/>
              </w:rPr>
            </w:pPr>
          </w:p>
        </w:tc>
      </w:tr>
      <w:tr w:rsidR="00584EC1" w14:paraId="74DE0EC3" w14:textId="77777777">
        <w:tc>
          <w:tcPr>
            <w:tcW w:w="0" w:type="auto"/>
            <w:gridSpan w:val="3"/>
            <w:shd w:val="clear" w:color="auto" w:fill="FFFFFF"/>
            <w:tcMar>
              <w:top w:w="40" w:type="dxa"/>
              <w:left w:w="20" w:type="dxa"/>
              <w:bottom w:w="40" w:type="dxa"/>
              <w:right w:w="20" w:type="dxa"/>
            </w:tcMar>
            <w:vAlign w:val="bottom"/>
          </w:tcPr>
          <w:p w14:paraId="74DE0EB5" w14:textId="77777777" w:rsidR="00584EC1" w:rsidRDefault="00871F8D">
            <w:pPr>
              <w:textAlignment w:val="bottom"/>
            </w:pPr>
            <w:r>
              <w:rPr>
                <w:rFonts w:ascii="Arial" w:eastAsia="宋体" w:hAnsi="Arial" w:cs="Arial"/>
                <w:color w:val="000000"/>
                <w:sz w:val="14"/>
                <w:szCs w:val="14"/>
              </w:rPr>
              <w:t>Long-term debt</w:t>
            </w:r>
          </w:p>
        </w:tc>
        <w:tc>
          <w:tcPr>
            <w:tcW w:w="0" w:type="auto"/>
            <w:gridSpan w:val="2"/>
            <w:shd w:val="clear" w:color="auto" w:fill="FFFFFF"/>
            <w:tcMar>
              <w:top w:w="40" w:type="dxa"/>
              <w:left w:w="20" w:type="dxa"/>
              <w:bottom w:w="40" w:type="dxa"/>
              <w:right w:w="0" w:type="dxa"/>
            </w:tcMar>
            <w:vAlign w:val="bottom"/>
          </w:tcPr>
          <w:p w14:paraId="74DE0EB6" w14:textId="77777777" w:rsidR="00584EC1" w:rsidRDefault="00871F8D">
            <w:pPr>
              <w:jc w:val="right"/>
              <w:textAlignment w:val="bottom"/>
            </w:pPr>
            <w:r>
              <w:rPr>
                <w:rFonts w:ascii="Arial" w:eastAsia="宋体" w:hAnsi="Arial" w:cs="Arial"/>
                <w:b/>
                <w:bCs/>
                <w:color w:val="000000"/>
                <w:sz w:val="14"/>
                <w:szCs w:val="14"/>
              </w:rPr>
              <w:t>51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E0EB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EB8"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EB9" w14:textId="77777777" w:rsidR="00584EC1" w:rsidRDefault="00871F8D">
            <w:pPr>
              <w:jc w:val="right"/>
              <w:textAlignment w:val="bottom"/>
            </w:pPr>
            <w:r>
              <w:rPr>
                <w:rFonts w:ascii="Arial" w:eastAsia="宋体" w:hAnsi="Arial" w:cs="Arial"/>
                <w:color w:val="000000"/>
                <w:sz w:val="14"/>
                <w:szCs w:val="14"/>
              </w:rPr>
              <w:t>69 </w:t>
            </w:r>
          </w:p>
        </w:tc>
        <w:tc>
          <w:tcPr>
            <w:tcW w:w="0" w:type="auto"/>
            <w:shd w:val="clear" w:color="auto" w:fill="FFFFFF"/>
            <w:tcMar>
              <w:top w:w="40" w:type="dxa"/>
              <w:left w:w="0" w:type="dxa"/>
              <w:bottom w:w="40" w:type="dxa"/>
              <w:right w:w="20" w:type="dxa"/>
            </w:tcMar>
            <w:vAlign w:val="bottom"/>
          </w:tcPr>
          <w:p w14:paraId="74DE0EB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EBB"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EBC" w14:textId="77777777" w:rsidR="00584EC1" w:rsidRDefault="00871F8D">
            <w:pPr>
              <w:jc w:val="right"/>
              <w:textAlignment w:val="bottom"/>
            </w:pPr>
            <w:r>
              <w:rPr>
                <w:rFonts w:ascii="Arial" w:eastAsia="宋体" w:hAnsi="Arial" w:cs="Arial"/>
                <w:b/>
                <w:bCs/>
                <w:color w:val="000000"/>
                <w:sz w:val="14"/>
                <w:szCs w:val="14"/>
              </w:rPr>
              <w:t>165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E0EB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EB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EBF" w14:textId="77777777" w:rsidR="00584EC1" w:rsidRDefault="00871F8D">
            <w:pPr>
              <w:jc w:val="right"/>
              <w:textAlignment w:val="bottom"/>
            </w:pPr>
            <w:r>
              <w:rPr>
                <w:rFonts w:ascii="Arial" w:eastAsia="宋体" w:hAnsi="Arial" w:cs="Arial"/>
                <w:color w:val="000000"/>
                <w:sz w:val="14"/>
                <w:szCs w:val="14"/>
              </w:rPr>
              <w:t>252 </w:t>
            </w:r>
          </w:p>
        </w:tc>
        <w:tc>
          <w:tcPr>
            <w:tcW w:w="0" w:type="auto"/>
            <w:shd w:val="clear" w:color="auto" w:fill="FFFFFF"/>
            <w:tcMar>
              <w:top w:w="40" w:type="dxa"/>
              <w:left w:w="0" w:type="dxa"/>
              <w:bottom w:w="40" w:type="dxa"/>
              <w:right w:w="20" w:type="dxa"/>
            </w:tcMar>
            <w:vAlign w:val="bottom"/>
          </w:tcPr>
          <w:p w14:paraId="74DE0EC0" w14:textId="77777777" w:rsidR="00584EC1" w:rsidRDefault="00584EC1">
            <w:pPr>
              <w:jc w:val="right"/>
              <w:rPr>
                <w:rFonts w:ascii="宋体"/>
              </w:rPr>
            </w:pPr>
          </w:p>
        </w:tc>
        <w:tc>
          <w:tcPr>
            <w:tcW w:w="0" w:type="auto"/>
            <w:gridSpan w:val="3"/>
            <w:shd w:val="clear" w:color="auto" w:fill="auto"/>
            <w:vAlign w:val="bottom"/>
          </w:tcPr>
          <w:p w14:paraId="74DE0EC1" w14:textId="77777777" w:rsidR="00584EC1" w:rsidRDefault="00584EC1">
            <w:pPr>
              <w:rPr>
                <w:rFonts w:ascii="宋体"/>
                <w:vanish/>
              </w:rPr>
            </w:pPr>
          </w:p>
        </w:tc>
        <w:tc>
          <w:tcPr>
            <w:tcW w:w="0" w:type="auto"/>
            <w:gridSpan w:val="3"/>
            <w:shd w:val="clear" w:color="auto" w:fill="auto"/>
            <w:vAlign w:val="bottom"/>
          </w:tcPr>
          <w:p w14:paraId="74DE0EC2" w14:textId="77777777" w:rsidR="00584EC1" w:rsidRDefault="00584EC1">
            <w:pPr>
              <w:rPr>
                <w:rFonts w:ascii="宋体"/>
                <w:vanish/>
              </w:rPr>
            </w:pPr>
          </w:p>
        </w:tc>
      </w:tr>
      <w:tr w:rsidR="00584EC1" w14:paraId="74DE0ED2" w14:textId="77777777">
        <w:tc>
          <w:tcPr>
            <w:tcW w:w="0" w:type="auto"/>
            <w:gridSpan w:val="3"/>
            <w:shd w:val="clear" w:color="auto" w:fill="CCEEFF"/>
            <w:tcMar>
              <w:top w:w="40" w:type="dxa"/>
              <w:left w:w="20" w:type="dxa"/>
              <w:bottom w:w="40" w:type="dxa"/>
              <w:right w:w="20" w:type="dxa"/>
            </w:tcMar>
            <w:vAlign w:val="bottom"/>
          </w:tcPr>
          <w:p w14:paraId="74DE0EC4" w14:textId="77777777" w:rsidR="00584EC1" w:rsidRDefault="00871F8D">
            <w:pPr>
              <w:textAlignment w:val="bottom"/>
            </w:pPr>
            <w:r>
              <w:rPr>
                <w:rFonts w:ascii="Arial" w:eastAsia="宋体" w:hAnsi="Arial" w:cs="Arial"/>
                <w:color w:val="000000"/>
                <w:sz w:val="14"/>
                <w:szCs w:val="14"/>
              </w:rPr>
              <w:t>Other interest-bearing liabilities</w:t>
            </w:r>
          </w:p>
        </w:tc>
        <w:tc>
          <w:tcPr>
            <w:tcW w:w="0" w:type="auto"/>
            <w:gridSpan w:val="2"/>
            <w:shd w:val="clear" w:color="auto" w:fill="CCEEFF"/>
            <w:tcMar>
              <w:top w:w="40" w:type="dxa"/>
              <w:left w:w="20" w:type="dxa"/>
              <w:bottom w:w="40" w:type="dxa"/>
              <w:right w:w="0" w:type="dxa"/>
            </w:tcMar>
            <w:vAlign w:val="bottom"/>
          </w:tcPr>
          <w:p w14:paraId="74DE0EC5" w14:textId="77777777" w:rsidR="00584EC1" w:rsidRDefault="00871F8D">
            <w:pPr>
              <w:jc w:val="right"/>
              <w:textAlignment w:val="bottom"/>
            </w:pPr>
            <w:r>
              <w:rPr>
                <w:rFonts w:ascii="Arial" w:eastAsia="宋体" w:hAnsi="Arial" w:cs="Arial"/>
                <w:b/>
                <w:bCs/>
                <w:color w:val="000000"/>
                <w:sz w:val="14"/>
                <w:szCs w:val="14"/>
              </w:rPr>
              <w:t>11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E0EC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EC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EC8" w14:textId="77777777" w:rsidR="00584EC1" w:rsidRDefault="00871F8D">
            <w:pPr>
              <w:jc w:val="right"/>
              <w:textAlignment w:val="bottom"/>
            </w:pPr>
            <w:r>
              <w:rPr>
                <w:rFonts w:ascii="Arial" w:eastAsia="宋体" w:hAnsi="Arial" w:cs="Arial"/>
                <w:color w:val="000000"/>
                <w:sz w:val="14"/>
                <w:szCs w:val="14"/>
              </w:rPr>
              <w:t>9 </w:t>
            </w:r>
          </w:p>
        </w:tc>
        <w:tc>
          <w:tcPr>
            <w:tcW w:w="0" w:type="auto"/>
            <w:shd w:val="clear" w:color="auto" w:fill="CCEEFF"/>
            <w:tcMar>
              <w:top w:w="40" w:type="dxa"/>
              <w:left w:w="0" w:type="dxa"/>
              <w:bottom w:w="40" w:type="dxa"/>
              <w:right w:w="20" w:type="dxa"/>
            </w:tcMar>
            <w:vAlign w:val="bottom"/>
          </w:tcPr>
          <w:p w14:paraId="74DE0EC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ECA"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ECB" w14:textId="77777777" w:rsidR="00584EC1" w:rsidRDefault="00871F8D">
            <w:pPr>
              <w:jc w:val="right"/>
              <w:textAlignment w:val="bottom"/>
            </w:pPr>
            <w:r>
              <w:rPr>
                <w:rFonts w:ascii="Arial" w:eastAsia="宋体" w:hAnsi="Arial" w:cs="Arial"/>
                <w:b/>
                <w:bCs/>
                <w:color w:val="000000"/>
                <w:sz w:val="14"/>
                <w:szCs w:val="14"/>
              </w:rPr>
              <w:t>30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E0EC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EC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ECE" w14:textId="77777777" w:rsidR="00584EC1" w:rsidRDefault="00871F8D">
            <w:pPr>
              <w:jc w:val="right"/>
              <w:textAlignment w:val="bottom"/>
            </w:pPr>
            <w:r>
              <w:rPr>
                <w:rFonts w:ascii="Arial" w:eastAsia="宋体" w:hAnsi="Arial" w:cs="Arial"/>
                <w:color w:val="000000"/>
                <w:sz w:val="14"/>
                <w:szCs w:val="14"/>
              </w:rPr>
              <w:t>49 </w:t>
            </w:r>
          </w:p>
        </w:tc>
        <w:tc>
          <w:tcPr>
            <w:tcW w:w="0" w:type="auto"/>
            <w:shd w:val="clear" w:color="auto" w:fill="CCEEFF"/>
            <w:tcMar>
              <w:top w:w="40" w:type="dxa"/>
              <w:left w:w="0" w:type="dxa"/>
              <w:bottom w:w="40" w:type="dxa"/>
              <w:right w:w="20" w:type="dxa"/>
            </w:tcMar>
            <w:vAlign w:val="bottom"/>
          </w:tcPr>
          <w:p w14:paraId="74DE0ECF" w14:textId="77777777" w:rsidR="00584EC1" w:rsidRDefault="00584EC1">
            <w:pPr>
              <w:jc w:val="right"/>
              <w:rPr>
                <w:rFonts w:ascii="宋体"/>
              </w:rPr>
            </w:pPr>
          </w:p>
        </w:tc>
        <w:tc>
          <w:tcPr>
            <w:tcW w:w="0" w:type="auto"/>
            <w:gridSpan w:val="3"/>
            <w:shd w:val="clear" w:color="auto" w:fill="auto"/>
            <w:vAlign w:val="bottom"/>
          </w:tcPr>
          <w:p w14:paraId="74DE0ED0" w14:textId="77777777" w:rsidR="00584EC1" w:rsidRDefault="00584EC1">
            <w:pPr>
              <w:rPr>
                <w:rFonts w:ascii="宋体"/>
                <w:vanish/>
              </w:rPr>
            </w:pPr>
          </w:p>
        </w:tc>
        <w:tc>
          <w:tcPr>
            <w:tcW w:w="0" w:type="auto"/>
            <w:gridSpan w:val="3"/>
            <w:shd w:val="clear" w:color="auto" w:fill="auto"/>
            <w:vAlign w:val="bottom"/>
          </w:tcPr>
          <w:p w14:paraId="74DE0ED1" w14:textId="77777777" w:rsidR="00584EC1" w:rsidRDefault="00584EC1">
            <w:pPr>
              <w:rPr>
                <w:rFonts w:ascii="宋体"/>
                <w:vanish/>
              </w:rPr>
            </w:pPr>
          </w:p>
        </w:tc>
      </w:tr>
      <w:tr w:rsidR="00584EC1" w14:paraId="74DE0EE1" w14:textId="77777777">
        <w:tc>
          <w:tcPr>
            <w:tcW w:w="0" w:type="auto"/>
            <w:gridSpan w:val="3"/>
            <w:shd w:val="clear" w:color="auto" w:fill="FFFFFF"/>
            <w:tcMar>
              <w:top w:w="40" w:type="dxa"/>
              <w:left w:w="20" w:type="dxa"/>
              <w:bottom w:w="40" w:type="dxa"/>
              <w:right w:w="20" w:type="dxa"/>
            </w:tcMar>
            <w:vAlign w:val="bottom"/>
          </w:tcPr>
          <w:p w14:paraId="74DE0ED3" w14:textId="77777777" w:rsidR="00584EC1" w:rsidRDefault="00871F8D">
            <w:pPr>
              <w:textAlignment w:val="bottom"/>
            </w:pPr>
            <w:r>
              <w:rPr>
                <w:rFonts w:ascii="Arial" w:eastAsia="宋体" w:hAnsi="Arial" w:cs="Arial"/>
                <w:color w:val="000000"/>
                <w:sz w:val="14"/>
                <w:szCs w:val="14"/>
              </w:rPr>
              <w:t>Total interest expense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0ED4"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0ED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ED6"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0ED7" w14:textId="77777777" w:rsidR="00584EC1" w:rsidRDefault="00871F8D">
            <w:pPr>
              <w:jc w:val="right"/>
              <w:textAlignment w:val="bottom"/>
            </w:pPr>
            <w:r>
              <w:rPr>
                <w:rFonts w:ascii="Arial" w:eastAsia="宋体" w:hAnsi="Arial" w:cs="Arial"/>
                <w:color w:val="000000"/>
                <w:sz w:val="14"/>
                <w:szCs w:val="14"/>
              </w:rPr>
              <w:t>42 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0ED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ED9"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0EDA" w14:textId="77777777" w:rsidR="00584EC1" w:rsidRDefault="00871F8D">
            <w:pPr>
              <w:jc w:val="right"/>
              <w:textAlignment w:val="bottom"/>
            </w:pPr>
            <w:r>
              <w:rPr>
                <w:rFonts w:ascii="Arial" w:eastAsia="宋体" w:hAnsi="Arial" w:cs="Arial"/>
                <w:b/>
                <w:bCs/>
                <w:color w:val="000000"/>
                <w:sz w:val="14"/>
                <w:szCs w:val="14"/>
              </w:rPr>
              <w:t>4</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0ED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EDC"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0EDD" w14:textId="77777777" w:rsidR="00584EC1" w:rsidRDefault="00871F8D">
            <w:pPr>
              <w:jc w:val="right"/>
              <w:textAlignment w:val="bottom"/>
            </w:pPr>
            <w:r>
              <w:rPr>
                <w:rFonts w:ascii="Arial" w:eastAsia="宋体" w:hAnsi="Arial" w:cs="Arial"/>
                <w:color w:val="000000"/>
                <w:sz w:val="14"/>
                <w:szCs w:val="14"/>
              </w:rPr>
              <w:t>361 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0EDE" w14:textId="77777777" w:rsidR="00584EC1" w:rsidRDefault="00584EC1">
            <w:pPr>
              <w:jc w:val="right"/>
              <w:rPr>
                <w:rFonts w:ascii="宋体"/>
              </w:rPr>
            </w:pPr>
          </w:p>
        </w:tc>
        <w:tc>
          <w:tcPr>
            <w:tcW w:w="0" w:type="auto"/>
            <w:gridSpan w:val="3"/>
            <w:shd w:val="clear" w:color="auto" w:fill="auto"/>
            <w:vAlign w:val="bottom"/>
          </w:tcPr>
          <w:p w14:paraId="74DE0EDF" w14:textId="77777777" w:rsidR="00584EC1" w:rsidRDefault="00584EC1">
            <w:pPr>
              <w:rPr>
                <w:rFonts w:ascii="宋体"/>
                <w:vanish/>
              </w:rPr>
            </w:pPr>
          </w:p>
        </w:tc>
        <w:tc>
          <w:tcPr>
            <w:tcW w:w="0" w:type="auto"/>
            <w:gridSpan w:val="3"/>
            <w:shd w:val="clear" w:color="auto" w:fill="auto"/>
            <w:vAlign w:val="bottom"/>
          </w:tcPr>
          <w:p w14:paraId="74DE0EE0" w14:textId="77777777" w:rsidR="00584EC1" w:rsidRDefault="00584EC1">
            <w:pPr>
              <w:rPr>
                <w:rFonts w:ascii="宋体"/>
                <w:vanish/>
              </w:rPr>
            </w:pPr>
          </w:p>
        </w:tc>
      </w:tr>
      <w:tr w:rsidR="00584EC1" w14:paraId="74DE0EF4" w14:textId="77777777">
        <w:tc>
          <w:tcPr>
            <w:tcW w:w="0" w:type="auto"/>
            <w:gridSpan w:val="3"/>
            <w:shd w:val="clear" w:color="auto" w:fill="CCEEFF"/>
            <w:tcMar>
              <w:top w:w="40" w:type="dxa"/>
              <w:left w:w="20" w:type="dxa"/>
              <w:bottom w:w="40" w:type="dxa"/>
              <w:right w:w="20" w:type="dxa"/>
            </w:tcMar>
            <w:vAlign w:val="bottom"/>
          </w:tcPr>
          <w:p w14:paraId="74DE0EE2" w14:textId="77777777" w:rsidR="00584EC1" w:rsidRDefault="00871F8D">
            <w:pPr>
              <w:textAlignment w:val="bottom"/>
            </w:pPr>
            <w:r>
              <w:rPr>
                <w:rFonts w:ascii="Arial" w:eastAsia="宋体" w:hAnsi="Arial" w:cs="Arial"/>
                <w:b/>
                <w:bCs/>
                <w:color w:val="000000"/>
                <w:sz w:val="14"/>
                <w:szCs w:val="14"/>
              </w:rPr>
              <w:t>Net interest income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E0EE3"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E0EE4" w14:textId="77777777" w:rsidR="00584EC1" w:rsidRDefault="00871F8D">
            <w:pPr>
              <w:jc w:val="right"/>
              <w:textAlignment w:val="bottom"/>
            </w:pPr>
            <w:r>
              <w:rPr>
                <w:rFonts w:ascii="Arial" w:eastAsia="宋体" w:hAnsi="Arial" w:cs="Arial"/>
                <w:b/>
                <w:bCs/>
                <w:color w:val="000000"/>
                <w:sz w:val="14"/>
                <w:szCs w:val="14"/>
              </w:rPr>
              <w:t>487</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E0EE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EE6"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E0EE7"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E0EE8" w14:textId="77777777" w:rsidR="00584EC1" w:rsidRDefault="00871F8D">
            <w:pPr>
              <w:jc w:val="right"/>
              <w:textAlignment w:val="bottom"/>
            </w:pPr>
            <w:r>
              <w:rPr>
                <w:rFonts w:ascii="Arial" w:eastAsia="宋体" w:hAnsi="Arial" w:cs="Arial"/>
                <w:color w:val="000000"/>
                <w:sz w:val="14"/>
                <w:szCs w:val="14"/>
              </w:rPr>
              <w:t>478 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E0EE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EEA"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E0EEB"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E0EEC" w14:textId="77777777" w:rsidR="00584EC1" w:rsidRDefault="00871F8D">
            <w:pPr>
              <w:jc w:val="right"/>
              <w:textAlignment w:val="bottom"/>
            </w:pPr>
            <w:r>
              <w:rPr>
                <w:rFonts w:ascii="Arial" w:eastAsia="宋体" w:hAnsi="Arial" w:cs="Arial"/>
                <w:b/>
                <w:bCs/>
                <w:color w:val="000000"/>
                <w:sz w:val="14"/>
                <w:szCs w:val="14"/>
              </w:rPr>
              <w:t>1,421</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E0EE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EEE"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E0EEF"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E0EF0" w14:textId="77777777" w:rsidR="00584EC1" w:rsidRDefault="00871F8D">
            <w:pPr>
              <w:jc w:val="right"/>
              <w:textAlignment w:val="bottom"/>
            </w:pPr>
            <w:r>
              <w:rPr>
                <w:rFonts w:ascii="Arial" w:eastAsia="宋体" w:hAnsi="Arial" w:cs="Arial"/>
                <w:color w:val="000000"/>
                <w:sz w:val="14"/>
                <w:szCs w:val="14"/>
              </w:rPr>
              <w:t>1,701 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E0EF1" w14:textId="77777777" w:rsidR="00584EC1" w:rsidRDefault="00584EC1">
            <w:pPr>
              <w:jc w:val="right"/>
              <w:rPr>
                <w:rFonts w:ascii="宋体"/>
              </w:rPr>
            </w:pPr>
          </w:p>
        </w:tc>
        <w:tc>
          <w:tcPr>
            <w:tcW w:w="0" w:type="auto"/>
            <w:gridSpan w:val="3"/>
            <w:shd w:val="clear" w:color="auto" w:fill="auto"/>
            <w:vAlign w:val="bottom"/>
          </w:tcPr>
          <w:p w14:paraId="74DE0EF2" w14:textId="77777777" w:rsidR="00584EC1" w:rsidRDefault="00584EC1">
            <w:pPr>
              <w:rPr>
                <w:rFonts w:ascii="宋体"/>
                <w:vanish/>
              </w:rPr>
            </w:pPr>
          </w:p>
        </w:tc>
        <w:tc>
          <w:tcPr>
            <w:tcW w:w="0" w:type="auto"/>
            <w:gridSpan w:val="3"/>
            <w:shd w:val="clear" w:color="auto" w:fill="auto"/>
            <w:vAlign w:val="bottom"/>
          </w:tcPr>
          <w:p w14:paraId="74DE0EF3" w14:textId="77777777" w:rsidR="00584EC1" w:rsidRDefault="00584EC1">
            <w:pPr>
              <w:rPr>
                <w:rFonts w:ascii="宋体"/>
                <w:vanish/>
              </w:rPr>
            </w:pPr>
          </w:p>
        </w:tc>
      </w:tr>
    </w:tbl>
    <w:p w14:paraId="74DE0EF5" w14:textId="77777777" w:rsidR="00584EC1" w:rsidRDefault="00871F8D">
      <w:pPr>
        <w:spacing w:before="180"/>
        <w:jc w:val="both"/>
      </w:pPr>
      <w:r>
        <w:rPr>
          <w:rFonts w:ascii="Arial" w:eastAsia="宋体" w:hAnsi="Arial" w:cs="Arial"/>
          <w:b/>
          <w:bCs/>
          <w:color w:val="000000"/>
          <w:sz w:val="20"/>
          <w:szCs w:val="20"/>
        </w:rPr>
        <w:t>Note 15.    Expenses</w:t>
      </w:r>
    </w:p>
    <w:p w14:paraId="74DE0EF6" w14:textId="77777777" w:rsidR="00584EC1" w:rsidRDefault="00871F8D">
      <w:pPr>
        <w:spacing w:before="60"/>
        <w:ind w:firstLine="450"/>
        <w:jc w:val="both"/>
      </w:pPr>
      <w:r>
        <w:rPr>
          <w:rFonts w:ascii="Arial" w:eastAsia="宋体" w:hAnsi="Arial" w:cs="Arial"/>
          <w:color w:val="000000"/>
          <w:sz w:val="20"/>
          <w:szCs w:val="20"/>
        </w:rPr>
        <w:t>The following table presents the components of other expenses for the periods</w:t>
      </w:r>
      <w:r>
        <w:rPr>
          <w:rFonts w:ascii="Arial" w:eastAsia="宋体" w:hAnsi="Arial" w:cs="Arial"/>
          <w:color w:val="000000"/>
          <w:sz w:val="20"/>
          <w:szCs w:val="20"/>
        </w:rPr>
        <w:t xml:space="preserve"> indicated: </w:t>
      </w:r>
    </w:p>
    <w:tbl>
      <w:tblPr>
        <w:tblW w:w="5000" w:type="pct"/>
        <w:tblCellMar>
          <w:top w:w="15" w:type="dxa"/>
          <w:left w:w="15" w:type="dxa"/>
          <w:bottom w:w="15" w:type="dxa"/>
          <w:right w:w="15" w:type="dxa"/>
        </w:tblCellMar>
        <w:tblLook w:val="04A0" w:firstRow="1" w:lastRow="0" w:firstColumn="1" w:lastColumn="0" w:noHBand="0" w:noVBand="1"/>
      </w:tblPr>
      <w:tblGrid>
        <w:gridCol w:w="38"/>
        <w:gridCol w:w="3005"/>
        <w:gridCol w:w="37"/>
        <w:gridCol w:w="98"/>
        <w:gridCol w:w="1045"/>
        <w:gridCol w:w="36"/>
        <w:gridCol w:w="36"/>
        <w:gridCol w:w="36"/>
        <w:gridCol w:w="36"/>
        <w:gridCol w:w="98"/>
        <w:gridCol w:w="1045"/>
        <w:gridCol w:w="36"/>
        <w:gridCol w:w="36"/>
        <w:gridCol w:w="36"/>
        <w:gridCol w:w="36"/>
        <w:gridCol w:w="98"/>
        <w:gridCol w:w="1045"/>
        <w:gridCol w:w="36"/>
        <w:gridCol w:w="36"/>
        <w:gridCol w:w="36"/>
        <w:gridCol w:w="36"/>
        <w:gridCol w:w="98"/>
        <w:gridCol w:w="1045"/>
        <w:gridCol w:w="36"/>
        <w:gridCol w:w="36"/>
        <w:gridCol w:w="36"/>
        <w:gridCol w:w="36"/>
        <w:gridCol w:w="36"/>
        <w:gridCol w:w="36"/>
        <w:gridCol w:w="36"/>
      </w:tblGrid>
      <w:tr w:rsidR="00584EC1" w14:paraId="74DE0F11" w14:textId="77777777">
        <w:tc>
          <w:tcPr>
            <w:tcW w:w="50" w:type="pct"/>
            <w:shd w:val="clear" w:color="auto" w:fill="auto"/>
            <w:vAlign w:val="bottom"/>
          </w:tcPr>
          <w:p w14:paraId="74DE0EF7" w14:textId="77777777" w:rsidR="00584EC1" w:rsidRDefault="00584EC1">
            <w:pPr>
              <w:rPr>
                <w:rFonts w:ascii="宋体"/>
              </w:rPr>
            </w:pPr>
          </w:p>
        </w:tc>
        <w:tc>
          <w:tcPr>
            <w:tcW w:w="1904" w:type="pct"/>
            <w:shd w:val="clear" w:color="auto" w:fill="auto"/>
            <w:vAlign w:val="bottom"/>
          </w:tcPr>
          <w:p w14:paraId="74DE0EF8" w14:textId="77777777" w:rsidR="00584EC1" w:rsidRDefault="00584EC1">
            <w:pPr>
              <w:rPr>
                <w:rFonts w:ascii="宋体"/>
              </w:rPr>
            </w:pPr>
          </w:p>
        </w:tc>
        <w:tc>
          <w:tcPr>
            <w:tcW w:w="5" w:type="pct"/>
            <w:shd w:val="clear" w:color="auto" w:fill="auto"/>
            <w:vAlign w:val="bottom"/>
          </w:tcPr>
          <w:p w14:paraId="74DE0EF9" w14:textId="77777777" w:rsidR="00584EC1" w:rsidRDefault="00584EC1">
            <w:pPr>
              <w:rPr>
                <w:rFonts w:ascii="宋体"/>
              </w:rPr>
            </w:pPr>
          </w:p>
        </w:tc>
        <w:tc>
          <w:tcPr>
            <w:tcW w:w="50" w:type="pct"/>
            <w:shd w:val="clear" w:color="auto" w:fill="auto"/>
            <w:vAlign w:val="bottom"/>
          </w:tcPr>
          <w:p w14:paraId="74DE0EFA" w14:textId="77777777" w:rsidR="00584EC1" w:rsidRDefault="00584EC1">
            <w:pPr>
              <w:rPr>
                <w:rFonts w:ascii="宋体"/>
              </w:rPr>
            </w:pPr>
          </w:p>
        </w:tc>
        <w:tc>
          <w:tcPr>
            <w:tcW w:w="683" w:type="pct"/>
            <w:shd w:val="clear" w:color="auto" w:fill="auto"/>
            <w:vAlign w:val="bottom"/>
          </w:tcPr>
          <w:p w14:paraId="74DE0EFB" w14:textId="77777777" w:rsidR="00584EC1" w:rsidRDefault="00584EC1">
            <w:pPr>
              <w:rPr>
                <w:rFonts w:ascii="宋体"/>
              </w:rPr>
            </w:pPr>
          </w:p>
        </w:tc>
        <w:tc>
          <w:tcPr>
            <w:tcW w:w="5" w:type="pct"/>
            <w:shd w:val="clear" w:color="auto" w:fill="auto"/>
            <w:vAlign w:val="bottom"/>
          </w:tcPr>
          <w:p w14:paraId="74DE0EFC" w14:textId="77777777" w:rsidR="00584EC1" w:rsidRDefault="00584EC1">
            <w:pPr>
              <w:rPr>
                <w:rFonts w:ascii="宋体"/>
              </w:rPr>
            </w:pPr>
          </w:p>
        </w:tc>
        <w:tc>
          <w:tcPr>
            <w:tcW w:w="5" w:type="pct"/>
            <w:shd w:val="clear" w:color="auto" w:fill="auto"/>
            <w:vAlign w:val="bottom"/>
          </w:tcPr>
          <w:p w14:paraId="74DE0EFD" w14:textId="77777777" w:rsidR="00584EC1" w:rsidRDefault="00584EC1">
            <w:pPr>
              <w:rPr>
                <w:rFonts w:ascii="宋体"/>
              </w:rPr>
            </w:pPr>
          </w:p>
        </w:tc>
        <w:tc>
          <w:tcPr>
            <w:tcW w:w="19" w:type="pct"/>
            <w:shd w:val="clear" w:color="auto" w:fill="auto"/>
            <w:vAlign w:val="bottom"/>
          </w:tcPr>
          <w:p w14:paraId="74DE0EFE" w14:textId="77777777" w:rsidR="00584EC1" w:rsidRDefault="00584EC1">
            <w:pPr>
              <w:rPr>
                <w:rFonts w:ascii="宋体"/>
              </w:rPr>
            </w:pPr>
          </w:p>
        </w:tc>
        <w:tc>
          <w:tcPr>
            <w:tcW w:w="5" w:type="pct"/>
            <w:shd w:val="clear" w:color="auto" w:fill="auto"/>
            <w:vAlign w:val="bottom"/>
          </w:tcPr>
          <w:p w14:paraId="74DE0EFF" w14:textId="77777777" w:rsidR="00584EC1" w:rsidRDefault="00584EC1">
            <w:pPr>
              <w:rPr>
                <w:rFonts w:ascii="宋体"/>
              </w:rPr>
            </w:pPr>
          </w:p>
        </w:tc>
        <w:tc>
          <w:tcPr>
            <w:tcW w:w="50" w:type="pct"/>
            <w:shd w:val="clear" w:color="auto" w:fill="auto"/>
            <w:vAlign w:val="bottom"/>
          </w:tcPr>
          <w:p w14:paraId="74DE0F00" w14:textId="77777777" w:rsidR="00584EC1" w:rsidRDefault="00584EC1">
            <w:pPr>
              <w:rPr>
                <w:rFonts w:ascii="宋体"/>
              </w:rPr>
            </w:pPr>
          </w:p>
        </w:tc>
        <w:tc>
          <w:tcPr>
            <w:tcW w:w="683" w:type="pct"/>
            <w:shd w:val="clear" w:color="auto" w:fill="auto"/>
            <w:vAlign w:val="bottom"/>
          </w:tcPr>
          <w:p w14:paraId="74DE0F01" w14:textId="77777777" w:rsidR="00584EC1" w:rsidRDefault="00584EC1">
            <w:pPr>
              <w:rPr>
                <w:rFonts w:ascii="宋体"/>
              </w:rPr>
            </w:pPr>
          </w:p>
        </w:tc>
        <w:tc>
          <w:tcPr>
            <w:tcW w:w="5" w:type="pct"/>
            <w:shd w:val="clear" w:color="auto" w:fill="auto"/>
            <w:vAlign w:val="bottom"/>
          </w:tcPr>
          <w:p w14:paraId="74DE0F02" w14:textId="77777777" w:rsidR="00584EC1" w:rsidRDefault="00584EC1">
            <w:pPr>
              <w:rPr>
                <w:rFonts w:ascii="宋体"/>
              </w:rPr>
            </w:pPr>
          </w:p>
        </w:tc>
        <w:tc>
          <w:tcPr>
            <w:tcW w:w="5" w:type="pct"/>
            <w:shd w:val="clear" w:color="auto" w:fill="auto"/>
            <w:vAlign w:val="bottom"/>
          </w:tcPr>
          <w:p w14:paraId="74DE0F03" w14:textId="77777777" w:rsidR="00584EC1" w:rsidRDefault="00584EC1">
            <w:pPr>
              <w:rPr>
                <w:rFonts w:ascii="宋体"/>
              </w:rPr>
            </w:pPr>
          </w:p>
        </w:tc>
        <w:tc>
          <w:tcPr>
            <w:tcW w:w="19" w:type="pct"/>
            <w:shd w:val="clear" w:color="auto" w:fill="auto"/>
            <w:vAlign w:val="bottom"/>
          </w:tcPr>
          <w:p w14:paraId="74DE0F04" w14:textId="77777777" w:rsidR="00584EC1" w:rsidRDefault="00584EC1">
            <w:pPr>
              <w:rPr>
                <w:rFonts w:ascii="宋体"/>
              </w:rPr>
            </w:pPr>
          </w:p>
        </w:tc>
        <w:tc>
          <w:tcPr>
            <w:tcW w:w="5" w:type="pct"/>
            <w:shd w:val="clear" w:color="auto" w:fill="auto"/>
            <w:vAlign w:val="bottom"/>
          </w:tcPr>
          <w:p w14:paraId="74DE0F05" w14:textId="77777777" w:rsidR="00584EC1" w:rsidRDefault="00584EC1">
            <w:pPr>
              <w:rPr>
                <w:rFonts w:ascii="宋体"/>
              </w:rPr>
            </w:pPr>
          </w:p>
        </w:tc>
        <w:tc>
          <w:tcPr>
            <w:tcW w:w="50" w:type="pct"/>
            <w:shd w:val="clear" w:color="auto" w:fill="auto"/>
            <w:vAlign w:val="bottom"/>
          </w:tcPr>
          <w:p w14:paraId="74DE0F06" w14:textId="77777777" w:rsidR="00584EC1" w:rsidRDefault="00584EC1">
            <w:pPr>
              <w:rPr>
                <w:rFonts w:ascii="宋体"/>
              </w:rPr>
            </w:pPr>
          </w:p>
        </w:tc>
        <w:tc>
          <w:tcPr>
            <w:tcW w:w="683" w:type="pct"/>
            <w:shd w:val="clear" w:color="auto" w:fill="auto"/>
            <w:vAlign w:val="bottom"/>
          </w:tcPr>
          <w:p w14:paraId="74DE0F07" w14:textId="77777777" w:rsidR="00584EC1" w:rsidRDefault="00584EC1">
            <w:pPr>
              <w:rPr>
                <w:rFonts w:ascii="宋体"/>
              </w:rPr>
            </w:pPr>
          </w:p>
        </w:tc>
        <w:tc>
          <w:tcPr>
            <w:tcW w:w="5" w:type="pct"/>
            <w:shd w:val="clear" w:color="auto" w:fill="auto"/>
            <w:vAlign w:val="bottom"/>
          </w:tcPr>
          <w:p w14:paraId="74DE0F08" w14:textId="77777777" w:rsidR="00584EC1" w:rsidRDefault="00584EC1">
            <w:pPr>
              <w:rPr>
                <w:rFonts w:ascii="宋体"/>
              </w:rPr>
            </w:pPr>
          </w:p>
        </w:tc>
        <w:tc>
          <w:tcPr>
            <w:tcW w:w="5" w:type="pct"/>
            <w:shd w:val="clear" w:color="auto" w:fill="auto"/>
            <w:vAlign w:val="bottom"/>
          </w:tcPr>
          <w:p w14:paraId="74DE0F09" w14:textId="77777777" w:rsidR="00584EC1" w:rsidRDefault="00584EC1">
            <w:pPr>
              <w:rPr>
                <w:rFonts w:ascii="宋体"/>
              </w:rPr>
            </w:pPr>
          </w:p>
        </w:tc>
        <w:tc>
          <w:tcPr>
            <w:tcW w:w="19" w:type="pct"/>
            <w:shd w:val="clear" w:color="auto" w:fill="auto"/>
            <w:vAlign w:val="bottom"/>
          </w:tcPr>
          <w:p w14:paraId="74DE0F0A" w14:textId="77777777" w:rsidR="00584EC1" w:rsidRDefault="00584EC1">
            <w:pPr>
              <w:rPr>
                <w:rFonts w:ascii="宋体"/>
              </w:rPr>
            </w:pPr>
          </w:p>
        </w:tc>
        <w:tc>
          <w:tcPr>
            <w:tcW w:w="5" w:type="pct"/>
            <w:shd w:val="clear" w:color="auto" w:fill="auto"/>
            <w:vAlign w:val="bottom"/>
          </w:tcPr>
          <w:p w14:paraId="74DE0F0B" w14:textId="77777777" w:rsidR="00584EC1" w:rsidRDefault="00584EC1">
            <w:pPr>
              <w:rPr>
                <w:rFonts w:ascii="宋体"/>
              </w:rPr>
            </w:pPr>
          </w:p>
        </w:tc>
        <w:tc>
          <w:tcPr>
            <w:tcW w:w="50" w:type="pct"/>
            <w:shd w:val="clear" w:color="auto" w:fill="auto"/>
            <w:vAlign w:val="bottom"/>
          </w:tcPr>
          <w:p w14:paraId="74DE0F0C" w14:textId="77777777" w:rsidR="00584EC1" w:rsidRDefault="00584EC1">
            <w:pPr>
              <w:rPr>
                <w:rFonts w:ascii="宋体"/>
              </w:rPr>
            </w:pPr>
          </w:p>
        </w:tc>
        <w:tc>
          <w:tcPr>
            <w:tcW w:w="683" w:type="pct"/>
            <w:shd w:val="clear" w:color="auto" w:fill="auto"/>
            <w:vAlign w:val="bottom"/>
          </w:tcPr>
          <w:p w14:paraId="74DE0F0D" w14:textId="77777777" w:rsidR="00584EC1" w:rsidRDefault="00584EC1">
            <w:pPr>
              <w:rPr>
                <w:rFonts w:ascii="宋体"/>
              </w:rPr>
            </w:pPr>
          </w:p>
        </w:tc>
        <w:tc>
          <w:tcPr>
            <w:tcW w:w="5" w:type="pct"/>
            <w:shd w:val="clear" w:color="auto" w:fill="auto"/>
            <w:vAlign w:val="bottom"/>
          </w:tcPr>
          <w:p w14:paraId="74DE0F0E" w14:textId="77777777" w:rsidR="00584EC1" w:rsidRDefault="00584EC1">
            <w:pPr>
              <w:rPr>
                <w:rFonts w:ascii="宋体"/>
              </w:rPr>
            </w:pPr>
          </w:p>
        </w:tc>
        <w:tc>
          <w:tcPr>
            <w:tcW w:w="0" w:type="auto"/>
            <w:gridSpan w:val="3"/>
            <w:shd w:val="clear" w:color="auto" w:fill="auto"/>
            <w:vAlign w:val="bottom"/>
          </w:tcPr>
          <w:p w14:paraId="74DE0F0F" w14:textId="77777777" w:rsidR="00584EC1" w:rsidRDefault="00584EC1">
            <w:pPr>
              <w:rPr>
                <w:rFonts w:ascii="宋体"/>
                <w:vanish/>
              </w:rPr>
            </w:pPr>
          </w:p>
        </w:tc>
        <w:tc>
          <w:tcPr>
            <w:tcW w:w="0" w:type="auto"/>
            <w:gridSpan w:val="3"/>
            <w:shd w:val="clear" w:color="auto" w:fill="auto"/>
            <w:vAlign w:val="bottom"/>
          </w:tcPr>
          <w:p w14:paraId="74DE0F10" w14:textId="77777777" w:rsidR="00584EC1" w:rsidRDefault="00584EC1">
            <w:pPr>
              <w:rPr>
                <w:rFonts w:ascii="宋体"/>
                <w:vanish/>
              </w:rPr>
            </w:pPr>
          </w:p>
        </w:tc>
      </w:tr>
      <w:tr w:rsidR="00584EC1" w14:paraId="74DE0F1C" w14:textId="77777777">
        <w:tc>
          <w:tcPr>
            <w:tcW w:w="0" w:type="auto"/>
            <w:gridSpan w:val="3"/>
            <w:shd w:val="clear" w:color="auto" w:fill="auto"/>
            <w:tcMar>
              <w:top w:w="0" w:type="dxa"/>
              <w:left w:w="20" w:type="dxa"/>
              <w:bottom w:w="0" w:type="dxa"/>
              <w:right w:w="20" w:type="dxa"/>
            </w:tcMar>
            <w:vAlign w:val="bottom"/>
          </w:tcPr>
          <w:p w14:paraId="74DE0F12" w14:textId="77777777" w:rsidR="00584EC1" w:rsidRDefault="00584EC1">
            <w:pPr>
              <w:rPr>
                <w:rFonts w:ascii="宋体"/>
              </w:rPr>
            </w:pPr>
          </w:p>
        </w:tc>
        <w:tc>
          <w:tcPr>
            <w:tcW w:w="0" w:type="auto"/>
            <w:gridSpan w:val="9"/>
            <w:shd w:val="clear" w:color="auto" w:fill="auto"/>
            <w:tcMar>
              <w:top w:w="40" w:type="dxa"/>
              <w:left w:w="20" w:type="dxa"/>
              <w:bottom w:w="40" w:type="dxa"/>
              <w:right w:w="20" w:type="dxa"/>
            </w:tcMar>
            <w:vAlign w:val="bottom"/>
          </w:tcPr>
          <w:p w14:paraId="74DE0F13" w14:textId="77777777" w:rsidR="00584EC1" w:rsidRDefault="00871F8D">
            <w:pPr>
              <w:jc w:val="center"/>
              <w:textAlignment w:val="bottom"/>
            </w:pPr>
            <w:r>
              <w:rPr>
                <w:rFonts w:ascii="Arial" w:eastAsia="宋体" w:hAnsi="Arial" w:cs="Arial"/>
                <w:b/>
                <w:bCs/>
                <w:color w:val="000000"/>
                <w:sz w:val="14"/>
                <w:szCs w:val="14"/>
              </w:rPr>
              <w:t>Three Months Ended September 30,</w:t>
            </w:r>
          </w:p>
        </w:tc>
        <w:tc>
          <w:tcPr>
            <w:tcW w:w="0" w:type="auto"/>
            <w:gridSpan w:val="3"/>
            <w:shd w:val="clear" w:color="auto" w:fill="auto"/>
            <w:tcMar>
              <w:top w:w="0" w:type="dxa"/>
              <w:left w:w="20" w:type="dxa"/>
              <w:bottom w:w="0" w:type="dxa"/>
              <w:right w:w="20" w:type="dxa"/>
            </w:tcMar>
            <w:vAlign w:val="bottom"/>
          </w:tcPr>
          <w:p w14:paraId="74DE0F14" w14:textId="77777777" w:rsidR="00584EC1" w:rsidRDefault="00584EC1">
            <w:pPr>
              <w:rPr>
                <w:rFonts w:ascii="宋体"/>
              </w:rPr>
            </w:pPr>
          </w:p>
        </w:tc>
        <w:tc>
          <w:tcPr>
            <w:tcW w:w="0" w:type="auto"/>
            <w:gridSpan w:val="9"/>
            <w:shd w:val="clear" w:color="auto" w:fill="auto"/>
            <w:tcMar>
              <w:top w:w="40" w:type="dxa"/>
              <w:left w:w="20" w:type="dxa"/>
              <w:bottom w:w="40" w:type="dxa"/>
              <w:right w:w="20" w:type="dxa"/>
            </w:tcMar>
            <w:vAlign w:val="bottom"/>
          </w:tcPr>
          <w:p w14:paraId="74DE0F15" w14:textId="77777777" w:rsidR="00584EC1" w:rsidRDefault="00871F8D">
            <w:pPr>
              <w:jc w:val="center"/>
              <w:textAlignment w:val="bottom"/>
            </w:pPr>
            <w:r>
              <w:rPr>
                <w:rFonts w:ascii="Arial" w:eastAsia="宋体" w:hAnsi="Arial" w:cs="Arial"/>
                <w:b/>
                <w:bCs/>
                <w:color w:val="000000"/>
                <w:sz w:val="14"/>
                <w:szCs w:val="14"/>
              </w:rPr>
              <w:t>Nine Months Ended September 30,</w:t>
            </w:r>
          </w:p>
        </w:tc>
        <w:tc>
          <w:tcPr>
            <w:tcW w:w="0" w:type="auto"/>
            <w:shd w:val="clear" w:color="auto" w:fill="auto"/>
            <w:vAlign w:val="bottom"/>
          </w:tcPr>
          <w:p w14:paraId="74DE0F16" w14:textId="77777777" w:rsidR="00584EC1" w:rsidRDefault="00584EC1">
            <w:pPr>
              <w:rPr>
                <w:rFonts w:ascii="宋体"/>
              </w:rPr>
            </w:pPr>
          </w:p>
        </w:tc>
        <w:tc>
          <w:tcPr>
            <w:tcW w:w="0" w:type="auto"/>
            <w:shd w:val="clear" w:color="auto" w:fill="auto"/>
            <w:vAlign w:val="bottom"/>
          </w:tcPr>
          <w:p w14:paraId="74DE0F17" w14:textId="77777777" w:rsidR="00584EC1" w:rsidRDefault="00584EC1">
            <w:pPr>
              <w:rPr>
                <w:rFonts w:ascii="宋体"/>
              </w:rPr>
            </w:pPr>
          </w:p>
        </w:tc>
        <w:tc>
          <w:tcPr>
            <w:tcW w:w="0" w:type="auto"/>
            <w:shd w:val="clear" w:color="auto" w:fill="auto"/>
            <w:vAlign w:val="bottom"/>
          </w:tcPr>
          <w:p w14:paraId="74DE0F18" w14:textId="77777777" w:rsidR="00584EC1" w:rsidRDefault="00584EC1">
            <w:pPr>
              <w:rPr>
                <w:rFonts w:ascii="宋体"/>
              </w:rPr>
            </w:pPr>
          </w:p>
        </w:tc>
        <w:tc>
          <w:tcPr>
            <w:tcW w:w="0" w:type="auto"/>
            <w:shd w:val="clear" w:color="auto" w:fill="auto"/>
            <w:vAlign w:val="bottom"/>
          </w:tcPr>
          <w:p w14:paraId="74DE0F19" w14:textId="77777777" w:rsidR="00584EC1" w:rsidRDefault="00584EC1">
            <w:pPr>
              <w:rPr>
                <w:rFonts w:ascii="宋体"/>
              </w:rPr>
            </w:pPr>
          </w:p>
        </w:tc>
        <w:tc>
          <w:tcPr>
            <w:tcW w:w="0" w:type="auto"/>
            <w:shd w:val="clear" w:color="auto" w:fill="auto"/>
            <w:vAlign w:val="bottom"/>
          </w:tcPr>
          <w:p w14:paraId="74DE0F1A" w14:textId="77777777" w:rsidR="00584EC1" w:rsidRDefault="00584EC1">
            <w:pPr>
              <w:rPr>
                <w:rFonts w:ascii="宋体"/>
              </w:rPr>
            </w:pPr>
          </w:p>
        </w:tc>
        <w:tc>
          <w:tcPr>
            <w:tcW w:w="0" w:type="auto"/>
            <w:shd w:val="clear" w:color="auto" w:fill="auto"/>
            <w:vAlign w:val="bottom"/>
          </w:tcPr>
          <w:p w14:paraId="74DE0F1B" w14:textId="77777777" w:rsidR="00584EC1" w:rsidRDefault="00584EC1">
            <w:pPr>
              <w:rPr>
                <w:rFonts w:ascii="宋体"/>
              </w:rPr>
            </w:pPr>
          </w:p>
        </w:tc>
      </w:tr>
      <w:tr w:rsidR="00584EC1" w14:paraId="74DE0F27" w14:textId="77777777">
        <w:tc>
          <w:tcPr>
            <w:tcW w:w="0" w:type="auto"/>
            <w:gridSpan w:val="3"/>
            <w:shd w:val="clear" w:color="auto" w:fill="auto"/>
            <w:tcMar>
              <w:top w:w="40" w:type="dxa"/>
              <w:left w:w="20" w:type="dxa"/>
              <w:bottom w:w="40" w:type="dxa"/>
              <w:right w:w="20" w:type="dxa"/>
            </w:tcMar>
            <w:vAlign w:val="bottom"/>
          </w:tcPr>
          <w:p w14:paraId="74DE0F1D" w14:textId="77777777" w:rsidR="00584EC1" w:rsidRDefault="00871F8D">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0F1E" w14:textId="77777777" w:rsidR="00584EC1" w:rsidRDefault="00871F8D">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0F1F"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0F20" w14:textId="77777777" w:rsidR="00584EC1" w:rsidRDefault="00871F8D">
            <w:pPr>
              <w:jc w:val="center"/>
              <w:textAlignment w:val="bottom"/>
            </w:pPr>
            <w:r>
              <w:rPr>
                <w:rFonts w:ascii="Arial" w:eastAsia="宋体" w:hAnsi="Arial" w:cs="Arial"/>
                <w:b/>
                <w:bCs/>
                <w:color w:val="000000"/>
                <w:sz w:val="14"/>
                <w:szCs w:val="14"/>
              </w:rPr>
              <w:t>2020</w:t>
            </w:r>
          </w:p>
        </w:tc>
        <w:tc>
          <w:tcPr>
            <w:tcW w:w="0" w:type="auto"/>
            <w:gridSpan w:val="3"/>
            <w:shd w:val="clear" w:color="auto" w:fill="auto"/>
            <w:tcMar>
              <w:top w:w="0" w:type="dxa"/>
              <w:left w:w="20" w:type="dxa"/>
              <w:bottom w:w="0" w:type="dxa"/>
              <w:right w:w="20" w:type="dxa"/>
            </w:tcMar>
            <w:vAlign w:val="bottom"/>
          </w:tcPr>
          <w:p w14:paraId="74DE0F21"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0F22" w14:textId="77777777" w:rsidR="00584EC1" w:rsidRDefault="00871F8D">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0F23"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0F24" w14:textId="77777777" w:rsidR="00584EC1" w:rsidRDefault="00871F8D">
            <w:pPr>
              <w:jc w:val="center"/>
              <w:textAlignment w:val="bottom"/>
            </w:pPr>
            <w:r>
              <w:rPr>
                <w:rFonts w:ascii="Arial" w:eastAsia="宋体" w:hAnsi="Arial" w:cs="Arial"/>
                <w:b/>
                <w:bCs/>
                <w:color w:val="000000"/>
                <w:sz w:val="14"/>
                <w:szCs w:val="14"/>
              </w:rPr>
              <w:t>2020</w:t>
            </w:r>
          </w:p>
        </w:tc>
        <w:tc>
          <w:tcPr>
            <w:tcW w:w="0" w:type="auto"/>
            <w:gridSpan w:val="3"/>
            <w:shd w:val="clear" w:color="auto" w:fill="auto"/>
            <w:vAlign w:val="bottom"/>
          </w:tcPr>
          <w:p w14:paraId="74DE0F25" w14:textId="77777777" w:rsidR="00584EC1" w:rsidRDefault="00584EC1">
            <w:pPr>
              <w:rPr>
                <w:rFonts w:ascii="宋体"/>
                <w:vanish/>
              </w:rPr>
            </w:pPr>
          </w:p>
        </w:tc>
        <w:tc>
          <w:tcPr>
            <w:tcW w:w="0" w:type="auto"/>
            <w:gridSpan w:val="3"/>
            <w:shd w:val="clear" w:color="auto" w:fill="auto"/>
            <w:vAlign w:val="bottom"/>
          </w:tcPr>
          <w:p w14:paraId="74DE0F26" w14:textId="77777777" w:rsidR="00584EC1" w:rsidRDefault="00584EC1">
            <w:pPr>
              <w:rPr>
                <w:rFonts w:ascii="宋体"/>
                <w:vanish/>
              </w:rPr>
            </w:pPr>
          </w:p>
        </w:tc>
      </w:tr>
      <w:tr w:rsidR="00584EC1" w14:paraId="74DE0F3A" w14:textId="77777777">
        <w:tc>
          <w:tcPr>
            <w:tcW w:w="0" w:type="auto"/>
            <w:gridSpan w:val="3"/>
            <w:shd w:val="clear" w:color="auto" w:fill="CCEEFF"/>
            <w:tcMar>
              <w:top w:w="40" w:type="dxa"/>
              <w:left w:w="20" w:type="dxa"/>
              <w:bottom w:w="40" w:type="dxa"/>
              <w:right w:w="20" w:type="dxa"/>
            </w:tcMar>
            <w:vAlign w:val="bottom"/>
          </w:tcPr>
          <w:p w14:paraId="74DE0F28" w14:textId="77777777" w:rsidR="00584EC1" w:rsidRDefault="00871F8D">
            <w:pPr>
              <w:textAlignment w:val="bottom"/>
            </w:pPr>
            <w:r>
              <w:rPr>
                <w:rFonts w:ascii="Arial" w:eastAsia="宋体" w:hAnsi="Arial" w:cs="Arial"/>
                <w:color w:val="000000"/>
                <w:sz w:val="14"/>
                <w:szCs w:val="14"/>
              </w:rPr>
              <w:t>Professional services</w:t>
            </w:r>
          </w:p>
        </w:tc>
        <w:tc>
          <w:tcPr>
            <w:tcW w:w="0" w:type="auto"/>
            <w:tcBorders>
              <w:top w:val="single" w:sz="8" w:space="0" w:color="000000"/>
            </w:tcBorders>
            <w:shd w:val="clear" w:color="auto" w:fill="CCEEFF"/>
            <w:tcMar>
              <w:top w:w="40" w:type="dxa"/>
              <w:left w:w="20" w:type="dxa"/>
              <w:bottom w:w="40" w:type="dxa"/>
              <w:right w:w="0" w:type="dxa"/>
            </w:tcMar>
            <w:vAlign w:val="bottom"/>
          </w:tcPr>
          <w:p w14:paraId="74DE0F29"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0F2A" w14:textId="77777777" w:rsidR="00584EC1" w:rsidRDefault="00871F8D">
            <w:pPr>
              <w:jc w:val="right"/>
              <w:textAlignment w:val="bottom"/>
            </w:pPr>
            <w:r>
              <w:rPr>
                <w:rFonts w:ascii="Arial" w:eastAsia="宋体" w:hAnsi="Arial" w:cs="Arial"/>
                <w:b/>
                <w:bCs/>
                <w:color w:val="000000"/>
                <w:sz w:val="14"/>
                <w:szCs w:val="14"/>
              </w:rPr>
              <w:t>91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F2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F2C"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0F2D"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0F2E" w14:textId="77777777" w:rsidR="00584EC1" w:rsidRDefault="00871F8D">
            <w:pPr>
              <w:jc w:val="right"/>
              <w:textAlignment w:val="bottom"/>
            </w:pPr>
            <w:r>
              <w:rPr>
                <w:rFonts w:ascii="Arial" w:eastAsia="宋体" w:hAnsi="Arial" w:cs="Arial"/>
                <w:color w:val="000000"/>
                <w:sz w:val="14"/>
                <w:szCs w:val="14"/>
              </w:rPr>
              <w:t>89 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F2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F30"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0F31"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0F32" w14:textId="77777777" w:rsidR="00584EC1" w:rsidRDefault="00871F8D">
            <w:pPr>
              <w:jc w:val="right"/>
              <w:textAlignment w:val="bottom"/>
            </w:pPr>
            <w:r>
              <w:rPr>
                <w:rFonts w:ascii="Arial" w:eastAsia="宋体" w:hAnsi="Arial" w:cs="Arial"/>
                <w:b/>
                <w:bCs/>
                <w:color w:val="000000"/>
                <w:sz w:val="14"/>
                <w:szCs w:val="14"/>
              </w:rPr>
              <w:t>246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F3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F34"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0F35"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0F36" w14:textId="77777777" w:rsidR="00584EC1" w:rsidRDefault="00871F8D">
            <w:pPr>
              <w:jc w:val="right"/>
              <w:textAlignment w:val="bottom"/>
            </w:pPr>
            <w:r>
              <w:rPr>
                <w:rFonts w:ascii="Arial" w:eastAsia="宋体" w:hAnsi="Arial" w:cs="Arial"/>
                <w:color w:val="000000"/>
                <w:sz w:val="14"/>
                <w:szCs w:val="14"/>
              </w:rPr>
              <w:t>261 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0F37" w14:textId="77777777" w:rsidR="00584EC1" w:rsidRDefault="00584EC1">
            <w:pPr>
              <w:jc w:val="right"/>
              <w:rPr>
                <w:rFonts w:ascii="宋体"/>
              </w:rPr>
            </w:pPr>
          </w:p>
        </w:tc>
        <w:tc>
          <w:tcPr>
            <w:tcW w:w="0" w:type="auto"/>
            <w:gridSpan w:val="3"/>
            <w:shd w:val="clear" w:color="auto" w:fill="auto"/>
            <w:vAlign w:val="bottom"/>
          </w:tcPr>
          <w:p w14:paraId="74DE0F38" w14:textId="77777777" w:rsidR="00584EC1" w:rsidRDefault="00584EC1">
            <w:pPr>
              <w:rPr>
                <w:rFonts w:ascii="宋体"/>
                <w:vanish/>
              </w:rPr>
            </w:pPr>
          </w:p>
        </w:tc>
        <w:tc>
          <w:tcPr>
            <w:tcW w:w="0" w:type="auto"/>
            <w:gridSpan w:val="3"/>
            <w:shd w:val="clear" w:color="auto" w:fill="auto"/>
            <w:vAlign w:val="bottom"/>
          </w:tcPr>
          <w:p w14:paraId="74DE0F39" w14:textId="77777777" w:rsidR="00584EC1" w:rsidRDefault="00584EC1">
            <w:pPr>
              <w:rPr>
                <w:rFonts w:ascii="宋体"/>
                <w:vanish/>
              </w:rPr>
            </w:pPr>
          </w:p>
        </w:tc>
      </w:tr>
      <w:tr w:rsidR="00584EC1" w14:paraId="74DE0F49" w14:textId="77777777">
        <w:tc>
          <w:tcPr>
            <w:tcW w:w="0" w:type="auto"/>
            <w:gridSpan w:val="3"/>
            <w:shd w:val="clear" w:color="auto" w:fill="FFFFFF"/>
            <w:tcMar>
              <w:top w:w="40" w:type="dxa"/>
              <w:left w:w="20" w:type="dxa"/>
              <w:bottom w:w="40" w:type="dxa"/>
              <w:right w:w="20" w:type="dxa"/>
            </w:tcMar>
            <w:vAlign w:val="bottom"/>
          </w:tcPr>
          <w:p w14:paraId="74DE0F3B" w14:textId="77777777" w:rsidR="00584EC1" w:rsidRDefault="00871F8D">
            <w:pPr>
              <w:textAlignment w:val="bottom"/>
            </w:pPr>
            <w:r>
              <w:rPr>
                <w:rFonts w:ascii="Arial" w:eastAsia="宋体" w:hAnsi="Arial" w:cs="Arial"/>
                <w:color w:val="000000"/>
                <w:sz w:val="14"/>
                <w:szCs w:val="14"/>
              </w:rPr>
              <w:t>Regulatory fees and assessments</w:t>
            </w:r>
          </w:p>
        </w:tc>
        <w:tc>
          <w:tcPr>
            <w:tcW w:w="0" w:type="auto"/>
            <w:gridSpan w:val="2"/>
            <w:shd w:val="clear" w:color="auto" w:fill="FFFFFF"/>
            <w:tcMar>
              <w:top w:w="40" w:type="dxa"/>
              <w:left w:w="20" w:type="dxa"/>
              <w:bottom w:w="40" w:type="dxa"/>
              <w:right w:w="0" w:type="dxa"/>
            </w:tcMar>
            <w:vAlign w:val="bottom"/>
          </w:tcPr>
          <w:p w14:paraId="74DE0F3C" w14:textId="77777777" w:rsidR="00584EC1" w:rsidRDefault="00871F8D">
            <w:pPr>
              <w:jc w:val="right"/>
              <w:textAlignment w:val="bottom"/>
            </w:pPr>
            <w:r>
              <w:rPr>
                <w:rFonts w:ascii="Arial" w:eastAsia="宋体" w:hAnsi="Arial" w:cs="Arial"/>
                <w:b/>
                <w:bCs/>
                <w:color w:val="000000"/>
                <w:sz w:val="14"/>
                <w:szCs w:val="14"/>
              </w:rPr>
              <w:t>16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E0F3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F3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F3F" w14:textId="77777777" w:rsidR="00584EC1" w:rsidRDefault="00871F8D">
            <w:pPr>
              <w:jc w:val="right"/>
              <w:textAlignment w:val="bottom"/>
            </w:pPr>
            <w:r>
              <w:rPr>
                <w:rFonts w:ascii="Arial" w:eastAsia="宋体" w:hAnsi="Arial" w:cs="Arial"/>
                <w:color w:val="000000"/>
                <w:sz w:val="14"/>
                <w:szCs w:val="14"/>
              </w:rPr>
              <w:t>16 </w:t>
            </w:r>
          </w:p>
        </w:tc>
        <w:tc>
          <w:tcPr>
            <w:tcW w:w="0" w:type="auto"/>
            <w:shd w:val="clear" w:color="auto" w:fill="FFFFFF"/>
            <w:tcMar>
              <w:top w:w="40" w:type="dxa"/>
              <w:left w:w="0" w:type="dxa"/>
              <w:bottom w:w="40" w:type="dxa"/>
              <w:right w:w="20" w:type="dxa"/>
            </w:tcMar>
            <w:vAlign w:val="bottom"/>
          </w:tcPr>
          <w:p w14:paraId="74DE0F4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F4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F42" w14:textId="77777777" w:rsidR="00584EC1" w:rsidRDefault="00871F8D">
            <w:pPr>
              <w:jc w:val="right"/>
              <w:textAlignment w:val="bottom"/>
            </w:pPr>
            <w:r>
              <w:rPr>
                <w:rFonts w:ascii="Arial" w:eastAsia="宋体" w:hAnsi="Arial" w:cs="Arial"/>
                <w:b/>
                <w:bCs/>
                <w:color w:val="000000"/>
                <w:sz w:val="14"/>
                <w:szCs w:val="14"/>
              </w:rPr>
              <w:t>53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E0F4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F4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F45" w14:textId="77777777" w:rsidR="00584EC1" w:rsidRDefault="00871F8D">
            <w:pPr>
              <w:jc w:val="right"/>
              <w:textAlignment w:val="bottom"/>
            </w:pPr>
            <w:r>
              <w:rPr>
                <w:rFonts w:ascii="Arial" w:eastAsia="宋体" w:hAnsi="Arial" w:cs="Arial"/>
                <w:color w:val="000000"/>
                <w:sz w:val="14"/>
                <w:szCs w:val="14"/>
              </w:rPr>
              <w:t>45 </w:t>
            </w:r>
          </w:p>
        </w:tc>
        <w:tc>
          <w:tcPr>
            <w:tcW w:w="0" w:type="auto"/>
            <w:shd w:val="clear" w:color="auto" w:fill="FFFFFF"/>
            <w:tcMar>
              <w:top w:w="40" w:type="dxa"/>
              <w:left w:w="0" w:type="dxa"/>
              <w:bottom w:w="40" w:type="dxa"/>
              <w:right w:w="20" w:type="dxa"/>
            </w:tcMar>
            <w:vAlign w:val="bottom"/>
          </w:tcPr>
          <w:p w14:paraId="74DE0F46" w14:textId="77777777" w:rsidR="00584EC1" w:rsidRDefault="00584EC1">
            <w:pPr>
              <w:jc w:val="right"/>
              <w:rPr>
                <w:rFonts w:ascii="宋体"/>
              </w:rPr>
            </w:pPr>
          </w:p>
        </w:tc>
        <w:tc>
          <w:tcPr>
            <w:tcW w:w="0" w:type="auto"/>
            <w:gridSpan w:val="3"/>
            <w:shd w:val="clear" w:color="auto" w:fill="auto"/>
            <w:vAlign w:val="bottom"/>
          </w:tcPr>
          <w:p w14:paraId="74DE0F47" w14:textId="77777777" w:rsidR="00584EC1" w:rsidRDefault="00584EC1">
            <w:pPr>
              <w:rPr>
                <w:rFonts w:ascii="宋体"/>
                <w:vanish/>
              </w:rPr>
            </w:pPr>
          </w:p>
        </w:tc>
        <w:tc>
          <w:tcPr>
            <w:tcW w:w="0" w:type="auto"/>
            <w:gridSpan w:val="3"/>
            <w:shd w:val="clear" w:color="auto" w:fill="auto"/>
            <w:vAlign w:val="bottom"/>
          </w:tcPr>
          <w:p w14:paraId="74DE0F48" w14:textId="77777777" w:rsidR="00584EC1" w:rsidRDefault="00584EC1">
            <w:pPr>
              <w:rPr>
                <w:rFonts w:ascii="宋体"/>
                <w:vanish/>
              </w:rPr>
            </w:pPr>
          </w:p>
        </w:tc>
      </w:tr>
      <w:tr w:rsidR="00584EC1" w14:paraId="74DE0F58" w14:textId="77777777">
        <w:tc>
          <w:tcPr>
            <w:tcW w:w="0" w:type="auto"/>
            <w:gridSpan w:val="3"/>
            <w:shd w:val="clear" w:color="auto" w:fill="CCEEFF"/>
            <w:tcMar>
              <w:top w:w="40" w:type="dxa"/>
              <w:left w:w="20" w:type="dxa"/>
              <w:bottom w:w="40" w:type="dxa"/>
              <w:right w:w="20" w:type="dxa"/>
            </w:tcMar>
            <w:vAlign w:val="bottom"/>
          </w:tcPr>
          <w:p w14:paraId="74DE0F4A" w14:textId="77777777" w:rsidR="00584EC1" w:rsidRDefault="00871F8D">
            <w:pPr>
              <w:textAlignment w:val="bottom"/>
            </w:pPr>
            <w:r>
              <w:rPr>
                <w:rFonts w:ascii="Arial" w:eastAsia="宋体" w:hAnsi="Arial" w:cs="Arial"/>
                <w:color w:val="000000"/>
                <w:sz w:val="14"/>
                <w:szCs w:val="14"/>
              </w:rPr>
              <w:t>Sales advertising public relations</w:t>
            </w:r>
          </w:p>
        </w:tc>
        <w:tc>
          <w:tcPr>
            <w:tcW w:w="0" w:type="auto"/>
            <w:gridSpan w:val="2"/>
            <w:shd w:val="clear" w:color="auto" w:fill="CCEEFF"/>
            <w:tcMar>
              <w:top w:w="40" w:type="dxa"/>
              <w:left w:w="20" w:type="dxa"/>
              <w:bottom w:w="40" w:type="dxa"/>
              <w:right w:w="0" w:type="dxa"/>
            </w:tcMar>
            <w:vAlign w:val="bottom"/>
          </w:tcPr>
          <w:p w14:paraId="74DE0F4B" w14:textId="77777777" w:rsidR="00584EC1" w:rsidRDefault="00871F8D">
            <w:pPr>
              <w:jc w:val="right"/>
              <w:textAlignment w:val="bottom"/>
            </w:pPr>
            <w:r>
              <w:rPr>
                <w:rFonts w:ascii="Arial" w:eastAsia="宋体" w:hAnsi="Arial" w:cs="Arial"/>
                <w:b/>
                <w:bCs/>
                <w:color w:val="000000"/>
                <w:sz w:val="14"/>
                <w:szCs w:val="14"/>
              </w:rPr>
              <w:t>13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E0F4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F4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F4E" w14:textId="77777777" w:rsidR="00584EC1" w:rsidRDefault="00871F8D">
            <w:pPr>
              <w:jc w:val="right"/>
              <w:textAlignment w:val="bottom"/>
            </w:pPr>
            <w:r>
              <w:rPr>
                <w:rFonts w:ascii="Arial" w:eastAsia="宋体" w:hAnsi="Arial" w:cs="Arial"/>
                <w:color w:val="000000"/>
                <w:sz w:val="14"/>
                <w:szCs w:val="14"/>
              </w:rPr>
              <w:t>20 </w:t>
            </w:r>
          </w:p>
        </w:tc>
        <w:tc>
          <w:tcPr>
            <w:tcW w:w="0" w:type="auto"/>
            <w:shd w:val="clear" w:color="auto" w:fill="CCEEFF"/>
            <w:tcMar>
              <w:top w:w="40" w:type="dxa"/>
              <w:left w:w="0" w:type="dxa"/>
              <w:bottom w:w="40" w:type="dxa"/>
              <w:right w:w="20" w:type="dxa"/>
            </w:tcMar>
            <w:vAlign w:val="bottom"/>
          </w:tcPr>
          <w:p w14:paraId="74DE0F4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F5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F51" w14:textId="77777777" w:rsidR="00584EC1" w:rsidRDefault="00871F8D">
            <w:pPr>
              <w:jc w:val="right"/>
              <w:textAlignment w:val="bottom"/>
            </w:pPr>
            <w:r>
              <w:rPr>
                <w:rFonts w:ascii="Arial" w:eastAsia="宋体" w:hAnsi="Arial" w:cs="Arial"/>
                <w:b/>
                <w:bCs/>
                <w:color w:val="000000"/>
                <w:sz w:val="14"/>
                <w:szCs w:val="14"/>
              </w:rPr>
              <w:t>46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E0F5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F53"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F54" w14:textId="77777777" w:rsidR="00584EC1" w:rsidRDefault="00871F8D">
            <w:pPr>
              <w:jc w:val="right"/>
              <w:textAlignment w:val="bottom"/>
            </w:pPr>
            <w:r>
              <w:rPr>
                <w:rFonts w:ascii="Arial" w:eastAsia="宋体" w:hAnsi="Arial" w:cs="Arial"/>
                <w:color w:val="000000"/>
                <w:sz w:val="14"/>
                <w:szCs w:val="14"/>
              </w:rPr>
              <w:t>50 </w:t>
            </w:r>
          </w:p>
        </w:tc>
        <w:tc>
          <w:tcPr>
            <w:tcW w:w="0" w:type="auto"/>
            <w:shd w:val="clear" w:color="auto" w:fill="CCEEFF"/>
            <w:tcMar>
              <w:top w:w="40" w:type="dxa"/>
              <w:left w:w="0" w:type="dxa"/>
              <w:bottom w:w="40" w:type="dxa"/>
              <w:right w:w="20" w:type="dxa"/>
            </w:tcMar>
            <w:vAlign w:val="bottom"/>
          </w:tcPr>
          <w:p w14:paraId="74DE0F55" w14:textId="77777777" w:rsidR="00584EC1" w:rsidRDefault="00584EC1">
            <w:pPr>
              <w:jc w:val="right"/>
              <w:rPr>
                <w:rFonts w:ascii="宋体"/>
              </w:rPr>
            </w:pPr>
          </w:p>
        </w:tc>
        <w:tc>
          <w:tcPr>
            <w:tcW w:w="0" w:type="auto"/>
            <w:gridSpan w:val="3"/>
            <w:shd w:val="clear" w:color="auto" w:fill="auto"/>
            <w:vAlign w:val="bottom"/>
          </w:tcPr>
          <w:p w14:paraId="74DE0F56" w14:textId="77777777" w:rsidR="00584EC1" w:rsidRDefault="00584EC1">
            <w:pPr>
              <w:rPr>
                <w:rFonts w:ascii="宋体"/>
                <w:vanish/>
              </w:rPr>
            </w:pPr>
          </w:p>
        </w:tc>
        <w:tc>
          <w:tcPr>
            <w:tcW w:w="0" w:type="auto"/>
            <w:gridSpan w:val="3"/>
            <w:shd w:val="clear" w:color="auto" w:fill="auto"/>
            <w:vAlign w:val="bottom"/>
          </w:tcPr>
          <w:p w14:paraId="74DE0F57" w14:textId="77777777" w:rsidR="00584EC1" w:rsidRDefault="00584EC1">
            <w:pPr>
              <w:rPr>
                <w:rFonts w:ascii="宋体"/>
                <w:vanish/>
              </w:rPr>
            </w:pPr>
          </w:p>
        </w:tc>
      </w:tr>
      <w:tr w:rsidR="00584EC1" w14:paraId="74DE0F63" w14:textId="77777777">
        <w:trPr>
          <w:hidden/>
        </w:trPr>
        <w:tc>
          <w:tcPr>
            <w:tcW w:w="0" w:type="auto"/>
            <w:gridSpan w:val="3"/>
            <w:shd w:val="clear" w:color="auto" w:fill="auto"/>
            <w:vAlign w:val="bottom"/>
          </w:tcPr>
          <w:p w14:paraId="74DE0F59" w14:textId="77777777" w:rsidR="00584EC1" w:rsidRDefault="00584EC1">
            <w:pPr>
              <w:rPr>
                <w:rFonts w:ascii="宋体"/>
                <w:vanish/>
              </w:rPr>
            </w:pPr>
          </w:p>
        </w:tc>
        <w:tc>
          <w:tcPr>
            <w:tcW w:w="0" w:type="auto"/>
            <w:gridSpan w:val="3"/>
            <w:shd w:val="clear" w:color="auto" w:fill="auto"/>
            <w:vAlign w:val="bottom"/>
          </w:tcPr>
          <w:p w14:paraId="74DE0F5A" w14:textId="77777777" w:rsidR="00584EC1" w:rsidRDefault="00584EC1">
            <w:pPr>
              <w:rPr>
                <w:rFonts w:ascii="宋体"/>
                <w:vanish/>
              </w:rPr>
            </w:pPr>
          </w:p>
        </w:tc>
        <w:tc>
          <w:tcPr>
            <w:tcW w:w="0" w:type="auto"/>
            <w:gridSpan w:val="3"/>
            <w:shd w:val="clear" w:color="auto" w:fill="auto"/>
            <w:vAlign w:val="bottom"/>
          </w:tcPr>
          <w:p w14:paraId="74DE0F5B" w14:textId="77777777" w:rsidR="00584EC1" w:rsidRDefault="00584EC1">
            <w:pPr>
              <w:rPr>
                <w:rFonts w:ascii="宋体"/>
                <w:vanish/>
              </w:rPr>
            </w:pPr>
          </w:p>
        </w:tc>
        <w:tc>
          <w:tcPr>
            <w:tcW w:w="0" w:type="auto"/>
            <w:gridSpan w:val="3"/>
            <w:shd w:val="clear" w:color="auto" w:fill="auto"/>
            <w:vAlign w:val="bottom"/>
          </w:tcPr>
          <w:p w14:paraId="74DE0F5C" w14:textId="77777777" w:rsidR="00584EC1" w:rsidRDefault="00584EC1">
            <w:pPr>
              <w:rPr>
                <w:rFonts w:ascii="宋体"/>
                <w:vanish/>
              </w:rPr>
            </w:pPr>
          </w:p>
        </w:tc>
        <w:tc>
          <w:tcPr>
            <w:tcW w:w="0" w:type="auto"/>
            <w:gridSpan w:val="3"/>
            <w:shd w:val="clear" w:color="auto" w:fill="auto"/>
            <w:vAlign w:val="bottom"/>
          </w:tcPr>
          <w:p w14:paraId="74DE0F5D" w14:textId="77777777" w:rsidR="00584EC1" w:rsidRDefault="00584EC1">
            <w:pPr>
              <w:rPr>
                <w:rFonts w:ascii="宋体"/>
                <w:vanish/>
              </w:rPr>
            </w:pPr>
          </w:p>
        </w:tc>
        <w:tc>
          <w:tcPr>
            <w:tcW w:w="0" w:type="auto"/>
            <w:gridSpan w:val="3"/>
            <w:shd w:val="clear" w:color="auto" w:fill="auto"/>
            <w:vAlign w:val="bottom"/>
          </w:tcPr>
          <w:p w14:paraId="74DE0F5E" w14:textId="77777777" w:rsidR="00584EC1" w:rsidRDefault="00584EC1">
            <w:pPr>
              <w:rPr>
                <w:rFonts w:ascii="宋体"/>
                <w:vanish/>
              </w:rPr>
            </w:pPr>
          </w:p>
        </w:tc>
        <w:tc>
          <w:tcPr>
            <w:tcW w:w="0" w:type="auto"/>
            <w:gridSpan w:val="3"/>
            <w:shd w:val="clear" w:color="auto" w:fill="auto"/>
            <w:vAlign w:val="bottom"/>
          </w:tcPr>
          <w:p w14:paraId="74DE0F5F" w14:textId="77777777" w:rsidR="00584EC1" w:rsidRDefault="00584EC1">
            <w:pPr>
              <w:rPr>
                <w:rFonts w:ascii="宋体"/>
                <w:vanish/>
              </w:rPr>
            </w:pPr>
          </w:p>
        </w:tc>
        <w:tc>
          <w:tcPr>
            <w:tcW w:w="0" w:type="auto"/>
            <w:gridSpan w:val="3"/>
            <w:shd w:val="clear" w:color="auto" w:fill="auto"/>
            <w:vAlign w:val="bottom"/>
          </w:tcPr>
          <w:p w14:paraId="74DE0F60" w14:textId="77777777" w:rsidR="00584EC1" w:rsidRDefault="00584EC1">
            <w:pPr>
              <w:rPr>
                <w:rFonts w:ascii="宋体"/>
                <w:vanish/>
              </w:rPr>
            </w:pPr>
          </w:p>
        </w:tc>
        <w:tc>
          <w:tcPr>
            <w:tcW w:w="0" w:type="auto"/>
            <w:gridSpan w:val="3"/>
            <w:shd w:val="clear" w:color="auto" w:fill="auto"/>
            <w:vAlign w:val="bottom"/>
          </w:tcPr>
          <w:p w14:paraId="74DE0F61" w14:textId="77777777" w:rsidR="00584EC1" w:rsidRDefault="00584EC1">
            <w:pPr>
              <w:rPr>
                <w:rFonts w:ascii="宋体"/>
                <w:vanish/>
              </w:rPr>
            </w:pPr>
          </w:p>
        </w:tc>
        <w:tc>
          <w:tcPr>
            <w:tcW w:w="0" w:type="auto"/>
            <w:gridSpan w:val="3"/>
            <w:shd w:val="clear" w:color="auto" w:fill="auto"/>
            <w:vAlign w:val="bottom"/>
          </w:tcPr>
          <w:p w14:paraId="74DE0F62" w14:textId="77777777" w:rsidR="00584EC1" w:rsidRDefault="00584EC1">
            <w:pPr>
              <w:rPr>
                <w:rFonts w:ascii="宋体"/>
                <w:vanish/>
              </w:rPr>
            </w:pPr>
          </w:p>
        </w:tc>
      </w:tr>
      <w:tr w:rsidR="00584EC1" w14:paraId="74DE0F6E" w14:textId="77777777">
        <w:trPr>
          <w:hidden/>
        </w:trPr>
        <w:tc>
          <w:tcPr>
            <w:tcW w:w="0" w:type="auto"/>
            <w:gridSpan w:val="3"/>
            <w:shd w:val="clear" w:color="auto" w:fill="auto"/>
            <w:vAlign w:val="bottom"/>
          </w:tcPr>
          <w:p w14:paraId="74DE0F64" w14:textId="77777777" w:rsidR="00584EC1" w:rsidRDefault="00584EC1">
            <w:pPr>
              <w:rPr>
                <w:rFonts w:ascii="宋体"/>
                <w:vanish/>
              </w:rPr>
            </w:pPr>
          </w:p>
        </w:tc>
        <w:tc>
          <w:tcPr>
            <w:tcW w:w="0" w:type="auto"/>
            <w:gridSpan w:val="3"/>
            <w:shd w:val="clear" w:color="auto" w:fill="auto"/>
            <w:vAlign w:val="bottom"/>
          </w:tcPr>
          <w:p w14:paraId="74DE0F65" w14:textId="77777777" w:rsidR="00584EC1" w:rsidRDefault="00584EC1">
            <w:pPr>
              <w:rPr>
                <w:rFonts w:ascii="宋体"/>
                <w:vanish/>
              </w:rPr>
            </w:pPr>
          </w:p>
        </w:tc>
        <w:tc>
          <w:tcPr>
            <w:tcW w:w="0" w:type="auto"/>
            <w:gridSpan w:val="3"/>
            <w:shd w:val="clear" w:color="auto" w:fill="auto"/>
            <w:vAlign w:val="bottom"/>
          </w:tcPr>
          <w:p w14:paraId="74DE0F66" w14:textId="77777777" w:rsidR="00584EC1" w:rsidRDefault="00584EC1">
            <w:pPr>
              <w:rPr>
                <w:rFonts w:ascii="宋体"/>
                <w:vanish/>
              </w:rPr>
            </w:pPr>
          </w:p>
        </w:tc>
        <w:tc>
          <w:tcPr>
            <w:tcW w:w="0" w:type="auto"/>
            <w:gridSpan w:val="3"/>
            <w:shd w:val="clear" w:color="auto" w:fill="auto"/>
            <w:vAlign w:val="bottom"/>
          </w:tcPr>
          <w:p w14:paraId="74DE0F67" w14:textId="77777777" w:rsidR="00584EC1" w:rsidRDefault="00584EC1">
            <w:pPr>
              <w:rPr>
                <w:rFonts w:ascii="宋体"/>
                <w:vanish/>
              </w:rPr>
            </w:pPr>
          </w:p>
        </w:tc>
        <w:tc>
          <w:tcPr>
            <w:tcW w:w="0" w:type="auto"/>
            <w:gridSpan w:val="3"/>
            <w:shd w:val="clear" w:color="auto" w:fill="auto"/>
            <w:vAlign w:val="bottom"/>
          </w:tcPr>
          <w:p w14:paraId="74DE0F68" w14:textId="77777777" w:rsidR="00584EC1" w:rsidRDefault="00584EC1">
            <w:pPr>
              <w:rPr>
                <w:rFonts w:ascii="宋体"/>
                <w:vanish/>
              </w:rPr>
            </w:pPr>
          </w:p>
        </w:tc>
        <w:tc>
          <w:tcPr>
            <w:tcW w:w="0" w:type="auto"/>
            <w:gridSpan w:val="3"/>
            <w:shd w:val="clear" w:color="auto" w:fill="auto"/>
            <w:vAlign w:val="bottom"/>
          </w:tcPr>
          <w:p w14:paraId="74DE0F69" w14:textId="77777777" w:rsidR="00584EC1" w:rsidRDefault="00584EC1">
            <w:pPr>
              <w:rPr>
                <w:rFonts w:ascii="宋体"/>
                <w:vanish/>
              </w:rPr>
            </w:pPr>
          </w:p>
        </w:tc>
        <w:tc>
          <w:tcPr>
            <w:tcW w:w="0" w:type="auto"/>
            <w:gridSpan w:val="3"/>
            <w:shd w:val="clear" w:color="auto" w:fill="auto"/>
            <w:vAlign w:val="bottom"/>
          </w:tcPr>
          <w:p w14:paraId="74DE0F6A" w14:textId="77777777" w:rsidR="00584EC1" w:rsidRDefault="00584EC1">
            <w:pPr>
              <w:rPr>
                <w:rFonts w:ascii="宋体"/>
                <w:vanish/>
              </w:rPr>
            </w:pPr>
          </w:p>
        </w:tc>
        <w:tc>
          <w:tcPr>
            <w:tcW w:w="0" w:type="auto"/>
            <w:gridSpan w:val="3"/>
            <w:shd w:val="clear" w:color="auto" w:fill="auto"/>
            <w:vAlign w:val="bottom"/>
          </w:tcPr>
          <w:p w14:paraId="74DE0F6B" w14:textId="77777777" w:rsidR="00584EC1" w:rsidRDefault="00584EC1">
            <w:pPr>
              <w:rPr>
                <w:rFonts w:ascii="宋体"/>
                <w:vanish/>
              </w:rPr>
            </w:pPr>
          </w:p>
        </w:tc>
        <w:tc>
          <w:tcPr>
            <w:tcW w:w="0" w:type="auto"/>
            <w:gridSpan w:val="3"/>
            <w:shd w:val="clear" w:color="auto" w:fill="auto"/>
            <w:vAlign w:val="bottom"/>
          </w:tcPr>
          <w:p w14:paraId="74DE0F6C" w14:textId="77777777" w:rsidR="00584EC1" w:rsidRDefault="00584EC1">
            <w:pPr>
              <w:rPr>
                <w:rFonts w:ascii="宋体"/>
                <w:vanish/>
              </w:rPr>
            </w:pPr>
          </w:p>
        </w:tc>
        <w:tc>
          <w:tcPr>
            <w:tcW w:w="0" w:type="auto"/>
            <w:gridSpan w:val="3"/>
            <w:shd w:val="clear" w:color="auto" w:fill="auto"/>
            <w:vAlign w:val="bottom"/>
          </w:tcPr>
          <w:p w14:paraId="74DE0F6D" w14:textId="77777777" w:rsidR="00584EC1" w:rsidRDefault="00584EC1">
            <w:pPr>
              <w:rPr>
                <w:rFonts w:ascii="宋体"/>
                <w:vanish/>
              </w:rPr>
            </w:pPr>
          </w:p>
        </w:tc>
      </w:tr>
      <w:tr w:rsidR="00584EC1" w14:paraId="74DE0F7D" w14:textId="77777777">
        <w:tc>
          <w:tcPr>
            <w:tcW w:w="0" w:type="auto"/>
            <w:gridSpan w:val="3"/>
            <w:shd w:val="clear" w:color="auto" w:fill="FFFFFF"/>
            <w:tcMar>
              <w:top w:w="40" w:type="dxa"/>
              <w:left w:w="20" w:type="dxa"/>
              <w:bottom w:w="40" w:type="dxa"/>
              <w:right w:w="20" w:type="dxa"/>
            </w:tcMar>
            <w:vAlign w:val="bottom"/>
          </w:tcPr>
          <w:p w14:paraId="74DE0F6F" w14:textId="77777777" w:rsidR="00584EC1" w:rsidRDefault="00871F8D">
            <w:pPr>
              <w:textAlignment w:val="bottom"/>
            </w:pPr>
            <w:r>
              <w:rPr>
                <w:rFonts w:ascii="Arial" w:eastAsia="宋体" w:hAnsi="Arial" w:cs="Arial"/>
                <w:color w:val="000000"/>
                <w:sz w:val="14"/>
                <w:szCs w:val="14"/>
              </w:rPr>
              <w:t>Securities processing</w:t>
            </w:r>
          </w:p>
        </w:tc>
        <w:tc>
          <w:tcPr>
            <w:tcW w:w="0" w:type="auto"/>
            <w:gridSpan w:val="2"/>
            <w:shd w:val="clear" w:color="auto" w:fill="FFFFFF"/>
            <w:tcMar>
              <w:top w:w="40" w:type="dxa"/>
              <w:left w:w="20" w:type="dxa"/>
              <w:bottom w:w="40" w:type="dxa"/>
              <w:right w:w="0" w:type="dxa"/>
            </w:tcMar>
            <w:vAlign w:val="bottom"/>
          </w:tcPr>
          <w:p w14:paraId="74DE0F70" w14:textId="77777777" w:rsidR="00584EC1" w:rsidRDefault="00871F8D">
            <w:pPr>
              <w:jc w:val="right"/>
              <w:textAlignment w:val="bottom"/>
            </w:pPr>
            <w:r>
              <w:rPr>
                <w:rFonts w:ascii="Arial" w:eastAsia="宋体" w:hAnsi="Arial" w:cs="Arial"/>
                <w:b/>
                <w:bCs/>
                <w:color w:val="000000"/>
                <w:sz w:val="14"/>
                <w:szCs w:val="14"/>
              </w:rPr>
              <w:t>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E0F7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F7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F73" w14:textId="77777777" w:rsidR="00584EC1" w:rsidRDefault="00871F8D">
            <w:pPr>
              <w:jc w:val="right"/>
              <w:textAlignment w:val="bottom"/>
            </w:pPr>
            <w:r>
              <w:rPr>
                <w:rFonts w:ascii="Arial" w:eastAsia="宋体" w:hAnsi="Arial" w:cs="Arial"/>
                <w:color w:val="000000"/>
                <w:sz w:val="14"/>
                <w:szCs w:val="14"/>
              </w:rPr>
              <w:t>10 </w:t>
            </w:r>
          </w:p>
        </w:tc>
        <w:tc>
          <w:tcPr>
            <w:tcW w:w="0" w:type="auto"/>
            <w:shd w:val="clear" w:color="auto" w:fill="FFFFFF"/>
            <w:tcMar>
              <w:top w:w="40" w:type="dxa"/>
              <w:left w:w="0" w:type="dxa"/>
              <w:bottom w:w="40" w:type="dxa"/>
              <w:right w:w="20" w:type="dxa"/>
            </w:tcMar>
            <w:vAlign w:val="bottom"/>
          </w:tcPr>
          <w:p w14:paraId="74DE0F7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F75"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F76" w14:textId="77777777" w:rsidR="00584EC1" w:rsidRDefault="00871F8D">
            <w:pPr>
              <w:jc w:val="right"/>
              <w:textAlignment w:val="bottom"/>
            </w:pPr>
            <w:r>
              <w:rPr>
                <w:rFonts w:ascii="Arial" w:eastAsia="宋体" w:hAnsi="Arial" w:cs="Arial"/>
                <w:b/>
                <w:bCs/>
                <w:color w:val="000000"/>
                <w:sz w:val="14"/>
                <w:szCs w:val="14"/>
              </w:rPr>
              <w:t>22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E0F7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F78"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F79" w14:textId="77777777" w:rsidR="00584EC1" w:rsidRDefault="00871F8D">
            <w:pPr>
              <w:jc w:val="right"/>
              <w:textAlignment w:val="bottom"/>
            </w:pPr>
            <w:r>
              <w:rPr>
                <w:rFonts w:ascii="Arial" w:eastAsia="宋体" w:hAnsi="Arial" w:cs="Arial"/>
                <w:color w:val="000000"/>
                <w:sz w:val="14"/>
                <w:szCs w:val="14"/>
              </w:rPr>
              <w:t>40 </w:t>
            </w:r>
          </w:p>
        </w:tc>
        <w:tc>
          <w:tcPr>
            <w:tcW w:w="0" w:type="auto"/>
            <w:shd w:val="clear" w:color="auto" w:fill="FFFFFF"/>
            <w:tcMar>
              <w:top w:w="40" w:type="dxa"/>
              <w:left w:w="0" w:type="dxa"/>
              <w:bottom w:w="40" w:type="dxa"/>
              <w:right w:w="20" w:type="dxa"/>
            </w:tcMar>
            <w:vAlign w:val="bottom"/>
          </w:tcPr>
          <w:p w14:paraId="74DE0F7A" w14:textId="77777777" w:rsidR="00584EC1" w:rsidRDefault="00584EC1">
            <w:pPr>
              <w:jc w:val="right"/>
              <w:rPr>
                <w:rFonts w:ascii="宋体"/>
              </w:rPr>
            </w:pPr>
          </w:p>
        </w:tc>
        <w:tc>
          <w:tcPr>
            <w:tcW w:w="0" w:type="auto"/>
            <w:gridSpan w:val="3"/>
            <w:shd w:val="clear" w:color="auto" w:fill="auto"/>
            <w:vAlign w:val="bottom"/>
          </w:tcPr>
          <w:p w14:paraId="74DE0F7B" w14:textId="77777777" w:rsidR="00584EC1" w:rsidRDefault="00584EC1">
            <w:pPr>
              <w:rPr>
                <w:rFonts w:ascii="宋体"/>
                <w:vanish/>
              </w:rPr>
            </w:pPr>
          </w:p>
        </w:tc>
        <w:tc>
          <w:tcPr>
            <w:tcW w:w="0" w:type="auto"/>
            <w:gridSpan w:val="3"/>
            <w:shd w:val="clear" w:color="auto" w:fill="auto"/>
            <w:vAlign w:val="bottom"/>
          </w:tcPr>
          <w:p w14:paraId="74DE0F7C" w14:textId="77777777" w:rsidR="00584EC1" w:rsidRDefault="00584EC1">
            <w:pPr>
              <w:rPr>
                <w:rFonts w:ascii="宋体"/>
                <w:vanish/>
              </w:rPr>
            </w:pPr>
          </w:p>
        </w:tc>
      </w:tr>
      <w:tr w:rsidR="00584EC1" w14:paraId="74DE0F8C" w14:textId="77777777">
        <w:tc>
          <w:tcPr>
            <w:tcW w:w="0" w:type="auto"/>
            <w:gridSpan w:val="3"/>
            <w:shd w:val="clear" w:color="auto" w:fill="CCEEFF"/>
            <w:tcMar>
              <w:top w:w="40" w:type="dxa"/>
              <w:left w:w="20" w:type="dxa"/>
              <w:bottom w:w="40" w:type="dxa"/>
              <w:right w:w="20" w:type="dxa"/>
            </w:tcMar>
            <w:vAlign w:val="bottom"/>
          </w:tcPr>
          <w:p w14:paraId="74DE0F7E" w14:textId="77777777" w:rsidR="00584EC1" w:rsidRDefault="00871F8D">
            <w:pPr>
              <w:textAlignment w:val="bottom"/>
            </w:pPr>
            <w:r>
              <w:rPr>
                <w:rFonts w:ascii="Arial" w:eastAsia="宋体" w:hAnsi="Arial" w:cs="Arial"/>
                <w:color w:val="000000"/>
                <w:sz w:val="14"/>
                <w:szCs w:val="14"/>
              </w:rPr>
              <w:t>Insurance</w:t>
            </w:r>
          </w:p>
        </w:tc>
        <w:tc>
          <w:tcPr>
            <w:tcW w:w="0" w:type="auto"/>
            <w:gridSpan w:val="2"/>
            <w:shd w:val="clear" w:color="auto" w:fill="CCEEFF"/>
            <w:tcMar>
              <w:top w:w="40" w:type="dxa"/>
              <w:left w:w="20" w:type="dxa"/>
              <w:bottom w:w="40" w:type="dxa"/>
              <w:right w:w="0" w:type="dxa"/>
            </w:tcMar>
            <w:vAlign w:val="bottom"/>
          </w:tcPr>
          <w:p w14:paraId="74DE0F7F" w14:textId="77777777" w:rsidR="00584EC1" w:rsidRDefault="00871F8D">
            <w:pPr>
              <w:jc w:val="right"/>
              <w:textAlignment w:val="bottom"/>
            </w:pPr>
            <w:r>
              <w:rPr>
                <w:rFonts w:ascii="Arial" w:eastAsia="宋体" w:hAnsi="Arial" w:cs="Arial"/>
                <w:b/>
                <w:bCs/>
                <w:color w:val="000000"/>
                <w:sz w:val="14"/>
                <w:szCs w:val="14"/>
              </w:rPr>
              <w:t>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E0F8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F8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F82" w14:textId="77777777" w:rsidR="00584EC1" w:rsidRDefault="00871F8D">
            <w:pPr>
              <w:jc w:val="right"/>
              <w:textAlignment w:val="bottom"/>
            </w:pPr>
            <w:r>
              <w:rPr>
                <w:rFonts w:ascii="Arial" w:eastAsia="宋体" w:hAnsi="Arial" w:cs="Arial"/>
                <w:color w:val="000000"/>
                <w:sz w:val="14"/>
                <w:szCs w:val="14"/>
              </w:rPr>
              <w:t>2 </w:t>
            </w:r>
          </w:p>
        </w:tc>
        <w:tc>
          <w:tcPr>
            <w:tcW w:w="0" w:type="auto"/>
            <w:shd w:val="clear" w:color="auto" w:fill="CCEEFF"/>
            <w:tcMar>
              <w:top w:w="40" w:type="dxa"/>
              <w:left w:w="0" w:type="dxa"/>
              <w:bottom w:w="40" w:type="dxa"/>
              <w:right w:w="20" w:type="dxa"/>
            </w:tcMar>
            <w:vAlign w:val="bottom"/>
          </w:tcPr>
          <w:p w14:paraId="74DE0F8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F84"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F85" w14:textId="77777777" w:rsidR="00584EC1" w:rsidRDefault="00871F8D">
            <w:pPr>
              <w:jc w:val="right"/>
              <w:textAlignment w:val="bottom"/>
            </w:pPr>
            <w:r>
              <w:rPr>
                <w:rFonts w:ascii="Arial" w:eastAsia="宋体" w:hAnsi="Arial" w:cs="Arial"/>
                <w:b/>
                <w:bCs/>
                <w:color w:val="000000"/>
                <w:sz w:val="14"/>
                <w:szCs w:val="14"/>
              </w:rPr>
              <w:t>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E0F8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F8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F88" w14:textId="77777777" w:rsidR="00584EC1" w:rsidRDefault="00871F8D">
            <w:pPr>
              <w:jc w:val="right"/>
              <w:textAlignment w:val="bottom"/>
            </w:pPr>
            <w:r>
              <w:rPr>
                <w:rFonts w:ascii="Arial" w:eastAsia="宋体" w:hAnsi="Arial" w:cs="Arial"/>
                <w:color w:val="000000"/>
                <w:sz w:val="14"/>
                <w:szCs w:val="14"/>
              </w:rPr>
              <w:t>10 </w:t>
            </w:r>
          </w:p>
        </w:tc>
        <w:tc>
          <w:tcPr>
            <w:tcW w:w="0" w:type="auto"/>
            <w:shd w:val="clear" w:color="auto" w:fill="CCEEFF"/>
            <w:tcMar>
              <w:top w:w="40" w:type="dxa"/>
              <w:left w:w="0" w:type="dxa"/>
              <w:bottom w:w="40" w:type="dxa"/>
              <w:right w:w="20" w:type="dxa"/>
            </w:tcMar>
            <w:vAlign w:val="bottom"/>
          </w:tcPr>
          <w:p w14:paraId="74DE0F89" w14:textId="77777777" w:rsidR="00584EC1" w:rsidRDefault="00584EC1">
            <w:pPr>
              <w:jc w:val="right"/>
              <w:rPr>
                <w:rFonts w:ascii="宋体"/>
              </w:rPr>
            </w:pPr>
          </w:p>
        </w:tc>
        <w:tc>
          <w:tcPr>
            <w:tcW w:w="0" w:type="auto"/>
            <w:gridSpan w:val="3"/>
            <w:shd w:val="clear" w:color="auto" w:fill="auto"/>
            <w:vAlign w:val="bottom"/>
          </w:tcPr>
          <w:p w14:paraId="74DE0F8A" w14:textId="77777777" w:rsidR="00584EC1" w:rsidRDefault="00584EC1">
            <w:pPr>
              <w:rPr>
                <w:rFonts w:ascii="宋体"/>
                <w:vanish/>
              </w:rPr>
            </w:pPr>
          </w:p>
        </w:tc>
        <w:tc>
          <w:tcPr>
            <w:tcW w:w="0" w:type="auto"/>
            <w:gridSpan w:val="3"/>
            <w:shd w:val="clear" w:color="auto" w:fill="auto"/>
            <w:vAlign w:val="bottom"/>
          </w:tcPr>
          <w:p w14:paraId="74DE0F8B" w14:textId="77777777" w:rsidR="00584EC1" w:rsidRDefault="00584EC1">
            <w:pPr>
              <w:rPr>
                <w:rFonts w:ascii="宋体"/>
                <w:vanish/>
              </w:rPr>
            </w:pPr>
          </w:p>
        </w:tc>
      </w:tr>
      <w:tr w:rsidR="00584EC1" w14:paraId="74DE0F9B" w14:textId="77777777">
        <w:tc>
          <w:tcPr>
            <w:tcW w:w="0" w:type="auto"/>
            <w:gridSpan w:val="3"/>
            <w:shd w:val="clear" w:color="auto" w:fill="FFFFFF"/>
            <w:tcMar>
              <w:top w:w="40" w:type="dxa"/>
              <w:left w:w="20" w:type="dxa"/>
              <w:bottom w:w="40" w:type="dxa"/>
              <w:right w:w="20" w:type="dxa"/>
            </w:tcMar>
            <w:vAlign w:val="bottom"/>
          </w:tcPr>
          <w:p w14:paraId="74DE0F8D" w14:textId="77777777" w:rsidR="00584EC1" w:rsidRDefault="00871F8D">
            <w:pPr>
              <w:textAlignment w:val="bottom"/>
            </w:pPr>
            <w:r>
              <w:rPr>
                <w:rFonts w:ascii="Arial" w:eastAsia="宋体" w:hAnsi="Arial" w:cs="Arial"/>
                <w:color w:val="000000"/>
                <w:sz w:val="14"/>
                <w:szCs w:val="14"/>
              </w:rPr>
              <w:t>Bank operations</w:t>
            </w:r>
          </w:p>
        </w:tc>
        <w:tc>
          <w:tcPr>
            <w:tcW w:w="0" w:type="auto"/>
            <w:gridSpan w:val="2"/>
            <w:shd w:val="clear" w:color="auto" w:fill="FFFFFF"/>
            <w:tcMar>
              <w:top w:w="40" w:type="dxa"/>
              <w:left w:w="20" w:type="dxa"/>
              <w:bottom w:w="40" w:type="dxa"/>
              <w:right w:w="0" w:type="dxa"/>
            </w:tcMar>
            <w:vAlign w:val="bottom"/>
          </w:tcPr>
          <w:p w14:paraId="74DE0F8E" w14:textId="77777777" w:rsidR="00584EC1" w:rsidRDefault="00871F8D">
            <w:pPr>
              <w:jc w:val="right"/>
              <w:textAlignment w:val="bottom"/>
            </w:pPr>
            <w:r>
              <w:rPr>
                <w:rFonts w:ascii="Arial" w:eastAsia="宋体" w:hAnsi="Arial" w:cs="Arial"/>
                <w:b/>
                <w:bCs/>
                <w:color w:val="000000"/>
                <w:sz w:val="14"/>
                <w:szCs w:val="14"/>
              </w:rPr>
              <w:t>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E0F8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F9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F91" w14:textId="77777777" w:rsidR="00584EC1" w:rsidRDefault="00871F8D">
            <w:pPr>
              <w:jc w:val="right"/>
              <w:textAlignment w:val="bottom"/>
            </w:pPr>
            <w:r>
              <w:rPr>
                <w:rFonts w:ascii="Arial" w:eastAsia="宋体" w:hAnsi="Arial" w:cs="Arial"/>
                <w:color w:val="000000"/>
                <w:sz w:val="14"/>
                <w:szCs w:val="14"/>
              </w:rPr>
              <w:t>2 </w:t>
            </w:r>
          </w:p>
        </w:tc>
        <w:tc>
          <w:tcPr>
            <w:tcW w:w="0" w:type="auto"/>
            <w:shd w:val="clear" w:color="auto" w:fill="FFFFFF"/>
            <w:tcMar>
              <w:top w:w="40" w:type="dxa"/>
              <w:left w:w="0" w:type="dxa"/>
              <w:bottom w:w="40" w:type="dxa"/>
              <w:right w:w="20" w:type="dxa"/>
            </w:tcMar>
            <w:vAlign w:val="bottom"/>
          </w:tcPr>
          <w:p w14:paraId="74DE0F9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F9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F94" w14:textId="77777777" w:rsidR="00584EC1" w:rsidRDefault="00871F8D">
            <w:pPr>
              <w:jc w:val="right"/>
              <w:textAlignment w:val="bottom"/>
            </w:pPr>
            <w:r>
              <w:rPr>
                <w:rFonts w:ascii="Arial" w:eastAsia="宋体" w:hAnsi="Arial" w:cs="Arial"/>
                <w:b/>
                <w:bCs/>
                <w:color w:val="000000"/>
                <w:sz w:val="14"/>
                <w:szCs w:val="14"/>
              </w:rPr>
              <w:t>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E0F9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F9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0F97" w14:textId="77777777" w:rsidR="00584EC1" w:rsidRDefault="00871F8D">
            <w:pPr>
              <w:jc w:val="right"/>
              <w:textAlignment w:val="bottom"/>
            </w:pPr>
            <w:r>
              <w:rPr>
                <w:rFonts w:ascii="Arial" w:eastAsia="宋体" w:hAnsi="Arial" w:cs="Arial"/>
                <w:color w:val="000000"/>
                <w:sz w:val="14"/>
                <w:szCs w:val="14"/>
              </w:rPr>
              <w:t>15 </w:t>
            </w:r>
          </w:p>
        </w:tc>
        <w:tc>
          <w:tcPr>
            <w:tcW w:w="0" w:type="auto"/>
            <w:shd w:val="clear" w:color="auto" w:fill="FFFFFF"/>
            <w:tcMar>
              <w:top w:w="40" w:type="dxa"/>
              <w:left w:w="0" w:type="dxa"/>
              <w:bottom w:w="40" w:type="dxa"/>
              <w:right w:w="20" w:type="dxa"/>
            </w:tcMar>
            <w:vAlign w:val="bottom"/>
          </w:tcPr>
          <w:p w14:paraId="74DE0F98" w14:textId="77777777" w:rsidR="00584EC1" w:rsidRDefault="00584EC1">
            <w:pPr>
              <w:jc w:val="right"/>
              <w:rPr>
                <w:rFonts w:ascii="宋体"/>
              </w:rPr>
            </w:pPr>
          </w:p>
        </w:tc>
        <w:tc>
          <w:tcPr>
            <w:tcW w:w="0" w:type="auto"/>
            <w:gridSpan w:val="3"/>
            <w:shd w:val="clear" w:color="auto" w:fill="auto"/>
            <w:vAlign w:val="bottom"/>
          </w:tcPr>
          <w:p w14:paraId="74DE0F99" w14:textId="77777777" w:rsidR="00584EC1" w:rsidRDefault="00584EC1">
            <w:pPr>
              <w:rPr>
                <w:rFonts w:ascii="宋体"/>
                <w:vanish/>
              </w:rPr>
            </w:pPr>
          </w:p>
        </w:tc>
        <w:tc>
          <w:tcPr>
            <w:tcW w:w="0" w:type="auto"/>
            <w:gridSpan w:val="3"/>
            <w:shd w:val="clear" w:color="auto" w:fill="auto"/>
            <w:vAlign w:val="bottom"/>
          </w:tcPr>
          <w:p w14:paraId="74DE0F9A" w14:textId="77777777" w:rsidR="00584EC1" w:rsidRDefault="00584EC1">
            <w:pPr>
              <w:rPr>
                <w:rFonts w:ascii="宋体"/>
                <w:vanish/>
              </w:rPr>
            </w:pPr>
          </w:p>
        </w:tc>
      </w:tr>
      <w:tr w:rsidR="00584EC1" w14:paraId="74DE0FA6" w14:textId="77777777">
        <w:trPr>
          <w:hidden/>
        </w:trPr>
        <w:tc>
          <w:tcPr>
            <w:tcW w:w="0" w:type="auto"/>
            <w:gridSpan w:val="3"/>
            <w:shd w:val="clear" w:color="auto" w:fill="auto"/>
            <w:vAlign w:val="bottom"/>
          </w:tcPr>
          <w:p w14:paraId="74DE0F9C" w14:textId="77777777" w:rsidR="00584EC1" w:rsidRDefault="00584EC1">
            <w:pPr>
              <w:rPr>
                <w:rFonts w:ascii="宋体"/>
                <w:vanish/>
              </w:rPr>
            </w:pPr>
          </w:p>
        </w:tc>
        <w:tc>
          <w:tcPr>
            <w:tcW w:w="0" w:type="auto"/>
            <w:gridSpan w:val="3"/>
            <w:shd w:val="clear" w:color="auto" w:fill="auto"/>
            <w:vAlign w:val="bottom"/>
          </w:tcPr>
          <w:p w14:paraId="74DE0F9D" w14:textId="77777777" w:rsidR="00584EC1" w:rsidRDefault="00584EC1">
            <w:pPr>
              <w:rPr>
                <w:rFonts w:ascii="宋体"/>
                <w:vanish/>
              </w:rPr>
            </w:pPr>
          </w:p>
        </w:tc>
        <w:tc>
          <w:tcPr>
            <w:tcW w:w="0" w:type="auto"/>
            <w:gridSpan w:val="3"/>
            <w:shd w:val="clear" w:color="auto" w:fill="auto"/>
            <w:vAlign w:val="bottom"/>
          </w:tcPr>
          <w:p w14:paraId="74DE0F9E" w14:textId="77777777" w:rsidR="00584EC1" w:rsidRDefault="00584EC1">
            <w:pPr>
              <w:rPr>
                <w:rFonts w:ascii="宋体"/>
                <w:vanish/>
              </w:rPr>
            </w:pPr>
          </w:p>
        </w:tc>
        <w:tc>
          <w:tcPr>
            <w:tcW w:w="0" w:type="auto"/>
            <w:gridSpan w:val="3"/>
            <w:shd w:val="clear" w:color="auto" w:fill="auto"/>
            <w:vAlign w:val="bottom"/>
          </w:tcPr>
          <w:p w14:paraId="74DE0F9F" w14:textId="77777777" w:rsidR="00584EC1" w:rsidRDefault="00584EC1">
            <w:pPr>
              <w:rPr>
                <w:rFonts w:ascii="宋体"/>
                <w:vanish/>
              </w:rPr>
            </w:pPr>
          </w:p>
        </w:tc>
        <w:tc>
          <w:tcPr>
            <w:tcW w:w="0" w:type="auto"/>
            <w:gridSpan w:val="3"/>
            <w:shd w:val="clear" w:color="auto" w:fill="auto"/>
            <w:vAlign w:val="bottom"/>
          </w:tcPr>
          <w:p w14:paraId="74DE0FA0" w14:textId="77777777" w:rsidR="00584EC1" w:rsidRDefault="00584EC1">
            <w:pPr>
              <w:rPr>
                <w:rFonts w:ascii="宋体"/>
                <w:vanish/>
              </w:rPr>
            </w:pPr>
          </w:p>
        </w:tc>
        <w:tc>
          <w:tcPr>
            <w:tcW w:w="0" w:type="auto"/>
            <w:gridSpan w:val="3"/>
            <w:shd w:val="clear" w:color="auto" w:fill="auto"/>
            <w:vAlign w:val="bottom"/>
          </w:tcPr>
          <w:p w14:paraId="74DE0FA1" w14:textId="77777777" w:rsidR="00584EC1" w:rsidRDefault="00584EC1">
            <w:pPr>
              <w:rPr>
                <w:rFonts w:ascii="宋体"/>
                <w:vanish/>
              </w:rPr>
            </w:pPr>
          </w:p>
        </w:tc>
        <w:tc>
          <w:tcPr>
            <w:tcW w:w="0" w:type="auto"/>
            <w:gridSpan w:val="3"/>
            <w:shd w:val="clear" w:color="auto" w:fill="auto"/>
            <w:vAlign w:val="bottom"/>
          </w:tcPr>
          <w:p w14:paraId="74DE0FA2" w14:textId="77777777" w:rsidR="00584EC1" w:rsidRDefault="00584EC1">
            <w:pPr>
              <w:rPr>
                <w:rFonts w:ascii="宋体"/>
                <w:vanish/>
              </w:rPr>
            </w:pPr>
          </w:p>
        </w:tc>
        <w:tc>
          <w:tcPr>
            <w:tcW w:w="0" w:type="auto"/>
            <w:gridSpan w:val="3"/>
            <w:shd w:val="clear" w:color="auto" w:fill="auto"/>
            <w:vAlign w:val="bottom"/>
          </w:tcPr>
          <w:p w14:paraId="74DE0FA3" w14:textId="77777777" w:rsidR="00584EC1" w:rsidRDefault="00584EC1">
            <w:pPr>
              <w:rPr>
                <w:rFonts w:ascii="宋体"/>
                <w:vanish/>
              </w:rPr>
            </w:pPr>
          </w:p>
        </w:tc>
        <w:tc>
          <w:tcPr>
            <w:tcW w:w="0" w:type="auto"/>
            <w:gridSpan w:val="3"/>
            <w:shd w:val="clear" w:color="auto" w:fill="auto"/>
            <w:vAlign w:val="bottom"/>
          </w:tcPr>
          <w:p w14:paraId="74DE0FA4" w14:textId="77777777" w:rsidR="00584EC1" w:rsidRDefault="00584EC1">
            <w:pPr>
              <w:rPr>
                <w:rFonts w:ascii="宋体"/>
                <w:vanish/>
              </w:rPr>
            </w:pPr>
          </w:p>
        </w:tc>
        <w:tc>
          <w:tcPr>
            <w:tcW w:w="0" w:type="auto"/>
            <w:gridSpan w:val="3"/>
            <w:shd w:val="clear" w:color="auto" w:fill="auto"/>
            <w:vAlign w:val="bottom"/>
          </w:tcPr>
          <w:p w14:paraId="74DE0FA5" w14:textId="77777777" w:rsidR="00584EC1" w:rsidRDefault="00584EC1">
            <w:pPr>
              <w:rPr>
                <w:rFonts w:ascii="宋体"/>
                <w:vanish/>
              </w:rPr>
            </w:pPr>
          </w:p>
        </w:tc>
      </w:tr>
      <w:tr w:rsidR="00584EC1" w14:paraId="74DE0FB5" w14:textId="77777777">
        <w:tc>
          <w:tcPr>
            <w:tcW w:w="0" w:type="auto"/>
            <w:gridSpan w:val="3"/>
            <w:shd w:val="clear" w:color="auto" w:fill="CCEEFF"/>
            <w:tcMar>
              <w:top w:w="40" w:type="dxa"/>
              <w:left w:w="20" w:type="dxa"/>
              <w:bottom w:w="40" w:type="dxa"/>
              <w:right w:w="20" w:type="dxa"/>
            </w:tcMar>
            <w:vAlign w:val="bottom"/>
          </w:tcPr>
          <w:p w14:paraId="74DE0FA7" w14:textId="77777777" w:rsidR="00584EC1" w:rsidRDefault="00871F8D">
            <w:pPr>
              <w:textAlignment w:val="bottom"/>
            </w:pPr>
            <w:r>
              <w:rPr>
                <w:rFonts w:ascii="Arial" w:eastAsia="宋体" w:hAnsi="Arial" w:cs="Arial"/>
                <w:color w:val="000000"/>
                <w:sz w:val="14"/>
                <w:szCs w:val="14"/>
              </w:rPr>
              <w:t>Other</w:t>
            </w:r>
          </w:p>
        </w:tc>
        <w:tc>
          <w:tcPr>
            <w:tcW w:w="0" w:type="auto"/>
            <w:gridSpan w:val="2"/>
            <w:shd w:val="clear" w:color="auto" w:fill="CCEEFF"/>
            <w:tcMar>
              <w:top w:w="40" w:type="dxa"/>
              <w:left w:w="20" w:type="dxa"/>
              <w:bottom w:w="40" w:type="dxa"/>
              <w:right w:w="0" w:type="dxa"/>
            </w:tcMar>
            <w:vAlign w:val="bottom"/>
          </w:tcPr>
          <w:p w14:paraId="74DE0FA8" w14:textId="77777777" w:rsidR="00584EC1" w:rsidRDefault="00871F8D">
            <w:pPr>
              <w:jc w:val="right"/>
              <w:textAlignment w:val="bottom"/>
            </w:pPr>
            <w:r>
              <w:rPr>
                <w:rFonts w:ascii="Arial" w:eastAsia="宋体" w:hAnsi="Arial" w:cs="Arial"/>
                <w:b/>
                <w:bCs/>
                <w:color w:val="000000"/>
                <w:sz w:val="14"/>
                <w:szCs w:val="14"/>
              </w:rPr>
              <w:t>87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E0FA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FAA"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FAB" w14:textId="77777777" w:rsidR="00584EC1" w:rsidRDefault="00871F8D">
            <w:pPr>
              <w:jc w:val="right"/>
              <w:textAlignment w:val="bottom"/>
            </w:pPr>
            <w:r>
              <w:rPr>
                <w:rFonts w:ascii="Arial" w:eastAsia="宋体" w:hAnsi="Arial" w:cs="Arial"/>
                <w:color w:val="000000"/>
                <w:sz w:val="14"/>
                <w:szCs w:val="14"/>
              </w:rPr>
              <w:t>90 </w:t>
            </w:r>
          </w:p>
        </w:tc>
        <w:tc>
          <w:tcPr>
            <w:tcW w:w="0" w:type="auto"/>
            <w:shd w:val="clear" w:color="auto" w:fill="CCEEFF"/>
            <w:tcMar>
              <w:top w:w="40" w:type="dxa"/>
              <w:left w:w="0" w:type="dxa"/>
              <w:bottom w:w="40" w:type="dxa"/>
              <w:right w:w="20" w:type="dxa"/>
            </w:tcMar>
            <w:vAlign w:val="bottom"/>
          </w:tcPr>
          <w:p w14:paraId="74DE0FA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FA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FAE" w14:textId="77777777" w:rsidR="00584EC1" w:rsidRDefault="00871F8D">
            <w:pPr>
              <w:jc w:val="right"/>
              <w:textAlignment w:val="bottom"/>
            </w:pPr>
            <w:r>
              <w:rPr>
                <w:rFonts w:ascii="Arial" w:eastAsia="宋体" w:hAnsi="Arial" w:cs="Arial"/>
                <w:b/>
                <w:bCs/>
                <w:color w:val="000000"/>
                <w:sz w:val="14"/>
                <w:szCs w:val="14"/>
              </w:rPr>
              <w:t>259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E0FA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0FB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0FB1" w14:textId="77777777" w:rsidR="00584EC1" w:rsidRDefault="00871F8D">
            <w:pPr>
              <w:jc w:val="right"/>
              <w:textAlignment w:val="bottom"/>
            </w:pPr>
            <w:r>
              <w:rPr>
                <w:rFonts w:ascii="Arial" w:eastAsia="宋体" w:hAnsi="Arial" w:cs="Arial"/>
                <w:color w:val="000000"/>
                <w:sz w:val="14"/>
                <w:szCs w:val="14"/>
              </w:rPr>
              <w:t>281 </w:t>
            </w:r>
          </w:p>
        </w:tc>
        <w:tc>
          <w:tcPr>
            <w:tcW w:w="0" w:type="auto"/>
            <w:shd w:val="clear" w:color="auto" w:fill="CCEEFF"/>
            <w:tcMar>
              <w:top w:w="40" w:type="dxa"/>
              <w:left w:w="0" w:type="dxa"/>
              <w:bottom w:w="40" w:type="dxa"/>
              <w:right w:w="20" w:type="dxa"/>
            </w:tcMar>
            <w:vAlign w:val="bottom"/>
          </w:tcPr>
          <w:p w14:paraId="74DE0FB2" w14:textId="77777777" w:rsidR="00584EC1" w:rsidRDefault="00584EC1">
            <w:pPr>
              <w:jc w:val="right"/>
              <w:rPr>
                <w:rFonts w:ascii="宋体"/>
              </w:rPr>
            </w:pPr>
          </w:p>
        </w:tc>
        <w:tc>
          <w:tcPr>
            <w:tcW w:w="0" w:type="auto"/>
            <w:gridSpan w:val="3"/>
            <w:shd w:val="clear" w:color="auto" w:fill="auto"/>
            <w:vAlign w:val="bottom"/>
          </w:tcPr>
          <w:p w14:paraId="74DE0FB3" w14:textId="77777777" w:rsidR="00584EC1" w:rsidRDefault="00584EC1">
            <w:pPr>
              <w:rPr>
                <w:rFonts w:ascii="宋体"/>
                <w:vanish/>
              </w:rPr>
            </w:pPr>
          </w:p>
        </w:tc>
        <w:tc>
          <w:tcPr>
            <w:tcW w:w="0" w:type="auto"/>
            <w:gridSpan w:val="3"/>
            <w:shd w:val="clear" w:color="auto" w:fill="auto"/>
            <w:vAlign w:val="bottom"/>
          </w:tcPr>
          <w:p w14:paraId="74DE0FB4" w14:textId="77777777" w:rsidR="00584EC1" w:rsidRDefault="00584EC1">
            <w:pPr>
              <w:rPr>
                <w:rFonts w:ascii="宋体"/>
                <w:vanish/>
              </w:rPr>
            </w:pPr>
          </w:p>
        </w:tc>
      </w:tr>
      <w:tr w:rsidR="00584EC1" w14:paraId="74DE0FC8" w14:textId="77777777">
        <w:tc>
          <w:tcPr>
            <w:tcW w:w="0" w:type="auto"/>
            <w:gridSpan w:val="3"/>
            <w:shd w:val="clear" w:color="auto" w:fill="FFFFFF"/>
            <w:tcMar>
              <w:top w:w="40" w:type="dxa"/>
              <w:left w:w="20" w:type="dxa"/>
              <w:bottom w:w="40" w:type="dxa"/>
              <w:right w:w="20" w:type="dxa"/>
            </w:tcMar>
            <w:vAlign w:val="bottom"/>
          </w:tcPr>
          <w:p w14:paraId="74DE0FB6" w14:textId="77777777" w:rsidR="00584EC1" w:rsidRDefault="00871F8D">
            <w:pPr>
              <w:textAlignment w:val="bottom"/>
            </w:pPr>
            <w:r>
              <w:rPr>
                <w:rFonts w:ascii="Arial" w:eastAsia="宋体" w:hAnsi="Arial" w:cs="Arial"/>
                <w:color w:val="000000"/>
                <w:sz w:val="14"/>
                <w:szCs w:val="14"/>
              </w:rPr>
              <w:t>Total other expenses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E0FB7"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E0FB8" w14:textId="77777777" w:rsidR="00584EC1" w:rsidRDefault="00871F8D">
            <w:pPr>
              <w:jc w:val="right"/>
              <w:textAlignment w:val="bottom"/>
            </w:pPr>
            <w:r>
              <w:rPr>
                <w:rFonts w:ascii="Arial" w:eastAsia="宋体" w:hAnsi="Arial" w:cs="Arial"/>
                <w:b/>
                <w:bCs/>
                <w:color w:val="000000"/>
                <w:sz w:val="14"/>
                <w:szCs w:val="14"/>
              </w:rPr>
              <w:t>221</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E0FB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FBA"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E0FBB"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E0FBC" w14:textId="77777777" w:rsidR="00584EC1" w:rsidRDefault="00871F8D">
            <w:pPr>
              <w:jc w:val="right"/>
              <w:textAlignment w:val="bottom"/>
            </w:pPr>
            <w:r>
              <w:rPr>
                <w:rFonts w:ascii="Arial" w:eastAsia="宋体" w:hAnsi="Arial" w:cs="Arial"/>
                <w:color w:val="000000"/>
                <w:sz w:val="14"/>
                <w:szCs w:val="14"/>
              </w:rPr>
              <w:t>229 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E0FB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FBE"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E0FBF"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E0FC0" w14:textId="77777777" w:rsidR="00584EC1" w:rsidRDefault="00871F8D">
            <w:pPr>
              <w:jc w:val="right"/>
              <w:textAlignment w:val="bottom"/>
            </w:pPr>
            <w:r>
              <w:rPr>
                <w:rFonts w:ascii="Arial" w:eastAsia="宋体" w:hAnsi="Arial" w:cs="Arial"/>
                <w:b/>
                <w:bCs/>
                <w:color w:val="000000"/>
                <w:sz w:val="14"/>
                <w:szCs w:val="14"/>
              </w:rPr>
              <w:t>642</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E0FC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0FC2"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E0FC3"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E0FC4" w14:textId="77777777" w:rsidR="00584EC1" w:rsidRDefault="00871F8D">
            <w:pPr>
              <w:jc w:val="right"/>
              <w:textAlignment w:val="bottom"/>
            </w:pPr>
            <w:r>
              <w:rPr>
                <w:rFonts w:ascii="Arial" w:eastAsia="宋体" w:hAnsi="Arial" w:cs="Arial"/>
                <w:color w:val="000000"/>
                <w:sz w:val="14"/>
                <w:szCs w:val="14"/>
              </w:rPr>
              <w:t>702 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E0FC5" w14:textId="77777777" w:rsidR="00584EC1" w:rsidRDefault="00584EC1">
            <w:pPr>
              <w:jc w:val="right"/>
              <w:rPr>
                <w:rFonts w:ascii="宋体"/>
              </w:rPr>
            </w:pPr>
          </w:p>
        </w:tc>
        <w:tc>
          <w:tcPr>
            <w:tcW w:w="0" w:type="auto"/>
            <w:gridSpan w:val="3"/>
            <w:shd w:val="clear" w:color="auto" w:fill="auto"/>
            <w:vAlign w:val="bottom"/>
          </w:tcPr>
          <w:p w14:paraId="74DE0FC6" w14:textId="77777777" w:rsidR="00584EC1" w:rsidRDefault="00584EC1">
            <w:pPr>
              <w:rPr>
                <w:rFonts w:ascii="宋体"/>
                <w:vanish/>
              </w:rPr>
            </w:pPr>
          </w:p>
        </w:tc>
        <w:tc>
          <w:tcPr>
            <w:tcW w:w="0" w:type="auto"/>
            <w:gridSpan w:val="3"/>
            <w:shd w:val="clear" w:color="auto" w:fill="auto"/>
            <w:vAlign w:val="bottom"/>
          </w:tcPr>
          <w:p w14:paraId="74DE0FC7" w14:textId="77777777" w:rsidR="00584EC1" w:rsidRDefault="00584EC1">
            <w:pPr>
              <w:rPr>
                <w:rFonts w:ascii="宋体"/>
                <w:vanish/>
              </w:rPr>
            </w:pPr>
          </w:p>
        </w:tc>
      </w:tr>
    </w:tbl>
    <w:p w14:paraId="74DE0FC9" w14:textId="77777777" w:rsidR="00584EC1" w:rsidRDefault="00871F8D">
      <w:pPr>
        <w:spacing w:before="60"/>
        <w:jc w:val="both"/>
      </w:pPr>
      <w:r>
        <w:rPr>
          <w:rFonts w:ascii="Arial" w:eastAsia="宋体" w:hAnsi="Arial" w:cs="Arial"/>
          <w:b/>
          <w:bCs/>
          <w:i/>
          <w:iCs/>
          <w:color w:val="000000"/>
          <w:sz w:val="20"/>
          <w:szCs w:val="20"/>
        </w:rPr>
        <w:t>Acquisition Costs</w:t>
      </w:r>
    </w:p>
    <w:p w14:paraId="74DE0FCA" w14:textId="77777777" w:rsidR="00584EC1" w:rsidRDefault="00871F8D">
      <w:pPr>
        <w:spacing w:before="60"/>
        <w:ind w:firstLine="450"/>
        <w:jc w:val="both"/>
      </w:pPr>
      <w:r>
        <w:rPr>
          <w:rFonts w:ascii="Arial" w:eastAsia="宋体" w:hAnsi="Arial" w:cs="Arial"/>
          <w:color w:val="000000"/>
          <w:sz w:val="20"/>
          <w:szCs w:val="20"/>
        </w:rPr>
        <w:t>We recorded approximately $11 million and $33 million of acquisition costs in th</w:t>
      </w:r>
      <w:r>
        <w:rPr>
          <w:rFonts w:ascii="Arial" w:eastAsia="宋体" w:hAnsi="Arial" w:cs="Arial"/>
          <w:color w:val="000000"/>
          <w:sz w:val="20"/>
          <w:szCs w:val="20"/>
        </w:rPr>
        <w:t xml:space="preserve">e three and nine months ended September 30, 2021, respectively, compared to $15 million and $38 million in the same periods in 2020, respectively, related to our acquisition of CRD. In addition, we recorded approximately $7 million of acquisition costs in </w:t>
      </w:r>
      <w:r>
        <w:rPr>
          <w:rFonts w:ascii="Arial" w:eastAsia="宋体" w:hAnsi="Arial" w:cs="Arial"/>
          <w:color w:val="000000"/>
          <w:sz w:val="20"/>
          <w:szCs w:val="20"/>
        </w:rPr>
        <w:t>the third quarter of 2021 related to our proposed acquisition of the BBH Investor Services business.</w:t>
      </w:r>
    </w:p>
    <w:p w14:paraId="74DE0FCB" w14:textId="77777777" w:rsidR="00584EC1" w:rsidRDefault="00871F8D">
      <w:pPr>
        <w:ind w:firstLine="450"/>
        <w:jc w:val="right"/>
      </w:pPr>
      <w:r>
        <w:rPr>
          <w:rFonts w:ascii="Arial" w:eastAsia="宋体" w:hAnsi="Arial" w:cs="Arial"/>
          <w:color w:val="000000"/>
          <w:sz w:val="18"/>
          <w:szCs w:val="18"/>
        </w:rPr>
        <w:t>State Street Corporation | 91</w:t>
      </w:r>
    </w:p>
    <w:p w14:paraId="74DE0FCC" w14:textId="77777777" w:rsidR="00584EC1" w:rsidRDefault="00584EC1">
      <w:pPr>
        <w:ind w:firstLine="450"/>
        <w:jc w:val="center"/>
      </w:pPr>
    </w:p>
    <w:p w14:paraId="74DE0FCD" w14:textId="77777777" w:rsidR="00584EC1" w:rsidRDefault="00871F8D">
      <w:r>
        <w:pict w14:anchorId="74DE2A49">
          <v:rect id="_x0000_i1115" style="width:415.3pt;height:1.5pt" o:hralign="center" o:hrstd="t" o:hr="t" fillcolor="#a0a0a0" stroked="f"/>
        </w:pict>
      </w:r>
    </w:p>
    <w:p w14:paraId="74DE0FCE" w14:textId="77777777" w:rsidR="00584EC1" w:rsidRDefault="00871F8D">
      <w:pPr>
        <w:ind w:firstLine="450"/>
        <w:jc w:val="center"/>
      </w:pPr>
      <w:r>
        <w:rPr>
          <w:rFonts w:ascii="Arial" w:eastAsia="宋体" w:hAnsi="Arial" w:cs="Arial"/>
          <w:b/>
          <w:bCs/>
          <w:color w:val="000000"/>
          <w:sz w:val="20"/>
          <w:szCs w:val="20"/>
        </w:rPr>
        <w:t>STATE STREET CORPORATION</w:t>
      </w:r>
    </w:p>
    <w:p w14:paraId="74DE0FCF" w14:textId="77777777" w:rsidR="00584EC1" w:rsidRDefault="00871F8D">
      <w:pPr>
        <w:ind w:firstLine="450"/>
        <w:jc w:val="center"/>
      </w:pPr>
      <w:r>
        <w:rPr>
          <w:rFonts w:ascii="Arial" w:eastAsia="宋体" w:hAnsi="Arial" w:cs="Arial"/>
          <w:b/>
          <w:bCs/>
          <w:color w:val="000000"/>
          <w:sz w:val="20"/>
          <w:szCs w:val="20"/>
        </w:rPr>
        <w:t>CONDENSED NOTES TO CONSOLIDATED FINANCIAL STATEMENTS</w:t>
      </w:r>
    </w:p>
    <w:p w14:paraId="74DE0FD0" w14:textId="77777777" w:rsidR="00584EC1" w:rsidRDefault="00871F8D">
      <w:pPr>
        <w:ind w:firstLine="450"/>
        <w:jc w:val="center"/>
      </w:pPr>
      <w:r>
        <w:rPr>
          <w:rFonts w:ascii="Arial" w:eastAsia="宋体" w:hAnsi="Arial" w:cs="Arial"/>
          <w:b/>
          <w:bCs/>
          <w:color w:val="000000"/>
          <w:sz w:val="20"/>
          <w:szCs w:val="20"/>
        </w:rPr>
        <w:t>(UNAUDITED)</w:t>
      </w:r>
    </w:p>
    <w:p w14:paraId="74DE0FD1" w14:textId="77777777" w:rsidR="00584EC1" w:rsidRDefault="00871F8D">
      <w:pPr>
        <w:spacing w:before="60"/>
        <w:jc w:val="both"/>
      </w:pPr>
      <w:r>
        <w:rPr>
          <w:rFonts w:ascii="Arial" w:eastAsia="宋体" w:hAnsi="Arial" w:cs="Arial"/>
          <w:b/>
          <w:bCs/>
          <w:i/>
          <w:iCs/>
          <w:color w:val="000000"/>
          <w:sz w:val="20"/>
          <w:szCs w:val="20"/>
        </w:rPr>
        <w:t xml:space="preserve">Restructuring and </w:t>
      </w:r>
      <w:r>
        <w:rPr>
          <w:rFonts w:ascii="Arial" w:eastAsia="宋体" w:hAnsi="Arial" w:cs="Arial"/>
          <w:b/>
          <w:bCs/>
          <w:i/>
          <w:iCs/>
          <w:color w:val="000000"/>
          <w:sz w:val="20"/>
          <w:szCs w:val="20"/>
        </w:rPr>
        <w:t>Repositioning Charges</w:t>
      </w:r>
    </w:p>
    <w:p w14:paraId="74DE0FD2" w14:textId="77777777" w:rsidR="00584EC1" w:rsidRDefault="00871F8D">
      <w:pPr>
        <w:spacing w:before="60"/>
        <w:ind w:firstLine="450"/>
        <w:jc w:val="both"/>
      </w:pPr>
      <w:r>
        <w:rPr>
          <w:rFonts w:ascii="Arial" w:eastAsia="宋体" w:hAnsi="Arial" w:cs="Arial"/>
          <w:color w:val="000000"/>
          <w:sz w:val="20"/>
          <w:szCs w:val="20"/>
        </w:rPr>
        <w:t>The following table presents aggregate activity for repositioning charges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0"/>
        <w:gridCol w:w="3031"/>
        <w:gridCol w:w="39"/>
        <w:gridCol w:w="99"/>
        <w:gridCol w:w="1054"/>
        <w:gridCol w:w="36"/>
        <w:gridCol w:w="36"/>
        <w:gridCol w:w="36"/>
        <w:gridCol w:w="36"/>
        <w:gridCol w:w="99"/>
        <w:gridCol w:w="1055"/>
        <w:gridCol w:w="36"/>
        <w:gridCol w:w="36"/>
        <w:gridCol w:w="36"/>
        <w:gridCol w:w="36"/>
        <w:gridCol w:w="36"/>
        <w:gridCol w:w="36"/>
        <w:gridCol w:w="36"/>
        <w:gridCol w:w="36"/>
        <w:gridCol w:w="99"/>
        <w:gridCol w:w="1055"/>
        <w:gridCol w:w="36"/>
        <w:gridCol w:w="36"/>
        <w:gridCol w:w="36"/>
        <w:gridCol w:w="36"/>
        <w:gridCol w:w="98"/>
        <w:gridCol w:w="1055"/>
        <w:gridCol w:w="36"/>
      </w:tblGrid>
      <w:tr w:rsidR="00584EC1" w14:paraId="74DE0FEF" w14:textId="77777777">
        <w:tc>
          <w:tcPr>
            <w:tcW w:w="50" w:type="pct"/>
            <w:shd w:val="clear" w:color="auto" w:fill="auto"/>
            <w:vAlign w:val="bottom"/>
          </w:tcPr>
          <w:p w14:paraId="74DE0FD3" w14:textId="77777777" w:rsidR="00584EC1" w:rsidRDefault="00584EC1">
            <w:pPr>
              <w:rPr>
                <w:rFonts w:ascii="宋体"/>
              </w:rPr>
            </w:pPr>
          </w:p>
        </w:tc>
        <w:tc>
          <w:tcPr>
            <w:tcW w:w="1904" w:type="pct"/>
            <w:shd w:val="clear" w:color="auto" w:fill="auto"/>
            <w:vAlign w:val="bottom"/>
          </w:tcPr>
          <w:p w14:paraId="74DE0FD4" w14:textId="77777777" w:rsidR="00584EC1" w:rsidRDefault="00584EC1">
            <w:pPr>
              <w:rPr>
                <w:rFonts w:ascii="宋体"/>
              </w:rPr>
            </w:pPr>
          </w:p>
        </w:tc>
        <w:tc>
          <w:tcPr>
            <w:tcW w:w="5" w:type="pct"/>
            <w:shd w:val="clear" w:color="auto" w:fill="auto"/>
            <w:vAlign w:val="bottom"/>
          </w:tcPr>
          <w:p w14:paraId="74DE0FD5" w14:textId="77777777" w:rsidR="00584EC1" w:rsidRDefault="00584EC1">
            <w:pPr>
              <w:rPr>
                <w:rFonts w:ascii="宋体"/>
              </w:rPr>
            </w:pPr>
          </w:p>
        </w:tc>
        <w:tc>
          <w:tcPr>
            <w:tcW w:w="50" w:type="pct"/>
            <w:shd w:val="clear" w:color="auto" w:fill="auto"/>
            <w:vAlign w:val="bottom"/>
          </w:tcPr>
          <w:p w14:paraId="74DE0FD6" w14:textId="77777777" w:rsidR="00584EC1" w:rsidRDefault="00584EC1">
            <w:pPr>
              <w:rPr>
                <w:rFonts w:ascii="宋体"/>
              </w:rPr>
            </w:pPr>
          </w:p>
        </w:tc>
        <w:tc>
          <w:tcPr>
            <w:tcW w:w="683" w:type="pct"/>
            <w:shd w:val="clear" w:color="auto" w:fill="auto"/>
            <w:vAlign w:val="bottom"/>
          </w:tcPr>
          <w:p w14:paraId="74DE0FD7" w14:textId="77777777" w:rsidR="00584EC1" w:rsidRDefault="00584EC1">
            <w:pPr>
              <w:rPr>
                <w:rFonts w:ascii="宋体"/>
              </w:rPr>
            </w:pPr>
          </w:p>
        </w:tc>
        <w:tc>
          <w:tcPr>
            <w:tcW w:w="5" w:type="pct"/>
            <w:shd w:val="clear" w:color="auto" w:fill="auto"/>
            <w:vAlign w:val="bottom"/>
          </w:tcPr>
          <w:p w14:paraId="74DE0FD8" w14:textId="77777777" w:rsidR="00584EC1" w:rsidRDefault="00584EC1">
            <w:pPr>
              <w:rPr>
                <w:rFonts w:ascii="宋体"/>
              </w:rPr>
            </w:pPr>
          </w:p>
        </w:tc>
        <w:tc>
          <w:tcPr>
            <w:tcW w:w="5" w:type="pct"/>
            <w:shd w:val="clear" w:color="auto" w:fill="auto"/>
            <w:vAlign w:val="bottom"/>
          </w:tcPr>
          <w:p w14:paraId="74DE0FD9" w14:textId="77777777" w:rsidR="00584EC1" w:rsidRDefault="00584EC1">
            <w:pPr>
              <w:rPr>
                <w:rFonts w:ascii="宋体"/>
              </w:rPr>
            </w:pPr>
          </w:p>
        </w:tc>
        <w:tc>
          <w:tcPr>
            <w:tcW w:w="19" w:type="pct"/>
            <w:shd w:val="clear" w:color="auto" w:fill="auto"/>
            <w:vAlign w:val="bottom"/>
          </w:tcPr>
          <w:p w14:paraId="74DE0FDA" w14:textId="77777777" w:rsidR="00584EC1" w:rsidRDefault="00584EC1">
            <w:pPr>
              <w:rPr>
                <w:rFonts w:ascii="宋体"/>
              </w:rPr>
            </w:pPr>
          </w:p>
        </w:tc>
        <w:tc>
          <w:tcPr>
            <w:tcW w:w="5" w:type="pct"/>
            <w:shd w:val="clear" w:color="auto" w:fill="auto"/>
            <w:vAlign w:val="bottom"/>
          </w:tcPr>
          <w:p w14:paraId="74DE0FDB" w14:textId="77777777" w:rsidR="00584EC1" w:rsidRDefault="00584EC1">
            <w:pPr>
              <w:rPr>
                <w:rFonts w:ascii="宋体"/>
              </w:rPr>
            </w:pPr>
          </w:p>
        </w:tc>
        <w:tc>
          <w:tcPr>
            <w:tcW w:w="50" w:type="pct"/>
            <w:shd w:val="clear" w:color="auto" w:fill="auto"/>
            <w:vAlign w:val="bottom"/>
          </w:tcPr>
          <w:p w14:paraId="74DE0FDC" w14:textId="77777777" w:rsidR="00584EC1" w:rsidRDefault="00584EC1">
            <w:pPr>
              <w:rPr>
                <w:rFonts w:ascii="宋体"/>
              </w:rPr>
            </w:pPr>
          </w:p>
        </w:tc>
        <w:tc>
          <w:tcPr>
            <w:tcW w:w="683" w:type="pct"/>
            <w:shd w:val="clear" w:color="auto" w:fill="auto"/>
            <w:vAlign w:val="bottom"/>
          </w:tcPr>
          <w:p w14:paraId="74DE0FDD" w14:textId="77777777" w:rsidR="00584EC1" w:rsidRDefault="00584EC1">
            <w:pPr>
              <w:rPr>
                <w:rFonts w:ascii="宋体"/>
              </w:rPr>
            </w:pPr>
          </w:p>
        </w:tc>
        <w:tc>
          <w:tcPr>
            <w:tcW w:w="5" w:type="pct"/>
            <w:shd w:val="clear" w:color="auto" w:fill="auto"/>
            <w:vAlign w:val="bottom"/>
          </w:tcPr>
          <w:p w14:paraId="74DE0FDE" w14:textId="77777777" w:rsidR="00584EC1" w:rsidRDefault="00584EC1">
            <w:pPr>
              <w:rPr>
                <w:rFonts w:ascii="宋体"/>
              </w:rPr>
            </w:pPr>
          </w:p>
        </w:tc>
        <w:tc>
          <w:tcPr>
            <w:tcW w:w="5" w:type="pct"/>
            <w:shd w:val="clear" w:color="auto" w:fill="auto"/>
            <w:vAlign w:val="bottom"/>
          </w:tcPr>
          <w:p w14:paraId="74DE0FDF" w14:textId="77777777" w:rsidR="00584EC1" w:rsidRDefault="00584EC1">
            <w:pPr>
              <w:rPr>
                <w:rFonts w:ascii="宋体"/>
              </w:rPr>
            </w:pPr>
          </w:p>
        </w:tc>
        <w:tc>
          <w:tcPr>
            <w:tcW w:w="19" w:type="pct"/>
            <w:shd w:val="clear" w:color="auto" w:fill="auto"/>
            <w:vAlign w:val="bottom"/>
          </w:tcPr>
          <w:p w14:paraId="74DE0FE0" w14:textId="77777777" w:rsidR="00584EC1" w:rsidRDefault="00584EC1">
            <w:pPr>
              <w:rPr>
                <w:rFonts w:ascii="宋体"/>
              </w:rPr>
            </w:pPr>
          </w:p>
        </w:tc>
        <w:tc>
          <w:tcPr>
            <w:tcW w:w="5" w:type="pct"/>
            <w:shd w:val="clear" w:color="auto" w:fill="auto"/>
            <w:vAlign w:val="bottom"/>
          </w:tcPr>
          <w:p w14:paraId="74DE0FE1" w14:textId="77777777" w:rsidR="00584EC1" w:rsidRDefault="00584EC1">
            <w:pPr>
              <w:rPr>
                <w:rFonts w:ascii="宋体"/>
              </w:rPr>
            </w:pPr>
          </w:p>
        </w:tc>
        <w:tc>
          <w:tcPr>
            <w:tcW w:w="0" w:type="auto"/>
            <w:shd w:val="clear" w:color="auto" w:fill="auto"/>
            <w:vAlign w:val="bottom"/>
          </w:tcPr>
          <w:p w14:paraId="74DE0FE2" w14:textId="77777777" w:rsidR="00584EC1" w:rsidRDefault="00584EC1">
            <w:pPr>
              <w:rPr>
                <w:rFonts w:ascii="宋体"/>
                <w:vanish/>
              </w:rPr>
            </w:pPr>
          </w:p>
        </w:tc>
        <w:tc>
          <w:tcPr>
            <w:tcW w:w="0" w:type="auto"/>
            <w:shd w:val="clear" w:color="auto" w:fill="auto"/>
            <w:vAlign w:val="bottom"/>
          </w:tcPr>
          <w:p w14:paraId="74DE0FE3" w14:textId="77777777" w:rsidR="00584EC1" w:rsidRDefault="00584EC1">
            <w:pPr>
              <w:rPr>
                <w:rFonts w:ascii="宋体"/>
                <w:vanish/>
              </w:rPr>
            </w:pPr>
          </w:p>
        </w:tc>
        <w:tc>
          <w:tcPr>
            <w:tcW w:w="0" w:type="auto"/>
            <w:shd w:val="clear" w:color="auto" w:fill="auto"/>
            <w:vAlign w:val="bottom"/>
          </w:tcPr>
          <w:p w14:paraId="74DE0FE4" w14:textId="77777777" w:rsidR="00584EC1" w:rsidRDefault="00584EC1">
            <w:pPr>
              <w:rPr>
                <w:rFonts w:ascii="宋体"/>
                <w:vanish/>
              </w:rPr>
            </w:pPr>
          </w:p>
        </w:tc>
        <w:tc>
          <w:tcPr>
            <w:tcW w:w="0" w:type="auto"/>
            <w:shd w:val="clear" w:color="auto" w:fill="auto"/>
            <w:vAlign w:val="bottom"/>
          </w:tcPr>
          <w:p w14:paraId="74DE0FE5" w14:textId="77777777" w:rsidR="00584EC1" w:rsidRDefault="00584EC1">
            <w:pPr>
              <w:rPr>
                <w:rFonts w:ascii="宋体"/>
                <w:vanish/>
              </w:rPr>
            </w:pPr>
          </w:p>
        </w:tc>
        <w:tc>
          <w:tcPr>
            <w:tcW w:w="50" w:type="pct"/>
            <w:shd w:val="clear" w:color="auto" w:fill="auto"/>
            <w:vAlign w:val="bottom"/>
          </w:tcPr>
          <w:p w14:paraId="74DE0FE6" w14:textId="77777777" w:rsidR="00584EC1" w:rsidRDefault="00584EC1">
            <w:pPr>
              <w:rPr>
                <w:rFonts w:ascii="宋体"/>
              </w:rPr>
            </w:pPr>
          </w:p>
        </w:tc>
        <w:tc>
          <w:tcPr>
            <w:tcW w:w="683" w:type="pct"/>
            <w:shd w:val="clear" w:color="auto" w:fill="auto"/>
            <w:vAlign w:val="bottom"/>
          </w:tcPr>
          <w:p w14:paraId="74DE0FE7" w14:textId="77777777" w:rsidR="00584EC1" w:rsidRDefault="00584EC1">
            <w:pPr>
              <w:rPr>
                <w:rFonts w:ascii="宋体"/>
              </w:rPr>
            </w:pPr>
          </w:p>
        </w:tc>
        <w:tc>
          <w:tcPr>
            <w:tcW w:w="5" w:type="pct"/>
            <w:shd w:val="clear" w:color="auto" w:fill="auto"/>
            <w:vAlign w:val="bottom"/>
          </w:tcPr>
          <w:p w14:paraId="74DE0FE8" w14:textId="77777777" w:rsidR="00584EC1" w:rsidRDefault="00584EC1">
            <w:pPr>
              <w:rPr>
                <w:rFonts w:ascii="宋体"/>
              </w:rPr>
            </w:pPr>
          </w:p>
        </w:tc>
        <w:tc>
          <w:tcPr>
            <w:tcW w:w="5" w:type="pct"/>
            <w:shd w:val="clear" w:color="auto" w:fill="auto"/>
            <w:vAlign w:val="bottom"/>
          </w:tcPr>
          <w:p w14:paraId="74DE0FE9" w14:textId="77777777" w:rsidR="00584EC1" w:rsidRDefault="00584EC1">
            <w:pPr>
              <w:rPr>
                <w:rFonts w:ascii="宋体"/>
              </w:rPr>
            </w:pPr>
          </w:p>
        </w:tc>
        <w:tc>
          <w:tcPr>
            <w:tcW w:w="19" w:type="pct"/>
            <w:shd w:val="clear" w:color="auto" w:fill="auto"/>
            <w:vAlign w:val="bottom"/>
          </w:tcPr>
          <w:p w14:paraId="74DE0FEA" w14:textId="77777777" w:rsidR="00584EC1" w:rsidRDefault="00584EC1">
            <w:pPr>
              <w:rPr>
                <w:rFonts w:ascii="宋体"/>
              </w:rPr>
            </w:pPr>
          </w:p>
        </w:tc>
        <w:tc>
          <w:tcPr>
            <w:tcW w:w="5" w:type="pct"/>
            <w:shd w:val="clear" w:color="auto" w:fill="auto"/>
            <w:vAlign w:val="bottom"/>
          </w:tcPr>
          <w:p w14:paraId="74DE0FEB" w14:textId="77777777" w:rsidR="00584EC1" w:rsidRDefault="00584EC1">
            <w:pPr>
              <w:rPr>
                <w:rFonts w:ascii="宋体"/>
              </w:rPr>
            </w:pPr>
          </w:p>
        </w:tc>
        <w:tc>
          <w:tcPr>
            <w:tcW w:w="50" w:type="pct"/>
            <w:shd w:val="clear" w:color="auto" w:fill="auto"/>
            <w:vAlign w:val="bottom"/>
          </w:tcPr>
          <w:p w14:paraId="74DE0FEC" w14:textId="77777777" w:rsidR="00584EC1" w:rsidRDefault="00584EC1">
            <w:pPr>
              <w:rPr>
                <w:rFonts w:ascii="宋体"/>
              </w:rPr>
            </w:pPr>
          </w:p>
        </w:tc>
        <w:tc>
          <w:tcPr>
            <w:tcW w:w="683" w:type="pct"/>
            <w:shd w:val="clear" w:color="auto" w:fill="auto"/>
            <w:vAlign w:val="bottom"/>
          </w:tcPr>
          <w:p w14:paraId="74DE0FED" w14:textId="77777777" w:rsidR="00584EC1" w:rsidRDefault="00584EC1">
            <w:pPr>
              <w:rPr>
                <w:rFonts w:ascii="宋体"/>
              </w:rPr>
            </w:pPr>
          </w:p>
        </w:tc>
        <w:tc>
          <w:tcPr>
            <w:tcW w:w="5" w:type="pct"/>
            <w:shd w:val="clear" w:color="auto" w:fill="auto"/>
            <w:vAlign w:val="bottom"/>
          </w:tcPr>
          <w:p w14:paraId="74DE0FEE" w14:textId="77777777" w:rsidR="00584EC1" w:rsidRDefault="00584EC1">
            <w:pPr>
              <w:rPr>
                <w:rFonts w:ascii="宋体"/>
              </w:rPr>
            </w:pPr>
          </w:p>
        </w:tc>
      </w:tr>
      <w:tr w:rsidR="00584EC1" w14:paraId="74DE0FFC" w14:textId="77777777">
        <w:tc>
          <w:tcPr>
            <w:tcW w:w="0" w:type="auto"/>
            <w:gridSpan w:val="3"/>
            <w:shd w:val="clear" w:color="auto" w:fill="auto"/>
            <w:tcMar>
              <w:top w:w="40" w:type="dxa"/>
              <w:left w:w="20" w:type="dxa"/>
              <w:bottom w:w="40" w:type="dxa"/>
              <w:right w:w="20" w:type="dxa"/>
            </w:tcMar>
            <w:vAlign w:val="bottom"/>
          </w:tcPr>
          <w:p w14:paraId="74DE0FF0" w14:textId="77777777" w:rsidR="00584EC1" w:rsidRDefault="00871F8D">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74DE0FF1" w14:textId="77777777" w:rsidR="00584EC1" w:rsidRDefault="00871F8D">
            <w:pPr>
              <w:jc w:val="center"/>
              <w:textAlignment w:val="bottom"/>
            </w:pPr>
            <w:r>
              <w:rPr>
                <w:rFonts w:ascii="Arial" w:eastAsia="宋体" w:hAnsi="Arial" w:cs="Arial"/>
                <w:b/>
                <w:bCs/>
                <w:color w:val="000000"/>
                <w:sz w:val="14"/>
                <w:szCs w:val="14"/>
              </w:rPr>
              <w:t>Employee</w:t>
            </w:r>
            <w:r>
              <w:rPr>
                <w:rFonts w:ascii="Arial" w:eastAsia="宋体" w:hAnsi="Arial" w:cs="Arial"/>
                <w:b/>
                <w:bCs/>
                <w:color w:val="000000"/>
                <w:sz w:val="14"/>
                <w:szCs w:val="14"/>
              </w:rPr>
              <w:br/>
              <w:t>Related Costs</w:t>
            </w:r>
          </w:p>
        </w:tc>
        <w:tc>
          <w:tcPr>
            <w:tcW w:w="0" w:type="auto"/>
            <w:gridSpan w:val="3"/>
            <w:shd w:val="clear" w:color="auto" w:fill="auto"/>
            <w:tcMar>
              <w:top w:w="0" w:type="dxa"/>
              <w:left w:w="20" w:type="dxa"/>
              <w:bottom w:w="0" w:type="dxa"/>
              <w:right w:w="20" w:type="dxa"/>
            </w:tcMar>
            <w:vAlign w:val="bottom"/>
          </w:tcPr>
          <w:p w14:paraId="74DE0FF2"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E0FF3" w14:textId="77777777" w:rsidR="00584EC1" w:rsidRDefault="00871F8D">
            <w:pPr>
              <w:jc w:val="center"/>
              <w:textAlignment w:val="bottom"/>
            </w:pPr>
            <w:r>
              <w:rPr>
                <w:rFonts w:ascii="Arial" w:eastAsia="宋体" w:hAnsi="Arial" w:cs="Arial"/>
                <w:b/>
                <w:bCs/>
                <w:color w:val="000000"/>
                <w:sz w:val="14"/>
                <w:szCs w:val="14"/>
              </w:rPr>
              <w:t>Real Estate</w:t>
            </w:r>
            <w:r>
              <w:rPr>
                <w:rFonts w:ascii="Arial" w:eastAsia="宋体" w:hAnsi="Arial" w:cs="Arial"/>
                <w:b/>
                <w:bCs/>
                <w:color w:val="000000"/>
                <w:sz w:val="14"/>
                <w:szCs w:val="14"/>
              </w:rPr>
              <w:br/>
              <w:t>Actions</w:t>
            </w:r>
          </w:p>
        </w:tc>
        <w:tc>
          <w:tcPr>
            <w:tcW w:w="0" w:type="auto"/>
            <w:gridSpan w:val="3"/>
            <w:shd w:val="clear" w:color="auto" w:fill="auto"/>
            <w:tcMar>
              <w:top w:w="0" w:type="dxa"/>
              <w:left w:w="20" w:type="dxa"/>
              <w:bottom w:w="0" w:type="dxa"/>
              <w:right w:w="20" w:type="dxa"/>
            </w:tcMar>
            <w:vAlign w:val="bottom"/>
          </w:tcPr>
          <w:p w14:paraId="74DE0FF4" w14:textId="77777777" w:rsidR="00584EC1" w:rsidRDefault="00584EC1">
            <w:pPr>
              <w:rPr>
                <w:rFonts w:ascii="宋体"/>
              </w:rPr>
            </w:pPr>
          </w:p>
        </w:tc>
        <w:tc>
          <w:tcPr>
            <w:tcW w:w="0" w:type="auto"/>
            <w:shd w:val="clear" w:color="auto" w:fill="auto"/>
            <w:vAlign w:val="bottom"/>
          </w:tcPr>
          <w:p w14:paraId="74DE0FF5" w14:textId="77777777" w:rsidR="00584EC1" w:rsidRDefault="00584EC1">
            <w:pPr>
              <w:rPr>
                <w:rFonts w:ascii="宋体"/>
                <w:vanish/>
              </w:rPr>
            </w:pPr>
          </w:p>
        </w:tc>
        <w:tc>
          <w:tcPr>
            <w:tcW w:w="0" w:type="auto"/>
            <w:shd w:val="clear" w:color="auto" w:fill="auto"/>
            <w:vAlign w:val="bottom"/>
          </w:tcPr>
          <w:p w14:paraId="74DE0FF6" w14:textId="77777777" w:rsidR="00584EC1" w:rsidRDefault="00584EC1">
            <w:pPr>
              <w:rPr>
                <w:rFonts w:ascii="宋体"/>
                <w:vanish/>
              </w:rPr>
            </w:pPr>
          </w:p>
        </w:tc>
        <w:tc>
          <w:tcPr>
            <w:tcW w:w="0" w:type="auto"/>
            <w:shd w:val="clear" w:color="auto" w:fill="auto"/>
            <w:vAlign w:val="bottom"/>
          </w:tcPr>
          <w:p w14:paraId="74DE0FF7" w14:textId="77777777" w:rsidR="00584EC1" w:rsidRDefault="00584EC1">
            <w:pPr>
              <w:rPr>
                <w:rFonts w:ascii="宋体"/>
                <w:vanish/>
              </w:rPr>
            </w:pPr>
          </w:p>
        </w:tc>
        <w:tc>
          <w:tcPr>
            <w:tcW w:w="0" w:type="auto"/>
            <w:shd w:val="clear" w:color="auto" w:fill="auto"/>
            <w:vAlign w:val="bottom"/>
          </w:tcPr>
          <w:p w14:paraId="74DE0FF8" w14:textId="77777777" w:rsidR="00584EC1" w:rsidRDefault="00584EC1">
            <w:pPr>
              <w:rPr>
                <w:rFonts w:ascii="宋体"/>
                <w:vanish/>
              </w:rPr>
            </w:pPr>
          </w:p>
        </w:tc>
        <w:tc>
          <w:tcPr>
            <w:tcW w:w="0" w:type="auto"/>
            <w:gridSpan w:val="3"/>
            <w:shd w:val="clear" w:color="auto" w:fill="auto"/>
            <w:tcMar>
              <w:top w:w="40" w:type="dxa"/>
              <w:left w:w="20" w:type="dxa"/>
              <w:bottom w:w="40" w:type="dxa"/>
              <w:right w:w="20" w:type="dxa"/>
            </w:tcMar>
            <w:vAlign w:val="bottom"/>
          </w:tcPr>
          <w:p w14:paraId="74DE0FF9" w14:textId="77777777" w:rsidR="00584EC1" w:rsidRDefault="00871F8D">
            <w:pPr>
              <w:jc w:val="center"/>
              <w:textAlignment w:val="bottom"/>
            </w:pPr>
            <w:r>
              <w:rPr>
                <w:rFonts w:ascii="Arial" w:eastAsia="宋体" w:hAnsi="Arial" w:cs="Arial"/>
                <w:b/>
                <w:bCs/>
                <w:color w:val="000000"/>
                <w:sz w:val="14"/>
                <w:szCs w:val="14"/>
              </w:rPr>
              <w:t>Asset and Other Write-offs</w:t>
            </w:r>
          </w:p>
        </w:tc>
        <w:tc>
          <w:tcPr>
            <w:tcW w:w="0" w:type="auto"/>
            <w:gridSpan w:val="3"/>
            <w:shd w:val="clear" w:color="auto" w:fill="auto"/>
            <w:tcMar>
              <w:top w:w="0" w:type="dxa"/>
              <w:left w:w="20" w:type="dxa"/>
              <w:bottom w:w="0" w:type="dxa"/>
              <w:right w:w="20" w:type="dxa"/>
            </w:tcMar>
            <w:vAlign w:val="bottom"/>
          </w:tcPr>
          <w:p w14:paraId="74DE0FFA"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E0FFB" w14:textId="77777777" w:rsidR="00584EC1" w:rsidRDefault="00871F8D">
            <w:pPr>
              <w:jc w:val="center"/>
              <w:textAlignment w:val="bottom"/>
            </w:pPr>
            <w:r>
              <w:rPr>
                <w:rFonts w:ascii="Arial" w:eastAsia="宋体" w:hAnsi="Arial" w:cs="Arial"/>
                <w:b/>
                <w:bCs/>
                <w:color w:val="000000"/>
                <w:sz w:val="14"/>
                <w:szCs w:val="14"/>
              </w:rPr>
              <w:t>Total</w:t>
            </w:r>
          </w:p>
        </w:tc>
      </w:tr>
      <w:tr w:rsidR="00584EC1" w14:paraId="74DE1011" w14:textId="77777777">
        <w:tc>
          <w:tcPr>
            <w:tcW w:w="0" w:type="auto"/>
            <w:gridSpan w:val="3"/>
            <w:shd w:val="clear" w:color="auto" w:fill="CCEEFF"/>
            <w:tcMar>
              <w:top w:w="40" w:type="dxa"/>
              <w:left w:w="20" w:type="dxa"/>
              <w:bottom w:w="40" w:type="dxa"/>
              <w:right w:w="20" w:type="dxa"/>
            </w:tcMar>
            <w:vAlign w:val="bottom"/>
          </w:tcPr>
          <w:p w14:paraId="74DE0FFD" w14:textId="77777777" w:rsidR="00584EC1" w:rsidRDefault="00871F8D">
            <w:pPr>
              <w:textAlignment w:val="bottom"/>
            </w:pPr>
            <w:r>
              <w:rPr>
                <w:rFonts w:ascii="Arial" w:eastAsia="宋体" w:hAnsi="Arial" w:cs="Arial"/>
                <w:b/>
                <w:bCs/>
                <w:color w:val="000000"/>
                <w:sz w:val="14"/>
                <w:szCs w:val="14"/>
              </w:rPr>
              <w:t>Accrual Balance at December 31, 2019</w:t>
            </w:r>
          </w:p>
        </w:tc>
        <w:tc>
          <w:tcPr>
            <w:tcW w:w="0" w:type="auto"/>
            <w:tcBorders>
              <w:top w:val="single" w:sz="8" w:space="0" w:color="000000"/>
            </w:tcBorders>
            <w:shd w:val="clear" w:color="auto" w:fill="CCEEFF"/>
            <w:tcMar>
              <w:top w:w="40" w:type="dxa"/>
              <w:left w:w="20" w:type="dxa"/>
              <w:bottom w:w="40" w:type="dxa"/>
              <w:right w:w="0" w:type="dxa"/>
            </w:tcMar>
            <w:vAlign w:val="bottom"/>
          </w:tcPr>
          <w:p w14:paraId="74DE0FFE"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0FFF" w14:textId="77777777" w:rsidR="00584EC1" w:rsidRDefault="00871F8D">
            <w:pPr>
              <w:jc w:val="right"/>
              <w:textAlignment w:val="bottom"/>
            </w:pPr>
            <w:r>
              <w:rPr>
                <w:rFonts w:ascii="Arial" w:eastAsia="宋体" w:hAnsi="Arial" w:cs="Arial"/>
                <w:color w:val="000000"/>
                <w:sz w:val="14"/>
                <w:szCs w:val="14"/>
              </w:rPr>
              <w:t>190 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00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001"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1002"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1003" w14:textId="77777777" w:rsidR="00584EC1" w:rsidRDefault="00871F8D">
            <w:pPr>
              <w:jc w:val="right"/>
              <w:textAlignment w:val="bottom"/>
            </w:pPr>
            <w:r>
              <w:rPr>
                <w:rFonts w:ascii="Arial" w:eastAsia="宋体" w:hAnsi="Arial" w:cs="Arial"/>
                <w:color w:val="000000"/>
                <w:sz w:val="14"/>
                <w:szCs w:val="14"/>
              </w:rPr>
              <w:t>7 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00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005" w14:textId="77777777" w:rsidR="00584EC1" w:rsidRDefault="00584EC1">
            <w:pPr>
              <w:rPr>
                <w:rFonts w:ascii="宋体"/>
              </w:rPr>
            </w:pPr>
          </w:p>
        </w:tc>
        <w:tc>
          <w:tcPr>
            <w:tcW w:w="0" w:type="auto"/>
            <w:shd w:val="clear" w:color="auto" w:fill="auto"/>
            <w:vAlign w:val="bottom"/>
          </w:tcPr>
          <w:p w14:paraId="74DE1006" w14:textId="77777777" w:rsidR="00584EC1" w:rsidRDefault="00584EC1">
            <w:pPr>
              <w:rPr>
                <w:rFonts w:ascii="宋体"/>
                <w:vanish/>
              </w:rPr>
            </w:pPr>
          </w:p>
        </w:tc>
        <w:tc>
          <w:tcPr>
            <w:tcW w:w="0" w:type="auto"/>
            <w:shd w:val="clear" w:color="auto" w:fill="auto"/>
            <w:vAlign w:val="bottom"/>
          </w:tcPr>
          <w:p w14:paraId="74DE1007" w14:textId="77777777" w:rsidR="00584EC1" w:rsidRDefault="00584EC1">
            <w:pPr>
              <w:rPr>
                <w:rFonts w:ascii="宋体"/>
                <w:vanish/>
              </w:rPr>
            </w:pPr>
          </w:p>
        </w:tc>
        <w:tc>
          <w:tcPr>
            <w:tcW w:w="0" w:type="auto"/>
            <w:shd w:val="clear" w:color="auto" w:fill="auto"/>
            <w:vAlign w:val="bottom"/>
          </w:tcPr>
          <w:p w14:paraId="74DE1008" w14:textId="77777777" w:rsidR="00584EC1" w:rsidRDefault="00584EC1">
            <w:pPr>
              <w:rPr>
                <w:rFonts w:ascii="宋体"/>
                <w:vanish/>
              </w:rPr>
            </w:pPr>
          </w:p>
        </w:tc>
        <w:tc>
          <w:tcPr>
            <w:tcW w:w="0" w:type="auto"/>
            <w:shd w:val="clear" w:color="auto" w:fill="auto"/>
            <w:vAlign w:val="bottom"/>
          </w:tcPr>
          <w:p w14:paraId="74DE1009" w14:textId="77777777" w:rsidR="00584EC1" w:rsidRDefault="00584EC1">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100A"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100B" w14:textId="77777777" w:rsidR="00584EC1" w:rsidRDefault="00871F8D">
            <w:pPr>
              <w:jc w:val="right"/>
              <w:textAlignment w:val="bottom"/>
            </w:pPr>
            <w:r>
              <w:rPr>
                <w:rFonts w:ascii="Arial" w:eastAsia="宋体" w:hAnsi="Arial" w:cs="Arial"/>
                <w:color w:val="000000"/>
                <w:sz w:val="14"/>
                <w:szCs w:val="14"/>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00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00D"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100E"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100F" w14:textId="77777777" w:rsidR="00584EC1" w:rsidRDefault="00871F8D">
            <w:pPr>
              <w:jc w:val="right"/>
              <w:textAlignment w:val="bottom"/>
            </w:pPr>
            <w:r>
              <w:rPr>
                <w:rFonts w:ascii="Arial" w:eastAsia="宋体" w:hAnsi="Arial" w:cs="Arial"/>
                <w:color w:val="000000"/>
                <w:sz w:val="14"/>
                <w:szCs w:val="14"/>
              </w:rPr>
              <w:t>198 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010" w14:textId="77777777" w:rsidR="00584EC1" w:rsidRDefault="00584EC1">
            <w:pPr>
              <w:jc w:val="right"/>
              <w:rPr>
                <w:rFonts w:ascii="宋体"/>
              </w:rPr>
            </w:pPr>
          </w:p>
        </w:tc>
      </w:tr>
      <w:tr w:rsidR="00584EC1" w14:paraId="74DE101E" w14:textId="77777777">
        <w:trPr>
          <w:hidden/>
        </w:trPr>
        <w:tc>
          <w:tcPr>
            <w:tcW w:w="0" w:type="auto"/>
            <w:gridSpan w:val="3"/>
            <w:shd w:val="clear" w:color="auto" w:fill="auto"/>
            <w:vAlign w:val="bottom"/>
          </w:tcPr>
          <w:p w14:paraId="74DE1012" w14:textId="77777777" w:rsidR="00584EC1" w:rsidRDefault="00584EC1">
            <w:pPr>
              <w:rPr>
                <w:rFonts w:ascii="宋体"/>
                <w:vanish/>
              </w:rPr>
            </w:pPr>
          </w:p>
        </w:tc>
        <w:tc>
          <w:tcPr>
            <w:tcW w:w="0" w:type="auto"/>
            <w:gridSpan w:val="3"/>
            <w:shd w:val="clear" w:color="auto" w:fill="auto"/>
            <w:vAlign w:val="bottom"/>
          </w:tcPr>
          <w:p w14:paraId="74DE1013" w14:textId="77777777" w:rsidR="00584EC1" w:rsidRDefault="00584EC1">
            <w:pPr>
              <w:rPr>
                <w:rFonts w:ascii="宋体"/>
                <w:vanish/>
              </w:rPr>
            </w:pPr>
          </w:p>
        </w:tc>
        <w:tc>
          <w:tcPr>
            <w:tcW w:w="0" w:type="auto"/>
            <w:gridSpan w:val="3"/>
            <w:shd w:val="clear" w:color="auto" w:fill="auto"/>
            <w:vAlign w:val="bottom"/>
          </w:tcPr>
          <w:p w14:paraId="74DE1014" w14:textId="77777777" w:rsidR="00584EC1" w:rsidRDefault="00584EC1">
            <w:pPr>
              <w:rPr>
                <w:rFonts w:ascii="宋体"/>
                <w:vanish/>
              </w:rPr>
            </w:pPr>
          </w:p>
        </w:tc>
        <w:tc>
          <w:tcPr>
            <w:tcW w:w="0" w:type="auto"/>
            <w:gridSpan w:val="3"/>
            <w:shd w:val="clear" w:color="auto" w:fill="auto"/>
            <w:vAlign w:val="bottom"/>
          </w:tcPr>
          <w:p w14:paraId="74DE1015" w14:textId="77777777" w:rsidR="00584EC1" w:rsidRDefault="00584EC1">
            <w:pPr>
              <w:rPr>
                <w:rFonts w:ascii="宋体"/>
                <w:vanish/>
              </w:rPr>
            </w:pPr>
          </w:p>
        </w:tc>
        <w:tc>
          <w:tcPr>
            <w:tcW w:w="0" w:type="auto"/>
            <w:gridSpan w:val="3"/>
            <w:shd w:val="clear" w:color="auto" w:fill="auto"/>
            <w:vAlign w:val="bottom"/>
          </w:tcPr>
          <w:p w14:paraId="74DE1016" w14:textId="77777777" w:rsidR="00584EC1" w:rsidRDefault="00584EC1">
            <w:pPr>
              <w:rPr>
                <w:rFonts w:ascii="宋体"/>
                <w:vanish/>
              </w:rPr>
            </w:pPr>
          </w:p>
        </w:tc>
        <w:tc>
          <w:tcPr>
            <w:tcW w:w="0" w:type="auto"/>
            <w:shd w:val="clear" w:color="auto" w:fill="auto"/>
            <w:vAlign w:val="bottom"/>
          </w:tcPr>
          <w:p w14:paraId="74DE1017" w14:textId="77777777" w:rsidR="00584EC1" w:rsidRDefault="00584EC1">
            <w:pPr>
              <w:rPr>
                <w:rFonts w:ascii="宋体"/>
                <w:vanish/>
              </w:rPr>
            </w:pPr>
          </w:p>
        </w:tc>
        <w:tc>
          <w:tcPr>
            <w:tcW w:w="0" w:type="auto"/>
            <w:shd w:val="clear" w:color="auto" w:fill="auto"/>
            <w:vAlign w:val="bottom"/>
          </w:tcPr>
          <w:p w14:paraId="74DE1018" w14:textId="77777777" w:rsidR="00584EC1" w:rsidRDefault="00584EC1">
            <w:pPr>
              <w:rPr>
                <w:rFonts w:ascii="宋体"/>
                <w:vanish/>
              </w:rPr>
            </w:pPr>
          </w:p>
        </w:tc>
        <w:tc>
          <w:tcPr>
            <w:tcW w:w="0" w:type="auto"/>
            <w:shd w:val="clear" w:color="auto" w:fill="auto"/>
            <w:vAlign w:val="bottom"/>
          </w:tcPr>
          <w:p w14:paraId="74DE1019" w14:textId="77777777" w:rsidR="00584EC1" w:rsidRDefault="00584EC1">
            <w:pPr>
              <w:rPr>
                <w:rFonts w:ascii="宋体"/>
                <w:vanish/>
              </w:rPr>
            </w:pPr>
          </w:p>
        </w:tc>
        <w:tc>
          <w:tcPr>
            <w:tcW w:w="0" w:type="auto"/>
            <w:shd w:val="clear" w:color="auto" w:fill="auto"/>
            <w:vAlign w:val="bottom"/>
          </w:tcPr>
          <w:p w14:paraId="74DE101A" w14:textId="77777777" w:rsidR="00584EC1" w:rsidRDefault="00584EC1">
            <w:pPr>
              <w:rPr>
                <w:rFonts w:ascii="宋体"/>
                <w:vanish/>
              </w:rPr>
            </w:pPr>
          </w:p>
        </w:tc>
        <w:tc>
          <w:tcPr>
            <w:tcW w:w="0" w:type="auto"/>
            <w:gridSpan w:val="3"/>
            <w:shd w:val="clear" w:color="auto" w:fill="auto"/>
            <w:vAlign w:val="bottom"/>
          </w:tcPr>
          <w:p w14:paraId="74DE101B" w14:textId="77777777" w:rsidR="00584EC1" w:rsidRDefault="00584EC1">
            <w:pPr>
              <w:rPr>
                <w:rFonts w:ascii="宋体"/>
                <w:vanish/>
              </w:rPr>
            </w:pPr>
          </w:p>
        </w:tc>
        <w:tc>
          <w:tcPr>
            <w:tcW w:w="0" w:type="auto"/>
            <w:gridSpan w:val="3"/>
            <w:shd w:val="clear" w:color="auto" w:fill="auto"/>
            <w:vAlign w:val="bottom"/>
          </w:tcPr>
          <w:p w14:paraId="74DE101C" w14:textId="77777777" w:rsidR="00584EC1" w:rsidRDefault="00584EC1">
            <w:pPr>
              <w:rPr>
                <w:rFonts w:ascii="宋体"/>
                <w:vanish/>
              </w:rPr>
            </w:pPr>
          </w:p>
        </w:tc>
        <w:tc>
          <w:tcPr>
            <w:tcW w:w="0" w:type="auto"/>
            <w:gridSpan w:val="3"/>
            <w:shd w:val="clear" w:color="auto" w:fill="auto"/>
            <w:vAlign w:val="bottom"/>
          </w:tcPr>
          <w:p w14:paraId="74DE101D" w14:textId="77777777" w:rsidR="00584EC1" w:rsidRDefault="00584EC1">
            <w:pPr>
              <w:rPr>
                <w:rFonts w:ascii="宋体"/>
                <w:vanish/>
              </w:rPr>
            </w:pPr>
          </w:p>
        </w:tc>
      </w:tr>
      <w:tr w:rsidR="00584EC1" w14:paraId="74DE102F" w14:textId="77777777">
        <w:tc>
          <w:tcPr>
            <w:tcW w:w="0" w:type="auto"/>
            <w:gridSpan w:val="3"/>
            <w:shd w:val="clear" w:color="auto" w:fill="FFFFFF"/>
            <w:tcMar>
              <w:top w:w="40" w:type="dxa"/>
              <w:left w:w="20" w:type="dxa"/>
              <w:bottom w:w="40" w:type="dxa"/>
              <w:right w:w="20" w:type="dxa"/>
            </w:tcMar>
            <w:vAlign w:val="bottom"/>
          </w:tcPr>
          <w:p w14:paraId="74DE101F" w14:textId="77777777" w:rsidR="00584EC1" w:rsidRDefault="00871F8D">
            <w:pPr>
              <w:textAlignment w:val="bottom"/>
            </w:pPr>
            <w:r>
              <w:rPr>
                <w:rFonts w:ascii="Arial" w:eastAsia="宋体" w:hAnsi="Arial" w:cs="Arial"/>
                <w:color w:val="000000"/>
                <w:sz w:val="14"/>
                <w:szCs w:val="14"/>
              </w:rPr>
              <w:t>Payments and Other Adjustments</w:t>
            </w:r>
          </w:p>
        </w:tc>
        <w:tc>
          <w:tcPr>
            <w:tcW w:w="0" w:type="auto"/>
            <w:gridSpan w:val="2"/>
            <w:shd w:val="clear" w:color="auto" w:fill="FFFFFF"/>
            <w:tcMar>
              <w:top w:w="40" w:type="dxa"/>
              <w:left w:w="20" w:type="dxa"/>
              <w:bottom w:w="40" w:type="dxa"/>
              <w:right w:w="0" w:type="dxa"/>
            </w:tcMar>
            <w:vAlign w:val="bottom"/>
          </w:tcPr>
          <w:p w14:paraId="74DE1020" w14:textId="77777777" w:rsidR="00584EC1" w:rsidRDefault="00871F8D">
            <w:pPr>
              <w:jc w:val="right"/>
              <w:textAlignment w:val="bottom"/>
            </w:pPr>
            <w:r>
              <w:rPr>
                <w:rFonts w:ascii="Arial" w:eastAsia="宋体" w:hAnsi="Arial" w:cs="Arial"/>
                <w:color w:val="000000"/>
                <w:sz w:val="14"/>
                <w:szCs w:val="14"/>
              </w:rPr>
              <w:t>(33)</w:t>
            </w:r>
          </w:p>
        </w:tc>
        <w:tc>
          <w:tcPr>
            <w:tcW w:w="0" w:type="auto"/>
            <w:shd w:val="clear" w:color="auto" w:fill="FFFFFF"/>
            <w:tcMar>
              <w:top w:w="40" w:type="dxa"/>
              <w:left w:w="0" w:type="dxa"/>
              <w:bottom w:w="40" w:type="dxa"/>
              <w:right w:w="20" w:type="dxa"/>
            </w:tcMar>
            <w:vAlign w:val="bottom"/>
          </w:tcPr>
          <w:p w14:paraId="74DE102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02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023" w14:textId="77777777" w:rsidR="00584EC1" w:rsidRDefault="00871F8D">
            <w:pPr>
              <w:jc w:val="right"/>
              <w:textAlignment w:val="bottom"/>
            </w:pPr>
            <w:r>
              <w:rPr>
                <w:rFonts w:ascii="Arial" w:eastAsia="宋体" w:hAnsi="Arial" w:cs="Arial"/>
                <w:color w:val="000000"/>
                <w:sz w:val="14"/>
                <w:szCs w:val="14"/>
              </w:rPr>
              <w:t>(1)</w:t>
            </w:r>
          </w:p>
        </w:tc>
        <w:tc>
          <w:tcPr>
            <w:tcW w:w="0" w:type="auto"/>
            <w:shd w:val="clear" w:color="auto" w:fill="FFFFFF"/>
            <w:tcMar>
              <w:top w:w="40" w:type="dxa"/>
              <w:left w:w="0" w:type="dxa"/>
              <w:bottom w:w="40" w:type="dxa"/>
              <w:right w:w="20" w:type="dxa"/>
            </w:tcMar>
            <w:vAlign w:val="bottom"/>
          </w:tcPr>
          <w:p w14:paraId="74DE102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025" w14:textId="77777777" w:rsidR="00584EC1" w:rsidRDefault="00584EC1">
            <w:pPr>
              <w:rPr>
                <w:rFonts w:ascii="宋体"/>
              </w:rPr>
            </w:pPr>
          </w:p>
        </w:tc>
        <w:tc>
          <w:tcPr>
            <w:tcW w:w="0" w:type="auto"/>
            <w:shd w:val="clear" w:color="auto" w:fill="auto"/>
            <w:vAlign w:val="bottom"/>
          </w:tcPr>
          <w:p w14:paraId="74DE1026" w14:textId="77777777" w:rsidR="00584EC1" w:rsidRDefault="00584EC1">
            <w:pPr>
              <w:rPr>
                <w:rFonts w:ascii="宋体"/>
                <w:vanish/>
              </w:rPr>
            </w:pPr>
          </w:p>
        </w:tc>
        <w:tc>
          <w:tcPr>
            <w:tcW w:w="0" w:type="auto"/>
            <w:shd w:val="clear" w:color="auto" w:fill="auto"/>
            <w:vAlign w:val="bottom"/>
          </w:tcPr>
          <w:p w14:paraId="74DE1027" w14:textId="77777777" w:rsidR="00584EC1" w:rsidRDefault="00584EC1">
            <w:pPr>
              <w:rPr>
                <w:rFonts w:ascii="宋体"/>
                <w:vanish/>
              </w:rPr>
            </w:pPr>
          </w:p>
        </w:tc>
        <w:tc>
          <w:tcPr>
            <w:tcW w:w="0" w:type="auto"/>
            <w:shd w:val="clear" w:color="auto" w:fill="auto"/>
            <w:vAlign w:val="bottom"/>
          </w:tcPr>
          <w:p w14:paraId="74DE1028" w14:textId="77777777" w:rsidR="00584EC1" w:rsidRDefault="00584EC1">
            <w:pPr>
              <w:rPr>
                <w:rFonts w:ascii="宋体"/>
                <w:vanish/>
              </w:rPr>
            </w:pPr>
          </w:p>
        </w:tc>
        <w:tc>
          <w:tcPr>
            <w:tcW w:w="0" w:type="auto"/>
            <w:shd w:val="clear" w:color="auto" w:fill="auto"/>
            <w:vAlign w:val="bottom"/>
          </w:tcPr>
          <w:p w14:paraId="74DE1029"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E102A"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E102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02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02D" w14:textId="77777777" w:rsidR="00584EC1" w:rsidRDefault="00871F8D">
            <w:pPr>
              <w:jc w:val="right"/>
              <w:textAlignment w:val="bottom"/>
            </w:pPr>
            <w:r>
              <w:rPr>
                <w:rFonts w:ascii="Arial" w:eastAsia="宋体" w:hAnsi="Arial" w:cs="Arial"/>
                <w:color w:val="000000"/>
                <w:sz w:val="14"/>
                <w:szCs w:val="14"/>
              </w:rPr>
              <w:t>(34)</w:t>
            </w:r>
          </w:p>
        </w:tc>
        <w:tc>
          <w:tcPr>
            <w:tcW w:w="0" w:type="auto"/>
            <w:shd w:val="clear" w:color="auto" w:fill="FFFFFF"/>
            <w:tcMar>
              <w:top w:w="40" w:type="dxa"/>
              <w:left w:w="0" w:type="dxa"/>
              <w:bottom w:w="40" w:type="dxa"/>
              <w:right w:w="20" w:type="dxa"/>
            </w:tcMar>
            <w:vAlign w:val="bottom"/>
          </w:tcPr>
          <w:p w14:paraId="74DE102E" w14:textId="77777777" w:rsidR="00584EC1" w:rsidRDefault="00584EC1">
            <w:pPr>
              <w:jc w:val="right"/>
              <w:rPr>
                <w:rFonts w:ascii="宋体"/>
              </w:rPr>
            </w:pPr>
          </w:p>
        </w:tc>
      </w:tr>
      <w:tr w:rsidR="00584EC1" w14:paraId="74DE1040" w14:textId="77777777">
        <w:tc>
          <w:tcPr>
            <w:tcW w:w="0" w:type="auto"/>
            <w:gridSpan w:val="3"/>
            <w:shd w:val="clear" w:color="auto" w:fill="CCEEFF"/>
            <w:tcMar>
              <w:top w:w="40" w:type="dxa"/>
              <w:left w:w="20" w:type="dxa"/>
              <w:bottom w:w="40" w:type="dxa"/>
              <w:right w:w="20" w:type="dxa"/>
            </w:tcMar>
            <w:vAlign w:val="bottom"/>
          </w:tcPr>
          <w:p w14:paraId="74DE1030" w14:textId="77777777" w:rsidR="00584EC1" w:rsidRDefault="00871F8D">
            <w:pPr>
              <w:textAlignment w:val="bottom"/>
            </w:pPr>
            <w:r>
              <w:rPr>
                <w:rFonts w:ascii="Arial" w:eastAsia="宋体" w:hAnsi="Arial" w:cs="Arial"/>
                <w:b/>
                <w:bCs/>
                <w:color w:val="000000"/>
                <w:sz w:val="14"/>
                <w:szCs w:val="14"/>
              </w:rPr>
              <w:t>Accrual Balance at March 31, 2020</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E1031" w14:textId="77777777" w:rsidR="00584EC1" w:rsidRDefault="00871F8D">
            <w:pPr>
              <w:jc w:val="right"/>
              <w:textAlignment w:val="bottom"/>
            </w:pPr>
            <w:r>
              <w:rPr>
                <w:rFonts w:ascii="Arial" w:eastAsia="宋体" w:hAnsi="Arial" w:cs="Arial"/>
                <w:color w:val="000000"/>
                <w:sz w:val="14"/>
                <w:szCs w:val="14"/>
              </w:rPr>
              <w:t>157 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03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033"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E1034" w14:textId="77777777" w:rsidR="00584EC1" w:rsidRDefault="00871F8D">
            <w:pPr>
              <w:jc w:val="right"/>
              <w:textAlignment w:val="bottom"/>
            </w:pPr>
            <w:r>
              <w:rPr>
                <w:rFonts w:ascii="Arial" w:eastAsia="宋体" w:hAnsi="Arial" w:cs="Arial"/>
                <w:color w:val="000000"/>
                <w:sz w:val="14"/>
                <w:szCs w:val="14"/>
              </w:rPr>
              <w:t>6 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03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036" w14:textId="77777777" w:rsidR="00584EC1" w:rsidRDefault="00584EC1">
            <w:pPr>
              <w:rPr>
                <w:rFonts w:ascii="宋体"/>
              </w:rPr>
            </w:pPr>
          </w:p>
        </w:tc>
        <w:tc>
          <w:tcPr>
            <w:tcW w:w="0" w:type="auto"/>
            <w:shd w:val="clear" w:color="auto" w:fill="auto"/>
            <w:vAlign w:val="bottom"/>
          </w:tcPr>
          <w:p w14:paraId="74DE1037" w14:textId="77777777" w:rsidR="00584EC1" w:rsidRDefault="00584EC1">
            <w:pPr>
              <w:rPr>
                <w:rFonts w:ascii="宋体"/>
                <w:vanish/>
              </w:rPr>
            </w:pPr>
          </w:p>
        </w:tc>
        <w:tc>
          <w:tcPr>
            <w:tcW w:w="0" w:type="auto"/>
            <w:shd w:val="clear" w:color="auto" w:fill="auto"/>
            <w:vAlign w:val="bottom"/>
          </w:tcPr>
          <w:p w14:paraId="74DE1038" w14:textId="77777777" w:rsidR="00584EC1" w:rsidRDefault="00584EC1">
            <w:pPr>
              <w:rPr>
                <w:rFonts w:ascii="宋体"/>
                <w:vanish/>
              </w:rPr>
            </w:pPr>
          </w:p>
        </w:tc>
        <w:tc>
          <w:tcPr>
            <w:tcW w:w="0" w:type="auto"/>
            <w:shd w:val="clear" w:color="auto" w:fill="auto"/>
            <w:vAlign w:val="bottom"/>
          </w:tcPr>
          <w:p w14:paraId="74DE1039" w14:textId="77777777" w:rsidR="00584EC1" w:rsidRDefault="00584EC1">
            <w:pPr>
              <w:rPr>
                <w:rFonts w:ascii="宋体"/>
                <w:vanish/>
              </w:rPr>
            </w:pPr>
          </w:p>
        </w:tc>
        <w:tc>
          <w:tcPr>
            <w:tcW w:w="0" w:type="auto"/>
            <w:shd w:val="clear" w:color="auto" w:fill="auto"/>
            <w:vAlign w:val="bottom"/>
          </w:tcPr>
          <w:p w14:paraId="74DE103A" w14:textId="77777777" w:rsidR="00584EC1" w:rsidRDefault="00584EC1">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E103B" w14:textId="77777777" w:rsidR="00584EC1" w:rsidRDefault="00871F8D">
            <w:pPr>
              <w:jc w:val="right"/>
              <w:textAlignment w:val="bottom"/>
            </w:pPr>
            <w:r>
              <w:rPr>
                <w:rFonts w:ascii="Arial" w:eastAsia="宋体" w:hAnsi="Arial" w:cs="Arial"/>
                <w:color w:val="000000"/>
                <w:sz w:val="14"/>
                <w:szCs w:val="14"/>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03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03D"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E103E" w14:textId="77777777" w:rsidR="00584EC1" w:rsidRDefault="00871F8D">
            <w:pPr>
              <w:jc w:val="right"/>
              <w:textAlignment w:val="bottom"/>
            </w:pPr>
            <w:r>
              <w:rPr>
                <w:rFonts w:ascii="Arial" w:eastAsia="宋体" w:hAnsi="Arial" w:cs="Arial"/>
                <w:color w:val="000000"/>
                <w:sz w:val="14"/>
                <w:szCs w:val="14"/>
              </w:rPr>
              <w:t>164 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03F" w14:textId="77777777" w:rsidR="00584EC1" w:rsidRDefault="00584EC1">
            <w:pPr>
              <w:jc w:val="right"/>
              <w:rPr>
                <w:rFonts w:ascii="宋体"/>
              </w:rPr>
            </w:pPr>
          </w:p>
        </w:tc>
      </w:tr>
      <w:tr w:rsidR="00584EC1" w14:paraId="74DE104D" w14:textId="77777777">
        <w:trPr>
          <w:hidden/>
        </w:trPr>
        <w:tc>
          <w:tcPr>
            <w:tcW w:w="0" w:type="auto"/>
            <w:gridSpan w:val="3"/>
            <w:shd w:val="clear" w:color="auto" w:fill="auto"/>
            <w:vAlign w:val="bottom"/>
          </w:tcPr>
          <w:p w14:paraId="74DE1041" w14:textId="77777777" w:rsidR="00584EC1" w:rsidRDefault="00584EC1">
            <w:pPr>
              <w:rPr>
                <w:rFonts w:ascii="宋体"/>
                <w:vanish/>
              </w:rPr>
            </w:pPr>
          </w:p>
        </w:tc>
        <w:tc>
          <w:tcPr>
            <w:tcW w:w="0" w:type="auto"/>
            <w:gridSpan w:val="3"/>
            <w:shd w:val="clear" w:color="auto" w:fill="auto"/>
            <w:vAlign w:val="bottom"/>
          </w:tcPr>
          <w:p w14:paraId="74DE1042" w14:textId="77777777" w:rsidR="00584EC1" w:rsidRDefault="00584EC1">
            <w:pPr>
              <w:rPr>
                <w:rFonts w:ascii="宋体"/>
                <w:vanish/>
              </w:rPr>
            </w:pPr>
          </w:p>
        </w:tc>
        <w:tc>
          <w:tcPr>
            <w:tcW w:w="0" w:type="auto"/>
            <w:gridSpan w:val="3"/>
            <w:shd w:val="clear" w:color="auto" w:fill="auto"/>
            <w:vAlign w:val="bottom"/>
          </w:tcPr>
          <w:p w14:paraId="74DE1043" w14:textId="77777777" w:rsidR="00584EC1" w:rsidRDefault="00584EC1">
            <w:pPr>
              <w:rPr>
                <w:rFonts w:ascii="宋体"/>
                <w:vanish/>
              </w:rPr>
            </w:pPr>
          </w:p>
        </w:tc>
        <w:tc>
          <w:tcPr>
            <w:tcW w:w="0" w:type="auto"/>
            <w:gridSpan w:val="3"/>
            <w:shd w:val="clear" w:color="auto" w:fill="auto"/>
            <w:vAlign w:val="bottom"/>
          </w:tcPr>
          <w:p w14:paraId="74DE1044" w14:textId="77777777" w:rsidR="00584EC1" w:rsidRDefault="00584EC1">
            <w:pPr>
              <w:rPr>
                <w:rFonts w:ascii="宋体"/>
                <w:vanish/>
              </w:rPr>
            </w:pPr>
          </w:p>
        </w:tc>
        <w:tc>
          <w:tcPr>
            <w:tcW w:w="0" w:type="auto"/>
            <w:gridSpan w:val="3"/>
            <w:shd w:val="clear" w:color="auto" w:fill="auto"/>
            <w:vAlign w:val="bottom"/>
          </w:tcPr>
          <w:p w14:paraId="74DE1045" w14:textId="77777777" w:rsidR="00584EC1" w:rsidRDefault="00584EC1">
            <w:pPr>
              <w:rPr>
                <w:rFonts w:ascii="宋体"/>
                <w:vanish/>
              </w:rPr>
            </w:pPr>
          </w:p>
        </w:tc>
        <w:tc>
          <w:tcPr>
            <w:tcW w:w="0" w:type="auto"/>
            <w:shd w:val="clear" w:color="auto" w:fill="auto"/>
            <w:vAlign w:val="bottom"/>
          </w:tcPr>
          <w:p w14:paraId="74DE1046" w14:textId="77777777" w:rsidR="00584EC1" w:rsidRDefault="00584EC1">
            <w:pPr>
              <w:rPr>
                <w:rFonts w:ascii="宋体"/>
                <w:vanish/>
              </w:rPr>
            </w:pPr>
          </w:p>
        </w:tc>
        <w:tc>
          <w:tcPr>
            <w:tcW w:w="0" w:type="auto"/>
            <w:shd w:val="clear" w:color="auto" w:fill="auto"/>
            <w:vAlign w:val="bottom"/>
          </w:tcPr>
          <w:p w14:paraId="74DE1047" w14:textId="77777777" w:rsidR="00584EC1" w:rsidRDefault="00584EC1">
            <w:pPr>
              <w:rPr>
                <w:rFonts w:ascii="宋体"/>
                <w:vanish/>
              </w:rPr>
            </w:pPr>
          </w:p>
        </w:tc>
        <w:tc>
          <w:tcPr>
            <w:tcW w:w="0" w:type="auto"/>
            <w:shd w:val="clear" w:color="auto" w:fill="auto"/>
            <w:vAlign w:val="bottom"/>
          </w:tcPr>
          <w:p w14:paraId="74DE1048" w14:textId="77777777" w:rsidR="00584EC1" w:rsidRDefault="00584EC1">
            <w:pPr>
              <w:rPr>
                <w:rFonts w:ascii="宋体"/>
                <w:vanish/>
              </w:rPr>
            </w:pPr>
          </w:p>
        </w:tc>
        <w:tc>
          <w:tcPr>
            <w:tcW w:w="0" w:type="auto"/>
            <w:shd w:val="clear" w:color="auto" w:fill="auto"/>
            <w:vAlign w:val="bottom"/>
          </w:tcPr>
          <w:p w14:paraId="74DE1049" w14:textId="77777777" w:rsidR="00584EC1" w:rsidRDefault="00584EC1">
            <w:pPr>
              <w:rPr>
                <w:rFonts w:ascii="宋体"/>
                <w:vanish/>
              </w:rPr>
            </w:pPr>
          </w:p>
        </w:tc>
        <w:tc>
          <w:tcPr>
            <w:tcW w:w="0" w:type="auto"/>
            <w:gridSpan w:val="3"/>
            <w:shd w:val="clear" w:color="auto" w:fill="auto"/>
            <w:vAlign w:val="bottom"/>
          </w:tcPr>
          <w:p w14:paraId="74DE104A" w14:textId="77777777" w:rsidR="00584EC1" w:rsidRDefault="00584EC1">
            <w:pPr>
              <w:rPr>
                <w:rFonts w:ascii="宋体"/>
                <w:vanish/>
              </w:rPr>
            </w:pPr>
          </w:p>
        </w:tc>
        <w:tc>
          <w:tcPr>
            <w:tcW w:w="0" w:type="auto"/>
            <w:gridSpan w:val="3"/>
            <w:shd w:val="clear" w:color="auto" w:fill="auto"/>
            <w:vAlign w:val="bottom"/>
          </w:tcPr>
          <w:p w14:paraId="74DE104B" w14:textId="77777777" w:rsidR="00584EC1" w:rsidRDefault="00584EC1">
            <w:pPr>
              <w:rPr>
                <w:rFonts w:ascii="宋体"/>
                <w:vanish/>
              </w:rPr>
            </w:pPr>
          </w:p>
        </w:tc>
        <w:tc>
          <w:tcPr>
            <w:tcW w:w="0" w:type="auto"/>
            <w:gridSpan w:val="3"/>
            <w:shd w:val="clear" w:color="auto" w:fill="auto"/>
            <w:vAlign w:val="bottom"/>
          </w:tcPr>
          <w:p w14:paraId="74DE104C" w14:textId="77777777" w:rsidR="00584EC1" w:rsidRDefault="00584EC1">
            <w:pPr>
              <w:rPr>
                <w:rFonts w:ascii="宋体"/>
                <w:vanish/>
              </w:rPr>
            </w:pPr>
          </w:p>
        </w:tc>
      </w:tr>
      <w:tr w:rsidR="00584EC1" w14:paraId="74DE105A" w14:textId="77777777">
        <w:trPr>
          <w:hidden/>
        </w:trPr>
        <w:tc>
          <w:tcPr>
            <w:tcW w:w="0" w:type="auto"/>
            <w:gridSpan w:val="3"/>
            <w:shd w:val="clear" w:color="auto" w:fill="auto"/>
            <w:vAlign w:val="bottom"/>
          </w:tcPr>
          <w:p w14:paraId="74DE104E" w14:textId="77777777" w:rsidR="00584EC1" w:rsidRDefault="00584EC1">
            <w:pPr>
              <w:rPr>
                <w:rFonts w:ascii="宋体"/>
                <w:vanish/>
              </w:rPr>
            </w:pPr>
          </w:p>
        </w:tc>
        <w:tc>
          <w:tcPr>
            <w:tcW w:w="0" w:type="auto"/>
            <w:gridSpan w:val="3"/>
            <w:shd w:val="clear" w:color="auto" w:fill="auto"/>
            <w:vAlign w:val="bottom"/>
          </w:tcPr>
          <w:p w14:paraId="74DE104F" w14:textId="77777777" w:rsidR="00584EC1" w:rsidRDefault="00584EC1">
            <w:pPr>
              <w:rPr>
                <w:rFonts w:ascii="宋体"/>
                <w:vanish/>
              </w:rPr>
            </w:pPr>
          </w:p>
        </w:tc>
        <w:tc>
          <w:tcPr>
            <w:tcW w:w="0" w:type="auto"/>
            <w:gridSpan w:val="3"/>
            <w:shd w:val="clear" w:color="auto" w:fill="auto"/>
            <w:vAlign w:val="bottom"/>
          </w:tcPr>
          <w:p w14:paraId="74DE1050" w14:textId="77777777" w:rsidR="00584EC1" w:rsidRDefault="00584EC1">
            <w:pPr>
              <w:rPr>
                <w:rFonts w:ascii="宋体"/>
                <w:vanish/>
              </w:rPr>
            </w:pPr>
          </w:p>
        </w:tc>
        <w:tc>
          <w:tcPr>
            <w:tcW w:w="0" w:type="auto"/>
            <w:gridSpan w:val="3"/>
            <w:shd w:val="clear" w:color="auto" w:fill="auto"/>
            <w:vAlign w:val="bottom"/>
          </w:tcPr>
          <w:p w14:paraId="74DE1051" w14:textId="77777777" w:rsidR="00584EC1" w:rsidRDefault="00584EC1">
            <w:pPr>
              <w:rPr>
                <w:rFonts w:ascii="宋体"/>
                <w:vanish/>
              </w:rPr>
            </w:pPr>
          </w:p>
        </w:tc>
        <w:tc>
          <w:tcPr>
            <w:tcW w:w="0" w:type="auto"/>
            <w:gridSpan w:val="3"/>
            <w:shd w:val="clear" w:color="auto" w:fill="auto"/>
            <w:vAlign w:val="bottom"/>
          </w:tcPr>
          <w:p w14:paraId="74DE1052" w14:textId="77777777" w:rsidR="00584EC1" w:rsidRDefault="00584EC1">
            <w:pPr>
              <w:rPr>
                <w:rFonts w:ascii="宋体"/>
                <w:vanish/>
              </w:rPr>
            </w:pPr>
          </w:p>
        </w:tc>
        <w:tc>
          <w:tcPr>
            <w:tcW w:w="0" w:type="auto"/>
            <w:shd w:val="clear" w:color="auto" w:fill="auto"/>
            <w:vAlign w:val="bottom"/>
          </w:tcPr>
          <w:p w14:paraId="74DE1053" w14:textId="77777777" w:rsidR="00584EC1" w:rsidRDefault="00584EC1">
            <w:pPr>
              <w:rPr>
                <w:rFonts w:ascii="宋体"/>
                <w:vanish/>
              </w:rPr>
            </w:pPr>
          </w:p>
        </w:tc>
        <w:tc>
          <w:tcPr>
            <w:tcW w:w="0" w:type="auto"/>
            <w:shd w:val="clear" w:color="auto" w:fill="auto"/>
            <w:vAlign w:val="bottom"/>
          </w:tcPr>
          <w:p w14:paraId="74DE1054" w14:textId="77777777" w:rsidR="00584EC1" w:rsidRDefault="00584EC1">
            <w:pPr>
              <w:rPr>
                <w:rFonts w:ascii="宋体"/>
                <w:vanish/>
              </w:rPr>
            </w:pPr>
          </w:p>
        </w:tc>
        <w:tc>
          <w:tcPr>
            <w:tcW w:w="0" w:type="auto"/>
            <w:shd w:val="clear" w:color="auto" w:fill="auto"/>
            <w:vAlign w:val="bottom"/>
          </w:tcPr>
          <w:p w14:paraId="74DE1055" w14:textId="77777777" w:rsidR="00584EC1" w:rsidRDefault="00584EC1">
            <w:pPr>
              <w:rPr>
                <w:rFonts w:ascii="宋体"/>
                <w:vanish/>
              </w:rPr>
            </w:pPr>
          </w:p>
        </w:tc>
        <w:tc>
          <w:tcPr>
            <w:tcW w:w="0" w:type="auto"/>
            <w:shd w:val="clear" w:color="auto" w:fill="auto"/>
            <w:vAlign w:val="bottom"/>
          </w:tcPr>
          <w:p w14:paraId="74DE1056" w14:textId="77777777" w:rsidR="00584EC1" w:rsidRDefault="00584EC1">
            <w:pPr>
              <w:rPr>
                <w:rFonts w:ascii="宋体"/>
                <w:vanish/>
              </w:rPr>
            </w:pPr>
          </w:p>
        </w:tc>
        <w:tc>
          <w:tcPr>
            <w:tcW w:w="0" w:type="auto"/>
            <w:gridSpan w:val="3"/>
            <w:shd w:val="clear" w:color="auto" w:fill="auto"/>
            <w:vAlign w:val="bottom"/>
          </w:tcPr>
          <w:p w14:paraId="74DE1057" w14:textId="77777777" w:rsidR="00584EC1" w:rsidRDefault="00584EC1">
            <w:pPr>
              <w:rPr>
                <w:rFonts w:ascii="宋体"/>
                <w:vanish/>
              </w:rPr>
            </w:pPr>
          </w:p>
        </w:tc>
        <w:tc>
          <w:tcPr>
            <w:tcW w:w="0" w:type="auto"/>
            <w:gridSpan w:val="3"/>
            <w:shd w:val="clear" w:color="auto" w:fill="auto"/>
            <w:vAlign w:val="bottom"/>
          </w:tcPr>
          <w:p w14:paraId="74DE1058" w14:textId="77777777" w:rsidR="00584EC1" w:rsidRDefault="00584EC1">
            <w:pPr>
              <w:rPr>
                <w:rFonts w:ascii="宋体"/>
                <w:vanish/>
              </w:rPr>
            </w:pPr>
          </w:p>
        </w:tc>
        <w:tc>
          <w:tcPr>
            <w:tcW w:w="0" w:type="auto"/>
            <w:gridSpan w:val="3"/>
            <w:shd w:val="clear" w:color="auto" w:fill="auto"/>
            <w:vAlign w:val="bottom"/>
          </w:tcPr>
          <w:p w14:paraId="74DE1059" w14:textId="77777777" w:rsidR="00584EC1" w:rsidRDefault="00584EC1">
            <w:pPr>
              <w:rPr>
                <w:rFonts w:ascii="宋体"/>
                <w:vanish/>
              </w:rPr>
            </w:pPr>
          </w:p>
        </w:tc>
      </w:tr>
      <w:tr w:rsidR="00584EC1" w14:paraId="74DE106B" w14:textId="77777777">
        <w:tc>
          <w:tcPr>
            <w:tcW w:w="0" w:type="auto"/>
            <w:gridSpan w:val="3"/>
            <w:shd w:val="clear" w:color="auto" w:fill="FFFFFF"/>
            <w:tcMar>
              <w:top w:w="40" w:type="dxa"/>
              <w:left w:w="20" w:type="dxa"/>
              <w:bottom w:w="40" w:type="dxa"/>
              <w:right w:w="20" w:type="dxa"/>
            </w:tcMar>
            <w:vAlign w:val="bottom"/>
          </w:tcPr>
          <w:p w14:paraId="74DE105B" w14:textId="77777777" w:rsidR="00584EC1" w:rsidRDefault="00871F8D">
            <w:pPr>
              <w:textAlignment w:val="bottom"/>
            </w:pPr>
            <w:r>
              <w:rPr>
                <w:rFonts w:ascii="Arial" w:eastAsia="宋体" w:hAnsi="Arial" w:cs="Arial"/>
                <w:color w:val="000000"/>
                <w:sz w:val="14"/>
                <w:szCs w:val="14"/>
              </w:rPr>
              <w:t>Payments and Other Adjustments</w:t>
            </w:r>
          </w:p>
        </w:tc>
        <w:tc>
          <w:tcPr>
            <w:tcW w:w="0" w:type="auto"/>
            <w:gridSpan w:val="2"/>
            <w:shd w:val="clear" w:color="auto" w:fill="FFFFFF"/>
            <w:tcMar>
              <w:top w:w="40" w:type="dxa"/>
              <w:left w:w="20" w:type="dxa"/>
              <w:bottom w:w="40" w:type="dxa"/>
              <w:right w:w="0" w:type="dxa"/>
            </w:tcMar>
            <w:vAlign w:val="bottom"/>
          </w:tcPr>
          <w:p w14:paraId="74DE105C" w14:textId="77777777" w:rsidR="00584EC1" w:rsidRDefault="00871F8D">
            <w:pPr>
              <w:jc w:val="right"/>
              <w:textAlignment w:val="bottom"/>
            </w:pPr>
            <w:r>
              <w:rPr>
                <w:rFonts w:ascii="Arial" w:eastAsia="宋体" w:hAnsi="Arial" w:cs="Arial"/>
                <w:color w:val="000000"/>
                <w:sz w:val="14"/>
                <w:szCs w:val="14"/>
              </w:rPr>
              <w:t>(25)</w:t>
            </w:r>
          </w:p>
        </w:tc>
        <w:tc>
          <w:tcPr>
            <w:tcW w:w="0" w:type="auto"/>
            <w:shd w:val="clear" w:color="auto" w:fill="FFFFFF"/>
            <w:tcMar>
              <w:top w:w="40" w:type="dxa"/>
              <w:left w:w="0" w:type="dxa"/>
              <w:bottom w:w="40" w:type="dxa"/>
              <w:right w:w="20" w:type="dxa"/>
            </w:tcMar>
            <w:vAlign w:val="bottom"/>
          </w:tcPr>
          <w:p w14:paraId="74DE105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05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05F" w14:textId="77777777" w:rsidR="00584EC1" w:rsidRDefault="00871F8D">
            <w:pPr>
              <w:jc w:val="right"/>
              <w:textAlignment w:val="bottom"/>
            </w:pPr>
            <w:r>
              <w:rPr>
                <w:rFonts w:ascii="Arial" w:eastAsia="宋体" w:hAnsi="Arial" w:cs="Arial"/>
                <w:color w:val="000000"/>
                <w:sz w:val="14"/>
                <w:szCs w:val="14"/>
              </w:rPr>
              <w:t>(1)</w:t>
            </w:r>
          </w:p>
        </w:tc>
        <w:tc>
          <w:tcPr>
            <w:tcW w:w="0" w:type="auto"/>
            <w:shd w:val="clear" w:color="auto" w:fill="FFFFFF"/>
            <w:tcMar>
              <w:top w:w="40" w:type="dxa"/>
              <w:left w:w="0" w:type="dxa"/>
              <w:bottom w:w="40" w:type="dxa"/>
              <w:right w:w="20" w:type="dxa"/>
            </w:tcMar>
            <w:vAlign w:val="bottom"/>
          </w:tcPr>
          <w:p w14:paraId="74DE106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061" w14:textId="77777777" w:rsidR="00584EC1" w:rsidRDefault="00584EC1">
            <w:pPr>
              <w:rPr>
                <w:rFonts w:ascii="宋体"/>
              </w:rPr>
            </w:pPr>
          </w:p>
        </w:tc>
        <w:tc>
          <w:tcPr>
            <w:tcW w:w="0" w:type="auto"/>
            <w:shd w:val="clear" w:color="auto" w:fill="auto"/>
            <w:vAlign w:val="bottom"/>
          </w:tcPr>
          <w:p w14:paraId="74DE1062" w14:textId="77777777" w:rsidR="00584EC1" w:rsidRDefault="00584EC1">
            <w:pPr>
              <w:rPr>
                <w:rFonts w:ascii="宋体"/>
                <w:vanish/>
              </w:rPr>
            </w:pPr>
          </w:p>
        </w:tc>
        <w:tc>
          <w:tcPr>
            <w:tcW w:w="0" w:type="auto"/>
            <w:shd w:val="clear" w:color="auto" w:fill="auto"/>
            <w:vAlign w:val="bottom"/>
          </w:tcPr>
          <w:p w14:paraId="74DE1063" w14:textId="77777777" w:rsidR="00584EC1" w:rsidRDefault="00584EC1">
            <w:pPr>
              <w:rPr>
                <w:rFonts w:ascii="宋体"/>
                <w:vanish/>
              </w:rPr>
            </w:pPr>
          </w:p>
        </w:tc>
        <w:tc>
          <w:tcPr>
            <w:tcW w:w="0" w:type="auto"/>
            <w:shd w:val="clear" w:color="auto" w:fill="auto"/>
            <w:vAlign w:val="bottom"/>
          </w:tcPr>
          <w:p w14:paraId="74DE1064" w14:textId="77777777" w:rsidR="00584EC1" w:rsidRDefault="00584EC1">
            <w:pPr>
              <w:rPr>
                <w:rFonts w:ascii="宋体"/>
                <w:vanish/>
              </w:rPr>
            </w:pPr>
          </w:p>
        </w:tc>
        <w:tc>
          <w:tcPr>
            <w:tcW w:w="0" w:type="auto"/>
            <w:shd w:val="clear" w:color="auto" w:fill="auto"/>
            <w:vAlign w:val="bottom"/>
          </w:tcPr>
          <w:p w14:paraId="74DE1065"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E1066"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E106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068"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069" w14:textId="77777777" w:rsidR="00584EC1" w:rsidRDefault="00871F8D">
            <w:pPr>
              <w:jc w:val="right"/>
              <w:textAlignment w:val="bottom"/>
            </w:pPr>
            <w:r>
              <w:rPr>
                <w:rFonts w:ascii="Arial" w:eastAsia="宋体" w:hAnsi="Arial" w:cs="Arial"/>
                <w:color w:val="000000"/>
                <w:sz w:val="14"/>
                <w:szCs w:val="14"/>
              </w:rPr>
              <w:t>(26)</w:t>
            </w:r>
          </w:p>
        </w:tc>
        <w:tc>
          <w:tcPr>
            <w:tcW w:w="0" w:type="auto"/>
            <w:shd w:val="clear" w:color="auto" w:fill="FFFFFF"/>
            <w:tcMar>
              <w:top w:w="40" w:type="dxa"/>
              <w:left w:w="0" w:type="dxa"/>
              <w:bottom w:w="40" w:type="dxa"/>
              <w:right w:w="20" w:type="dxa"/>
            </w:tcMar>
            <w:vAlign w:val="bottom"/>
          </w:tcPr>
          <w:p w14:paraId="74DE106A" w14:textId="77777777" w:rsidR="00584EC1" w:rsidRDefault="00584EC1">
            <w:pPr>
              <w:jc w:val="right"/>
              <w:rPr>
                <w:rFonts w:ascii="宋体"/>
              </w:rPr>
            </w:pPr>
          </w:p>
        </w:tc>
      </w:tr>
      <w:tr w:rsidR="00584EC1" w14:paraId="74DE107C" w14:textId="77777777">
        <w:tc>
          <w:tcPr>
            <w:tcW w:w="0" w:type="auto"/>
            <w:gridSpan w:val="3"/>
            <w:shd w:val="clear" w:color="auto" w:fill="CCEEFF"/>
            <w:tcMar>
              <w:top w:w="40" w:type="dxa"/>
              <w:left w:w="20" w:type="dxa"/>
              <w:bottom w:w="40" w:type="dxa"/>
              <w:right w:w="20" w:type="dxa"/>
            </w:tcMar>
            <w:vAlign w:val="bottom"/>
          </w:tcPr>
          <w:p w14:paraId="74DE106C" w14:textId="77777777" w:rsidR="00584EC1" w:rsidRDefault="00871F8D">
            <w:pPr>
              <w:textAlignment w:val="bottom"/>
            </w:pPr>
            <w:r>
              <w:rPr>
                <w:rFonts w:ascii="Arial" w:eastAsia="宋体" w:hAnsi="Arial" w:cs="Arial"/>
                <w:b/>
                <w:bCs/>
                <w:color w:val="000000"/>
                <w:sz w:val="14"/>
                <w:szCs w:val="14"/>
              </w:rPr>
              <w:t>Accrual Balance at June 30, 2020</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E106D" w14:textId="77777777" w:rsidR="00584EC1" w:rsidRDefault="00871F8D">
            <w:pPr>
              <w:jc w:val="right"/>
              <w:textAlignment w:val="bottom"/>
            </w:pPr>
            <w:r>
              <w:rPr>
                <w:rFonts w:ascii="Arial" w:eastAsia="宋体" w:hAnsi="Arial" w:cs="Arial"/>
                <w:color w:val="000000"/>
                <w:sz w:val="14"/>
                <w:szCs w:val="14"/>
              </w:rPr>
              <w:t>132 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06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06F"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E1070" w14:textId="77777777" w:rsidR="00584EC1" w:rsidRDefault="00871F8D">
            <w:pPr>
              <w:jc w:val="right"/>
              <w:textAlignment w:val="bottom"/>
            </w:pPr>
            <w:r>
              <w:rPr>
                <w:rFonts w:ascii="Arial" w:eastAsia="宋体" w:hAnsi="Arial" w:cs="Arial"/>
                <w:color w:val="000000"/>
                <w:sz w:val="14"/>
                <w:szCs w:val="14"/>
              </w:rPr>
              <w:t>5 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07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072" w14:textId="77777777" w:rsidR="00584EC1" w:rsidRDefault="00584EC1">
            <w:pPr>
              <w:rPr>
                <w:rFonts w:ascii="宋体"/>
              </w:rPr>
            </w:pPr>
          </w:p>
        </w:tc>
        <w:tc>
          <w:tcPr>
            <w:tcW w:w="0" w:type="auto"/>
            <w:shd w:val="clear" w:color="auto" w:fill="auto"/>
            <w:vAlign w:val="bottom"/>
          </w:tcPr>
          <w:p w14:paraId="74DE1073" w14:textId="77777777" w:rsidR="00584EC1" w:rsidRDefault="00584EC1">
            <w:pPr>
              <w:rPr>
                <w:rFonts w:ascii="宋体"/>
                <w:vanish/>
              </w:rPr>
            </w:pPr>
          </w:p>
        </w:tc>
        <w:tc>
          <w:tcPr>
            <w:tcW w:w="0" w:type="auto"/>
            <w:shd w:val="clear" w:color="auto" w:fill="auto"/>
            <w:vAlign w:val="bottom"/>
          </w:tcPr>
          <w:p w14:paraId="74DE1074" w14:textId="77777777" w:rsidR="00584EC1" w:rsidRDefault="00584EC1">
            <w:pPr>
              <w:rPr>
                <w:rFonts w:ascii="宋体"/>
                <w:vanish/>
              </w:rPr>
            </w:pPr>
          </w:p>
        </w:tc>
        <w:tc>
          <w:tcPr>
            <w:tcW w:w="0" w:type="auto"/>
            <w:shd w:val="clear" w:color="auto" w:fill="auto"/>
            <w:vAlign w:val="bottom"/>
          </w:tcPr>
          <w:p w14:paraId="74DE1075" w14:textId="77777777" w:rsidR="00584EC1" w:rsidRDefault="00584EC1">
            <w:pPr>
              <w:rPr>
                <w:rFonts w:ascii="宋体"/>
                <w:vanish/>
              </w:rPr>
            </w:pPr>
          </w:p>
        </w:tc>
        <w:tc>
          <w:tcPr>
            <w:tcW w:w="0" w:type="auto"/>
            <w:shd w:val="clear" w:color="auto" w:fill="auto"/>
            <w:vAlign w:val="bottom"/>
          </w:tcPr>
          <w:p w14:paraId="74DE1076" w14:textId="77777777" w:rsidR="00584EC1" w:rsidRDefault="00584EC1">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E1077" w14:textId="77777777" w:rsidR="00584EC1" w:rsidRDefault="00871F8D">
            <w:pPr>
              <w:jc w:val="right"/>
              <w:textAlignment w:val="bottom"/>
            </w:pPr>
            <w:r>
              <w:rPr>
                <w:rFonts w:ascii="Arial" w:eastAsia="宋体" w:hAnsi="Arial" w:cs="Arial"/>
                <w:color w:val="000000"/>
                <w:sz w:val="14"/>
                <w:szCs w:val="14"/>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07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079"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E107A" w14:textId="77777777" w:rsidR="00584EC1" w:rsidRDefault="00871F8D">
            <w:pPr>
              <w:jc w:val="right"/>
              <w:textAlignment w:val="bottom"/>
            </w:pPr>
            <w:r>
              <w:rPr>
                <w:rFonts w:ascii="Arial" w:eastAsia="宋体" w:hAnsi="Arial" w:cs="Arial"/>
                <w:color w:val="000000"/>
                <w:sz w:val="14"/>
                <w:szCs w:val="14"/>
              </w:rPr>
              <w:t>138 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07B" w14:textId="77777777" w:rsidR="00584EC1" w:rsidRDefault="00584EC1">
            <w:pPr>
              <w:jc w:val="right"/>
              <w:rPr>
                <w:rFonts w:ascii="宋体"/>
              </w:rPr>
            </w:pPr>
          </w:p>
        </w:tc>
      </w:tr>
      <w:tr w:rsidR="00584EC1" w14:paraId="74DE108D" w14:textId="77777777">
        <w:tc>
          <w:tcPr>
            <w:tcW w:w="0" w:type="auto"/>
            <w:gridSpan w:val="3"/>
            <w:shd w:val="clear" w:color="auto" w:fill="FFFFFF"/>
            <w:tcMar>
              <w:top w:w="40" w:type="dxa"/>
              <w:left w:w="20" w:type="dxa"/>
              <w:bottom w:w="40" w:type="dxa"/>
              <w:right w:w="20" w:type="dxa"/>
            </w:tcMar>
            <w:vAlign w:val="bottom"/>
          </w:tcPr>
          <w:p w14:paraId="74DE107D" w14:textId="77777777" w:rsidR="00584EC1" w:rsidRDefault="00871F8D">
            <w:pPr>
              <w:textAlignment w:val="bottom"/>
            </w:pPr>
            <w:r>
              <w:rPr>
                <w:rFonts w:ascii="Arial" w:eastAsia="宋体" w:hAnsi="Arial" w:cs="Arial"/>
                <w:color w:val="000000"/>
                <w:sz w:val="14"/>
                <w:szCs w:val="14"/>
              </w:rPr>
              <w:t>Payments and Other Adjustments</w:t>
            </w:r>
          </w:p>
        </w:tc>
        <w:tc>
          <w:tcPr>
            <w:tcW w:w="0" w:type="auto"/>
            <w:gridSpan w:val="2"/>
            <w:shd w:val="clear" w:color="auto" w:fill="FFFFFF"/>
            <w:tcMar>
              <w:top w:w="40" w:type="dxa"/>
              <w:left w:w="20" w:type="dxa"/>
              <w:bottom w:w="40" w:type="dxa"/>
              <w:right w:w="0" w:type="dxa"/>
            </w:tcMar>
            <w:vAlign w:val="bottom"/>
          </w:tcPr>
          <w:p w14:paraId="74DE107E" w14:textId="77777777" w:rsidR="00584EC1" w:rsidRDefault="00871F8D">
            <w:pPr>
              <w:jc w:val="right"/>
              <w:textAlignment w:val="bottom"/>
            </w:pPr>
            <w:r>
              <w:rPr>
                <w:rFonts w:ascii="Arial" w:eastAsia="宋体" w:hAnsi="Arial" w:cs="Arial"/>
                <w:color w:val="000000"/>
                <w:sz w:val="14"/>
                <w:szCs w:val="14"/>
              </w:rPr>
              <w:t>(10)</w:t>
            </w:r>
          </w:p>
        </w:tc>
        <w:tc>
          <w:tcPr>
            <w:tcW w:w="0" w:type="auto"/>
            <w:shd w:val="clear" w:color="auto" w:fill="FFFFFF"/>
            <w:tcMar>
              <w:top w:w="40" w:type="dxa"/>
              <w:left w:w="0" w:type="dxa"/>
              <w:bottom w:w="40" w:type="dxa"/>
              <w:right w:w="20" w:type="dxa"/>
            </w:tcMar>
            <w:vAlign w:val="bottom"/>
          </w:tcPr>
          <w:p w14:paraId="74DE107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08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081" w14:textId="77777777" w:rsidR="00584EC1" w:rsidRDefault="00871F8D">
            <w:pPr>
              <w:jc w:val="right"/>
              <w:textAlignment w:val="bottom"/>
            </w:pPr>
            <w:r>
              <w:rPr>
                <w:rFonts w:ascii="Arial" w:eastAsia="宋体" w:hAnsi="Arial" w:cs="Arial"/>
                <w:color w:val="000000"/>
                <w:sz w:val="14"/>
                <w:szCs w:val="14"/>
              </w:rPr>
              <w:t>1 </w:t>
            </w:r>
          </w:p>
        </w:tc>
        <w:tc>
          <w:tcPr>
            <w:tcW w:w="0" w:type="auto"/>
            <w:shd w:val="clear" w:color="auto" w:fill="FFFFFF"/>
            <w:tcMar>
              <w:top w:w="40" w:type="dxa"/>
              <w:left w:w="0" w:type="dxa"/>
              <w:bottom w:w="40" w:type="dxa"/>
              <w:right w:w="20" w:type="dxa"/>
            </w:tcMar>
            <w:vAlign w:val="bottom"/>
          </w:tcPr>
          <w:p w14:paraId="74DE108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083" w14:textId="77777777" w:rsidR="00584EC1" w:rsidRDefault="00584EC1">
            <w:pPr>
              <w:rPr>
                <w:rFonts w:ascii="宋体"/>
              </w:rPr>
            </w:pPr>
          </w:p>
        </w:tc>
        <w:tc>
          <w:tcPr>
            <w:tcW w:w="0" w:type="auto"/>
            <w:shd w:val="clear" w:color="auto" w:fill="auto"/>
            <w:vAlign w:val="bottom"/>
          </w:tcPr>
          <w:p w14:paraId="74DE1084" w14:textId="77777777" w:rsidR="00584EC1" w:rsidRDefault="00584EC1">
            <w:pPr>
              <w:rPr>
                <w:rFonts w:ascii="宋体"/>
                <w:vanish/>
              </w:rPr>
            </w:pPr>
          </w:p>
        </w:tc>
        <w:tc>
          <w:tcPr>
            <w:tcW w:w="0" w:type="auto"/>
            <w:shd w:val="clear" w:color="auto" w:fill="auto"/>
            <w:vAlign w:val="bottom"/>
          </w:tcPr>
          <w:p w14:paraId="74DE1085" w14:textId="77777777" w:rsidR="00584EC1" w:rsidRDefault="00584EC1">
            <w:pPr>
              <w:rPr>
                <w:rFonts w:ascii="宋体"/>
                <w:vanish/>
              </w:rPr>
            </w:pPr>
          </w:p>
        </w:tc>
        <w:tc>
          <w:tcPr>
            <w:tcW w:w="0" w:type="auto"/>
            <w:shd w:val="clear" w:color="auto" w:fill="auto"/>
            <w:vAlign w:val="bottom"/>
          </w:tcPr>
          <w:p w14:paraId="74DE1086" w14:textId="77777777" w:rsidR="00584EC1" w:rsidRDefault="00584EC1">
            <w:pPr>
              <w:rPr>
                <w:rFonts w:ascii="宋体"/>
                <w:vanish/>
              </w:rPr>
            </w:pPr>
          </w:p>
        </w:tc>
        <w:tc>
          <w:tcPr>
            <w:tcW w:w="0" w:type="auto"/>
            <w:shd w:val="clear" w:color="auto" w:fill="auto"/>
            <w:vAlign w:val="bottom"/>
          </w:tcPr>
          <w:p w14:paraId="74DE1087"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E1088" w14:textId="77777777" w:rsidR="00584EC1" w:rsidRDefault="00871F8D">
            <w:pPr>
              <w:jc w:val="right"/>
              <w:textAlignment w:val="bottom"/>
            </w:pPr>
            <w:r>
              <w:rPr>
                <w:rFonts w:ascii="Arial" w:eastAsia="宋体" w:hAnsi="Arial" w:cs="Arial"/>
                <w:color w:val="000000"/>
                <w:sz w:val="14"/>
                <w:szCs w:val="14"/>
              </w:rPr>
              <w:t>(1)</w:t>
            </w:r>
          </w:p>
        </w:tc>
        <w:tc>
          <w:tcPr>
            <w:tcW w:w="0" w:type="auto"/>
            <w:shd w:val="clear" w:color="auto" w:fill="FFFFFF"/>
            <w:tcMar>
              <w:top w:w="40" w:type="dxa"/>
              <w:left w:w="0" w:type="dxa"/>
              <w:bottom w:w="40" w:type="dxa"/>
              <w:right w:w="20" w:type="dxa"/>
            </w:tcMar>
            <w:vAlign w:val="bottom"/>
          </w:tcPr>
          <w:p w14:paraId="74DE108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08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08B" w14:textId="77777777" w:rsidR="00584EC1" w:rsidRDefault="00871F8D">
            <w:pPr>
              <w:jc w:val="right"/>
              <w:textAlignment w:val="bottom"/>
            </w:pPr>
            <w:r>
              <w:rPr>
                <w:rFonts w:ascii="Arial" w:eastAsia="宋体" w:hAnsi="Arial" w:cs="Arial"/>
                <w:color w:val="000000"/>
                <w:sz w:val="14"/>
                <w:szCs w:val="14"/>
              </w:rPr>
              <w:t>(10)</w:t>
            </w:r>
          </w:p>
        </w:tc>
        <w:tc>
          <w:tcPr>
            <w:tcW w:w="0" w:type="auto"/>
            <w:shd w:val="clear" w:color="auto" w:fill="FFFFFF"/>
            <w:tcMar>
              <w:top w:w="40" w:type="dxa"/>
              <w:left w:w="0" w:type="dxa"/>
              <w:bottom w:w="40" w:type="dxa"/>
              <w:right w:w="20" w:type="dxa"/>
            </w:tcMar>
            <w:vAlign w:val="bottom"/>
          </w:tcPr>
          <w:p w14:paraId="74DE108C" w14:textId="77777777" w:rsidR="00584EC1" w:rsidRDefault="00584EC1">
            <w:pPr>
              <w:jc w:val="right"/>
              <w:rPr>
                <w:rFonts w:ascii="宋体"/>
              </w:rPr>
            </w:pPr>
          </w:p>
        </w:tc>
      </w:tr>
      <w:tr w:rsidR="00584EC1" w14:paraId="74DE10A2" w14:textId="77777777">
        <w:tc>
          <w:tcPr>
            <w:tcW w:w="0" w:type="auto"/>
            <w:gridSpan w:val="3"/>
            <w:shd w:val="clear" w:color="auto" w:fill="CCEEFF"/>
            <w:tcMar>
              <w:top w:w="40" w:type="dxa"/>
              <w:left w:w="20" w:type="dxa"/>
              <w:bottom w:w="40" w:type="dxa"/>
              <w:right w:w="20" w:type="dxa"/>
            </w:tcMar>
            <w:vAlign w:val="bottom"/>
          </w:tcPr>
          <w:p w14:paraId="74DE108E" w14:textId="77777777" w:rsidR="00584EC1" w:rsidRDefault="00871F8D">
            <w:pPr>
              <w:textAlignment w:val="bottom"/>
            </w:pPr>
            <w:r>
              <w:rPr>
                <w:rFonts w:ascii="Arial" w:eastAsia="宋体" w:hAnsi="Arial" w:cs="Arial"/>
                <w:b/>
                <w:bCs/>
                <w:color w:val="000000"/>
                <w:sz w:val="14"/>
                <w:szCs w:val="14"/>
              </w:rPr>
              <w:t>Accrual Balance at September 30, 2020</w:t>
            </w:r>
          </w:p>
        </w:tc>
        <w:tc>
          <w:tcPr>
            <w:tcW w:w="0" w:type="auto"/>
            <w:tcBorders>
              <w:top w:val="single" w:sz="8" w:space="0" w:color="000000"/>
            </w:tcBorders>
            <w:shd w:val="clear" w:color="auto" w:fill="CCEEFF"/>
            <w:tcMar>
              <w:top w:w="40" w:type="dxa"/>
              <w:left w:w="20" w:type="dxa"/>
              <w:bottom w:w="40" w:type="dxa"/>
              <w:right w:w="0" w:type="dxa"/>
            </w:tcMar>
            <w:vAlign w:val="bottom"/>
          </w:tcPr>
          <w:p w14:paraId="74DE108F"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1090" w14:textId="77777777" w:rsidR="00584EC1" w:rsidRDefault="00871F8D">
            <w:pPr>
              <w:jc w:val="right"/>
              <w:textAlignment w:val="bottom"/>
            </w:pPr>
            <w:r>
              <w:rPr>
                <w:rFonts w:ascii="Arial" w:eastAsia="宋体" w:hAnsi="Arial" w:cs="Arial"/>
                <w:color w:val="000000"/>
                <w:sz w:val="14"/>
                <w:szCs w:val="14"/>
              </w:rPr>
              <w:t>122 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09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092"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1093"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1094" w14:textId="77777777" w:rsidR="00584EC1" w:rsidRDefault="00871F8D">
            <w:pPr>
              <w:jc w:val="right"/>
              <w:textAlignment w:val="bottom"/>
            </w:pPr>
            <w:r>
              <w:rPr>
                <w:rFonts w:ascii="Arial" w:eastAsia="宋体" w:hAnsi="Arial" w:cs="Arial"/>
                <w:color w:val="000000"/>
                <w:sz w:val="14"/>
                <w:szCs w:val="14"/>
              </w:rPr>
              <w:t>6 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09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096" w14:textId="77777777" w:rsidR="00584EC1" w:rsidRDefault="00584EC1">
            <w:pPr>
              <w:rPr>
                <w:rFonts w:ascii="宋体"/>
              </w:rPr>
            </w:pPr>
          </w:p>
        </w:tc>
        <w:tc>
          <w:tcPr>
            <w:tcW w:w="0" w:type="auto"/>
            <w:shd w:val="clear" w:color="auto" w:fill="auto"/>
            <w:vAlign w:val="bottom"/>
          </w:tcPr>
          <w:p w14:paraId="74DE1097" w14:textId="77777777" w:rsidR="00584EC1" w:rsidRDefault="00584EC1">
            <w:pPr>
              <w:rPr>
                <w:rFonts w:ascii="宋体"/>
                <w:vanish/>
              </w:rPr>
            </w:pPr>
          </w:p>
        </w:tc>
        <w:tc>
          <w:tcPr>
            <w:tcW w:w="0" w:type="auto"/>
            <w:shd w:val="clear" w:color="auto" w:fill="auto"/>
            <w:vAlign w:val="bottom"/>
          </w:tcPr>
          <w:p w14:paraId="74DE1098" w14:textId="77777777" w:rsidR="00584EC1" w:rsidRDefault="00584EC1">
            <w:pPr>
              <w:rPr>
                <w:rFonts w:ascii="宋体"/>
                <w:vanish/>
              </w:rPr>
            </w:pPr>
          </w:p>
        </w:tc>
        <w:tc>
          <w:tcPr>
            <w:tcW w:w="0" w:type="auto"/>
            <w:shd w:val="clear" w:color="auto" w:fill="auto"/>
            <w:vAlign w:val="bottom"/>
          </w:tcPr>
          <w:p w14:paraId="74DE1099" w14:textId="77777777" w:rsidR="00584EC1" w:rsidRDefault="00584EC1">
            <w:pPr>
              <w:rPr>
                <w:rFonts w:ascii="宋体"/>
                <w:vanish/>
              </w:rPr>
            </w:pPr>
          </w:p>
        </w:tc>
        <w:tc>
          <w:tcPr>
            <w:tcW w:w="0" w:type="auto"/>
            <w:shd w:val="clear" w:color="auto" w:fill="auto"/>
            <w:vAlign w:val="bottom"/>
          </w:tcPr>
          <w:p w14:paraId="74DE109A" w14:textId="77777777" w:rsidR="00584EC1" w:rsidRDefault="00584EC1">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109B"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109C" w14:textId="77777777" w:rsidR="00584EC1" w:rsidRDefault="00871F8D">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09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09E"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109F"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10A0" w14:textId="77777777" w:rsidR="00584EC1" w:rsidRDefault="00871F8D">
            <w:pPr>
              <w:jc w:val="right"/>
              <w:textAlignment w:val="bottom"/>
            </w:pPr>
            <w:r>
              <w:rPr>
                <w:rFonts w:ascii="Arial" w:eastAsia="宋体" w:hAnsi="Arial" w:cs="Arial"/>
                <w:color w:val="000000"/>
                <w:sz w:val="14"/>
                <w:szCs w:val="14"/>
              </w:rPr>
              <w:t>128 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0A1" w14:textId="77777777" w:rsidR="00584EC1" w:rsidRDefault="00584EC1">
            <w:pPr>
              <w:jc w:val="right"/>
              <w:rPr>
                <w:rFonts w:ascii="宋体"/>
              </w:rPr>
            </w:pPr>
          </w:p>
        </w:tc>
      </w:tr>
      <w:tr w:rsidR="00584EC1" w14:paraId="74DE10B7" w14:textId="77777777">
        <w:tc>
          <w:tcPr>
            <w:tcW w:w="0" w:type="auto"/>
            <w:gridSpan w:val="3"/>
            <w:shd w:val="clear" w:color="auto" w:fill="FFFFFF"/>
            <w:tcMar>
              <w:top w:w="40" w:type="dxa"/>
              <w:left w:w="20" w:type="dxa"/>
              <w:bottom w:w="40" w:type="dxa"/>
              <w:right w:w="20" w:type="dxa"/>
            </w:tcMar>
            <w:vAlign w:val="bottom"/>
          </w:tcPr>
          <w:p w14:paraId="74DE10A3" w14:textId="77777777" w:rsidR="00584EC1" w:rsidRDefault="00871F8D">
            <w:pPr>
              <w:textAlignment w:val="bottom"/>
            </w:pPr>
            <w:r>
              <w:rPr>
                <w:rFonts w:ascii="Arial" w:eastAsia="宋体" w:hAnsi="Arial" w:cs="Arial"/>
                <w:b/>
                <w:bCs/>
                <w:color w:val="000000"/>
                <w:sz w:val="14"/>
                <w:szCs w:val="14"/>
              </w:rPr>
              <w:t>Accrual Balance at December 31, 2020</w:t>
            </w:r>
          </w:p>
        </w:tc>
        <w:tc>
          <w:tcPr>
            <w:tcW w:w="0" w:type="auto"/>
            <w:tcBorders>
              <w:top w:val="double" w:sz="6" w:space="0" w:color="000000"/>
            </w:tcBorders>
            <w:shd w:val="clear" w:color="auto" w:fill="FFFFFF"/>
            <w:tcMar>
              <w:top w:w="40" w:type="dxa"/>
              <w:left w:w="20" w:type="dxa"/>
              <w:bottom w:w="40" w:type="dxa"/>
              <w:right w:w="0" w:type="dxa"/>
            </w:tcMar>
            <w:vAlign w:val="bottom"/>
          </w:tcPr>
          <w:p w14:paraId="74DE10A4" w14:textId="77777777" w:rsidR="00584EC1" w:rsidRDefault="00871F8D">
            <w:pPr>
              <w:textAlignment w:val="bottom"/>
            </w:pPr>
            <w:r>
              <w:rPr>
                <w:rFonts w:ascii="Arial" w:eastAsia="宋体" w:hAnsi="Arial" w:cs="Arial"/>
                <w:color w:val="000000"/>
                <w:sz w:val="14"/>
                <w:szCs w:val="14"/>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74DE10A5" w14:textId="77777777" w:rsidR="00584EC1" w:rsidRDefault="00871F8D">
            <w:pPr>
              <w:jc w:val="right"/>
              <w:textAlignment w:val="bottom"/>
            </w:pPr>
            <w:r>
              <w:rPr>
                <w:rFonts w:ascii="Arial" w:eastAsia="宋体" w:hAnsi="Arial" w:cs="Arial"/>
                <w:color w:val="000000"/>
                <w:sz w:val="14"/>
                <w:szCs w:val="14"/>
              </w:rPr>
              <w:t>190 </w:t>
            </w:r>
          </w:p>
        </w:tc>
        <w:tc>
          <w:tcPr>
            <w:tcW w:w="0" w:type="auto"/>
            <w:tcBorders>
              <w:top w:val="double" w:sz="6" w:space="0" w:color="000000"/>
            </w:tcBorders>
            <w:shd w:val="clear" w:color="auto" w:fill="FFFFFF"/>
            <w:tcMar>
              <w:top w:w="40" w:type="dxa"/>
              <w:left w:w="0" w:type="dxa"/>
              <w:bottom w:w="40" w:type="dxa"/>
              <w:right w:w="20" w:type="dxa"/>
            </w:tcMar>
            <w:vAlign w:val="bottom"/>
          </w:tcPr>
          <w:p w14:paraId="74DE10A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0A7" w14:textId="77777777" w:rsidR="00584EC1" w:rsidRDefault="00584EC1">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74DE10A8" w14:textId="77777777" w:rsidR="00584EC1" w:rsidRDefault="00871F8D">
            <w:pPr>
              <w:textAlignment w:val="bottom"/>
            </w:pPr>
            <w:r>
              <w:rPr>
                <w:rFonts w:ascii="Arial" w:eastAsia="宋体" w:hAnsi="Arial" w:cs="Arial"/>
                <w:color w:val="000000"/>
                <w:sz w:val="14"/>
                <w:szCs w:val="14"/>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74DE10A9" w14:textId="77777777" w:rsidR="00584EC1" w:rsidRDefault="00871F8D">
            <w:pPr>
              <w:jc w:val="right"/>
              <w:textAlignment w:val="bottom"/>
            </w:pPr>
            <w:r>
              <w:rPr>
                <w:rFonts w:ascii="Arial" w:eastAsia="宋体" w:hAnsi="Arial" w:cs="Arial"/>
                <w:color w:val="000000"/>
                <w:sz w:val="14"/>
                <w:szCs w:val="14"/>
              </w:rPr>
              <w:t>6 </w:t>
            </w:r>
          </w:p>
        </w:tc>
        <w:tc>
          <w:tcPr>
            <w:tcW w:w="0" w:type="auto"/>
            <w:tcBorders>
              <w:top w:val="double" w:sz="6" w:space="0" w:color="000000"/>
            </w:tcBorders>
            <w:shd w:val="clear" w:color="auto" w:fill="FFFFFF"/>
            <w:tcMar>
              <w:top w:w="40" w:type="dxa"/>
              <w:left w:w="0" w:type="dxa"/>
              <w:bottom w:w="40" w:type="dxa"/>
              <w:right w:w="20" w:type="dxa"/>
            </w:tcMar>
            <w:vAlign w:val="bottom"/>
          </w:tcPr>
          <w:p w14:paraId="74DE10A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0AB" w14:textId="77777777" w:rsidR="00584EC1" w:rsidRDefault="00584EC1">
            <w:pPr>
              <w:rPr>
                <w:rFonts w:ascii="宋体"/>
              </w:rPr>
            </w:pPr>
          </w:p>
        </w:tc>
        <w:tc>
          <w:tcPr>
            <w:tcW w:w="0" w:type="auto"/>
            <w:shd w:val="clear" w:color="auto" w:fill="auto"/>
            <w:vAlign w:val="bottom"/>
          </w:tcPr>
          <w:p w14:paraId="74DE10AC" w14:textId="77777777" w:rsidR="00584EC1" w:rsidRDefault="00584EC1">
            <w:pPr>
              <w:rPr>
                <w:rFonts w:ascii="宋体"/>
                <w:vanish/>
              </w:rPr>
            </w:pPr>
          </w:p>
        </w:tc>
        <w:tc>
          <w:tcPr>
            <w:tcW w:w="0" w:type="auto"/>
            <w:shd w:val="clear" w:color="auto" w:fill="auto"/>
            <w:vAlign w:val="bottom"/>
          </w:tcPr>
          <w:p w14:paraId="74DE10AD" w14:textId="77777777" w:rsidR="00584EC1" w:rsidRDefault="00584EC1">
            <w:pPr>
              <w:rPr>
                <w:rFonts w:ascii="宋体"/>
                <w:vanish/>
              </w:rPr>
            </w:pPr>
          </w:p>
        </w:tc>
        <w:tc>
          <w:tcPr>
            <w:tcW w:w="0" w:type="auto"/>
            <w:shd w:val="clear" w:color="auto" w:fill="auto"/>
            <w:vAlign w:val="bottom"/>
          </w:tcPr>
          <w:p w14:paraId="74DE10AE" w14:textId="77777777" w:rsidR="00584EC1" w:rsidRDefault="00584EC1">
            <w:pPr>
              <w:rPr>
                <w:rFonts w:ascii="宋体"/>
                <w:vanish/>
              </w:rPr>
            </w:pPr>
          </w:p>
        </w:tc>
        <w:tc>
          <w:tcPr>
            <w:tcW w:w="0" w:type="auto"/>
            <w:shd w:val="clear" w:color="auto" w:fill="auto"/>
            <w:vAlign w:val="bottom"/>
          </w:tcPr>
          <w:p w14:paraId="74DE10AF" w14:textId="77777777" w:rsidR="00584EC1" w:rsidRDefault="00584EC1">
            <w:pPr>
              <w:rPr>
                <w:rFonts w:ascii="宋体"/>
                <w:vanish/>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74DE10B0" w14:textId="77777777" w:rsidR="00584EC1" w:rsidRDefault="00871F8D">
            <w:pPr>
              <w:textAlignment w:val="bottom"/>
            </w:pPr>
            <w:r>
              <w:rPr>
                <w:rFonts w:ascii="Arial" w:eastAsia="宋体" w:hAnsi="Arial" w:cs="Arial"/>
                <w:color w:val="000000"/>
                <w:sz w:val="14"/>
                <w:szCs w:val="14"/>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74DE10B1" w14:textId="77777777" w:rsidR="00584EC1" w:rsidRDefault="00871F8D">
            <w:pPr>
              <w:jc w:val="right"/>
              <w:textAlignment w:val="bottom"/>
            </w:pPr>
            <w:r>
              <w:rPr>
                <w:rFonts w:ascii="Arial" w:eastAsia="宋体" w:hAnsi="Arial" w:cs="Arial"/>
                <w:color w:val="000000"/>
                <w:sz w:val="14"/>
                <w:szCs w:val="14"/>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74DE10B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0B3" w14:textId="77777777" w:rsidR="00584EC1" w:rsidRDefault="00584EC1">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74DE10B4" w14:textId="77777777" w:rsidR="00584EC1" w:rsidRDefault="00871F8D">
            <w:pPr>
              <w:textAlignment w:val="bottom"/>
            </w:pPr>
            <w:r>
              <w:rPr>
                <w:rFonts w:ascii="Arial" w:eastAsia="宋体" w:hAnsi="Arial" w:cs="Arial"/>
                <w:color w:val="000000"/>
                <w:sz w:val="14"/>
                <w:szCs w:val="14"/>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74DE10B5" w14:textId="77777777" w:rsidR="00584EC1" w:rsidRDefault="00871F8D">
            <w:pPr>
              <w:jc w:val="right"/>
              <w:textAlignment w:val="bottom"/>
            </w:pPr>
            <w:r>
              <w:rPr>
                <w:rFonts w:ascii="Arial" w:eastAsia="宋体" w:hAnsi="Arial" w:cs="Arial"/>
                <w:color w:val="000000"/>
                <w:sz w:val="14"/>
                <w:szCs w:val="14"/>
              </w:rPr>
              <w:t>196 </w:t>
            </w:r>
          </w:p>
        </w:tc>
        <w:tc>
          <w:tcPr>
            <w:tcW w:w="0" w:type="auto"/>
            <w:tcBorders>
              <w:top w:val="double" w:sz="6" w:space="0" w:color="000000"/>
            </w:tcBorders>
            <w:shd w:val="clear" w:color="auto" w:fill="FFFFFF"/>
            <w:tcMar>
              <w:top w:w="40" w:type="dxa"/>
              <w:left w:w="0" w:type="dxa"/>
              <w:bottom w:w="40" w:type="dxa"/>
              <w:right w:w="20" w:type="dxa"/>
            </w:tcMar>
            <w:vAlign w:val="bottom"/>
          </w:tcPr>
          <w:p w14:paraId="74DE10B6" w14:textId="77777777" w:rsidR="00584EC1" w:rsidRDefault="00584EC1">
            <w:pPr>
              <w:jc w:val="right"/>
              <w:rPr>
                <w:rFonts w:ascii="宋体"/>
              </w:rPr>
            </w:pPr>
          </w:p>
        </w:tc>
      </w:tr>
      <w:tr w:rsidR="00584EC1" w14:paraId="74DE10C8" w14:textId="77777777">
        <w:tc>
          <w:tcPr>
            <w:tcW w:w="0" w:type="auto"/>
            <w:gridSpan w:val="3"/>
            <w:shd w:val="clear" w:color="auto" w:fill="CCEEFF"/>
            <w:tcMar>
              <w:top w:w="40" w:type="dxa"/>
              <w:left w:w="20" w:type="dxa"/>
              <w:bottom w:w="40" w:type="dxa"/>
              <w:right w:w="20" w:type="dxa"/>
            </w:tcMar>
            <w:vAlign w:val="bottom"/>
          </w:tcPr>
          <w:p w14:paraId="74DE10B8" w14:textId="77777777" w:rsidR="00584EC1" w:rsidRDefault="00871F8D">
            <w:pPr>
              <w:textAlignment w:val="bottom"/>
            </w:pPr>
            <w:r>
              <w:rPr>
                <w:rFonts w:ascii="Arial" w:eastAsia="宋体" w:hAnsi="Arial" w:cs="Arial"/>
                <w:color w:val="000000"/>
                <w:sz w:val="14"/>
                <w:szCs w:val="14"/>
              </w:rPr>
              <w:t>Accruals for Beacon</w:t>
            </w:r>
          </w:p>
        </w:tc>
        <w:tc>
          <w:tcPr>
            <w:tcW w:w="0" w:type="auto"/>
            <w:gridSpan w:val="2"/>
            <w:shd w:val="clear" w:color="auto" w:fill="CCEEFF"/>
            <w:tcMar>
              <w:top w:w="40" w:type="dxa"/>
              <w:left w:w="20" w:type="dxa"/>
              <w:bottom w:w="40" w:type="dxa"/>
              <w:right w:w="0" w:type="dxa"/>
            </w:tcMar>
            <w:vAlign w:val="bottom"/>
          </w:tcPr>
          <w:p w14:paraId="74DE10B9" w14:textId="77777777" w:rsidR="00584EC1" w:rsidRDefault="00871F8D">
            <w:pPr>
              <w:jc w:val="right"/>
              <w:textAlignment w:val="bottom"/>
            </w:pPr>
            <w:r>
              <w:rPr>
                <w:rFonts w:ascii="Arial" w:eastAsia="宋体" w:hAnsi="Arial" w:cs="Arial"/>
                <w:color w:val="000000"/>
                <w:sz w:val="14"/>
                <w:szCs w:val="14"/>
              </w:rPr>
              <w:t>(1)</w:t>
            </w:r>
          </w:p>
        </w:tc>
        <w:tc>
          <w:tcPr>
            <w:tcW w:w="0" w:type="auto"/>
            <w:shd w:val="clear" w:color="auto" w:fill="CCEEFF"/>
            <w:tcMar>
              <w:top w:w="40" w:type="dxa"/>
              <w:left w:w="0" w:type="dxa"/>
              <w:bottom w:w="40" w:type="dxa"/>
              <w:right w:w="20" w:type="dxa"/>
            </w:tcMar>
            <w:vAlign w:val="bottom"/>
          </w:tcPr>
          <w:p w14:paraId="74DE10B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0B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0BC"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E10B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0BE" w14:textId="77777777" w:rsidR="00584EC1" w:rsidRDefault="00584EC1">
            <w:pPr>
              <w:rPr>
                <w:rFonts w:ascii="宋体"/>
              </w:rPr>
            </w:pPr>
          </w:p>
        </w:tc>
        <w:tc>
          <w:tcPr>
            <w:tcW w:w="0" w:type="auto"/>
            <w:shd w:val="clear" w:color="auto" w:fill="auto"/>
            <w:vAlign w:val="bottom"/>
          </w:tcPr>
          <w:p w14:paraId="74DE10BF" w14:textId="77777777" w:rsidR="00584EC1" w:rsidRDefault="00584EC1">
            <w:pPr>
              <w:rPr>
                <w:rFonts w:ascii="宋体"/>
                <w:vanish/>
              </w:rPr>
            </w:pPr>
          </w:p>
        </w:tc>
        <w:tc>
          <w:tcPr>
            <w:tcW w:w="0" w:type="auto"/>
            <w:shd w:val="clear" w:color="auto" w:fill="auto"/>
            <w:vAlign w:val="bottom"/>
          </w:tcPr>
          <w:p w14:paraId="74DE10C0" w14:textId="77777777" w:rsidR="00584EC1" w:rsidRDefault="00584EC1">
            <w:pPr>
              <w:rPr>
                <w:rFonts w:ascii="宋体"/>
                <w:vanish/>
              </w:rPr>
            </w:pPr>
          </w:p>
        </w:tc>
        <w:tc>
          <w:tcPr>
            <w:tcW w:w="0" w:type="auto"/>
            <w:shd w:val="clear" w:color="auto" w:fill="auto"/>
            <w:vAlign w:val="bottom"/>
          </w:tcPr>
          <w:p w14:paraId="74DE10C1" w14:textId="77777777" w:rsidR="00584EC1" w:rsidRDefault="00584EC1">
            <w:pPr>
              <w:rPr>
                <w:rFonts w:ascii="宋体"/>
                <w:vanish/>
              </w:rPr>
            </w:pPr>
          </w:p>
        </w:tc>
        <w:tc>
          <w:tcPr>
            <w:tcW w:w="0" w:type="auto"/>
            <w:shd w:val="clear" w:color="auto" w:fill="auto"/>
            <w:vAlign w:val="bottom"/>
          </w:tcPr>
          <w:p w14:paraId="74DE10C2" w14:textId="77777777" w:rsidR="00584EC1" w:rsidRDefault="00584EC1">
            <w:pPr>
              <w:rPr>
                <w:rFonts w:ascii="宋体"/>
                <w:vanish/>
              </w:rPr>
            </w:pPr>
          </w:p>
        </w:tc>
        <w:tc>
          <w:tcPr>
            <w:tcW w:w="0" w:type="auto"/>
            <w:gridSpan w:val="2"/>
            <w:shd w:val="clear" w:color="auto" w:fill="CCEEFF"/>
            <w:tcMar>
              <w:top w:w="40" w:type="dxa"/>
              <w:left w:w="20" w:type="dxa"/>
              <w:bottom w:w="40" w:type="dxa"/>
              <w:right w:w="0" w:type="dxa"/>
            </w:tcMar>
            <w:vAlign w:val="bottom"/>
          </w:tcPr>
          <w:p w14:paraId="74DE10C3"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E10C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0C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0C6" w14:textId="77777777" w:rsidR="00584EC1" w:rsidRDefault="00871F8D">
            <w:pPr>
              <w:jc w:val="right"/>
              <w:textAlignment w:val="bottom"/>
            </w:pPr>
            <w:r>
              <w:rPr>
                <w:rFonts w:ascii="Arial" w:eastAsia="宋体" w:hAnsi="Arial" w:cs="Arial"/>
                <w:color w:val="000000"/>
                <w:sz w:val="14"/>
                <w:szCs w:val="14"/>
              </w:rPr>
              <w:t>(1)</w:t>
            </w:r>
          </w:p>
        </w:tc>
        <w:tc>
          <w:tcPr>
            <w:tcW w:w="0" w:type="auto"/>
            <w:shd w:val="clear" w:color="auto" w:fill="CCEEFF"/>
            <w:tcMar>
              <w:top w:w="40" w:type="dxa"/>
              <w:left w:w="0" w:type="dxa"/>
              <w:bottom w:w="40" w:type="dxa"/>
              <w:right w:w="20" w:type="dxa"/>
            </w:tcMar>
            <w:vAlign w:val="bottom"/>
          </w:tcPr>
          <w:p w14:paraId="74DE10C7" w14:textId="77777777" w:rsidR="00584EC1" w:rsidRDefault="00584EC1">
            <w:pPr>
              <w:jc w:val="right"/>
              <w:rPr>
                <w:rFonts w:ascii="宋体"/>
              </w:rPr>
            </w:pPr>
          </w:p>
        </w:tc>
      </w:tr>
      <w:tr w:rsidR="00584EC1" w14:paraId="74DE10D9" w14:textId="77777777">
        <w:tc>
          <w:tcPr>
            <w:tcW w:w="0" w:type="auto"/>
            <w:gridSpan w:val="3"/>
            <w:shd w:val="clear" w:color="auto" w:fill="FFFFFF"/>
            <w:tcMar>
              <w:top w:w="40" w:type="dxa"/>
              <w:left w:w="20" w:type="dxa"/>
              <w:bottom w:w="40" w:type="dxa"/>
              <w:right w:w="20" w:type="dxa"/>
            </w:tcMar>
            <w:vAlign w:val="bottom"/>
          </w:tcPr>
          <w:p w14:paraId="74DE10C9" w14:textId="77777777" w:rsidR="00584EC1" w:rsidRDefault="00871F8D">
            <w:pPr>
              <w:textAlignment w:val="bottom"/>
            </w:pPr>
            <w:r>
              <w:rPr>
                <w:rFonts w:ascii="Arial" w:eastAsia="宋体" w:hAnsi="Arial" w:cs="Arial"/>
                <w:color w:val="000000"/>
                <w:sz w:val="14"/>
                <w:szCs w:val="14"/>
              </w:rPr>
              <w:t>Accruals for Repositioning Charges</w:t>
            </w:r>
          </w:p>
        </w:tc>
        <w:tc>
          <w:tcPr>
            <w:tcW w:w="0" w:type="auto"/>
            <w:gridSpan w:val="2"/>
            <w:shd w:val="clear" w:color="auto" w:fill="FFFFFF"/>
            <w:tcMar>
              <w:top w:w="40" w:type="dxa"/>
              <w:left w:w="20" w:type="dxa"/>
              <w:bottom w:w="40" w:type="dxa"/>
              <w:right w:w="0" w:type="dxa"/>
            </w:tcMar>
            <w:vAlign w:val="bottom"/>
          </w:tcPr>
          <w:p w14:paraId="74DE10CA"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E10C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0C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0CD" w14:textId="77777777" w:rsidR="00584EC1" w:rsidRDefault="00871F8D">
            <w:pPr>
              <w:jc w:val="right"/>
              <w:textAlignment w:val="bottom"/>
            </w:pPr>
            <w:r>
              <w:rPr>
                <w:rFonts w:ascii="Arial" w:eastAsia="宋体" w:hAnsi="Arial" w:cs="Arial"/>
                <w:color w:val="000000"/>
                <w:sz w:val="14"/>
                <w:szCs w:val="14"/>
              </w:rPr>
              <w:t>2 </w:t>
            </w:r>
          </w:p>
        </w:tc>
        <w:tc>
          <w:tcPr>
            <w:tcW w:w="0" w:type="auto"/>
            <w:shd w:val="clear" w:color="auto" w:fill="FFFFFF"/>
            <w:tcMar>
              <w:top w:w="40" w:type="dxa"/>
              <w:left w:w="0" w:type="dxa"/>
              <w:bottom w:w="40" w:type="dxa"/>
              <w:right w:w="20" w:type="dxa"/>
            </w:tcMar>
            <w:vAlign w:val="bottom"/>
          </w:tcPr>
          <w:p w14:paraId="74DE10C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0CF" w14:textId="77777777" w:rsidR="00584EC1" w:rsidRDefault="00584EC1">
            <w:pPr>
              <w:rPr>
                <w:rFonts w:ascii="宋体"/>
              </w:rPr>
            </w:pPr>
          </w:p>
        </w:tc>
        <w:tc>
          <w:tcPr>
            <w:tcW w:w="0" w:type="auto"/>
            <w:shd w:val="clear" w:color="auto" w:fill="auto"/>
            <w:vAlign w:val="bottom"/>
          </w:tcPr>
          <w:p w14:paraId="74DE10D0" w14:textId="77777777" w:rsidR="00584EC1" w:rsidRDefault="00584EC1">
            <w:pPr>
              <w:rPr>
                <w:rFonts w:ascii="宋体"/>
                <w:vanish/>
              </w:rPr>
            </w:pPr>
          </w:p>
        </w:tc>
        <w:tc>
          <w:tcPr>
            <w:tcW w:w="0" w:type="auto"/>
            <w:shd w:val="clear" w:color="auto" w:fill="auto"/>
            <w:vAlign w:val="bottom"/>
          </w:tcPr>
          <w:p w14:paraId="74DE10D1" w14:textId="77777777" w:rsidR="00584EC1" w:rsidRDefault="00584EC1">
            <w:pPr>
              <w:rPr>
                <w:rFonts w:ascii="宋体"/>
                <w:vanish/>
              </w:rPr>
            </w:pPr>
          </w:p>
        </w:tc>
        <w:tc>
          <w:tcPr>
            <w:tcW w:w="0" w:type="auto"/>
            <w:shd w:val="clear" w:color="auto" w:fill="auto"/>
            <w:vAlign w:val="bottom"/>
          </w:tcPr>
          <w:p w14:paraId="74DE10D2" w14:textId="77777777" w:rsidR="00584EC1" w:rsidRDefault="00584EC1">
            <w:pPr>
              <w:rPr>
                <w:rFonts w:ascii="宋体"/>
                <w:vanish/>
              </w:rPr>
            </w:pPr>
          </w:p>
        </w:tc>
        <w:tc>
          <w:tcPr>
            <w:tcW w:w="0" w:type="auto"/>
            <w:shd w:val="clear" w:color="auto" w:fill="auto"/>
            <w:vAlign w:val="bottom"/>
          </w:tcPr>
          <w:p w14:paraId="74DE10D3"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E10D4"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E10D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0D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0D7" w14:textId="77777777" w:rsidR="00584EC1" w:rsidRDefault="00871F8D">
            <w:pPr>
              <w:jc w:val="right"/>
              <w:textAlignment w:val="bottom"/>
            </w:pPr>
            <w:r>
              <w:rPr>
                <w:rFonts w:ascii="Arial" w:eastAsia="宋体" w:hAnsi="Arial" w:cs="Arial"/>
                <w:color w:val="000000"/>
                <w:sz w:val="14"/>
                <w:szCs w:val="14"/>
              </w:rPr>
              <w:t>2 </w:t>
            </w:r>
          </w:p>
        </w:tc>
        <w:tc>
          <w:tcPr>
            <w:tcW w:w="0" w:type="auto"/>
            <w:shd w:val="clear" w:color="auto" w:fill="FFFFFF"/>
            <w:tcMar>
              <w:top w:w="40" w:type="dxa"/>
              <w:left w:w="0" w:type="dxa"/>
              <w:bottom w:w="40" w:type="dxa"/>
              <w:right w:w="20" w:type="dxa"/>
            </w:tcMar>
            <w:vAlign w:val="bottom"/>
          </w:tcPr>
          <w:p w14:paraId="74DE10D8" w14:textId="77777777" w:rsidR="00584EC1" w:rsidRDefault="00584EC1">
            <w:pPr>
              <w:jc w:val="right"/>
              <w:rPr>
                <w:rFonts w:ascii="宋体"/>
              </w:rPr>
            </w:pPr>
          </w:p>
        </w:tc>
      </w:tr>
      <w:tr w:rsidR="00584EC1" w14:paraId="74DE10EA" w14:textId="77777777">
        <w:tc>
          <w:tcPr>
            <w:tcW w:w="0" w:type="auto"/>
            <w:gridSpan w:val="3"/>
            <w:shd w:val="clear" w:color="auto" w:fill="CCEEFF"/>
            <w:tcMar>
              <w:top w:w="40" w:type="dxa"/>
              <w:left w:w="20" w:type="dxa"/>
              <w:bottom w:w="40" w:type="dxa"/>
              <w:right w:w="20" w:type="dxa"/>
            </w:tcMar>
            <w:vAlign w:val="bottom"/>
          </w:tcPr>
          <w:p w14:paraId="74DE10DA" w14:textId="77777777" w:rsidR="00584EC1" w:rsidRDefault="00871F8D">
            <w:pPr>
              <w:textAlignment w:val="bottom"/>
            </w:pPr>
            <w:r>
              <w:rPr>
                <w:rFonts w:ascii="Arial" w:eastAsia="宋体" w:hAnsi="Arial" w:cs="Arial"/>
                <w:color w:val="000000"/>
                <w:sz w:val="14"/>
                <w:szCs w:val="14"/>
              </w:rPr>
              <w:t>Payments and Other Adjustments</w:t>
            </w:r>
          </w:p>
        </w:tc>
        <w:tc>
          <w:tcPr>
            <w:tcW w:w="0" w:type="auto"/>
            <w:gridSpan w:val="2"/>
            <w:shd w:val="clear" w:color="auto" w:fill="CCEEFF"/>
            <w:tcMar>
              <w:top w:w="40" w:type="dxa"/>
              <w:left w:w="20" w:type="dxa"/>
              <w:bottom w:w="40" w:type="dxa"/>
              <w:right w:w="0" w:type="dxa"/>
            </w:tcMar>
            <w:vAlign w:val="bottom"/>
          </w:tcPr>
          <w:p w14:paraId="74DE10DB" w14:textId="77777777" w:rsidR="00584EC1" w:rsidRDefault="00871F8D">
            <w:pPr>
              <w:jc w:val="right"/>
              <w:textAlignment w:val="bottom"/>
            </w:pPr>
            <w:r>
              <w:rPr>
                <w:rFonts w:ascii="Arial" w:eastAsia="宋体" w:hAnsi="Arial" w:cs="Arial"/>
                <w:color w:val="000000"/>
                <w:sz w:val="14"/>
                <w:szCs w:val="14"/>
              </w:rPr>
              <w:t>(9)</w:t>
            </w:r>
          </w:p>
        </w:tc>
        <w:tc>
          <w:tcPr>
            <w:tcW w:w="0" w:type="auto"/>
            <w:shd w:val="clear" w:color="auto" w:fill="CCEEFF"/>
            <w:tcMar>
              <w:top w:w="40" w:type="dxa"/>
              <w:left w:w="0" w:type="dxa"/>
              <w:bottom w:w="40" w:type="dxa"/>
              <w:right w:w="20" w:type="dxa"/>
            </w:tcMar>
            <w:vAlign w:val="bottom"/>
          </w:tcPr>
          <w:p w14:paraId="74DE10D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0D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0DE" w14:textId="77777777" w:rsidR="00584EC1" w:rsidRDefault="00871F8D">
            <w:pPr>
              <w:jc w:val="right"/>
              <w:textAlignment w:val="bottom"/>
            </w:pPr>
            <w:r>
              <w:rPr>
                <w:rFonts w:ascii="Arial" w:eastAsia="宋体" w:hAnsi="Arial" w:cs="Arial"/>
                <w:color w:val="000000"/>
                <w:sz w:val="14"/>
                <w:szCs w:val="14"/>
              </w:rPr>
              <w:t>(2)</w:t>
            </w:r>
          </w:p>
        </w:tc>
        <w:tc>
          <w:tcPr>
            <w:tcW w:w="0" w:type="auto"/>
            <w:shd w:val="clear" w:color="auto" w:fill="CCEEFF"/>
            <w:tcMar>
              <w:top w:w="40" w:type="dxa"/>
              <w:left w:w="0" w:type="dxa"/>
              <w:bottom w:w="40" w:type="dxa"/>
              <w:right w:w="20" w:type="dxa"/>
            </w:tcMar>
            <w:vAlign w:val="bottom"/>
          </w:tcPr>
          <w:p w14:paraId="74DE10D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0E0" w14:textId="77777777" w:rsidR="00584EC1" w:rsidRDefault="00584EC1">
            <w:pPr>
              <w:rPr>
                <w:rFonts w:ascii="宋体"/>
              </w:rPr>
            </w:pPr>
          </w:p>
        </w:tc>
        <w:tc>
          <w:tcPr>
            <w:tcW w:w="0" w:type="auto"/>
            <w:shd w:val="clear" w:color="auto" w:fill="auto"/>
            <w:vAlign w:val="bottom"/>
          </w:tcPr>
          <w:p w14:paraId="74DE10E1" w14:textId="77777777" w:rsidR="00584EC1" w:rsidRDefault="00584EC1">
            <w:pPr>
              <w:rPr>
                <w:rFonts w:ascii="宋体"/>
                <w:vanish/>
              </w:rPr>
            </w:pPr>
          </w:p>
        </w:tc>
        <w:tc>
          <w:tcPr>
            <w:tcW w:w="0" w:type="auto"/>
            <w:shd w:val="clear" w:color="auto" w:fill="auto"/>
            <w:vAlign w:val="bottom"/>
          </w:tcPr>
          <w:p w14:paraId="74DE10E2" w14:textId="77777777" w:rsidR="00584EC1" w:rsidRDefault="00584EC1">
            <w:pPr>
              <w:rPr>
                <w:rFonts w:ascii="宋体"/>
                <w:vanish/>
              </w:rPr>
            </w:pPr>
          </w:p>
        </w:tc>
        <w:tc>
          <w:tcPr>
            <w:tcW w:w="0" w:type="auto"/>
            <w:shd w:val="clear" w:color="auto" w:fill="auto"/>
            <w:vAlign w:val="bottom"/>
          </w:tcPr>
          <w:p w14:paraId="74DE10E3" w14:textId="77777777" w:rsidR="00584EC1" w:rsidRDefault="00584EC1">
            <w:pPr>
              <w:rPr>
                <w:rFonts w:ascii="宋体"/>
                <w:vanish/>
              </w:rPr>
            </w:pPr>
          </w:p>
        </w:tc>
        <w:tc>
          <w:tcPr>
            <w:tcW w:w="0" w:type="auto"/>
            <w:shd w:val="clear" w:color="auto" w:fill="auto"/>
            <w:vAlign w:val="bottom"/>
          </w:tcPr>
          <w:p w14:paraId="74DE10E4" w14:textId="77777777" w:rsidR="00584EC1" w:rsidRDefault="00584EC1">
            <w:pPr>
              <w:rPr>
                <w:rFonts w:ascii="宋体"/>
                <w:vanish/>
              </w:rPr>
            </w:pPr>
          </w:p>
        </w:tc>
        <w:tc>
          <w:tcPr>
            <w:tcW w:w="0" w:type="auto"/>
            <w:gridSpan w:val="2"/>
            <w:shd w:val="clear" w:color="auto" w:fill="CCEEFF"/>
            <w:tcMar>
              <w:top w:w="40" w:type="dxa"/>
              <w:left w:w="20" w:type="dxa"/>
              <w:bottom w:w="40" w:type="dxa"/>
              <w:right w:w="0" w:type="dxa"/>
            </w:tcMar>
            <w:vAlign w:val="bottom"/>
          </w:tcPr>
          <w:p w14:paraId="74DE10E5"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E10E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0E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0E8" w14:textId="77777777" w:rsidR="00584EC1" w:rsidRDefault="00871F8D">
            <w:pPr>
              <w:jc w:val="right"/>
              <w:textAlignment w:val="bottom"/>
            </w:pPr>
            <w:r>
              <w:rPr>
                <w:rFonts w:ascii="Arial" w:eastAsia="宋体" w:hAnsi="Arial" w:cs="Arial"/>
                <w:color w:val="000000"/>
                <w:sz w:val="14"/>
                <w:szCs w:val="14"/>
              </w:rPr>
              <w:t>(11)</w:t>
            </w:r>
          </w:p>
        </w:tc>
        <w:tc>
          <w:tcPr>
            <w:tcW w:w="0" w:type="auto"/>
            <w:shd w:val="clear" w:color="auto" w:fill="CCEEFF"/>
            <w:tcMar>
              <w:top w:w="40" w:type="dxa"/>
              <w:left w:w="0" w:type="dxa"/>
              <w:bottom w:w="40" w:type="dxa"/>
              <w:right w:w="20" w:type="dxa"/>
            </w:tcMar>
            <w:vAlign w:val="bottom"/>
          </w:tcPr>
          <w:p w14:paraId="74DE10E9" w14:textId="77777777" w:rsidR="00584EC1" w:rsidRDefault="00584EC1">
            <w:pPr>
              <w:jc w:val="right"/>
              <w:rPr>
                <w:rFonts w:ascii="宋体"/>
              </w:rPr>
            </w:pPr>
          </w:p>
        </w:tc>
      </w:tr>
      <w:tr w:rsidR="00584EC1" w14:paraId="74DE10FB" w14:textId="77777777">
        <w:tc>
          <w:tcPr>
            <w:tcW w:w="0" w:type="auto"/>
            <w:gridSpan w:val="3"/>
            <w:shd w:val="clear" w:color="auto" w:fill="FFFFFF"/>
            <w:tcMar>
              <w:top w:w="40" w:type="dxa"/>
              <w:left w:w="20" w:type="dxa"/>
              <w:bottom w:w="40" w:type="dxa"/>
              <w:right w:w="20" w:type="dxa"/>
            </w:tcMar>
            <w:vAlign w:val="bottom"/>
          </w:tcPr>
          <w:p w14:paraId="74DE10EB" w14:textId="77777777" w:rsidR="00584EC1" w:rsidRDefault="00871F8D">
            <w:pPr>
              <w:textAlignment w:val="bottom"/>
            </w:pPr>
            <w:r>
              <w:rPr>
                <w:rFonts w:ascii="Arial" w:eastAsia="宋体" w:hAnsi="Arial" w:cs="Arial"/>
                <w:b/>
                <w:bCs/>
                <w:color w:val="000000"/>
                <w:sz w:val="14"/>
                <w:szCs w:val="14"/>
              </w:rPr>
              <w:t>Accrual Balance at March 31, 2021</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10EC" w14:textId="77777777" w:rsidR="00584EC1" w:rsidRDefault="00871F8D">
            <w:pPr>
              <w:jc w:val="right"/>
              <w:textAlignment w:val="bottom"/>
            </w:pPr>
            <w:r>
              <w:rPr>
                <w:rFonts w:ascii="Arial" w:eastAsia="宋体" w:hAnsi="Arial" w:cs="Arial"/>
                <w:color w:val="000000"/>
                <w:sz w:val="14"/>
                <w:szCs w:val="14"/>
              </w:rPr>
              <w:t>180 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10E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0EE"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10EF" w14:textId="77777777" w:rsidR="00584EC1" w:rsidRDefault="00871F8D">
            <w:pPr>
              <w:jc w:val="right"/>
              <w:textAlignment w:val="bottom"/>
            </w:pPr>
            <w:r>
              <w:rPr>
                <w:rFonts w:ascii="Arial" w:eastAsia="宋体" w:hAnsi="Arial" w:cs="Arial"/>
                <w:color w:val="000000"/>
                <w:sz w:val="14"/>
                <w:szCs w:val="14"/>
              </w:rPr>
              <w:t>6 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10F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0F1" w14:textId="77777777" w:rsidR="00584EC1" w:rsidRDefault="00584EC1">
            <w:pPr>
              <w:rPr>
                <w:rFonts w:ascii="宋体"/>
              </w:rPr>
            </w:pPr>
          </w:p>
        </w:tc>
        <w:tc>
          <w:tcPr>
            <w:tcW w:w="0" w:type="auto"/>
            <w:shd w:val="clear" w:color="auto" w:fill="auto"/>
            <w:vAlign w:val="bottom"/>
          </w:tcPr>
          <w:p w14:paraId="74DE10F2" w14:textId="77777777" w:rsidR="00584EC1" w:rsidRDefault="00584EC1">
            <w:pPr>
              <w:rPr>
                <w:rFonts w:ascii="宋体"/>
                <w:vanish/>
              </w:rPr>
            </w:pPr>
          </w:p>
        </w:tc>
        <w:tc>
          <w:tcPr>
            <w:tcW w:w="0" w:type="auto"/>
            <w:shd w:val="clear" w:color="auto" w:fill="auto"/>
            <w:vAlign w:val="bottom"/>
          </w:tcPr>
          <w:p w14:paraId="74DE10F3" w14:textId="77777777" w:rsidR="00584EC1" w:rsidRDefault="00584EC1">
            <w:pPr>
              <w:rPr>
                <w:rFonts w:ascii="宋体"/>
                <w:vanish/>
              </w:rPr>
            </w:pPr>
          </w:p>
        </w:tc>
        <w:tc>
          <w:tcPr>
            <w:tcW w:w="0" w:type="auto"/>
            <w:shd w:val="clear" w:color="auto" w:fill="auto"/>
            <w:vAlign w:val="bottom"/>
          </w:tcPr>
          <w:p w14:paraId="74DE10F4" w14:textId="77777777" w:rsidR="00584EC1" w:rsidRDefault="00584EC1">
            <w:pPr>
              <w:rPr>
                <w:rFonts w:ascii="宋体"/>
                <w:vanish/>
              </w:rPr>
            </w:pPr>
          </w:p>
        </w:tc>
        <w:tc>
          <w:tcPr>
            <w:tcW w:w="0" w:type="auto"/>
            <w:shd w:val="clear" w:color="auto" w:fill="auto"/>
            <w:vAlign w:val="bottom"/>
          </w:tcPr>
          <w:p w14:paraId="74DE10F5" w14:textId="77777777" w:rsidR="00584EC1" w:rsidRDefault="00584EC1">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10F6" w14:textId="77777777" w:rsidR="00584EC1" w:rsidRDefault="00871F8D">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10F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0F8"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10F9" w14:textId="77777777" w:rsidR="00584EC1" w:rsidRDefault="00871F8D">
            <w:pPr>
              <w:jc w:val="right"/>
              <w:textAlignment w:val="bottom"/>
            </w:pPr>
            <w:r>
              <w:rPr>
                <w:rFonts w:ascii="Arial" w:eastAsia="宋体" w:hAnsi="Arial" w:cs="Arial"/>
                <w:color w:val="000000"/>
                <w:sz w:val="14"/>
                <w:szCs w:val="14"/>
              </w:rPr>
              <w:t>186 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10FA" w14:textId="77777777" w:rsidR="00584EC1" w:rsidRDefault="00584EC1">
            <w:pPr>
              <w:jc w:val="right"/>
              <w:rPr>
                <w:rFonts w:ascii="宋体"/>
              </w:rPr>
            </w:pPr>
          </w:p>
        </w:tc>
      </w:tr>
      <w:tr w:rsidR="00584EC1" w14:paraId="74DE1108" w14:textId="77777777">
        <w:trPr>
          <w:hidden/>
        </w:trPr>
        <w:tc>
          <w:tcPr>
            <w:tcW w:w="0" w:type="auto"/>
            <w:gridSpan w:val="3"/>
            <w:shd w:val="clear" w:color="auto" w:fill="auto"/>
            <w:vAlign w:val="bottom"/>
          </w:tcPr>
          <w:p w14:paraId="74DE10FC" w14:textId="77777777" w:rsidR="00584EC1" w:rsidRDefault="00584EC1">
            <w:pPr>
              <w:rPr>
                <w:rFonts w:ascii="宋体"/>
                <w:vanish/>
              </w:rPr>
            </w:pPr>
          </w:p>
        </w:tc>
        <w:tc>
          <w:tcPr>
            <w:tcW w:w="0" w:type="auto"/>
            <w:gridSpan w:val="3"/>
            <w:shd w:val="clear" w:color="auto" w:fill="auto"/>
            <w:vAlign w:val="bottom"/>
          </w:tcPr>
          <w:p w14:paraId="74DE10FD" w14:textId="77777777" w:rsidR="00584EC1" w:rsidRDefault="00584EC1">
            <w:pPr>
              <w:rPr>
                <w:rFonts w:ascii="宋体"/>
                <w:vanish/>
              </w:rPr>
            </w:pPr>
          </w:p>
        </w:tc>
        <w:tc>
          <w:tcPr>
            <w:tcW w:w="0" w:type="auto"/>
            <w:gridSpan w:val="3"/>
            <w:shd w:val="clear" w:color="auto" w:fill="auto"/>
            <w:vAlign w:val="bottom"/>
          </w:tcPr>
          <w:p w14:paraId="74DE10FE" w14:textId="77777777" w:rsidR="00584EC1" w:rsidRDefault="00584EC1">
            <w:pPr>
              <w:rPr>
                <w:rFonts w:ascii="宋体"/>
                <w:vanish/>
              </w:rPr>
            </w:pPr>
          </w:p>
        </w:tc>
        <w:tc>
          <w:tcPr>
            <w:tcW w:w="0" w:type="auto"/>
            <w:gridSpan w:val="3"/>
            <w:shd w:val="clear" w:color="auto" w:fill="auto"/>
            <w:vAlign w:val="bottom"/>
          </w:tcPr>
          <w:p w14:paraId="74DE10FF" w14:textId="77777777" w:rsidR="00584EC1" w:rsidRDefault="00584EC1">
            <w:pPr>
              <w:rPr>
                <w:rFonts w:ascii="宋体"/>
                <w:vanish/>
              </w:rPr>
            </w:pPr>
          </w:p>
        </w:tc>
        <w:tc>
          <w:tcPr>
            <w:tcW w:w="0" w:type="auto"/>
            <w:gridSpan w:val="3"/>
            <w:shd w:val="clear" w:color="auto" w:fill="auto"/>
            <w:vAlign w:val="bottom"/>
          </w:tcPr>
          <w:p w14:paraId="74DE1100" w14:textId="77777777" w:rsidR="00584EC1" w:rsidRDefault="00584EC1">
            <w:pPr>
              <w:rPr>
                <w:rFonts w:ascii="宋体"/>
                <w:vanish/>
              </w:rPr>
            </w:pPr>
          </w:p>
        </w:tc>
        <w:tc>
          <w:tcPr>
            <w:tcW w:w="0" w:type="auto"/>
            <w:shd w:val="clear" w:color="auto" w:fill="auto"/>
            <w:vAlign w:val="bottom"/>
          </w:tcPr>
          <w:p w14:paraId="74DE1101" w14:textId="77777777" w:rsidR="00584EC1" w:rsidRDefault="00584EC1">
            <w:pPr>
              <w:rPr>
                <w:rFonts w:ascii="宋体"/>
                <w:vanish/>
              </w:rPr>
            </w:pPr>
          </w:p>
        </w:tc>
        <w:tc>
          <w:tcPr>
            <w:tcW w:w="0" w:type="auto"/>
            <w:shd w:val="clear" w:color="auto" w:fill="auto"/>
            <w:vAlign w:val="bottom"/>
          </w:tcPr>
          <w:p w14:paraId="74DE1102" w14:textId="77777777" w:rsidR="00584EC1" w:rsidRDefault="00584EC1">
            <w:pPr>
              <w:rPr>
                <w:rFonts w:ascii="宋体"/>
                <w:vanish/>
              </w:rPr>
            </w:pPr>
          </w:p>
        </w:tc>
        <w:tc>
          <w:tcPr>
            <w:tcW w:w="0" w:type="auto"/>
            <w:shd w:val="clear" w:color="auto" w:fill="auto"/>
            <w:vAlign w:val="bottom"/>
          </w:tcPr>
          <w:p w14:paraId="74DE1103" w14:textId="77777777" w:rsidR="00584EC1" w:rsidRDefault="00584EC1">
            <w:pPr>
              <w:rPr>
                <w:rFonts w:ascii="宋体"/>
                <w:vanish/>
              </w:rPr>
            </w:pPr>
          </w:p>
        </w:tc>
        <w:tc>
          <w:tcPr>
            <w:tcW w:w="0" w:type="auto"/>
            <w:shd w:val="clear" w:color="auto" w:fill="auto"/>
            <w:vAlign w:val="bottom"/>
          </w:tcPr>
          <w:p w14:paraId="74DE1104" w14:textId="77777777" w:rsidR="00584EC1" w:rsidRDefault="00584EC1">
            <w:pPr>
              <w:rPr>
                <w:rFonts w:ascii="宋体"/>
                <w:vanish/>
              </w:rPr>
            </w:pPr>
          </w:p>
        </w:tc>
        <w:tc>
          <w:tcPr>
            <w:tcW w:w="0" w:type="auto"/>
            <w:gridSpan w:val="3"/>
            <w:shd w:val="clear" w:color="auto" w:fill="auto"/>
            <w:vAlign w:val="bottom"/>
          </w:tcPr>
          <w:p w14:paraId="74DE1105" w14:textId="77777777" w:rsidR="00584EC1" w:rsidRDefault="00584EC1">
            <w:pPr>
              <w:rPr>
                <w:rFonts w:ascii="宋体"/>
                <w:vanish/>
              </w:rPr>
            </w:pPr>
          </w:p>
        </w:tc>
        <w:tc>
          <w:tcPr>
            <w:tcW w:w="0" w:type="auto"/>
            <w:gridSpan w:val="3"/>
            <w:shd w:val="clear" w:color="auto" w:fill="auto"/>
            <w:vAlign w:val="bottom"/>
          </w:tcPr>
          <w:p w14:paraId="74DE1106" w14:textId="77777777" w:rsidR="00584EC1" w:rsidRDefault="00584EC1">
            <w:pPr>
              <w:rPr>
                <w:rFonts w:ascii="宋体"/>
                <w:vanish/>
              </w:rPr>
            </w:pPr>
          </w:p>
        </w:tc>
        <w:tc>
          <w:tcPr>
            <w:tcW w:w="0" w:type="auto"/>
            <w:gridSpan w:val="3"/>
            <w:shd w:val="clear" w:color="auto" w:fill="auto"/>
            <w:vAlign w:val="bottom"/>
          </w:tcPr>
          <w:p w14:paraId="74DE1107" w14:textId="77777777" w:rsidR="00584EC1" w:rsidRDefault="00584EC1">
            <w:pPr>
              <w:rPr>
                <w:rFonts w:ascii="宋体"/>
                <w:vanish/>
              </w:rPr>
            </w:pPr>
          </w:p>
        </w:tc>
      </w:tr>
      <w:tr w:rsidR="00584EC1" w14:paraId="74DE1115" w14:textId="77777777">
        <w:trPr>
          <w:hidden/>
        </w:trPr>
        <w:tc>
          <w:tcPr>
            <w:tcW w:w="0" w:type="auto"/>
            <w:gridSpan w:val="3"/>
            <w:shd w:val="clear" w:color="auto" w:fill="auto"/>
            <w:vAlign w:val="bottom"/>
          </w:tcPr>
          <w:p w14:paraId="74DE1109" w14:textId="77777777" w:rsidR="00584EC1" w:rsidRDefault="00584EC1">
            <w:pPr>
              <w:rPr>
                <w:rFonts w:ascii="宋体"/>
                <w:vanish/>
              </w:rPr>
            </w:pPr>
          </w:p>
        </w:tc>
        <w:tc>
          <w:tcPr>
            <w:tcW w:w="0" w:type="auto"/>
            <w:gridSpan w:val="3"/>
            <w:shd w:val="clear" w:color="auto" w:fill="auto"/>
            <w:vAlign w:val="bottom"/>
          </w:tcPr>
          <w:p w14:paraId="74DE110A" w14:textId="77777777" w:rsidR="00584EC1" w:rsidRDefault="00584EC1">
            <w:pPr>
              <w:rPr>
                <w:rFonts w:ascii="宋体"/>
                <w:vanish/>
              </w:rPr>
            </w:pPr>
          </w:p>
        </w:tc>
        <w:tc>
          <w:tcPr>
            <w:tcW w:w="0" w:type="auto"/>
            <w:gridSpan w:val="3"/>
            <w:shd w:val="clear" w:color="auto" w:fill="auto"/>
            <w:vAlign w:val="bottom"/>
          </w:tcPr>
          <w:p w14:paraId="74DE110B" w14:textId="77777777" w:rsidR="00584EC1" w:rsidRDefault="00584EC1">
            <w:pPr>
              <w:rPr>
                <w:rFonts w:ascii="宋体"/>
                <w:vanish/>
              </w:rPr>
            </w:pPr>
          </w:p>
        </w:tc>
        <w:tc>
          <w:tcPr>
            <w:tcW w:w="0" w:type="auto"/>
            <w:gridSpan w:val="3"/>
            <w:shd w:val="clear" w:color="auto" w:fill="auto"/>
            <w:vAlign w:val="bottom"/>
          </w:tcPr>
          <w:p w14:paraId="74DE110C" w14:textId="77777777" w:rsidR="00584EC1" w:rsidRDefault="00584EC1">
            <w:pPr>
              <w:rPr>
                <w:rFonts w:ascii="宋体"/>
                <w:vanish/>
              </w:rPr>
            </w:pPr>
          </w:p>
        </w:tc>
        <w:tc>
          <w:tcPr>
            <w:tcW w:w="0" w:type="auto"/>
            <w:gridSpan w:val="3"/>
            <w:shd w:val="clear" w:color="auto" w:fill="auto"/>
            <w:vAlign w:val="bottom"/>
          </w:tcPr>
          <w:p w14:paraId="74DE110D" w14:textId="77777777" w:rsidR="00584EC1" w:rsidRDefault="00584EC1">
            <w:pPr>
              <w:rPr>
                <w:rFonts w:ascii="宋体"/>
                <w:vanish/>
              </w:rPr>
            </w:pPr>
          </w:p>
        </w:tc>
        <w:tc>
          <w:tcPr>
            <w:tcW w:w="0" w:type="auto"/>
            <w:shd w:val="clear" w:color="auto" w:fill="auto"/>
            <w:vAlign w:val="bottom"/>
          </w:tcPr>
          <w:p w14:paraId="74DE110E" w14:textId="77777777" w:rsidR="00584EC1" w:rsidRDefault="00584EC1">
            <w:pPr>
              <w:rPr>
                <w:rFonts w:ascii="宋体"/>
                <w:vanish/>
              </w:rPr>
            </w:pPr>
          </w:p>
        </w:tc>
        <w:tc>
          <w:tcPr>
            <w:tcW w:w="0" w:type="auto"/>
            <w:shd w:val="clear" w:color="auto" w:fill="auto"/>
            <w:vAlign w:val="bottom"/>
          </w:tcPr>
          <w:p w14:paraId="74DE110F" w14:textId="77777777" w:rsidR="00584EC1" w:rsidRDefault="00584EC1">
            <w:pPr>
              <w:rPr>
                <w:rFonts w:ascii="宋体"/>
                <w:vanish/>
              </w:rPr>
            </w:pPr>
          </w:p>
        </w:tc>
        <w:tc>
          <w:tcPr>
            <w:tcW w:w="0" w:type="auto"/>
            <w:shd w:val="clear" w:color="auto" w:fill="auto"/>
            <w:vAlign w:val="bottom"/>
          </w:tcPr>
          <w:p w14:paraId="74DE1110" w14:textId="77777777" w:rsidR="00584EC1" w:rsidRDefault="00584EC1">
            <w:pPr>
              <w:rPr>
                <w:rFonts w:ascii="宋体"/>
                <w:vanish/>
              </w:rPr>
            </w:pPr>
          </w:p>
        </w:tc>
        <w:tc>
          <w:tcPr>
            <w:tcW w:w="0" w:type="auto"/>
            <w:shd w:val="clear" w:color="auto" w:fill="auto"/>
            <w:vAlign w:val="bottom"/>
          </w:tcPr>
          <w:p w14:paraId="74DE1111" w14:textId="77777777" w:rsidR="00584EC1" w:rsidRDefault="00584EC1">
            <w:pPr>
              <w:rPr>
                <w:rFonts w:ascii="宋体"/>
                <w:vanish/>
              </w:rPr>
            </w:pPr>
          </w:p>
        </w:tc>
        <w:tc>
          <w:tcPr>
            <w:tcW w:w="0" w:type="auto"/>
            <w:gridSpan w:val="3"/>
            <w:shd w:val="clear" w:color="auto" w:fill="auto"/>
            <w:vAlign w:val="bottom"/>
          </w:tcPr>
          <w:p w14:paraId="74DE1112" w14:textId="77777777" w:rsidR="00584EC1" w:rsidRDefault="00584EC1">
            <w:pPr>
              <w:rPr>
                <w:rFonts w:ascii="宋体"/>
                <w:vanish/>
              </w:rPr>
            </w:pPr>
          </w:p>
        </w:tc>
        <w:tc>
          <w:tcPr>
            <w:tcW w:w="0" w:type="auto"/>
            <w:gridSpan w:val="3"/>
            <w:shd w:val="clear" w:color="auto" w:fill="auto"/>
            <w:vAlign w:val="bottom"/>
          </w:tcPr>
          <w:p w14:paraId="74DE1113" w14:textId="77777777" w:rsidR="00584EC1" w:rsidRDefault="00584EC1">
            <w:pPr>
              <w:rPr>
                <w:rFonts w:ascii="宋体"/>
                <w:vanish/>
              </w:rPr>
            </w:pPr>
          </w:p>
        </w:tc>
        <w:tc>
          <w:tcPr>
            <w:tcW w:w="0" w:type="auto"/>
            <w:gridSpan w:val="3"/>
            <w:shd w:val="clear" w:color="auto" w:fill="auto"/>
            <w:vAlign w:val="bottom"/>
          </w:tcPr>
          <w:p w14:paraId="74DE1114" w14:textId="77777777" w:rsidR="00584EC1" w:rsidRDefault="00584EC1">
            <w:pPr>
              <w:rPr>
                <w:rFonts w:ascii="宋体"/>
                <w:vanish/>
              </w:rPr>
            </w:pPr>
          </w:p>
        </w:tc>
      </w:tr>
      <w:tr w:rsidR="00584EC1" w14:paraId="74DE1126" w14:textId="77777777">
        <w:tc>
          <w:tcPr>
            <w:tcW w:w="0" w:type="auto"/>
            <w:gridSpan w:val="3"/>
            <w:shd w:val="clear" w:color="auto" w:fill="CCEEFF"/>
            <w:tcMar>
              <w:top w:w="40" w:type="dxa"/>
              <w:left w:w="20" w:type="dxa"/>
              <w:bottom w:w="40" w:type="dxa"/>
              <w:right w:w="20" w:type="dxa"/>
            </w:tcMar>
            <w:vAlign w:val="bottom"/>
          </w:tcPr>
          <w:p w14:paraId="74DE1116" w14:textId="77777777" w:rsidR="00584EC1" w:rsidRDefault="00871F8D">
            <w:pPr>
              <w:textAlignment w:val="bottom"/>
            </w:pPr>
            <w:r>
              <w:rPr>
                <w:rFonts w:ascii="Arial" w:eastAsia="宋体" w:hAnsi="Arial" w:cs="Arial"/>
                <w:color w:val="000000"/>
                <w:sz w:val="14"/>
                <w:szCs w:val="14"/>
              </w:rPr>
              <w:t>Payments and Other Adjustments</w:t>
            </w:r>
          </w:p>
        </w:tc>
        <w:tc>
          <w:tcPr>
            <w:tcW w:w="0" w:type="auto"/>
            <w:gridSpan w:val="2"/>
            <w:shd w:val="clear" w:color="auto" w:fill="CCEEFF"/>
            <w:tcMar>
              <w:top w:w="40" w:type="dxa"/>
              <w:left w:w="20" w:type="dxa"/>
              <w:bottom w:w="40" w:type="dxa"/>
              <w:right w:w="0" w:type="dxa"/>
            </w:tcMar>
            <w:vAlign w:val="bottom"/>
          </w:tcPr>
          <w:p w14:paraId="74DE1117" w14:textId="77777777" w:rsidR="00584EC1" w:rsidRDefault="00871F8D">
            <w:pPr>
              <w:jc w:val="right"/>
              <w:textAlignment w:val="bottom"/>
            </w:pPr>
            <w:r>
              <w:rPr>
                <w:rFonts w:ascii="Arial" w:eastAsia="宋体" w:hAnsi="Arial" w:cs="Arial"/>
                <w:color w:val="000000"/>
                <w:sz w:val="14"/>
                <w:szCs w:val="14"/>
              </w:rPr>
              <w:t>(34)</w:t>
            </w:r>
          </w:p>
        </w:tc>
        <w:tc>
          <w:tcPr>
            <w:tcW w:w="0" w:type="auto"/>
            <w:shd w:val="clear" w:color="auto" w:fill="CCEEFF"/>
            <w:tcMar>
              <w:top w:w="40" w:type="dxa"/>
              <w:left w:w="0" w:type="dxa"/>
              <w:bottom w:w="40" w:type="dxa"/>
              <w:right w:w="20" w:type="dxa"/>
            </w:tcMar>
            <w:vAlign w:val="bottom"/>
          </w:tcPr>
          <w:p w14:paraId="74DE111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11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11A"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E111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11C" w14:textId="77777777" w:rsidR="00584EC1" w:rsidRDefault="00584EC1">
            <w:pPr>
              <w:rPr>
                <w:rFonts w:ascii="宋体"/>
              </w:rPr>
            </w:pPr>
          </w:p>
        </w:tc>
        <w:tc>
          <w:tcPr>
            <w:tcW w:w="0" w:type="auto"/>
            <w:shd w:val="clear" w:color="auto" w:fill="auto"/>
            <w:vAlign w:val="bottom"/>
          </w:tcPr>
          <w:p w14:paraId="74DE111D" w14:textId="77777777" w:rsidR="00584EC1" w:rsidRDefault="00584EC1">
            <w:pPr>
              <w:rPr>
                <w:rFonts w:ascii="宋体"/>
                <w:vanish/>
              </w:rPr>
            </w:pPr>
          </w:p>
        </w:tc>
        <w:tc>
          <w:tcPr>
            <w:tcW w:w="0" w:type="auto"/>
            <w:shd w:val="clear" w:color="auto" w:fill="auto"/>
            <w:vAlign w:val="bottom"/>
          </w:tcPr>
          <w:p w14:paraId="74DE111E" w14:textId="77777777" w:rsidR="00584EC1" w:rsidRDefault="00584EC1">
            <w:pPr>
              <w:rPr>
                <w:rFonts w:ascii="宋体"/>
                <w:vanish/>
              </w:rPr>
            </w:pPr>
          </w:p>
        </w:tc>
        <w:tc>
          <w:tcPr>
            <w:tcW w:w="0" w:type="auto"/>
            <w:shd w:val="clear" w:color="auto" w:fill="auto"/>
            <w:vAlign w:val="bottom"/>
          </w:tcPr>
          <w:p w14:paraId="74DE111F" w14:textId="77777777" w:rsidR="00584EC1" w:rsidRDefault="00584EC1">
            <w:pPr>
              <w:rPr>
                <w:rFonts w:ascii="宋体"/>
                <w:vanish/>
              </w:rPr>
            </w:pPr>
          </w:p>
        </w:tc>
        <w:tc>
          <w:tcPr>
            <w:tcW w:w="0" w:type="auto"/>
            <w:shd w:val="clear" w:color="auto" w:fill="auto"/>
            <w:vAlign w:val="bottom"/>
          </w:tcPr>
          <w:p w14:paraId="74DE1120" w14:textId="77777777" w:rsidR="00584EC1" w:rsidRDefault="00584EC1">
            <w:pPr>
              <w:rPr>
                <w:rFonts w:ascii="宋体"/>
                <w:vanish/>
              </w:rPr>
            </w:pPr>
          </w:p>
        </w:tc>
        <w:tc>
          <w:tcPr>
            <w:tcW w:w="0" w:type="auto"/>
            <w:gridSpan w:val="2"/>
            <w:shd w:val="clear" w:color="auto" w:fill="CCEEFF"/>
            <w:tcMar>
              <w:top w:w="40" w:type="dxa"/>
              <w:left w:w="20" w:type="dxa"/>
              <w:bottom w:w="40" w:type="dxa"/>
              <w:right w:w="0" w:type="dxa"/>
            </w:tcMar>
            <w:vAlign w:val="bottom"/>
          </w:tcPr>
          <w:p w14:paraId="74DE1121"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E112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123"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124" w14:textId="77777777" w:rsidR="00584EC1" w:rsidRDefault="00871F8D">
            <w:pPr>
              <w:jc w:val="right"/>
              <w:textAlignment w:val="bottom"/>
            </w:pPr>
            <w:r>
              <w:rPr>
                <w:rFonts w:ascii="Arial" w:eastAsia="宋体" w:hAnsi="Arial" w:cs="Arial"/>
                <w:color w:val="000000"/>
                <w:sz w:val="14"/>
                <w:szCs w:val="14"/>
              </w:rPr>
              <w:t>(34)</w:t>
            </w:r>
          </w:p>
        </w:tc>
        <w:tc>
          <w:tcPr>
            <w:tcW w:w="0" w:type="auto"/>
            <w:shd w:val="clear" w:color="auto" w:fill="CCEEFF"/>
            <w:tcMar>
              <w:top w:w="40" w:type="dxa"/>
              <w:left w:w="0" w:type="dxa"/>
              <w:bottom w:w="40" w:type="dxa"/>
              <w:right w:w="20" w:type="dxa"/>
            </w:tcMar>
            <w:vAlign w:val="bottom"/>
          </w:tcPr>
          <w:p w14:paraId="74DE1125" w14:textId="77777777" w:rsidR="00584EC1" w:rsidRDefault="00584EC1">
            <w:pPr>
              <w:jc w:val="right"/>
              <w:rPr>
                <w:rFonts w:ascii="宋体"/>
              </w:rPr>
            </w:pPr>
          </w:p>
        </w:tc>
      </w:tr>
      <w:tr w:rsidR="00584EC1" w14:paraId="74DE1133" w14:textId="77777777">
        <w:trPr>
          <w:hidden/>
        </w:trPr>
        <w:tc>
          <w:tcPr>
            <w:tcW w:w="0" w:type="auto"/>
            <w:gridSpan w:val="3"/>
            <w:shd w:val="clear" w:color="auto" w:fill="auto"/>
            <w:vAlign w:val="bottom"/>
          </w:tcPr>
          <w:p w14:paraId="74DE1127" w14:textId="77777777" w:rsidR="00584EC1" w:rsidRDefault="00584EC1">
            <w:pPr>
              <w:rPr>
                <w:rFonts w:ascii="宋体"/>
                <w:vanish/>
              </w:rPr>
            </w:pPr>
          </w:p>
        </w:tc>
        <w:tc>
          <w:tcPr>
            <w:tcW w:w="0" w:type="auto"/>
            <w:gridSpan w:val="3"/>
            <w:shd w:val="clear" w:color="auto" w:fill="auto"/>
            <w:vAlign w:val="bottom"/>
          </w:tcPr>
          <w:p w14:paraId="74DE1128" w14:textId="77777777" w:rsidR="00584EC1" w:rsidRDefault="00584EC1">
            <w:pPr>
              <w:rPr>
                <w:rFonts w:ascii="宋体"/>
                <w:vanish/>
              </w:rPr>
            </w:pPr>
          </w:p>
        </w:tc>
        <w:tc>
          <w:tcPr>
            <w:tcW w:w="0" w:type="auto"/>
            <w:gridSpan w:val="3"/>
            <w:shd w:val="clear" w:color="auto" w:fill="auto"/>
            <w:vAlign w:val="bottom"/>
          </w:tcPr>
          <w:p w14:paraId="74DE1129" w14:textId="77777777" w:rsidR="00584EC1" w:rsidRDefault="00584EC1">
            <w:pPr>
              <w:rPr>
                <w:rFonts w:ascii="宋体"/>
                <w:vanish/>
              </w:rPr>
            </w:pPr>
          </w:p>
        </w:tc>
        <w:tc>
          <w:tcPr>
            <w:tcW w:w="0" w:type="auto"/>
            <w:gridSpan w:val="3"/>
            <w:shd w:val="clear" w:color="auto" w:fill="auto"/>
            <w:vAlign w:val="bottom"/>
          </w:tcPr>
          <w:p w14:paraId="74DE112A" w14:textId="77777777" w:rsidR="00584EC1" w:rsidRDefault="00584EC1">
            <w:pPr>
              <w:rPr>
                <w:rFonts w:ascii="宋体"/>
                <w:vanish/>
              </w:rPr>
            </w:pPr>
          </w:p>
        </w:tc>
        <w:tc>
          <w:tcPr>
            <w:tcW w:w="0" w:type="auto"/>
            <w:gridSpan w:val="3"/>
            <w:shd w:val="clear" w:color="auto" w:fill="auto"/>
            <w:vAlign w:val="bottom"/>
          </w:tcPr>
          <w:p w14:paraId="74DE112B" w14:textId="77777777" w:rsidR="00584EC1" w:rsidRDefault="00584EC1">
            <w:pPr>
              <w:rPr>
                <w:rFonts w:ascii="宋体"/>
                <w:vanish/>
              </w:rPr>
            </w:pPr>
          </w:p>
        </w:tc>
        <w:tc>
          <w:tcPr>
            <w:tcW w:w="0" w:type="auto"/>
            <w:shd w:val="clear" w:color="auto" w:fill="auto"/>
            <w:vAlign w:val="bottom"/>
          </w:tcPr>
          <w:p w14:paraId="74DE112C" w14:textId="77777777" w:rsidR="00584EC1" w:rsidRDefault="00584EC1">
            <w:pPr>
              <w:rPr>
                <w:rFonts w:ascii="宋体"/>
                <w:vanish/>
              </w:rPr>
            </w:pPr>
          </w:p>
        </w:tc>
        <w:tc>
          <w:tcPr>
            <w:tcW w:w="0" w:type="auto"/>
            <w:shd w:val="clear" w:color="auto" w:fill="auto"/>
            <w:vAlign w:val="bottom"/>
          </w:tcPr>
          <w:p w14:paraId="74DE112D" w14:textId="77777777" w:rsidR="00584EC1" w:rsidRDefault="00584EC1">
            <w:pPr>
              <w:rPr>
                <w:rFonts w:ascii="宋体"/>
                <w:vanish/>
              </w:rPr>
            </w:pPr>
          </w:p>
        </w:tc>
        <w:tc>
          <w:tcPr>
            <w:tcW w:w="0" w:type="auto"/>
            <w:shd w:val="clear" w:color="auto" w:fill="auto"/>
            <w:vAlign w:val="bottom"/>
          </w:tcPr>
          <w:p w14:paraId="74DE112E" w14:textId="77777777" w:rsidR="00584EC1" w:rsidRDefault="00584EC1">
            <w:pPr>
              <w:rPr>
                <w:rFonts w:ascii="宋体"/>
                <w:vanish/>
              </w:rPr>
            </w:pPr>
          </w:p>
        </w:tc>
        <w:tc>
          <w:tcPr>
            <w:tcW w:w="0" w:type="auto"/>
            <w:shd w:val="clear" w:color="auto" w:fill="auto"/>
            <w:vAlign w:val="bottom"/>
          </w:tcPr>
          <w:p w14:paraId="74DE112F" w14:textId="77777777" w:rsidR="00584EC1" w:rsidRDefault="00584EC1">
            <w:pPr>
              <w:rPr>
                <w:rFonts w:ascii="宋体"/>
                <w:vanish/>
              </w:rPr>
            </w:pPr>
          </w:p>
        </w:tc>
        <w:tc>
          <w:tcPr>
            <w:tcW w:w="0" w:type="auto"/>
            <w:gridSpan w:val="3"/>
            <w:shd w:val="clear" w:color="auto" w:fill="auto"/>
            <w:vAlign w:val="bottom"/>
          </w:tcPr>
          <w:p w14:paraId="74DE1130" w14:textId="77777777" w:rsidR="00584EC1" w:rsidRDefault="00584EC1">
            <w:pPr>
              <w:rPr>
                <w:rFonts w:ascii="宋体"/>
                <w:vanish/>
              </w:rPr>
            </w:pPr>
          </w:p>
        </w:tc>
        <w:tc>
          <w:tcPr>
            <w:tcW w:w="0" w:type="auto"/>
            <w:gridSpan w:val="3"/>
            <w:shd w:val="clear" w:color="auto" w:fill="auto"/>
            <w:vAlign w:val="bottom"/>
          </w:tcPr>
          <w:p w14:paraId="74DE1131" w14:textId="77777777" w:rsidR="00584EC1" w:rsidRDefault="00584EC1">
            <w:pPr>
              <w:rPr>
                <w:rFonts w:ascii="宋体"/>
                <w:vanish/>
              </w:rPr>
            </w:pPr>
          </w:p>
        </w:tc>
        <w:tc>
          <w:tcPr>
            <w:tcW w:w="0" w:type="auto"/>
            <w:gridSpan w:val="3"/>
            <w:shd w:val="clear" w:color="auto" w:fill="auto"/>
            <w:vAlign w:val="bottom"/>
          </w:tcPr>
          <w:p w14:paraId="74DE1132" w14:textId="77777777" w:rsidR="00584EC1" w:rsidRDefault="00584EC1">
            <w:pPr>
              <w:rPr>
                <w:rFonts w:ascii="宋体"/>
                <w:vanish/>
              </w:rPr>
            </w:pPr>
          </w:p>
        </w:tc>
      </w:tr>
      <w:tr w:rsidR="00584EC1" w14:paraId="74DE1140" w14:textId="77777777">
        <w:trPr>
          <w:hidden/>
        </w:trPr>
        <w:tc>
          <w:tcPr>
            <w:tcW w:w="0" w:type="auto"/>
            <w:gridSpan w:val="3"/>
            <w:shd w:val="clear" w:color="auto" w:fill="auto"/>
            <w:vAlign w:val="bottom"/>
          </w:tcPr>
          <w:p w14:paraId="74DE1134" w14:textId="77777777" w:rsidR="00584EC1" w:rsidRDefault="00584EC1">
            <w:pPr>
              <w:rPr>
                <w:rFonts w:ascii="宋体"/>
                <w:vanish/>
              </w:rPr>
            </w:pPr>
          </w:p>
        </w:tc>
        <w:tc>
          <w:tcPr>
            <w:tcW w:w="0" w:type="auto"/>
            <w:gridSpan w:val="3"/>
            <w:shd w:val="clear" w:color="auto" w:fill="auto"/>
            <w:vAlign w:val="bottom"/>
          </w:tcPr>
          <w:p w14:paraId="74DE1135" w14:textId="77777777" w:rsidR="00584EC1" w:rsidRDefault="00584EC1">
            <w:pPr>
              <w:rPr>
                <w:rFonts w:ascii="宋体"/>
                <w:vanish/>
              </w:rPr>
            </w:pPr>
          </w:p>
        </w:tc>
        <w:tc>
          <w:tcPr>
            <w:tcW w:w="0" w:type="auto"/>
            <w:gridSpan w:val="3"/>
            <w:shd w:val="clear" w:color="auto" w:fill="auto"/>
            <w:vAlign w:val="bottom"/>
          </w:tcPr>
          <w:p w14:paraId="74DE1136" w14:textId="77777777" w:rsidR="00584EC1" w:rsidRDefault="00584EC1">
            <w:pPr>
              <w:rPr>
                <w:rFonts w:ascii="宋体"/>
                <w:vanish/>
              </w:rPr>
            </w:pPr>
          </w:p>
        </w:tc>
        <w:tc>
          <w:tcPr>
            <w:tcW w:w="0" w:type="auto"/>
            <w:gridSpan w:val="3"/>
            <w:shd w:val="clear" w:color="auto" w:fill="auto"/>
            <w:vAlign w:val="bottom"/>
          </w:tcPr>
          <w:p w14:paraId="74DE1137" w14:textId="77777777" w:rsidR="00584EC1" w:rsidRDefault="00584EC1">
            <w:pPr>
              <w:rPr>
                <w:rFonts w:ascii="宋体"/>
                <w:vanish/>
              </w:rPr>
            </w:pPr>
          </w:p>
        </w:tc>
        <w:tc>
          <w:tcPr>
            <w:tcW w:w="0" w:type="auto"/>
            <w:gridSpan w:val="3"/>
            <w:shd w:val="clear" w:color="auto" w:fill="auto"/>
            <w:vAlign w:val="bottom"/>
          </w:tcPr>
          <w:p w14:paraId="74DE1138" w14:textId="77777777" w:rsidR="00584EC1" w:rsidRDefault="00584EC1">
            <w:pPr>
              <w:rPr>
                <w:rFonts w:ascii="宋体"/>
                <w:vanish/>
              </w:rPr>
            </w:pPr>
          </w:p>
        </w:tc>
        <w:tc>
          <w:tcPr>
            <w:tcW w:w="0" w:type="auto"/>
            <w:shd w:val="clear" w:color="auto" w:fill="auto"/>
            <w:vAlign w:val="bottom"/>
          </w:tcPr>
          <w:p w14:paraId="74DE1139" w14:textId="77777777" w:rsidR="00584EC1" w:rsidRDefault="00584EC1">
            <w:pPr>
              <w:rPr>
                <w:rFonts w:ascii="宋体"/>
                <w:vanish/>
              </w:rPr>
            </w:pPr>
          </w:p>
        </w:tc>
        <w:tc>
          <w:tcPr>
            <w:tcW w:w="0" w:type="auto"/>
            <w:shd w:val="clear" w:color="auto" w:fill="auto"/>
            <w:vAlign w:val="bottom"/>
          </w:tcPr>
          <w:p w14:paraId="74DE113A" w14:textId="77777777" w:rsidR="00584EC1" w:rsidRDefault="00584EC1">
            <w:pPr>
              <w:rPr>
                <w:rFonts w:ascii="宋体"/>
                <w:vanish/>
              </w:rPr>
            </w:pPr>
          </w:p>
        </w:tc>
        <w:tc>
          <w:tcPr>
            <w:tcW w:w="0" w:type="auto"/>
            <w:shd w:val="clear" w:color="auto" w:fill="auto"/>
            <w:vAlign w:val="bottom"/>
          </w:tcPr>
          <w:p w14:paraId="74DE113B" w14:textId="77777777" w:rsidR="00584EC1" w:rsidRDefault="00584EC1">
            <w:pPr>
              <w:rPr>
                <w:rFonts w:ascii="宋体"/>
                <w:vanish/>
              </w:rPr>
            </w:pPr>
          </w:p>
        </w:tc>
        <w:tc>
          <w:tcPr>
            <w:tcW w:w="0" w:type="auto"/>
            <w:shd w:val="clear" w:color="auto" w:fill="auto"/>
            <w:vAlign w:val="bottom"/>
          </w:tcPr>
          <w:p w14:paraId="74DE113C" w14:textId="77777777" w:rsidR="00584EC1" w:rsidRDefault="00584EC1">
            <w:pPr>
              <w:rPr>
                <w:rFonts w:ascii="宋体"/>
                <w:vanish/>
              </w:rPr>
            </w:pPr>
          </w:p>
        </w:tc>
        <w:tc>
          <w:tcPr>
            <w:tcW w:w="0" w:type="auto"/>
            <w:gridSpan w:val="3"/>
            <w:shd w:val="clear" w:color="auto" w:fill="auto"/>
            <w:vAlign w:val="bottom"/>
          </w:tcPr>
          <w:p w14:paraId="74DE113D" w14:textId="77777777" w:rsidR="00584EC1" w:rsidRDefault="00584EC1">
            <w:pPr>
              <w:rPr>
                <w:rFonts w:ascii="宋体"/>
                <w:vanish/>
              </w:rPr>
            </w:pPr>
          </w:p>
        </w:tc>
        <w:tc>
          <w:tcPr>
            <w:tcW w:w="0" w:type="auto"/>
            <w:gridSpan w:val="3"/>
            <w:shd w:val="clear" w:color="auto" w:fill="auto"/>
            <w:vAlign w:val="bottom"/>
          </w:tcPr>
          <w:p w14:paraId="74DE113E" w14:textId="77777777" w:rsidR="00584EC1" w:rsidRDefault="00584EC1">
            <w:pPr>
              <w:rPr>
                <w:rFonts w:ascii="宋体"/>
                <w:vanish/>
              </w:rPr>
            </w:pPr>
          </w:p>
        </w:tc>
        <w:tc>
          <w:tcPr>
            <w:tcW w:w="0" w:type="auto"/>
            <w:gridSpan w:val="3"/>
            <w:shd w:val="clear" w:color="auto" w:fill="auto"/>
            <w:vAlign w:val="bottom"/>
          </w:tcPr>
          <w:p w14:paraId="74DE113F" w14:textId="77777777" w:rsidR="00584EC1" w:rsidRDefault="00584EC1">
            <w:pPr>
              <w:rPr>
                <w:rFonts w:ascii="宋体"/>
                <w:vanish/>
              </w:rPr>
            </w:pPr>
          </w:p>
        </w:tc>
      </w:tr>
      <w:tr w:rsidR="00584EC1" w14:paraId="74DE1151" w14:textId="77777777">
        <w:tc>
          <w:tcPr>
            <w:tcW w:w="0" w:type="auto"/>
            <w:gridSpan w:val="3"/>
            <w:shd w:val="clear" w:color="auto" w:fill="FFFFFF"/>
            <w:tcMar>
              <w:top w:w="40" w:type="dxa"/>
              <w:left w:w="20" w:type="dxa"/>
              <w:bottom w:w="40" w:type="dxa"/>
              <w:right w:w="20" w:type="dxa"/>
            </w:tcMar>
            <w:vAlign w:val="bottom"/>
          </w:tcPr>
          <w:p w14:paraId="74DE1141" w14:textId="77777777" w:rsidR="00584EC1" w:rsidRDefault="00871F8D">
            <w:pPr>
              <w:textAlignment w:val="bottom"/>
            </w:pPr>
            <w:r>
              <w:rPr>
                <w:rFonts w:ascii="Arial" w:eastAsia="宋体" w:hAnsi="Arial" w:cs="Arial"/>
                <w:b/>
                <w:bCs/>
                <w:color w:val="000000"/>
                <w:sz w:val="14"/>
                <w:szCs w:val="14"/>
              </w:rPr>
              <w:t>Accrual Balance at June 30, 2021</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1142" w14:textId="77777777" w:rsidR="00584EC1" w:rsidRDefault="00871F8D">
            <w:pPr>
              <w:jc w:val="right"/>
              <w:textAlignment w:val="bottom"/>
            </w:pPr>
            <w:r>
              <w:rPr>
                <w:rFonts w:ascii="Arial" w:eastAsia="宋体" w:hAnsi="Arial" w:cs="Arial"/>
                <w:color w:val="000000"/>
                <w:sz w:val="14"/>
                <w:szCs w:val="14"/>
              </w:rPr>
              <w:t>146 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114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144"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1145" w14:textId="77777777" w:rsidR="00584EC1" w:rsidRDefault="00871F8D">
            <w:pPr>
              <w:jc w:val="right"/>
              <w:textAlignment w:val="bottom"/>
            </w:pPr>
            <w:r>
              <w:rPr>
                <w:rFonts w:ascii="Arial" w:eastAsia="宋体" w:hAnsi="Arial" w:cs="Arial"/>
                <w:color w:val="000000"/>
                <w:sz w:val="14"/>
                <w:szCs w:val="14"/>
              </w:rPr>
              <w:t>6 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114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147" w14:textId="77777777" w:rsidR="00584EC1" w:rsidRDefault="00584EC1">
            <w:pPr>
              <w:rPr>
                <w:rFonts w:ascii="宋体"/>
              </w:rPr>
            </w:pPr>
          </w:p>
        </w:tc>
        <w:tc>
          <w:tcPr>
            <w:tcW w:w="0" w:type="auto"/>
            <w:shd w:val="clear" w:color="auto" w:fill="auto"/>
            <w:vAlign w:val="bottom"/>
          </w:tcPr>
          <w:p w14:paraId="74DE1148" w14:textId="77777777" w:rsidR="00584EC1" w:rsidRDefault="00584EC1">
            <w:pPr>
              <w:rPr>
                <w:rFonts w:ascii="宋体"/>
                <w:vanish/>
              </w:rPr>
            </w:pPr>
          </w:p>
        </w:tc>
        <w:tc>
          <w:tcPr>
            <w:tcW w:w="0" w:type="auto"/>
            <w:shd w:val="clear" w:color="auto" w:fill="auto"/>
            <w:vAlign w:val="bottom"/>
          </w:tcPr>
          <w:p w14:paraId="74DE1149" w14:textId="77777777" w:rsidR="00584EC1" w:rsidRDefault="00584EC1">
            <w:pPr>
              <w:rPr>
                <w:rFonts w:ascii="宋体"/>
                <w:vanish/>
              </w:rPr>
            </w:pPr>
          </w:p>
        </w:tc>
        <w:tc>
          <w:tcPr>
            <w:tcW w:w="0" w:type="auto"/>
            <w:shd w:val="clear" w:color="auto" w:fill="auto"/>
            <w:vAlign w:val="bottom"/>
          </w:tcPr>
          <w:p w14:paraId="74DE114A" w14:textId="77777777" w:rsidR="00584EC1" w:rsidRDefault="00584EC1">
            <w:pPr>
              <w:rPr>
                <w:rFonts w:ascii="宋体"/>
                <w:vanish/>
              </w:rPr>
            </w:pPr>
          </w:p>
        </w:tc>
        <w:tc>
          <w:tcPr>
            <w:tcW w:w="0" w:type="auto"/>
            <w:shd w:val="clear" w:color="auto" w:fill="auto"/>
            <w:vAlign w:val="bottom"/>
          </w:tcPr>
          <w:p w14:paraId="74DE114B" w14:textId="77777777" w:rsidR="00584EC1" w:rsidRDefault="00584EC1">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114C" w14:textId="77777777" w:rsidR="00584EC1" w:rsidRDefault="00871F8D">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114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14E"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114F" w14:textId="77777777" w:rsidR="00584EC1" w:rsidRDefault="00871F8D">
            <w:pPr>
              <w:jc w:val="right"/>
              <w:textAlignment w:val="bottom"/>
            </w:pPr>
            <w:r>
              <w:rPr>
                <w:rFonts w:ascii="Arial" w:eastAsia="宋体" w:hAnsi="Arial" w:cs="Arial"/>
                <w:color w:val="000000"/>
                <w:sz w:val="14"/>
                <w:szCs w:val="14"/>
              </w:rPr>
              <w:t>152 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1150" w14:textId="77777777" w:rsidR="00584EC1" w:rsidRDefault="00584EC1">
            <w:pPr>
              <w:jc w:val="right"/>
              <w:rPr>
                <w:rFonts w:ascii="宋体"/>
              </w:rPr>
            </w:pPr>
          </w:p>
        </w:tc>
      </w:tr>
      <w:tr w:rsidR="00584EC1" w14:paraId="74DE1162" w14:textId="77777777">
        <w:tc>
          <w:tcPr>
            <w:tcW w:w="0" w:type="auto"/>
            <w:gridSpan w:val="3"/>
            <w:shd w:val="clear" w:color="auto" w:fill="CCEEFF"/>
            <w:tcMar>
              <w:top w:w="40" w:type="dxa"/>
              <w:left w:w="20" w:type="dxa"/>
              <w:bottom w:w="40" w:type="dxa"/>
              <w:right w:w="20" w:type="dxa"/>
            </w:tcMar>
            <w:vAlign w:val="bottom"/>
          </w:tcPr>
          <w:p w14:paraId="74DE1152" w14:textId="77777777" w:rsidR="00584EC1" w:rsidRDefault="00871F8D">
            <w:pPr>
              <w:textAlignment w:val="bottom"/>
            </w:pPr>
            <w:r>
              <w:rPr>
                <w:rFonts w:ascii="Arial" w:eastAsia="宋体" w:hAnsi="Arial" w:cs="Arial"/>
                <w:color w:val="000000"/>
                <w:sz w:val="14"/>
                <w:szCs w:val="14"/>
              </w:rPr>
              <w:t>Payments and Other Adjustments</w:t>
            </w:r>
          </w:p>
        </w:tc>
        <w:tc>
          <w:tcPr>
            <w:tcW w:w="0" w:type="auto"/>
            <w:gridSpan w:val="2"/>
            <w:shd w:val="clear" w:color="auto" w:fill="CCEEFF"/>
            <w:tcMar>
              <w:top w:w="40" w:type="dxa"/>
              <w:left w:w="20" w:type="dxa"/>
              <w:bottom w:w="40" w:type="dxa"/>
              <w:right w:w="0" w:type="dxa"/>
            </w:tcMar>
            <w:vAlign w:val="bottom"/>
          </w:tcPr>
          <w:p w14:paraId="74DE1153" w14:textId="77777777" w:rsidR="00584EC1" w:rsidRDefault="00871F8D">
            <w:pPr>
              <w:jc w:val="right"/>
              <w:textAlignment w:val="bottom"/>
            </w:pPr>
            <w:r>
              <w:rPr>
                <w:rFonts w:ascii="Arial" w:eastAsia="宋体" w:hAnsi="Arial" w:cs="Arial"/>
                <w:b/>
                <w:bCs/>
                <w:color w:val="000000"/>
                <w:sz w:val="14"/>
                <w:szCs w:val="14"/>
              </w:rPr>
              <w:t>(23)</w:t>
            </w:r>
          </w:p>
        </w:tc>
        <w:tc>
          <w:tcPr>
            <w:tcW w:w="0" w:type="auto"/>
            <w:shd w:val="clear" w:color="auto" w:fill="CCEEFF"/>
            <w:tcMar>
              <w:top w:w="40" w:type="dxa"/>
              <w:left w:w="0" w:type="dxa"/>
              <w:bottom w:w="40" w:type="dxa"/>
              <w:right w:w="20" w:type="dxa"/>
            </w:tcMar>
            <w:vAlign w:val="bottom"/>
          </w:tcPr>
          <w:p w14:paraId="74DE115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15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156"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E115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158" w14:textId="77777777" w:rsidR="00584EC1" w:rsidRDefault="00584EC1">
            <w:pPr>
              <w:rPr>
                <w:rFonts w:ascii="宋体"/>
              </w:rPr>
            </w:pPr>
          </w:p>
        </w:tc>
        <w:tc>
          <w:tcPr>
            <w:tcW w:w="0" w:type="auto"/>
            <w:shd w:val="clear" w:color="auto" w:fill="auto"/>
            <w:vAlign w:val="bottom"/>
          </w:tcPr>
          <w:p w14:paraId="74DE1159" w14:textId="77777777" w:rsidR="00584EC1" w:rsidRDefault="00584EC1">
            <w:pPr>
              <w:rPr>
                <w:rFonts w:ascii="宋体"/>
                <w:vanish/>
              </w:rPr>
            </w:pPr>
          </w:p>
        </w:tc>
        <w:tc>
          <w:tcPr>
            <w:tcW w:w="0" w:type="auto"/>
            <w:shd w:val="clear" w:color="auto" w:fill="auto"/>
            <w:vAlign w:val="bottom"/>
          </w:tcPr>
          <w:p w14:paraId="74DE115A" w14:textId="77777777" w:rsidR="00584EC1" w:rsidRDefault="00584EC1">
            <w:pPr>
              <w:rPr>
                <w:rFonts w:ascii="宋体"/>
                <w:vanish/>
              </w:rPr>
            </w:pPr>
          </w:p>
        </w:tc>
        <w:tc>
          <w:tcPr>
            <w:tcW w:w="0" w:type="auto"/>
            <w:shd w:val="clear" w:color="auto" w:fill="auto"/>
            <w:vAlign w:val="bottom"/>
          </w:tcPr>
          <w:p w14:paraId="74DE115B" w14:textId="77777777" w:rsidR="00584EC1" w:rsidRDefault="00584EC1">
            <w:pPr>
              <w:rPr>
                <w:rFonts w:ascii="宋体"/>
                <w:vanish/>
              </w:rPr>
            </w:pPr>
          </w:p>
        </w:tc>
        <w:tc>
          <w:tcPr>
            <w:tcW w:w="0" w:type="auto"/>
            <w:shd w:val="clear" w:color="auto" w:fill="auto"/>
            <w:vAlign w:val="bottom"/>
          </w:tcPr>
          <w:p w14:paraId="74DE115C" w14:textId="77777777" w:rsidR="00584EC1" w:rsidRDefault="00584EC1">
            <w:pPr>
              <w:rPr>
                <w:rFonts w:ascii="宋体"/>
                <w:vanish/>
              </w:rPr>
            </w:pPr>
          </w:p>
        </w:tc>
        <w:tc>
          <w:tcPr>
            <w:tcW w:w="0" w:type="auto"/>
            <w:gridSpan w:val="2"/>
            <w:shd w:val="clear" w:color="auto" w:fill="CCEEFF"/>
            <w:tcMar>
              <w:top w:w="40" w:type="dxa"/>
              <w:left w:w="20" w:type="dxa"/>
              <w:bottom w:w="40" w:type="dxa"/>
              <w:right w:w="0" w:type="dxa"/>
            </w:tcMar>
            <w:vAlign w:val="bottom"/>
          </w:tcPr>
          <w:p w14:paraId="74DE115D"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E115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15F"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160" w14:textId="77777777" w:rsidR="00584EC1" w:rsidRDefault="00871F8D">
            <w:pPr>
              <w:jc w:val="right"/>
              <w:textAlignment w:val="bottom"/>
            </w:pPr>
            <w:r>
              <w:rPr>
                <w:rFonts w:ascii="Arial" w:eastAsia="宋体" w:hAnsi="Arial" w:cs="Arial"/>
                <w:b/>
                <w:bCs/>
                <w:color w:val="000000"/>
                <w:sz w:val="14"/>
                <w:szCs w:val="14"/>
              </w:rPr>
              <w:t>(23)</w:t>
            </w:r>
          </w:p>
        </w:tc>
        <w:tc>
          <w:tcPr>
            <w:tcW w:w="0" w:type="auto"/>
            <w:shd w:val="clear" w:color="auto" w:fill="CCEEFF"/>
            <w:tcMar>
              <w:top w:w="40" w:type="dxa"/>
              <w:left w:w="0" w:type="dxa"/>
              <w:bottom w:w="40" w:type="dxa"/>
              <w:right w:w="20" w:type="dxa"/>
            </w:tcMar>
            <w:vAlign w:val="bottom"/>
          </w:tcPr>
          <w:p w14:paraId="74DE1161" w14:textId="77777777" w:rsidR="00584EC1" w:rsidRDefault="00584EC1">
            <w:pPr>
              <w:jc w:val="right"/>
              <w:rPr>
                <w:rFonts w:ascii="宋体"/>
              </w:rPr>
            </w:pPr>
          </w:p>
        </w:tc>
      </w:tr>
      <w:tr w:rsidR="00584EC1" w14:paraId="74DE1177" w14:textId="77777777">
        <w:tc>
          <w:tcPr>
            <w:tcW w:w="0" w:type="auto"/>
            <w:gridSpan w:val="3"/>
            <w:shd w:val="clear" w:color="auto" w:fill="FFFFFF"/>
            <w:tcMar>
              <w:top w:w="40" w:type="dxa"/>
              <w:left w:w="20" w:type="dxa"/>
              <w:bottom w:w="40" w:type="dxa"/>
              <w:right w:w="20" w:type="dxa"/>
            </w:tcMar>
            <w:vAlign w:val="bottom"/>
          </w:tcPr>
          <w:p w14:paraId="74DE1163" w14:textId="77777777" w:rsidR="00584EC1" w:rsidRDefault="00871F8D">
            <w:pPr>
              <w:textAlignment w:val="bottom"/>
            </w:pPr>
            <w:r>
              <w:rPr>
                <w:rFonts w:ascii="Arial" w:eastAsia="宋体" w:hAnsi="Arial" w:cs="Arial"/>
                <w:b/>
                <w:bCs/>
                <w:color w:val="000000"/>
                <w:sz w:val="14"/>
                <w:szCs w:val="14"/>
              </w:rPr>
              <w:t>Accrual Balance at September 30, 2021</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E1164"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E1165" w14:textId="77777777" w:rsidR="00584EC1" w:rsidRDefault="00871F8D">
            <w:pPr>
              <w:jc w:val="right"/>
              <w:textAlignment w:val="bottom"/>
            </w:pPr>
            <w:r>
              <w:rPr>
                <w:rFonts w:ascii="Arial" w:eastAsia="宋体" w:hAnsi="Arial" w:cs="Arial"/>
                <w:b/>
                <w:bCs/>
                <w:color w:val="000000"/>
                <w:sz w:val="14"/>
                <w:szCs w:val="14"/>
              </w:rPr>
              <w:t>123</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E116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167"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E1168"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E1169" w14:textId="77777777" w:rsidR="00584EC1" w:rsidRDefault="00871F8D">
            <w:pPr>
              <w:jc w:val="right"/>
              <w:textAlignment w:val="bottom"/>
            </w:pPr>
            <w:r>
              <w:rPr>
                <w:rFonts w:ascii="Arial" w:eastAsia="宋体" w:hAnsi="Arial" w:cs="Arial"/>
                <w:b/>
                <w:bCs/>
                <w:color w:val="000000"/>
                <w:sz w:val="14"/>
                <w:szCs w:val="14"/>
              </w:rPr>
              <w:t>6</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E116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16B" w14:textId="77777777" w:rsidR="00584EC1" w:rsidRDefault="00584EC1">
            <w:pPr>
              <w:rPr>
                <w:rFonts w:ascii="宋体"/>
              </w:rPr>
            </w:pPr>
          </w:p>
        </w:tc>
        <w:tc>
          <w:tcPr>
            <w:tcW w:w="0" w:type="auto"/>
            <w:shd w:val="clear" w:color="auto" w:fill="auto"/>
            <w:vAlign w:val="bottom"/>
          </w:tcPr>
          <w:p w14:paraId="74DE116C" w14:textId="77777777" w:rsidR="00584EC1" w:rsidRDefault="00584EC1">
            <w:pPr>
              <w:rPr>
                <w:rFonts w:ascii="宋体"/>
                <w:vanish/>
              </w:rPr>
            </w:pPr>
          </w:p>
        </w:tc>
        <w:tc>
          <w:tcPr>
            <w:tcW w:w="0" w:type="auto"/>
            <w:shd w:val="clear" w:color="auto" w:fill="auto"/>
            <w:vAlign w:val="bottom"/>
          </w:tcPr>
          <w:p w14:paraId="74DE116D" w14:textId="77777777" w:rsidR="00584EC1" w:rsidRDefault="00584EC1">
            <w:pPr>
              <w:rPr>
                <w:rFonts w:ascii="宋体"/>
                <w:vanish/>
              </w:rPr>
            </w:pPr>
          </w:p>
        </w:tc>
        <w:tc>
          <w:tcPr>
            <w:tcW w:w="0" w:type="auto"/>
            <w:shd w:val="clear" w:color="auto" w:fill="auto"/>
            <w:vAlign w:val="bottom"/>
          </w:tcPr>
          <w:p w14:paraId="74DE116E" w14:textId="77777777" w:rsidR="00584EC1" w:rsidRDefault="00584EC1">
            <w:pPr>
              <w:rPr>
                <w:rFonts w:ascii="宋体"/>
                <w:vanish/>
              </w:rPr>
            </w:pPr>
          </w:p>
        </w:tc>
        <w:tc>
          <w:tcPr>
            <w:tcW w:w="0" w:type="auto"/>
            <w:shd w:val="clear" w:color="auto" w:fill="auto"/>
            <w:vAlign w:val="bottom"/>
          </w:tcPr>
          <w:p w14:paraId="74DE116F" w14:textId="77777777" w:rsidR="00584EC1" w:rsidRDefault="00584EC1">
            <w:pPr>
              <w:rPr>
                <w:rFonts w:ascii="宋体"/>
                <w:vanish/>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E1170"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E1171"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E117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173" w14:textId="77777777" w:rsidR="00584EC1" w:rsidRDefault="00584E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4DE1174"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4DE1175" w14:textId="77777777" w:rsidR="00584EC1" w:rsidRDefault="00871F8D">
            <w:pPr>
              <w:jc w:val="right"/>
              <w:textAlignment w:val="bottom"/>
            </w:pPr>
            <w:r>
              <w:rPr>
                <w:rFonts w:ascii="Arial" w:eastAsia="宋体" w:hAnsi="Arial" w:cs="Arial"/>
                <w:b/>
                <w:bCs/>
                <w:color w:val="000000"/>
                <w:sz w:val="14"/>
                <w:szCs w:val="14"/>
              </w:rPr>
              <w:t>129</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4DE1176" w14:textId="77777777" w:rsidR="00584EC1" w:rsidRDefault="00584EC1">
            <w:pPr>
              <w:jc w:val="right"/>
              <w:rPr>
                <w:rFonts w:ascii="宋体"/>
              </w:rPr>
            </w:pPr>
          </w:p>
        </w:tc>
      </w:tr>
    </w:tbl>
    <w:p w14:paraId="74DE1178" w14:textId="77777777" w:rsidR="00584EC1" w:rsidRDefault="00871F8D">
      <w:pPr>
        <w:spacing w:before="180"/>
      </w:pPr>
      <w:r>
        <w:rPr>
          <w:rFonts w:ascii="Arial" w:eastAsia="宋体" w:hAnsi="Arial" w:cs="Arial"/>
          <w:b/>
          <w:bCs/>
          <w:color w:val="000000"/>
          <w:sz w:val="20"/>
          <w:szCs w:val="20"/>
        </w:rPr>
        <w:t xml:space="preserve">Note 16. Earnings Per Common Share </w:t>
      </w:r>
    </w:p>
    <w:p w14:paraId="74DE1179" w14:textId="77777777" w:rsidR="00584EC1" w:rsidRDefault="00871F8D">
      <w:pPr>
        <w:spacing w:before="60"/>
        <w:ind w:firstLine="450"/>
        <w:jc w:val="both"/>
      </w:pPr>
      <w:r>
        <w:rPr>
          <w:rFonts w:ascii="Arial" w:eastAsia="宋体" w:hAnsi="Arial" w:cs="Arial"/>
          <w:color w:val="000000"/>
          <w:sz w:val="20"/>
          <w:szCs w:val="20"/>
        </w:rPr>
        <w:t xml:space="preserve">For additional information on our earnings per </w:t>
      </w:r>
      <w:r>
        <w:rPr>
          <w:rFonts w:ascii="Arial" w:eastAsia="宋体" w:hAnsi="Arial" w:cs="Arial"/>
          <w:color w:val="000000"/>
          <w:sz w:val="20"/>
          <w:szCs w:val="20"/>
        </w:rPr>
        <w:t>share calculation methodologies, refer to pages 181 to 182 in Note 23 to the consolidated financial statements included under Item 8, Financial Statements and Supplementary Data, in our 2020 Form 10-K.</w:t>
      </w:r>
    </w:p>
    <w:p w14:paraId="74DE117A" w14:textId="77777777" w:rsidR="00584EC1" w:rsidRDefault="00871F8D">
      <w:pPr>
        <w:spacing w:before="60"/>
        <w:ind w:firstLine="450"/>
        <w:jc w:val="both"/>
      </w:pPr>
      <w:r>
        <w:rPr>
          <w:rFonts w:ascii="Arial" w:eastAsia="宋体" w:hAnsi="Arial" w:cs="Arial"/>
          <w:color w:val="000000"/>
          <w:sz w:val="20"/>
          <w:szCs w:val="20"/>
        </w:rPr>
        <w:t xml:space="preserve">The following table presents the computation of basic </w:t>
      </w:r>
      <w:r>
        <w:rPr>
          <w:rFonts w:ascii="Arial" w:eastAsia="宋体" w:hAnsi="Arial" w:cs="Arial"/>
          <w:color w:val="000000"/>
          <w:sz w:val="20"/>
          <w:szCs w:val="20"/>
        </w:rPr>
        <w:t>and diluted earnings per common share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3012"/>
        <w:gridCol w:w="38"/>
        <w:gridCol w:w="99"/>
        <w:gridCol w:w="1054"/>
        <w:gridCol w:w="36"/>
        <w:gridCol w:w="36"/>
        <w:gridCol w:w="36"/>
        <w:gridCol w:w="36"/>
        <w:gridCol w:w="99"/>
        <w:gridCol w:w="1054"/>
        <w:gridCol w:w="36"/>
        <w:gridCol w:w="36"/>
        <w:gridCol w:w="36"/>
        <w:gridCol w:w="36"/>
        <w:gridCol w:w="99"/>
        <w:gridCol w:w="1054"/>
        <w:gridCol w:w="36"/>
        <w:gridCol w:w="36"/>
        <w:gridCol w:w="36"/>
        <w:gridCol w:w="36"/>
        <w:gridCol w:w="99"/>
        <w:gridCol w:w="1005"/>
        <w:gridCol w:w="36"/>
        <w:gridCol w:w="36"/>
        <w:gridCol w:w="36"/>
        <w:gridCol w:w="36"/>
        <w:gridCol w:w="36"/>
        <w:gridCol w:w="36"/>
        <w:gridCol w:w="36"/>
      </w:tblGrid>
      <w:tr w:rsidR="00584EC1" w14:paraId="74DE1195" w14:textId="77777777">
        <w:tc>
          <w:tcPr>
            <w:tcW w:w="50" w:type="pct"/>
            <w:shd w:val="clear" w:color="auto" w:fill="auto"/>
            <w:vAlign w:val="bottom"/>
          </w:tcPr>
          <w:p w14:paraId="74DE117B" w14:textId="77777777" w:rsidR="00584EC1" w:rsidRDefault="00584EC1">
            <w:pPr>
              <w:rPr>
                <w:rFonts w:ascii="宋体"/>
              </w:rPr>
            </w:pPr>
          </w:p>
        </w:tc>
        <w:tc>
          <w:tcPr>
            <w:tcW w:w="1896" w:type="pct"/>
            <w:shd w:val="clear" w:color="auto" w:fill="auto"/>
            <w:vAlign w:val="bottom"/>
          </w:tcPr>
          <w:p w14:paraId="74DE117C" w14:textId="77777777" w:rsidR="00584EC1" w:rsidRDefault="00584EC1">
            <w:pPr>
              <w:rPr>
                <w:rFonts w:ascii="宋体"/>
              </w:rPr>
            </w:pPr>
          </w:p>
        </w:tc>
        <w:tc>
          <w:tcPr>
            <w:tcW w:w="5" w:type="pct"/>
            <w:shd w:val="clear" w:color="auto" w:fill="auto"/>
            <w:vAlign w:val="bottom"/>
          </w:tcPr>
          <w:p w14:paraId="74DE117D" w14:textId="77777777" w:rsidR="00584EC1" w:rsidRDefault="00584EC1">
            <w:pPr>
              <w:rPr>
                <w:rFonts w:ascii="宋体"/>
              </w:rPr>
            </w:pPr>
          </w:p>
        </w:tc>
        <w:tc>
          <w:tcPr>
            <w:tcW w:w="50" w:type="pct"/>
            <w:shd w:val="clear" w:color="auto" w:fill="auto"/>
            <w:vAlign w:val="bottom"/>
          </w:tcPr>
          <w:p w14:paraId="74DE117E" w14:textId="77777777" w:rsidR="00584EC1" w:rsidRDefault="00584EC1">
            <w:pPr>
              <w:rPr>
                <w:rFonts w:ascii="宋体"/>
              </w:rPr>
            </w:pPr>
          </w:p>
        </w:tc>
        <w:tc>
          <w:tcPr>
            <w:tcW w:w="683" w:type="pct"/>
            <w:shd w:val="clear" w:color="auto" w:fill="auto"/>
            <w:vAlign w:val="bottom"/>
          </w:tcPr>
          <w:p w14:paraId="74DE117F" w14:textId="77777777" w:rsidR="00584EC1" w:rsidRDefault="00584EC1">
            <w:pPr>
              <w:rPr>
                <w:rFonts w:ascii="宋体"/>
              </w:rPr>
            </w:pPr>
          </w:p>
        </w:tc>
        <w:tc>
          <w:tcPr>
            <w:tcW w:w="5" w:type="pct"/>
            <w:shd w:val="clear" w:color="auto" w:fill="auto"/>
            <w:vAlign w:val="bottom"/>
          </w:tcPr>
          <w:p w14:paraId="74DE1180" w14:textId="77777777" w:rsidR="00584EC1" w:rsidRDefault="00584EC1">
            <w:pPr>
              <w:rPr>
                <w:rFonts w:ascii="宋体"/>
              </w:rPr>
            </w:pPr>
          </w:p>
        </w:tc>
        <w:tc>
          <w:tcPr>
            <w:tcW w:w="5" w:type="pct"/>
            <w:shd w:val="clear" w:color="auto" w:fill="auto"/>
            <w:vAlign w:val="bottom"/>
          </w:tcPr>
          <w:p w14:paraId="74DE1181" w14:textId="77777777" w:rsidR="00584EC1" w:rsidRDefault="00584EC1">
            <w:pPr>
              <w:rPr>
                <w:rFonts w:ascii="宋体"/>
              </w:rPr>
            </w:pPr>
          </w:p>
        </w:tc>
        <w:tc>
          <w:tcPr>
            <w:tcW w:w="19" w:type="pct"/>
            <w:shd w:val="clear" w:color="auto" w:fill="auto"/>
            <w:vAlign w:val="bottom"/>
          </w:tcPr>
          <w:p w14:paraId="74DE1182" w14:textId="77777777" w:rsidR="00584EC1" w:rsidRDefault="00584EC1">
            <w:pPr>
              <w:rPr>
                <w:rFonts w:ascii="宋体"/>
              </w:rPr>
            </w:pPr>
          </w:p>
        </w:tc>
        <w:tc>
          <w:tcPr>
            <w:tcW w:w="5" w:type="pct"/>
            <w:shd w:val="clear" w:color="auto" w:fill="auto"/>
            <w:vAlign w:val="bottom"/>
          </w:tcPr>
          <w:p w14:paraId="74DE1183" w14:textId="77777777" w:rsidR="00584EC1" w:rsidRDefault="00584EC1">
            <w:pPr>
              <w:rPr>
                <w:rFonts w:ascii="宋体"/>
              </w:rPr>
            </w:pPr>
          </w:p>
        </w:tc>
        <w:tc>
          <w:tcPr>
            <w:tcW w:w="50" w:type="pct"/>
            <w:shd w:val="clear" w:color="auto" w:fill="auto"/>
            <w:vAlign w:val="bottom"/>
          </w:tcPr>
          <w:p w14:paraId="74DE1184" w14:textId="77777777" w:rsidR="00584EC1" w:rsidRDefault="00584EC1">
            <w:pPr>
              <w:rPr>
                <w:rFonts w:ascii="宋体"/>
              </w:rPr>
            </w:pPr>
          </w:p>
        </w:tc>
        <w:tc>
          <w:tcPr>
            <w:tcW w:w="683" w:type="pct"/>
            <w:shd w:val="clear" w:color="auto" w:fill="auto"/>
            <w:vAlign w:val="bottom"/>
          </w:tcPr>
          <w:p w14:paraId="74DE1185" w14:textId="77777777" w:rsidR="00584EC1" w:rsidRDefault="00584EC1">
            <w:pPr>
              <w:rPr>
                <w:rFonts w:ascii="宋体"/>
              </w:rPr>
            </w:pPr>
          </w:p>
        </w:tc>
        <w:tc>
          <w:tcPr>
            <w:tcW w:w="5" w:type="pct"/>
            <w:shd w:val="clear" w:color="auto" w:fill="auto"/>
            <w:vAlign w:val="bottom"/>
          </w:tcPr>
          <w:p w14:paraId="74DE1186" w14:textId="77777777" w:rsidR="00584EC1" w:rsidRDefault="00584EC1">
            <w:pPr>
              <w:rPr>
                <w:rFonts w:ascii="宋体"/>
              </w:rPr>
            </w:pPr>
          </w:p>
        </w:tc>
        <w:tc>
          <w:tcPr>
            <w:tcW w:w="5" w:type="pct"/>
            <w:shd w:val="clear" w:color="auto" w:fill="auto"/>
            <w:vAlign w:val="bottom"/>
          </w:tcPr>
          <w:p w14:paraId="74DE1187" w14:textId="77777777" w:rsidR="00584EC1" w:rsidRDefault="00584EC1">
            <w:pPr>
              <w:rPr>
                <w:rFonts w:ascii="宋体"/>
              </w:rPr>
            </w:pPr>
          </w:p>
        </w:tc>
        <w:tc>
          <w:tcPr>
            <w:tcW w:w="19" w:type="pct"/>
            <w:shd w:val="clear" w:color="auto" w:fill="auto"/>
            <w:vAlign w:val="bottom"/>
          </w:tcPr>
          <w:p w14:paraId="74DE1188" w14:textId="77777777" w:rsidR="00584EC1" w:rsidRDefault="00584EC1">
            <w:pPr>
              <w:rPr>
                <w:rFonts w:ascii="宋体"/>
              </w:rPr>
            </w:pPr>
          </w:p>
        </w:tc>
        <w:tc>
          <w:tcPr>
            <w:tcW w:w="5" w:type="pct"/>
            <w:shd w:val="clear" w:color="auto" w:fill="auto"/>
            <w:vAlign w:val="bottom"/>
          </w:tcPr>
          <w:p w14:paraId="74DE1189" w14:textId="77777777" w:rsidR="00584EC1" w:rsidRDefault="00584EC1">
            <w:pPr>
              <w:rPr>
                <w:rFonts w:ascii="宋体"/>
              </w:rPr>
            </w:pPr>
          </w:p>
        </w:tc>
        <w:tc>
          <w:tcPr>
            <w:tcW w:w="50" w:type="pct"/>
            <w:shd w:val="clear" w:color="auto" w:fill="auto"/>
            <w:vAlign w:val="bottom"/>
          </w:tcPr>
          <w:p w14:paraId="74DE118A" w14:textId="77777777" w:rsidR="00584EC1" w:rsidRDefault="00584EC1">
            <w:pPr>
              <w:rPr>
                <w:rFonts w:ascii="宋体"/>
              </w:rPr>
            </w:pPr>
          </w:p>
        </w:tc>
        <w:tc>
          <w:tcPr>
            <w:tcW w:w="683" w:type="pct"/>
            <w:shd w:val="clear" w:color="auto" w:fill="auto"/>
            <w:vAlign w:val="bottom"/>
          </w:tcPr>
          <w:p w14:paraId="74DE118B" w14:textId="77777777" w:rsidR="00584EC1" w:rsidRDefault="00584EC1">
            <w:pPr>
              <w:rPr>
                <w:rFonts w:ascii="宋体"/>
              </w:rPr>
            </w:pPr>
          </w:p>
        </w:tc>
        <w:tc>
          <w:tcPr>
            <w:tcW w:w="5" w:type="pct"/>
            <w:shd w:val="clear" w:color="auto" w:fill="auto"/>
            <w:vAlign w:val="bottom"/>
          </w:tcPr>
          <w:p w14:paraId="74DE118C" w14:textId="77777777" w:rsidR="00584EC1" w:rsidRDefault="00584EC1">
            <w:pPr>
              <w:rPr>
                <w:rFonts w:ascii="宋体"/>
              </w:rPr>
            </w:pPr>
          </w:p>
        </w:tc>
        <w:tc>
          <w:tcPr>
            <w:tcW w:w="5" w:type="pct"/>
            <w:shd w:val="clear" w:color="auto" w:fill="auto"/>
            <w:vAlign w:val="bottom"/>
          </w:tcPr>
          <w:p w14:paraId="74DE118D" w14:textId="77777777" w:rsidR="00584EC1" w:rsidRDefault="00584EC1">
            <w:pPr>
              <w:rPr>
                <w:rFonts w:ascii="宋体"/>
              </w:rPr>
            </w:pPr>
          </w:p>
        </w:tc>
        <w:tc>
          <w:tcPr>
            <w:tcW w:w="26" w:type="pct"/>
            <w:shd w:val="clear" w:color="auto" w:fill="auto"/>
            <w:vAlign w:val="bottom"/>
          </w:tcPr>
          <w:p w14:paraId="74DE118E" w14:textId="77777777" w:rsidR="00584EC1" w:rsidRDefault="00584EC1">
            <w:pPr>
              <w:rPr>
                <w:rFonts w:ascii="宋体"/>
              </w:rPr>
            </w:pPr>
          </w:p>
        </w:tc>
        <w:tc>
          <w:tcPr>
            <w:tcW w:w="5" w:type="pct"/>
            <w:shd w:val="clear" w:color="auto" w:fill="auto"/>
            <w:vAlign w:val="bottom"/>
          </w:tcPr>
          <w:p w14:paraId="74DE118F" w14:textId="77777777" w:rsidR="00584EC1" w:rsidRDefault="00584EC1">
            <w:pPr>
              <w:rPr>
                <w:rFonts w:ascii="宋体"/>
              </w:rPr>
            </w:pPr>
          </w:p>
        </w:tc>
        <w:tc>
          <w:tcPr>
            <w:tcW w:w="50" w:type="pct"/>
            <w:shd w:val="clear" w:color="auto" w:fill="auto"/>
            <w:vAlign w:val="bottom"/>
          </w:tcPr>
          <w:p w14:paraId="74DE1190" w14:textId="77777777" w:rsidR="00584EC1" w:rsidRDefault="00584EC1">
            <w:pPr>
              <w:rPr>
                <w:rFonts w:ascii="宋体"/>
              </w:rPr>
            </w:pPr>
          </w:p>
        </w:tc>
        <w:tc>
          <w:tcPr>
            <w:tcW w:w="683" w:type="pct"/>
            <w:shd w:val="clear" w:color="auto" w:fill="auto"/>
            <w:vAlign w:val="bottom"/>
          </w:tcPr>
          <w:p w14:paraId="74DE1191" w14:textId="77777777" w:rsidR="00584EC1" w:rsidRDefault="00584EC1">
            <w:pPr>
              <w:rPr>
                <w:rFonts w:ascii="宋体"/>
              </w:rPr>
            </w:pPr>
          </w:p>
        </w:tc>
        <w:tc>
          <w:tcPr>
            <w:tcW w:w="5" w:type="pct"/>
            <w:shd w:val="clear" w:color="auto" w:fill="auto"/>
            <w:vAlign w:val="bottom"/>
          </w:tcPr>
          <w:p w14:paraId="74DE1192" w14:textId="77777777" w:rsidR="00584EC1" w:rsidRDefault="00584EC1">
            <w:pPr>
              <w:rPr>
                <w:rFonts w:ascii="宋体"/>
              </w:rPr>
            </w:pPr>
          </w:p>
        </w:tc>
        <w:tc>
          <w:tcPr>
            <w:tcW w:w="0" w:type="auto"/>
            <w:gridSpan w:val="3"/>
            <w:shd w:val="clear" w:color="auto" w:fill="auto"/>
            <w:vAlign w:val="bottom"/>
          </w:tcPr>
          <w:p w14:paraId="74DE1193" w14:textId="77777777" w:rsidR="00584EC1" w:rsidRDefault="00584EC1">
            <w:pPr>
              <w:rPr>
                <w:rFonts w:ascii="宋体"/>
                <w:vanish/>
              </w:rPr>
            </w:pPr>
          </w:p>
        </w:tc>
        <w:tc>
          <w:tcPr>
            <w:tcW w:w="0" w:type="auto"/>
            <w:gridSpan w:val="3"/>
            <w:shd w:val="clear" w:color="auto" w:fill="auto"/>
            <w:vAlign w:val="bottom"/>
          </w:tcPr>
          <w:p w14:paraId="74DE1194" w14:textId="77777777" w:rsidR="00584EC1" w:rsidRDefault="00584EC1">
            <w:pPr>
              <w:rPr>
                <w:rFonts w:ascii="宋体"/>
                <w:vanish/>
              </w:rPr>
            </w:pPr>
          </w:p>
        </w:tc>
      </w:tr>
      <w:tr w:rsidR="00584EC1" w14:paraId="74DE11A0" w14:textId="77777777">
        <w:tc>
          <w:tcPr>
            <w:tcW w:w="0" w:type="auto"/>
            <w:gridSpan w:val="3"/>
            <w:shd w:val="clear" w:color="auto" w:fill="auto"/>
            <w:tcMar>
              <w:top w:w="0" w:type="dxa"/>
              <w:left w:w="20" w:type="dxa"/>
              <w:bottom w:w="0" w:type="dxa"/>
              <w:right w:w="20" w:type="dxa"/>
            </w:tcMar>
            <w:vAlign w:val="bottom"/>
          </w:tcPr>
          <w:p w14:paraId="74DE1196" w14:textId="77777777" w:rsidR="00584EC1" w:rsidRDefault="00584EC1">
            <w:pPr>
              <w:rPr>
                <w:rFonts w:ascii="宋体"/>
              </w:rPr>
            </w:pPr>
          </w:p>
        </w:tc>
        <w:tc>
          <w:tcPr>
            <w:tcW w:w="0" w:type="auto"/>
            <w:gridSpan w:val="9"/>
            <w:shd w:val="clear" w:color="auto" w:fill="auto"/>
            <w:tcMar>
              <w:top w:w="40" w:type="dxa"/>
              <w:left w:w="20" w:type="dxa"/>
              <w:bottom w:w="40" w:type="dxa"/>
              <w:right w:w="20" w:type="dxa"/>
            </w:tcMar>
            <w:vAlign w:val="bottom"/>
          </w:tcPr>
          <w:p w14:paraId="74DE1197" w14:textId="77777777" w:rsidR="00584EC1" w:rsidRDefault="00871F8D">
            <w:pPr>
              <w:jc w:val="center"/>
              <w:textAlignment w:val="bottom"/>
            </w:pPr>
            <w:r>
              <w:rPr>
                <w:rFonts w:ascii="Arial" w:eastAsia="宋体" w:hAnsi="Arial" w:cs="Arial"/>
                <w:b/>
                <w:bCs/>
                <w:color w:val="000000"/>
                <w:sz w:val="14"/>
                <w:szCs w:val="14"/>
              </w:rPr>
              <w:t>Three Months Ended September 30,</w:t>
            </w:r>
          </w:p>
        </w:tc>
        <w:tc>
          <w:tcPr>
            <w:tcW w:w="0" w:type="auto"/>
            <w:gridSpan w:val="3"/>
            <w:shd w:val="clear" w:color="auto" w:fill="auto"/>
            <w:tcMar>
              <w:top w:w="0" w:type="dxa"/>
              <w:left w:w="20" w:type="dxa"/>
              <w:bottom w:w="0" w:type="dxa"/>
              <w:right w:w="20" w:type="dxa"/>
            </w:tcMar>
            <w:vAlign w:val="bottom"/>
          </w:tcPr>
          <w:p w14:paraId="74DE1198" w14:textId="77777777" w:rsidR="00584EC1" w:rsidRDefault="00584EC1">
            <w:pPr>
              <w:rPr>
                <w:rFonts w:ascii="宋体"/>
              </w:rPr>
            </w:pPr>
          </w:p>
        </w:tc>
        <w:tc>
          <w:tcPr>
            <w:tcW w:w="0" w:type="auto"/>
            <w:gridSpan w:val="9"/>
            <w:shd w:val="clear" w:color="auto" w:fill="auto"/>
            <w:tcMar>
              <w:top w:w="40" w:type="dxa"/>
              <w:left w:w="20" w:type="dxa"/>
              <w:bottom w:w="40" w:type="dxa"/>
              <w:right w:w="20" w:type="dxa"/>
            </w:tcMar>
            <w:vAlign w:val="bottom"/>
          </w:tcPr>
          <w:p w14:paraId="74DE1199" w14:textId="77777777" w:rsidR="00584EC1" w:rsidRDefault="00871F8D">
            <w:pPr>
              <w:jc w:val="center"/>
              <w:textAlignment w:val="bottom"/>
            </w:pPr>
            <w:r>
              <w:rPr>
                <w:rFonts w:ascii="Arial" w:eastAsia="宋体" w:hAnsi="Arial" w:cs="Arial"/>
                <w:b/>
                <w:bCs/>
                <w:color w:val="000000"/>
                <w:sz w:val="14"/>
                <w:szCs w:val="14"/>
              </w:rPr>
              <w:t>Nine Months Ended September 30,</w:t>
            </w:r>
          </w:p>
        </w:tc>
        <w:tc>
          <w:tcPr>
            <w:tcW w:w="0" w:type="auto"/>
            <w:shd w:val="clear" w:color="auto" w:fill="auto"/>
            <w:vAlign w:val="bottom"/>
          </w:tcPr>
          <w:p w14:paraId="74DE119A" w14:textId="77777777" w:rsidR="00584EC1" w:rsidRDefault="00584EC1">
            <w:pPr>
              <w:rPr>
                <w:rFonts w:ascii="宋体"/>
              </w:rPr>
            </w:pPr>
          </w:p>
        </w:tc>
        <w:tc>
          <w:tcPr>
            <w:tcW w:w="0" w:type="auto"/>
            <w:shd w:val="clear" w:color="auto" w:fill="auto"/>
            <w:vAlign w:val="bottom"/>
          </w:tcPr>
          <w:p w14:paraId="74DE119B" w14:textId="77777777" w:rsidR="00584EC1" w:rsidRDefault="00584EC1">
            <w:pPr>
              <w:rPr>
                <w:rFonts w:ascii="宋体"/>
              </w:rPr>
            </w:pPr>
          </w:p>
        </w:tc>
        <w:tc>
          <w:tcPr>
            <w:tcW w:w="0" w:type="auto"/>
            <w:shd w:val="clear" w:color="auto" w:fill="auto"/>
            <w:vAlign w:val="bottom"/>
          </w:tcPr>
          <w:p w14:paraId="74DE119C" w14:textId="77777777" w:rsidR="00584EC1" w:rsidRDefault="00584EC1">
            <w:pPr>
              <w:rPr>
                <w:rFonts w:ascii="宋体"/>
              </w:rPr>
            </w:pPr>
          </w:p>
        </w:tc>
        <w:tc>
          <w:tcPr>
            <w:tcW w:w="0" w:type="auto"/>
            <w:shd w:val="clear" w:color="auto" w:fill="auto"/>
            <w:vAlign w:val="bottom"/>
          </w:tcPr>
          <w:p w14:paraId="74DE119D" w14:textId="77777777" w:rsidR="00584EC1" w:rsidRDefault="00584EC1">
            <w:pPr>
              <w:rPr>
                <w:rFonts w:ascii="宋体"/>
              </w:rPr>
            </w:pPr>
          </w:p>
        </w:tc>
        <w:tc>
          <w:tcPr>
            <w:tcW w:w="0" w:type="auto"/>
            <w:shd w:val="clear" w:color="auto" w:fill="auto"/>
            <w:vAlign w:val="bottom"/>
          </w:tcPr>
          <w:p w14:paraId="74DE119E" w14:textId="77777777" w:rsidR="00584EC1" w:rsidRDefault="00584EC1">
            <w:pPr>
              <w:rPr>
                <w:rFonts w:ascii="宋体"/>
              </w:rPr>
            </w:pPr>
          </w:p>
        </w:tc>
        <w:tc>
          <w:tcPr>
            <w:tcW w:w="0" w:type="auto"/>
            <w:shd w:val="clear" w:color="auto" w:fill="auto"/>
            <w:vAlign w:val="bottom"/>
          </w:tcPr>
          <w:p w14:paraId="74DE119F" w14:textId="77777777" w:rsidR="00584EC1" w:rsidRDefault="00584EC1">
            <w:pPr>
              <w:rPr>
                <w:rFonts w:ascii="宋体"/>
              </w:rPr>
            </w:pPr>
          </w:p>
        </w:tc>
      </w:tr>
      <w:tr w:rsidR="00584EC1" w14:paraId="74DE11AB" w14:textId="77777777">
        <w:tc>
          <w:tcPr>
            <w:tcW w:w="0" w:type="auto"/>
            <w:gridSpan w:val="3"/>
            <w:shd w:val="clear" w:color="auto" w:fill="auto"/>
            <w:tcMar>
              <w:top w:w="40" w:type="dxa"/>
              <w:left w:w="20" w:type="dxa"/>
              <w:bottom w:w="40" w:type="dxa"/>
              <w:right w:w="20" w:type="dxa"/>
            </w:tcMar>
            <w:vAlign w:val="bottom"/>
          </w:tcPr>
          <w:p w14:paraId="74DE11A1" w14:textId="77777777" w:rsidR="00584EC1" w:rsidRDefault="00871F8D">
            <w:pPr>
              <w:textAlignment w:val="bottom"/>
            </w:pPr>
            <w:r>
              <w:rPr>
                <w:rFonts w:ascii="Arial" w:eastAsia="宋体" w:hAnsi="Arial" w:cs="Arial"/>
                <w:b/>
                <w:bCs/>
                <w:color w:val="000000"/>
                <w:sz w:val="14"/>
                <w:szCs w:val="14"/>
              </w:rPr>
              <w:t>(Dollars in millions, except per share amounts)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11A2" w14:textId="77777777" w:rsidR="00584EC1" w:rsidRDefault="00871F8D">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11A3"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11A4" w14:textId="77777777" w:rsidR="00584EC1" w:rsidRDefault="00871F8D">
            <w:pPr>
              <w:jc w:val="center"/>
              <w:textAlignment w:val="bottom"/>
            </w:pPr>
            <w:r>
              <w:rPr>
                <w:rFonts w:ascii="Arial" w:eastAsia="宋体" w:hAnsi="Arial" w:cs="Arial"/>
                <w:b/>
                <w:bCs/>
                <w:color w:val="000000"/>
                <w:sz w:val="14"/>
                <w:szCs w:val="14"/>
              </w:rPr>
              <w:t>2020</w:t>
            </w:r>
          </w:p>
        </w:tc>
        <w:tc>
          <w:tcPr>
            <w:tcW w:w="0" w:type="auto"/>
            <w:gridSpan w:val="3"/>
            <w:shd w:val="clear" w:color="auto" w:fill="auto"/>
            <w:tcMar>
              <w:top w:w="0" w:type="dxa"/>
              <w:left w:w="20" w:type="dxa"/>
              <w:bottom w:w="0" w:type="dxa"/>
              <w:right w:w="20" w:type="dxa"/>
            </w:tcMar>
            <w:vAlign w:val="bottom"/>
          </w:tcPr>
          <w:p w14:paraId="74DE11A5"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11A6" w14:textId="77777777" w:rsidR="00584EC1" w:rsidRDefault="00871F8D">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11A7"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11A8" w14:textId="77777777" w:rsidR="00584EC1" w:rsidRDefault="00871F8D">
            <w:pPr>
              <w:jc w:val="center"/>
              <w:textAlignment w:val="bottom"/>
            </w:pPr>
            <w:r>
              <w:rPr>
                <w:rFonts w:ascii="Arial" w:eastAsia="宋体" w:hAnsi="Arial" w:cs="Arial"/>
                <w:b/>
                <w:bCs/>
                <w:color w:val="000000"/>
                <w:sz w:val="14"/>
                <w:szCs w:val="14"/>
              </w:rPr>
              <w:t>2020</w:t>
            </w:r>
          </w:p>
        </w:tc>
        <w:tc>
          <w:tcPr>
            <w:tcW w:w="0" w:type="auto"/>
            <w:gridSpan w:val="3"/>
            <w:shd w:val="clear" w:color="auto" w:fill="auto"/>
            <w:vAlign w:val="bottom"/>
          </w:tcPr>
          <w:p w14:paraId="74DE11A9" w14:textId="77777777" w:rsidR="00584EC1" w:rsidRDefault="00584EC1">
            <w:pPr>
              <w:rPr>
                <w:rFonts w:ascii="宋体"/>
                <w:vanish/>
              </w:rPr>
            </w:pPr>
          </w:p>
        </w:tc>
        <w:tc>
          <w:tcPr>
            <w:tcW w:w="0" w:type="auto"/>
            <w:gridSpan w:val="3"/>
            <w:shd w:val="clear" w:color="auto" w:fill="auto"/>
            <w:vAlign w:val="bottom"/>
          </w:tcPr>
          <w:p w14:paraId="74DE11AA" w14:textId="77777777" w:rsidR="00584EC1" w:rsidRDefault="00584EC1">
            <w:pPr>
              <w:rPr>
                <w:rFonts w:ascii="宋体"/>
                <w:vanish/>
              </w:rPr>
            </w:pPr>
          </w:p>
        </w:tc>
      </w:tr>
      <w:tr w:rsidR="00584EC1" w14:paraId="74DE11BE" w14:textId="77777777">
        <w:tc>
          <w:tcPr>
            <w:tcW w:w="0" w:type="auto"/>
            <w:gridSpan w:val="3"/>
            <w:shd w:val="clear" w:color="auto" w:fill="CCEEFF"/>
            <w:tcMar>
              <w:top w:w="40" w:type="dxa"/>
              <w:left w:w="20" w:type="dxa"/>
              <w:bottom w:w="40" w:type="dxa"/>
              <w:right w:w="20" w:type="dxa"/>
            </w:tcMar>
            <w:vAlign w:val="bottom"/>
          </w:tcPr>
          <w:p w14:paraId="74DE11AC" w14:textId="77777777" w:rsidR="00584EC1" w:rsidRDefault="00871F8D">
            <w:pPr>
              <w:textAlignment w:val="bottom"/>
            </w:pPr>
            <w:r>
              <w:rPr>
                <w:rFonts w:ascii="Arial" w:eastAsia="宋体" w:hAnsi="Arial" w:cs="Arial"/>
                <w:b/>
                <w:bCs/>
                <w:color w:val="000000"/>
                <w:sz w:val="14"/>
                <w:szCs w:val="14"/>
              </w:rPr>
              <w:t>Net income</w:t>
            </w:r>
          </w:p>
        </w:tc>
        <w:tc>
          <w:tcPr>
            <w:tcW w:w="0" w:type="auto"/>
            <w:tcBorders>
              <w:top w:val="single" w:sz="8" w:space="0" w:color="000000"/>
            </w:tcBorders>
            <w:shd w:val="clear" w:color="auto" w:fill="CCEEFF"/>
            <w:tcMar>
              <w:top w:w="40" w:type="dxa"/>
              <w:left w:w="20" w:type="dxa"/>
              <w:bottom w:w="40" w:type="dxa"/>
              <w:right w:w="0" w:type="dxa"/>
            </w:tcMar>
            <w:vAlign w:val="bottom"/>
          </w:tcPr>
          <w:p w14:paraId="74DE11AD"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11AE" w14:textId="77777777" w:rsidR="00584EC1" w:rsidRDefault="00871F8D">
            <w:pPr>
              <w:jc w:val="right"/>
              <w:textAlignment w:val="bottom"/>
            </w:pPr>
            <w:r>
              <w:rPr>
                <w:rFonts w:ascii="Arial" w:eastAsia="宋体" w:hAnsi="Arial" w:cs="Arial"/>
                <w:b/>
                <w:bCs/>
                <w:color w:val="000000"/>
                <w:sz w:val="14"/>
                <w:szCs w:val="14"/>
              </w:rPr>
              <w:t>714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1A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1B0"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11B1"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11B2" w14:textId="77777777" w:rsidR="00584EC1" w:rsidRDefault="00871F8D">
            <w:pPr>
              <w:jc w:val="right"/>
              <w:textAlignment w:val="bottom"/>
            </w:pPr>
            <w:r>
              <w:rPr>
                <w:rFonts w:ascii="Arial" w:eastAsia="宋体" w:hAnsi="Arial" w:cs="Arial"/>
                <w:color w:val="000000"/>
                <w:sz w:val="14"/>
                <w:szCs w:val="14"/>
              </w:rPr>
              <w:t>555 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1B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1B4"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11B5"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11B6" w14:textId="77777777" w:rsidR="00584EC1" w:rsidRDefault="00871F8D">
            <w:pPr>
              <w:jc w:val="right"/>
              <w:textAlignment w:val="bottom"/>
            </w:pPr>
            <w:r>
              <w:rPr>
                <w:rFonts w:ascii="Arial" w:eastAsia="宋体" w:hAnsi="Arial" w:cs="Arial"/>
                <w:b/>
                <w:bCs/>
                <w:color w:val="000000"/>
                <w:sz w:val="14"/>
                <w:szCs w:val="14"/>
              </w:rPr>
              <w:t>1,996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1B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1B8"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11B9"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11BA" w14:textId="77777777" w:rsidR="00584EC1" w:rsidRDefault="00871F8D">
            <w:pPr>
              <w:jc w:val="right"/>
              <w:textAlignment w:val="bottom"/>
            </w:pPr>
            <w:r>
              <w:rPr>
                <w:rFonts w:ascii="Arial" w:eastAsia="宋体" w:hAnsi="Arial" w:cs="Arial"/>
                <w:color w:val="000000"/>
                <w:sz w:val="14"/>
                <w:szCs w:val="14"/>
              </w:rPr>
              <w:t>1,883 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1BB" w14:textId="77777777" w:rsidR="00584EC1" w:rsidRDefault="00584EC1">
            <w:pPr>
              <w:jc w:val="right"/>
              <w:rPr>
                <w:rFonts w:ascii="宋体"/>
              </w:rPr>
            </w:pPr>
          </w:p>
        </w:tc>
        <w:tc>
          <w:tcPr>
            <w:tcW w:w="0" w:type="auto"/>
            <w:gridSpan w:val="3"/>
            <w:shd w:val="clear" w:color="auto" w:fill="auto"/>
            <w:vAlign w:val="bottom"/>
          </w:tcPr>
          <w:p w14:paraId="74DE11BC" w14:textId="77777777" w:rsidR="00584EC1" w:rsidRDefault="00584EC1">
            <w:pPr>
              <w:rPr>
                <w:rFonts w:ascii="宋体"/>
                <w:vanish/>
              </w:rPr>
            </w:pPr>
          </w:p>
        </w:tc>
        <w:tc>
          <w:tcPr>
            <w:tcW w:w="0" w:type="auto"/>
            <w:gridSpan w:val="3"/>
            <w:shd w:val="clear" w:color="auto" w:fill="auto"/>
            <w:vAlign w:val="bottom"/>
          </w:tcPr>
          <w:p w14:paraId="74DE11BD" w14:textId="77777777" w:rsidR="00584EC1" w:rsidRDefault="00584EC1">
            <w:pPr>
              <w:rPr>
                <w:rFonts w:ascii="宋体"/>
                <w:vanish/>
              </w:rPr>
            </w:pPr>
          </w:p>
        </w:tc>
      </w:tr>
      <w:tr w:rsidR="00584EC1" w14:paraId="74DE11C9" w14:textId="77777777">
        <w:tc>
          <w:tcPr>
            <w:tcW w:w="0" w:type="auto"/>
            <w:gridSpan w:val="3"/>
            <w:shd w:val="clear" w:color="auto" w:fill="FFFFFF"/>
            <w:tcMar>
              <w:top w:w="40" w:type="dxa"/>
              <w:left w:w="20" w:type="dxa"/>
              <w:bottom w:w="40" w:type="dxa"/>
              <w:right w:w="20" w:type="dxa"/>
            </w:tcMar>
            <w:vAlign w:val="bottom"/>
          </w:tcPr>
          <w:p w14:paraId="74DE11BF" w14:textId="77777777" w:rsidR="00584EC1" w:rsidRDefault="00871F8D">
            <w:pPr>
              <w:textAlignment w:val="bottom"/>
            </w:pPr>
            <w:r>
              <w:rPr>
                <w:rFonts w:ascii="Arial" w:eastAsia="宋体" w:hAnsi="Arial" w:cs="Arial"/>
                <w:color w:val="000000"/>
                <w:sz w:val="14"/>
                <w:szCs w:val="14"/>
              </w:rPr>
              <w:t>Less:</w:t>
            </w:r>
          </w:p>
        </w:tc>
        <w:tc>
          <w:tcPr>
            <w:tcW w:w="0" w:type="auto"/>
            <w:gridSpan w:val="3"/>
            <w:shd w:val="clear" w:color="auto" w:fill="auto"/>
            <w:tcMar>
              <w:top w:w="0" w:type="dxa"/>
              <w:left w:w="20" w:type="dxa"/>
              <w:bottom w:w="0" w:type="dxa"/>
              <w:right w:w="20" w:type="dxa"/>
            </w:tcMar>
            <w:vAlign w:val="bottom"/>
          </w:tcPr>
          <w:p w14:paraId="74DE11C0"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11C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11C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11C3"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11C4"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11C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11C6" w14:textId="77777777" w:rsidR="00584EC1" w:rsidRDefault="00584EC1">
            <w:pPr>
              <w:rPr>
                <w:rFonts w:ascii="宋体"/>
              </w:rPr>
            </w:pPr>
          </w:p>
        </w:tc>
        <w:tc>
          <w:tcPr>
            <w:tcW w:w="0" w:type="auto"/>
            <w:gridSpan w:val="3"/>
            <w:shd w:val="clear" w:color="auto" w:fill="auto"/>
            <w:vAlign w:val="bottom"/>
          </w:tcPr>
          <w:p w14:paraId="74DE11C7" w14:textId="77777777" w:rsidR="00584EC1" w:rsidRDefault="00584EC1">
            <w:pPr>
              <w:rPr>
                <w:rFonts w:ascii="宋体"/>
                <w:vanish/>
              </w:rPr>
            </w:pPr>
          </w:p>
        </w:tc>
        <w:tc>
          <w:tcPr>
            <w:tcW w:w="0" w:type="auto"/>
            <w:gridSpan w:val="3"/>
            <w:shd w:val="clear" w:color="auto" w:fill="auto"/>
            <w:vAlign w:val="bottom"/>
          </w:tcPr>
          <w:p w14:paraId="74DE11C8" w14:textId="77777777" w:rsidR="00584EC1" w:rsidRDefault="00584EC1">
            <w:pPr>
              <w:rPr>
                <w:rFonts w:ascii="宋体"/>
                <w:vanish/>
              </w:rPr>
            </w:pPr>
          </w:p>
        </w:tc>
      </w:tr>
      <w:tr w:rsidR="00584EC1" w14:paraId="74DE11D8" w14:textId="77777777">
        <w:tc>
          <w:tcPr>
            <w:tcW w:w="0" w:type="auto"/>
            <w:gridSpan w:val="3"/>
            <w:shd w:val="clear" w:color="auto" w:fill="CCEEFF"/>
            <w:tcMar>
              <w:top w:w="40" w:type="dxa"/>
              <w:left w:w="125" w:type="dxa"/>
              <w:bottom w:w="40" w:type="dxa"/>
              <w:right w:w="20" w:type="dxa"/>
            </w:tcMar>
            <w:vAlign w:val="bottom"/>
          </w:tcPr>
          <w:p w14:paraId="74DE11CA" w14:textId="77777777" w:rsidR="00584EC1" w:rsidRDefault="00871F8D">
            <w:pPr>
              <w:textAlignment w:val="bottom"/>
            </w:pPr>
            <w:r>
              <w:rPr>
                <w:rFonts w:ascii="Arial" w:eastAsia="宋体" w:hAnsi="Arial" w:cs="Arial"/>
                <w:color w:val="000000"/>
                <w:sz w:val="14"/>
                <w:szCs w:val="14"/>
              </w:rPr>
              <w:t xml:space="preserve">Preferred stock dividends </w:t>
            </w:r>
          </w:p>
        </w:tc>
        <w:tc>
          <w:tcPr>
            <w:tcW w:w="0" w:type="auto"/>
            <w:gridSpan w:val="2"/>
            <w:shd w:val="clear" w:color="auto" w:fill="CCEEFF"/>
            <w:tcMar>
              <w:top w:w="40" w:type="dxa"/>
              <w:left w:w="20" w:type="dxa"/>
              <w:bottom w:w="40" w:type="dxa"/>
              <w:right w:w="0" w:type="dxa"/>
            </w:tcMar>
            <w:vAlign w:val="bottom"/>
          </w:tcPr>
          <w:p w14:paraId="74DE11CB" w14:textId="77777777" w:rsidR="00584EC1" w:rsidRDefault="00871F8D">
            <w:pPr>
              <w:jc w:val="right"/>
              <w:textAlignment w:val="bottom"/>
            </w:pPr>
            <w:r>
              <w:rPr>
                <w:rFonts w:ascii="Arial" w:eastAsia="宋体" w:hAnsi="Arial" w:cs="Arial"/>
                <w:b/>
                <w:bCs/>
                <w:color w:val="000000"/>
                <w:sz w:val="14"/>
                <w:szCs w:val="14"/>
              </w:rPr>
              <w:t>(21)</w:t>
            </w:r>
          </w:p>
        </w:tc>
        <w:tc>
          <w:tcPr>
            <w:tcW w:w="0" w:type="auto"/>
            <w:shd w:val="clear" w:color="auto" w:fill="CCEEFF"/>
            <w:tcMar>
              <w:top w:w="40" w:type="dxa"/>
              <w:left w:w="0" w:type="dxa"/>
              <w:bottom w:w="40" w:type="dxa"/>
              <w:right w:w="20" w:type="dxa"/>
            </w:tcMar>
            <w:vAlign w:val="bottom"/>
          </w:tcPr>
          <w:p w14:paraId="74DE11C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1C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1CE" w14:textId="77777777" w:rsidR="00584EC1" w:rsidRDefault="00871F8D">
            <w:pPr>
              <w:jc w:val="right"/>
              <w:textAlignment w:val="bottom"/>
            </w:pPr>
            <w:r>
              <w:rPr>
                <w:rFonts w:ascii="Arial" w:eastAsia="宋体" w:hAnsi="Arial" w:cs="Arial"/>
                <w:color w:val="000000"/>
                <w:sz w:val="14"/>
                <w:szCs w:val="14"/>
              </w:rPr>
              <w:t>(38)</w:t>
            </w:r>
          </w:p>
        </w:tc>
        <w:tc>
          <w:tcPr>
            <w:tcW w:w="0" w:type="auto"/>
            <w:shd w:val="clear" w:color="auto" w:fill="CCEEFF"/>
            <w:tcMar>
              <w:top w:w="40" w:type="dxa"/>
              <w:left w:w="0" w:type="dxa"/>
              <w:bottom w:w="40" w:type="dxa"/>
              <w:right w:w="20" w:type="dxa"/>
            </w:tcMar>
            <w:vAlign w:val="bottom"/>
          </w:tcPr>
          <w:p w14:paraId="74DE11C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1D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1D1" w14:textId="77777777" w:rsidR="00584EC1" w:rsidRDefault="00871F8D">
            <w:pPr>
              <w:jc w:val="right"/>
              <w:textAlignment w:val="bottom"/>
            </w:pPr>
            <w:r>
              <w:rPr>
                <w:rFonts w:ascii="Arial" w:eastAsia="宋体" w:hAnsi="Arial" w:cs="Arial"/>
                <w:b/>
                <w:bCs/>
                <w:color w:val="000000"/>
                <w:sz w:val="14"/>
                <w:szCs w:val="14"/>
              </w:rPr>
              <w:t>(85)</w:t>
            </w:r>
          </w:p>
        </w:tc>
        <w:tc>
          <w:tcPr>
            <w:tcW w:w="0" w:type="auto"/>
            <w:shd w:val="clear" w:color="auto" w:fill="CCEEFF"/>
            <w:tcMar>
              <w:top w:w="40" w:type="dxa"/>
              <w:left w:w="0" w:type="dxa"/>
              <w:bottom w:w="40" w:type="dxa"/>
              <w:right w:w="20" w:type="dxa"/>
            </w:tcMar>
            <w:vAlign w:val="bottom"/>
          </w:tcPr>
          <w:p w14:paraId="74DE11D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1D3"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1D4" w14:textId="77777777" w:rsidR="00584EC1" w:rsidRDefault="00871F8D">
            <w:pPr>
              <w:jc w:val="right"/>
              <w:textAlignment w:val="bottom"/>
            </w:pPr>
            <w:r>
              <w:rPr>
                <w:rFonts w:ascii="Arial" w:eastAsia="宋体" w:hAnsi="Arial" w:cs="Arial"/>
                <w:color w:val="000000"/>
                <w:sz w:val="14"/>
                <w:szCs w:val="14"/>
              </w:rPr>
              <w:t>(123)</w:t>
            </w:r>
          </w:p>
        </w:tc>
        <w:tc>
          <w:tcPr>
            <w:tcW w:w="0" w:type="auto"/>
            <w:shd w:val="clear" w:color="auto" w:fill="CCEEFF"/>
            <w:tcMar>
              <w:top w:w="40" w:type="dxa"/>
              <w:left w:w="0" w:type="dxa"/>
              <w:bottom w:w="40" w:type="dxa"/>
              <w:right w:w="20" w:type="dxa"/>
            </w:tcMar>
            <w:vAlign w:val="bottom"/>
          </w:tcPr>
          <w:p w14:paraId="74DE11D5" w14:textId="77777777" w:rsidR="00584EC1" w:rsidRDefault="00584EC1">
            <w:pPr>
              <w:jc w:val="right"/>
              <w:rPr>
                <w:rFonts w:ascii="宋体"/>
              </w:rPr>
            </w:pPr>
          </w:p>
        </w:tc>
        <w:tc>
          <w:tcPr>
            <w:tcW w:w="0" w:type="auto"/>
            <w:gridSpan w:val="3"/>
            <w:shd w:val="clear" w:color="auto" w:fill="auto"/>
            <w:vAlign w:val="bottom"/>
          </w:tcPr>
          <w:p w14:paraId="74DE11D6" w14:textId="77777777" w:rsidR="00584EC1" w:rsidRDefault="00584EC1">
            <w:pPr>
              <w:rPr>
                <w:rFonts w:ascii="宋体"/>
                <w:vanish/>
              </w:rPr>
            </w:pPr>
          </w:p>
        </w:tc>
        <w:tc>
          <w:tcPr>
            <w:tcW w:w="0" w:type="auto"/>
            <w:gridSpan w:val="3"/>
            <w:shd w:val="clear" w:color="auto" w:fill="auto"/>
            <w:vAlign w:val="bottom"/>
          </w:tcPr>
          <w:p w14:paraId="74DE11D7" w14:textId="77777777" w:rsidR="00584EC1" w:rsidRDefault="00584EC1">
            <w:pPr>
              <w:rPr>
                <w:rFonts w:ascii="宋体"/>
                <w:vanish/>
              </w:rPr>
            </w:pPr>
          </w:p>
        </w:tc>
      </w:tr>
      <w:tr w:rsidR="00584EC1" w14:paraId="74DE11E7" w14:textId="77777777">
        <w:tc>
          <w:tcPr>
            <w:tcW w:w="0" w:type="auto"/>
            <w:gridSpan w:val="3"/>
            <w:shd w:val="clear" w:color="auto" w:fill="FFFFFF"/>
            <w:tcMar>
              <w:top w:w="40" w:type="dxa"/>
              <w:left w:w="20" w:type="dxa"/>
              <w:bottom w:w="40" w:type="dxa"/>
              <w:right w:w="20" w:type="dxa"/>
            </w:tcMar>
            <w:vAlign w:val="bottom"/>
          </w:tcPr>
          <w:p w14:paraId="74DE11D9" w14:textId="77777777" w:rsidR="00584EC1" w:rsidRDefault="00871F8D">
            <w:pPr>
              <w:textAlignment w:val="bottom"/>
            </w:pPr>
            <w:r>
              <w:rPr>
                <w:rFonts w:ascii="Arial" w:eastAsia="宋体" w:hAnsi="Arial" w:cs="Arial"/>
                <w:color w:val="000000"/>
                <w:sz w:val="14"/>
                <w:szCs w:val="14"/>
              </w:rPr>
              <w:t>Dividends and undistributed earnings allocated to participating securities</w:t>
            </w:r>
            <w:r>
              <w:rPr>
                <w:rFonts w:ascii="Arial" w:eastAsia="宋体" w:hAnsi="Arial" w:cs="Arial"/>
                <w:color w:val="000000"/>
                <w:sz w:val="9"/>
                <w:szCs w:val="9"/>
              </w:rPr>
              <w:t>(1)</w:t>
            </w:r>
          </w:p>
        </w:tc>
        <w:tc>
          <w:tcPr>
            <w:tcW w:w="0" w:type="auto"/>
            <w:gridSpan w:val="2"/>
            <w:shd w:val="clear" w:color="auto" w:fill="auto"/>
            <w:tcMar>
              <w:top w:w="40" w:type="dxa"/>
              <w:left w:w="20" w:type="dxa"/>
              <w:bottom w:w="40" w:type="dxa"/>
              <w:right w:w="0" w:type="dxa"/>
            </w:tcMar>
            <w:vAlign w:val="bottom"/>
          </w:tcPr>
          <w:p w14:paraId="74DE11DA"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auto"/>
            <w:tcMar>
              <w:top w:w="40" w:type="dxa"/>
              <w:left w:w="0" w:type="dxa"/>
              <w:bottom w:w="40" w:type="dxa"/>
              <w:right w:w="20" w:type="dxa"/>
            </w:tcMar>
            <w:vAlign w:val="bottom"/>
          </w:tcPr>
          <w:p w14:paraId="74DE11DB" w14:textId="77777777" w:rsidR="00584EC1" w:rsidRDefault="00584EC1">
            <w:pPr>
              <w:jc w:val="right"/>
              <w:rPr>
                <w:rFonts w:ascii="宋体"/>
              </w:rPr>
            </w:pPr>
          </w:p>
        </w:tc>
        <w:tc>
          <w:tcPr>
            <w:tcW w:w="0" w:type="auto"/>
            <w:gridSpan w:val="3"/>
            <w:shd w:val="clear" w:color="auto" w:fill="auto"/>
            <w:tcMar>
              <w:top w:w="0" w:type="dxa"/>
              <w:left w:w="20" w:type="dxa"/>
              <w:bottom w:w="0" w:type="dxa"/>
              <w:right w:w="20" w:type="dxa"/>
            </w:tcMar>
            <w:vAlign w:val="bottom"/>
          </w:tcPr>
          <w:p w14:paraId="74DE11DC" w14:textId="77777777" w:rsidR="00584EC1" w:rsidRDefault="00584EC1">
            <w:pPr>
              <w:rPr>
                <w:rFonts w:ascii="宋体"/>
              </w:rPr>
            </w:pPr>
          </w:p>
        </w:tc>
        <w:tc>
          <w:tcPr>
            <w:tcW w:w="0" w:type="auto"/>
            <w:gridSpan w:val="2"/>
            <w:shd w:val="clear" w:color="auto" w:fill="auto"/>
            <w:tcMar>
              <w:top w:w="40" w:type="dxa"/>
              <w:left w:w="20" w:type="dxa"/>
              <w:bottom w:w="40" w:type="dxa"/>
              <w:right w:w="0" w:type="dxa"/>
            </w:tcMar>
            <w:vAlign w:val="bottom"/>
          </w:tcPr>
          <w:p w14:paraId="74DE11DD"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auto"/>
            <w:tcMar>
              <w:top w:w="40" w:type="dxa"/>
              <w:left w:w="0" w:type="dxa"/>
              <w:bottom w:w="40" w:type="dxa"/>
              <w:right w:w="20" w:type="dxa"/>
            </w:tcMar>
            <w:vAlign w:val="bottom"/>
          </w:tcPr>
          <w:p w14:paraId="74DE11DE" w14:textId="77777777" w:rsidR="00584EC1" w:rsidRDefault="00584EC1">
            <w:pPr>
              <w:jc w:val="right"/>
              <w:rPr>
                <w:rFonts w:ascii="宋体"/>
              </w:rPr>
            </w:pPr>
          </w:p>
        </w:tc>
        <w:tc>
          <w:tcPr>
            <w:tcW w:w="0" w:type="auto"/>
            <w:gridSpan w:val="3"/>
            <w:shd w:val="clear" w:color="auto" w:fill="auto"/>
            <w:tcMar>
              <w:top w:w="0" w:type="dxa"/>
              <w:left w:w="20" w:type="dxa"/>
              <w:bottom w:w="0" w:type="dxa"/>
              <w:right w:w="20" w:type="dxa"/>
            </w:tcMar>
            <w:vAlign w:val="bottom"/>
          </w:tcPr>
          <w:p w14:paraId="74DE11DF" w14:textId="77777777" w:rsidR="00584EC1" w:rsidRDefault="00584EC1">
            <w:pPr>
              <w:rPr>
                <w:rFonts w:ascii="宋体"/>
              </w:rPr>
            </w:pPr>
          </w:p>
        </w:tc>
        <w:tc>
          <w:tcPr>
            <w:tcW w:w="0" w:type="auto"/>
            <w:gridSpan w:val="2"/>
            <w:shd w:val="clear" w:color="auto" w:fill="auto"/>
            <w:tcMar>
              <w:top w:w="40" w:type="dxa"/>
              <w:left w:w="20" w:type="dxa"/>
              <w:bottom w:w="40" w:type="dxa"/>
              <w:right w:w="0" w:type="dxa"/>
            </w:tcMar>
            <w:vAlign w:val="bottom"/>
          </w:tcPr>
          <w:p w14:paraId="74DE11E0" w14:textId="77777777" w:rsidR="00584EC1" w:rsidRDefault="00871F8D">
            <w:pPr>
              <w:jc w:val="right"/>
              <w:textAlignment w:val="bottom"/>
            </w:pPr>
            <w:r>
              <w:rPr>
                <w:rFonts w:ascii="Arial" w:eastAsia="宋体" w:hAnsi="Arial" w:cs="Arial"/>
                <w:b/>
                <w:bCs/>
                <w:color w:val="000000"/>
                <w:sz w:val="14"/>
                <w:szCs w:val="14"/>
              </w:rPr>
              <w:t>(1)</w:t>
            </w:r>
          </w:p>
        </w:tc>
        <w:tc>
          <w:tcPr>
            <w:tcW w:w="0" w:type="auto"/>
            <w:shd w:val="clear" w:color="auto" w:fill="auto"/>
            <w:tcMar>
              <w:top w:w="40" w:type="dxa"/>
              <w:left w:w="0" w:type="dxa"/>
              <w:bottom w:w="40" w:type="dxa"/>
              <w:right w:w="20" w:type="dxa"/>
            </w:tcMar>
            <w:vAlign w:val="bottom"/>
          </w:tcPr>
          <w:p w14:paraId="74DE11E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1E2" w14:textId="77777777" w:rsidR="00584EC1" w:rsidRDefault="00584EC1">
            <w:pPr>
              <w:rPr>
                <w:rFonts w:ascii="宋体"/>
              </w:rPr>
            </w:pPr>
          </w:p>
        </w:tc>
        <w:tc>
          <w:tcPr>
            <w:tcW w:w="0" w:type="auto"/>
            <w:gridSpan w:val="2"/>
            <w:shd w:val="clear" w:color="auto" w:fill="auto"/>
            <w:tcMar>
              <w:top w:w="40" w:type="dxa"/>
              <w:left w:w="20" w:type="dxa"/>
              <w:bottom w:w="40" w:type="dxa"/>
              <w:right w:w="0" w:type="dxa"/>
            </w:tcMar>
            <w:vAlign w:val="bottom"/>
          </w:tcPr>
          <w:p w14:paraId="74DE11E3" w14:textId="77777777" w:rsidR="00584EC1" w:rsidRDefault="00871F8D">
            <w:pPr>
              <w:jc w:val="right"/>
              <w:textAlignment w:val="bottom"/>
            </w:pPr>
            <w:r>
              <w:rPr>
                <w:rFonts w:ascii="Arial" w:eastAsia="宋体" w:hAnsi="Arial" w:cs="Arial"/>
                <w:color w:val="000000"/>
                <w:sz w:val="14"/>
                <w:szCs w:val="14"/>
              </w:rPr>
              <w:t>(1)</w:t>
            </w:r>
          </w:p>
        </w:tc>
        <w:tc>
          <w:tcPr>
            <w:tcW w:w="0" w:type="auto"/>
            <w:shd w:val="clear" w:color="auto" w:fill="auto"/>
            <w:tcMar>
              <w:top w:w="40" w:type="dxa"/>
              <w:left w:w="0" w:type="dxa"/>
              <w:bottom w:w="40" w:type="dxa"/>
              <w:right w:w="20" w:type="dxa"/>
            </w:tcMar>
            <w:vAlign w:val="bottom"/>
          </w:tcPr>
          <w:p w14:paraId="74DE11E4" w14:textId="77777777" w:rsidR="00584EC1" w:rsidRDefault="00584EC1">
            <w:pPr>
              <w:jc w:val="right"/>
              <w:rPr>
                <w:rFonts w:ascii="宋体"/>
              </w:rPr>
            </w:pPr>
          </w:p>
        </w:tc>
        <w:tc>
          <w:tcPr>
            <w:tcW w:w="0" w:type="auto"/>
            <w:gridSpan w:val="3"/>
            <w:shd w:val="clear" w:color="auto" w:fill="auto"/>
            <w:vAlign w:val="bottom"/>
          </w:tcPr>
          <w:p w14:paraId="74DE11E5" w14:textId="77777777" w:rsidR="00584EC1" w:rsidRDefault="00584EC1">
            <w:pPr>
              <w:rPr>
                <w:rFonts w:ascii="宋体"/>
                <w:vanish/>
              </w:rPr>
            </w:pPr>
          </w:p>
        </w:tc>
        <w:tc>
          <w:tcPr>
            <w:tcW w:w="0" w:type="auto"/>
            <w:gridSpan w:val="3"/>
            <w:shd w:val="clear" w:color="auto" w:fill="auto"/>
            <w:vAlign w:val="bottom"/>
          </w:tcPr>
          <w:p w14:paraId="74DE11E6" w14:textId="77777777" w:rsidR="00584EC1" w:rsidRDefault="00584EC1">
            <w:pPr>
              <w:rPr>
                <w:rFonts w:ascii="宋体"/>
                <w:vanish/>
              </w:rPr>
            </w:pPr>
          </w:p>
        </w:tc>
      </w:tr>
      <w:tr w:rsidR="00584EC1" w14:paraId="74DE11FA" w14:textId="77777777">
        <w:tc>
          <w:tcPr>
            <w:tcW w:w="0" w:type="auto"/>
            <w:gridSpan w:val="3"/>
            <w:shd w:val="clear" w:color="auto" w:fill="CCEEFF"/>
            <w:tcMar>
              <w:top w:w="40" w:type="dxa"/>
              <w:left w:w="20" w:type="dxa"/>
              <w:bottom w:w="40" w:type="dxa"/>
              <w:right w:w="20" w:type="dxa"/>
            </w:tcMar>
            <w:vAlign w:val="bottom"/>
          </w:tcPr>
          <w:p w14:paraId="74DE11E8" w14:textId="77777777" w:rsidR="00584EC1" w:rsidRDefault="00871F8D">
            <w:pPr>
              <w:textAlignment w:val="bottom"/>
            </w:pPr>
            <w:r>
              <w:rPr>
                <w:rFonts w:ascii="Arial" w:eastAsia="宋体" w:hAnsi="Arial" w:cs="Arial"/>
                <w:color w:val="000000"/>
                <w:sz w:val="14"/>
                <w:szCs w:val="14"/>
              </w:rPr>
              <w:t>Net income available to common shareholders</w:t>
            </w:r>
          </w:p>
        </w:tc>
        <w:tc>
          <w:tcPr>
            <w:tcW w:w="0" w:type="auto"/>
            <w:tcBorders>
              <w:top w:val="single" w:sz="8" w:space="0" w:color="000000"/>
            </w:tcBorders>
            <w:shd w:val="clear" w:color="auto" w:fill="CCEEFF"/>
            <w:tcMar>
              <w:top w:w="40" w:type="dxa"/>
              <w:left w:w="20" w:type="dxa"/>
              <w:bottom w:w="40" w:type="dxa"/>
              <w:right w:w="0" w:type="dxa"/>
            </w:tcMar>
            <w:vAlign w:val="bottom"/>
          </w:tcPr>
          <w:p w14:paraId="74DE11E9"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11EA" w14:textId="77777777" w:rsidR="00584EC1" w:rsidRDefault="00871F8D">
            <w:pPr>
              <w:jc w:val="right"/>
              <w:textAlignment w:val="bottom"/>
            </w:pPr>
            <w:r>
              <w:rPr>
                <w:rFonts w:ascii="Arial" w:eastAsia="宋体" w:hAnsi="Arial" w:cs="Arial"/>
                <w:b/>
                <w:bCs/>
                <w:color w:val="000000"/>
                <w:sz w:val="14"/>
                <w:szCs w:val="14"/>
              </w:rPr>
              <w:t>693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1E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1EC"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11ED"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11EE" w14:textId="77777777" w:rsidR="00584EC1" w:rsidRDefault="00871F8D">
            <w:pPr>
              <w:jc w:val="right"/>
              <w:textAlignment w:val="bottom"/>
            </w:pPr>
            <w:r>
              <w:rPr>
                <w:rFonts w:ascii="Arial" w:eastAsia="宋体" w:hAnsi="Arial" w:cs="Arial"/>
                <w:color w:val="000000"/>
                <w:sz w:val="14"/>
                <w:szCs w:val="14"/>
              </w:rPr>
              <w:t>517 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1E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1F0"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11F1"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11F2" w14:textId="77777777" w:rsidR="00584EC1" w:rsidRDefault="00871F8D">
            <w:pPr>
              <w:jc w:val="right"/>
              <w:textAlignment w:val="bottom"/>
            </w:pPr>
            <w:r>
              <w:rPr>
                <w:rFonts w:ascii="Arial" w:eastAsia="宋体" w:hAnsi="Arial" w:cs="Arial"/>
                <w:b/>
                <w:bCs/>
                <w:color w:val="000000"/>
                <w:sz w:val="14"/>
                <w:szCs w:val="14"/>
              </w:rPr>
              <w:t>1,910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1F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1F4"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11F5"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11F6" w14:textId="77777777" w:rsidR="00584EC1" w:rsidRDefault="00871F8D">
            <w:pPr>
              <w:jc w:val="right"/>
              <w:textAlignment w:val="bottom"/>
            </w:pPr>
            <w:r>
              <w:rPr>
                <w:rFonts w:ascii="Arial" w:eastAsia="宋体" w:hAnsi="Arial" w:cs="Arial"/>
                <w:color w:val="000000"/>
                <w:sz w:val="14"/>
                <w:szCs w:val="14"/>
              </w:rPr>
              <w:t>1,759 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1F7" w14:textId="77777777" w:rsidR="00584EC1" w:rsidRDefault="00584EC1">
            <w:pPr>
              <w:jc w:val="right"/>
              <w:rPr>
                <w:rFonts w:ascii="宋体"/>
              </w:rPr>
            </w:pPr>
          </w:p>
        </w:tc>
        <w:tc>
          <w:tcPr>
            <w:tcW w:w="0" w:type="auto"/>
            <w:gridSpan w:val="3"/>
            <w:shd w:val="clear" w:color="auto" w:fill="auto"/>
            <w:vAlign w:val="bottom"/>
          </w:tcPr>
          <w:p w14:paraId="74DE11F8" w14:textId="77777777" w:rsidR="00584EC1" w:rsidRDefault="00584EC1">
            <w:pPr>
              <w:rPr>
                <w:rFonts w:ascii="宋体"/>
                <w:vanish/>
              </w:rPr>
            </w:pPr>
          </w:p>
        </w:tc>
        <w:tc>
          <w:tcPr>
            <w:tcW w:w="0" w:type="auto"/>
            <w:gridSpan w:val="3"/>
            <w:shd w:val="clear" w:color="auto" w:fill="auto"/>
            <w:vAlign w:val="bottom"/>
          </w:tcPr>
          <w:p w14:paraId="74DE11F9" w14:textId="77777777" w:rsidR="00584EC1" w:rsidRDefault="00584EC1">
            <w:pPr>
              <w:rPr>
                <w:rFonts w:ascii="宋体"/>
                <w:vanish/>
              </w:rPr>
            </w:pPr>
          </w:p>
        </w:tc>
      </w:tr>
      <w:tr w:rsidR="00584EC1" w14:paraId="74DE1205" w14:textId="77777777">
        <w:tc>
          <w:tcPr>
            <w:tcW w:w="0" w:type="auto"/>
            <w:gridSpan w:val="3"/>
            <w:shd w:val="clear" w:color="auto" w:fill="auto"/>
            <w:tcMar>
              <w:top w:w="40" w:type="dxa"/>
              <w:left w:w="20" w:type="dxa"/>
              <w:bottom w:w="40" w:type="dxa"/>
              <w:right w:w="20" w:type="dxa"/>
            </w:tcMar>
            <w:vAlign w:val="bottom"/>
          </w:tcPr>
          <w:p w14:paraId="74DE11FB" w14:textId="77777777" w:rsidR="00584EC1" w:rsidRDefault="00871F8D">
            <w:pPr>
              <w:textAlignment w:val="bottom"/>
            </w:pPr>
            <w:r>
              <w:rPr>
                <w:rFonts w:ascii="Arial" w:eastAsia="宋体" w:hAnsi="Arial" w:cs="Arial"/>
                <w:b/>
                <w:bCs/>
                <w:color w:val="000000"/>
                <w:sz w:val="14"/>
                <w:szCs w:val="14"/>
              </w:rPr>
              <w:t>Average common shares outstanding (In thousands):</w:t>
            </w: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E11FC"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11FD"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E11FE"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11FF"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E1200"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1201"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E1202" w14:textId="77777777" w:rsidR="00584EC1" w:rsidRDefault="00584EC1">
            <w:pPr>
              <w:rPr>
                <w:rFonts w:ascii="宋体"/>
              </w:rPr>
            </w:pPr>
          </w:p>
        </w:tc>
        <w:tc>
          <w:tcPr>
            <w:tcW w:w="0" w:type="auto"/>
            <w:gridSpan w:val="3"/>
            <w:shd w:val="clear" w:color="auto" w:fill="auto"/>
            <w:vAlign w:val="bottom"/>
          </w:tcPr>
          <w:p w14:paraId="74DE1203" w14:textId="77777777" w:rsidR="00584EC1" w:rsidRDefault="00584EC1">
            <w:pPr>
              <w:rPr>
                <w:rFonts w:ascii="宋体"/>
                <w:vanish/>
              </w:rPr>
            </w:pPr>
          </w:p>
        </w:tc>
        <w:tc>
          <w:tcPr>
            <w:tcW w:w="0" w:type="auto"/>
            <w:gridSpan w:val="3"/>
            <w:shd w:val="clear" w:color="auto" w:fill="auto"/>
            <w:vAlign w:val="bottom"/>
          </w:tcPr>
          <w:p w14:paraId="74DE1204" w14:textId="77777777" w:rsidR="00584EC1" w:rsidRDefault="00584EC1">
            <w:pPr>
              <w:rPr>
                <w:rFonts w:ascii="宋体"/>
                <w:vanish/>
              </w:rPr>
            </w:pPr>
          </w:p>
        </w:tc>
      </w:tr>
      <w:tr w:rsidR="00584EC1" w14:paraId="74DE1214" w14:textId="77777777">
        <w:tc>
          <w:tcPr>
            <w:tcW w:w="0" w:type="auto"/>
            <w:gridSpan w:val="3"/>
            <w:shd w:val="clear" w:color="auto" w:fill="CCEEFF"/>
            <w:tcMar>
              <w:top w:w="40" w:type="dxa"/>
              <w:left w:w="20" w:type="dxa"/>
              <w:bottom w:w="40" w:type="dxa"/>
              <w:right w:w="20" w:type="dxa"/>
            </w:tcMar>
            <w:vAlign w:val="bottom"/>
          </w:tcPr>
          <w:p w14:paraId="74DE1206" w14:textId="77777777" w:rsidR="00584EC1" w:rsidRDefault="00871F8D">
            <w:pPr>
              <w:textAlignment w:val="bottom"/>
            </w:pPr>
            <w:r>
              <w:rPr>
                <w:rFonts w:ascii="Arial" w:eastAsia="宋体" w:hAnsi="Arial" w:cs="Arial"/>
                <w:color w:val="000000"/>
                <w:sz w:val="14"/>
                <w:szCs w:val="14"/>
              </w:rPr>
              <w:t>Basic average common shares</w:t>
            </w:r>
          </w:p>
        </w:tc>
        <w:tc>
          <w:tcPr>
            <w:tcW w:w="0" w:type="auto"/>
            <w:gridSpan w:val="2"/>
            <w:shd w:val="clear" w:color="auto" w:fill="CCEEFF"/>
            <w:tcMar>
              <w:top w:w="40" w:type="dxa"/>
              <w:left w:w="20" w:type="dxa"/>
              <w:bottom w:w="40" w:type="dxa"/>
              <w:right w:w="0" w:type="dxa"/>
            </w:tcMar>
            <w:vAlign w:val="bottom"/>
          </w:tcPr>
          <w:p w14:paraId="74DE1207" w14:textId="77777777" w:rsidR="00584EC1" w:rsidRDefault="00871F8D">
            <w:pPr>
              <w:jc w:val="right"/>
              <w:textAlignment w:val="bottom"/>
            </w:pPr>
            <w:r>
              <w:rPr>
                <w:rFonts w:ascii="Arial" w:eastAsia="宋体" w:hAnsi="Arial" w:cs="Arial"/>
                <w:b/>
                <w:bCs/>
                <w:color w:val="000000"/>
                <w:sz w:val="14"/>
                <w:szCs w:val="14"/>
              </w:rPr>
              <w:t>347,718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E120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20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20A" w14:textId="77777777" w:rsidR="00584EC1" w:rsidRDefault="00871F8D">
            <w:pPr>
              <w:jc w:val="right"/>
              <w:textAlignment w:val="bottom"/>
            </w:pPr>
            <w:r>
              <w:rPr>
                <w:rFonts w:ascii="Arial" w:eastAsia="宋体" w:hAnsi="Arial" w:cs="Arial"/>
                <w:color w:val="000000"/>
                <w:sz w:val="14"/>
                <w:szCs w:val="14"/>
              </w:rPr>
              <w:t>352,586 </w:t>
            </w:r>
          </w:p>
        </w:tc>
        <w:tc>
          <w:tcPr>
            <w:tcW w:w="0" w:type="auto"/>
            <w:shd w:val="clear" w:color="auto" w:fill="CCEEFF"/>
            <w:tcMar>
              <w:top w:w="40" w:type="dxa"/>
              <w:left w:w="0" w:type="dxa"/>
              <w:bottom w:w="40" w:type="dxa"/>
              <w:right w:w="20" w:type="dxa"/>
            </w:tcMar>
            <w:vAlign w:val="bottom"/>
          </w:tcPr>
          <w:p w14:paraId="74DE120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20C"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20D" w14:textId="77777777" w:rsidR="00584EC1" w:rsidRDefault="00871F8D">
            <w:pPr>
              <w:jc w:val="right"/>
              <w:textAlignment w:val="bottom"/>
            </w:pPr>
            <w:r>
              <w:rPr>
                <w:rFonts w:ascii="Arial" w:eastAsia="宋体" w:hAnsi="Arial" w:cs="Arial"/>
                <w:b/>
                <w:bCs/>
                <w:color w:val="000000"/>
                <w:sz w:val="14"/>
                <w:szCs w:val="14"/>
              </w:rPr>
              <w:t>348,106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E120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20F"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210" w14:textId="77777777" w:rsidR="00584EC1" w:rsidRDefault="00871F8D">
            <w:pPr>
              <w:jc w:val="right"/>
              <w:textAlignment w:val="bottom"/>
            </w:pPr>
            <w:r>
              <w:rPr>
                <w:rFonts w:ascii="Arial" w:eastAsia="宋体" w:hAnsi="Arial" w:cs="Arial"/>
                <w:color w:val="000000"/>
                <w:sz w:val="14"/>
                <w:szCs w:val="14"/>
              </w:rPr>
              <w:t>352,829 </w:t>
            </w:r>
          </w:p>
        </w:tc>
        <w:tc>
          <w:tcPr>
            <w:tcW w:w="0" w:type="auto"/>
            <w:shd w:val="clear" w:color="auto" w:fill="CCEEFF"/>
            <w:tcMar>
              <w:top w:w="40" w:type="dxa"/>
              <w:left w:w="0" w:type="dxa"/>
              <w:bottom w:w="40" w:type="dxa"/>
              <w:right w:w="20" w:type="dxa"/>
            </w:tcMar>
            <w:vAlign w:val="bottom"/>
          </w:tcPr>
          <w:p w14:paraId="74DE1211" w14:textId="77777777" w:rsidR="00584EC1" w:rsidRDefault="00584EC1">
            <w:pPr>
              <w:jc w:val="right"/>
              <w:rPr>
                <w:rFonts w:ascii="宋体"/>
              </w:rPr>
            </w:pPr>
          </w:p>
        </w:tc>
        <w:tc>
          <w:tcPr>
            <w:tcW w:w="0" w:type="auto"/>
            <w:gridSpan w:val="3"/>
            <w:shd w:val="clear" w:color="auto" w:fill="auto"/>
            <w:vAlign w:val="bottom"/>
          </w:tcPr>
          <w:p w14:paraId="74DE1212" w14:textId="77777777" w:rsidR="00584EC1" w:rsidRDefault="00584EC1">
            <w:pPr>
              <w:rPr>
                <w:rFonts w:ascii="宋体"/>
                <w:vanish/>
              </w:rPr>
            </w:pPr>
          </w:p>
        </w:tc>
        <w:tc>
          <w:tcPr>
            <w:tcW w:w="0" w:type="auto"/>
            <w:gridSpan w:val="3"/>
            <w:shd w:val="clear" w:color="auto" w:fill="auto"/>
            <w:vAlign w:val="bottom"/>
          </w:tcPr>
          <w:p w14:paraId="74DE1213" w14:textId="77777777" w:rsidR="00584EC1" w:rsidRDefault="00584EC1">
            <w:pPr>
              <w:rPr>
                <w:rFonts w:ascii="宋体"/>
                <w:vanish/>
              </w:rPr>
            </w:pPr>
          </w:p>
        </w:tc>
      </w:tr>
      <w:tr w:rsidR="00584EC1" w14:paraId="74DE1223" w14:textId="77777777">
        <w:tc>
          <w:tcPr>
            <w:tcW w:w="0" w:type="auto"/>
            <w:gridSpan w:val="3"/>
            <w:shd w:val="clear" w:color="auto" w:fill="auto"/>
            <w:tcMar>
              <w:top w:w="40" w:type="dxa"/>
              <w:left w:w="20" w:type="dxa"/>
              <w:bottom w:w="40" w:type="dxa"/>
              <w:right w:w="20" w:type="dxa"/>
            </w:tcMar>
            <w:vAlign w:val="bottom"/>
          </w:tcPr>
          <w:p w14:paraId="74DE1215" w14:textId="77777777" w:rsidR="00584EC1" w:rsidRDefault="00871F8D">
            <w:pPr>
              <w:textAlignment w:val="bottom"/>
            </w:pPr>
            <w:r>
              <w:rPr>
                <w:rFonts w:ascii="Arial" w:eastAsia="宋体" w:hAnsi="Arial" w:cs="Arial"/>
                <w:color w:val="000000"/>
                <w:sz w:val="14"/>
                <w:szCs w:val="14"/>
              </w:rPr>
              <w:t>Effect of dilutive securities: equity-based awards</w:t>
            </w:r>
          </w:p>
        </w:tc>
        <w:tc>
          <w:tcPr>
            <w:tcW w:w="0" w:type="auto"/>
            <w:gridSpan w:val="2"/>
            <w:shd w:val="clear" w:color="auto" w:fill="FFFFFF"/>
            <w:tcMar>
              <w:top w:w="40" w:type="dxa"/>
              <w:left w:w="20" w:type="dxa"/>
              <w:bottom w:w="40" w:type="dxa"/>
              <w:right w:w="0" w:type="dxa"/>
            </w:tcMar>
            <w:vAlign w:val="bottom"/>
          </w:tcPr>
          <w:p w14:paraId="74DE1216" w14:textId="77777777" w:rsidR="00584EC1" w:rsidRDefault="00871F8D">
            <w:pPr>
              <w:jc w:val="right"/>
              <w:textAlignment w:val="bottom"/>
            </w:pPr>
            <w:r>
              <w:rPr>
                <w:rFonts w:ascii="Arial" w:eastAsia="宋体" w:hAnsi="Arial" w:cs="Arial"/>
                <w:b/>
                <w:bCs/>
                <w:color w:val="000000"/>
                <w:sz w:val="14"/>
                <w:szCs w:val="14"/>
              </w:rPr>
              <w:t>5,776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E121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218"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219" w14:textId="77777777" w:rsidR="00584EC1" w:rsidRDefault="00871F8D">
            <w:pPr>
              <w:jc w:val="right"/>
              <w:textAlignment w:val="bottom"/>
            </w:pPr>
            <w:r>
              <w:rPr>
                <w:rFonts w:ascii="Arial" w:eastAsia="宋体" w:hAnsi="Arial" w:cs="Arial"/>
                <w:color w:val="000000"/>
                <w:sz w:val="14"/>
                <w:szCs w:val="14"/>
              </w:rPr>
              <w:t>4,582 </w:t>
            </w:r>
          </w:p>
        </w:tc>
        <w:tc>
          <w:tcPr>
            <w:tcW w:w="0" w:type="auto"/>
            <w:shd w:val="clear" w:color="auto" w:fill="FFFFFF"/>
            <w:tcMar>
              <w:top w:w="40" w:type="dxa"/>
              <w:left w:w="0" w:type="dxa"/>
              <w:bottom w:w="40" w:type="dxa"/>
              <w:right w:w="20" w:type="dxa"/>
            </w:tcMar>
            <w:vAlign w:val="bottom"/>
          </w:tcPr>
          <w:p w14:paraId="74DE121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21B"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21C" w14:textId="77777777" w:rsidR="00584EC1" w:rsidRDefault="00871F8D">
            <w:pPr>
              <w:jc w:val="right"/>
              <w:textAlignment w:val="bottom"/>
            </w:pPr>
            <w:r>
              <w:rPr>
                <w:rFonts w:ascii="Arial" w:eastAsia="宋体" w:hAnsi="Arial" w:cs="Arial"/>
                <w:b/>
                <w:bCs/>
                <w:color w:val="000000"/>
                <w:sz w:val="14"/>
                <w:szCs w:val="14"/>
              </w:rPr>
              <w:t>5,270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E121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21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21F" w14:textId="77777777" w:rsidR="00584EC1" w:rsidRDefault="00871F8D">
            <w:pPr>
              <w:jc w:val="right"/>
              <w:textAlignment w:val="bottom"/>
            </w:pPr>
            <w:r>
              <w:rPr>
                <w:rFonts w:ascii="Arial" w:eastAsia="宋体" w:hAnsi="Arial" w:cs="Arial"/>
                <w:color w:val="000000"/>
                <w:sz w:val="14"/>
                <w:szCs w:val="14"/>
              </w:rPr>
              <w:t>4,142 </w:t>
            </w:r>
          </w:p>
        </w:tc>
        <w:tc>
          <w:tcPr>
            <w:tcW w:w="0" w:type="auto"/>
            <w:shd w:val="clear" w:color="auto" w:fill="FFFFFF"/>
            <w:tcMar>
              <w:top w:w="40" w:type="dxa"/>
              <w:left w:w="0" w:type="dxa"/>
              <w:bottom w:w="40" w:type="dxa"/>
              <w:right w:w="20" w:type="dxa"/>
            </w:tcMar>
            <w:vAlign w:val="bottom"/>
          </w:tcPr>
          <w:p w14:paraId="74DE1220" w14:textId="77777777" w:rsidR="00584EC1" w:rsidRDefault="00584EC1">
            <w:pPr>
              <w:jc w:val="right"/>
              <w:rPr>
                <w:rFonts w:ascii="宋体"/>
              </w:rPr>
            </w:pPr>
          </w:p>
        </w:tc>
        <w:tc>
          <w:tcPr>
            <w:tcW w:w="0" w:type="auto"/>
            <w:gridSpan w:val="3"/>
            <w:shd w:val="clear" w:color="auto" w:fill="auto"/>
            <w:vAlign w:val="bottom"/>
          </w:tcPr>
          <w:p w14:paraId="74DE1221" w14:textId="77777777" w:rsidR="00584EC1" w:rsidRDefault="00584EC1">
            <w:pPr>
              <w:rPr>
                <w:rFonts w:ascii="宋体"/>
                <w:vanish/>
              </w:rPr>
            </w:pPr>
          </w:p>
        </w:tc>
        <w:tc>
          <w:tcPr>
            <w:tcW w:w="0" w:type="auto"/>
            <w:gridSpan w:val="3"/>
            <w:shd w:val="clear" w:color="auto" w:fill="auto"/>
            <w:vAlign w:val="bottom"/>
          </w:tcPr>
          <w:p w14:paraId="74DE1222" w14:textId="77777777" w:rsidR="00584EC1" w:rsidRDefault="00584EC1">
            <w:pPr>
              <w:rPr>
                <w:rFonts w:ascii="宋体"/>
                <w:vanish/>
              </w:rPr>
            </w:pPr>
          </w:p>
        </w:tc>
      </w:tr>
      <w:tr w:rsidR="00584EC1" w14:paraId="74DE1232" w14:textId="77777777">
        <w:tc>
          <w:tcPr>
            <w:tcW w:w="0" w:type="auto"/>
            <w:gridSpan w:val="3"/>
            <w:shd w:val="clear" w:color="auto" w:fill="CCEEFF"/>
            <w:tcMar>
              <w:top w:w="40" w:type="dxa"/>
              <w:left w:w="20" w:type="dxa"/>
              <w:bottom w:w="40" w:type="dxa"/>
              <w:right w:w="20" w:type="dxa"/>
            </w:tcMar>
            <w:vAlign w:val="bottom"/>
          </w:tcPr>
          <w:p w14:paraId="74DE1224" w14:textId="77777777" w:rsidR="00584EC1" w:rsidRDefault="00871F8D">
            <w:pPr>
              <w:textAlignment w:val="bottom"/>
            </w:pPr>
            <w:r>
              <w:rPr>
                <w:rFonts w:ascii="Arial" w:eastAsia="宋体" w:hAnsi="Arial" w:cs="Arial"/>
                <w:color w:val="000000"/>
                <w:sz w:val="14"/>
                <w:szCs w:val="14"/>
              </w:rPr>
              <w:t>Diluted average common shares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E1225" w14:textId="77777777" w:rsidR="00584EC1" w:rsidRDefault="00871F8D">
            <w:pPr>
              <w:jc w:val="right"/>
              <w:textAlignment w:val="bottom"/>
            </w:pPr>
            <w:r>
              <w:rPr>
                <w:rFonts w:ascii="Arial" w:eastAsia="宋体" w:hAnsi="Arial" w:cs="Arial"/>
                <w:b/>
                <w:bCs/>
                <w:color w:val="000000"/>
                <w:sz w:val="14"/>
                <w:szCs w:val="14"/>
              </w:rPr>
              <w:t>353,494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22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227"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E1228" w14:textId="77777777" w:rsidR="00584EC1" w:rsidRDefault="00871F8D">
            <w:pPr>
              <w:jc w:val="right"/>
              <w:textAlignment w:val="bottom"/>
            </w:pPr>
            <w:r>
              <w:rPr>
                <w:rFonts w:ascii="Arial" w:eastAsia="宋体" w:hAnsi="Arial" w:cs="Arial"/>
                <w:color w:val="000000"/>
                <w:sz w:val="14"/>
                <w:szCs w:val="14"/>
              </w:rPr>
              <w:t>357,168 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22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22A"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E122B" w14:textId="77777777" w:rsidR="00584EC1" w:rsidRDefault="00871F8D">
            <w:pPr>
              <w:jc w:val="right"/>
              <w:textAlignment w:val="bottom"/>
            </w:pPr>
            <w:r>
              <w:rPr>
                <w:rFonts w:ascii="Arial" w:eastAsia="宋体" w:hAnsi="Arial" w:cs="Arial"/>
                <w:b/>
                <w:bCs/>
                <w:color w:val="000000"/>
                <w:sz w:val="14"/>
                <w:szCs w:val="14"/>
              </w:rPr>
              <w:t>353,376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22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22D"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E122E" w14:textId="77777777" w:rsidR="00584EC1" w:rsidRDefault="00871F8D">
            <w:pPr>
              <w:jc w:val="right"/>
              <w:textAlignment w:val="bottom"/>
            </w:pPr>
            <w:r>
              <w:rPr>
                <w:rFonts w:ascii="Arial" w:eastAsia="宋体" w:hAnsi="Arial" w:cs="Arial"/>
                <w:color w:val="000000"/>
                <w:sz w:val="14"/>
                <w:szCs w:val="14"/>
              </w:rPr>
              <w:t>356,971 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22F" w14:textId="77777777" w:rsidR="00584EC1" w:rsidRDefault="00584EC1">
            <w:pPr>
              <w:jc w:val="right"/>
              <w:rPr>
                <w:rFonts w:ascii="宋体"/>
              </w:rPr>
            </w:pPr>
          </w:p>
        </w:tc>
        <w:tc>
          <w:tcPr>
            <w:tcW w:w="0" w:type="auto"/>
            <w:gridSpan w:val="3"/>
            <w:shd w:val="clear" w:color="auto" w:fill="auto"/>
            <w:vAlign w:val="bottom"/>
          </w:tcPr>
          <w:p w14:paraId="74DE1230" w14:textId="77777777" w:rsidR="00584EC1" w:rsidRDefault="00584EC1">
            <w:pPr>
              <w:rPr>
                <w:rFonts w:ascii="宋体"/>
                <w:vanish/>
              </w:rPr>
            </w:pPr>
          </w:p>
        </w:tc>
        <w:tc>
          <w:tcPr>
            <w:tcW w:w="0" w:type="auto"/>
            <w:gridSpan w:val="3"/>
            <w:shd w:val="clear" w:color="auto" w:fill="auto"/>
            <w:vAlign w:val="bottom"/>
          </w:tcPr>
          <w:p w14:paraId="74DE1231" w14:textId="77777777" w:rsidR="00584EC1" w:rsidRDefault="00584EC1">
            <w:pPr>
              <w:rPr>
                <w:rFonts w:ascii="宋体"/>
                <w:vanish/>
              </w:rPr>
            </w:pPr>
          </w:p>
        </w:tc>
      </w:tr>
      <w:tr w:rsidR="00584EC1" w14:paraId="74DE1241" w14:textId="77777777">
        <w:tc>
          <w:tcPr>
            <w:tcW w:w="0" w:type="auto"/>
            <w:gridSpan w:val="3"/>
            <w:shd w:val="clear" w:color="auto" w:fill="auto"/>
            <w:tcMar>
              <w:top w:w="40" w:type="dxa"/>
              <w:left w:w="20" w:type="dxa"/>
              <w:bottom w:w="40" w:type="dxa"/>
              <w:right w:w="20" w:type="dxa"/>
            </w:tcMar>
            <w:vAlign w:val="bottom"/>
          </w:tcPr>
          <w:p w14:paraId="74DE1233" w14:textId="77777777" w:rsidR="00584EC1" w:rsidRDefault="00871F8D">
            <w:pPr>
              <w:textAlignment w:val="bottom"/>
            </w:pPr>
            <w:r>
              <w:rPr>
                <w:rFonts w:ascii="Arial" w:eastAsia="宋体" w:hAnsi="Arial" w:cs="Arial"/>
                <w:color w:val="000000"/>
                <w:sz w:val="14"/>
                <w:szCs w:val="14"/>
              </w:rPr>
              <w:t>Anti-dilutive securities</w:t>
            </w:r>
            <w:r>
              <w:rPr>
                <w:rFonts w:ascii="Arial" w:eastAsia="宋体" w:hAnsi="Arial" w:cs="Arial"/>
                <w:color w:val="000000"/>
                <w:sz w:val="9"/>
                <w:szCs w:val="9"/>
              </w:rPr>
              <w:t>(2)</w:t>
            </w:r>
          </w:p>
        </w:tc>
        <w:tc>
          <w:tcPr>
            <w:tcW w:w="0" w:type="auto"/>
            <w:gridSpan w:val="2"/>
            <w:tcBorders>
              <w:top w:val="double" w:sz="6" w:space="0" w:color="000000"/>
            </w:tcBorders>
            <w:shd w:val="clear" w:color="auto" w:fill="auto"/>
            <w:tcMar>
              <w:top w:w="40" w:type="dxa"/>
              <w:left w:w="20" w:type="dxa"/>
              <w:bottom w:w="40" w:type="dxa"/>
              <w:right w:w="0" w:type="dxa"/>
            </w:tcMar>
            <w:vAlign w:val="bottom"/>
          </w:tcPr>
          <w:p w14:paraId="74DE1234" w14:textId="77777777" w:rsidR="00584EC1" w:rsidRDefault="00871F8D">
            <w:pPr>
              <w:jc w:val="right"/>
              <w:textAlignment w:val="bottom"/>
            </w:pPr>
            <w:r>
              <w:rPr>
                <w:rFonts w:ascii="Arial" w:eastAsia="宋体" w:hAnsi="Arial" w:cs="Arial"/>
                <w:b/>
                <w:bCs/>
                <w:color w:val="000000"/>
                <w:sz w:val="14"/>
                <w:szCs w:val="14"/>
              </w:rPr>
              <w:t>97</w:t>
            </w:r>
            <w:r>
              <w:rPr>
                <w:rFonts w:ascii="Arial" w:eastAsia="宋体" w:hAnsi="Arial" w:cs="Arial"/>
                <w:color w:val="000000"/>
                <w:sz w:val="14"/>
                <w:szCs w:val="14"/>
              </w:rPr>
              <w:t> </w:t>
            </w:r>
          </w:p>
        </w:tc>
        <w:tc>
          <w:tcPr>
            <w:tcW w:w="0" w:type="auto"/>
            <w:tcBorders>
              <w:top w:val="double" w:sz="6" w:space="0" w:color="000000"/>
            </w:tcBorders>
            <w:shd w:val="clear" w:color="auto" w:fill="auto"/>
            <w:tcMar>
              <w:top w:w="40" w:type="dxa"/>
              <w:left w:w="0" w:type="dxa"/>
              <w:bottom w:w="40" w:type="dxa"/>
              <w:right w:w="20" w:type="dxa"/>
            </w:tcMar>
            <w:vAlign w:val="bottom"/>
          </w:tcPr>
          <w:p w14:paraId="74DE1235" w14:textId="77777777" w:rsidR="00584EC1" w:rsidRDefault="00584EC1">
            <w:pPr>
              <w:jc w:val="right"/>
              <w:rPr>
                <w:rFonts w:ascii="宋体"/>
              </w:rPr>
            </w:pPr>
          </w:p>
        </w:tc>
        <w:tc>
          <w:tcPr>
            <w:tcW w:w="0" w:type="auto"/>
            <w:gridSpan w:val="3"/>
            <w:shd w:val="clear" w:color="auto" w:fill="auto"/>
            <w:tcMar>
              <w:top w:w="0" w:type="dxa"/>
              <w:left w:w="20" w:type="dxa"/>
              <w:bottom w:w="0" w:type="dxa"/>
              <w:right w:w="20" w:type="dxa"/>
            </w:tcMar>
            <w:vAlign w:val="bottom"/>
          </w:tcPr>
          <w:p w14:paraId="74DE1236" w14:textId="77777777" w:rsidR="00584EC1" w:rsidRDefault="00584EC1">
            <w:pPr>
              <w:rPr>
                <w:rFonts w:ascii="宋体"/>
              </w:rPr>
            </w:pPr>
          </w:p>
        </w:tc>
        <w:tc>
          <w:tcPr>
            <w:tcW w:w="0" w:type="auto"/>
            <w:gridSpan w:val="2"/>
            <w:tcBorders>
              <w:top w:val="double" w:sz="6" w:space="0" w:color="000000"/>
            </w:tcBorders>
            <w:shd w:val="clear" w:color="auto" w:fill="auto"/>
            <w:tcMar>
              <w:top w:w="40" w:type="dxa"/>
              <w:left w:w="20" w:type="dxa"/>
              <w:bottom w:w="40" w:type="dxa"/>
              <w:right w:w="0" w:type="dxa"/>
            </w:tcMar>
            <w:vAlign w:val="bottom"/>
          </w:tcPr>
          <w:p w14:paraId="74DE1237" w14:textId="77777777" w:rsidR="00584EC1" w:rsidRDefault="00871F8D">
            <w:pPr>
              <w:jc w:val="right"/>
              <w:textAlignment w:val="bottom"/>
            </w:pPr>
            <w:r>
              <w:rPr>
                <w:rFonts w:ascii="Arial" w:eastAsia="宋体" w:hAnsi="Arial" w:cs="Arial"/>
                <w:color w:val="000000"/>
                <w:sz w:val="14"/>
                <w:szCs w:val="14"/>
              </w:rPr>
              <w:t>1,309 </w:t>
            </w:r>
          </w:p>
        </w:tc>
        <w:tc>
          <w:tcPr>
            <w:tcW w:w="0" w:type="auto"/>
            <w:tcBorders>
              <w:top w:val="double" w:sz="6" w:space="0" w:color="000000"/>
            </w:tcBorders>
            <w:shd w:val="clear" w:color="auto" w:fill="auto"/>
            <w:tcMar>
              <w:top w:w="40" w:type="dxa"/>
              <w:left w:w="0" w:type="dxa"/>
              <w:bottom w:w="40" w:type="dxa"/>
              <w:right w:w="20" w:type="dxa"/>
            </w:tcMar>
            <w:vAlign w:val="bottom"/>
          </w:tcPr>
          <w:p w14:paraId="74DE1238" w14:textId="77777777" w:rsidR="00584EC1" w:rsidRDefault="00584EC1">
            <w:pPr>
              <w:jc w:val="right"/>
              <w:rPr>
                <w:rFonts w:ascii="宋体"/>
              </w:rPr>
            </w:pPr>
          </w:p>
        </w:tc>
        <w:tc>
          <w:tcPr>
            <w:tcW w:w="0" w:type="auto"/>
            <w:gridSpan w:val="3"/>
            <w:shd w:val="clear" w:color="auto" w:fill="auto"/>
            <w:tcMar>
              <w:top w:w="0" w:type="dxa"/>
              <w:left w:w="20" w:type="dxa"/>
              <w:bottom w:w="0" w:type="dxa"/>
              <w:right w:w="20" w:type="dxa"/>
            </w:tcMar>
            <w:vAlign w:val="bottom"/>
          </w:tcPr>
          <w:p w14:paraId="74DE1239" w14:textId="77777777" w:rsidR="00584EC1" w:rsidRDefault="00584EC1">
            <w:pPr>
              <w:rPr>
                <w:rFonts w:ascii="宋体"/>
              </w:rPr>
            </w:pPr>
          </w:p>
        </w:tc>
        <w:tc>
          <w:tcPr>
            <w:tcW w:w="0" w:type="auto"/>
            <w:gridSpan w:val="2"/>
            <w:tcBorders>
              <w:top w:val="double" w:sz="6" w:space="0" w:color="000000"/>
            </w:tcBorders>
            <w:shd w:val="clear" w:color="auto" w:fill="auto"/>
            <w:tcMar>
              <w:top w:w="40" w:type="dxa"/>
              <w:left w:w="20" w:type="dxa"/>
              <w:bottom w:w="40" w:type="dxa"/>
              <w:right w:w="0" w:type="dxa"/>
            </w:tcMar>
            <w:vAlign w:val="bottom"/>
          </w:tcPr>
          <w:p w14:paraId="74DE123A" w14:textId="77777777" w:rsidR="00584EC1" w:rsidRDefault="00871F8D">
            <w:pPr>
              <w:jc w:val="right"/>
              <w:textAlignment w:val="bottom"/>
            </w:pPr>
            <w:r>
              <w:rPr>
                <w:rFonts w:ascii="Arial" w:eastAsia="宋体" w:hAnsi="Arial" w:cs="Arial"/>
                <w:b/>
                <w:bCs/>
                <w:color w:val="000000"/>
                <w:sz w:val="14"/>
                <w:szCs w:val="14"/>
              </w:rPr>
              <w:t>119</w:t>
            </w:r>
            <w:r>
              <w:rPr>
                <w:rFonts w:ascii="Arial" w:eastAsia="宋体" w:hAnsi="Arial" w:cs="Arial"/>
                <w:color w:val="000000"/>
                <w:sz w:val="14"/>
                <w:szCs w:val="14"/>
              </w:rPr>
              <w:t> </w:t>
            </w:r>
          </w:p>
        </w:tc>
        <w:tc>
          <w:tcPr>
            <w:tcW w:w="0" w:type="auto"/>
            <w:tcBorders>
              <w:top w:val="double" w:sz="6" w:space="0" w:color="000000"/>
            </w:tcBorders>
            <w:shd w:val="clear" w:color="auto" w:fill="auto"/>
            <w:tcMar>
              <w:top w:w="40" w:type="dxa"/>
              <w:left w:w="0" w:type="dxa"/>
              <w:bottom w:w="40" w:type="dxa"/>
              <w:right w:w="20" w:type="dxa"/>
            </w:tcMar>
            <w:vAlign w:val="bottom"/>
          </w:tcPr>
          <w:p w14:paraId="74DE123B" w14:textId="77777777" w:rsidR="00584EC1" w:rsidRDefault="00584EC1">
            <w:pPr>
              <w:jc w:val="right"/>
              <w:rPr>
                <w:rFonts w:ascii="宋体"/>
              </w:rPr>
            </w:pPr>
          </w:p>
        </w:tc>
        <w:tc>
          <w:tcPr>
            <w:tcW w:w="0" w:type="auto"/>
            <w:gridSpan w:val="3"/>
            <w:shd w:val="clear" w:color="auto" w:fill="auto"/>
            <w:tcMar>
              <w:top w:w="0" w:type="dxa"/>
              <w:left w:w="20" w:type="dxa"/>
              <w:bottom w:w="0" w:type="dxa"/>
              <w:right w:w="20" w:type="dxa"/>
            </w:tcMar>
            <w:vAlign w:val="bottom"/>
          </w:tcPr>
          <w:p w14:paraId="74DE123C" w14:textId="77777777" w:rsidR="00584EC1" w:rsidRDefault="00584EC1">
            <w:pPr>
              <w:rPr>
                <w:rFonts w:ascii="宋体"/>
              </w:rPr>
            </w:pPr>
          </w:p>
        </w:tc>
        <w:tc>
          <w:tcPr>
            <w:tcW w:w="0" w:type="auto"/>
            <w:gridSpan w:val="2"/>
            <w:tcBorders>
              <w:top w:val="double" w:sz="6" w:space="0" w:color="000000"/>
            </w:tcBorders>
            <w:shd w:val="clear" w:color="auto" w:fill="auto"/>
            <w:tcMar>
              <w:top w:w="40" w:type="dxa"/>
              <w:left w:w="20" w:type="dxa"/>
              <w:bottom w:w="40" w:type="dxa"/>
              <w:right w:w="0" w:type="dxa"/>
            </w:tcMar>
            <w:vAlign w:val="bottom"/>
          </w:tcPr>
          <w:p w14:paraId="74DE123D" w14:textId="77777777" w:rsidR="00584EC1" w:rsidRDefault="00871F8D">
            <w:pPr>
              <w:jc w:val="right"/>
              <w:textAlignment w:val="bottom"/>
            </w:pPr>
            <w:r>
              <w:rPr>
                <w:rFonts w:ascii="Arial" w:eastAsia="宋体" w:hAnsi="Arial" w:cs="Arial"/>
                <w:color w:val="000000"/>
                <w:sz w:val="14"/>
                <w:szCs w:val="14"/>
              </w:rPr>
              <w:t>1,351 </w:t>
            </w:r>
          </w:p>
        </w:tc>
        <w:tc>
          <w:tcPr>
            <w:tcW w:w="0" w:type="auto"/>
            <w:tcBorders>
              <w:top w:val="double" w:sz="6" w:space="0" w:color="000000"/>
            </w:tcBorders>
            <w:shd w:val="clear" w:color="auto" w:fill="auto"/>
            <w:tcMar>
              <w:top w:w="40" w:type="dxa"/>
              <w:left w:w="0" w:type="dxa"/>
              <w:bottom w:w="40" w:type="dxa"/>
              <w:right w:w="20" w:type="dxa"/>
            </w:tcMar>
            <w:vAlign w:val="bottom"/>
          </w:tcPr>
          <w:p w14:paraId="74DE123E" w14:textId="77777777" w:rsidR="00584EC1" w:rsidRDefault="00584EC1">
            <w:pPr>
              <w:jc w:val="right"/>
              <w:rPr>
                <w:rFonts w:ascii="宋体"/>
              </w:rPr>
            </w:pPr>
          </w:p>
        </w:tc>
        <w:tc>
          <w:tcPr>
            <w:tcW w:w="0" w:type="auto"/>
            <w:gridSpan w:val="3"/>
            <w:shd w:val="clear" w:color="auto" w:fill="auto"/>
            <w:vAlign w:val="bottom"/>
          </w:tcPr>
          <w:p w14:paraId="74DE123F" w14:textId="77777777" w:rsidR="00584EC1" w:rsidRDefault="00584EC1">
            <w:pPr>
              <w:rPr>
                <w:rFonts w:ascii="宋体"/>
                <w:vanish/>
              </w:rPr>
            </w:pPr>
          </w:p>
        </w:tc>
        <w:tc>
          <w:tcPr>
            <w:tcW w:w="0" w:type="auto"/>
            <w:gridSpan w:val="3"/>
            <w:shd w:val="clear" w:color="auto" w:fill="auto"/>
            <w:vAlign w:val="bottom"/>
          </w:tcPr>
          <w:p w14:paraId="74DE1240" w14:textId="77777777" w:rsidR="00584EC1" w:rsidRDefault="00584EC1">
            <w:pPr>
              <w:rPr>
                <w:rFonts w:ascii="宋体"/>
                <w:vanish/>
              </w:rPr>
            </w:pPr>
          </w:p>
        </w:tc>
      </w:tr>
      <w:tr w:rsidR="00584EC1" w14:paraId="74DE124C" w14:textId="77777777">
        <w:tc>
          <w:tcPr>
            <w:tcW w:w="0" w:type="auto"/>
            <w:gridSpan w:val="3"/>
            <w:shd w:val="clear" w:color="auto" w:fill="CCEEFF"/>
            <w:tcMar>
              <w:top w:w="40" w:type="dxa"/>
              <w:left w:w="20" w:type="dxa"/>
              <w:bottom w:w="40" w:type="dxa"/>
              <w:right w:w="20" w:type="dxa"/>
            </w:tcMar>
            <w:vAlign w:val="bottom"/>
          </w:tcPr>
          <w:p w14:paraId="74DE1242" w14:textId="77777777" w:rsidR="00584EC1" w:rsidRDefault="00871F8D">
            <w:pPr>
              <w:textAlignment w:val="bottom"/>
            </w:pPr>
            <w:r>
              <w:rPr>
                <w:rFonts w:ascii="Arial" w:eastAsia="宋体" w:hAnsi="Arial" w:cs="Arial"/>
                <w:b/>
                <w:bCs/>
                <w:color w:val="000000"/>
                <w:sz w:val="14"/>
                <w:szCs w:val="14"/>
              </w:rPr>
              <w:t>Earnings per common share:</w:t>
            </w:r>
          </w:p>
        </w:tc>
        <w:tc>
          <w:tcPr>
            <w:tcW w:w="0" w:type="auto"/>
            <w:gridSpan w:val="3"/>
            <w:shd w:val="clear" w:color="auto" w:fill="CCEEFF"/>
            <w:tcMar>
              <w:top w:w="0" w:type="dxa"/>
              <w:left w:w="20" w:type="dxa"/>
              <w:bottom w:w="0" w:type="dxa"/>
              <w:right w:w="20" w:type="dxa"/>
            </w:tcMar>
            <w:vAlign w:val="bottom"/>
          </w:tcPr>
          <w:p w14:paraId="74DE1243"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E1244"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E1245"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E1246"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E1247"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E1248"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E1249" w14:textId="77777777" w:rsidR="00584EC1" w:rsidRDefault="00584EC1">
            <w:pPr>
              <w:rPr>
                <w:rFonts w:ascii="宋体"/>
              </w:rPr>
            </w:pPr>
          </w:p>
        </w:tc>
        <w:tc>
          <w:tcPr>
            <w:tcW w:w="0" w:type="auto"/>
            <w:gridSpan w:val="3"/>
            <w:shd w:val="clear" w:color="auto" w:fill="auto"/>
            <w:vAlign w:val="bottom"/>
          </w:tcPr>
          <w:p w14:paraId="74DE124A" w14:textId="77777777" w:rsidR="00584EC1" w:rsidRDefault="00584EC1">
            <w:pPr>
              <w:rPr>
                <w:rFonts w:ascii="宋体"/>
                <w:vanish/>
              </w:rPr>
            </w:pPr>
          </w:p>
        </w:tc>
        <w:tc>
          <w:tcPr>
            <w:tcW w:w="0" w:type="auto"/>
            <w:gridSpan w:val="3"/>
            <w:shd w:val="clear" w:color="auto" w:fill="auto"/>
            <w:vAlign w:val="bottom"/>
          </w:tcPr>
          <w:p w14:paraId="74DE124B" w14:textId="77777777" w:rsidR="00584EC1" w:rsidRDefault="00584EC1">
            <w:pPr>
              <w:rPr>
                <w:rFonts w:ascii="宋体"/>
                <w:vanish/>
              </w:rPr>
            </w:pPr>
          </w:p>
        </w:tc>
      </w:tr>
      <w:tr w:rsidR="00584EC1" w14:paraId="74DE125F" w14:textId="77777777">
        <w:tc>
          <w:tcPr>
            <w:tcW w:w="0" w:type="auto"/>
            <w:gridSpan w:val="3"/>
            <w:shd w:val="clear" w:color="auto" w:fill="auto"/>
            <w:tcMar>
              <w:top w:w="40" w:type="dxa"/>
              <w:left w:w="20" w:type="dxa"/>
              <w:bottom w:w="40" w:type="dxa"/>
              <w:right w:w="20" w:type="dxa"/>
            </w:tcMar>
            <w:vAlign w:val="bottom"/>
          </w:tcPr>
          <w:p w14:paraId="74DE124D" w14:textId="77777777" w:rsidR="00584EC1" w:rsidRDefault="00871F8D">
            <w:pPr>
              <w:textAlignment w:val="bottom"/>
            </w:pPr>
            <w:r>
              <w:rPr>
                <w:rFonts w:ascii="Arial" w:eastAsia="宋体" w:hAnsi="Arial" w:cs="Arial"/>
                <w:color w:val="000000"/>
                <w:sz w:val="14"/>
                <w:szCs w:val="14"/>
              </w:rPr>
              <w:t>Basic</w:t>
            </w:r>
          </w:p>
        </w:tc>
        <w:tc>
          <w:tcPr>
            <w:tcW w:w="0" w:type="auto"/>
            <w:shd w:val="clear" w:color="auto" w:fill="FFFFFF"/>
            <w:tcMar>
              <w:top w:w="40" w:type="dxa"/>
              <w:left w:w="20" w:type="dxa"/>
              <w:bottom w:w="40" w:type="dxa"/>
              <w:right w:w="0" w:type="dxa"/>
            </w:tcMar>
            <w:vAlign w:val="bottom"/>
          </w:tcPr>
          <w:p w14:paraId="74DE124E" w14:textId="77777777" w:rsidR="00584EC1" w:rsidRDefault="00871F8D">
            <w:pPr>
              <w:textAlignment w:val="bottom"/>
            </w:pPr>
            <w:r>
              <w:rPr>
                <w:rFonts w:ascii="Arial" w:eastAsia="宋体" w:hAnsi="Arial" w:cs="Arial"/>
                <w:b/>
                <w:bCs/>
                <w:color w:val="000000"/>
                <w:sz w:val="14"/>
                <w:szCs w:val="14"/>
              </w:rPr>
              <w:t>$</w:t>
            </w:r>
          </w:p>
        </w:tc>
        <w:tc>
          <w:tcPr>
            <w:tcW w:w="0" w:type="auto"/>
            <w:shd w:val="clear" w:color="auto" w:fill="FFFFFF"/>
            <w:tcMar>
              <w:top w:w="40" w:type="dxa"/>
              <w:left w:w="0" w:type="dxa"/>
              <w:bottom w:w="40" w:type="dxa"/>
              <w:right w:w="0" w:type="dxa"/>
            </w:tcMar>
            <w:vAlign w:val="bottom"/>
          </w:tcPr>
          <w:p w14:paraId="74DE124F" w14:textId="77777777" w:rsidR="00584EC1" w:rsidRDefault="00871F8D">
            <w:pPr>
              <w:jc w:val="right"/>
              <w:textAlignment w:val="bottom"/>
            </w:pPr>
            <w:r>
              <w:rPr>
                <w:rFonts w:ascii="Arial" w:eastAsia="宋体" w:hAnsi="Arial" w:cs="Arial"/>
                <w:b/>
                <w:bCs/>
                <w:color w:val="000000"/>
                <w:sz w:val="14"/>
                <w:szCs w:val="14"/>
              </w:rPr>
              <w:t>1.99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E125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251" w14:textId="77777777" w:rsidR="00584EC1" w:rsidRDefault="00584EC1">
            <w:pPr>
              <w:rPr>
                <w:rFonts w:ascii="宋体"/>
              </w:rPr>
            </w:pPr>
          </w:p>
        </w:tc>
        <w:tc>
          <w:tcPr>
            <w:tcW w:w="0" w:type="auto"/>
            <w:shd w:val="clear" w:color="auto" w:fill="FFFFFF"/>
            <w:tcMar>
              <w:top w:w="40" w:type="dxa"/>
              <w:left w:w="20" w:type="dxa"/>
              <w:bottom w:w="40" w:type="dxa"/>
              <w:right w:w="0" w:type="dxa"/>
            </w:tcMar>
            <w:vAlign w:val="bottom"/>
          </w:tcPr>
          <w:p w14:paraId="74DE1252" w14:textId="77777777" w:rsidR="00584EC1" w:rsidRDefault="00871F8D">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74DE1253" w14:textId="77777777" w:rsidR="00584EC1" w:rsidRDefault="00871F8D">
            <w:pPr>
              <w:jc w:val="right"/>
              <w:textAlignment w:val="bottom"/>
            </w:pPr>
            <w:r>
              <w:rPr>
                <w:rFonts w:ascii="Arial" w:eastAsia="宋体" w:hAnsi="Arial" w:cs="Arial"/>
                <w:color w:val="000000"/>
                <w:sz w:val="14"/>
                <w:szCs w:val="14"/>
              </w:rPr>
              <w:t>1.47 </w:t>
            </w:r>
          </w:p>
        </w:tc>
        <w:tc>
          <w:tcPr>
            <w:tcW w:w="0" w:type="auto"/>
            <w:shd w:val="clear" w:color="auto" w:fill="FFFFFF"/>
            <w:tcMar>
              <w:top w:w="40" w:type="dxa"/>
              <w:left w:w="0" w:type="dxa"/>
              <w:bottom w:w="40" w:type="dxa"/>
              <w:right w:w="20" w:type="dxa"/>
            </w:tcMar>
            <w:vAlign w:val="bottom"/>
          </w:tcPr>
          <w:p w14:paraId="74DE125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255" w14:textId="77777777" w:rsidR="00584EC1" w:rsidRDefault="00584EC1">
            <w:pPr>
              <w:rPr>
                <w:rFonts w:ascii="宋体"/>
              </w:rPr>
            </w:pPr>
          </w:p>
        </w:tc>
        <w:tc>
          <w:tcPr>
            <w:tcW w:w="0" w:type="auto"/>
            <w:shd w:val="clear" w:color="auto" w:fill="FFFFFF"/>
            <w:tcMar>
              <w:top w:w="40" w:type="dxa"/>
              <w:left w:w="20" w:type="dxa"/>
              <w:bottom w:w="40" w:type="dxa"/>
              <w:right w:w="0" w:type="dxa"/>
            </w:tcMar>
            <w:vAlign w:val="bottom"/>
          </w:tcPr>
          <w:p w14:paraId="74DE1256" w14:textId="77777777" w:rsidR="00584EC1" w:rsidRDefault="00871F8D">
            <w:pPr>
              <w:textAlignment w:val="bottom"/>
            </w:pPr>
            <w:r>
              <w:rPr>
                <w:rFonts w:ascii="Arial" w:eastAsia="宋体" w:hAnsi="Arial" w:cs="Arial"/>
                <w:b/>
                <w:bCs/>
                <w:color w:val="000000"/>
                <w:sz w:val="14"/>
                <w:szCs w:val="14"/>
              </w:rPr>
              <w:t>$</w:t>
            </w:r>
          </w:p>
        </w:tc>
        <w:tc>
          <w:tcPr>
            <w:tcW w:w="0" w:type="auto"/>
            <w:shd w:val="clear" w:color="auto" w:fill="FFFFFF"/>
            <w:tcMar>
              <w:top w:w="40" w:type="dxa"/>
              <w:left w:w="0" w:type="dxa"/>
              <w:bottom w:w="40" w:type="dxa"/>
              <w:right w:w="0" w:type="dxa"/>
            </w:tcMar>
            <w:vAlign w:val="bottom"/>
          </w:tcPr>
          <w:p w14:paraId="74DE1257" w14:textId="77777777" w:rsidR="00584EC1" w:rsidRDefault="00871F8D">
            <w:pPr>
              <w:jc w:val="right"/>
              <w:textAlignment w:val="bottom"/>
            </w:pPr>
            <w:r>
              <w:rPr>
                <w:rFonts w:ascii="Arial" w:eastAsia="宋体" w:hAnsi="Arial" w:cs="Arial"/>
                <w:b/>
                <w:bCs/>
                <w:color w:val="000000"/>
                <w:sz w:val="14"/>
                <w:szCs w:val="14"/>
              </w:rPr>
              <w:t>5.49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E125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259" w14:textId="77777777" w:rsidR="00584EC1" w:rsidRDefault="00584EC1">
            <w:pPr>
              <w:rPr>
                <w:rFonts w:ascii="宋体"/>
              </w:rPr>
            </w:pPr>
          </w:p>
        </w:tc>
        <w:tc>
          <w:tcPr>
            <w:tcW w:w="0" w:type="auto"/>
            <w:shd w:val="clear" w:color="auto" w:fill="FFFFFF"/>
            <w:tcMar>
              <w:top w:w="40" w:type="dxa"/>
              <w:left w:w="20" w:type="dxa"/>
              <w:bottom w:w="40" w:type="dxa"/>
              <w:right w:w="0" w:type="dxa"/>
            </w:tcMar>
            <w:vAlign w:val="bottom"/>
          </w:tcPr>
          <w:p w14:paraId="74DE125A" w14:textId="77777777" w:rsidR="00584EC1" w:rsidRDefault="00871F8D">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74DE125B" w14:textId="77777777" w:rsidR="00584EC1" w:rsidRDefault="00871F8D">
            <w:pPr>
              <w:jc w:val="right"/>
              <w:textAlignment w:val="bottom"/>
            </w:pPr>
            <w:r>
              <w:rPr>
                <w:rFonts w:ascii="Arial" w:eastAsia="宋体" w:hAnsi="Arial" w:cs="Arial"/>
                <w:color w:val="000000"/>
                <w:sz w:val="14"/>
                <w:szCs w:val="14"/>
              </w:rPr>
              <w:t>4.99 </w:t>
            </w:r>
          </w:p>
        </w:tc>
        <w:tc>
          <w:tcPr>
            <w:tcW w:w="0" w:type="auto"/>
            <w:shd w:val="clear" w:color="auto" w:fill="FFFFFF"/>
            <w:tcMar>
              <w:top w:w="40" w:type="dxa"/>
              <w:left w:w="0" w:type="dxa"/>
              <w:bottom w:w="40" w:type="dxa"/>
              <w:right w:w="20" w:type="dxa"/>
            </w:tcMar>
            <w:vAlign w:val="bottom"/>
          </w:tcPr>
          <w:p w14:paraId="74DE125C" w14:textId="77777777" w:rsidR="00584EC1" w:rsidRDefault="00584EC1">
            <w:pPr>
              <w:jc w:val="right"/>
              <w:rPr>
                <w:rFonts w:ascii="宋体"/>
              </w:rPr>
            </w:pPr>
          </w:p>
        </w:tc>
        <w:tc>
          <w:tcPr>
            <w:tcW w:w="0" w:type="auto"/>
            <w:gridSpan w:val="3"/>
            <w:shd w:val="clear" w:color="auto" w:fill="auto"/>
            <w:vAlign w:val="bottom"/>
          </w:tcPr>
          <w:p w14:paraId="74DE125D" w14:textId="77777777" w:rsidR="00584EC1" w:rsidRDefault="00584EC1">
            <w:pPr>
              <w:rPr>
                <w:rFonts w:ascii="宋体"/>
                <w:vanish/>
              </w:rPr>
            </w:pPr>
          </w:p>
        </w:tc>
        <w:tc>
          <w:tcPr>
            <w:tcW w:w="0" w:type="auto"/>
            <w:gridSpan w:val="3"/>
            <w:shd w:val="clear" w:color="auto" w:fill="auto"/>
            <w:vAlign w:val="bottom"/>
          </w:tcPr>
          <w:p w14:paraId="74DE125E" w14:textId="77777777" w:rsidR="00584EC1" w:rsidRDefault="00584EC1">
            <w:pPr>
              <w:rPr>
                <w:rFonts w:ascii="宋体"/>
                <w:vanish/>
              </w:rPr>
            </w:pPr>
          </w:p>
        </w:tc>
      </w:tr>
      <w:tr w:rsidR="00584EC1" w14:paraId="74DE126E" w14:textId="77777777">
        <w:tc>
          <w:tcPr>
            <w:tcW w:w="0" w:type="auto"/>
            <w:gridSpan w:val="3"/>
            <w:shd w:val="clear" w:color="auto" w:fill="CCEEFF"/>
            <w:tcMar>
              <w:top w:w="40" w:type="dxa"/>
              <w:left w:w="20" w:type="dxa"/>
              <w:bottom w:w="40" w:type="dxa"/>
              <w:right w:w="20" w:type="dxa"/>
            </w:tcMar>
            <w:vAlign w:val="bottom"/>
          </w:tcPr>
          <w:p w14:paraId="74DE1260" w14:textId="77777777" w:rsidR="00584EC1" w:rsidRDefault="00871F8D">
            <w:pPr>
              <w:textAlignment w:val="bottom"/>
            </w:pPr>
            <w:r>
              <w:rPr>
                <w:rFonts w:ascii="Arial" w:eastAsia="宋体" w:hAnsi="Arial" w:cs="Arial"/>
                <w:color w:val="000000"/>
                <w:sz w:val="14"/>
                <w:szCs w:val="14"/>
              </w:rPr>
              <w:t>Diluted</w:t>
            </w:r>
            <w:r>
              <w:rPr>
                <w:rFonts w:ascii="Arial" w:eastAsia="宋体" w:hAnsi="Arial" w:cs="Arial"/>
                <w:color w:val="000000"/>
                <w:sz w:val="9"/>
                <w:szCs w:val="9"/>
              </w:rPr>
              <w:t>(3)</w:t>
            </w:r>
          </w:p>
        </w:tc>
        <w:tc>
          <w:tcPr>
            <w:tcW w:w="0" w:type="auto"/>
            <w:gridSpan w:val="2"/>
            <w:shd w:val="clear" w:color="auto" w:fill="CCEEFF"/>
            <w:tcMar>
              <w:top w:w="40" w:type="dxa"/>
              <w:left w:w="20" w:type="dxa"/>
              <w:bottom w:w="40" w:type="dxa"/>
              <w:right w:w="0" w:type="dxa"/>
            </w:tcMar>
            <w:vAlign w:val="bottom"/>
          </w:tcPr>
          <w:p w14:paraId="74DE1261" w14:textId="77777777" w:rsidR="00584EC1" w:rsidRDefault="00871F8D">
            <w:pPr>
              <w:jc w:val="right"/>
              <w:textAlignment w:val="bottom"/>
            </w:pPr>
            <w:r>
              <w:rPr>
                <w:rFonts w:ascii="Arial" w:eastAsia="宋体" w:hAnsi="Arial" w:cs="Arial"/>
                <w:b/>
                <w:bCs/>
                <w:color w:val="000000"/>
                <w:sz w:val="14"/>
                <w:szCs w:val="14"/>
              </w:rPr>
              <w:t>1.96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E126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263"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264" w14:textId="77777777" w:rsidR="00584EC1" w:rsidRDefault="00871F8D">
            <w:pPr>
              <w:jc w:val="right"/>
              <w:textAlignment w:val="bottom"/>
            </w:pPr>
            <w:r>
              <w:rPr>
                <w:rFonts w:ascii="Arial" w:eastAsia="宋体" w:hAnsi="Arial" w:cs="Arial"/>
                <w:color w:val="000000"/>
                <w:sz w:val="14"/>
                <w:szCs w:val="14"/>
              </w:rPr>
              <w:t>1.45 </w:t>
            </w:r>
          </w:p>
        </w:tc>
        <w:tc>
          <w:tcPr>
            <w:tcW w:w="0" w:type="auto"/>
            <w:shd w:val="clear" w:color="auto" w:fill="CCEEFF"/>
            <w:tcMar>
              <w:top w:w="40" w:type="dxa"/>
              <w:left w:w="0" w:type="dxa"/>
              <w:bottom w:w="40" w:type="dxa"/>
              <w:right w:w="20" w:type="dxa"/>
            </w:tcMar>
            <w:vAlign w:val="bottom"/>
          </w:tcPr>
          <w:p w14:paraId="74DE126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26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267" w14:textId="77777777" w:rsidR="00584EC1" w:rsidRDefault="00871F8D">
            <w:pPr>
              <w:jc w:val="right"/>
              <w:textAlignment w:val="bottom"/>
            </w:pPr>
            <w:r>
              <w:rPr>
                <w:rFonts w:ascii="Arial" w:eastAsia="宋体" w:hAnsi="Arial" w:cs="Arial"/>
                <w:b/>
                <w:bCs/>
                <w:color w:val="000000"/>
                <w:sz w:val="14"/>
                <w:szCs w:val="14"/>
              </w:rPr>
              <w:t>5.40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E126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26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26A" w14:textId="77777777" w:rsidR="00584EC1" w:rsidRDefault="00871F8D">
            <w:pPr>
              <w:jc w:val="right"/>
              <w:textAlignment w:val="bottom"/>
            </w:pPr>
            <w:r>
              <w:rPr>
                <w:rFonts w:ascii="Arial" w:eastAsia="宋体" w:hAnsi="Arial" w:cs="Arial"/>
                <w:color w:val="000000"/>
                <w:sz w:val="14"/>
                <w:szCs w:val="14"/>
              </w:rPr>
              <w:t>4.93 </w:t>
            </w:r>
          </w:p>
        </w:tc>
        <w:tc>
          <w:tcPr>
            <w:tcW w:w="0" w:type="auto"/>
            <w:shd w:val="clear" w:color="auto" w:fill="CCEEFF"/>
            <w:tcMar>
              <w:top w:w="40" w:type="dxa"/>
              <w:left w:w="0" w:type="dxa"/>
              <w:bottom w:w="40" w:type="dxa"/>
              <w:right w:w="20" w:type="dxa"/>
            </w:tcMar>
            <w:vAlign w:val="bottom"/>
          </w:tcPr>
          <w:p w14:paraId="74DE126B" w14:textId="77777777" w:rsidR="00584EC1" w:rsidRDefault="00584EC1">
            <w:pPr>
              <w:jc w:val="right"/>
              <w:rPr>
                <w:rFonts w:ascii="宋体"/>
              </w:rPr>
            </w:pPr>
          </w:p>
        </w:tc>
        <w:tc>
          <w:tcPr>
            <w:tcW w:w="0" w:type="auto"/>
            <w:gridSpan w:val="3"/>
            <w:shd w:val="clear" w:color="auto" w:fill="auto"/>
            <w:vAlign w:val="bottom"/>
          </w:tcPr>
          <w:p w14:paraId="74DE126C" w14:textId="77777777" w:rsidR="00584EC1" w:rsidRDefault="00584EC1">
            <w:pPr>
              <w:rPr>
                <w:rFonts w:ascii="宋体"/>
                <w:vanish/>
              </w:rPr>
            </w:pPr>
          </w:p>
        </w:tc>
        <w:tc>
          <w:tcPr>
            <w:tcW w:w="0" w:type="auto"/>
            <w:gridSpan w:val="3"/>
            <w:shd w:val="clear" w:color="auto" w:fill="auto"/>
            <w:vAlign w:val="bottom"/>
          </w:tcPr>
          <w:p w14:paraId="74DE126D" w14:textId="77777777" w:rsidR="00584EC1" w:rsidRDefault="00584EC1">
            <w:pPr>
              <w:rPr>
                <w:rFonts w:ascii="宋体"/>
                <w:vanish/>
              </w:rPr>
            </w:pPr>
          </w:p>
        </w:tc>
      </w:tr>
      <w:tr w:rsidR="00584EC1" w14:paraId="74DE1279" w14:textId="77777777">
        <w:trPr>
          <w:hidden/>
        </w:trPr>
        <w:tc>
          <w:tcPr>
            <w:tcW w:w="0" w:type="auto"/>
            <w:gridSpan w:val="3"/>
            <w:shd w:val="clear" w:color="auto" w:fill="auto"/>
            <w:vAlign w:val="bottom"/>
          </w:tcPr>
          <w:p w14:paraId="74DE126F" w14:textId="77777777" w:rsidR="00584EC1" w:rsidRDefault="00584EC1">
            <w:pPr>
              <w:rPr>
                <w:rFonts w:ascii="宋体"/>
                <w:vanish/>
              </w:rPr>
            </w:pPr>
          </w:p>
        </w:tc>
        <w:tc>
          <w:tcPr>
            <w:tcW w:w="0" w:type="auto"/>
            <w:gridSpan w:val="3"/>
            <w:shd w:val="clear" w:color="auto" w:fill="auto"/>
            <w:vAlign w:val="bottom"/>
          </w:tcPr>
          <w:p w14:paraId="74DE1270" w14:textId="77777777" w:rsidR="00584EC1" w:rsidRDefault="00584EC1">
            <w:pPr>
              <w:rPr>
                <w:rFonts w:ascii="宋体"/>
                <w:vanish/>
              </w:rPr>
            </w:pPr>
          </w:p>
        </w:tc>
        <w:tc>
          <w:tcPr>
            <w:tcW w:w="0" w:type="auto"/>
            <w:gridSpan w:val="3"/>
            <w:shd w:val="clear" w:color="auto" w:fill="auto"/>
            <w:vAlign w:val="bottom"/>
          </w:tcPr>
          <w:p w14:paraId="74DE1271" w14:textId="77777777" w:rsidR="00584EC1" w:rsidRDefault="00584EC1">
            <w:pPr>
              <w:rPr>
                <w:rFonts w:ascii="宋体"/>
                <w:vanish/>
              </w:rPr>
            </w:pPr>
          </w:p>
        </w:tc>
        <w:tc>
          <w:tcPr>
            <w:tcW w:w="0" w:type="auto"/>
            <w:gridSpan w:val="3"/>
            <w:shd w:val="clear" w:color="auto" w:fill="auto"/>
            <w:vAlign w:val="bottom"/>
          </w:tcPr>
          <w:p w14:paraId="74DE1272" w14:textId="77777777" w:rsidR="00584EC1" w:rsidRDefault="00584EC1">
            <w:pPr>
              <w:rPr>
                <w:rFonts w:ascii="宋体"/>
                <w:vanish/>
              </w:rPr>
            </w:pPr>
          </w:p>
        </w:tc>
        <w:tc>
          <w:tcPr>
            <w:tcW w:w="0" w:type="auto"/>
            <w:gridSpan w:val="3"/>
            <w:shd w:val="clear" w:color="auto" w:fill="auto"/>
            <w:vAlign w:val="bottom"/>
          </w:tcPr>
          <w:p w14:paraId="74DE1273" w14:textId="77777777" w:rsidR="00584EC1" w:rsidRDefault="00584EC1">
            <w:pPr>
              <w:rPr>
                <w:rFonts w:ascii="宋体"/>
                <w:vanish/>
              </w:rPr>
            </w:pPr>
          </w:p>
        </w:tc>
        <w:tc>
          <w:tcPr>
            <w:tcW w:w="0" w:type="auto"/>
            <w:gridSpan w:val="3"/>
            <w:shd w:val="clear" w:color="auto" w:fill="auto"/>
            <w:vAlign w:val="bottom"/>
          </w:tcPr>
          <w:p w14:paraId="74DE1274" w14:textId="77777777" w:rsidR="00584EC1" w:rsidRDefault="00584EC1">
            <w:pPr>
              <w:rPr>
                <w:rFonts w:ascii="宋体"/>
                <w:vanish/>
              </w:rPr>
            </w:pPr>
          </w:p>
        </w:tc>
        <w:tc>
          <w:tcPr>
            <w:tcW w:w="0" w:type="auto"/>
            <w:gridSpan w:val="3"/>
            <w:shd w:val="clear" w:color="auto" w:fill="auto"/>
            <w:vAlign w:val="bottom"/>
          </w:tcPr>
          <w:p w14:paraId="74DE1275" w14:textId="77777777" w:rsidR="00584EC1" w:rsidRDefault="00584EC1">
            <w:pPr>
              <w:rPr>
                <w:rFonts w:ascii="宋体"/>
                <w:vanish/>
              </w:rPr>
            </w:pPr>
          </w:p>
        </w:tc>
        <w:tc>
          <w:tcPr>
            <w:tcW w:w="0" w:type="auto"/>
            <w:gridSpan w:val="3"/>
            <w:shd w:val="clear" w:color="auto" w:fill="auto"/>
            <w:vAlign w:val="bottom"/>
          </w:tcPr>
          <w:p w14:paraId="74DE1276" w14:textId="77777777" w:rsidR="00584EC1" w:rsidRDefault="00584EC1">
            <w:pPr>
              <w:rPr>
                <w:rFonts w:ascii="宋体"/>
                <w:vanish/>
              </w:rPr>
            </w:pPr>
          </w:p>
        </w:tc>
        <w:tc>
          <w:tcPr>
            <w:tcW w:w="0" w:type="auto"/>
            <w:gridSpan w:val="3"/>
            <w:shd w:val="clear" w:color="auto" w:fill="auto"/>
            <w:vAlign w:val="bottom"/>
          </w:tcPr>
          <w:p w14:paraId="74DE1277" w14:textId="77777777" w:rsidR="00584EC1" w:rsidRDefault="00584EC1">
            <w:pPr>
              <w:rPr>
                <w:rFonts w:ascii="宋体"/>
                <w:vanish/>
              </w:rPr>
            </w:pPr>
          </w:p>
        </w:tc>
        <w:tc>
          <w:tcPr>
            <w:tcW w:w="0" w:type="auto"/>
            <w:gridSpan w:val="3"/>
            <w:shd w:val="clear" w:color="auto" w:fill="auto"/>
            <w:vAlign w:val="bottom"/>
          </w:tcPr>
          <w:p w14:paraId="74DE1278" w14:textId="77777777" w:rsidR="00584EC1" w:rsidRDefault="00584EC1">
            <w:pPr>
              <w:rPr>
                <w:rFonts w:ascii="宋体"/>
                <w:vanish/>
              </w:rPr>
            </w:pPr>
          </w:p>
        </w:tc>
      </w:tr>
      <w:tr w:rsidR="00584EC1" w14:paraId="74DE1284" w14:textId="77777777">
        <w:trPr>
          <w:hidden/>
        </w:trPr>
        <w:tc>
          <w:tcPr>
            <w:tcW w:w="0" w:type="auto"/>
            <w:gridSpan w:val="3"/>
            <w:shd w:val="clear" w:color="auto" w:fill="auto"/>
            <w:vAlign w:val="bottom"/>
          </w:tcPr>
          <w:p w14:paraId="74DE127A" w14:textId="77777777" w:rsidR="00584EC1" w:rsidRDefault="00584EC1">
            <w:pPr>
              <w:rPr>
                <w:rFonts w:ascii="宋体"/>
                <w:vanish/>
              </w:rPr>
            </w:pPr>
          </w:p>
        </w:tc>
        <w:tc>
          <w:tcPr>
            <w:tcW w:w="0" w:type="auto"/>
            <w:gridSpan w:val="3"/>
            <w:shd w:val="clear" w:color="auto" w:fill="auto"/>
            <w:vAlign w:val="bottom"/>
          </w:tcPr>
          <w:p w14:paraId="74DE127B" w14:textId="77777777" w:rsidR="00584EC1" w:rsidRDefault="00584EC1">
            <w:pPr>
              <w:rPr>
                <w:rFonts w:ascii="宋体"/>
                <w:vanish/>
              </w:rPr>
            </w:pPr>
          </w:p>
        </w:tc>
        <w:tc>
          <w:tcPr>
            <w:tcW w:w="0" w:type="auto"/>
            <w:gridSpan w:val="3"/>
            <w:shd w:val="clear" w:color="auto" w:fill="auto"/>
            <w:vAlign w:val="bottom"/>
          </w:tcPr>
          <w:p w14:paraId="74DE127C" w14:textId="77777777" w:rsidR="00584EC1" w:rsidRDefault="00584EC1">
            <w:pPr>
              <w:rPr>
                <w:rFonts w:ascii="宋体"/>
                <w:vanish/>
              </w:rPr>
            </w:pPr>
          </w:p>
        </w:tc>
        <w:tc>
          <w:tcPr>
            <w:tcW w:w="0" w:type="auto"/>
            <w:gridSpan w:val="3"/>
            <w:shd w:val="clear" w:color="auto" w:fill="auto"/>
            <w:vAlign w:val="bottom"/>
          </w:tcPr>
          <w:p w14:paraId="74DE127D" w14:textId="77777777" w:rsidR="00584EC1" w:rsidRDefault="00584EC1">
            <w:pPr>
              <w:rPr>
                <w:rFonts w:ascii="宋体"/>
                <w:vanish/>
              </w:rPr>
            </w:pPr>
          </w:p>
        </w:tc>
        <w:tc>
          <w:tcPr>
            <w:tcW w:w="0" w:type="auto"/>
            <w:gridSpan w:val="3"/>
            <w:shd w:val="clear" w:color="auto" w:fill="auto"/>
            <w:vAlign w:val="bottom"/>
          </w:tcPr>
          <w:p w14:paraId="74DE127E" w14:textId="77777777" w:rsidR="00584EC1" w:rsidRDefault="00584EC1">
            <w:pPr>
              <w:rPr>
                <w:rFonts w:ascii="宋体"/>
                <w:vanish/>
              </w:rPr>
            </w:pPr>
          </w:p>
        </w:tc>
        <w:tc>
          <w:tcPr>
            <w:tcW w:w="0" w:type="auto"/>
            <w:gridSpan w:val="3"/>
            <w:shd w:val="clear" w:color="auto" w:fill="auto"/>
            <w:vAlign w:val="bottom"/>
          </w:tcPr>
          <w:p w14:paraId="74DE127F" w14:textId="77777777" w:rsidR="00584EC1" w:rsidRDefault="00584EC1">
            <w:pPr>
              <w:rPr>
                <w:rFonts w:ascii="宋体"/>
                <w:vanish/>
              </w:rPr>
            </w:pPr>
          </w:p>
        </w:tc>
        <w:tc>
          <w:tcPr>
            <w:tcW w:w="0" w:type="auto"/>
            <w:gridSpan w:val="3"/>
            <w:shd w:val="clear" w:color="auto" w:fill="auto"/>
            <w:vAlign w:val="bottom"/>
          </w:tcPr>
          <w:p w14:paraId="74DE1280" w14:textId="77777777" w:rsidR="00584EC1" w:rsidRDefault="00584EC1">
            <w:pPr>
              <w:rPr>
                <w:rFonts w:ascii="宋体"/>
                <w:vanish/>
              </w:rPr>
            </w:pPr>
          </w:p>
        </w:tc>
        <w:tc>
          <w:tcPr>
            <w:tcW w:w="0" w:type="auto"/>
            <w:gridSpan w:val="3"/>
            <w:shd w:val="clear" w:color="auto" w:fill="auto"/>
            <w:vAlign w:val="bottom"/>
          </w:tcPr>
          <w:p w14:paraId="74DE1281" w14:textId="77777777" w:rsidR="00584EC1" w:rsidRDefault="00584EC1">
            <w:pPr>
              <w:rPr>
                <w:rFonts w:ascii="宋体"/>
                <w:vanish/>
              </w:rPr>
            </w:pPr>
          </w:p>
        </w:tc>
        <w:tc>
          <w:tcPr>
            <w:tcW w:w="0" w:type="auto"/>
            <w:gridSpan w:val="3"/>
            <w:shd w:val="clear" w:color="auto" w:fill="auto"/>
            <w:vAlign w:val="bottom"/>
          </w:tcPr>
          <w:p w14:paraId="74DE1282" w14:textId="77777777" w:rsidR="00584EC1" w:rsidRDefault="00584EC1">
            <w:pPr>
              <w:rPr>
                <w:rFonts w:ascii="宋体"/>
                <w:vanish/>
              </w:rPr>
            </w:pPr>
          </w:p>
        </w:tc>
        <w:tc>
          <w:tcPr>
            <w:tcW w:w="0" w:type="auto"/>
            <w:gridSpan w:val="3"/>
            <w:shd w:val="clear" w:color="auto" w:fill="auto"/>
            <w:vAlign w:val="bottom"/>
          </w:tcPr>
          <w:p w14:paraId="74DE1283" w14:textId="77777777" w:rsidR="00584EC1" w:rsidRDefault="00584EC1">
            <w:pPr>
              <w:rPr>
                <w:rFonts w:ascii="宋体"/>
                <w:vanish/>
              </w:rPr>
            </w:pPr>
          </w:p>
        </w:tc>
      </w:tr>
      <w:tr w:rsidR="00584EC1" w14:paraId="74DE128F" w14:textId="77777777">
        <w:trPr>
          <w:hidden/>
        </w:trPr>
        <w:tc>
          <w:tcPr>
            <w:tcW w:w="0" w:type="auto"/>
            <w:gridSpan w:val="3"/>
            <w:shd w:val="clear" w:color="auto" w:fill="auto"/>
            <w:vAlign w:val="bottom"/>
          </w:tcPr>
          <w:p w14:paraId="74DE1285" w14:textId="77777777" w:rsidR="00584EC1" w:rsidRDefault="00584EC1">
            <w:pPr>
              <w:rPr>
                <w:rFonts w:ascii="宋体"/>
                <w:vanish/>
              </w:rPr>
            </w:pPr>
          </w:p>
        </w:tc>
        <w:tc>
          <w:tcPr>
            <w:tcW w:w="0" w:type="auto"/>
            <w:gridSpan w:val="3"/>
            <w:shd w:val="clear" w:color="auto" w:fill="auto"/>
            <w:vAlign w:val="bottom"/>
          </w:tcPr>
          <w:p w14:paraId="74DE1286" w14:textId="77777777" w:rsidR="00584EC1" w:rsidRDefault="00584EC1">
            <w:pPr>
              <w:rPr>
                <w:rFonts w:ascii="宋体"/>
                <w:vanish/>
              </w:rPr>
            </w:pPr>
          </w:p>
        </w:tc>
        <w:tc>
          <w:tcPr>
            <w:tcW w:w="0" w:type="auto"/>
            <w:gridSpan w:val="3"/>
            <w:shd w:val="clear" w:color="auto" w:fill="auto"/>
            <w:vAlign w:val="bottom"/>
          </w:tcPr>
          <w:p w14:paraId="74DE1287" w14:textId="77777777" w:rsidR="00584EC1" w:rsidRDefault="00584EC1">
            <w:pPr>
              <w:rPr>
                <w:rFonts w:ascii="宋体"/>
                <w:vanish/>
              </w:rPr>
            </w:pPr>
          </w:p>
        </w:tc>
        <w:tc>
          <w:tcPr>
            <w:tcW w:w="0" w:type="auto"/>
            <w:gridSpan w:val="3"/>
            <w:shd w:val="clear" w:color="auto" w:fill="auto"/>
            <w:vAlign w:val="bottom"/>
          </w:tcPr>
          <w:p w14:paraId="74DE1288" w14:textId="77777777" w:rsidR="00584EC1" w:rsidRDefault="00584EC1">
            <w:pPr>
              <w:rPr>
                <w:rFonts w:ascii="宋体"/>
                <w:vanish/>
              </w:rPr>
            </w:pPr>
          </w:p>
        </w:tc>
        <w:tc>
          <w:tcPr>
            <w:tcW w:w="0" w:type="auto"/>
            <w:gridSpan w:val="3"/>
            <w:shd w:val="clear" w:color="auto" w:fill="auto"/>
            <w:vAlign w:val="bottom"/>
          </w:tcPr>
          <w:p w14:paraId="74DE1289" w14:textId="77777777" w:rsidR="00584EC1" w:rsidRDefault="00584EC1">
            <w:pPr>
              <w:rPr>
                <w:rFonts w:ascii="宋体"/>
                <w:vanish/>
              </w:rPr>
            </w:pPr>
          </w:p>
        </w:tc>
        <w:tc>
          <w:tcPr>
            <w:tcW w:w="0" w:type="auto"/>
            <w:gridSpan w:val="3"/>
            <w:shd w:val="clear" w:color="auto" w:fill="auto"/>
            <w:vAlign w:val="bottom"/>
          </w:tcPr>
          <w:p w14:paraId="74DE128A" w14:textId="77777777" w:rsidR="00584EC1" w:rsidRDefault="00584EC1">
            <w:pPr>
              <w:rPr>
                <w:rFonts w:ascii="宋体"/>
                <w:vanish/>
              </w:rPr>
            </w:pPr>
          </w:p>
        </w:tc>
        <w:tc>
          <w:tcPr>
            <w:tcW w:w="0" w:type="auto"/>
            <w:gridSpan w:val="3"/>
            <w:shd w:val="clear" w:color="auto" w:fill="auto"/>
            <w:vAlign w:val="bottom"/>
          </w:tcPr>
          <w:p w14:paraId="74DE128B" w14:textId="77777777" w:rsidR="00584EC1" w:rsidRDefault="00584EC1">
            <w:pPr>
              <w:rPr>
                <w:rFonts w:ascii="宋体"/>
                <w:vanish/>
              </w:rPr>
            </w:pPr>
          </w:p>
        </w:tc>
        <w:tc>
          <w:tcPr>
            <w:tcW w:w="0" w:type="auto"/>
            <w:gridSpan w:val="3"/>
            <w:shd w:val="clear" w:color="auto" w:fill="auto"/>
            <w:vAlign w:val="bottom"/>
          </w:tcPr>
          <w:p w14:paraId="74DE128C" w14:textId="77777777" w:rsidR="00584EC1" w:rsidRDefault="00584EC1">
            <w:pPr>
              <w:rPr>
                <w:rFonts w:ascii="宋体"/>
                <w:vanish/>
              </w:rPr>
            </w:pPr>
          </w:p>
        </w:tc>
        <w:tc>
          <w:tcPr>
            <w:tcW w:w="0" w:type="auto"/>
            <w:gridSpan w:val="3"/>
            <w:shd w:val="clear" w:color="auto" w:fill="auto"/>
            <w:vAlign w:val="bottom"/>
          </w:tcPr>
          <w:p w14:paraId="74DE128D" w14:textId="77777777" w:rsidR="00584EC1" w:rsidRDefault="00584EC1">
            <w:pPr>
              <w:rPr>
                <w:rFonts w:ascii="宋体"/>
                <w:vanish/>
              </w:rPr>
            </w:pPr>
          </w:p>
        </w:tc>
        <w:tc>
          <w:tcPr>
            <w:tcW w:w="0" w:type="auto"/>
            <w:gridSpan w:val="3"/>
            <w:shd w:val="clear" w:color="auto" w:fill="auto"/>
            <w:vAlign w:val="bottom"/>
          </w:tcPr>
          <w:p w14:paraId="74DE128E" w14:textId="77777777" w:rsidR="00584EC1" w:rsidRDefault="00584EC1">
            <w:pPr>
              <w:rPr>
                <w:rFonts w:ascii="宋体"/>
                <w:vanish/>
              </w:rPr>
            </w:pPr>
          </w:p>
        </w:tc>
      </w:tr>
      <w:tr w:rsidR="00584EC1" w14:paraId="74DE129A" w14:textId="77777777">
        <w:trPr>
          <w:hidden/>
        </w:trPr>
        <w:tc>
          <w:tcPr>
            <w:tcW w:w="0" w:type="auto"/>
            <w:gridSpan w:val="3"/>
            <w:shd w:val="clear" w:color="auto" w:fill="auto"/>
            <w:vAlign w:val="bottom"/>
          </w:tcPr>
          <w:p w14:paraId="74DE1290" w14:textId="77777777" w:rsidR="00584EC1" w:rsidRDefault="00584EC1">
            <w:pPr>
              <w:rPr>
                <w:rFonts w:ascii="宋体"/>
                <w:vanish/>
              </w:rPr>
            </w:pPr>
          </w:p>
        </w:tc>
        <w:tc>
          <w:tcPr>
            <w:tcW w:w="0" w:type="auto"/>
            <w:gridSpan w:val="3"/>
            <w:shd w:val="clear" w:color="auto" w:fill="auto"/>
            <w:vAlign w:val="bottom"/>
          </w:tcPr>
          <w:p w14:paraId="74DE1291" w14:textId="77777777" w:rsidR="00584EC1" w:rsidRDefault="00584EC1">
            <w:pPr>
              <w:rPr>
                <w:rFonts w:ascii="宋体"/>
                <w:vanish/>
              </w:rPr>
            </w:pPr>
          </w:p>
        </w:tc>
        <w:tc>
          <w:tcPr>
            <w:tcW w:w="0" w:type="auto"/>
            <w:gridSpan w:val="3"/>
            <w:shd w:val="clear" w:color="auto" w:fill="auto"/>
            <w:vAlign w:val="bottom"/>
          </w:tcPr>
          <w:p w14:paraId="74DE1292" w14:textId="77777777" w:rsidR="00584EC1" w:rsidRDefault="00584EC1">
            <w:pPr>
              <w:rPr>
                <w:rFonts w:ascii="宋体"/>
                <w:vanish/>
              </w:rPr>
            </w:pPr>
          </w:p>
        </w:tc>
        <w:tc>
          <w:tcPr>
            <w:tcW w:w="0" w:type="auto"/>
            <w:gridSpan w:val="3"/>
            <w:shd w:val="clear" w:color="auto" w:fill="auto"/>
            <w:vAlign w:val="bottom"/>
          </w:tcPr>
          <w:p w14:paraId="74DE1293" w14:textId="77777777" w:rsidR="00584EC1" w:rsidRDefault="00584EC1">
            <w:pPr>
              <w:rPr>
                <w:rFonts w:ascii="宋体"/>
                <w:vanish/>
              </w:rPr>
            </w:pPr>
          </w:p>
        </w:tc>
        <w:tc>
          <w:tcPr>
            <w:tcW w:w="0" w:type="auto"/>
            <w:gridSpan w:val="3"/>
            <w:shd w:val="clear" w:color="auto" w:fill="auto"/>
            <w:vAlign w:val="bottom"/>
          </w:tcPr>
          <w:p w14:paraId="74DE1294" w14:textId="77777777" w:rsidR="00584EC1" w:rsidRDefault="00584EC1">
            <w:pPr>
              <w:rPr>
                <w:rFonts w:ascii="宋体"/>
                <w:vanish/>
              </w:rPr>
            </w:pPr>
          </w:p>
        </w:tc>
        <w:tc>
          <w:tcPr>
            <w:tcW w:w="0" w:type="auto"/>
            <w:gridSpan w:val="3"/>
            <w:shd w:val="clear" w:color="auto" w:fill="auto"/>
            <w:vAlign w:val="bottom"/>
          </w:tcPr>
          <w:p w14:paraId="74DE1295" w14:textId="77777777" w:rsidR="00584EC1" w:rsidRDefault="00584EC1">
            <w:pPr>
              <w:rPr>
                <w:rFonts w:ascii="宋体"/>
                <w:vanish/>
              </w:rPr>
            </w:pPr>
          </w:p>
        </w:tc>
        <w:tc>
          <w:tcPr>
            <w:tcW w:w="0" w:type="auto"/>
            <w:gridSpan w:val="3"/>
            <w:shd w:val="clear" w:color="auto" w:fill="auto"/>
            <w:vAlign w:val="bottom"/>
          </w:tcPr>
          <w:p w14:paraId="74DE1296" w14:textId="77777777" w:rsidR="00584EC1" w:rsidRDefault="00584EC1">
            <w:pPr>
              <w:rPr>
                <w:rFonts w:ascii="宋体"/>
                <w:vanish/>
              </w:rPr>
            </w:pPr>
          </w:p>
        </w:tc>
        <w:tc>
          <w:tcPr>
            <w:tcW w:w="0" w:type="auto"/>
            <w:gridSpan w:val="3"/>
            <w:shd w:val="clear" w:color="auto" w:fill="auto"/>
            <w:vAlign w:val="bottom"/>
          </w:tcPr>
          <w:p w14:paraId="74DE1297" w14:textId="77777777" w:rsidR="00584EC1" w:rsidRDefault="00584EC1">
            <w:pPr>
              <w:rPr>
                <w:rFonts w:ascii="宋体"/>
                <w:vanish/>
              </w:rPr>
            </w:pPr>
          </w:p>
        </w:tc>
        <w:tc>
          <w:tcPr>
            <w:tcW w:w="0" w:type="auto"/>
            <w:gridSpan w:val="3"/>
            <w:shd w:val="clear" w:color="auto" w:fill="auto"/>
            <w:vAlign w:val="bottom"/>
          </w:tcPr>
          <w:p w14:paraId="74DE1298" w14:textId="77777777" w:rsidR="00584EC1" w:rsidRDefault="00584EC1">
            <w:pPr>
              <w:rPr>
                <w:rFonts w:ascii="宋体"/>
                <w:vanish/>
              </w:rPr>
            </w:pPr>
          </w:p>
        </w:tc>
        <w:tc>
          <w:tcPr>
            <w:tcW w:w="0" w:type="auto"/>
            <w:gridSpan w:val="3"/>
            <w:shd w:val="clear" w:color="auto" w:fill="auto"/>
            <w:vAlign w:val="bottom"/>
          </w:tcPr>
          <w:p w14:paraId="74DE1299" w14:textId="77777777" w:rsidR="00584EC1" w:rsidRDefault="00584EC1">
            <w:pPr>
              <w:rPr>
                <w:rFonts w:ascii="宋体"/>
                <w:vanish/>
              </w:rPr>
            </w:pPr>
          </w:p>
        </w:tc>
      </w:tr>
      <w:tr w:rsidR="00584EC1" w14:paraId="74DE12A5" w14:textId="77777777">
        <w:trPr>
          <w:hidden/>
        </w:trPr>
        <w:tc>
          <w:tcPr>
            <w:tcW w:w="0" w:type="auto"/>
            <w:gridSpan w:val="3"/>
            <w:shd w:val="clear" w:color="auto" w:fill="auto"/>
            <w:vAlign w:val="bottom"/>
          </w:tcPr>
          <w:p w14:paraId="74DE129B" w14:textId="77777777" w:rsidR="00584EC1" w:rsidRDefault="00584EC1">
            <w:pPr>
              <w:rPr>
                <w:rFonts w:ascii="宋体"/>
                <w:vanish/>
              </w:rPr>
            </w:pPr>
          </w:p>
        </w:tc>
        <w:tc>
          <w:tcPr>
            <w:tcW w:w="0" w:type="auto"/>
            <w:gridSpan w:val="3"/>
            <w:shd w:val="clear" w:color="auto" w:fill="auto"/>
            <w:vAlign w:val="bottom"/>
          </w:tcPr>
          <w:p w14:paraId="74DE129C" w14:textId="77777777" w:rsidR="00584EC1" w:rsidRDefault="00584EC1">
            <w:pPr>
              <w:rPr>
                <w:rFonts w:ascii="宋体"/>
                <w:vanish/>
              </w:rPr>
            </w:pPr>
          </w:p>
        </w:tc>
        <w:tc>
          <w:tcPr>
            <w:tcW w:w="0" w:type="auto"/>
            <w:gridSpan w:val="3"/>
            <w:shd w:val="clear" w:color="auto" w:fill="auto"/>
            <w:vAlign w:val="bottom"/>
          </w:tcPr>
          <w:p w14:paraId="74DE129D" w14:textId="77777777" w:rsidR="00584EC1" w:rsidRDefault="00584EC1">
            <w:pPr>
              <w:rPr>
                <w:rFonts w:ascii="宋体"/>
                <w:vanish/>
              </w:rPr>
            </w:pPr>
          </w:p>
        </w:tc>
        <w:tc>
          <w:tcPr>
            <w:tcW w:w="0" w:type="auto"/>
            <w:gridSpan w:val="3"/>
            <w:shd w:val="clear" w:color="auto" w:fill="auto"/>
            <w:vAlign w:val="bottom"/>
          </w:tcPr>
          <w:p w14:paraId="74DE129E" w14:textId="77777777" w:rsidR="00584EC1" w:rsidRDefault="00584EC1">
            <w:pPr>
              <w:rPr>
                <w:rFonts w:ascii="宋体"/>
                <w:vanish/>
              </w:rPr>
            </w:pPr>
          </w:p>
        </w:tc>
        <w:tc>
          <w:tcPr>
            <w:tcW w:w="0" w:type="auto"/>
            <w:gridSpan w:val="3"/>
            <w:shd w:val="clear" w:color="auto" w:fill="auto"/>
            <w:vAlign w:val="bottom"/>
          </w:tcPr>
          <w:p w14:paraId="74DE129F" w14:textId="77777777" w:rsidR="00584EC1" w:rsidRDefault="00584EC1">
            <w:pPr>
              <w:rPr>
                <w:rFonts w:ascii="宋体"/>
                <w:vanish/>
              </w:rPr>
            </w:pPr>
          </w:p>
        </w:tc>
        <w:tc>
          <w:tcPr>
            <w:tcW w:w="0" w:type="auto"/>
            <w:gridSpan w:val="3"/>
            <w:shd w:val="clear" w:color="auto" w:fill="auto"/>
            <w:vAlign w:val="bottom"/>
          </w:tcPr>
          <w:p w14:paraId="74DE12A0" w14:textId="77777777" w:rsidR="00584EC1" w:rsidRDefault="00584EC1">
            <w:pPr>
              <w:rPr>
                <w:rFonts w:ascii="宋体"/>
                <w:vanish/>
              </w:rPr>
            </w:pPr>
          </w:p>
        </w:tc>
        <w:tc>
          <w:tcPr>
            <w:tcW w:w="0" w:type="auto"/>
            <w:gridSpan w:val="3"/>
            <w:shd w:val="clear" w:color="auto" w:fill="auto"/>
            <w:vAlign w:val="bottom"/>
          </w:tcPr>
          <w:p w14:paraId="74DE12A1" w14:textId="77777777" w:rsidR="00584EC1" w:rsidRDefault="00584EC1">
            <w:pPr>
              <w:rPr>
                <w:rFonts w:ascii="宋体"/>
                <w:vanish/>
              </w:rPr>
            </w:pPr>
          </w:p>
        </w:tc>
        <w:tc>
          <w:tcPr>
            <w:tcW w:w="0" w:type="auto"/>
            <w:gridSpan w:val="3"/>
            <w:shd w:val="clear" w:color="auto" w:fill="auto"/>
            <w:vAlign w:val="bottom"/>
          </w:tcPr>
          <w:p w14:paraId="74DE12A2" w14:textId="77777777" w:rsidR="00584EC1" w:rsidRDefault="00584EC1">
            <w:pPr>
              <w:rPr>
                <w:rFonts w:ascii="宋体"/>
                <w:vanish/>
              </w:rPr>
            </w:pPr>
          </w:p>
        </w:tc>
        <w:tc>
          <w:tcPr>
            <w:tcW w:w="0" w:type="auto"/>
            <w:gridSpan w:val="3"/>
            <w:shd w:val="clear" w:color="auto" w:fill="auto"/>
            <w:vAlign w:val="bottom"/>
          </w:tcPr>
          <w:p w14:paraId="74DE12A3" w14:textId="77777777" w:rsidR="00584EC1" w:rsidRDefault="00584EC1">
            <w:pPr>
              <w:rPr>
                <w:rFonts w:ascii="宋体"/>
                <w:vanish/>
              </w:rPr>
            </w:pPr>
          </w:p>
        </w:tc>
        <w:tc>
          <w:tcPr>
            <w:tcW w:w="0" w:type="auto"/>
            <w:gridSpan w:val="3"/>
            <w:shd w:val="clear" w:color="auto" w:fill="auto"/>
            <w:vAlign w:val="bottom"/>
          </w:tcPr>
          <w:p w14:paraId="74DE12A4" w14:textId="77777777" w:rsidR="00584EC1" w:rsidRDefault="00584EC1">
            <w:pPr>
              <w:rPr>
                <w:rFonts w:ascii="宋体"/>
                <w:vanish/>
              </w:rPr>
            </w:pPr>
          </w:p>
        </w:tc>
      </w:tr>
      <w:tr w:rsidR="00584EC1" w14:paraId="74DE12B0" w14:textId="77777777">
        <w:trPr>
          <w:hidden/>
        </w:trPr>
        <w:tc>
          <w:tcPr>
            <w:tcW w:w="0" w:type="auto"/>
            <w:gridSpan w:val="3"/>
            <w:shd w:val="clear" w:color="auto" w:fill="auto"/>
            <w:vAlign w:val="bottom"/>
          </w:tcPr>
          <w:p w14:paraId="74DE12A6" w14:textId="77777777" w:rsidR="00584EC1" w:rsidRDefault="00584EC1">
            <w:pPr>
              <w:rPr>
                <w:rFonts w:ascii="宋体"/>
                <w:vanish/>
              </w:rPr>
            </w:pPr>
          </w:p>
        </w:tc>
        <w:tc>
          <w:tcPr>
            <w:tcW w:w="0" w:type="auto"/>
            <w:gridSpan w:val="3"/>
            <w:shd w:val="clear" w:color="auto" w:fill="auto"/>
            <w:vAlign w:val="bottom"/>
          </w:tcPr>
          <w:p w14:paraId="74DE12A7" w14:textId="77777777" w:rsidR="00584EC1" w:rsidRDefault="00584EC1">
            <w:pPr>
              <w:rPr>
                <w:rFonts w:ascii="宋体"/>
                <w:vanish/>
              </w:rPr>
            </w:pPr>
          </w:p>
        </w:tc>
        <w:tc>
          <w:tcPr>
            <w:tcW w:w="0" w:type="auto"/>
            <w:gridSpan w:val="3"/>
            <w:shd w:val="clear" w:color="auto" w:fill="auto"/>
            <w:vAlign w:val="bottom"/>
          </w:tcPr>
          <w:p w14:paraId="74DE12A8" w14:textId="77777777" w:rsidR="00584EC1" w:rsidRDefault="00584EC1">
            <w:pPr>
              <w:rPr>
                <w:rFonts w:ascii="宋体"/>
                <w:vanish/>
              </w:rPr>
            </w:pPr>
          </w:p>
        </w:tc>
        <w:tc>
          <w:tcPr>
            <w:tcW w:w="0" w:type="auto"/>
            <w:gridSpan w:val="3"/>
            <w:shd w:val="clear" w:color="auto" w:fill="auto"/>
            <w:vAlign w:val="bottom"/>
          </w:tcPr>
          <w:p w14:paraId="74DE12A9" w14:textId="77777777" w:rsidR="00584EC1" w:rsidRDefault="00584EC1">
            <w:pPr>
              <w:rPr>
                <w:rFonts w:ascii="宋体"/>
                <w:vanish/>
              </w:rPr>
            </w:pPr>
          </w:p>
        </w:tc>
        <w:tc>
          <w:tcPr>
            <w:tcW w:w="0" w:type="auto"/>
            <w:gridSpan w:val="3"/>
            <w:shd w:val="clear" w:color="auto" w:fill="auto"/>
            <w:vAlign w:val="bottom"/>
          </w:tcPr>
          <w:p w14:paraId="74DE12AA" w14:textId="77777777" w:rsidR="00584EC1" w:rsidRDefault="00584EC1">
            <w:pPr>
              <w:rPr>
                <w:rFonts w:ascii="宋体"/>
                <w:vanish/>
              </w:rPr>
            </w:pPr>
          </w:p>
        </w:tc>
        <w:tc>
          <w:tcPr>
            <w:tcW w:w="0" w:type="auto"/>
            <w:gridSpan w:val="3"/>
            <w:shd w:val="clear" w:color="auto" w:fill="auto"/>
            <w:vAlign w:val="bottom"/>
          </w:tcPr>
          <w:p w14:paraId="74DE12AB" w14:textId="77777777" w:rsidR="00584EC1" w:rsidRDefault="00584EC1">
            <w:pPr>
              <w:rPr>
                <w:rFonts w:ascii="宋体"/>
                <w:vanish/>
              </w:rPr>
            </w:pPr>
          </w:p>
        </w:tc>
        <w:tc>
          <w:tcPr>
            <w:tcW w:w="0" w:type="auto"/>
            <w:gridSpan w:val="3"/>
            <w:shd w:val="clear" w:color="auto" w:fill="auto"/>
            <w:vAlign w:val="bottom"/>
          </w:tcPr>
          <w:p w14:paraId="74DE12AC" w14:textId="77777777" w:rsidR="00584EC1" w:rsidRDefault="00584EC1">
            <w:pPr>
              <w:rPr>
                <w:rFonts w:ascii="宋体"/>
                <w:vanish/>
              </w:rPr>
            </w:pPr>
          </w:p>
        </w:tc>
        <w:tc>
          <w:tcPr>
            <w:tcW w:w="0" w:type="auto"/>
            <w:gridSpan w:val="3"/>
            <w:shd w:val="clear" w:color="auto" w:fill="auto"/>
            <w:vAlign w:val="bottom"/>
          </w:tcPr>
          <w:p w14:paraId="74DE12AD" w14:textId="77777777" w:rsidR="00584EC1" w:rsidRDefault="00584EC1">
            <w:pPr>
              <w:rPr>
                <w:rFonts w:ascii="宋体"/>
                <w:vanish/>
              </w:rPr>
            </w:pPr>
          </w:p>
        </w:tc>
        <w:tc>
          <w:tcPr>
            <w:tcW w:w="0" w:type="auto"/>
            <w:gridSpan w:val="3"/>
            <w:shd w:val="clear" w:color="auto" w:fill="auto"/>
            <w:vAlign w:val="bottom"/>
          </w:tcPr>
          <w:p w14:paraId="74DE12AE" w14:textId="77777777" w:rsidR="00584EC1" w:rsidRDefault="00584EC1">
            <w:pPr>
              <w:rPr>
                <w:rFonts w:ascii="宋体"/>
                <w:vanish/>
              </w:rPr>
            </w:pPr>
          </w:p>
        </w:tc>
        <w:tc>
          <w:tcPr>
            <w:tcW w:w="0" w:type="auto"/>
            <w:gridSpan w:val="3"/>
            <w:shd w:val="clear" w:color="auto" w:fill="auto"/>
            <w:vAlign w:val="bottom"/>
          </w:tcPr>
          <w:p w14:paraId="74DE12AF" w14:textId="77777777" w:rsidR="00584EC1" w:rsidRDefault="00584EC1">
            <w:pPr>
              <w:rPr>
                <w:rFonts w:ascii="宋体"/>
                <w:vanish/>
              </w:rPr>
            </w:pPr>
          </w:p>
        </w:tc>
      </w:tr>
      <w:tr w:rsidR="00584EC1" w14:paraId="74DE12BB" w14:textId="77777777">
        <w:trPr>
          <w:hidden/>
        </w:trPr>
        <w:tc>
          <w:tcPr>
            <w:tcW w:w="0" w:type="auto"/>
            <w:gridSpan w:val="3"/>
            <w:shd w:val="clear" w:color="auto" w:fill="auto"/>
            <w:vAlign w:val="bottom"/>
          </w:tcPr>
          <w:p w14:paraId="74DE12B1" w14:textId="77777777" w:rsidR="00584EC1" w:rsidRDefault="00584EC1">
            <w:pPr>
              <w:rPr>
                <w:rFonts w:ascii="宋体"/>
                <w:vanish/>
              </w:rPr>
            </w:pPr>
          </w:p>
        </w:tc>
        <w:tc>
          <w:tcPr>
            <w:tcW w:w="0" w:type="auto"/>
            <w:gridSpan w:val="3"/>
            <w:shd w:val="clear" w:color="auto" w:fill="auto"/>
            <w:vAlign w:val="bottom"/>
          </w:tcPr>
          <w:p w14:paraId="74DE12B2" w14:textId="77777777" w:rsidR="00584EC1" w:rsidRDefault="00584EC1">
            <w:pPr>
              <w:rPr>
                <w:rFonts w:ascii="宋体"/>
                <w:vanish/>
              </w:rPr>
            </w:pPr>
          </w:p>
        </w:tc>
        <w:tc>
          <w:tcPr>
            <w:tcW w:w="0" w:type="auto"/>
            <w:gridSpan w:val="3"/>
            <w:shd w:val="clear" w:color="auto" w:fill="auto"/>
            <w:vAlign w:val="bottom"/>
          </w:tcPr>
          <w:p w14:paraId="74DE12B3" w14:textId="77777777" w:rsidR="00584EC1" w:rsidRDefault="00584EC1">
            <w:pPr>
              <w:rPr>
                <w:rFonts w:ascii="宋体"/>
                <w:vanish/>
              </w:rPr>
            </w:pPr>
          </w:p>
        </w:tc>
        <w:tc>
          <w:tcPr>
            <w:tcW w:w="0" w:type="auto"/>
            <w:gridSpan w:val="3"/>
            <w:shd w:val="clear" w:color="auto" w:fill="auto"/>
            <w:vAlign w:val="bottom"/>
          </w:tcPr>
          <w:p w14:paraId="74DE12B4" w14:textId="77777777" w:rsidR="00584EC1" w:rsidRDefault="00584EC1">
            <w:pPr>
              <w:rPr>
                <w:rFonts w:ascii="宋体"/>
                <w:vanish/>
              </w:rPr>
            </w:pPr>
          </w:p>
        </w:tc>
        <w:tc>
          <w:tcPr>
            <w:tcW w:w="0" w:type="auto"/>
            <w:gridSpan w:val="3"/>
            <w:shd w:val="clear" w:color="auto" w:fill="auto"/>
            <w:vAlign w:val="bottom"/>
          </w:tcPr>
          <w:p w14:paraId="74DE12B5" w14:textId="77777777" w:rsidR="00584EC1" w:rsidRDefault="00584EC1">
            <w:pPr>
              <w:rPr>
                <w:rFonts w:ascii="宋体"/>
                <w:vanish/>
              </w:rPr>
            </w:pPr>
          </w:p>
        </w:tc>
        <w:tc>
          <w:tcPr>
            <w:tcW w:w="0" w:type="auto"/>
            <w:gridSpan w:val="3"/>
            <w:shd w:val="clear" w:color="auto" w:fill="auto"/>
            <w:vAlign w:val="bottom"/>
          </w:tcPr>
          <w:p w14:paraId="74DE12B6" w14:textId="77777777" w:rsidR="00584EC1" w:rsidRDefault="00584EC1">
            <w:pPr>
              <w:rPr>
                <w:rFonts w:ascii="宋体"/>
                <w:vanish/>
              </w:rPr>
            </w:pPr>
          </w:p>
        </w:tc>
        <w:tc>
          <w:tcPr>
            <w:tcW w:w="0" w:type="auto"/>
            <w:gridSpan w:val="3"/>
            <w:shd w:val="clear" w:color="auto" w:fill="auto"/>
            <w:vAlign w:val="bottom"/>
          </w:tcPr>
          <w:p w14:paraId="74DE12B7" w14:textId="77777777" w:rsidR="00584EC1" w:rsidRDefault="00584EC1">
            <w:pPr>
              <w:rPr>
                <w:rFonts w:ascii="宋体"/>
                <w:vanish/>
              </w:rPr>
            </w:pPr>
          </w:p>
        </w:tc>
        <w:tc>
          <w:tcPr>
            <w:tcW w:w="0" w:type="auto"/>
            <w:gridSpan w:val="3"/>
            <w:shd w:val="clear" w:color="auto" w:fill="auto"/>
            <w:vAlign w:val="bottom"/>
          </w:tcPr>
          <w:p w14:paraId="74DE12B8" w14:textId="77777777" w:rsidR="00584EC1" w:rsidRDefault="00584EC1">
            <w:pPr>
              <w:rPr>
                <w:rFonts w:ascii="宋体"/>
                <w:vanish/>
              </w:rPr>
            </w:pPr>
          </w:p>
        </w:tc>
        <w:tc>
          <w:tcPr>
            <w:tcW w:w="0" w:type="auto"/>
            <w:gridSpan w:val="3"/>
            <w:shd w:val="clear" w:color="auto" w:fill="auto"/>
            <w:vAlign w:val="bottom"/>
          </w:tcPr>
          <w:p w14:paraId="74DE12B9" w14:textId="77777777" w:rsidR="00584EC1" w:rsidRDefault="00584EC1">
            <w:pPr>
              <w:rPr>
                <w:rFonts w:ascii="宋体"/>
                <w:vanish/>
              </w:rPr>
            </w:pPr>
          </w:p>
        </w:tc>
        <w:tc>
          <w:tcPr>
            <w:tcW w:w="0" w:type="auto"/>
            <w:gridSpan w:val="3"/>
            <w:shd w:val="clear" w:color="auto" w:fill="auto"/>
            <w:vAlign w:val="bottom"/>
          </w:tcPr>
          <w:p w14:paraId="74DE12BA" w14:textId="77777777" w:rsidR="00584EC1" w:rsidRDefault="00584EC1">
            <w:pPr>
              <w:rPr>
                <w:rFonts w:ascii="宋体"/>
                <w:vanish/>
              </w:rPr>
            </w:pPr>
          </w:p>
        </w:tc>
      </w:tr>
      <w:tr w:rsidR="00584EC1" w14:paraId="74DE12C6" w14:textId="77777777">
        <w:trPr>
          <w:hidden/>
        </w:trPr>
        <w:tc>
          <w:tcPr>
            <w:tcW w:w="0" w:type="auto"/>
            <w:gridSpan w:val="3"/>
            <w:shd w:val="clear" w:color="auto" w:fill="auto"/>
            <w:vAlign w:val="bottom"/>
          </w:tcPr>
          <w:p w14:paraId="74DE12BC" w14:textId="77777777" w:rsidR="00584EC1" w:rsidRDefault="00584EC1">
            <w:pPr>
              <w:rPr>
                <w:rFonts w:ascii="宋体"/>
                <w:vanish/>
              </w:rPr>
            </w:pPr>
          </w:p>
        </w:tc>
        <w:tc>
          <w:tcPr>
            <w:tcW w:w="0" w:type="auto"/>
            <w:gridSpan w:val="3"/>
            <w:shd w:val="clear" w:color="auto" w:fill="auto"/>
            <w:vAlign w:val="bottom"/>
          </w:tcPr>
          <w:p w14:paraId="74DE12BD" w14:textId="77777777" w:rsidR="00584EC1" w:rsidRDefault="00584EC1">
            <w:pPr>
              <w:rPr>
                <w:rFonts w:ascii="宋体"/>
                <w:vanish/>
              </w:rPr>
            </w:pPr>
          </w:p>
        </w:tc>
        <w:tc>
          <w:tcPr>
            <w:tcW w:w="0" w:type="auto"/>
            <w:gridSpan w:val="3"/>
            <w:shd w:val="clear" w:color="auto" w:fill="auto"/>
            <w:vAlign w:val="bottom"/>
          </w:tcPr>
          <w:p w14:paraId="74DE12BE" w14:textId="77777777" w:rsidR="00584EC1" w:rsidRDefault="00584EC1">
            <w:pPr>
              <w:rPr>
                <w:rFonts w:ascii="宋体"/>
                <w:vanish/>
              </w:rPr>
            </w:pPr>
          </w:p>
        </w:tc>
        <w:tc>
          <w:tcPr>
            <w:tcW w:w="0" w:type="auto"/>
            <w:gridSpan w:val="3"/>
            <w:shd w:val="clear" w:color="auto" w:fill="auto"/>
            <w:vAlign w:val="bottom"/>
          </w:tcPr>
          <w:p w14:paraId="74DE12BF" w14:textId="77777777" w:rsidR="00584EC1" w:rsidRDefault="00584EC1">
            <w:pPr>
              <w:rPr>
                <w:rFonts w:ascii="宋体"/>
                <w:vanish/>
              </w:rPr>
            </w:pPr>
          </w:p>
        </w:tc>
        <w:tc>
          <w:tcPr>
            <w:tcW w:w="0" w:type="auto"/>
            <w:gridSpan w:val="3"/>
            <w:shd w:val="clear" w:color="auto" w:fill="auto"/>
            <w:vAlign w:val="bottom"/>
          </w:tcPr>
          <w:p w14:paraId="74DE12C0" w14:textId="77777777" w:rsidR="00584EC1" w:rsidRDefault="00584EC1">
            <w:pPr>
              <w:rPr>
                <w:rFonts w:ascii="宋体"/>
                <w:vanish/>
              </w:rPr>
            </w:pPr>
          </w:p>
        </w:tc>
        <w:tc>
          <w:tcPr>
            <w:tcW w:w="0" w:type="auto"/>
            <w:gridSpan w:val="3"/>
            <w:shd w:val="clear" w:color="auto" w:fill="auto"/>
            <w:vAlign w:val="bottom"/>
          </w:tcPr>
          <w:p w14:paraId="74DE12C1" w14:textId="77777777" w:rsidR="00584EC1" w:rsidRDefault="00584EC1">
            <w:pPr>
              <w:rPr>
                <w:rFonts w:ascii="宋体"/>
                <w:vanish/>
              </w:rPr>
            </w:pPr>
          </w:p>
        </w:tc>
        <w:tc>
          <w:tcPr>
            <w:tcW w:w="0" w:type="auto"/>
            <w:gridSpan w:val="3"/>
            <w:shd w:val="clear" w:color="auto" w:fill="auto"/>
            <w:vAlign w:val="bottom"/>
          </w:tcPr>
          <w:p w14:paraId="74DE12C2" w14:textId="77777777" w:rsidR="00584EC1" w:rsidRDefault="00584EC1">
            <w:pPr>
              <w:rPr>
                <w:rFonts w:ascii="宋体"/>
                <w:vanish/>
              </w:rPr>
            </w:pPr>
          </w:p>
        </w:tc>
        <w:tc>
          <w:tcPr>
            <w:tcW w:w="0" w:type="auto"/>
            <w:gridSpan w:val="3"/>
            <w:shd w:val="clear" w:color="auto" w:fill="auto"/>
            <w:vAlign w:val="bottom"/>
          </w:tcPr>
          <w:p w14:paraId="74DE12C3" w14:textId="77777777" w:rsidR="00584EC1" w:rsidRDefault="00584EC1">
            <w:pPr>
              <w:rPr>
                <w:rFonts w:ascii="宋体"/>
                <w:vanish/>
              </w:rPr>
            </w:pPr>
          </w:p>
        </w:tc>
        <w:tc>
          <w:tcPr>
            <w:tcW w:w="0" w:type="auto"/>
            <w:gridSpan w:val="3"/>
            <w:shd w:val="clear" w:color="auto" w:fill="auto"/>
            <w:vAlign w:val="bottom"/>
          </w:tcPr>
          <w:p w14:paraId="74DE12C4" w14:textId="77777777" w:rsidR="00584EC1" w:rsidRDefault="00584EC1">
            <w:pPr>
              <w:rPr>
                <w:rFonts w:ascii="宋体"/>
                <w:vanish/>
              </w:rPr>
            </w:pPr>
          </w:p>
        </w:tc>
        <w:tc>
          <w:tcPr>
            <w:tcW w:w="0" w:type="auto"/>
            <w:gridSpan w:val="3"/>
            <w:shd w:val="clear" w:color="auto" w:fill="auto"/>
            <w:vAlign w:val="bottom"/>
          </w:tcPr>
          <w:p w14:paraId="74DE12C5" w14:textId="77777777" w:rsidR="00584EC1" w:rsidRDefault="00584EC1">
            <w:pPr>
              <w:rPr>
                <w:rFonts w:ascii="宋体"/>
                <w:vanish/>
              </w:rPr>
            </w:pPr>
          </w:p>
        </w:tc>
      </w:tr>
      <w:tr w:rsidR="00584EC1" w14:paraId="74DE12D1" w14:textId="77777777">
        <w:trPr>
          <w:hidden/>
        </w:trPr>
        <w:tc>
          <w:tcPr>
            <w:tcW w:w="0" w:type="auto"/>
            <w:gridSpan w:val="3"/>
            <w:shd w:val="clear" w:color="auto" w:fill="auto"/>
            <w:vAlign w:val="bottom"/>
          </w:tcPr>
          <w:p w14:paraId="74DE12C7" w14:textId="77777777" w:rsidR="00584EC1" w:rsidRDefault="00584EC1">
            <w:pPr>
              <w:rPr>
                <w:rFonts w:ascii="宋体"/>
                <w:vanish/>
              </w:rPr>
            </w:pPr>
          </w:p>
        </w:tc>
        <w:tc>
          <w:tcPr>
            <w:tcW w:w="0" w:type="auto"/>
            <w:gridSpan w:val="3"/>
            <w:shd w:val="clear" w:color="auto" w:fill="auto"/>
            <w:vAlign w:val="bottom"/>
          </w:tcPr>
          <w:p w14:paraId="74DE12C8" w14:textId="77777777" w:rsidR="00584EC1" w:rsidRDefault="00584EC1">
            <w:pPr>
              <w:rPr>
                <w:rFonts w:ascii="宋体"/>
                <w:vanish/>
              </w:rPr>
            </w:pPr>
          </w:p>
        </w:tc>
        <w:tc>
          <w:tcPr>
            <w:tcW w:w="0" w:type="auto"/>
            <w:gridSpan w:val="3"/>
            <w:shd w:val="clear" w:color="auto" w:fill="auto"/>
            <w:vAlign w:val="bottom"/>
          </w:tcPr>
          <w:p w14:paraId="74DE12C9" w14:textId="77777777" w:rsidR="00584EC1" w:rsidRDefault="00584EC1">
            <w:pPr>
              <w:rPr>
                <w:rFonts w:ascii="宋体"/>
                <w:vanish/>
              </w:rPr>
            </w:pPr>
          </w:p>
        </w:tc>
        <w:tc>
          <w:tcPr>
            <w:tcW w:w="0" w:type="auto"/>
            <w:gridSpan w:val="3"/>
            <w:shd w:val="clear" w:color="auto" w:fill="auto"/>
            <w:vAlign w:val="bottom"/>
          </w:tcPr>
          <w:p w14:paraId="74DE12CA" w14:textId="77777777" w:rsidR="00584EC1" w:rsidRDefault="00584EC1">
            <w:pPr>
              <w:rPr>
                <w:rFonts w:ascii="宋体"/>
                <w:vanish/>
              </w:rPr>
            </w:pPr>
          </w:p>
        </w:tc>
        <w:tc>
          <w:tcPr>
            <w:tcW w:w="0" w:type="auto"/>
            <w:gridSpan w:val="3"/>
            <w:shd w:val="clear" w:color="auto" w:fill="auto"/>
            <w:vAlign w:val="bottom"/>
          </w:tcPr>
          <w:p w14:paraId="74DE12CB" w14:textId="77777777" w:rsidR="00584EC1" w:rsidRDefault="00584EC1">
            <w:pPr>
              <w:rPr>
                <w:rFonts w:ascii="宋体"/>
                <w:vanish/>
              </w:rPr>
            </w:pPr>
          </w:p>
        </w:tc>
        <w:tc>
          <w:tcPr>
            <w:tcW w:w="0" w:type="auto"/>
            <w:gridSpan w:val="3"/>
            <w:shd w:val="clear" w:color="auto" w:fill="auto"/>
            <w:vAlign w:val="bottom"/>
          </w:tcPr>
          <w:p w14:paraId="74DE12CC" w14:textId="77777777" w:rsidR="00584EC1" w:rsidRDefault="00584EC1">
            <w:pPr>
              <w:rPr>
                <w:rFonts w:ascii="宋体"/>
                <w:vanish/>
              </w:rPr>
            </w:pPr>
          </w:p>
        </w:tc>
        <w:tc>
          <w:tcPr>
            <w:tcW w:w="0" w:type="auto"/>
            <w:gridSpan w:val="3"/>
            <w:shd w:val="clear" w:color="auto" w:fill="auto"/>
            <w:vAlign w:val="bottom"/>
          </w:tcPr>
          <w:p w14:paraId="74DE12CD" w14:textId="77777777" w:rsidR="00584EC1" w:rsidRDefault="00584EC1">
            <w:pPr>
              <w:rPr>
                <w:rFonts w:ascii="宋体"/>
                <w:vanish/>
              </w:rPr>
            </w:pPr>
          </w:p>
        </w:tc>
        <w:tc>
          <w:tcPr>
            <w:tcW w:w="0" w:type="auto"/>
            <w:gridSpan w:val="3"/>
            <w:shd w:val="clear" w:color="auto" w:fill="auto"/>
            <w:vAlign w:val="bottom"/>
          </w:tcPr>
          <w:p w14:paraId="74DE12CE" w14:textId="77777777" w:rsidR="00584EC1" w:rsidRDefault="00584EC1">
            <w:pPr>
              <w:rPr>
                <w:rFonts w:ascii="宋体"/>
                <w:vanish/>
              </w:rPr>
            </w:pPr>
          </w:p>
        </w:tc>
        <w:tc>
          <w:tcPr>
            <w:tcW w:w="0" w:type="auto"/>
            <w:gridSpan w:val="3"/>
            <w:shd w:val="clear" w:color="auto" w:fill="auto"/>
            <w:vAlign w:val="bottom"/>
          </w:tcPr>
          <w:p w14:paraId="74DE12CF" w14:textId="77777777" w:rsidR="00584EC1" w:rsidRDefault="00584EC1">
            <w:pPr>
              <w:rPr>
                <w:rFonts w:ascii="宋体"/>
                <w:vanish/>
              </w:rPr>
            </w:pPr>
          </w:p>
        </w:tc>
        <w:tc>
          <w:tcPr>
            <w:tcW w:w="0" w:type="auto"/>
            <w:gridSpan w:val="3"/>
            <w:shd w:val="clear" w:color="auto" w:fill="auto"/>
            <w:vAlign w:val="bottom"/>
          </w:tcPr>
          <w:p w14:paraId="74DE12D0" w14:textId="77777777" w:rsidR="00584EC1" w:rsidRDefault="00584EC1">
            <w:pPr>
              <w:rPr>
                <w:rFonts w:ascii="宋体"/>
                <w:vanish/>
              </w:rPr>
            </w:pPr>
          </w:p>
        </w:tc>
      </w:tr>
      <w:tr w:rsidR="00584EC1" w14:paraId="74DE12DC" w14:textId="77777777">
        <w:trPr>
          <w:hidden/>
        </w:trPr>
        <w:tc>
          <w:tcPr>
            <w:tcW w:w="0" w:type="auto"/>
            <w:gridSpan w:val="3"/>
            <w:shd w:val="clear" w:color="auto" w:fill="auto"/>
            <w:vAlign w:val="bottom"/>
          </w:tcPr>
          <w:p w14:paraId="74DE12D2" w14:textId="77777777" w:rsidR="00584EC1" w:rsidRDefault="00584EC1">
            <w:pPr>
              <w:rPr>
                <w:rFonts w:ascii="宋体"/>
                <w:vanish/>
              </w:rPr>
            </w:pPr>
          </w:p>
        </w:tc>
        <w:tc>
          <w:tcPr>
            <w:tcW w:w="0" w:type="auto"/>
            <w:gridSpan w:val="3"/>
            <w:shd w:val="clear" w:color="auto" w:fill="auto"/>
            <w:vAlign w:val="bottom"/>
          </w:tcPr>
          <w:p w14:paraId="74DE12D3" w14:textId="77777777" w:rsidR="00584EC1" w:rsidRDefault="00584EC1">
            <w:pPr>
              <w:rPr>
                <w:rFonts w:ascii="宋体"/>
                <w:vanish/>
              </w:rPr>
            </w:pPr>
          </w:p>
        </w:tc>
        <w:tc>
          <w:tcPr>
            <w:tcW w:w="0" w:type="auto"/>
            <w:gridSpan w:val="3"/>
            <w:shd w:val="clear" w:color="auto" w:fill="auto"/>
            <w:vAlign w:val="bottom"/>
          </w:tcPr>
          <w:p w14:paraId="74DE12D4" w14:textId="77777777" w:rsidR="00584EC1" w:rsidRDefault="00584EC1">
            <w:pPr>
              <w:rPr>
                <w:rFonts w:ascii="宋体"/>
                <w:vanish/>
              </w:rPr>
            </w:pPr>
          </w:p>
        </w:tc>
        <w:tc>
          <w:tcPr>
            <w:tcW w:w="0" w:type="auto"/>
            <w:gridSpan w:val="3"/>
            <w:shd w:val="clear" w:color="auto" w:fill="auto"/>
            <w:vAlign w:val="bottom"/>
          </w:tcPr>
          <w:p w14:paraId="74DE12D5" w14:textId="77777777" w:rsidR="00584EC1" w:rsidRDefault="00584EC1">
            <w:pPr>
              <w:rPr>
                <w:rFonts w:ascii="宋体"/>
                <w:vanish/>
              </w:rPr>
            </w:pPr>
          </w:p>
        </w:tc>
        <w:tc>
          <w:tcPr>
            <w:tcW w:w="0" w:type="auto"/>
            <w:gridSpan w:val="3"/>
            <w:shd w:val="clear" w:color="auto" w:fill="auto"/>
            <w:vAlign w:val="bottom"/>
          </w:tcPr>
          <w:p w14:paraId="74DE12D6" w14:textId="77777777" w:rsidR="00584EC1" w:rsidRDefault="00584EC1">
            <w:pPr>
              <w:rPr>
                <w:rFonts w:ascii="宋体"/>
                <w:vanish/>
              </w:rPr>
            </w:pPr>
          </w:p>
        </w:tc>
        <w:tc>
          <w:tcPr>
            <w:tcW w:w="0" w:type="auto"/>
            <w:gridSpan w:val="3"/>
            <w:shd w:val="clear" w:color="auto" w:fill="auto"/>
            <w:vAlign w:val="bottom"/>
          </w:tcPr>
          <w:p w14:paraId="74DE12D7" w14:textId="77777777" w:rsidR="00584EC1" w:rsidRDefault="00584EC1">
            <w:pPr>
              <w:rPr>
                <w:rFonts w:ascii="宋体"/>
                <w:vanish/>
              </w:rPr>
            </w:pPr>
          </w:p>
        </w:tc>
        <w:tc>
          <w:tcPr>
            <w:tcW w:w="0" w:type="auto"/>
            <w:gridSpan w:val="3"/>
            <w:shd w:val="clear" w:color="auto" w:fill="auto"/>
            <w:vAlign w:val="bottom"/>
          </w:tcPr>
          <w:p w14:paraId="74DE12D8" w14:textId="77777777" w:rsidR="00584EC1" w:rsidRDefault="00584EC1">
            <w:pPr>
              <w:rPr>
                <w:rFonts w:ascii="宋体"/>
                <w:vanish/>
              </w:rPr>
            </w:pPr>
          </w:p>
        </w:tc>
        <w:tc>
          <w:tcPr>
            <w:tcW w:w="0" w:type="auto"/>
            <w:gridSpan w:val="3"/>
            <w:shd w:val="clear" w:color="auto" w:fill="auto"/>
            <w:vAlign w:val="bottom"/>
          </w:tcPr>
          <w:p w14:paraId="74DE12D9" w14:textId="77777777" w:rsidR="00584EC1" w:rsidRDefault="00584EC1">
            <w:pPr>
              <w:rPr>
                <w:rFonts w:ascii="宋体"/>
                <w:vanish/>
              </w:rPr>
            </w:pPr>
          </w:p>
        </w:tc>
        <w:tc>
          <w:tcPr>
            <w:tcW w:w="0" w:type="auto"/>
            <w:gridSpan w:val="3"/>
            <w:shd w:val="clear" w:color="auto" w:fill="auto"/>
            <w:vAlign w:val="bottom"/>
          </w:tcPr>
          <w:p w14:paraId="74DE12DA" w14:textId="77777777" w:rsidR="00584EC1" w:rsidRDefault="00584EC1">
            <w:pPr>
              <w:rPr>
                <w:rFonts w:ascii="宋体"/>
                <w:vanish/>
              </w:rPr>
            </w:pPr>
          </w:p>
        </w:tc>
        <w:tc>
          <w:tcPr>
            <w:tcW w:w="0" w:type="auto"/>
            <w:gridSpan w:val="3"/>
            <w:shd w:val="clear" w:color="auto" w:fill="auto"/>
            <w:vAlign w:val="bottom"/>
          </w:tcPr>
          <w:p w14:paraId="74DE12DB" w14:textId="77777777" w:rsidR="00584EC1" w:rsidRDefault="00584EC1">
            <w:pPr>
              <w:rPr>
                <w:rFonts w:ascii="宋体"/>
                <w:vanish/>
              </w:rPr>
            </w:pPr>
          </w:p>
        </w:tc>
      </w:tr>
      <w:tr w:rsidR="00584EC1" w14:paraId="74DE12E7" w14:textId="77777777">
        <w:trPr>
          <w:hidden/>
        </w:trPr>
        <w:tc>
          <w:tcPr>
            <w:tcW w:w="0" w:type="auto"/>
            <w:gridSpan w:val="3"/>
            <w:shd w:val="clear" w:color="auto" w:fill="auto"/>
            <w:vAlign w:val="bottom"/>
          </w:tcPr>
          <w:p w14:paraId="74DE12DD" w14:textId="77777777" w:rsidR="00584EC1" w:rsidRDefault="00584EC1">
            <w:pPr>
              <w:rPr>
                <w:rFonts w:ascii="宋体"/>
                <w:vanish/>
              </w:rPr>
            </w:pPr>
          </w:p>
        </w:tc>
        <w:tc>
          <w:tcPr>
            <w:tcW w:w="0" w:type="auto"/>
            <w:gridSpan w:val="3"/>
            <w:shd w:val="clear" w:color="auto" w:fill="auto"/>
            <w:vAlign w:val="bottom"/>
          </w:tcPr>
          <w:p w14:paraId="74DE12DE" w14:textId="77777777" w:rsidR="00584EC1" w:rsidRDefault="00584EC1">
            <w:pPr>
              <w:rPr>
                <w:rFonts w:ascii="宋体"/>
                <w:vanish/>
              </w:rPr>
            </w:pPr>
          </w:p>
        </w:tc>
        <w:tc>
          <w:tcPr>
            <w:tcW w:w="0" w:type="auto"/>
            <w:gridSpan w:val="3"/>
            <w:shd w:val="clear" w:color="auto" w:fill="auto"/>
            <w:vAlign w:val="bottom"/>
          </w:tcPr>
          <w:p w14:paraId="74DE12DF" w14:textId="77777777" w:rsidR="00584EC1" w:rsidRDefault="00584EC1">
            <w:pPr>
              <w:rPr>
                <w:rFonts w:ascii="宋体"/>
                <w:vanish/>
              </w:rPr>
            </w:pPr>
          </w:p>
        </w:tc>
        <w:tc>
          <w:tcPr>
            <w:tcW w:w="0" w:type="auto"/>
            <w:gridSpan w:val="3"/>
            <w:shd w:val="clear" w:color="auto" w:fill="auto"/>
            <w:vAlign w:val="bottom"/>
          </w:tcPr>
          <w:p w14:paraId="74DE12E0" w14:textId="77777777" w:rsidR="00584EC1" w:rsidRDefault="00584EC1">
            <w:pPr>
              <w:rPr>
                <w:rFonts w:ascii="宋体"/>
                <w:vanish/>
              </w:rPr>
            </w:pPr>
          </w:p>
        </w:tc>
        <w:tc>
          <w:tcPr>
            <w:tcW w:w="0" w:type="auto"/>
            <w:gridSpan w:val="3"/>
            <w:shd w:val="clear" w:color="auto" w:fill="auto"/>
            <w:vAlign w:val="bottom"/>
          </w:tcPr>
          <w:p w14:paraId="74DE12E1" w14:textId="77777777" w:rsidR="00584EC1" w:rsidRDefault="00584EC1">
            <w:pPr>
              <w:rPr>
                <w:rFonts w:ascii="宋体"/>
                <w:vanish/>
              </w:rPr>
            </w:pPr>
          </w:p>
        </w:tc>
        <w:tc>
          <w:tcPr>
            <w:tcW w:w="0" w:type="auto"/>
            <w:gridSpan w:val="3"/>
            <w:shd w:val="clear" w:color="auto" w:fill="auto"/>
            <w:vAlign w:val="bottom"/>
          </w:tcPr>
          <w:p w14:paraId="74DE12E2" w14:textId="77777777" w:rsidR="00584EC1" w:rsidRDefault="00584EC1">
            <w:pPr>
              <w:rPr>
                <w:rFonts w:ascii="宋体"/>
                <w:vanish/>
              </w:rPr>
            </w:pPr>
          </w:p>
        </w:tc>
        <w:tc>
          <w:tcPr>
            <w:tcW w:w="0" w:type="auto"/>
            <w:gridSpan w:val="3"/>
            <w:shd w:val="clear" w:color="auto" w:fill="auto"/>
            <w:vAlign w:val="bottom"/>
          </w:tcPr>
          <w:p w14:paraId="74DE12E3" w14:textId="77777777" w:rsidR="00584EC1" w:rsidRDefault="00584EC1">
            <w:pPr>
              <w:rPr>
                <w:rFonts w:ascii="宋体"/>
                <w:vanish/>
              </w:rPr>
            </w:pPr>
          </w:p>
        </w:tc>
        <w:tc>
          <w:tcPr>
            <w:tcW w:w="0" w:type="auto"/>
            <w:gridSpan w:val="3"/>
            <w:shd w:val="clear" w:color="auto" w:fill="auto"/>
            <w:vAlign w:val="bottom"/>
          </w:tcPr>
          <w:p w14:paraId="74DE12E4" w14:textId="77777777" w:rsidR="00584EC1" w:rsidRDefault="00584EC1">
            <w:pPr>
              <w:rPr>
                <w:rFonts w:ascii="宋体"/>
                <w:vanish/>
              </w:rPr>
            </w:pPr>
          </w:p>
        </w:tc>
        <w:tc>
          <w:tcPr>
            <w:tcW w:w="0" w:type="auto"/>
            <w:gridSpan w:val="3"/>
            <w:shd w:val="clear" w:color="auto" w:fill="auto"/>
            <w:vAlign w:val="bottom"/>
          </w:tcPr>
          <w:p w14:paraId="74DE12E5" w14:textId="77777777" w:rsidR="00584EC1" w:rsidRDefault="00584EC1">
            <w:pPr>
              <w:rPr>
                <w:rFonts w:ascii="宋体"/>
                <w:vanish/>
              </w:rPr>
            </w:pPr>
          </w:p>
        </w:tc>
        <w:tc>
          <w:tcPr>
            <w:tcW w:w="0" w:type="auto"/>
            <w:gridSpan w:val="3"/>
            <w:shd w:val="clear" w:color="auto" w:fill="auto"/>
            <w:vAlign w:val="bottom"/>
          </w:tcPr>
          <w:p w14:paraId="74DE12E6" w14:textId="77777777" w:rsidR="00584EC1" w:rsidRDefault="00584EC1">
            <w:pPr>
              <w:rPr>
                <w:rFonts w:ascii="宋体"/>
                <w:vanish/>
              </w:rPr>
            </w:pPr>
          </w:p>
        </w:tc>
      </w:tr>
      <w:tr w:rsidR="00584EC1" w14:paraId="74DE12F2" w14:textId="77777777">
        <w:trPr>
          <w:hidden/>
        </w:trPr>
        <w:tc>
          <w:tcPr>
            <w:tcW w:w="0" w:type="auto"/>
            <w:gridSpan w:val="3"/>
            <w:shd w:val="clear" w:color="auto" w:fill="auto"/>
            <w:vAlign w:val="bottom"/>
          </w:tcPr>
          <w:p w14:paraId="74DE12E8" w14:textId="77777777" w:rsidR="00584EC1" w:rsidRDefault="00584EC1">
            <w:pPr>
              <w:rPr>
                <w:rFonts w:ascii="宋体"/>
                <w:vanish/>
              </w:rPr>
            </w:pPr>
          </w:p>
        </w:tc>
        <w:tc>
          <w:tcPr>
            <w:tcW w:w="0" w:type="auto"/>
            <w:gridSpan w:val="3"/>
            <w:shd w:val="clear" w:color="auto" w:fill="auto"/>
            <w:vAlign w:val="bottom"/>
          </w:tcPr>
          <w:p w14:paraId="74DE12E9" w14:textId="77777777" w:rsidR="00584EC1" w:rsidRDefault="00584EC1">
            <w:pPr>
              <w:rPr>
                <w:rFonts w:ascii="宋体"/>
                <w:vanish/>
              </w:rPr>
            </w:pPr>
          </w:p>
        </w:tc>
        <w:tc>
          <w:tcPr>
            <w:tcW w:w="0" w:type="auto"/>
            <w:gridSpan w:val="3"/>
            <w:shd w:val="clear" w:color="auto" w:fill="auto"/>
            <w:vAlign w:val="bottom"/>
          </w:tcPr>
          <w:p w14:paraId="74DE12EA" w14:textId="77777777" w:rsidR="00584EC1" w:rsidRDefault="00584EC1">
            <w:pPr>
              <w:rPr>
                <w:rFonts w:ascii="宋体"/>
                <w:vanish/>
              </w:rPr>
            </w:pPr>
          </w:p>
        </w:tc>
        <w:tc>
          <w:tcPr>
            <w:tcW w:w="0" w:type="auto"/>
            <w:gridSpan w:val="3"/>
            <w:shd w:val="clear" w:color="auto" w:fill="auto"/>
            <w:vAlign w:val="bottom"/>
          </w:tcPr>
          <w:p w14:paraId="74DE12EB" w14:textId="77777777" w:rsidR="00584EC1" w:rsidRDefault="00584EC1">
            <w:pPr>
              <w:rPr>
                <w:rFonts w:ascii="宋体"/>
                <w:vanish/>
              </w:rPr>
            </w:pPr>
          </w:p>
        </w:tc>
        <w:tc>
          <w:tcPr>
            <w:tcW w:w="0" w:type="auto"/>
            <w:gridSpan w:val="3"/>
            <w:shd w:val="clear" w:color="auto" w:fill="auto"/>
            <w:vAlign w:val="bottom"/>
          </w:tcPr>
          <w:p w14:paraId="74DE12EC" w14:textId="77777777" w:rsidR="00584EC1" w:rsidRDefault="00584EC1">
            <w:pPr>
              <w:rPr>
                <w:rFonts w:ascii="宋体"/>
                <w:vanish/>
              </w:rPr>
            </w:pPr>
          </w:p>
        </w:tc>
        <w:tc>
          <w:tcPr>
            <w:tcW w:w="0" w:type="auto"/>
            <w:gridSpan w:val="3"/>
            <w:shd w:val="clear" w:color="auto" w:fill="auto"/>
            <w:vAlign w:val="bottom"/>
          </w:tcPr>
          <w:p w14:paraId="74DE12ED" w14:textId="77777777" w:rsidR="00584EC1" w:rsidRDefault="00584EC1">
            <w:pPr>
              <w:rPr>
                <w:rFonts w:ascii="宋体"/>
                <w:vanish/>
              </w:rPr>
            </w:pPr>
          </w:p>
        </w:tc>
        <w:tc>
          <w:tcPr>
            <w:tcW w:w="0" w:type="auto"/>
            <w:gridSpan w:val="3"/>
            <w:shd w:val="clear" w:color="auto" w:fill="auto"/>
            <w:vAlign w:val="bottom"/>
          </w:tcPr>
          <w:p w14:paraId="74DE12EE" w14:textId="77777777" w:rsidR="00584EC1" w:rsidRDefault="00584EC1">
            <w:pPr>
              <w:rPr>
                <w:rFonts w:ascii="宋体"/>
                <w:vanish/>
              </w:rPr>
            </w:pPr>
          </w:p>
        </w:tc>
        <w:tc>
          <w:tcPr>
            <w:tcW w:w="0" w:type="auto"/>
            <w:gridSpan w:val="3"/>
            <w:shd w:val="clear" w:color="auto" w:fill="auto"/>
            <w:vAlign w:val="bottom"/>
          </w:tcPr>
          <w:p w14:paraId="74DE12EF" w14:textId="77777777" w:rsidR="00584EC1" w:rsidRDefault="00584EC1">
            <w:pPr>
              <w:rPr>
                <w:rFonts w:ascii="宋体"/>
                <w:vanish/>
              </w:rPr>
            </w:pPr>
          </w:p>
        </w:tc>
        <w:tc>
          <w:tcPr>
            <w:tcW w:w="0" w:type="auto"/>
            <w:gridSpan w:val="3"/>
            <w:shd w:val="clear" w:color="auto" w:fill="auto"/>
            <w:vAlign w:val="bottom"/>
          </w:tcPr>
          <w:p w14:paraId="74DE12F0" w14:textId="77777777" w:rsidR="00584EC1" w:rsidRDefault="00584EC1">
            <w:pPr>
              <w:rPr>
                <w:rFonts w:ascii="宋体"/>
                <w:vanish/>
              </w:rPr>
            </w:pPr>
          </w:p>
        </w:tc>
        <w:tc>
          <w:tcPr>
            <w:tcW w:w="0" w:type="auto"/>
            <w:gridSpan w:val="3"/>
            <w:shd w:val="clear" w:color="auto" w:fill="auto"/>
            <w:vAlign w:val="bottom"/>
          </w:tcPr>
          <w:p w14:paraId="74DE12F1" w14:textId="77777777" w:rsidR="00584EC1" w:rsidRDefault="00584EC1">
            <w:pPr>
              <w:rPr>
                <w:rFonts w:ascii="宋体"/>
                <w:vanish/>
              </w:rPr>
            </w:pPr>
          </w:p>
        </w:tc>
      </w:tr>
      <w:tr w:rsidR="00584EC1" w14:paraId="74DE12FD" w14:textId="77777777">
        <w:trPr>
          <w:hidden/>
        </w:trPr>
        <w:tc>
          <w:tcPr>
            <w:tcW w:w="0" w:type="auto"/>
            <w:gridSpan w:val="3"/>
            <w:shd w:val="clear" w:color="auto" w:fill="auto"/>
            <w:vAlign w:val="bottom"/>
          </w:tcPr>
          <w:p w14:paraId="74DE12F3" w14:textId="77777777" w:rsidR="00584EC1" w:rsidRDefault="00584EC1">
            <w:pPr>
              <w:rPr>
                <w:rFonts w:ascii="宋体"/>
                <w:vanish/>
              </w:rPr>
            </w:pPr>
          </w:p>
        </w:tc>
        <w:tc>
          <w:tcPr>
            <w:tcW w:w="0" w:type="auto"/>
            <w:gridSpan w:val="3"/>
            <w:shd w:val="clear" w:color="auto" w:fill="auto"/>
            <w:vAlign w:val="bottom"/>
          </w:tcPr>
          <w:p w14:paraId="74DE12F4" w14:textId="77777777" w:rsidR="00584EC1" w:rsidRDefault="00584EC1">
            <w:pPr>
              <w:rPr>
                <w:rFonts w:ascii="宋体"/>
                <w:vanish/>
              </w:rPr>
            </w:pPr>
          </w:p>
        </w:tc>
        <w:tc>
          <w:tcPr>
            <w:tcW w:w="0" w:type="auto"/>
            <w:gridSpan w:val="3"/>
            <w:shd w:val="clear" w:color="auto" w:fill="auto"/>
            <w:vAlign w:val="bottom"/>
          </w:tcPr>
          <w:p w14:paraId="74DE12F5" w14:textId="77777777" w:rsidR="00584EC1" w:rsidRDefault="00584EC1">
            <w:pPr>
              <w:rPr>
                <w:rFonts w:ascii="宋体"/>
                <w:vanish/>
              </w:rPr>
            </w:pPr>
          </w:p>
        </w:tc>
        <w:tc>
          <w:tcPr>
            <w:tcW w:w="0" w:type="auto"/>
            <w:gridSpan w:val="3"/>
            <w:shd w:val="clear" w:color="auto" w:fill="auto"/>
            <w:vAlign w:val="bottom"/>
          </w:tcPr>
          <w:p w14:paraId="74DE12F6" w14:textId="77777777" w:rsidR="00584EC1" w:rsidRDefault="00584EC1">
            <w:pPr>
              <w:rPr>
                <w:rFonts w:ascii="宋体"/>
                <w:vanish/>
              </w:rPr>
            </w:pPr>
          </w:p>
        </w:tc>
        <w:tc>
          <w:tcPr>
            <w:tcW w:w="0" w:type="auto"/>
            <w:gridSpan w:val="3"/>
            <w:shd w:val="clear" w:color="auto" w:fill="auto"/>
            <w:vAlign w:val="bottom"/>
          </w:tcPr>
          <w:p w14:paraId="74DE12F7" w14:textId="77777777" w:rsidR="00584EC1" w:rsidRDefault="00584EC1">
            <w:pPr>
              <w:rPr>
                <w:rFonts w:ascii="宋体"/>
                <w:vanish/>
              </w:rPr>
            </w:pPr>
          </w:p>
        </w:tc>
        <w:tc>
          <w:tcPr>
            <w:tcW w:w="0" w:type="auto"/>
            <w:gridSpan w:val="3"/>
            <w:shd w:val="clear" w:color="auto" w:fill="auto"/>
            <w:vAlign w:val="bottom"/>
          </w:tcPr>
          <w:p w14:paraId="74DE12F8" w14:textId="77777777" w:rsidR="00584EC1" w:rsidRDefault="00584EC1">
            <w:pPr>
              <w:rPr>
                <w:rFonts w:ascii="宋体"/>
                <w:vanish/>
              </w:rPr>
            </w:pPr>
          </w:p>
        </w:tc>
        <w:tc>
          <w:tcPr>
            <w:tcW w:w="0" w:type="auto"/>
            <w:gridSpan w:val="3"/>
            <w:shd w:val="clear" w:color="auto" w:fill="auto"/>
            <w:vAlign w:val="bottom"/>
          </w:tcPr>
          <w:p w14:paraId="74DE12F9" w14:textId="77777777" w:rsidR="00584EC1" w:rsidRDefault="00584EC1">
            <w:pPr>
              <w:rPr>
                <w:rFonts w:ascii="宋体"/>
                <w:vanish/>
              </w:rPr>
            </w:pPr>
          </w:p>
        </w:tc>
        <w:tc>
          <w:tcPr>
            <w:tcW w:w="0" w:type="auto"/>
            <w:gridSpan w:val="3"/>
            <w:shd w:val="clear" w:color="auto" w:fill="auto"/>
            <w:vAlign w:val="bottom"/>
          </w:tcPr>
          <w:p w14:paraId="74DE12FA" w14:textId="77777777" w:rsidR="00584EC1" w:rsidRDefault="00584EC1">
            <w:pPr>
              <w:rPr>
                <w:rFonts w:ascii="宋体"/>
                <w:vanish/>
              </w:rPr>
            </w:pPr>
          </w:p>
        </w:tc>
        <w:tc>
          <w:tcPr>
            <w:tcW w:w="0" w:type="auto"/>
            <w:gridSpan w:val="3"/>
            <w:shd w:val="clear" w:color="auto" w:fill="auto"/>
            <w:vAlign w:val="bottom"/>
          </w:tcPr>
          <w:p w14:paraId="74DE12FB" w14:textId="77777777" w:rsidR="00584EC1" w:rsidRDefault="00584EC1">
            <w:pPr>
              <w:rPr>
                <w:rFonts w:ascii="宋体"/>
                <w:vanish/>
              </w:rPr>
            </w:pPr>
          </w:p>
        </w:tc>
        <w:tc>
          <w:tcPr>
            <w:tcW w:w="0" w:type="auto"/>
            <w:gridSpan w:val="3"/>
            <w:shd w:val="clear" w:color="auto" w:fill="auto"/>
            <w:vAlign w:val="bottom"/>
          </w:tcPr>
          <w:p w14:paraId="74DE12FC" w14:textId="77777777" w:rsidR="00584EC1" w:rsidRDefault="00584EC1">
            <w:pPr>
              <w:rPr>
                <w:rFonts w:ascii="宋体"/>
                <w:vanish/>
              </w:rPr>
            </w:pPr>
          </w:p>
        </w:tc>
      </w:tr>
      <w:tr w:rsidR="00584EC1" w14:paraId="74DE1308" w14:textId="77777777">
        <w:trPr>
          <w:hidden/>
        </w:trPr>
        <w:tc>
          <w:tcPr>
            <w:tcW w:w="0" w:type="auto"/>
            <w:gridSpan w:val="3"/>
            <w:shd w:val="clear" w:color="auto" w:fill="auto"/>
            <w:vAlign w:val="bottom"/>
          </w:tcPr>
          <w:p w14:paraId="74DE12FE" w14:textId="77777777" w:rsidR="00584EC1" w:rsidRDefault="00584EC1">
            <w:pPr>
              <w:rPr>
                <w:rFonts w:ascii="宋体"/>
                <w:vanish/>
              </w:rPr>
            </w:pPr>
          </w:p>
        </w:tc>
        <w:tc>
          <w:tcPr>
            <w:tcW w:w="0" w:type="auto"/>
            <w:gridSpan w:val="3"/>
            <w:shd w:val="clear" w:color="auto" w:fill="auto"/>
            <w:vAlign w:val="bottom"/>
          </w:tcPr>
          <w:p w14:paraId="74DE12FF" w14:textId="77777777" w:rsidR="00584EC1" w:rsidRDefault="00584EC1">
            <w:pPr>
              <w:rPr>
                <w:rFonts w:ascii="宋体"/>
                <w:vanish/>
              </w:rPr>
            </w:pPr>
          </w:p>
        </w:tc>
        <w:tc>
          <w:tcPr>
            <w:tcW w:w="0" w:type="auto"/>
            <w:gridSpan w:val="3"/>
            <w:shd w:val="clear" w:color="auto" w:fill="auto"/>
            <w:vAlign w:val="bottom"/>
          </w:tcPr>
          <w:p w14:paraId="74DE1300" w14:textId="77777777" w:rsidR="00584EC1" w:rsidRDefault="00584EC1">
            <w:pPr>
              <w:rPr>
                <w:rFonts w:ascii="宋体"/>
                <w:vanish/>
              </w:rPr>
            </w:pPr>
          </w:p>
        </w:tc>
        <w:tc>
          <w:tcPr>
            <w:tcW w:w="0" w:type="auto"/>
            <w:gridSpan w:val="3"/>
            <w:shd w:val="clear" w:color="auto" w:fill="auto"/>
            <w:vAlign w:val="bottom"/>
          </w:tcPr>
          <w:p w14:paraId="74DE1301" w14:textId="77777777" w:rsidR="00584EC1" w:rsidRDefault="00584EC1">
            <w:pPr>
              <w:rPr>
                <w:rFonts w:ascii="宋体"/>
                <w:vanish/>
              </w:rPr>
            </w:pPr>
          </w:p>
        </w:tc>
        <w:tc>
          <w:tcPr>
            <w:tcW w:w="0" w:type="auto"/>
            <w:gridSpan w:val="3"/>
            <w:shd w:val="clear" w:color="auto" w:fill="auto"/>
            <w:vAlign w:val="bottom"/>
          </w:tcPr>
          <w:p w14:paraId="74DE1302" w14:textId="77777777" w:rsidR="00584EC1" w:rsidRDefault="00584EC1">
            <w:pPr>
              <w:rPr>
                <w:rFonts w:ascii="宋体"/>
                <w:vanish/>
              </w:rPr>
            </w:pPr>
          </w:p>
        </w:tc>
        <w:tc>
          <w:tcPr>
            <w:tcW w:w="0" w:type="auto"/>
            <w:gridSpan w:val="3"/>
            <w:shd w:val="clear" w:color="auto" w:fill="auto"/>
            <w:vAlign w:val="bottom"/>
          </w:tcPr>
          <w:p w14:paraId="74DE1303" w14:textId="77777777" w:rsidR="00584EC1" w:rsidRDefault="00584EC1">
            <w:pPr>
              <w:rPr>
                <w:rFonts w:ascii="宋体"/>
                <w:vanish/>
              </w:rPr>
            </w:pPr>
          </w:p>
        </w:tc>
        <w:tc>
          <w:tcPr>
            <w:tcW w:w="0" w:type="auto"/>
            <w:gridSpan w:val="3"/>
            <w:shd w:val="clear" w:color="auto" w:fill="auto"/>
            <w:vAlign w:val="bottom"/>
          </w:tcPr>
          <w:p w14:paraId="74DE1304" w14:textId="77777777" w:rsidR="00584EC1" w:rsidRDefault="00584EC1">
            <w:pPr>
              <w:rPr>
                <w:rFonts w:ascii="宋体"/>
                <w:vanish/>
              </w:rPr>
            </w:pPr>
          </w:p>
        </w:tc>
        <w:tc>
          <w:tcPr>
            <w:tcW w:w="0" w:type="auto"/>
            <w:gridSpan w:val="3"/>
            <w:shd w:val="clear" w:color="auto" w:fill="auto"/>
            <w:vAlign w:val="bottom"/>
          </w:tcPr>
          <w:p w14:paraId="74DE1305" w14:textId="77777777" w:rsidR="00584EC1" w:rsidRDefault="00584EC1">
            <w:pPr>
              <w:rPr>
                <w:rFonts w:ascii="宋体"/>
                <w:vanish/>
              </w:rPr>
            </w:pPr>
          </w:p>
        </w:tc>
        <w:tc>
          <w:tcPr>
            <w:tcW w:w="0" w:type="auto"/>
            <w:gridSpan w:val="3"/>
            <w:shd w:val="clear" w:color="auto" w:fill="auto"/>
            <w:vAlign w:val="bottom"/>
          </w:tcPr>
          <w:p w14:paraId="74DE1306" w14:textId="77777777" w:rsidR="00584EC1" w:rsidRDefault="00584EC1">
            <w:pPr>
              <w:rPr>
                <w:rFonts w:ascii="宋体"/>
                <w:vanish/>
              </w:rPr>
            </w:pPr>
          </w:p>
        </w:tc>
        <w:tc>
          <w:tcPr>
            <w:tcW w:w="0" w:type="auto"/>
            <w:gridSpan w:val="3"/>
            <w:shd w:val="clear" w:color="auto" w:fill="auto"/>
            <w:vAlign w:val="bottom"/>
          </w:tcPr>
          <w:p w14:paraId="74DE1307" w14:textId="77777777" w:rsidR="00584EC1" w:rsidRDefault="00584EC1">
            <w:pPr>
              <w:rPr>
                <w:rFonts w:ascii="宋体"/>
                <w:vanish/>
              </w:rPr>
            </w:pPr>
          </w:p>
        </w:tc>
      </w:tr>
      <w:tr w:rsidR="00584EC1" w14:paraId="74DE1313" w14:textId="77777777">
        <w:trPr>
          <w:hidden/>
        </w:trPr>
        <w:tc>
          <w:tcPr>
            <w:tcW w:w="0" w:type="auto"/>
            <w:gridSpan w:val="3"/>
            <w:shd w:val="clear" w:color="auto" w:fill="auto"/>
            <w:vAlign w:val="bottom"/>
          </w:tcPr>
          <w:p w14:paraId="74DE1309" w14:textId="77777777" w:rsidR="00584EC1" w:rsidRDefault="00584EC1">
            <w:pPr>
              <w:rPr>
                <w:rFonts w:ascii="宋体"/>
                <w:vanish/>
              </w:rPr>
            </w:pPr>
          </w:p>
        </w:tc>
        <w:tc>
          <w:tcPr>
            <w:tcW w:w="0" w:type="auto"/>
            <w:gridSpan w:val="3"/>
            <w:shd w:val="clear" w:color="auto" w:fill="auto"/>
            <w:vAlign w:val="bottom"/>
          </w:tcPr>
          <w:p w14:paraId="74DE130A" w14:textId="77777777" w:rsidR="00584EC1" w:rsidRDefault="00584EC1">
            <w:pPr>
              <w:rPr>
                <w:rFonts w:ascii="宋体"/>
                <w:vanish/>
              </w:rPr>
            </w:pPr>
          </w:p>
        </w:tc>
        <w:tc>
          <w:tcPr>
            <w:tcW w:w="0" w:type="auto"/>
            <w:gridSpan w:val="3"/>
            <w:shd w:val="clear" w:color="auto" w:fill="auto"/>
            <w:vAlign w:val="bottom"/>
          </w:tcPr>
          <w:p w14:paraId="74DE130B" w14:textId="77777777" w:rsidR="00584EC1" w:rsidRDefault="00584EC1">
            <w:pPr>
              <w:rPr>
                <w:rFonts w:ascii="宋体"/>
                <w:vanish/>
              </w:rPr>
            </w:pPr>
          </w:p>
        </w:tc>
        <w:tc>
          <w:tcPr>
            <w:tcW w:w="0" w:type="auto"/>
            <w:gridSpan w:val="3"/>
            <w:shd w:val="clear" w:color="auto" w:fill="auto"/>
            <w:vAlign w:val="bottom"/>
          </w:tcPr>
          <w:p w14:paraId="74DE130C" w14:textId="77777777" w:rsidR="00584EC1" w:rsidRDefault="00584EC1">
            <w:pPr>
              <w:rPr>
                <w:rFonts w:ascii="宋体"/>
                <w:vanish/>
              </w:rPr>
            </w:pPr>
          </w:p>
        </w:tc>
        <w:tc>
          <w:tcPr>
            <w:tcW w:w="0" w:type="auto"/>
            <w:gridSpan w:val="3"/>
            <w:shd w:val="clear" w:color="auto" w:fill="auto"/>
            <w:vAlign w:val="bottom"/>
          </w:tcPr>
          <w:p w14:paraId="74DE130D" w14:textId="77777777" w:rsidR="00584EC1" w:rsidRDefault="00584EC1">
            <w:pPr>
              <w:rPr>
                <w:rFonts w:ascii="宋体"/>
                <w:vanish/>
              </w:rPr>
            </w:pPr>
          </w:p>
        </w:tc>
        <w:tc>
          <w:tcPr>
            <w:tcW w:w="0" w:type="auto"/>
            <w:gridSpan w:val="3"/>
            <w:shd w:val="clear" w:color="auto" w:fill="auto"/>
            <w:vAlign w:val="bottom"/>
          </w:tcPr>
          <w:p w14:paraId="74DE130E" w14:textId="77777777" w:rsidR="00584EC1" w:rsidRDefault="00584EC1">
            <w:pPr>
              <w:rPr>
                <w:rFonts w:ascii="宋体"/>
                <w:vanish/>
              </w:rPr>
            </w:pPr>
          </w:p>
        </w:tc>
        <w:tc>
          <w:tcPr>
            <w:tcW w:w="0" w:type="auto"/>
            <w:gridSpan w:val="3"/>
            <w:shd w:val="clear" w:color="auto" w:fill="auto"/>
            <w:vAlign w:val="bottom"/>
          </w:tcPr>
          <w:p w14:paraId="74DE130F" w14:textId="77777777" w:rsidR="00584EC1" w:rsidRDefault="00584EC1">
            <w:pPr>
              <w:rPr>
                <w:rFonts w:ascii="宋体"/>
                <w:vanish/>
              </w:rPr>
            </w:pPr>
          </w:p>
        </w:tc>
        <w:tc>
          <w:tcPr>
            <w:tcW w:w="0" w:type="auto"/>
            <w:gridSpan w:val="3"/>
            <w:shd w:val="clear" w:color="auto" w:fill="auto"/>
            <w:vAlign w:val="bottom"/>
          </w:tcPr>
          <w:p w14:paraId="74DE1310" w14:textId="77777777" w:rsidR="00584EC1" w:rsidRDefault="00584EC1">
            <w:pPr>
              <w:rPr>
                <w:rFonts w:ascii="宋体"/>
                <w:vanish/>
              </w:rPr>
            </w:pPr>
          </w:p>
        </w:tc>
        <w:tc>
          <w:tcPr>
            <w:tcW w:w="0" w:type="auto"/>
            <w:gridSpan w:val="3"/>
            <w:shd w:val="clear" w:color="auto" w:fill="auto"/>
            <w:vAlign w:val="bottom"/>
          </w:tcPr>
          <w:p w14:paraId="74DE1311" w14:textId="77777777" w:rsidR="00584EC1" w:rsidRDefault="00584EC1">
            <w:pPr>
              <w:rPr>
                <w:rFonts w:ascii="宋体"/>
                <w:vanish/>
              </w:rPr>
            </w:pPr>
          </w:p>
        </w:tc>
        <w:tc>
          <w:tcPr>
            <w:tcW w:w="0" w:type="auto"/>
            <w:gridSpan w:val="3"/>
            <w:shd w:val="clear" w:color="auto" w:fill="auto"/>
            <w:vAlign w:val="bottom"/>
          </w:tcPr>
          <w:p w14:paraId="74DE1312" w14:textId="77777777" w:rsidR="00584EC1" w:rsidRDefault="00584EC1">
            <w:pPr>
              <w:rPr>
                <w:rFonts w:ascii="宋体"/>
                <w:vanish/>
              </w:rPr>
            </w:pPr>
          </w:p>
        </w:tc>
      </w:tr>
    </w:tbl>
    <w:p w14:paraId="74DE1314" w14:textId="77777777" w:rsidR="00584EC1" w:rsidRDefault="00584EC1">
      <w:pPr>
        <w:rPr>
          <w:vanish/>
        </w:rPr>
      </w:pPr>
    </w:p>
    <w:tbl>
      <w:tblPr>
        <w:tblW w:w="2325" w:type="pct"/>
        <w:tblCellMar>
          <w:top w:w="15" w:type="dxa"/>
          <w:left w:w="15" w:type="dxa"/>
          <w:bottom w:w="15" w:type="dxa"/>
          <w:right w:w="15" w:type="dxa"/>
        </w:tblCellMar>
        <w:tblLook w:val="04A0" w:firstRow="1" w:lastRow="0" w:firstColumn="1" w:lastColumn="0" w:noHBand="0" w:noVBand="1"/>
      </w:tblPr>
      <w:tblGrid>
        <w:gridCol w:w="36"/>
        <w:gridCol w:w="1817"/>
        <w:gridCol w:w="36"/>
        <w:gridCol w:w="36"/>
        <w:gridCol w:w="1915"/>
        <w:gridCol w:w="36"/>
      </w:tblGrid>
      <w:tr w:rsidR="00584EC1" w14:paraId="74DE131B" w14:textId="77777777">
        <w:tc>
          <w:tcPr>
            <w:tcW w:w="50" w:type="pct"/>
            <w:shd w:val="clear" w:color="auto" w:fill="auto"/>
            <w:vAlign w:val="bottom"/>
          </w:tcPr>
          <w:p w14:paraId="74DE1315" w14:textId="77777777" w:rsidR="00584EC1" w:rsidRDefault="00584EC1">
            <w:pPr>
              <w:rPr>
                <w:rFonts w:ascii="宋体"/>
              </w:rPr>
            </w:pPr>
          </w:p>
        </w:tc>
        <w:tc>
          <w:tcPr>
            <w:tcW w:w="2382" w:type="pct"/>
            <w:shd w:val="clear" w:color="auto" w:fill="auto"/>
            <w:vAlign w:val="bottom"/>
          </w:tcPr>
          <w:p w14:paraId="74DE1316" w14:textId="77777777" w:rsidR="00584EC1" w:rsidRDefault="00584EC1">
            <w:pPr>
              <w:rPr>
                <w:rFonts w:ascii="宋体"/>
              </w:rPr>
            </w:pPr>
          </w:p>
        </w:tc>
        <w:tc>
          <w:tcPr>
            <w:tcW w:w="5" w:type="pct"/>
            <w:shd w:val="clear" w:color="auto" w:fill="auto"/>
            <w:vAlign w:val="bottom"/>
          </w:tcPr>
          <w:p w14:paraId="74DE1317" w14:textId="77777777" w:rsidR="00584EC1" w:rsidRDefault="00584EC1">
            <w:pPr>
              <w:rPr>
                <w:rFonts w:ascii="宋体"/>
              </w:rPr>
            </w:pPr>
          </w:p>
        </w:tc>
        <w:tc>
          <w:tcPr>
            <w:tcW w:w="50" w:type="pct"/>
            <w:shd w:val="clear" w:color="auto" w:fill="auto"/>
            <w:vAlign w:val="bottom"/>
          </w:tcPr>
          <w:p w14:paraId="74DE1318" w14:textId="77777777" w:rsidR="00584EC1" w:rsidRDefault="00584EC1">
            <w:pPr>
              <w:rPr>
                <w:rFonts w:ascii="宋体"/>
              </w:rPr>
            </w:pPr>
          </w:p>
        </w:tc>
        <w:tc>
          <w:tcPr>
            <w:tcW w:w="2507" w:type="pct"/>
            <w:shd w:val="clear" w:color="auto" w:fill="auto"/>
            <w:vAlign w:val="bottom"/>
          </w:tcPr>
          <w:p w14:paraId="74DE1319" w14:textId="77777777" w:rsidR="00584EC1" w:rsidRDefault="00584EC1">
            <w:pPr>
              <w:rPr>
                <w:rFonts w:ascii="宋体"/>
              </w:rPr>
            </w:pPr>
          </w:p>
        </w:tc>
        <w:tc>
          <w:tcPr>
            <w:tcW w:w="5" w:type="pct"/>
            <w:shd w:val="clear" w:color="auto" w:fill="auto"/>
            <w:vAlign w:val="bottom"/>
          </w:tcPr>
          <w:p w14:paraId="74DE131A" w14:textId="77777777" w:rsidR="00584EC1" w:rsidRDefault="00584EC1">
            <w:pPr>
              <w:rPr>
                <w:rFonts w:ascii="宋体"/>
              </w:rPr>
            </w:pPr>
          </w:p>
        </w:tc>
      </w:tr>
      <w:tr w:rsidR="00584EC1" w14:paraId="74DE131E"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4DE131C"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131D" w14:textId="77777777" w:rsidR="00584EC1" w:rsidRDefault="00584EC1">
            <w:pPr>
              <w:rPr>
                <w:rFonts w:ascii="宋体"/>
              </w:rPr>
            </w:pPr>
          </w:p>
        </w:tc>
      </w:tr>
      <w:tr w:rsidR="00584EC1" w14:paraId="74DE1321" w14:textId="77777777">
        <w:trPr>
          <w:hidden/>
        </w:trPr>
        <w:tc>
          <w:tcPr>
            <w:tcW w:w="0" w:type="auto"/>
            <w:gridSpan w:val="3"/>
            <w:shd w:val="clear" w:color="auto" w:fill="auto"/>
            <w:vAlign w:val="bottom"/>
          </w:tcPr>
          <w:p w14:paraId="74DE131F" w14:textId="77777777" w:rsidR="00584EC1" w:rsidRDefault="00584EC1">
            <w:pPr>
              <w:rPr>
                <w:rFonts w:ascii="宋体"/>
                <w:vanish/>
              </w:rPr>
            </w:pPr>
          </w:p>
        </w:tc>
        <w:tc>
          <w:tcPr>
            <w:tcW w:w="0" w:type="auto"/>
            <w:gridSpan w:val="3"/>
            <w:shd w:val="clear" w:color="auto" w:fill="auto"/>
            <w:vAlign w:val="bottom"/>
          </w:tcPr>
          <w:p w14:paraId="74DE1320" w14:textId="77777777" w:rsidR="00584EC1" w:rsidRDefault="00584EC1">
            <w:pPr>
              <w:rPr>
                <w:rFonts w:ascii="宋体"/>
                <w:vanish/>
              </w:rPr>
            </w:pPr>
          </w:p>
        </w:tc>
      </w:tr>
    </w:tbl>
    <w:p w14:paraId="74DE1322" w14:textId="77777777" w:rsidR="00584EC1" w:rsidRDefault="00871F8D">
      <w:pPr>
        <w:spacing w:before="60"/>
        <w:jc w:val="both"/>
      </w:pPr>
      <w:r>
        <w:rPr>
          <w:rFonts w:ascii="Arial" w:eastAsia="宋体" w:hAnsi="Arial" w:cs="Arial"/>
          <w:color w:val="000000"/>
          <w:sz w:val="8"/>
          <w:szCs w:val="8"/>
        </w:rPr>
        <w:t xml:space="preserve">(1) </w:t>
      </w:r>
      <w:r>
        <w:rPr>
          <w:rFonts w:ascii="Arial" w:eastAsia="宋体" w:hAnsi="Arial" w:cs="Arial"/>
          <w:color w:val="000000"/>
          <w:sz w:val="13"/>
          <w:szCs w:val="13"/>
        </w:rPr>
        <w:t xml:space="preserve">Represents the portion of net </w:t>
      </w:r>
      <w:r>
        <w:rPr>
          <w:rFonts w:ascii="Arial" w:eastAsia="宋体" w:hAnsi="Arial" w:cs="Arial"/>
          <w:color w:val="000000"/>
          <w:sz w:val="13"/>
          <w:szCs w:val="13"/>
        </w:rPr>
        <w:t>income available to common equity allocated to participating securities, composed of unvested and fully vested SERP (Supplemental executive retirement plans) shares and fully vested deferred director stock awards, which are equity-based awards that contain</w:t>
      </w:r>
      <w:r>
        <w:rPr>
          <w:rFonts w:ascii="Arial" w:eastAsia="宋体" w:hAnsi="Arial" w:cs="Arial"/>
          <w:color w:val="000000"/>
          <w:sz w:val="13"/>
          <w:szCs w:val="13"/>
        </w:rPr>
        <w:t xml:space="preserve"> non-forfeitable rights to dividends, and are considered to participate with the common stock in undistributed earnings.</w:t>
      </w:r>
    </w:p>
    <w:p w14:paraId="74DE1323" w14:textId="77777777" w:rsidR="00584EC1" w:rsidRDefault="00871F8D">
      <w:pPr>
        <w:spacing w:before="60"/>
        <w:jc w:val="both"/>
      </w:pPr>
      <w:r>
        <w:rPr>
          <w:rFonts w:ascii="Arial" w:eastAsia="宋体" w:hAnsi="Arial" w:cs="Arial"/>
          <w:color w:val="000000"/>
          <w:sz w:val="8"/>
          <w:szCs w:val="8"/>
        </w:rPr>
        <w:t xml:space="preserve">(2) </w:t>
      </w:r>
      <w:r>
        <w:rPr>
          <w:rFonts w:ascii="Arial" w:eastAsia="宋体" w:hAnsi="Arial" w:cs="Arial"/>
          <w:color w:val="000000"/>
          <w:sz w:val="13"/>
          <w:szCs w:val="13"/>
        </w:rPr>
        <w:t>Represents equity-based awards outstanding but not included in the computation of diluted average common shares, because their effe</w:t>
      </w:r>
      <w:r>
        <w:rPr>
          <w:rFonts w:ascii="Arial" w:eastAsia="宋体" w:hAnsi="Arial" w:cs="Arial"/>
          <w:color w:val="000000"/>
          <w:sz w:val="13"/>
          <w:szCs w:val="13"/>
        </w:rPr>
        <w:t>ct was anti-dilutive. Additional information about equity-based awards is provided on pages 176 and 177 in Note 18 to the consolidated financial statements included under Item 8, Financial Statements and Supplementary Data, in our 2020 Form 10-K.</w:t>
      </w:r>
    </w:p>
    <w:p w14:paraId="74DE1324" w14:textId="77777777" w:rsidR="00584EC1" w:rsidRDefault="00871F8D">
      <w:pPr>
        <w:spacing w:before="60"/>
        <w:jc w:val="both"/>
      </w:pPr>
      <w:r>
        <w:rPr>
          <w:rFonts w:ascii="Arial" w:eastAsia="宋体" w:hAnsi="Arial" w:cs="Arial"/>
          <w:color w:val="000000"/>
          <w:sz w:val="8"/>
          <w:szCs w:val="8"/>
        </w:rPr>
        <w:t xml:space="preserve">(3) </w:t>
      </w:r>
      <w:r>
        <w:rPr>
          <w:rFonts w:ascii="Arial" w:eastAsia="宋体" w:hAnsi="Arial" w:cs="Arial"/>
          <w:color w:val="000000"/>
          <w:sz w:val="13"/>
          <w:szCs w:val="13"/>
        </w:rPr>
        <w:t>Calcu</w:t>
      </w:r>
      <w:r>
        <w:rPr>
          <w:rFonts w:ascii="Arial" w:eastAsia="宋体" w:hAnsi="Arial" w:cs="Arial"/>
          <w:color w:val="000000"/>
          <w:sz w:val="13"/>
          <w:szCs w:val="13"/>
        </w:rPr>
        <w:t>lations reflect allocation of earnings to participating securities using the two-class method, as this computation is more dilutive than the treasury stock method.</w:t>
      </w:r>
    </w:p>
    <w:p w14:paraId="74DE1325" w14:textId="77777777" w:rsidR="00584EC1" w:rsidRDefault="00871F8D">
      <w:pPr>
        <w:ind w:firstLine="450"/>
        <w:jc w:val="right"/>
      </w:pPr>
      <w:r>
        <w:rPr>
          <w:rFonts w:ascii="Arial" w:eastAsia="宋体" w:hAnsi="Arial" w:cs="Arial"/>
          <w:color w:val="000000"/>
          <w:sz w:val="18"/>
          <w:szCs w:val="18"/>
        </w:rPr>
        <w:t>State Street Corporation | 92</w:t>
      </w:r>
    </w:p>
    <w:p w14:paraId="74DE1326" w14:textId="77777777" w:rsidR="00584EC1" w:rsidRDefault="00584EC1">
      <w:pPr>
        <w:ind w:firstLine="450"/>
        <w:jc w:val="center"/>
      </w:pPr>
    </w:p>
    <w:p w14:paraId="74DE1327" w14:textId="77777777" w:rsidR="00584EC1" w:rsidRDefault="00871F8D">
      <w:r>
        <w:pict w14:anchorId="74DE2A4A">
          <v:rect id="_x0000_i1116" style="width:415.3pt;height:1.5pt" o:hralign="center" o:hrstd="t" o:hr="t" fillcolor="#a0a0a0" stroked="f"/>
        </w:pict>
      </w:r>
    </w:p>
    <w:p w14:paraId="74DE1328" w14:textId="77777777" w:rsidR="00584EC1" w:rsidRDefault="00871F8D">
      <w:pPr>
        <w:ind w:firstLine="450"/>
        <w:jc w:val="center"/>
      </w:pPr>
      <w:r>
        <w:rPr>
          <w:rFonts w:ascii="Arial" w:eastAsia="宋体" w:hAnsi="Arial" w:cs="Arial"/>
          <w:b/>
          <w:bCs/>
          <w:color w:val="000000"/>
          <w:sz w:val="20"/>
          <w:szCs w:val="20"/>
        </w:rPr>
        <w:t>STATE STREET CORPORATION</w:t>
      </w:r>
    </w:p>
    <w:p w14:paraId="74DE1329" w14:textId="77777777" w:rsidR="00584EC1" w:rsidRDefault="00871F8D">
      <w:pPr>
        <w:ind w:firstLine="450"/>
        <w:jc w:val="center"/>
      </w:pPr>
      <w:r>
        <w:rPr>
          <w:rFonts w:ascii="Arial" w:eastAsia="宋体" w:hAnsi="Arial" w:cs="Arial"/>
          <w:b/>
          <w:bCs/>
          <w:color w:val="000000"/>
          <w:sz w:val="20"/>
          <w:szCs w:val="20"/>
        </w:rPr>
        <w:t>CONDENSED NOTES TO CONSOLIDATED FI</w:t>
      </w:r>
      <w:r>
        <w:rPr>
          <w:rFonts w:ascii="Arial" w:eastAsia="宋体" w:hAnsi="Arial" w:cs="Arial"/>
          <w:b/>
          <w:bCs/>
          <w:color w:val="000000"/>
          <w:sz w:val="20"/>
          <w:szCs w:val="20"/>
        </w:rPr>
        <w:t>NANCIAL STATEMENTS</w:t>
      </w:r>
    </w:p>
    <w:p w14:paraId="74DE132A" w14:textId="77777777" w:rsidR="00584EC1" w:rsidRDefault="00871F8D">
      <w:pPr>
        <w:ind w:firstLine="450"/>
        <w:jc w:val="center"/>
      </w:pPr>
      <w:r>
        <w:rPr>
          <w:rFonts w:ascii="Arial" w:eastAsia="宋体" w:hAnsi="Arial" w:cs="Arial"/>
          <w:b/>
          <w:bCs/>
          <w:color w:val="000000"/>
          <w:sz w:val="20"/>
          <w:szCs w:val="20"/>
        </w:rPr>
        <w:t>(UNAUDITED)</w:t>
      </w:r>
    </w:p>
    <w:p w14:paraId="74DE132B" w14:textId="77777777" w:rsidR="00584EC1" w:rsidRDefault="00871F8D">
      <w:pPr>
        <w:spacing w:before="90"/>
        <w:jc w:val="both"/>
      </w:pPr>
      <w:r>
        <w:rPr>
          <w:rFonts w:ascii="Arial" w:eastAsia="宋体" w:hAnsi="Arial" w:cs="Arial"/>
          <w:b/>
          <w:bCs/>
          <w:color w:val="000000"/>
          <w:sz w:val="20"/>
          <w:szCs w:val="20"/>
        </w:rPr>
        <w:t>Note 17. Line of Business Information</w:t>
      </w:r>
    </w:p>
    <w:p w14:paraId="74DE132C" w14:textId="77777777" w:rsidR="00584EC1" w:rsidRDefault="00871F8D">
      <w:pPr>
        <w:spacing w:before="60"/>
        <w:ind w:firstLine="450"/>
        <w:jc w:val="both"/>
      </w:pPr>
      <w:r>
        <w:rPr>
          <w:rFonts w:ascii="Arial" w:eastAsia="宋体" w:hAnsi="Arial" w:cs="Arial"/>
          <w:color w:val="000000"/>
          <w:sz w:val="20"/>
          <w:szCs w:val="20"/>
        </w:rPr>
        <w:t>Our operations are organized into two lines of business: Investment Servicing and Investment Management, which are defined based on products and services provided. The results of operatio</w:t>
      </w:r>
      <w:r>
        <w:rPr>
          <w:rFonts w:ascii="Arial" w:eastAsia="宋体" w:hAnsi="Arial" w:cs="Arial"/>
          <w:color w:val="000000"/>
          <w:sz w:val="20"/>
          <w:szCs w:val="20"/>
        </w:rPr>
        <w:t>ns for these lines of business are not necessarily comparable with those of other companies, including companies in the financial services industry. For information about our two lines of business, as well as revenues, expenses and capital allocation metho</w:t>
      </w:r>
      <w:r>
        <w:rPr>
          <w:rFonts w:ascii="Arial" w:eastAsia="宋体" w:hAnsi="Arial" w:cs="Arial"/>
          <w:color w:val="000000"/>
          <w:sz w:val="20"/>
          <w:szCs w:val="20"/>
        </w:rPr>
        <w:t>dologies associated with them, refer to pages 182 to 183 in Note 24 to the consolidated financial statements included under Item 8, Financial Statements and Supplementary Data, in our 2020 Form 10-K.</w:t>
      </w:r>
    </w:p>
    <w:p w14:paraId="74DE132D" w14:textId="77777777" w:rsidR="00584EC1" w:rsidRDefault="00871F8D">
      <w:pPr>
        <w:spacing w:before="60"/>
        <w:ind w:firstLine="450"/>
        <w:jc w:val="both"/>
      </w:pPr>
      <w:r>
        <w:rPr>
          <w:rFonts w:ascii="Arial" w:eastAsia="宋体" w:hAnsi="Arial" w:cs="Arial"/>
          <w:color w:val="000000"/>
          <w:sz w:val="20"/>
          <w:szCs w:val="20"/>
        </w:rPr>
        <w:t>The following table is a summary of our line of business</w:t>
      </w:r>
      <w:r>
        <w:rPr>
          <w:rFonts w:ascii="Arial" w:eastAsia="宋体" w:hAnsi="Arial" w:cs="Arial"/>
          <w:color w:val="000000"/>
          <w:sz w:val="20"/>
          <w:szCs w:val="20"/>
        </w:rPr>
        <w:t xml:space="preserve"> results for the periods indicated. The "Other" columns represent costs incurred that are not allocated to a specific line of business, certain employee costs, including certain severance and restructuring costs, acquisition costs and certain provisions fo</w:t>
      </w:r>
      <w:r>
        <w:rPr>
          <w:rFonts w:ascii="Arial" w:eastAsia="宋体" w:hAnsi="Arial" w:cs="Arial"/>
          <w:color w:val="000000"/>
          <w:sz w:val="20"/>
          <w:szCs w:val="20"/>
        </w:rPr>
        <w:t>r legal contingencies.</w:t>
      </w:r>
    </w:p>
    <w:tbl>
      <w:tblPr>
        <w:tblW w:w="5000" w:type="pct"/>
        <w:tblCellMar>
          <w:top w:w="15" w:type="dxa"/>
          <w:left w:w="15" w:type="dxa"/>
          <w:bottom w:w="15" w:type="dxa"/>
          <w:right w:w="15" w:type="dxa"/>
        </w:tblCellMar>
        <w:tblLook w:val="04A0" w:firstRow="1" w:lastRow="0" w:firstColumn="1" w:lastColumn="0" w:noHBand="0" w:noVBand="1"/>
      </w:tblPr>
      <w:tblGrid>
        <w:gridCol w:w="38"/>
        <w:gridCol w:w="2255"/>
        <w:gridCol w:w="37"/>
        <w:gridCol w:w="98"/>
        <w:gridCol w:w="506"/>
        <w:gridCol w:w="145"/>
        <w:gridCol w:w="36"/>
        <w:gridCol w:w="36"/>
        <w:gridCol w:w="36"/>
        <w:gridCol w:w="98"/>
        <w:gridCol w:w="450"/>
        <w:gridCol w:w="145"/>
        <w:gridCol w:w="36"/>
        <w:gridCol w:w="36"/>
        <w:gridCol w:w="36"/>
        <w:gridCol w:w="36"/>
        <w:gridCol w:w="36"/>
        <w:gridCol w:w="99"/>
        <w:gridCol w:w="390"/>
        <w:gridCol w:w="145"/>
        <w:gridCol w:w="36"/>
        <w:gridCol w:w="36"/>
        <w:gridCol w:w="36"/>
        <w:gridCol w:w="99"/>
        <w:gridCol w:w="450"/>
        <w:gridCol w:w="145"/>
        <w:gridCol w:w="36"/>
        <w:gridCol w:w="36"/>
        <w:gridCol w:w="36"/>
        <w:gridCol w:w="36"/>
        <w:gridCol w:w="36"/>
        <w:gridCol w:w="98"/>
        <w:gridCol w:w="392"/>
        <w:gridCol w:w="36"/>
        <w:gridCol w:w="36"/>
        <w:gridCol w:w="36"/>
        <w:gridCol w:w="36"/>
        <w:gridCol w:w="98"/>
        <w:gridCol w:w="453"/>
        <w:gridCol w:w="36"/>
        <w:gridCol w:w="36"/>
        <w:gridCol w:w="36"/>
        <w:gridCol w:w="36"/>
        <w:gridCol w:w="36"/>
        <w:gridCol w:w="36"/>
        <w:gridCol w:w="36"/>
        <w:gridCol w:w="36"/>
        <w:gridCol w:w="36"/>
        <w:gridCol w:w="36"/>
        <w:gridCol w:w="98"/>
        <w:gridCol w:w="390"/>
        <w:gridCol w:w="145"/>
        <w:gridCol w:w="36"/>
        <w:gridCol w:w="36"/>
        <w:gridCol w:w="410"/>
      </w:tblGrid>
      <w:tr w:rsidR="00584EC1" w14:paraId="74DE1361" w14:textId="77777777">
        <w:tc>
          <w:tcPr>
            <w:tcW w:w="50" w:type="pct"/>
            <w:shd w:val="clear" w:color="auto" w:fill="auto"/>
            <w:vAlign w:val="bottom"/>
          </w:tcPr>
          <w:p w14:paraId="74DE132E" w14:textId="77777777" w:rsidR="00584EC1" w:rsidRDefault="00584EC1">
            <w:pPr>
              <w:rPr>
                <w:rFonts w:ascii="宋体"/>
              </w:rPr>
            </w:pPr>
          </w:p>
        </w:tc>
        <w:tc>
          <w:tcPr>
            <w:tcW w:w="1414" w:type="pct"/>
            <w:shd w:val="clear" w:color="auto" w:fill="auto"/>
            <w:vAlign w:val="bottom"/>
          </w:tcPr>
          <w:p w14:paraId="74DE132F" w14:textId="77777777" w:rsidR="00584EC1" w:rsidRDefault="00584EC1">
            <w:pPr>
              <w:rPr>
                <w:rFonts w:ascii="宋体"/>
              </w:rPr>
            </w:pPr>
          </w:p>
        </w:tc>
        <w:tc>
          <w:tcPr>
            <w:tcW w:w="5" w:type="pct"/>
            <w:shd w:val="clear" w:color="auto" w:fill="auto"/>
            <w:vAlign w:val="bottom"/>
          </w:tcPr>
          <w:p w14:paraId="74DE1330" w14:textId="77777777" w:rsidR="00584EC1" w:rsidRDefault="00584EC1">
            <w:pPr>
              <w:rPr>
                <w:rFonts w:ascii="宋体"/>
              </w:rPr>
            </w:pPr>
          </w:p>
        </w:tc>
        <w:tc>
          <w:tcPr>
            <w:tcW w:w="50" w:type="pct"/>
            <w:shd w:val="clear" w:color="auto" w:fill="auto"/>
            <w:vAlign w:val="bottom"/>
          </w:tcPr>
          <w:p w14:paraId="74DE1331" w14:textId="77777777" w:rsidR="00584EC1" w:rsidRDefault="00584EC1">
            <w:pPr>
              <w:rPr>
                <w:rFonts w:ascii="宋体"/>
              </w:rPr>
            </w:pPr>
          </w:p>
        </w:tc>
        <w:tc>
          <w:tcPr>
            <w:tcW w:w="354" w:type="pct"/>
            <w:shd w:val="clear" w:color="auto" w:fill="auto"/>
            <w:vAlign w:val="bottom"/>
          </w:tcPr>
          <w:p w14:paraId="74DE1332" w14:textId="77777777" w:rsidR="00584EC1" w:rsidRDefault="00584EC1">
            <w:pPr>
              <w:rPr>
                <w:rFonts w:ascii="宋体"/>
              </w:rPr>
            </w:pPr>
          </w:p>
        </w:tc>
        <w:tc>
          <w:tcPr>
            <w:tcW w:w="5" w:type="pct"/>
            <w:shd w:val="clear" w:color="auto" w:fill="auto"/>
            <w:vAlign w:val="bottom"/>
          </w:tcPr>
          <w:p w14:paraId="74DE1333" w14:textId="77777777" w:rsidR="00584EC1" w:rsidRDefault="00584EC1">
            <w:pPr>
              <w:rPr>
                <w:rFonts w:ascii="宋体"/>
              </w:rPr>
            </w:pPr>
          </w:p>
        </w:tc>
        <w:tc>
          <w:tcPr>
            <w:tcW w:w="5" w:type="pct"/>
            <w:shd w:val="clear" w:color="auto" w:fill="auto"/>
            <w:vAlign w:val="bottom"/>
          </w:tcPr>
          <w:p w14:paraId="74DE1334" w14:textId="77777777" w:rsidR="00584EC1" w:rsidRDefault="00584EC1">
            <w:pPr>
              <w:rPr>
                <w:rFonts w:ascii="宋体"/>
              </w:rPr>
            </w:pPr>
          </w:p>
        </w:tc>
        <w:tc>
          <w:tcPr>
            <w:tcW w:w="26" w:type="pct"/>
            <w:shd w:val="clear" w:color="auto" w:fill="auto"/>
            <w:vAlign w:val="bottom"/>
          </w:tcPr>
          <w:p w14:paraId="74DE1335" w14:textId="77777777" w:rsidR="00584EC1" w:rsidRDefault="00584EC1">
            <w:pPr>
              <w:rPr>
                <w:rFonts w:ascii="宋体"/>
              </w:rPr>
            </w:pPr>
          </w:p>
        </w:tc>
        <w:tc>
          <w:tcPr>
            <w:tcW w:w="5" w:type="pct"/>
            <w:shd w:val="clear" w:color="auto" w:fill="auto"/>
            <w:vAlign w:val="bottom"/>
          </w:tcPr>
          <w:p w14:paraId="74DE1336" w14:textId="77777777" w:rsidR="00584EC1" w:rsidRDefault="00584EC1">
            <w:pPr>
              <w:rPr>
                <w:rFonts w:ascii="宋体"/>
              </w:rPr>
            </w:pPr>
          </w:p>
        </w:tc>
        <w:tc>
          <w:tcPr>
            <w:tcW w:w="50" w:type="pct"/>
            <w:shd w:val="clear" w:color="auto" w:fill="auto"/>
            <w:vAlign w:val="bottom"/>
          </w:tcPr>
          <w:p w14:paraId="74DE1337" w14:textId="77777777" w:rsidR="00584EC1" w:rsidRDefault="00584EC1">
            <w:pPr>
              <w:rPr>
                <w:rFonts w:ascii="宋体"/>
              </w:rPr>
            </w:pPr>
          </w:p>
        </w:tc>
        <w:tc>
          <w:tcPr>
            <w:tcW w:w="354" w:type="pct"/>
            <w:shd w:val="clear" w:color="auto" w:fill="auto"/>
            <w:vAlign w:val="bottom"/>
          </w:tcPr>
          <w:p w14:paraId="74DE1338" w14:textId="77777777" w:rsidR="00584EC1" w:rsidRDefault="00584EC1">
            <w:pPr>
              <w:rPr>
                <w:rFonts w:ascii="宋体"/>
              </w:rPr>
            </w:pPr>
          </w:p>
        </w:tc>
        <w:tc>
          <w:tcPr>
            <w:tcW w:w="5" w:type="pct"/>
            <w:shd w:val="clear" w:color="auto" w:fill="auto"/>
            <w:vAlign w:val="bottom"/>
          </w:tcPr>
          <w:p w14:paraId="74DE1339" w14:textId="77777777" w:rsidR="00584EC1" w:rsidRDefault="00584EC1">
            <w:pPr>
              <w:rPr>
                <w:rFonts w:ascii="宋体"/>
              </w:rPr>
            </w:pPr>
          </w:p>
        </w:tc>
        <w:tc>
          <w:tcPr>
            <w:tcW w:w="5" w:type="pct"/>
            <w:shd w:val="clear" w:color="auto" w:fill="auto"/>
            <w:vAlign w:val="bottom"/>
          </w:tcPr>
          <w:p w14:paraId="74DE133A" w14:textId="77777777" w:rsidR="00584EC1" w:rsidRDefault="00584EC1">
            <w:pPr>
              <w:rPr>
                <w:rFonts w:ascii="宋体"/>
              </w:rPr>
            </w:pPr>
          </w:p>
        </w:tc>
        <w:tc>
          <w:tcPr>
            <w:tcW w:w="26" w:type="pct"/>
            <w:shd w:val="clear" w:color="auto" w:fill="auto"/>
            <w:vAlign w:val="bottom"/>
          </w:tcPr>
          <w:p w14:paraId="74DE133B" w14:textId="77777777" w:rsidR="00584EC1" w:rsidRDefault="00584EC1">
            <w:pPr>
              <w:rPr>
                <w:rFonts w:ascii="宋体"/>
              </w:rPr>
            </w:pPr>
          </w:p>
        </w:tc>
        <w:tc>
          <w:tcPr>
            <w:tcW w:w="5" w:type="pct"/>
            <w:shd w:val="clear" w:color="auto" w:fill="auto"/>
            <w:vAlign w:val="bottom"/>
          </w:tcPr>
          <w:p w14:paraId="74DE133C" w14:textId="77777777" w:rsidR="00584EC1" w:rsidRDefault="00584EC1">
            <w:pPr>
              <w:rPr>
                <w:rFonts w:ascii="宋体"/>
              </w:rPr>
            </w:pPr>
          </w:p>
        </w:tc>
        <w:tc>
          <w:tcPr>
            <w:tcW w:w="0" w:type="auto"/>
            <w:shd w:val="clear" w:color="auto" w:fill="auto"/>
            <w:vAlign w:val="bottom"/>
          </w:tcPr>
          <w:p w14:paraId="74DE133D" w14:textId="77777777" w:rsidR="00584EC1" w:rsidRDefault="00584EC1">
            <w:pPr>
              <w:rPr>
                <w:rFonts w:ascii="宋体"/>
                <w:vanish/>
              </w:rPr>
            </w:pPr>
          </w:p>
        </w:tc>
        <w:tc>
          <w:tcPr>
            <w:tcW w:w="0" w:type="auto"/>
            <w:shd w:val="clear" w:color="auto" w:fill="auto"/>
            <w:vAlign w:val="bottom"/>
          </w:tcPr>
          <w:p w14:paraId="74DE133E" w14:textId="77777777" w:rsidR="00584EC1" w:rsidRDefault="00584EC1">
            <w:pPr>
              <w:rPr>
                <w:rFonts w:ascii="宋体"/>
                <w:vanish/>
              </w:rPr>
            </w:pPr>
          </w:p>
        </w:tc>
        <w:tc>
          <w:tcPr>
            <w:tcW w:w="50" w:type="pct"/>
            <w:shd w:val="clear" w:color="auto" w:fill="auto"/>
            <w:vAlign w:val="bottom"/>
          </w:tcPr>
          <w:p w14:paraId="74DE133F" w14:textId="77777777" w:rsidR="00584EC1" w:rsidRDefault="00584EC1">
            <w:pPr>
              <w:rPr>
                <w:rFonts w:ascii="宋体"/>
              </w:rPr>
            </w:pPr>
          </w:p>
        </w:tc>
        <w:tc>
          <w:tcPr>
            <w:tcW w:w="354" w:type="pct"/>
            <w:shd w:val="clear" w:color="auto" w:fill="auto"/>
            <w:vAlign w:val="bottom"/>
          </w:tcPr>
          <w:p w14:paraId="74DE1340" w14:textId="77777777" w:rsidR="00584EC1" w:rsidRDefault="00584EC1">
            <w:pPr>
              <w:rPr>
                <w:rFonts w:ascii="宋体"/>
              </w:rPr>
            </w:pPr>
          </w:p>
        </w:tc>
        <w:tc>
          <w:tcPr>
            <w:tcW w:w="5" w:type="pct"/>
            <w:shd w:val="clear" w:color="auto" w:fill="auto"/>
            <w:vAlign w:val="bottom"/>
          </w:tcPr>
          <w:p w14:paraId="74DE1341" w14:textId="77777777" w:rsidR="00584EC1" w:rsidRDefault="00584EC1">
            <w:pPr>
              <w:rPr>
                <w:rFonts w:ascii="宋体"/>
              </w:rPr>
            </w:pPr>
          </w:p>
        </w:tc>
        <w:tc>
          <w:tcPr>
            <w:tcW w:w="5" w:type="pct"/>
            <w:shd w:val="clear" w:color="auto" w:fill="auto"/>
            <w:vAlign w:val="bottom"/>
          </w:tcPr>
          <w:p w14:paraId="74DE1342" w14:textId="77777777" w:rsidR="00584EC1" w:rsidRDefault="00584EC1">
            <w:pPr>
              <w:rPr>
                <w:rFonts w:ascii="宋体"/>
              </w:rPr>
            </w:pPr>
          </w:p>
        </w:tc>
        <w:tc>
          <w:tcPr>
            <w:tcW w:w="26" w:type="pct"/>
            <w:shd w:val="clear" w:color="auto" w:fill="auto"/>
            <w:vAlign w:val="bottom"/>
          </w:tcPr>
          <w:p w14:paraId="74DE1343" w14:textId="77777777" w:rsidR="00584EC1" w:rsidRDefault="00584EC1">
            <w:pPr>
              <w:rPr>
                <w:rFonts w:ascii="宋体"/>
              </w:rPr>
            </w:pPr>
          </w:p>
        </w:tc>
        <w:tc>
          <w:tcPr>
            <w:tcW w:w="5" w:type="pct"/>
            <w:shd w:val="clear" w:color="auto" w:fill="auto"/>
            <w:vAlign w:val="bottom"/>
          </w:tcPr>
          <w:p w14:paraId="74DE1344" w14:textId="77777777" w:rsidR="00584EC1" w:rsidRDefault="00584EC1">
            <w:pPr>
              <w:rPr>
                <w:rFonts w:ascii="宋体"/>
              </w:rPr>
            </w:pPr>
          </w:p>
        </w:tc>
        <w:tc>
          <w:tcPr>
            <w:tcW w:w="50" w:type="pct"/>
            <w:shd w:val="clear" w:color="auto" w:fill="auto"/>
            <w:vAlign w:val="bottom"/>
          </w:tcPr>
          <w:p w14:paraId="74DE1345" w14:textId="77777777" w:rsidR="00584EC1" w:rsidRDefault="00584EC1">
            <w:pPr>
              <w:rPr>
                <w:rFonts w:ascii="宋体"/>
              </w:rPr>
            </w:pPr>
          </w:p>
        </w:tc>
        <w:tc>
          <w:tcPr>
            <w:tcW w:w="354" w:type="pct"/>
            <w:shd w:val="clear" w:color="auto" w:fill="auto"/>
            <w:vAlign w:val="bottom"/>
          </w:tcPr>
          <w:p w14:paraId="74DE1346" w14:textId="77777777" w:rsidR="00584EC1" w:rsidRDefault="00584EC1">
            <w:pPr>
              <w:rPr>
                <w:rFonts w:ascii="宋体"/>
              </w:rPr>
            </w:pPr>
          </w:p>
        </w:tc>
        <w:tc>
          <w:tcPr>
            <w:tcW w:w="5" w:type="pct"/>
            <w:shd w:val="clear" w:color="auto" w:fill="auto"/>
            <w:vAlign w:val="bottom"/>
          </w:tcPr>
          <w:p w14:paraId="74DE1347" w14:textId="77777777" w:rsidR="00584EC1" w:rsidRDefault="00584EC1">
            <w:pPr>
              <w:rPr>
                <w:rFonts w:ascii="宋体"/>
              </w:rPr>
            </w:pPr>
          </w:p>
        </w:tc>
        <w:tc>
          <w:tcPr>
            <w:tcW w:w="5" w:type="pct"/>
            <w:shd w:val="clear" w:color="auto" w:fill="auto"/>
            <w:vAlign w:val="bottom"/>
          </w:tcPr>
          <w:p w14:paraId="74DE1348" w14:textId="77777777" w:rsidR="00584EC1" w:rsidRDefault="00584EC1">
            <w:pPr>
              <w:rPr>
                <w:rFonts w:ascii="宋体"/>
              </w:rPr>
            </w:pPr>
          </w:p>
        </w:tc>
        <w:tc>
          <w:tcPr>
            <w:tcW w:w="26" w:type="pct"/>
            <w:shd w:val="clear" w:color="auto" w:fill="auto"/>
            <w:vAlign w:val="bottom"/>
          </w:tcPr>
          <w:p w14:paraId="74DE1349" w14:textId="77777777" w:rsidR="00584EC1" w:rsidRDefault="00584EC1">
            <w:pPr>
              <w:rPr>
                <w:rFonts w:ascii="宋体"/>
              </w:rPr>
            </w:pPr>
          </w:p>
        </w:tc>
        <w:tc>
          <w:tcPr>
            <w:tcW w:w="5" w:type="pct"/>
            <w:shd w:val="clear" w:color="auto" w:fill="auto"/>
            <w:vAlign w:val="bottom"/>
          </w:tcPr>
          <w:p w14:paraId="74DE134A" w14:textId="77777777" w:rsidR="00584EC1" w:rsidRDefault="00584EC1">
            <w:pPr>
              <w:rPr>
                <w:rFonts w:ascii="宋体"/>
              </w:rPr>
            </w:pPr>
          </w:p>
        </w:tc>
        <w:tc>
          <w:tcPr>
            <w:tcW w:w="0" w:type="auto"/>
            <w:shd w:val="clear" w:color="auto" w:fill="auto"/>
            <w:vAlign w:val="bottom"/>
          </w:tcPr>
          <w:p w14:paraId="74DE134B" w14:textId="77777777" w:rsidR="00584EC1" w:rsidRDefault="00584EC1">
            <w:pPr>
              <w:rPr>
                <w:rFonts w:ascii="宋体"/>
                <w:vanish/>
              </w:rPr>
            </w:pPr>
          </w:p>
        </w:tc>
        <w:tc>
          <w:tcPr>
            <w:tcW w:w="0" w:type="auto"/>
            <w:shd w:val="clear" w:color="auto" w:fill="auto"/>
            <w:vAlign w:val="bottom"/>
          </w:tcPr>
          <w:p w14:paraId="74DE134C" w14:textId="77777777" w:rsidR="00584EC1" w:rsidRDefault="00584EC1">
            <w:pPr>
              <w:rPr>
                <w:rFonts w:ascii="宋体"/>
                <w:vanish/>
              </w:rPr>
            </w:pPr>
          </w:p>
        </w:tc>
        <w:tc>
          <w:tcPr>
            <w:tcW w:w="50" w:type="pct"/>
            <w:shd w:val="clear" w:color="auto" w:fill="auto"/>
            <w:vAlign w:val="bottom"/>
          </w:tcPr>
          <w:p w14:paraId="74DE134D" w14:textId="77777777" w:rsidR="00584EC1" w:rsidRDefault="00584EC1">
            <w:pPr>
              <w:rPr>
                <w:rFonts w:ascii="宋体"/>
              </w:rPr>
            </w:pPr>
          </w:p>
        </w:tc>
        <w:tc>
          <w:tcPr>
            <w:tcW w:w="354" w:type="pct"/>
            <w:shd w:val="clear" w:color="auto" w:fill="auto"/>
            <w:vAlign w:val="bottom"/>
          </w:tcPr>
          <w:p w14:paraId="74DE134E" w14:textId="77777777" w:rsidR="00584EC1" w:rsidRDefault="00584EC1">
            <w:pPr>
              <w:rPr>
                <w:rFonts w:ascii="宋体"/>
              </w:rPr>
            </w:pPr>
          </w:p>
        </w:tc>
        <w:tc>
          <w:tcPr>
            <w:tcW w:w="5" w:type="pct"/>
            <w:shd w:val="clear" w:color="auto" w:fill="auto"/>
            <w:vAlign w:val="bottom"/>
          </w:tcPr>
          <w:p w14:paraId="74DE134F" w14:textId="77777777" w:rsidR="00584EC1" w:rsidRDefault="00584EC1">
            <w:pPr>
              <w:rPr>
                <w:rFonts w:ascii="宋体"/>
              </w:rPr>
            </w:pPr>
          </w:p>
        </w:tc>
        <w:tc>
          <w:tcPr>
            <w:tcW w:w="5" w:type="pct"/>
            <w:shd w:val="clear" w:color="auto" w:fill="auto"/>
            <w:vAlign w:val="bottom"/>
          </w:tcPr>
          <w:p w14:paraId="74DE1350" w14:textId="77777777" w:rsidR="00584EC1" w:rsidRDefault="00584EC1">
            <w:pPr>
              <w:rPr>
                <w:rFonts w:ascii="宋体"/>
              </w:rPr>
            </w:pPr>
          </w:p>
        </w:tc>
        <w:tc>
          <w:tcPr>
            <w:tcW w:w="26" w:type="pct"/>
            <w:shd w:val="clear" w:color="auto" w:fill="auto"/>
            <w:vAlign w:val="bottom"/>
          </w:tcPr>
          <w:p w14:paraId="74DE1351" w14:textId="77777777" w:rsidR="00584EC1" w:rsidRDefault="00584EC1">
            <w:pPr>
              <w:rPr>
                <w:rFonts w:ascii="宋体"/>
              </w:rPr>
            </w:pPr>
          </w:p>
        </w:tc>
        <w:tc>
          <w:tcPr>
            <w:tcW w:w="5" w:type="pct"/>
            <w:shd w:val="clear" w:color="auto" w:fill="auto"/>
            <w:vAlign w:val="bottom"/>
          </w:tcPr>
          <w:p w14:paraId="74DE1352" w14:textId="77777777" w:rsidR="00584EC1" w:rsidRDefault="00584EC1">
            <w:pPr>
              <w:rPr>
                <w:rFonts w:ascii="宋体"/>
              </w:rPr>
            </w:pPr>
          </w:p>
        </w:tc>
        <w:tc>
          <w:tcPr>
            <w:tcW w:w="50" w:type="pct"/>
            <w:shd w:val="clear" w:color="auto" w:fill="auto"/>
            <w:vAlign w:val="bottom"/>
          </w:tcPr>
          <w:p w14:paraId="74DE1353" w14:textId="77777777" w:rsidR="00584EC1" w:rsidRDefault="00584EC1">
            <w:pPr>
              <w:rPr>
                <w:rFonts w:ascii="宋体"/>
              </w:rPr>
            </w:pPr>
          </w:p>
        </w:tc>
        <w:tc>
          <w:tcPr>
            <w:tcW w:w="354" w:type="pct"/>
            <w:shd w:val="clear" w:color="auto" w:fill="auto"/>
            <w:vAlign w:val="bottom"/>
          </w:tcPr>
          <w:p w14:paraId="74DE1354" w14:textId="77777777" w:rsidR="00584EC1" w:rsidRDefault="00584EC1">
            <w:pPr>
              <w:rPr>
                <w:rFonts w:ascii="宋体"/>
              </w:rPr>
            </w:pPr>
          </w:p>
        </w:tc>
        <w:tc>
          <w:tcPr>
            <w:tcW w:w="5" w:type="pct"/>
            <w:shd w:val="clear" w:color="auto" w:fill="auto"/>
            <w:vAlign w:val="bottom"/>
          </w:tcPr>
          <w:p w14:paraId="74DE1355" w14:textId="77777777" w:rsidR="00584EC1" w:rsidRDefault="00584EC1">
            <w:pPr>
              <w:rPr>
                <w:rFonts w:ascii="宋体"/>
              </w:rPr>
            </w:pPr>
          </w:p>
        </w:tc>
        <w:tc>
          <w:tcPr>
            <w:tcW w:w="5" w:type="pct"/>
            <w:shd w:val="clear" w:color="auto" w:fill="auto"/>
            <w:vAlign w:val="bottom"/>
          </w:tcPr>
          <w:p w14:paraId="74DE1356" w14:textId="77777777" w:rsidR="00584EC1" w:rsidRDefault="00584EC1">
            <w:pPr>
              <w:rPr>
                <w:rFonts w:ascii="宋体"/>
              </w:rPr>
            </w:pPr>
          </w:p>
        </w:tc>
        <w:tc>
          <w:tcPr>
            <w:tcW w:w="26" w:type="pct"/>
            <w:shd w:val="clear" w:color="auto" w:fill="auto"/>
            <w:vAlign w:val="bottom"/>
          </w:tcPr>
          <w:p w14:paraId="74DE1357" w14:textId="77777777" w:rsidR="00584EC1" w:rsidRDefault="00584EC1">
            <w:pPr>
              <w:rPr>
                <w:rFonts w:ascii="宋体"/>
              </w:rPr>
            </w:pPr>
          </w:p>
        </w:tc>
        <w:tc>
          <w:tcPr>
            <w:tcW w:w="5" w:type="pct"/>
            <w:shd w:val="clear" w:color="auto" w:fill="auto"/>
            <w:vAlign w:val="bottom"/>
          </w:tcPr>
          <w:p w14:paraId="74DE1358" w14:textId="77777777" w:rsidR="00584EC1" w:rsidRDefault="00584EC1">
            <w:pPr>
              <w:rPr>
                <w:rFonts w:ascii="宋体"/>
              </w:rPr>
            </w:pPr>
          </w:p>
        </w:tc>
        <w:tc>
          <w:tcPr>
            <w:tcW w:w="0" w:type="auto"/>
            <w:gridSpan w:val="3"/>
            <w:shd w:val="clear" w:color="auto" w:fill="auto"/>
            <w:vAlign w:val="bottom"/>
          </w:tcPr>
          <w:p w14:paraId="74DE1359" w14:textId="77777777" w:rsidR="00584EC1" w:rsidRDefault="00584EC1">
            <w:pPr>
              <w:rPr>
                <w:rFonts w:ascii="宋体"/>
                <w:vanish/>
              </w:rPr>
            </w:pPr>
          </w:p>
        </w:tc>
        <w:tc>
          <w:tcPr>
            <w:tcW w:w="0" w:type="auto"/>
            <w:gridSpan w:val="3"/>
            <w:shd w:val="clear" w:color="auto" w:fill="auto"/>
            <w:vAlign w:val="bottom"/>
          </w:tcPr>
          <w:p w14:paraId="74DE135A" w14:textId="77777777" w:rsidR="00584EC1" w:rsidRDefault="00584EC1">
            <w:pPr>
              <w:rPr>
                <w:rFonts w:ascii="宋体"/>
                <w:vanish/>
              </w:rPr>
            </w:pPr>
          </w:p>
        </w:tc>
        <w:tc>
          <w:tcPr>
            <w:tcW w:w="50" w:type="pct"/>
            <w:shd w:val="clear" w:color="auto" w:fill="auto"/>
            <w:vAlign w:val="bottom"/>
          </w:tcPr>
          <w:p w14:paraId="74DE135B" w14:textId="77777777" w:rsidR="00584EC1" w:rsidRDefault="00584EC1">
            <w:pPr>
              <w:rPr>
                <w:rFonts w:ascii="宋体"/>
              </w:rPr>
            </w:pPr>
          </w:p>
        </w:tc>
        <w:tc>
          <w:tcPr>
            <w:tcW w:w="354" w:type="pct"/>
            <w:shd w:val="clear" w:color="auto" w:fill="auto"/>
            <w:vAlign w:val="bottom"/>
          </w:tcPr>
          <w:p w14:paraId="74DE135C" w14:textId="77777777" w:rsidR="00584EC1" w:rsidRDefault="00584EC1">
            <w:pPr>
              <w:rPr>
                <w:rFonts w:ascii="宋体"/>
              </w:rPr>
            </w:pPr>
          </w:p>
        </w:tc>
        <w:tc>
          <w:tcPr>
            <w:tcW w:w="5" w:type="pct"/>
            <w:shd w:val="clear" w:color="auto" w:fill="auto"/>
            <w:vAlign w:val="bottom"/>
          </w:tcPr>
          <w:p w14:paraId="74DE135D" w14:textId="77777777" w:rsidR="00584EC1" w:rsidRDefault="00584EC1">
            <w:pPr>
              <w:rPr>
                <w:rFonts w:ascii="宋体"/>
              </w:rPr>
            </w:pPr>
          </w:p>
        </w:tc>
        <w:tc>
          <w:tcPr>
            <w:tcW w:w="5" w:type="pct"/>
            <w:shd w:val="clear" w:color="auto" w:fill="auto"/>
            <w:vAlign w:val="bottom"/>
          </w:tcPr>
          <w:p w14:paraId="74DE135E" w14:textId="77777777" w:rsidR="00584EC1" w:rsidRDefault="00584EC1">
            <w:pPr>
              <w:rPr>
                <w:rFonts w:ascii="宋体"/>
              </w:rPr>
            </w:pPr>
          </w:p>
        </w:tc>
        <w:tc>
          <w:tcPr>
            <w:tcW w:w="26" w:type="pct"/>
            <w:shd w:val="clear" w:color="auto" w:fill="auto"/>
            <w:vAlign w:val="bottom"/>
          </w:tcPr>
          <w:p w14:paraId="74DE135F" w14:textId="77777777" w:rsidR="00584EC1" w:rsidRDefault="00584EC1">
            <w:pPr>
              <w:rPr>
                <w:rFonts w:ascii="宋体"/>
              </w:rPr>
            </w:pPr>
          </w:p>
        </w:tc>
        <w:tc>
          <w:tcPr>
            <w:tcW w:w="5" w:type="pct"/>
            <w:shd w:val="clear" w:color="auto" w:fill="auto"/>
            <w:vAlign w:val="bottom"/>
          </w:tcPr>
          <w:p w14:paraId="74DE1360" w14:textId="77777777" w:rsidR="00584EC1" w:rsidRDefault="00584EC1">
            <w:pPr>
              <w:rPr>
                <w:rFonts w:ascii="宋体"/>
              </w:rPr>
            </w:pPr>
          </w:p>
        </w:tc>
      </w:tr>
      <w:tr w:rsidR="00584EC1" w14:paraId="74DE1373" w14:textId="77777777">
        <w:tc>
          <w:tcPr>
            <w:tcW w:w="0" w:type="auto"/>
            <w:gridSpan w:val="3"/>
            <w:shd w:val="clear" w:color="auto" w:fill="auto"/>
            <w:tcMar>
              <w:top w:w="0" w:type="dxa"/>
              <w:left w:w="20" w:type="dxa"/>
              <w:bottom w:w="0" w:type="dxa"/>
              <w:right w:w="20" w:type="dxa"/>
            </w:tcMar>
            <w:vAlign w:val="bottom"/>
          </w:tcPr>
          <w:p w14:paraId="74DE1362" w14:textId="77777777" w:rsidR="00584EC1" w:rsidRDefault="00584EC1">
            <w:pPr>
              <w:rPr>
                <w:rFonts w:ascii="宋体"/>
              </w:rPr>
            </w:pPr>
          </w:p>
        </w:tc>
        <w:tc>
          <w:tcPr>
            <w:tcW w:w="0" w:type="auto"/>
            <w:gridSpan w:val="37"/>
            <w:tcBorders>
              <w:bottom w:val="single" w:sz="8" w:space="0" w:color="000000"/>
            </w:tcBorders>
            <w:shd w:val="clear" w:color="auto" w:fill="auto"/>
            <w:tcMar>
              <w:top w:w="40" w:type="dxa"/>
              <w:left w:w="20" w:type="dxa"/>
              <w:bottom w:w="40" w:type="dxa"/>
              <w:right w:w="20" w:type="dxa"/>
            </w:tcMar>
            <w:vAlign w:val="bottom"/>
          </w:tcPr>
          <w:p w14:paraId="74DE1363" w14:textId="77777777" w:rsidR="00584EC1" w:rsidRDefault="00871F8D">
            <w:pPr>
              <w:jc w:val="center"/>
              <w:textAlignment w:val="bottom"/>
            </w:pPr>
            <w:r>
              <w:rPr>
                <w:rFonts w:ascii="Arial" w:eastAsia="宋体" w:hAnsi="Arial" w:cs="Arial"/>
                <w:b/>
                <w:bCs/>
                <w:color w:val="000000"/>
                <w:sz w:val="14"/>
                <w:szCs w:val="14"/>
              </w:rPr>
              <w:t>Three Months Ended September 30,</w:t>
            </w:r>
          </w:p>
        </w:tc>
        <w:tc>
          <w:tcPr>
            <w:tcW w:w="0" w:type="auto"/>
            <w:shd w:val="clear" w:color="auto" w:fill="auto"/>
            <w:vAlign w:val="bottom"/>
          </w:tcPr>
          <w:p w14:paraId="74DE1364" w14:textId="77777777" w:rsidR="00584EC1" w:rsidRDefault="00584EC1">
            <w:pPr>
              <w:rPr>
                <w:rFonts w:ascii="宋体"/>
              </w:rPr>
            </w:pPr>
          </w:p>
        </w:tc>
        <w:tc>
          <w:tcPr>
            <w:tcW w:w="0" w:type="auto"/>
            <w:shd w:val="clear" w:color="auto" w:fill="auto"/>
            <w:vAlign w:val="bottom"/>
          </w:tcPr>
          <w:p w14:paraId="74DE1365" w14:textId="77777777" w:rsidR="00584EC1" w:rsidRDefault="00584EC1">
            <w:pPr>
              <w:rPr>
                <w:rFonts w:ascii="宋体"/>
              </w:rPr>
            </w:pPr>
          </w:p>
        </w:tc>
        <w:tc>
          <w:tcPr>
            <w:tcW w:w="0" w:type="auto"/>
            <w:shd w:val="clear" w:color="auto" w:fill="auto"/>
            <w:vAlign w:val="bottom"/>
          </w:tcPr>
          <w:p w14:paraId="74DE1366" w14:textId="77777777" w:rsidR="00584EC1" w:rsidRDefault="00584EC1">
            <w:pPr>
              <w:rPr>
                <w:rFonts w:ascii="宋体"/>
              </w:rPr>
            </w:pPr>
          </w:p>
        </w:tc>
        <w:tc>
          <w:tcPr>
            <w:tcW w:w="0" w:type="auto"/>
            <w:shd w:val="clear" w:color="auto" w:fill="auto"/>
            <w:vAlign w:val="bottom"/>
          </w:tcPr>
          <w:p w14:paraId="74DE1367" w14:textId="77777777" w:rsidR="00584EC1" w:rsidRDefault="00584EC1">
            <w:pPr>
              <w:rPr>
                <w:rFonts w:ascii="宋体"/>
              </w:rPr>
            </w:pPr>
          </w:p>
        </w:tc>
        <w:tc>
          <w:tcPr>
            <w:tcW w:w="0" w:type="auto"/>
            <w:shd w:val="clear" w:color="auto" w:fill="auto"/>
            <w:vAlign w:val="bottom"/>
          </w:tcPr>
          <w:p w14:paraId="74DE1368" w14:textId="77777777" w:rsidR="00584EC1" w:rsidRDefault="00584EC1">
            <w:pPr>
              <w:rPr>
                <w:rFonts w:ascii="宋体"/>
              </w:rPr>
            </w:pPr>
          </w:p>
        </w:tc>
        <w:tc>
          <w:tcPr>
            <w:tcW w:w="0" w:type="auto"/>
            <w:shd w:val="clear" w:color="auto" w:fill="auto"/>
            <w:vAlign w:val="bottom"/>
          </w:tcPr>
          <w:p w14:paraId="74DE1369" w14:textId="77777777" w:rsidR="00584EC1" w:rsidRDefault="00584EC1">
            <w:pPr>
              <w:rPr>
                <w:rFonts w:ascii="宋体"/>
              </w:rPr>
            </w:pPr>
          </w:p>
        </w:tc>
        <w:tc>
          <w:tcPr>
            <w:tcW w:w="0" w:type="auto"/>
            <w:shd w:val="clear" w:color="auto" w:fill="auto"/>
            <w:vAlign w:val="bottom"/>
          </w:tcPr>
          <w:p w14:paraId="74DE136A" w14:textId="77777777" w:rsidR="00584EC1" w:rsidRDefault="00584EC1">
            <w:pPr>
              <w:rPr>
                <w:rFonts w:ascii="宋体"/>
              </w:rPr>
            </w:pPr>
          </w:p>
        </w:tc>
        <w:tc>
          <w:tcPr>
            <w:tcW w:w="0" w:type="auto"/>
            <w:shd w:val="clear" w:color="auto" w:fill="auto"/>
            <w:vAlign w:val="bottom"/>
          </w:tcPr>
          <w:p w14:paraId="74DE136B" w14:textId="77777777" w:rsidR="00584EC1" w:rsidRDefault="00584EC1">
            <w:pPr>
              <w:rPr>
                <w:rFonts w:ascii="宋体"/>
              </w:rPr>
            </w:pPr>
          </w:p>
        </w:tc>
        <w:tc>
          <w:tcPr>
            <w:tcW w:w="0" w:type="auto"/>
            <w:shd w:val="clear" w:color="auto" w:fill="auto"/>
            <w:vAlign w:val="bottom"/>
          </w:tcPr>
          <w:p w14:paraId="74DE136C" w14:textId="77777777" w:rsidR="00584EC1" w:rsidRDefault="00584EC1">
            <w:pPr>
              <w:rPr>
                <w:rFonts w:ascii="宋体"/>
              </w:rPr>
            </w:pPr>
          </w:p>
        </w:tc>
        <w:tc>
          <w:tcPr>
            <w:tcW w:w="0" w:type="auto"/>
            <w:shd w:val="clear" w:color="auto" w:fill="auto"/>
            <w:vAlign w:val="bottom"/>
          </w:tcPr>
          <w:p w14:paraId="74DE136D" w14:textId="77777777" w:rsidR="00584EC1" w:rsidRDefault="00584EC1">
            <w:pPr>
              <w:rPr>
                <w:rFonts w:ascii="宋体"/>
              </w:rPr>
            </w:pPr>
          </w:p>
        </w:tc>
        <w:tc>
          <w:tcPr>
            <w:tcW w:w="0" w:type="auto"/>
            <w:shd w:val="clear" w:color="auto" w:fill="auto"/>
            <w:vAlign w:val="bottom"/>
          </w:tcPr>
          <w:p w14:paraId="74DE136E" w14:textId="77777777" w:rsidR="00584EC1" w:rsidRDefault="00584EC1">
            <w:pPr>
              <w:rPr>
                <w:rFonts w:ascii="宋体"/>
              </w:rPr>
            </w:pPr>
          </w:p>
        </w:tc>
        <w:tc>
          <w:tcPr>
            <w:tcW w:w="0" w:type="auto"/>
            <w:shd w:val="clear" w:color="auto" w:fill="auto"/>
            <w:vAlign w:val="bottom"/>
          </w:tcPr>
          <w:p w14:paraId="74DE136F" w14:textId="77777777" w:rsidR="00584EC1" w:rsidRDefault="00584EC1">
            <w:pPr>
              <w:rPr>
                <w:rFonts w:ascii="宋体"/>
              </w:rPr>
            </w:pPr>
          </w:p>
        </w:tc>
        <w:tc>
          <w:tcPr>
            <w:tcW w:w="0" w:type="auto"/>
            <w:shd w:val="clear" w:color="auto" w:fill="auto"/>
            <w:vAlign w:val="bottom"/>
          </w:tcPr>
          <w:p w14:paraId="74DE1370" w14:textId="77777777" w:rsidR="00584EC1" w:rsidRDefault="00584EC1">
            <w:pPr>
              <w:rPr>
                <w:rFonts w:ascii="宋体"/>
              </w:rPr>
            </w:pPr>
          </w:p>
        </w:tc>
        <w:tc>
          <w:tcPr>
            <w:tcW w:w="0" w:type="auto"/>
            <w:shd w:val="clear" w:color="auto" w:fill="auto"/>
            <w:vAlign w:val="bottom"/>
          </w:tcPr>
          <w:p w14:paraId="74DE1371" w14:textId="77777777" w:rsidR="00584EC1" w:rsidRDefault="00584EC1">
            <w:pPr>
              <w:rPr>
                <w:rFonts w:ascii="宋体"/>
              </w:rPr>
            </w:pPr>
          </w:p>
        </w:tc>
        <w:tc>
          <w:tcPr>
            <w:tcW w:w="0" w:type="auto"/>
            <w:shd w:val="clear" w:color="auto" w:fill="auto"/>
            <w:vAlign w:val="bottom"/>
          </w:tcPr>
          <w:p w14:paraId="74DE1372" w14:textId="77777777" w:rsidR="00584EC1" w:rsidRDefault="00584EC1">
            <w:pPr>
              <w:rPr>
                <w:rFonts w:ascii="宋体"/>
              </w:rPr>
            </w:pPr>
          </w:p>
        </w:tc>
      </w:tr>
      <w:tr w:rsidR="00584EC1" w14:paraId="74DE1382" w14:textId="77777777">
        <w:tc>
          <w:tcPr>
            <w:tcW w:w="0" w:type="auto"/>
            <w:gridSpan w:val="3"/>
            <w:shd w:val="clear" w:color="auto" w:fill="auto"/>
            <w:tcMar>
              <w:top w:w="0" w:type="dxa"/>
              <w:left w:w="20" w:type="dxa"/>
              <w:bottom w:w="0" w:type="dxa"/>
              <w:right w:w="20" w:type="dxa"/>
            </w:tcMar>
            <w:vAlign w:val="bottom"/>
          </w:tcPr>
          <w:p w14:paraId="74DE1374" w14:textId="77777777" w:rsidR="00584EC1" w:rsidRDefault="00584E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4DE1375" w14:textId="77777777" w:rsidR="00584EC1" w:rsidRDefault="00871F8D">
            <w:pPr>
              <w:jc w:val="center"/>
              <w:textAlignment w:val="bottom"/>
            </w:pPr>
            <w:r>
              <w:rPr>
                <w:rFonts w:ascii="Arial" w:eastAsia="宋体" w:hAnsi="Arial" w:cs="Arial"/>
                <w:b/>
                <w:bCs/>
                <w:color w:val="000000"/>
                <w:sz w:val="14"/>
                <w:szCs w:val="14"/>
              </w:rPr>
              <w:t>Investment</w:t>
            </w:r>
            <w:r>
              <w:rPr>
                <w:rFonts w:ascii="Arial" w:eastAsia="宋体" w:hAnsi="Arial" w:cs="Arial"/>
                <w:b/>
                <w:bCs/>
                <w:color w:val="000000"/>
                <w:sz w:val="14"/>
                <w:szCs w:val="14"/>
              </w:rPr>
              <w:br/>
              <w:t>Servicing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1376" w14:textId="77777777" w:rsidR="00584EC1" w:rsidRDefault="00584EC1">
            <w:pPr>
              <w:rPr>
                <w:rFonts w:ascii="宋体"/>
              </w:rPr>
            </w:pPr>
          </w:p>
        </w:tc>
        <w:tc>
          <w:tcPr>
            <w:tcW w:w="0" w:type="auto"/>
            <w:shd w:val="clear" w:color="auto" w:fill="auto"/>
            <w:vAlign w:val="bottom"/>
          </w:tcPr>
          <w:p w14:paraId="74DE1377" w14:textId="77777777" w:rsidR="00584EC1" w:rsidRDefault="00584EC1">
            <w:pPr>
              <w:rPr>
                <w:rFonts w:ascii="宋体"/>
                <w:vanish/>
              </w:rPr>
            </w:pPr>
          </w:p>
        </w:tc>
        <w:tc>
          <w:tcPr>
            <w:tcW w:w="0" w:type="auto"/>
            <w:shd w:val="clear" w:color="auto" w:fill="auto"/>
            <w:vAlign w:val="bottom"/>
          </w:tcPr>
          <w:p w14:paraId="74DE1378" w14:textId="77777777" w:rsidR="00584EC1" w:rsidRDefault="00584EC1">
            <w:pPr>
              <w:rPr>
                <w:rFonts w:ascii="宋体"/>
                <w:vanish/>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4DE1379" w14:textId="77777777" w:rsidR="00584EC1" w:rsidRDefault="00871F8D">
            <w:pPr>
              <w:jc w:val="center"/>
              <w:textAlignment w:val="bottom"/>
            </w:pPr>
            <w:r>
              <w:rPr>
                <w:rFonts w:ascii="Arial" w:eastAsia="宋体" w:hAnsi="Arial" w:cs="Arial"/>
                <w:b/>
                <w:bCs/>
                <w:color w:val="000000"/>
                <w:sz w:val="14"/>
                <w:szCs w:val="14"/>
              </w:rPr>
              <w:t>Investment</w:t>
            </w:r>
            <w:r>
              <w:rPr>
                <w:rFonts w:ascii="Arial" w:eastAsia="宋体" w:hAnsi="Arial" w:cs="Arial"/>
                <w:b/>
                <w:bCs/>
                <w:color w:val="000000"/>
                <w:sz w:val="14"/>
                <w:szCs w:val="14"/>
              </w:rPr>
              <w:br/>
              <w:t>Management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137A" w14:textId="77777777" w:rsidR="00584EC1" w:rsidRDefault="00584EC1">
            <w:pPr>
              <w:rPr>
                <w:rFonts w:ascii="宋体"/>
              </w:rPr>
            </w:pPr>
          </w:p>
        </w:tc>
        <w:tc>
          <w:tcPr>
            <w:tcW w:w="0" w:type="auto"/>
            <w:shd w:val="clear" w:color="auto" w:fill="auto"/>
            <w:vAlign w:val="bottom"/>
          </w:tcPr>
          <w:p w14:paraId="74DE137B" w14:textId="77777777" w:rsidR="00584EC1" w:rsidRDefault="00584EC1">
            <w:pPr>
              <w:rPr>
                <w:rFonts w:ascii="宋体"/>
                <w:vanish/>
              </w:rPr>
            </w:pPr>
          </w:p>
        </w:tc>
        <w:tc>
          <w:tcPr>
            <w:tcW w:w="0" w:type="auto"/>
            <w:shd w:val="clear" w:color="auto" w:fill="auto"/>
            <w:vAlign w:val="bottom"/>
          </w:tcPr>
          <w:p w14:paraId="74DE137C" w14:textId="77777777" w:rsidR="00584EC1" w:rsidRDefault="00584EC1">
            <w:pPr>
              <w:rPr>
                <w:rFonts w:ascii="宋体"/>
                <w:vanish/>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4DE137D" w14:textId="77777777" w:rsidR="00584EC1" w:rsidRDefault="00871F8D">
            <w:pPr>
              <w:jc w:val="center"/>
              <w:textAlignment w:val="bottom"/>
            </w:pPr>
            <w:r>
              <w:rPr>
                <w:rFonts w:ascii="Arial" w:eastAsia="宋体" w:hAnsi="Arial" w:cs="Arial"/>
                <w:b/>
                <w:bCs/>
                <w:color w:val="000000"/>
                <w:sz w:val="14"/>
                <w:szCs w:val="14"/>
              </w:rPr>
              <w:t>Other</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137E" w14:textId="77777777" w:rsidR="00584EC1" w:rsidRDefault="00584EC1">
            <w:pPr>
              <w:rPr>
                <w:rFonts w:ascii="宋体"/>
              </w:rPr>
            </w:pPr>
          </w:p>
        </w:tc>
        <w:tc>
          <w:tcPr>
            <w:tcW w:w="0" w:type="auto"/>
            <w:gridSpan w:val="3"/>
            <w:shd w:val="clear" w:color="auto" w:fill="auto"/>
            <w:vAlign w:val="bottom"/>
          </w:tcPr>
          <w:p w14:paraId="74DE137F" w14:textId="77777777" w:rsidR="00584EC1" w:rsidRDefault="00584EC1">
            <w:pPr>
              <w:rPr>
                <w:rFonts w:ascii="宋体"/>
                <w:vanish/>
              </w:rPr>
            </w:pPr>
          </w:p>
        </w:tc>
        <w:tc>
          <w:tcPr>
            <w:tcW w:w="0" w:type="auto"/>
            <w:gridSpan w:val="3"/>
            <w:shd w:val="clear" w:color="auto" w:fill="auto"/>
            <w:vAlign w:val="bottom"/>
          </w:tcPr>
          <w:p w14:paraId="74DE1380" w14:textId="77777777" w:rsidR="00584EC1" w:rsidRDefault="00584EC1">
            <w:pPr>
              <w:rPr>
                <w:rFonts w:ascii="宋体"/>
                <w:vanish/>
              </w:rPr>
            </w:pPr>
          </w:p>
        </w:tc>
        <w:tc>
          <w:tcPr>
            <w:tcW w:w="0" w:type="auto"/>
            <w:gridSpan w:val="6"/>
            <w:tcBorders>
              <w:top w:val="single" w:sz="8" w:space="0" w:color="000000"/>
            </w:tcBorders>
            <w:shd w:val="clear" w:color="auto" w:fill="auto"/>
            <w:tcMar>
              <w:top w:w="40" w:type="dxa"/>
              <w:left w:w="20" w:type="dxa"/>
              <w:bottom w:w="40" w:type="dxa"/>
              <w:right w:w="20" w:type="dxa"/>
            </w:tcMar>
            <w:vAlign w:val="bottom"/>
          </w:tcPr>
          <w:p w14:paraId="74DE1381" w14:textId="77777777" w:rsidR="00584EC1" w:rsidRDefault="00871F8D">
            <w:pPr>
              <w:jc w:val="center"/>
              <w:textAlignment w:val="bottom"/>
            </w:pPr>
            <w:r>
              <w:rPr>
                <w:rFonts w:ascii="Arial" w:eastAsia="宋体" w:hAnsi="Arial" w:cs="Arial"/>
                <w:b/>
                <w:bCs/>
                <w:color w:val="000000"/>
                <w:sz w:val="14"/>
                <w:szCs w:val="14"/>
              </w:rPr>
              <w:t>Total</w:t>
            </w:r>
          </w:p>
        </w:tc>
      </w:tr>
      <w:tr w:rsidR="00584EC1" w14:paraId="74DE1399" w14:textId="77777777">
        <w:tc>
          <w:tcPr>
            <w:tcW w:w="0" w:type="auto"/>
            <w:gridSpan w:val="3"/>
            <w:shd w:val="clear" w:color="auto" w:fill="auto"/>
            <w:tcMar>
              <w:top w:w="40" w:type="dxa"/>
              <w:left w:w="20" w:type="dxa"/>
              <w:bottom w:w="40" w:type="dxa"/>
              <w:right w:w="20" w:type="dxa"/>
            </w:tcMar>
            <w:vAlign w:val="bottom"/>
          </w:tcPr>
          <w:p w14:paraId="74DE1383" w14:textId="77777777" w:rsidR="00584EC1" w:rsidRDefault="00871F8D">
            <w:pPr>
              <w:textAlignment w:val="bottom"/>
            </w:pPr>
            <w:r>
              <w:rPr>
                <w:rFonts w:ascii="Arial" w:eastAsia="宋体" w:hAnsi="Arial" w:cs="Arial"/>
                <w:b/>
                <w:bCs/>
                <w:color w:val="000000"/>
                <w:sz w:val="14"/>
                <w:szCs w:val="14"/>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1384" w14:textId="77777777" w:rsidR="00584EC1" w:rsidRDefault="00871F8D">
            <w:pPr>
              <w:jc w:val="center"/>
              <w:textAlignment w:val="bottom"/>
            </w:pPr>
            <w:r>
              <w:rPr>
                <w:rFonts w:ascii="Arial" w:eastAsia="宋体" w:hAnsi="Arial" w:cs="Arial"/>
                <w:b/>
                <w:bCs/>
                <w:color w:val="000000"/>
                <w:sz w:val="13"/>
                <w:szCs w:val="13"/>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1385"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1386" w14:textId="77777777" w:rsidR="00584EC1" w:rsidRDefault="00871F8D">
            <w:pPr>
              <w:jc w:val="center"/>
              <w:textAlignment w:val="bottom"/>
            </w:pPr>
            <w:r>
              <w:rPr>
                <w:rFonts w:ascii="Arial" w:eastAsia="宋体" w:hAnsi="Arial" w:cs="Arial"/>
                <w:b/>
                <w:bCs/>
                <w:color w:val="000000"/>
                <w:sz w:val="13"/>
                <w:szCs w:val="13"/>
              </w:rPr>
              <w:t>2020</w:t>
            </w:r>
          </w:p>
        </w:tc>
        <w:tc>
          <w:tcPr>
            <w:tcW w:w="0" w:type="auto"/>
            <w:gridSpan w:val="3"/>
            <w:shd w:val="clear" w:color="auto" w:fill="auto"/>
            <w:tcMar>
              <w:top w:w="0" w:type="dxa"/>
              <w:left w:w="20" w:type="dxa"/>
              <w:bottom w:w="0" w:type="dxa"/>
              <w:right w:w="20" w:type="dxa"/>
            </w:tcMar>
            <w:vAlign w:val="bottom"/>
          </w:tcPr>
          <w:p w14:paraId="74DE1387" w14:textId="77777777" w:rsidR="00584EC1" w:rsidRDefault="00584EC1">
            <w:pPr>
              <w:rPr>
                <w:rFonts w:ascii="宋体"/>
              </w:rPr>
            </w:pPr>
          </w:p>
        </w:tc>
        <w:tc>
          <w:tcPr>
            <w:tcW w:w="0" w:type="auto"/>
            <w:shd w:val="clear" w:color="auto" w:fill="auto"/>
            <w:vAlign w:val="bottom"/>
          </w:tcPr>
          <w:p w14:paraId="74DE1388" w14:textId="77777777" w:rsidR="00584EC1" w:rsidRDefault="00584EC1">
            <w:pPr>
              <w:rPr>
                <w:rFonts w:ascii="宋体"/>
                <w:vanish/>
              </w:rPr>
            </w:pPr>
          </w:p>
        </w:tc>
        <w:tc>
          <w:tcPr>
            <w:tcW w:w="0" w:type="auto"/>
            <w:shd w:val="clear" w:color="auto" w:fill="auto"/>
            <w:vAlign w:val="bottom"/>
          </w:tcPr>
          <w:p w14:paraId="74DE1389" w14:textId="77777777" w:rsidR="00584EC1" w:rsidRDefault="00584EC1">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138A" w14:textId="77777777" w:rsidR="00584EC1" w:rsidRDefault="00871F8D">
            <w:pPr>
              <w:jc w:val="center"/>
              <w:textAlignment w:val="bottom"/>
            </w:pPr>
            <w:r>
              <w:rPr>
                <w:rFonts w:ascii="Arial" w:eastAsia="宋体" w:hAnsi="Arial" w:cs="Arial"/>
                <w:b/>
                <w:bCs/>
                <w:color w:val="000000"/>
                <w:sz w:val="13"/>
                <w:szCs w:val="13"/>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138B"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138C" w14:textId="77777777" w:rsidR="00584EC1" w:rsidRDefault="00871F8D">
            <w:pPr>
              <w:jc w:val="center"/>
              <w:textAlignment w:val="bottom"/>
            </w:pPr>
            <w:r>
              <w:rPr>
                <w:rFonts w:ascii="Arial" w:eastAsia="宋体" w:hAnsi="Arial" w:cs="Arial"/>
                <w:b/>
                <w:bCs/>
                <w:color w:val="000000"/>
                <w:sz w:val="13"/>
                <w:szCs w:val="13"/>
              </w:rPr>
              <w:t>2020</w:t>
            </w:r>
          </w:p>
        </w:tc>
        <w:tc>
          <w:tcPr>
            <w:tcW w:w="0" w:type="auto"/>
            <w:gridSpan w:val="3"/>
            <w:shd w:val="clear" w:color="auto" w:fill="auto"/>
            <w:tcMar>
              <w:top w:w="0" w:type="dxa"/>
              <w:left w:w="20" w:type="dxa"/>
              <w:bottom w:w="0" w:type="dxa"/>
              <w:right w:w="20" w:type="dxa"/>
            </w:tcMar>
            <w:vAlign w:val="bottom"/>
          </w:tcPr>
          <w:p w14:paraId="74DE138D" w14:textId="77777777" w:rsidR="00584EC1" w:rsidRDefault="00584EC1">
            <w:pPr>
              <w:rPr>
                <w:rFonts w:ascii="宋体"/>
              </w:rPr>
            </w:pPr>
          </w:p>
        </w:tc>
        <w:tc>
          <w:tcPr>
            <w:tcW w:w="0" w:type="auto"/>
            <w:shd w:val="clear" w:color="auto" w:fill="auto"/>
            <w:vAlign w:val="bottom"/>
          </w:tcPr>
          <w:p w14:paraId="74DE138E" w14:textId="77777777" w:rsidR="00584EC1" w:rsidRDefault="00584EC1">
            <w:pPr>
              <w:rPr>
                <w:rFonts w:ascii="宋体"/>
                <w:vanish/>
              </w:rPr>
            </w:pPr>
          </w:p>
        </w:tc>
        <w:tc>
          <w:tcPr>
            <w:tcW w:w="0" w:type="auto"/>
            <w:shd w:val="clear" w:color="auto" w:fill="auto"/>
            <w:vAlign w:val="bottom"/>
          </w:tcPr>
          <w:p w14:paraId="74DE138F" w14:textId="77777777" w:rsidR="00584EC1" w:rsidRDefault="00584EC1">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1390" w14:textId="77777777" w:rsidR="00584EC1" w:rsidRDefault="00871F8D">
            <w:pPr>
              <w:jc w:val="center"/>
              <w:textAlignment w:val="bottom"/>
            </w:pPr>
            <w:r>
              <w:rPr>
                <w:rFonts w:ascii="Arial" w:eastAsia="宋体" w:hAnsi="Arial" w:cs="Arial"/>
                <w:b/>
                <w:bCs/>
                <w:color w:val="000000"/>
                <w:sz w:val="13"/>
                <w:szCs w:val="13"/>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1391"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1392" w14:textId="77777777" w:rsidR="00584EC1" w:rsidRDefault="00871F8D">
            <w:pPr>
              <w:jc w:val="center"/>
              <w:textAlignment w:val="bottom"/>
            </w:pPr>
            <w:r>
              <w:rPr>
                <w:rFonts w:ascii="Arial" w:eastAsia="宋体" w:hAnsi="Arial" w:cs="Arial"/>
                <w:b/>
                <w:bCs/>
                <w:color w:val="000000"/>
                <w:sz w:val="13"/>
                <w:szCs w:val="13"/>
              </w:rPr>
              <w:t>2020</w:t>
            </w:r>
          </w:p>
        </w:tc>
        <w:tc>
          <w:tcPr>
            <w:tcW w:w="0" w:type="auto"/>
            <w:gridSpan w:val="3"/>
            <w:shd w:val="clear" w:color="auto" w:fill="auto"/>
            <w:tcMar>
              <w:top w:w="0" w:type="dxa"/>
              <w:left w:w="20" w:type="dxa"/>
              <w:bottom w:w="0" w:type="dxa"/>
              <w:right w:w="20" w:type="dxa"/>
            </w:tcMar>
            <w:vAlign w:val="bottom"/>
          </w:tcPr>
          <w:p w14:paraId="74DE1393" w14:textId="77777777" w:rsidR="00584EC1" w:rsidRDefault="00584EC1">
            <w:pPr>
              <w:rPr>
                <w:rFonts w:ascii="宋体"/>
              </w:rPr>
            </w:pPr>
          </w:p>
        </w:tc>
        <w:tc>
          <w:tcPr>
            <w:tcW w:w="0" w:type="auto"/>
            <w:gridSpan w:val="3"/>
            <w:shd w:val="clear" w:color="auto" w:fill="auto"/>
            <w:vAlign w:val="bottom"/>
          </w:tcPr>
          <w:p w14:paraId="74DE1394" w14:textId="77777777" w:rsidR="00584EC1" w:rsidRDefault="00584EC1">
            <w:pPr>
              <w:rPr>
                <w:rFonts w:ascii="宋体"/>
                <w:vanish/>
              </w:rPr>
            </w:pPr>
          </w:p>
        </w:tc>
        <w:tc>
          <w:tcPr>
            <w:tcW w:w="0" w:type="auto"/>
            <w:gridSpan w:val="3"/>
            <w:shd w:val="clear" w:color="auto" w:fill="auto"/>
            <w:vAlign w:val="bottom"/>
          </w:tcPr>
          <w:p w14:paraId="74DE1395" w14:textId="77777777" w:rsidR="00584EC1" w:rsidRDefault="00584EC1">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1396" w14:textId="77777777" w:rsidR="00584EC1" w:rsidRDefault="00871F8D">
            <w:pPr>
              <w:jc w:val="center"/>
              <w:textAlignment w:val="bottom"/>
            </w:pPr>
            <w:r>
              <w:rPr>
                <w:rFonts w:ascii="Arial" w:eastAsia="宋体" w:hAnsi="Arial" w:cs="Arial"/>
                <w:b/>
                <w:bCs/>
                <w:color w:val="000000"/>
                <w:sz w:val="13"/>
                <w:szCs w:val="13"/>
              </w:rPr>
              <w:t>2021</w:t>
            </w:r>
          </w:p>
        </w:tc>
        <w:tc>
          <w:tcPr>
            <w:tcW w:w="0" w:type="auto"/>
            <w:gridSpan w:val="2"/>
            <w:tcBorders>
              <w:top w:val="single" w:sz="8" w:space="0" w:color="000000"/>
            </w:tcBorders>
            <w:shd w:val="clear" w:color="auto" w:fill="auto"/>
            <w:tcMar>
              <w:top w:w="0" w:type="dxa"/>
              <w:left w:w="20" w:type="dxa"/>
              <w:bottom w:w="0" w:type="dxa"/>
              <w:right w:w="20" w:type="dxa"/>
            </w:tcMar>
            <w:vAlign w:val="bottom"/>
          </w:tcPr>
          <w:p w14:paraId="74DE1397" w14:textId="77777777" w:rsidR="00584EC1" w:rsidRDefault="00584EC1">
            <w:pPr>
              <w:rPr>
                <w:rFonts w:ascii="宋体"/>
              </w:rPr>
            </w:pPr>
          </w:p>
        </w:tc>
        <w:tc>
          <w:tcPr>
            <w:tcW w:w="0" w:type="auto"/>
            <w:tcBorders>
              <w:top w:val="single" w:sz="8" w:space="0" w:color="000000"/>
            </w:tcBorders>
            <w:shd w:val="clear" w:color="auto" w:fill="auto"/>
            <w:tcMar>
              <w:top w:w="40" w:type="dxa"/>
              <w:left w:w="20" w:type="dxa"/>
              <w:bottom w:w="40" w:type="dxa"/>
              <w:right w:w="20" w:type="dxa"/>
            </w:tcMar>
            <w:vAlign w:val="bottom"/>
          </w:tcPr>
          <w:p w14:paraId="74DE1398" w14:textId="77777777" w:rsidR="00584EC1" w:rsidRDefault="00871F8D">
            <w:pPr>
              <w:jc w:val="center"/>
              <w:textAlignment w:val="bottom"/>
            </w:pPr>
            <w:r>
              <w:rPr>
                <w:rFonts w:ascii="Arial" w:eastAsia="宋体" w:hAnsi="Arial" w:cs="Arial"/>
                <w:b/>
                <w:bCs/>
                <w:color w:val="000000"/>
                <w:sz w:val="13"/>
                <w:szCs w:val="13"/>
              </w:rPr>
              <w:t>2020</w:t>
            </w:r>
          </w:p>
        </w:tc>
      </w:tr>
      <w:tr w:rsidR="00584EC1" w14:paraId="74DE13BF" w14:textId="77777777">
        <w:tc>
          <w:tcPr>
            <w:tcW w:w="0" w:type="auto"/>
            <w:gridSpan w:val="3"/>
            <w:shd w:val="clear" w:color="auto" w:fill="CCEEFF"/>
            <w:tcMar>
              <w:top w:w="40" w:type="dxa"/>
              <w:left w:w="20" w:type="dxa"/>
              <w:bottom w:w="40" w:type="dxa"/>
              <w:right w:w="20" w:type="dxa"/>
            </w:tcMar>
            <w:vAlign w:val="bottom"/>
          </w:tcPr>
          <w:p w14:paraId="74DE139A" w14:textId="77777777" w:rsidR="00584EC1" w:rsidRDefault="00871F8D">
            <w:pPr>
              <w:textAlignment w:val="bottom"/>
            </w:pPr>
            <w:r>
              <w:rPr>
                <w:rFonts w:ascii="Arial" w:eastAsia="宋体" w:hAnsi="Arial" w:cs="Arial"/>
                <w:color w:val="000000"/>
                <w:sz w:val="14"/>
                <w:szCs w:val="14"/>
              </w:rPr>
              <w:t>Servicing fees</w:t>
            </w:r>
          </w:p>
        </w:tc>
        <w:tc>
          <w:tcPr>
            <w:tcW w:w="0" w:type="auto"/>
            <w:tcBorders>
              <w:top w:val="single" w:sz="8" w:space="0" w:color="000000"/>
            </w:tcBorders>
            <w:shd w:val="clear" w:color="auto" w:fill="CCEEFF"/>
            <w:tcMar>
              <w:top w:w="40" w:type="dxa"/>
              <w:left w:w="20" w:type="dxa"/>
              <w:bottom w:w="40" w:type="dxa"/>
              <w:right w:w="0" w:type="dxa"/>
            </w:tcMar>
            <w:vAlign w:val="bottom"/>
          </w:tcPr>
          <w:p w14:paraId="74DE139B"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139C" w14:textId="77777777" w:rsidR="00584EC1" w:rsidRDefault="00871F8D">
            <w:pPr>
              <w:jc w:val="right"/>
              <w:textAlignment w:val="bottom"/>
            </w:pPr>
            <w:r>
              <w:rPr>
                <w:rFonts w:ascii="Arial" w:eastAsia="宋体" w:hAnsi="Arial" w:cs="Arial"/>
                <w:b/>
                <w:bCs/>
                <w:color w:val="000000"/>
                <w:sz w:val="14"/>
                <w:szCs w:val="14"/>
              </w:rPr>
              <w:t>1,395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39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39E"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139F"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13A0" w14:textId="77777777" w:rsidR="00584EC1" w:rsidRDefault="00871F8D">
            <w:pPr>
              <w:jc w:val="right"/>
              <w:textAlignment w:val="bottom"/>
            </w:pPr>
            <w:r>
              <w:rPr>
                <w:rFonts w:ascii="Arial" w:eastAsia="宋体" w:hAnsi="Arial" w:cs="Arial"/>
                <w:color w:val="000000"/>
                <w:sz w:val="14"/>
                <w:szCs w:val="14"/>
              </w:rPr>
              <w:t>1,301 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3A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3A2" w14:textId="77777777" w:rsidR="00584EC1" w:rsidRDefault="00584EC1">
            <w:pPr>
              <w:rPr>
                <w:rFonts w:ascii="宋体"/>
              </w:rPr>
            </w:pPr>
          </w:p>
        </w:tc>
        <w:tc>
          <w:tcPr>
            <w:tcW w:w="0" w:type="auto"/>
            <w:shd w:val="clear" w:color="auto" w:fill="auto"/>
            <w:vAlign w:val="bottom"/>
          </w:tcPr>
          <w:p w14:paraId="74DE13A3" w14:textId="77777777" w:rsidR="00584EC1" w:rsidRDefault="00584EC1">
            <w:pPr>
              <w:rPr>
                <w:rFonts w:ascii="宋体"/>
                <w:vanish/>
              </w:rPr>
            </w:pPr>
          </w:p>
        </w:tc>
        <w:tc>
          <w:tcPr>
            <w:tcW w:w="0" w:type="auto"/>
            <w:shd w:val="clear" w:color="auto" w:fill="auto"/>
            <w:vAlign w:val="bottom"/>
          </w:tcPr>
          <w:p w14:paraId="74DE13A4" w14:textId="77777777" w:rsidR="00584EC1" w:rsidRDefault="00584EC1">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13A5"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13A6"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3A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3A8"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13A9"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13AA" w14:textId="77777777" w:rsidR="00584EC1" w:rsidRDefault="00871F8D">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3A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3AC" w14:textId="77777777" w:rsidR="00584EC1" w:rsidRDefault="00584EC1">
            <w:pPr>
              <w:rPr>
                <w:rFonts w:ascii="宋体"/>
              </w:rPr>
            </w:pPr>
          </w:p>
        </w:tc>
        <w:tc>
          <w:tcPr>
            <w:tcW w:w="0" w:type="auto"/>
            <w:shd w:val="clear" w:color="auto" w:fill="auto"/>
            <w:vAlign w:val="bottom"/>
          </w:tcPr>
          <w:p w14:paraId="74DE13AD" w14:textId="77777777" w:rsidR="00584EC1" w:rsidRDefault="00584EC1">
            <w:pPr>
              <w:rPr>
                <w:rFonts w:ascii="宋体"/>
                <w:vanish/>
              </w:rPr>
            </w:pPr>
          </w:p>
        </w:tc>
        <w:tc>
          <w:tcPr>
            <w:tcW w:w="0" w:type="auto"/>
            <w:shd w:val="clear" w:color="auto" w:fill="auto"/>
            <w:vAlign w:val="bottom"/>
          </w:tcPr>
          <w:p w14:paraId="74DE13AE" w14:textId="77777777" w:rsidR="00584EC1" w:rsidRDefault="00584EC1">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13AF"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13B0"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3B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3B2"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13B3"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13B4" w14:textId="77777777" w:rsidR="00584EC1" w:rsidRDefault="00871F8D">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3B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3B6" w14:textId="77777777" w:rsidR="00584EC1" w:rsidRDefault="00584EC1">
            <w:pPr>
              <w:rPr>
                <w:rFonts w:ascii="宋体"/>
              </w:rPr>
            </w:pPr>
          </w:p>
        </w:tc>
        <w:tc>
          <w:tcPr>
            <w:tcW w:w="0" w:type="auto"/>
            <w:gridSpan w:val="3"/>
            <w:shd w:val="clear" w:color="auto" w:fill="auto"/>
            <w:vAlign w:val="bottom"/>
          </w:tcPr>
          <w:p w14:paraId="74DE13B7" w14:textId="77777777" w:rsidR="00584EC1" w:rsidRDefault="00584EC1">
            <w:pPr>
              <w:rPr>
                <w:rFonts w:ascii="宋体"/>
                <w:vanish/>
              </w:rPr>
            </w:pPr>
          </w:p>
        </w:tc>
        <w:tc>
          <w:tcPr>
            <w:tcW w:w="0" w:type="auto"/>
            <w:gridSpan w:val="3"/>
            <w:shd w:val="clear" w:color="auto" w:fill="auto"/>
            <w:vAlign w:val="bottom"/>
          </w:tcPr>
          <w:p w14:paraId="74DE13B8" w14:textId="77777777" w:rsidR="00584EC1" w:rsidRDefault="00584EC1">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13B9"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13BA" w14:textId="77777777" w:rsidR="00584EC1" w:rsidRDefault="00871F8D">
            <w:pPr>
              <w:jc w:val="right"/>
              <w:textAlignment w:val="bottom"/>
            </w:pPr>
            <w:r>
              <w:rPr>
                <w:rFonts w:ascii="Arial" w:eastAsia="宋体" w:hAnsi="Arial" w:cs="Arial"/>
                <w:b/>
                <w:bCs/>
                <w:color w:val="000000"/>
                <w:sz w:val="14"/>
                <w:szCs w:val="14"/>
              </w:rPr>
              <w:t>1,395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3BB" w14:textId="77777777" w:rsidR="00584EC1" w:rsidRDefault="00584EC1">
            <w:pPr>
              <w:jc w:val="right"/>
              <w:rPr>
                <w:rFonts w:ascii="宋体"/>
              </w:rPr>
            </w:pPr>
          </w:p>
        </w:tc>
        <w:tc>
          <w:tcPr>
            <w:tcW w:w="0" w:type="auto"/>
            <w:gridSpan w:val="2"/>
            <w:shd w:val="clear" w:color="auto" w:fill="CCEEFF"/>
            <w:tcMar>
              <w:top w:w="0" w:type="dxa"/>
              <w:left w:w="20" w:type="dxa"/>
              <w:bottom w:w="0" w:type="dxa"/>
              <w:right w:w="20" w:type="dxa"/>
            </w:tcMar>
            <w:vAlign w:val="bottom"/>
          </w:tcPr>
          <w:p w14:paraId="74DE13BC"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13BD" w14:textId="77777777" w:rsidR="00584EC1" w:rsidRDefault="00871F8D">
            <w:pPr>
              <w:textAlignment w:val="bottom"/>
            </w:pPr>
            <w:r>
              <w:rPr>
                <w:rFonts w:ascii="Arial" w:eastAsia="宋体" w:hAnsi="Arial" w:cs="Arial"/>
                <w:color w:val="000000"/>
                <w:sz w:val="14"/>
                <w:szCs w:val="14"/>
              </w:rPr>
              <w:t>$</w:t>
            </w:r>
          </w:p>
          <w:p w14:paraId="74DE13BE" w14:textId="77777777" w:rsidR="00584EC1" w:rsidRDefault="00871F8D">
            <w:pPr>
              <w:jc w:val="right"/>
              <w:textAlignment w:val="bottom"/>
            </w:pPr>
            <w:r>
              <w:rPr>
                <w:rFonts w:ascii="Arial" w:eastAsia="宋体" w:hAnsi="Arial" w:cs="Arial"/>
                <w:color w:val="000000"/>
                <w:sz w:val="14"/>
                <w:szCs w:val="14"/>
              </w:rPr>
              <w:t>1,301 </w:t>
            </w:r>
          </w:p>
        </w:tc>
      </w:tr>
      <w:tr w:rsidR="00584EC1" w14:paraId="74DE13DD" w14:textId="77777777">
        <w:tc>
          <w:tcPr>
            <w:tcW w:w="0" w:type="auto"/>
            <w:gridSpan w:val="3"/>
            <w:shd w:val="clear" w:color="auto" w:fill="FFFFFF"/>
            <w:tcMar>
              <w:top w:w="40" w:type="dxa"/>
              <w:left w:w="20" w:type="dxa"/>
              <w:bottom w:w="40" w:type="dxa"/>
              <w:right w:w="20" w:type="dxa"/>
            </w:tcMar>
            <w:vAlign w:val="bottom"/>
          </w:tcPr>
          <w:p w14:paraId="74DE13C0" w14:textId="77777777" w:rsidR="00584EC1" w:rsidRDefault="00871F8D">
            <w:pPr>
              <w:textAlignment w:val="bottom"/>
            </w:pPr>
            <w:r>
              <w:rPr>
                <w:rFonts w:ascii="Arial" w:eastAsia="宋体" w:hAnsi="Arial" w:cs="Arial"/>
                <w:color w:val="000000"/>
                <w:sz w:val="14"/>
                <w:szCs w:val="14"/>
              </w:rPr>
              <w:t>Management fees</w:t>
            </w:r>
          </w:p>
        </w:tc>
        <w:tc>
          <w:tcPr>
            <w:tcW w:w="0" w:type="auto"/>
            <w:gridSpan w:val="2"/>
            <w:shd w:val="clear" w:color="auto" w:fill="FFFFFF"/>
            <w:tcMar>
              <w:top w:w="40" w:type="dxa"/>
              <w:left w:w="20" w:type="dxa"/>
              <w:bottom w:w="40" w:type="dxa"/>
              <w:right w:w="0" w:type="dxa"/>
            </w:tcMar>
            <w:vAlign w:val="bottom"/>
          </w:tcPr>
          <w:p w14:paraId="74DE13C1"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E13C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3C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3C4"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E13C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3C6" w14:textId="77777777" w:rsidR="00584EC1" w:rsidRDefault="00584EC1">
            <w:pPr>
              <w:rPr>
                <w:rFonts w:ascii="宋体"/>
              </w:rPr>
            </w:pPr>
          </w:p>
        </w:tc>
        <w:tc>
          <w:tcPr>
            <w:tcW w:w="0" w:type="auto"/>
            <w:shd w:val="clear" w:color="auto" w:fill="auto"/>
            <w:vAlign w:val="bottom"/>
          </w:tcPr>
          <w:p w14:paraId="74DE13C7" w14:textId="77777777" w:rsidR="00584EC1" w:rsidRDefault="00584EC1">
            <w:pPr>
              <w:rPr>
                <w:rFonts w:ascii="宋体"/>
                <w:vanish/>
              </w:rPr>
            </w:pPr>
          </w:p>
        </w:tc>
        <w:tc>
          <w:tcPr>
            <w:tcW w:w="0" w:type="auto"/>
            <w:shd w:val="clear" w:color="auto" w:fill="auto"/>
            <w:vAlign w:val="bottom"/>
          </w:tcPr>
          <w:p w14:paraId="74DE13C8"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E13C9" w14:textId="77777777" w:rsidR="00584EC1" w:rsidRDefault="00871F8D">
            <w:pPr>
              <w:jc w:val="right"/>
              <w:textAlignment w:val="bottom"/>
            </w:pPr>
            <w:r>
              <w:rPr>
                <w:rFonts w:ascii="Arial" w:eastAsia="宋体" w:hAnsi="Arial" w:cs="Arial"/>
                <w:b/>
                <w:bCs/>
                <w:color w:val="000000"/>
                <w:sz w:val="14"/>
                <w:szCs w:val="14"/>
              </w:rPr>
              <w:t>526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E13C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3CB"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3CC" w14:textId="77777777" w:rsidR="00584EC1" w:rsidRDefault="00871F8D">
            <w:pPr>
              <w:jc w:val="right"/>
              <w:textAlignment w:val="bottom"/>
            </w:pPr>
            <w:r>
              <w:rPr>
                <w:rFonts w:ascii="Arial" w:eastAsia="宋体" w:hAnsi="Arial" w:cs="Arial"/>
                <w:color w:val="000000"/>
                <w:sz w:val="14"/>
                <w:szCs w:val="14"/>
              </w:rPr>
              <w:t>479 </w:t>
            </w:r>
          </w:p>
        </w:tc>
        <w:tc>
          <w:tcPr>
            <w:tcW w:w="0" w:type="auto"/>
            <w:shd w:val="clear" w:color="auto" w:fill="FFFFFF"/>
            <w:tcMar>
              <w:top w:w="40" w:type="dxa"/>
              <w:left w:w="0" w:type="dxa"/>
              <w:bottom w:w="40" w:type="dxa"/>
              <w:right w:w="20" w:type="dxa"/>
            </w:tcMar>
            <w:vAlign w:val="bottom"/>
          </w:tcPr>
          <w:p w14:paraId="74DE13C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3CE" w14:textId="77777777" w:rsidR="00584EC1" w:rsidRDefault="00584EC1">
            <w:pPr>
              <w:rPr>
                <w:rFonts w:ascii="宋体"/>
              </w:rPr>
            </w:pPr>
          </w:p>
        </w:tc>
        <w:tc>
          <w:tcPr>
            <w:tcW w:w="0" w:type="auto"/>
            <w:shd w:val="clear" w:color="auto" w:fill="auto"/>
            <w:vAlign w:val="bottom"/>
          </w:tcPr>
          <w:p w14:paraId="74DE13CF" w14:textId="77777777" w:rsidR="00584EC1" w:rsidRDefault="00584EC1">
            <w:pPr>
              <w:rPr>
                <w:rFonts w:ascii="宋体"/>
                <w:vanish/>
              </w:rPr>
            </w:pPr>
          </w:p>
        </w:tc>
        <w:tc>
          <w:tcPr>
            <w:tcW w:w="0" w:type="auto"/>
            <w:shd w:val="clear" w:color="auto" w:fill="auto"/>
            <w:vAlign w:val="bottom"/>
          </w:tcPr>
          <w:p w14:paraId="74DE13D0"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E13D1"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E13D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3D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3D4"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E13D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3D6" w14:textId="77777777" w:rsidR="00584EC1" w:rsidRDefault="00584EC1">
            <w:pPr>
              <w:rPr>
                <w:rFonts w:ascii="宋体"/>
              </w:rPr>
            </w:pPr>
          </w:p>
        </w:tc>
        <w:tc>
          <w:tcPr>
            <w:tcW w:w="0" w:type="auto"/>
            <w:gridSpan w:val="3"/>
            <w:shd w:val="clear" w:color="auto" w:fill="auto"/>
            <w:vAlign w:val="bottom"/>
          </w:tcPr>
          <w:p w14:paraId="74DE13D7" w14:textId="77777777" w:rsidR="00584EC1" w:rsidRDefault="00584EC1">
            <w:pPr>
              <w:rPr>
                <w:rFonts w:ascii="宋体"/>
                <w:vanish/>
              </w:rPr>
            </w:pPr>
          </w:p>
        </w:tc>
        <w:tc>
          <w:tcPr>
            <w:tcW w:w="0" w:type="auto"/>
            <w:gridSpan w:val="3"/>
            <w:shd w:val="clear" w:color="auto" w:fill="auto"/>
            <w:vAlign w:val="bottom"/>
          </w:tcPr>
          <w:p w14:paraId="74DE13D8"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E13D9" w14:textId="77777777" w:rsidR="00584EC1" w:rsidRDefault="00871F8D">
            <w:pPr>
              <w:jc w:val="right"/>
              <w:textAlignment w:val="bottom"/>
            </w:pPr>
            <w:r>
              <w:rPr>
                <w:rFonts w:ascii="Arial" w:eastAsia="宋体" w:hAnsi="Arial" w:cs="Arial"/>
                <w:b/>
                <w:bCs/>
                <w:color w:val="000000"/>
                <w:sz w:val="14"/>
                <w:szCs w:val="14"/>
              </w:rPr>
              <w:t>526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E13DA" w14:textId="77777777" w:rsidR="00584EC1" w:rsidRDefault="00584EC1">
            <w:pPr>
              <w:jc w:val="right"/>
              <w:rPr>
                <w:rFonts w:ascii="宋体"/>
              </w:rPr>
            </w:pPr>
          </w:p>
        </w:tc>
        <w:tc>
          <w:tcPr>
            <w:tcW w:w="0" w:type="auto"/>
            <w:gridSpan w:val="2"/>
            <w:shd w:val="clear" w:color="auto" w:fill="FFFFFF"/>
            <w:tcMar>
              <w:top w:w="0" w:type="dxa"/>
              <w:left w:w="20" w:type="dxa"/>
              <w:bottom w:w="0" w:type="dxa"/>
              <w:right w:w="20" w:type="dxa"/>
            </w:tcMar>
            <w:vAlign w:val="bottom"/>
          </w:tcPr>
          <w:p w14:paraId="74DE13DB" w14:textId="77777777" w:rsidR="00584EC1" w:rsidRDefault="00584EC1">
            <w:pPr>
              <w:rPr>
                <w:rFonts w:ascii="宋体"/>
              </w:rPr>
            </w:pPr>
          </w:p>
        </w:tc>
        <w:tc>
          <w:tcPr>
            <w:tcW w:w="0" w:type="auto"/>
            <w:shd w:val="clear" w:color="auto" w:fill="FFFFFF"/>
            <w:tcMar>
              <w:top w:w="40" w:type="dxa"/>
              <w:left w:w="20" w:type="dxa"/>
              <w:bottom w:w="40" w:type="dxa"/>
              <w:right w:w="0" w:type="dxa"/>
            </w:tcMar>
            <w:vAlign w:val="bottom"/>
          </w:tcPr>
          <w:p w14:paraId="74DE13DC" w14:textId="77777777" w:rsidR="00584EC1" w:rsidRDefault="00871F8D">
            <w:pPr>
              <w:jc w:val="right"/>
              <w:textAlignment w:val="bottom"/>
            </w:pPr>
            <w:r>
              <w:rPr>
                <w:rFonts w:ascii="Arial" w:eastAsia="宋体" w:hAnsi="Arial" w:cs="Arial"/>
                <w:color w:val="000000"/>
                <w:sz w:val="14"/>
                <w:szCs w:val="14"/>
              </w:rPr>
              <w:t>479 </w:t>
            </w:r>
          </w:p>
        </w:tc>
      </w:tr>
      <w:tr w:rsidR="00584EC1" w14:paraId="74DE13FB" w14:textId="77777777">
        <w:tc>
          <w:tcPr>
            <w:tcW w:w="0" w:type="auto"/>
            <w:gridSpan w:val="3"/>
            <w:shd w:val="clear" w:color="auto" w:fill="CCEEFF"/>
            <w:tcMar>
              <w:top w:w="40" w:type="dxa"/>
              <w:left w:w="20" w:type="dxa"/>
              <w:bottom w:w="40" w:type="dxa"/>
              <w:right w:w="20" w:type="dxa"/>
            </w:tcMar>
            <w:vAlign w:val="bottom"/>
          </w:tcPr>
          <w:p w14:paraId="74DE13DE" w14:textId="77777777" w:rsidR="00584EC1" w:rsidRDefault="00871F8D">
            <w:pPr>
              <w:textAlignment w:val="bottom"/>
            </w:pPr>
            <w:r>
              <w:rPr>
                <w:rFonts w:ascii="Arial" w:eastAsia="宋体" w:hAnsi="Arial" w:cs="Arial"/>
                <w:color w:val="000000"/>
                <w:sz w:val="14"/>
                <w:szCs w:val="14"/>
              </w:rPr>
              <w:t>Foreign exchange trading services</w:t>
            </w:r>
          </w:p>
        </w:tc>
        <w:tc>
          <w:tcPr>
            <w:tcW w:w="0" w:type="auto"/>
            <w:gridSpan w:val="2"/>
            <w:shd w:val="clear" w:color="auto" w:fill="CCEEFF"/>
            <w:tcMar>
              <w:top w:w="40" w:type="dxa"/>
              <w:left w:w="20" w:type="dxa"/>
              <w:bottom w:w="40" w:type="dxa"/>
              <w:right w:w="0" w:type="dxa"/>
            </w:tcMar>
            <w:vAlign w:val="bottom"/>
          </w:tcPr>
          <w:p w14:paraId="74DE13DF" w14:textId="77777777" w:rsidR="00584EC1" w:rsidRDefault="00871F8D">
            <w:pPr>
              <w:jc w:val="right"/>
              <w:textAlignment w:val="bottom"/>
            </w:pPr>
            <w:r>
              <w:rPr>
                <w:rFonts w:ascii="Arial" w:eastAsia="宋体" w:hAnsi="Arial" w:cs="Arial"/>
                <w:b/>
                <w:bCs/>
                <w:color w:val="000000"/>
                <w:sz w:val="14"/>
                <w:szCs w:val="14"/>
              </w:rPr>
              <w:t>266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E13E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3E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3E2" w14:textId="77777777" w:rsidR="00584EC1" w:rsidRDefault="00871F8D">
            <w:pPr>
              <w:jc w:val="right"/>
              <w:textAlignment w:val="bottom"/>
            </w:pPr>
            <w:r>
              <w:rPr>
                <w:rFonts w:ascii="Arial" w:eastAsia="宋体" w:hAnsi="Arial" w:cs="Arial"/>
                <w:color w:val="000000"/>
                <w:sz w:val="14"/>
                <w:szCs w:val="14"/>
              </w:rPr>
              <w:t>252 </w:t>
            </w:r>
          </w:p>
        </w:tc>
        <w:tc>
          <w:tcPr>
            <w:tcW w:w="0" w:type="auto"/>
            <w:shd w:val="clear" w:color="auto" w:fill="CCEEFF"/>
            <w:tcMar>
              <w:top w:w="40" w:type="dxa"/>
              <w:left w:w="0" w:type="dxa"/>
              <w:bottom w:w="40" w:type="dxa"/>
              <w:right w:w="20" w:type="dxa"/>
            </w:tcMar>
            <w:vAlign w:val="bottom"/>
          </w:tcPr>
          <w:p w14:paraId="74DE13E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3E4" w14:textId="77777777" w:rsidR="00584EC1" w:rsidRDefault="00584EC1">
            <w:pPr>
              <w:rPr>
                <w:rFonts w:ascii="宋体"/>
              </w:rPr>
            </w:pPr>
          </w:p>
        </w:tc>
        <w:tc>
          <w:tcPr>
            <w:tcW w:w="0" w:type="auto"/>
            <w:shd w:val="clear" w:color="auto" w:fill="auto"/>
            <w:vAlign w:val="bottom"/>
          </w:tcPr>
          <w:p w14:paraId="74DE13E5" w14:textId="77777777" w:rsidR="00584EC1" w:rsidRDefault="00584EC1">
            <w:pPr>
              <w:rPr>
                <w:rFonts w:ascii="宋体"/>
                <w:vanish/>
              </w:rPr>
            </w:pPr>
          </w:p>
        </w:tc>
        <w:tc>
          <w:tcPr>
            <w:tcW w:w="0" w:type="auto"/>
            <w:shd w:val="clear" w:color="auto" w:fill="auto"/>
            <w:vAlign w:val="bottom"/>
          </w:tcPr>
          <w:p w14:paraId="74DE13E6" w14:textId="77777777" w:rsidR="00584EC1" w:rsidRDefault="00584EC1">
            <w:pPr>
              <w:rPr>
                <w:rFonts w:ascii="宋体"/>
                <w:vanish/>
              </w:rPr>
            </w:pPr>
          </w:p>
        </w:tc>
        <w:tc>
          <w:tcPr>
            <w:tcW w:w="0" w:type="auto"/>
            <w:gridSpan w:val="2"/>
            <w:shd w:val="clear" w:color="auto" w:fill="CCEEFF"/>
            <w:tcMar>
              <w:top w:w="40" w:type="dxa"/>
              <w:left w:w="20" w:type="dxa"/>
              <w:bottom w:w="40" w:type="dxa"/>
              <w:right w:w="0" w:type="dxa"/>
            </w:tcMar>
            <w:vAlign w:val="bottom"/>
          </w:tcPr>
          <w:p w14:paraId="74DE13E7" w14:textId="77777777" w:rsidR="00584EC1" w:rsidRDefault="00871F8D">
            <w:pPr>
              <w:jc w:val="right"/>
              <w:textAlignment w:val="bottom"/>
            </w:pPr>
            <w:r>
              <w:rPr>
                <w:rFonts w:ascii="Arial" w:eastAsia="宋体" w:hAnsi="Arial" w:cs="Arial"/>
                <w:b/>
                <w:bCs/>
                <w:color w:val="000000"/>
                <w:sz w:val="14"/>
                <w:szCs w:val="14"/>
              </w:rPr>
              <w:t>13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E13E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3E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3EA" w14:textId="77777777" w:rsidR="00584EC1" w:rsidRDefault="00871F8D">
            <w:pPr>
              <w:jc w:val="right"/>
              <w:textAlignment w:val="bottom"/>
            </w:pPr>
            <w:r>
              <w:rPr>
                <w:rFonts w:ascii="Arial" w:eastAsia="宋体" w:hAnsi="Arial" w:cs="Arial"/>
                <w:color w:val="000000"/>
                <w:sz w:val="14"/>
                <w:szCs w:val="14"/>
              </w:rPr>
              <w:t>18 </w:t>
            </w:r>
          </w:p>
        </w:tc>
        <w:tc>
          <w:tcPr>
            <w:tcW w:w="0" w:type="auto"/>
            <w:shd w:val="clear" w:color="auto" w:fill="CCEEFF"/>
            <w:tcMar>
              <w:top w:w="40" w:type="dxa"/>
              <w:left w:w="0" w:type="dxa"/>
              <w:bottom w:w="40" w:type="dxa"/>
              <w:right w:w="20" w:type="dxa"/>
            </w:tcMar>
            <w:vAlign w:val="bottom"/>
          </w:tcPr>
          <w:p w14:paraId="74DE13E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3EC" w14:textId="77777777" w:rsidR="00584EC1" w:rsidRDefault="00584EC1">
            <w:pPr>
              <w:rPr>
                <w:rFonts w:ascii="宋体"/>
              </w:rPr>
            </w:pPr>
          </w:p>
        </w:tc>
        <w:tc>
          <w:tcPr>
            <w:tcW w:w="0" w:type="auto"/>
            <w:shd w:val="clear" w:color="auto" w:fill="auto"/>
            <w:vAlign w:val="bottom"/>
          </w:tcPr>
          <w:p w14:paraId="74DE13ED" w14:textId="77777777" w:rsidR="00584EC1" w:rsidRDefault="00584EC1">
            <w:pPr>
              <w:rPr>
                <w:rFonts w:ascii="宋体"/>
                <w:vanish/>
              </w:rPr>
            </w:pPr>
          </w:p>
        </w:tc>
        <w:tc>
          <w:tcPr>
            <w:tcW w:w="0" w:type="auto"/>
            <w:shd w:val="clear" w:color="auto" w:fill="auto"/>
            <w:vAlign w:val="bottom"/>
          </w:tcPr>
          <w:p w14:paraId="74DE13EE" w14:textId="77777777" w:rsidR="00584EC1" w:rsidRDefault="00584EC1">
            <w:pPr>
              <w:rPr>
                <w:rFonts w:ascii="宋体"/>
                <w:vanish/>
              </w:rPr>
            </w:pPr>
          </w:p>
        </w:tc>
        <w:tc>
          <w:tcPr>
            <w:tcW w:w="0" w:type="auto"/>
            <w:gridSpan w:val="2"/>
            <w:shd w:val="clear" w:color="auto" w:fill="CCEEFF"/>
            <w:tcMar>
              <w:top w:w="40" w:type="dxa"/>
              <w:left w:w="20" w:type="dxa"/>
              <w:bottom w:w="40" w:type="dxa"/>
              <w:right w:w="0" w:type="dxa"/>
            </w:tcMar>
            <w:vAlign w:val="bottom"/>
          </w:tcPr>
          <w:p w14:paraId="74DE13EF"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E13F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3F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3F2"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E13F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3F4" w14:textId="77777777" w:rsidR="00584EC1" w:rsidRDefault="00584EC1">
            <w:pPr>
              <w:rPr>
                <w:rFonts w:ascii="宋体"/>
              </w:rPr>
            </w:pPr>
          </w:p>
        </w:tc>
        <w:tc>
          <w:tcPr>
            <w:tcW w:w="0" w:type="auto"/>
            <w:gridSpan w:val="3"/>
            <w:shd w:val="clear" w:color="auto" w:fill="auto"/>
            <w:vAlign w:val="bottom"/>
          </w:tcPr>
          <w:p w14:paraId="74DE13F5" w14:textId="77777777" w:rsidR="00584EC1" w:rsidRDefault="00584EC1">
            <w:pPr>
              <w:rPr>
                <w:rFonts w:ascii="宋体"/>
                <w:vanish/>
              </w:rPr>
            </w:pPr>
          </w:p>
        </w:tc>
        <w:tc>
          <w:tcPr>
            <w:tcW w:w="0" w:type="auto"/>
            <w:gridSpan w:val="3"/>
            <w:shd w:val="clear" w:color="auto" w:fill="auto"/>
            <w:vAlign w:val="bottom"/>
          </w:tcPr>
          <w:p w14:paraId="74DE13F6" w14:textId="77777777" w:rsidR="00584EC1" w:rsidRDefault="00584EC1">
            <w:pPr>
              <w:rPr>
                <w:rFonts w:ascii="宋体"/>
                <w:vanish/>
              </w:rPr>
            </w:pPr>
          </w:p>
        </w:tc>
        <w:tc>
          <w:tcPr>
            <w:tcW w:w="0" w:type="auto"/>
            <w:gridSpan w:val="2"/>
            <w:shd w:val="clear" w:color="auto" w:fill="CCEEFF"/>
            <w:tcMar>
              <w:top w:w="40" w:type="dxa"/>
              <w:left w:w="20" w:type="dxa"/>
              <w:bottom w:w="40" w:type="dxa"/>
              <w:right w:w="0" w:type="dxa"/>
            </w:tcMar>
            <w:vAlign w:val="bottom"/>
          </w:tcPr>
          <w:p w14:paraId="74DE13F7" w14:textId="77777777" w:rsidR="00584EC1" w:rsidRDefault="00871F8D">
            <w:pPr>
              <w:jc w:val="right"/>
              <w:textAlignment w:val="bottom"/>
            </w:pPr>
            <w:r>
              <w:rPr>
                <w:rFonts w:ascii="Arial" w:eastAsia="宋体" w:hAnsi="Arial" w:cs="Arial"/>
                <w:b/>
                <w:bCs/>
                <w:color w:val="000000"/>
                <w:sz w:val="14"/>
                <w:szCs w:val="14"/>
              </w:rPr>
              <w:t>279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E13F8" w14:textId="77777777" w:rsidR="00584EC1" w:rsidRDefault="00584EC1">
            <w:pPr>
              <w:jc w:val="right"/>
              <w:rPr>
                <w:rFonts w:ascii="宋体"/>
              </w:rPr>
            </w:pPr>
          </w:p>
        </w:tc>
        <w:tc>
          <w:tcPr>
            <w:tcW w:w="0" w:type="auto"/>
            <w:gridSpan w:val="2"/>
            <w:shd w:val="clear" w:color="auto" w:fill="CCEEFF"/>
            <w:tcMar>
              <w:top w:w="0" w:type="dxa"/>
              <w:left w:w="20" w:type="dxa"/>
              <w:bottom w:w="0" w:type="dxa"/>
              <w:right w:w="20" w:type="dxa"/>
            </w:tcMar>
            <w:vAlign w:val="bottom"/>
          </w:tcPr>
          <w:p w14:paraId="74DE13F9"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E13FA" w14:textId="77777777" w:rsidR="00584EC1" w:rsidRDefault="00871F8D">
            <w:pPr>
              <w:jc w:val="right"/>
              <w:textAlignment w:val="bottom"/>
            </w:pPr>
            <w:r>
              <w:rPr>
                <w:rFonts w:ascii="Arial" w:eastAsia="宋体" w:hAnsi="Arial" w:cs="Arial"/>
                <w:color w:val="000000"/>
                <w:sz w:val="14"/>
                <w:szCs w:val="14"/>
              </w:rPr>
              <w:t>270 </w:t>
            </w:r>
          </w:p>
        </w:tc>
      </w:tr>
      <w:tr w:rsidR="00584EC1" w14:paraId="74DE1419" w14:textId="77777777">
        <w:tc>
          <w:tcPr>
            <w:tcW w:w="0" w:type="auto"/>
            <w:gridSpan w:val="3"/>
            <w:shd w:val="clear" w:color="auto" w:fill="FFFFFF"/>
            <w:tcMar>
              <w:top w:w="40" w:type="dxa"/>
              <w:left w:w="20" w:type="dxa"/>
              <w:bottom w:w="40" w:type="dxa"/>
              <w:right w:w="20" w:type="dxa"/>
            </w:tcMar>
            <w:vAlign w:val="bottom"/>
          </w:tcPr>
          <w:p w14:paraId="74DE13FC" w14:textId="77777777" w:rsidR="00584EC1" w:rsidRDefault="00871F8D">
            <w:pPr>
              <w:textAlignment w:val="bottom"/>
            </w:pPr>
            <w:r>
              <w:rPr>
                <w:rFonts w:ascii="Arial" w:eastAsia="宋体" w:hAnsi="Arial" w:cs="Arial"/>
                <w:color w:val="000000"/>
                <w:sz w:val="14"/>
                <w:szCs w:val="14"/>
              </w:rPr>
              <w:t>Securities finance</w:t>
            </w:r>
          </w:p>
        </w:tc>
        <w:tc>
          <w:tcPr>
            <w:tcW w:w="0" w:type="auto"/>
            <w:gridSpan w:val="2"/>
            <w:shd w:val="clear" w:color="auto" w:fill="FFFFFF"/>
            <w:tcMar>
              <w:top w:w="40" w:type="dxa"/>
              <w:left w:w="20" w:type="dxa"/>
              <w:bottom w:w="40" w:type="dxa"/>
              <w:right w:w="0" w:type="dxa"/>
            </w:tcMar>
            <w:vAlign w:val="bottom"/>
          </w:tcPr>
          <w:p w14:paraId="74DE13FD" w14:textId="77777777" w:rsidR="00584EC1" w:rsidRDefault="00871F8D">
            <w:pPr>
              <w:jc w:val="right"/>
              <w:textAlignment w:val="bottom"/>
            </w:pPr>
            <w:r>
              <w:rPr>
                <w:rFonts w:ascii="Arial" w:eastAsia="宋体" w:hAnsi="Arial" w:cs="Arial"/>
                <w:b/>
                <w:bCs/>
                <w:color w:val="000000"/>
                <w:sz w:val="14"/>
                <w:szCs w:val="14"/>
              </w:rPr>
              <w:t>103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E13F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3F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400" w14:textId="77777777" w:rsidR="00584EC1" w:rsidRDefault="00871F8D">
            <w:pPr>
              <w:jc w:val="right"/>
              <w:textAlignment w:val="bottom"/>
            </w:pPr>
            <w:r>
              <w:rPr>
                <w:rFonts w:ascii="Arial" w:eastAsia="宋体" w:hAnsi="Arial" w:cs="Arial"/>
                <w:color w:val="000000"/>
                <w:sz w:val="14"/>
                <w:szCs w:val="14"/>
              </w:rPr>
              <w:t>81 </w:t>
            </w:r>
          </w:p>
        </w:tc>
        <w:tc>
          <w:tcPr>
            <w:tcW w:w="0" w:type="auto"/>
            <w:shd w:val="clear" w:color="auto" w:fill="FFFFFF"/>
            <w:tcMar>
              <w:top w:w="40" w:type="dxa"/>
              <w:left w:w="0" w:type="dxa"/>
              <w:bottom w:w="40" w:type="dxa"/>
              <w:right w:w="20" w:type="dxa"/>
            </w:tcMar>
            <w:vAlign w:val="bottom"/>
          </w:tcPr>
          <w:p w14:paraId="74DE140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402" w14:textId="77777777" w:rsidR="00584EC1" w:rsidRDefault="00584EC1">
            <w:pPr>
              <w:rPr>
                <w:rFonts w:ascii="宋体"/>
              </w:rPr>
            </w:pPr>
          </w:p>
        </w:tc>
        <w:tc>
          <w:tcPr>
            <w:tcW w:w="0" w:type="auto"/>
            <w:shd w:val="clear" w:color="auto" w:fill="auto"/>
            <w:vAlign w:val="bottom"/>
          </w:tcPr>
          <w:p w14:paraId="74DE1403" w14:textId="77777777" w:rsidR="00584EC1" w:rsidRDefault="00584EC1">
            <w:pPr>
              <w:rPr>
                <w:rFonts w:ascii="宋体"/>
                <w:vanish/>
              </w:rPr>
            </w:pPr>
          </w:p>
        </w:tc>
        <w:tc>
          <w:tcPr>
            <w:tcW w:w="0" w:type="auto"/>
            <w:shd w:val="clear" w:color="auto" w:fill="auto"/>
            <w:vAlign w:val="bottom"/>
          </w:tcPr>
          <w:p w14:paraId="74DE1404"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E1405" w14:textId="77777777" w:rsidR="00584EC1" w:rsidRDefault="00871F8D">
            <w:pPr>
              <w:jc w:val="right"/>
              <w:textAlignment w:val="bottom"/>
            </w:pPr>
            <w:r>
              <w:rPr>
                <w:rFonts w:ascii="Arial" w:eastAsia="宋体" w:hAnsi="Arial" w:cs="Arial"/>
                <w:b/>
                <w:bCs/>
                <w:color w:val="000000"/>
                <w:sz w:val="14"/>
                <w:szCs w:val="14"/>
              </w:rPr>
              <w:t>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E140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40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408" w14:textId="77777777" w:rsidR="00584EC1" w:rsidRDefault="00871F8D">
            <w:pPr>
              <w:jc w:val="right"/>
              <w:textAlignment w:val="bottom"/>
            </w:pPr>
            <w:r>
              <w:rPr>
                <w:rFonts w:ascii="Arial" w:eastAsia="宋体" w:hAnsi="Arial" w:cs="Arial"/>
                <w:color w:val="000000"/>
                <w:sz w:val="14"/>
                <w:szCs w:val="14"/>
              </w:rPr>
              <w:t>3 </w:t>
            </w:r>
          </w:p>
        </w:tc>
        <w:tc>
          <w:tcPr>
            <w:tcW w:w="0" w:type="auto"/>
            <w:shd w:val="clear" w:color="auto" w:fill="FFFFFF"/>
            <w:tcMar>
              <w:top w:w="40" w:type="dxa"/>
              <w:left w:w="0" w:type="dxa"/>
              <w:bottom w:w="40" w:type="dxa"/>
              <w:right w:w="20" w:type="dxa"/>
            </w:tcMar>
            <w:vAlign w:val="bottom"/>
          </w:tcPr>
          <w:p w14:paraId="74DE140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40A" w14:textId="77777777" w:rsidR="00584EC1" w:rsidRDefault="00584EC1">
            <w:pPr>
              <w:rPr>
                <w:rFonts w:ascii="宋体"/>
              </w:rPr>
            </w:pPr>
          </w:p>
        </w:tc>
        <w:tc>
          <w:tcPr>
            <w:tcW w:w="0" w:type="auto"/>
            <w:shd w:val="clear" w:color="auto" w:fill="auto"/>
            <w:vAlign w:val="bottom"/>
          </w:tcPr>
          <w:p w14:paraId="74DE140B" w14:textId="77777777" w:rsidR="00584EC1" w:rsidRDefault="00584EC1">
            <w:pPr>
              <w:rPr>
                <w:rFonts w:ascii="宋体"/>
                <w:vanish/>
              </w:rPr>
            </w:pPr>
          </w:p>
        </w:tc>
        <w:tc>
          <w:tcPr>
            <w:tcW w:w="0" w:type="auto"/>
            <w:shd w:val="clear" w:color="auto" w:fill="auto"/>
            <w:vAlign w:val="bottom"/>
          </w:tcPr>
          <w:p w14:paraId="74DE140C"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E140D"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E140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40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410"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E141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412" w14:textId="77777777" w:rsidR="00584EC1" w:rsidRDefault="00584EC1">
            <w:pPr>
              <w:rPr>
                <w:rFonts w:ascii="宋体"/>
              </w:rPr>
            </w:pPr>
          </w:p>
        </w:tc>
        <w:tc>
          <w:tcPr>
            <w:tcW w:w="0" w:type="auto"/>
            <w:gridSpan w:val="3"/>
            <w:shd w:val="clear" w:color="auto" w:fill="auto"/>
            <w:vAlign w:val="bottom"/>
          </w:tcPr>
          <w:p w14:paraId="74DE1413" w14:textId="77777777" w:rsidR="00584EC1" w:rsidRDefault="00584EC1">
            <w:pPr>
              <w:rPr>
                <w:rFonts w:ascii="宋体"/>
                <w:vanish/>
              </w:rPr>
            </w:pPr>
          </w:p>
        </w:tc>
        <w:tc>
          <w:tcPr>
            <w:tcW w:w="0" w:type="auto"/>
            <w:gridSpan w:val="3"/>
            <w:shd w:val="clear" w:color="auto" w:fill="auto"/>
            <w:vAlign w:val="bottom"/>
          </w:tcPr>
          <w:p w14:paraId="74DE1414"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E1415" w14:textId="77777777" w:rsidR="00584EC1" w:rsidRDefault="00871F8D">
            <w:pPr>
              <w:jc w:val="right"/>
              <w:textAlignment w:val="bottom"/>
            </w:pPr>
            <w:r>
              <w:rPr>
                <w:rFonts w:ascii="Arial" w:eastAsia="宋体" w:hAnsi="Arial" w:cs="Arial"/>
                <w:b/>
                <w:bCs/>
                <w:color w:val="000000"/>
                <w:sz w:val="14"/>
                <w:szCs w:val="14"/>
              </w:rPr>
              <w:t>106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E1416" w14:textId="77777777" w:rsidR="00584EC1" w:rsidRDefault="00584EC1">
            <w:pPr>
              <w:jc w:val="right"/>
              <w:rPr>
                <w:rFonts w:ascii="宋体"/>
              </w:rPr>
            </w:pPr>
          </w:p>
        </w:tc>
        <w:tc>
          <w:tcPr>
            <w:tcW w:w="0" w:type="auto"/>
            <w:gridSpan w:val="2"/>
            <w:shd w:val="clear" w:color="auto" w:fill="FFFFFF"/>
            <w:tcMar>
              <w:top w:w="0" w:type="dxa"/>
              <w:left w:w="20" w:type="dxa"/>
              <w:bottom w:w="0" w:type="dxa"/>
              <w:right w:w="20" w:type="dxa"/>
            </w:tcMar>
            <w:vAlign w:val="bottom"/>
          </w:tcPr>
          <w:p w14:paraId="74DE1417" w14:textId="77777777" w:rsidR="00584EC1" w:rsidRDefault="00584EC1">
            <w:pPr>
              <w:rPr>
                <w:rFonts w:ascii="宋体"/>
              </w:rPr>
            </w:pPr>
          </w:p>
        </w:tc>
        <w:tc>
          <w:tcPr>
            <w:tcW w:w="0" w:type="auto"/>
            <w:shd w:val="clear" w:color="auto" w:fill="FFFFFF"/>
            <w:tcMar>
              <w:top w:w="40" w:type="dxa"/>
              <w:left w:w="20" w:type="dxa"/>
              <w:bottom w:w="40" w:type="dxa"/>
              <w:right w:w="0" w:type="dxa"/>
            </w:tcMar>
            <w:vAlign w:val="bottom"/>
          </w:tcPr>
          <w:p w14:paraId="74DE1418" w14:textId="77777777" w:rsidR="00584EC1" w:rsidRDefault="00871F8D">
            <w:pPr>
              <w:jc w:val="right"/>
              <w:textAlignment w:val="bottom"/>
            </w:pPr>
            <w:r>
              <w:rPr>
                <w:rFonts w:ascii="Arial" w:eastAsia="宋体" w:hAnsi="Arial" w:cs="Arial"/>
                <w:color w:val="000000"/>
                <w:sz w:val="14"/>
                <w:szCs w:val="14"/>
              </w:rPr>
              <w:t>84 </w:t>
            </w:r>
          </w:p>
        </w:tc>
      </w:tr>
      <w:tr w:rsidR="00584EC1" w14:paraId="74DE1437" w14:textId="77777777">
        <w:tc>
          <w:tcPr>
            <w:tcW w:w="0" w:type="auto"/>
            <w:gridSpan w:val="3"/>
            <w:shd w:val="clear" w:color="auto" w:fill="CCEEFF"/>
            <w:tcMar>
              <w:top w:w="40" w:type="dxa"/>
              <w:left w:w="20" w:type="dxa"/>
              <w:bottom w:w="40" w:type="dxa"/>
              <w:right w:w="20" w:type="dxa"/>
            </w:tcMar>
            <w:vAlign w:val="bottom"/>
          </w:tcPr>
          <w:p w14:paraId="74DE141A" w14:textId="77777777" w:rsidR="00584EC1" w:rsidRDefault="00871F8D">
            <w:pPr>
              <w:textAlignment w:val="bottom"/>
            </w:pPr>
            <w:r>
              <w:rPr>
                <w:rFonts w:ascii="Arial" w:eastAsia="宋体" w:hAnsi="Arial" w:cs="Arial"/>
                <w:color w:val="000000"/>
                <w:sz w:val="14"/>
                <w:szCs w:val="14"/>
              </w:rPr>
              <w:t>Software and processing fees</w:t>
            </w:r>
            <w:r>
              <w:rPr>
                <w:rFonts w:ascii="Arial" w:eastAsia="宋体" w:hAnsi="Arial" w:cs="Arial"/>
                <w:color w:val="000000"/>
                <w:sz w:val="9"/>
                <w:szCs w:val="9"/>
              </w:rPr>
              <w:t xml:space="preserve"> (1)</w:t>
            </w:r>
          </w:p>
        </w:tc>
        <w:tc>
          <w:tcPr>
            <w:tcW w:w="0" w:type="auto"/>
            <w:gridSpan w:val="2"/>
            <w:shd w:val="clear" w:color="auto" w:fill="CCEEFF"/>
            <w:tcMar>
              <w:top w:w="40" w:type="dxa"/>
              <w:left w:w="20" w:type="dxa"/>
              <w:bottom w:w="40" w:type="dxa"/>
              <w:right w:w="0" w:type="dxa"/>
            </w:tcMar>
            <w:vAlign w:val="bottom"/>
          </w:tcPr>
          <w:p w14:paraId="74DE141B" w14:textId="77777777" w:rsidR="00584EC1" w:rsidRDefault="00871F8D">
            <w:pPr>
              <w:jc w:val="right"/>
              <w:textAlignment w:val="bottom"/>
            </w:pPr>
            <w:r>
              <w:rPr>
                <w:rFonts w:ascii="Arial" w:eastAsia="宋体" w:hAnsi="Arial" w:cs="Arial"/>
                <w:b/>
                <w:bCs/>
                <w:color w:val="000000"/>
                <w:sz w:val="14"/>
                <w:szCs w:val="14"/>
              </w:rPr>
              <w:t>204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E141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41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41E" w14:textId="77777777" w:rsidR="00584EC1" w:rsidRDefault="00871F8D">
            <w:pPr>
              <w:jc w:val="right"/>
              <w:textAlignment w:val="bottom"/>
            </w:pPr>
            <w:r>
              <w:rPr>
                <w:rFonts w:ascii="Arial" w:eastAsia="宋体" w:hAnsi="Arial" w:cs="Arial"/>
                <w:color w:val="000000"/>
                <w:sz w:val="14"/>
                <w:szCs w:val="14"/>
              </w:rPr>
              <w:t>162 </w:t>
            </w:r>
          </w:p>
        </w:tc>
        <w:tc>
          <w:tcPr>
            <w:tcW w:w="0" w:type="auto"/>
            <w:shd w:val="clear" w:color="auto" w:fill="CCEEFF"/>
            <w:tcMar>
              <w:top w:w="40" w:type="dxa"/>
              <w:left w:w="0" w:type="dxa"/>
              <w:bottom w:w="40" w:type="dxa"/>
              <w:right w:w="20" w:type="dxa"/>
            </w:tcMar>
            <w:vAlign w:val="bottom"/>
          </w:tcPr>
          <w:p w14:paraId="74DE141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420" w14:textId="77777777" w:rsidR="00584EC1" w:rsidRDefault="00584EC1">
            <w:pPr>
              <w:rPr>
                <w:rFonts w:ascii="宋体"/>
              </w:rPr>
            </w:pPr>
          </w:p>
        </w:tc>
        <w:tc>
          <w:tcPr>
            <w:tcW w:w="0" w:type="auto"/>
            <w:shd w:val="clear" w:color="auto" w:fill="auto"/>
            <w:vAlign w:val="bottom"/>
          </w:tcPr>
          <w:p w14:paraId="74DE1421" w14:textId="77777777" w:rsidR="00584EC1" w:rsidRDefault="00584EC1">
            <w:pPr>
              <w:rPr>
                <w:rFonts w:ascii="宋体"/>
                <w:vanish/>
              </w:rPr>
            </w:pPr>
          </w:p>
        </w:tc>
        <w:tc>
          <w:tcPr>
            <w:tcW w:w="0" w:type="auto"/>
            <w:shd w:val="clear" w:color="auto" w:fill="auto"/>
            <w:vAlign w:val="bottom"/>
          </w:tcPr>
          <w:p w14:paraId="74DE1422" w14:textId="77777777" w:rsidR="00584EC1" w:rsidRDefault="00584EC1">
            <w:pPr>
              <w:rPr>
                <w:rFonts w:ascii="宋体"/>
                <w:vanish/>
              </w:rPr>
            </w:pPr>
          </w:p>
        </w:tc>
        <w:tc>
          <w:tcPr>
            <w:tcW w:w="0" w:type="auto"/>
            <w:gridSpan w:val="2"/>
            <w:shd w:val="clear" w:color="auto" w:fill="CCEEFF"/>
            <w:tcMar>
              <w:top w:w="40" w:type="dxa"/>
              <w:left w:w="20" w:type="dxa"/>
              <w:bottom w:w="40" w:type="dxa"/>
              <w:right w:w="0" w:type="dxa"/>
            </w:tcMar>
            <w:vAlign w:val="bottom"/>
          </w:tcPr>
          <w:p w14:paraId="74DE1423" w14:textId="77777777" w:rsidR="00584EC1" w:rsidRDefault="00871F8D">
            <w:pPr>
              <w:jc w:val="right"/>
              <w:textAlignment w:val="bottom"/>
            </w:pPr>
            <w:r>
              <w:rPr>
                <w:rFonts w:ascii="Arial" w:eastAsia="宋体" w:hAnsi="Arial" w:cs="Arial"/>
                <w:b/>
                <w:bCs/>
                <w:color w:val="000000"/>
                <w:sz w:val="14"/>
                <w:szCs w:val="14"/>
              </w:rPr>
              <w:t>(6)</w:t>
            </w:r>
          </w:p>
        </w:tc>
        <w:tc>
          <w:tcPr>
            <w:tcW w:w="0" w:type="auto"/>
            <w:shd w:val="clear" w:color="auto" w:fill="CCEEFF"/>
            <w:tcMar>
              <w:top w:w="40" w:type="dxa"/>
              <w:left w:w="0" w:type="dxa"/>
              <w:bottom w:w="40" w:type="dxa"/>
              <w:right w:w="20" w:type="dxa"/>
            </w:tcMar>
            <w:vAlign w:val="bottom"/>
          </w:tcPr>
          <w:p w14:paraId="74DE142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42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426" w14:textId="77777777" w:rsidR="00584EC1" w:rsidRDefault="00871F8D">
            <w:pPr>
              <w:jc w:val="right"/>
              <w:textAlignment w:val="bottom"/>
            </w:pPr>
            <w:r>
              <w:rPr>
                <w:rFonts w:ascii="Arial" w:eastAsia="宋体" w:hAnsi="Arial" w:cs="Arial"/>
                <w:color w:val="000000"/>
                <w:sz w:val="14"/>
                <w:szCs w:val="14"/>
              </w:rPr>
              <w:t>10 </w:t>
            </w:r>
          </w:p>
        </w:tc>
        <w:tc>
          <w:tcPr>
            <w:tcW w:w="0" w:type="auto"/>
            <w:shd w:val="clear" w:color="auto" w:fill="CCEEFF"/>
            <w:tcMar>
              <w:top w:w="40" w:type="dxa"/>
              <w:left w:w="0" w:type="dxa"/>
              <w:bottom w:w="40" w:type="dxa"/>
              <w:right w:w="20" w:type="dxa"/>
            </w:tcMar>
            <w:vAlign w:val="bottom"/>
          </w:tcPr>
          <w:p w14:paraId="74DE142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428" w14:textId="77777777" w:rsidR="00584EC1" w:rsidRDefault="00584EC1">
            <w:pPr>
              <w:rPr>
                <w:rFonts w:ascii="宋体"/>
              </w:rPr>
            </w:pPr>
          </w:p>
        </w:tc>
        <w:tc>
          <w:tcPr>
            <w:tcW w:w="0" w:type="auto"/>
            <w:shd w:val="clear" w:color="auto" w:fill="auto"/>
            <w:vAlign w:val="bottom"/>
          </w:tcPr>
          <w:p w14:paraId="74DE1429" w14:textId="77777777" w:rsidR="00584EC1" w:rsidRDefault="00584EC1">
            <w:pPr>
              <w:rPr>
                <w:rFonts w:ascii="宋体"/>
                <w:vanish/>
              </w:rPr>
            </w:pPr>
          </w:p>
        </w:tc>
        <w:tc>
          <w:tcPr>
            <w:tcW w:w="0" w:type="auto"/>
            <w:shd w:val="clear" w:color="auto" w:fill="auto"/>
            <w:vAlign w:val="bottom"/>
          </w:tcPr>
          <w:p w14:paraId="74DE142A" w14:textId="77777777" w:rsidR="00584EC1" w:rsidRDefault="00584EC1">
            <w:pPr>
              <w:rPr>
                <w:rFonts w:ascii="宋体"/>
                <w:vanish/>
              </w:rPr>
            </w:pPr>
          </w:p>
        </w:tc>
        <w:tc>
          <w:tcPr>
            <w:tcW w:w="0" w:type="auto"/>
            <w:gridSpan w:val="2"/>
            <w:shd w:val="clear" w:color="auto" w:fill="CCEEFF"/>
            <w:tcMar>
              <w:top w:w="40" w:type="dxa"/>
              <w:left w:w="20" w:type="dxa"/>
              <w:bottom w:w="40" w:type="dxa"/>
              <w:right w:w="0" w:type="dxa"/>
            </w:tcMar>
            <w:vAlign w:val="bottom"/>
          </w:tcPr>
          <w:p w14:paraId="74DE142B"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E142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42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42E"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E142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430" w14:textId="77777777" w:rsidR="00584EC1" w:rsidRDefault="00584EC1">
            <w:pPr>
              <w:rPr>
                <w:rFonts w:ascii="宋体"/>
              </w:rPr>
            </w:pPr>
          </w:p>
        </w:tc>
        <w:tc>
          <w:tcPr>
            <w:tcW w:w="0" w:type="auto"/>
            <w:gridSpan w:val="3"/>
            <w:shd w:val="clear" w:color="auto" w:fill="auto"/>
            <w:vAlign w:val="bottom"/>
          </w:tcPr>
          <w:p w14:paraId="74DE1431" w14:textId="77777777" w:rsidR="00584EC1" w:rsidRDefault="00584EC1">
            <w:pPr>
              <w:rPr>
                <w:rFonts w:ascii="宋体"/>
                <w:vanish/>
              </w:rPr>
            </w:pPr>
          </w:p>
        </w:tc>
        <w:tc>
          <w:tcPr>
            <w:tcW w:w="0" w:type="auto"/>
            <w:gridSpan w:val="3"/>
            <w:shd w:val="clear" w:color="auto" w:fill="auto"/>
            <w:vAlign w:val="bottom"/>
          </w:tcPr>
          <w:p w14:paraId="74DE1432" w14:textId="77777777" w:rsidR="00584EC1" w:rsidRDefault="00584EC1">
            <w:pPr>
              <w:rPr>
                <w:rFonts w:ascii="宋体"/>
                <w:vanish/>
              </w:rPr>
            </w:pPr>
          </w:p>
        </w:tc>
        <w:tc>
          <w:tcPr>
            <w:tcW w:w="0" w:type="auto"/>
            <w:gridSpan w:val="2"/>
            <w:shd w:val="clear" w:color="auto" w:fill="CCEEFF"/>
            <w:tcMar>
              <w:top w:w="40" w:type="dxa"/>
              <w:left w:w="20" w:type="dxa"/>
              <w:bottom w:w="40" w:type="dxa"/>
              <w:right w:w="0" w:type="dxa"/>
            </w:tcMar>
            <w:vAlign w:val="bottom"/>
          </w:tcPr>
          <w:p w14:paraId="74DE1433" w14:textId="77777777" w:rsidR="00584EC1" w:rsidRDefault="00871F8D">
            <w:pPr>
              <w:jc w:val="right"/>
              <w:textAlignment w:val="bottom"/>
            </w:pPr>
            <w:r>
              <w:rPr>
                <w:rFonts w:ascii="Arial" w:eastAsia="宋体" w:hAnsi="Arial" w:cs="Arial"/>
                <w:b/>
                <w:bCs/>
                <w:color w:val="000000"/>
                <w:sz w:val="14"/>
                <w:szCs w:val="14"/>
              </w:rPr>
              <w:t>198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E1434" w14:textId="77777777" w:rsidR="00584EC1" w:rsidRDefault="00584EC1">
            <w:pPr>
              <w:jc w:val="right"/>
              <w:rPr>
                <w:rFonts w:ascii="宋体"/>
              </w:rPr>
            </w:pPr>
          </w:p>
        </w:tc>
        <w:tc>
          <w:tcPr>
            <w:tcW w:w="0" w:type="auto"/>
            <w:gridSpan w:val="2"/>
            <w:shd w:val="clear" w:color="auto" w:fill="CCEEFF"/>
            <w:tcMar>
              <w:top w:w="0" w:type="dxa"/>
              <w:left w:w="20" w:type="dxa"/>
              <w:bottom w:w="0" w:type="dxa"/>
              <w:right w:w="20" w:type="dxa"/>
            </w:tcMar>
            <w:vAlign w:val="bottom"/>
          </w:tcPr>
          <w:p w14:paraId="74DE1435"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E1436" w14:textId="77777777" w:rsidR="00584EC1" w:rsidRDefault="00871F8D">
            <w:pPr>
              <w:jc w:val="right"/>
              <w:textAlignment w:val="bottom"/>
            </w:pPr>
            <w:r>
              <w:rPr>
                <w:rFonts w:ascii="Arial" w:eastAsia="宋体" w:hAnsi="Arial" w:cs="Arial"/>
                <w:color w:val="000000"/>
                <w:sz w:val="14"/>
                <w:szCs w:val="14"/>
              </w:rPr>
              <w:t>172 </w:t>
            </w:r>
          </w:p>
        </w:tc>
      </w:tr>
      <w:tr w:rsidR="00584EC1" w14:paraId="74DE1455" w14:textId="77777777">
        <w:tc>
          <w:tcPr>
            <w:tcW w:w="0" w:type="auto"/>
            <w:gridSpan w:val="3"/>
            <w:shd w:val="clear" w:color="auto" w:fill="FFFFFF"/>
            <w:tcMar>
              <w:top w:w="40" w:type="dxa"/>
              <w:left w:w="20" w:type="dxa"/>
              <w:bottom w:w="40" w:type="dxa"/>
              <w:right w:w="20" w:type="dxa"/>
            </w:tcMar>
            <w:vAlign w:val="bottom"/>
          </w:tcPr>
          <w:p w14:paraId="74DE1438" w14:textId="77777777" w:rsidR="00584EC1" w:rsidRDefault="00871F8D">
            <w:pPr>
              <w:textAlignment w:val="bottom"/>
            </w:pPr>
            <w:r>
              <w:rPr>
                <w:rFonts w:ascii="Arial" w:eastAsia="宋体" w:hAnsi="Arial" w:cs="Arial"/>
                <w:color w:val="000000"/>
                <w:sz w:val="14"/>
                <w:szCs w:val="14"/>
              </w:rPr>
              <w:t>Total fee 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1439" w14:textId="77777777" w:rsidR="00584EC1" w:rsidRDefault="00871F8D">
            <w:pPr>
              <w:jc w:val="right"/>
              <w:textAlignment w:val="bottom"/>
            </w:pPr>
            <w:r>
              <w:rPr>
                <w:rFonts w:ascii="Arial" w:eastAsia="宋体" w:hAnsi="Arial" w:cs="Arial"/>
                <w:b/>
                <w:bCs/>
                <w:color w:val="000000"/>
                <w:sz w:val="14"/>
                <w:szCs w:val="14"/>
              </w:rPr>
              <w:t>1,968</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143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43B"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143C" w14:textId="77777777" w:rsidR="00584EC1" w:rsidRDefault="00871F8D">
            <w:pPr>
              <w:jc w:val="right"/>
              <w:textAlignment w:val="bottom"/>
            </w:pPr>
            <w:r>
              <w:rPr>
                <w:rFonts w:ascii="Arial" w:eastAsia="宋体" w:hAnsi="Arial" w:cs="Arial"/>
                <w:color w:val="000000"/>
                <w:sz w:val="14"/>
                <w:szCs w:val="14"/>
              </w:rPr>
              <w:t>1,796 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143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43E" w14:textId="77777777" w:rsidR="00584EC1" w:rsidRDefault="00584EC1">
            <w:pPr>
              <w:rPr>
                <w:rFonts w:ascii="宋体"/>
              </w:rPr>
            </w:pPr>
          </w:p>
        </w:tc>
        <w:tc>
          <w:tcPr>
            <w:tcW w:w="0" w:type="auto"/>
            <w:shd w:val="clear" w:color="auto" w:fill="auto"/>
            <w:vAlign w:val="bottom"/>
          </w:tcPr>
          <w:p w14:paraId="74DE143F" w14:textId="77777777" w:rsidR="00584EC1" w:rsidRDefault="00584EC1">
            <w:pPr>
              <w:rPr>
                <w:rFonts w:ascii="宋体"/>
                <w:vanish/>
              </w:rPr>
            </w:pPr>
          </w:p>
        </w:tc>
        <w:tc>
          <w:tcPr>
            <w:tcW w:w="0" w:type="auto"/>
            <w:shd w:val="clear" w:color="auto" w:fill="auto"/>
            <w:vAlign w:val="bottom"/>
          </w:tcPr>
          <w:p w14:paraId="74DE1440" w14:textId="77777777" w:rsidR="00584EC1" w:rsidRDefault="00584EC1">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1441" w14:textId="77777777" w:rsidR="00584EC1" w:rsidRDefault="00871F8D">
            <w:pPr>
              <w:jc w:val="right"/>
              <w:textAlignment w:val="bottom"/>
            </w:pPr>
            <w:r>
              <w:rPr>
                <w:rFonts w:ascii="Arial" w:eastAsia="宋体" w:hAnsi="Arial" w:cs="Arial"/>
                <w:b/>
                <w:bCs/>
                <w:color w:val="000000"/>
                <w:sz w:val="14"/>
                <w:szCs w:val="14"/>
              </w:rPr>
              <w:t>536</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144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443"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1444" w14:textId="77777777" w:rsidR="00584EC1" w:rsidRDefault="00871F8D">
            <w:pPr>
              <w:jc w:val="right"/>
              <w:textAlignment w:val="bottom"/>
            </w:pPr>
            <w:r>
              <w:rPr>
                <w:rFonts w:ascii="Arial" w:eastAsia="宋体" w:hAnsi="Arial" w:cs="Arial"/>
                <w:color w:val="000000"/>
                <w:sz w:val="14"/>
                <w:szCs w:val="14"/>
              </w:rPr>
              <w:t>510 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144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446" w14:textId="77777777" w:rsidR="00584EC1" w:rsidRDefault="00584EC1">
            <w:pPr>
              <w:rPr>
                <w:rFonts w:ascii="宋体"/>
              </w:rPr>
            </w:pPr>
          </w:p>
        </w:tc>
        <w:tc>
          <w:tcPr>
            <w:tcW w:w="0" w:type="auto"/>
            <w:shd w:val="clear" w:color="auto" w:fill="auto"/>
            <w:vAlign w:val="bottom"/>
          </w:tcPr>
          <w:p w14:paraId="74DE1447" w14:textId="77777777" w:rsidR="00584EC1" w:rsidRDefault="00584EC1">
            <w:pPr>
              <w:rPr>
                <w:rFonts w:ascii="宋体"/>
                <w:vanish/>
              </w:rPr>
            </w:pPr>
          </w:p>
        </w:tc>
        <w:tc>
          <w:tcPr>
            <w:tcW w:w="0" w:type="auto"/>
            <w:shd w:val="clear" w:color="auto" w:fill="auto"/>
            <w:vAlign w:val="bottom"/>
          </w:tcPr>
          <w:p w14:paraId="74DE1448" w14:textId="77777777" w:rsidR="00584EC1" w:rsidRDefault="00584EC1">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1449"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144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44B"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144C" w14:textId="77777777" w:rsidR="00584EC1" w:rsidRDefault="00871F8D">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144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44E" w14:textId="77777777" w:rsidR="00584EC1" w:rsidRDefault="00584EC1">
            <w:pPr>
              <w:rPr>
                <w:rFonts w:ascii="宋体"/>
              </w:rPr>
            </w:pPr>
          </w:p>
        </w:tc>
        <w:tc>
          <w:tcPr>
            <w:tcW w:w="0" w:type="auto"/>
            <w:gridSpan w:val="3"/>
            <w:shd w:val="clear" w:color="auto" w:fill="auto"/>
            <w:vAlign w:val="bottom"/>
          </w:tcPr>
          <w:p w14:paraId="74DE144F" w14:textId="77777777" w:rsidR="00584EC1" w:rsidRDefault="00584EC1">
            <w:pPr>
              <w:rPr>
                <w:rFonts w:ascii="宋体"/>
                <w:vanish/>
              </w:rPr>
            </w:pPr>
          </w:p>
        </w:tc>
        <w:tc>
          <w:tcPr>
            <w:tcW w:w="0" w:type="auto"/>
            <w:gridSpan w:val="3"/>
            <w:shd w:val="clear" w:color="auto" w:fill="auto"/>
            <w:vAlign w:val="bottom"/>
          </w:tcPr>
          <w:p w14:paraId="74DE1450" w14:textId="77777777" w:rsidR="00584EC1" w:rsidRDefault="00584EC1">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1451" w14:textId="77777777" w:rsidR="00584EC1" w:rsidRDefault="00871F8D">
            <w:pPr>
              <w:jc w:val="right"/>
              <w:textAlignment w:val="bottom"/>
            </w:pPr>
            <w:r>
              <w:rPr>
                <w:rFonts w:ascii="Arial" w:eastAsia="宋体" w:hAnsi="Arial" w:cs="Arial"/>
                <w:b/>
                <w:bCs/>
                <w:color w:val="000000"/>
                <w:sz w:val="14"/>
                <w:szCs w:val="14"/>
              </w:rPr>
              <w:t>2,504</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1452" w14:textId="77777777" w:rsidR="00584EC1" w:rsidRDefault="00584EC1">
            <w:pPr>
              <w:jc w:val="right"/>
              <w:rPr>
                <w:rFonts w:ascii="宋体"/>
              </w:rPr>
            </w:pPr>
          </w:p>
        </w:tc>
        <w:tc>
          <w:tcPr>
            <w:tcW w:w="0" w:type="auto"/>
            <w:gridSpan w:val="2"/>
            <w:shd w:val="clear" w:color="auto" w:fill="FFFFFF"/>
            <w:tcMar>
              <w:top w:w="0" w:type="dxa"/>
              <w:left w:w="20" w:type="dxa"/>
              <w:bottom w:w="0" w:type="dxa"/>
              <w:right w:w="20" w:type="dxa"/>
            </w:tcMar>
            <w:vAlign w:val="bottom"/>
          </w:tcPr>
          <w:p w14:paraId="74DE1453"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E1454" w14:textId="77777777" w:rsidR="00584EC1" w:rsidRDefault="00871F8D">
            <w:pPr>
              <w:jc w:val="right"/>
              <w:textAlignment w:val="bottom"/>
            </w:pPr>
            <w:r>
              <w:rPr>
                <w:rFonts w:ascii="Arial" w:eastAsia="宋体" w:hAnsi="Arial" w:cs="Arial"/>
                <w:color w:val="000000"/>
                <w:sz w:val="14"/>
                <w:szCs w:val="14"/>
              </w:rPr>
              <w:t>2,306 </w:t>
            </w:r>
          </w:p>
        </w:tc>
      </w:tr>
      <w:tr w:rsidR="00584EC1" w14:paraId="74DE1473" w14:textId="77777777">
        <w:tc>
          <w:tcPr>
            <w:tcW w:w="0" w:type="auto"/>
            <w:gridSpan w:val="3"/>
            <w:shd w:val="clear" w:color="auto" w:fill="CCEEFF"/>
            <w:tcMar>
              <w:top w:w="40" w:type="dxa"/>
              <w:left w:w="20" w:type="dxa"/>
              <w:bottom w:w="40" w:type="dxa"/>
              <w:right w:w="20" w:type="dxa"/>
            </w:tcMar>
            <w:vAlign w:val="bottom"/>
          </w:tcPr>
          <w:p w14:paraId="74DE1456" w14:textId="77777777" w:rsidR="00584EC1" w:rsidRDefault="00871F8D">
            <w:pPr>
              <w:textAlignment w:val="bottom"/>
            </w:pPr>
            <w:r>
              <w:rPr>
                <w:rFonts w:ascii="Arial" w:eastAsia="宋体" w:hAnsi="Arial" w:cs="Arial"/>
                <w:color w:val="000000"/>
                <w:sz w:val="14"/>
                <w:szCs w:val="14"/>
              </w:rPr>
              <w:t>Net interest income</w:t>
            </w:r>
          </w:p>
        </w:tc>
        <w:tc>
          <w:tcPr>
            <w:tcW w:w="0" w:type="auto"/>
            <w:gridSpan w:val="2"/>
            <w:shd w:val="clear" w:color="auto" w:fill="CCEEFF"/>
            <w:tcMar>
              <w:top w:w="40" w:type="dxa"/>
              <w:left w:w="20" w:type="dxa"/>
              <w:bottom w:w="40" w:type="dxa"/>
              <w:right w:w="0" w:type="dxa"/>
            </w:tcMar>
            <w:vAlign w:val="bottom"/>
          </w:tcPr>
          <w:p w14:paraId="74DE1457" w14:textId="77777777" w:rsidR="00584EC1" w:rsidRDefault="00871F8D">
            <w:pPr>
              <w:jc w:val="right"/>
              <w:textAlignment w:val="bottom"/>
            </w:pPr>
            <w:r>
              <w:rPr>
                <w:rFonts w:ascii="Arial" w:eastAsia="宋体" w:hAnsi="Arial" w:cs="Arial"/>
                <w:b/>
                <w:bCs/>
                <w:color w:val="000000"/>
                <w:sz w:val="14"/>
                <w:szCs w:val="14"/>
              </w:rPr>
              <w:t>491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E145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45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45A" w14:textId="77777777" w:rsidR="00584EC1" w:rsidRDefault="00871F8D">
            <w:pPr>
              <w:jc w:val="right"/>
              <w:textAlignment w:val="bottom"/>
            </w:pPr>
            <w:r>
              <w:rPr>
                <w:rFonts w:ascii="Arial" w:eastAsia="宋体" w:hAnsi="Arial" w:cs="Arial"/>
                <w:color w:val="000000"/>
                <w:sz w:val="14"/>
                <w:szCs w:val="14"/>
              </w:rPr>
              <w:t>482 </w:t>
            </w:r>
          </w:p>
        </w:tc>
        <w:tc>
          <w:tcPr>
            <w:tcW w:w="0" w:type="auto"/>
            <w:shd w:val="clear" w:color="auto" w:fill="CCEEFF"/>
            <w:tcMar>
              <w:top w:w="40" w:type="dxa"/>
              <w:left w:w="0" w:type="dxa"/>
              <w:bottom w:w="40" w:type="dxa"/>
              <w:right w:w="20" w:type="dxa"/>
            </w:tcMar>
            <w:vAlign w:val="bottom"/>
          </w:tcPr>
          <w:p w14:paraId="74DE145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45C" w14:textId="77777777" w:rsidR="00584EC1" w:rsidRDefault="00584EC1">
            <w:pPr>
              <w:rPr>
                <w:rFonts w:ascii="宋体"/>
              </w:rPr>
            </w:pPr>
          </w:p>
        </w:tc>
        <w:tc>
          <w:tcPr>
            <w:tcW w:w="0" w:type="auto"/>
            <w:shd w:val="clear" w:color="auto" w:fill="auto"/>
            <w:vAlign w:val="bottom"/>
          </w:tcPr>
          <w:p w14:paraId="74DE145D" w14:textId="77777777" w:rsidR="00584EC1" w:rsidRDefault="00584EC1">
            <w:pPr>
              <w:rPr>
                <w:rFonts w:ascii="宋体"/>
                <w:vanish/>
              </w:rPr>
            </w:pPr>
          </w:p>
        </w:tc>
        <w:tc>
          <w:tcPr>
            <w:tcW w:w="0" w:type="auto"/>
            <w:shd w:val="clear" w:color="auto" w:fill="auto"/>
            <w:vAlign w:val="bottom"/>
          </w:tcPr>
          <w:p w14:paraId="74DE145E" w14:textId="77777777" w:rsidR="00584EC1" w:rsidRDefault="00584EC1">
            <w:pPr>
              <w:rPr>
                <w:rFonts w:ascii="宋体"/>
                <w:vanish/>
              </w:rPr>
            </w:pPr>
          </w:p>
        </w:tc>
        <w:tc>
          <w:tcPr>
            <w:tcW w:w="0" w:type="auto"/>
            <w:gridSpan w:val="2"/>
            <w:shd w:val="clear" w:color="auto" w:fill="CCEEFF"/>
            <w:tcMar>
              <w:top w:w="40" w:type="dxa"/>
              <w:left w:w="20" w:type="dxa"/>
              <w:bottom w:w="40" w:type="dxa"/>
              <w:right w:w="0" w:type="dxa"/>
            </w:tcMar>
            <w:vAlign w:val="bottom"/>
          </w:tcPr>
          <w:p w14:paraId="74DE145F" w14:textId="77777777" w:rsidR="00584EC1" w:rsidRDefault="00871F8D">
            <w:pPr>
              <w:jc w:val="right"/>
              <w:textAlignment w:val="bottom"/>
            </w:pPr>
            <w:r>
              <w:rPr>
                <w:rFonts w:ascii="Arial" w:eastAsia="宋体" w:hAnsi="Arial" w:cs="Arial"/>
                <w:b/>
                <w:bCs/>
                <w:color w:val="000000"/>
                <w:sz w:val="14"/>
                <w:szCs w:val="14"/>
              </w:rPr>
              <w:t>(4)</w:t>
            </w:r>
          </w:p>
        </w:tc>
        <w:tc>
          <w:tcPr>
            <w:tcW w:w="0" w:type="auto"/>
            <w:shd w:val="clear" w:color="auto" w:fill="CCEEFF"/>
            <w:tcMar>
              <w:top w:w="40" w:type="dxa"/>
              <w:left w:w="0" w:type="dxa"/>
              <w:bottom w:w="40" w:type="dxa"/>
              <w:right w:w="20" w:type="dxa"/>
            </w:tcMar>
            <w:vAlign w:val="bottom"/>
          </w:tcPr>
          <w:p w14:paraId="74DE146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46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462" w14:textId="77777777" w:rsidR="00584EC1" w:rsidRDefault="00871F8D">
            <w:pPr>
              <w:jc w:val="right"/>
              <w:textAlignment w:val="bottom"/>
            </w:pPr>
            <w:r>
              <w:rPr>
                <w:rFonts w:ascii="Arial" w:eastAsia="宋体" w:hAnsi="Arial" w:cs="Arial"/>
                <w:color w:val="000000"/>
                <w:sz w:val="14"/>
                <w:szCs w:val="14"/>
              </w:rPr>
              <w:t>(4)</w:t>
            </w:r>
          </w:p>
        </w:tc>
        <w:tc>
          <w:tcPr>
            <w:tcW w:w="0" w:type="auto"/>
            <w:shd w:val="clear" w:color="auto" w:fill="CCEEFF"/>
            <w:tcMar>
              <w:top w:w="40" w:type="dxa"/>
              <w:left w:w="0" w:type="dxa"/>
              <w:bottom w:w="40" w:type="dxa"/>
              <w:right w:w="20" w:type="dxa"/>
            </w:tcMar>
            <w:vAlign w:val="bottom"/>
          </w:tcPr>
          <w:p w14:paraId="74DE146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464" w14:textId="77777777" w:rsidR="00584EC1" w:rsidRDefault="00584EC1">
            <w:pPr>
              <w:rPr>
                <w:rFonts w:ascii="宋体"/>
              </w:rPr>
            </w:pPr>
          </w:p>
        </w:tc>
        <w:tc>
          <w:tcPr>
            <w:tcW w:w="0" w:type="auto"/>
            <w:shd w:val="clear" w:color="auto" w:fill="auto"/>
            <w:vAlign w:val="bottom"/>
          </w:tcPr>
          <w:p w14:paraId="74DE1465" w14:textId="77777777" w:rsidR="00584EC1" w:rsidRDefault="00584EC1">
            <w:pPr>
              <w:rPr>
                <w:rFonts w:ascii="宋体"/>
                <w:vanish/>
              </w:rPr>
            </w:pPr>
          </w:p>
        </w:tc>
        <w:tc>
          <w:tcPr>
            <w:tcW w:w="0" w:type="auto"/>
            <w:shd w:val="clear" w:color="auto" w:fill="auto"/>
            <w:vAlign w:val="bottom"/>
          </w:tcPr>
          <w:p w14:paraId="74DE1466" w14:textId="77777777" w:rsidR="00584EC1" w:rsidRDefault="00584EC1">
            <w:pPr>
              <w:rPr>
                <w:rFonts w:ascii="宋体"/>
                <w:vanish/>
              </w:rPr>
            </w:pPr>
          </w:p>
        </w:tc>
        <w:tc>
          <w:tcPr>
            <w:tcW w:w="0" w:type="auto"/>
            <w:gridSpan w:val="2"/>
            <w:shd w:val="clear" w:color="auto" w:fill="CCEEFF"/>
            <w:tcMar>
              <w:top w:w="40" w:type="dxa"/>
              <w:left w:w="20" w:type="dxa"/>
              <w:bottom w:w="40" w:type="dxa"/>
              <w:right w:w="0" w:type="dxa"/>
            </w:tcMar>
            <w:vAlign w:val="bottom"/>
          </w:tcPr>
          <w:p w14:paraId="74DE1467"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E146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46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46A"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E146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46C" w14:textId="77777777" w:rsidR="00584EC1" w:rsidRDefault="00584EC1">
            <w:pPr>
              <w:rPr>
                <w:rFonts w:ascii="宋体"/>
              </w:rPr>
            </w:pPr>
          </w:p>
        </w:tc>
        <w:tc>
          <w:tcPr>
            <w:tcW w:w="0" w:type="auto"/>
            <w:gridSpan w:val="3"/>
            <w:shd w:val="clear" w:color="auto" w:fill="auto"/>
            <w:vAlign w:val="bottom"/>
          </w:tcPr>
          <w:p w14:paraId="74DE146D" w14:textId="77777777" w:rsidR="00584EC1" w:rsidRDefault="00584EC1">
            <w:pPr>
              <w:rPr>
                <w:rFonts w:ascii="宋体"/>
                <w:vanish/>
              </w:rPr>
            </w:pPr>
          </w:p>
        </w:tc>
        <w:tc>
          <w:tcPr>
            <w:tcW w:w="0" w:type="auto"/>
            <w:gridSpan w:val="3"/>
            <w:shd w:val="clear" w:color="auto" w:fill="auto"/>
            <w:vAlign w:val="bottom"/>
          </w:tcPr>
          <w:p w14:paraId="74DE146E" w14:textId="77777777" w:rsidR="00584EC1" w:rsidRDefault="00584EC1">
            <w:pPr>
              <w:rPr>
                <w:rFonts w:ascii="宋体"/>
                <w:vanish/>
              </w:rPr>
            </w:pPr>
          </w:p>
        </w:tc>
        <w:tc>
          <w:tcPr>
            <w:tcW w:w="0" w:type="auto"/>
            <w:gridSpan w:val="2"/>
            <w:shd w:val="clear" w:color="auto" w:fill="CCEEFF"/>
            <w:tcMar>
              <w:top w:w="40" w:type="dxa"/>
              <w:left w:w="20" w:type="dxa"/>
              <w:bottom w:w="40" w:type="dxa"/>
              <w:right w:w="0" w:type="dxa"/>
            </w:tcMar>
            <w:vAlign w:val="bottom"/>
          </w:tcPr>
          <w:p w14:paraId="74DE146F" w14:textId="77777777" w:rsidR="00584EC1" w:rsidRDefault="00871F8D">
            <w:pPr>
              <w:jc w:val="right"/>
              <w:textAlignment w:val="bottom"/>
            </w:pPr>
            <w:r>
              <w:rPr>
                <w:rFonts w:ascii="Arial" w:eastAsia="宋体" w:hAnsi="Arial" w:cs="Arial"/>
                <w:b/>
                <w:bCs/>
                <w:color w:val="000000"/>
                <w:sz w:val="14"/>
                <w:szCs w:val="14"/>
              </w:rPr>
              <w:t>487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E1470" w14:textId="77777777" w:rsidR="00584EC1" w:rsidRDefault="00584EC1">
            <w:pPr>
              <w:jc w:val="right"/>
              <w:rPr>
                <w:rFonts w:ascii="宋体"/>
              </w:rPr>
            </w:pPr>
          </w:p>
        </w:tc>
        <w:tc>
          <w:tcPr>
            <w:tcW w:w="0" w:type="auto"/>
            <w:gridSpan w:val="2"/>
            <w:shd w:val="clear" w:color="auto" w:fill="CCEEFF"/>
            <w:tcMar>
              <w:top w:w="0" w:type="dxa"/>
              <w:left w:w="20" w:type="dxa"/>
              <w:bottom w:w="0" w:type="dxa"/>
              <w:right w:w="20" w:type="dxa"/>
            </w:tcMar>
            <w:vAlign w:val="bottom"/>
          </w:tcPr>
          <w:p w14:paraId="74DE1471"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E1472" w14:textId="77777777" w:rsidR="00584EC1" w:rsidRDefault="00871F8D">
            <w:pPr>
              <w:jc w:val="right"/>
              <w:textAlignment w:val="bottom"/>
            </w:pPr>
            <w:r>
              <w:rPr>
                <w:rFonts w:ascii="Arial" w:eastAsia="宋体" w:hAnsi="Arial" w:cs="Arial"/>
                <w:color w:val="000000"/>
                <w:sz w:val="14"/>
                <w:szCs w:val="14"/>
              </w:rPr>
              <w:t>478 </w:t>
            </w:r>
          </w:p>
        </w:tc>
      </w:tr>
      <w:tr w:rsidR="00584EC1" w14:paraId="74DE1491" w14:textId="77777777">
        <w:tc>
          <w:tcPr>
            <w:tcW w:w="0" w:type="auto"/>
            <w:gridSpan w:val="3"/>
            <w:shd w:val="clear" w:color="auto" w:fill="FFFFFF"/>
            <w:tcMar>
              <w:top w:w="40" w:type="dxa"/>
              <w:left w:w="20" w:type="dxa"/>
              <w:bottom w:w="40" w:type="dxa"/>
              <w:right w:w="20" w:type="dxa"/>
            </w:tcMar>
            <w:vAlign w:val="bottom"/>
          </w:tcPr>
          <w:p w14:paraId="74DE1474" w14:textId="77777777" w:rsidR="00584EC1" w:rsidRDefault="00871F8D">
            <w:pPr>
              <w:textAlignment w:val="bottom"/>
            </w:pPr>
            <w:r>
              <w:rPr>
                <w:rFonts w:ascii="Arial" w:eastAsia="宋体" w:hAnsi="Arial" w:cs="Arial"/>
                <w:color w:val="000000"/>
                <w:sz w:val="14"/>
                <w:szCs w:val="14"/>
              </w:rPr>
              <w:t>Total other income</w:t>
            </w:r>
          </w:p>
        </w:tc>
        <w:tc>
          <w:tcPr>
            <w:tcW w:w="0" w:type="auto"/>
            <w:gridSpan w:val="2"/>
            <w:shd w:val="clear" w:color="auto" w:fill="FFFFFF"/>
            <w:tcMar>
              <w:top w:w="40" w:type="dxa"/>
              <w:left w:w="20" w:type="dxa"/>
              <w:bottom w:w="40" w:type="dxa"/>
              <w:right w:w="0" w:type="dxa"/>
            </w:tcMar>
            <w:vAlign w:val="bottom"/>
          </w:tcPr>
          <w:p w14:paraId="74DE1475" w14:textId="77777777" w:rsidR="00584EC1" w:rsidRDefault="00871F8D">
            <w:pPr>
              <w:jc w:val="right"/>
              <w:textAlignment w:val="bottom"/>
            </w:pPr>
            <w:r>
              <w:rPr>
                <w:rFonts w:ascii="Arial" w:eastAsia="宋体" w:hAnsi="Arial" w:cs="Arial"/>
                <w:b/>
                <w:bCs/>
                <w:color w:val="000000"/>
                <w:sz w:val="14"/>
                <w:szCs w:val="14"/>
              </w:rPr>
              <w:t>(1)</w:t>
            </w:r>
          </w:p>
        </w:tc>
        <w:tc>
          <w:tcPr>
            <w:tcW w:w="0" w:type="auto"/>
            <w:shd w:val="clear" w:color="auto" w:fill="FFFFFF"/>
            <w:tcMar>
              <w:top w:w="40" w:type="dxa"/>
              <w:left w:w="0" w:type="dxa"/>
              <w:bottom w:w="40" w:type="dxa"/>
              <w:right w:w="20" w:type="dxa"/>
            </w:tcMar>
            <w:vAlign w:val="bottom"/>
          </w:tcPr>
          <w:p w14:paraId="74DE147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47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478"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E147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47A" w14:textId="77777777" w:rsidR="00584EC1" w:rsidRDefault="00584EC1">
            <w:pPr>
              <w:rPr>
                <w:rFonts w:ascii="宋体"/>
              </w:rPr>
            </w:pPr>
          </w:p>
        </w:tc>
        <w:tc>
          <w:tcPr>
            <w:tcW w:w="0" w:type="auto"/>
            <w:shd w:val="clear" w:color="auto" w:fill="auto"/>
            <w:vAlign w:val="bottom"/>
          </w:tcPr>
          <w:p w14:paraId="74DE147B" w14:textId="77777777" w:rsidR="00584EC1" w:rsidRDefault="00584EC1">
            <w:pPr>
              <w:rPr>
                <w:rFonts w:ascii="宋体"/>
                <w:vanish/>
              </w:rPr>
            </w:pPr>
          </w:p>
        </w:tc>
        <w:tc>
          <w:tcPr>
            <w:tcW w:w="0" w:type="auto"/>
            <w:shd w:val="clear" w:color="auto" w:fill="auto"/>
            <w:vAlign w:val="bottom"/>
          </w:tcPr>
          <w:p w14:paraId="74DE147C"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E147D"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E147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47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480"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E148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482" w14:textId="77777777" w:rsidR="00584EC1" w:rsidRDefault="00584EC1">
            <w:pPr>
              <w:rPr>
                <w:rFonts w:ascii="宋体"/>
              </w:rPr>
            </w:pPr>
          </w:p>
        </w:tc>
        <w:tc>
          <w:tcPr>
            <w:tcW w:w="0" w:type="auto"/>
            <w:shd w:val="clear" w:color="auto" w:fill="auto"/>
            <w:vAlign w:val="bottom"/>
          </w:tcPr>
          <w:p w14:paraId="74DE1483" w14:textId="77777777" w:rsidR="00584EC1" w:rsidRDefault="00584EC1">
            <w:pPr>
              <w:rPr>
                <w:rFonts w:ascii="宋体"/>
                <w:vanish/>
              </w:rPr>
            </w:pPr>
          </w:p>
        </w:tc>
        <w:tc>
          <w:tcPr>
            <w:tcW w:w="0" w:type="auto"/>
            <w:shd w:val="clear" w:color="auto" w:fill="auto"/>
            <w:vAlign w:val="bottom"/>
          </w:tcPr>
          <w:p w14:paraId="74DE1484"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E1485"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E148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48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488"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E148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48A" w14:textId="77777777" w:rsidR="00584EC1" w:rsidRDefault="00584EC1">
            <w:pPr>
              <w:rPr>
                <w:rFonts w:ascii="宋体"/>
              </w:rPr>
            </w:pPr>
          </w:p>
        </w:tc>
        <w:tc>
          <w:tcPr>
            <w:tcW w:w="0" w:type="auto"/>
            <w:gridSpan w:val="3"/>
            <w:shd w:val="clear" w:color="auto" w:fill="auto"/>
            <w:vAlign w:val="bottom"/>
          </w:tcPr>
          <w:p w14:paraId="74DE148B" w14:textId="77777777" w:rsidR="00584EC1" w:rsidRDefault="00584EC1">
            <w:pPr>
              <w:rPr>
                <w:rFonts w:ascii="宋体"/>
                <w:vanish/>
              </w:rPr>
            </w:pPr>
          </w:p>
        </w:tc>
        <w:tc>
          <w:tcPr>
            <w:tcW w:w="0" w:type="auto"/>
            <w:gridSpan w:val="3"/>
            <w:shd w:val="clear" w:color="auto" w:fill="auto"/>
            <w:vAlign w:val="bottom"/>
          </w:tcPr>
          <w:p w14:paraId="74DE148C"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E148D" w14:textId="77777777" w:rsidR="00584EC1" w:rsidRDefault="00871F8D">
            <w:pPr>
              <w:jc w:val="right"/>
              <w:textAlignment w:val="bottom"/>
            </w:pPr>
            <w:r>
              <w:rPr>
                <w:rFonts w:ascii="Arial" w:eastAsia="宋体" w:hAnsi="Arial" w:cs="Arial"/>
                <w:b/>
                <w:bCs/>
                <w:color w:val="000000"/>
                <w:sz w:val="14"/>
                <w:szCs w:val="14"/>
              </w:rPr>
              <w:t>(1)</w:t>
            </w:r>
          </w:p>
        </w:tc>
        <w:tc>
          <w:tcPr>
            <w:tcW w:w="0" w:type="auto"/>
            <w:shd w:val="clear" w:color="auto" w:fill="FFFFFF"/>
            <w:tcMar>
              <w:top w:w="40" w:type="dxa"/>
              <w:left w:w="0" w:type="dxa"/>
              <w:bottom w:w="40" w:type="dxa"/>
              <w:right w:w="20" w:type="dxa"/>
            </w:tcMar>
            <w:vAlign w:val="bottom"/>
          </w:tcPr>
          <w:p w14:paraId="74DE148E" w14:textId="77777777" w:rsidR="00584EC1" w:rsidRDefault="00584EC1">
            <w:pPr>
              <w:jc w:val="right"/>
              <w:rPr>
                <w:rFonts w:ascii="宋体"/>
              </w:rPr>
            </w:pPr>
          </w:p>
        </w:tc>
        <w:tc>
          <w:tcPr>
            <w:tcW w:w="0" w:type="auto"/>
            <w:gridSpan w:val="2"/>
            <w:shd w:val="clear" w:color="auto" w:fill="FFFFFF"/>
            <w:tcMar>
              <w:top w:w="0" w:type="dxa"/>
              <w:left w:w="20" w:type="dxa"/>
              <w:bottom w:w="0" w:type="dxa"/>
              <w:right w:w="20" w:type="dxa"/>
            </w:tcMar>
            <w:vAlign w:val="bottom"/>
          </w:tcPr>
          <w:p w14:paraId="74DE148F" w14:textId="77777777" w:rsidR="00584EC1" w:rsidRDefault="00584EC1">
            <w:pPr>
              <w:rPr>
                <w:rFonts w:ascii="宋体"/>
              </w:rPr>
            </w:pPr>
          </w:p>
        </w:tc>
        <w:tc>
          <w:tcPr>
            <w:tcW w:w="0" w:type="auto"/>
            <w:shd w:val="clear" w:color="auto" w:fill="FFFFFF"/>
            <w:tcMar>
              <w:top w:w="40" w:type="dxa"/>
              <w:left w:w="20" w:type="dxa"/>
              <w:bottom w:w="40" w:type="dxa"/>
              <w:right w:w="0" w:type="dxa"/>
            </w:tcMar>
            <w:vAlign w:val="bottom"/>
          </w:tcPr>
          <w:p w14:paraId="74DE1490" w14:textId="77777777" w:rsidR="00584EC1" w:rsidRDefault="00871F8D">
            <w:pPr>
              <w:jc w:val="right"/>
              <w:textAlignment w:val="bottom"/>
            </w:pPr>
            <w:r>
              <w:rPr>
                <w:rFonts w:ascii="Arial" w:eastAsia="宋体" w:hAnsi="Arial" w:cs="Arial"/>
                <w:color w:val="000000"/>
                <w:sz w:val="14"/>
                <w:szCs w:val="14"/>
              </w:rPr>
              <w:t>— </w:t>
            </w:r>
          </w:p>
        </w:tc>
      </w:tr>
      <w:tr w:rsidR="00584EC1" w14:paraId="74DE14AF" w14:textId="77777777">
        <w:tc>
          <w:tcPr>
            <w:tcW w:w="0" w:type="auto"/>
            <w:gridSpan w:val="3"/>
            <w:shd w:val="clear" w:color="auto" w:fill="CCEEFF"/>
            <w:tcMar>
              <w:top w:w="40" w:type="dxa"/>
              <w:left w:w="20" w:type="dxa"/>
              <w:bottom w:w="40" w:type="dxa"/>
              <w:right w:w="20" w:type="dxa"/>
            </w:tcMar>
            <w:vAlign w:val="bottom"/>
          </w:tcPr>
          <w:p w14:paraId="74DE1492" w14:textId="77777777" w:rsidR="00584EC1" w:rsidRDefault="00871F8D">
            <w:pPr>
              <w:textAlignment w:val="bottom"/>
            </w:pPr>
            <w:r>
              <w:rPr>
                <w:rFonts w:ascii="Arial" w:eastAsia="宋体" w:hAnsi="Arial" w:cs="Arial"/>
                <w:b/>
                <w:bCs/>
                <w:color w:val="000000"/>
                <w:sz w:val="14"/>
                <w:szCs w:val="14"/>
              </w:rPr>
              <w:t>Total revenue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E1493" w14:textId="77777777" w:rsidR="00584EC1" w:rsidRDefault="00871F8D">
            <w:pPr>
              <w:jc w:val="right"/>
              <w:textAlignment w:val="bottom"/>
            </w:pPr>
            <w:r>
              <w:rPr>
                <w:rFonts w:ascii="Arial" w:eastAsia="宋体" w:hAnsi="Arial" w:cs="Arial"/>
                <w:b/>
                <w:bCs/>
                <w:color w:val="000000"/>
                <w:sz w:val="14"/>
                <w:szCs w:val="14"/>
              </w:rPr>
              <w:t>2,458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49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495"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E1496" w14:textId="77777777" w:rsidR="00584EC1" w:rsidRDefault="00871F8D">
            <w:pPr>
              <w:jc w:val="right"/>
              <w:textAlignment w:val="bottom"/>
            </w:pPr>
            <w:r>
              <w:rPr>
                <w:rFonts w:ascii="Arial" w:eastAsia="宋体" w:hAnsi="Arial" w:cs="Arial"/>
                <w:color w:val="000000"/>
                <w:sz w:val="14"/>
                <w:szCs w:val="14"/>
              </w:rPr>
              <w:t>2,278 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49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498" w14:textId="77777777" w:rsidR="00584EC1" w:rsidRDefault="00584EC1">
            <w:pPr>
              <w:rPr>
                <w:rFonts w:ascii="宋体"/>
              </w:rPr>
            </w:pPr>
          </w:p>
        </w:tc>
        <w:tc>
          <w:tcPr>
            <w:tcW w:w="0" w:type="auto"/>
            <w:shd w:val="clear" w:color="auto" w:fill="auto"/>
            <w:vAlign w:val="bottom"/>
          </w:tcPr>
          <w:p w14:paraId="74DE1499" w14:textId="77777777" w:rsidR="00584EC1" w:rsidRDefault="00584EC1">
            <w:pPr>
              <w:rPr>
                <w:rFonts w:ascii="宋体"/>
                <w:vanish/>
              </w:rPr>
            </w:pPr>
          </w:p>
        </w:tc>
        <w:tc>
          <w:tcPr>
            <w:tcW w:w="0" w:type="auto"/>
            <w:shd w:val="clear" w:color="auto" w:fill="auto"/>
            <w:vAlign w:val="bottom"/>
          </w:tcPr>
          <w:p w14:paraId="74DE149A" w14:textId="77777777" w:rsidR="00584EC1" w:rsidRDefault="00584EC1">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E149B" w14:textId="77777777" w:rsidR="00584EC1" w:rsidRDefault="00871F8D">
            <w:pPr>
              <w:jc w:val="right"/>
              <w:textAlignment w:val="bottom"/>
            </w:pPr>
            <w:r>
              <w:rPr>
                <w:rFonts w:ascii="Arial" w:eastAsia="宋体" w:hAnsi="Arial" w:cs="Arial"/>
                <w:b/>
                <w:bCs/>
                <w:color w:val="000000"/>
                <w:sz w:val="14"/>
                <w:szCs w:val="14"/>
              </w:rPr>
              <w:t>532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49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49D"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E149E" w14:textId="77777777" w:rsidR="00584EC1" w:rsidRDefault="00871F8D">
            <w:pPr>
              <w:jc w:val="right"/>
              <w:textAlignment w:val="bottom"/>
            </w:pPr>
            <w:r>
              <w:rPr>
                <w:rFonts w:ascii="Arial" w:eastAsia="宋体" w:hAnsi="Arial" w:cs="Arial"/>
                <w:color w:val="000000"/>
                <w:sz w:val="14"/>
                <w:szCs w:val="14"/>
              </w:rPr>
              <w:t>506 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49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4A0" w14:textId="77777777" w:rsidR="00584EC1" w:rsidRDefault="00584EC1">
            <w:pPr>
              <w:rPr>
                <w:rFonts w:ascii="宋体"/>
              </w:rPr>
            </w:pPr>
          </w:p>
        </w:tc>
        <w:tc>
          <w:tcPr>
            <w:tcW w:w="0" w:type="auto"/>
            <w:shd w:val="clear" w:color="auto" w:fill="auto"/>
            <w:vAlign w:val="bottom"/>
          </w:tcPr>
          <w:p w14:paraId="74DE14A1" w14:textId="77777777" w:rsidR="00584EC1" w:rsidRDefault="00584EC1">
            <w:pPr>
              <w:rPr>
                <w:rFonts w:ascii="宋体"/>
                <w:vanish/>
              </w:rPr>
            </w:pPr>
          </w:p>
        </w:tc>
        <w:tc>
          <w:tcPr>
            <w:tcW w:w="0" w:type="auto"/>
            <w:shd w:val="clear" w:color="auto" w:fill="auto"/>
            <w:vAlign w:val="bottom"/>
          </w:tcPr>
          <w:p w14:paraId="74DE14A2" w14:textId="77777777" w:rsidR="00584EC1" w:rsidRDefault="00584EC1">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E14A3"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4A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4A5"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E14A6" w14:textId="77777777" w:rsidR="00584EC1" w:rsidRDefault="00871F8D">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4A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4A8" w14:textId="77777777" w:rsidR="00584EC1" w:rsidRDefault="00584EC1">
            <w:pPr>
              <w:rPr>
                <w:rFonts w:ascii="宋体"/>
              </w:rPr>
            </w:pPr>
          </w:p>
        </w:tc>
        <w:tc>
          <w:tcPr>
            <w:tcW w:w="0" w:type="auto"/>
            <w:gridSpan w:val="3"/>
            <w:shd w:val="clear" w:color="auto" w:fill="auto"/>
            <w:vAlign w:val="bottom"/>
          </w:tcPr>
          <w:p w14:paraId="74DE14A9" w14:textId="77777777" w:rsidR="00584EC1" w:rsidRDefault="00584EC1">
            <w:pPr>
              <w:rPr>
                <w:rFonts w:ascii="宋体"/>
                <w:vanish/>
              </w:rPr>
            </w:pPr>
          </w:p>
        </w:tc>
        <w:tc>
          <w:tcPr>
            <w:tcW w:w="0" w:type="auto"/>
            <w:gridSpan w:val="3"/>
            <w:shd w:val="clear" w:color="auto" w:fill="auto"/>
            <w:vAlign w:val="bottom"/>
          </w:tcPr>
          <w:p w14:paraId="74DE14AA" w14:textId="77777777" w:rsidR="00584EC1" w:rsidRDefault="00584EC1">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E14AB" w14:textId="77777777" w:rsidR="00584EC1" w:rsidRDefault="00871F8D">
            <w:pPr>
              <w:jc w:val="right"/>
              <w:textAlignment w:val="bottom"/>
            </w:pPr>
            <w:r>
              <w:rPr>
                <w:rFonts w:ascii="Arial" w:eastAsia="宋体" w:hAnsi="Arial" w:cs="Arial"/>
                <w:b/>
                <w:bCs/>
                <w:color w:val="000000"/>
                <w:sz w:val="14"/>
                <w:szCs w:val="14"/>
              </w:rPr>
              <w:t>2,990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4AC" w14:textId="77777777" w:rsidR="00584EC1" w:rsidRDefault="00584EC1">
            <w:pPr>
              <w:jc w:val="right"/>
              <w:rPr>
                <w:rFonts w:ascii="宋体"/>
              </w:rPr>
            </w:pPr>
          </w:p>
        </w:tc>
        <w:tc>
          <w:tcPr>
            <w:tcW w:w="0" w:type="auto"/>
            <w:gridSpan w:val="2"/>
            <w:shd w:val="clear" w:color="auto" w:fill="CCEEFF"/>
            <w:tcMar>
              <w:top w:w="0" w:type="dxa"/>
              <w:left w:w="20" w:type="dxa"/>
              <w:bottom w:w="0" w:type="dxa"/>
              <w:right w:w="20" w:type="dxa"/>
            </w:tcMar>
            <w:vAlign w:val="bottom"/>
          </w:tcPr>
          <w:p w14:paraId="74DE14AD"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14AE" w14:textId="77777777" w:rsidR="00584EC1" w:rsidRDefault="00871F8D">
            <w:pPr>
              <w:jc w:val="right"/>
              <w:textAlignment w:val="bottom"/>
            </w:pPr>
            <w:r>
              <w:rPr>
                <w:rFonts w:ascii="Arial" w:eastAsia="宋体" w:hAnsi="Arial" w:cs="Arial"/>
                <w:color w:val="000000"/>
                <w:sz w:val="14"/>
                <w:szCs w:val="14"/>
              </w:rPr>
              <w:t>2,784 </w:t>
            </w:r>
          </w:p>
        </w:tc>
      </w:tr>
      <w:tr w:rsidR="00584EC1" w14:paraId="74DE14CD" w14:textId="77777777">
        <w:tc>
          <w:tcPr>
            <w:tcW w:w="0" w:type="auto"/>
            <w:gridSpan w:val="3"/>
            <w:shd w:val="clear" w:color="auto" w:fill="FFFFFF"/>
            <w:tcMar>
              <w:top w:w="40" w:type="dxa"/>
              <w:left w:w="20" w:type="dxa"/>
              <w:bottom w:w="40" w:type="dxa"/>
              <w:right w:w="20" w:type="dxa"/>
            </w:tcMar>
            <w:vAlign w:val="bottom"/>
          </w:tcPr>
          <w:p w14:paraId="74DE14B0" w14:textId="77777777" w:rsidR="00584EC1" w:rsidRDefault="00871F8D">
            <w:pPr>
              <w:textAlignment w:val="bottom"/>
            </w:pPr>
            <w:r>
              <w:rPr>
                <w:rFonts w:ascii="Arial" w:eastAsia="宋体" w:hAnsi="Arial" w:cs="Arial"/>
                <w:color w:val="000000"/>
                <w:sz w:val="14"/>
                <w:szCs w:val="14"/>
              </w:rPr>
              <w:t>Provision for credit losses</w:t>
            </w:r>
          </w:p>
        </w:tc>
        <w:tc>
          <w:tcPr>
            <w:tcW w:w="0" w:type="auto"/>
            <w:gridSpan w:val="2"/>
            <w:shd w:val="clear" w:color="auto" w:fill="FFFFFF"/>
            <w:tcMar>
              <w:top w:w="40" w:type="dxa"/>
              <w:left w:w="20" w:type="dxa"/>
              <w:bottom w:w="40" w:type="dxa"/>
              <w:right w:w="0" w:type="dxa"/>
            </w:tcMar>
            <w:vAlign w:val="bottom"/>
          </w:tcPr>
          <w:p w14:paraId="74DE14B1" w14:textId="77777777" w:rsidR="00584EC1" w:rsidRDefault="00871F8D">
            <w:pPr>
              <w:jc w:val="right"/>
              <w:textAlignment w:val="bottom"/>
            </w:pPr>
            <w:r>
              <w:rPr>
                <w:rFonts w:ascii="Arial" w:eastAsia="宋体" w:hAnsi="Arial" w:cs="Arial"/>
                <w:b/>
                <w:bCs/>
                <w:color w:val="000000"/>
                <w:sz w:val="14"/>
                <w:szCs w:val="14"/>
              </w:rPr>
              <w:t>(2)</w:t>
            </w:r>
          </w:p>
        </w:tc>
        <w:tc>
          <w:tcPr>
            <w:tcW w:w="0" w:type="auto"/>
            <w:shd w:val="clear" w:color="auto" w:fill="FFFFFF"/>
            <w:tcMar>
              <w:top w:w="40" w:type="dxa"/>
              <w:left w:w="0" w:type="dxa"/>
              <w:bottom w:w="40" w:type="dxa"/>
              <w:right w:w="20" w:type="dxa"/>
            </w:tcMar>
            <w:vAlign w:val="bottom"/>
          </w:tcPr>
          <w:p w14:paraId="74DE14B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4B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4B4"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E14B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4B6" w14:textId="77777777" w:rsidR="00584EC1" w:rsidRDefault="00584EC1">
            <w:pPr>
              <w:rPr>
                <w:rFonts w:ascii="宋体"/>
              </w:rPr>
            </w:pPr>
          </w:p>
        </w:tc>
        <w:tc>
          <w:tcPr>
            <w:tcW w:w="0" w:type="auto"/>
            <w:shd w:val="clear" w:color="auto" w:fill="auto"/>
            <w:vAlign w:val="bottom"/>
          </w:tcPr>
          <w:p w14:paraId="74DE14B7" w14:textId="77777777" w:rsidR="00584EC1" w:rsidRDefault="00584EC1">
            <w:pPr>
              <w:rPr>
                <w:rFonts w:ascii="宋体"/>
                <w:vanish/>
              </w:rPr>
            </w:pPr>
          </w:p>
        </w:tc>
        <w:tc>
          <w:tcPr>
            <w:tcW w:w="0" w:type="auto"/>
            <w:shd w:val="clear" w:color="auto" w:fill="auto"/>
            <w:vAlign w:val="bottom"/>
          </w:tcPr>
          <w:p w14:paraId="74DE14B8"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E14B9"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E14B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4BB"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4BC"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E14B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4BE" w14:textId="77777777" w:rsidR="00584EC1" w:rsidRDefault="00584EC1">
            <w:pPr>
              <w:rPr>
                <w:rFonts w:ascii="宋体"/>
              </w:rPr>
            </w:pPr>
          </w:p>
        </w:tc>
        <w:tc>
          <w:tcPr>
            <w:tcW w:w="0" w:type="auto"/>
            <w:shd w:val="clear" w:color="auto" w:fill="auto"/>
            <w:vAlign w:val="bottom"/>
          </w:tcPr>
          <w:p w14:paraId="74DE14BF" w14:textId="77777777" w:rsidR="00584EC1" w:rsidRDefault="00584EC1">
            <w:pPr>
              <w:rPr>
                <w:rFonts w:ascii="宋体"/>
                <w:vanish/>
              </w:rPr>
            </w:pPr>
          </w:p>
        </w:tc>
        <w:tc>
          <w:tcPr>
            <w:tcW w:w="0" w:type="auto"/>
            <w:shd w:val="clear" w:color="auto" w:fill="auto"/>
            <w:vAlign w:val="bottom"/>
          </w:tcPr>
          <w:p w14:paraId="74DE14C0"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E14C1"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E14C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4C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4C4"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E14C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4C6" w14:textId="77777777" w:rsidR="00584EC1" w:rsidRDefault="00584EC1">
            <w:pPr>
              <w:rPr>
                <w:rFonts w:ascii="宋体"/>
              </w:rPr>
            </w:pPr>
          </w:p>
        </w:tc>
        <w:tc>
          <w:tcPr>
            <w:tcW w:w="0" w:type="auto"/>
            <w:gridSpan w:val="3"/>
            <w:shd w:val="clear" w:color="auto" w:fill="auto"/>
            <w:vAlign w:val="bottom"/>
          </w:tcPr>
          <w:p w14:paraId="74DE14C7" w14:textId="77777777" w:rsidR="00584EC1" w:rsidRDefault="00584EC1">
            <w:pPr>
              <w:rPr>
                <w:rFonts w:ascii="宋体"/>
                <w:vanish/>
              </w:rPr>
            </w:pPr>
          </w:p>
        </w:tc>
        <w:tc>
          <w:tcPr>
            <w:tcW w:w="0" w:type="auto"/>
            <w:gridSpan w:val="3"/>
            <w:shd w:val="clear" w:color="auto" w:fill="auto"/>
            <w:vAlign w:val="bottom"/>
          </w:tcPr>
          <w:p w14:paraId="74DE14C8"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E14C9" w14:textId="77777777" w:rsidR="00584EC1" w:rsidRDefault="00871F8D">
            <w:pPr>
              <w:jc w:val="right"/>
              <w:textAlignment w:val="bottom"/>
            </w:pPr>
            <w:r>
              <w:rPr>
                <w:rFonts w:ascii="Arial" w:eastAsia="宋体" w:hAnsi="Arial" w:cs="Arial"/>
                <w:b/>
                <w:bCs/>
                <w:color w:val="000000"/>
                <w:sz w:val="14"/>
                <w:szCs w:val="14"/>
              </w:rPr>
              <w:t>(2)</w:t>
            </w:r>
          </w:p>
        </w:tc>
        <w:tc>
          <w:tcPr>
            <w:tcW w:w="0" w:type="auto"/>
            <w:shd w:val="clear" w:color="auto" w:fill="FFFFFF"/>
            <w:tcMar>
              <w:top w:w="40" w:type="dxa"/>
              <w:left w:w="0" w:type="dxa"/>
              <w:bottom w:w="40" w:type="dxa"/>
              <w:right w:w="20" w:type="dxa"/>
            </w:tcMar>
            <w:vAlign w:val="bottom"/>
          </w:tcPr>
          <w:p w14:paraId="74DE14CA" w14:textId="77777777" w:rsidR="00584EC1" w:rsidRDefault="00584EC1">
            <w:pPr>
              <w:jc w:val="right"/>
              <w:rPr>
                <w:rFonts w:ascii="宋体"/>
              </w:rPr>
            </w:pPr>
          </w:p>
        </w:tc>
        <w:tc>
          <w:tcPr>
            <w:tcW w:w="0" w:type="auto"/>
            <w:gridSpan w:val="2"/>
            <w:shd w:val="clear" w:color="auto" w:fill="FFFFFF"/>
            <w:tcMar>
              <w:top w:w="0" w:type="dxa"/>
              <w:left w:w="20" w:type="dxa"/>
              <w:bottom w:w="0" w:type="dxa"/>
              <w:right w:w="20" w:type="dxa"/>
            </w:tcMar>
            <w:vAlign w:val="bottom"/>
          </w:tcPr>
          <w:p w14:paraId="74DE14CB" w14:textId="77777777" w:rsidR="00584EC1" w:rsidRDefault="00584EC1">
            <w:pPr>
              <w:rPr>
                <w:rFonts w:ascii="宋体"/>
              </w:rPr>
            </w:pPr>
          </w:p>
        </w:tc>
        <w:tc>
          <w:tcPr>
            <w:tcW w:w="0" w:type="auto"/>
            <w:shd w:val="clear" w:color="auto" w:fill="FFFFFF"/>
            <w:tcMar>
              <w:top w:w="40" w:type="dxa"/>
              <w:left w:w="20" w:type="dxa"/>
              <w:bottom w:w="40" w:type="dxa"/>
              <w:right w:w="0" w:type="dxa"/>
            </w:tcMar>
            <w:vAlign w:val="bottom"/>
          </w:tcPr>
          <w:p w14:paraId="74DE14CC" w14:textId="77777777" w:rsidR="00584EC1" w:rsidRDefault="00871F8D">
            <w:pPr>
              <w:jc w:val="right"/>
              <w:textAlignment w:val="bottom"/>
            </w:pPr>
            <w:r>
              <w:rPr>
                <w:rFonts w:ascii="Arial" w:eastAsia="宋体" w:hAnsi="Arial" w:cs="Arial"/>
                <w:color w:val="000000"/>
                <w:sz w:val="14"/>
                <w:szCs w:val="14"/>
              </w:rPr>
              <w:t>— </w:t>
            </w:r>
          </w:p>
        </w:tc>
      </w:tr>
      <w:tr w:rsidR="00584EC1" w14:paraId="74DE14E4" w14:textId="77777777">
        <w:trPr>
          <w:hidden/>
        </w:trPr>
        <w:tc>
          <w:tcPr>
            <w:tcW w:w="0" w:type="auto"/>
            <w:gridSpan w:val="3"/>
            <w:shd w:val="clear" w:color="auto" w:fill="auto"/>
            <w:vAlign w:val="bottom"/>
          </w:tcPr>
          <w:p w14:paraId="74DE14CE" w14:textId="77777777" w:rsidR="00584EC1" w:rsidRDefault="00584EC1">
            <w:pPr>
              <w:rPr>
                <w:rFonts w:ascii="宋体"/>
                <w:vanish/>
              </w:rPr>
            </w:pPr>
          </w:p>
        </w:tc>
        <w:tc>
          <w:tcPr>
            <w:tcW w:w="0" w:type="auto"/>
            <w:gridSpan w:val="3"/>
            <w:shd w:val="clear" w:color="auto" w:fill="auto"/>
            <w:vAlign w:val="bottom"/>
          </w:tcPr>
          <w:p w14:paraId="74DE14CF" w14:textId="77777777" w:rsidR="00584EC1" w:rsidRDefault="00584EC1">
            <w:pPr>
              <w:rPr>
                <w:rFonts w:ascii="宋体"/>
                <w:vanish/>
              </w:rPr>
            </w:pPr>
          </w:p>
        </w:tc>
        <w:tc>
          <w:tcPr>
            <w:tcW w:w="0" w:type="auto"/>
            <w:gridSpan w:val="3"/>
            <w:shd w:val="clear" w:color="auto" w:fill="auto"/>
            <w:vAlign w:val="bottom"/>
          </w:tcPr>
          <w:p w14:paraId="74DE14D0" w14:textId="77777777" w:rsidR="00584EC1" w:rsidRDefault="00584EC1">
            <w:pPr>
              <w:rPr>
                <w:rFonts w:ascii="宋体"/>
                <w:vanish/>
              </w:rPr>
            </w:pPr>
          </w:p>
        </w:tc>
        <w:tc>
          <w:tcPr>
            <w:tcW w:w="0" w:type="auto"/>
            <w:gridSpan w:val="3"/>
            <w:shd w:val="clear" w:color="auto" w:fill="auto"/>
            <w:vAlign w:val="bottom"/>
          </w:tcPr>
          <w:p w14:paraId="74DE14D1" w14:textId="77777777" w:rsidR="00584EC1" w:rsidRDefault="00584EC1">
            <w:pPr>
              <w:rPr>
                <w:rFonts w:ascii="宋体"/>
                <w:vanish/>
              </w:rPr>
            </w:pPr>
          </w:p>
        </w:tc>
        <w:tc>
          <w:tcPr>
            <w:tcW w:w="0" w:type="auto"/>
            <w:gridSpan w:val="3"/>
            <w:shd w:val="clear" w:color="auto" w:fill="auto"/>
            <w:vAlign w:val="bottom"/>
          </w:tcPr>
          <w:p w14:paraId="74DE14D2" w14:textId="77777777" w:rsidR="00584EC1" w:rsidRDefault="00584EC1">
            <w:pPr>
              <w:rPr>
                <w:rFonts w:ascii="宋体"/>
                <w:vanish/>
              </w:rPr>
            </w:pPr>
          </w:p>
        </w:tc>
        <w:tc>
          <w:tcPr>
            <w:tcW w:w="0" w:type="auto"/>
            <w:shd w:val="clear" w:color="auto" w:fill="auto"/>
            <w:vAlign w:val="bottom"/>
          </w:tcPr>
          <w:p w14:paraId="74DE14D3" w14:textId="77777777" w:rsidR="00584EC1" w:rsidRDefault="00584EC1">
            <w:pPr>
              <w:rPr>
                <w:rFonts w:ascii="宋体"/>
                <w:vanish/>
              </w:rPr>
            </w:pPr>
          </w:p>
        </w:tc>
        <w:tc>
          <w:tcPr>
            <w:tcW w:w="0" w:type="auto"/>
            <w:shd w:val="clear" w:color="auto" w:fill="auto"/>
            <w:vAlign w:val="bottom"/>
          </w:tcPr>
          <w:p w14:paraId="74DE14D4" w14:textId="77777777" w:rsidR="00584EC1" w:rsidRDefault="00584EC1">
            <w:pPr>
              <w:rPr>
                <w:rFonts w:ascii="宋体"/>
                <w:vanish/>
              </w:rPr>
            </w:pPr>
          </w:p>
        </w:tc>
        <w:tc>
          <w:tcPr>
            <w:tcW w:w="0" w:type="auto"/>
            <w:gridSpan w:val="3"/>
            <w:shd w:val="clear" w:color="auto" w:fill="auto"/>
            <w:vAlign w:val="bottom"/>
          </w:tcPr>
          <w:p w14:paraId="74DE14D5" w14:textId="77777777" w:rsidR="00584EC1" w:rsidRDefault="00584EC1">
            <w:pPr>
              <w:rPr>
                <w:rFonts w:ascii="宋体"/>
                <w:vanish/>
              </w:rPr>
            </w:pPr>
          </w:p>
        </w:tc>
        <w:tc>
          <w:tcPr>
            <w:tcW w:w="0" w:type="auto"/>
            <w:gridSpan w:val="3"/>
            <w:shd w:val="clear" w:color="auto" w:fill="auto"/>
            <w:vAlign w:val="bottom"/>
          </w:tcPr>
          <w:p w14:paraId="74DE14D6" w14:textId="77777777" w:rsidR="00584EC1" w:rsidRDefault="00584EC1">
            <w:pPr>
              <w:rPr>
                <w:rFonts w:ascii="宋体"/>
                <w:vanish/>
              </w:rPr>
            </w:pPr>
          </w:p>
        </w:tc>
        <w:tc>
          <w:tcPr>
            <w:tcW w:w="0" w:type="auto"/>
            <w:gridSpan w:val="3"/>
            <w:shd w:val="clear" w:color="auto" w:fill="auto"/>
            <w:vAlign w:val="bottom"/>
          </w:tcPr>
          <w:p w14:paraId="74DE14D7" w14:textId="77777777" w:rsidR="00584EC1" w:rsidRDefault="00584EC1">
            <w:pPr>
              <w:rPr>
                <w:rFonts w:ascii="宋体"/>
                <w:vanish/>
              </w:rPr>
            </w:pPr>
          </w:p>
        </w:tc>
        <w:tc>
          <w:tcPr>
            <w:tcW w:w="0" w:type="auto"/>
            <w:gridSpan w:val="3"/>
            <w:shd w:val="clear" w:color="auto" w:fill="auto"/>
            <w:vAlign w:val="bottom"/>
          </w:tcPr>
          <w:p w14:paraId="74DE14D8" w14:textId="77777777" w:rsidR="00584EC1" w:rsidRDefault="00584EC1">
            <w:pPr>
              <w:rPr>
                <w:rFonts w:ascii="宋体"/>
                <w:vanish/>
              </w:rPr>
            </w:pPr>
          </w:p>
        </w:tc>
        <w:tc>
          <w:tcPr>
            <w:tcW w:w="0" w:type="auto"/>
            <w:shd w:val="clear" w:color="auto" w:fill="auto"/>
            <w:vAlign w:val="bottom"/>
          </w:tcPr>
          <w:p w14:paraId="74DE14D9" w14:textId="77777777" w:rsidR="00584EC1" w:rsidRDefault="00584EC1">
            <w:pPr>
              <w:rPr>
                <w:rFonts w:ascii="宋体"/>
                <w:vanish/>
              </w:rPr>
            </w:pPr>
          </w:p>
        </w:tc>
        <w:tc>
          <w:tcPr>
            <w:tcW w:w="0" w:type="auto"/>
            <w:shd w:val="clear" w:color="auto" w:fill="auto"/>
            <w:vAlign w:val="bottom"/>
          </w:tcPr>
          <w:p w14:paraId="74DE14DA" w14:textId="77777777" w:rsidR="00584EC1" w:rsidRDefault="00584EC1">
            <w:pPr>
              <w:rPr>
                <w:rFonts w:ascii="宋体"/>
                <w:vanish/>
              </w:rPr>
            </w:pPr>
          </w:p>
        </w:tc>
        <w:tc>
          <w:tcPr>
            <w:tcW w:w="0" w:type="auto"/>
            <w:gridSpan w:val="3"/>
            <w:shd w:val="clear" w:color="auto" w:fill="auto"/>
            <w:vAlign w:val="bottom"/>
          </w:tcPr>
          <w:p w14:paraId="74DE14DB" w14:textId="77777777" w:rsidR="00584EC1" w:rsidRDefault="00584EC1">
            <w:pPr>
              <w:rPr>
                <w:rFonts w:ascii="宋体"/>
                <w:vanish/>
              </w:rPr>
            </w:pPr>
          </w:p>
        </w:tc>
        <w:tc>
          <w:tcPr>
            <w:tcW w:w="0" w:type="auto"/>
            <w:gridSpan w:val="3"/>
            <w:shd w:val="clear" w:color="auto" w:fill="auto"/>
            <w:vAlign w:val="bottom"/>
          </w:tcPr>
          <w:p w14:paraId="74DE14DC" w14:textId="77777777" w:rsidR="00584EC1" w:rsidRDefault="00584EC1">
            <w:pPr>
              <w:rPr>
                <w:rFonts w:ascii="宋体"/>
                <w:vanish/>
              </w:rPr>
            </w:pPr>
          </w:p>
        </w:tc>
        <w:tc>
          <w:tcPr>
            <w:tcW w:w="0" w:type="auto"/>
            <w:gridSpan w:val="3"/>
            <w:shd w:val="clear" w:color="auto" w:fill="auto"/>
            <w:vAlign w:val="bottom"/>
          </w:tcPr>
          <w:p w14:paraId="74DE14DD" w14:textId="77777777" w:rsidR="00584EC1" w:rsidRDefault="00584EC1">
            <w:pPr>
              <w:rPr>
                <w:rFonts w:ascii="宋体"/>
                <w:vanish/>
              </w:rPr>
            </w:pPr>
          </w:p>
        </w:tc>
        <w:tc>
          <w:tcPr>
            <w:tcW w:w="0" w:type="auto"/>
            <w:gridSpan w:val="3"/>
            <w:shd w:val="clear" w:color="auto" w:fill="auto"/>
            <w:vAlign w:val="bottom"/>
          </w:tcPr>
          <w:p w14:paraId="74DE14DE" w14:textId="77777777" w:rsidR="00584EC1" w:rsidRDefault="00584EC1">
            <w:pPr>
              <w:rPr>
                <w:rFonts w:ascii="宋体"/>
                <w:vanish/>
              </w:rPr>
            </w:pPr>
          </w:p>
        </w:tc>
        <w:tc>
          <w:tcPr>
            <w:tcW w:w="0" w:type="auto"/>
            <w:gridSpan w:val="3"/>
            <w:shd w:val="clear" w:color="auto" w:fill="auto"/>
            <w:vAlign w:val="bottom"/>
          </w:tcPr>
          <w:p w14:paraId="74DE14DF" w14:textId="77777777" w:rsidR="00584EC1" w:rsidRDefault="00584EC1">
            <w:pPr>
              <w:rPr>
                <w:rFonts w:ascii="宋体"/>
                <w:vanish/>
              </w:rPr>
            </w:pPr>
          </w:p>
        </w:tc>
        <w:tc>
          <w:tcPr>
            <w:tcW w:w="0" w:type="auto"/>
            <w:gridSpan w:val="3"/>
            <w:shd w:val="clear" w:color="auto" w:fill="auto"/>
            <w:vAlign w:val="bottom"/>
          </w:tcPr>
          <w:p w14:paraId="74DE14E0" w14:textId="77777777" w:rsidR="00584EC1" w:rsidRDefault="00584EC1">
            <w:pPr>
              <w:rPr>
                <w:rFonts w:ascii="宋体"/>
                <w:vanish/>
              </w:rPr>
            </w:pPr>
          </w:p>
        </w:tc>
        <w:tc>
          <w:tcPr>
            <w:tcW w:w="0" w:type="auto"/>
            <w:gridSpan w:val="3"/>
            <w:shd w:val="clear" w:color="auto" w:fill="auto"/>
            <w:vAlign w:val="bottom"/>
          </w:tcPr>
          <w:p w14:paraId="74DE14E1" w14:textId="77777777" w:rsidR="00584EC1" w:rsidRDefault="00584EC1">
            <w:pPr>
              <w:rPr>
                <w:rFonts w:ascii="宋体"/>
                <w:vanish/>
              </w:rPr>
            </w:pPr>
          </w:p>
        </w:tc>
        <w:tc>
          <w:tcPr>
            <w:tcW w:w="0" w:type="auto"/>
            <w:gridSpan w:val="2"/>
            <w:shd w:val="clear" w:color="auto" w:fill="auto"/>
            <w:vAlign w:val="bottom"/>
          </w:tcPr>
          <w:p w14:paraId="74DE14E2" w14:textId="77777777" w:rsidR="00584EC1" w:rsidRDefault="00584EC1">
            <w:pPr>
              <w:rPr>
                <w:rFonts w:ascii="宋体"/>
                <w:vanish/>
              </w:rPr>
            </w:pPr>
          </w:p>
        </w:tc>
        <w:tc>
          <w:tcPr>
            <w:tcW w:w="0" w:type="auto"/>
            <w:shd w:val="clear" w:color="auto" w:fill="auto"/>
            <w:vAlign w:val="bottom"/>
          </w:tcPr>
          <w:p w14:paraId="74DE14E3" w14:textId="77777777" w:rsidR="00584EC1" w:rsidRDefault="00584EC1">
            <w:pPr>
              <w:rPr>
                <w:rFonts w:ascii="宋体"/>
                <w:vanish/>
              </w:rPr>
            </w:pPr>
          </w:p>
        </w:tc>
      </w:tr>
      <w:tr w:rsidR="00584EC1" w14:paraId="74DE14FB" w14:textId="77777777">
        <w:trPr>
          <w:hidden/>
        </w:trPr>
        <w:tc>
          <w:tcPr>
            <w:tcW w:w="0" w:type="auto"/>
            <w:gridSpan w:val="3"/>
            <w:shd w:val="clear" w:color="auto" w:fill="auto"/>
            <w:vAlign w:val="bottom"/>
          </w:tcPr>
          <w:p w14:paraId="74DE14E5" w14:textId="77777777" w:rsidR="00584EC1" w:rsidRDefault="00584EC1">
            <w:pPr>
              <w:rPr>
                <w:rFonts w:ascii="宋体"/>
                <w:vanish/>
              </w:rPr>
            </w:pPr>
          </w:p>
        </w:tc>
        <w:tc>
          <w:tcPr>
            <w:tcW w:w="0" w:type="auto"/>
            <w:gridSpan w:val="3"/>
            <w:shd w:val="clear" w:color="auto" w:fill="auto"/>
            <w:vAlign w:val="bottom"/>
          </w:tcPr>
          <w:p w14:paraId="74DE14E6" w14:textId="77777777" w:rsidR="00584EC1" w:rsidRDefault="00584EC1">
            <w:pPr>
              <w:rPr>
                <w:rFonts w:ascii="宋体"/>
                <w:vanish/>
              </w:rPr>
            </w:pPr>
          </w:p>
        </w:tc>
        <w:tc>
          <w:tcPr>
            <w:tcW w:w="0" w:type="auto"/>
            <w:gridSpan w:val="3"/>
            <w:shd w:val="clear" w:color="auto" w:fill="auto"/>
            <w:vAlign w:val="bottom"/>
          </w:tcPr>
          <w:p w14:paraId="74DE14E7" w14:textId="77777777" w:rsidR="00584EC1" w:rsidRDefault="00584EC1">
            <w:pPr>
              <w:rPr>
                <w:rFonts w:ascii="宋体"/>
                <w:vanish/>
              </w:rPr>
            </w:pPr>
          </w:p>
        </w:tc>
        <w:tc>
          <w:tcPr>
            <w:tcW w:w="0" w:type="auto"/>
            <w:gridSpan w:val="3"/>
            <w:shd w:val="clear" w:color="auto" w:fill="auto"/>
            <w:vAlign w:val="bottom"/>
          </w:tcPr>
          <w:p w14:paraId="74DE14E8" w14:textId="77777777" w:rsidR="00584EC1" w:rsidRDefault="00584EC1">
            <w:pPr>
              <w:rPr>
                <w:rFonts w:ascii="宋体"/>
                <w:vanish/>
              </w:rPr>
            </w:pPr>
          </w:p>
        </w:tc>
        <w:tc>
          <w:tcPr>
            <w:tcW w:w="0" w:type="auto"/>
            <w:gridSpan w:val="3"/>
            <w:shd w:val="clear" w:color="auto" w:fill="auto"/>
            <w:vAlign w:val="bottom"/>
          </w:tcPr>
          <w:p w14:paraId="74DE14E9" w14:textId="77777777" w:rsidR="00584EC1" w:rsidRDefault="00584EC1">
            <w:pPr>
              <w:rPr>
                <w:rFonts w:ascii="宋体"/>
                <w:vanish/>
              </w:rPr>
            </w:pPr>
          </w:p>
        </w:tc>
        <w:tc>
          <w:tcPr>
            <w:tcW w:w="0" w:type="auto"/>
            <w:shd w:val="clear" w:color="auto" w:fill="auto"/>
            <w:vAlign w:val="bottom"/>
          </w:tcPr>
          <w:p w14:paraId="74DE14EA" w14:textId="77777777" w:rsidR="00584EC1" w:rsidRDefault="00584EC1">
            <w:pPr>
              <w:rPr>
                <w:rFonts w:ascii="宋体"/>
                <w:vanish/>
              </w:rPr>
            </w:pPr>
          </w:p>
        </w:tc>
        <w:tc>
          <w:tcPr>
            <w:tcW w:w="0" w:type="auto"/>
            <w:shd w:val="clear" w:color="auto" w:fill="auto"/>
            <w:vAlign w:val="bottom"/>
          </w:tcPr>
          <w:p w14:paraId="74DE14EB" w14:textId="77777777" w:rsidR="00584EC1" w:rsidRDefault="00584EC1">
            <w:pPr>
              <w:rPr>
                <w:rFonts w:ascii="宋体"/>
                <w:vanish/>
              </w:rPr>
            </w:pPr>
          </w:p>
        </w:tc>
        <w:tc>
          <w:tcPr>
            <w:tcW w:w="0" w:type="auto"/>
            <w:gridSpan w:val="3"/>
            <w:shd w:val="clear" w:color="auto" w:fill="auto"/>
            <w:vAlign w:val="bottom"/>
          </w:tcPr>
          <w:p w14:paraId="74DE14EC" w14:textId="77777777" w:rsidR="00584EC1" w:rsidRDefault="00584EC1">
            <w:pPr>
              <w:rPr>
                <w:rFonts w:ascii="宋体"/>
                <w:vanish/>
              </w:rPr>
            </w:pPr>
          </w:p>
        </w:tc>
        <w:tc>
          <w:tcPr>
            <w:tcW w:w="0" w:type="auto"/>
            <w:gridSpan w:val="3"/>
            <w:shd w:val="clear" w:color="auto" w:fill="auto"/>
            <w:vAlign w:val="bottom"/>
          </w:tcPr>
          <w:p w14:paraId="74DE14ED" w14:textId="77777777" w:rsidR="00584EC1" w:rsidRDefault="00584EC1">
            <w:pPr>
              <w:rPr>
                <w:rFonts w:ascii="宋体"/>
                <w:vanish/>
              </w:rPr>
            </w:pPr>
          </w:p>
        </w:tc>
        <w:tc>
          <w:tcPr>
            <w:tcW w:w="0" w:type="auto"/>
            <w:gridSpan w:val="3"/>
            <w:shd w:val="clear" w:color="auto" w:fill="auto"/>
            <w:vAlign w:val="bottom"/>
          </w:tcPr>
          <w:p w14:paraId="74DE14EE" w14:textId="77777777" w:rsidR="00584EC1" w:rsidRDefault="00584EC1">
            <w:pPr>
              <w:rPr>
                <w:rFonts w:ascii="宋体"/>
                <w:vanish/>
              </w:rPr>
            </w:pPr>
          </w:p>
        </w:tc>
        <w:tc>
          <w:tcPr>
            <w:tcW w:w="0" w:type="auto"/>
            <w:gridSpan w:val="3"/>
            <w:shd w:val="clear" w:color="auto" w:fill="auto"/>
            <w:vAlign w:val="bottom"/>
          </w:tcPr>
          <w:p w14:paraId="74DE14EF" w14:textId="77777777" w:rsidR="00584EC1" w:rsidRDefault="00584EC1">
            <w:pPr>
              <w:rPr>
                <w:rFonts w:ascii="宋体"/>
                <w:vanish/>
              </w:rPr>
            </w:pPr>
          </w:p>
        </w:tc>
        <w:tc>
          <w:tcPr>
            <w:tcW w:w="0" w:type="auto"/>
            <w:shd w:val="clear" w:color="auto" w:fill="auto"/>
            <w:vAlign w:val="bottom"/>
          </w:tcPr>
          <w:p w14:paraId="74DE14F0" w14:textId="77777777" w:rsidR="00584EC1" w:rsidRDefault="00584EC1">
            <w:pPr>
              <w:rPr>
                <w:rFonts w:ascii="宋体"/>
                <w:vanish/>
              </w:rPr>
            </w:pPr>
          </w:p>
        </w:tc>
        <w:tc>
          <w:tcPr>
            <w:tcW w:w="0" w:type="auto"/>
            <w:shd w:val="clear" w:color="auto" w:fill="auto"/>
            <w:vAlign w:val="bottom"/>
          </w:tcPr>
          <w:p w14:paraId="74DE14F1" w14:textId="77777777" w:rsidR="00584EC1" w:rsidRDefault="00584EC1">
            <w:pPr>
              <w:rPr>
                <w:rFonts w:ascii="宋体"/>
                <w:vanish/>
              </w:rPr>
            </w:pPr>
          </w:p>
        </w:tc>
        <w:tc>
          <w:tcPr>
            <w:tcW w:w="0" w:type="auto"/>
            <w:gridSpan w:val="3"/>
            <w:shd w:val="clear" w:color="auto" w:fill="auto"/>
            <w:vAlign w:val="bottom"/>
          </w:tcPr>
          <w:p w14:paraId="74DE14F2" w14:textId="77777777" w:rsidR="00584EC1" w:rsidRDefault="00584EC1">
            <w:pPr>
              <w:rPr>
                <w:rFonts w:ascii="宋体"/>
                <w:vanish/>
              </w:rPr>
            </w:pPr>
          </w:p>
        </w:tc>
        <w:tc>
          <w:tcPr>
            <w:tcW w:w="0" w:type="auto"/>
            <w:gridSpan w:val="3"/>
            <w:shd w:val="clear" w:color="auto" w:fill="auto"/>
            <w:vAlign w:val="bottom"/>
          </w:tcPr>
          <w:p w14:paraId="74DE14F3" w14:textId="77777777" w:rsidR="00584EC1" w:rsidRDefault="00584EC1">
            <w:pPr>
              <w:rPr>
                <w:rFonts w:ascii="宋体"/>
                <w:vanish/>
              </w:rPr>
            </w:pPr>
          </w:p>
        </w:tc>
        <w:tc>
          <w:tcPr>
            <w:tcW w:w="0" w:type="auto"/>
            <w:gridSpan w:val="3"/>
            <w:shd w:val="clear" w:color="auto" w:fill="auto"/>
            <w:vAlign w:val="bottom"/>
          </w:tcPr>
          <w:p w14:paraId="74DE14F4" w14:textId="77777777" w:rsidR="00584EC1" w:rsidRDefault="00584EC1">
            <w:pPr>
              <w:rPr>
                <w:rFonts w:ascii="宋体"/>
                <w:vanish/>
              </w:rPr>
            </w:pPr>
          </w:p>
        </w:tc>
        <w:tc>
          <w:tcPr>
            <w:tcW w:w="0" w:type="auto"/>
            <w:gridSpan w:val="3"/>
            <w:shd w:val="clear" w:color="auto" w:fill="auto"/>
            <w:vAlign w:val="bottom"/>
          </w:tcPr>
          <w:p w14:paraId="74DE14F5" w14:textId="77777777" w:rsidR="00584EC1" w:rsidRDefault="00584EC1">
            <w:pPr>
              <w:rPr>
                <w:rFonts w:ascii="宋体"/>
                <w:vanish/>
              </w:rPr>
            </w:pPr>
          </w:p>
        </w:tc>
        <w:tc>
          <w:tcPr>
            <w:tcW w:w="0" w:type="auto"/>
            <w:gridSpan w:val="3"/>
            <w:shd w:val="clear" w:color="auto" w:fill="auto"/>
            <w:vAlign w:val="bottom"/>
          </w:tcPr>
          <w:p w14:paraId="74DE14F6" w14:textId="77777777" w:rsidR="00584EC1" w:rsidRDefault="00584EC1">
            <w:pPr>
              <w:rPr>
                <w:rFonts w:ascii="宋体"/>
                <w:vanish/>
              </w:rPr>
            </w:pPr>
          </w:p>
        </w:tc>
        <w:tc>
          <w:tcPr>
            <w:tcW w:w="0" w:type="auto"/>
            <w:gridSpan w:val="3"/>
            <w:shd w:val="clear" w:color="auto" w:fill="auto"/>
            <w:vAlign w:val="bottom"/>
          </w:tcPr>
          <w:p w14:paraId="74DE14F7" w14:textId="77777777" w:rsidR="00584EC1" w:rsidRDefault="00584EC1">
            <w:pPr>
              <w:rPr>
                <w:rFonts w:ascii="宋体"/>
                <w:vanish/>
              </w:rPr>
            </w:pPr>
          </w:p>
        </w:tc>
        <w:tc>
          <w:tcPr>
            <w:tcW w:w="0" w:type="auto"/>
            <w:gridSpan w:val="3"/>
            <w:shd w:val="clear" w:color="auto" w:fill="auto"/>
            <w:vAlign w:val="bottom"/>
          </w:tcPr>
          <w:p w14:paraId="74DE14F8" w14:textId="77777777" w:rsidR="00584EC1" w:rsidRDefault="00584EC1">
            <w:pPr>
              <w:rPr>
                <w:rFonts w:ascii="宋体"/>
                <w:vanish/>
              </w:rPr>
            </w:pPr>
          </w:p>
        </w:tc>
        <w:tc>
          <w:tcPr>
            <w:tcW w:w="0" w:type="auto"/>
            <w:gridSpan w:val="2"/>
            <w:shd w:val="clear" w:color="auto" w:fill="auto"/>
            <w:vAlign w:val="bottom"/>
          </w:tcPr>
          <w:p w14:paraId="74DE14F9" w14:textId="77777777" w:rsidR="00584EC1" w:rsidRDefault="00584EC1">
            <w:pPr>
              <w:rPr>
                <w:rFonts w:ascii="宋体"/>
                <w:vanish/>
              </w:rPr>
            </w:pPr>
          </w:p>
        </w:tc>
        <w:tc>
          <w:tcPr>
            <w:tcW w:w="0" w:type="auto"/>
            <w:shd w:val="clear" w:color="auto" w:fill="auto"/>
            <w:vAlign w:val="bottom"/>
          </w:tcPr>
          <w:p w14:paraId="74DE14FA" w14:textId="77777777" w:rsidR="00584EC1" w:rsidRDefault="00584EC1">
            <w:pPr>
              <w:rPr>
                <w:rFonts w:ascii="宋体"/>
                <w:vanish/>
              </w:rPr>
            </w:pPr>
          </w:p>
        </w:tc>
      </w:tr>
      <w:tr w:rsidR="00584EC1" w14:paraId="74DE1512" w14:textId="77777777">
        <w:trPr>
          <w:hidden/>
        </w:trPr>
        <w:tc>
          <w:tcPr>
            <w:tcW w:w="0" w:type="auto"/>
            <w:gridSpan w:val="3"/>
            <w:shd w:val="clear" w:color="auto" w:fill="auto"/>
            <w:vAlign w:val="bottom"/>
          </w:tcPr>
          <w:p w14:paraId="74DE14FC" w14:textId="77777777" w:rsidR="00584EC1" w:rsidRDefault="00584EC1">
            <w:pPr>
              <w:rPr>
                <w:rFonts w:ascii="宋体"/>
                <w:vanish/>
              </w:rPr>
            </w:pPr>
          </w:p>
        </w:tc>
        <w:tc>
          <w:tcPr>
            <w:tcW w:w="0" w:type="auto"/>
            <w:gridSpan w:val="3"/>
            <w:shd w:val="clear" w:color="auto" w:fill="auto"/>
            <w:vAlign w:val="bottom"/>
          </w:tcPr>
          <w:p w14:paraId="74DE14FD" w14:textId="77777777" w:rsidR="00584EC1" w:rsidRDefault="00584EC1">
            <w:pPr>
              <w:rPr>
                <w:rFonts w:ascii="宋体"/>
                <w:vanish/>
              </w:rPr>
            </w:pPr>
          </w:p>
        </w:tc>
        <w:tc>
          <w:tcPr>
            <w:tcW w:w="0" w:type="auto"/>
            <w:gridSpan w:val="3"/>
            <w:shd w:val="clear" w:color="auto" w:fill="auto"/>
            <w:vAlign w:val="bottom"/>
          </w:tcPr>
          <w:p w14:paraId="74DE14FE" w14:textId="77777777" w:rsidR="00584EC1" w:rsidRDefault="00584EC1">
            <w:pPr>
              <w:rPr>
                <w:rFonts w:ascii="宋体"/>
                <w:vanish/>
              </w:rPr>
            </w:pPr>
          </w:p>
        </w:tc>
        <w:tc>
          <w:tcPr>
            <w:tcW w:w="0" w:type="auto"/>
            <w:gridSpan w:val="3"/>
            <w:shd w:val="clear" w:color="auto" w:fill="auto"/>
            <w:vAlign w:val="bottom"/>
          </w:tcPr>
          <w:p w14:paraId="74DE14FF" w14:textId="77777777" w:rsidR="00584EC1" w:rsidRDefault="00584EC1">
            <w:pPr>
              <w:rPr>
                <w:rFonts w:ascii="宋体"/>
                <w:vanish/>
              </w:rPr>
            </w:pPr>
          </w:p>
        </w:tc>
        <w:tc>
          <w:tcPr>
            <w:tcW w:w="0" w:type="auto"/>
            <w:gridSpan w:val="3"/>
            <w:shd w:val="clear" w:color="auto" w:fill="auto"/>
            <w:vAlign w:val="bottom"/>
          </w:tcPr>
          <w:p w14:paraId="74DE1500" w14:textId="77777777" w:rsidR="00584EC1" w:rsidRDefault="00584EC1">
            <w:pPr>
              <w:rPr>
                <w:rFonts w:ascii="宋体"/>
                <w:vanish/>
              </w:rPr>
            </w:pPr>
          </w:p>
        </w:tc>
        <w:tc>
          <w:tcPr>
            <w:tcW w:w="0" w:type="auto"/>
            <w:shd w:val="clear" w:color="auto" w:fill="auto"/>
            <w:vAlign w:val="bottom"/>
          </w:tcPr>
          <w:p w14:paraId="74DE1501" w14:textId="77777777" w:rsidR="00584EC1" w:rsidRDefault="00584EC1">
            <w:pPr>
              <w:rPr>
                <w:rFonts w:ascii="宋体"/>
                <w:vanish/>
              </w:rPr>
            </w:pPr>
          </w:p>
        </w:tc>
        <w:tc>
          <w:tcPr>
            <w:tcW w:w="0" w:type="auto"/>
            <w:shd w:val="clear" w:color="auto" w:fill="auto"/>
            <w:vAlign w:val="bottom"/>
          </w:tcPr>
          <w:p w14:paraId="74DE1502" w14:textId="77777777" w:rsidR="00584EC1" w:rsidRDefault="00584EC1">
            <w:pPr>
              <w:rPr>
                <w:rFonts w:ascii="宋体"/>
                <w:vanish/>
              </w:rPr>
            </w:pPr>
          </w:p>
        </w:tc>
        <w:tc>
          <w:tcPr>
            <w:tcW w:w="0" w:type="auto"/>
            <w:gridSpan w:val="3"/>
            <w:shd w:val="clear" w:color="auto" w:fill="auto"/>
            <w:vAlign w:val="bottom"/>
          </w:tcPr>
          <w:p w14:paraId="74DE1503" w14:textId="77777777" w:rsidR="00584EC1" w:rsidRDefault="00584EC1">
            <w:pPr>
              <w:rPr>
                <w:rFonts w:ascii="宋体"/>
                <w:vanish/>
              </w:rPr>
            </w:pPr>
          </w:p>
        </w:tc>
        <w:tc>
          <w:tcPr>
            <w:tcW w:w="0" w:type="auto"/>
            <w:gridSpan w:val="3"/>
            <w:shd w:val="clear" w:color="auto" w:fill="auto"/>
            <w:vAlign w:val="bottom"/>
          </w:tcPr>
          <w:p w14:paraId="74DE1504" w14:textId="77777777" w:rsidR="00584EC1" w:rsidRDefault="00584EC1">
            <w:pPr>
              <w:rPr>
                <w:rFonts w:ascii="宋体"/>
                <w:vanish/>
              </w:rPr>
            </w:pPr>
          </w:p>
        </w:tc>
        <w:tc>
          <w:tcPr>
            <w:tcW w:w="0" w:type="auto"/>
            <w:gridSpan w:val="3"/>
            <w:shd w:val="clear" w:color="auto" w:fill="auto"/>
            <w:vAlign w:val="bottom"/>
          </w:tcPr>
          <w:p w14:paraId="74DE1505" w14:textId="77777777" w:rsidR="00584EC1" w:rsidRDefault="00584EC1">
            <w:pPr>
              <w:rPr>
                <w:rFonts w:ascii="宋体"/>
                <w:vanish/>
              </w:rPr>
            </w:pPr>
          </w:p>
        </w:tc>
        <w:tc>
          <w:tcPr>
            <w:tcW w:w="0" w:type="auto"/>
            <w:gridSpan w:val="3"/>
            <w:shd w:val="clear" w:color="auto" w:fill="auto"/>
            <w:vAlign w:val="bottom"/>
          </w:tcPr>
          <w:p w14:paraId="74DE1506" w14:textId="77777777" w:rsidR="00584EC1" w:rsidRDefault="00584EC1">
            <w:pPr>
              <w:rPr>
                <w:rFonts w:ascii="宋体"/>
                <w:vanish/>
              </w:rPr>
            </w:pPr>
          </w:p>
        </w:tc>
        <w:tc>
          <w:tcPr>
            <w:tcW w:w="0" w:type="auto"/>
            <w:shd w:val="clear" w:color="auto" w:fill="auto"/>
            <w:vAlign w:val="bottom"/>
          </w:tcPr>
          <w:p w14:paraId="74DE1507" w14:textId="77777777" w:rsidR="00584EC1" w:rsidRDefault="00584EC1">
            <w:pPr>
              <w:rPr>
                <w:rFonts w:ascii="宋体"/>
                <w:vanish/>
              </w:rPr>
            </w:pPr>
          </w:p>
        </w:tc>
        <w:tc>
          <w:tcPr>
            <w:tcW w:w="0" w:type="auto"/>
            <w:shd w:val="clear" w:color="auto" w:fill="auto"/>
            <w:vAlign w:val="bottom"/>
          </w:tcPr>
          <w:p w14:paraId="74DE1508" w14:textId="77777777" w:rsidR="00584EC1" w:rsidRDefault="00584EC1">
            <w:pPr>
              <w:rPr>
                <w:rFonts w:ascii="宋体"/>
                <w:vanish/>
              </w:rPr>
            </w:pPr>
          </w:p>
        </w:tc>
        <w:tc>
          <w:tcPr>
            <w:tcW w:w="0" w:type="auto"/>
            <w:gridSpan w:val="3"/>
            <w:shd w:val="clear" w:color="auto" w:fill="auto"/>
            <w:vAlign w:val="bottom"/>
          </w:tcPr>
          <w:p w14:paraId="74DE1509" w14:textId="77777777" w:rsidR="00584EC1" w:rsidRDefault="00584EC1">
            <w:pPr>
              <w:rPr>
                <w:rFonts w:ascii="宋体"/>
                <w:vanish/>
              </w:rPr>
            </w:pPr>
          </w:p>
        </w:tc>
        <w:tc>
          <w:tcPr>
            <w:tcW w:w="0" w:type="auto"/>
            <w:gridSpan w:val="3"/>
            <w:shd w:val="clear" w:color="auto" w:fill="auto"/>
            <w:vAlign w:val="bottom"/>
          </w:tcPr>
          <w:p w14:paraId="74DE150A" w14:textId="77777777" w:rsidR="00584EC1" w:rsidRDefault="00584EC1">
            <w:pPr>
              <w:rPr>
                <w:rFonts w:ascii="宋体"/>
                <w:vanish/>
              </w:rPr>
            </w:pPr>
          </w:p>
        </w:tc>
        <w:tc>
          <w:tcPr>
            <w:tcW w:w="0" w:type="auto"/>
            <w:gridSpan w:val="3"/>
            <w:shd w:val="clear" w:color="auto" w:fill="auto"/>
            <w:vAlign w:val="bottom"/>
          </w:tcPr>
          <w:p w14:paraId="74DE150B" w14:textId="77777777" w:rsidR="00584EC1" w:rsidRDefault="00584EC1">
            <w:pPr>
              <w:rPr>
                <w:rFonts w:ascii="宋体"/>
                <w:vanish/>
              </w:rPr>
            </w:pPr>
          </w:p>
        </w:tc>
        <w:tc>
          <w:tcPr>
            <w:tcW w:w="0" w:type="auto"/>
            <w:gridSpan w:val="3"/>
            <w:shd w:val="clear" w:color="auto" w:fill="auto"/>
            <w:vAlign w:val="bottom"/>
          </w:tcPr>
          <w:p w14:paraId="74DE150C" w14:textId="77777777" w:rsidR="00584EC1" w:rsidRDefault="00584EC1">
            <w:pPr>
              <w:rPr>
                <w:rFonts w:ascii="宋体"/>
                <w:vanish/>
              </w:rPr>
            </w:pPr>
          </w:p>
        </w:tc>
        <w:tc>
          <w:tcPr>
            <w:tcW w:w="0" w:type="auto"/>
            <w:gridSpan w:val="3"/>
            <w:shd w:val="clear" w:color="auto" w:fill="auto"/>
            <w:vAlign w:val="bottom"/>
          </w:tcPr>
          <w:p w14:paraId="74DE150D" w14:textId="77777777" w:rsidR="00584EC1" w:rsidRDefault="00584EC1">
            <w:pPr>
              <w:rPr>
                <w:rFonts w:ascii="宋体"/>
                <w:vanish/>
              </w:rPr>
            </w:pPr>
          </w:p>
        </w:tc>
        <w:tc>
          <w:tcPr>
            <w:tcW w:w="0" w:type="auto"/>
            <w:gridSpan w:val="3"/>
            <w:shd w:val="clear" w:color="auto" w:fill="auto"/>
            <w:vAlign w:val="bottom"/>
          </w:tcPr>
          <w:p w14:paraId="74DE150E" w14:textId="77777777" w:rsidR="00584EC1" w:rsidRDefault="00584EC1">
            <w:pPr>
              <w:rPr>
                <w:rFonts w:ascii="宋体"/>
                <w:vanish/>
              </w:rPr>
            </w:pPr>
          </w:p>
        </w:tc>
        <w:tc>
          <w:tcPr>
            <w:tcW w:w="0" w:type="auto"/>
            <w:gridSpan w:val="3"/>
            <w:shd w:val="clear" w:color="auto" w:fill="auto"/>
            <w:vAlign w:val="bottom"/>
          </w:tcPr>
          <w:p w14:paraId="74DE150F" w14:textId="77777777" w:rsidR="00584EC1" w:rsidRDefault="00584EC1">
            <w:pPr>
              <w:rPr>
                <w:rFonts w:ascii="宋体"/>
                <w:vanish/>
              </w:rPr>
            </w:pPr>
          </w:p>
        </w:tc>
        <w:tc>
          <w:tcPr>
            <w:tcW w:w="0" w:type="auto"/>
            <w:gridSpan w:val="2"/>
            <w:shd w:val="clear" w:color="auto" w:fill="auto"/>
            <w:vAlign w:val="bottom"/>
          </w:tcPr>
          <w:p w14:paraId="74DE1510" w14:textId="77777777" w:rsidR="00584EC1" w:rsidRDefault="00584EC1">
            <w:pPr>
              <w:rPr>
                <w:rFonts w:ascii="宋体"/>
                <w:vanish/>
              </w:rPr>
            </w:pPr>
          </w:p>
        </w:tc>
        <w:tc>
          <w:tcPr>
            <w:tcW w:w="0" w:type="auto"/>
            <w:shd w:val="clear" w:color="auto" w:fill="auto"/>
            <w:vAlign w:val="bottom"/>
          </w:tcPr>
          <w:p w14:paraId="74DE1511" w14:textId="77777777" w:rsidR="00584EC1" w:rsidRDefault="00584EC1">
            <w:pPr>
              <w:rPr>
                <w:rFonts w:ascii="宋体"/>
                <w:vanish/>
              </w:rPr>
            </w:pPr>
          </w:p>
        </w:tc>
      </w:tr>
      <w:tr w:rsidR="00584EC1" w14:paraId="74DE1529" w14:textId="77777777">
        <w:trPr>
          <w:hidden/>
        </w:trPr>
        <w:tc>
          <w:tcPr>
            <w:tcW w:w="0" w:type="auto"/>
            <w:gridSpan w:val="3"/>
            <w:shd w:val="clear" w:color="auto" w:fill="auto"/>
            <w:vAlign w:val="bottom"/>
          </w:tcPr>
          <w:p w14:paraId="74DE1513" w14:textId="77777777" w:rsidR="00584EC1" w:rsidRDefault="00584EC1">
            <w:pPr>
              <w:rPr>
                <w:rFonts w:ascii="宋体"/>
                <w:vanish/>
              </w:rPr>
            </w:pPr>
          </w:p>
        </w:tc>
        <w:tc>
          <w:tcPr>
            <w:tcW w:w="0" w:type="auto"/>
            <w:gridSpan w:val="3"/>
            <w:shd w:val="clear" w:color="auto" w:fill="auto"/>
            <w:vAlign w:val="bottom"/>
          </w:tcPr>
          <w:p w14:paraId="74DE1514" w14:textId="77777777" w:rsidR="00584EC1" w:rsidRDefault="00584EC1">
            <w:pPr>
              <w:rPr>
                <w:rFonts w:ascii="宋体"/>
                <w:vanish/>
              </w:rPr>
            </w:pPr>
          </w:p>
        </w:tc>
        <w:tc>
          <w:tcPr>
            <w:tcW w:w="0" w:type="auto"/>
            <w:gridSpan w:val="3"/>
            <w:shd w:val="clear" w:color="auto" w:fill="auto"/>
            <w:vAlign w:val="bottom"/>
          </w:tcPr>
          <w:p w14:paraId="74DE1515" w14:textId="77777777" w:rsidR="00584EC1" w:rsidRDefault="00584EC1">
            <w:pPr>
              <w:rPr>
                <w:rFonts w:ascii="宋体"/>
                <w:vanish/>
              </w:rPr>
            </w:pPr>
          </w:p>
        </w:tc>
        <w:tc>
          <w:tcPr>
            <w:tcW w:w="0" w:type="auto"/>
            <w:gridSpan w:val="3"/>
            <w:shd w:val="clear" w:color="auto" w:fill="auto"/>
            <w:vAlign w:val="bottom"/>
          </w:tcPr>
          <w:p w14:paraId="74DE1516" w14:textId="77777777" w:rsidR="00584EC1" w:rsidRDefault="00584EC1">
            <w:pPr>
              <w:rPr>
                <w:rFonts w:ascii="宋体"/>
                <w:vanish/>
              </w:rPr>
            </w:pPr>
          </w:p>
        </w:tc>
        <w:tc>
          <w:tcPr>
            <w:tcW w:w="0" w:type="auto"/>
            <w:gridSpan w:val="3"/>
            <w:shd w:val="clear" w:color="auto" w:fill="auto"/>
            <w:vAlign w:val="bottom"/>
          </w:tcPr>
          <w:p w14:paraId="74DE1517" w14:textId="77777777" w:rsidR="00584EC1" w:rsidRDefault="00584EC1">
            <w:pPr>
              <w:rPr>
                <w:rFonts w:ascii="宋体"/>
                <w:vanish/>
              </w:rPr>
            </w:pPr>
          </w:p>
        </w:tc>
        <w:tc>
          <w:tcPr>
            <w:tcW w:w="0" w:type="auto"/>
            <w:shd w:val="clear" w:color="auto" w:fill="auto"/>
            <w:vAlign w:val="bottom"/>
          </w:tcPr>
          <w:p w14:paraId="74DE1518" w14:textId="77777777" w:rsidR="00584EC1" w:rsidRDefault="00584EC1">
            <w:pPr>
              <w:rPr>
                <w:rFonts w:ascii="宋体"/>
                <w:vanish/>
              </w:rPr>
            </w:pPr>
          </w:p>
        </w:tc>
        <w:tc>
          <w:tcPr>
            <w:tcW w:w="0" w:type="auto"/>
            <w:shd w:val="clear" w:color="auto" w:fill="auto"/>
            <w:vAlign w:val="bottom"/>
          </w:tcPr>
          <w:p w14:paraId="74DE1519" w14:textId="77777777" w:rsidR="00584EC1" w:rsidRDefault="00584EC1">
            <w:pPr>
              <w:rPr>
                <w:rFonts w:ascii="宋体"/>
                <w:vanish/>
              </w:rPr>
            </w:pPr>
          </w:p>
        </w:tc>
        <w:tc>
          <w:tcPr>
            <w:tcW w:w="0" w:type="auto"/>
            <w:gridSpan w:val="3"/>
            <w:shd w:val="clear" w:color="auto" w:fill="auto"/>
            <w:vAlign w:val="bottom"/>
          </w:tcPr>
          <w:p w14:paraId="74DE151A" w14:textId="77777777" w:rsidR="00584EC1" w:rsidRDefault="00584EC1">
            <w:pPr>
              <w:rPr>
                <w:rFonts w:ascii="宋体"/>
                <w:vanish/>
              </w:rPr>
            </w:pPr>
          </w:p>
        </w:tc>
        <w:tc>
          <w:tcPr>
            <w:tcW w:w="0" w:type="auto"/>
            <w:gridSpan w:val="3"/>
            <w:shd w:val="clear" w:color="auto" w:fill="auto"/>
            <w:vAlign w:val="bottom"/>
          </w:tcPr>
          <w:p w14:paraId="74DE151B" w14:textId="77777777" w:rsidR="00584EC1" w:rsidRDefault="00584EC1">
            <w:pPr>
              <w:rPr>
                <w:rFonts w:ascii="宋体"/>
                <w:vanish/>
              </w:rPr>
            </w:pPr>
          </w:p>
        </w:tc>
        <w:tc>
          <w:tcPr>
            <w:tcW w:w="0" w:type="auto"/>
            <w:gridSpan w:val="3"/>
            <w:shd w:val="clear" w:color="auto" w:fill="auto"/>
            <w:vAlign w:val="bottom"/>
          </w:tcPr>
          <w:p w14:paraId="74DE151C" w14:textId="77777777" w:rsidR="00584EC1" w:rsidRDefault="00584EC1">
            <w:pPr>
              <w:rPr>
                <w:rFonts w:ascii="宋体"/>
                <w:vanish/>
              </w:rPr>
            </w:pPr>
          </w:p>
        </w:tc>
        <w:tc>
          <w:tcPr>
            <w:tcW w:w="0" w:type="auto"/>
            <w:gridSpan w:val="3"/>
            <w:shd w:val="clear" w:color="auto" w:fill="auto"/>
            <w:vAlign w:val="bottom"/>
          </w:tcPr>
          <w:p w14:paraId="74DE151D" w14:textId="77777777" w:rsidR="00584EC1" w:rsidRDefault="00584EC1">
            <w:pPr>
              <w:rPr>
                <w:rFonts w:ascii="宋体"/>
                <w:vanish/>
              </w:rPr>
            </w:pPr>
          </w:p>
        </w:tc>
        <w:tc>
          <w:tcPr>
            <w:tcW w:w="0" w:type="auto"/>
            <w:shd w:val="clear" w:color="auto" w:fill="auto"/>
            <w:vAlign w:val="bottom"/>
          </w:tcPr>
          <w:p w14:paraId="74DE151E" w14:textId="77777777" w:rsidR="00584EC1" w:rsidRDefault="00584EC1">
            <w:pPr>
              <w:rPr>
                <w:rFonts w:ascii="宋体"/>
                <w:vanish/>
              </w:rPr>
            </w:pPr>
          </w:p>
        </w:tc>
        <w:tc>
          <w:tcPr>
            <w:tcW w:w="0" w:type="auto"/>
            <w:shd w:val="clear" w:color="auto" w:fill="auto"/>
            <w:vAlign w:val="bottom"/>
          </w:tcPr>
          <w:p w14:paraId="74DE151F" w14:textId="77777777" w:rsidR="00584EC1" w:rsidRDefault="00584EC1">
            <w:pPr>
              <w:rPr>
                <w:rFonts w:ascii="宋体"/>
                <w:vanish/>
              </w:rPr>
            </w:pPr>
          </w:p>
        </w:tc>
        <w:tc>
          <w:tcPr>
            <w:tcW w:w="0" w:type="auto"/>
            <w:gridSpan w:val="3"/>
            <w:shd w:val="clear" w:color="auto" w:fill="auto"/>
            <w:vAlign w:val="bottom"/>
          </w:tcPr>
          <w:p w14:paraId="74DE1520" w14:textId="77777777" w:rsidR="00584EC1" w:rsidRDefault="00584EC1">
            <w:pPr>
              <w:rPr>
                <w:rFonts w:ascii="宋体"/>
                <w:vanish/>
              </w:rPr>
            </w:pPr>
          </w:p>
        </w:tc>
        <w:tc>
          <w:tcPr>
            <w:tcW w:w="0" w:type="auto"/>
            <w:gridSpan w:val="3"/>
            <w:shd w:val="clear" w:color="auto" w:fill="auto"/>
            <w:vAlign w:val="bottom"/>
          </w:tcPr>
          <w:p w14:paraId="74DE1521" w14:textId="77777777" w:rsidR="00584EC1" w:rsidRDefault="00584EC1">
            <w:pPr>
              <w:rPr>
                <w:rFonts w:ascii="宋体"/>
                <w:vanish/>
              </w:rPr>
            </w:pPr>
          </w:p>
        </w:tc>
        <w:tc>
          <w:tcPr>
            <w:tcW w:w="0" w:type="auto"/>
            <w:gridSpan w:val="3"/>
            <w:shd w:val="clear" w:color="auto" w:fill="auto"/>
            <w:vAlign w:val="bottom"/>
          </w:tcPr>
          <w:p w14:paraId="74DE1522" w14:textId="77777777" w:rsidR="00584EC1" w:rsidRDefault="00584EC1">
            <w:pPr>
              <w:rPr>
                <w:rFonts w:ascii="宋体"/>
                <w:vanish/>
              </w:rPr>
            </w:pPr>
          </w:p>
        </w:tc>
        <w:tc>
          <w:tcPr>
            <w:tcW w:w="0" w:type="auto"/>
            <w:gridSpan w:val="3"/>
            <w:shd w:val="clear" w:color="auto" w:fill="auto"/>
            <w:vAlign w:val="bottom"/>
          </w:tcPr>
          <w:p w14:paraId="74DE1523" w14:textId="77777777" w:rsidR="00584EC1" w:rsidRDefault="00584EC1">
            <w:pPr>
              <w:rPr>
                <w:rFonts w:ascii="宋体"/>
                <w:vanish/>
              </w:rPr>
            </w:pPr>
          </w:p>
        </w:tc>
        <w:tc>
          <w:tcPr>
            <w:tcW w:w="0" w:type="auto"/>
            <w:gridSpan w:val="3"/>
            <w:shd w:val="clear" w:color="auto" w:fill="auto"/>
            <w:vAlign w:val="bottom"/>
          </w:tcPr>
          <w:p w14:paraId="74DE1524" w14:textId="77777777" w:rsidR="00584EC1" w:rsidRDefault="00584EC1">
            <w:pPr>
              <w:rPr>
                <w:rFonts w:ascii="宋体"/>
                <w:vanish/>
              </w:rPr>
            </w:pPr>
          </w:p>
        </w:tc>
        <w:tc>
          <w:tcPr>
            <w:tcW w:w="0" w:type="auto"/>
            <w:gridSpan w:val="3"/>
            <w:shd w:val="clear" w:color="auto" w:fill="auto"/>
            <w:vAlign w:val="bottom"/>
          </w:tcPr>
          <w:p w14:paraId="74DE1525" w14:textId="77777777" w:rsidR="00584EC1" w:rsidRDefault="00584EC1">
            <w:pPr>
              <w:rPr>
                <w:rFonts w:ascii="宋体"/>
                <w:vanish/>
              </w:rPr>
            </w:pPr>
          </w:p>
        </w:tc>
        <w:tc>
          <w:tcPr>
            <w:tcW w:w="0" w:type="auto"/>
            <w:gridSpan w:val="3"/>
            <w:shd w:val="clear" w:color="auto" w:fill="auto"/>
            <w:vAlign w:val="bottom"/>
          </w:tcPr>
          <w:p w14:paraId="74DE1526" w14:textId="77777777" w:rsidR="00584EC1" w:rsidRDefault="00584EC1">
            <w:pPr>
              <w:rPr>
                <w:rFonts w:ascii="宋体"/>
                <w:vanish/>
              </w:rPr>
            </w:pPr>
          </w:p>
        </w:tc>
        <w:tc>
          <w:tcPr>
            <w:tcW w:w="0" w:type="auto"/>
            <w:gridSpan w:val="2"/>
            <w:shd w:val="clear" w:color="auto" w:fill="auto"/>
            <w:vAlign w:val="bottom"/>
          </w:tcPr>
          <w:p w14:paraId="74DE1527" w14:textId="77777777" w:rsidR="00584EC1" w:rsidRDefault="00584EC1">
            <w:pPr>
              <w:rPr>
                <w:rFonts w:ascii="宋体"/>
                <w:vanish/>
              </w:rPr>
            </w:pPr>
          </w:p>
        </w:tc>
        <w:tc>
          <w:tcPr>
            <w:tcW w:w="0" w:type="auto"/>
            <w:shd w:val="clear" w:color="auto" w:fill="auto"/>
            <w:vAlign w:val="bottom"/>
          </w:tcPr>
          <w:p w14:paraId="74DE1528" w14:textId="77777777" w:rsidR="00584EC1" w:rsidRDefault="00584EC1">
            <w:pPr>
              <w:rPr>
                <w:rFonts w:ascii="宋体"/>
                <w:vanish/>
              </w:rPr>
            </w:pPr>
          </w:p>
        </w:tc>
      </w:tr>
      <w:tr w:rsidR="00584EC1" w14:paraId="74DE1547" w14:textId="77777777">
        <w:tc>
          <w:tcPr>
            <w:tcW w:w="0" w:type="auto"/>
            <w:gridSpan w:val="3"/>
            <w:shd w:val="clear" w:color="auto" w:fill="CCEEFF"/>
            <w:tcMar>
              <w:top w:w="40" w:type="dxa"/>
              <w:left w:w="20" w:type="dxa"/>
              <w:bottom w:w="40" w:type="dxa"/>
              <w:right w:w="20" w:type="dxa"/>
            </w:tcMar>
            <w:vAlign w:val="bottom"/>
          </w:tcPr>
          <w:p w14:paraId="74DE152A" w14:textId="77777777" w:rsidR="00584EC1" w:rsidRDefault="00871F8D">
            <w:pPr>
              <w:textAlignment w:val="bottom"/>
            </w:pPr>
            <w:r>
              <w:rPr>
                <w:rFonts w:ascii="Arial" w:eastAsia="宋体" w:hAnsi="Arial" w:cs="Arial"/>
                <w:b/>
                <w:bCs/>
                <w:color w:val="000000"/>
                <w:sz w:val="14"/>
                <w:szCs w:val="14"/>
              </w:rPr>
              <w:t>Total expenses</w:t>
            </w:r>
          </w:p>
        </w:tc>
        <w:tc>
          <w:tcPr>
            <w:tcW w:w="0" w:type="auto"/>
            <w:gridSpan w:val="2"/>
            <w:shd w:val="clear" w:color="auto" w:fill="CCEEFF"/>
            <w:tcMar>
              <w:top w:w="40" w:type="dxa"/>
              <w:left w:w="20" w:type="dxa"/>
              <w:bottom w:w="40" w:type="dxa"/>
              <w:right w:w="0" w:type="dxa"/>
            </w:tcMar>
            <w:vAlign w:val="bottom"/>
          </w:tcPr>
          <w:p w14:paraId="74DE152B" w14:textId="77777777" w:rsidR="00584EC1" w:rsidRDefault="00871F8D">
            <w:pPr>
              <w:jc w:val="right"/>
              <w:textAlignment w:val="bottom"/>
            </w:pPr>
            <w:r>
              <w:rPr>
                <w:rFonts w:ascii="Arial" w:eastAsia="宋体" w:hAnsi="Arial" w:cs="Arial"/>
                <w:b/>
                <w:bCs/>
                <w:color w:val="000000"/>
                <w:sz w:val="14"/>
                <w:szCs w:val="14"/>
              </w:rPr>
              <w:t>1,755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E152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52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52E" w14:textId="77777777" w:rsidR="00584EC1" w:rsidRDefault="00871F8D">
            <w:pPr>
              <w:jc w:val="right"/>
              <w:textAlignment w:val="bottom"/>
            </w:pPr>
            <w:r>
              <w:rPr>
                <w:rFonts w:ascii="Arial" w:eastAsia="宋体" w:hAnsi="Arial" w:cs="Arial"/>
                <w:color w:val="000000"/>
                <w:sz w:val="14"/>
                <w:szCs w:val="14"/>
              </w:rPr>
              <w:t>1,739 </w:t>
            </w:r>
          </w:p>
        </w:tc>
        <w:tc>
          <w:tcPr>
            <w:tcW w:w="0" w:type="auto"/>
            <w:shd w:val="clear" w:color="auto" w:fill="CCEEFF"/>
            <w:tcMar>
              <w:top w:w="40" w:type="dxa"/>
              <w:left w:w="0" w:type="dxa"/>
              <w:bottom w:w="40" w:type="dxa"/>
              <w:right w:w="20" w:type="dxa"/>
            </w:tcMar>
            <w:vAlign w:val="bottom"/>
          </w:tcPr>
          <w:p w14:paraId="74DE152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530" w14:textId="77777777" w:rsidR="00584EC1" w:rsidRDefault="00584EC1">
            <w:pPr>
              <w:rPr>
                <w:rFonts w:ascii="宋体"/>
              </w:rPr>
            </w:pPr>
          </w:p>
        </w:tc>
        <w:tc>
          <w:tcPr>
            <w:tcW w:w="0" w:type="auto"/>
            <w:shd w:val="clear" w:color="auto" w:fill="auto"/>
            <w:vAlign w:val="bottom"/>
          </w:tcPr>
          <w:p w14:paraId="74DE1531" w14:textId="77777777" w:rsidR="00584EC1" w:rsidRDefault="00584EC1">
            <w:pPr>
              <w:rPr>
                <w:rFonts w:ascii="宋体"/>
                <w:vanish/>
              </w:rPr>
            </w:pPr>
          </w:p>
        </w:tc>
        <w:tc>
          <w:tcPr>
            <w:tcW w:w="0" w:type="auto"/>
            <w:shd w:val="clear" w:color="auto" w:fill="auto"/>
            <w:vAlign w:val="bottom"/>
          </w:tcPr>
          <w:p w14:paraId="74DE1532" w14:textId="77777777" w:rsidR="00584EC1" w:rsidRDefault="00584EC1">
            <w:pPr>
              <w:rPr>
                <w:rFonts w:ascii="宋体"/>
                <w:vanish/>
              </w:rPr>
            </w:pPr>
          </w:p>
        </w:tc>
        <w:tc>
          <w:tcPr>
            <w:tcW w:w="0" w:type="auto"/>
            <w:gridSpan w:val="2"/>
            <w:shd w:val="clear" w:color="auto" w:fill="CCEEFF"/>
            <w:tcMar>
              <w:top w:w="40" w:type="dxa"/>
              <w:left w:w="20" w:type="dxa"/>
              <w:bottom w:w="40" w:type="dxa"/>
              <w:right w:w="0" w:type="dxa"/>
            </w:tcMar>
            <w:vAlign w:val="bottom"/>
          </w:tcPr>
          <w:p w14:paraId="74DE1533" w14:textId="77777777" w:rsidR="00584EC1" w:rsidRDefault="00871F8D">
            <w:pPr>
              <w:jc w:val="right"/>
              <w:textAlignment w:val="bottom"/>
            </w:pPr>
            <w:r>
              <w:rPr>
                <w:rFonts w:ascii="Arial" w:eastAsia="宋体" w:hAnsi="Arial" w:cs="Arial"/>
                <w:b/>
                <w:bCs/>
                <w:color w:val="000000"/>
                <w:sz w:val="14"/>
                <w:szCs w:val="14"/>
              </w:rPr>
              <w:t>339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E153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53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536" w14:textId="77777777" w:rsidR="00584EC1" w:rsidRDefault="00871F8D">
            <w:pPr>
              <w:jc w:val="right"/>
              <w:textAlignment w:val="bottom"/>
            </w:pPr>
            <w:r>
              <w:rPr>
                <w:rFonts w:ascii="Arial" w:eastAsia="宋体" w:hAnsi="Arial" w:cs="Arial"/>
                <w:color w:val="000000"/>
                <w:sz w:val="14"/>
                <w:szCs w:val="14"/>
              </w:rPr>
              <w:t>358 </w:t>
            </w:r>
          </w:p>
        </w:tc>
        <w:tc>
          <w:tcPr>
            <w:tcW w:w="0" w:type="auto"/>
            <w:shd w:val="clear" w:color="auto" w:fill="CCEEFF"/>
            <w:tcMar>
              <w:top w:w="40" w:type="dxa"/>
              <w:left w:w="0" w:type="dxa"/>
              <w:bottom w:w="40" w:type="dxa"/>
              <w:right w:w="20" w:type="dxa"/>
            </w:tcMar>
            <w:vAlign w:val="bottom"/>
          </w:tcPr>
          <w:p w14:paraId="74DE153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538" w14:textId="77777777" w:rsidR="00584EC1" w:rsidRDefault="00584EC1">
            <w:pPr>
              <w:rPr>
                <w:rFonts w:ascii="宋体"/>
              </w:rPr>
            </w:pPr>
          </w:p>
        </w:tc>
        <w:tc>
          <w:tcPr>
            <w:tcW w:w="0" w:type="auto"/>
            <w:shd w:val="clear" w:color="auto" w:fill="auto"/>
            <w:vAlign w:val="bottom"/>
          </w:tcPr>
          <w:p w14:paraId="74DE1539" w14:textId="77777777" w:rsidR="00584EC1" w:rsidRDefault="00584EC1">
            <w:pPr>
              <w:rPr>
                <w:rFonts w:ascii="宋体"/>
                <w:vanish/>
              </w:rPr>
            </w:pPr>
          </w:p>
        </w:tc>
        <w:tc>
          <w:tcPr>
            <w:tcW w:w="0" w:type="auto"/>
            <w:shd w:val="clear" w:color="auto" w:fill="auto"/>
            <w:vAlign w:val="bottom"/>
          </w:tcPr>
          <w:p w14:paraId="74DE153A" w14:textId="77777777" w:rsidR="00584EC1" w:rsidRDefault="00584EC1">
            <w:pPr>
              <w:rPr>
                <w:rFonts w:ascii="宋体"/>
                <w:vanish/>
              </w:rPr>
            </w:pPr>
          </w:p>
        </w:tc>
        <w:tc>
          <w:tcPr>
            <w:tcW w:w="0" w:type="auto"/>
            <w:gridSpan w:val="2"/>
            <w:shd w:val="clear" w:color="auto" w:fill="CCEEFF"/>
            <w:tcMar>
              <w:top w:w="40" w:type="dxa"/>
              <w:left w:w="20" w:type="dxa"/>
              <w:bottom w:w="40" w:type="dxa"/>
              <w:right w:w="0" w:type="dxa"/>
            </w:tcMar>
            <w:vAlign w:val="bottom"/>
          </w:tcPr>
          <w:p w14:paraId="74DE153B" w14:textId="77777777" w:rsidR="00584EC1" w:rsidRDefault="00871F8D">
            <w:pPr>
              <w:jc w:val="right"/>
              <w:textAlignment w:val="bottom"/>
            </w:pPr>
            <w:r>
              <w:rPr>
                <w:rFonts w:ascii="Arial" w:eastAsia="宋体" w:hAnsi="Arial" w:cs="Arial"/>
                <w:b/>
                <w:bCs/>
                <w:color w:val="000000"/>
                <w:sz w:val="14"/>
                <w:szCs w:val="14"/>
              </w:rPr>
              <w:t>22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E153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53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53E" w14:textId="77777777" w:rsidR="00584EC1" w:rsidRDefault="00871F8D">
            <w:pPr>
              <w:jc w:val="right"/>
              <w:textAlignment w:val="bottom"/>
            </w:pPr>
            <w:r>
              <w:rPr>
                <w:rFonts w:ascii="Arial" w:eastAsia="宋体" w:hAnsi="Arial" w:cs="Arial"/>
                <w:color w:val="000000"/>
                <w:sz w:val="14"/>
                <w:szCs w:val="14"/>
              </w:rPr>
              <w:t>6 </w:t>
            </w:r>
          </w:p>
        </w:tc>
        <w:tc>
          <w:tcPr>
            <w:tcW w:w="0" w:type="auto"/>
            <w:shd w:val="clear" w:color="auto" w:fill="CCEEFF"/>
            <w:tcMar>
              <w:top w:w="40" w:type="dxa"/>
              <w:left w:w="0" w:type="dxa"/>
              <w:bottom w:w="40" w:type="dxa"/>
              <w:right w:w="20" w:type="dxa"/>
            </w:tcMar>
            <w:vAlign w:val="bottom"/>
          </w:tcPr>
          <w:p w14:paraId="74DE153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540" w14:textId="77777777" w:rsidR="00584EC1" w:rsidRDefault="00584EC1">
            <w:pPr>
              <w:rPr>
                <w:rFonts w:ascii="宋体"/>
              </w:rPr>
            </w:pPr>
          </w:p>
        </w:tc>
        <w:tc>
          <w:tcPr>
            <w:tcW w:w="0" w:type="auto"/>
            <w:gridSpan w:val="3"/>
            <w:shd w:val="clear" w:color="auto" w:fill="auto"/>
            <w:vAlign w:val="bottom"/>
          </w:tcPr>
          <w:p w14:paraId="74DE1541" w14:textId="77777777" w:rsidR="00584EC1" w:rsidRDefault="00584EC1">
            <w:pPr>
              <w:rPr>
                <w:rFonts w:ascii="宋体"/>
                <w:vanish/>
              </w:rPr>
            </w:pPr>
          </w:p>
        </w:tc>
        <w:tc>
          <w:tcPr>
            <w:tcW w:w="0" w:type="auto"/>
            <w:gridSpan w:val="3"/>
            <w:shd w:val="clear" w:color="auto" w:fill="auto"/>
            <w:vAlign w:val="bottom"/>
          </w:tcPr>
          <w:p w14:paraId="74DE1542" w14:textId="77777777" w:rsidR="00584EC1" w:rsidRDefault="00584EC1">
            <w:pPr>
              <w:rPr>
                <w:rFonts w:ascii="宋体"/>
                <w:vanish/>
              </w:rPr>
            </w:pPr>
          </w:p>
        </w:tc>
        <w:tc>
          <w:tcPr>
            <w:tcW w:w="0" w:type="auto"/>
            <w:gridSpan w:val="2"/>
            <w:shd w:val="clear" w:color="auto" w:fill="CCEEFF"/>
            <w:tcMar>
              <w:top w:w="40" w:type="dxa"/>
              <w:left w:w="20" w:type="dxa"/>
              <w:bottom w:w="40" w:type="dxa"/>
              <w:right w:w="0" w:type="dxa"/>
            </w:tcMar>
            <w:vAlign w:val="bottom"/>
          </w:tcPr>
          <w:p w14:paraId="74DE1543" w14:textId="77777777" w:rsidR="00584EC1" w:rsidRDefault="00871F8D">
            <w:pPr>
              <w:jc w:val="right"/>
              <w:textAlignment w:val="bottom"/>
            </w:pPr>
            <w:r>
              <w:rPr>
                <w:rFonts w:ascii="Arial" w:eastAsia="宋体" w:hAnsi="Arial" w:cs="Arial"/>
                <w:b/>
                <w:bCs/>
                <w:color w:val="000000"/>
                <w:sz w:val="14"/>
                <w:szCs w:val="14"/>
              </w:rPr>
              <w:t>2,116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E1544" w14:textId="77777777" w:rsidR="00584EC1" w:rsidRDefault="00584EC1">
            <w:pPr>
              <w:jc w:val="right"/>
              <w:rPr>
                <w:rFonts w:ascii="宋体"/>
              </w:rPr>
            </w:pPr>
          </w:p>
        </w:tc>
        <w:tc>
          <w:tcPr>
            <w:tcW w:w="0" w:type="auto"/>
            <w:gridSpan w:val="2"/>
            <w:shd w:val="clear" w:color="auto" w:fill="CCEEFF"/>
            <w:tcMar>
              <w:top w:w="0" w:type="dxa"/>
              <w:left w:w="20" w:type="dxa"/>
              <w:bottom w:w="0" w:type="dxa"/>
              <w:right w:w="20" w:type="dxa"/>
            </w:tcMar>
            <w:vAlign w:val="bottom"/>
          </w:tcPr>
          <w:p w14:paraId="74DE1545"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E1546" w14:textId="77777777" w:rsidR="00584EC1" w:rsidRDefault="00871F8D">
            <w:pPr>
              <w:jc w:val="right"/>
              <w:textAlignment w:val="bottom"/>
            </w:pPr>
            <w:r>
              <w:rPr>
                <w:rFonts w:ascii="Arial" w:eastAsia="宋体" w:hAnsi="Arial" w:cs="Arial"/>
                <w:color w:val="000000"/>
                <w:sz w:val="14"/>
                <w:szCs w:val="14"/>
              </w:rPr>
              <w:t>2,103 </w:t>
            </w:r>
          </w:p>
        </w:tc>
      </w:tr>
      <w:tr w:rsidR="00584EC1" w14:paraId="74DE156D" w14:textId="77777777">
        <w:tc>
          <w:tcPr>
            <w:tcW w:w="0" w:type="auto"/>
            <w:gridSpan w:val="3"/>
            <w:shd w:val="clear" w:color="auto" w:fill="FFFFFF"/>
            <w:tcMar>
              <w:top w:w="40" w:type="dxa"/>
              <w:left w:w="20" w:type="dxa"/>
              <w:bottom w:w="40" w:type="dxa"/>
              <w:right w:w="20" w:type="dxa"/>
            </w:tcMar>
            <w:vAlign w:val="bottom"/>
          </w:tcPr>
          <w:p w14:paraId="74DE1548" w14:textId="77777777" w:rsidR="00584EC1" w:rsidRDefault="00871F8D">
            <w:pPr>
              <w:textAlignment w:val="bottom"/>
            </w:pPr>
            <w:r>
              <w:rPr>
                <w:rFonts w:ascii="Arial" w:eastAsia="宋体" w:hAnsi="Arial" w:cs="Arial"/>
                <w:b/>
                <w:bCs/>
                <w:color w:val="000000"/>
                <w:sz w:val="14"/>
                <w:szCs w:val="14"/>
              </w:rPr>
              <w:t>Income before income tax expense</w:t>
            </w:r>
          </w:p>
        </w:tc>
        <w:tc>
          <w:tcPr>
            <w:tcW w:w="0" w:type="auto"/>
            <w:tcBorders>
              <w:top w:val="single" w:sz="8" w:space="0" w:color="000000"/>
            </w:tcBorders>
            <w:shd w:val="clear" w:color="auto" w:fill="FFFFFF"/>
            <w:tcMar>
              <w:top w:w="40" w:type="dxa"/>
              <w:left w:w="20" w:type="dxa"/>
              <w:bottom w:w="40" w:type="dxa"/>
              <w:right w:w="0" w:type="dxa"/>
            </w:tcMar>
            <w:vAlign w:val="bottom"/>
          </w:tcPr>
          <w:p w14:paraId="74DE1549"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E154A" w14:textId="77777777" w:rsidR="00584EC1" w:rsidRDefault="00871F8D">
            <w:pPr>
              <w:jc w:val="right"/>
              <w:textAlignment w:val="bottom"/>
            </w:pPr>
            <w:r>
              <w:rPr>
                <w:rFonts w:ascii="Arial" w:eastAsia="宋体" w:hAnsi="Arial" w:cs="Arial"/>
                <w:b/>
                <w:bCs/>
                <w:color w:val="000000"/>
                <w:sz w:val="14"/>
                <w:szCs w:val="14"/>
              </w:rPr>
              <w:t>705</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154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54C"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E154D"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E154E" w14:textId="77777777" w:rsidR="00584EC1" w:rsidRDefault="00871F8D">
            <w:pPr>
              <w:jc w:val="right"/>
              <w:textAlignment w:val="bottom"/>
            </w:pPr>
            <w:r>
              <w:rPr>
                <w:rFonts w:ascii="Arial" w:eastAsia="宋体" w:hAnsi="Arial" w:cs="Arial"/>
                <w:color w:val="000000"/>
                <w:sz w:val="14"/>
                <w:szCs w:val="14"/>
              </w:rPr>
              <w:t>539 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154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550" w14:textId="77777777" w:rsidR="00584EC1" w:rsidRDefault="00584EC1">
            <w:pPr>
              <w:rPr>
                <w:rFonts w:ascii="宋体"/>
              </w:rPr>
            </w:pPr>
          </w:p>
        </w:tc>
        <w:tc>
          <w:tcPr>
            <w:tcW w:w="0" w:type="auto"/>
            <w:shd w:val="clear" w:color="auto" w:fill="auto"/>
            <w:vAlign w:val="bottom"/>
          </w:tcPr>
          <w:p w14:paraId="74DE1551" w14:textId="77777777" w:rsidR="00584EC1" w:rsidRDefault="00584EC1">
            <w:pPr>
              <w:rPr>
                <w:rFonts w:ascii="宋体"/>
                <w:vanish/>
              </w:rPr>
            </w:pPr>
          </w:p>
        </w:tc>
        <w:tc>
          <w:tcPr>
            <w:tcW w:w="0" w:type="auto"/>
            <w:shd w:val="clear" w:color="auto" w:fill="auto"/>
            <w:vAlign w:val="bottom"/>
          </w:tcPr>
          <w:p w14:paraId="74DE1552" w14:textId="77777777" w:rsidR="00584EC1" w:rsidRDefault="00584EC1">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E1553"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E1554" w14:textId="77777777" w:rsidR="00584EC1" w:rsidRDefault="00871F8D">
            <w:pPr>
              <w:jc w:val="right"/>
              <w:textAlignment w:val="bottom"/>
            </w:pPr>
            <w:r>
              <w:rPr>
                <w:rFonts w:ascii="Arial" w:eastAsia="宋体" w:hAnsi="Arial" w:cs="Arial"/>
                <w:b/>
                <w:bCs/>
                <w:color w:val="000000"/>
                <w:sz w:val="14"/>
                <w:szCs w:val="14"/>
              </w:rPr>
              <w:t>193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155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556"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E1557"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E1558" w14:textId="77777777" w:rsidR="00584EC1" w:rsidRDefault="00871F8D">
            <w:pPr>
              <w:jc w:val="right"/>
              <w:textAlignment w:val="bottom"/>
            </w:pPr>
            <w:r>
              <w:rPr>
                <w:rFonts w:ascii="Arial" w:eastAsia="宋体" w:hAnsi="Arial" w:cs="Arial"/>
                <w:color w:val="000000"/>
                <w:sz w:val="14"/>
                <w:szCs w:val="14"/>
              </w:rPr>
              <w:t>148 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155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55A" w14:textId="77777777" w:rsidR="00584EC1" w:rsidRDefault="00584EC1">
            <w:pPr>
              <w:rPr>
                <w:rFonts w:ascii="宋体"/>
              </w:rPr>
            </w:pPr>
          </w:p>
        </w:tc>
        <w:tc>
          <w:tcPr>
            <w:tcW w:w="0" w:type="auto"/>
            <w:shd w:val="clear" w:color="auto" w:fill="auto"/>
            <w:vAlign w:val="bottom"/>
          </w:tcPr>
          <w:p w14:paraId="74DE155B" w14:textId="77777777" w:rsidR="00584EC1" w:rsidRDefault="00584EC1">
            <w:pPr>
              <w:rPr>
                <w:rFonts w:ascii="宋体"/>
                <w:vanish/>
              </w:rPr>
            </w:pPr>
          </w:p>
        </w:tc>
        <w:tc>
          <w:tcPr>
            <w:tcW w:w="0" w:type="auto"/>
            <w:shd w:val="clear" w:color="auto" w:fill="auto"/>
            <w:vAlign w:val="bottom"/>
          </w:tcPr>
          <w:p w14:paraId="74DE155C" w14:textId="77777777" w:rsidR="00584EC1" w:rsidRDefault="00584EC1">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E155D"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E155E" w14:textId="77777777" w:rsidR="00584EC1" w:rsidRDefault="00871F8D">
            <w:pPr>
              <w:jc w:val="right"/>
              <w:textAlignment w:val="bottom"/>
            </w:pPr>
            <w:r>
              <w:rPr>
                <w:rFonts w:ascii="Arial" w:eastAsia="宋体" w:hAnsi="Arial" w:cs="Arial"/>
                <w:b/>
                <w:bCs/>
                <w:color w:val="000000"/>
                <w:sz w:val="14"/>
                <w:szCs w:val="14"/>
              </w:rPr>
              <w:t>(22)</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155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560"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E1561"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E1562" w14:textId="77777777" w:rsidR="00584EC1" w:rsidRDefault="00871F8D">
            <w:pPr>
              <w:jc w:val="right"/>
              <w:textAlignment w:val="bottom"/>
            </w:pPr>
            <w:r>
              <w:rPr>
                <w:rFonts w:ascii="Arial" w:eastAsia="宋体" w:hAnsi="Arial" w:cs="Arial"/>
                <w:color w:val="000000"/>
                <w:sz w:val="14"/>
                <w:szCs w:val="14"/>
              </w:rPr>
              <w:t>(6)</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156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564" w14:textId="77777777" w:rsidR="00584EC1" w:rsidRDefault="00584EC1">
            <w:pPr>
              <w:rPr>
                <w:rFonts w:ascii="宋体"/>
              </w:rPr>
            </w:pPr>
          </w:p>
        </w:tc>
        <w:tc>
          <w:tcPr>
            <w:tcW w:w="0" w:type="auto"/>
            <w:gridSpan w:val="3"/>
            <w:shd w:val="clear" w:color="auto" w:fill="auto"/>
            <w:vAlign w:val="bottom"/>
          </w:tcPr>
          <w:p w14:paraId="74DE1565" w14:textId="77777777" w:rsidR="00584EC1" w:rsidRDefault="00584EC1">
            <w:pPr>
              <w:rPr>
                <w:rFonts w:ascii="宋体"/>
                <w:vanish/>
              </w:rPr>
            </w:pPr>
          </w:p>
        </w:tc>
        <w:tc>
          <w:tcPr>
            <w:tcW w:w="0" w:type="auto"/>
            <w:gridSpan w:val="3"/>
            <w:shd w:val="clear" w:color="auto" w:fill="auto"/>
            <w:vAlign w:val="bottom"/>
          </w:tcPr>
          <w:p w14:paraId="74DE1566" w14:textId="77777777" w:rsidR="00584EC1" w:rsidRDefault="00584EC1">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E1567"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E1568" w14:textId="77777777" w:rsidR="00584EC1" w:rsidRDefault="00871F8D">
            <w:pPr>
              <w:jc w:val="right"/>
              <w:textAlignment w:val="bottom"/>
            </w:pPr>
            <w:r>
              <w:rPr>
                <w:rFonts w:ascii="Arial" w:eastAsia="宋体" w:hAnsi="Arial" w:cs="Arial"/>
                <w:b/>
                <w:bCs/>
                <w:color w:val="000000"/>
                <w:sz w:val="14"/>
                <w:szCs w:val="14"/>
              </w:rPr>
              <w:t>876</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1569" w14:textId="77777777" w:rsidR="00584EC1" w:rsidRDefault="00584EC1">
            <w:pPr>
              <w:jc w:val="right"/>
              <w:rPr>
                <w:rFonts w:ascii="宋体"/>
              </w:rPr>
            </w:pPr>
          </w:p>
        </w:tc>
        <w:tc>
          <w:tcPr>
            <w:tcW w:w="0" w:type="auto"/>
            <w:gridSpan w:val="2"/>
            <w:shd w:val="clear" w:color="auto" w:fill="FFFFFF"/>
            <w:tcMar>
              <w:top w:w="0" w:type="dxa"/>
              <w:left w:w="20" w:type="dxa"/>
              <w:bottom w:w="0" w:type="dxa"/>
              <w:right w:w="20" w:type="dxa"/>
            </w:tcMar>
            <w:vAlign w:val="bottom"/>
          </w:tcPr>
          <w:p w14:paraId="74DE156A"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E156B" w14:textId="77777777" w:rsidR="00584EC1" w:rsidRDefault="00871F8D">
            <w:pPr>
              <w:textAlignment w:val="bottom"/>
            </w:pPr>
            <w:r>
              <w:rPr>
                <w:rFonts w:ascii="Arial" w:eastAsia="宋体" w:hAnsi="Arial" w:cs="Arial"/>
                <w:color w:val="000000"/>
                <w:sz w:val="14"/>
                <w:szCs w:val="14"/>
              </w:rPr>
              <w:t>$</w:t>
            </w:r>
          </w:p>
          <w:p w14:paraId="74DE156C" w14:textId="77777777" w:rsidR="00584EC1" w:rsidRDefault="00871F8D">
            <w:pPr>
              <w:jc w:val="right"/>
              <w:textAlignment w:val="bottom"/>
            </w:pPr>
            <w:r>
              <w:rPr>
                <w:rFonts w:ascii="Arial" w:eastAsia="宋体" w:hAnsi="Arial" w:cs="Arial"/>
                <w:color w:val="000000"/>
                <w:sz w:val="14"/>
                <w:szCs w:val="14"/>
              </w:rPr>
              <w:t>681 </w:t>
            </w:r>
          </w:p>
        </w:tc>
      </w:tr>
      <w:tr w:rsidR="00584EC1" w14:paraId="74DE158A" w14:textId="77777777">
        <w:tc>
          <w:tcPr>
            <w:tcW w:w="0" w:type="auto"/>
            <w:gridSpan w:val="3"/>
            <w:shd w:val="clear" w:color="auto" w:fill="CCEEFF"/>
            <w:tcMar>
              <w:top w:w="40" w:type="dxa"/>
              <w:left w:w="20" w:type="dxa"/>
              <w:bottom w:w="40" w:type="dxa"/>
              <w:right w:w="20" w:type="dxa"/>
            </w:tcMar>
            <w:vAlign w:val="bottom"/>
          </w:tcPr>
          <w:p w14:paraId="74DE156E" w14:textId="77777777" w:rsidR="00584EC1" w:rsidRDefault="00871F8D">
            <w:pPr>
              <w:textAlignment w:val="bottom"/>
            </w:pPr>
            <w:r>
              <w:rPr>
                <w:rFonts w:ascii="Arial" w:eastAsia="宋体" w:hAnsi="Arial" w:cs="Arial"/>
                <w:color w:val="000000"/>
                <w:sz w:val="14"/>
                <w:szCs w:val="14"/>
              </w:rPr>
              <w:t>Pre-tax margin</w:t>
            </w: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74DE156F" w14:textId="77777777" w:rsidR="00584EC1" w:rsidRDefault="00871F8D">
            <w:pPr>
              <w:jc w:val="right"/>
              <w:textAlignment w:val="bottom"/>
            </w:pPr>
            <w:r>
              <w:rPr>
                <w:rFonts w:ascii="Arial" w:eastAsia="宋体" w:hAnsi="Arial" w:cs="Arial"/>
                <w:b/>
                <w:bCs/>
                <w:color w:val="000000"/>
                <w:sz w:val="14"/>
                <w:szCs w:val="14"/>
              </w:rPr>
              <w:t>29</w:t>
            </w:r>
            <w:r>
              <w:rPr>
                <w:rFonts w:ascii="Arial" w:eastAsia="宋体" w:hAnsi="Arial" w:cs="Arial"/>
                <w:color w:val="000000"/>
                <w:sz w:val="14"/>
                <w:szCs w:val="14"/>
              </w:rPr>
              <w:t> </w:t>
            </w:r>
          </w:p>
        </w:tc>
        <w:tc>
          <w:tcPr>
            <w:tcW w:w="0" w:type="auto"/>
            <w:tcBorders>
              <w:top w:val="double" w:sz="6" w:space="0" w:color="000000"/>
            </w:tcBorders>
            <w:shd w:val="clear" w:color="auto" w:fill="CCEEFF"/>
            <w:tcMar>
              <w:top w:w="40" w:type="dxa"/>
              <w:left w:w="0" w:type="dxa"/>
              <w:bottom w:w="40" w:type="dxa"/>
              <w:right w:w="20" w:type="dxa"/>
            </w:tcMar>
            <w:vAlign w:val="bottom"/>
          </w:tcPr>
          <w:p w14:paraId="74DE1570" w14:textId="77777777" w:rsidR="00584EC1" w:rsidRDefault="00871F8D">
            <w:pPr>
              <w:jc w:val="right"/>
              <w:textAlignment w:val="bottom"/>
            </w:pPr>
            <w:r>
              <w:rPr>
                <w:rFonts w:ascii="Arial" w:eastAsia="宋体" w:hAnsi="Arial" w:cs="Arial"/>
                <w:b/>
                <w:bCs/>
                <w:color w:val="000000"/>
                <w:sz w:val="14"/>
                <w:szCs w:val="14"/>
              </w:rPr>
              <w:t>%</w:t>
            </w:r>
          </w:p>
        </w:tc>
        <w:tc>
          <w:tcPr>
            <w:tcW w:w="0" w:type="auto"/>
            <w:gridSpan w:val="3"/>
            <w:shd w:val="clear" w:color="auto" w:fill="CCEEFF"/>
            <w:tcMar>
              <w:top w:w="0" w:type="dxa"/>
              <w:left w:w="20" w:type="dxa"/>
              <w:bottom w:w="0" w:type="dxa"/>
              <w:right w:w="20" w:type="dxa"/>
            </w:tcMar>
            <w:vAlign w:val="bottom"/>
          </w:tcPr>
          <w:p w14:paraId="74DE1571" w14:textId="77777777" w:rsidR="00584EC1" w:rsidRDefault="00584EC1">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74DE1572" w14:textId="77777777" w:rsidR="00584EC1" w:rsidRDefault="00871F8D">
            <w:pPr>
              <w:jc w:val="right"/>
              <w:textAlignment w:val="bottom"/>
            </w:pPr>
            <w:r>
              <w:rPr>
                <w:rFonts w:ascii="Arial" w:eastAsia="宋体" w:hAnsi="Arial" w:cs="Arial"/>
                <w:color w:val="000000"/>
                <w:sz w:val="14"/>
                <w:szCs w:val="14"/>
              </w:rPr>
              <w:t>24 </w:t>
            </w:r>
          </w:p>
        </w:tc>
        <w:tc>
          <w:tcPr>
            <w:tcW w:w="0" w:type="auto"/>
            <w:tcBorders>
              <w:top w:val="double" w:sz="6" w:space="0" w:color="000000"/>
            </w:tcBorders>
            <w:shd w:val="clear" w:color="auto" w:fill="CCEEFF"/>
            <w:tcMar>
              <w:top w:w="40" w:type="dxa"/>
              <w:left w:w="0" w:type="dxa"/>
              <w:bottom w:w="40" w:type="dxa"/>
              <w:right w:w="20" w:type="dxa"/>
            </w:tcMar>
            <w:vAlign w:val="bottom"/>
          </w:tcPr>
          <w:p w14:paraId="74DE1573" w14:textId="77777777" w:rsidR="00584EC1" w:rsidRDefault="00871F8D">
            <w:pPr>
              <w:jc w:val="right"/>
              <w:textAlignment w:val="bottom"/>
            </w:pPr>
            <w:r>
              <w:rPr>
                <w:rFonts w:ascii="Arial" w:eastAsia="宋体" w:hAnsi="Arial" w:cs="Arial"/>
                <w:color w:val="000000"/>
                <w:sz w:val="14"/>
                <w:szCs w:val="14"/>
              </w:rPr>
              <w:t>%</w:t>
            </w:r>
          </w:p>
        </w:tc>
        <w:tc>
          <w:tcPr>
            <w:tcW w:w="0" w:type="auto"/>
            <w:gridSpan w:val="3"/>
            <w:shd w:val="clear" w:color="auto" w:fill="CCEEFF"/>
            <w:tcMar>
              <w:top w:w="0" w:type="dxa"/>
              <w:left w:w="20" w:type="dxa"/>
              <w:bottom w:w="0" w:type="dxa"/>
              <w:right w:w="20" w:type="dxa"/>
            </w:tcMar>
            <w:vAlign w:val="bottom"/>
          </w:tcPr>
          <w:p w14:paraId="74DE1574" w14:textId="77777777" w:rsidR="00584EC1" w:rsidRDefault="00584EC1">
            <w:pPr>
              <w:rPr>
                <w:rFonts w:ascii="宋体"/>
              </w:rPr>
            </w:pPr>
          </w:p>
        </w:tc>
        <w:tc>
          <w:tcPr>
            <w:tcW w:w="0" w:type="auto"/>
            <w:shd w:val="clear" w:color="auto" w:fill="auto"/>
            <w:vAlign w:val="bottom"/>
          </w:tcPr>
          <w:p w14:paraId="74DE1575" w14:textId="77777777" w:rsidR="00584EC1" w:rsidRDefault="00584EC1">
            <w:pPr>
              <w:rPr>
                <w:rFonts w:ascii="宋体"/>
                <w:vanish/>
              </w:rPr>
            </w:pPr>
          </w:p>
        </w:tc>
        <w:tc>
          <w:tcPr>
            <w:tcW w:w="0" w:type="auto"/>
            <w:shd w:val="clear" w:color="auto" w:fill="auto"/>
            <w:vAlign w:val="bottom"/>
          </w:tcPr>
          <w:p w14:paraId="74DE1576" w14:textId="77777777" w:rsidR="00584EC1" w:rsidRDefault="00584EC1">
            <w:pPr>
              <w:rPr>
                <w:rFonts w:ascii="宋体"/>
                <w:vanish/>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74DE1577" w14:textId="77777777" w:rsidR="00584EC1" w:rsidRDefault="00871F8D">
            <w:pPr>
              <w:jc w:val="right"/>
              <w:textAlignment w:val="bottom"/>
            </w:pPr>
            <w:r>
              <w:rPr>
                <w:rFonts w:ascii="Arial" w:eastAsia="宋体" w:hAnsi="Arial" w:cs="Arial"/>
                <w:b/>
                <w:bCs/>
                <w:color w:val="000000"/>
                <w:sz w:val="14"/>
                <w:szCs w:val="14"/>
              </w:rPr>
              <w:t>36</w:t>
            </w:r>
            <w:r>
              <w:rPr>
                <w:rFonts w:ascii="Arial" w:eastAsia="宋体" w:hAnsi="Arial" w:cs="Arial"/>
                <w:color w:val="000000"/>
                <w:sz w:val="14"/>
                <w:szCs w:val="14"/>
              </w:rPr>
              <w:t> </w:t>
            </w:r>
          </w:p>
        </w:tc>
        <w:tc>
          <w:tcPr>
            <w:tcW w:w="0" w:type="auto"/>
            <w:tcBorders>
              <w:top w:val="double" w:sz="6" w:space="0" w:color="000000"/>
            </w:tcBorders>
            <w:shd w:val="clear" w:color="auto" w:fill="CCEEFF"/>
            <w:tcMar>
              <w:top w:w="40" w:type="dxa"/>
              <w:left w:w="0" w:type="dxa"/>
              <w:bottom w:w="40" w:type="dxa"/>
              <w:right w:w="20" w:type="dxa"/>
            </w:tcMar>
            <w:vAlign w:val="bottom"/>
          </w:tcPr>
          <w:p w14:paraId="74DE1578" w14:textId="77777777" w:rsidR="00584EC1" w:rsidRDefault="00871F8D">
            <w:pPr>
              <w:jc w:val="right"/>
              <w:textAlignment w:val="bottom"/>
            </w:pPr>
            <w:r>
              <w:rPr>
                <w:rFonts w:ascii="Arial" w:eastAsia="宋体" w:hAnsi="Arial" w:cs="Arial"/>
                <w:b/>
                <w:bCs/>
                <w:color w:val="000000"/>
                <w:sz w:val="14"/>
                <w:szCs w:val="14"/>
              </w:rPr>
              <w:t>%</w:t>
            </w:r>
          </w:p>
        </w:tc>
        <w:tc>
          <w:tcPr>
            <w:tcW w:w="0" w:type="auto"/>
            <w:gridSpan w:val="3"/>
            <w:shd w:val="clear" w:color="auto" w:fill="CCEEFF"/>
            <w:tcMar>
              <w:top w:w="0" w:type="dxa"/>
              <w:left w:w="20" w:type="dxa"/>
              <w:bottom w:w="0" w:type="dxa"/>
              <w:right w:w="20" w:type="dxa"/>
            </w:tcMar>
            <w:vAlign w:val="bottom"/>
          </w:tcPr>
          <w:p w14:paraId="74DE1579" w14:textId="77777777" w:rsidR="00584EC1" w:rsidRDefault="00584EC1">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74DE157A" w14:textId="77777777" w:rsidR="00584EC1" w:rsidRDefault="00871F8D">
            <w:pPr>
              <w:jc w:val="right"/>
              <w:textAlignment w:val="bottom"/>
            </w:pPr>
            <w:r>
              <w:rPr>
                <w:rFonts w:ascii="Arial" w:eastAsia="宋体" w:hAnsi="Arial" w:cs="Arial"/>
                <w:color w:val="000000"/>
                <w:sz w:val="14"/>
                <w:szCs w:val="14"/>
              </w:rPr>
              <w:t>29 </w:t>
            </w:r>
          </w:p>
        </w:tc>
        <w:tc>
          <w:tcPr>
            <w:tcW w:w="0" w:type="auto"/>
            <w:tcBorders>
              <w:top w:val="double" w:sz="6" w:space="0" w:color="000000"/>
            </w:tcBorders>
            <w:shd w:val="clear" w:color="auto" w:fill="CCEEFF"/>
            <w:tcMar>
              <w:top w:w="40" w:type="dxa"/>
              <w:left w:w="0" w:type="dxa"/>
              <w:bottom w:w="40" w:type="dxa"/>
              <w:right w:w="20" w:type="dxa"/>
            </w:tcMar>
            <w:vAlign w:val="bottom"/>
          </w:tcPr>
          <w:p w14:paraId="74DE157B" w14:textId="77777777" w:rsidR="00584EC1" w:rsidRDefault="00871F8D">
            <w:pPr>
              <w:jc w:val="right"/>
              <w:textAlignment w:val="bottom"/>
            </w:pPr>
            <w:r>
              <w:rPr>
                <w:rFonts w:ascii="Arial" w:eastAsia="宋体" w:hAnsi="Arial" w:cs="Arial"/>
                <w:color w:val="000000"/>
                <w:sz w:val="14"/>
                <w:szCs w:val="14"/>
              </w:rPr>
              <w:t>%</w:t>
            </w:r>
          </w:p>
        </w:tc>
        <w:tc>
          <w:tcPr>
            <w:tcW w:w="0" w:type="auto"/>
            <w:gridSpan w:val="3"/>
            <w:shd w:val="clear" w:color="auto" w:fill="CCEEFF"/>
            <w:tcMar>
              <w:top w:w="0" w:type="dxa"/>
              <w:left w:w="20" w:type="dxa"/>
              <w:bottom w:w="0" w:type="dxa"/>
              <w:right w:w="20" w:type="dxa"/>
            </w:tcMar>
            <w:vAlign w:val="bottom"/>
          </w:tcPr>
          <w:p w14:paraId="74DE157C" w14:textId="77777777" w:rsidR="00584EC1" w:rsidRDefault="00584EC1">
            <w:pPr>
              <w:rPr>
                <w:rFonts w:ascii="宋体"/>
              </w:rPr>
            </w:pPr>
          </w:p>
        </w:tc>
        <w:tc>
          <w:tcPr>
            <w:tcW w:w="0" w:type="auto"/>
            <w:shd w:val="clear" w:color="auto" w:fill="auto"/>
            <w:vAlign w:val="bottom"/>
          </w:tcPr>
          <w:p w14:paraId="74DE157D" w14:textId="77777777" w:rsidR="00584EC1" w:rsidRDefault="00584EC1">
            <w:pPr>
              <w:rPr>
                <w:rFonts w:ascii="宋体"/>
                <w:vanish/>
              </w:rPr>
            </w:pPr>
          </w:p>
        </w:tc>
        <w:tc>
          <w:tcPr>
            <w:tcW w:w="0" w:type="auto"/>
            <w:shd w:val="clear" w:color="auto" w:fill="auto"/>
            <w:vAlign w:val="bottom"/>
          </w:tcPr>
          <w:p w14:paraId="74DE157E" w14:textId="77777777" w:rsidR="00584EC1" w:rsidRDefault="00584EC1">
            <w:pPr>
              <w:rPr>
                <w:rFonts w:ascii="宋体"/>
                <w:vanish/>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4DE157F"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E1580" w14:textId="77777777" w:rsidR="00584EC1" w:rsidRDefault="00584EC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4DE1581"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E1582" w14:textId="77777777" w:rsidR="00584EC1" w:rsidRDefault="00584EC1">
            <w:pPr>
              <w:rPr>
                <w:rFonts w:ascii="宋体"/>
              </w:rPr>
            </w:pPr>
          </w:p>
        </w:tc>
        <w:tc>
          <w:tcPr>
            <w:tcW w:w="0" w:type="auto"/>
            <w:gridSpan w:val="3"/>
            <w:shd w:val="clear" w:color="auto" w:fill="auto"/>
            <w:vAlign w:val="bottom"/>
          </w:tcPr>
          <w:p w14:paraId="74DE1583" w14:textId="77777777" w:rsidR="00584EC1" w:rsidRDefault="00584EC1">
            <w:pPr>
              <w:rPr>
                <w:rFonts w:ascii="宋体"/>
                <w:vanish/>
              </w:rPr>
            </w:pPr>
          </w:p>
        </w:tc>
        <w:tc>
          <w:tcPr>
            <w:tcW w:w="0" w:type="auto"/>
            <w:gridSpan w:val="3"/>
            <w:shd w:val="clear" w:color="auto" w:fill="auto"/>
            <w:vAlign w:val="bottom"/>
          </w:tcPr>
          <w:p w14:paraId="74DE1584" w14:textId="77777777" w:rsidR="00584EC1" w:rsidRDefault="00584EC1">
            <w:pPr>
              <w:rPr>
                <w:rFonts w:ascii="宋体"/>
                <w:vanish/>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74DE1585" w14:textId="77777777" w:rsidR="00584EC1" w:rsidRDefault="00871F8D">
            <w:pPr>
              <w:jc w:val="right"/>
              <w:textAlignment w:val="bottom"/>
            </w:pPr>
            <w:r>
              <w:rPr>
                <w:rFonts w:ascii="Arial" w:eastAsia="宋体" w:hAnsi="Arial" w:cs="Arial"/>
                <w:b/>
                <w:bCs/>
                <w:color w:val="000000"/>
                <w:sz w:val="14"/>
                <w:szCs w:val="14"/>
              </w:rPr>
              <w:t>29</w:t>
            </w:r>
            <w:r>
              <w:rPr>
                <w:rFonts w:ascii="Arial" w:eastAsia="宋体" w:hAnsi="Arial" w:cs="Arial"/>
                <w:color w:val="000000"/>
                <w:sz w:val="14"/>
                <w:szCs w:val="14"/>
              </w:rPr>
              <w:t> </w:t>
            </w:r>
          </w:p>
        </w:tc>
        <w:tc>
          <w:tcPr>
            <w:tcW w:w="0" w:type="auto"/>
            <w:tcBorders>
              <w:top w:val="double" w:sz="6" w:space="0" w:color="000000"/>
            </w:tcBorders>
            <w:shd w:val="clear" w:color="auto" w:fill="CCEEFF"/>
            <w:tcMar>
              <w:top w:w="40" w:type="dxa"/>
              <w:left w:w="0" w:type="dxa"/>
              <w:bottom w:w="40" w:type="dxa"/>
              <w:right w:w="20" w:type="dxa"/>
            </w:tcMar>
            <w:vAlign w:val="bottom"/>
          </w:tcPr>
          <w:p w14:paraId="74DE1586" w14:textId="77777777" w:rsidR="00584EC1" w:rsidRDefault="00871F8D">
            <w:pPr>
              <w:jc w:val="right"/>
              <w:textAlignment w:val="bottom"/>
            </w:pPr>
            <w:r>
              <w:rPr>
                <w:rFonts w:ascii="Arial" w:eastAsia="宋体" w:hAnsi="Arial" w:cs="Arial"/>
                <w:b/>
                <w:bCs/>
                <w:color w:val="000000"/>
                <w:sz w:val="14"/>
                <w:szCs w:val="14"/>
              </w:rPr>
              <w:t>%</w:t>
            </w:r>
          </w:p>
        </w:tc>
        <w:tc>
          <w:tcPr>
            <w:tcW w:w="0" w:type="auto"/>
            <w:gridSpan w:val="2"/>
            <w:shd w:val="clear" w:color="auto" w:fill="CCEEFF"/>
            <w:tcMar>
              <w:top w:w="0" w:type="dxa"/>
              <w:left w:w="20" w:type="dxa"/>
              <w:bottom w:w="0" w:type="dxa"/>
              <w:right w:w="20" w:type="dxa"/>
            </w:tcMar>
            <w:vAlign w:val="bottom"/>
          </w:tcPr>
          <w:p w14:paraId="74DE1587" w14:textId="77777777" w:rsidR="00584EC1" w:rsidRDefault="00584EC1">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bottom"/>
          </w:tcPr>
          <w:p w14:paraId="74DE1588" w14:textId="77777777" w:rsidR="00584EC1" w:rsidRDefault="00871F8D">
            <w:pPr>
              <w:jc w:val="right"/>
              <w:textAlignment w:val="bottom"/>
            </w:pPr>
            <w:r>
              <w:rPr>
                <w:rFonts w:ascii="Arial" w:eastAsia="宋体" w:hAnsi="Arial" w:cs="Arial"/>
                <w:color w:val="000000"/>
                <w:sz w:val="14"/>
                <w:szCs w:val="14"/>
              </w:rPr>
              <w:t>24 </w:t>
            </w:r>
          </w:p>
          <w:p w14:paraId="74DE1589" w14:textId="77777777" w:rsidR="00584EC1" w:rsidRDefault="00871F8D">
            <w:pPr>
              <w:jc w:val="right"/>
              <w:textAlignment w:val="bottom"/>
            </w:pPr>
            <w:r>
              <w:rPr>
                <w:rFonts w:ascii="Arial" w:eastAsia="宋体" w:hAnsi="Arial" w:cs="Arial"/>
                <w:color w:val="000000"/>
                <w:sz w:val="14"/>
                <w:szCs w:val="14"/>
              </w:rPr>
              <w:t>%</w:t>
            </w:r>
          </w:p>
        </w:tc>
      </w:tr>
      <w:tr w:rsidR="00584EC1" w14:paraId="74DE15A1" w14:textId="77777777">
        <w:trPr>
          <w:trHeight w:val="60"/>
        </w:trPr>
        <w:tc>
          <w:tcPr>
            <w:tcW w:w="0" w:type="auto"/>
            <w:gridSpan w:val="3"/>
            <w:shd w:val="clear" w:color="auto" w:fill="auto"/>
            <w:tcMar>
              <w:top w:w="0" w:type="dxa"/>
              <w:left w:w="20" w:type="dxa"/>
              <w:bottom w:w="0" w:type="dxa"/>
              <w:right w:w="20" w:type="dxa"/>
            </w:tcMar>
            <w:vAlign w:val="bottom"/>
          </w:tcPr>
          <w:p w14:paraId="74DE158B"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E158C"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158D"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E158E"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158F" w14:textId="77777777" w:rsidR="00584EC1" w:rsidRDefault="00584EC1">
            <w:pPr>
              <w:rPr>
                <w:rFonts w:ascii="宋体"/>
              </w:rPr>
            </w:pPr>
          </w:p>
        </w:tc>
        <w:tc>
          <w:tcPr>
            <w:tcW w:w="0" w:type="auto"/>
            <w:shd w:val="clear" w:color="auto" w:fill="auto"/>
            <w:vAlign w:val="bottom"/>
          </w:tcPr>
          <w:p w14:paraId="74DE1590" w14:textId="77777777" w:rsidR="00584EC1" w:rsidRDefault="00584EC1">
            <w:pPr>
              <w:rPr>
                <w:rFonts w:ascii="宋体"/>
                <w:vanish/>
              </w:rPr>
            </w:pPr>
          </w:p>
        </w:tc>
        <w:tc>
          <w:tcPr>
            <w:tcW w:w="0" w:type="auto"/>
            <w:shd w:val="clear" w:color="auto" w:fill="auto"/>
            <w:vAlign w:val="bottom"/>
          </w:tcPr>
          <w:p w14:paraId="74DE1591" w14:textId="77777777" w:rsidR="00584EC1" w:rsidRDefault="00584EC1">
            <w:pPr>
              <w:rPr>
                <w:rFonts w:ascii="宋体"/>
                <w:vanish/>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E159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1593"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E1594"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1595" w14:textId="77777777" w:rsidR="00584EC1" w:rsidRDefault="00584EC1">
            <w:pPr>
              <w:rPr>
                <w:rFonts w:ascii="宋体"/>
              </w:rPr>
            </w:pPr>
          </w:p>
        </w:tc>
        <w:tc>
          <w:tcPr>
            <w:tcW w:w="0" w:type="auto"/>
            <w:shd w:val="clear" w:color="auto" w:fill="auto"/>
            <w:vAlign w:val="bottom"/>
          </w:tcPr>
          <w:p w14:paraId="74DE1596" w14:textId="77777777" w:rsidR="00584EC1" w:rsidRDefault="00584EC1">
            <w:pPr>
              <w:rPr>
                <w:rFonts w:ascii="宋体"/>
                <w:vanish/>
              </w:rPr>
            </w:pPr>
          </w:p>
        </w:tc>
        <w:tc>
          <w:tcPr>
            <w:tcW w:w="0" w:type="auto"/>
            <w:shd w:val="clear" w:color="auto" w:fill="auto"/>
            <w:vAlign w:val="bottom"/>
          </w:tcPr>
          <w:p w14:paraId="74DE1597" w14:textId="77777777" w:rsidR="00584EC1" w:rsidRDefault="00584EC1">
            <w:pPr>
              <w:rPr>
                <w:rFonts w:ascii="宋体"/>
                <w:vanish/>
              </w:rPr>
            </w:pPr>
          </w:p>
        </w:tc>
        <w:tc>
          <w:tcPr>
            <w:tcW w:w="0" w:type="auto"/>
            <w:gridSpan w:val="3"/>
            <w:shd w:val="clear" w:color="auto" w:fill="auto"/>
            <w:tcMar>
              <w:top w:w="0" w:type="dxa"/>
              <w:left w:w="20" w:type="dxa"/>
              <w:bottom w:w="0" w:type="dxa"/>
              <w:right w:w="20" w:type="dxa"/>
            </w:tcMar>
            <w:vAlign w:val="bottom"/>
          </w:tcPr>
          <w:p w14:paraId="74DE1598"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1599"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159A"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159B" w14:textId="77777777" w:rsidR="00584EC1" w:rsidRDefault="00584EC1">
            <w:pPr>
              <w:rPr>
                <w:rFonts w:ascii="宋体"/>
              </w:rPr>
            </w:pPr>
          </w:p>
        </w:tc>
        <w:tc>
          <w:tcPr>
            <w:tcW w:w="0" w:type="auto"/>
            <w:gridSpan w:val="3"/>
            <w:shd w:val="clear" w:color="auto" w:fill="auto"/>
            <w:vAlign w:val="bottom"/>
          </w:tcPr>
          <w:p w14:paraId="74DE159C" w14:textId="77777777" w:rsidR="00584EC1" w:rsidRDefault="00584EC1">
            <w:pPr>
              <w:rPr>
                <w:rFonts w:ascii="宋体"/>
                <w:vanish/>
              </w:rPr>
            </w:pPr>
          </w:p>
        </w:tc>
        <w:tc>
          <w:tcPr>
            <w:tcW w:w="0" w:type="auto"/>
            <w:gridSpan w:val="3"/>
            <w:shd w:val="clear" w:color="auto" w:fill="auto"/>
            <w:vAlign w:val="bottom"/>
          </w:tcPr>
          <w:p w14:paraId="74DE159D" w14:textId="77777777" w:rsidR="00584EC1" w:rsidRDefault="00584EC1">
            <w:pPr>
              <w:rPr>
                <w:rFonts w:ascii="宋体"/>
                <w:vanish/>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E159E" w14:textId="77777777" w:rsidR="00584EC1" w:rsidRDefault="00584EC1">
            <w:pPr>
              <w:rPr>
                <w:rFonts w:ascii="宋体"/>
              </w:rPr>
            </w:pPr>
          </w:p>
        </w:tc>
        <w:tc>
          <w:tcPr>
            <w:tcW w:w="0" w:type="auto"/>
            <w:gridSpan w:val="2"/>
            <w:shd w:val="clear" w:color="auto" w:fill="auto"/>
            <w:tcMar>
              <w:top w:w="0" w:type="dxa"/>
              <w:left w:w="20" w:type="dxa"/>
              <w:bottom w:w="0" w:type="dxa"/>
              <w:right w:w="20" w:type="dxa"/>
            </w:tcMar>
            <w:vAlign w:val="bottom"/>
          </w:tcPr>
          <w:p w14:paraId="74DE159F" w14:textId="77777777" w:rsidR="00584EC1" w:rsidRDefault="00584EC1">
            <w:pPr>
              <w:rPr>
                <w:rFonts w:ascii="宋体"/>
              </w:rPr>
            </w:pPr>
          </w:p>
        </w:tc>
        <w:tc>
          <w:tcPr>
            <w:tcW w:w="0" w:type="auto"/>
            <w:tcBorders>
              <w:top w:val="double" w:sz="6" w:space="0" w:color="000000"/>
            </w:tcBorders>
            <w:shd w:val="clear" w:color="auto" w:fill="auto"/>
            <w:tcMar>
              <w:top w:w="0" w:type="dxa"/>
              <w:left w:w="20" w:type="dxa"/>
              <w:bottom w:w="0" w:type="dxa"/>
              <w:right w:w="20" w:type="dxa"/>
            </w:tcMar>
            <w:vAlign w:val="bottom"/>
          </w:tcPr>
          <w:p w14:paraId="74DE15A0" w14:textId="77777777" w:rsidR="00584EC1" w:rsidRDefault="00584EC1">
            <w:pPr>
              <w:rPr>
                <w:rFonts w:ascii="宋体"/>
              </w:rPr>
            </w:pPr>
          </w:p>
        </w:tc>
      </w:tr>
      <w:tr w:rsidR="00584EC1" w14:paraId="74DE15B8" w14:textId="77777777">
        <w:trPr>
          <w:hidden/>
        </w:trPr>
        <w:tc>
          <w:tcPr>
            <w:tcW w:w="0" w:type="auto"/>
            <w:gridSpan w:val="3"/>
            <w:shd w:val="clear" w:color="auto" w:fill="auto"/>
            <w:vAlign w:val="bottom"/>
          </w:tcPr>
          <w:p w14:paraId="74DE15A2" w14:textId="77777777" w:rsidR="00584EC1" w:rsidRDefault="00584EC1">
            <w:pPr>
              <w:rPr>
                <w:rFonts w:ascii="宋体"/>
                <w:vanish/>
              </w:rPr>
            </w:pPr>
          </w:p>
        </w:tc>
        <w:tc>
          <w:tcPr>
            <w:tcW w:w="0" w:type="auto"/>
            <w:gridSpan w:val="3"/>
            <w:shd w:val="clear" w:color="auto" w:fill="auto"/>
            <w:vAlign w:val="bottom"/>
          </w:tcPr>
          <w:p w14:paraId="74DE15A3" w14:textId="77777777" w:rsidR="00584EC1" w:rsidRDefault="00584EC1">
            <w:pPr>
              <w:rPr>
                <w:rFonts w:ascii="宋体"/>
                <w:vanish/>
              </w:rPr>
            </w:pPr>
          </w:p>
        </w:tc>
        <w:tc>
          <w:tcPr>
            <w:tcW w:w="0" w:type="auto"/>
            <w:gridSpan w:val="3"/>
            <w:shd w:val="clear" w:color="auto" w:fill="auto"/>
            <w:vAlign w:val="bottom"/>
          </w:tcPr>
          <w:p w14:paraId="74DE15A4" w14:textId="77777777" w:rsidR="00584EC1" w:rsidRDefault="00584EC1">
            <w:pPr>
              <w:rPr>
                <w:rFonts w:ascii="宋体"/>
                <w:vanish/>
              </w:rPr>
            </w:pPr>
          </w:p>
        </w:tc>
        <w:tc>
          <w:tcPr>
            <w:tcW w:w="0" w:type="auto"/>
            <w:gridSpan w:val="3"/>
            <w:shd w:val="clear" w:color="auto" w:fill="auto"/>
            <w:vAlign w:val="bottom"/>
          </w:tcPr>
          <w:p w14:paraId="74DE15A5" w14:textId="77777777" w:rsidR="00584EC1" w:rsidRDefault="00584EC1">
            <w:pPr>
              <w:rPr>
                <w:rFonts w:ascii="宋体"/>
                <w:vanish/>
              </w:rPr>
            </w:pPr>
          </w:p>
        </w:tc>
        <w:tc>
          <w:tcPr>
            <w:tcW w:w="0" w:type="auto"/>
            <w:gridSpan w:val="3"/>
            <w:shd w:val="clear" w:color="auto" w:fill="auto"/>
            <w:vAlign w:val="bottom"/>
          </w:tcPr>
          <w:p w14:paraId="74DE15A6" w14:textId="77777777" w:rsidR="00584EC1" w:rsidRDefault="00584EC1">
            <w:pPr>
              <w:rPr>
                <w:rFonts w:ascii="宋体"/>
                <w:vanish/>
              </w:rPr>
            </w:pPr>
          </w:p>
        </w:tc>
        <w:tc>
          <w:tcPr>
            <w:tcW w:w="0" w:type="auto"/>
            <w:shd w:val="clear" w:color="auto" w:fill="auto"/>
            <w:vAlign w:val="bottom"/>
          </w:tcPr>
          <w:p w14:paraId="74DE15A7" w14:textId="77777777" w:rsidR="00584EC1" w:rsidRDefault="00584EC1">
            <w:pPr>
              <w:rPr>
                <w:rFonts w:ascii="宋体"/>
                <w:vanish/>
              </w:rPr>
            </w:pPr>
          </w:p>
        </w:tc>
        <w:tc>
          <w:tcPr>
            <w:tcW w:w="0" w:type="auto"/>
            <w:shd w:val="clear" w:color="auto" w:fill="auto"/>
            <w:vAlign w:val="bottom"/>
          </w:tcPr>
          <w:p w14:paraId="74DE15A8" w14:textId="77777777" w:rsidR="00584EC1" w:rsidRDefault="00584EC1">
            <w:pPr>
              <w:rPr>
                <w:rFonts w:ascii="宋体"/>
                <w:vanish/>
              </w:rPr>
            </w:pPr>
          </w:p>
        </w:tc>
        <w:tc>
          <w:tcPr>
            <w:tcW w:w="0" w:type="auto"/>
            <w:gridSpan w:val="3"/>
            <w:shd w:val="clear" w:color="auto" w:fill="auto"/>
            <w:vAlign w:val="bottom"/>
          </w:tcPr>
          <w:p w14:paraId="74DE15A9" w14:textId="77777777" w:rsidR="00584EC1" w:rsidRDefault="00584EC1">
            <w:pPr>
              <w:rPr>
                <w:rFonts w:ascii="宋体"/>
                <w:vanish/>
              </w:rPr>
            </w:pPr>
          </w:p>
        </w:tc>
        <w:tc>
          <w:tcPr>
            <w:tcW w:w="0" w:type="auto"/>
            <w:gridSpan w:val="3"/>
            <w:shd w:val="clear" w:color="auto" w:fill="auto"/>
            <w:vAlign w:val="bottom"/>
          </w:tcPr>
          <w:p w14:paraId="74DE15AA" w14:textId="77777777" w:rsidR="00584EC1" w:rsidRDefault="00584EC1">
            <w:pPr>
              <w:rPr>
                <w:rFonts w:ascii="宋体"/>
                <w:vanish/>
              </w:rPr>
            </w:pPr>
          </w:p>
        </w:tc>
        <w:tc>
          <w:tcPr>
            <w:tcW w:w="0" w:type="auto"/>
            <w:gridSpan w:val="3"/>
            <w:shd w:val="clear" w:color="auto" w:fill="auto"/>
            <w:vAlign w:val="bottom"/>
          </w:tcPr>
          <w:p w14:paraId="74DE15AB" w14:textId="77777777" w:rsidR="00584EC1" w:rsidRDefault="00584EC1">
            <w:pPr>
              <w:rPr>
                <w:rFonts w:ascii="宋体"/>
                <w:vanish/>
              </w:rPr>
            </w:pPr>
          </w:p>
        </w:tc>
        <w:tc>
          <w:tcPr>
            <w:tcW w:w="0" w:type="auto"/>
            <w:gridSpan w:val="3"/>
            <w:shd w:val="clear" w:color="auto" w:fill="auto"/>
            <w:vAlign w:val="bottom"/>
          </w:tcPr>
          <w:p w14:paraId="74DE15AC" w14:textId="77777777" w:rsidR="00584EC1" w:rsidRDefault="00584EC1">
            <w:pPr>
              <w:rPr>
                <w:rFonts w:ascii="宋体"/>
                <w:vanish/>
              </w:rPr>
            </w:pPr>
          </w:p>
        </w:tc>
        <w:tc>
          <w:tcPr>
            <w:tcW w:w="0" w:type="auto"/>
            <w:shd w:val="clear" w:color="auto" w:fill="auto"/>
            <w:vAlign w:val="bottom"/>
          </w:tcPr>
          <w:p w14:paraId="74DE15AD" w14:textId="77777777" w:rsidR="00584EC1" w:rsidRDefault="00584EC1">
            <w:pPr>
              <w:rPr>
                <w:rFonts w:ascii="宋体"/>
                <w:vanish/>
              </w:rPr>
            </w:pPr>
          </w:p>
        </w:tc>
        <w:tc>
          <w:tcPr>
            <w:tcW w:w="0" w:type="auto"/>
            <w:shd w:val="clear" w:color="auto" w:fill="auto"/>
            <w:vAlign w:val="bottom"/>
          </w:tcPr>
          <w:p w14:paraId="74DE15AE" w14:textId="77777777" w:rsidR="00584EC1" w:rsidRDefault="00584EC1">
            <w:pPr>
              <w:rPr>
                <w:rFonts w:ascii="宋体"/>
                <w:vanish/>
              </w:rPr>
            </w:pPr>
          </w:p>
        </w:tc>
        <w:tc>
          <w:tcPr>
            <w:tcW w:w="0" w:type="auto"/>
            <w:gridSpan w:val="3"/>
            <w:shd w:val="clear" w:color="auto" w:fill="auto"/>
            <w:vAlign w:val="bottom"/>
          </w:tcPr>
          <w:p w14:paraId="74DE15AF" w14:textId="77777777" w:rsidR="00584EC1" w:rsidRDefault="00584EC1">
            <w:pPr>
              <w:rPr>
                <w:rFonts w:ascii="宋体"/>
                <w:vanish/>
              </w:rPr>
            </w:pPr>
          </w:p>
        </w:tc>
        <w:tc>
          <w:tcPr>
            <w:tcW w:w="0" w:type="auto"/>
            <w:gridSpan w:val="3"/>
            <w:shd w:val="clear" w:color="auto" w:fill="auto"/>
            <w:vAlign w:val="bottom"/>
          </w:tcPr>
          <w:p w14:paraId="74DE15B0" w14:textId="77777777" w:rsidR="00584EC1" w:rsidRDefault="00584EC1">
            <w:pPr>
              <w:rPr>
                <w:rFonts w:ascii="宋体"/>
                <w:vanish/>
              </w:rPr>
            </w:pPr>
          </w:p>
        </w:tc>
        <w:tc>
          <w:tcPr>
            <w:tcW w:w="0" w:type="auto"/>
            <w:gridSpan w:val="3"/>
            <w:shd w:val="clear" w:color="auto" w:fill="auto"/>
            <w:vAlign w:val="bottom"/>
          </w:tcPr>
          <w:p w14:paraId="74DE15B1" w14:textId="77777777" w:rsidR="00584EC1" w:rsidRDefault="00584EC1">
            <w:pPr>
              <w:rPr>
                <w:rFonts w:ascii="宋体"/>
                <w:vanish/>
              </w:rPr>
            </w:pPr>
          </w:p>
        </w:tc>
        <w:tc>
          <w:tcPr>
            <w:tcW w:w="0" w:type="auto"/>
            <w:gridSpan w:val="3"/>
            <w:shd w:val="clear" w:color="auto" w:fill="auto"/>
            <w:vAlign w:val="bottom"/>
          </w:tcPr>
          <w:p w14:paraId="74DE15B2" w14:textId="77777777" w:rsidR="00584EC1" w:rsidRDefault="00584EC1">
            <w:pPr>
              <w:rPr>
                <w:rFonts w:ascii="宋体"/>
                <w:vanish/>
              </w:rPr>
            </w:pPr>
          </w:p>
        </w:tc>
        <w:tc>
          <w:tcPr>
            <w:tcW w:w="0" w:type="auto"/>
            <w:gridSpan w:val="3"/>
            <w:shd w:val="clear" w:color="auto" w:fill="auto"/>
            <w:vAlign w:val="bottom"/>
          </w:tcPr>
          <w:p w14:paraId="74DE15B3" w14:textId="77777777" w:rsidR="00584EC1" w:rsidRDefault="00584EC1">
            <w:pPr>
              <w:rPr>
                <w:rFonts w:ascii="宋体"/>
                <w:vanish/>
              </w:rPr>
            </w:pPr>
          </w:p>
        </w:tc>
        <w:tc>
          <w:tcPr>
            <w:tcW w:w="0" w:type="auto"/>
            <w:gridSpan w:val="3"/>
            <w:shd w:val="clear" w:color="auto" w:fill="auto"/>
            <w:vAlign w:val="bottom"/>
          </w:tcPr>
          <w:p w14:paraId="74DE15B4" w14:textId="77777777" w:rsidR="00584EC1" w:rsidRDefault="00584EC1">
            <w:pPr>
              <w:rPr>
                <w:rFonts w:ascii="宋体"/>
                <w:vanish/>
              </w:rPr>
            </w:pPr>
          </w:p>
        </w:tc>
        <w:tc>
          <w:tcPr>
            <w:tcW w:w="0" w:type="auto"/>
            <w:gridSpan w:val="3"/>
            <w:shd w:val="clear" w:color="auto" w:fill="auto"/>
            <w:vAlign w:val="bottom"/>
          </w:tcPr>
          <w:p w14:paraId="74DE15B5" w14:textId="77777777" w:rsidR="00584EC1" w:rsidRDefault="00584EC1">
            <w:pPr>
              <w:rPr>
                <w:rFonts w:ascii="宋体"/>
                <w:vanish/>
              </w:rPr>
            </w:pPr>
          </w:p>
        </w:tc>
        <w:tc>
          <w:tcPr>
            <w:tcW w:w="0" w:type="auto"/>
            <w:gridSpan w:val="2"/>
            <w:shd w:val="clear" w:color="auto" w:fill="auto"/>
            <w:vAlign w:val="bottom"/>
          </w:tcPr>
          <w:p w14:paraId="74DE15B6" w14:textId="77777777" w:rsidR="00584EC1" w:rsidRDefault="00584EC1">
            <w:pPr>
              <w:rPr>
                <w:rFonts w:ascii="宋体"/>
                <w:vanish/>
              </w:rPr>
            </w:pPr>
          </w:p>
        </w:tc>
        <w:tc>
          <w:tcPr>
            <w:tcW w:w="0" w:type="auto"/>
            <w:shd w:val="clear" w:color="auto" w:fill="auto"/>
            <w:vAlign w:val="bottom"/>
          </w:tcPr>
          <w:p w14:paraId="74DE15B7" w14:textId="77777777" w:rsidR="00584EC1" w:rsidRDefault="00584EC1">
            <w:pPr>
              <w:rPr>
                <w:rFonts w:ascii="宋体"/>
                <w:vanish/>
              </w:rPr>
            </w:pPr>
          </w:p>
        </w:tc>
      </w:tr>
      <w:tr w:rsidR="00584EC1" w14:paraId="74DE15CF" w14:textId="77777777">
        <w:trPr>
          <w:hidden/>
        </w:trPr>
        <w:tc>
          <w:tcPr>
            <w:tcW w:w="0" w:type="auto"/>
            <w:gridSpan w:val="3"/>
            <w:shd w:val="clear" w:color="auto" w:fill="auto"/>
            <w:vAlign w:val="bottom"/>
          </w:tcPr>
          <w:p w14:paraId="74DE15B9" w14:textId="77777777" w:rsidR="00584EC1" w:rsidRDefault="00584EC1">
            <w:pPr>
              <w:rPr>
                <w:rFonts w:ascii="宋体"/>
                <w:vanish/>
              </w:rPr>
            </w:pPr>
          </w:p>
        </w:tc>
        <w:tc>
          <w:tcPr>
            <w:tcW w:w="0" w:type="auto"/>
            <w:gridSpan w:val="3"/>
            <w:shd w:val="clear" w:color="auto" w:fill="auto"/>
            <w:vAlign w:val="bottom"/>
          </w:tcPr>
          <w:p w14:paraId="74DE15BA" w14:textId="77777777" w:rsidR="00584EC1" w:rsidRDefault="00584EC1">
            <w:pPr>
              <w:rPr>
                <w:rFonts w:ascii="宋体"/>
                <w:vanish/>
              </w:rPr>
            </w:pPr>
          </w:p>
        </w:tc>
        <w:tc>
          <w:tcPr>
            <w:tcW w:w="0" w:type="auto"/>
            <w:gridSpan w:val="3"/>
            <w:shd w:val="clear" w:color="auto" w:fill="auto"/>
            <w:vAlign w:val="bottom"/>
          </w:tcPr>
          <w:p w14:paraId="74DE15BB" w14:textId="77777777" w:rsidR="00584EC1" w:rsidRDefault="00584EC1">
            <w:pPr>
              <w:rPr>
                <w:rFonts w:ascii="宋体"/>
                <w:vanish/>
              </w:rPr>
            </w:pPr>
          </w:p>
        </w:tc>
        <w:tc>
          <w:tcPr>
            <w:tcW w:w="0" w:type="auto"/>
            <w:gridSpan w:val="3"/>
            <w:shd w:val="clear" w:color="auto" w:fill="auto"/>
            <w:vAlign w:val="bottom"/>
          </w:tcPr>
          <w:p w14:paraId="74DE15BC" w14:textId="77777777" w:rsidR="00584EC1" w:rsidRDefault="00584EC1">
            <w:pPr>
              <w:rPr>
                <w:rFonts w:ascii="宋体"/>
                <w:vanish/>
              </w:rPr>
            </w:pPr>
          </w:p>
        </w:tc>
        <w:tc>
          <w:tcPr>
            <w:tcW w:w="0" w:type="auto"/>
            <w:gridSpan w:val="3"/>
            <w:shd w:val="clear" w:color="auto" w:fill="auto"/>
            <w:vAlign w:val="bottom"/>
          </w:tcPr>
          <w:p w14:paraId="74DE15BD" w14:textId="77777777" w:rsidR="00584EC1" w:rsidRDefault="00584EC1">
            <w:pPr>
              <w:rPr>
                <w:rFonts w:ascii="宋体"/>
                <w:vanish/>
              </w:rPr>
            </w:pPr>
          </w:p>
        </w:tc>
        <w:tc>
          <w:tcPr>
            <w:tcW w:w="0" w:type="auto"/>
            <w:shd w:val="clear" w:color="auto" w:fill="auto"/>
            <w:vAlign w:val="bottom"/>
          </w:tcPr>
          <w:p w14:paraId="74DE15BE" w14:textId="77777777" w:rsidR="00584EC1" w:rsidRDefault="00584EC1">
            <w:pPr>
              <w:rPr>
                <w:rFonts w:ascii="宋体"/>
                <w:vanish/>
              </w:rPr>
            </w:pPr>
          </w:p>
        </w:tc>
        <w:tc>
          <w:tcPr>
            <w:tcW w:w="0" w:type="auto"/>
            <w:shd w:val="clear" w:color="auto" w:fill="auto"/>
            <w:vAlign w:val="bottom"/>
          </w:tcPr>
          <w:p w14:paraId="74DE15BF" w14:textId="77777777" w:rsidR="00584EC1" w:rsidRDefault="00584EC1">
            <w:pPr>
              <w:rPr>
                <w:rFonts w:ascii="宋体"/>
                <w:vanish/>
              </w:rPr>
            </w:pPr>
          </w:p>
        </w:tc>
        <w:tc>
          <w:tcPr>
            <w:tcW w:w="0" w:type="auto"/>
            <w:gridSpan w:val="3"/>
            <w:shd w:val="clear" w:color="auto" w:fill="auto"/>
            <w:vAlign w:val="bottom"/>
          </w:tcPr>
          <w:p w14:paraId="74DE15C0" w14:textId="77777777" w:rsidR="00584EC1" w:rsidRDefault="00584EC1">
            <w:pPr>
              <w:rPr>
                <w:rFonts w:ascii="宋体"/>
                <w:vanish/>
              </w:rPr>
            </w:pPr>
          </w:p>
        </w:tc>
        <w:tc>
          <w:tcPr>
            <w:tcW w:w="0" w:type="auto"/>
            <w:gridSpan w:val="3"/>
            <w:shd w:val="clear" w:color="auto" w:fill="auto"/>
            <w:vAlign w:val="bottom"/>
          </w:tcPr>
          <w:p w14:paraId="74DE15C1" w14:textId="77777777" w:rsidR="00584EC1" w:rsidRDefault="00584EC1">
            <w:pPr>
              <w:rPr>
                <w:rFonts w:ascii="宋体"/>
                <w:vanish/>
              </w:rPr>
            </w:pPr>
          </w:p>
        </w:tc>
        <w:tc>
          <w:tcPr>
            <w:tcW w:w="0" w:type="auto"/>
            <w:gridSpan w:val="3"/>
            <w:shd w:val="clear" w:color="auto" w:fill="auto"/>
            <w:vAlign w:val="bottom"/>
          </w:tcPr>
          <w:p w14:paraId="74DE15C2" w14:textId="77777777" w:rsidR="00584EC1" w:rsidRDefault="00584EC1">
            <w:pPr>
              <w:rPr>
                <w:rFonts w:ascii="宋体"/>
                <w:vanish/>
              </w:rPr>
            </w:pPr>
          </w:p>
        </w:tc>
        <w:tc>
          <w:tcPr>
            <w:tcW w:w="0" w:type="auto"/>
            <w:gridSpan w:val="3"/>
            <w:shd w:val="clear" w:color="auto" w:fill="auto"/>
            <w:vAlign w:val="bottom"/>
          </w:tcPr>
          <w:p w14:paraId="74DE15C3" w14:textId="77777777" w:rsidR="00584EC1" w:rsidRDefault="00584EC1">
            <w:pPr>
              <w:rPr>
                <w:rFonts w:ascii="宋体"/>
                <w:vanish/>
              </w:rPr>
            </w:pPr>
          </w:p>
        </w:tc>
        <w:tc>
          <w:tcPr>
            <w:tcW w:w="0" w:type="auto"/>
            <w:shd w:val="clear" w:color="auto" w:fill="auto"/>
            <w:vAlign w:val="bottom"/>
          </w:tcPr>
          <w:p w14:paraId="74DE15C4" w14:textId="77777777" w:rsidR="00584EC1" w:rsidRDefault="00584EC1">
            <w:pPr>
              <w:rPr>
                <w:rFonts w:ascii="宋体"/>
                <w:vanish/>
              </w:rPr>
            </w:pPr>
          </w:p>
        </w:tc>
        <w:tc>
          <w:tcPr>
            <w:tcW w:w="0" w:type="auto"/>
            <w:shd w:val="clear" w:color="auto" w:fill="auto"/>
            <w:vAlign w:val="bottom"/>
          </w:tcPr>
          <w:p w14:paraId="74DE15C5" w14:textId="77777777" w:rsidR="00584EC1" w:rsidRDefault="00584EC1">
            <w:pPr>
              <w:rPr>
                <w:rFonts w:ascii="宋体"/>
                <w:vanish/>
              </w:rPr>
            </w:pPr>
          </w:p>
        </w:tc>
        <w:tc>
          <w:tcPr>
            <w:tcW w:w="0" w:type="auto"/>
            <w:gridSpan w:val="3"/>
            <w:shd w:val="clear" w:color="auto" w:fill="auto"/>
            <w:vAlign w:val="bottom"/>
          </w:tcPr>
          <w:p w14:paraId="74DE15C6" w14:textId="77777777" w:rsidR="00584EC1" w:rsidRDefault="00584EC1">
            <w:pPr>
              <w:rPr>
                <w:rFonts w:ascii="宋体"/>
                <w:vanish/>
              </w:rPr>
            </w:pPr>
          </w:p>
        </w:tc>
        <w:tc>
          <w:tcPr>
            <w:tcW w:w="0" w:type="auto"/>
            <w:gridSpan w:val="3"/>
            <w:shd w:val="clear" w:color="auto" w:fill="auto"/>
            <w:vAlign w:val="bottom"/>
          </w:tcPr>
          <w:p w14:paraId="74DE15C7" w14:textId="77777777" w:rsidR="00584EC1" w:rsidRDefault="00584EC1">
            <w:pPr>
              <w:rPr>
                <w:rFonts w:ascii="宋体"/>
                <w:vanish/>
              </w:rPr>
            </w:pPr>
          </w:p>
        </w:tc>
        <w:tc>
          <w:tcPr>
            <w:tcW w:w="0" w:type="auto"/>
            <w:gridSpan w:val="3"/>
            <w:shd w:val="clear" w:color="auto" w:fill="auto"/>
            <w:vAlign w:val="bottom"/>
          </w:tcPr>
          <w:p w14:paraId="74DE15C8" w14:textId="77777777" w:rsidR="00584EC1" w:rsidRDefault="00584EC1">
            <w:pPr>
              <w:rPr>
                <w:rFonts w:ascii="宋体"/>
                <w:vanish/>
              </w:rPr>
            </w:pPr>
          </w:p>
        </w:tc>
        <w:tc>
          <w:tcPr>
            <w:tcW w:w="0" w:type="auto"/>
            <w:gridSpan w:val="3"/>
            <w:shd w:val="clear" w:color="auto" w:fill="auto"/>
            <w:vAlign w:val="bottom"/>
          </w:tcPr>
          <w:p w14:paraId="74DE15C9" w14:textId="77777777" w:rsidR="00584EC1" w:rsidRDefault="00584EC1">
            <w:pPr>
              <w:rPr>
                <w:rFonts w:ascii="宋体"/>
                <w:vanish/>
              </w:rPr>
            </w:pPr>
          </w:p>
        </w:tc>
        <w:tc>
          <w:tcPr>
            <w:tcW w:w="0" w:type="auto"/>
            <w:gridSpan w:val="3"/>
            <w:shd w:val="clear" w:color="auto" w:fill="auto"/>
            <w:vAlign w:val="bottom"/>
          </w:tcPr>
          <w:p w14:paraId="74DE15CA" w14:textId="77777777" w:rsidR="00584EC1" w:rsidRDefault="00584EC1">
            <w:pPr>
              <w:rPr>
                <w:rFonts w:ascii="宋体"/>
                <w:vanish/>
              </w:rPr>
            </w:pPr>
          </w:p>
        </w:tc>
        <w:tc>
          <w:tcPr>
            <w:tcW w:w="0" w:type="auto"/>
            <w:gridSpan w:val="3"/>
            <w:shd w:val="clear" w:color="auto" w:fill="auto"/>
            <w:vAlign w:val="bottom"/>
          </w:tcPr>
          <w:p w14:paraId="74DE15CB" w14:textId="77777777" w:rsidR="00584EC1" w:rsidRDefault="00584EC1">
            <w:pPr>
              <w:rPr>
                <w:rFonts w:ascii="宋体"/>
                <w:vanish/>
              </w:rPr>
            </w:pPr>
          </w:p>
        </w:tc>
        <w:tc>
          <w:tcPr>
            <w:tcW w:w="0" w:type="auto"/>
            <w:gridSpan w:val="3"/>
            <w:shd w:val="clear" w:color="auto" w:fill="auto"/>
            <w:vAlign w:val="bottom"/>
          </w:tcPr>
          <w:p w14:paraId="74DE15CC" w14:textId="77777777" w:rsidR="00584EC1" w:rsidRDefault="00584EC1">
            <w:pPr>
              <w:rPr>
                <w:rFonts w:ascii="宋体"/>
                <w:vanish/>
              </w:rPr>
            </w:pPr>
          </w:p>
        </w:tc>
        <w:tc>
          <w:tcPr>
            <w:tcW w:w="0" w:type="auto"/>
            <w:gridSpan w:val="2"/>
            <w:shd w:val="clear" w:color="auto" w:fill="auto"/>
            <w:vAlign w:val="bottom"/>
          </w:tcPr>
          <w:p w14:paraId="74DE15CD" w14:textId="77777777" w:rsidR="00584EC1" w:rsidRDefault="00584EC1">
            <w:pPr>
              <w:rPr>
                <w:rFonts w:ascii="宋体"/>
                <w:vanish/>
              </w:rPr>
            </w:pPr>
          </w:p>
        </w:tc>
        <w:tc>
          <w:tcPr>
            <w:tcW w:w="0" w:type="auto"/>
            <w:shd w:val="clear" w:color="auto" w:fill="auto"/>
            <w:vAlign w:val="bottom"/>
          </w:tcPr>
          <w:p w14:paraId="74DE15CE" w14:textId="77777777" w:rsidR="00584EC1" w:rsidRDefault="00584EC1">
            <w:pPr>
              <w:rPr>
                <w:rFonts w:ascii="宋体"/>
                <w:vanish/>
              </w:rPr>
            </w:pPr>
          </w:p>
        </w:tc>
      </w:tr>
      <w:tr w:rsidR="00584EC1" w14:paraId="74DE15E1" w14:textId="77777777">
        <w:tc>
          <w:tcPr>
            <w:tcW w:w="0" w:type="auto"/>
            <w:gridSpan w:val="3"/>
            <w:shd w:val="clear" w:color="auto" w:fill="auto"/>
            <w:tcMar>
              <w:top w:w="0" w:type="dxa"/>
              <w:left w:w="20" w:type="dxa"/>
              <w:bottom w:w="0" w:type="dxa"/>
              <w:right w:w="20" w:type="dxa"/>
            </w:tcMar>
            <w:vAlign w:val="bottom"/>
          </w:tcPr>
          <w:p w14:paraId="74DE15D0" w14:textId="77777777" w:rsidR="00584EC1" w:rsidRDefault="00584EC1">
            <w:pPr>
              <w:rPr>
                <w:rFonts w:ascii="宋体"/>
              </w:rPr>
            </w:pPr>
          </w:p>
        </w:tc>
        <w:tc>
          <w:tcPr>
            <w:tcW w:w="0" w:type="auto"/>
            <w:gridSpan w:val="37"/>
            <w:tcBorders>
              <w:bottom w:val="single" w:sz="8" w:space="0" w:color="000000"/>
            </w:tcBorders>
            <w:shd w:val="clear" w:color="auto" w:fill="auto"/>
            <w:tcMar>
              <w:top w:w="40" w:type="dxa"/>
              <w:left w:w="20" w:type="dxa"/>
              <w:bottom w:w="40" w:type="dxa"/>
              <w:right w:w="20" w:type="dxa"/>
            </w:tcMar>
            <w:vAlign w:val="bottom"/>
          </w:tcPr>
          <w:p w14:paraId="74DE15D1" w14:textId="77777777" w:rsidR="00584EC1" w:rsidRDefault="00871F8D">
            <w:pPr>
              <w:jc w:val="center"/>
              <w:textAlignment w:val="bottom"/>
            </w:pPr>
            <w:r>
              <w:rPr>
                <w:rFonts w:ascii="Arial" w:eastAsia="宋体" w:hAnsi="Arial" w:cs="Arial"/>
                <w:b/>
                <w:bCs/>
                <w:color w:val="000000"/>
                <w:sz w:val="14"/>
                <w:szCs w:val="14"/>
              </w:rPr>
              <w:t>Nine Months Ended September 30,</w:t>
            </w:r>
          </w:p>
        </w:tc>
        <w:tc>
          <w:tcPr>
            <w:tcW w:w="0" w:type="auto"/>
            <w:shd w:val="clear" w:color="auto" w:fill="auto"/>
            <w:vAlign w:val="bottom"/>
          </w:tcPr>
          <w:p w14:paraId="74DE15D2" w14:textId="77777777" w:rsidR="00584EC1" w:rsidRDefault="00584EC1">
            <w:pPr>
              <w:rPr>
                <w:rFonts w:ascii="宋体"/>
              </w:rPr>
            </w:pPr>
          </w:p>
        </w:tc>
        <w:tc>
          <w:tcPr>
            <w:tcW w:w="0" w:type="auto"/>
            <w:shd w:val="clear" w:color="auto" w:fill="auto"/>
            <w:vAlign w:val="bottom"/>
          </w:tcPr>
          <w:p w14:paraId="74DE15D3" w14:textId="77777777" w:rsidR="00584EC1" w:rsidRDefault="00584EC1">
            <w:pPr>
              <w:rPr>
                <w:rFonts w:ascii="宋体"/>
              </w:rPr>
            </w:pPr>
          </w:p>
        </w:tc>
        <w:tc>
          <w:tcPr>
            <w:tcW w:w="0" w:type="auto"/>
            <w:shd w:val="clear" w:color="auto" w:fill="auto"/>
            <w:vAlign w:val="bottom"/>
          </w:tcPr>
          <w:p w14:paraId="74DE15D4" w14:textId="77777777" w:rsidR="00584EC1" w:rsidRDefault="00584EC1">
            <w:pPr>
              <w:rPr>
                <w:rFonts w:ascii="宋体"/>
              </w:rPr>
            </w:pPr>
          </w:p>
        </w:tc>
        <w:tc>
          <w:tcPr>
            <w:tcW w:w="0" w:type="auto"/>
            <w:shd w:val="clear" w:color="auto" w:fill="auto"/>
            <w:vAlign w:val="bottom"/>
          </w:tcPr>
          <w:p w14:paraId="74DE15D5" w14:textId="77777777" w:rsidR="00584EC1" w:rsidRDefault="00584EC1">
            <w:pPr>
              <w:rPr>
                <w:rFonts w:ascii="宋体"/>
              </w:rPr>
            </w:pPr>
          </w:p>
        </w:tc>
        <w:tc>
          <w:tcPr>
            <w:tcW w:w="0" w:type="auto"/>
            <w:shd w:val="clear" w:color="auto" w:fill="auto"/>
            <w:vAlign w:val="bottom"/>
          </w:tcPr>
          <w:p w14:paraId="74DE15D6" w14:textId="77777777" w:rsidR="00584EC1" w:rsidRDefault="00584EC1">
            <w:pPr>
              <w:rPr>
                <w:rFonts w:ascii="宋体"/>
              </w:rPr>
            </w:pPr>
          </w:p>
        </w:tc>
        <w:tc>
          <w:tcPr>
            <w:tcW w:w="0" w:type="auto"/>
            <w:shd w:val="clear" w:color="auto" w:fill="auto"/>
            <w:vAlign w:val="bottom"/>
          </w:tcPr>
          <w:p w14:paraId="74DE15D7" w14:textId="77777777" w:rsidR="00584EC1" w:rsidRDefault="00584EC1">
            <w:pPr>
              <w:rPr>
                <w:rFonts w:ascii="宋体"/>
              </w:rPr>
            </w:pPr>
          </w:p>
        </w:tc>
        <w:tc>
          <w:tcPr>
            <w:tcW w:w="0" w:type="auto"/>
            <w:shd w:val="clear" w:color="auto" w:fill="auto"/>
            <w:vAlign w:val="bottom"/>
          </w:tcPr>
          <w:p w14:paraId="74DE15D8" w14:textId="77777777" w:rsidR="00584EC1" w:rsidRDefault="00584EC1">
            <w:pPr>
              <w:rPr>
                <w:rFonts w:ascii="宋体"/>
              </w:rPr>
            </w:pPr>
          </w:p>
        </w:tc>
        <w:tc>
          <w:tcPr>
            <w:tcW w:w="0" w:type="auto"/>
            <w:shd w:val="clear" w:color="auto" w:fill="auto"/>
            <w:vAlign w:val="bottom"/>
          </w:tcPr>
          <w:p w14:paraId="74DE15D9" w14:textId="77777777" w:rsidR="00584EC1" w:rsidRDefault="00584EC1">
            <w:pPr>
              <w:rPr>
                <w:rFonts w:ascii="宋体"/>
              </w:rPr>
            </w:pPr>
          </w:p>
        </w:tc>
        <w:tc>
          <w:tcPr>
            <w:tcW w:w="0" w:type="auto"/>
            <w:shd w:val="clear" w:color="auto" w:fill="auto"/>
            <w:vAlign w:val="bottom"/>
          </w:tcPr>
          <w:p w14:paraId="74DE15DA" w14:textId="77777777" w:rsidR="00584EC1" w:rsidRDefault="00584EC1">
            <w:pPr>
              <w:rPr>
                <w:rFonts w:ascii="宋体"/>
              </w:rPr>
            </w:pPr>
          </w:p>
        </w:tc>
        <w:tc>
          <w:tcPr>
            <w:tcW w:w="0" w:type="auto"/>
            <w:shd w:val="clear" w:color="auto" w:fill="auto"/>
            <w:vAlign w:val="bottom"/>
          </w:tcPr>
          <w:p w14:paraId="74DE15DB" w14:textId="77777777" w:rsidR="00584EC1" w:rsidRDefault="00584EC1">
            <w:pPr>
              <w:rPr>
                <w:rFonts w:ascii="宋体"/>
              </w:rPr>
            </w:pPr>
          </w:p>
        </w:tc>
        <w:tc>
          <w:tcPr>
            <w:tcW w:w="0" w:type="auto"/>
            <w:shd w:val="clear" w:color="auto" w:fill="auto"/>
            <w:vAlign w:val="bottom"/>
          </w:tcPr>
          <w:p w14:paraId="74DE15DC" w14:textId="77777777" w:rsidR="00584EC1" w:rsidRDefault="00584EC1">
            <w:pPr>
              <w:rPr>
                <w:rFonts w:ascii="宋体"/>
              </w:rPr>
            </w:pPr>
          </w:p>
        </w:tc>
        <w:tc>
          <w:tcPr>
            <w:tcW w:w="0" w:type="auto"/>
            <w:shd w:val="clear" w:color="auto" w:fill="auto"/>
            <w:vAlign w:val="bottom"/>
          </w:tcPr>
          <w:p w14:paraId="74DE15DD" w14:textId="77777777" w:rsidR="00584EC1" w:rsidRDefault="00584EC1">
            <w:pPr>
              <w:rPr>
                <w:rFonts w:ascii="宋体"/>
              </w:rPr>
            </w:pPr>
          </w:p>
        </w:tc>
        <w:tc>
          <w:tcPr>
            <w:tcW w:w="0" w:type="auto"/>
            <w:shd w:val="clear" w:color="auto" w:fill="auto"/>
            <w:vAlign w:val="bottom"/>
          </w:tcPr>
          <w:p w14:paraId="74DE15DE" w14:textId="77777777" w:rsidR="00584EC1" w:rsidRDefault="00584EC1">
            <w:pPr>
              <w:rPr>
                <w:rFonts w:ascii="宋体"/>
              </w:rPr>
            </w:pPr>
          </w:p>
        </w:tc>
        <w:tc>
          <w:tcPr>
            <w:tcW w:w="0" w:type="auto"/>
            <w:shd w:val="clear" w:color="auto" w:fill="auto"/>
            <w:vAlign w:val="bottom"/>
          </w:tcPr>
          <w:p w14:paraId="74DE15DF" w14:textId="77777777" w:rsidR="00584EC1" w:rsidRDefault="00584EC1">
            <w:pPr>
              <w:rPr>
                <w:rFonts w:ascii="宋体"/>
              </w:rPr>
            </w:pPr>
          </w:p>
        </w:tc>
        <w:tc>
          <w:tcPr>
            <w:tcW w:w="0" w:type="auto"/>
            <w:shd w:val="clear" w:color="auto" w:fill="auto"/>
            <w:vAlign w:val="bottom"/>
          </w:tcPr>
          <w:p w14:paraId="74DE15E0" w14:textId="77777777" w:rsidR="00584EC1" w:rsidRDefault="00584EC1">
            <w:pPr>
              <w:rPr>
                <w:rFonts w:ascii="宋体"/>
              </w:rPr>
            </w:pPr>
          </w:p>
        </w:tc>
      </w:tr>
      <w:tr w:rsidR="00584EC1" w14:paraId="74DE15F0" w14:textId="77777777">
        <w:tc>
          <w:tcPr>
            <w:tcW w:w="0" w:type="auto"/>
            <w:gridSpan w:val="3"/>
            <w:shd w:val="clear" w:color="auto" w:fill="auto"/>
            <w:tcMar>
              <w:top w:w="0" w:type="dxa"/>
              <w:left w:w="20" w:type="dxa"/>
              <w:bottom w:w="0" w:type="dxa"/>
              <w:right w:w="20" w:type="dxa"/>
            </w:tcMar>
            <w:vAlign w:val="bottom"/>
          </w:tcPr>
          <w:p w14:paraId="74DE15E2" w14:textId="77777777" w:rsidR="00584EC1" w:rsidRDefault="00584E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4DE15E3" w14:textId="77777777" w:rsidR="00584EC1" w:rsidRDefault="00871F8D">
            <w:pPr>
              <w:jc w:val="center"/>
              <w:textAlignment w:val="bottom"/>
            </w:pPr>
            <w:r>
              <w:rPr>
                <w:rFonts w:ascii="Arial" w:eastAsia="宋体" w:hAnsi="Arial" w:cs="Arial"/>
                <w:b/>
                <w:bCs/>
                <w:color w:val="000000"/>
                <w:sz w:val="14"/>
                <w:szCs w:val="14"/>
              </w:rPr>
              <w:t>Investment</w:t>
            </w:r>
            <w:r>
              <w:rPr>
                <w:rFonts w:ascii="Arial" w:eastAsia="宋体" w:hAnsi="Arial" w:cs="Arial"/>
                <w:b/>
                <w:bCs/>
                <w:color w:val="000000"/>
                <w:sz w:val="14"/>
                <w:szCs w:val="14"/>
              </w:rPr>
              <w:br/>
              <w:t>Servicing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15E4" w14:textId="77777777" w:rsidR="00584EC1" w:rsidRDefault="00584EC1">
            <w:pPr>
              <w:rPr>
                <w:rFonts w:ascii="宋体"/>
              </w:rPr>
            </w:pPr>
          </w:p>
        </w:tc>
        <w:tc>
          <w:tcPr>
            <w:tcW w:w="0" w:type="auto"/>
            <w:shd w:val="clear" w:color="auto" w:fill="auto"/>
            <w:vAlign w:val="bottom"/>
          </w:tcPr>
          <w:p w14:paraId="74DE15E5" w14:textId="77777777" w:rsidR="00584EC1" w:rsidRDefault="00584EC1">
            <w:pPr>
              <w:rPr>
                <w:rFonts w:ascii="宋体"/>
                <w:vanish/>
              </w:rPr>
            </w:pPr>
          </w:p>
        </w:tc>
        <w:tc>
          <w:tcPr>
            <w:tcW w:w="0" w:type="auto"/>
            <w:shd w:val="clear" w:color="auto" w:fill="auto"/>
            <w:vAlign w:val="bottom"/>
          </w:tcPr>
          <w:p w14:paraId="74DE15E6" w14:textId="77777777" w:rsidR="00584EC1" w:rsidRDefault="00584EC1">
            <w:pPr>
              <w:rPr>
                <w:rFonts w:ascii="宋体"/>
                <w:vanish/>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4DE15E7" w14:textId="77777777" w:rsidR="00584EC1" w:rsidRDefault="00871F8D">
            <w:pPr>
              <w:jc w:val="center"/>
              <w:textAlignment w:val="bottom"/>
            </w:pPr>
            <w:r>
              <w:rPr>
                <w:rFonts w:ascii="Arial" w:eastAsia="宋体" w:hAnsi="Arial" w:cs="Arial"/>
                <w:b/>
                <w:bCs/>
                <w:color w:val="000000"/>
                <w:sz w:val="14"/>
                <w:szCs w:val="14"/>
              </w:rPr>
              <w:t>Investment</w:t>
            </w:r>
            <w:r>
              <w:rPr>
                <w:rFonts w:ascii="Arial" w:eastAsia="宋体" w:hAnsi="Arial" w:cs="Arial"/>
                <w:b/>
                <w:bCs/>
                <w:color w:val="000000"/>
                <w:sz w:val="14"/>
                <w:szCs w:val="14"/>
              </w:rPr>
              <w:br/>
              <w:t>Management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15E8" w14:textId="77777777" w:rsidR="00584EC1" w:rsidRDefault="00584EC1">
            <w:pPr>
              <w:rPr>
                <w:rFonts w:ascii="宋体"/>
              </w:rPr>
            </w:pPr>
          </w:p>
        </w:tc>
        <w:tc>
          <w:tcPr>
            <w:tcW w:w="0" w:type="auto"/>
            <w:shd w:val="clear" w:color="auto" w:fill="auto"/>
            <w:vAlign w:val="bottom"/>
          </w:tcPr>
          <w:p w14:paraId="74DE15E9" w14:textId="77777777" w:rsidR="00584EC1" w:rsidRDefault="00584EC1">
            <w:pPr>
              <w:rPr>
                <w:rFonts w:ascii="宋体"/>
                <w:vanish/>
              </w:rPr>
            </w:pPr>
          </w:p>
        </w:tc>
        <w:tc>
          <w:tcPr>
            <w:tcW w:w="0" w:type="auto"/>
            <w:shd w:val="clear" w:color="auto" w:fill="auto"/>
            <w:vAlign w:val="bottom"/>
          </w:tcPr>
          <w:p w14:paraId="74DE15EA" w14:textId="77777777" w:rsidR="00584EC1" w:rsidRDefault="00584EC1">
            <w:pPr>
              <w:rPr>
                <w:rFonts w:ascii="宋体"/>
                <w:vanish/>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4DE15EB" w14:textId="77777777" w:rsidR="00584EC1" w:rsidRDefault="00871F8D">
            <w:pPr>
              <w:jc w:val="center"/>
              <w:textAlignment w:val="bottom"/>
            </w:pPr>
            <w:r>
              <w:rPr>
                <w:rFonts w:ascii="Arial" w:eastAsia="宋体" w:hAnsi="Arial" w:cs="Arial"/>
                <w:b/>
                <w:bCs/>
                <w:color w:val="000000"/>
                <w:sz w:val="14"/>
                <w:szCs w:val="14"/>
              </w:rPr>
              <w:t>Other</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15EC" w14:textId="77777777" w:rsidR="00584EC1" w:rsidRDefault="00584EC1">
            <w:pPr>
              <w:rPr>
                <w:rFonts w:ascii="宋体"/>
              </w:rPr>
            </w:pPr>
          </w:p>
        </w:tc>
        <w:tc>
          <w:tcPr>
            <w:tcW w:w="0" w:type="auto"/>
            <w:gridSpan w:val="3"/>
            <w:shd w:val="clear" w:color="auto" w:fill="auto"/>
            <w:vAlign w:val="bottom"/>
          </w:tcPr>
          <w:p w14:paraId="74DE15ED" w14:textId="77777777" w:rsidR="00584EC1" w:rsidRDefault="00584EC1">
            <w:pPr>
              <w:rPr>
                <w:rFonts w:ascii="宋体"/>
                <w:vanish/>
              </w:rPr>
            </w:pPr>
          </w:p>
        </w:tc>
        <w:tc>
          <w:tcPr>
            <w:tcW w:w="0" w:type="auto"/>
            <w:gridSpan w:val="3"/>
            <w:shd w:val="clear" w:color="auto" w:fill="auto"/>
            <w:vAlign w:val="bottom"/>
          </w:tcPr>
          <w:p w14:paraId="74DE15EE" w14:textId="77777777" w:rsidR="00584EC1" w:rsidRDefault="00584EC1">
            <w:pPr>
              <w:rPr>
                <w:rFonts w:ascii="宋体"/>
                <w:vanish/>
              </w:rPr>
            </w:pPr>
          </w:p>
        </w:tc>
        <w:tc>
          <w:tcPr>
            <w:tcW w:w="0" w:type="auto"/>
            <w:gridSpan w:val="6"/>
            <w:tcBorders>
              <w:top w:val="single" w:sz="8" w:space="0" w:color="000000"/>
            </w:tcBorders>
            <w:shd w:val="clear" w:color="auto" w:fill="auto"/>
            <w:tcMar>
              <w:top w:w="40" w:type="dxa"/>
              <w:left w:w="20" w:type="dxa"/>
              <w:bottom w:w="40" w:type="dxa"/>
              <w:right w:w="20" w:type="dxa"/>
            </w:tcMar>
            <w:vAlign w:val="bottom"/>
          </w:tcPr>
          <w:p w14:paraId="74DE15EF" w14:textId="77777777" w:rsidR="00584EC1" w:rsidRDefault="00871F8D">
            <w:pPr>
              <w:jc w:val="center"/>
              <w:textAlignment w:val="bottom"/>
            </w:pPr>
            <w:r>
              <w:rPr>
                <w:rFonts w:ascii="Arial" w:eastAsia="宋体" w:hAnsi="Arial" w:cs="Arial"/>
                <w:b/>
                <w:bCs/>
                <w:color w:val="000000"/>
                <w:sz w:val="14"/>
                <w:szCs w:val="14"/>
              </w:rPr>
              <w:t>Total</w:t>
            </w:r>
          </w:p>
        </w:tc>
      </w:tr>
      <w:tr w:rsidR="00584EC1" w14:paraId="74DE1607" w14:textId="77777777">
        <w:tc>
          <w:tcPr>
            <w:tcW w:w="0" w:type="auto"/>
            <w:gridSpan w:val="3"/>
            <w:shd w:val="clear" w:color="auto" w:fill="FFFFFF"/>
            <w:tcMar>
              <w:top w:w="40" w:type="dxa"/>
              <w:left w:w="20" w:type="dxa"/>
              <w:bottom w:w="40" w:type="dxa"/>
              <w:right w:w="20" w:type="dxa"/>
            </w:tcMar>
            <w:vAlign w:val="bottom"/>
          </w:tcPr>
          <w:p w14:paraId="74DE15F1" w14:textId="77777777" w:rsidR="00584EC1" w:rsidRDefault="00871F8D">
            <w:pPr>
              <w:textAlignment w:val="bottom"/>
            </w:pPr>
            <w:r>
              <w:rPr>
                <w:rFonts w:ascii="Arial" w:eastAsia="宋体" w:hAnsi="Arial" w:cs="Arial"/>
                <w:b/>
                <w:bCs/>
                <w:color w:val="000000"/>
                <w:sz w:val="14"/>
                <w:szCs w:val="14"/>
              </w:rPr>
              <w:t>(Dollars in millions)</w:t>
            </w: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74DE15F2" w14:textId="77777777" w:rsidR="00584EC1" w:rsidRDefault="00871F8D">
            <w:pPr>
              <w:jc w:val="center"/>
              <w:textAlignment w:val="bottom"/>
            </w:pPr>
            <w:r>
              <w:rPr>
                <w:rFonts w:ascii="Arial" w:eastAsia="宋体" w:hAnsi="Arial" w:cs="Arial"/>
                <w:b/>
                <w:bCs/>
                <w:color w:val="000000"/>
                <w:sz w:val="13"/>
                <w:szCs w:val="13"/>
              </w:rPr>
              <w:t>2021</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E15F3" w14:textId="77777777" w:rsidR="00584EC1" w:rsidRDefault="00584EC1">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74DE15F4" w14:textId="77777777" w:rsidR="00584EC1" w:rsidRDefault="00871F8D">
            <w:pPr>
              <w:jc w:val="center"/>
              <w:textAlignment w:val="bottom"/>
            </w:pPr>
            <w:r>
              <w:rPr>
                <w:rFonts w:ascii="Arial" w:eastAsia="宋体" w:hAnsi="Arial" w:cs="Arial"/>
                <w:b/>
                <w:bCs/>
                <w:color w:val="000000"/>
                <w:sz w:val="13"/>
                <w:szCs w:val="13"/>
              </w:rPr>
              <w:t>2020</w:t>
            </w:r>
          </w:p>
        </w:tc>
        <w:tc>
          <w:tcPr>
            <w:tcW w:w="0" w:type="auto"/>
            <w:gridSpan w:val="3"/>
            <w:shd w:val="clear" w:color="auto" w:fill="FFFFFF"/>
            <w:tcMar>
              <w:top w:w="0" w:type="dxa"/>
              <w:left w:w="20" w:type="dxa"/>
              <w:bottom w:w="0" w:type="dxa"/>
              <w:right w:w="20" w:type="dxa"/>
            </w:tcMar>
            <w:vAlign w:val="bottom"/>
          </w:tcPr>
          <w:p w14:paraId="74DE15F5" w14:textId="77777777" w:rsidR="00584EC1" w:rsidRDefault="00584EC1">
            <w:pPr>
              <w:rPr>
                <w:rFonts w:ascii="宋体"/>
              </w:rPr>
            </w:pPr>
          </w:p>
        </w:tc>
        <w:tc>
          <w:tcPr>
            <w:tcW w:w="0" w:type="auto"/>
            <w:shd w:val="clear" w:color="auto" w:fill="auto"/>
            <w:vAlign w:val="bottom"/>
          </w:tcPr>
          <w:p w14:paraId="74DE15F6" w14:textId="77777777" w:rsidR="00584EC1" w:rsidRDefault="00584EC1">
            <w:pPr>
              <w:rPr>
                <w:rFonts w:ascii="宋体"/>
                <w:vanish/>
              </w:rPr>
            </w:pPr>
          </w:p>
        </w:tc>
        <w:tc>
          <w:tcPr>
            <w:tcW w:w="0" w:type="auto"/>
            <w:shd w:val="clear" w:color="auto" w:fill="auto"/>
            <w:vAlign w:val="bottom"/>
          </w:tcPr>
          <w:p w14:paraId="74DE15F7" w14:textId="77777777" w:rsidR="00584EC1" w:rsidRDefault="00584EC1">
            <w:pPr>
              <w:rPr>
                <w:rFonts w:ascii="宋体"/>
                <w:vanish/>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74DE15F8" w14:textId="77777777" w:rsidR="00584EC1" w:rsidRDefault="00871F8D">
            <w:pPr>
              <w:jc w:val="center"/>
              <w:textAlignment w:val="bottom"/>
            </w:pPr>
            <w:r>
              <w:rPr>
                <w:rFonts w:ascii="Arial" w:eastAsia="宋体" w:hAnsi="Arial" w:cs="Arial"/>
                <w:b/>
                <w:bCs/>
                <w:color w:val="000000"/>
                <w:sz w:val="13"/>
                <w:szCs w:val="13"/>
              </w:rPr>
              <w:t>2021</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E15F9" w14:textId="77777777" w:rsidR="00584EC1" w:rsidRDefault="00584EC1">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74DE15FA" w14:textId="77777777" w:rsidR="00584EC1" w:rsidRDefault="00871F8D">
            <w:pPr>
              <w:jc w:val="center"/>
              <w:textAlignment w:val="bottom"/>
            </w:pPr>
            <w:r>
              <w:rPr>
                <w:rFonts w:ascii="Arial" w:eastAsia="宋体" w:hAnsi="Arial" w:cs="Arial"/>
                <w:b/>
                <w:bCs/>
                <w:color w:val="000000"/>
                <w:sz w:val="13"/>
                <w:szCs w:val="13"/>
              </w:rPr>
              <w:t>2020</w:t>
            </w:r>
          </w:p>
        </w:tc>
        <w:tc>
          <w:tcPr>
            <w:tcW w:w="0" w:type="auto"/>
            <w:gridSpan w:val="3"/>
            <w:shd w:val="clear" w:color="auto" w:fill="FFFFFF"/>
            <w:tcMar>
              <w:top w:w="0" w:type="dxa"/>
              <w:left w:w="20" w:type="dxa"/>
              <w:bottom w:w="0" w:type="dxa"/>
              <w:right w:w="20" w:type="dxa"/>
            </w:tcMar>
            <w:vAlign w:val="bottom"/>
          </w:tcPr>
          <w:p w14:paraId="74DE15FB" w14:textId="77777777" w:rsidR="00584EC1" w:rsidRDefault="00584EC1">
            <w:pPr>
              <w:rPr>
                <w:rFonts w:ascii="宋体"/>
              </w:rPr>
            </w:pPr>
          </w:p>
        </w:tc>
        <w:tc>
          <w:tcPr>
            <w:tcW w:w="0" w:type="auto"/>
            <w:shd w:val="clear" w:color="auto" w:fill="auto"/>
            <w:vAlign w:val="bottom"/>
          </w:tcPr>
          <w:p w14:paraId="74DE15FC" w14:textId="77777777" w:rsidR="00584EC1" w:rsidRDefault="00584EC1">
            <w:pPr>
              <w:rPr>
                <w:rFonts w:ascii="宋体"/>
                <w:vanish/>
              </w:rPr>
            </w:pPr>
          </w:p>
        </w:tc>
        <w:tc>
          <w:tcPr>
            <w:tcW w:w="0" w:type="auto"/>
            <w:shd w:val="clear" w:color="auto" w:fill="auto"/>
            <w:vAlign w:val="bottom"/>
          </w:tcPr>
          <w:p w14:paraId="74DE15FD" w14:textId="77777777" w:rsidR="00584EC1" w:rsidRDefault="00584EC1">
            <w:pPr>
              <w:rPr>
                <w:rFonts w:ascii="宋体"/>
                <w:vanish/>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74DE15FE" w14:textId="77777777" w:rsidR="00584EC1" w:rsidRDefault="00871F8D">
            <w:pPr>
              <w:jc w:val="center"/>
              <w:textAlignment w:val="bottom"/>
            </w:pPr>
            <w:r>
              <w:rPr>
                <w:rFonts w:ascii="Arial" w:eastAsia="宋体" w:hAnsi="Arial" w:cs="Arial"/>
                <w:b/>
                <w:bCs/>
                <w:color w:val="000000"/>
                <w:sz w:val="13"/>
                <w:szCs w:val="13"/>
              </w:rPr>
              <w:t>2021</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E15FF" w14:textId="77777777" w:rsidR="00584EC1" w:rsidRDefault="00584EC1">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74DE1600" w14:textId="77777777" w:rsidR="00584EC1" w:rsidRDefault="00871F8D">
            <w:pPr>
              <w:jc w:val="center"/>
              <w:textAlignment w:val="bottom"/>
            </w:pPr>
            <w:r>
              <w:rPr>
                <w:rFonts w:ascii="Arial" w:eastAsia="宋体" w:hAnsi="Arial" w:cs="Arial"/>
                <w:b/>
                <w:bCs/>
                <w:color w:val="000000"/>
                <w:sz w:val="13"/>
                <w:szCs w:val="13"/>
              </w:rPr>
              <w:t>2020</w:t>
            </w:r>
          </w:p>
        </w:tc>
        <w:tc>
          <w:tcPr>
            <w:tcW w:w="0" w:type="auto"/>
            <w:gridSpan w:val="3"/>
            <w:shd w:val="clear" w:color="auto" w:fill="FFFFFF"/>
            <w:tcMar>
              <w:top w:w="0" w:type="dxa"/>
              <w:left w:w="20" w:type="dxa"/>
              <w:bottom w:w="0" w:type="dxa"/>
              <w:right w:w="20" w:type="dxa"/>
            </w:tcMar>
            <w:vAlign w:val="bottom"/>
          </w:tcPr>
          <w:p w14:paraId="74DE1601" w14:textId="77777777" w:rsidR="00584EC1" w:rsidRDefault="00584EC1">
            <w:pPr>
              <w:rPr>
                <w:rFonts w:ascii="宋体"/>
              </w:rPr>
            </w:pPr>
          </w:p>
        </w:tc>
        <w:tc>
          <w:tcPr>
            <w:tcW w:w="0" w:type="auto"/>
            <w:gridSpan w:val="3"/>
            <w:shd w:val="clear" w:color="auto" w:fill="auto"/>
            <w:vAlign w:val="bottom"/>
          </w:tcPr>
          <w:p w14:paraId="74DE1602" w14:textId="77777777" w:rsidR="00584EC1" w:rsidRDefault="00584EC1">
            <w:pPr>
              <w:rPr>
                <w:rFonts w:ascii="宋体"/>
                <w:vanish/>
              </w:rPr>
            </w:pPr>
          </w:p>
        </w:tc>
        <w:tc>
          <w:tcPr>
            <w:tcW w:w="0" w:type="auto"/>
            <w:gridSpan w:val="3"/>
            <w:shd w:val="clear" w:color="auto" w:fill="auto"/>
            <w:vAlign w:val="bottom"/>
          </w:tcPr>
          <w:p w14:paraId="74DE1603" w14:textId="77777777" w:rsidR="00584EC1" w:rsidRDefault="00584EC1">
            <w:pPr>
              <w:rPr>
                <w:rFonts w:ascii="宋体"/>
                <w:vanish/>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74DE1604" w14:textId="77777777" w:rsidR="00584EC1" w:rsidRDefault="00871F8D">
            <w:pPr>
              <w:jc w:val="center"/>
              <w:textAlignment w:val="bottom"/>
            </w:pPr>
            <w:r>
              <w:rPr>
                <w:rFonts w:ascii="Arial" w:eastAsia="宋体" w:hAnsi="Arial" w:cs="Arial"/>
                <w:b/>
                <w:bCs/>
                <w:color w:val="000000"/>
                <w:sz w:val="13"/>
                <w:szCs w:val="13"/>
              </w:rPr>
              <w:t>2021</w:t>
            </w:r>
          </w:p>
        </w:tc>
        <w:tc>
          <w:tcPr>
            <w:tcW w:w="0" w:type="auto"/>
            <w:gridSpan w:val="2"/>
            <w:tcBorders>
              <w:top w:val="single" w:sz="8" w:space="0" w:color="000000"/>
            </w:tcBorders>
            <w:shd w:val="clear" w:color="auto" w:fill="FFFFFF"/>
            <w:tcMar>
              <w:top w:w="0" w:type="dxa"/>
              <w:left w:w="20" w:type="dxa"/>
              <w:bottom w:w="0" w:type="dxa"/>
              <w:right w:w="20" w:type="dxa"/>
            </w:tcMar>
            <w:vAlign w:val="bottom"/>
          </w:tcPr>
          <w:p w14:paraId="74DE1605"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20" w:type="dxa"/>
            </w:tcMar>
            <w:vAlign w:val="bottom"/>
          </w:tcPr>
          <w:p w14:paraId="74DE1606" w14:textId="77777777" w:rsidR="00584EC1" w:rsidRDefault="00871F8D">
            <w:pPr>
              <w:jc w:val="center"/>
              <w:textAlignment w:val="bottom"/>
            </w:pPr>
            <w:r>
              <w:rPr>
                <w:rFonts w:ascii="Arial" w:eastAsia="宋体" w:hAnsi="Arial" w:cs="Arial"/>
                <w:b/>
                <w:bCs/>
                <w:color w:val="000000"/>
                <w:sz w:val="13"/>
                <w:szCs w:val="13"/>
              </w:rPr>
              <w:t>2020</w:t>
            </w:r>
          </w:p>
        </w:tc>
      </w:tr>
      <w:tr w:rsidR="00584EC1" w14:paraId="74DE162D" w14:textId="77777777">
        <w:tc>
          <w:tcPr>
            <w:tcW w:w="0" w:type="auto"/>
            <w:gridSpan w:val="3"/>
            <w:shd w:val="clear" w:color="auto" w:fill="CCEEFF"/>
            <w:tcMar>
              <w:top w:w="40" w:type="dxa"/>
              <w:left w:w="20" w:type="dxa"/>
              <w:bottom w:w="40" w:type="dxa"/>
              <w:right w:w="20" w:type="dxa"/>
            </w:tcMar>
            <w:vAlign w:val="bottom"/>
          </w:tcPr>
          <w:p w14:paraId="74DE1608" w14:textId="77777777" w:rsidR="00584EC1" w:rsidRDefault="00871F8D">
            <w:pPr>
              <w:textAlignment w:val="bottom"/>
            </w:pPr>
            <w:r>
              <w:rPr>
                <w:rFonts w:ascii="Arial" w:eastAsia="宋体" w:hAnsi="Arial" w:cs="Arial"/>
                <w:color w:val="000000"/>
                <w:sz w:val="14"/>
                <w:szCs w:val="14"/>
              </w:rPr>
              <w:t>Servicing fees</w:t>
            </w:r>
          </w:p>
        </w:tc>
        <w:tc>
          <w:tcPr>
            <w:tcW w:w="0" w:type="auto"/>
            <w:tcBorders>
              <w:top w:val="single" w:sz="8" w:space="0" w:color="000000"/>
            </w:tcBorders>
            <w:shd w:val="clear" w:color="auto" w:fill="CCEEFF"/>
            <w:tcMar>
              <w:top w:w="40" w:type="dxa"/>
              <w:left w:w="20" w:type="dxa"/>
              <w:bottom w:w="40" w:type="dxa"/>
              <w:right w:w="0" w:type="dxa"/>
            </w:tcMar>
            <w:vAlign w:val="bottom"/>
          </w:tcPr>
          <w:p w14:paraId="74DE1609"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160A" w14:textId="77777777" w:rsidR="00584EC1" w:rsidRDefault="00871F8D">
            <w:pPr>
              <w:jc w:val="right"/>
              <w:textAlignment w:val="bottom"/>
            </w:pPr>
            <w:r>
              <w:rPr>
                <w:rFonts w:ascii="Arial" w:eastAsia="宋体" w:hAnsi="Arial" w:cs="Arial"/>
                <w:b/>
                <w:bCs/>
                <w:color w:val="000000"/>
                <w:sz w:val="14"/>
                <w:szCs w:val="14"/>
              </w:rPr>
              <w:t>4,165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60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60C"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160D"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160E" w14:textId="77777777" w:rsidR="00584EC1" w:rsidRDefault="00871F8D">
            <w:pPr>
              <w:jc w:val="right"/>
              <w:textAlignment w:val="bottom"/>
            </w:pPr>
            <w:r>
              <w:rPr>
                <w:rFonts w:ascii="Arial" w:eastAsia="宋体" w:hAnsi="Arial" w:cs="Arial"/>
                <w:color w:val="000000"/>
                <w:sz w:val="14"/>
                <w:szCs w:val="14"/>
              </w:rPr>
              <w:t>3,860 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60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610" w14:textId="77777777" w:rsidR="00584EC1" w:rsidRDefault="00584EC1">
            <w:pPr>
              <w:rPr>
                <w:rFonts w:ascii="宋体"/>
              </w:rPr>
            </w:pPr>
          </w:p>
        </w:tc>
        <w:tc>
          <w:tcPr>
            <w:tcW w:w="0" w:type="auto"/>
            <w:shd w:val="clear" w:color="auto" w:fill="auto"/>
            <w:vAlign w:val="bottom"/>
          </w:tcPr>
          <w:p w14:paraId="74DE1611" w14:textId="77777777" w:rsidR="00584EC1" w:rsidRDefault="00584EC1">
            <w:pPr>
              <w:rPr>
                <w:rFonts w:ascii="宋体"/>
                <w:vanish/>
              </w:rPr>
            </w:pPr>
          </w:p>
        </w:tc>
        <w:tc>
          <w:tcPr>
            <w:tcW w:w="0" w:type="auto"/>
            <w:shd w:val="clear" w:color="auto" w:fill="auto"/>
            <w:vAlign w:val="bottom"/>
          </w:tcPr>
          <w:p w14:paraId="74DE1612" w14:textId="77777777" w:rsidR="00584EC1" w:rsidRDefault="00584EC1">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1613"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1614"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61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616"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1617"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1618" w14:textId="77777777" w:rsidR="00584EC1" w:rsidRDefault="00871F8D">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61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61A" w14:textId="77777777" w:rsidR="00584EC1" w:rsidRDefault="00584EC1">
            <w:pPr>
              <w:rPr>
                <w:rFonts w:ascii="宋体"/>
              </w:rPr>
            </w:pPr>
          </w:p>
        </w:tc>
        <w:tc>
          <w:tcPr>
            <w:tcW w:w="0" w:type="auto"/>
            <w:shd w:val="clear" w:color="auto" w:fill="auto"/>
            <w:vAlign w:val="bottom"/>
          </w:tcPr>
          <w:p w14:paraId="74DE161B" w14:textId="77777777" w:rsidR="00584EC1" w:rsidRDefault="00584EC1">
            <w:pPr>
              <w:rPr>
                <w:rFonts w:ascii="宋体"/>
                <w:vanish/>
              </w:rPr>
            </w:pPr>
          </w:p>
        </w:tc>
        <w:tc>
          <w:tcPr>
            <w:tcW w:w="0" w:type="auto"/>
            <w:shd w:val="clear" w:color="auto" w:fill="auto"/>
            <w:vAlign w:val="bottom"/>
          </w:tcPr>
          <w:p w14:paraId="74DE161C" w14:textId="77777777" w:rsidR="00584EC1" w:rsidRDefault="00584EC1">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161D"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161E"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61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620"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1621"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1622" w14:textId="77777777" w:rsidR="00584EC1" w:rsidRDefault="00871F8D">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62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624" w14:textId="77777777" w:rsidR="00584EC1" w:rsidRDefault="00584EC1">
            <w:pPr>
              <w:rPr>
                <w:rFonts w:ascii="宋体"/>
              </w:rPr>
            </w:pPr>
          </w:p>
        </w:tc>
        <w:tc>
          <w:tcPr>
            <w:tcW w:w="0" w:type="auto"/>
            <w:gridSpan w:val="3"/>
            <w:shd w:val="clear" w:color="auto" w:fill="auto"/>
            <w:vAlign w:val="bottom"/>
          </w:tcPr>
          <w:p w14:paraId="74DE1625" w14:textId="77777777" w:rsidR="00584EC1" w:rsidRDefault="00584EC1">
            <w:pPr>
              <w:rPr>
                <w:rFonts w:ascii="宋体"/>
                <w:vanish/>
              </w:rPr>
            </w:pPr>
          </w:p>
        </w:tc>
        <w:tc>
          <w:tcPr>
            <w:tcW w:w="0" w:type="auto"/>
            <w:gridSpan w:val="3"/>
            <w:shd w:val="clear" w:color="auto" w:fill="auto"/>
            <w:vAlign w:val="bottom"/>
          </w:tcPr>
          <w:p w14:paraId="74DE1626" w14:textId="77777777" w:rsidR="00584EC1" w:rsidRDefault="00584EC1">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1627"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1628" w14:textId="77777777" w:rsidR="00584EC1" w:rsidRDefault="00871F8D">
            <w:pPr>
              <w:jc w:val="right"/>
              <w:textAlignment w:val="bottom"/>
            </w:pPr>
            <w:r>
              <w:rPr>
                <w:rFonts w:ascii="Arial" w:eastAsia="宋体" w:hAnsi="Arial" w:cs="Arial"/>
                <w:b/>
                <w:bCs/>
                <w:color w:val="000000"/>
                <w:sz w:val="14"/>
                <w:szCs w:val="14"/>
              </w:rPr>
              <w:t>4,165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629" w14:textId="77777777" w:rsidR="00584EC1" w:rsidRDefault="00584EC1">
            <w:pPr>
              <w:jc w:val="right"/>
              <w:rPr>
                <w:rFonts w:ascii="宋体"/>
              </w:rPr>
            </w:pPr>
          </w:p>
        </w:tc>
        <w:tc>
          <w:tcPr>
            <w:tcW w:w="0" w:type="auto"/>
            <w:gridSpan w:val="2"/>
            <w:shd w:val="clear" w:color="auto" w:fill="CCEEFF"/>
            <w:tcMar>
              <w:top w:w="0" w:type="dxa"/>
              <w:left w:w="20" w:type="dxa"/>
              <w:bottom w:w="0" w:type="dxa"/>
              <w:right w:w="20" w:type="dxa"/>
            </w:tcMar>
            <w:vAlign w:val="bottom"/>
          </w:tcPr>
          <w:p w14:paraId="74DE162A"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162B" w14:textId="77777777" w:rsidR="00584EC1" w:rsidRDefault="00871F8D">
            <w:pPr>
              <w:textAlignment w:val="bottom"/>
            </w:pPr>
            <w:r>
              <w:rPr>
                <w:rFonts w:ascii="Arial" w:eastAsia="宋体" w:hAnsi="Arial" w:cs="Arial"/>
                <w:color w:val="000000"/>
                <w:sz w:val="14"/>
                <w:szCs w:val="14"/>
              </w:rPr>
              <w:t>$</w:t>
            </w:r>
          </w:p>
          <w:p w14:paraId="74DE162C" w14:textId="77777777" w:rsidR="00584EC1" w:rsidRDefault="00871F8D">
            <w:pPr>
              <w:jc w:val="right"/>
              <w:textAlignment w:val="bottom"/>
            </w:pPr>
            <w:r>
              <w:rPr>
                <w:rFonts w:ascii="Arial" w:eastAsia="宋体" w:hAnsi="Arial" w:cs="Arial"/>
                <w:color w:val="000000"/>
                <w:sz w:val="14"/>
                <w:szCs w:val="14"/>
              </w:rPr>
              <w:t>3,860 </w:t>
            </w:r>
          </w:p>
        </w:tc>
      </w:tr>
      <w:tr w:rsidR="00584EC1" w14:paraId="74DE164B" w14:textId="77777777">
        <w:tc>
          <w:tcPr>
            <w:tcW w:w="0" w:type="auto"/>
            <w:gridSpan w:val="3"/>
            <w:shd w:val="clear" w:color="auto" w:fill="FFFFFF"/>
            <w:tcMar>
              <w:top w:w="40" w:type="dxa"/>
              <w:left w:w="20" w:type="dxa"/>
              <w:bottom w:w="40" w:type="dxa"/>
              <w:right w:w="20" w:type="dxa"/>
            </w:tcMar>
            <w:vAlign w:val="bottom"/>
          </w:tcPr>
          <w:p w14:paraId="74DE162E" w14:textId="77777777" w:rsidR="00584EC1" w:rsidRDefault="00871F8D">
            <w:pPr>
              <w:textAlignment w:val="bottom"/>
            </w:pPr>
            <w:r>
              <w:rPr>
                <w:rFonts w:ascii="Arial" w:eastAsia="宋体" w:hAnsi="Arial" w:cs="Arial"/>
                <w:color w:val="000000"/>
                <w:sz w:val="14"/>
                <w:szCs w:val="14"/>
              </w:rPr>
              <w:t>Management fees</w:t>
            </w:r>
          </w:p>
        </w:tc>
        <w:tc>
          <w:tcPr>
            <w:tcW w:w="0" w:type="auto"/>
            <w:gridSpan w:val="2"/>
            <w:shd w:val="clear" w:color="auto" w:fill="FFFFFF"/>
            <w:tcMar>
              <w:top w:w="40" w:type="dxa"/>
              <w:left w:w="20" w:type="dxa"/>
              <w:bottom w:w="40" w:type="dxa"/>
              <w:right w:w="0" w:type="dxa"/>
            </w:tcMar>
            <w:vAlign w:val="bottom"/>
          </w:tcPr>
          <w:p w14:paraId="74DE162F"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E163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63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632"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E163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634" w14:textId="77777777" w:rsidR="00584EC1" w:rsidRDefault="00584EC1">
            <w:pPr>
              <w:rPr>
                <w:rFonts w:ascii="宋体"/>
              </w:rPr>
            </w:pPr>
          </w:p>
        </w:tc>
        <w:tc>
          <w:tcPr>
            <w:tcW w:w="0" w:type="auto"/>
            <w:shd w:val="clear" w:color="auto" w:fill="auto"/>
            <w:vAlign w:val="bottom"/>
          </w:tcPr>
          <w:p w14:paraId="74DE1635" w14:textId="77777777" w:rsidR="00584EC1" w:rsidRDefault="00584EC1">
            <w:pPr>
              <w:rPr>
                <w:rFonts w:ascii="宋体"/>
                <w:vanish/>
              </w:rPr>
            </w:pPr>
          </w:p>
        </w:tc>
        <w:tc>
          <w:tcPr>
            <w:tcW w:w="0" w:type="auto"/>
            <w:shd w:val="clear" w:color="auto" w:fill="auto"/>
            <w:vAlign w:val="bottom"/>
          </w:tcPr>
          <w:p w14:paraId="74DE1636"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E1637" w14:textId="77777777" w:rsidR="00584EC1" w:rsidRDefault="00871F8D">
            <w:pPr>
              <w:jc w:val="right"/>
              <w:textAlignment w:val="bottom"/>
            </w:pPr>
            <w:r>
              <w:rPr>
                <w:rFonts w:ascii="Arial" w:eastAsia="宋体" w:hAnsi="Arial" w:cs="Arial"/>
                <w:b/>
                <w:bCs/>
                <w:color w:val="000000"/>
                <w:sz w:val="14"/>
                <w:szCs w:val="14"/>
              </w:rPr>
              <w:t>1,523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E163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63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63A" w14:textId="77777777" w:rsidR="00584EC1" w:rsidRDefault="00871F8D">
            <w:pPr>
              <w:jc w:val="right"/>
              <w:textAlignment w:val="bottom"/>
            </w:pPr>
            <w:r>
              <w:rPr>
                <w:rFonts w:ascii="Arial" w:eastAsia="宋体" w:hAnsi="Arial" w:cs="Arial"/>
                <w:color w:val="000000"/>
                <w:sz w:val="14"/>
                <w:szCs w:val="14"/>
              </w:rPr>
              <w:t>1,387 </w:t>
            </w:r>
          </w:p>
        </w:tc>
        <w:tc>
          <w:tcPr>
            <w:tcW w:w="0" w:type="auto"/>
            <w:shd w:val="clear" w:color="auto" w:fill="FFFFFF"/>
            <w:tcMar>
              <w:top w:w="40" w:type="dxa"/>
              <w:left w:w="0" w:type="dxa"/>
              <w:bottom w:w="40" w:type="dxa"/>
              <w:right w:w="20" w:type="dxa"/>
            </w:tcMar>
            <w:vAlign w:val="bottom"/>
          </w:tcPr>
          <w:p w14:paraId="74DE163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63C" w14:textId="77777777" w:rsidR="00584EC1" w:rsidRDefault="00584EC1">
            <w:pPr>
              <w:rPr>
                <w:rFonts w:ascii="宋体"/>
              </w:rPr>
            </w:pPr>
          </w:p>
        </w:tc>
        <w:tc>
          <w:tcPr>
            <w:tcW w:w="0" w:type="auto"/>
            <w:shd w:val="clear" w:color="auto" w:fill="auto"/>
            <w:vAlign w:val="bottom"/>
          </w:tcPr>
          <w:p w14:paraId="74DE163D" w14:textId="77777777" w:rsidR="00584EC1" w:rsidRDefault="00584EC1">
            <w:pPr>
              <w:rPr>
                <w:rFonts w:ascii="宋体"/>
                <w:vanish/>
              </w:rPr>
            </w:pPr>
          </w:p>
        </w:tc>
        <w:tc>
          <w:tcPr>
            <w:tcW w:w="0" w:type="auto"/>
            <w:shd w:val="clear" w:color="auto" w:fill="auto"/>
            <w:vAlign w:val="bottom"/>
          </w:tcPr>
          <w:p w14:paraId="74DE163E"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E163F"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E164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64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642"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E164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644" w14:textId="77777777" w:rsidR="00584EC1" w:rsidRDefault="00584EC1">
            <w:pPr>
              <w:rPr>
                <w:rFonts w:ascii="宋体"/>
              </w:rPr>
            </w:pPr>
          </w:p>
        </w:tc>
        <w:tc>
          <w:tcPr>
            <w:tcW w:w="0" w:type="auto"/>
            <w:gridSpan w:val="3"/>
            <w:shd w:val="clear" w:color="auto" w:fill="auto"/>
            <w:vAlign w:val="bottom"/>
          </w:tcPr>
          <w:p w14:paraId="74DE1645" w14:textId="77777777" w:rsidR="00584EC1" w:rsidRDefault="00584EC1">
            <w:pPr>
              <w:rPr>
                <w:rFonts w:ascii="宋体"/>
                <w:vanish/>
              </w:rPr>
            </w:pPr>
          </w:p>
        </w:tc>
        <w:tc>
          <w:tcPr>
            <w:tcW w:w="0" w:type="auto"/>
            <w:gridSpan w:val="3"/>
            <w:shd w:val="clear" w:color="auto" w:fill="auto"/>
            <w:vAlign w:val="bottom"/>
          </w:tcPr>
          <w:p w14:paraId="74DE1646"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E1647" w14:textId="77777777" w:rsidR="00584EC1" w:rsidRDefault="00871F8D">
            <w:pPr>
              <w:jc w:val="right"/>
              <w:textAlignment w:val="bottom"/>
            </w:pPr>
            <w:r>
              <w:rPr>
                <w:rFonts w:ascii="Arial" w:eastAsia="宋体" w:hAnsi="Arial" w:cs="Arial"/>
                <w:b/>
                <w:bCs/>
                <w:color w:val="000000"/>
                <w:sz w:val="14"/>
                <w:szCs w:val="14"/>
              </w:rPr>
              <w:t>1,523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E1648" w14:textId="77777777" w:rsidR="00584EC1" w:rsidRDefault="00584EC1">
            <w:pPr>
              <w:jc w:val="right"/>
              <w:rPr>
                <w:rFonts w:ascii="宋体"/>
              </w:rPr>
            </w:pPr>
          </w:p>
        </w:tc>
        <w:tc>
          <w:tcPr>
            <w:tcW w:w="0" w:type="auto"/>
            <w:gridSpan w:val="2"/>
            <w:shd w:val="clear" w:color="auto" w:fill="FFFFFF"/>
            <w:tcMar>
              <w:top w:w="0" w:type="dxa"/>
              <w:left w:w="20" w:type="dxa"/>
              <w:bottom w:w="0" w:type="dxa"/>
              <w:right w:w="20" w:type="dxa"/>
            </w:tcMar>
            <w:vAlign w:val="bottom"/>
          </w:tcPr>
          <w:p w14:paraId="74DE1649" w14:textId="77777777" w:rsidR="00584EC1" w:rsidRDefault="00584EC1">
            <w:pPr>
              <w:rPr>
                <w:rFonts w:ascii="宋体"/>
              </w:rPr>
            </w:pPr>
          </w:p>
        </w:tc>
        <w:tc>
          <w:tcPr>
            <w:tcW w:w="0" w:type="auto"/>
            <w:shd w:val="clear" w:color="auto" w:fill="FFFFFF"/>
            <w:tcMar>
              <w:top w:w="40" w:type="dxa"/>
              <w:left w:w="20" w:type="dxa"/>
              <w:bottom w:w="40" w:type="dxa"/>
              <w:right w:w="0" w:type="dxa"/>
            </w:tcMar>
            <w:vAlign w:val="bottom"/>
          </w:tcPr>
          <w:p w14:paraId="74DE164A" w14:textId="77777777" w:rsidR="00584EC1" w:rsidRDefault="00871F8D">
            <w:pPr>
              <w:jc w:val="right"/>
              <w:textAlignment w:val="bottom"/>
            </w:pPr>
            <w:r>
              <w:rPr>
                <w:rFonts w:ascii="Arial" w:eastAsia="宋体" w:hAnsi="Arial" w:cs="Arial"/>
                <w:color w:val="000000"/>
                <w:sz w:val="14"/>
                <w:szCs w:val="14"/>
              </w:rPr>
              <w:t>1,387 </w:t>
            </w:r>
          </w:p>
        </w:tc>
      </w:tr>
      <w:tr w:rsidR="00584EC1" w14:paraId="74DE1669" w14:textId="77777777">
        <w:tc>
          <w:tcPr>
            <w:tcW w:w="0" w:type="auto"/>
            <w:gridSpan w:val="3"/>
            <w:shd w:val="clear" w:color="auto" w:fill="CCEEFF"/>
            <w:tcMar>
              <w:top w:w="40" w:type="dxa"/>
              <w:left w:w="20" w:type="dxa"/>
              <w:bottom w:w="40" w:type="dxa"/>
              <w:right w:w="20" w:type="dxa"/>
            </w:tcMar>
            <w:vAlign w:val="bottom"/>
          </w:tcPr>
          <w:p w14:paraId="74DE164C" w14:textId="77777777" w:rsidR="00584EC1" w:rsidRDefault="00871F8D">
            <w:pPr>
              <w:textAlignment w:val="bottom"/>
            </w:pPr>
            <w:r>
              <w:rPr>
                <w:rFonts w:ascii="Arial" w:eastAsia="宋体" w:hAnsi="Arial" w:cs="Arial"/>
                <w:color w:val="000000"/>
                <w:sz w:val="14"/>
                <w:szCs w:val="14"/>
              </w:rPr>
              <w:t>Foreign exchange trading services</w:t>
            </w:r>
          </w:p>
        </w:tc>
        <w:tc>
          <w:tcPr>
            <w:tcW w:w="0" w:type="auto"/>
            <w:gridSpan w:val="2"/>
            <w:shd w:val="clear" w:color="auto" w:fill="CCEEFF"/>
            <w:tcMar>
              <w:top w:w="40" w:type="dxa"/>
              <w:left w:w="20" w:type="dxa"/>
              <w:bottom w:w="40" w:type="dxa"/>
              <w:right w:w="0" w:type="dxa"/>
            </w:tcMar>
            <w:vAlign w:val="bottom"/>
          </w:tcPr>
          <w:p w14:paraId="74DE164D" w14:textId="77777777" w:rsidR="00584EC1" w:rsidRDefault="00871F8D">
            <w:pPr>
              <w:jc w:val="right"/>
              <w:textAlignment w:val="bottom"/>
            </w:pPr>
            <w:r>
              <w:rPr>
                <w:rFonts w:ascii="Arial" w:eastAsia="宋体" w:hAnsi="Arial" w:cs="Arial"/>
                <w:b/>
                <w:bCs/>
                <w:color w:val="000000"/>
                <w:sz w:val="14"/>
                <w:szCs w:val="14"/>
              </w:rPr>
              <w:t>869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E164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64F"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650" w14:textId="77777777" w:rsidR="00584EC1" w:rsidRDefault="00871F8D">
            <w:pPr>
              <w:jc w:val="right"/>
              <w:textAlignment w:val="bottom"/>
            </w:pPr>
            <w:r>
              <w:rPr>
                <w:rFonts w:ascii="Arial" w:eastAsia="宋体" w:hAnsi="Arial" w:cs="Arial"/>
                <w:color w:val="000000"/>
                <w:sz w:val="14"/>
                <w:szCs w:val="14"/>
              </w:rPr>
              <w:t>998 </w:t>
            </w:r>
          </w:p>
        </w:tc>
        <w:tc>
          <w:tcPr>
            <w:tcW w:w="0" w:type="auto"/>
            <w:shd w:val="clear" w:color="auto" w:fill="CCEEFF"/>
            <w:tcMar>
              <w:top w:w="40" w:type="dxa"/>
              <w:left w:w="0" w:type="dxa"/>
              <w:bottom w:w="40" w:type="dxa"/>
              <w:right w:w="20" w:type="dxa"/>
            </w:tcMar>
            <w:vAlign w:val="bottom"/>
          </w:tcPr>
          <w:p w14:paraId="74DE165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652" w14:textId="77777777" w:rsidR="00584EC1" w:rsidRDefault="00584EC1">
            <w:pPr>
              <w:rPr>
                <w:rFonts w:ascii="宋体"/>
              </w:rPr>
            </w:pPr>
          </w:p>
        </w:tc>
        <w:tc>
          <w:tcPr>
            <w:tcW w:w="0" w:type="auto"/>
            <w:shd w:val="clear" w:color="auto" w:fill="auto"/>
            <w:vAlign w:val="bottom"/>
          </w:tcPr>
          <w:p w14:paraId="74DE1653" w14:textId="77777777" w:rsidR="00584EC1" w:rsidRDefault="00584EC1">
            <w:pPr>
              <w:rPr>
                <w:rFonts w:ascii="宋体"/>
                <w:vanish/>
              </w:rPr>
            </w:pPr>
          </w:p>
        </w:tc>
        <w:tc>
          <w:tcPr>
            <w:tcW w:w="0" w:type="auto"/>
            <w:shd w:val="clear" w:color="auto" w:fill="auto"/>
            <w:vAlign w:val="bottom"/>
          </w:tcPr>
          <w:p w14:paraId="74DE1654" w14:textId="77777777" w:rsidR="00584EC1" w:rsidRDefault="00584EC1">
            <w:pPr>
              <w:rPr>
                <w:rFonts w:ascii="宋体"/>
                <w:vanish/>
              </w:rPr>
            </w:pPr>
          </w:p>
        </w:tc>
        <w:tc>
          <w:tcPr>
            <w:tcW w:w="0" w:type="auto"/>
            <w:gridSpan w:val="2"/>
            <w:shd w:val="clear" w:color="auto" w:fill="CCEEFF"/>
            <w:tcMar>
              <w:top w:w="40" w:type="dxa"/>
              <w:left w:w="20" w:type="dxa"/>
              <w:bottom w:w="40" w:type="dxa"/>
              <w:right w:w="0" w:type="dxa"/>
            </w:tcMar>
            <w:vAlign w:val="bottom"/>
          </w:tcPr>
          <w:p w14:paraId="74DE1655" w14:textId="77777777" w:rsidR="00584EC1" w:rsidRDefault="00871F8D">
            <w:pPr>
              <w:jc w:val="right"/>
              <w:textAlignment w:val="bottom"/>
            </w:pPr>
            <w:r>
              <w:rPr>
                <w:rFonts w:ascii="Arial" w:eastAsia="宋体" w:hAnsi="Arial" w:cs="Arial"/>
                <w:b/>
                <w:bCs/>
                <w:color w:val="000000"/>
                <w:sz w:val="14"/>
                <w:szCs w:val="14"/>
              </w:rPr>
              <w:t>42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E165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65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658" w14:textId="77777777" w:rsidR="00584EC1" w:rsidRDefault="00871F8D">
            <w:pPr>
              <w:jc w:val="right"/>
              <w:textAlignment w:val="bottom"/>
            </w:pPr>
            <w:r>
              <w:rPr>
                <w:rFonts w:ascii="Arial" w:eastAsia="宋体" w:hAnsi="Arial" w:cs="Arial"/>
                <w:color w:val="000000"/>
                <w:sz w:val="14"/>
                <w:szCs w:val="14"/>
              </w:rPr>
              <w:t>41 </w:t>
            </w:r>
          </w:p>
        </w:tc>
        <w:tc>
          <w:tcPr>
            <w:tcW w:w="0" w:type="auto"/>
            <w:shd w:val="clear" w:color="auto" w:fill="CCEEFF"/>
            <w:tcMar>
              <w:top w:w="40" w:type="dxa"/>
              <w:left w:w="0" w:type="dxa"/>
              <w:bottom w:w="40" w:type="dxa"/>
              <w:right w:w="20" w:type="dxa"/>
            </w:tcMar>
            <w:vAlign w:val="bottom"/>
          </w:tcPr>
          <w:p w14:paraId="74DE165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65A" w14:textId="77777777" w:rsidR="00584EC1" w:rsidRDefault="00584EC1">
            <w:pPr>
              <w:rPr>
                <w:rFonts w:ascii="宋体"/>
              </w:rPr>
            </w:pPr>
          </w:p>
        </w:tc>
        <w:tc>
          <w:tcPr>
            <w:tcW w:w="0" w:type="auto"/>
            <w:shd w:val="clear" w:color="auto" w:fill="auto"/>
            <w:vAlign w:val="bottom"/>
          </w:tcPr>
          <w:p w14:paraId="74DE165B" w14:textId="77777777" w:rsidR="00584EC1" w:rsidRDefault="00584EC1">
            <w:pPr>
              <w:rPr>
                <w:rFonts w:ascii="宋体"/>
                <w:vanish/>
              </w:rPr>
            </w:pPr>
          </w:p>
        </w:tc>
        <w:tc>
          <w:tcPr>
            <w:tcW w:w="0" w:type="auto"/>
            <w:shd w:val="clear" w:color="auto" w:fill="auto"/>
            <w:vAlign w:val="bottom"/>
          </w:tcPr>
          <w:p w14:paraId="74DE165C" w14:textId="77777777" w:rsidR="00584EC1" w:rsidRDefault="00584EC1">
            <w:pPr>
              <w:rPr>
                <w:rFonts w:ascii="宋体"/>
                <w:vanish/>
              </w:rPr>
            </w:pPr>
          </w:p>
        </w:tc>
        <w:tc>
          <w:tcPr>
            <w:tcW w:w="0" w:type="auto"/>
            <w:gridSpan w:val="2"/>
            <w:shd w:val="clear" w:color="auto" w:fill="CCEEFF"/>
            <w:tcMar>
              <w:top w:w="40" w:type="dxa"/>
              <w:left w:w="20" w:type="dxa"/>
              <w:bottom w:w="40" w:type="dxa"/>
              <w:right w:w="0" w:type="dxa"/>
            </w:tcMar>
            <w:vAlign w:val="bottom"/>
          </w:tcPr>
          <w:p w14:paraId="74DE165D"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E165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65F"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660"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E166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662" w14:textId="77777777" w:rsidR="00584EC1" w:rsidRDefault="00584EC1">
            <w:pPr>
              <w:rPr>
                <w:rFonts w:ascii="宋体"/>
              </w:rPr>
            </w:pPr>
          </w:p>
        </w:tc>
        <w:tc>
          <w:tcPr>
            <w:tcW w:w="0" w:type="auto"/>
            <w:gridSpan w:val="3"/>
            <w:shd w:val="clear" w:color="auto" w:fill="auto"/>
            <w:vAlign w:val="bottom"/>
          </w:tcPr>
          <w:p w14:paraId="74DE1663" w14:textId="77777777" w:rsidR="00584EC1" w:rsidRDefault="00584EC1">
            <w:pPr>
              <w:rPr>
                <w:rFonts w:ascii="宋体"/>
                <w:vanish/>
              </w:rPr>
            </w:pPr>
          </w:p>
        </w:tc>
        <w:tc>
          <w:tcPr>
            <w:tcW w:w="0" w:type="auto"/>
            <w:gridSpan w:val="3"/>
            <w:shd w:val="clear" w:color="auto" w:fill="auto"/>
            <w:vAlign w:val="bottom"/>
          </w:tcPr>
          <w:p w14:paraId="74DE1664" w14:textId="77777777" w:rsidR="00584EC1" w:rsidRDefault="00584EC1">
            <w:pPr>
              <w:rPr>
                <w:rFonts w:ascii="宋体"/>
                <w:vanish/>
              </w:rPr>
            </w:pPr>
          </w:p>
        </w:tc>
        <w:tc>
          <w:tcPr>
            <w:tcW w:w="0" w:type="auto"/>
            <w:gridSpan w:val="2"/>
            <w:shd w:val="clear" w:color="auto" w:fill="CCEEFF"/>
            <w:tcMar>
              <w:top w:w="40" w:type="dxa"/>
              <w:left w:w="20" w:type="dxa"/>
              <w:bottom w:w="40" w:type="dxa"/>
              <w:right w:w="0" w:type="dxa"/>
            </w:tcMar>
            <w:vAlign w:val="bottom"/>
          </w:tcPr>
          <w:p w14:paraId="74DE1665" w14:textId="77777777" w:rsidR="00584EC1" w:rsidRDefault="00871F8D">
            <w:pPr>
              <w:jc w:val="right"/>
              <w:textAlignment w:val="bottom"/>
            </w:pPr>
            <w:r>
              <w:rPr>
                <w:rFonts w:ascii="Arial" w:eastAsia="宋体" w:hAnsi="Arial" w:cs="Arial"/>
                <w:b/>
                <w:bCs/>
                <w:color w:val="000000"/>
                <w:sz w:val="14"/>
                <w:szCs w:val="14"/>
              </w:rPr>
              <w:t>911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E1666" w14:textId="77777777" w:rsidR="00584EC1" w:rsidRDefault="00584EC1">
            <w:pPr>
              <w:jc w:val="right"/>
              <w:rPr>
                <w:rFonts w:ascii="宋体"/>
              </w:rPr>
            </w:pPr>
          </w:p>
        </w:tc>
        <w:tc>
          <w:tcPr>
            <w:tcW w:w="0" w:type="auto"/>
            <w:gridSpan w:val="2"/>
            <w:shd w:val="clear" w:color="auto" w:fill="CCEEFF"/>
            <w:tcMar>
              <w:top w:w="0" w:type="dxa"/>
              <w:left w:w="20" w:type="dxa"/>
              <w:bottom w:w="0" w:type="dxa"/>
              <w:right w:w="20" w:type="dxa"/>
            </w:tcMar>
            <w:vAlign w:val="bottom"/>
          </w:tcPr>
          <w:p w14:paraId="74DE1667"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E1668" w14:textId="77777777" w:rsidR="00584EC1" w:rsidRDefault="00871F8D">
            <w:pPr>
              <w:jc w:val="right"/>
              <w:textAlignment w:val="bottom"/>
            </w:pPr>
            <w:r>
              <w:rPr>
                <w:rFonts w:ascii="Arial" w:eastAsia="宋体" w:hAnsi="Arial" w:cs="Arial"/>
                <w:color w:val="000000"/>
                <w:sz w:val="14"/>
                <w:szCs w:val="14"/>
              </w:rPr>
              <w:t>1,039 </w:t>
            </w:r>
          </w:p>
        </w:tc>
      </w:tr>
      <w:tr w:rsidR="00584EC1" w14:paraId="74DE1687" w14:textId="77777777">
        <w:tc>
          <w:tcPr>
            <w:tcW w:w="0" w:type="auto"/>
            <w:gridSpan w:val="3"/>
            <w:shd w:val="clear" w:color="auto" w:fill="FFFFFF"/>
            <w:tcMar>
              <w:top w:w="40" w:type="dxa"/>
              <w:left w:w="20" w:type="dxa"/>
              <w:bottom w:w="40" w:type="dxa"/>
              <w:right w:w="20" w:type="dxa"/>
            </w:tcMar>
            <w:vAlign w:val="bottom"/>
          </w:tcPr>
          <w:p w14:paraId="74DE166A" w14:textId="77777777" w:rsidR="00584EC1" w:rsidRDefault="00871F8D">
            <w:pPr>
              <w:textAlignment w:val="bottom"/>
            </w:pPr>
            <w:r>
              <w:rPr>
                <w:rFonts w:ascii="Arial" w:eastAsia="宋体" w:hAnsi="Arial" w:cs="Arial"/>
                <w:color w:val="000000"/>
                <w:sz w:val="14"/>
                <w:szCs w:val="14"/>
              </w:rPr>
              <w:t>Securities finance</w:t>
            </w:r>
          </w:p>
        </w:tc>
        <w:tc>
          <w:tcPr>
            <w:tcW w:w="0" w:type="auto"/>
            <w:gridSpan w:val="2"/>
            <w:shd w:val="clear" w:color="auto" w:fill="FFFFFF"/>
            <w:tcMar>
              <w:top w:w="40" w:type="dxa"/>
              <w:left w:w="20" w:type="dxa"/>
              <w:bottom w:w="40" w:type="dxa"/>
              <w:right w:w="0" w:type="dxa"/>
            </w:tcMar>
            <w:vAlign w:val="bottom"/>
          </w:tcPr>
          <w:p w14:paraId="74DE166B" w14:textId="77777777" w:rsidR="00584EC1" w:rsidRDefault="00871F8D">
            <w:pPr>
              <w:jc w:val="right"/>
              <w:textAlignment w:val="bottom"/>
            </w:pPr>
            <w:r>
              <w:rPr>
                <w:rFonts w:ascii="Arial" w:eastAsia="宋体" w:hAnsi="Arial" w:cs="Arial"/>
                <w:b/>
                <w:bCs/>
                <w:color w:val="000000"/>
                <w:sz w:val="14"/>
                <w:szCs w:val="14"/>
              </w:rPr>
              <w:t>304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E166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66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66E" w14:textId="77777777" w:rsidR="00584EC1" w:rsidRDefault="00871F8D">
            <w:pPr>
              <w:jc w:val="right"/>
              <w:textAlignment w:val="bottom"/>
            </w:pPr>
            <w:r>
              <w:rPr>
                <w:rFonts w:ascii="Arial" w:eastAsia="宋体" w:hAnsi="Arial" w:cs="Arial"/>
                <w:color w:val="000000"/>
                <w:sz w:val="14"/>
                <w:szCs w:val="14"/>
              </w:rPr>
              <w:t>258 </w:t>
            </w:r>
          </w:p>
        </w:tc>
        <w:tc>
          <w:tcPr>
            <w:tcW w:w="0" w:type="auto"/>
            <w:shd w:val="clear" w:color="auto" w:fill="FFFFFF"/>
            <w:tcMar>
              <w:top w:w="40" w:type="dxa"/>
              <w:left w:w="0" w:type="dxa"/>
              <w:bottom w:w="40" w:type="dxa"/>
              <w:right w:w="20" w:type="dxa"/>
            </w:tcMar>
            <w:vAlign w:val="bottom"/>
          </w:tcPr>
          <w:p w14:paraId="74DE166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670" w14:textId="77777777" w:rsidR="00584EC1" w:rsidRDefault="00584EC1">
            <w:pPr>
              <w:rPr>
                <w:rFonts w:ascii="宋体"/>
              </w:rPr>
            </w:pPr>
          </w:p>
        </w:tc>
        <w:tc>
          <w:tcPr>
            <w:tcW w:w="0" w:type="auto"/>
            <w:shd w:val="clear" w:color="auto" w:fill="auto"/>
            <w:vAlign w:val="bottom"/>
          </w:tcPr>
          <w:p w14:paraId="74DE1671" w14:textId="77777777" w:rsidR="00584EC1" w:rsidRDefault="00584EC1">
            <w:pPr>
              <w:rPr>
                <w:rFonts w:ascii="宋体"/>
                <w:vanish/>
              </w:rPr>
            </w:pPr>
          </w:p>
        </w:tc>
        <w:tc>
          <w:tcPr>
            <w:tcW w:w="0" w:type="auto"/>
            <w:shd w:val="clear" w:color="auto" w:fill="auto"/>
            <w:vAlign w:val="bottom"/>
          </w:tcPr>
          <w:p w14:paraId="74DE1672"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E1673" w14:textId="77777777" w:rsidR="00584EC1" w:rsidRDefault="00871F8D">
            <w:pPr>
              <w:jc w:val="right"/>
              <w:textAlignment w:val="bottom"/>
            </w:pPr>
            <w:r>
              <w:rPr>
                <w:rFonts w:ascii="Arial" w:eastAsia="宋体" w:hAnsi="Arial" w:cs="Arial"/>
                <w:b/>
                <w:bCs/>
                <w:color w:val="000000"/>
                <w:sz w:val="14"/>
                <w:szCs w:val="14"/>
              </w:rPr>
              <w:t>10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E167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675"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676" w14:textId="77777777" w:rsidR="00584EC1" w:rsidRDefault="00871F8D">
            <w:pPr>
              <w:jc w:val="right"/>
              <w:textAlignment w:val="bottom"/>
            </w:pPr>
            <w:r>
              <w:rPr>
                <w:rFonts w:ascii="Arial" w:eastAsia="宋体" w:hAnsi="Arial" w:cs="Arial"/>
                <w:color w:val="000000"/>
                <w:sz w:val="14"/>
                <w:szCs w:val="14"/>
              </w:rPr>
              <w:t>10 </w:t>
            </w:r>
          </w:p>
        </w:tc>
        <w:tc>
          <w:tcPr>
            <w:tcW w:w="0" w:type="auto"/>
            <w:shd w:val="clear" w:color="auto" w:fill="FFFFFF"/>
            <w:tcMar>
              <w:top w:w="40" w:type="dxa"/>
              <w:left w:w="0" w:type="dxa"/>
              <w:bottom w:w="40" w:type="dxa"/>
              <w:right w:w="20" w:type="dxa"/>
            </w:tcMar>
            <w:vAlign w:val="bottom"/>
          </w:tcPr>
          <w:p w14:paraId="74DE167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678" w14:textId="77777777" w:rsidR="00584EC1" w:rsidRDefault="00584EC1">
            <w:pPr>
              <w:rPr>
                <w:rFonts w:ascii="宋体"/>
              </w:rPr>
            </w:pPr>
          </w:p>
        </w:tc>
        <w:tc>
          <w:tcPr>
            <w:tcW w:w="0" w:type="auto"/>
            <w:shd w:val="clear" w:color="auto" w:fill="auto"/>
            <w:vAlign w:val="bottom"/>
          </w:tcPr>
          <w:p w14:paraId="74DE1679" w14:textId="77777777" w:rsidR="00584EC1" w:rsidRDefault="00584EC1">
            <w:pPr>
              <w:rPr>
                <w:rFonts w:ascii="宋体"/>
                <w:vanish/>
              </w:rPr>
            </w:pPr>
          </w:p>
        </w:tc>
        <w:tc>
          <w:tcPr>
            <w:tcW w:w="0" w:type="auto"/>
            <w:shd w:val="clear" w:color="auto" w:fill="auto"/>
            <w:vAlign w:val="bottom"/>
          </w:tcPr>
          <w:p w14:paraId="74DE167A"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E167B"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E167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67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67E"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E167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680" w14:textId="77777777" w:rsidR="00584EC1" w:rsidRDefault="00584EC1">
            <w:pPr>
              <w:rPr>
                <w:rFonts w:ascii="宋体"/>
              </w:rPr>
            </w:pPr>
          </w:p>
        </w:tc>
        <w:tc>
          <w:tcPr>
            <w:tcW w:w="0" w:type="auto"/>
            <w:gridSpan w:val="3"/>
            <w:shd w:val="clear" w:color="auto" w:fill="auto"/>
            <w:vAlign w:val="bottom"/>
          </w:tcPr>
          <w:p w14:paraId="74DE1681" w14:textId="77777777" w:rsidR="00584EC1" w:rsidRDefault="00584EC1">
            <w:pPr>
              <w:rPr>
                <w:rFonts w:ascii="宋体"/>
                <w:vanish/>
              </w:rPr>
            </w:pPr>
          </w:p>
        </w:tc>
        <w:tc>
          <w:tcPr>
            <w:tcW w:w="0" w:type="auto"/>
            <w:gridSpan w:val="3"/>
            <w:shd w:val="clear" w:color="auto" w:fill="auto"/>
            <w:vAlign w:val="bottom"/>
          </w:tcPr>
          <w:p w14:paraId="74DE1682"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E1683" w14:textId="77777777" w:rsidR="00584EC1" w:rsidRDefault="00871F8D">
            <w:pPr>
              <w:jc w:val="right"/>
              <w:textAlignment w:val="bottom"/>
            </w:pPr>
            <w:r>
              <w:rPr>
                <w:rFonts w:ascii="Arial" w:eastAsia="宋体" w:hAnsi="Arial" w:cs="Arial"/>
                <w:b/>
                <w:bCs/>
                <w:color w:val="000000"/>
                <w:sz w:val="14"/>
                <w:szCs w:val="14"/>
              </w:rPr>
              <w:t>314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E1684" w14:textId="77777777" w:rsidR="00584EC1" w:rsidRDefault="00584EC1">
            <w:pPr>
              <w:jc w:val="right"/>
              <w:rPr>
                <w:rFonts w:ascii="宋体"/>
              </w:rPr>
            </w:pPr>
          </w:p>
        </w:tc>
        <w:tc>
          <w:tcPr>
            <w:tcW w:w="0" w:type="auto"/>
            <w:gridSpan w:val="2"/>
            <w:shd w:val="clear" w:color="auto" w:fill="FFFFFF"/>
            <w:tcMar>
              <w:top w:w="0" w:type="dxa"/>
              <w:left w:w="20" w:type="dxa"/>
              <w:bottom w:w="0" w:type="dxa"/>
              <w:right w:w="20" w:type="dxa"/>
            </w:tcMar>
            <w:vAlign w:val="bottom"/>
          </w:tcPr>
          <w:p w14:paraId="74DE1685" w14:textId="77777777" w:rsidR="00584EC1" w:rsidRDefault="00584EC1">
            <w:pPr>
              <w:rPr>
                <w:rFonts w:ascii="宋体"/>
              </w:rPr>
            </w:pPr>
          </w:p>
        </w:tc>
        <w:tc>
          <w:tcPr>
            <w:tcW w:w="0" w:type="auto"/>
            <w:shd w:val="clear" w:color="auto" w:fill="FFFFFF"/>
            <w:tcMar>
              <w:top w:w="40" w:type="dxa"/>
              <w:left w:w="20" w:type="dxa"/>
              <w:bottom w:w="40" w:type="dxa"/>
              <w:right w:w="0" w:type="dxa"/>
            </w:tcMar>
            <w:vAlign w:val="bottom"/>
          </w:tcPr>
          <w:p w14:paraId="74DE1686" w14:textId="77777777" w:rsidR="00584EC1" w:rsidRDefault="00871F8D">
            <w:pPr>
              <w:jc w:val="right"/>
              <w:textAlignment w:val="bottom"/>
            </w:pPr>
            <w:r>
              <w:rPr>
                <w:rFonts w:ascii="Arial" w:eastAsia="宋体" w:hAnsi="Arial" w:cs="Arial"/>
                <w:color w:val="000000"/>
                <w:sz w:val="14"/>
                <w:szCs w:val="14"/>
              </w:rPr>
              <w:t>268 </w:t>
            </w:r>
          </w:p>
        </w:tc>
      </w:tr>
      <w:tr w:rsidR="00584EC1" w14:paraId="74DE16A5" w14:textId="77777777">
        <w:tc>
          <w:tcPr>
            <w:tcW w:w="0" w:type="auto"/>
            <w:gridSpan w:val="3"/>
            <w:shd w:val="clear" w:color="auto" w:fill="CCEEFF"/>
            <w:tcMar>
              <w:top w:w="40" w:type="dxa"/>
              <w:left w:w="20" w:type="dxa"/>
              <w:bottom w:w="40" w:type="dxa"/>
              <w:right w:w="20" w:type="dxa"/>
            </w:tcMar>
            <w:vAlign w:val="bottom"/>
          </w:tcPr>
          <w:p w14:paraId="74DE1688" w14:textId="77777777" w:rsidR="00584EC1" w:rsidRDefault="00871F8D">
            <w:pPr>
              <w:textAlignment w:val="bottom"/>
            </w:pPr>
            <w:r>
              <w:rPr>
                <w:rFonts w:ascii="Arial" w:eastAsia="宋体" w:hAnsi="Arial" w:cs="Arial"/>
                <w:color w:val="000000"/>
                <w:sz w:val="14"/>
                <w:szCs w:val="14"/>
              </w:rPr>
              <w:t xml:space="preserve">Software and processing fees </w:t>
            </w:r>
            <w:r>
              <w:rPr>
                <w:rFonts w:ascii="Arial" w:eastAsia="宋体" w:hAnsi="Arial" w:cs="Arial"/>
                <w:color w:val="000000"/>
                <w:sz w:val="9"/>
                <w:szCs w:val="9"/>
              </w:rPr>
              <w:t>(1)</w:t>
            </w:r>
          </w:p>
        </w:tc>
        <w:tc>
          <w:tcPr>
            <w:tcW w:w="0" w:type="auto"/>
            <w:gridSpan w:val="2"/>
            <w:shd w:val="clear" w:color="auto" w:fill="CCEEFF"/>
            <w:tcMar>
              <w:top w:w="40" w:type="dxa"/>
              <w:left w:w="20" w:type="dxa"/>
              <w:bottom w:w="40" w:type="dxa"/>
              <w:right w:w="0" w:type="dxa"/>
            </w:tcMar>
            <w:vAlign w:val="bottom"/>
          </w:tcPr>
          <w:p w14:paraId="74DE1689" w14:textId="77777777" w:rsidR="00584EC1" w:rsidRDefault="00871F8D">
            <w:pPr>
              <w:jc w:val="right"/>
              <w:textAlignment w:val="bottom"/>
            </w:pPr>
            <w:r>
              <w:rPr>
                <w:rFonts w:ascii="Arial" w:eastAsia="宋体" w:hAnsi="Arial" w:cs="Arial"/>
                <w:b/>
                <w:bCs/>
                <w:color w:val="000000"/>
                <w:sz w:val="14"/>
                <w:szCs w:val="14"/>
              </w:rPr>
              <w:t>585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E168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68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68C" w14:textId="77777777" w:rsidR="00584EC1" w:rsidRDefault="00871F8D">
            <w:pPr>
              <w:jc w:val="right"/>
              <w:textAlignment w:val="bottom"/>
            </w:pPr>
            <w:r>
              <w:rPr>
                <w:rFonts w:ascii="Arial" w:eastAsia="宋体" w:hAnsi="Arial" w:cs="Arial"/>
                <w:color w:val="000000"/>
                <w:sz w:val="14"/>
                <w:szCs w:val="14"/>
              </w:rPr>
              <w:t>528 </w:t>
            </w:r>
          </w:p>
        </w:tc>
        <w:tc>
          <w:tcPr>
            <w:tcW w:w="0" w:type="auto"/>
            <w:shd w:val="clear" w:color="auto" w:fill="CCEEFF"/>
            <w:tcMar>
              <w:top w:w="40" w:type="dxa"/>
              <w:left w:w="0" w:type="dxa"/>
              <w:bottom w:w="40" w:type="dxa"/>
              <w:right w:w="20" w:type="dxa"/>
            </w:tcMar>
            <w:vAlign w:val="bottom"/>
          </w:tcPr>
          <w:p w14:paraId="74DE168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68E" w14:textId="77777777" w:rsidR="00584EC1" w:rsidRDefault="00584EC1">
            <w:pPr>
              <w:rPr>
                <w:rFonts w:ascii="宋体"/>
              </w:rPr>
            </w:pPr>
          </w:p>
        </w:tc>
        <w:tc>
          <w:tcPr>
            <w:tcW w:w="0" w:type="auto"/>
            <w:shd w:val="clear" w:color="auto" w:fill="auto"/>
            <w:vAlign w:val="bottom"/>
          </w:tcPr>
          <w:p w14:paraId="74DE168F" w14:textId="77777777" w:rsidR="00584EC1" w:rsidRDefault="00584EC1">
            <w:pPr>
              <w:rPr>
                <w:rFonts w:ascii="宋体"/>
                <w:vanish/>
              </w:rPr>
            </w:pPr>
          </w:p>
        </w:tc>
        <w:tc>
          <w:tcPr>
            <w:tcW w:w="0" w:type="auto"/>
            <w:shd w:val="clear" w:color="auto" w:fill="auto"/>
            <w:vAlign w:val="bottom"/>
          </w:tcPr>
          <w:p w14:paraId="74DE1690" w14:textId="77777777" w:rsidR="00584EC1" w:rsidRDefault="00584EC1">
            <w:pPr>
              <w:rPr>
                <w:rFonts w:ascii="宋体"/>
                <w:vanish/>
              </w:rPr>
            </w:pPr>
          </w:p>
        </w:tc>
        <w:tc>
          <w:tcPr>
            <w:tcW w:w="0" w:type="auto"/>
            <w:gridSpan w:val="2"/>
            <w:shd w:val="clear" w:color="auto" w:fill="CCEEFF"/>
            <w:tcMar>
              <w:top w:w="40" w:type="dxa"/>
              <w:left w:w="20" w:type="dxa"/>
              <w:bottom w:w="40" w:type="dxa"/>
              <w:right w:w="0" w:type="dxa"/>
            </w:tcMar>
            <w:vAlign w:val="bottom"/>
          </w:tcPr>
          <w:p w14:paraId="74DE1691" w14:textId="77777777" w:rsidR="00584EC1" w:rsidRDefault="00871F8D">
            <w:pPr>
              <w:jc w:val="right"/>
              <w:textAlignment w:val="bottom"/>
            </w:pPr>
            <w:r>
              <w:rPr>
                <w:rFonts w:ascii="Arial" w:eastAsia="宋体" w:hAnsi="Arial" w:cs="Arial"/>
                <w:b/>
                <w:bCs/>
                <w:color w:val="000000"/>
                <w:sz w:val="14"/>
                <w:szCs w:val="14"/>
              </w:rPr>
              <w:t>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E169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693"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694" w14:textId="77777777" w:rsidR="00584EC1" w:rsidRDefault="00871F8D">
            <w:pPr>
              <w:jc w:val="right"/>
              <w:textAlignment w:val="bottom"/>
            </w:pPr>
            <w:r>
              <w:rPr>
                <w:rFonts w:ascii="Arial" w:eastAsia="宋体" w:hAnsi="Arial" w:cs="Arial"/>
                <w:color w:val="000000"/>
                <w:sz w:val="14"/>
                <w:szCs w:val="14"/>
              </w:rPr>
              <w:t>1 </w:t>
            </w:r>
          </w:p>
        </w:tc>
        <w:tc>
          <w:tcPr>
            <w:tcW w:w="0" w:type="auto"/>
            <w:shd w:val="clear" w:color="auto" w:fill="CCEEFF"/>
            <w:tcMar>
              <w:top w:w="40" w:type="dxa"/>
              <w:left w:w="0" w:type="dxa"/>
              <w:bottom w:w="40" w:type="dxa"/>
              <w:right w:w="20" w:type="dxa"/>
            </w:tcMar>
            <w:vAlign w:val="bottom"/>
          </w:tcPr>
          <w:p w14:paraId="74DE169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696" w14:textId="77777777" w:rsidR="00584EC1" w:rsidRDefault="00584EC1">
            <w:pPr>
              <w:rPr>
                <w:rFonts w:ascii="宋体"/>
              </w:rPr>
            </w:pPr>
          </w:p>
        </w:tc>
        <w:tc>
          <w:tcPr>
            <w:tcW w:w="0" w:type="auto"/>
            <w:shd w:val="clear" w:color="auto" w:fill="auto"/>
            <w:vAlign w:val="bottom"/>
          </w:tcPr>
          <w:p w14:paraId="74DE1697" w14:textId="77777777" w:rsidR="00584EC1" w:rsidRDefault="00584EC1">
            <w:pPr>
              <w:rPr>
                <w:rFonts w:ascii="宋体"/>
                <w:vanish/>
              </w:rPr>
            </w:pPr>
          </w:p>
        </w:tc>
        <w:tc>
          <w:tcPr>
            <w:tcW w:w="0" w:type="auto"/>
            <w:shd w:val="clear" w:color="auto" w:fill="auto"/>
            <w:vAlign w:val="bottom"/>
          </w:tcPr>
          <w:p w14:paraId="74DE1698" w14:textId="77777777" w:rsidR="00584EC1" w:rsidRDefault="00584EC1">
            <w:pPr>
              <w:rPr>
                <w:rFonts w:ascii="宋体"/>
                <w:vanish/>
              </w:rPr>
            </w:pPr>
          </w:p>
        </w:tc>
        <w:tc>
          <w:tcPr>
            <w:tcW w:w="0" w:type="auto"/>
            <w:gridSpan w:val="2"/>
            <w:shd w:val="clear" w:color="auto" w:fill="CCEEFF"/>
            <w:tcMar>
              <w:top w:w="40" w:type="dxa"/>
              <w:left w:w="20" w:type="dxa"/>
              <w:bottom w:w="40" w:type="dxa"/>
              <w:right w:w="0" w:type="dxa"/>
            </w:tcMar>
            <w:vAlign w:val="bottom"/>
          </w:tcPr>
          <w:p w14:paraId="74DE1699"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E169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69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69C"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E169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69E" w14:textId="77777777" w:rsidR="00584EC1" w:rsidRDefault="00584EC1">
            <w:pPr>
              <w:rPr>
                <w:rFonts w:ascii="宋体"/>
              </w:rPr>
            </w:pPr>
          </w:p>
        </w:tc>
        <w:tc>
          <w:tcPr>
            <w:tcW w:w="0" w:type="auto"/>
            <w:gridSpan w:val="3"/>
            <w:shd w:val="clear" w:color="auto" w:fill="auto"/>
            <w:vAlign w:val="bottom"/>
          </w:tcPr>
          <w:p w14:paraId="74DE169F" w14:textId="77777777" w:rsidR="00584EC1" w:rsidRDefault="00584EC1">
            <w:pPr>
              <w:rPr>
                <w:rFonts w:ascii="宋体"/>
                <w:vanish/>
              </w:rPr>
            </w:pPr>
          </w:p>
        </w:tc>
        <w:tc>
          <w:tcPr>
            <w:tcW w:w="0" w:type="auto"/>
            <w:gridSpan w:val="3"/>
            <w:shd w:val="clear" w:color="auto" w:fill="auto"/>
            <w:vAlign w:val="bottom"/>
          </w:tcPr>
          <w:p w14:paraId="74DE16A0" w14:textId="77777777" w:rsidR="00584EC1" w:rsidRDefault="00584EC1">
            <w:pPr>
              <w:rPr>
                <w:rFonts w:ascii="宋体"/>
                <w:vanish/>
              </w:rPr>
            </w:pPr>
          </w:p>
        </w:tc>
        <w:tc>
          <w:tcPr>
            <w:tcW w:w="0" w:type="auto"/>
            <w:gridSpan w:val="2"/>
            <w:shd w:val="clear" w:color="auto" w:fill="CCEEFF"/>
            <w:tcMar>
              <w:top w:w="40" w:type="dxa"/>
              <w:left w:w="20" w:type="dxa"/>
              <w:bottom w:w="40" w:type="dxa"/>
              <w:right w:w="0" w:type="dxa"/>
            </w:tcMar>
            <w:vAlign w:val="bottom"/>
          </w:tcPr>
          <w:p w14:paraId="74DE16A1" w14:textId="77777777" w:rsidR="00584EC1" w:rsidRDefault="00871F8D">
            <w:pPr>
              <w:jc w:val="right"/>
              <w:textAlignment w:val="bottom"/>
            </w:pPr>
            <w:r>
              <w:rPr>
                <w:rFonts w:ascii="Arial" w:eastAsia="宋体" w:hAnsi="Arial" w:cs="Arial"/>
                <w:b/>
                <w:bCs/>
                <w:color w:val="000000"/>
                <w:sz w:val="14"/>
                <w:szCs w:val="14"/>
              </w:rPr>
              <w:t>588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E16A2" w14:textId="77777777" w:rsidR="00584EC1" w:rsidRDefault="00584EC1">
            <w:pPr>
              <w:jc w:val="right"/>
              <w:rPr>
                <w:rFonts w:ascii="宋体"/>
              </w:rPr>
            </w:pPr>
          </w:p>
        </w:tc>
        <w:tc>
          <w:tcPr>
            <w:tcW w:w="0" w:type="auto"/>
            <w:gridSpan w:val="2"/>
            <w:shd w:val="clear" w:color="auto" w:fill="CCEEFF"/>
            <w:tcMar>
              <w:top w:w="0" w:type="dxa"/>
              <w:left w:w="20" w:type="dxa"/>
              <w:bottom w:w="0" w:type="dxa"/>
              <w:right w:w="20" w:type="dxa"/>
            </w:tcMar>
            <w:vAlign w:val="bottom"/>
          </w:tcPr>
          <w:p w14:paraId="74DE16A3"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E16A4" w14:textId="77777777" w:rsidR="00584EC1" w:rsidRDefault="00871F8D">
            <w:pPr>
              <w:jc w:val="right"/>
              <w:textAlignment w:val="bottom"/>
            </w:pPr>
            <w:r>
              <w:rPr>
                <w:rFonts w:ascii="Arial" w:eastAsia="宋体" w:hAnsi="Arial" w:cs="Arial"/>
                <w:color w:val="000000"/>
                <w:sz w:val="14"/>
                <w:szCs w:val="14"/>
              </w:rPr>
              <w:t>529 </w:t>
            </w:r>
          </w:p>
        </w:tc>
      </w:tr>
      <w:tr w:rsidR="00584EC1" w14:paraId="74DE16C3" w14:textId="77777777">
        <w:tc>
          <w:tcPr>
            <w:tcW w:w="0" w:type="auto"/>
            <w:gridSpan w:val="3"/>
            <w:shd w:val="clear" w:color="auto" w:fill="FFFFFF"/>
            <w:tcMar>
              <w:top w:w="40" w:type="dxa"/>
              <w:left w:w="20" w:type="dxa"/>
              <w:bottom w:w="40" w:type="dxa"/>
              <w:right w:w="20" w:type="dxa"/>
            </w:tcMar>
            <w:vAlign w:val="bottom"/>
          </w:tcPr>
          <w:p w14:paraId="74DE16A6" w14:textId="77777777" w:rsidR="00584EC1" w:rsidRDefault="00871F8D">
            <w:pPr>
              <w:textAlignment w:val="bottom"/>
            </w:pPr>
            <w:r>
              <w:rPr>
                <w:rFonts w:ascii="Arial" w:eastAsia="宋体" w:hAnsi="Arial" w:cs="Arial"/>
                <w:color w:val="000000"/>
                <w:sz w:val="14"/>
                <w:szCs w:val="14"/>
              </w:rPr>
              <w:t>Total fee 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16A7" w14:textId="77777777" w:rsidR="00584EC1" w:rsidRDefault="00871F8D">
            <w:pPr>
              <w:jc w:val="right"/>
              <w:textAlignment w:val="bottom"/>
            </w:pPr>
            <w:r>
              <w:rPr>
                <w:rFonts w:ascii="Arial" w:eastAsia="宋体" w:hAnsi="Arial" w:cs="Arial"/>
                <w:b/>
                <w:bCs/>
                <w:color w:val="000000"/>
                <w:sz w:val="14"/>
                <w:szCs w:val="14"/>
              </w:rPr>
              <w:t>5,923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16A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6A9"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16AA" w14:textId="77777777" w:rsidR="00584EC1" w:rsidRDefault="00871F8D">
            <w:pPr>
              <w:jc w:val="right"/>
              <w:textAlignment w:val="bottom"/>
            </w:pPr>
            <w:r>
              <w:rPr>
                <w:rFonts w:ascii="Arial" w:eastAsia="宋体" w:hAnsi="Arial" w:cs="Arial"/>
                <w:color w:val="000000"/>
                <w:sz w:val="14"/>
                <w:szCs w:val="14"/>
              </w:rPr>
              <w:t>5,644 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16A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6AC" w14:textId="77777777" w:rsidR="00584EC1" w:rsidRDefault="00584EC1">
            <w:pPr>
              <w:rPr>
                <w:rFonts w:ascii="宋体"/>
              </w:rPr>
            </w:pPr>
          </w:p>
        </w:tc>
        <w:tc>
          <w:tcPr>
            <w:tcW w:w="0" w:type="auto"/>
            <w:shd w:val="clear" w:color="auto" w:fill="auto"/>
            <w:vAlign w:val="bottom"/>
          </w:tcPr>
          <w:p w14:paraId="74DE16AD" w14:textId="77777777" w:rsidR="00584EC1" w:rsidRDefault="00584EC1">
            <w:pPr>
              <w:rPr>
                <w:rFonts w:ascii="宋体"/>
                <w:vanish/>
              </w:rPr>
            </w:pPr>
          </w:p>
        </w:tc>
        <w:tc>
          <w:tcPr>
            <w:tcW w:w="0" w:type="auto"/>
            <w:shd w:val="clear" w:color="auto" w:fill="auto"/>
            <w:vAlign w:val="bottom"/>
          </w:tcPr>
          <w:p w14:paraId="74DE16AE" w14:textId="77777777" w:rsidR="00584EC1" w:rsidRDefault="00584EC1">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16AF" w14:textId="77777777" w:rsidR="00584EC1" w:rsidRDefault="00871F8D">
            <w:pPr>
              <w:jc w:val="right"/>
              <w:textAlignment w:val="bottom"/>
            </w:pPr>
            <w:r>
              <w:rPr>
                <w:rFonts w:ascii="Arial" w:eastAsia="宋体" w:hAnsi="Arial" w:cs="Arial"/>
                <w:b/>
                <w:bCs/>
                <w:color w:val="000000"/>
                <w:sz w:val="14"/>
                <w:szCs w:val="14"/>
              </w:rPr>
              <w:t>1,578</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16B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6B1"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16B2" w14:textId="77777777" w:rsidR="00584EC1" w:rsidRDefault="00871F8D">
            <w:pPr>
              <w:jc w:val="right"/>
              <w:textAlignment w:val="bottom"/>
            </w:pPr>
            <w:r>
              <w:rPr>
                <w:rFonts w:ascii="Arial" w:eastAsia="宋体" w:hAnsi="Arial" w:cs="Arial"/>
                <w:color w:val="000000"/>
                <w:sz w:val="14"/>
                <w:szCs w:val="14"/>
              </w:rPr>
              <w:t>1,439 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16B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6B4" w14:textId="77777777" w:rsidR="00584EC1" w:rsidRDefault="00584EC1">
            <w:pPr>
              <w:rPr>
                <w:rFonts w:ascii="宋体"/>
              </w:rPr>
            </w:pPr>
          </w:p>
        </w:tc>
        <w:tc>
          <w:tcPr>
            <w:tcW w:w="0" w:type="auto"/>
            <w:shd w:val="clear" w:color="auto" w:fill="auto"/>
            <w:vAlign w:val="bottom"/>
          </w:tcPr>
          <w:p w14:paraId="74DE16B5" w14:textId="77777777" w:rsidR="00584EC1" w:rsidRDefault="00584EC1">
            <w:pPr>
              <w:rPr>
                <w:rFonts w:ascii="宋体"/>
                <w:vanish/>
              </w:rPr>
            </w:pPr>
          </w:p>
        </w:tc>
        <w:tc>
          <w:tcPr>
            <w:tcW w:w="0" w:type="auto"/>
            <w:shd w:val="clear" w:color="auto" w:fill="auto"/>
            <w:vAlign w:val="bottom"/>
          </w:tcPr>
          <w:p w14:paraId="74DE16B6" w14:textId="77777777" w:rsidR="00584EC1" w:rsidRDefault="00584EC1">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16B7"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16B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6B9"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16BA" w14:textId="77777777" w:rsidR="00584EC1" w:rsidRDefault="00871F8D">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16B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6BC" w14:textId="77777777" w:rsidR="00584EC1" w:rsidRDefault="00584EC1">
            <w:pPr>
              <w:rPr>
                <w:rFonts w:ascii="宋体"/>
              </w:rPr>
            </w:pPr>
          </w:p>
        </w:tc>
        <w:tc>
          <w:tcPr>
            <w:tcW w:w="0" w:type="auto"/>
            <w:gridSpan w:val="3"/>
            <w:shd w:val="clear" w:color="auto" w:fill="auto"/>
            <w:vAlign w:val="bottom"/>
          </w:tcPr>
          <w:p w14:paraId="74DE16BD" w14:textId="77777777" w:rsidR="00584EC1" w:rsidRDefault="00584EC1">
            <w:pPr>
              <w:rPr>
                <w:rFonts w:ascii="宋体"/>
                <w:vanish/>
              </w:rPr>
            </w:pPr>
          </w:p>
        </w:tc>
        <w:tc>
          <w:tcPr>
            <w:tcW w:w="0" w:type="auto"/>
            <w:gridSpan w:val="3"/>
            <w:shd w:val="clear" w:color="auto" w:fill="auto"/>
            <w:vAlign w:val="bottom"/>
          </w:tcPr>
          <w:p w14:paraId="74DE16BE" w14:textId="77777777" w:rsidR="00584EC1" w:rsidRDefault="00584EC1">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16BF" w14:textId="77777777" w:rsidR="00584EC1" w:rsidRDefault="00871F8D">
            <w:pPr>
              <w:jc w:val="right"/>
              <w:textAlignment w:val="bottom"/>
            </w:pPr>
            <w:r>
              <w:rPr>
                <w:rFonts w:ascii="Arial" w:eastAsia="宋体" w:hAnsi="Arial" w:cs="Arial"/>
                <w:b/>
                <w:bCs/>
                <w:color w:val="000000"/>
                <w:sz w:val="14"/>
                <w:szCs w:val="14"/>
              </w:rPr>
              <w:t>7,501</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16C0" w14:textId="77777777" w:rsidR="00584EC1" w:rsidRDefault="00584EC1">
            <w:pPr>
              <w:jc w:val="right"/>
              <w:rPr>
                <w:rFonts w:ascii="宋体"/>
              </w:rPr>
            </w:pPr>
          </w:p>
        </w:tc>
        <w:tc>
          <w:tcPr>
            <w:tcW w:w="0" w:type="auto"/>
            <w:gridSpan w:val="2"/>
            <w:shd w:val="clear" w:color="auto" w:fill="FFFFFF"/>
            <w:tcMar>
              <w:top w:w="0" w:type="dxa"/>
              <w:left w:w="20" w:type="dxa"/>
              <w:bottom w:w="0" w:type="dxa"/>
              <w:right w:w="20" w:type="dxa"/>
            </w:tcMar>
            <w:vAlign w:val="bottom"/>
          </w:tcPr>
          <w:p w14:paraId="74DE16C1"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E16C2" w14:textId="77777777" w:rsidR="00584EC1" w:rsidRDefault="00871F8D">
            <w:pPr>
              <w:jc w:val="right"/>
              <w:textAlignment w:val="bottom"/>
            </w:pPr>
            <w:r>
              <w:rPr>
                <w:rFonts w:ascii="Arial" w:eastAsia="宋体" w:hAnsi="Arial" w:cs="Arial"/>
                <w:color w:val="000000"/>
                <w:sz w:val="14"/>
                <w:szCs w:val="14"/>
              </w:rPr>
              <w:t>7,083 </w:t>
            </w:r>
          </w:p>
        </w:tc>
      </w:tr>
      <w:tr w:rsidR="00584EC1" w14:paraId="74DE16E1" w14:textId="77777777">
        <w:tc>
          <w:tcPr>
            <w:tcW w:w="0" w:type="auto"/>
            <w:gridSpan w:val="3"/>
            <w:shd w:val="clear" w:color="auto" w:fill="CCEEFF"/>
            <w:tcMar>
              <w:top w:w="40" w:type="dxa"/>
              <w:left w:w="20" w:type="dxa"/>
              <w:bottom w:w="40" w:type="dxa"/>
              <w:right w:w="20" w:type="dxa"/>
            </w:tcMar>
            <w:vAlign w:val="bottom"/>
          </w:tcPr>
          <w:p w14:paraId="74DE16C4" w14:textId="77777777" w:rsidR="00584EC1" w:rsidRDefault="00871F8D">
            <w:pPr>
              <w:textAlignment w:val="bottom"/>
            </w:pPr>
            <w:r>
              <w:rPr>
                <w:rFonts w:ascii="Arial" w:eastAsia="宋体" w:hAnsi="Arial" w:cs="Arial"/>
                <w:color w:val="000000"/>
                <w:sz w:val="14"/>
                <w:szCs w:val="14"/>
              </w:rPr>
              <w:t>Net interest income</w:t>
            </w:r>
          </w:p>
        </w:tc>
        <w:tc>
          <w:tcPr>
            <w:tcW w:w="0" w:type="auto"/>
            <w:gridSpan w:val="2"/>
            <w:shd w:val="clear" w:color="auto" w:fill="CCEEFF"/>
            <w:tcMar>
              <w:top w:w="40" w:type="dxa"/>
              <w:left w:w="20" w:type="dxa"/>
              <w:bottom w:w="40" w:type="dxa"/>
              <w:right w:w="0" w:type="dxa"/>
            </w:tcMar>
            <w:vAlign w:val="bottom"/>
          </w:tcPr>
          <w:p w14:paraId="74DE16C5" w14:textId="77777777" w:rsidR="00584EC1" w:rsidRDefault="00871F8D">
            <w:pPr>
              <w:jc w:val="right"/>
              <w:textAlignment w:val="bottom"/>
            </w:pPr>
            <w:r>
              <w:rPr>
                <w:rFonts w:ascii="Arial" w:eastAsia="宋体" w:hAnsi="Arial" w:cs="Arial"/>
                <w:b/>
                <w:bCs/>
                <w:color w:val="000000"/>
                <w:sz w:val="14"/>
                <w:szCs w:val="14"/>
              </w:rPr>
              <w:t>1,432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E16C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6C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6C8" w14:textId="77777777" w:rsidR="00584EC1" w:rsidRDefault="00871F8D">
            <w:pPr>
              <w:jc w:val="right"/>
              <w:textAlignment w:val="bottom"/>
            </w:pPr>
            <w:r>
              <w:rPr>
                <w:rFonts w:ascii="Arial" w:eastAsia="宋体" w:hAnsi="Arial" w:cs="Arial"/>
                <w:color w:val="000000"/>
                <w:sz w:val="14"/>
                <w:szCs w:val="14"/>
              </w:rPr>
              <w:t>1,716 </w:t>
            </w:r>
          </w:p>
        </w:tc>
        <w:tc>
          <w:tcPr>
            <w:tcW w:w="0" w:type="auto"/>
            <w:shd w:val="clear" w:color="auto" w:fill="CCEEFF"/>
            <w:tcMar>
              <w:top w:w="40" w:type="dxa"/>
              <w:left w:w="0" w:type="dxa"/>
              <w:bottom w:w="40" w:type="dxa"/>
              <w:right w:w="20" w:type="dxa"/>
            </w:tcMar>
            <w:vAlign w:val="bottom"/>
          </w:tcPr>
          <w:p w14:paraId="74DE16C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6CA" w14:textId="77777777" w:rsidR="00584EC1" w:rsidRDefault="00584EC1">
            <w:pPr>
              <w:rPr>
                <w:rFonts w:ascii="宋体"/>
              </w:rPr>
            </w:pPr>
          </w:p>
        </w:tc>
        <w:tc>
          <w:tcPr>
            <w:tcW w:w="0" w:type="auto"/>
            <w:shd w:val="clear" w:color="auto" w:fill="auto"/>
            <w:vAlign w:val="bottom"/>
          </w:tcPr>
          <w:p w14:paraId="74DE16CB" w14:textId="77777777" w:rsidR="00584EC1" w:rsidRDefault="00584EC1">
            <w:pPr>
              <w:rPr>
                <w:rFonts w:ascii="宋体"/>
                <w:vanish/>
              </w:rPr>
            </w:pPr>
          </w:p>
        </w:tc>
        <w:tc>
          <w:tcPr>
            <w:tcW w:w="0" w:type="auto"/>
            <w:shd w:val="clear" w:color="auto" w:fill="auto"/>
            <w:vAlign w:val="bottom"/>
          </w:tcPr>
          <w:p w14:paraId="74DE16CC" w14:textId="77777777" w:rsidR="00584EC1" w:rsidRDefault="00584EC1">
            <w:pPr>
              <w:rPr>
                <w:rFonts w:ascii="宋体"/>
                <w:vanish/>
              </w:rPr>
            </w:pPr>
          </w:p>
        </w:tc>
        <w:tc>
          <w:tcPr>
            <w:tcW w:w="0" w:type="auto"/>
            <w:gridSpan w:val="2"/>
            <w:shd w:val="clear" w:color="auto" w:fill="CCEEFF"/>
            <w:tcMar>
              <w:top w:w="40" w:type="dxa"/>
              <w:left w:w="20" w:type="dxa"/>
              <w:bottom w:w="40" w:type="dxa"/>
              <w:right w:w="0" w:type="dxa"/>
            </w:tcMar>
            <w:vAlign w:val="bottom"/>
          </w:tcPr>
          <w:p w14:paraId="74DE16CD" w14:textId="77777777" w:rsidR="00584EC1" w:rsidRDefault="00871F8D">
            <w:pPr>
              <w:jc w:val="right"/>
              <w:textAlignment w:val="bottom"/>
            </w:pPr>
            <w:r>
              <w:rPr>
                <w:rFonts w:ascii="Arial" w:eastAsia="宋体" w:hAnsi="Arial" w:cs="Arial"/>
                <w:b/>
                <w:bCs/>
                <w:color w:val="000000"/>
                <w:sz w:val="14"/>
                <w:szCs w:val="14"/>
              </w:rPr>
              <w:t>(11)</w:t>
            </w:r>
          </w:p>
        </w:tc>
        <w:tc>
          <w:tcPr>
            <w:tcW w:w="0" w:type="auto"/>
            <w:shd w:val="clear" w:color="auto" w:fill="CCEEFF"/>
            <w:tcMar>
              <w:top w:w="40" w:type="dxa"/>
              <w:left w:w="0" w:type="dxa"/>
              <w:bottom w:w="40" w:type="dxa"/>
              <w:right w:w="20" w:type="dxa"/>
            </w:tcMar>
            <w:vAlign w:val="bottom"/>
          </w:tcPr>
          <w:p w14:paraId="74DE16C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6CF"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6D0" w14:textId="77777777" w:rsidR="00584EC1" w:rsidRDefault="00871F8D">
            <w:pPr>
              <w:jc w:val="right"/>
              <w:textAlignment w:val="bottom"/>
            </w:pPr>
            <w:r>
              <w:rPr>
                <w:rFonts w:ascii="Arial" w:eastAsia="宋体" w:hAnsi="Arial" w:cs="Arial"/>
                <w:color w:val="000000"/>
                <w:sz w:val="14"/>
                <w:szCs w:val="14"/>
              </w:rPr>
              <w:t>(15)</w:t>
            </w:r>
          </w:p>
        </w:tc>
        <w:tc>
          <w:tcPr>
            <w:tcW w:w="0" w:type="auto"/>
            <w:shd w:val="clear" w:color="auto" w:fill="CCEEFF"/>
            <w:tcMar>
              <w:top w:w="40" w:type="dxa"/>
              <w:left w:w="0" w:type="dxa"/>
              <w:bottom w:w="40" w:type="dxa"/>
              <w:right w:w="20" w:type="dxa"/>
            </w:tcMar>
            <w:vAlign w:val="bottom"/>
          </w:tcPr>
          <w:p w14:paraId="74DE16D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6D2" w14:textId="77777777" w:rsidR="00584EC1" w:rsidRDefault="00584EC1">
            <w:pPr>
              <w:rPr>
                <w:rFonts w:ascii="宋体"/>
              </w:rPr>
            </w:pPr>
          </w:p>
        </w:tc>
        <w:tc>
          <w:tcPr>
            <w:tcW w:w="0" w:type="auto"/>
            <w:shd w:val="clear" w:color="auto" w:fill="auto"/>
            <w:vAlign w:val="bottom"/>
          </w:tcPr>
          <w:p w14:paraId="74DE16D3" w14:textId="77777777" w:rsidR="00584EC1" w:rsidRDefault="00584EC1">
            <w:pPr>
              <w:rPr>
                <w:rFonts w:ascii="宋体"/>
                <w:vanish/>
              </w:rPr>
            </w:pPr>
          </w:p>
        </w:tc>
        <w:tc>
          <w:tcPr>
            <w:tcW w:w="0" w:type="auto"/>
            <w:shd w:val="clear" w:color="auto" w:fill="auto"/>
            <w:vAlign w:val="bottom"/>
          </w:tcPr>
          <w:p w14:paraId="74DE16D4" w14:textId="77777777" w:rsidR="00584EC1" w:rsidRDefault="00584EC1">
            <w:pPr>
              <w:rPr>
                <w:rFonts w:ascii="宋体"/>
                <w:vanish/>
              </w:rPr>
            </w:pPr>
          </w:p>
        </w:tc>
        <w:tc>
          <w:tcPr>
            <w:tcW w:w="0" w:type="auto"/>
            <w:gridSpan w:val="2"/>
            <w:shd w:val="clear" w:color="auto" w:fill="CCEEFF"/>
            <w:tcMar>
              <w:top w:w="40" w:type="dxa"/>
              <w:left w:w="20" w:type="dxa"/>
              <w:bottom w:w="40" w:type="dxa"/>
              <w:right w:w="0" w:type="dxa"/>
            </w:tcMar>
            <w:vAlign w:val="bottom"/>
          </w:tcPr>
          <w:p w14:paraId="74DE16D5"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E16D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6D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6D8"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E16D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6DA" w14:textId="77777777" w:rsidR="00584EC1" w:rsidRDefault="00584EC1">
            <w:pPr>
              <w:rPr>
                <w:rFonts w:ascii="宋体"/>
              </w:rPr>
            </w:pPr>
          </w:p>
        </w:tc>
        <w:tc>
          <w:tcPr>
            <w:tcW w:w="0" w:type="auto"/>
            <w:gridSpan w:val="3"/>
            <w:shd w:val="clear" w:color="auto" w:fill="auto"/>
            <w:vAlign w:val="bottom"/>
          </w:tcPr>
          <w:p w14:paraId="74DE16DB" w14:textId="77777777" w:rsidR="00584EC1" w:rsidRDefault="00584EC1">
            <w:pPr>
              <w:rPr>
                <w:rFonts w:ascii="宋体"/>
                <w:vanish/>
              </w:rPr>
            </w:pPr>
          </w:p>
        </w:tc>
        <w:tc>
          <w:tcPr>
            <w:tcW w:w="0" w:type="auto"/>
            <w:gridSpan w:val="3"/>
            <w:shd w:val="clear" w:color="auto" w:fill="auto"/>
            <w:vAlign w:val="bottom"/>
          </w:tcPr>
          <w:p w14:paraId="74DE16DC" w14:textId="77777777" w:rsidR="00584EC1" w:rsidRDefault="00584EC1">
            <w:pPr>
              <w:rPr>
                <w:rFonts w:ascii="宋体"/>
                <w:vanish/>
              </w:rPr>
            </w:pPr>
          </w:p>
        </w:tc>
        <w:tc>
          <w:tcPr>
            <w:tcW w:w="0" w:type="auto"/>
            <w:gridSpan w:val="2"/>
            <w:shd w:val="clear" w:color="auto" w:fill="CCEEFF"/>
            <w:tcMar>
              <w:top w:w="40" w:type="dxa"/>
              <w:left w:w="20" w:type="dxa"/>
              <w:bottom w:w="40" w:type="dxa"/>
              <w:right w:w="0" w:type="dxa"/>
            </w:tcMar>
            <w:vAlign w:val="bottom"/>
          </w:tcPr>
          <w:p w14:paraId="74DE16DD" w14:textId="77777777" w:rsidR="00584EC1" w:rsidRDefault="00871F8D">
            <w:pPr>
              <w:jc w:val="right"/>
              <w:textAlignment w:val="bottom"/>
            </w:pPr>
            <w:r>
              <w:rPr>
                <w:rFonts w:ascii="Arial" w:eastAsia="宋体" w:hAnsi="Arial" w:cs="Arial"/>
                <w:b/>
                <w:bCs/>
                <w:color w:val="000000"/>
                <w:sz w:val="14"/>
                <w:szCs w:val="14"/>
              </w:rPr>
              <w:t>1,421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E16DE" w14:textId="77777777" w:rsidR="00584EC1" w:rsidRDefault="00584EC1">
            <w:pPr>
              <w:jc w:val="right"/>
              <w:rPr>
                <w:rFonts w:ascii="宋体"/>
              </w:rPr>
            </w:pPr>
          </w:p>
        </w:tc>
        <w:tc>
          <w:tcPr>
            <w:tcW w:w="0" w:type="auto"/>
            <w:gridSpan w:val="2"/>
            <w:shd w:val="clear" w:color="auto" w:fill="CCEEFF"/>
            <w:tcMar>
              <w:top w:w="0" w:type="dxa"/>
              <w:left w:w="20" w:type="dxa"/>
              <w:bottom w:w="0" w:type="dxa"/>
              <w:right w:w="20" w:type="dxa"/>
            </w:tcMar>
            <w:vAlign w:val="bottom"/>
          </w:tcPr>
          <w:p w14:paraId="74DE16DF"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E16E0" w14:textId="77777777" w:rsidR="00584EC1" w:rsidRDefault="00871F8D">
            <w:pPr>
              <w:jc w:val="right"/>
              <w:textAlignment w:val="bottom"/>
            </w:pPr>
            <w:r>
              <w:rPr>
                <w:rFonts w:ascii="Arial" w:eastAsia="宋体" w:hAnsi="Arial" w:cs="Arial"/>
                <w:color w:val="000000"/>
                <w:sz w:val="14"/>
                <w:szCs w:val="14"/>
              </w:rPr>
              <w:t>1,701 </w:t>
            </w:r>
          </w:p>
        </w:tc>
      </w:tr>
      <w:tr w:rsidR="00584EC1" w14:paraId="74DE16FF" w14:textId="77777777">
        <w:tc>
          <w:tcPr>
            <w:tcW w:w="0" w:type="auto"/>
            <w:gridSpan w:val="3"/>
            <w:shd w:val="clear" w:color="auto" w:fill="FFFFFF"/>
            <w:tcMar>
              <w:top w:w="40" w:type="dxa"/>
              <w:left w:w="20" w:type="dxa"/>
              <w:bottom w:w="40" w:type="dxa"/>
              <w:right w:w="20" w:type="dxa"/>
            </w:tcMar>
            <w:vAlign w:val="bottom"/>
          </w:tcPr>
          <w:p w14:paraId="74DE16E2" w14:textId="77777777" w:rsidR="00584EC1" w:rsidRDefault="00871F8D">
            <w:pPr>
              <w:textAlignment w:val="bottom"/>
            </w:pPr>
            <w:r>
              <w:rPr>
                <w:rFonts w:ascii="Arial" w:eastAsia="宋体" w:hAnsi="Arial" w:cs="Arial"/>
                <w:color w:val="000000"/>
                <w:sz w:val="14"/>
                <w:szCs w:val="14"/>
              </w:rPr>
              <w:t>Total other income</w:t>
            </w:r>
          </w:p>
        </w:tc>
        <w:tc>
          <w:tcPr>
            <w:tcW w:w="0" w:type="auto"/>
            <w:gridSpan w:val="2"/>
            <w:shd w:val="clear" w:color="auto" w:fill="FFFFFF"/>
            <w:tcMar>
              <w:top w:w="40" w:type="dxa"/>
              <w:left w:w="20" w:type="dxa"/>
              <w:bottom w:w="40" w:type="dxa"/>
              <w:right w:w="0" w:type="dxa"/>
            </w:tcMar>
            <w:vAlign w:val="bottom"/>
          </w:tcPr>
          <w:p w14:paraId="74DE16E3" w14:textId="77777777" w:rsidR="00584EC1" w:rsidRDefault="00871F8D">
            <w:pPr>
              <w:jc w:val="right"/>
              <w:textAlignment w:val="bottom"/>
            </w:pPr>
            <w:r>
              <w:rPr>
                <w:rFonts w:ascii="Arial" w:eastAsia="宋体" w:hAnsi="Arial" w:cs="Arial"/>
                <w:b/>
                <w:bCs/>
                <w:color w:val="000000"/>
                <w:sz w:val="14"/>
                <w:szCs w:val="14"/>
              </w:rPr>
              <w:t>(1)</w:t>
            </w:r>
          </w:p>
        </w:tc>
        <w:tc>
          <w:tcPr>
            <w:tcW w:w="0" w:type="auto"/>
            <w:shd w:val="clear" w:color="auto" w:fill="FFFFFF"/>
            <w:tcMar>
              <w:top w:w="40" w:type="dxa"/>
              <w:left w:w="0" w:type="dxa"/>
              <w:bottom w:w="40" w:type="dxa"/>
              <w:right w:w="20" w:type="dxa"/>
            </w:tcMar>
            <w:vAlign w:val="bottom"/>
          </w:tcPr>
          <w:p w14:paraId="74DE16E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6E5"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6E6" w14:textId="77777777" w:rsidR="00584EC1" w:rsidRDefault="00871F8D">
            <w:pPr>
              <w:jc w:val="right"/>
              <w:textAlignment w:val="bottom"/>
            </w:pPr>
            <w:r>
              <w:rPr>
                <w:rFonts w:ascii="Arial" w:eastAsia="宋体" w:hAnsi="Arial" w:cs="Arial"/>
                <w:color w:val="000000"/>
                <w:sz w:val="14"/>
                <w:szCs w:val="14"/>
              </w:rPr>
              <w:t>2 </w:t>
            </w:r>
          </w:p>
        </w:tc>
        <w:tc>
          <w:tcPr>
            <w:tcW w:w="0" w:type="auto"/>
            <w:shd w:val="clear" w:color="auto" w:fill="FFFFFF"/>
            <w:tcMar>
              <w:top w:w="40" w:type="dxa"/>
              <w:left w:w="0" w:type="dxa"/>
              <w:bottom w:w="40" w:type="dxa"/>
              <w:right w:w="20" w:type="dxa"/>
            </w:tcMar>
            <w:vAlign w:val="bottom"/>
          </w:tcPr>
          <w:p w14:paraId="74DE16E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6E8" w14:textId="77777777" w:rsidR="00584EC1" w:rsidRDefault="00584EC1">
            <w:pPr>
              <w:rPr>
                <w:rFonts w:ascii="宋体"/>
              </w:rPr>
            </w:pPr>
          </w:p>
        </w:tc>
        <w:tc>
          <w:tcPr>
            <w:tcW w:w="0" w:type="auto"/>
            <w:shd w:val="clear" w:color="auto" w:fill="auto"/>
            <w:vAlign w:val="bottom"/>
          </w:tcPr>
          <w:p w14:paraId="74DE16E9" w14:textId="77777777" w:rsidR="00584EC1" w:rsidRDefault="00584EC1">
            <w:pPr>
              <w:rPr>
                <w:rFonts w:ascii="宋体"/>
                <w:vanish/>
              </w:rPr>
            </w:pPr>
          </w:p>
        </w:tc>
        <w:tc>
          <w:tcPr>
            <w:tcW w:w="0" w:type="auto"/>
            <w:shd w:val="clear" w:color="auto" w:fill="auto"/>
            <w:vAlign w:val="bottom"/>
          </w:tcPr>
          <w:p w14:paraId="74DE16EA"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E16EB"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E16E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6E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6EE"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E16E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6F0" w14:textId="77777777" w:rsidR="00584EC1" w:rsidRDefault="00584EC1">
            <w:pPr>
              <w:rPr>
                <w:rFonts w:ascii="宋体"/>
              </w:rPr>
            </w:pPr>
          </w:p>
        </w:tc>
        <w:tc>
          <w:tcPr>
            <w:tcW w:w="0" w:type="auto"/>
            <w:shd w:val="clear" w:color="auto" w:fill="auto"/>
            <w:vAlign w:val="bottom"/>
          </w:tcPr>
          <w:p w14:paraId="74DE16F1" w14:textId="77777777" w:rsidR="00584EC1" w:rsidRDefault="00584EC1">
            <w:pPr>
              <w:rPr>
                <w:rFonts w:ascii="宋体"/>
                <w:vanish/>
              </w:rPr>
            </w:pPr>
          </w:p>
        </w:tc>
        <w:tc>
          <w:tcPr>
            <w:tcW w:w="0" w:type="auto"/>
            <w:shd w:val="clear" w:color="auto" w:fill="auto"/>
            <w:vAlign w:val="bottom"/>
          </w:tcPr>
          <w:p w14:paraId="74DE16F2"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E16F3" w14:textId="77777777" w:rsidR="00584EC1" w:rsidRDefault="00871F8D">
            <w:pPr>
              <w:jc w:val="right"/>
              <w:textAlignment w:val="bottom"/>
            </w:pPr>
            <w:r>
              <w:rPr>
                <w:rFonts w:ascii="Arial" w:eastAsia="宋体" w:hAnsi="Arial" w:cs="Arial"/>
                <w:b/>
                <w:bCs/>
                <w:color w:val="000000"/>
                <w:sz w:val="14"/>
                <w:szCs w:val="14"/>
              </w:rPr>
              <w:t>53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E16F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6F5"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6F6"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E16F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6F8" w14:textId="77777777" w:rsidR="00584EC1" w:rsidRDefault="00584EC1">
            <w:pPr>
              <w:rPr>
                <w:rFonts w:ascii="宋体"/>
              </w:rPr>
            </w:pPr>
          </w:p>
        </w:tc>
        <w:tc>
          <w:tcPr>
            <w:tcW w:w="0" w:type="auto"/>
            <w:gridSpan w:val="3"/>
            <w:shd w:val="clear" w:color="auto" w:fill="auto"/>
            <w:vAlign w:val="bottom"/>
          </w:tcPr>
          <w:p w14:paraId="74DE16F9" w14:textId="77777777" w:rsidR="00584EC1" w:rsidRDefault="00584EC1">
            <w:pPr>
              <w:rPr>
                <w:rFonts w:ascii="宋体"/>
                <w:vanish/>
              </w:rPr>
            </w:pPr>
          </w:p>
        </w:tc>
        <w:tc>
          <w:tcPr>
            <w:tcW w:w="0" w:type="auto"/>
            <w:gridSpan w:val="3"/>
            <w:shd w:val="clear" w:color="auto" w:fill="auto"/>
            <w:vAlign w:val="bottom"/>
          </w:tcPr>
          <w:p w14:paraId="74DE16FA"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E16FB" w14:textId="77777777" w:rsidR="00584EC1" w:rsidRDefault="00871F8D">
            <w:pPr>
              <w:jc w:val="right"/>
              <w:textAlignment w:val="bottom"/>
            </w:pPr>
            <w:r>
              <w:rPr>
                <w:rFonts w:ascii="Arial" w:eastAsia="宋体" w:hAnsi="Arial" w:cs="Arial"/>
                <w:b/>
                <w:bCs/>
                <w:color w:val="000000"/>
                <w:sz w:val="14"/>
                <w:szCs w:val="14"/>
              </w:rPr>
              <w:t>52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E16FC" w14:textId="77777777" w:rsidR="00584EC1" w:rsidRDefault="00584EC1">
            <w:pPr>
              <w:jc w:val="right"/>
              <w:rPr>
                <w:rFonts w:ascii="宋体"/>
              </w:rPr>
            </w:pPr>
          </w:p>
        </w:tc>
        <w:tc>
          <w:tcPr>
            <w:tcW w:w="0" w:type="auto"/>
            <w:gridSpan w:val="2"/>
            <w:shd w:val="clear" w:color="auto" w:fill="FFFFFF"/>
            <w:tcMar>
              <w:top w:w="0" w:type="dxa"/>
              <w:left w:w="20" w:type="dxa"/>
              <w:bottom w:w="0" w:type="dxa"/>
              <w:right w:w="20" w:type="dxa"/>
            </w:tcMar>
            <w:vAlign w:val="bottom"/>
          </w:tcPr>
          <w:p w14:paraId="74DE16FD" w14:textId="77777777" w:rsidR="00584EC1" w:rsidRDefault="00584EC1">
            <w:pPr>
              <w:rPr>
                <w:rFonts w:ascii="宋体"/>
              </w:rPr>
            </w:pPr>
          </w:p>
        </w:tc>
        <w:tc>
          <w:tcPr>
            <w:tcW w:w="0" w:type="auto"/>
            <w:shd w:val="clear" w:color="auto" w:fill="FFFFFF"/>
            <w:tcMar>
              <w:top w:w="40" w:type="dxa"/>
              <w:left w:w="20" w:type="dxa"/>
              <w:bottom w:w="40" w:type="dxa"/>
              <w:right w:w="0" w:type="dxa"/>
            </w:tcMar>
            <w:vAlign w:val="bottom"/>
          </w:tcPr>
          <w:p w14:paraId="74DE16FE" w14:textId="77777777" w:rsidR="00584EC1" w:rsidRDefault="00871F8D">
            <w:pPr>
              <w:jc w:val="right"/>
              <w:textAlignment w:val="bottom"/>
            </w:pPr>
            <w:r>
              <w:rPr>
                <w:rFonts w:ascii="Arial" w:eastAsia="宋体" w:hAnsi="Arial" w:cs="Arial"/>
                <w:color w:val="000000"/>
                <w:sz w:val="14"/>
                <w:szCs w:val="14"/>
              </w:rPr>
              <w:t>2 </w:t>
            </w:r>
          </w:p>
        </w:tc>
      </w:tr>
      <w:tr w:rsidR="00584EC1" w14:paraId="74DE171D" w14:textId="77777777">
        <w:tc>
          <w:tcPr>
            <w:tcW w:w="0" w:type="auto"/>
            <w:gridSpan w:val="3"/>
            <w:shd w:val="clear" w:color="auto" w:fill="CCEEFF"/>
            <w:tcMar>
              <w:top w:w="40" w:type="dxa"/>
              <w:left w:w="20" w:type="dxa"/>
              <w:bottom w:w="40" w:type="dxa"/>
              <w:right w:w="20" w:type="dxa"/>
            </w:tcMar>
            <w:vAlign w:val="bottom"/>
          </w:tcPr>
          <w:p w14:paraId="74DE1700" w14:textId="77777777" w:rsidR="00584EC1" w:rsidRDefault="00871F8D">
            <w:pPr>
              <w:textAlignment w:val="bottom"/>
            </w:pPr>
            <w:r>
              <w:rPr>
                <w:rFonts w:ascii="Arial" w:eastAsia="宋体" w:hAnsi="Arial" w:cs="Arial"/>
                <w:b/>
                <w:bCs/>
                <w:color w:val="000000"/>
                <w:sz w:val="14"/>
                <w:szCs w:val="14"/>
              </w:rPr>
              <w:t>Total revenue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E1701" w14:textId="77777777" w:rsidR="00584EC1" w:rsidRDefault="00871F8D">
            <w:pPr>
              <w:jc w:val="right"/>
              <w:textAlignment w:val="bottom"/>
            </w:pPr>
            <w:r>
              <w:rPr>
                <w:rFonts w:ascii="Arial" w:eastAsia="宋体" w:hAnsi="Arial" w:cs="Arial"/>
                <w:b/>
                <w:bCs/>
                <w:color w:val="000000"/>
                <w:sz w:val="14"/>
                <w:szCs w:val="14"/>
              </w:rPr>
              <w:t>7,354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70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703"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E1704" w14:textId="77777777" w:rsidR="00584EC1" w:rsidRDefault="00871F8D">
            <w:pPr>
              <w:jc w:val="right"/>
              <w:textAlignment w:val="bottom"/>
            </w:pPr>
            <w:r>
              <w:rPr>
                <w:rFonts w:ascii="Arial" w:eastAsia="宋体" w:hAnsi="Arial" w:cs="Arial"/>
                <w:color w:val="000000"/>
                <w:sz w:val="14"/>
                <w:szCs w:val="14"/>
              </w:rPr>
              <w:t>7,362 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70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706" w14:textId="77777777" w:rsidR="00584EC1" w:rsidRDefault="00584EC1">
            <w:pPr>
              <w:rPr>
                <w:rFonts w:ascii="宋体"/>
              </w:rPr>
            </w:pPr>
          </w:p>
        </w:tc>
        <w:tc>
          <w:tcPr>
            <w:tcW w:w="0" w:type="auto"/>
            <w:shd w:val="clear" w:color="auto" w:fill="auto"/>
            <w:vAlign w:val="bottom"/>
          </w:tcPr>
          <w:p w14:paraId="74DE1707" w14:textId="77777777" w:rsidR="00584EC1" w:rsidRDefault="00584EC1">
            <w:pPr>
              <w:rPr>
                <w:rFonts w:ascii="宋体"/>
                <w:vanish/>
              </w:rPr>
            </w:pPr>
          </w:p>
        </w:tc>
        <w:tc>
          <w:tcPr>
            <w:tcW w:w="0" w:type="auto"/>
            <w:shd w:val="clear" w:color="auto" w:fill="auto"/>
            <w:vAlign w:val="bottom"/>
          </w:tcPr>
          <w:p w14:paraId="74DE1708" w14:textId="77777777" w:rsidR="00584EC1" w:rsidRDefault="00584EC1">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E1709" w14:textId="77777777" w:rsidR="00584EC1" w:rsidRDefault="00871F8D">
            <w:pPr>
              <w:jc w:val="right"/>
              <w:textAlignment w:val="bottom"/>
            </w:pPr>
            <w:r>
              <w:rPr>
                <w:rFonts w:ascii="Arial" w:eastAsia="宋体" w:hAnsi="Arial" w:cs="Arial"/>
                <w:b/>
                <w:bCs/>
                <w:color w:val="000000"/>
                <w:sz w:val="14"/>
                <w:szCs w:val="14"/>
              </w:rPr>
              <w:t>1,567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70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70B"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E170C" w14:textId="77777777" w:rsidR="00584EC1" w:rsidRDefault="00871F8D">
            <w:pPr>
              <w:jc w:val="right"/>
              <w:textAlignment w:val="bottom"/>
            </w:pPr>
            <w:r>
              <w:rPr>
                <w:rFonts w:ascii="Arial" w:eastAsia="宋体" w:hAnsi="Arial" w:cs="Arial"/>
                <w:color w:val="000000"/>
                <w:sz w:val="14"/>
                <w:szCs w:val="14"/>
              </w:rPr>
              <w:t>1,424 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70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70E" w14:textId="77777777" w:rsidR="00584EC1" w:rsidRDefault="00584EC1">
            <w:pPr>
              <w:rPr>
                <w:rFonts w:ascii="宋体"/>
              </w:rPr>
            </w:pPr>
          </w:p>
        </w:tc>
        <w:tc>
          <w:tcPr>
            <w:tcW w:w="0" w:type="auto"/>
            <w:shd w:val="clear" w:color="auto" w:fill="auto"/>
            <w:vAlign w:val="bottom"/>
          </w:tcPr>
          <w:p w14:paraId="74DE170F" w14:textId="77777777" w:rsidR="00584EC1" w:rsidRDefault="00584EC1">
            <w:pPr>
              <w:rPr>
                <w:rFonts w:ascii="宋体"/>
                <w:vanish/>
              </w:rPr>
            </w:pPr>
          </w:p>
        </w:tc>
        <w:tc>
          <w:tcPr>
            <w:tcW w:w="0" w:type="auto"/>
            <w:shd w:val="clear" w:color="auto" w:fill="auto"/>
            <w:vAlign w:val="bottom"/>
          </w:tcPr>
          <w:p w14:paraId="74DE1710" w14:textId="77777777" w:rsidR="00584EC1" w:rsidRDefault="00584EC1">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E1711" w14:textId="77777777" w:rsidR="00584EC1" w:rsidRDefault="00871F8D">
            <w:pPr>
              <w:jc w:val="right"/>
              <w:textAlignment w:val="bottom"/>
            </w:pPr>
            <w:r>
              <w:rPr>
                <w:rFonts w:ascii="Arial" w:eastAsia="宋体" w:hAnsi="Arial" w:cs="Arial"/>
                <w:b/>
                <w:bCs/>
                <w:color w:val="000000"/>
                <w:sz w:val="14"/>
                <w:szCs w:val="14"/>
              </w:rPr>
              <w:t>53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71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713"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E1714" w14:textId="77777777" w:rsidR="00584EC1" w:rsidRDefault="00871F8D">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71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716" w14:textId="77777777" w:rsidR="00584EC1" w:rsidRDefault="00584EC1">
            <w:pPr>
              <w:rPr>
                <w:rFonts w:ascii="宋体"/>
              </w:rPr>
            </w:pPr>
          </w:p>
        </w:tc>
        <w:tc>
          <w:tcPr>
            <w:tcW w:w="0" w:type="auto"/>
            <w:gridSpan w:val="3"/>
            <w:shd w:val="clear" w:color="auto" w:fill="auto"/>
            <w:vAlign w:val="bottom"/>
          </w:tcPr>
          <w:p w14:paraId="74DE1717" w14:textId="77777777" w:rsidR="00584EC1" w:rsidRDefault="00584EC1">
            <w:pPr>
              <w:rPr>
                <w:rFonts w:ascii="宋体"/>
                <w:vanish/>
              </w:rPr>
            </w:pPr>
          </w:p>
        </w:tc>
        <w:tc>
          <w:tcPr>
            <w:tcW w:w="0" w:type="auto"/>
            <w:gridSpan w:val="3"/>
            <w:shd w:val="clear" w:color="auto" w:fill="auto"/>
            <w:vAlign w:val="bottom"/>
          </w:tcPr>
          <w:p w14:paraId="74DE1718" w14:textId="77777777" w:rsidR="00584EC1" w:rsidRDefault="00584EC1">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E1719" w14:textId="77777777" w:rsidR="00584EC1" w:rsidRDefault="00871F8D">
            <w:pPr>
              <w:jc w:val="right"/>
              <w:textAlignment w:val="bottom"/>
            </w:pPr>
            <w:r>
              <w:rPr>
                <w:rFonts w:ascii="Arial" w:eastAsia="宋体" w:hAnsi="Arial" w:cs="Arial"/>
                <w:b/>
                <w:bCs/>
                <w:color w:val="000000"/>
                <w:sz w:val="14"/>
                <w:szCs w:val="14"/>
              </w:rPr>
              <w:t>8,974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71A" w14:textId="77777777" w:rsidR="00584EC1" w:rsidRDefault="00584EC1">
            <w:pPr>
              <w:jc w:val="right"/>
              <w:rPr>
                <w:rFonts w:ascii="宋体"/>
              </w:rPr>
            </w:pPr>
          </w:p>
        </w:tc>
        <w:tc>
          <w:tcPr>
            <w:tcW w:w="0" w:type="auto"/>
            <w:gridSpan w:val="2"/>
            <w:shd w:val="clear" w:color="auto" w:fill="CCEEFF"/>
            <w:tcMar>
              <w:top w:w="0" w:type="dxa"/>
              <w:left w:w="20" w:type="dxa"/>
              <w:bottom w:w="0" w:type="dxa"/>
              <w:right w:w="20" w:type="dxa"/>
            </w:tcMar>
            <w:vAlign w:val="bottom"/>
          </w:tcPr>
          <w:p w14:paraId="74DE171B"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171C" w14:textId="77777777" w:rsidR="00584EC1" w:rsidRDefault="00871F8D">
            <w:pPr>
              <w:jc w:val="right"/>
              <w:textAlignment w:val="bottom"/>
            </w:pPr>
            <w:r>
              <w:rPr>
                <w:rFonts w:ascii="Arial" w:eastAsia="宋体" w:hAnsi="Arial" w:cs="Arial"/>
                <w:color w:val="000000"/>
                <w:sz w:val="14"/>
                <w:szCs w:val="14"/>
              </w:rPr>
              <w:t>8,786 </w:t>
            </w:r>
          </w:p>
        </w:tc>
      </w:tr>
      <w:tr w:rsidR="00584EC1" w14:paraId="74DE173B" w14:textId="77777777">
        <w:tc>
          <w:tcPr>
            <w:tcW w:w="0" w:type="auto"/>
            <w:gridSpan w:val="3"/>
            <w:shd w:val="clear" w:color="auto" w:fill="FFFFFF"/>
            <w:tcMar>
              <w:top w:w="40" w:type="dxa"/>
              <w:left w:w="20" w:type="dxa"/>
              <w:bottom w:w="40" w:type="dxa"/>
              <w:right w:w="20" w:type="dxa"/>
            </w:tcMar>
            <w:vAlign w:val="bottom"/>
          </w:tcPr>
          <w:p w14:paraId="74DE171E" w14:textId="77777777" w:rsidR="00584EC1" w:rsidRDefault="00871F8D">
            <w:pPr>
              <w:textAlignment w:val="bottom"/>
            </w:pPr>
            <w:r>
              <w:rPr>
                <w:rFonts w:ascii="Arial" w:eastAsia="宋体" w:hAnsi="Arial" w:cs="Arial"/>
                <w:color w:val="000000"/>
                <w:sz w:val="14"/>
                <w:szCs w:val="14"/>
              </w:rPr>
              <w:t>Provision for credit losses</w:t>
            </w:r>
          </w:p>
        </w:tc>
        <w:tc>
          <w:tcPr>
            <w:tcW w:w="0" w:type="auto"/>
            <w:gridSpan w:val="2"/>
            <w:shd w:val="clear" w:color="auto" w:fill="FFFFFF"/>
            <w:tcMar>
              <w:top w:w="40" w:type="dxa"/>
              <w:left w:w="20" w:type="dxa"/>
              <w:bottom w:w="40" w:type="dxa"/>
              <w:right w:w="0" w:type="dxa"/>
            </w:tcMar>
            <w:vAlign w:val="bottom"/>
          </w:tcPr>
          <w:p w14:paraId="74DE171F" w14:textId="77777777" w:rsidR="00584EC1" w:rsidRDefault="00871F8D">
            <w:pPr>
              <w:jc w:val="right"/>
              <w:textAlignment w:val="bottom"/>
            </w:pPr>
            <w:r>
              <w:rPr>
                <w:rFonts w:ascii="Arial" w:eastAsia="宋体" w:hAnsi="Arial" w:cs="Arial"/>
                <w:b/>
                <w:bCs/>
                <w:color w:val="000000"/>
                <w:sz w:val="14"/>
                <w:szCs w:val="14"/>
              </w:rPr>
              <w:t>(26)</w:t>
            </w:r>
          </w:p>
        </w:tc>
        <w:tc>
          <w:tcPr>
            <w:tcW w:w="0" w:type="auto"/>
            <w:shd w:val="clear" w:color="auto" w:fill="FFFFFF"/>
            <w:tcMar>
              <w:top w:w="40" w:type="dxa"/>
              <w:left w:w="0" w:type="dxa"/>
              <w:bottom w:w="40" w:type="dxa"/>
              <w:right w:w="20" w:type="dxa"/>
            </w:tcMar>
            <w:vAlign w:val="bottom"/>
          </w:tcPr>
          <w:p w14:paraId="74DE172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72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722" w14:textId="77777777" w:rsidR="00584EC1" w:rsidRDefault="00871F8D">
            <w:pPr>
              <w:jc w:val="right"/>
              <w:textAlignment w:val="bottom"/>
            </w:pPr>
            <w:r>
              <w:rPr>
                <w:rFonts w:ascii="Arial" w:eastAsia="宋体" w:hAnsi="Arial" w:cs="Arial"/>
                <w:color w:val="000000"/>
                <w:sz w:val="14"/>
                <w:szCs w:val="14"/>
              </w:rPr>
              <w:t>88 </w:t>
            </w:r>
          </w:p>
        </w:tc>
        <w:tc>
          <w:tcPr>
            <w:tcW w:w="0" w:type="auto"/>
            <w:shd w:val="clear" w:color="auto" w:fill="FFFFFF"/>
            <w:tcMar>
              <w:top w:w="40" w:type="dxa"/>
              <w:left w:w="0" w:type="dxa"/>
              <w:bottom w:w="40" w:type="dxa"/>
              <w:right w:w="20" w:type="dxa"/>
            </w:tcMar>
            <w:vAlign w:val="bottom"/>
          </w:tcPr>
          <w:p w14:paraId="74DE172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724" w14:textId="77777777" w:rsidR="00584EC1" w:rsidRDefault="00584EC1">
            <w:pPr>
              <w:rPr>
                <w:rFonts w:ascii="宋体"/>
              </w:rPr>
            </w:pPr>
          </w:p>
        </w:tc>
        <w:tc>
          <w:tcPr>
            <w:tcW w:w="0" w:type="auto"/>
            <w:shd w:val="clear" w:color="auto" w:fill="auto"/>
            <w:vAlign w:val="bottom"/>
          </w:tcPr>
          <w:p w14:paraId="74DE1725" w14:textId="77777777" w:rsidR="00584EC1" w:rsidRDefault="00584EC1">
            <w:pPr>
              <w:rPr>
                <w:rFonts w:ascii="宋体"/>
                <w:vanish/>
              </w:rPr>
            </w:pPr>
          </w:p>
        </w:tc>
        <w:tc>
          <w:tcPr>
            <w:tcW w:w="0" w:type="auto"/>
            <w:shd w:val="clear" w:color="auto" w:fill="auto"/>
            <w:vAlign w:val="bottom"/>
          </w:tcPr>
          <w:p w14:paraId="74DE1726"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E1727"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E172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72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72A"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E172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72C" w14:textId="77777777" w:rsidR="00584EC1" w:rsidRDefault="00584EC1">
            <w:pPr>
              <w:rPr>
                <w:rFonts w:ascii="宋体"/>
              </w:rPr>
            </w:pPr>
          </w:p>
        </w:tc>
        <w:tc>
          <w:tcPr>
            <w:tcW w:w="0" w:type="auto"/>
            <w:shd w:val="clear" w:color="auto" w:fill="auto"/>
            <w:vAlign w:val="bottom"/>
          </w:tcPr>
          <w:p w14:paraId="74DE172D" w14:textId="77777777" w:rsidR="00584EC1" w:rsidRDefault="00584EC1">
            <w:pPr>
              <w:rPr>
                <w:rFonts w:ascii="宋体"/>
                <w:vanish/>
              </w:rPr>
            </w:pPr>
          </w:p>
        </w:tc>
        <w:tc>
          <w:tcPr>
            <w:tcW w:w="0" w:type="auto"/>
            <w:shd w:val="clear" w:color="auto" w:fill="auto"/>
            <w:vAlign w:val="bottom"/>
          </w:tcPr>
          <w:p w14:paraId="74DE172E"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E172F" w14:textId="77777777" w:rsidR="00584EC1" w:rsidRDefault="00871F8D">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E173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73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732" w14:textId="77777777" w:rsidR="00584EC1" w:rsidRDefault="00871F8D">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4DE173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734" w14:textId="77777777" w:rsidR="00584EC1" w:rsidRDefault="00584EC1">
            <w:pPr>
              <w:rPr>
                <w:rFonts w:ascii="宋体"/>
              </w:rPr>
            </w:pPr>
          </w:p>
        </w:tc>
        <w:tc>
          <w:tcPr>
            <w:tcW w:w="0" w:type="auto"/>
            <w:gridSpan w:val="3"/>
            <w:shd w:val="clear" w:color="auto" w:fill="auto"/>
            <w:vAlign w:val="bottom"/>
          </w:tcPr>
          <w:p w14:paraId="74DE1735" w14:textId="77777777" w:rsidR="00584EC1" w:rsidRDefault="00584EC1">
            <w:pPr>
              <w:rPr>
                <w:rFonts w:ascii="宋体"/>
                <w:vanish/>
              </w:rPr>
            </w:pPr>
          </w:p>
        </w:tc>
        <w:tc>
          <w:tcPr>
            <w:tcW w:w="0" w:type="auto"/>
            <w:gridSpan w:val="3"/>
            <w:shd w:val="clear" w:color="auto" w:fill="auto"/>
            <w:vAlign w:val="bottom"/>
          </w:tcPr>
          <w:p w14:paraId="74DE1736"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E1737" w14:textId="77777777" w:rsidR="00584EC1" w:rsidRDefault="00871F8D">
            <w:pPr>
              <w:jc w:val="right"/>
              <w:textAlignment w:val="bottom"/>
            </w:pPr>
            <w:r>
              <w:rPr>
                <w:rFonts w:ascii="Arial" w:eastAsia="宋体" w:hAnsi="Arial" w:cs="Arial"/>
                <w:b/>
                <w:bCs/>
                <w:color w:val="000000"/>
                <w:sz w:val="14"/>
                <w:szCs w:val="14"/>
              </w:rPr>
              <w:t>(26)</w:t>
            </w:r>
          </w:p>
        </w:tc>
        <w:tc>
          <w:tcPr>
            <w:tcW w:w="0" w:type="auto"/>
            <w:shd w:val="clear" w:color="auto" w:fill="FFFFFF"/>
            <w:tcMar>
              <w:top w:w="40" w:type="dxa"/>
              <w:left w:w="0" w:type="dxa"/>
              <w:bottom w:w="40" w:type="dxa"/>
              <w:right w:w="20" w:type="dxa"/>
            </w:tcMar>
            <w:vAlign w:val="bottom"/>
          </w:tcPr>
          <w:p w14:paraId="74DE1738" w14:textId="77777777" w:rsidR="00584EC1" w:rsidRDefault="00584EC1">
            <w:pPr>
              <w:jc w:val="right"/>
              <w:rPr>
                <w:rFonts w:ascii="宋体"/>
              </w:rPr>
            </w:pPr>
          </w:p>
        </w:tc>
        <w:tc>
          <w:tcPr>
            <w:tcW w:w="0" w:type="auto"/>
            <w:gridSpan w:val="2"/>
            <w:shd w:val="clear" w:color="auto" w:fill="FFFFFF"/>
            <w:tcMar>
              <w:top w:w="0" w:type="dxa"/>
              <w:left w:w="20" w:type="dxa"/>
              <w:bottom w:w="0" w:type="dxa"/>
              <w:right w:w="20" w:type="dxa"/>
            </w:tcMar>
            <w:vAlign w:val="bottom"/>
          </w:tcPr>
          <w:p w14:paraId="74DE1739" w14:textId="77777777" w:rsidR="00584EC1" w:rsidRDefault="00584EC1">
            <w:pPr>
              <w:rPr>
                <w:rFonts w:ascii="宋体"/>
              </w:rPr>
            </w:pPr>
          </w:p>
        </w:tc>
        <w:tc>
          <w:tcPr>
            <w:tcW w:w="0" w:type="auto"/>
            <w:shd w:val="clear" w:color="auto" w:fill="FFFFFF"/>
            <w:tcMar>
              <w:top w:w="40" w:type="dxa"/>
              <w:left w:w="20" w:type="dxa"/>
              <w:bottom w:w="40" w:type="dxa"/>
              <w:right w:w="0" w:type="dxa"/>
            </w:tcMar>
            <w:vAlign w:val="bottom"/>
          </w:tcPr>
          <w:p w14:paraId="74DE173A" w14:textId="77777777" w:rsidR="00584EC1" w:rsidRDefault="00871F8D">
            <w:pPr>
              <w:jc w:val="right"/>
              <w:textAlignment w:val="bottom"/>
            </w:pPr>
            <w:r>
              <w:rPr>
                <w:rFonts w:ascii="Arial" w:eastAsia="宋体" w:hAnsi="Arial" w:cs="Arial"/>
                <w:color w:val="000000"/>
                <w:sz w:val="14"/>
                <w:szCs w:val="14"/>
              </w:rPr>
              <w:t>88 </w:t>
            </w:r>
          </w:p>
        </w:tc>
      </w:tr>
      <w:tr w:rsidR="00584EC1" w14:paraId="74DE1752" w14:textId="77777777">
        <w:trPr>
          <w:hidden/>
        </w:trPr>
        <w:tc>
          <w:tcPr>
            <w:tcW w:w="0" w:type="auto"/>
            <w:gridSpan w:val="3"/>
            <w:shd w:val="clear" w:color="auto" w:fill="auto"/>
            <w:vAlign w:val="bottom"/>
          </w:tcPr>
          <w:p w14:paraId="74DE173C" w14:textId="77777777" w:rsidR="00584EC1" w:rsidRDefault="00584EC1">
            <w:pPr>
              <w:rPr>
                <w:rFonts w:ascii="宋体"/>
                <w:vanish/>
              </w:rPr>
            </w:pPr>
          </w:p>
        </w:tc>
        <w:tc>
          <w:tcPr>
            <w:tcW w:w="0" w:type="auto"/>
            <w:gridSpan w:val="3"/>
            <w:shd w:val="clear" w:color="auto" w:fill="auto"/>
            <w:vAlign w:val="bottom"/>
          </w:tcPr>
          <w:p w14:paraId="74DE173D" w14:textId="77777777" w:rsidR="00584EC1" w:rsidRDefault="00584EC1">
            <w:pPr>
              <w:rPr>
                <w:rFonts w:ascii="宋体"/>
                <w:vanish/>
              </w:rPr>
            </w:pPr>
          </w:p>
        </w:tc>
        <w:tc>
          <w:tcPr>
            <w:tcW w:w="0" w:type="auto"/>
            <w:gridSpan w:val="3"/>
            <w:shd w:val="clear" w:color="auto" w:fill="auto"/>
            <w:vAlign w:val="bottom"/>
          </w:tcPr>
          <w:p w14:paraId="74DE173E" w14:textId="77777777" w:rsidR="00584EC1" w:rsidRDefault="00584EC1">
            <w:pPr>
              <w:rPr>
                <w:rFonts w:ascii="宋体"/>
                <w:vanish/>
              </w:rPr>
            </w:pPr>
          </w:p>
        </w:tc>
        <w:tc>
          <w:tcPr>
            <w:tcW w:w="0" w:type="auto"/>
            <w:gridSpan w:val="3"/>
            <w:shd w:val="clear" w:color="auto" w:fill="auto"/>
            <w:vAlign w:val="bottom"/>
          </w:tcPr>
          <w:p w14:paraId="74DE173F" w14:textId="77777777" w:rsidR="00584EC1" w:rsidRDefault="00584EC1">
            <w:pPr>
              <w:rPr>
                <w:rFonts w:ascii="宋体"/>
                <w:vanish/>
              </w:rPr>
            </w:pPr>
          </w:p>
        </w:tc>
        <w:tc>
          <w:tcPr>
            <w:tcW w:w="0" w:type="auto"/>
            <w:gridSpan w:val="3"/>
            <w:shd w:val="clear" w:color="auto" w:fill="auto"/>
            <w:vAlign w:val="bottom"/>
          </w:tcPr>
          <w:p w14:paraId="74DE1740" w14:textId="77777777" w:rsidR="00584EC1" w:rsidRDefault="00584EC1">
            <w:pPr>
              <w:rPr>
                <w:rFonts w:ascii="宋体"/>
                <w:vanish/>
              </w:rPr>
            </w:pPr>
          </w:p>
        </w:tc>
        <w:tc>
          <w:tcPr>
            <w:tcW w:w="0" w:type="auto"/>
            <w:shd w:val="clear" w:color="auto" w:fill="auto"/>
            <w:vAlign w:val="bottom"/>
          </w:tcPr>
          <w:p w14:paraId="74DE1741" w14:textId="77777777" w:rsidR="00584EC1" w:rsidRDefault="00584EC1">
            <w:pPr>
              <w:rPr>
                <w:rFonts w:ascii="宋体"/>
                <w:vanish/>
              </w:rPr>
            </w:pPr>
          </w:p>
        </w:tc>
        <w:tc>
          <w:tcPr>
            <w:tcW w:w="0" w:type="auto"/>
            <w:shd w:val="clear" w:color="auto" w:fill="auto"/>
            <w:vAlign w:val="bottom"/>
          </w:tcPr>
          <w:p w14:paraId="74DE1742" w14:textId="77777777" w:rsidR="00584EC1" w:rsidRDefault="00584EC1">
            <w:pPr>
              <w:rPr>
                <w:rFonts w:ascii="宋体"/>
                <w:vanish/>
              </w:rPr>
            </w:pPr>
          </w:p>
        </w:tc>
        <w:tc>
          <w:tcPr>
            <w:tcW w:w="0" w:type="auto"/>
            <w:gridSpan w:val="3"/>
            <w:shd w:val="clear" w:color="auto" w:fill="auto"/>
            <w:vAlign w:val="bottom"/>
          </w:tcPr>
          <w:p w14:paraId="74DE1743" w14:textId="77777777" w:rsidR="00584EC1" w:rsidRDefault="00584EC1">
            <w:pPr>
              <w:rPr>
                <w:rFonts w:ascii="宋体"/>
                <w:vanish/>
              </w:rPr>
            </w:pPr>
          </w:p>
        </w:tc>
        <w:tc>
          <w:tcPr>
            <w:tcW w:w="0" w:type="auto"/>
            <w:gridSpan w:val="3"/>
            <w:shd w:val="clear" w:color="auto" w:fill="auto"/>
            <w:vAlign w:val="bottom"/>
          </w:tcPr>
          <w:p w14:paraId="74DE1744" w14:textId="77777777" w:rsidR="00584EC1" w:rsidRDefault="00584EC1">
            <w:pPr>
              <w:rPr>
                <w:rFonts w:ascii="宋体"/>
                <w:vanish/>
              </w:rPr>
            </w:pPr>
          </w:p>
        </w:tc>
        <w:tc>
          <w:tcPr>
            <w:tcW w:w="0" w:type="auto"/>
            <w:gridSpan w:val="3"/>
            <w:shd w:val="clear" w:color="auto" w:fill="auto"/>
            <w:vAlign w:val="bottom"/>
          </w:tcPr>
          <w:p w14:paraId="74DE1745" w14:textId="77777777" w:rsidR="00584EC1" w:rsidRDefault="00584EC1">
            <w:pPr>
              <w:rPr>
                <w:rFonts w:ascii="宋体"/>
                <w:vanish/>
              </w:rPr>
            </w:pPr>
          </w:p>
        </w:tc>
        <w:tc>
          <w:tcPr>
            <w:tcW w:w="0" w:type="auto"/>
            <w:gridSpan w:val="3"/>
            <w:shd w:val="clear" w:color="auto" w:fill="auto"/>
            <w:vAlign w:val="bottom"/>
          </w:tcPr>
          <w:p w14:paraId="74DE1746" w14:textId="77777777" w:rsidR="00584EC1" w:rsidRDefault="00584EC1">
            <w:pPr>
              <w:rPr>
                <w:rFonts w:ascii="宋体"/>
                <w:vanish/>
              </w:rPr>
            </w:pPr>
          </w:p>
        </w:tc>
        <w:tc>
          <w:tcPr>
            <w:tcW w:w="0" w:type="auto"/>
            <w:shd w:val="clear" w:color="auto" w:fill="auto"/>
            <w:vAlign w:val="bottom"/>
          </w:tcPr>
          <w:p w14:paraId="74DE1747" w14:textId="77777777" w:rsidR="00584EC1" w:rsidRDefault="00584EC1">
            <w:pPr>
              <w:rPr>
                <w:rFonts w:ascii="宋体"/>
                <w:vanish/>
              </w:rPr>
            </w:pPr>
          </w:p>
        </w:tc>
        <w:tc>
          <w:tcPr>
            <w:tcW w:w="0" w:type="auto"/>
            <w:shd w:val="clear" w:color="auto" w:fill="auto"/>
            <w:vAlign w:val="bottom"/>
          </w:tcPr>
          <w:p w14:paraId="74DE1748" w14:textId="77777777" w:rsidR="00584EC1" w:rsidRDefault="00584EC1">
            <w:pPr>
              <w:rPr>
                <w:rFonts w:ascii="宋体"/>
                <w:vanish/>
              </w:rPr>
            </w:pPr>
          </w:p>
        </w:tc>
        <w:tc>
          <w:tcPr>
            <w:tcW w:w="0" w:type="auto"/>
            <w:gridSpan w:val="3"/>
            <w:shd w:val="clear" w:color="auto" w:fill="auto"/>
            <w:vAlign w:val="bottom"/>
          </w:tcPr>
          <w:p w14:paraId="74DE1749" w14:textId="77777777" w:rsidR="00584EC1" w:rsidRDefault="00584EC1">
            <w:pPr>
              <w:rPr>
                <w:rFonts w:ascii="宋体"/>
                <w:vanish/>
              </w:rPr>
            </w:pPr>
          </w:p>
        </w:tc>
        <w:tc>
          <w:tcPr>
            <w:tcW w:w="0" w:type="auto"/>
            <w:gridSpan w:val="3"/>
            <w:shd w:val="clear" w:color="auto" w:fill="auto"/>
            <w:vAlign w:val="bottom"/>
          </w:tcPr>
          <w:p w14:paraId="74DE174A" w14:textId="77777777" w:rsidR="00584EC1" w:rsidRDefault="00584EC1">
            <w:pPr>
              <w:rPr>
                <w:rFonts w:ascii="宋体"/>
                <w:vanish/>
              </w:rPr>
            </w:pPr>
          </w:p>
        </w:tc>
        <w:tc>
          <w:tcPr>
            <w:tcW w:w="0" w:type="auto"/>
            <w:gridSpan w:val="3"/>
            <w:shd w:val="clear" w:color="auto" w:fill="auto"/>
            <w:vAlign w:val="bottom"/>
          </w:tcPr>
          <w:p w14:paraId="74DE174B" w14:textId="77777777" w:rsidR="00584EC1" w:rsidRDefault="00584EC1">
            <w:pPr>
              <w:rPr>
                <w:rFonts w:ascii="宋体"/>
                <w:vanish/>
              </w:rPr>
            </w:pPr>
          </w:p>
        </w:tc>
        <w:tc>
          <w:tcPr>
            <w:tcW w:w="0" w:type="auto"/>
            <w:gridSpan w:val="3"/>
            <w:shd w:val="clear" w:color="auto" w:fill="auto"/>
            <w:vAlign w:val="bottom"/>
          </w:tcPr>
          <w:p w14:paraId="74DE174C" w14:textId="77777777" w:rsidR="00584EC1" w:rsidRDefault="00584EC1">
            <w:pPr>
              <w:rPr>
                <w:rFonts w:ascii="宋体"/>
                <w:vanish/>
              </w:rPr>
            </w:pPr>
          </w:p>
        </w:tc>
        <w:tc>
          <w:tcPr>
            <w:tcW w:w="0" w:type="auto"/>
            <w:gridSpan w:val="3"/>
            <w:shd w:val="clear" w:color="auto" w:fill="auto"/>
            <w:vAlign w:val="bottom"/>
          </w:tcPr>
          <w:p w14:paraId="74DE174D" w14:textId="77777777" w:rsidR="00584EC1" w:rsidRDefault="00584EC1">
            <w:pPr>
              <w:rPr>
                <w:rFonts w:ascii="宋体"/>
                <w:vanish/>
              </w:rPr>
            </w:pPr>
          </w:p>
        </w:tc>
        <w:tc>
          <w:tcPr>
            <w:tcW w:w="0" w:type="auto"/>
            <w:gridSpan w:val="3"/>
            <w:shd w:val="clear" w:color="auto" w:fill="auto"/>
            <w:vAlign w:val="bottom"/>
          </w:tcPr>
          <w:p w14:paraId="74DE174E" w14:textId="77777777" w:rsidR="00584EC1" w:rsidRDefault="00584EC1">
            <w:pPr>
              <w:rPr>
                <w:rFonts w:ascii="宋体"/>
                <w:vanish/>
              </w:rPr>
            </w:pPr>
          </w:p>
        </w:tc>
        <w:tc>
          <w:tcPr>
            <w:tcW w:w="0" w:type="auto"/>
            <w:gridSpan w:val="3"/>
            <w:shd w:val="clear" w:color="auto" w:fill="auto"/>
            <w:vAlign w:val="bottom"/>
          </w:tcPr>
          <w:p w14:paraId="74DE174F" w14:textId="77777777" w:rsidR="00584EC1" w:rsidRDefault="00584EC1">
            <w:pPr>
              <w:rPr>
                <w:rFonts w:ascii="宋体"/>
                <w:vanish/>
              </w:rPr>
            </w:pPr>
          </w:p>
        </w:tc>
        <w:tc>
          <w:tcPr>
            <w:tcW w:w="0" w:type="auto"/>
            <w:gridSpan w:val="2"/>
            <w:shd w:val="clear" w:color="auto" w:fill="auto"/>
            <w:vAlign w:val="bottom"/>
          </w:tcPr>
          <w:p w14:paraId="74DE1750" w14:textId="77777777" w:rsidR="00584EC1" w:rsidRDefault="00584EC1">
            <w:pPr>
              <w:rPr>
                <w:rFonts w:ascii="宋体"/>
                <w:vanish/>
              </w:rPr>
            </w:pPr>
          </w:p>
        </w:tc>
        <w:tc>
          <w:tcPr>
            <w:tcW w:w="0" w:type="auto"/>
            <w:shd w:val="clear" w:color="auto" w:fill="auto"/>
            <w:vAlign w:val="bottom"/>
          </w:tcPr>
          <w:p w14:paraId="74DE1751" w14:textId="77777777" w:rsidR="00584EC1" w:rsidRDefault="00584EC1">
            <w:pPr>
              <w:rPr>
                <w:rFonts w:ascii="宋体"/>
                <w:vanish/>
              </w:rPr>
            </w:pPr>
          </w:p>
        </w:tc>
      </w:tr>
      <w:tr w:rsidR="00584EC1" w14:paraId="74DE1769" w14:textId="77777777">
        <w:trPr>
          <w:hidden/>
        </w:trPr>
        <w:tc>
          <w:tcPr>
            <w:tcW w:w="0" w:type="auto"/>
            <w:gridSpan w:val="3"/>
            <w:shd w:val="clear" w:color="auto" w:fill="auto"/>
            <w:vAlign w:val="bottom"/>
          </w:tcPr>
          <w:p w14:paraId="74DE1753" w14:textId="77777777" w:rsidR="00584EC1" w:rsidRDefault="00584EC1">
            <w:pPr>
              <w:rPr>
                <w:rFonts w:ascii="宋体"/>
                <w:vanish/>
              </w:rPr>
            </w:pPr>
          </w:p>
        </w:tc>
        <w:tc>
          <w:tcPr>
            <w:tcW w:w="0" w:type="auto"/>
            <w:gridSpan w:val="3"/>
            <w:shd w:val="clear" w:color="auto" w:fill="auto"/>
            <w:vAlign w:val="bottom"/>
          </w:tcPr>
          <w:p w14:paraId="74DE1754" w14:textId="77777777" w:rsidR="00584EC1" w:rsidRDefault="00584EC1">
            <w:pPr>
              <w:rPr>
                <w:rFonts w:ascii="宋体"/>
                <w:vanish/>
              </w:rPr>
            </w:pPr>
          </w:p>
        </w:tc>
        <w:tc>
          <w:tcPr>
            <w:tcW w:w="0" w:type="auto"/>
            <w:gridSpan w:val="3"/>
            <w:shd w:val="clear" w:color="auto" w:fill="auto"/>
            <w:vAlign w:val="bottom"/>
          </w:tcPr>
          <w:p w14:paraId="74DE1755" w14:textId="77777777" w:rsidR="00584EC1" w:rsidRDefault="00584EC1">
            <w:pPr>
              <w:rPr>
                <w:rFonts w:ascii="宋体"/>
                <w:vanish/>
              </w:rPr>
            </w:pPr>
          </w:p>
        </w:tc>
        <w:tc>
          <w:tcPr>
            <w:tcW w:w="0" w:type="auto"/>
            <w:gridSpan w:val="3"/>
            <w:shd w:val="clear" w:color="auto" w:fill="auto"/>
            <w:vAlign w:val="bottom"/>
          </w:tcPr>
          <w:p w14:paraId="74DE1756" w14:textId="77777777" w:rsidR="00584EC1" w:rsidRDefault="00584EC1">
            <w:pPr>
              <w:rPr>
                <w:rFonts w:ascii="宋体"/>
                <w:vanish/>
              </w:rPr>
            </w:pPr>
          </w:p>
        </w:tc>
        <w:tc>
          <w:tcPr>
            <w:tcW w:w="0" w:type="auto"/>
            <w:gridSpan w:val="3"/>
            <w:shd w:val="clear" w:color="auto" w:fill="auto"/>
            <w:vAlign w:val="bottom"/>
          </w:tcPr>
          <w:p w14:paraId="74DE1757" w14:textId="77777777" w:rsidR="00584EC1" w:rsidRDefault="00584EC1">
            <w:pPr>
              <w:rPr>
                <w:rFonts w:ascii="宋体"/>
                <w:vanish/>
              </w:rPr>
            </w:pPr>
          </w:p>
        </w:tc>
        <w:tc>
          <w:tcPr>
            <w:tcW w:w="0" w:type="auto"/>
            <w:shd w:val="clear" w:color="auto" w:fill="auto"/>
            <w:vAlign w:val="bottom"/>
          </w:tcPr>
          <w:p w14:paraId="74DE1758" w14:textId="77777777" w:rsidR="00584EC1" w:rsidRDefault="00584EC1">
            <w:pPr>
              <w:rPr>
                <w:rFonts w:ascii="宋体"/>
                <w:vanish/>
              </w:rPr>
            </w:pPr>
          </w:p>
        </w:tc>
        <w:tc>
          <w:tcPr>
            <w:tcW w:w="0" w:type="auto"/>
            <w:shd w:val="clear" w:color="auto" w:fill="auto"/>
            <w:vAlign w:val="bottom"/>
          </w:tcPr>
          <w:p w14:paraId="74DE1759" w14:textId="77777777" w:rsidR="00584EC1" w:rsidRDefault="00584EC1">
            <w:pPr>
              <w:rPr>
                <w:rFonts w:ascii="宋体"/>
                <w:vanish/>
              </w:rPr>
            </w:pPr>
          </w:p>
        </w:tc>
        <w:tc>
          <w:tcPr>
            <w:tcW w:w="0" w:type="auto"/>
            <w:gridSpan w:val="3"/>
            <w:shd w:val="clear" w:color="auto" w:fill="auto"/>
            <w:vAlign w:val="bottom"/>
          </w:tcPr>
          <w:p w14:paraId="74DE175A" w14:textId="77777777" w:rsidR="00584EC1" w:rsidRDefault="00584EC1">
            <w:pPr>
              <w:rPr>
                <w:rFonts w:ascii="宋体"/>
                <w:vanish/>
              </w:rPr>
            </w:pPr>
          </w:p>
        </w:tc>
        <w:tc>
          <w:tcPr>
            <w:tcW w:w="0" w:type="auto"/>
            <w:gridSpan w:val="3"/>
            <w:shd w:val="clear" w:color="auto" w:fill="auto"/>
            <w:vAlign w:val="bottom"/>
          </w:tcPr>
          <w:p w14:paraId="74DE175B" w14:textId="77777777" w:rsidR="00584EC1" w:rsidRDefault="00584EC1">
            <w:pPr>
              <w:rPr>
                <w:rFonts w:ascii="宋体"/>
                <w:vanish/>
              </w:rPr>
            </w:pPr>
          </w:p>
        </w:tc>
        <w:tc>
          <w:tcPr>
            <w:tcW w:w="0" w:type="auto"/>
            <w:gridSpan w:val="3"/>
            <w:shd w:val="clear" w:color="auto" w:fill="auto"/>
            <w:vAlign w:val="bottom"/>
          </w:tcPr>
          <w:p w14:paraId="74DE175C" w14:textId="77777777" w:rsidR="00584EC1" w:rsidRDefault="00584EC1">
            <w:pPr>
              <w:rPr>
                <w:rFonts w:ascii="宋体"/>
                <w:vanish/>
              </w:rPr>
            </w:pPr>
          </w:p>
        </w:tc>
        <w:tc>
          <w:tcPr>
            <w:tcW w:w="0" w:type="auto"/>
            <w:gridSpan w:val="3"/>
            <w:shd w:val="clear" w:color="auto" w:fill="auto"/>
            <w:vAlign w:val="bottom"/>
          </w:tcPr>
          <w:p w14:paraId="74DE175D" w14:textId="77777777" w:rsidR="00584EC1" w:rsidRDefault="00584EC1">
            <w:pPr>
              <w:rPr>
                <w:rFonts w:ascii="宋体"/>
                <w:vanish/>
              </w:rPr>
            </w:pPr>
          </w:p>
        </w:tc>
        <w:tc>
          <w:tcPr>
            <w:tcW w:w="0" w:type="auto"/>
            <w:shd w:val="clear" w:color="auto" w:fill="auto"/>
            <w:vAlign w:val="bottom"/>
          </w:tcPr>
          <w:p w14:paraId="74DE175E" w14:textId="77777777" w:rsidR="00584EC1" w:rsidRDefault="00584EC1">
            <w:pPr>
              <w:rPr>
                <w:rFonts w:ascii="宋体"/>
                <w:vanish/>
              </w:rPr>
            </w:pPr>
          </w:p>
        </w:tc>
        <w:tc>
          <w:tcPr>
            <w:tcW w:w="0" w:type="auto"/>
            <w:shd w:val="clear" w:color="auto" w:fill="auto"/>
            <w:vAlign w:val="bottom"/>
          </w:tcPr>
          <w:p w14:paraId="74DE175F" w14:textId="77777777" w:rsidR="00584EC1" w:rsidRDefault="00584EC1">
            <w:pPr>
              <w:rPr>
                <w:rFonts w:ascii="宋体"/>
                <w:vanish/>
              </w:rPr>
            </w:pPr>
          </w:p>
        </w:tc>
        <w:tc>
          <w:tcPr>
            <w:tcW w:w="0" w:type="auto"/>
            <w:gridSpan w:val="3"/>
            <w:shd w:val="clear" w:color="auto" w:fill="auto"/>
            <w:vAlign w:val="bottom"/>
          </w:tcPr>
          <w:p w14:paraId="74DE1760" w14:textId="77777777" w:rsidR="00584EC1" w:rsidRDefault="00584EC1">
            <w:pPr>
              <w:rPr>
                <w:rFonts w:ascii="宋体"/>
                <w:vanish/>
              </w:rPr>
            </w:pPr>
          </w:p>
        </w:tc>
        <w:tc>
          <w:tcPr>
            <w:tcW w:w="0" w:type="auto"/>
            <w:gridSpan w:val="3"/>
            <w:shd w:val="clear" w:color="auto" w:fill="auto"/>
            <w:vAlign w:val="bottom"/>
          </w:tcPr>
          <w:p w14:paraId="74DE1761" w14:textId="77777777" w:rsidR="00584EC1" w:rsidRDefault="00584EC1">
            <w:pPr>
              <w:rPr>
                <w:rFonts w:ascii="宋体"/>
                <w:vanish/>
              </w:rPr>
            </w:pPr>
          </w:p>
        </w:tc>
        <w:tc>
          <w:tcPr>
            <w:tcW w:w="0" w:type="auto"/>
            <w:gridSpan w:val="3"/>
            <w:shd w:val="clear" w:color="auto" w:fill="auto"/>
            <w:vAlign w:val="bottom"/>
          </w:tcPr>
          <w:p w14:paraId="74DE1762" w14:textId="77777777" w:rsidR="00584EC1" w:rsidRDefault="00584EC1">
            <w:pPr>
              <w:rPr>
                <w:rFonts w:ascii="宋体"/>
                <w:vanish/>
              </w:rPr>
            </w:pPr>
          </w:p>
        </w:tc>
        <w:tc>
          <w:tcPr>
            <w:tcW w:w="0" w:type="auto"/>
            <w:gridSpan w:val="3"/>
            <w:shd w:val="clear" w:color="auto" w:fill="auto"/>
            <w:vAlign w:val="bottom"/>
          </w:tcPr>
          <w:p w14:paraId="74DE1763" w14:textId="77777777" w:rsidR="00584EC1" w:rsidRDefault="00584EC1">
            <w:pPr>
              <w:rPr>
                <w:rFonts w:ascii="宋体"/>
                <w:vanish/>
              </w:rPr>
            </w:pPr>
          </w:p>
        </w:tc>
        <w:tc>
          <w:tcPr>
            <w:tcW w:w="0" w:type="auto"/>
            <w:gridSpan w:val="3"/>
            <w:shd w:val="clear" w:color="auto" w:fill="auto"/>
            <w:vAlign w:val="bottom"/>
          </w:tcPr>
          <w:p w14:paraId="74DE1764" w14:textId="77777777" w:rsidR="00584EC1" w:rsidRDefault="00584EC1">
            <w:pPr>
              <w:rPr>
                <w:rFonts w:ascii="宋体"/>
                <w:vanish/>
              </w:rPr>
            </w:pPr>
          </w:p>
        </w:tc>
        <w:tc>
          <w:tcPr>
            <w:tcW w:w="0" w:type="auto"/>
            <w:gridSpan w:val="3"/>
            <w:shd w:val="clear" w:color="auto" w:fill="auto"/>
            <w:vAlign w:val="bottom"/>
          </w:tcPr>
          <w:p w14:paraId="74DE1765" w14:textId="77777777" w:rsidR="00584EC1" w:rsidRDefault="00584EC1">
            <w:pPr>
              <w:rPr>
                <w:rFonts w:ascii="宋体"/>
                <w:vanish/>
              </w:rPr>
            </w:pPr>
          </w:p>
        </w:tc>
        <w:tc>
          <w:tcPr>
            <w:tcW w:w="0" w:type="auto"/>
            <w:gridSpan w:val="3"/>
            <w:shd w:val="clear" w:color="auto" w:fill="auto"/>
            <w:vAlign w:val="bottom"/>
          </w:tcPr>
          <w:p w14:paraId="74DE1766" w14:textId="77777777" w:rsidR="00584EC1" w:rsidRDefault="00584EC1">
            <w:pPr>
              <w:rPr>
                <w:rFonts w:ascii="宋体"/>
                <w:vanish/>
              </w:rPr>
            </w:pPr>
          </w:p>
        </w:tc>
        <w:tc>
          <w:tcPr>
            <w:tcW w:w="0" w:type="auto"/>
            <w:gridSpan w:val="2"/>
            <w:shd w:val="clear" w:color="auto" w:fill="auto"/>
            <w:vAlign w:val="bottom"/>
          </w:tcPr>
          <w:p w14:paraId="74DE1767" w14:textId="77777777" w:rsidR="00584EC1" w:rsidRDefault="00584EC1">
            <w:pPr>
              <w:rPr>
                <w:rFonts w:ascii="宋体"/>
                <w:vanish/>
              </w:rPr>
            </w:pPr>
          </w:p>
        </w:tc>
        <w:tc>
          <w:tcPr>
            <w:tcW w:w="0" w:type="auto"/>
            <w:shd w:val="clear" w:color="auto" w:fill="auto"/>
            <w:vAlign w:val="bottom"/>
          </w:tcPr>
          <w:p w14:paraId="74DE1768" w14:textId="77777777" w:rsidR="00584EC1" w:rsidRDefault="00584EC1">
            <w:pPr>
              <w:rPr>
                <w:rFonts w:ascii="宋体"/>
                <w:vanish/>
              </w:rPr>
            </w:pPr>
          </w:p>
        </w:tc>
      </w:tr>
      <w:tr w:rsidR="00584EC1" w14:paraId="74DE1780" w14:textId="77777777">
        <w:trPr>
          <w:hidden/>
        </w:trPr>
        <w:tc>
          <w:tcPr>
            <w:tcW w:w="0" w:type="auto"/>
            <w:gridSpan w:val="3"/>
            <w:shd w:val="clear" w:color="auto" w:fill="auto"/>
            <w:vAlign w:val="bottom"/>
          </w:tcPr>
          <w:p w14:paraId="74DE176A" w14:textId="77777777" w:rsidR="00584EC1" w:rsidRDefault="00584EC1">
            <w:pPr>
              <w:rPr>
                <w:rFonts w:ascii="宋体"/>
                <w:vanish/>
              </w:rPr>
            </w:pPr>
          </w:p>
        </w:tc>
        <w:tc>
          <w:tcPr>
            <w:tcW w:w="0" w:type="auto"/>
            <w:gridSpan w:val="3"/>
            <w:shd w:val="clear" w:color="auto" w:fill="auto"/>
            <w:vAlign w:val="bottom"/>
          </w:tcPr>
          <w:p w14:paraId="74DE176B" w14:textId="77777777" w:rsidR="00584EC1" w:rsidRDefault="00584EC1">
            <w:pPr>
              <w:rPr>
                <w:rFonts w:ascii="宋体"/>
                <w:vanish/>
              </w:rPr>
            </w:pPr>
          </w:p>
        </w:tc>
        <w:tc>
          <w:tcPr>
            <w:tcW w:w="0" w:type="auto"/>
            <w:gridSpan w:val="3"/>
            <w:shd w:val="clear" w:color="auto" w:fill="auto"/>
            <w:vAlign w:val="bottom"/>
          </w:tcPr>
          <w:p w14:paraId="74DE176C" w14:textId="77777777" w:rsidR="00584EC1" w:rsidRDefault="00584EC1">
            <w:pPr>
              <w:rPr>
                <w:rFonts w:ascii="宋体"/>
                <w:vanish/>
              </w:rPr>
            </w:pPr>
          </w:p>
        </w:tc>
        <w:tc>
          <w:tcPr>
            <w:tcW w:w="0" w:type="auto"/>
            <w:gridSpan w:val="3"/>
            <w:shd w:val="clear" w:color="auto" w:fill="auto"/>
            <w:vAlign w:val="bottom"/>
          </w:tcPr>
          <w:p w14:paraId="74DE176D" w14:textId="77777777" w:rsidR="00584EC1" w:rsidRDefault="00584EC1">
            <w:pPr>
              <w:rPr>
                <w:rFonts w:ascii="宋体"/>
                <w:vanish/>
              </w:rPr>
            </w:pPr>
          </w:p>
        </w:tc>
        <w:tc>
          <w:tcPr>
            <w:tcW w:w="0" w:type="auto"/>
            <w:gridSpan w:val="3"/>
            <w:shd w:val="clear" w:color="auto" w:fill="auto"/>
            <w:vAlign w:val="bottom"/>
          </w:tcPr>
          <w:p w14:paraId="74DE176E" w14:textId="77777777" w:rsidR="00584EC1" w:rsidRDefault="00584EC1">
            <w:pPr>
              <w:rPr>
                <w:rFonts w:ascii="宋体"/>
                <w:vanish/>
              </w:rPr>
            </w:pPr>
          </w:p>
        </w:tc>
        <w:tc>
          <w:tcPr>
            <w:tcW w:w="0" w:type="auto"/>
            <w:shd w:val="clear" w:color="auto" w:fill="auto"/>
            <w:vAlign w:val="bottom"/>
          </w:tcPr>
          <w:p w14:paraId="74DE176F" w14:textId="77777777" w:rsidR="00584EC1" w:rsidRDefault="00584EC1">
            <w:pPr>
              <w:rPr>
                <w:rFonts w:ascii="宋体"/>
                <w:vanish/>
              </w:rPr>
            </w:pPr>
          </w:p>
        </w:tc>
        <w:tc>
          <w:tcPr>
            <w:tcW w:w="0" w:type="auto"/>
            <w:shd w:val="clear" w:color="auto" w:fill="auto"/>
            <w:vAlign w:val="bottom"/>
          </w:tcPr>
          <w:p w14:paraId="74DE1770" w14:textId="77777777" w:rsidR="00584EC1" w:rsidRDefault="00584EC1">
            <w:pPr>
              <w:rPr>
                <w:rFonts w:ascii="宋体"/>
                <w:vanish/>
              </w:rPr>
            </w:pPr>
          </w:p>
        </w:tc>
        <w:tc>
          <w:tcPr>
            <w:tcW w:w="0" w:type="auto"/>
            <w:gridSpan w:val="3"/>
            <w:shd w:val="clear" w:color="auto" w:fill="auto"/>
            <w:vAlign w:val="bottom"/>
          </w:tcPr>
          <w:p w14:paraId="74DE1771" w14:textId="77777777" w:rsidR="00584EC1" w:rsidRDefault="00584EC1">
            <w:pPr>
              <w:rPr>
                <w:rFonts w:ascii="宋体"/>
                <w:vanish/>
              </w:rPr>
            </w:pPr>
          </w:p>
        </w:tc>
        <w:tc>
          <w:tcPr>
            <w:tcW w:w="0" w:type="auto"/>
            <w:gridSpan w:val="3"/>
            <w:shd w:val="clear" w:color="auto" w:fill="auto"/>
            <w:vAlign w:val="bottom"/>
          </w:tcPr>
          <w:p w14:paraId="74DE1772" w14:textId="77777777" w:rsidR="00584EC1" w:rsidRDefault="00584EC1">
            <w:pPr>
              <w:rPr>
                <w:rFonts w:ascii="宋体"/>
                <w:vanish/>
              </w:rPr>
            </w:pPr>
          </w:p>
        </w:tc>
        <w:tc>
          <w:tcPr>
            <w:tcW w:w="0" w:type="auto"/>
            <w:gridSpan w:val="3"/>
            <w:shd w:val="clear" w:color="auto" w:fill="auto"/>
            <w:vAlign w:val="bottom"/>
          </w:tcPr>
          <w:p w14:paraId="74DE1773" w14:textId="77777777" w:rsidR="00584EC1" w:rsidRDefault="00584EC1">
            <w:pPr>
              <w:rPr>
                <w:rFonts w:ascii="宋体"/>
                <w:vanish/>
              </w:rPr>
            </w:pPr>
          </w:p>
        </w:tc>
        <w:tc>
          <w:tcPr>
            <w:tcW w:w="0" w:type="auto"/>
            <w:gridSpan w:val="3"/>
            <w:shd w:val="clear" w:color="auto" w:fill="auto"/>
            <w:vAlign w:val="bottom"/>
          </w:tcPr>
          <w:p w14:paraId="74DE1774" w14:textId="77777777" w:rsidR="00584EC1" w:rsidRDefault="00584EC1">
            <w:pPr>
              <w:rPr>
                <w:rFonts w:ascii="宋体"/>
                <w:vanish/>
              </w:rPr>
            </w:pPr>
          </w:p>
        </w:tc>
        <w:tc>
          <w:tcPr>
            <w:tcW w:w="0" w:type="auto"/>
            <w:shd w:val="clear" w:color="auto" w:fill="auto"/>
            <w:vAlign w:val="bottom"/>
          </w:tcPr>
          <w:p w14:paraId="74DE1775" w14:textId="77777777" w:rsidR="00584EC1" w:rsidRDefault="00584EC1">
            <w:pPr>
              <w:rPr>
                <w:rFonts w:ascii="宋体"/>
                <w:vanish/>
              </w:rPr>
            </w:pPr>
          </w:p>
        </w:tc>
        <w:tc>
          <w:tcPr>
            <w:tcW w:w="0" w:type="auto"/>
            <w:shd w:val="clear" w:color="auto" w:fill="auto"/>
            <w:vAlign w:val="bottom"/>
          </w:tcPr>
          <w:p w14:paraId="74DE1776" w14:textId="77777777" w:rsidR="00584EC1" w:rsidRDefault="00584EC1">
            <w:pPr>
              <w:rPr>
                <w:rFonts w:ascii="宋体"/>
                <w:vanish/>
              </w:rPr>
            </w:pPr>
          </w:p>
        </w:tc>
        <w:tc>
          <w:tcPr>
            <w:tcW w:w="0" w:type="auto"/>
            <w:gridSpan w:val="3"/>
            <w:shd w:val="clear" w:color="auto" w:fill="auto"/>
            <w:vAlign w:val="bottom"/>
          </w:tcPr>
          <w:p w14:paraId="74DE1777" w14:textId="77777777" w:rsidR="00584EC1" w:rsidRDefault="00584EC1">
            <w:pPr>
              <w:rPr>
                <w:rFonts w:ascii="宋体"/>
                <w:vanish/>
              </w:rPr>
            </w:pPr>
          </w:p>
        </w:tc>
        <w:tc>
          <w:tcPr>
            <w:tcW w:w="0" w:type="auto"/>
            <w:gridSpan w:val="3"/>
            <w:shd w:val="clear" w:color="auto" w:fill="auto"/>
            <w:vAlign w:val="bottom"/>
          </w:tcPr>
          <w:p w14:paraId="74DE1778" w14:textId="77777777" w:rsidR="00584EC1" w:rsidRDefault="00584EC1">
            <w:pPr>
              <w:rPr>
                <w:rFonts w:ascii="宋体"/>
                <w:vanish/>
              </w:rPr>
            </w:pPr>
          </w:p>
        </w:tc>
        <w:tc>
          <w:tcPr>
            <w:tcW w:w="0" w:type="auto"/>
            <w:gridSpan w:val="3"/>
            <w:shd w:val="clear" w:color="auto" w:fill="auto"/>
            <w:vAlign w:val="bottom"/>
          </w:tcPr>
          <w:p w14:paraId="74DE1779" w14:textId="77777777" w:rsidR="00584EC1" w:rsidRDefault="00584EC1">
            <w:pPr>
              <w:rPr>
                <w:rFonts w:ascii="宋体"/>
                <w:vanish/>
              </w:rPr>
            </w:pPr>
          </w:p>
        </w:tc>
        <w:tc>
          <w:tcPr>
            <w:tcW w:w="0" w:type="auto"/>
            <w:gridSpan w:val="3"/>
            <w:shd w:val="clear" w:color="auto" w:fill="auto"/>
            <w:vAlign w:val="bottom"/>
          </w:tcPr>
          <w:p w14:paraId="74DE177A" w14:textId="77777777" w:rsidR="00584EC1" w:rsidRDefault="00584EC1">
            <w:pPr>
              <w:rPr>
                <w:rFonts w:ascii="宋体"/>
                <w:vanish/>
              </w:rPr>
            </w:pPr>
          </w:p>
        </w:tc>
        <w:tc>
          <w:tcPr>
            <w:tcW w:w="0" w:type="auto"/>
            <w:gridSpan w:val="3"/>
            <w:shd w:val="clear" w:color="auto" w:fill="auto"/>
            <w:vAlign w:val="bottom"/>
          </w:tcPr>
          <w:p w14:paraId="74DE177B" w14:textId="77777777" w:rsidR="00584EC1" w:rsidRDefault="00584EC1">
            <w:pPr>
              <w:rPr>
                <w:rFonts w:ascii="宋体"/>
                <w:vanish/>
              </w:rPr>
            </w:pPr>
          </w:p>
        </w:tc>
        <w:tc>
          <w:tcPr>
            <w:tcW w:w="0" w:type="auto"/>
            <w:gridSpan w:val="3"/>
            <w:shd w:val="clear" w:color="auto" w:fill="auto"/>
            <w:vAlign w:val="bottom"/>
          </w:tcPr>
          <w:p w14:paraId="74DE177C" w14:textId="77777777" w:rsidR="00584EC1" w:rsidRDefault="00584EC1">
            <w:pPr>
              <w:rPr>
                <w:rFonts w:ascii="宋体"/>
                <w:vanish/>
              </w:rPr>
            </w:pPr>
          </w:p>
        </w:tc>
        <w:tc>
          <w:tcPr>
            <w:tcW w:w="0" w:type="auto"/>
            <w:gridSpan w:val="3"/>
            <w:shd w:val="clear" w:color="auto" w:fill="auto"/>
            <w:vAlign w:val="bottom"/>
          </w:tcPr>
          <w:p w14:paraId="74DE177D" w14:textId="77777777" w:rsidR="00584EC1" w:rsidRDefault="00584EC1">
            <w:pPr>
              <w:rPr>
                <w:rFonts w:ascii="宋体"/>
                <w:vanish/>
              </w:rPr>
            </w:pPr>
          </w:p>
        </w:tc>
        <w:tc>
          <w:tcPr>
            <w:tcW w:w="0" w:type="auto"/>
            <w:gridSpan w:val="2"/>
            <w:shd w:val="clear" w:color="auto" w:fill="auto"/>
            <w:vAlign w:val="bottom"/>
          </w:tcPr>
          <w:p w14:paraId="74DE177E" w14:textId="77777777" w:rsidR="00584EC1" w:rsidRDefault="00584EC1">
            <w:pPr>
              <w:rPr>
                <w:rFonts w:ascii="宋体"/>
                <w:vanish/>
              </w:rPr>
            </w:pPr>
          </w:p>
        </w:tc>
        <w:tc>
          <w:tcPr>
            <w:tcW w:w="0" w:type="auto"/>
            <w:shd w:val="clear" w:color="auto" w:fill="auto"/>
            <w:vAlign w:val="bottom"/>
          </w:tcPr>
          <w:p w14:paraId="74DE177F" w14:textId="77777777" w:rsidR="00584EC1" w:rsidRDefault="00584EC1">
            <w:pPr>
              <w:rPr>
                <w:rFonts w:ascii="宋体"/>
                <w:vanish/>
              </w:rPr>
            </w:pPr>
          </w:p>
        </w:tc>
      </w:tr>
      <w:tr w:rsidR="00584EC1" w14:paraId="74DE1797" w14:textId="77777777">
        <w:trPr>
          <w:hidden/>
        </w:trPr>
        <w:tc>
          <w:tcPr>
            <w:tcW w:w="0" w:type="auto"/>
            <w:gridSpan w:val="3"/>
            <w:shd w:val="clear" w:color="auto" w:fill="auto"/>
            <w:vAlign w:val="bottom"/>
          </w:tcPr>
          <w:p w14:paraId="74DE1781" w14:textId="77777777" w:rsidR="00584EC1" w:rsidRDefault="00584EC1">
            <w:pPr>
              <w:rPr>
                <w:rFonts w:ascii="宋体"/>
                <w:vanish/>
              </w:rPr>
            </w:pPr>
          </w:p>
        </w:tc>
        <w:tc>
          <w:tcPr>
            <w:tcW w:w="0" w:type="auto"/>
            <w:gridSpan w:val="3"/>
            <w:shd w:val="clear" w:color="auto" w:fill="auto"/>
            <w:vAlign w:val="bottom"/>
          </w:tcPr>
          <w:p w14:paraId="74DE1782" w14:textId="77777777" w:rsidR="00584EC1" w:rsidRDefault="00584EC1">
            <w:pPr>
              <w:rPr>
                <w:rFonts w:ascii="宋体"/>
                <w:vanish/>
              </w:rPr>
            </w:pPr>
          </w:p>
        </w:tc>
        <w:tc>
          <w:tcPr>
            <w:tcW w:w="0" w:type="auto"/>
            <w:gridSpan w:val="3"/>
            <w:shd w:val="clear" w:color="auto" w:fill="auto"/>
            <w:vAlign w:val="bottom"/>
          </w:tcPr>
          <w:p w14:paraId="74DE1783" w14:textId="77777777" w:rsidR="00584EC1" w:rsidRDefault="00584EC1">
            <w:pPr>
              <w:rPr>
                <w:rFonts w:ascii="宋体"/>
                <w:vanish/>
              </w:rPr>
            </w:pPr>
          </w:p>
        </w:tc>
        <w:tc>
          <w:tcPr>
            <w:tcW w:w="0" w:type="auto"/>
            <w:gridSpan w:val="3"/>
            <w:shd w:val="clear" w:color="auto" w:fill="auto"/>
            <w:vAlign w:val="bottom"/>
          </w:tcPr>
          <w:p w14:paraId="74DE1784" w14:textId="77777777" w:rsidR="00584EC1" w:rsidRDefault="00584EC1">
            <w:pPr>
              <w:rPr>
                <w:rFonts w:ascii="宋体"/>
                <w:vanish/>
              </w:rPr>
            </w:pPr>
          </w:p>
        </w:tc>
        <w:tc>
          <w:tcPr>
            <w:tcW w:w="0" w:type="auto"/>
            <w:gridSpan w:val="3"/>
            <w:shd w:val="clear" w:color="auto" w:fill="auto"/>
            <w:vAlign w:val="bottom"/>
          </w:tcPr>
          <w:p w14:paraId="74DE1785" w14:textId="77777777" w:rsidR="00584EC1" w:rsidRDefault="00584EC1">
            <w:pPr>
              <w:rPr>
                <w:rFonts w:ascii="宋体"/>
                <w:vanish/>
              </w:rPr>
            </w:pPr>
          </w:p>
        </w:tc>
        <w:tc>
          <w:tcPr>
            <w:tcW w:w="0" w:type="auto"/>
            <w:shd w:val="clear" w:color="auto" w:fill="auto"/>
            <w:vAlign w:val="bottom"/>
          </w:tcPr>
          <w:p w14:paraId="74DE1786" w14:textId="77777777" w:rsidR="00584EC1" w:rsidRDefault="00584EC1">
            <w:pPr>
              <w:rPr>
                <w:rFonts w:ascii="宋体"/>
                <w:vanish/>
              </w:rPr>
            </w:pPr>
          </w:p>
        </w:tc>
        <w:tc>
          <w:tcPr>
            <w:tcW w:w="0" w:type="auto"/>
            <w:shd w:val="clear" w:color="auto" w:fill="auto"/>
            <w:vAlign w:val="bottom"/>
          </w:tcPr>
          <w:p w14:paraId="74DE1787" w14:textId="77777777" w:rsidR="00584EC1" w:rsidRDefault="00584EC1">
            <w:pPr>
              <w:rPr>
                <w:rFonts w:ascii="宋体"/>
                <w:vanish/>
              </w:rPr>
            </w:pPr>
          </w:p>
        </w:tc>
        <w:tc>
          <w:tcPr>
            <w:tcW w:w="0" w:type="auto"/>
            <w:gridSpan w:val="3"/>
            <w:shd w:val="clear" w:color="auto" w:fill="auto"/>
            <w:vAlign w:val="bottom"/>
          </w:tcPr>
          <w:p w14:paraId="74DE1788" w14:textId="77777777" w:rsidR="00584EC1" w:rsidRDefault="00584EC1">
            <w:pPr>
              <w:rPr>
                <w:rFonts w:ascii="宋体"/>
                <w:vanish/>
              </w:rPr>
            </w:pPr>
          </w:p>
        </w:tc>
        <w:tc>
          <w:tcPr>
            <w:tcW w:w="0" w:type="auto"/>
            <w:gridSpan w:val="3"/>
            <w:shd w:val="clear" w:color="auto" w:fill="auto"/>
            <w:vAlign w:val="bottom"/>
          </w:tcPr>
          <w:p w14:paraId="74DE1789" w14:textId="77777777" w:rsidR="00584EC1" w:rsidRDefault="00584EC1">
            <w:pPr>
              <w:rPr>
                <w:rFonts w:ascii="宋体"/>
                <w:vanish/>
              </w:rPr>
            </w:pPr>
          </w:p>
        </w:tc>
        <w:tc>
          <w:tcPr>
            <w:tcW w:w="0" w:type="auto"/>
            <w:gridSpan w:val="3"/>
            <w:shd w:val="clear" w:color="auto" w:fill="auto"/>
            <w:vAlign w:val="bottom"/>
          </w:tcPr>
          <w:p w14:paraId="74DE178A" w14:textId="77777777" w:rsidR="00584EC1" w:rsidRDefault="00584EC1">
            <w:pPr>
              <w:rPr>
                <w:rFonts w:ascii="宋体"/>
                <w:vanish/>
              </w:rPr>
            </w:pPr>
          </w:p>
        </w:tc>
        <w:tc>
          <w:tcPr>
            <w:tcW w:w="0" w:type="auto"/>
            <w:gridSpan w:val="3"/>
            <w:shd w:val="clear" w:color="auto" w:fill="auto"/>
            <w:vAlign w:val="bottom"/>
          </w:tcPr>
          <w:p w14:paraId="74DE178B" w14:textId="77777777" w:rsidR="00584EC1" w:rsidRDefault="00584EC1">
            <w:pPr>
              <w:rPr>
                <w:rFonts w:ascii="宋体"/>
                <w:vanish/>
              </w:rPr>
            </w:pPr>
          </w:p>
        </w:tc>
        <w:tc>
          <w:tcPr>
            <w:tcW w:w="0" w:type="auto"/>
            <w:shd w:val="clear" w:color="auto" w:fill="auto"/>
            <w:vAlign w:val="bottom"/>
          </w:tcPr>
          <w:p w14:paraId="74DE178C" w14:textId="77777777" w:rsidR="00584EC1" w:rsidRDefault="00584EC1">
            <w:pPr>
              <w:rPr>
                <w:rFonts w:ascii="宋体"/>
                <w:vanish/>
              </w:rPr>
            </w:pPr>
          </w:p>
        </w:tc>
        <w:tc>
          <w:tcPr>
            <w:tcW w:w="0" w:type="auto"/>
            <w:shd w:val="clear" w:color="auto" w:fill="auto"/>
            <w:vAlign w:val="bottom"/>
          </w:tcPr>
          <w:p w14:paraId="74DE178D" w14:textId="77777777" w:rsidR="00584EC1" w:rsidRDefault="00584EC1">
            <w:pPr>
              <w:rPr>
                <w:rFonts w:ascii="宋体"/>
                <w:vanish/>
              </w:rPr>
            </w:pPr>
          </w:p>
        </w:tc>
        <w:tc>
          <w:tcPr>
            <w:tcW w:w="0" w:type="auto"/>
            <w:gridSpan w:val="3"/>
            <w:shd w:val="clear" w:color="auto" w:fill="auto"/>
            <w:vAlign w:val="bottom"/>
          </w:tcPr>
          <w:p w14:paraId="74DE178E" w14:textId="77777777" w:rsidR="00584EC1" w:rsidRDefault="00584EC1">
            <w:pPr>
              <w:rPr>
                <w:rFonts w:ascii="宋体"/>
                <w:vanish/>
              </w:rPr>
            </w:pPr>
          </w:p>
        </w:tc>
        <w:tc>
          <w:tcPr>
            <w:tcW w:w="0" w:type="auto"/>
            <w:gridSpan w:val="3"/>
            <w:shd w:val="clear" w:color="auto" w:fill="auto"/>
            <w:vAlign w:val="bottom"/>
          </w:tcPr>
          <w:p w14:paraId="74DE178F" w14:textId="77777777" w:rsidR="00584EC1" w:rsidRDefault="00584EC1">
            <w:pPr>
              <w:rPr>
                <w:rFonts w:ascii="宋体"/>
                <w:vanish/>
              </w:rPr>
            </w:pPr>
          </w:p>
        </w:tc>
        <w:tc>
          <w:tcPr>
            <w:tcW w:w="0" w:type="auto"/>
            <w:gridSpan w:val="3"/>
            <w:shd w:val="clear" w:color="auto" w:fill="auto"/>
            <w:vAlign w:val="bottom"/>
          </w:tcPr>
          <w:p w14:paraId="74DE1790" w14:textId="77777777" w:rsidR="00584EC1" w:rsidRDefault="00584EC1">
            <w:pPr>
              <w:rPr>
                <w:rFonts w:ascii="宋体"/>
                <w:vanish/>
              </w:rPr>
            </w:pPr>
          </w:p>
        </w:tc>
        <w:tc>
          <w:tcPr>
            <w:tcW w:w="0" w:type="auto"/>
            <w:gridSpan w:val="3"/>
            <w:shd w:val="clear" w:color="auto" w:fill="auto"/>
            <w:vAlign w:val="bottom"/>
          </w:tcPr>
          <w:p w14:paraId="74DE1791" w14:textId="77777777" w:rsidR="00584EC1" w:rsidRDefault="00584EC1">
            <w:pPr>
              <w:rPr>
                <w:rFonts w:ascii="宋体"/>
                <w:vanish/>
              </w:rPr>
            </w:pPr>
          </w:p>
        </w:tc>
        <w:tc>
          <w:tcPr>
            <w:tcW w:w="0" w:type="auto"/>
            <w:gridSpan w:val="3"/>
            <w:shd w:val="clear" w:color="auto" w:fill="auto"/>
            <w:vAlign w:val="bottom"/>
          </w:tcPr>
          <w:p w14:paraId="74DE1792" w14:textId="77777777" w:rsidR="00584EC1" w:rsidRDefault="00584EC1">
            <w:pPr>
              <w:rPr>
                <w:rFonts w:ascii="宋体"/>
                <w:vanish/>
              </w:rPr>
            </w:pPr>
          </w:p>
        </w:tc>
        <w:tc>
          <w:tcPr>
            <w:tcW w:w="0" w:type="auto"/>
            <w:gridSpan w:val="3"/>
            <w:shd w:val="clear" w:color="auto" w:fill="auto"/>
            <w:vAlign w:val="bottom"/>
          </w:tcPr>
          <w:p w14:paraId="74DE1793" w14:textId="77777777" w:rsidR="00584EC1" w:rsidRDefault="00584EC1">
            <w:pPr>
              <w:rPr>
                <w:rFonts w:ascii="宋体"/>
                <w:vanish/>
              </w:rPr>
            </w:pPr>
          </w:p>
        </w:tc>
        <w:tc>
          <w:tcPr>
            <w:tcW w:w="0" w:type="auto"/>
            <w:gridSpan w:val="3"/>
            <w:shd w:val="clear" w:color="auto" w:fill="auto"/>
            <w:vAlign w:val="bottom"/>
          </w:tcPr>
          <w:p w14:paraId="74DE1794" w14:textId="77777777" w:rsidR="00584EC1" w:rsidRDefault="00584EC1">
            <w:pPr>
              <w:rPr>
                <w:rFonts w:ascii="宋体"/>
                <w:vanish/>
              </w:rPr>
            </w:pPr>
          </w:p>
        </w:tc>
        <w:tc>
          <w:tcPr>
            <w:tcW w:w="0" w:type="auto"/>
            <w:gridSpan w:val="2"/>
            <w:shd w:val="clear" w:color="auto" w:fill="auto"/>
            <w:vAlign w:val="bottom"/>
          </w:tcPr>
          <w:p w14:paraId="74DE1795" w14:textId="77777777" w:rsidR="00584EC1" w:rsidRDefault="00584EC1">
            <w:pPr>
              <w:rPr>
                <w:rFonts w:ascii="宋体"/>
                <w:vanish/>
              </w:rPr>
            </w:pPr>
          </w:p>
        </w:tc>
        <w:tc>
          <w:tcPr>
            <w:tcW w:w="0" w:type="auto"/>
            <w:shd w:val="clear" w:color="auto" w:fill="auto"/>
            <w:vAlign w:val="bottom"/>
          </w:tcPr>
          <w:p w14:paraId="74DE1796" w14:textId="77777777" w:rsidR="00584EC1" w:rsidRDefault="00584EC1">
            <w:pPr>
              <w:rPr>
                <w:rFonts w:ascii="宋体"/>
                <w:vanish/>
              </w:rPr>
            </w:pPr>
          </w:p>
        </w:tc>
      </w:tr>
      <w:tr w:rsidR="00584EC1" w14:paraId="74DE17B5" w14:textId="77777777">
        <w:tc>
          <w:tcPr>
            <w:tcW w:w="0" w:type="auto"/>
            <w:gridSpan w:val="3"/>
            <w:shd w:val="clear" w:color="auto" w:fill="CCEEFF"/>
            <w:tcMar>
              <w:top w:w="40" w:type="dxa"/>
              <w:left w:w="20" w:type="dxa"/>
              <w:bottom w:w="40" w:type="dxa"/>
              <w:right w:w="20" w:type="dxa"/>
            </w:tcMar>
            <w:vAlign w:val="bottom"/>
          </w:tcPr>
          <w:p w14:paraId="74DE1798" w14:textId="77777777" w:rsidR="00584EC1" w:rsidRDefault="00871F8D">
            <w:pPr>
              <w:textAlignment w:val="bottom"/>
            </w:pPr>
            <w:r>
              <w:rPr>
                <w:rFonts w:ascii="Arial" w:eastAsia="宋体" w:hAnsi="Arial" w:cs="Arial"/>
                <w:b/>
                <w:bCs/>
                <w:color w:val="000000"/>
                <w:sz w:val="14"/>
                <w:szCs w:val="14"/>
              </w:rPr>
              <w:t>Total expenses</w:t>
            </w:r>
          </w:p>
        </w:tc>
        <w:tc>
          <w:tcPr>
            <w:tcW w:w="0" w:type="auto"/>
            <w:gridSpan w:val="2"/>
            <w:shd w:val="clear" w:color="auto" w:fill="CCEEFF"/>
            <w:tcMar>
              <w:top w:w="40" w:type="dxa"/>
              <w:left w:w="20" w:type="dxa"/>
              <w:bottom w:w="40" w:type="dxa"/>
              <w:right w:w="0" w:type="dxa"/>
            </w:tcMar>
            <w:vAlign w:val="bottom"/>
          </w:tcPr>
          <w:p w14:paraId="74DE1799" w14:textId="77777777" w:rsidR="00584EC1" w:rsidRDefault="00871F8D">
            <w:pPr>
              <w:jc w:val="right"/>
              <w:textAlignment w:val="bottom"/>
            </w:pPr>
            <w:r>
              <w:rPr>
                <w:rFonts w:ascii="Arial" w:eastAsia="宋体" w:hAnsi="Arial" w:cs="Arial"/>
                <w:b/>
                <w:bCs/>
                <w:color w:val="000000"/>
                <w:sz w:val="14"/>
                <w:szCs w:val="14"/>
              </w:rPr>
              <w:t>5,389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E179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79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79C" w14:textId="77777777" w:rsidR="00584EC1" w:rsidRDefault="00871F8D">
            <w:pPr>
              <w:jc w:val="right"/>
              <w:textAlignment w:val="bottom"/>
            </w:pPr>
            <w:r>
              <w:rPr>
                <w:rFonts w:ascii="Arial" w:eastAsia="宋体" w:hAnsi="Arial" w:cs="Arial"/>
                <w:color w:val="000000"/>
                <w:sz w:val="14"/>
                <w:szCs w:val="14"/>
              </w:rPr>
              <w:t>5,315 </w:t>
            </w:r>
          </w:p>
        </w:tc>
        <w:tc>
          <w:tcPr>
            <w:tcW w:w="0" w:type="auto"/>
            <w:shd w:val="clear" w:color="auto" w:fill="CCEEFF"/>
            <w:tcMar>
              <w:top w:w="40" w:type="dxa"/>
              <w:left w:w="0" w:type="dxa"/>
              <w:bottom w:w="40" w:type="dxa"/>
              <w:right w:w="20" w:type="dxa"/>
            </w:tcMar>
            <w:vAlign w:val="bottom"/>
          </w:tcPr>
          <w:p w14:paraId="74DE179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79E" w14:textId="77777777" w:rsidR="00584EC1" w:rsidRDefault="00584EC1">
            <w:pPr>
              <w:rPr>
                <w:rFonts w:ascii="宋体"/>
              </w:rPr>
            </w:pPr>
          </w:p>
        </w:tc>
        <w:tc>
          <w:tcPr>
            <w:tcW w:w="0" w:type="auto"/>
            <w:shd w:val="clear" w:color="auto" w:fill="auto"/>
            <w:vAlign w:val="bottom"/>
          </w:tcPr>
          <w:p w14:paraId="74DE179F" w14:textId="77777777" w:rsidR="00584EC1" w:rsidRDefault="00584EC1">
            <w:pPr>
              <w:rPr>
                <w:rFonts w:ascii="宋体"/>
                <w:vanish/>
              </w:rPr>
            </w:pPr>
          </w:p>
        </w:tc>
        <w:tc>
          <w:tcPr>
            <w:tcW w:w="0" w:type="auto"/>
            <w:shd w:val="clear" w:color="auto" w:fill="auto"/>
            <w:vAlign w:val="bottom"/>
          </w:tcPr>
          <w:p w14:paraId="74DE17A0" w14:textId="77777777" w:rsidR="00584EC1" w:rsidRDefault="00584EC1">
            <w:pPr>
              <w:rPr>
                <w:rFonts w:ascii="宋体"/>
                <w:vanish/>
              </w:rPr>
            </w:pPr>
          </w:p>
        </w:tc>
        <w:tc>
          <w:tcPr>
            <w:tcW w:w="0" w:type="auto"/>
            <w:gridSpan w:val="2"/>
            <w:shd w:val="clear" w:color="auto" w:fill="CCEEFF"/>
            <w:tcMar>
              <w:top w:w="40" w:type="dxa"/>
              <w:left w:w="20" w:type="dxa"/>
              <w:bottom w:w="40" w:type="dxa"/>
              <w:right w:w="0" w:type="dxa"/>
            </w:tcMar>
            <w:vAlign w:val="bottom"/>
          </w:tcPr>
          <w:p w14:paraId="74DE17A1" w14:textId="77777777" w:rsidR="00584EC1" w:rsidRDefault="00871F8D">
            <w:pPr>
              <w:jc w:val="right"/>
              <w:textAlignment w:val="bottom"/>
            </w:pPr>
            <w:r>
              <w:rPr>
                <w:rFonts w:ascii="Arial" w:eastAsia="宋体" w:hAnsi="Arial" w:cs="Arial"/>
                <w:b/>
                <w:bCs/>
                <w:color w:val="000000"/>
                <w:sz w:val="14"/>
                <w:szCs w:val="14"/>
              </w:rPr>
              <w:t>1,082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E17A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7A3"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7A4" w14:textId="77777777" w:rsidR="00584EC1" w:rsidRDefault="00871F8D">
            <w:pPr>
              <w:jc w:val="right"/>
              <w:textAlignment w:val="bottom"/>
            </w:pPr>
            <w:r>
              <w:rPr>
                <w:rFonts w:ascii="Arial" w:eastAsia="宋体" w:hAnsi="Arial" w:cs="Arial"/>
                <w:color w:val="000000"/>
                <w:sz w:val="14"/>
                <w:szCs w:val="14"/>
              </w:rPr>
              <w:t>1,096 </w:t>
            </w:r>
          </w:p>
        </w:tc>
        <w:tc>
          <w:tcPr>
            <w:tcW w:w="0" w:type="auto"/>
            <w:shd w:val="clear" w:color="auto" w:fill="CCEEFF"/>
            <w:tcMar>
              <w:top w:w="40" w:type="dxa"/>
              <w:left w:w="0" w:type="dxa"/>
              <w:bottom w:w="40" w:type="dxa"/>
              <w:right w:w="20" w:type="dxa"/>
            </w:tcMar>
            <w:vAlign w:val="bottom"/>
          </w:tcPr>
          <w:p w14:paraId="74DE17A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7A6" w14:textId="77777777" w:rsidR="00584EC1" w:rsidRDefault="00584EC1">
            <w:pPr>
              <w:rPr>
                <w:rFonts w:ascii="宋体"/>
              </w:rPr>
            </w:pPr>
          </w:p>
        </w:tc>
        <w:tc>
          <w:tcPr>
            <w:tcW w:w="0" w:type="auto"/>
            <w:shd w:val="clear" w:color="auto" w:fill="auto"/>
            <w:vAlign w:val="bottom"/>
          </w:tcPr>
          <w:p w14:paraId="74DE17A7" w14:textId="77777777" w:rsidR="00584EC1" w:rsidRDefault="00584EC1">
            <w:pPr>
              <w:rPr>
                <w:rFonts w:ascii="宋体"/>
                <w:vanish/>
              </w:rPr>
            </w:pPr>
          </w:p>
        </w:tc>
        <w:tc>
          <w:tcPr>
            <w:tcW w:w="0" w:type="auto"/>
            <w:shd w:val="clear" w:color="auto" w:fill="auto"/>
            <w:vAlign w:val="bottom"/>
          </w:tcPr>
          <w:p w14:paraId="74DE17A8" w14:textId="77777777" w:rsidR="00584EC1" w:rsidRDefault="00584EC1">
            <w:pPr>
              <w:rPr>
                <w:rFonts w:ascii="宋体"/>
                <w:vanish/>
              </w:rPr>
            </w:pPr>
          </w:p>
        </w:tc>
        <w:tc>
          <w:tcPr>
            <w:tcW w:w="0" w:type="auto"/>
            <w:gridSpan w:val="2"/>
            <w:shd w:val="clear" w:color="auto" w:fill="CCEEFF"/>
            <w:tcMar>
              <w:top w:w="40" w:type="dxa"/>
              <w:left w:w="20" w:type="dxa"/>
              <w:bottom w:w="40" w:type="dxa"/>
              <w:right w:w="0" w:type="dxa"/>
            </w:tcMar>
            <w:vAlign w:val="bottom"/>
          </w:tcPr>
          <w:p w14:paraId="74DE17A9" w14:textId="77777777" w:rsidR="00584EC1" w:rsidRDefault="00871F8D">
            <w:pPr>
              <w:jc w:val="right"/>
              <w:textAlignment w:val="bottom"/>
            </w:pPr>
            <w:r>
              <w:rPr>
                <w:rFonts w:ascii="Arial" w:eastAsia="宋体" w:hAnsi="Arial" w:cs="Arial"/>
                <w:b/>
                <w:bCs/>
                <w:color w:val="000000"/>
                <w:sz w:val="14"/>
                <w:szCs w:val="14"/>
              </w:rPr>
              <w:t>88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E17A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7A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7AC" w14:textId="77777777" w:rsidR="00584EC1" w:rsidRDefault="00871F8D">
            <w:pPr>
              <w:jc w:val="right"/>
              <w:textAlignment w:val="bottom"/>
            </w:pPr>
            <w:r>
              <w:rPr>
                <w:rFonts w:ascii="Arial" w:eastAsia="宋体" w:hAnsi="Arial" w:cs="Arial"/>
                <w:color w:val="000000"/>
                <w:sz w:val="14"/>
                <w:szCs w:val="14"/>
              </w:rPr>
              <w:t>29 </w:t>
            </w:r>
          </w:p>
        </w:tc>
        <w:tc>
          <w:tcPr>
            <w:tcW w:w="0" w:type="auto"/>
            <w:shd w:val="clear" w:color="auto" w:fill="CCEEFF"/>
            <w:tcMar>
              <w:top w:w="40" w:type="dxa"/>
              <w:left w:w="0" w:type="dxa"/>
              <w:bottom w:w="40" w:type="dxa"/>
              <w:right w:w="20" w:type="dxa"/>
            </w:tcMar>
            <w:vAlign w:val="bottom"/>
          </w:tcPr>
          <w:p w14:paraId="74DE17A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7AE" w14:textId="77777777" w:rsidR="00584EC1" w:rsidRDefault="00584EC1">
            <w:pPr>
              <w:rPr>
                <w:rFonts w:ascii="宋体"/>
              </w:rPr>
            </w:pPr>
          </w:p>
        </w:tc>
        <w:tc>
          <w:tcPr>
            <w:tcW w:w="0" w:type="auto"/>
            <w:gridSpan w:val="3"/>
            <w:shd w:val="clear" w:color="auto" w:fill="auto"/>
            <w:vAlign w:val="bottom"/>
          </w:tcPr>
          <w:p w14:paraId="74DE17AF" w14:textId="77777777" w:rsidR="00584EC1" w:rsidRDefault="00584EC1">
            <w:pPr>
              <w:rPr>
                <w:rFonts w:ascii="宋体"/>
                <w:vanish/>
              </w:rPr>
            </w:pPr>
          </w:p>
        </w:tc>
        <w:tc>
          <w:tcPr>
            <w:tcW w:w="0" w:type="auto"/>
            <w:gridSpan w:val="3"/>
            <w:shd w:val="clear" w:color="auto" w:fill="auto"/>
            <w:vAlign w:val="bottom"/>
          </w:tcPr>
          <w:p w14:paraId="74DE17B0" w14:textId="77777777" w:rsidR="00584EC1" w:rsidRDefault="00584EC1">
            <w:pPr>
              <w:rPr>
                <w:rFonts w:ascii="宋体"/>
                <w:vanish/>
              </w:rPr>
            </w:pPr>
          </w:p>
        </w:tc>
        <w:tc>
          <w:tcPr>
            <w:tcW w:w="0" w:type="auto"/>
            <w:gridSpan w:val="2"/>
            <w:shd w:val="clear" w:color="auto" w:fill="CCEEFF"/>
            <w:tcMar>
              <w:top w:w="40" w:type="dxa"/>
              <w:left w:w="20" w:type="dxa"/>
              <w:bottom w:w="40" w:type="dxa"/>
              <w:right w:w="0" w:type="dxa"/>
            </w:tcMar>
            <w:vAlign w:val="bottom"/>
          </w:tcPr>
          <w:p w14:paraId="74DE17B1" w14:textId="77777777" w:rsidR="00584EC1" w:rsidRDefault="00871F8D">
            <w:pPr>
              <w:jc w:val="right"/>
              <w:textAlignment w:val="bottom"/>
            </w:pPr>
            <w:r>
              <w:rPr>
                <w:rFonts w:ascii="Arial" w:eastAsia="宋体" w:hAnsi="Arial" w:cs="Arial"/>
                <w:b/>
                <w:bCs/>
                <w:color w:val="000000"/>
                <w:sz w:val="14"/>
                <w:szCs w:val="14"/>
              </w:rPr>
              <w:t>6,559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4DE17B2" w14:textId="77777777" w:rsidR="00584EC1" w:rsidRDefault="00584EC1">
            <w:pPr>
              <w:jc w:val="right"/>
              <w:rPr>
                <w:rFonts w:ascii="宋体"/>
              </w:rPr>
            </w:pPr>
          </w:p>
        </w:tc>
        <w:tc>
          <w:tcPr>
            <w:tcW w:w="0" w:type="auto"/>
            <w:gridSpan w:val="2"/>
            <w:shd w:val="clear" w:color="auto" w:fill="CCEEFF"/>
            <w:tcMar>
              <w:top w:w="0" w:type="dxa"/>
              <w:left w:w="20" w:type="dxa"/>
              <w:bottom w:w="0" w:type="dxa"/>
              <w:right w:w="20" w:type="dxa"/>
            </w:tcMar>
            <w:vAlign w:val="bottom"/>
          </w:tcPr>
          <w:p w14:paraId="74DE17B3" w14:textId="77777777" w:rsidR="00584EC1" w:rsidRDefault="00584EC1">
            <w:pPr>
              <w:rPr>
                <w:rFonts w:ascii="宋体"/>
              </w:rPr>
            </w:pPr>
          </w:p>
        </w:tc>
        <w:tc>
          <w:tcPr>
            <w:tcW w:w="0" w:type="auto"/>
            <w:shd w:val="clear" w:color="auto" w:fill="CCEEFF"/>
            <w:tcMar>
              <w:top w:w="40" w:type="dxa"/>
              <w:left w:w="20" w:type="dxa"/>
              <w:bottom w:w="40" w:type="dxa"/>
              <w:right w:w="0" w:type="dxa"/>
            </w:tcMar>
            <w:vAlign w:val="bottom"/>
          </w:tcPr>
          <w:p w14:paraId="74DE17B4" w14:textId="77777777" w:rsidR="00584EC1" w:rsidRDefault="00871F8D">
            <w:pPr>
              <w:jc w:val="right"/>
              <w:textAlignment w:val="bottom"/>
            </w:pPr>
            <w:r>
              <w:rPr>
                <w:rFonts w:ascii="Arial" w:eastAsia="宋体" w:hAnsi="Arial" w:cs="Arial"/>
                <w:color w:val="000000"/>
                <w:sz w:val="14"/>
                <w:szCs w:val="14"/>
              </w:rPr>
              <w:t>6,440 </w:t>
            </w:r>
          </w:p>
        </w:tc>
      </w:tr>
      <w:tr w:rsidR="00584EC1" w14:paraId="74DE17DA" w14:textId="77777777">
        <w:tc>
          <w:tcPr>
            <w:tcW w:w="0" w:type="auto"/>
            <w:gridSpan w:val="3"/>
            <w:shd w:val="clear" w:color="auto" w:fill="FFFFFF"/>
            <w:tcMar>
              <w:top w:w="40" w:type="dxa"/>
              <w:left w:w="20" w:type="dxa"/>
              <w:bottom w:w="40" w:type="dxa"/>
              <w:right w:w="20" w:type="dxa"/>
            </w:tcMar>
            <w:vAlign w:val="bottom"/>
          </w:tcPr>
          <w:p w14:paraId="74DE17B6" w14:textId="77777777" w:rsidR="00584EC1" w:rsidRDefault="00871F8D">
            <w:pPr>
              <w:textAlignment w:val="bottom"/>
            </w:pPr>
            <w:r>
              <w:rPr>
                <w:rFonts w:ascii="Arial" w:eastAsia="宋体" w:hAnsi="Arial" w:cs="Arial"/>
                <w:b/>
                <w:bCs/>
                <w:color w:val="000000"/>
                <w:sz w:val="14"/>
                <w:szCs w:val="14"/>
              </w:rPr>
              <w:t>Income before income tax expense</w:t>
            </w:r>
          </w:p>
        </w:tc>
        <w:tc>
          <w:tcPr>
            <w:tcW w:w="0" w:type="auto"/>
            <w:tcBorders>
              <w:top w:val="single" w:sz="8" w:space="0" w:color="000000"/>
            </w:tcBorders>
            <w:shd w:val="clear" w:color="auto" w:fill="auto"/>
            <w:tcMar>
              <w:top w:w="40" w:type="dxa"/>
              <w:left w:w="20" w:type="dxa"/>
              <w:bottom w:w="40" w:type="dxa"/>
              <w:right w:w="0" w:type="dxa"/>
            </w:tcMar>
            <w:vAlign w:val="bottom"/>
          </w:tcPr>
          <w:p w14:paraId="74DE17B7"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74DE17B8" w14:textId="77777777" w:rsidR="00584EC1" w:rsidRDefault="00871F8D">
            <w:pPr>
              <w:jc w:val="right"/>
              <w:textAlignment w:val="bottom"/>
            </w:pPr>
            <w:r>
              <w:rPr>
                <w:rFonts w:ascii="Arial" w:eastAsia="宋体" w:hAnsi="Arial" w:cs="Arial"/>
                <w:b/>
                <w:bCs/>
                <w:color w:val="000000"/>
                <w:sz w:val="14"/>
                <w:szCs w:val="14"/>
              </w:rPr>
              <w:t>1,991</w:t>
            </w:r>
            <w:r>
              <w:rPr>
                <w:rFonts w:ascii="Arial" w:eastAsia="宋体" w:hAnsi="Arial" w:cs="Arial"/>
                <w:color w:val="000000"/>
                <w:sz w:val="14"/>
                <w:szCs w:val="14"/>
              </w:rPr>
              <w:t> </w:t>
            </w:r>
          </w:p>
        </w:tc>
        <w:tc>
          <w:tcPr>
            <w:tcW w:w="0" w:type="auto"/>
            <w:tcBorders>
              <w:top w:val="single" w:sz="8" w:space="0" w:color="000000"/>
            </w:tcBorders>
            <w:shd w:val="clear" w:color="auto" w:fill="auto"/>
            <w:tcMar>
              <w:top w:w="40" w:type="dxa"/>
              <w:left w:w="0" w:type="dxa"/>
              <w:bottom w:w="40" w:type="dxa"/>
              <w:right w:w="20" w:type="dxa"/>
            </w:tcMar>
            <w:vAlign w:val="bottom"/>
          </w:tcPr>
          <w:p w14:paraId="74DE17B9" w14:textId="77777777" w:rsidR="00584EC1" w:rsidRDefault="00584EC1">
            <w:pPr>
              <w:jc w:val="right"/>
              <w:rPr>
                <w:rFonts w:ascii="宋体"/>
              </w:rPr>
            </w:pPr>
          </w:p>
        </w:tc>
        <w:tc>
          <w:tcPr>
            <w:tcW w:w="0" w:type="auto"/>
            <w:gridSpan w:val="3"/>
            <w:shd w:val="clear" w:color="auto" w:fill="auto"/>
            <w:tcMar>
              <w:top w:w="0" w:type="dxa"/>
              <w:left w:w="20" w:type="dxa"/>
              <w:bottom w:w="0" w:type="dxa"/>
              <w:right w:w="20" w:type="dxa"/>
            </w:tcMar>
            <w:vAlign w:val="bottom"/>
          </w:tcPr>
          <w:p w14:paraId="74DE17BA" w14:textId="77777777" w:rsidR="00584EC1" w:rsidRDefault="00584EC1">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74DE17BB"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74DE17BC" w14:textId="77777777" w:rsidR="00584EC1" w:rsidRDefault="00871F8D">
            <w:pPr>
              <w:jc w:val="right"/>
              <w:textAlignment w:val="bottom"/>
            </w:pPr>
            <w:r>
              <w:rPr>
                <w:rFonts w:ascii="Arial" w:eastAsia="宋体" w:hAnsi="Arial" w:cs="Arial"/>
                <w:color w:val="000000"/>
                <w:sz w:val="14"/>
                <w:szCs w:val="14"/>
              </w:rPr>
              <w:t>1,959 </w:t>
            </w:r>
          </w:p>
        </w:tc>
        <w:tc>
          <w:tcPr>
            <w:tcW w:w="0" w:type="auto"/>
            <w:tcBorders>
              <w:top w:val="single" w:sz="8" w:space="0" w:color="000000"/>
            </w:tcBorders>
            <w:shd w:val="clear" w:color="auto" w:fill="auto"/>
            <w:tcMar>
              <w:top w:w="40" w:type="dxa"/>
              <w:left w:w="0" w:type="dxa"/>
              <w:bottom w:w="40" w:type="dxa"/>
              <w:right w:w="20" w:type="dxa"/>
            </w:tcMar>
            <w:vAlign w:val="bottom"/>
          </w:tcPr>
          <w:p w14:paraId="74DE17B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7BE" w14:textId="77777777" w:rsidR="00584EC1" w:rsidRDefault="00584EC1">
            <w:pPr>
              <w:rPr>
                <w:rFonts w:ascii="宋体"/>
              </w:rPr>
            </w:pPr>
          </w:p>
        </w:tc>
        <w:tc>
          <w:tcPr>
            <w:tcW w:w="0" w:type="auto"/>
            <w:shd w:val="clear" w:color="auto" w:fill="auto"/>
            <w:vAlign w:val="bottom"/>
          </w:tcPr>
          <w:p w14:paraId="74DE17BF" w14:textId="77777777" w:rsidR="00584EC1" w:rsidRDefault="00584EC1">
            <w:pPr>
              <w:rPr>
                <w:rFonts w:ascii="宋体"/>
                <w:vanish/>
              </w:rPr>
            </w:pPr>
          </w:p>
        </w:tc>
        <w:tc>
          <w:tcPr>
            <w:tcW w:w="0" w:type="auto"/>
            <w:shd w:val="clear" w:color="auto" w:fill="auto"/>
            <w:vAlign w:val="bottom"/>
          </w:tcPr>
          <w:p w14:paraId="74DE17C0" w14:textId="77777777" w:rsidR="00584EC1" w:rsidRDefault="00584EC1">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E17C1"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E17C2" w14:textId="77777777" w:rsidR="00584EC1" w:rsidRDefault="00871F8D">
            <w:pPr>
              <w:jc w:val="right"/>
              <w:textAlignment w:val="bottom"/>
            </w:pPr>
            <w:r>
              <w:rPr>
                <w:rFonts w:ascii="Arial" w:eastAsia="宋体" w:hAnsi="Arial" w:cs="Arial"/>
                <w:b/>
                <w:bCs/>
                <w:color w:val="000000"/>
                <w:sz w:val="14"/>
                <w:szCs w:val="14"/>
              </w:rPr>
              <w:t>485</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17C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7C4"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E17C5"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E17C6" w14:textId="77777777" w:rsidR="00584EC1" w:rsidRDefault="00871F8D">
            <w:pPr>
              <w:jc w:val="right"/>
              <w:textAlignment w:val="bottom"/>
            </w:pPr>
            <w:r>
              <w:rPr>
                <w:rFonts w:ascii="Arial" w:eastAsia="宋体" w:hAnsi="Arial" w:cs="Arial"/>
                <w:color w:val="000000"/>
                <w:sz w:val="14"/>
                <w:szCs w:val="14"/>
              </w:rPr>
              <w:t>328 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17C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7C8" w14:textId="77777777" w:rsidR="00584EC1" w:rsidRDefault="00584EC1">
            <w:pPr>
              <w:rPr>
                <w:rFonts w:ascii="宋体"/>
              </w:rPr>
            </w:pPr>
          </w:p>
        </w:tc>
        <w:tc>
          <w:tcPr>
            <w:tcW w:w="0" w:type="auto"/>
            <w:shd w:val="clear" w:color="auto" w:fill="auto"/>
            <w:vAlign w:val="bottom"/>
          </w:tcPr>
          <w:p w14:paraId="74DE17C9" w14:textId="77777777" w:rsidR="00584EC1" w:rsidRDefault="00584EC1">
            <w:pPr>
              <w:rPr>
                <w:rFonts w:ascii="宋体"/>
                <w:vanish/>
              </w:rPr>
            </w:pPr>
          </w:p>
        </w:tc>
        <w:tc>
          <w:tcPr>
            <w:tcW w:w="0" w:type="auto"/>
            <w:shd w:val="clear" w:color="auto" w:fill="auto"/>
            <w:vAlign w:val="bottom"/>
          </w:tcPr>
          <w:p w14:paraId="74DE17CA" w14:textId="77777777" w:rsidR="00584EC1" w:rsidRDefault="00584EC1">
            <w:pPr>
              <w:rPr>
                <w:rFonts w:ascii="宋体"/>
                <w:vanish/>
              </w:rPr>
            </w:pPr>
          </w:p>
        </w:tc>
        <w:tc>
          <w:tcPr>
            <w:tcW w:w="0" w:type="auto"/>
            <w:tcBorders>
              <w:top w:val="single" w:sz="8" w:space="0" w:color="000000"/>
            </w:tcBorders>
            <w:shd w:val="clear" w:color="auto" w:fill="auto"/>
            <w:tcMar>
              <w:top w:w="40" w:type="dxa"/>
              <w:left w:w="20" w:type="dxa"/>
              <w:bottom w:w="40" w:type="dxa"/>
              <w:right w:w="0" w:type="dxa"/>
            </w:tcMar>
            <w:vAlign w:val="bottom"/>
          </w:tcPr>
          <w:p w14:paraId="74DE17CB" w14:textId="77777777" w:rsidR="00584EC1" w:rsidRDefault="00871F8D">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74DE17CC" w14:textId="77777777" w:rsidR="00584EC1" w:rsidRDefault="00871F8D">
            <w:pPr>
              <w:jc w:val="right"/>
              <w:textAlignment w:val="bottom"/>
            </w:pPr>
            <w:r>
              <w:rPr>
                <w:rFonts w:ascii="Arial" w:eastAsia="宋体" w:hAnsi="Arial" w:cs="Arial"/>
                <w:b/>
                <w:bCs/>
                <w:color w:val="000000"/>
                <w:sz w:val="14"/>
                <w:szCs w:val="14"/>
              </w:rPr>
              <w:t>(35)</w:t>
            </w:r>
          </w:p>
        </w:tc>
        <w:tc>
          <w:tcPr>
            <w:tcW w:w="0" w:type="auto"/>
            <w:tcBorders>
              <w:top w:val="single" w:sz="8" w:space="0" w:color="000000"/>
            </w:tcBorders>
            <w:shd w:val="clear" w:color="auto" w:fill="auto"/>
            <w:tcMar>
              <w:top w:w="40" w:type="dxa"/>
              <w:left w:w="0" w:type="dxa"/>
              <w:bottom w:w="40" w:type="dxa"/>
              <w:right w:w="20" w:type="dxa"/>
            </w:tcMar>
            <w:vAlign w:val="bottom"/>
          </w:tcPr>
          <w:p w14:paraId="74DE17C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7CE"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E17CF" w14:textId="77777777" w:rsidR="00584EC1" w:rsidRDefault="00871F8D">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E17D0" w14:textId="77777777" w:rsidR="00584EC1" w:rsidRDefault="00871F8D">
            <w:pPr>
              <w:jc w:val="right"/>
              <w:textAlignment w:val="bottom"/>
            </w:pPr>
            <w:r>
              <w:rPr>
                <w:rFonts w:ascii="Arial" w:eastAsia="宋体" w:hAnsi="Arial" w:cs="Arial"/>
                <w:color w:val="000000"/>
                <w:sz w:val="14"/>
                <w:szCs w:val="14"/>
              </w:rPr>
              <w:t>(29)</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17D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7D2" w14:textId="77777777" w:rsidR="00584EC1" w:rsidRDefault="00584EC1">
            <w:pPr>
              <w:rPr>
                <w:rFonts w:ascii="宋体"/>
              </w:rPr>
            </w:pPr>
          </w:p>
        </w:tc>
        <w:tc>
          <w:tcPr>
            <w:tcW w:w="0" w:type="auto"/>
            <w:gridSpan w:val="3"/>
            <w:shd w:val="clear" w:color="auto" w:fill="auto"/>
            <w:vAlign w:val="bottom"/>
          </w:tcPr>
          <w:p w14:paraId="74DE17D3" w14:textId="77777777" w:rsidR="00584EC1" w:rsidRDefault="00584EC1">
            <w:pPr>
              <w:rPr>
                <w:rFonts w:ascii="宋体"/>
                <w:vanish/>
              </w:rPr>
            </w:pPr>
          </w:p>
        </w:tc>
        <w:tc>
          <w:tcPr>
            <w:tcW w:w="0" w:type="auto"/>
            <w:gridSpan w:val="3"/>
            <w:shd w:val="clear" w:color="auto" w:fill="auto"/>
            <w:vAlign w:val="bottom"/>
          </w:tcPr>
          <w:p w14:paraId="74DE17D4" w14:textId="77777777" w:rsidR="00584EC1" w:rsidRDefault="00584EC1">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17D5" w14:textId="77777777" w:rsidR="00584EC1" w:rsidRDefault="00871F8D">
            <w:pPr>
              <w:jc w:val="right"/>
              <w:textAlignment w:val="bottom"/>
            </w:pPr>
            <w:r>
              <w:rPr>
                <w:rFonts w:ascii="Arial" w:eastAsia="宋体" w:hAnsi="Arial" w:cs="Arial"/>
                <w:b/>
                <w:bCs/>
                <w:color w:val="000000"/>
                <w:sz w:val="14"/>
                <w:szCs w:val="14"/>
              </w:rPr>
              <w:t>2,441</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17D6" w14:textId="77777777" w:rsidR="00584EC1" w:rsidRDefault="00584EC1">
            <w:pPr>
              <w:jc w:val="right"/>
              <w:rPr>
                <w:rFonts w:ascii="宋体"/>
              </w:rPr>
            </w:pPr>
          </w:p>
        </w:tc>
        <w:tc>
          <w:tcPr>
            <w:tcW w:w="0" w:type="auto"/>
            <w:gridSpan w:val="2"/>
            <w:shd w:val="clear" w:color="auto" w:fill="FFFFFF"/>
            <w:tcMar>
              <w:top w:w="0" w:type="dxa"/>
              <w:left w:w="20" w:type="dxa"/>
              <w:bottom w:w="0" w:type="dxa"/>
              <w:right w:w="20" w:type="dxa"/>
            </w:tcMar>
            <w:vAlign w:val="bottom"/>
          </w:tcPr>
          <w:p w14:paraId="74DE17D7"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E17D8" w14:textId="77777777" w:rsidR="00584EC1" w:rsidRDefault="00871F8D">
            <w:pPr>
              <w:textAlignment w:val="bottom"/>
            </w:pPr>
            <w:r>
              <w:rPr>
                <w:rFonts w:ascii="Arial" w:eastAsia="宋体" w:hAnsi="Arial" w:cs="Arial"/>
                <w:color w:val="000000"/>
                <w:sz w:val="14"/>
                <w:szCs w:val="14"/>
              </w:rPr>
              <w:t>$</w:t>
            </w:r>
          </w:p>
          <w:p w14:paraId="74DE17D9" w14:textId="77777777" w:rsidR="00584EC1" w:rsidRDefault="00871F8D">
            <w:pPr>
              <w:jc w:val="right"/>
              <w:textAlignment w:val="bottom"/>
            </w:pPr>
            <w:r>
              <w:rPr>
                <w:rFonts w:ascii="Arial" w:eastAsia="宋体" w:hAnsi="Arial" w:cs="Arial"/>
                <w:color w:val="000000"/>
                <w:sz w:val="14"/>
                <w:szCs w:val="14"/>
              </w:rPr>
              <w:t>2,258 </w:t>
            </w:r>
          </w:p>
        </w:tc>
      </w:tr>
      <w:tr w:rsidR="00584EC1" w14:paraId="74DE17F7" w14:textId="77777777">
        <w:tc>
          <w:tcPr>
            <w:tcW w:w="0" w:type="auto"/>
            <w:gridSpan w:val="3"/>
            <w:shd w:val="clear" w:color="auto" w:fill="CCEEFF"/>
            <w:tcMar>
              <w:top w:w="40" w:type="dxa"/>
              <w:left w:w="20" w:type="dxa"/>
              <w:bottom w:w="40" w:type="dxa"/>
              <w:right w:w="20" w:type="dxa"/>
            </w:tcMar>
            <w:vAlign w:val="bottom"/>
          </w:tcPr>
          <w:p w14:paraId="74DE17DB" w14:textId="77777777" w:rsidR="00584EC1" w:rsidRDefault="00871F8D">
            <w:pPr>
              <w:textAlignment w:val="bottom"/>
            </w:pPr>
            <w:r>
              <w:rPr>
                <w:rFonts w:ascii="Arial" w:eastAsia="宋体" w:hAnsi="Arial" w:cs="Arial"/>
                <w:color w:val="000000"/>
                <w:sz w:val="14"/>
                <w:szCs w:val="14"/>
              </w:rPr>
              <w:t>Pre-tax margin</w:t>
            </w:r>
          </w:p>
        </w:tc>
        <w:tc>
          <w:tcPr>
            <w:tcW w:w="0" w:type="auto"/>
            <w:gridSpan w:val="2"/>
            <w:tcBorders>
              <w:top w:val="double" w:sz="6" w:space="0" w:color="000000"/>
              <w:bottom w:val="double" w:sz="6" w:space="0" w:color="000000"/>
            </w:tcBorders>
            <w:shd w:val="clear" w:color="auto" w:fill="CCEEFF"/>
            <w:tcMar>
              <w:top w:w="40" w:type="dxa"/>
              <w:left w:w="20" w:type="dxa"/>
              <w:bottom w:w="40" w:type="dxa"/>
              <w:right w:w="0" w:type="dxa"/>
            </w:tcMar>
            <w:vAlign w:val="bottom"/>
          </w:tcPr>
          <w:p w14:paraId="74DE17DC" w14:textId="77777777" w:rsidR="00584EC1" w:rsidRDefault="00871F8D">
            <w:pPr>
              <w:jc w:val="right"/>
              <w:textAlignment w:val="bottom"/>
            </w:pPr>
            <w:r>
              <w:rPr>
                <w:rFonts w:ascii="Arial" w:eastAsia="宋体" w:hAnsi="Arial" w:cs="Arial"/>
                <w:b/>
                <w:bCs/>
                <w:color w:val="000000"/>
                <w:sz w:val="14"/>
                <w:szCs w:val="14"/>
              </w:rPr>
              <w:t>27</w:t>
            </w:r>
            <w:r>
              <w:rPr>
                <w:rFonts w:ascii="Arial" w:eastAsia="宋体" w:hAnsi="Arial" w:cs="Arial"/>
                <w:color w:val="000000"/>
                <w:sz w:val="14"/>
                <w:szCs w:val="14"/>
              </w:rPr>
              <w:t> </w:t>
            </w:r>
          </w:p>
        </w:tc>
        <w:tc>
          <w:tcPr>
            <w:tcW w:w="0" w:type="auto"/>
            <w:tcBorders>
              <w:top w:val="double" w:sz="6" w:space="0" w:color="000000"/>
              <w:bottom w:val="double" w:sz="6" w:space="0" w:color="000000"/>
            </w:tcBorders>
            <w:shd w:val="clear" w:color="auto" w:fill="CCEEFF"/>
            <w:tcMar>
              <w:top w:w="40" w:type="dxa"/>
              <w:left w:w="0" w:type="dxa"/>
              <w:bottom w:w="40" w:type="dxa"/>
              <w:right w:w="20" w:type="dxa"/>
            </w:tcMar>
            <w:vAlign w:val="bottom"/>
          </w:tcPr>
          <w:p w14:paraId="74DE17DD" w14:textId="77777777" w:rsidR="00584EC1" w:rsidRDefault="00871F8D">
            <w:pPr>
              <w:jc w:val="right"/>
              <w:textAlignment w:val="bottom"/>
            </w:pPr>
            <w:r>
              <w:rPr>
                <w:rFonts w:ascii="Arial" w:eastAsia="宋体" w:hAnsi="Arial" w:cs="Arial"/>
                <w:b/>
                <w:bCs/>
                <w:color w:val="000000"/>
                <w:sz w:val="14"/>
                <w:szCs w:val="14"/>
              </w:rPr>
              <w:t>%</w:t>
            </w:r>
          </w:p>
        </w:tc>
        <w:tc>
          <w:tcPr>
            <w:tcW w:w="0" w:type="auto"/>
            <w:gridSpan w:val="3"/>
            <w:shd w:val="clear" w:color="auto" w:fill="CCEEFF"/>
            <w:tcMar>
              <w:top w:w="0" w:type="dxa"/>
              <w:left w:w="20" w:type="dxa"/>
              <w:bottom w:w="0" w:type="dxa"/>
              <w:right w:w="20" w:type="dxa"/>
            </w:tcMar>
            <w:vAlign w:val="bottom"/>
          </w:tcPr>
          <w:p w14:paraId="74DE17DE" w14:textId="77777777" w:rsidR="00584EC1" w:rsidRDefault="00584EC1">
            <w:pPr>
              <w:rPr>
                <w:rFonts w:ascii="宋体"/>
              </w:rPr>
            </w:pPr>
          </w:p>
        </w:tc>
        <w:tc>
          <w:tcPr>
            <w:tcW w:w="0" w:type="auto"/>
            <w:gridSpan w:val="2"/>
            <w:tcBorders>
              <w:top w:val="double" w:sz="6" w:space="0" w:color="000000"/>
              <w:bottom w:val="double" w:sz="6" w:space="0" w:color="000000"/>
            </w:tcBorders>
            <w:shd w:val="clear" w:color="auto" w:fill="CCEEFF"/>
            <w:tcMar>
              <w:top w:w="40" w:type="dxa"/>
              <w:left w:w="20" w:type="dxa"/>
              <w:bottom w:w="40" w:type="dxa"/>
              <w:right w:w="0" w:type="dxa"/>
            </w:tcMar>
            <w:vAlign w:val="bottom"/>
          </w:tcPr>
          <w:p w14:paraId="74DE17DF" w14:textId="77777777" w:rsidR="00584EC1" w:rsidRDefault="00871F8D">
            <w:pPr>
              <w:jc w:val="right"/>
              <w:textAlignment w:val="bottom"/>
            </w:pPr>
            <w:r>
              <w:rPr>
                <w:rFonts w:ascii="Arial" w:eastAsia="宋体" w:hAnsi="Arial" w:cs="Arial"/>
                <w:color w:val="000000"/>
                <w:sz w:val="14"/>
                <w:szCs w:val="14"/>
              </w:rPr>
              <w:t>27 </w:t>
            </w:r>
          </w:p>
        </w:tc>
        <w:tc>
          <w:tcPr>
            <w:tcW w:w="0" w:type="auto"/>
            <w:tcBorders>
              <w:top w:val="double" w:sz="6" w:space="0" w:color="000000"/>
              <w:bottom w:val="double" w:sz="6" w:space="0" w:color="000000"/>
            </w:tcBorders>
            <w:shd w:val="clear" w:color="auto" w:fill="CCEEFF"/>
            <w:tcMar>
              <w:top w:w="40" w:type="dxa"/>
              <w:left w:w="0" w:type="dxa"/>
              <w:bottom w:w="40" w:type="dxa"/>
              <w:right w:w="20" w:type="dxa"/>
            </w:tcMar>
            <w:vAlign w:val="bottom"/>
          </w:tcPr>
          <w:p w14:paraId="74DE17E0" w14:textId="77777777" w:rsidR="00584EC1" w:rsidRDefault="00871F8D">
            <w:pPr>
              <w:jc w:val="right"/>
              <w:textAlignment w:val="bottom"/>
            </w:pPr>
            <w:r>
              <w:rPr>
                <w:rFonts w:ascii="Arial" w:eastAsia="宋体" w:hAnsi="Arial" w:cs="Arial"/>
                <w:color w:val="000000"/>
                <w:sz w:val="14"/>
                <w:szCs w:val="14"/>
              </w:rPr>
              <w:t>%</w:t>
            </w:r>
          </w:p>
        </w:tc>
        <w:tc>
          <w:tcPr>
            <w:tcW w:w="0" w:type="auto"/>
            <w:gridSpan w:val="3"/>
            <w:shd w:val="clear" w:color="auto" w:fill="CCEEFF"/>
            <w:tcMar>
              <w:top w:w="0" w:type="dxa"/>
              <w:left w:w="20" w:type="dxa"/>
              <w:bottom w:w="0" w:type="dxa"/>
              <w:right w:w="20" w:type="dxa"/>
            </w:tcMar>
            <w:vAlign w:val="bottom"/>
          </w:tcPr>
          <w:p w14:paraId="74DE17E1" w14:textId="77777777" w:rsidR="00584EC1" w:rsidRDefault="00584EC1">
            <w:pPr>
              <w:rPr>
                <w:rFonts w:ascii="宋体"/>
              </w:rPr>
            </w:pPr>
          </w:p>
        </w:tc>
        <w:tc>
          <w:tcPr>
            <w:tcW w:w="0" w:type="auto"/>
            <w:shd w:val="clear" w:color="auto" w:fill="auto"/>
            <w:vAlign w:val="bottom"/>
          </w:tcPr>
          <w:p w14:paraId="74DE17E2" w14:textId="77777777" w:rsidR="00584EC1" w:rsidRDefault="00584EC1">
            <w:pPr>
              <w:rPr>
                <w:rFonts w:ascii="宋体"/>
                <w:vanish/>
              </w:rPr>
            </w:pPr>
          </w:p>
        </w:tc>
        <w:tc>
          <w:tcPr>
            <w:tcW w:w="0" w:type="auto"/>
            <w:shd w:val="clear" w:color="auto" w:fill="auto"/>
            <w:vAlign w:val="bottom"/>
          </w:tcPr>
          <w:p w14:paraId="74DE17E3" w14:textId="77777777" w:rsidR="00584EC1" w:rsidRDefault="00584EC1">
            <w:pPr>
              <w:rPr>
                <w:rFonts w:ascii="宋体"/>
                <w:vanish/>
              </w:rPr>
            </w:pPr>
          </w:p>
        </w:tc>
        <w:tc>
          <w:tcPr>
            <w:tcW w:w="0" w:type="auto"/>
            <w:gridSpan w:val="2"/>
            <w:tcBorders>
              <w:top w:val="double" w:sz="6" w:space="0" w:color="000000"/>
              <w:bottom w:val="double" w:sz="6" w:space="0" w:color="000000"/>
            </w:tcBorders>
            <w:shd w:val="clear" w:color="auto" w:fill="CCEEFF"/>
            <w:tcMar>
              <w:top w:w="40" w:type="dxa"/>
              <w:left w:w="20" w:type="dxa"/>
              <w:bottom w:w="40" w:type="dxa"/>
              <w:right w:w="0" w:type="dxa"/>
            </w:tcMar>
            <w:vAlign w:val="bottom"/>
          </w:tcPr>
          <w:p w14:paraId="74DE17E4" w14:textId="77777777" w:rsidR="00584EC1" w:rsidRDefault="00871F8D">
            <w:pPr>
              <w:jc w:val="right"/>
              <w:textAlignment w:val="bottom"/>
            </w:pPr>
            <w:r>
              <w:rPr>
                <w:rFonts w:ascii="Arial" w:eastAsia="宋体" w:hAnsi="Arial" w:cs="Arial"/>
                <w:b/>
                <w:bCs/>
                <w:color w:val="000000"/>
                <w:sz w:val="14"/>
                <w:szCs w:val="14"/>
              </w:rPr>
              <w:t>31</w:t>
            </w:r>
            <w:r>
              <w:rPr>
                <w:rFonts w:ascii="Arial" w:eastAsia="宋体" w:hAnsi="Arial" w:cs="Arial"/>
                <w:color w:val="000000"/>
                <w:sz w:val="14"/>
                <w:szCs w:val="14"/>
              </w:rPr>
              <w:t> </w:t>
            </w:r>
          </w:p>
        </w:tc>
        <w:tc>
          <w:tcPr>
            <w:tcW w:w="0" w:type="auto"/>
            <w:tcBorders>
              <w:top w:val="double" w:sz="6" w:space="0" w:color="000000"/>
              <w:bottom w:val="double" w:sz="6" w:space="0" w:color="000000"/>
            </w:tcBorders>
            <w:shd w:val="clear" w:color="auto" w:fill="CCEEFF"/>
            <w:tcMar>
              <w:top w:w="40" w:type="dxa"/>
              <w:left w:w="0" w:type="dxa"/>
              <w:bottom w:w="40" w:type="dxa"/>
              <w:right w:w="20" w:type="dxa"/>
            </w:tcMar>
            <w:vAlign w:val="bottom"/>
          </w:tcPr>
          <w:p w14:paraId="74DE17E5" w14:textId="77777777" w:rsidR="00584EC1" w:rsidRDefault="00871F8D">
            <w:pPr>
              <w:jc w:val="right"/>
              <w:textAlignment w:val="bottom"/>
            </w:pPr>
            <w:r>
              <w:rPr>
                <w:rFonts w:ascii="Arial" w:eastAsia="宋体" w:hAnsi="Arial" w:cs="Arial"/>
                <w:b/>
                <w:bCs/>
                <w:color w:val="000000"/>
                <w:sz w:val="14"/>
                <w:szCs w:val="14"/>
              </w:rPr>
              <w:t>%</w:t>
            </w:r>
          </w:p>
        </w:tc>
        <w:tc>
          <w:tcPr>
            <w:tcW w:w="0" w:type="auto"/>
            <w:gridSpan w:val="3"/>
            <w:shd w:val="clear" w:color="auto" w:fill="CCEEFF"/>
            <w:tcMar>
              <w:top w:w="0" w:type="dxa"/>
              <w:left w:w="20" w:type="dxa"/>
              <w:bottom w:w="0" w:type="dxa"/>
              <w:right w:w="20" w:type="dxa"/>
            </w:tcMar>
            <w:vAlign w:val="bottom"/>
          </w:tcPr>
          <w:p w14:paraId="74DE17E6" w14:textId="77777777" w:rsidR="00584EC1" w:rsidRDefault="00584EC1">
            <w:pPr>
              <w:rPr>
                <w:rFonts w:ascii="宋体"/>
              </w:rPr>
            </w:pPr>
          </w:p>
        </w:tc>
        <w:tc>
          <w:tcPr>
            <w:tcW w:w="0" w:type="auto"/>
            <w:gridSpan w:val="2"/>
            <w:tcBorders>
              <w:top w:val="double" w:sz="6" w:space="0" w:color="000000"/>
              <w:bottom w:val="double" w:sz="6" w:space="0" w:color="000000"/>
            </w:tcBorders>
            <w:shd w:val="clear" w:color="auto" w:fill="CCEEFF"/>
            <w:tcMar>
              <w:top w:w="40" w:type="dxa"/>
              <w:left w:w="20" w:type="dxa"/>
              <w:bottom w:w="40" w:type="dxa"/>
              <w:right w:w="0" w:type="dxa"/>
            </w:tcMar>
            <w:vAlign w:val="bottom"/>
          </w:tcPr>
          <w:p w14:paraId="74DE17E7" w14:textId="77777777" w:rsidR="00584EC1" w:rsidRDefault="00871F8D">
            <w:pPr>
              <w:jc w:val="right"/>
              <w:textAlignment w:val="bottom"/>
            </w:pPr>
            <w:r>
              <w:rPr>
                <w:rFonts w:ascii="Arial" w:eastAsia="宋体" w:hAnsi="Arial" w:cs="Arial"/>
                <w:color w:val="000000"/>
                <w:sz w:val="14"/>
                <w:szCs w:val="14"/>
              </w:rPr>
              <w:t>23 </w:t>
            </w:r>
          </w:p>
        </w:tc>
        <w:tc>
          <w:tcPr>
            <w:tcW w:w="0" w:type="auto"/>
            <w:tcBorders>
              <w:top w:val="double" w:sz="6" w:space="0" w:color="000000"/>
              <w:bottom w:val="double" w:sz="6" w:space="0" w:color="000000"/>
            </w:tcBorders>
            <w:shd w:val="clear" w:color="auto" w:fill="CCEEFF"/>
            <w:tcMar>
              <w:top w:w="40" w:type="dxa"/>
              <w:left w:w="0" w:type="dxa"/>
              <w:bottom w:w="40" w:type="dxa"/>
              <w:right w:w="20" w:type="dxa"/>
            </w:tcMar>
            <w:vAlign w:val="bottom"/>
          </w:tcPr>
          <w:p w14:paraId="74DE17E8" w14:textId="77777777" w:rsidR="00584EC1" w:rsidRDefault="00871F8D">
            <w:pPr>
              <w:jc w:val="right"/>
              <w:textAlignment w:val="bottom"/>
            </w:pPr>
            <w:r>
              <w:rPr>
                <w:rFonts w:ascii="Arial" w:eastAsia="宋体" w:hAnsi="Arial" w:cs="Arial"/>
                <w:color w:val="000000"/>
                <w:sz w:val="14"/>
                <w:szCs w:val="14"/>
              </w:rPr>
              <w:t>%</w:t>
            </w:r>
          </w:p>
        </w:tc>
        <w:tc>
          <w:tcPr>
            <w:tcW w:w="0" w:type="auto"/>
            <w:gridSpan w:val="3"/>
            <w:shd w:val="clear" w:color="auto" w:fill="CCEEFF"/>
            <w:tcMar>
              <w:top w:w="0" w:type="dxa"/>
              <w:left w:w="20" w:type="dxa"/>
              <w:bottom w:w="0" w:type="dxa"/>
              <w:right w:w="20" w:type="dxa"/>
            </w:tcMar>
            <w:vAlign w:val="bottom"/>
          </w:tcPr>
          <w:p w14:paraId="74DE17E9" w14:textId="77777777" w:rsidR="00584EC1" w:rsidRDefault="00584EC1">
            <w:pPr>
              <w:rPr>
                <w:rFonts w:ascii="宋体"/>
              </w:rPr>
            </w:pPr>
          </w:p>
        </w:tc>
        <w:tc>
          <w:tcPr>
            <w:tcW w:w="0" w:type="auto"/>
            <w:shd w:val="clear" w:color="auto" w:fill="auto"/>
            <w:vAlign w:val="bottom"/>
          </w:tcPr>
          <w:p w14:paraId="74DE17EA" w14:textId="77777777" w:rsidR="00584EC1" w:rsidRDefault="00584EC1">
            <w:pPr>
              <w:rPr>
                <w:rFonts w:ascii="宋体"/>
                <w:vanish/>
              </w:rPr>
            </w:pPr>
          </w:p>
        </w:tc>
        <w:tc>
          <w:tcPr>
            <w:tcW w:w="0" w:type="auto"/>
            <w:shd w:val="clear" w:color="auto" w:fill="auto"/>
            <w:vAlign w:val="bottom"/>
          </w:tcPr>
          <w:p w14:paraId="74DE17EB" w14:textId="77777777" w:rsidR="00584EC1" w:rsidRDefault="00584EC1">
            <w:pPr>
              <w:rPr>
                <w:rFonts w:ascii="宋体"/>
                <w:vanish/>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4DE17EC"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E17ED" w14:textId="77777777" w:rsidR="00584EC1" w:rsidRDefault="00584EC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4DE17EE" w14:textId="77777777" w:rsidR="00584EC1" w:rsidRDefault="00584EC1">
            <w:pPr>
              <w:rPr>
                <w:rFonts w:ascii="宋体"/>
              </w:rPr>
            </w:pPr>
          </w:p>
        </w:tc>
        <w:tc>
          <w:tcPr>
            <w:tcW w:w="0" w:type="auto"/>
            <w:gridSpan w:val="3"/>
            <w:shd w:val="clear" w:color="auto" w:fill="CCEEFF"/>
            <w:tcMar>
              <w:top w:w="0" w:type="dxa"/>
              <w:left w:w="20" w:type="dxa"/>
              <w:bottom w:w="0" w:type="dxa"/>
              <w:right w:w="20" w:type="dxa"/>
            </w:tcMar>
            <w:vAlign w:val="bottom"/>
          </w:tcPr>
          <w:p w14:paraId="74DE17EF" w14:textId="77777777" w:rsidR="00584EC1" w:rsidRDefault="00584EC1">
            <w:pPr>
              <w:rPr>
                <w:rFonts w:ascii="宋体"/>
              </w:rPr>
            </w:pPr>
          </w:p>
        </w:tc>
        <w:tc>
          <w:tcPr>
            <w:tcW w:w="0" w:type="auto"/>
            <w:gridSpan w:val="3"/>
            <w:shd w:val="clear" w:color="auto" w:fill="auto"/>
            <w:vAlign w:val="bottom"/>
          </w:tcPr>
          <w:p w14:paraId="74DE17F0" w14:textId="77777777" w:rsidR="00584EC1" w:rsidRDefault="00584EC1">
            <w:pPr>
              <w:rPr>
                <w:rFonts w:ascii="宋体"/>
                <w:vanish/>
              </w:rPr>
            </w:pPr>
          </w:p>
        </w:tc>
        <w:tc>
          <w:tcPr>
            <w:tcW w:w="0" w:type="auto"/>
            <w:gridSpan w:val="3"/>
            <w:shd w:val="clear" w:color="auto" w:fill="auto"/>
            <w:vAlign w:val="bottom"/>
          </w:tcPr>
          <w:p w14:paraId="74DE17F1" w14:textId="77777777" w:rsidR="00584EC1" w:rsidRDefault="00584EC1">
            <w:pPr>
              <w:rPr>
                <w:rFonts w:ascii="宋体"/>
                <w:vanish/>
              </w:rPr>
            </w:pPr>
          </w:p>
        </w:tc>
        <w:tc>
          <w:tcPr>
            <w:tcW w:w="0" w:type="auto"/>
            <w:gridSpan w:val="2"/>
            <w:tcBorders>
              <w:top w:val="double" w:sz="6" w:space="0" w:color="000000"/>
              <w:bottom w:val="double" w:sz="6" w:space="0" w:color="000000"/>
            </w:tcBorders>
            <w:shd w:val="clear" w:color="auto" w:fill="CCEEFF"/>
            <w:tcMar>
              <w:top w:w="40" w:type="dxa"/>
              <w:left w:w="20" w:type="dxa"/>
              <w:bottom w:w="40" w:type="dxa"/>
              <w:right w:w="0" w:type="dxa"/>
            </w:tcMar>
            <w:vAlign w:val="bottom"/>
          </w:tcPr>
          <w:p w14:paraId="74DE17F2" w14:textId="77777777" w:rsidR="00584EC1" w:rsidRDefault="00871F8D">
            <w:pPr>
              <w:jc w:val="right"/>
              <w:textAlignment w:val="bottom"/>
            </w:pPr>
            <w:r>
              <w:rPr>
                <w:rFonts w:ascii="Arial" w:eastAsia="宋体" w:hAnsi="Arial" w:cs="Arial"/>
                <w:b/>
                <w:bCs/>
                <w:color w:val="000000"/>
                <w:sz w:val="14"/>
                <w:szCs w:val="14"/>
              </w:rPr>
              <w:t>27</w:t>
            </w:r>
            <w:r>
              <w:rPr>
                <w:rFonts w:ascii="Arial" w:eastAsia="宋体" w:hAnsi="Arial" w:cs="Arial"/>
                <w:color w:val="000000"/>
                <w:sz w:val="14"/>
                <w:szCs w:val="14"/>
              </w:rPr>
              <w:t> </w:t>
            </w:r>
          </w:p>
        </w:tc>
        <w:tc>
          <w:tcPr>
            <w:tcW w:w="0" w:type="auto"/>
            <w:tcBorders>
              <w:top w:val="double" w:sz="6" w:space="0" w:color="000000"/>
              <w:bottom w:val="double" w:sz="6" w:space="0" w:color="000000"/>
            </w:tcBorders>
            <w:shd w:val="clear" w:color="auto" w:fill="CCEEFF"/>
            <w:tcMar>
              <w:top w:w="40" w:type="dxa"/>
              <w:left w:w="0" w:type="dxa"/>
              <w:bottom w:w="40" w:type="dxa"/>
              <w:right w:w="20" w:type="dxa"/>
            </w:tcMar>
            <w:vAlign w:val="bottom"/>
          </w:tcPr>
          <w:p w14:paraId="74DE17F3" w14:textId="77777777" w:rsidR="00584EC1" w:rsidRDefault="00871F8D">
            <w:pPr>
              <w:jc w:val="right"/>
              <w:textAlignment w:val="bottom"/>
            </w:pPr>
            <w:r>
              <w:rPr>
                <w:rFonts w:ascii="Arial" w:eastAsia="宋体" w:hAnsi="Arial" w:cs="Arial"/>
                <w:b/>
                <w:bCs/>
                <w:color w:val="000000"/>
                <w:sz w:val="14"/>
                <w:szCs w:val="14"/>
              </w:rPr>
              <w:t>%</w:t>
            </w:r>
          </w:p>
        </w:tc>
        <w:tc>
          <w:tcPr>
            <w:tcW w:w="0" w:type="auto"/>
            <w:gridSpan w:val="2"/>
            <w:shd w:val="clear" w:color="auto" w:fill="CCEEFF"/>
            <w:tcMar>
              <w:top w:w="0" w:type="dxa"/>
              <w:left w:w="20" w:type="dxa"/>
              <w:bottom w:w="0" w:type="dxa"/>
              <w:right w:w="20" w:type="dxa"/>
            </w:tcMar>
            <w:vAlign w:val="bottom"/>
          </w:tcPr>
          <w:p w14:paraId="74DE17F4" w14:textId="77777777" w:rsidR="00584EC1" w:rsidRDefault="00584EC1">
            <w:pPr>
              <w:rPr>
                <w:rFonts w:ascii="宋体"/>
              </w:rPr>
            </w:pPr>
          </w:p>
        </w:tc>
        <w:tc>
          <w:tcPr>
            <w:tcW w:w="0" w:type="auto"/>
            <w:tcBorders>
              <w:top w:val="double" w:sz="6" w:space="0" w:color="000000"/>
              <w:bottom w:val="double" w:sz="6" w:space="0" w:color="000000"/>
            </w:tcBorders>
            <w:shd w:val="clear" w:color="auto" w:fill="CCEEFF"/>
            <w:tcMar>
              <w:top w:w="40" w:type="dxa"/>
              <w:left w:w="20" w:type="dxa"/>
              <w:bottom w:w="40" w:type="dxa"/>
              <w:right w:w="0" w:type="dxa"/>
            </w:tcMar>
            <w:vAlign w:val="bottom"/>
          </w:tcPr>
          <w:p w14:paraId="74DE17F5" w14:textId="77777777" w:rsidR="00584EC1" w:rsidRDefault="00871F8D">
            <w:pPr>
              <w:jc w:val="right"/>
              <w:textAlignment w:val="bottom"/>
            </w:pPr>
            <w:r>
              <w:rPr>
                <w:rFonts w:ascii="Arial" w:eastAsia="宋体" w:hAnsi="Arial" w:cs="Arial"/>
                <w:color w:val="000000"/>
                <w:sz w:val="14"/>
                <w:szCs w:val="14"/>
              </w:rPr>
              <w:t>26 </w:t>
            </w:r>
          </w:p>
          <w:p w14:paraId="74DE17F6" w14:textId="77777777" w:rsidR="00584EC1" w:rsidRDefault="00871F8D">
            <w:pPr>
              <w:jc w:val="right"/>
              <w:textAlignment w:val="bottom"/>
            </w:pPr>
            <w:r>
              <w:rPr>
                <w:rFonts w:ascii="Arial" w:eastAsia="宋体" w:hAnsi="Arial" w:cs="Arial"/>
                <w:color w:val="000000"/>
                <w:sz w:val="14"/>
                <w:szCs w:val="14"/>
              </w:rPr>
              <w:t>%</w:t>
            </w:r>
          </w:p>
        </w:tc>
      </w:tr>
      <w:tr w:rsidR="00584EC1" w14:paraId="74DE180E" w14:textId="77777777">
        <w:trPr>
          <w:hidden/>
        </w:trPr>
        <w:tc>
          <w:tcPr>
            <w:tcW w:w="0" w:type="auto"/>
            <w:gridSpan w:val="3"/>
            <w:shd w:val="clear" w:color="auto" w:fill="auto"/>
            <w:vAlign w:val="bottom"/>
          </w:tcPr>
          <w:p w14:paraId="74DE17F8" w14:textId="77777777" w:rsidR="00584EC1" w:rsidRDefault="00584EC1">
            <w:pPr>
              <w:rPr>
                <w:rFonts w:ascii="宋体"/>
                <w:vanish/>
              </w:rPr>
            </w:pPr>
          </w:p>
        </w:tc>
        <w:tc>
          <w:tcPr>
            <w:tcW w:w="0" w:type="auto"/>
            <w:gridSpan w:val="3"/>
            <w:shd w:val="clear" w:color="auto" w:fill="auto"/>
            <w:vAlign w:val="bottom"/>
          </w:tcPr>
          <w:p w14:paraId="74DE17F9" w14:textId="77777777" w:rsidR="00584EC1" w:rsidRDefault="00584EC1">
            <w:pPr>
              <w:rPr>
                <w:rFonts w:ascii="宋体"/>
                <w:vanish/>
              </w:rPr>
            </w:pPr>
          </w:p>
        </w:tc>
        <w:tc>
          <w:tcPr>
            <w:tcW w:w="0" w:type="auto"/>
            <w:gridSpan w:val="3"/>
            <w:shd w:val="clear" w:color="auto" w:fill="auto"/>
            <w:vAlign w:val="bottom"/>
          </w:tcPr>
          <w:p w14:paraId="74DE17FA" w14:textId="77777777" w:rsidR="00584EC1" w:rsidRDefault="00584EC1">
            <w:pPr>
              <w:rPr>
                <w:rFonts w:ascii="宋体"/>
                <w:vanish/>
              </w:rPr>
            </w:pPr>
          </w:p>
        </w:tc>
        <w:tc>
          <w:tcPr>
            <w:tcW w:w="0" w:type="auto"/>
            <w:gridSpan w:val="3"/>
            <w:shd w:val="clear" w:color="auto" w:fill="auto"/>
            <w:vAlign w:val="bottom"/>
          </w:tcPr>
          <w:p w14:paraId="74DE17FB" w14:textId="77777777" w:rsidR="00584EC1" w:rsidRDefault="00584EC1">
            <w:pPr>
              <w:rPr>
                <w:rFonts w:ascii="宋体"/>
                <w:vanish/>
              </w:rPr>
            </w:pPr>
          </w:p>
        </w:tc>
        <w:tc>
          <w:tcPr>
            <w:tcW w:w="0" w:type="auto"/>
            <w:gridSpan w:val="3"/>
            <w:shd w:val="clear" w:color="auto" w:fill="auto"/>
            <w:vAlign w:val="bottom"/>
          </w:tcPr>
          <w:p w14:paraId="74DE17FC" w14:textId="77777777" w:rsidR="00584EC1" w:rsidRDefault="00584EC1">
            <w:pPr>
              <w:rPr>
                <w:rFonts w:ascii="宋体"/>
                <w:vanish/>
              </w:rPr>
            </w:pPr>
          </w:p>
        </w:tc>
        <w:tc>
          <w:tcPr>
            <w:tcW w:w="0" w:type="auto"/>
            <w:shd w:val="clear" w:color="auto" w:fill="auto"/>
            <w:vAlign w:val="bottom"/>
          </w:tcPr>
          <w:p w14:paraId="74DE17FD" w14:textId="77777777" w:rsidR="00584EC1" w:rsidRDefault="00584EC1">
            <w:pPr>
              <w:rPr>
                <w:rFonts w:ascii="宋体"/>
                <w:vanish/>
              </w:rPr>
            </w:pPr>
          </w:p>
        </w:tc>
        <w:tc>
          <w:tcPr>
            <w:tcW w:w="0" w:type="auto"/>
            <w:shd w:val="clear" w:color="auto" w:fill="auto"/>
            <w:vAlign w:val="bottom"/>
          </w:tcPr>
          <w:p w14:paraId="74DE17FE" w14:textId="77777777" w:rsidR="00584EC1" w:rsidRDefault="00584EC1">
            <w:pPr>
              <w:rPr>
                <w:rFonts w:ascii="宋体"/>
                <w:vanish/>
              </w:rPr>
            </w:pPr>
          </w:p>
        </w:tc>
        <w:tc>
          <w:tcPr>
            <w:tcW w:w="0" w:type="auto"/>
            <w:gridSpan w:val="3"/>
            <w:shd w:val="clear" w:color="auto" w:fill="auto"/>
            <w:vAlign w:val="bottom"/>
          </w:tcPr>
          <w:p w14:paraId="74DE17FF" w14:textId="77777777" w:rsidR="00584EC1" w:rsidRDefault="00584EC1">
            <w:pPr>
              <w:rPr>
                <w:rFonts w:ascii="宋体"/>
                <w:vanish/>
              </w:rPr>
            </w:pPr>
          </w:p>
        </w:tc>
        <w:tc>
          <w:tcPr>
            <w:tcW w:w="0" w:type="auto"/>
            <w:gridSpan w:val="3"/>
            <w:shd w:val="clear" w:color="auto" w:fill="auto"/>
            <w:vAlign w:val="bottom"/>
          </w:tcPr>
          <w:p w14:paraId="74DE1800" w14:textId="77777777" w:rsidR="00584EC1" w:rsidRDefault="00584EC1">
            <w:pPr>
              <w:rPr>
                <w:rFonts w:ascii="宋体"/>
                <w:vanish/>
              </w:rPr>
            </w:pPr>
          </w:p>
        </w:tc>
        <w:tc>
          <w:tcPr>
            <w:tcW w:w="0" w:type="auto"/>
            <w:gridSpan w:val="3"/>
            <w:shd w:val="clear" w:color="auto" w:fill="auto"/>
            <w:vAlign w:val="bottom"/>
          </w:tcPr>
          <w:p w14:paraId="74DE1801" w14:textId="77777777" w:rsidR="00584EC1" w:rsidRDefault="00584EC1">
            <w:pPr>
              <w:rPr>
                <w:rFonts w:ascii="宋体"/>
                <w:vanish/>
              </w:rPr>
            </w:pPr>
          </w:p>
        </w:tc>
        <w:tc>
          <w:tcPr>
            <w:tcW w:w="0" w:type="auto"/>
            <w:gridSpan w:val="3"/>
            <w:shd w:val="clear" w:color="auto" w:fill="auto"/>
            <w:vAlign w:val="bottom"/>
          </w:tcPr>
          <w:p w14:paraId="74DE1802" w14:textId="77777777" w:rsidR="00584EC1" w:rsidRDefault="00584EC1">
            <w:pPr>
              <w:rPr>
                <w:rFonts w:ascii="宋体"/>
                <w:vanish/>
              </w:rPr>
            </w:pPr>
          </w:p>
        </w:tc>
        <w:tc>
          <w:tcPr>
            <w:tcW w:w="0" w:type="auto"/>
            <w:shd w:val="clear" w:color="auto" w:fill="auto"/>
            <w:vAlign w:val="bottom"/>
          </w:tcPr>
          <w:p w14:paraId="74DE1803" w14:textId="77777777" w:rsidR="00584EC1" w:rsidRDefault="00584EC1">
            <w:pPr>
              <w:rPr>
                <w:rFonts w:ascii="宋体"/>
                <w:vanish/>
              </w:rPr>
            </w:pPr>
          </w:p>
        </w:tc>
        <w:tc>
          <w:tcPr>
            <w:tcW w:w="0" w:type="auto"/>
            <w:shd w:val="clear" w:color="auto" w:fill="auto"/>
            <w:vAlign w:val="bottom"/>
          </w:tcPr>
          <w:p w14:paraId="74DE1804" w14:textId="77777777" w:rsidR="00584EC1" w:rsidRDefault="00584EC1">
            <w:pPr>
              <w:rPr>
                <w:rFonts w:ascii="宋体"/>
                <w:vanish/>
              </w:rPr>
            </w:pPr>
          </w:p>
        </w:tc>
        <w:tc>
          <w:tcPr>
            <w:tcW w:w="0" w:type="auto"/>
            <w:gridSpan w:val="3"/>
            <w:shd w:val="clear" w:color="auto" w:fill="auto"/>
            <w:vAlign w:val="bottom"/>
          </w:tcPr>
          <w:p w14:paraId="74DE1805" w14:textId="77777777" w:rsidR="00584EC1" w:rsidRDefault="00584EC1">
            <w:pPr>
              <w:rPr>
                <w:rFonts w:ascii="宋体"/>
                <w:vanish/>
              </w:rPr>
            </w:pPr>
          </w:p>
        </w:tc>
        <w:tc>
          <w:tcPr>
            <w:tcW w:w="0" w:type="auto"/>
            <w:gridSpan w:val="3"/>
            <w:shd w:val="clear" w:color="auto" w:fill="auto"/>
            <w:vAlign w:val="bottom"/>
          </w:tcPr>
          <w:p w14:paraId="74DE1806" w14:textId="77777777" w:rsidR="00584EC1" w:rsidRDefault="00584EC1">
            <w:pPr>
              <w:rPr>
                <w:rFonts w:ascii="宋体"/>
                <w:vanish/>
              </w:rPr>
            </w:pPr>
          </w:p>
        </w:tc>
        <w:tc>
          <w:tcPr>
            <w:tcW w:w="0" w:type="auto"/>
            <w:gridSpan w:val="3"/>
            <w:shd w:val="clear" w:color="auto" w:fill="auto"/>
            <w:vAlign w:val="bottom"/>
          </w:tcPr>
          <w:p w14:paraId="74DE1807" w14:textId="77777777" w:rsidR="00584EC1" w:rsidRDefault="00584EC1">
            <w:pPr>
              <w:rPr>
                <w:rFonts w:ascii="宋体"/>
                <w:vanish/>
              </w:rPr>
            </w:pPr>
          </w:p>
        </w:tc>
        <w:tc>
          <w:tcPr>
            <w:tcW w:w="0" w:type="auto"/>
            <w:gridSpan w:val="3"/>
            <w:shd w:val="clear" w:color="auto" w:fill="auto"/>
            <w:vAlign w:val="bottom"/>
          </w:tcPr>
          <w:p w14:paraId="74DE1808" w14:textId="77777777" w:rsidR="00584EC1" w:rsidRDefault="00584EC1">
            <w:pPr>
              <w:rPr>
                <w:rFonts w:ascii="宋体"/>
                <w:vanish/>
              </w:rPr>
            </w:pPr>
          </w:p>
        </w:tc>
        <w:tc>
          <w:tcPr>
            <w:tcW w:w="0" w:type="auto"/>
            <w:gridSpan w:val="3"/>
            <w:shd w:val="clear" w:color="auto" w:fill="auto"/>
            <w:vAlign w:val="bottom"/>
          </w:tcPr>
          <w:p w14:paraId="74DE1809" w14:textId="77777777" w:rsidR="00584EC1" w:rsidRDefault="00584EC1">
            <w:pPr>
              <w:rPr>
                <w:rFonts w:ascii="宋体"/>
                <w:vanish/>
              </w:rPr>
            </w:pPr>
          </w:p>
        </w:tc>
        <w:tc>
          <w:tcPr>
            <w:tcW w:w="0" w:type="auto"/>
            <w:gridSpan w:val="3"/>
            <w:shd w:val="clear" w:color="auto" w:fill="auto"/>
            <w:vAlign w:val="bottom"/>
          </w:tcPr>
          <w:p w14:paraId="74DE180A" w14:textId="77777777" w:rsidR="00584EC1" w:rsidRDefault="00584EC1">
            <w:pPr>
              <w:rPr>
                <w:rFonts w:ascii="宋体"/>
                <w:vanish/>
              </w:rPr>
            </w:pPr>
          </w:p>
        </w:tc>
        <w:tc>
          <w:tcPr>
            <w:tcW w:w="0" w:type="auto"/>
            <w:gridSpan w:val="3"/>
            <w:shd w:val="clear" w:color="auto" w:fill="auto"/>
            <w:vAlign w:val="bottom"/>
          </w:tcPr>
          <w:p w14:paraId="74DE180B" w14:textId="77777777" w:rsidR="00584EC1" w:rsidRDefault="00584EC1">
            <w:pPr>
              <w:rPr>
                <w:rFonts w:ascii="宋体"/>
                <w:vanish/>
              </w:rPr>
            </w:pPr>
          </w:p>
        </w:tc>
        <w:tc>
          <w:tcPr>
            <w:tcW w:w="0" w:type="auto"/>
            <w:gridSpan w:val="2"/>
            <w:shd w:val="clear" w:color="auto" w:fill="auto"/>
            <w:vAlign w:val="bottom"/>
          </w:tcPr>
          <w:p w14:paraId="74DE180C" w14:textId="77777777" w:rsidR="00584EC1" w:rsidRDefault="00584EC1">
            <w:pPr>
              <w:rPr>
                <w:rFonts w:ascii="宋体"/>
                <w:vanish/>
              </w:rPr>
            </w:pPr>
          </w:p>
        </w:tc>
        <w:tc>
          <w:tcPr>
            <w:tcW w:w="0" w:type="auto"/>
            <w:shd w:val="clear" w:color="auto" w:fill="auto"/>
            <w:vAlign w:val="bottom"/>
          </w:tcPr>
          <w:p w14:paraId="74DE180D" w14:textId="77777777" w:rsidR="00584EC1" w:rsidRDefault="00584EC1">
            <w:pPr>
              <w:rPr>
                <w:rFonts w:ascii="宋体"/>
                <w:vanish/>
              </w:rPr>
            </w:pPr>
          </w:p>
        </w:tc>
      </w:tr>
    </w:tbl>
    <w:p w14:paraId="74DE180F" w14:textId="77777777" w:rsidR="00584EC1" w:rsidRDefault="00584EC1">
      <w:pPr>
        <w:rPr>
          <w:vanish/>
        </w:rPr>
      </w:pPr>
    </w:p>
    <w:tbl>
      <w:tblPr>
        <w:tblW w:w="4971" w:type="pct"/>
        <w:tblCellMar>
          <w:top w:w="15" w:type="dxa"/>
          <w:left w:w="15" w:type="dxa"/>
          <w:bottom w:w="15" w:type="dxa"/>
          <w:right w:w="15" w:type="dxa"/>
        </w:tblCellMar>
        <w:tblLook w:val="04A0" w:firstRow="1" w:lastRow="0" w:firstColumn="1" w:lastColumn="0" w:noHBand="0" w:noVBand="1"/>
      </w:tblPr>
      <w:tblGrid>
        <w:gridCol w:w="69"/>
        <w:gridCol w:w="2224"/>
        <w:gridCol w:w="36"/>
        <w:gridCol w:w="69"/>
        <w:gridCol w:w="1503"/>
        <w:gridCol w:w="36"/>
        <w:gridCol w:w="69"/>
        <w:gridCol w:w="1503"/>
        <w:gridCol w:w="36"/>
        <w:gridCol w:w="69"/>
        <w:gridCol w:w="2638"/>
        <w:gridCol w:w="36"/>
      </w:tblGrid>
      <w:tr w:rsidR="00584EC1" w14:paraId="74DE181C" w14:textId="77777777">
        <w:tc>
          <w:tcPr>
            <w:tcW w:w="50" w:type="pct"/>
            <w:shd w:val="clear" w:color="auto" w:fill="auto"/>
            <w:vAlign w:val="bottom"/>
          </w:tcPr>
          <w:p w14:paraId="74DE1810" w14:textId="77777777" w:rsidR="00584EC1" w:rsidRDefault="00584EC1">
            <w:pPr>
              <w:rPr>
                <w:rFonts w:ascii="宋体"/>
              </w:rPr>
            </w:pPr>
          </w:p>
        </w:tc>
        <w:tc>
          <w:tcPr>
            <w:tcW w:w="1349" w:type="pct"/>
            <w:shd w:val="clear" w:color="auto" w:fill="auto"/>
            <w:vAlign w:val="bottom"/>
          </w:tcPr>
          <w:p w14:paraId="74DE1811" w14:textId="77777777" w:rsidR="00584EC1" w:rsidRDefault="00584EC1">
            <w:pPr>
              <w:rPr>
                <w:rFonts w:ascii="宋体"/>
              </w:rPr>
            </w:pPr>
          </w:p>
        </w:tc>
        <w:tc>
          <w:tcPr>
            <w:tcW w:w="5" w:type="pct"/>
            <w:shd w:val="clear" w:color="auto" w:fill="auto"/>
            <w:vAlign w:val="bottom"/>
          </w:tcPr>
          <w:p w14:paraId="74DE1812" w14:textId="77777777" w:rsidR="00584EC1" w:rsidRDefault="00584EC1">
            <w:pPr>
              <w:rPr>
                <w:rFonts w:ascii="宋体"/>
              </w:rPr>
            </w:pPr>
          </w:p>
        </w:tc>
        <w:tc>
          <w:tcPr>
            <w:tcW w:w="50" w:type="pct"/>
            <w:shd w:val="clear" w:color="auto" w:fill="auto"/>
            <w:vAlign w:val="bottom"/>
          </w:tcPr>
          <w:p w14:paraId="74DE1813" w14:textId="77777777" w:rsidR="00584EC1" w:rsidRDefault="00584EC1">
            <w:pPr>
              <w:rPr>
                <w:rFonts w:ascii="宋体"/>
              </w:rPr>
            </w:pPr>
          </w:p>
        </w:tc>
        <w:tc>
          <w:tcPr>
            <w:tcW w:w="915" w:type="pct"/>
            <w:shd w:val="clear" w:color="auto" w:fill="auto"/>
            <w:vAlign w:val="bottom"/>
          </w:tcPr>
          <w:p w14:paraId="74DE1814" w14:textId="77777777" w:rsidR="00584EC1" w:rsidRDefault="00584EC1">
            <w:pPr>
              <w:rPr>
                <w:rFonts w:ascii="宋体"/>
              </w:rPr>
            </w:pPr>
          </w:p>
        </w:tc>
        <w:tc>
          <w:tcPr>
            <w:tcW w:w="5" w:type="pct"/>
            <w:shd w:val="clear" w:color="auto" w:fill="auto"/>
            <w:vAlign w:val="bottom"/>
          </w:tcPr>
          <w:p w14:paraId="74DE1815" w14:textId="77777777" w:rsidR="00584EC1" w:rsidRDefault="00584EC1">
            <w:pPr>
              <w:rPr>
                <w:rFonts w:ascii="宋体"/>
              </w:rPr>
            </w:pPr>
          </w:p>
        </w:tc>
        <w:tc>
          <w:tcPr>
            <w:tcW w:w="50" w:type="pct"/>
            <w:shd w:val="clear" w:color="auto" w:fill="auto"/>
            <w:vAlign w:val="bottom"/>
          </w:tcPr>
          <w:p w14:paraId="74DE1816" w14:textId="77777777" w:rsidR="00584EC1" w:rsidRDefault="00584EC1">
            <w:pPr>
              <w:rPr>
                <w:rFonts w:ascii="宋体"/>
              </w:rPr>
            </w:pPr>
          </w:p>
        </w:tc>
        <w:tc>
          <w:tcPr>
            <w:tcW w:w="915" w:type="pct"/>
            <w:shd w:val="clear" w:color="auto" w:fill="auto"/>
            <w:vAlign w:val="bottom"/>
          </w:tcPr>
          <w:p w14:paraId="74DE1817" w14:textId="77777777" w:rsidR="00584EC1" w:rsidRDefault="00584EC1">
            <w:pPr>
              <w:rPr>
                <w:rFonts w:ascii="宋体"/>
              </w:rPr>
            </w:pPr>
          </w:p>
        </w:tc>
        <w:tc>
          <w:tcPr>
            <w:tcW w:w="5" w:type="pct"/>
            <w:shd w:val="clear" w:color="auto" w:fill="auto"/>
            <w:vAlign w:val="bottom"/>
          </w:tcPr>
          <w:p w14:paraId="74DE1818" w14:textId="77777777" w:rsidR="00584EC1" w:rsidRDefault="00584EC1">
            <w:pPr>
              <w:rPr>
                <w:rFonts w:ascii="宋体"/>
              </w:rPr>
            </w:pPr>
          </w:p>
        </w:tc>
        <w:tc>
          <w:tcPr>
            <w:tcW w:w="50" w:type="pct"/>
            <w:shd w:val="clear" w:color="auto" w:fill="auto"/>
            <w:vAlign w:val="bottom"/>
          </w:tcPr>
          <w:p w14:paraId="74DE1819" w14:textId="77777777" w:rsidR="00584EC1" w:rsidRDefault="00584EC1">
            <w:pPr>
              <w:rPr>
                <w:rFonts w:ascii="宋体"/>
              </w:rPr>
            </w:pPr>
          </w:p>
        </w:tc>
        <w:tc>
          <w:tcPr>
            <w:tcW w:w="1599" w:type="pct"/>
            <w:shd w:val="clear" w:color="auto" w:fill="auto"/>
            <w:vAlign w:val="bottom"/>
          </w:tcPr>
          <w:p w14:paraId="74DE181A" w14:textId="77777777" w:rsidR="00584EC1" w:rsidRDefault="00584EC1">
            <w:pPr>
              <w:rPr>
                <w:rFonts w:ascii="宋体"/>
              </w:rPr>
            </w:pPr>
          </w:p>
        </w:tc>
        <w:tc>
          <w:tcPr>
            <w:tcW w:w="5" w:type="pct"/>
            <w:shd w:val="clear" w:color="auto" w:fill="auto"/>
            <w:vAlign w:val="bottom"/>
          </w:tcPr>
          <w:p w14:paraId="74DE181B" w14:textId="77777777" w:rsidR="00584EC1" w:rsidRDefault="00584EC1">
            <w:pPr>
              <w:rPr>
                <w:rFonts w:ascii="宋体"/>
              </w:rPr>
            </w:pPr>
          </w:p>
        </w:tc>
      </w:tr>
      <w:tr w:rsidR="00584EC1" w14:paraId="74DE1821"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4DE181D"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181E"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181F"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1820" w14:textId="77777777" w:rsidR="00584EC1" w:rsidRDefault="00584EC1">
            <w:pPr>
              <w:rPr>
                <w:rFonts w:ascii="宋体"/>
              </w:rPr>
            </w:pPr>
          </w:p>
        </w:tc>
      </w:tr>
    </w:tbl>
    <w:p w14:paraId="74DE1822" w14:textId="77777777" w:rsidR="00584EC1" w:rsidRDefault="00871F8D">
      <w:pPr>
        <w:spacing w:before="20"/>
        <w:jc w:val="both"/>
      </w:pPr>
      <w:r>
        <w:rPr>
          <w:rFonts w:ascii="Arial" w:eastAsia="宋体" w:hAnsi="Arial" w:cs="Arial"/>
          <w:color w:val="000000"/>
          <w:sz w:val="7"/>
          <w:szCs w:val="7"/>
        </w:rPr>
        <w:t xml:space="preserve">(1) </w:t>
      </w:r>
      <w:r>
        <w:rPr>
          <w:rFonts w:ascii="Arial" w:eastAsia="宋体" w:hAnsi="Arial" w:cs="Arial"/>
          <w:color w:val="000000"/>
          <w:sz w:val="12"/>
          <w:szCs w:val="12"/>
        </w:rPr>
        <w:t>Investment Management includes other revenue items that are primarily driven by equity market movements.</w:t>
      </w:r>
    </w:p>
    <w:p w14:paraId="74DE1823" w14:textId="77777777" w:rsidR="00584EC1" w:rsidRDefault="00871F8D">
      <w:pPr>
        <w:ind w:firstLine="450"/>
        <w:jc w:val="right"/>
      </w:pPr>
      <w:r>
        <w:rPr>
          <w:rFonts w:ascii="Arial" w:eastAsia="宋体" w:hAnsi="Arial" w:cs="Arial"/>
          <w:color w:val="000000"/>
          <w:sz w:val="18"/>
          <w:szCs w:val="18"/>
        </w:rPr>
        <w:t>State Street Corporation | 93</w:t>
      </w:r>
    </w:p>
    <w:p w14:paraId="74DE1824" w14:textId="77777777" w:rsidR="00584EC1" w:rsidRDefault="00584EC1">
      <w:pPr>
        <w:ind w:firstLine="450"/>
        <w:jc w:val="center"/>
      </w:pPr>
    </w:p>
    <w:p w14:paraId="74DE1825" w14:textId="77777777" w:rsidR="00584EC1" w:rsidRDefault="00871F8D">
      <w:r>
        <w:pict w14:anchorId="74DE2A4B">
          <v:rect id="_x0000_i1117" style="width:415.3pt;height:1.5pt" o:hralign="center" o:hrstd="t" o:hr="t" fillcolor="#a0a0a0" stroked="f"/>
        </w:pict>
      </w:r>
    </w:p>
    <w:p w14:paraId="74DE1826" w14:textId="77777777" w:rsidR="00584EC1" w:rsidRDefault="00871F8D">
      <w:pPr>
        <w:ind w:firstLine="450"/>
        <w:jc w:val="center"/>
      </w:pPr>
      <w:r>
        <w:rPr>
          <w:rFonts w:ascii="Arial" w:eastAsia="宋体" w:hAnsi="Arial" w:cs="Arial"/>
          <w:b/>
          <w:bCs/>
          <w:color w:val="000000"/>
          <w:sz w:val="20"/>
          <w:szCs w:val="20"/>
        </w:rPr>
        <w:t>STATE STREET CORPORATION</w:t>
      </w:r>
    </w:p>
    <w:p w14:paraId="74DE1827" w14:textId="77777777" w:rsidR="00584EC1" w:rsidRDefault="00871F8D">
      <w:pPr>
        <w:ind w:firstLine="450"/>
        <w:jc w:val="center"/>
      </w:pPr>
      <w:r>
        <w:rPr>
          <w:rFonts w:ascii="Arial" w:eastAsia="宋体" w:hAnsi="Arial" w:cs="Arial"/>
          <w:b/>
          <w:bCs/>
          <w:color w:val="000000"/>
          <w:sz w:val="20"/>
          <w:szCs w:val="20"/>
        </w:rPr>
        <w:t xml:space="preserve">CONDENSED NOTES TO CONSOLIDATED </w:t>
      </w:r>
      <w:r>
        <w:rPr>
          <w:rFonts w:ascii="Arial" w:eastAsia="宋体" w:hAnsi="Arial" w:cs="Arial"/>
          <w:b/>
          <w:bCs/>
          <w:color w:val="000000"/>
          <w:sz w:val="20"/>
          <w:szCs w:val="20"/>
        </w:rPr>
        <w:t>FINANCIAL STATEMENTS</w:t>
      </w:r>
    </w:p>
    <w:p w14:paraId="74DE1828" w14:textId="77777777" w:rsidR="00584EC1" w:rsidRDefault="00871F8D">
      <w:pPr>
        <w:ind w:firstLine="450"/>
        <w:jc w:val="center"/>
      </w:pPr>
      <w:r>
        <w:rPr>
          <w:rFonts w:ascii="Arial" w:eastAsia="宋体" w:hAnsi="Arial" w:cs="Arial"/>
          <w:b/>
          <w:bCs/>
          <w:color w:val="000000"/>
          <w:sz w:val="20"/>
          <w:szCs w:val="20"/>
        </w:rPr>
        <w:t>(UNAUDITED)</w:t>
      </w:r>
    </w:p>
    <w:p w14:paraId="74DE1829" w14:textId="77777777" w:rsidR="00584EC1" w:rsidRDefault="00871F8D">
      <w:pPr>
        <w:spacing w:before="180"/>
        <w:jc w:val="both"/>
      </w:pPr>
      <w:r>
        <w:rPr>
          <w:rFonts w:ascii="Arial" w:eastAsia="宋体" w:hAnsi="Arial" w:cs="Arial"/>
          <w:b/>
          <w:bCs/>
          <w:color w:val="000000"/>
          <w:sz w:val="20"/>
          <w:szCs w:val="20"/>
        </w:rPr>
        <w:t>Note 18.  Revenue from Contracts with Customers</w:t>
      </w:r>
    </w:p>
    <w:p w14:paraId="74DE182A" w14:textId="77777777" w:rsidR="00584EC1" w:rsidRDefault="00871F8D">
      <w:pPr>
        <w:spacing w:before="60"/>
        <w:ind w:firstLine="450"/>
        <w:jc w:val="both"/>
      </w:pPr>
      <w:r>
        <w:rPr>
          <w:rFonts w:ascii="Arial" w:eastAsia="宋体" w:hAnsi="Arial" w:cs="Arial"/>
          <w:color w:val="000000"/>
          <w:sz w:val="20"/>
          <w:szCs w:val="20"/>
        </w:rPr>
        <w:t>For additional information on the nature of services and our revenue from contracts with customers, including revenues associated with both our Investment Servicing and Invest</w:t>
      </w:r>
      <w:r>
        <w:rPr>
          <w:rFonts w:ascii="Arial" w:eastAsia="宋体" w:hAnsi="Arial" w:cs="Arial"/>
          <w:color w:val="000000"/>
          <w:sz w:val="20"/>
          <w:szCs w:val="20"/>
        </w:rPr>
        <w:t>ment Management lines of business, refer to pages 184 to 186 in Note 25 to the consolidated financial statements included under Item 8, Financial Statements and Supplementary Data, in our 2020 Form 10-K.</w:t>
      </w:r>
    </w:p>
    <w:p w14:paraId="74DE182B" w14:textId="77777777" w:rsidR="00584EC1" w:rsidRDefault="00871F8D">
      <w:pPr>
        <w:spacing w:before="60"/>
        <w:jc w:val="both"/>
      </w:pPr>
      <w:r>
        <w:rPr>
          <w:rFonts w:ascii="Arial" w:eastAsia="宋体" w:hAnsi="Arial" w:cs="Arial"/>
          <w:b/>
          <w:bCs/>
          <w:i/>
          <w:iCs/>
          <w:color w:val="000000"/>
          <w:sz w:val="20"/>
          <w:szCs w:val="20"/>
        </w:rPr>
        <w:t>Revenue by category</w:t>
      </w:r>
    </w:p>
    <w:p w14:paraId="74DE182C" w14:textId="77777777" w:rsidR="00584EC1" w:rsidRDefault="00871F8D">
      <w:pPr>
        <w:spacing w:before="60"/>
        <w:ind w:firstLine="450"/>
        <w:jc w:val="both"/>
      </w:pPr>
      <w:r>
        <w:rPr>
          <w:rFonts w:ascii="Arial" w:eastAsia="宋体" w:hAnsi="Arial" w:cs="Arial"/>
          <w:color w:val="000000"/>
          <w:sz w:val="20"/>
          <w:szCs w:val="20"/>
        </w:rPr>
        <w:t>In the following tables, revenue</w:t>
      </w:r>
      <w:r>
        <w:rPr>
          <w:rFonts w:ascii="Arial" w:eastAsia="宋体" w:hAnsi="Arial" w:cs="Arial"/>
          <w:color w:val="000000"/>
          <w:sz w:val="20"/>
          <w:szCs w:val="20"/>
        </w:rPr>
        <w:t xml:space="preserve"> is disaggregated by our two lines of business and by revenue stream for which the nature, amount, timing and uncertainty of revenue and cash flows are affected by economic factors.</w:t>
      </w:r>
    </w:p>
    <w:tbl>
      <w:tblPr>
        <w:tblW w:w="5000" w:type="pct"/>
        <w:tblCellMar>
          <w:top w:w="15" w:type="dxa"/>
          <w:left w:w="15" w:type="dxa"/>
          <w:bottom w:w="15" w:type="dxa"/>
          <w:right w:w="15" w:type="dxa"/>
        </w:tblCellMar>
        <w:tblLook w:val="04A0" w:firstRow="1" w:lastRow="0" w:firstColumn="1" w:lastColumn="0" w:noHBand="0" w:noVBand="1"/>
      </w:tblPr>
      <w:tblGrid>
        <w:gridCol w:w="40"/>
        <w:gridCol w:w="1806"/>
        <w:gridCol w:w="38"/>
        <w:gridCol w:w="88"/>
        <w:gridCol w:w="487"/>
        <w:gridCol w:w="36"/>
        <w:gridCol w:w="36"/>
        <w:gridCol w:w="36"/>
        <w:gridCol w:w="36"/>
        <w:gridCol w:w="88"/>
        <w:gridCol w:w="451"/>
        <w:gridCol w:w="36"/>
        <w:gridCol w:w="36"/>
        <w:gridCol w:w="36"/>
        <w:gridCol w:w="36"/>
        <w:gridCol w:w="87"/>
        <w:gridCol w:w="451"/>
        <w:gridCol w:w="36"/>
        <w:gridCol w:w="36"/>
        <w:gridCol w:w="36"/>
        <w:gridCol w:w="36"/>
        <w:gridCol w:w="88"/>
        <w:gridCol w:w="430"/>
        <w:gridCol w:w="36"/>
        <w:gridCol w:w="36"/>
        <w:gridCol w:w="36"/>
        <w:gridCol w:w="36"/>
        <w:gridCol w:w="88"/>
        <w:gridCol w:w="430"/>
        <w:gridCol w:w="36"/>
        <w:gridCol w:w="36"/>
        <w:gridCol w:w="36"/>
        <w:gridCol w:w="36"/>
        <w:gridCol w:w="87"/>
        <w:gridCol w:w="430"/>
        <w:gridCol w:w="36"/>
        <w:gridCol w:w="36"/>
        <w:gridCol w:w="36"/>
        <w:gridCol w:w="36"/>
        <w:gridCol w:w="88"/>
        <w:gridCol w:w="420"/>
        <w:gridCol w:w="36"/>
        <w:gridCol w:w="36"/>
        <w:gridCol w:w="36"/>
        <w:gridCol w:w="36"/>
        <w:gridCol w:w="88"/>
        <w:gridCol w:w="409"/>
        <w:gridCol w:w="36"/>
        <w:gridCol w:w="36"/>
        <w:gridCol w:w="36"/>
        <w:gridCol w:w="36"/>
        <w:gridCol w:w="88"/>
        <w:gridCol w:w="280"/>
        <w:gridCol w:w="36"/>
        <w:gridCol w:w="36"/>
        <w:gridCol w:w="36"/>
        <w:gridCol w:w="36"/>
        <w:gridCol w:w="87"/>
        <w:gridCol w:w="455"/>
        <w:gridCol w:w="36"/>
      </w:tblGrid>
      <w:tr w:rsidR="00584EC1" w14:paraId="74DE1869" w14:textId="77777777">
        <w:tc>
          <w:tcPr>
            <w:tcW w:w="50" w:type="pct"/>
            <w:shd w:val="clear" w:color="auto" w:fill="auto"/>
            <w:vAlign w:val="bottom"/>
          </w:tcPr>
          <w:p w14:paraId="74DE182D" w14:textId="77777777" w:rsidR="00584EC1" w:rsidRDefault="00584EC1">
            <w:pPr>
              <w:rPr>
                <w:rFonts w:ascii="宋体"/>
              </w:rPr>
            </w:pPr>
          </w:p>
        </w:tc>
        <w:tc>
          <w:tcPr>
            <w:tcW w:w="1107" w:type="pct"/>
            <w:shd w:val="clear" w:color="auto" w:fill="auto"/>
            <w:vAlign w:val="bottom"/>
          </w:tcPr>
          <w:p w14:paraId="74DE182E" w14:textId="77777777" w:rsidR="00584EC1" w:rsidRDefault="00584EC1">
            <w:pPr>
              <w:rPr>
                <w:rFonts w:ascii="宋体"/>
              </w:rPr>
            </w:pPr>
          </w:p>
        </w:tc>
        <w:tc>
          <w:tcPr>
            <w:tcW w:w="5" w:type="pct"/>
            <w:shd w:val="clear" w:color="auto" w:fill="auto"/>
            <w:vAlign w:val="bottom"/>
          </w:tcPr>
          <w:p w14:paraId="74DE182F" w14:textId="77777777" w:rsidR="00584EC1" w:rsidRDefault="00584EC1">
            <w:pPr>
              <w:rPr>
                <w:rFonts w:ascii="宋体"/>
              </w:rPr>
            </w:pPr>
          </w:p>
        </w:tc>
        <w:tc>
          <w:tcPr>
            <w:tcW w:w="50" w:type="pct"/>
            <w:shd w:val="clear" w:color="auto" w:fill="auto"/>
            <w:vAlign w:val="bottom"/>
          </w:tcPr>
          <w:p w14:paraId="74DE1830" w14:textId="77777777" w:rsidR="00584EC1" w:rsidRDefault="00584EC1">
            <w:pPr>
              <w:rPr>
                <w:rFonts w:ascii="宋体"/>
              </w:rPr>
            </w:pPr>
          </w:p>
        </w:tc>
        <w:tc>
          <w:tcPr>
            <w:tcW w:w="317" w:type="pct"/>
            <w:shd w:val="clear" w:color="auto" w:fill="auto"/>
            <w:vAlign w:val="bottom"/>
          </w:tcPr>
          <w:p w14:paraId="74DE1831" w14:textId="77777777" w:rsidR="00584EC1" w:rsidRDefault="00584EC1">
            <w:pPr>
              <w:rPr>
                <w:rFonts w:ascii="宋体"/>
              </w:rPr>
            </w:pPr>
          </w:p>
        </w:tc>
        <w:tc>
          <w:tcPr>
            <w:tcW w:w="5" w:type="pct"/>
            <w:shd w:val="clear" w:color="auto" w:fill="auto"/>
            <w:vAlign w:val="bottom"/>
          </w:tcPr>
          <w:p w14:paraId="74DE1832" w14:textId="77777777" w:rsidR="00584EC1" w:rsidRDefault="00584EC1">
            <w:pPr>
              <w:rPr>
                <w:rFonts w:ascii="宋体"/>
              </w:rPr>
            </w:pPr>
          </w:p>
        </w:tc>
        <w:tc>
          <w:tcPr>
            <w:tcW w:w="5" w:type="pct"/>
            <w:shd w:val="clear" w:color="auto" w:fill="auto"/>
            <w:vAlign w:val="bottom"/>
          </w:tcPr>
          <w:p w14:paraId="74DE1833" w14:textId="77777777" w:rsidR="00584EC1" w:rsidRDefault="00584EC1">
            <w:pPr>
              <w:rPr>
                <w:rFonts w:ascii="宋体"/>
              </w:rPr>
            </w:pPr>
          </w:p>
        </w:tc>
        <w:tc>
          <w:tcPr>
            <w:tcW w:w="26" w:type="pct"/>
            <w:shd w:val="clear" w:color="auto" w:fill="auto"/>
            <w:vAlign w:val="bottom"/>
          </w:tcPr>
          <w:p w14:paraId="74DE1834" w14:textId="77777777" w:rsidR="00584EC1" w:rsidRDefault="00584EC1">
            <w:pPr>
              <w:rPr>
                <w:rFonts w:ascii="宋体"/>
              </w:rPr>
            </w:pPr>
          </w:p>
        </w:tc>
        <w:tc>
          <w:tcPr>
            <w:tcW w:w="5" w:type="pct"/>
            <w:shd w:val="clear" w:color="auto" w:fill="auto"/>
            <w:vAlign w:val="bottom"/>
          </w:tcPr>
          <w:p w14:paraId="74DE1835" w14:textId="77777777" w:rsidR="00584EC1" w:rsidRDefault="00584EC1">
            <w:pPr>
              <w:rPr>
                <w:rFonts w:ascii="宋体"/>
              </w:rPr>
            </w:pPr>
          </w:p>
        </w:tc>
        <w:tc>
          <w:tcPr>
            <w:tcW w:w="50" w:type="pct"/>
            <w:shd w:val="clear" w:color="auto" w:fill="auto"/>
            <w:vAlign w:val="bottom"/>
          </w:tcPr>
          <w:p w14:paraId="74DE1836" w14:textId="77777777" w:rsidR="00584EC1" w:rsidRDefault="00584EC1">
            <w:pPr>
              <w:rPr>
                <w:rFonts w:ascii="宋体"/>
              </w:rPr>
            </w:pPr>
          </w:p>
        </w:tc>
        <w:tc>
          <w:tcPr>
            <w:tcW w:w="317" w:type="pct"/>
            <w:shd w:val="clear" w:color="auto" w:fill="auto"/>
            <w:vAlign w:val="bottom"/>
          </w:tcPr>
          <w:p w14:paraId="74DE1837" w14:textId="77777777" w:rsidR="00584EC1" w:rsidRDefault="00584EC1">
            <w:pPr>
              <w:rPr>
                <w:rFonts w:ascii="宋体"/>
              </w:rPr>
            </w:pPr>
          </w:p>
        </w:tc>
        <w:tc>
          <w:tcPr>
            <w:tcW w:w="5" w:type="pct"/>
            <w:shd w:val="clear" w:color="auto" w:fill="auto"/>
            <w:vAlign w:val="bottom"/>
          </w:tcPr>
          <w:p w14:paraId="74DE1838" w14:textId="77777777" w:rsidR="00584EC1" w:rsidRDefault="00584EC1">
            <w:pPr>
              <w:rPr>
                <w:rFonts w:ascii="宋体"/>
              </w:rPr>
            </w:pPr>
          </w:p>
        </w:tc>
        <w:tc>
          <w:tcPr>
            <w:tcW w:w="5" w:type="pct"/>
            <w:shd w:val="clear" w:color="auto" w:fill="auto"/>
            <w:vAlign w:val="bottom"/>
          </w:tcPr>
          <w:p w14:paraId="74DE1839" w14:textId="77777777" w:rsidR="00584EC1" w:rsidRDefault="00584EC1">
            <w:pPr>
              <w:rPr>
                <w:rFonts w:ascii="宋体"/>
              </w:rPr>
            </w:pPr>
          </w:p>
        </w:tc>
        <w:tc>
          <w:tcPr>
            <w:tcW w:w="26" w:type="pct"/>
            <w:shd w:val="clear" w:color="auto" w:fill="auto"/>
            <w:vAlign w:val="bottom"/>
          </w:tcPr>
          <w:p w14:paraId="74DE183A" w14:textId="77777777" w:rsidR="00584EC1" w:rsidRDefault="00584EC1">
            <w:pPr>
              <w:rPr>
                <w:rFonts w:ascii="宋体"/>
              </w:rPr>
            </w:pPr>
          </w:p>
        </w:tc>
        <w:tc>
          <w:tcPr>
            <w:tcW w:w="5" w:type="pct"/>
            <w:shd w:val="clear" w:color="auto" w:fill="auto"/>
            <w:vAlign w:val="bottom"/>
          </w:tcPr>
          <w:p w14:paraId="74DE183B" w14:textId="77777777" w:rsidR="00584EC1" w:rsidRDefault="00584EC1">
            <w:pPr>
              <w:rPr>
                <w:rFonts w:ascii="宋体"/>
              </w:rPr>
            </w:pPr>
          </w:p>
        </w:tc>
        <w:tc>
          <w:tcPr>
            <w:tcW w:w="50" w:type="pct"/>
            <w:shd w:val="clear" w:color="auto" w:fill="auto"/>
            <w:vAlign w:val="bottom"/>
          </w:tcPr>
          <w:p w14:paraId="74DE183C" w14:textId="77777777" w:rsidR="00584EC1" w:rsidRDefault="00584EC1">
            <w:pPr>
              <w:rPr>
                <w:rFonts w:ascii="宋体"/>
              </w:rPr>
            </w:pPr>
          </w:p>
        </w:tc>
        <w:tc>
          <w:tcPr>
            <w:tcW w:w="317" w:type="pct"/>
            <w:shd w:val="clear" w:color="auto" w:fill="auto"/>
            <w:vAlign w:val="bottom"/>
          </w:tcPr>
          <w:p w14:paraId="74DE183D" w14:textId="77777777" w:rsidR="00584EC1" w:rsidRDefault="00584EC1">
            <w:pPr>
              <w:rPr>
                <w:rFonts w:ascii="宋体"/>
              </w:rPr>
            </w:pPr>
          </w:p>
        </w:tc>
        <w:tc>
          <w:tcPr>
            <w:tcW w:w="5" w:type="pct"/>
            <w:shd w:val="clear" w:color="auto" w:fill="auto"/>
            <w:vAlign w:val="bottom"/>
          </w:tcPr>
          <w:p w14:paraId="74DE183E" w14:textId="77777777" w:rsidR="00584EC1" w:rsidRDefault="00584EC1">
            <w:pPr>
              <w:rPr>
                <w:rFonts w:ascii="宋体"/>
              </w:rPr>
            </w:pPr>
          </w:p>
        </w:tc>
        <w:tc>
          <w:tcPr>
            <w:tcW w:w="5" w:type="pct"/>
            <w:shd w:val="clear" w:color="auto" w:fill="auto"/>
            <w:vAlign w:val="bottom"/>
          </w:tcPr>
          <w:p w14:paraId="74DE183F" w14:textId="77777777" w:rsidR="00584EC1" w:rsidRDefault="00584EC1">
            <w:pPr>
              <w:rPr>
                <w:rFonts w:ascii="宋体"/>
              </w:rPr>
            </w:pPr>
          </w:p>
        </w:tc>
        <w:tc>
          <w:tcPr>
            <w:tcW w:w="26" w:type="pct"/>
            <w:shd w:val="clear" w:color="auto" w:fill="auto"/>
            <w:vAlign w:val="bottom"/>
          </w:tcPr>
          <w:p w14:paraId="74DE1840" w14:textId="77777777" w:rsidR="00584EC1" w:rsidRDefault="00584EC1">
            <w:pPr>
              <w:rPr>
                <w:rFonts w:ascii="宋体"/>
              </w:rPr>
            </w:pPr>
          </w:p>
        </w:tc>
        <w:tc>
          <w:tcPr>
            <w:tcW w:w="5" w:type="pct"/>
            <w:shd w:val="clear" w:color="auto" w:fill="auto"/>
            <w:vAlign w:val="bottom"/>
          </w:tcPr>
          <w:p w14:paraId="74DE1841" w14:textId="77777777" w:rsidR="00584EC1" w:rsidRDefault="00584EC1">
            <w:pPr>
              <w:rPr>
                <w:rFonts w:ascii="宋体"/>
              </w:rPr>
            </w:pPr>
          </w:p>
        </w:tc>
        <w:tc>
          <w:tcPr>
            <w:tcW w:w="50" w:type="pct"/>
            <w:shd w:val="clear" w:color="auto" w:fill="auto"/>
            <w:vAlign w:val="bottom"/>
          </w:tcPr>
          <w:p w14:paraId="74DE1842" w14:textId="77777777" w:rsidR="00584EC1" w:rsidRDefault="00584EC1">
            <w:pPr>
              <w:rPr>
                <w:rFonts w:ascii="宋体"/>
              </w:rPr>
            </w:pPr>
          </w:p>
        </w:tc>
        <w:tc>
          <w:tcPr>
            <w:tcW w:w="303" w:type="pct"/>
            <w:shd w:val="clear" w:color="auto" w:fill="auto"/>
            <w:vAlign w:val="bottom"/>
          </w:tcPr>
          <w:p w14:paraId="74DE1843" w14:textId="77777777" w:rsidR="00584EC1" w:rsidRDefault="00584EC1">
            <w:pPr>
              <w:rPr>
                <w:rFonts w:ascii="宋体"/>
              </w:rPr>
            </w:pPr>
          </w:p>
        </w:tc>
        <w:tc>
          <w:tcPr>
            <w:tcW w:w="5" w:type="pct"/>
            <w:shd w:val="clear" w:color="auto" w:fill="auto"/>
            <w:vAlign w:val="bottom"/>
          </w:tcPr>
          <w:p w14:paraId="74DE1844" w14:textId="77777777" w:rsidR="00584EC1" w:rsidRDefault="00584EC1">
            <w:pPr>
              <w:rPr>
                <w:rFonts w:ascii="宋体"/>
              </w:rPr>
            </w:pPr>
          </w:p>
        </w:tc>
        <w:tc>
          <w:tcPr>
            <w:tcW w:w="5" w:type="pct"/>
            <w:shd w:val="clear" w:color="auto" w:fill="auto"/>
            <w:vAlign w:val="bottom"/>
          </w:tcPr>
          <w:p w14:paraId="74DE1845" w14:textId="77777777" w:rsidR="00584EC1" w:rsidRDefault="00584EC1">
            <w:pPr>
              <w:rPr>
                <w:rFonts w:ascii="宋体"/>
              </w:rPr>
            </w:pPr>
          </w:p>
        </w:tc>
        <w:tc>
          <w:tcPr>
            <w:tcW w:w="26" w:type="pct"/>
            <w:shd w:val="clear" w:color="auto" w:fill="auto"/>
            <w:vAlign w:val="bottom"/>
          </w:tcPr>
          <w:p w14:paraId="74DE1846" w14:textId="77777777" w:rsidR="00584EC1" w:rsidRDefault="00584EC1">
            <w:pPr>
              <w:rPr>
                <w:rFonts w:ascii="宋体"/>
              </w:rPr>
            </w:pPr>
          </w:p>
        </w:tc>
        <w:tc>
          <w:tcPr>
            <w:tcW w:w="5" w:type="pct"/>
            <w:shd w:val="clear" w:color="auto" w:fill="auto"/>
            <w:vAlign w:val="bottom"/>
          </w:tcPr>
          <w:p w14:paraId="74DE1847" w14:textId="77777777" w:rsidR="00584EC1" w:rsidRDefault="00584EC1">
            <w:pPr>
              <w:rPr>
                <w:rFonts w:ascii="宋体"/>
              </w:rPr>
            </w:pPr>
          </w:p>
        </w:tc>
        <w:tc>
          <w:tcPr>
            <w:tcW w:w="50" w:type="pct"/>
            <w:shd w:val="clear" w:color="auto" w:fill="auto"/>
            <w:vAlign w:val="bottom"/>
          </w:tcPr>
          <w:p w14:paraId="74DE1848" w14:textId="77777777" w:rsidR="00584EC1" w:rsidRDefault="00584EC1">
            <w:pPr>
              <w:rPr>
                <w:rFonts w:ascii="宋体"/>
              </w:rPr>
            </w:pPr>
          </w:p>
        </w:tc>
        <w:tc>
          <w:tcPr>
            <w:tcW w:w="303" w:type="pct"/>
            <w:shd w:val="clear" w:color="auto" w:fill="auto"/>
            <w:vAlign w:val="bottom"/>
          </w:tcPr>
          <w:p w14:paraId="74DE1849" w14:textId="77777777" w:rsidR="00584EC1" w:rsidRDefault="00584EC1">
            <w:pPr>
              <w:rPr>
                <w:rFonts w:ascii="宋体"/>
              </w:rPr>
            </w:pPr>
          </w:p>
        </w:tc>
        <w:tc>
          <w:tcPr>
            <w:tcW w:w="5" w:type="pct"/>
            <w:shd w:val="clear" w:color="auto" w:fill="auto"/>
            <w:vAlign w:val="bottom"/>
          </w:tcPr>
          <w:p w14:paraId="74DE184A" w14:textId="77777777" w:rsidR="00584EC1" w:rsidRDefault="00584EC1">
            <w:pPr>
              <w:rPr>
                <w:rFonts w:ascii="宋体"/>
              </w:rPr>
            </w:pPr>
          </w:p>
        </w:tc>
        <w:tc>
          <w:tcPr>
            <w:tcW w:w="5" w:type="pct"/>
            <w:shd w:val="clear" w:color="auto" w:fill="auto"/>
            <w:vAlign w:val="bottom"/>
          </w:tcPr>
          <w:p w14:paraId="74DE184B" w14:textId="77777777" w:rsidR="00584EC1" w:rsidRDefault="00584EC1">
            <w:pPr>
              <w:rPr>
                <w:rFonts w:ascii="宋体"/>
              </w:rPr>
            </w:pPr>
          </w:p>
        </w:tc>
        <w:tc>
          <w:tcPr>
            <w:tcW w:w="26" w:type="pct"/>
            <w:shd w:val="clear" w:color="auto" w:fill="auto"/>
            <w:vAlign w:val="bottom"/>
          </w:tcPr>
          <w:p w14:paraId="74DE184C" w14:textId="77777777" w:rsidR="00584EC1" w:rsidRDefault="00584EC1">
            <w:pPr>
              <w:rPr>
                <w:rFonts w:ascii="宋体"/>
              </w:rPr>
            </w:pPr>
          </w:p>
        </w:tc>
        <w:tc>
          <w:tcPr>
            <w:tcW w:w="5" w:type="pct"/>
            <w:shd w:val="clear" w:color="auto" w:fill="auto"/>
            <w:vAlign w:val="bottom"/>
          </w:tcPr>
          <w:p w14:paraId="74DE184D" w14:textId="77777777" w:rsidR="00584EC1" w:rsidRDefault="00584EC1">
            <w:pPr>
              <w:rPr>
                <w:rFonts w:ascii="宋体"/>
              </w:rPr>
            </w:pPr>
          </w:p>
        </w:tc>
        <w:tc>
          <w:tcPr>
            <w:tcW w:w="50" w:type="pct"/>
            <w:shd w:val="clear" w:color="auto" w:fill="auto"/>
            <w:vAlign w:val="bottom"/>
          </w:tcPr>
          <w:p w14:paraId="74DE184E" w14:textId="77777777" w:rsidR="00584EC1" w:rsidRDefault="00584EC1">
            <w:pPr>
              <w:rPr>
                <w:rFonts w:ascii="宋体"/>
              </w:rPr>
            </w:pPr>
          </w:p>
        </w:tc>
        <w:tc>
          <w:tcPr>
            <w:tcW w:w="303" w:type="pct"/>
            <w:shd w:val="clear" w:color="auto" w:fill="auto"/>
            <w:vAlign w:val="bottom"/>
          </w:tcPr>
          <w:p w14:paraId="74DE184F" w14:textId="77777777" w:rsidR="00584EC1" w:rsidRDefault="00584EC1">
            <w:pPr>
              <w:rPr>
                <w:rFonts w:ascii="宋体"/>
              </w:rPr>
            </w:pPr>
          </w:p>
        </w:tc>
        <w:tc>
          <w:tcPr>
            <w:tcW w:w="5" w:type="pct"/>
            <w:shd w:val="clear" w:color="auto" w:fill="auto"/>
            <w:vAlign w:val="bottom"/>
          </w:tcPr>
          <w:p w14:paraId="74DE1850" w14:textId="77777777" w:rsidR="00584EC1" w:rsidRDefault="00584EC1">
            <w:pPr>
              <w:rPr>
                <w:rFonts w:ascii="宋体"/>
              </w:rPr>
            </w:pPr>
          </w:p>
        </w:tc>
        <w:tc>
          <w:tcPr>
            <w:tcW w:w="5" w:type="pct"/>
            <w:shd w:val="clear" w:color="auto" w:fill="auto"/>
            <w:vAlign w:val="bottom"/>
          </w:tcPr>
          <w:p w14:paraId="74DE1851" w14:textId="77777777" w:rsidR="00584EC1" w:rsidRDefault="00584EC1">
            <w:pPr>
              <w:rPr>
                <w:rFonts w:ascii="宋体"/>
              </w:rPr>
            </w:pPr>
          </w:p>
        </w:tc>
        <w:tc>
          <w:tcPr>
            <w:tcW w:w="26" w:type="pct"/>
            <w:shd w:val="clear" w:color="auto" w:fill="auto"/>
            <w:vAlign w:val="bottom"/>
          </w:tcPr>
          <w:p w14:paraId="74DE1852" w14:textId="77777777" w:rsidR="00584EC1" w:rsidRDefault="00584EC1">
            <w:pPr>
              <w:rPr>
                <w:rFonts w:ascii="宋体"/>
              </w:rPr>
            </w:pPr>
          </w:p>
        </w:tc>
        <w:tc>
          <w:tcPr>
            <w:tcW w:w="5" w:type="pct"/>
            <w:shd w:val="clear" w:color="auto" w:fill="auto"/>
            <w:vAlign w:val="bottom"/>
          </w:tcPr>
          <w:p w14:paraId="74DE1853" w14:textId="77777777" w:rsidR="00584EC1" w:rsidRDefault="00584EC1">
            <w:pPr>
              <w:rPr>
                <w:rFonts w:ascii="宋体"/>
              </w:rPr>
            </w:pPr>
          </w:p>
        </w:tc>
        <w:tc>
          <w:tcPr>
            <w:tcW w:w="50" w:type="pct"/>
            <w:shd w:val="clear" w:color="auto" w:fill="auto"/>
            <w:vAlign w:val="bottom"/>
          </w:tcPr>
          <w:p w14:paraId="74DE1854" w14:textId="77777777" w:rsidR="00584EC1" w:rsidRDefault="00584EC1">
            <w:pPr>
              <w:rPr>
                <w:rFonts w:ascii="宋体"/>
              </w:rPr>
            </w:pPr>
          </w:p>
        </w:tc>
        <w:tc>
          <w:tcPr>
            <w:tcW w:w="288" w:type="pct"/>
            <w:shd w:val="clear" w:color="auto" w:fill="auto"/>
            <w:vAlign w:val="bottom"/>
          </w:tcPr>
          <w:p w14:paraId="74DE1855" w14:textId="77777777" w:rsidR="00584EC1" w:rsidRDefault="00584EC1">
            <w:pPr>
              <w:rPr>
                <w:rFonts w:ascii="宋体"/>
              </w:rPr>
            </w:pPr>
          </w:p>
        </w:tc>
        <w:tc>
          <w:tcPr>
            <w:tcW w:w="5" w:type="pct"/>
            <w:shd w:val="clear" w:color="auto" w:fill="auto"/>
            <w:vAlign w:val="bottom"/>
          </w:tcPr>
          <w:p w14:paraId="74DE1856" w14:textId="77777777" w:rsidR="00584EC1" w:rsidRDefault="00584EC1">
            <w:pPr>
              <w:rPr>
                <w:rFonts w:ascii="宋体"/>
              </w:rPr>
            </w:pPr>
          </w:p>
        </w:tc>
        <w:tc>
          <w:tcPr>
            <w:tcW w:w="5" w:type="pct"/>
            <w:shd w:val="clear" w:color="auto" w:fill="auto"/>
            <w:vAlign w:val="bottom"/>
          </w:tcPr>
          <w:p w14:paraId="74DE1857" w14:textId="77777777" w:rsidR="00584EC1" w:rsidRDefault="00584EC1">
            <w:pPr>
              <w:rPr>
                <w:rFonts w:ascii="宋体"/>
              </w:rPr>
            </w:pPr>
          </w:p>
        </w:tc>
        <w:tc>
          <w:tcPr>
            <w:tcW w:w="26" w:type="pct"/>
            <w:shd w:val="clear" w:color="auto" w:fill="auto"/>
            <w:vAlign w:val="bottom"/>
          </w:tcPr>
          <w:p w14:paraId="74DE1858" w14:textId="77777777" w:rsidR="00584EC1" w:rsidRDefault="00584EC1">
            <w:pPr>
              <w:rPr>
                <w:rFonts w:ascii="宋体"/>
              </w:rPr>
            </w:pPr>
          </w:p>
        </w:tc>
        <w:tc>
          <w:tcPr>
            <w:tcW w:w="5" w:type="pct"/>
            <w:shd w:val="clear" w:color="auto" w:fill="auto"/>
            <w:vAlign w:val="bottom"/>
          </w:tcPr>
          <w:p w14:paraId="74DE1859" w14:textId="77777777" w:rsidR="00584EC1" w:rsidRDefault="00584EC1">
            <w:pPr>
              <w:rPr>
                <w:rFonts w:ascii="宋体"/>
              </w:rPr>
            </w:pPr>
          </w:p>
        </w:tc>
        <w:tc>
          <w:tcPr>
            <w:tcW w:w="50" w:type="pct"/>
            <w:shd w:val="clear" w:color="auto" w:fill="auto"/>
            <w:vAlign w:val="bottom"/>
          </w:tcPr>
          <w:p w14:paraId="74DE185A" w14:textId="77777777" w:rsidR="00584EC1" w:rsidRDefault="00584EC1">
            <w:pPr>
              <w:rPr>
                <w:rFonts w:ascii="宋体"/>
              </w:rPr>
            </w:pPr>
          </w:p>
        </w:tc>
        <w:tc>
          <w:tcPr>
            <w:tcW w:w="244" w:type="pct"/>
            <w:shd w:val="clear" w:color="auto" w:fill="auto"/>
            <w:vAlign w:val="bottom"/>
          </w:tcPr>
          <w:p w14:paraId="74DE185B" w14:textId="77777777" w:rsidR="00584EC1" w:rsidRDefault="00584EC1">
            <w:pPr>
              <w:rPr>
                <w:rFonts w:ascii="宋体"/>
              </w:rPr>
            </w:pPr>
          </w:p>
        </w:tc>
        <w:tc>
          <w:tcPr>
            <w:tcW w:w="5" w:type="pct"/>
            <w:shd w:val="clear" w:color="auto" w:fill="auto"/>
            <w:vAlign w:val="bottom"/>
          </w:tcPr>
          <w:p w14:paraId="74DE185C" w14:textId="77777777" w:rsidR="00584EC1" w:rsidRDefault="00584EC1">
            <w:pPr>
              <w:rPr>
                <w:rFonts w:ascii="宋体"/>
              </w:rPr>
            </w:pPr>
          </w:p>
        </w:tc>
        <w:tc>
          <w:tcPr>
            <w:tcW w:w="5" w:type="pct"/>
            <w:shd w:val="clear" w:color="auto" w:fill="auto"/>
            <w:vAlign w:val="bottom"/>
          </w:tcPr>
          <w:p w14:paraId="74DE185D" w14:textId="77777777" w:rsidR="00584EC1" w:rsidRDefault="00584EC1">
            <w:pPr>
              <w:rPr>
                <w:rFonts w:ascii="宋体"/>
              </w:rPr>
            </w:pPr>
          </w:p>
        </w:tc>
        <w:tc>
          <w:tcPr>
            <w:tcW w:w="26" w:type="pct"/>
            <w:shd w:val="clear" w:color="auto" w:fill="auto"/>
            <w:vAlign w:val="bottom"/>
          </w:tcPr>
          <w:p w14:paraId="74DE185E" w14:textId="77777777" w:rsidR="00584EC1" w:rsidRDefault="00584EC1">
            <w:pPr>
              <w:rPr>
                <w:rFonts w:ascii="宋体"/>
              </w:rPr>
            </w:pPr>
          </w:p>
        </w:tc>
        <w:tc>
          <w:tcPr>
            <w:tcW w:w="5" w:type="pct"/>
            <w:shd w:val="clear" w:color="auto" w:fill="auto"/>
            <w:vAlign w:val="bottom"/>
          </w:tcPr>
          <w:p w14:paraId="74DE185F" w14:textId="77777777" w:rsidR="00584EC1" w:rsidRDefault="00584EC1">
            <w:pPr>
              <w:rPr>
                <w:rFonts w:ascii="宋体"/>
              </w:rPr>
            </w:pPr>
          </w:p>
        </w:tc>
        <w:tc>
          <w:tcPr>
            <w:tcW w:w="50" w:type="pct"/>
            <w:shd w:val="clear" w:color="auto" w:fill="auto"/>
            <w:vAlign w:val="bottom"/>
          </w:tcPr>
          <w:p w14:paraId="74DE1860" w14:textId="77777777" w:rsidR="00584EC1" w:rsidRDefault="00584EC1">
            <w:pPr>
              <w:rPr>
                <w:rFonts w:ascii="宋体"/>
              </w:rPr>
            </w:pPr>
          </w:p>
        </w:tc>
        <w:tc>
          <w:tcPr>
            <w:tcW w:w="244" w:type="pct"/>
            <w:shd w:val="clear" w:color="auto" w:fill="auto"/>
            <w:vAlign w:val="bottom"/>
          </w:tcPr>
          <w:p w14:paraId="74DE1861" w14:textId="77777777" w:rsidR="00584EC1" w:rsidRDefault="00584EC1">
            <w:pPr>
              <w:rPr>
                <w:rFonts w:ascii="宋体"/>
              </w:rPr>
            </w:pPr>
          </w:p>
        </w:tc>
        <w:tc>
          <w:tcPr>
            <w:tcW w:w="5" w:type="pct"/>
            <w:shd w:val="clear" w:color="auto" w:fill="auto"/>
            <w:vAlign w:val="bottom"/>
          </w:tcPr>
          <w:p w14:paraId="74DE1862" w14:textId="77777777" w:rsidR="00584EC1" w:rsidRDefault="00584EC1">
            <w:pPr>
              <w:rPr>
                <w:rFonts w:ascii="宋体"/>
              </w:rPr>
            </w:pPr>
          </w:p>
        </w:tc>
        <w:tc>
          <w:tcPr>
            <w:tcW w:w="5" w:type="pct"/>
            <w:shd w:val="clear" w:color="auto" w:fill="auto"/>
            <w:vAlign w:val="bottom"/>
          </w:tcPr>
          <w:p w14:paraId="74DE1863" w14:textId="77777777" w:rsidR="00584EC1" w:rsidRDefault="00584EC1">
            <w:pPr>
              <w:rPr>
                <w:rFonts w:ascii="宋体"/>
              </w:rPr>
            </w:pPr>
          </w:p>
        </w:tc>
        <w:tc>
          <w:tcPr>
            <w:tcW w:w="26" w:type="pct"/>
            <w:shd w:val="clear" w:color="auto" w:fill="auto"/>
            <w:vAlign w:val="bottom"/>
          </w:tcPr>
          <w:p w14:paraId="74DE1864" w14:textId="77777777" w:rsidR="00584EC1" w:rsidRDefault="00584EC1">
            <w:pPr>
              <w:rPr>
                <w:rFonts w:ascii="宋体"/>
              </w:rPr>
            </w:pPr>
          </w:p>
        </w:tc>
        <w:tc>
          <w:tcPr>
            <w:tcW w:w="5" w:type="pct"/>
            <w:shd w:val="clear" w:color="auto" w:fill="auto"/>
            <w:vAlign w:val="bottom"/>
          </w:tcPr>
          <w:p w14:paraId="74DE1865" w14:textId="77777777" w:rsidR="00584EC1" w:rsidRDefault="00584EC1">
            <w:pPr>
              <w:rPr>
                <w:rFonts w:ascii="宋体"/>
              </w:rPr>
            </w:pPr>
          </w:p>
        </w:tc>
        <w:tc>
          <w:tcPr>
            <w:tcW w:w="50" w:type="pct"/>
            <w:shd w:val="clear" w:color="auto" w:fill="auto"/>
            <w:vAlign w:val="bottom"/>
          </w:tcPr>
          <w:p w14:paraId="74DE1866" w14:textId="77777777" w:rsidR="00584EC1" w:rsidRDefault="00584EC1">
            <w:pPr>
              <w:rPr>
                <w:rFonts w:ascii="宋体"/>
              </w:rPr>
            </w:pPr>
          </w:p>
        </w:tc>
        <w:tc>
          <w:tcPr>
            <w:tcW w:w="318" w:type="pct"/>
            <w:shd w:val="clear" w:color="auto" w:fill="auto"/>
            <w:vAlign w:val="bottom"/>
          </w:tcPr>
          <w:p w14:paraId="74DE1867" w14:textId="77777777" w:rsidR="00584EC1" w:rsidRDefault="00584EC1">
            <w:pPr>
              <w:rPr>
                <w:rFonts w:ascii="宋体"/>
              </w:rPr>
            </w:pPr>
          </w:p>
        </w:tc>
        <w:tc>
          <w:tcPr>
            <w:tcW w:w="5" w:type="pct"/>
            <w:shd w:val="clear" w:color="auto" w:fill="auto"/>
            <w:vAlign w:val="bottom"/>
          </w:tcPr>
          <w:p w14:paraId="74DE1868" w14:textId="77777777" w:rsidR="00584EC1" w:rsidRDefault="00584EC1">
            <w:pPr>
              <w:rPr>
                <w:rFonts w:ascii="宋体"/>
              </w:rPr>
            </w:pPr>
          </w:p>
        </w:tc>
      </w:tr>
      <w:tr w:rsidR="00584EC1" w14:paraId="74DE186C" w14:textId="77777777">
        <w:tc>
          <w:tcPr>
            <w:tcW w:w="0" w:type="auto"/>
            <w:gridSpan w:val="3"/>
            <w:shd w:val="clear" w:color="auto" w:fill="auto"/>
            <w:tcMar>
              <w:top w:w="0" w:type="dxa"/>
              <w:left w:w="20" w:type="dxa"/>
              <w:bottom w:w="0" w:type="dxa"/>
              <w:right w:w="20" w:type="dxa"/>
            </w:tcMar>
            <w:vAlign w:val="bottom"/>
          </w:tcPr>
          <w:p w14:paraId="74DE186A" w14:textId="77777777" w:rsidR="00584EC1" w:rsidRDefault="00584EC1">
            <w:pPr>
              <w:rPr>
                <w:rFonts w:ascii="宋体"/>
              </w:rPr>
            </w:pPr>
          </w:p>
        </w:tc>
        <w:tc>
          <w:tcPr>
            <w:tcW w:w="0" w:type="auto"/>
            <w:gridSpan w:val="57"/>
            <w:shd w:val="clear" w:color="auto" w:fill="auto"/>
            <w:tcMar>
              <w:top w:w="40" w:type="dxa"/>
              <w:left w:w="20" w:type="dxa"/>
              <w:bottom w:w="40" w:type="dxa"/>
              <w:right w:w="20" w:type="dxa"/>
            </w:tcMar>
            <w:vAlign w:val="bottom"/>
          </w:tcPr>
          <w:p w14:paraId="74DE186B" w14:textId="77777777" w:rsidR="00584EC1" w:rsidRDefault="00871F8D">
            <w:pPr>
              <w:jc w:val="center"/>
              <w:textAlignment w:val="bottom"/>
            </w:pPr>
            <w:r>
              <w:rPr>
                <w:rFonts w:ascii="Arial" w:eastAsia="宋体" w:hAnsi="Arial" w:cs="Arial"/>
                <w:b/>
                <w:bCs/>
                <w:color w:val="000000"/>
                <w:sz w:val="12"/>
                <w:szCs w:val="12"/>
              </w:rPr>
              <w:t>Three Months Ended September 30, 2021</w:t>
            </w:r>
          </w:p>
        </w:tc>
      </w:tr>
      <w:tr w:rsidR="00584EC1" w14:paraId="74DE1875" w14:textId="77777777">
        <w:tc>
          <w:tcPr>
            <w:tcW w:w="0" w:type="auto"/>
            <w:gridSpan w:val="3"/>
            <w:shd w:val="clear" w:color="auto" w:fill="auto"/>
            <w:tcMar>
              <w:top w:w="0" w:type="dxa"/>
              <w:left w:w="20" w:type="dxa"/>
              <w:bottom w:w="0" w:type="dxa"/>
              <w:right w:w="20" w:type="dxa"/>
            </w:tcMar>
            <w:vAlign w:val="bottom"/>
          </w:tcPr>
          <w:p w14:paraId="74DE186D" w14:textId="77777777" w:rsidR="00584EC1" w:rsidRDefault="00584EC1">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4DE186E" w14:textId="77777777" w:rsidR="00584EC1" w:rsidRDefault="00871F8D">
            <w:pPr>
              <w:jc w:val="center"/>
              <w:textAlignment w:val="bottom"/>
            </w:pPr>
            <w:r>
              <w:rPr>
                <w:rFonts w:ascii="Arial" w:eastAsia="宋体" w:hAnsi="Arial" w:cs="Arial"/>
                <w:b/>
                <w:bCs/>
                <w:color w:val="000000"/>
                <w:sz w:val="12"/>
                <w:szCs w:val="12"/>
              </w:rPr>
              <w:t>Investment Servicing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186F" w14:textId="77777777" w:rsidR="00584EC1" w:rsidRDefault="00584EC1">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4DE1870" w14:textId="77777777" w:rsidR="00584EC1" w:rsidRDefault="00871F8D">
            <w:pPr>
              <w:jc w:val="center"/>
              <w:textAlignment w:val="bottom"/>
            </w:pPr>
            <w:r>
              <w:rPr>
                <w:rFonts w:ascii="Arial" w:eastAsia="宋体" w:hAnsi="Arial" w:cs="Arial"/>
                <w:b/>
                <w:bCs/>
                <w:color w:val="000000"/>
                <w:sz w:val="12"/>
                <w:szCs w:val="12"/>
              </w:rPr>
              <w:t>Investment Management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1871" w14:textId="77777777" w:rsidR="00584EC1" w:rsidRDefault="00584EC1">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4DE1872" w14:textId="77777777" w:rsidR="00584EC1" w:rsidRDefault="00871F8D">
            <w:pPr>
              <w:jc w:val="center"/>
              <w:textAlignment w:val="bottom"/>
            </w:pPr>
            <w:r>
              <w:rPr>
                <w:rFonts w:ascii="Arial" w:eastAsia="宋体" w:hAnsi="Arial" w:cs="Arial"/>
                <w:b/>
                <w:bCs/>
                <w:color w:val="000000"/>
                <w:sz w:val="12"/>
                <w:szCs w:val="12"/>
              </w:rPr>
              <w:t>Other</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1873"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1874" w14:textId="77777777" w:rsidR="00584EC1" w:rsidRDefault="00871F8D">
            <w:pPr>
              <w:jc w:val="center"/>
              <w:textAlignment w:val="bottom"/>
            </w:pPr>
            <w:r>
              <w:rPr>
                <w:rFonts w:ascii="Arial" w:eastAsia="宋体" w:hAnsi="Arial" w:cs="Arial"/>
                <w:b/>
                <w:bCs/>
                <w:color w:val="000000"/>
                <w:sz w:val="12"/>
                <w:szCs w:val="12"/>
              </w:rPr>
              <w:t>Total</w:t>
            </w:r>
          </w:p>
        </w:tc>
      </w:tr>
      <w:tr w:rsidR="00584EC1" w14:paraId="74DE188A" w14:textId="77777777">
        <w:tc>
          <w:tcPr>
            <w:tcW w:w="0" w:type="auto"/>
            <w:gridSpan w:val="3"/>
            <w:shd w:val="clear" w:color="auto" w:fill="auto"/>
            <w:tcMar>
              <w:top w:w="40" w:type="dxa"/>
              <w:left w:w="20" w:type="dxa"/>
              <w:bottom w:w="40" w:type="dxa"/>
              <w:right w:w="20" w:type="dxa"/>
            </w:tcMar>
            <w:vAlign w:val="bottom"/>
          </w:tcPr>
          <w:p w14:paraId="74DE1876" w14:textId="77777777" w:rsidR="00584EC1" w:rsidRDefault="00871F8D">
            <w:pPr>
              <w:textAlignment w:val="bottom"/>
            </w:pPr>
            <w:r>
              <w:rPr>
                <w:rFonts w:ascii="Arial" w:eastAsia="宋体" w:hAnsi="Arial" w:cs="Arial"/>
                <w:b/>
                <w:bCs/>
                <w:color w:val="000000"/>
                <w:sz w:val="12"/>
                <w:szCs w:val="12"/>
              </w:rPr>
              <w:t xml:space="preserve">(Dollars in </w:t>
            </w:r>
            <w:r>
              <w:rPr>
                <w:rFonts w:ascii="Arial" w:eastAsia="宋体" w:hAnsi="Arial" w:cs="Arial"/>
                <w:b/>
                <w:bCs/>
                <w:color w:val="000000"/>
                <w:sz w:val="12"/>
                <w:szCs w:val="12"/>
              </w:rPr>
              <w:t>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1877" w14:textId="77777777" w:rsidR="00584EC1" w:rsidRDefault="00871F8D">
            <w:pPr>
              <w:jc w:val="center"/>
              <w:textAlignment w:val="bottom"/>
            </w:pPr>
            <w:r>
              <w:rPr>
                <w:rFonts w:ascii="Arial" w:eastAsia="宋体" w:hAnsi="Arial" w:cs="Arial"/>
                <w:b/>
                <w:bCs/>
                <w:color w:val="000000"/>
                <w:sz w:val="12"/>
                <w:szCs w:val="12"/>
              </w:rPr>
              <w:t>Topic 606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1878"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1879" w14:textId="77777777" w:rsidR="00584EC1" w:rsidRDefault="00871F8D">
            <w:pPr>
              <w:jc w:val="center"/>
              <w:textAlignment w:val="bottom"/>
            </w:pPr>
            <w:r>
              <w:rPr>
                <w:rFonts w:ascii="Arial" w:eastAsia="宋体" w:hAnsi="Arial" w:cs="Arial"/>
                <w:b/>
                <w:bCs/>
                <w:color w:val="000000"/>
                <w:sz w:val="12"/>
                <w:szCs w:val="12"/>
              </w:rPr>
              <w:t>All other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187A"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187B" w14:textId="77777777" w:rsidR="00584EC1" w:rsidRDefault="00871F8D">
            <w:pPr>
              <w:jc w:val="center"/>
              <w:textAlignment w:val="bottom"/>
            </w:pPr>
            <w:r>
              <w:rPr>
                <w:rFonts w:ascii="Arial" w:eastAsia="宋体" w:hAnsi="Arial" w:cs="Arial"/>
                <w:b/>
                <w:bCs/>
                <w:color w:val="000000"/>
                <w:sz w:val="12"/>
                <w:szCs w:val="12"/>
              </w:rPr>
              <w:t>Total</w:t>
            </w:r>
          </w:p>
        </w:tc>
        <w:tc>
          <w:tcPr>
            <w:tcW w:w="0" w:type="auto"/>
            <w:gridSpan w:val="3"/>
            <w:shd w:val="clear" w:color="auto" w:fill="auto"/>
            <w:tcMar>
              <w:top w:w="0" w:type="dxa"/>
              <w:left w:w="20" w:type="dxa"/>
              <w:bottom w:w="0" w:type="dxa"/>
              <w:right w:w="20" w:type="dxa"/>
            </w:tcMar>
            <w:vAlign w:val="bottom"/>
          </w:tcPr>
          <w:p w14:paraId="74DE187C"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187D" w14:textId="77777777" w:rsidR="00584EC1" w:rsidRDefault="00871F8D">
            <w:pPr>
              <w:jc w:val="center"/>
              <w:textAlignment w:val="bottom"/>
            </w:pPr>
            <w:r>
              <w:rPr>
                <w:rFonts w:ascii="Arial" w:eastAsia="宋体" w:hAnsi="Arial" w:cs="Arial"/>
                <w:b/>
                <w:bCs/>
                <w:color w:val="000000"/>
                <w:sz w:val="12"/>
                <w:szCs w:val="12"/>
              </w:rPr>
              <w:t>Topic 606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187E"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187F" w14:textId="77777777" w:rsidR="00584EC1" w:rsidRDefault="00871F8D">
            <w:pPr>
              <w:jc w:val="center"/>
              <w:textAlignment w:val="bottom"/>
            </w:pPr>
            <w:r>
              <w:rPr>
                <w:rFonts w:ascii="Arial" w:eastAsia="宋体" w:hAnsi="Arial" w:cs="Arial"/>
                <w:b/>
                <w:bCs/>
                <w:color w:val="000000"/>
                <w:sz w:val="12"/>
                <w:szCs w:val="12"/>
              </w:rPr>
              <w:t>All other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1880"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1881" w14:textId="77777777" w:rsidR="00584EC1" w:rsidRDefault="00871F8D">
            <w:pPr>
              <w:jc w:val="center"/>
              <w:textAlignment w:val="bottom"/>
            </w:pPr>
            <w:r>
              <w:rPr>
                <w:rFonts w:ascii="Arial" w:eastAsia="宋体" w:hAnsi="Arial" w:cs="Arial"/>
                <w:b/>
                <w:bCs/>
                <w:color w:val="000000"/>
                <w:sz w:val="12"/>
                <w:szCs w:val="12"/>
              </w:rPr>
              <w:t>Total</w:t>
            </w:r>
          </w:p>
        </w:tc>
        <w:tc>
          <w:tcPr>
            <w:tcW w:w="0" w:type="auto"/>
            <w:gridSpan w:val="3"/>
            <w:shd w:val="clear" w:color="auto" w:fill="auto"/>
            <w:tcMar>
              <w:top w:w="0" w:type="dxa"/>
              <w:left w:w="20" w:type="dxa"/>
              <w:bottom w:w="0" w:type="dxa"/>
              <w:right w:w="20" w:type="dxa"/>
            </w:tcMar>
            <w:vAlign w:val="bottom"/>
          </w:tcPr>
          <w:p w14:paraId="74DE1882"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1883" w14:textId="77777777" w:rsidR="00584EC1" w:rsidRDefault="00871F8D">
            <w:pPr>
              <w:jc w:val="center"/>
              <w:textAlignment w:val="bottom"/>
            </w:pPr>
            <w:r>
              <w:rPr>
                <w:rFonts w:ascii="Arial" w:eastAsia="宋体" w:hAnsi="Arial" w:cs="Arial"/>
                <w:b/>
                <w:bCs/>
                <w:color w:val="000000"/>
                <w:sz w:val="12"/>
                <w:szCs w:val="12"/>
              </w:rPr>
              <w:t>Topic 606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1884"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1885" w14:textId="77777777" w:rsidR="00584EC1" w:rsidRDefault="00871F8D">
            <w:pPr>
              <w:jc w:val="center"/>
              <w:textAlignment w:val="bottom"/>
            </w:pPr>
            <w:r>
              <w:rPr>
                <w:rFonts w:ascii="Arial" w:eastAsia="宋体" w:hAnsi="Arial" w:cs="Arial"/>
                <w:b/>
                <w:bCs/>
                <w:color w:val="000000"/>
                <w:sz w:val="12"/>
                <w:szCs w:val="12"/>
              </w:rPr>
              <w:t>All other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1886"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1887" w14:textId="77777777" w:rsidR="00584EC1" w:rsidRDefault="00871F8D">
            <w:pPr>
              <w:jc w:val="center"/>
              <w:textAlignment w:val="bottom"/>
            </w:pPr>
            <w:r>
              <w:rPr>
                <w:rFonts w:ascii="Arial" w:eastAsia="宋体" w:hAnsi="Arial" w:cs="Arial"/>
                <w:b/>
                <w:bCs/>
                <w:color w:val="000000"/>
                <w:sz w:val="12"/>
                <w:szCs w:val="12"/>
              </w:rPr>
              <w:t>Total</w:t>
            </w:r>
          </w:p>
        </w:tc>
        <w:tc>
          <w:tcPr>
            <w:tcW w:w="0" w:type="auto"/>
            <w:gridSpan w:val="3"/>
            <w:shd w:val="clear" w:color="auto" w:fill="auto"/>
            <w:tcMar>
              <w:top w:w="0" w:type="dxa"/>
              <w:left w:w="20" w:type="dxa"/>
              <w:bottom w:w="0" w:type="dxa"/>
              <w:right w:w="20" w:type="dxa"/>
            </w:tcMar>
            <w:vAlign w:val="bottom"/>
          </w:tcPr>
          <w:p w14:paraId="74DE1888"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1889" w14:textId="77777777" w:rsidR="00584EC1" w:rsidRDefault="00871F8D">
            <w:pPr>
              <w:jc w:val="center"/>
              <w:textAlignment w:val="bottom"/>
            </w:pPr>
            <w:r>
              <w:rPr>
                <w:rFonts w:ascii="Arial" w:eastAsia="宋体" w:hAnsi="Arial" w:cs="Arial"/>
                <w:b/>
                <w:bCs/>
                <w:color w:val="000000"/>
                <w:sz w:val="12"/>
                <w:szCs w:val="12"/>
              </w:rPr>
              <w:t>2021</w:t>
            </w:r>
          </w:p>
        </w:tc>
      </w:tr>
      <w:tr w:rsidR="00871F8D" w14:paraId="74DE18B2" w14:textId="77777777">
        <w:tc>
          <w:tcPr>
            <w:tcW w:w="0" w:type="auto"/>
            <w:gridSpan w:val="3"/>
            <w:shd w:val="clear" w:color="auto" w:fill="CCEEFF"/>
            <w:tcMar>
              <w:top w:w="40" w:type="dxa"/>
              <w:left w:w="155" w:type="dxa"/>
              <w:bottom w:w="40" w:type="dxa"/>
              <w:right w:w="20" w:type="dxa"/>
            </w:tcMar>
            <w:vAlign w:val="bottom"/>
          </w:tcPr>
          <w:p w14:paraId="74DE188B" w14:textId="77777777" w:rsidR="00584EC1" w:rsidRDefault="00871F8D">
            <w:pPr>
              <w:textAlignment w:val="bottom"/>
            </w:pPr>
            <w:r>
              <w:rPr>
                <w:rFonts w:ascii="Arial" w:eastAsia="宋体" w:hAnsi="Arial" w:cs="Arial"/>
                <w:color w:val="000000"/>
                <w:sz w:val="12"/>
                <w:szCs w:val="12"/>
              </w:rPr>
              <w:t>Servicing fees</w:t>
            </w:r>
          </w:p>
        </w:tc>
        <w:tc>
          <w:tcPr>
            <w:tcW w:w="0" w:type="auto"/>
            <w:tcBorders>
              <w:top w:val="single" w:sz="8" w:space="0" w:color="000000"/>
            </w:tcBorders>
            <w:shd w:val="clear" w:color="auto" w:fill="CCEEFF"/>
            <w:tcMar>
              <w:top w:w="40" w:type="dxa"/>
              <w:left w:w="20" w:type="dxa"/>
              <w:bottom w:w="40" w:type="dxa"/>
              <w:right w:w="0" w:type="dxa"/>
            </w:tcMar>
            <w:vAlign w:val="bottom"/>
          </w:tcPr>
          <w:p w14:paraId="74DE188C"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188D" w14:textId="77777777" w:rsidR="00584EC1" w:rsidRDefault="00871F8D">
            <w:pPr>
              <w:jc w:val="right"/>
              <w:textAlignment w:val="bottom"/>
            </w:pPr>
            <w:r>
              <w:rPr>
                <w:rFonts w:ascii="Arial" w:eastAsia="宋体" w:hAnsi="Arial" w:cs="Arial"/>
                <w:b/>
                <w:bCs/>
                <w:color w:val="000000"/>
                <w:sz w:val="12"/>
                <w:szCs w:val="12"/>
              </w:rPr>
              <w:t>1,395</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88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88F"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1890"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1891"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89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893" w14:textId="77777777" w:rsidR="00584EC1" w:rsidRDefault="00584E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4DE1894" w14:textId="77777777" w:rsidR="00584EC1" w:rsidRDefault="00871F8D">
            <w:pPr>
              <w:jc w:val="right"/>
              <w:textAlignment w:val="bottom"/>
            </w:pPr>
            <w:r>
              <w:rPr>
                <w:rFonts w:ascii="Arial" w:eastAsia="宋体" w:hAnsi="Arial" w:cs="Arial"/>
                <w:b/>
                <w:bCs/>
                <w:color w:val="000000"/>
                <w:sz w:val="12"/>
                <w:szCs w:val="12"/>
              </w:rPr>
              <w:t>1,395</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89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896"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1897"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1898"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89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89A"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189B"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189C"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89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89E"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189F"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18A0"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8A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8A2"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18A3"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18A4"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8A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8A6"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18A7"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18A8"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8A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8AA"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18AB"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18AC"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8A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8AE"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18AF"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18B0" w14:textId="77777777" w:rsidR="00584EC1" w:rsidRDefault="00871F8D">
            <w:pPr>
              <w:jc w:val="right"/>
              <w:textAlignment w:val="bottom"/>
            </w:pPr>
            <w:r>
              <w:rPr>
                <w:rFonts w:ascii="Arial" w:eastAsia="宋体" w:hAnsi="Arial" w:cs="Arial"/>
                <w:b/>
                <w:bCs/>
                <w:color w:val="000000"/>
                <w:sz w:val="12"/>
                <w:szCs w:val="12"/>
              </w:rPr>
              <w:t>1,395</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8B1" w14:textId="77777777" w:rsidR="00584EC1" w:rsidRDefault="00584EC1">
            <w:pPr>
              <w:jc w:val="right"/>
              <w:rPr>
                <w:rFonts w:ascii="宋体"/>
              </w:rPr>
            </w:pPr>
          </w:p>
        </w:tc>
      </w:tr>
      <w:tr w:rsidR="00584EC1" w14:paraId="74DE18D1" w14:textId="77777777">
        <w:tc>
          <w:tcPr>
            <w:tcW w:w="0" w:type="auto"/>
            <w:gridSpan w:val="3"/>
            <w:shd w:val="clear" w:color="auto" w:fill="FFFFFF"/>
            <w:tcMar>
              <w:top w:w="40" w:type="dxa"/>
              <w:left w:w="155" w:type="dxa"/>
              <w:bottom w:w="40" w:type="dxa"/>
              <w:right w:w="20" w:type="dxa"/>
            </w:tcMar>
            <w:vAlign w:val="bottom"/>
          </w:tcPr>
          <w:p w14:paraId="74DE18B3" w14:textId="77777777" w:rsidR="00584EC1" w:rsidRDefault="00871F8D">
            <w:pPr>
              <w:textAlignment w:val="bottom"/>
            </w:pPr>
            <w:r>
              <w:rPr>
                <w:rFonts w:ascii="Arial" w:eastAsia="宋体" w:hAnsi="Arial" w:cs="Arial"/>
                <w:color w:val="000000"/>
                <w:sz w:val="12"/>
                <w:szCs w:val="12"/>
              </w:rPr>
              <w:t>Management fees</w:t>
            </w:r>
          </w:p>
        </w:tc>
        <w:tc>
          <w:tcPr>
            <w:tcW w:w="0" w:type="auto"/>
            <w:gridSpan w:val="2"/>
            <w:shd w:val="clear" w:color="auto" w:fill="FFFFFF"/>
            <w:tcMar>
              <w:top w:w="40" w:type="dxa"/>
              <w:left w:w="20" w:type="dxa"/>
              <w:bottom w:w="40" w:type="dxa"/>
              <w:right w:w="0" w:type="dxa"/>
            </w:tcMar>
            <w:vAlign w:val="bottom"/>
          </w:tcPr>
          <w:p w14:paraId="74DE18B4"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18B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8B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8B7"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18B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8B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8BA"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18B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8B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8BD" w14:textId="77777777" w:rsidR="00584EC1" w:rsidRDefault="00871F8D">
            <w:pPr>
              <w:jc w:val="right"/>
              <w:textAlignment w:val="bottom"/>
            </w:pPr>
            <w:r>
              <w:rPr>
                <w:rFonts w:ascii="Arial" w:eastAsia="宋体" w:hAnsi="Arial" w:cs="Arial"/>
                <w:b/>
                <w:bCs/>
                <w:color w:val="000000"/>
                <w:sz w:val="12"/>
                <w:szCs w:val="12"/>
              </w:rPr>
              <w:t>526</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18B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8B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8C0"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18C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8C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8C3" w14:textId="77777777" w:rsidR="00584EC1" w:rsidRDefault="00871F8D">
            <w:pPr>
              <w:jc w:val="right"/>
              <w:textAlignment w:val="bottom"/>
            </w:pPr>
            <w:r>
              <w:rPr>
                <w:rFonts w:ascii="Arial" w:eastAsia="宋体" w:hAnsi="Arial" w:cs="Arial"/>
                <w:b/>
                <w:bCs/>
                <w:color w:val="000000"/>
                <w:sz w:val="12"/>
                <w:szCs w:val="12"/>
              </w:rPr>
              <w:t>526</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18C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8C5"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8C6"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18C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8C8"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8C9"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18C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8CB"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8CC"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18C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8C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8CF" w14:textId="77777777" w:rsidR="00584EC1" w:rsidRDefault="00871F8D">
            <w:pPr>
              <w:jc w:val="right"/>
              <w:textAlignment w:val="bottom"/>
            </w:pPr>
            <w:r>
              <w:rPr>
                <w:rFonts w:ascii="Arial" w:eastAsia="宋体" w:hAnsi="Arial" w:cs="Arial"/>
                <w:b/>
                <w:bCs/>
                <w:color w:val="000000"/>
                <w:sz w:val="12"/>
                <w:szCs w:val="12"/>
              </w:rPr>
              <w:t>526</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18D0" w14:textId="77777777" w:rsidR="00584EC1" w:rsidRDefault="00584EC1">
            <w:pPr>
              <w:jc w:val="right"/>
              <w:rPr>
                <w:rFonts w:ascii="宋体"/>
              </w:rPr>
            </w:pPr>
          </w:p>
        </w:tc>
      </w:tr>
      <w:tr w:rsidR="00584EC1" w14:paraId="74DE18F0" w14:textId="77777777">
        <w:tc>
          <w:tcPr>
            <w:tcW w:w="0" w:type="auto"/>
            <w:gridSpan w:val="3"/>
            <w:shd w:val="clear" w:color="auto" w:fill="CCEEFF"/>
            <w:tcMar>
              <w:top w:w="40" w:type="dxa"/>
              <w:left w:w="155" w:type="dxa"/>
              <w:bottom w:w="40" w:type="dxa"/>
              <w:right w:w="20" w:type="dxa"/>
            </w:tcMar>
            <w:vAlign w:val="bottom"/>
          </w:tcPr>
          <w:p w14:paraId="74DE18D2" w14:textId="77777777" w:rsidR="00584EC1" w:rsidRDefault="00871F8D">
            <w:pPr>
              <w:textAlignment w:val="bottom"/>
            </w:pPr>
            <w:r>
              <w:rPr>
                <w:rFonts w:ascii="Arial" w:eastAsia="宋体" w:hAnsi="Arial" w:cs="Arial"/>
                <w:color w:val="000000"/>
                <w:sz w:val="12"/>
                <w:szCs w:val="12"/>
              </w:rPr>
              <w:t xml:space="preserve">Foreign exchange trading services </w:t>
            </w:r>
          </w:p>
        </w:tc>
        <w:tc>
          <w:tcPr>
            <w:tcW w:w="0" w:type="auto"/>
            <w:gridSpan w:val="2"/>
            <w:shd w:val="clear" w:color="auto" w:fill="CCEEFF"/>
            <w:tcMar>
              <w:top w:w="40" w:type="dxa"/>
              <w:left w:w="20" w:type="dxa"/>
              <w:bottom w:w="40" w:type="dxa"/>
              <w:right w:w="0" w:type="dxa"/>
            </w:tcMar>
            <w:vAlign w:val="bottom"/>
          </w:tcPr>
          <w:p w14:paraId="74DE18D3" w14:textId="77777777" w:rsidR="00584EC1" w:rsidRDefault="00871F8D">
            <w:pPr>
              <w:jc w:val="right"/>
              <w:textAlignment w:val="bottom"/>
            </w:pPr>
            <w:r>
              <w:rPr>
                <w:rFonts w:ascii="Arial" w:eastAsia="宋体" w:hAnsi="Arial" w:cs="Arial"/>
                <w:b/>
                <w:bCs/>
                <w:color w:val="000000"/>
                <w:sz w:val="12"/>
                <w:szCs w:val="12"/>
              </w:rPr>
              <w:t>82</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18D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8D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8D6" w14:textId="77777777" w:rsidR="00584EC1" w:rsidRDefault="00871F8D">
            <w:pPr>
              <w:jc w:val="right"/>
              <w:textAlignment w:val="bottom"/>
            </w:pPr>
            <w:r>
              <w:rPr>
                <w:rFonts w:ascii="Arial" w:eastAsia="宋体" w:hAnsi="Arial" w:cs="Arial"/>
                <w:b/>
                <w:bCs/>
                <w:color w:val="000000"/>
                <w:sz w:val="12"/>
                <w:szCs w:val="12"/>
              </w:rPr>
              <w:t>184</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18D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8D8"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8D9" w14:textId="77777777" w:rsidR="00584EC1" w:rsidRDefault="00871F8D">
            <w:pPr>
              <w:jc w:val="right"/>
              <w:textAlignment w:val="bottom"/>
            </w:pPr>
            <w:r>
              <w:rPr>
                <w:rFonts w:ascii="Arial" w:eastAsia="宋体" w:hAnsi="Arial" w:cs="Arial"/>
                <w:b/>
                <w:bCs/>
                <w:color w:val="000000"/>
                <w:sz w:val="12"/>
                <w:szCs w:val="12"/>
              </w:rPr>
              <w:t>266</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18D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8D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8DC" w14:textId="77777777" w:rsidR="00584EC1" w:rsidRDefault="00871F8D">
            <w:pPr>
              <w:jc w:val="right"/>
              <w:textAlignment w:val="bottom"/>
            </w:pPr>
            <w:r>
              <w:rPr>
                <w:rFonts w:ascii="Arial" w:eastAsia="宋体" w:hAnsi="Arial" w:cs="Arial"/>
                <w:b/>
                <w:bCs/>
                <w:color w:val="000000"/>
                <w:sz w:val="12"/>
                <w:szCs w:val="12"/>
              </w:rPr>
              <w:t>13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18D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8DE"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8DF"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18E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8E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8E2" w14:textId="77777777" w:rsidR="00584EC1" w:rsidRDefault="00871F8D">
            <w:pPr>
              <w:jc w:val="right"/>
              <w:textAlignment w:val="bottom"/>
            </w:pPr>
            <w:r>
              <w:rPr>
                <w:rFonts w:ascii="Arial" w:eastAsia="宋体" w:hAnsi="Arial" w:cs="Arial"/>
                <w:b/>
                <w:bCs/>
                <w:color w:val="000000"/>
                <w:sz w:val="12"/>
                <w:szCs w:val="12"/>
              </w:rPr>
              <w:t>13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18E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8E4"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8E5"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18E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8E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8E8"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18E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8EA"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8EB"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18E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8E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8EE" w14:textId="77777777" w:rsidR="00584EC1" w:rsidRDefault="00871F8D">
            <w:pPr>
              <w:jc w:val="right"/>
              <w:textAlignment w:val="bottom"/>
            </w:pPr>
            <w:r>
              <w:rPr>
                <w:rFonts w:ascii="Arial" w:eastAsia="宋体" w:hAnsi="Arial" w:cs="Arial"/>
                <w:b/>
                <w:bCs/>
                <w:color w:val="000000"/>
                <w:sz w:val="12"/>
                <w:szCs w:val="12"/>
              </w:rPr>
              <w:t>279</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18EF" w14:textId="77777777" w:rsidR="00584EC1" w:rsidRDefault="00584EC1">
            <w:pPr>
              <w:jc w:val="right"/>
              <w:rPr>
                <w:rFonts w:ascii="宋体"/>
              </w:rPr>
            </w:pPr>
          </w:p>
        </w:tc>
      </w:tr>
      <w:tr w:rsidR="00584EC1" w14:paraId="74DE190F" w14:textId="77777777">
        <w:tc>
          <w:tcPr>
            <w:tcW w:w="0" w:type="auto"/>
            <w:gridSpan w:val="3"/>
            <w:shd w:val="clear" w:color="auto" w:fill="FFFFFF"/>
            <w:tcMar>
              <w:top w:w="40" w:type="dxa"/>
              <w:left w:w="155" w:type="dxa"/>
              <w:bottom w:w="40" w:type="dxa"/>
              <w:right w:w="20" w:type="dxa"/>
            </w:tcMar>
            <w:vAlign w:val="bottom"/>
          </w:tcPr>
          <w:p w14:paraId="74DE18F1" w14:textId="77777777" w:rsidR="00584EC1" w:rsidRDefault="00871F8D">
            <w:pPr>
              <w:textAlignment w:val="bottom"/>
            </w:pPr>
            <w:r>
              <w:rPr>
                <w:rFonts w:ascii="Arial" w:eastAsia="宋体" w:hAnsi="Arial" w:cs="Arial"/>
                <w:color w:val="000000"/>
                <w:sz w:val="12"/>
                <w:szCs w:val="12"/>
              </w:rPr>
              <w:t>Securities finance</w:t>
            </w:r>
          </w:p>
        </w:tc>
        <w:tc>
          <w:tcPr>
            <w:tcW w:w="0" w:type="auto"/>
            <w:gridSpan w:val="2"/>
            <w:shd w:val="clear" w:color="auto" w:fill="FFFFFF"/>
            <w:tcMar>
              <w:top w:w="40" w:type="dxa"/>
              <w:left w:w="20" w:type="dxa"/>
              <w:bottom w:w="40" w:type="dxa"/>
              <w:right w:w="0" w:type="dxa"/>
            </w:tcMar>
            <w:vAlign w:val="bottom"/>
          </w:tcPr>
          <w:p w14:paraId="74DE18F2" w14:textId="77777777" w:rsidR="00584EC1" w:rsidRDefault="00871F8D">
            <w:pPr>
              <w:jc w:val="right"/>
              <w:textAlignment w:val="bottom"/>
            </w:pPr>
            <w:r>
              <w:rPr>
                <w:rFonts w:ascii="Arial" w:eastAsia="宋体" w:hAnsi="Arial" w:cs="Arial"/>
                <w:b/>
                <w:bCs/>
                <w:color w:val="000000"/>
                <w:sz w:val="12"/>
                <w:szCs w:val="12"/>
              </w:rPr>
              <w:t>60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18F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8F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8F5" w14:textId="77777777" w:rsidR="00584EC1" w:rsidRDefault="00871F8D">
            <w:pPr>
              <w:jc w:val="right"/>
              <w:textAlignment w:val="bottom"/>
            </w:pPr>
            <w:r>
              <w:rPr>
                <w:rFonts w:ascii="Arial" w:eastAsia="宋体" w:hAnsi="Arial" w:cs="Arial"/>
                <w:b/>
                <w:bCs/>
                <w:color w:val="000000"/>
                <w:sz w:val="12"/>
                <w:szCs w:val="12"/>
              </w:rPr>
              <w:t>43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18F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8F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8F8" w14:textId="77777777" w:rsidR="00584EC1" w:rsidRDefault="00871F8D">
            <w:pPr>
              <w:jc w:val="right"/>
              <w:textAlignment w:val="bottom"/>
            </w:pPr>
            <w:r>
              <w:rPr>
                <w:rFonts w:ascii="Arial" w:eastAsia="宋体" w:hAnsi="Arial" w:cs="Arial"/>
                <w:b/>
                <w:bCs/>
                <w:color w:val="000000"/>
                <w:sz w:val="12"/>
                <w:szCs w:val="12"/>
              </w:rPr>
              <w:t>103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18F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8F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8FB"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18F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8F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8FE" w14:textId="77777777" w:rsidR="00584EC1" w:rsidRDefault="00871F8D">
            <w:pPr>
              <w:jc w:val="right"/>
              <w:textAlignment w:val="bottom"/>
            </w:pPr>
            <w:r>
              <w:rPr>
                <w:rFonts w:ascii="Arial" w:eastAsia="宋体" w:hAnsi="Arial" w:cs="Arial"/>
                <w:b/>
                <w:bCs/>
                <w:color w:val="000000"/>
                <w:sz w:val="12"/>
                <w:szCs w:val="12"/>
              </w:rPr>
              <w:t>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18F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90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901" w14:textId="77777777" w:rsidR="00584EC1" w:rsidRDefault="00871F8D">
            <w:pPr>
              <w:jc w:val="right"/>
              <w:textAlignment w:val="bottom"/>
            </w:pPr>
            <w:r>
              <w:rPr>
                <w:rFonts w:ascii="Arial" w:eastAsia="宋体" w:hAnsi="Arial" w:cs="Arial"/>
                <w:b/>
                <w:bCs/>
                <w:color w:val="000000"/>
                <w:sz w:val="12"/>
                <w:szCs w:val="12"/>
              </w:rPr>
              <w:t>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190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90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904"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190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90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907"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190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90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90A"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190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90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90D" w14:textId="77777777" w:rsidR="00584EC1" w:rsidRDefault="00871F8D">
            <w:pPr>
              <w:jc w:val="right"/>
              <w:textAlignment w:val="bottom"/>
            </w:pPr>
            <w:r>
              <w:rPr>
                <w:rFonts w:ascii="Arial" w:eastAsia="宋体" w:hAnsi="Arial" w:cs="Arial"/>
                <w:b/>
                <w:bCs/>
                <w:color w:val="000000"/>
                <w:sz w:val="12"/>
                <w:szCs w:val="12"/>
              </w:rPr>
              <w:t>106</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190E" w14:textId="77777777" w:rsidR="00584EC1" w:rsidRDefault="00584EC1">
            <w:pPr>
              <w:jc w:val="right"/>
              <w:rPr>
                <w:rFonts w:ascii="宋体"/>
              </w:rPr>
            </w:pPr>
          </w:p>
        </w:tc>
      </w:tr>
      <w:tr w:rsidR="00584EC1" w14:paraId="74DE192E" w14:textId="77777777">
        <w:tc>
          <w:tcPr>
            <w:tcW w:w="0" w:type="auto"/>
            <w:gridSpan w:val="3"/>
            <w:shd w:val="clear" w:color="auto" w:fill="CCEEFF"/>
            <w:tcMar>
              <w:top w:w="40" w:type="dxa"/>
              <w:left w:w="155" w:type="dxa"/>
              <w:bottom w:w="40" w:type="dxa"/>
              <w:right w:w="20" w:type="dxa"/>
            </w:tcMar>
            <w:vAlign w:val="bottom"/>
          </w:tcPr>
          <w:p w14:paraId="74DE1910" w14:textId="77777777" w:rsidR="00584EC1" w:rsidRDefault="00871F8D">
            <w:pPr>
              <w:textAlignment w:val="bottom"/>
            </w:pPr>
            <w:r>
              <w:rPr>
                <w:rFonts w:ascii="Arial" w:eastAsia="宋体" w:hAnsi="Arial" w:cs="Arial"/>
                <w:color w:val="000000"/>
                <w:sz w:val="12"/>
                <w:szCs w:val="12"/>
              </w:rPr>
              <w:t xml:space="preserve">Software and processing fees </w:t>
            </w:r>
          </w:p>
        </w:tc>
        <w:tc>
          <w:tcPr>
            <w:tcW w:w="0" w:type="auto"/>
            <w:gridSpan w:val="2"/>
            <w:shd w:val="clear" w:color="auto" w:fill="CCEEFF"/>
            <w:tcMar>
              <w:top w:w="40" w:type="dxa"/>
              <w:left w:w="20" w:type="dxa"/>
              <w:bottom w:w="40" w:type="dxa"/>
              <w:right w:w="0" w:type="dxa"/>
            </w:tcMar>
            <w:vAlign w:val="bottom"/>
          </w:tcPr>
          <w:p w14:paraId="74DE1911" w14:textId="77777777" w:rsidR="00584EC1" w:rsidRDefault="00871F8D">
            <w:pPr>
              <w:jc w:val="right"/>
              <w:textAlignment w:val="bottom"/>
            </w:pPr>
            <w:r>
              <w:rPr>
                <w:rFonts w:ascii="Arial" w:eastAsia="宋体" w:hAnsi="Arial" w:cs="Arial"/>
                <w:b/>
                <w:bCs/>
                <w:color w:val="000000"/>
                <w:sz w:val="12"/>
                <w:szCs w:val="12"/>
              </w:rPr>
              <w:t>126</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191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913"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914" w14:textId="77777777" w:rsidR="00584EC1" w:rsidRDefault="00871F8D">
            <w:pPr>
              <w:jc w:val="right"/>
              <w:textAlignment w:val="bottom"/>
            </w:pPr>
            <w:r>
              <w:rPr>
                <w:rFonts w:ascii="Arial" w:eastAsia="宋体" w:hAnsi="Arial" w:cs="Arial"/>
                <w:b/>
                <w:bCs/>
                <w:color w:val="000000"/>
                <w:sz w:val="12"/>
                <w:szCs w:val="12"/>
              </w:rPr>
              <w:t>78</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191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91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917" w14:textId="77777777" w:rsidR="00584EC1" w:rsidRDefault="00871F8D">
            <w:pPr>
              <w:jc w:val="right"/>
              <w:textAlignment w:val="bottom"/>
            </w:pPr>
            <w:r>
              <w:rPr>
                <w:rFonts w:ascii="Arial" w:eastAsia="宋体" w:hAnsi="Arial" w:cs="Arial"/>
                <w:b/>
                <w:bCs/>
                <w:color w:val="000000"/>
                <w:sz w:val="12"/>
                <w:szCs w:val="12"/>
              </w:rPr>
              <w:t>204</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191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91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91A"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191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91C"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91D" w14:textId="77777777" w:rsidR="00584EC1" w:rsidRDefault="00871F8D">
            <w:pPr>
              <w:jc w:val="right"/>
              <w:textAlignment w:val="bottom"/>
            </w:pPr>
            <w:r>
              <w:rPr>
                <w:rFonts w:ascii="Arial" w:eastAsia="宋体" w:hAnsi="Arial" w:cs="Arial"/>
                <w:b/>
                <w:bCs/>
                <w:color w:val="000000"/>
                <w:sz w:val="12"/>
                <w:szCs w:val="12"/>
              </w:rPr>
              <w:t>(6)</w:t>
            </w:r>
          </w:p>
        </w:tc>
        <w:tc>
          <w:tcPr>
            <w:tcW w:w="0" w:type="auto"/>
            <w:shd w:val="clear" w:color="auto" w:fill="CCEEFF"/>
            <w:tcMar>
              <w:top w:w="40" w:type="dxa"/>
              <w:left w:w="0" w:type="dxa"/>
              <w:bottom w:w="40" w:type="dxa"/>
              <w:right w:w="20" w:type="dxa"/>
            </w:tcMar>
            <w:vAlign w:val="bottom"/>
          </w:tcPr>
          <w:p w14:paraId="74DE191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91F"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920" w14:textId="77777777" w:rsidR="00584EC1" w:rsidRDefault="00871F8D">
            <w:pPr>
              <w:jc w:val="right"/>
              <w:textAlignment w:val="bottom"/>
            </w:pPr>
            <w:r>
              <w:rPr>
                <w:rFonts w:ascii="Arial" w:eastAsia="宋体" w:hAnsi="Arial" w:cs="Arial"/>
                <w:b/>
                <w:bCs/>
                <w:color w:val="000000"/>
                <w:sz w:val="12"/>
                <w:szCs w:val="12"/>
              </w:rPr>
              <w:t>(6)</w:t>
            </w:r>
          </w:p>
        </w:tc>
        <w:tc>
          <w:tcPr>
            <w:tcW w:w="0" w:type="auto"/>
            <w:shd w:val="clear" w:color="auto" w:fill="CCEEFF"/>
            <w:tcMar>
              <w:top w:w="40" w:type="dxa"/>
              <w:left w:w="0" w:type="dxa"/>
              <w:bottom w:w="40" w:type="dxa"/>
              <w:right w:w="20" w:type="dxa"/>
            </w:tcMar>
            <w:vAlign w:val="bottom"/>
          </w:tcPr>
          <w:p w14:paraId="74DE192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922"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923"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192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92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926"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192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928"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929"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192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92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92C" w14:textId="77777777" w:rsidR="00584EC1" w:rsidRDefault="00871F8D">
            <w:pPr>
              <w:jc w:val="right"/>
              <w:textAlignment w:val="bottom"/>
            </w:pPr>
            <w:r>
              <w:rPr>
                <w:rFonts w:ascii="Arial" w:eastAsia="宋体" w:hAnsi="Arial" w:cs="Arial"/>
                <w:b/>
                <w:bCs/>
                <w:color w:val="000000"/>
                <w:sz w:val="12"/>
                <w:szCs w:val="12"/>
              </w:rPr>
              <w:t>198</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192D" w14:textId="77777777" w:rsidR="00584EC1" w:rsidRDefault="00584EC1">
            <w:pPr>
              <w:jc w:val="right"/>
              <w:rPr>
                <w:rFonts w:ascii="宋体"/>
              </w:rPr>
            </w:pPr>
          </w:p>
        </w:tc>
      </w:tr>
      <w:tr w:rsidR="00584EC1" w14:paraId="74DE194D" w14:textId="77777777">
        <w:tc>
          <w:tcPr>
            <w:tcW w:w="0" w:type="auto"/>
            <w:gridSpan w:val="3"/>
            <w:shd w:val="clear" w:color="auto" w:fill="FFFFFF"/>
            <w:tcMar>
              <w:top w:w="40" w:type="dxa"/>
              <w:left w:w="20" w:type="dxa"/>
              <w:bottom w:w="40" w:type="dxa"/>
              <w:right w:w="20" w:type="dxa"/>
            </w:tcMar>
            <w:vAlign w:val="bottom"/>
          </w:tcPr>
          <w:p w14:paraId="74DE192F" w14:textId="77777777" w:rsidR="00584EC1" w:rsidRDefault="00871F8D">
            <w:pPr>
              <w:textAlignment w:val="bottom"/>
            </w:pPr>
            <w:r>
              <w:rPr>
                <w:rFonts w:ascii="Arial" w:eastAsia="宋体" w:hAnsi="Arial" w:cs="Arial"/>
                <w:b/>
                <w:bCs/>
                <w:color w:val="000000"/>
                <w:sz w:val="12"/>
                <w:szCs w:val="12"/>
              </w:rPr>
              <w:t>Total fee 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1930" w14:textId="77777777" w:rsidR="00584EC1" w:rsidRDefault="00871F8D">
            <w:pPr>
              <w:jc w:val="right"/>
              <w:textAlignment w:val="bottom"/>
            </w:pPr>
            <w:r>
              <w:rPr>
                <w:rFonts w:ascii="Arial" w:eastAsia="宋体" w:hAnsi="Arial" w:cs="Arial"/>
                <w:b/>
                <w:bCs/>
                <w:color w:val="000000"/>
                <w:sz w:val="12"/>
                <w:szCs w:val="12"/>
              </w:rPr>
              <w:t>1,663</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193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932"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1933" w14:textId="77777777" w:rsidR="00584EC1" w:rsidRDefault="00871F8D">
            <w:pPr>
              <w:jc w:val="right"/>
              <w:textAlignment w:val="bottom"/>
            </w:pPr>
            <w:r>
              <w:rPr>
                <w:rFonts w:ascii="Arial" w:eastAsia="宋体" w:hAnsi="Arial" w:cs="Arial"/>
                <w:b/>
                <w:bCs/>
                <w:color w:val="000000"/>
                <w:sz w:val="12"/>
                <w:szCs w:val="12"/>
              </w:rPr>
              <w:t>305</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193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935"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1936" w14:textId="77777777" w:rsidR="00584EC1" w:rsidRDefault="00871F8D">
            <w:pPr>
              <w:jc w:val="right"/>
              <w:textAlignment w:val="bottom"/>
            </w:pPr>
            <w:r>
              <w:rPr>
                <w:rFonts w:ascii="Arial" w:eastAsia="宋体" w:hAnsi="Arial" w:cs="Arial"/>
                <w:b/>
                <w:bCs/>
                <w:color w:val="000000"/>
                <w:sz w:val="12"/>
                <w:szCs w:val="12"/>
              </w:rPr>
              <w:t>1,968</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193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938"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1939" w14:textId="77777777" w:rsidR="00584EC1" w:rsidRDefault="00871F8D">
            <w:pPr>
              <w:jc w:val="right"/>
              <w:textAlignment w:val="bottom"/>
            </w:pPr>
            <w:r>
              <w:rPr>
                <w:rFonts w:ascii="Arial" w:eastAsia="宋体" w:hAnsi="Arial" w:cs="Arial"/>
                <w:b/>
                <w:bCs/>
                <w:color w:val="000000"/>
                <w:sz w:val="12"/>
                <w:szCs w:val="12"/>
              </w:rPr>
              <w:t>539</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193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93B"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193C" w14:textId="77777777" w:rsidR="00584EC1" w:rsidRDefault="00871F8D">
            <w:pPr>
              <w:jc w:val="right"/>
              <w:textAlignment w:val="bottom"/>
            </w:pPr>
            <w:r>
              <w:rPr>
                <w:rFonts w:ascii="Arial" w:eastAsia="宋体" w:hAnsi="Arial" w:cs="Arial"/>
                <w:b/>
                <w:bCs/>
                <w:color w:val="000000"/>
                <w:sz w:val="12"/>
                <w:szCs w:val="12"/>
              </w:rPr>
              <w:t>(3)</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193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93E"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193F" w14:textId="77777777" w:rsidR="00584EC1" w:rsidRDefault="00871F8D">
            <w:pPr>
              <w:jc w:val="right"/>
              <w:textAlignment w:val="bottom"/>
            </w:pPr>
            <w:r>
              <w:rPr>
                <w:rFonts w:ascii="Arial" w:eastAsia="宋体" w:hAnsi="Arial" w:cs="Arial"/>
                <w:b/>
                <w:bCs/>
                <w:color w:val="000000"/>
                <w:sz w:val="12"/>
                <w:szCs w:val="12"/>
              </w:rPr>
              <w:t>536</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194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941"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1942"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194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944"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1945"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194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947"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1948"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194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94A"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194B" w14:textId="77777777" w:rsidR="00584EC1" w:rsidRDefault="00871F8D">
            <w:pPr>
              <w:jc w:val="right"/>
              <w:textAlignment w:val="bottom"/>
            </w:pPr>
            <w:r>
              <w:rPr>
                <w:rFonts w:ascii="Arial" w:eastAsia="宋体" w:hAnsi="Arial" w:cs="Arial"/>
                <w:b/>
                <w:bCs/>
                <w:color w:val="000000"/>
                <w:sz w:val="12"/>
                <w:szCs w:val="12"/>
              </w:rPr>
              <w:t>2,504</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194C" w14:textId="77777777" w:rsidR="00584EC1" w:rsidRDefault="00584EC1">
            <w:pPr>
              <w:jc w:val="right"/>
              <w:rPr>
                <w:rFonts w:ascii="宋体"/>
              </w:rPr>
            </w:pPr>
          </w:p>
        </w:tc>
      </w:tr>
      <w:tr w:rsidR="00584EC1" w14:paraId="74DE196C" w14:textId="77777777">
        <w:tc>
          <w:tcPr>
            <w:tcW w:w="0" w:type="auto"/>
            <w:gridSpan w:val="3"/>
            <w:shd w:val="clear" w:color="auto" w:fill="CCEEFF"/>
            <w:tcMar>
              <w:top w:w="40" w:type="dxa"/>
              <w:left w:w="155" w:type="dxa"/>
              <w:bottom w:w="40" w:type="dxa"/>
              <w:right w:w="20" w:type="dxa"/>
            </w:tcMar>
            <w:vAlign w:val="bottom"/>
          </w:tcPr>
          <w:p w14:paraId="74DE194E" w14:textId="77777777" w:rsidR="00584EC1" w:rsidRDefault="00871F8D">
            <w:pPr>
              <w:textAlignment w:val="bottom"/>
            </w:pPr>
            <w:r>
              <w:rPr>
                <w:rFonts w:ascii="Arial" w:eastAsia="宋体" w:hAnsi="Arial" w:cs="Arial"/>
                <w:color w:val="000000"/>
                <w:sz w:val="12"/>
                <w:szCs w:val="12"/>
              </w:rPr>
              <w:t>Net interest income</w:t>
            </w:r>
          </w:p>
        </w:tc>
        <w:tc>
          <w:tcPr>
            <w:tcW w:w="0" w:type="auto"/>
            <w:gridSpan w:val="2"/>
            <w:shd w:val="clear" w:color="auto" w:fill="CCEEFF"/>
            <w:tcMar>
              <w:top w:w="40" w:type="dxa"/>
              <w:left w:w="20" w:type="dxa"/>
              <w:bottom w:w="40" w:type="dxa"/>
              <w:right w:w="0" w:type="dxa"/>
            </w:tcMar>
            <w:vAlign w:val="bottom"/>
          </w:tcPr>
          <w:p w14:paraId="74DE194F"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195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95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952" w14:textId="77777777" w:rsidR="00584EC1" w:rsidRDefault="00871F8D">
            <w:pPr>
              <w:jc w:val="right"/>
              <w:textAlignment w:val="bottom"/>
            </w:pPr>
            <w:r>
              <w:rPr>
                <w:rFonts w:ascii="Arial" w:eastAsia="宋体" w:hAnsi="Arial" w:cs="Arial"/>
                <w:b/>
                <w:bCs/>
                <w:color w:val="000000"/>
                <w:sz w:val="12"/>
                <w:szCs w:val="12"/>
              </w:rPr>
              <w:t>491</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195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954"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955" w14:textId="77777777" w:rsidR="00584EC1" w:rsidRDefault="00871F8D">
            <w:pPr>
              <w:jc w:val="right"/>
              <w:textAlignment w:val="bottom"/>
            </w:pPr>
            <w:r>
              <w:rPr>
                <w:rFonts w:ascii="Arial" w:eastAsia="宋体" w:hAnsi="Arial" w:cs="Arial"/>
                <w:b/>
                <w:bCs/>
                <w:color w:val="000000"/>
                <w:sz w:val="12"/>
                <w:szCs w:val="12"/>
              </w:rPr>
              <w:t>491</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195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95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958"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195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95A"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95B" w14:textId="77777777" w:rsidR="00584EC1" w:rsidRDefault="00871F8D">
            <w:pPr>
              <w:jc w:val="right"/>
              <w:textAlignment w:val="bottom"/>
            </w:pPr>
            <w:r>
              <w:rPr>
                <w:rFonts w:ascii="Arial" w:eastAsia="宋体" w:hAnsi="Arial" w:cs="Arial"/>
                <w:b/>
                <w:bCs/>
                <w:color w:val="000000"/>
                <w:sz w:val="12"/>
                <w:szCs w:val="12"/>
              </w:rPr>
              <w:t>(4)</w:t>
            </w:r>
          </w:p>
        </w:tc>
        <w:tc>
          <w:tcPr>
            <w:tcW w:w="0" w:type="auto"/>
            <w:shd w:val="clear" w:color="auto" w:fill="CCEEFF"/>
            <w:tcMar>
              <w:top w:w="40" w:type="dxa"/>
              <w:left w:w="0" w:type="dxa"/>
              <w:bottom w:w="40" w:type="dxa"/>
              <w:right w:w="20" w:type="dxa"/>
            </w:tcMar>
            <w:vAlign w:val="bottom"/>
          </w:tcPr>
          <w:p w14:paraId="74DE195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95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95E" w14:textId="77777777" w:rsidR="00584EC1" w:rsidRDefault="00871F8D">
            <w:pPr>
              <w:jc w:val="right"/>
              <w:textAlignment w:val="bottom"/>
            </w:pPr>
            <w:r>
              <w:rPr>
                <w:rFonts w:ascii="Arial" w:eastAsia="宋体" w:hAnsi="Arial" w:cs="Arial"/>
                <w:b/>
                <w:bCs/>
                <w:color w:val="000000"/>
                <w:sz w:val="12"/>
                <w:szCs w:val="12"/>
              </w:rPr>
              <w:t>(4)</w:t>
            </w:r>
          </w:p>
        </w:tc>
        <w:tc>
          <w:tcPr>
            <w:tcW w:w="0" w:type="auto"/>
            <w:shd w:val="clear" w:color="auto" w:fill="CCEEFF"/>
            <w:tcMar>
              <w:top w:w="40" w:type="dxa"/>
              <w:left w:w="0" w:type="dxa"/>
              <w:bottom w:w="40" w:type="dxa"/>
              <w:right w:w="20" w:type="dxa"/>
            </w:tcMar>
            <w:vAlign w:val="bottom"/>
          </w:tcPr>
          <w:p w14:paraId="74DE195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96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961"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196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963"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964"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196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96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967"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196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96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96A" w14:textId="77777777" w:rsidR="00584EC1" w:rsidRDefault="00871F8D">
            <w:pPr>
              <w:jc w:val="right"/>
              <w:textAlignment w:val="bottom"/>
            </w:pPr>
            <w:r>
              <w:rPr>
                <w:rFonts w:ascii="Arial" w:eastAsia="宋体" w:hAnsi="Arial" w:cs="Arial"/>
                <w:b/>
                <w:bCs/>
                <w:color w:val="000000"/>
                <w:sz w:val="12"/>
                <w:szCs w:val="12"/>
              </w:rPr>
              <w:t>487</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196B" w14:textId="77777777" w:rsidR="00584EC1" w:rsidRDefault="00584EC1">
            <w:pPr>
              <w:jc w:val="right"/>
              <w:rPr>
                <w:rFonts w:ascii="宋体"/>
              </w:rPr>
            </w:pPr>
          </w:p>
        </w:tc>
      </w:tr>
      <w:tr w:rsidR="00584EC1" w14:paraId="74DE198B" w14:textId="77777777">
        <w:tc>
          <w:tcPr>
            <w:tcW w:w="0" w:type="auto"/>
            <w:gridSpan w:val="3"/>
            <w:shd w:val="clear" w:color="auto" w:fill="FFFFFF"/>
            <w:tcMar>
              <w:top w:w="40" w:type="dxa"/>
              <w:left w:w="155" w:type="dxa"/>
              <w:bottom w:w="40" w:type="dxa"/>
              <w:right w:w="20" w:type="dxa"/>
            </w:tcMar>
            <w:vAlign w:val="bottom"/>
          </w:tcPr>
          <w:p w14:paraId="74DE196D" w14:textId="77777777" w:rsidR="00584EC1" w:rsidRDefault="00871F8D">
            <w:pPr>
              <w:textAlignment w:val="bottom"/>
            </w:pPr>
            <w:r>
              <w:rPr>
                <w:rFonts w:ascii="Arial" w:eastAsia="宋体" w:hAnsi="Arial" w:cs="Arial"/>
                <w:color w:val="000000"/>
                <w:sz w:val="12"/>
                <w:szCs w:val="12"/>
              </w:rPr>
              <w:t>Total other income</w:t>
            </w:r>
          </w:p>
        </w:tc>
        <w:tc>
          <w:tcPr>
            <w:tcW w:w="0" w:type="auto"/>
            <w:gridSpan w:val="2"/>
            <w:shd w:val="clear" w:color="auto" w:fill="FFFFFF"/>
            <w:tcMar>
              <w:top w:w="40" w:type="dxa"/>
              <w:left w:w="20" w:type="dxa"/>
              <w:bottom w:w="40" w:type="dxa"/>
              <w:right w:w="0" w:type="dxa"/>
            </w:tcMar>
            <w:vAlign w:val="bottom"/>
          </w:tcPr>
          <w:p w14:paraId="74DE196E"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196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97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971" w14:textId="77777777" w:rsidR="00584EC1" w:rsidRDefault="00871F8D">
            <w:pPr>
              <w:jc w:val="right"/>
              <w:textAlignment w:val="bottom"/>
            </w:pPr>
            <w:r>
              <w:rPr>
                <w:rFonts w:ascii="Arial" w:eastAsia="宋体" w:hAnsi="Arial" w:cs="Arial"/>
                <w:b/>
                <w:bCs/>
                <w:color w:val="000000"/>
                <w:sz w:val="12"/>
                <w:szCs w:val="12"/>
              </w:rPr>
              <w:t>(1)</w:t>
            </w:r>
          </w:p>
        </w:tc>
        <w:tc>
          <w:tcPr>
            <w:tcW w:w="0" w:type="auto"/>
            <w:shd w:val="clear" w:color="auto" w:fill="FFFFFF"/>
            <w:tcMar>
              <w:top w:w="40" w:type="dxa"/>
              <w:left w:w="0" w:type="dxa"/>
              <w:bottom w:w="40" w:type="dxa"/>
              <w:right w:w="20" w:type="dxa"/>
            </w:tcMar>
            <w:vAlign w:val="bottom"/>
          </w:tcPr>
          <w:p w14:paraId="74DE197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97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974" w14:textId="77777777" w:rsidR="00584EC1" w:rsidRDefault="00871F8D">
            <w:pPr>
              <w:jc w:val="right"/>
              <w:textAlignment w:val="bottom"/>
            </w:pPr>
            <w:r>
              <w:rPr>
                <w:rFonts w:ascii="Arial" w:eastAsia="宋体" w:hAnsi="Arial" w:cs="Arial"/>
                <w:b/>
                <w:bCs/>
                <w:color w:val="000000"/>
                <w:sz w:val="12"/>
                <w:szCs w:val="12"/>
              </w:rPr>
              <w:t>(1)</w:t>
            </w:r>
          </w:p>
        </w:tc>
        <w:tc>
          <w:tcPr>
            <w:tcW w:w="0" w:type="auto"/>
            <w:shd w:val="clear" w:color="auto" w:fill="FFFFFF"/>
            <w:tcMar>
              <w:top w:w="40" w:type="dxa"/>
              <w:left w:w="0" w:type="dxa"/>
              <w:bottom w:w="40" w:type="dxa"/>
              <w:right w:w="20" w:type="dxa"/>
            </w:tcMar>
            <w:vAlign w:val="bottom"/>
          </w:tcPr>
          <w:p w14:paraId="74DE197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97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977"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197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97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97A"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197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97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97D"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197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97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980"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198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98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983"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198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985"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986"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198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988"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989" w14:textId="77777777" w:rsidR="00584EC1" w:rsidRDefault="00871F8D">
            <w:pPr>
              <w:jc w:val="right"/>
              <w:textAlignment w:val="bottom"/>
            </w:pPr>
            <w:r>
              <w:rPr>
                <w:rFonts w:ascii="Arial" w:eastAsia="宋体" w:hAnsi="Arial" w:cs="Arial"/>
                <w:b/>
                <w:bCs/>
                <w:color w:val="000000"/>
                <w:sz w:val="12"/>
                <w:szCs w:val="12"/>
              </w:rPr>
              <w:t>(1)</w:t>
            </w:r>
          </w:p>
        </w:tc>
        <w:tc>
          <w:tcPr>
            <w:tcW w:w="0" w:type="auto"/>
            <w:shd w:val="clear" w:color="auto" w:fill="FFFFFF"/>
            <w:tcMar>
              <w:top w:w="40" w:type="dxa"/>
              <w:left w:w="0" w:type="dxa"/>
              <w:bottom w:w="40" w:type="dxa"/>
              <w:right w:w="20" w:type="dxa"/>
            </w:tcMar>
            <w:vAlign w:val="bottom"/>
          </w:tcPr>
          <w:p w14:paraId="74DE198A" w14:textId="77777777" w:rsidR="00584EC1" w:rsidRDefault="00584EC1">
            <w:pPr>
              <w:jc w:val="right"/>
              <w:rPr>
                <w:rFonts w:ascii="宋体"/>
              </w:rPr>
            </w:pPr>
          </w:p>
        </w:tc>
      </w:tr>
      <w:tr w:rsidR="00871F8D" w14:paraId="74DE19B4" w14:textId="77777777">
        <w:tc>
          <w:tcPr>
            <w:tcW w:w="0" w:type="auto"/>
            <w:gridSpan w:val="3"/>
            <w:shd w:val="clear" w:color="auto" w:fill="CCEEFF"/>
            <w:tcMar>
              <w:top w:w="40" w:type="dxa"/>
              <w:left w:w="20" w:type="dxa"/>
              <w:bottom w:w="40" w:type="dxa"/>
              <w:right w:w="20" w:type="dxa"/>
            </w:tcMar>
            <w:vAlign w:val="bottom"/>
          </w:tcPr>
          <w:p w14:paraId="74DE198C" w14:textId="77777777" w:rsidR="00584EC1" w:rsidRDefault="00871F8D">
            <w:pPr>
              <w:textAlignment w:val="bottom"/>
            </w:pPr>
            <w:r>
              <w:rPr>
                <w:rFonts w:ascii="Arial" w:eastAsia="宋体" w:hAnsi="Arial" w:cs="Arial"/>
                <w:b/>
                <w:bCs/>
                <w:color w:val="000000"/>
                <w:sz w:val="12"/>
                <w:szCs w:val="12"/>
              </w:rPr>
              <w:t>Total revenue</w:t>
            </w:r>
          </w:p>
        </w:tc>
        <w:tc>
          <w:tcPr>
            <w:tcW w:w="0" w:type="auto"/>
            <w:tcBorders>
              <w:top w:val="single" w:sz="8" w:space="0" w:color="000000"/>
            </w:tcBorders>
            <w:shd w:val="clear" w:color="auto" w:fill="CCEEFF"/>
            <w:tcMar>
              <w:top w:w="40" w:type="dxa"/>
              <w:left w:w="20" w:type="dxa"/>
              <w:bottom w:w="40" w:type="dxa"/>
              <w:right w:w="0" w:type="dxa"/>
            </w:tcMar>
            <w:vAlign w:val="bottom"/>
          </w:tcPr>
          <w:p w14:paraId="74DE198D"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198E" w14:textId="77777777" w:rsidR="00584EC1" w:rsidRDefault="00871F8D">
            <w:pPr>
              <w:jc w:val="right"/>
              <w:textAlignment w:val="bottom"/>
            </w:pPr>
            <w:r>
              <w:rPr>
                <w:rFonts w:ascii="Arial" w:eastAsia="宋体" w:hAnsi="Arial" w:cs="Arial"/>
                <w:b/>
                <w:bCs/>
                <w:color w:val="000000"/>
                <w:sz w:val="12"/>
                <w:szCs w:val="12"/>
              </w:rPr>
              <w:t>1,663</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98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990"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1991"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1992" w14:textId="77777777" w:rsidR="00584EC1" w:rsidRDefault="00871F8D">
            <w:pPr>
              <w:jc w:val="right"/>
              <w:textAlignment w:val="bottom"/>
            </w:pPr>
            <w:r>
              <w:rPr>
                <w:rFonts w:ascii="Arial" w:eastAsia="宋体" w:hAnsi="Arial" w:cs="Arial"/>
                <w:b/>
                <w:bCs/>
                <w:color w:val="000000"/>
                <w:sz w:val="12"/>
                <w:szCs w:val="12"/>
              </w:rPr>
              <w:t>795</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99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994"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1995"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1996" w14:textId="77777777" w:rsidR="00584EC1" w:rsidRDefault="00871F8D">
            <w:pPr>
              <w:jc w:val="right"/>
              <w:textAlignment w:val="bottom"/>
            </w:pPr>
            <w:r>
              <w:rPr>
                <w:rFonts w:ascii="Arial" w:eastAsia="宋体" w:hAnsi="Arial" w:cs="Arial"/>
                <w:b/>
                <w:bCs/>
                <w:color w:val="000000"/>
                <w:sz w:val="12"/>
                <w:szCs w:val="12"/>
              </w:rPr>
              <w:t>2,458</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99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998"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1999"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199A" w14:textId="77777777" w:rsidR="00584EC1" w:rsidRDefault="00871F8D">
            <w:pPr>
              <w:jc w:val="right"/>
              <w:textAlignment w:val="bottom"/>
            </w:pPr>
            <w:r>
              <w:rPr>
                <w:rFonts w:ascii="Arial" w:eastAsia="宋体" w:hAnsi="Arial" w:cs="Arial"/>
                <w:b/>
                <w:bCs/>
                <w:color w:val="000000"/>
                <w:sz w:val="12"/>
                <w:szCs w:val="12"/>
              </w:rPr>
              <w:t>539</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99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99C"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199D"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199E" w14:textId="77777777" w:rsidR="00584EC1" w:rsidRDefault="00871F8D">
            <w:pPr>
              <w:jc w:val="right"/>
              <w:textAlignment w:val="bottom"/>
            </w:pPr>
            <w:r>
              <w:rPr>
                <w:rFonts w:ascii="Arial" w:eastAsia="宋体" w:hAnsi="Arial" w:cs="Arial"/>
                <w:b/>
                <w:bCs/>
                <w:color w:val="000000"/>
                <w:sz w:val="12"/>
                <w:szCs w:val="12"/>
              </w:rPr>
              <w:t>(7)</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99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9A0"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19A1"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19A2" w14:textId="77777777" w:rsidR="00584EC1" w:rsidRDefault="00871F8D">
            <w:pPr>
              <w:jc w:val="right"/>
              <w:textAlignment w:val="bottom"/>
            </w:pPr>
            <w:r>
              <w:rPr>
                <w:rFonts w:ascii="Arial" w:eastAsia="宋体" w:hAnsi="Arial" w:cs="Arial"/>
                <w:b/>
                <w:bCs/>
                <w:color w:val="000000"/>
                <w:sz w:val="12"/>
                <w:szCs w:val="12"/>
              </w:rPr>
              <w:t>532</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9A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9A4"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19A5"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19A6"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9A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9A8"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19A9"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19AA"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9A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9AC"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19AD"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19AE"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9A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9B0"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19B1"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19B2" w14:textId="77777777" w:rsidR="00584EC1" w:rsidRDefault="00871F8D">
            <w:pPr>
              <w:jc w:val="right"/>
              <w:textAlignment w:val="bottom"/>
            </w:pPr>
            <w:r>
              <w:rPr>
                <w:rFonts w:ascii="Arial" w:eastAsia="宋体" w:hAnsi="Arial" w:cs="Arial"/>
                <w:b/>
                <w:bCs/>
                <w:color w:val="000000"/>
                <w:sz w:val="12"/>
                <w:szCs w:val="12"/>
              </w:rPr>
              <w:t>2,990</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9B3" w14:textId="77777777" w:rsidR="00584EC1" w:rsidRDefault="00584EC1">
            <w:pPr>
              <w:jc w:val="right"/>
              <w:rPr>
                <w:rFonts w:ascii="宋体"/>
              </w:rPr>
            </w:pPr>
          </w:p>
        </w:tc>
      </w:tr>
      <w:tr w:rsidR="00584EC1" w14:paraId="74DE19C9" w14:textId="77777777">
        <w:trPr>
          <w:trHeight w:val="60"/>
        </w:trPr>
        <w:tc>
          <w:tcPr>
            <w:tcW w:w="0" w:type="auto"/>
            <w:gridSpan w:val="3"/>
            <w:shd w:val="clear" w:color="auto" w:fill="auto"/>
            <w:tcMar>
              <w:top w:w="0" w:type="dxa"/>
              <w:left w:w="20" w:type="dxa"/>
              <w:bottom w:w="0" w:type="dxa"/>
              <w:right w:w="20" w:type="dxa"/>
            </w:tcMar>
            <w:vAlign w:val="bottom"/>
          </w:tcPr>
          <w:p w14:paraId="74DE19B5"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E19B6"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19B7"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E19B8"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19B9"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E19BA"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19BB"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E19BC"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19BD"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E19BE"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19BF"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E19C0"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19C1"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E19C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19C3"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E19C4"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19C5"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E19C6"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19C7"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E19C8" w14:textId="77777777" w:rsidR="00584EC1" w:rsidRDefault="00584EC1">
            <w:pPr>
              <w:rPr>
                <w:rFonts w:ascii="宋体"/>
              </w:rPr>
            </w:pPr>
          </w:p>
        </w:tc>
      </w:tr>
      <w:tr w:rsidR="00584EC1" w14:paraId="74DE19CC" w14:textId="77777777">
        <w:tc>
          <w:tcPr>
            <w:tcW w:w="0" w:type="auto"/>
            <w:gridSpan w:val="3"/>
            <w:shd w:val="clear" w:color="auto" w:fill="auto"/>
            <w:tcMar>
              <w:top w:w="0" w:type="dxa"/>
              <w:left w:w="20" w:type="dxa"/>
              <w:bottom w:w="0" w:type="dxa"/>
              <w:right w:w="20" w:type="dxa"/>
            </w:tcMar>
            <w:vAlign w:val="bottom"/>
          </w:tcPr>
          <w:p w14:paraId="74DE19CA" w14:textId="77777777" w:rsidR="00584EC1" w:rsidRDefault="00584EC1">
            <w:pPr>
              <w:rPr>
                <w:rFonts w:ascii="宋体"/>
              </w:rPr>
            </w:pPr>
          </w:p>
        </w:tc>
        <w:tc>
          <w:tcPr>
            <w:tcW w:w="0" w:type="auto"/>
            <w:gridSpan w:val="57"/>
            <w:shd w:val="clear" w:color="auto" w:fill="auto"/>
            <w:tcMar>
              <w:top w:w="40" w:type="dxa"/>
              <w:left w:w="20" w:type="dxa"/>
              <w:bottom w:w="40" w:type="dxa"/>
              <w:right w:w="20" w:type="dxa"/>
            </w:tcMar>
            <w:vAlign w:val="bottom"/>
          </w:tcPr>
          <w:p w14:paraId="74DE19CB" w14:textId="77777777" w:rsidR="00584EC1" w:rsidRDefault="00871F8D">
            <w:pPr>
              <w:jc w:val="center"/>
              <w:textAlignment w:val="bottom"/>
            </w:pPr>
            <w:r>
              <w:rPr>
                <w:rFonts w:ascii="Arial" w:eastAsia="宋体" w:hAnsi="Arial" w:cs="Arial"/>
                <w:b/>
                <w:bCs/>
                <w:color w:val="000000"/>
                <w:sz w:val="12"/>
                <w:szCs w:val="12"/>
              </w:rPr>
              <w:t>Nine Months Ended September 30, 2021</w:t>
            </w:r>
          </w:p>
        </w:tc>
      </w:tr>
      <w:tr w:rsidR="00584EC1" w14:paraId="74DE19D5" w14:textId="77777777">
        <w:tc>
          <w:tcPr>
            <w:tcW w:w="0" w:type="auto"/>
            <w:gridSpan w:val="3"/>
            <w:shd w:val="clear" w:color="auto" w:fill="auto"/>
            <w:tcMar>
              <w:top w:w="0" w:type="dxa"/>
              <w:left w:w="20" w:type="dxa"/>
              <w:bottom w:w="0" w:type="dxa"/>
              <w:right w:w="20" w:type="dxa"/>
            </w:tcMar>
            <w:vAlign w:val="bottom"/>
          </w:tcPr>
          <w:p w14:paraId="74DE19CD" w14:textId="77777777" w:rsidR="00584EC1" w:rsidRDefault="00584EC1">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4DE19CE" w14:textId="77777777" w:rsidR="00584EC1" w:rsidRDefault="00871F8D">
            <w:pPr>
              <w:jc w:val="center"/>
              <w:textAlignment w:val="bottom"/>
            </w:pPr>
            <w:r>
              <w:rPr>
                <w:rFonts w:ascii="Arial" w:eastAsia="宋体" w:hAnsi="Arial" w:cs="Arial"/>
                <w:b/>
                <w:bCs/>
                <w:color w:val="000000"/>
                <w:sz w:val="12"/>
                <w:szCs w:val="12"/>
              </w:rPr>
              <w:t>Investment Servicing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19CF" w14:textId="77777777" w:rsidR="00584EC1" w:rsidRDefault="00584EC1">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4DE19D0" w14:textId="77777777" w:rsidR="00584EC1" w:rsidRDefault="00871F8D">
            <w:pPr>
              <w:jc w:val="center"/>
              <w:textAlignment w:val="bottom"/>
            </w:pPr>
            <w:r>
              <w:rPr>
                <w:rFonts w:ascii="Arial" w:eastAsia="宋体" w:hAnsi="Arial" w:cs="Arial"/>
                <w:b/>
                <w:bCs/>
                <w:color w:val="000000"/>
                <w:sz w:val="12"/>
                <w:szCs w:val="12"/>
              </w:rPr>
              <w:t>Investment Management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19D1" w14:textId="77777777" w:rsidR="00584EC1" w:rsidRDefault="00584EC1">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4DE19D2" w14:textId="77777777" w:rsidR="00584EC1" w:rsidRDefault="00871F8D">
            <w:pPr>
              <w:jc w:val="center"/>
              <w:textAlignment w:val="bottom"/>
            </w:pPr>
            <w:r>
              <w:rPr>
                <w:rFonts w:ascii="Arial" w:eastAsia="宋体" w:hAnsi="Arial" w:cs="Arial"/>
                <w:b/>
                <w:bCs/>
                <w:color w:val="000000"/>
                <w:sz w:val="12"/>
                <w:szCs w:val="12"/>
              </w:rPr>
              <w:t>Other</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19D3"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19D4" w14:textId="77777777" w:rsidR="00584EC1" w:rsidRDefault="00871F8D">
            <w:pPr>
              <w:jc w:val="center"/>
              <w:textAlignment w:val="bottom"/>
            </w:pPr>
            <w:r>
              <w:rPr>
                <w:rFonts w:ascii="Arial" w:eastAsia="宋体" w:hAnsi="Arial" w:cs="Arial"/>
                <w:b/>
                <w:bCs/>
                <w:color w:val="000000"/>
                <w:sz w:val="12"/>
                <w:szCs w:val="12"/>
              </w:rPr>
              <w:t>Total</w:t>
            </w:r>
          </w:p>
        </w:tc>
      </w:tr>
      <w:tr w:rsidR="00584EC1" w14:paraId="74DE19EA" w14:textId="77777777">
        <w:tc>
          <w:tcPr>
            <w:tcW w:w="0" w:type="auto"/>
            <w:gridSpan w:val="3"/>
            <w:shd w:val="clear" w:color="auto" w:fill="auto"/>
            <w:tcMar>
              <w:top w:w="40" w:type="dxa"/>
              <w:left w:w="20" w:type="dxa"/>
              <w:bottom w:w="40" w:type="dxa"/>
              <w:right w:w="20" w:type="dxa"/>
            </w:tcMar>
            <w:vAlign w:val="bottom"/>
          </w:tcPr>
          <w:p w14:paraId="74DE19D6" w14:textId="77777777" w:rsidR="00584EC1" w:rsidRDefault="00871F8D">
            <w:pPr>
              <w:textAlignment w:val="bottom"/>
            </w:pPr>
            <w:r>
              <w:rPr>
                <w:rFonts w:ascii="Arial" w:eastAsia="宋体" w:hAnsi="Arial" w:cs="Arial"/>
                <w:b/>
                <w:bCs/>
                <w:color w:val="000000"/>
                <w:sz w:val="12"/>
                <w:szCs w:val="12"/>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19D7" w14:textId="77777777" w:rsidR="00584EC1" w:rsidRDefault="00871F8D">
            <w:pPr>
              <w:jc w:val="center"/>
              <w:textAlignment w:val="bottom"/>
            </w:pPr>
            <w:r>
              <w:rPr>
                <w:rFonts w:ascii="Arial" w:eastAsia="宋体" w:hAnsi="Arial" w:cs="Arial"/>
                <w:b/>
                <w:bCs/>
                <w:color w:val="000000"/>
                <w:sz w:val="12"/>
                <w:szCs w:val="12"/>
              </w:rPr>
              <w:t>Topic 606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19D8"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19D9" w14:textId="77777777" w:rsidR="00584EC1" w:rsidRDefault="00871F8D">
            <w:pPr>
              <w:jc w:val="center"/>
              <w:textAlignment w:val="bottom"/>
            </w:pPr>
            <w:r>
              <w:rPr>
                <w:rFonts w:ascii="Arial" w:eastAsia="宋体" w:hAnsi="Arial" w:cs="Arial"/>
                <w:b/>
                <w:bCs/>
                <w:color w:val="000000"/>
                <w:sz w:val="12"/>
                <w:szCs w:val="12"/>
              </w:rPr>
              <w:t>All other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19DA"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19DB" w14:textId="77777777" w:rsidR="00584EC1" w:rsidRDefault="00871F8D">
            <w:pPr>
              <w:jc w:val="center"/>
              <w:textAlignment w:val="bottom"/>
            </w:pPr>
            <w:r>
              <w:rPr>
                <w:rFonts w:ascii="Arial" w:eastAsia="宋体" w:hAnsi="Arial" w:cs="Arial"/>
                <w:b/>
                <w:bCs/>
                <w:color w:val="000000"/>
                <w:sz w:val="12"/>
                <w:szCs w:val="12"/>
              </w:rPr>
              <w:t>Total</w:t>
            </w:r>
          </w:p>
        </w:tc>
        <w:tc>
          <w:tcPr>
            <w:tcW w:w="0" w:type="auto"/>
            <w:gridSpan w:val="3"/>
            <w:shd w:val="clear" w:color="auto" w:fill="auto"/>
            <w:tcMar>
              <w:top w:w="0" w:type="dxa"/>
              <w:left w:w="20" w:type="dxa"/>
              <w:bottom w:w="0" w:type="dxa"/>
              <w:right w:w="20" w:type="dxa"/>
            </w:tcMar>
            <w:vAlign w:val="bottom"/>
          </w:tcPr>
          <w:p w14:paraId="74DE19DC"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19DD" w14:textId="77777777" w:rsidR="00584EC1" w:rsidRDefault="00871F8D">
            <w:pPr>
              <w:jc w:val="center"/>
              <w:textAlignment w:val="bottom"/>
            </w:pPr>
            <w:r>
              <w:rPr>
                <w:rFonts w:ascii="Arial" w:eastAsia="宋体" w:hAnsi="Arial" w:cs="Arial"/>
                <w:b/>
                <w:bCs/>
                <w:color w:val="000000"/>
                <w:sz w:val="12"/>
                <w:szCs w:val="12"/>
              </w:rPr>
              <w:t>Topic 606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19DE"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19DF" w14:textId="77777777" w:rsidR="00584EC1" w:rsidRDefault="00871F8D">
            <w:pPr>
              <w:jc w:val="center"/>
              <w:textAlignment w:val="bottom"/>
            </w:pPr>
            <w:r>
              <w:rPr>
                <w:rFonts w:ascii="Arial" w:eastAsia="宋体" w:hAnsi="Arial" w:cs="Arial"/>
                <w:b/>
                <w:bCs/>
                <w:color w:val="000000"/>
                <w:sz w:val="12"/>
                <w:szCs w:val="12"/>
              </w:rPr>
              <w:t>All other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19E0"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19E1" w14:textId="77777777" w:rsidR="00584EC1" w:rsidRDefault="00871F8D">
            <w:pPr>
              <w:jc w:val="center"/>
              <w:textAlignment w:val="bottom"/>
            </w:pPr>
            <w:r>
              <w:rPr>
                <w:rFonts w:ascii="Arial" w:eastAsia="宋体" w:hAnsi="Arial" w:cs="Arial"/>
                <w:b/>
                <w:bCs/>
                <w:color w:val="000000"/>
                <w:sz w:val="12"/>
                <w:szCs w:val="12"/>
              </w:rPr>
              <w:t>Total</w:t>
            </w:r>
          </w:p>
        </w:tc>
        <w:tc>
          <w:tcPr>
            <w:tcW w:w="0" w:type="auto"/>
            <w:gridSpan w:val="3"/>
            <w:shd w:val="clear" w:color="auto" w:fill="auto"/>
            <w:tcMar>
              <w:top w:w="0" w:type="dxa"/>
              <w:left w:w="20" w:type="dxa"/>
              <w:bottom w:w="0" w:type="dxa"/>
              <w:right w:w="20" w:type="dxa"/>
            </w:tcMar>
            <w:vAlign w:val="bottom"/>
          </w:tcPr>
          <w:p w14:paraId="74DE19E2"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19E3" w14:textId="77777777" w:rsidR="00584EC1" w:rsidRDefault="00871F8D">
            <w:pPr>
              <w:jc w:val="center"/>
              <w:textAlignment w:val="bottom"/>
            </w:pPr>
            <w:r>
              <w:rPr>
                <w:rFonts w:ascii="Arial" w:eastAsia="宋体" w:hAnsi="Arial" w:cs="Arial"/>
                <w:b/>
                <w:bCs/>
                <w:color w:val="000000"/>
                <w:sz w:val="12"/>
                <w:szCs w:val="12"/>
              </w:rPr>
              <w:t xml:space="preserve">Topic 606 </w:t>
            </w:r>
            <w:r>
              <w:rPr>
                <w:rFonts w:ascii="Arial" w:eastAsia="宋体" w:hAnsi="Arial" w:cs="Arial"/>
                <w:b/>
                <w:bCs/>
                <w:color w:val="000000"/>
                <w:sz w:val="12"/>
                <w:szCs w:val="12"/>
              </w:rPr>
              <w:t>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19E4"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19E5" w14:textId="77777777" w:rsidR="00584EC1" w:rsidRDefault="00871F8D">
            <w:pPr>
              <w:jc w:val="center"/>
              <w:textAlignment w:val="bottom"/>
            </w:pPr>
            <w:r>
              <w:rPr>
                <w:rFonts w:ascii="Arial" w:eastAsia="宋体" w:hAnsi="Arial" w:cs="Arial"/>
                <w:b/>
                <w:bCs/>
                <w:color w:val="000000"/>
                <w:sz w:val="12"/>
                <w:szCs w:val="12"/>
              </w:rPr>
              <w:t>All other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19E6"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19E7" w14:textId="77777777" w:rsidR="00584EC1" w:rsidRDefault="00871F8D">
            <w:pPr>
              <w:jc w:val="center"/>
              <w:textAlignment w:val="bottom"/>
            </w:pPr>
            <w:r>
              <w:rPr>
                <w:rFonts w:ascii="Arial" w:eastAsia="宋体" w:hAnsi="Arial" w:cs="Arial"/>
                <w:b/>
                <w:bCs/>
                <w:color w:val="000000"/>
                <w:sz w:val="12"/>
                <w:szCs w:val="12"/>
              </w:rPr>
              <w:t>Total</w:t>
            </w:r>
          </w:p>
        </w:tc>
        <w:tc>
          <w:tcPr>
            <w:tcW w:w="0" w:type="auto"/>
            <w:gridSpan w:val="3"/>
            <w:shd w:val="clear" w:color="auto" w:fill="auto"/>
            <w:tcMar>
              <w:top w:w="0" w:type="dxa"/>
              <w:left w:w="20" w:type="dxa"/>
              <w:bottom w:w="0" w:type="dxa"/>
              <w:right w:w="20" w:type="dxa"/>
            </w:tcMar>
            <w:vAlign w:val="bottom"/>
          </w:tcPr>
          <w:p w14:paraId="74DE19E8"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19E9" w14:textId="77777777" w:rsidR="00584EC1" w:rsidRDefault="00871F8D">
            <w:pPr>
              <w:jc w:val="center"/>
              <w:textAlignment w:val="bottom"/>
            </w:pPr>
            <w:r>
              <w:rPr>
                <w:rFonts w:ascii="Arial" w:eastAsia="宋体" w:hAnsi="Arial" w:cs="Arial"/>
                <w:b/>
                <w:bCs/>
                <w:color w:val="000000"/>
                <w:sz w:val="12"/>
                <w:szCs w:val="12"/>
              </w:rPr>
              <w:t>2021</w:t>
            </w:r>
          </w:p>
        </w:tc>
      </w:tr>
      <w:tr w:rsidR="00871F8D" w14:paraId="74DE1A13" w14:textId="77777777">
        <w:tc>
          <w:tcPr>
            <w:tcW w:w="0" w:type="auto"/>
            <w:gridSpan w:val="3"/>
            <w:shd w:val="clear" w:color="auto" w:fill="CCEEFF"/>
            <w:tcMar>
              <w:top w:w="40" w:type="dxa"/>
              <w:left w:w="155" w:type="dxa"/>
              <w:bottom w:w="40" w:type="dxa"/>
              <w:right w:w="20" w:type="dxa"/>
            </w:tcMar>
            <w:vAlign w:val="bottom"/>
          </w:tcPr>
          <w:p w14:paraId="74DE19EB" w14:textId="77777777" w:rsidR="00584EC1" w:rsidRDefault="00871F8D">
            <w:pPr>
              <w:textAlignment w:val="bottom"/>
            </w:pPr>
            <w:r>
              <w:rPr>
                <w:rFonts w:ascii="Arial" w:eastAsia="宋体" w:hAnsi="Arial" w:cs="Arial"/>
                <w:color w:val="000000"/>
                <w:sz w:val="12"/>
                <w:szCs w:val="12"/>
              </w:rPr>
              <w:t>Servicing fees</w:t>
            </w:r>
          </w:p>
        </w:tc>
        <w:tc>
          <w:tcPr>
            <w:tcW w:w="0" w:type="auto"/>
            <w:tcBorders>
              <w:top w:val="single" w:sz="8" w:space="0" w:color="000000"/>
            </w:tcBorders>
            <w:shd w:val="clear" w:color="auto" w:fill="CCEEFF"/>
            <w:tcMar>
              <w:top w:w="40" w:type="dxa"/>
              <w:left w:w="20" w:type="dxa"/>
              <w:bottom w:w="40" w:type="dxa"/>
              <w:right w:w="0" w:type="dxa"/>
            </w:tcMar>
            <w:vAlign w:val="bottom"/>
          </w:tcPr>
          <w:p w14:paraId="74DE19EC"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19ED" w14:textId="77777777" w:rsidR="00584EC1" w:rsidRDefault="00871F8D">
            <w:pPr>
              <w:jc w:val="right"/>
              <w:textAlignment w:val="bottom"/>
            </w:pPr>
            <w:r>
              <w:rPr>
                <w:rFonts w:ascii="Arial" w:eastAsia="宋体" w:hAnsi="Arial" w:cs="Arial"/>
                <w:b/>
                <w:bCs/>
                <w:color w:val="000000"/>
                <w:sz w:val="12"/>
                <w:szCs w:val="12"/>
              </w:rPr>
              <w:t>4,165</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9E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9EF"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19F0"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19F1"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9F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9F3"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19F4"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19F5" w14:textId="77777777" w:rsidR="00584EC1" w:rsidRDefault="00871F8D">
            <w:pPr>
              <w:jc w:val="right"/>
              <w:textAlignment w:val="bottom"/>
            </w:pPr>
            <w:r>
              <w:rPr>
                <w:rFonts w:ascii="Arial" w:eastAsia="宋体" w:hAnsi="Arial" w:cs="Arial"/>
                <w:b/>
                <w:bCs/>
                <w:color w:val="000000"/>
                <w:sz w:val="12"/>
                <w:szCs w:val="12"/>
              </w:rPr>
              <w:t>4,165</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9F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9F7"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19F8"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19F9"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9F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9FB"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19FC"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19FD"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9F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9FF"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1A00"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1A01"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A0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A03"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1A04"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1A05"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A0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A07"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1A08"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1A09"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A0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A0B"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1A0C"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1A0D"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A0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A0F"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1A10"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1A11" w14:textId="77777777" w:rsidR="00584EC1" w:rsidRDefault="00871F8D">
            <w:pPr>
              <w:jc w:val="right"/>
              <w:textAlignment w:val="bottom"/>
            </w:pPr>
            <w:r>
              <w:rPr>
                <w:rFonts w:ascii="Arial" w:eastAsia="宋体" w:hAnsi="Arial" w:cs="Arial"/>
                <w:b/>
                <w:bCs/>
                <w:color w:val="000000"/>
                <w:sz w:val="12"/>
                <w:szCs w:val="12"/>
              </w:rPr>
              <w:t>4,165</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1A12" w14:textId="77777777" w:rsidR="00584EC1" w:rsidRDefault="00584EC1">
            <w:pPr>
              <w:jc w:val="right"/>
              <w:rPr>
                <w:rFonts w:ascii="宋体"/>
              </w:rPr>
            </w:pPr>
          </w:p>
        </w:tc>
      </w:tr>
      <w:tr w:rsidR="00584EC1" w14:paraId="74DE1A32" w14:textId="77777777">
        <w:tc>
          <w:tcPr>
            <w:tcW w:w="0" w:type="auto"/>
            <w:gridSpan w:val="3"/>
            <w:shd w:val="clear" w:color="auto" w:fill="FFFFFF"/>
            <w:tcMar>
              <w:top w:w="40" w:type="dxa"/>
              <w:left w:w="155" w:type="dxa"/>
              <w:bottom w:w="40" w:type="dxa"/>
              <w:right w:w="20" w:type="dxa"/>
            </w:tcMar>
            <w:vAlign w:val="bottom"/>
          </w:tcPr>
          <w:p w14:paraId="74DE1A14" w14:textId="77777777" w:rsidR="00584EC1" w:rsidRDefault="00871F8D">
            <w:pPr>
              <w:textAlignment w:val="bottom"/>
            </w:pPr>
            <w:r>
              <w:rPr>
                <w:rFonts w:ascii="Arial" w:eastAsia="宋体" w:hAnsi="Arial" w:cs="Arial"/>
                <w:color w:val="000000"/>
                <w:sz w:val="12"/>
                <w:szCs w:val="12"/>
              </w:rPr>
              <w:t>Management fees</w:t>
            </w:r>
          </w:p>
        </w:tc>
        <w:tc>
          <w:tcPr>
            <w:tcW w:w="0" w:type="auto"/>
            <w:gridSpan w:val="2"/>
            <w:shd w:val="clear" w:color="auto" w:fill="FFFFFF"/>
            <w:tcMar>
              <w:top w:w="40" w:type="dxa"/>
              <w:left w:w="20" w:type="dxa"/>
              <w:bottom w:w="40" w:type="dxa"/>
              <w:right w:w="0" w:type="dxa"/>
            </w:tcMar>
            <w:vAlign w:val="bottom"/>
          </w:tcPr>
          <w:p w14:paraId="74DE1A15"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1A1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A1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A18"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1A1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A1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A1B"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1A1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A1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A1E" w14:textId="77777777" w:rsidR="00584EC1" w:rsidRDefault="00871F8D">
            <w:pPr>
              <w:jc w:val="right"/>
              <w:textAlignment w:val="bottom"/>
            </w:pPr>
            <w:r>
              <w:rPr>
                <w:rFonts w:ascii="Arial" w:eastAsia="宋体" w:hAnsi="Arial" w:cs="Arial"/>
                <w:b/>
                <w:bCs/>
                <w:color w:val="000000"/>
                <w:sz w:val="12"/>
                <w:szCs w:val="12"/>
              </w:rPr>
              <w:t>1,523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1A1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A2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A21"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1A2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A2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A24" w14:textId="77777777" w:rsidR="00584EC1" w:rsidRDefault="00871F8D">
            <w:pPr>
              <w:jc w:val="right"/>
              <w:textAlignment w:val="bottom"/>
            </w:pPr>
            <w:r>
              <w:rPr>
                <w:rFonts w:ascii="Arial" w:eastAsia="宋体" w:hAnsi="Arial" w:cs="Arial"/>
                <w:b/>
                <w:bCs/>
                <w:color w:val="000000"/>
                <w:sz w:val="12"/>
                <w:szCs w:val="12"/>
              </w:rPr>
              <w:t>1,523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1A2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A2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A27"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1A2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A2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A2A"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1A2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A2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A2D"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1A2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A2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A30" w14:textId="77777777" w:rsidR="00584EC1" w:rsidRDefault="00871F8D">
            <w:pPr>
              <w:jc w:val="right"/>
              <w:textAlignment w:val="bottom"/>
            </w:pPr>
            <w:r>
              <w:rPr>
                <w:rFonts w:ascii="Arial" w:eastAsia="宋体" w:hAnsi="Arial" w:cs="Arial"/>
                <w:b/>
                <w:bCs/>
                <w:color w:val="000000"/>
                <w:sz w:val="12"/>
                <w:szCs w:val="12"/>
              </w:rPr>
              <w:t>1,523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1A31" w14:textId="77777777" w:rsidR="00584EC1" w:rsidRDefault="00584EC1">
            <w:pPr>
              <w:jc w:val="right"/>
              <w:rPr>
                <w:rFonts w:ascii="宋体"/>
              </w:rPr>
            </w:pPr>
          </w:p>
        </w:tc>
      </w:tr>
      <w:tr w:rsidR="00584EC1" w14:paraId="74DE1A51" w14:textId="77777777">
        <w:tc>
          <w:tcPr>
            <w:tcW w:w="0" w:type="auto"/>
            <w:gridSpan w:val="3"/>
            <w:shd w:val="clear" w:color="auto" w:fill="CCEEFF"/>
            <w:tcMar>
              <w:top w:w="40" w:type="dxa"/>
              <w:left w:w="155" w:type="dxa"/>
              <w:bottom w:w="40" w:type="dxa"/>
              <w:right w:w="20" w:type="dxa"/>
            </w:tcMar>
            <w:vAlign w:val="bottom"/>
          </w:tcPr>
          <w:p w14:paraId="74DE1A33" w14:textId="77777777" w:rsidR="00584EC1" w:rsidRDefault="00871F8D">
            <w:pPr>
              <w:textAlignment w:val="bottom"/>
            </w:pPr>
            <w:r>
              <w:rPr>
                <w:rFonts w:ascii="Arial" w:eastAsia="宋体" w:hAnsi="Arial" w:cs="Arial"/>
                <w:color w:val="000000"/>
                <w:sz w:val="12"/>
                <w:szCs w:val="12"/>
              </w:rPr>
              <w:t xml:space="preserve">Foreign exchange trading services </w:t>
            </w:r>
          </w:p>
        </w:tc>
        <w:tc>
          <w:tcPr>
            <w:tcW w:w="0" w:type="auto"/>
            <w:gridSpan w:val="2"/>
            <w:shd w:val="clear" w:color="auto" w:fill="CCEEFF"/>
            <w:tcMar>
              <w:top w:w="40" w:type="dxa"/>
              <w:left w:w="20" w:type="dxa"/>
              <w:bottom w:w="40" w:type="dxa"/>
              <w:right w:w="0" w:type="dxa"/>
            </w:tcMar>
            <w:vAlign w:val="bottom"/>
          </w:tcPr>
          <w:p w14:paraId="74DE1A34" w14:textId="77777777" w:rsidR="00584EC1" w:rsidRDefault="00871F8D">
            <w:pPr>
              <w:jc w:val="right"/>
              <w:textAlignment w:val="bottom"/>
            </w:pPr>
            <w:r>
              <w:rPr>
                <w:rFonts w:ascii="Arial" w:eastAsia="宋体" w:hAnsi="Arial" w:cs="Arial"/>
                <w:b/>
                <w:bCs/>
                <w:color w:val="000000"/>
                <w:sz w:val="12"/>
                <w:szCs w:val="12"/>
              </w:rPr>
              <w:t>260</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1A3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A3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A37" w14:textId="77777777" w:rsidR="00584EC1" w:rsidRDefault="00871F8D">
            <w:pPr>
              <w:jc w:val="right"/>
              <w:textAlignment w:val="bottom"/>
            </w:pPr>
            <w:r>
              <w:rPr>
                <w:rFonts w:ascii="Arial" w:eastAsia="宋体" w:hAnsi="Arial" w:cs="Arial"/>
                <w:b/>
                <w:bCs/>
                <w:color w:val="000000"/>
                <w:sz w:val="12"/>
                <w:szCs w:val="12"/>
              </w:rPr>
              <w:t>609</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1A3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A3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A3A" w14:textId="77777777" w:rsidR="00584EC1" w:rsidRDefault="00871F8D">
            <w:pPr>
              <w:jc w:val="right"/>
              <w:textAlignment w:val="bottom"/>
            </w:pPr>
            <w:r>
              <w:rPr>
                <w:rFonts w:ascii="Arial" w:eastAsia="宋体" w:hAnsi="Arial" w:cs="Arial"/>
                <w:b/>
                <w:bCs/>
                <w:color w:val="000000"/>
                <w:sz w:val="12"/>
                <w:szCs w:val="12"/>
              </w:rPr>
              <w:t>869</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1A3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A3C"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A3D" w14:textId="77777777" w:rsidR="00584EC1" w:rsidRDefault="00871F8D">
            <w:pPr>
              <w:jc w:val="right"/>
              <w:textAlignment w:val="bottom"/>
            </w:pPr>
            <w:r>
              <w:rPr>
                <w:rFonts w:ascii="Arial" w:eastAsia="宋体" w:hAnsi="Arial" w:cs="Arial"/>
                <w:b/>
                <w:bCs/>
                <w:color w:val="000000"/>
                <w:sz w:val="12"/>
                <w:szCs w:val="12"/>
              </w:rPr>
              <w:t>42</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1A3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A3F"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A40"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1A4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A42"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A43" w14:textId="77777777" w:rsidR="00584EC1" w:rsidRDefault="00871F8D">
            <w:pPr>
              <w:jc w:val="right"/>
              <w:textAlignment w:val="bottom"/>
            </w:pPr>
            <w:r>
              <w:rPr>
                <w:rFonts w:ascii="Arial" w:eastAsia="宋体" w:hAnsi="Arial" w:cs="Arial"/>
                <w:b/>
                <w:bCs/>
                <w:color w:val="000000"/>
                <w:sz w:val="12"/>
                <w:szCs w:val="12"/>
              </w:rPr>
              <w:t>42</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1A4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A4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A46"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1A4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A48"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A49"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1A4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A4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A4C"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1A4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A4E"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A4F" w14:textId="77777777" w:rsidR="00584EC1" w:rsidRDefault="00871F8D">
            <w:pPr>
              <w:jc w:val="right"/>
              <w:textAlignment w:val="bottom"/>
            </w:pPr>
            <w:r>
              <w:rPr>
                <w:rFonts w:ascii="Arial" w:eastAsia="宋体" w:hAnsi="Arial" w:cs="Arial"/>
                <w:b/>
                <w:bCs/>
                <w:color w:val="000000"/>
                <w:sz w:val="12"/>
                <w:szCs w:val="12"/>
              </w:rPr>
              <w:t>911</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1A50" w14:textId="77777777" w:rsidR="00584EC1" w:rsidRDefault="00584EC1">
            <w:pPr>
              <w:jc w:val="right"/>
              <w:rPr>
                <w:rFonts w:ascii="宋体"/>
              </w:rPr>
            </w:pPr>
          </w:p>
        </w:tc>
      </w:tr>
      <w:tr w:rsidR="00584EC1" w14:paraId="74DE1A70" w14:textId="77777777">
        <w:tc>
          <w:tcPr>
            <w:tcW w:w="0" w:type="auto"/>
            <w:gridSpan w:val="3"/>
            <w:shd w:val="clear" w:color="auto" w:fill="FFFFFF"/>
            <w:tcMar>
              <w:top w:w="40" w:type="dxa"/>
              <w:left w:w="155" w:type="dxa"/>
              <w:bottom w:w="40" w:type="dxa"/>
              <w:right w:w="20" w:type="dxa"/>
            </w:tcMar>
            <w:vAlign w:val="bottom"/>
          </w:tcPr>
          <w:p w14:paraId="74DE1A52" w14:textId="77777777" w:rsidR="00584EC1" w:rsidRDefault="00871F8D">
            <w:pPr>
              <w:textAlignment w:val="bottom"/>
            </w:pPr>
            <w:r>
              <w:rPr>
                <w:rFonts w:ascii="Arial" w:eastAsia="宋体" w:hAnsi="Arial" w:cs="Arial"/>
                <w:color w:val="000000"/>
                <w:sz w:val="12"/>
                <w:szCs w:val="12"/>
              </w:rPr>
              <w:t>Securities finance</w:t>
            </w:r>
          </w:p>
        </w:tc>
        <w:tc>
          <w:tcPr>
            <w:tcW w:w="0" w:type="auto"/>
            <w:gridSpan w:val="2"/>
            <w:shd w:val="clear" w:color="auto" w:fill="FFFFFF"/>
            <w:tcMar>
              <w:top w:w="40" w:type="dxa"/>
              <w:left w:w="20" w:type="dxa"/>
              <w:bottom w:w="40" w:type="dxa"/>
              <w:right w:w="0" w:type="dxa"/>
            </w:tcMar>
            <w:vAlign w:val="bottom"/>
          </w:tcPr>
          <w:p w14:paraId="74DE1A53" w14:textId="77777777" w:rsidR="00584EC1" w:rsidRDefault="00871F8D">
            <w:pPr>
              <w:jc w:val="right"/>
              <w:textAlignment w:val="bottom"/>
            </w:pPr>
            <w:r>
              <w:rPr>
                <w:rFonts w:ascii="Arial" w:eastAsia="宋体" w:hAnsi="Arial" w:cs="Arial"/>
                <w:b/>
                <w:bCs/>
                <w:color w:val="000000"/>
                <w:sz w:val="12"/>
                <w:szCs w:val="12"/>
              </w:rPr>
              <w:t>181</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1A5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A55"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A56" w14:textId="77777777" w:rsidR="00584EC1" w:rsidRDefault="00871F8D">
            <w:pPr>
              <w:jc w:val="right"/>
              <w:textAlignment w:val="bottom"/>
            </w:pPr>
            <w:r>
              <w:rPr>
                <w:rFonts w:ascii="Arial" w:eastAsia="宋体" w:hAnsi="Arial" w:cs="Arial"/>
                <w:b/>
                <w:bCs/>
                <w:color w:val="000000"/>
                <w:sz w:val="12"/>
                <w:szCs w:val="12"/>
              </w:rPr>
              <w:t>123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1A5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A58"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A59" w14:textId="77777777" w:rsidR="00584EC1" w:rsidRDefault="00871F8D">
            <w:pPr>
              <w:jc w:val="right"/>
              <w:textAlignment w:val="bottom"/>
            </w:pPr>
            <w:r>
              <w:rPr>
                <w:rFonts w:ascii="Arial" w:eastAsia="宋体" w:hAnsi="Arial" w:cs="Arial"/>
                <w:b/>
                <w:bCs/>
                <w:color w:val="000000"/>
                <w:sz w:val="12"/>
                <w:szCs w:val="12"/>
              </w:rPr>
              <w:t>304</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1A5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A5B"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A5C"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1A5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A5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A5F" w14:textId="77777777" w:rsidR="00584EC1" w:rsidRDefault="00871F8D">
            <w:pPr>
              <w:jc w:val="right"/>
              <w:textAlignment w:val="bottom"/>
            </w:pPr>
            <w:r>
              <w:rPr>
                <w:rFonts w:ascii="Arial" w:eastAsia="宋体" w:hAnsi="Arial" w:cs="Arial"/>
                <w:b/>
                <w:bCs/>
                <w:color w:val="000000"/>
                <w:sz w:val="12"/>
                <w:szCs w:val="12"/>
              </w:rPr>
              <w:t>10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1A6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A6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A62" w14:textId="77777777" w:rsidR="00584EC1" w:rsidRDefault="00871F8D">
            <w:pPr>
              <w:jc w:val="right"/>
              <w:textAlignment w:val="bottom"/>
            </w:pPr>
            <w:r>
              <w:rPr>
                <w:rFonts w:ascii="Arial" w:eastAsia="宋体" w:hAnsi="Arial" w:cs="Arial"/>
                <w:b/>
                <w:bCs/>
                <w:color w:val="000000"/>
                <w:sz w:val="12"/>
                <w:szCs w:val="12"/>
              </w:rPr>
              <w:t>10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1A6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A6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A65"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1A6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A6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A68"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1A6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A6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A6B"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1A6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A6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A6E" w14:textId="77777777" w:rsidR="00584EC1" w:rsidRDefault="00871F8D">
            <w:pPr>
              <w:jc w:val="right"/>
              <w:textAlignment w:val="bottom"/>
            </w:pPr>
            <w:r>
              <w:rPr>
                <w:rFonts w:ascii="Arial" w:eastAsia="宋体" w:hAnsi="Arial" w:cs="Arial"/>
                <w:b/>
                <w:bCs/>
                <w:color w:val="000000"/>
                <w:sz w:val="12"/>
                <w:szCs w:val="12"/>
              </w:rPr>
              <w:t>314</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1A6F" w14:textId="77777777" w:rsidR="00584EC1" w:rsidRDefault="00584EC1">
            <w:pPr>
              <w:jc w:val="right"/>
              <w:rPr>
                <w:rFonts w:ascii="宋体"/>
              </w:rPr>
            </w:pPr>
          </w:p>
        </w:tc>
      </w:tr>
      <w:tr w:rsidR="00584EC1" w14:paraId="74DE1A8F" w14:textId="77777777">
        <w:tc>
          <w:tcPr>
            <w:tcW w:w="0" w:type="auto"/>
            <w:gridSpan w:val="3"/>
            <w:shd w:val="clear" w:color="auto" w:fill="CCEEFF"/>
            <w:tcMar>
              <w:top w:w="40" w:type="dxa"/>
              <w:left w:w="155" w:type="dxa"/>
              <w:bottom w:w="40" w:type="dxa"/>
              <w:right w:w="20" w:type="dxa"/>
            </w:tcMar>
            <w:vAlign w:val="bottom"/>
          </w:tcPr>
          <w:p w14:paraId="74DE1A71" w14:textId="77777777" w:rsidR="00584EC1" w:rsidRDefault="00871F8D">
            <w:pPr>
              <w:textAlignment w:val="bottom"/>
            </w:pPr>
            <w:r>
              <w:rPr>
                <w:rFonts w:ascii="Arial" w:eastAsia="宋体" w:hAnsi="Arial" w:cs="Arial"/>
                <w:color w:val="000000"/>
                <w:sz w:val="12"/>
                <w:szCs w:val="12"/>
              </w:rPr>
              <w:t xml:space="preserve">Software and processing fees </w:t>
            </w:r>
          </w:p>
        </w:tc>
        <w:tc>
          <w:tcPr>
            <w:tcW w:w="0" w:type="auto"/>
            <w:gridSpan w:val="2"/>
            <w:shd w:val="clear" w:color="auto" w:fill="CCEEFF"/>
            <w:tcMar>
              <w:top w:w="40" w:type="dxa"/>
              <w:left w:w="20" w:type="dxa"/>
              <w:bottom w:w="40" w:type="dxa"/>
              <w:right w:w="0" w:type="dxa"/>
            </w:tcMar>
            <w:vAlign w:val="bottom"/>
          </w:tcPr>
          <w:p w14:paraId="74DE1A72" w14:textId="77777777" w:rsidR="00584EC1" w:rsidRDefault="00871F8D">
            <w:pPr>
              <w:jc w:val="right"/>
              <w:textAlignment w:val="bottom"/>
            </w:pPr>
            <w:r>
              <w:rPr>
                <w:rFonts w:ascii="Arial" w:eastAsia="宋体" w:hAnsi="Arial" w:cs="Arial"/>
                <w:b/>
                <w:bCs/>
                <w:color w:val="000000"/>
                <w:sz w:val="12"/>
                <w:szCs w:val="12"/>
              </w:rPr>
              <w:t>390</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1A7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A74"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A75" w14:textId="77777777" w:rsidR="00584EC1" w:rsidRDefault="00871F8D">
            <w:pPr>
              <w:jc w:val="right"/>
              <w:textAlignment w:val="bottom"/>
            </w:pPr>
            <w:r>
              <w:rPr>
                <w:rFonts w:ascii="Arial" w:eastAsia="宋体" w:hAnsi="Arial" w:cs="Arial"/>
                <w:b/>
                <w:bCs/>
                <w:color w:val="000000"/>
                <w:sz w:val="12"/>
                <w:szCs w:val="12"/>
              </w:rPr>
              <w:t>195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1A7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A7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A78" w14:textId="77777777" w:rsidR="00584EC1" w:rsidRDefault="00871F8D">
            <w:pPr>
              <w:jc w:val="right"/>
              <w:textAlignment w:val="bottom"/>
            </w:pPr>
            <w:r>
              <w:rPr>
                <w:rFonts w:ascii="Arial" w:eastAsia="宋体" w:hAnsi="Arial" w:cs="Arial"/>
                <w:b/>
                <w:bCs/>
                <w:color w:val="000000"/>
                <w:sz w:val="12"/>
                <w:szCs w:val="12"/>
              </w:rPr>
              <w:t>585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1A7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A7A"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A7B"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1A7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A7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A7E" w14:textId="77777777" w:rsidR="00584EC1" w:rsidRDefault="00871F8D">
            <w:pPr>
              <w:jc w:val="right"/>
              <w:textAlignment w:val="bottom"/>
            </w:pPr>
            <w:r>
              <w:rPr>
                <w:rFonts w:ascii="Arial" w:eastAsia="宋体" w:hAnsi="Arial" w:cs="Arial"/>
                <w:b/>
                <w:bCs/>
                <w:color w:val="000000"/>
                <w:sz w:val="12"/>
                <w:szCs w:val="12"/>
              </w:rPr>
              <w:t>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1A7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A8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A81" w14:textId="77777777" w:rsidR="00584EC1" w:rsidRDefault="00871F8D">
            <w:pPr>
              <w:jc w:val="right"/>
              <w:textAlignment w:val="bottom"/>
            </w:pPr>
            <w:r>
              <w:rPr>
                <w:rFonts w:ascii="Arial" w:eastAsia="宋体" w:hAnsi="Arial" w:cs="Arial"/>
                <w:b/>
                <w:bCs/>
                <w:color w:val="000000"/>
                <w:sz w:val="12"/>
                <w:szCs w:val="12"/>
              </w:rPr>
              <w:t>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1A8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A83"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A84"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1A8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A8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A87"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1A8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A8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A8A"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1A8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A8C"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A8D" w14:textId="77777777" w:rsidR="00584EC1" w:rsidRDefault="00871F8D">
            <w:pPr>
              <w:jc w:val="right"/>
              <w:textAlignment w:val="bottom"/>
            </w:pPr>
            <w:r>
              <w:rPr>
                <w:rFonts w:ascii="Arial" w:eastAsia="宋体" w:hAnsi="Arial" w:cs="Arial"/>
                <w:b/>
                <w:bCs/>
                <w:color w:val="000000"/>
                <w:sz w:val="12"/>
                <w:szCs w:val="12"/>
              </w:rPr>
              <w:t>588</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1A8E" w14:textId="77777777" w:rsidR="00584EC1" w:rsidRDefault="00584EC1">
            <w:pPr>
              <w:jc w:val="right"/>
              <w:rPr>
                <w:rFonts w:ascii="宋体"/>
              </w:rPr>
            </w:pPr>
          </w:p>
        </w:tc>
      </w:tr>
      <w:tr w:rsidR="00584EC1" w14:paraId="74DE1AAE" w14:textId="77777777">
        <w:tc>
          <w:tcPr>
            <w:tcW w:w="0" w:type="auto"/>
            <w:gridSpan w:val="3"/>
            <w:shd w:val="clear" w:color="auto" w:fill="FFFFFF"/>
            <w:tcMar>
              <w:top w:w="40" w:type="dxa"/>
              <w:left w:w="20" w:type="dxa"/>
              <w:bottom w:w="40" w:type="dxa"/>
              <w:right w:w="20" w:type="dxa"/>
            </w:tcMar>
            <w:vAlign w:val="bottom"/>
          </w:tcPr>
          <w:p w14:paraId="74DE1A90" w14:textId="77777777" w:rsidR="00584EC1" w:rsidRDefault="00871F8D">
            <w:pPr>
              <w:textAlignment w:val="bottom"/>
            </w:pPr>
            <w:r>
              <w:rPr>
                <w:rFonts w:ascii="Arial" w:eastAsia="宋体" w:hAnsi="Arial" w:cs="Arial"/>
                <w:b/>
                <w:bCs/>
                <w:color w:val="000000"/>
                <w:sz w:val="12"/>
                <w:szCs w:val="12"/>
              </w:rPr>
              <w:t>Total fee 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1A91" w14:textId="77777777" w:rsidR="00584EC1" w:rsidRDefault="00871F8D">
            <w:pPr>
              <w:jc w:val="right"/>
              <w:textAlignment w:val="bottom"/>
            </w:pPr>
            <w:r>
              <w:rPr>
                <w:rFonts w:ascii="Arial" w:eastAsia="宋体" w:hAnsi="Arial" w:cs="Arial"/>
                <w:b/>
                <w:bCs/>
                <w:color w:val="000000"/>
                <w:sz w:val="12"/>
                <w:szCs w:val="12"/>
              </w:rPr>
              <w:t>4,996</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1A9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A93"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1A94" w14:textId="77777777" w:rsidR="00584EC1" w:rsidRDefault="00871F8D">
            <w:pPr>
              <w:jc w:val="right"/>
              <w:textAlignment w:val="bottom"/>
            </w:pPr>
            <w:r>
              <w:rPr>
                <w:rFonts w:ascii="Arial" w:eastAsia="宋体" w:hAnsi="Arial" w:cs="Arial"/>
                <w:b/>
                <w:bCs/>
                <w:color w:val="000000"/>
                <w:sz w:val="12"/>
                <w:szCs w:val="12"/>
              </w:rPr>
              <w:t>927</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1A9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A96"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1A97" w14:textId="77777777" w:rsidR="00584EC1" w:rsidRDefault="00871F8D">
            <w:pPr>
              <w:jc w:val="right"/>
              <w:textAlignment w:val="bottom"/>
            </w:pPr>
            <w:r>
              <w:rPr>
                <w:rFonts w:ascii="Arial" w:eastAsia="宋体" w:hAnsi="Arial" w:cs="Arial"/>
                <w:b/>
                <w:bCs/>
                <w:color w:val="000000"/>
                <w:sz w:val="12"/>
                <w:szCs w:val="12"/>
              </w:rPr>
              <w:t>5,923</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1A9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A99"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1A9A" w14:textId="77777777" w:rsidR="00584EC1" w:rsidRDefault="00871F8D">
            <w:pPr>
              <w:jc w:val="right"/>
              <w:textAlignment w:val="bottom"/>
            </w:pPr>
            <w:r>
              <w:rPr>
                <w:rFonts w:ascii="Arial" w:eastAsia="宋体" w:hAnsi="Arial" w:cs="Arial"/>
                <w:b/>
                <w:bCs/>
                <w:color w:val="000000"/>
                <w:sz w:val="12"/>
                <w:szCs w:val="12"/>
              </w:rPr>
              <w:t>1,565</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1A9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A9C"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1A9D" w14:textId="77777777" w:rsidR="00584EC1" w:rsidRDefault="00871F8D">
            <w:pPr>
              <w:jc w:val="right"/>
              <w:textAlignment w:val="bottom"/>
            </w:pPr>
            <w:r>
              <w:rPr>
                <w:rFonts w:ascii="Arial" w:eastAsia="宋体" w:hAnsi="Arial" w:cs="Arial"/>
                <w:b/>
                <w:bCs/>
                <w:color w:val="000000"/>
                <w:sz w:val="12"/>
                <w:szCs w:val="12"/>
              </w:rPr>
              <w:t>13</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1A9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A9F"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1AA0" w14:textId="77777777" w:rsidR="00584EC1" w:rsidRDefault="00871F8D">
            <w:pPr>
              <w:jc w:val="right"/>
              <w:textAlignment w:val="bottom"/>
            </w:pPr>
            <w:r>
              <w:rPr>
                <w:rFonts w:ascii="Arial" w:eastAsia="宋体" w:hAnsi="Arial" w:cs="Arial"/>
                <w:b/>
                <w:bCs/>
                <w:color w:val="000000"/>
                <w:sz w:val="12"/>
                <w:szCs w:val="12"/>
              </w:rPr>
              <w:t>1,578</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1AA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AA2"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1AA3"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1AA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AA5"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1AA6"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1AA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AA8"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1AA9"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1AA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AAB"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1AAC" w14:textId="77777777" w:rsidR="00584EC1" w:rsidRDefault="00871F8D">
            <w:pPr>
              <w:jc w:val="right"/>
              <w:textAlignment w:val="bottom"/>
            </w:pPr>
            <w:r>
              <w:rPr>
                <w:rFonts w:ascii="Arial" w:eastAsia="宋体" w:hAnsi="Arial" w:cs="Arial"/>
                <w:b/>
                <w:bCs/>
                <w:color w:val="000000"/>
                <w:sz w:val="12"/>
                <w:szCs w:val="12"/>
              </w:rPr>
              <w:t>7,501</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1AAD" w14:textId="77777777" w:rsidR="00584EC1" w:rsidRDefault="00584EC1">
            <w:pPr>
              <w:jc w:val="right"/>
              <w:rPr>
                <w:rFonts w:ascii="宋体"/>
              </w:rPr>
            </w:pPr>
          </w:p>
        </w:tc>
      </w:tr>
      <w:tr w:rsidR="00584EC1" w14:paraId="74DE1ACD" w14:textId="77777777">
        <w:tc>
          <w:tcPr>
            <w:tcW w:w="0" w:type="auto"/>
            <w:gridSpan w:val="3"/>
            <w:shd w:val="clear" w:color="auto" w:fill="CCEEFF"/>
            <w:tcMar>
              <w:top w:w="40" w:type="dxa"/>
              <w:left w:w="155" w:type="dxa"/>
              <w:bottom w:w="40" w:type="dxa"/>
              <w:right w:w="20" w:type="dxa"/>
            </w:tcMar>
            <w:vAlign w:val="bottom"/>
          </w:tcPr>
          <w:p w14:paraId="74DE1AAF" w14:textId="77777777" w:rsidR="00584EC1" w:rsidRDefault="00871F8D">
            <w:pPr>
              <w:textAlignment w:val="bottom"/>
            </w:pPr>
            <w:r>
              <w:rPr>
                <w:rFonts w:ascii="Arial" w:eastAsia="宋体" w:hAnsi="Arial" w:cs="Arial"/>
                <w:color w:val="000000"/>
                <w:sz w:val="12"/>
                <w:szCs w:val="12"/>
              </w:rPr>
              <w:t>Net interest income</w:t>
            </w:r>
          </w:p>
        </w:tc>
        <w:tc>
          <w:tcPr>
            <w:tcW w:w="0" w:type="auto"/>
            <w:gridSpan w:val="2"/>
            <w:shd w:val="clear" w:color="auto" w:fill="CCEEFF"/>
            <w:tcMar>
              <w:top w:w="40" w:type="dxa"/>
              <w:left w:w="20" w:type="dxa"/>
              <w:bottom w:w="40" w:type="dxa"/>
              <w:right w:w="0" w:type="dxa"/>
            </w:tcMar>
            <w:vAlign w:val="bottom"/>
          </w:tcPr>
          <w:p w14:paraId="74DE1AB0"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1AB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AB2"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AB3" w14:textId="77777777" w:rsidR="00584EC1" w:rsidRDefault="00871F8D">
            <w:pPr>
              <w:jc w:val="right"/>
              <w:textAlignment w:val="bottom"/>
            </w:pPr>
            <w:r>
              <w:rPr>
                <w:rFonts w:ascii="Arial" w:eastAsia="宋体" w:hAnsi="Arial" w:cs="Arial"/>
                <w:b/>
                <w:bCs/>
                <w:color w:val="000000"/>
                <w:sz w:val="12"/>
                <w:szCs w:val="12"/>
              </w:rPr>
              <w:t>1,432</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1AB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AB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AB6" w14:textId="77777777" w:rsidR="00584EC1" w:rsidRDefault="00871F8D">
            <w:pPr>
              <w:jc w:val="right"/>
              <w:textAlignment w:val="bottom"/>
            </w:pPr>
            <w:r>
              <w:rPr>
                <w:rFonts w:ascii="Arial" w:eastAsia="宋体" w:hAnsi="Arial" w:cs="Arial"/>
                <w:b/>
                <w:bCs/>
                <w:color w:val="000000"/>
                <w:sz w:val="12"/>
                <w:szCs w:val="12"/>
              </w:rPr>
              <w:t>1,432</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1AB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AB8"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AB9"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1AB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AB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ABC" w14:textId="77777777" w:rsidR="00584EC1" w:rsidRDefault="00871F8D">
            <w:pPr>
              <w:jc w:val="right"/>
              <w:textAlignment w:val="bottom"/>
            </w:pPr>
            <w:r>
              <w:rPr>
                <w:rFonts w:ascii="Arial" w:eastAsia="宋体" w:hAnsi="Arial" w:cs="Arial"/>
                <w:b/>
                <w:bCs/>
                <w:color w:val="000000"/>
                <w:sz w:val="12"/>
                <w:szCs w:val="12"/>
              </w:rPr>
              <w:t>(11)</w:t>
            </w:r>
          </w:p>
        </w:tc>
        <w:tc>
          <w:tcPr>
            <w:tcW w:w="0" w:type="auto"/>
            <w:shd w:val="clear" w:color="auto" w:fill="CCEEFF"/>
            <w:tcMar>
              <w:top w:w="40" w:type="dxa"/>
              <w:left w:w="0" w:type="dxa"/>
              <w:bottom w:w="40" w:type="dxa"/>
              <w:right w:w="20" w:type="dxa"/>
            </w:tcMar>
            <w:vAlign w:val="bottom"/>
          </w:tcPr>
          <w:p w14:paraId="74DE1AB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ABE"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ABF" w14:textId="77777777" w:rsidR="00584EC1" w:rsidRDefault="00871F8D">
            <w:pPr>
              <w:jc w:val="right"/>
              <w:textAlignment w:val="bottom"/>
            </w:pPr>
            <w:r>
              <w:rPr>
                <w:rFonts w:ascii="Arial" w:eastAsia="宋体" w:hAnsi="Arial" w:cs="Arial"/>
                <w:b/>
                <w:bCs/>
                <w:color w:val="000000"/>
                <w:sz w:val="12"/>
                <w:szCs w:val="12"/>
              </w:rPr>
              <w:t>(11)</w:t>
            </w:r>
          </w:p>
        </w:tc>
        <w:tc>
          <w:tcPr>
            <w:tcW w:w="0" w:type="auto"/>
            <w:shd w:val="clear" w:color="auto" w:fill="CCEEFF"/>
            <w:tcMar>
              <w:top w:w="40" w:type="dxa"/>
              <w:left w:w="0" w:type="dxa"/>
              <w:bottom w:w="40" w:type="dxa"/>
              <w:right w:w="20" w:type="dxa"/>
            </w:tcMar>
            <w:vAlign w:val="bottom"/>
          </w:tcPr>
          <w:p w14:paraId="74DE1AC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AC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AC2"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1AC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AC4"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AC5"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1AC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AC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AC8"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1AC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ACA"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1ACB" w14:textId="77777777" w:rsidR="00584EC1" w:rsidRDefault="00871F8D">
            <w:pPr>
              <w:jc w:val="right"/>
              <w:textAlignment w:val="bottom"/>
            </w:pPr>
            <w:r>
              <w:rPr>
                <w:rFonts w:ascii="Arial" w:eastAsia="宋体" w:hAnsi="Arial" w:cs="Arial"/>
                <w:b/>
                <w:bCs/>
                <w:color w:val="000000"/>
                <w:sz w:val="12"/>
                <w:szCs w:val="12"/>
              </w:rPr>
              <w:t>1,421</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1ACC" w14:textId="77777777" w:rsidR="00584EC1" w:rsidRDefault="00584EC1">
            <w:pPr>
              <w:jc w:val="right"/>
              <w:rPr>
                <w:rFonts w:ascii="宋体"/>
              </w:rPr>
            </w:pPr>
          </w:p>
        </w:tc>
      </w:tr>
      <w:tr w:rsidR="00584EC1" w14:paraId="74DE1AEC" w14:textId="77777777">
        <w:tc>
          <w:tcPr>
            <w:tcW w:w="0" w:type="auto"/>
            <w:gridSpan w:val="3"/>
            <w:shd w:val="clear" w:color="auto" w:fill="FFFFFF"/>
            <w:tcMar>
              <w:top w:w="40" w:type="dxa"/>
              <w:left w:w="155" w:type="dxa"/>
              <w:bottom w:w="40" w:type="dxa"/>
              <w:right w:w="20" w:type="dxa"/>
            </w:tcMar>
            <w:vAlign w:val="bottom"/>
          </w:tcPr>
          <w:p w14:paraId="74DE1ACE" w14:textId="77777777" w:rsidR="00584EC1" w:rsidRDefault="00871F8D">
            <w:pPr>
              <w:textAlignment w:val="bottom"/>
            </w:pPr>
            <w:r>
              <w:rPr>
                <w:rFonts w:ascii="Arial" w:eastAsia="宋体" w:hAnsi="Arial" w:cs="Arial"/>
                <w:color w:val="000000"/>
                <w:sz w:val="12"/>
                <w:szCs w:val="12"/>
              </w:rPr>
              <w:t>Total other income</w:t>
            </w:r>
          </w:p>
        </w:tc>
        <w:tc>
          <w:tcPr>
            <w:tcW w:w="0" w:type="auto"/>
            <w:gridSpan w:val="2"/>
            <w:shd w:val="clear" w:color="auto" w:fill="FFFFFF"/>
            <w:tcMar>
              <w:top w:w="40" w:type="dxa"/>
              <w:left w:w="20" w:type="dxa"/>
              <w:bottom w:w="40" w:type="dxa"/>
              <w:right w:w="0" w:type="dxa"/>
            </w:tcMar>
            <w:vAlign w:val="bottom"/>
          </w:tcPr>
          <w:p w14:paraId="74DE1ACF"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1AD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AD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AD2" w14:textId="77777777" w:rsidR="00584EC1" w:rsidRDefault="00871F8D">
            <w:pPr>
              <w:jc w:val="right"/>
              <w:textAlignment w:val="bottom"/>
            </w:pPr>
            <w:r>
              <w:rPr>
                <w:rFonts w:ascii="Arial" w:eastAsia="宋体" w:hAnsi="Arial" w:cs="Arial"/>
                <w:b/>
                <w:bCs/>
                <w:color w:val="000000"/>
                <w:sz w:val="12"/>
                <w:szCs w:val="12"/>
              </w:rPr>
              <w:t>(1)</w:t>
            </w:r>
          </w:p>
        </w:tc>
        <w:tc>
          <w:tcPr>
            <w:tcW w:w="0" w:type="auto"/>
            <w:shd w:val="clear" w:color="auto" w:fill="FFFFFF"/>
            <w:tcMar>
              <w:top w:w="40" w:type="dxa"/>
              <w:left w:w="0" w:type="dxa"/>
              <w:bottom w:w="40" w:type="dxa"/>
              <w:right w:w="20" w:type="dxa"/>
            </w:tcMar>
            <w:vAlign w:val="bottom"/>
          </w:tcPr>
          <w:p w14:paraId="74DE1AD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AD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AD5" w14:textId="77777777" w:rsidR="00584EC1" w:rsidRDefault="00871F8D">
            <w:pPr>
              <w:jc w:val="right"/>
              <w:textAlignment w:val="bottom"/>
            </w:pPr>
            <w:r>
              <w:rPr>
                <w:rFonts w:ascii="Arial" w:eastAsia="宋体" w:hAnsi="Arial" w:cs="Arial"/>
                <w:b/>
                <w:bCs/>
                <w:color w:val="000000"/>
                <w:sz w:val="12"/>
                <w:szCs w:val="12"/>
              </w:rPr>
              <w:t>(1)</w:t>
            </w:r>
          </w:p>
        </w:tc>
        <w:tc>
          <w:tcPr>
            <w:tcW w:w="0" w:type="auto"/>
            <w:shd w:val="clear" w:color="auto" w:fill="FFFFFF"/>
            <w:tcMar>
              <w:top w:w="40" w:type="dxa"/>
              <w:left w:w="0" w:type="dxa"/>
              <w:bottom w:w="40" w:type="dxa"/>
              <w:right w:w="20" w:type="dxa"/>
            </w:tcMar>
            <w:vAlign w:val="bottom"/>
          </w:tcPr>
          <w:p w14:paraId="74DE1AD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AD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AD8"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1AD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AD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ADB"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1AD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AD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ADE"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1AD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AE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AE1"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1AE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AE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AE4" w14:textId="77777777" w:rsidR="00584EC1" w:rsidRDefault="00871F8D">
            <w:pPr>
              <w:jc w:val="right"/>
              <w:textAlignment w:val="bottom"/>
            </w:pPr>
            <w:r>
              <w:rPr>
                <w:rFonts w:ascii="Arial" w:eastAsia="宋体" w:hAnsi="Arial" w:cs="Arial"/>
                <w:b/>
                <w:bCs/>
                <w:color w:val="000000"/>
                <w:sz w:val="12"/>
                <w:szCs w:val="12"/>
              </w:rPr>
              <w:t>53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1AE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AE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AE7" w14:textId="77777777" w:rsidR="00584EC1" w:rsidRDefault="00871F8D">
            <w:pPr>
              <w:jc w:val="right"/>
              <w:textAlignment w:val="bottom"/>
            </w:pPr>
            <w:r>
              <w:rPr>
                <w:rFonts w:ascii="Arial" w:eastAsia="宋体" w:hAnsi="Arial" w:cs="Arial"/>
                <w:b/>
                <w:bCs/>
                <w:color w:val="000000"/>
                <w:sz w:val="12"/>
                <w:szCs w:val="12"/>
              </w:rPr>
              <w:t>53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1AE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1AE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1AEA" w14:textId="77777777" w:rsidR="00584EC1" w:rsidRDefault="00871F8D">
            <w:pPr>
              <w:jc w:val="right"/>
              <w:textAlignment w:val="bottom"/>
            </w:pPr>
            <w:r>
              <w:rPr>
                <w:rFonts w:ascii="Arial" w:eastAsia="宋体" w:hAnsi="Arial" w:cs="Arial"/>
                <w:b/>
                <w:bCs/>
                <w:color w:val="000000"/>
                <w:sz w:val="12"/>
                <w:szCs w:val="12"/>
              </w:rPr>
              <w:t>52</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1AEB" w14:textId="77777777" w:rsidR="00584EC1" w:rsidRDefault="00584EC1">
            <w:pPr>
              <w:jc w:val="right"/>
              <w:rPr>
                <w:rFonts w:ascii="宋体"/>
              </w:rPr>
            </w:pPr>
          </w:p>
        </w:tc>
      </w:tr>
      <w:tr w:rsidR="00871F8D" w14:paraId="74DE1B15" w14:textId="77777777">
        <w:tc>
          <w:tcPr>
            <w:tcW w:w="0" w:type="auto"/>
            <w:gridSpan w:val="3"/>
            <w:shd w:val="clear" w:color="auto" w:fill="CCEEFF"/>
            <w:tcMar>
              <w:top w:w="40" w:type="dxa"/>
              <w:left w:w="20" w:type="dxa"/>
              <w:bottom w:w="40" w:type="dxa"/>
              <w:right w:w="20" w:type="dxa"/>
            </w:tcMar>
            <w:vAlign w:val="bottom"/>
          </w:tcPr>
          <w:p w14:paraId="74DE1AED" w14:textId="77777777" w:rsidR="00584EC1" w:rsidRDefault="00871F8D">
            <w:pPr>
              <w:textAlignment w:val="bottom"/>
            </w:pPr>
            <w:r>
              <w:rPr>
                <w:rFonts w:ascii="Arial" w:eastAsia="宋体" w:hAnsi="Arial" w:cs="Arial"/>
                <w:b/>
                <w:bCs/>
                <w:color w:val="000000"/>
                <w:sz w:val="12"/>
                <w:szCs w:val="12"/>
              </w:rPr>
              <w:t>Total revenue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E1AEE"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E1AEF" w14:textId="77777777" w:rsidR="00584EC1" w:rsidRDefault="00871F8D">
            <w:pPr>
              <w:jc w:val="right"/>
              <w:textAlignment w:val="bottom"/>
            </w:pPr>
            <w:r>
              <w:rPr>
                <w:rFonts w:ascii="Arial" w:eastAsia="宋体" w:hAnsi="Arial" w:cs="Arial"/>
                <w:b/>
                <w:bCs/>
                <w:color w:val="000000"/>
                <w:sz w:val="12"/>
                <w:szCs w:val="12"/>
              </w:rPr>
              <w:t>4,996</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E1AF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AF1"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E1AF2"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E1AF3" w14:textId="77777777" w:rsidR="00584EC1" w:rsidRDefault="00871F8D">
            <w:pPr>
              <w:jc w:val="right"/>
              <w:textAlignment w:val="bottom"/>
            </w:pPr>
            <w:r>
              <w:rPr>
                <w:rFonts w:ascii="Arial" w:eastAsia="宋体" w:hAnsi="Arial" w:cs="Arial"/>
                <w:b/>
                <w:bCs/>
                <w:color w:val="000000"/>
                <w:sz w:val="12"/>
                <w:szCs w:val="12"/>
              </w:rPr>
              <w:t>2,358</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E1AF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AF5"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E1AF6"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E1AF7" w14:textId="77777777" w:rsidR="00584EC1" w:rsidRDefault="00871F8D">
            <w:pPr>
              <w:jc w:val="right"/>
              <w:textAlignment w:val="bottom"/>
            </w:pPr>
            <w:r>
              <w:rPr>
                <w:rFonts w:ascii="Arial" w:eastAsia="宋体" w:hAnsi="Arial" w:cs="Arial"/>
                <w:b/>
                <w:bCs/>
                <w:color w:val="000000"/>
                <w:sz w:val="12"/>
                <w:szCs w:val="12"/>
              </w:rPr>
              <w:t>7,354</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E1AF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AF9"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E1AFA"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E1AFB" w14:textId="77777777" w:rsidR="00584EC1" w:rsidRDefault="00871F8D">
            <w:pPr>
              <w:jc w:val="right"/>
              <w:textAlignment w:val="bottom"/>
            </w:pPr>
            <w:r>
              <w:rPr>
                <w:rFonts w:ascii="Arial" w:eastAsia="宋体" w:hAnsi="Arial" w:cs="Arial"/>
                <w:b/>
                <w:bCs/>
                <w:color w:val="000000"/>
                <w:sz w:val="12"/>
                <w:szCs w:val="12"/>
              </w:rPr>
              <w:t>1,565</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E1AF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AFD"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E1AFE"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E1AFF" w14:textId="77777777" w:rsidR="00584EC1" w:rsidRDefault="00871F8D">
            <w:pPr>
              <w:jc w:val="right"/>
              <w:textAlignment w:val="bottom"/>
            </w:pPr>
            <w:r>
              <w:rPr>
                <w:rFonts w:ascii="Arial" w:eastAsia="宋体" w:hAnsi="Arial" w:cs="Arial"/>
                <w:b/>
                <w:bCs/>
                <w:color w:val="000000"/>
                <w:sz w:val="12"/>
                <w:szCs w:val="12"/>
              </w:rPr>
              <w:t>2</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E1B0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B01"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E1B02"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E1B03" w14:textId="77777777" w:rsidR="00584EC1" w:rsidRDefault="00871F8D">
            <w:pPr>
              <w:jc w:val="right"/>
              <w:textAlignment w:val="bottom"/>
            </w:pPr>
            <w:r>
              <w:rPr>
                <w:rFonts w:ascii="Arial" w:eastAsia="宋体" w:hAnsi="Arial" w:cs="Arial"/>
                <w:b/>
                <w:bCs/>
                <w:color w:val="000000"/>
                <w:sz w:val="12"/>
                <w:szCs w:val="12"/>
              </w:rPr>
              <w:t>1,567</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E1B0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B05"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E1B06"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E1B07" w14:textId="77777777" w:rsidR="00584EC1" w:rsidRDefault="00871F8D">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E1B0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B09"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E1B0A"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E1B0B" w14:textId="77777777" w:rsidR="00584EC1" w:rsidRDefault="00871F8D">
            <w:pPr>
              <w:jc w:val="right"/>
              <w:textAlignment w:val="bottom"/>
            </w:pPr>
            <w:r>
              <w:rPr>
                <w:rFonts w:ascii="Arial" w:eastAsia="宋体" w:hAnsi="Arial" w:cs="Arial"/>
                <w:b/>
                <w:bCs/>
                <w:color w:val="000000"/>
                <w:sz w:val="12"/>
                <w:szCs w:val="12"/>
              </w:rPr>
              <w:t>53</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E1B0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B0D"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E1B0E"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E1B0F" w14:textId="77777777" w:rsidR="00584EC1" w:rsidRDefault="00871F8D">
            <w:pPr>
              <w:jc w:val="right"/>
              <w:textAlignment w:val="bottom"/>
            </w:pPr>
            <w:r>
              <w:rPr>
                <w:rFonts w:ascii="Arial" w:eastAsia="宋体" w:hAnsi="Arial" w:cs="Arial"/>
                <w:b/>
                <w:bCs/>
                <w:color w:val="000000"/>
                <w:sz w:val="12"/>
                <w:szCs w:val="12"/>
              </w:rPr>
              <w:t>53</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E1B1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1B11"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E1B12" w14:textId="77777777" w:rsidR="00584EC1" w:rsidRDefault="00871F8D">
            <w:pPr>
              <w:textAlignment w:val="bottom"/>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E1B13" w14:textId="77777777" w:rsidR="00584EC1" w:rsidRDefault="00871F8D">
            <w:pPr>
              <w:jc w:val="right"/>
              <w:textAlignment w:val="bottom"/>
            </w:pPr>
            <w:r>
              <w:rPr>
                <w:rFonts w:ascii="Arial" w:eastAsia="宋体" w:hAnsi="Arial" w:cs="Arial"/>
                <w:b/>
                <w:bCs/>
                <w:color w:val="000000"/>
                <w:sz w:val="12"/>
                <w:szCs w:val="12"/>
              </w:rPr>
              <w:t>8,974</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E1B14" w14:textId="77777777" w:rsidR="00584EC1" w:rsidRDefault="00584EC1">
            <w:pPr>
              <w:jc w:val="right"/>
              <w:rPr>
                <w:rFonts w:ascii="宋体"/>
              </w:rPr>
            </w:pPr>
          </w:p>
        </w:tc>
      </w:tr>
      <w:tr w:rsidR="00584EC1" w14:paraId="74DE1B2A" w14:textId="77777777">
        <w:trPr>
          <w:hidden/>
        </w:trPr>
        <w:tc>
          <w:tcPr>
            <w:tcW w:w="0" w:type="auto"/>
            <w:gridSpan w:val="3"/>
            <w:shd w:val="clear" w:color="auto" w:fill="auto"/>
            <w:vAlign w:val="bottom"/>
          </w:tcPr>
          <w:p w14:paraId="74DE1B16" w14:textId="77777777" w:rsidR="00584EC1" w:rsidRDefault="00584EC1">
            <w:pPr>
              <w:rPr>
                <w:rFonts w:ascii="宋体"/>
                <w:vanish/>
              </w:rPr>
            </w:pPr>
          </w:p>
        </w:tc>
        <w:tc>
          <w:tcPr>
            <w:tcW w:w="0" w:type="auto"/>
            <w:gridSpan w:val="3"/>
            <w:shd w:val="clear" w:color="auto" w:fill="auto"/>
            <w:vAlign w:val="bottom"/>
          </w:tcPr>
          <w:p w14:paraId="74DE1B17" w14:textId="77777777" w:rsidR="00584EC1" w:rsidRDefault="00584EC1">
            <w:pPr>
              <w:rPr>
                <w:rFonts w:ascii="宋体"/>
                <w:vanish/>
              </w:rPr>
            </w:pPr>
          </w:p>
        </w:tc>
        <w:tc>
          <w:tcPr>
            <w:tcW w:w="0" w:type="auto"/>
            <w:gridSpan w:val="3"/>
            <w:shd w:val="clear" w:color="auto" w:fill="auto"/>
            <w:vAlign w:val="bottom"/>
          </w:tcPr>
          <w:p w14:paraId="74DE1B18" w14:textId="77777777" w:rsidR="00584EC1" w:rsidRDefault="00584EC1">
            <w:pPr>
              <w:rPr>
                <w:rFonts w:ascii="宋体"/>
                <w:vanish/>
              </w:rPr>
            </w:pPr>
          </w:p>
        </w:tc>
        <w:tc>
          <w:tcPr>
            <w:tcW w:w="0" w:type="auto"/>
            <w:gridSpan w:val="3"/>
            <w:shd w:val="clear" w:color="auto" w:fill="auto"/>
            <w:vAlign w:val="bottom"/>
          </w:tcPr>
          <w:p w14:paraId="74DE1B19" w14:textId="77777777" w:rsidR="00584EC1" w:rsidRDefault="00584EC1">
            <w:pPr>
              <w:rPr>
                <w:rFonts w:ascii="宋体"/>
                <w:vanish/>
              </w:rPr>
            </w:pPr>
          </w:p>
        </w:tc>
        <w:tc>
          <w:tcPr>
            <w:tcW w:w="0" w:type="auto"/>
            <w:gridSpan w:val="3"/>
            <w:shd w:val="clear" w:color="auto" w:fill="auto"/>
            <w:vAlign w:val="bottom"/>
          </w:tcPr>
          <w:p w14:paraId="74DE1B1A" w14:textId="77777777" w:rsidR="00584EC1" w:rsidRDefault="00584EC1">
            <w:pPr>
              <w:rPr>
                <w:rFonts w:ascii="宋体"/>
                <w:vanish/>
              </w:rPr>
            </w:pPr>
          </w:p>
        </w:tc>
        <w:tc>
          <w:tcPr>
            <w:tcW w:w="0" w:type="auto"/>
            <w:gridSpan w:val="3"/>
            <w:shd w:val="clear" w:color="auto" w:fill="auto"/>
            <w:vAlign w:val="bottom"/>
          </w:tcPr>
          <w:p w14:paraId="74DE1B1B" w14:textId="77777777" w:rsidR="00584EC1" w:rsidRDefault="00584EC1">
            <w:pPr>
              <w:rPr>
                <w:rFonts w:ascii="宋体"/>
                <w:vanish/>
              </w:rPr>
            </w:pPr>
          </w:p>
        </w:tc>
        <w:tc>
          <w:tcPr>
            <w:tcW w:w="0" w:type="auto"/>
            <w:gridSpan w:val="3"/>
            <w:shd w:val="clear" w:color="auto" w:fill="auto"/>
            <w:vAlign w:val="bottom"/>
          </w:tcPr>
          <w:p w14:paraId="74DE1B1C" w14:textId="77777777" w:rsidR="00584EC1" w:rsidRDefault="00584EC1">
            <w:pPr>
              <w:rPr>
                <w:rFonts w:ascii="宋体"/>
                <w:vanish/>
              </w:rPr>
            </w:pPr>
          </w:p>
        </w:tc>
        <w:tc>
          <w:tcPr>
            <w:tcW w:w="0" w:type="auto"/>
            <w:gridSpan w:val="3"/>
            <w:shd w:val="clear" w:color="auto" w:fill="auto"/>
            <w:vAlign w:val="bottom"/>
          </w:tcPr>
          <w:p w14:paraId="74DE1B1D" w14:textId="77777777" w:rsidR="00584EC1" w:rsidRDefault="00584EC1">
            <w:pPr>
              <w:rPr>
                <w:rFonts w:ascii="宋体"/>
                <w:vanish/>
              </w:rPr>
            </w:pPr>
          </w:p>
        </w:tc>
        <w:tc>
          <w:tcPr>
            <w:tcW w:w="0" w:type="auto"/>
            <w:gridSpan w:val="3"/>
            <w:shd w:val="clear" w:color="auto" w:fill="auto"/>
            <w:vAlign w:val="bottom"/>
          </w:tcPr>
          <w:p w14:paraId="74DE1B1E" w14:textId="77777777" w:rsidR="00584EC1" w:rsidRDefault="00584EC1">
            <w:pPr>
              <w:rPr>
                <w:rFonts w:ascii="宋体"/>
                <w:vanish/>
              </w:rPr>
            </w:pPr>
          </w:p>
        </w:tc>
        <w:tc>
          <w:tcPr>
            <w:tcW w:w="0" w:type="auto"/>
            <w:gridSpan w:val="3"/>
            <w:shd w:val="clear" w:color="auto" w:fill="auto"/>
            <w:vAlign w:val="bottom"/>
          </w:tcPr>
          <w:p w14:paraId="74DE1B1F" w14:textId="77777777" w:rsidR="00584EC1" w:rsidRDefault="00584EC1">
            <w:pPr>
              <w:rPr>
                <w:rFonts w:ascii="宋体"/>
                <w:vanish/>
              </w:rPr>
            </w:pPr>
          </w:p>
        </w:tc>
        <w:tc>
          <w:tcPr>
            <w:tcW w:w="0" w:type="auto"/>
            <w:gridSpan w:val="3"/>
            <w:shd w:val="clear" w:color="auto" w:fill="auto"/>
            <w:vAlign w:val="bottom"/>
          </w:tcPr>
          <w:p w14:paraId="74DE1B20" w14:textId="77777777" w:rsidR="00584EC1" w:rsidRDefault="00584EC1">
            <w:pPr>
              <w:rPr>
                <w:rFonts w:ascii="宋体"/>
                <w:vanish/>
              </w:rPr>
            </w:pPr>
          </w:p>
        </w:tc>
        <w:tc>
          <w:tcPr>
            <w:tcW w:w="0" w:type="auto"/>
            <w:gridSpan w:val="3"/>
            <w:shd w:val="clear" w:color="auto" w:fill="auto"/>
            <w:vAlign w:val="bottom"/>
          </w:tcPr>
          <w:p w14:paraId="74DE1B21" w14:textId="77777777" w:rsidR="00584EC1" w:rsidRDefault="00584EC1">
            <w:pPr>
              <w:rPr>
                <w:rFonts w:ascii="宋体"/>
                <w:vanish/>
              </w:rPr>
            </w:pPr>
          </w:p>
        </w:tc>
        <w:tc>
          <w:tcPr>
            <w:tcW w:w="0" w:type="auto"/>
            <w:gridSpan w:val="3"/>
            <w:shd w:val="clear" w:color="auto" w:fill="auto"/>
            <w:vAlign w:val="bottom"/>
          </w:tcPr>
          <w:p w14:paraId="74DE1B22" w14:textId="77777777" w:rsidR="00584EC1" w:rsidRDefault="00584EC1">
            <w:pPr>
              <w:rPr>
                <w:rFonts w:ascii="宋体"/>
                <w:vanish/>
              </w:rPr>
            </w:pPr>
          </w:p>
        </w:tc>
        <w:tc>
          <w:tcPr>
            <w:tcW w:w="0" w:type="auto"/>
            <w:gridSpan w:val="3"/>
            <w:shd w:val="clear" w:color="auto" w:fill="auto"/>
            <w:vAlign w:val="bottom"/>
          </w:tcPr>
          <w:p w14:paraId="74DE1B23" w14:textId="77777777" w:rsidR="00584EC1" w:rsidRDefault="00584EC1">
            <w:pPr>
              <w:rPr>
                <w:rFonts w:ascii="宋体"/>
                <w:vanish/>
              </w:rPr>
            </w:pPr>
          </w:p>
        </w:tc>
        <w:tc>
          <w:tcPr>
            <w:tcW w:w="0" w:type="auto"/>
            <w:gridSpan w:val="3"/>
            <w:shd w:val="clear" w:color="auto" w:fill="auto"/>
            <w:vAlign w:val="bottom"/>
          </w:tcPr>
          <w:p w14:paraId="74DE1B24" w14:textId="77777777" w:rsidR="00584EC1" w:rsidRDefault="00584EC1">
            <w:pPr>
              <w:rPr>
                <w:rFonts w:ascii="宋体"/>
                <w:vanish/>
              </w:rPr>
            </w:pPr>
          </w:p>
        </w:tc>
        <w:tc>
          <w:tcPr>
            <w:tcW w:w="0" w:type="auto"/>
            <w:gridSpan w:val="3"/>
            <w:shd w:val="clear" w:color="auto" w:fill="auto"/>
            <w:vAlign w:val="bottom"/>
          </w:tcPr>
          <w:p w14:paraId="74DE1B25" w14:textId="77777777" w:rsidR="00584EC1" w:rsidRDefault="00584EC1">
            <w:pPr>
              <w:rPr>
                <w:rFonts w:ascii="宋体"/>
                <w:vanish/>
              </w:rPr>
            </w:pPr>
          </w:p>
        </w:tc>
        <w:tc>
          <w:tcPr>
            <w:tcW w:w="0" w:type="auto"/>
            <w:gridSpan w:val="3"/>
            <w:shd w:val="clear" w:color="auto" w:fill="auto"/>
            <w:vAlign w:val="bottom"/>
          </w:tcPr>
          <w:p w14:paraId="74DE1B26" w14:textId="77777777" w:rsidR="00584EC1" w:rsidRDefault="00584EC1">
            <w:pPr>
              <w:rPr>
                <w:rFonts w:ascii="宋体"/>
                <w:vanish/>
              </w:rPr>
            </w:pPr>
          </w:p>
        </w:tc>
        <w:tc>
          <w:tcPr>
            <w:tcW w:w="0" w:type="auto"/>
            <w:gridSpan w:val="3"/>
            <w:shd w:val="clear" w:color="auto" w:fill="auto"/>
            <w:vAlign w:val="bottom"/>
          </w:tcPr>
          <w:p w14:paraId="74DE1B27" w14:textId="77777777" w:rsidR="00584EC1" w:rsidRDefault="00584EC1">
            <w:pPr>
              <w:rPr>
                <w:rFonts w:ascii="宋体"/>
                <w:vanish/>
              </w:rPr>
            </w:pPr>
          </w:p>
        </w:tc>
        <w:tc>
          <w:tcPr>
            <w:tcW w:w="0" w:type="auto"/>
            <w:gridSpan w:val="3"/>
            <w:shd w:val="clear" w:color="auto" w:fill="auto"/>
            <w:vAlign w:val="bottom"/>
          </w:tcPr>
          <w:p w14:paraId="74DE1B28" w14:textId="77777777" w:rsidR="00584EC1" w:rsidRDefault="00584EC1">
            <w:pPr>
              <w:rPr>
                <w:rFonts w:ascii="宋体"/>
                <w:vanish/>
              </w:rPr>
            </w:pPr>
          </w:p>
        </w:tc>
        <w:tc>
          <w:tcPr>
            <w:tcW w:w="0" w:type="auto"/>
            <w:gridSpan w:val="3"/>
            <w:shd w:val="clear" w:color="auto" w:fill="auto"/>
            <w:vAlign w:val="bottom"/>
          </w:tcPr>
          <w:p w14:paraId="74DE1B29" w14:textId="77777777" w:rsidR="00584EC1" w:rsidRDefault="00584EC1">
            <w:pPr>
              <w:rPr>
                <w:rFonts w:ascii="宋体"/>
                <w:vanish/>
              </w:rPr>
            </w:pPr>
          </w:p>
        </w:tc>
      </w:tr>
      <w:tr w:rsidR="00584EC1" w14:paraId="74DE1B63" w14:textId="77777777">
        <w:trPr>
          <w:hidden/>
        </w:trPr>
        <w:tc>
          <w:tcPr>
            <w:tcW w:w="0" w:type="auto"/>
            <w:gridSpan w:val="3"/>
            <w:shd w:val="clear" w:color="auto" w:fill="auto"/>
            <w:vAlign w:val="bottom"/>
          </w:tcPr>
          <w:p w14:paraId="74DE1B2B" w14:textId="77777777" w:rsidR="00584EC1" w:rsidRDefault="00584EC1">
            <w:pPr>
              <w:rPr>
                <w:rFonts w:ascii="宋体"/>
                <w:vanish/>
              </w:rPr>
            </w:pPr>
          </w:p>
        </w:tc>
        <w:tc>
          <w:tcPr>
            <w:tcW w:w="0" w:type="auto"/>
            <w:gridSpan w:val="3"/>
            <w:shd w:val="clear" w:color="auto" w:fill="auto"/>
            <w:vAlign w:val="bottom"/>
          </w:tcPr>
          <w:p w14:paraId="74DE1B2C" w14:textId="77777777" w:rsidR="00584EC1" w:rsidRDefault="00584EC1">
            <w:pPr>
              <w:rPr>
                <w:rFonts w:ascii="宋体"/>
                <w:vanish/>
              </w:rPr>
            </w:pPr>
          </w:p>
        </w:tc>
        <w:tc>
          <w:tcPr>
            <w:tcW w:w="0" w:type="auto"/>
            <w:shd w:val="clear" w:color="auto" w:fill="auto"/>
            <w:vAlign w:val="bottom"/>
          </w:tcPr>
          <w:p w14:paraId="74DE1B2D" w14:textId="77777777" w:rsidR="00584EC1" w:rsidRDefault="00584EC1">
            <w:pPr>
              <w:rPr>
                <w:rFonts w:ascii="宋体"/>
              </w:rPr>
            </w:pPr>
          </w:p>
        </w:tc>
        <w:tc>
          <w:tcPr>
            <w:tcW w:w="0" w:type="auto"/>
            <w:shd w:val="clear" w:color="auto" w:fill="auto"/>
            <w:vAlign w:val="bottom"/>
          </w:tcPr>
          <w:p w14:paraId="74DE1B2E" w14:textId="77777777" w:rsidR="00584EC1" w:rsidRDefault="00584EC1">
            <w:pPr>
              <w:rPr>
                <w:rFonts w:ascii="宋体"/>
              </w:rPr>
            </w:pPr>
          </w:p>
        </w:tc>
        <w:tc>
          <w:tcPr>
            <w:tcW w:w="0" w:type="auto"/>
            <w:shd w:val="clear" w:color="auto" w:fill="auto"/>
            <w:vAlign w:val="bottom"/>
          </w:tcPr>
          <w:p w14:paraId="74DE1B2F" w14:textId="77777777" w:rsidR="00584EC1" w:rsidRDefault="00584EC1">
            <w:pPr>
              <w:rPr>
                <w:rFonts w:ascii="宋体"/>
              </w:rPr>
            </w:pPr>
          </w:p>
        </w:tc>
        <w:tc>
          <w:tcPr>
            <w:tcW w:w="0" w:type="auto"/>
            <w:shd w:val="clear" w:color="auto" w:fill="auto"/>
            <w:vAlign w:val="bottom"/>
          </w:tcPr>
          <w:p w14:paraId="74DE1B30" w14:textId="77777777" w:rsidR="00584EC1" w:rsidRDefault="00584EC1">
            <w:pPr>
              <w:rPr>
                <w:rFonts w:ascii="宋体"/>
              </w:rPr>
            </w:pPr>
          </w:p>
        </w:tc>
        <w:tc>
          <w:tcPr>
            <w:tcW w:w="0" w:type="auto"/>
            <w:shd w:val="clear" w:color="auto" w:fill="auto"/>
            <w:vAlign w:val="bottom"/>
          </w:tcPr>
          <w:p w14:paraId="74DE1B31" w14:textId="77777777" w:rsidR="00584EC1" w:rsidRDefault="00584EC1">
            <w:pPr>
              <w:rPr>
                <w:rFonts w:ascii="宋体"/>
              </w:rPr>
            </w:pPr>
          </w:p>
        </w:tc>
        <w:tc>
          <w:tcPr>
            <w:tcW w:w="0" w:type="auto"/>
            <w:shd w:val="clear" w:color="auto" w:fill="auto"/>
            <w:vAlign w:val="bottom"/>
          </w:tcPr>
          <w:p w14:paraId="74DE1B32" w14:textId="77777777" w:rsidR="00584EC1" w:rsidRDefault="00584EC1">
            <w:pPr>
              <w:rPr>
                <w:rFonts w:ascii="宋体"/>
              </w:rPr>
            </w:pPr>
          </w:p>
        </w:tc>
        <w:tc>
          <w:tcPr>
            <w:tcW w:w="0" w:type="auto"/>
            <w:shd w:val="clear" w:color="auto" w:fill="auto"/>
            <w:vAlign w:val="bottom"/>
          </w:tcPr>
          <w:p w14:paraId="74DE1B33" w14:textId="77777777" w:rsidR="00584EC1" w:rsidRDefault="00584EC1">
            <w:pPr>
              <w:rPr>
                <w:rFonts w:ascii="宋体"/>
              </w:rPr>
            </w:pPr>
          </w:p>
        </w:tc>
        <w:tc>
          <w:tcPr>
            <w:tcW w:w="0" w:type="auto"/>
            <w:shd w:val="clear" w:color="auto" w:fill="auto"/>
            <w:vAlign w:val="bottom"/>
          </w:tcPr>
          <w:p w14:paraId="74DE1B34" w14:textId="77777777" w:rsidR="00584EC1" w:rsidRDefault="00584EC1">
            <w:pPr>
              <w:rPr>
                <w:rFonts w:ascii="宋体"/>
              </w:rPr>
            </w:pPr>
          </w:p>
        </w:tc>
        <w:tc>
          <w:tcPr>
            <w:tcW w:w="0" w:type="auto"/>
            <w:shd w:val="clear" w:color="auto" w:fill="auto"/>
            <w:vAlign w:val="bottom"/>
          </w:tcPr>
          <w:p w14:paraId="74DE1B35" w14:textId="77777777" w:rsidR="00584EC1" w:rsidRDefault="00584EC1">
            <w:pPr>
              <w:rPr>
                <w:rFonts w:ascii="宋体"/>
              </w:rPr>
            </w:pPr>
          </w:p>
        </w:tc>
        <w:tc>
          <w:tcPr>
            <w:tcW w:w="0" w:type="auto"/>
            <w:shd w:val="clear" w:color="auto" w:fill="auto"/>
            <w:vAlign w:val="bottom"/>
          </w:tcPr>
          <w:p w14:paraId="74DE1B36" w14:textId="77777777" w:rsidR="00584EC1" w:rsidRDefault="00584EC1">
            <w:pPr>
              <w:rPr>
                <w:rFonts w:ascii="宋体"/>
              </w:rPr>
            </w:pPr>
          </w:p>
        </w:tc>
        <w:tc>
          <w:tcPr>
            <w:tcW w:w="0" w:type="auto"/>
            <w:shd w:val="clear" w:color="auto" w:fill="auto"/>
            <w:vAlign w:val="bottom"/>
          </w:tcPr>
          <w:p w14:paraId="74DE1B37" w14:textId="77777777" w:rsidR="00584EC1" w:rsidRDefault="00584EC1">
            <w:pPr>
              <w:rPr>
                <w:rFonts w:ascii="宋体"/>
              </w:rPr>
            </w:pPr>
          </w:p>
        </w:tc>
        <w:tc>
          <w:tcPr>
            <w:tcW w:w="0" w:type="auto"/>
            <w:shd w:val="clear" w:color="auto" w:fill="auto"/>
            <w:vAlign w:val="bottom"/>
          </w:tcPr>
          <w:p w14:paraId="74DE1B38" w14:textId="77777777" w:rsidR="00584EC1" w:rsidRDefault="00584EC1">
            <w:pPr>
              <w:rPr>
                <w:rFonts w:ascii="宋体"/>
              </w:rPr>
            </w:pPr>
          </w:p>
        </w:tc>
        <w:tc>
          <w:tcPr>
            <w:tcW w:w="0" w:type="auto"/>
            <w:shd w:val="clear" w:color="auto" w:fill="auto"/>
            <w:vAlign w:val="bottom"/>
          </w:tcPr>
          <w:p w14:paraId="74DE1B39" w14:textId="77777777" w:rsidR="00584EC1" w:rsidRDefault="00584EC1">
            <w:pPr>
              <w:rPr>
                <w:rFonts w:ascii="宋体"/>
              </w:rPr>
            </w:pPr>
          </w:p>
        </w:tc>
        <w:tc>
          <w:tcPr>
            <w:tcW w:w="0" w:type="auto"/>
            <w:shd w:val="clear" w:color="auto" w:fill="auto"/>
            <w:vAlign w:val="bottom"/>
          </w:tcPr>
          <w:p w14:paraId="74DE1B3A" w14:textId="77777777" w:rsidR="00584EC1" w:rsidRDefault="00584EC1">
            <w:pPr>
              <w:rPr>
                <w:rFonts w:ascii="宋体"/>
              </w:rPr>
            </w:pPr>
          </w:p>
        </w:tc>
        <w:tc>
          <w:tcPr>
            <w:tcW w:w="0" w:type="auto"/>
            <w:shd w:val="clear" w:color="auto" w:fill="auto"/>
            <w:vAlign w:val="bottom"/>
          </w:tcPr>
          <w:p w14:paraId="74DE1B3B" w14:textId="77777777" w:rsidR="00584EC1" w:rsidRDefault="00584EC1">
            <w:pPr>
              <w:rPr>
                <w:rFonts w:ascii="宋体"/>
              </w:rPr>
            </w:pPr>
          </w:p>
        </w:tc>
        <w:tc>
          <w:tcPr>
            <w:tcW w:w="0" w:type="auto"/>
            <w:shd w:val="clear" w:color="auto" w:fill="auto"/>
            <w:vAlign w:val="bottom"/>
          </w:tcPr>
          <w:p w14:paraId="74DE1B3C" w14:textId="77777777" w:rsidR="00584EC1" w:rsidRDefault="00584EC1">
            <w:pPr>
              <w:rPr>
                <w:rFonts w:ascii="宋体"/>
              </w:rPr>
            </w:pPr>
          </w:p>
        </w:tc>
        <w:tc>
          <w:tcPr>
            <w:tcW w:w="0" w:type="auto"/>
            <w:shd w:val="clear" w:color="auto" w:fill="auto"/>
            <w:vAlign w:val="bottom"/>
          </w:tcPr>
          <w:p w14:paraId="74DE1B3D" w14:textId="77777777" w:rsidR="00584EC1" w:rsidRDefault="00584EC1">
            <w:pPr>
              <w:rPr>
                <w:rFonts w:ascii="宋体"/>
              </w:rPr>
            </w:pPr>
          </w:p>
        </w:tc>
        <w:tc>
          <w:tcPr>
            <w:tcW w:w="0" w:type="auto"/>
            <w:shd w:val="clear" w:color="auto" w:fill="auto"/>
            <w:vAlign w:val="bottom"/>
          </w:tcPr>
          <w:p w14:paraId="74DE1B3E" w14:textId="77777777" w:rsidR="00584EC1" w:rsidRDefault="00584EC1">
            <w:pPr>
              <w:rPr>
                <w:rFonts w:ascii="宋体"/>
              </w:rPr>
            </w:pPr>
          </w:p>
        </w:tc>
        <w:tc>
          <w:tcPr>
            <w:tcW w:w="0" w:type="auto"/>
            <w:shd w:val="clear" w:color="auto" w:fill="auto"/>
            <w:vAlign w:val="bottom"/>
          </w:tcPr>
          <w:p w14:paraId="74DE1B3F" w14:textId="77777777" w:rsidR="00584EC1" w:rsidRDefault="00584EC1">
            <w:pPr>
              <w:rPr>
                <w:rFonts w:ascii="宋体"/>
              </w:rPr>
            </w:pPr>
          </w:p>
        </w:tc>
        <w:tc>
          <w:tcPr>
            <w:tcW w:w="0" w:type="auto"/>
            <w:shd w:val="clear" w:color="auto" w:fill="auto"/>
            <w:vAlign w:val="bottom"/>
          </w:tcPr>
          <w:p w14:paraId="74DE1B40" w14:textId="77777777" w:rsidR="00584EC1" w:rsidRDefault="00584EC1">
            <w:pPr>
              <w:rPr>
                <w:rFonts w:ascii="宋体"/>
              </w:rPr>
            </w:pPr>
          </w:p>
        </w:tc>
        <w:tc>
          <w:tcPr>
            <w:tcW w:w="0" w:type="auto"/>
            <w:shd w:val="clear" w:color="auto" w:fill="auto"/>
            <w:vAlign w:val="bottom"/>
          </w:tcPr>
          <w:p w14:paraId="74DE1B41" w14:textId="77777777" w:rsidR="00584EC1" w:rsidRDefault="00584EC1">
            <w:pPr>
              <w:rPr>
                <w:rFonts w:ascii="宋体"/>
              </w:rPr>
            </w:pPr>
          </w:p>
        </w:tc>
        <w:tc>
          <w:tcPr>
            <w:tcW w:w="0" w:type="auto"/>
            <w:shd w:val="clear" w:color="auto" w:fill="auto"/>
            <w:vAlign w:val="bottom"/>
          </w:tcPr>
          <w:p w14:paraId="74DE1B42" w14:textId="77777777" w:rsidR="00584EC1" w:rsidRDefault="00584EC1">
            <w:pPr>
              <w:rPr>
                <w:rFonts w:ascii="宋体"/>
              </w:rPr>
            </w:pPr>
          </w:p>
        </w:tc>
        <w:tc>
          <w:tcPr>
            <w:tcW w:w="0" w:type="auto"/>
            <w:shd w:val="clear" w:color="auto" w:fill="auto"/>
            <w:vAlign w:val="bottom"/>
          </w:tcPr>
          <w:p w14:paraId="74DE1B43" w14:textId="77777777" w:rsidR="00584EC1" w:rsidRDefault="00584EC1">
            <w:pPr>
              <w:rPr>
                <w:rFonts w:ascii="宋体"/>
              </w:rPr>
            </w:pPr>
          </w:p>
        </w:tc>
        <w:tc>
          <w:tcPr>
            <w:tcW w:w="0" w:type="auto"/>
            <w:shd w:val="clear" w:color="auto" w:fill="auto"/>
            <w:vAlign w:val="bottom"/>
          </w:tcPr>
          <w:p w14:paraId="74DE1B44" w14:textId="77777777" w:rsidR="00584EC1" w:rsidRDefault="00584EC1">
            <w:pPr>
              <w:rPr>
                <w:rFonts w:ascii="宋体"/>
              </w:rPr>
            </w:pPr>
          </w:p>
        </w:tc>
        <w:tc>
          <w:tcPr>
            <w:tcW w:w="0" w:type="auto"/>
            <w:shd w:val="clear" w:color="auto" w:fill="auto"/>
            <w:vAlign w:val="bottom"/>
          </w:tcPr>
          <w:p w14:paraId="74DE1B45" w14:textId="77777777" w:rsidR="00584EC1" w:rsidRDefault="00584EC1">
            <w:pPr>
              <w:rPr>
                <w:rFonts w:ascii="宋体"/>
              </w:rPr>
            </w:pPr>
          </w:p>
        </w:tc>
        <w:tc>
          <w:tcPr>
            <w:tcW w:w="0" w:type="auto"/>
            <w:shd w:val="clear" w:color="auto" w:fill="auto"/>
            <w:vAlign w:val="bottom"/>
          </w:tcPr>
          <w:p w14:paraId="74DE1B46" w14:textId="77777777" w:rsidR="00584EC1" w:rsidRDefault="00584EC1">
            <w:pPr>
              <w:rPr>
                <w:rFonts w:ascii="宋体"/>
              </w:rPr>
            </w:pPr>
          </w:p>
        </w:tc>
        <w:tc>
          <w:tcPr>
            <w:tcW w:w="0" w:type="auto"/>
            <w:shd w:val="clear" w:color="auto" w:fill="auto"/>
            <w:vAlign w:val="bottom"/>
          </w:tcPr>
          <w:p w14:paraId="74DE1B47" w14:textId="77777777" w:rsidR="00584EC1" w:rsidRDefault="00584EC1">
            <w:pPr>
              <w:rPr>
                <w:rFonts w:ascii="宋体"/>
              </w:rPr>
            </w:pPr>
          </w:p>
        </w:tc>
        <w:tc>
          <w:tcPr>
            <w:tcW w:w="0" w:type="auto"/>
            <w:shd w:val="clear" w:color="auto" w:fill="auto"/>
            <w:vAlign w:val="bottom"/>
          </w:tcPr>
          <w:p w14:paraId="74DE1B48" w14:textId="77777777" w:rsidR="00584EC1" w:rsidRDefault="00584EC1">
            <w:pPr>
              <w:rPr>
                <w:rFonts w:ascii="宋体"/>
              </w:rPr>
            </w:pPr>
          </w:p>
        </w:tc>
        <w:tc>
          <w:tcPr>
            <w:tcW w:w="0" w:type="auto"/>
            <w:shd w:val="clear" w:color="auto" w:fill="auto"/>
            <w:vAlign w:val="bottom"/>
          </w:tcPr>
          <w:p w14:paraId="74DE1B49" w14:textId="77777777" w:rsidR="00584EC1" w:rsidRDefault="00584EC1">
            <w:pPr>
              <w:rPr>
                <w:rFonts w:ascii="宋体"/>
              </w:rPr>
            </w:pPr>
          </w:p>
        </w:tc>
        <w:tc>
          <w:tcPr>
            <w:tcW w:w="0" w:type="auto"/>
            <w:shd w:val="clear" w:color="auto" w:fill="auto"/>
            <w:vAlign w:val="bottom"/>
          </w:tcPr>
          <w:p w14:paraId="74DE1B4A" w14:textId="77777777" w:rsidR="00584EC1" w:rsidRDefault="00584EC1">
            <w:pPr>
              <w:rPr>
                <w:rFonts w:ascii="宋体"/>
              </w:rPr>
            </w:pPr>
          </w:p>
        </w:tc>
        <w:tc>
          <w:tcPr>
            <w:tcW w:w="0" w:type="auto"/>
            <w:shd w:val="clear" w:color="auto" w:fill="auto"/>
            <w:vAlign w:val="bottom"/>
          </w:tcPr>
          <w:p w14:paraId="74DE1B4B" w14:textId="77777777" w:rsidR="00584EC1" w:rsidRDefault="00584EC1">
            <w:pPr>
              <w:rPr>
                <w:rFonts w:ascii="宋体"/>
              </w:rPr>
            </w:pPr>
          </w:p>
        </w:tc>
        <w:tc>
          <w:tcPr>
            <w:tcW w:w="0" w:type="auto"/>
            <w:shd w:val="clear" w:color="auto" w:fill="auto"/>
            <w:vAlign w:val="bottom"/>
          </w:tcPr>
          <w:p w14:paraId="74DE1B4C" w14:textId="77777777" w:rsidR="00584EC1" w:rsidRDefault="00584EC1">
            <w:pPr>
              <w:rPr>
                <w:rFonts w:ascii="宋体"/>
              </w:rPr>
            </w:pPr>
          </w:p>
        </w:tc>
        <w:tc>
          <w:tcPr>
            <w:tcW w:w="0" w:type="auto"/>
            <w:shd w:val="clear" w:color="auto" w:fill="auto"/>
            <w:vAlign w:val="bottom"/>
          </w:tcPr>
          <w:p w14:paraId="74DE1B4D" w14:textId="77777777" w:rsidR="00584EC1" w:rsidRDefault="00584EC1">
            <w:pPr>
              <w:rPr>
                <w:rFonts w:ascii="宋体"/>
              </w:rPr>
            </w:pPr>
          </w:p>
        </w:tc>
        <w:tc>
          <w:tcPr>
            <w:tcW w:w="0" w:type="auto"/>
            <w:shd w:val="clear" w:color="auto" w:fill="auto"/>
            <w:vAlign w:val="bottom"/>
          </w:tcPr>
          <w:p w14:paraId="74DE1B4E" w14:textId="77777777" w:rsidR="00584EC1" w:rsidRDefault="00584EC1">
            <w:pPr>
              <w:rPr>
                <w:rFonts w:ascii="宋体"/>
              </w:rPr>
            </w:pPr>
          </w:p>
        </w:tc>
        <w:tc>
          <w:tcPr>
            <w:tcW w:w="0" w:type="auto"/>
            <w:shd w:val="clear" w:color="auto" w:fill="auto"/>
            <w:vAlign w:val="bottom"/>
          </w:tcPr>
          <w:p w14:paraId="74DE1B4F" w14:textId="77777777" w:rsidR="00584EC1" w:rsidRDefault="00584EC1">
            <w:pPr>
              <w:rPr>
                <w:rFonts w:ascii="宋体"/>
              </w:rPr>
            </w:pPr>
          </w:p>
        </w:tc>
        <w:tc>
          <w:tcPr>
            <w:tcW w:w="0" w:type="auto"/>
            <w:shd w:val="clear" w:color="auto" w:fill="auto"/>
            <w:vAlign w:val="bottom"/>
          </w:tcPr>
          <w:p w14:paraId="74DE1B50" w14:textId="77777777" w:rsidR="00584EC1" w:rsidRDefault="00584EC1">
            <w:pPr>
              <w:rPr>
                <w:rFonts w:ascii="宋体"/>
              </w:rPr>
            </w:pPr>
          </w:p>
        </w:tc>
        <w:tc>
          <w:tcPr>
            <w:tcW w:w="0" w:type="auto"/>
            <w:shd w:val="clear" w:color="auto" w:fill="auto"/>
            <w:vAlign w:val="bottom"/>
          </w:tcPr>
          <w:p w14:paraId="74DE1B51" w14:textId="77777777" w:rsidR="00584EC1" w:rsidRDefault="00584EC1">
            <w:pPr>
              <w:rPr>
                <w:rFonts w:ascii="宋体"/>
              </w:rPr>
            </w:pPr>
          </w:p>
        </w:tc>
        <w:tc>
          <w:tcPr>
            <w:tcW w:w="0" w:type="auto"/>
            <w:shd w:val="clear" w:color="auto" w:fill="auto"/>
            <w:vAlign w:val="bottom"/>
          </w:tcPr>
          <w:p w14:paraId="74DE1B52" w14:textId="77777777" w:rsidR="00584EC1" w:rsidRDefault="00584EC1">
            <w:pPr>
              <w:rPr>
                <w:rFonts w:ascii="宋体"/>
              </w:rPr>
            </w:pPr>
          </w:p>
        </w:tc>
        <w:tc>
          <w:tcPr>
            <w:tcW w:w="0" w:type="auto"/>
            <w:shd w:val="clear" w:color="auto" w:fill="auto"/>
            <w:vAlign w:val="bottom"/>
          </w:tcPr>
          <w:p w14:paraId="74DE1B53" w14:textId="77777777" w:rsidR="00584EC1" w:rsidRDefault="00584EC1">
            <w:pPr>
              <w:rPr>
                <w:rFonts w:ascii="宋体"/>
              </w:rPr>
            </w:pPr>
          </w:p>
        </w:tc>
        <w:tc>
          <w:tcPr>
            <w:tcW w:w="0" w:type="auto"/>
            <w:shd w:val="clear" w:color="auto" w:fill="auto"/>
            <w:vAlign w:val="bottom"/>
          </w:tcPr>
          <w:p w14:paraId="74DE1B54" w14:textId="77777777" w:rsidR="00584EC1" w:rsidRDefault="00584EC1">
            <w:pPr>
              <w:rPr>
                <w:rFonts w:ascii="宋体"/>
              </w:rPr>
            </w:pPr>
          </w:p>
        </w:tc>
        <w:tc>
          <w:tcPr>
            <w:tcW w:w="0" w:type="auto"/>
            <w:shd w:val="clear" w:color="auto" w:fill="auto"/>
            <w:vAlign w:val="bottom"/>
          </w:tcPr>
          <w:p w14:paraId="74DE1B55" w14:textId="77777777" w:rsidR="00584EC1" w:rsidRDefault="00584EC1">
            <w:pPr>
              <w:rPr>
                <w:rFonts w:ascii="宋体"/>
              </w:rPr>
            </w:pPr>
          </w:p>
        </w:tc>
        <w:tc>
          <w:tcPr>
            <w:tcW w:w="0" w:type="auto"/>
            <w:shd w:val="clear" w:color="auto" w:fill="auto"/>
            <w:vAlign w:val="bottom"/>
          </w:tcPr>
          <w:p w14:paraId="74DE1B56" w14:textId="77777777" w:rsidR="00584EC1" w:rsidRDefault="00584EC1">
            <w:pPr>
              <w:rPr>
                <w:rFonts w:ascii="宋体"/>
              </w:rPr>
            </w:pPr>
          </w:p>
        </w:tc>
        <w:tc>
          <w:tcPr>
            <w:tcW w:w="0" w:type="auto"/>
            <w:shd w:val="clear" w:color="auto" w:fill="auto"/>
            <w:vAlign w:val="bottom"/>
          </w:tcPr>
          <w:p w14:paraId="74DE1B57" w14:textId="77777777" w:rsidR="00584EC1" w:rsidRDefault="00584EC1">
            <w:pPr>
              <w:rPr>
                <w:rFonts w:ascii="宋体"/>
              </w:rPr>
            </w:pPr>
          </w:p>
        </w:tc>
        <w:tc>
          <w:tcPr>
            <w:tcW w:w="0" w:type="auto"/>
            <w:shd w:val="clear" w:color="auto" w:fill="auto"/>
            <w:vAlign w:val="bottom"/>
          </w:tcPr>
          <w:p w14:paraId="74DE1B58" w14:textId="77777777" w:rsidR="00584EC1" w:rsidRDefault="00584EC1">
            <w:pPr>
              <w:rPr>
                <w:rFonts w:ascii="宋体"/>
              </w:rPr>
            </w:pPr>
          </w:p>
        </w:tc>
        <w:tc>
          <w:tcPr>
            <w:tcW w:w="0" w:type="auto"/>
            <w:shd w:val="clear" w:color="auto" w:fill="auto"/>
            <w:vAlign w:val="bottom"/>
          </w:tcPr>
          <w:p w14:paraId="74DE1B59" w14:textId="77777777" w:rsidR="00584EC1" w:rsidRDefault="00584EC1">
            <w:pPr>
              <w:rPr>
                <w:rFonts w:ascii="宋体"/>
              </w:rPr>
            </w:pPr>
          </w:p>
        </w:tc>
        <w:tc>
          <w:tcPr>
            <w:tcW w:w="0" w:type="auto"/>
            <w:shd w:val="clear" w:color="auto" w:fill="auto"/>
            <w:vAlign w:val="bottom"/>
          </w:tcPr>
          <w:p w14:paraId="74DE1B5A" w14:textId="77777777" w:rsidR="00584EC1" w:rsidRDefault="00584EC1">
            <w:pPr>
              <w:rPr>
                <w:rFonts w:ascii="宋体"/>
              </w:rPr>
            </w:pPr>
          </w:p>
        </w:tc>
        <w:tc>
          <w:tcPr>
            <w:tcW w:w="0" w:type="auto"/>
            <w:shd w:val="clear" w:color="auto" w:fill="auto"/>
            <w:vAlign w:val="bottom"/>
          </w:tcPr>
          <w:p w14:paraId="74DE1B5B" w14:textId="77777777" w:rsidR="00584EC1" w:rsidRDefault="00584EC1">
            <w:pPr>
              <w:rPr>
                <w:rFonts w:ascii="宋体"/>
              </w:rPr>
            </w:pPr>
          </w:p>
        </w:tc>
        <w:tc>
          <w:tcPr>
            <w:tcW w:w="0" w:type="auto"/>
            <w:shd w:val="clear" w:color="auto" w:fill="auto"/>
            <w:vAlign w:val="bottom"/>
          </w:tcPr>
          <w:p w14:paraId="74DE1B5C" w14:textId="77777777" w:rsidR="00584EC1" w:rsidRDefault="00584EC1">
            <w:pPr>
              <w:rPr>
                <w:rFonts w:ascii="宋体"/>
              </w:rPr>
            </w:pPr>
          </w:p>
        </w:tc>
        <w:tc>
          <w:tcPr>
            <w:tcW w:w="0" w:type="auto"/>
            <w:shd w:val="clear" w:color="auto" w:fill="auto"/>
            <w:vAlign w:val="bottom"/>
          </w:tcPr>
          <w:p w14:paraId="74DE1B5D" w14:textId="77777777" w:rsidR="00584EC1" w:rsidRDefault="00584EC1">
            <w:pPr>
              <w:rPr>
                <w:rFonts w:ascii="宋体"/>
              </w:rPr>
            </w:pPr>
          </w:p>
        </w:tc>
        <w:tc>
          <w:tcPr>
            <w:tcW w:w="0" w:type="auto"/>
            <w:shd w:val="clear" w:color="auto" w:fill="auto"/>
            <w:vAlign w:val="bottom"/>
          </w:tcPr>
          <w:p w14:paraId="74DE1B5E" w14:textId="77777777" w:rsidR="00584EC1" w:rsidRDefault="00584EC1">
            <w:pPr>
              <w:rPr>
                <w:rFonts w:ascii="宋体"/>
              </w:rPr>
            </w:pPr>
          </w:p>
        </w:tc>
        <w:tc>
          <w:tcPr>
            <w:tcW w:w="0" w:type="auto"/>
            <w:shd w:val="clear" w:color="auto" w:fill="auto"/>
            <w:vAlign w:val="bottom"/>
          </w:tcPr>
          <w:p w14:paraId="74DE1B5F" w14:textId="77777777" w:rsidR="00584EC1" w:rsidRDefault="00584EC1">
            <w:pPr>
              <w:rPr>
                <w:rFonts w:ascii="宋体"/>
              </w:rPr>
            </w:pPr>
          </w:p>
        </w:tc>
        <w:tc>
          <w:tcPr>
            <w:tcW w:w="0" w:type="auto"/>
            <w:shd w:val="clear" w:color="auto" w:fill="auto"/>
            <w:vAlign w:val="bottom"/>
          </w:tcPr>
          <w:p w14:paraId="74DE1B60" w14:textId="77777777" w:rsidR="00584EC1" w:rsidRDefault="00584EC1">
            <w:pPr>
              <w:rPr>
                <w:rFonts w:ascii="宋体"/>
              </w:rPr>
            </w:pPr>
          </w:p>
        </w:tc>
        <w:tc>
          <w:tcPr>
            <w:tcW w:w="0" w:type="auto"/>
            <w:shd w:val="clear" w:color="auto" w:fill="auto"/>
            <w:vAlign w:val="bottom"/>
          </w:tcPr>
          <w:p w14:paraId="74DE1B61" w14:textId="77777777" w:rsidR="00584EC1" w:rsidRDefault="00584EC1">
            <w:pPr>
              <w:rPr>
                <w:rFonts w:ascii="宋体"/>
              </w:rPr>
            </w:pPr>
          </w:p>
        </w:tc>
        <w:tc>
          <w:tcPr>
            <w:tcW w:w="0" w:type="auto"/>
            <w:shd w:val="clear" w:color="auto" w:fill="auto"/>
            <w:vAlign w:val="bottom"/>
          </w:tcPr>
          <w:p w14:paraId="74DE1B62" w14:textId="77777777" w:rsidR="00584EC1" w:rsidRDefault="00584EC1">
            <w:pPr>
              <w:rPr>
                <w:rFonts w:ascii="宋体"/>
              </w:rPr>
            </w:pPr>
          </w:p>
        </w:tc>
      </w:tr>
      <w:tr w:rsidR="00584EC1" w14:paraId="74DE1B90" w14:textId="77777777">
        <w:trPr>
          <w:hidden/>
        </w:trPr>
        <w:tc>
          <w:tcPr>
            <w:tcW w:w="0" w:type="auto"/>
            <w:gridSpan w:val="3"/>
            <w:shd w:val="clear" w:color="auto" w:fill="auto"/>
            <w:vAlign w:val="bottom"/>
          </w:tcPr>
          <w:p w14:paraId="74DE1B64" w14:textId="77777777" w:rsidR="00584EC1" w:rsidRDefault="00584EC1">
            <w:pPr>
              <w:rPr>
                <w:rFonts w:ascii="宋体"/>
                <w:vanish/>
              </w:rPr>
            </w:pPr>
          </w:p>
        </w:tc>
        <w:tc>
          <w:tcPr>
            <w:tcW w:w="0" w:type="auto"/>
            <w:gridSpan w:val="3"/>
            <w:shd w:val="clear" w:color="auto" w:fill="auto"/>
            <w:vAlign w:val="bottom"/>
          </w:tcPr>
          <w:p w14:paraId="74DE1B65" w14:textId="77777777" w:rsidR="00584EC1" w:rsidRDefault="00584EC1">
            <w:pPr>
              <w:rPr>
                <w:rFonts w:ascii="宋体"/>
                <w:vanish/>
              </w:rPr>
            </w:pPr>
          </w:p>
        </w:tc>
        <w:tc>
          <w:tcPr>
            <w:tcW w:w="0" w:type="auto"/>
            <w:gridSpan w:val="3"/>
            <w:shd w:val="clear" w:color="auto" w:fill="auto"/>
            <w:vAlign w:val="bottom"/>
          </w:tcPr>
          <w:p w14:paraId="74DE1B66" w14:textId="77777777" w:rsidR="00584EC1" w:rsidRDefault="00584EC1">
            <w:pPr>
              <w:rPr>
                <w:rFonts w:ascii="宋体"/>
                <w:vanish/>
              </w:rPr>
            </w:pPr>
          </w:p>
        </w:tc>
        <w:tc>
          <w:tcPr>
            <w:tcW w:w="0" w:type="auto"/>
            <w:gridSpan w:val="3"/>
            <w:shd w:val="clear" w:color="auto" w:fill="auto"/>
            <w:vAlign w:val="bottom"/>
          </w:tcPr>
          <w:p w14:paraId="74DE1B67" w14:textId="77777777" w:rsidR="00584EC1" w:rsidRDefault="00584EC1">
            <w:pPr>
              <w:rPr>
                <w:rFonts w:ascii="宋体"/>
                <w:vanish/>
              </w:rPr>
            </w:pPr>
          </w:p>
        </w:tc>
        <w:tc>
          <w:tcPr>
            <w:tcW w:w="0" w:type="auto"/>
            <w:gridSpan w:val="3"/>
            <w:shd w:val="clear" w:color="auto" w:fill="auto"/>
            <w:vAlign w:val="bottom"/>
          </w:tcPr>
          <w:p w14:paraId="74DE1B68" w14:textId="77777777" w:rsidR="00584EC1" w:rsidRDefault="00584EC1">
            <w:pPr>
              <w:rPr>
                <w:rFonts w:ascii="宋体"/>
                <w:vanish/>
              </w:rPr>
            </w:pPr>
          </w:p>
        </w:tc>
        <w:tc>
          <w:tcPr>
            <w:tcW w:w="0" w:type="auto"/>
            <w:gridSpan w:val="3"/>
            <w:shd w:val="clear" w:color="auto" w:fill="auto"/>
            <w:vAlign w:val="bottom"/>
          </w:tcPr>
          <w:p w14:paraId="74DE1B69" w14:textId="77777777" w:rsidR="00584EC1" w:rsidRDefault="00584EC1">
            <w:pPr>
              <w:rPr>
                <w:rFonts w:ascii="宋体"/>
                <w:vanish/>
              </w:rPr>
            </w:pPr>
          </w:p>
        </w:tc>
        <w:tc>
          <w:tcPr>
            <w:tcW w:w="0" w:type="auto"/>
            <w:gridSpan w:val="3"/>
            <w:shd w:val="clear" w:color="auto" w:fill="auto"/>
            <w:vAlign w:val="bottom"/>
          </w:tcPr>
          <w:p w14:paraId="74DE1B6A" w14:textId="77777777" w:rsidR="00584EC1" w:rsidRDefault="00584EC1">
            <w:pPr>
              <w:rPr>
                <w:rFonts w:ascii="宋体"/>
                <w:vanish/>
              </w:rPr>
            </w:pPr>
          </w:p>
        </w:tc>
        <w:tc>
          <w:tcPr>
            <w:tcW w:w="0" w:type="auto"/>
            <w:gridSpan w:val="3"/>
            <w:shd w:val="clear" w:color="auto" w:fill="auto"/>
            <w:vAlign w:val="bottom"/>
          </w:tcPr>
          <w:p w14:paraId="74DE1B6B" w14:textId="77777777" w:rsidR="00584EC1" w:rsidRDefault="00584EC1">
            <w:pPr>
              <w:rPr>
                <w:rFonts w:ascii="宋体"/>
                <w:vanish/>
              </w:rPr>
            </w:pPr>
          </w:p>
        </w:tc>
        <w:tc>
          <w:tcPr>
            <w:tcW w:w="0" w:type="auto"/>
            <w:shd w:val="clear" w:color="auto" w:fill="auto"/>
            <w:vAlign w:val="bottom"/>
          </w:tcPr>
          <w:p w14:paraId="74DE1B6C" w14:textId="77777777" w:rsidR="00584EC1" w:rsidRDefault="00584EC1">
            <w:pPr>
              <w:rPr>
                <w:rFonts w:ascii="宋体"/>
              </w:rPr>
            </w:pPr>
          </w:p>
        </w:tc>
        <w:tc>
          <w:tcPr>
            <w:tcW w:w="0" w:type="auto"/>
            <w:shd w:val="clear" w:color="auto" w:fill="auto"/>
            <w:vAlign w:val="bottom"/>
          </w:tcPr>
          <w:p w14:paraId="74DE1B6D" w14:textId="77777777" w:rsidR="00584EC1" w:rsidRDefault="00584EC1">
            <w:pPr>
              <w:rPr>
                <w:rFonts w:ascii="宋体"/>
              </w:rPr>
            </w:pPr>
          </w:p>
        </w:tc>
        <w:tc>
          <w:tcPr>
            <w:tcW w:w="0" w:type="auto"/>
            <w:shd w:val="clear" w:color="auto" w:fill="auto"/>
            <w:vAlign w:val="bottom"/>
          </w:tcPr>
          <w:p w14:paraId="74DE1B6E" w14:textId="77777777" w:rsidR="00584EC1" w:rsidRDefault="00584EC1">
            <w:pPr>
              <w:rPr>
                <w:rFonts w:ascii="宋体"/>
              </w:rPr>
            </w:pPr>
          </w:p>
        </w:tc>
        <w:tc>
          <w:tcPr>
            <w:tcW w:w="0" w:type="auto"/>
            <w:shd w:val="clear" w:color="auto" w:fill="auto"/>
            <w:vAlign w:val="bottom"/>
          </w:tcPr>
          <w:p w14:paraId="74DE1B6F" w14:textId="77777777" w:rsidR="00584EC1" w:rsidRDefault="00584EC1">
            <w:pPr>
              <w:rPr>
                <w:rFonts w:ascii="宋体"/>
              </w:rPr>
            </w:pPr>
          </w:p>
        </w:tc>
        <w:tc>
          <w:tcPr>
            <w:tcW w:w="0" w:type="auto"/>
            <w:shd w:val="clear" w:color="auto" w:fill="auto"/>
            <w:vAlign w:val="bottom"/>
          </w:tcPr>
          <w:p w14:paraId="74DE1B70" w14:textId="77777777" w:rsidR="00584EC1" w:rsidRDefault="00584EC1">
            <w:pPr>
              <w:rPr>
                <w:rFonts w:ascii="宋体"/>
              </w:rPr>
            </w:pPr>
          </w:p>
        </w:tc>
        <w:tc>
          <w:tcPr>
            <w:tcW w:w="0" w:type="auto"/>
            <w:shd w:val="clear" w:color="auto" w:fill="auto"/>
            <w:vAlign w:val="bottom"/>
          </w:tcPr>
          <w:p w14:paraId="74DE1B71" w14:textId="77777777" w:rsidR="00584EC1" w:rsidRDefault="00584EC1">
            <w:pPr>
              <w:rPr>
                <w:rFonts w:ascii="宋体"/>
              </w:rPr>
            </w:pPr>
          </w:p>
        </w:tc>
        <w:tc>
          <w:tcPr>
            <w:tcW w:w="0" w:type="auto"/>
            <w:shd w:val="clear" w:color="auto" w:fill="auto"/>
            <w:vAlign w:val="bottom"/>
          </w:tcPr>
          <w:p w14:paraId="74DE1B72" w14:textId="77777777" w:rsidR="00584EC1" w:rsidRDefault="00584EC1">
            <w:pPr>
              <w:rPr>
                <w:rFonts w:ascii="宋体"/>
              </w:rPr>
            </w:pPr>
          </w:p>
        </w:tc>
        <w:tc>
          <w:tcPr>
            <w:tcW w:w="0" w:type="auto"/>
            <w:shd w:val="clear" w:color="auto" w:fill="auto"/>
            <w:vAlign w:val="bottom"/>
          </w:tcPr>
          <w:p w14:paraId="74DE1B73" w14:textId="77777777" w:rsidR="00584EC1" w:rsidRDefault="00584EC1">
            <w:pPr>
              <w:rPr>
                <w:rFonts w:ascii="宋体"/>
              </w:rPr>
            </w:pPr>
          </w:p>
        </w:tc>
        <w:tc>
          <w:tcPr>
            <w:tcW w:w="0" w:type="auto"/>
            <w:shd w:val="clear" w:color="auto" w:fill="auto"/>
            <w:vAlign w:val="bottom"/>
          </w:tcPr>
          <w:p w14:paraId="74DE1B74" w14:textId="77777777" w:rsidR="00584EC1" w:rsidRDefault="00584EC1">
            <w:pPr>
              <w:rPr>
                <w:rFonts w:ascii="宋体"/>
              </w:rPr>
            </w:pPr>
          </w:p>
        </w:tc>
        <w:tc>
          <w:tcPr>
            <w:tcW w:w="0" w:type="auto"/>
            <w:shd w:val="clear" w:color="auto" w:fill="auto"/>
            <w:vAlign w:val="bottom"/>
          </w:tcPr>
          <w:p w14:paraId="74DE1B75" w14:textId="77777777" w:rsidR="00584EC1" w:rsidRDefault="00584EC1">
            <w:pPr>
              <w:rPr>
                <w:rFonts w:ascii="宋体"/>
              </w:rPr>
            </w:pPr>
          </w:p>
        </w:tc>
        <w:tc>
          <w:tcPr>
            <w:tcW w:w="0" w:type="auto"/>
            <w:shd w:val="clear" w:color="auto" w:fill="auto"/>
            <w:vAlign w:val="bottom"/>
          </w:tcPr>
          <w:p w14:paraId="74DE1B76" w14:textId="77777777" w:rsidR="00584EC1" w:rsidRDefault="00584EC1">
            <w:pPr>
              <w:rPr>
                <w:rFonts w:ascii="宋体"/>
              </w:rPr>
            </w:pPr>
          </w:p>
        </w:tc>
        <w:tc>
          <w:tcPr>
            <w:tcW w:w="0" w:type="auto"/>
            <w:shd w:val="clear" w:color="auto" w:fill="auto"/>
            <w:vAlign w:val="bottom"/>
          </w:tcPr>
          <w:p w14:paraId="74DE1B77" w14:textId="77777777" w:rsidR="00584EC1" w:rsidRDefault="00584EC1">
            <w:pPr>
              <w:rPr>
                <w:rFonts w:ascii="宋体"/>
              </w:rPr>
            </w:pPr>
          </w:p>
        </w:tc>
        <w:tc>
          <w:tcPr>
            <w:tcW w:w="0" w:type="auto"/>
            <w:shd w:val="clear" w:color="auto" w:fill="auto"/>
            <w:vAlign w:val="bottom"/>
          </w:tcPr>
          <w:p w14:paraId="74DE1B78" w14:textId="77777777" w:rsidR="00584EC1" w:rsidRDefault="00584EC1">
            <w:pPr>
              <w:rPr>
                <w:rFonts w:ascii="宋体"/>
              </w:rPr>
            </w:pPr>
          </w:p>
        </w:tc>
        <w:tc>
          <w:tcPr>
            <w:tcW w:w="0" w:type="auto"/>
            <w:shd w:val="clear" w:color="auto" w:fill="auto"/>
            <w:vAlign w:val="bottom"/>
          </w:tcPr>
          <w:p w14:paraId="74DE1B79" w14:textId="77777777" w:rsidR="00584EC1" w:rsidRDefault="00584EC1">
            <w:pPr>
              <w:rPr>
                <w:rFonts w:ascii="宋体"/>
              </w:rPr>
            </w:pPr>
          </w:p>
        </w:tc>
        <w:tc>
          <w:tcPr>
            <w:tcW w:w="0" w:type="auto"/>
            <w:shd w:val="clear" w:color="auto" w:fill="auto"/>
            <w:vAlign w:val="bottom"/>
          </w:tcPr>
          <w:p w14:paraId="74DE1B7A" w14:textId="77777777" w:rsidR="00584EC1" w:rsidRDefault="00584EC1">
            <w:pPr>
              <w:rPr>
                <w:rFonts w:ascii="宋体"/>
              </w:rPr>
            </w:pPr>
          </w:p>
        </w:tc>
        <w:tc>
          <w:tcPr>
            <w:tcW w:w="0" w:type="auto"/>
            <w:shd w:val="clear" w:color="auto" w:fill="auto"/>
            <w:vAlign w:val="bottom"/>
          </w:tcPr>
          <w:p w14:paraId="74DE1B7B" w14:textId="77777777" w:rsidR="00584EC1" w:rsidRDefault="00584EC1">
            <w:pPr>
              <w:rPr>
                <w:rFonts w:ascii="宋体"/>
              </w:rPr>
            </w:pPr>
          </w:p>
        </w:tc>
        <w:tc>
          <w:tcPr>
            <w:tcW w:w="0" w:type="auto"/>
            <w:shd w:val="clear" w:color="auto" w:fill="auto"/>
            <w:vAlign w:val="bottom"/>
          </w:tcPr>
          <w:p w14:paraId="74DE1B7C" w14:textId="77777777" w:rsidR="00584EC1" w:rsidRDefault="00584EC1">
            <w:pPr>
              <w:rPr>
                <w:rFonts w:ascii="宋体"/>
              </w:rPr>
            </w:pPr>
          </w:p>
        </w:tc>
        <w:tc>
          <w:tcPr>
            <w:tcW w:w="0" w:type="auto"/>
            <w:shd w:val="clear" w:color="auto" w:fill="auto"/>
            <w:vAlign w:val="bottom"/>
          </w:tcPr>
          <w:p w14:paraId="74DE1B7D" w14:textId="77777777" w:rsidR="00584EC1" w:rsidRDefault="00584EC1">
            <w:pPr>
              <w:rPr>
                <w:rFonts w:ascii="宋体"/>
              </w:rPr>
            </w:pPr>
          </w:p>
        </w:tc>
        <w:tc>
          <w:tcPr>
            <w:tcW w:w="0" w:type="auto"/>
            <w:shd w:val="clear" w:color="auto" w:fill="auto"/>
            <w:vAlign w:val="bottom"/>
          </w:tcPr>
          <w:p w14:paraId="74DE1B7E" w14:textId="77777777" w:rsidR="00584EC1" w:rsidRDefault="00584EC1">
            <w:pPr>
              <w:rPr>
                <w:rFonts w:ascii="宋体"/>
              </w:rPr>
            </w:pPr>
          </w:p>
        </w:tc>
        <w:tc>
          <w:tcPr>
            <w:tcW w:w="0" w:type="auto"/>
            <w:shd w:val="clear" w:color="auto" w:fill="auto"/>
            <w:vAlign w:val="bottom"/>
          </w:tcPr>
          <w:p w14:paraId="74DE1B7F" w14:textId="77777777" w:rsidR="00584EC1" w:rsidRDefault="00584EC1">
            <w:pPr>
              <w:rPr>
                <w:rFonts w:ascii="宋体"/>
              </w:rPr>
            </w:pPr>
          </w:p>
        </w:tc>
        <w:tc>
          <w:tcPr>
            <w:tcW w:w="0" w:type="auto"/>
            <w:shd w:val="clear" w:color="auto" w:fill="auto"/>
            <w:vAlign w:val="bottom"/>
          </w:tcPr>
          <w:p w14:paraId="74DE1B80" w14:textId="77777777" w:rsidR="00584EC1" w:rsidRDefault="00584EC1">
            <w:pPr>
              <w:rPr>
                <w:rFonts w:ascii="宋体"/>
              </w:rPr>
            </w:pPr>
          </w:p>
        </w:tc>
        <w:tc>
          <w:tcPr>
            <w:tcW w:w="0" w:type="auto"/>
            <w:shd w:val="clear" w:color="auto" w:fill="auto"/>
            <w:vAlign w:val="bottom"/>
          </w:tcPr>
          <w:p w14:paraId="74DE1B81" w14:textId="77777777" w:rsidR="00584EC1" w:rsidRDefault="00584EC1">
            <w:pPr>
              <w:rPr>
                <w:rFonts w:ascii="宋体"/>
              </w:rPr>
            </w:pPr>
          </w:p>
        </w:tc>
        <w:tc>
          <w:tcPr>
            <w:tcW w:w="0" w:type="auto"/>
            <w:shd w:val="clear" w:color="auto" w:fill="auto"/>
            <w:vAlign w:val="bottom"/>
          </w:tcPr>
          <w:p w14:paraId="74DE1B82" w14:textId="77777777" w:rsidR="00584EC1" w:rsidRDefault="00584EC1">
            <w:pPr>
              <w:rPr>
                <w:rFonts w:ascii="宋体"/>
              </w:rPr>
            </w:pPr>
          </w:p>
        </w:tc>
        <w:tc>
          <w:tcPr>
            <w:tcW w:w="0" w:type="auto"/>
            <w:shd w:val="clear" w:color="auto" w:fill="auto"/>
            <w:vAlign w:val="bottom"/>
          </w:tcPr>
          <w:p w14:paraId="74DE1B83" w14:textId="77777777" w:rsidR="00584EC1" w:rsidRDefault="00584EC1">
            <w:pPr>
              <w:rPr>
                <w:rFonts w:ascii="宋体"/>
              </w:rPr>
            </w:pPr>
          </w:p>
        </w:tc>
        <w:tc>
          <w:tcPr>
            <w:tcW w:w="0" w:type="auto"/>
            <w:shd w:val="clear" w:color="auto" w:fill="auto"/>
            <w:vAlign w:val="bottom"/>
          </w:tcPr>
          <w:p w14:paraId="74DE1B84" w14:textId="77777777" w:rsidR="00584EC1" w:rsidRDefault="00584EC1">
            <w:pPr>
              <w:rPr>
                <w:rFonts w:ascii="宋体"/>
              </w:rPr>
            </w:pPr>
          </w:p>
        </w:tc>
        <w:tc>
          <w:tcPr>
            <w:tcW w:w="0" w:type="auto"/>
            <w:shd w:val="clear" w:color="auto" w:fill="auto"/>
            <w:vAlign w:val="bottom"/>
          </w:tcPr>
          <w:p w14:paraId="74DE1B85" w14:textId="77777777" w:rsidR="00584EC1" w:rsidRDefault="00584EC1">
            <w:pPr>
              <w:rPr>
                <w:rFonts w:ascii="宋体"/>
              </w:rPr>
            </w:pPr>
          </w:p>
        </w:tc>
        <w:tc>
          <w:tcPr>
            <w:tcW w:w="0" w:type="auto"/>
            <w:shd w:val="clear" w:color="auto" w:fill="auto"/>
            <w:vAlign w:val="bottom"/>
          </w:tcPr>
          <w:p w14:paraId="74DE1B86" w14:textId="77777777" w:rsidR="00584EC1" w:rsidRDefault="00584EC1">
            <w:pPr>
              <w:rPr>
                <w:rFonts w:ascii="宋体"/>
              </w:rPr>
            </w:pPr>
          </w:p>
        </w:tc>
        <w:tc>
          <w:tcPr>
            <w:tcW w:w="0" w:type="auto"/>
            <w:shd w:val="clear" w:color="auto" w:fill="auto"/>
            <w:vAlign w:val="bottom"/>
          </w:tcPr>
          <w:p w14:paraId="74DE1B87" w14:textId="77777777" w:rsidR="00584EC1" w:rsidRDefault="00584EC1">
            <w:pPr>
              <w:rPr>
                <w:rFonts w:ascii="宋体"/>
              </w:rPr>
            </w:pPr>
          </w:p>
        </w:tc>
        <w:tc>
          <w:tcPr>
            <w:tcW w:w="0" w:type="auto"/>
            <w:shd w:val="clear" w:color="auto" w:fill="auto"/>
            <w:vAlign w:val="bottom"/>
          </w:tcPr>
          <w:p w14:paraId="74DE1B88" w14:textId="77777777" w:rsidR="00584EC1" w:rsidRDefault="00584EC1">
            <w:pPr>
              <w:rPr>
                <w:rFonts w:ascii="宋体"/>
              </w:rPr>
            </w:pPr>
          </w:p>
        </w:tc>
        <w:tc>
          <w:tcPr>
            <w:tcW w:w="0" w:type="auto"/>
            <w:shd w:val="clear" w:color="auto" w:fill="auto"/>
            <w:vAlign w:val="bottom"/>
          </w:tcPr>
          <w:p w14:paraId="74DE1B89" w14:textId="77777777" w:rsidR="00584EC1" w:rsidRDefault="00584EC1">
            <w:pPr>
              <w:rPr>
                <w:rFonts w:ascii="宋体"/>
              </w:rPr>
            </w:pPr>
          </w:p>
        </w:tc>
        <w:tc>
          <w:tcPr>
            <w:tcW w:w="0" w:type="auto"/>
            <w:shd w:val="clear" w:color="auto" w:fill="auto"/>
            <w:vAlign w:val="bottom"/>
          </w:tcPr>
          <w:p w14:paraId="74DE1B8A" w14:textId="77777777" w:rsidR="00584EC1" w:rsidRDefault="00584EC1">
            <w:pPr>
              <w:rPr>
                <w:rFonts w:ascii="宋体"/>
              </w:rPr>
            </w:pPr>
          </w:p>
        </w:tc>
        <w:tc>
          <w:tcPr>
            <w:tcW w:w="0" w:type="auto"/>
            <w:shd w:val="clear" w:color="auto" w:fill="auto"/>
            <w:vAlign w:val="bottom"/>
          </w:tcPr>
          <w:p w14:paraId="74DE1B8B" w14:textId="77777777" w:rsidR="00584EC1" w:rsidRDefault="00584EC1">
            <w:pPr>
              <w:rPr>
                <w:rFonts w:ascii="宋体"/>
              </w:rPr>
            </w:pPr>
          </w:p>
        </w:tc>
        <w:tc>
          <w:tcPr>
            <w:tcW w:w="0" w:type="auto"/>
            <w:shd w:val="clear" w:color="auto" w:fill="auto"/>
            <w:vAlign w:val="bottom"/>
          </w:tcPr>
          <w:p w14:paraId="74DE1B8C" w14:textId="77777777" w:rsidR="00584EC1" w:rsidRDefault="00584EC1">
            <w:pPr>
              <w:rPr>
                <w:rFonts w:ascii="宋体"/>
              </w:rPr>
            </w:pPr>
          </w:p>
        </w:tc>
        <w:tc>
          <w:tcPr>
            <w:tcW w:w="0" w:type="auto"/>
            <w:shd w:val="clear" w:color="auto" w:fill="auto"/>
            <w:vAlign w:val="bottom"/>
          </w:tcPr>
          <w:p w14:paraId="74DE1B8D" w14:textId="77777777" w:rsidR="00584EC1" w:rsidRDefault="00584EC1">
            <w:pPr>
              <w:rPr>
                <w:rFonts w:ascii="宋体"/>
              </w:rPr>
            </w:pPr>
          </w:p>
        </w:tc>
        <w:tc>
          <w:tcPr>
            <w:tcW w:w="0" w:type="auto"/>
            <w:shd w:val="clear" w:color="auto" w:fill="auto"/>
            <w:vAlign w:val="bottom"/>
          </w:tcPr>
          <w:p w14:paraId="74DE1B8E" w14:textId="77777777" w:rsidR="00584EC1" w:rsidRDefault="00584EC1">
            <w:pPr>
              <w:rPr>
                <w:rFonts w:ascii="宋体"/>
              </w:rPr>
            </w:pPr>
          </w:p>
        </w:tc>
        <w:tc>
          <w:tcPr>
            <w:tcW w:w="0" w:type="auto"/>
            <w:shd w:val="clear" w:color="auto" w:fill="auto"/>
            <w:vAlign w:val="bottom"/>
          </w:tcPr>
          <w:p w14:paraId="74DE1B8F" w14:textId="77777777" w:rsidR="00584EC1" w:rsidRDefault="00584EC1">
            <w:pPr>
              <w:rPr>
                <w:rFonts w:ascii="宋体"/>
              </w:rPr>
            </w:pPr>
          </w:p>
        </w:tc>
      </w:tr>
      <w:tr w:rsidR="00584EC1" w14:paraId="74DE1BA5" w14:textId="77777777">
        <w:trPr>
          <w:hidden/>
        </w:trPr>
        <w:tc>
          <w:tcPr>
            <w:tcW w:w="0" w:type="auto"/>
            <w:gridSpan w:val="3"/>
            <w:shd w:val="clear" w:color="auto" w:fill="auto"/>
            <w:vAlign w:val="bottom"/>
          </w:tcPr>
          <w:p w14:paraId="74DE1B91" w14:textId="77777777" w:rsidR="00584EC1" w:rsidRDefault="00584EC1">
            <w:pPr>
              <w:rPr>
                <w:rFonts w:ascii="宋体"/>
                <w:vanish/>
              </w:rPr>
            </w:pPr>
          </w:p>
        </w:tc>
        <w:tc>
          <w:tcPr>
            <w:tcW w:w="0" w:type="auto"/>
            <w:gridSpan w:val="3"/>
            <w:shd w:val="clear" w:color="auto" w:fill="auto"/>
            <w:vAlign w:val="bottom"/>
          </w:tcPr>
          <w:p w14:paraId="74DE1B92" w14:textId="77777777" w:rsidR="00584EC1" w:rsidRDefault="00584EC1">
            <w:pPr>
              <w:rPr>
                <w:rFonts w:ascii="宋体"/>
                <w:vanish/>
              </w:rPr>
            </w:pPr>
          </w:p>
        </w:tc>
        <w:tc>
          <w:tcPr>
            <w:tcW w:w="0" w:type="auto"/>
            <w:gridSpan w:val="3"/>
            <w:shd w:val="clear" w:color="auto" w:fill="auto"/>
            <w:vAlign w:val="bottom"/>
          </w:tcPr>
          <w:p w14:paraId="74DE1B93" w14:textId="77777777" w:rsidR="00584EC1" w:rsidRDefault="00584EC1">
            <w:pPr>
              <w:rPr>
                <w:rFonts w:ascii="宋体"/>
                <w:vanish/>
              </w:rPr>
            </w:pPr>
          </w:p>
        </w:tc>
        <w:tc>
          <w:tcPr>
            <w:tcW w:w="0" w:type="auto"/>
            <w:gridSpan w:val="3"/>
            <w:shd w:val="clear" w:color="auto" w:fill="auto"/>
            <w:vAlign w:val="bottom"/>
          </w:tcPr>
          <w:p w14:paraId="74DE1B94" w14:textId="77777777" w:rsidR="00584EC1" w:rsidRDefault="00584EC1">
            <w:pPr>
              <w:rPr>
                <w:rFonts w:ascii="宋体"/>
                <w:vanish/>
              </w:rPr>
            </w:pPr>
          </w:p>
        </w:tc>
        <w:tc>
          <w:tcPr>
            <w:tcW w:w="0" w:type="auto"/>
            <w:gridSpan w:val="3"/>
            <w:shd w:val="clear" w:color="auto" w:fill="auto"/>
            <w:vAlign w:val="bottom"/>
          </w:tcPr>
          <w:p w14:paraId="74DE1B95" w14:textId="77777777" w:rsidR="00584EC1" w:rsidRDefault="00584EC1">
            <w:pPr>
              <w:rPr>
                <w:rFonts w:ascii="宋体"/>
                <w:vanish/>
              </w:rPr>
            </w:pPr>
          </w:p>
        </w:tc>
        <w:tc>
          <w:tcPr>
            <w:tcW w:w="0" w:type="auto"/>
            <w:gridSpan w:val="3"/>
            <w:shd w:val="clear" w:color="auto" w:fill="auto"/>
            <w:vAlign w:val="bottom"/>
          </w:tcPr>
          <w:p w14:paraId="74DE1B96" w14:textId="77777777" w:rsidR="00584EC1" w:rsidRDefault="00584EC1">
            <w:pPr>
              <w:rPr>
                <w:rFonts w:ascii="宋体"/>
                <w:vanish/>
              </w:rPr>
            </w:pPr>
          </w:p>
        </w:tc>
        <w:tc>
          <w:tcPr>
            <w:tcW w:w="0" w:type="auto"/>
            <w:gridSpan w:val="3"/>
            <w:shd w:val="clear" w:color="auto" w:fill="auto"/>
            <w:vAlign w:val="bottom"/>
          </w:tcPr>
          <w:p w14:paraId="74DE1B97" w14:textId="77777777" w:rsidR="00584EC1" w:rsidRDefault="00584EC1">
            <w:pPr>
              <w:rPr>
                <w:rFonts w:ascii="宋体"/>
                <w:vanish/>
              </w:rPr>
            </w:pPr>
          </w:p>
        </w:tc>
        <w:tc>
          <w:tcPr>
            <w:tcW w:w="0" w:type="auto"/>
            <w:gridSpan w:val="3"/>
            <w:shd w:val="clear" w:color="auto" w:fill="auto"/>
            <w:vAlign w:val="bottom"/>
          </w:tcPr>
          <w:p w14:paraId="74DE1B98" w14:textId="77777777" w:rsidR="00584EC1" w:rsidRDefault="00584EC1">
            <w:pPr>
              <w:rPr>
                <w:rFonts w:ascii="宋体"/>
                <w:vanish/>
              </w:rPr>
            </w:pPr>
          </w:p>
        </w:tc>
        <w:tc>
          <w:tcPr>
            <w:tcW w:w="0" w:type="auto"/>
            <w:gridSpan w:val="3"/>
            <w:shd w:val="clear" w:color="auto" w:fill="auto"/>
            <w:vAlign w:val="bottom"/>
          </w:tcPr>
          <w:p w14:paraId="74DE1B99" w14:textId="77777777" w:rsidR="00584EC1" w:rsidRDefault="00584EC1">
            <w:pPr>
              <w:rPr>
                <w:rFonts w:ascii="宋体"/>
                <w:vanish/>
              </w:rPr>
            </w:pPr>
          </w:p>
        </w:tc>
        <w:tc>
          <w:tcPr>
            <w:tcW w:w="0" w:type="auto"/>
            <w:gridSpan w:val="3"/>
            <w:shd w:val="clear" w:color="auto" w:fill="auto"/>
            <w:vAlign w:val="bottom"/>
          </w:tcPr>
          <w:p w14:paraId="74DE1B9A" w14:textId="77777777" w:rsidR="00584EC1" w:rsidRDefault="00584EC1">
            <w:pPr>
              <w:rPr>
                <w:rFonts w:ascii="宋体"/>
                <w:vanish/>
              </w:rPr>
            </w:pPr>
          </w:p>
        </w:tc>
        <w:tc>
          <w:tcPr>
            <w:tcW w:w="0" w:type="auto"/>
            <w:gridSpan w:val="3"/>
            <w:shd w:val="clear" w:color="auto" w:fill="auto"/>
            <w:vAlign w:val="bottom"/>
          </w:tcPr>
          <w:p w14:paraId="74DE1B9B" w14:textId="77777777" w:rsidR="00584EC1" w:rsidRDefault="00584EC1">
            <w:pPr>
              <w:rPr>
                <w:rFonts w:ascii="宋体"/>
                <w:vanish/>
              </w:rPr>
            </w:pPr>
          </w:p>
        </w:tc>
        <w:tc>
          <w:tcPr>
            <w:tcW w:w="0" w:type="auto"/>
            <w:gridSpan w:val="3"/>
            <w:shd w:val="clear" w:color="auto" w:fill="auto"/>
            <w:vAlign w:val="bottom"/>
          </w:tcPr>
          <w:p w14:paraId="74DE1B9C" w14:textId="77777777" w:rsidR="00584EC1" w:rsidRDefault="00584EC1">
            <w:pPr>
              <w:rPr>
                <w:rFonts w:ascii="宋体"/>
                <w:vanish/>
              </w:rPr>
            </w:pPr>
          </w:p>
        </w:tc>
        <w:tc>
          <w:tcPr>
            <w:tcW w:w="0" w:type="auto"/>
            <w:gridSpan w:val="3"/>
            <w:shd w:val="clear" w:color="auto" w:fill="auto"/>
            <w:vAlign w:val="bottom"/>
          </w:tcPr>
          <w:p w14:paraId="74DE1B9D" w14:textId="77777777" w:rsidR="00584EC1" w:rsidRDefault="00584EC1">
            <w:pPr>
              <w:rPr>
                <w:rFonts w:ascii="宋体"/>
                <w:vanish/>
              </w:rPr>
            </w:pPr>
          </w:p>
        </w:tc>
        <w:tc>
          <w:tcPr>
            <w:tcW w:w="0" w:type="auto"/>
            <w:gridSpan w:val="3"/>
            <w:shd w:val="clear" w:color="auto" w:fill="auto"/>
            <w:vAlign w:val="bottom"/>
          </w:tcPr>
          <w:p w14:paraId="74DE1B9E" w14:textId="77777777" w:rsidR="00584EC1" w:rsidRDefault="00584EC1">
            <w:pPr>
              <w:rPr>
                <w:rFonts w:ascii="宋体"/>
                <w:vanish/>
              </w:rPr>
            </w:pPr>
          </w:p>
        </w:tc>
        <w:tc>
          <w:tcPr>
            <w:tcW w:w="0" w:type="auto"/>
            <w:gridSpan w:val="3"/>
            <w:shd w:val="clear" w:color="auto" w:fill="auto"/>
            <w:vAlign w:val="bottom"/>
          </w:tcPr>
          <w:p w14:paraId="74DE1B9F" w14:textId="77777777" w:rsidR="00584EC1" w:rsidRDefault="00584EC1">
            <w:pPr>
              <w:rPr>
                <w:rFonts w:ascii="宋体"/>
                <w:vanish/>
              </w:rPr>
            </w:pPr>
          </w:p>
        </w:tc>
        <w:tc>
          <w:tcPr>
            <w:tcW w:w="0" w:type="auto"/>
            <w:gridSpan w:val="3"/>
            <w:shd w:val="clear" w:color="auto" w:fill="auto"/>
            <w:vAlign w:val="bottom"/>
          </w:tcPr>
          <w:p w14:paraId="74DE1BA0" w14:textId="77777777" w:rsidR="00584EC1" w:rsidRDefault="00584EC1">
            <w:pPr>
              <w:rPr>
                <w:rFonts w:ascii="宋体"/>
                <w:vanish/>
              </w:rPr>
            </w:pPr>
          </w:p>
        </w:tc>
        <w:tc>
          <w:tcPr>
            <w:tcW w:w="0" w:type="auto"/>
            <w:gridSpan w:val="3"/>
            <w:shd w:val="clear" w:color="auto" w:fill="auto"/>
            <w:vAlign w:val="bottom"/>
          </w:tcPr>
          <w:p w14:paraId="74DE1BA1" w14:textId="77777777" w:rsidR="00584EC1" w:rsidRDefault="00584EC1">
            <w:pPr>
              <w:rPr>
                <w:rFonts w:ascii="宋体"/>
                <w:vanish/>
              </w:rPr>
            </w:pPr>
          </w:p>
        </w:tc>
        <w:tc>
          <w:tcPr>
            <w:tcW w:w="0" w:type="auto"/>
            <w:gridSpan w:val="3"/>
            <w:shd w:val="clear" w:color="auto" w:fill="auto"/>
            <w:vAlign w:val="bottom"/>
          </w:tcPr>
          <w:p w14:paraId="74DE1BA2" w14:textId="77777777" w:rsidR="00584EC1" w:rsidRDefault="00584EC1">
            <w:pPr>
              <w:rPr>
                <w:rFonts w:ascii="宋体"/>
                <w:vanish/>
              </w:rPr>
            </w:pPr>
          </w:p>
        </w:tc>
        <w:tc>
          <w:tcPr>
            <w:tcW w:w="0" w:type="auto"/>
            <w:gridSpan w:val="3"/>
            <w:shd w:val="clear" w:color="auto" w:fill="auto"/>
            <w:vAlign w:val="bottom"/>
          </w:tcPr>
          <w:p w14:paraId="74DE1BA3" w14:textId="77777777" w:rsidR="00584EC1" w:rsidRDefault="00584EC1">
            <w:pPr>
              <w:rPr>
                <w:rFonts w:ascii="宋体"/>
                <w:vanish/>
              </w:rPr>
            </w:pPr>
          </w:p>
        </w:tc>
        <w:tc>
          <w:tcPr>
            <w:tcW w:w="0" w:type="auto"/>
            <w:gridSpan w:val="3"/>
            <w:shd w:val="clear" w:color="auto" w:fill="auto"/>
            <w:vAlign w:val="bottom"/>
          </w:tcPr>
          <w:p w14:paraId="74DE1BA4" w14:textId="77777777" w:rsidR="00584EC1" w:rsidRDefault="00584EC1">
            <w:pPr>
              <w:rPr>
                <w:rFonts w:ascii="宋体"/>
                <w:vanish/>
              </w:rPr>
            </w:pPr>
          </w:p>
        </w:tc>
      </w:tr>
      <w:tr w:rsidR="00584EC1" w14:paraId="74DE1BBA" w14:textId="77777777">
        <w:trPr>
          <w:hidden/>
        </w:trPr>
        <w:tc>
          <w:tcPr>
            <w:tcW w:w="0" w:type="auto"/>
            <w:gridSpan w:val="3"/>
            <w:shd w:val="clear" w:color="auto" w:fill="auto"/>
            <w:vAlign w:val="bottom"/>
          </w:tcPr>
          <w:p w14:paraId="74DE1BA6" w14:textId="77777777" w:rsidR="00584EC1" w:rsidRDefault="00584EC1">
            <w:pPr>
              <w:rPr>
                <w:rFonts w:ascii="宋体"/>
                <w:vanish/>
              </w:rPr>
            </w:pPr>
          </w:p>
        </w:tc>
        <w:tc>
          <w:tcPr>
            <w:tcW w:w="0" w:type="auto"/>
            <w:gridSpan w:val="3"/>
            <w:shd w:val="clear" w:color="auto" w:fill="auto"/>
            <w:vAlign w:val="bottom"/>
          </w:tcPr>
          <w:p w14:paraId="74DE1BA7" w14:textId="77777777" w:rsidR="00584EC1" w:rsidRDefault="00584EC1">
            <w:pPr>
              <w:rPr>
                <w:rFonts w:ascii="宋体"/>
                <w:vanish/>
              </w:rPr>
            </w:pPr>
          </w:p>
        </w:tc>
        <w:tc>
          <w:tcPr>
            <w:tcW w:w="0" w:type="auto"/>
            <w:gridSpan w:val="3"/>
            <w:shd w:val="clear" w:color="auto" w:fill="auto"/>
            <w:vAlign w:val="bottom"/>
          </w:tcPr>
          <w:p w14:paraId="74DE1BA8" w14:textId="77777777" w:rsidR="00584EC1" w:rsidRDefault="00584EC1">
            <w:pPr>
              <w:rPr>
                <w:rFonts w:ascii="宋体"/>
                <w:vanish/>
              </w:rPr>
            </w:pPr>
          </w:p>
        </w:tc>
        <w:tc>
          <w:tcPr>
            <w:tcW w:w="0" w:type="auto"/>
            <w:gridSpan w:val="3"/>
            <w:shd w:val="clear" w:color="auto" w:fill="auto"/>
            <w:vAlign w:val="bottom"/>
          </w:tcPr>
          <w:p w14:paraId="74DE1BA9" w14:textId="77777777" w:rsidR="00584EC1" w:rsidRDefault="00584EC1">
            <w:pPr>
              <w:rPr>
                <w:rFonts w:ascii="宋体"/>
                <w:vanish/>
              </w:rPr>
            </w:pPr>
          </w:p>
        </w:tc>
        <w:tc>
          <w:tcPr>
            <w:tcW w:w="0" w:type="auto"/>
            <w:gridSpan w:val="3"/>
            <w:shd w:val="clear" w:color="auto" w:fill="auto"/>
            <w:vAlign w:val="bottom"/>
          </w:tcPr>
          <w:p w14:paraId="74DE1BAA" w14:textId="77777777" w:rsidR="00584EC1" w:rsidRDefault="00584EC1">
            <w:pPr>
              <w:rPr>
                <w:rFonts w:ascii="宋体"/>
                <w:vanish/>
              </w:rPr>
            </w:pPr>
          </w:p>
        </w:tc>
        <w:tc>
          <w:tcPr>
            <w:tcW w:w="0" w:type="auto"/>
            <w:gridSpan w:val="3"/>
            <w:shd w:val="clear" w:color="auto" w:fill="auto"/>
            <w:vAlign w:val="bottom"/>
          </w:tcPr>
          <w:p w14:paraId="74DE1BAB" w14:textId="77777777" w:rsidR="00584EC1" w:rsidRDefault="00584EC1">
            <w:pPr>
              <w:rPr>
                <w:rFonts w:ascii="宋体"/>
                <w:vanish/>
              </w:rPr>
            </w:pPr>
          </w:p>
        </w:tc>
        <w:tc>
          <w:tcPr>
            <w:tcW w:w="0" w:type="auto"/>
            <w:gridSpan w:val="3"/>
            <w:shd w:val="clear" w:color="auto" w:fill="auto"/>
            <w:vAlign w:val="bottom"/>
          </w:tcPr>
          <w:p w14:paraId="74DE1BAC" w14:textId="77777777" w:rsidR="00584EC1" w:rsidRDefault="00584EC1">
            <w:pPr>
              <w:rPr>
                <w:rFonts w:ascii="宋体"/>
                <w:vanish/>
              </w:rPr>
            </w:pPr>
          </w:p>
        </w:tc>
        <w:tc>
          <w:tcPr>
            <w:tcW w:w="0" w:type="auto"/>
            <w:gridSpan w:val="3"/>
            <w:shd w:val="clear" w:color="auto" w:fill="auto"/>
            <w:vAlign w:val="bottom"/>
          </w:tcPr>
          <w:p w14:paraId="74DE1BAD" w14:textId="77777777" w:rsidR="00584EC1" w:rsidRDefault="00584EC1">
            <w:pPr>
              <w:rPr>
                <w:rFonts w:ascii="宋体"/>
                <w:vanish/>
              </w:rPr>
            </w:pPr>
          </w:p>
        </w:tc>
        <w:tc>
          <w:tcPr>
            <w:tcW w:w="0" w:type="auto"/>
            <w:gridSpan w:val="3"/>
            <w:shd w:val="clear" w:color="auto" w:fill="auto"/>
            <w:vAlign w:val="bottom"/>
          </w:tcPr>
          <w:p w14:paraId="74DE1BAE" w14:textId="77777777" w:rsidR="00584EC1" w:rsidRDefault="00584EC1">
            <w:pPr>
              <w:rPr>
                <w:rFonts w:ascii="宋体"/>
                <w:vanish/>
              </w:rPr>
            </w:pPr>
          </w:p>
        </w:tc>
        <w:tc>
          <w:tcPr>
            <w:tcW w:w="0" w:type="auto"/>
            <w:gridSpan w:val="3"/>
            <w:shd w:val="clear" w:color="auto" w:fill="auto"/>
            <w:vAlign w:val="bottom"/>
          </w:tcPr>
          <w:p w14:paraId="74DE1BAF" w14:textId="77777777" w:rsidR="00584EC1" w:rsidRDefault="00584EC1">
            <w:pPr>
              <w:rPr>
                <w:rFonts w:ascii="宋体"/>
                <w:vanish/>
              </w:rPr>
            </w:pPr>
          </w:p>
        </w:tc>
        <w:tc>
          <w:tcPr>
            <w:tcW w:w="0" w:type="auto"/>
            <w:gridSpan w:val="3"/>
            <w:shd w:val="clear" w:color="auto" w:fill="auto"/>
            <w:vAlign w:val="bottom"/>
          </w:tcPr>
          <w:p w14:paraId="74DE1BB0" w14:textId="77777777" w:rsidR="00584EC1" w:rsidRDefault="00584EC1">
            <w:pPr>
              <w:rPr>
                <w:rFonts w:ascii="宋体"/>
                <w:vanish/>
              </w:rPr>
            </w:pPr>
          </w:p>
        </w:tc>
        <w:tc>
          <w:tcPr>
            <w:tcW w:w="0" w:type="auto"/>
            <w:gridSpan w:val="3"/>
            <w:shd w:val="clear" w:color="auto" w:fill="auto"/>
            <w:vAlign w:val="bottom"/>
          </w:tcPr>
          <w:p w14:paraId="74DE1BB1" w14:textId="77777777" w:rsidR="00584EC1" w:rsidRDefault="00584EC1">
            <w:pPr>
              <w:rPr>
                <w:rFonts w:ascii="宋体"/>
                <w:vanish/>
              </w:rPr>
            </w:pPr>
          </w:p>
        </w:tc>
        <w:tc>
          <w:tcPr>
            <w:tcW w:w="0" w:type="auto"/>
            <w:gridSpan w:val="3"/>
            <w:shd w:val="clear" w:color="auto" w:fill="auto"/>
            <w:vAlign w:val="bottom"/>
          </w:tcPr>
          <w:p w14:paraId="74DE1BB2" w14:textId="77777777" w:rsidR="00584EC1" w:rsidRDefault="00584EC1">
            <w:pPr>
              <w:rPr>
                <w:rFonts w:ascii="宋体"/>
                <w:vanish/>
              </w:rPr>
            </w:pPr>
          </w:p>
        </w:tc>
        <w:tc>
          <w:tcPr>
            <w:tcW w:w="0" w:type="auto"/>
            <w:gridSpan w:val="3"/>
            <w:shd w:val="clear" w:color="auto" w:fill="auto"/>
            <w:vAlign w:val="bottom"/>
          </w:tcPr>
          <w:p w14:paraId="74DE1BB3" w14:textId="77777777" w:rsidR="00584EC1" w:rsidRDefault="00584EC1">
            <w:pPr>
              <w:rPr>
                <w:rFonts w:ascii="宋体"/>
                <w:vanish/>
              </w:rPr>
            </w:pPr>
          </w:p>
        </w:tc>
        <w:tc>
          <w:tcPr>
            <w:tcW w:w="0" w:type="auto"/>
            <w:gridSpan w:val="3"/>
            <w:shd w:val="clear" w:color="auto" w:fill="auto"/>
            <w:vAlign w:val="bottom"/>
          </w:tcPr>
          <w:p w14:paraId="74DE1BB4" w14:textId="77777777" w:rsidR="00584EC1" w:rsidRDefault="00584EC1">
            <w:pPr>
              <w:rPr>
                <w:rFonts w:ascii="宋体"/>
                <w:vanish/>
              </w:rPr>
            </w:pPr>
          </w:p>
        </w:tc>
        <w:tc>
          <w:tcPr>
            <w:tcW w:w="0" w:type="auto"/>
            <w:gridSpan w:val="3"/>
            <w:shd w:val="clear" w:color="auto" w:fill="auto"/>
            <w:vAlign w:val="bottom"/>
          </w:tcPr>
          <w:p w14:paraId="74DE1BB5" w14:textId="77777777" w:rsidR="00584EC1" w:rsidRDefault="00584EC1">
            <w:pPr>
              <w:rPr>
                <w:rFonts w:ascii="宋体"/>
                <w:vanish/>
              </w:rPr>
            </w:pPr>
          </w:p>
        </w:tc>
        <w:tc>
          <w:tcPr>
            <w:tcW w:w="0" w:type="auto"/>
            <w:gridSpan w:val="3"/>
            <w:shd w:val="clear" w:color="auto" w:fill="auto"/>
            <w:vAlign w:val="bottom"/>
          </w:tcPr>
          <w:p w14:paraId="74DE1BB6" w14:textId="77777777" w:rsidR="00584EC1" w:rsidRDefault="00584EC1">
            <w:pPr>
              <w:rPr>
                <w:rFonts w:ascii="宋体"/>
                <w:vanish/>
              </w:rPr>
            </w:pPr>
          </w:p>
        </w:tc>
        <w:tc>
          <w:tcPr>
            <w:tcW w:w="0" w:type="auto"/>
            <w:gridSpan w:val="3"/>
            <w:shd w:val="clear" w:color="auto" w:fill="auto"/>
            <w:vAlign w:val="bottom"/>
          </w:tcPr>
          <w:p w14:paraId="74DE1BB7" w14:textId="77777777" w:rsidR="00584EC1" w:rsidRDefault="00584EC1">
            <w:pPr>
              <w:rPr>
                <w:rFonts w:ascii="宋体"/>
                <w:vanish/>
              </w:rPr>
            </w:pPr>
          </w:p>
        </w:tc>
        <w:tc>
          <w:tcPr>
            <w:tcW w:w="0" w:type="auto"/>
            <w:gridSpan w:val="3"/>
            <w:shd w:val="clear" w:color="auto" w:fill="auto"/>
            <w:vAlign w:val="bottom"/>
          </w:tcPr>
          <w:p w14:paraId="74DE1BB8" w14:textId="77777777" w:rsidR="00584EC1" w:rsidRDefault="00584EC1">
            <w:pPr>
              <w:rPr>
                <w:rFonts w:ascii="宋体"/>
                <w:vanish/>
              </w:rPr>
            </w:pPr>
          </w:p>
        </w:tc>
        <w:tc>
          <w:tcPr>
            <w:tcW w:w="0" w:type="auto"/>
            <w:gridSpan w:val="3"/>
            <w:shd w:val="clear" w:color="auto" w:fill="auto"/>
            <w:vAlign w:val="bottom"/>
          </w:tcPr>
          <w:p w14:paraId="74DE1BB9" w14:textId="77777777" w:rsidR="00584EC1" w:rsidRDefault="00584EC1">
            <w:pPr>
              <w:rPr>
                <w:rFonts w:ascii="宋体"/>
                <w:vanish/>
              </w:rPr>
            </w:pPr>
          </w:p>
        </w:tc>
      </w:tr>
      <w:tr w:rsidR="00584EC1" w14:paraId="74DE1BCF" w14:textId="77777777">
        <w:trPr>
          <w:hidden/>
        </w:trPr>
        <w:tc>
          <w:tcPr>
            <w:tcW w:w="0" w:type="auto"/>
            <w:gridSpan w:val="3"/>
            <w:shd w:val="clear" w:color="auto" w:fill="auto"/>
            <w:vAlign w:val="bottom"/>
          </w:tcPr>
          <w:p w14:paraId="74DE1BBB" w14:textId="77777777" w:rsidR="00584EC1" w:rsidRDefault="00584EC1">
            <w:pPr>
              <w:rPr>
                <w:rFonts w:ascii="宋体"/>
                <w:vanish/>
              </w:rPr>
            </w:pPr>
          </w:p>
        </w:tc>
        <w:tc>
          <w:tcPr>
            <w:tcW w:w="0" w:type="auto"/>
            <w:gridSpan w:val="3"/>
            <w:shd w:val="clear" w:color="auto" w:fill="auto"/>
            <w:vAlign w:val="bottom"/>
          </w:tcPr>
          <w:p w14:paraId="74DE1BBC" w14:textId="77777777" w:rsidR="00584EC1" w:rsidRDefault="00584EC1">
            <w:pPr>
              <w:rPr>
                <w:rFonts w:ascii="宋体"/>
                <w:vanish/>
              </w:rPr>
            </w:pPr>
          </w:p>
        </w:tc>
        <w:tc>
          <w:tcPr>
            <w:tcW w:w="0" w:type="auto"/>
            <w:gridSpan w:val="3"/>
            <w:shd w:val="clear" w:color="auto" w:fill="auto"/>
            <w:vAlign w:val="bottom"/>
          </w:tcPr>
          <w:p w14:paraId="74DE1BBD" w14:textId="77777777" w:rsidR="00584EC1" w:rsidRDefault="00584EC1">
            <w:pPr>
              <w:rPr>
                <w:rFonts w:ascii="宋体"/>
                <w:vanish/>
              </w:rPr>
            </w:pPr>
          </w:p>
        </w:tc>
        <w:tc>
          <w:tcPr>
            <w:tcW w:w="0" w:type="auto"/>
            <w:gridSpan w:val="3"/>
            <w:shd w:val="clear" w:color="auto" w:fill="auto"/>
            <w:vAlign w:val="bottom"/>
          </w:tcPr>
          <w:p w14:paraId="74DE1BBE" w14:textId="77777777" w:rsidR="00584EC1" w:rsidRDefault="00584EC1">
            <w:pPr>
              <w:rPr>
                <w:rFonts w:ascii="宋体"/>
                <w:vanish/>
              </w:rPr>
            </w:pPr>
          </w:p>
        </w:tc>
        <w:tc>
          <w:tcPr>
            <w:tcW w:w="0" w:type="auto"/>
            <w:gridSpan w:val="3"/>
            <w:shd w:val="clear" w:color="auto" w:fill="auto"/>
            <w:vAlign w:val="bottom"/>
          </w:tcPr>
          <w:p w14:paraId="74DE1BBF" w14:textId="77777777" w:rsidR="00584EC1" w:rsidRDefault="00584EC1">
            <w:pPr>
              <w:rPr>
                <w:rFonts w:ascii="宋体"/>
                <w:vanish/>
              </w:rPr>
            </w:pPr>
          </w:p>
        </w:tc>
        <w:tc>
          <w:tcPr>
            <w:tcW w:w="0" w:type="auto"/>
            <w:gridSpan w:val="3"/>
            <w:shd w:val="clear" w:color="auto" w:fill="auto"/>
            <w:vAlign w:val="bottom"/>
          </w:tcPr>
          <w:p w14:paraId="74DE1BC0" w14:textId="77777777" w:rsidR="00584EC1" w:rsidRDefault="00584EC1">
            <w:pPr>
              <w:rPr>
                <w:rFonts w:ascii="宋体"/>
                <w:vanish/>
              </w:rPr>
            </w:pPr>
          </w:p>
        </w:tc>
        <w:tc>
          <w:tcPr>
            <w:tcW w:w="0" w:type="auto"/>
            <w:gridSpan w:val="3"/>
            <w:shd w:val="clear" w:color="auto" w:fill="auto"/>
            <w:vAlign w:val="bottom"/>
          </w:tcPr>
          <w:p w14:paraId="74DE1BC1" w14:textId="77777777" w:rsidR="00584EC1" w:rsidRDefault="00584EC1">
            <w:pPr>
              <w:rPr>
                <w:rFonts w:ascii="宋体"/>
                <w:vanish/>
              </w:rPr>
            </w:pPr>
          </w:p>
        </w:tc>
        <w:tc>
          <w:tcPr>
            <w:tcW w:w="0" w:type="auto"/>
            <w:gridSpan w:val="3"/>
            <w:shd w:val="clear" w:color="auto" w:fill="auto"/>
            <w:vAlign w:val="bottom"/>
          </w:tcPr>
          <w:p w14:paraId="74DE1BC2" w14:textId="77777777" w:rsidR="00584EC1" w:rsidRDefault="00584EC1">
            <w:pPr>
              <w:rPr>
                <w:rFonts w:ascii="宋体"/>
                <w:vanish/>
              </w:rPr>
            </w:pPr>
          </w:p>
        </w:tc>
        <w:tc>
          <w:tcPr>
            <w:tcW w:w="0" w:type="auto"/>
            <w:gridSpan w:val="3"/>
            <w:shd w:val="clear" w:color="auto" w:fill="auto"/>
            <w:vAlign w:val="bottom"/>
          </w:tcPr>
          <w:p w14:paraId="74DE1BC3" w14:textId="77777777" w:rsidR="00584EC1" w:rsidRDefault="00584EC1">
            <w:pPr>
              <w:rPr>
                <w:rFonts w:ascii="宋体"/>
                <w:vanish/>
              </w:rPr>
            </w:pPr>
          </w:p>
        </w:tc>
        <w:tc>
          <w:tcPr>
            <w:tcW w:w="0" w:type="auto"/>
            <w:gridSpan w:val="3"/>
            <w:shd w:val="clear" w:color="auto" w:fill="auto"/>
            <w:vAlign w:val="bottom"/>
          </w:tcPr>
          <w:p w14:paraId="74DE1BC4" w14:textId="77777777" w:rsidR="00584EC1" w:rsidRDefault="00584EC1">
            <w:pPr>
              <w:rPr>
                <w:rFonts w:ascii="宋体"/>
                <w:vanish/>
              </w:rPr>
            </w:pPr>
          </w:p>
        </w:tc>
        <w:tc>
          <w:tcPr>
            <w:tcW w:w="0" w:type="auto"/>
            <w:gridSpan w:val="3"/>
            <w:shd w:val="clear" w:color="auto" w:fill="auto"/>
            <w:vAlign w:val="bottom"/>
          </w:tcPr>
          <w:p w14:paraId="74DE1BC5" w14:textId="77777777" w:rsidR="00584EC1" w:rsidRDefault="00584EC1">
            <w:pPr>
              <w:rPr>
                <w:rFonts w:ascii="宋体"/>
                <w:vanish/>
              </w:rPr>
            </w:pPr>
          </w:p>
        </w:tc>
        <w:tc>
          <w:tcPr>
            <w:tcW w:w="0" w:type="auto"/>
            <w:gridSpan w:val="3"/>
            <w:shd w:val="clear" w:color="auto" w:fill="auto"/>
            <w:vAlign w:val="bottom"/>
          </w:tcPr>
          <w:p w14:paraId="74DE1BC6" w14:textId="77777777" w:rsidR="00584EC1" w:rsidRDefault="00584EC1">
            <w:pPr>
              <w:rPr>
                <w:rFonts w:ascii="宋体"/>
                <w:vanish/>
              </w:rPr>
            </w:pPr>
          </w:p>
        </w:tc>
        <w:tc>
          <w:tcPr>
            <w:tcW w:w="0" w:type="auto"/>
            <w:gridSpan w:val="3"/>
            <w:shd w:val="clear" w:color="auto" w:fill="auto"/>
            <w:vAlign w:val="bottom"/>
          </w:tcPr>
          <w:p w14:paraId="74DE1BC7" w14:textId="77777777" w:rsidR="00584EC1" w:rsidRDefault="00584EC1">
            <w:pPr>
              <w:rPr>
                <w:rFonts w:ascii="宋体"/>
                <w:vanish/>
              </w:rPr>
            </w:pPr>
          </w:p>
        </w:tc>
        <w:tc>
          <w:tcPr>
            <w:tcW w:w="0" w:type="auto"/>
            <w:gridSpan w:val="3"/>
            <w:shd w:val="clear" w:color="auto" w:fill="auto"/>
            <w:vAlign w:val="bottom"/>
          </w:tcPr>
          <w:p w14:paraId="74DE1BC8" w14:textId="77777777" w:rsidR="00584EC1" w:rsidRDefault="00584EC1">
            <w:pPr>
              <w:rPr>
                <w:rFonts w:ascii="宋体"/>
                <w:vanish/>
              </w:rPr>
            </w:pPr>
          </w:p>
        </w:tc>
        <w:tc>
          <w:tcPr>
            <w:tcW w:w="0" w:type="auto"/>
            <w:gridSpan w:val="3"/>
            <w:shd w:val="clear" w:color="auto" w:fill="auto"/>
            <w:vAlign w:val="bottom"/>
          </w:tcPr>
          <w:p w14:paraId="74DE1BC9" w14:textId="77777777" w:rsidR="00584EC1" w:rsidRDefault="00584EC1">
            <w:pPr>
              <w:rPr>
                <w:rFonts w:ascii="宋体"/>
                <w:vanish/>
              </w:rPr>
            </w:pPr>
          </w:p>
        </w:tc>
        <w:tc>
          <w:tcPr>
            <w:tcW w:w="0" w:type="auto"/>
            <w:gridSpan w:val="3"/>
            <w:shd w:val="clear" w:color="auto" w:fill="auto"/>
            <w:vAlign w:val="bottom"/>
          </w:tcPr>
          <w:p w14:paraId="74DE1BCA" w14:textId="77777777" w:rsidR="00584EC1" w:rsidRDefault="00584EC1">
            <w:pPr>
              <w:rPr>
                <w:rFonts w:ascii="宋体"/>
                <w:vanish/>
              </w:rPr>
            </w:pPr>
          </w:p>
        </w:tc>
        <w:tc>
          <w:tcPr>
            <w:tcW w:w="0" w:type="auto"/>
            <w:gridSpan w:val="3"/>
            <w:shd w:val="clear" w:color="auto" w:fill="auto"/>
            <w:vAlign w:val="bottom"/>
          </w:tcPr>
          <w:p w14:paraId="74DE1BCB" w14:textId="77777777" w:rsidR="00584EC1" w:rsidRDefault="00584EC1">
            <w:pPr>
              <w:rPr>
                <w:rFonts w:ascii="宋体"/>
                <w:vanish/>
              </w:rPr>
            </w:pPr>
          </w:p>
        </w:tc>
        <w:tc>
          <w:tcPr>
            <w:tcW w:w="0" w:type="auto"/>
            <w:gridSpan w:val="3"/>
            <w:shd w:val="clear" w:color="auto" w:fill="auto"/>
            <w:vAlign w:val="bottom"/>
          </w:tcPr>
          <w:p w14:paraId="74DE1BCC" w14:textId="77777777" w:rsidR="00584EC1" w:rsidRDefault="00584EC1">
            <w:pPr>
              <w:rPr>
                <w:rFonts w:ascii="宋体"/>
                <w:vanish/>
              </w:rPr>
            </w:pPr>
          </w:p>
        </w:tc>
        <w:tc>
          <w:tcPr>
            <w:tcW w:w="0" w:type="auto"/>
            <w:gridSpan w:val="3"/>
            <w:shd w:val="clear" w:color="auto" w:fill="auto"/>
            <w:vAlign w:val="bottom"/>
          </w:tcPr>
          <w:p w14:paraId="74DE1BCD" w14:textId="77777777" w:rsidR="00584EC1" w:rsidRDefault="00584EC1">
            <w:pPr>
              <w:rPr>
                <w:rFonts w:ascii="宋体"/>
                <w:vanish/>
              </w:rPr>
            </w:pPr>
          </w:p>
        </w:tc>
        <w:tc>
          <w:tcPr>
            <w:tcW w:w="0" w:type="auto"/>
            <w:gridSpan w:val="3"/>
            <w:shd w:val="clear" w:color="auto" w:fill="auto"/>
            <w:vAlign w:val="bottom"/>
          </w:tcPr>
          <w:p w14:paraId="74DE1BCE" w14:textId="77777777" w:rsidR="00584EC1" w:rsidRDefault="00584EC1">
            <w:pPr>
              <w:rPr>
                <w:rFonts w:ascii="宋体"/>
                <w:vanish/>
              </w:rPr>
            </w:pPr>
          </w:p>
        </w:tc>
      </w:tr>
      <w:tr w:rsidR="00584EC1" w14:paraId="74DE1BE4" w14:textId="77777777">
        <w:trPr>
          <w:hidden/>
        </w:trPr>
        <w:tc>
          <w:tcPr>
            <w:tcW w:w="0" w:type="auto"/>
            <w:gridSpan w:val="3"/>
            <w:shd w:val="clear" w:color="auto" w:fill="auto"/>
            <w:vAlign w:val="bottom"/>
          </w:tcPr>
          <w:p w14:paraId="74DE1BD0" w14:textId="77777777" w:rsidR="00584EC1" w:rsidRDefault="00584EC1">
            <w:pPr>
              <w:rPr>
                <w:rFonts w:ascii="宋体"/>
                <w:vanish/>
              </w:rPr>
            </w:pPr>
          </w:p>
        </w:tc>
        <w:tc>
          <w:tcPr>
            <w:tcW w:w="0" w:type="auto"/>
            <w:gridSpan w:val="3"/>
            <w:shd w:val="clear" w:color="auto" w:fill="auto"/>
            <w:vAlign w:val="bottom"/>
          </w:tcPr>
          <w:p w14:paraId="74DE1BD1" w14:textId="77777777" w:rsidR="00584EC1" w:rsidRDefault="00584EC1">
            <w:pPr>
              <w:rPr>
                <w:rFonts w:ascii="宋体"/>
                <w:vanish/>
              </w:rPr>
            </w:pPr>
          </w:p>
        </w:tc>
        <w:tc>
          <w:tcPr>
            <w:tcW w:w="0" w:type="auto"/>
            <w:gridSpan w:val="3"/>
            <w:shd w:val="clear" w:color="auto" w:fill="auto"/>
            <w:vAlign w:val="bottom"/>
          </w:tcPr>
          <w:p w14:paraId="74DE1BD2" w14:textId="77777777" w:rsidR="00584EC1" w:rsidRDefault="00584EC1">
            <w:pPr>
              <w:rPr>
                <w:rFonts w:ascii="宋体"/>
                <w:vanish/>
              </w:rPr>
            </w:pPr>
          </w:p>
        </w:tc>
        <w:tc>
          <w:tcPr>
            <w:tcW w:w="0" w:type="auto"/>
            <w:gridSpan w:val="3"/>
            <w:shd w:val="clear" w:color="auto" w:fill="auto"/>
            <w:vAlign w:val="bottom"/>
          </w:tcPr>
          <w:p w14:paraId="74DE1BD3" w14:textId="77777777" w:rsidR="00584EC1" w:rsidRDefault="00584EC1">
            <w:pPr>
              <w:rPr>
                <w:rFonts w:ascii="宋体"/>
                <w:vanish/>
              </w:rPr>
            </w:pPr>
          </w:p>
        </w:tc>
        <w:tc>
          <w:tcPr>
            <w:tcW w:w="0" w:type="auto"/>
            <w:gridSpan w:val="3"/>
            <w:shd w:val="clear" w:color="auto" w:fill="auto"/>
            <w:vAlign w:val="bottom"/>
          </w:tcPr>
          <w:p w14:paraId="74DE1BD4" w14:textId="77777777" w:rsidR="00584EC1" w:rsidRDefault="00584EC1">
            <w:pPr>
              <w:rPr>
                <w:rFonts w:ascii="宋体"/>
                <w:vanish/>
              </w:rPr>
            </w:pPr>
          </w:p>
        </w:tc>
        <w:tc>
          <w:tcPr>
            <w:tcW w:w="0" w:type="auto"/>
            <w:gridSpan w:val="3"/>
            <w:shd w:val="clear" w:color="auto" w:fill="auto"/>
            <w:vAlign w:val="bottom"/>
          </w:tcPr>
          <w:p w14:paraId="74DE1BD5" w14:textId="77777777" w:rsidR="00584EC1" w:rsidRDefault="00584EC1">
            <w:pPr>
              <w:rPr>
                <w:rFonts w:ascii="宋体"/>
                <w:vanish/>
              </w:rPr>
            </w:pPr>
          </w:p>
        </w:tc>
        <w:tc>
          <w:tcPr>
            <w:tcW w:w="0" w:type="auto"/>
            <w:gridSpan w:val="3"/>
            <w:shd w:val="clear" w:color="auto" w:fill="auto"/>
            <w:vAlign w:val="bottom"/>
          </w:tcPr>
          <w:p w14:paraId="74DE1BD6" w14:textId="77777777" w:rsidR="00584EC1" w:rsidRDefault="00584EC1">
            <w:pPr>
              <w:rPr>
                <w:rFonts w:ascii="宋体"/>
                <w:vanish/>
              </w:rPr>
            </w:pPr>
          </w:p>
        </w:tc>
        <w:tc>
          <w:tcPr>
            <w:tcW w:w="0" w:type="auto"/>
            <w:gridSpan w:val="3"/>
            <w:shd w:val="clear" w:color="auto" w:fill="auto"/>
            <w:vAlign w:val="bottom"/>
          </w:tcPr>
          <w:p w14:paraId="74DE1BD7" w14:textId="77777777" w:rsidR="00584EC1" w:rsidRDefault="00584EC1">
            <w:pPr>
              <w:rPr>
                <w:rFonts w:ascii="宋体"/>
                <w:vanish/>
              </w:rPr>
            </w:pPr>
          </w:p>
        </w:tc>
        <w:tc>
          <w:tcPr>
            <w:tcW w:w="0" w:type="auto"/>
            <w:gridSpan w:val="3"/>
            <w:shd w:val="clear" w:color="auto" w:fill="auto"/>
            <w:vAlign w:val="bottom"/>
          </w:tcPr>
          <w:p w14:paraId="74DE1BD8" w14:textId="77777777" w:rsidR="00584EC1" w:rsidRDefault="00584EC1">
            <w:pPr>
              <w:rPr>
                <w:rFonts w:ascii="宋体"/>
                <w:vanish/>
              </w:rPr>
            </w:pPr>
          </w:p>
        </w:tc>
        <w:tc>
          <w:tcPr>
            <w:tcW w:w="0" w:type="auto"/>
            <w:gridSpan w:val="3"/>
            <w:shd w:val="clear" w:color="auto" w:fill="auto"/>
            <w:vAlign w:val="bottom"/>
          </w:tcPr>
          <w:p w14:paraId="74DE1BD9" w14:textId="77777777" w:rsidR="00584EC1" w:rsidRDefault="00584EC1">
            <w:pPr>
              <w:rPr>
                <w:rFonts w:ascii="宋体"/>
                <w:vanish/>
              </w:rPr>
            </w:pPr>
          </w:p>
        </w:tc>
        <w:tc>
          <w:tcPr>
            <w:tcW w:w="0" w:type="auto"/>
            <w:gridSpan w:val="3"/>
            <w:shd w:val="clear" w:color="auto" w:fill="auto"/>
            <w:vAlign w:val="bottom"/>
          </w:tcPr>
          <w:p w14:paraId="74DE1BDA" w14:textId="77777777" w:rsidR="00584EC1" w:rsidRDefault="00584EC1">
            <w:pPr>
              <w:rPr>
                <w:rFonts w:ascii="宋体"/>
                <w:vanish/>
              </w:rPr>
            </w:pPr>
          </w:p>
        </w:tc>
        <w:tc>
          <w:tcPr>
            <w:tcW w:w="0" w:type="auto"/>
            <w:gridSpan w:val="3"/>
            <w:shd w:val="clear" w:color="auto" w:fill="auto"/>
            <w:vAlign w:val="bottom"/>
          </w:tcPr>
          <w:p w14:paraId="74DE1BDB" w14:textId="77777777" w:rsidR="00584EC1" w:rsidRDefault="00584EC1">
            <w:pPr>
              <w:rPr>
                <w:rFonts w:ascii="宋体"/>
                <w:vanish/>
              </w:rPr>
            </w:pPr>
          </w:p>
        </w:tc>
        <w:tc>
          <w:tcPr>
            <w:tcW w:w="0" w:type="auto"/>
            <w:gridSpan w:val="3"/>
            <w:shd w:val="clear" w:color="auto" w:fill="auto"/>
            <w:vAlign w:val="bottom"/>
          </w:tcPr>
          <w:p w14:paraId="74DE1BDC" w14:textId="77777777" w:rsidR="00584EC1" w:rsidRDefault="00584EC1">
            <w:pPr>
              <w:rPr>
                <w:rFonts w:ascii="宋体"/>
                <w:vanish/>
              </w:rPr>
            </w:pPr>
          </w:p>
        </w:tc>
        <w:tc>
          <w:tcPr>
            <w:tcW w:w="0" w:type="auto"/>
            <w:gridSpan w:val="3"/>
            <w:shd w:val="clear" w:color="auto" w:fill="auto"/>
            <w:vAlign w:val="bottom"/>
          </w:tcPr>
          <w:p w14:paraId="74DE1BDD" w14:textId="77777777" w:rsidR="00584EC1" w:rsidRDefault="00584EC1">
            <w:pPr>
              <w:rPr>
                <w:rFonts w:ascii="宋体"/>
                <w:vanish/>
              </w:rPr>
            </w:pPr>
          </w:p>
        </w:tc>
        <w:tc>
          <w:tcPr>
            <w:tcW w:w="0" w:type="auto"/>
            <w:gridSpan w:val="3"/>
            <w:shd w:val="clear" w:color="auto" w:fill="auto"/>
            <w:vAlign w:val="bottom"/>
          </w:tcPr>
          <w:p w14:paraId="74DE1BDE" w14:textId="77777777" w:rsidR="00584EC1" w:rsidRDefault="00584EC1">
            <w:pPr>
              <w:rPr>
                <w:rFonts w:ascii="宋体"/>
                <w:vanish/>
              </w:rPr>
            </w:pPr>
          </w:p>
        </w:tc>
        <w:tc>
          <w:tcPr>
            <w:tcW w:w="0" w:type="auto"/>
            <w:gridSpan w:val="3"/>
            <w:shd w:val="clear" w:color="auto" w:fill="auto"/>
            <w:vAlign w:val="bottom"/>
          </w:tcPr>
          <w:p w14:paraId="74DE1BDF" w14:textId="77777777" w:rsidR="00584EC1" w:rsidRDefault="00584EC1">
            <w:pPr>
              <w:rPr>
                <w:rFonts w:ascii="宋体"/>
                <w:vanish/>
              </w:rPr>
            </w:pPr>
          </w:p>
        </w:tc>
        <w:tc>
          <w:tcPr>
            <w:tcW w:w="0" w:type="auto"/>
            <w:gridSpan w:val="3"/>
            <w:shd w:val="clear" w:color="auto" w:fill="auto"/>
            <w:vAlign w:val="bottom"/>
          </w:tcPr>
          <w:p w14:paraId="74DE1BE0" w14:textId="77777777" w:rsidR="00584EC1" w:rsidRDefault="00584EC1">
            <w:pPr>
              <w:rPr>
                <w:rFonts w:ascii="宋体"/>
                <w:vanish/>
              </w:rPr>
            </w:pPr>
          </w:p>
        </w:tc>
        <w:tc>
          <w:tcPr>
            <w:tcW w:w="0" w:type="auto"/>
            <w:gridSpan w:val="3"/>
            <w:shd w:val="clear" w:color="auto" w:fill="auto"/>
            <w:vAlign w:val="bottom"/>
          </w:tcPr>
          <w:p w14:paraId="74DE1BE1" w14:textId="77777777" w:rsidR="00584EC1" w:rsidRDefault="00584EC1">
            <w:pPr>
              <w:rPr>
                <w:rFonts w:ascii="宋体"/>
                <w:vanish/>
              </w:rPr>
            </w:pPr>
          </w:p>
        </w:tc>
        <w:tc>
          <w:tcPr>
            <w:tcW w:w="0" w:type="auto"/>
            <w:gridSpan w:val="3"/>
            <w:shd w:val="clear" w:color="auto" w:fill="auto"/>
            <w:vAlign w:val="bottom"/>
          </w:tcPr>
          <w:p w14:paraId="74DE1BE2" w14:textId="77777777" w:rsidR="00584EC1" w:rsidRDefault="00584EC1">
            <w:pPr>
              <w:rPr>
                <w:rFonts w:ascii="宋体"/>
                <w:vanish/>
              </w:rPr>
            </w:pPr>
          </w:p>
        </w:tc>
        <w:tc>
          <w:tcPr>
            <w:tcW w:w="0" w:type="auto"/>
            <w:gridSpan w:val="3"/>
            <w:shd w:val="clear" w:color="auto" w:fill="auto"/>
            <w:vAlign w:val="bottom"/>
          </w:tcPr>
          <w:p w14:paraId="74DE1BE3" w14:textId="77777777" w:rsidR="00584EC1" w:rsidRDefault="00584EC1">
            <w:pPr>
              <w:rPr>
                <w:rFonts w:ascii="宋体"/>
                <w:vanish/>
              </w:rPr>
            </w:pPr>
          </w:p>
        </w:tc>
      </w:tr>
      <w:tr w:rsidR="00584EC1" w14:paraId="74DE1BF9" w14:textId="77777777">
        <w:trPr>
          <w:hidden/>
        </w:trPr>
        <w:tc>
          <w:tcPr>
            <w:tcW w:w="0" w:type="auto"/>
            <w:gridSpan w:val="3"/>
            <w:shd w:val="clear" w:color="auto" w:fill="auto"/>
            <w:vAlign w:val="bottom"/>
          </w:tcPr>
          <w:p w14:paraId="74DE1BE5" w14:textId="77777777" w:rsidR="00584EC1" w:rsidRDefault="00584EC1">
            <w:pPr>
              <w:rPr>
                <w:rFonts w:ascii="宋体"/>
                <w:vanish/>
              </w:rPr>
            </w:pPr>
          </w:p>
        </w:tc>
        <w:tc>
          <w:tcPr>
            <w:tcW w:w="0" w:type="auto"/>
            <w:gridSpan w:val="3"/>
            <w:shd w:val="clear" w:color="auto" w:fill="auto"/>
            <w:vAlign w:val="bottom"/>
          </w:tcPr>
          <w:p w14:paraId="74DE1BE6" w14:textId="77777777" w:rsidR="00584EC1" w:rsidRDefault="00584EC1">
            <w:pPr>
              <w:rPr>
                <w:rFonts w:ascii="宋体"/>
                <w:vanish/>
              </w:rPr>
            </w:pPr>
          </w:p>
        </w:tc>
        <w:tc>
          <w:tcPr>
            <w:tcW w:w="0" w:type="auto"/>
            <w:gridSpan w:val="3"/>
            <w:shd w:val="clear" w:color="auto" w:fill="auto"/>
            <w:vAlign w:val="bottom"/>
          </w:tcPr>
          <w:p w14:paraId="74DE1BE7" w14:textId="77777777" w:rsidR="00584EC1" w:rsidRDefault="00584EC1">
            <w:pPr>
              <w:rPr>
                <w:rFonts w:ascii="宋体"/>
                <w:vanish/>
              </w:rPr>
            </w:pPr>
          </w:p>
        </w:tc>
        <w:tc>
          <w:tcPr>
            <w:tcW w:w="0" w:type="auto"/>
            <w:gridSpan w:val="3"/>
            <w:shd w:val="clear" w:color="auto" w:fill="auto"/>
            <w:vAlign w:val="bottom"/>
          </w:tcPr>
          <w:p w14:paraId="74DE1BE8" w14:textId="77777777" w:rsidR="00584EC1" w:rsidRDefault="00584EC1">
            <w:pPr>
              <w:rPr>
                <w:rFonts w:ascii="宋体"/>
                <w:vanish/>
              </w:rPr>
            </w:pPr>
          </w:p>
        </w:tc>
        <w:tc>
          <w:tcPr>
            <w:tcW w:w="0" w:type="auto"/>
            <w:gridSpan w:val="3"/>
            <w:shd w:val="clear" w:color="auto" w:fill="auto"/>
            <w:vAlign w:val="bottom"/>
          </w:tcPr>
          <w:p w14:paraId="74DE1BE9" w14:textId="77777777" w:rsidR="00584EC1" w:rsidRDefault="00584EC1">
            <w:pPr>
              <w:rPr>
                <w:rFonts w:ascii="宋体"/>
                <w:vanish/>
              </w:rPr>
            </w:pPr>
          </w:p>
        </w:tc>
        <w:tc>
          <w:tcPr>
            <w:tcW w:w="0" w:type="auto"/>
            <w:gridSpan w:val="3"/>
            <w:shd w:val="clear" w:color="auto" w:fill="auto"/>
            <w:vAlign w:val="bottom"/>
          </w:tcPr>
          <w:p w14:paraId="74DE1BEA" w14:textId="77777777" w:rsidR="00584EC1" w:rsidRDefault="00584EC1">
            <w:pPr>
              <w:rPr>
                <w:rFonts w:ascii="宋体"/>
                <w:vanish/>
              </w:rPr>
            </w:pPr>
          </w:p>
        </w:tc>
        <w:tc>
          <w:tcPr>
            <w:tcW w:w="0" w:type="auto"/>
            <w:gridSpan w:val="3"/>
            <w:shd w:val="clear" w:color="auto" w:fill="auto"/>
            <w:vAlign w:val="bottom"/>
          </w:tcPr>
          <w:p w14:paraId="74DE1BEB" w14:textId="77777777" w:rsidR="00584EC1" w:rsidRDefault="00584EC1">
            <w:pPr>
              <w:rPr>
                <w:rFonts w:ascii="宋体"/>
                <w:vanish/>
              </w:rPr>
            </w:pPr>
          </w:p>
        </w:tc>
        <w:tc>
          <w:tcPr>
            <w:tcW w:w="0" w:type="auto"/>
            <w:gridSpan w:val="3"/>
            <w:shd w:val="clear" w:color="auto" w:fill="auto"/>
            <w:vAlign w:val="bottom"/>
          </w:tcPr>
          <w:p w14:paraId="74DE1BEC" w14:textId="77777777" w:rsidR="00584EC1" w:rsidRDefault="00584EC1">
            <w:pPr>
              <w:rPr>
                <w:rFonts w:ascii="宋体"/>
                <w:vanish/>
              </w:rPr>
            </w:pPr>
          </w:p>
        </w:tc>
        <w:tc>
          <w:tcPr>
            <w:tcW w:w="0" w:type="auto"/>
            <w:gridSpan w:val="3"/>
            <w:shd w:val="clear" w:color="auto" w:fill="auto"/>
            <w:vAlign w:val="bottom"/>
          </w:tcPr>
          <w:p w14:paraId="74DE1BED" w14:textId="77777777" w:rsidR="00584EC1" w:rsidRDefault="00584EC1">
            <w:pPr>
              <w:rPr>
                <w:rFonts w:ascii="宋体"/>
                <w:vanish/>
              </w:rPr>
            </w:pPr>
          </w:p>
        </w:tc>
        <w:tc>
          <w:tcPr>
            <w:tcW w:w="0" w:type="auto"/>
            <w:gridSpan w:val="3"/>
            <w:shd w:val="clear" w:color="auto" w:fill="auto"/>
            <w:vAlign w:val="bottom"/>
          </w:tcPr>
          <w:p w14:paraId="74DE1BEE" w14:textId="77777777" w:rsidR="00584EC1" w:rsidRDefault="00584EC1">
            <w:pPr>
              <w:rPr>
                <w:rFonts w:ascii="宋体"/>
                <w:vanish/>
              </w:rPr>
            </w:pPr>
          </w:p>
        </w:tc>
        <w:tc>
          <w:tcPr>
            <w:tcW w:w="0" w:type="auto"/>
            <w:gridSpan w:val="3"/>
            <w:shd w:val="clear" w:color="auto" w:fill="auto"/>
            <w:vAlign w:val="bottom"/>
          </w:tcPr>
          <w:p w14:paraId="74DE1BEF" w14:textId="77777777" w:rsidR="00584EC1" w:rsidRDefault="00584EC1">
            <w:pPr>
              <w:rPr>
                <w:rFonts w:ascii="宋体"/>
                <w:vanish/>
              </w:rPr>
            </w:pPr>
          </w:p>
        </w:tc>
        <w:tc>
          <w:tcPr>
            <w:tcW w:w="0" w:type="auto"/>
            <w:gridSpan w:val="3"/>
            <w:shd w:val="clear" w:color="auto" w:fill="auto"/>
            <w:vAlign w:val="bottom"/>
          </w:tcPr>
          <w:p w14:paraId="74DE1BF0" w14:textId="77777777" w:rsidR="00584EC1" w:rsidRDefault="00584EC1">
            <w:pPr>
              <w:rPr>
                <w:rFonts w:ascii="宋体"/>
                <w:vanish/>
              </w:rPr>
            </w:pPr>
          </w:p>
        </w:tc>
        <w:tc>
          <w:tcPr>
            <w:tcW w:w="0" w:type="auto"/>
            <w:gridSpan w:val="3"/>
            <w:shd w:val="clear" w:color="auto" w:fill="auto"/>
            <w:vAlign w:val="bottom"/>
          </w:tcPr>
          <w:p w14:paraId="74DE1BF1" w14:textId="77777777" w:rsidR="00584EC1" w:rsidRDefault="00584EC1">
            <w:pPr>
              <w:rPr>
                <w:rFonts w:ascii="宋体"/>
                <w:vanish/>
              </w:rPr>
            </w:pPr>
          </w:p>
        </w:tc>
        <w:tc>
          <w:tcPr>
            <w:tcW w:w="0" w:type="auto"/>
            <w:gridSpan w:val="3"/>
            <w:shd w:val="clear" w:color="auto" w:fill="auto"/>
            <w:vAlign w:val="bottom"/>
          </w:tcPr>
          <w:p w14:paraId="74DE1BF2" w14:textId="77777777" w:rsidR="00584EC1" w:rsidRDefault="00584EC1">
            <w:pPr>
              <w:rPr>
                <w:rFonts w:ascii="宋体"/>
                <w:vanish/>
              </w:rPr>
            </w:pPr>
          </w:p>
        </w:tc>
        <w:tc>
          <w:tcPr>
            <w:tcW w:w="0" w:type="auto"/>
            <w:gridSpan w:val="3"/>
            <w:shd w:val="clear" w:color="auto" w:fill="auto"/>
            <w:vAlign w:val="bottom"/>
          </w:tcPr>
          <w:p w14:paraId="74DE1BF3" w14:textId="77777777" w:rsidR="00584EC1" w:rsidRDefault="00584EC1">
            <w:pPr>
              <w:rPr>
                <w:rFonts w:ascii="宋体"/>
                <w:vanish/>
              </w:rPr>
            </w:pPr>
          </w:p>
        </w:tc>
        <w:tc>
          <w:tcPr>
            <w:tcW w:w="0" w:type="auto"/>
            <w:gridSpan w:val="3"/>
            <w:shd w:val="clear" w:color="auto" w:fill="auto"/>
            <w:vAlign w:val="bottom"/>
          </w:tcPr>
          <w:p w14:paraId="74DE1BF4" w14:textId="77777777" w:rsidR="00584EC1" w:rsidRDefault="00584EC1">
            <w:pPr>
              <w:rPr>
                <w:rFonts w:ascii="宋体"/>
                <w:vanish/>
              </w:rPr>
            </w:pPr>
          </w:p>
        </w:tc>
        <w:tc>
          <w:tcPr>
            <w:tcW w:w="0" w:type="auto"/>
            <w:gridSpan w:val="3"/>
            <w:shd w:val="clear" w:color="auto" w:fill="auto"/>
            <w:vAlign w:val="bottom"/>
          </w:tcPr>
          <w:p w14:paraId="74DE1BF5" w14:textId="77777777" w:rsidR="00584EC1" w:rsidRDefault="00584EC1">
            <w:pPr>
              <w:rPr>
                <w:rFonts w:ascii="宋体"/>
                <w:vanish/>
              </w:rPr>
            </w:pPr>
          </w:p>
        </w:tc>
        <w:tc>
          <w:tcPr>
            <w:tcW w:w="0" w:type="auto"/>
            <w:gridSpan w:val="3"/>
            <w:shd w:val="clear" w:color="auto" w:fill="auto"/>
            <w:vAlign w:val="bottom"/>
          </w:tcPr>
          <w:p w14:paraId="74DE1BF6" w14:textId="77777777" w:rsidR="00584EC1" w:rsidRDefault="00584EC1">
            <w:pPr>
              <w:rPr>
                <w:rFonts w:ascii="宋体"/>
                <w:vanish/>
              </w:rPr>
            </w:pPr>
          </w:p>
        </w:tc>
        <w:tc>
          <w:tcPr>
            <w:tcW w:w="0" w:type="auto"/>
            <w:gridSpan w:val="3"/>
            <w:shd w:val="clear" w:color="auto" w:fill="auto"/>
            <w:vAlign w:val="bottom"/>
          </w:tcPr>
          <w:p w14:paraId="74DE1BF7" w14:textId="77777777" w:rsidR="00584EC1" w:rsidRDefault="00584EC1">
            <w:pPr>
              <w:rPr>
                <w:rFonts w:ascii="宋体"/>
                <w:vanish/>
              </w:rPr>
            </w:pPr>
          </w:p>
        </w:tc>
        <w:tc>
          <w:tcPr>
            <w:tcW w:w="0" w:type="auto"/>
            <w:gridSpan w:val="3"/>
            <w:shd w:val="clear" w:color="auto" w:fill="auto"/>
            <w:vAlign w:val="bottom"/>
          </w:tcPr>
          <w:p w14:paraId="74DE1BF8" w14:textId="77777777" w:rsidR="00584EC1" w:rsidRDefault="00584EC1">
            <w:pPr>
              <w:rPr>
                <w:rFonts w:ascii="宋体"/>
                <w:vanish/>
              </w:rPr>
            </w:pPr>
          </w:p>
        </w:tc>
      </w:tr>
      <w:tr w:rsidR="00584EC1" w14:paraId="74DE1C0E" w14:textId="77777777">
        <w:trPr>
          <w:hidden/>
        </w:trPr>
        <w:tc>
          <w:tcPr>
            <w:tcW w:w="0" w:type="auto"/>
            <w:gridSpan w:val="3"/>
            <w:shd w:val="clear" w:color="auto" w:fill="auto"/>
            <w:vAlign w:val="bottom"/>
          </w:tcPr>
          <w:p w14:paraId="74DE1BFA" w14:textId="77777777" w:rsidR="00584EC1" w:rsidRDefault="00584EC1">
            <w:pPr>
              <w:rPr>
                <w:rFonts w:ascii="宋体"/>
                <w:vanish/>
              </w:rPr>
            </w:pPr>
          </w:p>
        </w:tc>
        <w:tc>
          <w:tcPr>
            <w:tcW w:w="0" w:type="auto"/>
            <w:gridSpan w:val="3"/>
            <w:shd w:val="clear" w:color="auto" w:fill="auto"/>
            <w:vAlign w:val="bottom"/>
          </w:tcPr>
          <w:p w14:paraId="74DE1BFB" w14:textId="77777777" w:rsidR="00584EC1" w:rsidRDefault="00584EC1">
            <w:pPr>
              <w:rPr>
                <w:rFonts w:ascii="宋体"/>
                <w:vanish/>
              </w:rPr>
            </w:pPr>
          </w:p>
        </w:tc>
        <w:tc>
          <w:tcPr>
            <w:tcW w:w="0" w:type="auto"/>
            <w:gridSpan w:val="3"/>
            <w:shd w:val="clear" w:color="auto" w:fill="auto"/>
            <w:vAlign w:val="bottom"/>
          </w:tcPr>
          <w:p w14:paraId="74DE1BFC" w14:textId="77777777" w:rsidR="00584EC1" w:rsidRDefault="00584EC1">
            <w:pPr>
              <w:rPr>
                <w:rFonts w:ascii="宋体"/>
                <w:vanish/>
              </w:rPr>
            </w:pPr>
          </w:p>
        </w:tc>
        <w:tc>
          <w:tcPr>
            <w:tcW w:w="0" w:type="auto"/>
            <w:gridSpan w:val="3"/>
            <w:shd w:val="clear" w:color="auto" w:fill="auto"/>
            <w:vAlign w:val="bottom"/>
          </w:tcPr>
          <w:p w14:paraId="74DE1BFD" w14:textId="77777777" w:rsidR="00584EC1" w:rsidRDefault="00584EC1">
            <w:pPr>
              <w:rPr>
                <w:rFonts w:ascii="宋体"/>
                <w:vanish/>
              </w:rPr>
            </w:pPr>
          </w:p>
        </w:tc>
        <w:tc>
          <w:tcPr>
            <w:tcW w:w="0" w:type="auto"/>
            <w:gridSpan w:val="3"/>
            <w:shd w:val="clear" w:color="auto" w:fill="auto"/>
            <w:vAlign w:val="bottom"/>
          </w:tcPr>
          <w:p w14:paraId="74DE1BFE" w14:textId="77777777" w:rsidR="00584EC1" w:rsidRDefault="00584EC1">
            <w:pPr>
              <w:rPr>
                <w:rFonts w:ascii="宋体"/>
                <w:vanish/>
              </w:rPr>
            </w:pPr>
          </w:p>
        </w:tc>
        <w:tc>
          <w:tcPr>
            <w:tcW w:w="0" w:type="auto"/>
            <w:gridSpan w:val="3"/>
            <w:shd w:val="clear" w:color="auto" w:fill="auto"/>
            <w:vAlign w:val="bottom"/>
          </w:tcPr>
          <w:p w14:paraId="74DE1BFF" w14:textId="77777777" w:rsidR="00584EC1" w:rsidRDefault="00584EC1">
            <w:pPr>
              <w:rPr>
                <w:rFonts w:ascii="宋体"/>
                <w:vanish/>
              </w:rPr>
            </w:pPr>
          </w:p>
        </w:tc>
        <w:tc>
          <w:tcPr>
            <w:tcW w:w="0" w:type="auto"/>
            <w:gridSpan w:val="3"/>
            <w:shd w:val="clear" w:color="auto" w:fill="auto"/>
            <w:vAlign w:val="bottom"/>
          </w:tcPr>
          <w:p w14:paraId="74DE1C00" w14:textId="77777777" w:rsidR="00584EC1" w:rsidRDefault="00584EC1">
            <w:pPr>
              <w:rPr>
                <w:rFonts w:ascii="宋体"/>
                <w:vanish/>
              </w:rPr>
            </w:pPr>
          </w:p>
        </w:tc>
        <w:tc>
          <w:tcPr>
            <w:tcW w:w="0" w:type="auto"/>
            <w:gridSpan w:val="3"/>
            <w:shd w:val="clear" w:color="auto" w:fill="auto"/>
            <w:vAlign w:val="bottom"/>
          </w:tcPr>
          <w:p w14:paraId="74DE1C01" w14:textId="77777777" w:rsidR="00584EC1" w:rsidRDefault="00584EC1">
            <w:pPr>
              <w:rPr>
                <w:rFonts w:ascii="宋体"/>
                <w:vanish/>
              </w:rPr>
            </w:pPr>
          </w:p>
        </w:tc>
        <w:tc>
          <w:tcPr>
            <w:tcW w:w="0" w:type="auto"/>
            <w:gridSpan w:val="3"/>
            <w:shd w:val="clear" w:color="auto" w:fill="auto"/>
            <w:vAlign w:val="bottom"/>
          </w:tcPr>
          <w:p w14:paraId="74DE1C02" w14:textId="77777777" w:rsidR="00584EC1" w:rsidRDefault="00584EC1">
            <w:pPr>
              <w:rPr>
                <w:rFonts w:ascii="宋体"/>
                <w:vanish/>
              </w:rPr>
            </w:pPr>
          </w:p>
        </w:tc>
        <w:tc>
          <w:tcPr>
            <w:tcW w:w="0" w:type="auto"/>
            <w:gridSpan w:val="3"/>
            <w:shd w:val="clear" w:color="auto" w:fill="auto"/>
            <w:vAlign w:val="bottom"/>
          </w:tcPr>
          <w:p w14:paraId="74DE1C03" w14:textId="77777777" w:rsidR="00584EC1" w:rsidRDefault="00584EC1">
            <w:pPr>
              <w:rPr>
                <w:rFonts w:ascii="宋体"/>
                <w:vanish/>
              </w:rPr>
            </w:pPr>
          </w:p>
        </w:tc>
        <w:tc>
          <w:tcPr>
            <w:tcW w:w="0" w:type="auto"/>
            <w:gridSpan w:val="3"/>
            <w:shd w:val="clear" w:color="auto" w:fill="auto"/>
            <w:vAlign w:val="bottom"/>
          </w:tcPr>
          <w:p w14:paraId="74DE1C04" w14:textId="77777777" w:rsidR="00584EC1" w:rsidRDefault="00584EC1">
            <w:pPr>
              <w:rPr>
                <w:rFonts w:ascii="宋体"/>
                <w:vanish/>
              </w:rPr>
            </w:pPr>
          </w:p>
        </w:tc>
        <w:tc>
          <w:tcPr>
            <w:tcW w:w="0" w:type="auto"/>
            <w:gridSpan w:val="3"/>
            <w:shd w:val="clear" w:color="auto" w:fill="auto"/>
            <w:vAlign w:val="bottom"/>
          </w:tcPr>
          <w:p w14:paraId="74DE1C05" w14:textId="77777777" w:rsidR="00584EC1" w:rsidRDefault="00584EC1">
            <w:pPr>
              <w:rPr>
                <w:rFonts w:ascii="宋体"/>
                <w:vanish/>
              </w:rPr>
            </w:pPr>
          </w:p>
        </w:tc>
        <w:tc>
          <w:tcPr>
            <w:tcW w:w="0" w:type="auto"/>
            <w:gridSpan w:val="3"/>
            <w:shd w:val="clear" w:color="auto" w:fill="auto"/>
            <w:vAlign w:val="bottom"/>
          </w:tcPr>
          <w:p w14:paraId="74DE1C06" w14:textId="77777777" w:rsidR="00584EC1" w:rsidRDefault="00584EC1">
            <w:pPr>
              <w:rPr>
                <w:rFonts w:ascii="宋体"/>
                <w:vanish/>
              </w:rPr>
            </w:pPr>
          </w:p>
        </w:tc>
        <w:tc>
          <w:tcPr>
            <w:tcW w:w="0" w:type="auto"/>
            <w:gridSpan w:val="3"/>
            <w:shd w:val="clear" w:color="auto" w:fill="auto"/>
            <w:vAlign w:val="bottom"/>
          </w:tcPr>
          <w:p w14:paraId="74DE1C07" w14:textId="77777777" w:rsidR="00584EC1" w:rsidRDefault="00584EC1">
            <w:pPr>
              <w:rPr>
                <w:rFonts w:ascii="宋体"/>
                <w:vanish/>
              </w:rPr>
            </w:pPr>
          </w:p>
        </w:tc>
        <w:tc>
          <w:tcPr>
            <w:tcW w:w="0" w:type="auto"/>
            <w:gridSpan w:val="3"/>
            <w:shd w:val="clear" w:color="auto" w:fill="auto"/>
            <w:vAlign w:val="bottom"/>
          </w:tcPr>
          <w:p w14:paraId="74DE1C08" w14:textId="77777777" w:rsidR="00584EC1" w:rsidRDefault="00584EC1">
            <w:pPr>
              <w:rPr>
                <w:rFonts w:ascii="宋体"/>
                <w:vanish/>
              </w:rPr>
            </w:pPr>
          </w:p>
        </w:tc>
        <w:tc>
          <w:tcPr>
            <w:tcW w:w="0" w:type="auto"/>
            <w:gridSpan w:val="3"/>
            <w:shd w:val="clear" w:color="auto" w:fill="auto"/>
            <w:vAlign w:val="bottom"/>
          </w:tcPr>
          <w:p w14:paraId="74DE1C09" w14:textId="77777777" w:rsidR="00584EC1" w:rsidRDefault="00584EC1">
            <w:pPr>
              <w:rPr>
                <w:rFonts w:ascii="宋体"/>
                <w:vanish/>
              </w:rPr>
            </w:pPr>
          </w:p>
        </w:tc>
        <w:tc>
          <w:tcPr>
            <w:tcW w:w="0" w:type="auto"/>
            <w:gridSpan w:val="3"/>
            <w:shd w:val="clear" w:color="auto" w:fill="auto"/>
            <w:vAlign w:val="bottom"/>
          </w:tcPr>
          <w:p w14:paraId="74DE1C0A" w14:textId="77777777" w:rsidR="00584EC1" w:rsidRDefault="00584EC1">
            <w:pPr>
              <w:rPr>
                <w:rFonts w:ascii="宋体"/>
                <w:vanish/>
              </w:rPr>
            </w:pPr>
          </w:p>
        </w:tc>
        <w:tc>
          <w:tcPr>
            <w:tcW w:w="0" w:type="auto"/>
            <w:gridSpan w:val="3"/>
            <w:shd w:val="clear" w:color="auto" w:fill="auto"/>
            <w:vAlign w:val="bottom"/>
          </w:tcPr>
          <w:p w14:paraId="74DE1C0B" w14:textId="77777777" w:rsidR="00584EC1" w:rsidRDefault="00584EC1">
            <w:pPr>
              <w:rPr>
                <w:rFonts w:ascii="宋体"/>
                <w:vanish/>
              </w:rPr>
            </w:pPr>
          </w:p>
        </w:tc>
        <w:tc>
          <w:tcPr>
            <w:tcW w:w="0" w:type="auto"/>
            <w:gridSpan w:val="3"/>
            <w:shd w:val="clear" w:color="auto" w:fill="auto"/>
            <w:vAlign w:val="bottom"/>
          </w:tcPr>
          <w:p w14:paraId="74DE1C0C" w14:textId="77777777" w:rsidR="00584EC1" w:rsidRDefault="00584EC1">
            <w:pPr>
              <w:rPr>
                <w:rFonts w:ascii="宋体"/>
                <w:vanish/>
              </w:rPr>
            </w:pPr>
          </w:p>
        </w:tc>
        <w:tc>
          <w:tcPr>
            <w:tcW w:w="0" w:type="auto"/>
            <w:gridSpan w:val="3"/>
            <w:shd w:val="clear" w:color="auto" w:fill="auto"/>
            <w:vAlign w:val="bottom"/>
          </w:tcPr>
          <w:p w14:paraId="74DE1C0D" w14:textId="77777777" w:rsidR="00584EC1" w:rsidRDefault="00584EC1">
            <w:pPr>
              <w:rPr>
                <w:rFonts w:ascii="宋体"/>
                <w:vanish/>
              </w:rPr>
            </w:pPr>
          </w:p>
        </w:tc>
      </w:tr>
      <w:tr w:rsidR="00584EC1" w14:paraId="74DE1C23" w14:textId="77777777">
        <w:trPr>
          <w:hidden/>
        </w:trPr>
        <w:tc>
          <w:tcPr>
            <w:tcW w:w="0" w:type="auto"/>
            <w:gridSpan w:val="3"/>
            <w:shd w:val="clear" w:color="auto" w:fill="auto"/>
            <w:vAlign w:val="bottom"/>
          </w:tcPr>
          <w:p w14:paraId="74DE1C0F" w14:textId="77777777" w:rsidR="00584EC1" w:rsidRDefault="00584EC1">
            <w:pPr>
              <w:rPr>
                <w:rFonts w:ascii="宋体"/>
                <w:vanish/>
              </w:rPr>
            </w:pPr>
          </w:p>
        </w:tc>
        <w:tc>
          <w:tcPr>
            <w:tcW w:w="0" w:type="auto"/>
            <w:gridSpan w:val="3"/>
            <w:shd w:val="clear" w:color="auto" w:fill="auto"/>
            <w:vAlign w:val="bottom"/>
          </w:tcPr>
          <w:p w14:paraId="74DE1C10" w14:textId="77777777" w:rsidR="00584EC1" w:rsidRDefault="00584EC1">
            <w:pPr>
              <w:rPr>
                <w:rFonts w:ascii="宋体"/>
                <w:vanish/>
              </w:rPr>
            </w:pPr>
          </w:p>
        </w:tc>
        <w:tc>
          <w:tcPr>
            <w:tcW w:w="0" w:type="auto"/>
            <w:gridSpan w:val="3"/>
            <w:shd w:val="clear" w:color="auto" w:fill="auto"/>
            <w:vAlign w:val="bottom"/>
          </w:tcPr>
          <w:p w14:paraId="74DE1C11" w14:textId="77777777" w:rsidR="00584EC1" w:rsidRDefault="00584EC1">
            <w:pPr>
              <w:rPr>
                <w:rFonts w:ascii="宋体"/>
                <w:vanish/>
              </w:rPr>
            </w:pPr>
          </w:p>
        </w:tc>
        <w:tc>
          <w:tcPr>
            <w:tcW w:w="0" w:type="auto"/>
            <w:gridSpan w:val="3"/>
            <w:shd w:val="clear" w:color="auto" w:fill="auto"/>
            <w:vAlign w:val="bottom"/>
          </w:tcPr>
          <w:p w14:paraId="74DE1C12" w14:textId="77777777" w:rsidR="00584EC1" w:rsidRDefault="00584EC1">
            <w:pPr>
              <w:rPr>
                <w:rFonts w:ascii="宋体"/>
                <w:vanish/>
              </w:rPr>
            </w:pPr>
          </w:p>
        </w:tc>
        <w:tc>
          <w:tcPr>
            <w:tcW w:w="0" w:type="auto"/>
            <w:gridSpan w:val="3"/>
            <w:shd w:val="clear" w:color="auto" w:fill="auto"/>
            <w:vAlign w:val="bottom"/>
          </w:tcPr>
          <w:p w14:paraId="74DE1C13" w14:textId="77777777" w:rsidR="00584EC1" w:rsidRDefault="00584EC1">
            <w:pPr>
              <w:rPr>
                <w:rFonts w:ascii="宋体"/>
                <w:vanish/>
              </w:rPr>
            </w:pPr>
          </w:p>
        </w:tc>
        <w:tc>
          <w:tcPr>
            <w:tcW w:w="0" w:type="auto"/>
            <w:gridSpan w:val="3"/>
            <w:shd w:val="clear" w:color="auto" w:fill="auto"/>
            <w:vAlign w:val="bottom"/>
          </w:tcPr>
          <w:p w14:paraId="74DE1C14" w14:textId="77777777" w:rsidR="00584EC1" w:rsidRDefault="00584EC1">
            <w:pPr>
              <w:rPr>
                <w:rFonts w:ascii="宋体"/>
                <w:vanish/>
              </w:rPr>
            </w:pPr>
          </w:p>
        </w:tc>
        <w:tc>
          <w:tcPr>
            <w:tcW w:w="0" w:type="auto"/>
            <w:gridSpan w:val="3"/>
            <w:shd w:val="clear" w:color="auto" w:fill="auto"/>
            <w:vAlign w:val="bottom"/>
          </w:tcPr>
          <w:p w14:paraId="74DE1C15" w14:textId="77777777" w:rsidR="00584EC1" w:rsidRDefault="00584EC1">
            <w:pPr>
              <w:rPr>
                <w:rFonts w:ascii="宋体"/>
                <w:vanish/>
              </w:rPr>
            </w:pPr>
          </w:p>
        </w:tc>
        <w:tc>
          <w:tcPr>
            <w:tcW w:w="0" w:type="auto"/>
            <w:gridSpan w:val="3"/>
            <w:shd w:val="clear" w:color="auto" w:fill="auto"/>
            <w:vAlign w:val="bottom"/>
          </w:tcPr>
          <w:p w14:paraId="74DE1C16" w14:textId="77777777" w:rsidR="00584EC1" w:rsidRDefault="00584EC1">
            <w:pPr>
              <w:rPr>
                <w:rFonts w:ascii="宋体"/>
                <w:vanish/>
              </w:rPr>
            </w:pPr>
          </w:p>
        </w:tc>
        <w:tc>
          <w:tcPr>
            <w:tcW w:w="0" w:type="auto"/>
            <w:gridSpan w:val="3"/>
            <w:shd w:val="clear" w:color="auto" w:fill="auto"/>
            <w:vAlign w:val="bottom"/>
          </w:tcPr>
          <w:p w14:paraId="74DE1C17" w14:textId="77777777" w:rsidR="00584EC1" w:rsidRDefault="00584EC1">
            <w:pPr>
              <w:rPr>
                <w:rFonts w:ascii="宋体"/>
                <w:vanish/>
              </w:rPr>
            </w:pPr>
          </w:p>
        </w:tc>
        <w:tc>
          <w:tcPr>
            <w:tcW w:w="0" w:type="auto"/>
            <w:gridSpan w:val="3"/>
            <w:shd w:val="clear" w:color="auto" w:fill="auto"/>
            <w:vAlign w:val="bottom"/>
          </w:tcPr>
          <w:p w14:paraId="74DE1C18" w14:textId="77777777" w:rsidR="00584EC1" w:rsidRDefault="00584EC1">
            <w:pPr>
              <w:rPr>
                <w:rFonts w:ascii="宋体"/>
                <w:vanish/>
              </w:rPr>
            </w:pPr>
          </w:p>
        </w:tc>
        <w:tc>
          <w:tcPr>
            <w:tcW w:w="0" w:type="auto"/>
            <w:gridSpan w:val="3"/>
            <w:shd w:val="clear" w:color="auto" w:fill="auto"/>
            <w:vAlign w:val="bottom"/>
          </w:tcPr>
          <w:p w14:paraId="74DE1C19" w14:textId="77777777" w:rsidR="00584EC1" w:rsidRDefault="00584EC1">
            <w:pPr>
              <w:rPr>
                <w:rFonts w:ascii="宋体"/>
                <w:vanish/>
              </w:rPr>
            </w:pPr>
          </w:p>
        </w:tc>
        <w:tc>
          <w:tcPr>
            <w:tcW w:w="0" w:type="auto"/>
            <w:gridSpan w:val="3"/>
            <w:shd w:val="clear" w:color="auto" w:fill="auto"/>
            <w:vAlign w:val="bottom"/>
          </w:tcPr>
          <w:p w14:paraId="74DE1C1A" w14:textId="77777777" w:rsidR="00584EC1" w:rsidRDefault="00584EC1">
            <w:pPr>
              <w:rPr>
                <w:rFonts w:ascii="宋体"/>
                <w:vanish/>
              </w:rPr>
            </w:pPr>
          </w:p>
        </w:tc>
        <w:tc>
          <w:tcPr>
            <w:tcW w:w="0" w:type="auto"/>
            <w:gridSpan w:val="3"/>
            <w:shd w:val="clear" w:color="auto" w:fill="auto"/>
            <w:vAlign w:val="bottom"/>
          </w:tcPr>
          <w:p w14:paraId="74DE1C1B" w14:textId="77777777" w:rsidR="00584EC1" w:rsidRDefault="00584EC1">
            <w:pPr>
              <w:rPr>
                <w:rFonts w:ascii="宋体"/>
                <w:vanish/>
              </w:rPr>
            </w:pPr>
          </w:p>
        </w:tc>
        <w:tc>
          <w:tcPr>
            <w:tcW w:w="0" w:type="auto"/>
            <w:gridSpan w:val="3"/>
            <w:shd w:val="clear" w:color="auto" w:fill="auto"/>
            <w:vAlign w:val="bottom"/>
          </w:tcPr>
          <w:p w14:paraId="74DE1C1C" w14:textId="77777777" w:rsidR="00584EC1" w:rsidRDefault="00584EC1">
            <w:pPr>
              <w:rPr>
                <w:rFonts w:ascii="宋体"/>
                <w:vanish/>
              </w:rPr>
            </w:pPr>
          </w:p>
        </w:tc>
        <w:tc>
          <w:tcPr>
            <w:tcW w:w="0" w:type="auto"/>
            <w:gridSpan w:val="3"/>
            <w:shd w:val="clear" w:color="auto" w:fill="auto"/>
            <w:vAlign w:val="bottom"/>
          </w:tcPr>
          <w:p w14:paraId="74DE1C1D" w14:textId="77777777" w:rsidR="00584EC1" w:rsidRDefault="00584EC1">
            <w:pPr>
              <w:rPr>
                <w:rFonts w:ascii="宋体"/>
                <w:vanish/>
              </w:rPr>
            </w:pPr>
          </w:p>
        </w:tc>
        <w:tc>
          <w:tcPr>
            <w:tcW w:w="0" w:type="auto"/>
            <w:gridSpan w:val="3"/>
            <w:shd w:val="clear" w:color="auto" w:fill="auto"/>
            <w:vAlign w:val="bottom"/>
          </w:tcPr>
          <w:p w14:paraId="74DE1C1E" w14:textId="77777777" w:rsidR="00584EC1" w:rsidRDefault="00584EC1">
            <w:pPr>
              <w:rPr>
                <w:rFonts w:ascii="宋体"/>
                <w:vanish/>
              </w:rPr>
            </w:pPr>
          </w:p>
        </w:tc>
        <w:tc>
          <w:tcPr>
            <w:tcW w:w="0" w:type="auto"/>
            <w:gridSpan w:val="3"/>
            <w:shd w:val="clear" w:color="auto" w:fill="auto"/>
            <w:vAlign w:val="bottom"/>
          </w:tcPr>
          <w:p w14:paraId="74DE1C1F" w14:textId="77777777" w:rsidR="00584EC1" w:rsidRDefault="00584EC1">
            <w:pPr>
              <w:rPr>
                <w:rFonts w:ascii="宋体"/>
                <w:vanish/>
              </w:rPr>
            </w:pPr>
          </w:p>
        </w:tc>
        <w:tc>
          <w:tcPr>
            <w:tcW w:w="0" w:type="auto"/>
            <w:gridSpan w:val="3"/>
            <w:shd w:val="clear" w:color="auto" w:fill="auto"/>
            <w:vAlign w:val="bottom"/>
          </w:tcPr>
          <w:p w14:paraId="74DE1C20" w14:textId="77777777" w:rsidR="00584EC1" w:rsidRDefault="00584EC1">
            <w:pPr>
              <w:rPr>
                <w:rFonts w:ascii="宋体"/>
                <w:vanish/>
              </w:rPr>
            </w:pPr>
          </w:p>
        </w:tc>
        <w:tc>
          <w:tcPr>
            <w:tcW w:w="0" w:type="auto"/>
            <w:gridSpan w:val="3"/>
            <w:shd w:val="clear" w:color="auto" w:fill="auto"/>
            <w:vAlign w:val="bottom"/>
          </w:tcPr>
          <w:p w14:paraId="74DE1C21" w14:textId="77777777" w:rsidR="00584EC1" w:rsidRDefault="00584EC1">
            <w:pPr>
              <w:rPr>
                <w:rFonts w:ascii="宋体"/>
                <w:vanish/>
              </w:rPr>
            </w:pPr>
          </w:p>
        </w:tc>
        <w:tc>
          <w:tcPr>
            <w:tcW w:w="0" w:type="auto"/>
            <w:gridSpan w:val="3"/>
            <w:shd w:val="clear" w:color="auto" w:fill="auto"/>
            <w:vAlign w:val="bottom"/>
          </w:tcPr>
          <w:p w14:paraId="74DE1C22" w14:textId="77777777" w:rsidR="00584EC1" w:rsidRDefault="00584EC1">
            <w:pPr>
              <w:rPr>
                <w:rFonts w:ascii="宋体"/>
                <w:vanish/>
              </w:rPr>
            </w:pPr>
          </w:p>
        </w:tc>
      </w:tr>
      <w:tr w:rsidR="00584EC1" w14:paraId="74DE1C38" w14:textId="77777777">
        <w:trPr>
          <w:hidden/>
        </w:trPr>
        <w:tc>
          <w:tcPr>
            <w:tcW w:w="0" w:type="auto"/>
            <w:gridSpan w:val="3"/>
            <w:shd w:val="clear" w:color="auto" w:fill="auto"/>
            <w:vAlign w:val="bottom"/>
          </w:tcPr>
          <w:p w14:paraId="74DE1C24" w14:textId="77777777" w:rsidR="00584EC1" w:rsidRDefault="00584EC1">
            <w:pPr>
              <w:rPr>
                <w:rFonts w:ascii="宋体"/>
                <w:vanish/>
              </w:rPr>
            </w:pPr>
          </w:p>
        </w:tc>
        <w:tc>
          <w:tcPr>
            <w:tcW w:w="0" w:type="auto"/>
            <w:gridSpan w:val="3"/>
            <w:shd w:val="clear" w:color="auto" w:fill="auto"/>
            <w:vAlign w:val="bottom"/>
          </w:tcPr>
          <w:p w14:paraId="74DE1C25" w14:textId="77777777" w:rsidR="00584EC1" w:rsidRDefault="00584EC1">
            <w:pPr>
              <w:rPr>
                <w:rFonts w:ascii="宋体"/>
                <w:vanish/>
              </w:rPr>
            </w:pPr>
          </w:p>
        </w:tc>
        <w:tc>
          <w:tcPr>
            <w:tcW w:w="0" w:type="auto"/>
            <w:gridSpan w:val="3"/>
            <w:shd w:val="clear" w:color="auto" w:fill="auto"/>
            <w:vAlign w:val="bottom"/>
          </w:tcPr>
          <w:p w14:paraId="74DE1C26" w14:textId="77777777" w:rsidR="00584EC1" w:rsidRDefault="00584EC1">
            <w:pPr>
              <w:rPr>
                <w:rFonts w:ascii="宋体"/>
                <w:vanish/>
              </w:rPr>
            </w:pPr>
          </w:p>
        </w:tc>
        <w:tc>
          <w:tcPr>
            <w:tcW w:w="0" w:type="auto"/>
            <w:gridSpan w:val="3"/>
            <w:shd w:val="clear" w:color="auto" w:fill="auto"/>
            <w:vAlign w:val="bottom"/>
          </w:tcPr>
          <w:p w14:paraId="74DE1C27" w14:textId="77777777" w:rsidR="00584EC1" w:rsidRDefault="00584EC1">
            <w:pPr>
              <w:rPr>
                <w:rFonts w:ascii="宋体"/>
                <w:vanish/>
              </w:rPr>
            </w:pPr>
          </w:p>
        </w:tc>
        <w:tc>
          <w:tcPr>
            <w:tcW w:w="0" w:type="auto"/>
            <w:gridSpan w:val="3"/>
            <w:shd w:val="clear" w:color="auto" w:fill="auto"/>
            <w:vAlign w:val="bottom"/>
          </w:tcPr>
          <w:p w14:paraId="74DE1C28" w14:textId="77777777" w:rsidR="00584EC1" w:rsidRDefault="00584EC1">
            <w:pPr>
              <w:rPr>
                <w:rFonts w:ascii="宋体"/>
                <w:vanish/>
              </w:rPr>
            </w:pPr>
          </w:p>
        </w:tc>
        <w:tc>
          <w:tcPr>
            <w:tcW w:w="0" w:type="auto"/>
            <w:gridSpan w:val="3"/>
            <w:shd w:val="clear" w:color="auto" w:fill="auto"/>
            <w:vAlign w:val="bottom"/>
          </w:tcPr>
          <w:p w14:paraId="74DE1C29" w14:textId="77777777" w:rsidR="00584EC1" w:rsidRDefault="00584EC1">
            <w:pPr>
              <w:rPr>
                <w:rFonts w:ascii="宋体"/>
                <w:vanish/>
              </w:rPr>
            </w:pPr>
          </w:p>
        </w:tc>
        <w:tc>
          <w:tcPr>
            <w:tcW w:w="0" w:type="auto"/>
            <w:gridSpan w:val="3"/>
            <w:shd w:val="clear" w:color="auto" w:fill="auto"/>
            <w:vAlign w:val="bottom"/>
          </w:tcPr>
          <w:p w14:paraId="74DE1C2A" w14:textId="77777777" w:rsidR="00584EC1" w:rsidRDefault="00584EC1">
            <w:pPr>
              <w:rPr>
                <w:rFonts w:ascii="宋体"/>
                <w:vanish/>
              </w:rPr>
            </w:pPr>
          </w:p>
        </w:tc>
        <w:tc>
          <w:tcPr>
            <w:tcW w:w="0" w:type="auto"/>
            <w:gridSpan w:val="3"/>
            <w:shd w:val="clear" w:color="auto" w:fill="auto"/>
            <w:vAlign w:val="bottom"/>
          </w:tcPr>
          <w:p w14:paraId="74DE1C2B" w14:textId="77777777" w:rsidR="00584EC1" w:rsidRDefault="00584EC1">
            <w:pPr>
              <w:rPr>
                <w:rFonts w:ascii="宋体"/>
                <w:vanish/>
              </w:rPr>
            </w:pPr>
          </w:p>
        </w:tc>
        <w:tc>
          <w:tcPr>
            <w:tcW w:w="0" w:type="auto"/>
            <w:gridSpan w:val="3"/>
            <w:shd w:val="clear" w:color="auto" w:fill="auto"/>
            <w:vAlign w:val="bottom"/>
          </w:tcPr>
          <w:p w14:paraId="74DE1C2C" w14:textId="77777777" w:rsidR="00584EC1" w:rsidRDefault="00584EC1">
            <w:pPr>
              <w:rPr>
                <w:rFonts w:ascii="宋体"/>
                <w:vanish/>
              </w:rPr>
            </w:pPr>
          </w:p>
        </w:tc>
        <w:tc>
          <w:tcPr>
            <w:tcW w:w="0" w:type="auto"/>
            <w:gridSpan w:val="3"/>
            <w:shd w:val="clear" w:color="auto" w:fill="auto"/>
            <w:vAlign w:val="bottom"/>
          </w:tcPr>
          <w:p w14:paraId="74DE1C2D" w14:textId="77777777" w:rsidR="00584EC1" w:rsidRDefault="00584EC1">
            <w:pPr>
              <w:rPr>
                <w:rFonts w:ascii="宋体"/>
                <w:vanish/>
              </w:rPr>
            </w:pPr>
          </w:p>
        </w:tc>
        <w:tc>
          <w:tcPr>
            <w:tcW w:w="0" w:type="auto"/>
            <w:gridSpan w:val="3"/>
            <w:shd w:val="clear" w:color="auto" w:fill="auto"/>
            <w:vAlign w:val="bottom"/>
          </w:tcPr>
          <w:p w14:paraId="74DE1C2E" w14:textId="77777777" w:rsidR="00584EC1" w:rsidRDefault="00584EC1">
            <w:pPr>
              <w:rPr>
                <w:rFonts w:ascii="宋体"/>
                <w:vanish/>
              </w:rPr>
            </w:pPr>
          </w:p>
        </w:tc>
        <w:tc>
          <w:tcPr>
            <w:tcW w:w="0" w:type="auto"/>
            <w:gridSpan w:val="3"/>
            <w:shd w:val="clear" w:color="auto" w:fill="auto"/>
            <w:vAlign w:val="bottom"/>
          </w:tcPr>
          <w:p w14:paraId="74DE1C2F" w14:textId="77777777" w:rsidR="00584EC1" w:rsidRDefault="00584EC1">
            <w:pPr>
              <w:rPr>
                <w:rFonts w:ascii="宋体"/>
                <w:vanish/>
              </w:rPr>
            </w:pPr>
          </w:p>
        </w:tc>
        <w:tc>
          <w:tcPr>
            <w:tcW w:w="0" w:type="auto"/>
            <w:gridSpan w:val="3"/>
            <w:shd w:val="clear" w:color="auto" w:fill="auto"/>
            <w:vAlign w:val="bottom"/>
          </w:tcPr>
          <w:p w14:paraId="74DE1C30" w14:textId="77777777" w:rsidR="00584EC1" w:rsidRDefault="00584EC1">
            <w:pPr>
              <w:rPr>
                <w:rFonts w:ascii="宋体"/>
                <w:vanish/>
              </w:rPr>
            </w:pPr>
          </w:p>
        </w:tc>
        <w:tc>
          <w:tcPr>
            <w:tcW w:w="0" w:type="auto"/>
            <w:gridSpan w:val="3"/>
            <w:shd w:val="clear" w:color="auto" w:fill="auto"/>
            <w:vAlign w:val="bottom"/>
          </w:tcPr>
          <w:p w14:paraId="74DE1C31" w14:textId="77777777" w:rsidR="00584EC1" w:rsidRDefault="00584EC1">
            <w:pPr>
              <w:rPr>
                <w:rFonts w:ascii="宋体"/>
                <w:vanish/>
              </w:rPr>
            </w:pPr>
          </w:p>
        </w:tc>
        <w:tc>
          <w:tcPr>
            <w:tcW w:w="0" w:type="auto"/>
            <w:gridSpan w:val="3"/>
            <w:shd w:val="clear" w:color="auto" w:fill="auto"/>
            <w:vAlign w:val="bottom"/>
          </w:tcPr>
          <w:p w14:paraId="74DE1C32" w14:textId="77777777" w:rsidR="00584EC1" w:rsidRDefault="00584EC1">
            <w:pPr>
              <w:rPr>
                <w:rFonts w:ascii="宋体"/>
                <w:vanish/>
              </w:rPr>
            </w:pPr>
          </w:p>
        </w:tc>
        <w:tc>
          <w:tcPr>
            <w:tcW w:w="0" w:type="auto"/>
            <w:gridSpan w:val="3"/>
            <w:shd w:val="clear" w:color="auto" w:fill="auto"/>
            <w:vAlign w:val="bottom"/>
          </w:tcPr>
          <w:p w14:paraId="74DE1C33" w14:textId="77777777" w:rsidR="00584EC1" w:rsidRDefault="00584EC1">
            <w:pPr>
              <w:rPr>
                <w:rFonts w:ascii="宋体"/>
                <w:vanish/>
              </w:rPr>
            </w:pPr>
          </w:p>
        </w:tc>
        <w:tc>
          <w:tcPr>
            <w:tcW w:w="0" w:type="auto"/>
            <w:gridSpan w:val="3"/>
            <w:shd w:val="clear" w:color="auto" w:fill="auto"/>
            <w:vAlign w:val="bottom"/>
          </w:tcPr>
          <w:p w14:paraId="74DE1C34" w14:textId="77777777" w:rsidR="00584EC1" w:rsidRDefault="00584EC1">
            <w:pPr>
              <w:rPr>
                <w:rFonts w:ascii="宋体"/>
                <w:vanish/>
              </w:rPr>
            </w:pPr>
          </w:p>
        </w:tc>
        <w:tc>
          <w:tcPr>
            <w:tcW w:w="0" w:type="auto"/>
            <w:gridSpan w:val="3"/>
            <w:shd w:val="clear" w:color="auto" w:fill="auto"/>
            <w:vAlign w:val="bottom"/>
          </w:tcPr>
          <w:p w14:paraId="74DE1C35" w14:textId="77777777" w:rsidR="00584EC1" w:rsidRDefault="00584EC1">
            <w:pPr>
              <w:rPr>
                <w:rFonts w:ascii="宋体"/>
                <w:vanish/>
              </w:rPr>
            </w:pPr>
          </w:p>
        </w:tc>
        <w:tc>
          <w:tcPr>
            <w:tcW w:w="0" w:type="auto"/>
            <w:gridSpan w:val="3"/>
            <w:shd w:val="clear" w:color="auto" w:fill="auto"/>
            <w:vAlign w:val="bottom"/>
          </w:tcPr>
          <w:p w14:paraId="74DE1C36" w14:textId="77777777" w:rsidR="00584EC1" w:rsidRDefault="00584EC1">
            <w:pPr>
              <w:rPr>
                <w:rFonts w:ascii="宋体"/>
                <w:vanish/>
              </w:rPr>
            </w:pPr>
          </w:p>
        </w:tc>
        <w:tc>
          <w:tcPr>
            <w:tcW w:w="0" w:type="auto"/>
            <w:gridSpan w:val="3"/>
            <w:shd w:val="clear" w:color="auto" w:fill="auto"/>
            <w:vAlign w:val="bottom"/>
          </w:tcPr>
          <w:p w14:paraId="74DE1C37" w14:textId="77777777" w:rsidR="00584EC1" w:rsidRDefault="00584EC1">
            <w:pPr>
              <w:rPr>
                <w:rFonts w:ascii="宋体"/>
                <w:vanish/>
              </w:rPr>
            </w:pPr>
          </w:p>
        </w:tc>
      </w:tr>
      <w:tr w:rsidR="00584EC1" w14:paraId="74DE1C4D" w14:textId="77777777">
        <w:trPr>
          <w:hidden/>
        </w:trPr>
        <w:tc>
          <w:tcPr>
            <w:tcW w:w="0" w:type="auto"/>
            <w:gridSpan w:val="3"/>
            <w:shd w:val="clear" w:color="auto" w:fill="auto"/>
            <w:vAlign w:val="bottom"/>
          </w:tcPr>
          <w:p w14:paraId="74DE1C39" w14:textId="77777777" w:rsidR="00584EC1" w:rsidRDefault="00584EC1">
            <w:pPr>
              <w:rPr>
                <w:rFonts w:ascii="宋体"/>
                <w:vanish/>
              </w:rPr>
            </w:pPr>
          </w:p>
        </w:tc>
        <w:tc>
          <w:tcPr>
            <w:tcW w:w="0" w:type="auto"/>
            <w:gridSpan w:val="3"/>
            <w:shd w:val="clear" w:color="auto" w:fill="auto"/>
            <w:vAlign w:val="bottom"/>
          </w:tcPr>
          <w:p w14:paraId="74DE1C3A" w14:textId="77777777" w:rsidR="00584EC1" w:rsidRDefault="00584EC1">
            <w:pPr>
              <w:rPr>
                <w:rFonts w:ascii="宋体"/>
                <w:vanish/>
              </w:rPr>
            </w:pPr>
          </w:p>
        </w:tc>
        <w:tc>
          <w:tcPr>
            <w:tcW w:w="0" w:type="auto"/>
            <w:gridSpan w:val="3"/>
            <w:shd w:val="clear" w:color="auto" w:fill="auto"/>
            <w:vAlign w:val="bottom"/>
          </w:tcPr>
          <w:p w14:paraId="74DE1C3B" w14:textId="77777777" w:rsidR="00584EC1" w:rsidRDefault="00584EC1">
            <w:pPr>
              <w:rPr>
                <w:rFonts w:ascii="宋体"/>
                <w:vanish/>
              </w:rPr>
            </w:pPr>
          </w:p>
        </w:tc>
        <w:tc>
          <w:tcPr>
            <w:tcW w:w="0" w:type="auto"/>
            <w:gridSpan w:val="3"/>
            <w:shd w:val="clear" w:color="auto" w:fill="auto"/>
            <w:vAlign w:val="bottom"/>
          </w:tcPr>
          <w:p w14:paraId="74DE1C3C" w14:textId="77777777" w:rsidR="00584EC1" w:rsidRDefault="00584EC1">
            <w:pPr>
              <w:rPr>
                <w:rFonts w:ascii="宋体"/>
                <w:vanish/>
              </w:rPr>
            </w:pPr>
          </w:p>
        </w:tc>
        <w:tc>
          <w:tcPr>
            <w:tcW w:w="0" w:type="auto"/>
            <w:gridSpan w:val="3"/>
            <w:shd w:val="clear" w:color="auto" w:fill="auto"/>
            <w:vAlign w:val="bottom"/>
          </w:tcPr>
          <w:p w14:paraId="74DE1C3D" w14:textId="77777777" w:rsidR="00584EC1" w:rsidRDefault="00584EC1">
            <w:pPr>
              <w:rPr>
                <w:rFonts w:ascii="宋体"/>
                <w:vanish/>
              </w:rPr>
            </w:pPr>
          </w:p>
        </w:tc>
        <w:tc>
          <w:tcPr>
            <w:tcW w:w="0" w:type="auto"/>
            <w:gridSpan w:val="3"/>
            <w:shd w:val="clear" w:color="auto" w:fill="auto"/>
            <w:vAlign w:val="bottom"/>
          </w:tcPr>
          <w:p w14:paraId="74DE1C3E" w14:textId="77777777" w:rsidR="00584EC1" w:rsidRDefault="00584EC1">
            <w:pPr>
              <w:rPr>
                <w:rFonts w:ascii="宋体"/>
                <w:vanish/>
              </w:rPr>
            </w:pPr>
          </w:p>
        </w:tc>
        <w:tc>
          <w:tcPr>
            <w:tcW w:w="0" w:type="auto"/>
            <w:gridSpan w:val="3"/>
            <w:shd w:val="clear" w:color="auto" w:fill="auto"/>
            <w:vAlign w:val="bottom"/>
          </w:tcPr>
          <w:p w14:paraId="74DE1C3F" w14:textId="77777777" w:rsidR="00584EC1" w:rsidRDefault="00584EC1">
            <w:pPr>
              <w:rPr>
                <w:rFonts w:ascii="宋体"/>
                <w:vanish/>
              </w:rPr>
            </w:pPr>
          </w:p>
        </w:tc>
        <w:tc>
          <w:tcPr>
            <w:tcW w:w="0" w:type="auto"/>
            <w:gridSpan w:val="3"/>
            <w:shd w:val="clear" w:color="auto" w:fill="auto"/>
            <w:vAlign w:val="bottom"/>
          </w:tcPr>
          <w:p w14:paraId="74DE1C40" w14:textId="77777777" w:rsidR="00584EC1" w:rsidRDefault="00584EC1">
            <w:pPr>
              <w:rPr>
                <w:rFonts w:ascii="宋体"/>
                <w:vanish/>
              </w:rPr>
            </w:pPr>
          </w:p>
        </w:tc>
        <w:tc>
          <w:tcPr>
            <w:tcW w:w="0" w:type="auto"/>
            <w:gridSpan w:val="3"/>
            <w:shd w:val="clear" w:color="auto" w:fill="auto"/>
            <w:vAlign w:val="bottom"/>
          </w:tcPr>
          <w:p w14:paraId="74DE1C41" w14:textId="77777777" w:rsidR="00584EC1" w:rsidRDefault="00584EC1">
            <w:pPr>
              <w:rPr>
                <w:rFonts w:ascii="宋体"/>
                <w:vanish/>
              </w:rPr>
            </w:pPr>
          </w:p>
        </w:tc>
        <w:tc>
          <w:tcPr>
            <w:tcW w:w="0" w:type="auto"/>
            <w:gridSpan w:val="3"/>
            <w:shd w:val="clear" w:color="auto" w:fill="auto"/>
            <w:vAlign w:val="bottom"/>
          </w:tcPr>
          <w:p w14:paraId="74DE1C42" w14:textId="77777777" w:rsidR="00584EC1" w:rsidRDefault="00584EC1">
            <w:pPr>
              <w:rPr>
                <w:rFonts w:ascii="宋体"/>
                <w:vanish/>
              </w:rPr>
            </w:pPr>
          </w:p>
        </w:tc>
        <w:tc>
          <w:tcPr>
            <w:tcW w:w="0" w:type="auto"/>
            <w:gridSpan w:val="3"/>
            <w:shd w:val="clear" w:color="auto" w:fill="auto"/>
            <w:vAlign w:val="bottom"/>
          </w:tcPr>
          <w:p w14:paraId="74DE1C43" w14:textId="77777777" w:rsidR="00584EC1" w:rsidRDefault="00584EC1">
            <w:pPr>
              <w:rPr>
                <w:rFonts w:ascii="宋体"/>
                <w:vanish/>
              </w:rPr>
            </w:pPr>
          </w:p>
        </w:tc>
        <w:tc>
          <w:tcPr>
            <w:tcW w:w="0" w:type="auto"/>
            <w:gridSpan w:val="3"/>
            <w:shd w:val="clear" w:color="auto" w:fill="auto"/>
            <w:vAlign w:val="bottom"/>
          </w:tcPr>
          <w:p w14:paraId="74DE1C44" w14:textId="77777777" w:rsidR="00584EC1" w:rsidRDefault="00584EC1">
            <w:pPr>
              <w:rPr>
                <w:rFonts w:ascii="宋体"/>
                <w:vanish/>
              </w:rPr>
            </w:pPr>
          </w:p>
        </w:tc>
        <w:tc>
          <w:tcPr>
            <w:tcW w:w="0" w:type="auto"/>
            <w:gridSpan w:val="3"/>
            <w:shd w:val="clear" w:color="auto" w:fill="auto"/>
            <w:vAlign w:val="bottom"/>
          </w:tcPr>
          <w:p w14:paraId="74DE1C45" w14:textId="77777777" w:rsidR="00584EC1" w:rsidRDefault="00584EC1">
            <w:pPr>
              <w:rPr>
                <w:rFonts w:ascii="宋体"/>
                <w:vanish/>
              </w:rPr>
            </w:pPr>
          </w:p>
        </w:tc>
        <w:tc>
          <w:tcPr>
            <w:tcW w:w="0" w:type="auto"/>
            <w:gridSpan w:val="3"/>
            <w:shd w:val="clear" w:color="auto" w:fill="auto"/>
            <w:vAlign w:val="bottom"/>
          </w:tcPr>
          <w:p w14:paraId="74DE1C46" w14:textId="77777777" w:rsidR="00584EC1" w:rsidRDefault="00584EC1">
            <w:pPr>
              <w:rPr>
                <w:rFonts w:ascii="宋体"/>
                <w:vanish/>
              </w:rPr>
            </w:pPr>
          </w:p>
        </w:tc>
        <w:tc>
          <w:tcPr>
            <w:tcW w:w="0" w:type="auto"/>
            <w:gridSpan w:val="3"/>
            <w:shd w:val="clear" w:color="auto" w:fill="auto"/>
            <w:vAlign w:val="bottom"/>
          </w:tcPr>
          <w:p w14:paraId="74DE1C47" w14:textId="77777777" w:rsidR="00584EC1" w:rsidRDefault="00584EC1">
            <w:pPr>
              <w:rPr>
                <w:rFonts w:ascii="宋体"/>
                <w:vanish/>
              </w:rPr>
            </w:pPr>
          </w:p>
        </w:tc>
        <w:tc>
          <w:tcPr>
            <w:tcW w:w="0" w:type="auto"/>
            <w:gridSpan w:val="3"/>
            <w:shd w:val="clear" w:color="auto" w:fill="auto"/>
            <w:vAlign w:val="bottom"/>
          </w:tcPr>
          <w:p w14:paraId="74DE1C48" w14:textId="77777777" w:rsidR="00584EC1" w:rsidRDefault="00584EC1">
            <w:pPr>
              <w:rPr>
                <w:rFonts w:ascii="宋体"/>
                <w:vanish/>
              </w:rPr>
            </w:pPr>
          </w:p>
        </w:tc>
        <w:tc>
          <w:tcPr>
            <w:tcW w:w="0" w:type="auto"/>
            <w:gridSpan w:val="3"/>
            <w:shd w:val="clear" w:color="auto" w:fill="auto"/>
            <w:vAlign w:val="bottom"/>
          </w:tcPr>
          <w:p w14:paraId="74DE1C49" w14:textId="77777777" w:rsidR="00584EC1" w:rsidRDefault="00584EC1">
            <w:pPr>
              <w:rPr>
                <w:rFonts w:ascii="宋体"/>
                <w:vanish/>
              </w:rPr>
            </w:pPr>
          </w:p>
        </w:tc>
        <w:tc>
          <w:tcPr>
            <w:tcW w:w="0" w:type="auto"/>
            <w:gridSpan w:val="3"/>
            <w:shd w:val="clear" w:color="auto" w:fill="auto"/>
            <w:vAlign w:val="bottom"/>
          </w:tcPr>
          <w:p w14:paraId="74DE1C4A" w14:textId="77777777" w:rsidR="00584EC1" w:rsidRDefault="00584EC1">
            <w:pPr>
              <w:rPr>
                <w:rFonts w:ascii="宋体"/>
                <w:vanish/>
              </w:rPr>
            </w:pPr>
          </w:p>
        </w:tc>
        <w:tc>
          <w:tcPr>
            <w:tcW w:w="0" w:type="auto"/>
            <w:gridSpan w:val="3"/>
            <w:shd w:val="clear" w:color="auto" w:fill="auto"/>
            <w:vAlign w:val="bottom"/>
          </w:tcPr>
          <w:p w14:paraId="74DE1C4B" w14:textId="77777777" w:rsidR="00584EC1" w:rsidRDefault="00584EC1">
            <w:pPr>
              <w:rPr>
                <w:rFonts w:ascii="宋体"/>
                <w:vanish/>
              </w:rPr>
            </w:pPr>
          </w:p>
        </w:tc>
        <w:tc>
          <w:tcPr>
            <w:tcW w:w="0" w:type="auto"/>
            <w:gridSpan w:val="3"/>
            <w:shd w:val="clear" w:color="auto" w:fill="auto"/>
            <w:vAlign w:val="bottom"/>
          </w:tcPr>
          <w:p w14:paraId="74DE1C4C" w14:textId="77777777" w:rsidR="00584EC1" w:rsidRDefault="00584EC1">
            <w:pPr>
              <w:rPr>
                <w:rFonts w:ascii="宋体"/>
                <w:vanish/>
              </w:rPr>
            </w:pPr>
          </w:p>
        </w:tc>
      </w:tr>
      <w:tr w:rsidR="00584EC1" w14:paraId="74DE1C62" w14:textId="77777777">
        <w:trPr>
          <w:hidden/>
        </w:trPr>
        <w:tc>
          <w:tcPr>
            <w:tcW w:w="0" w:type="auto"/>
            <w:gridSpan w:val="3"/>
            <w:shd w:val="clear" w:color="auto" w:fill="auto"/>
            <w:vAlign w:val="bottom"/>
          </w:tcPr>
          <w:p w14:paraId="74DE1C4E" w14:textId="77777777" w:rsidR="00584EC1" w:rsidRDefault="00584EC1">
            <w:pPr>
              <w:rPr>
                <w:rFonts w:ascii="宋体"/>
                <w:vanish/>
              </w:rPr>
            </w:pPr>
          </w:p>
        </w:tc>
        <w:tc>
          <w:tcPr>
            <w:tcW w:w="0" w:type="auto"/>
            <w:gridSpan w:val="3"/>
            <w:shd w:val="clear" w:color="auto" w:fill="auto"/>
            <w:vAlign w:val="bottom"/>
          </w:tcPr>
          <w:p w14:paraId="74DE1C4F" w14:textId="77777777" w:rsidR="00584EC1" w:rsidRDefault="00584EC1">
            <w:pPr>
              <w:rPr>
                <w:rFonts w:ascii="宋体"/>
                <w:vanish/>
              </w:rPr>
            </w:pPr>
          </w:p>
        </w:tc>
        <w:tc>
          <w:tcPr>
            <w:tcW w:w="0" w:type="auto"/>
            <w:gridSpan w:val="3"/>
            <w:shd w:val="clear" w:color="auto" w:fill="auto"/>
            <w:vAlign w:val="bottom"/>
          </w:tcPr>
          <w:p w14:paraId="74DE1C50" w14:textId="77777777" w:rsidR="00584EC1" w:rsidRDefault="00584EC1">
            <w:pPr>
              <w:rPr>
                <w:rFonts w:ascii="宋体"/>
                <w:vanish/>
              </w:rPr>
            </w:pPr>
          </w:p>
        </w:tc>
        <w:tc>
          <w:tcPr>
            <w:tcW w:w="0" w:type="auto"/>
            <w:gridSpan w:val="3"/>
            <w:shd w:val="clear" w:color="auto" w:fill="auto"/>
            <w:vAlign w:val="bottom"/>
          </w:tcPr>
          <w:p w14:paraId="74DE1C51" w14:textId="77777777" w:rsidR="00584EC1" w:rsidRDefault="00584EC1">
            <w:pPr>
              <w:rPr>
                <w:rFonts w:ascii="宋体"/>
                <w:vanish/>
              </w:rPr>
            </w:pPr>
          </w:p>
        </w:tc>
        <w:tc>
          <w:tcPr>
            <w:tcW w:w="0" w:type="auto"/>
            <w:gridSpan w:val="3"/>
            <w:shd w:val="clear" w:color="auto" w:fill="auto"/>
            <w:vAlign w:val="bottom"/>
          </w:tcPr>
          <w:p w14:paraId="74DE1C52" w14:textId="77777777" w:rsidR="00584EC1" w:rsidRDefault="00584EC1">
            <w:pPr>
              <w:rPr>
                <w:rFonts w:ascii="宋体"/>
                <w:vanish/>
              </w:rPr>
            </w:pPr>
          </w:p>
        </w:tc>
        <w:tc>
          <w:tcPr>
            <w:tcW w:w="0" w:type="auto"/>
            <w:gridSpan w:val="3"/>
            <w:shd w:val="clear" w:color="auto" w:fill="auto"/>
            <w:vAlign w:val="bottom"/>
          </w:tcPr>
          <w:p w14:paraId="74DE1C53" w14:textId="77777777" w:rsidR="00584EC1" w:rsidRDefault="00584EC1">
            <w:pPr>
              <w:rPr>
                <w:rFonts w:ascii="宋体"/>
                <w:vanish/>
              </w:rPr>
            </w:pPr>
          </w:p>
        </w:tc>
        <w:tc>
          <w:tcPr>
            <w:tcW w:w="0" w:type="auto"/>
            <w:gridSpan w:val="3"/>
            <w:shd w:val="clear" w:color="auto" w:fill="auto"/>
            <w:vAlign w:val="bottom"/>
          </w:tcPr>
          <w:p w14:paraId="74DE1C54" w14:textId="77777777" w:rsidR="00584EC1" w:rsidRDefault="00584EC1">
            <w:pPr>
              <w:rPr>
                <w:rFonts w:ascii="宋体"/>
                <w:vanish/>
              </w:rPr>
            </w:pPr>
          </w:p>
        </w:tc>
        <w:tc>
          <w:tcPr>
            <w:tcW w:w="0" w:type="auto"/>
            <w:gridSpan w:val="3"/>
            <w:shd w:val="clear" w:color="auto" w:fill="auto"/>
            <w:vAlign w:val="bottom"/>
          </w:tcPr>
          <w:p w14:paraId="74DE1C55" w14:textId="77777777" w:rsidR="00584EC1" w:rsidRDefault="00584EC1">
            <w:pPr>
              <w:rPr>
                <w:rFonts w:ascii="宋体"/>
                <w:vanish/>
              </w:rPr>
            </w:pPr>
          </w:p>
        </w:tc>
        <w:tc>
          <w:tcPr>
            <w:tcW w:w="0" w:type="auto"/>
            <w:gridSpan w:val="3"/>
            <w:shd w:val="clear" w:color="auto" w:fill="auto"/>
            <w:vAlign w:val="bottom"/>
          </w:tcPr>
          <w:p w14:paraId="74DE1C56" w14:textId="77777777" w:rsidR="00584EC1" w:rsidRDefault="00584EC1">
            <w:pPr>
              <w:rPr>
                <w:rFonts w:ascii="宋体"/>
                <w:vanish/>
              </w:rPr>
            </w:pPr>
          </w:p>
        </w:tc>
        <w:tc>
          <w:tcPr>
            <w:tcW w:w="0" w:type="auto"/>
            <w:gridSpan w:val="3"/>
            <w:shd w:val="clear" w:color="auto" w:fill="auto"/>
            <w:vAlign w:val="bottom"/>
          </w:tcPr>
          <w:p w14:paraId="74DE1C57" w14:textId="77777777" w:rsidR="00584EC1" w:rsidRDefault="00584EC1">
            <w:pPr>
              <w:rPr>
                <w:rFonts w:ascii="宋体"/>
                <w:vanish/>
              </w:rPr>
            </w:pPr>
          </w:p>
        </w:tc>
        <w:tc>
          <w:tcPr>
            <w:tcW w:w="0" w:type="auto"/>
            <w:gridSpan w:val="3"/>
            <w:shd w:val="clear" w:color="auto" w:fill="auto"/>
            <w:vAlign w:val="bottom"/>
          </w:tcPr>
          <w:p w14:paraId="74DE1C58" w14:textId="77777777" w:rsidR="00584EC1" w:rsidRDefault="00584EC1">
            <w:pPr>
              <w:rPr>
                <w:rFonts w:ascii="宋体"/>
                <w:vanish/>
              </w:rPr>
            </w:pPr>
          </w:p>
        </w:tc>
        <w:tc>
          <w:tcPr>
            <w:tcW w:w="0" w:type="auto"/>
            <w:gridSpan w:val="3"/>
            <w:shd w:val="clear" w:color="auto" w:fill="auto"/>
            <w:vAlign w:val="bottom"/>
          </w:tcPr>
          <w:p w14:paraId="74DE1C59" w14:textId="77777777" w:rsidR="00584EC1" w:rsidRDefault="00584EC1">
            <w:pPr>
              <w:rPr>
                <w:rFonts w:ascii="宋体"/>
                <w:vanish/>
              </w:rPr>
            </w:pPr>
          </w:p>
        </w:tc>
        <w:tc>
          <w:tcPr>
            <w:tcW w:w="0" w:type="auto"/>
            <w:gridSpan w:val="3"/>
            <w:shd w:val="clear" w:color="auto" w:fill="auto"/>
            <w:vAlign w:val="bottom"/>
          </w:tcPr>
          <w:p w14:paraId="74DE1C5A" w14:textId="77777777" w:rsidR="00584EC1" w:rsidRDefault="00584EC1">
            <w:pPr>
              <w:rPr>
                <w:rFonts w:ascii="宋体"/>
                <w:vanish/>
              </w:rPr>
            </w:pPr>
          </w:p>
        </w:tc>
        <w:tc>
          <w:tcPr>
            <w:tcW w:w="0" w:type="auto"/>
            <w:gridSpan w:val="3"/>
            <w:shd w:val="clear" w:color="auto" w:fill="auto"/>
            <w:vAlign w:val="bottom"/>
          </w:tcPr>
          <w:p w14:paraId="74DE1C5B" w14:textId="77777777" w:rsidR="00584EC1" w:rsidRDefault="00584EC1">
            <w:pPr>
              <w:rPr>
                <w:rFonts w:ascii="宋体"/>
                <w:vanish/>
              </w:rPr>
            </w:pPr>
          </w:p>
        </w:tc>
        <w:tc>
          <w:tcPr>
            <w:tcW w:w="0" w:type="auto"/>
            <w:gridSpan w:val="3"/>
            <w:shd w:val="clear" w:color="auto" w:fill="auto"/>
            <w:vAlign w:val="bottom"/>
          </w:tcPr>
          <w:p w14:paraId="74DE1C5C" w14:textId="77777777" w:rsidR="00584EC1" w:rsidRDefault="00584EC1">
            <w:pPr>
              <w:rPr>
                <w:rFonts w:ascii="宋体"/>
                <w:vanish/>
              </w:rPr>
            </w:pPr>
          </w:p>
        </w:tc>
        <w:tc>
          <w:tcPr>
            <w:tcW w:w="0" w:type="auto"/>
            <w:gridSpan w:val="3"/>
            <w:shd w:val="clear" w:color="auto" w:fill="auto"/>
            <w:vAlign w:val="bottom"/>
          </w:tcPr>
          <w:p w14:paraId="74DE1C5D" w14:textId="77777777" w:rsidR="00584EC1" w:rsidRDefault="00584EC1">
            <w:pPr>
              <w:rPr>
                <w:rFonts w:ascii="宋体"/>
                <w:vanish/>
              </w:rPr>
            </w:pPr>
          </w:p>
        </w:tc>
        <w:tc>
          <w:tcPr>
            <w:tcW w:w="0" w:type="auto"/>
            <w:gridSpan w:val="3"/>
            <w:shd w:val="clear" w:color="auto" w:fill="auto"/>
            <w:vAlign w:val="bottom"/>
          </w:tcPr>
          <w:p w14:paraId="74DE1C5E" w14:textId="77777777" w:rsidR="00584EC1" w:rsidRDefault="00584EC1">
            <w:pPr>
              <w:rPr>
                <w:rFonts w:ascii="宋体"/>
                <w:vanish/>
              </w:rPr>
            </w:pPr>
          </w:p>
        </w:tc>
        <w:tc>
          <w:tcPr>
            <w:tcW w:w="0" w:type="auto"/>
            <w:gridSpan w:val="3"/>
            <w:shd w:val="clear" w:color="auto" w:fill="auto"/>
            <w:vAlign w:val="bottom"/>
          </w:tcPr>
          <w:p w14:paraId="74DE1C5F" w14:textId="77777777" w:rsidR="00584EC1" w:rsidRDefault="00584EC1">
            <w:pPr>
              <w:rPr>
                <w:rFonts w:ascii="宋体"/>
                <w:vanish/>
              </w:rPr>
            </w:pPr>
          </w:p>
        </w:tc>
        <w:tc>
          <w:tcPr>
            <w:tcW w:w="0" w:type="auto"/>
            <w:gridSpan w:val="3"/>
            <w:shd w:val="clear" w:color="auto" w:fill="auto"/>
            <w:vAlign w:val="bottom"/>
          </w:tcPr>
          <w:p w14:paraId="74DE1C60" w14:textId="77777777" w:rsidR="00584EC1" w:rsidRDefault="00584EC1">
            <w:pPr>
              <w:rPr>
                <w:rFonts w:ascii="宋体"/>
                <w:vanish/>
              </w:rPr>
            </w:pPr>
          </w:p>
        </w:tc>
        <w:tc>
          <w:tcPr>
            <w:tcW w:w="0" w:type="auto"/>
            <w:gridSpan w:val="3"/>
            <w:shd w:val="clear" w:color="auto" w:fill="auto"/>
            <w:vAlign w:val="bottom"/>
          </w:tcPr>
          <w:p w14:paraId="74DE1C61" w14:textId="77777777" w:rsidR="00584EC1" w:rsidRDefault="00584EC1">
            <w:pPr>
              <w:rPr>
                <w:rFonts w:ascii="宋体"/>
                <w:vanish/>
              </w:rPr>
            </w:pPr>
          </w:p>
        </w:tc>
      </w:tr>
      <w:tr w:rsidR="00584EC1" w14:paraId="74DE1C77" w14:textId="77777777">
        <w:trPr>
          <w:hidden/>
        </w:trPr>
        <w:tc>
          <w:tcPr>
            <w:tcW w:w="0" w:type="auto"/>
            <w:gridSpan w:val="3"/>
            <w:shd w:val="clear" w:color="auto" w:fill="auto"/>
            <w:vAlign w:val="bottom"/>
          </w:tcPr>
          <w:p w14:paraId="74DE1C63" w14:textId="77777777" w:rsidR="00584EC1" w:rsidRDefault="00584EC1">
            <w:pPr>
              <w:rPr>
                <w:rFonts w:ascii="宋体"/>
                <w:vanish/>
              </w:rPr>
            </w:pPr>
          </w:p>
        </w:tc>
        <w:tc>
          <w:tcPr>
            <w:tcW w:w="0" w:type="auto"/>
            <w:gridSpan w:val="3"/>
            <w:shd w:val="clear" w:color="auto" w:fill="auto"/>
            <w:vAlign w:val="bottom"/>
          </w:tcPr>
          <w:p w14:paraId="74DE1C64" w14:textId="77777777" w:rsidR="00584EC1" w:rsidRDefault="00584EC1">
            <w:pPr>
              <w:rPr>
                <w:rFonts w:ascii="宋体"/>
                <w:vanish/>
              </w:rPr>
            </w:pPr>
          </w:p>
        </w:tc>
        <w:tc>
          <w:tcPr>
            <w:tcW w:w="0" w:type="auto"/>
            <w:gridSpan w:val="3"/>
            <w:shd w:val="clear" w:color="auto" w:fill="auto"/>
            <w:vAlign w:val="bottom"/>
          </w:tcPr>
          <w:p w14:paraId="74DE1C65" w14:textId="77777777" w:rsidR="00584EC1" w:rsidRDefault="00584EC1">
            <w:pPr>
              <w:rPr>
                <w:rFonts w:ascii="宋体"/>
                <w:vanish/>
              </w:rPr>
            </w:pPr>
          </w:p>
        </w:tc>
        <w:tc>
          <w:tcPr>
            <w:tcW w:w="0" w:type="auto"/>
            <w:gridSpan w:val="3"/>
            <w:shd w:val="clear" w:color="auto" w:fill="auto"/>
            <w:vAlign w:val="bottom"/>
          </w:tcPr>
          <w:p w14:paraId="74DE1C66" w14:textId="77777777" w:rsidR="00584EC1" w:rsidRDefault="00584EC1">
            <w:pPr>
              <w:rPr>
                <w:rFonts w:ascii="宋体"/>
                <w:vanish/>
              </w:rPr>
            </w:pPr>
          </w:p>
        </w:tc>
        <w:tc>
          <w:tcPr>
            <w:tcW w:w="0" w:type="auto"/>
            <w:gridSpan w:val="3"/>
            <w:shd w:val="clear" w:color="auto" w:fill="auto"/>
            <w:vAlign w:val="bottom"/>
          </w:tcPr>
          <w:p w14:paraId="74DE1C67" w14:textId="77777777" w:rsidR="00584EC1" w:rsidRDefault="00584EC1">
            <w:pPr>
              <w:rPr>
                <w:rFonts w:ascii="宋体"/>
                <w:vanish/>
              </w:rPr>
            </w:pPr>
          </w:p>
        </w:tc>
        <w:tc>
          <w:tcPr>
            <w:tcW w:w="0" w:type="auto"/>
            <w:gridSpan w:val="3"/>
            <w:shd w:val="clear" w:color="auto" w:fill="auto"/>
            <w:vAlign w:val="bottom"/>
          </w:tcPr>
          <w:p w14:paraId="74DE1C68" w14:textId="77777777" w:rsidR="00584EC1" w:rsidRDefault="00584EC1">
            <w:pPr>
              <w:rPr>
                <w:rFonts w:ascii="宋体"/>
                <w:vanish/>
              </w:rPr>
            </w:pPr>
          </w:p>
        </w:tc>
        <w:tc>
          <w:tcPr>
            <w:tcW w:w="0" w:type="auto"/>
            <w:gridSpan w:val="3"/>
            <w:shd w:val="clear" w:color="auto" w:fill="auto"/>
            <w:vAlign w:val="bottom"/>
          </w:tcPr>
          <w:p w14:paraId="74DE1C69" w14:textId="77777777" w:rsidR="00584EC1" w:rsidRDefault="00584EC1">
            <w:pPr>
              <w:rPr>
                <w:rFonts w:ascii="宋体"/>
                <w:vanish/>
              </w:rPr>
            </w:pPr>
          </w:p>
        </w:tc>
        <w:tc>
          <w:tcPr>
            <w:tcW w:w="0" w:type="auto"/>
            <w:gridSpan w:val="3"/>
            <w:shd w:val="clear" w:color="auto" w:fill="auto"/>
            <w:vAlign w:val="bottom"/>
          </w:tcPr>
          <w:p w14:paraId="74DE1C6A" w14:textId="77777777" w:rsidR="00584EC1" w:rsidRDefault="00584EC1">
            <w:pPr>
              <w:rPr>
                <w:rFonts w:ascii="宋体"/>
                <w:vanish/>
              </w:rPr>
            </w:pPr>
          </w:p>
        </w:tc>
        <w:tc>
          <w:tcPr>
            <w:tcW w:w="0" w:type="auto"/>
            <w:gridSpan w:val="3"/>
            <w:shd w:val="clear" w:color="auto" w:fill="auto"/>
            <w:vAlign w:val="bottom"/>
          </w:tcPr>
          <w:p w14:paraId="74DE1C6B" w14:textId="77777777" w:rsidR="00584EC1" w:rsidRDefault="00584EC1">
            <w:pPr>
              <w:rPr>
                <w:rFonts w:ascii="宋体"/>
                <w:vanish/>
              </w:rPr>
            </w:pPr>
          </w:p>
        </w:tc>
        <w:tc>
          <w:tcPr>
            <w:tcW w:w="0" w:type="auto"/>
            <w:gridSpan w:val="3"/>
            <w:shd w:val="clear" w:color="auto" w:fill="auto"/>
            <w:vAlign w:val="bottom"/>
          </w:tcPr>
          <w:p w14:paraId="74DE1C6C" w14:textId="77777777" w:rsidR="00584EC1" w:rsidRDefault="00584EC1">
            <w:pPr>
              <w:rPr>
                <w:rFonts w:ascii="宋体"/>
                <w:vanish/>
              </w:rPr>
            </w:pPr>
          </w:p>
        </w:tc>
        <w:tc>
          <w:tcPr>
            <w:tcW w:w="0" w:type="auto"/>
            <w:gridSpan w:val="3"/>
            <w:shd w:val="clear" w:color="auto" w:fill="auto"/>
            <w:vAlign w:val="bottom"/>
          </w:tcPr>
          <w:p w14:paraId="74DE1C6D" w14:textId="77777777" w:rsidR="00584EC1" w:rsidRDefault="00584EC1">
            <w:pPr>
              <w:rPr>
                <w:rFonts w:ascii="宋体"/>
                <w:vanish/>
              </w:rPr>
            </w:pPr>
          </w:p>
        </w:tc>
        <w:tc>
          <w:tcPr>
            <w:tcW w:w="0" w:type="auto"/>
            <w:gridSpan w:val="3"/>
            <w:shd w:val="clear" w:color="auto" w:fill="auto"/>
            <w:vAlign w:val="bottom"/>
          </w:tcPr>
          <w:p w14:paraId="74DE1C6E" w14:textId="77777777" w:rsidR="00584EC1" w:rsidRDefault="00584EC1">
            <w:pPr>
              <w:rPr>
                <w:rFonts w:ascii="宋体"/>
                <w:vanish/>
              </w:rPr>
            </w:pPr>
          </w:p>
        </w:tc>
        <w:tc>
          <w:tcPr>
            <w:tcW w:w="0" w:type="auto"/>
            <w:gridSpan w:val="3"/>
            <w:shd w:val="clear" w:color="auto" w:fill="auto"/>
            <w:vAlign w:val="bottom"/>
          </w:tcPr>
          <w:p w14:paraId="74DE1C6F" w14:textId="77777777" w:rsidR="00584EC1" w:rsidRDefault="00584EC1">
            <w:pPr>
              <w:rPr>
                <w:rFonts w:ascii="宋体"/>
                <w:vanish/>
              </w:rPr>
            </w:pPr>
          </w:p>
        </w:tc>
        <w:tc>
          <w:tcPr>
            <w:tcW w:w="0" w:type="auto"/>
            <w:gridSpan w:val="3"/>
            <w:shd w:val="clear" w:color="auto" w:fill="auto"/>
            <w:vAlign w:val="bottom"/>
          </w:tcPr>
          <w:p w14:paraId="74DE1C70" w14:textId="77777777" w:rsidR="00584EC1" w:rsidRDefault="00584EC1">
            <w:pPr>
              <w:rPr>
                <w:rFonts w:ascii="宋体"/>
                <w:vanish/>
              </w:rPr>
            </w:pPr>
          </w:p>
        </w:tc>
        <w:tc>
          <w:tcPr>
            <w:tcW w:w="0" w:type="auto"/>
            <w:gridSpan w:val="3"/>
            <w:shd w:val="clear" w:color="auto" w:fill="auto"/>
            <w:vAlign w:val="bottom"/>
          </w:tcPr>
          <w:p w14:paraId="74DE1C71" w14:textId="77777777" w:rsidR="00584EC1" w:rsidRDefault="00584EC1">
            <w:pPr>
              <w:rPr>
                <w:rFonts w:ascii="宋体"/>
                <w:vanish/>
              </w:rPr>
            </w:pPr>
          </w:p>
        </w:tc>
        <w:tc>
          <w:tcPr>
            <w:tcW w:w="0" w:type="auto"/>
            <w:gridSpan w:val="3"/>
            <w:shd w:val="clear" w:color="auto" w:fill="auto"/>
            <w:vAlign w:val="bottom"/>
          </w:tcPr>
          <w:p w14:paraId="74DE1C72" w14:textId="77777777" w:rsidR="00584EC1" w:rsidRDefault="00584EC1">
            <w:pPr>
              <w:rPr>
                <w:rFonts w:ascii="宋体"/>
                <w:vanish/>
              </w:rPr>
            </w:pPr>
          </w:p>
        </w:tc>
        <w:tc>
          <w:tcPr>
            <w:tcW w:w="0" w:type="auto"/>
            <w:gridSpan w:val="3"/>
            <w:shd w:val="clear" w:color="auto" w:fill="auto"/>
            <w:vAlign w:val="bottom"/>
          </w:tcPr>
          <w:p w14:paraId="74DE1C73" w14:textId="77777777" w:rsidR="00584EC1" w:rsidRDefault="00584EC1">
            <w:pPr>
              <w:rPr>
                <w:rFonts w:ascii="宋体"/>
                <w:vanish/>
              </w:rPr>
            </w:pPr>
          </w:p>
        </w:tc>
        <w:tc>
          <w:tcPr>
            <w:tcW w:w="0" w:type="auto"/>
            <w:gridSpan w:val="3"/>
            <w:shd w:val="clear" w:color="auto" w:fill="auto"/>
            <w:vAlign w:val="bottom"/>
          </w:tcPr>
          <w:p w14:paraId="74DE1C74" w14:textId="77777777" w:rsidR="00584EC1" w:rsidRDefault="00584EC1">
            <w:pPr>
              <w:rPr>
                <w:rFonts w:ascii="宋体"/>
                <w:vanish/>
              </w:rPr>
            </w:pPr>
          </w:p>
        </w:tc>
        <w:tc>
          <w:tcPr>
            <w:tcW w:w="0" w:type="auto"/>
            <w:gridSpan w:val="3"/>
            <w:shd w:val="clear" w:color="auto" w:fill="auto"/>
            <w:vAlign w:val="bottom"/>
          </w:tcPr>
          <w:p w14:paraId="74DE1C75" w14:textId="77777777" w:rsidR="00584EC1" w:rsidRDefault="00584EC1">
            <w:pPr>
              <w:rPr>
                <w:rFonts w:ascii="宋体"/>
                <w:vanish/>
              </w:rPr>
            </w:pPr>
          </w:p>
        </w:tc>
        <w:tc>
          <w:tcPr>
            <w:tcW w:w="0" w:type="auto"/>
            <w:gridSpan w:val="3"/>
            <w:shd w:val="clear" w:color="auto" w:fill="auto"/>
            <w:vAlign w:val="bottom"/>
          </w:tcPr>
          <w:p w14:paraId="74DE1C76" w14:textId="77777777" w:rsidR="00584EC1" w:rsidRDefault="00584EC1">
            <w:pPr>
              <w:rPr>
                <w:rFonts w:ascii="宋体"/>
                <w:vanish/>
              </w:rPr>
            </w:pPr>
          </w:p>
        </w:tc>
      </w:tr>
      <w:tr w:rsidR="00584EC1" w14:paraId="74DE1CB0" w14:textId="77777777">
        <w:trPr>
          <w:hidden/>
        </w:trPr>
        <w:tc>
          <w:tcPr>
            <w:tcW w:w="0" w:type="auto"/>
            <w:gridSpan w:val="3"/>
            <w:shd w:val="clear" w:color="auto" w:fill="auto"/>
            <w:vAlign w:val="bottom"/>
          </w:tcPr>
          <w:p w14:paraId="74DE1C78" w14:textId="77777777" w:rsidR="00584EC1" w:rsidRDefault="00584EC1">
            <w:pPr>
              <w:rPr>
                <w:rFonts w:ascii="宋体"/>
                <w:vanish/>
              </w:rPr>
            </w:pPr>
          </w:p>
        </w:tc>
        <w:tc>
          <w:tcPr>
            <w:tcW w:w="0" w:type="auto"/>
            <w:gridSpan w:val="3"/>
            <w:shd w:val="clear" w:color="auto" w:fill="auto"/>
            <w:vAlign w:val="bottom"/>
          </w:tcPr>
          <w:p w14:paraId="74DE1C79" w14:textId="77777777" w:rsidR="00584EC1" w:rsidRDefault="00584EC1">
            <w:pPr>
              <w:rPr>
                <w:rFonts w:ascii="宋体"/>
                <w:vanish/>
              </w:rPr>
            </w:pPr>
          </w:p>
        </w:tc>
        <w:tc>
          <w:tcPr>
            <w:tcW w:w="0" w:type="auto"/>
            <w:shd w:val="clear" w:color="auto" w:fill="auto"/>
            <w:vAlign w:val="bottom"/>
          </w:tcPr>
          <w:p w14:paraId="74DE1C7A" w14:textId="77777777" w:rsidR="00584EC1" w:rsidRDefault="00584EC1">
            <w:pPr>
              <w:rPr>
                <w:rFonts w:ascii="宋体"/>
              </w:rPr>
            </w:pPr>
          </w:p>
        </w:tc>
        <w:tc>
          <w:tcPr>
            <w:tcW w:w="0" w:type="auto"/>
            <w:shd w:val="clear" w:color="auto" w:fill="auto"/>
            <w:vAlign w:val="bottom"/>
          </w:tcPr>
          <w:p w14:paraId="74DE1C7B" w14:textId="77777777" w:rsidR="00584EC1" w:rsidRDefault="00584EC1">
            <w:pPr>
              <w:rPr>
                <w:rFonts w:ascii="宋体"/>
              </w:rPr>
            </w:pPr>
          </w:p>
        </w:tc>
        <w:tc>
          <w:tcPr>
            <w:tcW w:w="0" w:type="auto"/>
            <w:shd w:val="clear" w:color="auto" w:fill="auto"/>
            <w:vAlign w:val="bottom"/>
          </w:tcPr>
          <w:p w14:paraId="74DE1C7C" w14:textId="77777777" w:rsidR="00584EC1" w:rsidRDefault="00584EC1">
            <w:pPr>
              <w:rPr>
                <w:rFonts w:ascii="宋体"/>
              </w:rPr>
            </w:pPr>
          </w:p>
        </w:tc>
        <w:tc>
          <w:tcPr>
            <w:tcW w:w="0" w:type="auto"/>
            <w:shd w:val="clear" w:color="auto" w:fill="auto"/>
            <w:vAlign w:val="bottom"/>
          </w:tcPr>
          <w:p w14:paraId="74DE1C7D" w14:textId="77777777" w:rsidR="00584EC1" w:rsidRDefault="00584EC1">
            <w:pPr>
              <w:rPr>
                <w:rFonts w:ascii="宋体"/>
              </w:rPr>
            </w:pPr>
          </w:p>
        </w:tc>
        <w:tc>
          <w:tcPr>
            <w:tcW w:w="0" w:type="auto"/>
            <w:shd w:val="clear" w:color="auto" w:fill="auto"/>
            <w:vAlign w:val="bottom"/>
          </w:tcPr>
          <w:p w14:paraId="74DE1C7E" w14:textId="77777777" w:rsidR="00584EC1" w:rsidRDefault="00584EC1">
            <w:pPr>
              <w:rPr>
                <w:rFonts w:ascii="宋体"/>
              </w:rPr>
            </w:pPr>
          </w:p>
        </w:tc>
        <w:tc>
          <w:tcPr>
            <w:tcW w:w="0" w:type="auto"/>
            <w:shd w:val="clear" w:color="auto" w:fill="auto"/>
            <w:vAlign w:val="bottom"/>
          </w:tcPr>
          <w:p w14:paraId="74DE1C7F" w14:textId="77777777" w:rsidR="00584EC1" w:rsidRDefault="00584EC1">
            <w:pPr>
              <w:rPr>
                <w:rFonts w:ascii="宋体"/>
              </w:rPr>
            </w:pPr>
          </w:p>
        </w:tc>
        <w:tc>
          <w:tcPr>
            <w:tcW w:w="0" w:type="auto"/>
            <w:shd w:val="clear" w:color="auto" w:fill="auto"/>
            <w:vAlign w:val="bottom"/>
          </w:tcPr>
          <w:p w14:paraId="74DE1C80" w14:textId="77777777" w:rsidR="00584EC1" w:rsidRDefault="00584EC1">
            <w:pPr>
              <w:rPr>
                <w:rFonts w:ascii="宋体"/>
              </w:rPr>
            </w:pPr>
          </w:p>
        </w:tc>
        <w:tc>
          <w:tcPr>
            <w:tcW w:w="0" w:type="auto"/>
            <w:shd w:val="clear" w:color="auto" w:fill="auto"/>
            <w:vAlign w:val="bottom"/>
          </w:tcPr>
          <w:p w14:paraId="74DE1C81" w14:textId="77777777" w:rsidR="00584EC1" w:rsidRDefault="00584EC1">
            <w:pPr>
              <w:rPr>
                <w:rFonts w:ascii="宋体"/>
              </w:rPr>
            </w:pPr>
          </w:p>
        </w:tc>
        <w:tc>
          <w:tcPr>
            <w:tcW w:w="0" w:type="auto"/>
            <w:shd w:val="clear" w:color="auto" w:fill="auto"/>
            <w:vAlign w:val="bottom"/>
          </w:tcPr>
          <w:p w14:paraId="74DE1C82" w14:textId="77777777" w:rsidR="00584EC1" w:rsidRDefault="00584EC1">
            <w:pPr>
              <w:rPr>
                <w:rFonts w:ascii="宋体"/>
              </w:rPr>
            </w:pPr>
          </w:p>
        </w:tc>
        <w:tc>
          <w:tcPr>
            <w:tcW w:w="0" w:type="auto"/>
            <w:shd w:val="clear" w:color="auto" w:fill="auto"/>
            <w:vAlign w:val="bottom"/>
          </w:tcPr>
          <w:p w14:paraId="74DE1C83" w14:textId="77777777" w:rsidR="00584EC1" w:rsidRDefault="00584EC1">
            <w:pPr>
              <w:rPr>
                <w:rFonts w:ascii="宋体"/>
              </w:rPr>
            </w:pPr>
          </w:p>
        </w:tc>
        <w:tc>
          <w:tcPr>
            <w:tcW w:w="0" w:type="auto"/>
            <w:shd w:val="clear" w:color="auto" w:fill="auto"/>
            <w:vAlign w:val="bottom"/>
          </w:tcPr>
          <w:p w14:paraId="74DE1C84" w14:textId="77777777" w:rsidR="00584EC1" w:rsidRDefault="00584EC1">
            <w:pPr>
              <w:rPr>
                <w:rFonts w:ascii="宋体"/>
              </w:rPr>
            </w:pPr>
          </w:p>
        </w:tc>
        <w:tc>
          <w:tcPr>
            <w:tcW w:w="0" w:type="auto"/>
            <w:shd w:val="clear" w:color="auto" w:fill="auto"/>
            <w:vAlign w:val="bottom"/>
          </w:tcPr>
          <w:p w14:paraId="74DE1C85" w14:textId="77777777" w:rsidR="00584EC1" w:rsidRDefault="00584EC1">
            <w:pPr>
              <w:rPr>
                <w:rFonts w:ascii="宋体"/>
              </w:rPr>
            </w:pPr>
          </w:p>
        </w:tc>
        <w:tc>
          <w:tcPr>
            <w:tcW w:w="0" w:type="auto"/>
            <w:shd w:val="clear" w:color="auto" w:fill="auto"/>
            <w:vAlign w:val="bottom"/>
          </w:tcPr>
          <w:p w14:paraId="74DE1C86" w14:textId="77777777" w:rsidR="00584EC1" w:rsidRDefault="00584EC1">
            <w:pPr>
              <w:rPr>
                <w:rFonts w:ascii="宋体"/>
              </w:rPr>
            </w:pPr>
          </w:p>
        </w:tc>
        <w:tc>
          <w:tcPr>
            <w:tcW w:w="0" w:type="auto"/>
            <w:shd w:val="clear" w:color="auto" w:fill="auto"/>
            <w:vAlign w:val="bottom"/>
          </w:tcPr>
          <w:p w14:paraId="74DE1C87" w14:textId="77777777" w:rsidR="00584EC1" w:rsidRDefault="00584EC1">
            <w:pPr>
              <w:rPr>
                <w:rFonts w:ascii="宋体"/>
              </w:rPr>
            </w:pPr>
          </w:p>
        </w:tc>
        <w:tc>
          <w:tcPr>
            <w:tcW w:w="0" w:type="auto"/>
            <w:shd w:val="clear" w:color="auto" w:fill="auto"/>
            <w:vAlign w:val="bottom"/>
          </w:tcPr>
          <w:p w14:paraId="74DE1C88" w14:textId="77777777" w:rsidR="00584EC1" w:rsidRDefault="00584EC1">
            <w:pPr>
              <w:rPr>
                <w:rFonts w:ascii="宋体"/>
              </w:rPr>
            </w:pPr>
          </w:p>
        </w:tc>
        <w:tc>
          <w:tcPr>
            <w:tcW w:w="0" w:type="auto"/>
            <w:shd w:val="clear" w:color="auto" w:fill="auto"/>
            <w:vAlign w:val="bottom"/>
          </w:tcPr>
          <w:p w14:paraId="74DE1C89" w14:textId="77777777" w:rsidR="00584EC1" w:rsidRDefault="00584EC1">
            <w:pPr>
              <w:rPr>
                <w:rFonts w:ascii="宋体"/>
              </w:rPr>
            </w:pPr>
          </w:p>
        </w:tc>
        <w:tc>
          <w:tcPr>
            <w:tcW w:w="0" w:type="auto"/>
            <w:shd w:val="clear" w:color="auto" w:fill="auto"/>
            <w:vAlign w:val="bottom"/>
          </w:tcPr>
          <w:p w14:paraId="74DE1C8A" w14:textId="77777777" w:rsidR="00584EC1" w:rsidRDefault="00584EC1">
            <w:pPr>
              <w:rPr>
                <w:rFonts w:ascii="宋体"/>
              </w:rPr>
            </w:pPr>
          </w:p>
        </w:tc>
        <w:tc>
          <w:tcPr>
            <w:tcW w:w="0" w:type="auto"/>
            <w:shd w:val="clear" w:color="auto" w:fill="auto"/>
            <w:vAlign w:val="bottom"/>
          </w:tcPr>
          <w:p w14:paraId="74DE1C8B" w14:textId="77777777" w:rsidR="00584EC1" w:rsidRDefault="00584EC1">
            <w:pPr>
              <w:rPr>
                <w:rFonts w:ascii="宋体"/>
              </w:rPr>
            </w:pPr>
          </w:p>
        </w:tc>
        <w:tc>
          <w:tcPr>
            <w:tcW w:w="0" w:type="auto"/>
            <w:shd w:val="clear" w:color="auto" w:fill="auto"/>
            <w:vAlign w:val="bottom"/>
          </w:tcPr>
          <w:p w14:paraId="74DE1C8C" w14:textId="77777777" w:rsidR="00584EC1" w:rsidRDefault="00584EC1">
            <w:pPr>
              <w:rPr>
                <w:rFonts w:ascii="宋体"/>
              </w:rPr>
            </w:pPr>
          </w:p>
        </w:tc>
        <w:tc>
          <w:tcPr>
            <w:tcW w:w="0" w:type="auto"/>
            <w:shd w:val="clear" w:color="auto" w:fill="auto"/>
            <w:vAlign w:val="bottom"/>
          </w:tcPr>
          <w:p w14:paraId="74DE1C8D" w14:textId="77777777" w:rsidR="00584EC1" w:rsidRDefault="00584EC1">
            <w:pPr>
              <w:rPr>
                <w:rFonts w:ascii="宋体"/>
              </w:rPr>
            </w:pPr>
          </w:p>
        </w:tc>
        <w:tc>
          <w:tcPr>
            <w:tcW w:w="0" w:type="auto"/>
            <w:shd w:val="clear" w:color="auto" w:fill="auto"/>
            <w:vAlign w:val="bottom"/>
          </w:tcPr>
          <w:p w14:paraId="74DE1C8E" w14:textId="77777777" w:rsidR="00584EC1" w:rsidRDefault="00584EC1">
            <w:pPr>
              <w:rPr>
                <w:rFonts w:ascii="宋体"/>
              </w:rPr>
            </w:pPr>
          </w:p>
        </w:tc>
        <w:tc>
          <w:tcPr>
            <w:tcW w:w="0" w:type="auto"/>
            <w:shd w:val="clear" w:color="auto" w:fill="auto"/>
            <w:vAlign w:val="bottom"/>
          </w:tcPr>
          <w:p w14:paraId="74DE1C8F" w14:textId="77777777" w:rsidR="00584EC1" w:rsidRDefault="00584EC1">
            <w:pPr>
              <w:rPr>
                <w:rFonts w:ascii="宋体"/>
              </w:rPr>
            </w:pPr>
          </w:p>
        </w:tc>
        <w:tc>
          <w:tcPr>
            <w:tcW w:w="0" w:type="auto"/>
            <w:shd w:val="clear" w:color="auto" w:fill="auto"/>
            <w:vAlign w:val="bottom"/>
          </w:tcPr>
          <w:p w14:paraId="74DE1C90" w14:textId="77777777" w:rsidR="00584EC1" w:rsidRDefault="00584EC1">
            <w:pPr>
              <w:rPr>
                <w:rFonts w:ascii="宋体"/>
              </w:rPr>
            </w:pPr>
          </w:p>
        </w:tc>
        <w:tc>
          <w:tcPr>
            <w:tcW w:w="0" w:type="auto"/>
            <w:shd w:val="clear" w:color="auto" w:fill="auto"/>
            <w:vAlign w:val="bottom"/>
          </w:tcPr>
          <w:p w14:paraId="74DE1C91" w14:textId="77777777" w:rsidR="00584EC1" w:rsidRDefault="00584EC1">
            <w:pPr>
              <w:rPr>
                <w:rFonts w:ascii="宋体"/>
              </w:rPr>
            </w:pPr>
          </w:p>
        </w:tc>
        <w:tc>
          <w:tcPr>
            <w:tcW w:w="0" w:type="auto"/>
            <w:shd w:val="clear" w:color="auto" w:fill="auto"/>
            <w:vAlign w:val="bottom"/>
          </w:tcPr>
          <w:p w14:paraId="74DE1C92" w14:textId="77777777" w:rsidR="00584EC1" w:rsidRDefault="00584EC1">
            <w:pPr>
              <w:rPr>
                <w:rFonts w:ascii="宋体"/>
              </w:rPr>
            </w:pPr>
          </w:p>
        </w:tc>
        <w:tc>
          <w:tcPr>
            <w:tcW w:w="0" w:type="auto"/>
            <w:shd w:val="clear" w:color="auto" w:fill="auto"/>
            <w:vAlign w:val="bottom"/>
          </w:tcPr>
          <w:p w14:paraId="74DE1C93" w14:textId="77777777" w:rsidR="00584EC1" w:rsidRDefault="00584EC1">
            <w:pPr>
              <w:rPr>
                <w:rFonts w:ascii="宋体"/>
              </w:rPr>
            </w:pPr>
          </w:p>
        </w:tc>
        <w:tc>
          <w:tcPr>
            <w:tcW w:w="0" w:type="auto"/>
            <w:shd w:val="clear" w:color="auto" w:fill="auto"/>
            <w:vAlign w:val="bottom"/>
          </w:tcPr>
          <w:p w14:paraId="74DE1C94" w14:textId="77777777" w:rsidR="00584EC1" w:rsidRDefault="00584EC1">
            <w:pPr>
              <w:rPr>
                <w:rFonts w:ascii="宋体"/>
              </w:rPr>
            </w:pPr>
          </w:p>
        </w:tc>
        <w:tc>
          <w:tcPr>
            <w:tcW w:w="0" w:type="auto"/>
            <w:shd w:val="clear" w:color="auto" w:fill="auto"/>
            <w:vAlign w:val="bottom"/>
          </w:tcPr>
          <w:p w14:paraId="74DE1C95" w14:textId="77777777" w:rsidR="00584EC1" w:rsidRDefault="00584EC1">
            <w:pPr>
              <w:rPr>
                <w:rFonts w:ascii="宋体"/>
              </w:rPr>
            </w:pPr>
          </w:p>
        </w:tc>
        <w:tc>
          <w:tcPr>
            <w:tcW w:w="0" w:type="auto"/>
            <w:shd w:val="clear" w:color="auto" w:fill="auto"/>
            <w:vAlign w:val="bottom"/>
          </w:tcPr>
          <w:p w14:paraId="74DE1C96" w14:textId="77777777" w:rsidR="00584EC1" w:rsidRDefault="00584EC1">
            <w:pPr>
              <w:rPr>
                <w:rFonts w:ascii="宋体"/>
              </w:rPr>
            </w:pPr>
          </w:p>
        </w:tc>
        <w:tc>
          <w:tcPr>
            <w:tcW w:w="0" w:type="auto"/>
            <w:shd w:val="clear" w:color="auto" w:fill="auto"/>
            <w:vAlign w:val="bottom"/>
          </w:tcPr>
          <w:p w14:paraId="74DE1C97" w14:textId="77777777" w:rsidR="00584EC1" w:rsidRDefault="00584EC1">
            <w:pPr>
              <w:rPr>
                <w:rFonts w:ascii="宋体"/>
              </w:rPr>
            </w:pPr>
          </w:p>
        </w:tc>
        <w:tc>
          <w:tcPr>
            <w:tcW w:w="0" w:type="auto"/>
            <w:shd w:val="clear" w:color="auto" w:fill="auto"/>
            <w:vAlign w:val="bottom"/>
          </w:tcPr>
          <w:p w14:paraId="74DE1C98" w14:textId="77777777" w:rsidR="00584EC1" w:rsidRDefault="00584EC1">
            <w:pPr>
              <w:rPr>
                <w:rFonts w:ascii="宋体"/>
              </w:rPr>
            </w:pPr>
          </w:p>
        </w:tc>
        <w:tc>
          <w:tcPr>
            <w:tcW w:w="0" w:type="auto"/>
            <w:shd w:val="clear" w:color="auto" w:fill="auto"/>
            <w:vAlign w:val="bottom"/>
          </w:tcPr>
          <w:p w14:paraId="74DE1C99" w14:textId="77777777" w:rsidR="00584EC1" w:rsidRDefault="00584EC1">
            <w:pPr>
              <w:rPr>
                <w:rFonts w:ascii="宋体"/>
              </w:rPr>
            </w:pPr>
          </w:p>
        </w:tc>
        <w:tc>
          <w:tcPr>
            <w:tcW w:w="0" w:type="auto"/>
            <w:shd w:val="clear" w:color="auto" w:fill="auto"/>
            <w:vAlign w:val="bottom"/>
          </w:tcPr>
          <w:p w14:paraId="74DE1C9A" w14:textId="77777777" w:rsidR="00584EC1" w:rsidRDefault="00584EC1">
            <w:pPr>
              <w:rPr>
                <w:rFonts w:ascii="宋体"/>
              </w:rPr>
            </w:pPr>
          </w:p>
        </w:tc>
        <w:tc>
          <w:tcPr>
            <w:tcW w:w="0" w:type="auto"/>
            <w:shd w:val="clear" w:color="auto" w:fill="auto"/>
            <w:vAlign w:val="bottom"/>
          </w:tcPr>
          <w:p w14:paraId="74DE1C9B" w14:textId="77777777" w:rsidR="00584EC1" w:rsidRDefault="00584EC1">
            <w:pPr>
              <w:rPr>
                <w:rFonts w:ascii="宋体"/>
              </w:rPr>
            </w:pPr>
          </w:p>
        </w:tc>
        <w:tc>
          <w:tcPr>
            <w:tcW w:w="0" w:type="auto"/>
            <w:shd w:val="clear" w:color="auto" w:fill="auto"/>
            <w:vAlign w:val="bottom"/>
          </w:tcPr>
          <w:p w14:paraId="74DE1C9C" w14:textId="77777777" w:rsidR="00584EC1" w:rsidRDefault="00584EC1">
            <w:pPr>
              <w:rPr>
                <w:rFonts w:ascii="宋体"/>
              </w:rPr>
            </w:pPr>
          </w:p>
        </w:tc>
        <w:tc>
          <w:tcPr>
            <w:tcW w:w="0" w:type="auto"/>
            <w:shd w:val="clear" w:color="auto" w:fill="auto"/>
            <w:vAlign w:val="bottom"/>
          </w:tcPr>
          <w:p w14:paraId="74DE1C9D" w14:textId="77777777" w:rsidR="00584EC1" w:rsidRDefault="00584EC1">
            <w:pPr>
              <w:rPr>
                <w:rFonts w:ascii="宋体"/>
              </w:rPr>
            </w:pPr>
          </w:p>
        </w:tc>
        <w:tc>
          <w:tcPr>
            <w:tcW w:w="0" w:type="auto"/>
            <w:shd w:val="clear" w:color="auto" w:fill="auto"/>
            <w:vAlign w:val="bottom"/>
          </w:tcPr>
          <w:p w14:paraId="74DE1C9E" w14:textId="77777777" w:rsidR="00584EC1" w:rsidRDefault="00584EC1">
            <w:pPr>
              <w:rPr>
                <w:rFonts w:ascii="宋体"/>
              </w:rPr>
            </w:pPr>
          </w:p>
        </w:tc>
        <w:tc>
          <w:tcPr>
            <w:tcW w:w="0" w:type="auto"/>
            <w:shd w:val="clear" w:color="auto" w:fill="auto"/>
            <w:vAlign w:val="bottom"/>
          </w:tcPr>
          <w:p w14:paraId="74DE1C9F" w14:textId="77777777" w:rsidR="00584EC1" w:rsidRDefault="00584EC1">
            <w:pPr>
              <w:rPr>
                <w:rFonts w:ascii="宋体"/>
              </w:rPr>
            </w:pPr>
          </w:p>
        </w:tc>
        <w:tc>
          <w:tcPr>
            <w:tcW w:w="0" w:type="auto"/>
            <w:shd w:val="clear" w:color="auto" w:fill="auto"/>
            <w:vAlign w:val="bottom"/>
          </w:tcPr>
          <w:p w14:paraId="74DE1CA0" w14:textId="77777777" w:rsidR="00584EC1" w:rsidRDefault="00584EC1">
            <w:pPr>
              <w:rPr>
                <w:rFonts w:ascii="宋体"/>
              </w:rPr>
            </w:pPr>
          </w:p>
        </w:tc>
        <w:tc>
          <w:tcPr>
            <w:tcW w:w="0" w:type="auto"/>
            <w:shd w:val="clear" w:color="auto" w:fill="auto"/>
            <w:vAlign w:val="bottom"/>
          </w:tcPr>
          <w:p w14:paraId="74DE1CA1" w14:textId="77777777" w:rsidR="00584EC1" w:rsidRDefault="00584EC1">
            <w:pPr>
              <w:rPr>
                <w:rFonts w:ascii="宋体"/>
              </w:rPr>
            </w:pPr>
          </w:p>
        </w:tc>
        <w:tc>
          <w:tcPr>
            <w:tcW w:w="0" w:type="auto"/>
            <w:shd w:val="clear" w:color="auto" w:fill="auto"/>
            <w:vAlign w:val="bottom"/>
          </w:tcPr>
          <w:p w14:paraId="74DE1CA2" w14:textId="77777777" w:rsidR="00584EC1" w:rsidRDefault="00584EC1">
            <w:pPr>
              <w:rPr>
                <w:rFonts w:ascii="宋体"/>
              </w:rPr>
            </w:pPr>
          </w:p>
        </w:tc>
        <w:tc>
          <w:tcPr>
            <w:tcW w:w="0" w:type="auto"/>
            <w:shd w:val="clear" w:color="auto" w:fill="auto"/>
            <w:vAlign w:val="bottom"/>
          </w:tcPr>
          <w:p w14:paraId="74DE1CA3" w14:textId="77777777" w:rsidR="00584EC1" w:rsidRDefault="00584EC1">
            <w:pPr>
              <w:rPr>
                <w:rFonts w:ascii="宋体"/>
              </w:rPr>
            </w:pPr>
          </w:p>
        </w:tc>
        <w:tc>
          <w:tcPr>
            <w:tcW w:w="0" w:type="auto"/>
            <w:shd w:val="clear" w:color="auto" w:fill="auto"/>
            <w:vAlign w:val="bottom"/>
          </w:tcPr>
          <w:p w14:paraId="74DE1CA4" w14:textId="77777777" w:rsidR="00584EC1" w:rsidRDefault="00584EC1">
            <w:pPr>
              <w:rPr>
                <w:rFonts w:ascii="宋体"/>
              </w:rPr>
            </w:pPr>
          </w:p>
        </w:tc>
        <w:tc>
          <w:tcPr>
            <w:tcW w:w="0" w:type="auto"/>
            <w:shd w:val="clear" w:color="auto" w:fill="auto"/>
            <w:vAlign w:val="bottom"/>
          </w:tcPr>
          <w:p w14:paraId="74DE1CA5" w14:textId="77777777" w:rsidR="00584EC1" w:rsidRDefault="00584EC1">
            <w:pPr>
              <w:rPr>
                <w:rFonts w:ascii="宋体"/>
              </w:rPr>
            </w:pPr>
          </w:p>
        </w:tc>
        <w:tc>
          <w:tcPr>
            <w:tcW w:w="0" w:type="auto"/>
            <w:shd w:val="clear" w:color="auto" w:fill="auto"/>
            <w:vAlign w:val="bottom"/>
          </w:tcPr>
          <w:p w14:paraId="74DE1CA6" w14:textId="77777777" w:rsidR="00584EC1" w:rsidRDefault="00584EC1">
            <w:pPr>
              <w:rPr>
                <w:rFonts w:ascii="宋体"/>
              </w:rPr>
            </w:pPr>
          </w:p>
        </w:tc>
        <w:tc>
          <w:tcPr>
            <w:tcW w:w="0" w:type="auto"/>
            <w:shd w:val="clear" w:color="auto" w:fill="auto"/>
            <w:vAlign w:val="bottom"/>
          </w:tcPr>
          <w:p w14:paraId="74DE1CA7" w14:textId="77777777" w:rsidR="00584EC1" w:rsidRDefault="00584EC1">
            <w:pPr>
              <w:rPr>
                <w:rFonts w:ascii="宋体"/>
              </w:rPr>
            </w:pPr>
          </w:p>
        </w:tc>
        <w:tc>
          <w:tcPr>
            <w:tcW w:w="0" w:type="auto"/>
            <w:shd w:val="clear" w:color="auto" w:fill="auto"/>
            <w:vAlign w:val="bottom"/>
          </w:tcPr>
          <w:p w14:paraId="74DE1CA8" w14:textId="77777777" w:rsidR="00584EC1" w:rsidRDefault="00584EC1">
            <w:pPr>
              <w:rPr>
                <w:rFonts w:ascii="宋体"/>
              </w:rPr>
            </w:pPr>
          </w:p>
        </w:tc>
        <w:tc>
          <w:tcPr>
            <w:tcW w:w="0" w:type="auto"/>
            <w:shd w:val="clear" w:color="auto" w:fill="auto"/>
            <w:vAlign w:val="bottom"/>
          </w:tcPr>
          <w:p w14:paraId="74DE1CA9" w14:textId="77777777" w:rsidR="00584EC1" w:rsidRDefault="00584EC1">
            <w:pPr>
              <w:rPr>
                <w:rFonts w:ascii="宋体"/>
              </w:rPr>
            </w:pPr>
          </w:p>
        </w:tc>
        <w:tc>
          <w:tcPr>
            <w:tcW w:w="0" w:type="auto"/>
            <w:shd w:val="clear" w:color="auto" w:fill="auto"/>
            <w:vAlign w:val="bottom"/>
          </w:tcPr>
          <w:p w14:paraId="74DE1CAA" w14:textId="77777777" w:rsidR="00584EC1" w:rsidRDefault="00584EC1">
            <w:pPr>
              <w:rPr>
                <w:rFonts w:ascii="宋体"/>
              </w:rPr>
            </w:pPr>
          </w:p>
        </w:tc>
        <w:tc>
          <w:tcPr>
            <w:tcW w:w="0" w:type="auto"/>
            <w:shd w:val="clear" w:color="auto" w:fill="auto"/>
            <w:vAlign w:val="bottom"/>
          </w:tcPr>
          <w:p w14:paraId="74DE1CAB" w14:textId="77777777" w:rsidR="00584EC1" w:rsidRDefault="00584EC1">
            <w:pPr>
              <w:rPr>
                <w:rFonts w:ascii="宋体"/>
              </w:rPr>
            </w:pPr>
          </w:p>
        </w:tc>
        <w:tc>
          <w:tcPr>
            <w:tcW w:w="0" w:type="auto"/>
            <w:shd w:val="clear" w:color="auto" w:fill="auto"/>
            <w:vAlign w:val="bottom"/>
          </w:tcPr>
          <w:p w14:paraId="74DE1CAC" w14:textId="77777777" w:rsidR="00584EC1" w:rsidRDefault="00584EC1">
            <w:pPr>
              <w:rPr>
                <w:rFonts w:ascii="宋体"/>
              </w:rPr>
            </w:pPr>
          </w:p>
        </w:tc>
        <w:tc>
          <w:tcPr>
            <w:tcW w:w="0" w:type="auto"/>
            <w:shd w:val="clear" w:color="auto" w:fill="auto"/>
            <w:vAlign w:val="bottom"/>
          </w:tcPr>
          <w:p w14:paraId="74DE1CAD" w14:textId="77777777" w:rsidR="00584EC1" w:rsidRDefault="00584EC1">
            <w:pPr>
              <w:rPr>
                <w:rFonts w:ascii="宋体"/>
              </w:rPr>
            </w:pPr>
          </w:p>
        </w:tc>
        <w:tc>
          <w:tcPr>
            <w:tcW w:w="0" w:type="auto"/>
            <w:shd w:val="clear" w:color="auto" w:fill="auto"/>
            <w:vAlign w:val="bottom"/>
          </w:tcPr>
          <w:p w14:paraId="74DE1CAE" w14:textId="77777777" w:rsidR="00584EC1" w:rsidRDefault="00584EC1">
            <w:pPr>
              <w:rPr>
                <w:rFonts w:ascii="宋体"/>
              </w:rPr>
            </w:pPr>
          </w:p>
        </w:tc>
        <w:tc>
          <w:tcPr>
            <w:tcW w:w="0" w:type="auto"/>
            <w:shd w:val="clear" w:color="auto" w:fill="auto"/>
            <w:vAlign w:val="bottom"/>
          </w:tcPr>
          <w:p w14:paraId="74DE1CAF" w14:textId="77777777" w:rsidR="00584EC1" w:rsidRDefault="00584EC1">
            <w:pPr>
              <w:rPr>
                <w:rFonts w:ascii="宋体"/>
              </w:rPr>
            </w:pPr>
          </w:p>
        </w:tc>
      </w:tr>
      <w:tr w:rsidR="00584EC1" w14:paraId="74DE1CDD" w14:textId="77777777">
        <w:trPr>
          <w:hidden/>
        </w:trPr>
        <w:tc>
          <w:tcPr>
            <w:tcW w:w="0" w:type="auto"/>
            <w:gridSpan w:val="3"/>
            <w:shd w:val="clear" w:color="auto" w:fill="auto"/>
            <w:vAlign w:val="bottom"/>
          </w:tcPr>
          <w:p w14:paraId="74DE1CB1" w14:textId="77777777" w:rsidR="00584EC1" w:rsidRDefault="00584EC1">
            <w:pPr>
              <w:rPr>
                <w:rFonts w:ascii="宋体"/>
                <w:vanish/>
              </w:rPr>
            </w:pPr>
          </w:p>
        </w:tc>
        <w:tc>
          <w:tcPr>
            <w:tcW w:w="0" w:type="auto"/>
            <w:gridSpan w:val="3"/>
            <w:shd w:val="clear" w:color="auto" w:fill="auto"/>
            <w:vAlign w:val="bottom"/>
          </w:tcPr>
          <w:p w14:paraId="74DE1CB2" w14:textId="77777777" w:rsidR="00584EC1" w:rsidRDefault="00584EC1">
            <w:pPr>
              <w:rPr>
                <w:rFonts w:ascii="宋体"/>
                <w:vanish/>
              </w:rPr>
            </w:pPr>
          </w:p>
        </w:tc>
        <w:tc>
          <w:tcPr>
            <w:tcW w:w="0" w:type="auto"/>
            <w:gridSpan w:val="3"/>
            <w:shd w:val="clear" w:color="auto" w:fill="auto"/>
            <w:vAlign w:val="bottom"/>
          </w:tcPr>
          <w:p w14:paraId="74DE1CB3" w14:textId="77777777" w:rsidR="00584EC1" w:rsidRDefault="00584EC1">
            <w:pPr>
              <w:rPr>
                <w:rFonts w:ascii="宋体"/>
                <w:vanish/>
              </w:rPr>
            </w:pPr>
          </w:p>
        </w:tc>
        <w:tc>
          <w:tcPr>
            <w:tcW w:w="0" w:type="auto"/>
            <w:gridSpan w:val="3"/>
            <w:shd w:val="clear" w:color="auto" w:fill="auto"/>
            <w:vAlign w:val="bottom"/>
          </w:tcPr>
          <w:p w14:paraId="74DE1CB4" w14:textId="77777777" w:rsidR="00584EC1" w:rsidRDefault="00584EC1">
            <w:pPr>
              <w:rPr>
                <w:rFonts w:ascii="宋体"/>
                <w:vanish/>
              </w:rPr>
            </w:pPr>
          </w:p>
        </w:tc>
        <w:tc>
          <w:tcPr>
            <w:tcW w:w="0" w:type="auto"/>
            <w:gridSpan w:val="3"/>
            <w:shd w:val="clear" w:color="auto" w:fill="auto"/>
            <w:vAlign w:val="bottom"/>
          </w:tcPr>
          <w:p w14:paraId="74DE1CB5" w14:textId="77777777" w:rsidR="00584EC1" w:rsidRDefault="00584EC1">
            <w:pPr>
              <w:rPr>
                <w:rFonts w:ascii="宋体"/>
                <w:vanish/>
              </w:rPr>
            </w:pPr>
          </w:p>
        </w:tc>
        <w:tc>
          <w:tcPr>
            <w:tcW w:w="0" w:type="auto"/>
            <w:gridSpan w:val="3"/>
            <w:shd w:val="clear" w:color="auto" w:fill="auto"/>
            <w:vAlign w:val="bottom"/>
          </w:tcPr>
          <w:p w14:paraId="74DE1CB6" w14:textId="77777777" w:rsidR="00584EC1" w:rsidRDefault="00584EC1">
            <w:pPr>
              <w:rPr>
                <w:rFonts w:ascii="宋体"/>
                <w:vanish/>
              </w:rPr>
            </w:pPr>
          </w:p>
        </w:tc>
        <w:tc>
          <w:tcPr>
            <w:tcW w:w="0" w:type="auto"/>
            <w:gridSpan w:val="3"/>
            <w:shd w:val="clear" w:color="auto" w:fill="auto"/>
            <w:vAlign w:val="bottom"/>
          </w:tcPr>
          <w:p w14:paraId="74DE1CB7" w14:textId="77777777" w:rsidR="00584EC1" w:rsidRDefault="00584EC1">
            <w:pPr>
              <w:rPr>
                <w:rFonts w:ascii="宋体"/>
                <w:vanish/>
              </w:rPr>
            </w:pPr>
          </w:p>
        </w:tc>
        <w:tc>
          <w:tcPr>
            <w:tcW w:w="0" w:type="auto"/>
            <w:gridSpan w:val="3"/>
            <w:shd w:val="clear" w:color="auto" w:fill="auto"/>
            <w:vAlign w:val="bottom"/>
          </w:tcPr>
          <w:p w14:paraId="74DE1CB8" w14:textId="77777777" w:rsidR="00584EC1" w:rsidRDefault="00584EC1">
            <w:pPr>
              <w:rPr>
                <w:rFonts w:ascii="宋体"/>
                <w:vanish/>
              </w:rPr>
            </w:pPr>
          </w:p>
        </w:tc>
        <w:tc>
          <w:tcPr>
            <w:tcW w:w="0" w:type="auto"/>
            <w:shd w:val="clear" w:color="auto" w:fill="auto"/>
            <w:vAlign w:val="bottom"/>
          </w:tcPr>
          <w:p w14:paraId="74DE1CB9" w14:textId="77777777" w:rsidR="00584EC1" w:rsidRDefault="00584EC1">
            <w:pPr>
              <w:rPr>
                <w:rFonts w:ascii="宋体"/>
              </w:rPr>
            </w:pPr>
          </w:p>
        </w:tc>
        <w:tc>
          <w:tcPr>
            <w:tcW w:w="0" w:type="auto"/>
            <w:shd w:val="clear" w:color="auto" w:fill="auto"/>
            <w:vAlign w:val="bottom"/>
          </w:tcPr>
          <w:p w14:paraId="74DE1CBA" w14:textId="77777777" w:rsidR="00584EC1" w:rsidRDefault="00584EC1">
            <w:pPr>
              <w:rPr>
                <w:rFonts w:ascii="宋体"/>
              </w:rPr>
            </w:pPr>
          </w:p>
        </w:tc>
        <w:tc>
          <w:tcPr>
            <w:tcW w:w="0" w:type="auto"/>
            <w:shd w:val="clear" w:color="auto" w:fill="auto"/>
            <w:vAlign w:val="bottom"/>
          </w:tcPr>
          <w:p w14:paraId="74DE1CBB" w14:textId="77777777" w:rsidR="00584EC1" w:rsidRDefault="00584EC1">
            <w:pPr>
              <w:rPr>
                <w:rFonts w:ascii="宋体"/>
              </w:rPr>
            </w:pPr>
          </w:p>
        </w:tc>
        <w:tc>
          <w:tcPr>
            <w:tcW w:w="0" w:type="auto"/>
            <w:shd w:val="clear" w:color="auto" w:fill="auto"/>
            <w:vAlign w:val="bottom"/>
          </w:tcPr>
          <w:p w14:paraId="74DE1CBC" w14:textId="77777777" w:rsidR="00584EC1" w:rsidRDefault="00584EC1">
            <w:pPr>
              <w:rPr>
                <w:rFonts w:ascii="宋体"/>
              </w:rPr>
            </w:pPr>
          </w:p>
        </w:tc>
        <w:tc>
          <w:tcPr>
            <w:tcW w:w="0" w:type="auto"/>
            <w:shd w:val="clear" w:color="auto" w:fill="auto"/>
            <w:vAlign w:val="bottom"/>
          </w:tcPr>
          <w:p w14:paraId="74DE1CBD" w14:textId="77777777" w:rsidR="00584EC1" w:rsidRDefault="00584EC1">
            <w:pPr>
              <w:rPr>
                <w:rFonts w:ascii="宋体"/>
              </w:rPr>
            </w:pPr>
          </w:p>
        </w:tc>
        <w:tc>
          <w:tcPr>
            <w:tcW w:w="0" w:type="auto"/>
            <w:shd w:val="clear" w:color="auto" w:fill="auto"/>
            <w:vAlign w:val="bottom"/>
          </w:tcPr>
          <w:p w14:paraId="74DE1CBE" w14:textId="77777777" w:rsidR="00584EC1" w:rsidRDefault="00584EC1">
            <w:pPr>
              <w:rPr>
                <w:rFonts w:ascii="宋体"/>
              </w:rPr>
            </w:pPr>
          </w:p>
        </w:tc>
        <w:tc>
          <w:tcPr>
            <w:tcW w:w="0" w:type="auto"/>
            <w:shd w:val="clear" w:color="auto" w:fill="auto"/>
            <w:vAlign w:val="bottom"/>
          </w:tcPr>
          <w:p w14:paraId="74DE1CBF" w14:textId="77777777" w:rsidR="00584EC1" w:rsidRDefault="00584EC1">
            <w:pPr>
              <w:rPr>
                <w:rFonts w:ascii="宋体"/>
              </w:rPr>
            </w:pPr>
          </w:p>
        </w:tc>
        <w:tc>
          <w:tcPr>
            <w:tcW w:w="0" w:type="auto"/>
            <w:shd w:val="clear" w:color="auto" w:fill="auto"/>
            <w:vAlign w:val="bottom"/>
          </w:tcPr>
          <w:p w14:paraId="74DE1CC0" w14:textId="77777777" w:rsidR="00584EC1" w:rsidRDefault="00584EC1">
            <w:pPr>
              <w:rPr>
                <w:rFonts w:ascii="宋体"/>
              </w:rPr>
            </w:pPr>
          </w:p>
        </w:tc>
        <w:tc>
          <w:tcPr>
            <w:tcW w:w="0" w:type="auto"/>
            <w:shd w:val="clear" w:color="auto" w:fill="auto"/>
            <w:vAlign w:val="bottom"/>
          </w:tcPr>
          <w:p w14:paraId="74DE1CC1" w14:textId="77777777" w:rsidR="00584EC1" w:rsidRDefault="00584EC1">
            <w:pPr>
              <w:rPr>
                <w:rFonts w:ascii="宋体"/>
              </w:rPr>
            </w:pPr>
          </w:p>
        </w:tc>
        <w:tc>
          <w:tcPr>
            <w:tcW w:w="0" w:type="auto"/>
            <w:shd w:val="clear" w:color="auto" w:fill="auto"/>
            <w:vAlign w:val="bottom"/>
          </w:tcPr>
          <w:p w14:paraId="74DE1CC2" w14:textId="77777777" w:rsidR="00584EC1" w:rsidRDefault="00584EC1">
            <w:pPr>
              <w:rPr>
                <w:rFonts w:ascii="宋体"/>
              </w:rPr>
            </w:pPr>
          </w:p>
        </w:tc>
        <w:tc>
          <w:tcPr>
            <w:tcW w:w="0" w:type="auto"/>
            <w:shd w:val="clear" w:color="auto" w:fill="auto"/>
            <w:vAlign w:val="bottom"/>
          </w:tcPr>
          <w:p w14:paraId="74DE1CC3" w14:textId="77777777" w:rsidR="00584EC1" w:rsidRDefault="00584EC1">
            <w:pPr>
              <w:rPr>
                <w:rFonts w:ascii="宋体"/>
              </w:rPr>
            </w:pPr>
          </w:p>
        </w:tc>
        <w:tc>
          <w:tcPr>
            <w:tcW w:w="0" w:type="auto"/>
            <w:shd w:val="clear" w:color="auto" w:fill="auto"/>
            <w:vAlign w:val="bottom"/>
          </w:tcPr>
          <w:p w14:paraId="74DE1CC4" w14:textId="77777777" w:rsidR="00584EC1" w:rsidRDefault="00584EC1">
            <w:pPr>
              <w:rPr>
                <w:rFonts w:ascii="宋体"/>
              </w:rPr>
            </w:pPr>
          </w:p>
        </w:tc>
        <w:tc>
          <w:tcPr>
            <w:tcW w:w="0" w:type="auto"/>
            <w:shd w:val="clear" w:color="auto" w:fill="auto"/>
            <w:vAlign w:val="bottom"/>
          </w:tcPr>
          <w:p w14:paraId="74DE1CC5" w14:textId="77777777" w:rsidR="00584EC1" w:rsidRDefault="00584EC1">
            <w:pPr>
              <w:rPr>
                <w:rFonts w:ascii="宋体"/>
              </w:rPr>
            </w:pPr>
          </w:p>
        </w:tc>
        <w:tc>
          <w:tcPr>
            <w:tcW w:w="0" w:type="auto"/>
            <w:shd w:val="clear" w:color="auto" w:fill="auto"/>
            <w:vAlign w:val="bottom"/>
          </w:tcPr>
          <w:p w14:paraId="74DE1CC6" w14:textId="77777777" w:rsidR="00584EC1" w:rsidRDefault="00584EC1">
            <w:pPr>
              <w:rPr>
                <w:rFonts w:ascii="宋体"/>
              </w:rPr>
            </w:pPr>
          </w:p>
        </w:tc>
        <w:tc>
          <w:tcPr>
            <w:tcW w:w="0" w:type="auto"/>
            <w:shd w:val="clear" w:color="auto" w:fill="auto"/>
            <w:vAlign w:val="bottom"/>
          </w:tcPr>
          <w:p w14:paraId="74DE1CC7" w14:textId="77777777" w:rsidR="00584EC1" w:rsidRDefault="00584EC1">
            <w:pPr>
              <w:rPr>
                <w:rFonts w:ascii="宋体"/>
              </w:rPr>
            </w:pPr>
          </w:p>
        </w:tc>
        <w:tc>
          <w:tcPr>
            <w:tcW w:w="0" w:type="auto"/>
            <w:shd w:val="clear" w:color="auto" w:fill="auto"/>
            <w:vAlign w:val="bottom"/>
          </w:tcPr>
          <w:p w14:paraId="74DE1CC8" w14:textId="77777777" w:rsidR="00584EC1" w:rsidRDefault="00584EC1">
            <w:pPr>
              <w:rPr>
                <w:rFonts w:ascii="宋体"/>
              </w:rPr>
            </w:pPr>
          </w:p>
        </w:tc>
        <w:tc>
          <w:tcPr>
            <w:tcW w:w="0" w:type="auto"/>
            <w:shd w:val="clear" w:color="auto" w:fill="auto"/>
            <w:vAlign w:val="bottom"/>
          </w:tcPr>
          <w:p w14:paraId="74DE1CC9" w14:textId="77777777" w:rsidR="00584EC1" w:rsidRDefault="00584EC1">
            <w:pPr>
              <w:rPr>
                <w:rFonts w:ascii="宋体"/>
              </w:rPr>
            </w:pPr>
          </w:p>
        </w:tc>
        <w:tc>
          <w:tcPr>
            <w:tcW w:w="0" w:type="auto"/>
            <w:shd w:val="clear" w:color="auto" w:fill="auto"/>
            <w:vAlign w:val="bottom"/>
          </w:tcPr>
          <w:p w14:paraId="74DE1CCA" w14:textId="77777777" w:rsidR="00584EC1" w:rsidRDefault="00584EC1">
            <w:pPr>
              <w:rPr>
                <w:rFonts w:ascii="宋体"/>
              </w:rPr>
            </w:pPr>
          </w:p>
        </w:tc>
        <w:tc>
          <w:tcPr>
            <w:tcW w:w="0" w:type="auto"/>
            <w:shd w:val="clear" w:color="auto" w:fill="auto"/>
            <w:vAlign w:val="bottom"/>
          </w:tcPr>
          <w:p w14:paraId="74DE1CCB" w14:textId="77777777" w:rsidR="00584EC1" w:rsidRDefault="00584EC1">
            <w:pPr>
              <w:rPr>
                <w:rFonts w:ascii="宋体"/>
              </w:rPr>
            </w:pPr>
          </w:p>
        </w:tc>
        <w:tc>
          <w:tcPr>
            <w:tcW w:w="0" w:type="auto"/>
            <w:shd w:val="clear" w:color="auto" w:fill="auto"/>
            <w:vAlign w:val="bottom"/>
          </w:tcPr>
          <w:p w14:paraId="74DE1CCC" w14:textId="77777777" w:rsidR="00584EC1" w:rsidRDefault="00584EC1">
            <w:pPr>
              <w:rPr>
                <w:rFonts w:ascii="宋体"/>
              </w:rPr>
            </w:pPr>
          </w:p>
        </w:tc>
        <w:tc>
          <w:tcPr>
            <w:tcW w:w="0" w:type="auto"/>
            <w:shd w:val="clear" w:color="auto" w:fill="auto"/>
            <w:vAlign w:val="bottom"/>
          </w:tcPr>
          <w:p w14:paraId="74DE1CCD" w14:textId="77777777" w:rsidR="00584EC1" w:rsidRDefault="00584EC1">
            <w:pPr>
              <w:rPr>
                <w:rFonts w:ascii="宋体"/>
              </w:rPr>
            </w:pPr>
          </w:p>
        </w:tc>
        <w:tc>
          <w:tcPr>
            <w:tcW w:w="0" w:type="auto"/>
            <w:shd w:val="clear" w:color="auto" w:fill="auto"/>
            <w:vAlign w:val="bottom"/>
          </w:tcPr>
          <w:p w14:paraId="74DE1CCE" w14:textId="77777777" w:rsidR="00584EC1" w:rsidRDefault="00584EC1">
            <w:pPr>
              <w:rPr>
                <w:rFonts w:ascii="宋体"/>
              </w:rPr>
            </w:pPr>
          </w:p>
        </w:tc>
        <w:tc>
          <w:tcPr>
            <w:tcW w:w="0" w:type="auto"/>
            <w:shd w:val="clear" w:color="auto" w:fill="auto"/>
            <w:vAlign w:val="bottom"/>
          </w:tcPr>
          <w:p w14:paraId="74DE1CCF" w14:textId="77777777" w:rsidR="00584EC1" w:rsidRDefault="00584EC1">
            <w:pPr>
              <w:rPr>
                <w:rFonts w:ascii="宋体"/>
              </w:rPr>
            </w:pPr>
          </w:p>
        </w:tc>
        <w:tc>
          <w:tcPr>
            <w:tcW w:w="0" w:type="auto"/>
            <w:shd w:val="clear" w:color="auto" w:fill="auto"/>
            <w:vAlign w:val="bottom"/>
          </w:tcPr>
          <w:p w14:paraId="74DE1CD0" w14:textId="77777777" w:rsidR="00584EC1" w:rsidRDefault="00584EC1">
            <w:pPr>
              <w:rPr>
                <w:rFonts w:ascii="宋体"/>
              </w:rPr>
            </w:pPr>
          </w:p>
        </w:tc>
        <w:tc>
          <w:tcPr>
            <w:tcW w:w="0" w:type="auto"/>
            <w:shd w:val="clear" w:color="auto" w:fill="auto"/>
            <w:vAlign w:val="bottom"/>
          </w:tcPr>
          <w:p w14:paraId="74DE1CD1" w14:textId="77777777" w:rsidR="00584EC1" w:rsidRDefault="00584EC1">
            <w:pPr>
              <w:rPr>
                <w:rFonts w:ascii="宋体"/>
              </w:rPr>
            </w:pPr>
          </w:p>
        </w:tc>
        <w:tc>
          <w:tcPr>
            <w:tcW w:w="0" w:type="auto"/>
            <w:shd w:val="clear" w:color="auto" w:fill="auto"/>
            <w:vAlign w:val="bottom"/>
          </w:tcPr>
          <w:p w14:paraId="74DE1CD2" w14:textId="77777777" w:rsidR="00584EC1" w:rsidRDefault="00584EC1">
            <w:pPr>
              <w:rPr>
                <w:rFonts w:ascii="宋体"/>
              </w:rPr>
            </w:pPr>
          </w:p>
        </w:tc>
        <w:tc>
          <w:tcPr>
            <w:tcW w:w="0" w:type="auto"/>
            <w:shd w:val="clear" w:color="auto" w:fill="auto"/>
            <w:vAlign w:val="bottom"/>
          </w:tcPr>
          <w:p w14:paraId="74DE1CD3" w14:textId="77777777" w:rsidR="00584EC1" w:rsidRDefault="00584EC1">
            <w:pPr>
              <w:rPr>
                <w:rFonts w:ascii="宋体"/>
              </w:rPr>
            </w:pPr>
          </w:p>
        </w:tc>
        <w:tc>
          <w:tcPr>
            <w:tcW w:w="0" w:type="auto"/>
            <w:shd w:val="clear" w:color="auto" w:fill="auto"/>
            <w:vAlign w:val="bottom"/>
          </w:tcPr>
          <w:p w14:paraId="74DE1CD4" w14:textId="77777777" w:rsidR="00584EC1" w:rsidRDefault="00584EC1">
            <w:pPr>
              <w:rPr>
                <w:rFonts w:ascii="宋体"/>
              </w:rPr>
            </w:pPr>
          </w:p>
        </w:tc>
        <w:tc>
          <w:tcPr>
            <w:tcW w:w="0" w:type="auto"/>
            <w:shd w:val="clear" w:color="auto" w:fill="auto"/>
            <w:vAlign w:val="bottom"/>
          </w:tcPr>
          <w:p w14:paraId="74DE1CD5" w14:textId="77777777" w:rsidR="00584EC1" w:rsidRDefault="00584EC1">
            <w:pPr>
              <w:rPr>
                <w:rFonts w:ascii="宋体"/>
              </w:rPr>
            </w:pPr>
          </w:p>
        </w:tc>
        <w:tc>
          <w:tcPr>
            <w:tcW w:w="0" w:type="auto"/>
            <w:shd w:val="clear" w:color="auto" w:fill="auto"/>
            <w:vAlign w:val="bottom"/>
          </w:tcPr>
          <w:p w14:paraId="74DE1CD6" w14:textId="77777777" w:rsidR="00584EC1" w:rsidRDefault="00584EC1">
            <w:pPr>
              <w:rPr>
                <w:rFonts w:ascii="宋体"/>
              </w:rPr>
            </w:pPr>
          </w:p>
        </w:tc>
        <w:tc>
          <w:tcPr>
            <w:tcW w:w="0" w:type="auto"/>
            <w:shd w:val="clear" w:color="auto" w:fill="auto"/>
            <w:vAlign w:val="bottom"/>
          </w:tcPr>
          <w:p w14:paraId="74DE1CD7" w14:textId="77777777" w:rsidR="00584EC1" w:rsidRDefault="00584EC1">
            <w:pPr>
              <w:rPr>
                <w:rFonts w:ascii="宋体"/>
              </w:rPr>
            </w:pPr>
          </w:p>
        </w:tc>
        <w:tc>
          <w:tcPr>
            <w:tcW w:w="0" w:type="auto"/>
            <w:shd w:val="clear" w:color="auto" w:fill="auto"/>
            <w:vAlign w:val="bottom"/>
          </w:tcPr>
          <w:p w14:paraId="74DE1CD8" w14:textId="77777777" w:rsidR="00584EC1" w:rsidRDefault="00584EC1">
            <w:pPr>
              <w:rPr>
                <w:rFonts w:ascii="宋体"/>
              </w:rPr>
            </w:pPr>
          </w:p>
        </w:tc>
        <w:tc>
          <w:tcPr>
            <w:tcW w:w="0" w:type="auto"/>
            <w:shd w:val="clear" w:color="auto" w:fill="auto"/>
            <w:vAlign w:val="bottom"/>
          </w:tcPr>
          <w:p w14:paraId="74DE1CD9" w14:textId="77777777" w:rsidR="00584EC1" w:rsidRDefault="00584EC1">
            <w:pPr>
              <w:rPr>
                <w:rFonts w:ascii="宋体"/>
              </w:rPr>
            </w:pPr>
          </w:p>
        </w:tc>
        <w:tc>
          <w:tcPr>
            <w:tcW w:w="0" w:type="auto"/>
            <w:shd w:val="clear" w:color="auto" w:fill="auto"/>
            <w:vAlign w:val="bottom"/>
          </w:tcPr>
          <w:p w14:paraId="74DE1CDA" w14:textId="77777777" w:rsidR="00584EC1" w:rsidRDefault="00584EC1">
            <w:pPr>
              <w:rPr>
                <w:rFonts w:ascii="宋体"/>
              </w:rPr>
            </w:pPr>
          </w:p>
        </w:tc>
        <w:tc>
          <w:tcPr>
            <w:tcW w:w="0" w:type="auto"/>
            <w:shd w:val="clear" w:color="auto" w:fill="auto"/>
            <w:vAlign w:val="bottom"/>
          </w:tcPr>
          <w:p w14:paraId="74DE1CDB" w14:textId="77777777" w:rsidR="00584EC1" w:rsidRDefault="00584EC1">
            <w:pPr>
              <w:rPr>
                <w:rFonts w:ascii="宋体"/>
              </w:rPr>
            </w:pPr>
          </w:p>
        </w:tc>
        <w:tc>
          <w:tcPr>
            <w:tcW w:w="0" w:type="auto"/>
            <w:shd w:val="clear" w:color="auto" w:fill="auto"/>
            <w:vAlign w:val="bottom"/>
          </w:tcPr>
          <w:p w14:paraId="74DE1CDC" w14:textId="77777777" w:rsidR="00584EC1" w:rsidRDefault="00584EC1">
            <w:pPr>
              <w:rPr>
                <w:rFonts w:ascii="宋体"/>
              </w:rPr>
            </w:pPr>
          </w:p>
        </w:tc>
      </w:tr>
      <w:tr w:rsidR="00584EC1" w14:paraId="74DE1CF2" w14:textId="77777777">
        <w:trPr>
          <w:hidden/>
        </w:trPr>
        <w:tc>
          <w:tcPr>
            <w:tcW w:w="0" w:type="auto"/>
            <w:gridSpan w:val="3"/>
            <w:shd w:val="clear" w:color="auto" w:fill="auto"/>
            <w:vAlign w:val="bottom"/>
          </w:tcPr>
          <w:p w14:paraId="74DE1CDE" w14:textId="77777777" w:rsidR="00584EC1" w:rsidRDefault="00584EC1">
            <w:pPr>
              <w:rPr>
                <w:rFonts w:ascii="宋体"/>
                <w:vanish/>
              </w:rPr>
            </w:pPr>
          </w:p>
        </w:tc>
        <w:tc>
          <w:tcPr>
            <w:tcW w:w="0" w:type="auto"/>
            <w:gridSpan w:val="3"/>
            <w:shd w:val="clear" w:color="auto" w:fill="auto"/>
            <w:vAlign w:val="bottom"/>
          </w:tcPr>
          <w:p w14:paraId="74DE1CDF" w14:textId="77777777" w:rsidR="00584EC1" w:rsidRDefault="00584EC1">
            <w:pPr>
              <w:rPr>
                <w:rFonts w:ascii="宋体"/>
                <w:vanish/>
              </w:rPr>
            </w:pPr>
          </w:p>
        </w:tc>
        <w:tc>
          <w:tcPr>
            <w:tcW w:w="0" w:type="auto"/>
            <w:gridSpan w:val="3"/>
            <w:shd w:val="clear" w:color="auto" w:fill="auto"/>
            <w:vAlign w:val="bottom"/>
          </w:tcPr>
          <w:p w14:paraId="74DE1CE0" w14:textId="77777777" w:rsidR="00584EC1" w:rsidRDefault="00584EC1">
            <w:pPr>
              <w:rPr>
                <w:rFonts w:ascii="宋体"/>
                <w:vanish/>
              </w:rPr>
            </w:pPr>
          </w:p>
        </w:tc>
        <w:tc>
          <w:tcPr>
            <w:tcW w:w="0" w:type="auto"/>
            <w:gridSpan w:val="3"/>
            <w:shd w:val="clear" w:color="auto" w:fill="auto"/>
            <w:vAlign w:val="bottom"/>
          </w:tcPr>
          <w:p w14:paraId="74DE1CE1" w14:textId="77777777" w:rsidR="00584EC1" w:rsidRDefault="00584EC1">
            <w:pPr>
              <w:rPr>
                <w:rFonts w:ascii="宋体"/>
                <w:vanish/>
              </w:rPr>
            </w:pPr>
          </w:p>
        </w:tc>
        <w:tc>
          <w:tcPr>
            <w:tcW w:w="0" w:type="auto"/>
            <w:gridSpan w:val="3"/>
            <w:shd w:val="clear" w:color="auto" w:fill="auto"/>
            <w:vAlign w:val="bottom"/>
          </w:tcPr>
          <w:p w14:paraId="74DE1CE2" w14:textId="77777777" w:rsidR="00584EC1" w:rsidRDefault="00584EC1">
            <w:pPr>
              <w:rPr>
                <w:rFonts w:ascii="宋体"/>
                <w:vanish/>
              </w:rPr>
            </w:pPr>
          </w:p>
        </w:tc>
        <w:tc>
          <w:tcPr>
            <w:tcW w:w="0" w:type="auto"/>
            <w:gridSpan w:val="3"/>
            <w:shd w:val="clear" w:color="auto" w:fill="auto"/>
            <w:vAlign w:val="bottom"/>
          </w:tcPr>
          <w:p w14:paraId="74DE1CE3" w14:textId="77777777" w:rsidR="00584EC1" w:rsidRDefault="00584EC1">
            <w:pPr>
              <w:rPr>
                <w:rFonts w:ascii="宋体"/>
                <w:vanish/>
              </w:rPr>
            </w:pPr>
          </w:p>
        </w:tc>
        <w:tc>
          <w:tcPr>
            <w:tcW w:w="0" w:type="auto"/>
            <w:gridSpan w:val="3"/>
            <w:shd w:val="clear" w:color="auto" w:fill="auto"/>
            <w:vAlign w:val="bottom"/>
          </w:tcPr>
          <w:p w14:paraId="74DE1CE4" w14:textId="77777777" w:rsidR="00584EC1" w:rsidRDefault="00584EC1">
            <w:pPr>
              <w:rPr>
                <w:rFonts w:ascii="宋体"/>
                <w:vanish/>
              </w:rPr>
            </w:pPr>
          </w:p>
        </w:tc>
        <w:tc>
          <w:tcPr>
            <w:tcW w:w="0" w:type="auto"/>
            <w:gridSpan w:val="3"/>
            <w:shd w:val="clear" w:color="auto" w:fill="auto"/>
            <w:vAlign w:val="bottom"/>
          </w:tcPr>
          <w:p w14:paraId="74DE1CE5" w14:textId="77777777" w:rsidR="00584EC1" w:rsidRDefault="00584EC1">
            <w:pPr>
              <w:rPr>
                <w:rFonts w:ascii="宋体"/>
                <w:vanish/>
              </w:rPr>
            </w:pPr>
          </w:p>
        </w:tc>
        <w:tc>
          <w:tcPr>
            <w:tcW w:w="0" w:type="auto"/>
            <w:gridSpan w:val="3"/>
            <w:shd w:val="clear" w:color="auto" w:fill="auto"/>
            <w:vAlign w:val="bottom"/>
          </w:tcPr>
          <w:p w14:paraId="74DE1CE6" w14:textId="77777777" w:rsidR="00584EC1" w:rsidRDefault="00584EC1">
            <w:pPr>
              <w:rPr>
                <w:rFonts w:ascii="宋体"/>
                <w:vanish/>
              </w:rPr>
            </w:pPr>
          </w:p>
        </w:tc>
        <w:tc>
          <w:tcPr>
            <w:tcW w:w="0" w:type="auto"/>
            <w:gridSpan w:val="3"/>
            <w:shd w:val="clear" w:color="auto" w:fill="auto"/>
            <w:vAlign w:val="bottom"/>
          </w:tcPr>
          <w:p w14:paraId="74DE1CE7" w14:textId="77777777" w:rsidR="00584EC1" w:rsidRDefault="00584EC1">
            <w:pPr>
              <w:rPr>
                <w:rFonts w:ascii="宋体"/>
                <w:vanish/>
              </w:rPr>
            </w:pPr>
          </w:p>
        </w:tc>
        <w:tc>
          <w:tcPr>
            <w:tcW w:w="0" w:type="auto"/>
            <w:gridSpan w:val="3"/>
            <w:shd w:val="clear" w:color="auto" w:fill="auto"/>
            <w:vAlign w:val="bottom"/>
          </w:tcPr>
          <w:p w14:paraId="74DE1CE8" w14:textId="77777777" w:rsidR="00584EC1" w:rsidRDefault="00584EC1">
            <w:pPr>
              <w:rPr>
                <w:rFonts w:ascii="宋体"/>
                <w:vanish/>
              </w:rPr>
            </w:pPr>
          </w:p>
        </w:tc>
        <w:tc>
          <w:tcPr>
            <w:tcW w:w="0" w:type="auto"/>
            <w:gridSpan w:val="3"/>
            <w:shd w:val="clear" w:color="auto" w:fill="auto"/>
            <w:vAlign w:val="bottom"/>
          </w:tcPr>
          <w:p w14:paraId="74DE1CE9" w14:textId="77777777" w:rsidR="00584EC1" w:rsidRDefault="00584EC1">
            <w:pPr>
              <w:rPr>
                <w:rFonts w:ascii="宋体"/>
                <w:vanish/>
              </w:rPr>
            </w:pPr>
          </w:p>
        </w:tc>
        <w:tc>
          <w:tcPr>
            <w:tcW w:w="0" w:type="auto"/>
            <w:gridSpan w:val="3"/>
            <w:shd w:val="clear" w:color="auto" w:fill="auto"/>
            <w:vAlign w:val="bottom"/>
          </w:tcPr>
          <w:p w14:paraId="74DE1CEA" w14:textId="77777777" w:rsidR="00584EC1" w:rsidRDefault="00584EC1">
            <w:pPr>
              <w:rPr>
                <w:rFonts w:ascii="宋体"/>
                <w:vanish/>
              </w:rPr>
            </w:pPr>
          </w:p>
        </w:tc>
        <w:tc>
          <w:tcPr>
            <w:tcW w:w="0" w:type="auto"/>
            <w:gridSpan w:val="3"/>
            <w:shd w:val="clear" w:color="auto" w:fill="auto"/>
            <w:vAlign w:val="bottom"/>
          </w:tcPr>
          <w:p w14:paraId="74DE1CEB" w14:textId="77777777" w:rsidR="00584EC1" w:rsidRDefault="00584EC1">
            <w:pPr>
              <w:rPr>
                <w:rFonts w:ascii="宋体"/>
                <w:vanish/>
              </w:rPr>
            </w:pPr>
          </w:p>
        </w:tc>
        <w:tc>
          <w:tcPr>
            <w:tcW w:w="0" w:type="auto"/>
            <w:gridSpan w:val="3"/>
            <w:shd w:val="clear" w:color="auto" w:fill="auto"/>
            <w:vAlign w:val="bottom"/>
          </w:tcPr>
          <w:p w14:paraId="74DE1CEC" w14:textId="77777777" w:rsidR="00584EC1" w:rsidRDefault="00584EC1">
            <w:pPr>
              <w:rPr>
                <w:rFonts w:ascii="宋体"/>
                <w:vanish/>
              </w:rPr>
            </w:pPr>
          </w:p>
        </w:tc>
        <w:tc>
          <w:tcPr>
            <w:tcW w:w="0" w:type="auto"/>
            <w:gridSpan w:val="3"/>
            <w:shd w:val="clear" w:color="auto" w:fill="auto"/>
            <w:vAlign w:val="bottom"/>
          </w:tcPr>
          <w:p w14:paraId="74DE1CED" w14:textId="77777777" w:rsidR="00584EC1" w:rsidRDefault="00584EC1">
            <w:pPr>
              <w:rPr>
                <w:rFonts w:ascii="宋体"/>
                <w:vanish/>
              </w:rPr>
            </w:pPr>
          </w:p>
        </w:tc>
        <w:tc>
          <w:tcPr>
            <w:tcW w:w="0" w:type="auto"/>
            <w:gridSpan w:val="3"/>
            <w:shd w:val="clear" w:color="auto" w:fill="auto"/>
            <w:vAlign w:val="bottom"/>
          </w:tcPr>
          <w:p w14:paraId="74DE1CEE" w14:textId="77777777" w:rsidR="00584EC1" w:rsidRDefault="00584EC1">
            <w:pPr>
              <w:rPr>
                <w:rFonts w:ascii="宋体"/>
                <w:vanish/>
              </w:rPr>
            </w:pPr>
          </w:p>
        </w:tc>
        <w:tc>
          <w:tcPr>
            <w:tcW w:w="0" w:type="auto"/>
            <w:gridSpan w:val="3"/>
            <w:shd w:val="clear" w:color="auto" w:fill="auto"/>
            <w:vAlign w:val="bottom"/>
          </w:tcPr>
          <w:p w14:paraId="74DE1CEF" w14:textId="77777777" w:rsidR="00584EC1" w:rsidRDefault="00584EC1">
            <w:pPr>
              <w:rPr>
                <w:rFonts w:ascii="宋体"/>
                <w:vanish/>
              </w:rPr>
            </w:pPr>
          </w:p>
        </w:tc>
        <w:tc>
          <w:tcPr>
            <w:tcW w:w="0" w:type="auto"/>
            <w:gridSpan w:val="3"/>
            <w:shd w:val="clear" w:color="auto" w:fill="auto"/>
            <w:vAlign w:val="bottom"/>
          </w:tcPr>
          <w:p w14:paraId="74DE1CF0" w14:textId="77777777" w:rsidR="00584EC1" w:rsidRDefault="00584EC1">
            <w:pPr>
              <w:rPr>
                <w:rFonts w:ascii="宋体"/>
                <w:vanish/>
              </w:rPr>
            </w:pPr>
          </w:p>
        </w:tc>
        <w:tc>
          <w:tcPr>
            <w:tcW w:w="0" w:type="auto"/>
            <w:gridSpan w:val="3"/>
            <w:shd w:val="clear" w:color="auto" w:fill="auto"/>
            <w:vAlign w:val="bottom"/>
          </w:tcPr>
          <w:p w14:paraId="74DE1CF1" w14:textId="77777777" w:rsidR="00584EC1" w:rsidRDefault="00584EC1">
            <w:pPr>
              <w:rPr>
                <w:rFonts w:ascii="宋体"/>
                <w:vanish/>
              </w:rPr>
            </w:pPr>
          </w:p>
        </w:tc>
      </w:tr>
      <w:tr w:rsidR="00584EC1" w14:paraId="74DE1D07" w14:textId="77777777">
        <w:trPr>
          <w:hidden/>
        </w:trPr>
        <w:tc>
          <w:tcPr>
            <w:tcW w:w="0" w:type="auto"/>
            <w:gridSpan w:val="3"/>
            <w:shd w:val="clear" w:color="auto" w:fill="auto"/>
            <w:vAlign w:val="bottom"/>
          </w:tcPr>
          <w:p w14:paraId="74DE1CF3" w14:textId="77777777" w:rsidR="00584EC1" w:rsidRDefault="00584EC1">
            <w:pPr>
              <w:rPr>
                <w:rFonts w:ascii="宋体"/>
                <w:vanish/>
              </w:rPr>
            </w:pPr>
          </w:p>
        </w:tc>
        <w:tc>
          <w:tcPr>
            <w:tcW w:w="0" w:type="auto"/>
            <w:gridSpan w:val="3"/>
            <w:shd w:val="clear" w:color="auto" w:fill="auto"/>
            <w:vAlign w:val="bottom"/>
          </w:tcPr>
          <w:p w14:paraId="74DE1CF4" w14:textId="77777777" w:rsidR="00584EC1" w:rsidRDefault="00584EC1">
            <w:pPr>
              <w:rPr>
                <w:rFonts w:ascii="宋体"/>
                <w:vanish/>
              </w:rPr>
            </w:pPr>
          </w:p>
        </w:tc>
        <w:tc>
          <w:tcPr>
            <w:tcW w:w="0" w:type="auto"/>
            <w:gridSpan w:val="3"/>
            <w:shd w:val="clear" w:color="auto" w:fill="auto"/>
            <w:vAlign w:val="bottom"/>
          </w:tcPr>
          <w:p w14:paraId="74DE1CF5" w14:textId="77777777" w:rsidR="00584EC1" w:rsidRDefault="00584EC1">
            <w:pPr>
              <w:rPr>
                <w:rFonts w:ascii="宋体"/>
                <w:vanish/>
              </w:rPr>
            </w:pPr>
          </w:p>
        </w:tc>
        <w:tc>
          <w:tcPr>
            <w:tcW w:w="0" w:type="auto"/>
            <w:gridSpan w:val="3"/>
            <w:shd w:val="clear" w:color="auto" w:fill="auto"/>
            <w:vAlign w:val="bottom"/>
          </w:tcPr>
          <w:p w14:paraId="74DE1CF6" w14:textId="77777777" w:rsidR="00584EC1" w:rsidRDefault="00584EC1">
            <w:pPr>
              <w:rPr>
                <w:rFonts w:ascii="宋体"/>
                <w:vanish/>
              </w:rPr>
            </w:pPr>
          </w:p>
        </w:tc>
        <w:tc>
          <w:tcPr>
            <w:tcW w:w="0" w:type="auto"/>
            <w:gridSpan w:val="3"/>
            <w:shd w:val="clear" w:color="auto" w:fill="auto"/>
            <w:vAlign w:val="bottom"/>
          </w:tcPr>
          <w:p w14:paraId="74DE1CF7" w14:textId="77777777" w:rsidR="00584EC1" w:rsidRDefault="00584EC1">
            <w:pPr>
              <w:rPr>
                <w:rFonts w:ascii="宋体"/>
                <w:vanish/>
              </w:rPr>
            </w:pPr>
          </w:p>
        </w:tc>
        <w:tc>
          <w:tcPr>
            <w:tcW w:w="0" w:type="auto"/>
            <w:gridSpan w:val="3"/>
            <w:shd w:val="clear" w:color="auto" w:fill="auto"/>
            <w:vAlign w:val="bottom"/>
          </w:tcPr>
          <w:p w14:paraId="74DE1CF8" w14:textId="77777777" w:rsidR="00584EC1" w:rsidRDefault="00584EC1">
            <w:pPr>
              <w:rPr>
                <w:rFonts w:ascii="宋体"/>
                <w:vanish/>
              </w:rPr>
            </w:pPr>
          </w:p>
        </w:tc>
        <w:tc>
          <w:tcPr>
            <w:tcW w:w="0" w:type="auto"/>
            <w:gridSpan w:val="3"/>
            <w:shd w:val="clear" w:color="auto" w:fill="auto"/>
            <w:vAlign w:val="bottom"/>
          </w:tcPr>
          <w:p w14:paraId="74DE1CF9" w14:textId="77777777" w:rsidR="00584EC1" w:rsidRDefault="00584EC1">
            <w:pPr>
              <w:rPr>
                <w:rFonts w:ascii="宋体"/>
                <w:vanish/>
              </w:rPr>
            </w:pPr>
          </w:p>
        </w:tc>
        <w:tc>
          <w:tcPr>
            <w:tcW w:w="0" w:type="auto"/>
            <w:gridSpan w:val="3"/>
            <w:shd w:val="clear" w:color="auto" w:fill="auto"/>
            <w:vAlign w:val="bottom"/>
          </w:tcPr>
          <w:p w14:paraId="74DE1CFA" w14:textId="77777777" w:rsidR="00584EC1" w:rsidRDefault="00584EC1">
            <w:pPr>
              <w:rPr>
                <w:rFonts w:ascii="宋体"/>
                <w:vanish/>
              </w:rPr>
            </w:pPr>
          </w:p>
        </w:tc>
        <w:tc>
          <w:tcPr>
            <w:tcW w:w="0" w:type="auto"/>
            <w:gridSpan w:val="3"/>
            <w:shd w:val="clear" w:color="auto" w:fill="auto"/>
            <w:vAlign w:val="bottom"/>
          </w:tcPr>
          <w:p w14:paraId="74DE1CFB" w14:textId="77777777" w:rsidR="00584EC1" w:rsidRDefault="00584EC1">
            <w:pPr>
              <w:rPr>
                <w:rFonts w:ascii="宋体"/>
                <w:vanish/>
              </w:rPr>
            </w:pPr>
          </w:p>
        </w:tc>
        <w:tc>
          <w:tcPr>
            <w:tcW w:w="0" w:type="auto"/>
            <w:gridSpan w:val="3"/>
            <w:shd w:val="clear" w:color="auto" w:fill="auto"/>
            <w:vAlign w:val="bottom"/>
          </w:tcPr>
          <w:p w14:paraId="74DE1CFC" w14:textId="77777777" w:rsidR="00584EC1" w:rsidRDefault="00584EC1">
            <w:pPr>
              <w:rPr>
                <w:rFonts w:ascii="宋体"/>
                <w:vanish/>
              </w:rPr>
            </w:pPr>
          </w:p>
        </w:tc>
        <w:tc>
          <w:tcPr>
            <w:tcW w:w="0" w:type="auto"/>
            <w:gridSpan w:val="3"/>
            <w:shd w:val="clear" w:color="auto" w:fill="auto"/>
            <w:vAlign w:val="bottom"/>
          </w:tcPr>
          <w:p w14:paraId="74DE1CFD" w14:textId="77777777" w:rsidR="00584EC1" w:rsidRDefault="00584EC1">
            <w:pPr>
              <w:rPr>
                <w:rFonts w:ascii="宋体"/>
                <w:vanish/>
              </w:rPr>
            </w:pPr>
          </w:p>
        </w:tc>
        <w:tc>
          <w:tcPr>
            <w:tcW w:w="0" w:type="auto"/>
            <w:gridSpan w:val="3"/>
            <w:shd w:val="clear" w:color="auto" w:fill="auto"/>
            <w:vAlign w:val="bottom"/>
          </w:tcPr>
          <w:p w14:paraId="74DE1CFE" w14:textId="77777777" w:rsidR="00584EC1" w:rsidRDefault="00584EC1">
            <w:pPr>
              <w:rPr>
                <w:rFonts w:ascii="宋体"/>
                <w:vanish/>
              </w:rPr>
            </w:pPr>
          </w:p>
        </w:tc>
        <w:tc>
          <w:tcPr>
            <w:tcW w:w="0" w:type="auto"/>
            <w:gridSpan w:val="3"/>
            <w:shd w:val="clear" w:color="auto" w:fill="auto"/>
            <w:vAlign w:val="bottom"/>
          </w:tcPr>
          <w:p w14:paraId="74DE1CFF" w14:textId="77777777" w:rsidR="00584EC1" w:rsidRDefault="00584EC1">
            <w:pPr>
              <w:rPr>
                <w:rFonts w:ascii="宋体"/>
                <w:vanish/>
              </w:rPr>
            </w:pPr>
          </w:p>
        </w:tc>
        <w:tc>
          <w:tcPr>
            <w:tcW w:w="0" w:type="auto"/>
            <w:gridSpan w:val="3"/>
            <w:shd w:val="clear" w:color="auto" w:fill="auto"/>
            <w:vAlign w:val="bottom"/>
          </w:tcPr>
          <w:p w14:paraId="74DE1D00" w14:textId="77777777" w:rsidR="00584EC1" w:rsidRDefault="00584EC1">
            <w:pPr>
              <w:rPr>
                <w:rFonts w:ascii="宋体"/>
                <w:vanish/>
              </w:rPr>
            </w:pPr>
          </w:p>
        </w:tc>
        <w:tc>
          <w:tcPr>
            <w:tcW w:w="0" w:type="auto"/>
            <w:gridSpan w:val="3"/>
            <w:shd w:val="clear" w:color="auto" w:fill="auto"/>
            <w:vAlign w:val="bottom"/>
          </w:tcPr>
          <w:p w14:paraId="74DE1D01" w14:textId="77777777" w:rsidR="00584EC1" w:rsidRDefault="00584EC1">
            <w:pPr>
              <w:rPr>
                <w:rFonts w:ascii="宋体"/>
                <w:vanish/>
              </w:rPr>
            </w:pPr>
          </w:p>
        </w:tc>
        <w:tc>
          <w:tcPr>
            <w:tcW w:w="0" w:type="auto"/>
            <w:gridSpan w:val="3"/>
            <w:shd w:val="clear" w:color="auto" w:fill="auto"/>
            <w:vAlign w:val="bottom"/>
          </w:tcPr>
          <w:p w14:paraId="74DE1D02" w14:textId="77777777" w:rsidR="00584EC1" w:rsidRDefault="00584EC1">
            <w:pPr>
              <w:rPr>
                <w:rFonts w:ascii="宋体"/>
                <w:vanish/>
              </w:rPr>
            </w:pPr>
          </w:p>
        </w:tc>
        <w:tc>
          <w:tcPr>
            <w:tcW w:w="0" w:type="auto"/>
            <w:gridSpan w:val="3"/>
            <w:shd w:val="clear" w:color="auto" w:fill="auto"/>
            <w:vAlign w:val="bottom"/>
          </w:tcPr>
          <w:p w14:paraId="74DE1D03" w14:textId="77777777" w:rsidR="00584EC1" w:rsidRDefault="00584EC1">
            <w:pPr>
              <w:rPr>
                <w:rFonts w:ascii="宋体"/>
                <w:vanish/>
              </w:rPr>
            </w:pPr>
          </w:p>
        </w:tc>
        <w:tc>
          <w:tcPr>
            <w:tcW w:w="0" w:type="auto"/>
            <w:gridSpan w:val="3"/>
            <w:shd w:val="clear" w:color="auto" w:fill="auto"/>
            <w:vAlign w:val="bottom"/>
          </w:tcPr>
          <w:p w14:paraId="74DE1D04" w14:textId="77777777" w:rsidR="00584EC1" w:rsidRDefault="00584EC1">
            <w:pPr>
              <w:rPr>
                <w:rFonts w:ascii="宋体"/>
                <w:vanish/>
              </w:rPr>
            </w:pPr>
          </w:p>
        </w:tc>
        <w:tc>
          <w:tcPr>
            <w:tcW w:w="0" w:type="auto"/>
            <w:gridSpan w:val="3"/>
            <w:shd w:val="clear" w:color="auto" w:fill="auto"/>
            <w:vAlign w:val="bottom"/>
          </w:tcPr>
          <w:p w14:paraId="74DE1D05" w14:textId="77777777" w:rsidR="00584EC1" w:rsidRDefault="00584EC1">
            <w:pPr>
              <w:rPr>
                <w:rFonts w:ascii="宋体"/>
                <w:vanish/>
              </w:rPr>
            </w:pPr>
          </w:p>
        </w:tc>
        <w:tc>
          <w:tcPr>
            <w:tcW w:w="0" w:type="auto"/>
            <w:gridSpan w:val="3"/>
            <w:shd w:val="clear" w:color="auto" w:fill="auto"/>
            <w:vAlign w:val="bottom"/>
          </w:tcPr>
          <w:p w14:paraId="74DE1D06" w14:textId="77777777" w:rsidR="00584EC1" w:rsidRDefault="00584EC1">
            <w:pPr>
              <w:rPr>
                <w:rFonts w:ascii="宋体"/>
                <w:vanish/>
              </w:rPr>
            </w:pPr>
          </w:p>
        </w:tc>
      </w:tr>
      <w:tr w:rsidR="00584EC1" w14:paraId="74DE1D1C" w14:textId="77777777">
        <w:trPr>
          <w:hidden/>
        </w:trPr>
        <w:tc>
          <w:tcPr>
            <w:tcW w:w="0" w:type="auto"/>
            <w:gridSpan w:val="3"/>
            <w:shd w:val="clear" w:color="auto" w:fill="auto"/>
            <w:vAlign w:val="bottom"/>
          </w:tcPr>
          <w:p w14:paraId="74DE1D08" w14:textId="77777777" w:rsidR="00584EC1" w:rsidRDefault="00584EC1">
            <w:pPr>
              <w:rPr>
                <w:rFonts w:ascii="宋体"/>
                <w:vanish/>
              </w:rPr>
            </w:pPr>
          </w:p>
        </w:tc>
        <w:tc>
          <w:tcPr>
            <w:tcW w:w="0" w:type="auto"/>
            <w:gridSpan w:val="3"/>
            <w:shd w:val="clear" w:color="auto" w:fill="auto"/>
            <w:vAlign w:val="bottom"/>
          </w:tcPr>
          <w:p w14:paraId="74DE1D09" w14:textId="77777777" w:rsidR="00584EC1" w:rsidRDefault="00584EC1">
            <w:pPr>
              <w:rPr>
                <w:rFonts w:ascii="宋体"/>
                <w:vanish/>
              </w:rPr>
            </w:pPr>
          </w:p>
        </w:tc>
        <w:tc>
          <w:tcPr>
            <w:tcW w:w="0" w:type="auto"/>
            <w:gridSpan w:val="3"/>
            <w:shd w:val="clear" w:color="auto" w:fill="auto"/>
            <w:vAlign w:val="bottom"/>
          </w:tcPr>
          <w:p w14:paraId="74DE1D0A" w14:textId="77777777" w:rsidR="00584EC1" w:rsidRDefault="00584EC1">
            <w:pPr>
              <w:rPr>
                <w:rFonts w:ascii="宋体"/>
                <w:vanish/>
              </w:rPr>
            </w:pPr>
          </w:p>
        </w:tc>
        <w:tc>
          <w:tcPr>
            <w:tcW w:w="0" w:type="auto"/>
            <w:gridSpan w:val="3"/>
            <w:shd w:val="clear" w:color="auto" w:fill="auto"/>
            <w:vAlign w:val="bottom"/>
          </w:tcPr>
          <w:p w14:paraId="74DE1D0B" w14:textId="77777777" w:rsidR="00584EC1" w:rsidRDefault="00584EC1">
            <w:pPr>
              <w:rPr>
                <w:rFonts w:ascii="宋体"/>
                <w:vanish/>
              </w:rPr>
            </w:pPr>
          </w:p>
        </w:tc>
        <w:tc>
          <w:tcPr>
            <w:tcW w:w="0" w:type="auto"/>
            <w:gridSpan w:val="3"/>
            <w:shd w:val="clear" w:color="auto" w:fill="auto"/>
            <w:vAlign w:val="bottom"/>
          </w:tcPr>
          <w:p w14:paraId="74DE1D0C" w14:textId="77777777" w:rsidR="00584EC1" w:rsidRDefault="00584EC1">
            <w:pPr>
              <w:rPr>
                <w:rFonts w:ascii="宋体"/>
                <w:vanish/>
              </w:rPr>
            </w:pPr>
          </w:p>
        </w:tc>
        <w:tc>
          <w:tcPr>
            <w:tcW w:w="0" w:type="auto"/>
            <w:gridSpan w:val="3"/>
            <w:shd w:val="clear" w:color="auto" w:fill="auto"/>
            <w:vAlign w:val="bottom"/>
          </w:tcPr>
          <w:p w14:paraId="74DE1D0D" w14:textId="77777777" w:rsidR="00584EC1" w:rsidRDefault="00584EC1">
            <w:pPr>
              <w:rPr>
                <w:rFonts w:ascii="宋体"/>
                <w:vanish/>
              </w:rPr>
            </w:pPr>
          </w:p>
        </w:tc>
        <w:tc>
          <w:tcPr>
            <w:tcW w:w="0" w:type="auto"/>
            <w:gridSpan w:val="3"/>
            <w:shd w:val="clear" w:color="auto" w:fill="auto"/>
            <w:vAlign w:val="bottom"/>
          </w:tcPr>
          <w:p w14:paraId="74DE1D0E" w14:textId="77777777" w:rsidR="00584EC1" w:rsidRDefault="00584EC1">
            <w:pPr>
              <w:rPr>
                <w:rFonts w:ascii="宋体"/>
                <w:vanish/>
              </w:rPr>
            </w:pPr>
          </w:p>
        </w:tc>
        <w:tc>
          <w:tcPr>
            <w:tcW w:w="0" w:type="auto"/>
            <w:gridSpan w:val="3"/>
            <w:shd w:val="clear" w:color="auto" w:fill="auto"/>
            <w:vAlign w:val="bottom"/>
          </w:tcPr>
          <w:p w14:paraId="74DE1D0F" w14:textId="77777777" w:rsidR="00584EC1" w:rsidRDefault="00584EC1">
            <w:pPr>
              <w:rPr>
                <w:rFonts w:ascii="宋体"/>
                <w:vanish/>
              </w:rPr>
            </w:pPr>
          </w:p>
        </w:tc>
        <w:tc>
          <w:tcPr>
            <w:tcW w:w="0" w:type="auto"/>
            <w:gridSpan w:val="3"/>
            <w:shd w:val="clear" w:color="auto" w:fill="auto"/>
            <w:vAlign w:val="bottom"/>
          </w:tcPr>
          <w:p w14:paraId="74DE1D10" w14:textId="77777777" w:rsidR="00584EC1" w:rsidRDefault="00584EC1">
            <w:pPr>
              <w:rPr>
                <w:rFonts w:ascii="宋体"/>
                <w:vanish/>
              </w:rPr>
            </w:pPr>
          </w:p>
        </w:tc>
        <w:tc>
          <w:tcPr>
            <w:tcW w:w="0" w:type="auto"/>
            <w:gridSpan w:val="3"/>
            <w:shd w:val="clear" w:color="auto" w:fill="auto"/>
            <w:vAlign w:val="bottom"/>
          </w:tcPr>
          <w:p w14:paraId="74DE1D11" w14:textId="77777777" w:rsidR="00584EC1" w:rsidRDefault="00584EC1">
            <w:pPr>
              <w:rPr>
                <w:rFonts w:ascii="宋体"/>
                <w:vanish/>
              </w:rPr>
            </w:pPr>
          </w:p>
        </w:tc>
        <w:tc>
          <w:tcPr>
            <w:tcW w:w="0" w:type="auto"/>
            <w:gridSpan w:val="3"/>
            <w:shd w:val="clear" w:color="auto" w:fill="auto"/>
            <w:vAlign w:val="bottom"/>
          </w:tcPr>
          <w:p w14:paraId="74DE1D12" w14:textId="77777777" w:rsidR="00584EC1" w:rsidRDefault="00584EC1">
            <w:pPr>
              <w:rPr>
                <w:rFonts w:ascii="宋体"/>
                <w:vanish/>
              </w:rPr>
            </w:pPr>
          </w:p>
        </w:tc>
        <w:tc>
          <w:tcPr>
            <w:tcW w:w="0" w:type="auto"/>
            <w:gridSpan w:val="3"/>
            <w:shd w:val="clear" w:color="auto" w:fill="auto"/>
            <w:vAlign w:val="bottom"/>
          </w:tcPr>
          <w:p w14:paraId="74DE1D13" w14:textId="77777777" w:rsidR="00584EC1" w:rsidRDefault="00584EC1">
            <w:pPr>
              <w:rPr>
                <w:rFonts w:ascii="宋体"/>
                <w:vanish/>
              </w:rPr>
            </w:pPr>
          </w:p>
        </w:tc>
        <w:tc>
          <w:tcPr>
            <w:tcW w:w="0" w:type="auto"/>
            <w:gridSpan w:val="3"/>
            <w:shd w:val="clear" w:color="auto" w:fill="auto"/>
            <w:vAlign w:val="bottom"/>
          </w:tcPr>
          <w:p w14:paraId="74DE1D14" w14:textId="77777777" w:rsidR="00584EC1" w:rsidRDefault="00584EC1">
            <w:pPr>
              <w:rPr>
                <w:rFonts w:ascii="宋体"/>
                <w:vanish/>
              </w:rPr>
            </w:pPr>
          </w:p>
        </w:tc>
        <w:tc>
          <w:tcPr>
            <w:tcW w:w="0" w:type="auto"/>
            <w:gridSpan w:val="3"/>
            <w:shd w:val="clear" w:color="auto" w:fill="auto"/>
            <w:vAlign w:val="bottom"/>
          </w:tcPr>
          <w:p w14:paraId="74DE1D15" w14:textId="77777777" w:rsidR="00584EC1" w:rsidRDefault="00584EC1">
            <w:pPr>
              <w:rPr>
                <w:rFonts w:ascii="宋体"/>
                <w:vanish/>
              </w:rPr>
            </w:pPr>
          </w:p>
        </w:tc>
        <w:tc>
          <w:tcPr>
            <w:tcW w:w="0" w:type="auto"/>
            <w:gridSpan w:val="3"/>
            <w:shd w:val="clear" w:color="auto" w:fill="auto"/>
            <w:vAlign w:val="bottom"/>
          </w:tcPr>
          <w:p w14:paraId="74DE1D16" w14:textId="77777777" w:rsidR="00584EC1" w:rsidRDefault="00584EC1">
            <w:pPr>
              <w:rPr>
                <w:rFonts w:ascii="宋体"/>
                <w:vanish/>
              </w:rPr>
            </w:pPr>
          </w:p>
        </w:tc>
        <w:tc>
          <w:tcPr>
            <w:tcW w:w="0" w:type="auto"/>
            <w:gridSpan w:val="3"/>
            <w:shd w:val="clear" w:color="auto" w:fill="auto"/>
            <w:vAlign w:val="bottom"/>
          </w:tcPr>
          <w:p w14:paraId="74DE1D17" w14:textId="77777777" w:rsidR="00584EC1" w:rsidRDefault="00584EC1">
            <w:pPr>
              <w:rPr>
                <w:rFonts w:ascii="宋体"/>
                <w:vanish/>
              </w:rPr>
            </w:pPr>
          </w:p>
        </w:tc>
        <w:tc>
          <w:tcPr>
            <w:tcW w:w="0" w:type="auto"/>
            <w:gridSpan w:val="3"/>
            <w:shd w:val="clear" w:color="auto" w:fill="auto"/>
            <w:vAlign w:val="bottom"/>
          </w:tcPr>
          <w:p w14:paraId="74DE1D18" w14:textId="77777777" w:rsidR="00584EC1" w:rsidRDefault="00584EC1">
            <w:pPr>
              <w:rPr>
                <w:rFonts w:ascii="宋体"/>
                <w:vanish/>
              </w:rPr>
            </w:pPr>
          </w:p>
        </w:tc>
        <w:tc>
          <w:tcPr>
            <w:tcW w:w="0" w:type="auto"/>
            <w:gridSpan w:val="3"/>
            <w:shd w:val="clear" w:color="auto" w:fill="auto"/>
            <w:vAlign w:val="bottom"/>
          </w:tcPr>
          <w:p w14:paraId="74DE1D19" w14:textId="77777777" w:rsidR="00584EC1" w:rsidRDefault="00584EC1">
            <w:pPr>
              <w:rPr>
                <w:rFonts w:ascii="宋体"/>
                <w:vanish/>
              </w:rPr>
            </w:pPr>
          </w:p>
        </w:tc>
        <w:tc>
          <w:tcPr>
            <w:tcW w:w="0" w:type="auto"/>
            <w:gridSpan w:val="3"/>
            <w:shd w:val="clear" w:color="auto" w:fill="auto"/>
            <w:vAlign w:val="bottom"/>
          </w:tcPr>
          <w:p w14:paraId="74DE1D1A" w14:textId="77777777" w:rsidR="00584EC1" w:rsidRDefault="00584EC1">
            <w:pPr>
              <w:rPr>
                <w:rFonts w:ascii="宋体"/>
                <w:vanish/>
              </w:rPr>
            </w:pPr>
          </w:p>
        </w:tc>
        <w:tc>
          <w:tcPr>
            <w:tcW w:w="0" w:type="auto"/>
            <w:gridSpan w:val="3"/>
            <w:shd w:val="clear" w:color="auto" w:fill="auto"/>
            <w:vAlign w:val="bottom"/>
          </w:tcPr>
          <w:p w14:paraId="74DE1D1B" w14:textId="77777777" w:rsidR="00584EC1" w:rsidRDefault="00584EC1">
            <w:pPr>
              <w:rPr>
                <w:rFonts w:ascii="宋体"/>
                <w:vanish/>
              </w:rPr>
            </w:pPr>
          </w:p>
        </w:tc>
      </w:tr>
      <w:tr w:rsidR="00584EC1" w14:paraId="74DE1D31" w14:textId="77777777">
        <w:trPr>
          <w:hidden/>
        </w:trPr>
        <w:tc>
          <w:tcPr>
            <w:tcW w:w="0" w:type="auto"/>
            <w:gridSpan w:val="3"/>
            <w:shd w:val="clear" w:color="auto" w:fill="auto"/>
            <w:vAlign w:val="bottom"/>
          </w:tcPr>
          <w:p w14:paraId="74DE1D1D" w14:textId="77777777" w:rsidR="00584EC1" w:rsidRDefault="00584EC1">
            <w:pPr>
              <w:rPr>
                <w:rFonts w:ascii="宋体"/>
                <w:vanish/>
              </w:rPr>
            </w:pPr>
          </w:p>
        </w:tc>
        <w:tc>
          <w:tcPr>
            <w:tcW w:w="0" w:type="auto"/>
            <w:gridSpan w:val="3"/>
            <w:shd w:val="clear" w:color="auto" w:fill="auto"/>
            <w:vAlign w:val="bottom"/>
          </w:tcPr>
          <w:p w14:paraId="74DE1D1E" w14:textId="77777777" w:rsidR="00584EC1" w:rsidRDefault="00584EC1">
            <w:pPr>
              <w:rPr>
                <w:rFonts w:ascii="宋体"/>
                <w:vanish/>
              </w:rPr>
            </w:pPr>
          </w:p>
        </w:tc>
        <w:tc>
          <w:tcPr>
            <w:tcW w:w="0" w:type="auto"/>
            <w:gridSpan w:val="3"/>
            <w:shd w:val="clear" w:color="auto" w:fill="auto"/>
            <w:vAlign w:val="bottom"/>
          </w:tcPr>
          <w:p w14:paraId="74DE1D1F" w14:textId="77777777" w:rsidR="00584EC1" w:rsidRDefault="00584EC1">
            <w:pPr>
              <w:rPr>
                <w:rFonts w:ascii="宋体"/>
                <w:vanish/>
              </w:rPr>
            </w:pPr>
          </w:p>
        </w:tc>
        <w:tc>
          <w:tcPr>
            <w:tcW w:w="0" w:type="auto"/>
            <w:gridSpan w:val="3"/>
            <w:shd w:val="clear" w:color="auto" w:fill="auto"/>
            <w:vAlign w:val="bottom"/>
          </w:tcPr>
          <w:p w14:paraId="74DE1D20" w14:textId="77777777" w:rsidR="00584EC1" w:rsidRDefault="00584EC1">
            <w:pPr>
              <w:rPr>
                <w:rFonts w:ascii="宋体"/>
                <w:vanish/>
              </w:rPr>
            </w:pPr>
          </w:p>
        </w:tc>
        <w:tc>
          <w:tcPr>
            <w:tcW w:w="0" w:type="auto"/>
            <w:gridSpan w:val="3"/>
            <w:shd w:val="clear" w:color="auto" w:fill="auto"/>
            <w:vAlign w:val="bottom"/>
          </w:tcPr>
          <w:p w14:paraId="74DE1D21" w14:textId="77777777" w:rsidR="00584EC1" w:rsidRDefault="00584EC1">
            <w:pPr>
              <w:rPr>
                <w:rFonts w:ascii="宋体"/>
                <w:vanish/>
              </w:rPr>
            </w:pPr>
          </w:p>
        </w:tc>
        <w:tc>
          <w:tcPr>
            <w:tcW w:w="0" w:type="auto"/>
            <w:gridSpan w:val="3"/>
            <w:shd w:val="clear" w:color="auto" w:fill="auto"/>
            <w:vAlign w:val="bottom"/>
          </w:tcPr>
          <w:p w14:paraId="74DE1D22" w14:textId="77777777" w:rsidR="00584EC1" w:rsidRDefault="00584EC1">
            <w:pPr>
              <w:rPr>
                <w:rFonts w:ascii="宋体"/>
                <w:vanish/>
              </w:rPr>
            </w:pPr>
          </w:p>
        </w:tc>
        <w:tc>
          <w:tcPr>
            <w:tcW w:w="0" w:type="auto"/>
            <w:gridSpan w:val="3"/>
            <w:shd w:val="clear" w:color="auto" w:fill="auto"/>
            <w:vAlign w:val="bottom"/>
          </w:tcPr>
          <w:p w14:paraId="74DE1D23" w14:textId="77777777" w:rsidR="00584EC1" w:rsidRDefault="00584EC1">
            <w:pPr>
              <w:rPr>
                <w:rFonts w:ascii="宋体"/>
                <w:vanish/>
              </w:rPr>
            </w:pPr>
          </w:p>
        </w:tc>
        <w:tc>
          <w:tcPr>
            <w:tcW w:w="0" w:type="auto"/>
            <w:gridSpan w:val="3"/>
            <w:shd w:val="clear" w:color="auto" w:fill="auto"/>
            <w:vAlign w:val="bottom"/>
          </w:tcPr>
          <w:p w14:paraId="74DE1D24" w14:textId="77777777" w:rsidR="00584EC1" w:rsidRDefault="00584EC1">
            <w:pPr>
              <w:rPr>
                <w:rFonts w:ascii="宋体"/>
                <w:vanish/>
              </w:rPr>
            </w:pPr>
          </w:p>
        </w:tc>
        <w:tc>
          <w:tcPr>
            <w:tcW w:w="0" w:type="auto"/>
            <w:gridSpan w:val="3"/>
            <w:shd w:val="clear" w:color="auto" w:fill="auto"/>
            <w:vAlign w:val="bottom"/>
          </w:tcPr>
          <w:p w14:paraId="74DE1D25" w14:textId="77777777" w:rsidR="00584EC1" w:rsidRDefault="00584EC1">
            <w:pPr>
              <w:rPr>
                <w:rFonts w:ascii="宋体"/>
                <w:vanish/>
              </w:rPr>
            </w:pPr>
          </w:p>
        </w:tc>
        <w:tc>
          <w:tcPr>
            <w:tcW w:w="0" w:type="auto"/>
            <w:gridSpan w:val="3"/>
            <w:shd w:val="clear" w:color="auto" w:fill="auto"/>
            <w:vAlign w:val="bottom"/>
          </w:tcPr>
          <w:p w14:paraId="74DE1D26" w14:textId="77777777" w:rsidR="00584EC1" w:rsidRDefault="00584EC1">
            <w:pPr>
              <w:rPr>
                <w:rFonts w:ascii="宋体"/>
                <w:vanish/>
              </w:rPr>
            </w:pPr>
          </w:p>
        </w:tc>
        <w:tc>
          <w:tcPr>
            <w:tcW w:w="0" w:type="auto"/>
            <w:gridSpan w:val="3"/>
            <w:shd w:val="clear" w:color="auto" w:fill="auto"/>
            <w:vAlign w:val="bottom"/>
          </w:tcPr>
          <w:p w14:paraId="74DE1D27" w14:textId="77777777" w:rsidR="00584EC1" w:rsidRDefault="00584EC1">
            <w:pPr>
              <w:rPr>
                <w:rFonts w:ascii="宋体"/>
                <w:vanish/>
              </w:rPr>
            </w:pPr>
          </w:p>
        </w:tc>
        <w:tc>
          <w:tcPr>
            <w:tcW w:w="0" w:type="auto"/>
            <w:gridSpan w:val="3"/>
            <w:shd w:val="clear" w:color="auto" w:fill="auto"/>
            <w:vAlign w:val="bottom"/>
          </w:tcPr>
          <w:p w14:paraId="74DE1D28" w14:textId="77777777" w:rsidR="00584EC1" w:rsidRDefault="00584EC1">
            <w:pPr>
              <w:rPr>
                <w:rFonts w:ascii="宋体"/>
                <w:vanish/>
              </w:rPr>
            </w:pPr>
          </w:p>
        </w:tc>
        <w:tc>
          <w:tcPr>
            <w:tcW w:w="0" w:type="auto"/>
            <w:gridSpan w:val="3"/>
            <w:shd w:val="clear" w:color="auto" w:fill="auto"/>
            <w:vAlign w:val="bottom"/>
          </w:tcPr>
          <w:p w14:paraId="74DE1D29" w14:textId="77777777" w:rsidR="00584EC1" w:rsidRDefault="00584EC1">
            <w:pPr>
              <w:rPr>
                <w:rFonts w:ascii="宋体"/>
                <w:vanish/>
              </w:rPr>
            </w:pPr>
          </w:p>
        </w:tc>
        <w:tc>
          <w:tcPr>
            <w:tcW w:w="0" w:type="auto"/>
            <w:gridSpan w:val="3"/>
            <w:shd w:val="clear" w:color="auto" w:fill="auto"/>
            <w:vAlign w:val="bottom"/>
          </w:tcPr>
          <w:p w14:paraId="74DE1D2A" w14:textId="77777777" w:rsidR="00584EC1" w:rsidRDefault="00584EC1">
            <w:pPr>
              <w:rPr>
                <w:rFonts w:ascii="宋体"/>
                <w:vanish/>
              </w:rPr>
            </w:pPr>
          </w:p>
        </w:tc>
        <w:tc>
          <w:tcPr>
            <w:tcW w:w="0" w:type="auto"/>
            <w:gridSpan w:val="3"/>
            <w:shd w:val="clear" w:color="auto" w:fill="auto"/>
            <w:vAlign w:val="bottom"/>
          </w:tcPr>
          <w:p w14:paraId="74DE1D2B" w14:textId="77777777" w:rsidR="00584EC1" w:rsidRDefault="00584EC1">
            <w:pPr>
              <w:rPr>
                <w:rFonts w:ascii="宋体"/>
                <w:vanish/>
              </w:rPr>
            </w:pPr>
          </w:p>
        </w:tc>
        <w:tc>
          <w:tcPr>
            <w:tcW w:w="0" w:type="auto"/>
            <w:gridSpan w:val="3"/>
            <w:shd w:val="clear" w:color="auto" w:fill="auto"/>
            <w:vAlign w:val="bottom"/>
          </w:tcPr>
          <w:p w14:paraId="74DE1D2C" w14:textId="77777777" w:rsidR="00584EC1" w:rsidRDefault="00584EC1">
            <w:pPr>
              <w:rPr>
                <w:rFonts w:ascii="宋体"/>
                <w:vanish/>
              </w:rPr>
            </w:pPr>
          </w:p>
        </w:tc>
        <w:tc>
          <w:tcPr>
            <w:tcW w:w="0" w:type="auto"/>
            <w:gridSpan w:val="3"/>
            <w:shd w:val="clear" w:color="auto" w:fill="auto"/>
            <w:vAlign w:val="bottom"/>
          </w:tcPr>
          <w:p w14:paraId="74DE1D2D" w14:textId="77777777" w:rsidR="00584EC1" w:rsidRDefault="00584EC1">
            <w:pPr>
              <w:rPr>
                <w:rFonts w:ascii="宋体"/>
                <w:vanish/>
              </w:rPr>
            </w:pPr>
          </w:p>
        </w:tc>
        <w:tc>
          <w:tcPr>
            <w:tcW w:w="0" w:type="auto"/>
            <w:gridSpan w:val="3"/>
            <w:shd w:val="clear" w:color="auto" w:fill="auto"/>
            <w:vAlign w:val="bottom"/>
          </w:tcPr>
          <w:p w14:paraId="74DE1D2E" w14:textId="77777777" w:rsidR="00584EC1" w:rsidRDefault="00584EC1">
            <w:pPr>
              <w:rPr>
                <w:rFonts w:ascii="宋体"/>
                <w:vanish/>
              </w:rPr>
            </w:pPr>
          </w:p>
        </w:tc>
        <w:tc>
          <w:tcPr>
            <w:tcW w:w="0" w:type="auto"/>
            <w:gridSpan w:val="3"/>
            <w:shd w:val="clear" w:color="auto" w:fill="auto"/>
            <w:vAlign w:val="bottom"/>
          </w:tcPr>
          <w:p w14:paraId="74DE1D2F" w14:textId="77777777" w:rsidR="00584EC1" w:rsidRDefault="00584EC1">
            <w:pPr>
              <w:rPr>
                <w:rFonts w:ascii="宋体"/>
                <w:vanish/>
              </w:rPr>
            </w:pPr>
          </w:p>
        </w:tc>
        <w:tc>
          <w:tcPr>
            <w:tcW w:w="0" w:type="auto"/>
            <w:gridSpan w:val="3"/>
            <w:shd w:val="clear" w:color="auto" w:fill="auto"/>
            <w:vAlign w:val="bottom"/>
          </w:tcPr>
          <w:p w14:paraId="74DE1D30" w14:textId="77777777" w:rsidR="00584EC1" w:rsidRDefault="00584EC1">
            <w:pPr>
              <w:rPr>
                <w:rFonts w:ascii="宋体"/>
                <w:vanish/>
              </w:rPr>
            </w:pPr>
          </w:p>
        </w:tc>
      </w:tr>
      <w:tr w:rsidR="00584EC1" w14:paraId="74DE1D46" w14:textId="77777777">
        <w:trPr>
          <w:hidden/>
        </w:trPr>
        <w:tc>
          <w:tcPr>
            <w:tcW w:w="0" w:type="auto"/>
            <w:gridSpan w:val="3"/>
            <w:shd w:val="clear" w:color="auto" w:fill="auto"/>
            <w:vAlign w:val="bottom"/>
          </w:tcPr>
          <w:p w14:paraId="74DE1D32" w14:textId="77777777" w:rsidR="00584EC1" w:rsidRDefault="00584EC1">
            <w:pPr>
              <w:rPr>
                <w:rFonts w:ascii="宋体"/>
                <w:vanish/>
              </w:rPr>
            </w:pPr>
          </w:p>
        </w:tc>
        <w:tc>
          <w:tcPr>
            <w:tcW w:w="0" w:type="auto"/>
            <w:gridSpan w:val="3"/>
            <w:shd w:val="clear" w:color="auto" w:fill="auto"/>
            <w:vAlign w:val="bottom"/>
          </w:tcPr>
          <w:p w14:paraId="74DE1D33" w14:textId="77777777" w:rsidR="00584EC1" w:rsidRDefault="00584EC1">
            <w:pPr>
              <w:rPr>
                <w:rFonts w:ascii="宋体"/>
                <w:vanish/>
              </w:rPr>
            </w:pPr>
          </w:p>
        </w:tc>
        <w:tc>
          <w:tcPr>
            <w:tcW w:w="0" w:type="auto"/>
            <w:gridSpan w:val="3"/>
            <w:shd w:val="clear" w:color="auto" w:fill="auto"/>
            <w:vAlign w:val="bottom"/>
          </w:tcPr>
          <w:p w14:paraId="74DE1D34" w14:textId="77777777" w:rsidR="00584EC1" w:rsidRDefault="00584EC1">
            <w:pPr>
              <w:rPr>
                <w:rFonts w:ascii="宋体"/>
                <w:vanish/>
              </w:rPr>
            </w:pPr>
          </w:p>
        </w:tc>
        <w:tc>
          <w:tcPr>
            <w:tcW w:w="0" w:type="auto"/>
            <w:gridSpan w:val="3"/>
            <w:shd w:val="clear" w:color="auto" w:fill="auto"/>
            <w:vAlign w:val="bottom"/>
          </w:tcPr>
          <w:p w14:paraId="74DE1D35" w14:textId="77777777" w:rsidR="00584EC1" w:rsidRDefault="00584EC1">
            <w:pPr>
              <w:rPr>
                <w:rFonts w:ascii="宋体"/>
                <w:vanish/>
              </w:rPr>
            </w:pPr>
          </w:p>
        </w:tc>
        <w:tc>
          <w:tcPr>
            <w:tcW w:w="0" w:type="auto"/>
            <w:gridSpan w:val="3"/>
            <w:shd w:val="clear" w:color="auto" w:fill="auto"/>
            <w:vAlign w:val="bottom"/>
          </w:tcPr>
          <w:p w14:paraId="74DE1D36" w14:textId="77777777" w:rsidR="00584EC1" w:rsidRDefault="00584EC1">
            <w:pPr>
              <w:rPr>
                <w:rFonts w:ascii="宋体"/>
                <w:vanish/>
              </w:rPr>
            </w:pPr>
          </w:p>
        </w:tc>
        <w:tc>
          <w:tcPr>
            <w:tcW w:w="0" w:type="auto"/>
            <w:gridSpan w:val="3"/>
            <w:shd w:val="clear" w:color="auto" w:fill="auto"/>
            <w:vAlign w:val="bottom"/>
          </w:tcPr>
          <w:p w14:paraId="74DE1D37" w14:textId="77777777" w:rsidR="00584EC1" w:rsidRDefault="00584EC1">
            <w:pPr>
              <w:rPr>
                <w:rFonts w:ascii="宋体"/>
                <w:vanish/>
              </w:rPr>
            </w:pPr>
          </w:p>
        </w:tc>
        <w:tc>
          <w:tcPr>
            <w:tcW w:w="0" w:type="auto"/>
            <w:gridSpan w:val="3"/>
            <w:shd w:val="clear" w:color="auto" w:fill="auto"/>
            <w:vAlign w:val="bottom"/>
          </w:tcPr>
          <w:p w14:paraId="74DE1D38" w14:textId="77777777" w:rsidR="00584EC1" w:rsidRDefault="00584EC1">
            <w:pPr>
              <w:rPr>
                <w:rFonts w:ascii="宋体"/>
                <w:vanish/>
              </w:rPr>
            </w:pPr>
          </w:p>
        </w:tc>
        <w:tc>
          <w:tcPr>
            <w:tcW w:w="0" w:type="auto"/>
            <w:gridSpan w:val="3"/>
            <w:shd w:val="clear" w:color="auto" w:fill="auto"/>
            <w:vAlign w:val="bottom"/>
          </w:tcPr>
          <w:p w14:paraId="74DE1D39" w14:textId="77777777" w:rsidR="00584EC1" w:rsidRDefault="00584EC1">
            <w:pPr>
              <w:rPr>
                <w:rFonts w:ascii="宋体"/>
                <w:vanish/>
              </w:rPr>
            </w:pPr>
          </w:p>
        </w:tc>
        <w:tc>
          <w:tcPr>
            <w:tcW w:w="0" w:type="auto"/>
            <w:gridSpan w:val="3"/>
            <w:shd w:val="clear" w:color="auto" w:fill="auto"/>
            <w:vAlign w:val="bottom"/>
          </w:tcPr>
          <w:p w14:paraId="74DE1D3A" w14:textId="77777777" w:rsidR="00584EC1" w:rsidRDefault="00584EC1">
            <w:pPr>
              <w:rPr>
                <w:rFonts w:ascii="宋体"/>
                <w:vanish/>
              </w:rPr>
            </w:pPr>
          </w:p>
        </w:tc>
        <w:tc>
          <w:tcPr>
            <w:tcW w:w="0" w:type="auto"/>
            <w:gridSpan w:val="3"/>
            <w:shd w:val="clear" w:color="auto" w:fill="auto"/>
            <w:vAlign w:val="bottom"/>
          </w:tcPr>
          <w:p w14:paraId="74DE1D3B" w14:textId="77777777" w:rsidR="00584EC1" w:rsidRDefault="00584EC1">
            <w:pPr>
              <w:rPr>
                <w:rFonts w:ascii="宋体"/>
                <w:vanish/>
              </w:rPr>
            </w:pPr>
          </w:p>
        </w:tc>
        <w:tc>
          <w:tcPr>
            <w:tcW w:w="0" w:type="auto"/>
            <w:gridSpan w:val="3"/>
            <w:shd w:val="clear" w:color="auto" w:fill="auto"/>
            <w:vAlign w:val="bottom"/>
          </w:tcPr>
          <w:p w14:paraId="74DE1D3C" w14:textId="77777777" w:rsidR="00584EC1" w:rsidRDefault="00584EC1">
            <w:pPr>
              <w:rPr>
                <w:rFonts w:ascii="宋体"/>
                <w:vanish/>
              </w:rPr>
            </w:pPr>
          </w:p>
        </w:tc>
        <w:tc>
          <w:tcPr>
            <w:tcW w:w="0" w:type="auto"/>
            <w:gridSpan w:val="3"/>
            <w:shd w:val="clear" w:color="auto" w:fill="auto"/>
            <w:vAlign w:val="bottom"/>
          </w:tcPr>
          <w:p w14:paraId="74DE1D3D" w14:textId="77777777" w:rsidR="00584EC1" w:rsidRDefault="00584EC1">
            <w:pPr>
              <w:rPr>
                <w:rFonts w:ascii="宋体"/>
                <w:vanish/>
              </w:rPr>
            </w:pPr>
          </w:p>
        </w:tc>
        <w:tc>
          <w:tcPr>
            <w:tcW w:w="0" w:type="auto"/>
            <w:gridSpan w:val="3"/>
            <w:shd w:val="clear" w:color="auto" w:fill="auto"/>
            <w:vAlign w:val="bottom"/>
          </w:tcPr>
          <w:p w14:paraId="74DE1D3E" w14:textId="77777777" w:rsidR="00584EC1" w:rsidRDefault="00584EC1">
            <w:pPr>
              <w:rPr>
                <w:rFonts w:ascii="宋体"/>
                <w:vanish/>
              </w:rPr>
            </w:pPr>
          </w:p>
        </w:tc>
        <w:tc>
          <w:tcPr>
            <w:tcW w:w="0" w:type="auto"/>
            <w:gridSpan w:val="3"/>
            <w:shd w:val="clear" w:color="auto" w:fill="auto"/>
            <w:vAlign w:val="bottom"/>
          </w:tcPr>
          <w:p w14:paraId="74DE1D3F" w14:textId="77777777" w:rsidR="00584EC1" w:rsidRDefault="00584EC1">
            <w:pPr>
              <w:rPr>
                <w:rFonts w:ascii="宋体"/>
                <w:vanish/>
              </w:rPr>
            </w:pPr>
          </w:p>
        </w:tc>
        <w:tc>
          <w:tcPr>
            <w:tcW w:w="0" w:type="auto"/>
            <w:gridSpan w:val="3"/>
            <w:shd w:val="clear" w:color="auto" w:fill="auto"/>
            <w:vAlign w:val="bottom"/>
          </w:tcPr>
          <w:p w14:paraId="74DE1D40" w14:textId="77777777" w:rsidR="00584EC1" w:rsidRDefault="00584EC1">
            <w:pPr>
              <w:rPr>
                <w:rFonts w:ascii="宋体"/>
                <w:vanish/>
              </w:rPr>
            </w:pPr>
          </w:p>
        </w:tc>
        <w:tc>
          <w:tcPr>
            <w:tcW w:w="0" w:type="auto"/>
            <w:gridSpan w:val="3"/>
            <w:shd w:val="clear" w:color="auto" w:fill="auto"/>
            <w:vAlign w:val="bottom"/>
          </w:tcPr>
          <w:p w14:paraId="74DE1D41" w14:textId="77777777" w:rsidR="00584EC1" w:rsidRDefault="00584EC1">
            <w:pPr>
              <w:rPr>
                <w:rFonts w:ascii="宋体"/>
                <w:vanish/>
              </w:rPr>
            </w:pPr>
          </w:p>
        </w:tc>
        <w:tc>
          <w:tcPr>
            <w:tcW w:w="0" w:type="auto"/>
            <w:gridSpan w:val="3"/>
            <w:shd w:val="clear" w:color="auto" w:fill="auto"/>
            <w:vAlign w:val="bottom"/>
          </w:tcPr>
          <w:p w14:paraId="74DE1D42" w14:textId="77777777" w:rsidR="00584EC1" w:rsidRDefault="00584EC1">
            <w:pPr>
              <w:rPr>
                <w:rFonts w:ascii="宋体"/>
                <w:vanish/>
              </w:rPr>
            </w:pPr>
          </w:p>
        </w:tc>
        <w:tc>
          <w:tcPr>
            <w:tcW w:w="0" w:type="auto"/>
            <w:gridSpan w:val="3"/>
            <w:shd w:val="clear" w:color="auto" w:fill="auto"/>
            <w:vAlign w:val="bottom"/>
          </w:tcPr>
          <w:p w14:paraId="74DE1D43" w14:textId="77777777" w:rsidR="00584EC1" w:rsidRDefault="00584EC1">
            <w:pPr>
              <w:rPr>
                <w:rFonts w:ascii="宋体"/>
                <w:vanish/>
              </w:rPr>
            </w:pPr>
          </w:p>
        </w:tc>
        <w:tc>
          <w:tcPr>
            <w:tcW w:w="0" w:type="auto"/>
            <w:gridSpan w:val="3"/>
            <w:shd w:val="clear" w:color="auto" w:fill="auto"/>
            <w:vAlign w:val="bottom"/>
          </w:tcPr>
          <w:p w14:paraId="74DE1D44" w14:textId="77777777" w:rsidR="00584EC1" w:rsidRDefault="00584EC1">
            <w:pPr>
              <w:rPr>
                <w:rFonts w:ascii="宋体"/>
                <w:vanish/>
              </w:rPr>
            </w:pPr>
          </w:p>
        </w:tc>
        <w:tc>
          <w:tcPr>
            <w:tcW w:w="0" w:type="auto"/>
            <w:gridSpan w:val="3"/>
            <w:shd w:val="clear" w:color="auto" w:fill="auto"/>
            <w:vAlign w:val="bottom"/>
          </w:tcPr>
          <w:p w14:paraId="74DE1D45" w14:textId="77777777" w:rsidR="00584EC1" w:rsidRDefault="00584EC1">
            <w:pPr>
              <w:rPr>
                <w:rFonts w:ascii="宋体"/>
                <w:vanish/>
              </w:rPr>
            </w:pPr>
          </w:p>
        </w:tc>
      </w:tr>
      <w:tr w:rsidR="00584EC1" w14:paraId="74DE1D5B" w14:textId="77777777">
        <w:trPr>
          <w:hidden/>
        </w:trPr>
        <w:tc>
          <w:tcPr>
            <w:tcW w:w="0" w:type="auto"/>
            <w:gridSpan w:val="3"/>
            <w:shd w:val="clear" w:color="auto" w:fill="auto"/>
            <w:vAlign w:val="bottom"/>
          </w:tcPr>
          <w:p w14:paraId="74DE1D47" w14:textId="77777777" w:rsidR="00584EC1" w:rsidRDefault="00584EC1">
            <w:pPr>
              <w:rPr>
                <w:rFonts w:ascii="宋体"/>
                <w:vanish/>
              </w:rPr>
            </w:pPr>
          </w:p>
        </w:tc>
        <w:tc>
          <w:tcPr>
            <w:tcW w:w="0" w:type="auto"/>
            <w:gridSpan w:val="3"/>
            <w:shd w:val="clear" w:color="auto" w:fill="auto"/>
            <w:vAlign w:val="bottom"/>
          </w:tcPr>
          <w:p w14:paraId="74DE1D48" w14:textId="77777777" w:rsidR="00584EC1" w:rsidRDefault="00584EC1">
            <w:pPr>
              <w:rPr>
                <w:rFonts w:ascii="宋体"/>
                <w:vanish/>
              </w:rPr>
            </w:pPr>
          </w:p>
        </w:tc>
        <w:tc>
          <w:tcPr>
            <w:tcW w:w="0" w:type="auto"/>
            <w:gridSpan w:val="3"/>
            <w:shd w:val="clear" w:color="auto" w:fill="auto"/>
            <w:vAlign w:val="bottom"/>
          </w:tcPr>
          <w:p w14:paraId="74DE1D49" w14:textId="77777777" w:rsidR="00584EC1" w:rsidRDefault="00584EC1">
            <w:pPr>
              <w:rPr>
                <w:rFonts w:ascii="宋体"/>
                <w:vanish/>
              </w:rPr>
            </w:pPr>
          </w:p>
        </w:tc>
        <w:tc>
          <w:tcPr>
            <w:tcW w:w="0" w:type="auto"/>
            <w:gridSpan w:val="3"/>
            <w:shd w:val="clear" w:color="auto" w:fill="auto"/>
            <w:vAlign w:val="bottom"/>
          </w:tcPr>
          <w:p w14:paraId="74DE1D4A" w14:textId="77777777" w:rsidR="00584EC1" w:rsidRDefault="00584EC1">
            <w:pPr>
              <w:rPr>
                <w:rFonts w:ascii="宋体"/>
                <w:vanish/>
              </w:rPr>
            </w:pPr>
          </w:p>
        </w:tc>
        <w:tc>
          <w:tcPr>
            <w:tcW w:w="0" w:type="auto"/>
            <w:gridSpan w:val="3"/>
            <w:shd w:val="clear" w:color="auto" w:fill="auto"/>
            <w:vAlign w:val="bottom"/>
          </w:tcPr>
          <w:p w14:paraId="74DE1D4B" w14:textId="77777777" w:rsidR="00584EC1" w:rsidRDefault="00584EC1">
            <w:pPr>
              <w:rPr>
                <w:rFonts w:ascii="宋体"/>
                <w:vanish/>
              </w:rPr>
            </w:pPr>
          </w:p>
        </w:tc>
        <w:tc>
          <w:tcPr>
            <w:tcW w:w="0" w:type="auto"/>
            <w:gridSpan w:val="3"/>
            <w:shd w:val="clear" w:color="auto" w:fill="auto"/>
            <w:vAlign w:val="bottom"/>
          </w:tcPr>
          <w:p w14:paraId="74DE1D4C" w14:textId="77777777" w:rsidR="00584EC1" w:rsidRDefault="00584EC1">
            <w:pPr>
              <w:rPr>
                <w:rFonts w:ascii="宋体"/>
                <w:vanish/>
              </w:rPr>
            </w:pPr>
          </w:p>
        </w:tc>
        <w:tc>
          <w:tcPr>
            <w:tcW w:w="0" w:type="auto"/>
            <w:gridSpan w:val="3"/>
            <w:shd w:val="clear" w:color="auto" w:fill="auto"/>
            <w:vAlign w:val="bottom"/>
          </w:tcPr>
          <w:p w14:paraId="74DE1D4D" w14:textId="77777777" w:rsidR="00584EC1" w:rsidRDefault="00584EC1">
            <w:pPr>
              <w:rPr>
                <w:rFonts w:ascii="宋体"/>
                <w:vanish/>
              </w:rPr>
            </w:pPr>
          </w:p>
        </w:tc>
        <w:tc>
          <w:tcPr>
            <w:tcW w:w="0" w:type="auto"/>
            <w:gridSpan w:val="3"/>
            <w:shd w:val="clear" w:color="auto" w:fill="auto"/>
            <w:vAlign w:val="bottom"/>
          </w:tcPr>
          <w:p w14:paraId="74DE1D4E" w14:textId="77777777" w:rsidR="00584EC1" w:rsidRDefault="00584EC1">
            <w:pPr>
              <w:rPr>
                <w:rFonts w:ascii="宋体"/>
                <w:vanish/>
              </w:rPr>
            </w:pPr>
          </w:p>
        </w:tc>
        <w:tc>
          <w:tcPr>
            <w:tcW w:w="0" w:type="auto"/>
            <w:gridSpan w:val="3"/>
            <w:shd w:val="clear" w:color="auto" w:fill="auto"/>
            <w:vAlign w:val="bottom"/>
          </w:tcPr>
          <w:p w14:paraId="74DE1D4F" w14:textId="77777777" w:rsidR="00584EC1" w:rsidRDefault="00584EC1">
            <w:pPr>
              <w:rPr>
                <w:rFonts w:ascii="宋体"/>
                <w:vanish/>
              </w:rPr>
            </w:pPr>
          </w:p>
        </w:tc>
        <w:tc>
          <w:tcPr>
            <w:tcW w:w="0" w:type="auto"/>
            <w:gridSpan w:val="3"/>
            <w:shd w:val="clear" w:color="auto" w:fill="auto"/>
            <w:vAlign w:val="bottom"/>
          </w:tcPr>
          <w:p w14:paraId="74DE1D50" w14:textId="77777777" w:rsidR="00584EC1" w:rsidRDefault="00584EC1">
            <w:pPr>
              <w:rPr>
                <w:rFonts w:ascii="宋体"/>
                <w:vanish/>
              </w:rPr>
            </w:pPr>
          </w:p>
        </w:tc>
        <w:tc>
          <w:tcPr>
            <w:tcW w:w="0" w:type="auto"/>
            <w:gridSpan w:val="3"/>
            <w:shd w:val="clear" w:color="auto" w:fill="auto"/>
            <w:vAlign w:val="bottom"/>
          </w:tcPr>
          <w:p w14:paraId="74DE1D51" w14:textId="77777777" w:rsidR="00584EC1" w:rsidRDefault="00584EC1">
            <w:pPr>
              <w:rPr>
                <w:rFonts w:ascii="宋体"/>
                <w:vanish/>
              </w:rPr>
            </w:pPr>
          </w:p>
        </w:tc>
        <w:tc>
          <w:tcPr>
            <w:tcW w:w="0" w:type="auto"/>
            <w:gridSpan w:val="3"/>
            <w:shd w:val="clear" w:color="auto" w:fill="auto"/>
            <w:vAlign w:val="bottom"/>
          </w:tcPr>
          <w:p w14:paraId="74DE1D52" w14:textId="77777777" w:rsidR="00584EC1" w:rsidRDefault="00584EC1">
            <w:pPr>
              <w:rPr>
                <w:rFonts w:ascii="宋体"/>
                <w:vanish/>
              </w:rPr>
            </w:pPr>
          </w:p>
        </w:tc>
        <w:tc>
          <w:tcPr>
            <w:tcW w:w="0" w:type="auto"/>
            <w:gridSpan w:val="3"/>
            <w:shd w:val="clear" w:color="auto" w:fill="auto"/>
            <w:vAlign w:val="bottom"/>
          </w:tcPr>
          <w:p w14:paraId="74DE1D53" w14:textId="77777777" w:rsidR="00584EC1" w:rsidRDefault="00584EC1">
            <w:pPr>
              <w:rPr>
                <w:rFonts w:ascii="宋体"/>
                <w:vanish/>
              </w:rPr>
            </w:pPr>
          </w:p>
        </w:tc>
        <w:tc>
          <w:tcPr>
            <w:tcW w:w="0" w:type="auto"/>
            <w:gridSpan w:val="3"/>
            <w:shd w:val="clear" w:color="auto" w:fill="auto"/>
            <w:vAlign w:val="bottom"/>
          </w:tcPr>
          <w:p w14:paraId="74DE1D54" w14:textId="77777777" w:rsidR="00584EC1" w:rsidRDefault="00584EC1">
            <w:pPr>
              <w:rPr>
                <w:rFonts w:ascii="宋体"/>
                <w:vanish/>
              </w:rPr>
            </w:pPr>
          </w:p>
        </w:tc>
        <w:tc>
          <w:tcPr>
            <w:tcW w:w="0" w:type="auto"/>
            <w:gridSpan w:val="3"/>
            <w:shd w:val="clear" w:color="auto" w:fill="auto"/>
            <w:vAlign w:val="bottom"/>
          </w:tcPr>
          <w:p w14:paraId="74DE1D55" w14:textId="77777777" w:rsidR="00584EC1" w:rsidRDefault="00584EC1">
            <w:pPr>
              <w:rPr>
                <w:rFonts w:ascii="宋体"/>
                <w:vanish/>
              </w:rPr>
            </w:pPr>
          </w:p>
        </w:tc>
        <w:tc>
          <w:tcPr>
            <w:tcW w:w="0" w:type="auto"/>
            <w:gridSpan w:val="3"/>
            <w:shd w:val="clear" w:color="auto" w:fill="auto"/>
            <w:vAlign w:val="bottom"/>
          </w:tcPr>
          <w:p w14:paraId="74DE1D56" w14:textId="77777777" w:rsidR="00584EC1" w:rsidRDefault="00584EC1">
            <w:pPr>
              <w:rPr>
                <w:rFonts w:ascii="宋体"/>
                <w:vanish/>
              </w:rPr>
            </w:pPr>
          </w:p>
        </w:tc>
        <w:tc>
          <w:tcPr>
            <w:tcW w:w="0" w:type="auto"/>
            <w:gridSpan w:val="3"/>
            <w:shd w:val="clear" w:color="auto" w:fill="auto"/>
            <w:vAlign w:val="bottom"/>
          </w:tcPr>
          <w:p w14:paraId="74DE1D57" w14:textId="77777777" w:rsidR="00584EC1" w:rsidRDefault="00584EC1">
            <w:pPr>
              <w:rPr>
                <w:rFonts w:ascii="宋体"/>
                <w:vanish/>
              </w:rPr>
            </w:pPr>
          </w:p>
        </w:tc>
        <w:tc>
          <w:tcPr>
            <w:tcW w:w="0" w:type="auto"/>
            <w:gridSpan w:val="3"/>
            <w:shd w:val="clear" w:color="auto" w:fill="auto"/>
            <w:vAlign w:val="bottom"/>
          </w:tcPr>
          <w:p w14:paraId="74DE1D58" w14:textId="77777777" w:rsidR="00584EC1" w:rsidRDefault="00584EC1">
            <w:pPr>
              <w:rPr>
                <w:rFonts w:ascii="宋体"/>
                <w:vanish/>
              </w:rPr>
            </w:pPr>
          </w:p>
        </w:tc>
        <w:tc>
          <w:tcPr>
            <w:tcW w:w="0" w:type="auto"/>
            <w:gridSpan w:val="3"/>
            <w:shd w:val="clear" w:color="auto" w:fill="auto"/>
            <w:vAlign w:val="bottom"/>
          </w:tcPr>
          <w:p w14:paraId="74DE1D59" w14:textId="77777777" w:rsidR="00584EC1" w:rsidRDefault="00584EC1">
            <w:pPr>
              <w:rPr>
                <w:rFonts w:ascii="宋体"/>
                <w:vanish/>
              </w:rPr>
            </w:pPr>
          </w:p>
        </w:tc>
        <w:tc>
          <w:tcPr>
            <w:tcW w:w="0" w:type="auto"/>
            <w:gridSpan w:val="3"/>
            <w:shd w:val="clear" w:color="auto" w:fill="auto"/>
            <w:vAlign w:val="bottom"/>
          </w:tcPr>
          <w:p w14:paraId="74DE1D5A" w14:textId="77777777" w:rsidR="00584EC1" w:rsidRDefault="00584EC1">
            <w:pPr>
              <w:rPr>
                <w:rFonts w:ascii="宋体"/>
                <w:vanish/>
              </w:rPr>
            </w:pPr>
          </w:p>
        </w:tc>
      </w:tr>
      <w:tr w:rsidR="00584EC1" w14:paraId="74DE1D70" w14:textId="77777777">
        <w:trPr>
          <w:hidden/>
        </w:trPr>
        <w:tc>
          <w:tcPr>
            <w:tcW w:w="0" w:type="auto"/>
            <w:gridSpan w:val="3"/>
            <w:shd w:val="clear" w:color="auto" w:fill="auto"/>
            <w:vAlign w:val="bottom"/>
          </w:tcPr>
          <w:p w14:paraId="74DE1D5C" w14:textId="77777777" w:rsidR="00584EC1" w:rsidRDefault="00584EC1">
            <w:pPr>
              <w:rPr>
                <w:rFonts w:ascii="宋体"/>
                <w:vanish/>
              </w:rPr>
            </w:pPr>
          </w:p>
        </w:tc>
        <w:tc>
          <w:tcPr>
            <w:tcW w:w="0" w:type="auto"/>
            <w:gridSpan w:val="3"/>
            <w:shd w:val="clear" w:color="auto" w:fill="auto"/>
            <w:vAlign w:val="bottom"/>
          </w:tcPr>
          <w:p w14:paraId="74DE1D5D" w14:textId="77777777" w:rsidR="00584EC1" w:rsidRDefault="00584EC1">
            <w:pPr>
              <w:rPr>
                <w:rFonts w:ascii="宋体"/>
                <w:vanish/>
              </w:rPr>
            </w:pPr>
          </w:p>
        </w:tc>
        <w:tc>
          <w:tcPr>
            <w:tcW w:w="0" w:type="auto"/>
            <w:gridSpan w:val="3"/>
            <w:shd w:val="clear" w:color="auto" w:fill="auto"/>
            <w:vAlign w:val="bottom"/>
          </w:tcPr>
          <w:p w14:paraId="74DE1D5E" w14:textId="77777777" w:rsidR="00584EC1" w:rsidRDefault="00584EC1">
            <w:pPr>
              <w:rPr>
                <w:rFonts w:ascii="宋体"/>
                <w:vanish/>
              </w:rPr>
            </w:pPr>
          </w:p>
        </w:tc>
        <w:tc>
          <w:tcPr>
            <w:tcW w:w="0" w:type="auto"/>
            <w:gridSpan w:val="3"/>
            <w:shd w:val="clear" w:color="auto" w:fill="auto"/>
            <w:vAlign w:val="bottom"/>
          </w:tcPr>
          <w:p w14:paraId="74DE1D5F" w14:textId="77777777" w:rsidR="00584EC1" w:rsidRDefault="00584EC1">
            <w:pPr>
              <w:rPr>
                <w:rFonts w:ascii="宋体"/>
                <w:vanish/>
              </w:rPr>
            </w:pPr>
          </w:p>
        </w:tc>
        <w:tc>
          <w:tcPr>
            <w:tcW w:w="0" w:type="auto"/>
            <w:gridSpan w:val="3"/>
            <w:shd w:val="clear" w:color="auto" w:fill="auto"/>
            <w:vAlign w:val="bottom"/>
          </w:tcPr>
          <w:p w14:paraId="74DE1D60" w14:textId="77777777" w:rsidR="00584EC1" w:rsidRDefault="00584EC1">
            <w:pPr>
              <w:rPr>
                <w:rFonts w:ascii="宋体"/>
                <w:vanish/>
              </w:rPr>
            </w:pPr>
          </w:p>
        </w:tc>
        <w:tc>
          <w:tcPr>
            <w:tcW w:w="0" w:type="auto"/>
            <w:gridSpan w:val="3"/>
            <w:shd w:val="clear" w:color="auto" w:fill="auto"/>
            <w:vAlign w:val="bottom"/>
          </w:tcPr>
          <w:p w14:paraId="74DE1D61" w14:textId="77777777" w:rsidR="00584EC1" w:rsidRDefault="00584EC1">
            <w:pPr>
              <w:rPr>
                <w:rFonts w:ascii="宋体"/>
                <w:vanish/>
              </w:rPr>
            </w:pPr>
          </w:p>
        </w:tc>
        <w:tc>
          <w:tcPr>
            <w:tcW w:w="0" w:type="auto"/>
            <w:gridSpan w:val="3"/>
            <w:shd w:val="clear" w:color="auto" w:fill="auto"/>
            <w:vAlign w:val="bottom"/>
          </w:tcPr>
          <w:p w14:paraId="74DE1D62" w14:textId="77777777" w:rsidR="00584EC1" w:rsidRDefault="00584EC1">
            <w:pPr>
              <w:rPr>
                <w:rFonts w:ascii="宋体"/>
                <w:vanish/>
              </w:rPr>
            </w:pPr>
          </w:p>
        </w:tc>
        <w:tc>
          <w:tcPr>
            <w:tcW w:w="0" w:type="auto"/>
            <w:gridSpan w:val="3"/>
            <w:shd w:val="clear" w:color="auto" w:fill="auto"/>
            <w:vAlign w:val="bottom"/>
          </w:tcPr>
          <w:p w14:paraId="74DE1D63" w14:textId="77777777" w:rsidR="00584EC1" w:rsidRDefault="00584EC1">
            <w:pPr>
              <w:rPr>
                <w:rFonts w:ascii="宋体"/>
                <w:vanish/>
              </w:rPr>
            </w:pPr>
          </w:p>
        </w:tc>
        <w:tc>
          <w:tcPr>
            <w:tcW w:w="0" w:type="auto"/>
            <w:gridSpan w:val="3"/>
            <w:shd w:val="clear" w:color="auto" w:fill="auto"/>
            <w:vAlign w:val="bottom"/>
          </w:tcPr>
          <w:p w14:paraId="74DE1D64" w14:textId="77777777" w:rsidR="00584EC1" w:rsidRDefault="00584EC1">
            <w:pPr>
              <w:rPr>
                <w:rFonts w:ascii="宋体"/>
                <w:vanish/>
              </w:rPr>
            </w:pPr>
          </w:p>
        </w:tc>
        <w:tc>
          <w:tcPr>
            <w:tcW w:w="0" w:type="auto"/>
            <w:gridSpan w:val="3"/>
            <w:shd w:val="clear" w:color="auto" w:fill="auto"/>
            <w:vAlign w:val="bottom"/>
          </w:tcPr>
          <w:p w14:paraId="74DE1D65" w14:textId="77777777" w:rsidR="00584EC1" w:rsidRDefault="00584EC1">
            <w:pPr>
              <w:rPr>
                <w:rFonts w:ascii="宋体"/>
                <w:vanish/>
              </w:rPr>
            </w:pPr>
          </w:p>
        </w:tc>
        <w:tc>
          <w:tcPr>
            <w:tcW w:w="0" w:type="auto"/>
            <w:gridSpan w:val="3"/>
            <w:shd w:val="clear" w:color="auto" w:fill="auto"/>
            <w:vAlign w:val="bottom"/>
          </w:tcPr>
          <w:p w14:paraId="74DE1D66" w14:textId="77777777" w:rsidR="00584EC1" w:rsidRDefault="00584EC1">
            <w:pPr>
              <w:rPr>
                <w:rFonts w:ascii="宋体"/>
                <w:vanish/>
              </w:rPr>
            </w:pPr>
          </w:p>
        </w:tc>
        <w:tc>
          <w:tcPr>
            <w:tcW w:w="0" w:type="auto"/>
            <w:gridSpan w:val="3"/>
            <w:shd w:val="clear" w:color="auto" w:fill="auto"/>
            <w:vAlign w:val="bottom"/>
          </w:tcPr>
          <w:p w14:paraId="74DE1D67" w14:textId="77777777" w:rsidR="00584EC1" w:rsidRDefault="00584EC1">
            <w:pPr>
              <w:rPr>
                <w:rFonts w:ascii="宋体"/>
                <w:vanish/>
              </w:rPr>
            </w:pPr>
          </w:p>
        </w:tc>
        <w:tc>
          <w:tcPr>
            <w:tcW w:w="0" w:type="auto"/>
            <w:gridSpan w:val="3"/>
            <w:shd w:val="clear" w:color="auto" w:fill="auto"/>
            <w:vAlign w:val="bottom"/>
          </w:tcPr>
          <w:p w14:paraId="74DE1D68" w14:textId="77777777" w:rsidR="00584EC1" w:rsidRDefault="00584EC1">
            <w:pPr>
              <w:rPr>
                <w:rFonts w:ascii="宋体"/>
                <w:vanish/>
              </w:rPr>
            </w:pPr>
          </w:p>
        </w:tc>
        <w:tc>
          <w:tcPr>
            <w:tcW w:w="0" w:type="auto"/>
            <w:gridSpan w:val="3"/>
            <w:shd w:val="clear" w:color="auto" w:fill="auto"/>
            <w:vAlign w:val="bottom"/>
          </w:tcPr>
          <w:p w14:paraId="74DE1D69" w14:textId="77777777" w:rsidR="00584EC1" w:rsidRDefault="00584EC1">
            <w:pPr>
              <w:rPr>
                <w:rFonts w:ascii="宋体"/>
                <w:vanish/>
              </w:rPr>
            </w:pPr>
          </w:p>
        </w:tc>
        <w:tc>
          <w:tcPr>
            <w:tcW w:w="0" w:type="auto"/>
            <w:gridSpan w:val="3"/>
            <w:shd w:val="clear" w:color="auto" w:fill="auto"/>
            <w:vAlign w:val="bottom"/>
          </w:tcPr>
          <w:p w14:paraId="74DE1D6A" w14:textId="77777777" w:rsidR="00584EC1" w:rsidRDefault="00584EC1">
            <w:pPr>
              <w:rPr>
                <w:rFonts w:ascii="宋体"/>
                <w:vanish/>
              </w:rPr>
            </w:pPr>
          </w:p>
        </w:tc>
        <w:tc>
          <w:tcPr>
            <w:tcW w:w="0" w:type="auto"/>
            <w:gridSpan w:val="3"/>
            <w:shd w:val="clear" w:color="auto" w:fill="auto"/>
            <w:vAlign w:val="bottom"/>
          </w:tcPr>
          <w:p w14:paraId="74DE1D6B" w14:textId="77777777" w:rsidR="00584EC1" w:rsidRDefault="00584EC1">
            <w:pPr>
              <w:rPr>
                <w:rFonts w:ascii="宋体"/>
                <w:vanish/>
              </w:rPr>
            </w:pPr>
          </w:p>
        </w:tc>
        <w:tc>
          <w:tcPr>
            <w:tcW w:w="0" w:type="auto"/>
            <w:gridSpan w:val="3"/>
            <w:shd w:val="clear" w:color="auto" w:fill="auto"/>
            <w:vAlign w:val="bottom"/>
          </w:tcPr>
          <w:p w14:paraId="74DE1D6C" w14:textId="77777777" w:rsidR="00584EC1" w:rsidRDefault="00584EC1">
            <w:pPr>
              <w:rPr>
                <w:rFonts w:ascii="宋体"/>
                <w:vanish/>
              </w:rPr>
            </w:pPr>
          </w:p>
        </w:tc>
        <w:tc>
          <w:tcPr>
            <w:tcW w:w="0" w:type="auto"/>
            <w:gridSpan w:val="3"/>
            <w:shd w:val="clear" w:color="auto" w:fill="auto"/>
            <w:vAlign w:val="bottom"/>
          </w:tcPr>
          <w:p w14:paraId="74DE1D6D" w14:textId="77777777" w:rsidR="00584EC1" w:rsidRDefault="00584EC1">
            <w:pPr>
              <w:rPr>
                <w:rFonts w:ascii="宋体"/>
                <w:vanish/>
              </w:rPr>
            </w:pPr>
          </w:p>
        </w:tc>
        <w:tc>
          <w:tcPr>
            <w:tcW w:w="0" w:type="auto"/>
            <w:gridSpan w:val="3"/>
            <w:shd w:val="clear" w:color="auto" w:fill="auto"/>
            <w:vAlign w:val="bottom"/>
          </w:tcPr>
          <w:p w14:paraId="74DE1D6E" w14:textId="77777777" w:rsidR="00584EC1" w:rsidRDefault="00584EC1">
            <w:pPr>
              <w:rPr>
                <w:rFonts w:ascii="宋体"/>
                <w:vanish/>
              </w:rPr>
            </w:pPr>
          </w:p>
        </w:tc>
        <w:tc>
          <w:tcPr>
            <w:tcW w:w="0" w:type="auto"/>
            <w:gridSpan w:val="3"/>
            <w:shd w:val="clear" w:color="auto" w:fill="auto"/>
            <w:vAlign w:val="bottom"/>
          </w:tcPr>
          <w:p w14:paraId="74DE1D6F" w14:textId="77777777" w:rsidR="00584EC1" w:rsidRDefault="00584EC1">
            <w:pPr>
              <w:rPr>
                <w:rFonts w:ascii="宋体"/>
                <w:vanish/>
              </w:rPr>
            </w:pPr>
          </w:p>
        </w:tc>
      </w:tr>
      <w:tr w:rsidR="00584EC1" w14:paraId="74DE1D85" w14:textId="77777777">
        <w:trPr>
          <w:hidden/>
        </w:trPr>
        <w:tc>
          <w:tcPr>
            <w:tcW w:w="0" w:type="auto"/>
            <w:gridSpan w:val="3"/>
            <w:shd w:val="clear" w:color="auto" w:fill="auto"/>
            <w:vAlign w:val="bottom"/>
          </w:tcPr>
          <w:p w14:paraId="74DE1D71" w14:textId="77777777" w:rsidR="00584EC1" w:rsidRDefault="00584EC1">
            <w:pPr>
              <w:rPr>
                <w:rFonts w:ascii="宋体"/>
                <w:vanish/>
              </w:rPr>
            </w:pPr>
          </w:p>
        </w:tc>
        <w:tc>
          <w:tcPr>
            <w:tcW w:w="0" w:type="auto"/>
            <w:gridSpan w:val="3"/>
            <w:shd w:val="clear" w:color="auto" w:fill="auto"/>
            <w:vAlign w:val="bottom"/>
          </w:tcPr>
          <w:p w14:paraId="74DE1D72" w14:textId="77777777" w:rsidR="00584EC1" w:rsidRDefault="00584EC1">
            <w:pPr>
              <w:rPr>
                <w:rFonts w:ascii="宋体"/>
                <w:vanish/>
              </w:rPr>
            </w:pPr>
          </w:p>
        </w:tc>
        <w:tc>
          <w:tcPr>
            <w:tcW w:w="0" w:type="auto"/>
            <w:gridSpan w:val="3"/>
            <w:shd w:val="clear" w:color="auto" w:fill="auto"/>
            <w:vAlign w:val="bottom"/>
          </w:tcPr>
          <w:p w14:paraId="74DE1D73" w14:textId="77777777" w:rsidR="00584EC1" w:rsidRDefault="00584EC1">
            <w:pPr>
              <w:rPr>
                <w:rFonts w:ascii="宋体"/>
                <w:vanish/>
              </w:rPr>
            </w:pPr>
          </w:p>
        </w:tc>
        <w:tc>
          <w:tcPr>
            <w:tcW w:w="0" w:type="auto"/>
            <w:gridSpan w:val="3"/>
            <w:shd w:val="clear" w:color="auto" w:fill="auto"/>
            <w:vAlign w:val="bottom"/>
          </w:tcPr>
          <w:p w14:paraId="74DE1D74" w14:textId="77777777" w:rsidR="00584EC1" w:rsidRDefault="00584EC1">
            <w:pPr>
              <w:rPr>
                <w:rFonts w:ascii="宋体"/>
                <w:vanish/>
              </w:rPr>
            </w:pPr>
          </w:p>
        </w:tc>
        <w:tc>
          <w:tcPr>
            <w:tcW w:w="0" w:type="auto"/>
            <w:gridSpan w:val="3"/>
            <w:shd w:val="clear" w:color="auto" w:fill="auto"/>
            <w:vAlign w:val="bottom"/>
          </w:tcPr>
          <w:p w14:paraId="74DE1D75" w14:textId="77777777" w:rsidR="00584EC1" w:rsidRDefault="00584EC1">
            <w:pPr>
              <w:rPr>
                <w:rFonts w:ascii="宋体"/>
                <w:vanish/>
              </w:rPr>
            </w:pPr>
          </w:p>
        </w:tc>
        <w:tc>
          <w:tcPr>
            <w:tcW w:w="0" w:type="auto"/>
            <w:gridSpan w:val="3"/>
            <w:shd w:val="clear" w:color="auto" w:fill="auto"/>
            <w:vAlign w:val="bottom"/>
          </w:tcPr>
          <w:p w14:paraId="74DE1D76" w14:textId="77777777" w:rsidR="00584EC1" w:rsidRDefault="00584EC1">
            <w:pPr>
              <w:rPr>
                <w:rFonts w:ascii="宋体"/>
                <w:vanish/>
              </w:rPr>
            </w:pPr>
          </w:p>
        </w:tc>
        <w:tc>
          <w:tcPr>
            <w:tcW w:w="0" w:type="auto"/>
            <w:gridSpan w:val="3"/>
            <w:shd w:val="clear" w:color="auto" w:fill="auto"/>
            <w:vAlign w:val="bottom"/>
          </w:tcPr>
          <w:p w14:paraId="74DE1D77" w14:textId="77777777" w:rsidR="00584EC1" w:rsidRDefault="00584EC1">
            <w:pPr>
              <w:rPr>
                <w:rFonts w:ascii="宋体"/>
                <w:vanish/>
              </w:rPr>
            </w:pPr>
          </w:p>
        </w:tc>
        <w:tc>
          <w:tcPr>
            <w:tcW w:w="0" w:type="auto"/>
            <w:gridSpan w:val="3"/>
            <w:shd w:val="clear" w:color="auto" w:fill="auto"/>
            <w:vAlign w:val="bottom"/>
          </w:tcPr>
          <w:p w14:paraId="74DE1D78" w14:textId="77777777" w:rsidR="00584EC1" w:rsidRDefault="00584EC1">
            <w:pPr>
              <w:rPr>
                <w:rFonts w:ascii="宋体"/>
                <w:vanish/>
              </w:rPr>
            </w:pPr>
          </w:p>
        </w:tc>
        <w:tc>
          <w:tcPr>
            <w:tcW w:w="0" w:type="auto"/>
            <w:gridSpan w:val="3"/>
            <w:shd w:val="clear" w:color="auto" w:fill="auto"/>
            <w:vAlign w:val="bottom"/>
          </w:tcPr>
          <w:p w14:paraId="74DE1D79" w14:textId="77777777" w:rsidR="00584EC1" w:rsidRDefault="00584EC1">
            <w:pPr>
              <w:rPr>
                <w:rFonts w:ascii="宋体"/>
                <w:vanish/>
              </w:rPr>
            </w:pPr>
          </w:p>
        </w:tc>
        <w:tc>
          <w:tcPr>
            <w:tcW w:w="0" w:type="auto"/>
            <w:gridSpan w:val="3"/>
            <w:shd w:val="clear" w:color="auto" w:fill="auto"/>
            <w:vAlign w:val="bottom"/>
          </w:tcPr>
          <w:p w14:paraId="74DE1D7A" w14:textId="77777777" w:rsidR="00584EC1" w:rsidRDefault="00584EC1">
            <w:pPr>
              <w:rPr>
                <w:rFonts w:ascii="宋体"/>
                <w:vanish/>
              </w:rPr>
            </w:pPr>
          </w:p>
        </w:tc>
        <w:tc>
          <w:tcPr>
            <w:tcW w:w="0" w:type="auto"/>
            <w:gridSpan w:val="3"/>
            <w:shd w:val="clear" w:color="auto" w:fill="auto"/>
            <w:vAlign w:val="bottom"/>
          </w:tcPr>
          <w:p w14:paraId="74DE1D7B" w14:textId="77777777" w:rsidR="00584EC1" w:rsidRDefault="00584EC1">
            <w:pPr>
              <w:rPr>
                <w:rFonts w:ascii="宋体"/>
                <w:vanish/>
              </w:rPr>
            </w:pPr>
          </w:p>
        </w:tc>
        <w:tc>
          <w:tcPr>
            <w:tcW w:w="0" w:type="auto"/>
            <w:gridSpan w:val="3"/>
            <w:shd w:val="clear" w:color="auto" w:fill="auto"/>
            <w:vAlign w:val="bottom"/>
          </w:tcPr>
          <w:p w14:paraId="74DE1D7C" w14:textId="77777777" w:rsidR="00584EC1" w:rsidRDefault="00584EC1">
            <w:pPr>
              <w:rPr>
                <w:rFonts w:ascii="宋体"/>
                <w:vanish/>
              </w:rPr>
            </w:pPr>
          </w:p>
        </w:tc>
        <w:tc>
          <w:tcPr>
            <w:tcW w:w="0" w:type="auto"/>
            <w:gridSpan w:val="3"/>
            <w:shd w:val="clear" w:color="auto" w:fill="auto"/>
            <w:vAlign w:val="bottom"/>
          </w:tcPr>
          <w:p w14:paraId="74DE1D7D" w14:textId="77777777" w:rsidR="00584EC1" w:rsidRDefault="00584EC1">
            <w:pPr>
              <w:rPr>
                <w:rFonts w:ascii="宋体"/>
                <w:vanish/>
              </w:rPr>
            </w:pPr>
          </w:p>
        </w:tc>
        <w:tc>
          <w:tcPr>
            <w:tcW w:w="0" w:type="auto"/>
            <w:gridSpan w:val="3"/>
            <w:shd w:val="clear" w:color="auto" w:fill="auto"/>
            <w:vAlign w:val="bottom"/>
          </w:tcPr>
          <w:p w14:paraId="74DE1D7E" w14:textId="77777777" w:rsidR="00584EC1" w:rsidRDefault="00584EC1">
            <w:pPr>
              <w:rPr>
                <w:rFonts w:ascii="宋体"/>
                <w:vanish/>
              </w:rPr>
            </w:pPr>
          </w:p>
        </w:tc>
        <w:tc>
          <w:tcPr>
            <w:tcW w:w="0" w:type="auto"/>
            <w:gridSpan w:val="3"/>
            <w:shd w:val="clear" w:color="auto" w:fill="auto"/>
            <w:vAlign w:val="bottom"/>
          </w:tcPr>
          <w:p w14:paraId="74DE1D7F" w14:textId="77777777" w:rsidR="00584EC1" w:rsidRDefault="00584EC1">
            <w:pPr>
              <w:rPr>
                <w:rFonts w:ascii="宋体"/>
                <w:vanish/>
              </w:rPr>
            </w:pPr>
          </w:p>
        </w:tc>
        <w:tc>
          <w:tcPr>
            <w:tcW w:w="0" w:type="auto"/>
            <w:gridSpan w:val="3"/>
            <w:shd w:val="clear" w:color="auto" w:fill="auto"/>
            <w:vAlign w:val="bottom"/>
          </w:tcPr>
          <w:p w14:paraId="74DE1D80" w14:textId="77777777" w:rsidR="00584EC1" w:rsidRDefault="00584EC1">
            <w:pPr>
              <w:rPr>
                <w:rFonts w:ascii="宋体"/>
                <w:vanish/>
              </w:rPr>
            </w:pPr>
          </w:p>
        </w:tc>
        <w:tc>
          <w:tcPr>
            <w:tcW w:w="0" w:type="auto"/>
            <w:gridSpan w:val="3"/>
            <w:shd w:val="clear" w:color="auto" w:fill="auto"/>
            <w:vAlign w:val="bottom"/>
          </w:tcPr>
          <w:p w14:paraId="74DE1D81" w14:textId="77777777" w:rsidR="00584EC1" w:rsidRDefault="00584EC1">
            <w:pPr>
              <w:rPr>
                <w:rFonts w:ascii="宋体"/>
                <w:vanish/>
              </w:rPr>
            </w:pPr>
          </w:p>
        </w:tc>
        <w:tc>
          <w:tcPr>
            <w:tcW w:w="0" w:type="auto"/>
            <w:gridSpan w:val="3"/>
            <w:shd w:val="clear" w:color="auto" w:fill="auto"/>
            <w:vAlign w:val="bottom"/>
          </w:tcPr>
          <w:p w14:paraId="74DE1D82" w14:textId="77777777" w:rsidR="00584EC1" w:rsidRDefault="00584EC1">
            <w:pPr>
              <w:rPr>
                <w:rFonts w:ascii="宋体"/>
                <w:vanish/>
              </w:rPr>
            </w:pPr>
          </w:p>
        </w:tc>
        <w:tc>
          <w:tcPr>
            <w:tcW w:w="0" w:type="auto"/>
            <w:gridSpan w:val="3"/>
            <w:shd w:val="clear" w:color="auto" w:fill="auto"/>
            <w:vAlign w:val="bottom"/>
          </w:tcPr>
          <w:p w14:paraId="74DE1D83" w14:textId="77777777" w:rsidR="00584EC1" w:rsidRDefault="00584EC1">
            <w:pPr>
              <w:rPr>
                <w:rFonts w:ascii="宋体"/>
                <w:vanish/>
              </w:rPr>
            </w:pPr>
          </w:p>
        </w:tc>
        <w:tc>
          <w:tcPr>
            <w:tcW w:w="0" w:type="auto"/>
            <w:gridSpan w:val="3"/>
            <w:shd w:val="clear" w:color="auto" w:fill="auto"/>
            <w:vAlign w:val="bottom"/>
          </w:tcPr>
          <w:p w14:paraId="74DE1D84" w14:textId="77777777" w:rsidR="00584EC1" w:rsidRDefault="00584EC1">
            <w:pPr>
              <w:rPr>
                <w:rFonts w:ascii="宋体"/>
                <w:vanish/>
              </w:rPr>
            </w:pPr>
          </w:p>
        </w:tc>
      </w:tr>
      <w:tr w:rsidR="00584EC1" w14:paraId="74DE1D9A" w14:textId="77777777">
        <w:trPr>
          <w:hidden/>
        </w:trPr>
        <w:tc>
          <w:tcPr>
            <w:tcW w:w="0" w:type="auto"/>
            <w:gridSpan w:val="3"/>
            <w:shd w:val="clear" w:color="auto" w:fill="auto"/>
            <w:vAlign w:val="bottom"/>
          </w:tcPr>
          <w:p w14:paraId="74DE1D86" w14:textId="77777777" w:rsidR="00584EC1" w:rsidRDefault="00584EC1">
            <w:pPr>
              <w:rPr>
                <w:rFonts w:ascii="宋体"/>
                <w:vanish/>
              </w:rPr>
            </w:pPr>
          </w:p>
        </w:tc>
        <w:tc>
          <w:tcPr>
            <w:tcW w:w="0" w:type="auto"/>
            <w:gridSpan w:val="3"/>
            <w:shd w:val="clear" w:color="auto" w:fill="auto"/>
            <w:vAlign w:val="bottom"/>
          </w:tcPr>
          <w:p w14:paraId="74DE1D87" w14:textId="77777777" w:rsidR="00584EC1" w:rsidRDefault="00584EC1">
            <w:pPr>
              <w:rPr>
                <w:rFonts w:ascii="宋体"/>
                <w:vanish/>
              </w:rPr>
            </w:pPr>
          </w:p>
        </w:tc>
        <w:tc>
          <w:tcPr>
            <w:tcW w:w="0" w:type="auto"/>
            <w:gridSpan w:val="3"/>
            <w:shd w:val="clear" w:color="auto" w:fill="auto"/>
            <w:vAlign w:val="bottom"/>
          </w:tcPr>
          <w:p w14:paraId="74DE1D88" w14:textId="77777777" w:rsidR="00584EC1" w:rsidRDefault="00584EC1">
            <w:pPr>
              <w:rPr>
                <w:rFonts w:ascii="宋体"/>
                <w:vanish/>
              </w:rPr>
            </w:pPr>
          </w:p>
        </w:tc>
        <w:tc>
          <w:tcPr>
            <w:tcW w:w="0" w:type="auto"/>
            <w:gridSpan w:val="3"/>
            <w:shd w:val="clear" w:color="auto" w:fill="auto"/>
            <w:vAlign w:val="bottom"/>
          </w:tcPr>
          <w:p w14:paraId="74DE1D89" w14:textId="77777777" w:rsidR="00584EC1" w:rsidRDefault="00584EC1">
            <w:pPr>
              <w:rPr>
                <w:rFonts w:ascii="宋体"/>
                <w:vanish/>
              </w:rPr>
            </w:pPr>
          </w:p>
        </w:tc>
        <w:tc>
          <w:tcPr>
            <w:tcW w:w="0" w:type="auto"/>
            <w:gridSpan w:val="3"/>
            <w:shd w:val="clear" w:color="auto" w:fill="auto"/>
            <w:vAlign w:val="bottom"/>
          </w:tcPr>
          <w:p w14:paraId="74DE1D8A" w14:textId="77777777" w:rsidR="00584EC1" w:rsidRDefault="00584EC1">
            <w:pPr>
              <w:rPr>
                <w:rFonts w:ascii="宋体"/>
                <w:vanish/>
              </w:rPr>
            </w:pPr>
          </w:p>
        </w:tc>
        <w:tc>
          <w:tcPr>
            <w:tcW w:w="0" w:type="auto"/>
            <w:gridSpan w:val="3"/>
            <w:shd w:val="clear" w:color="auto" w:fill="auto"/>
            <w:vAlign w:val="bottom"/>
          </w:tcPr>
          <w:p w14:paraId="74DE1D8B" w14:textId="77777777" w:rsidR="00584EC1" w:rsidRDefault="00584EC1">
            <w:pPr>
              <w:rPr>
                <w:rFonts w:ascii="宋体"/>
                <w:vanish/>
              </w:rPr>
            </w:pPr>
          </w:p>
        </w:tc>
        <w:tc>
          <w:tcPr>
            <w:tcW w:w="0" w:type="auto"/>
            <w:gridSpan w:val="3"/>
            <w:shd w:val="clear" w:color="auto" w:fill="auto"/>
            <w:vAlign w:val="bottom"/>
          </w:tcPr>
          <w:p w14:paraId="74DE1D8C" w14:textId="77777777" w:rsidR="00584EC1" w:rsidRDefault="00584EC1">
            <w:pPr>
              <w:rPr>
                <w:rFonts w:ascii="宋体"/>
                <w:vanish/>
              </w:rPr>
            </w:pPr>
          </w:p>
        </w:tc>
        <w:tc>
          <w:tcPr>
            <w:tcW w:w="0" w:type="auto"/>
            <w:gridSpan w:val="3"/>
            <w:shd w:val="clear" w:color="auto" w:fill="auto"/>
            <w:vAlign w:val="bottom"/>
          </w:tcPr>
          <w:p w14:paraId="74DE1D8D" w14:textId="77777777" w:rsidR="00584EC1" w:rsidRDefault="00584EC1">
            <w:pPr>
              <w:rPr>
                <w:rFonts w:ascii="宋体"/>
                <w:vanish/>
              </w:rPr>
            </w:pPr>
          </w:p>
        </w:tc>
        <w:tc>
          <w:tcPr>
            <w:tcW w:w="0" w:type="auto"/>
            <w:gridSpan w:val="3"/>
            <w:shd w:val="clear" w:color="auto" w:fill="auto"/>
            <w:vAlign w:val="bottom"/>
          </w:tcPr>
          <w:p w14:paraId="74DE1D8E" w14:textId="77777777" w:rsidR="00584EC1" w:rsidRDefault="00584EC1">
            <w:pPr>
              <w:rPr>
                <w:rFonts w:ascii="宋体"/>
                <w:vanish/>
              </w:rPr>
            </w:pPr>
          </w:p>
        </w:tc>
        <w:tc>
          <w:tcPr>
            <w:tcW w:w="0" w:type="auto"/>
            <w:gridSpan w:val="3"/>
            <w:shd w:val="clear" w:color="auto" w:fill="auto"/>
            <w:vAlign w:val="bottom"/>
          </w:tcPr>
          <w:p w14:paraId="74DE1D8F" w14:textId="77777777" w:rsidR="00584EC1" w:rsidRDefault="00584EC1">
            <w:pPr>
              <w:rPr>
                <w:rFonts w:ascii="宋体"/>
                <w:vanish/>
              </w:rPr>
            </w:pPr>
          </w:p>
        </w:tc>
        <w:tc>
          <w:tcPr>
            <w:tcW w:w="0" w:type="auto"/>
            <w:gridSpan w:val="3"/>
            <w:shd w:val="clear" w:color="auto" w:fill="auto"/>
            <w:vAlign w:val="bottom"/>
          </w:tcPr>
          <w:p w14:paraId="74DE1D90" w14:textId="77777777" w:rsidR="00584EC1" w:rsidRDefault="00584EC1">
            <w:pPr>
              <w:rPr>
                <w:rFonts w:ascii="宋体"/>
                <w:vanish/>
              </w:rPr>
            </w:pPr>
          </w:p>
        </w:tc>
        <w:tc>
          <w:tcPr>
            <w:tcW w:w="0" w:type="auto"/>
            <w:gridSpan w:val="3"/>
            <w:shd w:val="clear" w:color="auto" w:fill="auto"/>
            <w:vAlign w:val="bottom"/>
          </w:tcPr>
          <w:p w14:paraId="74DE1D91" w14:textId="77777777" w:rsidR="00584EC1" w:rsidRDefault="00584EC1">
            <w:pPr>
              <w:rPr>
                <w:rFonts w:ascii="宋体"/>
                <w:vanish/>
              </w:rPr>
            </w:pPr>
          </w:p>
        </w:tc>
        <w:tc>
          <w:tcPr>
            <w:tcW w:w="0" w:type="auto"/>
            <w:gridSpan w:val="3"/>
            <w:shd w:val="clear" w:color="auto" w:fill="auto"/>
            <w:vAlign w:val="bottom"/>
          </w:tcPr>
          <w:p w14:paraId="74DE1D92" w14:textId="77777777" w:rsidR="00584EC1" w:rsidRDefault="00584EC1">
            <w:pPr>
              <w:rPr>
                <w:rFonts w:ascii="宋体"/>
                <w:vanish/>
              </w:rPr>
            </w:pPr>
          </w:p>
        </w:tc>
        <w:tc>
          <w:tcPr>
            <w:tcW w:w="0" w:type="auto"/>
            <w:gridSpan w:val="3"/>
            <w:shd w:val="clear" w:color="auto" w:fill="auto"/>
            <w:vAlign w:val="bottom"/>
          </w:tcPr>
          <w:p w14:paraId="74DE1D93" w14:textId="77777777" w:rsidR="00584EC1" w:rsidRDefault="00584EC1">
            <w:pPr>
              <w:rPr>
                <w:rFonts w:ascii="宋体"/>
                <w:vanish/>
              </w:rPr>
            </w:pPr>
          </w:p>
        </w:tc>
        <w:tc>
          <w:tcPr>
            <w:tcW w:w="0" w:type="auto"/>
            <w:gridSpan w:val="3"/>
            <w:shd w:val="clear" w:color="auto" w:fill="auto"/>
            <w:vAlign w:val="bottom"/>
          </w:tcPr>
          <w:p w14:paraId="74DE1D94" w14:textId="77777777" w:rsidR="00584EC1" w:rsidRDefault="00584EC1">
            <w:pPr>
              <w:rPr>
                <w:rFonts w:ascii="宋体"/>
                <w:vanish/>
              </w:rPr>
            </w:pPr>
          </w:p>
        </w:tc>
        <w:tc>
          <w:tcPr>
            <w:tcW w:w="0" w:type="auto"/>
            <w:gridSpan w:val="3"/>
            <w:shd w:val="clear" w:color="auto" w:fill="auto"/>
            <w:vAlign w:val="bottom"/>
          </w:tcPr>
          <w:p w14:paraId="74DE1D95" w14:textId="77777777" w:rsidR="00584EC1" w:rsidRDefault="00584EC1">
            <w:pPr>
              <w:rPr>
                <w:rFonts w:ascii="宋体"/>
                <w:vanish/>
              </w:rPr>
            </w:pPr>
          </w:p>
        </w:tc>
        <w:tc>
          <w:tcPr>
            <w:tcW w:w="0" w:type="auto"/>
            <w:gridSpan w:val="3"/>
            <w:shd w:val="clear" w:color="auto" w:fill="auto"/>
            <w:vAlign w:val="bottom"/>
          </w:tcPr>
          <w:p w14:paraId="74DE1D96" w14:textId="77777777" w:rsidR="00584EC1" w:rsidRDefault="00584EC1">
            <w:pPr>
              <w:rPr>
                <w:rFonts w:ascii="宋体"/>
                <w:vanish/>
              </w:rPr>
            </w:pPr>
          </w:p>
        </w:tc>
        <w:tc>
          <w:tcPr>
            <w:tcW w:w="0" w:type="auto"/>
            <w:gridSpan w:val="3"/>
            <w:shd w:val="clear" w:color="auto" w:fill="auto"/>
            <w:vAlign w:val="bottom"/>
          </w:tcPr>
          <w:p w14:paraId="74DE1D97" w14:textId="77777777" w:rsidR="00584EC1" w:rsidRDefault="00584EC1">
            <w:pPr>
              <w:rPr>
                <w:rFonts w:ascii="宋体"/>
                <w:vanish/>
              </w:rPr>
            </w:pPr>
          </w:p>
        </w:tc>
        <w:tc>
          <w:tcPr>
            <w:tcW w:w="0" w:type="auto"/>
            <w:gridSpan w:val="3"/>
            <w:shd w:val="clear" w:color="auto" w:fill="auto"/>
            <w:vAlign w:val="bottom"/>
          </w:tcPr>
          <w:p w14:paraId="74DE1D98" w14:textId="77777777" w:rsidR="00584EC1" w:rsidRDefault="00584EC1">
            <w:pPr>
              <w:rPr>
                <w:rFonts w:ascii="宋体"/>
                <w:vanish/>
              </w:rPr>
            </w:pPr>
          </w:p>
        </w:tc>
        <w:tc>
          <w:tcPr>
            <w:tcW w:w="0" w:type="auto"/>
            <w:gridSpan w:val="3"/>
            <w:shd w:val="clear" w:color="auto" w:fill="auto"/>
            <w:vAlign w:val="bottom"/>
          </w:tcPr>
          <w:p w14:paraId="74DE1D99" w14:textId="77777777" w:rsidR="00584EC1" w:rsidRDefault="00584EC1">
            <w:pPr>
              <w:rPr>
                <w:rFonts w:ascii="宋体"/>
                <w:vanish/>
              </w:rPr>
            </w:pPr>
          </w:p>
        </w:tc>
      </w:tr>
      <w:tr w:rsidR="00584EC1" w14:paraId="74DE1DAF" w14:textId="77777777">
        <w:trPr>
          <w:hidden/>
        </w:trPr>
        <w:tc>
          <w:tcPr>
            <w:tcW w:w="0" w:type="auto"/>
            <w:gridSpan w:val="3"/>
            <w:shd w:val="clear" w:color="auto" w:fill="auto"/>
            <w:vAlign w:val="bottom"/>
          </w:tcPr>
          <w:p w14:paraId="74DE1D9B" w14:textId="77777777" w:rsidR="00584EC1" w:rsidRDefault="00584EC1">
            <w:pPr>
              <w:rPr>
                <w:rFonts w:ascii="宋体"/>
                <w:vanish/>
              </w:rPr>
            </w:pPr>
          </w:p>
        </w:tc>
        <w:tc>
          <w:tcPr>
            <w:tcW w:w="0" w:type="auto"/>
            <w:gridSpan w:val="3"/>
            <w:shd w:val="clear" w:color="auto" w:fill="auto"/>
            <w:vAlign w:val="bottom"/>
          </w:tcPr>
          <w:p w14:paraId="74DE1D9C" w14:textId="77777777" w:rsidR="00584EC1" w:rsidRDefault="00584EC1">
            <w:pPr>
              <w:rPr>
                <w:rFonts w:ascii="宋体"/>
                <w:vanish/>
              </w:rPr>
            </w:pPr>
          </w:p>
        </w:tc>
        <w:tc>
          <w:tcPr>
            <w:tcW w:w="0" w:type="auto"/>
            <w:gridSpan w:val="3"/>
            <w:shd w:val="clear" w:color="auto" w:fill="auto"/>
            <w:vAlign w:val="bottom"/>
          </w:tcPr>
          <w:p w14:paraId="74DE1D9D" w14:textId="77777777" w:rsidR="00584EC1" w:rsidRDefault="00584EC1">
            <w:pPr>
              <w:rPr>
                <w:rFonts w:ascii="宋体"/>
                <w:vanish/>
              </w:rPr>
            </w:pPr>
          </w:p>
        </w:tc>
        <w:tc>
          <w:tcPr>
            <w:tcW w:w="0" w:type="auto"/>
            <w:gridSpan w:val="3"/>
            <w:shd w:val="clear" w:color="auto" w:fill="auto"/>
            <w:vAlign w:val="bottom"/>
          </w:tcPr>
          <w:p w14:paraId="74DE1D9E" w14:textId="77777777" w:rsidR="00584EC1" w:rsidRDefault="00584EC1">
            <w:pPr>
              <w:rPr>
                <w:rFonts w:ascii="宋体"/>
                <w:vanish/>
              </w:rPr>
            </w:pPr>
          </w:p>
        </w:tc>
        <w:tc>
          <w:tcPr>
            <w:tcW w:w="0" w:type="auto"/>
            <w:gridSpan w:val="3"/>
            <w:shd w:val="clear" w:color="auto" w:fill="auto"/>
            <w:vAlign w:val="bottom"/>
          </w:tcPr>
          <w:p w14:paraId="74DE1D9F" w14:textId="77777777" w:rsidR="00584EC1" w:rsidRDefault="00584EC1">
            <w:pPr>
              <w:rPr>
                <w:rFonts w:ascii="宋体"/>
                <w:vanish/>
              </w:rPr>
            </w:pPr>
          </w:p>
        </w:tc>
        <w:tc>
          <w:tcPr>
            <w:tcW w:w="0" w:type="auto"/>
            <w:gridSpan w:val="3"/>
            <w:shd w:val="clear" w:color="auto" w:fill="auto"/>
            <w:vAlign w:val="bottom"/>
          </w:tcPr>
          <w:p w14:paraId="74DE1DA0" w14:textId="77777777" w:rsidR="00584EC1" w:rsidRDefault="00584EC1">
            <w:pPr>
              <w:rPr>
                <w:rFonts w:ascii="宋体"/>
                <w:vanish/>
              </w:rPr>
            </w:pPr>
          </w:p>
        </w:tc>
        <w:tc>
          <w:tcPr>
            <w:tcW w:w="0" w:type="auto"/>
            <w:gridSpan w:val="3"/>
            <w:shd w:val="clear" w:color="auto" w:fill="auto"/>
            <w:vAlign w:val="bottom"/>
          </w:tcPr>
          <w:p w14:paraId="74DE1DA1" w14:textId="77777777" w:rsidR="00584EC1" w:rsidRDefault="00584EC1">
            <w:pPr>
              <w:rPr>
                <w:rFonts w:ascii="宋体"/>
                <w:vanish/>
              </w:rPr>
            </w:pPr>
          </w:p>
        </w:tc>
        <w:tc>
          <w:tcPr>
            <w:tcW w:w="0" w:type="auto"/>
            <w:gridSpan w:val="3"/>
            <w:shd w:val="clear" w:color="auto" w:fill="auto"/>
            <w:vAlign w:val="bottom"/>
          </w:tcPr>
          <w:p w14:paraId="74DE1DA2" w14:textId="77777777" w:rsidR="00584EC1" w:rsidRDefault="00584EC1">
            <w:pPr>
              <w:rPr>
                <w:rFonts w:ascii="宋体"/>
                <w:vanish/>
              </w:rPr>
            </w:pPr>
          </w:p>
        </w:tc>
        <w:tc>
          <w:tcPr>
            <w:tcW w:w="0" w:type="auto"/>
            <w:gridSpan w:val="3"/>
            <w:shd w:val="clear" w:color="auto" w:fill="auto"/>
            <w:vAlign w:val="bottom"/>
          </w:tcPr>
          <w:p w14:paraId="74DE1DA3" w14:textId="77777777" w:rsidR="00584EC1" w:rsidRDefault="00584EC1">
            <w:pPr>
              <w:rPr>
                <w:rFonts w:ascii="宋体"/>
                <w:vanish/>
              </w:rPr>
            </w:pPr>
          </w:p>
        </w:tc>
        <w:tc>
          <w:tcPr>
            <w:tcW w:w="0" w:type="auto"/>
            <w:gridSpan w:val="3"/>
            <w:shd w:val="clear" w:color="auto" w:fill="auto"/>
            <w:vAlign w:val="bottom"/>
          </w:tcPr>
          <w:p w14:paraId="74DE1DA4" w14:textId="77777777" w:rsidR="00584EC1" w:rsidRDefault="00584EC1">
            <w:pPr>
              <w:rPr>
                <w:rFonts w:ascii="宋体"/>
                <w:vanish/>
              </w:rPr>
            </w:pPr>
          </w:p>
        </w:tc>
        <w:tc>
          <w:tcPr>
            <w:tcW w:w="0" w:type="auto"/>
            <w:gridSpan w:val="3"/>
            <w:shd w:val="clear" w:color="auto" w:fill="auto"/>
            <w:vAlign w:val="bottom"/>
          </w:tcPr>
          <w:p w14:paraId="74DE1DA5" w14:textId="77777777" w:rsidR="00584EC1" w:rsidRDefault="00584EC1">
            <w:pPr>
              <w:rPr>
                <w:rFonts w:ascii="宋体"/>
                <w:vanish/>
              </w:rPr>
            </w:pPr>
          </w:p>
        </w:tc>
        <w:tc>
          <w:tcPr>
            <w:tcW w:w="0" w:type="auto"/>
            <w:gridSpan w:val="3"/>
            <w:shd w:val="clear" w:color="auto" w:fill="auto"/>
            <w:vAlign w:val="bottom"/>
          </w:tcPr>
          <w:p w14:paraId="74DE1DA6" w14:textId="77777777" w:rsidR="00584EC1" w:rsidRDefault="00584EC1">
            <w:pPr>
              <w:rPr>
                <w:rFonts w:ascii="宋体"/>
                <w:vanish/>
              </w:rPr>
            </w:pPr>
          </w:p>
        </w:tc>
        <w:tc>
          <w:tcPr>
            <w:tcW w:w="0" w:type="auto"/>
            <w:gridSpan w:val="3"/>
            <w:shd w:val="clear" w:color="auto" w:fill="auto"/>
            <w:vAlign w:val="bottom"/>
          </w:tcPr>
          <w:p w14:paraId="74DE1DA7" w14:textId="77777777" w:rsidR="00584EC1" w:rsidRDefault="00584EC1">
            <w:pPr>
              <w:rPr>
                <w:rFonts w:ascii="宋体"/>
                <w:vanish/>
              </w:rPr>
            </w:pPr>
          </w:p>
        </w:tc>
        <w:tc>
          <w:tcPr>
            <w:tcW w:w="0" w:type="auto"/>
            <w:gridSpan w:val="3"/>
            <w:shd w:val="clear" w:color="auto" w:fill="auto"/>
            <w:vAlign w:val="bottom"/>
          </w:tcPr>
          <w:p w14:paraId="74DE1DA8" w14:textId="77777777" w:rsidR="00584EC1" w:rsidRDefault="00584EC1">
            <w:pPr>
              <w:rPr>
                <w:rFonts w:ascii="宋体"/>
                <w:vanish/>
              </w:rPr>
            </w:pPr>
          </w:p>
        </w:tc>
        <w:tc>
          <w:tcPr>
            <w:tcW w:w="0" w:type="auto"/>
            <w:gridSpan w:val="3"/>
            <w:shd w:val="clear" w:color="auto" w:fill="auto"/>
            <w:vAlign w:val="bottom"/>
          </w:tcPr>
          <w:p w14:paraId="74DE1DA9" w14:textId="77777777" w:rsidR="00584EC1" w:rsidRDefault="00584EC1">
            <w:pPr>
              <w:rPr>
                <w:rFonts w:ascii="宋体"/>
                <w:vanish/>
              </w:rPr>
            </w:pPr>
          </w:p>
        </w:tc>
        <w:tc>
          <w:tcPr>
            <w:tcW w:w="0" w:type="auto"/>
            <w:gridSpan w:val="3"/>
            <w:shd w:val="clear" w:color="auto" w:fill="auto"/>
            <w:vAlign w:val="bottom"/>
          </w:tcPr>
          <w:p w14:paraId="74DE1DAA" w14:textId="77777777" w:rsidR="00584EC1" w:rsidRDefault="00584EC1">
            <w:pPr>
              <w:rPr>
                <w:rFonts w:ascii="宋体"/>
                <w:vanish/>
              </w:rPr>
            </w:pPr>
          </w:p>
        </w:tc>
        <w:tc>
          <w:tcPr>
            <w:tcW w:w="0" w:type="auto"/>
            <w:gridSpan w:val="3"/>
            <w:shd w:val="clear" w:color="auto" w:fill="auto"/>
            <w:vAlign w:val="bottom"/>
          </w:tcPr>
          <w:p w14:paraId="74DE1DAB" w14:textId="77777777" w:rsidR="00584EC1" w:rsidRDefault="00584EC1">
            <w:pPr>
              <w:rPr>
                <w:rFonts w:ascii="宋体"/>
                <w:vanish/>
              </w:rPr>
            </w:pPr>
          </w:p>
        </w:tc>
        <w:tc>
          <w:tcPr>
            <w:tcW w:w="0" w:type="auto"/>
            <w:gridSpan w:val="3"/>
            <w:shd w:val="clear" w:color="auto" w:fill="auto"/>
            <w:vAlign w:val="bottom"/>
          </w:tcPr>
          <w:p w14:paraId="74DE1DAC" w14:textId="77777777" w:rsidR="00584EC1" w:rsidRDefault="00584EC1">
            <w:pPr>
              <w:rPr>
                <w:rFonts w:ascii="宋体"/>
                <w:vanish/>
              </w:rPr>
            </w:pPr>
          </w:p>
        </w:tc>
        <w:tc>
          <w:tcPr>
            <w:tcW w:w="0" w:type="auto"/>
            <w:gridSpan w:val="3"/>
            <w:shd w:val="clear" w:color="auto" w:fill="auto"/>
            <w:vAlign w:val="bottom"/>
          </w:tcPr>
          <w:p w14:paraId="74DE1DAD" w14:textId="77777777" w:rsidR="00584EC1" w:rsidRDefault="00584EC1">
            <w:pPr>
              <w:rPr>
                <w:rFonts w:ascii="宋体"/>
                <w:vanish/>
              </w:rPr>
            </w:pPr>
          </w:p>
        </w:tc>
        <w:tc>
          <w:tcPr>
            <w:tcW w:w="0" w:type="auto"/>
            <w:gridSpan w:val="3"/>
            <w:shd w:val="clear" w:color="auto" w:fill="auto"/>
            <w:vAlign w:val="bottom"/>
          </w:tcPr>
          <w:p w14:paraId="74DE1DAE" w14:textId="77777777" w:rsidR="00584EC1" w:rsidRDefault="00584EC1">
            <w:pPr>
              <w:rPr>
                <w:rFonts w:ascii="宋体"/>
                <w:vanish/>
              </w:rPr>
            </w:pPr>
          </w:p>
        </w:tc>
      </w:tr>
    </w:tbl>
    <w:p w14:paraId="74DE1DB0" w14:textId="77777777" w:rsidR="00584EC1" w:rsidRDefault="00584E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2095"/>
        <w:gridCol w:w="38"/>
        <w:gridCol w:w="88"/>
        <w:gridCol w:w="585"/>
        <w:gridCol w:w="36"/>
        <w:gridCol w:w="36"/>
        <w:gridCol w:w="36"/>
        <w:gridCol w:w="36"/>
        <w:gridCol w:w="88"/>
        <w:gridCol w:w="563"/>
        <w:gridCol w:w="36"/>
        <w:gridCol w:w="36"/>
        <w:gridCol w:w="36"/>
        <w:gridCol w:w="36"/>
        <w:gridCol w:w="87"/>
        <w:gridCol w:w="519"/>
        <w:gridCol w:w="36"/>
        <w:gridCol w:w="36"/>
        <w:gridCol w:w="36"/>
        <w:gridCol w:w="36"/>
        <w:gridCol w:w="88"/>
        <w:gridCol w:w="563"/>
        <w:gridCol w:w="36"/>
        <w:gridCol w:w="36"/>
        <w:gridCol w:w="36"/>
        <w:gridCol w:w="36"/>
        <w:gridCol w:w="88"/>
        <w:gridCol w:w="577"/>
        <w:gridCol w:w="36"/>
        <w:gridCol w:w="36"/>
        <w:gridCol w:w="36"/>
        <w:gridCol w:w="36"/>
        <w:gridCol w:w="87"/>
        <w:gridCol w:w="389"/>
        <w:gridCol w:w="36"/>
        <w:gridCol w:w="36"/>
        <w:gridCol w:w="36"/>
        <w:gridCol w:w="36"/>
        <w:gridCol w:w="36"/>
        <w:gridCol w:w="36"/>
        <w:gridCol w:w="36"/>
        <w:gridCol w:w="36"/>
        <w:gridCol w:w="36"/>
        <w:gridCol w:w="36"/>
        <w:gridCol w:w="109"/>
        <w:gridCol w:w="109"/>
        <w:gridCol w:w="109"/>
        <w:gridCol w:w="36"/>
        <w:gridCol w:w="36"/>
        <w:gridCol w:w="36"/>
        <w:gridCol w:w="36"/>
        <w:gridCol w:w="36"/>
        <w:gridCol w:w="36"/>
        <w:gridCol w:w="36"/>
        <w:gridCol w:w="36"/>
        <w:gridCol w:w="36"/>
        <w:gridCol w:w="87"/>
        <w:gridCol w:w="588"/>
        <w:gridCol w:w="36"/>
      </w:tblGrid>
      <w:tr w:rsidR="00584EC1" w14:paraId="74DE1DE1" w14:textId="77777777">
        <w:tc>
          <w:tcPr>
            <w:tcW w:w="50" w:type="pct"/>
            <w:shd w:val="clear" w:color="auto" w:fill="auto"/>
            <w:vAlign w:val="bottom"/>
          </w:tcPr>
          <w:p w14:paraId="74DE1DB1" w14:textId="77777777" w:rsidR="00584EC1" w:rsidRDefault="00584EC1">
            <w:pPr>
              <w:rPr>
                <w:rFonts w:ascii="宋体"/>
              </w:rPr>
            </w:pPr>
          </w:p>
        </w:tc>
        <w:tc>
          <w:tcPr>
            <w:tcW w:w="1436" w:type="pct"/>
            <w:shd w:val="clear" w:color="auto" w:fill="auto"/>
            <w:vAlign w:val="bottom"/>
          </w:tcPr>
          <w:p w14:paraId="74DE1DB2" w14:textId="77777777" w:rsidR="00584EC1" w:rsidRDefault="00584EC1">
            <w:pPr>
              <w:rPr>
                <w:rFonts w:ascii="宋体"/>
              </w:rPr>
            </w:pPr>
          </w:p>
        </w:tc>
        <w:tc>
          <w:tcPr>
            <w:tcW w:w="5" w:type="pct"/>
            <w:shd w:val="clear" w:color="auto" w:fill="auto"/>
            <w:vAlign w:val="bottom"/>
          </w:tcPr>
          <w:p w14:paraId="74DE1DB3" w14:textId="77777777" w:rsidR="00584EC1" w:rsidRDefault="00584EC1">
            <w:pPr>
              <w:rPr>
                <w:rFonts w:ascii="宋体"/>
              </w:rPr>
            </w:pPr>
          </w:p>
        </w:tc>
        <w:tc>
          <w:tcPr>
            <w:tcW w:w="50" w:type="pct"/>
            <w:shd w:val="clear" w:color="auto" w:fill="auto"/>
            <w:vAlign w:val="bottom"/>
          </w:tcPr>
          <w:p w14:paraId="74DE1DB4" w14:textId="77777777" w:rsidR="00584EC1" w:rsidRDefault="00584EC1">
            <w:pPr>
              <w:rPr>
                <w:rFonts w:ascii="宋体"/>
              </w:rPr>
            </w:pPr>
          </w:p>
        </w:tc>
        <w:tc>
          <w:tcPr>
            <w:tcW w:w="420" w:type="pct"/>
            <w:shd w:val="clear" w:color="auto" w:fill="auto"/>
            <w:vAlign w:val="bottom"/>
          </w:tcPr>
          <w:p w14:paraId="74DE1DB5" w14:textId="77777777" w:rsidR="00584EC1" w:rsidRDefault="00584EC1">
            <w:pPr>
              <w:rPr>
                <w:rFonts w:ascii="宋体"/>
              </w:rPr>
            </w:pPr>
          </w:p>
        </w:tc>
        <w:tc>
          <w:tcPr>
            <w:tcW w:w="5" w:type="pct"/>
            <w:shd w:val="clear" w:color="auto" w:fill="auto"/>
            <w:vAlign w:val="bottom"/>
          </w:tcPr>
          <w:p w14:paraId="74DE1DB6" w14:textId="77777777" w:rsidR="00584EC1" w:rsidRDefault="00584EC1">
            <w:pPr>
              <w:rPr>
                <w:rFonts w:ascii="宋体"/>
              </w:rPr>
            </w:pPr>
          </w:p>
        </w:tc>
        <w:tc>
          <w:tcPr>
            <w:tcW w:w="5" w:type="pct"/>
            <w:shd w:val="clear" w:color="auto" w:fill="auto"/>
            <w:vAlign w:val="bottom"/>
          </w:tcPr>
          <w:p w14:paraId="74DE1DB7" w14:textId="77777777" w:rsidR="00584EC1" w:rsidRDefault="00584EC1">
            <w:pPr>
              <w:rPr>
                <w:rFonts w:ascii="宋体"/>
              </w:rPr>
            </w:pPr>
          </w:p>
        </w:tc>
        <w:tc>
          <w:tcPr>
            <w:tcW w:w="26" w:type="pct"/>
            <w:shd w:val="clear" w:color="auto" w:fill="auto"/>
            <w:vAlign w:val="bottom"/>
          </w:tcPr>
          <w:p w14:paraId="74DE1DB8" w14:textId="77777777" w:rsidR="00584EC1" w:rsidRDefault="00584EC1">
            <w:pPr>
              <w:rPr>
                <w:rFonts w:ascii="宋体"/>
              </w:rPr>
            </w:pPr>
          </w:p>
        </w:tc>
        <w:tc>
          <w:tcPr>
            <w:tcW w:w="5" w:type="pct"/>
            <w:shd w:val="clear" w:color="auto" w:fill="auto"/>
            <w:vAlign w:val="bottom"/>
          </w:tcPr>
          <w:p w14:paraId="74DE1DB9" w14:textId="77777777" w:rsidR="00584EC1" w:rsidRDefault="00584EC1">
            <w:pPr>
              <w:rPr>
                <w:rFonts w:ascii="宋体"/>
              </w:rPr>
            </w:pPr>
          </w:p>
        </w:tc>
        <w:tc>
          <w:tcPr>
            <w:tcW w:w="50" w:type="pct"/>
            <w:shd w:val="clear" w:color="auto" w:fill="auto"/>
            <w:vAlign w:val="bottom"/>
          </w:tcPr>
          <w:p w14:paraId="74DE1DBA" w14:textId="77777777" w:rsidR="00584EC1" w:rsidRDefault="00584EC1">
            <w:pPr>
              <w:rPr>
                <w:rFonts w:ascii="宋体"/>
              </w:rPr>
            </w:pPr>
          </w:p>
        </w:tc>
        <w:tc>
          <w:tcPr>
            <w:tcW w:w="434" w:type="pct"/>
            <w:shd w:val="clear" w:color="auto" w:fill="auto"/>
            <w:vAlign w:val="bottom"/>
          </w:tcPr>
          <w:p w14:paraId="74DE1DBB" w14:textId="77777777" w:rsidR="00584EC1" w:rsidRDefault="00584EC1">
            <w:pPr>
              <w:rPr>
                <w:rFonts w:ascii="宋体"/>
              </w:rPr>
            </w:pPr>
          </w:p>
        </w:tc>
        <w:tc>
          <w:tcPr>
            <w:tcW w:w="5" w:type="pct"/>
            <w:shd w:val="clear" w:color="auto" w:fill="auto"/>
            <w:vAlign w:val="bottom"/>
          </w:tcPr>
          <w:p w14:paraId="74DE1DBC" w14:textId="77777777" w:rsidR="00584EC1" w:rsidRDefault="00584EC1">
            <w:pPr>
              <w:rPr>
                <w:rFonts w:ascii="宋体"/>
              </w:rPr>
            </w:pPr>
          </w:p>
        </w:tc>
        <w:tc>
          <w:tcPr>
            <w:tcW w:w="5" w:type="pct"/>
            <w:shd w:val="clear" w:color="auto" w:fill="auto"/>
            <w:vAlign w:val="bottom"/>
          </w:tcPr>
          <w:p w14:paraId="74DE1DBD" w14:textId="77777777" w:rsidR="00584EC1" w:rsidRDefault="00584EC1">
            <w:pPr>
              <w:rPr>
                <w:rFonts w:ascii="宋体"/>
              </w:rPr>
            </w:pPr>
          </w:p>
        </w:tc>
        <w:tc>
          <w:tcPr>
            <w:tcW w:w="26" w:type="pct"/>
            <w:shd w:val="clear" w:color="auto" w:fill="auto"/>
            <w:vAlign w:val="bottom"/>
          </w:tcPr>
          <w:p w14:paraId="74DE1DBE" w14:textId="77777777" w:rsidR="00584EC1" w:rsidRDefault="00584EC1">
            <w:pPr>
              <w:rPr>
                <w:rFonts w:ascii="宋体"/>
              </w:rPr>
            </w:pPr>
          </w:p>
        </w:tc>
        <w:tc>
          <w:tcPr>
            <w:tcW w:w="5" w:type="pct"/>
            <w:shd w:val="clear" w:color="auto" w:fill="auto"/>
            <w:vAlign w:val="bottom"/>
          </w:tcPr>
          <w:p w14:paraId="74DE1DBF" w14:textId="77777777" w:rsidR="00584EC1" w:rsidRDefault="00584EC1">
            <w:pPr>
              <w:rPr>
                <w:rFonts w:ascii="宋体"/>
              </w:rPr>
            </w:pPr>
          </w:p>
        </w:tc>
        <w:tc>
          <w:tcPr>
            <w:tcW w:w="50" w:type="pct"/>
            <w:shd w:val="clear" w:color="auto" w:fill="auto"/>
            <w:vAlign w:val="bottom"/>
          </w:tcPr>
          <w:p w14:paraId="74DE1DC0" w14:textId="77777777" w:rsidR="00584EC1" w:rsidRDefault="00584EC1">
            <w:pPr>
              <w:rPr>
                <w:rFonts w:ascii="宋体"/>
              </w:rPr>
            </w:pPr>
          </w:p>
        </w:tc>
        <w:tc>
          <w:tcPr>
            <w:tcW w:w="405" w:type="pct"/>
            <w:shd w:val="clear" w:color="auto" w:fill="auto"/>
            <w:vAlign w:val="bottom"/>
          </w:tcPr>
          <w:p w14:paraId="74DE1DC1" w14:textId="77777777" w:rsidR="00584EC1" w:rsidRDefault="00584EC1">
            <w:pPr>
              <w:rPr>
                <w:rFonts w:ascii="宋体"/>
              </w:rPr>
            </w:pPr>
          </w:p>
        </w:tc>
        <w:tc>
          <w:tcPr>
            <w:tcW w:w="5" w:type="pct"/>
            <w:shd w:val="clear" w:color="auto" w:fill="auto"/>
            <w:vAlign w:val="bottom"/>
          </w:tcPr>
          <w:p w14:paraId="74DE1DC2" w14:textId="77777777" w:rsidR="00584EC1" w:rsidRDefault="00584EC1">
            <w:pPr>
              <w:rPr>
                <w:rFonts w:ascii="宋体"/>
              </w:rPr>
            </w:pPr>
          </w:p>
        </w:tc>
        <w:tc>
          <w:tcPr>
            <w:tcW w:w="5" w:type="pct"/>
            <w:shd w:val="clear" w:color="auto" w:fill="auto"/>
            <w:vAlign w:val="bottom"/>
          </w:tcPr>
          <w:p w14:paraId="74DE1DC3" w14:textId="77777777" w:rsidR="00584EC1" w:rsidRDefault="00584EC1">
            <w:pPr>
              <w:rPr>
                <w:rFonts w:ascii="宋体"/>
              </w:rPr>
            </w:pPr>
          </w:p>
        </w:tc>
        <w:tc>
          <w:tcPr>
            <w:tcW w:w="26" w:type="pct"/>
            <w:shd w:val="clear" w:color="auto" w:fill="auto"/>
            <w:vAlign w:val="bottom"/>
          </w:tcPr>
          <w:p w14:paraId="74DE1DC4" w14:textId="77777777" w:rsidR="00584EC1" w:rsidRDefault="00584EC1">
            <w:pPr>
              <w:rPr>
                <w:rFonts w:ascii="宋体"/>
              </w:rPr>
            </w:pPr>
          </w:p>
        </w:tc>
        <w:tc>
          <w:tcPr>
            <w:tcW w:w="5" w:type="pct"/>
            <w:shd w:val="clear" w:color="auto" w:fill="auto"/>
            <w:vAlign w:val="bottom"/>
          </w:tcPr>
          <w:p w14:paraId="74DE1DC5" w14:textId="77777777" w:rsidR="00584EC1" w:rsidRDefault="00584EC1">
            <w:pPr>
              <w:rPr>
                <w:rFonts w:ascii="宋体"/>
              </w:rPr>
            </w:pPr>
          </w:p>
        </w:tc>
        <w:tc>
          <w:tcPr>
            <w:tcW w:w="50" w:type="pct"/>
            <w:shd w:val="clear" w:color="auto" w:fill="auto"/>
            <w:vAlign w:val="bottom"/>
          </w:tcPr>
          <w:p w14:paraId="74DE1DC6" w14:textId="77777777" w:rsidR="00584EC1" w:rsidRDefault="00584EC1">
            <w:pPr>
              <w:rPr>
                <w:rFonts w:ascii="宋体"/>
              </w:rPr>
            </w:pPr>
          </w:p>
        </w:tc>
        <w:tc>
          <w:tcPr>
            <w:tcW w:w="434" w:type="pct"/>
            <w:shd w:val="clear" w:color="auto" w:fill="auto"/>
            <w:vAlign w:val="bottom"/>
          </w:tcPr>
          <w:p w14:paraId="74DE1DC7" w14:textId="77777777" w:rsidR="00584EC1" w:rsidRDefault="00584EC1">
            <w:pPr>
              <w:rPr>
                <w:rFonts w:ascii="宋体"/>
              </w:rPr>
            </w:pPr>
          </w:p>
        </w:tc>
        <w:tc>
          <w:tcPr>
            <w:tcW w:w="5" w:type="pct"/>
            <w:shd w:val="clear" w:color="auto" w:fill="auto"/>
            <w:vAlign w:val="bottom"/>
          </w:tcPr>
          <w:p w14:paraId="74DE1DC8" w14:textId="77777777" w:rsidR="00584EC1" w:rsidRDefault="00584EC1">
            <w:pPr>
              <w:rPr>
                <w:rFonts w:ascii="宋体"/>
              </w:rPr>
            </w:pPr>
          </w:p>
        </w:tc>
        <w:tc>
          <w:tcPr>
            <w:tcW w:w="5" w:type="pct"/>
            <w:shd w:val="clear" w:color="auto" w:fill="auto"/>
            <w:vAlign w:val="bottom"/>
          </w:tcPr>
          <w:p w14:paraId="74DE1DC9" w14:textId="77777777" w:rsidR="00584EC1" w:rsidRDefault="00584EC1">
            <w:pPr>
              <w:rPr>
                <w:rFonts w:ascii="宋体"/>
              </w:rPr>
            </w:pPr>
          </w:p>
        </w:tc>
        <w:tc>
          <w:tcPr>
            <w:tcW w:w="26" w:type="pct"/>
            <w:shd w:val="clear" w:color="auto" w:fill="auto"/>
            <w:vAlign w:val="bottom"/>
          </w:tcPr>
          <w:p w14:paraId="74DE1DCA" w14:textId="77777777" w:rsidR="00584EC1" w:rsidRDefault="00584EC1">
            <w:pPr>
              <w:rPr>
                <w:rFonts w:ascii="宋体"/>
              </w:rPr>
            </w:pPr>
          </w:p>
        </w:tc>
        <w:tc>
          <w:tcPr>
            <w:tcW w:w="5" w:type="pct"/>
            <w:shd w:val="clear" w:color="auto" w:fill="auto"/>
            <w:vAlign w:val="bottom"/>
          </w:tcPr>
          <w:p w14:paraId="74DE1DCB" w14:textId="77777777" w:rsidR="00584EC1" w:rsidRDefault="00584EC1">
            <w:pPr>
              <w:rPr>
                <w:rFonts w:ascii="宋体"/>
              </w:rPr>
            </w:pPr>
          </w:p>
        </w:tc>
        <w:tc>
          <w:tcPr>
            <w:tcW w:w="50" w:type="pct"/>
            <w:shd w:val="clear" w:color="auto" w:fill="auto"/>
            <w:vAlign w:val="bottom"/>
          </w:tcPr>
          <w:p w14:paraId="74DE1DCC" w14:textId="77777777" w:rsidR="00584EC1" w:rsidRDefault="00584EC1">
            <w:pPr>
              <w:rPr>
                <w:rFonts w:ascii="宋体"/>
              </w:rPr>
            </w:pPr>
          </w:p>
        </w:tc>
        <w:tc>
          <w:tcPr>
            <w:tcW w:w="442" w:type="pct"/>
            <w:shd w:val="clear" w:color="auto" w:fill="auto"/>
            <w:vAlign w:val="bottom"/>
          </w:tcPr>
          <w:p w14:paraId="74DE1DCD" w14:textId="77777777" w:rsidR="00584EC1" w:rsidRDefault="00584EC1">
            <w:pPr>
              <w:rPr>
                <w:rFonts w:ascii="宋体"/>
              </w:rPr>
            </w:pPr>
          </w:p>
        </w:tc>
        <w:tc>
          <w:tcPr>
            <w:tcW w:w="5" w:type="pct"/>
            <w:shd w:val="clear" w:color="auto" w:fill="auto"/>
            <w:vAlign w:val="bottom"/>
          </w:tcPr>
          <w:p w14:paraId="74DE1DCE" w14:textId="77777777" w:rsidR="00584EC1" w:rsidRDefault="00584EC1">
            <w:pPr>
              <w:rPr>
                <w:rFonts w:ascii="宋体"/>
              </w:rPr>
            </w:pPr>
          </w:p>
        </w:tc>
        <w:tc>
          <w:tcPr>
            <w:tcW w:w="5" w:type="pct"/>
            <w:shd w:val="clear" w:color="auto" w:fill="auto"/>
            <w:vAlign w:val="bottom"/>
          </w:tcPr>
          <w:p w14:paraId="74DE1DCF" w14:textId="77777777" w:rsidR="00584EC1" w:rsidRDefault="00584EC1">
            <w:pPr>
              <w:rPr>
                <w:rFonts w:ascii="宋体"/>
              </w:rPr>
            </w:pPr>
          </w:p>
        </w:tc>
        <w:tc>
          <w:tcPr>
            <w:tcW w:w="26" w:type="pct"/>
            <w:shd w:val="clear" w:color="auto" w:fill="auto"/>
            <w:vAlign w:val="bottom"/>
          </w:tcPr>
          <w:p w14:paraId="74DE1DD0" w14:textId="77777777" w:rsidR="00584EC1" w:rsidRDefault="00584EC1">
            <w:pPr>
              <w:rPr>
                <w:rFonts w:ascii="宋体"/>
              </w:rPr>
            </w:pPr>
          </w:p>
        </w:tc>
        <w:tc>
          <w:tcPr>
            <w:tcW w:w="5" w:type="pct"/>
            <w:shd w:val="clear" w:color="auto" w:fill="auto"/>
            <w:vAlign w:val="bottom"/>
          </w:tcPr>
          <w:p w14:paraId="74DE1DD1" w14:textId="77777777" w:rsidR="00584EC1" w:rsidRDefault="00584EC1">
            <w:pPr>
              <w:rPr>
                <w:rFonts w:ascii="宋体"/>
              </w:rPr>
            </w:pPr>
          </w:p>
        </w:tc>
        <w:tc>
          <w:tcPr>
            <w:tcW w:w="50" w:type="pct"/>
            <w:shd w:val="clear" w:color="auto" w:fill="auto"/>
            <w:vAlign w:val="bottom"/>
          </w:tcPr>
          <w:p w14:paraId="74DE1DD2" w14:textId="77777777" w:rsidR="00584EC1" w:rsidRDefault="00584EC1">
            <w:pPr>
              <w:rPr>
                <w:rFonts w:ascii="宋体"/>
              </w:rPr>
            </w:pPr>
          </w:p>
        </w:tc>
        <w:tc>
          <w:tcPr>
            <w:tcW w:w="317" w:type="pct"/>
            <w:shd w:val="clear" w:color="auto" w:fill="auto"/>
            <w:vAlign w:val="bottom"/>
          </w:tcPr>
          <w:p w14:paraId="74DE1DD3" w14:textId="77777777" w:rsidR="00584EC1" w:rsidRDefault="00584EC1">
            <w:pPr>
              <w:rPr>
                <w:rFonts w:ascii="宋体"/>
              </w:rPr>
            </w:pPr>
          </w:p>
        </w:tc>
        <w:tc>
          <w:tcPr>
            <w:tcW w:w="5" w:type="pct"/>
            <w:shd w:val="clear" w:color="auto" w:fill="auto"/>
            <w:vAlign w:val="bottom"/>
          </w:tcPr>
          <w:p w14:paraId="74DE1DD4" w14:textId="77777777" w:rsidR="00584EC1" w:rsidRDefault="00584EC1">
            <w:pPr>
              <w:rPr>
                <w:rFonts w:ascii="宋体"/>
              </w:rPr>
            </w:pPr>
          </w:p>
        </w:tc>
        <w:tc>
          <w:tcPr>
            <w:tcW w:w="5" w:type="pct"/>
            <w:shd w:val="clear" w:color="auto" w:fill="auto"/>
            <w:vAlign w:val="bottom"/>
          </w:tcPr>
          <w:p w14:paraId="74DE1DD5" w14:textId="77777777" w:rsidR="00584EC1" w:rsidRDefault="00584EC1">
            <w:pPr>
              <w:rPr>
                <w:rFonts w:ascii="宋体"/>
              </w:rPr>
            </w:pPr>
          </w:p>
        </w:tc>
        <w:tc>
          <w:tcPr>
            <w:tcW w:w="26" w:type="pct"/>
            <w:shd w:val="clear" w:color="auto" w:fill="auto"/>
            <w:vAlign w:val="bottom"/>
          </w:tcPr>
          <w:p w14:paraId="74DE1DD6" w14:textId="77777777" w:rsidR="00584EC1" w:rsidRDefault="00584EC1">
            <w:pPr>
              <w:rPr>
                <w:rFonts w:ascii="宋体"/>
              </w:rPr>
            </w:pPr>
          </w:p>
        </w:tc>
        <w:tc>
          <w:tcPr>
            <w:tcW w:w="5" w:type="pct"/>
            <w:shd w:val="clear" w:color="auto" w:fill="auto"/>
            <w:vAlign w:val="bottom"/>
          </w:tcPr>
          <w:p w14:paraId="74DE1DD7" w14:textId="77777777" w:rsidR="00584EC1" w:rsidRDefault="00584EC1">
            <w:pPr>
              <w:rPr>
                <w:rFonts w:ascii="宋体"/>
              </w:rPr>
            </w:pPr>
          </w:p>
        </w:tc>
        <w:tc>
          <w:tcPr>
            <w:tcW w:w="0" w:type="auto"/>
            <w:gridSpan w:val="3"/>
            <w:shd w:val="clear" w:color="auto" w:fill="auto"/>
            <w:vAlign w:val="bottom"/>
          </w:tcPr>
          <w:p w14:paraId="74DE1DD8" w14:textId="77777777" w:rsidR="00584EC1" w:rsidRDefault="00584EC1">
            <w:pPr>
              <w:rPr>
                <w:rFonts w:ascii="宋体"/>
                <w:vanish/>
              </w:rPr>
            </w:pPr>
          </w:p>
        </w:tc>
        <w:tc>
          <w:tcPr>
            <w:tcW w:w="0" w:type="auto"/>
            <w:gridSpan w:val="3"/>
            <w:shd w:val="clear" w:color="auto" w:fill="auto"/>
            <w:vAlign w:val="bottom"/>
          </w:tcPr>
          <w:p w14:paraId="74DE1DD9" w14:textId="77777777" w:rsidR="00584EC1" w:rsidRDefault="00584EC1">
            <w:pPr>
              <w:rPr>
                <w:rFonts w:ascii="宋体"/>
                <w:vanish/>
              </w:rPr>
            </w:pPr>
          </w:p>
        </w:tc>
        <w:tc>
          <w:tcPr>
            <w:tcW w:w="0" w:type="auto"/>
            <w:gridSpan w:val="3"/>
            <w:shd w:val="clear" w:color="auto" w:fill="auto"/>
            <w:vAlign w:val="bottom"/>
          </w:tcPr>
          <w:p w14:paraId="74DE1DDA" w14:textId="77777777" w:rsidR="00584EC1" w:rsidRDefault="00584EC1">
            <w:pPr>
              <w:rPr>
                <w:rFonts w:ascii="宋体"/>
                <w:vanish/>
              </w:rPr>
            </w:pPr>
          </w:p>
        </w:tc>
        <w:tc>
          <w:tcPr>
            <w:tcW w:w="0" w:type="auto"/>
            <w:gridSpan w:val="3"/>
            <w:shd w:val="clear" w:color="auto" w:fill="auto"/>
            <w:vAlign w:val="bottom"/>
          </w:tcPr>
          <w:p w14:paraId="74DE1DDB" w14:textId="77777777" w:rsidR="00584EC1" w:rsidRDefault="00584EC1">
            <w:pPr>
              <w:rPr>
                <w:rFonts w:ascii="宋体"/>
                <w:vanish/>
              </w:rPr>
            </w:pPr>
          </w:p>
        </w:tc>
        <w:tc>
          <w:tcPr>
            <w:tcW w:w="0" w:type="auto"/>
            <w:gridSpan w:val="3"/>
            <w:shd w:val="clear" w:color="auto" w:fill="auto"/>
            <w:vAlign w:val="bottom"/>
          </w:tcPr>
          <w:p w14:paraId="74DE1DDC" w14:textId="77777777" w:rsidR="00584EC1" w:rsidRDefault="00584EC1">
            <w:pPr>
              <w:rPr>
                <w:rFonts w:ascii="宋体"/>
                <w:vanish/>
              </w:rPr>
            </w:pPr>
          </w:p>
        </w:tc>
        <w:tc>
          <w:tcPr>
            <w:tcW w:w="0" w:type="auto"/>
            <w:gridSpan w:val="3"/>
            <w:shd w:val="clear" w:color="auto" w:fill="auto"/>
            <w:vAlign w:val="bottom"/>
          </w:tcPr>
          <w:p w14:paraId="74DE1DDD" w14:textId="77777777" w:rsidR="00584EC1" w:rsidRDefault="00584EC1">
            <w:pPr>
              <w:rPr>
                <w:rFonts w:ascii="宋体"/>
                <w:vanish/>
              </w:rPr>
            </w:pPr>
          </w:p>
        </w:tc>
        <w:tc>
          <w:tcPr>
            <w:tcW w:w="50" w:type="pct"/>
            <w:shd w:val="clear" w:color="auto" w:fill="auto"/>
            <w:vAlign w:val="bottom"/>
          </w:tcPr>
          <w:p w14:paraId="74DE1DDE" w14:textId="77777777" w:rsidR="00584EC1" w:rsidRDefault="00584EC1">
            <w:pPr>
              <w:rPr>
                <w:rFonts w:ascii="宋体"/>
              </w:rPr>
            </w:pPr>
          </w:p>
        </w:tc>
        <w:tc>
          <w:tcPr>
            <w:tcW w:w="449" w:type="pct"/>
            <w:shd w:val="clear" w:color="auto" w:fill="auto"/>
            <w:vAlign w:val="bottom"/>
          </w:tcPr>
          <w:p w14:paraId="74DE1DDF" w14:textId="77777777" w:rsidR="00584EC1" w:rsidRDefault="00584EC1">
            <w:pPr>
              <w:rPr>
                <w:rFonts w:ascii="宋体"/>
              </w:rPr>
            </w:pPr>
          </w:p>
        </w:tc>
        <w:tc>
          <w:tcPr>
            <w:tcW w:w="5" w:type="pct"/>
            <w:shd w:val="clear" w:color="auto" w:fill="auto"/>
            <w:vAlign w:val="bottom"/>
          </w:tcPr>
          <w:p w14:paraId="74DE1DE0" w14:textId="77777777" w:rsidR="00584EC1" w:rsidRDefault="00584EC1">
            <w:pPr>
              <w:rPr>
                <w:rFonts w:ascii="宋体"/>
              </w:rPr>
            </w:pPr>
          </w:p>
        </w:tc>
      </w:tr>
      <w:tr w:rsidR="00584EC1" w14:paraId="74DE1E1A" w14:textId="77777777">
        <w:trPr>
          <w:hidden/>
        </w:trPr>
        <w:tc>
          <w:tcPr>
            <w:tcW w:w="0" w:type="auto"/>
            <w:gridSpan w:val="3"/>
            <w:shd w:val="clear" w:color="auto" w:fill="auto"/>
            <w:vAlign w:val="bottom"/>
          </w:tcPr>
          <w:p w14:paraId="74DE1DE2" w14:textId="77777777" w:rsidR="00584EC1" w:rsidRDefault="00584EC1">
            <w:pPr>
              <w:rPr>
                <w:rFonts w:ascii="宋体"/>
                <w:vanish/>
              </w:rPr>
            </w:pPr>
          </w:p>
        </w:tc>
        <w:tc>
          <w:tcPr>
            <w:tcW w:w="0" w:type="auto"/>
            <w:gridSpan w:val="3"/>
            <w:shd w:val="clear" w:color="auto" w:fill="auto"/>
            <w:vAlign w:val="bottom"/>
          </w:tcPr>
          <w:p w14:paraId="74DE1DE3" w14:textId="77777777" w:rsidR="00584EC1" w:rsidRDefault="00584EC1">
            <w:pPr>
              <w:rPr>
                <w:rFonts w:ascii="宋体"/>
                <w:vanish/>
              </w:rPr>
            </w:pPr>
          </w:p>
        </w:tc>
        <w:tc>
          <w:tcPr>
            <w:tcW w:w="0" w:type="auto"/>
            <w:shd w:val="clear" w:color="auto" w:fill="auto"/>
            <w:vAlign w:val="bottom"/>
          </w:tcPr>
          <w:p w14:paraId="74DE1DE4" w14:textId="77777777" w:rsidR="00584EC1" w:rsidRDefault="00584EC1">
            <w:pPr>
              <w:rPr>
                <w:rFonts w:ascii="宋体"/>
              </w:rPr>
            </w:pPr>
          </w:p>
        </w:tc>
        <w:tc>
          <w:tcPr>
            <w:tcW w:w="0" w:type="auto"/>
            <w:shd w:val="clear" w:color="auto" w:fill="auto"/>
            <w:vAlign w:val="bottom"/>
          </w:tcPr>
          <w:p w14:paraId="74DE1DE5" w14:textId="77777777" w:rsidR="00584EC1" w:rsidRDefault="00584EC1">
            <w:pPr>
              <w:rPr>
                <w:rFonts w:ascii="宋体"/>
              </w:rPr>
            </w:pPr>
          </w:p>
        </w:tc>
        <w:tc>
          <w:tcPr>
            <w:tcW w:w="0" w:type="auto"/>
            <w:shd w:val="clear" w:color="auto" w:fill="auto"/>
            <w:vAlign w:val="bottom"/>
          </w:tcPr>
          <w:p w14:paraId="74DE1DE6" w14:textId="77777777" w:rsidR="00584EC1" w:rsidRDefault="00584EC1">
            <w:pPr>
              <w:rPr>
                <w:rFonts w:ascii="宋体"/>
              </w:rPr>
            </w:pPr>
          </w:p>
        </w:tc>
        <w:tc>
          <w:tcPr>
            <w:tcW w:w="0" w:type="auto"/>
            <w:shd w:val="clear" w:color="auto" w:fill="auto"/>
            <w:vAlign w:val="bottom"/>
          </w:tcPr>
          <w:p w14:paraId="74DE1DE7" w14:textId="77777777" w:rsidR="00584EC1" w:rsidRDefault="00584EC1">
            <w:pPr>
              <w:rPr>
                <w:rFonts w:ascii="宋体"/>
              </w:rPr>
            </w:pPr>
          </w:p>
        </w:tc>
        <w:tc>
          <w:tcPr>
            <w:tcW w:w="0" w:type="auto"/>
            <w:shd w:val="clear" w:color="auto" w:fill="auto"/>
            <w:vAlign w:val="bottom"/>
          </w:tcPr>
          <w:p w14:paraId="74DE1DE8" w14:textId="77777777" w:rsidR="00584EC1" w:rsidRDefault="00584EC1">
            <w:pPr>
              <w:rPr>
                <w:rFonts w:ascii="宋体"/>
              </w:rPr>
            </w:pPr>
          </w:p>
        </w:tc>
        <w:tc>
          <w:tcPr>
            <w:tcW w:w="0" w:type="auto"/>
            <w:shd w:val="clear" w:color="auto" w:fill="auto"/>
            <w:vAlign w:val="bottom"/>
          </w:tcPr>
          <w:p w14:paraId="74DE1DE9" w14:textId="77777777" w:rsidR="00584EC1" w:rsidRDefault="00584EC1">
            <w:pPr>
              <w:rPr>
                <w:rFonts w:ascii="宋体"/>
              </w:rPr>
            </w:pPr>
          </w:p>
        </w:tc>
        <w:tc>
          <w:tcPr>
            <w:tcW w:w="0" w:type="auto"/>
            <w:shd w:val="clear" w:color="auto" w:fill="auto"/>
            <w:vAlign w:val="bottom"/>
          </w:tcPr>
          <w:p w14:paraId="74DE1DEA" w14:textId="77777777" w:rsidR="00584EC1" w:rsidRDefault="00584EC1">
            <w:pPr>
              <w:rPr>
                <w:rFonts w:ascii="宋体"/>
              </w:rPr>
            </w:pPr>
          </w:p>
        </w:tc>
        <w:tc>
          <w:tcPr>
            <w:tcW w:w="0" w:type="auto"/>
            <w:shd w:val="clear" w:color="auto" w:fill="auto"/>
            <w:vAlign w:val="bottom"/>
          </w:tcPr>
          <w:p w14:paraId="74DE1DEB" w14:textId="77777777" w:rsidR="00584EC1" w:rsidRDefault="00584EC1">
            <w:pPr>
              <w:rPr>
                <w:rFonts w:ascii="宋体"/>
              </w:rPr>
            </w:pPr>
          </w:p>
        </w:tc>
        <w:tc>
          <w:tcPr>
            <w:tcW w:w="0" w:type="auto"/>
            <w:shd w:val="clear" w:color="auto" w:fill="auto"/>
            <w:vAlign w:val="bottom"/>
          </w:tcPr>
          <w:p w14:paraId="74DE1DEC" w14:textId="77777777" w:rsidR="00584EC1" w:rsidRDefault="00584EC1">
            <w:pPr>
              <w:rPr>
                <w:rFonts w:ascii="宋体"/>
              </w:rPr>
            </w:pPr>
          </w:p>
        </w:tc>
        <w:tc>
          <w:tcPr>
            <w:tcW w:w="0" w:type="auto"/>
            <w:shd w:val="clear" w:color="auto" w:fill="auto"/>
            <w:vAlign w:val="bottom"/>
          </w:tcPr>
          <w:p w14:paraId="74DE1DED" w14:textId="77777777" w:rsidR="00584EC1" w:rsidRDefault="00584EC1">
            <w:pPr>
              <w:rPr>
                <w:rFonts w:ascii="宋体"/>
              </w:rPr>
            </w:pPr>
          </w:p>
        </w:tc>
        <w:tc>
          <w:tcPr>
            <w:tcW w:w="0" w:type="auto"/>
            <w:shd w:val="clear" w:color="auto" w:fill="auto"/>
            <w:vAlign w:val="bottom"/>
          </w:tcPr>
          <w:p w14:paraId="74DE1DEE" w14:textId="77777777" w:rsidR="00584EC1" w:rsidRDefault="00584EC1">
            <w:pPr>
              <w:rPr>
                <w:rFonts w:ascii="宋体"/>
              </w:rPr>
            </w:pPr>
          </w:p>
        </w:tc>
        <w:tc>
          <w:tcPr>
            <w:tcW w:w="0" w:type="auto"/>
            <w:shd w:val="clear" w:color="auto" w:fill="auto"/>
            <w:vAlign w:val="bottom"/>
          </w:tcPr>
          <w:p w14:paraId="74DE1DEF" w14:textId="77777777" w:rsidR="00584EC1" w:rsidRDefault="00584EC1">
            <w:pPr>
              <w:rPr>
                <w:rFonts w:ascii="宋体"/>
              </w:rPr>
            </w:pPr>
          </w:p>
        </w:tc>
        <w:tc>
          <w:tcPr>
            <w:tcW w:w="0" w:type="auto"/>
            <w:shd w:val="clear" w:color="auto" w:fill="auto"/>
            <w:vAlign w:val="bottom"/>
          </w:tcPr>
          <w:p w14:paraId="74DE1DF0" w14:textId="77777777" w:rsidR="00584EC1" w:rsidRDefault="00584EC1">
            <w:pPr>
              <w:rPr>
                <w:rFonts w:ascii="宋体"/>
              </w:rPr>
            </w:pPr>
          </w:p>
        </w:tc>
        <w:tc>
          <w:tcPr>
            <w:tcW w:w="0" w:type="auto"/>
            <w:shd w:val="clear" w:color="auto" w:fill="auto"/>
            <w:vAlign w:val="bottom"/>
          </w:tcPr>
          <w:p w14:paraId="74DE1DF1" w14:textId="77777777" w:rsidR="00584EC1" w:rsidRDefault="00584EC1">
            <w:pPr>
              <w:rPr>
                <w:rFonts w:ascii="宋体"/>
              </w:rPr>
            </w:pPr>
          </w:p>
        </w:tc>
        <w:tc>
          <w:tcPr>
            <w:tcW w:w="0" w:type="auto"/>
            <w:shd w:val="clear" w:color="auto" w:fill="auto"/>
            <w:vAlign w:val="bottom"/>
          </w:tcPr>
          <w:p w14:paraId="74DE1DF2" w14:textId="77777777" w:rsidR="00584EC1" w:rsidRDefault="00584EC1">
            <w:pPr>
              <w:rPr>
                <w:rFonts w:ascii="宋体"/>
              </w:rPr>
            </w:pPr>
          </w:p>
        </w:tc>
        <w:tc>
          <w:tcPr>
            <w:tcW w:w="0" w:type="auto"/>
            <w:shd w:val="clear" w:color="auto" w:fill="auto"/>
            <w:vAlign w:val="bottom"/>
          </w:tcPr>
          <w:p w14:paraId="74DE1DF3" w14:textId="77777777" w:rsidR="00584EC1" w:rsidRDefault="00584EC1">
            <w:pPr>
              <w:rPr>
                <w:rFonts w:ascii="宋体"/>
              </w:rPr>
            </w:pPr>
          </w:p>
        </w:tc>
        <w:tc>
          <w:tcPr>
            <w:tcW w:w="0" w:type="auto"/>
            <w:shd w:val="clear" w:color="auto" w:fill="auto"/>
            <w:vAlign w:val="bottom"/>
          </w:tcPr>
          <w:p w14:paraId="74DE1DF4" w14:textId="77777777" w:rsidR="00584EC1" w:rsidRDefault="00584EC1">
            <w:pPr>
              <w:rPr>
                <w:rFonts w:ascii="宋体"/>
              </w:rPr>
            </w:pPr>
          </w:p>
        </w:tc>
        <w:tc>
          <w:tcPr>
            <w:tcW w:w="0" w:type="auto"/>
            <w:shd w:val="clear" w:color="auto" w:fill="auto"/>
            <w:vAlign w:val="bottom"/>
          </w:tcPr>
          <w:p w14:paraId="74DE1DF5" w14:textId="77777777" w:rsidR="00584EC1" w:rsidRDefault="00584EC1">
            <w:pPr>
              <w:rPr>
                <w:rFonts w:ascii="宋体"/>
              </w:rPr>
            </w:pPr>
          </w:p>
        </w:tc>
        <w:tc>
          <w:tcPr>
            <w:tcW w:w="0" w:type="auto"/>
            <w:shd w:val="clear" w:color="auto" w:fill="auto"/>
            <w:vAlign w:val="bottom"/>
          </w:tcPr>
          <w:p w14:paraId="74DE1DF6" w14:textId="77777777" w:rsidR="00584EC1" w:rsidRDefault="00584EC1">
            <w:pPr>
              <w:rPr>
                <w:rFonts w:ascii="宋体"/>
              </w:rPr>
            </w:pPr>
          </w:p>
        </w:tc>
        <w:tc>
          <w:tcPr>
            <w:tcW w:w="0" w:type="auto"/>
            <w:shd w:val="clear" w:color="auto" w:fill="auto"/>
            <w:vAlign w:val="bottom"/>
          </w:tcPr>
          <w:p w14:paraId="74DE1DF7" w14:textId="77777777" w:rsidR="00584EC1" w:rsidRDefault="00584EC1">
            <w:pPr>
              <w:rPr>
                <w:rFonts w:ascii="宋体"/>
              </w:rPr>
            </w:pPr>
          </w:p>
        </w:tc>
        <w:tc>
          <w:tcPr>
            <w:tcW w:w="0" w:type="auto"/>
            <w:shd w:val="clear" w:color="auto" w:fill="auto"/>
            <w:vAlign w:val="bottom"/>
          </w:tcPr>
          <w:p w14:paraId="74DE1DF8" w14:textId="77777777" w:rsidR="00584EC1" w:rsidRDefault="00584EC1">
            <w:pPr>
              <w:rPr>
                <w:rFonts w:ascii="宋体"/>
              </w:rPr>
            </w:pPr>
          </w:p>
        </w:tc>
        <w:tc>
          <w:tcPr>
            <w:tcW w:w="0" w:type="auto"/>
            <w:shd w:val="clear" w:color="auto" w:fill="auto"/>
            <w:vAlign w:val="bottom"/>
          </w:tcPr>
          <w:p w14:paraId="74DE1DF9" w14:textId="77777777" w:rsidR="00584EC1" w:rsidRDefault="00584EC1">
            <w:pPr>
              <w:rPr>
                <w:rFonts w:ascii="宋体"/>
              </w:rPr>
            </w:pPr>
          </w:p>
        </w:tc>
        <w:tc>
          <w:tcPr>
            <w:tcW w:w="0" w:type="auto"/>
            <w:shd w:val="clear" w:color="auto" w:fill="auto"/>
            <w:vAlign w:val="bottom"/>
          </w:tcPr>
          <w:p w14:paraId="74DE1DFA" w14:textId="77777777" w:rsidR="00584EC1" w:rsidRDefault="00584EC1">
            <w:pPr>
              <w:rPr>
                <w:rFonts w:ascii="宋体"/>
              </w:rPr>
            </w:pPr>
          </w:p>
        </w:tc>
        <w:tc>
          <w:tcPr>
            <w:tcW w:w="0" w:type="auto"/>
            <w:shd w:val="clear" w:color="auto" w:fill="auto"/>
            <w:vAlign w:val="bottom"/>
          </w:tcPr>
          <w:p w14:paraId="74DE1DFB" w14:textId="77777777" w:rsidR="00584EC1" w:rsidRDefault="00584EC1">
            <w:pPr>
              <w:rPr>
                <w:rFonts w:ascii="宋体"/>
              </w:rPr>
            </w:pPr>
          </w:p>
        </w:tc>
        <w:tc>
          <w:tcPr>
            <w:tcW w:w="0" w:type="auto"/>
            <w:shd w:val="clear" w:color="auto" w:fill="auto"/>
            <w:vAlign w:val="bottom"/>
          </w:tcPr>
          <w:p w14:paraId="74DE1DFC" w14:textId="77777777" w:rsidR="00584EC1" w:rsidRDefault="00584EC1">
            <w:pPr>
              <w:rPr>
                <w:rFonts w:ascii="宋体"/>
              </w:rPr>
            </w:pPr>
          </w:p>
        </w:tc>
        <w:tc>
          <w:tcPr>
            <w:tcW w:w="0" w:type="auto"/>
            <w:shd w:val="clear" w:color="auto" w:fill="auto"/>
            <w:vAlign w:val="bottom"/>
          </w:tcPr>
          <w:p w14:paraId="74DE1DFD" w14:textId="77777777" w:rsidR="00584EC1" w:rsidRDefault="00584EC1">
            <w:pPr>
              <w:rPr>
                <w:rFonts w:ascii="宋体"/>
              </w:rPr>
            </w:pPr>
          </w:p>
        </w:tc>
        <w:tc>
          <w:tcPr>
            <w:tcW w:w="0" w:type="auto"/>
            <w:shd w:val="clear" w:color="auto" w:fill="auto"/>
            <w:vAlign w:val="bottom"/>
          </w:tcPr>
          <w:p w14:paraId="74DE1DFE" w14:textId="77777777" w:rsidR="00584EC1" w:rsidRDefault="00584EC1">
            <w:pPr>
              <w:rPr>
                <w:rFonts w:ascii="宋体"/>
              </w:rPr>
            </w:pPr>
          </w:p>
        </w:tc>
        <w:tc>
          <w:tcPr>
            <w:tcW w:w="0" w:type="auto"/>
            <w:shd w:val="clear" w:color="auto" w:fill="auto"/>
            <w:vAlign w:val="bottom"/>
          </w:tcPr>
          <w:p w14:paraId="74DE1DFF" w14:textId="77777777" w:rsidR="00584EC1" w:rsidRDefault="00584EC1">
            <w:pPr>
              <w:rPr>
                <w:rFonts w:ascii="宋体"/>
              </w:rPr>
            </w:pPr>
          </w:p>
        </w:tc>
        <w:tc>
          <w:tcPr>
            <w:tcW w:w="0" w:type="auto"/>
            <w:shd w:val="clear" w:color="auto" w:fill="auto"/>
            <w:vAlign w:val="bottom"/>
          </w:tcPr>
          <w:p w14:paraId="74DE1E00" w14:textId="77777777" w:rsidR="00584EC1" w:rsidRDefault="00584EC1">
            <w:pPr>
              <w:rPr>
                <w:rFonts w:ascii="宋体"/>
              </w:rPr>
            </w:pPr>
          </w:p>
        </w:tc>
        <w:tc>
          <w:tcPr>
            <w:tcW w:w="0" w:type="auto"/>
            <w:shd w:val="clear" w:color="auto" w:fill="auto"/>
            <w:vAlign w:val="bottom"/>
          </w:tcPr>
          <w:p w14:paraId="74DE1E01" w14:textId="77777777" w:rsidR="00584EC1" w:rsidRDefault="00584EC1">
            <w:pPr>
              <w:rPr>
                <w:rFonts w:ascii="宋体"/>
              </w:rPr>
            </w:pPr>
          </w:p>
        </w:tc>
        <w:tc>
          <w:tcPr>
            <w:tcW w:w="0" w:type="auto"/>
            <w:shd w:val="clear" w:color="auto" w:fill="auto"/>
            <w:vAlign w:val="bottom"/>
          </w:tcPr>
          <w:p w14:paraId="74DE1E02" w14:textId="77777777" w:rsidR="00584EC1" w:rsidRDefault="00584EC1">
            <w:pPr>
              <w:rPr>
                <w:rFonts w:ascii="宋体"/>
              </w:rPr>
            </w:pPr>
          </w:p>
        </w:tc>
        <w:tc>
          <w:tcPr>
            <w:tcW w:w="0" w:type="auto"/>
            <w:shd w:val="clear" w:color="auto" w:fill="auto"/>
            <w:vAlign w:val="bottom"/>
          </w:tcPr>
          <w:p w14:paraId="74DE1E03" w14:textId="77777777" w:rsidR="00584EC1" w:rsidRDefault="00584EC1">
            <w:pPr>
              <w:rPr>
                <w:rFonts w:ascii="宋体"/>
              </w:rPr>
            </w:pPr>
          </w:p>
        </w:tc>
        <w:tc>
          <w:tcPr>
            <w:tcW w:w="0" w:type="auto"/>
            <w:shd w:val="clear" w:color="auto" w:fill="auto"/>
            <w:vAlign w:val="bottom"/>
          </w:tcPr>
          <w:p w14:paraId="74DE1E04" w14:textId="77777777" w:rsidR="00584EC1" w:rsidRDefault="00584EC1">
            <w:pPr>
              <w:rPr>
                <w:rFonts w:ascii="宋体"/>
              </w:rPr>
            </w:pPr>
          </w:p>
        </w:tc>
        <w:tc>
          <w:tcPr>
            <w:tcW w:w="0" w:type="auto"/>
            <w:shd w:val="clear" w:color="auto" w:fill="auto"/>
            <w:vAlign w:val="bottom"/>
          </w:tcPr>
          <w:p w14:paraId="74DE1E05" w14:textId="77777777" w:rsidR="00584EC1" w:rsidRDefault="00584EC1">
            <w:pPr>
              <w:rPr>
                <w:rFonts w:ascii="宋体"/>
              </w:rPr>
            </w:pPr>
          </w:p>
        </w:tc>
        <w:tc>
          <w:tcPr>
            <w:tcW w:w="0" w:type="auto"/>
            <w:shd w:val="clear" w:color="auto" w:fill="auto"/>
            <w:vAlign w:val="bottom"/>
          </w:tcPr>
          <w:p w14:paraId="74DE1E06" w14:textId="77777777" w:rsidR="00584EC1" w:rsidRDefault="00584EC1">
            <w:pPr>
              <w:rPr>
                <w:rFonts w:ascii="宋体"/>
              </w:rPr>
            </w:pPr>
          </w:p>
        </w:tc>
        <w:tc>
          <w:tcPr>
            <w:tcW w:w="0" w:type="auto"/>
            <w:shd w:val="clear" w:color="auto" w:fill="auto"/>
            <w:vAlign w:val="bottom"/>
          </w:tcPr>
          <w:p w14:paraId="74DE1E07" w14:textId="77777777" w:rsidR="00584EC1" w:rsidRDefault="00584EC1">
            <w:pPr>
              <w:rPr>
                <w:rFonts w:ascii="宋体"/>
              </w:rPr>
            </w:pPr>
          </w:p>
        </w:tc>
        <w:tc>
          <w:tcPr>
            <w:tcW w:w="0" w:type="auto"/>
            <w:shd w:val="clear" w:color="auto" w:fill="auto"/>
            <w:vAlign w:val="bottom"/>
          </w:tcPr>
          <w:p w14:paraId="74DE1E08" w14:textId="77777777" w:rsidR="00584EC1" w:rsidRDefault="00584EC1">
            <w:pPr>
              <w:rPr>
                <w:rFonts w:ascii="宋体"/>
              </w:rPr>
            </w:pPr>
          </w:p>
        </w:tc>
        <w:tc>
          <w:tcPr>
            <w:tcW w:w="0" w:type="auto"/>
            <w:shd w:val="clear" w:color="auto" w:fill="auto"/>
            <w:vAlign w:val="bottom"/>
          </w:tcPr>
          <w:p w14:paraId="74DE1E09" w14:textId="77777777" w:rsidR="00584EC1" w:rsidRDefault="00584EC1">
            <w:pPr>
              <w:rPr>
                <w:rFonts w:ascii="宋体"/>
              </w:rPr>
            </w:pPr>
          </w:p>
        </w:tc>
        <w:tc>
          <w:tcPr>
            <w:tcW w:w="0" w:type="auto"/>
            <w:shd w:val="clear" w:color="auto" w:fill="auto"/>
            <w:vAlign w:val="bottom"/>
          </w:tcPr>
          <w:p w14:paraId="74DE1E0A" w14:textId="77777777" w:rsidR="00584EC1" w:rsidRDefault="00584EC1">
            <w:pPr>
              <w:rPr>
                <w:rFonts w:ascii="宋体"/>
              </w:rPr>
            </w:pPr>
          </w:p>
        </w:tc>
        <w:tc>
          <w:tcPr>
            <w:tcW w:w="0" w:type="auto"/>
            <w:shd w:val="clear" w:color="auto" w:fill="auto"/>
            <w:vAlign w:val="bottom"/>
          </w:tcPr>
          <w:p w14:paraId="74DE1E0B" w14:textId="77777777" w:rsidR="00584EC1" w:rsidRDefault="00584EC1">
            <w:pPr>
              <w:rPr>
                <w:rFonts w:ascii="宋体"/>
              </w:rPr>
            </w:pPr>
          </w:p>
        </w:tc>
        <w:tc>
          <w:tcPr>
            <w:tcW w:w="0" w:type="auto"/>
            <w:shd w:val="clear" w:color="auto" w:fill="auto"/>
            <w:vAlign w:val="bottom"/>
          </w:tcPr>
          <w:p w14:paraId="74DE1E0C" w14:textId="77777777" w:rsidR="00584EC1" w:rsidRDefault="00584EC1">
            <w:pPr>
              <w:rPr>
                <w:rFonts w:ascii="宋体"/>
              </w:rPr>
            </w:pPr>
          </w:p>
        </w:tc>
        <w:tc>
          <w:tcPr>
            <w:tcW w:w="0" w:type="auto"/>
            <w:shd w:val="clear" w:color="auto" w:fill="auto"/>
            <w:vAlign w:val="bottom"/>
          </w:tcPr>
          <w:p w14:paraId="74DE1E0D" w14:textId="77777777" w:rsidR="00584EC1" w:rsidRDefault="00584EC1">
            <w:pPr>
              <w:rPr>
                <w:rFonts w:ascii="宋体"/>
              </w:rPr>
            </w:pPr>
          </w:p>
        </w:tc>
        <w:tc>
          <w:tcPr>
            <w:tcW w:w="0" w:type="auto"/>
            <w:shd w:val="clear" w:color="auto" w:fill="auto"/>
            <w:vAlign w:val="bottom"/>
          </w:tcPr>
          <w:p w14:paraId="74DE1E0E" w14:textId="77777777" w:rsidR="00584EC1" w:rsidRDefault="00584EC1">
            <w:pPr>
              <w:rPr>
                <w:rFonts w:ascii="宋体"/>
              </w:rPr>
            </w:pPr>
          </w:p>
        </w:tc>
        <w:tc>
          <w:tcPr>
            <w:tcW w:w="0" w:type="auto"/>
            <w:shd w:val="clear" w:color="auto" w:fill="auto"/>
            <w:vAlign w:val="bottom"/>
          </w:tcPr>
          <w:p w14:paraId="74DE1E0F" w14:textId="77777777" w:rsidR="00584EC1" w:rsidRDefault="00584EC1">
            <w:pPr>
              <w:rPr>
                <w:rFonts w:ascii="宋体"/>
              </w:rPr>
            </w:pPr>
          </w:p>
        </w:tc>
        <w:tc>
          <w:tcPr>
            <w:tcW w:w="0" w:type="auto"/>
            <w:shd w:val="clear" w:color="auto" w:fill="auto"/>
            <w:vAlign w:val="bottom"/>
          </w:tcPr>
          <w:p w14:paraId="74DE1E10" w14:textId="77777777" w:rsidR="00584EC1" w:rsidRDefault="00584EC1">
            <w:pPr>
              <w:rPr>
                <w:rFonts w:ascii="宋体"/>
              </w:rPr>
            </w:pPr>
          </w:p>
        </w:tc>
        <w:tc>
          <w:tcPr>
            <w:tcW w:w="0" w:type="auto"/>
            <w:shd w:val="clear" w:color="auto" w:fill="auto"/>
            <w:vAlign w:val="bottom"/>
          </w:tcPr>
          <w:p w14:paraId="74DE1E11" w14:textId="77777777" w:rsidR="00584EC1" w:rsidRDefault="00584EC1">
            <w:pPr>
              <w:rPr>
                <w:rFonts w:ascii="宋体"/>
              </w:rPr>
            </w:pPr>
          </w:p>
        </w:tc>
        <w:tc>
          <w:tcPr>
            <w:tcW w:w="0" w:type="auto"/>
            <w:shd w:val="clear" w:color="auto" w:fill="auto"/>
            <w:vAlign w:val="bottom"/>
          </w:tcPr>
          <w:p w14:paraId="74DE1E12" w14:textId="77777777" w:rsidR="00584EC1" w:rsidRDefault="00584EC1">
            <w:pPr>
              <w:rPr>
                <w:rFonts w:ascii="宋体"/>
              </w:rPr>
            </w:pPr>
          </w:p>
        </w:tc>
        <w:tc>
          <w:tcPr>
            <w:tcW w:w="0" w:type="auto"/>
            <w:shd w:val="clear" w:color="auto" w:fill="auto"/>
            <w:vAlign w:val="bottom"/>
          </w:tcPr>
          <w:p w14:paraId="74DE1E13" w14:textId="77777777" w:rsidR="00584EC1" w:rsidRDefault="00584EC1">
            <w:pPr>
              <w:rPr>
                <w:rFonts w:ascii="宋体"/>
              </w:rPr>
            </w:pPr>
          </w:p>
        </w:tc>
        <w:tc>
          <w:tcPr>
            <w:tcW w:w="0" w:type="auto"/>
            <w:shd w:val="clear" w:color="auto" w:fill="auto"/>
            <w:vAlign w:val="bottom"/>
          </w:tcPr>
          <w:p w14:paraId="74DE1E14" w14:textId="77777777" w:rsidR="00584EC1" w:rsidRDefault="00584EC1">
            <w:pPr>
              <w:rPr>
                <w:rFonts w:ascii="宋体"/>
              </w:rPr>
            </w:pPr>
          </w:p>
        </w:tc>
        <w:tc>
          <w:tcPr>
            <w:tcW w:w="0" w:type="auto"/>
            <w:shd w:val="clear" w:color="auto" w:fill="auto"/>
            <w:vAlign w:val="bottom"/>
          </w:tcPr>
          <w:p w14:paraId="74DE1E15" w14:textId="77777777" w:rsidR="00584EC1" w:rsidRDefault="00584EC1">
            <w:pPr>
              <w:rPr>
                <w:rFonts w:ascii="宋体"/>
              </w:rPr>
            </w:pPr>
          </w:p>
        </w:tc>
        <w:tc>
          <w:tcPr>
            <w:tcW w:w="0" w:type="auto"/>
            <w:shd w:val="clear" w:color="auto" w:fill="auto"/>
            <w:vAlign w:val="bottom"/>
          </w:tcPr>
          <w:p w14:paraId="74DE1E16" w14:textId="77777777" w:rsidR="00584EC1" w:rsidRDefault="00584EC1">
            <w:pPr>
              <w:rPr>
                <w:rFonts w:ascii="宋体"/>
              </w:rPr>
            </w:pPr>
          </w:p>
        </w:tc>
        <w:tc>
          <w:tcPr>
            <w:tcW w:w="0" w:type="auto"/>
            <w:shd w:val="clear" w:color="auto" w:fill="auto"/>
            <w:vAlign w:val="bottom"/>
          </w:tcPr>
          <w:p w14:paraId="74DE1E17" w14:textId="77777777" w:rsidR="00584EC1" w:rsidRDefault="00584EC1">
            <w:pPr>
              <w:rPr>
                <w:rFonts w:ascii="宋体"/>
              </w:rPr>
            </w:pPr>
          </w:p>
        </w:tc>
        <w:tc>
          <w:tcPr>
            <w:tcW w:w="0" w:type="auto"/>
            <w:shd w:val="clear" w:color="auto" w:fill="auto"/>
            <w:vAlign w:val="bottom"/>
          </w:tcPr>
          <w:p w14:paraId="74DE1E18" w14:textId="77777777" w:rsidR="00584EC1" w:rsidRDefault="00584EC1">
            <w:pPr>
              <w:rPr>
                <w:rFonts w:ascii="宋体"/>
              </w:rPr>
            </w:pPr>
          </w:p>
        </w:tc>
        <w:tc>
          <w:tcPr>
            <w:tcW w:w="0" w:type="auto"/>
            <w:shd w:val="clear" w:color="auto" w:fill="auto"/>
            <w:vAlign w:val="bottom"/>
          </w:tcPr>
          <w:p w14:paraId="74DE1E19" w14:textId="77777777" w:rsidR="00584EC1" w:rsidRDefault="00584EC1">
            <w:pPr>
              <w:rPr>
                <w:rFonts w:ascii="宋体"/>
              </w:rPr>
            </w:pPr>
          </w:p>
        </w:tc>
      </w:tr>
      <w:tr w:rsidR="00584EC1" w14:paraId="74DE1E47" w14:textId="77777777">
        <w:trPr>
          <w:hidden/>
        </w:trPr>
        <w:tc>
          <w:tcPr>
            <w:tcW w:w="0" w:type="auto"/>
            <w:gridSpan w:val="3"/>
            <w:shd w:val="clear" w:color="auto" w:fill="auto"/>
            <w:vAlign w:val="bottom"/>
          </w:tcPr>
          <w:p w14:paraId="74DE1E1B" w14:textId="77777777" w:rsidR="00584EC1" w:rsidRDefault="00584EC1">
            <w:pPr>
              <w:rPr>
                <w:rFonts w:ascii="宋体"/>
                <w:vanish/>
              </w:rPr>
            </w:pPr>
          </w:p>
        </w:tc>
        <w:tc>
          <w:tcPr>
            <w:tcW w:w="0" w:type="auto"/>
            <w:gridSpan w:val="3"/>
            <w:shd w:val="clear" w:color="auto" w:fill="auto"/>
            <w:vAlign w:val="bottom"/>
          </w:tcPr>
          <w:p w14:paraId="74DE1E1C" w14:textId="77777777" w:rsidR="00584EC1" w:rsidRDefault="00584EC1">
            <w:pPr>
              <w:rPr>
                <w:rFonts w:ascii="宋体"/>
                <w:vanish/>
              </w:rPr>
            </w:pPr>
          </w:p>
        </w:tc>
        <w:tc>
          <w:tcPr>
            <w:tcW w:w="0" w:type="auto"/>
            <w:gridSpan w:val="3"/>
            <w:shd w:val="clear" w:color="auto" w:fill="auto"/>
            <w:vAlign w:val="bottom"/>
          </w:tcPr>
          <w:p w14:paraId="74DE1E1D" w14:textId="77777777" w:rsidR="00584EC1" w:rsidRDefault="00584EC1">
            <w:pPr>
              <w:rPr>
                <w:rFonts w:ascii="宋体"/>
                <w:vanish/>
              </w:rPr>
            </w:pPr>
          </w:p>
        </w:tc>
        <w:tc>
          <w:tcPr>
            <w:tcW w:w="0" w:type="auto"/>
            <w:gridSpan w:val="3"/>
            <w:shd w:val="clear" w:color="auto" w:fill="auto"/>
            <w:vAlign w:val="bottom"/>
          </w:tcPr>
          <w:p w14:paraId="74DE1E1E" w14:textId="77777777" w:rsidR="00584EC1" w:rsidRDefault="00584EC1">
            <w:pPr>
              <w:rPr>
                <w:rFonts w:ascii="宋体"/>
                <w:vanish/>
              </w:rPr>
            </w:pPr>
          </w:p>
        </w:tc>
        <w:tc>
          <w:tcPr>
            <w:tcW w:w="0" w:type="auto"/>
            <w:gridSpan w:val="3"/>
            <w:shd w:val="clear" w:color="auto" w:fill="auto"/>
            <w:vAlign w:val="bottom"/>
          </w:tcPr>
          <w:p w14:paraId="74DE1E1F" w14:textId="77777777" w:rsidR="00584EC1" w:rsidRDefault="00584EC1">
            <w:pPr>
              <w:rPr>
                <w:rFonts w:ascii="宋体"/>
                <w:vanish/>
              </w:rPr>
            </w:pPr>
          </w:p>
        </w:tc>
        <w:tc>
          <w:tcPr>
            <w:tcW w:w="0" w:type="auto"/>
            <w:gridSpan w:val="3"/>
            <w:shd w:val="clear" w:color="auto" w:fill="auto"/>
            <w:vAlign w:val="bottom"/>
          </w:tcPr>
          <w:p w14:paraId="74DE1E20" w14:textId="77777777" w:rsidR="00584EC1" w:rsidRDefault="00584EC1">
            <w:pPr>
              <w:rPr>
                <w:rFonts w:ascii="宋体"/>
                <w:vanish/>
              </w:rPr>
            </w:pPr>
          </w:p>
        </w:tc>
        <w:tc>
          <w:tcPr>
            <w:tcW w:w="0" w:type="auto"/>
            <w:gridSpan w:val="3"/>
            <w:shd w:val="clear" w:color="auto" w:fill="auto"/>
            <w:vAlign w:val="bottom"/>
          </w:tcPr>
          <w:p w14:paraId="74DE1E21" w14:textId="77777777" w:rsidR="00584EC1" w:rsidRDefault="00584EC1">
            <w:pPr>
              <w:rPr>
                <w:rFonts w:ascii="宋体"/>
                <w:vanish/>
              </w:rPr>
            </w:pPr>
          </w:p>
        </w:tc>
        <w:tc>
          <w:tcPr>
            <w:tcW w:w="0" w:type="auto"/>
            <w:gridSpan w:val="3"/>
            <w:shd w:val="clear" w:color="auto" w:fill="auto"/>
            <w:vAlign w:val="bottom"/>
          </w:tcPr>
          <w:p w14:paraId="74DE1E22" w14:textId="77777777" w:rsidR="00584EC1" w:rsidRDefault="00584EC1">
            <w:pPr>
              <w:rPr>
                <w:rFonts w:ascii="宋体"/>
                <w:vanish/>
              </w:rPr>
            </w:pPr>
          </w:p>
        </w:tc>
        <w:tc>
          <w:tcPr>
            <w:tcW w:w="0" w:type="auto"/>
            <w:shd w:val="clear" w:color="auto" w:fill="auto"/>
            <w:vAlign w:val="bottom"/>
          </w:tcPr>
          <w:p w14:paraId="74DE1E23" w14:textId="77777777" w:rsidR="00584EC1" w:rsidRDefault="00584EC1">
            <w:pPr>
              <w:rPr>
                <w:rFonts w:ascii="宋体"/>
              </w:rPr>
            </w:pPr>
          </w:p>
        </w:tc>
        <w:tc>
          <w:tcPr>
            <w:tcW w:w="0" w:type="auto"/>
            <w:shd w:val="clear" w:color="auto" w:fill="auto"/>
            <w:vAlign w:val="bottom"/>
          </w:tcPr>
          <w:p w14:paraId="74DE1E24" w14:textId="77777777" w:rsidR="00584EC1" w:rsidRDefault="00584EC1">
            <w:pPr>
              <w:rPr>
                <w:rFonts w:ascii="宋体"/>
              </w:rPr>
            </w:pPr>
          </w:p>
        </w:tc>
        <w:tc>
          <w:tcPr>
            <w:tcW w:w="0" w:type="auto"/>
            <w:shd w:val="clear" w:color="auto" w:fill="auto"/>
            <w:vAlign w:val="bottom"/>
          </w:tcPr>
          <w:p w14:paraId="74DE1E25" w14:textId="77777777" w:rsidR="00584EC1" w:rsidRDefault="00584EC1">
            <w:pPr>
              <w:rPr>
                <w:rFonts w:ascii="宋体"/>
              </w:rPr>
            </w:pPr>
          </w:p>
        </w:tc>
        <w:tc>
          <w:tcPr>
            <w:tcW w:w="0" w:type="auto"/>
            <w:shd w:val="clear" w:color="auto" w:fill="auto"/>
            <w:vAlign w:val="bottom"/>
          </w:tcPr>
          <w:p w14:paraId="74DE1E26" w14:textId="77777777" w:rsidR="00584EC1" w:rsidRDefault="00584EC1">
            <w:pPr>
              <w:rPr>
                <w:rFonts w:ascii="宋体"/>
              </w:rPr>
            </w:pPr>
          </w:p>
        </w:tc>
        <w:tc>
          <w:tcPr>
            <w:tcW w:w="0" w:type="auto"/>
            <w:shd w:val="clear" w:color="auto" w:fill="auto"/>
            <w:vAlign w:val="bottom"/>
          </w:tcPr>
          <w:p w14:paraId="74DE1E27" w14:textId="77777777" w:rsidR="00584EC1" w:rsidRDefault="00584EC1">
            <w:pPr>
              <w:rPr>
                <w:rFonts w:ascii="宋体"/>
              </w:rPr>
            </w:pPr>
          </w:p>
        </w:tc>
        <w:tc>
          <w:tcPr>
            <w:tcW w:w="0" w:type="auto"/>
            <w:shd w:val="clear" w:color="auto" w:fill="auto"/>
            <w:vAlign w:val="bottom"/>
          </w:tcPr>
          <w:p w14:paraId="74DE1E28" w14:textId="77777777" w:rsidR="00584EC1" w:rsidRDefault="00584EC1">
            <w:pPr>
              <w:rPr>
                <w:rFonts w:ascii="宋体"/>
              </w:rPr>
            </w:pPr>
          </w:p>
        </w:tc>
        <w:tc>
          <w:tcPr>
            <w:tcW w:w="0" w:type="auto"/>
            <w:shd w:val="clear" w:color="auto" w:fill="auto"/>
            <w:vAlign w:val="bottom"/>
          </w:tcPr>
          <w:p w14:paraId="74DE1E29" w14:textId="77777777" w:rsidR="00584EC1" w:rsidRDefault="00584EC1">
            <w:pPr>
              <w:rPr>
                <w:rFonts w:ascii="宋体"/>
              </w:rPr>
            </w:pPr>
          </w:p>
        </w:tc>
        <w:tc>
          <w:tcPr>
            <w:tcW w:w="0" w:type="auto"/>
            <w:shd w:val="clear" w:color="auto" w:fill="auto"/>
            <w:vAlign w:val="bottom"/>
          </w:tcPr>
          <w:p w14:paraId="74DE1E2A" w14:textId="77777777" w:rsidR="00584EC1" w:rsidRDefault="00584EC1">
            <w:pPr>
              <w:rPr>
                <w:rFonts w:ascii="宋体"/>
              </w:rPr>
            </w:pPr>
          </w:p>
        </w:tc>
        <w:tc>
          <w:tcPr>
            <w:tcW w:w="0" w:type="auto"/>
            <w:shd w:val="clear" w:color="auto" w:fill="auto"/>
            <w:vAlign w:val="bottom"/>
          </w:tcPr>
          <w:p w14:paraId="74DE1E2B" w14:textId="77777777" w:rsidR="00584EC1" w:rsidRDefault="00584EC1">
            <w:pPr>
              <w:rPr>
                <w:rFonts w:ascii="宋体"/>
              </w:rPr>
            </w:pPr>
          </w:p>
        </w:tc>
        <w:tc>
          <w:tcPr>
            <w:tcW w:w="0" w:type="auto"/>
            <w:shd w:val="clear" w:color="auto" w:fill="auto"/>
            <w:vAlign w:val="bottom"/>
          </w:tcPr>
          <w:p w14:paraId="74DE1E2C" w14:textId="77777777" w:rsidR="00584EC1" w:rsidRDefault="00584EC1">
            <w:pPr>
              <w:rPr>
                <w:rFonts w:ascii="宋体"/>
              </w:rPr>
            </w:pPr>
          </w:p>
        </w:tc>
        <w:tc>
          <w:tcPr>
            <w:tcW w:w="0" w:type="auto"/>
            <w:shd w:val="clear" w:color="auto" w:fill="auto"/>
            <w:vAlign w:val="bottom"/>
          </w:tcPr>
          <w:p w14:paraId="74DE1E2D" w14:textId="77777777" w:rsidR="00584EC1" w:rsidRDefault="00584EC1">
            <w:pPr>
              <w:rPr>
                <w:rFonts w:ascii="宋体"/>
              </w:rPr>
            </w:pPr>
          </w:p>
        </w:tc>
        <w:tc>
          <w:tcPr>
            <w:tcW w:w="0" w:type="auto"/>
            <w:shd w:val="clear" w:color="auto" w:fill="auto"/>
            <w:vAlign w:val="bottom"/>
          </w:tcPr>
          <w:p w14:paraId="74DE1E2E" w14:textId="77777777" w:rsidR="00584EC1" w:rsidRDefault="00584EC1">
            <w:pPr>
              <w:rPr>
                <w:rFonts w:ascii="宋体"/>
              </w:rPr>
            </w:pPr>
          </w:p>
        </w:tc>
        <w:tc>
          <w:tcPr>
            <w:tcW w:w="0" w:type="auto"/>
            <w:shd w:val="clear" w:color="auto" w:fill="auto"/>
            <w:vAlign w:val="bottom"/>
          </w:tcPr>
          <w:p w14:paraId="74DE1E2F" w14:textId="77777777" w:rsidR="00584EC1" w:rsidRDefault="00584EC1">
            <w:pPr>
              <w:rPr>
                <w:rFonts w:ascii="宋体"/>
              </w:rPr>
            </w:pPr>
          </w:p>
        </w:tc>
        <w:tc>
          <w:tcPr>
            <w:tcW w:w="0" w:type="auto"/>
            <w:shd w:val="clear" w:color="auto" w:fill="auto"/>
            <w:vAlign w:val="bottom"/>
          </w:tcPr>
          <w:p w14:paraId="74DE1E30" w14:textId="77777777" w:rsidR="00584EC1" w:rsidRDefault="00584EC1">
            <w:pPr>
              <w:rPr>
                <w:rFonts w:ascii="宋体"/>
              </w:rPr>
            </w:pPr>
          </w:p>
        </w:tc>
        <w:tc>
          <w:tcPr>
            <w:tcW w:w="0" w:type="auto"/>
            <w:shd w:val="clear" w:color="auto" w:fill="auto"/>
            <w:vAlign w:val="bottom"/>
          </w:tcPr>
          <w:p w14:paraId="74DE1E31" w14:textId="77777777" w:rsidR="00584EC1" w:rsidRDefault="00584EC1">
            <w:pPr>
              <w:rPr>
                <w:rFonts w:ascii="宋体"/>
              </w:rPr>
            </w:pPr>
          </w:p>
        </w:tc>
        <w:tc>
          <w:tcPr>
            <w:tcW w:w="0" w:type="auto"/>
            <w:shd w:val="clear" w:color="auto" w:fill="auto"/>
            <w:vAlign w:val="bottom"/>
          </w:tcPr>
          <w:p w14:paraId="74DE1E32" w14:textId="77777777" w:rsidR="00584EC1" w:rsidRDefault="00584EC1">
            <w:pPr>
              <w:rPr>
                <w:rFonts w:ascii="宋体"/>
              </w:rPr>
            </w:pPr>
          </w:p>
        </w:tc>
        <w:tc>
          <w:tcPr>
            <w:tcW w:w="0" w:type="auto"/>
            <w:shd w:val="clear" w:color="auto" w:fill="auto"/>
            <w:vAlign w:val="bottom"/>
          </w:tcPr>
          <w:p w14:paraId="74DE1E33" w14:textId="77777777" w:rsidR="00584EC1" w:rsidRDefault="00584EC1">
            <w:pPr>
              <w:rPr>
                <w:rFonts w:ascii="宋体"/>
              </w:rPr>
            </w:pPr>
          </w:p>
        </w:tc>
        <w:tc>
          <w:tcPr>
            <w:tcW w:w="0" w:type="auto"/>
            <w:shd w:val="clear" w:color="auto" w:fill="auto"/>
            <w:vAlign w:val="bottom"/>
          </w:tcPr>
          <w:p w14:paraId="74DE1E34" w14:textId="77777777" w:rsidR="00584EC1" w:rsidRDefault="00584EC1">
            <w:pPr>
              <w:rPr>
                <w:rFonts w:ascii="宋体"/>
              </w:rPr>
            </w:pPr>
          </w:p>
        </w:tc>
        <w:tc>
          <w:tcPr>
            <w:tcW w:w="0" w:type="auto"/>
            <w:shd w:val="clear" w:color="auto" w:fill="auto"/>
            <w:vAlign w:val="bottom"/>
          </w:tcPr>
          <w:p w14:paraId="74DE1E35" w14:textId="77777777" w:rsidR="00584EC1" w:rsidRDefault="00584EC1">
            <w:pPr>
              <w:rPr>
                <w:rFonts w:ascii="宋体"/>
              </w:rPr>
            </w:pPr>
          </w:p>
        </w:tc>
        <w:tc>
          <w:tcPr>
            <w:tcW w:w="0" w:type="auto"/>
            <w:shd w:val="clear" w:color="auto" w:fill="auto"/>
            <w:vAlign w:val="bottom"/>
          </w:tcPr>
          <w:p w14:paraId="74DE1E36" w14:textId="77777777" w:rsidR="00584EC1" w:rsidRDefault="00584EC1">
            <w:pPr>
              <w:rPr>
                <w:rFonts w:ascii="宋体"/>
              </w:rPr>
            </w:pPr>
          </w:p>
        </w:tc>
        <w:tc>
          <w:tcPr>
            <w:tcW w:w="0" w:type="auto"/>
            <w:shd w:val="clear" w:color="auto" w:fill="auto"/>
            <w:vAlign w:val="bottom"/>
          </w:tcPr>
          <w:p w14:paraId="74DE1E37" w14:textId="77777777" w:rsidR="00584EC1" w:rsidRDefault="00584EC1">
            <w:pPr>
              <w:rPr>
                <w:rFonts w:ascii="宋体"/>
              </w:rPr>
            </w:pPr>
          </w:p>
        </w:tc>
        <w:tc>
          <w:tcPr>
            <w:tcW w:w="0" w:type="auto"/>
            <w:shd w:val="clear" w:color="auto" w:fill="auto"/>
            <w:vAlign w:val="bottom"/>
          </w:tcPr>
          <w:p w14:paraId="74DE1E38" w14:textId="77777777" w:rsidR="00584EC1" w:rsidRDefault="00584EC1">
            <w:pPr>
              <w:rPr>
                <w:rFonts w:ascii="宋体"/>
              </w:rPr>
            </w:pPr>
          </w:p>
        </w:tc>
        <w:tc>
          <w:tcPr>
            <w:tcW w:w="0" w:type="auto"/>
            <w:shd w:val="clear" w:color="auto" w:fill="auto"/>
            <w:vAlign w:val="bottom"/>
          </w:tcPr>
          <w:p w14:paraId="74DE1E39" w14:textId="77777777" w:rsidR="00584EC1" w:rsidRDefault="00584EC1">
            <w:pPr>
              <w:rPr>
                <w:rFonts w:ascii="宋体"/>
              </w:rPr>
            </w:pPr>
          </w:p>
        </w:tc>
        <w:tc>
          <w:tcPr>
            <w:tcW w:w="0" w:type="auto"/>
            <w:shd w:val="clear" w:color="auto" w:fill="auto"/>
            <w:vAlign w:val="bottom"/>
          </w:tcPr>
          <w:p w14:paraId="74DE1E3A" w14:textId="77777777" w:rsidR="00584EC1" w:rsidRDefault="00584EC1">
            <w:pPr>
              <w:rPr>
                <w:rFonts w:ascii="宋体"/>
              </w:rPr>
            </w:pPr>
          </w:p>
        </w:tc>
        <w:tc>
          <w:tcPr>
            <w:tcW w:w="0" w:type="auto"/>
            <w:shd w:val="clear" w:color="auto" w:fill="auto"/>
            <w:vAlign w:val="bottom"/>
          </w:tcPr>
          <w:p w14:paraId="74DE1E3B" w14:textId="77777777" w:rsidR="00584EC1" w:rsidRDefault="00584EC1">
            <w:pPr>
              <w:rPr>
                <w:rFonts w:ascii="宋体"/>
              </w:rPr>
            </w:pPr>
          </w:p>
        </w:tc>
        <w:tc>
          <w:tcPr>
            <w:tcW w:w="0" w:type="auto"/>
            <w:shd w:val="clear" w:color="auto" w:fill="auto"/>
            <w:vAlign w:val="bottom"/>
          </w:tcPr>
          <w:p w14:paraId="74DE1E3C" w14:textId="77777777" w:rsidR="00584EC1" w:rsidRDefault="00584EC1">
            <w:pPr>
              <w:rPr>
                <w:rFonts w:ascii="宋体"/>
              </w:rPr>
            </w:pPr>
          </w:p>
        </w:tc>
        <w:tc>
          <w:tcPr>
            <w:tcW w:w="0" w:type="auto"/>
            <w:shd w:val="clear" w:color="auto" w:fill="auto"/>
            <w:vAlign w:val="bottom"/>
          </w:tcPr>
          <w:p w14:paraId="74DE1E3D" w14:textId="77777777" w:rsidR="00584EC1" w:rsidRDefault="00584EC1">
            <w:pPr>
              <w:rPr>
                <w:rFonts w:ascii="宋体"/>
              </w:rPr>
            </w:pPr>
          </w:p>
        </w:tc>
        <w:tc>
          <w:tcPr>
            <w:tcW w:w="0" w:type="auto"/>
            <w:shd w:val="clear" w:color="auto" w:fill="auto"/>
            <w:vAlign w:val="bottom"/>
          </w:tcPr>
          <w:p w14:paraId="74DE1E3E" w14:textId="77777777" w:rsidR="00584EC1" w:rsidRDefault="00584EC1">
            <w:pPr>
              <w:rPr>
                <w:rFonts w:ascii="宋体"/>
              </w:rPr>
            </w:pPr>
          </w:p>
        </w:tc>
        <w:tc>
          <w:tcPr>
            <w:tcW w:w="0" w:type="auto"/>
            <w:shd w:val="clear" w:color="auto" w:fill="auto"/>
            <w:vAlign w:val="bottom"/>
          </w:tcPr>
          <w:p w14:paraId="74DE1E3F" w14:textId="77777777" w:rsidR="00584EC1" w:rsidRDefault="00584EC1">
            <w:pPr>
              <w:rPr>
                <w:rFonts w:ascii="宋体"/>
              </w:rPr>
            </w:pPr>
          </w:p>
        </w:tc>
        <w:tc>
          <w:tcPr>
            <w:tcW w:w="0" w:type="auto"/>
            <w:shd w:val="clear" w:color="auto" w:fill="auto"/>
            <w:vAlign w:val="bottom"/>
          </w:tcPr>
          <w:p w14:paraId="74DE1E40" w14:textId="77777777" w:rsidR="00584EC1" w:rsidRDefault="00584EC1">
            <w:pPr>
              <w:rPr>
                <w:rFonts w:ascii="宋体"/>
              </w:rPr>
            </w:pPr>
          </w:p>
        </w:tc>
        <w:tc>
          <w:tcPr>
            <w:tcW w:w="0" w:type="auto"/>
            <w:shd w:val="clear" w:color="auto" w:fill="auto"/>
            <w:vAlign w:val="bottom"/>
          </w:tcPr>
          <w:p w14:paraId="74DE1E41" w14:textId="77777777" w:rsidR="00584EC1" w:rsidRDefault="00584EC1">
            <w:pPr>
              <w:rPr>
                <w:rFonts w:ascii="宋体"/>
              </w:rPr>
            </w:pPr>
          </w:p>
        </w:tc>
        <w:tc>
          <w:tcPr>
            <w:tcW w:w="0" w:type="auto"/>
            <w:shd w:val="clear" w:color="auto" w:fill="auto"/>
            <w:vAlign w:val="bottom"/>
          </w:tcPr>
          <w:p w14:paraId="74DE1E42" w14:textId="77777777" w:rsidR="00584EC1" w:rsidRDefault="00584EC1">
            <w:pPr>
              <w:rPr>
                <w:rFonts w:ascii="宋体"/>
              </w:rPr>
            </w:pPr>
          </w:p>
        </w:tc>
        <w:tc>
          <w:tcPr>
            <w:tcW w:w="0" w:type="auto"/>
            <w:shd w:val="clear" w:color="auto" w:fill="auto"/>
            <w:vAlign w:val="bottom"/>
          </w:tcPr>
          <w:p w14:paraId="74DE1E43" w14:textId="77777777" w:rsidR="00584EC1" w:rsidRDefault="00584EC1">
            <w:pPr>
              <w:rPr>
                <w:rFonts w:ascii="宋体"/>
              </w:rPr>
            </w:pPr>
          </w:p>
        </w:tc>
        <w:tc>
          <w:tcPr>
            <w:tcW w:w="0" w:type="auto"/>
            <w:shd w:val="clear" w:color="auto" w:fill="auto"/>
            <w:vAlign w:val="bottom"/>
          </w:tcPr>
          <w:p w14:paraId="74DE1E44" w14:textId="77777777" w:rsidR="00584EC1" w:rsidRDefault="00584EC1">
            <w:pPr>
              <w:rPr>
                <w:rFonts w:ascii="宋体"/>
              </w:rPr>
            </w:pPr>
          </w:p>
        </w:tc>
        <w:tc>
          <w:tcPr>
            <w:tcW w:w="0" w:type="auto"/>
            <w:shd w:val="clear" w:color="auto" w:fill="auto"/>
            <w:vAlign w:val="bottom"/>
          </w:tcPr>
          <w:p w14:paraId="74DE1E45" w14:textId="77777777" w:rsidR="00584EC1" w:rsidRDefault="00584EC1">
            <w:pPr>
              <w:rPr>
                <w:rFonts w:ascii="宋体"/>
              </w:rPr>
            </w:pPr>
          </w:p>
        </w:tc>
        <w:tc>
          <w:tcPr>
            <w:tcW w:w="0" w:type="auto"/>
            <w:shd w:val="clear" w:color="auto" w:fill="auto"/>
            <w:vAlign w:val="bottom"/>
          </w:tcPr>
          <w:p w14:paraId="74DE1E46" w14:textId="77777777" w:rsidR="00584EC1" w:rsidRDefault="00584EC1">
            <w:pPr>
              <w:rPr>
                <w:rFonts w:ascii="宋体"/>
              </w:rPr>
            </w:pPr>
          </w:p>
        </w:tc>
      </w:tr>
      <w:tr w:rsidR="00584EC1" w14:paraId="74DE1E5C" w14:textId="77777777">
        <w:trPr>
          <w:hidden/>
        </w:trPr>
        <w:tc>
          <w:tcPr>
            <w:tcW w:w="0" w:type="auto"/>
            <w:gridSpan w:val="3"/>
            <w:shd w:val="clear" w:color="auto" w:fill="auto"/>
            <w:vAlign w:val="bottom"/>
          </w:tcPr>
          <w:p w14:paraId="74DE1E48" w14:textId="77777777" w:rsidR="00584EC1" w:rsidRDefault="00584EC1">
            <w:pPr>
              <w:rPr>
                <w:rFonts w:ascii="宋体"/>
                <w:vanish/>
              </w:rPr>
            </w:pPr>
          </w:p>
        </w:tc>
        <w:tc>
          <w:tcPr>
            <w:tcW w:w="0" w:type="auto"/>
            <w:gridSpan w:val="3"/>
            <w:shd w:val="clear" w:color="auto" w:fill="auto"/>
            <w:vAlign w:val="bottom"/>
          </w:tcPr>
          <w:p w14:paraId="74DE1E49" w14:textId="77777777" w:rsidR="00584EC1" w:rsidRDefault="00584EC1">
            <w:pPr>
              <w:rPr>
                <w:rFonts w:ascii="宋体"/>
                <w:vanish/>
              </w:rPr>
            </w:pPr>
          </w:p>
        </w:tc>
        <w:tc>
          <w:tcPr>
            <w:tcW w:w="0" w:type="auto"/>
            <w:gridSpan w:val="3"/>
            <w:shd w:val="clear" w:color="auto" w:fill="auto"/>
            <w:vAlign w:val="bottom"/>
          </w:tcPr>
          <w:p w14:paraId="74DE1E4A" w14:textId="77777777" w:rsidR="00584EC1" w:rsidRDefault="00584EC1">
            <w:pPr>
              <w:rPr>
                <w:rFonts w:ascii="宋体"/>
                <w:vanish/>
              </w:rPr>
            </w:pPr>
          </w:p>
        </w:tc>
        <w:tc>
          <w:tcPr>
            <w:tcW w:w="0" w:type="auto"/>
            <w:gridSpan w:val="3"/>
            <w:shd w:val="clear" w:color="auto" w:fill="auto"/>
            <w:vAlign w:val="bottom"/>
          </w:tcPr>
          <w:p w14:paraId="74DE1E4B" w14:textId="77777777" w:rsidR="00584EC1" w:rsidRDefault="00584EC1">
            <w:pPr>
              <w:rPr>
                <w:rFonts w:ascii="宋体"/>
                <w:vanish/>
              </w:rPr>
            </w:pPr>
          </w:p>
        </w:tc>
        <w:tc>
          <w:tcPr>
            <w:tcW w:w="0" w:type="auto"/>
            <w:gridSpan w:val="3"/>
            <w:shd w:val="clear" w:color="auto" w:fill="auto"/>
            <w:vAlign w:val="bottom"/>
          </w:tcPr>
          <w:p w14:paraId="74DE1E4C" w14:textId="77777777" w:rsidR="00584EC1" w:rsidRDefault="00584EC1">
            <w:pPr>
              <w:rPr>
                <w:rFonts w:ascii="宋体"/>
                <w:vanish/>
              </w:rPr>
            </w:pPr>
          </w:p>
        </w:tc>
        <w:tc>
          <w:tcPr>
            <w:tcW w:w="0" w:type="auto"/>
            <w:gridSpan w:val="3"/>
            <w:shd w:val="clear" w:color="auto" w:fill="auto"/>
            <w:vAlign w:val="bottom"/>
          </w:tcPr>
          <w:p w14:paraId="74DE1E4D" w14:textId="77777777" w:rsidR="00584EC1" w:rsidRDefault="00584EC1">
            <w:pPr>
              <w:rPr>
                <w:rFonts w:ascii="宋体"/>
                <w:vanish/>
              </w:rPr>
            </w:pPr>
          </w:p>
        </w:tc>
        <w:tc>
          <w:tcPr>
            <w:tcW w:w="0" w:type="auto"/>
            <w:gridSpan w:val="3"/>
            <w:shd w:val="clear" w:color="auto" w:fill="auto"/>
            <w:vAlign w:val="bottom"/>
          </w:tcPr>
          <w:p w14:paraId="74DE1E4E" w14:textId="77777777" w:rsidR="00584EC1" w:rsidRDefault="00584EC1">
            <w:pPr>
              <w:rPr>
                <w:rFonts w:ascii="宋体"/>
                <w:vanish/>
              </w:rPr>
            </w:pPr>
          </w:p>
        </w:tc>
        <w:tc>
          <w:tcPr>
            <w:tcW w:w="0" w:type="auto"/>
            <w:gridSpan w:val="3"/>
            <w:shd w:val="clear" w:color="auto" w:fill="auto"/>
            <w:vAlign w:val="bottom"/>
          </w:tcPr>
          <w:p w14:paraId="74DE1E4F" w14:textId="77777777" w:rsidR="00584EC1" w:rsidRDefault="00584EC1">
            <w:pPr>
              <w:rPr>
                <w:rFonts w:ascii="宋体"/>
                <w:vanish/>
              </w:rPr>
            </w:pPr>
          </w:p>
        </w:tc>
        <w:tc>
          <w:tcPr>
            <w:tcW w:w="0" w:type="auto"/>
            <w:gridSpan w:val="3"/>
            <w:shd w:val="clear" w:color="auto" w:fill="auto"/>
            <w:vAlign w:val="bottom"/>
          </w:tcPr>
          <w:p w14:paraId="74DE1E50" w14:textId="77777777" w:rsidR="00584EC1" w:rsidRDefault="00584EC1">
            <w:pPr>
              <w:rPr>
                <w:rFonts w:ascii="宋体"/>
                <w:vanish/>
              </w:rPr>
            </w:pPr>
          </w:p>
        </w:tc>
        <w:tc>
          <w:tcPr>
            <w:tcW w:w="0" w:type="auto"/>
            <w:gridSpan w:val="3"/>
            <w:shd w:val="clear" w:color="auto" w:fill="auto"/>
            <w:vAlign w:val="bottom"/>
          </w:tcPr>
          <w:p w14:paraId="74DE1E51" w14:textId="77777777" w:rsidR="00584EC1" w:rsidRDefault="00584EC1">
            <w:pPr>
              <w:rPr>
                <w:rFonts w:ascii="宋体"/>
                <w:vanish/>
              </w:rPr>
            </w:pPr>
          </w:p>
        </w:tc>
        <w:tc>
          <w:tcPr>
            <w:tcW w:w="0" w:type="auto"/>
            <w:gridSpan w:val="3"/>
            <w:shd w:val="clear" w:color="auto" w:fill="auto"/>
            <w:vAlign w:val="bottom"/>
          </w:tcPr>
          <w:p w14:paraId="74DE1E52" w14:textId="77777777" w:rsidR="00584EC1" w:rsidRDefault="00584EC1">
            <w:pPr>
              <w:rPr>
                <w:rFonts w:ascii="宋体"/>
                <w:vanish/>
              </w:rPr>
            </w:pPr>
          </w:p>
        </w:tc>
        <w:tc>
          <w:tcPr>
            <w:tcW w:w="0" w:type="auto"/>
            <w:gridSpan w:val="3"/>
            <w:shd w:val="clear" w:color="auto" w:fill="auto"/>
            <w:vAlign w:val="bottom"/>
          </w:tcPr>
          <w:p w14:paraId="74DE1E53" w14:textId="77777777" w:rsidR="00584EC1" w:rsidRDefault="00584EC1">
            <w:pPr>
              <w:rPr>
                <w:rFonts w:ascii="宋体"/>
                <w:vanish/>
              </w:rPr>
            </w:pPr>
          </w:p>
        </w:tc>
        <w:tc>
          <w:tcPr>
            <w:tcW w:w="0" w:type="auto"/>
            <w:gridSpan w:val="3"/>
            <w:shd w:val="clear" w:color="auto" w:fill="auto"/>
            <w:vAlign w:val="bottom"/>
          </w:tcPr>
          <w:p w14:paraId="74DE1E54" w14:textId="77777777" w:rsidR="00584EC1" w:rsidRDefault="00584EC1">
            <w:pPr>
              <w:rPr>
                <w:rFonts w:ascii="宋体"/>
                <w:vanish/>
              </w:rPr>
            </w:pPr>
          </w:p>
        </w:tc>
        <w:tc>
          <w:tcPr>
            <w:tcW w:w="0" w:type="auto"/>
            <w:gridSpan w:val="3"/>
            <w:shd w:val="clear" w:color="auto" w:fill="auto"/>
            <w:vAlign w:val="bottom"/>
          </w:tcPr>
          <w:p w14:paraId="74DE1E55" w14:textId="77777777" w:rsidR="00584EC1" w:rsidRDefault="00584EC1">
            <w:pPr>
              <w:rPr>
                <w:rFonts w:ascii="宋体"/>
                <w:vanish/>
              </w:rPr>
            </w:pPr>
          </w:p>
        </w:tc>
        <w:tc>
          <w:tcPr>
            <w:tcW w:w="0" w:type="auto"/>
            <w:gridSpan w:val="3"/>
            <w:shd w:val="clear" w:color="auto" w:fill="auto"/>
            <w:vAlign w:val="bottom"/>
          </w:tcPr>
          <w:p w14:paraId="74DE1E56" w14:textId="77777777" w:rsidR="00584EC1" w:rsidRDefault="00584EC1">
            <w:pPr>
              <w:rPr>
                <w:rFonts w:ascii="宋体"/>
                <w:vanish/>
              </w:rPr>
            </w:pPr>
          </w:p>
        </w:tc>
        <w:tc>
          <w:tcPr>
            <w:tcW w:w="0" w:type="auto"/>
            <w:gridSpan w:val="3"/>
            <w:shd w:val="clear" w:color="auto" w:fill="auto"/>
            <w:vAlign w:val="bottom"/>
          </w:tcPr>
          <w:p w14:paraId="74DE1E57" w14:textId="77777777" w:rsidR="00584EC1" w:rsidRDefault="00584EC1">
            <w:pPr>
              <w:rPr>
                <w:rFonts w:ascii="宋体"/>
                <w:vanish/>
              </w:rPr>
            </w:pPr>
          </w:p>
        </w:tc>
        <w:tc>
          <w:tcPr>
            <w:tcW w:w="0" w:type="auto"/>
            <w:gridSpan w:val="3"/>
            <w:shd w:val="clear" w:color="auto" w:fill="auto"/>
            <w:vAlign w:val="bottom"/>
          </w:tcPr>
          <w:p w14:paraId="74DE1E58" w14:textId="77777777" w:rsidR="00584EC1" w:rsidRDefault="00584EC1">
            <w:pPr>
              <w:rPr>
                <w:rFonts w:ascii="宋体"/>
                <w:vanish/>
              </w:rPr>
            </w:pPr>
          </w:p>
        </w:tc>
        <w:tc>
          <w:tcPr>
            <w:tcW w:w="0" w:type="auto"/>
            <w:gridSpan w:val="3"/>
            <w:shd w:val="clear" w:color="auto" w:fill="auto"/>
            <w:vAlign w:val="bottom"/>
          </w:tcPr>
          <w:p w14:paraId="74DE1E59" w14:textId="77777777" w:rsidR="00584EC1" w:rsidRDefault="00584EC1">
            <w:pPr>
              <w:rPr>
                <w:rFonts w:ascii="宋体"/>
                <w:vanish/>
              </w:rPr>
            </w:pPr>
          </w:p>
        </w:tc>
        <w:tc>
          <w:tcPr>
            <w:tcW w:w="0" w:type="auto"/>
            <w:gridSpan w:val="3"/>
            <w:shd w:val="clear" w:color="auto" w:fill="auto"/>
            <w:vAlign w:val="bottom"/>
          </w:tcPr>
          <w:p w14:paraId="74DE1E5A" w14:textId="77777777" w:rsidR="00584EC1" w:rsidRDefault="00584EC1">
            <w:pPr>
              <w:rPr>
                <w:rFonts w:ascii="宋体"/>
                <w:vanish/>
              </w:rPr>
            </w:pPr>
          </w:p>
        </w:tc>
        <w:tc>
          <w:tcPr>
            <w:tcW w:w="0" w:type="auto"/>
            <w:gridSpan w:val="3"/>
            <w:shd w:val="clear" w:color="auto" w:fill="auto"/>
            <w:vAlign w:val="bottom"/>
          </w:tcPr>
          <w:p w14:paraId="74DE1E5B" w14:textId="77777777" w:rsidR="00584EC1" w:rsidRDefault="00584EC1">
            <w:pPr>
              <w:rPr>
                <w:rFonts w:ascii="宋体"/>
                <w:vanish/>
              </w:rPr>
            </w:pPr>
          </w:p>
        </w:tc>
      </w:tr>
      <w:tr w:rsidR="00584EC1" w14:paraId="74DE1E71" w14:textId="77777777">
        <w:trPr>
          <w:hidden/>
        </w:trPr>
        <w:tc>
          <w:tcPr>
            <w:tcW w:w="0" w:type="auto"/>
            <w:gridSpan w:val="3"/>
            <w:shd w:val="clear" w:color="auto" w:fill="auto"/>
            <w:vAlign w:val="bottom"/>
          </w:tcPr>
          <w:p w14:paraId="74DE1E5D" w14:textId="77777777" w:rsidR="00584EC1" w:rsidRDefault="00584EC1">
            <w:pPr>
              <w:rPr>
                <w:rFonts w:ascii="宋体"/>
                <w:vanish/>
              </w:rPr>
            </w:pPr>
          </w:p>
        </w:tc>
        <w:tc>
          <w:tcPr>
            <w:tcW w:w="0" w:type="auto"/>
            <w:gridSpan w:val="3"/>
            <w:shd w:val="clear" w:color="auto" w:fill="auto"/>
            <w:vAlign w:val="bottom"/>
          </w:tcPr>
          <w:p w14:paraId="74DE1E5E" w14:textId="77777777" w:rsidR="00584EC1" w:rsidRDefault="00584EC1">
            <w:pPr>
              <w:rPr>
                <w:rFonts w:ascii="宋体"/>
                <w:vanish/>
              </w:rPr>
            </w:pPr>
          </w:p>
        </w:tc>
        <w:tc>
          <w:tcPr>
            <w:tcW w:w="0" w:type="auto"/>
            <w:gridSpan w:val="3"/>
            <w:shd w:val="clear" w:color="auto" w:fill="auto"/>
            <w:vAlign w:val="bottom"/>
          </w:tcPr>
          <w:p w14:paraId="74DE1E5F" w14:textId="77777777" w:rsidR="00584EC1" w:rsidRDefault="00584EC1">
            <w:pPr>
              <w:rPr>
                <w:rFonts w:ascii="宋体"/>
                <w:vanish/>
              </w:rPr>
            </w:pPr>
          </w:p>
        </w:tc>
        <w:tc>
          <w:tcPr>
            <w:tcW w:w="0" w:type="auto"/>
            <w:gridSpan w:val="3"/>
            <w:shd w:val="clear" w:color="auto" w:fill="auto"/>
            <w:vAlign w:val="bottom"/>
          </w:tcPr>
          <w:p w14:paraId="74DE1E60" w14:textId="77777777" w:rsidR="00584EC1" w:rsidRDefault="00584EC1">
            <w:pPr>
              <w:rPr>
                <w:rFonts w:ascii="宋体"/>
                <w:vanish/>
              </w:rPr>
            </w:pPr>
          </w:p>
        </w:tc>
        <w:tc>
          <w:tcPr>
            <w:tcW w:w="0" w:type="auto"/>
            <w:gridSpan w:val="3"/>
            <w:shd w:val="clear" w:color="auto" w:fill="auto"/>
            <w:vAlign w:val="bottom"/>
          </w:tcPr>
          <w:p w14:paraId="74DE1E61" w14:textId="77777777" w:rsidR="00584EC1" w:rsidRDefault="00584EC1">
            <w:pPr>
              <w:rPr>
                <w:rFonts w:ascii="宋体"/>
                <w:vanish/>
              </w:rPr>
            </w:pPr>
          </w:p>
        </w:tc>
        <w:tc>
          <w:tcPr>
            <w:tcW w:w="0" w:type="auto"/>
            <w:gridSpan w:val="3"/>
            <w:shd w:val="clear" w:color="auto" w:fill="auto"/>
            <w:vAlign w:val="bottom"/>
          </w:tcPr>
          <w:p w14:paraId="74DE1E62" w14:textId="77777777" w:rsidR="00584EC1" w:rsidRDefault="00584EC1">
            <w:pPr>
              <w:rPr>
                <w:rFonts w:ascii="宋体"/>
                <w:vanish/>
              </w:rPr>
            </w:pPr>
          </w:p>
        </w:tc>
        <w:tc>
          <w:tcPr>
            <w:tcW w:w="0" w:type="auto"/>
            <w:gridSpan w:val="3"/>
            <w:shd w:val="clear" w:color="auto" w:fill="auto"/>
            <w:vAlign w:val="bottom"/>
          </w:tcPr>
          <w:p w14:paraId="74DE1E63" w14:textId="77777777" w:rsidR="00584EC1" w:rsidRDefault="00584EC1">
            <w:pPr>
              <w:rPr>
                <w:rFonts w:ascii="宋体"/>
                <w:vanish/>
              </w:rPr>
            </w:pPr>
          </w:p>
        </w:tc>
        <w:tc>
          <w:tcPr>
            <w:tcW w:w="0" w:type="auto"/>
            <w:gridSpan w:val="3"/>
            <w:shd w:val="clear" w:color="auto" w:fill="auto"/>
            <w:vAlign w:val="bottom"/>
          </w:tcPr>
          <w:p w14:paraId="74DE1E64" w14:textId="77777777" w:rsidR="00584EC1" w:rsidRDefault="00584EC1">
            <w:pPr>
              <w:rPr>
                <w:rFonts w:ascii="宋体"/>
                <w:vanish/>
              </w:rPr>
            </w:pPr>
          </w:p>
        </w:tc>
        <w:tc>
          <w:tcPr>
            <w:tcW w:w="0" w:type="auto"/>
            <w:gridSpan w:val="3"/>
            <w:shd w:val="clear" w:color="auto" w:fill="auto"/>
            <w:vAlign w:val="bottom"/>
          </w:tcPr>
          <w:p w14:paraId="74DE1E65" w14:textId="77777777" w:rsidR="00584EC1" w:rsidRDefault="00584EC1">
            <w:pPr>
              <w:rPr>
                <w:rFonts w:ascii="宋体"/>
                <w:vanish/>
              </w:rPr>
            </w:pPr>
          </w:p>
        </w:tc>
        <w:tc>
          <w:tcPr>
            <w:tcW w:w="0" w:type="auto"/>
            <w:gridSpan w:val="3"/>
            <w:shd w:val="clear" w:color="auto" w:fill="auto"/>
            <w:vAlign w:val="bottom"/>
          </w:tcPr>
          <w:p w14:paraId="74DE1E66" w14:textId="77777777" w:rsidR="00584EC1" w:rsidRDefault="00584EC1">
            <w:pPr>
              <w:rPr>
                <w:rFonts w:ascii="宋体"/>
                <w:vanish/>
              </w:rPr>
            </w:pPr>
          </w:p>
        </w:tc>
        <w:tc>
          <w:tcPr>
            <w:tcW w:w="0" w:type="auto"/>
            <w:gridSpan w:val="3"/>
            <w:shd w:val="clear" w:color="auto" w:fill="auto"/>
            <w:vAlign w:val="bottom"/>
          </w:tcPr>
          <w:p w14:paraId="74DE1E67" w14:textId="77777777" w:rsidR="00584EC1" w:rsidRDefault="00584EC1">
            <w:pPr>
              <w:rPr>
                <w:rFonts w:ascii="宋体"/>
                <w:vanish/>
              </w:rPr>
            </w:pPr>
          </w:p>
        </w:tc>
        <w:tc>
          <w:tcPr>
            <w:tcW w:w="0" w:type="auto"/>
            <w:gridSpan w:val="3"/>
            <w:shd w:val="clear" w:color="auto" w:fill="auto"/>
            <w:vAlign w:val="bottom"/>
          </w:tcPr>
          <w:p w14:paraId="74DE1E68" w14:textId="77777777" w:rsidR="00584EC1" w:rsidRDefault="00584EC1">
            <w:pPr>
              <w:rPr>
                <w:rFonts w:ascii="宋体"/>
                <w:vanish/>
              </w:rPr>
            </w:pPr>
          </w:p>
        </w:tc>
        <w:tc>
          <w:tcPr>
            <w:tcW w:w="0" w:type="auto"/>
            <w:gridSpan w:val="3"/>
            <w:shd w:val="clear" w:color="auto" w:fill="auto"/>
            <w:vAlign w:val="bottom"/>
          </w:tcPr>
          <w:p w14:paraId="74DE1E69" w14:textId="77777777" w:rsidR="00584EC1" w:rsidRDefault="00584EC1">
            <w:pPr>
              <w:rPr>
                <w:rFonts w:ascii="宋体"/>
                <w:vanish/>
              </w:rPr>
            </w:pPr>
          </w:p>
        </w:tc>
        <w:tc>
          <w:tcPr>
            <w:tcW w:w="0" w:type="auto"/>
            <w:gridSpan w:val="3"/>
            <w:shd w:val="clear" w:color="auto" w:fill="auto"/>
            <w:vAlign w:val="bottom"/>
          </w:tcPr>
          <w:p w14:paraId="74DE1E6A" w14:textId="77777777" w:rsidR="00584EC1" w:rsidRDefault="00584EC1">
            <w:pPr>
              <w:rPr>
                <w:rFonts w:ascii="宋体"/>
                <w:vanish/>
              </w:rPr>
            </w:pPr>
          </w:p>
        </w:tc>
        <w:tc>
          <w:tcPr>
            <w:tcW w:w="0" w:type="auto"/>
            <w:gridSpan w:val="3"/>
            <w:shd w:val="clear" w:color="auto" w:fill="auto"/>
            <w:vAlign w:val="bottom"/>
          </w:tcPr>
          <w:p w14:paraId="74DE1E6B" w14:textId="77777777" w:rsidR="00584EC1" w:rsidRDefault="00584EC1">
            <w:pPr>
              <w:rPr>
                <w:rFonts w:ascii="宋体"/>
                <w:vanish/>
              </w:rPr>
            </w:pPr>
          </w:p>
        </w:tc>
        <w:tc>
          <w:tcPr>
            <w:tcW w:w="0" w:type="auto"/>
            <w:gridSpan w:val="3"/>
            <w:shd w:val="clear" w:color="auto" w:fill="auto"/>
            <w:vAlign w:val="bottom"/>
          </w:tcPr>
          <w:p w14:paraId="74DE1E6C" w14:textId="77777777" w:rsidR="00584EC1" w:rsidRDefault="00584EC1">
            <w:pPr>
              <w:rPr>
                <w:rFonts w:ascii="宋体"/>
                <w:vanish/>
              </w:rPr>
            </w:pPr>
          </w:p>
        </w:tc>
        <w:tc>
          <w:tcPr>
            <w:tcW w:w="0" w:type="auto"/>
            <w:gridSpan w:val="3"/>
            <w:shd w:val="clear" w:color="auto" w:fill="auto"/>
            <w:vAlign w:val="bottom"/>
          </w:tcPr>
          <w:p w14:paraId="74DE1E6D" w14:textId="77777777" w:rsidR="00584EC1" w:rsidRDefault="00584EC1">
            <w:pPr>
              <w:rPr>
                <w:rFonts w:ascii="宋体"/>
                <w:vanish/>
              </w:rPr>
            </w:pPr>
          </w:p>
        </w:tc>
        <w:tc>
          <w:tcPr>
            <w:tcW w:w="0" w:type="auto"/>
            <w:gridSpan w:val="3"/>
            <w:shd w:val="clear" w:color="auto" w:fill="auto"/>
            <w:vAlign w:val="bottom"/>
          </w:tcPr>
          <w:p w14:paraId="74DE1E6E" w14:textId="77777777" w:rsidR="00584EC1" w:rsidRDefault="00584EC1">
            <w:pPr>
              <w:rPr>
                <w:rFonts w:ascii="宋体"/>
                <w:vanish/>
              </w:rPr>
            </w:pPr>
          </w:p>
        </w:tc>
        <w:tc>
          <w:tcPr>
            <w:tcW w:w="0" w:type="auto"/>
            <w:gridSpan w:val="3"/>
            <w:shd w:val="clear" w:color="auto" w:fill="auto"/>
            <w:vAlign w:val="bottom"/>
          </w:tcPr>
          <w:p w14:paraId="74DE1E6F" w14:textId="77777777" w:rsidR="00584EC1" w:rsidRDefault="00584EC1">
            <w:pPr>
              <w:rPr>
                <w:rFonts w:ascii="宋体"/>
                <w:vanish/>
              </w:rPr>
            </w:pPr>
          </w:p>
        </w:tc>
        <w:tc>
          <w:tcPr>
            <w:tcW w:w="0" w:type="auto"/>
            <w:gridSpan w:val="3"/>
            <w:shd w:val="clear" w:color="auto" w:fill="auto"/>
            <w:vAlign w:val="bottom"/>
          </w:tcPr>
          <w:p w14:paraId="74DE1E70" w14:textId="77777777" w:rsidR="00584EC1" w:rsidRDefault="00584EC1">
            <w:pPr>
              <w:rPr>
                <w:rFonts w:ascii="宋体"/>
                <w:vanish/>
              </w:rPr>
            </w:pPr>
          </w:p>
        </w:tc>
      </w:tr>
      <w:tr w:rsidR="00584EC1" w14:paraId="74DE1E86" w14:textId="77777777">
        <w:trPr>
          <w:hidden/>
        </w:trPr>
        <w:tc>
          <w:tcPr>
            <w:tcW w:w="0" w:type="auto"/>
            <w:gridSpan w:val="3"/>
            <w:shd w:val="clear" w:color="auto" w:fill="auto"/>
            <w:vAlign w:val="bottom"/>
          </w:tcPr>
          <w:p w14:paraId="74DE1E72" w14:textId="77777777" w:rsidR="00584EC1" w:rsidRDefault="00584EC1">
            <w:pPr>
              <w:rPr>
                <w:rFonts w:ascii="宋体"/>
                <w:vanish/>
              </w:rPr>
            </w:pPr>
          </w:p>
        </w:tc>
        <w:tc>
          <w:tcPr>
            <w:tcW w:w="0" w:type="auto"/>
            <w:gridSpan w:val="3"/>
            <w:shd w:val="clear" w:color="auto" w:fill="auto"/>
            <w:vAlign w:val="bottom"/>
          </w:tcPr>
          <w:p w14:paraId="74DE1E73" w14:textId="77777777" w:rsidR="00584EC1" w:rsidRDefault="00584EC1">
            <w:pPr>
              <w:rPr>
                <w:rFonts w:ascii="宋体"/>
                <w:vanish/>
              </w:rPr>
            </w:pPr>
          </w:p>
        </w:tc>
        <w:tc>
          <w:tcPr>
            <w:tcW w:w="0" w:type="auto"/>
            <w:gridSpan w:val="3"/>
            <w:shd w:val="clear" w:color="auto" w:fill="auto"/>
            <w:vAlign w:val="bottom"/>
          </w:tcPr>
          <w:p w14:paraId="74DE1E74" w14:textId="77777777" w:rsidR="00584EC1" w:rsidRDefault="00584EC1">
            <w:pPr>
              <w:rPr>
                <w:rFonts w:ascii="宋体"/>
                <w:vanish/>
              </w:rPr>
            </w:pPr>
          </w:p>
        </w:tc>
        <w:tc>
          <w:tcPr>
            <w:tcW w:w="0" w:type="auto"/>
            <w:gridSpan w:val="3"/>
            <w:shd w:val="clear" w:color="auto" w:fill="auto"/>
            <w:vAlign w:val="bottom"/>
          </w:tcPr>
          <w:p w14:paraId="74DE1E75" w14:textId="77777777" w:rsidR="00584EC1" w:rsidRDefault="00584EC1">
            <w:pPr>
              <w:rPr>
                <w:rFonts w:ascii="宋体"/>
                <w:vanish/>
              </w:rPr>
            </w:pPr>
          </w:p>
        </w:tc>
        <w:tc>
          <w:tcPr>
            <w:tcW w:w="0" w:type="auto"/>
            <w:gridSpan w:val="3"/>
            <w:shd w:val="clear" w:color="auto" w:fill="auto"/>
            <w:vAlign w:val="bottom"/>
          </w:tcPr>
          <w:p w14:paraId="74DE1E76" w14:textId="77777777" w:rsidR="00584EC1" w:rsidRDefault="00584EC1">
            <w:pPr>
              <w:rPr>
                <w:rFonts w:ascii="宋体"/>
                <w:vanish/>
              </w:rPr>
            </w:pPr>
          </w:p>
        </w:tc>
        <w:tc>
          <w:tcPr>
            <w:tcW w:w="0" w:type="auto"/>
            <w:gridSpan w:val="3"/>
            <w:shd w:val="clear" w:color="auto" w:fill="auto"/>
            <w:vAlign w:val="bottom"/>
          </w:tcPr>
          <w:p w14:paraId="74DE1E77" w14:textId="77777777" w:rsidR="00584EC1" w:rsidRDefault="00584EC1">
            <w:pPr>
              <w:rPr>
                <w:rFonts w:ascii="宋体"/>
                <w:vanish/>
              </w:rPr>
            </w:pPr>
          </w:p>
        </w:tc>
        <w:tc>
          <w:tcPr>
            <w:tcW w:w="0" w:type="auto"/>
            <w:gridSpan w:val="3"/>
            <w:shd w:val="clear" w:color="auto" w:fill="auto"/>
            <w:vAlign w:val="bottom"/>
          </w:tcPr>
          <w:p w14:paraId="74DE1E78" w14:textId="77777777" w:rsidR="00584EC1" w:rsidRDefault="00584EC1">
            <w:pPr>
              <w:rPr>
                <w:rFonts w:ascii="宋体"/>
                <w:vanish/>
              </w:rPr>
            </w:pPr>
          </w:p>
        </w:tc>
        <w:tc>
          <w:tcPr>
            <w:tcW w:w="0" w:type="auto"/>
            <w:gridSpan w:val="3"/>
            <w:shd w:val="clear" w:color="auto" w:fill="auto"/>
            <w:vAlign w:val="bottom"/>
          </w:tcPr>
          <w:p w14:paraId="74DE1E79" w14:textId="77777777" w:rsidR="00584EC1" w:rsidRDefault="00584EC1">
            <w:pPr>
              <w:rPr>
                <w:rFonts w:ascii="宋体"/>
                <w:vanish/>
              </w:rPr>
            </w:pPr>
          </w:p>
        </w:tc>
        <w:tc>
          <w:tcPr>
            <w:tcW w:w="0" w:type="auto"/>
            <w:gridSpan w:val="3"/>
            <w:shd w:val="clear" w:color="auto" w:fill="auto"/>
            <w:vAlign w:val="bottom"/>
          </w:tcPr>
          <w:p w14:paraId="74DE1E7A" w14:textId="77777777" w:rsidR="00584EC1" w:rsidRDefault="00584EC1">
            <w:pPr>
              <w:rPr>
                <w:rFonts w:ascii="宋体"/>
                <w:vanish/>
              </w:rPr>
            </w:pPr>
          </w:p>
        </w:tc>
        <w:tc>
          <w:tcPr>
            <w:tcW w:w="0" w:type="auto"/>
            <w:gridSpan w:val="3"/>
            <w:shd w:val="clear" w:color="auto" w:fill="auto"/>
            <w:vAlign w:val="bottom"/>
          </w:tcPr>
          <w:p w14:paraId="74DE1E7B" w14:textId="77777777" w:rsidR="00584EC1" w:rsidRDefault="00584EC1">
            <w:pPr>
              <w:rPr>
                <w:rFonts w:ascii="宋体"/>
                <w:vanish/>
              </w:rPr>
            </w:pPr>
          </w:p>
        </w:tc>
        <w:tc>
          <w:tcPr>
            <w:tcW w:w="0" w:type="auto"/>
            <w:gridSpan w:val="3"/>
            <w:shd w:val="clear" w:color="auto" w:fill="auto"/>
            <w:vAlign w:val="bottom"/>
          </w:tcPr>
          <w:p w14:paraId="74DE1E7C" w14:textId="77777777" w:rsidR="00584EC1" w:rsidRDefault="00584EC1">
            <w:pPr>
              <w:rPr>
                <w:rFonts w:ascii="宋体"/>
                <w:vanish/>
              </w:rPr>
            </w:pPr>
          </w:p>
        </w:tc>
        <w:tc>
          <w:tcPr>
            <w:tcW w:w="0" w:type="auto"/>
            <w:gridSpan w:val="3"/>
            <w:shd w:val="clear" w:color="auto" w:fill="auto"/>
            <w:vAlign w:val="bottom"/>
          </w:tcPr>
          <w:p w14:paraId="74DE1E7D" w14:textId="77777777" w:rsidR="00584EC1" w:rsidRDefault="00584EC1">
            <w:pPr>
              <w:rPr>
                <w:rFonts w:ascii="宋体"/>
                <w:vanish/>
              </w:rPr>
            </w:pPr>
          </w:p>
        </w:tc>
        <w:tc>
          <w:tcPr>
            <w:tcW w:w="0" w:type="auto"/>
            <w:gridSpan w:val="3"/>
            <w:shd w:val="clear" w:color="auto" w:fill="auto"/>
            <w:vAlign w:val="bottom"/>
          </w:tcPr>
          <w:p w14:paraId="74DE1E7E" w14:textId="77777777" w:rsidR="00584EC1" w:rsidRDefault="00584EC1">
            <w:pPr>
              <w:rPr>
                <w:rFonts w:ascii="宋体"/>
                <w:vanish/>
              </w:rPr>
            </w:pPr>
          </w:p>
        </w:tc>
        <w:tc>
          <w:tcPr>
            <w:tcW w:w="0" w:type="auto"/>
            <w:gridSpan w:val="3"/>
            <w:shd w:val="clear" w:color="auto" w:fill="auto"/>
            <w:vAlign w:val="bottom"/>
          </w:tcPr>
          <w:p w14:paraId="74DE1E7F" w14:textId="77777777" w:rsidR="00584EC1" w:rsidRDefault="00584EC1">
            <w:pPr>
              <w:rPr>
                <w:rFonts w:ascii="宋体"/>
                <w:vanish/>
              </w:rPr>
            </w:pPr>
          </w:p>
        </w:tc>
        <w:tc>
          <w:tcPr>
            <w:tcW w:w="0" w:type="auto"/>
            <w:gridSpan w:val="3"/>
            <w:shd w:val="clear" w:color="auto" w:fill="auto"/>
            <w:vAlign w:val="bottom"/>
          </w:tcPr>
          <w:p w14:paraId="74DE1E80" w14:textId="77777777" w:rsidR="00584EC1" w:rsidRDefault="00584EC1">
            <w:pPr>
              <w:rPr>
                <w:rFonts w:ascii="宋体"/>
                <w:vanish/>
              </w:rPr>
            </w:pPr>
          </w:p>
        </w:tc>
        <w:tc>
          <w:tcPr>
            <w:tcW w:w="0" w:type="auto"/>
            <w:gridSpan w:val="3"/>
            <w:shd w:val="clear" w:color="auto" w:fill="auto"/>
            <w:vAlign w:val="bottom"/>
          </w:tcPr>
          <w:p w14:paraId="74DE1E81" w14:textId="77777777" w:rsidR="00584EC1" w:rsidRDefault="00584EC1">
            <w:pPr>
              <w:rPr>
                <w:rFonts w:ascii="宋体"/>
                <w:vanish/>
              </w:rPr>
            </w:pPr>
          </w:p>
        </w:tc>
        <w:tc>
          <w:tcPr>
            <w:tcW w:w="0" w:type="auto"/>
            <w:gridSpan w:val="3"/>
            <w:shd w:val="clear" w:color="auto" w:fill="auto"/>
            <w:vAlign w:val="bottom"/>
          </w:tcPr>
          <w:p w14:paraId="74DE1E82" w14:textId="77777777" w:rsidR="00584EC1" w:rsidRDefault="00584EC1">
            <w:pPr>
              <w:rPr>
                <w:rFonts w:ascii="宋体"/>
                <w:vanish/>
              </w:rPr>
            </w:pPr>
          </w:p>
        </w:tc>
        <w:tc>
          <w:tcPr>
            <w:tcW w:w="0" w:type="auto"/>
            <w:gridSpan w:val="3"/>
            <w:shd w:val="clear" w:color="auto" w:fill="auto"/>
            <w:vAlign w:val="bottom"/>
          </w:tcPr>
          <w:p w14:paraId="74DE1E83" w14:textId="77777777" w:rsidR="00584EC1" w:rsidRDefault="00584EC1">
            <w:pPr>
              <w:rPr>
                <w:rFonts w:ascii="宋体"/>
                <w:vanish/>
              </w:rPr>
            </w:pPr>
          </w:p>
        </w:tc>
        <w:tc>
          <w:tcPr>
            <w:tcW w:w="0" w:type="auto"/>
            <w:gridSpan w:val="3"/>
            <w:shd w:val="clear" w:color="auto" w:fill="auto"/>
            <w:vAlign w:val="bottom"/>
          </w:tcPr>
          <w:p w14:paraId="74DE1E84" w14:textId="77777777" w:rsidR="00584EC1" w:rsidRDefault="00584EC1">
            <w:pPr>
              <w:rPr>
                <w:rFonts w:ascii="宋体"/>
                <w:vanish/>
              </w:rPr>
            </w:pPr>
          </w:p>
        </w:tc>
        <w:tc>
          <w:tcPr>
            <w:tcW w:w="0" w:type="auto"/>
            <w:gridSpan w:val="3"/>
            <w:shd w:val="clear" w:color="auto" w:fill="auto"/>
            <w:vAlign w:val="bottom"/>
          </w:tcPr>
          <w:p w14:paraId="74DE1E85" w14:textId="77777777" w:rsidR="00584EC1" w:rsidRDefault="00584EC1">
            <w:pPr>
              <w:rPr>
                <w:rFonts w:ascii="宋体"/>
                <w:vanish/>
              </w:rPr>
            </w:pPr>
          </w:p>
        </w:tc>
      </w:tr>
      <w:tr w:rsidR="00584EC1" w14:paraId="74DE1E9B" w14:textId="77777777">
        <w:trPr>
          <w:hidden/>
        </w:trPr>
        <w:tc>
          <w:tcPr>
            <w:tcW w:w="0" w:type="auto"/>
            <w:gridSpan w:val="3"/>
            <w:shd w:val="clear" w:color="auto" w:fill="auto"/>
            <w:vAlign w:val="bottom"/>
          </w:tcPr>
          <w:p w14:paraId="74DE1E87" w14:textId="77777777" w:rsidR="00584EC1" w:rsidRDefault="00584EC1">
            <w:pPr>
              <w:rPr>
                <w:rFonts w:ascii="宋体"/>
                <w:vanish/>
              </w:rPr>
            </w:pPr>
          </w:p>
        </w:tc>
        <w:tc>
          <w:tcPr>
            <w:tcW w:w="0" w:type="auto"/>
            <w:gridSpan w:val="3"/>
            <w:shd w:val="clear" w:color="auto" w:fill="auto"/>
            <w:vAlign w:val="bottom"/>
          </w:tcPr>
          <w:p w14:paraId="74DE1E88" w14:textId="77777777" w:rsidR="00584EC1" w:rsidRDefault="00584EC1">
            <w:pPr>
              <w:rPr>
                <w:rFonts w:ascii="宋体"/>
                <w:vanish/>
              </w:rPr>
            </w:pPr>
          </w:p>
        </w:tc>
        <w:tc>
          <w:tcPr>
            <w:tcW w:w="0" w:type="auto"/>
            <w:gridSpan w:val="3"/>
            <w:shd w:val="clear" w:color="auto" w:fill="auto"/>
            <w:vAlign w:val="bottom"/>
          </w:tcPr>
          <w:p w14:paraId="74DE1E89" w14:textId="77777777" w:rsidR="00584EC1" w:rsidRDefault="00584EC1">
            <w:pPr>
              <w:rPr>
                <w:rFonts w:ascii="宋体"/>
                <w:vanish/>
              </w:rPr>
            </w:pPr>
          </w:p>
        </w:tc>
        <w:tc>
          <w:tcPr>
            <w:tcW w:w="0" w:type="auto"/>
            <w:gridSpan w:val="3"/>
            <w:shd w:val="clear" w:color="auto" w:fill="auto"/>
            <w:vAlign w:val="bottom"/>
          </w:tcPr>
          <w:p w14:paraId="74DE1E8A" w14:textId="77777777" w:rsidR="00584EC1" w:rsidRDefault="00584EC1">
            <w:pPr>
              <w:rPr>
                <w:rFonts w:ascii="宋体"/>
                <w:vanish/>
              </w:rPr>
            </w:pPr>
          </w:p>
        </w:tc>
        <w:tc>
          <w:tcPr>
            <w:tcW w:w="0" w:type="auto"/>
            <w:gridSpan w:val="3"/>
            <w:shd w:val="clear" w:color="auto" w:fill="auto"/>
            <w:vAlign w:val="bottom"/>
          </w:tcPr>
          <w:p w14:paraId="74DE1E8B" w14:textId="77777777" w:rsidR="00584EC1" w:rsidRDefault="00584EC1">
            <w:pPr>
              <w:rPr>
                <w:rFonts w:ascii="宋体"/>
                <w:vanish/>
              </w:rPr>
            </w:pPr>
          </w:p>
        </w:tc>
        <w:tc>
          <w:tcPr>
            <w:tcW w:w="0" w:type="auto"/>
            <w:gridSpan w:val="3"/>
            <w:shd w:val="clear" w:color="auto" w:fill="auto"/>
            <w:vAlign w:val="bottom"/>
          </w:tcPr>
          <w:p w14:paraId="74DE1E8C" w14:textId="77777777" w:rsidR="00584EC1" w:rsidRDefault="00584EC1">
            <w:pPr>
              <w:rPr>
                <w:rFonts w:ascii="宋体"/>
                <w:vanish/>
              </w:rPr>
            </w:pPr>
          </w:p>
        </w:tc>
        <w:tc>
          <w:tcPr>
            <w:tcW w:w="0" w:type="auto"/>
            <w:gridSpan w:val="3"/>
            <w:shd w:val="clear" w:color="auto" w:fill="auto"/>
            <w:vAlign w:val="bottom"/>
          </w:tcPr>
          <w:p w14:paraId="74DE1E8D" w14:textId="77777777" w:rsidR="00584EC1" w:rsidRDefault="00584EC1">
            <w:pPr>
              <w:rPr>
                <w:rFonts w:ascii="宋体"/>
                <w:vanish/>
              </w:rPr>
            </w:pPr>
          </w:p>
        </w:tc>
        <w:tc>
          <w:tcPr>
            <w:tcW w:w="0" w:type="auto"/>
            <w:gridSpan w:val="3"/>
            <w:shd w:val="clear" w:color="auto" w:fill="auto"/>
            <w:vAlign w:val="bottom"/>
          </w:tcPr>
          <w:p w14:paraId="74DE1E8E" w14:textId="77777777" w:rsidR="00584EC1" w:rsidRDefault="00584EC1">
            <w:pPr>
              <w:rPr>
                <w:rFonts w:ascii="宋体"/>
                <w:vanish/>
              </w:rPr>
            </w:pPr>
          </w:p>
        </w:tc>
        <w:tc>
          <w:tcPr>
            <w:tcW w:w="0" w:type="auto"/>
            <w:gridSpan w:val="3"/>
            <w:shd w:val="clear" w:color="auto" w:fill="auto"/>
            <w:vAlign w:val="bottom"/>
          </w:tcPr>
          <w:p w14:paraId="74DE1E8F" w14:textId="77777777" w:rsidR="00584EC1" w:rsidRDefault="00584EC1">
            <w:pPr>
              <w:rPr>
                <w:rFonts w:ascii="宋体"/>
                <w:vanish/>
              </w:rPr>
            </w:pPr>
          </w:p>
        </w:tc>
        <w:tc>
          <w:tcPr>
            <w:tcW w:w="0" w:type="auto"/>
            <w:gridSpan w:val="3"/>
            <w:shd w:val="clear" w:color="auto" w:fill="auto"/>
            <w:vAlign w:val="bottom"/>
          </w:tcPr>
          <w:p w14:paraId="74DE1E90" w14:textId="77777777" w:rsidR="00584EC1" w:rsidRDefault="00584EC1">
            <w:pPr>
              <w:rPr>
                <w:rFonts w:ascii="宋体"/>
                <w:vanish/>
              </w:rPr>
            </w:pPr>
          </w:p>
        </w:tc>
        <w:tc>
          <w:tcPr>
            <w:tcW w:w="0" w:type="auto"/>
            <w:gridSpan w:val="3"/>
            <w:shd w:val="clear" w:color="auto" w:fill="auto"/>
            <w:vAlign w:val="bottom"/>
          </w:tcPr>
          <w:p w14:paraId="74DE1E91" w14:textId="77777777" w:rsidR="00584EC1" w:rsidRDefault="00584EC1">
            <w:pPr>
              <w:rPr>
                <w:rFonts w:ascii="宋体"/>
                <w:vanish/>
              </w:rPr>
            </w:pPr>
          </w:p>
        </w:tc>
        <w:tc>
          <w:tcPr>
            <w:tcW w:w="0" w:type="auto"/>
            <w:gridSpan w:val="3"/>
            <w:shd w:val="clear" w:color="auto" w:fill="auto"/>
            <w:vAlign w:val="bottom"/>
          </w:tcPr>
          <w:p w14:paraId="74DE1E92" w14:textId="77777777" w:rsidR="00584EC1" w:rsidRDefault="00584EC1">
            <w:pPr>
              <w:rPr>
                <w:rFonts w:ascii="宋体"/>
                <w:vanish/>
              </w:rPr>
            </w:pPr>
          </w:p>
        </w:tc>
        <w:tc>
          <w:tcPr>
            <w:tcW w:w="0" w:type="auto"/>
            <w:gridSpan w:val="3"/>
            <w:shd w:val="clear" w:color="auto" w:fill="auto"/>
            <w:vAlign w:val="bottom"/>
          </w:tcPr>
          <w:p w14:paraId="74DE1E93" w14:textId="77777777" w:rsidR="00584EC1" w:rsidRDefault="00584EC1">
            <w:pPr>
              <w:rPr>
                <w:rFonts w:ascii="宋体"/>
                <w:vanish/>
              </w:rPr>
            </w:pPr>
          </w:p>
        </w:tc>
        <w:tc>
          <w:tcPr>
            <w:tcW w:w="0" w:type="auto"/>
            <w:gridSpan w:val="3"/>
            <w:shd w:val="clear" w:color="auto" w:fill="auto"/>
            <w:vAlign w:val="bottom"/>
          </w:tcPr>
          <w:p w14:paraId="74DE1E94" w14:textId="77777777" w:rsidR="00584EC1" w:rsidRDefault="00584EC1">
            <w:pPr>
              <w:rPr>
                <w:rFonts w:ascii="宋体"/>
                <w:vanish/>
              </w:rPr>
            </w:pPr>
          </w:p>
        </w:tc>
        <w:tc>
          <w:tcPr>
            <w:tcW w:w="0" w:type="auto"/>
            <w:gridSpan w:val="3"/>
            <w:shd w:val="clear" w:color="auto" w:fill="auto"/>
            <w:vAlign w:val="bottom"/>
          </w:tcPr>
          <w:p w14:paraId="74DE1E95" w14:textId="77777777" w:rsidR="00584EC1" w:rsidRDefault="00584EC1">
            <w:pPr>
              <w:rPr>
                <w:rFonts w:ascii="宋体"/>
                <w:vanish/>
              </w:rPr>
            </w:pPr>
          </w:p>
        </w:tc>
        <w:tc>
          <w:tcPr>
            <w:tcW w:w="0" w:type="auto"/>
            <w:gridSpan w:val="3"/>
            <w:shd w:val="clear" w:color="auto" w:fill="auto"/>
            <w:vAlign w:val="bottom"/>
          </w:tcPr>
          <w:p w14:paraId="74DE1E96" w14:textId="77777777" w:rsidR="00584EC1" w:rsidRDefault="00584EC1">
            <w:pPr>
              <w:rPr>
                <w:rFonts w:ascii="宋体"/>
                <w:vanish/>
              </w:rPr>
            </w:pPr>
          </w:p>
        </w:tc>
        <w:tc>
          <w:tcPr>
            <w:tcW w:w="0" w:type="auto"/>
            <w:gridSpan w:val="3"/>
            <w:shd w:val="clear" w:color="auto" w:fill="auto"/>
            <w:vAlign w:val="bottom"/>
          </w:tcPr>
          <w:p w14:paraId="74DE1E97" w14:textId="77777777" w:rsidR="00584EC1" w:rsidRDefault="00584EC1">
            <w:pPr>
              <w:rPr>
                <w:rFonts w:ascii="宋体"/>
                <w:vanish/>
              </w:rPr>
            </w:pPr>
          </w:p>
        </w:tc>
        <w:tc>
          <w:tcPr>
            <w:tcW w:w="0" w:type="auto"/>
            <w:gridSpan w:val="3"/>
            <w:shd w:val="clear" w:color="auto" w:fill="auto"/>
            <w:vAlign w:val="bottom"/>
          </w:tcPr>
          <w:p w14:paraId="74DE1E98" w14:textId="77777777" w:rsidR="00584EC1" w:rsidRDefault="00584EC1">
            <w:pPr>
              <w:rPr>
                <w:rFonts w:ascii="宋体"/>
                <w:vanish/>
              </w:rPr>
            </w:pPr>
          </w:p>
        </w:tc>
        <w:tc>
          <w:tcPr>
            <w:tcW w:w="0" w:type="auto"/>
            <w:gridSpan w:val="3"/>
            <w:shd w:val="clear" w:color="auto" w:fill="auto"/>
            <w:vAlign w:val="bottom"/>
          </w:tcPr>
          <w:p w14:paraId="74DE1E99" w14:textId="77777777" w:rsidR="00584EC1" w:rsidRDefault="00584EC1">
            <w:pPr>
              <w:rPr>
                <w:rFonts w:ascii="宋体"/>
                <w:vanish/>
              </w:rPr>
            </w:pPr>
          </w:p>
        </w:tc>
        <w:tc>
          <w:tcPr>
            <w:tcW w:w="0" w:type="auto"/>
            <w:gridSpan w:val="3"/>
            <w:shd w:val="clear" w:color="auto" w:fill="auto"/>
            <w:vAlign w:val="bottom"/>
          </w:tcPr>
          <w:p w14:paraId="74DE1E9A" w14:textId="77777777" w:rsidR="00584EC1" w:rsidRDefault="00584EC1">
            <w:pPr>
              <w:rPr>
                <w:rFonts w:ascii="宋体"/>
                <w:vanish/>
              </w:rPr>
            </w:pPr>
          </w:p>
        </w:tc>
      </w:tr>
      <w:tr w:rsidR="00584EC1" w14:paraId="74DE1EB0" w14:textId="77777777">
        <w:trPr>
          <w:hidden/>
        </w:trPr>
        <w:tc>
          <w:tcPr>
            <w:tcW w:w="0" w:type="auto"/>
            <w:gridSpan w:val="3"/>
            <w:shd w:val="clear" w:color="auto" w:fill="auto"/>
            <w:vAlign w:val="bottom"/>
          </w:tcPr>
          <w:p w14:paraId="74DE1E9C" w14:textId="77777777" w:rsidR="00584EC1" w:rsidRDefault="00584EC1">
            <w:pPr>
              <w:rPr>
                <w:rFonts w:ascii="宋体"/>
                <w:vanish/>
              </w:rPr>
            </w:pPr>
          </w:p>
        </w:tc>
        <w:tc>
          <w:tcPr>
            <w:tcW w:w="0" w:type="auto"/>
            <w:gridSpan w:val="3"/>
            <w:shd w:val="clear" w:color="auto" w:fill="auto"/>
            <w:vAlign w:val="bottom"/>
          </w:tcPr>
          <w:p w14:paraId="74DE1E9D" w14:textId="77777777" w:rsidR="00584EC1" w:rsidRDefault="00584EC1">
            <w:pPr>
              <w:rPr>
                <w:rFonts w:ascii="宋体"/>
                <w:vanish/>
              </w:rPr>
            </w:pPr>
          </w:p>
        </w:tc>
        <w:tc>
          <w:tcPr>
            <w:tcW w:w="0" w:type="auto"/>
            <w:gridSpan w:val="3"/>
            <w:shd w:val="clear" w:color="auto" w:fill="auto"/>
            <w:vAlign w:val="bottom"/>
          </w:tcPr>
          <w:p w14:paraId="74DE1E9E" w14:textId="77777777" w:rsidR="00584EC1" w:rsidRDefault="00584EC1">
            <w:pPr>
              <w:rPr>
                <w:rFonts w:ascii="宋体"/>
                <w:vanish/>
              </w:rPr>
            </w:pPr>
          </w:p>
        </w:tc>
        <w:tc>
          <w:tcPr>
            <w:tcW w:w="0" w:type="auto"/>
            <w:gridSpan w:val="3"/>
            <w:shd w:val="clear" w:color="auto" w:fill="auto"/>
            <w:vAlign w:val="bottom"/>
          </w:tcPr>
          <w:p w14:paraId="74DE1E9F" w14:textId="77777777" w:rsidR="00584EC1" w:rsidRDefault="00584EC1">
            <w:pPr>
              <w:rPr>
                <w:rFonts w:ascii="宋体"/>
                <w:vanish/>
              </w:rPr>
            </w:pPr>
          </w:p>
        </w:tc>
        <w:tc>
          <w:tcPr>
            <w:tcW w:w="0" w:type="auto"/>
            <w:gridSpan w:val="3"/>
            <w:shd w:val="clear" w:color="auto" w:fill="auto"/>
            <w:vAlign w:val="bottom"/>
          </w:tcPr>
          <w:p w14:paraId="74DE1EA0" w14:textId="77777777" w:rsidR="00584EC1" w:rsidRDefault="00584EC1">
            <w:pPr>
              <w:rPr>
                <w:rFonts w:ascii="宋体"/>
                <w:vanish/>
              </w:rPr>
            </w:pPr>
          </w:p>
        </w:tc>
        <w:tc>
          <w:tcPr>
            <w:tcW w:w="0" w:type="auto"/>
            <w:gridSpan w:val="3"/>
            <w:shd w:val="clear" w:color="auto" w:fill="auto"/>
            <w:vAlign w:val="bottom"/>
          </w:tcPr>
          <w:p w14:paraId="74DE1EA1" w14:textId="77777777" w:rsidR="00584EC1" w:rsidRDefault="00584EC1">
            <w:pPr>
              <w:rPr>
                <w:rFonts w:ascii="宋体"/>
                <w:vanish/>
              </w:rPr>
            </w:pPr>
          </w:p>
        </w:tc>
        <w:tc>
          <w:tcPr>
            <w:tcW w:w="0" w:type="auto"/>
            <w:gridSpan w:val="3"/>
            <w:shd w:val="clear" w:color="auto" w:fill="auto"/>
            <w:vAlign w:val="bottom"/>
          </w:tcPr>
          <w:p w14:paraId="74DE1EA2" w14:textId="77777777" w:rsidR="00584EC1" w:rsidRDefault="00584EC1">
            <w:pPr>
              <w:rPr>
                <w:rFonts w:ascii="宋体"/>
                <w:vanish/>
              </w:rPr>
            </w:pPr>
          </w:p>
        </w:tc>
        <w:tc>
          <w:tcPr>
            <w:tcW w:w="0" w:type="auto"/>
            <w:gridSpan w:val="3"/>
            <w:shd w:val="clear" w:color="auto" w:fill="auto"/>
            <w:vAlign w:val="bottom"/>
          </w:tcPr>
          <w:p w14:paraId="74DE1EA3" w14:textId="77777777" w:rsidR="00584EC1" w:rsidRDefault="00584EC1">
            <w:pPr>
              <w:rPr>
                <w:rFonts w:ascii="宋体"/>
                <w:vanish/>
              </w:rPr>
            </w:pPr>
          </w:p>
        </w:tc>
        <w:tc>
          <w:tcPr>
            <w:tcW w:w="0" w:type="auto"/>
            <w:gridSpan w:val="3"/>
            <w:shd w:val="clear" w:color="auto" w:fill="auto"/>
            <w:vAlign w:val="bottom"/>
          </w:tcPr>
          <w:p w14:paraId="74DE1EA4" w14:textId="77777777" w:rsidR="00584EC1" w:rsidRDefault="00584EC1">
            <w:pPr>
              <w:rPr>
                <w:rFonts w:ascii="宋体"/>
                <w:vanish/>
              </w:rPr>
            </w:pPr>
          </w:p>
        </w:tc>
        <w:tc>
          <w:tcPr>
            <w:tcW w:w="0" w:type="auto"/>
            <w:gridSpan w:val="3"/>
            <w:shd w:val="clear" w:color="auto" w:fill="auto"/>
            <w:vAlign w:val="bottom"/>
          </w:tcPr>
          <w:p w14:paraId="74DE1EA5" w14:textId="77777777" w:rsidR="00584EC1" w:rsidRDefault="00584EC1">
            <w:pPr>
              <w:rPr>
                <w:rFonts w:ascii="宋体"/>
                <w:vanish/>
              </w:rPr>
            </w:pPr>
          </w:p>
        </w:tc>
        <w:tc>
          <w:tcPr>
            <w:tcW w:w="0" w:type="auto"/>
            <w:gridSpan w:val="3"/>
            <w:shd w:val="clear" w:color="auto" w:fill="auto"/>
            <w:vAlign w:val="bottom"/>
          </w:tcPr>
          <w:p w14:paraId="74DE1EA6" w14:textId="77777777" w:rsidR="00584EC1" w:rsidRDefault="00584EC1">
            <w:pPr>
              <w:rPr>
                <w:rFonts w:ascii="宋体"/>
                <w:vanish/>
              </w:rPr>
            </w:pPr>
          </w:p>
        </w:tc>
        <w:tc>
          <w:tcPr>
            <w:tcW w:w="0" w:type="auto"/>
            <w:gridSpan w:val="3"/>
            <w:shd w:val="clear" w:color="auto" w:fill="auto"/>
            <w:vAlign w:val="bottom"/>
          </w:tcPr>
          <w:p w14:paraId="74DE1EA7" w14:textId="77777777" w:rsidR="00584EC1" w:rsidRDefault="00584EC1">
            <w:pPr>
              <w:rPr>
                <w:rFonts w:ascii="宋体"/>
                <w:vanish/>
              </w:rPr>
            </w:pPr>
          </w:p>
        </w:tc>
        <w:tc>
          <w:tcPr>
            <w:tcW w:w="0" w:type="auto"/>
            <w:gridSpan w:val="3"/>
            <w:shd w:val="clear" w:color="auto" w:fill="auto"/>
            <w:vAlign w:val="bottom"/>
          </w:tcPr>
          <w:p w14:paraId="74DE1EA8" w14:textId="77777777" w:rsidR="00584EC1" w:rsidRDefault="00584EC1">
            <w:pPr>
              <w:rPr>
                <w:rFonts w:ascii="宋体"/>
                <w:vanish/>
              </w:rPr>
            </w:pPr>
          </w:p>
        </w:tc>
        <w:tc>
          <w:tcPr>
            <w:tcW w:w="0" w:type="auto"/>
            <w:gridSpan w:val="3"/>
            <w:shd w:val="clear" w:color="auto" w:fill="auto"/>
            <w:vAlign w:val="bottom"/>
          </w:tcPr>
          <w:p w14:paraId="74DE1EA9" w14:textId="77777777" w:rsidR="00584EC1" w:rsidRDefault="00584EC1">
            <w:pPr>
              <w:rPr>
                <w:rFonts w:ascii="宋体"/>
                <w:vanish/>
              </w:rPr>
            </w:pPr>
          </w:p>
        </w:tc>
        <w:tc>
          <w:tcPr>
            <w:tcW w:w="0" w:type="auto"/>
            <w:gridSpan w:val="3"/>
            <w:shd w:val="clear" w:color="auto" w:fill="auto"/>
            <w:vAlign w:val="bottom"/>
          </w:tcPr>
          <w:p w14:paraId="74DE1EAA" w14:textId="77777777" w:rsidR="00584EC1" w:rsidRDefault="00584EC1">
            <w:pPr>
              <w:rPr>
                <w:rFonts w:ascii="宋体"/>
                <w:vanish/>
              </w:rPr>
            </w:pPr>
          </w:p>
        </w:tc>
        <w:tc>
          <w:tcPr>
            <w:tcW w:w="0" w:type="auto"/>
            <w:gridSpan w:val="3"/>
            <w:shd w:val="clear" w:color="auto" w:fill="auto"/>
            <w:vAlign w:val="bottom"/>
          </w:tcPr>
          <w:p w14:paraId="74DE1EAB" w14:textId="77777777" w:rsidR="00584EC1" w:rsidRDefault="00584EC1">
            <w:pPr>
              <w:rPr>
                <w:rFonts w:ascii="宋体"/>
                <w:vanish/>
              </w:rPr>
            </w:pPr>
          </w:p>
        </w:tc>
        <w:tc>
          <w:tcPr>
            <w:tcW w:w="0" w:type="auto"/>
            <w:gridSpan w:val="3"/>
            <w:shd w:val="clear" w:color="auto" w:fill="auto"/>
            <w:vAlign w:val="bottom"/>
          </w:tcPr>
          <w:p w14:paraId="74DE1EAC" w14:textId="77777777" w:rsidR="00584EC1" w:rsidRDefault="00584EC1">
            <w:pPr>
              <w:rPr>
                <w:rFonts w:ascii="宋体"/>
                <w:vanish/>
              </w:rPr>
            </w:pPr>
          </w:p>
        </w:tc>
        <w:tc>
          <w:tcPr>
            <w:tcW w:w="0" w:type="auto"/>
            <w:gridSpan w:val="3"/>
            <w:shd w:val="clear" w:color="auto" w:fill="auto"/>
            <w:vAlign w:val="bottom"/>
          </w:tcPr>
          <w:p w14:paraId="74DE1EAD" w14:textId="77777777" w:rsidR="00584EC1" w:rsidRDefault="00584EC1">
            <w:pPr>
              <w:rPr>
                <w:rFonts w:ascii="宋体"/>
                <w:vanish/>
              </w:rPr>
            </w:pPr>
          </w:p>
        </w:tc>
        <w:tc>
          <w:tcPr>
            <w:tcW w:w="0" w:type="auto"/>
            <w:gridSpan w:val="3"/>
            <w:shd w:val="clear" w:color="auto" w:fill="auto"/>
            <w:vAlign w:val="bottom"/>
          </w:tcPr>
          <w:p w14:paraId="74DE1EAE" w14:textId="77777777" w:rsidR="00584EC1" w:rsidRDefault="00584EC1">
            <w:pPr>
              <w:rPr>
                <w:rFonts w:ascii="宋体"/>
                <w:vanish/>
              </w:rPr>
            </w:pPr>
          </w:p>
        </w:tc>
        <w:tc>
          <w:tcPr>
            <w:tcW w:w="0" w:type="auto"/>
            <w:gridSpan w:val="3"/>
            <w:shd w:val="clear" w:color="auto" w:fill="auto"/>
            <w:vAlign w:val="bottom"/>
          </w:tcPr>
          <w:p w14:paraId="74DE1EAF" w14:textId="77777777" w:rsidR="00584EC1" w:rsidRDefault="00584EC1">
            <w:pPr>
              <w:rPr>
                <w:rFonts w:ascii="宋体"/>
                <w:vanish/>
              </w:rPr>
            </w:pPr>
          </w:p>
        </w:tc>
      </w:tr>
      <w:tr w:rsidR="00584EC1" w14:paraId="74DE1EC5" w14:textId="77777777">
        <w:trPr>
          <w:hidden/>
        </w:trPr>
        <w:tc>
          <w:tcPr>
            <w:tcW w:w="0" w:type="auto"/>
            <w:gridSpan w:val="3"/>
            <w:shd w:val="clear" w:color="auto" w:fill="auto"/>
            <w:vAlign w:val="bottom"/>
          </w:tcPr>
          <w:p w14:paraId="74DE1EB1" w14:textId="77777777" w:rsidR="00584EC1" w:rsidRDefault="00584EC1">
            <w:pPr>
              <w:rPr>
                <w:rFonts w:ascii="宋体"/>
                <w:vanish/>
              </w:rPr>
            </w:pPr>
          </w:p>
        </w:tc>
        <w:tc>
          <w:tcPr>
            <w:tcW w:w="0" w:type="auto"/>
            <w:gridSpan w:val="3"/>
            <w:shd w:val="clear" w:color="auto" w:fill="auto"/>
            <w:vAlign w:val="bottom"/>
          </w:tcPr>
          <w:p w14:paraId="74DE1EB2" w14:textId="77777777" w:rsidR="00584EC1" w:rsidRDefault="00584EC1">
            <w:pPr>
              <w:rPr>
                <w:rFonts w:ascii="宋体"/>
                <w:vanish/>
              </w:rPr>
            </w:pPr>
          </w:p>
        </w:tc>
        <w:tc>
          <w:tcPr>
            <w:tcW w:w="0" w:type="auto"/>
            <w:gridSpan w:val="3"/>
            <w:shd w:val="clear" w:color="auto" w:fill="auto"/>
            <w:vAlign w:val="bottom"/>
          </w:tcPr>
          <w:p w14:paraId="74DE1EB3" w14:textId="77777777" w:rsidR="00584EC1" w:rsidRDefault="00584EC1">
            <w:pPr>
              <w:rPr>
                <w:rFonts w:ascii="宋体"/>
                <w:vanish/>
              </w:rPr>
            </w:pPr>
          </w:p>
        </w:tc>
        <w:tc>
          <w:tcPr>
            <w:tcW w:w="0" w:type="auto"/>
            <w:gridSpan w:val="3"/>
            <w:shd w:val="clear" w:color="auto" w:fill="auto"/>
            <w:vAlign w:val="bottom"/>
          </w:tcPr>
          <w:p w14:paraId="74DE1EB4" w14:textId="77777777" w:rsidR="00584EC1" w:rsidRDefault="00584EC1">
            <w:pPr>
              <w:rPr>
                <w:rFonts w:ascii="宋体"/>
                <w:vanish/>
              </w:rPr>
            </w:pPr>
          </w:p>
        </w:tc>
        <w:tc>
          <w:tcPr>
            <w:tcW w:w="0" w:type="auto"/>
            <w:gridSpan w:val="3"/>
            <w:shd w:val="clear" w:color="auto" w:fill="auto"/>
            <w:vAlign w:val="bottom"/>
          </w:tcPr>
          <w:p w14:paraId="74DE1EB5" w14:textId="77777777" w:rsidR="00584EC1" w:rsidRDefault="00584EC1">
            <w:pPr>
              <w:rPr>
                <w:rFonts w:ascii="宋体"/>
                <w:vanish/>
              </w:rPr>
            </w:pPr>
          </w:p>
        </w:tc>
        <w:tc>
          <w:tcPr>
            <w:tcW w:w="0" w:type="auto"/>
            <w:gridSpan w:val="3"/>
            <w:shd w:val="clear" w:color="auto" w:fill="auto"/>
            <w:vAlign w:val="bottom"/>
          </w:tcPr>
          <w:p w14:paraId="74DE1EB6" w14:textId="77777777" w:rsidR="00584EC1" w:rsidRDefault="00584EC1">
            <w:pPr>
              <w:rPr>
                <w:rFonts w:ascii="宋体"/>
                <w:vanish/>
              </w:rPr>
            </w:pPr>
          </w:p>
        </w:tc>
        <w:tc>
          <w:tcPr>
            <w:tcW w:w="0" w:type="auto"/>
            <w:gridSpan w:val="3"/>
            <w:shd w:val="clear" w:color="auto" w:fill="auto"/>
            <w:vAlign w:val="bottom"/>
          </w:tcPr>
          <w:p w14:paraId="74DE1EB7" w14:textId="77777777" w:rsidR="00584EC1" w:rsidRDefault="00584EC1">
            <w:pPr>
              <w:rPr>
                <w:rFonts w:ascii="宋体"/>
                <w:vanish/>
              </w:rPr>
            </w:pPr>
          </w:p>
        </w:tc>
        <w:tc>
          <w:tcPr>
            <w:tcW w:w="0" w:type="auto"/>
            <w:gridSpan w:val="3"/>
            <w:shd w:val="clear" w:color="auto" w:fill="auto"/>
            <w:vAlign w:val="bottom"/>
          </w:tcPr>
          <w:p w14:paraId="74DE1EB8" w14:textId="77777777" w:rsidR="00584EC1" w:rsidRDefault="00584EC1">
            <w:pPr>
              <w:rPr>
                <w:rFonts w:ascii="宋体"/>
                <w:vanish/>
              </w:rPr>
            </w:pPr>
          </w:p>
        </w:tc>
        <w:tc>
          <w:tcPr>
            <w:tcW w:w="0" w:type="auto"/>
            <w:gridSpan w:val="3"/>
            <w:shd w:val="clear" w:color="auto" w:fill="auto"/>
            <w:vAlign w:val="bottom"/>
          </w:tcPr>
          <w:p w14:paraId="74DE1EB9" w14:textId="77777777" w:rsidR="00584EC1" w:rsidRDefault="00584EC1">
            <w:pPr>
              <w:rPr>
                <w:rFonts w:ascii="宋体"/>
                <w:vanish/>
              </w:rPr>
            </w:pPr>
          </w:p>
        </w:tc>
        <w:tc>
          <w:tcPr>
            <w:tcW w:w="0" w:type="auto"/>
            <w:gridSpan w:val="3"/>
            <w:shd w:val="clear" w:color="auto" w:fill="auto"/>
            <w:vAlign w:val="bottom"/>
          </w:tcPr>
          <w:p w14:paraId="74DE1EBA" w14:textId="77777777" w:rsidR="00584EC1" w:rsidRDefault="00584EC1">
            <w:pPr>
              <w:rPr>
                <w:rFonts w:ascii="宋体"/>
                <w:vanish/>
              </w:rPr>
            </w:pPr>
          </w:p>
        </w:tc>
        <w:tc>
          <w:tcPr>
            <w:tcW w:w="0" w:type="auto"/>
            <w:gridSpan w:val="3"/>
            <w:shd w:val="clear" w:color="auto" w:fill="auto"/>
            <w:vAlign w:val="bottom"/>
          </w:tcPr>
          <w:p w14:paraId="74DE1EBB" w14:textId="77777777" w:rsidR="00584EC1" w:rsidRDefault="00584EC1">
            <w:pPr>
              <w:rPr>
                <w:rFonts w:ascii="宋体"/>
                <w:vanish/>
              </w:rPr>
            </w:pPr>
          </w:p>
        </w:tc>
        <w:tc>
          <w:tcPr>
            <w:tcW w:w="0" w:type="auto"/>
            <w:gridSpan w:val="3"/>
            <w:shd w:val="clear" w:color="auto" w:fill="auto"/>
            <w:vAlign w:val="bottom"/>
          </w:tcPr>
          <w:p w14:paraId="74DE1EBC" w14:textId="77777777" w:rsidR="00584EC1" w:rsidRDefault="00584EC1">
            <w:pPr>
              <w:rPr>
                <w:rFonts w:ascii="宋体"/>
                <w:vanish/>
              </w:rPr>
            </w:pPr>
          </w:p>
        </w:tc>
        <w:tc>
          <w:tcPr>
            <w:tcW w:w="0" w:type="auto"/>
            <w:gridSpan w:val="3"/>
            <w:shd w:val="clear" w:color="auto" w:fill="auto"/>
            <w:vAlign w:val="bottom"/>
          </w:tcPr>
          <w:p w14:paraId="74DE1EBD" w14:textId="77777777" w:rsidR="00584EC1" w:rsidRDefault="00584EC1">
            <w:pPr>
              <w:rPr>
                <w:rFonts w:ascii="宋体"/>
                <w:vanish/>
              </w:rPr>
            </w:pPr>
          </w:p>
        </w:tc>
        <w:tc>
          <w:tcPr>
            <w:tcW w:w="0" w:type="auto"/>
            <w:gridSpan w:val="3"/>
            <w:shd w:val="clear" w:color="auto" w:fill="auto"/>
            <w:vAlign w:val="bottom"/>
          </w:tcPr>
          <w:p w14:paraId="74DE1EBE" w14:textId="77777777" w:rsidR="00584EC1" w:rsidRDefault="00584EC1">
            <w:pPr>
              <w:rPr>
                <w:rFonts w:ascii="宋体"/>
                <w:vanish/>
              </w:rPr>
            </w:pPr>
          </w:p>
        </w:tc>
        <w:tc>
          <w:tcPr>
            <w:tcW w:w="0" w:type="auto"/>
            <w:gridSpan w:val="3"/>
            <w:shd w:val="clear" w:color="auto" w:fill="auto"/>
            <w:vAlign w:val="bottom"/>
          </w:tcPr>
          <w:p w14:paraId="74DE1EBF" w14:textId="77777777" w:rsidR="00584EC1" w:rsidRDefault="00584EC1">
            <w:pPr>
              <w:rPr>
                <w:rFonts w:ascii="宋体"/>
                <w:vanish/>
              </w:rPr>
            </w:pPr>
          </w:p>
        </w:tc>
        <w:tc>
          <w:tcPr>
            <w:tcW w:w="0" w:type="auto"/>
            <w:gridSpan w:val="3"/>
            <w:shd w:val="clear" w:color="auto" w:fill="auto"/>
            <w:vAlign w:val="bottom"/>
          </w:tcPr>
          <w:p w14:paraId="74DE1EC0" w14:textId="77777777" w:rsidR="00584EC1" w:rsidRDefault="00584EC1">
            <w:pPr>
              <w:rPr>
                <w:rFonts w:ascii="宋体"/>
                <w:vanish/>
              </w:rPr>
            </w:pPr>
          </w:p>
        </w:tc>
        <w:tc>
          <w:tcPr>
            <w:tcW w:w="0" w:type="auto"/>
            <w:gridSpan w:val="3"/>
            <w:shd w:val="clear" w:color="auto" w:fill="auto"/>
            <w:vAlign w:val="bottom"/>
          </w:tcPr>
          <w:p w14:paraId="74DE1EC1" w14:textId="77777777" w:rsidR="00584EC1" w:rsidRDefault="00584EC1">
            <w:pPr>
              <w:rPr>
                <w:rFonts w:ascii="宋体"/>
                <w:vanish/>
              </w:rPr>
            </w:pPr>
          </w:p>
        </w:tc>
        <w:tc>
          <w:tcPr>
            <w:tcW w:w="0" w:type="auto"/>
            <w:gridSpan w:val="3"/>
            <w:shd w:val="clear" w:color="auto" w:fill="auto"/>
            <w:vAlign w:val="bottom"/>
          </w:tcPr>
          <w:p w14:paraId="74DE1EC2" w14:textId="77777777" w:rsidR="00584EC1" w:rsidRDefault="00584EC1">
            <w:pPr>
              <w:rPr>
                <w:rFonts w:ascii="宋体"/>
                <w:vanish/>
              </w:rPr>
            </w:pPr>
          </w:p>
        </w:tc>
        <w:tc>
          <w:tcPr>
            <w:tcW w:w="0" w:type="auto"/>
            <w:gridSpan w:val="3"/>
            <w:shd w:val="clear" w:color="auto" w:fill="auto"/>
            <w:vAlign w:val="bottom"/>
          </w:tcPr>
          <w:p w14:paraId="74DE1EC3" w14:textId="77777777" w:rsidR="00584EC1" w:rsidRDefault="00584EC1">
            <w:pPr>
              <w:rPr>
                <w:rFonts w:ascii="宋体"/>
                <w:vanish/>
              </w:rPr>
            </w:pPr>
          </w:p>
        </w:tc>
        <w:tc>
          <w:tcPr>
            <w:tcW w:w="0" w:type="auto"/>
            <w:gridSpan w:val="3"/>
            <w:shd w:val="clear" w:color="auto" w:fill="auto"/>
            <w:vAlign w:val="bottom"/>
          </w:tcPr>
          <w:p w14:paraId="74DE1EC4" w14:textId="77777777" w:rsidR="00584EC1" w:rsidRDefault="00584EC1">
            <w:pPr>
              <w:rPr>
                <w:rFonts w:ascii="宋体"/>
                <w:vanish/>
              </w:rPr>
            </w:pPr>
          </w:p>
        </w:tc>
      </w:tr>
      <w:tr w:rsidR="00584EC1" w14:paraId="74DE1EDA" w14:textId="77777777">
        <w:trPr>
          <w:hidden/>
        </w:trPr>
        <w:tc>
          <w:tcPr>
            <w:tcW w:w="0" w:type="auto"/>
            <w:gridSpan w:val="3"/>
            <w:shd w:val="clear" w:color="auto" w:fill="auto"/>
            <w:vAlign w:val="bottom"/>
          </w:tcPr>
          <w:p w14:paraId="74DE1EC6" w14:textId="77777777" w:rsidR="00584EC1" w:rsidRDefault="00584EC1">
            <w:pPr>
              <w:rPr>
                <w:rFonts w:ascii="宋体"/>
                <w:vanish/>
              </w:rPr>
            </w:pPr>
          </w:p>
        </w:tc>
        <w:tc>
          <w:tcPr>
            <w:tcW w:w="0" w:type="auto"/>
            <w:gridSpan w:val="3"/>
            <w:shd w:val="clear" w:color="auto" w:fill="auto"/>
            <w:vAlign w:val="bottom"/>
          </w:tcPr>
          <w:p w14:paraId="74DE1EC7" w14:textId="77777777" w:rsidR="00584EC1" w:rsidRDefault="00584EC1">
            <w:pPr>
              <w:rPr>
                <w:rFonts w:ascii="宋体"/>
                <w:vanish/>
              </w:rPr>
            </w:pPr>
          </w:p>
        </w:tc>
        <w:tc>
          <w:tcPr>
            <w:tcW w:w="0" w:type="auto"/>
            <w:gridSpan w:val="3"/>
            <w:shd w:val="clear" w:color="auto" w:fill="auto"/>
            <w:vAlign w:val="bottom"/>
          </w:tcPr>
          <w:p w14:paraId="74DE1EC8" w14:textId="77777777" w:rsidR="00584EC1" w:rsidRDefault="00584EC1">
            <w:pPr>
              <w:rPr>
                <w:rFonts w:ascii="宋体"/>
                <w:vanish/>
              </w:rPr>
            </w:pPr>
          </w:p>
        </w:tc>
        <w:tc>
          <w:tcPr>
            <w:tcW w:w="0" w:type="auto"/>
            <w:gridSpan w:val="3"/>
            <w:shd w:val="clear" w:color="auto" w:fill="auto"/>
            <w:vAlign w:val="bottom"/>
          </w:tcPr>
          <w:p w14:paraId="74DE1EC9" w14:textId="77777777" w:rsidR="00584EC1" w:rsidRDefault="00584EC1">
            <w:pPr>
              <w:rPr>
                <w:rFonts w:ascii="宋体"/>
                <w:vanish/>
              </w:rPr>
            </w:pPr>
          </w:p>
        </w:tc>
        <w:tc>
          <w:tcPr>
            <w:tcW w:w="0" w:type="auto"/>
            <w:gridSpan w:val="3"/>
            <w:shd w:val="clear" w:color="auto" w:fill="auto"/>
            <w:vAlign w:val="bottom"/>
          </w:tcPr>
          <w:p w14:paraId="74DE1ECA" w14:textId="77777777" w:rsidR="00584EC1" w:rsidRDefault="00584EC1">
            <w:pPr>
              <w:rPr>
                <w:rFonts w:ascii="宋体"/>
                <w:vanish/>
              </w:rPr>
            </w:pPr>
          </w:p>
        </w:tc>
        <w:tc>
          <w:tcPr>
            <w:tcW w:w="0" w:type="auto"/>
            <w:gridSpan w:val="3"/>
            <w:shd w:val="clear" w:color="auto" w:fill="auto"/>
            <w:vAlign w:val="bottom"/>
          </w:tcPr>
          <w:p w14:paraId="74DE1ECB" w14:textId="77777777" w:rsidR="00584EC1" w:rsidRDefault="00584EC1">
            <w:pPr>
              <w:rPr>
                <w:rFonts w:ascii="宋体"/>
                <w:vanish/>
              </w:rPr>
            </w:pPr>
          </w:p>
        </w:tc>
        <w:tc>
          <w:tcPr>
            <w:tcW w:w="0" w:type="auto"/>
            <w:gridSpan w:val="3"/>
            <w:shd w:val="clear" w:color="auto" w:fill="auto"/>
            <w:vAlign w:val="bottom"/>
          </w:tcPr>
          <w:p w14:paraId="74DE1ECC" w14:textId="77777777" w:rsidR="00584EC1" w:rsidRDefault="00584EC1">
            <w:pPr>
              <w:rPr>
                <w:rFonts w:ascii="宋体"/>
                <w:vanish/>
              </w:rPr>
            </w:pPr>
          </w:p>
        </w:tc>
        <w:tc>
          <w:tcPr>
            <w:tcW w:w="0" w:type="auto"/>
            <w:gridSpan w:val="3"/>
            <w:shd w:val="clear" w:color="auto" w:fill="auto"/>
            <w:vAlign w:val="bottom"/>
          </w:tcPr>
          <w:p w14:paraId="74DE1ECD" w14:textId="77777777" w:rsidR="00584EC1" w:rsidRDefault="00584EC1">
            <w:pPr>
              <w:rPr>
                <w:rFonts w:ascii="宋体"/>
                <w:vanish/>
              </w:rPr>
            </w:pPr>
          </w:p>
        </w:tc>
        <w:tc>
          <w:tcPr>
            <w:tcW w:w="0" w:type="auto"/>
            <w:gridSpan w:val="3"/>
            <w:shd w:val="clear" w:color="auto" w:fill="auto"/>
            <w:vAlign w:val="bottom"/>
          </w:tcPr>
          <w:p w14:paraId="74DE1ECE" w14:textId="77777777" w:rsidR="00584EC1" w:rsidRDefault="00584EC1">
            <w:pPr>
              <w:rPr>
                <w:rFonts w:ascii="宋体"/>
                <w:vanish/>
              </w:rPr>
            </w:pPr>
          </w:p>
        </w:tc>
        <w:tc>
          <w:tcPr>
            <w:tcW w:w="0" w:type="auto"/>
            <w:gridSpan w:val="3"/>
            <w:shd w:val="clear" w:color="auto" w:fill="auto"/>
            <w:vAlign w:val="bottom"/>
          </w:tcPr>
          <w:p w14:paraId="74DE1ECF" w14:textId="77777777" w:rsidR="00584EC1" w:rsidRDefault="00584EC1">
            <w:pPr>
              <w:rPr>
                <w:rFonts w:ascii="宋体"/>
                <w:vanish/>
              </w:rPr>
            </w:pPr>
          </w:p>
        </w:tc>
        <w:tc>
          <w:tcPr>
            <w:tcW w:w="0" w:type="auto"/>
            <w:gridSpan w:val="3"/>
            <w:shd w:val="clear" w:color="auto" w:fill="auto"/>
            <w:vAlign w:val="bottom"/>
          </w:tcPr>
          <w:p w14:paraId="74DE1ED0" w14:textId="77777777" w:rsidR="00584EC1" w:rsidRDefault="00584EC1">
            <w:pPr>
              <w:rPr>
                <w:rFonts w:ascii="宋体"/>
                <w:vanish/>
              </w:rPr>
            </w:pPr>
          </w:p>
        </w:tc>
        <w:tc>
          <w:tcPr>
            <w:tcW w:w="0" w:type="auto"/>
            <w:gridSpan w:val="3"/>
            <w:shd w:val="clear" w:color="auto" w:fill="auto"/>
            <w:vAlign w:val="bottom"/>
          </w:tcPr>
          <w:p w14:paraId="74DE1ED1" w14:textId="77777777" w:rsidR="00584EC1" w:rsidRDefault="00584EC1">
            <w:pPr>
              <w:rPr>
                <w:rFonts w:ascii="宋体"/>
                <w:vanish/>
              </w:rPr>
            </w:pPr>
          </w:p>
        </w:tc>
        <w:tc>
          <w:tcPr>
            <w:tcW w:w="0" w:type="auto"/>
            <w:gridSpan w:val="3"/>
            <w:shd w:val="clear" w:color="auto" w:fill="auto"/>
            <w:vAlign w:val="bottom"/>
          </w:tcPr>
          <w:p w14:paraId="74DE1ED2" w14:textId="77777777" w:rsidR="00584EC1" w:rsidRDefault="00584EC1">
            <w:pPr>
              <w:rPr>
                <w:rFonts w:ascii="宋体"/>
                <w:vanish/>
              </w:rPr>
            </w:pPr>
          </w:p>
        </w:tc>
        <w:tc>
          <w:tcPr>
            <w:tcW w:w="0" w:type="auto"/>
            <w:gridSpan w:val="3"/>
            <w:shd w:val="clear" w:color="auto" w:fill="auto"/>
            <w:vAlign w:val="bottom"/>
          </w:tcPr>
          <w:p w14:paraId="74DE1ED3" w14:textId="77777777" w:rsidR="00584EC1" w:rsidRDefault="00584EC1">
            <w:pPr>
              <w:rPr>
                <w:rFonts w:ascii="宋体"/>
                <w:vanish/>
              </w:rPr>
            </w:pPr>
          </w:p>
        </w:tc>
        <w:tc>
          <w:tcPr>
            <w:tcW w:w="0" w:type="auto"/>
            <w:gridSpan w:val="3"/>
            <w:shd w:val="clear" w:color="auto" w:fill="auto"/>
            <w:vAlign w:val="bottom"/>
          </w:tcPr>
          <w:p w14:paraId="74DE1ED4" w14:textId="77777777" w:rsidR="00584EC1" w:rsidRDefault="00584EC1">
            <w:pPr>
              <w:rPr>
                <w:rFonts w:ascii="宋体"/>
                <w:vanish/>
              </w:rPr>
            </w:pPr>
          </w:p>
        </w:tc>
        <w:tc>
          <w:tcPr>
            <w:tcW w:w="0" w:type="auto"/>
            <w:gridSpan w:val="3"/>
            <w:shd w:val="clear" w:color="auto" w:fill="auto"/>
            <w:vAlign w:val="bottom"/>
          </w:tcPr>
          <w:p w14:paraId="74DE1ED5" w14:textId="77777777" w:rsidR="00584EC1" w:rsidRDefault="00584EC1">
            <w:pPr>
              <w:rPr>
                <w:rFonts w:ascii="宋体"/>
                <w:vanish/>
              </w:rPr>
            </w:pPr>
          </w:p>
        </w:tc>
        <w:tc>
          <w:tcPr>
            <w:tcW w:w="0" w:type="auto"/>
            <w:gridSpan w:val="3"/>
            <w:shd w:val="clear" w:color="auto" w:fill="auto"/>
            <w:vAlign w:val="bottom"/>
          </w:tcPr>
          <w:p w14:paraId="74DE1ED6" w14:textId="77777777" w:rsidR="00584EC1" w:rsidRDefault="00584EC1">
            <w:pPr>
              <w:rPr>
                <w:rFonts w:ascii="宋体"/>
                <w:vanish/>
              </w:rPr>
            </w:pPr>
          </w:p>
        </w:tc>
        <w:tc>
          <w:tcPr>
            <w:tcW w:w="0" w:type="auto"/>
            <w:gridSpan w:val="3"/>
            <w:shd w:val="clear" w:color="auto" w:fill="auto"/>
            <w:vAlign w:val="bottom"/>
          </w:tcPr>
          <w:p w14:paraId="74DE1ED7" w14:textId="77777777" w:rsidR="00584EC1" w:rsidRDefault="00584EC1">
            <w:pPr>
              <w:rPr>
                <w:rFonts w:ascii="宋体"/>
                <w:vanish/>
              </w:rPr>
            </w:pPr>
          </w:p>
        </w:tc>
        <w:tc>
          <w:tcPr>
            <w:tcW w:w="0" w:type="auto"/>
            <w:gridSpan w:val="3"/>
            <w:shd w:val="clear" w:color="auto" w:fill="auto"/>
            <w:vAlign w:val="bottom"/>
          </w:tcPr>
          <w:p w14:paraId="74DE1ED8" w14:textId="77777777" w:rsidR="00584EC1" w:rsidRDefault="00584EC1">
            <w:pPr>
              <w:rPr>
                <w:rFonts w:ascii="宋体"/>
                <w:vanish/>
              </w:rPr>
            </w:pPr>
          </w:p>
        </w:tc>
        <w:tc>
          <w:tcPr>
            <w:tcW w:w="0" w:type="auto"/>
            <w:gridSpan w:val="3"/>
            <w:shd w:val="clear" w:color="auto" w:fill="auto"/>
            <w:vAlign w:val="bottom"/>
          </w:tcPr>
          <w:p w14:paraId="74DE1ED9" w14:textId="77777777" w:rsidR="00584EC1" w:rsidRDefault="00584EC1">
            <w:pPr>
              <w:rPr>
                <w:rFonts w:ascii="宋体"/>
                <w:vanish/>
              </w:rPr>
            </w:pPr>
          </w:p>
        </w:tc>
      </w:tr>
      <w:tr w:rsidR="00584EC1" w14:paraId="74DE1EEF" w14:textId="77777777">
        <w:trPr>
          <w:hidden/>
        </w:trPr>
        <w:tc>
          <w:tcPr>
            <w:tcW w:w="0" w:type="auto"/>
            <w:gridSpan w:val="3"/>
            <w:shd w:val="clear" w:color="auto" w:fill="auto"/>
            <w:vAlign w:val="bottom"/>
          </w:tcPr>
          <w:p w14:paraId="74DE1EDB" w14:textId="77777777" w:rsidR="00584EC1" w:rsidRDefault="00584EC1">
            <w:pPr>
              <w:rPr>
                <w:rFonts w:ascii="宋体"/>
                <w:vanish/>
              </w:rPr>
            </w:pPr>
          </w:p>
        </w:tc>
        <w:tc>
          <w:tcPr>
            <w:tcW w:w="0" w:type="auto"/>
            <w:gridSpan w:val="3"/>
            <w:shd w:val="clear" w:color="auto" w:fill="auto"/>
            <w:vAlign w:val="bottom"/>
          </w:tcPr>
          <w:p w14:paraId="74DE1EDC" w14:textId="77777777" w:rsidR="00584EC1" w:rsidRDefault="00584EC1">
            <w:pPr>
              <w:rPr>
                <w:rFonts w:ascii="宋体"/>
                <w:vanish/>
              </w:rPr>
            </w:pPr>
          </w:p>
        </w:tc>
        <w:tc>
          <w:tcPr>
            <w:tcW w:w="0" w:type="auto"/>
            <w:gridSpan w:val="3"/>
            <w:shd w:val="clear" w:color="auto" w:fill="auto"/>
            <w:vAlign w:val="bottom"/>
          </w:tcPr>
          <w:p w14:paraId="74DE1EDD" w14:textId="77777777" w:rsidR="00584EC1" w:rsidRDefault="00584EC1">
            <w:pPr>
              <w:rPr>
                <w:rFonts w:ascii="宋体"/>
                <w:vanish/>
              </w:rPr>
            </w:pPr>
          </w:p>
        </w:tc>
        <w:tc>
          <w:tcPr>
            <w:tcW w:w="0" w:type="auto"/>
            <w:gridSpan w:val="3"/>
            <w:shd w:val="clear" w:color="auto" w:fill="auto"/>
            <w:vAlign w:val="bottom"/>
          </w:tcPr>
          <w:p w14:paraId="74DE1EDE" w14:textId="77777777" w:rsidR="00584EC1" w:rsidRDefault="00584EC1">
            <w:pPr>
              <w:rPr>
                <w:rFonts w:ascii="宋体"/>
                <w:vanish/>
              </w:rPr>
            </w:pPr>
          </w:p>
        </w:tc>
        <w:tc>
          <w:tcPr>
            <w:tcW w:w="0" w:type="auto"/>
            <w:gridSpan w:val="3"/>
            <w:shd w:val="clear" w:color="auto" w:fill="auto"/>
            <w:vAlign w:val="bottom"/>
          </w:tcPr>
          <w:p w14:paraId="74DE1EDF" w14:textId="77777777" w:rsidR="00584EC1" w:rsidRDefault="00584EC1">
            <w:pPr>
              <w:rPr>
                <w:rFonts w:ascii="宋体"/>
                <w:vanish/>
              </w:rPr>
            </w:pPr>
          </w:p>
        </w:tc>
        <w:tc>
          <w:tcPr>
            <w:tcW w:w="0" w:type="auto"/>
            <w:gridSpan w:val="3"/>
            <w:shd w:val="clear" w:color="auto" w:fill="auto"/>
            <w:vAlign w:val="bottom"/>
          </w:tcPr>
          <w:p w14:paraId="74DE1EE0" w14:textId="77777777" w:rsidR="00584EC1" w:rsidRDefault="00584EC1">
            <w:pPr>
              <w:rPr>
                <w:rFonts w:ascii="宋体"/>
                <w:vanish/>
              </w:rPr>
            </w:pPr>
          </w:p>
        </w:tc>
        <w:tc>
          <w:tcPr>
            <w:tcW w:w="0" w:type="auto"/>
            <w:gridSpan w:val="3"/>
            <w:shd w:val="clear" w:color="auto" w:fill="auto"/>
            <w:vAlign w:val="bottom"/>
          </w:tcPr>
          <w:p w14:paraId="74DE1EE1" w14:textId="77777777" w:rsidR="00584EC1" w:rsidRDefault="00584EC1">
            <w:pPr>
              <w:rPr>
                <w:rFonts w:ascii="宋体"/>
                <w:vanish/>
              </w:rPr>
            </w:pPr>
          </w:p>
        </w:tc>
        <w:tc>
          <w:tcPr>
            <w:tcW w:w="0" w:type="auto"/>
            <w:gridSpan w:val="3"/>
            <w:shd w:val="clear" w:color="auto" w:fill="auto"/>
            <w:vAlign w:val="bottom"/>
          </w:tcPr>
          <w:p w14:paraId="74DE1EE2" w14:textId="77777777" w:rsidR="00584EC1" w:rsidRDefault="00584EC1">
            <w:pPr>
              <w:rPr>
                <w:rFonts w:ascii="宋体"/>
                <w:vanish/>
              </w:rPr>
            </w:pPr>
          </w:p>
        </w:tc>
        <w:tc>
          <w:tcPr>
            <w:tcW w:w="0" w:type="auto"/>
            <w:gridSpan w:val="3"/>
            <w:shd w:val="clear" w:color="auto" w:fill="auto"/>
            <w:vAlign w:val="bottom"/>
          </w:tcPr>
          <w:p w14:paraId="74DE1EE3" w14:textId="77777777" w:rsidR="00584EC1" w:rsidRDefault="00584EC1">
            <w:pPr>
              <w:rPr>
                <w:rFonts w:ascii="宋体"/>
                <w:vanish/>
              </w:rPr>
            </w:pPr>
          </w:p>
        </w:tc>
        <w:tc>
          <w:tcPr>
            <w:tcW w:w="0" w:type="auto"/>
            <w:gridSpan w:val="3"/>
            <w:shd w:val="clear" w:color="auto" w:fill="auto"/>
            <w:vAlign w:val="bottom"/>
          </w:tcPr>
          <w:p w14:paraId="74DE1EE4" w14:textId="77777777" w:rsidR="00584EC1" w:rsidRDefault="00584EC1">
            <w:pPr>
              <w:rPr>
                <w:rFonts w:ascii="宋体"/>
                <w:vanish/>
              </w:rPr>
            </w:pPr>
          </w:p>
        </w:tc>
        <w:tc>
          <w:tcPr>
            <w:tcW w:w="0" w:type="auto"/>
            <w:gridSpan w:val="3"/>
            <w:shd w:val="clear" w:color="auto" w:fill="auto"/>
            <w:vAlign w:val="bottom"/>
          </w:tcPr>
          <w:p w14:paraId="74DE1EE5" w14:textId="77777777" w:rsidR="00584EC1" w:rsidRDefault="00584EC1">
            <w:pPr>
              <w:rPr>
                <w:rFonts w:ascii="宋体"/>
                <w:vanish/>
              </w:rPr>
            </w:pPr>
          </w:p>
        </w:tc>
        <w:tc>
          <w:tcPr>
            <w:tcW w:w="0" w:type="auto"/>
            <w:gridSpan w:val="3"/>
            <w:shd w:val="clear" w:color="auto" w:fill="auto"/>
            <w:vAlign w:val="bottom"/>
          </w:tcPr>
          <w:p w14:paraId="74DE1EE6" w14:textId="77777777" w:rsidR="00584EC1" w:rsidRDefault="00584EC1">
            <w:pPr>
              <w:rPr>
                <w:rFonts w:ascii="宋体"/>
                <w:vanish/>
              </w:rPr>
            </w:pPr>
          </w:p>
        </w:tc>
        <w:tc>
          <w:tcPr>
            <w:tcW w:w="0" w:type="auto"/>
            <w:gridSpan w:val="3"/>
            <w:shd w:val="clear" w:color="auto" w:fill="auto"/>
            <w:vAlign w:val="bottom"/>
          </w:tcPr>
          <w:p w14:paraId="74DE1EE7" w14:textId="77777777" w:rsidR="00584EC1" w:rsidRDefault="00584EC1">
            <w:pPr>
              <w:rPr>
                <w:rFonts w:ascii="宋体"/>
                <w:vanish/>
              </w:rPr>
            </w:pPr>
          </w:p>
        </w:tc>
        <w:tc>
          <w:tcPr>
            <w:tcW w:w="0" w:type="auto"/>
            <w:gridSpan w:val="3"/>
            <w:shd w:val="clear" w:color="auto" w:fill="auto"/>
            <w:vAlign w:val="bottom"/>
          </w:tcPr>
          <w:p w14:paraId="74DE1EE8" w14:textId="77777777" w:rsidR="00584EC1" w:rsidRDefault="00584EC1">
            <w:pPr>
              <w:rPr>
                <w:rFonts w:ascii="宋体"/>
                <w:vanish/>
              </w:rPr>
            </w:pPr>
          </w:p>
        </w:tc>
        <w:tc>
          <w:tcPr>
            <w:tcW w:w="0" w:type="auto"/>
            <w:gridSpan w:val="3"/>
            <w:shd w:val="clear" w:color="auto" w:fill="auto"/>
            <w:vAlign w:val="bottom"/>
          </w:tcPr>
          <w:p w14:paraId="74DE1EE9" w14:textId="77777777" w:rsidR="00584EC1" w:rsidRDefault="00584EC1">
            <w:pPr>
              <w:rPr>
                <w:rFonts w:ascii="宋体"/>
                <w:vanish/>
              </w:rPr>
            </w:pPr>
          </w:p>
        </w:tc>
        <w:tc>
          <w:tcPr>
            <w:tcW w:w="0" w:type="auto"/>
            <w:gridSpan w:val="3"/>
            <w:shd w:val="clear" w:color="auto" w:fill="auto"/>
            <w:vAlign w:val="bottom"/>
          </w:tcPr>
          <w:p w14:paraId="74DE1EEA" w14:textId="77777777" w:rsidR="00584EC1" w:rsidRDefault="00584EC1">
            <w:pPr>
              <w:rPr>
                <w:rFonts w:ascii="宋体"/>
                <w:vanish/>
              </w:rPr>
            </w:pPr>
          </w:p>
        </w:tc>
        <w:tc>
          <w:tcPr>
            <w:tcW w:w="0" w:type="auto"/>
            <w:gridSpan w:val="3"/>
            <w:shd w:val="clear" w:color="auto" w:fill="auto"/>
            <w:vAlign w:val="bottom"/>
          </w:tcPr>
          <w:p w14:paraId="74DE1EEB" w14:textId="77777777" w:rsidR="00584EC1" w:rsidRDefault="00584EC1">
            <w:pPr>
              <w:rPr>
                <w:rFonts w:ascii="宋体"/>
                <w:vanish/>
              </w:rPr>
            </w:pPr>
          </w:p>
        </w:tc>
        <w:tc>
          <w:tcPr>
            <w:tcW w:w="0" w:type="auto"/>
            <w:gridSpan w:val="3"/>
            <w:shd w:val="clear" w:color="auto" w:fill="auto"/>
            <w:vAlign w:val="bottom"/>
          </w:tcPr>
          <w:p w14:paraId="74DE1EEC" w14:textId="77777777" w:rsidR="00584EC1" w:rsidRDefault="00584EC1">
            <w:pPr>
              <w:rPr>
                <w:rFonts w:ascii="宋体"/>
                <w:vanish/>
              </w:rPr>
            </w:pPr>
          </w:p>
        </w:tc>
        <w:tc>
          <w:tcPr>
            <w:tcW w:w="0" w:type="auto"/>
            <w:gridSpan w:val="3"/>
            <w:shd w:val="clear" w:color="auto" w:fill="auto"/>
            <w:vAlign w:val="bottom"/>
          </w:tcPr>
          <w:p w14:paraId="74DE1EED" w14:textId="77777777" w:rsidR="00584EC1" w:rsidRDefault="00584EC1">
            <w:pPr>
              <w:rPr>
                <w:rFonts w:ascii="宋体"/>
                <w:vanish/>
              </w:rPr>
            </w:pPr>
          </w:p>
        </w:tc>
        <w:tc>
          <w:tcPr>
            <w:tcW w:w="0" w:type="auto"/>
            <w:gridSpan w:val="3"/>
            <w:shd w:val="clear" w:color="auto" w:fill="auto"/>
            <w:vAlign w:val="bottom"/>
          </w:tcPr>
          <w:p w14:paraId="74DE1EEE" w14:textId="77777777" w:rsidR="00584EC1" w:rsidRDefault="00584EC1">
            <w:pPr>
              <w:rPr>
                <w:rFonts w:ascii="宋体"/>
                <w:vanish/>
              </w:rPr>
            </w:pPr>
          </w:p>
        </w:tc>
      </w:tr>
      <w:tr w:rsidR="00584EC1" w14:paraId="74DE1F04" w14:textId="77777777">
        <w:trPr>
          <w:hidden/>
        </w:trPr>
        <w:tc>
          <w:tcPr>
            <w:tcW w:w="0" w:type="auto"/>
            <w:gridSpan w:val="3"/>
            <w:shd w:val="clear" w:color="auto" w:fill="auto"/>
            <w:vAlign w:val="bottom"/>
          </w:tcPr>
          <w:p w14:paraId="74DE1EF0" w14:textId="77777777" w:rsidR="00584EC1" w:rsidRDefault="00584EC1">
            <w:pPr>
              <w:rPr>
                <w:rFonts w:ascii="宋体"/>
                <w:vanish/>
              </w:rPr>
            </w:pPr>
          </w:p>
        </w:tc>
        <w:tc>
          <w:tcPr>
            <w:tcW w:w="0" w:type="auto"/>
            <w:gridSpan w:val="3"/>
            <w:shd w:val="clear" w:color="auto" w:fill="auto"/>
            <w:vAlign w:val="bottom"/>
          </w:tcPr>
          <w:p w14:paraId="74DE1EF1" w14:textId="77777777" w:rsidR="00584EC1" w:rsidRDefault="00584EC1">
            <w:pPr>
              <w:rPr>
                <w:rFonts w:ascii="宋体"/>
                <w:vanish/>
              </w:rPr>
            </w:pPr>
          </w:p>
        </w:tc>
        <w:tc>
          <w:tcPr>
            <w:tcW w:w="0" w:type="auto"/>
            <w:gridSpan w:val="3"/>
            <w:shd w:val="clear" w:color="auto" w:fill="auto"/>
            <w:vAlign w:val="bottom"/>
          </w:tcPr>
          <w:p w14:paraId="74DE1EF2" w14:textId="77777777" w:rsidR="00584EC1" w:rsidRDefault="00584EC1">
            <w:pPr>
              <w:rPr>
                <w:rFonts w:ascii="宋体"/>
                <w:vanish/>
              </w:rPr>
            </w:pPr>
          </w:p>
        </w:tc>
        <w:tc>
          <w:tcPr>
            <w:tcW w:w="0" w:type="auto"/>
            <w:gridSpan w:val="3"/>
            <w:shd w:val="clear" w:color="auto" w:fill="auto"/>
            <w:vAlign w:val="bottom"/>
          </w:tcPr>
          <w:p w14:paraId="74DE1EF3" w14:textId="77777777" w:rsidR="00584EC1" w:rsidRDefault="00584EC1">
            <w:pPr>
              <w:rPr>
                <w:rFonts w:ascii="宋体"/>
                <w:vanish/>
              </w:rPr>
            </w:pPr>
          </w:p>
        </w:tc>
        <w:tc>
          <w:tcPr>
            <w:tcW w:w="0" w:type="auto"/>
            <w:gridSpan w:val="3"/>
            <w:shd w:val="clear" w:color="auto" w:fill="auto"/>
            <w:vAlign w:val="bottom"/>
          </w:tcPr>
          <w:p w14:paraId="74DE1EF4" w14:textId="77777777" w:rsidR="00584EC1" w:rsidRDefault="00584EC1">
            <w:pPr>
              <w:rPr>
                <w:rFonts w:ascii="宋体"/>
                <w:vanish/>
              </w:rPr>
            </w:pPr>
          </w:p>
        </w:tc>
        <w:tc>
          <w:tcPr>
            <w:tcW w:w="0" w:type="auto"/>
            <w:gridSpan w:val="3"/>
            <w:shd w:val="clear" w:color="auto" w:fill="auto"/>
            <w:vAlign w:val="bottom"/>
          </w:tcPr>
          <w:p w14:paraId="74DE1EF5" w14:textId="77777777" w:rsidR="00584EC1" w:rsidRDefault="00584EC1">
            <w:pPr>
              <w:rPr>
                <w:rFonts w:ascii="宋体"/>
                <w:vanish/>
              </w:rPr>
            </w:pPr>
          </w:p>
        </w:tc>
        <w:tc>
          <w:tcPr>
            <w:tcW w:w="0" w:type="auto"/>
            <w:gridSpan w:val="3"/>
            <w:shd w:val="clear" w:color="auto" w:fill="auto"/>
            <w:vAlign w:val="bottom"/>
          </w:tcPr>
          <w:p w14:paraId="74DE1EF6" w14:textId="77777777" w:rsidR="00584EC1" w:rsidRDefault="00584EC1">
            <w:pPr>
              <w:rPr>
                <w:rFonts w:ascii="宋体"/>
                <w:vanish/>
              </w:rPr>
            </w:pPr>
          </w:p>
        </w:tc>
        <w:tc>
          <w:tcPr>
            <w:tcW w:w="0" w:type="auto"/>
            <w:gridSpan w:val="3"/>
            <w:shd w:val="clear" w:color="auto" w:fill="auto"/>
            <w:vAlign w:val="bottom"/>
          </w:tcPr>
          <w:p w14:paraId="74DE1EF7" w14:textId="77777777" w:rsidR="00584EC1" w:rsidRDefault="00584EC1">
            <w:pPr>
              <w:rPr>
                <w:rFonts w:ascii="宋体"/>
                <w:vanish/>
              </w:rPr>
            </w:pPr>
          </w:p>
        </w:tc>
        <w:tc>
          <w:tcPr>
            <w:tcW w:w="0" w:type="auto"/>
            <w:gridSpan w:val="3"/>
            <w:shd w:val="clear" w:color="auto" w:fill="auto"/>
            <w:vAlign w:val="bottom"/>
          </w:tcPr>
          <w:p w14:paraId="74DE1EF8" w14:textId="77777777" w:rsidR="00584EC1" w:rsidRDefault="00584EC1">
            <w:pPr>
              <w:rPr>
                <w:rFonts w:ascii="宋体"/>
                <w:vanish/>
              </w:rPr>
            </w:pPr>
          </w:p>
        </w:tc>
        <w:tc>
          <w:tcPr>
            <w:tcW w:w="0" w:type="auto"/>
            <w:gridSpan w:val="3"/>
            <w:shd w:val="clear" w:color="auto" w:fill="auto"/>
            <w:vAlign w:val="bottom"/>
          </w:tcPr>
          <w:p w14:paraId="74DE1EF9" w14:textId="77777777" w:rsidR="00584EC1" w:rsidRDefault="00584EC1">
            <w:pPr>
              <w:rPr>
                <w:rFonts w:ascii="宋体"/>
                <w:vanish/>
              </w:rPr>
            </w:pPr>
          </w:p>
        </w:tc>
        <w:tc>
          <w:tcPr>
            <w:tcW w:w="0" w:type="auto"/>
            <w:gridSpan w:val="3"/>
            <w:shd w:val="clear" w:color="auto" w:fill="auto"/>
            <w:vAlign w:val="bottom"/>
          </w:tcPr>
          <w:p w14:paraId="74DE1EFA" w14:textId="77777777" w:rsidR="00584EC1" w:rsidRDefault="00584EC1">
            <w:pPr>
              <w:rPr>
                <w:rFonts w:ascii="宋体"/>
                <w:vanish/>
              </w:rPr>
            </w:pPr>
          </w:p>
        </w:tc>
        <w:tc>
          <w:tcPr>
            <w:tcW w:w="0" w:type="auto"/>
            <w:gridSpan w:val="3"/>
            <w:shd w:val="clear" w:color="auto" w:fill="auto"/>
            <w:vAlign w:val="bottom"/>
          </w:tcPr>
          <w:p w14:paraId="74DE1EFB" w14:textId="77777777" w:rsidR="00584EC1" w:rsidRDefault="00584EC1">
            <w:pPr>
              <w:rPr>
                <w:rFonts w:ascii="宋体"/>
                <w:vanish/>
              </w:rPr>
            </w:pPr>
          </w:p>
        </w:tc>
        <w:tc>
          <w:tcPr>
            <w:tcW w:w="0" w:type="auto"/>
            <w:gridSpan w:val="3"/>
            <w:shd w:val="clear" w:color="auto" w:fill="auto"/>
            <w:vAlign w:val="bottom"/>
          </w:tcPr>
          <w:p w14:paraId="74DE1EFC" w14:textId="77777777" w:rsidR="00584EC1" w:rsidRDefault="00584EC1">
            <w:pPr>
              <w:rPr>
                <w:rFonts w:ascii="宋体"/>
                <w:vanish/>
              </w:rPr>
            </w:pPr>
          </w:p>
        </w:tc>
        <w:tc>
          <w:tcPr>
            <w:tcW w:w="0" w:type="auto"/>
            <w:gridSpan w:val="3"/>
            <w:shd w:val="clear" w:color="auto" w:fill="auto"/>
            <w:vAlign w:val="bottom"/>
          </w:tcPr>
          <w:p w14:paraId="74DE1EFD" w14:textId="77777777" w:rsidR="00584EC1" w:rsidRDefault="00584EC1">
            <w:pPr>
              <w:rPr>
                <w:rFonts w:ascii="宋体"/>
                <w:vanish/>
              </w:rPr>
            </w:pPr>
          </w:p>
        </w:tc>
        <w:tc>
          <w:tcPr>
            <w:tcW w:w="0" w:type="auto"/>
            <w:gridSpan w:val="3"/>
            <w:shd w:val="clear" w:color="auto" w:fill="auto"/>
            <w:vAlign w:val="bottom"/>
          </w:tcPr>
          <w:p w14:paraId="74DE1EFE" w14:textId="77777777" w:rsidR="00584EC1" w:rsidRDefault="00584EC1">
            <w:pPr>
              <w:rPr>
                <w:rFonts w:ascii="宋体"/>
                <w:vanish/>
              </w:rPr>
            </w:pPr>
          </w:p>
        </w:tc>
        <w:tc>
          <w:tcPr>
            <w:tcW w:w="0" w:type="auto"/>
            <w:gridSpan w:val="3"/>
            <w:shd w:val="clear" w:color="auto" w:fill="auto"/>
            <w:vAlign w:val="bottom"/>
          </w:tcPr>
          <w:p w14:paraId="74DE1EFF" w14:textId="77777777" w:rsidR="00584EC1" w:rsidRDefault="00584EC1">
            <w:pPr>
              <w:rPr>
                <w:rFonts w:ascii="宋体"/>
                <w:vanish/>
              </w:rPr>
            </w:pPr>
          </w:p>
        </w:tc>
        <w:tc>
          <w:tcPr>
            <w:tcW w:w="0" w:type="auto"/>
            <w:gridSpan w:val="3"/>
            <w:shd w:val="clear" w:color="auto" w:fill="auto"/>
            <w:vAlign w:val="bottom"/>
          </w:tcPr>
          <w:p w14:paraId="74DE1F00" w14:textId="77777777" w:rsidR="00584EC1" w:rsidRDefault="00584EC1">
            <w:pPr>
              <w:rPr>
                <w:rFonts w:ascii="宋体"/>
                <w:vanish/>
              </w:rPr>
            </w:pPr>
          </w:p>
        </w:tc>
        <w:tc>
          <w:tcPr>
            <w:tcW w:w="0" w:type="auto"/>
            <w:gridSpan w:val="3"/>
            <w:shd w:val="clear" w:color="auto" w:fill="auto"/>
            <w:vAlign w:val="bottom"/>
          </w:tcPr>
          <w:p w14:paraId="74DE1F01" w14:textId="77777777" w:rsidR="00584EC1" w:rsidRDefault="00584EC1">
            <w:pPr>
              <w:rPr>
                <w:rFonts w:ascii="宋体"/>
                <w:vanish/>
              </w:rPr>
            </w:pPr>
          </w:p>
        </w:tc>
        <w:tc>
          <w:tcPr>
            <w:tcW w:w="0" w:type="auto"/>
            <w:gridSpan w:val="3"/>
            <w:shd w:val="clear" w:color="auto" w:fill="auto"/>
            <w:vAlign w:val="bottom"/>
          </w:tcPr>
          <w:p w14:paraId="74DE1F02" w14:textId="77777777" w:rsidR="00584EC1" w:rsidRDefault="00584EC1">
            <w:pPr>
              <w:rPr>
                <w:rFonts w:ascii="宋体"/>
                <w:vanish/>
              </w:rPr>
            </w:pPr>
          </w:p>
        </w:tc>
        <w:tc>
          <w:tcPr>
            <w:tcW w:w="0" w:type="auto"/>
            <w:gridSpan w:val="3"/>
            <w:shd w:val="clear" w:color="auto" w:fill="auto"/>
            <w:vAlign w:val="bottom"/>
          </w:tcPr>
          <w:p w14:paraId="74DE1F03" w14:textId="77777777" w:rsidR="00584EC1" w:rsidRDefault="00584EC1">
            <w:pPr>
              <w:rPr>
                <w:rFonts w:ascii="宋体"/>
                <w:vanish/>
              </w:rPr>
            </w:pPr>
          </w:p>
        </w:tc>
      </w:tr>
      <w:tr w:rsidR="00584EC1" w14:paraId="74DE1F19" w14:textId="77777777">
        <w:trPr>
          <w:hidden/>
        </w:trPr>
        <w:tc>
          <w:tcPr>
            <w:tcW w:w="0" w:type="auto"/>
            <w:gridSpan w:val="3"/>
            <w:shd w:val="clear" w:color="auto" w:fill="auto"/>
            <w:vAlign w:val="bottom"/>
          </w:tcPr>
          <w:p w14:paraId="74DE1F05" w14:textId="77777777" w:rsidR="00584EC1" w:rsidRDefault="00584EC1">
            <w:pPr>
              <w:rPr>
                <w:rFonts w:ascii="宋体"/>
                <w:vanish/>
              </w:rPr>
            </w:pPr>
          </w:p>
        </w:tc>
        <w:tc>
          <w:tcPr>
            <w:tcW w:w="0" w:type="auto"/>
            <w:gridSpan w:val="3"/>
            <w:shd w:val="clear" w:color="auto" w:fill="auto"/>
            <w:vAlign w:val="bottom"/>
          </w:tcPr>
          <w:p w14:paraId="74DE1F06" w14:textId="77777777" w:rsidR="00584EC1" w:rsidRDefault="00584EC1">
            <w:pPr>
              <w:rPr>
                <w:rFonts w:ascii="宋体"/>
                <w:vanish/>
              </w:rPr>
            </w:pPr>
          </w:p>
        </w:tc>
        <w:tc>
          <w:tcPr>
            <w:tcW w:w="0" w:type="auto"/>
            <w:gridSpan w:val="3"/>
            <w:shd w:val="clear" w:color="auto" w:fill="auto"/>
            <w:vAlign w:val="bottom"/>
          </w:tcPr>
          <w:p w14:paraId="74DE1F07" w14:textId="77777777" w:rsidR="00584EC1" w:rsidRDefault="00584EC1">
            <w:pPr>
              <w:rPr>
                <w:rFonts w:ascii="宋体"/>
                <w:vanish/>
              </w:rPr>
            </w:pPr>
          </w:p>
        </w:tc>
        <w:tc>
          <w:tcPr>
            <w:tcW w:w="0" w:type="auto"/>
            <w:gridSpan w:val="3"/>
            <w:shd w:val="clear" w:color="auto" w:fill="auto"/>
            <w:vAlign w:val="bottom"/>
          </w:tcPr>
          <w:p w14:paraId="74DE1F08" w14:textId="77777777" w:rsidR="00584EC1" w:rsidRDefault="00584EC1">
            <w:pPr>
              <w:rPr>
                <w:rFonts w:ascii="宋体"/>
                <w:vanish/>
              </w:rPr>
            </w:pPr>
          </w:p>
        </w:tc>
        <w:tc>
          <w:tcPr>
            <w:tcW w:w="0" w:type="auto"/>
            <w:gridSpan w:val="3"/>
            <w:shd w:val="clear" w:color="auto" w:fill="auto"/>
            <w:vAlign w:val="bottom"/>
          </w:tcPr>
          <w:p w14:paraId="74DE1F09" w14:textId="77777777" w:rsidR="00584EC1" w:rsidRDefault="00584EC1">
            <w:pPr>
              <w:rPr>
                <w:rFonts w:ascii="宋体"/>
                <w:vanish/>
              </w:rPr>
            </w:pPr>
          </w:p>
        </w:tc>
        <w:tc>
          <w:tcPr>
            <w:tcW w:w="0" w:type="auto"/>
            <w:gridSpan w:val="3"/>
            <w:shd w:val="clear" w:color="auto" w:fill="auto"/>
            <w:vAlign w:val="bottom"/>
          </w:tcPr>
          <w:p w14:paraId="74DE1F0A" w14:textId="77777777" w:rsidR="00584EC1" w:rsidRDefault="00584EC1">
            <w:pPr>
              <w:rPr>
                <w:rFonts w:ascii="宋体"/>
                <w:vanish/>
              </w:rPr>
            </w:pPr>
          </w:p>
        </w:tc>
        <w:tc>
          <w:tcPr>
            <w:tcW w:w="0" w:type="auto"/>
            <w:gridSpan w:val="3"/>
            <w:shd w:val="clear" w:color="auto" w:fill="auto"/>
            <w:vAlign w:val="bottom"/>
          </w:tcPr>
          <w:p w14:paraId="74DE1F0B" w14:textId="77777777" w:rsidR="00584EC1" w:rsidRDefault="00584EC1">
            <w:pPr>
              <w:rPr>
                <w:rFonts w:ascii="宋体"/>
                <w:vanish/>
              </w:rPr>
            </w:pPr>
          </w:p>
        </w:tc>
        <w:tc>
          <w:tcPr>
            <w:tcW w:w="0" w:type="auto"/>
            <w:gridSpan w:val="3"/>
            <w:shd w:val="clear" w:color="auto" w:fill="auto"/>
            <w:vAlign w:val="bottom"/>
          </w:tcPr>
          <w:p w14:paraId="74DE1F0C" w14:textId="77777777" w:rsidR="00584EC1" w:rsidRDefault="00584EC1">
            <w:pPr>
              <w:rPr>
                <w:rFonts w:ascii="宋体"/>
                <w:vanish/>
              </w:rPr>
            </w:pPr>
          </w:p>
        </w:tc>
        <w:tc>
          <w:tcPr>
            <w:tcW w:w="0" w:type="auto"/>
            <w:gridSpan w:val="3"/>
            <w:shd w:val="clear" w:color="auto" w:fill="auto"/>
            <w:vAlign w:val="bottom"/>
          </w:tcPr>
          <w:p w14:paraId="74DE1F0D" w14:textId="77777777" w:rsidR="00584EC1" w:rsidRDefault="00584EC1">
            <w:pPr>
              <w:rPr>
                <w:rFonts w:ascii="宋体"/>
                <w:vanish/>
              </w:rPr>
            </w:pPr>
          </w:p>
        </w:tc>
        <w:tc>
          <w:tcPr>
            <w:tcW w:w="0" w:type="auto"/>
            <w:gridSpan w:val="3"/>
            <w:shd w:val="clear" w:color="auto" w:fill="auto"/>
            <w:vAlign w:val="bottom"/>
          </w:tcPr>
          <w:p w14:paraId="74DE1F0E" w14:textId="77777777" w:rsidR="00584EC1" w:rsidRDefault="00584EC1">
            <w:pPr>
              <w:rPr>
                <w:rFonts w:ascii="宋体"/>
                <w:vanish/>
              </w:rPr>
            </w:pPr>
          </w:p>
        </w:tc>
        <w:tc>
          <w:tcPr>
            <w:tcW w:w="0" w:type="auto"/>
            <w:gridSpan w:val="3"/>
            <w:shd w:val="clear" w:color="auto" w:fill="auto"/>
            <w:vAlign w:val="bottom"/>
          </w:tcPr>
          <w:p w14:paraId="74DE1F0F" w14:textId="77777777" w:rsidR="00584EC1" w:rsidRDefault="00584EC1">
            <w:pPr>
              <w:rPr>
                <w:rFonts w:ascii="宋体"/>
                <w:vanish/>
              </w:rPr>
            </w:pPr>
          </w:p>
        </w:tc>
        <w:tc>
          <w:tcPr>
            <w:tcW w:w="0" w:type="auto"/>
            <w:gridSpan w:val="3"/>
            <w:shd w:val="clear" w:color="auto" w:fill="auto"/>
            <w:vAlign w:val="bottom"/>
          </w:tcPr>
          <w:p w14:paraId="74DE1F10" w14:textId="77777777" w:rsidR="00584EC1" w:rsidRDefault="00584EC1">
            <w:pPr>
              <w:rPr>
                <w:rFonts w:ascii="宋体"/>
                <w:vanish/>
              </w:rPr>
            </w:pPr>
          </w:p>
        </w:tc>
        <w:tc>
          <w:tcPr>
            <w:tcW w:w="0" w:type="auto"/>
            <w:gridSpan w:val="3"/>
            <w:shd w:val="clear" w:color="auto" w:fill="auto"/>
            <w:vAlign w:val="bottom"/>
          </w:tcPr>
          <w:p w14:paraId="74DE1F11" w14:textId="77777777" w:rsidR="00584EC1" w:rsidRDefault="00584EC1">
            <w:pPr>
              <w:rPr>
                <w:rFonts w:ascii="宋体"/>
                <w:vanish/>
              </w:rPr>
            </w:pPr>
          </w:p>
        </w:tc>
        <w:tc>
          <w:tcPr>
            <w:tcW w:w="0" w:type="auto"/>
            <w:gridSpan w:val="3"/>
            <w:shd w:val="clear" w:color="auto" w:fill="auto"/>
            <w:vAlign w:val="bottom"/>
          </w:tcPr>
          <w:p w14:paraId="74DE1F12" w14:textId="77777777" w:rsidR="00584EC1" w:rsidRDefault="00584EC1">
            <w:pPr>
              <w:rPr>
                <w:rFonts w:ascii="宋体"/>
                <w:vanish/>
              </w:rPr>
            </w:pPr>
          </w:p>
        </w:tc>
        <w:tc>
          <w:tcPr>
            <w:tcW w:w="0" w:type="auto"/>
            <w:gridSpan w:val="3"/>
            <w:shd w:val="clear" w:color="auto" w:fill="auto"/>
            <w:vAlign w:val="bottom"/>
          </w:tcPr>
          <w:p w14:paraId="74DE1F13" w14:textId="77777777" w:rsidR="00584EC1" w:rsidRDefault="00584EC1">
            <w:pPr>
              <w:rPr>
                <w:rFonts w:ascii="宋体"/>
                <w:vanish/>
              </w:rPr>
            </w:pPr>
          </w:p>
        </w:tc>
        <w:tc>
          <w:tcPr>
            <w:tcW w:w="0" w:type="auto"/>
            <w:gridSpan w:val="3"/>
            <w:shd w:val="clear" w:color="auto" w:fill="auto"/>
            <w:vAlign w:val="bottom"/>
          </w:tcPr>
          <w:p w14:paraId="74DE1F14" w14:textId="77777777" w:rsidR="00584EC1" w:rsidRDefault="00584EC1">
            <w:pPr>
              <w:rPr>
                <w:rFonts w:ascii="宋体"/>
                <w:vanish/>
              </w:rPr>
            </w:pPr>
          </w:p>
        </w:tc>
        <w:tc>
          <w:tcPr>
            <w:tcW w:w="0" w:type="auto"/>
            <w:gridSpan w:val="3"/>
            <w:shd w:val="clear" w:color="auto" w:fill="auto"/>
            <w:vAlign w:val="bottom"/>
          </w:tcPr>
          <w:p w14:paraId="74DE1F15" w14:textId="77777777" w:rsidR="00584EC1" w:rsidRDefault="00584EC1">
            <w:pPr>
              <w:rPr>
                <w:rFonts w:ascii="宋体"/>
                <w:vanish/>
              </w:rPr>
            </w:pPr>
          </w:p>
        </w:tc>
        <w:tc>
          <w:tcPr>
            <w:tcW w:w="0" w:type="auto"/>
            <w:gridSpan w:val="3"/>
            <w:shd w:val="clear" w:color="auto" w:fill="auto"/>
            <w:vAlign w:val="bottom"/>
          </w:tcPr>
          <w:p w14:paraId="74DE1F16" w14:textId="77777777" w:rsidR="00584EC1" w:rsidRDefault="00584EC1">
            <w:pPr>
              <w:rPr>
                <w:rFonts w:ascii="宋体"/>
                <w:vanish/>
              </w:rPr>
            </w:pPr>
          </w:p>
        </w:tc>
        <w:tc>
          <w:tcPr>
            <w:tcW w:w="0" w:type="auto"/>
            <w:gridSpan w:val="3"/>
            <w:shd w:val="clear" w:color="auto" w:fill="auto"/>
            <w:vAlign w:val="bottom"/>
          </w:tcPr>
          <w:p w14:paraId="74DE1F17" w14:textId="77777777" w:rsidR="00584EC1" w:rsidRDefault="00584EC1">
            <w:pPr>
              <w:rPr>
                <w:rFonts w:ascii="宋体"/>
                <w:vanish/>
              </w:rPr>
            </w:pPr>
          </w:p>
        </w:tc>
        <w:tc>
          <w:tcPr>
            <w:tcW w:w="0" w:type="auto"/>
            <w:gridSpan w:val="3"/>
            <w:shd w:val="clear" w:color="auto" w:fill="auto"/>
            <w:vAlign w:val="bottom"/>
          </w:tcPr>
          <w:p w14:paraId="74DE1F18" w14:textId="77777777" w:rsidR="00584EC1" w:rsidRDefault="00584EC1">
            <w:pPr>
              <w:rPr>
                <w:rFonts w:ascii="宋体"/>
                <w:vanish/>
              </w:rPr>
            </w:pPr>
          </w:p>
        </w:tc>
      </w:tr>
      <w:tr w:rsidR="00584EC1" w14:paraId="74DE1F2E" w14:textId="77777777">
        <w:trPr>
          <w:hidden/>
        </w:trPr>
        <w:tc>
          <w:tcPr>
            <w:tcW w:w="0" w:type="auto"/>
            <w:gridSpan w:val="3"/>
            <w:shd w:val="clear" w:color="auto" w:fill="auto"/>
            <w:vAlign w:val="bottom"/>
          </w:tcPr>
          <w:p w14:paraId="74DE1F1A" w14:textId="77777777" w:rsidR="00584EC1" w:rsidRDefault="00584EC1">
            <w:pPr>
              <w:rPr>
                <w:rFonts w:ascii="宋体"/>
                <w:vanish/>
              </w:rPr>
            </w:pPr>
          </w:p>
        </w:tc>
        <w:tc>
          <w:tcPr>
            <w:tcW w:w="0" w:type="auto"/>
            <w:gridSpan w:val="3"/>
            <w:shd w:val="clear" w:color="auto" w:fill="auto"/>
            <w:vAlign w:val="bottom"/>
          </w:tcPr>
          <w:p w14:paraId="74DE1F1B" w14:textId="77777777" w:rsidR="00584EC1" w:rsidRDefault="00584EC1">
            <w:pPr>
              <w:rPr>
                <w:rFonts w:ascii="宋体"/>
                <w:vanish/>
              </w:rPr>
            </w:pPr>
          </w:p>
        </w:tc>
        <w:tc>
          <w:tcPr>
            <w:tcW w:w="0" w:type="auto"/>
            <w:gridSpan w:val="3"/>
            <w:shd w:val="clear" w:color="auto" w:fill="auto"/>
            <w:vAlign w:val="bottom"/>
          </w:tcPr>
          <w:p w14:paraId="74DE1F1C" w14:textId="77777777" w:rsidR="00584EC1" w:rsidRDefault="00584EC1">
            <w:pPr>
              <w:rPr>
                <w:rFonts w:ascii="宋体"/>
                <w:vanish/>
              </w:rPr>
            </w:pPr>
          </w:p>
        </w:tc>
        <w:tc>
          <w:tcPr>
            <w:tcW w:w="0" w:type="auto"/>
            <w:gridSpan w:val="3"/>
            <w:shd w:val="clear" w:color="auto" w:fill="auto"/>
            <w:vAlign w:val="bottom"/>
          </w:tcPr>
          <w:p w14:paraId="74DE1F1D" w14:textId="77777777" w:rsidR="00584EC1" w:rsidRDefault="00584EC1">
            <w:pPr>
              <w:rPr>
                <w:rFonts w:ascii="宋体"/>
                <w:vanish/>
              </w:rPr>
            </w:pPr>
          </w:p>
        </w:tc>
        <w:tc>
          <w:tcPr>
            <w:tcW w:w="0" w:type="auto"/>
            <w:gridSpan w:val="3"/>
            <w:shd w:val="clear" w:color="auto" w:fill="auto"/>
            <w:vAlign w:val="bottom"/>
          </w:tcPr>
          <w:p w14:paraId="74DE1F1E" w14:textId="77777777" w:rsidR="00584EC1" w:rsidRDefault="00584EC1">
            <w:pPr>
              <w:rPr>
                <w:rFonts w:ascii="宋体"/>
                <w:vanish/>
              </w:rPr>
            </w:pPr>
          </w:p>
        </w:tc>
        <w:tc>
          <w:tcPr>
            <w:tcW w:w="0" w:type="auto"/>
            <w:gridSpan w:val="3"/>
            <w:shd w:val="clear" w:color="auto" w:fill="auto"/>
            <w:vAlign w:val="bottom"/>
          </w:tcPr>
          <w:p w14:paraId="74DE1F1F" w14:textId="77777777" w:rsidR="00584EC1" w:rsidRDefault="00584EC1">
            <w:pPr>
              <w:rPr>
                <w:rFonts w:ascii="宋体"/>
                <w:vanish/>
              </w:rPr>
            </w:pPr>
          </w:p>
        </w:tc>
        <w:tc>
          <w:tcPr>
            <w:tcW w:w="0" w:type="auto"/>
            <w:gridSpan w:val="3"/>
            <w:shd w:val="clear" w:color="auto" w:fill="auto"/>
            <w:vAlign w:val="bottom"/>
          </w:tcPr>
          <w:p w14:paraId="74DE1F20" w14:textId="77777777" w:rsidR="00584EC1" w:rsidRDefault="00584EC1">
            <w:pPr>
              <w:rPr>
                <w:rFonts w:ascii="宋体"/>
                <w:vanish/>
              </w:rPr>
            </w:pPr>
          </w:p>
        </w:tc>
        <w:tc>
          <w:tcPr>
            <w:tcW w:w="0" w:type="auto"/>
            <w:gridSpan w:val="3"/>
            <w:shd w:val="clear" w:color="auto" w:fill="auto"/>
            <w:vAlign w:val="bottom"/>
          </w:tcPr>
          <w:p w14:paraId="74DE1F21" w14:textId="77777777" w:rsidR="00584EC1" w:rsidRDefault="00584EC1">
            <w:pPr>
              <w:rPr>
                <w:rFonts w:ascii="宋体"/>
                <w:vanish/>
              </w:rPr>
            </w:pPr>
          </w:p>
        </w:tc>
        <w:tc>
          <w:tcPr>
            <w:tcW w:w="0" w:type="auto"/>
            <w:gridSpan w:val="3"/>
            <w:shd w:val="clear" w:color="auto" w:fill="auto"/>
            <w:vAlign w:val="bottom"/>
          </w:tcPr>
          <w:p w14:paraId="74DE1F22" w14:textId="77777777" w:rsidR="00584EC1" w:rsidRDefault="00584EC1">
            <w:pPr>
              <w:rPr>
                <w:rFonts w:ascii="宋体"/>
                <w:vanish/>
              </w:rPr>
            </w:pPr>
          </w:p>
        </w:tc>
        <w:tc>
          <w:tcPr>
            <w:tcW w:w="0" w:type="auto"/>
            <w:gridSpan w:val="3"/>
            <w:shd w:val="clear" w:color="auto" w:fill="auto"/>
            <w:vAlign w:val="bottom"/>
          </w:tcPr>
          <w:p w14:paraId="74DE1F23" w14:textId="77777777" w:rsidR="00584EC1" w:rsidRDefault="00584EC1">
            <w:pPr>
              <w:rPr>
                <w:rFonts w:ascii="宋体"/>
                <w:vanish/>
              </w:rPr>
            </w:pPr>
          </w:p>
        </w:tc>
        <w:tc>
          <w:tcPr>
            <w:tcW w:w="0" w:type="auto"/>
            <w:gridSpan w:val="3"/>
            <w:shd w:val="clear" w:color="auto" w:fill="auto"/>
            <w:vAlign w:val="bottom"/>
          </w:tcPr>
          <w:p w14:paraId="74DE1F24" w14:textId="77777777" w:rsidR="00584EC1" w:rsidRDefault="00584EC1">
            <w:pPr>
              <w:rPr>
                <w:rFonts w:ascii="宋体"/>
                <w:vanish/>
              </w:rPr>
            </w:pPr>
          </w:p>
        </w:tc>
        <w:tc>
          <w:tcPr>
            <w:tcW w:w="0" w:type="auto"/>
            <w:gridSpan w:val="3"/>
            <w:shd w:val="clear" w:color="auto" w:fill="auto"/>
            <w:vAlign w:val="bottom"/>
          </w:tcPr>
          <w:p w14:paraId="74DE1F25" w14:textId="77777777" w:rsidR="00584EC1" w:rsidRDefault="00584EC1">
            <w:pPr>
              <w:rPr>
                <w:rFonts w:ascii="宋体"/>
                <w:vanish/>
              </w:rPr>
            </w:pPr>
          </w:p>
        </w:tc>
        <w:tc>
          <w:tcPr>
            <w:tcW w:w="0" w:type="auto"/>
            <w:gridSpan w:val="3"/>
            <w:shd w:val="clear" w:color="auto" w:fill="auto"/>
            <w:vAlign w:val="bottom"/>
          </w:tcPr>
          <w:p w14:paraId="74DE1F26" w14:textId="77777777" w:rsidR="00584EC1" w:rsidRDefault="00584EC1">
            <w:pPr>
              <w:rPr>
                <w:rFonts w:ascii="宋体"/>
                <w:vanish/>
              </w:rPr>
            </w:pPr>
          </w:p>
        </w:tc>
        <w:tc>
          <w:tcPr>
            <w:tcW w:w="0" w:type="auto"/>
            <w:gridSpan w:val="3"/>
            <w:shd w:val="clear" w:color="auto" w:fill="auto"/>
            <w:vAlign w:val="bottom"/>
          </w:tcPr>
          <w:p w14:paraId="74DE1F27" w14:textId="77777777" w:rsidR="00584EC1" w:rsidRDefault="00584EC1">
            <w:pPr>
              <w:rPr>
                <w:rFonts w:ascii="宋体"/>
                <w:vanish/>
              </w:rPr>
            </w:pPr>
          </w:p>
        </w:tc>
        <w:tc>
          <w:tcPr>
            <w:tcW w:w="0" w:type="auto"/>
            <w:gridSpan w:val="3"/>
            <w:shd w:val="clear" w:color="auto" w:fill="auto"/>
            <w:vAlign w:val="bottom"/>
          </w:tcPr>
          <w:p w14:paraId="74DE1F28" w14:textId="77777777" w:rsidR="00584EC1" w:rsidRDefault="00584EC1">
            <w:pPr>
              <w:rPr>
                <w:rFonts w:ascii="宋体"/>
                <w:vanish/>
              </w:rPr>
            </w:pPr>
          </w:p>
        </w:tc>
        <w:tc>
          <w:tcPr>
            <w:tcW w:w="0" w:type="auto"/>
            <w:gridSpan w:val="3"/>
            <w:shd w:val="clear" w:color="auto" w:fill="auto"/>
            <w:vAlign w:val="bottom"/>
          </w:tcPr>
          <w:p w14:paraId="74DE1F29" w14:textId="77777777" w:rsidR="00584EC1" w:rsidRDefault="00584EC1">
            <w:pPr>
              <w:rPr>
                <w:rFonts w:ascii="宋体"/>
                <w:vanish/>
              </w:rPr>
            </w:pPr>
          </w:p>
        </w:tc>
        <w:tc>
          <w:tcPr>
            <w:tcW w:w="0" w:type="auto"/>
            <w:gridSpan w:val="3"/>
            <w:shd w:val="clear" w:color="auto" w:fill="auto"/>
            <w:vAlign w:val="bottom"/>
          </w:tcPr>
          <w:p w14:paraId="74DE1F2A" w14:textId="77777777" w:rsidR="00584EC1" w:rsidRDefault="00584EC1">
            <w:pPr>
              <w:rPr>
                <w:rFonts w:ascii="宋体"/>
                <w:vanish/>
              </w:rPr>
            </w:pPr>
          </w:p>
        </w:tc>
        <w:tc>
          <w:tcPr>
            <w:tcW w:w="0" w:type="auto"/>
            <w:gridSpan w:val="3"/>
            <w:shd w:val="clear" w:color="auto" w:fill="auto"/>
            <w:vAlign w:val="bottom"/>
          </w:tcPr>
          <w:p w14:paraId="74DE1F2B" w14:textId="77777777" w:rsidR="00584EC1" w:rsidRDefault="00584EC1">
            <w:pPr>
              <w:rPr>
                <w:rFonts w:ascii="宋体"/>
                <w:vanish/>
              </w:rPr>
            </w:pPr>
          </w:p>
        </w:tc>
        <w:tc>
          <w:tcPr>
            <w:tcW w:w="0" w:type="auto"/>
            <w:gridSpan w:val="3"/>
            <w:shd w:val="clear" w:color="auto" w:fill="auto"/>
            <w:vAlign w:val="bottom"/>
          </w:tcPr>
          <w:p w14:paraId="74DE1F2C" w14:textId="77777777" w:rsidR="00584EC1" w:rsidRDefault="00584EC1">
            <w:pPr>
              <w:rPr>
                <w:rFonts w:ascii="宋体"/>
                <w:vanish/>
              </w:rPr>
            </w:pPr>
          </w:p>
        </w:tc>
        <w:tc>
          <w:tcPr>
            <w:tcW w:w="0" w:type="auto"/>
            <w:gridSpan w:val="3"/>
            <w:shd w:val="clear" w:color="auto" w:fill="auto"/>
            <w:vAlign w:val="bottom"/>
          </w:tcPr>
          <w:p w14:paraId="74DE1F2D" w14:textId="77777777" w:rsidR="00584EC1" w:rsidRDefault="00584EC1">
            <w:pPr>
              <w:rPr>
                <w:rFonts w:ascii="宋体"/>
                <w:vanish/>
              </w:rPr>
            </w:pPr>
          </w:p>
        </w:tc>
      </w:tr>
      <w:tr w:rsidR="00584EC1" w14:paraId="74DE1F67" w14:textId="77777777">
        <w:trPr>
          <w:hidden/>
        </w:trPr>
        <w:tc>
          <w:tcPr>
            <w:tcW w:w="0" w:type="auto"/>
            <w:gridSpan w:val="3"/>
            <w:shd w:val="clear" w:color="auto" w:fill="auto"/>
            <w:vAlign w:val="bottom"/>
          </w:tcPr>
          <w:p w14:paraId="74DE1F2F" w14:textId="77777777" w:rsidR="00584EC1" w:rsidRDefault="00584EC1">
            <w:pPr>
              <w:rPr>
                <w:rFonts w:ascii="宋体"/>
                <w:vanish/>
              </w:rPr>
            </w:pPr>
          </w:p>
        </w:tc>
        <w:tc>
          <w:tcPr>
            <w:tcW w:w="0" w:type="auto"/>
            <w:gridSpan w:val="3"/>
            <w:shd w:val="clear" w:color="auto" w:fill="auto"/>
            <w:vAlign w:val="bottom"/>
          </w:tcPr>
          <w:p w14:paraId="74DE1F30" w14:textId="77777777" w:rsidR="00584EC1" w:rsidRDefault="00584EC1">
            <w:pPr>
              <w:rPr>
                <w:rFonts w:ascii="宋体"/>
                <w:vanish/>
              </w:rPr>
            </w:pPr>
          </w:p>
        </w:tc>
        <w:tc>
          <w:tcPr>
            <w:tcW w:w="0" w:type="auto"/>
            <w:shd w:val="clear" w:color="auto" w:fill="auto"/>
            <w:vAlign w:val="bottom"/>
          </w:tcPr>
          <w:p w14:paraId="74DE1F31" w14:textId="77777777" w:rsidR="00584EC1" w:rsidRDefault="00584EC1">
            <w:pPr>
              <w:rPr>
                <w:rFonts w:ascii="宋体"/>
              </w:rPr>
            </w:pPr>
          </w:p>
        </w:tc>
        <w:tc>
          <w:tcPr>
            <w:tcW w:w="0" w:type="auto"/>
            <w:shd w:val="clear" w:color="auto" w:fill="auto"/>
            <w:vAlign w:val="bottom"/>
          </w:tcPr>
          <w:p w14:paraId="74DE1F32" w14:textId="77777777" w:rsidR="00584EC1" w:rsidRDefault="00584EC1">
            <w:pPr>
              <w:rPr>
                <w:rFonts w:ascii="宋体"/>
              </w:rPr>
            </w:pPr>
          </w:p>
        </w:tc>
        <w:tc>
          <w:tcPr>
            <w:tcW w:w="0" w:type="auto"/>
            <w:shd w:val="clear" w:color="auto" w:fill="auto"/>
            <w:vAlign w:val="bottom"/>
          </w:tcPr>
          <w:p w14:paraId="74DE1F33" w14:textId="77777777" w:rsidR="00584EC1" w:rsidRDefault="00584EC1">
            <w:pPr>
              <w:rPr>
                <w:rFonts w:ascii="宋体"/>
              </w:rPr>
            </w:pPr>
          </w:p>
        </w:tc>
        <w:tc>
          <w:tcPr>
            <w:tcW w:w="0" w:type="auto"/>
            <w:shd w:val="clear" w:color="auto" w:fill="auto"/>
            <w:vAlign w:val="bottom"/>
          </w:tcPr>
          <w:p w14:paraId="74DE1F34" w14:textId="77777777" w:rsidR="00584EC1" w:rsidRDefault="00584EC1">
            <w:pPr>
              <w:rPr>
                <w:rFonts w:ascii="宋体"/>
              </w:rPr>
            </w:pPr>
          </w:p>
        </w:tc>
        <w:tc>
          <w:tcPr>
            <w:tcW w:w="0" w:type="auto"/>
            <w:shd w:val="clear" w:color="auto" w:fill="auto"/>
            <w:vAlign w:val="bottom"/>
          </w:tcPr>
          <w:p w14:paraId="74DE1F35" w14:textId="77777777" w:rsidR="00584EC1" w:rsidRDefault="00584EC1">
            <w:pPr>
              <w:rPr>
                <w:rFonts w:ascii="宋体"/>
              </w:rPr>
            </w:pPr>
          </w:p>
        </w:tc>
        <w:tc>
          <w:tcPr>
            <w:tcW w:w="0" w:type="auto"/>
            <w:shd w:val="clear" w:color="auto" w:fill="auto"/>
            <w:vAlign w:val="bottom"/>
          </w:tcPr>
          <w:p w14:paraId="74DE1F36" w14:textId="77777777" w:rsidR="00584EC1" w:rsidRDefault="00584EC1">
            <w:pPr>
              <w:rPr>
                <w:rFonts w:ascii="宋体"/>
              </w:rPr>
            </w:pPr>
          </w:p>
        </w:tc>
        <w:tc>
          <w:tcPr>
            <w:tcW w:w="0" w:type="auto"/>
            <w:shd w:val="clear" w:color="auto" w:fill="auto"/>
            <w:vAlign w:val="bottom"/>
          </w:tcPr>
          <w:p w14:paraId="74DE1F37" w14:textId="77777777" w:rsidR="00584EC1" w:rsidRDefault="00584EC1">
            <w:pPr>
              <w:rPr>
                <w:rFonts w:ascii="宋体"/>
              </w:rPr>
            </w:pPr>
          </w:p>
        </w:tc>
        <w:tc>
          <w:tcPr>
            <w:tcW w:w="0" w:type="auto"/>
            <w:shd w:val="clear" w:color="auto" w:fill="auto"/>
            <w:vAlign w:val="bottom"/>
          </w:tcPr>
          <w:p w14:paraId="74DE1F38" w14:textId="77777777" w:rsidR="00584EC1" w:rsidRDefault="00584EC1">
            <w:pPr>
              <w:rPr>
                <w:rFonts w:ascii="宋体"/>
              </w:rPr>
            </w:pPr>
          </w:p>
        </w:tc>
        <w:tc>
          <w:tcPr>
            <w:tcW w:w="0" w:type="auto"/>
            <w:shd w:val="clear" w:color="auto" w:fill="auto"/>
            <w:vAlign w:val="bottom"/>
          </w:tcPr>
          <w:p w14:paraId="74DE1F39" w14:textId="77777777" w:rsidR="00584EC1" w:rsidRDefault="00584EC1">
            <w:pPr>
              <w:rPr>
                <w:rFonts w:ascii="宋体"/>
              </w:rPr>
            </w:pPr>
          </w:p>
        </w:tc>
        <w:tc>
          <w:tcPr>
            <w:tcW w:w="0" w:type="auto"/>
            <w:shd w:val="clear" w:color="auto" w:fill="auto"/>
            <w:vAlign w:val="bottom"/>
          </w:tcPr>
          <w:p w14:paraId="74DE1F3A" w14:textId="77777777" w:rsidR="00584EC1" w:rsidRDefault="00584EC1">
            <w:pPr>
              <w:rPr>
                <w:rFonts w:ascii="宋体"/>
              </w:rPr>
            </w:pPr>
          </w:p>
        </w:tc>
        <w:tc>
          <w:tcPr>
            <w:tcW w:w="0" w:type="auto"/>
            <w:shd w:val="clear" w:color="auto" w:fill="auto"/>
            <w:vAlign w:val="bottom"/>
          </w:tcPr>
          <w:p w14:paraId="74DE1F3B" w14:textId="77777777" w:rsidR="00584EC1" w:rsidRDefault="00584EC1">
            <w:pPr>
              <w:rPr>
                <w:rFonts w:ascii="宋体"/>
              </w:rPr>
            </w:pPr>
          </w:p>
        </w:tc>
        <w:tc>
          <w:tcPr>
            <w:tcW w:w="0" w:type="auto"/>
            <w:shd w:val="clear" w:color="auto" w:fill="auto"/>
            <w:vAlign w:val="bottom"/>
          </w:tcPr>
          <w:p w14:paraId="74DE1F3C" w14:textId="77777777" w:rsidR="00584EC1" w:rsidRDefault="00584EC1">
            <w:pPr>
              <w:rPr>
                <w:rFonts w:ascii="宋体"/>
              </w:rPr>
            </w:pPr>
          </w:p>
        </w:tc>
        <w:tc>
          <w:tcPr>
            <w:tcW w:w="0" w:type="auto"/>
            <w:shd w:val="clear" w:color="auto" w:fill="auto"/>
            <w:vAlign w:val="bottom"/>
          </w:tcPr>
          <w:p w14:paraId="74DE1F3D" w14:textId="77777777" w:rsidR="00584EC1" w:rsidRDefault="00584EC1">
            <w:pPr>
              <w:rPr>
                <w:rFonts w:ascii="宋体"/>
              </w:rPr>
            </w:pPr>
          </w:p>
        </w:tc>
        <w:tc>
          <w:tcPr>
            <w:tcW w:w="0" w:type="auto"/>
            <w:shd w:val="clear" w:color="auto" w:fill="auto"/>
            <w:vAlign w:val="bottom"/>
          </w:tcPr>
          <w:p w14:paraId="74DE1F3E" w14:textId="77777777" w:rsidR="00584EC1" w:rsidRDefault="00584EC1">
            <w:pPr>
              <w:rPr>
                <w:rFonts w:ascii="宋体"/>
              </w:rPr>
            </w:pPr>
          </w:p>
        </w:tc>
        <w:tc>
          <w:tcPr>
            <w:tcW w:w="0" w:type="auto"/>
            <w:shd w:val="clear" w:color="auto" w:fill="auto"/>
            <w:vAlign w:val="bottom"/>
          </w:tcPr>
          <w:p w14:paraId="74DE1F3F" w14:textId="77777777" w:rsidR="00584EC1" w:rsidRDefault="00584EC1">
            <w:pPr>
              <w:rPr>
                <w:rFonts w:ascii="宋体"/>
              </w:rPr>
            </w:pPr>
          </w:p>
        </w:tc>
        <w:tc>
          <w:tcPr>
            <w:tcW w:w="0" w:type="auto"/>
            <w:shd w:val="clear" w:color="auto" w:fill="auto"/>
            <w:vAlign w:val="bottom"/>
          </w:tcPr>
          <w:p w14:paraId="74DE1F40" w14:textId="77777777" w:rsidR="00584EC1" w:rsidRDefault="00584EC1">
            <w:pPr>
              <w:rPr>
                <w:rFonts w:ascii="宋体"/>
              </w:rPr>
            </w:pPr>
          </w:p>
        </w:tc>
        <w:tc>
          <w:tcPr>
            <w:tcW w:w="0" w:type="auto"/>
            <w:shd w:val="clear" w:color="auto" w:fill="auto"/>
            <w:vAlign w:val="bottom"/>
          </w:tcPr>
          <w:p w14:paraId="74DE1F41" w14:textId="77777777" w:rsidR="00584EC1" w:rsidRDefault="00584EC1">
            <w:pPr>
              <w:rPr>
                <w:rFonts w:ascii="宋体"/>
              </w:rPr>
            </w:pPr>
          </w:p>
        </w:tc>
        <w:tc>
          <w:tcPr>
            <w:tcW w:w="0" w:type="auto"/>
            <w:shd w:val="clear" w:color="auto" w:fill="auto"/>
            <w:vAlign w:val="bottom"/>
          </w:tcPr>
          <w:p w14:paraId="74DE1F42" w14:textId="77777777" w:rsidR="00584EC1" w:rsidRDefault="00584EC1">
            <w:pPr>
              <w:rPr>
                <w:rFonts w:ascii="宋体"/>
              </w:rPr>
            </w:pPr>
          </w:p>
        </w:tc>
        <w:tc>
          <w:tcPr>
            <w:tcW w:w="0" w:type="auto"/>
            <w:shd w:val="clear" w:color="auto" w:fill="auto"/>
            <w:vAlign w:val="bottom"/>
          </w:tcPr>
          <w:p w14:paraId="74DE1F43" w14:textId="77777777" w:rsidR="00584EC1" w:rsidRDefault="00584EC1">
            <w:pPr>
              <w:rPr>
                <w:rFonts w:ascii="宋体"/>
              </w:rPr>
            </w:pPr>
          </w:p>
        </w:tc>
        <w:tc>
          <w:tcPr>
            <w:tcW w:w="0" w:type="auto"/>
            <w:shd w:val="clear" w:color="auto" w:fill="auto"/>
            <w:vAlign w:val="bottom"/>
          </w:tcPr>
          <w:p w14:paraId="74DE1F44" w14:textId="77777777" w:rsidR="00584EC1" w:rsidRDefault="00584EC1">
            <w:pPr>
              <w:rPr>
                <w:rFonts w:ascii="宋体"/>
              </w:rPr>
            </w:pPr>
          </w:p>
        </w:tc>
        <w:tc>
          <w:tcPr>
            <w:tcW w:w="0" w:type="auto"/>
            <w:shd w:val="clear" w:color="auto" w:fill="auto"/>
            <w:vAlign w:val="bottom"/>
          </w:tcPr>
          <w:p w14:paraId="74DE1F45" w14:textId="77777777" w:rsidR="00584EC1" w:rsidRDefault="00584EC1">
            <w:pPr>
              <w:rPr>
                <w:rFonts w:ascii="宋体"/>
              </w:rPr>
            </w:pPr>
          </w:p>
        </w:tc>
        <w:tc>
          <w:tcPr>
            <w:tcW w:w="0" w:type="auto"/>
            <w:shd w:val="clear" w:color="auto" w:fill="auto"/>
            <w:vAlign w:val="bottom"/>
          </w:tcPr>
          <w:p w14:paraId="74DE1F46" w14:textId="77777777" w:rsidR="00584EC1" w:rsidRDefault="00584EC1">
            <w:pPr>
              <w:rPr>
                <w:rFonts w:ascii="宋体"/>
              </w:rPr>
            </w:pPr>
          </w:p>
        </w:tc>
        <w:tc>
          <w:tcPr>
            <w:tcW w:w="0" w:type="auto"/>
            <w:shd w:val="clear" w:color="auto" w:fill="auto"/>
            <w:vAlign w:val="bottom"/>
          </w:tcPr>
          <w:p w14:paraId="74DE1F47" w14:textId="77777777" w:rsidR="00584EC1" w:rsidRDefault="00584EC1">
            <w:pPr>
              <w:rPr>
                <w:rFonts w:ascii="宋体"/>
              </w:rPr>
            </w:pPr>
          </w:p>
        </w:tc>
        <w:tc>
          <w:tcPr>
            <w:tcW w:w="0" w:type="auto"/>
            <w:shd w:val="clear" w:color="auto" w:fill="auto"/>
            <w:vAlign w:val="bottom"/>
          </w:tcPr>
          <w:p w14:paraId="74DE1F48" w14:textId="77777777" w:rsidR="00584EC1" w:rsidRDefault="00584EC1">
            <w:pPr>
              <w:rPr>
                <w:rFonts w:ascii="宋体"/>
              </w:rPr>
            </w:pPr>
          </w:p>
        </w:tc>
        <w:tc>
          <w:tcPr>
            <w:tcW w:w="0" w:type="auto"/>
            <w:shd w:val="clear" w:color="auto" w:fill="auto"/>
            <w:vAlign w:val="bottom"/>
          </w:tcPr>
          <w:p w14:paraId="74DE1F49" w14:textId="77777777" w:rsidR="00584EC1" w:rsidRDefault="00584EC1">
            <w:pPr>
              <w:rPr>
                <w:rFonts w:ascii="宋体"/>
              </w:rPr>
            </w:pPr>
          </w:p>
        </w:tc>
        <w:tc>
          <w:tcPr>
            <w:tcW w:w="0" w:type="auto"/>
            <w:shd w:val="clear" w:color="auto" w:fill="auto"/>
            <w:vAlign w:val="bottom"/>
          </w:tcPr>
          <w:p w14:paraId="74DE1F4A" w14:textId="77777777" w:rsidR="00584EC1" w:rsidRDefault="00584EC1">
            <w:pPr>
              <w:rPr>
                <w:rFonts w:ascii="宋体"/>
              </w:rPr>
            </w:pPr>
          </w:p>
        </w:tc>
        <w:tc>
          <w:tcPr>
            <w:tcW w:w="0" w:type="auto"/>
            <w:shd w:val="clear" w:color="auto" w:fill="auto"/>
            <w:vAlign w:val="bottom"/>
          </w:tcPr>
          <w:p w14:paraId="74DE1F4B" w14:textId="77777777" w:rsidR="00584EC1" w:rsidRDefault="00584EC1">
            <w:pPr>
              <w:rPr>
                <w:rFonts w:ascii="宋体"/>
              </w:rPr>
            </w:pPr>
          </w:p>
        </w:tc>
        <w:tc>
          <w:tcPr>
            <w:tcW w:w="0" w:type="auto"/>
            <w:shd w:val="clear" w:color="auto" w:fill="auto"/>
            <w:vAlign w:val="bottom"/>
          </w:tcPr>
          <w:p w14:paraId="74DE1F4C" w14:textId="77777777" w:rsidR="00584EC1" w:rsidRDefault="00584EC1">
            <w:pPr>
              <w:rPr>
                <w:rFonts w:ascii="宋体"/>
              </w:rPr>
            </w:pPr>
          </w:p>
        </w:tc>
        <w:tc>
          <w:tcPr>
            <w:tcW w:w="0" w:type="auto"/>
            <w:shd w:val="clear" w:color="auto" w:fill="auto"/>
            <w:vAlign w:val="bottom"/>
          </w:tcPr>
          <w:p w14:paraId="74DE1F4D" w14:textId="77777777" w:rsidR="00584EC1" w:rsidRDefault="00584EC1">
            <w:pPr>
              <w:rPr>
                <w:rFonts w:ascii="宋体"/>
              </w:rPr>
            </w:pPr>
          </w:p>
        </w:tc>
        <w:tc>
          <w:tcPr>
            <w:tcW w:w="0" w:type="auto"/>
            <w:shd w:val="clear" w:color="auto" w:fill="auto"/>
            <w:vAlign w:val="bottom"/>
          </w:tcPr>
          <w:p w14:paraId="74DE1F4E" w14:textId="77777777" w:rsidR="00584EC1" w:rsidRDefault="00584EC1">
            <w:pPr>
              <w:rPr>
                <w:rFonts w:ascii="宋体"/>
              </w:rPr>
            </w:pPr>
          </w:p>
        </w:tc>
        <w:tc>
          <w:tcPr>
            <w:tcW w:w="0" w:type="auto"/>
            <w:shd w:val="clear" w:color="auto" w:fill="auto"/>
            <w:vAlign w:val="bottom"/>
          </w:tcPr>
          <w:p w14:paraId="74DE1F4F" w14:textId="77777777" w:rsidR="00584EC1" w:rsidRDefault="00584EC1">
            <w:pPr>
              <w:rPr>
                <w:rFonts w:ascii="宋体"/>
              </w:rPr>
            </w:pPr>
          </w:p>
        </w:tc>
        <w:tc>
          <w:tcPr>
            <w:tcW w:w="0" w:type="auto"/>
            <w:shd w:val="clear" w:color="auto" w:fill="auto"/>
            <w:vAlign w:val="bottom"/>
          </w:tcPr>
          <w:p w14:paraId="74DE1F50" w14:textId="77777777" w:rsidR="00584EC1" w:rsidRDefault="00584EC1">
            <w:pPr>
              <w:rPr>
                <w:rFonts w:ascii="宋体"/>
              </w:rPr>
            </w:pPr>
          </w:p>
        </w:tc>
        <w:tc>
          <w:tcPr>
            <w:tcW w:w="0" w:type="auto"/>
            <w:shd w:val="clear" w:color="auto" w:fill="auto"/>
            <w:vAlign w:val="bottom"/>
          </w:tcPr>
          <w:p w14:paraId="74DE1F51" w14:textId="77777777" w:rsidR="00584EC1" w:rsidRDefault="00584EC1">
            <w:pPr>
              <w:rPr>
                <w:rFonts w:ascii="宋体"/>
              </w:rPr>
            </w:pPr>
          </w:p>
        </w:tc>
        <w:tc>
          <w:tcPr>
            <w:tcW w:w="0" w:type="auto"/>
            <w:shd w:val="clear" w:color="auto" w:fill="auto"/>
            <w:vAlign w:val="bottom"/>
          </w:tcPr>
          <w:p w14:paraId="74DE1F52" w14:textId="77777777" w:rsidR="00584EC1" w:rsidRDefault="00584EC1">
            <w:pPr>
              <w:rPr>
                <w:rFonts w:ascii="宋体"/>
              </w:rPr>
            </w:pPr>
          </w:p>
        </w:tc>
        <w:tc>
          <w:tcPr>
            <w:tcW w:w="0" w:type="auto"/>
            <w:shd w:val="clear" w:color="auto" w:fill="auto"/>
            <w:vAlign w:val="bottom"/>
          </w:tcPr>
          <w:p w14:paraId="74DE1F53" w14:textId="77777777" w:rsidR="00584EC1" w:rsidRDefault="00584EC1">
            <w:pPr>
              <w:rPr>
                <w:rFonts w:ascii="宋体"/>
              </w:rPr>
            </w:pPr>
          </w:p>
        </w:tc>
        <w:tc>
          <w:tcPr>
            <w:tcW w:w="0" w:type="auto"/>
            <w:shd w:val="clear" w:color="auto" w:fill="auto"/>
            <w:vAlign w:val="bottom"/>
          </w:tcPr>
          <w:p w14:paraId="74DE1F54" w14:textId="77777777" w:rsidR="00584EC1" w:rsidRDefault="00584EC1">
            <w:pPr>
              <w:rPr>
                <w:rFonts w:ascii="宋体"/>
              </w:rPr>
            </w:pPr>
          </w:p>
        </w:tc>
        <w:tc>
          <w:tcPr>
            <w:tcW w:w="0" w:type="auto"/>
            <w:shd w:val="clear" w:color="auto" w:fill="auto"/>
            <w:vAlign w:val="bottom"/>
          </w:tcPr>
          <w:p w14:paraId="74DE1F55" w14:textId="77777777" w:rsidR="00584EC1" w:rsidRDefault="00584EC1">
            <w:pPr>
              <w:rPr>
                <w:rFonts w:ascii="宋体"/>
              </w:rPr>
            </w:pPr>
          </w:p>
        </w:tc>
        <w:tc>
          <w:tcPr>
            <w:tcW w:w="0" w:type="auto"/>
            <w:shd w:val="clear" w:color="auto" w:fill="auto"/>
            <w:vAlign w:val="bottom"/>
          </w:tcPr>
          <w:p w14:paraId="74DE1F56" w14:textId="77777777" w:rsidR="00584EC1" w:rsidRDefault="00584EC1">
            <w:pPr>
              <w:rPr>
                <w:rFonts w:ascii="宋体"/>
              </w:rPr>
            </w:pPr>
          </w:p>
        </w:tc>
        <w:tc>
          <w:tcPr>
            <w:tcW w:w="0" w:type="auto"/>
            <w:shd w:val="clear" w:color="auto" w:fill="auto"/>
            <w:vAlign w:val="bottom"/>
          </w:tcPr>
          <w:p w14:paraId="74DE1F57" w14:textId="77777777" w:rsidR="00584EC1" w:rsidRDefault="00584EC1">
            <w:pPr>
              <w:rPr>
                <w:rFonts w:ascii="宋体"/>
              </w:rPr>
            </w:pPr>
          </w:p>
        </w:tc>
        <w:tc>
          <w:tcPr>
            <w:tcW w:w="0" w:type="auto"/>
            <w:shd w:val="clear" w:color="auto" w:fill="auto"/>
            <w:vAlign w:val="bottom"/>
          </w:tcPr>
          <w:p w14:paraId="74DE1F58" w14:textId="77777777" w:rsidR="00584EC1" w:rsidRDefault="00584EC1">
            <w:pPr>
              <w:rPr>
                <w:rFonts w:ascii="宋体"/>
              </w:rPr>
            </w:pPr>
          </w:p>
        </w:tc>
        <w:tc>
          <w:tcPr>
            <w:tcW w:w="0" w:type="auto"/>
            <w:shd w:val="clear" w:color="auto" w:fill="auto"/>
            <w:vAlign w:val="bottom"/>
          </w:tcPr>
          <w:p w14:paraId="74DE1F59" w14:textId="77777777" w:rsidR="00584EC1" w:rsidRDefault="00584EC1">
            <w:pPr>
              <w:rPr>
                <w:rFonts w:ascii="宋体"/>
              </w:rPr>
            </w:pPr>
          </w:p>
        </w:tc>
        <w:tc>
          <w:tcPr>
            <w:tcW w:w="0" w:type="auto"/>
            <w:shd w:val="clear" w:color="auto" w:fill="auto"/>
            <w:vAlign w:val="bottom"/>
          </w:tcPr>
          <w:p w14:paraId="74DE1F5A" w14:textId="77777777" w:rsidR="00584EC1" w:rsidRDefault="00584EC1">
            <w:pPr>
              <w:rPr>
                <w:rFonts w:ascii="宋体"/>
              </w:rPr>
            </w:pPr>
          </w:p>
        </w:tc>
        <w:tc>
          <w:tcPr>
            <w:tcW w:w="0" w:type="auto"/>
            <w:shd w:val="clear" w:color="auto" w:fill="auto"/>
            <w:vAlign w:val="bottom"/>
          </w:tcPr>
          <w:p w14:paraId="74DE1F5B" w14:textId="77777777" w:rsidR="00584EC1" w:rsidRDefault="00584EC1">
            <w:pPr>
              <w:rPr>
                <w:rFonts w:ascii="宋体"/>
              </w:rPr>
            </w:pPr>
          </w:p>
        </w:tc>
        <w:tc>
          <w:tcPr>
            <w:tcW w:w="0" w:type="auto"/>
            <w:shd w:val="clear" w:color="auto" w:fill="auto"/>
            <w:vAlign w:val="bottom"/>
          </w:tcPr>
          <w:p w14:paraId="74DE1F5C" w14:textId="77777777" w:rsidR="00584EC1" w:rsidRDefault="00584EC1">
            <w:pPr>
              <w:rPr>
                <w:rFonts w:ascii="宋体"/>
              </w:rPr>
            </w:pPr>
          </w:p>
        </w:tc>
        <w:tc>
          <w:tcPr>
            <w:tcW w:w="0" w:type="auto"/>
            <w:shd w:val="clear" w:color="auto" w:fill="auto"/>
            <w:vAlign w:val="bottom"/>
          </w:tcPr>
          <w:p w14:paraId="74DE1F5D" w14:textId="77777777" w:rsidR="00584EC1" w:rsidRDefault="00584EC1">
            <w:pPr>
              <w:rPr>
                <w:rFonts w:ascii="宋体"/>
              </w:rPr>
            </w:pPr>
          </w:p>
        </w:tc>
        <w:tc>
          <w:tcPr>
            <w:tcW w:w="0" w:type="auto"/>
            <w:shd w:val="clear" w:color="auto" w:fill="auto"/>
            <w:vAlign w:val="bottom"/>
          </w:tcPr>
          <w:p w14:paraId="74DE1F5E" w14:textId="77777777" w:rsidR="00584EC1" w:rsidRDefault="00584EC1">
            <w:pPr>
              <w:rPr>
                <w:rFonts w:ascii="宋体"/>
              </w:rPr>
            </w:pPr>
          </w:p>
        </w:tc>
        <w:tc>
          <w:tcPr>
            <w:tcW w:w="0" w:type="auto"/>
            <w:shd w:val="clear" w:color="auto" w:fill="auto"/>
            <w:vAlign w:val="bottom"/>
          </w:tcPr>
          <w:p w14:paraId="74DE1F5F" w14:textId="77777777" w:rsidR="00584EC1" w:rsidRDefault="00584EC1">
            <w:pPr>
              <w:rPr>
                <w:rFonts w:ascii="宋体"/>
              </w:rPr>
            </w:pPr>
          </w:p>
        </w:tc>
        <w:tc>
          <w:tcPr>
            <w:tcW w:w="0" w:type="auto"/>
            <w:shd w:val="clear" w:color="auto" w:fill="auto"/>
            <w:vAlign w:val="bottom"/>
          </w:tcPr>
          <w:p w14:paraId="74DE1F60" w14:textId="77777777" w:rsidR="00584EC1" w:rsidRDefault="00584EC1">
            <w:pPr>
              <w:rPr>
                <w:rFonts w:ascii="宋体"/>
              </w:rPr>
            </w:pPr>
          </w:p>
        </w:tc>
        <w:tc>
          <w:tcPr>
            <w:tcW w:w="0" w:type="auto"/>
            <w:shd w:val="clear" w:color="auto" w:fill="auto"/>
            <w:vAlign w:val="bottom"/>
          </w:tcPr>
          <w:p w14:paraId="74DE1F61" w14:textId="77777777" w:rsidR="00584EC1" w:rsidRDefault="00584EC1">
            <w:pPr>
              <w:rPr>
                <w:rFonts w:ascii="宋体"/>
              </w:rPr>
            </w:pPr>
          </w:p>
        </w:tc>
        <w:tc>
          <w:tcPr>
            <w:tcW w:w="0" w:type="auto"/>
            <w:shd w:val="clear" w:color="auto" w:fill="auto"/>
            <w:vAlign w:val="bottom"/>
          </w:tcPr>
          <w:p w14:paraId="74DE1F62" w14:textId="77777777" w:rsidR="00584EC1" w:rsidRDefault="00584EC1">
            <w:pPr>
              <w:rPr>
                <w:rFonts w:ascii="宋体"/>
              </w:rPr>
            </w:pPr>
          </w:p>
        </w:tc>
        <w:tc>
          <w:tcPr>
            <w:tcW w:w="0" w:type="auto"/>
            <w:shd w:val="clear" w:color="auto" w:fill="auto"/>
            <w:vAlign w:val="bottom"/>
          </w:tcPr>
          <w:p w14:paraId="74DE1F63" w14:textId="77777777" w:rsidR="00584EC1" w:rsidRDefault="00584EC1">
            <w:pPr>
              <w:rPr>
                <w:rFonts w:ascii="宋体"/>
              </w:rPr>
            </w:pPr>
          </w:p>
        </w:tc>
        <w:tc>
          <w:tcPr>
            <w:tcW w:w="0" w:type="auto"/>
            <w:shd w:val="clear" w:color="auto" w:fill="auto"/>
            <w:vAlign w:val="bottom"/>
          </w:tcPr>
          <w:p w14:paraId="74DE1F64" w14:textId="77777777" w:rsidR="00584EC1" w:rsidRDefault="00584EC1">
            <w:pPr>
              <w:rPr>
                <w:rFonts w:ascii="宋体"/>
              </w:rPr>
            </w:pPr>
          </w:p>
        </w:tc>
        <w:tc>
          <w:tcPr>
            <w:tcW w:w="0" w:type="auto"/>
            <w:shd w:val="clear" w:color="auto" w:fill="auto"/>
            <w:vAlign w:val="bottom"/>
          </w:tcPr>
          <w:p w14:paraId="74DE1F65" w14:textId="77777777" w:rsidR="00584EC1" w:rsidRDefault="00584EC1">
            <w:pPr>
              <w:rPr>
                <w:rFonts w:ascii="宋体"/>
              </w:rPr>
            </w:pPr>
          </w:p>
        </w:tc>
        <w:tc>
          <w:tcPr>
            <w:tcW w:w="0" w:type="auto"/>
            <w:shd w:val="clear" w:color="auto" w:fill="auto"/>
            <w:vAlign w:val="bottom"/>
          </w:tcPr>
          <w:p w14:paraId="74DE1F66" w14:textId="77777777" w:rsidR="00584EC1" w:rsidRDefault="00584EC1">
            <w:pPr>
              <w:rPr>
                <w:rFonts w:ascii="宋体"/>
              </w:rPr>
            </w:pPr>
          </w:p>
        </w:tc>
      </w:tr>
      <w:tr w:rsidR="00584EC1" w14:paraId="74DE1F94" w14:textId="77777777">
        <w:trPr>
          <w:hidden/>
        </w:trPr>
        <w:tc>
          <w:tcPr>
            <w:tcW w:w="0" w:type="auto"/>
            <w:gridSpan w:val="3"/>
            <w:shd w:val="clear" w:color="auto" w:fill="auto"/>
            <w:vAlign w:val="bottom"/>
          </w:tcPr>
          <w:p w14:paraId="74DE1F68" w14:textId="77777777" w:rsidR="00584EC1" w:rsidRDefault="00584EC1">
            <w:pPr>
              <w:rPr>
                <w:rFonts w:ascii="宋体"/>
                <w:vanish/>
              </w:rPr>
            </w:pPr>
          </w:p>
        </w:tc>
        <w:tc>
          <w:tcPr>
            <w:tcW w:w="0" w:type="auto"/>
            <w:gridSpan w:val="3"/>
            <w:shd w:val="clear" w:color="auto" w:fill="auto"/>
            <w:vAlign w:val="bottom"/>
          </w:tcPr>
          <w:p w14:paraId="74DE1F69" w14:textId="77777777" w:rsidR="00584EC1" w:rsidRDefault="00584EC1">
            <w:pPr>
              <w:rPr>
                <w:rFonts w:ascii="宋体"/>
                <w:vanish/>
              </w:rPr>
            </w:pPr>
          </w:p>
        </w:tc>
        <w:tc>
          <w:tcPr>
            <w:tcW w:w="0" w:type="auto"/>
            <w:gridSpan w:val="3"/>
            <w:shd w:val="clear" w:color="auto" w:fill="auto"/>
            <w:vAlign w:val="bottom"/>
          </w:tcPr>
          <w:p w14:paraId="74DE1F6A" w14:textId="77777777" w:rsidR="00584EC1" w:rsidRDefault="00584EC1">
            <w:pPr>
              <w:rPr>
                <w:rFonts w:ascii="宋体"/>
                <w:vanish/>
              </w:rPr>
            </w:pPr>
          </w:p>
        </w:tc>
        <w:tc>
          <w:tcPr>
            <w:tcW w:w="0" w:type="auto"/>
            <w:gridSpan w:val="3"/>
            <w:shd w:val="clear" w:color="auto" w:fill="auto"/>
            <w:vAlign w:val="bottom"/>
          </w:tcPr>
          <w:p w14:paraId="74DE1F6B" w14:textId="77777777" w:rsidR="00584EC1" w:rsidRDefault="00584EC1">
            <w:pPr>
              <w:rPr>
                <w:rFonts w:ascii="宋体"/>
                <w:vanish/>
              </w:rPr>
            </w:pPr>
          </w:p>
        </w:tc>
        <w:tc>
          <w:tcPr>
            <w:tcW w:w="0" w:type="auto"/>
            <w:gridSpan w:val="3"/>
            <w:shd w:val="clear" w:color="auto" w:fill="auto"/>
            <w:vAlign w:val="bottom"/>
          </w:tcPr>
          <w:p w14:paraId="74DE1F6C" w14:textId="77777777" w:rsidR="00584EC1" w:rsidRDefault="00584EC1">
            <w:pPr>
              <w:rPr>
                <w:rFonts w:ascii="宋体"/>
                <w:vanish/>
              </w:rPr>
            </w:pPr>
          </w:p>
        </w:tc>
        <w:tc>
          <w:tcPr>
            <w:tcW w:w="0" w:type="auto"/>
            <w:gridSpan w:val="3"/>
            <w:shd w:val="clear" w:color="auto" w:fill="auto"/>
            <w:vAlign w:val="bottom"/>
          </w:tcPr>
          <w:p w14:paraId="74DE1F6D" w14:textId="77777777" w:rsidR="00584EC1" w:rsidRDefault="00584EC1">
            <w:pPr>
              <w:rPr>
                <w:rFonts w:ascii="宋体"/>
                <w:vanish/>
              </w:rPr>
            </w:pPr>
          </w:p>
        </w:tc>
        <w:tc>
          <w:tcPr>
            <w:tcW w:w="0" w:type="auto"/>
            <w:gridSpan w:val="3"/>
            <w:shd w:val="clear" w:color="auto" w:fill="auto"/>
            <w:vAlign w:val="bottom"/>
          </w:tcPr>
          <w:p w14:paraId="74DE1F6E" w14:textId="77777777" w:rsidR="00584EC1" w:rsidRDefault="00584EC1">
            <w:pPr>
              <w:rPr>
                <w:rFonts w:ascii="宋体"/>
                <w:vanish/>
              </w:rPr>
            </w:pPr>
          </w:p>
        </w:tc>
        <w:tc>
          <w:tcPr>
            <w:tcW w:w="0" w:type="auto"/>
            <w:gridSpan w:val="3"/>
            <w:shd w:val="clear" w:color="auto" w:fill="auto"/>
            <w:vAlign w:val="bottom"/>
          </w:tcPr>
          <w:p w14:paraId="74DE1F6F" w14:textId="77777777" w:rsidR="00584EC1" w:rsidRDefault="00584EC1">
            <w:pPr>
              <w:rPr>
                <w:rFonts w:ascii="宋体"/>
                <w:vanish/>
              </w:rPr>
            </w:pPr>
          </w:p>
        </w:tc>
        <w:tc>
          <w:tcPr>
            <w:tcW w:w="0" w:type="auto"/>
            <w:shd w:val="clear" w:color="auto" w:fill="auto"/>
            <w:vAlign w:val="bottom"/>
          </w:tcPr>
          <w:p w14:paraId="74DE1F70" w14:textId="77777777" w:rsidR="00584EC1" w:rsidRDefault="00584EC1">
            <w:pPr>
              <w:rPr>
                <w:rFonts w:ascii="宋体"/>
              </w:rPr>
            </w:pPr>
          </w:p>
        </w:tc>
        <w:tc>
          <w:tcPr>
            <w:tcW w:w="0" w:type="auto"/>
            <w:shd w:val="clear" w:color="auto" w:fill="auto"/>
            <w:vAlign w:val="bottom"/>
          </w:tcPr>
          <w:p w14:paraId="74DE1F71" w14:textId="77777777" w:rsidR="00584EC1" w:rsidRDefault="00584EC1">
            <w:pPr>
              <w:rPr>
                <w:rFonts w:ascii="宋体"/>
              </w:rPr>
            </w:pPr>
          </w:p>
        </w:tc>
        <w:tc>
          <w:tcPr>
            <w:tcW w:w="0" w:type="auto"/>
            <w:shd w:val="clear" w:color="auto" w:fill="auto"/>
            <w:vAlign w:val="bottom"/>
          </w:tcPr>
          <w:p w14:paraId="74DE1F72" w14:textId="77777777" w:rsidR="00584EC1" w:rsidRDefault="00584EC1">
            <w:pPr>
              <w:rPr>
                <w:rFonts w:ascii="宋体"/>
              </w:rPr>
            </w:pPr>
          </w:p>
        </w:tc>
        <w:tc>
          <w:tcPr>
            <w:tcW w:w="0" w:type="auto"/>
            <w:shd w:val="clear" w:color="auto" w:fill="auto"/>
            <w:vAlign w:val="bottom"/>
          </w:tcPr>
          <w:p w14:paraId="74DE1F73" w14:textId="77777777" w:rsidR="00584EC1" w:rsidRDefault="00584EC1">
            <w:pPr>
              <w:rPr>
                <w:rFonts w:ascii="宋体"/>
              </w:rPr>
            </w:pPr>
          </w:p>
        </w:tc>
        <w:tc>
          <w:tcPr>
            <w:tcW w:w="0" w:type="auto"/>
            <w:shd w:val="clear" w:color="auto" w:fill="auto"/>
            <w:vAlign w:val="bottom"/>
          </w:tcPr>
          <w:p w14:paraId="74DE1F74" w14:textId="77777777" w:rsidR="00584EC1" w:rsidRDefault="00584EC1">
            <w:pPr>
              <w:rPr>
                <w:rFonts w:ascii="宋体"/>
              </w:rPr>
            </w:pPr>
          </w:p>
        </w:tc>
        <w:tc>
          <w:tcPr>
            <w:tcW w:w="0" w:type="auto"/>
            <w:shd w:val="clear" w:color="auto" w:fill="auto"/>
            <w:vAlign w:val="bottom"/>
          </w:tcPr>
          <w:p w14:paraId="74DE1F75" w14:textId="77777777" w:rsidR="00584EC1" w:rsidRDefault="00584EC1">
            <w:pPr>
              <w:rPr>
                <w:rFonts w:ascii="宋体"/>
              </w:rPr>
            </w:pPr>
          </w:p>
        </w:tc>
        <w:tc>
          <w:tcPr>
            <w:tcW w:w="0" w:type="auto"/>
            <w:shd w:val="clear" w:color="auto" w:fill="auto"/>
            <w:vAlign w:val="bottom"/>
          </w:tcPr>
          <w:p w14:paraId="74DE1F76" w14:textId="77777777" w:rsidR="00584EC1" w:rsidRDefault="00584EC1">
            <w:pPr>
              <w:rPr>
                <w:rFonts w:ascii="宋体"/>
              </w:rPr>
            </w:pPr>
          </w:p>
        </w:tc>
        <w:tc>
          <w:tcPr>
            <w:tcW w:w="0" w:type="auto"/>
            <w:shd w:val="clear" w:color="auto" w:fill="auto"/>
            <w:vAlign w:val="bottom"/>
          </w:tcPr>
          <w:p w14:paraId="74DE1F77" w14:textId="77777777" w:rsidR="00584EC1" w:rsidRDefault="00584EC1">
            <w:pPr>
              <w:rPr>
                <w:rFonts w:ascii="宋体"/>
              </w:rPr>
            </w:pPr>
          </w:p>
        </w:tc>
        <w:tc>
          <w:tcPr>
            <w:tcW w:w="0" w:type="auto"/>
            <w:shd w:val="clear" w:color="auto" w:fill="auto"/>
            <w:vAlign w:val="bottom"/>
          </w:tcPr>
          <w:p w14:paraId="74DE1F78" w14:textId="77777777" w:rsidR="00584EC1" w:rsidRDefault="00584EC1">
            <w:pPr>
              <w:rPr>
                <w:rFonts w:ascii="宋体"/>
              </w:rPr>
            </w:pPr>
          </w:p>
        </w:tc>
        <w:tc>
          <w:tcPr>
            <w:tcW w:w="0" w:type="auto"/>
            <w:shd w:val="clear" w:color="auto" w:fill="auto"/>
            <w:vAlign w:val="bottom"/>
          </w:tcPr>
          <w:p w14:paraId="74DE1F79" w14:textId="77777777" w:rsidR="00584EC1" w:rsidRDefault="00584EC1">
            <w:pPr>
              <w:rPr>
                <w:rFonts w:ascii="宋体"/>
              </w:rPr>
            </w:pPr>
          </w:p>
        </w:tc>
        <w:tc>
          <w:tcPr>
            <w:tcW w:w="0" w:type="auto"/>
            <w:shd w:val="clear" w:color="auto" w:fill="auto"/>
            <w:vAlign w:val="bottom"/>
          </w:tcPr>
          <w:p w14:paraId="74DE1F7A" w14:textId="77777777" w:rsidR="00584EC1" w:rsidRDefault="00584EC1">
            <w:pPr>
              <w:rPr>
                <w:rFonts w:ascii="宋体"/>
              </w:rPr>
            </w:pPr>
          </w:p>
        </w:tc>
        <w:tc>
          <w:tcPr>
            <w:tcW w:w="0" w:type="auto"/>
            <w:shd w:val="clear" w:color="auto" w:fill="auto"/>
            <w:vAlign w:val="bottom"/>
          </w:tcPr>
          <w:p w14:paraId="74DE1F7B" w14:textId="77777777" w:rsidR="00584EC1" w:rsidRDefault="00584EC1">
            <w:pPr>
              <w:rPr>
                <w:rFonts w:ascii="宋体"/>
              </w:rPr>
            </w:pPr>
          </w:p>
        </w:tc>
        <w:tc>
          <w:tcPr>
            <w:tcW w:w="0" w:type="auto"/>
            <w:shd w:val="clear" w:color="auto" w:fill="auto"/>
            <w:vAlign w:val="bottom"/>
          </w:tcPr>
          <w:p w14:paraId="74DE1F7C" w14:textId="77777777" w:rsidR="00584EC1" w:rsidRDefault="00584EC1">
            <w:pPr>
              <w:rPr>
                <w:rFonts w:ascii="宋体"/>
              </w:rPr>
            </w:pPr>
          </w:p>
        </w:tc>
        <w:tc>
          <w:tcPr>
            <w:tcW w:w="0" w:type="auto"/>
            <w:shd w:val="clear" w:color="auto" w:fill="auto"/>
            <w:vAlign w:val="bottom"/>
          </w:tcPr>
          <w:p w14:paraId="74DE1F7D" w14:textId="77777777" w:rsidR="00584EC1" w:rsidRDefault="00584EC1">
            <w:pPr>
              <w:rPr>
                <w:rFonts w:ascii="宋体"/>
              </w:rPr>
            </w:pPr>
          </w:p>
        </w:tc>
        <w:tc>
          <w:tcPr>
            <w:tcW w:w="0" w:type="auto"/>
            <w:shd w:val="clear" w:color="auto" w:fill="auto"/>
            <w:vAlign w:val="bottom"/>
          </w:tcPr>
          <w:p w14:paraId="74DE1F7E" w14:textId="77777777" w:rsidR="00584EC1" w:rsidRDefault="00584EC1">
            <w:pPr>
              <w:rPr>
                <w:rFonts w:ascii="宋体"/>
              </w:rPr>
            </w:pPr>
          </w:p>
        </w:tc>
        <w:tc>
          <w:tcPr>
            <w:tcW w:w="0" w:type="auto"/>
            <w:shd w:val="clear" w:color="auto" w:fill="auto"/>
            <w:vAlign w:val="bottom"/>
          </w:tcPr>
          <w:p w14:paraId="74DE1F7F" w14:textId="77777777" w:rsidR="00584EC1" w:rsidRDefault="00584EC1">
            <w:pPr>
              <w:rPr>
                <w:rFonts w:ascii="宋体"/>
              </w:rPr>
            </w:pPr>
          </w:p>
        </w:tc>
        <w:tc>
          <w:tcPr>
            <w:tcW w:w="0" w:type="auto"/>
            <w:shd w:val="clear" w:color="auto" w:fill="auto"/>
            <w:vAlign w:val="bottom"/>
          </w:tcPr>
          <w:p w14:paraId="74DE1F80" w14:textId="77777777" w:rsidR="00584EC1" w:rsidRDefault="00584EC1">
            <w:pPr>
              <w:rPr>
                <w:rFonts w:ascii="宋体"/>
              </w:rPr>
            </w:pPr>
          </w:p>
        </w:tc>
        <w:tc>
          <w:tcPr>
            <w:tcW w:w="0" w:type="auto"/>
            <w:shd w:val="clear" w:color="auto" w:fill="auto"/>
            <w:vAlign w:val="bottom"/>
          </w:tcPr>
          <w:p w14:paraId="74DE1F81" w14:textId="77777777" w:rsidR="00584EC1" w:rsidRDefault="00584EC1">
            <w:pPr>
              <w:rPr>
                <w:rFonts w:ascii="宋体"/>
              </w:rPr>
            </w:pPr>
          </w:p>
        </w:tc>
        <w:tc>
          <w:tcPr>
            <w:tcW w:w="0" w:type="auto"/>
            <w:shd w:val="clear" w:color="auto" w:fill="auto"/>
            <w:vAlign w:val="bottom"/>
          </w:tcPr>
          <w:p w14:paraId="74DE1F82" w14:textId="77777777" w:rsidR="00584EC1" w:rsidRDefault="00584EC1">
            <w:pPr>
              <w:rPr>
                <w:rFonts w:ascii="宋体"/>
              </w:rPr>
            </w:pPr>
          </w:p>
        </w:tc>
        <w:tc>
          <w:tcPr>
            <w:tcW w:w="0" w:type="auto"/>
            <w:shd w:val="clear" w:color="auto" w:fill="auto"/>
            <w:vAlign w:val="bottom"/>
          </w:tcPr>
          <w:p w14:paraId="74DE1F83" w14:textId="77777777" w:rsidR="00584EC1" w:rsidRDefault="00584EC1">
            <w:pPr>
              <w:rPr>
                <w:rFonts w:ascii="宋体"/>
              </w:rPr>
            </w:pPr>
          </w:p>
        </w:tc>
        <w:tc>
          <w:tcPr>
            <w:tcW w:w="0" w:type="auto"/>
            <w:shd w:val="clear" w:color="auto" w:fill="auto"/>
            <w:vAlign w:val="bottom"/>
          </w:tcPr>
          <w:p w14:paraId="74DE1F84" w14:textId="77777777" w:rsidR="00584EC1" w:rsidRDefault="00584EC1">
            <w:pPr>
              <w:rPr>
                <w:rFonts w:ascii="宋体"/>
              </w:rPr>
            </w:pPr>
          </w:p>
        </w:tc>
        <w:tc>
          <w:tcPr>
            <w:tcW w:w="0" w:type="auto"/>
            <w:shd w:val="clear" w:color="auto" w:fill="auto"/>
            <w:vAlign w:val="bottom"/>
          </w:tcPr>
          <w:p w14:paraId="74DE1F85" w14:textId="77777777" w:rsidR="00584EC1" w:rsidRDefault="00584EC1">
            <w:pPr>
              <w:rPr>
                <w:rFonts w:ascii="宋体"/>
              </w:rPr>
            </w:pPr>
          </w:p>
        </w:tc>
        <w:tc>
          <w:tcPr>
            <w:tcW w:w="0" w:type="auto"/>
            <w:shd w:val="clear" w:color="auto" w:fill="auto"/>
            <w:vAlign w:val="bottom"/>
          </w:tcPr>
          <w:p w14:paraId="74DE1F86" w14:textId="77777777" w:rsidR="00584EC1" w:rsidRDefault="00584EC1">
            <w:pPr>
              <w:rPr>
                <w:rFonts w:ascii="宋体"/>
              </w:rPr>
            </w:pPr>
          </w:p>
        </w:tc>
        <w:tc>
          <w:tcPr>
            <w:tcW w:w="0" w:type="auto"/>
            <w:shd w:val="clear" w:color="auto" w:fill="auto"/>
            <w:vAlign w:val="bottom"/>
          </w:tcPr>
          <w:p w14:paraId="74DE1F87" w14:textId="77777777" w:rsidR="00584EC1" w:rsidRDefault="00584EC1">
            <w:pPr>
              <w:rPr>
                <w:rFonts w:ascii="宋体"/>
              </w:rPr>
            </w:pPr>
          </w:p>
        </w:tc>
        <w:tc>
          <w:tcPr>
            <w:tcW w:w="0" w:type="auto"/>
            <w:shd w:val="clear" w:color="auto" w:fill="auto"/>
            <w:vAlign w:val="bottom"/>
          </w:tcPr>
          <w:p w14:paraId="74DE1F88" w14:textId="77777777" w:rsidR="00584EC1" w:rsidRDefault="00584EC1">
            <w:pPr>
              <w:rPr>
                <w:rFonts w:ascii="宋体"/>
              </w:rPr>
            </w:pPr>
          </w:p>
        </w:tc>
        <w:tc>
          <w:tcPr>
            <w:tcW w:w="0" w:type="auto"/>
            <w:shd w:val="clear" w:color="auto" w:fill="auto"/>
            <w:vAlign w:val="bottom"/>
          </w:tcPr>
          <w:p w14:paraId="74DE1F89" w14:textId="77777777" w:rsidR="00584EC1" w:rsidRDefault="00584EC1">
            <w:pPr>
              <w:rPr>
                <w:rFonts w:ascii="宋体"/>
              </w:rPr>
            </w:pPr>
          </w:p>
        </w:tc>
        <w:tc>
          <w:tcPr>
            <w:tcW w:w="0" w:type="auto"/>
            <w:shd w:val="clear" w:color="auto" w:fill="auto"/>
            <w:vAlign w:val="bottom"/>
          </w:tcPr>
          <w:p w14:paraId="74DE1F8A" w14:textId="77777777" w:rsidR="00584EC1" w:rsidRDefault="00584EC1">
            <w:pPr>
              <w:rPr>
                <w:rFonts w:ascii="宋体"/>
              </w:rPr>
            </w:pPr>
          </w:p>
        </w:tc>
        <w:tc>
          <w:tcPr>
            <w:tcW w:w="0" w:type="auto"/>
            <w:shd w:val="clear" w:color="auto" w:fill="auto"/>
            <w:vAlign w:val="bottom"/>
          </w:tcPr>
          <w:p w14:paraId="74DE1F8B" w14:textId="77777777" w:rsidR="00584EC1" w:rsidRDefault="00584EC1">
            <w:pPr>
              <w:rPr>
                <w:rFonts w:ascii="宋体"/>
              </w:rPr>
            </w:pPr>
          </w:p>
        </w:tc>
        <w:tc>
          <w:tcPr>
            <w:tcW w:w="0" w:type="auto"/>
            <w:shd w:val="clear" w:color="auto" w:fill="auto"/>
            <w:vAlign w:val="bottom"/>
          </w:tcPr>
          <w:p w14:paraId="74DE1F8C" w14:textId="77777777" w:rsidR="00584EC1" w:rsidRDefault="00584EC1">
            <w:pPr>
              <w:rPr>
                <w:rFonts w:ascii="宋体"/>
              </w:rPr>
            </w:pPr>
          </w:p>
        </w:tc>
        <w:tc>
          <w:tcPr>
            <w:tcW w:w="0" w:type="auto"/>
            <w:shd w:val="clear" w:color="auto" w:fill="auto"/>
            <w:vAlign w:val="bottom"/>
          </w:tcPr>
          <w:p w14:paraId="74DE1F8D" w14:textId="77777777" w:rsidR="00584EC1" w:rsidRDefault="00584EC1">
            <w:pPr>
              <w:rPr>
                <w:rFonts w:ascii="宋体"/>
              </w:rPr>
            </w:pPr>
          </w:p>
        </w:tc>
        <w:tc>
          <w:tcPr>
            <w:tcW w:w="0" w:type="auto"/>
            <w:shd w:val="clear" w:color="auto" w:fill="auto"/>
            <w:vAlign w:val="bottom"/>
          </w:tcPr>
          <w:p w14:paraId="74DE1F8E" w14:textId="77777777" w:rsidR="00584EC1" w:rsidRDefault="00584EC1">
            <w:pPr>
              <w:rPr>
                <w:rFonts w:ascii="宋体"/>
              </w:rPr>
            </w:pPr>
          </w:p>
        </w:tc>
        <w:tc>
          <w:tcPr>
            <w:tcW w:w="0" w:type="auto"/>
            <w:shd w:val="clear" w:color="auto" w:fill="auto"/>
            <w:vAlign w:val="bottom"/>
          </w:tcPr>
          <w:p w14:paraId="74DE1F8F" w14:textId="77777777" w:rsidR="00584EC1" w:rsidRDefault="00584EC1">
            <w:pPr>
              <w:rPr>
                <w:rFonts w:ascii="宋体"/>
              </w:rPr>
            </w:pPr>
          </w:p>
        </w:tc>
        <w:tc>
          <w:tcPr>
            <w:tcW w:w="0" w:type="auto"/>
            <w:shd w:val="clear" w:color="auto" w:fill="auto"/>
            <w:vAlign w:val="bottom"/>
          </w:tcPr>
          <w:p w14:paraId="74DE1F90" w14:textId="77777777" w:rsidR="00584EC1" w:rsidRDefault="00584EC1">
            <w:pPr>
              <w:rPr>
                <w:rFonts w:ascii="宋体"/>
              </w:rPr>
            </w:pPr>
          </w:p>
        </w:tc>
        <w:tc>
          <w:tcPr>
            <w:tcW w:w="0" w:type="auto"/>
            <w:shd w:val="clear" w:color="auto" w:fill="auto"/>
            <w:vAlign w:val="bottom"/>
          </w:tcPr>
          <w:p w14:paraId="74DE1F91" w14:textId="77777777" w:rsidR="00584EC1" w:rsidRDefault="00584EC1">
            <w:pPr>
              <w:rPr>
                <w:rFonts w:ascii="宋体"/>
              </w:rPr>
            </w:pPr>
          </w:p>
        </w:tc>
        <w:tc>
          <w:tcPr>
            <w:tcW w:w="0" w:type="auto"/>
            <w:shd w:val="clear" w:color="auto" w:fill="auto"/>
            <w:vAlign w:val="bottom"/>
          </w:tcPr>
          <w:p w14:paraId="74DE1F92" w14:textId="77777777" w:rsidR="00584EC1" w:rsidRDefault="00584EC1">
            <w:pPr>
              <w:rPr>
                <w:rFonts w:ascii="宋体"/>
              </w:rPr>
            </w:pPr>
          </w:p>
        </w:tc>
        <w:tc>
          <w:tcPr>
            <w:tcW w:w="0" w:type="auto"/>
            <w:shd w:val="clear" w:color="auto" w:fill="auto"/>
            <w:vAlign w:val="bottom"/>
          </w:tcPr>
          <w:p w14:paraId="74DE1F93" w14:textId="77777777" w:rsidR="00584EC1" w:rsidRDefault="00584EC1">
            <w:pPr>
              <w:rPr>
                <w:rFonts w:ascii="宋体"/>
              </w:rPr>
            </w:pPr>
          </w:p>
        </w:tc>
      </w:tr>
      <w:tr w:rsidR="00584EC1" w14:paraId="74DE1FA9" w14:textId="77777777">
        <w:trPr>
          <w:hidden/>
        </w:trPr>
        <w:tc>
          <w:tcPr>
            <w:tcW w:w="0" w:type="auto"/>
            <w:gridSpan w:val="3"/>
            <w:shd w:val="clear" w:color="auto" w:fill="auto"/>
            <w:vAlign w:val="bottom"/>
          </w:tcPr>
          <w:p w14:paraId="74DE1F95" w14:textId="77777777" w:rsidR="00584EC1" w:rsidRDefault="00584EC1">
            <w:pPr>
              <w:rPr>
                <w:rFonts w:ascii="宋体"/>
                <w:vanish/>
              </w:rPr>
            </w:pPr>
          </w:p>
        </w:tc>
        <w:tc>
          <w:tcPr>
            <w:tcW w:w="0" w:type="auto"/>
            <w:gridSpan w:val="3"/>
            <w:shd w:val="clear" w:color="auto" w:fill="auto"/>
            <w:vAlign w:val="bottom"/>
          </w:tcPr>
          <w:p w14:paraId="74DE1F96" w14:textId="77777777" w:rsidR="00584EC1" w:rsidRDefault="00584EC1">
            <w:pPr>
              <w:rPr>
                <w:rFonts w:ascii="宋体"/>
                <w:vanish/>
              </w:rPr>
            </w:pPr>
          </w:p>
        </w:tc>
        <w:tc>
          <w:tcPr>
            <w:tcW w:w="0" w:type="auto"/>
            <w:gridSpan w:val="3"/>
            <w:shd w:val="clear" w:color="auto" w:fill="auto"/>
            <w:vAlign w:val="bottom"/>
          </w:tcPr>
          <w:p w14:paraId="74DE1F97" w14:textId="77777777" w:rsidR="00584EC1" w:rsidRDefault="00584EC1">
            <w:pPr>
              <w:rPr>
                <w:rFonts w:ascii="宋体"/>
                <w:vanish/>
              </w:rPr>
            </w:pPr>
          </w:p>
        </w:tc>
        <w:tc>
          <w:tcPr>
            <w:tcW w:w="0" w:type="auto"/>
            <w:gridSpan w:val="3"/>
            <w:shd w:val="clear" w:color="auto" w:fill="auto"/>
            <w:vAlign w:val="bottom"/>
          </w:tcPr>
          <w:p w14:paraId="74DE1F98" w14:textId="77777777" w:rsidR="00584EC1" w:rsidRDefault="00584EC1">
            <w:pPr>
              <w:rPr>
                <w:rFonts w:ascii="宋体"/>
                <w:vanish/>
              </w:rPr>
            </w:pPr>
          </w:p>
        </w:tc>
        <w:tc>
          <w:tcPr>
            <w:tcW w:w="0" w:type="auto"/>
            <w:gridSpan w:val="3"/>
            <w:shd w:val="clear" w:color="auto" w:fill="auto"/>
            <w:vAlign w:val="bottom"/>
          </w:tcPr>
          <w:p w14:paraId="74DE1F99" w14:textId="77777777" w:rsidR="00584EC1" w:rsidRDefault="00584EC1">
            <w:pPr>
              <w:rPr>
                <w:rFonts w:ascii="宋体"/>
                <w:vanish/>
              </w:rPr>
            </w:pPr>
          </w:p>
        </w:tc>
        <w:tc>
          <w:tcPr>
            <w:tcW w:w="0" w:type="auto"/>
            <w:gridSpan w:val="3"/>
            <w:shd w:val="clear" w:color="auto" w:fill="auto"/>
            <w:vAlign w:val="bottom"/>
          </w:tcPr>
          <w:p w14:paraId="74DE1F9A" w14:textId="77777777" w:rsidR="00584EC1" w:rsidRDefault="00584EC1">
            <w:pPr>
              <w:rPr>
                <w:rFonts w:ascii="宋体"/>
                <w:vanish/>
              </w:rPr>
            </w:pPr>
          </w:p>
        </w:tc>
        <w:tc>
          <w:tcPr>
            <w:tcW w:w="0" w:type="auto"/>
            <w:gridSpan w:val="3"/>
            <w:shd w:val="clear" w:color="auto" w:fill="auto"/>
            <w:vAlign w:val="bottom"/>
          </w:tcPr>
          <w:p w14:paraId="74DE1F9B" w14:textId="77777777" w:rsidR="00584EC1" w:rsidRDefault="00584EC1">
            <w:pPr>
              <w:rPr>
                <w:rFonts w:ascii="宋体"/>
                <w:vanish/>
              </w:rPr>
            </w:pPr>
          </w:p>
        </w:tc>
        <w:tc>
          <w:tcPr>
            <w:tcW w:w="0" w:type="auto"/>
            <w:gridSpan w:val="3"/>
            <w:shd w:val="clear" w:color="auto" w:fill="auto"/>
            <w:vAlign w:val="bottom"/>
          </w:tcPr>
          <w:p w14:paraId="74DE1F9C" w14:textId="77777777" w:rsidR="00584EC1" w:rsidRDefault="00584EC1">
            <w:pPr>
              <w:rPr>
                <w:rFonts w:ascii="宋体"/>
                <w:vanish/>
              </w:rPr>
            </w:pPr>
          </w:p>
        </w:tc>
        <w:tc>
          <w:tcPr>
            <w:tcW w:w="0" w:type="auto"/>
            <w:gridSpan w:val="3"/>
            <w:shd w:val="clear" w:color="auto" w:fill="auto"/>
            <w:vAlign w:val="bottom"/>
          </w:tcPr>
          <w:p w14:paraId="74DE1F9D" w14:textId="77777777" w:rsidR="00584EC1" w:rsidRDefault="00584EC1">
            <w:pPr>
              <w:rPr>
                <w:rFonts w:ascii="宋体"/>
                <w:vanish/>
              </w:rPr>
            </w:pPr>
          </w:p>
        </w:tc>
        <w:tc>
          <w:tcPr>
            <w:tcW w:w="0" w:type="auto"/>
            <w:gridSpan w:val="3"/>
            <w:shd w:val="clear" w:color="auto" w:fill="auto"/>
            <w:vAlign w:val="bottom"/>
          </w:tcPr>
          <w:p w14:paraId="74DE1F9E" w14:textId="77777777" w:rsidR="00584EC1" w:rsidRDefault="00584EC1">
            <w:pPr>
              <w:rPr>
                <w:rFonts w:ascii="宋体"/>
                <w:vanish/>
              </w:rPr>
            </w:pPr>
          </w:p>
        </w:tc>
        <w:tc>
          <w:tcPr>
            <w:tcW w:w="0" w:type="auto"/>
            <w:gridSpan w:val="3"/>
            <w:shd w:val="clear" w:color="auto" w:fill="auto"/>
            <w:vAlign w:val="bottom"/>
          </w:tcPr>
          <w:p w14:paraId="74DE1F9F" w14:textId="77777777" w:rsidR="00584EC1" w:rsidRDefault="00584EC1">
            <w:pPr>
              <w:rPr>
                <w:rFonts w:ascii="宋体"/>
                <w:vanish/>
              </w:rPr>
            </w:pPr>
          </w:p>
        </w:tc>
        <w:tc>
          <w:tcPr>
            <w:tcW w:w="0" w:type="auto"/>
            <w:gridSpan w:val="3"/>
            <w:shd w:val="clear" w:color="auto" w:fill="auto"/>
            <w:vAlign w:val="bottom"/>
          </w:tcPr>
          <w:p w14:paraId="74DE1FA0" w14:textId="77777777" w:rsidR="00584EC1" w:rsidRDefault="00584EC1">
            <w:pPr>
              <w:rPr>
                <w:rFonts w:ascii="宋体"/>
                <w:vanish/>
              </w:rPr>
            </w:pPr>
          </w:p>
        </w:tc>
        <w:tc>
          <w:tcPr>
            <w:tcW w:w="0" w:type="auto"/>
            <w:gridSpan w:val="3"/>
            <w:shd w:val="clear" w:color="auto" w:fill="auto"/>
            <w:vAlign w:val="bottom"/>
          </w:tcPr>
          <w:p w14:paraId="74DE1FA1" w14:textId="77777777" w:rsidR="00584EC1" w:rsidRDefault="00584EC1">
            <w:pPr>
              <w:rPr>
                <w:rFonts w:ascii="宋体"/>
                <w:vanish/>
              </w:rPr>
            </w:pPr>
          </w:p>
        </w:tc>
        <w:tc>
          <w:tcPr>
            <w:tcW w:w="0" w:type="auto"/>
            <w:gridSpan w:val="3"/>
            <w:shd w:val="clear" w:color="auto" w:fill="auto"/>
            <w:vAlign w:val="bottom"/>
          </w:tcPr>
          <w:p w14:paraId="74DE1FA2" w14:textId="77777777" w:rsidR="00584EC1" w:rsidRDefault="00584EC1">
            <w:pPr>
              <w:rPr>
                <w:rFonts w:ascii="宋体"/>
                <w:vanish/>
              </w:rPr>
            </w:pPr>
          </w:p>
        </w:tc>
        <w:tc>
          <w:tcPr>
            <w:tcW w:w="0" w:type="auto"/>
            <w:gridSpan w:val="3"/>
            <w:shd w:val="clear" w:color="auto" w:fill="auto"/>
            <w:vAlign w:val="bottom"/>
          </w:tcPr>
          <w:p w14:paraId="74DE1FA3" w14:textId="77777777" w:rsidR="00584EC1" w:rsidRDefault="00584EC1">
            <w:pPr>
              <w:rPr>
                <w:rFonts w:ascii="宋体"/>
                <w:vanish/>
              </w:rPr>
            </w:pPr>
          </w:p>
        </w:tc>
        <w:tc>
          <w:tcPr>
            <w:tcW w:w="0" w:type="auto"/>
            <w:gridSpan w:val="3"/>
            <w:shd w:val="clear" w:color="auto" w:fill="auto"/>
            <w:vAlign w:val="bottom"/>
          </w:tcPr>
          <w:p w14:paraId="74DE1FA4" w14:textId="77777777" w:rsidR="00584EC1" w:rsidRDefault="00584EC1">
            <w:pPr>
              <w:rPr>
                <w:rFonts w:ascii="宋体"/>
                <w:vanish/>
              </w:rPr>
            </w:pPr>
          </w:p>
        </w:tc>
        <w:tc>
          <w:tcPr>
            <w:tcW w:w="0" w:type="auto"/>
            <w:gridSpan w:val="3"/>
            <w:shd w:val="clear" w:color="auto" w:fill="auto"/>
            <w:vAlign w:val="bottom"/>
          </w:tcPr>
          <w:p w14:paraId="74DE1FA5" w14:textId="77777777" w:rsidR="00584EC1" w:rsidRDefault="00584EC1">
            <w:pPr>
              <w:rPr>
                <w:rFonts w:ascii="宋体"/>
                <w:vanish/>
              </w:rPr>
            </w:pPr>
          </w:p>
        </w:tc>
        <w:tc>
          <w:tcPr>
            <w:tcW w:w="0" w:type="auto"/>
            <w:gridSpan w:val="3"/>
            <w:shd w:val="clear" w:color="auto" w:fill="auto"/>
            <w:vAlign w:val="bottom"/>
          </w:tcPr>
          <w:p w14:paraId="74DE1FA6" w14:textId="77777777" w:rsidR="00584EC1" w:rsidRDefault="00584EC1">
            <w:pPr>
              <w:rPr>
                <w:rFonts w:ascii="宋体"/>
                <w:vanish/>
              </w:rPr>
            </w:pPr>
          </w:p>
        </w:tc>
        <w:tc>
          <w:tcPr>
            <w:tcW w:w="0" w:type="auto"/>
            <w:gridSpan w:val="3"/>
            <w:shd w:val="clear" w:color="auto" w:fill="auto"/>
            <w:vAlign w:val="bottom"/>
          </w:tcPr>
          <w:p w14:paraId="74DE1FA7" w14:textId="77777777" w:rsidR="00584EC1" w:rsidRDefault="00584EC1">
            <w:pPr>
              <w:rPr>
                <w:rFonts w:ascii="宋体"/>
                <w:vanish/>
              </w:rPr>
            </w:pPr>
          </w:p>
        </w:tc>
        <w:tc>
          <w:tcPr>
            <w:tcW w:w="0" w:type="auto"/>
            <w:gridSpan w:val="3"/>
            <w:shd w:val="clear" w:color="auto" w:fill="auto"/>
            <w:vAlign w:val="bottom"/>
          </w:tcPr>
          <w:p w14:paraId="74DE1FA8" w14:textId="77777777" w:rsidR="00584EC1" w:rsidRDefault="00584EC1">
            <w:pPr>
              <w:rPr>
                <w:rFonts w:ascii="宋体"/>
                <w:vanish/>
              </w:rPr>
            </w:pPr>
          </w:p>
        </w:tc>
      </w:tr>
      <w:tr w:rsidR="00584EC1" w14:paraId="74DE1FBE" w14:textId="77777777">
        <w:trPr>
          <w:hidden/>
        </w:trPr>
        <w:tc>
          <w:tcPr>
            <w:tcW w:w="0" w:type="auto"/>
            <w:gridSpan w:val="3"/>
            <w:shd w:val="clear" w:color="auto" w:fill="auto"/>
            <w:vAlign w:val="bottom"/>
          </w:tcPr>
          <w:p w14:paraId="74DE1FAA" w14:textId="77777777" w:rsidR="00584EC1" w:rsidRDefault="00584EC1">
            <w:pPr>
              <w:rPr>
                <w:rFonts w:ascii="宋体"/>
                <w:vanish/>
              </w:rPr>
            </w:pPr>
          </w:p>
        </w:tc>
        <w:tc>
          <w:tcPr>
            <w:tcW w:w="0" w:type="auto"/>
            <w:gridSpan w:val="3"/>
            <w:shd w:val="clear" w:color="auto" w:fill="auto"/>
            <w:vAlign w:val="bottom"/>
          </w:tcPr>
          <w:p w14:paraId="74DE1FAB" w14:textId="77777777" w:rsidR="00584EC1" w:rsidRDefault="00584EC1">
            <w:pPr>
              <w:rPr>
                <w:rFonts w:ascii="宋体"/>
                <w:vanish/>
              </w:rPr>
            </w:pPr>
          </w:p>
        </w:tc>
        <w:tc>
          <w:tcPr>
            <w:tcW w:w="0" w:type="auto"/>
            <w:gridSpan w:val="3"/>
            <w:shd w:val="clear" w:color="auto" w:fill="auto"/>
            <w:vAlign w:val="bottom"/>
          </w:tcPr>
          <w:p w14:paraId="74DE1FAC" w14:textId="77777777" w:rsidR="00584EC1" w:rsidRDefault="00584EC1">
            <w:pPr>
              <w:rPr>
                <w:rFonts w:ascii="宋体"/>
                <w:vanish/>
              </w:rPr>
            </w:pPr>
          </w:p>
        </w:tc>
        <w:tc>
          <w:tcPr>
            <w:tcW w:w="0" w:type="auto"/>
            <w:gridSpan w:val="3"/>
            <w:shd w:val="clear" w:color="auto" w:fill="auto"/>
            <w:vAlign w:val="bottom"/>
          </w:tcPr>
          <w:p w14:paraId="74DE1FAD" w14:textId="77777777" w:rsidR="00584EC1" w:rsidRDefault="00584EC1">
            <w:pPr>
              <w:rPr>
                <w:rFonts w:ascii="宋体"/>
                <w:vanish/>
              </w:rPr>
            </w:pPr>
          </w:p>
        </w:tc>
        <w:tc>
          <w:tcPr>
            <w:tcW w:w="0" w:type="auto"/>
            <w:gridSpan w:val="3"/>
            <w:shd w:val="clear" w:color="auto" w:fill="auto"/>
            <w:vAlign w:val="bottom"/>
          </w:tcPr>
          <w:p w14:paraId="74DE1FAE" w14:textId="77777777" w:rsidR="00584EC1" w:rsidRDefault="00584EC1">
            <w:pPr>
              <w:rPr>
                <w:rFonts w:ascii="宋体"/>
                <w:vanish/>
              </w:rPr>
            </w:pPr>
          </w:p>
        </w:tc>
        <w:tc>
          <w:tcPr>
            <w:tcW w:w="0" w:type="auto"/>
            <w:gridSpan w:val="3"/>
            <w:shd w:val="clear" w:color="auto" w:fill="auto"/>
            <w:vAlign w:val="bottom"/>
          </w:tcPr>
          <w:p w14:paraId="74DE1FAF" w14:textId="77777777" w:rsidR="00584EC1" w:rsidRDefault="00584EC1">
            <w:pPr>
              <w:rPr>
                <w:rFonts w:ascii="宋体"/>
                <w:vanish/>
              </w:rPr>
            </w:pPr>
          </w:p>
        </w:tc>
        <w:tc>
          <w:tcPr>
            <w:tcW w:w="0" w:type="auto"/>
            <w:gridSpan w:val="3"/>
            <w:shd w:val="clear" w:color="auto" w:fill="auto"/>
            <w:vAlign w:val="bottom"/>
          </w:tcPr>
          <w:p w14:paraId="74DE1FB0" w14:textId="77777777" w:rsidR="00584EC1" w:rsidRDefault="00584EC1">
            <w:pPr>
              <w:rPr>
                <w:rFonts w:ascii="宋体"/>
                <w:vanish/>
              </w:rPr>
            </w:pPr>
          </w:p>
        </w:tc>
        <w:tc>
          <w:tcPr>
            <w:tcW w:w="0" w:type="auto"/>
            <w:gridSpan w:val="3"/>
            <w:shd w:val="clear" w:color="auto" w:fill="auto"/>
            <w:vAlign w:val="bottom"/>
          </w:tcPr>
          <w:p w14:paraId="74DE1FB1" w14:textId="77777777" w:rsidR="00584EC1" w:rsidRDefault="00584EC1">
            <w:pPr>
              <w:rPr>
                <w:rFonts w:ascii="宋体"/>
                <w:vanish/>
              </w:rPr>
            </w:pPr>
          </w:p>
        </w:tc>
        <w:tc>
          <w:tcPr>
            <w:tcW w:w="0" w:type="auto"/>
            <w:gridSpan w:val="3"/>
            <w:shd w:val="clear" w:color="auto" w:fill="auto"/>
            <w:vAlign w:val="bottom"/>
          </w:tcPr>
          <w:p w14:paraId="74DE1FB2" w14:textId="77777777" w:rsidR="00584EC1" w:rsidRDefault="00584EC1">
            <w:pPr>
              <w:rPr>
                <w:rFonts w:ascii="宋体"/>
                <w:vanish/>
              </w:rPr>
            </w:pPr>
          </w:p>
        </w:tc>
        <w:tc>
          <w:tcPr>
            <w:tcW w:w="0" w:type="auto"/>
            <w:gridSpan w:val="3"/>
            <w:shd w:val="clear" w:color="auto" w:fill="auto"/>
            <w:vAlign w:val="bottom"/>
          </w:tcPr>
          <w:p w14:paraId="74DE1FB3" w14:textId="77777777" w:rsidR="00584EC1" w:rsidRDefault="00584EC1">
            <w:pPr>
              <w:rPr>
                <w:rFonts w:ascii="宋体"/>
                <w:vanish/>
              </w:rPr>
            </w:pPr>
          </w:p>
        </w:tc>
        <w:tc>
          <w:tcPr>
            <w:tcW w:w="0" w:type="auto"/>
            <w:gridSpan w:val="3"/>
            <w:shd w:val="clear" w:color="auto" w:fill="auto"/>
            <w:vAlign w:val="bottom"/>
          </w:tcPr>
          <w:p w14:paraId="74DE1FB4" w14:textId="77777777" w:rsidR="00584EC1" w:rsidRDefault="00584EC1">
            <w:pPr>
              <w:rPr>
                <w:rFonts w:ascii="宋体"/>
                <w:vanish/>
              </w:rPr>
            </w:pPr>
          </w:p>
        </w:tc>
        <w:tc>
          <w:tcPr>
            <w:tcW w:w="0" w:type="auto"/>
            <w:gridSpan w:val="3"/>
            <w:shd w:val="clear" w:color="auto" w:fill="auto"/>
            <w:vAlign w:val="bottom"/>
          </w:tcPr>
          <w:p w14:paraId="74DE1FB5" w14:textId="77777777" w:rsidR="00584EC1" w:rsidRDefault="00584EC1">
            <w:pPr>
              <w:rPr>
                <w:rFonts w:ascii="宋体"/>
                <w:vanish/>
              </w:rPr>
            </w:pPr>
          </w:p>
        </w:tc>
        <w:tc>
          <w:tcPr>
            <w:tcW w:w="0" w:type="auto"/>
            <w:gridSpan w:val="3"/>
            <w:shd w:val="clear" w:color="auto" w:fill="auto"/>
            <w:vAlign w:val="bottom"/>
          </w:tcPr>
          <w:p w14:paraId="74DE1FB6" w14:textId="77777777" w:rsidR="00584EC1" w:rsidRDefault="00584EC1">
            <w:pPr>
              <w:rPr>
                <w:rFonts w:ascii="宋体"/>
                <w:vanish/>
              </w:rPr>
            </w:pPr>
          </w:p>
        </w:tc>
        <w:tc>
          <w:tcPr>
            <w:tcW w:w="0" w:type="auto"/>
            <w:gridSpan w:val="3"/>
            <w:shd w:val="clear" w:color="auto" w:fill="auto"/>
            <w:vAlign w:val="bottom"/>
          </w:tcPr>
          <w:p w14:paraId="74DE1FB7" w14:textId="77777777" w:rsidR="00584EC1" w:rsidRDefault="00584EC1">
            <w:pPr>
              <w:rPr>
                <w:rFonts w:ascii="宋体"/>
                <w:vanish/>
              </w:rPr>
            </w:pPr>
          </w:p>
        </w:tc>
        <w:tc>
          <w:tcPr>
            <w:tcW w:w="0" w:type="auto"/>
            <w:gridSpan w:val="3"/>
            <w:shd w:val="clear" w:color="auto" w:fill="auto"/>
            <w:vAlign w:val="bottom"/>
          </w:tcPr>
          <w:p w14:paraId="74DE1FB8" w14:textId="77777777" w:rsidR="00584EC1" w:rsidRDefault="00584EC1">
            <w:pPr>
              <w:rPr>
                <w:rFonts w:ascii="宋体"/>
                <w:vanish/>
              </w:rPr>
            </w:pPr>
          </w:p>
        </w:tc>
        <w:tc>
          <w:tcPr>
            <w:tcW w:w="0" w:type="auto"/>
            <w:gridSpan w:val="3"/>
            <w:shd w:val="clear" w:color="auto" w:fill="auto"/>
            <w:vAlign w:val="bottom"/>
          </w:tcPr>
          <w:p w14:paraId="74DE1FB9" w14:textId="77777777" w:rsidR="00584EC1" w:rsidRDefault="00584EC1">
            <w:pPr>
              <w:rPr>
                <w:rFonts w:ascii="宋体"/>
                <w:vanish/>
              </w:rPr>
            </w:pPr>
          </w:p>
        </w:tc>
        <w:tc>
          <w:tcPr>
            <w:tcW w:w="0" w:type="auto"/>
            <w:gridSpan w:val="3"/>
            <w:shd w:val="clear" w:color="auto" w:fill="auto"/>
            <w:vAlign w:val="bottom"/>
          </w:tcPr>
          <w:p w14:paraId="74DE1FBA" w14:textId="77777777" w:rsidR="00584EC1" w:rsidRDefault="00584EC1">
            <w:pPr>
              <w:rPr>
                <w:rFonts w:ascii="宋体"/>
                <w:vanish/>
              </w:rPr>
            </w:pPr>
          </w:p>
        </w:tc>
        <w:tc>
          <w:tcPr>
            <w:tcW w:w="0" w:type="auto"/>
            <w:gridSpan w:val="3"/>
            <w:shd w:val="clear" w:color="auto" w:fill="auto"/>
            <w:vAlign w:val="bottom"/>
          </w:tcPr>
          <w:p w14:paraId="74DE1FBB" w14:textId="77777777" w:rsidR="00584EC1" w:rsidRDefault="00584EC1">
            <w:pPr>
              <w:rPr>
                <w:rFonts w:ascii="宋体"/>
                <w:vanish/>
              </w:rPr>
            </w:pPr>
          </w:p>
        </w:tc>
        <w:tc>
          <w:tcPr>
            <w:tcW w:w="0" w:type="auto"/>
            <w:gridSpan w:val="3"/>
            <w:shd w:val="clear" w:color="auto" w:fill="auto"/>
            <w:vAlign w:val="bottom"/>
          </w:tcPr>
          <w:p w14:paraId="74DE1FBC" w14:textId="77777777" w:rsidR="00584EC1" w:rsidRDefault="00584EC1">
            <w:pPr>
              <w:rPr>
                <w:rFonts w:ascii="宋体"/>
                <w:vanish/>
              </w:rPr>
            </w:pPr>
          </w:p>
        </w:tc>
        <w:tc>
          <w:tcPr>
            <w:tcW w:w="0" w:type="auto"/>
            <w:gridSpan w:val="3"/>
            <w:shd w:val="clear" w:color="auto" w:fill="auto"/>
            <w:vAlign w:val="bottom"/>
          </w:tcPr>
          <w:p w14:paraId="74DE1FBD" w14:textId="77777777" w:rsidR="00584EC1" w:rsidRDefault="00584EC1">
            <w:pPr>
              <w:rPr>
                <w:rFonts w:ascii="宋体"/>
                <w:vanish/>
              </w:rPr>
            </w:pPr>
          </w:p>
        </w:tc>
      </w:tr>
      <w:tr w:rsidR="00584EC1" w14:paraId="74DE1FD3" w14:textId="77777777">
        <w:trPr>
          <w:hidden/>
        </w:trPr>
        <w:tc>
          <w:tcPr>
            <w:tcW w:w="0" w:type="auto"/>
            <w:gridSpan w:val="3"/>
            <w:shd w:val="clear" w:color="auto" w:fill="auto"/>
            <w:vAlign w:val="bottom"/>
          </w:tcPr>
          <w:p w14:paraId="74DE1FBF" w14:textId="77777777" w:rsidR="00584EC1" w:rsidRDefault="00584EC1">
            <w:pPr>
              <w:rPr>
                <w:rFonts w:ascii="宋体"/>
                <w:vanish/>
              </w:rPr>
            </w:pPr>
          </w:p>
        </w:tc>
        <w:tc>
          <w:tcPr>
            <w:tcW w:w="0" w:type="auto"/>
            <w:gridSpan w:val="3"/>
            <w:shd w:val="clear" w:color="auto" w:fill="auto"/>
            <w:vAlign w:val="bottom"/>
          </w:tcPr>
          <w:p w14:paraId="74DE1FC0" w14:textId="77777777" w:rsidR="00584EC1" w:rsidRDefault="00584EC1">
            <w:pPr>
              <w:rPr>
                <w:rFonts w:ascii="宋体"/>
                <w:vanish/>
              </w:rPr>
            </w:pPr>
          </w:p>
        </w:tc>
        <w:tc>
          <w:tcPr>
            <w:tcW w:w="0" w:type="auto"/>
            <w:gridSpan w:val="3"/>
            <w:shd w:val="clear" w:color="auto" w:fill="auto"/>
            <w:vAlign w:val="bottom"/>
          </w:tcPr>
          <w:p w14:paraId="74DE1FC1" w14:textId="77777777" w:rsidR="00584EC1" w:rsidRDefault="00584EC1">
            <w:pPr>
              <w:rPr>
                <w:rFonts w:ascii="宋体"/>
                <w:vanish/>
              </w:rPr>
            </w:pPr>
          </w:p>
        </w:tc>
        <w:tc>
          <w:tcPr>
            <w:tcW w:w="0" w:type="auto"/>
            <w:gridSpan w:val="3"/>
            <w:shd w:val="clear" w:color="auto" w:fill="auto"/>
            <w:vAlign w:val="bottom"/>
          </w:tcPr>
          <w:p w14:paraId="74DE1FC2" w14:textId="77777777" w:rsidR="00584EC1" w:rsidRDefault="00584EC1">
            <w:pPr>
              <w:rPr>
                <w:rFonts w:ascii="宋体"/>
                <w:vanish/>
              </w:rPr>
            </w:pPr>
          </w:p>
        </w:tc>
        <w:tc>
          <w:tcPr>
            <w:tcW w:w="0" w:type="auto"/>
            <w:gridSpan w:val="3"/>
            <w:shd w:val="clear" w:color="auto" w:fill="auto"/>
            <w:vAlign w:val="bottom"/>
          </w:tcPr>
          <w:p w14:paraId="74DE1FC3" w14:textId="77777777" w:rsidR="00584EC1" w:rsidRDefault="00584EC1">
            <w:pPr>
              <w:rPr>
                <w:rFonts w:ascii="宋体"/>
                <w:vanish/>
              </w:rPr>
            </w:pPr>
          </w:p>
        </w:tc>
        <w:tc>
          <w:tcPr>
            <w:tcW w:w="0" w:type="auto"/>
            <w:gridSpan w:val="3"/>
            <w:shd w:val="clear" w:color="auto" w:fill="auto"/>
            <w:vAlign w:val="bottom"/>
          </w:tcPr>
          <w:p w14:paraId="74DE1FC4" w14:textId="77777777" w:rsidR="00584EC1" w:rsidRDefault="00584EC1">
            <w:pPr>
              <w:rPr>
                <w:rFonts w:ascii="宋体"/>
                <w:vanish/>
              </w:rPr>
            </w:pPr>
          </w:p>
        </w:tc>
        <w:tc>
          <w:tcPr>
            <w:tcW w:w="0" w:type="auto"/>
            <w:gridSpan w:val="3"/>
            <w:shd w:val="clear" w:color="auto" w:fill="auto"/>
            <w:vAlign w:val="bottom"/>
          </w:tcPr>
          <w:p w14:paraId="74DE1FC5" w14:textId="77777777" w:rsidR="00584EC1" w:rsidRDefault="00584EC1">
            <w:pPr>
              <w:rPr>
                <w:rFonts w:ascii="宋体"/>
                <w:vanish/>
              </w:rPr>
            </w:pPr>
          </w:p>
        </w:tc>
        <w:tc>
          <w:tcPr>
            <w:tcW w:w="0" w:type="auto"/>
            <w:gridSpan w:val="3"/>
            <w:shd w:val="clear" w:color="auto" w:fill="auto"/>
            <w:vAlign w:val="bottom"/>
          </w:tcPr>
          <w:p w14:paraId="74DE1FC6" w14:textId="77777777" w:rsidR="00584EC1" w:rsidRDefault="00584EC1">
            <w:pPr>
              <w:rPr>
                <w:rFonts w:ascii="宋体"/>
                <w:vanish/>
              </w:rPr>
            </w:pPr>
          </w:p>
        </w:tc>
        <w:tc>
          <w:tcPr>
            <w:tcW w:w="0" w:type="auto"/>
            <w:gridSpan w:val="3"/>
            <w:shd w:val="clear" w:color="auto" w:fill="auto"/>
            <w:vAlign w:val="bottom"/>
          </w:tcPr>
          <w:p w14:paraId="74DE1FC7" w14:textId="77777777" w:rsidR="00584EC1" w:rsidRDefault="00584EC1">
            <w:pPr>
              <w:rPr>
                <w:rFonts w:ascii="宋体"/>
                <w:vanish/>
              </w:rPr>
            </w:pPr>
          </w:p>
        </w:tc>
        <w:tc>
          <w:tcPr>
            <w:tcW w:w="0" w:type="auto"/>
            <w:gridSpan w:val="3"/>
            <w:shd w:val="clear" w:color="auto" w:fill="auto"/>
            <w:vAlign w:val="bottom"/>
          </w:tcPr>
          <w:p w14:paraId="74DE1FC8" w14:textId="77777777" w:rsidR="00584EC1" w:rsidRDefault="00584EC1">
            <w:pPr>
              <w:rPr>
                <w:rFonts w:ascii="宋体"/>
                <w:vanish/>
              </w:rPr>
            </w:pPr>
          </w:p>
        </w:tc>
        <w:tc>
          <w:tcPr>
            <w:tcW w:w="0" w:type="auto"/>
            <w:gridSpan w:val="3"/>
            <w:shd w:val="clear" w:color="auto" w:fill="auto"/>
            <w:vAlign w:val="bottom"/>
          </w:tcPr>
          <w:p w14:paraId="74DE1FC9" w14:textId="77777777" w:rsidR="00584EC1" w:rsidRDefault="00584EC1">
            <w:pPr>
              <w:rPr>
                <w:rFonts w:ascii="宋体"/>
                <w:vanish/>
              </w:rPr>
            </w:pPr>
          </w:p>
        </w:tc>
        <w:tc>
          <w:tcPr>
            <w:tcW w:w="0" w:type="auto"/>
            <w:gridSpan w:val="3"/>
            <w:shd w:val="clear" w:color="auto" w:fill="auto"/>
            <w:vAlign w:val="bottom"/>
          </w:tcPr>
          <w:p w14:paraId="74DE1FCA" w14:textId="77777777" w:rsidR="00584EC1" w:rsidRDefault="00584EC1">
            <w:pPr>
              <w:rPr>
                <w:rFonts w:ascii="宋体"/>
                <w:vanish/>
              </w:rPr>
            </w:pPr>
          </w:p>
        </w:tc>
        <w:tc>
          <w:tcPr>
            <w:tcW w:w="0" w:type="auto"/>
            <w:gridSpan w:val="3"/>
            <w:shd w:val="clear" w:color="auto" w:fill="auto"/>
            <w:vAlign w:val="bottom"/>
          </w:tcPr>
          <w:p w14:paraId="74DE1FCB" w14:textId="77777777" w:rsidR="00584EC1" w:rsidRDefault="00584EC1">
            <w:pPr>
              <w:rPr>
                <w:rFonts w:ascii="宋体"/>
                <w:vanish/>
              </w:rPr>
            </w:pPr>
          </w:p>
        </w:tc>
        <w:tc>
          <w:tcPr>
            <w:tcW w:w="0" w:type="auto"/>
            <w:gridSpan w:val="3"/>
            <w:shd w:val="clear" w:color="auto" w:fill="auto"/>
            <w:vAlign w:val="bottom"/>
          </w:tcPr>
          <w:p w14:paraId="74DE1FCC" w14:textId="77777777" w:rsidR="00584EC1" w:rsidRDefault="00584EC1">
            <w:pPr>
              <w:rPr>
                <w:rFonts w:ascii="宋体"/>
                <w:vanish/>
              </w:rPr>
            </w:pPr>
          </w:p>
        </w:tc>
        <w:tc>
          <w:tcPr>
            <w:tcW w:w="0" w:type="auto"/>
            <w:gridSpan w:val="3"/>
            <w:shd w:val="clear" w:color="auto" w:fill="auto"/>
            <w:vAlign w:val="bottom"/>
          </w:tcPr>
          <w:p w14:paraId="74DE1FCD" w14:textId="77777777" w:rsidR="00584EC1" w:rsidRDefault="00584EC1">
            <w:pPr>
              <w:rPr>
                <w:rFonts w:ascii="宋体"/>
                <w:vanish/>
              </w:rPr>
            </w:pPr>
          </w:p>
        </w:tc>
        <w:tc>
          <w:tcPr>
            <w:tcW w:w="0" w:type="auto"/>
            <w:gridSpan w:val="3"/>
            <w:shd w:val="clear" w:color="auto" w:fill="auto"/>
            <w:vAlign w:val="bottom"/>
          </w:tcPr>
          <w:p w14:paraId="74DE1FCE" w14:textId="77777777" w:rsidR="00584EC1" w:rsidRDefault="00584EC1">
            <w:pPr>
              <w:rPr>
                <w:rFonts w:ascii="宋体"/>
                <w:vanish/>
              </w:rPr>
            </w:pPr>
          </w:p>
        </w:tc>
        <w:tc>
          <w:tcPr>
            <w:tcW w:w="0" w:type="auto"/>
            <w:gridSpan w:val="3"/>
            <w:shd w:val="clear" w:color="auto" w:fill="auto"/>
            <w:vAlign w:val="bottom"/>
          </w:tcPr>
          <w:p w14:paraId="74DE1FCF" w14:textId="77777777" w:rsidR="00584EC1" w:rsidRDefault="00584EC1">
            <w:pPr>
              <w:rPr>
                <w:rFonts w:ascii="宋体"/>
                <w:vanish/>
              </w:rPr>
            </w:pPr>
          </w:p>
        </w:tc>
        <w:tc>
          <w:tcPr>
            <w:tcW w:w="0" w:type="auto"/>
            <w:gridSpan w:val="3"/>
            <w:shd w:val="clear" w:color="auto" w:fill="auto"/>
            <w:vAlign w:val="bottom"/>
          </w:tcPr>
          <w:p w14:paraId="74DE1FD0" w14:textId="77777777" w:rsidR="00584EC1" w:rsidRDefault="00584EC1">
            <w:pPr>
              <w:rPr>
                <w:rFonts w:ascii="宋体"/>
                <w:vanish/>
              </w:rPr>
            </w:pPr>
          </w:p>
        </w:tc>
        <w:tc>
          <w:tcPr>
            <w:tcW w:w="0" w:type="auto"/>
            <w:gridSpan w:val="3"/>
            <w:shd w:val="clear" w:color="auto" w:fill="auto"/>
            <w:vAlign w:val="bottom"/>
          </w:tcPr>
          <w:p w14:paraId="74DE1FD1" w14:textId="77777777" w:rsidR="00584EC1" w:rsidRDefault="00584EC1">
            <w:pPr>
              <w:rPr>
                <w:rFonts w:ascii="宋体"/>
                <w:vanish/>
              </w:rPr>
            </w:pPr>
          </w:p>
        </w:tc>
        <w:tc>
          <w:tcPr>
            <w:tcW w:w="0" w:type="auto"/>
            <w:gridSpan w:val="3"/>
            <w:shd w:val="clear" w:color="auto" w:fill="auto"/>
            <w:vAlign w:val="bottom"/>
          </w:tcPr>
          <w:p w14:paraId="74DE1FD2" w14:textId="77777777" w:rsidR="00584EC1" w:rsidRDefault="00584EC1">
            <w:pPr>
              <w:rPr>
                <w:rFonts w:ascii="宋体"/>
                <w:vanish/>
              </w:rPr>
            </w:pPr>
          </w:p>
        </w:tc>
      </w:tr>
      <w:tr w:rsidR="00584EC1" w14:paraId="74DE1FE8" w14:textId="77777777">
        <w:trPr>
          <w:hidden/>
        </w:trPr>
        <w:tc>
          <w:tcPr>
            <w:tcW w:w="0" w:type="auto"/>
            <w:gridSpan w:val="3"/>
            <w:shd w:val="clear" w:color="auto" w:fill="auto"/>
            <w:vAlign w:val="bottom"/>
          </w:tcPr>
          <w:p w14:paraId="74DE1FD4" w14:textId="77777777" w:rsidR="00584EC1" w:rsidRDefault="00584EC1">
            <w:pPr>
              <w:rPr>
                <w:rFonts w:ascii="宋体"/>
                <w:vanish/>
              </w:rPr>
            </w:pPr>
          </w:p>
        </w:tc>
        <w:tc>
          <w:tcPr>
            <w:tcW w:w="0" w:type="auto"/>
            <w:gridSpan w:val="3"/>
            <w:shd w:val="clear" w:color="auto" w:fill="auto"/>
            <w:vAlign w:val="bottom"/>
          </w:tcPr>
          <w:p w14:paraId="74DE1FD5" w14:textId="77777777" w:rsidR="00584EC1" w:rsidRDefault="00584EC1">
            <w:pPr>
              <w:rPr>
                <w:rFonts w:ascii="宋体"/>
                <w:vanish/>
              </w:rPr>
            </w:pPr>
          </w:p>
        </w:tc>
        <w:tc>
          <w:tcPr>
            <w:tcW w:w="0" w:type="auto"/>
            <w:gridSpan w:val="3"/>
            <w:shd w:val="clear" w:color="auto" w:fill="auto"/>
            <w:vAlign w:val="bottom"/>
          </w:tcPr>
          <w:p w14:paraId="74DE1FD6" w14:textId="77777777" w:rsidR="00584EC1" w:rsidRDefault="00584EC1">
            <w:pPr>
              <w:rPr>
                <w:rFonts w:ascii="宋体"/>
                <w:vanish/>
              </w:rPr>
            </w:pPr>
          </w:p>
        </w:tc>
        <w:tc>
          <w:tcPr>
            <w:tcW w:w="0" w:type="auto"/>
            <w:gridSpan w:val="3"/>
            <w:shd w:val="clear" w:color="auto" w:fill="auto"/>
            <w:vAlign w:val="bottom"/>
          </w:tcPr>
          <w:p w14:paraId="74DE1FD7" w14:textId="77777777" w:rsidR="00584EC1" w:rsidRDefault="00584EC1">
            <w:pPr>
              <w:rPr>
                <w:rFonts w:ascii="宋体"/>
                <w:vanish/>
              </w:rPr>
            </w:pPr>
          </w:p>
        </w:tc>
        <w:tc>
          <w:tcPr>
            <w:tcW w:w="0" w:type="auto"/>
            <w:gridSpan w:val="3"/>
            <w:shd w:val="clear" w:color="auto" w:fill="auto"/>
            <w:vAlign w:val="bottom"/>
          </w:tcPr>
          <w:p w14:paraId="74DE1FD8" w14:textId="77777777" w:rsidR="00584EC1" w:rsidRDefault="00584EC1">
            <w:pPr>
              <w:rPr>
                <w:rFonts w:ascii="宋体"/>
                <w:vanish/>
              </w:rPr>
            </w:pPr>
          </w:p>
        </w:tc>
        <w:tc>
          <w:tcPr>
            <w:tcW w:w="0" w:type="auto"/>
            <w:gridSpan w:val="3"/>
            <w:shd w:val="clear" w:color="auto" w:fill="auto"/>
            <w:vAlign w:val="bottom"/>
          </w:tcPr>
          <w:p w14:paraId="74DE1FD9" w14:textId="77777777" w:rsidR="00584EC1" w:rsidRDefault="00584EC1">
            <w:pPr>
              <w:rPr>
                <w:rFonts w:ascii="宋体"/>
                <w:vanish/>
              </w:rPr>
            </w:pPr>
          </w:p>
        </w:tc>
        <w:tc>
          <w:tcPr>
            <w:tcW w:w="0" w:type="auto"/>
            <w:gridSpan w:val="3"/>
            <w:shd w:val="clear" w:color="auto" w:fill="auto"/>
            <w:vAlign w:val="bottom"/>
          </w:tcPr>
          <w:p w14:paraId="74DE1FDA" w14:textId="77777777" w:rsidR="00584EC1" w:rsidRDefault="00584EC1">
            <w:pPr>
              <w:rPr>
                <w:rFonts w:ascii="宋体"/>
                <w:vanish/>
              </w:rPr>
            </w:pPr>
          </w:p>
        </w:tc>
        <w:tc>
          <w:tcPr>
            <w:tcW w:w="0" w:type="auto"/>
            <w:gridSpan w:val="3"/>
            <w:shd w:val="clear" w:color="auto" w:fill="auto"/>
            <w:vAlign w:val="bottom"/>
          </w:tcPr>
          <w:p w14:paraId="74DE1FDB" w14:textId="77777777" w:rsidR="00584EC1" w:rsidRDefault="00584EC1">
            <w:pPr>
              <w:rPr>
                <w:rFonts w:ascii="宋体"/>
                <w:vanish/>
              </w:rPr>
            </w:pPr>
          </w:p>
        </w:tc>
        <w:tc>
          <w:tcPr>
            <w:tcW w:w="0" w:type="auto"/>
            <w:gridSpan w:val="3"/>
            <w:shd w:val="clear" w:color="auto" w:fill="auto"/>
            <w:vAlign w:val="bottom"/>
          </w:tcPr>
          <w:p w14:paraId="74DE1FDC" w14:textId="77777777" w:rsidR="00584EC1" w:rsidRDefault="00584EC1">
            <w:pPr>
              <w:rPr>
                <w:rFonts w:ascii="宋体"/>
                <w:vanish/>
              </w:rPr>
            </w:pPr>
          </w:p>
        </w:tc>
        <w:tc>
          <w:tcPr>
            <w:tcW w:w="0" w:type="auto"/>
            <w:gridSpan w:val="3"/>
            <w:shd w:val="clear" w:color="auto" w:fill="auto"/>
            <w:vAlign w:val="bottom"/>
          </w:tcPr>
          <w:p w14:paraId="74DE1FDD" w14:textId="77777777" w:rsidR="00584EC1" w:rsidRDefault="00584EC1">
            <w:pPr>
              <w:rPr>
                <w:rFonts w:ascii="宋体"/>
                <w:vanish/>
              </w:rPr>
            </w:pPr>
          </w:p>
        </w:tc>
        <w:tc>
          <w:tcPr>
            <w:tcW w:w="0" w:type="auto"/>
            <w:gridSpan w:val="3"/>
            <w:shd w:val="clear" w:color="auto" w:fill="auto"/>
            <w:vAlign w:val="bottom"/>
          </w:tcPr>
          <w:p w14:paraId="74DE1FDE" w14:textId="77777777" w:rsidR="00584EC1" w:rsidRDefault="00584EC1">
            <w:pPr>
              <w:rPr>
                <w:rFonts w:ascii="宋体"/>
                <w:vanish/>
              </w:rPr>
            </w:pPr>
          </w:p>
        </w:tc>
        <w:tc>
          <w:tcPr>
            <w:tcW w:w="0" w:type="auto"/>
            <w:gridSpan w:val="3"/>
            <w:shd w:val="clear" w:color="auto" w:fill="auto"/>
            <w:vAlign w:val="bottom"/>
          </w:tcPr>
          <w:p w14:paraId="74DE1FDF" w14:textId="77777777" w:rsidR="00584EC1" w:rsidRDefault="00584EC1">
            <w:pPr>
              <w:rPr>
                <w:rFonts w:ascii="宋体"/>
                <w:vanish/>
              </w:rPr>
            </w:pPr>
          </w:p>
        </w:tc>
        <w:tc>
          <w:tcPr>
            <w:tcW w:w="0" w:type="auto"/>
            <w:gridSpan w:val="3"/>
            <w:shd w:val="clear" w:color="auto" w:fill="auto"/>
            <w:vAlign w:val="bottom"/>
          </w:tcPr>
          <w:p w14:paraId="74DE1FE0" w14:textId="77777777" w:rsidR="00584EC1" w:rsidRDefault="00584EC1">
            <w:pPr>
              <w:rPr>
                <w:rFonts w:ascii="宋体"/>
                <w:vanish/>
              </w:rPr>
            </w:pPr>
          </w:p>
        </w:tc>
        <w:tc>
          <w:tcPr>
            <w:tcW w:w="0" w:type="auto"/>
            <w:gridSpan w:val="3"/>
            <w:shd w:val="clear" w:color="auto" w:fill="auto"/>
            <w:vAlign w:val="bottom"/>
          </w:tcPr>
          <w:p w14:paraId="74DE1FE1" w14:textId="77777777" w:rsidR="00584EC1" w:rsidRDefault="00584EC1">
            <w:pPr>
              <w:rPr>
                <w:rFonts w:ascii="宋体"/>
                <w:vanish/>
              </w:rPr>
            </w:pPr>
          </w:p>
        </w:tc>
        <w:tc>
          <w:tcPr>
            <w:tcW w:w="0" w:type="auto"/>
            <w:gridSpan w:val="3"/>
            <w:shd w:val="clear" w:color="auto" w:fill="auto"/>
            <w:vAlign w:val="bottom"/>
          </w:tcPr>
          <w:p w14:paraId="74DE1FE2" w14:textId="77777777" w:rsidR="00584EC1" w:rsidRDefault="00584EC1">
            <w:pPr>
              <w:rPr>
                <w:rFonts w:ascii="宋体"/>
                <w:vanish/>
              </w:rPr>
            </w:pPr>
          </w:p>
        </w:tc>
        <w:tc>
          <w:tcPr>
            <w:tcW w:w="0" w:type="auto"/>
            <w:gridSpan w:val="3"/>
            <w:shd w:val="clear" w:color="auto" w:fill="auto"/>
            <w:vAlign w:val="bottom"/>
          </w:tcPr>
          <w:p w14:paraId="74DE1FE3" w14:textId="77777777" w:rsidR="00584EC1" w:rsidRDefault="00584EC1">
            <w:pPr>
              <w:rPr>
                <w:rFonts w:ascii="宋体"/>
                <w:vanish/>
              </w:rPr>
            </w:pPr>
          </w:p>
        </w:tc>
        <w:tc>
          <w:tcPr>
            <w:tcW w:w="0" w:type="auto"/>
            <w:gridSpan w:val="3"/>
            <w:shd w:val="clear" w:color="auto" w:fill="auto"/>
            <w:vAlign w:val="bottom"/>
          </w:tcPr>
          <w:p w14:paraId="74DE1FE4" w14:textId="77777777" w:rsidR="00584EC1" w:rsidRDefault="00584EC1">
            <w:pPr>
              <w:rPr>
                <w:rFonts w:ascii="宋体"/>
                <w:vanish/>
              </w:rPr>
            </w:pPr>
          </w:p>
        </w:tc>
        <w:tc>
          <w:tcPr>
            <w:tcW w:w="0" w:type="auto"/>
            <w:gridSpan w:val="3"/>
            <w:shd w:val="clear" w:color="auto" w:fill="auto"/>
            <w:vAlign w:val="bottom"/>
          </w:tcPr>
          <w:p w14:paraId="74DE1FE5" w14:textId="77777777" w:rsidR="00584EC1" w:rsidRDefault="00584EC1">
            <w:pPr>
              <w:rPr>
                <w:rFonts w:ascii="宋体"/>
                <w:vanish/>
              </w:rPr>
            </w:pPr>
          </w:p>
        </w:tc>
        <w:tc>
          <w:tcPr>
            <w:tcW w:w="0" w:type="auto"/>
            <w:gridSpan w:val="3"/>
            <w:shd w:val="clear" w:color="auto" w:fill="auto"/>
            <w:vAlign w:val="bottom"/>
          </w:tcPr>
          <w:p w14:paraId="74DE1FE6" w14:textId="77777777" w:rsidR="00584EC1" w:rsidRDefault="00584EC1">
            <w:pPr>
              <w:rPr>
                <w:rFonts w:ascii="宋体"/>
                <w:vanish/>
              </w:rPr>
            </w:pPr>
          </w:p>
        </w:tc>
        <w:tc>
          <w:tcPr>
            <w:tcW w:w="0" w:type="auto"/>
            <w:gridSpan w:val="3"/>
            <w:shd w:val="clear" w:color="auto" w:fill="auto"/>
            <w:vAlign w:val="bottom"/>
          </w:tcPr>
          <w:p w14:paraId="74DE1FE7" w14:textId="77777777" w:rsidR="00584EC1" w:rsidRDefault="00584EC1">
            <w:pPr>
              <w:rPr>
                <w:rFonts w:ascii="宋体"/>
                <w:vanish/>
              </w:rPr>
            </w:pPr>
          </w:p>
        </w:tc>
      </w:tr>
      <w:tr w:rsidR="00584EC1" w14:paraId="74DE1FFD" w14:textId="77777777">
        <w:trPr>
          <w:hidden/>
        </w:trPr>
        <w:tc>
          <w:tcPr>
            <w:tcW w:w="0" w:type="auto"/>
            <w:gridSpan w:val="3"/>
            <w:shd w:val="clear" w:color="auto" w:fill="auto"/>
            <w:vAlign w:val="bottom"/>
          </w:tcPr>
          <w:p w14:paraId="74DE1FE9" w14:textId="77777777" w:rsidR="00584EC1" w:rsidRDefault="00584EC1">
            <w:pPr>
              <w:rPr>
                <w:rFonts w:ascii="宋体"/>
                <w:vanish/>
              </w:rPr>
            </w:pPr>
          </w:p>
        </w:tc>
        <w:tc>
          <w:tcPr>
            <w:tcW w:w="0" w:type="auto"/>
            <w:gridSpan w:val="3"/>
            <w:shd w:val="clear" w:color="auto" w:fill="auto"/>
            <w:vAlign w:val="bottom"/>
          </w:tcPr>
          <w:p w14:paraId="74DE1FEA" w14:textId="77777777" w:rsidR="00584EC1" w:rsidRDefault="00584EC1">
            <w:pPr>
              <w:rPr>
                <w:rFonts w:ascii="宋体"/>
                <w:vanish/>
              </w:rPr>
            </w:pPr>
          </w:p>
        </w:tc>
        <w:tc>
          <w:tcPr>
            <w:tcW w:w="0" w:type="auto"/>
            <w:gridSpan w:val="3"/>
            <w:shd w:val="clear" w:color="auto" w:fill="auto"/>
            <w:vAlign w:val="bottom"/>
          </w:tcPr>
          <w:p w14:paraId="74DE1FEB" w14:textId="77777777" w:rsidR="00584EC1" w:rsidRDefault="00584EC1">
            <w:pPr>
              <w:rPr>
                <w:rFonts w:ascii="宋体"/>
                <w:vanish/>
              </w:rPr>
            </w:pPr>
          </w:p>
        </w:tc>
        <w:tc>
          <w:tcPr>
            <w:tcW w:w="0" w:type="auto"/>
            <w:gridSpan w:val="3"/>
            <w:shd w:val="clear" w:color="auto" w:fill="auto"/>
            <w:vAlign w:val="bottom"/>
          </w:tcPr>
          <w:p w14:paraId="74DE1FEC" w14:textId="77777777" w:rsidR="00584EC1" w:rsidRDefault="00584EC1">
            <w:pPr>
              <w:rPr>
                <w:rFonts w:ascii="宋体"/>
                <w:vanish/>
              </w:rPr>
            </w:pPr>
          </w:p>
        </w:tc>
        <w:tc>
          <w:tcPr>
            <w:tcW w:w="0" w:type="auto"/>
            <w:gridSpan w:val="3"/>
            <w:shd w:val="clear" w:color="auto" w:fill="auto"/>
            <w:vAlign w:val="bottom"/>
          </w:tcPr>
          <w:p w14:paraId="74DE1FED" w14:textId="77777777" w:rsidR="00584EC1" w:rsidRDefault="00584EC1">
            <w:pPr>
              <w:rPr>
                <w:rFonts w:ascii="宋体"/>
                <w:vanish/>
              </w:rPr>
            </w:pPr>
          </w:p>
        </w:tc>
        <w:tc>
          <w:tcPr>
            <w:tcW w:w="0" w:type="auto"/>
            <w:gridSpan w:val="3"/>
            <w:shd w:val="clear" w:color="auto" w:fill="auto"/>
            <w:vAlign w:val="bottom"/>
          </w:tcPr>
          <w:p w14:paraId="74DE1FEE" w14:textId="77777777" w:rsidR="00584EC1" w:rsidRDefault="00584EC1">
            <w:pPr>
              <w:rPr>
                <w:rFonts w:ascii="宋体"/>
                <w:vanish/>
              </w:rPr>
            </w:pPr>
          </w:p>
        </w:tc>
        <w:tc>
          <w:tcPr>
            <w:tcW w:w="0" w:type="auto"/>
            <w:gridSpan w:val="3"/>
            <w:shd w:val="clear" w:color="auto" w:fill="auto"/>
            <w:vAlign w:val="bottom"/>
          </w:tcPr>
          <w:p w14:paraId="74DE1FEF" w14:textId="77777777" w:rsidR="00584EC1" w:rsidRDefault="00584EC1">
            <w:pPr>
              <w:rPr>
                <w:rFonts w:ascii="宋体"/>
                <w:vanish/>
              </w:rPr>
            </w:pPr>
          </w:p>
        </w:tc>
        <w:tc>
          <w:tcPr>
            <w:tcW w:w="0" w:type="auto"/>
            <w:gridSpan w:val="3"/>
            <w:shd w:val="clear" w:color="auto" w:fill="auto"/>
            <w:vAlign w:val="bottom"/>
          </w:tcPr>
          <w:p w14:paraId="74DE1FF0" w14:textId="77777777" w:rsidR="00584EC1" w:rsidRDefault="00584EC1">
            <w:pPr>
              <w:rPr>
                <w:rFonts w:ascii="宋体"/>
                <w:vanish/>
              </w:rPr>
            </w:pPr>
          </w:p>
        </w:tc>
        <w:tc>
          <w:tcPr>
            <w:tcW w:w="0" w:type="auto"/>
            <w:gridSpan w:val="3"/>
            <w:shd w:val="clear" w:color="auto" w:fill="auto"/>
            <w:vAlign w:val="bottom"/>
          </w:tcPr>
          <w:p w14:paraId="74DE1FF1" w14:textId="77777777" w:rsidR="00584EC1" w:rsidRDefault="00584EC1">
            <w:pPr>
              <w:rPr>
                <w:rFonts w:ascii="宋体"/>
                <w:vanish/>
              </w:rPr>
            </w:pPr>
          </w:p>
        </w:tc>
        <w:tc>
          <w:tcPr>
            <w:tcW w:w="0" w:type="auto"/>
            <w:gridSpan w:val="3"/>
            <w:shd w:val="clear" w:color="auto" w:fill="auto"/>
            <w:vAlign w:val="bottom"/>
          </w:tcPr>
          <w:p w14:paraId="74DE1FF2" w14:textId="77777777" w:rsidR="00584EC1" w:rsidRDefault="00584EC1">
            <w:pPr>
              <w:rPr>
                <w:rFonts w:ascii="宋体"/>
                <w:vanish/>
              </w:rPr>
            </w:pPr>
          </w:p>
        </w:tc>
        <w:tc>
          <w:tcPr>
            <w:tcW w:w="0" w:type="auto"/>
            <w:gridSpan w:val="3"/>
            <w:shd w:val="clear" w:color="auto" w:fill="auto"/>
            <w:vAlign w:val="bottom"/>
          </w:tcPr>
          <w:p w14:paraId="74DE1FF3" w14:textId="77777777" w:rsidR="00584EC1" w:rsidRDefault="00584EC1">
            <w:pPr>
              <w:rPr>
                <w:rFonts w:ascii="宋体"/>
                <w:vanish/>
              </w:rPr>
            </w:pPr>
          </w:p>
        </w:tc>
        <w:tc>
          <w:tcPr>
            <w:tcW w:w="0" w:type="auto"/>
            <w:gridSpan w:val="3"/>
            <w:shd w:val="clear" w:color="auto" w:fill="auto"/>
            <w:vAlign w:val="bottom"/>
          </w:tcPr>
          <w:p w14:paraId="74DE1FF4" w14:textId="77777777" w:rsidR="00584EC1" w:rsidRDefault="00584EC1">
            <w:pPr>
              <w:rPr>
                <w:rFonts w:ascii="宋体"/>
                <w:vanish/>
              </w:rPr>
            </w:pPr>
          </w:p>
        </w:tc>
        <w:tc>
          <w:tcPr>
            <w:tcW w:w="0" w:type="auto"/>
            <w:gridSpan w:val="3"/>
            <w:shd w:val="clear" w:color="auto" w:fill="auto"/>
            <w:vAlign w:val="bottom"/>
          </w:tcPr>
          <w:p w14:paraId="74DE1FF5" w14:textId="77777777" w:rsidR="00584EC1" w:rsidRDefault="00584EC1">
            <w:pPr>
              <w:rPr>
                <w:rFonts w:ascii="宋体"/>
                <w:vanish/>
              </w:rPr>
            </w:pPr>
          </w:p>
        </w:tc>
        <w:tc>
          <w:tcPr>
            <w:tcW w:w="0" w:type="auto"/>
            <w:gridSpan w:val="3"/>
            <w:shd w:val="clear" w:color="auto" w:fill="auto"/>
            <w:vAlign w:val="bottom"/>
          </w:tcPr>
          <w:p w14:paraId="74DE1FF6" w14:textId="77777777" w:rsidR="00584EC1" w:rsidRDefault="00584EC1">
            <w:pPr>
              <w:rPr>
                <w:rFonts w:ascii="宋体"/>
                <w:vanish/>
              </w:rPr>
            </w:pPr>
          </w:p>
        </w:tc>
        <w:tc>
          <w:tcPr>
            <w:tcW w:w="0" w:type="auto"/>
            <w:gridSpan w:val="3"/>
            <w:shd w:val="clear" w:color="auto" w:fill="auto"/>
            <w:vAlign w:val="bottom"/>
          </w:tcPr>
          <w:p w14:paraId="74DE1FF7" w14:textId="77777777" w:rsidR="00584EC1" w:rsidRDefault="00584EC1">
            <w:pPr>
              <w:rPr>
                <w:rFonts w:ascii="宋体"/>
                <w:vanish/>
              </w:rPr>
            </w:pPr>
          </w:p>
        </w:tc>
        <w:tc>
          <w:tcPr>
            <w:tcW w:w="0" w:type="auto"/>
            <w:gridSpan w:val="3"/>
            <w:shd w:val="clear" w:color="auto" w:fill="auto"/>
            <w:vAlign w:val="bottom"/>
          </w:tcPr>
          <w:p w14:paraId="74DE1FF8" w14:textId="77777777" w:rsidR="00584EC1" w:rsidRDefault="00584EC1">
            <w:pPr>
              <w:rPr>
                <w:rFonts w:ascii="宋体"/>
                <w:vanish/>
              </w:rPr>
            </w:pPr>
          </w:p>
        </w:tc>
        <w:tc>
          <w:tcPr>
            <w:tcW w:w="0" w:type="auto"/>
            <w:gridSpan w:val="3"/>
            <w:shd w:val="clear" w:color="auto" w:fill="auto"/>
            <w:vAlign w:val="bottom"/>
          </w:tcPr>
          <w:p w14:paraId="74DE1FF9" w14:textId="77777777" w:rsidR="00584EC1" w:rsidRDefault="00584EC1">
            <w:pPr>
              <w:rPr>
                <w:rFonts w:ascii="宋体"/>
                <w:vanish/>
              </w:rPr>
            </w:pPr>
          </w:p>
        </w:tc>
        <w:tc>
          <w:tcPr>
            <w:tcW w:w="0" w:type="auto"/>
            <w:gridSpan w:val="3"/>
            <w:shd w:val="clear" w:color="auto" w:fill="auto"/>
            <w:vAlign w:val="bottom"/>
          </w:tcPr>
          <w:p w14:paraId="74DE1FFA" w14:textId="77777777" w:rsidR="00584EC1" w:rsidRDefault="00584EC1">
            <w:pPr>
              <w:rPr>
                <w:rFonts w:ascii="宋体"/>
                <w:vanish/>
              </w:rPr>
            </w:pPr>
          </w:p>
        </w:tc>
        <w:tc>
          <w:tcPr>
            <w:tcW w:w="0" w:type="auto"/>
            <w:gridSpan w:val="3"/>
            <w:shd w:val="clear" w:color="auto" w:fill="auto"/>
            <w:vAlign w:val="bottom"/>
          </w:tcPr>
          <w:p w14:paraId="74DE1FFB" w14:textId="77777777" w:rsidR="00584EC1" w:rsidRDefault="00584EC1">
            <w:pPr>
              <w:rPr>
                <w:rFonts w:ascii="宋体"/>
                <w:vanish/>
              </w:rPr>
            </w:pPr>
          </w:p>
        </w:tc>
        <w:tc>
          <w:tcPr>
            <w:tcW w:w="0" w:type="auto"/>
            <w:gridSpan w:val="3"/>
            <w:shd w:val="clear" w:color="auto" w:fill="auto"/>
            <w:vAlign w:val="bottom"/>
          </w:tcPr>
          <w:p w14:paraId="74DE1FFC" w14:textId="77777777" w:rsidR="00584EC1" w:rsidRDefault="00584EC1">
            <w:pPr>
              <w:rPr>
                <w:rFonts w:ascii="宋体"/>
                <w:vanish/>
              </w:rPr>
            </w:pPr>
          </w:p>
        </w:tc>
      </w:tr>
      <w:tr w:rsidR="00584EC1" w14:paraId="74DE2012" w14:textId="77777777">
        <w:trPr>
          <w:hidden/>
        </w:trPr>
        <w:tc>
          <w:tcPr>
            <w:tcW w:w="0" w:type="auto"/>
            <w:gridSpan w:val="3"/>
            <w:shd w:val="clear" w:color="auto" w:fill="auto"/>
            <w:vAlign w:val="bottom"/>
          </w:tcPr>
          <w:p w14:paraId="74DE1FFE" w14:textId="77777777" w:rsidR="00584EC1" w:rsidRDefault="00584EC1">
            <w:pPr>
              <w:rPr>
                <w:rFonts w:ascii="宋体"/>
                <w:vanish/>
              </w:rPr>
            </w:pPr>
          </w:p>
        </w:tc>
        <w:tc>
          <w:tcPr>
            <w:tcW w:w="0" w:type="auto"/>
            <w:gridSpan w:val="3"/>
            <w:shd w:val="clear" w:color="auto" w:fill="auto"/>
            <w:vAlign w:val="bottom"/>
          </w:tcPr>
          <w:p w14:paraId="74DE1FFF" w14:textId="77777777" w:rsidR="00584EC1" w:rsidRDefault="00584EC1">
            <w:pPr>
              <w:rPr>
                <w:rFonts w:ascii="宋体"/>
                <w:vanish/>
              </w:rPr>
            </w:pPr>
          </w:p>
        </w:tc>
        <w:tc>
          <w:tcPr>
            <w:tcW w:w="0" w:type="auto"/>
            <w:gridSpan w:val="3"/>
            <w:shd w:val="clear" w:color="auto" w:fill="auto"/>
            <w:vAlign w:val="bottom"/>
          </w:tcPr>
          <w:p w14:paraId="74DE2000" w14:textId="77777777" w:rsidR="00584EC1" w:rsidRDefault="00584EC1">
            <w:pPr>
              <w:rPr>
                <w:rFonts w:ascii="宋体"/>
                <w:vanish/>
              </w:rPr>
            </w:pPr>
          </w:p>
        </w:tc>
        <w:tc>
          <w:tcPr>
            <w:tcW w:w="0" w:type="auto"/>
            <w:gridSpan w:val="3"/>
            <w:shd w:val="clear" w:color="auto" w:fill="auto"/>
            <w:vAlign w:val="bottom"/>
          </w:tcPr>
          <w:p w14:paraId="74DE2001" w14:textId="77777777" w:rsidR="00584EC1" w:rsidRDefault="00584EC1">
            <w:pPr>
              <w:rPr>
                <w:rFonts w:ascii="宋体"/>
                <w:vanish/>
              </w:rPr>
            </w:pPr>
          </w:p>
        </w:tc>
        <w:tc>
          <w:tcPr>
            <w:tcW w:w="0" w:type="auto"/>
            <w:gridSpan w:val="3"/>
            <w:shd w:val="clear" w:color="auto" w:fill="auto"/>
            <w:vAlign w:val="bottom"/>
          </w:tcPr>
          <w:p w14:paraId="74DE2002" w14:textId="77777777" w:rsidR="00584EC1" w:rsidRDefault="00584EC1">
            <w:pPr>
              <w:rPr>
                <w:rFonts w:ascii="宋体"/>
                <w:vanish/>
              </w:rPr>
            </w:pPr>
          </w:p>
        </w:tc>
        <w:tc>
          <w:tcPr>
            <w:tcW w:w="0" w:type="auto"/>
            <w:gridSpan w:val="3"/>
            <w:shd w:val="clear" w:color="auto" w:fill="auto"/>
            <w:vAlign w:val="bottom"/>
          </w:tcPr>
          <w:p w14:paraId="74DE2003" w14:textId="77777777" w:rsidR="00584EC1" w:rsidRDefault="00584EC1">
            <w:pPr>
              <w:rPr>
                <w:rFonts w:ascii="宋体"/>
                <w:vanish/>
              </w:rPr>
            </w:pPr>
          </w:p>
        </w:tc>
        <w:tc>
          <w:tcPr>
            <w:tcW w:w="0" w:type="auto"/>
            <w:gridSpan w:val="3"/>
            <w:shd w:val="clear" w:color="auto" w:fill="auto"/>
            <w:vAlign w:val="bottom"/>
          </w:tcPr>
          <w:p w14:paraId="74DE2004" w14:textId="77777777" w:rsidR="00584EC1" w:rsidRDefault="00584EC1">
            <w:pPr>
              <w:rPr>
                <w:rFonts w:ascii="宋体"/>
                <w:vanish/>
              </w:rPr>
            </w:pPr>
          </w:p>
        </w:tc>
        <w:tc>
          <w:tcPr>
            <w:tcW w:w="0" w:type="auto"/>
            <w:gridSpan w:val="3"/>
            <w:shd w:val="clear" w:color="auto" w:fill="auto"/>
            <w:vAlign w:val="bottom"/>
          </w:tcPr>
          <w:p w14:paraId="74DE2005" w14:textId="77777777" w:rsidR="00584EC1" w:rsidRDefault="00584EC1">
            <w:pPr>
              <w:rPr>
                <w:rFonts w:ascii="宋体"/>
                <w:vanish/>
              </w:rPr>
            </w:pPr>
          </w:p>
        </w:tc>
        <w:tc>
          <w:tcPr>
            <w:tcW w:w="0" w:type="auto"/>
            <w:gridSpan w:val="3"/>
            <w:shd w:val="clear" w:color="auto" w:fill="auto"/>
            <w:vAlign w:val="bottom"/>
          </w:tcPr>
          <w:p w14:paraId="74DE2006" w14:textId="77777777" w:rsidR="00584EC1" w:rsidRDefault="00584EC1">
            <w:pPr>
              <w:rPr>
                <w:rFonts w:ascii="宋体"/>
                <w:vanish/>
              </w:rPr>
            </w:pPr>
          </w:p>
        </w:tc>
        <w:tc>
          <w:tcPr>
            <w:tcW w:w="0" w:type="auto"/>
            <w:gridSpan w:val="3"/>
            <w:shd w:val="clear" w:color="auto" w:fill="auto"/>
            <w:vAlign w:val="bottom"/>
          </w:tcPr>
          <w:p w14:paraId="74DE2007" w14:textId="77777777" w:rsidR="00584EC1" w:rsidRDefault="00584EC1">
            <w:pPr>
              <w:rPr>
                <w:rFonts w:ascii="宋体"/>
                <w:vanish/>
              </w:rPr>
            </w:pPr>
          </w:p>
        </w:tc>
        <w:tc>
          <w:tcPr>
            <w:tcW w:w="0" w:type="auto"/>
            <w:gridSpan w:val="3"/>
            <w:shd w:val="clear" w:color="auto" w:fill="auto"/>
            <w:vAlign w:val="bottom"/>
          </w:tcPr>
          <w:p w14:paraId="74DE2008" w14:textId="77777777" w:rsidR="00584EC1" w:rsidRDefault="00584EC1">
            <w:pPr>
              <w:rPr>
                <w:rFonts w:ascii="宋体"/>
                <w:vanish/>
              </w:rPr>
            </w:pPr>
          </w:p>
        </w:tc>
        <w:tc>
          <w:tcPr>
            <w:tcW w:w="0" w:type="auto"/>
            <w:gridSpan w:val="3"/>
            <w:shd w:val="clear" w:color="auto" w:fill="auto"/>
            <w:vAlign w:val="bottom"/>
          </w:tcPr>
          <w:p w14:paraId="74DE2009" w14:textId="77777777" w:rsidR="00584EC1" w:rsidRDefault="00584EC1">
            <w:pPr>
              <w:rPr>
                <w:rFonts w:ascii="宋体"/>
                <w:vanish/>
              </w:rPr>
            </w:pPr>
          </w:p>
        </w:tc>
        <w:tc>
          <w:tcPr>
            <w:tcW w:w="0" w:type="auto"/>
            <w:gridSpan w:val="3"/>
            <w:shd w:val="clear" w:color="auto" w:fill="auto"/>
            <w:vAlign w:val="bottom"/>
          </w:tcPr>
          <w:p w14:paraId="74DE200A" w14:textId="77777777" w:rsidR="00584EC1" w:rsidRDefault="00584EC1">
            <w:pPr>
              <w:rPr>
                <w:rFonts w:ascii="宋体"/>
                <w:vanish/>
              </w:rPr>
            </w:pPr>
          </w:p>
        </w:tc>
        <w:tc>
          <w:tcPr>
            <w:tcW w:w="0" w:type="auto"/>
            <w:gridSpan w:val="3"/>
            <w:shd w:val="clear" w:color="auto" w:fill="auto"/>
            <w:vAlign w:val="bottom"/>
          </w:tcPr>
          <w:p w14:paraId="74DE200B" w14:textId="77777777" w:rsidR="00584EC1" w:rsidRDefault="00584EC1">
            <w:pPr>
              <w:rPr>
                <w:rFonts w:ascii="宋体"/>
                <w:vanish/>
              </w:rPr>
            </w:pPr>
          </w:p>
        </w:tc>
        <w:tc>
          <w:tcPr>
            <w:tcW w:w="0" w:type="auto"/>
            <w:gridSpan w:val="3"/>
            <w:shd w:val="clear" w:color="auto" w:fill="auto"/>
            <w:vAlign w:val="bottom"/>
          </w:tcPr>
          <w:p w14:paraId="74DE200C" w14:textId="77777777" w:rsidR="00584EC1" w:rsidRDefault="00584EC1">
            <w:pPr>
              <w:rPr>
                <w:rFonts w:ascii="宋体"/>
                <w:vanish/>
              </w:rPr>
            </w:pPr>
          </w:p>
        </w:tc>
        <w:tc>
          <w:tcPr>
            <w:tcW w:w="0" w:type="auto"/>
            <w:gridSpan w:val="3"/>
            <w:shd w:val="clear" w:color="auto" w:fill="auto"/>
            <w:vAlign w:val="bottom"/>
          </w:tcPr>
          <w:p w14:paraId="74DE200D" w14:textId="77777777" w:rsidR="00584EC1" w:rsidRDefault="00584EC1">
            <w:pPr>
              <w:rPr>
                <w:rFonts w:ascii="宋体"/>
                <w:vanish/>
              </w:rPr>
            </w:pPr>
          </w:p>
        </w:tc>
        <w:tc>
          <w:tcPr>
            <w:tcW w:w="0" w:type="auto"/>
            <w:gridSpan w:val="3"/>
            <w:shd w:val="clear" w:color="auto" w:fill="auto"/>
            <w:vAlign w:val="bottom"/>
          </w:tcPr>
          <w:p w14:paraId="74DE200E" w14:textId="77777777" w:rsidR="00584EC1" w:rsidRDefault="00584EC1">
            <w:pPr>
              <w:rPr>
                <w:rFonts w:ascii="宋体"/>
                <w:vanish/>
              </w:rPr>
            </w:pPr>
          </w:p>
        </w:tc>
        <w:tc>
          <w:tcPr>
            <w:tcW w:w="0" w:type="auto"/>
            <w:gridSpan w:val="3"/>
            <w:shd w:val="clear" w:color="auto" w:fill="auto"/>
            <w:vAlign w:val="bottom"/>
          </w:tcPr>
          <w:p w14:paraId="74DE200F" w14:textId="77777777" w:rsidR="00584EC1" w:rsidRDefault="00584EC1">
            <w:pPr>
              <w:rPr>
                <w:rFonts w:ascii="宋体"/>
                <w:vanish/>
              </w:rPr>
            </w:pPr>
          </w:p>
        </w:tc>
        <w:tc>
          <w:tcPr>
            <w:tcW w:w="0" w:type="auto"/>
            <w:gridSpan w:val="3"/>
            <w:shd w:val="clear" w:color="auto" w:fill="auto"/>
            <w:vAlign w:val="bottom"/>
          </w:tcPr>
          <w:p w14:paraId="74DE2010" w14:textId="77777777" w:rsidR="00584EC1" w:rsidRDefault="00584EC1">
            <w:pPr>
              <w:rPr>
                <w:rFonts w:ascii="宋体"/>
                <w:vanish/>
              </w:rPr>
            </w:pPr>
          </w:p>
        </w:tc>
        <w:tc>
          <w:tcPr>
            <w:tcW w:w="0" w:type="auto"/>
            <w:gridSpan w:val="3"/>
            <w:shd w:val="clear" w:color="auto" w:fill="auto"/>
            <w:vAlign w:val="bottom"/>
          </w:tcPr>
          <w:p w14:paraId="74DE2011" w14:textId="77777777" w:rsidR="00584EC1" w:rsidRDefault="00584EC1">
            <w:pPr>
              <w:rPr>
                <w:rFonts w:ascii="宋体"/>
                <w:vanish/>
              </w:rPr>
            </w:pPr>
          </w:p>
        </w:tc>
      </w:tr>
      <w:tr w:rsidR="00584EC1" w14:paraId="74DE2027" w14:textId="77777777">
        <w:trPr>
          <w:hidden/>
        </w:trPr>
        <w:tc>
          <w:tcPr>
            <w:tcW w:w="0" w:type="auto"/>
            <w:gridSpan w:val="3"/>
            <w:shd w:val="clear" w:color="auto" w:fill="auto"/>
            <w:vAlign w:val="bottom"/>
          </w:tcPr>
          <w:p w14:paraId="74DE2013" w14:textId="77777777" w:rsidR="00584EC1" w:rsidRDefault="00584EC1">
            <w:pPr>
              <w:rPr>
                <w:rFonts w:ascii="宋体"/>
                <w:vanish/>
              </w:rPr>
            </w:pPr>
          </w:p>
        </w:tc>
        <w:tc>
          <w:tcPr>
            <w:tcW w:w="0" w:type="auto"/>
            <w:gridSpan w:val="3"/>
            <w:shd w:val="clear" w:color="auto" w:fill="auto"/>
            <w:vAlign w:val="bottom"/>
          </w:tcPr>
          <w:p w14:paraId="74DE2014" w14:textId="77777777" w:rsidR="00584EC1" w:rsidRDefault="00584EC1">
            <w:pPr>
              <w:rPr>
                <w:rFonts w:ascii="宋体"/>
                <w:vanish/>
              </w:rPr>
            </w:pPr>
          </w:p>
        </w:tc>
        <w:tc>
          <w:tcPr>
            <w:tcW w:w="0" w:type="auto"/>
            <w:gridSpan w:val="3"/>
            <w:shd w:val="clear" w:color="auto" w:fill="auto"/>
            <w:vAlign w:val="bottom"/>
          </w:tcPr>
          <w:p w14:paraId="74DE2015" w14:textId="77777777" w:rsidR="00584EC1" w:rsidRDefault="00584EC1">
            <w:pPr>
              <w:rPr>
                <w:rFonts w:ascii="宋体"/>
                <w:vanish/>
              </w:rPr>
            </w:pPr>
          </w:p>
        </w:tc>
        <w:tc>
          <w:tcPr>
            <w:tcW w:w="0" w:type="auto"/>
            <w:gridSpan w:val="3"/>
            <w:shd w:val="clear" w:color="auto" w:fill="auto"/>
            <w:vAlign w:val="bottom"/>
          </w:tcPr>
          <w:p w14:paraId="74DE2016" w14:textId="77777777" w:rsidR="00584EC1" w:rsidRDefault="00584EC1">
            <w:pPr>
              <w:rPr>
                <w:rFonts w:ascii="宋体"/>
                <w:vanish/>
              </w:rPr>
            </w:pPr>
          </w:p>
        </w:tc>
        <w:tc>
          <w:tcPr>
            <w:tcW w:w="0" w:type="auto"/>
            <w:gridSpan w:val="3"/>
            <w:shd w:val="clear" w:color="auto" w:fill="auto"/>
            <w:vAlign w:val="bottom"/>
          </w:tcPr>
          <w:p w14:paraId="74DE2017" w14:textId="77777777" w:rsidR="00584EC1" w:rsidRDefault="00584EC1">
            <w:pPr>
              <w:rPr>
                <w:rFonts w:ascii="宋体"/>
                <w:vanish/>
              </w:rPr>
            </w:pPr>
          </w:p>
        </w:tc>
        <w:tc>
          <w:tcPr>
            <w:tcW w:w="0" w:type="auto"/>
            <w:gridSpan w:val="3"/>
            <w:shd w:val="clear" w:color="auto" w:fill="auto"/>
            <w:vAlign w:val="bottom"/>
          </w:tcPr>
          <w:p w14:paraId="74DE2018" w14:textId="77777777" w:rsidR="00584EC1" w:rsidRDefault="00584EC1">
            <w:pPr>
              <w:rPr>
                <w:rFonts w:ascii="宋体"/>
                <w:vanish/>
              </w:rPr>
            </w:pPr>
          </w:p>
        </w:tc>
        <w:tc>
          <w:tcPr>
            <w:tcW w:w="0" w:type="auto"/>
            <w:gridSpan w:val="3"/>
            <w:shd w:val="clear" w:color="auto" w:fill="auto"/>
            <w:vAlign w:val="bottom"/>
          </w:tcPr>
          <w:p w14:paraId="74DE2019" w14:textId="77777777" w:rsidR="00584EC1" w:rsidRDefault="00584EC1">
            <w:pPr>
              <w:rPr>
                <w:rFonts w:ascii="宋体"/>
                <w:vanish/>
              </w:rPr>
            </w:pPr>
          </w:p>
        </w:tc>
        <w:tc>
          <w:tcPr>
            <w:tcW w:w="0" w:type="auto"/>
            <w:gridSpan w:val="3"/>
            <w:shd w:val="clear" w:color="auto" w:fill="auto"/>
            <w:vAlign w:val="bottom"/>
          </w:tcPr>
          <w:p w14:paraId="74DE201A" w14:textId="77777777" w:rsidR="00584EC1" w:rsidRDefault="00584EC1">
            <w:pPr>
              <w:rPr>
                <w:rFonts w:ascii="宋体"/>
                <w:vanish/>
              </w:rPr>
            </w:pPr>
          </w:p>
        </w:tc>
        <w:tc>
          <w:tcPr>
            <w:tcW w:w="0" w:type="auto"/>
            <w:gridSpan w:val="3"/>
            <w:shd w:val="clear" w:color="auto" w:fill="auto"/>
            <w:vAlign w:val="bottom"/>
          </w:tcPr>
          <w:p w14:paraId="74DE201B" w14:textId="77777777" w:rsidR="00584EC1" w:rsidRDefault="00584EC1">
            <w:pPr>
              <w:rPr>
                <w:rFonts w:ascii="宋体"/>
                <w:vanish/>
              </w:rPr>
            </w:pPr>
          </w:p>
        </w:tc>
        <w:tc>
          <w:tcPr>
            <w:tcW w:w="0" w:type="auto"/>
            <w:gridSpan w:val="3"/>
            <w:shd w:val="clear" w:color="auto" w:fill="auto"/>
            <w:vAlign w:val="bottom"/>
          </w:tcPr>
          <w:p w14:paraId="74DE201C" w14:textId="77777777" w:rsidR="00584EC1" w:rsidRDefault="00584EC1">
            <w:pPr>
              <w:rPr>
                <w:rFonts w:ascii="宋体"/>
                <w:vanish/>
              </w:rPr>
            </w:pPr>
          </w:p>
        </w:tc>
        <w:tc>
          <w:tcPr>
            <w:tcW w:w="0" w:type="auto"/>
            <w:gridSpan w:val="3"/>
            <w:shd w:val="clear" w:color="auto" w:fill="auto"/>
            <w:vAlign w:val="bottom"/>
          </w:tcPr>
          <w:p w14:paraId="74DE201D" w14:textId="77777777" w:rsidR="00584EC1" w:rsidRDefault="00584EC1">
            <w:pPr>
              <w:rPr>
                <w:rFonts w:ascii="宋体"/>
                <w:vanish/>
              </w:rPr>
            </w:pPr>
          </w:p>
        </w:tc>
        <w:tc>
          <w:tcPr>
            <w:tcW w:w="0" w:type="auto"/>
            <w:gridSpan w:val="3"/>
            <w:shd w:val="clear" w:color="auto" w:fill="auto"/>
            <w:vAlign w:val="bottom"/>
          </w:tcPr>
          <w:p w14:paraId="74DE201E" w14:textId="77777777" w:rsidR="00584EC1" w:rsidRDefault="00584EC1">
            <w:pPr>
              <w:rPr>
                <w:rFonts w:ascii="宋体"/>
                <w:vanish/>
              </w:rPr>
            </w:pPr>
          </w:p>
        </w:tc>
        <w:tc>
          <w:tcPr>
            <w:tcW w:w="0" w:type="auto"/>
            <w:gridSpan w:val="3"/>
            <w:shd w:val="clear" w:color="auto" w:fill="auto"/>
            <w:vAlign w:val="bottom"/>
          </w:tcPr>
          <w:p w14:paraId="74DE201F" w14:textId="77777777" w:rsidR="00584EC1" w:rsidRDefault="00584EC1">
            <w:pPr>
              <w:rPr>
                <w:rFonts w:ascii="宋体"/>
                <w:vanish/>
              </w:rPr>
            </w:pPr>
          </w:p>
        </w:tc>
        <w:tc>
          <w:tcPr>
            <w:tcW w:w="0" w:type="auto"/>
            <w:gridSpan w:val="3"/>
            <w:shd w:val="clear" w:color="auto" w:fill="auto"/>
            <w:vAlign w:val="bottom"/>
          </w:tcPr>
          <w:p w14:paraId="74DE2020" w14:textId="77777777" w:rsidR="00584EC1" w:rsidRDefault="00584EC1">
            <w:pPr>
              <w:rPr>
                <w:rFonts w:ascii="宋体"/>
                <w:vanish/>
              </w:rPr>
            </w:pPr>
          </w:p>
        </w:tc>
        <w:tc>
          <w:tcPr>
            <w:tcW w:w="0" w:type="auto"/>
            <w:gridSpan w:val="3"/>
            <w:shd w:val="clear" w:color="auto" w:fill="auto"/>
            <w:vAlign w:val="bottom"/>
          </w:tcPr>
          <w:p w14:paraId="74DE2021" w14:textId="77777777" w:rsidR="00584EC1" w:rsidRDefault="00584EC1">
            <w:pPr>
              <w:rPr>
                <w:rFonts w:ascii="宋体"/>
                <w:vanish/>
              </w:rPr>
            </w:pPr>
          </w:p>
        </w:tc>
        <w:tc>
          <w:tcPr>
            <w:tcW w:w="0" w:type="auto"/>
            <w:gridSpan w:val="3"/>
            <w:shd w:val="clear" w:color="auto" w:fill="auto"/>
            <w:vAlign w:val="bottom"/>
          </w:tcPr>
          <w:p w14:paraId="74DE2022" w14:textId="77777777" w:rsidR="00584EC1" w:rsidRDefault="00584EC1">
            <w:pPr>
              <w:rPr>
                <w:rFonts w:ascii="宋体"/>
                <w:vanish/>
              </w:rPr>
            </w:pPr>
          </w:p>
        </w:tc>
        <w:tc>
          <w:tcPr>
            <w:tcW w:w="0" w:type="auto"/>
            <w:gridSpan w:val="3"/>
            <w:shd w:val="clear" w:color="auto" w:fill="auto"/>
            <w:vAlign w:val="bottom"/>
          </w:tcPr>
          <w:p w14:paraId="74DE2023" w14:textId="77777777" w:rsidR="00584EC1" w:rsidRDefault="00584EC1">
            <w:pPr>
              <w:rPr>
                <w:rFonts w:ascii="宋体"/>
                <w:vanish/>
              </w:rPr>
            </w:pPr>
          </w:p>
        </w:tc>
        <w:tc>
          <w:tcPr>
            <w:tcW w:w="0" w:type="auto"/>
            <w:gridSpan w:val="3"/>
            <w:shd w:val="clear" w:color="auto" w:fill="auto"/>
            <w:vAlign w:val="bottom"/>
          </w:tcPr>
          <w:p w14:paraId="74DE2024" w14:textId="77777777" w:rsidR="00584EC1" w:rsidRDefault="00584EC1">
            <w:pPr>
              <w:rPr>
                <w:rFonts w:ascii="宋体"/>
                <w:vanish/>
              </w:rPr>
            </w:pPr>
          </w:p>
        </w:tc>
        <w:tc>
          <w:tcPr>
            <w:tcW w:w="0" w:type="auto"/>
            <w:gridSpan w:val="3"/>
            <w:shd w:val="clear" w:color="auto" w:fill="auto"/>
            <w:vAlign w:val="bottom"/>
          </w:tcPr>
          <w:p w14:paraId="74DE2025" w14:textId="77777777" w:rsidR="00584EC1" w:rsidRDefault="00584EC1">
            <w:pPr>
              <w:rPr>
                <w:rFonts w:ascii="宋体"/>
                <w:vanish/>
              </w:rPr>
            </w:pPr>
          </w:p>
        </w:tc>
        <w:tc>
          <w:tcPr>
            <w:tcW w:w="0" w:type="auto"/>
            <w:gridSpan w:val="3"/>
            <w:shd w:val="clear" w:color="auto" w:fill="auto"/>
            <w:vAlign w:val="bottom"/>
          </w:tcPr>
          <w:p w14:paraId="74DE2026" w14:textId="77777777" w:rsidR="00584EC1" w:rsidRDefault="00584EC1">
            <w:pPr>
              <w:rPr>
                <w:rFonts w:ascii="宋体"/>
                <w:vanish/>
              </w:rPr>
            </w:pPr>
          </w:p>
        </w:tc>
      </w:tr>
      <w:tr w:rsidR="00584EC1" w14:paraId="74DE203C" w14:textId="77777777">
        <w:trPr>
          <w:hidden/>
        </w:trPr>
        <w:tc>
          <w:tcPr>
            <w:tcW w:w="0" w:type="auto"/>
            <w:gridSpan w:val="3"/>
            <w:shd w:val="clear" w:color="auto" w:fill="auto"/>
            <w:vAlign w:val="bottom"/>
          </w:tcPr>
          <w:p w14:paraId="74DE2028" w14:textId="77777777" w:rsidR="00584EC1" w:rsidRDefault="00584EC1">
            <w:pPr>
              <w:rPr>
                <w:rFonts w:ascii="宋体"/>
                <w:vanish/>
              </w:rPr>
            </w:pPr>
          </w:p>
        </w:tc>
        <w:tc>
          <w:tcPr>
            <w:tcW w:w="0" w:type="auto"/>
            <w:gridSpan w:val="3"/>
            <w:shd w:val="clear" w:color="auto" w:fill="auto"/>
            <w:vAlign w:val="bottom"/>
          </w:tcPr>
          <w:p w14:paraId="74DE2029" w14:textId="77777777" w:rsidR="00584EC1" w:rsidRDefault="00584EC1">
            <w:pPr>
              <w:rPr>
                <w:rFonts w:ascii="宋体"/>
                <w:vanish/>
              </w:rPr>
            </w:pPr>
          </w:p>
        </w:tc>
        <w:tc>
          <w:tcPr>
            <w:tcW w:w="0" w:type="auto"/>
            <w:gridSpan w:val="3"/>
            <w:shd w:val="clear" w:color="auto" w:fill="auto"/>
            <w:vAlign w:val="bottom"/>
          </w:tcPr>
          <w:p w14:paraId="74DE202A" w14:textId="77777777" w:rsidR="00584EC1" w:rsidRDefault="00584EC1">
            <w:pPr>
              <w:rPr>
                <w:rFonts w:ascii="宋体"/>
                <w:vanish/>
              </w:rPr>
            </w:pPr>
          </w:p>
        </w:tc>
        <w:tc>
          <w:tcPr>
            <w:tcW w:w="0" w:type="auto"/>
            <w:gridSpan w:val="3"/>
            <w:shd w:val="clear" w:color="auto" w:fill="auto"/>
            <w:vAlign w:val="bottom"/>
          </w:tcPr>
          <w:p w14:paraId="74DE202B" w14:textId="77777777" w:rsidR="00584EC1" w:rsidRDefault="00584EC1">
            <w:pPr>
              <w:rPr>
                <w:rFonts w:ascii="宋体"/>
                <w:vanish/>
              </w:rPr>
            </w:pPr>
          </w:p>
        </w:tc>
        <w:tc>
          <w:tcPr>
            <w:tcW w:w="0" w:type="auto"/>
            <w:gridSpan w:val="3"/>
            <w:shd w:val="clear" w:color="auto" w:fill="auto"/>
            <w:vAlign w:val="bottom"/>
          </w:tcPr>
          <w:p w14:paraId="74DE202C" w14:textId="77777777" w:rsidR="00584EC1" w:rsidRDefault="00584EC1">
            <w:pPr>
              <w:rPr>
                <w:rFonts w:ascii="宋体"/>
                <w:vanish/>
              </w:rPr>
            </w:pPr>
          </w:p>
        </w:tc>
        <w:tc>
          <w:tcPr>
            <w:tcW w:w="0" w:type="auto"/>
            <w:gridSpan w:val="3"/>
            <w:shd w:val="clear" w:color="auto" w:fill="auto"/>
            <w:vAlign w:val="bottom"/>
          </w:tcPr>
          <w:p w14:paraId="74DE202D" w14:textId="77777777" w:rsidR="00584EC1" w:rsidRDefault="00584EC1">
            <w:pPr>
              <w:rPr>
                <w:rFonts w:ascii="宋体"/>
                <w:vanish/>
              </w:rPr>
            </w:pPr>
          </w:p>
        </w:tc>
        <w:tc>
          <w:tcPr>
            <w:tcW w:w="0" w:type="auto"/>
            <w:gridSpan w:val="3"/>
            <w:shd w:val="clear" w:color="auto" w:fill="auto"/>
            <w:vAlign w:val="bottom"/>
          </w:tcPr>
          <w:p w14:paraId="74DE202E" w14:textId="77777777" w:rsidR="00584EC1" w:rsidRDefault="00584EC1">
            <w:pPr>
              <w:rPr>
                <w:rFonts w:ascii="宋体"/>
                <w:vanish/>
              </w:rPr>
            </w:pPr>
          </w:p>
        </w:tc>
        <w:tc>
          <w:tcPr>
            <w:tcW w:w="0" w:type="auto"/>
            <w:gridSpan w:val="3"/>
            <w:shd w:val="clear" w:color="auto" w:fill="auto"/>
            <w:vAlign w:val="bottom"/>
          </w:tcPr>
          <w:p w14:paraId="74DE202F" w14:textId="77777777" w:rsidR="00584EC1" w:rsidRDefault="00584EC1">
            <w:pPr>
              <w:rPr>
                <w:rFonts w:ascii="宋体"/>
                <w:vanish/>
              </w:rPr>
            </w:pPr>
          </w:p>
        </w:tc>
        <w:tc>
          <w:tcPr>
            <w:tcW w:w="0" w:type="auto"/>
            <w:gridSpan w:val="3"/>
            <w:shd w:val="clear" w:color="auto" w:fill="auto"/>
            <w:vAlign w:val="bottom"/>
          </w:tcPr>
          <w:p w14:paraId="74DE2030" w14:textId="77777777" w:rsidR="00584EC1" w:rsidRDefault="00584EC1">
            <w:pPr>
              <w:rPr>
                <w:rFonts w:ascii="宋体"/>
                <w:vanish/>
              </w:rPr>
            </w:pPr>
          </w:p>
        </w:tc>
        <w:tc>
          <w:tcPr>
            <w:tcW w:w="0" w:type="auto"/>
            <w:gridSpan w:val="3"/>
            <w:shd w:val="clear" w:color="auto" w:fill="auto"/>
            <w:vAlign w:val="bottom"/>
          </w:tcPr>
          <w:p w14:paraId="74DE2031" w14:textId="77777777" w:rsidR="00584EC1" w:rsidRDefault="00584EC1">
            <w:pPr>
              <w:rPr>
                <w:rFonts w:ascii="宋体"/>
                <w:vanish/>
              </w:rPr>
            </w:pPr>
          </w:p>
        </w:tc>
        <w:tc>
          <w:tcPr>
            <w:tcW w:w="0" w:type="auto"/>
            <w:gridSpan w:val="3"/>
            <w:shd w:val="clear" w:color="auto" w:fill="auto"/>
            <w:vAlign w:val="bottom"/>
          </w:tcPr>
          <w:p w14:paraId="74DE2032" w14:textId="77777777" w:rsidR="00584EC1" w:rsidRDefault="00584EC1">
            <w:pPr>
              <w:rPr>
                <w:rFonts w:ascii="宋体"/>
                <w:vanish/>
              </w:rPr>
            </w:pPr>
          </w:p>
        </w:tc>
        <w:tc>
          <w:tcPr>
            <w:tcW w:w="0" w:type="auto"/>
            <w:gridSpan w:val="3"/>
            <w:shd w:val="clear" w:color="auto" w:fill="auto"/>
            <w:vAlign w:val="bottom"/>
          </w:tcPr>
          <w:p w14:paraId="74DE2033" w14:textId="77777777" w:rsidR="00584EC1" w:rsidRDefault="00584EC1">
            <w:pPr>
              <w:rPr>
                <w:rFonts w:ascii="宋体"/>
                <w:vanish/>
              </w:rPr>
            </w:pPr>
          </w:p>
        </w:tc>
        <w:tc>
          <w:tcPr>
            <w:tcW w:w="0" w:type="auto"/>
            <w:gridSpan w:val="3"/>
            <w:shd w:val="clear" w:color="auto" w:fill="auto"/>
            <w:vAlign w:val="bottom"/>
          </w:tcPr>
          <w:p w14:paraId="74DE2034" w14:textId="77777777" w:rsidR="00584EC1" w:rsidRDefault="00584EC1">
            <w:pPr>
              <w:rPr>
                <w:rFonts w:ascii="宋体"/>
                <w:vanish/>
              </w:rPr>
            </w:pPr>
          </w:p>
        </w:tc>
        <w:tc>
          <w:tcPr>
            <w:tcW w:w="0" w:type="auto"/>
            <w:gridSpan w:val="3"/>
            <w:shd w:val="clear" w:color="auto" w:fill="auto"/>
            <w:vAlign w:val="bottom"/>
          </w:tcPr>
          <w:p w14:paraId="74DE2035" w14:textId="77777777" w:rsidR="00584EC1" w:rsidRDefault="00584EC1">
            <w:pPr>
              <w:rPr>
                <w:rFonts w:ascii="宋体"/>
                <w:vanish/>
              </w:rPr>
            </w:pPr>
          </w:p>
        </w:tc>
        <w:tc>
          <w:tcPr>
            <w:tcW w:w="0" w:type="auto"/>
            <w:gridSpan w:val="3"/>
            <w:shd w:val="clear" w:color="auto" w:fill="auto"/>
            <w:vAlign w:val="bottom"/>
          </w:tcPr>
          <w:p w14:paraId="74DE2036" w14:textId="77777777" w:rsidR="00584EC1" w:rsidRDefault="00584EC1">
            <w:pPr>
              <w:rPr>
                <w:rFonts w:ascii="宋体"/>
                <w:vanish/>
              </w:rPr>
            </w:pPr>
          </w:p>
        </w:tc>
        <w:tc>
          <w:tcPr>
            <w:tcW w:w="0" w:type="auto"/>
            <w:gridSpan w:val="3"/>
            <w:shd w:val="clear" w:color="auto" w:fill="auto"/>
            <w:vAlign w:val="bottom"/>
          </w:tcPr>
          <w:p w14:paraId="74DE2037" w14:textId="77777777" w:rsidR="00584EC1" w:rsidRDefault="00584EC1">
            <w:pPr>
              <w:rPr>
                <w:rFonts w:ascii="宋体"/>
                <w:vanish/>
              </w:rPr>
            </w:pPr>
          </w:p>
        </w:tc>
        <w:tc>
          <w:tcPr>
            <w:tcW w:w="0" w:type="auto"/>
            <w:gridSpan w:val="3"/>
            <w:shd w:val="clear" w:color="auto" w:fill="auto"/>
            <w:vAlign w:val="bottom"/>
          </w:tcPr>
          <w:p w14:paraId="74DE2038" w14:textId="77777777" w:rsidR="00584EC1" w:rsidRDefault="00584EC1">
            <w:pPr>
              <w:rPr>
                <w:rFonts w:ascii="宋体"/>
                <w:vanish/>
              </w:rPr>
            </w:pPr>
          </w:p>
        </w:tc>
        <w:tc>
          <w:tcPr>
            <w:tcW w:w="0" w:type="auto"/>
            <w:gridSpan w:val="3"/>
            <w:shd w:val="clear" w:color="auto" w:fill="auto"/>
            <w:vAlign w:val="bottom"/>
          </w:tcPr>
          <w:p w14:paraId="74DE2039" w14:textId="77777777" w:rsidR="00584EC1" w:rsidRDefault="00584EC1">
            <w:pPr>
              <w:rPr>
                <w:rFonts w:ascii="宋体"/>
                <w:vanish/>
              </w:rPr>
            </w:pPr>
          </w:p>
        </w:tc>
        <w:tc>
          <w:tcPr>
            <w:tcW w:w="0" w:type="auto"/>
            <w:gridSpan w:val="3"/>
            <w:shd w:val="clear" w:color="auto" w:fill="auto"/>
            <w:vAlign w:val="bottom"/>
          </w:tcPr>
          <w:p w14:paraId="74DE203A" w14:textId="77777777" w:rsidR="00584EC1" w:rsidRDefault="00584EC1">
            <w:pPr>
              <w:rPr>
                <w:rFonts w:ascii="宋体"/>
                <w:vanish/>
              </w:rPr>
            </w:pPr>
          </w:p>
        </w:tc>
        <w:tc>
          <w:tcPr>
            <w:tcW w:w="0" w:type="auto"/>
            <w:gridSpan w:val="3"/>
            <w:shd w:val="clear" w:color="auto" w:fill="auto"/>
            <w:vAlign w:val="bottom"/>
          </w:tcPr>
          <w:p w14:paraId="74DE203B" w14:textId="77777777" w:rsidR="00584EC1" w:rsidRDefault="00584EC1">
            <w:pPr>
              <w:rPr>
                <w:rFonts w:ascii="宋体"/>
                <w:vanish/>
              </w:rPr>
            </w:pPr>
          </w:p>
        </w:tc>
      </w:tr>
      <w:tr w:rsidR="00584EC1" w14:paraId="74DE2051" w14:textId="77777777">
        <w:trPr>
          <w:hidden/>
        </w:trPr>
        <w:tc>
          <w:tcPr>
            <w:tcW w:w="0" w:type="auto"/>
            <w:gridSpan w:val="3"/>
            <w:shd w:val="clear" w:color="auto" w:fill="auto"/>
            <w:vAlign w:val="bottom"/>
          </w:tcPr>
          <w:p w14:paraId="74DE203D" w14:textId="77777777" w:rsidR="00584EC1" w:rsidRDefault="00584EC1">
            <w:pPr>
              <w:rPr>
                <w:rFonts w:ascii="宋体"/>
                <w:vanish/>
              </w:rPr>
            </w:pPr>
          </w:p>
        </w:tc>
        <w:tc>
          <w:tcPr>
            <w:tcW w:w="0" w:type="auto"/>
            <w:gridSpan w:val="3"/>
            <w:shd w:val="clear" w:color="auto" w:fill="auto"/>
            <w:vAlign w:val="bottom"/>
          </w:tcPr>
          <w:p w14:paraId="74DE203E" w14:textId="77777777" w:rsidR="00584EC1" w:rsidRDefault="00584EC1">
            <w:pPr>
              <w:rPr>
                <w:rFonts w:ascii="宋体"/>
                <w:vanish/>
              </w:rPr>
            </w:pPr>
          </w:p>
        </w:tc>
        <w:tc>
          <w:tcPr>
            <w:tcW w:w="0" w:type="auto"/>
            <w:gridSpan w:val="3"/>
            <w:shd w:val="clear" w:color="auto" w:fill="auto"/>
            <w:vAlign w:val="bottom"/>
          </w:tcPr>
          <w:p w14:paraId="74DE203F" w14:textId="77777777" w:rsidR="00584EC1" w:rsidRDefault="00584EC1">
            <w:pPr>
              <w:rPr>
                <w:rFonts w:ascii="宋体"/>
                <w:vanish/>
              </w:rPr>
            </w:pPr>
          </w:p>
        </w:tc>
        <w:tc>
          <w:tcPr>
            <w:tcW w:w="0" w:type="auto"/>
            <w:gridSpan w:val="3"/>
            <w:shd w:val="clear" w:color="auto" w:fill="auto"/>
            <w:vAlign w:val="bottom"/>
          </w:tcPr>
          <w:p w14:paraId="74DE2040" w14:textId="77777777" w:rsidR="00584EC1" w:rsidRDefault="00584EC1">
            <w:pPr>
              <w:rPr>
                <w:rFonts w:ascii="宋体"/>
                <w:vanish/>
              </w:rPr>
            </w:pPr>
          </w:p>
        </w:tc>
        <w:tc>
          <w:tcPr>
            <w:tcW w:w="0" w:type="auto"/>
            <w:gridSpan w:val="3"/>
            <w:shd w:val="clear" w:color="auto" w:fill="auto"/>
            <w:vAlign w:val="bottom"/>
          </w:tcPr>
          <w:p w14:paraId="74DE2041" w14:textId="77777777" w:rsidR="00584EC1" w:rsidRDefault="00584EC1">
            <w:pPr>
              <w:rPr>
                <w:rFonts w:ascii="宋体"/>
                <w:vanish/>
              </w:rPr>
            </w:pPr>
          </w:p>
        </w:tc>
        <w:tc>
          <w:tcPr>
            <w:tcW w:w="0" w:type="auto"/>
            <w:gridSpan w:val="3"/>
            <w:shd w:val="clear" w:color="auto" w:fill="auto"/>
            <w:vAlign w:val="bottom"/>
          </w:tcPr>
          <w:p w14:paraId="74DE2042" w14:textId="77777777" w:rsidR="00584EC1" w:rsidRDefault="00584EC1">
            <w:pPr>
              <w:rPr>
                <w:rFonts w:ascii="宋体"/>
                <w:vanish/>
              </w:rPr>
            </w:pPr>
          </w:p>
        </w:tc>
        <w:tc>
          <w:tcPr>
            <w:tcW w:w="0" w:type="auto"/>
            <w:gridSpan w:val="3"/>
            <w:shd w:val="clear" w:color="auto" w:fill="auto"/>
            <w:vAlign w:val="bottom"/>
          </w:tcPr>
          <w:p w14:paraId="74DE2043" w14:textId="77777777" w:rsidR="00584EC1" w:rsidRDefault="00584EC1">
            <w:pPr>
              <w:rPr>
                <w:rFonts w:ascii="宋体"/>
                <w:vanish/>
              </w:rPr>
            </w:pPr>
          </w:p>
        </w:tc>
        <w:tc>
          <w:tcPr>
            <w:tcW w:w="0" w:type="auto"/>
            <w:gridSpan w:val="3"/>
            <w:shd w:val="clear" w:color="auto" w:fill="auto"/>
            <w:vAlign w:val="bottom"/>
          </w:tcPr>
          <w:p w14:paraId="74DE2044" w14:textId="77777777" w:rsidR="00584EC1" w:rsidRDefault="00584EC1">
            <w:pPr>
              <w:rPr>
                <w:rFonts w:ascii="宋体"/>
                <w:vanish/>
              </w:rPr>
            </w:pPr>
          </w:p>
        </w:tc>
        <w:tc>
          <w:tcPr>
            <w:tcW w:w="0" w:type="auto"/>
            <w:gridSpan w:val="3"/>
            <w:shd w:val="clear" w:color="auto" w:fill="auto"/>
            <w:vAlign w:val="bottom"/>
          </w:tcPr>
          <w:p w14:paraId="74DE2045" w14:textId="77777777" w:rsidR="00584EC1" w:rsidRDefault="00584EC1">
            <w:pPr>
              <w:rPr>
                <w:rFonts w:ascii="宋体"/>
                <w:vanish/>
              </w:rPr>
            </w:pPr>
          </w:p>
        </w:tc>
        <w:tc>
          <w:tcPr>
            <w:tcW w:w="0" w:type="auto"/>
            <w:gridSpan w:val="3"/>
            <w:shd w:val="clear" w:color="auto" w:fill="auto"/>
            <w:vAlign w:val="bottom"/>
          </w:tcPr>
          <w:p w14:paraId="74DE2046" w14:textId="77777777" w:rsidR="00584EC1" w:rsidRDefault="00584EC1">
            <w:pPr>
              <w:rPr>
                <w:rFonts w:ascii="宋体"/>
                <w:vanish/>
              </w:rPr>
            </w:pPr>
          </w:p>
        </w:tc>
        <w:tc>
          <w:tcPr>
            <w:tcW w:w="0" w:type="auto"/>
            <w:gridSpan w:val="3"/>
            <w:shd w:val="clear" w:color="auto" w:fill="auto"/>
            <w:vAlign w:val="bottom"/>
          </w:tcPr>
          <w:p w14:paraId="74DE2047" w14:textId="77777777" w:rsidR="00584EC1" w:rsidRDefault="00584EC1">
            <w:pPr>
              <w:rPr>
                <w:rFonts w:ascii="宋体"/>
                <w:vanish/>
              </w:rPr>
            </w:pPr>
          </w:p>
        </w:tc>
        <w:tc>
          <w:tcPr>
            <w:tcW w:w="0" w:type="auto"/>
            <w:gridSpan w:val="3"/>
            <w:shd w:val="clear" w:color="auto" w:fill="auto"/>
            <w:vAlign w:val="bottom"/>
          </w:tcPr>
          <w:p w14:paraId="74DE2048" w14:textId="77777777" w:rsidR="00584EC1" w:rsidRDefault="00584EC1">
            <w:pPr>
              <w:rPr>
                <w:rFonts w:ascii="宋体"/>
                <w:vanish/>
              </w:rPr>
            </w:pPr>
          </w:p>
        </w:tc>
        <w:tc>
          <w:tcPr>
            <w:tcW w:w="0" w:type="auto"/>
            <w:gridSpan w:val="3"/>
            <w:shd w:val="clear" w:color="auto" w:fill="auto"/>
            <w:vAlign w:val="bottom"/>
          </w:tcPr>
          <w:p w14:paraId="74DE2049" w14:textId="77777777" w:rsidR="00584EC1" w:rsidRDefault="00584EC1">
            <w:pPr>
              <w:rPr>
                <w:rFonts w:ascii="宋体"/>
                <w:vanish/>
              </w:rPr>
            </w:pPr>
          </w:p>
        </w:tc>
        <w:tc>
          <w:tcPr>
            <w:tcW w:w="0" w:type="auto"/>
            <w:gridSpan w:val="3"/>
            <w:shd w:val="clear" w:color="auto" w:fill="auto"/>
            <w:vAlign w:val="bottom"/>
          </w:tcPr>
          <w:p w14:paraId="74DE204A" w14:textId="77777777" w:rsidR="00584EC1" w:rsidRDefault="00584EC1">
            <w:pPr>
              <w:rPr>
                <w:rFonts w:ascii="宋体"/>
                <w:vanish/>
              </w:rPr>
            </w:pPr>
          </w:p>
        </w:tc>
        <w:tc>
          <w:tcPr>
            <w:tcW w:w="0" w:type="auto"/>
            <w:gridSpan w:val="3"/>
            <w:shd w:val="clear" w:color="auto" w:fill="auto"/>
            <w:vAlign w:val="bottom"/>
          </w:tcPr>
          <w:p w14:paraId="74DE204B" w14:textId="77777777" w:rsidR="00584EC1" w:rsidRDefault="00584EC1">
            <w:pPr>
              <w:rPr>
                <w:rFonts w:ascii="宋体"/>
                <w:vanish/>
              </w:rPr>
            </w:pPr>
          </w:p>
        </w:tc>
        <w:tc>
          <w:tcPr>
            <w:tcW w:w="0" w:type="auto"/>
            <w:gridSpan w:val="3"/>
            <w:shd w:val="clear" w:color="auto" w:fill="auto"/>
            <w:vAlign w:val="bottom"/>
          </w:tcPr>
          <w:p w14:paraId="74DE204C" w14:textId="77777777" w:rsidR="00584EC1" w:rsidRDefault="00584EC1">
            <w:pPr>
              <w:rPr>
                <w:rFonts w:ascii="宋体"/>
                <w:vanish/>
              </w:rPr>
            </w:pPr>
          </w:p>
        </w:tc>
        <w:tc>
          <w:tcPr>
            <w:tcW w:w="0" w:type="auto"/>
            <w:gridSpan w:val="3"/>
            <w:shd w:val="clear" w:color="auto" w:fill="auto"/>
            <w:vAlign w:val="bottom"/>
          </w:tcPr>
          <w:p w14:paraId="74DE204D" w14:textId="77777777" w:rsidR="00584EC1" w:rsidRDefault="00584EC1">
            <w:pPr>
              <w:rPr>
                <w:rFonts w:ascii="宋体"/>
                <w:vanish/>
              </w:rPr>
            </w:pPr>
          </w:p>
        </w:tc>
        <w:tc>
          <w:tcPr>
            <w:tcW w:w="0" w:type="auto"/>
            <w:gridSpan w:val="3"/>
            <w:shd w:val="clear" w:color="auto" w:fill="auto"/>
            <w:vAlign w:val="bottom"/>
          </w:tcPr>
          <w:p w14:paraId="74DE204E" w14:textId="77777777" w:rsidR="00584EC1" w:rsidRDefault="00584EC1">
            <w:pPr>
              <w:rPr>
                <w:rFonts w:ascii="宋体"/>
                <w:vanish/>
              </w:rPr>
            </w:pPr>
          </w:p>
        </w:tc>
        <w:tc>
          <w:tcPr>
            <w:tcW w:w="0" w:type="auto"/>
            <w:gridSpan w:val="3"/>
            <w:shd w:val="clear" w:color="auto" w:fill="auto"/>
            <w:vAlign w:val="bottom"/>
          </w:tcPr>
          <w:p w14:paraId="74DE204F" w14:textId="77777777" w:rsidR="00584EC1" w:rsidRDefault="00584EC1">
            <w:pPr>
              <w:rPr>
                <w:rFonts w:ascii="宋体"/>
                <w:vanish/>
              </w:rPr>
            </w:pPr>
          </w:p>
        </w:tc>
        <w:tc>
          <w:tcPr>
            <w:tcW w:w="0" w:type="auto"/>
            <w:gridSpan w:val="3"/>
            <w:shd w:val="clear" w:color="auto" w:fill="auto"/>
            <w:vAlign w:val="bottom"/>
          </w:tcPr>
          <w:p w14:paraId="74DE2050" w14:textId="77777777" w:rsidR="00584EC1" w:rsidRDefault="00584EC1">
            <w:pPr>
              <w:rPr>
                <w:rFonts w:ascii="宋体"/>
                <w:vanish/>
              </w:rPr>
            </w:pPr>
          </w:p>
        </w:tc>
      </w:tr>
      <w:tr w:rsidR="00584EC1" w14:paraId="74DE2066" w14:textId="77777777">
        <w:trPr>
          <w:hidden/>
        </w:trPr>
        <w:tc>
          <w:tcPr>
            <w:tcW w:w="0" w:type="auto"/>
            <w:gridSpan w:val="3"/>
            <w:shd w:val="clear" w:color="auto" w:fill="auto"/>
            <w:vAlign w:val="bottom"/>
          </w:tcPr>
          <w:p w14:paraId="74DE2052" w14:textId="77777777" w:rsidR="00584EC1" w:rsidRDefault="00584EC1">
            <w:pPr>
              <w:rPr>
                <w:rFonts w:ascii="宋体"/>
                <w:vanish/>
              </w:rPr>
            </w:pPr>
          </w:p>
        </w:tc>
        <w:tc>
          <w:tcPr>
            <w:tcW w:w="0" w:type="auto"/>
            <w:gridSpan w:val="3"/>
            <w:shd w:val="clear" w:color="auto" w:fill="auto"/>
            <w:vAlign w:val="bottom"/>
          </w:tcPr>
          <w:p w14:paraId="74DE2053" w14:textId="77777777" w:rsidR="00584EC1" w:rsidRDefault="00584EC1">
            <w:pPr>
              <w:rPr>
                <w:rFonts w:ascii="宋体"/>
                <w:vanish/>
              </w:rPr>
            </w:pPr>
          </w:p>
        </w:tc>
        <w:tc>
          <w:tcPr>
            <w:tcW w:w="0" w:type="auto"/>
            <w:gridSpan w:val="3"/>
            <w:shd w:val="clear" w:color="auto" w:fill="auto"/>
            <w:vAlign w:val="bottom"/>
          </w:tcPr>
          <w:p w14:paraId="74DE2054" w14:textId="77777777" w:rsidR="00584EC1" w:rsidRDefault="00584EC1">
            <w:pPr>
              <w:rPr>
                <w:rFonts w:ascii="宋体"/>
                <w:vanish/>
              </w:rPr>
            </w:pPr>
          </w:p>
        </w:tc>
        <w:tc>
          <w:tcPr>
            <w:tcW w:w="0" w:type="auto"/>
            <w:gridSpan w:val="3"/>
            <w:shd w:val="clear" w:color="auto" w:fill="auto"/>
            <w:vAlign w:val="bottom"/>
          </w:tcPr>
          <w:p w14:paraId="74DE2055" w14:textId="77777777" w:rsidR="00584EC1" w:rsidRDefault="00584EC1">
            <w:pPr>
              <w:rPr>
                <w:rFonts w:ascii="宋体"/>
                <w:vanish/>
              </w:rPr>
            </w:pPr>
          </w:p>
        </w:tc>
        <w:tc>
          <w:tcPr>
            <w:tcW w:w="0" w:type="auto"/>
            <w:gridSpan w:val="3"/>
            <w:shd w:val="clear" w:color="auto" w:fill="auto"/>
            <w:vAlign w:val="bottom"/>
          </w:tcPr>
          <w:p w14:paraId="74DE2056" w14:textId="77777777" w:rsidR="00584EC1" w:rsidRDefault="00584EC1">
            <w:pPr>
              <w:rPr>
                <w:rFonts w:ascii="宋体"/>
                <w:vanish/>
              </w:rPr>
            </w:pPr>
          </w:p>
        </w:tc>
        <w:tc>
          <w:tcPr>
            <w:tcW w:w="0" w:type="auto"/>
            <w:gridSpan w:val="3"/>
            <w:shd w:val="clear" w:color="auto" w:fill="auto"/>
            <w:vAlign w:val="bottom"/>
          </w:tcPr>
          <w:p w14:paraId="74DE2057" w14:textId="77777777" w:rsidR="00584EC1" w:rsidRDefault="00584EC1">
            <w:pPr>
              <w:rPr>
                <w:rFonts w:ascii="宋体"/>
                <w:vanish/>
              </w:rPr>
            </w:pPr>
          </w:p>
        </w:tc>
        <w:tc>
          <w:tcPr>
            <w:tcW w:w="0" w:type="auto"/>
            <w:gridSpan w:val="3"/>
            <w:shd w:val="clear" w:color="auto" w:fill="auto"/>
            <w:vAlign w:val="bottom"/>
          </w:tcPr>
          <w:p w14:paraId="74DE2058" w14:textId="77777777" w:rsidR="00584EC1" w:rsidRDefault="00584EC1">
            <w:pPr>
              <w:rPr>
                <w:rFonts w:ascii="宋体"/>
                <w:vanish/>
              </w:rPr>
            </w:pPr>
          </w:p>
        </w:tc>
        <w:tc>
          <w:tcPr>
            <w:tcW w:w="0" w:type="auto"/>
            <w:gridSpan w:val="3"/>
            <w:shd w:val="clear" w:color="auto" w:fill="auto"/>
            <w:vAlign w:val="bottom"/>
          </w:tcPr>
          <w:p w14:paraId="74DE2059" w14:textId="77777777" w:rsidR="00584EC1" w:rsidRDefault="00584EC1">
            <w:pPr>
              <w:rPr>
                <w:rFonts w:ascii="宋体"/>
                <w:vanish/>
              </w:rPr>
            </w:pPr>
          </w:p>
        </w:tc>
        <w:tc>
          <w:tcPr>
            <w:tcW w:w="0" w:type="auto"/>
            <w:gridSpan w:val="3"/>
            <w:shd w:val="clear" w:color="auto" w:fill="auto"/>
            <w:vAlign w:val="bottom"/>
          </w:tcPr>
          <w:p w14:paraId="74DE205A" w14:textId="77777777" w:rsidR="00584EC1" w:rsidRDefault="00584EC1">
            <w:pPr>
              <w:rPr>
                <w:rFonts w:ascii="宋体"/>
                <w:vanish/>
              </w:rPr>
            </w:pPr>
          </w:p>
        </w:tc>
        <w:tc>
          <w:tcPr>
            <w:tcW w:w="0" w:type="auto"/>
            <w:gridSpan w:val="3"/>
            <w:shd w:val="clear" w:color="auto" w:fill="auto"/>
            <w:vAlign w:val="bottom"/>
          </w:tcPr>
          <w:p w14:paraId="74DE205B" w14:textId="77777777" w:rsidR="00584EC1" w:rsidRDefault="00584EC1">
            <w:pPr>
              <w:rPr>
                <w:rFonts w:ascii="宋体"/>
                <w:vanish/>
              </w:rPr>
            </w:pPr>
          </w:p>
        </w:tc>
        <w:tc>
          <w:tcPr>
            <w:tcW w:w="0" w:type="auto"/>
            <w:gridSpan w:val="3"/>
            <w:shd w:val="clear" w:color="auto" w:fill="auto"/>
            <w:vAlign w:val="bottom"/>
          </w:tcPr>
          <w:p w14:paraId="74DE205C" w14:textId="77777777" w:rsidR="00584EC1" w:rsidRDefault="00584EC1">
            <w:pPr>
              <w:rPr>
                <w:rFonts w:ascii="宋体"/>
                <w:vanish/>
              </w:rPr>
            </w:pPr>
          </w:p>
        </w:tc>
        <w:tc>
          <w:tcPr>
            <w:tcW w:w="0" w:type="auto"/>
            <w:gridSpan w:val="3"/>
            <w:shd w:val="clear" w:color="auto" w:fill="auto"/>
            <w:vAlign w:val="bottom"/>
          </w:tcPr>
          <w:p w14:paraId="74DE205D" w14:textId="77777777" w:rsidR="00584EC1" w:rsidRDefault="00584EC1">
            <w:pPr>
              <w:rPr>
                <w:rFonts w:ascii="宋体"/>
                <w:vanish/>
              </w:rPr>
            </w:pPr>
          </w:p>
        </w:tc>
        <w:tc>
          <w:tcPr>
            <w:tcW w:w="0" w:type="auto"/>
            <w:gridSpan w:val="3"/>
            <w:shd w:val="clear" w:color="auto" w:fill="auto"/>
            <w:vAlign w:val="bottom"/>
          </w:tcPr>
          <w:p w14:paraId="74DE205E" w14:textId="77777777" w:rsidR="00584EC1" w:rsidRDefault="00584EC1">
            <w:pPr>
              <w:rPr>
                <w:rFonts w:ascii="宋体"/>
                <w:vanish/>
              </w:rPr>
            </w:pPr>
          </w:p>
        </w:tc>
        <w:tc>
          <w:tcPr>
            <w:tcW w:w="0" w:type="auto"/>
            <w:gridSpan w:val="3"/>
            <w:shd w:val="clear" w:color="auto" w:fill="auto"/>
            <w:vAlign w:val="bottom"/>
          </w:tcPr>
          <w:p w14:paraId="74DE205F" w14:textId="77777777" w:rsidR="00584EC1" w:rsidRDefault="00584EC1">
            <w:pPr>
              <w:rPr>
                <w:rFonts w:ascii="宋体"/>
                <w:vanish/>
              </w:rPr>
            </w:pPr>
          </w:p>
        </w:tc>
        <w:tc>
          <w:tcPr>
            <w:tcW w:w="0" w:type="auto"/>
            <w:gridSpan w:val="3"/>
            <w:shd w:val="clear" w:color="auto" w:fill="auto"/>
            <w:vAlign w:val="bottom"/>
          </w:tcPr>
          <w:p w14:paraId="74DE2060" w14:textId="77777777" w:rsidR="00584EC1" w:rsidRDefault="00584EC1">
            <w:pPr>
              <w:rPr>
                <w:rFonts w:ascii="宋体"/>
                <w:vanish/>
              </w:rPr>
            </w:pPr>
          </w:p>
        </w:tc>
        <w:tc>
          <w:tcPr>
            <w:tcW w:w="0" w:type="auto"/>
            <w:gridSpan w:val="3"/>
            <w:shd w:val="clear" w:color="auto" w:fill="auto"/>
            <w:vAlign w:val="bottom"/>
          </w:tcPr>
          <w:p w14:paraId="74DE2061" w14:textId="77777777" w:rsidR="00584EC1" w:rsidRDefault="00584EC1">
            <w:pPr>
              <w:rPr>
                <w:rFonts w:ascii="宋体"/>
                <w:vanish/>
              </w:rPr>
            </w:pPr>
          </w:p>
        </w:tc>
        <w:tc>
          <w:tcPr>
            <w:tcW w:w="0" w:type="auto"/>
            <w:gridSpan w:val="3"/>
            <w:shd w:val="clear" w:color="auto" w:fill="auto"/>
            <w:vAlign w:val="bottom"/>
          </w:tcPr>
          <w:p w14:paraId="74DE2062" w14:textId="77777777" w:rsidR="00584EC1" w:rsidRDefault="00584EC1">
            <w:pPr>
              <w:rPr>
                <w:rFonts w:ascii="宋体"/>
                <w:vanish/>
              </w:rPr>
            </w:pPr>
          </w:p>
        </w:tc>
        <w:tc>
          <w:tcPr>
            <w:tcW w:w="0" w:type="auto"/>
            <w:gridSpan w:val="3"/>
            <w:shd w:val="clear" w:color="auto" w:fill="auto"/>
            <w:vAlign w:val="bottom"/>
          </w:tcPr>
          <w:p w14:paraId="74DE2063" w14:textId="77777777" w:rsidR="00584EC1" w:rsidRDefault="00584EC1">
            <w:pPr>
              <w:rPr>
                <w:rFonts w:ascii="宋体"/>
                <w:vanish/>
              </w:rPr>
            </w:pPr>
          </w:p>
        </w:tc>
        <w:tc>
          <w:tcPr>
            <w:tcW w:w="0" w:type="auto"/>
            <w:gridSpan w:val="3"/>
            <w:shd w:val="clear" w:color="auto" w:fill="auto"/>
            <w:vAlign w:val="bottom"/>
          </w:tcPr>
          <w:p w14:paraId="74DE2064" w14:textId="77777777" w:rsidR="00584EC1" w:rsidRDefault="00584EC1">
            <w:pPr>
              <w:rPr>
                <w:rFonts w:ascii="宋体"/>
                <w:vanish/>
              </w:rPr>
            </w:pPr>
          </w:p>
        </w:tc>
        <w:tc>
          <w:tcPr>
            <w:tcW w:w="0" w:type="auto"/>
            <w:gridSpan w:val="3"/>
            <w:shd w:val="clear" w:color="auto" w:fill="auto"/>
            <w:vAlign w:val="bottom"/>
          </w:tcPr>
          <w:p w14:paraId="74DE2065" w14:textId="77777777" w:rsidR="00584EC1" w:rsidRDefault="00584EC1">
            <w:pPr>
              <w:rPr>
                <w:rFonts w:ascii="宋体"/>
                <w:vanish/>
              </w:rPr>
            </w:pPr>
          </w:p>
        </w:tc>
      </w:tr>
      <w:tr w:rsidR="00584EC1" w14:paraId="74DE207B" w14:textId="77777777">
        <w:trPr>
          <w:hidden/>
        </w:trPr>
        <w:tc>
          <w:tcPr>
            <w:tcW w:w="0" w:type="auto"/>
            <w:gridSpan w:val="3"/>
            <w:shd w:val="clear" w:color="auto" w:fill="auto"/>
            <w:vAlign w:val="bottom"/>
          </w:tcPr>
          <w:p w14:paraId="74DE2067" w14:textId="77777777" w:rsidR="00584EC1" w:rsidRDefault="00584EC1">
            <w:pPr>
              <w:rPr>
                <w:rFonts w:ascii="宋体"/>
                <w:vanish/>
              </w:rPr>
            </w:pPr>
          </w:p>
        </w:tc>
        <w:tc>
          <w:tcPr>
            <w:tcW w:w="0" w:type="auto"/>
            <w:gridSpan w:val="3"/>
            <w:shd w:val="clear" w:color="auto" w:fill="auto"/>
            <w:vAlign w:val="bottom"/>
          </w:tcPr>
          <w:p w14:paraId="74DE2068" w14:textId="77777777" w:rsidR="00584EC1" w:rsidRDefault="00584EC1">
            <w:pPr>
              <w:rPr>
                <w:rFonts w:ascii="宋体"/>
                <w:vanish/>
              </w:rPr>
            </w:pPr>
          </w:p>
        </w:tc>
        <w:tc>
          <w:tcPr>
            <w:tcW w:w="0" w:type="auto"/>
            <w:gridSpan w:val="3"/>
            <w:shd w:val="clear" w:color="auto" w:fill="auto"/>
            <w:vAlign w:val="bottom"/>
          </w:tcPr>
          <w:p w14:paraId="74DE2069" w14:textId="77777777" w:rsidR="00584EC1" w:rsidRDefault="00584EC1">
            <w:pPr>
              <w:rPr>
                <w:rFonts w:ascii="宋体"/>
                <w:vanish/>
              </w:rPr>
            </w:pPr>
          </w:p>
        </w:tc>
        <w:tc>
          <w:tcPr>
            <w:tcW w:w="0" w:type="auto"/>
            <w:gridSpan w:val="3"/>
            <w:shd w:val="clear" w:color="auto" w:fill="auto"/>
            <w:vAlign w:val="bottom"/>
          </w:tcPr>
          <w:p w14:paraId="74DE206A" w14:textId="77777777" w:rsidR="00584EC1" w:rsidRDefault="00584EC1">
            <w:pPr>
              <w:rPr>
                <w:rFonts w:ascii="宋体"/>
                <w:vanish/>
              </w:rPr>
            </w:pPr>
          </w:p>
        </w:tc>
        <w:tc>
          <w:tcPr>
            <w:tcW w:w="0" w:type="auto"/>
            <w:gridSpan w:val="3"/>
            <w:shd w:val="clear" w:color="auto" w:fill="auto"/>
            <w:vAlign w:val="bottom"/>
          </w:tcPr>
          <w:p w14:paraId="74DE206B" w14:textId="77777777" w:rsidR="00584EC1" w:rsidRDefault="00584EC1">
            <w:pPr>
              <w:rPr>
                <w:rFonts w:ascii="宋体"/>
                <w:vanish/>
              </w:rPr>
            </w:pPr>
          </w:p>
        </w:tc>
        <w:tc>
          <w:tcPr>
            <w:tcW w:w="0" w:type="auto"/>
            <w:gridSpan w:val="3"/>
            <w:shd w:val="clear" w:color="auto" w:fill="auto"/>
            <w:vAlign w:val="bottom"/>
          </w:tcPr>
          <w:p w14:paraId="74DE206C" w14:textId="77777777" w:rsidR="00584EC1" w:rsidRDefault="00584EC1">
            <w:pPr>
              <w:rPr>
                <w:rFonts w:ascii="宋体"/>
                <w:vanish/>
              </w:rPr>
            </w:pPr>
          </w:p>
        </w:tc>
        <w:tc>
          <w:tcPr>
            <w:tcW w:w="0" w:type="auto"/>
            <w:gridSpan w:val="3"/>
            <w:shd w:val="clear" w:color="auto" w:fill="auto"/>
            <w:vAlign w:val="bottom"/>
          </w:tcPr>
          <w:p w14:paraId="74DE206D" w14:textId="77777777" w:rsidR="00584EC1" w:rsidRDefault="00584EC1">
            <w:pPr>
              <w:rPr>
                <w:rFonts w:ascii="宋体"/>
                <w:vanish/>
              </w:rPr>
            </w:pPr>
          </w:p>
        </w:tc>
        <w:tc>
          <w:tcPr>
            <w:tcW w:w="0" w:type="auto"/>
            <w:gridSpan w:val="3"/>
            <w:shd w:val="clear" w:color="auto" w:fill="auto"/>
            <w:vAlign w:val="bottom"/>
          </w:tcPr>
          <w:p w14:paraId="74DE206E" w14:textId="77777777" w:rsidR="00584EC1" w:rsidRDefault="00584EC1">
            <w:pPr>
              <w:rPr>
                <w:rFonts w:ascii="宋体"/>
                <w:vanish/>
              </w:rPr>
            </w:pPr>
          </w:p>
        </w:tc>
        <w:tc>
          <w:tcPr>
            <w:tcW w:w="0" w:type="auto"/>
            <w:gridSpan w:val="3"/>
            <w:shd w:val="clear" w:color="auto" w:fill="auto"/>
            <w:vAlign w:val="bottom"/>
          </w:tcPr>
          <w:p w14:paraId="74DE206F" w14:textId="77777777" w:rsidR="00584EC1" w:rsidRDefault="00584EC1">
            <w:pPr>
              <w:rPr>
                <w:rFonts w:ascii="宋体"/>
                <w:vanish/>
              </w:rPr>
            </w:pPr>
          </w:p>
        </w:tc>
        <w:tc>
          <w:tcPr>
            <w:tcW w:w="0" w:type="auto"/>
            <w:gridSpan w:val="3"/>
            <w:shd w:val="clear" w:color="auto" w:fill="auto"/>
            <w:vAlign w:val="bottom"/>
          </w:tcPr>
          <w:p w14:paraId="74DE2070" w14:textId="77777777" w:rsidR="00584EC1" w:rsidRDefault="00584EC1">
            <w:pPr>
              <w:rPr>
                <w:rFonts w:ascii="宋体"/>
                <w:vanish/>
              </w:rPr>
            </w:pPr>
          </w:p>
        </w:tc>
        <w:tc>
          <w:tcPr>
            <w:tcW w:w="0" w:type="auto"/>
            <w:gridSpan w:val="3"/>
            <w:shd w:val="clear" w:color="auto" w:fill="auto"/>
            <w:vAlign w:val="bottom"/>
          </w:tcPr>
          <w:p w14:paraId="74DE2071" w14:textId="77777777" w:rsidR="00584EC1" w:rsidRDefault="00584EC1">
            <w:pPr>
              <w:rPr>
                <w:rFonts w:ascii="宋体"/>
                <w:vanish/>
              </w:rPr>
            </w:pPr>
          </w:p>
        </w:tc>
        <w:tc>
          <w:tcPr>
            <w:tcW w:w="0" w:type="auto"/>
            <w:gridSpan w:val="3"/>
            <w:shd w:val="clear" w:color="auto" w:fill="auto"/>
            <w:vAlign w:val="bottom"/>
          </w:tcPr>
          <w:p w14:paraId="74DE2072" w14:textId="77777777" w:rsidR="00584EC1" w:rsidRDefault="00584EC1">
            <w:pPr>
              <w:rPr>
                <w:rFonts w:ascii="宋体"/>
                <w:vanish/>
              </w:rPr>
            </w:pPr>
          </w:p>
        </w:tc>
        <w:tc>
          <w:tcPr>
            <w:tcW w:w="0" w:type="auto"/>
            <w:gridSpan w:val="3"/>
            <w:shd w:val="clear" w:color="auto" w:fill="auto"/>
            <w:vAlign w:val="bottom"/>
          </w:tcPr>
          <w:p w14:paraId="74DE2073" w14:textId="77777777" w:rsidR="00584EC1" w:rsidRDefault="00584EC1">
            <w:pPr>
              <w:rPr>
                <w:rFonts w:ascii="宋体"/>
                <w:vanish/>
              </w:rPr>
            </w:pPr>
          </w:p>
        </w:tc>
        <w:tc>
          <w:tcPr>
            <w:tcW w:w="0" w:type="auto"/>
            <w:gridSpan w:val="3"/>
            <w:shd w:val="clear" w:color="auto" w:fill="auto"/>
            <w:vAlign w:val="bottom"/>
          </w:tcPr>
          <w:p w14:paraId="74DE2074" w14:textId="77777777" w:rsidR="00584EC1" w:rsidRDefault="00584EC1">
            <w:pPr>
              <w:rPr>
                <w:rFonts w:ascii="宋体"/>
                <w:vanish/>
              </w:rPr>
            </w:pPr>
          </w:p>
        </w:tc>
        <w:tc>
          <w:tcPr>
            <w:tcW w:w="0" w:type="auto"/>
            <w:gridSpan w:val="3"/>
            <w:shd w:val="clear" w:color="auto" w:fill="auto"/>
            <w:vAlign w:val="bottom"/>
          </w:tcPr>
          <w:p w14:paraId="74DE2075" w14:textId="77777777" w:rsidR="00584EC1" w:rsidRDefault="00584EC1">
            <w:pPr>
              <w:rPr>
                <w:rFonts w:ascii="宋体"/>
                <w:vanish/>
              </w:rPr>
            </w:pPr>
          </w:p>
        </w:tc>
        <w:tc>
          <w:tcPr>
            <w:tcW w:w="0" w:type="auto"/>
            <w:gridSpan w:val="3"/>
            <w:shd w:val="clear" w:color="auto" w:fill="auto"/>
            <w:vAlign w:val="bottom"/>
          </w:tcPr>
          <w:p w14:paraId="74DE2076" w14:textId="77777777" w:rsidR="00584EC1" w:rsidRDefault="00584EC1">
            <w:pPr>
              <w:rPr>
                <w:rFonts w:ascii="宋体"/>
                <w:vanish/>
              </w:rPr>
            </w:pPr>
          </w:p>
        </w:tc>
        <w:tc>
          <w:tcPr>
            <w:tcW w:w="0" w:type="auto"/>
            <w:gridSpan w:val="3"/>
            <w:shd w:val="clear" w:color="auto" w:fill="auto"/>
            <w:vAlign w:val="bottom"/>
          </w:tcPr>
          <w:p w14:paraId="74DE2077" w14:textId="77777777" w:rsidR="00584EC1" w:rsidRDefault="00584EC1">
            <w:pPr>
              <w:rPr>
                <w:rFonts w:ascii="宋体"/>
                <w:vanish/>
              </w:rPr>
            </w:pPr>
          </w:p>
        </w:tc>
        <w:tc>
          <w:tcPr>
            <w:tcW w:w="0" w:type="auto"/>
            <w:gridSpan w:val="3"/>
            <w:shd w:val="clear" w:color="auto" w:fill="auto"/>
            <w:vAlign w:val="bottom"/>
          </w:tcPr>
          <w:p w14:paraId="74DE2078" w14:textId="77777777" w:rsidR="00584EC1" w:rsidRDefault="00584EC1">
            <w:pPr>
              <w:rPr>
                <w:rFonts w:ascii="宋体"/>
                <w:vanish/>
              </w:rPr>
            </w:pPr>
          </w:p>
        </w:tc>
        <w:tc>
          <w:tcPr>
            <w:tcW w:w="0" w:type="auto"/>
            <w:gridSpan w:val="3"/>
            <w:shd w:val="clear" w:color="auto" w:fill="auto"/>
            <w:vAlign w:val="bottom"/>
          </w:tcPr>
          <w:p w14:paraId="74DE2079" w14:textId="77777777" w:rsidR="00584EC1" w:rsidRDefault="00584EC1">
            <w:pPr>
              <w:rPr>
                <w:rFonts w:ascii="宋体"/>
                <w:vanish/>
              </w:rPr>
            </w:pPr>
          </w:p>
        </w:tc>
        <w:tc>
          <w:tcPr>
            <w:tcW w:w="0" w:type="auto"/>
            <w:gridSpan w:val="3"/>
            <w:shd w:val="clear" w:color="auto" w:fill="auto"/>
            <w:vAlign w:val="bottom"/>
          </w:tcPr>
          <w:p w14:paraId="74DE207A" w14:textId="77777777" w:rsidR="00584EC1" w:rsidRDefault="00584EC1">
            <w:pPr>
              <w:rPr>
                <w:rFonts w:ascii="宋体"/>
                <w:vanish/>
              </w:rPr>
            </w:pPr>
          </w:p>
        </w:tc>
      </w:tr>
      <w:tr w:rsidR="00584EC1" w14:paraId="74DE2090" w14:textId="77777777">
        <w:tc>
          <w:tcPr>
            <w:tcW w:w="0" w:type="auto"/>
            <w:gridSpan w:val="3"/>
            <w:shd w:val="clear" w:color="auto" w:fill="auto"/>
            <w:tcMar>
              <w:top w:w="0" w:type="dxa"/>
              <w:left w:w="20" w:type="dxa"/>
              <w:bottom w:w="0" w:type="dxa"/>
              <w:right w:w="20" w:type="dxa"/>
            </w:tcMar>
            <w:vAlign w:val="bottom"/>
          </w:tcPr>
          <w:p w14:paraId="74DE207C" w14:textId="77777777" w:rsidR="00584EC1" w:rsidRDefault="00584EC1">
            <w:pPr>
              <w:rPr>
                <w:rFonts w:ascii="宋体"/>
              </w:rPr>
            </w:pPr>
          </w:p>
        </w:tc>
        <w:tc>
          <w:tcPr>
            <w:tcW w:w="0" w:type="auto"/>
            <w:gridSpan w:val="39"/>
            <w:shd w:val="clear" w:color="auto" w:fill="auto"/>
            <w:tcMar>
              <w:top w:w="40" w:type="dxa"/>
              <w:left w:w="20" w:type="dxa"/>
              <w:bottom w:w="40" w:type="dxa"/>
              <w:right w:w="20" w:type="dxa"/>
            </w:tcMar>
            <w:vAlign w:val="bottom"/>
          </w:tcPr>
          <w:p w14:paraId="74DE207D" w14:textId="77777777" w:rsidR="00584EC1" w:rsidRDefault="00871F8D">
            <w:pPr>
              <w:jc w:val="center"/>
              <w:textAlignment w:val="bottom"/>
            </w:pPr>
            <w:r>
              <w:rPr>
                <w:rFonts w:ascii="Arial" w:eastAsia="宋体" w:hAnsi="Arial" w:cs="Arial"/>
                <w:b/>
                <w:bCs/>
                <w:color w:val="000000"/>
                <w:sz w:val="12"/>
                <w:szCs w:val="12"/>
              </w:rPr>
              <w:t>Three Months Ended September 30, 2020</w:t>
            </w:r>
          </w:p>
        </w:tc>
        <w:tc>
          <w:tcPr>
            <w:tcW w:w="0" w:type="auto"/>
            <w:shd w:val="clear" w:color="auto" w:fill="auto"/>
            <w:vAlign w:val="bottom"/>
          </w:tcPr>
          <w:p w14:paraId="74DE207E" w14:textId="77777777" w:rsidR="00584EC1" w:rsidRDefault="00584EC1">
            <w:pPr>
              <w:rPr>
                <w:rFonts w:ascii="宋体"/>
              </w:rPr>
            </w:pPr>
          </w:p>
        </w:tc>
        <w:tc>
          <w:tcPr>
            <w:tcW w:w="0" w:type="auto"/>
            <w:shd w:val="clear" w:color="auto" w:fill="auto"/>
            <w:vAlign w:val="bottom"/>
          </w:tcPr>
          <w:p w14:paraId="74DE207F" w14:textId="77777777" w:rsidR="00584EC1" w:rsidRDefault="00584EC1">
            <w:pPr>
              <w:rPr>
                <w:rFonts w:ascii="宋体"/>
              </w:rPr>
            </w:pPr>
          </w:p>
        </w:tc>
        <w:tc>
          <w:tcPr>
            <w:tcW w:w="0" w:type="auto"/>
            <w:shd w:val="clear" w:color="auto" w:fill="auto"/>
            <w:vAlign w:val="bottom"/>
          </w:tcPr>
          <w:p w14:paraId="74DE2080" w14:textId="77777777" w:rsidR="00584EC1" w:rsidRDefault="00584EC1">
            <w:pPr>
              <w:rPr>
                <w:rFonts w:ascii="宋体"/>
              </w:rPr>
            </w:pPr>
          </w:p>
        </w:tc>
        <w:tc>
          <w:tcPr>
            <w:tcW w:w="0" w:type="auto"/>
            <w:shd w:val="clear" w:color="auto" w:fill="auto"/>
            <w:vAlign w:val="bottom"/>
          </w:tcPr>
          <w:p w14:paraId="74DE2081" w14:textId="77777777" w:rsidR="00584EC1" w:rsidRDefault="00584EC1">
            <w:pPr>
              <w:rPr>
                <w:rFonts w:ascii="宋体"/>
              </w:rPr>
            </w:pPr>
          </w:p>
        </w:tc>
        <w:tc>
          <w:tcPr>
            <w:tcW w:w="0" w:type="auto"/>
            <w:shd w:val="clear" w:color="auto" w:fill="auto"/>
            <w:vAlign w:val="bottom"/>
          </w:tcPr>
          <w:p w14:paraId="74DE2082" w14:textId="77777777" w:rsidR="00584EC1" w:rsidRDefault="00584EC1">
            <w:pPr>
              <w:rPr>
                <w:rFonts w:ascii="宋体"/>
              </w:rPr>
            </w:pPr>
          </w:p>
        </w:tc>
        <w:tc>
          <w:tcPr>
            <w:tcW w:w="0" w:type="auto"/>
            <w:shd w:val="clear" w:color="auto" w:fill="auto"/>
            <w:vAlign w:val="bottom"/>
          </w:tcPr>
          <w:p w14:paraId="74DE2083" w14:textId="77777777" w:rsidR="00584EC1" w:rsidRDefault="00584EC1">
            <w:pPr>
              <w:rPr>
                <w:rFonts w:ascii="宋体"/>
              </w:rPr>
            </w:pPr>
          </w:p>
        </w:tc>
        <w:tc>
          <w:tcPr>
            <w:tcW w:w="0" w:type="auto"/>
            <w:shd w:val="clear" w:color="auto" w:fill="auto"/>
            <w:vAlign w:val="bottom"/>
          </w:tcPr>
          <w:p w14:paraId="74DE2084" w14:textId="77777777" w:rsidR="00584EC1" w:rsidRDefault="00584EC1">
            <w:pPr>
              <w:rPr>
                <w:rFonts w:ascii="宋体"/>
              </w:rPr>
            </w:pPr>
          </w:p>
        </w:tc>
        <w:tc>
          <w:tcPr>
            <w:tcW w:w="0" w:type="auto"/>
            <w:shd w:val="clear" w:color="auto" w:fill="auto"/>
            <w:vAlign w:val="bottom"/>
          </w:tcPr>
          <w:p w14:paraId="74DE2085" w14:textId="77777777" w:rsidR="00584EC1" w:rsidRDefault="00584EC1">
            <w:pPr>
              <w:rPr>
                <w:rFonts w:ascii="宋体"/>
              </w:rPr>
            </w:pPr>
          </w:p>
        </w:tc>
        <w:tc>
          <w:tcPr>
            <w:tcW w:w="0" w:type="auto"/>
            <w:shd w:val="clear" w:color="auto" w:fill="auto"/>
            <w:vAlign w:val="bottom"/>
          </w:tcPr>
          <w:p w14:paraId="74DE2086" w14:textId="77777777" w:rsidR="00584EC1" w:rsidRDefault="00584EC1">
            <w:pPr>
              <w:rPr>
                <w:rFonts w:ascii="宋体"/>
              </w:rPr>
            </w:pPr>
          </w:p>
        </w:tc>
        <w:tc>
          <w:tcPr>
            <w:tcW w:w="0" w:type="auto"/>
            <w:shd w:val="clear" w:color="auto" w:fill="auto"/>
            <w:vAlign w:val="bottom"/>
          </w:tcPr>
          <w:p w14:paraId="74DE2087" w14:textId="77777777" w:rsidR="00584EC1" w:rsidRDefault="00584EC1">
            <w:pPr>
              <w:rPr>
                <w:rFonts w:ascii="宋体"/>
              </w:rPr>
            </w:pPr>
          </w:p>
        </w:tc>
        <w:tc>
          <w:tcPr>
            <w:tcW w:w="0" w:type="auto"/>
            <w:shd w:val="clear" w:color="auto" w:fill="auto"/>
            <w:vAlign w:val="bottom"/>
          </w:tcPr>
          <w:p w14:paraId="74DE2088" w14:textId="77777777" w:rsidR="00584EC1" w:rsidRDefault="00584EC1">
            <w:pPr>
              <w:rPr>
                <w:rFonts w:ascii="宋体"/>
              </w:rPr>
            </w:pPr>
          </w:p>
        </w:tc>
        <w:tc>
          <w:tcPr>
            <w:tcW w:w="0" w:type="auto"/>
            <w:shd w:val="clear" w:color="auto" w:fill="auto"/>
            <w:vAlign w:val="bottom"/>
          </w:tcPr>
          <w:p w14:paraId="74DE2089" w14:textId="77777777" w:rsidR="00584EC1" w:rsidRDefault="00584EC1">
            <w:pPr>
              <w:rPr>
                <w:rFonts w:ascii="宋体"/>
              </w:rPr>
            </w:pPr>
          </w:p>
        </w:tc>
        <w:tc>
          <w:tcPr>
            <w:tcW w:w="0" w:type="auto"/>
            <w:shd w:val="clear" w:color="auto" w:fill="auto"/>
            <w:vAlign w:val="bottom"/>
          </w:tcPr>
          <w:p w14:paraId="74DE208A" w14:textId="77777777" w:rsidR="00584EC1" w:rsidRDefault="00584EC1">
            <w:pPr>
              <w:rPr>
                <w:rFonts w:ascii="宋体"/>
              </w:rPr>
            </w:pPr>
          </w:p>
        </w:tc>
        <w:tc>
          <w:tcPr>
            <w:tcW w:w="0" w:type="auto"/>
            <w:shd w:val="clear" w:color="auto" w:fill="auto"/>
            <w:vAlign w:val="bottom"/>
          </w:tcPr>
          <w:p w14:paraId="74DE208B" w14:textId="77777777" w:rsidR="00584EC1" w:rsidRDefault="00584EC1">
            <w:pPr>
              <w:rPr>
                <w:rFonts w:ascii="宋体"/>
              </w:rPr>
            </w:pPr>
          </w:p>
        </w:tc>
        <w:tc>
          <w:tcPr>
            <w:tcW w:w="0" w:type="auto"/>
            <w:shd w:val="clear" w:color="auto" w:fill="auto"/>
            <w:vAlign w:val="bottom"/>
          </w:tcPr>
          <w:p w14:paraId="74DE208C" w14:textId="77777777" w:rsidR="00584EC1" w:rsidRDefault="00584EC1">
            <w:pPr>
              <w:rPr>
                <w:rFonts w:ascii="宋体"/>
              </w:rPr>
            </w:pPr>
          </w:p>
        </w:tc>
        <w:tc>
          <w:tcPr>
            <w:tcW w:w="0" w:type="auto"/>
            <w:shd w:val="clear" w:color="auto" w:fill="auto"/>
            <w:vAlign w:val="bottom"/>
          </w:tcPr>
          <w:p w14:paraId="74DE208D" w14:textId="77777777" w:rsidR="00584EC1" w:rsidRDefault="00584EC1">
            <w:pPr>
              <w:rPr>
                <w:rFonts w:ascii="宋体"/>
              </w:rPr>
            </w:pPr>
          </w:p>
        </w:tc>
        <w:tc>
          <w:tcPr>
            <w:tcW w:w="0" w:type="auto"/>
            <w:shd w:val="clear" w:color="auto" w:fill="auto"/>
            <w:vAlign w:val="bottom"/>
          </w:tcPr>
          <w:p w14:paraId="74DE208E" w14:textId="77777777" w:rsidR="00584EC1" w:rsidRDefault="00584EC1">
            <w:pPr>
              <w:rPr>
                <w:rFonts w:ascii="宋体"/>
              </w:rPr>
            </w:pPr>
          </w:p>
        </w:tc>
        <w:tc>
          <w:tcPr>
            <w:tcW w:w="0" w:type="auto"/>
            <w:shd w:val="clear" w:color="auto" w:fill="auto"/>
            <w:vAlign w:val="bottom"/>
          </w:tcPr>
          <w:p w14:paraId="74DE208F" w14:textId="77777777" w:rsidR="00584EC1" w:rsidRDefault="00584EC1">
            <w:pPr>
              <w:rPr>
                <w:rFonts w:ascii="宋体"/>
              </w:rPr>
            </w:pPr>
          </w:p>
        </w:tc>
      </w:tr>
      <w:tr w:rsidR="00584EC1" w14:paraId="74DE20A5" w14:textId="77777777">
        <w:tc>
          <w:tcPr>
            <w:tcW w:w="0" w:type="auto"/>
            <w:gridSpan w:val="3"/>
            <w:shd w:val="clear" w:color="auto" w:fill="FFFFFF"/>
            <w:tcMar>
              <w:top w:w="0" w:type="dxa"/>
              <w:left w:w="20" w:type="dxa"/>
              <w:bottom w:w="0" w:type="dxa"/>
              <w:right w:w="20" w:type="dxa"/>
            </w:tcMar>
            <w:vAlign w:val="bottom"/>
          </w:tcPr>
          <w:p w14:paraId="74DE2091" w14:textId="77777777" w:rsidR="00584EC1" w:rsidRDefault="00584EC1">
            <w:pPr>
              <w:rPr>
                <w:rFonts w:ascii="宋体"/>
              </w:rPr>
            </w:pPr>
          </w:p>
        </w:tc>
        <w:tc>
          <w:tcPr>
            <w:tcW w:w="0" w:type="auto"/>
            <w:gridSpan w:val="15"/>
            <w:tcBorders>
              <w:top w:val="single" w:sz="8" w:space="0" w:color="000000"/>
            </w:tcBorders>
            <w:shd w:val="clear" w:color="auto" w:fill="FFFFFF"/>
            <w:tcMar>
              <w:top w:w="40" w:type="dxa"/>
              <w:left w:w="20" w:type="dxa"/>
              <w:bottom w:w="40" w:type="dxa"/>
              <w:right w:w="20" w:type="dxa"/>
            </w:tcMar>
            <w:vAlign w:val="bottom"/>
          </w:tcPr>
          <w:p w14:paraId="74DE2092" w14:textId="77777777" w:rsidR="00584EC1" w:rsidRDefault="00871F8D">
            <w:pPr>
              <w:jc w:val="center"/>
              <w:textAlignment w:val="bottom"/>
            </w:pPr>
            <w:r>
              <w:rPr>
                <w:rFonts w:ascii="Arial" w:eastAsia="宋体" w:hAnsi="Arial" w:cs="Arial"/>
                <w:b/>
                <w:bCs/>
                <w:color w:val="000000"/>
                <w:sz w:val="12"/>
                <w:szCs w:val="12"/>
              </w:rPr>
              <w:t>Investment Servicing</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E2093" w14:textId="77777777" w:rsidR="00584EC1" w:rsidRDefault="00584EC1">
            <w:pPr>
              <w:rPr>
                <w:rFonts w:ascii="宋体"/>
              </w:rPr>
            </w:pPr>
          </w:p>
        </w:tc>
        <w:tc>
          <w:tcPr>
            <w:tcW w:w="0" w:type="auto"/>
            <w:gridSpan w:val="15"/>
            <w:tcBorders>
              <w:top w:val="single" w:sz="8" w:space="0" w:color="000000"/>
            </w:tcBorders>
            <w:shd w:val="clear" w:color="auto" w:fill="FFFFFF"/>
            <w:tcMar>
              <w:top w:w="40" w:type="dxa"/>
              <w:left w:w="20" w:type="dxa"/>
              <w:bottom w:w="40" w:type="dxa"/>
              <w:right w:w="20" w:type="dxa"/>
            </w:tcMar>
            <w:vAlign w:val="bottom"/>
          </w:tcPr>
          <w:p w14:paraId="74DE2094" w14:textId="77777777" w:rsidR="00584EC1" w:rsidRDefault="00871F8D">
            <w:pPr>
              <w:jc w:val="center"/>
              <w:textAlignment w:val="bottom"/>
            </w:pPr>
            <w:r>
              <w:rPr>
                <w:rFonts w:ascii="Arial" w:eastAsia="宋体" w:hAnsi="Arial" w:cs="Arial"/>
                <w:b/>
                <w:bCs/>
                <w:color w:val="000000"/>
                <w:sz w:val="12"/>
                <w:szCs w:val="12"/>
              </w:rPr>
              <w:t>Investment Management</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4DE2095" w14:textId="77777777" w:rsidR="00584EC1" w:rsidRDefault="00584EC1">
            <w:pPr>
              <w:rPr>
                <w:rFonts w:ascii="宋体"/>
              </w:rPr>
            </w:pPr>
          </w:p>
        </w:tc>
        <w:tc>
          <w:tcPr>
            <w:tcW w:w="0" w:type="auto"/>
            <w:gridSpan w:val="3"/>
            <w:shd w:val="clear" w:color="auto" w:fill="auto"/>
            <w:vAlign w:val="bottom"/>
          </w:tcPr>
          <w:p w14:paraId="74DE2096" w14:textId="77777777" w:rsidR="00584EC1" w:rsidRDefault="00584EC1">
            <w:pPr>
              <w:rPr>
                <w:rFonts w:ascii="宋体"/>
                <w:vanish/>
              </w:rPr>
            </w:pPr>
          </w:p>
        </w:tc>
        <w:tc>
          <w:tcPr>
            <w:tcW w:w="0" w:type="auto"/>
            <w:gridSpan w:val="3"/>
            <w:shd w:val="clear" w:color="auto" w:fill="auto"/>
            <w:vAlign w:val="bottom"/>
          </w:tcPr>
          <w:p w14:paraId="74DE2097" w14:textId="77777777" w:rsidR="00584EC1" w:rsidRDefault="00584EC1">
            <w:pPr>
              <w:rPr>
                <w:rFonts w:ascii="宋体"/>
                <w:vanish/>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74DE2098" w14:textId="77777777" w:rsidR="00584EC1" w:rsidRDefault="00871F8D">
            <w:pPr>
              <w:jc w:val="center"/>
              <w:textAlignment w:val="bottom"/>
            </w:pPr>
            <w:r>
              <w:rPr>
                <w:rFonts w:ascii="Arial" w:eastAsia="宋体" w:hAnsi="Arial" w:cs="Arial"/>
                <w:b/>
                <w:bCs/>
                <w:color w:val="000000"/>
                <w:sz w:val="12"/>
                <w:szCs w:val="12"/>
              </w:rPr>
              <w:t>Total</w:t>
            </w:r>
          </w:p>
        </w:tc>
        <w:tc>
          <w:tcPr>
            <w:tcW w:w="0" w:type="auto"/>
            <w:shd w:val="clear" w:color="auto" w:fill="auto"/>
            <w:vAlign w:val="bottom"/>
          </w:tcPr>
          <w:p w14:paraId="74DE2099" w14:textId="77777777" w:rsidR="00584EC1" w:rsidRDefault="00584EC1">
            <w:pPr>
              <w:rPr>
                <w:rFonts w:ascii="宋体"/>
              </w:rPr>
            </w:pPr>
          </w:p>
        </w:tc>
        <w:tc>
          <w:tcPr>
            <w:tcW w:w="0" w:type="auto"/>
            <w:shd w:val="clear" w:color="auto" w:fill="auto"/>
            <w:vAlign w:val="bottom"/>
          </w:tcPr>
          <w:p w14:paraId="74DE209A" w14:textId="77777777" w:rsidR="00584EC1" w:rsidRDefault="00584EC1">
            <w:pPr>
              <w:rPr>
                <w:rFonts w:ascii="宋体"/>
              </w:rPr>
            </w:pPr>
          </w:p>
        </w:tc>
        <w:tc>
          <w:tcPr>
            <w:tcW w:w="0" w:type="auto"/>
            <w:shd w:val="clear" w:color="auto" w:fill="auto"/>
            <w:vAlign w:val="bottom"/>
          </w:tcPr>
          <w:p w14:paraId="74DE209B" w14:textId="77777777" w:rsidR="00584EC1" w:rsidRDefault="00584EC1">
            <w:pPr>
              <w:rPr>
                <w:rFonts w:ascii="宋体"/>
              </w:rPr>
            </w:pPr>
          </w:p>
        </w:tc>
        <w:tc>
          <w:tcPr>
            <w:tcW w:w="0" w:type="auto"/>
            <w:shd w:val="clear" w:color="auto" w:fill="auto"/>
            <w:vAlign w:val="bottom"/>
          </w:tcPr>
          <w:p w14:paraId="74DE209C" w14:textId="77777777" w:rsidR="00584EC1" w:rsidRDefault="00584EC1">
            <w:pPr>
              <w:rPr>
                <w:rFonts w:ascii="宋体"/>
              </w:rPr>
            </w:pPr>
          </w:p>
        </w:tc>
        <w:tc>
          <w:tcPr>
            <w:tcW w:w="0" w:type="auto"/>
            <w:shd w:val="clear" w:color="auto" w:fill="auto"/>
            <w:vAlign w:val="bottom"/>
          </w:tcPr>
          <w:p w14:paraId="74DE209D" w14:textId="77777777" w:rsidR="00584EC1" w:rsidRDefault="00584EC1">
            <w:pPr>
              <w:rPr>
                <w:rFonts w:ascii="宋体"/>
              </w:rPr>
            </w:pPr>
          </w:p>
        </w:tc>
        <w:tc>
          <w:tcPr>
            <w:tcW w:w="0" w:type="auto"/>
            <w:shd w:val="clear" w:color="auto" w:fill="auto"/>
            <w:vAlign w:val="bottom"/>
          </w:tcPr>
          <w:p w14:paraId="74DE209E" w14:textId="77777777" w:rsidR="00584EC1" w:rsidRDefault="00584EC1">
            <w:pPr>
              <w:rPr>
                <w:rFonts w:ascii="宋体"/>
              </w:rPr>
            </w:pPr>
          </w:p>
        </w:tc>
        <w:tc>
          <w:tcPr>
            <w:tcW w:w="0" w:type="auto"/>
            <w:shd w:val="clear" w:color="auto" w:fill="auto"/>
            <w:vAlign w:val="bottom"/>
          </w:tcPr>
          <w:p w14:paraId="74DE209F" w14:textId="77777777" w:rsidR="00584EC1" w:rsidRDefault="00584EC1">
            <w:pPr>
              <w:rPr>
                <w:rFonts w:ascii="宋体"/>
              </w:rPr>
            </w:pPr>
          </w:p>
        </w:tc>
        <w:tc>
          <w:tcPr>
            <w:tcW w:w="0" w:type="auto"/>
            <w:shd w:val="clear" w:color="auto" w:fill="auto"/>
            <w:vAlign w:val="bottom"/>
          </w:tcPr>
          <w:p w14:paraId="74DE20A0" w14:textId="77777777" w:rsidR="00584EC1" w:rsidRDefault="00584EC1">
            <w:pPr>
              <w:rPr>
                <w:rFonts w:ascii="宋体"/>
              </w:rPr>
            </w:pPr>
          </w:p>
        </w:tc>
        <w:tc>
          <w:tcPr>
            <w:tcW w:w="0" w:type="auto"/>
            <w:shd w:val="clear" w:color="auto" w:fill="auto"/>
            <w:vAlign w:val="bottom"/>
          </w:tcPr>
          <w:p w14:paraId="74DE20A1" w14:textId="77777777" w:rsidR="00584EC1" w:rsidRDefault="00584EC1">
            <w:pPr>
              <w:rPr>
                <w:rFonts w:ascii="宋体"/>
              </w:rPr>
            </w:pPr>
          </w:p>
        </w:tc>
        <w:tc>
          <w:tcPr>
            <w:tcW w:w="0" w:type="auto"/>
            <w:shd w:val="clear" w:color="auto" w:fill="auto"/>
            <w:vAlign w:val="bottom"/>
          </w:tcPr>
          <w:p w14:paraId="74DE20A2" w14:textId="77777777" w:rsidR="00584EC1" w:rsidRDefault="00584EC1">
            <w:pPr>
              <w:rPr>
                <w:rFonts w:ascii="宋体"/>
              </w:rPr>
            </w:pPr>
          </w:p>
        </w:tc>
        <w:tc>
          <w:tcPr>
            <w:tcW w:w="0" w:type="auto"/>
            <w:shd w:val="clear" w:color="auto" w:fill="auto"/>
            <w:vAlign w:val="bottom"/>
          </w:tcPr>
          <w:p w14:paraId="74DE20A3" w14:textId="77777777" w:rsidR="00584EC1" w:rsidRDefault="00584EC1">
            <w:pPr>
              <w:rPr>
                <w:rFonts w:ascii="宋体"/>
              </w:rPr>
            </w:pPr>
          </w:p>
        </w:tc>
        <w:tc>
          <w:tcPr>
            <w:tcW w:w="0" w:type="auto"/>
            <w:shd w:val="clear" w:color="auto" w:fill="auto"/>
            <w:vAlign w:val="bottom"/>
          </w:tcPr>
          <w:p w14:paraId="74DE20A4" w14:textId="77777777" w:rsidR="00584EC1" w:rsidRDefault="00584EC1">
            <w:pPr>
              <w:rPr>
                <w:rFonts w:ascii="宋体"/>
              </w:rPr>
            </w:pPr>
          </w:p>
        </w:tc>
      </w:tr>
      <w:tr w:rsidR="00584EC1" w14:paraId="74DE20BA" w14:textId="77777777">
        <w:tc>
          <w:tcPr>
            <w:tcW w:w="0" w:type="auto"/>
            <w:gridSpan w:val="3"/>
            <w:shd w:val="clear" w:color="auto" w:fill="auto"/>
            <w:tcMar>
              <w:top w:w="40" w:type="dxa"/>
              <w:left w:w="20" w:type="dxa"/>
              <w:bottom w:w="40" w:type="dxa"/>
              <w:right w:w="20" w:type="dxa"/>
            </w:tcMar>
            <w:vAlign w:val="bottom"/>
          </w:tcPr>
          <w:p w14:paraId="74DE20A6" w14:textId="77777777" w:rsidR="00584EC1" w:rsidRDefault="00871F8D">
            <w:pPr>
              <w:textAlignment w:val="bottom"/>
            </w:pPr>
            <w:r>
              <w:rPr>
                <w:rFonts w:ascii="Arial" w:eastAsia="宋体" w:hAnsi="Arial" w:cs="Arial"/>
                <w:b/>
                <w:bCs/>
                <w:color w:val="000000"/>
                <w:sz w:val="12"/>
                <w:szCs w:val="12"/>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20A7" w14:textId="77777777" w:rsidR="00584EC1" w:rsidRDefault="00871F8D">
            <w:pPr>
              <w:jc w:val="center"/>
              <w:textAlignment w:val="bottom"/>
            </w:pPr>
            <w:r>
              <w:rPr>
                <w:rFonts w:ascii="Arial" w:eastAsia="宋体" w:hAnsi="Arial" w:cs="Arial"/>
                <w:b/>
                <w:bCs/>
                <w:color w:val="000000"/>
                <w:sz w:val="12"/>
                <w:szCs w:val="12"/>
              </w:rPr>
              <w:t>Topic 606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20A8"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20A9" w14:textId="77777777" w:rsidR="00584EC1" w:rsidRDefault="00871F8D">
            <w:pPr>
              <w:jc w:val="center"/>
              <w:textAlignment w:val="bottom"/>
            </w:pPr>
            <w:r>
              <w:rPr>
                <w:rFonts w:ascii="Arial" w:eastAsia="宋体" w:hAnsi="Arial" w:cs="Arial"/>
                <w:b/>
                <w:bCs/>
                <w:color w:val="000000"/>
                <w:sz w:val="12"/>
                <w:szCs w:val="12"/>
              </w:rPr>
              <w:t>All other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20AA"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20AB" w14:textId="77777777" w:rsidR="00584EC1" w:rsidRDefault="00871F8D">
            <w:pPr>
              <w:jc w:val="center"/>
              <w:textAlignment w:val="bottom"/>
            </w:pPr>
            <w:r>
              <w:rPr>
                <w:rFonts w:ascii="Arial" w:eastAsia="宋体" w:hAnsi="Arial" w:cs="Arial"/>
                <w:b/>
                <w:bCs/>
                <w:color w:val="000000"/>
                <w:sz w:val="12"/>
                <w:szCs w:val="12"/>
              </w:rPr>
              <w:t>Total</w:t>
            </w:r>
          </w:p>
        </w:tc>
        <w:tc>
          <w:tcPr>
            <w:tcW w:w="0" w:type="auto"/>
            <w:gridSpan w:val="3"/>
            <w:shd w:val="clear" w:color="auto" w:fill="auto"/>
            <w:tcMar>
              <w:top w:w="0" w:type="dxa"/>
              <w:left w:w="20" w:type="dxa"/>
              <w:bottom w:w="0" w:type="dxa"/>
              <w:right w:w="20" w:type="dxa"/>
            </w:tcMar>
            <w:vAlign w:val="bottom"/>
          </w:tcPr>
          <w:p w14:paraId="74DE20AC"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20AD" w14:textId="77777777" w:rsidR="00584EC1" w:rsidRDefault="00871F8D">
            <w:pPr>
              <w:jc w:val="center"/>
              <w:textAlignment w:val="bottom"/>
            </w:pPr>
            <w:r>
              <w:rPr>
                <w:rFonts w:ascii="Arial" w:eastAsia="宋体" w:hAnsi="Arial" w:cs="Arial"/>
                <w:b/>
                <w:bCs/>
                <w:color w:val="000000"/>
                <w:sz w:val="12"/>
                <w:szCs w:val="12"/>
              </w:rPr>
              <w:t xml:space="preserve">Topic 606 </w:t>
            </w:r>
            <w:r>
              <w:rPr>
                <w:rFonts w:ascii="Arial" w:eastAsia="宋体" w:hAnsi="Arial" w:cs="Arial"/>
                <w:b/>
                <w:bCs/>
                <w:color w:val="000000"/>
                <w:sz w:val="12"/>
                <w:szCs w:val="12"/>
              </w:rPr>
              <w:t>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20AE"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20AF" w14:textId="77777777" w:rsidR="00584EC1" w:rsidRDefault="00871F8D">
            <w:pPr>
              <w:jc w:val="center"/>
              <w:textAlignment w:val="bottom"/>
            </w:pPr>
            <w:r>
              <w:rPr>
                <w:rFonts w:ascii="Arial" w:eastAsia="宋体" w:hAnsi="Arial" w:cs="Arial"/>
                <w:b/>
                <w:bCs/>
                <w:color w:val="000000"/>
                <w:sz w:val="12"/>
                <w:szCs w:val="12"/>
              </w:rPr>
              <w:t>All other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20B0"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20B1" w14:textId="77777777" w:rsidR="00584EC1" w:rsidRDefault="00871F8D">
            <w:pPr>
              <w:jc w:val="center"/>
              <w:textAlignment w:val="bottom"/>
            </w:pPr>
            <w:r>
              <w:rPr>
                <w:rFonts w:ascii="Arial" w:eastAsia="宋体" w:hAnsi="Arial" w:cs="Arial"/>
                <w:b/>
                <w:bCs/>
                <w:color w:val="000000"/>
                <w:sz w:val="12"/>
                <w:szCs w:val="12"/>
              </w:rPr>
              <w:t>Total</w:t>
            </w:r>
          </w:p>
        </w:tc>
        <w:tc>
          <w:tcPr>
            <w:tcW w:w="0" w:type="auto"/>
            <w:gridSpan w:val="3"/>
            <w:shd w:val="clear" w:color="auto" w:fill="auto"/>
            <w:tcMar>
              <w:top w:w="0" w:type="dxa"/>
              <w:left w:w="20" w:type="dxa"/>
              <w:bottom w:w="0" w:type="dxa"/>
              <w:right w:w="20" w:type="dxa"/>
            </w:tcMar>
            <w:vAlign w:val="bottom"/>
          </w:tcPr>
          <w:p w14:paraId="74DE20B2" w14:textId="77777777" w:rsidR="00584EC1" w:rsidRDefault="00584EC1">
            <w:pPr>
              <w:rPr>
                <w:rFonts w:ascii="宋体"/>
              </w:rPr>
            </w:pPr>
          </w:p>
        </w:tc>
        <w:tc>
          <w:tcPr>
            <w:tcW w:w="0" w:type="auto"/>
            <w:gridSpan w:val="3"/>
            <w:shd w:val="clear" w:color="auto" w:fill="auto"/>
            <w:vAlign w:val="bottom"/>
          </w:tcPr>
          <w:p w14:paraId="74DE20B3" w14:textId="77777777" w:rsidR="00584EC1" w:rsidRDefault="00584EC1">
            <w:pPr>
              <w:rPr>
                <w:rFonts w:ascii="宋体"/>
                <w:vanish/>
              </w:rPr>
            </w:pPr>
          </w:p>
        </w:tc>
        <w:tc>
          <w:tcPr>
            <w:tcW w:w="0" w:type="auto"/>
            <w:gridSpan w:val="3"/>
            <w:shd w:val="clear" w:color="auto" w:fill="auto"/>
            <w:vAlign w:val="bottom"/>
          </w:tcPr>
          <w:p w14:paraId="74DE20B4" w14:textId="77777777" w:rsidR="00584EC1" w:rsidRDefault="00584EC1">
            <w:pPr>
              <w:rPr>
                <w:rFonts w:ascii="宋体"/>
                <w:vanish/>
              </w:rPr>
            </w:pPr>
          </w:p>
        </w:tc>
        <w:tc>
          <w:tcPr>
            <w:tcW w:w="0" w:type="auto"/>
            <w:gridSpan w:val="3"/>
            <w:shd w:val="clear" w:color="auto" w:fill="auto"/>
            <w:vAlign w:val="bottom"/>
          </w:tcPr>
          <w:p w14:paraId="74DE20B5" w14:textId="77777777" w:rsidR="00584EC1" w:rsidRDefault="00584EC1">
            <w:pPr>
              <w:rPr>
                <w:rFonts w:ascii="宋体"/>
                <w:vanish/>
              </w:rPr>
            </w:pPr>
          </w:p>
        </w:tc>
        <w:tc>
          <w:tcPr>
            <w:tcW w:w="0" w:type="auto"/>
            <w:gridSpan w:val="3"/>
            <w:shd w:val="clear" w:color="auto" w:fill="auto"/>
            <w:vAlign w:val="bottom"/>
          </w:tcPr>
          <w:p w14:paraId="74DE20B6" w14:textId="77777777" w:rsidR="00584EC1" w:rsidRDefault="00584EC1">
            <w:pPr>
              <w:rPr>
                <w:rFonts w:ascii="宋体"/>
                <w:vanish/>
              </w:rPr>
            </w:pPr>
          </w:p>
        </w:tc>
        <w:tc>
          <w:tcPr>
            <w:tcW w:w="0" w:type="auto"/>
            <w:gridSpan w:val="3"/>
            <w:shd w:val="clear" w:color="auto" w:fill="auto"/>
            <w:vAlign w:val="bottom"/>
          </w:tcPr>
          <w:p w14:paraId="74DE20B7" w14:textId="77777777" w:rsidR="00584EC1" w:rsidRDefault="00584EC1">
            <w:pPr>
              <w:rPr>
                <w:rFonts w:ascii="宋体"/>
                <w:vanish/>
              </w:rPr>
            </w:pPr>
          </w:p>
        </w:tc>
        <w:tc>
          <w:tcPr>
            <w:tcW w:w="0" w:type="auto"/>
            <w:gridSpan w:val="3"/>
            <w:shd w:val="clear" w:color="auto" w:fill="auto"/>
            <w:vAlign w:val="bottom"/>
          </w:tcPr>
          <w:p w14:paraId="74DE20B8" w14:textId="77777777" w:rsidR="00584EC1" w:rsidRDefault="00584EC1">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20B9" w14:textId="77777777" w:rsidR="00584EC1" w:rsidRDefault="00871F8D">
            <w:pPr>
              <w:jc w:val="center"/>
              <w:textAlignment w:val="bottom"/>
            </w:pPr>
            <w:r>
              <w:rPr>
                <w:rFonts w:ascii="Arial" w:eastAsia="宋体" w:hAnsi="Arial" w:cs="Arial"/>
                <w:b/>
                <w:bCs/>
                <w:color w:val="000000"/>
                <w:sz w:val="12"/>
                <w:szCs w:val="12"/>
              </w:rPr>
              <w:t>2020</w:t>
            </w:r>
          </w:p>
        </w:tc>
      </w:tr>
      <w:tr w:rsidR="00584EC1" w14:paraId="74DE20DD" w14:textId="77777777">
        <w:tc>
          <w:tcPr>
            <w:tcW w:w="0" w:type="auto"/>
            <w:gridSpan w:val="3"/>
            <w:shd w:val="clear" w:color="auto" w:fill="CCEEFF"/>
            <w:tcMar>
              <w:top w:w="40" w:type="dxa"/>
              <w:left w:w="155" w:type="dxa"/>
              <w:bottom w:w="40" w:type="dxa"/>
              <w:right w:w="20" w:type="dxa"/>
            </w:tcMar>
            <w:vAlign w:val="bottom"/>
          </w:tcPr>
          <w:p w14:paraId="74DE20BB" w14:textId="77777777" w:rsidR="00584EC1" w:rsidRDefault="00871F8D">
            <w:pPr>
              <w:textAlignment w:val="bottom"/>
            </w:pPr>
            <w:r>
              <w:rPr>
                <w:rFonts w:ascii="Arial" w:eastAsia="宋体" w:hAnsi="Arial" w:cs="Arial"/>
                <w:color w:val="000000"/>
                <w:sz w:val="12"/>
                <w:szCs w:val="12"/>
              </w:rPr>
              <w:t>Servicing fees</w:t>
            </w:r>
          </w:p>
        </w:tc>
        <w:tc>
          <w:tcPr>
            <w:tcW w:w="0" w:type="auto"/>
            <w:tcBorders>
              <w:top w:val="single" w:sz="8" w:space="0" w:color="000000"/>
            </w:tcBorders>
            <w:shd w:val="clear" w:color="auto" w:fill="CCEEFF"/>
            <w:tcMar>
              <w:top w:w="40" w:type="dxa"/>
              <w:left w:w="20" w:type="dxa"/>
              <w:bottom w:w="40" w:type="dxa"/>
              <w:right w:w="0" w:type="dxa"/>
            </w:tcMar>
            <w:vAlign w:val="bottom"/>
          </w:tcPr>
          <w:p w14:paraId="74DE20BC"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20BD" w14:textId="77777777" w:rsidR="00584EC1" w:rsidRDefault="00871F8D">
            <w:pPr>
              <w:jc w:val="right"/>
              <w:textAlignment w:val="bottom"/>
            </w:pPr>
            <w:r>
              <w:rPr>
                <w:rFonts w:ascii="Arial" w:eastAsia="宋体" w:hAnsi="Arial" w:cs="Arial"/>
                <w:color w:val="000000"/>
                <w:sz w:val="12"/>
                <w:szCs w:val="12"/>
              </w:rPr>
              <w:t>1,301 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20B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20BF"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20C0"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20C1" w14:textId="77777777" w:rsidR="00584EC1" w:rsidRDefault="00871F8D">
            <w:pPr>
              <w:jc w:val="right"/>
              <w:textAlignment w:val="bottom"/>
            </w:pP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20C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20C3"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20C4"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20C5" w14:textId="77777777" w:rsidR="00584EC1" w:rsidRDefault="00871F8D">
            <w:pPr>
              <w:jc w:val="right"/>
              <w:textAlignment w:val="bottom"/>
            </w:pPr>
            <w:r>
              <w:rPr>
                <w:rFonts w:ascii="Arial" w:eastAsia="宋体" w:hAnsi="Arial" w:cs="Arial"/>
                <w:color w:val="000000"/>
                <w:sz w:val="12"/>
                <w:szCs w:val="12"/>
              </w:rPr>
              <w:t>1,301 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20C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20C7"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20C8"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20C9" w14:textId="77777777" w:rsidR="00584EC1" w:rsidRDefault="00871F8D">
            <w:pPr>
              <w:jc w:val="right"/>
              <w:textAlignment w:val="bottom"/>
            </w:pP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20C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20CB"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20CC"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20CD" w14:textId="77777777" w:rsidR="00584EC1" w:rsidRDefault="00871F8D">
            <w:pPr>
              <w:jc w:val="right"/>
              <w:textAlignment w:val="bottom"/>
            </w:pP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20C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20CF"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20D0"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20D1" w14:textId="77777777" w:rsidR="00584EC1" w:rsidRDefault="00871F8D">
            <w:pPr>
              <w:jc w:val="right"/>
              <w:textAlignment w:val="bottom"/>
            </w:pP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20D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20D3" w14:textId="77777777" w:rsidR="00584EC1" w:rsidRDefault="00584EC1">
            <w:pPr>
              <w:rPr>
                <w:rFonts w:ascii="宋体"/>
              </w:rPr>
            </w:pPr>
          </w:p>
        </w:tc>
        <w:tc>
          <w:tcPr>
            <w:tcW w:w="0" w:type="auto"/>
            <w:gridSpan w:val="3"/>
            <w:shd w:val="clear" w:color="auto" w:fill="auto"/>
            <w:vAlign w:val="bottom"/>
          </w:tcPr>
          <w:p w14:paraId="74DE20D4" w14:textId="77777777" w:rsidR="00584EC1" w:rsidRDefault="00584EC1">
            <w:pPr>
              <w:rPr>
                <w:rFonts w:ascii="宋体"/>
                <w:vanish/>
              </w:rPr>
            </w:pPr>
          </w:p>
        </w:tc>
        <w:tc>
          <w:tcPr>
            <w:tcW w:w="0" w:type="auto"/>
            <w:gridSpan w:val="3"/>
            <w:shd w:val="clear" w:color="auto" w:fill="auto"/>
            <w:vAlign w:val="bottom"/>
          </w:tcPr>
          <w:p w14:paraId="74DE20D5" w14:textId="77777777" w:rsidR="00584EC1" w:rsidRDefault="00584EC1">
            <w:pPr>
              <w:rPr>
                <w:rFonts w:ascii="宋体"/>
                <w:vanish/>
              </w:rPr>
            </w:pPr>
          </w:p>
        </w:tc>
        <w:tc>
          <w:tcPr>
            <w:tcW w:w="0" w:type="auto"/>
            <w:gridSpan w:val="3"/>
            <w:shd w:val="clear" w:color="auto" w:fill="auto"/>
            <w:vAlign w:val="bottom"/>
          </w:tcPr>
          <w:p w14:paraId="74DE20D6" w14:textId="77777777" w:rsidR="00584EC1" w:rsidRDefault="00584EC1">
            <w:pPr>
              <w:rPr>
                <w:rFonts w:ascii="宋体"/>
                <w:vanish/>
              </w:rPr>
            </w:pPr>
          </w:p>
        </w:tc>
        <w:tc>
          <w:tcPr>
            <w:tcW w:w="0" w:type="auto"/>
            <w:gridSpan w:val="3"/>
            <w:shd w:val="clear" w:color="auto" w:fill="auto"/>
            <w:vAlign w:val="bottom"/>
          </w:tcPr>
          <w:p w14:paraId="74DE20D7" w14:textId="77777777" w:rsidR="00584EC1" w:rsidRDefault="00584EC1">
            <w:pPr>
              <w:rPr>
                <w:rFonts w:ascii="宋体"/>
                <w:vanish/>
              </w:rPr>
            </w:pPr>
          </w:p>
        </w:tc>
        <w:tc>
          <w:tcPr>
            <w:tcW w:w="0" w:type="auto"/>
            <w:gridSpan w:val="3"/>
            <w:shd w:val="clear" w:color="auto" w:fill="auto"/>
            <w:vAlign w:val="bottom"/>
          </w:tcPr>
          <w:p w14:paraId="74DE20D8" w14:textId="77777777" w:rsidR="00584EC1" w:rsidRDefault="00584EC1">
            <w:pPr>
              <w:rPr>
                <w:rFonts w:ascii="宋体"/>
                <w:vanish/>
              </w:rPr>
            </w:pPr>
          </w:p>
        </w:tc>
        <w:tc>
          <w:tcPr>
            <w:tcW w:w="0" w:type="auto"/>
            <w:gridSpan w:val="3"/>
            <w:shd w:val="clear" w:color="auto" w:fill="auto"/>
            <w:vAlign w:val="bottom"/>
          </w:tcPr>
          <w:p w14:paraId="74DE20D9" w14:textId="77777777" w:rsidR="00584EC1" w:rsidRDefault="00584EC1">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20DA"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20DB" w14:textId="77777777" w:rsidR="00584EC1" w:rsidRDefault="00871F8D">
            <w:pPr>
              <w:jc w:val="right"/>
              <w:textAlignment w:val="bottom"/>
            </w:pPr>
            <w:r>
              <w:rPr>
                <w:rFonts w:ascii="Arial" w:eastAsia="宋体" w:hAnsi="Arial" w:cs="Arial"/>
                <w:color w:val="000000"/>
                <w:sz w:val="12"/>
                <w:szCs w:val="12"/>
              </w:rPr>
              <w:t>1,301 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20DC" w14:textId="77777777" w:rsidR="00584EC1" w:rsidRDefault="00584EC1">
            <w:pPr>
              <w:jc w:val="right"/>
              <w:rPr>
                <w:rFonts w:ascii="宋体"/>
              </w:rPr>
            </w:pPr>
          </w:p>
        </w:tc>
      </w:tr>
      <w:tr w:rsidR="00584EC1" w14:paraId="74DE20F9" w14:textId="77777777">
        <w:tc>
          <w:tcPr>
            <w:tcW w:w="0" w:type="auto"/>
            <w:gridSpan w:val="3"/>
            <w:shd w:val="clear" w:color="auto" w:fill="FFFFFF"/>
            <w:tcMar>
              <w:top w:w="40" w:type="dxa"/>
              <w:left w:w="155" w:type="dxa"/>
              <w:bottom w:w="40" w:type="dxa"/>
              <w:right w:w="20" w:type="dxa"/>
            </w:tcMar>
            <w:vAlign w:val="bottom"/>
          </w:tcPr>
          <w:p w14:paraId="74DE20DE" w14:textId="77777777" w:rsidR="00584EC1" w:rsidRDefault="00871F8D">
            <w:pPr>
              <w:textAlignment w:val="bottom"/>
            </w:pPr>
            <w:r>
              <w:rPr>
                <w:rFonts w:ascii="Arial" w:eastAsia="宋体" w:hAnsi="Arial" w:cs="Arial"/>
                <w:color w:val="000000"/>
                <w:sz w:val="12"/>
                <w:szCs w:val="12"/>
              </w:rPr>
              <w:t>Management fees</w:t>
            </w:r>
          </w:p>
        </w:tc>
        <w:tc>
          <w:tcPr>
            <w:tcW w:w="0" w:type="auto"/>
            <w:gridSpan w:val="2"/>
            <w:shd w:val="clear" w:color="auto" w:fill="FFFFFF"/>
            <w:tcMar>
              <w:top w:w="40" w:type="dxa"/>
              <w:left w:w="20" w:type="dxa"/>
              <w:bottom w:w="40" w:type="dxa"/>
              <w:right w:w="0" w:type="dxa"/>
            </w:tcMar>
            <w:vAlign w:val="bottom"/>
          </w:tcPr>
          <w:p w14:paraId="74DE20DF" w14:textId="77777777" w:rsidR="00584EC1" w:rsidRDefault="00871F8D">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20E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20E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20E2" w14:textId="77777777" w:rsidR="00584EC1" w:rsidRDefault="00871F8D">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20E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20E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20E5" w14:textId="77777777" w:rsidR="00584EC1" w:rsidRDefault="00871F8D">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20E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20E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20E8" w14:textId="77777777" w:rsidR="00584EC1" w:rsidRDefault="00871F8D">
            <w:pPr>
              <w:jc w:val="right"/>
              <w:textAlignment w:val="bottom"/>
            </w:pPr>
            <w:r>
              <w:rPr>
                <w:rFonts w:ascii="Arial" w:eastAsia="宋体" w:hAnsi="Arial" w:cs="Arial"/>
                <w:color w:val="000000"/>
                <w:sz w:val="12"/>
                <w:szCs w:val="12"/>
              </w:rPr>
              <w:t>479 </w:t>
            </w:r>
          </w:p>
        </w:tc>
        <w:tc>
          <w:tcPr>
            <w:tcW w:w="0" w:type="auto"/>
            <w:shd w:val="clear" w:color="auto" w:fill="FFFFFF"/>
            <w:tcMar>
              <w:top w:w="40" w:type="dxa"/>
              <w:left w:w="0" w:type="dxa"/>
              <w:bottom w:w="40" w:type="dxa"/>
              <w:right w:w="20" w:type="dxa"/>
            </w:tcMar>
            <w:vAlign w:val="bottom"/>
          </w:tcPr>
          <w:p w14:paraId="74DE20E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20E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20EB" w14:textId="77777777" w:rsidR="00584EC1" w:rsidRDefault="00871F8D">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20E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20E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20EE" w14:textId="77777777" w:rsidR="00584EC1" w:rsidRDefault="00871F8D">
            <w:pPr>
              <w:jc w:val="right"/>
              <w:textAlignment w:val="bottom"/>
            </w:pPr>
            <w:r>
              <w:rPr>
                <w:rFonts w:ascii="Arial" w:eastAsia="宋体" w:hAnsi="Arial" w:cs="Arial"/>
                <w:color w:val="000000"/>
                <w:sz w:val="12"/>
                <w:szCs w:val="12"/>
              </w:rPr>
              <w:t>479 </w:t>
            </w:r>
          </w:p>
        </w:tc>
        <w:tc>
          <w:tcPr>
            <w:tcW w:w="0" w:type="auto"/>
            <w:shd w:val="clear" w:color="auto" w:fill="FFFFFF"/>
            <w:tcMar>
              <w:top w:w="40" w:type="dxa"/>
              <w:left w:w="0" w:type="dxa"/>
              <w:bottom w:w="40" w:type="dxa"/>
              <w:right w:w="20" w:type="dxa"/>
            </w:tcMar>
            <w:vAlign w:val="bottom"/>
          </w:tcPr>
          <w:p w14:paraId="74DE20E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20F0" w14:textId="77777777" w:rsidR="00584EC1" w:rsidRDefault="00584EC1">
            <w:pPr>
              <w:rPr>
                <w:rFonts w:ascii="宋体"/>
              </w:rPr>
            </w:pPr>
          </w:p>
        </w:tc>
        <w:tc>
          <w:tcPr>
            <w:tcW w:w="0" w:type="auto"/>
            <w:gridSpan w:val="3"/>
            <w:shd w:val="clear" w:color="auto" w:fill="auto"/>
            <w:vAlign w:val="bottom"/>
          </w:tcPr>
          <w:p w14:paraId="74DE20F1" w14:textId="77777777" w:rsidR="00584EC1" w:rsidRDefault="00584EC1">
            <w:pPr>
              <w:rPr>
                <w:rFonts w:ascii="宋体"/>
                <w:vanish/>
              </w:rPr>
            </w:pPr>
          </w:p>
        </w:tc>
        <w:tc>
          <w:tcPr>
            <w:tcW w:w="0" w:type="auto"/>
            <w:gridSpan w:val="3"/>
            <w:shd w:val="clear" w:color="auto" w:fill="auto"/>
            <w:vAlign w:val="bottom"/>
          </w:tcPr>
          <w:p w14:paraId="74DE20F2" w14:textId="77777777" w:rsidR="00584EC1" w:rsidRDefault="00584EC1">
            <w:pPr>
              <w:rPr>
                <w:rFonts w:ascii="宋体"/>
                <w:vanish/>
              </w:rPr>
            </w:pPr>
          </w:p>
        </w:tc>
        <w:tc>
          <w:tcPr>
            <w:tcW w:w="0" w:type="auto"/>
            <w:gridSpan w:val="3"/>
            <w:shd w:val="clear" w:color="auto" w:fill="auto"/>
            <w:vAlign w:val="bottom"/>
          </w:tcPr>
          <w:p w14:paraId="74DE20F3" w14:textId="77777777" w:rsidR="00584EC1" w:rsidRDefault="00584EC1">
            <w:pPr>
              <w:rPr>
                <w:rFonts w:ascii="宋体"/>
                <w:vanish/>
              </w:rPr>
            </w:pPr>
          </w:p>
        </w:tc>
        <w:tc>
          <w:tcPr>
            <w:tcW w:w="0" w:type="auto"/>
            <w:gridSpan w:val="3"/>
            <w:shd w:val="clear" w:color="auto" w:fill="auto"/>
            <w:vAlign w:val="bottom"/>
          </w:tcPr>
          <w:p w14:paraId="74DE20F4" w14:textId="77777777" w:rsidR="00584EC1" w:rsidRDefault="00584EC1">
            <w:pPr>
              <w:rPr>
                <w:rFonts w:ascii="宋体"/>
                <w:vanish/>
              </w:rPr>
            </w:pPr>
          </w:p>
        </w:tc>
        <w:tc>
          <w:tcPr>
            <w:tcW w:w="0" w:type="auto"/>
            <w:gridSpan w:val="3"/>
            <w:shd w:val="clear" w:color="auto" w:fill="auto"/>
            <w:vAlign w:val="bottom"/>
          </w:tcPr>
          <w:p w14:paraId="74DE20F5" w14:textId="77777777" w:rsidR="00584EC1" w:rsidRDefault="00584EC1">
            <w:pPr>
              <w:rPr>
                <w:rFonts w:ascii="宋体"/>
                <w:vanish/>
              </w:rPr>
            </w:pPr>
          </w:p>
        </w:tc>
        <w:tc>
          <w:tcPr>
            <w:tcW w:w="0" w:type="auto"/>
            <w:gridSpan w:val="3"/>
            <w:shd w:val="clear" w:color="auto" w:fill="auto"/>
            <w:vAlign w:val="bottom"/>
          </w:tcPr>
          <w:p w14:paraId="74DE20F6"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E20F7" w14:textId="77777777" w:rsidR="00584EC1" w:rsidRDefault="00871F8D">
            <w:pPr>
              <w:jc w:val="right"/>
              <w:textAlignment w:val="bottom"/>
            </w:pPr>
            <w:r>
              <w:rPr>
                <w:rFonts w:ascii="Arial" w:eastAsia="宋体" w:hAnsi="Arial" w:cs="Arial"/>
                <w:color w:val="000000"/>
                <w:sz w:val="12"/>
                <w:szCs w:val="12"/>
              </w:rPr>
              <w:t>479 </w:t>
            </w:r>
          </w:p>
        </w:tc>
        <w:tc>
          <w:tcPr>
            <w:tcW w:w="0" w:type="auto"/>
            <w:shd w:val="clear" w:color="auto" w:fill="FFFFFF"/>
            <w:tcMar>
              <w:top w:w="40" w:type="dxa"/>
              <w:left w:w="0" w:type="dxa"/>
              <w:bottom w:w="40" w:type="dxa"/>
              <w:right w:w="20" w:type="dxa"/>
            </w:tcMar>
            <w:vAlign w:val="bottom"/>
          </w:tcPr>
          <w:p w14:paraId="74DE20F8" w14:textId="77777777" w:rsidR="00584EC1" w:rsidRDefault="00584EC1">
            <w:pPr>
              <w:jc w:val="right"/>
              <w:rPr>
                <w:rFonts w:ascii="宋体"/>
              </w:rPr>
            </w:pPr>
          </w:p>
        </w:tc>
      </w:tr>
      <w:tr w:rsidR="00584EC1" w14:paraId="74DE2115" w14:textId="77777777">
        <w:tc>
          <w:tcPr>
            <w:tcW w:w="0" w:type="auto"/>
            <w:gridSpan w:val="3"/>
            <w:shd w:val="clear" w:color="auto" w:fill="CCEEFF"/>
            <w:tcMar>
              <w:top w:w="40" w:type="dxa"/>
              <w:left w:w="155" w:type="dxa"/>
              <w:bottom w:w="40" w:type="dxa"/>
              <w:right w:w="20" w:type="dxa"/>
            </w:tcMar>
            <w:vAlign w:val="bottom"/>
          </w:tcPr>
          <w:p w14:paraId="74DE20FA" w14:textId="77777777" w:rsidR="00584EC1" w:rsidRDefault="00871F8D">
            <w:pPr>
              <w:textAlignment w:val="bottom"/>
            </w:pPr>
            <w:r>
              <w:rPr>
                <w:rFonts w:ascii="Arial" w:eastAsia="宋体" w:hAnsi="Arial" w:cs="Arial"/>
                <w:color w:val="000000"/>
                <w:sz w:val="12"/>
                <w:szCs w:val="12"/>
              </w:rPr>
              <w:t>Foreign ex</w:t>
            </w:r>
            <w:r>
              <w:rPr>
                <w:rFonts w:ascii="Arial" w:eastAsia="宋体" w:hAnsi="Arial" w:cs="Arial"/>
                <w:color w:val="000000"/>
                <w:sz w:val="12"/>
                <w:szCs w:val="12"/>
              </w:rPr>
              <w:t>change trading services</w:t>
            </w:r>
          </w:p>
        </w:tc>
        <w:tc>
          <w:tcPr>
            <w:tcW w:w="0" w:type="auto"/>
            <w:gridSpan w:val="2"/>
            <w:shd w:val="clear" w:color="auto" w:fill="CCEEFF"/>
            <w:tcMar>
              <w:top w:w="40" w:type="dxa"/>
              <w:left w:w="20" w:type="dxa"/>
              <w:bottom w:w="40" w:type="dxa"/>
              <w:right w:w="0" w:type="dxa"/>
            </w:tcMar>
            <w:vAlign w:val="bottom"/>
          </w:tcPr>
          <w:p w14:paraId="74DE20FB" w14:textId="77777777" w:rsidR="00584EC1" w:rsidRDefault="00871F8D">
            <w:pPr>
              <w:jc w:val="right"/>
              <w:textAlignment w:val="bottom"/>
            </w:pPr>
            <w:r>
              <w:rPr>
                <w:rFonts w:ascii="Arial" w:eastAsia="宋体" w:hAnsi="Arial" w:cs="Arial"/>
                <w:color w:val="000000"/>
                <w:sz w:val="12"/>
                <w:szCs w:val="12"/>
              </w:rPr>
              <w:t>90 </w:t>
            </w:r>
          </w:p>
        </w:tc>
        <w:tc>
          <w:tcPr>
            <w:tcW w:w="0" w:type="auto"/>
            <w:shd w:val="clear" w:color="auto" w:fill="CCEEFF"/>
            <w:tcMar>
              <w:top w:w="40" w:type="dxa"/>
              <w:left w:w="0" w:type="dxa"/>
              <w:bottom w:w="40" w:type="dxa"/>
              <w:right w:w="20" w:type="dxa"/>
            </w:tcMar>
            <w:vAlign w:val="bottom"/>
          </w:tcPr>
          <w:p w14:paraId="74DE20F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20F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20FE" w14:textId="77777777" w:rsidR="00584EC1" w:rsidRDefault="00871F8D">
            <w:pPr>
              <w:jc w:val="right"/>
              <w:textAlignment w:val="bottom"/>
            </w:pPr>
            <w:r>
              <w:rPr>
                <w:rFonts w:ascii="Arial" w:eastAsia="宋体" w:hAnsi="Arial" w:cs="Arial"/>
                <w:color w:val="000000"/>
                <w:sz w:val="12"/>
                <w:szCs w:val="12"/>
              </w:rPr>
              <w:t>162 </w:t>
            </w:r>
          </w:p>
        </w:tc>
        <w:tc>
          <w:tcPr>
            <w:tcW w:w="0" w:type="auto"/>
            <w:shd w:val="clear" w:color="auto" w:fill="CCEEFF"/>
            <w:tcMar>
              <w:top w:w="40" w:type="dxa"/>
              <w:left w:w="0" w:type="dxa"/>
              <w:bottom w:w="40" w:type="dxa"/>
              <w:right w:w="20" w:type="dxa"/>
            </w:tcMar>
            <w:vAlign w:val="bottom"/>
          </w:tcPr>
          <w:p w14:paraId="74DE20F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210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2101" w14:textId="77777777" w:rsidR="00584EC1" w:rsidRDefault="00871F8D">
            <w:pPr>
              <w:jc w:val="right"/>
              <w:textAlignment w:val="bottom"/>
            </w:pPr>
            <w:r>
              <w:rPr>
                <w:rFonts w:ascii="Arial" w:eastAsia="宋体" w:hAnsi="Arial" w:cs="Arial"/>
                <w:color w:val="000000"/>
                <w:sz w:val="12"/>
                <w:szCs w:val="12"/>
              </w:rPr>
              <w:t>252 </w:t>
            </w:r>
          </w:p>
        </w:tc>
        <w:tc>
          <w:tcPr>
            <w:tcW w:w="0" w:type="auto"/>
            <w:shd w:val="clear" w:color="auto" w:fill="CCEEFF"/>
            <w:tcMar>
              <w:top w:w="40" w:type="dxa"/>
              <w:left w:w="0" w:type="dxa"/>
              <w:bottom w:w="40" w:type="dxa"/>
              <w:right w:w="20" w:type="dxa"/>
            </w:tcMar>
            <w:vAlign w:val="bottom"/>
          </w:tcPr>
          <w:p w14:paraId="74DE210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2103"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2104" w14:textId="77777777" w:rsidR="00584EC1" w:rsidRDefault="00871F8D">
            <w:pPr>
              <w:jc w:val="right"/>
              <w:textAlignment w:val="bottom"/>
            </w:pPr>
            <w:r>
              <w:rPr>
                <w:rFonts w:ascii="Arial" w:eastAsia="宋体" w:hAnsi="Arial" w:cs="Arial"/>
                <w:color w:val="000000"/>
                <w:sz w:val="12"/>
                <w:szCs w:val="12"/>
              </w:rPr>
              <w:t>18 </w:t>
            </w:r>
          </w:p>
        </w:tc>
        <w:tc>
          <w:tcPr>
            <w:tcW w:w="0" w:type="auto"/>
            <w:shd w:val="clear" w:color="auto" w:fill="CCEEFF"/>
            <w:tcMar>
              <w:top w:w="40" w:type="dxa"/>
              <w:left w:w="0" w:type="dxa"/>
              <w:bottom w:w="40" w:type="dxa"/>
              <w:right w:w="20" w:type="dxa"/>
            </w:tcMar>
            <w:vAlign w:val="bottom"/>
          </w:tcPr>
          <w:p w14:paraId="74DE210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210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2107" w14:textId="77777777" w:rsidR="00584EC1" w:rsidRDefault="00871F8D">
            <w:pPr>
              <w:jc w:val="right"/>
              <w:textAlignment w:val="bottom"/>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210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210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210A" w14:textId="77777777" w:rsidR="00584EC1" w:rsidRDefault="00871F8D">
            <w:pPr>
              <w:jc w:val="right"/>
              <w:textAlignment w:val="bottom"/>
            </w:pPr>
            <w:r>
              <w:rPr>
                <w:rFonts w:ascii="Arial" w:eastAsia="宋体" w:hAnsi="Arial" w:cs="Arial"/>
                <w:color w:val="000000"/>
                <w:sz w:val="12"/>
                <w:szCs w:val="12"/>
              </w:rPr>
              <w:t>18 </w:t>
            </w:r>
          </w:p>
        </w:tc>
        <w:tc>
          <w:tcPr>
            <w:tcW w:w="0" w:type="auto"/>
            <w:shd w:val="clear" w:color="auto" w:fill="CCEEFF"/>
            <w:tcMar>
              <w:top w:w="40" w:type="dxa"/>
              <w:left w:w="0" w:type="dxa"/>
              <w:bottom w:w="40" w:type="dxa"/>
              <w:right w:w="20" w:type="dxa"/>
            </w:tcMar>
            <w:vAlign w:val="bottom"/>
          </w:tcPr>
          <w:p w14:paraId="74DE210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210C" w14:textId="77777777" w:rsidR="00584EC1" w:rsidRDefault="00584EC1">
            <w:pPr>
              <w:rPr>
                <w:rFonts w:ascii="宋体"/>
              </w:rPr>
            </w:pPr>
          </w:p>
        </w:tc>
        <w:tc>
          <w:tcPr>
            <w:tcW w:w="0" w:type="auto"/>
            <w:gridSpan w:val="3"/>
            <w:shd w:val="clear" w:color="auto" w:fill="auto"/>
            <w:vAlign w:val="bottom"/>
          </w:tcPr>
          <w:p w14:paraId="74DE210D" w14:textId="77777777" w:rsidR="00584EC1" w:rsidRDefault="00584EC1">
            <w:pPr>
              <w:rPr>
                <w:rFonts w:ascii="宋体"/>
                <w:vanish/>
              </w:rPr>
            </w:pPr>
          </w:p>
        </w:tc>
        <w:tc>
          <w:tcPr>
            <w:tcW w:w="0" w:type="auto"/>
            <w:gridSpan w:val="3"/>
            <w:shd w:val="clear" w:color="auto" w:fill="auto"/>
            <w:vAlign w:val="bottom"/>
          </w:tcPr>
          <w:p w14:paraId="74DE210E" w14:textId="77777777" w:rsidR="00584EC1" w:rsidRDefault="00584EC1">
            <w:pPr>
              <w:rPr>
                <w:rFonts w:ascii="宋体"/>
                <w:vanish/>
              </w:rPr>
            </w:pPr>
          </w:p>
        </w:tc>
        <w:tc>
          <w:tcPr>
            <w:tcW w:w="0" w:type="auto"/>
            <w:gridSpan w:val="3"/>
            <w:shd w:val="clear" w:color="auto" w:fill="auto"/>
            <w:vAlign w:val="bottom"/>
          </w:tcPr>
          <w:p w14:paraId="74DE210F" w14:textId="77777777" w:rsidR="00584EC1" w:rsidRDefault="00584EC1">
            <w:pPr>
              <w:rPr>
                <w:rFonts w:ascii="宋体"/>
                <w:vanish/>
              </w:rPr>
            </w:pPr>
          </w:p>
        </w:tc>
        <w:tc>
          <w:tcPr>
            <w:tcW w:w="0" w:type="auto"/>
            <w:gridSpan w:val="3"/>
            <w:shd w:val="clear" w:color="auto" w:fill="auto"/>
            <w:vAlign w:val="bottom"/>
          </w:tcPr>
          <w:p w14:paraId="74DE2110" w14:textId="77777777" w:rsidR="00584EC1" w:rsidRDefault="00584EC1">
            <w:pPr>
              <w:rPr>
                <w:rFonts w:ascii="宋体"/>
                <w:vanish/>
              </w:rPr>
            </w:pPr>
          </w:p>
        </w:tc>
        <w:tc>
          <w:tcPr>
            <w:tcW w:w="0" w:type="auto"/>
            <w:gridSpan w:val="3"/>
            <w:shd w:val="clear" w:color="auto" w:fill="auto"/>
            <w:vAlign w:val="bottom"/>
          </w:tcPr>
          <w:p w14:paraId="74DE2111" w14:textId="77777777" w:rsidR="00584EC1" w:rsidRDefault="00584EC1">
            <w:pPr>
              <w:rPr>
                <w:rFonts w:ascii="宋体"/>
                <w:vanish/>
              </w:rPr>
            </w:pPr>
          </w:p>
        </w:tc>
        <w:tc>
          <w:tcPr>
            <w:tcW w:w="0" w:type="auto"/>
            <w:gridSpan w:val="3"/>
            <w:shd w:val="clear" w:color="auto" w:fill="auto"/>
            <w:vAlign w:val="bottom"/>
          </w:tcPr>
          <w:p w14:paraId="74DE2112" w14:textId="77777777" w:rsidR="00584EC1" w:rsidRDefault="00584EC1">
            <w:pPr>
              <w:rPr>
                <w:rFonts w:ascii="宋体"/>
                <w:vanish/>
              </w:rPr>
            </w:pPr>
          </w:p>
        </w:tc>
        <w:tc>
          <w:tcPr>
            <w:tcW w:w="0" w:type="auto"/>
            <w:gridSpan w:val="2"/>
            <w:shd w:val="clear" w:color="auto" w:fill="CCEEFF"/>
            <w:tcMar>
              <w:top w:w="40" w:type="dxa"/>
              <w:left w:w="20" w:type="dxa"/>
              <w:bottom w:w="40" w:type="dxa"/>
              <w:right w:w="0" w:type="dxa"/>
            </w:tcMar>
            <w:vAlign w:val="bottom"/>
          </w:tcPr>
          <w:p w14:paraId="74DE2113" w14:textId="77777777" w:rsidR="00584EC1" w:rsidRDefault="00871F8D">
            <w:pPr>
              <w:jc w:val="right"/>
              <w:textAlignment w:val="bottom"/>
            </w:pPr>
            <w:r>
              <w:rPr>
                <w:rFonts w:ascii="Arial" w:eastAsia="宋体" w:hAnsi="Arial" w:cs="Arial"/>
                <w:color w:val="000000"/>
                <w:sz w:val="12"/>
                <w:szCs w:val="12"/>
              </w:rPr>
              <w:t>270 </w:t>
            </w:r>
          </w:p>
        </w:tc>
        <w:tc>
          <w:tcPr>
            <w:tcW w:w="0" w:type="auto"/>
            <w:shd w:val="clear" w:color="auto" w:fill="CCEEFF"/>
            <w:tcMar>
              <w:top w:w="40" w:type="dxa"/>
              <w:left w:w="0" w:type="dxa"/>
              <w:bottom w:w="40" w:type="dxa"/>
              <w:right w:w="20" w:type="dxa"/>
            </w:tcMar>
            <w:vAlign w:val="bottom"/>
          </w:tcPr>
          <w:p w14:paraId="74DE2114" w14:textId="77777777" w:rsidR="00584EC1" w:rsidRDefault="00584EC1">
            <w:pPr>
              <w:jc w:val="right"/>
              <w:rPr>
                <w:rFonts w:ascii="宋体"/>
              </w:rPr>
            </w:pPr>
          </w:p>
        </w:tc>
      </w:tr>
      <w:tr w:rsidR="00584EC1" w14:paraId="74DE2131" w14:textId="77777777">
        <w:tc>
          <w:tcPr>
            <w:tcW w:w="0" w:type="auto"/>
            <w:gridSpan w:val="3"/>
            <w:shd w:val="clear" w:color="auto" w:fill="FFFFFF"/>
            <w:tcMar>
              <w:top w:w="40" w:type="dxa"/>
              <w:left w:w="155" w:type="dxa"/>
              <w:bottom w:w="40" w:type="dxa"/>
              <w:right w:w="20" w:type="dxa"/>
            </w:tcMar>
            <w:vAlign w:val="bottom"/>
          </w:tcPr>
          <w:p w14:paraId="74DE2116" w14:textId="77777777" w:rsidR="00584EC1" w:rsidRDefault="00871F8D">
            <w:pPr>
              <w:textAlignment w:val="bottom"/>
            </w:pPr>
            <w:r>
              <w:rPr>
                <w:rFonts w:ascii="Arial" w:eastAsia="宋体" w:hAnsi="Arial" w:cs="Arial"/>
                <w:color w:val="000000"/>
                <w:sz w:val="12"/>
                <w:szCs w:val="12"/>
              </w:rPr>
              <w:t>Securities finance</w:t>
            </w:r>
          </w:p>
        </w:tc>
        <w:tc>
          <w:tcPr>
            <w:tcW w:w="0" w:type="auto"/>
            <w:gridSpan w:val="2"/>
            <w:shd w:val="clear" w:color="auto" w:fill="FFFFFF"/>
            <w:tcMar>
              <w:top w:w="40" w:type="dxa"/>
              <w:left w:w="20" w:type="dxa"/>
              <w:bottom w:w="40" w:type="dxa"/>
              <w:right w:w="0" w:type="dxa"/>
            </w:tcMar>
            <w:vAlign w:val="bottom"/>
          </w:tcPr>
          <w:p w14:paraId="74DE2117" w14:textId="77777777" w:rsidR="00584EC1" w:rsidRDefault="00871F8D">
            <w:pPr>
              <w:jc w:val="right"/>
              <w:textAlignment w:val="bottom"/>
            </w:pPr>
            <w:r>
              <w:rPr>
                <w:rFonts w:ascii="Arial" w:eastAsia="宋体" w:hAnsi="Arial" w:cs="Arial"/>
                <w:color w:val="000000"/>
                <w:sz w:val="12"/>
                <w:szCs w:val="12"/>
              </w:rPr>
              <w:t>42 </w:t>
            </w:r>
          </w:p>
        </w:tc>
        <w:tc>
          <w:tcPr>
            <w:tcW w:w="0" w:type="auto"/>
            <w:shd w:val="clear" w:color="auto" w:fill="FFFFFF"/>
            <w:tcMar>
              <w:top w:w="40" w:type="dxa"/>
              <w:left w:w="0" w:type="dxa"/>
              <w:bottom w:w="40" w:type="dxa"/>
              <w:right w:w="20" w:type="dxa"/>
            </w:tcMar>
            <w:vAlign w:val="bottom"/>
          </w:tcPr>
          <w:p w14:paraId="74DE211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211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211A" w14:textId="77777777" w:rsidR="00584EC1" w:rsidRDefault="00871F8D">
            <w:pPr>
              <w:jc w:val="right"/>
              <w:textAlignment w:val="bottom"/>
            </w:pPr>
            <w:r>
              <w:rPr>
                <w:rFonts w:ascii="Arial" w:eastAsia="宋体" w:hAnsi="Arial" w:cs="Arial"/>
                <w:color w:val="000000"/>
                <w:sz w:val="12"/>
                <w:szCs w:val="12"/>
              </w:rPr>
              <w:t>39 </w:t>
            </w:r>
          </w:p>
        </w:tc>
        <w:tc>
          <w:tcPr>
            <w:tcW w:w="0" w:type="auto"/>
            <w:shd w:val="clear" w:color="auto" w:fill="FFFFFF"/>
            <w:tcMar>
              <w:top w:w="40" w:type="dxa"/>
              <w:left w:w="0" w:type="dxa"/>
              <w:bottom w:w="40" w:type="dxa"/>
              <w:right w:w="20" w:type="dxa"/>
            </w:tcMar>
            <w:vAlign w:val="bottom"/>
          </w:tcPr>
          <w:p w14:paraId="74DE211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211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211D" w14:textId="77777777" w:rsidR="00584EC1" w:rsidRDefault="00871F8D">
            <w:pPr>
              <w:jc w:val="right"/>
              <w:textAlignment w:val="bottom"/>
            </w:pPr>
            <w:r>
              <w:rPr>
                <w:rFonts w:ascii="Arial" w:eastAsia="宋体" w:hAnsi="Arial" w:cs="Arial"/>
                <w:color w:val="000000"/>
                <w:sz w:val="12"/>
                <w:szCs w:val="12"/>
              </w:rPr>
              <w:t>81 </w:t>
            </w:r>
          </w:p>
        </w:tc>
        <w:tc>
          <w:tcPr>
            <w:tcW w:w="0" w:type="auto"/>
            <w:shd w:val="clear" w:color="auto" w:fill="FFFFFF"/>
            <w:tcMar>
              <w:top w:w="40" w:type="dxa"/>
              <w:left w:w="0" w:type="dxa"/>
              <w:bottom w:w="40" w:type="dxa"/>
              <w:right w:w="20" w:type="dxa"/>
            </w:tcMar>
            <w:vAlign w:val="bottom"/>
          </w:tcPr>
          <w:p w14:paraId="74DE211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211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2120" w14:textId="77777777" w:rsidR="00584EC1" w:rsidRDefault="00871F8D">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212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212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2123" w14:textId="77777777" w:rsidR="00584EC1" w:rsidRDefault="00871F8D">
            <w:pPr>
              <w:jc w:val="right"/>
              <w:textAlignment w:val="bottom"/>
            </w:pPr>
            <w:r>
              <w:rPr>
                <w:rFonts w:ascii="Arial" w:eastAsia="宋体" w:hAnsi="Arial" w:cs="Arial"/>
                <w:color w:val="000000"/>
                <w:sz w:val="12"/>
                <w:szCs w:val="12"/>
              </w:rPr>
              <w:t>3 </w:t>
            </w:r>
          </w:p>
        </w:tc>
        <w:tc>
          <w:tcPr>
            <w:tcW w:w="0" w:type="auto"/>
            <w:shd w:val="clear" w:color="auto" w:fill="FFFFFF"/>
            <w:tcMar>
              <w:top w:w="40" w:type="dxa"/>
              <w:left w:w="0" w:type="dxa"/>
              <w:bottom w:w="40" w:type="dxa"/>
              <w:right w:w="20" w:type="dxa"/>
            </w:tcMar>
            <w:vAlign w:val="bottom"/>
          </w:tcPr>
          <w:p w14:paraId="74DE212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2125"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2126" w14:textId="77777777" w:rsidR="00584EC1" w:rsidRDefault="00871F8D">
            <w:pPr>
              <w:jc w:val="right"/>
              <w:textAlignment w:val="bottom"/>
            </w:pPr>
            <w:r>
              <w:rPr>
                <w:rFonts w:ascii="Arial" w:eastAsia="宋体" w:hAnsi="Arial" w:cs="Arial"/>
                <w:color w:val="000000"/>
                <w:sz w:val="12"/>
                <w:szCs w:val="12"/>
              </w:rPr>
              <w:t>3 </w:t>
            </w:r>
          </w:p>
        </w:tc>
        <w:tc>
          <w:tcPr>
            <w:tcW w:w="0" w:type="auto"/>
            <w:shd w:val="clear" w:color="auto" w:fill="FFFFFF"/>
            <w:tcMar>
              <w:top w:w="40" w:type="dxa"/>
              <w:left w:w="0" w:type="dxa"/>
              <w:bottom w:w="40" w:type="dxa"/>
              <w:right w:w="20" w:type="dxa"/>
            </w:tcMar>
            <w:vAlign w:val="bottom"/>
          </w:tcPr>
          <w:p w14:paraId="74DE212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2128" w14:textId="77777777" w:rsidR="00584EC1" w:rsidRDefault="00584EC1">
            <w:pPr>
              <w:rPr>
                <w:rFonts w:ascii="宋体"/>
              </w:rPr>
            </w:pPr>
          </w:p>
        </w:tc>
        <w:tc>
          <w:tcPr>
            <w:tcW w:w="0" w:type="auto"/>
            <w:gridSpan w:val="3"/>
            <w:shd w:val="clear" w:color="auto" w:fill="auto"/>
            <w:vAlign w:val="bottom"/>
          </w:tcPr>
          <w:p w14:paraId="74DE2129" w14:textId="77777777" w:rsidR="00584EC1" w:rsidRDefault="00584EC1">
            <w:pPr>
              <w:rPr>
                <w:rFonts w:ascii="宋体"/>
                <w:vanish/>
              </w:rPr>
            </w:pPr>
          </w:p>
        </w:tc>
        <w:tc>
          <w:tcPr>
            <w:tcW w:w="0" w:type="auto"/>
            <w:gridSpan w:val="3"/>
            <w:shd w:val="clear" w:color="auto" w:fill="auto"/>
            <w:vAlign w:val="bottom"/>
          </w:tcPr>
          <w:p w14:paraId="74DE212A" w14:textId="77777777" w:rsidR="00584EC1" w:rsidRDefault="00584EC1">
            <w:pPr>
              <w:rPr>
                <w:rFonts w:ascii="宋体"/>
                <w:vanish/>
              </w:rPr>
            </w:pPr>
          </w:p>
        </w:tc>
        <w:tc>
          <w:tcPr>
            <w:tcW w:w="0" w:type="auto"/>
            <w:gridSpan w:val="3"/>
            <w:shd w:val="clear" w:color="auto" w:fill="auto"/>
            <w:vAlign w:val="bottom"/>
          </w:tcPr>
          <w:p w14:paraId="74DE212B" w14:textId="77777777" w:rsidR="00584EC1" w:rsidRDefault="00584EC1">
            <w:pPr>
              <w:rPr>
                <w:rFonts w:ascii="宋体"/>
                <w:vanish/>
              </w:rPr>
            </w:pPr>
          </w:p>
        </w:tc>
        <w:tc>
          <w:tcPr>
            <w:tcW w:w="0" w:type="auto"/>
            <w:gridSpan w:val="3"/>
            <w:shd w:val="clear" w:color="auto" w:fill="auto"/>
            <w:vAlign w:val="bottom"/>
          </w:tcPr>
          <w:p w14:paraId="74DE212C" w14:textId="77777777" w:rsidR="00584EC1" w:rsidRDefault="00584EC1">
            <w:pPr>
              <w:rPr>
                <w:rFonts w:ascii="宋体"/>
                <w:vanish/>
              </w:rPr>
            </w:pPr>
          </w:p>
        </w:tc>
        <w:tc>
          <w:tcPr>
            <w:tcW w:w="0" w:type="auto"/>
            <w:gridSpan w:val="3"/>
            <w:shd w:val="clear" w:color="auto" w:fill="auto"/>
            <w:vAlign w:val="bottom"/>
          </w:tcPr>
          <w:p w14:paraId="74DE212D" w14:textId="77777777" w:rsidR="00584EC1" w:rsidRDefault="00584EC1">
            <w:pPr>
              <w:rPr>
                <w:rFonts w:ascii="宋体"/>
                <w:vanish/>
              </w:rPr>
            </w:pPr>
          </w:p>
        </w:tc>
        <w:tc>
          <w:tcPr>
            <w:tcW w:w="0" w:type="auto"/>
            <w:gridSpan w:val="3"/>
            <w:shd w:val="clear" w:color="auto" w:fill="auto"/>
            <w:vAlign w:val="bottom"/>
          </w:tcPr>
          <w:p w14:paraId="74DE212E"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E212F" w14:textId="77777777" w:rsidR="00584EC1" w:rsidRDefault="00871F8D">
            <w:pPr>
              <w:jc w:val="right"/>
              <w:textAlignment w:val="bottom"/>
            </w:pPr>
            <w:r>
              <w:rPr>
                <w:rFonts w:ascii="Arial" w:eastAsia="宋体" w:hAnsi="Arial" w:cs="Arial"/>
                <w:color w:val="000000"/>
                <w:sz w:val="12"/>
                <w:szCs w:val="12"/>
              </w:rPr>
              <w:t>84 </w:t>
            </w:r>
          </w:p>
        </w:tc>
        <w:tc>
          <w:tcPr>
            <w:tcW w:w="0" w:type="auto"/>
            <w:shd w:val="clear" w:color="auto" w:fill="FFFFFF"/>
            <w:tcMar>
              <w:top w:w="40" w:type="dxa"/>
              <w:left w:w="0" w:type="dxa"/>
              <w:bottom w:w="40" w:type="dxa"/>
              <w:right w:w="20" w:type="dxa"/>
            </w:tcMar>
            <w:vAlign w:val="bottom"/>
          </w:tcPr>
          <w:p w14:paraId="74DE2130" w14:textId="77777777" w:rsidR="00584EC1" w:rsidRDefault="00584EC1">
            <w:pPr>
              <w:jc w:val="right"/>
              <w:rPr>
                <w:rFonts w:ascii="宋体"/>
              </w:rPr>
            </w:pPr>
          </w:p>
        </w:tc>
      </w:tr>
      <w:tr w:rsidR="00584EC1" w14:paraId="74DE214D" w14:textId="77777777">
        <w:tc>
          <w:tcPr>
            <w:tcW w:w="0" w:type="auto"/>
            <w:gridSpan w:val="3"/>
            <w:shd w:val="clear" w:color="auto" w:fill="CCEEFF"/>
            <w:tcMar>
              <w:top w:w="40" w:type="dxa"/>
              <w:left w:w="155" w:type="dxa"/>
              <w:bottom w:w="40" w:type="dxa"/>
              <w:right w:w="20" w:type="dxa"/>
            </w:tcMar>
            <w:vAlign w:val="bottom"/>
          </w:tcPr>
          <w:p w14:paraId="74DE2132" w14:textId="77777777" w:rsidR="00584EC1" w:rsidRDefault="00871F8D">
            <w:pPr>
              <w:textAlignment w:val="bottom"/>
            </w:pPr>
            <w:r>
              <w:rPr>
                <w:rFonts w:ascii="Arial" w:eastAsia="宋体" w:hAnsi="Arial" w:cs="Arial"/>
                <w:color w:val="000000"/>
                <w:sz w:val="12"/>
                <w:szCs w:val="12"/>
              </w:rPr>
              <w:t>Software a</w:t>
            </w:r>
            <w:r>
              <w:rPr>
                <w:rFonts w:ascii="Arial" w:eastAsia="宋体" w:hAnsi="Arial" w:cs="Arial"/>
                <w:color w:val="000000"/>
                <w:sz w:val="12"/>
                <w:szCs w:val="12"/>
              </w:rPr>
              <w:t>nd processing fees</w:t>
            </w:r>
          </w:p>
        </w:tc>
        <w:tc>
          <w:tcPr>
            <w:tcW w:w="0" w:type="auto"/>
            <w:gridSpan w:val="2"/>
            <w:shd w:val="clear" w:color="auto" w:fill="CCEEFF"/>
            <w:tcMar>
              <w:top w:w="40" w:type="dxa"/>
              <w:left w:w="20" w:type="dxa"/>
              <w:bottom w:w="40" w:type="dxa"/>
              <w:right w:w="0" w:type="dxa"/>
            </w:tcMar>
            <w:vAlign w:val="bottom"/>
          </w:tcPr>
          <w:p w14:paraId="74DE2133" w14:textId="77777777" w:rsidR="00584EC1" w:rsidRDefault="00871F8D">
            <w:pPr>
              <w:jc w:val="right"/>
              <w:textAlignment w:val="bottom"/>
            </w:pPr>
            <w:r>
              <w:rPr>
                <w:rFonts w:ascii="Arial" w:eastAsia="宋体" w:hAnsi="Arial" w:cs="Arial"/>
                <w:color w:val="000000"/>
                <w:sz w:val="12"/>
                <w:szCs w:val="12"/>
              </w:rPr>
              <w:t>108 </w:t>
            </w:r>
          </w:p>
        </w:tc>
        <w:tc>
          <w:tcPr>
            <w:tcW w:w="0" w:type="auto"/>
            <w:shd w:val="clear" w:color="auto" w:fill="CCEEFF"/>
            <w:tcMar>
              <w:top w:w="40" w:type="dxa"/>
              <w:left w:w="0" w:type="dxa"/>
              <w:bottom w:w="40" w:type="dxa"/>
              <w:right w:w="20" w:type="dxa"/>
            </w:tcMar>
            <w:vAlign w:val="bottom"/>
          </w:tcPr>
          <w:p w14:paraId="74DE213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213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2136" w14:textId="77777777" w:rsidR="00584EC1" w:rsidRDefault="00871F8D">
            <w:pPr>
              <w:jc w:val="right"/>
              <w:textAlignment w:val="bottom"/>
            </w:pPr>
            <w:r>
              <w:rPr>
                <w:rFonts w:ascii="Arial" w:eastAsia="宋体" w:hAnsi="Arial" w:cs="Arial"/>
                <w:color w:val="000000"/>
                <w:sz w:val="12"/>
                <w:szCs w:val="12"/>
              </w:rPr>
              <w:t>54 </w:t>
            </w:r>
          </w:p>
        </w:tc>
        <w:tc>
          <w:tcPr>
            <w:tcW w:w="0" w:type="auto"/>
            <w:shd w:val="clear" w:color="auto" w:fill="CCEEFF"/>
            <w:tcMar>
              <w:top w:w="40" w:type="dxa"/>
              <w:left w:w="0" w:type="dxa"/>
              <w:bottom w:w="40" w:type="dxa"/>
              <w:right w:w="20" w:type="dxa"/>
            </w:tcMar>
            <w:vAlign w:val="bottom"/>
          </w:tcPr>
          <w:p w14:paraId="74DE213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2138"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2139" w14:textId="77777777" w:rsidR="00584EC1" w:rsidRDefault="00871F8D">
            <w:pPr>
              <w:jc w:val="right"/>
              <w:textAlignment w:val="bottom"/>
            </w:pPr>
            <w:r>
              <w:rPr>
                <w:rFonts w:ascii="Arial" w:eastAsia="宋体" w:hAnsi="Arial" w:cs="Arial"/>
                <w:color w:val="000000"/>
                <w:sz w:val="12"/>
                <w:szCs w:val="12"/>
              </w:rPr>
              <w:t>162 </w:t>
            </w:r>
          </w:p>
        </w:tc>
        <w:tc>
          <w:tcPr>
            <w:tcW w:w="0" w:type="auto"/>
            <w:shd w:val="clear" w:color="auto" w:fill="CCEEFF"/>
            <w:tcMar>
              <w:top w:w="40" w:type="dxa"/>
              <w:left w:w="0" w:type="dxa"/>
              <w:bottom w:w="40" w:type="dxa"/>
              <w:right w:w="20" w:type="dxa"/>
            </w:tcMar>
            <w:vAlign w:val="bottom"/>
          </w:tcPr>
          <w:p w14:paraId="74DE213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213B"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213C" w14:textId="77777777" w:rsidR="00584EC1" w:rsidRDefault="00871F8D">
            <w:pPr>
              <w:jc w:val="right"/>
              <w:textAlignment w:val="bottom"/>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213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213E"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213F" w14:textId="77777777" w:rsidR="00584EC1" w:rsidRDefault="00871F8D">
            <w:pPr>
              <w:jc w:val="right"/>
              <w:textAlignment w:val="bottom"/>
            </w:pPr>
            <w:r>
              <w:rPr>
                <w:rFonts w:ascii="Arial" w:eastAsia="宋体" w:hAnsi="Arial" w:cs="Arial"/>
                <w:color w:val="000000"/>
                <w:sz w:val="12"/>
                <w:szCs w:val="12"/>
              </w:rPr>
              <w:t>10 </w:t>
            </w:r>
          </w:p>
        </w:tc>
        <w:tc>
          <w:tcPr>
            <w:tcW w:w="0" w:type="auto"/>
            <w:shd w:val="clear" w:color="auto" w:fill="CCEEFF"/>
            <w:tcMar>
              <w:top w:w="40" w:type="dxa"/>
              <w:left w:w="0" w:type="dxa"/>
              <w:bottom w:w="40" w:type="dxa"/>
              <w:right w:w="20" w:type="dxa"/>
            </w:tcMar>
            <w:vAlign w:val="bottom"/>
          </w:tcPr>
          <w:p w14:paraId="74DE214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2141"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2142" w14:textId="77777777" w:rsidR="00584EC1" w:rsidRDefault="00871F8D">
            <w:pPr>
              <w:jc w:val="right"/>
              <w:textAlignment w:val="bottom"/>
            </w:pPr>
            <w:r>
              <w:rPr>
                <w:rFonts w:ascii="Arial" w:eastAsia="宋体" w:hAnsi="Arial" w:cs="Arial"/>
                <w:color w:val="000000"/>
                <w:sz w:val="12"/>
                <w:szCs w:val="12"/>
              </w:rPr>
              <w:t>10 </w:t>
            </w:r>
          </w:p>
        </w:tc>
        <w:tc>
          <w:tcPr>
            <w:tcW w:w="0" w:type="auto"/>
            <w:shd w:val="clear" w:color="auto" w:fill="CCEEFF"/>
            <w:tcMar>
              <w:top w:w="40" w:type="dxa"/>
              <w:left w:w="0" w:type="dxa"/>
              <w:bottom w:w="40" w:type="dxa"/>
              <w:right w:w="20" w:type="dxa"/>
            </w:tcMar>
            <w:vAlign w:val="bottom"/>
          </w:tcPr>
          <w:p w14:paraId="74DE214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2144" w14:textId="77777777" w:rsidR="00584EC1" w:rsidRDefault="00584EC1">
            <w:pPr>
              <w:rPr>
                <w:rFonts w:ascii="宋体"/>
              </w:rPr>
            </w:pPr>
          </w:p>
        </w:tc>
        <w:tc>
          <w:tcPr>
            <w:tcW w:w="0" w:type="auto"/>
            <w:gridSpan w:val="3"/>
            <w:shd w:val="clear" w:color="auto" w:fill="auto"/>
            <w:vAlign w:val="bottom"/>
          </w:tcPr>
          <w:p w14:paraId="74DE2145" w14:textId="77777777" w:rsidR="00584EC1" w:rsidRDefault="00584EC1">
            <w:pPr>
              <w:rPr>
                <w:rFonts w:ascii="宋体"/>
                <w:vanish/>
              </w:rPr>
            </w:pPr>
          </w:p>
        </w:tc>
        <w:tc>
          <w:tcPr>
            <w:tcW w:w="0" w:type="auto"/>
            <w:gridSpan w:val="3"/>
            <w:shd w:val="clear" w:color="auto" w:fill="auto"/>
            <w:vAlign w:val="bottom"/>
          </w:tcPr>
          <w:p w14:paraId="74DE2146" w14:textId="77777777" w:rsidR="00584EC1" w:rsidRDefault="00584EC1">
            <w:pPr>
              <w:rPr>
                <w:rFonts w:ascii="宋体"/>
                <w:vanish/>
              </w:rPr>
            </w:pPr>
          </w:p>
        </w:tc>
        <w:tc>
          <w:tcPr>
            <w:tcW w:w="0" w:type="auto"/>
            <w:gridSpan w:val="3"/>
            <w:shd w:val="clear" w:color="auto" w:fill="auto"/>
            <w:vAlign w:val="bottom"/>
          </w:tcPr>
          <w:p w14:paraId="74DE2147" w14:textId="77777777" w:rsidR="00584EC1" w:rsidRDefault="00584EC1">
            <w:pPr>
              <w:rPr>
                <w:rFonts w:ascii="宋体"/>
                <w:vanish/>
              </w:rPr>
            </w:pPr>
          </w:p>
        </w:tc>
        <w:tc>
          <w:tcPr>
            <w:tcW w:w="0" w:type="auto"/>
            <w:gridSpan w:val="3"/>
            <w:shd w:val="clear" w:color="auto" w:fill="auto"/>
            <w:vAlign w:val="bottom"/>
          </w:tcPr>
          <w:p w14:paraId="74DE2148" w14:textId="77777777" w:rsidR="00584EC1" w:rsidRDefault="00584EC1">
            <w:pPr>
              <w:rPr>
                <w:rFonts w:ascii="宋体"/>
                <w:vanish/>
              </w:rPr>
            </w:pPr>
          </w:p>
        </w:tc>
        <w:tc>
          <w:tcPr>
            <w:tcW w:w="0" w:type="auto"/>
            <w:gridSpan w:val="3"/>
            <w:shd w:val="clear" w:color="auto" w:fill="auto"/>
            <w:vAlign w:val="bottom"/>
          </w:tcPr>
          <w:p w14:paraId="74DE2149" w14:textId="77777777" w:rsidR="00584EC1" w:rsidRDefault="00584EC1">
            <w:pPr>
              <w:rPr>
                <w:rFonts w:ascii="宋体"/>
                <w:vanish/>
              </w:rPr>
            </w:pPr>
          </w:p>
        </w:tc>
        <w:tc>
          <w:tcPr>
            <w:tcW w:w="0" w:type="auto"/>
            <w:gridSpan w:val="3"/>
            <w:shd w:val="clear" w:color="auto" w:fill="auto"/>
            <w:vAlign w:val="bottom"/>
          </w:tcPr>
          <w:p w14:paraId="74DE214A" w14:textId="77777777" w:rsidR="00584EC1" w:rsidRDefault="00584EC1">
            <w:pPr>
              <w:rPr>
                <w:rFonts w:ascii="宋体"/>
                <w:vanish/>
              </w:rPr>
            </w:pPr>
          </w:p>
        </w:tc>
        <w:tc>
          <w:tcPr>
            <w:tcW w:w="0" w:type="auto"/>
            <w:gridSpan w:val="2"/>
            <w:shd w:val="clear" w:color="auto" w:fill="CCEEFF"/>
            <w:tcMar>
              <w:top w:w="40" w:type="dxa"/>
              <w:left w:w="20" w:type="dxa"/>
              <w:bottom w:w="40" w:type="dxa"/>
              <w:right w:w="0" w:type="dxa"/>
            </w:tcMar>
            <w:vAlign w:val="bottom"/>
          </w:tcPr>
          <w:p w14:paraId="74DE214B" w14:textId="77777777" w:rsidR="00584EC1" w:rsidRDefault="00871F8D">
            <w:pPr>
              <w:jc w:val="right"/>
              <w:textAlignment w:val="bottom"/>
            </w:pPr>
            <w:r>
              <w:rPr>
                <w:rFonts w:ascii="Arial" w:eastAsia="宋体" w:hAnsi="Arial" w:cs="Arial"/>
                <w:color w:val="000000"/>
                <w:sz w:val="12"/>
                <w:szCs w:val="12"/>
              </w:rPr>
              <w:t>172 </w:t>
            </w:r>
          </w:p>
        </w:tc>
        <w:tc>
          <w:tcPr>
            <w:tcW w:w="0" w:type="auto"/>
            <w:shd w:val="clear" w:color="auto" w:fill="CCEEFF"/>
            <w:tcMar>
              <w:top w:w="40" w:type="dxa"/>
              <w:left w:w="0" w:type="dxa"/>
              <w:bottom w:w="40" w:type="dxa"/>
              <w:right w:w="20" w:type="dxa"/>
            </w:tcMar>
            <w:vAlign w:val="bottom"/>
          </w:tcPr>
          <w:p w14:paraId="74DE214C" w14:textId="77777777" w:rsidR="00584EC1" w:rsidRDefault="00584EC1">
            <w:pPr>
              <w:jc w:val="right"/>
              <w:rPr>
                <w:rFonts w:ascii="宋体"/>
              </w:rPr>
            </w:pPr>
          </w:p>
        </w:tc>
      </w:tr>
      <w:tr w:rsidR="00584EC1" w14:paraId="74DE2169" w14:textId="77777777">
        <w:tc>
          <w:tcPr>
            <w:tcW w:w="0" w:type="auto"/>
            <w:gridSpan w:val="3"/>
            <w:shd w:val="clear" w:color="auto" w:fill="FFFFFF"/>
            <w:tcMar>
              <w:top w:w="40" w:type="dxa"/>
              <w:left w:w="20" w:type="dxa"/>
              <w:bottom w:w="40" w:type="dxa"/>
              <w:right w:w="20" w:type="dxa"/>
            </w:tcMar>
            <w:vAlign w:val="bottom"/>
          </w:tcPr>
          <w:p w14:paraId="74DE214E" w14:textId="77777777" w:rsidR="00584EC1" w:rsidRDefault="00871F8D">
            <w:pPr>
              <w:textAlignment w:val="bottom"/>
            </w:pPr>
            <w:r>
              <w:rPr>
                <w:rFonts w:ascii="Arial" w:eastAsia="宋体" w:hAnsi="Arial" w:cs="Arial"/>
                <w:b/>
                <w:bCs/>
                <w:color w:val="000000"/>
                <w:sz w:val="12"/>
                <w:szCs w:val="12"/>
              </w:rPr>
              <w:t xml:space="preserve">Total fee </w:t>
            </w:r>
            <w:r>
              <w:rPr>
                <w:rFonts w:ascii="Arial" w:eastAsia="宋体" w:hAnsi="Arial" w:cs="Arial"/>
                <w:b/>
                <w:bCs/>
                <w:color w:val="000000"/>
                <w:sz w:val="12"/>
                <w:szCs w:val="12"/>
              </w:rPr>
              <w:t>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214F" w14:textId="77777777" w:rsidR="00584EC1" w:rsidRDefault="00871F8D">
            <w:pPr>
              <w:jc w:val="right"/>
              <w:textAlignment w:val="bottom"/>
            </w:pPr>
            <w:r>
              <w:rPr>
                <w:rFonts w:ascii="Arial" w:eastAsia="宋体" w:hAnsi="Arial" w:cs="Arial"/>
                <w:color w:val="000000"/>
                <w:sz w:val="12"/>
                <w:szCs w:val="12"/>
              </w:rPr>
              <w:t>1,541 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215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2151"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2152" w14:textId="77777777" w:rsidR="00584EC1" w:rsidRDefault="00871F8D">
            <w:pPr>
              <w:jc w:val="right"/>
              <w:textAlignment w:val="bottom"/>
            </w:pPr>
            <w:r>
              <w:rPr>
                <w:rFonts w:ascii="Arial" w:eastAsia="宋体" w:hAnsi="Arial" w:cs="Arial"/>
                <w:color w:val="000000"/>
                <w:sz w:val="12"/>
                <w:szCs w:val="12"/>
              </w:rPr>
              <w:t>255 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215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2154"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2155" w14:textId="77777777" w:rsidR="00584EC1" w:rsidRDefault="00871F8D">
            <w:pPr>
              <w:jc w:val="right"/>
              <w:textAlignment w:val="bottom"/>
            </w:pPr>
            <w:r>
              <w:rPr>
                <w:rFonts w:ascii="Arial" w:eastAsia="宋体" w:hAnsi="Arial" w:cs="Arial"/>
                <w:color w:val="000000"/>
                <w:sz w:val="12"/>
                <w:szCs w:val="12"/>
              </w:rPr>
              <w:t>1,796 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215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2157"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2158" w14:textId="77777777" w:rsidR="00584EC1" w:rsidRDefault="00871F8D">
            <w:pPr>
              <w:jc w:val="right"/>
              <w:textAlignment w:val="bottom"/>
            </w:pPr>
            <w:r>
              <w:rPr>
                <w:rFonts w:ascii="Arial" w:eastAsia="宋体" w:hAnsi="Arial" w:cs="Arial"/>
                <w:color w:val="000000"/>
                <w:sz w:val="12"/>
                <w:szCs w:val="12"/>
              </w:rPr>
              <w:t>497 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215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215A"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215B" w14:textId="77777777" w:rsidR="00584EC1" w:rsidRDefault="00871F8D">
            <w:pPr>
              <w:jc w:val="right"/>
              <w:textAlignment w:val="bottom"/>
            </w:pPr>
            <w:r>
              <w:rPr>
                <w:rFonts w:ascii="Arial" w:eastAsia="宋体" w:hAnsi="Arial" w:cs="Arial"/>
                <w:color w:val="000000"/>
                <w:sz w:val="12"/>
                <w:szCs w:val="12"/>
              </w:rPr>
              <w:t>13 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215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215D"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215E" w14:textId="77777777" w:rsidR="00584EC1" w:rsidRDefault="00871F8D">
            <w:pPr>
              <w:jc w:val="right"/>
              <w:textAlignment w:val="bottom"/>
            </w:pPr>
            <w:r>
              <w:rPr>
                <w:rFonts w:ascii="Arial" w:eastAsia="宋体" w:hAnsi="Arial" w:cs="Arial"/>
                <w:color w:val="000000"/>
                <w:sz w:val="12"/>
                <w:szCs w:val="12"/>
              </w:rPr>
              <w:t>510 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215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2160" w14:textId="77777777" w:rsidR="00584EC1" w:rsidRDefault="00584EC1">
            <w:pPr>
              <w:rPr>
                <w:rFonts w:ascii="宋体"/>
              </w:rPr>
            </w:pPr>
          </w:p>
        </w:tc>
        <w:tc>
          <w:tcPr>
            <w:tcW w:w="0" w:type="auto"/>
            <w:gridSpan w:val="3"/>
            <w:shd w:val="clear" w:color="auto" w:fill="auto"/>
            <w:vAlign w:val="bottom"/>
          </w:tcPr>
          <w:p w14:paraId="74DE2161" w14:textId="77777777" w:rsidR="00584EC1" w:rsidRDefault="00584EC1">
            <w:pPr>
              <w:rPr>
                <w:rFonts w:ascii="宋体"/>
                <w:vanish/>
              </w:rPr>
            </w:pPr>
          </w:p>
        </w:tc>
        <w:tc>
          <w:tcPr>
            <w:tcW w:w="0" w:type="auto"/>
            <w:gridSpan w:val="3"/>
            <w:shd w:val="clear" w:color="auto" w:fill="auto"/>
            <w:vAlign w:val="bottom"/>
          </w:tcPr>
          <w:p w14:paraId="74DE2162" w14:textId="77777777" w:rsidR="00584EC1" w:rsidRDefault="00584EC1">
            <w:pPr>
              <w:rPr>
                <w:rFonts w:ascii="宋体"/>
                <w:vanish/>
              </w:rPr>
            </w:pPr>
          </w:p>
        </w:tc>
        <w:tc>
          <w:tcPr>
            <w:tcW w:w="0" w:type="auto"/>
            <w:gridSpan w:val="3"/>
            <w:shd w:val="clear" w:color="auto" w:fill="auto"/>
            <w:vAlign w:val="bottom"/>
          </w:tcPr>
          <w:p w14:paraId="74DE2163" w14:textId="77777777" w:rsidR="00584EC1" w:rsidRDefault="00584EC1">
            <w:pPr>
              <w:rPr>
                <w:rFonts w:ascii="宋体"/>
                <w:vanish/>
              </w:rPr>
            </w:pPr>
          </w:p>
        </w:tc>
        <w:tc>
          <w:tcPr>
            <w:tcW w:w="0" w:type="auto"/>
            <w:gridSpan w:val="3"/>
            <w:shd w:val="clear" w:color="auto" w:fill="auto"/>
            <w:vAlign w:val="bottom"/>
          </w:tcPr>
          <w:p w14:paraId="74DE2164" w14:textId="77777777" w:rsidR="00584EC1" w:rsidRDefault="00584EC1">
            <w:pPr>
              <w:rPr>
                <w:rFonts w:ascii="宋体"/>
                <w:vanish/>
              </w:rPr>
            </w:pPr>
          </w:p>
        </w:tc>
        <w:tc>
          <w:tcPr>
            <w:tcW w:w="0" w:type="auto"/>
            <w:gridSpan w:val="3"/>
            <w:shd w:val="clear" w:color="auto" w:fill="auto"/>
            <w:vAlign w:val="bottom"/>
          </w:tcPr>
          <w:p w14:paraId="74DE2165" w14:textId="77777777" w:rsidR="00584EC1" w:rsidRDefault="00584EC1">
            <w:pPr>
              <w:rPr>
                <w:rFonts w:ascii="宋体"/>
                <w:vanish/>
              </w:rPr>
            </w:pPr>
          </w:p>
        </w:tc>
        <w:tc>
          <w:tcPr>
            <w:tcW w:w="0" w:type="auto"/>
            <w:gridSpan w:val="3"/>
            <w:shd w:val="clear" w:color="auto" w:fill="auto"/>
            <w:vAlign w:val="bottom"/>
          </w:tcPr>
          <w:p w14:paraId="74DE2166" w14:textId="77777777" w:rsidR="00584EC1" w:rsidRDefault="00584EC1">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2167" w14:textId="77777777" w:rsidR="00584EC1" w:rsidRDefault="00871F8D">
            <w:pPr>
              <w:jc w:val="right"/>
              <w:textAlignment w:val="bottom"/>
            </w:pPr>
            <w:r>
              <w:rPr>
                <w:rFonts w:ascii="Arial" w:eastAsia="宋体" w:hAnsi="Arial" w:cs="Arial"/>
                <w:color w:val="000000"/>
                <w:sz w:val="12"/>
                <w:szCs w:val="12"/>
              </w:rPr>
              <w:t>2,306 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2168" w14:textId="77777777" w:rsidR="00584EC1" w:rsidRDefault="00584EC1">
            <w:pPr>
              <w:jc w:val="right"/>
              <w:rPr>
                <w:rFonts w:ascii="宋体"/>
              </w:rPr>
            </w:pPr>
          </w:p>
        </w:tc>
      </w:tr>
      <w:tr w:rsidR="00584EC1" w14:paraId="74DE2185" w14:textId="77777777">
        <w:tc>
          <w:tcPr>
            <w:tcW w:w="0" w:type="auto"/>
            <w:gridSpan w:val="3"/>
            <w:shd w:val="clear" w:color="auto" w:fill="CCEEFF"/>
            <w:tcMar>
              <w:top w:w="40" w:type="dxa"/>
              <w:left w:w="155" w:type="dxa"/>
              <w:bottom w:w="40" w:type="dxa"/>
              <w:right w:w="20" w:type="dxa"/>
            </w:tcMar>
            <w:vAlign w:val="bottom"/>
          </w:tcPr>
          <w:p w14:paraId="74DE216A" w14:textId="77777777" w:rsidR="00584EC1" w:rsidRDefault="00871F8D">
            <w:pPr>
              <w:textAlignment w:val="bottom"/>
            </w:pPr>
            <w:r>
              <w:rPr>
                <w:rFonts w:ascii="Arial" w:eastAsia="宋体" w:hAnsi="Arial" w:cs="Arial"/>
                <w:color w:val="000000"/>
                <w:sz w:val="12"/>
                <w:szCs w:val="12"/>
              </w:rPr>
              <w:t>Net interest income</w:t>
            </w:r>
          </w:p>
        </w:tc>
        <w:tc>
          <w:tcPr>
            <w:tcW w:w="0" w:type="auto"/>
            <w:gridSpan w:val="2"/>
            <w:shd w:val="clear" w:color="auto" w:fill="CCEEFF"/>
            <w:tcMar>
              <w:top w:w="40" w:type="dxa"/>
              <w:left w:w="20" w:type="dxa"/>
              <w:bottom w:w="40" w:type="dxa"/>
              <w:right w:w="0" w:type="dxa"/>
            </w:tcMar>
            <w:vAlign w:val="bottom"/>
          </w:tcPr>
          <w:p w14:paraId="74DE216B" w14:textId="77777777" w:rsidR="00584EC1" w:rsidRDefault="00871F8D">
            <w:pPr>
              <w:jc w:val="right"/>
              <w:textAlignment w:val="bottom"/>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216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216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216E" w14:textId="77777777" w:rsidR="00584EC1" w:rsidRDefault="00871F8D">
            <w:pPr>
              <w:jc w:val="right"/>
              <w:textAlignment w:val="bottom"/>
            </w:pPr>
            <w:r>
              <w:rPr>
                <w:rFonts w:ascii="Arial" w:eastAsia="宋体" w:hAnsi="Arial" w:cs="Arial"/>
                <w:color w:val="000000"/>
                <w:sz w:val="12"/>
                <w:szCs w:val="12"/>
              </w:rPr>
              <w:t>482 </w:t>
            </w:r>
          </w:p>
        </w:tc>
        <w:tc>
          <w:tcPr>
            <w:tcW w:w="0" w:type="auto"/>
            <w:shd w:val="clear" w:color="auto" w:fill="CCEEFF"/>
            <w:tcMar>
              <w:top w:w="40" w:type="dxa"/>
              <w:left w:w="0" w:type="dxa"/>
              <w:bottom w:w="40" w:type="dxa"/>
              <w:right w:w="20" w:type="dxa"/>
            </w:tcMar>
            <w:vAlign w:val="bottom"/>
          </w:tcPr>
          <w:p w14:paraId="74DE216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217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2171" w14:textId="77777777" w:rsidR="00584EC1" w:rsidRDefault="00871F8D">
            <w:pPr>
              <w:jc w:val="right"/>
              <w:textAlignment w:val="bottom"/>
            </w:pPr>
            <w:r>
              <w:rPr>
                <w:rFonts w:ascii="Arial" w:eastAsia="宋体" w:hAnsi="Arial" w:cs="Arial"/>
                <w:color w:val="000000"/>
                <w:sz w:val="12"/>
                <w:szCs w:val="12"/>
              </w:rPr>
              <w:t>482 </w:t>
            </w:r>
          </w:p>
        </w:tc>
        <w:tc>
          <w:tcPr>
            <w:tcW w:w="0" w:type="auto"/>
            <w:shd w:val="clear" w:color="auto" w:fill="CCEEFF"/>
            <w:tcMar>
              <w:top w:w="40" w:type="dxa"/>
              <w:left w:w="0" w:type="dxa"/>
              <w:bottom w:w="40" w:type="dxa"/>
              <w:right w:w="20" w:type="dxa"/>
            </w:tcMar>
            <w:vAlign w:val="bottom"/>
          </w:tcPr>
          <w:p w14:paraId="74DE217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2173"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2174" w14:textId="77777777" w:rsidR="00584EC1" w:rsidRDefault="00871F8D">
            <w:pPr>
              <w:jc w:val="right"/>
              <w:textAlignment w:val="bottom"/>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217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2176"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2177" w14:textId="77777777" w:rsidR="00584EC1" w:rsidRDefault="00871F8D">
            <w:pPr>
              <w:jc w:val="right"/>
              <w:textAlignment w:val="bottom"/>
            </w:pPr>
            <w:r>
              <w:rPr>
                <w:rFonts w:ascii="Arial" w:eastAsia="宋体" w:hAnsi="Arial" w:cs="Arial"/>
                <w:color w:val="000000"/>
                <w:sz w:val="12"/>
                <w:szCs w:val="12"/>
              </w:rPr>
              <w:t>(4)</w:t>
            </w:r>
          </w:p>
        </w:tc>
        <w:tc>
          <w:tcPr>
            <w:tcW w:w="0" w:type="auto"/>
            <w:shd w:val="clear" w:color="auto" w:fill="CCEEFF"/>
            <w:tcMar>
              <w:top w:w="40" w:type="dxa"/>
              <w:left w:w="0" w:type="dxa"/>
              <w:bottom w:w="40" w:type="dxa"/>
              <w:right w:w="20" w:type="dxa"/>
            </w:tcMar>
            <w:vAlign w:val="bottom"/>
          </w:tcPr>
          <w:p w14:paraId="74DE217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2179"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217A" w14:textId="77777777" w:rsidR="00584EC1" w:rsidRDefault="00871F8D">
            <w:pPr>
              <w:jc w:val="right"/>
              <w:textAlignment w:val="bottom"/>
            </w:pPr>
            <w:r>
              <w:rPr>
                <w:rFonts w:ascii="Arial" w:eastAsia="宋体" w:hAnsi="Arial" w:cs="Arial"/>
                <w:color w:val="000000"/>
                <w:sz w:val="12"/>
                <w:szCs w:val="12"/>
              </w:rPr>
              <w:t>(4)</w:t>
            </w:r>
          </w:p>
        </w:tc>
        <w:tc>
          <w:tcPr>
            <w:tcW w:w="0" w:type="auto"/>
            <w:shd w:val="clear" w:color="auto" w:fill="CCEEFF"/>
            <w:tcMar>
              <w:top w:w="40" w:type="dxa"/>
              <w:left w:w="0" w:type="dxa"/>
              <w:bottom w:w="40" w:type="dxa"/>
              <w:right w:w="20" w:type="dxa"/>
            </w:tcMar>
            <w:vAlign w:val="bottom"/>
          </w:tcPr>
          <w:p w14:paraId="74DE217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217C" w14:textId="77777777" w:rsidR="00584EC1" w:rsidRDefault="00584EC1">
            <w:pPr>
              <w:rPr>
                <w:rFonts w:ascii="宋体"/>
              </w:rPr>
            </w:pPr>
          </w:p>
        </w:tc>
        <w:tc>
          <w:tcPr>
            <w:tcW w:w="0" w:type="auto"/>
            <w:gridSpan w:val="3"/>
            <w:shd w:val="clear" w:color="auto" w:fill="auto"/>
            <w:vAlign w:val="bottom"/>
          </w:tcPr>
          <w:p w14:paraId="74DE217D" w14:textId="77777777" w:rsidR="00584EC1" w:rsidRDefault="00584EC1">
            <w:pPr>
              <w:rPr>
                <w:rFonts w:ascii="宋体"/>
                <w:vanish/>
              </w:rPr>
            </w:pPr>
          </w:p>
        </w:tc>
        <w:tc>
          <w:tcPr>
            <w:tcW w:w="0" w:type="auto"/>
            <w:gridSpan w:val="3"/>
            <w:shd w:val="clear" w:color="auto" w:fill="auto"/>
            <w:vAlign w:val="bottom"/>
          </w:tcPr>
          <w:p w14:paraId="74DE217E" w14:textId="77777777" w:rsidR="00584EC1" w:rsidRDefault="00584EC1">
            <w:pPr>
              <w:rPr>
                <w:rFonts w:ascii="宋体"/>
                <w:vanish/>
              </w:rPr>
            </w:pPr>
          </w:p>
        </w:tc>
        <w:tc>
          <w:tcPr>
            <w:tcW w:w="0" w:type="auto"/>
            <w:gridSpan w:val="3"/>
            <w:shd w:val="clear" w:color="auto" w:fill="auto"/>
            <w:vAlign w:val="bottom"/>
          </w:tcPr>
          <w:p w14:paraId="74DE217F" w14:textId="77777777" w:rsidR="00584EC1" w:rsidRDefault="00584EC1">
            <w:pPr>
              <w:rPr>
                <w:rFonts w:ascii="宋体"/>
                <w:vanish/>
              </w:rPr>
            </w:pPr>
          </w:p>
        </w:tc>
        <w:tc>
          <w:tcPr>
            <w:tcW w:w="0" w:type="auto"/>
            <w:gridSpan w:val="3"/>
            <w:shd w:val="clear" w:color="auto" w:fill="auto"/>
            <w:vAlign w:val="bottom"/>
          </w:tcPr>
          <w:p w14:paraId="74DE2180" w14:textId="77777777" w:rsidR="00584EC1" w:rsidRDefault="00584EC1">
            <w:pPr>
              <w:rPr>
                <w:rFonts w:ascii="宋体"/>
                <w:vanish/>
              </w:rPr>
            </w:pPr>
          </w:p>
        </w:tc>
        <w:tc>
          <w:tcPr>
            <w:tcW w:w="0" w:type="auto"/>
            <w:gridSpan w:val="3"/>
            <w:shd w:val="clear" w:color="auto" w:fill="auto"/>
            <w:vAlign w:val="bottom"/>
          </w:tcPr>
          <w:p w14:paraId="74DE2181" w14:textId="77777777" w:rsidR="00584EC1" w:rsidRDefault="00584EC1">
            <w:pPr>
              <w:rPr>
                <w:rFonts w:ascii="宋体"/>
                <w:vanish/>
              </w:rPr>
            </w:pPr>
          </w:p>
        </w:tc>
        <w:tc>
          <w:tcPr>
            <w:tcW w:w="0" w:type="auto"/>
            <w:gridSpan w:val="3"/>
            <w:shd w:val="clear" w:color="auto" w:fill="auto"/>
            <w:vAlign w:val="bottom"/>
          </w:tcPr>
          <w:p w14:paraId="74DE2182" w14:textId="77777777" w:rsidR="00584EC1" w:rsidRDefault="00584EC1">
            <w:pPr>
              <w:rPr>
                <w:rFonts w:ascii="宋体"/>
                <w:vanish/>
              </w:rPr>
            </w:pPr>
          </w:p>
        </w:tc>
        <w:tc>
          <w:tcPr>
            <w:tcW w:w="0" w:type="auto"/>
            <w:gridSpan w:val="2"/>
            <w:shd w:val="clear" w:color="auto" w:fill="CCEEFF"/>
            <w:tcMar>
              <w:top w:w="40" w:type="dxa"/>
              <w:left w:w="20" w:type="dxa"/>
              <w:bottom w:w="40" w:type="dxa"/>
              <w:right w:w="0" w:type="dxa"/>
            </w:tcMar>
            <w:vAlign w:val="bottom"/>
          </w:tcPr>
          <w:p w14:paraId="74DE2183" w14:textId="77777777" w:rsidR="00584EC1" w:rsidRDefault="00871F8D">
            <w:pPr>
              <w:jc w:val="right"/>
              <w:textAlignment w:val="bottom"/>
            </w:pPr>
            <w:r>
              <w:rPr>
                <w:rFonts w:ascii="Arial" w:eastAsia="宋体" w:hAnsi="Arial" w:cs="Arial"/>
                <w:color w:val="000000"/>
                <w:sz w:val="12"/>
                <w:szCs w:val="12"/>
              </w:rPr>
              <w:t>478 </w:t>
            </w:r>
          </w:p>
        </w:tc>
        <w:tc>
          <w:tcPr>
            <w:tcW w:w="0" w:type="auto"/>
            <w:shd w:val="clear" w:color="auto" w:fill="CCEEFF"/>
            <w:tcMar>
              <w:top w:w="40" w:type="dxa"/>
              <w:left w:w="0" w:type="dxa"/>
              <w:bottom w:w="40" w:type="dxa"/>
              <w:right w:w="20" w:type="dxa"/>
            </w:tcMar>
            <w:vAlign w:val="bottom"/>
          </w:tcPr>
          <w:p w14:paraId="74DE2184" w14:textId="77777777" w:rsidR="00584EC1" w:rsidRDefault="00584EC1">
            <w:pPr>
              <w:jc w:val="right"/>
              <w:rPr>
                <w:rFonts w:ascii="宋体"/>
              </w:rPr>
            </w:pPr>
          </w:p>
        </w:tc>
      </w:tr>
      <w:tr w:rsidR="00584EC1" w14:paraId="74DE219A" w14:textId="77777777">
        <w:trPr>
          <w:hidden/>
        </w:trPr>
        <w:tc>
          <w:tcPr>
            <w:tcW w:w="0" w:type="auto"/>
            <w:gridSpan w:val="3"/>
            <w:shd w:val="clear" w:color="auto" w:fill="auto"/>
            <w:vAlign w:val="bottom"/>
          </w:tcPr>
          <w:p w14:paraId="74DE2186" w14:textId="77777777" w:rsidR="00584EC1" w:rsidRDefault="00584EC1">
            <w:pPr>
              <w:rPr>
                <w:rFonts w:ascii="宋体"/>
                <w:vanish/>
              </w:rPr>
            </w:pPr>
          </w:p>
        </w:tc>
        <w:tc>
          <w:tcPr>
            <w:tcW w:w="0" w:type="auto"/>
            <w:gridSpan w:val="3"/>
            <w:shd w:val="clear" w:color="auto" w:fill="auto"/>
            <w:vAlign w:val="bottom"/>
          </w:tcPr>
          <w:p w14:paraId="74DE2187" w14:textId="77777777" w:rsidR="00584EC1" w:rsidRDefault="00584EC1">
            <w:pPr>
              <w:rPr>
                <w:rFonts w:ascii="宋体"/>
                <w:vanish/>
              </w:rPr>
            </w:pPr>
          </w:p>
        </w:tc>
        <w:tc>
          <w:tcPr>
            <w:tcW w:w="0" w:type="auto"/>
            <w:gridSpan w:val="3"/>
            <w:shd w:val="clear" w:color="auto" w:fill="auto"/>
            <w:vAlign w:val="bottom"/>
          </w:tcPr>
          <w:p w14:paraId="74DE2188" w14:textId="77777777" w:rsidR="00584EC1" w:rsidRDefault="00584EC1">
            <w:pPr>
              <w:rPr>
                <w:rFonts w:ascii="宋体"/>
                <w:vanish/>
              </w:rPr>
            </w:pPr>
          </w:p>
        </w:tc>
        <w:tc>
          <w:tcPr>
            <w:tcW w:w="0" w:type="auto"/>
            <w:gridSpan w:val="3"/>
            <w:shd w:val="clear" w:color="auto" w:fill="auto"/>
            <w:vAlign w:val="bottom"/>
          </w:tcPr>
          <w:p w14:paraId="74DE2189" w14:textId="77777777" w:rsidR="00584EC1" w:rsidRDefault="00584EC1">
            <w:pPr>
              <w:rPr>
                <w:rFonts w:ascii="宋体"/>
                <w:vanish/>
              </w:rPr>
            </w:pPr>
          </w:p>
        </w:tc>
        <w:tc>
          <w:tcPr>
            <w:tcW w:w="0" w:type="auto"/>
            <w:gridSpan w:val="3"/>
            <w:shd w:val="clear" w:color="auto" w:fill="auto"/>
            <w:vAlign w:val="bottom"/>
          </w:tcPr>
          <w:p w14:paraId="74DE218A" w14:textId="77777777" w:rsidR="00584EC1" w:rsidRDefault="00584EC1">
            <w:pPr>
              <w:rPr>
                <w:rFonts w:ascii="宋体"/>
                <w:vanish/>
              </w:rPr>
            </w:pPr>
          </w:p>
        </w:tc>
        <w:tc>
          <w:tcPr>
            <w:tcW w:w="0" w:type="auto"/>
            <w:gridSpan w:val="3"/>
            <w:shd w:val="clear" w:color="auto" w:fill="auto"/>
            <w:vAlign w:val="bottom"/>
          </w:tcPr>
          <w:p w14:paraId="74DE218B" w14:textId="77777777" w:rsidR="00584EC1" w:rsidRDefault="00584EC1">
            <w:pPr>
              <w:rPr>
                <w:rFonts w:ascii="宋体"/>
                <w:vanish/>
              </w:rPr>
            </w:pPr>
          </w:p>
        </w:tc>
        <w:tc>
          <w:tcPr>
            <w:tcW w:w="0" w:type="auto"/>
            <w:gridSpan w:val="3"/>
            <w:shd w:val="clear" w:color="auto" w:fill="auto"/>
            <w:vAlign w:val="bottom"/>
          </w:tcPr>
          <w:p w14:paraId="74DE218C" w14:textId="77777777" w:rsidR="00584EC1" w:rsidRDefault="00584EC1">
            <w:pPr>
              <w:rPr>
                <w:rFonts w:ascii="宋体"/>
                <w:vanish/>
              </w:rPr>
            </w:pPr>
          </w:p>
        </w:tc>
        <w:tc>
          <w:tcPr>
            <w:tcW w:w="0" w:type="auto"/>
            <w:gridSpan w:val="3"/>
            <w:shd w:val="clear" w:color="auto" w:fill="auto"/>
            <w:vAlign w:val="bottom"/>
          </w:tcPr>
          <w:p w14:paraId="74DE218D" w14:textId="77777777" w:rsidR="00584EC1" w:rsidRDefault="00584EC1">
            <w:pPr>
              <w:rPr>
                <w:rFonts w:ascii="宋体"/>
                <w:vanish/>
              </w:rPr>
            </w:pPr>
          </w:p>
        </w:tc>
        <w:tc>
          <w:tcPr>
            <w:tcW w:w="0" w:type="auto"/>
            <w:gridSpan w:val="3"/>
            <w:shd w:val="clear" w:color="auto" w:fill="auto"/>
            <w:vAlign w:val="bottom"/>
          </w:tcPr>
          <w:p w14:paraId="74DE218E" w14:textId="77777777" w:rsidR="00584EC1" w:rsidRDefault="00584EC1">
            <w:pPr>
              <w:rPr>
                <w:rFonts w:ascii="宋体"/>
                <w:vanish/>
              </w:rPr>
            </w:pPr>
          </w:p>
        </w:tc>
        <w:tc>
          <w:tcPr>
            <w:tcW w:w="0" w:type="auto"/>
            <w:gridSpan w:val="3"/>
            <w:shd w:val="clear" w:color="auto" w:fill="auto"/>
            <w:vAlign w:val="bottom"/>
          </w:tcPr>
          <w:p w14:paraId="74DE218F" w14:textId="77777777" w:rsidR="00584EC1" w:rsidRDefault="00584EC1">
            <w:pPr>
              <w:rPr>
                <w:rFonts w:ascii="宋体"/>
                <w:vanish/>
              </w:rPr>
            </w:pPr>
          </w:p>
        </w:tc>
        <w:tc>
          <w:tcPr>
            <w:tcW w:w="0" w:type="auto"/>
            <w:gridSpan w:val="3"/>
            <w:shd w:val="clear" w:color="auto" w:fill="auto"/>
            <w:vAlign w:val="bottom"/>
          </w:tcPr>
          <w:p w14:paraId="74DE2190" w14:textId="77777777" w:rsidR="00584EC1" w:rsidRDefault="00584EC1">
            <w:pPr>
              <w:rPr>
                <w:rFonts w:ascii="宋体"/>
                <w:vanish/>
              </w:rPr>
            </w:pPr>
          </w:p>
        </w:tc>
        <w:tc>
          <w:tcPr>
            <w:tcW w:w="0" w:type="auto"/>
            <w:gridSpan w:val="3"/>
            <w:shd w:val="clear" w:color="auto" w:fill="auto"/>
            <w:vAlign w:val="bottom"/>
          </w:tcPr>
          <w:p w14:paraId="74DE2191" w14:textId="77777777" w:rsidR="00584EC1" w:rsidRDefault="00584EC1">
            <w:pPr>
              <w:rPr>
                <w:rFonts w:ascii="宋体"/>
                <w:vanish/>
              </w:rPr>
            </w:pPr>
          </w:p>
        </w:tc>
        <w:tc>
          <w:tcPr>
            <w:tcW w:w="0" w:type="auto"/>
            <w:gridSpan w:val="3"/>
            <w:shd w:val="clear" w:color="auto" w:fill="auto"/>
            <w:vAlign w:val="bottom"/>
          </w:tcPr>
          <w:p w14:paraId="74DE2192" w14:textId="77777777" w:rsidR="00584EC1" w:rsidRDefault="00584EC1">
            <w:pPr>
              <w:rPr>
                <w:rFonts w:ascii="宋体"/>
                <w:vanish/>
              </w:rPr>
            </w:pPr>
          </w:p>
        </w:tc>
        <w:tc>
          <w:tcPr>
            <w:tcW w:w="0" w:type="auto"/>
            <w:gridSpan w:val="3"/>
            <w:shd w:val="clear" w:color="auto" w:fill="auto"/>
            <w:vAlign w:val="bottom"/>
          </w:tcPr>
          <w:p w14:paraId="74DE2193" w14:textId="77777777" w:rsidR="00584EC1" w:rsidRDefault="00584EC1">
            <w:pPr>
              <w:rPr>
                <w:rFonts w:ascii="宋体"/>
                <w:vanish/>
              </w:rPr>
            </w:pPr>
          </w:p>
        </w:tc>
        <w:tc>
          <w:tcPr>
            <w:tcW w:w="0" w:type="auto"/>
            <w:gridSpan w:val="3"/>
            <w:shd w:val="clear" w:color="auto" w:fill="auto"/>
            <w:vAlign w:val="bottom"/>
          </w:tcPr>
          <w:p w14:paraId="74DE2194" w14:textId="77777777" w:rsidR="00584EC1" w:rsidRDefault="00584EC1">
            <w:pPr>
              <w:rPr>
                <w:rFonts w:ascii="宋体"/>
                <w:vanish/>
              </w:rPr>
            </w:pPr>
          </w:p>
        </w:tc>
        <w:tc>
          <w:tcPr>
            <w:tcW w:w="0" w:type="auto"/>
            <w:gridSpan w:val="3"/>
            <w:shd w:val="clear" w:color="auto" w:fill="auto"/>
            <w:vAlign w:val="bottom"/>
          </w:tcPr>
          <w:p w14:paraId="74DE2195" w14:textId="77777777" w:rsidR="00584EC1" w:rsidRDefault="00584EC1">
            <w:pPr>
              <w:rPr>
                <w:rFonts w:ascii="宋体"/>
                <w:vanish/>
              </w:rPr>
            </w:pPr>
          </w:p>
        </w:tc>
        <w:tc>
          <w:tcPr>
            <w:tcW w:w="0" w:type="auto"/>
            <w:gridSpan w:val="3"/>
            <w:shd w:val="clear" w:color="auto" w:fill="auto"/>
            <w:vAlign w:val="bottom"/>
          </w:tcPr>
          <w:p w14:paraId="74DE2196" w14:textId="77777777" w:rsidR="00584EC1" w:rsidRDefault="00584EC1">
            <w:pPr>
              <w:rPr>
                <w:rFonts w:ascii="宋体"/>
                <w:vanish/>
              </w:rPr>
            </w:pPr>
          </w:p>
        </w:tc>
        <w:tc>
          <w:tcPr>
            <w:tcW w:w="0" w:type="auto"/>
            <w:gridSpan w:val="3"/>
            <w:shd w:val="clear" w:color="auto" w:fill="auto"/>
            <w:vAlign w:val="bottom"/>
          </w:tcPr>
          <w:p w14:paraId="74DE2197" w14:textId="77777777" w:rsidR="00584EC1" w:rsidRDefault="00584EC1">
            <w:pPr>
              <w:rPr>
                <w:rFonts w:ascii="宋体"/>
                <w:vanish/>
              </w:rPr>
            </w:pPr>
          </w:p>
        </w:tc>
        <w:tc>
          <w:tcPr>
            <w:tcW w:w="0" w:type="auto"/>
            <w:gridSpan w:val="3"/>
            <w:shd w:val="clear" w:color="auto" w:fill="auto"/>
            <w:vAlign w:val="bottom"/>
          </w:tcPr>
          <w:p w14:paraId="74DE2198" w14:textId="77777777" w:rsidR="00584EC1" w:rsidRDefault="00584EC1">
            <w:pPr>
              <w:rPr>
                <w:rFonts w:ascii="宋体"/>
                <w:vanish/>
              </w:rPr>
            </w:pPr>
          </w:p>
        </w:tc>
        <w:tc>
          <w:tcPr>
            <w:tcW w:w="0" w:type="auto"/>
            <w:gridSpan w:val="3"/>
            <w:shd w:val="clear" w:color="auto" w:fill="auto"/>
            <w:vAlign w:val="bottom"/>
          </w:tcPr>
          <w:p w14:paraId="74DE2199" w14:textId="77777777" w:rsidR="00584EC1" w:rsidRDefault="00584EC1">
            <w:pPr>
              <w:rPr>
                <w:rFonts w:ascii="宋体"/>
                <w:vanish/>
              </w:rPr>
            </w:pPr>
          </w:p>
        </w:tc>
      </w:tr>
      <w:tr w:rsidR="00584EC1" w14:paraId="74DE21BD" w14:textId="77777777">
        <w:tc>
          <w:tcPr>
            <w:tcW w:w="0" w:type="auto"/>
            <w:gridSpan w:val="3"/>
            <w:shd w:val="clear" w:color="auto" w:fill="FFFFFF"/>
            <w:tcMar>
              <w:top w:w="40" w:type="dxa"/>
              <w:left w:w="20" w:type="dxa"/>
              <w:bottom w:w="40" w:type="dxa"/>
              <w:right w:w="20" w:type="dxa"/>
            </w:tcMar>
            <w:vAlign w:val="bottom"/>
          </w:tcPr>
          <w:p w14:paraId="74DE219B" w14:textId="77777777" w:rsidR="00584EC1" w:rsidRDefault="00871F8D">
            <w:pPr>
              <w:textAlignment w:val="bottom"/>
            </w:pPr>
            <w:r>
              <w:rPr>
                <w:rFonts w:ascii="Arial" w:eastAsia="宋体" w:hAnsi="Arial" w:cs="Arial"/>
                <w:b/>
                <w:bCs/>
                <w:color w:val="000000"/>
                <w:sz w:val="12"/>
                <w:szCs w:val="12"/>
              </w:rPr>
              <w:t>Total revenue</w:t>
            </w:r>
          </w:p>
        </w:tc>
        <w:tc>
          <w:tcPr>
            <w:tcW w:w="0" w:type="auto"/>
            <w:tcBorders>
              <w:top w:val="single" w:sz="8" w:space="0" w:color="000000"/>
            </w:tcBorders>
            <w:shd w:val="clear" w:color="auto" w:fill="FFFFFF"/>
            <w:tcMar>
              <w:top w:w="40" w:type="dxa"/>
              <w:left w:w="20" w:type="dxa"/>
              <w:bottom w:w="40" w:type="dxa"/>
              <w:right w:w="0" w:type="dxa"/>
            </w:tcMar>
            <w:vAlign w:val="bottom"/>
          </w:tcPr>
          <w:p w14:paraId="74DE219C"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E219D" w14:textId="77777777" w:rsidR="00584EC1" w:rsidRDefault="00871F8D">
            <w:pPr>
              <w:jc w:val="right"/>
              <w:textAlignment w:val="bottom"/>
            </w:pPr>
            <w:r>
              <w:rPr>
                <w:rFonts w:ascii="Arial" w:eastAsia="宋体" w:hAnsi="Arial" w:cs="Arial"/>
                <w:color w:val="000000"/>
                <w:sz w:val="12"/>
                <w:szCs w:val="12"/>
              </w:rPr>
              <w:t>1,541 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219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219F"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E21A0"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E21A1" w14:textId="77777777" w:rsidR="00584EC1" w:rsidRDefault="00871F8D">
            <w:pPr>
              <w:jc w:val="right"/>
              <w:textAlignment w:val="bottom"/>
            </w:pPr>
            <w:r>
              <w:rPr>
                <w:rFonts w:ascii="Arial" w:eastAsia="宋体" w:hAnsi="Arial" w:cs="Arial"/>
                <w:color w:val="000000"/>
                <w:sz w:val="12"/>
                <w:szCs w:val="12"/>
              </w:rPr>
              <w:t>737 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21A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21A3"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E21A4"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E21A5" w14:textId="77777777" w:rsidR="00584EC1" w:rsidRDefault="00871F8D">
            <w:pPr>
              <w:jc w:val="right"/>
              <w:textAlignment w:val="bottom"/>
            </w:pPr>
            <w:r>
              <w:rPr>
                <w:rFonts w:ascii="Arial" w:eastAsia="宋体" w:hAnsi="Arial" w:cs="Arial"/>
                <w:color w:val="000000"/>
                <w:sz w:val="12"/>
                <w:szCs w:val="12"/>
              </w:rPr>
              <w:t>2,278 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21A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21A7"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E21A8"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E21A9" w14:textId="77777777" w:rsidR="00584EC1" w:rsidRDefault="00871F8D">
            <w:pPr>
              <w:jc w:val="right"/>
              <w:textAlignment w:val="bottom"/>
            </w:pPr>
            <w:r>
              <w:rPr>
                <w:rFonts w:ascii="Arial" w:eastAsia="宋体" w:hAnsi="Arial" w:cs="Arial"/>
                <w:color w:val="000000"/>
                <w:sz w:val="12"/>
                <w:szCs w:val="12"/>
              </w:rPr>
              <w:t>497 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21A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21AB"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E21AC"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E21AD" w14:textId="77777777" w:rsidR="00584EC1" w:rsidRDefault="00871F8D">
            <w:pPr>
              <w:jc w:val="right"/>
              <w:textAlignment w:val="bottom"/>
            </w:pPr>
            <w:r>
              <w:rPr>
                <w:rFonts w:ascii="Arial" w:eastAsia="宋体" w:hAnsi="Arial" w:cs="Arial"/>
                <w:color w:val="000000"/>
                <w:sz w:val="12"/>
                <w:szCs w:val="12"/>
              </w:rPr>
              <w:t>9 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21A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21AF" w14:textId="77777777" w:rsidR="00584EC1" w:rsidRDefault="00584E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E21B0"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E21B1" w14:textId="77777777" w:rsidR="00584EC1" w:rsidRDefault="00871F8D">
            <w:pPr>
              <w:jc w:val="right"/>
              <w:textAlignment w:val="bottom"/>
            </w:pPr>
            <w:r>
              <w:rPr>
                <w:rFonts w:ascii="Arial" w:eastAsia="宋体" w:hAnsi="Arial" w:cs="Arial"/>
                <w:color w:val="000000"/>
                <w:sz w:val="12"/>
                <w:szCs w:val="12"/>
              </w:rPr>
              <w:t>506 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21B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21B3" w14:textId="77777777" w:rsidR="00584EC1" w:rsidRDefault="00584EC1">
            <w:pPr>
              <w:rPr>
                <w:rFonts w:ascii="宋体"/>
              </w:rPr>
            </w:pPr>
          </w:p>
        </w:tc>
        <w:tc>
          <w:tcPr>
            <w:tcW w:w="0" w:type="auto"/>
            <w:gridSpan w:val="3"/>
            <w:shd w:val="clear" w:color="auto" w:fill="auto"/>
            <w:vAlign w:val="bottom"/>
          </w:tcPr>
          <w:p w14:paraId="74DE21B4" w14:textId="77777777" w:rsidR="00584EC1" w:rsidRDefault="00584EC1">
            <w:pPr>
              <w:rPr>
                <w:rFonts w:ascii="宋体"/>
                <w:vanish/>
              </w:rPr>
            </w:pPr>
          </w:p>
        </w:tc>
        <w:tc>
          <w:tcPr>
            <w:tcW w:w="0" w:type="auto"/>
            <w:gridSpan w:val="3"/>
            <w:shd w:val="clear" w:color="auto" w:fill="auto"/>
            <w:vAlign w:val="bottom"/>
          </w:tcPr>
          <w:p w14:paraId="74DE21B5" w14:textId="77777777" w:rsidR="00584EC1" w:rsidRDefault="00584EC1">
            <w:pPr>
              <w:rPr>
                <w:rFonts w:ascii="宋体"/>
                <w:vanish/>
              </w:rPr>
            </w:pPr>
          </w:p>
        </w:tc>
        <w:tc>
          <w:tcPr>
            <w:tcW w:w="0" w:type="auto"/>
            <w:gridSpan w:val="3"/>
            <w:shd w:val="clear" w:color="auto" w:fill="auto"/>
            <w:vAlign w:val="bottom"/>
          </w:tcPr>
          <w:p w14:paraId="74DE21B6" w14:textId="77777777" w:rsidR="00584EC1" w:rsidRDefault="00584EC1">
            <w:pPr>
              <w:rPr>
                <w:rFonts w:ascii="宋体"/>
                <w:vanish/>
              </w:rPr>
            </w:pPr>
          </w:p>
        </w:tc>
        <w:tc>
          <w:tcPr>
            <w:tcW w:w="0" w:type="auto"/>
            <w:gridSpan w:val="3"/>
            <w:shd w:val="clear" w:color="auto" w:fill="auto"/>
            <w:vAlign w:val="bottom"/>
          </w:tcPr>
          <w:p w14:paraId="74DE21B7" w14:textId="77777777" w:rsidR="00584EC1" w:rsidRDefault="00584EC1">
            <w:pPr>
              <w:rPr>
                <w:rFonts w:ascii="宋体"/>
                <w:vanish/>
              </w:rPr>
            </w:pPr>
          </w:p>
        </w:tc>
        <w:tc>
          <w:tcPr>
            <w:tcW w:w="0" w:type="auto"/>
            <w:gridSpan w:val="3"/>
            <w:shd w:val="clear" w:color="auto" w:fill="auto"/>
            <w:vAlign w:val="bottom"/>
          </w:tcPr>
          <w:p w14:paraId="74DE21B8" w14:textId="77777777" w:rsidR="00584EC1" w:rsidRDefault="00584EC1">
            <w:pPr>
              <w:rPr>
                <w:rFonts w:ascii="宋体"/>
                <w:vanish/>
              </w:rPr>
            </w:pPr>
          </w:p>
        </w:tc>
        <w:tc>
          <w:tcPr>
            <w:tcW w:w="0" w:type="auto"/>
            <w:gridSpan w:val="3"/>
            <w:shd w:val="clear" w:color="auto" w:fill="auto"/>
            <w:vAlign w:val="bottom"/>
          </w:tcPr>
          <w:p w14:paraId="74DE21B9" w14:textId="77777777" w:rsidR="00584EC1" w:rsidRDefault="00584EC1">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4DE21BA"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4DE21BB" w14:textId="77777777" w:rsidR="00584EC1" w:rsidRDefault="00871F8D">
            <w:pPr>
              <w:jc w:val="right"/>
              <w:textAlignment w:val="bottom"/>
            </w:pPr>
            <w:r>
              <w:rPr>
                <w:rFonts w:ascii="Arial" w:eastAsia="宋体" w:hAnsi="Arial" w:cs="Arial"/>
                <w:color w:val="000000"/>
                <w:sz w:val="12"/>
                <w:szCs w:val="12"/>
              </w:rPr>
              <w:t>2,784 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21BC" w14:textId="77777777" w:rsidR="00584EC1" w:rsidRDefault="00584EC1">
            <w:pPr>
              <w:jc w:val="right"/>
              <w:rPr>
                <w:rFonts w:ascii="宋体"/>
              </w:rPr>
            </w:pPr>
          </w:p>
        </w:tc>
      </w:tr>
      <w:tr w:rsidR="00584EC1" w14:paraId="74DE21D2" w14:textId="77777777">
        <w:trPr>
          <w:trHeight w:val="60"/>
        </w:trPr>
        <w:tc>
          <w:tcPr>
            <w:tcW w:w="0" w:type="auto"/>
            <w:gridSpan w:val="3"/>
            <w:shd w:val="clear" w:color="auto" w:fill="auto"/>
            <w:tcMar>
              <w:top w:w="0" w:type="dxa"/>
              <w:left w:w="20" w:type="dxa"/>
              <w:bottom w:w="0" w:type="dxa"/>
              <w:right w:w="20" w:type="dxa"/>
            </w:tcMar>
            <w:vAlign w:val="bottom"/>
          </w:tcPr>
          <w:p w14:paraId="74DE21BE"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E21BF"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1C0"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E21C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1C2"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E21C3"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1C4"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E21C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1C6"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E21C7"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1C8" w14:textId="77777777" w:rsidR="00584EC1" w:rsidRDefault="00584E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E21C9"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1CA" w14:textId="77777777" w:rsidR="00584EC1" w:rsidRDefault="00584EC1">
            <w:pPr>
              <w:rPr>
                <w:rFonts w:ascii="宋体"/>
              </w:rPr>
            </w:pPr>
          </w:p>
        </w:tc>
        <w:tc>
          <w:tcPr>
            <w:tcW w:w="0" w:type="auto"/>
            <w:gridSpan w:val="3"/>
            <w:shd w:val="clear" w:color="auto" w:fill="auto"/>
            <w:vAlign w:val="bottom"/>
          </w:tcPr>
          <w:p w14:paraId="74DE21CB" w14:textId="77777777" w:rsidR="00584EC1" w:rsidRDefault="00584EC1">
            <w:pPr>
              <w:rPr>
                <w:rFonts w:ascii="宋体"/>
                <w:vanish/>
              </w:rPr>
            </w:pPr>
          </w:p>
        </w:tc>
        <w:tc>
          <w:tcPr>
            <w:tcW w:w="0" w:type="auto"/>
            <w:gridSpan w:val="3"/>
            <w:shd w:val="clear" w:color="auto" w:fill="auto"/>
            <w:vAlign w:val="bottom"/>
          </w:tcPr>
          <w:p w14:paraId="74DE21CC" w14:textId="77777777" w:rsidR="00584EC1" w:rsidRDefault="00584EC1">
            <w:pPr>
              <w:rPr>
                <w:rFonts w:ascii="宋体"/>
                <w:vanish/>
              </w:rPr>
            </w:pPr>
          </w:p>
        </w:tc>
        <w:tc>
          <w:tcPr>
            <w:tcW w:w="0" w:type="auto"/>
            <w:gridSpan w:val="3"/>
            <w:shd w:val="clear" w:color="auto" w:fill="auto"/>
            <w:vAlign w:val="bottom"/>
          </w:tcPr>
          <w:p w14:paraId="74DE21CD" w14:textId="77777777" w:rsidR="00584EC1" w:rsidRDefault="00584EC1">
            <w:pPr>
              <w:rPr>
                <w:rFonts w:ascii="宋体"/>
                <w:vanish/>
              </w:rPr>
            </w:pPr>
          </w:p>
        </w:tc>
        <w:tc>
          <w:tcPr>
            <w:tcW w:w="0" w:type="auto"/>
            <w:gridSpan w:val="3"/>
            <w:shd w:val="clear" w:color="auto" w:fill="auto"/>
            <w:vAlign w:val="bottom"/>
          </w:tcPr>
          <w:p w14:paraId="74DE21CE" w14:textId="77777777" w:rsidR="00584EC1" w:rsidRDefault="00584EC1">
            <w:pPr>
              <w:rPr>
                <w:rFonts w:ascii="宋体"/>
                <w:vanish/>
              </w:rPr>
            </w:pPr>
          </w:p>
        </w:tc>
        <w:tc>
          <w:tcPr>
            <w:tcW w:w="0" w:type="auto"/>
            <w:gridSpan w:val="3"/>
            <w:shd w:val="clear" w:color="auto" w:fill="auto"/>
            <w:vAlign w:val="bottom"/>
          </w:tcPr>
          <w:p w14:paraId="74DE21CF" w14:textId="77777777" w:rsidR="00584EC1" w:rsidRDefault="00584EC1">
            <w:pPr>
              <w:rPr>
                <w:rFonts w:ascii="宋体"/>
                <w:vanish/>
              </w:rPr>
            </w:pPr>
          </w:p>
        </w:tc>
        <w:tc>
          <w:tcPr>
            <w:tcW w:w="0" w:type="auto"/>
            <w:gridSpan w:val="3"/>
            <w:shd w:val="clear" w:color="auto" w:fill="auto"/>
            <w:vAlign w:val="bottom"/>
          </w:tcPr>
          <w:p w14:paraId="74DE21D0" w14:textId="77777777" w:rsidR="00584EC1" w:rsidRDefault="00584EC1">
            <w:pPr>
              <w:rPr>
                <w:rFonts w:ascii="宋体"/>
                <w:vanish/>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4DE21D1" w14:textId="77777777" w:rsidR="00584EC1" w:rsidRDefault="00584EC1">
            <w:pPr>
              <w:rPr>
                <w:rFonts w:ascii="宋体"/>
              </w:rPr>
            </w:pPr>
          </w:p>
        </w:tc>
      </w:tr>
      <w:tr w:rsidR="00584EC1" w14:paraId="74DE21E7" w14:textId="77777777">
        <w:tc>
          <w:tcPr>
            <w:tcW w:w="0" w:type="auto"/>
            <w:gridSpan w:val="3"/>
            <w:shd w:val="clear" w:color="auto" w:fill="auto"/>
            <w:tcMar>
              <w:top w:w="0" w:type="dxa"/>
              <w:left w:w="20" w:type="dxa"/>
              <w:bottom w:w="0" w:type="dxa"/>
              <w:right w:w="20" w:type="dxa"/>
            </w:tcMar>
            <w:vAlign w:val="bottom"/>
          </w:tcPr>
          <w:p w14:paraId="74DE21D3" w14:textId="77777777" w:rsidR="00584EC1" w:rsidRDefault="00584EC1">
            <w:pPr>
              <w:rPr>
                <w:rFonts w:ascii="宋体"/>
              </w:rPr>
            </w:pPr>
          </w:p>
        </w:tc>
        <w:tc>
          <w:tcPr>
            <w:tcW w:w="0" w:type="auto"/>
            <w:gridSpan w:val="39"/>
            <w:shd w:val="clear" w:color="auto" w:fill="auto"/>
            <w:tcMar>
              <w:top w:w="40" w:type="dxa"/>
              <w:left w:w="20" w:type="dxa"/>
              <w:bottom w:w="40" w:type="dxa"/>
              <w:right w:w="20" w:type="dxa"/>
            </w:tcMar>
            <w:vAlign w:val="bottom"/>
          </w:tcPr>
          <w:p w14:paraId="74DE21D4" w14:textId="77777777" w:rsidR="00584EC1" w:rsidRDefault="00871F8D">
            <w:pPr>
              <w:jc w:val="center"/>
              <w:textAlignment w:val="bottom"/>
            </w:pPr>
            <w:r>
              <w:rPr>
                <w:rFonts w:ascii="Arial" w:eastAsia="宋体" w:hAnsi="Arial" w:cs="Arial"/>
                <w:b/>
                <w:bCs/>
                <w:color w:val="000000"/>
                <w:sz w:val="12"/>
                <w:szCs w:val="12"/>
              </w:rPr>
              <w:t>Nine Months Ended September 30, 2020</w:t>
            </w:r>
          </w:p>
        </w:tc>
        <w:tc>
          <w:tcPr>
            <w:tcW w:w="0" w:type="auto"/>
            <w:shd w:val="clear" w:color="auto" w:fill="auto"/>
            <w:vAlign w:val="bottom"/>
          </w:tcPr>
          <w:p w14:paraId="74DE21D5" w14:textId="77777777" w:rsidR="00584EC1" w:rsidRDefault="00584EC1">
            <w:pPr>
              <w:rPr>
                <w:rFonts w:ascii="宋体"/>
              </w:rPr>
            </w:pPr>
          </w:p>
        </w:tc>
        <w:tc>
          <w:tcPr>
            <w:tcW w:w="0" w:type="auto"/>
            <w:shd w:val="clear" w:color="auto" w:fill="auto"/>
            <w:vAlign w:val="bottom"/>
          </w:tcPr>
          <w:p w14:paraId="74DE21D6" w14:textId="77777777" w:rsidR="00584EC1" w:rsidRDefault="00584EC1">
            <w:pPr>
              <w:rPr>
                <w:rFonts w:ascii="宋体"/>
              </w:rPr>
            </w:pPr>
          </w:p>
        </w:tc>
        <w:tc>
          <w:tcPr>
            <w:tcW w:w="0" w:type="auto"/>
            <w:shd w:val="clear" w:color="auto" w:fill="auto"/>
            <w:vAlign w:val="bottom"/>
          </w:tcPr>
          <w:p w14:paraId="74DE21D7" w14:textId="77777777" w:rsidR="00584EC1" w:rsidRDefault="00584EC1">
            <w:pPr>
              <w:rPr>
                <w:rFonts w:ascii="宋体"/>
              </w:rPr>
            </w:pPr>
          </w:p>
        </w:tc>
        <w:tc>
          <w:tcPr>
            <w:tcW w:w="0" w:type="auto"/>
            <w:shd w:val="clear" w:color="auto" w:fill="auto"/>
            <w:vAlign w:val="bottom"/>
          </w:tcPr>
          <w:p w14:paraId="74DE21D8" w14:textId="77777777" w:rsidR="00584EC1" w:rsidRDefault="00584EC1">
            <w:pPr>
              <w:rPr>
                <w:rFonts w:ascii="宋体"/>
              </w:rPr>
            </w:pPr>
          </w:p>
        </w:tc>
        <w:tc>
          <w:tcPr>
            <w:tcW w:w="0" w:type="auto"/>
            <w:shd w:val="clear" w:color="auto" w:fill="auto"/>
            <w:vAlign w:val="bottom"/>
          </w:tcPr>
          <w:p w14:paraId="74DE21D9" w14:textId="77777777" w:rsidR="00584EC1" w:rsidRDefault="00584EC1">
            <w:pPr>
              <w:rPr>
                <w:rFonts w:ascii="宋体"/>
              </w:rPr>
            </w:pPr>
          </w:p>
        </w:tc>
        <w:tc>
          <w:tcPr>
            <w:tcW w:w="0" w:type="auto"/>
            <w:shd w:val="clear" w:color="auto" w:fill="auto"/>
            <w:vAlign w:val="bottom"/>
          </w:tcPr>
          <w:p w14:paraId="74DE21DA" w14:textId="77777777" w:rsidR="00584EC1" w:rsidRDefault="00584EC1">
            <w:pPr>
              <w:rPr>
                <w:rFonts w:ascii="宋体"/>
              </w:rPr>
            </w:pPr>
          </w:p>
        </w:tc>
        <w:tc>
          <w:tcPr>
            <w:tcW w:w="0" w:type="auto"/>
            <w:shd w:val="clear" w:color="auto" w:fill="auto"/>
            <w:vAlign w:val="bottom"/>
          </w:tcPr>
          <w:p w14:paraId="74DE21DB" w14:textId="77777777" w:rsidR="00584EC1" w:rsidRDefault="00584EC1">
            <w:pPr>
              <w:rPr>
                <w:rFonts w:ascii="宋体"/>
              </w:rPr>
            </w:pPr>
          </w:p>
        </w:tc>
        <w:tc>
          <w:tcPr>
            <w:tcW w:w="0" w:type="auto"/>
            <w:shd w:val="clear" w:color="auto" w:fill="auto"/>
            <w:vAlign w:val="bottom"/>
          </w:tcPr>
          <w:p w14:paraId="74DE21DC" w14:textId="77777777" w:rsidR="00584EC1" w:rsidRDefault="00584EC1">
            <w:pPr>
              <w:rPr>
                <w:rFonts w:ascii="宋体"/>
              </w:rPr>
            </w:pPr>
          </w:p>
        </w:tc>
        <w:tc>
          <w:tcPr>
            <w:tcW w:w="0" w:type="auto"/>
            <w:shd w:val="clear" w:color="auto" w:fill="auto"/>
            <w:vAlign w:val="bottom"/>
          </w:tcPr>
          <w:p w14:paraId="74DE21DD" w14:textId="77777777" w:rsidR="00584EC1" w:rsidRDefault="00584EC1">
            <w:pPr>
              <w:rPr>
                <w:rFonts w:ascii="宋体"/>
              </w:rPr>
            </w:pPr>
          </w:p>
        </w:tc>
        <w:tc>
          <w:tcPr>
            <w:tcW w:w="0" w:type="auto"/>
            <w:shd w:val="clear" w:color="auto" w:fill="auto"/>
            <w:vAlign w:val="bottom"/>
          </w:tcPr>
          <w:p w14:paraId="74DE21DE" w14:textId="77777777" w:rsidR="00584EC1" w:rsidRDefault="00584EC1">
            <w:pPr>
              <w:rPr>
                <w:rFonts w:ascii="宋体"/>
              </w:rPr>
            </w:pPr>
          </w:p>
        </w:tc>
        <w:tc>
          <w:tcPr>
            <w:tcW w:w="0" w:type="auto"/>
            <w:shd w:val="clear" w:color="auto" w:fill="auto"/>
            <w:vAlign w:val="bottom"/>
          </w:tcPr>
          <w:p w14:paraId="74DE21DF" w14:textId="77777777" w:rsidR="00584EC1" w:rsidRDefault="00584EC1">
            <w:pPr>
              <w:rPr>
                <w:rFonts w:ascii="宋体"/>
              </w:rPr>
            </w:pPr>
          </w:p>
        </w:tc>
        <w:tc>
          <w:tcPr>
            <w:tcW w:w="0" w:type="auto"/>
            <w:shd w:val="clear" w:color="auto" w:fill="auto"/>
            <w:vAlign w:val="bottom"/>
          </w:tcPr>
          <w:p w14:paraId="74DE21E0" w14:textId="77777777" w:rsidR="00584EC1" w:rsidRDefault="00584EC1">
            <w:pPr>
              <w:rPr>
                <w:rFonts w:ascii="宋体"/>
              </w:rPr>
            </w:pPr>
          </w:p>
        </w:tc>
        <w:tc>
          <w:tcPr>
            <w:tcW w:w="0" w:type="auto"/>
            <w:shd w:val="clear" w:color="auto" w:fill="auto"/>
            <w:vAlign w:val="bottom"/>
          </w:tcPr>
          <w:p w14:paraId="74DE21E1" w14:textId="77777777" w:rsidR="00584EC1" w:rsidRDefault="00584EC1">
            <w:pPr>
              <w:rPr>
                <w:rFonts w:ascii="宋体"/>
              </w:rPr>
            </w:pPr>
          </w:p>
        </w:tc>
        <w:tc>
          <w:tcPr>
            <w:tcW w:w="0" w:type="auto"/>
            <w:shd w:val="clear" w:color="auto" w:fill="auto"/>
            <w:vAlign w:val="bottom"/>
          </w:tcPr>
          <w:p w14:paraId="74DE21E2" w14:textId="77777777" w:rsidR="00584EC1" w:rsidRDefault="00584EC1">
            <w:pPr>
              <w:rPr>
                <w:rFonts w:ascii="宋体"/>
              </w:rPr>
            </w:pPr>
          </w:p>
        </w:tc>
        <w:tc>
          <w:tcPr>
            <w:tcW w:w="0" w:type="auto"/>
            <w:shd w:val="clear" w:color="auto" w:fill="auto"/>
            <w:vAlign w:val="bottom"/>
          </w:tcPr>
          <w:p w14:paraId="74DE21E3" w14:textId="77777777" w:rsidR="00584EC1" w:rsidRDefault="00584EC1">
            <w:pPr>
              <w:rPr>
                <w:rFonts w:ascii="宋体"/>
              </w:rPr>
            </w:pPr>
          </w:p>
        </w:tc>
        <w:tc>
          <w:tcPr>
            <w:tcW w:w="0" w:type="auto"/>
            <w:shd w:val="clear" w:color="auto" w:fill="auto"/>
            <w:vAlign w:val="bottom"/>
          </w:tcPr>
          <w:p w14:paraId="74DE21E4" w14:textId="77777777" w:rsidR="00584EC1" w:rsidRDefault="00584EC1">
            <w:pPr>
              <w:rPr>
                <w:rFonts w:ascii="宋体"/>
              </w:rPr>
            </w:pPr>
          </w:p>
        </w:tc>
        <w:tc>
          <w:tcPr>
            <w:tcW w:w="0" w:type="auto"/>
            <w:shd w:val="clear" w:color="auto" w:fill="auto"/>
            <w:vAlign w:val="bottom"/>
          </w:tcPr>
          <w:p w14:paraId="74DE21E5" w14:textId="77777777" w:rsidR="00584EC1" w:rsidRDefault="00584EC1">
            <w:pPr>
              <w:rPr>
                <w:rFonts w:ascii="宋体"/>
              </w:rPr>
            </w:pPr>
          </w:p>
        </w:tc>
        <w:tc>
          <w:tcPr>
            <w:tcW w:w="0" w:type="auto"/>
            <w:shd w:val="clear" w:color="auto" w:fill="auto"/>
            <w:vAlign w:val="bottom"/>
          </w:tcPr>
          <w:p w14:paraId="74DE21E6" w14:textId="77777777" w:rsidR="00584EC1" w:rsidRDefault="00584EC1">
            <w:pPr>
              <w:rPr>
                <w:rFonts w:ascii="宋体"/>
              </w:rPr>
            </w:pPr>
          </w:p>
        </w:tc>
      </w:tr>
      <w:tr w:rsidR="00584EC1" w14:paraId="74DE21FC" w14:textId="77777777">
        <w:tc>
          <w:tcPr>
            <w:tcW w:w="0" w:type="auto"/>
            <w:gridSpan w:val="3"/>
            <w:shd w:val="clear" w:color="auto" w:fill="auto"/>
            <w:tcMar>
              <w:top w:w="0" w:type="dxa"/>
              <w:left w:w="20" w:type="dxa"/>
              <w:bottom w:w="0" w:type="dxa"/>
              <w:right w:w="20" w:type="dxa"/>
            </w:tcMar>
            <w:vAlign w:val="bottom"/>
          </w:tcPr>
          <w:p w14:paraId="74DE21E8" w14:textId="77777777" w:rsidR="00584EC1" w:rsidRDefault="00584EC1">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4DE21E9" w14:textId="77777777" w:rsidR="00584EC1" w:rsidRDefault="00871F8D">
            <w:pPr>
              <w:jc w:val="center"/>
              <w:textAlignment w:val="bottom"/>
            </w:pPr>
            <w:r>
              <w:rPr>
                <w:rFonts w:ascii="Arial" w:eastAsia="宋体" w:hAnsi="Arial" w:cs="Arial"/>
                <w:b/>
                <w:bCs/>
                <w:color w:val="000000"/>
                <w:sz w:val="12"/>
                <w:szCs w:val="12"/>
              </w:rPr>
              <w:t>Investment Servicing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21EA" w14:textId="77777777" w:rsidR="00584EC1" w:rsidRDefault="00584EC1">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4DE21EB" w14:textId="77777777" w:rsidR="00584EC1" w:rsidRDefault="00871F8D">
            <w:pPr>
              <w:jc w:val="center"/>
              <w:textAlignment w:val="bottom"/>
            </w:pPr>
            <w:r>
              <w:rPr>
                <w:rFonts w:ascii="Arial" w:eastAsia="宋体" w:hAnsi="Arial" w:cs="Arial"/>
                <w:b/>
                <w:bCs/>
                <w:color w:val="000000"/>
                <w:sz w:val="12"/>
                <w:szCs w:val="12"/>
              </w:rPr>
              <w:t>Investment Management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21EC" w14:textId="77777777" w:rsidR="00584EC1" w:rsidRDefault="00584EC1">
            <w:pPr>
              <w:rPr>
                <w:rFonts w:ascii="宋体"/>
              </w:rPr>
            </w:pPr>
          </w:p>
        </w:tc>
        <w:tc>
          <w:tcPr>
            <w:tcW w:w="0" w:type="auto"/>
            <w:gridSpan w:val="3"/>
            <w:shd w:val="clear" w:color="auto" w:fill="auto"/>
            <w:vAlign w:val="bottom"/>
          </w:tcPr>
          <w:p w14:paraId="74DE21ED" w14:textId="77777777" w:rsidR="00584EC1" w:rsidRDefault="00584EC1">
            <w:pPr>
              <w:rPr>
                <w:rFonts w:ascii="宋体"/>
                <w:vanish/>
              </w:rPr>
            </w:pPr>
          </w:p>
        </w:tc>
        <w:tc>
          <w:tcPr>
            <w:tcW w:w="0" w:type="auto"/>
            <w:gridSpan w:val="3"/>
            <w:shd w:val="clear" w:color="auto" w:fill="auto"/>
            <w:vAlign w:val="bottom"/>
          </w:tcPr>
          <w:p w14:paraId="74DE21EE" w14:textId="77777777" w:rsidR="00584EC1" w:rsidRDefault="00584EC1">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21EF" w14:textId="77777777" w:rsidR="00584EC1" w:rsidRDefault="00871F8D">
            <w:pPr>
              <w:jc w:val="center"/>
              <w:textAlignment w:val="bottom"/>
            </w:pPr>
            <w:r>
              <w:rPr>
                <w:rFonts w:ascii="Arial" w:eastAsia="宋体" w:hAnsi="Arial" w:cs="Arial"/>
                <w:b/>
                <w:bCs/>
                <w:color w:val="000000"/>
                <w:sz w:val="12"/>
                <w:szCs w:val="12"/>
              </w:rPr>
              <w:t>Total</w:t>
            </w:r>
          </w:p>
        </w:tc>
        <w:tc>
          <w:tcPr>
            <w:tcW w:w="0" w:type="auto"/>
            <w:shd w:val="clear" w:color="auto" w:fill="auto"/>
            <w:vAlign w:val="bottom"/>
          </w:tcPr>
          <w:p w14:paraId="74DE21F0" w14:textId="77777777" w:rsidR="00584EC1" w:rsidRDefault="00584EC1">
            <w:pPr>
              <w:rPr>
                <w:rFonts w:ascii="宋体"/>
              </w:rPr>
            </w:pPr>
          </w:p>
        </w:tc>
        <w:tc>
          <w:tcPr>
            <w:tcW w:w="0" w:type="auto"/>
            <w:shd w:val="clear" w:color="auto" w:fill="auto"/>
            <w:vAlign w:val="bottom"/>
          </w:tcPr>
          <w:p w14:paraId="74DE21F1" w14:textId="77777777" w:rsidR="00584EC1" w:rsidRDefault="00584EC1">
            <w:pPr>
              <w:rPr>
                <w:rFonts w:ascii="宋体"/>
              </w:rPr>
            </w:pPr>
          </w:p>
        </w:tc>
        <w:tc>
          <w:tcPr>
            <w:tcW w:w="0" w:type="auto"/>
            <w:shd w:val="clear" w:color="auto" w:fill="auto"/>
            <w:vAlign w:val="bottom"/>
          </w:tcPr>
          <w:p w14:paraId="74DE21F2" w14:textId="77777777" w:rsidR="00584EC1" w:rsidRDefault="00584EC1">
            <w:pPr>
              <w:rPr>
                <w:rFonts w:ascii="宋体"/>
              </w:rPr>
            </w:pPr>
          </w:p>
        </w:tc>
        <w:tc>
          <w:tcPr>
            <w:tcW w:w="0" w:type="auto"/>
            <w:shd w:val="clear" w:color="auto" w:fill="auto"/>
            <w:vAlign w:val="bottom"/>
          </w:tcPr>
          <w:p w14:paraId="74DE21F3" w14:textId="77777777" w:rsidR="00584EC1" w:rsidRDefault="00584EC1">
            <w:pPr>
              <w:rPr>
                <w:rFonts w:ascii="宋体"/>
              </w:rPr>
            </w:pPr>
          </w:p>
        </w:tc>
        <w:tc>
          <w:tcPr>
            <w:tcW w:w="0" w:type="auto"/>
            <w:shd w:val="clear" w:color="auto" w:fill="auto"/>
            <w:vAlign w:val="bottom"/>
          </w:tcPr>
          <w:p w14:paraId="74DE21F4" w14:textId="77777777" w:rsidR="00584EC1" w:rsidRDefault="00584EC1">
            <w:pPr>
              <w:rPr>
                <w:rFonts w:ascii="宋体"/>
              </w:rPr>
            </w:pPr>
          </w:p>
        </w:tc>
        <w:tc>
          <w:tcPr>
            <w:tcW w:w="0" w:type="auto"/>
            <w:shd w:val="clear" w:color="auto" w:fill="auto"/>
            <w:vAlign w:val="bottom"/>
          </w:tcPr>
          <w:p w14:paraId="74DE21F5" w14:textId="77777777" w:rsidR="00584EC1" w:rsidRDefault="00584EC1">
            <w:pPr>
              <w:rPr>
                <w:rFonts w:ascii="宋体"/>
              </w:rPr>
            </w:pPr>
          </w:p>
        </w:tc>
        <w:tc>
          <w:tcPr>
            <w:tcW w:w="0" w:type="auto"/>
            <w:shd w:val="clear" w:color="auto" w:fill="auto"/>
            <w:vAlign w:val="bottom"/>
          </w:tcPr>
          <w:p w14:paraId="74DE21F6" w14:textId="77777777" w:rsidR="00584EC1" w:rsidRDefault="00584EC1">
            <w:pPr>
              <w:rPr>
                <w:rFonts w:ascii="宋体"/>
              </w:rPr>
            </w:pPr>
          </w:p>
        </w:tc>
        <w:tc>
          <w:tcPr>
            <w:tcW w:w="0" w:type="auto"/>
            <w:shd w:val="clear" w:color="auto" w:fill="auto"/>
            <w:vAlign w:val="bottom"/>
          </w:tcPr>
          <w:p w14:paraId="74DE21F7" w14:textId="77777777" w:rsidR="00584EC1" w:rsidRDefault="00584EC1">
            <w:pPr>
              <w:rPr>
                <w:rFonts w:ascii="宋体"/>
              </w:rPr>
            </w:pPr>
          </w:p>
        </w:tc>
        <w:tc>
          <w:tcPr>
            <w:tcW w:w="0" w:type="auto"/>
            <w:shd w:val="clear" w:color="auto" w:fill="auto"/>
            <w:vAlign w:val="bottom"/>
          </w:tcPr>
          <w:p w14:paraId="74DE21F8" w14:textId="77777777" w:rsidR="00584EC1" w:rsidRDefault="00584EC1">
            <w:pPr>
              <w:rPr>
                <w:rFonts w:ascii="宋体"/>
              </w:rPr>
            </w:pPr>
          </w:p>
        </w:tc>
        <w:tc>
          <w:tcPr>
            <w:tcW w:w="0" w:type="auto"/>
            <w:shd w:val="clear" w:color="auto" w:fill="auto"/>
            <w:vAlign w:val="bottom"/>
          </w:tcPr>
          <w:p w14:paraId="74DE21F9" w14:textId="77777777" w:rsidR="00584EC1" w:rsidRDefault="00584EC1">
            <w:pPr>
              <w:rPr>
                <w:rFonts w:ascii="宋体"/>
              </w:rPr>
            </w:pPr>
          </w:p>
        </w:tc>
        <w:tc>
          <w:tcPr>
            <w:tcW w:w="0" w:type="auto"/>
            <w:shd w:val="clear" w:color="auto" w:fill="auto"/>
            <w:vAlign w:val="bottom"/>
          </w:tcPr>
          <w:p w14:paraId="74DE21FA" w14:textId="77777777" w:rsidR="00584EC1" w:rsidRDefault="00584EC1">
            <w:pPr>
              <w:rPr>
                <w:rFonts w:ascii="宋体"/>
              </w:rPr>
            </w:pPr>
          </w:p>
        </w:tc>
        <w:tc>
          <w:tcPr>
            <w:tcW w:w="0" w:type="auto"/>
            <w:shd w:val="clear" w:color="auto" w:fill="auto"/>
            <w:vAlign w:val="bottom"/>
          </w:tcPr>
          <w:p w14:paraId="74DE21FB" w14:textId="77777777" w:rsidR="00584EC1" w:rsidRDefault="00584EC1">
            <w:pPr>
              <w:rPr>
                <w:rFonts w:ascii="宋体"/>
              </w:rPr>
            </w:pPr>
          </w:p>
        </w:tc>
      </w:tr>
      <w:tr w:rsidR="00584EC1" w14:paraId="74DE2211" w14:textId="77777777">
        <w:tc>
          <w:tcPr>
            <w:tcW w:w="0" w:type="auto"/>
            <w:gridSpan w:val="3"/>
            <w:shd w:val="clear" w:color="auto" w:fill="auto"/>
            <w:tcMar>
              <w:top w:w="40" w:type="dxa"/>
              <w:left w:w="20" w:type="dxa"/>
              <w:bottom w:w="40" w:type="dxa"/>
              <w:right w:w="20" w:type="dxa"/>
            </w:tcMar>
            <w:vAlign w:val="bottom"/>
          </w:tcPr>
          <w:p w14:paraId="74DE21FD" w14:textId="77777777" w:rsidR="00584EC1" w:rsidRDefault="00871F8D">
            <w:pPr>
              <w:textAlignment w:val="bottom"/>
            </w:pPr>
            <w:r>
              <w:rPr>
                <w:rFonts w:ascii="Arial" w:eastAsia="宋体" w:hAnsi="Arial" w:cs="Arial"/>
                <w:b/>
                <w:bCs/>
                <w:color w:val="000000"/>
                <w:sz w:val="12"/>
                <w:szCs w:val="12"/>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21FE" w14:textId="77777777" w:rsidR="00584EC1" w:rsidRDefault="00871F8D">
            <w:pPr>
              <w:jc w:val="center"/>
              <w:textAlignment w:val="bottom"/>
            </w:pPr>
            <w:r>
              <w:rPr>
                <w:rFonts w:ascii="Arial" w:eastAsia="宋体" w:hAnsi="Arial" w:cs="Arial"/>
                <w:b/>
                <w:bCs/>
                <w:color w:val="000000"/>
                <w:sz w:val="12"/>
                <w:szCs w:val="12"/>
              </w:rPr>
              <w:t>Topic 606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21FF"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2200" w14:textId="77777777" w:rsidR="00584EC1" w:rsidRDefault="00871F8D">
            <w:pPr>
              <w:jc w:val="center"/>
              <w:textAlignment w:val="bottom"/>
            </w:pPr>
            <w:r>
              <w:rPr>
                <w:rFonts w:ascii="Arial" w:eastAsia="宋体" w:hAnsi="Arial" w:cs="Arial"/>
                <w:b/>
                <w:bCs/>
                <w:color w:val="000000"/>
                <w:sz w:val="12"/>
                <w:szCs w:val="12"/>
              </w:rPr>
              <w:t>All other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2201"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2202" w14:textId="77777777" w:rsidR="00584EC1" w:rsidRDefault="00871F8D">
            <w:pPr>
              <w:jc w:val="center"/>
              <w:textAlignment w:val="bottom"/>
            </w:pPr>
            <w:r>
              <w:rPr>
                <w:rFonts w:ascii="Arial" w:eastAsia="宋体" w:hAnsi="Arial" w:cs="Arial"/>
                <w:b/>
                <w:bCs/>
                <w:color w:val="000000"/>
                <w:sz w:val="12"/>
                <w:szCs w:val="12"/>
              </w:rPr>
              <w:t>Total</w:t>
            </w:r>
          </w:p>
        </w:tc>
        <w:tc>
          <w:tcPr>
            <w:tcW w:w="0" w:type="auto"/>
            <w:gridSpan w:val="3"/>
            <w:shd w:val="clear" w:color="auto" w:fill="auto"/>
            <w:tcMar>
              <w:top w:w="0" w:type="dxa"/>
              <w:left w:w="20" w:type="dxa"/>
              <w:bottom w:w="0" w:type="dxa"/>
              <w:right w:w="20" w:type="dxa"/>
            </w:tcMar>
            <w:vAlign w:val="bottom"/>
          </w:tcPr>
          <w:p w14:paraId="74DE2203"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2204" w14:textId="77777777" w:rsidR="00584EC1" w:rsidRDefault="00871F8D">
            <w:pPr>
              <w:jc w:val="center"/>
              <w:textAlignment w:val="bottom"/>
            </w:pPr>
            <w:r>
              <w:rPr>
                <w:rFonts w:ascii="Arial" w:eastAsia="宋体" w:hAnsi="Arial" w:cs="Arial"/>
                <w:b/>
                <w:bCs/>
                <w:color w:val="000000"/>
                <w:sz w:val="12"/>
                <w:szCs w:val="12"/>
              </w:rPr>
              <w:t>Topic 606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2205"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2206" w14:textId="77777777" w:rsidR="00584EC1" w:rsidRDefault="00871F8D">
            <w:pPr>
              <w:jc w:val="center"/>
              <w:textAlignment w:val="bottom"/>
            </w:pPr>
            <w:r>
              <w:rPr>
                <w:rFonts w:ascii="Arial" w:eastAsia="宋体" w:hAnsi="Arial" w:cs="Arial"/>
                <w:b/>
                <w:bCs/>
                <w:color w:val="000000"/>
                <w:sz w:val="12"/>
                <w:szCs w:val="12"/>
              </w:rPr>
              <w:t>All other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2207"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2208" w14:textId="77777777" w:rsidR="00584EC1" w:rsidRDefault="00871F8D">
            <w:pPr>
              <w:jc w:val="center"/>
              <w:textAlignment w:val="bottom"/>
            </w:pPr>
            <w:r>
              <w:rPr>
                <w:rFonts w:ascii="Arial" w:eastAsia="宋体" w:hAnsi="Arial" w:cs="Arial"/>
                <w:b/>
                <w:bCs/>
                <w:color w:val="000000"/>
                <w:sz w:val="12"/>
                <w:szCs w:val="12"/>
              </w:rPr>
              <w:t>Total</w:t>
            </w:r>
          </w:p>
        </w:tc>
        <w:tc>
          <w:tcPr>
            <w:tcW w:w="0" w:type="auto"/>
            <w:gridSpan w:val="3"/>
            <w:shd w:val="clear" w:color="auto" w:fill="auto"/>
            <w:tcMar>
              <w:top w:w="0" w:type="dxa"/>
              <w:left w:w="20" w:type="dxa"/>
              <w:bottom w:w="0" w:type="dxa"/>
              <w:right w:w="20" w:type="dxa"/>
            </w:tcMar>
            <w:vAlign w:val="bottom"/>
          </w:tcPr>
          <w:p w14:paraId="74DE2209" w14:textId="77777777" w:rsidR="00584EC1" w:rsidRDefault="00584EC1">
            <w:pPr>
              <w:rPr>
                <w:rFonts w:ascii="宋体"/>
              </w:rPr>
            </w:pPr>
          </w:p>
        </w:tc>
        <w:tc>
          <w:tcPr>
            <w:tcW w:w="0" w:type="auto"/>
            <w:gridSpan w:val="3"/>
            <w:shd w:val="clear" w:color="auto" w:fill="auto"/>
            <w:vAlign w:val="bottom"/>
          </w:tcPr>
          <w:p w14:paraId="74DE220A" w14:textId="77777777" w:rsidR="00584EC1" w:rsidRDefault="00584EC1">
            <w:pPr>
              <w:rPr>
                <w:rFonts w:ascii="宋体"/>
                <w:vanish/>
              </w:rPr>
            </w:pPr>
          </w:p>
        </w:tc>
        <w:tc>
          <w:tcPr>
            <w:tcW w:w="0" w:type="auto"/>
            <w:gridSpan w:val="3"/>
            <w:shd w:val="clear" w:color="auto" w:fill="auto"/>
            <w:vAlign w:val="bottom"/>
          </w:tcPr>
          <w:p w14:paraId="74DE220B" w14:textId="77777777" w:rsidR="00584EC1" w:rsidRDefault="00584EC1">
            <w:pPr>
              <w:rPr>
                <w:rFonts w:ascii="宋体"/>
                <w:vanish/>
              </w:rPr>
            </w:pPr>
          </w:p>
        </w:tc>
        <w:tc>
          <w:tcPr>
            <w:tcW w:w="0" w:type="auto"/>
            <w:gridSpan w:val="3"/>
            <w:shd w:val="clear" w:color="auto" w:fill="auto"/>
            <w:vAlign w:val="bottom"/>
          </w:tcPr>
          <w:p w14:paraId="74DE220C" w14:textId="77777777" w:rsidR="00584EC1" w:rsidRDefault="00584EC1">
            <w:pPr>
              <w:rPr>
                <w:rFonts w:ascii="宋体"/>
                <w:vanish/>
              </w:rPr>
            </w:pPr>
          </w:p>
        </w:tc>
        <w:tc>
          <w:tcPr>
            <w:tcW w:w="0" w:type="auto"/>
            <w:gridSpan w:val="3"/>
            <w:shd w:val="clear" w:color="auto" w:fill="auto"/>
            <w:vAlign w:val="bottom"/>
          </w:tcPr>
          <w:p w14:paraId="74DE220D" w14:textId="77777777" w:rsidR="00584EC1" w:rsidRDefault="00584EC1">
            <w:pPr>
              <w:rPr>
                <w:rFonts w:ascii="宋体"/>
                <w:vanish/>
              </w:rPr>
            </w:pPr>
          </w:p>
        </w:tc>
        <w:tc>
          <w:tcPr>
            <w:tcW w:w="0" w:type="auto"/>
            <w:gridSpan w:val="3"/>
            <w:shd w:val="clear" w:color="auto" w:fill="auto"/>
            <w:vAlign w:val="bottom"/>
          </w:tcPr>
          <w:p w14:paraId="74DE220E" w14:textId="77777777" w:rsidR="00584EC1" w:rsidRDefault="00584EC1">
            <w:pPr>
              <w:rPr>
                <w:rFonts w:ascii="宋体"/>
                <w:vanish/>
              </w:rPr>
            </w:pPr>
          </w:p>
        </w:tc>
        <w:tc>
          <w:tcPr>
            <w:tcW w:w="0" w:type="auto"/>
            <w:gridSpan w:val="3"/>
            <w:shd w:val="clear" w:color="auto" w:fill="auto"/>
            <w:vAlign w:val="bottom"/>
          </w:tcPr>
          <w:p w14:paraId="74DE220F" w14:textId="77777777" w:rsidR="00584EC1" w:rsidRDefault="00584EC1">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2210" w14:textId="77777777" w:rsidR="00584EC1" w:rsidRDefault="00871F8D">
            <w:pPr>
              <w:jc w:val="center"/>
              <w:textAlignment w:val="bottom"/>
            </w:pPr>
            <w:r>
              <w:rPr>
                <w:rFonts w:ascii="Arial" w:eastAsia="宋体" w:hAnsi="Arial" w:cs="Arial"/>
                <w:b/>
                <w:bCs/>
                <w:color w:val="000000"/>
                <w:sz w:val="12"/>
                <w:szCs w:val="12"/>
              </w:rPr>
              <w:t>2020</w:t>
            </w:r>
          </w:p>
        </w:tc>
      </w:tr>
      <w:tr w:rsidR="00584EC1" w14:paraId="74DE2234" w14:textId="77777777">
        <w:tc>
          <w:tcPr>
            <w:tcW w:w="0" w:type="auto"/>
            <w:gridSpan w:val="3"/>
            <w:shd w:val="clear" w:color="auto" w:fill="CCEEFF"/>
            <w:tcMar>
              <w:top w:w="40" w:type="dxa"/>
              <w:left w:w="155" w:type="dxa"/>
              <w:bottom w:w="40" w:type="dxa"/>
              <w:right w:w="20" w:type="dxa"/>
            </w:tcMar>
            <w:vAlign w:val="bottom"/>
          </w:tcPr>
          <w:p w14:paraId="74DE2212" w14:textId="77777777" w:rsidR="00584EC1" w:rsidRDefault="00871F8D">
            <w:pPr>
              <w:textAlignment w:val="bottom"/>
            </w:pPr>
            <w:r>
              <w:rPr>
                <w:rFonts w:ascii="Arial" w:eastAsia="宋体" w:hAnsi="Arial" w:cs="Arial"/>
                <w:color w:val="000000"/>
                <w:sz w:val="12"/>
                <w:szCs w:val="12"/>
              </w:rPr>
              <w:t>Servicing fees</w:t>
            </w:r>
          </w:p>
        </w:tc>
        <w:tc>
          <w:tcPr>
            <w:tcW w:w="0" w:type="auto"/>
            <w:tcBorders>
              <w:top w:val="single" w:sz="8" w:space="0" w:color="000000"/>
            </w:tcBorders>
            <w:shd w:val="clear" w:color="auto" w:fill="CCEEFF"/>
            <w:tcMar>
              <w:top w:w="40" w:type="dxa"/>
              <w:left w:w="20" w:type="dxa"/>
              <w:bottom w:w="40" w:type="dxa"/>
              <w:right w:w="0" w:type="dxa"/>
            </w:tcMar>
            <w:vAlign w:val="bottom"/>
          </w:tcPr>
          <w:p w14:paraId="74DE2213"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2214" w14:textId="77777777" w:rsidR="00584EC1" w:rsidRDefault="00871F8D">
            <w:pPr>
              <w:jc w:val="right"/>
              <w:textAlignment w:val="bottom"/>
            </w:pPr>
            <w:r>
              <w:rPr>
                <w:rFonts w:ascii="Arial" w:eastAsia="宋体" w:hAnsi="Arial" w:cs="Arial"/>
                <w:color w:val="000000"/>
                <w:sz w:val="12"/>
                <w:szCs w:val="12"/>
              </w:rPr>
              <w:t>3,860 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221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2216"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2217"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2218" w14:textId="77777777" w:rsidR="00584EC1" w:rsidRDefault="00871F8D">
            <w:pPr>
              <w:jc w:val="right"/>
              <w:textAlignment w:val="bottom"/>
            </w:pP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221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221A"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221B"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221C" w14:textId="77777777" w:rsidR="00584EC1" w:rsidRDefault="00871F8D">
            <w:pPr>
              <w:jc w:val="right"/>
              <w:textAlignment w:val="bottom"/>
            </w:pPr>
            <w:r>
              <w:rPr>
                <w:rFonts w:ascii="Arial" w:eastAsia="宋体" w:hAnsi="Arial" w:cs="Arial"/>
                <w:color w:val="000000"/>
                <w:sz w:val="12"/>
                <w:szCs w:val="12"/>
              </w:rPr>
              <w:t>3,860 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221D"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221E"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221F"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2220" w14:textId="77777777" w:rsidR="00584EC1" w:rsidRDefault="00871F8D">
            <w:pPr>
              <w:jc w:val="right"/>
              <w:textAlignment w:val="bottom"/>
            </w:pP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222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2222"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2223"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2224" w14:textId="77777777" w:rsidR="00584EC1" w:rsidRDefault="00871F8D">
            <w:pPr>
              <w:jc w:val="right"/>
              <w:textAlignment w:val="bottom"/>
            </w:pP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2225"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2226"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2227"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2228" w14:textId="77777777" w:rsidR="00584EC1" w:rsidRDefault="00871F8D">
            <w:pPr>
              <w:jc w:val="right"/>
              <w:textAlignment w:val="bottom"/>
            </w:pP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222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222A" w14:textId="77777777" w:rsidR="00584EC1" w:rsidRDefault="00584EC1">
            <w:pPr>
              <w:rPr>
                <w:rFonts w:ascii="宋体"/>
              </w:rPr>
            </w:pPr>
          </w:p>
        </w:tc>
        <w:tc>
          <w:tcPr>
            <w:tcW w:w="0" w:type="auto"/>
            <w:gridSpan w:val="3"/>
            <w:shd w:val="clear" w:color="auto" w:fill="auto"/>
            <w:vAlign w:val="bottom"/>
          </w:tcPr>
          <w:p w14:paraId="74DE222B" w14:textId="77777777" w:rsidR="00584EC1" w:rsidRDefault="00584EC1">
            <w:pPr>
              <w:rPr>
                <w:rFonts w:ascii="宋体"/>
                <w:vanish/>
              </w:rPr>
            </w:pPr>
          </w:p>
        </w:tc>
        <w:tc>
          <w:tcPr>
            <w:tcW w:w="0" w:type="auto"/>
            <w:gridSpan w:val="3"/>
            <w:shd w:val="clear" w:color="auto" w:fill="auto"/>
            <w:vAlign w:val="bottom"/>
          </w:tcPr>
          <w:p w14:paraId="74DE222C" w14:textId="77777777" w:rsidR="00584EC1" w:rsidRDefault="00584EC1">
            <w:pPr>
              <w:rPr>
                <w:rFonts w:ascii="宋体"/>
                <w:vanish/>
              </w:rPr>
            </w:pPr>
          </w:p>
        </w:tc>
        <w:tc>
          <w:tcPr>
            <w:tcW w:w="0" w:type="auto"/>
            <w:gridSpan w:val="3"/>
            <w:shd w:val="clear" w:color="auto" w:fill="auto"/>
            <w:vAlign w:val="bottom"/>
          </w:tcPr>
          <w:p w14:paraId="74DE222D" w14:textId="77777777" w:rsidR="00584EC1" w:rsidRDefault="00584EC1">
            <w:pPr>
              <w:rPr>
                <w:rFonts w:ascii="宋体"/>
                <w:vanish/>
              </w:rPr>
            </w:pPr>
          </w:p>
        </w:tc>
        <w:tc>
          <w:tcPr>
            <w:tcW w:w="0" w:type="auto"/>
            <w:gridSpan w:val="3"/>
            <w:shd w:val="clear" w:color="auto" w:fill="auto"/>
            <w:vAlign w:val="bottom"/>
          </w:tcPr>
          <w:p w14:paraId="74DE222E" w14:textId="77777777" w:rsidR="00584EC1" w:rsidRDefault="00584EC1">
            <w:pPr>
              <w:rPr>
                <w:rFonts w:ascii="宋体"/>
                <w:vanish/>
              </w:rPr>
            </w:pPr>
          </w:p>
        </w:tc>
        <w:tc>
          <w:tcPr>
            <w:tcW w:w="0" w:type="auto"/>
            <w:gridSpan w:val="3"/>
            <w:shd w:val="clear" w:color="auto" w:fill="auto"/>
            <w:vAlign w:val="bottom"/>
          </w:tcPr>
          <w:p w14:paraId="74DE222F" w14:textId="77777777" w:rsidR="00584EC1" w:rsidRDefault="00584EC1">
            <w:pPr>
              <w:rPr>
                <w:rFonts w:ascii="宋体"/>
                <w:vanish/>
              </w:rPr>
            </w:pPr>
          </w:p>
        </w:tc>
        <w:tc>
          <w:tcPr>
            <w:tcW w:w="0" w:type="auto"/>
            <w:gridSpan w:val="3"/>
            <w:shd w:val="clear" w:color="auto" w:fill="auto"/>
            <w:vAlign w:val="bottom"/>
          </w:tcPr>
          <w:p w14:paraId="74DE2230" w14:textId="77777777" w:rsidR="00584EC1" w:rsidRDefault="00584EC1">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2231"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2232" w14:textId="77777777" w:rsidR="00584EC1" w:rsidRDefault="00871F8D">
            <w:pPr>
              <w:jc w:val="right"/>
              <w:textAlignment w:val="bottom"/>
            </w:pPr>
            <w:r>
              <w:rPr>
                <w:rFonts w:ascii="Arial" w:eastAsia="宋体" w:hAnsi="Arial" w:cs="Arial"/>
                <w:color w:val="000000"/>
                <w:sz w:val="12"/>
                <w:szCs w:val="12"/>
              </w:rPr>
              <w:t>3,860 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2233" w14:textId="77777777" w:rsidR="00584EC1" w:rsidRDefault="00584EC1">
            <w:pPr>
              <w:jc w:val="right"/>
              <w:rPr>
                <w:rFonts w:ascii="宋体"/>
              </w:rPr>
            </w:pPr>
          </w:p>
        </w:tc>
      </w:tr>
      <w:tr w:rsidR="00584EC1" w14:paraId="74DE2250" w14:textId="77777777">
        <w:tc>
          <w:tcPr>
            <w:tcW w:w="0" w:type="auto"/>
            <w:gridSpan w:val="3"/>
            <w:shd w:val="clear" w:color="auto" w:fill="FFFFFF"/>
            <w:tcMar>
              <w:top w:w="40" w:type="dxa"/>
              <w:left w:w="155" w:type="dxa"/>
              <w:bottom w:w="40" w:type="dxa"/>
              <w:right w:w="20" w:type="dxa"/>
            </w:tcMar>
            <w:vAlign w:val="bottom"/>
          </w:tcPr>
          <w:p w14:paraId="74DE2235" w14:textId="77777777" w:rsidR="00584EC1" w:rsidRDefault="00871F8D">
            <w:pPr>
              <w:textAlignment w:val="bottom"/>
            </w:pPr>
            <w:r>
              <w:rPr>
                <w:rFonts w:ascii="Arial" w:eastAsia="宋体" w:hAnsi="Arial" w:cs="Arial"/>
                <w:color w:val="000000"/>
                <w:sz w:val="12"/>
                <w:szCs w:val="12"/>
              </w:rPr>
              <w:t>Management fees</w:t>
            </w:r>
          </w:p>
        </w:tc>
        <w:tc>
          <w:tcPr>
            <w:tcW w:w="0" w:type="auto"/>
            <w:gridSpan w:val="2"/>
            <w:shd w:val="clear" w:color="auto" w:fill="FFFFFF"/>
            <w:tcMar>
              <w:top w:w="40" w:type="dxa"/>
              <w:left w:w="20" w:type="dxa"/>
              <w:bottom w:w="40" w:type="dxa"/>
              <w:right w:w="0" w:type="dxa"/>
            </w:tcMar>
            <w:vAlign w:val="bottom"/>
          </w:tcPr>
          <w:p w14:paraId="74DE2236" w14:textId="77777777" w:rsidR="00584EC1" w:rsidRDefault="00871F8D">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223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2238"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2239" w14:textId="77777777" w:rsidR="00584EC1" w:rsidRDefault="00871F8D">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223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223B"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223C" w14:textId="77777777" w:rsidR="00584EC1" w:rsidRDefault="00871F8D">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223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223E"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223F" w14:textId="77777777" w:rsidR="00584EC1" w:rsidRDefault="00871F8D">
            <w:pPr>
              <w:jc w:val="right"/>
              <w:textAlignment w:val="bottom"/>
            </w:pPr>
            <w:r>
              <w:rPr>
                <w:rFonts w:ascii="Arial" w:eastAsia="宋体" w:hAnsi="Arial" w:cs="Arial"/>
                <w:color w:val="000000"/>
                <w:sz w:val="12"/>
                <w:szCs w:val="12"/>
              </w:rPr>
              <w:t>1,387 </w:t>
            </w:r>
          </w:p>
        </w:tc>
        <w:tc>
          <w:tcPr>
            <w:tcW w:w="0" w:type="auto"/>
            <w:shd w:val="clear" w:color="auto" w:fill="FFFFFF"/>
            <w:tcMar>
              <w:top w:w="40" w:type="dxa"/>
              <w:left w:w="0" w:type="dxa"/>
              <w:bottom w:w="40" w:type="dxa"/>
              <w:right w:w="20" w:type="dxa"/>
            </w:tcMar>
            <w:vAlign w:val="bottom"/>
          </w:tcPr>
          <w:p w14:paraId="74DE224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224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2242" w14:textId="77777777" w:rsidR="00584EC1" w:rsidRDefault="00871F8D">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224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224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2245" w14:textId="77777777" w:rsidR="00584EC1" w:rsidRDefault="00871F8D">
            <w:pPr>
              <w:jc w:val="right"/>
              <w:textAlignment w:val="bottom"/>
            </w:pPr>
            <w:r>
              <w:rPr>
                <w:rFonts w:ascii="Arial" w:eastAsia="宋体" w:hAnsi="Arial" w:cs="Arial"/>
                <w:color w:val="000000"/>
                <w:sz w:val="12"/>
                <w:szCs w:val="12"/>
              </w:rPr>
              <w:t>1,387 </w:t>
            </w:r>
          </w:p>
        </w:tc>
        <w:tc>
          <w:tcPr>
            <w:tcW w:w="0" w:type="auto"/>
            <w:shd w:val="clear" w:color="auto" w:fill="FFFFFF"/>
            <w:tcMar>
              <w:top w:w="40" w:type="dxa"/>
              <w:left w:w="0" w:type="dxa"/>
              <w:bottom w:w="40" w:type="dxa"/>
              <w:right w:w="20" w:type="dxa"/>
            </w:tcMar>
            <w:vAlign w:val="bottom"/>
          </w:tcPr>
          <w:p w14:paraId="74DE224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2247" w14:textId="77777777" w:rsidR="00584EC1" w:rsidRDefault="00584EC1">
            <w:pPr>
              <w:rPr>
                <w:rFonts w:ascii="宋体"/>
              </w:rPr>
            </w:pPr>
          </w:p>
        </w:tc>
        <w:tc>
          <w:tcPr>
            <w:tcW w:w="0" w:type="auto"/>
            <w:gridSpan w:val="3"/>
            <w:shd w:val="clear" w:color="auto" w:fill="auto"/>
            <w:vAlign w:val="bottom"/>
          </w:tcPr>
          <w:p w14:paraId="74DE2248" w14:textId="77777777" w:rsidR="00584EC1" w:rsidRDefault="00584EC1">
            <w:pPr>
              <w:rPr>
                <w:rFonts w:ascii="宋体"/>
                <w:vanish/>
              </w:rPr>
            </w:pPr>
          </w:p>
        </w:tc>
        <w:tc>
          <w:tcPr>
            <w:tcW w:w="0" w:type="auto"/>
            <w:gridSpan w:val="3"/>
            <w:shd w:val="clear" w:color="auto" w:fill="auto"/>
            <w:vAlign w:val="bottom"/>
          </w:tcPr>
          <w:p w14:paraId="74DE2249" w14:textId="77777777" w:rsidR="00584EC1" w:rsidRDefault="00584EC1">
            <w:pPr>
              <w:rPr>
                <w:rFonts w:ascii="宋体"/>
                <w:vanish/>
              </w:rPr>
            </w:pPr>
          </w:p>
        </w:tc>
        <w:tc>
          <w:tcPr>
            <w:tcW w:w="0" w:type="auto"/>
            <w:gridSpan w:val="3"/>
            <w:shd w:val="clear" w:color="auto" w:fill="auto"/>
            <w:vAlign w:val="bottom"/>
          </w:tcPr>
          <w:p w14:paraId="74DE224A" w14:textId="77777777" w:rsidR="00584EC1" w:rsidRDefault="00584EC1">
            <w:pPr>
              <w:rPr>
                <w:rFonts w:ascii="宋体"/>
                <w:vanish/>
              </w:rPr>
            </w:pPr>
          </w:p>
        </w:tc>
        <w:tc>
          <w:tcPr>
            <w:tcW w:w="0" w:type="auto"/>
            <w:gridSpan w:val="3"/>
            <w:shd w:val="clear" w:color="auto" w:fill="auto"/>
            <w:vAlign w:val="bottom"/>
          </w:tcPr>
          <w:p w14:paraId="74DE224B" w14:textId="77777777" w:rsidR="00584EC1" w:rsidRDefault="00584EC1">
            <w:pPr>
              <w:rPr>
                <w:rFonts w:ascii="宋体"/>
                <w:vanish/>
              </w:rPr>
            </w:pPr>
          </w:p>
        </w:tc>
        <w:tc>
          <w:tcPr>
            <w:tcW w:w="0" w:type="auto"/>
            <w:gridSpan w:val="3"/>
            <w:shd w:val="clear" w:color="auto" w:fill="auto"/>
            <w:vAlign w:val="bottom"/>
          </w:tcPr>
          <w:p w14:paraId="74DE224C" w14:textId="77777777" w:rsidR="00584EC1" w:rsidRDefault="00584EC1">
            <w:pPr>
              <w:rPr>
                <w:rFonts w:ascii="宋体"/>
                <w:vanish/>
              </w:rPr>
            </w:pPr>
          </w:p>
        </w:tc>
        <w:tc>
          <w:tcPr>
            <w:tcW w:w="0" w:type="auto"/>
            <w:gridSpan w:val="3"/>
            <w:shd w:val="clear" w:color="auto" w:fill="auto"/>
            <w:vAlign w:val="bottom"/>
          </w:tcPr>
          <w:p w14:paraId="74DE224D"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E224E" w14:textId="77777777" w:rsidR="00584EC1" w:rsidRDefault="00871F8D">
            <w:pPr>
              <w:jc w:val="right"/>
              <w:textAlignment w:val="bottom"/>
            </w:pPr>
            <w:r>
              <w:rPr>
                <w:rFonts w:ascii="Arial" w:eastAsia="宋体" w:hAnsi="Arial" w:cs="Arial"/>
                <w:color w:val="000000"/>
                <w:sz w:val="12"/>
                <w:szCs w:val="12"/>
              </w:rPr>
              <w:t>1,387 </w:t>
            </w:r>
          </w:p>
        </w:tc>
        <w:tc>
          <w:tcPr>
            <w:tcW w:w="0" w:type="auto"/>
            <w:shd w:val="clear" w:color="auto" w:fill="FFFFFF"/>
            <w:tcMar>
              <w:top w:w="40" w:type="dxa"/>
              <w:left w:w="0" w:type="dxa"/>
              <w:bottom w:w="40" w:type="dxa"/>
              <w:right w:w="20" w:type="dxa"/>
            </w:tcMar>
            <w:vAlign w:val="bottom"/>
          </w:tcPr>
          <w:p w14:paraId="74DE224F" w14:textId="77777777" w:rsidR="00584EC1" w:rsidRDefault="00584EC1">
            <w:pPr>
              <w:jc w:val="right"/>
              <w:rPr>
                <w:rFonts w:ascii="宋体"/>
              </w:rPr>
            </w:pPr>
          </w:p>
        </w:tc>
      </w:tr>
      <w:tr w:rsidR="00584EC1" w14:paraId="74DE226C" w14:textId="77777777">
        <w:tc>
          <w:tcPr>
            <w:tcW w:w="0" w:type="auto"/>
            <w:gridSpan w:val="3"/>
            <w:shd w:val="clear" w:color="auto" w:fill="CCEEFF"/>
            <w:tcMar>
              <w:top w:w="40" w:type="dxa"/>
              <w:left w:w="155" w:type="dxa"/>
              <w:bottom w:w="40" w:type="dxa"/>
              <w:right w:w="20" w:type="dxa"/>
            </w:tcMar>
            <w:vAlign w:val="bottom"/>
          </w:tcPr>
          <w:p w14:paraId="74DE2251" w14:textId="77777777" w:rsidR="00584EC1" w:rsidRDefault="00871F8D">
            <w:pPr>
              <w:textAlignment w:val="bottom"/>
            </w:pPr>
            <w:r>
              <w:rPr>
                <w:rFonts w:ascii="Arial" w:eastAsia="宋体" w:hAnsi="Arial" w:cs="Arial"/>
                <w:color w:val="000000"/>
                <w:sz w:val="12"/>
                <w:szCs w:val="12"/>
              </w:rPr>
              <w:t>Foreign ex</w:t>
            </w:r>
            <w:r>
              <w:rPr>
                <w:rFonts w:ascii="Arial" w:eastAsia="宋体" w:hAnsi="Arial" w:cs="Arial"/>
                <w:color w:val="000000"/>
                <w:sz w:val="12"/>
                <w:szCs w:val="12"/>
              </w:rPr>
              <w:t>change trading services</w:t>
            </w:r>
          </w:p>
        </w:tc>
        <w:tc>
          <w:tcPr>
            <w:tcW w:w="0" w:type="auto"/>
            <w:gridSpan w:val="2"/>
            <w:shd w:val="clear" w:color="auto" w:fill="CCEEFF"/>
            <w:tcMar>
              <w:top w:w="40" w:type="dxa"/>
              <w:left w:w="20" w:type="dxa"/>
              <w:bottom w:w="40" w:type="dxa"/>
              <w:right w:w="0" w:type="dxa"/>
            </w:tcMar>
            <w:vAlign w:val="bottom"/>
          </w:tcPr>
          <w:p w14:paraId="74DE2252" w14:textId="77777777" w:rsidR="00584EC1" w:rsidRDefault="00871F8D">
            <w:pPr>
              <w:jc w:val="right"/>
              <w:textAlignment w:val="bottom"/>
            </w:pPr>
            <w:r>
              <w:rPr>
                <w:rFonts w:ascii="Arial" w:eastAsia="宋体" w:hAnsi="Arial" w:cs="Arial"/>
                <w:color w:val="000000"/>
                <w:sz w:val="12"/>
                <w:szCs w:val="12"/>
              </w:rPr>
              <w:t>285 </w:t>
            </w:r>
          </w:p>
        </w:tc>
        <w:tc>
          <w:tcPr>
            <w:tcW w:w="0" w:type="auto"/>
            <w:shd w:val="clear" w:color="auto" w:fill="CCEEFF"/>
            <w:tcMar>
              <w:top w:w="40" w:type="dxa"/>
              <w:left w:w="0" w:type="dxa"/>
              <w:bottom w:w="40" w:type="dxa"/>
              <w:right w:w="20" w:type="dxa"/>
            </w:tcMar>
            <w:vAlign w:val="bottom"/>
          </w:tcPr>
          <w:p w14:paraId="74DE225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2254"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2255" w14:textId="77777777" w:rsidR="00584EC1" w:rsidRDefault="00871F8D">
            <w:pPr>
              <w:jc w:val="right"/>
              <w:textAlignment w:val="bottom"/>
            </w:pPr>
            <w:r>
              <w:rPr>
                <w:rFonts w:ascii="Arial" w:eastAsia="宋体" w:hAnsi="Arial" w:cs="Arial"/>
                <w:color w:val="000000"/>
                <w:sz w:val="12"/>
                <w:szCs w:val="12"/>
              </w:rPr>
              <w:t>713 </w:t>
            </w:r>
          </w:p>
        </w:tc>
        <w:tc>
          <w:tcPr>
            <w:tcW w:w="0" w:type="auto"/>
            <w:shd w:val="clear" w:color="auto" w:fill="CCEEFF"/>
            <w:tcMar>
              <w:top w:w="40" w:type="dxa"/>
              <w:left w:w="0" w:type="dxa"/>
              <w:bottom w:w="40" w:type="dxa"/>
              <w:right w:w="20" w:type="dxa"/>
            </w:tcMar>
            <w:vAlign w:val="bottom"/>
          </w:tcPr>
          <w:p w14:paraId="74DE225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225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2258" w14:textId="77777777" w:rsidR="00584EC1" w:rsidRDefault="00871F8D">
            <w:pPr>
              <w:jc w:val="right"/>
              <w:textAlignment w:val="bottom"/>
            </w:pPr>
            <w:r>
              <w:rPr>
                <w:rFonts w:ascii="Arial" w:eastAsia="宋体" w:hAnsi="Arial" w:cs="Arial"/>
                <w:color w:val="000000"/>
                <w:sz w:val="12"/>
                <w:szCs w:val="12"/>
              </w:rPr>
              <w:t>998 </w:t>
            </w:r>
          </w:p>
        </w:tc>
        <w:tc>
          <w:tcPr>
            <w:tcW w:w="0" w:type="auto"/>
            <w:shd w:val="clear" w:color="auto" w:fill="CCEEFF"/>
            <w:tcMar>
              <w:top w:w="40" w:type="dxa"/>
              <w:left w:w="0" w:type="dxa"/>
              <w:bottom w:w="40" w:type="dxa"/>
              <w:right w:w="20" w:type="dxa"/>
            </w:tcMar>
            <w:vAlign w:val="bottom"/>
          </w:tcPr>
          <w:p w14:paraId="74DE225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225A"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225B" w14:textId="77777777" w:rsidR="00584EC1" w:rsidRDefault="00871F8D">
            <w:pPr>
              <w:jc w:val="right"/>
              <w:textAlignment w:val="bottom"/>
            </w:pPr>
            <w:r>
              <w:rPr>
                <w:rFonts w:ascii="Arial" w:eastAsia="宋体" w:hAnsi="Arial" w:cs="Arial"/>
                <w:color w:val="000000"/>
                <w:sz w:val="12"/>
                <w:szCs w:val="12"/>
              </w:rPr>
              <w:t>41 </w:t>
            </w:r>
          </w:p>
        </w:tc>
        <w:tc>
          <w:tcPr>
            <w:tcW w:w="0" w:type="auto"/>
            <w:shd w:val="clear" w:color="auto" w:fill="CCEEFF"/>
            <w:tcMar>
              <w:top w:w="40" w:type="dxa"/>
              <w:left w:w="0" w:type="dxa"/>
              <w:bottom w:w="40" w:type="dxa"/>
              <w:right w:w="20" w:type="dxa"/>
            </w:tcMar>
            <w:vAlign w:val="bottom"/>
          </w:tcPr>
          <w:p w14:paraId="74DE225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225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225E" w14:textId="77777777" w:rsidR="00584EC1" w:rsidRDefault="00871F8D">
            <w:pPr>
              <w:jc w:val="right"/>
              <w:textAlignment w:val="bottom"/>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225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226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2261" w14:textId="77777777" w:rsidR="00584EC1" w:rsidRDefault="00871F8D">
            <w:pPr>
              <w:jc w:val="right"/>
              <w:textAlignment w:val="bottom"/>
            </w:pPr>
            <w:r>
              <w:rPr>
                <w:rFonts w:ascii="Arial" w:eastAsia="宋体" w:hAnsi="Arial" w:cs="Arial"/>
                <w:color w:val="000000"/>
                <w:sz w:val="12"/>
                <w:szCs w:val="12"/>
              </w:rPr>
              <w:t>41 </w:t>
            </w:r>
          </w:p>
        </w:tc>
        <w:tc>
          <w:tcPr>
            <w:tcW w:w="0" w:type="auto"/>
            <w:shd w:val="clear" w:color="auto" w:fill="CCEEFF"/>
            <w:tcMar>
              <w:top w:w="40" w:type="dxa"/>
              <w:left w:w="0" w:type="dxa"/>
              <w:bottom w:w="40" w:type="dxa"/>
              <w:right w:w="20" w:type="dxa"/>
            </w:tcMar>
            <w:vAlign w:val="bottom"/>
          </w:tcPr>
          <w:p w14:paraId="74DE226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2263" w14:textId="77777777" w:rsidR="00584EC1" w:rsidRDefault="00584EC1">
            <w:pPr>
              <w:rPr>
                <w:rFonts w:ascii="宋体"/>
              </w:rPr>
            </w:pPr>
          </w:p>
        </w:tc>
        <w:tc>
          <w:tcPr>
            <w:tcW w:w="0" w:type="auto"/>
            <w:gridSpan w:val="3"/>
            <w:shd w:val="clear" w:color="auto" w:fill="auto"/>
            <w:vAlign w:val="bottom"/>
          </w:tcPr>
          <w:p w14:paraId="74DE2264" w14:textId="77777777" w:rsidR="00584EC1" w:rsidRDefault="00584EC1">
            <w:pPr>
              <w:rPr>
                <w:rFonts w:ascii="宋体"/>
                <w:vanish/>
              </w:rPr>
            </w:pPr>
          </w:p>
        </w:tc>
        <w:tc>
          <w:tcPr>
            <w:tcW w:w="0" w:type="auto"/>
            <w:gridSpan w:val="3"/>
            <w:shd w:val="clear" w:color="auto" w:fill="auto"/>
            <w:vAlign w:val="bottom"/>
          </w:tcPr>
          <w:p w14:paraId="74DE2265" w14:textId="77777777" w:rsidR="00584EC1" w:rsidRDefault="00584EC1">
            <w:pPr>
              <w:rPr>
                <w:rFonts w:ascii="宋体"/>
                <w:vanish/>
              </w:rPr>
            </w:pPr>
          </w:p>
        </w:tc>
        <w:tc>
          <w:tcPr>
            <w:tcW w:w="0" w:type="auto"/>
            <w:gridSpan w:val="3"/>
            <w:shd w:val="clear" w:color="auto" w:fill="auto"/>
            <w:vAlign w:val="bottom"/>
          </w:tcPr>
          <w:p w14:paraId="74DE2266" w14:textId="77777777" w:rsidR="00584EC1" w:rsidRDefault="00584EC1">
            <w:pPr>
              <w:rPr>
                <w:rFonts w:ascii="宋体"/>
                <w:vanish/>
              </w:rPr>
            </w:pPr>
          </w:p>
        </w:tc>
        <w:tc>
          <w:tcPr>
            <w:tcW w:w="0" w:type="auto"/>
            <w:gridSpan w:val="3"/>
            <w:shd w:val="clear" w:color="auto" w:fill="auto"/>
            <w:vAlign w:val="bottom"/>
          </w:tcPr>
          <w:p w14:paraId="74DE2267" w14:textId="77777777" w:rsidR="00584EC1" w:rsidRDefault="00584EC1">
            <w:pPr>
              <w:rPr>
                <w:rFonts w:ascii="宋体"/>
                <w:vanish/>
              </w:rPr>
            </w:pPr>
          </w:p>
        </w:tc>
        <w:tc>
          <w:tcPr>
            <w:tcW w:w="0" w:type="auto"/>
            <w:gridSpan w:val="3"/>
            <w:shd w:val="clear" w:color="auto" w:fill="auto"/>
            <w:vAlign w:val="bottom"/>
          </w:tcPr>
          <w:p w14:paraId="74DE2268" w14:textId="77777777" w:rsidR="00584EC1" w:rsidRDefault="00584EC1">
            <w:pPr>
              <w:rPr>
                <w:rFonts w:ascii="宋体"/>
                <w:vanish/>
              </w:rPr>
            </w:pPr>
          </w:p>
        </w:tc>
        <w:tc>
          <w:tcPr>
            <w:tcW w:w="0" w:type="auto"/>
            <w:gridSpan w:val="3"/>
            <w:shd w:val="clear" w:color="auto" w:fill="auto"/>
            <w:vAlign w:val="bottom"/>
          </w:tcPr>
          <w:p w14:paraId="74DE2269" w14:textId="77777777" w:rsidR="00584EC1" w:rsidRDefault="00584EC1">
            <w:pPr>
              <w:rPr>
                <w:rFonts w:ascii="宋体"/>
                <w:vanish/>
              </w:rPr>
            </w:pPr>
          </w:p>
        </w:tc>
        <w:tc>
          <w:tcPr>
            <w:tcW w:w="0" w:type="auto"/>
            <w:gridSpan w:val="2"/>
            <w:shd w:val="clear" w:color="auto" w:fill="CCEEFF"/>
            <w:tcMar>
              <w:top w:w="40" w:type="dxa"/>
              <w:left w:w="20" w:type="dxa"/>
              <w:bottom w:w="40" w:type="dxa"/>
              <w:right w:w="0" w:type="dxa"/>
            </w:tcMar>
            <w:vAlign w:val="bottom"/>
          </w:tcPr>
          <w:p w14:paraId="74DE226A" w14:textId="77777777" w:rsidR="00584EC1" w:rsidRDefault="00871F8D">
            <w:pPr>
              <w:jc w:val="right"/>
              <w:textAlignment w:val="bottom"/>
            </w:pPr>
            <w:r>
              <w:rPr>
                <w:rFonts w:ascii="Arial" w:eastAsia="宋体" w:hAnsi="Arial" w:cs="Arial"/>
                <w:color w:val="000000"/>
                <w:sz w:val="12"/>
                <w:szCs w:val="12"/>
              </w:rPr>
              <w:t>1,039 </w:t>
            </w:r>
          </w:p>
        </w:tc>
        <w:tc>
          <w:tcPr>
            <w:tcW w:w="0" w:type="auto"/>
            <w:shd w:val="clear" w:color="auto" w:fill="CCEEFF"/>
            <w:tcMar>
              <w:top w:w="40" w:type="dxa"/>
              <w:left w:w="0" w:type="dxa"/>
              <w:bottom w:w="40" w:type="dxa"/>
              <w:right w:w="20" w:type="dxa"/>
            </w:tcMar>
            <w:vAlign w:val="bottom"/>
          </w:tcPr>
          <w:p w14:paraId="74DE226B" w14:textId="77777777" w:rsidR="00584EC1" w:rsidRDefault="00584EC1">
            <w:pPr>
              <w:jc w:val="right"/>
              <w:rPr>
                <w:rFonts w:ascii="宋体"/>
              </w:rPr>
            </w:pPr>
          </w:p>
        </w:tc>
      </w:tr>
      <w:tr w:rsidR="00584EC1" w14:paraId="74DE2288" w14:textId="77777777">
        <w:tc>
          <w:tcPr>
            <w:tcW w:w="0" w:type="auto"/>
            <w:gridSpan w:val="3"/>
            <w:shd w:val="clear" w:color="auto" w:fill="FFFFFF"/>
            <w:tcMar>
              <w:top w:w="40" w:type="dxa"/>
              <w:left w:w="155" w:type="dxa"/>
              <w:bottom w:w="40" w:type="dxa"/>
              <w:right w:w="20" w:type="dxa"/>
            </w:tcMar>
            <w:vAlign w:val="bottom"/>
          </w:tcPr>
          <w:p w14:paraId="74DE226D" w14:textId="77777777" w:rsidR="00584EC1" w:rsidRDefault="00871F8D">
            <w:pPr>
              <w:textAlignment w:val="bottom"/>
            </w:pPr>
            <w:r>
              <w:rPr>
                <w:rFonts w:ascii="Arial" w:eastAsia="宋体" w:hAnsi="Arial" w:cs="Arial"/>
                <w:color w:val="000000"/>
                <w:sz w:val="12"/>
                <w:szCs w:val="12"/>
              </w:rPr>
              <w:t>Securities finance</w:t>
            </w:r>
          </w:p>
        </w:tc>
        <w:tc>
          <w:tcPr>
            <w:tcW w:w="0" w:type="auto"/>
            <w:gridSpan w:val="2"/>
            <w:shd w:val="clear" w:color="auto" w:fill="FFFFFF"/>
            <w:tcMar>
              <w:top w:w="40" w:type="dxa"/>
              <w:left w:w="20" w:type="dxa"/>
              <w:bottom w:w="40" w:type="dxa"/>
              <w:right w:w="0" w:type="dxa"/>
            </w:tcMar>
            <w:vAlign w:val="bottom"/>
          </w:tcPr>
          <w:p w14:paraId="74DE226E" w14:textId="77777777" w:rsidR="00584EC1" w:rsidRDefault="00871F8D">
            <w:pPr>
              <w:jc w:val="right"/>
              <w:textAlignment w:val="bottom"/>
            </w:pPr>
            <w:r>
              <w:rPr>
                <w:rFonts w:ascii="Arial" w:eastAsia="宋体" w:hAnsi="Arial" w:cs="Arial"/>
                <w:color w:val="000000"/>
                <w:sz w:val="12"/>
                <w:szCs w:val="12"/>
              </w:rPr>
              <w:t>162 </w:t>
            </w:r>
          </w:p>
        </w:tc>
        <w:tc>
          <w:tcPr>
            <w:tcW w:w="0" w:type="auto"/>
            <w:shd w:val="clear" w:color="auto" w:fill="FFFFFF"/>
            <w:tcMar>
              <w:top w:w="40" w:type="dxa"/>
              <w:left w:w="0" w:type="dxa"/>
              <w:bottom w:w="40" w:type="dxa"/>
              <w:right w:w="20" w:type="dxa"/>
            </w:tcMar>
            <w:vAlign w:val="bottom"/>
          </w:tcPr>
          <w:p w14:paraId="74DE226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227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2271" w14:textId="77777777" w:rsidR="00584EC1" w:rsidRDefault="00871F8D">
            <w:pPr>
              <w:jc w:val="right"/>
              <w:textAlignment w:val="bottom"/>
            </w:pPr>
            <w:r>
              <w:rPr>
                <w:rFonts w:ascii="Arial" w:eastAsia="宋体" w:hAnsi="Arial" w:cs="Arial"/>
                <w:color w:val="000000"/>
                <w:sz w:val="12"/>
                <w:szCs w:val="12"/>
              </w:rPr>
              <w:t>96 </w:t>
            </w:r>
          </w:p>
        </w:tc>
        <w:tc>
          <w:tcPr>
            <w:tcW w:w="0" w:type="auto"/>
            <w:shd w:val="clear" w:color="auto" w:fill="FFFFFF"/>
            <w:tcMar>
              <w:top w:w="40" w:type="dxa"/>
              <w:left w:w="0" w:type="dxa"/>
              <w:bottom w:w="40" w:type="dxa"/>
              <w:right w:w="20" w:type="dxa"/>
            </w:tcMar>
            <w:vAlign w:val="bottom"/>
          </w:tcPr>
          <w:p w14:paraId="74DE227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227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2274" w14:textId="77777777" w:rsidR="00584EC1" w:rsidRDefault="00871F8D">
            <w:pPr>
              <w:jc w:val="right"/>
              <w:textAlignment w:val="bottom"/>
            </w:pPr>
            <w:r>
              <w:rPr>
                <w:rFonts w:ascii="Arial" w:eastAsia="宋体" w:hAnsi="Arial" w:cs="Arial"/>
                <w:color w:val="000000"/>
                <w:sz w:val="12"/>
                <w:szCs w:val="12"/>
              </w:rPr>
              <w:t>258 </w:t>
            </w:r>
          </w:p>
        </w:tc>
        <w:tc>
          <w:tcPr>
            <w:tcW w:w="0" w:type="auto"/>
            <w:shd w:val="clear" w:color="auto" w:fill="FFFFFF"/>
            <w:tcMar>
              <w:top w:w="40" w:type="dxa"/>
              <w:left w:w="0" w:type="dxa"/>
              <w:bottom w:w="40" w:type="dxa"/>
              <w:right w:w="20" w:type="dxa"/>
            </w:tcMar>
            <w:vAlign w:val="bottom"/>
          </w:tcPr>
          <w:p w14:paraId="74DE227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227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2277" w14:textId="77777777" w:rsidR="00584EC1" w:rsidRDefault="00871F8D">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227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227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227A" w14:textId="77777777" w:rsidR="00584EC1" w:rsidRDefault="00871F8D">
            <w:pPr>
              <w:jc w:val="right"/>
              <w:textAlignment w:val="bottom"/>
            </w:pPr>
            <w:r>
              <w:rPr>
                <w:rFonts w:ascii="Arial" w:eastAsia="宋体" w:hAnsi="Arial" w:cs="Arial"/>
                <w:color w:val="000000"/>
                <w:sz w:val="12"/>
                <w:szCs w:val="12"/>
              </w:rPr>
              <w:t>10 </w:t>
            </w:r>
          </w:p>
        </w:tc>
        <w:tc>
          <w:tcPr>
            <w:tcW w:w="0" w:type="auto"/>
            <w:shd w:val="clear" w:color="auto" w:fill="FFFFFF"/>
            <w:tcMar>
              <w:top w:w="40" w:type="dxa"/>
              <w:left w:w="0" w:type="dxa"/>
              <w:bottom w:w="40" w:type="dxa"/>
              <w:right w:w="20" w:type="dxa"/>
            </w:tcMar>
            <w:vAlign w:val="bottom"/>
          </w:tcPr>
          <w:p w14:paraId="74DE227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227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227D" w14:textId="77777777" w:rsidR="00584EC1" w:rsidRDefault="00871F8D">
            <w:pPr>
              <w:jc w:val="right"/>
              <w:textAlignment w:val="bottom"/>
            </w:pPr>
            <w:r>
              <w:rPr>
                <w:rFonts w:ascii="Arial" w:eastAsia="宋体" w:hAnsi="Arial" w:cs="Arial"/>
                <w:color w:val="000000"/>
                <w:sz w:val="12"/>
                <w:szCs w:val="12"/>
              </w:rPr>
              <w:t>10 </w:t>
            </w:r>
          </w:p>
        </w:tc>
        <w:tc>
          <w:tcPr>
            <w:tcW w:w="0" w:type="auto"/>
            <w:shd w:val="clear" w:color="auto" w:fill="FFFFFF"/>
            <w:tcMar>
              <w:top w:w="40" w:type="dxa"/>
              <w:left w:w="0" w:type="dxa"/>
              <w:bottom w:w="40" w:type="dxa"/>
              <w:right w:w="20" w:type="dxa"/>
            </w:tcMar>
            <w:vAlign w:val="bottom"/>
          </w:tcPr>
          <w:p w14:paraId="74DE227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227F" w14:textId="77777777" w:rsidR="00584EC1" w:rsidRDefault="00584EC1">
            <w:pPr>
              <w:rPr>
                <w:rFonts w:ascii="宋体"/>
              </w:rPr>
            </w:pPr>
          </w:p>
        </w:tc>
        <w:tc>
          <w:tcPr>
            <w:tcW w:w="0" w:type="auto"/>
            <w:gridSpan w:val="3"/>
            <w:shd w:val="clear" w:color="auto" w:fill="auto"/>
            <w:vAlign w:val="bottom"/>
          </w:tcPr>
          <w:p w14:paraId="74DE2280" w14:textId="77777777" w:rsidR="00584EC1" w:rsidRDefault="00584EC1">
            <w:pPr>
              <w:rPr>
                <w:rFonts w:ascii="宋体"/>
                <w:vanish/>
              </w:rPr>
            </w:pPr>
          </w:p>
        </w:tc>
        <w:tc>
          <w:tcPr>
            <w:tcW w:w="0" w:type="auto"/>
            <w:gridSpan w:val="3"/>
            <w:shd w:val="clear" w:color="auto" w:fill="auto"/>
            <w:vAlign w:val="bottom"/>
          </w:tcPr>
          <w:p w14:paraId="74DE2281" w14:textId="77777777" w:rsidR="00584EC1" w:rsidRDefault="00584EC1">
            <w:pPr>
              <w:rPr>
                <w:rFonts w:ascii="宋体"/>
                <w:vanish/>
              </w:rPr>
            </w:pPr>
          </w:p>
        </w:tc>
        <w:tc>
          <w:tcPr>
            <w:tcW w:w="0" w:type="auto"/>
            <w:gridSpan w:val="3"/>
            <w:shd w:val="clear" w:color="auto" w:fill="auto"/>
            <w:vAlign w:val="bottom"/>
          </w:tcPr>
          <w:p w14:paraId="74DE2282" w14:textId="77777777" w:rsidR="00584EC1" w:rsidRDefault="00584EC1">
            <w:pPr>
              <w:rPr>
                <w:rFonts w:ascii="宋体"/>
                <w:vanish/>
              </w:rPr>
            </w:pPr>
          </w:p>
        </w:tc>
        <w:tc>
          <w:tcPr>
            <w:tcW w:w="0" w:type="auto"/>
            <w:gridSpan w:val="3"/>
            <w:shd w:val="clear" w:color="auto" w:fill="auto"/>
            <w:vAlign w:val="bottom"/>
          </w:tcPr>
          <w:p w14:paraId="74DE2283" w14:textId="77777777" w:rsidR="00584EC1" w:rsidRDefault="00584EC1">
            <w:pPr>
              <w:rPr>
                <w:rFonts w:ascii="宋体"/>
                <w:vanish/>
              </w:rPr>
            </w:pPr>
          </w:p>
        </w:tc>
        <w:tc>
          <w:tcPr>
            <w:tcW w:w="0" w:type="auto"/>
            <w:gridSpan w:val="3"/>
            <w:shd w:val="clear" w:color="auto" w:fill="auto"/>
            <w:vAlign w:val="bottom"/>
          </w:tcPr>
          <w:p w14:paraId="74DE2284" w14:textId="77777777" w:rsidR="00584EC1" w:rsidRDefault="00584EC1">
            <w:pPr>
              <w:rPr>
                <w:rFonts w:ascii="宋体"/>
                <w:vanish/>
              </w:rPr>
            </w:pPr>
          </w:p>
        </w:tc>
        <w:tc>
          <w:tcPr>
            <w:tcW w:w="0" w:type="auto"/>
            <w:gridSpan w:val="3"/>
            <w:shd w:val="clear" w:color="auto" w:fill="auto"/>
            <w:vAlign w:val="bottom"/>
          </w:tcPr>
          <w:p w14:paraId="74DE2285"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E2286" w14:textId="77777777" w:rsidR="00584EC1" w:rsidRDefault="00871F8D">
            <w:pPr>
              <w:jc w:val="right"/>
              <w:textAlignment w:val="bottom"/>
            </w:pPr>
            <w:r>
              <w:rPr>
                <w:rFonts w:ascii="Arial" w:eastAsia="宋体" w:hAnsi="Arial" w:cs="Arial"/>
                <w:color w:val="000000"/>
                <w:sz w:val="12"/>
                <w:szCs w:val="12"/>
              </w:rPr>
              <w:t>268 </w:t>
            </w:r>
          </w:p>
        </w:tc>
        <w:tc>
          <w:tcPr>
            <w:tcW w:w="0" w:type="auto"/>
            <w:shd w:val="clear" w:color="auto" w:fill="FFFFFF"/>
            <w:tcMar>
              <w:top w:w="40" w:type="dxa"/>
              <w:left w:w="0" w:type="dxa"/>
              <w:bottom w:w="40" w:type="dxa"/>
              <w:right w:w="20" w:type="dxa"/>
            </w:tcMar>
            <w:vAlign w:val="bottom"/>
          </w:tcPr>
          <w:p w14:paraId="74DE2287" w14:textId="77777777" w:rsidR="00584EC1" w:rsidRDefault="00584EC1">
            <w:pPr>
              <w:jc w:val="right"/>
              <w:rPr>
                <w:rFonts w:ascii="宋体"/>
              </w:rPr>
            </w:pPr>
          </w:p>
        </w:tc>
      </w:tr>
      <w:tr w:rsidR="00584EC1" w14:paraId="74DE22A4" w14:textId="77777777">
        <w:tc>
          <w:tcPr>
            <w:tcW w:w="0" w:type="auto"/>
            <w:gridSpan w:val="3"/>
            <w:shd w:val="clear" w:color="auto" w:fill="CCEEFF"/>
            <w:tcMar>
              <w:top w:w="40" w:type="dxa"/>
              <w:left w:w="155" w:type="dxa"/>
              <w:bottom w:w="40" w:type="dxa"/>
              <w:right w:w="20" w:type="dxa"/>
            </w:tcMar>
            <w:vAlign w:val="bottom"/>
          </w:tcPr>
          <w:p w14:paraId="74DE2289" w14:textId="77777777" w:rsidR="00584EC1" w:rsidRDefault="00871F8D">
            <w:pPr>
              <w:textAlignment w:val="bottom"/>
            </w:pPr>
            <w:r>
              <w:rPr>
                <w:rFonts w:ascii="Arial" w:eastAsia="宋体" w:hAnsi="Arial" w:cs="Arial"/>
                <w:color w:val="000000"/>
                <w:sz w:val="12"/>
                <w:szCs w:val="12"/>
              </w:rPr>
              <w:t>Software a</w:t>
            </w:r>
            <w:r>
              <w:rPr>
                <w:rFonts w:ascii="Arial" w:eastAsia="宋体" w:hAnsi="Arial" w:cs="Arial"/>
                <w:color w:val="000000"/>
                <w:sz w:val="12"/>
                <w:szCs w:val="12"/>
              </w:rPr>
              <w:t>nd processing fees</w:t>
            </w:r>
          </w:p>
        </w:tc>
        <w:tc>
          <w:tcPr>
            <w:tcW w:w="0" w:type="auto"/>
            <w:gridSpan w:val="2"/>
            <w:shd w:val="clear" w:color="auto" w:fill="CCEEFF"/>
            <w:tcMar>
              <w:top w:w="40" w:type="dxa"/>
              <w:left w:w="20" w:type="dxa"/>
              <w:bottom w:w="40" w:type="dxa"/>
              <w:right w:w="0" w:type="dxa"/>
            </w:tcMar>
            <w:vAlign w:val="bottom"/>
          </w:tcPr>
          <w:p w14:paraId="74DE228A" w14:textId="77777777" w:rsidR="00584EC1" w:rsidRDefault="00871F8D">
            <w:pPr>
              <w:jc w:val="right"/>
              <w:textAlignment w:val="bottom"/>
            </w:pPr>
            <w:r>
              <w:rPr>
                <w:rFonts w:ascii="Arial" w:eastAsia="宋体" w:hAnsi="Arial" w:cs="Arial"/>
                <w:color w:val="000000"/>
                <w:sz w:val="12"/>
                <w:szCs w:val="12"/>
              </w:rPr>
              <w:t>366 </w:t>
            </w:r>
          </w:p>
        </w:tc>
        <w:tc>
          <w:tcPr>
            <w:tcW w:w="0" w:type="auto"/>
            <w:shd w:val="clear" w:color="auto" w:fill="CCEEFF"/>
            <w:tcMar>
              <w:top w:w="40" w:type="dxa"/>
              <w:left w:w="0" w:type="dxa"/>
              <w:bottom w:w="40" w:type="dxa"/>
              <w:right w:w="20" w:type="dxa"/>
            </w:tcMar>
            <w:vAlign w:val="bottom"/>
          </w:tcPr>
          <w:p w14:paraId="74DE228B"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228C"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228D" w14:textId="77777777" w:rsidR="00584EC1" w:rsidRDefault="00871F8D">
            <w:pPr>
              <w:jc w:val="right"/>
              <w:textAlignment w:val="bottom"/>
            </w:pPr>
            <w:r>
              <w:rPr>
                <w:rFonts w:ascii="Arial" w:eastAsia="宋体" w:hAnsi="Arial" w:cs="Arial"/>
                <w:color w:val="000000"/>
                <w:sz w:val="12"/>
                <w:szCs w:val="12"/>
              </w:rPr>
              <w:t>162 </w:t>
            </w:r>
          </w:p>
        </w:tc>
        <w:tc>
          <w:tcPr>
            <w:tcW w:w="0" w:type="auto"/>
            <w:shd w:val="clear" w:color="auto" w:fill="CCEEFF"/>
            <w:tcMar>
              <w:top w:w="40" w:type="dxa"/>
              <w:left w:w="0" w:type="dxa"/>
              <w:bottom w:w="40" w:type="dxa"/>
              <w:right w:w="20" w:type="dxa"/>
            </w:tcMar>
            <w:vAlign w:val="bottom"/>
          </w:tcPr>
          <w:p w14:paraId="74DE228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228F"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2290" w14:textId="77777777" w:rsidR="00584EC1" w:rsidRDefault="00871F8D">
            <w:pPr>
              <w:jc w:val="right"/>
              <w:textAlignment w:val="bottom"/>
            </w:pPr>
            <w:r>
              <w:rPr>
                <w:rFonts w:ascii="Arial" w:eastAsia="宋体" w:hAnsi="Arial" w:cs="Arial"/>
                <w:color w:val="000000"/>
                <w:sz w:val="12"/>
                <w:szCs w:val="12"/>
              </w:rPr>
              <w:t>528 </w:t>
            </w:r>
          </w:p>
        </w:tc>
        <w:tc>
          <w:tcPr>
            <w:tcW w:w="0" w:type="auto"/>
            <w:shd w:val="clear" w:color="auto" w:fill="CCEEFF"/>
            <w:tcMar>
              <w:top w:w="40" w:type="dxa"/>
              <w:left w:w="0" w:type="dxa"/>
              <w:bottom w:w="40" w:type="dxa"/>
              <w:right w:w="20" w:type="dxa"/>
            </w:tcMar>
            <w:vAlign w:val="bottom"/>
          </w:tcPr>
          <w:p w14:paraId="74DE2291"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2292"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2293" w14:textId="77777777" w:rsidR="00584EC1" w:rsidRDefault="00871F8D">
            <w:pPr>
              <w:jc w:val="right"/>
              <w:textAlignment w:val="bottom"/>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229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2295"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2296" w14:textId="77777777" w:rsidR="00584EC1" w:rsidRDefault="00871F8D">
            <w:pPr>
              <w:jc w:val="right"/>
              <w:textAlignment w:val="bottom"/>
            </w:pPr>
            <w:r>
              <w:rPr>
                <w:rFonts w:ascii="Arial" w:eastAsia="宋体" w:hAnsi="Arial" w:cs="Arial"/>
                <w:color w:val="000000"/>
                <w:sz w:val="12"/>
                <w:szCs w:val="12"/>
              </w:rPr>
              <w:t>1 </w:t>
            </w:r>
          </w:p>
        </w:tc>
        <w:tc>
          <w:tcPr>
            <w:tcW w:w="0" w:type="auto"/>
            <w:shd w:val="clear" w:color="auto" w:fill="CCEEFF"/>
            <w:tcMar>
              <w:top w:w="40" w:type="dxa"/>
              <w:left w:w="0" w:type="dxa"/>
              <w:bottom w:w="40" w:type="dxa"/>
              <w:right w:w="20" w:type="dxa"/>
            </w:tcMar>
            <w:vAlign w:val="bottom"/>
          </w:tcPr>
          <w:p w14:paraId="74DE2297"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2298"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2299" w14:textId="77777777" w:rsidR="00584EC1" w:rsidRDefault="00871F8D">
            <w:pPr>
              <w:jc w:val="right"/>
              <w:textAlignment w:val="bottom"/>
            </w:pPr>
            <w:r>
              <w:rPr>
                <w:rFonts w:ascii="Arial" w:eastAsia="宋体" w:hAnsi="Arial" w:cs="Arial"/>
                <w:color w:val="000000"/>
                <w:sz w:val="12"/>
                <w:szCs w:val="12"/>
              </w:rPr>
              <w:t>1 </w:t>
            </w:r>
          </w:p>
        </w:tc>
        <w:tc>
          <w:tcPr>
            <w:tcW w:w="0" w:type="auto"/>
            <w:shd w:val="clear" w:color="auto" w:fill="CCEEFF"/>
            <w:tcMar>
              <w:top w:w="40" w:type="dxa"/>
              <w:left w:w="0" w:type="dxa"/>
              <w:bottom w:w="40" w:type="dxa"/>
              <w:right w:w="20" w:type="dxa"/>
            </w:tcMar>
            <w:vAlign w:val="bottom"/>
          </w:tcPr>
          <w:p w14:paraId="74DE229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229B" w14:textId="77777777" w:rsidR="00584EC1" w:rsidRDefault="00584EC1">
            <w:pPr>
              <w:rPr>
                <w:rFonts w:ascii="宋体"/>
              </w:rPr>
            </w:pPr>
          </w:p>
        </w:tc>
        <w:tc>
          <w:tcPr>
            <w:tcW w:w="0" w:type="auto"/>
            <w:gridSpan w:val="3"/>
            <w:shd w:val="clear" w:color="auto" w:fill="auto"/>
            <w:vAlign w:val="bottom"/>
          </w:tcPr>
          <w:p w14:paraId="74DE229C" w14:textId="77777777" w:rsidR="00584EC1" w:rsidRDefault="00584EC1">
            <w:pPr>
              <w:rPr>
                <w:rFonts w:ascii="宋体"/>
                <w:vanish/>
              </w:rPr>
            </w:pPr>
          </w:p>
        </w:tc>
        <w:tc>
          <w:tcPr>
            <w:tcW w:w="0" w:type="auto"/>
            <w:gridSpan w:val="3"/>
            <w:shd w:val="clear" w:color="auto" w:fill="auto"/>
            <w:vAlign w:val="bottom"/>
          </w:tcPr>
          <w:p w14:paraId="74DE229D" w14:textId="77777777" w:rsidR="00584EC1" w:rsidRDefault="00584EC1">
            <w:pPr>
              <w:rPr>
                <w:rFonts w:ascii="宋体"/>
                <w:vanish/>
              </w:rPr>
            </w:pPr>
          </w:p>
        </w:tc>
        <w:tc>
          <w:tcPr>
            <w:tcW w:w="0" w:type="auto"/>
            <w:gridSpan w:val="3"/>
            <w:shd w:val="clear" w:color="auto" w:fill="auto"/>
            <w:vAlign w:val="bottom"/>
          </w:tcPr>
          <w:p w14:paraId="74DE229E" w14:textId="77777777" w:rsidR="00584EC1" w:rsidRDefault="00584EC1">
            <w:pPr>
              <w:rPr>
                <w:rFonts w:ascii="宋体"/>
                <w:vanish/>
              </w:rPr>
            </w:pPr>
          </w:p>
        </w:tc>
        <w:tc>
          <w:tcPr>
            <w:tcW w:w="0" w:type="auto"/>
            <w:gridSpan w:val="3"/>
            <w:shd w:val="clear" w:color="auto" w:fill="auto"/>
            <w:vAlign w:val="bottom"/>
          </w:tcPr>
          <w:p w14:paraId="74DE229F" w14:textId="77777777" w:rsidR="00584EC1" w:rsidRDefault="00584EC1">
            <w:pPr>
              <w:rPr>
                <w:rFonts w:ascii="宋体"/>
                <w:vanish/>
              </w:rPr>
            </w:pPr>
          </w:p>
        </w:tc>
        <w:tc>
          <w:tcPr>
            <w:tcW w:w="0" w:type="auto"/>
            <w:gridSpan w:val="3"/>
            <w:shd w:val="clear" w:color="auto" w:fill="auto"/>
            <w:vAlign w:val="bottom"/>
          </w:tcPr>
          <w:p w14:paraId="74DE22A0" w14:textId="77777777" w:rsidR="00584EC1" w:rsidRDefault="00584EC1">
            <w:pPr>
              <w:rPr>
                <w:rFonts w:ascii="宋体"/>
                <w:vanish/>
              </w:rPr>
            </w:pPr>
          </w:p>
        </w:tc>
        <w:tc>
          <w:tcPr>
            <w:tcW w:w="0" w:type="auto"/>
            <w:gridSpan w:val="3"/>
            <w:shd w:val="clear" w:color="auto" w:fill="auto"/>
            <w:vAlign w:val="bottom"/>
          </w:tcPr>
          <w:p w14:paraId="74DE22A1" w14:textId="77777777" w:rsidR="00584EC1" w:rsidRDefault="00584EC1">
            <w:pPr>
              <w:rPr>
                <w:rFonts w:ascii="宋体"/>
                <w:vanish/>
              </w:rPr>
            </w:pPr>
          </w:p>
        </w:tc>
        <w:tc>
          <w:tcPr>
            <w:tcW w:w="0" w:type="auto"/>
            <w:gridSpan w:val="2"/>
            <w:shd w:val="clear" w:color="auto" w:fill="CCEEFF"/>
            <w:tcMar>
              <w:top w:w="40" w:type="dxa"/>
              <w:left w:w="20" w:type="dxa"/>
              <w:bottom w:w="40" w:type="dxa"/>
              <w:right w:w="0" w:type="dxa"/>
            </w:tcMar>
            <w:vAlign w:val="bottom"/>
          </w:tcPr>
          <w:p w14:paraId="74DE22A2" w14:textId="77777777" w:rsidR="00584EC1" w:rsidRDefault="00871F8D">
            <w:pPr>
              <w:jc w:val="right"/>
              <w:textAlignment w:val="bottom"/>
            </w:pPr>
            <w:r>
              <w:rPr>
                <w:rFonts w:ascii="Arial" w:eastAsia="宋体" w:hAnsi="Arial" w:cs="Arial"/>
                <w:color w:val="000000"/>
                <w:sz w:val="12"/>
                <w:szCs w:val="12"/>
              </w:rPr>
              <w:t>529 </w:t>
            </w:r>
          </w:p>
        </w:tc>
        <w:tc>
          <w:tcPr>
            <w:tcW w:w="0" w:type="auto"/>
            <w:shd w:val="clear" w:color="auto" w:fill="CCEEFF"/>
            <w:tcMar>
              <w:top w:w="40" w:type="dxa"/>
              <w:left w:w="0" w:type="dxa"/>
              <w:bottom w:w="40" w:type="dxa"/>
              <w:right w:w="20" w:type="dxa"/>
            </w:tcMar>
            <w:vAlign w:val="bottom"/>
          </w:tcPr>
          <w:p w14:paraId="74DE22A3" w14:textId="77777777" w:rsidR="00584EC1" w:rsidRDefault="00584EC1">
            <w:pPr>
              <w:jc w:val="right"/>
              <w:rPr>
                <w:rFonts w:ascii="宋体"/>
              </w:rPr>
            </w:pPr>
          </w:p>
        </w:tc>
      </w:tr>
      <w:tr w:rsidR="00584EC1" w14:paraId="74DE22C0" w14:textId="77777777">
        <w:tc>
          <w:tcPr>
            <w:tcW w:w="0" w:type="auto"/>
            <w:gridSpan w:val="3"/>
            <w:shd w:val="clear" w:color="auto" w:fill="FFFFFF"/>
            <w:tcMar>
              <w:top w:w="40" w:type="dxa"/>
              <w:left w:w="20" w:type="dxa"/>
              <w:bottom w:w="40" w:type="dxa"/>
              <w:right w:w="20" w:type="dxa"/>
            </w:tcMar>
            <w:vAlign w:val="bottom"/>
          </w:tcPr>
          <w:p w14:paraId="74DE22A5" w14:textId="77777777" w:rsidR="00584EC1" w:rsidRDefault="00871F8D">
            <w:pPr>
              <w:textAlignment w:val="bottom"/>
            </w:pPr>
            <w:r>
              <w:rPr>
                <w:rFonts w:ascii="Arial" w:eastAsia="宋体" w:hAnsi="Arial" w:cs="Arial"/>
                <w:b/>
                <w:bCs/>
                <w:color w:val="000000"/>
                <w:sz w:val="12"/>
                <w:szCs w:val="12"/>
              </w:rPr>
              <w:t xml:space="preserve">Total fee </w:t>
            </w:r>
            <w:r>
              <w:rPr>
                <w:rFonts w:ascii="Arial" w:eastAsia="宋体" w:hAnsi="Arial" w:cs="Arial"/>
                <w:b/>
                <w:bCs/>
                <w:color w:val="000000"/>
                <w:sz w:val="12"/>
                <w:szCs w:val="12"/>
              </w:rPr>
              <w:t>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22A6" w14:textId="77777777" w:rsidR="00584EC1" w:rsidRDefault="00871F8D">
            <w:pPr>
              <w:jc w:val="right"/>
              <w:textAlignment w:val="bottom"/>
            </w:pPr>
            <w:r>
              <w:rPr>
                <w:rFonts w:ascii="Arial" w:eastAsia="宋体" w:hAnsi="Arial" w:cs="Arial"/>
                <w:color w:val="000000"/>
                <w:sz w:val="12"/>
                <w:szCs w:val="12"/>
              </w:rPr>
              <w:t>4,673 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22A7"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22A8"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22A9" w14:textId="77777777" w:rsidR="00584EC1" w:rsidRDefault="00871F8D">
            <w:pPr>
              <w:jc w:val="right"/>
              <w:textAlignment w:val="bottom"/>
            </w:pPr>
            <w:r>
              <w:rPr>
                <w:rFonts w:ascii="Arial" w:eastAsia="宋体" w:hAnsi="Arial" w:cs="Arial"/>
                <w:color w:val="000000"/>
                <w:sz w:val="12"/>
                <w:szCs w:val="12"/>
              </w:rPr>
              <w:t>971 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22AA"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22AB"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22AC" w14:textId="77777777" w:rsidR="00584EC1" w:rsidRDefault="00871F8D">
            <w:pPr>
              <w:jc w:val="right"/>
              <w:textAlignment w:val="bottom"/>
            </w:pPr>
            <w:r>
              <w:rPr>
                <w:rFonts w:ascii="Arial" w:eastAsia="宋体" w:hAnsi="Arial" w:cs="Arial"/>
                <w:color w:val="000000"/>
                <w:sz w:val="12"/>
                <w:szCs w:val="12"/>
              </w:rPr>
              <w:t>5,644 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22AD"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22AE"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22AF" w14:textId="77777777" w:rsidR="00584EC1" w:rsidRDefault="00871F8D">
            <w:pPr>
              <w:jc w:val="right"/>
              <w:textAlignment w:val="bottom"/>
            </w:pPr>
            <w:r>
              <w:rPr>
                <w:rFonts w:ascii="Arial" w:eastAsia="宋体" w:hAnsi="Arial" w:cs="Arial"/>
                <w:color w:val="000000"/>
                <w:sz w:val="12"/>
                <w:szCs w:val="12"/>
              </w:rPr>
              <w:t>1,428 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22B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22B1"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22B2" w14:textId="77777777" w:rsidR="00584EC1" w:rsidRDefault="00871F8D">
            <w:pPr>
              <w:jc w:val="right"/>
              <w:textAlignment w:val="bottom"/>
            </w:pPr>
            <w:r>
              <w:rPr>
                <w:rFonts w:ascii="Arial" w:eastAsia="宋体" w:hAnsi="Arial" w:cs="Arial"/>
                <w:color w:val="000000"/>
                <w:sz w:val="12"/>
                <w:szCs w:val="12"/>
              </w:rPr>
              <w:t>11 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22B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22B4" w14:textId="77777777" w:rsidR="00584EC1" w:rsidRDefault="00584E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22B5" w14:textId="77777777" w:rsidR="00584EC1" w:rsidRDefault="00871F8D">
            <w:pPr>
              <w:jc w:val="right"/>
              <w:textAlignment w:val="bottom"/>
            </w:pPr>
            <w:r>
              <w:rPr>
                <w:rFonts w:ascii="Arial" w:eastAsia="宋体" w:hAnsi="Arial" w:cs="Arial"/>
                <w:color w:val="000000"/>
                <w:sz w:val="12"/>
                <w:szCs w:val="12"/>
              </w:rPr>
              <w:t>1,439 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22B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22B7" w14:textId="77777777" w:rsidR="00584EC1" w:rsidRDefault="00584EC1">
            <w:pPr>
              <w:rPr>
                <w:rFonts w:ascii="宋体"/>
              </w:rPr>
            </w:pPr>
          </w:p>
        </w:tc>
        <w:tc>
          <w:tcPr>
            <w:tcW w:w="0" w:type="auto"/>
            <w:gridSpan w:val="3"/>
            <w:shd w:val="clear" w:color="auto" w:fill="auto"/>
            <w:vAlign w:val="bottom"/>
          </w:tcPr>
          <w:p w14:paraId="74DE22B8" w14:textId="77777777" w:rsidR="00584EC1" w:rsidRDefault="00584EC1">
            <w:pPr>
              <w:rPr>
                <w:rFonts w:ascii="宋体"/>
                <w:vanish/>
              </w:rPr>
            </w:pPr>
          </w:p>
        </w:tc>
        <w:tc>
          <w:tcPr>
            <w:tcW w:w="0" w:type="auto"/>
            <w:gridSpan w:val="3"/>
            <w:shd w:val="clear" w:color="auto" w:fill="auto"/>
            <w:vAlign w:val="bottom"/>
          </w:tcPr>
          <w:p w14:paraId="74DE22B9" w14:textId="77777777" w:rsidR="00584EC1" w:rsidRDefault="00584EC1">
            <w:pPr>
              <w:rPr>
                <w:rFonts w:ascii="宋体"/>
                <w:vanish/>
              </w:rPr>
            </w:pPr>
          </w:p>
        </w:tc>
        <w:tc>
          <w:tcPr>
            <w:tcW w:w="0" w:type="auto"/>
            <w:gridSpan w:val="3"/>
            <w:shd w:val="clear" w:color="auto" w:fill="auto"/>
            <w:vAlign w:val="bottom"/>
          </w:tcPr>
          <w:p w14:paraId="74DE22BA" w14:textId="77777777" w:rsidR="00584EC1" w:rsidRDefault="00584EC1">
            <w:pPr>
              <w:rPr>
                <w:rFonts w:ascii="宋体"/>
                <w:vanish/>
              </w:rPr>
            </w:pPr>
          </w:p>
        </w:tc>
        <w:tc>
          <w:tcPr>
            <w:tcW w:w="0" w:type="auto"/>
            <w:gridSpan w:val="3"/>
            <w:shd w:val="clear" w:color="auto" w:fill="auto"/>
            <w:vAlign w:val="bottom"/>
          </w:tcPr>
          <w:p w14:paraId="74DE22BB" w14:textId="77777777" w:rsidR="00584EC1" w:rsidRDefault="00584EC1">
            <w:pPr>
              <w:rPr>
                <w:rFonts w:ascii="宋体"/>
                <w:vanish/>
              </w:rPr>
            </w:pPr>
          </w:p>
        </w:tc>
        <w:tc>
          <w:tcPr>
            <w:tcW w:w="0" w:type="auto"/>
            <w:gridSpan w:val="3"/>
            <w:shd w:val="clear" w:color="auto" w:fill="auto"/>
            <w:vAlign w:val="bottom"/>
          </w:tcPr>
          <w:p w14:paraId="74DE22BC" w14:textId="77777777" w:rsidR="00584EC1" w:rsidRDefault="00584EC1">
            <w:pPr>
              <w:rPr>
                <w:rFonts w:ascii="宋体"/>
                <w:vanish/>
              </w:rPr>
            </w:pPr>
          </w:p>
        </w:tc>
        <w:tc>
          <w:tcPr>
            <w:tcW w:w="0" w:type="auto"/>
            <w:gridSpan w:val="3"/>
            <w:shd w:val="clear" w:color="auto" w:fill="auto"/>
            <w:vAlign w:val="bottom"/>
          </w:tcPr>
          <w:p w14:paraId="74DE22BD" w14:textId="77777777" w:rsidR="00584EC1" w:rsidRDefault="00584EC1">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4DE22BE" w14:textId="77777777" w:rsidR="00584EC1" w:rsidRDefault="00871F8D">
            <w:pPr>
              <w:jc w:val="right"/>
              <w:textAlignment w:val="bottom"/>
            </w:pPr>
            <w:r>
              <w:rPr>
                <w:rFonts w:ascii="Arial" w:eastAsia="宋体" w:hAnsi="Arial" w:cs="Arial"/>
                <w:color w:val="000000"/>
                <w:sz w:val="12"/>
                <w:szCs w:val="12"/>
              </w:rPr>
              <w:t>7,083 </w:t>
            </w:r>
          </w:p>
        </w:tc>
        <w:tc>
          <w:tcPr>
            <w:tcW w:w="0" w:type="auto"/>
            <w:tcBorders>
              <w:top w:val="single" w:sz="8" w:space="0" w:color="000000"/>
            </w:tcBorders>
            <w:shd w:val="clear" w:color="auto" w:fill="FFFFFF"/>
            <w:tcMar>
              <w:top w:w="40" w:type="dxa"/>
              <w:left w:w="0" w:type="dxa"/>
              <w:bottom w:w="40" w:type="dxa"/>
              <w:right w:w="20" w:type="dxa"/>
            </w:tcMar>
            <w:vAlign w:val="bottom"/>
          </w:tcPr>
          <w:p w14:paraId="74DE22BF" w14:textId="77777777" w:rsidR="00584EC1" w:rsidRDefault="00584EC1">
            <w:pPr>
              <w:jc w:val="right"/>
              <w:rPr>
                <w:rFonts w:ascii="宋体"/>
              </w:rPr>
            </w:pPr>
          </w:p>
        </w:tc>
      </w:tr>
      <w:tr w:rsidR="00584EC1" w14:paraId="74DE22DC" w14:textId="77777777">
        <w:tc>
          <w:tcPr>
            <w:tcW w:w="0" w:type="auto"/>
            <w:gridSpan w:val="3"/>
            <w:shd w:val="clear" w:color="auto" w:fill="CCEEFF"/>
            <w:tcMar>
              <w:top w:w="40" w:type="dxa"/>
              <w:left w:w="155" w:type="dxa"/>
              <w:bottom w:w="40" w:type="dxa"/>
              <w:right w:w="20" w:type="dxa"/>
            </w:tcMar>
            <w:vAlign w:val="bottom"/>
          </w:tcPr>
          <w:p w14:paraId="74DE22C1" w14:textId="77777777" w:rsidR="00584EC1" w:rsidRDefault="00871F8D">
            <w:pPr>
              <w:textAlignment w:val="bottom"/>
            </w:pPr>
            <w:r>
              <w:rPr>
                <w:rFonts w:ascii="Arial" w:eastAsia="宋体" w:hAnsi="Arial" w:cs="Arial"/>
                <w:color w:val="000000"/>
                <w:sz w:val="12"/>
                <w:szCs w:val="12"/>
              </w:rPr>
              <w:t>Net interest income</w:t>
            </w:r>
          </w:p>
        </w:tc>
        <w:tc>
          <w:tcPr>
            <w:tcW w:w="0" w:type="auto"/>
            <w:gridSpan w:val="2"/>
            <w:shd w:val="clear" w:color="auto" w:fill="CCEEFF"/>
            <w:tcMar>
              <w:top w:w="40" w:type="dxa"/>
              <w:left w:w="20" w:type="dxa"/>
              <w:bottom w:w="40" w:type="dxa"/>
              <w:right w:w="0" w:type="dxa"/>
            </w:tcMar>
            <w:vAlign w:val="bottom"/>
          </w:tcPr>
          <w:p w14:paraId="74DE22C2" w14:textId="77777777" w:rsidR="00584EC1" w:rsidRDefault="00871F8D">
            <w:pPr>
              <w:jc w:val="right"/>
              <w:textAlignment w:val="bottom"/>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22C3"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22C4"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22C5" w14:textId="77777777" w:rsidR="00584EC1" w:rsidRDefault="00871F8D">
            <w:pPr>
              <w:jc w:val="right"/>
              <w:textAlignment w:val="bottom"/>
            </w:pPr>
            <w:r>
              <w:rPr>
                <w:rFonts w:ascii="Arial" w:eastAsia="宋体" w:hAnsi="Arial" w:cs="Arial"/>
                <w:color w:val="000000"/>
                <w:sz w:val="12"/>
                <w:szCs w:val="12"/>
              </w:rPr>
              <w:t>1,716 </w:t>
            </w:r>
          </w:p>
        </w:tc>
        <w:tc>
          <w:tcPr>
            <w:tcW w:w="0" w:type="auto"/>
            <w:shd w:val="clear" w:color="auto" w:fill="CCEEFF"/>
            <w:tcMar>
              <w:top w:w="40" w:type="dxa"/>
              <w:left w:w="0" w:type="dxa"/>
              <w:bottom w:w="40" w:type="dxa"/>
              <w:right w:w="20" w:type="dxa"/>
            </w:tcMar>
            <w:vAlign w:val="bottom"/>
          </w:tcPr>
          <w:p w14:paraId="74DE22C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22C7"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22C8" w14:textId="77777777" w:rsidR="00584EC1" w:rsidRDefault="00871F8D">
            <w:pPr>
              <w:jc w:val="right"/>
              <w:textAlignment w:val="bottom"/>
            </w:pPr>
            <w:r>
              <w:rPr>
                <w:rFonts w:ascii="Arial" w:eastAsia="宋体" w:hAnsi="Arial" w:cs="Arial"/>
                <w:color w:val="000000"/>
                <w:sz w:val="12"/>
                <w:szCs w:val="12"/>
              </w:rPr>
              <w:t>1,716 </w:t>
            </w:r>
          </w:p>
        </w:tc>
        <w:tc>
          <w:tcPr>
            <w:tcW w:w="0" w:type="auto"/>
            <w:shd w:val="clear" w:color="auto" w:fill="CCEEFF"/>
            <w:tcMar>
              <w:top w:w="40" w:type="dxa"/>
              <w:left w:w="0" w:type="dxa"/>
              <w:bottom w:w="40" w:type="dxa"/>
              <w:right w:w="20" w:type="dxa"/>
            </w:tcMar>
            <w:vAlign w:val="bottom"/>
          </w:tcPr>
          <w:p w14:paraId="74DE22C9"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22CA"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22CB" w14:textId="77777777" w:rsidR="00584EC1" w:rsidRDefault="00871F8D">
            <w:pPr>
              <w:jc w:val="right"/>
              <w:textAlignment w:val="bottom"/>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4DE22C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22CD"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22CE" w14:textId="77777777" w:rsidR="00584EC1" w:rsidRDefault="00871F8D">
            <w:pPr>
              <w:jc w:val="right"/>
              <w:textAlignment w:val="bottom"/>
            </w:pPr>
            <w:r>
              <w:rPr>
                <w:rFonts w:ascii="Arial" w:eastAsia="宋体" w:hAnsi="Arial" w:cs="Arial"/>
                <w:color w:val="000000"/>
                <w:sz w:val="12"/>
                <w:szCs w:val="12"/>
              </w:rPr>
              <w:t>(15)</w:t>
            </w:r>
          </w:p>
        </w:tc>
        <w:tc>
          <w:tcPr>
            <w:tcW w:w="0" w:type="auto"/>
            <w:shd w:val="clear" w:color="auto" w:fill="CCEEFF"/>
            <w:tcMar>
              <w:top w:w="40" w:type="dxa"/>
              <w:left w:w="0" w:type="dxa"/>
              <w:bottom w:w="40" w:type="dxa"/>
              <w:right w:w="20" w:type="dxa"/>
            </w:tcMar>
            <w:vAlign w:val="bottom"/>
          </w:tcPr>
          <w:p w14:paraId="74DE22CF"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22D0" w14:textId="77777777" w:rsidR="00584EC1" w:rsidRDefault="00584EC1">
            <w:pPr>
              <w:rPr>
                <w:rFonts w:ascii="宋体"/>
              </w:rPr>
            </w:pPr>
          </w:p>
        </w:tc>
        <w:tc>
          <w:tcPr>
            <w:tcW w:w="0" w:type="auto"/>
            <w:gridSpan w:val="2"/>
            <w:shd w:val="clear" w:color="auto" w:fill="CCEEFF"/>
            <w:tcMar>
              <w:top w:w="40" w:type="dxa"/>
              <w:left w:w="20" w:type="dxa"/>
              <w:bottom w:w="40" w:type="dxa"/>
              <w:right w:w="0" w:type="dxa"/>
            </w:tcMar>
            <w:vAlign w:val="bottom"/>
          </w:tcPr>
          <w:p w14:paraId="74DE22D1" w14:textId="77777777" w:rsidR="00584EC1" w:rsidRDefault="00871F8D">
            <w:pPr>
              <w:jc w:val="right"/>
              <w:textAlignment w:val="bottom"/>
            </w:pPr>
            <w:r>
              <w:rPr>
                <w:rFonts w:ascii="Arial" w:eastAsia="宋体" w:hAnsi="Arial" w:cs="Arial"/>
                <w:color w:val="000000"/>
                <w:sz w:val="12"/>
                <w:szCs w:val="12"/>
              </w:rPr>
              <w:t>(15)</w:t>
            </w:r>
          </w:p>
        </w:tc>
        <w:tc>
          <w:tcPr>
            <w:tcW w:w="0" w:type="auto"/>
            <w:shd w:val="clear" w:color="auto" w:fill="CCEEFF"/>
            <w:tcMar>
              <w:top w:w="40" w:type="dxa"/>
              <w:left w:w="0" w:type="dxa"/>
              <w:bottom w:w="40" w:type="dxa"/>
              <w:right w:w="20" w:type="dxa"/>
            </w:tcMar>
            <w:vAlign w:val="bottom"/>
          </w:tcPr>
          <w:p w14:paraId="74DE22D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22D3" w14:textId="77777777" w:rsidR="00584EC1" w:rsidRDefault="00584EC1">
            <w:pPr>
              <w:rPr>
                <w:rFonts w:ascii="宋体"/>
              </w:rPr>
            </w:pPr>
          </w:p>
        </w:tc>
        <w:tc>
          <w:tcPr>
            <w:tcW w:w="0" w:type="auto"/>
            <w:gridSpan w:val="3"/>
            <w:shd w:val="clear" w:color="auto" w:fill="auto"/>
            <w:vAlign w:val="bottom"/>
          </w:tcPr>
          <w:p w14:paraId="74DE22D4" w14:textId="77777777" w:rsidR="00584EC1" w:rsidRDefault="00584EC1">
            <w:pPr>
              <w:rPr>
                <w:rFonts w:ascii="宋体"/>
                <w:vanish/>
              </w:rPr>
            </w:pPr>
          </w:p>
        </w:tc>
        <w:tc>
          <w:tcPr>
            <w:tcW w:w="0" w:type="auto"/>
            <w:gridSpan w:val="3"/>
            <w:shd w:val="clear" w:color="auto" w:fill="auto"/>
            <w:vAlign w:val="bottom"/>
          </w:tcPr>
          <w:p w14:paraId="74DE22D5" w14:textId="77777777" w:rsidR="00584EC1" w:rsidRDefault="00584EC1">
            <w:pPr>
              <w:rPr>
                <w:rFonts w:ascii="宋体"/>
                <w:vanish/>
              </w:rPr>
            </w:pPr>
          </w:p>
        </w:tc>
        <w:tc>
          <w:tcPr>
            <w:tcW w:w="0" w:type="auto"/>
            <w:gridSpan w:val="3"/>
            <w:shd w:val="clear" w:color="auto" w:fill="auto"/>
            <w:vAlign w:val="bottom"/>
          </w:tcPr>
          <w:p w14:paraId="74DE22D6" w14:textId="77777777" w:rsidR="00584EC1" w:rsidRDefault="00584EC1">
            <w:pPr>
              <w:rPr>
                <w:rFonts w:ascii="宋体"/>
                <w:vanish/>
              </w:rPr>
            </w:pPr>
          </w:p>
        </w:tc>
        <w:tc>
          <w:tcPr>
            <w:tcW w:w="0" w:type="auto"/>
            <w:gridSpan w:val="3"/>
            <w:shd w:val="clear" w:color="auto" w:fill="auto"/>
            <w:vAlign w:val="bottom"/>
          </w:tcPr>
          <w:p w14:paraId="74DE22D7" w14:textId="77777777" w:rsidR="00584EC1" w:rsidRDefault="00584EC1">
            <w:pPr>
              <w:rPr>
                <w:rFonts w:ascii="宋体"/>
                <w:vanish/>
              </w:rPr>
            </w:pPr>
          </w:p>
        </w:tc>
        <w:tc>
          <w:tcPr>
            <w:tcW w:w="0" w:type="auto"/>
            <w:gridSpan w:val="3"/>
            <w:shd w:val="clear" w:color="auto" w:fill="auto"/>
            <w:vAlign w:val="bottom"/>
          </w:tcPr>
          <w:p w14:paraId="74DE22D8" w14:textId="77777777" w:rsidR="00584EC1" w:rsidRDefault="00584EC1">
            <w:pPr>
              <w:rPr>
                <w:rFonts w:ascii="宋体"/>
                <w:vanish/>
              </w:rPr>
            </w:pPr>
          </w:p>
        </w:tc>
        <w:tc>
          <w:tcPr>
            <w:tcW w:w="0" w:type="auto"/>
            <w:gridSpan w:val="3"/>
            <w:shd w:val="clear" w:color="auto" w:fill="auto"/>
            <w:vAlign w:val="bottom"/>
          </w:tcPr>
          <w:p w14:paraId="74DE22D9" w14:textId="77777777" w:rsidR="00584EC1" w:rsidRDefault="00584EC1">
            <w:pPr>
              <w:rPr>
                <w:rFonts w:ascii="宋体"/>
                <w:vanish/>
              </w:rPr>
            </w:pPr>
          </w:p>
        </w:tc>
        <w:tc>
          <w:tcPr>
            <w:tcW w:w="0" w:type="auto"/>
            <w:gridSpan w:val="2"/>
            <w:shd w:val="clear" w:color="auto" w:fill="CCEEFF"/>
            <w:tcMar>
              <w:top w:w="40" w:type="dxa"/>
              <w:left w:w="20" w:type="dxa"/>
              <w:bottom w:w="40" w:type="dxa"/>
              <w:right w:w="0" w:type="dxa"/>
            </w:tcMar>
            <w:vAlign w:val="bottom"/>
          </w:tcPr>
          <w:p w14:paraId="74DE22DA" w14:textId="77777777" w:rsidR="00584EC1" w:rsidRDefault="00871F8D">
            <w:pPr>
              <w:jc w:val="right"/>
              <w:textAlignment w:val="bottom"/>
            </w:pPr>
            <w:r>
              <w:rPr>
                <w:rFonts w:ascii="Arial" w:eastAsia="宋体" w:hAnsi="Arial" w:cs="Arial"/>
                <w:color w:val="000000"/>
                <w:sz w:val="12"/>
                <w:szCs w:val="12"/>
              </w:rPr>
              <w:t>1,701 </w:t>
            </w:r>
          </w:p>
        </w:tc>
        <w:tc>
          <w:tcPr>
            <w:tcW w:w="0" w:type="auto"/>
            <w:shd w:val="clear" w:color="auto" w:fill="CCEEFF"/>
            <w:tcMar>
              <w:top w:w="40" w:type="dxa"/>
              <w:left w:w="0" w:type="dxa"/>
              <w:bottom w:w="40" w:type="dxa"/>
              <w:right w:w="20" w:type="dxa"/>
            </w:tcMar>
            <w:vAlign w:val="bottom"/>
          </w:tcPr>
          <w:p w14:paraId="74DE22DB" w14:textId="77777777" w:rsidR="00584EC1" w:rsidRDefault="00584EC1">
            <w:pPr>
              <w:jc w:val="right"/>
              <w:rPr>
                <w:rFonts w:ascii="宋体"/>
              </w:rPr>
            </w:pPr>
          </w:p>
        </w:tc>
      </w:tr>
      <w:tr w:rsidR="00584EC1" w14:paraId="74DE22F8" w14:textId="77777777">
        <w:tc>
          <w:tcPr>
            <w:tcW w:w="0" w:type="auto"/>
            <w:gridSpan w:val="3"/>
            <w:shd w:val="clear" w:color="auto" w:fill="FFFFFF"/>
            <w:tcMar>
              <w:top w:w="40" w:type="dxa"/>
              <w:left w:w="155" w:type="dxa"/>
              <w:bottom w:w="40" w:type="dxa"/>
              <w:right w:w="20" w:type="dxa"/>
            </w:tcMar>
            <w:vAlign w:val="bottom"/>
          </w:tcPr>
          <w:p w14:paraId="74DE22DD" w14:textId="77777777" w:rsidR="00584EC1" w:rsidRDefault="00871F8D">
            <w:pPr>
              <w:textAlignment w:val="bottom"/>
            </w:pPr>
            <w:r>
              <w:rPr>
                <w:rFonts w:ascii="Arial" w:eastAsia="宋体" w:hAnsi="Arial" w:cs="Arial"/>
                <w:color w:val="000000"/>
                <w:sz w:val="12"/>
                <w:szCs w:val="12"/>
              </w:rPr>
              <w:t xml:space="preserve">Total </w:t>
            </w:r>
            <w:r>
              <w:rPr>
                <w:rFonts w:ascii="Arial" w:eastAsia="宋体" w:hAnsi="Arial" w:cs="Arial"/>
                <w:color w:val="000000"/>
                <w:sz w:val="12"/>
                <w:szCs w:val="12"/>
              </w:rPr>
              <w:t>other income</w:t>
            </w:r>
          </w:p>
        </w:tc>
        <w:tc>
          <w:tcPr>
            <w:tcW w:w="0" w:type="auto"/>
            <w:gridSpan w:val="2"/>
            <w:shd w:val="clear" w:color="auto" w:fill="FFFFFF"/>
            <w:tcMar>
              <w:top w:w="40" w:type="dxa"/>
              <w:left w:w="20" w:type="dxa"/>
              <w:bottom w:w="40" w:type="dxa"/>
              <w:right w:w="0" w:type="dxa"/>
            </w:tcMar>
            <w:vAlign w:val="bottom"/>
          </w:tcPr>
          <w:p w14:paraId="74DE22DE" w14:textId="77777777" w:rsidR="00584EC1" w:rsidRDefault="00871F8D">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22DF"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22E0"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22E1" w14:textId="77777777" w:rsidR="00584EC1" w:rsidRDefault="00871F8D">
            <w:pPr>
              <w:jc w:val="right"/>
              <w:textAlignment w:val="bottom"/>
            </w:pPr>
            <w:r>
              <w:rPr>
                <w:rFonts w:ascii="Arial" w:eastAsia="宋体" w:hAnsi="Arial" w:cs="Arial"/>
                <w:color w:val="000000"/>
                <w:sz w:val="12"/>
                <w:szCs w:val="12"/>
              </w:rPr>
              <w:t>2 </w:t>
            </w:r>
          </w:p>
        </w:tc>
        <w:tc>
          <w:tcPr>
            <w:tcW w:w="0" w:type="auto"/>
            <w:shd w:val="clear" w:color="auto" w:fill="FFFFFF"/>
            <w:tcMar>
              <w:top w:w="40" w:type="dxa"/>
              <w:left w:w="0" w:type="dxa"/>
              <w:bottom w:w="40" w:type="dxa"/>
              <w:right w:w="20" w:type="dxa"/>
            </w:tcMar>
            <w:vAlign w:val="bottom"/>
          </w:tcPr>
          <w:p w14:paraId="74DE22E2"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22E3"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22E4" w14:textId="77777777" w:rsidR="00584EC1" w:rsidRDefault="00871F8D">
            <w:pPr>
              <w:jc w:val="right"/>
              <w:textAlignment w:val="bottom"/>
            </w:pPr>
            <w:r>
              <w:rPr>
                <w:rFonts w:ascii="Arial" w:eastAsia="宋体" w:hAnsi="Arial" w:cs="Arial"/>
                <w:color w:val="000000"/>
                <w:sz w:val="12"/>
                <w:szCs w:val="12"/>
              </w:rPr>
              <w:t>2 </w:t>
            </w:r>
          </w:p>
        </w:tc>
        <w:tc>
          <w:tcPr>
            <w:tcW w:w="0" w:type="auto"/>
            <w:shd w:val="clear" w:color="auto" w:fill="FFFFFF"/>
            <w:tcMar>
              <w:top w:w="40" w:type="dxa"/>
              <w:left w:w="0" w:type="dxa"/>
              <w:bottom w:w="40" w:type="dxa"/>
              <w:right w:w="20" w:type="dxa"/>
            </w:tcMar>
            <w:vAlign w:val="bottom"/>
          </w:tcPr>
          <w:p w14:paraId="74DE22E5"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22E6"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22E7" w14:textId="77777777" w:rsidR="00584EC1" w:rsidRDefault="00871F8D">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22E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22E9"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22EA" w14:textId="77777777" w:rsidR="00584EC1" w:rsidRDefault="00871F8D">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22E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22EC"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22ED" w14:textId="77777777" w:rsidR="00584EC1" w:rsidRDefault="00871F8D">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4DE22E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22EF" w14:textId="77777777" w:rsidR="00584EC1" w:rsidRDefault="00584EC1">
            <w:pPr>
              <w:rPr>
                <w:rFonts w:ascii="宋体"/>
              </w:rPr>
            </w:pPr>
          </w:p>
        </w:tc>
        <w:tc>
          <w:tcPr>
            <w:tcW w:w="0" w:type="auto"/>
            <w:gridSpan w:val="3"/>
            <w:shd w:val="clear" w:color="auto" w:fill="auto"/>
            <w:vAlign w:val="bottom"/>
          </w:tcPr>
          <w:p w14:paraId="74DE22F0" w14:textId="77777777" w:rsidR="00584EC1" w:rsidRDefault="00584EC1">
            <w:pPr>
              <w:rPr>
                <w:rFonts w:ascii="宋体"/>
                <w:vanish/>
              </w:rPr>
            </w:pPr>
          </w:p>
        </w:tc>
        <w:tc>
          <w:tcPr>
            <w:tcW w:w="0" w:type="auto"/>
            <w:gridSpan w:val="3"/>
            <w:shd w:val="clear" w:color="auto" w:fill="auto"/>
            <w:vAlign w:val="bottom"/>
          </w:tcPr>
          <w:p w14:paraId="74DE22F1" w14:textId="77777777" w:rsidR="00584EC1" w:rsidRDefault="00584EC1">
            <w:pPr>
              <w:rPr>
                <w:rFonts w:ascii="宋体"/>
                <w:vanish/>
              </w:rPr>
            </w:pPr>
          </w:p>
        </w:tc>
        <w:tc>
          <w:tcPr>
            <w:tcW w:w="0" w:type="auto"/>
            <w:gridSpan w:val="3"/>
            <w:shd w:val="clear" w:color="auto" w:fill="auto"/>
            <w:vAlign w:val="bottom"/>
          </w:tcPr>
          <w:p w14:paraId="74DE22F2" w14:textId="77777777" w:rsidR="00584EC1" w:rsidRDefault="00584EC1">
            <w:pPr>
              <w:rPr>
                <w:rFonts w:ascii="宋体"/>
                <w:vanish/>
              </w:rPr>
            </w:pPr>
          </w:p>
        </w:tc>
        <w:tc>
          <w:tcPr>
            <w:tcW w:w="0" w:type="auto"/>
            <w:gridSpan w:val="3"/>
            <w:shd w:val="clear" w:color="auto" w:fill="auto"/>
            <w:vAlign w:val="bottom"/>
          </w:tcPr>
          <w:p w14:paraId="74DE22F3" w14:textId="77777777" w:rsidR="00584EC1" w:rsidRDefault="00584EC1">
            <w:pPr>
              <w:rPr>
                <w:rFonts w:ascii="宋体"/>
                <w:vanish/>
              </w:rPr>
            </w:pPr>
          </w:p>
        </w:tc>
        <w:tc>
          <w:tcPr>
            <w:tcW w:w="0" w:type="auto"/>
            <w:gridSpan w:val="3"/>
            <w:shd w:val="clear" w:color="auto" w:fill="auto"/>
            <w:vAlign w:val="bottom"/>
          </w:tcPr>
          <w:p w14:paraId="74DE22F4" w14:textId="77777777" w:rsidR="00584EC1" w:rsidRDefault="00584EC1">
            <w:pPr>
              <w:rPr>
                <w:rFonts w:ascii="宋体"/>
                <w:vanish/>
              </w:rPr>
            </w:pPr>
          </w:p>
        </w:tc>
        <w:tc>
          <w:tcPr>
            <w:tcW w:w="0" w:type="auto"/>
            <w:gridSpan w:val="3"/>
            <w:shd w:val="clear" w:color="auto" w:fill="auto"/>
            <w:vAlign w:val="bottom"/>
          </w:tcPr>
          <w:p w14:paraId="74DE22F5" w14:textId="77777777" w:rsidR="00584EC1" w:rsidRDefault="00584EC1">
            <w:pPr>
              <w:rPr>
                <w:rFonts w:ascii="宋体"/>
                <w:vanish/>
              </w:rPr>
            </w:pPr>
          </w:p>
        </w:tc>
        <w:tc>
          <w:tcPr>
            <w:tcW w:w="0" w:type="auto"/>
            <w:gridSpan w:val="2"/>
            <w:shd w:val="clear" w:color="auto" w:fill="FFFFFF"/>
            <w:tcMar>
              <w:top w:w="40" w:type="dxa"/>
              <w:left w:w="20" w:type="dxa"/>
              <w:bottom w:w="40" w:type="dxa"/>
              <w:right w:w="0" w:type="dxa"/>
            </w:tcMar>
            <w:vAlign w:val="bottom"/>
          </w:tcPr>
          <w:p w14:paraId="74DE22F6" w14:textId="77777777" w:rsidR="00584EC1" w:rsidRDefault="00871F8D">
            <w:pPr>
              <w:jc w:val="right"/>
              <w:textAlignment w:val="bottom"/>
            </w:pPr>
            <w:r>
              <w:rPr>
                <w:rFonts w:ascii="Arial" w:eastAsia="宋体" w:hAnsi="Arial" w:cs="Arial"/>
                <w:color w:val="000000"/>
                <w:sz w:val="12"/>
                <w:szCs w:val="12"/>
              </w:rPr>
              <w:t>2 </w:t>
            </w:r>
          </w:p>
        </w:tc>
        <w:tc>
          <w:tcPr>
            <w:tcW w:w="0" w:type="auto"/>
            <w:shd w:val="clear" w:color="auto" w:fill="FFFFFF"/>
            <w:tcMar>
              <w:top w:w="40" w:type="dxa"/>
              <w:left w:w="0" w:type="dxa"/>
              <w:bottom w:w="40" w:type="dxa"/>
              <w:right w:w="20" w:type="dxa"/>
            </w:tcMar>
            <w:vAlign w:val="bottom"/>
          </w:tcPr>
          <w:p w14:paraId="74DE22F7" w14:textId="77777777" w:rsidR="00584EC1" w:rsidRDefault="00584EC1">
            <w:pPr>
              <w:jc w:val="right"/>
              <w:rPr>
                <w:rFonts w:ascii="宋体"/>
              </w:rPr>
            </w:pPr>
          </w:p>
        </w:tc>
      </w:tr>
      <w:tr w:rsidR="00584EC1" w14:paraId="74DE231B" w14:textId="77777777">
        <w:tc>
          <w:tcPr>
            <w:tcW w:w="0" w:type="auto"/>
            <w:gridSpan w:val="3"/>
            <w:shd w:val="clear" w:color="auto" w:fill="CCEEFF"/>
            <w:tcMar>
              <w:top w:w="40" w:type="dxa"/>
              <w:left w:w="20" w:type="dxa"/>
              <w:bottom w:w="40" w:type="dxa"/>
              <w:right w:w="20" w:type="dxa"/>
            </w:tcMar>
            <w:vAlign w:val="bottom"/>
          </w:tcPr>
          <w:p w14:paraId="74DE22F9" w14:textId="77777777" w:rsidR="00584EC1" w:rsidRDefault="00871F8D">
            <w:pPr>
              <w:textAlignment w:val="bottom"/>
            </w:pPr>
            <w:r>
              <w:rPr>
                <w:rFonts w:ascii="Arial" w:eastAsia="宋体" w:hAnsi="Arial" w:cs="Arial"/>
                <w:b/>
                <w:bCs/>
                <w:color w:val="000000"/>
                <w:sz w:val="12"/>
                <w:szCs w:val="12"/>
              </w:rPr>
              <w:t>Total reve</w:t>
            </w:r>
            <w:r>
              <w:rPr>
                <w:rFonts w:ascii="Arial" w:eastAsia="宋体" w:hAnsi="Arial" w:cs="Arial"/>
                <w:b/>
                <w:bCs/>
                <w:color w:val="000000"/>
                <w:sz w:val="12"/>
                <w:szCs w:val="12"/>
              </w:rPr>
              <w:t>nue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E22FA"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E22FB" w14:textId="77777777" w:rsidR="00584EC1" w:rsidRDefault="00871F8D">
            <w:pPr>
              <w:jc w:val="right"/>
              <w:textAlignment w:val="bottom"/>
            </w:pPr>
            <w:r>
              <w:rPr>
                <w:rFonts w:ascii="Arial" w:eastAsia="宋体" w:hAnsi="Arial" w:cs="Arial"/>
                <w:color w:val="000000"/>
                <w:sz w:val="12"/>
                <w:szCs w:val="12"/>
              </w:rPr>
              <w:t>4,673 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E22F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22FD"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E22FE"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E22FF" w14:textId="77777777" w:rsidR="00584EC1" w:rsidRDefault="00871F8D">
            <w:pPr>
              <w:jc w:val="right"/>
              <w:textAlignment w:val="bottom"/>
            </w:pPr>
            <w:r>
              <w:rPr>
                <w:rFonts w:ascii="Arial" w:eastAsia="宋体" w:hAnsi="Arial" w:cs="Arial"/>
                <w:color w:val="000000"/>
                <w:sz w:val="12"/>
                <w:szCs w:val="12"/>
              </w:rPr>
              <w:t>2,689 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E230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2301"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E2302"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E2303" w14:textId="77777777" w:rsidR="00584EC1" w:rsidRDefault="00871F8D">
            <w:pPr>
              <w:jc w:val="right"/>
              <w:textAlignment w:val="bottom"/>
            </w:pPr>
            <w:r>
              <w:rPr>
                <w:rFonts w:ascii="Arial" w:eastAsia="宋体" w:hAnsi="Arial" w:cs="Arial"/>
                <w:color w:val="000000"/>
                <w:sz w:val="12"/>
                <w:szCs w:val="12"/>
              </w:rPr>
              <w:t>7,362 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E2304"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2305"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E2306"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E2307" w14:textId="77777777" w:rsidR="00584EC1" w:rsidRDefault="00871F8D">
            <w:pPr>
              <w:jc w:val="right"/>
              <w:textAlignment w:val="bottom"/>
            </w:pPr>
            <w:r>
              <w:rPr>
                <w:rFonts w:ascii="Arial" w:eastAsia="宋体" w:hAnsi="Arial" w:cs="Arial"/>
                <w:color w:val="000000"/>
                <w:sz w:val="12"/>
                <w:szCs w:val="12"/>
              </w:rPr>
              <w:t>1,428 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E2308"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2309"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E230A"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E230B" w14:textId="77777777" w:rsidR="00584EC1" w:rsidRDefault="00871F8D">
            <w:pPr>
              <w:jc w:val="right"/>
              <w:textAlignment w:val="bottom"/>
            </w:pPr>
            <w:r>
              <w:rPr>
                <w:rFonts w:ascii="Arial" w:eastAsia="宋体" w:hAnsi="Arial" w:cs="Arial"/>
                <w:color w:val="000000"/>
                <w:sz w:val="12"/>
                <w:szCs w:val="12"/>
              </w:rPr>
              <w:t>(4)</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E230C"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230D" w14:textId="77777777" w:rsidR="00584EC1" w:rsidRDefault="00584E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E230E"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E230F" w14:textId="77777777" w:rsidR="00584EC1" w:rsidRDefault="00871F8D">
            <w:pPr>
              <w:jc w:val="right"/>
              <w:textAlignment w:val="bottom"/>
            </w:pPr>
            <w:r>
              <w:rPr>
                <w:rFonts w:ascii="Arial" w:eastAsia="宋体" w:hAnsi="Arial" w:cs="Arial"/>
                <w:color w:val="000000"/>
                <w:sz w:val="12"/>
                <w:szCs w:val="12"/>
              </w:rPr>
              <w:t>1,424 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E2310"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2311" w14:textId="77777777" w:rsidR="00584EC1" w:rsidRDefault="00584EC1">
            <w:pPr>
              <w:rPr>
                <w:rFonts w:ascii="宋体"/>
              </w:rPr>
            </w:pPr>
          </w:p>
        </w:tc>
        <w:tc>
          <w:tcPr>
            <w:tcW w:w="0" w:type="auto"/>
            <w:gridSpan w:val="3"/>
            <w:shd w:val="clear" w:color="auto" w:fill="auto"/>
            <w:vAlign w:val="bottom"/>
          </w:tcPr>
          <w:p w14:paraId="74DE2312" w14:textId="77777777" w:rsidR="00584EC1" w:rsidRDefault="00584EC1">
            <w:pPr>
              <w:rPr>
                <w:rFonts w:ascii="宋体"/>
                <w:vanish/>
              </w:rPr>
            </w:pPr>
          </w:p>
        </w:tc>
        <w:tc>
          <w:tcPr>
            <w:tcW w:w="0" w:type="auto"/>
            <w:gridSpan w:val="3"/>
            <w:shd w:val="clear" w:color="auto" w:fill="auto"/>
            <w:vAlign w:val="bottom"/>
          </w:tcPr>
          <w:p w14:paraId="74DE2313" w14:textId="77777777" w:rsidR="00584EC1" w:rsidRDefault="00584EC1">
            <w:pPr>
              <w:rPr>
                <w:rFonts w:ascii="宋体"/>
                <w:vanish/>
              </w:rPr>
            </w:pPr>
          </w:p>
        </w:tc>
        <w:tc>
          <w:tcPr>
            <w:tcW w:w="0" w:type="auto"/>
            <w:gridSpan w:val="3"/>
            <w:shd w:val="clear" w:color="auto" w:fill="auto"/>
            <w:vAlign w:val="bottom"/>
          </w:tcPr>
          <w:p w14:paraId="74DE2314" w14:textId="77777777" w:rsidR="00584EC1" w:rsidRDefault="00584EC1">
            <w:pPr>
              <w:rPr>
                <w:rFonts w:ascii="宋体"/>
                <w:vanish/>
              </w:rPr>
            </w:pPr>
          </w:p>
        </w:tc>
        <w:tc>
          <w:tcPr>
            <w:tcW w:w="0" w:type="auto"/>
            <w:gridSpan w:val="3"/>
            <w:shd w:val="clear" w:color="auto" w:fill="auto"/>
            <w:vAlign w:val="bottom"/>
          </w:tcPr>
          <w:p w14:paraId="74DE2315" w14:textId="77777777" w:rsidR="00584EC1" w:rsidRDefault="00584EC1">
            <w:pPr>
              <w:rPr>
                <w:rFonts w:ascii="宋体"/>
                <w:vanish/>
              </w:rPr>
            </w:pPr>
          </w:p>
        </w:tc>
        <w:tc>
          <w:tcPr>
            <w:tcW w:w="0" w:type="auto"/>
            <w:gridSpan w:val="3"/>
            <w:shd w:val="clear" w:color="auto" w:fill="auto"/>
            <w:vAlign w:val="bottom"/>
          </w:tcPr>
          <w:p w14:paraId="74DE2316" w14:textId="77777777" w:rsidR="00584EC1" w:rsidRDefault="00584EC1">
            <w:pPr>
              <w:rPr>
                <w:rFonts w:ascii="宋体"/>
                <w:vanish/>
              </w:rPr>
            </w:pPr>
          </w:p>
        </w:tc>
        <w:tc>
          <w:tcPr>
            <w:tcW w:w="0" w:type="auto"/>
            <w:gridSpan w:val="3"/>
            <w:shd w:val="clear" w:color="auto" w:fill="auto"/>
            <w:vAlign w:val="bottom"/>
          </w:tcPr>
          <w:p w14:paraId="74DE2317" w14:textId="77777777" w:rsidR="00584EC1" w:rsidRDefault="00584EC1">
            <w:pPr>
              <w:rPr>
                <w:rFonts w:ascii="宋体"/>
                <w:vanish/>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4DE2318" w14:textId="77777777" w:rsidR="00584EC1" w:rsidRDefault="00871F8D">
            <w:pPr>
              <w:textAlignment w:val="bottom"/>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DE2319" w14:textId="77777777" w:rsidR="00584EC1" w:rsidRDefault="00871F8D">
            <w:pPr>
              <w:jc w:val="right"/>
              <w:textAlignment w:val="bottom"/>
            </w:pPr>
            <w:r>
              <w:rPr>
                <w:rFonts w:ascii="Arial" w:eastAsia="宋体" w:hAnsi="Arial" w:cs="Arial"/>
                <w:color w:val="000000"/>
                <w:sz w:val="12"/>
                <w:szCs w:val="12"/>
              </w:rPr>
              <w:t>8,786 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DE231A" w14:textId="77777777" w:rsidR="00584EC1" w:rsidRDefault="00584EC1">
            <w:pPr>
              <w:jc w:val="right"/>
              <w:rPr>
                <w:rFonts w:ascii="宋体"/>
              </w:rPr>
            </w:pPr>
          </w:p>
        </w:tc>
      </w:tr>
    </w:tbl>
    <w:p w14:paraId="74DE231C" w14:textId="77777777" w:rsidR="00584EC1" w:rsidRDefault="00871F8D">
      <w:pPr>
        <w:ind w:firstLine="450"/>
        <w:jc w:val="right"/>
      </w:pPr>
      <w:r>
        <w:rPr>
          <w:rFonts w:ascii="Arial" w:eastAsia="宋体" w:hAnsi="Arial" w:cs="Arial"/>
          <w:color w:val="000000"/>
          <w:sz w:val="18"/>
          <w:szCs w:val="18"/>
        </w:rPr>
        <w:t>State Street Corporation | 94</w:t>
      </w:r>
    </w:p>
    <w:p w14:paraId="74DE231D" w14:textId="77777777" w:rsidR="00584EC1" w:rsidRDefault="00584EC1">
      <w:pPr>
        <w:ind w:firstLine="450"/>
        <w:jc w:val="center"/>
      </w:pPr>
    </w:p>
    <w:p w14:paraId="74DE231E" w14:textId="77777777" w:rsidR="00584EC1" w:rsidRDefault="00871F8D">
      <w:r>
        <w:pict w14:anchorId="74DE2A4C">
          <v:rect id="_x0000_i1118" style="width:415.3pt;height:1.5pt" o:hralign="center" o:hrstd="t" o:hr="t" fillcolor="#a0a0a0" stroked="f"/>
        </w:pict>
      </w:r>
    </w:p>
    <w:p w14:paraId="74DE231F" w14:textId="77777777" w:rsidR="00584EC1" w:rsidRDefault="00871F8D">
      <w:pPr>
        <w:ind w:firstLine="450"/>
        <w:jc w:val="center"/>
      </w:pPr>
      <w:r>
        <w:rPr>
          <w:rFonts w:ascii="Arial" w:eastAsia="宋体" w:hAnsi="Arial" w:cs="Arial"/>
          <w:b/>
          <w:bCs/>
          <w:color w:val="000000"/>
          <w:sz w:val="20"/>
          <w:szCs w:val="20"/>
        </w:rPr>
        <w:t xml:space="preserve">STATE STREET </w:t>
      </w:r>
      <w:r>
        <w:rPr>
          <w:rFonts w:ascii="Arial" w:eastAsia="宋体" w:hAnsi="Arial" w:cs="Arial"/>
          <w:b/>
          <w:bCs/>
          <w:color w:val="000000"/>
          <w:sz w:val="20"/>
          <w:szCs w:val="20"/>
        </w:rPr>
        <w:t>CORPORATION</w:t>
      </w:r>
    </w:p>
    <w:p w14:paraId="74DE2320" w14:textId="77777777" w:rsidR="00584EC1" w:rsidRDefault="00871F8D">
      <w:pPr>
        <w:ind w:firstLine="450"/>
        <w:jc w:val="center"/>
      </w:pPr>
      <w:r>
        <w:rPr>
          <w:rFonts w:ascii="Arial" w:eastAsia="宋体" w:hAnsi="Arial" w:cs="Arial"/>
          <w:b/>
          <w:bCs/>
          <w:color w:val="000000"/>
          <w:sz w:val="20"/>
          <w:szCs w:val="20"/>
        </w:rPr>
        <w:t>CONDENSED NOTES TO CONSOLIDATED FINANCIAL STATEMENTS</w:t>
      </w:r>
    </w:p>
    <w:p w14:paraId="74DE2321" w14:textId="77777777" w:rsidR="00584EC1" w:rsidRDefault="00871F8D">
      <w:pPr>
        <w:ind w:firstLine="450"/>
        <w:jc w:val="center"/>
      </w:pPr>
      <w:r>
        <w:rPr>
          <w:rFonts w:ascii="Arial" w:eastAsia="宋体" w:hAnsi="Arial" w:cs="Arial"/>
          <w:b/>
          <w:bCs/>
          <w:color w:val="000000"/>
          <w:sz w:val="20"/>
          <w:szCs w:val="20"/>
        </w:rPr>
        <w:t>(UNAUDITED)</w:t>
      </w:r>
    </w:p>
    <w:p w14:paraId="74DE2322" w14:textId="77777777" w:rsidR="00584EC1" w:rsidRDefault="00871F8D">
      <w:pPr>
        <w:spacing w:before="90"/>
        <w:jc w:val="both"/>
      </w:pPr>
      <w:r>
        <w:rPr>
          <w:rFonts w:ascii="Arial" w:eastAsia="宋体" w:hAnsi="Arial" w:cs="Arial"/>
          <w:b/>
          <w:bCs/>
          <w:color w:val="000000"/>
          <w:sz w:val="20"/>
          <w:szCs w:val="20"/>
        </w:rPr>
        <w:t>Contract balances and contract costs</w:t>
      </w:r>
    </w:p>
    <w:p w14:paraId="74DE2323" w14:textId="77777777" w:rsidR="00584EC1" w:rsidRDefault="00871F8D">
      <w:pPr>
        <w:spacing w:before="60"/>
        <w:ind w:firstLine="450"/>
        <w:jc w:val="both"/>
      </w:pPr>
      <w:r>
        <w:rPr>
          <w:rFonts w:ascii="Arial" w:eastAsia="宋体" w:hAnsi="Arial" w:cs="Arial"/>
          <w:color w:val="000000"/>
          <w:sz w:val="22"/>
          <w:szCs w:val="22"/>
        </w:rPr>
        <w:t>A</w:t>
      </w:r>
      <w:r>
        <w:rPr>
          <w:rFonts w:ascii="Arial" w:eastAsia="宋体" w:hAnsi="Arial" w:cs="Arial"/>
          <w:color w:val="000000"/>
          <w:sz w:val="20"/>
          <w:szCs w:val="20"/>
        </w:rPr>
        <w:t>s of September 30, 2021 and December 31, 2020, net receivables of $2.87 billion and $2.68 billion, respectively, are included in accrued inte</w:t>
      </w:r>
      <w:r>
        <w:rPr>
          <w:rFonts w:ascii="Arial" w:eastAsia="宋体" w:hAnsi="Arial" w:cs="Arial"/>
          <w:color w:val="000000"/>
          <w:sz w:val="20"/>
          <w:szCs w:val="20"/>
        </w:rPr>
        <w:t xml:space="preserve">rest and fees receivable, representing amounts billed or currently billable related to revenue from contracts with customers. As performance obligations are satisfied, we have an unconditional right to payment and billing is generally performed monthly or </w:t>
      </w:r>
      <w:r>
        <w:rPr>
          <w:rFonts w:ascii="Arial" w:eastAsia="宋体" w:hAnsi="Arial" w:cs="Arial"/>
          <w:color w:val="000000"/>
          <w:sz w:val="20"/>
          <w:szCs w:val="20"/>
        </w:rPr>
        <w:t>quarterly; therefore, we do not have significant contract assets or liabilities.</w:t>
      </w:r>
    </w:p>
    <w:p w14:paraId="74DE2324" w14:textId="77777777" w:rsidR="00584EC1" w:rsidRDefault="00871F8D">
      <w:pPr>
        <w:spacing w:before="60"/>
        <w:ind w:firstLine="450"/>
        <w:jc w:val="both"/>
      </w:pPr>
      <w:r>
        <w:rPr>
          <w:rFonts w:ascii="Arial" w:eastAsia="宋体" w:hAnsi="Arial" w:cs="Arial"/>
          <w:color w:val="000000"/>
          <w:sz w:val="20"/>
          <w:szCs w:val="20"/>
        </w:rPr>
        <w:t xml:space="preserve">No adjustments are made to the promised amount of consideration for the effects of a significant financing component as the period between when we transfer a promised service </w:t>
      </w:r>
      <w:r>
        <w:rPr>
          <w:rFonts w:ascii="Arial" w:eastAsia="宋体" w:hAnsi="Arial" w:cs="Arial"/>
          <w:color w:val="000000"/>
          <w:sz w:val="20"/>
          <w:szCs w:val="20"/>
        </w:rPr>
        <w:t>to a customer and when the customer pays for that service is expected to be one year or less.</w:t>
      </w:r>
    </w:p>
    <w:p w14:paraId="74DE2325" w14:textId="77777777" w:rsidR="00584EC1" w:rsidRDefault="00871F8D">
      <w:pPr>
        <w:spacing w:before="180"/>
        <w:textAlignment w:val="top"/>
      </w:pPr>
      <w:r>
        <w:rPr>
          <w:rFonts w:ascii="Arial" w:eastAsia="宋体" w:hAnsi="Arial" w:cs="Arial"/>
          <w:b/>
          <w:bCs/>
          <w:color w:val="000000"/>
          <w:sz w:val="20"/>
          <w:szCs w:val="20"/>
        </w:rPr>
        <w:t>Note 19.    Non-U.S. Activities</w:t>
      </w:r>
    </w:p>
    <w:p w14:paraId="74DE2326" w14:textId="77777777" w:rsidR="00584EC1" w:rsidRDefault="00871F8D">
      <w:pPr>
        <w:spacing w:before="60"/>
        <w:ind w:firstLine="450"/>
        <w:jc w:val="both"/>
      </w:pPr>
      <w:r>
        <w:rPr>
          <w:rFonts w:ascii="Arial" w:eastAsia="宋体" w:hAnsi="Arial" w:cs="Arial"/>
          <w:color w:val="000000"/>
          <w:sz w:val="20"/>
          <w:szCs w:val="20"/>
        </w:rPr>
        <w:t>We define our non-U.S. activities as those revenue-producing business activities that arise from clients which are generally servi</w:t>
      </w:r>
      <w:r>
        <w:rPr>
          <w:rFonts w:ascii="Arial" w:eastAsia="宋体" w:hAnsi="Arial" w:cs="Arial"/>
          <w:color w:val="000000"/>
          <w:sz w:val="20"/>
          <w:szCs w:val="20"/>
        </w:rPr>
        <w:t>ced or managed outside the U.S. Due to the integrated nature of our business, precise segregation of our U.S. and non-U.S. activities is not possible.</w:t>
      </w:r>
    </w:p>
    <w:p w14:paraId="74DE2327" w14:textId="77777777" w:rsidR="00584EC1" w:rsidRDefault="00871F8D">
      <w:pPr>
        <w:spacing w:before="60"/>
        <w:ind w:firstLine="450"/>
        <w:jc w:val="both"/>
      </w:pPr>
      <w:r>
        <w:rPr>
          <w:rFonts w:ascii="Arial" w:eastAsia="宋体" w:hAnsi="Arial" w:cs="Arial"/>
          <w:color w:val="000000"/>
          <w:sz w:val="20"/>
          <w:szCs w:val="20"/>
        </w:rPr>
        <w:t>Subjective estimates, assumptions and other judgments are applied to quantify the financial results and a</w:t>
      </w:r>
      <w:r>
        <w:rPr>
          <w:rFonts w:ascii="Arial" w:eastAsia="宋体" w:hAnsi="Arial" w:cs="Arial"/>
          <w:color w:val="000000"/>
          <w:sz w:val="20"/>
          <w:szCs w:val="20"/>
        </w:rPr>
        <w:t xml:space="preserve">ssets related to our non-U.S. activities, including our application of funds transfer pricing, our asset and liability management policies and our allocation of certain indirect corporate expenses. Management periodically reviews and updates its processes </w:t>
      </w:r>
      <w:r>
        <w:rPr>
          <w:rFonts w:ascii="Arial" w:eastAsia="宋体" w:hAnsi="Arial" w:cs="Arial"/>
          <w:color w:val="000000"/>
          <w:sz w:val="20"/>
          <w:szCs w:val="20"/>
        </w:rPr>
        <w:t xml:space="preserve">for quantifying the financial results and assets related to our non-U.S. activities. </w:t>
      </w:r>
    </w:p>
    <w:p w14:paraId="74DE2328" w14:textId="77777777" w:rsidR="00584EC1" w:rsidRDefault="00871F8D">
      <w:pPr>
        <w:spacing w:before="60"/>
        <w:ind w:firstLine="450"/>
        <w:jc w:val="both"/>
      </w:pPr>
      <w:r>
        <w:rPr>
          <w:rFonts w:ascii="Arial" w:eastAsia="宋体" w:hAnsi="Arial" w:cs="Arial"/>
          <w:color w:val="000000"/>
          <w:sz w:val="20"/>
          <w:szCs w:val="20"/>
        </w:rPr>
        <w:t>The following table presents our U.S. and non-U.S. financial results for the periods indicated:</w:t>
      </w:r>
    </w:p>
    <w:tbl>
      <w:tblPr>
        <w:tblW w:w="4971" w:type="pct"/>
        <w:tblCellMar>
          <w:top w:w="15" w:type="dxa"/>
          <w:left w:w="15" w:type="dxa"/>
          <w:bottom w:w="15" w:type="dxa"/>
          <w:right w:w="15" w:type="dxa"/>
        </w:tblCellMar>
        <w:tblLook w:val="04A0" w:firstRow="1" w:lastRow="0" w:firstColumn="1" w:lastColumn="0" w:noHBand="0" w:noVBand="1"/>
      </w:tblPr>
      <w:tblGrid>
        <w:gridCol w:w="37"/>
        <w:gridCol w:w="1279"/>
        <w:gridCol w:w="36"/>
        <w:gridCol w:w="110"/>
        <w:gridCol w:w="801"/>
        <w:gridCol w:w="36"/>
        <w:gridCol w:w="36"/>
        <w:gridCol w:w="36"/>
        <w:gridCol w:w="36"/>
        <w:gridCol w:w="109"/>
        <w:gridCol w:w="749"/>
        <w:gridCol w:w="36"/>
        <w:gridCol w:w="36"/>
        <w:gridCol w:w="36"/>
        <w:gridCol w:w="36"/>
        <w:gridCol w:w="109"/>
        <w:gridCol w:w="749"/>
        <w:gridCol w:w="36"/>
        <w:gridCol w:w="36"/>
        <w:gridCol w:w="36"/>
        <w:gridCol w:w="36"/>
        <w:gridCol w:w="110"/>
        <w:gridCol w:w="766"/>
        <w:gridCol w:w="36"/>
        <w:gridCol w:w="36"/>
        <w:gridCol w:w="36"/>
        <w:gridCol w:w="36"/>
        <w:gridCol w:w="109"/>
        <w:gridCol w:w="736"/>
        <w:gridCol w:w="36"/>
        <w:gridCol w:w="36"/>
        <w:gridCol w:w="36"/>
        <w:gridCol w:w="36"/>
        <w:gridCol w:w="109"/>
        <w:gridCol w:w="751"/>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584EC1" w14:paraId="74DE2357" w14:textId="77777777">
        <w:tc>
          <w:tcPr>
            <w:tcW w:w="50" w:type="pct"/>
            <w:shd w:val="clear" w:color="auto" w:fill="auto"/>
            <w:vAlign w:val="bottom"/>
          </w:tcPr>
          <w:p w14:paraId="74DE2329" w14:textId="77777777" w:rsidR="00584EC1" w:rsidRDefault="00584EC1">
            <w:pPr>
              <w:rPr>
                <w:rFonts w:ascii="宋体"/>
              </w:rPr>
            </w:pPr>
          </w:p>
        </w:tc>
        <w:tc>
          <w:tcPr>
            <w:tcW w:w="922" w:type="pct"/>
            <w:shd w:val="clear" w:color="auto" w:fill="auto"/>
            <w:vAlign w:val="bottom"/>
          </w:tcPr>
          <w:p w14:paraId="74DE232A" w14:textId="77777777" w:rsidR="00584EC1" w:rsidRDefault="00584EC1">
            <w:pPr>
              <w:rPr>
                <w:rFonts w:ascii="宋体"/>
              </w:rPr>
            </w:pPr>
          </w:p>
        </w:tc>
        <w:tc>
          <w:tcPr>
            <w:tcW w:w="5" w:type="pct"/>
            <w:shd w:val="clear" w:color="auto" w:fill="auto"/>
            <w:vAlign w:val="bottom"/>
          </w:tcPr>
          <w:p w14:paraId="74DE232B" w14:textId="77777777" w:rsidR="00584EC1" w:rsidRDefault="00584EC1">
            <w:pPr>
              <w:rPr>
                <w:rFonts w:ascii="宋体"/>
              </w:rPr>
            </w:pPr>
          </w:p>
        </w:tc>
        <w:tc>
          <w:tcPr>
            <w:tcW w:w="50" w:type="pct"/>
            <w:shd w:val="clear" w:color="auto" w:fill="auto"/>
            <w:vAlign w:val="bottom"/>
          </w:tcPr>
          <w:p w14:paraId="74DE232C" w14:textId="77777777" w:rsidR="00584EC1" w:rsidRDefault="00584EC1">
            <w:pPr>
              <w:rPr>
                <w:rFonts w:ascii="宋体"/>
              </w:rPr>
            </w:pPr>
          </w:p>
        </w:tc>
        <w:tc>
          <w:tcPr>
            <w:tcW w:w="584" w:type="pct"/>
            <w:shd w:val="clear" w:color="auto" w:fill="auto"/>
            <w:vAlign w:val="bottom"/>
          </w:tcPr>
          <w:p w14:paraId="74DE232D" w14:textId="77777777" w:rsidR="00584EC1" w:rsidRDefault="00584EC1">
            <w:pPr>
              <w:rPr>
                <w:rFonts w:ascii="宋体"/>
              </w:rPr>
            </w:pPr>
          </w:p>
        </w:tc>
        <w:tc>
          <w:tcPr>
            <w:tcW w:w="5" w:type="pct"/>
            <w:shd w:val="clear" w:color="auto" w:fill="auto"/>
            <w:vAlign w:val="bottom"/>
          </w:tcPr>
          <w:p w14:paraId="74DE232E" w14:textId="77777777" w:rsidR="00584EC1" w:rsidRDefault="00584EC1">
            <w:pPr>
              <w:rPr>
                <w:rFonts w:ascii="宋体"/>
              </w:rPr>
            </w:pPr>
          </w:p>
        </w:tc>
        <w:tc>
          <w:tcPr>
            <w:tcW w:w="5" w:type="pct"/>
            <w:shd w:val="clear" w:color="auto" w:fill="auto"/>
            <w:vAlign w:val="bottom"/>
          </w:tcPr>
          <w:p w14:paraId="74DE232F" w14:textId="77777777" w:rsidR="00584EC1" w:rsidRDefault="00584EC1">
            <w:pPr>
              <w:rPr>
                <w:rFonts w:ascii="宋体"/>
              </w:rPr>
            </w:pPr>
          </w:p>
        </w:tc>
        <w:tc>
          <w:tcPr>
            <w:tcW w:w="26" w:type="pct"/>
            <w:shd w:val="clear" w:color="auto" w:fill="auto"/>
            <w:vAlign w:val="bottom"/>
          </w:tcPr>
          <w:p w14:paraId="74DE2330" w14:textId="77777777" w:rsidR="00584EC1" w:rsidRDefault="00584EC1">
            <w:pPr>
              <w:rPr>
                <w:rFonts w:ascii="宋体"/>
              </w:rPr>
            </w:pPr>
          </w:p>
        </w:tc>
        <w:tc>
          <w:tcPr>
            <w:tcW w:w="5" w:type="pct"/>
            <w:shd w:val="clear" w:color="auto" w:fill="auto"/>
            <w:vAlign w:val="bottom"/>
          </w:tcPr>
          <w:p w14:paraId="74DE2331" w14:textId="77777777" w:rsidR="00584EC1" w:rsidRDefault="00584EC1">
            <w:pPr>
              <w:rPr>
                <w:rFonts w:ascii="宋体"/>
              </w:rPr>
            </w:pPr>
          </w:p>
        </w:tc>
        <w:tc>
          <w:tcPr>
            <w:tcW w:w="50" w:type="pct"/>
            <w:shd w:val="clear" w:color="auto" w:fill="auto"/>
            <w:vAlign w:val="bottom"/>
          </w:tcPr>
          <w:p w14:paraId="74DE2332" w14:textId="77777777" w:rsidR="00584EC1" w:rsidRDefault="00584EC1">
            <w:pPr>
              <w:rPr>
                <w:rFonts w:ascii="宋体"/>
              </w:rPr>
            </w:pPr>
          </w:p>
        </w:tc>
        <w:tc>
          <w:tcPr>
            <w:tcW w:w="584" w:type="pct"/>
            <w:shd w:val="clear" w:color="auto" w:fill="auto"/>
            <w:vAlign w:val="bottom"/>
          </w:tcPr>
          <w:p w14:paraId="74DE2333" w14:textId="77777777" w:rsidR="00584EC1" w:rsidRDefault="00584EC1">
            <w:pPr>
              <w:rPr>
                <w:rFonts w:ascii="宋体"/>
              </w:rPr>
            </w:pPr>
          </w:p>
        </w:tc>
        <w:tc>
          <w:tcPr>
            <w:tcW w:w="5" w:type="pct"/>
            <w:shd w:val="clear" w:color="auto" w:fill="auto"/>
            <w:vAlign w:val="bottom"/>
          </w:tcPr>
          <w:p w14:paraId="74DE2334" w14:textId="77777777" w:rsidR="00584EC1" w:rsidRDefault="00584EC1">
            <w:pPr>
              <w:rPr>
                <w:rFonts w:ascii="宋体"/>
              </w:rPr>
            </w:pPr>
          </w:p>
        </w:tc>
        <w:tc>
          <w:tcPr>
            <w:tcW w:w="5" w:type="pct"/>
            <w:shd w:val="clear" w:color="auto" w:fill="auto"/>
            <w:vAlign w:val="bottom"/>
          </w:tcPr>
          <w:p w14:paraId="74DE2335" w14:textId="77777777" w:rsidR="00584EC1" w:rsidRDefault="00584EC1">
            <w:pPr>
              <w:rPr>
                <w:rFonts w:ascii="宋体"/>
              </w:rPr>
            </w:pPr>
          </w:p>
        </w:tc>
        <w:tc>
          <w:tcPr>
            <w:tcW w:w="26" w:type="pct"/>
            <w:shd w:val="clear" w:color="auto" w:fill="auto"/>
            <w:vAlign w:val="bottom"/>
          </w:tcPr>
          <w:p w14:paraId="74DE2336" w14:textId="77777777" w:rsidR="00584EC1" w:rsidRDefault="00584EC1">
            <w:pPr>
              <w:rPr>
                <w:rFonts w:ascii="宋体"/>
              </w:rPr>
            </w:pPr>
          </w:p>
        </w:tc>
        <w:tc>
          <w:tcPr>
            <w:tcW w:w="5" w:type="pct"/>
            <w:shd w:val="clear" w:color="auto" w:fill="auto"/>
            <w:vAlign w:val="bottom"/>
          </w:tcPr>
          <w:p w14:paraId="74DE2337" w14:textId="77777777" w:rsidR="00584EC1" w:rsidRDefault="00584EC1">
            <w:pPr>
              <w:rPr>
                <w:rFonts w:ascii="宋体"/>
              </w:rPr>
            </w:pPr>
          </w:p>
        </w:tc>
        <w:tc>
          <w:tcPr>
            <w:tcW w:w="50" w:type="pct"/>
            <w:shd w:val="clear" w:color="auto" w:fill="auto"/>
            <w:vAlign w:val="bottom"/>
          </w:tcPr>
          <w:p w14:paraId="74DE2338" w14:textId="77777777" w:rsidR="00584EC1" w:rsidRDefault="00584EC1">
            <w:pPr>
              <w:rPr>
                <w:rFonts w:ascii="宋体"/>
              </w:rPr>
            </w:pPr>
          </w:p>
        </w:tc>
        <w:tc>
          <w:tcPr>
            <w:tcW w:w="584" w:type="pct"/>
            <w:shd w:val="clear" w:color="auto" w:fill="auto"/>
            <w:vAlign w:val="bottom"/>
          </w:tcPr>
          <w:p w14:paraId="74DE2339" w14:textId="77777777" w:rsidR="00584EC1" w:rsidRDefault="00584EC1">
            <w:pPr>
              <w:rPr>
                <w:rFonts w:ascii="宋体"/>
              </w:rPr>
            </w:pPr>
          </w:p>
        </w:tc>
        <w:tc>
          <w:tcPr>
            <w:tcW w:w="5" w:type="pct"/>
            <w:shd w:val="clear" w:color="auto" w:fill="auto"/>
            <w:vAlign w:val="bottom"/>
          </w:tcPr>
          <w:p w14:paraId="74DE233A" w14:textId="77777777" w:rsidR="00584EC1" w:rsidRDefault="00584EC1">
            <w:pPr>
              <w:rPr>
                <w:rFonts w:ascii="宋体"/>
              </w:rPr>
            </w:pPr>
          </w:p>
        </w:tc>
        <w:tc>
          <w:tcPr>
            <w:tcW w:w="5" w:type="pct"/>
            <w:shd w:val="clear" w:color="auto" w:fill="auto"/>
            <w:vAlign w:val="bottom"/>
          </w:tcPr>
          <w:p w14:paraId="74DE233B" w14:textId="77777777" w:rsidR="00584EC1" w:rsidRDefault="00584EC1">
            <w:pPr>
              <w:rPr>
                <w:rFonts w:ascii="宋体"/>
              </w:rPr>
            </w:pPr>
          </w:p>
        </w:tc>
        <w:tc>
          <w:tcPr>
            <w:tcW w:w="26" w:type="pct"/>
            <w:shd w:val="clear" w:color="auto" w:fill="auto"/>
            <w:vAlign w:val="bottom"/>
          </w:tcPr>
          <w:p w14:paraId="74DE233C" w14:textId="77777777" w:rsidR="00584EC1" w:rsidRDefault="00584EC1">
            <w:pPr>
              <w:rPr>
                <w:rFonts w:ascii="宋体"/>
              </w:rPr>
            </w:pPr>
          </w:p>
        </w:tc>
        <w:tc>
          <w:tcPr>
            <w:tcW w:w="5" w:type="pct"/>
            <w:shd w:val="clear" w:color="auto" w:fill="auto"/>
            <w:vAlign w:val="bottom"/>
          </w:tcPr>
          <w:p w14:paraId="74DE233D" w14:textId="77777777" w:rsidR="00584EC1" w:rsidRDefault="00584EC1">
            <w:pPr>
              <w:rPr>
                <w:rFonts w:ascii="宋体"/>
              </w:rPr>
            </w:pPr>
          </w:p>
        </w:tc>
        <w:tc>
          <w:tcPr>
            <w:tcW w:w="50" w:type="pct"/>
            <w:shd w:val="clear" w:color="auto" w:fill="auto"/>
            <w:vAlign w:val="bottom"/>
          </w:tcPr>
          <w:p w14:paraId="74DE233E" w14:textId="77777777" w:rsidR="00584EC1" w:rsidRDefault="00584EC1">
            <w:pPr>
              <w:rPr>
                <w:rFonts w:ascii="宋体"/>
              </w:rPr>
            </w:pPr>
          </w:p>
        </w:tc>
        <w:tc>
          <w:tcPr>
            <w:tcW w:w="584" w:type="pct"/>
            <w:shd w:val="clear" w:color="auto" w:fill="auto"/>
            <w:vAlign w:val="bottom"/>
          </w:tcPr>
          <w:p w14:paraId="74DE233F" w14:textId="77777777" w:rsidR="00584EC1" w:rsidRDefault="00584EC1">
            <w:pPr>
              <w:rPr>
                <w:rFonts w:ascii="宋体"/>
              </w:rPr>
            </w:pPr>
          </w:p>
        </w:tc>
        <w:tc>
          <w:tcPr>
            <w:tcW w:w="5" w:type="pct"/>
            <w:shd w:val="clear" w:color="auto" w:fill="auto"/>
            <w:vAlign w:val="bottom"/>
          </w:tcPr>
          <w:p w14:paraId="74DE2340" w14:textId="77777777" w:rsidR="00584EC1" w:rsidRDefault="00584EC1">
            <w:pPr>
              <w:rPr>
                <w:rFonts w:ascii="宋体"/>
              </w:rPr>
            </w:pPr>
          </w:p>
        </w:tc>
        <w:tc>
          <w:tcPr>
            <w:tcW w:w="5" w:type="pct"/>
            <w:shd w:val="clear" w:color="auto" w:fill="auto"/>
            <w:vAlign w:val="bottom"/>
          </w:tcPr>
          <w:p w14:paraId="74DE2341" w14:textId="77777777" w:rsidR="00584EC1" w:rsidRDefault="00584EC1">
            <w:pPr>
              <w:rPr>
                <w:rFonts w:ascii="宋体"/>
              </w:rPr>
            </w:pPr>
          </w:p>
        </w:tc>
        <w:tc>
          <w:tcPr>
            <w:tcW w:w="26" w:type="pct"/>
            <w:shd w:val="clear" w:color="auto" w:fill="auto"/>
            <w:vAlign w:val="bottom"/>
          </w:tcPr>
          <w:p w14:paraId="74DE2342" w14:textId="77777777" w:rsidR="00584EC1" w:rsidRDefault="00584EC1">
            <w:pPr>
              <w:rPr>
                <w:rFonts w:ascii="宋体"/>
              </w:rPr>
            </w:pPr>
          </w:p>
        </w:tc>
        <w:tc>
          <w:tcPr>
            <w:tcW w:w="5" w:type="pct"/>
            <w:shd w:val="clear" w:color="auto" w:fill="auto"/>
            <w:vAlign w:val="bottom"/>
          </w:tcPr>
          <w:p w14:paraId="74DE2343" w14:textId="77777777" w:rsidR="00584EC1" w:rsidRDefault="00584EC1">
            <w:pPr>
              <w:rPr>
                <w:rFonts w:ascii="宋体"/>
              </w:rPr>
            </w:pPr>
          </w:p>
        </w:tc>
        <w:tc>
          <w:tcPr>
            <w:tcW w:w="50" w:type="pct"/>
            <w:shd w:val="clear" w:color="auto" w:fill="auto"/>
            <w:vAlign w:val="bottom"/>
          </w:tcPr>
          <w:p w14:paraId="74DE2344" w14:textId="77777777" w:rsidR="00584EC1" w:rsidRDefault="00584EC1">
            <w:pPr>
              <w:rPr>
                <w:rFonts w:ascii="宋体"/>
              </w:rPr>
            </w:pPr>
          </w:p>
        </w:tc>
        <w:tc>
          <w:tcPr>
            <w:tcW w:w="584" w:type="pct"/>
            <w:shd w:val="clear" w:color="auto" w:fill="auto"/>
            <w:vAlign w:val="bottom"/>
          </w:tcPr>
          <w:p w14:paraId="74DE2345" w14:textId="77777777" w:rsidR="00584EC1" w:rsidRDefault="00584EC1">
            <w:pPr>
              <w:rPr>
                <w:rFonts w:ascii="宋体"/>
              </w:rPr>
            </w:pPr>
          </w:p>
        </w:tc>
        <w:tc>
          <w:tcPr>
            <w:tcW w:w="5" w:type="pct"/>
            <w:shd w:val="clear" w:color="auto" w:fill="auto"/>
            <w:vAlign w:val="bottom"/>
          </w:tcPr>
          <w:p w14:paraId="74DE2346" w14:textId="77777777" w:rsidR="00584EC1" w:rsidRDefault="00584EC1">
            <w:pPr>
              <w:rPr>
                <w:rFonts w:ascii="宋体"/>
              </w:rPr>
            </w:pPr>
          </w:p>
        </w:tc>
        <w:tc>
          <w:tcPr>
            <w:tcW w:w="5" w:type="pct"/>
            <w:shd w:val="clear" w:color="auto" w:fill="auto"/>
            <w:vAlign w:val="bottom"/>
          </w:tcPr>
          <w:p w14:paraId="74DE2347" w14:textId="77777777" w:rsidR="00584EC1" w:rsidRDefault="00584EC1">
            <w:pPr>
              <w:rPr>
                <w:rFonts w:ascii="宋体"/>
              </w:rPr>
            </w:pPr>
          </w:p>
        </w:tc>
        <w:tc>
          <w:tcPr>
            <w:tcW w:w="26" w:type="pct"/>
            <w:shd w:val="clear" w:color="auto" w:fill="auto"/>
            <w:vAlign w:val="bottom"/>
          </w:tcPr>
          <w:p w14:paraId="74DE2348" w14:textId="77777777" w:rsidR="00584EC1" w:rsidRDefault="00584EC1">
            <w:pPr>
              <w:rPr>
                <w:rFonts w:ascii="宋体"/>
              </w:rPr>
            </w:pPr>
          </w:p>
        </w:tc>
        <w:tc>
          <w:tcPr>
            <w:tcW w:w="5" w:type="pct"/>
            <w:shd w:val="clear" w:color="auto" w:fill="auto"/>
            <w:vAlign w:val="bottom"/>
          </w:tcPr>
          <w:p w14:paraId="74DE2349" w14:textId="77777777" w:rsidR="00584EC1" w:rsidRDefault="00584EC1">
            <w:pPr>
              <w:rPr>
                <w:rFonts w:ascii="宋体"/>
              </w:rPr>
            </w:pPr>
          </w:p>
        </w:tc>
        <w:tc>
          <w:tcPr>
            <w:tcW w:w="50" w:type="pct"/>
            <w:shd w:val="clear" w:color="auto" w:fill="auto"/>
            <w:vAlign w:val="bottom"/>
          </w:tcPr>
          <w:p w14:paraId="74DE234A" w14:textId="77777777" w:rsidR="00584EC1" w:rsidRDefault="00584EC1">
            <w:pPr>
              <w:rPr>
                <w:rFonts w:ascii="宋体"/>
              </w:rPr>
            </w:pPr>
          </w:p>
        </w:tc>
        <w:tc>
          <w:tcPr>
            <w:tcW w:w="584" w:type="pct"/>
            <w:shd w:val="clear" w:color="auto" w:fill="auto"/>
            <w:vAlign w:val="bottom"/>
          </w:tcPr>
          <w:p w14:paraId="74DE234B" w14:textId="77777777" w:rsidR="00584EC1" w:rsidRDefault="00584EC1">
            <w:pPr>
              <w:rPr>
                <w:rFonts w:ascii="宋体"/>
              </w:rPr>
            </w:pPr>
          </w:p>
        </w:tc>
        <w:tc>
          <w:tcPr>
            <w:tcW w:w="5" w:type="pct"/>
            <w:shd w:val="clear" w:color="auto" w:fill="auto"/>
            <w:vAlign w:val="bottom"/>
          </w:tcPr>
          <w:p w14:paraId="74DE234C" w14:textId="77777777" w:rsidR="00584EC1" w:rsidRDefault="00584EC1">
            <w:pPr>
              <w:rPr>
                <w:rFonts w:ascii="宋体"/>
              </w:rPr>
            </w:pPr>
          </w:p>
        </w:tc>
        <w:tc>
          <w:tcPr>
            <w:tcW w:w="0" w:type="auto"/>
            <w:gridSpan w:val="3"/>
            <w:shd w:val="clear" w:color="auto" w:fill="auto"/>
            <w:vAlign w:val="bottom"/>
          </w:tcPr>
          <w:p w14:paraId="74DE234D" w14:textId="77777777" w:rsidR="00584EC1" w:rsidRDefault="00584EC1">
            <w:pPr>
              <w:rPr>
                <w:rFonts w:ascii="宋体"/>
                <w:vanish/>
              </w:rPr>
            </w:pPr>
          </w:p>
        </w:tc>
        <w:tc>
          <w:tcPr>
            <w:tcW w:w="0" w:type="auto"/>
            <w:gridSpan w:val="3"/>
            <w:shd w:val="clear" w:color="auto" w:fill="auto"/>
            <w:vAlign w:val="bottom"/>
          </w:tcPr>
          <w:p w14:paraId="74DE234E" w14:textId="77777777" w:rsidR="00584EC1" w:rsidRDefault="00584EC1">
            <w:pPr>
              <w:rPr>
                <w:rFonts w:ascii="宋体"/>
                <w:vanish/>
              </w:rPr>
            </w:pPr>
          </w:p>
        </w:tc>
        <w:tc>
          <w:tcPr>
            <w:tcW w:w="0" w:type="auto"/>
            <w:gridSpan w:val="3"/>
            <w:shd w:val="clear" w:color="auto" w:fill="auto"/>
            <w:vAlign w:val="bottom"/>
          </w:tcPr>
          <w:p w14:paraId="74DE234F" w14:textId="77777777" w:rsidR="00584EC1" w:rsidRDefault="00584EC1">
            <w:pPr>
              <w:rPr>
                <w:rFonts w:ascii="宋体"/>
                <w:vanish/>
              </w:rPr>
            </w:pPr>
          </w:p>
        </w:tc>
        <w:tc>
          <w:tcPr>
            <w:tcW w:w="0" w:type="auto"/>
            <w:gridSpan w:val="3"/>
            <w:shd w:val="clear" w:color="auto" w:fill="auto"/>
            <w:vAlign w:val="bottom"/>
          </w:tcPr>
          <w:p w14:paraId="74DE2350" w14:textId="77777777" w:rsidR="00584EC1" w:rsidRDefault="00584EC1">
            <w:pPr>
              <w:rPr>
                <w:rFonts w:ascii="宋体"/>
                <w:vanish/>
              </w:rPr>
            </w:pPr>
          </w:p>
        </w:tc>
        <w:tc>
          <w:tcPr>
            <w:tcW w:w="0" w:type="auto"/>
            <w:gridSpan w:val="3"/>
            <w:shd w:val="clear" w:color="auto" w:fill="auto"/>
            <w:vAlign w:val="bottom"/>
          </w:tcPr>
          <w:p w14:paraId="74DE2351" w14:textId="77777777" w:rsidR="00584EC1" w:rsidRDefault="00584EC1">
            <w:pPr>
              <w:rPr>
                <w:rFonts w:ascii="宋体"/>
                <w:vanish/>
              </w:rPr>
            </w:pPr>
          </w:p>
        </w:tc>
        <w:tc>
          <w:tcPr>
            <w:tcW w:w="0" w:type="auto"/>
            <w:gridSpan w:val="3"/>
            <w:shd w:val="clear" w:color="auto" w:fill="auto"/>
            <w:vAlign w:val="bottom"/>
          </w:tcPr>
          <w:p w14:paraId="74DE2352" w14:textId="77777777" w:rsidR="00584EC1" w:rsidRDefault="00584EC1">
            <w:pPr>
              <w:rPr>
                <w:rFonts w:ascii="宋体"/>
                <w:vanish/>
              </w:rPr>
            </w:pPr>
          </w:p>
        </w:tc>
        <w:tc>
          <w:tcPr>
            <w:tcW w:w="0" w:type="auto"/>
            <w:gridSpan w:val="3"/>
            <w:shd w:val="clear" w:color="auto" w:fill="auto"/>
            <w:vAlign w:val="bottom"/>
          </w:tcPr>
          <w:p w14:paraId="74DE2353" w14:textId="77777777" w:rsidR="00584EC1" w:rsidRDefault="00584EC1">
            <w:pPr>
              <w:rPr>
                <w:rFonts w:ascii="宋体"/>
                <w:vanish/>
              </w:rPr>
            </w:pPr>
          </w:p>
        </w:tc>
        <w:tc>
          <w:tcPr>
            <w:tcW w:w="0" w:type="auto"/>
            <w:gridSpan w:val="3"/>
            <w:shd w:val="clear" w:color="auto" w:fill="auto"/>
            <w:vAlign w:val="bottom"/>
          </w:tcPr>
          <w:p w14:paraId="74DE2354" w14:textId="77777777" w:rsidR="00584EC1" w:rsidRDefault="00584EC1">
            <w:pPr>
              <w:rPr>
                <w:rFonts w:ascii="宋体"/>
                <w:vanish/>
              </w:rPr>
            </w:pPr>
          </w:p>
        </w:tc>
        <w:tc>
          <w:tcPr>
            <w:tcW w:w="0" w:type="auto"/>
            <w:gridSpan w:val="2"/>
            <w:shd w:val="clear" w:color="auto" w:fill="auto"/>
            <w:vAlign w:val="bottom"/>
          </w:tcPr>
          <w:p w14:paraId="74DE2355" w14:textId="77777777" w:rsidR="00584EC1" w:rsidRDefault="00584EC1">
            <w:pPr>
              <w:rPr>
                <w:rFonts w:ascii="宋体"/>
                <w:vanish/>
              </w:rPr>
            </w:pPr>
          </w:p>
        </w:tc>
        <w:tc>
          <w:tcPr>
            <w:tcW w:w="0" w:type="auto"/>
            <w:shd w:val="clear" w:color="auto" w:fill="auto"/>
            <w:vAlign w:val="bottom"/>
          </w:tcPr>
          <w:p w14:paraId="74DE2356" w14:textId="77777777" w:rsidR="00584EC1" w:rsidRDefault="00584EC1">
            <w:pPr>
              <w:rPr>
                <w:rFonts w:ascii="宋体"/>
                <w:vanish/>
              </w:rPr>
            </w:pPr>
          </w:p>
        </w:tc>
      </w:tr>
      <w:tr w:rsidR="00584EC1" w14:paraId="74DE2364" w14:textId="77777777">
        <w:tc>
          <w:tcPr>
            <w:tcW w:w="0" w:type="auto"/>
            <w:gridSpan w:val="3"/>
            <w:shd w:val="clear" w:color="auto" w:fill="auto"/>
            <w:tcMar>
              <w:top w:w="0" w:type="dxa"/>
              <w:left w:w="20" w:type="dxa"/>
              <w:bottom w:w="0" w:type="dxa"/>
              <w:right w:w="20" w:type="dxa"/>
            </w:tcMar>
            <w:vAlign w:val="bottom"/>
          </w:tcPr>
          <w:p w14:paraId="74DE2358" w14:textId="77777777" w:rsidR="00584EC1" w:rsidRDefault="00584EC1">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74DE2359" w14:textId="77777777" w:rsidR="00584EC1" w:rsidRDefault="00871F8D">
            <w:pPr>
              <w:jc w:val="center"/>
              <w:textAlignment w:val="bottom"/>
            </w:pPr>
            <w:r>
              <w:rPr>
                <w:rFonts w:ascii="Arial" w:eastAsia="宋体" w:hAnsi="Arial" w:cs="Arial"/>
                <w:b/>
                <w:bCs/>
                <w:color w:val="000000"/>
                <w:sz w:val="16"/>
                <w:szCs w:val="16"/>
              </w:rPr>
              <w:t>Three Months Ended September 30,</w:t>
            </w:r>
          </w:p>
        </w:tc>
        <w:tc>
          <w:tcPr>
            <w:tcW w:w="0" w:type="auto"/>
            <w:gridSpan w:val="3"/>
            <w:shd w:val="clear" w:color="auto" w:fill="auto"/>
            <w:vAlign w:val="bottom"/>
          </w:tcPr>
          <w:p w14:paraId="74DE235A" w14:textId="77777777" w:rsidR="00584EC1" w:rsidRDefault="00584EC1">
            <w:pPr>
              <w:rPr>
                <w:rFonts w:ascii="宋体"/>
                <w:vanish/>
              </w:rPr>
            </w:pPr>
          </w:p>
        </w:tc>
        <w:tc>
          <w:tcPr>
            <w:tcW w:w="0" w:type="auto"/>
            <w:gridSpan w:val="3"/>
            <w:shd w:val="clear" w:color="auto" w:fill="auto"/>
            <w:vAlign w:val="bottom"/>
          </w:tcPr>
          <w:p w14:paraId="74DE235B" w14:textId="77777777" w:rsidR="00584EC1" w:rsidRDefault="00584EC1">
            <w:pPr>
              <w:rPr>
                <w:rFonts w:ascii="宋体"/>
                <w:vanish/>
              </w:rPr>
            </w:pPr>
          </w:p>
        </w:tc>
        <w:tc>
          <w:tcPr>
            <w:tcW w:w="0" w:type="auto"/>
            <w:gridSpan w:val="3"/>
            <w:shd w:val="clear" w:color="auto" w:fill="auto"/>
            <w:vAlign w:val="bottom"/>
          </w:tcPr>
          <w:p w14:paraId="74DE235C" w14:textId="77777777" w:rsidR="00584EC1" w:rsidRDefault="00584EC1">
            <w:pPr>
              <w:rPr>
                <w:rFonts w:ascii="宋体"/>
                <w:vanish/>
              </w:rPr>
            </w:pPr>
          </w:p>
        </w:tc>
        <w:tc>
          <w:tcPr>
            <w:tcW w:w="0" w:type="auto"/>
            <w:gridSpan w:val="3"/>
            <w:shd w:val="clear" w:color="auto" w:fill="auto"/>
            <w:vAlign w:val="bottom"/>
          </w:tcPr>
          <w:p w14:paraId="74DE235D" w14:textId="77777777" w:rsidR="00584EC1" w:rsidRDefault="00584EC1">
            <w:pPr>
              <w:rPr>
                <w:rFonts w:ascii="宋体"/>
                <w:vanish/>
              </w:rPr>
            </w:pPr>
          </w:p>
        </w:tc>
        <w:tc>
          <w:tcPr>
            <w:tcW w:w="0" w:type="auto"/>
            <w:gridSpan w:val="3"/>
            <w:shd w:val="clear" w:color="auto" w:fill="auto"/>
            <w:vAlign w:val="bottom"/>
          </w:tcPr>
          <w:p w14:paraId="74DE235E" w14:textId="77777777" w:rsidR="00584EC1" w:rsidRDefault="00584EC1">
            <w:pPr>
              <w:rPr>
                <w:rFonts w:ascii="宋体"/>
                <w:vanish/>
              </w:rPr>
            </w:pPr>
          </w:p>
        </w:tc>
        <w:tc>
          <w:tcPr>
            <w:tcW w:w="0" w:type="auto"/>
            <w:gridSpan w:val="3"/>
            <w:shd w:val="clear" w:color="auto" w:fill="auto"/>
            <w:vAlign w:val="bottom"/>
          </w:tcPr>
          <w:p w14:paraId="74DE235F" w14:textId="77777777" w:rsidR="00584EC1" w:rsidRDefault="00584EC1">
            <w:pPr>
              <w:rPr>
                <w:rFonts w:ascii="宋体"/>
                <w:vanish/>
              </w:rPr>
            </w:pPr>
          </w:p>
        </w:tc>
        <w:tc>
          <w:tcPr>
            <w:tcW w:w="0" w:type="auto"/>
            <w:gridSpan w:val="3"/>
            <w:shd w:val="clear" w:color="auto" w:fill="auto"/>
            <w:vAlign w:val="bottom"/>
          </w:tcPr>
          <w:p w14:paraId="74DE2360" w14:textId="77777777" w:rsidR="00584EC1" w:rsidRDefault="00584EC1">
            <w:pPr>
              <w:rPr>
                <w:rFonts w:ascii="宋体"/>
                <w:vanish/>
              </w:rPr>
            </w:pPr>
          </w:p>
        </w:tc>
        <w:tc>
          <w:tcPr>
            <w:tcW w:w="0" w:type="auto"/>
            <w:gridSpan w:val="3"/>
            <w:shd w:val="clear" w:color="auto" w:fill="auto"/>
            <w:vAlign w:val="bottom"/>
          </w:tcPr>
          <w:p w14:paraId="74DE2361" w14:textId="77777777" w:rsidR="00584EC1" w:rsidRDefault="00584EC1">
            <w:pPr>
              <w:rPr>
                <w:rFonts w:ascii="宋体"/>
                <w:vanish/>
              </w:rPr>
            </w:pPr>
          </w:p>
        </w:tc>
        <w:tc>
          <w:tcPr>
            <w:tcW w:w="0" w:type="auto"/>
            <w:gridSpan w:val="2"/>
            <w:shd w:val="clear" w:color="auto" w:fill="auto"/>
            <w:vAlign w:val="bottom"/>
          </w:tcPr>
          <w:p w14:paraId="74DE2362" w14:textId="77777777" w:rsidR="00584EC1" w:rsidRDefault="00584EC1">
            <w:pPr>
              <w:rPr>
                <w:rFonts w:ascii="宋体"/>
                <w:vanish/>
              </w:rPr>
            </w:pPr>
          </w:p>
        </w:tc>
        <w:tc>
          <w:tcPr>
            <w:tcW w:w="0" w:type="auto"/>
            <w:shd w:val="clear" w:color="auto" w:fill="auto"/>
            <w:vAlign w:val="bottom"/>
          </w:tcPr>
          <w:p w14:paraId="74DE2363" w14:textId="77777777" w:rsidR="00584EC1" w:rsidRDefault="00584EC1">
            <w:pPr>
              <w:rPr>
                <w:rFonts w:ascii="宋体"/>
                <w:vanish/>
              </w:rPr>
            </w:pPr>
          </w:p>
        </w:tc>
      </w:tr>
      <w:tr w:rsidR="00584EC1" w14:paraId="74DE2373" w14:textId="77777777">
        <w:tc>
          <w:tcPr>
            <w:tcW w:w="0" w:type="auto"/>
            <w:gridSpan w:val="3"/>
            <w:shd w:val="clear" w:color="auto" w:fill="auto"/>
            <w:tcMar>
              <w:top w:w="0" w:type="dxa"/>
              <w:left w:w="20" w:type="dxa"/>
              <w:bottom w:w="0" w:type="dxa"/>
              <w:right w:w="20" w:type="dxa"/>
            </w:tcMar>
            <w:vAlign w:val="bottom"/>
          </w:tcPr>
          <w:p w14:paraId="74DE2365" w14:textId="77777777" w:rsidR="00584EC1" w:rsidRDefault="00584EC1">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4DE2366" w14:textId="77777777" w:rsidR="00584EC1" w:rsidRDefault="00871F8D">
            <w:pPr>
              <w:jc w:val="center"/>
              <w:textAlignment w:val="bottom"/>
            </w:pPr>
            <w:r>
              <w:rPr>
                <w:rFonts w:ascii="Arial" w:eastAsia="宋体" w:hAnsi="Arial" w:cs="Arial"/>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2367" w14:textId="77777777" w:rsidR="00584EC1" w:rsidRDefault="00584EC1">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4DE2368" w14:textId="77777777" w:rsidR="00584EC1" w:rsidRDefault="00871F8D">
            <w:pPr>
              <w:jc w:val="center"/>
              <w:textAlignment w:val="bottom"/>
            </w:pPr>
            <w:r>
              <w:rPr>
                <w:rFonts w:ascii="Arial" w:eastAsia="宋体" w:hAnsi="Arial" w:cs="Arial"/>
                <w:b/>
                <w:bCs/>
                <w:color w:val="000000"/>
                <w:sz w:val="16"/>
                <w:szCs w:val="16"/>
              </w:rPr>
              <w:t>2020</w:t>
            </w:r>
          </w:p>
        </w:tc>
        <w:tc>
          <w:tcPr>
            <w:tcW w:w="0" w:type="auto"/>
            <w:gridSpan w:val="3"/>
            <w:shd w:val="clear" w:color="auto" w:fill="auto"/>
            <w:vAlign w:val="bottom"/>
          </w:tcPr>
          <w:p w14:paraId="74DE2369" w14:textId="77777777" w:rsidR="00584EC1" w:rsidRDefault="00584EC1">
            <w:pPr>
              <w:rPr>
                <w:rFonts w:ascii="宋体"/>
                <w:vanish/>
              </w:rPr>
            </w:pPr>
          </w:p>
        </w:tc>
        <w:tc>
          <w:tcPr>
            <w:tcW w:w="0" w:type="auto"/>
            <w:gridSpan w:val="3"/>
            <w:shd w:val="clear" w:color="auto" w:fill="auto"/>
            <w:vAlign w:val="bottom"/>
          </w:tcPr>
          <w:p w14:paraId="74DE236A" w14:textId="77777777" w:rsidR="00584EC1" w:rsidRDefault="00584EC1">
            <w:pPr>
              <w:rPr>
                <w:rFonts w:ascii="宋体"/>
                <w:vanish/>
              </w:rPr>
            </w:pPr>
          </w:p>
        </w:tc>
        <w:tc>
          <w:tcPr>
            <w:tcW w:w="0" w:type="auto"/>
            <w:gridSpan w:val="3"/>
            <w:shd w:val="clear" w:color="auto" w:fill="auto"/>
            <w:vAlign w:val="bottom"/>
          </w:tcPr>
          <w:p w14:paraId="74DE236B" w14:textId="77777777" w:rsidR="00584EC1" w:rsidRDefault="00584EC1">
            <w:pPr>
              <w:rPr>
                <w:rFonts w:ascii="宋体"/>
                <w:vanish/>
              </w:rPr>
            </w:pPr>
          </w:p>
        </w:tc>
        <w:tc>
          <w:tcPr>
            <w:tcW w:w="0" w:type="auto"/>
            <w:gridSpan w:val="3"/>
            <w:shd w:val="clear" w:color="auto" w:fill="auto"/>
            <w:vAlign w:val="bottom"/>
          </w:tcPr>
          <w:p w14:paraId="74DE236C" w14:textId="77777777" w:rsidR="00584EC1" w:rsidRDefault="00584EC1">
            <w:pPr>
              <w:rPr>
                <w:rFonts w:ascii="宋体"/>
                <w:vanish/>
              </w:rPr>
            </w:pPr>
          </w:p>
        </w:tc>
        <w:tc>
          <w:tcPr>
            <w:tcW w:w="0" w:type="auto"/>
            <w:gridSpan w:val="3"/>
            <w:shd w:val="clear" w:color="auto" w:fill="auto"/>
            <w:vAlign w:val="bottom"/>
          </w:tcPr>
          <w:p w14:paraId="74DE236D" w14:textId="77777777" w:rsidR="00584EC1" w:rsidRDefault="00584EC1">
            <w:pPr>
              <w:rPr>
                <w:rFonts w:ascii="宋体"/>
                <w:vanish/>
              </w:rPr>
            </w:pPr>
          </w:p>
        </w:tc>
        <w:tc>
          <w:tcPr>
            <w:tcW w:w="0" w:type="auto"/>
            <w:gridSpan w:val="3"/>
            <w:shd w:val="clear" w:color="auto" w:fill="auto"/>
            <w:vAlign w:val="bottom"/>
          </w:tcPr>
          <w:p w14:paraId="74DE236E" w14:textId="77777777" w:rsidR="00584EC1" w:rsidRDefault="00584EC1">
            <w:pPr>
              <w:rPr>
                <w:rFonts w:ascii="宋体"/>
                <w:vanish/>
              </w:rPr>
            </w:pPr>
          </w:p>
        </w:tc>
        <w:tc>
          <w:tcPr>
            <w:tcW w:w="0" w:type="auto"/>
            <w:gridSpan w:val="3"/>
            <w:shd w:val="clear" w:color="auto" w:fill="auto"/>
            <w:vAlign w:val="bottom"/>
          </w:tcPr>
          <w:p w14:paraId="74DE236F" w14:textId="77777777" w:rsidR="00584EC1" w:rsidRDefault="00584EC1">
            <w:pPr>
              <w:rPr>
                <w:rFonts w:ascii="宋体"/>
                <w:vanish/>
              </w:rPr>
            </w:pPr>
          </w:p>
        </w:tc>
        <w:tc>
          <w:tcPr>
            <w:tcW w:w="0" w:type="auto"/>
            <w:gridSpan w:val="3"/>
            <w:shd w:val="clear" w:color="auto" w:fill="auto"/>
            <w:vAlign w:val="bottom"/>
          </w:tcPr>
          <w:p w14:paraId="74DE2370" w14:textId="77777777" w:rsidR="00584EC1" w:rsidRDefault="00584EC1">
            <w:pPr>
              <w:rPr>
                <w:rFonts w:ascii="宋体"/>
                <w:vanish/>
              </w:rPr>
            </w:pPr>
          </w:p>
        </w:tc>
        <w:tc>
          <w:tcPr>
            <w:tcW w:w="0" w:type="auto"/>
            <w:gridSpan w:val="2"/>
            <w:shd w:val="clear" w:color="auto" w:fill="auto"/>
            <w:vAlign w:val="bottom"/>
          </w:tcPr>
          <w:p w14:paraId="74DE2371" w14:textId="77777777" w:rsidR="00584EC1" w:rsidRDefault="00584EC1">
            <w:pPr>
              <w:rPr>
                <w:rFonts w:ascii="宋体"/>
                <w:vanish/>
              </w:rPr>
            </w:pPr>
          </w:p>
        </w:tc>
        <w:tc>
          <w:tcPr>
            <w:tcW w:w="0" w:type="auto"/>
            <w:shd w:val="clear" w:color="auto" w:fill="auto"/>
            <w:vAlign w:val="bottom"/>
          </w:tcPr>
          <w:p w14:paraId="74DE2372" w14:textId="77777777" w:rsidR="00584EC1" w:rsidRDefault="00584EC1">
            <w:pPr>
              <w:rPr>
                <w:rFonts w:ascii="宋体"/>
                <w:vanish/>
              </w:rPr>
            </w:pPr>
          </w:p>
        </w:tc>
      </w:tr>
      <w:tr w:rsidR="00584EC1" w14:paraId="74DE238A" w14:textId="77777777">
        <w:tc>
          <w:tcPr>
            <w:tcW w:w="0" w:type="auto"/>
            <w:gridSpan w:val="3"/>
            <w:shd w:val="clear" w:color="auto" w:fill="auto"/>
            <w:tcMar>
              <w:top w:w="40" w:type="dxa"/>
              <w:left w:w="20" w:type="dxa"/>
              <w:bottom w:w="40" w:type="dxa"/>
              <w:right w:w="20" w:type="dxa"/>
            </w:tcMar>
            <w:vAlign w:val="bottom"/>
          </w:tcPr>
          <w:p w14:paraId="74DE2374" w14:textId="77777777" w:rsidR="00584EC1" w:rsidRDefault="00871F8D">
            <w:pPr>
              <w:textAlignment w:val="bottom"/>
            </w:pPr>
            <w:r>
              <w:rPr>
                <w:rFonts w:ascii="Arial" w:eastAsia="宋体" w:hAnsi="Arial" w:cs="Arial"/>
                <w:b/>
                <w:bCs/>
                <w:color w:val="000000"/>
                <w:sz w:val="16"/>
                <w:szCs w:val="16"/>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2375" w14:textId="77777777" w:rsidR="00584EC1" w:rsidRDefault="00871F8D">
            <w:pPr>
              <w:jc w:val="center"/>
              <w:textAlignment w:val="bottom"/>
            </w:pPr>
            <w:r>
              <w:rPr>
                <w:rFonts w:ascii="Arial" w:eastAsia="宋体" w:hAnsi="Arial" w:cs="Arial"/>
                <w:b/>
                <w:bCs/>
                <w:color w:val="000000"/>
                <w:sz w:val="16"/>
                <w:szCs w:val="16"/>
              </w:rPr>
              <w:t>Non-U.S.</w:t>
            </w:r>
            <w:r>
              <w:rPr>
                <w:rFonts w:ascii="Arial" w:eastAsia="宋体" w:hAnsi="Arial" w:cs="Arial"/>
                <w:b/>
                <w:bCs/>
                <w:color w:val="000000"/>
                <w:sz w:val="10"/>
                <w:szCs w:val="10"/>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2376"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2377" w14:textId="77777777" w:rsidR="00584EC1" w:rsidRDefault="00871F8D">
            <w:pPr>
              <w:jc w:val="center"/>
              <w:textAlignment w:val="bottom"/>
            </w:pPr>
            <w:r>
              <w:rPr>
                <w:rFonts w:ascii="Arial" w:eastAsia="宋体" w:hAnsi="Arial" w:cs="Arial"/>
                <w:b/>
                <w:bCs/>
                <w:color w:val="000000"/>
                <w:sz w:val="16"/>
                <w:szCs w:val="16"/>
              </w:rPr>
              <w:t>U.S.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2378"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2379" w14:textId="77777777" w:rsidR="00584EC1" w:rsidRDefault="00871F8D">
            <w:pPr>
              <w:jc w:val="center"/>
              <w:textAlignment w:val="bottom"/>
            </w:pPr>
            <w:r>
              <w:rPr>
                <w:rFonts w:ascii="Arial" w:eastAsia="宋体" w:hAnsi="Arial" w:cs="Arial"/>
                <w:b/>
                <w:bCs/>
                <w:color w:val="000000"/>
                <w:sz w:val="16"/>
                <w:szCs w:val="16"/>
              </w:rPr>
              <w:t>Total</w:t>
            </w:r>
          </w:p>
        </w:tc>
        <w:tc>
          <w:tcPr>
            <w:tcW w:w="0" w:type="auto"/>
            <w:gridSpan w:val="3"/>
            <w:shd w:val="clear" w:color="auto" w:fill="auto"/>
            <w:tcMar>
              <w:top w:w="0" w:type="dxa"/>
              <w:left w:w="20" w:type="dxa"/>
              <w:bottom w:w="0" w:type="dxa"/>
              <w:right w:w="20" w:type="dxa"/>
            </w:tcMar>
            <w:vAlign w:val="bottom"/>
          </w:tcPr>
          <w:p w14:paraId="74DE237A"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237B" w14:textId="77777777" w:rsidR="00584EC1" w:rsidRDefault="00871F8D">
            <w:pPr>
              <w:jc w:val="center"/>
              <w:textAlignment w:val="bottom"/>
            </w:pPr>
            <w:r>
              <w:rPr>
                <w:rFonts w:ascii="Arial" w:eastAsia="宋体" w:hAnsi="Arial" w:cs="Arial"/>
                <w:b/>
                <w:bCs/>
                <w:color w:val="000000"/>
                <w:sz w:val="16"/>
                <w:szCs w:val="16"/>
              </w:rPr>
              <w:t>Non-U.S.</w:t>
            </w:r>
            <w:r>
              <w:rPr>
                <w:rFonts w:ascii="Arial" w:eastAsia="宋体" w:hAnsi="Arial" w:cs="Arial"/>
                <w:b/>
                <w:bCs/>
                <w:color w:val="000000"/>
                <w:sz w:val="10"/>
                <w:szCs w:val="10"/>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237C"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237D" w14:textId="77777777" w:rsidR="00584EC1" w:rsidRDefault="00871F8D">
            <w:pPr>
              <w:jc w:val="center"/>
              <w:textAlignment w:val="bottom"/>
            </w:pPr>
            <w:r>
              <w:rPr>
                <w:rFonts w:ascii="Arial" w:eastAsia="宋体" w:hAnsi="Arial" w:cs="Arial"/>
                <w:b/>
                <w:bCs/>
                <w:color w:val="000000"/>
                <w:sz w:val="16"/>
                <w:szCs w:val="16"/>
              </w:rPr>
              <w:t>U.S.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237E"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237F" w14:textId="77777777" w:rsidR="00584EC1" w:rsidRDefault="00871F8D">
            <w:pPr>
              <w:jc w:val="center"/>
              <w:textAlignment w:val="bottom"/>
            </w:pPr>
            <w:r>
              <w:rPr>
                <w:rFonts w:ascii="Arial" w:eastAsia="宋体" w:hAnsi="Arial" w:cs="Arial"/>
                <w:b/>
                <w:bCs/>
                <w:color w:val="000000"/>
                <w:sz w:val="16"/>
                <w:szCs w:val="16"/>
              </w:rPr>
              <w:t>Total</w:t>
            </w:r>
          </w:p>
        </w:tc>
        <w:tc>
          <w:tcPr>
            <w:tcW w:w="0" w:type="auto"/>
            <w:gridSpan w:val="3"/>
            <w:shd w:val="clear" w:color="auto" w:fill="auto"/>
            <w:vAlign w:val="bottom"/>
          </w:tcPr>
          <w:p w14:paraId="74DE2380" w14:textId="77777777" w:rsidR="00584EC1" w:rsidRDefault="00584EC1">
            <w:pPr>
              <w:rPr>
                <w:rFonts w:ascii="宋体"/>
                <w:vanish/>
              </w:rPr>
            </w:pPr>
          </w:p>
        </w:tc>
        <w:tc>
          <w:tcPr>
            <w:tcW w:w="0" w:type="auto"/>
            <w:gridSpan w:val="3"/>
            <w:shd w:val="clear" w:color="auto" w:fill="auto"/>
            <w:vAlign w:val="bottom"/>
          </w:tcPr>
          <w:p w14:paraId="74DE2381" w14:textId="77777777" w:rsidR="00584EC1" w:rsidRDefault="00584EC1">
            <w:pPr>
              <w:rPr>
                <w:rFonts w:ascii="宋体"/>
                <w:vanish/>
              </w:rPr>
            </w:pPr>
          </w:p>
        </w:tc>
        <w:tc>
          <w:tcPr>
            <w:tcW w:w="0" w:type="auto"/>
            <w:gridSpan w:val="3"/>
            <w:shd w:val="clear" w:color="auto" w:fill="auto"/>
            <w:vAlign w:val="bottom"/>
          </w:tcPr>
          <w:p w14:paraId="74DE2382" w14:textId="77777777" w:rsidR="00584EC1" w:rsidRDefault="00584EC1">
            <w:pPr>
              <w:rPr>
                <w:rFonts w:ascii="宋体"/>
                <w:vanish/>
              </w:rPr>
            </w:pPr>
          </w:p>
        </w:tc>
        <w:tc>
          <w:tcPr>
            <w:tcW w:w="0" w:type="auto"/>
            <w:gridSpan w:val="3"/>
            <w:shd w:val="clear" w:color="auto" w:fill="auto"/>
            <w:vAlign w:val="bottom"/>
          </w:tcPr>
          <w:p w14:paraId="74DE2383" w14:textId="77777777" w:rsidR="00584EC1" w:rsidRDefault="00584EC1">
            <w:pPr>
              <w:rPr>
                <w:rFonts w:ascii="宋体"/>
                <w:vanish/>
              </w:rPr>
            </w:pPr>
          </w:p>
        </w:tc>
        <w:tc>
          <w:tcPr>
            <w:tcW w:w="0" w:type="auto"/>
            <w:gridSpan w:val="3"/>
            <w:shd w:val="clear" w:color="auto" w:fill="auto"/>
            <w:vAlign w:val="bottom"/>
          </w:tcPr>
          <w:p w14:paraId="74DE2384" w14:textId="77777777" w:rsidR="00584EC1" w:rsidRDefault="00584EC1">
            <w:pPr>
              <w:rPr>
                <w:rFonts w:ascii="宋体"/>
                <w:vanish/>
              </w:rPr>
            </w:pPr>
          </w:p>
        </w:tc>
        <w:tc>
          <w:tcPr>
            <w:tcW w:w="0" w:type="auto"/>
            <w:gridSpan w:val="3"/>
            <w:shd w:val="clear" w:color="auto" w:fill="auto"/>
            <w:vAlign w:val="bottom"/>
          </w:tcPr>
          <w:p w14:paraId="74DE2385" w14:textId="77777777" w:rsidR="00584EC1" w:rsidRDefault="00584EC1">
            <w:pPr>
              <w:rPr>
                <w:rFonts w:ascii="宋体"/>
                <w:vanish/>
              </w:rPr>
            </w:pPr>
          </w:p>
        </w:tc>
        <w:tc>
          <w:tcPr>
            <w:tcW w:w="0" w:type="auto"/>
            <w:gridSpan w:val="3"/>
            <w:shd w:val="clear" w:color="auto" w:fill="auto"/>
            <w:vAlign w:val="bottom"/>
          </w:tcPr>
          <w:p w14:paraId="74DE2386" w14:textId="77777777" w:rsidR="00584EC1" w:rsidRDefault="00584EC1">
            <w:pPr>
              <w:rPr>
                <w:rFonts w:ascii="宋体"/>
                <w:vanish/>
              </w:rPr>
            </w:pPr>
          </w:p>
        </w:tc>
        <w:tc>
          <w:tcPr>
            <w:tcW w:w="0" w:type="auto"/>
            <w:gridSpan w:val="3"/>
            <w:shd w:val="clear" w:color="auto" w:fill="auto"/>
            <w:vAlign w:val="bottom"/>
          </w:tcPr>
          <w:p w14:paraId="74DE2387" w14:textId="77777777" w:rsidR="00584EC1" w:rsidRDefault="00584EC1">
            <w:pPr>
              <w:rPr>
                <w:rFonts w:ascii="宋体"/>
                <w:vanish/>
              </w:rPr>
            </w:pPr>
          </w:p>
        </w:tc>
        <w:tc>
          <w:tcPr>
            <w:tcW w:w="0" w:type="auto"/>
            <w:gridSpan w:val="2"/>
            <w:shd w:val="clear" w:color="auto" w:fill="auto"/>
            <w:vAlign w:val="bottom"/>
          </w:tcPr>
          <w:p w14:paraId="74DE2388" w14:textId="77777777" w:rsidR="00584EC1" w:rsidRDefault="00584EC1">
            <w:pPr>
              <w:rPr>
                <w:rFonts w:ascii="宋体"/>
                <w:vanish/>
              </w:rPr>
            </w:pPr>
          </w:p>
        </w:tc>
        <w:tc>
          <w:tcPr>
            <w:tcW w:w="0" w:type="auto"/>
            <w:shd w:val="clear" w:color="auto" w:fill="auto"/>
            <w:vAlign w:val="bottom"/>
          </w:tcPr>
          <w:p w14:paraId="74DE2389" w14:textId="77777777" w:rsidR="00584EC1" w:rsidRDefault="00584EC1">
            <w:pPr>
              <w:rPr>
                <w:rFonts w:ascii="宋体"/>
                <w:vanish/>
              </w:rPr>
            </w:pPr>
          </w:p>
        </w:tc>
      </w:tr>
      <w:tr w:rsidR="00584EC1" w14:paraId="74DE23AD" w14:textId="77777777">
        <w:tc>
          <w:tcPr>
            <w:tcW w:w="0" w:type="auto"/>
            <w:gridSpan w:val="3"/>
            <w:shd w:val="clear" w:color="auto" w:fill="CCEEFF"/>
            <w:tcMar>
              <w:top w:w="40" w:type="dxa"/>
              <w:left w:w="20" w:type="dxa"/>
              <w:bottom w:w="40" w:type="dxa"/>
              <w:right w:w="20" w:type="dxa"/>
            </w:tcMar>
            <w:vAlign w:val="bottom"/>
          </w:tcPr>
          <w:p w14:paraId="74DE238B" w14:textId="77777777" w:rsidR="00584EC1" w:rsidRDefault="00871F8D">
            <w:pPr>
              <w:textAlignment w:val="bottom"/>
            </w:pPr>
            <w:r>
              <w:rPr>
                <w:rFonts w:ascii="Arial" w:eastAsia="宋体" w:hAnsi="Arial" w:cs="Arial"/>
                <w:color w:val="000000"/>
                <w:sz w:val="16"/>
                <w:szCs w:val="16"/>
              </w:rPr>
              <w:t>Total revenue</w:t>
            </w:r>
          </w:p>
        </w:tc>
        <w:tc>
          <w:tcPr>
            <w:tcW w:w="0" w:type="auto"/>
            <w:tcBorders>
              <w:top w:val="single" w:sz="8" w:space="0" w:color="000000"/>
            </w:tcBorders>
            <w:shd w:val="clear" w:color="auto" w:fill="CCEEFF"/>
            <w:tcMar>
              <w:top w:w="40" w:type="dxa"/>
              <w:left w:w="20" w:type="dxa"/>
              <w:bottom w:w="40" w:type="dxa"/>
              <w:right w:w="0" w:type="dxa"/>
            </w:tcMar>
            <w:vAlign w:val="bottom"/>
          </w:tcPr>
          <w:p w14:paraId="74DE238C" w14:textId="77777777" w:rsidR="00584EC1" w:rsidRDefault="00871F8D">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238D" w14:textId="77777777" w:rsidR="00584EC1" w:rsidRDefault="00871F8D">
            <w:pPr>
              <w:jc w:val="right"/>
              <w:textAlignment w:val="bottom"/>
            </w:pPr>
            <w:r>
              <w:rPr>
                <w:rFonts w:ascii="Arial" w:eastAsia="宋体" w:hAnsi="Arial" w:cs="Arial"/>
                <w:b/>
                <w:bCs/>
                <w:color w:val="000000"/>
                <w:sz w:val="16"/>
                <w:szCs w:val="16"/>
              </w:rPr>
              <w:t>1,331</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238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238F"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2390" w14:textId="77777777" w:rsidR="00584EC1" w:rsidRDefault="00871F8D">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2391" w14:textId="77777777" w:rsidR="00584EC1" w:rsidRDefault="00871F8D">
            <w:pPr>
              <w:jc w:val="right"/>
              <w:textAlignment w:val="bottom"/>
            </w:pPr>
            <w:r>
              <w:rPr>
                <w:rFonts w:ascii="Arial" w:eastAsia="宋体" w:hAnsi="Arial" w:cs="Arial"/>
                <w:b/>
                <w:bCs/>
                <w:color w:val="000000"/>
                <w:sz w:val="16"/>
                <w:szCs w:val="16"/>
              </w:rPr>
              <w:t>1,659</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239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2393"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2394" w14:textId="77777777" w:rsidR="00584EC1" w:rsidRDefault="00871F8D">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2395" w14:textId="77777777" w:rsidR="00584EC1" w:rsidRDefault="00871F8D">
            <w:pPr>
              <w:jc w:val="right"/>
              <w:textAlignment w:val="bottom"/>
            </w:pPr>
            <w:r>
              <w:rPr>
                <w:rFonts w:ascii="Arial" w:eastAsia="宋体" w:hAnsi="Arial" w:cs="Arial"/>
                <w:b/>
                <w:bCs/>
                <w:color w:val="000000"/>
                <w:sz w:val="16"/>
                <w:szCs w:val="16"/>
              </w:rPr>
              <w:t>2,990</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239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2397"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2398" w14:textId="77777777" w:rsidR="00584EC1" w:rsidRDefault="00871F8D">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2399" w14:textId="77777777" w:rsidR="00584EC1" w:rsidRDefault="00871F8D">
            <w:pPr>
              <w:jc w:val="right"/>
              <w:textAlignment w:val="bottom"/>
            </w:pPr>
            <w:r>
              <w:rPr>
                <w:rFonts w:ascii="Arial" w:eastAsia="宋体" w:hAnsi="Arial" w:cs="Arial"/>
                <w:color w:val="000000"/>
                <w:sz w:val="16"/>
                <w:szCs w:val="16"/>
              </w:rPr>
              <w:t>1,268 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239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239B"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239C" w14:textId="77777777" w:rsidR="00584EC1" w:rsidRDefault="00871F8D">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239D" w14:textId="77777777" w:rsidR="00584EC1" w:rsidRDefault="00871F8D">
            <w:pPr>
              <w:jc w:val="right"/>
              <w:textAlignment w:val="bottom"/>
            </w:pPr>
            <w:r>
              <w:rPr>
                <w:rFonts w:ascii="Arial" w:eastAsia="宋体" w:hAnsi="Arial" w:cs="Arial"/>
                <w:color w:val="000000"/>
                <w:sz w:val="16"/>
                <w:szCs w:val="16"/>
              </w:rPr>
              <w:t>1,516 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239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239F"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23A0" w14:textId="77777777" w:rsidR="00584EC1" w:rsidRDefault="00871F8D">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23A1" w14:textId="77777777" w:rsidR="00584EC1" w:rsidRDefault="00871F8D">
            <w:pPr>
              <w:jc w:val="right"/>
              <w:textAlignment w:val="bottom"/>
            </w:pPr>
            <w:r>
              <w:rPr>
                <w:rFonts w:ascii="Arial" w:eastAsia="宋体" w:hAnsi="Arial" w:cs="Arial"/>
                <w:color w:val="000000"/>
                <w:sz w:val="16"/>
                <w:szCs w:val="16"/>
              </w:rPr>
              <w:t>2,784 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23A2" w14:textId="77777777" w:rsidR="00584EC1" w:rsidRDefault="00584EC1">
            <w:pPr>
              <w:jc w:val="right"/>
              <w:rPr>
                <w:rFonts w:ascii="宋体"/>
              </w:rPr>
            </w:pPr>
          </w:p>
        </w:tc>
        <w:tc>
          <w:tcPr>
            <w:tcW w:w="0" w:type="auto"/>
            <w:gridSpan w:val="3"/>
            <w:shd w:val="clear" w:color="auto" w:fill="auto"/>
            <w:vAlign w:val="bottom"/>
          </w:tcPr>
          <w:p w14:paraId="74DE23A3" w14:textId="77777777" w:rsidR="00584EC1" w:rsidRDefault="00584EC1">
            <w:pPr>
              <w:rPr>
                <w:rFonts w:ascii="宋体"/>
                <w:vanish/>
              </w:rPr>
            </w:pPr>
          </w:p>
        </w:tc>
        <w:tc>
          <w:tcPr>
            <w:tcW w:w="0" w:type="auto"/>
            <w:gridSpan w:val="3"/>
            <w:shd w:val="clear" w:color="auto" w:fill="auto"/>
            <w:vAlign w:val="bottom"/>
          </w:tcPr>
          <w:p w14:paraId="74DE23A4" w14:textId="77777777" w:rsidR="00584EC1" w:rsidRDefault="00584EC1">
            <w:pPr>
              <w:rPr>
                <w:rFonts w:ascii="宋体"/>
                <w:vanish/>
              </w:rPr>
            </w:pPr>
          </w:p>
        </w:tc>
        <w:tc>
          <w:tcPr>
            <w:tcW w:w="0" w:type="auto"/>
            <w:gridSpan w:val="3"/>
            <w:shd w:val="clear" w:color="auto" w:fill="auto"/>
            <w:vAlign w:val="bottom"/>
          </w:tcPr>
          <w:p w14:paraId="74DE23A5" w14:textId="77777777" w:rsidR="00584EC1" w:rsidRDefault="00584EC1">
            <w:pPr>
              <w:rPr>
                <w:rFonts w:ascii="宋体"/>
                <w:vanish/>
              </w:rPr>
            </w:pPr>
          </w:p>
        </w:tc>
        <w:tc>
          <w:tcPr>
            <w:tcW w:w="0" w:type="auto"/>
            <w:gridSpan w:val="3"/>
            <w:shd w:val="clear" w:color="auto" w:fill="auto"/>
            <w:vAlign w:val="bottom"/>
          </w:tcPr>
          <w:p w14:paraId="74DE23A6" w14:textId="77777777" w:rsidR="00584EC1" w:rsidRDefault="00584EC1">
            <w:pPr>
              <w:rPr>
                <w:rFonts w:ascii="宋体"/>
                <w:vanish/>
              </w:rPr>
            </w:pPr>
          </w:p>
        </w:tc>
        <w:tc>
          <w:tcPr>
            <w:tcW w:w="0" w:type="auto"/>
            <w:gridSpan w:val="3"/>
            <w:shd w:val="clear" w:color="auto" w:fill="auto"/>
            <w:vAlign w:val="bottom"/>
          </w:tcPr>
          <w:p w14:paraId="74DE23A7" w14:textId="77777777" w:rsidR="00584EC1" w:rsidRDefault="00584EC1">
            <w:pPr>
              <w:rPr>
                <w:rFonts w:ascii="宋体"/>
                <w:vanish/>
              </w:rPr>
            </w:pPr>
          </w:p>
        </w:tc>
        <w:tc>
          <w:tcPr>
            <w:tcW w:w="0" w:type="auto"/>
            <w:gridSpan w:val="3"/>
            <w:shd w:val="clear" w:color="auto" w:fill="auto"/>
            <w:vAlign w:val="bottom"/>
          </w:tcPr>
          <w:p w14:paraId="74DE23A8" w14:textId="77777777" w:rsidR="00584EC1" w:rsidRDefault="00584EC1">
            <w:pPr>
              <w:rPr>
                <w:rFonts w:ascii="宋体"/>
                <w:vanish/>
              </w:rPr>
            </w:pPr>
          </w:p>
        </w:tc>
        <w:tc>
          <w:tcPr>
            <w:tcW w:w="0" w:type="auto"/>
            <w:gridSpan w:val="3"/>
            <w:shd w:val="clear" w:color="auto" w:fill="auto"/>
            <w:vAlign w:val="bottom"/>
          </w:tcPr>
          <w:p w14:paraId="74DE23A9" w14:textId="77777777" w:rsidR="00584EC1" w:rsidRDefault="00584EC1">
            <w:pPr>
              <w:rPr>
                <w:rFonts w:ascii="宋体"/>
                <w:vanish/>
              </w:rPr>
            </w:pPr>
          </w:p>
        </w:tc>
        <w:tc>
          <w:tcPr>
            <w:tcW w:w="0" w:type="auto"/>
            <w:gridSpan w:val="3"/>
            <w:shd w:val="clear" w:color="auto" w:fill="auto"/>
            <w:vAlign w:val="bottom"/>
          </w:tcPr>
          <w:p w14:paraId="74DE23AA" w14:textId="77777777" w:rsidR="00584EC1" w:rsidRDefault="00584EC1">
            <w:pPr>
              <w:rPr>
                <w:rFonts w:ascii="宋体"/>
                <w:vanish/>
              </w:rPr>
            </w:pPr>
          </w:p>
        </w:tc>
        <w:tc>
          <w:tcPr>
            <w:tcW w:w="0" w:type="auto"/>
            <w:gridSpan w:val="2"/>
            <w:shd w:val="clear" w:color="auto" w:fill="auto"/>
            <w:vAlign w:val="bottom"/>
          </w:tcPr>
          <w:p w14:paraId="74DE23AB" w14:textId="77777777" w:rsidR="00584EC1" w:rsidRDefault="00584EC1">
            <w:pPr>
              <w:rPr>
                <w:rFonts w:ascii="宋体"/>
                <w:vanish/>
              </w:rPr>
            </w:pPr>
          </w:p>
        </w:tc>
        <w:tc>
          <w:tcPr>
            <w:tcW w:w="0" w:type="auto"/>
            <w:shd w:val="clear" w:color="auto" w:fill="auto"/>
            <w:vAlign w:val="bottom"/>
          </w:tcPr>
          <w:p w14:paraId="74DE23AC" w14:textId="77777777" w:rsidR="00584EC1" w:rsidRDefault="00584EC1">
            <w:pPr>
              <w:rPr>
                <w:rFonts w:ascii="宋体"/>
                <w:vanish/>
              </w:rPr>
            </w:pPr>
          </w:p>
        </w:tc>
      </w:tr>
      <w:tr w:rsidR="00584EC1" w14:paraId="74DE23CA" w14:textId="77777777">
        <w:tc>
          <w:tcPr>
            <w:tcW w:w="0" w:type="auto"/>
            <w:gridSpan w:val="3"/>
            <w:shd w:val="clear" w:color="auto" w:fill="FFFFFF"/>
            <w:tcMar>
              <w:top w:w="40" w:type="dxa"/>
              <w:left w:w="20" w:type="dxa"/>
              <w:bottom w:w="40" w:type="dxa"/>
              <w:right w:w="20" w:type="dxa"/>
            </w:tcMar>
            <w:vAlign w:val="bottom"/>
          </w:tcPr>
          <w:p w14:paraId="74DE23AE" w14:textId="77777777" w:rsidR="00584EC1" w:rsidRDefault="00871F8D">
            <w:pPr>
              <w:textAlignment w:val="bottom"/>
            </w:pPr>
            <w:r>
              <w:rPr>
                <w:rFonts w:ascii="Arial" w:eastAsia="宋体" w:hAnsi="Arial" w:cs="Arial"/>
                <w:color w:val="000000"/>
                <w:sz w:val="16"/>
                <w:szCs w:val="16"/>
              </w:rPr>
              <w:t xml:space="preserve">Income before income tax expense </w:t>
            </w:r>
          </w:p>
        </w:tc>
        <w:tc>
          <w:tcPr>
            <w:tcW w:w="0" w:type="auto"/>
            <w:gridSpan w:val="2"/>
            <w:shd w:val="clear" w:color="auto" w:fill="FFFFFF"/>
            <w:tcMar>
              <w:top w:w="40" w:type="dxa"/>
              <w:left w:w="20" w:type="dxa"/>
              <w:bottom w:w="40" w:type="dxa"/>
              <w:right w:w="0" w:type="dxa"/>
            </w:tcMar>
            <w:vAlign w:val="bottom"/>
          </w:tcPr>
          <w:p w14:paraId="74DE23AF" w14:textId="77777777" w:rsidR="00584EC1" w:rsidRDefault="00871F8D">
            <w:pPr>
              <w:jc w:val="right"/>
              <w:textAlignment w:val="bottom"/>
            </w:pPr>
            <w:r>
              <w:rPr>
                <w:rFonts w:ascii="Arial" w:eastAsia="宋体" w:hAnsi="Arial" w:cs="Arial"/>
                <w:b/>
                <w:bCs/>
                <w:color w:val="000000"/>
                <w:sz w:val="16"/>
                <w:szCs w:val="16"/>
              </w:rPr>
              <w:t>387</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74DE23B0"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23B1"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23B2" w14:textId="77777777" w:rsidR="00584EC1" w:rsidRDefault="00871F8D">
            <w:pPr>
              <w:jc w:val="right"/>
              <w:textAlignment w:val="bottom"/>
            </w:pPr>
            <w:r>
              <w:rPr>
                <w:rFonts w:ascii="Arial" w:eastAsia="宋体" w:hAnsi="Arial" w:cs="Arial"/>
                <w:b/>
                <w:bCs/>
                <w:color w:val="000000"/>
                <w:sz w:val="16"/>
                <w:szCs w:val="16"/>
              </w:rPr>
              <w:t>489</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74DE23B3"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23B4"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23B5" w14:textId="77777777" w:rsidR="00584EC1" w:rsidRDefault="00871F8D">
            <w:pPr>
              <w:jc w:val="right"/>
              <w:textAlignment w:val="bottom"/>
            </w:pPr>
            <w:r>
              <w:rPr>
                <w:rFonts w:ascii="Arial" w:eastAsia="宋体" w:hAnsi="Arial" w:cs="Arial"/>
                <w:b/>
                <w:bCs/>
                <w:color w:val="000000"/>
                <w:sz w:val="16"/>
                <w:szCs w:val="16"/>
              </w:rPr>
              <w:t>876</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74DE23B6"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23B7"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23B8" w14:textId="77777777" w:rsidR="00584EC1" w:rsidRDefault="00871F8D">
            <w:pPr>
              <w:jc w:val="right"/>
              <w:textAlignment w:val="bottom"/>
            </w:pPr>
            <w:r>
              <w:rPr>
                <w:rFonts w:ascii="Arial" w:eastAsia="宋体" w:hAnsi="Arial" w:cs="Arial"/>
                <w:color w:val="000000"/>
                <w:sz w:val="16"/>
                <w:szCs w:val="16"/>
              </w:rPr>
              <w:t>325 </w:t>
            </w:r>
          </w:p>
        </w:tc>
        <w:tc>
          <w:tcPr>
            <w:tcW w:w="0" w:type="auto"/>
            <w:shd w:val="clear" w:color="auto" w:fill="FFFFFF"/>
            <w:tcMar>
              <w:top w:w="40" w:type="dxa"/>
              <w:left w:w="0" w:type="dxa"/>
              <w:bottom w:w="40" w:type="dxa"/>
              <w:right w:w="20" w:type="dxa"/>
            </w:tcMar>
            <w:vAlign w:val="bottom"/>
          </w:tcPr>
          <w:p w14:paraId="74DE23B9"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23BA"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23BB" w14:textId="77777777" w:rsidR="00584EC1" w:rsidRDefault="00871F8D">
            <w:pPr>
              <w:jc w:val="right"/>
              <w:textAlignment w:val="bottom"/>
            </w:pPr>
            <w:r>
              <w:rPr>
                <w:rFonts w:ascii="Arial" w:eastAsia="宋体" w:hAnsi="Arial" w:cs="Arial"/>
                <w:color w:val="000000"/>
                <w:sz w:val="16"/>
                <w:szCs w:val="16"/>
              </w:rPr>
              <w:t>356 </w:t>
            </w:r>
          </w:p>
        </w:tc>
        <w:tc>
          <w:tcPr>
            <w:tcW w:w="0" w:type="auto"/>
            <w:shd w:val="clear" w:color="auto" w:fill="FFFFFF"/>
            <w:tcMar>
              <w:top w:w="40" w:type="dxa"/>
              <w:left w:w="0" w:type="dxa"/>
              <w:bottom w:w="40" w:type="dxa"/>
              <w:right w:w="20" w:type="dxa"/>
            </w:tcMar>
            <w:vAlign w:val="bottom"/>
          </w:tcPr>
          <w:p w14:paraId="74DE23BC"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23BD"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23BE" w14:textId="77777777" w:rsidR="00584EC1" w:rsidRDefault="00871F8D">
            <w:pPr>
              <w:jc w:val="right"/>
              <w:textAlignment w:val="bottom"/>
            </w:pPr>
            <w:r>
              <w:rPr>
                <w:rFonts w:ascii="Arial" w:eastAsia="宋体" w:hAnsi="Arial" w:cs="Arial"/>
                <w:color w:val="000000"/>
                <w:sz w:val="16"/>
                <w:szCs w:val="16"/>
              </w:rPr>
              <w:t>681 </w:t>
            </w:r>
          </w:p>
        </w:tc>
        <w:tc>
          <w:tcPr>
            <w:tcW w:w="0" w:type="auto"/>
            <w:shd w:val="clear" w:color="auto" w:fill="FFFFFF"/>
            <w:tcMar>
              <w:top w:w="40" w:type="dxa"/>
              <w:left w:w="0" w:type="dxa"/>
              <w:bottom w:w="40" w:type="dxa"/>
              <w:right w:w="20" w:type="dxa"/>
            </w:tcMar>
            <w:vAlign w:val="bottom"/>
          </w:tcPr>
          <w:p w14:paraId="74DE23BF" w14:textId="77777777" w:rsidR="00584EC1" w:rsidRDefault="00584EC1">
            <w:pPr>
              <w:jc w:val="right"/>
              <w:rPr>
                <w:rFonts w:ascii="宋体"/>
              </w:rPr>
            </w:pPr>
          </w:p>
        </w:tc>
        <w:tc>
          <w:tcPr>
            <w:tcW w:w="0" w:type="auto"/>
            <w:gridSpan w:val="3"/>
            <w:shd w:val="clear" w:color="auto" w:fill="auto"/>
            <w:vAlign w:val="bottom"/>
          </w:tcPr>
          <w:p w14:paraId="74DE23C0" w14:textId="77777777" w:rsidR="00584EC1" w:rsidRDefault="00584EC1">
            <w:pPr>
              <w:rPr>
                <w:rFonts w:ascii="宋体"/>
                <w:vanish/>
              </w:rPr>
            </w:pPr>
          </w:p>
        </w:tc>
        <w:tc>
          <w:tcPr>
            <w:tcW w:w="0" w:type="auto"/>
            <w:gridSpan w:val="3"/>
            <w:shd w:val="clear" w:color="auto" w:fill="auto"/>
            <w:vAlign w:val="bottom"/>
          </w:tcPr>
          <w:p w14:paraId="74DE23C1" w14:textId="77777777" w:rsidR="00584EC1" w:rsidRDefault="00584EC1">
            <w:pPr>
              <w:rPr>
                <w:rFonts w:ascii="宋体"/>
                <w:vanish/>
              </w:rPr>
            </w:pPr>
          </w:p>
        </w:tc>
        <w:tc>
          <w:tcPr>
            <w:tcW w:w="0" w:type="auto"/>
            <w:gridSpan w:val="3"/>
            <w:shd w:val="clear" w:color="auto" w:fill="auto"/>
            <w:vAlign w:val="bottom"/>
          </w:tcPr>
          <w:p w14:paraId="74DE23C2" w14:textId="77777777" w:rsidR="00584EC1" w:rsidRDefault="00584EC1">
            <w:pPr>
              <w:rPr>
                <w:rFonts w:ascii="宋体"/>
                <w:vanish/>
              </w:rPr>
            </w:pPr>
          </w:p>
        </w:tc>
        <w:tc>
          <w:tcPr>
            <w:tcW w:w="0" w:type="auto"/>
            <w:gridSpan w:val="3"/>
            <w:shd w:val="clear" w:color="auto" w:fill="auto"/>
            <w:vAlign w:val="bottom"/>
          </w:tcPr>
          <w:p w14:paraId="74DE23C3" w14:textId="77777777" w:rsidR="00584EC1" w:rsidRDefault="00584EC1">
            <w:pPr>
              <w:rPr>
                <w:rFonts w:ascii="宋体"/>
                <w:vanish/>
              </w:rPr>
            </w:pPr>
          </w:p>
        </w:tc>
        <w:tc>
          <w:tcPr>
            <w:tcW w:w="0" w:type="auto"/>
            <w:gridSpan w:val="3"/>
            <w:shd w:val="clear" w:color="auto" w:fill="auto"/>
            <w:vAlign w:val="bottom"/>
          </w:tcPr>
          <w:p w14:paraId="74DE23C4" w14:textId="77777777" w:rsidR="00584EC1" w:rsidRDefault="00584EC1">
            <w:pPr>
              <w:rPr>
                <w:rFonts w:ascii="宋体"/>
                <w:vanish/>
              </w:rPr>
            </w:pPr>
          </w:p>
        </w:tc>
        <w:tc>
          <w:tcPr>
            <w:tcW w:w="0" w:type="auto"/>
            <w:gridSpan w:val="3"/>
            <w:shd w:val="clear" w:color="auto" w:fill="auto"/>
            <w:vAlign w:val="bottom"/>
          </w:tcPr>
          <w:p w14:paraId="74DE23C5" w14:textId="77777777" w:rsidR="00584EC1" w:rsidRDefault="00584EC1">
            <w:pPr>
              <w:rPr>
                <w:rFonts w:ascii="宋体"/>
                <w:vanish/>
              </w:rPr>
            </w:pPr>
          </w:p>
        </w:tc>
        <w:tc>
          <w:tcPr>
            <w:tcW w:w="0" w:type="auto"/>
            <w:gridSpan w:val="3"/>
            <w:shd w:val="clear" w:color="auto" w:fill="auto"/>
            <w:vAlign w:val="bottom"/>
          </w:tcPr>
          <w:p w14:paraId="74DE23C6" w14:textId="77777777" w:rsidR="00584EC1" w:rsidRDefault="00584EC1">
            <w:pPr>
              <w:rPr>
                <w:rFonts w:ascii="宋体"/>
                <w:vanish/>
              </w:rPr>
            </w:pPr>
          </w:p>
        </w:tc>
        <w:tc>
          <w:tcPr>
            <w:tcW w:w="0" w:type="auto"/>
            <w:gridSpan w:val="3"/>
            <w:shd w:val="clear" w:color="auto" w:fill="auto"/>
            <w:vAlign w:val="bottom"/>
          </w:tcPr>
          <w:p w14:paraId="74DE23C7" w14:textId="77777777" w:rsidR="00584EC1" w:rsidRDefault="00584EC1">
            <w:pPr>
              <w:rPr>
                <w:rFonts w:ascii="宋体"/>
                <w:vanish/>
              </w:rPr>
            </w:pPr>
          </w:p>
        </w:tc>
        <w:tc>
          <w:tcPr>
            <w:tcW w:w="0" w:type="auto"/>
            <w:gridSpan w:val="2"/>
            <w:shd w:val="clear" w:color="auto" w:fill="auto"/>
            <w:vAlign w:val="bottom"/>
          </w:tcPr>
          <w:p w14:paraId="74DE23C8" w14:textId="77777777" w:rsidR="00584EC1" w:rsidRDefault="00584EC1">
            <w:pPr>
              <w:rPr>
                <w:rFonts w:ascii="宋体"/>
                <w:vanish/>
              </w:rPr>
            </w:pPr>
          </w:p>
        </w:tc>
        <w:tc>
          <w:tcPr>
            <w:tcW w:w="0" w:type="auto"/>
            <w:shd w:val="clear" w:color="auto" w:fill="auto"/>
            <w:vAlign w:val="bottom"/>
          </w:tcPr>
          <w:p w14:paraId="74DE23C9" w14:textId="77777777" w:rsidR="00584EC1" w:rsidRDefault="00584EC1">
            <w:pPr>
              <w:rPr>
                <w:rFonts w:ascii="宋体"/>
                <w:vanish/>
              </w:rPr>
            </w:pPr>
          </w:p>
        </w:tc>
      </w:tr>
      <w:tr w:rsidR="00584EC1" w14:paraId="74DE23E1" w14:textId="77777777">
        <w:trPr>
          <w:hidden/>
        </w:trPr>
        <w:tc>
          <w:tcPr>
            <w:tcW w:w="0" w:type="auto"/>
            <w:gridSpan w:val="3"/>
            <w:shd w:val="clear" w:color="auto" w:fill="auto"/>
            <w:vAlign w:val="bottom"/>
          </w:tcPr>
          <w:p w14:paraId="74DE23CB" w14:textId="77777777" w:rsidR="00584EC1" w:rsidRDefault="00584EC1">
            <w:pPr>
              <w:rPr>
                <w:rFonts w:ascii="宋体"/>
                <w:vanish/>
              </w:rPr>
            </w:pPr>
          </w:p>
        </w:tc>
        <w:tc>
          <w:tcPr>
            <w:tcW w:w="0" w:type="auto"/>
            <w:gridSpan w:val="3"/>
            <w:shd w:val="clear" w:color="auto" w:fill="auto"/>
            <w:vAlign w:val="bottom"/>
          </w:tcPr>
          <w:p w14:paraId="74DE23CC" w14:textId="77777777" w:rsidR="00584EC1" w:rsidRDefault="00584EC1">
            <w:pPr>
              <w:rPr>
                <w:rFonts w:ascii="宋体"/>
                <w:vanish/>
              </w:rPr>
            </w:pPr>
          </w:p>
        </w:tc>
        <w:tc>
          <w:tcPr>
            <w:tcW w:w="0" w:type="auto"/>
            <w:gridSpan w:val="3"/>
            <w:shd w:val="clear" w:color="auto" w:fill="auto"/>
            <w:vAlign w:val="bottom"/>
          </w:tcPr>
          <w:p w14:paraId="74DE23CD" w14:textId="77777777" w:rsidR="00584EC1" w:rsidRDefault="00584EC1">
            <w:pPr>
              <w:rPr>
                <w:rFonts w:ascii="宋体"/>
                <w:vanish/>
              </w:rPr>
            </w:pPr>
          </w:p>
        </w:tc>
        <w:tc>
          <w:tcPr>
            <w:tcW w:w="0" w:type="auto"/>
            <w:gridSpan w:val="3"/>
            <w:shd w:val="clear" w:color="auto" w:fill="auto"/>
            <w:vAlign w:val="bottom"/>
          </w:tcPr>
          <w:p w14:paraId="74DE23CE" w14:textId="77777777" w:rsidR="00584EC1" w:rsidRDefault="00584EC1">
            <w:pPr>
              <w:rPr>
                <w:rFonts w:ascii="宋体"/>
                <w:vanish/>
              </w:rPr>
            </w:pPr>
          </w:p>
        </w:tc>
        <w:tc>
          <w:tcPr>
            <w:tcW w:w="0" w:type="auto"/>
            <w:gridSpan w:val="3"/>
            <w:shd w:val="clear" w:color="auto" w:fill="auto"/>
            <w:vAlign w:val="bottom"/>
          </w:tcPr>
          <w:p w14:paraId="74DE23CF" w14:textId="77777777" w:rsidR="00584EC1" w:rsidRDefault="00584EC1">
            <w:pPr>
              <w:rPr>
                <w:rFonts w:ascii="宋体"/>
                <w:vanish/>
              </w:rPr>
            </w:pPr>
          </w:p>
        </w:tc>
        <w:tc>
          <w:tcPr>
            <w:tcW w:w="0" w:type="auto"/>
            <w:gridSpan w:val="3"/>
            <w:shd w:val="clear" w:color="auto" w:fill="auto"/>
            <w:vAlign w:val="bottom"/>
          </w:tcPr>
          <w:p w14:paraId="74DE23D0" w14:textId="77777777" w:rsidR="00584EC1" w:rsidRDefault="00584EC1">
            <w:pPr>
              <w:rPr>
                <w:rFonts w:ascii="宋体"/>
                <w:vanish/>
              </w:rPr>
            </w:pPr>
          </w:p>
        </w:tc>
        <w:tc>
          <w:tcPr>
            <w:tcW w:w="0" w:type="auto"/>
            <w:gridSpan w:val="3"/>
            <w:shd w:val="clear" w:color="auto" w:fill="auto"/>
            <w:vAlign w:val="bottom"/>
          </w:tcPr>
          <w:p w14:paraId="74DE23D1" w14:textId="77777777" w:rsidR="00584EC1" w:rsidRDefault="00584EC1">
            <w:pPr>
              <w:rPr>
                <w:rFonts w:ascii="宋体"/>
                <w:vanish/>
              </w:rPr>
            </w:pPr>
          </w:p>
        </w:tc>
        <w:tc>
          <w:tcPr>
            <w:tcW w:w="0" w:type="auto"/>
            <w:gridSpan w:val="3"/>
            <w:shd w:val="clear" w:color="auto" w:fill="auto"/>
            <w:vAlign w:val="bottom"/>
          </w:tcPr>
          <w:p w14:paraId="74DE23D2" w14:textId="77777777" w:rsidR="00584EC1" w:rsidRDefault="00584EC1">
            <w:pPr>
              <w:rPr>
                <w:rFonts w:ascii="宋体"/>
                <w:vanish/>
              </w:rPr>
            </w:pPr>
          </w:p>
        </w:tc>
        <w:tc>
          <w:tcPr>
            <w:tcW w:w="0" w:type="auto"/>
            <w:gridSpan w:val="3"/>
            <w:shd w:val="clear" w:color="auto" w:fill="auto"/>
            <w:vAlign w:val="bottom"/>
          </w:tcPr>
          <w:p w14:paraId="74DE23D3" w14:textId="77777777" w:rsidR="00584EC1" w:rsidRDefault="00584EC1">
            <w:pPr>
              <w:rPr>
                <w:rFonts w:ascii="宋体"/>
                <w:vanish/>
              </w:rPr>
            </w:pPr>
          </w:p>
        </w:tc>
        <w:tc>
          <w:tcPr>
            <w:tcW w:w="0" w:type="auto"/>
            <w:gridSpan w:val="3"/>
            <w:shd w:val="clear" w:color="auto" w:fill="auto"/>
            <w:vAlign w:val="bottom"/>
          </w:tcPr>
          <w:p w14:paraId="74DE23D4" w14:textId="77777777" w:rsidR="00584EC1" w:rsidRDefault="00584EC1">
            <w:pPr>
              <w:rPr>
                <w:rFonts w:ascii="宋体"/>
                <w:vanish/>
              </w:rPr>
            </w:pPr>
          </w:p>
        </w:tc>
        <w:tc>
          <w:tcPr>
            <w:tcW w:w="0" w:type="auto"/>
            <w:gridSpan w:val="3"/>
            <w:shd w:val="clear" w:color="auto" w:fill="auto"/>
            <w:vAlign w:val="bottom"/>
          </w:tcPr>
          <w:p w14:paraId="74DE23D5" w14:textId="77777777" w:rsidR="00584EC1" w:rsidRDefault="00584EC1">
            <w:pPr>
              <w:rPr>
                <w:rFonts w:ascii="宋体"/>
                <w:vanish/>
              </w:rPr>
            </w:pPr>
          </w:p>
        </w:tc>
        <w:tc>
          <w:tcPr>
            <w:tcW w:w="0" w:type="auto"/>
            <w:gridSpan w:val="3"/>
            <w:shd w:val="clear" w:color="auto" w:fill="auto"/>
            <w:vAlign w:val="bottom"/>
          </w:tcPr>
          <w:p w14:paraId="74DE23D6" w14:textId="77777777" w:rsidR="00584EC1" w:rsidRDefault="00584EC1">
            <w:pPr>
              <w:rPr>
                <w:rFonts w:ascii="宋体"/>
                <w:vanish/>
              </w:rPr>
            </w:pPr>
          </w:p>
        </w:tc>
        <w:tc>
          <w:tcPr>
            <w:tcW w:w="0" w:type="auto"/>
            <w:gridSpan w:val="3"/>
            <w:shd w:val="clear" w:color="auto" w:fill="auto"/>
            <w:vAlign w:val="bottom"/>
          </w:tcPr>
          <w:p w14:paraId="74DE23D7" w14:textId="77777777" w:rsidR="00584EC1" w:rsidRDefault="00584EC1">
            <w:pPr>
              <w:rPr>
                <w:rFonts w:ascii="宋体"/>
                <w:vanish/>
              </w:rPr>
            </w:pPr>
          </w:p>
        </w:tc>
        <w:tc>
          <w:tcPr>
            <w:tcW w:w="0" w:type="auto"/>
            <w:gridSpan w:val="3"/>
            <w:shd w:val="clear" w:color="auto" w:fill="auto"/>
            <w:vAlign w:val="bottom"/>
          </w:tcPr>
          <w:p w14:paraId="74DE23D8" w14:textId="77777777" w:rsidR="00584EC1" w:rsidRDefault="00584EC1">
            <w:pPr>
              <w:rPr>
                <w:rFonts w:ascii="宋体"/>
                <w:vanish/>
              </w:rPr>
            </w:pPr>
          </w:p>
        </w:tc>
        <w:tc>
          <w:tcPr>
            <w:tcW w:w="0" w:type="auto"/>
            <w:gridSpan w:val="3"/>
            <w:shd w:val="clear" w:color="auto" w:fill="auto"/>
            <w:vAlign w:val="bottom"/>
          </w:tcPr>
          <w:p w14:paraId="74DE23D9" w14:textId="77777777" w:rsidR="00584EC1" w:rsidRDefault="00584EC1">
            <w:pPr>
              <w:rPr>
                <w:rFonts w:ascii="宋体"/>
                <w:vanish/>
              </w:rPr>
            </w:pPr>
          </w:p>
        </w:tc>
        <w:tc>
          <w:tcPr>
            <w:tcW w:w="0" w:type="auto"/>
            <w:gridSpan w:val="3"/>
            <w:shd w:val="clear" w:color="auto" w:fill="auto"/>
            <w:vAlign w:val="bottom"/>
          </w:tcPr>
          <w:p w14:paraId="74DE23DA" w14:textId="77777777" w:rsidR="00584EC1" w:rsidRDefault="00584EC1">
            <w:pPr>
              <w:rPr>
                <w:rFonts w:ascii="宋体"/>
                <w:vanish/>
              </w:rPr>
            </w:pPr>
          </w:p>
        </w:tc>
        <w:tc>
          <w:tcPr>
            <w:tcW w:w="0" w:type="auto"/>
            <w:gridSpan w:val="3"/>
            <w:shd w:val="clear" w:color="auto" w:fill="auto"/>
            <w:vAlign w:val="bottom"/>
          </w:tcPr>
          <w:p w14:paraId="74DE23DB" w14:textId="77777777" w:rsidR="00584EC1" w:rsidRDefault="00584EC1">
            <w:pPr>
              <w:rPr>
                <w:rFonts w:ascii="宋体"/>
                <w:vanish/>
              </w:rPr>
            </w:pPr>
          </w:p>
        </w:tc>
        <w:tc>
          <w:tcPr>
            <w:tcW w:w="0" w:type="auto"/>
            <w:gridSpan w:val="3"/>
            <w:shd w:val="clear" w:color="auto" w:fill="auto"/>
            <w:vAlign w:val="bottom"/>
          </w:tcPr>
          <w:p w14:paraId="74DE23DC" w14:textId="77777777" w:rsidR="00584EC1" w:rsidRDefault="00584EC1">
            <w:pPr>
              <w:rPr>
                <w:rFonts w:ascii="宋体"/>
                <w:vanish/>
              </w:rPr>
            </w:pPr>
          </w:p>
        </w:tc>
        <w:tc>
          <w:tcPr>
            <w:tcW w:w="0" w:type="auto"/>
            <w:gridSpan w:val="3"/>
            <w:shd w:val="clear" w:color="auto" w:fill="auto"/>
            <w:vAlign w:val="bottom"/>
          </w:tcPr>
          <w:p w14:paraId="74DE23DD" w14:textId="77777777" w:rsidR="00584EC1" w:rsidRDefault="00584EC1">
            <w:pPr>
              <w:rPr>
                <w:rFonts w:ascii="宋体"/>
                <w:vanish/>
              </w:rPr>
            </w:pPr>
          </w:p>
        </w:tc>
        <w:tc>
          <w:tcPr>
            <w:tcW w:w="0" w:type="auto"/>
            <w:gridSpan w:val="3"/>
            <w:shd w:val="clear" w:color="auto" w:fill="auto"/>
            <w:vAlign w:val="bottom"/>
          </w:tcPr>
          <w:p w14:paraId="74DE23DE" w14:textId="77777777" w:rsidR="00584EC1" w:rsidRDefault="00584EC1">
            <w:pPr>
              <w:rPr>
                <w:rFonts w:ascii="宋体"/>
                <w:vanish/>
              </w:rPr>
            </w:pPr>
          </w:p>
        </w:tc>
        <w:tc>
          <w:tcPr>
            <w:tcW w:w="0" w:type="auto"/>
            <w:gridSpan w:val="2"/>
            <w:shd w:val="clear" w:color="auto" w:fill="auto"/>
            <w:vAlign w:val="bottom"/>
          </w:tcPr>
          <w:p w14:paraId="74DE23DF" w14:textId="77777777" w:rsidR="00584EC1" w:rsidRDefault="00584EC1">
            <w:pPr>
              <w:rPr>
                <w:rFonts w:ascii="宋体"/>
                <w:vanish/>
              </w:rPr>
            </w:pPr>
          </w:p>
        </w:tc>
        <w:tc>
          <w:tcPr>
            <w:tcW w:w="0" w:type="auto"/>
            <w:shd w:val="clear" w:color="auto" w:fill="auto"/>
            <w:vAlign w:val="bottom"/>
          </w:tcPr>
          <w:p w14:paraId="74DE23E0" w14:textId="77777777" w:rsidR="00584EC1" w:rsidRDefault="00584EC1">
            <w:pPr>
              <w:rPr>
                <w:rFonts w:ascii="宋体"/>
                <w:vanish/>
              </w:rPr>
            </w:pPr>
          </w:p>
        </w:tc>
      </w:tr>
      <w:tr w:rsidR="00584EC1" w14:paraId="74DE2405" w14:textId="77777777">
        <w:trPr>
          <w:hidden/>
        </w:trPr>
        <w:tc>
          <w:tcPr>
            <w:tcW w:w="0" w:type="auto"/>
            <w:gridSpan w:val="3"/>
            <w:shd w:val="clear" w:color="auto" w:fill="auto"/>
            <w:vAlign w:val="bottom"/>
          </w:tcPr>
          <w:p w14:paraId="74DE23E2" w14:textId="77777777" w:rsidR="00584EC1" w:rsidRDefault="00584EC1">
            <w:pPr>
              <w:rPr>
                <w:rFonts w:ascii="宋体"/>
                <w:vanish/>
              </w:rPr>
            </w:pPr>
          </w:p>
        </w:tc>
        <w:tc>
          <w:tcPr>
            <w:tcW w:w="0" w:type="auto"/>
            <w:gridSpan w:val="3"/>
            <w:shd w:val="clear" w:color="auto" w:fill="auto"/>
            <w:vAlign w:val="bottom"/>
          </w:tcPr>
          <w:p w14:paraId="74DE23E3" w14:textId="77777777" w:rsidR="00584EC1" w:rsidRDefault="00584EC1">
            <w:pPr>
              <w:rPr>
                <w:rFonts w:ascii="宋体"/>
                <w:vanish/>
              </w:rPr>
            </w:pPr>
          </w:p>
        </w:tc>
        <w:tc>
          <w:tcPr>
            <w:tcW w:w="0" w:type="auto"/>
            <w:gridSpan w:val="3"/>
            <w:shd w:val="clear" w:color="auto" w:fill="auto"/>
            <w:vAlign w:val="bottom"/>
          </w:tcPr>
          <w:p w14:paraId="74DE23E4" w14:textId="77777777" w:rsidR="00584EC1" w:rsidRDefault="00584EC1">
            <w:pPr>
              <w:rPr>
                <w:rFonts w:ascii="宋体"/>
                <w:vanish/>
              </w:rPr>
            </w:pPr>
          </w:p>
        </w:tc>
        <w:tc>
          <w:tcPr>
            <w:tcW w:w="0" w:type="auto"/>
            <w:gridSpan w:val="3"/>
            <w:shd w:val="clear" w:color="auto" w:fill="auto"/>
            <w:vAlign w:val="bottom"/>
          </w:tcPr>
          <w:p w14:paraId="74DE23E5" w14:textId="77777777" w:rsidR="00584EC1" w:rsidRDefault="00584EC1">
            <w:pPr>
              <w:rPr>
                <w:rFonts w:ascii="宋体"/>
                <w:vanish/>
              </w:rPr>
            </w:pPr>
          </w:p>
        </w:tc>
        <w:tc>
          <w:tcPr>
            <w:tcW w:w="0" w:type="auto"/>
            <w:gridSpan w:val="3"/>
            <w:shd w:val="clear" w:color="auto" w:fill="auto"/>
            <w:vAlign w:val="bottom"/>
          </w:tcPr>
          <w:p w14:paraId="74DE23E6" w14:textId="77777777" w:rsidR="00584EC1" w:rsidRDefault="00584EC1">
            <w:pPr>
              <w:rPr>
                <w:rFonts w:ascii="宋体"/>
                <w:vanish/>
              </w:rPr>
            </w:pPr>
          </w:p>
        </w:tc>
        <w:tc>
          <w:tcPr>
            <w:tcW w:w="0" w:type="auto"/>
            <w:gridSpan w:val="3"/>
            <w:shd w:val="clear" w:color="auto" w:fill="auto"/>
            <w:vAlign w:val="bottom"/>
          </w:tcPr>
          <w:p w14:paraId="74DE23E7" w14:textId="77777777" w:rsidR="00584EC1" w:rsidRDefault="00584EC1">
            <w:pPr>
              <w:rPr>
                <w:rFonts w:ascii="宋体"/>
                <w:vanish/>
              </w:rPr>
            </w:pPr>
          </w:p>
        </w:tc>
        <w:tc>
          <w:tcPr>
            <w:tcW w:w="0" w:type="auto"/>
            <w:gridSpan w:val="3"/>
            <w:shd w:val="clear" w:color="auto" w:fill="auto"/>
            <w:vAlign w:val="bottom"/>
          </w:tcPr>
          <w:p w14:paraId="74DE23E8" w14:textId="77777777" w:rsidR="00584EC1" w:rsidRDefault="00584EC1">
            <w:pPr>
              <w:rPr>
                <w:rFonts w:ascii="宋体"/>
                <w:vanish/>
              </w:rPr>
            </w:pPr>
          </w:p>
        </w:tc>
        <w:tc>
          <w:tcPr>
            <w:tcW w:w="0" w:type="auto"/>
            <w:gridSpan w:val="3"/>
            <w:shd w:val="clear" w:color="auto" w:fill="auto"/>
            <w:vAlign w:val="bottom"/>
          </w:tcPr>
          <w:p w14:paraId="74DE23E9" w14:textId="77777777" w:rsidR="00584EC1" w:rsidRDefault="00584EC1">
            <w:pPr>
              <w:rPr>
                <w:rFonts w:ascii="宋体"/>
                <w:vanish/>
              </w:rPr>
            </w:pPr>
          </w:p>
        </w:tc>
        <w:tc>
          <w:tcPr>
            <w:tcW w:w="0" w:type="auto"/>
            <w:gridSpan w:val="3"/>
            <w:shd w:val="clear" w:color="auto" w:fill="auto"/>
            <w:vAlign w:val="bottom"/>
          </w:tcPr>
          <w:p w14:paraId="74DE23EA" w14:textId="77777777" w:rsidR="00584EC1" w:rsidRDefault="00584EC1">
            <w:pPr>
              <w:rPr>
                <w:rFonts w:ascii="宋体"/>
                <w:vanish/>
              </w:rPr>
            </w:pPr>
          </w:p>
        </w:tc>
        <w:tc>
          <w:tcPr>
            <w:tcW w:w="0" w:type="auto"/>
            <w:gridSpan w:val="3"/>
            <w:shd w:val="clear" w:color="auto" w:fill="auto"/>
            <w:vAlign w:val="bottom"/>
          </w:tcPr>
          <w:p w14:paraId="74DE23EB" w14:textId="77777777" w:rsidR="00584EC1" w:rsidRDefault="00584EC1">
            <w:pPr>
              <w:rPr>
                <w:rFonts w:ascii="宋体"/>
                <w:vanish/>
              </w:rPr>
            </w:pPr>
          </w:p>
        </w:tc>
        <w:tc>
          <w:tcPr>
            <w:tcW w:w="0" w:type="auto"/>
            <w:gridSpan w:val="3"/>
            <w:shd w:val="clear" w:color="auto" w:fill="auto"/>
            <w:vAlign w:val="bottom"/>
          </w:tcPr>
          <w:p w14:paraId="74DE23EC" w14:textId="77777777" w:rsidR="00584EC1" w:rsidRDefault="00584EC1">
            <w:pPr>
              <w:rPr>
                <w:rFonts w:ascii="宋体"/>
                <w:vanish/>
              </w:rPr>
            </w:pPr>
          </w:p>
        </w:tc>
        <w:tc>
          <w:tcPr>
            <w:tcW w:w="0" w:type="auto"/>
            <w:gridSpan w:val="3"/>
            <w:shd w:val="clear" w:color="auto" w:fill="auto"/>
            <w:vAlign w:val="bottom"/>
          </w:tcPr>
          <w:p w14:paraId="74DE23ED" w14:textId="77777777" w:rsidR="00584EC1" w:rsidRDefault="00584EC1">
            <w:pPr>
              <w:rPr>
                <w:rFonts w:ascii="宋体"/>
                <w:vanish/>
              </w:rPr>
            </w:pPr>
          </w:p>
        </w:tc>
        <w:tc>
          <w:tcPr>
            <w:tcW w:w="0" w:type="auto"/>
            <w:gridSpan w:val="3"/>
            <w:shd w:val="clear" w:color="auto" w:fill="auto"/>
            <w:vAlign w:val="bottom"/>
          </w:tcPr>
          <w:p w14:paraId="74DE23EE" w14:textId="77777777" w:rsidR="00584EC1" w:rsidRDefault="00584EC1">
            <w:pPr>
              <w:rPr>
                <w:rFonts w:ascii="宋体"/>
                <w:vanish/>
              </w:rPr>
            </w:pPr>
          </w:p>
        </w:tc>
        <w:tc>
          <w:tcPr>
            <w:tcW w:w="0" w:type="auto"/>
            <w:gridSpan w:val="3"/>
            <w:shd w:val="clear" w:color="auto" w:fill="auto"/>
            <w:vAlign w:val="bottom"/>
          </w:tcPr>
          <w:p w14:paraId="74DE23EF" w14:textId="77777777" w:rsidR="00584EC1" w:rsidRDefault="00584EC1">
            <w:pPr>
              <w:rPr>
                <w:rFonts w:ascii="宋体"/>
                <w:vanish/>
              </w:rPr>
            </w:pPr>
          </w:p>
        </w:tc>
        <w:tc>
          <w:tcPr>
            <w:tcW w:w="0" w:type="auto"/>
            <w:shd w:val="clear" w:color="auto" w:fill="auto"/>
            <w:vAlign w:val="bottom"/>
          </w:tcPr>
          <w:p w14:paraId="74DE23F0" w14:textId="77777777" w:rsidR="00584EC1" w:rsidRDefault="00584EC1">
            <w:pPr>
              <w:rPr>
                <w:rFonts w:ascii="宋体"/>
              </w:rPr>
            </w:pPr>
          </w:p>
        </w:tc>
        <w:tc>
          <w:tcPr>
            <w:tcW w:w="0" w:type="auto"/>
            <w:shd w:val="clear" w:color="auto" w:fill="auto"/>
            <w:vAlign w:val="bottom"/>
          </w:tcPr>
          <w:p w14:paraId="74DE23F1" w14:textId="77777777" w:rsidR="00584EC1" w:rsidRDefault="00584EC1">
            <w:pPr>
              <w:rPr>
                <w:rFonts w:ascii="宋体"/>
              </w:rPr>
            </w:pPr>
          </w:p>
        </w:tc>
        <w:tc>
          <w:tcPr>
            <w:tcW w:w="0" w:type="auto"/>
            <w:shd w:val="clear" w:color="auto" w:fill="auto"/>
            <w:vAlign w:val="bottom"/>
          </w:tcPr>
          <w:p w14:paraId="74DE23F2" w14:textId="77777777" w:rsidR="00584EC1" w:rsidRDefault="00584EC1">
            <w:pPr>
              <w:rPr>
                <w:rFonts w:ascii="宋体"/>
              </w:rPr>
            </w:pPr>
          </w:p>
        </w:tc>
        <w:tc>
          <w:tcPr>
            <w:tcW w:w="0" w:type="auto"/>
            <w:shd w:val="clear" w:color="auto" w:fill="auto"/>
            <w:vAlign w:val="bottom"/>
          </w:tcPr>
          <w:p w14:paraId="74DE23F3" w14:textId="77777777" w:rsidR="00584EC1" w:rsidRDefault="00584EC1">
            <w:pPr>
              <w:rPr>
                <w:rFonts w:ascii="宋体"/>
              </w:rPr>
            </w:pPr>
          </w:p>
        </w:tc>
        <w:tc>
          <w:tcPr>
            <w:tcW w:w="0" w:type="auto"/>
            <w:shd w:val="clear" w:color="auto" w:fill="auto"/>
            <w:vAlign w:val="bottom"/>
          </w:tcPr>
          <w:p w14:paraId="74DE23F4" w14:textId="77777777" w:rsidR="00584EC1" w:rsidRDefault="00584EC1">
            <w:pPr>
              <w:rPr>
                <w:rFonts w:ascii="宋体"/>
              </w:rPr>
            </w:pPr>
          </w:p>
        </w:tc>
        <w:tc>
          <w:tcPr>
            <w:tcW w:w="0" w:type="auto"/>
            <w:shd w:val="clear" w:color="auto" w:fill="auto"/>
            <w:vAlign w:val="bottom"/>
          </w:tcPr>
          <w:p w14:paraId="74DE23F5" w14:textId="77777777" w:rsidR="00584EC1" w:rsidRDefault="00584EC1">
            <w:pPr>
              <w:rPr>
                <w:rFonts w:ascii="宋体"/>
              </w:rPr>
            </w:pPr>
          </w:p>
        </w:tc>
        <w:tc>
          <w:tcPr>
            <w:tcW w:w="0" w:type="auto"/>
            <w:shd w:val="clear" w:color="auto" w:fill="auto"/>
            <w:vAlign w:val="bottom"/>
          </w:tcPr>
          <w:p w14:paraId="74DE23F6" w14:textId="77777777" w:rsidR="00584EC1" w:rsidRDefault="00584EC1">
            <w:pPr>
              <w:rPr>
                <w:rFonts w:ascii="宋体"/>
              </w:rPr>
            </w:pPr>
          </w:p>
        </w:tc>
        <w:tc>
          <w:tcPr>
            <w:tcW w:w="0" w:type="auto"/>
            <w:shd w:val="clear" w:color="auto" w:fill="auto"/>
            <w:vAlign w:val="bottom"/>
          </w:tcPr>
          <w:p w14:paraId="74DE23F7" w14:textId="77777777" w:rsidR="00584EC1" w:rsidRDefault="00584EC1">
            <w:pPr>
              <w:rPr>
                <w:rFonts w:ascii="宋体"/>
              </w:rPr>
            </w:pPr>
          </w:p>
        </w:tc>
        <w:tc>
          <w:tcPr>
            <w:tcW w:w="0" w:type="auto"/>
            <w:shd w:val="clear" w:color="auto" w:fill="auto"/>
            <w:vAlign w:val="bottom"/>
          </w:tcPr>
          <w:p w14:paraId="74DE23F8" w14:textId="77777777" w:rsidR="00584EC1" w:rsidRDefault="00584EC1">
            <w:pPr>
              <w:rPr>
                <w:rFonts w:ascii="宋体"/>
              </w:rPr>
            </w:pPr>
          </w:p>
        </w:tc>
        <w:tc>
          <w:tcPr>
            <w:tcW w:w="0" w:type="auto"/>
            <w:shd w:val="clear" w:color="auto" w:fill="auto"/>
            <w:vAlign w:val="bottom"/>
          </w:tcPr>
          <w:p w14:paraId="74DE23F9" w14:textId="77777777" w:rsidR="00584EC1" w:rsidRDefault="00584EC1">
            <w:pPr>
              <w:rPr>
                <w:rFonts w:ascii="宋体"/>
              </w:rPr>
            </w:pPr>
          </w:p>
        </w:tc>
        <w:tc>
          <w:tcPr>
            <w:tcW w:w="0" w:type="auto"/>
            <w:shd w:val="clear" w:color="auto" w:fill="auto"/>
            <w:vAlign w:val="bottom"/>
          </w:tcPr>
          <w:p w14:paraId="74DE23FA" w14:textId="77777777" w:rsidR="00584EC1" w:rsidRDefault="00584EC1">
            <w:pPr>
              <w:rPr>
                <w:rFonts w:ascii="宋体"/>
              </w:rPr>
            </w:pPr>
          </w:p>
        </w:tc>
        <w:tc>
          <w:tcPr>
            <w:tcW w:w="0" w:type="auto"/>
            <w:shd w:val="clear" w:color="auto" w:fill="auto"/>
            <w:vAlign w:val="bottom"/>
          </w:tcPr>
          <w:p w14:paraId="74DE23FB" w14:textId="77777777" w:rsidR="00584EC1" w:rsidRDefault="00584EC1">
            <w:pPr>
              <w:rPr>
                <w:rFonts w:ascii="宋体"/>
              </w:rPr>
            </w:pPr>
          </w:p>
        </w:tc>
        <w:tc>
          <w:tcPr>
            <w:tcW w:w="0" w:type="auto"/>
            <w:shd w:val="clear" w:color="auto" w:fill="auto"/>
            <w:vAlign w:val="bottom"/>
          </w:tcPr>
          <w:p w14:paraId="74DE23FC" w14:textId="77777777" w:rsidR="00584EC1" w:rsidRDefault="00584EC1">
            <w:pPr>
              <w:rPr>
                <w:rFonts w:ascii="宋体"/>
              </w:rPr>
            </w:pPr>
          </w:p>
        </w:tc>
        <w:tc>
          <w:tcPr>
            <w:tcW w:w="0" w:type="auto"/>
            <w:shd w:val="clear" w:color="auto" w:fill="auto"/>
            <w:vAlign w:val="bottom"/>
          </w:tcPr>
          <w:p w14:paraId="74DE23FD" w14:textId="77777777" w:rsidR="00584EC1" w:rsidRDefault="00584EC1">
            <w:pPr>
              <w:rPr>
                <w:rFonts w:ascii="宋体"/>
              </w:rPr>
            </w:pPr>
          </w:p>
        </w:tc>
        <w:tc>
          <w:tcPr>
            <w:tcW w:w="0" w:type="auto"/>
            <w:shd w:val="clear" w:color="auto" w:fill="auto"/>
            <w:vAlign w:val="bottom"/>
          </w:tcPr>
          <w:p w14:paraId="74DE23FE" w14:textId="77777777" w:rsidR="00584EC1" w:rsidRDefault="00584EC1">
            <w:pPr>
              <w:rPr>
                <w:rFonts w:ascii="宋体"/>
              </w:rPr>
            </w:pPr>
          </w:p>
        </w:tc>
        <w:tc>
          <w:tcPr>
            <w:tcW w:w="0" w:type="auto"/>
            <w:shd w:val="clear" w:color="auto" w:fill="auto"/>
            <w:vAlign w:val="bottom"/>
          </w:tcPr>
          <w:p w14:paraId="74DE23FF" w14:textId="77777777" w:rsidR="00584EC1" w:rsidRDefault="00584EC1">
            <w:pPr>
              <w:rPr>
                <w:rFonts w:ascii="宋体"/>
              </w:rPr>
            </w:pPr>
          </w:p>
        </w:tc>
        <w:tc>
          <w:tcPr>
            <w:tcW w:w="0" w:type="auto"/>
            <w:shd w:val="clear" w:color="auto" w:fill="auto"/>
            <w:vAlign w:val="bottom"/>
          </w:tcPr>
          <w:p w14:paraId="74DE2400" w14:textId="77777777" w:rsidR="00584EC1" w:rsidRDefault="00584EC1">
            <w:pPr>
              <w:rPr>
                <w:rFonts w:ascii="宋体"/>
              </w:rPr>
            </w:pPr>
          </w:p>
        </w:tc>
        <w:tc>
          <w:tcPr>
            <w:tcW w:w="0" w:type="auto"/>
            <w:shd w:val="clear" w:color="auto" w:fill="auto"/>
            <w:vAlign w:val="bottom"/>
          </w:tcPr>
          <w:p w14:paraId="74DE2401" w14:textId="77777777" w:rsidR="00584EC1" w:rsidRDefault="00584EC1">
            <w:pPr>
              <w:rPr>
                <w:rFonts w:ascii="宋体"/>
              </w:rPr>
            </w:pPr>
          </w:p>
        </w:tc>
        <w:tc>
          <w:tcPr>
            <w:tcW w:w="0" w:type="auto"/>
            <w:shd w:val="clear" w:color="auto" w:fill="auto"/>
            <w:vAlign w:val="bottom"/>
          </w:tcPr>
          <w:p w14:paraId="74DE2402" w14:textId="77777777" w:rsidR="00584EC1" w:rsidRDefault="00584EC1">
            <w:pPr>
              <w:rPr>
                <w:rFonts w:ascii="宋体"/>
              </w:rPr>
            </w:pPr>
          </w:p>
        </w:tc>
        <w:tc>
          <w:tcPr>
            <w:tcW w:w="0" w:type="auto"/>
            <w:shd w:val="clear" w:color="auto" w:fill="auto"/>
            <w:vAlign w:val="bottom"/>
          </w:tcPr>
          <w:p w14:paraId="74DE2403" w14:textId="77777777" w:rsidR="00584EC1" w:rsidRDefault="00584EC1">
            <w:pPr>
              <w:rPr>
                <w:rFonts w:ascii="宋体"/>
              </w:rPr>
            </w:pPr>
          </w:p>
        </w:tc>
        <w:tc>
          <w:tcPr>
            <w:tcW w:w="0" w:type="auto"/>
            <w:shd w:val="clear" w:color="auto" w:fill="auto"/>
            <w:vAlign w:val="bottom"/>
          </w:tcPr>
          <w:p w14:paraId="74DE2404" w14:textId="77777777" w:rsidR="00584EC1" w:rsidRDefault="00584EC1">
            <w:pPr>
              <w:rPr>
                <w:rFonts w:ascii="宋体"/>
              </w:rPr>
            </w:pPr>
          </w:p>
        </w:tc>
      </w:tr>
      <w:tr w:rsidR="00584EC1" w14:paraId="74DE242D" w14:textId="77777777">
        <w:trPr>
          <w:hidden/>
        </w:trPr>
        <w:tc>
          <w:tcPr>
            <w:tcW w:w="0" w:type="auto"/>
            <w:gridSpan w:val="3"/>
            <w:shd w:val="clear" w:color="auto" w:fill="auto"/>
            <w:vAlign w:val="bottom"/>
          </w:tcPr>
          <w:p w14:paraId="74DE2406" w14:textId="77777777" w:rsidR="00584EC1" w:rsidRDefault="00584EC1">
            <w:pPr>
              <w:rPr>
                <w:rFonts w:ascii="宋体"/>
                <w:vanish/>
              </w:rPr>
            </w:pPr>
          </w:p>
        </w:tc>
        <w:tc>
          <w:tcPr>
            <w:tcW w:w="0" w:type="auto"/>
            <w:gridSpan w:val="3"/>
            <w:shd w:val="clear" w:color="auto" w:fill="auto"/>
            <w:vAlign w:val="bottom"/>
          </w:tcPr>
          <w:p w14:paraId="74DE2407" w14:textId="77777777" w:rsidR="00584EC1" w:rsidRDefault="00584EC1">
            <w:pPr>
              <w:rPr>
                <w:rFonts w:ascii="宋体"/>
                <w:vanish/>
              </w:rPr>
            </w:pPr>
          </w:p>
        </w:tc>
        <w:tc>
          <w:tcPr>
            <w:tcW w:w="0" w:type="auto"/>
            <w:gridSpan w:val="3"/>
            <w:shd w:val="clear" w:color="auto" w:fill="auto"/>
            <w:vAlign w:val="bottom"/>
          </w:tcPr>
          <w:p w14:paraId="74DE2408" w14:textId="77777777" w:rsidR="00584EC1" w:rsidRDefault="00584EC1">
            <w:pPr>
              <w:rPr>
                <w:rFonts w:ascii="宋体"/>
                <w:vanish/>
              </w:rPr>
            </w:pPr>
          </w:p>
        </w:tc>
        <w:tc>
          <w:tcPr>
            <w:tcW w:w="0" w:type="auto"/>
            <w:gridSpan w:val="3"/>
            <w:shd w:val="clear" w:color="auto" w:fill="auto"/>
            <w:vAlign w:val="bottom"/>
          </w:tcPr>
          <w:p w14:paraId="74DE2409" w14:textId="77777777" w:rsidR="00584EC1" w:rsidRDefault="00584EC1">
            <w:pPr>
              <w:rPr>
                <w:rFonts w:ascii="宋体"/>
                <w:vanish/>
              </w:rPr>
            </w:pPr>
          </w:p>
        </w:tc>
        <w:tc>
          <w:tcPr>
            <w:tcW w:w="0" w:type="auto"/>
            <w:gridSpan w:val="3"/>
            <w:shd w:val="clear" w:color="auto" w:fill="auto"/>
            <w:vAlign w:val="bottom"/>
          </w:tcPr>
          <w:p w14:paraId="74DE240A" w14:textId="77777777" w:rsidR="00584EC1" w:rsidRDefault="00584EC1">
            <w:pPr>
              <w:rPr>
                <w:rFonts w:ascii="宋体"/>
                <w:vanish/>
              </w:rPr>
            </w:pPr>
          </w:p>
        </w:tc>
        <w:tc>
          <w:tcPr>
            <w:tcW w:w="0" w:type="auto"/>
            <w:gridSpan w:val="3"/>
            <w:shd w:val="clear" w:color="auto" w:fill="auto"/>
            <w:vAlign w:val="bottom"/>
          </w:tcPr>
          <w:p w14:paraId="74DE240B" w14:textId="77777777" w:rsidR="00584EC1" w:rsidRDefault="00584EC1">
            <w:pPr>
              <w:rPr>
                <w:rFonts w:ascii="宋体"/>
                <w:vanish/>
              </w:rPr>
            </w:pPr>
          </w:p>
        </w:tc>
        <w:tc>
          <w:tcPr>
            <w:tcW w:w="0" w:type="auto"/>
            <w:gridSpan w:val="3"/>
            <w:shd w:val="clear" w:color="auto" w:fill="auto"/>
            <w:vAlign w:val="bottom"/>
          </w:tcPr>
          <w:p w14:paraId="74DE240C" w14:textId="77777777" w:rsidR="00584EC1" w:rsidRDefault="00584EC1">
            <w:pPr>
              <w:rPr>
                <w:rFonts w:ascii="宋体"/>
                <w:vanish/>
              </w:rPr>
            </w:pPr>
          </w:p>
        </w:tc>
        <w:tc>
          <w:tcPr>
            <w:tcW w:w="0" w:type="auto"/>
            <w:gridSpan w:val="3"/>
            <w:shd w:val="clear" w:color="auto" w:fill="auto"/>
            <w:vAlign w:val="bottom"/>
          </w:tcPr>
          <w:p w14:paraId="74DE240D" w14:textId="77777777" w:rsidR="00584EC1" w:rsidRDefault="00584EC1">
            <w:pPr>
              <w:rPr>
                <w:rFonts w:ascii="宋体"/>
                <w:vanish/>
              </w:rPr>
            </w:pPr>
          </w:p>
        </w:tc>
        <w:tc>
          <w:tcPr>
            <w:tcW w:w="0" w:type="auto"/>
            <w:gridSpan w:val="3"/>
            <w:shd w:val="clear" w:color="auto" w:fill="auto"/>
            <w:vAlign w:val="bottom"/>
          </w:tcPr>
          <w:p w14:paraId="74DE240E" w14:textId="77777777" w:rsidR="00584EC1" w:rsidRDefault="00584EC1">
            <w:pPr>
              <w:rPr>
                <w:rFonts w:ascii="宋体"/>
                <w:vanish/>
              </w:rPr>
            </w:pPr>
          </w:p>
        </w:tc>
        <w:tc>
          <w:tcPr>
            <w:tcW w:w="0" w:type="auto"/>
            <w:gridSpan w:val="3"/>
            <w:shd w:val="clear" w:color="auto" w:fill="auto"/>
            <w:vAlign w:val="bottom"/>
          </w:tcPr>
          <w:p w14:paraId="74DE240F" w14:textId="77777777" w:rsidR="00584EC1" w:rsidRDefault="00584EC1">
            <w:pPr>
              <w:rPr>
                <w:rFonts w:ascii="宋体"/>
                <w:vanish/>
              </w:rPr>
            </w:pPr>
          </w:p>
        </w:tc>
        <w:tc>
          <w:tcPr>
            <w:tcW w:w="0" w:type="auto"/>
            <w:gridSpan w:val="3"/>
            <w:shd w:val="clear" w:color="auto" w:fill="auto"/>
            <w:vAlign w:val="bottom"/>
          </w:tcPr>
          <w:p w14:paraId="74DE2410" w14:textId="77777777" w:rsidR="00584EC1" w:rsidRDefault="00584EC1">
            <w:pPr>
              <w:rPr>
                <w:rFonts w:ascii="宋体"/>
                <w:vanish/>
              </w:rPr>
            </w:pPr>
          </w:p>
        </w:tc>
        <w:tc>
          <w:tcPr>
            <w:tcW w:w="0" w:type="auto"/>
            <w:gridSpan w:val="3"/>
            <w:shd w:val="clear" w:color="auto" w:fill="auto"/>
            <w:vAlign w:val="bottom"/>
          </w:tcPr>
          <w:p w14:paraId="74DE2411" w14:textId="77777777" w:rsidR="00584EC1" w:rsidRDefault="00584EC1">
            <w:pPr>
              <w:rPr>
                <w:rFonts w:ascii="宋体"/>
                <w:vanish/>
              </w:rPr>
            </w:pPr>
          </w:p>
        </w:tc>
        <w:tc>
          <w:tcPr>
            <w:tcW w:w="0" w:type="auto"/>
            <w:shd w:val="clear" w:color="auto" w:fill="auto"/>
            <w:vAlign w:val="bottom"/>
          </w:tcPr>
          <w:p w14:paraId="74DE2412" w14:textId="77777777" w:rsidR="00584EC1" w:rsidRDefault="00584EC1">
            <w:pPr>
              <w:rPr>
                <w:rFonts w:ascii="宋体"/>
              </w:rPr>
            </w:pPr>
          </w:p>
        </w:tc>
        <w:tc>
          <w:tcPr>
            <w:tcW w:w="0" w:type="auto"/>
            <w:shd w:val="clear" w:color="auto" w:fill="auto"/>
            <w:vAlign w:val="bottom"/>
          </w:tcPr>
          <w:p w14:paraId="74DE2413" w14:textId="77777777" w:rsidR="00584EC1" w:rsidRDefault="00584EC1">
            <w:pPr>
              <w:rPr>
                <w:rFonts w:ascii="宋体"/>
              </w:rPr>
            </w:pPr>
          </w:p>
        </w:tc>
        <w:tc>
          <w:tcPr>
            <w:tcW w:w="0" w:type="auto"/>
            <w:shd w:val="clear" w:color="auto" w:fill="auto"/>
            <w:vAlign w:val="bottom"/>
          </w:tcPr>
          <w:p w14:paraId="74DE2414" w14:textId="77777777" w:rsidR="00584EC1" w:rsidRDefault="00584EC1">
            <w:pPr>
              <w:rPr>
                <w:rFonts w:ascii="宋体"/>
              </w:rPr>
            </w:pPr>
          </w:p>
        </w:tc>
        <w:tc>
          <w:tcPr>
            <w:tcW w:w="0" w:type="auto"/>
            <w:shd w:val="clear" w:color="auto" w:fill="auto"/>
            <w:vAlign w:val="bottom"/>
          </w:tcPr>
          <w:p w14:paraId="74DE2415" w14:textId="77777777" w:rsidR="00584EC1" w:rsidRDefault="00584EC1">
            <w:pPr>
              <w:rPr>
                <w:rFonts w:ascii="宋体"/>
              </w:rPr>
            </w:pPr>
          </w:p>
        </w:tc>
        <w:tc>
          <w:tcPr>
            <w:tcW w:w="0" w:type="auto"/>
            <w:shd w:val="clear" w:color="auto" w:fill="auto"/>
            <w:vAlign w:val="bottom"/>
          </w:tcPr>
          <w:p w14:paraId="74DE2416" w14:textId="77777777" w:rsidR="00584EC1" w:rsidRDefault="00584EC1">
            <w:pPr>
              <w:rPr>
                <w:rFonts w:ascii="宋体"/>
              </w:rPr>
            </w:pPr>
          </w:p>
        </w:tc>
        <w:tc>
          <w:tcPr>
            <w:tcW w:w="0" w:type="auto"/>
            <w:shd w:val="clear" w:color="auto" w:fill="auto"/>
            <w:vAlign w:val="bottom"/>
          </w:tcPr>
          <w:p w14:paraId="74DE2417" w14:textId="77777777" w:rsidR="00584EC1" w:rsidRDefault="00584EC1">
            <w:pPr>
              <w:rPr>
                <w:rFonts w:ascii="宋体"/>
              </w:rPr>
            </w:pPr>
          </w:p>
        </w:tc>
        <w:tc>
          <w:tcPr>
            <w:tcW w:w="0" w:type="auto"/>
            <w:shd w:val="clear" w:color="auto" w:fill="auto"/>
            <w:vAlign w:val="bottom"/>
          </w:tcPr>
          <w:p w14:paraId="74DE2418" w14:textId="77777777" w:rsidR="00584EC1" w:rsidRDefault="00584EC1">
            <w:pPr>
              <w:rPr>
                <w:rFonts w:ascii="宋体"/>
              </w:rPr>
            </w:pPr>
          </w:p>
        </w:tc>
        <w:tc>
          <w:tcPr>
            <w:tcW w:w="0" w:type="auto"/>
            <w:shd w:val="clear" w:color="auto" w:fill="auto"/>
            <w:vAlign w:val="bottom"/>
          </w:tcPr>
          <w:p w14:paraId="74DE2419" w14:textId="77777777" w:rsidR="00584EC1" w:rsidRDefault="00584EC1">
            <w:pPr>
              <w:rPr>
                <w:rFonts w:ascii="宋体"/>
              </w:rPr>
            </w:pPr>
          </w:p>
        </w:tc>
        <w:tc>
          <w:tcPr>
            <w:tcW w:w="0" w:type="auto"/>
            <w:shd w:val="clear" w:color="auto" w:fill="auto"/>
            <w:vAlign w:val="bottom"/>
          </w:tcPr>
          <w:p w14:paraId="74DE241A" w14:textId="77777777" w:rsidR="00584EC1" w:rsidRDefault="00584EC1">
            <w:pPr>
              <w:rPr>
                <w:rFonts w:ascii="宋体"/>
              </w:rPr>
            </w:pPr>
          </w:p>
        </w:tc>
        <w:tc>
          <w:tcPr>
            <w:tcW w:w="0" w:type="auto"/>
            <w:shd w:val="clear" w:color="auto" w:fill="auto"/>
            <w:vAlign w:val="bottom"/>
          </w:tcPr>
          <w:p w14:paraId="74DE241B" w14:textId="77777777" w:rsidR="00584EC1" w:rsidRDefault="00584EC1">
            <w:pPr>
              <w:rPr>
                <w:rFonts w:ascii="宋体"/>
              </w:rPr>
            </w:pPr>
          </w:p>
        </w:tc>
        <w:tc>
          <w:tcPr>
            <w:tcW w:w="0" w:type="auto"/>
            <w:shd w:val="clear" w:color="auto" w:fill="auto"/>
            <w:vAlign w:val="bottom"/>
          </w:tcPr>
          <w:p w14:paraId="74DE241C" w14:textId="77777777" w:rsidR="00584EC1" w:rsidRDefault="00584EC1">
            <w:pPr>
              <w:rPr>
                <w:rFonts w:ascii="宋体"/>
              </w:rPr>
            </w:pPr>
          </w:p>
        </w:tc>
        <w:tc>
          <w:tcPr>
            <w:tcW w:w="0" w:type="auto"/>
            <w:shd w:val="clear" w:color="auto" w:fill="auto"/>
            <w:vAlign w:val="bottom"/>
          </w:tcPr>
          <w:p w14:paraId="74DE241D" w14:textId="77777777" w:rsidR="00584EC1" w:rsidRDefault="00584EC1">
            <w:pPr>
              <w:rPr>
                <w:rFonts w:ascii="宋体"/>
              </w:rPr>
            </w:pPr>
          </w:p>
        </w:tc>
        <w:tc>
          <w:tcPr>
            <w:tcW w:w="0" w:type="auto"/>
            <w:shd w:val="clear" w:color="auto" w:fill="auto"/>
            <w:vAlign w:val="bottom"/>
          </w:tcPr>
          <w:p w14:paraId="74DE241E" w14:textId="77777777" w:rsidR="00584EC1" w:rsidRDefault="00584EC1">
            <w:pPr>
              <w:rPr>
                <w:rFonts w:ascii="宋体"/>
              </w:rPr>
            </w:pPr>
          </w:p>
        </w:tc>
        <w:tc>
          <w:tcPr>
            <w:tcW w:w="0" w:type="auto"/>
            <w:shd w:val="clear" w:color="auto" w:fill="auto"/>
            <w:vAlign w:val="bottom"/>
          </w:tcPr>
          <w:p w14:paraId="74DE241F" w14:textId="77777777" w:rsidR="00584EC1" w:rsidRDefault="00584EC1">
            <w:pPr>
              <w:rPr>
                <w:rFonts w:ascii="宋体"/>
              </w:rPr>
            </w:pPr>
          </w:p>
        </w:tc>
        <w:tc>
          <w:tcPr>
            <w:tcW w:w="0" w:type="auto"/>
            <w:shd w:val="clear" w:color="auto" w:fill="auto"/>
            <w:vAlign w:val="bottom"/>
          </w:tcPr>
          <w:p w14:paraId="74DE2420" w14:textId="77777777" w:rsidR="00584EC1" w:rsidRDefault="00584EC1">
            <w:pPr>
              <w:rPr>
                <w:rFonts w:ascii="宋体"/>
              </w:rPr>
            </w:pPr>
          </w:p>
        </w:tc>
        <w:tc>
          <w:tcPr>
            <w:tcW w:w="0" w:type="auto"/>
            <w:shd w:val="clear" w:color="auto" w:fill="auto"/>
            <w:vAlign w:val="bottom"/>
          </w:tcPr>
          <w:p w14:paraId="74DE2421" w14:textId="77777777" w:rsidR="00584EC1" w:rsidRDefault="00584EC1">
            <w:pPr>
              <w:rPr>
                <w:rFonts w:ascii="宋体"/>
              </w:rPr>
            </w:pPr>
          </w:p>
        </w:tc>
        <w:tc>
          <w:tcPr>
            <w:tcW w:w="0" w:type="auto"/>
            <w:shd w:val="clear" w:color="auto" w:fill="auto"/>
            <w:vAlign w:val="bottom"/>
          </w:tcPr>
          <w:p w14:paraId="74DE2422" w14:textId="77777777" w:rsidR="00584EC1" w:rsidRDefault="00584EC1">
            <w:pPr>
              <w:rPr>
                <w:rFonts w:ascii="宋体"/>
              </w:rPr>
            </w:pPr>
          </w:p>
        </w:tc>
        <w:tc>
          <w:tcPr>
            <w:tcW w:w="0" w:type="auto"/>
            <w:shd w:val="clear" w:color="auto" w:fill="auto"/>
            <w:vAlign w:val="bottom"/>
          </w:tcPr>
          <w:p w14:paraId="74DE2423" w14:textId="77777777" w:rsidR="00584EC1" w:rsidRDefault="00584EC1">
            <w:pPr>
              <w:rPr>
                <w:rFonts w:ascii="宋体"/>
              </w:rPr>
            </w:pPr>
          </w:p>
        </w:tc>
        <w:tc>
          <w:tcPr>
            <w:tcW w:w="0" w:type="auto"/>
            <w:shd w:val="clear" w:color="auto" w:fill="auto"/>
            <w:vAlign w:val="bottom"/>
          </w:tcPr>
          <w:p w14:paraId="74DE2424" w14:textId="77777777" w:rsidR="00584EC1" w:rsidRDefault="00584EC1">
            <w:pPr>
              <w:rPr>
                <w:rFonts w:ascii="宋体"/>
              </w:rPr>
            </w:pPr>
          </w:p>
        </w:tc>
        <w:tc>
          <w:tcPr>
            <w:tcW w:w="0" w:type="auto"/>
            <w:shd w:val="clear" w:color="auto" w:fill="auto"/>
            <w:vAlign w:val="bottom"/>
          </w:tcPr>
          <w:p w14:paraId="74DE2425" w14:textId="77777777" w:rsidR="00584EC1" w:rsidRDefault="00584EC1">
            <w:pPr>
              <w:rPr>
                <w:rFonts w:ascii="宋体"/>
              </w:rPr>
            </w:pPr>
          </w:p>
        </w:tc>
        <w:tc>
          <w:tcPr>
            <w:tcW w:w="0" w:type="auto"/>
            <w:shd w:val="clear" w:color="auto" w:fill="auto"/>
            <w:vAlign w:val="bottom"/>
          </w:tcPr>
          <w:p w14:paraId="74DE2426" w14:textId="77777777" w:rsidR="00584EC1" w:rsidRDefault="00584EC1">
            <w:pPr>
              <w:rPr>
                <w:rFonts w:ascii="宋体"/>
              </w:rPr>
            </w:pPr>
          </w:p>
        </w:tc>
        <w:tc>
          <w:tcPr>
            <w:tcW w:w="0" w:type="auto"/>
            <w:shd w:val="clear" w:color="auto" w:fill="auto"/>
            <w:vAlign w:val="bottom"/>
          </w:tcPr>
          <w:p w14:paraId="74DE2427" w14:textId="77777777" w:rsidR="00584EC1" w:rsidRDefault="00584EC1">
            <w:pPr>
              <w:rPr>
                <w:rFonts w:ascii="宋体"/>
              </w:rPr>
            </w:pPr>
          </w:p>
        </w:tc>
        <w:tc>
          <w:tcPr>
            <w:tcW w:w="0" w:type="auto"/>
            <w:shd w:val="clear" w:color="auto" w:fill="auto"/>
            <w:vAlign w:val="bottom"/>
          </w:tcPr>
          <w:p w14:paraId="74DE2428" w14:textId="77777777" w:rsidR="00584EC1" w:rsidRDefault="00584EC1">
            <w:pPr>
              <w:rPr>
                <w:rFonts w:ascii="宋体"/>
              </w:rPr>
            </w:pPr>
          </w:p>
        </w:tc>
        <w:tc>
          <w:tcPr>
            <w:tcW w:w="0" w:type="auto"/>
            <w:shd w:val="clear" w:color="auto" w:fill="auto"/>
            <w:vAlign w:val="bottom"/>
          </w:tcPr>
          <w:p w14:paraId="74DE2429" w14:textId="77777777" w:rsidR="00584EC1" w:rsidRDefault="00584EC1">
            <w:pPr>
              <w:rPr>
                <w:rFonts w:ascii="宋体"/>
              </w:rPr>
            </w:pPr>
          </w:p>
        </w:tc>
        <w:tc>
          <w:tcPr>
            <w:tcW w:w="0" w:type="auto"/>
            <w:shd w:val="clear" w:color="auto" w:fill="auto"/>
            <w:vAlign w:val="bottom"/>
          </w:tcPr>
          <w:p w14:paraId="74DE242A" w14:textId="77777777" w:rsidR="00584EC1" w:rsidRDefault="00584EC1">
            <w:pPr>
              <w:rPr>
                <w:rFonts w:ascii="宋体"/>
              </w:rPr>
            </w:pPr>
          </w:p>
        </w:tc>
        <w:tc>
          <w:tcPr>
            <w:tcW w:w="0" w:type="auto"/>
            <w:shd w:val="clear" w:color="auto" w:fill="auto"/>
            <w:vAlign w:val="bottom"/>
          </w:tcPr>
          <w:p w14:paraId="74DE242B" w14:textId="77777777" w:rsidR="00584EC1" w:rsidRDefault="00584EC1">
            <w:pPr>
              <w:rPr>
                <w:rFonts w:ascii="宋体"/>
              </w:rPr>
            </w:pPr>
          </w:p>
        </w:tc>
        <w:tc>
          <w:tcPr>
            <w:tcW w:w="0" w:type="auto"/>
            <w:shd w:val="clear" w:color="auto" w:fill="auto"/>
            <w:vAlign w:val="bottom"/>
          </w:tcPr>
          <w:p w14:paraId="74DE242C" w14:textId="77777777" w:rsidR="00584EC1" w:rsidRDefault="00584EC1">
            <w:pPr>
              <w:rPr>
                <w:rFonts w:ascii="宋体"/>
              </w:rPr>
            </w:pPr>
          </w:p>
        </w:tc>
      </w:tr>
      <w:tr w:rsidR="00584EC1" w14:paraId="74DE2444" w14:textId="77777777">
        <w:trPr>
          <w:hidden/>
        </w:trPr>
        <w:tc>
          <w:tcPr>
            <w:tcW w:w="0" w:type="auto"/>
            <w:gridSpan w:val="3"/>
            <w:shd w:val="clear" w:color="auto" w:fill="auto"/>
            <w:vAlign w:val="bottom"/>
          </w:tcPr>
          <w:p w14:paraId="74DE242E" w14:textId="77777777" w:rsidR="00584EC1" w:rsidRDefault="00584EC1">
            <w:pPr>
              <w:rPr>
                <w:rFonts w:ascii="宋体"/>
                <w:vanish/>
              </w:rPr>
            </w:pPr>
          </w:p>
        </w:tc>
        <w:tc>
          <w:tcPr>
            <w:tcW w:w="0" w:type="auto"/>
            <w:gridSpan w:val="3"/>
            <w:shd w:val="clear" w:color="auto" w:fill="auto"/>
            <w:vAlign w:val="bottom"/>
          </w:tcPr>
          <w:p w14:paraId="74DE242F" w14:textId="77777777" w:rsidR="00584EC1" w:rsidRDefault="00584EC1">
            <w:pPr>
              <w:rPr>
                <w:rFonts w:ascii="宋体"/>
                <w:vanish/>
              </w:rPr>
            </w:pPr>
          </w:p>
        </w:tc>
        <w:tc>
          <w:tcPr>
            <w:tcW w:w="0" w:type="auto"/>
            <w:gridSpan w:val="3"/>
            <w:shd w:val="clear" w:color="auto" w:fill="auto"/>
            <w:vAlign w:val="bottom"/>
          </w:tcPr>
          <w:p w14:paraId="74DE2430" w14:textId="77777777" w:rsidR="00584EC1" w:rsidRDefault="00584EC1">
            <w:pPr>
              <w:rPr>
                <w:rFonts w:ascii="宋体"/>
                <w:vanish/>
              </w:rPr>
            </w:pPr>
          </w:p>
        </w:tc>
        <w:tc>
          <w:tcPr>
            <w:tcW w:w="0" w:type="auto"/>
            <w:gridSpan w:val="3"/>
            <w:shd w:val="clear" w:color="auto" w:fill="auto"/>
            <w:vAlign w:val="bottom"/>
          </w:tcPr>
          <w:p w14:paraId="74DE2431" w14:textId="77777777" w:rsidR="00584EC1" w:rsidRDefault="00584EC1">
            <w:pPr>
              <w:rPr>
                <w:rFonts w:ascii="宋体"/>
                <w:vanish/>
              </w:rPr>
            </w:pPr>
          </w:p>
        </w:tc>
        <w:tc>
          <w:tcPr>
            <w:tcW w:w="0" w:type="auto"/>
            <w:gridSpan w:val="3"/>
            <w:shd w:val="clear" w:color="auto" w:fill="auto"/>
            <w:vAlign w:val="bottom"/>
          </w:tcPr>
          <w:p w14:paraId="74DE2432" w14:textId="77777777" w:rsidR="00584EC1" w:rsidRDefault="00584EC1">
            <w:pPr>
              <w:rPr>
                <w:rFonts w:ascii="宋体"/>
                <w:vanish/>
              </w:rPr>
            </w:pPr>
          </w:p>
        </w:tc>
        <w:tc>
          <w:tcPr>
            <w:tcW w:w="0" w:type="auto"/>
            <w:gridSpan w:val="3"/>
            <w:shd w:val="clear" w:color="auto" w:fill="auto"/>
            <w:vAlign w:val="bottom"/>
          </w:tcPr>
          <w:p w14:paraId="74DE2433" w14:textId="77777777" w:rsidR="00584EC1" w:rsidRDefault="00584EC1">
            <w:pPr>
              <w:rPr>
                <w:rFonts w:ascii="宋体"/>
                <w:vanish/>
              </w:rPr>
            </w:pPr>
          </w:p>
        </w:tc>
        <w:tc>
          <w:tcPr>
            <w:tcW w:w="0" w:type="auto"/>
            <w:gridSpan w:val="3"/>
            <w:shd w:val="clear" w:color="auto" w:fill="auto"/>
            <w:vAlign w:val="bottom"/>
          </w:tcPr>
          <w:p w14:paraId="74DE2434" w14:textId="77777777" w:rsidR="00584EC1" w:rsidRDefault="00584EC1">
            <w:pPr>
              <w:rPr>
                <w:rFonts w:ascii="宋体"/>
                <w:vanish/>
              </w:rPr>
            </w:pPr>
          </w:p>
        </w:tc>
        <w:tc>
          <w:tcPr>
            <w:tcW w:w="0" w:type="auto"/>
            <w:gridSpan w:val="3"/>
            <w:shd w:val="clear" w:color="auto" w:fill="auto"/>
            <w:vAlign w:val="bottom"/>
          </w:tcPr>
          <w:p w14:paraId="74DE2435" w14:textId="77777777" w:rsidR="00584EC1" w:rsidRDefault="00584EC1">
            <w:pPr>
              <w:rPr>
                <w:rFonts w:ascii="宋体"/>
                <w:vanish/>
              </w:rPr>
            </w:pPr>
          </w:p>
        </w:tc>
        <w:tc>
          <w:tcPr>
            <w:tcW w:w="0" w:type="auto"/>
            <w:gridSpan w:val="3"/>
            <w:shd w:val="clear" w:color="auto" w:fill="auto"/>
            <w:vAlign w:val="bottom"/>
          </w:tcPr>
          <w:p w14:paraId="74DE2436" w14:textId="77777777" w:rsidR="00584EC1" w:rsidRDefault="00584EC1">
            <w:pPr>
              <w:rPr>
                <w:rFonts w:ascii="宋体"/>
                <w:vanish/>
              </w:rPr>
            </w:pPr>
          </w:p>
        </w:tc>
        <w:tc>
          <w:tcPr>
            <w:tcW w:w="0" w:type="auto"/>
            <w:gridSpan w:val="3"/>
            <w:shd w:val="clear" w:color="auto" w:fill="auto"/>
            <w:vAlign w:val="bottom"/>
          </w:tcPr>
          <w:p w14:paraId="74DE2437" w14:textId="77777777" w:rsidR="00584EC1" w:rsidRDefault="00584EC1">
            <w:pPr>
              <w:rPr>
                <w:rFonts w:ascii="宋体"/>
                <w:vanish/>
              </w:rPr>
            </w:pPr>
          </w:p>
        </w:tc>
        <w:tc>
          <w:tcPr>
            <w:tcW w:w="0" w:type="auto"/>
            <w:gridSpan w:val="3"/>
            <w:shd w:val="clear" w:color="auto" w:fill="auto"/>
            <w:vAlign w:val="bottom"/>
          </w:tcPr>
          <w:p w14:paraId="74DE2438" w14:textId="77777777" w:rsidR="00584EC1" w:rsidRDefault="00584EC1">
            <w:pPr>
              <w:rPr>
                <w:rFonts w:ascii="宋体"/>
                <w:vanish/>
              </w:rPr>
            </w:pPr>
          </w:p>
        </w:tc>
        <w:tc>
          <w:tcPr>
            <w:tcW w:w="0" w:type="auto"/>
            <w:gridSpan w:val="3"/>
            <w:shd w:val="clear" w:color="auto" w:fill="auto"/>
            <w:vAlign w:val="bottom"/>
          </w:tcPr>
          <w:p w14:paraId="74DE2439" w14:textId="77777777" w:rsidR="00584EC1" w:rsidRDefault="00584EC1">
            <w:pPr>
              <w:rPr>
                <w:rFonts w:ascii="宋体"/>
                <w:vanish/>
              </w:rPr>
            </w:pPr>
          </w:p>
        </w:tc>
        <w:tc>
          <w:tcPr>
            <w:tcW w:w="0" w:type="auto"/>
            <w:gridSpan w:val="3"/>
            <w:shd w:val="clear" w:color="auto" w:fill="auto"/>
            <w:vAlign w:val="bottom"/>
          </w:tcPr>
          <w:p w14:paraId="74DE243A" w14:textId="77777777" w:rsidR="00584EC1" w:rsidRDefault="00584EC1">
            <w:pPr>
              <w:rPr>
                <w:rFonts w:ascii="宋体"/>
                <w:vanish/>
              </w:rPr>
            </w:pPr>
          </w:p>
        </w:tc>
        <w:tc>
          <w:tcPr>
            <w:tcW w:w="0" w:type="auto"/>
            <w:gridSpan w:val="3"/>
            <w:shd w:val="clear" w:color="auto" w:fill="auto"/>
            <w:vAlign w:val="bottom"/>
          </w:tcPr>
          <w:p w14:paraId="74DE243B" w14:textId="77777777" w:rsidR="00584EC1" w:rsidRDefault="00584EC1">
            <w:pPr>
              <w:rPr>
                <w:rFonts w:ascii="宋体"/>
                <w:vanish/>
              </w:rPr>
            </w:pPr>
          </w:p>
        </w:tc>
        <w:tc>
          <w:tcPr>
            <w:tcW w:w="0" w:type="auto"/>
            <w:gridSpan w:val="3"/>
            <w:shd w:val="clear" w:color="auto" w:fill="auto"/>
            <w:vAlign w:val="bottom"/>
          </w:tcPr>
          <w:p w14:paraId="74DE243C" w14:textId="77777777" w:rsidR="00584EC1" w:rsidRDefault="00584EC1">
            <w:pPr>
              <w:rPr>
                <w:rFonts w:ascii="宋体"/>
                <w:vanish/>
              </w:rPr>
            </w:pPr>
          </w:p>
        </w:tc>
        <w:tc>
          <w:tcPr>
            <w:tcW w:w="0" w:type="auto"/>
            <w:gridSpan w:val="3"/>
            <w:shd w:val="clear" w:color="auto" w:fill="auto"/>
            <w:vAlign w:val="bottom"/>
          </w:tcPr>
          <w:p w14:paraId="74DE243D" w14:textId="77777777" w:rsidR="00584EC1" w:rsidRDefault="00584EC1">
            <w:pPr>
              <w:rPr>
                <w:rFonts w:ascii="宋体"/>
                <w:vanish/>
              </w:rPr>
            </w:pPr>
          </w:p>
        </w:tc>
        <w:tc>
          <w:tcPr>
            <w:tcW w:w="0" w:type="auto"/>
            <w:gridSpan w:val="3"/>
            <w:shd w:val="clear" w:color="auto" w:fill="auto"/>
            <w:vAlign w:val="bottom"/>
          </w:tcPr>
          <w:p w14:paraId="74DE243E" w14:textId="77777777" w:rsidR="00584EC1" w:rsidRDefault="00584EC1">
            <w:pPr>
              <w:rPr>
                <w:rFonts w:ascii="宋体"/>
                <w:vanish/>
              </w:rPr>
            </w:pPr>
          </w:p>
        </w:tc>
        <w:tc>
          <w:tcPr>
            <w:tcW w:w="0" w:type="auto"/>
            <w:gridSpan w:val="3"/>
            <w:shd w:val="clear" w:color="auto" w:fill="auto"/>
            <w:vAlign w:val="bottom"/>
          </w:tcPr>
          <w:p w14:paraId="74DE243F" w14:textId="77777777" w:rsidR="00584EC1" w:rsidRDefault="00584EC1">
            <w:pPr>
              <w:rPr>
                <w:rFonts w:ascii="宋体"/>
                <w:vanish/>
              </w:rPr>
            </w:pPr>
          </w:p>
        </w:tc>
        <w:tc>
          <w:tcPr>
            <w:tcW w:w="0" w:type="auto"/>
            <w:gridSpan w:val="3"/>
            <w:shd w:val="clear" w:color="auto" w:fill="auto"/>
            <w:vAlign w:val="bottom"/>
          </w:tcPr>
          <w:p w14:paraId="74DE2440" w14:textId="77777777" w:rsidR="00584EC1" w:rsidRDefault="00584EC1">
            <w:pPr>
              <w:rPr>
                <w:rFonts w:ascii="宋体"/>
                <w:vanish/>
              </w:rPr>
            </w:pPr>
          </w:p>
        </w:tc>
        <w:tc>
          <w:tcPr>
            <w:tcW w:w="0" w:type="auto"/>
            <w:gridSpan w:val="3"/>
            <w:shd w:val="clear" w:color="auto" w:fill="auto"/>
            <w:vAlign w:val="bottom"/>
          </w:tcPr>
          <w:p w14:paraId="74DE2441" w14:textId="77777777" w:rsidR="00584EC1" w:rsidRDefault="00584EC1">
            <w:pPr>
              <w:rPr>
                <w:rFonts w:ascii="宋体"/>
                <w:vanish/>
              </w:rPr>
            </w:pPr>
          </w:p>
        </w:tc>
        <w:tc>
          <w:tcPr>
            <w:tcW w:w="0" w:type="auto"/>
            <w:gridSpan w:val="2"/>
            <w:shd w:val="clear" w:color="auto" w:fill="auto"/>
            <w:vAlign w:val="bottom"/>
          </w:tcPr>
          <w:p w14:paraId="74DE2442" w14:textId="77777777" w:rsidR="00584EC1" w:rsidRDefault="00584EC1">
            <w:pPr>
              <w:rPr>
                <w:rFonts w:ascii="宋体"/>
                <w:vanish/>
              </w:rPr>
            </w:pPr>
          </w:p>
        </w:tc>
        <w:tc>
          <w:tcPr>
            <w:tcW w:w="0" w:type="auto"/>
            <w:shd w:val="clear" w:color="auto" w:fill="auto"/>
            <w:vAlign w:val="bottom"/>
          </w:tcPr>
          <w:p w14:paraId="74DE2443" w14:textId="77777777" w:rsidR="00584EC1" w:rsidRDefault="00584EC1">
            <w:pPr>
              <w:rPr>
                <w:rFonts w:ascii="宋体"/>
                <w:vanish/>
              </w:rPr>
            </w:pPr>
          </w:p>
        </w:tc>
      </w:tr>
      <w:tr w:rsidR="00584EC1" w14:paraId="74DE245B" w14:textId="77777777">
        <w:trPr>
          <w:hidden/>
        </w:trPr>
        <w:tc>
          <w:tcPr>
            <w:tcW w:w="0" w:type="auto"/>
            <w:gridSpan w:val="3"/>
            <w:shd w:val="clear" w:color="auto" w:fill="auto"/>
            <w:vAlign w:val="bottom"/>
          </w:tcPr>
          <w:p w14:paraId="74DE2445" w14:textId="77777777" w:rsidR="00584EC1" w:rsidRDefault="00584EC1">
            <w:pPr>
              <w:rPr>
                <w:rFonts w:ascii="宋体"/>
                <w:vanish/>
              </w:rPr>
            </w:pPr>
          </w:p>
        </w:tc>
        <w:tc>
          <w:tcPr>
            <w:tcW w:w="0" w:type="auto"/>
            <w:gridSpan w:val="3"/>
            <w:shd w:val="clear" w:color="auto" w:fill="auto"/>
            <w:vAlign w:val="bottom"/>
          </w:tcPr>
          <w:p w14:paraId="74DE2446" w14:textId="77777777" w:rsidR="00584EC1" w:rsidRDefault="00584EC1">
            <w:pPr>
              <w:rPr>
                <w:rFonts w:ascii="宋体"/>
                <w:vanish/>
              </w:rPr>
            </w:pPr>
          </w:p>
        </w:tc>
        <w:tc>
          <w:tcPr>
            <w:tcW w:w="0" w:type="auto"/>
            <w:gridSpan w:val="3"/>
            <w:shd w:val="clear" w:color="auto" w:fill="auto"/>
            <w:vAlign w:val="bottom"/>
          </w:tcPr>
          <w:p w14:paraId="74DE2447" w14:textId="77777777" w:rsidR="00584EC1" w:rsidRDefault="00584EC1">
            <w:pPr>
              <w:rPr>
                <w:rFonts w:ascii="宋体"/>
                <w:vanish/>
              </w:rPr>
            </w:pPr>
          </w:p>
        </w:tc>
        <w:tc>
          <w:tcPr>
            <w:tcW w:w="0" w:type="auto"/>
            <w:gridSpan w:val="3"/>
            <w:shd w:val="clear" w:color="auto" w:fill="auto"/>
            <w:vAlign w:val="bottom"/>
          </w:tcPr>
          <w:p w14:paraId="74DE2448" w14:textId="77777777" w:rsidR="00584EC1" w:rsidRDefault="00584EC1">
            <w:pPr>
              <w:rPr>
                <w:rFonts w:ascii="宋体"/>
                <w:vanish/>
              </w:rPr>
            </w:pPr>
          </w:p>
        </w:tc>
        <w:tc>
          <w:tcPr>
            <w:tcW w:w="0" w:type="auto"/>
            <w:gridSpan w:val="3"/>
            <w:shd w:val="clear" w:color="auto" w:fill="auto"/>
            <w:vAlign w:val="bottom"/>
          </w:tcPr>
          <w:p w14:paraId="74DE2449" w14:textId="77777777" w:rsidR="00584EC1" w:rsidRDefault="00584EC1">
            <w:pPr>
              <w:rPr>
                <w:rFonts w:ascii="宋体"/>
                <w:vanish/>
              </w:rPr>
            </w:pPr>
          </w:p>
        </w:tc>
        <w:tc>
          <w:tcPr>
            <w:tcW w:w="0" w:type="auto"/>
            <w:gridSpan w:val="3"/>
            <w:shd w:val="clear" w:color="auto" w:fill="auto"/>
            <w:vAlign w:val="bottom"/>
          </w:tcPr>
          <w:p w14:paraId="74DE244A" w14:textId="77777777" w:rsidR="00584EC1" w:rsidRDefault="00584EC1">
            <w:pPr>
              <w:rPr>
                <w:rFonts w:ascii="宋体"/>
                <w:vanish/>
              </w:rPr>
            </w:pPr>
          </w:p>
        </w:tc>
        <w:tc>
          <w:tcPr>
            <w:tcW w:w="0" w:type="auto"/>
            <w:gridSpan w:val="3"/>
            <w:shd w:val="clear" w:color="auto" w:fill="auto"/>
            <w:vAlign w:val="bottom"/>
          </w:tcPr>
          <w:p w14:paraId="74DE244B" w14:textId="77777777" w:rsidR="00584EC1" w:rsidRDefault="00584EC1">
            <w:pPr>
              <w:rPr>
                <w:rFonts w:ascii="宋体"/>
                <w:vanish/>
              </w:rPr>
            </w:pPr>
          </w:p>
        </w:tc>
        <w:tc>
          <w:tcPr>
            <w:tcW w:w="0" w:type="auto"/>
            <w:gridSpan w:val="3"/>
            <w:shd w:val="clear" w:color="auto" w:fill="auto"/>
            <w:vAlign w:val="bottom"/>
          </w:tcPr>
          <w:p w14:paraId="74DE244C" w14:textId="77777777" w:rsidR="00584EC1" w:rsidRDefault="00584EC1">
            <w:pPr>
              <w:rPr>
                <w:rFonts w:ascii="宋体"/>
                <w:vanish/>
              </w:rPr>
            </w:pPr>
          </w:p>
        </w:tc>
        <w:tc>
          <w:tcPr>
            <w:tcW w:w="0" w:type="auto"/>
            <w:gridSpan w:val="3"/>
            <w:shd w:val="clear" w:color="auto" w:fill="auto"/>
            <w:vAlign w:val="bottom"/>
          </w:tcPr>
          <w:p w14:paraId="74DE244D" w14:textId="77777777" w:rsidR="00584EC1" w:rsidRDefault="00584EC1">
            <w:pPr>
              <w:rPr>
                <w:rFonts w:ascii="宋体"/>
                <w:vanish/>
              </w:rPr>
            </w:pPr>
          </w:p>
        </w:tc>
        <w:tc>
          <w:tcPr>
            <w:tcW w:w="0" w:type="auto"/>
            <w:gridSpan w:val="3"/>
            <w:shd w:val="clear" w:color="auto" w:fill="auto"/>
            <w:vAlign w:val="bottom"/>
          </w:tcPr>
          <w:p w14:paraId="74DE244E" w14:textId="77777777" w:rsidR="00584EC1" w:rsidRDefault="00584EC1">
            <w:pPr>
              <w:rPr>
                <w:rFonts w:ascii="宋体"/>
                <w:vanish/>
              </w:rPr>
            </w:pPr>
          </w:p>
        </w:tc>
        <w:tc>
          <w:tcPr>
            <w:tcW w:w="0" w:type="auto"/>
            <w:gridSpan w:val="3"/>
            <w:shd w:val="clear" w:color="auto" w:fill="auto"/>
            <w:vAlign w:val="bottom"/>
          </w:tcPr>
          <w:p w14:paraId="74DE244F" w14:textId="77777777" w:rsidR="00584EC1" w:rsidRDefault="00584EC1">
            <w:pPr>
              <w:rPr>
                <w:rFonts w:ascii="宋体"/>
                <w:vanish/>
              </w:rPr>
            </w:pPr>
          </w:p>
        </w:tc>
        <w:tc>
          <w:tcPr>
            <w:tcW w:w="0" w:type="auto"/>
            <w:gridSpan w:val="3"/>
            <w:shd w:val="clear" w:color="auto" w:fill="auto"/>
            <w:vAlign w:val="bottom"/>
          </w:tcPr>
          <w:p w14:paraId="74DE2450" w14:textId="77777777" w:rsidR="00584EC1" w:rsidRDefault="00584EC1">
            <w:pPr>
              <w:rPr>
                <w:rFonts w:ascii="宋体"/>
                <w:vanish/>
              </w:rPr>
            </w:pPr>
          </w:p>
        </w:tc>
        <w:tc>
          <w:tcPr>
            <w:tcW w:w="0" w:type="auto"/>
            <w:gridSpan w:val="3"/>
            <w:shd w:val="clear" w:color="auto" w:fill="auto"/>
            <w:vAlign w:val="bottom"/>
          </w:tcPr>
          <w:p w14:paraId="74DE2451" w14:textId="77777777" w:rsidR="00584EC1" w:rsidRDefault="00584EC1">
            <w:pPr>
              <w:rPr>
                <w:rFonts w:ascii="宋体"/>
                <w:vanish/>
              </w:rPr>
            </w:pPr>
          </w:p>
        </w:tc>
        <w:tc>
          <w:tcPr>
            <w:tcW w:w="0" w:type="auto"/>
            <w:gridSpan w:val="3"/>
            <w:shd w:val="clear" w:color="auto" w:fill="auto"/>
            <w:vAlign w:val="bottom"/>
          </w:tcPr>
          <w:p w14:paraId="74DE2452" w14:textId="77777777" w:rsidR="00584EC1" w:rsidRDefault="00584EC1">
            <w:pPr>
              <w:rPr>
                <w:rFonts w:ascii="宋体"/>
                <w:vanish/>
              </w:rPr>
            </w:pPr>
          </w:p>
        </w:tc>
        <w:tc>
          <w:tcPr>
            <w:tcW w:w="0" w:type="auto"/>
            <w:gridSpan w:val="3"/>
            <w:shd w:val="clear" w:color="auto" w:fill="auto"/>
            <w:vAlign w:val="bottom"/>
          </w:tcPr>
          <w:p w14:paraId="74DE2453" w14:textId="77777777" w:rsidR="00584EC1" w:rsidRDefault="00584EC1">
            <w:pPr>
              <w:rPr>
                <w:rFonts w:ascii="宋体"/>
                <w:vanish/>
              </w:rPr>
            </w:pPr>
          </w:p>
        </w:tc>
        <w:tc>
          <w:tcPr>
            <w:tcW w:w="0" w:type="auto"/>
            <w:gridSpan w:val="3"/>
            <w:shd w:val="clear" w:color="auto" w:fill="auto"/>
            <w:vAlign w:val="bottom"/>
          </w:tcPr>
          <w:p w14:paraId="74DE2454" w14:textId="77777777" w:rsidR="00584EC1" w:rsidRDefault="00584EC1">
            <w:pPr>
              <w:rPr>
                <w:rFonts w:ascii="宋体"/>
                <w:vanish/>
              </w:rPr>
            </w:pPr>
          </w:p>
        </w:tc>
        <w:tc>
          <w:tcPr>
            <w:tcW w:w="0" w:type="auto"/>
            <w:gridSpan w:val="3"/>
            <w:shd w:val="clear" w:color="auto" w:fill="auto"/>
            <w:vAlign w:val="bottom"/>
          </w:tcPr>
          <w:p w14:paraId="74DE2455" w14:textId="77777777" w:rsidR="00584EC1" w:rsidRDefault="00584EC1">
            <w:pPr>
              <w:rPr>
                <w:rFonts w:ascii="宋体"/>
                <w:vanish/>
              </w:rPr>
            </w:pPr>
          </w:p>
        </w:tc>
        <w:tc>
          <w:tcPr>
            <w:tcW w:w="0" w:type="auto"/>
            <w:gridSpan w:val="3"/>
            <w:shd w:val="clear" w:color="auto" w:fill="auto"/>
            <w:vAlign w:val="bottom"/>
          </w:tcPr>
          <w:p w14:paraId="74DE2456" w14:textId="77777777" w:rsidR="00584EC1" w:rsidRDefault="00584EC1">
            <w:pPr>
              <w:rPr>
                <w:rFonts w:ascii="宋体"/>
                <w:vanish/>
              </w:rPr>
            </w:pPr>
          </w:p>
        </w:tc>
        <w:tc>
          <w:tcPr>
            <w:tcW w:w="0" w:type="auto"/>
            <w:gridSpan w:val="3"/>
            <w:shd w:val="clear" w:color="auto" w:fill="auto"/>
            <w:vAlign w:val="bottom"/>
          </w:tcPr>
          <w:p w14:paraId="74DE2457" w14:textId="77777777" w:rsidR="00584EC1" w:rsidRDefault="00584EC1">
            <w:pPr>
              <w:rPr>
                <w:rFonts w:ascii="宋体"/>
                <w:vanish/>
              </w:rPr>
            </w:pPr>
          </w:p>
        </w:tc>
        <w:tc>
          <w:tcPr>
            <w:tcW w:w="0" w:type="auto"/>
            <w:gridSpan w:val="3"/>
            <w:shd w:val="clear" w:color="auto" w:fill="auto"/>
            <w:vAlign w:val="bottom"/>
          </w:tcPr>
          <w:p w14:paraId="74DE2458" w14:textId="77777777" w:rsidR="00584EC1" w:rsidRDefault="00584EC1">
            <w:pPr>
              <w:rPr>
                <w:rFonts w:ascii="宋体"/>
                <w:vanish/>
              </w:rPr>
            </w:pPr>
          </w:p>
        </w:tc>
        <w:tc>
          <w:tcPr>
            <w:tcW w:w="0" w:type="auto"/>
            <w:gridSpan w:val="2"/>
            <w:shd w:val="clear" w:color="auto" w:fill="auto"/>
            <w:vAlign w:val="bottom"/>
          </w:tcPr>
          <w:p w14:paraId="74DE2459" w14:textId="77777777" w:rsidR="00584EC1" w:rsidRDefault="00584EC1">
            <w:pPr>
              <w:rPr>
                <w:rFonts w:ascii="宋体"/>
                <w:vanish/>
              </w:rPr>
            </w:pPr>
          </w:p>
        </w:tc>
        <w:tc>
          <w:tcPr>
            <w:tcW w:w="0" w:type="auto"/>
            <w:shd w:val="clear" w:color="auto" w:fill="auto"/>
            <w:vAlign w:val="bottom"/>
          </w:tcPr>
          <w:p w14:paraId="74DE245A" w14:textId="77777777" w:rsidR="00584EC1" w:rsidRDefault="00584EC1">
            <w:pPr>
              <w:rPr>
                <w:rFonts w:ascii="宋体"/>
                <w:vanish/>
              </w:rPr>
            </w:pPr>
          </w:p>
        </w:tc>
      </w:tr>
      <w:tr w:rsidR="00584EC1" w14:paraId="74DE2472" w14:textId="77777777">
        <w:trPr>
          <w:hidden/>
        </w:trPr>
        <w:tc>
          <w:tcPr>
            <w:tcW w:w="0" w:type="auto"/>
            <w:gridSpan w:val="3"/>
            <w:shd w:val="clear" w:color="auto" w:fill="auto"/>
            <w:vAlign w:val="bottom"/>
          </w:tcPr>
          <w:p w14:paraId="74DE245C" w14:textId="77777777" w:rsidR="00584EC1" w:rsidRDefault="00584EC1">
            <w:pPr>
              <w:rPr>
                <w:rFonts w:ascii="宋体"/>
                <w:vanish/>
              </w:rPr>
            </w:pPr>
          </w:p>
        </w:tc>
        <w:tc>
          <w:tcPr>
            <w:tcW w:w="0" w:type="auto"/>
            <w:gridSpan w:val="3"/>
            <w:shd w:val="clear" w:color="auto" w:fill="auto"/>
            <w:vAlign w:val="bottom"/>
          </w:tcPr>
          <w:p w14:paraId="74DE245D" w14:textId="77777777" w:rsidR="00584EC1" w:rsidRDefault="00584EC1">
            <w:pPr>
              <w:rPr>
                <w:rFonts w:ascii="宋体"/>
                <w:vanish/>
              </w:rPr>
            </w:pPr>
          </w:p>
        </w:tc>
        <w:tc>
          <w:tcPr>
            <w:tcW w:w="0" w:type="auto"/>
            <w:gridSpan w:val="3"/>
            <w:shd w:val="clear" w:color="auto" w:fill="auto"/>
            <w:vAlign w:val="bottom"/>
          </w:tcPr>
          <w:p w14:paraId="74DE245E" w14:textId="77777777" w:rsidR="00584EC1" w:rsidRDefault="00584EC1">
            <w:pPr>
              <w:rPr>
                <w:rFonts w:ascii="宋体"/>
                <w:vanish/>
              </w:rPr>
            </w:pPr>
          </w:p>
        </w:tc>
        <w:tc>
          <w:tcPr>
            <w:tcW w:w="0" w:type="auto"/>
            <w:gridSpan w:val="3"/>
            <w:shd w:val="clear" w:color="auto" w:fill="auto"/>
            <w:vAlign w:val="bottom"/>
          </w:tcPr>
          <w:p w14:paraId="74DE245F" w14:textId="77777777" w:rsidR="00584EC1" w:rsidRDefault="00584EC1">
            <w:pPr>
              <w:rPr>
                <w:rFonts w:ascii="宋体"/>
                <w:vanish/>
              </w:rPr>
            </w:pPr>
          </w:p>
        </w:tc>
        <w:tc>
          <w:tcPr>
            <w:tcW w:w="0" w:type="auto"/>
            <w:gridSpan w:val="3"/>
            <w:shd w:val="clear" w:color="auto" w:fill="auto"/>
            <w:vAlign w:val="bottom"/>
          </w:tcPr>
          <w:p w14:paraId="74DE2460" w14:textId="77777777" w:rsidR="00584EC1" w:rsidRDefault="00584EC1">
            <w:pPr>
              <w:rPr>
                <w:rFonts w:ascii="宋体"/>
                <w:vanish/>
              </w:rPr>
            </w:pPr>
          </w:p>
        </w:tc>
        <w:tc>
          <w:tcPr>
            <w:tcW w:w="0" w:type="auto"/>
            <w:gridSpan w:val="3"/>
            <w:shd w:val="clear" w:color="auto" w:fill="auto"/>
            <w:vAlign w:val="bottom"/>
          </w:tcPr>
          <w:p w14:paraId="74DE2461" w14:textId="77777777" w:rsidR="00584EC1" w:rsidRDefault="00584EC1">
            <w:pPr>
              <w:rPr>
                <w:rFonts w:ascii="宋体"/>
                <w:vanish/>
              </w:rPr>
            </w:pPr>
          </w:p>
        </w:tc>
        <w:tc>
          <w:tcPr>
            <w:tcW w:w="0" w:type="auto"/>
            <w:gridSpan w:val="3"/>
            <w:shd w:val="clear" w:color="auto" w:fill="auto"/>
            <w:vAlign w:val="bottom"/>
          </w:tcPr>
          <w:p w14:paraId="74DE2462" w14:textId="77777777" w:rsidR="00584EC1" w:rsidRDefault="00584EC1">
            <w:pPr>
              <w:rPr>
                <w:rFonts w:ascii="宋体"/>
                <w:vanish/>
              </w:rPr>
            </w:pPr>
          </w:p>
        </w:tc>
        <w:tc>
          <w:tcPr>
            <w:tcW w:w="0" w:type="auto"/>
            <w:gridSpan w:val="3"/>
            <w:shd w:val="clear" w:color="auto" w:fill="auto"/>
            <w:vAlign w:val="bottom"/>
          </w:tcPr>
          <w:p w14:paraId="74DE2463" w14:textId="77777777" w:rsidR="00584EC1" w:rsidRDefault="00584EC1">
            <w:pPr>
              <w:rPr>
                <w:rFonts w:ascii="宋体"/>
                <w:vanish/>
              </w:rPr>
            </w:pPr>
          </w:p>
        </w:tc>
        <w:tc>
          <w:tcPr>
            <w:tcW w:w="0" w:type="auto"/>
            <w:gridSpan w:val="3"/>
            <w:shd w:val="clear" w:color="auto" w:fill="auto"/>
            <w:vAlign w:val="bottom"/>
          </w:tcPr>
          <w:p w14:paraId="74DE2464" w14:textId="77777777" w:rsidR="00584EC1" w:rsidRDefault="00584EC1">
            <w:pPr>
              <w:rPr>
                <w:rFonts w:ascii="宋体"/>
                <w:vanish/>
              </w:rPr>
            </w:pPr>
          </w:p>
        </w:tc>
        <w:tc>
          <w:tcPr>
            <w:tcW w:w="0" w:type="auto"/>
            <w:gridSpan w:val="3"/>
            <w:shd w:val="clear" w:color="auto" w:fill="auto"/>
            <w:vAlign w:val="bottom"/>
          </w:tcPr>
          <w:p w14:paraId="74DE2465" w14:textId="77777777" w:rsidR="00584EC1" w:rsidRDefault="00584EC1">
            <w:pPr>
              <w:rPr>
                <w:rFonts w:ascii="宋体"/>
                <w:vanish/>
              </w:rPr>
            </w:pPr>
          </w:p>
        </w:tc>
        <w:tc>
          <w:tcPr>
            <w:tcW w:w="0" w:type="auto"/>
            <w:gridSpan w:val="3"/>
            <w:shd w:val="clear" w:color="auto" w:fill="auto"/>
            <w:vAlign w:val="bottom"/>
          </w:tcPr>
          <w:p w14:paraId="74DE2466" w14:textId="77777777" w:rsidR="00584EC1" w:rsidRDefault="00584EC1">
            <w:pPr>
              <w:rPr>
                <w:rFonts w:ascii="宋体"/>
                <w:vanish/>
              </w:rPr>
            </w:pPr>
          </w:p>
        </w:tc>
        <w:tc>
          <w:tcPr>
            <w:tcW w:w="0" w:type="auto"/>
            <w:gridSpan w:val="3"/>
            <w:shd w:val="clear" w:color="auto" w:fill="auto"/>
            <w:vAlign w:val="bottom"/>
          </w:tcPr>
          <w:p w14:paraId="74DE2467" w14:textId="77777777" w:rsidR="00584EC1" w:rsidRDefault="00584EC1">
            <w:pPr>
              <w:rPr>
                <w:rFonts w:ascii="宋体"/>
                <w:vanish/>
              </w:rPr>
            </w:pPr>
          </w:p>
        </w:tc>
        <w:tc>
          <w:tcPr>
            <w:tcW w:w="0" w:type="auto"/>
            <w:gridSpan w:val="3"/>
            <w:shd w:val="clear" w:color="auto" w:fill="auto"/>
            <w:vAlign w:val="bottom"/>
          </w:tcPr>
          <w:p w14:paraId="74DE2468" w14:textId="77777777" w:rsidR="00584EC1" w:rsidRDefault="00584EC1">
            <w:pPr>
              <w:rPr>
                <w:rFonts w:ascii="宋体"/>
                <w:vanish/>
              </w:rPr>
            </w:pPr>
          </w:p>
        </w:tc>
        <w:tc>
          <w:tcPr>
            <w:tcW w:w="0" w:type="auto"/>
            <w:gridSpan w:val="3"/>
            <w:shd w:val="clear" w:color="auto" w:fill="auto"/>
            <w:vAlign w:val="bottom"/>
          </w:tcPr>
          <w:p w14:paraId="74DE2469" w14:textId="77777777" w:rsidR="00584EC1" w:rsidRDefault="00584EC1">
            <w:pPr>
              <w:rPr>
                <w:rFonts w:ascii="宋体"/>
                <w:vanish/>
              </w:rPr>
            </w:pPr>
          </w:p>
        </w:tc>
        <w:tc>
          <w:tcPr>
            <w:tcW w:w="0" w:type="auto"/>
            <w:gridSpan w:val="3"/>
            <w:shd w:val="clear" w:color="auto" w:fill="auto"/>
            <w:vAlign w:val="bottom"/>
          </w:tcPr>
          <w:p w14:paraId="74DE246A" w14:textId="77777777" w:rsidR="00584EC1" w:rsidRDefault="00584EC1">
            <w:pPr>
              <w:rPr>
                <w:rFonts w:ascii="宋体"/>
                <w:vanish/>
              </w:rPr>
            </w:pPr>
          </w:p>
        </w:tc>
        <w:tc>
          <w:tcPr>
            <w:tcW w:w="0" w:type="auto"/>
            <w:gridSpan w:val="3"/>
            <w:shd w:val="clear" w:color="auto" w:fill="auto"/>
            <w:vAlign w:val="bottom"/>
          </w:tcPr>
          <w:p w14:paraId="74DE246B" w14:textId="77777777" w:rsidR="00584EC1" w:rsidRDefault="00584EC1">
            <w:pPr>
              <w:rPr>
                <w:rFonts w:ascii="宋体"/>
                <w:vanish/>
              </w:rPr>
            </w:pPr>
          </w:p>
        </w:tc>
        <w:tc>
          <w:tcPr>
            <w:tcW w:w="0" w:type="auto"/>
            <w:gridSpan w:val="3"/>
            <w:shd w:val="clear" w:color="auto" w:fill="auto"/>
            <w:vAlign w:val="bottom"/>
          </w:tcPr>
          <w:p w14:paraId="74DE246C" w14:textId="77777777" w:rsidR="00584EC1" w:rsidRDefault="00584EC1">
            <w:pPr>
              <w:rPr>
                <w:rFonts w:ascii="宋体"/>
                <w:vanish/>
              </w:rPr>
            </w:pPr>
          </w:p>
        </w:tc>
        <w:tc>
          <w:tcPr>
            <w:tcW w:w="0" w:type="auto"/>
            <w:gridSpan w:val="3"/>
            <w:shd w:val="clear" w:color="auto" w:fill="auto"/>
            <w:vAlign w:val="bottom"/>
          </w:tcPr>
          <w:p w14:paraId="74DE246D" w14:textId="77777777" w:rsidR="00584EC1" w:rsidRDefault="00584EC1">
            <w:pPr>
              <w:rPr>
                <w:rFonts w:ascii="宋体"/>
                <w:vanish/>
              </w:rPr>
            </w:pPr>
          </w:p>
        </w:tc>
        <w:tc>
          <w:tcPr>
            <w:tcW w:w="0" w:type="auto"/>
            <w:gridSpan w:val="3"/>
            <w:shd w:val="clear" w:color="auto" w:fill="auto"/>
            <w:vAlign w:val="bottom"/>
          </w:tcPr>
          <w:p w14:paraId="74DE246E" w14:textId="77777777" w:rsidR="00584EC1" w:rsidRDefault="00584EC1">
            <w:pPr>
              <w:rPr>
                <w:rFonts w:ascii="宋体"/>
                <w:vanish/>
              </w:rPr>
            </w:pPr>
          </w:p>
        </w:tc>
        <w:tc>
          <w:tcPr>
            <w:tcW w:w="0" w:type="auto"/>
            <w:gridSpan w:val="3"/>
            <w:shd w:val="clear" w:color="auto" w:fill="auto"/>
            <w:vAlign w:val="bottom"/>
          </w:tcPr>
          <w:p w14:paraId="74DE246F" w14:textId="77777777" w:rsidR="00584EC1" w:rsidRDefault="00584EC1">
            <w:pPr>
              <w:rPr>
                <w:rFonts w:ascii="宋体"/>
                <w:vanish/>
              </w:rPr>
            </w:pPr>
          </w:p>
        </w:tc>
        <w:tc>
          <w:tcPr>
            <w:tcW w:w="0" w:type="auto"/>
            <w:gridSpan w:val="2"/>
            <w:shd w:val="clear" w:color="auto" w:fill="auto"/>
            <w:vAlign w:val="bottom"/>
          </w:tcPr>
          <w:p w14:paraId="74DE2470" w14:textId="77777777" w:rsidR="00584EC1" w:rsidRDefault="00584EC1">
            <w:pPr>
              <w:rPr>
                <w:rFonts w:ascii="宋体"/>
                <w:vanish/>
              </w:rPr>
            </w:pPr>
          </w:p>
        </w:tc>
        <w:tc>
          <w:tcPr>
            <w:tcW w:w="0" w:type="auto"/>
            <w:shd w:val="clear" w:color="auto" w:fill="auto"/>
            <w:vAlign w:val="bottom"/>
          </w:tcPr>
          <w:p w14:paraId="74DE2471" w14:textId="77777777" w:rsidR="00584EC1" w:rsidRDefault="00584EC1">
            <w:pPr>
              <w:rPr>
                <w:rFonts w:ascii="宋体"/>
                <w:vanish/>
              </w:rPr>
            </w:pPr>
          </w:p>
        </w:tc>
      </w:tr>
      <w:tr w:rsidR="00584EC1" w14:paraId="74DE2489" w14:textId="77777777">
        <w:trPr>
          <w:hidden/>
        </w:trPr>
        <w:tc>
          <w:tcPr>
            <w:tcW w:w="0" w:type="auto"/>
            <w:gridSpan w:val="3"/>
            <w:shd w:val="clear" w:color="auto" w:fill="auto"/>
            <w:vAlign w:val="bottom"/>
          </w:tcPr>
          <w:p w14:paraId="74DE2473" w14:textId="77777777" w:rsidR="00584EC1" w:rsidRDefault="00584EC1">
            <w:pPr>
              <w:rPr>
                <w:rFonts w:ascii="宋体"/>
                <w:vanish/>
              </w:rPr>
            </w:pPr>
          </w:p>
        </w:tc>
        <w:tc>
          <w:tcPr>
            <w:tcW w:w="0" w:type="auto"/>
            <w:gridSpan w:val="3"/>
            <w:shd w:val="clear" w:color="auto" w:fill="auto"/>
            <w:vAlign w:val="bottom"/>
          </w:tcPr>
          <w:p w14:paraId="74DE2474" w14:textId="77777777" w:rsidR="00584EC1" w:rsidRDefault="00584EC1">
            <w:pPr>
              <w:rPr>
                <w:rFonts w:ascii="宋体"/>
                <w:vanish/>
              </w:rPr>
            </w:pPr>
          </w:p>
        </w:tc>
        <w:tc>
          <w:tcPr>
            <w:tcW w:w="0" w:type="auto"/>
            <w:gridSpan w:val="3"/>
            <w:shd w:val="clear" w:color="auto" w:fill="auto"/>
            <w:vAlign w:val="bottom"/>
          </w:tcPr>
          <w:p w14:paraId="74DE2475" w14:textId="77777777" w:rsidR="00584EC1" w:rsidRDefault="00584EC1">
            <w:pPr>
              <w:rPr>
                <w:rFonts w:ascii="宋体"/>
                <w:vanish/>
              </w:rPr>
            </w:pPr>
          </w:p>
        </w:tc>
        <w:tc>
          <w:tcPr>
            <w:tcW w:w="0" w:type="auto"/>
            <w:gridSpan w:val="3"/>
            <w:shd w:val="clear" w:color="auto" w:fill="auto"/>
            <w:vAlign w:val="bottom"/>
          </w:tcPr>
          <w:p w14:paraId="74DE2476" w14:textId="77777777" w:rsidR="00584EC1" w:rsidRDefault="00584EC1">
            <w:pPr>
              <w:rPr>
                <w:rFonts w:ascii="宋体"/>
                <w:vanish/>
              </w:rPr>
            </w:pPr>
          </w:p>
        </w:tc>
        <w:tc>
          <w:tcPr>
            <w:tcW w:w="0" w:type="auto"/>
            <w:gridSpan w:val="3"/>
            <w:shd w:val="clear" w:color="auto" w:fill="auto"/>
            <w:vAlign w:val="bottom"/>
          </w:tcPr>
          <w:p w14:paraId="74DE2477" w14:textId="77777777" w:rsidR="00584EC1" w:rsidRDefault="00584EC1">
            <w:pPr>
              <w:rPr>
                <w:rFonts w:ascii="宋体"/>
                <w:vanish/>
              </w:rPr>
            </w:pPr>
          </w:p>
        </w:tc>
        <w:tc>
          <w:tcPr>
            <w:tcW w:w="0" w:type="auto"/>
            <w:gridSpan w:val="3"/>
            <w:shd w:val="clear" w:color="auto" w:fill="auto"/>
            <w:vAlign w:val="bottom"/>
          </w:tcPr>
          <w:p w14:paraId="74DE2478" w14:textId="77777777" w:rsidR="00584EC1" w:rsidRDefault="00584EC1">
            <w:pPr>
              <w:rPr>
                <w:rFonts w:ascii="宋体"/>
                <w:vanish/>
              </w:rPr>
            </w:pPr>
          </w:p>
        </w:tc>
        <w:tc>
          <w:tcPr>
            <w:tcW w:w="0" w:type="auto"/>
            <w:gridSpan w:val="3"/>
            <w:shd w:val="clear" w:color="auto" w:fill="auto"/>
            <w:vAlign w:val="bottom"/>
          </w:tcPr>
          <w:p w14:paraId="74DE2479" w14:textId="77777777" w:rsidR="00584EC1" w:rsidRDefault="00584EC1">
            <w:pPr>
              <w:rPr>
                <w:rFonts w:ascii="宋体"/>
                <w:vanish/>
              </w:rPr>
            </w:pPr>
          </w:p>
        </w:tc>
        <w:tc>
          <w:tcPr>
            <w:tcW w:w="0" w:type="auto"/>
            <w:gridSpan w:val="3"/>
            <w:shd w:val="clear" w:color="auto" w:fill="auto"/>
            <w:vAlign w:val="bottom"/>
          </w:tcPr>
          <w:p w14:paraId="74DE247A" w14:textId="77777777" w:rsidR="00584EC1" w:rsidRDefault="00584EC1">
            <w:pPr>
              <w:rPr>
                <w:rFonts w:ascii="宋体"/>
                <w:vanish/>
              </w:rPr>
            </w:pPr>
          </w:p>
        </w:tc>
        <w:tc>
          <w:tcPr>
            <w:tcW w:w="0" w:type="auto"/>
            <w:gridSpan w:val="3"/>
            <w:shd w:val="clear" w:color="auto" w:fill="auto"/>
            <w:vAlign w:val="bottom"/>
          </w:tcPr>
          <w:p w14:paraId="74DE247B" w14:textId="77777777" w:rsidR="00584EC1" w:rsidRDefault="00584EC1">
            <w:pPr>
              <w:rPr>
                <w:rFonts w:ascii="宋体"/>
                <w:vanish/>
              </w:rPr>
            </w:pPr>
          </w:p>
        </w:tc>
        <w:tc>
          <w:tcPr>
            <w:tcW w:w="0" w:type="auto"/>
            <w:gridSpan w:val="3"/>
            <w:shd w:val="clear" w:color="auto" w:fill="auto"/>
            <w:vAlign w:val="bottom"/>
          </w:tcPr>
          <w:p w14:paraId="74DE247C" w14:textId="77777777" w:rsidR="00584EC1" w:rsidRDefault="00584EC1">
            <w:pPr>
              <w:rPr>
                <w:rFonts w:ascii="宋体"/>
                <w:vanish/>
              </w:rPr>
            </w:pPr>
          </w:p>
        </w:tc>
        <w:tc>
          <w:tcPr>
            <w:tcW w:w="0" w:type="auto"/>
            <w:gridSpan w:val="3"/>
            <w:shd w:val="clear" w:color="auto" w:fill="auto"/>
            <w:vAlign w:val="bottom"/>
          </w:tcPr>
          <w:p w14:paraId="74DE247D" w14:textId="77777777" w:rsidR="00584EC1" w:rsidRDefault="00584EC1">
            <w:pPr>
              <w:rPr>
                <w:rFonts w:ascii="宋体"/>
                <w:vanish/>
              </w:rPr>
            </w:pPr>
          </w:p>
        </w:tc>
        <w:tc>
          <w:tcPr>
            <w:tcW w:w="0" w:type="auto"/>
            <w:gridSpan w:val="3"/>
            <w:shd w:val="clear" w:color="auto" w:fill="auto"/>
            <w:vAlign w:val="bottom"/>
          </w:tcPr>
          <w:p w14:paraId="74DE247E" w14:textId="77777777" w:rsidR="00584EC1" w:rsidRDefault="00584EC1">
            <w:pPr>
              <w:rPr>
                <w:rFonts w:ascii="宋体"/>
                <w:vanish/>
              </w:rPr>
            </w:pPr>
          </w:p>
        </w:tc>
        <w:tc>
          <w:tcPr>
            <w:tcW w:w="0" w:type="auto"/>
            <w:gridSpan w:val="3"/>
            <w:shd w:val="clear" w:color="auto" w:fill="auto"/>
            <w:vAlign w:val="bottom"/>
          </w:tcPr>
          <w:p w14:paraId="74DE247F" w14:textId="77777777" w:rsidR="00584EC1" w:rsidRDefault="00584EC1">
            <w:pPr>
              <w:rPr>
                <w:rFonts w:ascii="宋体"/>
                <w:vanish/>
              </w:rPr>
            </w:pPr>
          </w:p>
        </w:tc>
        <w:tc>
          <w:tcPr>
            <w:tcW w:w="0" w:type="auto"/>
            <w:gridSpan w:val="3"/>
            <w:shd w:val="clear" w:color="auto" w:fill="auto"/>
            <w:vAlign w:val="bottom"/>
          </w:tcPr>
          <w:p w14:paraId="74DE2480" w14:textId="77777777" w:rsidR="00584EC1" w:rsidRDefault="00584EC1">
            <w:pPr>
              <w:rPr>
                <w:rFonts w:ascii="宋体"/>
                <w:vanish/>
              </w:rPr>
            </w:pPr>
          </w:p>
        </w:tc>
        <w:tc>
          <w:tcPr>
            <w:tcW w:w="0" w:type="auto"/>
            <w:gridSpan w:val="3"/>
            <w:shd w:val="clear" w:color="auto" w:fill="auto"/>
            <w:vAlign w:val="bottom"/>
          </w:tcPr>
          <w:p w14:paraId="74DE2481" w14:textId="77777777" w:rsidR="00584EC1" w:rsidRDefault="00584EC1">
            <w:pPr>
              <w:rPr>
                <w:rFonts w:ascii="宋体"/>
                <w:vanish/>
              </w:rPr>
            </w:pPr>
          </w:p>
        </w:tc>
        <w:tc>
          <w:tcPr>
            <w:tcW w:w="0" w:type="auto"/>
            <w:gridSpan w:val="3"/>
            <w:shd w:val="clear" w:color="auto" w:fill="auto"/>
            <w:vAlign w:val="bottom"/>
          </w:tcPr>
          <w:p w14:paraId="74DE2482" w14:textId="77777777" w:rsidR="00584EC1" w:rsidRDefault="00584EC1">
            <w:pPr>
              <w:rPr>
                <w:rFonts w:ascii="宋体"/>
                <w:vanish/>
              </w:rPr>
            </w:pPr>
          </w:p>
        </w:tc>
        <w:tc>
          <w:tcPr>
            <w:tcW w:w="0" w:type="auto"/>
            <w:gridSpan w:val="3"/>
            <w:shd w:val="clear" w:color="auto" w:fill="auto"/>
            <w:vAlign w:val="bottom"/>
          </w:tcPr>
          <w:p w14:paraId="74DE2483" w14:textId="77777777" w:rsidR="00584EC1" w:rsidRDefault="00584EC1">
            <w:pPr>
              <w:rPr>
                <w:rFonts w:ascii="宋体"/>
                <w:vanish/>
              </w:rPr>
            </w:pPr>
          </w:p>
        </w:tc>
        <w:tc>
          <w:tcPr>
            <w:tcW w:w="0" w:type="auto"/>
            <w:gridSpan w:val="3"/>
            <w:shd w:val="clear" w:color="auto" w:fill="auto"/>
            <w:vAlign w:val="bottom"/>
          </w:tcPr>
          <w:p w14:paraId="74DE2484" w14:textId="77777777" w:rsidR="00584EC1" w:rsidRDefault="00584EC1">
            <w:pPr>
              <w:rPr>
                <w:rFonts w:ascii="宋体"/>
                <w:vanish/>
              </w:rPr>
            </w:pPr>
          </w:p>
        </w:tc>
        <w:tc>
          <w:tcPr>
            <w:tcW w:w="0" w:type="auto"/>
            <w:gridSpan w:val="3"/>
            <w:shd w:val="clear" w:color="auto" w:fill="auto"/>
            <w:vAlign w:val="bottom"/>
          </w:tcPr>
          <w:p w14:paraId="74DE2485" w14:textId="77777777" w:rsidR="00584EC1" w:rsidRDefault="00584EC1">
            <w:pPr>
              <w:rPr>
                <w:rFonts w:ascii="宋体"/>
                <w:vanish/>
              </w:rPr>
            </w:pPr>
          </w:p>
        </w:tc>
        <w:tc>
          <w:tcPr>
            <w:tcW w:w="0" w:type="auto"/>
            <w:gridSpan w:val="3"/>
            <w:shd w:val="clear" w:color="auto" w:fill="auto"/>
            <w:vAlign w:val="bottom"/>
          </w:tcPr>
          <w:p w14:paraId="74DE2486" w14:textId="77777777" w:rsidR="00584EC1" w:rsidRDefault="00584EC1">
            <w:pPr>
              <w:rPr>
                <w:rFonts w:ascii="宋体"/>
                <w:vanish/>
              </w:rPr>
            </w:pPr>
          </w:p>
        </w:tc>
        <w:tc>
          <w:tcPr>
            <w:tcW w:w="0" w:type="auto"/>
            <w:gridSpan w:val="2"/>
            <w:shd w:val="clear" w:color="auto" w:fill="auto"/>
            <w:vAlign w:val="bottom"/>
          </w:tcPr>
          <w:p w14:paraId="74DE2487" w14:textId="77777777" w:rsidR="00584EC1" w:rsidRDefault="00584EC1">
            <w:pPr>
              <w:rPr>
                <w:rFonts w:ascii="宋体"/>
                <w:vanish/>
              </w:rPr>
            </w:pPr>
          </w:p>
        </w:tc>
        <w:tc>
          <w:tcPr>
            <w:tcW w:w="0" w:type="auto"/>
            <w:shd w:val="clear" w:color="auto" w:fill="auto"/>
            <w:vAlign w:val="bottom"/>
          </w:tcPr>
          <w:p w14:paraId="74DE2488" w14:textId="77777777" w:rsidR="00584EC1" w:rsidRDefault="00584EC1">
            <w:pPr>
              <w:rPr>
                <w:rFonts w:ascii="宋体"/>
                <w:vanish/>
              </w:rPr>
            </w:pPr>
          </w:p>
        </w:tc>
      </w:tr>
      <w:tr w:rsidR="00584EC1" w14:paraId="74DE249B" w14:textId="77777777">
        <w:tc>
          <w:tcPr>
            <w:tcW w:w="0" w:type="auto"/>
            <w:gridSpan w:val="3"/>
            <w:shd w:val="clear" w:color="auto" w:fill="auto"/>
            <w:tcMar>
              <w:top w:w="0" w:type="dxa"/>
              <w:left w:w="20" w:type="dxa"/>
              <w:bottom w:w="0" w:type="dxa"/>
              <w:right w:w="20" w:type="dxa"/>
            </w:tcMar>
            <w:vAlign w:val="bottom"/>
          </w:tcPr>
          <w:p w14:paraId="74DE248A" w14:textId="77777777" w:rsidR="00584EC1" w:rsidRDefault="00584EC1">
            <w:pPr>
              <w:rPr>
                <w:rFonts w:ascii="宋体"/>
              </w:rPr>
            </w:pPr>
          </w:p>
        </w:tc>
        <w:tc>
          <w:tcPr>
            <w:tcW w:w="0" w:type="auto"/>
            <w:gridSpan w:val="33"/>
            <w:tcBorders>
              <w:bottom w:val="single" w:sz="8" w:space="0" w:color="000000"/>
            </w:tcBorders>
            <w:shd w:val="clear" w:color="auto" w:fill="FFFFFF"/>
            <w:tcMar>
              <w:top w:w="40" w:type="dxa"/>
              <w:left w:w="20" w:type="dxa"/>
              <w:bottom w:w="40" w:type="dxa"/>
              <w:right w:w="20" w:type="dxa"/>
            </w:tcMar>
            <w:vAlign w:val="bottom"/>
          </w:tcPr>
          <w:p w14:paraId="74DE248B" w14:textId="77777777" w:rsidR="00584EC1" w:rsidRDefault="00871F8D">
            <w:pPr>
              <w:jc w:val="center"/>
              <w:textAlignment w:val="bottom"/>
            </w:pPr>
            <w:r>
              <w:rPr>
                <w:rFonts w:ascii="Arial" w:eastAsia="宋体" w:hAnsi="Arial" w:cs="Arial"/>
                <w:b/>
                <w:bCs/>
                <w:color w:val="000000"/>
                <w:sz w:val="16"/>
                <w:szCs w:val="16"/>
              </w:rPr>
              <w:t>Nine Months Ended September 30,</w:t>
            </w:r>
          </w:p>
        </w:tc>
        <w:tc>
          <w:tcPr>
            <w:tcW w:w="0" w:type="auto"/>
            <w:gridSpan w:val="3"/>
            <w:shd w:val="clear" w:color="auto" w:fill="auto"/>
            <w:vAlign w:val="bottom"/>
          </w:tcPr>
          <w:p w14:paraId="74DE248C" w14:textId="77777777" w:rsidR="00584EC1" w:rsidRDefault="00584EC1">
            <w:pPr>
              <w:rPr>
                <w:rFonts w:ascii="宋体"/>
                <w:vanish/>
              </w:rPr>
            </w:pPr>
          </w:p>
        </w:tc>
        <w:tc>
          <w:tcPr>
            <w:tcW w:w="0" w:type="auto"/>
            <w:gridSpan w:val="3"/>
            <w:shd w:val="clear" w:color="auto" w:fill="auto"/>
            <w:vAlign w:val="bottom"/>
          </w:tcPr>
          <w:p w14:paraId="74DE248D" w14:textId="77777777" w:rsidR="00584EC1" w:rsidRDefault="00584EC1">
            <w:pPr>
              <w:rPr>
                <w:rFonts w:ascii="宋体"/>
                <w:vanish/>
              </w:rPr>
            </w:pPr>
          </w:p>
        </w:tc>
        <w:tc>
          <w:tcPr>
            <w:tcW w:w="0" w:type="auto"/>
            <w:gridSpan w:val="3"/>
            <w:shd w:val="clear" w:color="auto" w:fill="auto"/>
            <w:vAlign w:val="bottom"/>
          </w:tcPr>
          <w:p w14:paraId="74DE248E" w14:textId="77777777" w:rsidR="00584EC1" w:rsidRDefault="00584EC1">
            <w:pPr>
              <w:rPr>
                <w:rFonts w:ascii="宋体"/>
                <w:vanish/>
              </w:rPr>
            </w:pPr>
          </w:p>
        </w:tc>
        <w:tc>
          <w:tcPr>
            <w:tcW w:w="0" w:type="auto"/>
            <w:gridSpan w:val="3"/>
            <w:shd w:val="clear" w:color="auto" w:fill="auto"/>
            <w:vAlign w:val="bottom"/>
          </w:tcPr>
          <w:p w14:paraId="74DE248F" w14:textId="77777777" w:rsidR="00584EC1" w:rsidRDefault="00584EC1">
            <w:pPr>
              <w:rPr>
                <w:rFonts w:ascii="宋体"/>
                <w:vanish/>
              </w:rPr>
            </w:pPr>
          </w:p>
        </w:tc>
        <w:tc>
          <w:tcPr>
            <w:tcW w:w="0" w:type="auto"/>
            <w:gridSpan w:val="3"/>
            <w:shd w:val="clear" w:color="auto" w:fill="auto"/>
            <w:vAlign w:val="bottom"/>
          </w:tcPr>
          <w:p w14:paraId="74DE2490" w14:textId="77777777" w:rsidR="00584EC1" w:rsidRDefault="00584EC1">
            <w:pPr>
              <w:rPr>
                <w:rFonts w:ascii="宋体"/>
                <w:vanish/>
              </w:rPr>
            </w:pPr>
          </w:p>
        </w:tc>
        <w:tc>
          <w:tcPr>
            <w:tcW w:w="0" w:type="auto"/>
            <w:gridSpan w:val="3"/>
            <w:shd w:val="clear" w:color="auto" w:fill="auto"/>
            <w:vAlign w:val="bottom"/>
          </w:tcPr>
          <w:p w14:paraId="74DE2491" w14:textId="77777777" w:rsidR="00584EC1" w:rsidRDefault="00584EC1">
            <w:pPr>
              <w:rPr>
                <w:rFonts w:ascii="宋体"/>
                <w:vanish/>
              </w:rPr>
            </w:pPr>
          </w:p>
        </w:tc>
        <w:tc>
          <w:tcPr>
            <w:tcW w:w="0" w:type="auto"/>
            <w:shd w:val="clear" w:color="auto" w:fill="auto"/>
            <w:vAlign w:val="bottom"/>
          </w:tcPr>
          <w:p w14:paraId="74DE2492" w14:textId="77777777" w:rsidR="00584EC1" w:rsidRDefault="00584EC1">
            <w:pPr>
              <w:rPr>
                <w:rFonts w:ascii="宋体"/>
              </w:rPr>
            </w:pPr>
          </w:p>
        </w:tc>
        <w:tc>
          <w:tcPr>
            <w:tcW w:w="0" w:type="auto"/>
            <w:shd w:val="clear" w:color="auto" w:fill="auto"/>
            <w:vAlign w:val="bottom"/>
          </w:tcPr>
          <w:p w14:paraId="74DE2493" w14:textId="77777777" w:rsidR="00584EC1" w:rsidRDefault="00584EC1">
            <w:pPr>
              <w:rPr>
                <w:rFonts w:ascii="宋体"/>
              </w:rPr>
            </w:pPr>
          </w:p>
        </w:tc>
        <w:tc>
          <w:tcPr>
            <w:tcW w:w="0" w:type="auto"/>
            <w:shd w:val="clear" w:color="auto" w:fill="auto"/>
            <w:vAlign w:val="bottom"/>
          </w:tcPr>
          <w:p w14:paraId="74DE2494" w14:textId="77777777" w:rsidR="00584EC1" w:rsidRDefault="00584EC1">
            <w:pPr>
              <w:rPr>
                <w:rFonts w:ascii="宋体"/>
              </w:rPr>
            </w:pPr>
          </w:p>
        </w:tc>
        <w:tc>
          <w:tcPr>
            <w:tcW w:w="0" w:type="auto"/>
            <w:shd w:val="clear" w:color="auto" w:fill="auto"/>
            <w:vAlign w:val="bottom"/>
          </w:tcPr>
          <w:p w14:paraId="74DE2495" w14:textId="77777777" w:rsidR="00584EC1" w:rsidRDefault="00584EC1">
            <w:pPr>
              <w:rPr>
                <w:rFonts w:ascii="宋体"/>
              </w:rPr>
            </w:pPr>
          </w:p>
        </w:tc>
        <w:tc>
          <w:tcPr>
            <w:tcW w:w="0" w:type="auto"/>
            <w:shd w:val="clear" w:color="auto" w:fill="auto"/>
            <w:vAlign w:val="bottom"/>
          </w:tcPr>
          <w:p w14:paraId="74DE2496" w14:textId="77777777" w:rsidR="00584EC1" w:rsidRDefault="00584EC1">
            <w:pPr>
              <w:rPr>
                <w:rFonts w:ascii="宋体"/>
              </w:rPr>
            </w:pPr>
          </w:p>
        </w:tc>
        <w:tc>
          <w:tcPr>
            <w:tcW w:w="0" w:type="auto"/>
            <w:shd w:val="clear" w:color="auto" w:fill="auto"/>
            <w:vAlign w:val="bottom"/>
          </w:tcPr>
          <w:p w14:paraId="74DE2497" w14:textId="77777777" w:rsidR="00584EC1" w:rsidRDefault="00584EC1">
            <w:pPr>
              <w:rPr>
                <w:rFonts w:ascii="宋体"/>
              </w:rPr>
            </w:pPr>
          </w:p>
        </w:tc>
        <w:tc>
          <w:tcPr>
            <w:tcW w:w="0" w:type="auto"/>
            <w:shd w:val="clear" w:color="auto" w:fill="auto"/>
            <w:vAlign w:val="bottom"/>
          </w:tcPr>
          <w:p w14:paraId="74DE2498" w14:textId="77777777" w:rsidR="00584EC1" w:rsidRDefault="00584EC1">
            <w:pPr>
              <w:rPr>
                <w:rFonts w:ascii="宋体"/>
              </w:rPr>
            </w:pPr>
          </w:p>
        </w:tc>
        <w:tc>
          <w:tcPr>
            <w:tcW w:w="0" w:type="auto"/>
            <w:shd w:val="clear" w:color="auto" w:fill="auto"/>
            <w:vAlign w:val="bottom"/>
          </w:tcPr>
          <w:p w14:paraId="74DE2499" w14:textId="77777777" w:rsidR="00584EC1" w:rsidRDefault="00584EC1">
            <w:pPr>
              <w:rPr>
                <w:rFonts w:ascii="宋体"/>
              </w:rPr>
            </w:pPr>
          </w:p>
        </w:tc>
        <w:tc>
          <w:tcPr>
            <w:tcW w:w="0" w:type="auto"/>
            <w:shd w:val="clear" w:color="auto" w:fill="auto"/>
            <w:vAlign w:val="bottom"/>
          </w:tcPr>
          <w:p w14:paraId="74DE249A" w14:textId="77777777" w:rsidR="00584EC1" w:rsidRDefault="00584EC1">
            <w:pPr>
              <w:rPr>
                <w:rFonts w:ascii="宋体"/>
              </w:rPr>
            </w:pPr>
          </w:p>
        </w:tc>
      </w:tr>
      <w:tr w:rsidR="00584EC1" w14:paraId="74DE24AB" w14:textId="77777777">
        <w:tc>
          <w:tcPr>
            <w:tcW w:w="0" w:type="auto"/>
            <w:gridSpan w:val="3"/>
            <w:shd w:val="clear" w:color="auto" w:fill="auto"/>
            <w:tcMar>
              <w:top w:w="0" w:type="dxa"/>
              <w:left w:w="20" w:type="dxa"/>
              <w:bottom w:w="0" w:type="dxa"/>
              <w:right w:w="20" w:type="dxa"/>
            </w:tcMar>
            <w:vAlign w:val="bottom"/>
          </w:tcPr>
          <w:p w14:paraId="74DE249C" w14:textId="77777777" w:rsidR="00584EC1" w:rsidRDefault="00584EC1">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4DE249D" w14:textId="77777777" w:rsidR="00584EC1" w:rsidRDefault="00871F8D">
            <w:pPr>
              <w:jc w:val="center"/>
              <w:textAlignment w:val="bottom"/>
            </w:pPr>
            <w:r>
              <w:rPr>
                <w:rFonts w:ascii="Arial" w:eastAsia="宋体" w:hAnsi="Arial" w:cs="Arial"/>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249E" w14:textId="77777777" w:rsidR="00584EC1" w:rsidRDefault="00584EC1">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4DE249F" w14:textId="77777777" w:rsidR="00584EC1" w:rsidRDefault="00871F8D">
            <w:pPr>
              <w:jc w:val="center"/>
              <w:textAlignment w:val="bottom"/>
            </w:pPr>
            <w:r>
              <w:rPr>
                <w:rFonts w:ascii="Arial" w:eastAsia="宋体" w:hAnsi="Arial" w:cs="Arial"/>
                <w:b/>
                <w:bCs/>
                <w:color w:val="000000"/>
                <w:sz w:val="16"/>
                <w:szCs w:val="16"/>
              </w:rPr>
              <w:t>2020</w:t>
            </w:r>
          </w:p>
        </w:tc>
        <w:tc>
          <w:tcPr>
            <w:tcW w:w="0" w:type="auto"/>
            <w:gridSpan w:val="3"/>
            <w:shd w:val="clear" w:color="auto" w:fill="auto"/>
            <w:vAlign w:val="bottom"/>
          </w:tcPr>
          <w:p w14:paraId="74DE24A0" w14:textId="77777777" w:rsidR="00584EC1" w:rsidRDefault="00584EC1">
            <w:pPr>
              <w:rPr>
                <w:rFonts w:ascii="宋体"/>
                <w:vanish/>
              </w:rPr>
            </w:pPr>
          </w:p>
        </w:tc>
        <w:tc>
          <w:tcPr>
            <w:tcW w:w="0" w:type="auto"/>
            <w:gridSpan w:val="3"/>
            <w:shd w:val="clear" w:color="auto" w:fill="auto"/>
            <w:vAlign w:val="bottom"/>
          </w:tcPr>
          <w:p w14:paraId="74DE24A1" w14:textId="77777777" w:rsidR="00584EC1" w:rsidRDefault="00584EC1">
            <w:pPr>
              <w:rPr>
                <w:rFonts w:ascii="宋体"/>
                <w:vanish/>
              </w:rPr>
            </w:pPr>
          </w:p>
        </w:tc>
        <w:tc>
          <w:tcPr>
            <w:tcW w:w="0" w:type="auto"/>
            <w:gridSpan w:val="3"/>
            <w:shd w:val="clear" w:color="auto" w:fill="auto"/>
            <w:vAlign w:val="bottom"/>
          </w:tcPr>
          <w:p w14:paraId="74DE24A2" w14:textId="77777777" w:rsidR="00584EC1" w:rsidRDefault="00584EC1">
            <w:pPr>
              <w:rPr>
                <w:rFonts w:ascii="宋体"/>
                <w:vanish/>
              </w:rPr>
            </w:pPr>
          </w:p>
        </w:tc>
        <w:tc>
          <w:tcPr>
            <w:tcW w:w="0" w:type="auto"/>
            <w:gridSpan w:val="3"/>
            <w:shd w:val="clear" w:color="auto" w:fill="auto"/>
            <w:vAlign w:val="bottom"/>
          </w:tcPr>
          <w:p w14:paraId="74DE24A3" w14:textId="77777777" w:rsidR="00584EC1" w:rsidRDefault="00584EC1">
            <w:pPr>
              <w:rPr>
                <w:rFonts w:ascii="宋体"/>
                <w:vanish/>
              </w:rPr>
            </w:pPr>
          </w:p>
        </w:tc>
        <w:tc>
          <w:tcPr>
            <w:tcW w:w="0" w:type="auto"/>
            <w:gridSpan w:val="3"/>
            <w:shd w:val="clear" w:color="auto" w:fill="auto"/>
            <w:vAlign w:val="bottom"/>
          </w:tcPr>
          <w:p w14:paraId="74DE24A4" w14:textId="77777777" w:rsidR="00584EC1" w:rsidRDefault="00584EC1">
            <w:pPr>
              <w:rPr>
                <w:rFonts w:ascii="宋体"/>
                <w:vanish/>
              </w:rPr>
            </w:pPr>
          </w:p>
        </w:tc>
        <w:tc>
          <w:tcPr>
            <w:tcW w:w="0" w:type="auto"/>
            <w:gridSpan w:val="3"/>
            <w:shd w:val="clear" w:color="auto" w:fill="auto"/>
            <w:vAlign w:val="bottom"/>
          </w:tcPr>
          <w:p w14:paraId="74DE24A5" w14:textId="77777777" w:rsidR="00584EC1" w:rsidRDefault="00584EC1">
            <w:pPr>
              <w:rPr>
                <w:rFonts w:ascii="宋体"/>
                <w:vanish/>
              </w:rPr>
            </w:pPr>
          </w:p>
        </w:tc>
        <w:tc>
          <w:tcPr>
            <w:tcW w:w="0" w:type="auto"/>
            <w:gridSpan w:val="3"/>
            <w:shd w:val="clear" w:color="auto" w:fill="auto"/>
            <w:vAlign w:val="bottom"/>
          </w:tcPr>
          <w:p w14:paraId="74DE24A6" w14:textId="77777777" w:rsidR="00584EC1" w:rsidRDefault="00584EC1">
            <w:pPr>
              <w:rPr>
                <w:rFonts w:ascii="宋体"/>
                <w:vanish/>
              </w:rPr>
            </w:pPr>
          </w:p>
        </w:tc>
        <w:tc>
          <w:tcPr>
            <w:tcW w:w="0" w:type="auto"/>
            <w:gridSpan w:val="3"/>
            <w:shd w:val="clear" w:color="auto" w:fill="auto"/>
            <w:vAlign w:val="bottom"/>
          </w:tcPr>
          <w:p w14:paraId="74DE24A7" w14:textId="77777777" w:rsidR="00584EC1" w:rsidRDefault="00584EC1">
            <w:pPr>
              <w:rPr>
                <w:rFonts w:ascii="宋体"/>
                <w:vanish/>
              </w:rPr>
            </w:pPr>
          </w:p>
        </w:tc>
        <w:tc>
          <w:tcPr>
            <w:tcW w:w="0" w:type="auto"/>
            <w:shd w:val="clear" w:color="auto" w:fill="auto"/>
            <w:vAlign w:val="bottom"/>
          </w:tcPr>
          <w:p w14:paraId="74DE24A8" w14:textId="77777777" w:rsidR="00584EC1" w:rsidRDefault="00584EC1">
            <w:pPr>
              <w:rPr>
                <w:rFonts w:ascii="宋体"/>
              </w:rPr>
            </w:pPr>
          </w:p>
        </w:tc>
        <w:tc>
          <w:tcPr>
            <w:tcW w:w="0" w:type="auto"/>
            <w:shd w:val="clear" w:color="auto" w:fill="auto"/>
            <w:vAlign w:val="bottom"/>
          </w:tcPr>
          <w:p w14:paraId="74DE24A9" w14:textId="77777777" w:rsidR="00584EC1" w:rsidRDefault="00584EC1">
            <w:pPr>
              <w:rPr>
                <w:rFonts w:ascii="宋体"/>
              </w:rPr>
            </w:pPr>
          </w:p>
        </w:tc>
        <w:tc>
          <w:tcPr>
            <w:tcW w:w="0" w:type="auto"/>
            <w:shd w:val="clear" w:color="auto" w:fill="auto"/>
            <w:vAlign w:val="bottom"/>
          </w:tcPr>
          <w:p w14:paraId="74DE24AA" w14:textId="77777777" w:rsidR="00584EC1" w:rsidRDefault="00584EC1">
            <w:pPr>
              <w:rPr>
                <w:rFonts w:ascii="宋体"/>
              </w:rPr>
            </w:pPr>
          </w:p>
        </w:tc>
      </w:tr>
      <w:tr w:rsidR="00584EC1" w14:paraId="74DE24C2" w14:textId="77777777">
        <w:tc>
          <w:tcPr>
            <w:tcW w:w="0" w:type="auto"/>
            <w:gridSpan w:val="3"/>
            <w:shd w:val="clear" w:color="auto" w:fill="auto"/>
            <w:tcMar>
              <w:top w:w="40" w:type="dxa"/>
              <w:left w:w="20" w:type="dxa"/>
              <w:bottom w:w="40" w:type="dxa"/>
              <w:right w:w="20" w:type="dxa"/>
            </w:tcMar>
            <w:vAlign w:val="bottom"/>
          </w:tcPr>
          <w:p w14:paraId="74DE24AC" w14:textId="77777777" w:rsidR="00584EC1" w:rsidRDefault="00871F8D">
            <w:pPr>
              <w:textAlignment w:val="bottom"/>
            </w:pPr>
            <w:r>
              <w:rPr>
                <w:rFonts w:ascii="Arial" w:eastAsia="宋体" w:hAnsi="Arial" w:cs="Arial"/>
                <w:b/>
                <w:bCs/>
                <w:color w:val="000000"/>
                <w:sz w:val="16"/>
                <w:szCs w:val="16"/>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24AD" w14:textId="77777777" w:rsidR="00584EC1" w:rsidRDefault="00871F8D">
            <w:pPr>
              <w:jc w:val="center"/>
              <w:textAlignment w:val="bottom"/>
            </w:pPr>
            <w:r>
              <w:rPr>
                <w:rFonts w:ascii="Arial" w:eastAsia="宋体" w:hAnsi="Arial" w:cs="Arial"/>
                <w:b/>
                <w:bCs/>
                <w:color w:val="000000"/>
                <w:sz w:val="16"/>
                <w:szCs w:val="16"/>
              </w:rPr>
              <w:t>Non-U.S.</w:t>
            </w:r>
            <w:r>
              <w:rPr>
                <w:rFonts w:ascii="Arial" w:eastAsia="宋体" w:hAnsi="Arial" w:cs="Arial"/>
                <w:b/>
                <w:bCs/>
                <w:color w:val="000000"/>
                <w:sz w:val="10"/>
                <w:szCs w:val="10"/>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24AE"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24AF" w14:textId="77777777" w:rsidR="00584EC1" w:rsidRDefault="00871F8D">
            <w:pPr>
              <w:jc w:val="center"/>
              <w:textAlignment w:val="bottom"/>
            </w:pPr>
            <w:r>
              <w:rPr>
                <w:rFonts w:ascii="Arial" w:eastAsia="宋体" w:hAnsi="Arial" w:cs="Arial"/>
                <w:b/>
                <w:bCs/>
                <w:color w:val="000000"/>
                <w:sz w:val="16"/>
                <w:szCs w:val="16"/>
              </w:rPr>
              <w:t>U.S.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24B0"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24B1" w14:textId="77777777" w:rsidR="00584EC1" w:rsidRDefault="00871F8D">
            <w:pPr>
              <w:jc w:val="center"/>
              <w:textAlignment w:val="bottom"/>
            </w:pPr>
            <w:r>
              <w:rPr>
                <w:rFonts w:ascii="Arial" w:eastAsia="宋体" w:hAnsi="Arial" w:cs="Arial"/>
                <w:b/>
                <w:bCs/>
                <w:color w:val="000000"/>
                <w:sz w:val="16"/>
                <w:szCs w:val="16"/>
              </w:rPr>
              <w:t>Total</w:t>
            </w:r>
          </w:p>
        </w:tc>
        <w:tc>
          <w:tcPr>
            <w:tcW w:w="0" w:type="auto"/>
            <w:gridSpan w:val="3"/>
            <w:shd w:val="clear" w:color="auto" w:fill="auto"/>
            <w:tcMar>
              <w:top w:w="0" w:type="dxa"/>
              <w:left w:w="20" w:type="dxa"/>
              <w:bottom w:w="0" w:type="dxa"/>
              <w:right w:w="20" w:type="dxa"/>
            </w:tcMar>
            <w:vAlign w:val="bottom"/>
          </w:tcPr>
          <w:p w14:paraId="74DE24B2"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24B3" w14:textId="77777777" w:rsidR="00584EC1" w:rsidRDefault="00871F8D">
            <w:pPr>
              <w:jc w:val="center"/>
              <w:textAlignment w:val="bottom"/>
            </w:pPr>
            <w:r>
              <w:rPr>
                <w:rFonts w:ascii="Arial" w:eastAsia="宋体" w:hAnsi="Arial" w:cs="Arial"/>
                <w:b/>
                <w:bCs/>
                <w:color w:val="000000"/>
                <w:sz w:val="16"/>
                <w:szCs w:val="16"/>
              </w:rPr>
              <w:t>Non-U.S.</w:t>
            </w:r>
            <w:r>
              <w:rPr>
                <w:rFonts w:ascii="Arial" w:eastAsia="宋体" w:hAnsi="Arial" w:cs="Arial"/>
                <w:b/>
                <w:bCs/>
                <w:color w:val="000000"/>
                <w:sz w:val="10"/>
                <w:szCs w:val="10"/>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24B4"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24B5" w14:textId="77777777" w:rsidR="00584EC1" w:rsidRDefault="00871F8D">
            <w:pPr>
              <w:jc w:val="center"/>
              <w:textAlignment w:val="bottom"/>
            </w:pPr>
            <w:r>
              <w:rPr>
                <w:rFonts w:ascii="Arial" w:eastAsia="宋体" w:hAnsi="Arial" w:cs="Arial"/>
                <w:b/>
                <w:bCs/>
                <w:color w:val="000000"/>
                <w:sz w:val="16"/>
                <w:szCs w:val="16"/>
              </w:rPr>
              <w:t>U.S.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24B6"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24B7" w14:textId="77777777" w:rsidR="00584EC1" w:rsidRDefault="00871F8D">
            <w:pPr>
              <w:jc w:val="center"/>
              <w:textAlignment w:val="bottom"/>
            </w:pPr>
            <w:r>
              <w:rPr>
                <w:rFonts w:ascii="Arial" w:eastAsia="宋体" w:hAnsi="Arial" w:cs="Arial"/>
                <w:b/>
                <w:bCs/>
                <w:color w:val="000000"/>
                <w:sz w:val="16"/>
                <w:szCs w:val="16"/>
              </w:rPr>
              <w:t>Total</w:t>
            </w:r>
          </w:p>
        </w:tc>
        <w:tc>
          <w:tcPr>
            <w:tcW w:w="0" w:type="auto"/>
            <w:gridSpan w:val="3"/>
            <w:shd w:val="clear" w:color="auto" w:fill="auto"/>
            <w:vAlign w:val="bottom"/>
          </w:tcPr>
          <w:p w14:paraId="74DE24B8" w14:textId="77777777" w:rsidR="00584EC1" w:rsidRDefault="00584EC1">
            <w:pPr>
              <w:rPr>
                <w:rFonts w:ascii="宋体"/>
                <w:vanish/>
              </w:rPr>
            </w:pPr>
          </w:p>
        </w:tc>
        <w:tc>
          <w:tcPr>
            <w:tcW w:w="0" w:type="auto"/>
            <w:gridSpan w:val="3"/>
            <w:shd w:val="clear" w:color="auto" w:fill="auto"/>
            <w:vAlign w:val="bottom"/>
          </w:tcPr>
          <w:p w14:paraId="74DE24B9" w14:textId="77777777" w:rsidR="00584EC1" w:rsidRDefault="00584EC1">
            <w:pPr>
              <w:rPr>
                <w:rFonts w:ascii="宋体"/>
                <w:vanish/>
              </w:rPr>
            </w:pPr>
          </w:p>
        </w:tc>
        <w:tc>
          <w:tcPr>
            <w:tcW w:w="0" w:type="auto"/>
            <w:gridSpan w:val="3"/>
            <w:shd w:val="clear" w:color="auto" w:fill="auto"/>
            <w:vAlign w:val="bottom"/>
          </w:tcPr>
          <w:p w14:paraId="74DE24BA" w14:textId="77777777" w:rsidR="00584EC1" w:rsidRDefault="00584EC1">
            <w:pPr>
              <w:rPr>
                <w:rFonts w:ascii="宋体"/>
                <w:vanish/>
              </w:rPr>
            </w:pPr>
          </w:p>
        </w:tc>
        <w:tc>
          <w:tcPr>
            <w:tcW w:w="0" w:type="auto"/>
            <w:gridSpan w:val="3"/>
            <w:shd w:val="clear" w:color="auto" w:fill="auto"/>
            <w:vAlign w:val="bottom"/>
          </w:tcPr>
          <w:p w14:paraId="74DE24BB" w14:textId="77777777" w:rsidR="00584EC1" w:rsidRDefault="00584EC1">
            <w:pPr>
              <w:rPr>
                <w:rFonts w:ascii="宋体"/>
                <w:vanish/>
              </w:rPr>
            </w:pPr>
          </w:p>
        </w:tc>
        <w:tc>
          <w:tcPr>
            <w:tcW w:w="0" w:type="auto"/>
            <w:gridSpan w:val="3"/>
            <w:shd w:val="clear" w:color="auto" w:fill="auto"/>
            <w:vAlign w:val="bottom"/>
          </w:tcPr>
          <w:p w14:paraId="74DE24BC" w14:textId="77777777" w:rsidR="00584EC1" w:rsidRDefault="00584EC1">
            <w:pPr>
              <w:rPr>
                <w:rFonts w:ascii="宋体"/>
                <w:vanish/>
              </w:rPr>
            </w:pPr>
          </w:p>
        </w:tc>
        <w:tc>
          <w:tcPr>
            <w:tcW w:w="0" w:type="auto"/>
            <w:gridSpan w:val="3"/>
            <w:shd w:val="clear" w:color="auto" w:fill="auto"/>
            <w:vAlign w:val="bottom"/>
          </w:tcPr>
          <w:p w14:paraId="74DE24BD" w14:textId="77777777" w:rsidR="00584EC1" w:rsidRDefault="00584EC1">
            <w:pPr>
              <w:rPr>
                <w:rFonts w:ascii="宋体"/>
                <w:vanish/>
              </w:rPr>
            </w:pPr>
          </w:p>
        </w:tc>
        <w:tc>
          <w:tcPr>
            <w:tcW w:w="0" w:type="auto"/>
            <w:gridSpan w:val="3"/>
            <w:shd w:val="clear" w:color="auto" w:fill="auto"/>
            <w:vAlign w:val="bottom"/>
          </w:tcPr>
          <w:p w14:paraId="74DE24BE" w14:textId="77777777" w:rsidR="00584EC1" w:rsidRDefault="00584EC1">
            <w:pPr>
              <w:rPr>
                <w:rFonts w:ascii="宋体"/>
                <w:vanish/>
              </w:rPr>
            </w:pPr>
          </w:p>
        </w:tc>
        <w:tc>
          <w:tcPr>
            <w:tcW w:w="0" w:type="auto"/>
            <w:gridSpan w:val="3"/>
            <w:shd w:val="clear" w:color="auto" w:fill="auto"/>
            <w:vAlign w:val="bottom"/>
          </w:tcPr>
          <w:p w14:paraId="74DE24BF" w14:textId="77777777" w:rsidR="00584EC1" w:rsidRDefault="00584EC1">
            <w:pPr>
              <w:rPr>
                <w:rFonts w:ascii="宋体"/>
                <w:vanish/>
              </w:rPr>
            </w:pPr>
          </w:p>
        </w:tc>
        <w:tc>
          <w:tcPr>
            <w:tcW w:w="0" w:type="auto"/>
            <w:gridSpan w:val="2"/>
            <w:shd w:val="clear" w:color="auto" w:fill="auto"/>
            <w:vAlign w:val="bottom"/>
          </w:tcPr>
          <w:p w14:paraId="74DE24C0" w14:textId="77777777" w:rsidR="00584EC1" w:rsidRDefault="00584EC1">
            <w:pPr>
              <w:rPr>
                <w:rFonts w:ascii="宋体"/>
                <w:vanish/>
              </w:rPr>
            </w:pPr>
          </w:p>
        </w:tc>
        <w:tc>
          <w:tcPr>
            <w:tcW w:w="0" w:type="auto"/>
            <w:shd w:val="clear" w:color="auto" w:fill="auto"/>
            <w:vAlign w:val="bottom"/>
          </w:tcPr>
          <w:p w14:paraId="74DE24C1" w14:textId="77777777" w:rsidR="00584EC1" w:rsidRDefault="00584EC1">
            <w:pPr>
              <w:rPr>
                <w:rFonts w:ascii="宋体"/>
                <w:vanish/>
              </w:rPr>
            </w:pPr>
          </w:p>
        </w:tc>
      </w:tr>
      <w:tr w:rsidR="00584EC1" w14:paraId="74DE24E5" w14:textId="77777777">
        <w:tc>
          <w:tcPr>
            <w:tcW w:w="0" w:type="auto"/>
            <w:gridSpan w:val="3"/>
            <w:shd w:val="clear" w:color="auto" w:fill="CCEEFF"/>
            <w:tcMar>
              <w:top w:w="40" w:type="dxa"/>
              <w:left w:w="20" w:type="dxa"/>
              <w:bottom w:w="40" w:type="dxa"/>
              <w:right w:w="20" w:type="dxa"/>
            </w:tcMar>
            <w:vAlign w:val="bottom"/>
          </w:tcPr>
          <w:p w14:paraId="74DE24C3" w14:textId="77777777" w:rsidR="00584EC1" w:rsidRDefault="00871F8D">
            <w:pPr>
              <w:textAlignment w:val="bottom"/>
            </w:pPr>
            <w:r>
              <w:rPr>
                <w:rFonts w:ascii="Arial" w:eastAsia="宋体" w:hAnsi="Arial" w:cs="Arial"/>
                <w:color w:val="000000"/>
                <w:sz w:val="16"/>
                <w:szCs w:val="16"/>
              </w:rPr>
              <w:t>Total revenue</w:t>
            </w:r>
          </w:p>
        </w:tc>
        <w:tc>
          <w:tcPr>
            <w:tcW w:w="0" w:type="auto"/>
            <w:tcBorders>
              <w:top w:val="single" w:sz="8" w:space="0" w:color="000000"/>
            </w:tcBorders>
            <w:shd w:val="clear" w:color="auto" w:fill="CCEEFF"/>
            <w:tcMar>
              <w:top w:w="40" w:type="dxa"/>
              <w:left w:w="20" w:type="dxa"/>
              <w:bottom w:w="40" w:type="dxa"/>
              <w:right w:w="0" w:type="dxa"/>
            </w:tcMar>
            <w:vAlign w:val="bottom"/>
          </w:tcPr>
          <w:p w14:paraId="74DE24C4" w14:textId="77777777" w:rsidR="00584EC1" w:rsidRDefault="00871F8D">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24C5" w14:textId="77777777" w:rsidR="00584EC1" w:rsidRDefault="00871F8D">
            <w:pPr>
              <w:jc w:val="right"/>
              <w:textAlignment w:val="bottom"/>
            </w:pPr>
            <w:r>
              <w:rPr>
                <w:rFonts w:ascii="Arial" w:eastAsia="宋体" w:hAnsi="Arial" w:cs="Arial"/>
                <w:b/>
                <w:bCs/>
                <w:color w:val="000000"/>
                <w:sz w:val="16"/>
                <w:szCs w:val="16"/>
              </w:rPr>
              <w:t>3,987</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24C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24C7"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24C8" w14:textId="77777777" w:rsidR="00584EC1" w:rsidRDefault="00871F8D">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24C9" w14:textId="77777777" w:rsidR="00584EC1" w:rsidRDefault="00871F8D">
            <w:pPr>
              <w:jc w:val="right"/>
              <w:textAlignment w:val="bottom"/>
            </w:pPr>
            <w:r>
              <w:rPr>
                <w:rFonts w:ascii="Arial" w:eastAsia="宋体" w:hAnsi="Arial" w:cs="Arial"/>
                <w:b/>
                <w:bCs/>
                <w:color w:val="000000"/>
                <w:sz w:val="16"/>
                <w:szCs w:val="16"/>
              </w:rPr>
              <w:t>4,987</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24CA"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24CB"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24CC" w14:textId="77777777" w:rsidR="00584EC1" w:rsidRDefault="00871F8D">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24CD" w14:textId="77777777" w:rsidR="00584EC1" w:rsidRDefault="00871F8D">
            <w:pPr>
              <w:jc w:val="right"/>
              <w:textAlignment w:val="bottom"/>
            </w:pPr>
            <w:r>
              <w:rPr>
                <w:rFonts w:ascii="Arial" w:eastAsia="宋体" w:hAnsi="Arial" w:cs="Arial"/>
                <w:b/>
                <w:bCs/>
                <w:color w:val="000000"/>
                <w:sz w:val="16"/>
                <w:szCs w:val="16"/>
              </w:rPr>
              <w:t>8,974</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24CE"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24CF"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24D0" w14:textId="77777777" w:rsidR="00584EC1" w:rsidRDefault="00871F8D">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24D1" w14:textId="77777777" w:rsidR="00584EC1" w:rsidRDefault="00871F8D">
            <w:pPr>
              <w:jc w:val="right"/>
              <w:textAlignment w:val="bottom"/>
            </w:pPr>
            <w:r>
              <w:rPr>
                <w:rFonts w:ascii="Arial" w:eastAsia="宋体" w:hAnsi="Arial" w:cs="Arial"/>
                <w:color w:val="000000"/>
                <w:sz w:val="16"/>
                <w:szCs w:val="16"/>
              </w:rPr>
              <w:t>3,894 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24D2"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24D3"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24D4" w14:textId="77777777" w:rsidR="00584EC1" w:rsidRDefault="00871F8D">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24D5" w14:textId="77777777" w:rsidR="00584EC1" w:rsidRDefault="00871F8D">
            <w:pPr>
              <w:jc w:val="right"/>
              <w:textAlignment w:val="bottom"/>
            </w:pPr>
            <w:r>
              <w:rPr>
                <w:rFonts w:ascii="Arial" w:eastAsia="宋体" w:hAnsi="Arial" w:cs="Arial"/>
                <w:color w:val="000000"/>
                <w:sz w:val="16"/>
                <w:szCs w:val="16"/>
              </w:rPr>
              <w:t>4,892 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24D6" w14:textId="77777777" w:rsidR="00584EC1" w:rsidRDefault="00584EC1">
            <w:pPr>
              <w:jc w:val="right"/>
              <w:rPr>
                <w:rFonts w:ascii="宋体"/>
              </w:rPr>
            </w:pPr>
          </w:p>
        </w:tc>
        <w:tc>
          <w:tcPr>
            <w:tcW w:w="0" w:type="auto"/>
            <w:gridSpan w:val="3"/>
            <w:shd w:val="clear" w:color="auto" w:fill="CCEEFF"/>
            <w:tcMar>
              <w:top w:w="0" w:type="dxa"/>
              <w:left w:w="20" w:type="dxa"/>
              <w:bottom w:w="0" w:type="dxa"/>
              <w:right w:w="20" w:type="dxa"/>
            </w:tcMar>
            <w:vAlign w:val="bottom"/>
          </w:tcPr>
          <w:p w14:paraId="74DE24D7" w14:textId="77777777" w:rsidR="00584EC1" w:rsidRDefault="00584E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4DE24D8" w14:textId="77777777" w:rsidR="00584EC1" w:rsidRDefault="00871F8D">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DE24D9" w14:textId="77777777" w:rsidR="00584EC1" w:rsidRDefault="00871F8D">
            <w:pPr>
              <w:jc w:val="right"/>
              <w:textAlignment w:val="bottom"/>
            </w:pPr>
            <w:r>
              <w:rPr>
                <w:rFonts w:ascii="Arial" w:eastAsia="宋体" w:hAnsi="Arial" w:cs="Arial"/>
                <w:color w:val="000000"/>
                <w:sz w:val="16"/>
                <w:szCs w:val="16"/>
              </w:rPr>
              <w:t>8,786 </w:t>
            </w:r>
          </w:p>
        </w:tc>
        <w:tc>
          <w:tcPr>
            <w:tcW w:w="0" w:type="auto"/>
            <w:tcBorders>
              <w:top w:val="single" w:sz="8" w:space="0" w:color="000000"/>
            </w:tcBorders>
            <w:shd w:val="clear" w:color="auto" w:fill="CCEEFF"/>
            <w:tcMar>
              <w:top w:w="40" w:type="dxa"/>
              <w:left w:w="0" w:type="dxa"/>
              <w:bottom w:w="40" w:type="dxa"/>
              <w:right w:w="20" w:type="dxa"/>
            </w:tcMar>
            <w:vAlign w:val="bottom"/>
          </w:tcPr>
          <w:p w14:paraId="74DE24DA" w14:textId="77777777" w:rsidR="00584EC1" w:rsidRDefault="00584EC1">
            <w:pPr>
              <w:jc w:val="right"/>
              <w:rPr>
                <w:rFonts w:ascii="宋体"/>
              </w:rPr>
            </w:pPr>
          </w:p>
        </w:tc>
        <w:tc>
          <w:tcPr>
            <w:tcW w:w="0" w:type="auto"/>
            <w:gridSpan w:val="3"/>
            <w:shd w:val="clear" w:color="auto" w:fill="auto"/>
            <w:vAlign w:val="bottom"/>
          </w:tcPr>
          <w:p w14:paraId="74DE24DB" w14:textId="77777777" w:rsidR="00584EC1" w:rsidRDefault="00584EC1">
            <w:pPr>
              <w:rPr>
                <w:rFonts w:ascii="宋体"/>
                <w:vanish/>
              </w:rPr>
            </w:pPr>
          </w:p>
        </w:tc>
        <w:tc>
          <w:tcPr>
            <w:tcW w:w="0" w:type="auto"/>
            <w:gridSpan w:val="3"/>
            <w:shd w:val="clear" w:color="auto" w:fill="auto"/>
            <w:vAlign w:val="bottom"/>
          </w:tcPr>
          <w:p w14:paraId="74DE24DC" w14:textId="77777777" w:rsidR="00584EC1" w:rsidRDefault="00584EC1">
            <w:pPr>
              <w:rPr>
                <w:rFonts w:ascii="宋体"/>
                <w:vanish/>
              </w:rPr>
            </w:pPr>
          </w:p>
        </w:tc>
        <w:tc>
          <w:tcPr>
            <w:tcW w:w="0" w:type="auto"/>
            <w:gridSpan w:val="3"/>
            <w:shd w:val="clear" w:color="auto" w:fill="auto"/>
            <w:vAlign w:val="bottom"/>
          </w:tcPr>
          <w:p w14:paraId="74DE24DD" w14:textId="77777777" w:rsidR="00584EC1" w:rsidRDefault="00584EC1">
            <w:pPr>
              <w:rPr>
                <w:rFonts w:ascii="宋体"/>
                <w:vanish/>
              </w:rPr>
            </w:pPr>
          </w:p>
        </w:tc>
        <w:tc>
          <w:tcPr>
            <w:tcW w:w="0" w:type="auto"/>
            <w:gridSpan w:val="3"/>
            <w:shd w:val="clear" w:color="auto" w:fill="auto"/>
            <w:vAlign w:val="bottom"/>
          </w:tcPr>
          <w:p w14:paraId="74DE24DE" w14:textId="77777777" w:rsidR="00584EC1" w:rsidRDefault="00584EC1">
            <w:pPr>
              <w:rPr>
                <w:rFonts w:ascii="宋体"/>
                <w:vanish/>
              </w:rPr>
            </w:pPr>
          </w:p>
        </w:tc>
        <w:tc>
          <w:tcPr>
            <w:tcW w:w="0" w:type="auto"/>
            <w:gridSpan w:val="3"/>
            <w:shd w:val="clear" w:color="auto" w:fill="auto"/>
            <w:vAlign w:val="bottom"/>
          </w:tcPr>
          <w:p w14:paraId="74DE24DF" w14:textId="77777777" w:rsidR="00584EC1" w:rsidRDefault="00584EC1">
            <w:pPr>
              <w:rPr>
                <w:rFonts w:ascii="宋体"/>
                <w:vanish/>
              </w:rPr>
            </w:pPr>
          </w:p>
        </w:tc>
        <w:tc>
          <w:tcPr>
            <w:tcW w:w="0" w:type="auto"/>
            <w:gridSpan w:val="3"/>
            <w:shd w:val="clear" w:color="auto" w:fill="auto"/>
            <w:vAlign w:val="bottom"/>
          </w:tcPr>
          <w:p w14:paraId="74DE24E0" w14:textId="77777777" w:rsidR="00584EC1" w:rsidRDefault="00584EC1">
            <w:pPr>
              <w:rPr>
                <w:rFonts w:ascii="宋体"/>
                <w:vanish/>
              </w:rPr>
            </w:pPr>
          </w:p>
        </w:tc>
        <w:tc>
          <w:tcPr>
            <w:tcW w:w="0" w:type="auto"/>
            <w:gridSpan w:val="3"/>
            <w:shd w:val="clear" w:color="auto" w:fill="auto"/>
            <w:vAlign w:val="bottom"/>
          </w:tcPr>
          <w:p w14:paraId="74DE24E1" w14:textId="77777777" w:rsidR="00584EC1" w:rsidRDefault="00584EC1">
            <w:pPr>
              <w:rPr>
                <w:rFonts w:ascii="宋体"/>
                <w:vanish/>
              </w:rPr>
            </w:pPr>
          </w:p>
        </w:tc>
        <w:tc>
          <w:tcPr>
            <w:tcW w:w="0" w:type="auto"/>
            <w:gridSpan w:val="3"/>
            <w:shd w:val="clear" w:color="auto" w:fill="auto"/>
            <w:vAlign w:val="bottom"/>
          </w:tcPr>
          <w:p w14:paraId="74DE24E2" w14:textId="77777777" w:rsidR="00584EC1" w:rsidRDefault="00584EC1">
            <w:pPr>
              <w:rPr>
                <w:rFonts w:ascii="宋体"/>
                <w:vanish/>
              </w:rPr>
            </w:pPr>
          </w:p>
        </w:tc>
        <w:tc>
          <w:tcPr>
            <w:tcW w:w="0" w:type="auto"/>
            <w:gridSpan w:val="2"/>
            <w:shd w:val="clear" w:color="auto" w:fill="auto"/>
            <w:vAlign w:val="bottom"/>
          </w:tcPr>
          <w:p w14:paraId="74DE24E3" w14:textId="77777777" w:rsidR="00584EC1" w:rsidRDefault="00584EC1">
            <w:pPr>
              <w:rPr>
                <w:rFonts w:ascii="宋体"/>
                <w:vanish/>
              </w:rPr>
            </w:pPr>
          </w:p>
        </w:tc>
        <w:tc>
          <w:tcPr>
            <w:tcW w:w="0" w:type="auto"/>
            <w:shd w:val="clear" w:color="auto" w:fill="auto"/>
            <w:vAlign w:val="bottom"/>
          </w:tcPr>
          <w:p w14:paraId="74DE24E4" w14:textId="77777777" w:rsidR="00584EC1" w:rsidRDefault="00584EC1">
            <w:pPr>
              <w:rPr>
                <w:rFonts w:ascii="宋体"/>
                <w:vanish/>
              </w:rPr>
            </w:pPr>
          </w:p>
        </w:tc>
      </w:tr>
      <w:tr w:rsidR="00584EC1" w14:paraId="74DE2502" w14:textId="77777777">
        <w:tc>
          <w:tcPr>
            <w:tcW w:w="0" w:type="auto"/>
            <w:gridSpan w:val="3"/>
            <w:shd w:val="clear" w:color="auto" w:fill="FFFFFF"/>
            <w:tcMar>
              <w:top w:w="40" w:type="dxa"/>
              <w:left w:w="20" w:type="dxa"/>
              <w:bottom w:w="40" w:type="dxa"/>
              <w:right w:w="20" w:type="dxa"/>
            </w:tcMar>
            <w:vAlign w:val="bottom"/>
          </w:tcPr>
          <w:p w14:paraId="74DE24E6" w14:textId="77777777" w:rsidR="00584EC1" w:rsidRDefault="00871F8D">
            <w:pPr>
              <w:textAlignment w:val="bottom"/>
            </w:pPr>
            <w:r>
              <w:rPr>
                <w:rFonts w:ascii="Arial" w:eastAsia="宋体" w:hAnsi="Arial" w:cs="Arial"/>
                <w:color w:val="000000"/>
                <w:sz w:val="16"/>
                <w:szCs w:val="16"/>
              </w:rPr>
              <w:t xml:space="preserve">Income before income tax expense </w:t>
            </w:r>
          </w:p>
        </w:tc>
        <w:tc>
          <w:tcPr>
            <w:tcW w:w="0" w:type="auto"/>
            <w:gridSpan w:val="2"/>
            <w:shd w:val="clear" w:color="auto" w:fill="FFFFFF"/>
            <w:tcMar>
              <w:top w:w="40" w:type="dxa"/>
              <w:left w:w="20" w:type="dxa"/>
              <w:bottom w:w="40" w:type="dxa"/>
              <w:right w:w="0" w:type="dxa"/>
            </w:tcMar>
            <w:vAlign w:val="bottom"/>
          </w:tcPr>
          <w:p w14:paraId="74DE24E7" w14:textId="77777777" w:rsidR="00584EC1" w:rsidRDefault="00871F8D">
            <w:pPr>
              <w:jc w:val="right"/>
              <w:textAlignment w:val="bottom"/>
            </w:pPr>
            <w:r>
              <w:rPr>
                <w:rFonts w:ascii="Arial" w:eastAsia="宋体" w:hAnsi="Arial" w:cs="Arial"/>
                <w:b/>
                <w:bCs/>
                <w:color w:val="000000"/>
                <w:sz w:val="16"/>
                <w:szCs w:val="16"/>
              </w:rPr>
              <w:t>1,095</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74DE24E8"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24E9" w14:textId="77777777" w:rsidR="00584EC1" w:rsidRDefault="00584EC1">
            <w:pPr>
              <w:rPr>
                <w:rFonts w:ascii="宋体"/>
              </w:rPr>
            </w:pPr>
          </w:p>
        </w:tc>
        <w:tc>
          <w:tcPr>
            <w:tcW w:w="0" w:type="auto"/>
            <w:gridSpan w:val="2"/>
            <w:shd w:val="clear" w:color="auto" w:fill="auto"/>
            <w:tcMar>
              <w:top w:w="40" w:type="dxa"/>
              <w:left w:w="20" w:type="dxa"/>
              <w:bottom w:w="40" w:type="dxa"/>
              <w:right w:w="0" w:type="dxa"/>
            </w:tcMar>
            <w:vAlign w:val="bottom"/>
          </w:tcPr>
          <w:p w14:paraId="74DE24EA" w14:textId="77777777" w:rsidR="00584EC1" w:rsidRDefault="00871F8D">
            <w:pPr>
              <w:jc w:val="right"/>
              <w:textAlignment w:val="bottom"/>
            </w:pPr>
            <w:r>
              <w:rPr>
                <w:rFonts w:ascii="Arial" w:eastAsia="宋体" w:hAnsi="Arial" w:cs="Arial"/>
                <w:b/>
                <w:bCs/>
                <w:color w:val="000000"/>
                <w:sz w:val="16"/>
                <w:szCs w:val="16"/>
              </w:rPr>
              <w:t>1,346</w:t>
            </w:r>
            <w:r>
              <w:rPr>
                <w:rFonts w:ascii="Arial" w:eastAsia="宋体" w:hAnsi="Arial" w:cs="Arial"/>
                <w:color w:val="000000"/>
                <w:sz w:val="16"/>
                <w:szCs w:val="16"/>
              </w:rPr>
              <w:t> </w:t>
            </w:r>
          </w:p>
        </w:tc>
        <w:tc>
          <w:tcPr>
            <w:tcW w:w="0" w:type="auto"/>
            <w:shd w:val="clear" w:color="auto" w:fill="auto"/>
            <w:tcMar>
              <w:top w:w="40" w:type="dxa"/>
              <w:left w:w="0" w:type="dxa"/>
              <w:bottom w:w="40" w:type="dxa"/>
              <w:right w:w="20" w:type="dxa"/>
            </w:tcMar>
            <w:vAlign w:val="bottom"/>
          </w:tcPr>
          <w:p w14:paraId="74DE24EB"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24EC" w14:textId="77777777" w:rsidR="00584EC1" w:rsidRDefault="00584EC1">
            <w:pPr>
              <w:rPr>
                <w:rFonts w:ascii="宋体"/>
              </w:rPr>
            </w:pPr>
          </w:p>
        </w:tc>
        <w:tc>
          <w:tcPr>
            <w:tcW w:w="0" w:type="auto"/>
            <w:gridSpan w:val="2"/>
            <w:shd w:val="clear" w:color="auto" w:fill="auto"/>
            <w:tcMar>
              <w:top w:w="40" w:type="dxa"/>
              <w:left w:w="20" w:type="dxa"/>
              <w:bottom w:w="40" w:type="dxa"/>
              <w:right w:w="0" w:type="dxa"/>
            </w:tcMar>
            <w:vAlign w:val="bottom"/>
          </w:tcPr>
          <w:p w14:paraId="74DE24ED" w14:textId="77777777" w:rsidR="00584EC1" w:rsidRDefault="00871F8D">
            <w:pPr>
              <w:jc w:val="right"/>
              <w:textAlignment w:val="bottom"/>
            </w:pPr>
            <w:r>
              <w:rPr>
                <w:rFonts w:ascii="Arial" w:eastAsia="宋体" w:hAnsi="Arial" w:cs="Arial"/>
                <w:b/>
                <w:bCs/>
                <w:color w:val="000000"/>
                <w:sz w:val="16"/>
                <w:szCs w:val="16"/>
              </w:rPr>
              <w:t>2,441</w:t>
            </w:r>
            <w:r>
              <w:rPr>
                <w:rFonts w:ascii="Arial" w:eastAsia="宋体" w:hAnsi="Arial" w:cs="Arial"/>
                <w:color w:val="000000"/>
                <w:sz w:val="16"/>
                <w:szCs w:val="16"/>
              </w:rPr>
              <w:t> </w:t>
            </w:r>
          </w:p>
        </w:tc>
        <w:tc>
          <w:tcPr>
            <w:tcW w:w="0" w:type="auto"/>
            <w:shd w:val="clear" w:color="auto" w:fill="auto"/>
            <w:tcMar>
              <w:top w:w="40" w:type="dxa"/>
              <w:left w:w="0" w:type="dxa"/>
              <w:bottom w:w="40" w:type="dxa"/>
              <w:right w:w="20" w:type="dxa"/>
            </w:tcMar>
            <w:vAlign w:val="bottom"/>
          </w:tcPr>
          <w:p w14:paraId="74DE24EE"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24EF"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24F0" w14:textId="77777777" w:rsidR="00584EC1" w:rsidRDefault="00871F8D">
            <w:pPr>
              <w:jc w:val="right"/>
              <w:textAlignment w:val="bottom"/>
            </w:pPr>
            <w:r>
              <w:rPr>
                <w:rFonts w:ascii="Arial" w:eastAsia="宋体" w:hAnsi="Arial" w:cs="Arial"/>
                <w:color w:val="000000"/>
                <w:sz w:val="16"/>
                <w:szCs w:val="16"/>
              </w:rPr>
              <w:t>1,002 </w:t>
            </w:r>
          </w:p>
        </w:tc>
        <w:tc>
          <w:tcPr>
            <w:tcW w:w="0" w:type="auto"/>
            <w:shd w:val="clear" w:color="auto" w:fill="FFFFFF"/>
            <w:tcMar>
              <w:top w:w="40" w:type="dxa"/>
              <w:left w:w="0" w:type="dxa"/>
              <w:bottom w:w="40" w:type="dxa"/>
              <w:right w:w="20" w:type="dxa"/>
            </w:tcMar>
            <w:vAlign w:val="bottom"/>
          </w:tcPr>
          <w:p w14:paraId="74DE24F1"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24F2"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24F3" w14:textId="77777777" w:rsidR="00584EC1" w:rsidRDefault="00871F8D">
            <w:pPr>
              <w:jc w:val="right"/>
              <w:textAlignment w:val="bottom"/>
            </w:pPr>
            <w:r>
              <w:rPr>
                <w:rFonts w:ascii="Arial" w:eastAsia="宋体" w:hAnsi="Arial" w:cs="Arial"/>
                <w:color w:val="000000"/>
                <w:sz w:val="16"/>
                <w:szCs w:val="16"/>
              </w:rPr>
              <w:t>1,256 </w:t>
            </w:r>
          </w:p>
        </w:tc>
        <w:tc>
          <w:tcPr>
            <w:tcW w:w="0" w:type="auto"/>
            <w:shd w:val="clear" w:color="auto" w:fill="FFFFFF"/>
            <w:tcMar>
              <w:top w:w="40" w:type="dxa"/>
              <w:left w:w="0" w:type="dxa"/>
              <w:bottom w:w="40" w:type="dxa"/>
              <w:right w:w="20" w:type="dxa"/>
            </w:tcMar>
            <w:vAlign w:val="bottom"/>
          </w:tcPr>
          <w:p w14:paraId="74DE24F4" w14:textId="77777777" w:rsidR="00584EC1" w:rsidRDefault="00584EC1">
            <w:pPr>
              <w:jc w:val="right"/>
              <w:rPr>
                <w:rFonts w:ascii="宋体"/>
              </w:rPr>
            </w:pPr>
          </w:p>
        </w:tc>
        <w:tc>
          <w:tcPr>
            <w:tcW w:w="0" w:type="auto"/>
            <w:gridSpan w:val="3"/>
            <w:shd w:val="clear" w:color="auto" w:fill="FFFFFF"/>
            <w:tcMar>
              <w:top w:w="0" w:type="dxa"/>
              <w:left w:w="20" w:type="dxa"/>
              <w:bottom w:w="0" w:type="dxa"/>
              <w:right w:w="20" w:type="dxa"/>
            </w:tcMar>
            <w:vAlign w:val="bottom"/>
          </w:tcPr>
          <w:p w14:paraId="74DE24F5" w14:textId="77777777" w:rsidR="00584EC1" w:rsidRDefault="00584EC1">
            <w:pPr>
              <w:rPr>
                <w:rFonts w:ascii="宋体"/>
              </w:rPr>
            </w:pPr>
          </w:p>
        </w:tc>
        <w:tc>
          <w:tcPr>
            <w:tcW w:w="0" w:type="auto"/>
            <w:gridSpan w:val="2"/>
            <w:shd w:val="clear" w:color="auto" w:fill="FFFFFF"/>
            <w:tcMar>
              <w:top w:w="40" w:type="dxa"/>
              <w:left w:w="20" w:type="dxa"/>
              <w:bottom w:w="40" w:type="dxa"/>
              <w:right w:w="0" w:type="dxa"/>
            </w:tcMar>
            <w:vAlign w:val="bottom"/>
          </w:tcPr>
          <w:p w14:paraId="74DE24F6" w14:textId="77777777" w:rsidR="00584EC1" w:rsidRDefault="00871F8D">
            <w:pPr>
              <w:jc w:val="right"/>
              <w:textAlignment w:val="bottom"/>
            </w:pPr>
            <w:r>
              <w:rPr>
                <w:rFonts w:ascii="Arial" w:eastAsia="宋体" w:hAnsi="Arial" w:cs="Arial"/>
                <w:color w:val="000000"/>
                <w:sz w:val="16"/>
                <w:szCs w:val="16"/>
              </w:rPr>
              <w:t>2,258 </w:t>
            </w:r>
          </w:p>
        </w:tc>
        <w:tc>
          <w:tcPr>
            <w:tcW w:w="0" w:type="auto"/>
            <w:shd w:val="clear" w:color="auto" w:fill="FFFFFF"/>
            <w:tcMar>
              <w:top w:w="40" w:type="dxa"/>
              <w:left w:w="0" w:type="dxa"/>
              <w:bottom w:w="40" w:type="dxa"/>
              <w:right w:w="20" w:type="dxa"/>
            </w:tcMar>
            <w:vAlign w:val="bottom"/>
          </w:tcPr>
          <w:p w14:paraId="74DE24F7" w14:textId="77777777" w:rsidR="00584EC1" w:rsidRDefault="00584EC1">
            <w:pPr>
              <w:jc w:val="right"/>
              <w:rPr>
                <w:rFonts w:ascii="宋体"/>
              </w:rPr>
            </w:pPr>
          </w:p>
        </w:tc>
        <w:tc>
          <w:tcPr>
            <w:tcW w:w="0" w:type="auto"/>
            <w:gridSpan w:val="3"/>
            <w:shd w:val="clear" w:color="auto" w:fill="auto"/>
            <w:vAlign w:val="bottom"/>
          </w:tcPr>
          <w:p w14:paraId="74DE24F8" w14:textId="77777777" w:rsidR="00584EC1" w:rsidRDefault="00584EC1">
            <w:pPr>
              <w:rPr>
                <w:rFonts w:ascii="宋体"/>
                <w:vanish/>
              </w:rPr>
            </w:pPr>
          </w:p>
        </w:tc>
        <w:tc>
          <w:tcPr>
            <w:tcW w:w="0" w:type="auto"/>
            <w:gridSpan w:val="3"/>
            <w:shd w:val="clear" w:color="auto" w:fill="auto"/>
            <w:vAlign w:val="bottom"/>
          </w:tcPr>
          <w:p w14:paraId="74DE24F9" w14:textId="77777777" w:rsidR="00584EC1" w:rsidRDefault="00584EC1">
            <w:pPr>
              <w:rPr>
                <w:rFonts w:ascii="宋体"/>
                <w:vanish/>
              </w:rPr>
            </w:pPr>
          </w:p>
        </w:tc>
        <w:tc>
          <w:tcPr>
            <w:tcW w:w="0" w:type="auto"/>
            <w:gridSpan w:val="3"/>
            <w:shd w:val="clear" w:color="auto" w:fill="auto"/>
            <w:vAlign w:val="bottom"/>
          </w:tcPr>
          <w:p w14:paraId="74DE24FA" w14:textId="77777777" w:rsidR="00584EC1" w:rsidRDefault="00584EC1">
            <w:pPr>
              <w:rPr>
                <w:rFonts w:ascii="宋体"/>
                <w:vanish/>
              </w:rPr>
            </w:pPr>
          </w:p>
        </w:tc>
        <w:tc>
          <w:tcPr>
            <w:tcW w:w="0" w:type="auto"/>
            <w:gridSpan w:val="3"/>
            <w:shd w:val="clear" w:color="auto" w:fill="auto"/>
            <w:vAlign w:val="bottom"/>
          </w:tcPr>
          <w:p w14:paraId="74DE24FB" w14:textId="77777777" w:rsidR="00584EC1" w:rsidRDefault="00584EC1">
            <w:pPr>
              <w:rPr>
                <w:rFonts w:ascii="宋体"/>
                <w:vanish/>
              </w:rPr>
            </w:pPr>
          </w:p>
        </w:tc>
        <w:tc>
          <w:tcPr>
            <w:tcW w:w="0" w:type="auto"/>
            <w:gridSpan w:val="3"/>
            <w:shd w:val="clear" w:color="auto" w:fill="auto"/>
            <w:vAlign w:val="bottom"/>
          </w:tcPr>
          <w:p w14:paraId="74DE24FC" w14:textId="77777777" w:rsidR="00584EC1" w:rsidRDefault="00584EC1">
            <w:pPr>
              <w:rPr>
                <w:rFonts w:ascii="宋体"/>
                <w:vanish/>
              </w:rPr>
            </w:pPr>
          </w:p>
        </w:tc>
        <w:tc>
          <w:tcPr>
            <w:tcW w:w="0" w:type="auto"/>
            <w:gridSpan w:val="3"/>
            <w:shd w:val="clear" w:color="auto" w:fill="auto"/>
            <w:vAlign w:val="bottom"/>
          </w:tcPr>
          <w:p w14:paraId="74DE24FD" w14:textId="77777777" w:rsidR="00584EC1" w:rsidRDefault="00584EC1">
            <w:pPr>
              <w:rPr>
                <w:rFonts w:ascii="宋体"/>
                <w:vanish/>
              </w:rPr>
            </w:pPr>
          </w:p>
        </w:tc>
        <w:tc>
          <w:tcPr>
            <w:tcW w:w="0" w:type="auto"/>
            <w:gridSpan w:val="3"/>
            <w:shd w:val="clear" w:color="auto" w:fill="auto"/>
            <w:vAlign w:val="bottom"/>
          </w:tcPr>
          <w:p w14:paraId="74DE24FE" w14:textId="77777777" w:rsidR="00584EC1" w:rsidRDefault="00584EC1">
            <w:pPr>
              <w:rPr>
                <w:rFonts w:ascii="宋体"/>
                <w:vanish/>
              </w:rPr>
            </w:pPr>
          </w:p>
        </w:tc>
        <w:tc>
          <w:tcPr>
            <w:tcW w:w="0" w:type="auto"/>
            <w:gridSpan w:val="3"/>
            <w:shd w:val="clear" w:color="auto" w:fill="auto"/>
            <w:vAlign w:val="bottom"/>
          </w:tcPr>
          <w:p w14:paraId="74DE24FF" w14:textId="77777777" w:rsidR="00584EC1" w:rsidRDefault="00584EC1">
            <w:pPr>
              <w:rPr>
                <w:rFonts w:ascii="宋体"/>
                <w:vanish/>
              </w:rPr>
            </w:pPr>
          </w:p>
        </w:tc>
        <w:tc>
          <w:tcPr>
            <w:tcW w:w="0" w:type="auto"/>
            <w:gridSpan w:val="2"/>
            <w:shd w:val="clear" w:color="auto" w:fill="auto"/>
            <w:vAlign w:val="bottom"/>
          </w:tcPr>
          <w:p w14:paraId="74DE2500" w14:textId="77777777" w:rsidR="00584EC1" w:rsidRDefault="00584EC1">
            <w:pPr>
              <w:rPr>
                <w:rFonts w:ascii="宋体"/>
                <w:vanish/>
              </w:rPr>
            </w:pPr>
          </w:p>
        </w:tc>
        <w:tc>
          <w:tcPr>
            <w:tcW w:w="0" w:type="auto"/>
            <w:shd w:val="clear" w:color="auto" w:fill="auto"/>
            <w:vAlign w:val="bottom"/>
          </w:tcPr>
          <w:p w14:paraId="74DE2501" w14:textId="77777777" w:rsidR="00584EC1" w:rsidRDefault="00584EC1">
            <w:pPr>
              <w:rPr>
                <w:rFonts w:ascii="宋体"/>
                <w:vanish/>
              </w:rPr>
            </w:pPr>
          </w:p>
        </w:tc>
      </w:tr>
    </w:tbl>
    <w:p w14:paraId="74DE2503" w14:textId="77777777" w:rsidR="00584EC1" w:rsidRDefault="00584E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69"/>
        <w:gridCol w:w="4271"/>
        <w:gridCol w:w="36"/>
        <w:gridCol w:w="70"/>
        <w:gridCol w:w="1516"/>
        <w:gridCol w:w="36"/>
      </w:tblGrid>
      <w:tr w:rsidR="00584EC1" w14:paraId="74DE250D" w14:textId="77777777">
        <w:tc>
          <w:tcPr>
            <w:tcW w:w="50" w:type="pct"/>
            <w:shd w:val="clear" w:color="auto" w:fill="auto"/>
            <w:vAlign w:val="bottom"/>
          </w:tcPr>
          <w:p w14:paraId="74DE2504" w14:textId="77777777" w:rsidR="00584EC1" w:rsidRDefault="00584EC1">
            <w:pPr>
              <w:rPr>
                <w:rFonts w:ascii="宋体"/>
              </w:rPr>
            </w:pPr>
          </w:p>
        </w:tc>
        <w:tc>
          <w:tcPr>
            <w:tcW w:w="1348" w:type="pct"/>
            <w:shd w:val="clear" w:color="auto" w:fill="auto"/>
            <w:vAlign w:val="bottom"/>
          </w:tcPr>
          <w:p w14:paraId="74DE2505" w14:textId="77777777" w:rsidR="00584EC1" w:rsidRDefault="00584EC1">
            <w:pPr>
              <w:rPr>
                <w:rFonts w:ascii="宋体"/>
              </w:rPr>
            </w:pPr>
          </w:p>
        </w:tc>
        <w:tc>
          <w:tcPr>
            <w:tcW w:w="5" w:type="pct"/>
            <w:shd w:val="clear" w:color="auto" w:fill="auto"/>
            <w:vAlign w:val="bottom"/>
          </w:tcPr>
          <w:p w14:paraId="74DE2506" w14:textId="77777777" w:rsidR="00584EC1" w:rsidRDefault="00584EC1">
            <w:pPr>
              <w:rPr>
                <w:rFonts w:ascii="宋体"/>
              </w:rPr>
            </w:pPr>
          </w:p>
        </w:tc>
        <w:tc>
          <w:tcPr>
            <w:tcW w:w="50" w:type="pct"/>
            <w:shd w:val="clear" w:color="auto" w:fill="auto"/>
            <w:vAlign w:val="bottom"/>
          </w:tcPr>
          <w:p w14:paraId="74DE2507" w14:textId="77777777" w:rsidR="00584EC1" w:rsidRDefault="00584EC1">
            <w:pPr>
              <w:rPr>
                <w:rFonts w:ascii="宋体"/>
              </w:rPr>
            </w:pPr>
          </w:p>
        </w:tc>
        <w:tc>
          <w:tcPr>
            <w:tcW w:w="2569" w:type="pct"/>
            <w:shd w:val="clear" w:color="auto" w:fill="auto"/>
            <w:vAlign w:val="bottom"/>
          </w:tcPr>
          <w:p w14:paraId="74DE2508" w14:textId="77777777" w:rsidR="00584EC1" w:rsidRDefault="00584EC1">
            <w:pPr>
              <w:rPr>
                <w:rFonts w:ascii="宋体"/>
              </w:rPr>
            </w:pPr>
          </w:p>
        </w:tc>
        <w:tc>
          <w:tcPr>
            <w:tcW w:w="5" w:type="pct"/>
            <w:shd w:val="clear" w:color="auto" w:fill="auto"/>
            <w:vAlign w:val="bottom"/>
          </w:tcPr>
          <w:p w14:paraId="74DE2509" w14:textId="77777777" w:rsidR="00584EC1" w:rsidRDefault="00584EC1">
            <w:pPr>
              <w:rPr>
                <w:rFonts w:ascii="宋体"/>
              </w:rPr>
            </w:pPr>
          </w:p>
        </w:tc>
        <w:tc>
          <w:tcPr>
            <w:tcW w:w="50" w:type="pct"/>
            <w:shd w:val="clear" w:color="auto" w:fill="auto"/>
            <w:vAlign w:val="bottom"/>
          </w:tcPr>
          <w:p w14:paraId="74DE250A" w14:textId="77777777" w:rsidR="00584EC1" w:rsidRDefault="00584EC1">
            <w:pPr>
              <w:rPr>
                <w:rFonts w:ascii="宋体"/>
              </w:rPr>
            </w:pPr>
          </w:p>
        </w:tc>
        <w:tc>
          <w:tcPr>
            <w:tcW w:w="917" w:type="pct"/>
            <w:shd w:val="clear" w:color="auto" w:fill="auto"/>
            <w:vAlign w:val="bottom"/>
          </w:tcPr>
          <w:p w14:paraId="74DE250B" w14:textId="77777777" w:rsidR="00584EC1" w:rsidRDefault="00584EC1">
            <w:pPr>
              <w:rPr>
                <w:rFonts w:ascii="宋体"/>
              </w:rPr>
            </w:pPr>
          </w:p>
        </w:tc>
        <w:tc>
          <w:tcPr>
            <w:tcW w:w="5" w:type="pct"/>
            <w:shd w:val="clear" w:color="auto" w:fill="auto"/>
            <w:vAlign w:val="bottom"/>
          </w:tcPr>
          <w:p w14:paraId="74DE250C" w14:textId="77777777" w:rsidR="00584EC1" w:rsidRDefault="00584EC1">
            <w:pPr>
              <w:rPr>
                <w:rFonts w:ascii="宋体"/>
              </w:rPr>
            </w:pPr>
          </w:p>
        </w:tc>
      </w:tr>
      <w:tr w:rsidR="00584EC1" w14:paraId="74DE2511"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4DE250E"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50F"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510" w14:textId="77777777" w:rsidR="00584EC1" w:rsidRDefault="00584EC1">
            <w:pPr>
              <w:rPr>
                <w:rFonts w:ascii="宋体"/>
              </w:rPr>
            </w:pPr>
          </w:p>
        </w:tc>
      </w:tr>
    </w:tbl>
    <w:p w14:paraId="74DE2512" w14:textId="77777777" w:rsidR="00584EC1" w:rsidRDefault="00871F8D">
      <w:pPr>
        <w:jc w:val="both"/>
      </w:pPr>
      <w:r>
        <w:rPr>
          <w:rFonts w:ascii="Arial" w:eastAsia="宋体" w:hAnsi="Arial" w:cs="Arial"/>
          <w:color w:val="000000"/>
          <w:sz w:val="9"/>
          <w:szCs w:val="9"/>
        </w:rPr>
        <w:t xml:space="preserve">(1) </w:t>
      </w:r>
      <w:r>
        <w:rPr>
          <w:rFonts w:ascii="Arial" w:eastAsia="宋体" w:hAnsi="Arial" w:cs="Arial"/>
          <w:color w:val="000000"/>
          <w:sz w:val="14"/>
          <w:szCs w:val="14"/>
        </w:rPr>
        <w:t xml:space="preserve">Geographic mix is </w:t>
      </w:r>
      <w:r>
        <w:rPr>
          <w:rFonts w:ascii="Arial" w:eastAsia="宋体" w:hAnsi="Arial" w:cs="Arial"/>
          <w:color w:val="000000"/>
          <w:sz w:val="14"/>
          <w:szCs w:val="14"/>
        </w:rPr>
        <w:t>generally based on the domicile of the entity servicing the funds and is not necessarily representative of the underlying asset mix.</w:t>
      </w:r>
    </w:p>
    <w:p w14:paraId="74DE2513" w14:textId="77777777" w:rsidR="00584EC1" w:rsidRDefault="00871F8D">
      <w:pPr>
        <w:spacing w:before="60" w:after="60"/>
        <w:ind w:firstLine="450"/>
        <w:jc w:val="both"/>
      </w:pPr>
      <w:r>
        <w:rPr>
          <w:rFonts w:ascii="Arial" w:eastAsia="宋体" w:hAnsi="Arial" w:cs="Arial"/>
          <w:color w:val="000000"/>
          <w:sz w:val="20"/>
          <w:szCs w:val="20"/>
        </w:rPr>
        <w:t>Non-U.S. assets were $96.28 billion and $92.33 billion as of September 30, 2021 and 2020, respectively.</w:t>
      </w:r>
    </w:p>
    <w:p w14:paraId="74DE2514" w14:textId="77777777" w:rsidR="00584EC1" w:rsidRDefault="00871F8D">
      <w:pPr>
        <w:ind w:firstLine="450"/>
        <w:jc w:val="right"/>
      </w:pPr>
      <w:r>
        <w:rPr>
          <w:rFonts w:ascii="Arial" w:eastAsia="宋体" w:hAnsi="Arial" w:cs="Arial"/>
          <w:color w:val="000000"/>
          <w:sz w:val="18"/>
          <w:szCs w:val="18"/>
        </w:rPr>
        <w:t xml:space="preserve">State Street </w:t>
      </w:r>
      <w:r>
        <w:rPr>
          <w:rFonts w:ascii="Arial" w:eastAsia="宋体" w:hAnsi="Arial" w:cs="Arial"/>
          <w:color w:val="000000"/>
          <w:sz w:val="18"/>
          <w:szCs w:val="18"/>
        </w:rPr>
        <w:t>Corporation | 95</w:t>
      </w:r>
    </w:p>
    <w:p w14:paraId="74DE2515" w14:textId="77777777" w:rsidR="00584EC1" w:rsidRDefault="00584EC1">
      <w:pPr>
        <w:ind w:firstLine="450"/>
        <w:jc w:val="center"/>
      </w:pPr>
    </w:p>
    <w:p w14:paraId="74DE2516" w14:textId="77777777" w:rsidR="00584EC1" w:rsidRDefault="00871F8D">
      <w:r>
        <w:pict w14:anchorId="74DE2A4D">
          <v:rect id="_x0000_i1119" style="width:415.3pt;height:1.5pt" o:hralign="center" o:hrstd="t" o:hr="t" fillcolor="#a0a0a0" stroked="f"/>
        </w:pict>
      </w:r>
    </w:p>
    <w:p w14:paraId="74DE2517" w14:textId="77777777" w:rsidR="00584EC1" w:rsidRDefault="00584EC1">
      <w:pPr>
        <w:ind w:firstLine="450"/>
      </w:pPr>
    </w:p>
    <w:p w14:paraId="74DE2518" w14:textId="77777777" w:rsidR="00584EC1" w:rsidRDefault="00871F8D">
      <w:pPr>
        <w:spacing w:before="180"/>
        <w:ind w:firstLine="450"/>
        <w:jc w:val="center"/>
      </w:pPr>
      <w:r>
        <w:rPr>
          <w:rFonts w:ascii="Arial" w:eastAsia="宋体" w:hAnsi="Arial" w:cs="Arial"/>
          <w:b/>
          <w:bCs/>
          <w:color w:val="000000"/>
          <w:sz w:val="20"/>
          <w:szCs w:val="20"/>
        </w:rPr>
        <w:t>Report of Ernst &amp; Young LLP, Independent Registered Public Accounting Firm</w:t>
      </w:r>
    </w:p>
    <w:p w14:paraId="74DE2519" w14:textId="77777777" w:rsidR="00584EC1" w:rsidRDefault="00584EC1"/>
    <w:p w14:paraId="74DE251A" w14:textId="77777777" w:rsidR="00584EC1" w:rsidRDefault="00871F8D">
      <w:r>
        <w:rPr>
          <w:rFonts w:ascii="Arial" w:eastAsia="宋体" w:hAnsi="Arial" w:cs="Arial"/>
          <w:color w:val="000000"/>
          <w:sz w:val="20"/>
          <w:szCs w:val="20"/>
        </w:rPr>
        <w:t xml:space="preserve">The Shareholders and Board of Directors of State Street Corporation </w:t>
      </w:r>
    </w:p>
    <w:p w14:paraId="74DE251B" w14:textId="77777777" w:rsidR="00584EC1" w:rsidRDefault="00871F8D">
      <w:pPr>
        <w:spacing w:before="180"/>
      </w:pPr>
      <w:r>
        <w:rPr>
          <w:rFonts w:ascii="Arial" w:eastAsia="宋体" w:hAnsi="Arial" w:cs="Arial"/>
          <w:b/>
          <w:bCs/>
          <w:color w:val="000000"/>
          <w:sz w:val="20"/>
          <w:szCs w:val="20"/>
        </w:rPr>
        <w:t>Results of Review of Interim Financial Statements</w:t>
      </w:r>
    </w:p>
    <w:p w14:paraId="74DE251C" w14:textId="77777777" w:rsidR="00584EC1" w:rsidRDefault="00871F8D">
      <w:pPr>
        <w:spacing w:before="120"/>
        <w:jc w:val="both"/>
      </w:pPr>
      <w:r>
        <w:rPr>
          <w:rFonts w:ascii="Arial" w:eastAsia="宋体" w:hAnsi="Arial" w:cs="Arial"/>
          <w:color w:val="000000"/>
          <w:sz w:val="20"/>
          <w:szCs w:val="20"/>
        </w:rPr>
        <w:t>We have reviewed the accompanying consol</w:t>
      </w:r>
      <w:r>
        <w:rPr>
          <w:rFonts w:ascii="Arial" w:eastAsia="宋体" w:hAnsi="Arial" w:cs="Arial"/>
          <w:color w:val="000000"/>
          <w:sz w:val="20"/>
          <w:szCs w:val="20"/>
        </w:rPr>
        <w:t>idated statement of condition of State Street Corporation (the “Corporation”) as of September 30, 2021, and the related consolidated statements of income, comprehensive income, changes in shareholders' equity for the three- and nine-month periods ended Sep</w:t>
      </w:r>
      <w:r>
        <w:rPr>
          <w:rFonts w:ascii="Arial" w:eastAsia="宋体" w:hAnsi="Arial" w:cs="Arial"/>
          <w:color w:val="000000"/>
          <w:sz w:val="20"/>
          <w:szCs w:val="20"/>
        </w:rPr>
        <w:t>tember 30, 2021 and 2020, cash flows for the nine-month periods ended September 30, 2021 and 2020 and the related condensed notes (collectively referred to as the “condensed consolidated interim financial statements”). Based on our reviews, we are not awar</w:t>
      </w:r>
      <w:r>
        <w:rPr>
          <w:rFonts w:ascii="Arial" w:eastAsia="宋体" w:hAnsi="Arial" w:cs="Arial"/>
          <w:color w:val="000000"/>
          <w:sz w:val="20"/>
          <w:szCs w:val="20"/>
        </w:rPr>
        <w:t>e of any material modifications that should be made to the condensed consolidated interim financial statements for them to be in conformity with U.S. generally accepted accounting principles.</w:t>
      </w:r>
    </w:p>
    <w:p w14:paraId="74DE251D" w14:textId="77777777" w:rsidR="00584EC1" w:rsidRDefault="00871F8D">
      <w:pPr>
        <w:spacing w:before="120"/>
        <w:jc w:val="both"/>
      </w:pPr>
      <w:r>
        <w:rPr>
          <w:rFonts w:ascii="Arial" w:eastAsia="宋体" w:hAnsi="Arial" w:cs="Arial"/>
          <w:color w:val="000000"/>
          <w:sz w:val="20"/>
          <w:szCs w:val="20"/>
        </w:rPr>
        <w:t xml:space="preserve">We have previously audited, in accordance with the </w:t>
      </w:r>
      <w:r>
        <w:rPr>
          <w:rFonts w:ascii="Arial" w:eastAsia="宋体" w:hAnsi="Arial" w:cs="Arial"/>
          <w:color w:val="000000"/>
          <w:sz w:val="20"/>
          <w:szCs w:val="20"/>
        </w:rPr>
        <w:t>standards of the Public Company Accounting Oversight Board (United States) ("PCAOB"), the consolidated statement of condition of the Corporation as of December 31, 2020, the related consolidated statements of income, comprehensive income, changes in shareh</w:t>
      </w:r>
      <w:r>
        <w:rPr>
          <w:rFonts w:ascii="Arial" w:eastAsia="宋体" w:hAnsi="Arial" w:cs="Arial"/>
          <w:color w:val="000000"/>
          <w:sz w:val="20"/>
          <w:szCs w:val="20"/>
        </w:rPr>
        <w:t>olders' equity and cash flows for the year then ended, and the related notes (not presented herein); and in our report dated February 19, 2021, we expressed an unqualified audit opinion on those consolidated financial statements. In our opinion, the inform</w:t>
      </w:r>
      <w:r>
        <w:rPr>
          <w:rFonts w:ascii="Arial" w:eastAsia="宋体" w:hAnsi="Arial" w:cs="Arial"/>
          <w:color w:val="000000"/>
          <w:sz w:val="20"/>
          <w:szCs w:val="20"/>
        </w:rPr>
        <w:t>ation set forth in the accompanying consolidated statement of condition as of December 31, 2020, is fairly stated, in all material respects, in relation to the consolidated statement of condition from which it has been derived.</w:t>
      </w:r>
    </w:p>
    <w:p w14:paraId="74DE251E" w14:textId="77777777" w:rsidR="00584EC1" w:rsidRDefault="00871F8D">
      <w:pPr>
        <w:spacing w:before="180"/>
      </w:pPr>
      <w:r>
        <w:rPr>
          <w:rFonts w:ascii="Arial" w:eastAsia="宋体" w:hAnsi="Arial" w:cs="Arial"/>
          <w:b/>
          <w:bCs/>
          <w:color w:val="000000"/>
          <w:sz w:val="20"/>
          <w:szCs w:val="20"/>
        </w:rPr>
        <w:t>Basis for Review Results</w:t>
      </w:r>
    </w:p>
    <w:p w14:paraId="74DE251F" w14:textId="77777777" w:rsidR="00584EC1" w:rsidRDefault="00584EC1">
      <w:pPr>
        <w:jc w:val="both"/>
      </w:pPr>
    </w:p>
    <w:p w14:paraId="74DE2520" w14:textId="77777777" w:rsidR="00584EC1" w:rsidRDefault="00871F8D">
      <w:pPr>
        <w:jc w:val="both"/>
      </w:pPr>
      <w:r>
        <w:rPr>
          <w:rFonts w:ascii="Arial" w:eastAsia="宋体" w:hAnsi="Arial" w:cs="Arial"/>
          <w:color w:val="000000"/>
          <w:sz w:val="20"/>
          <w:szCs w:val="20"/>
        </w:rPr>
        <w:t>Th</w:t>
      </w:r>
      <w:r>
        <w:rPr>
          <w:rFonts w:ascii="Arial" w:eastAsia="宋体" w:hAnsi="Arial" w:cs="Arial"/>
          <w:color w:val="000000"/>
          <w:sz w:val="20"/>
          <w:szCs w:val="20"/>
        </w:rPr>
        <w:t>ese financial statements are the responsibility of the Corporation’s management. We are a public accounting firm registered with the PCAOB and are required to be independent with respect to the Corporation in accordance with the U.S. federal securities law</w:t>
      </w:r>
      <w:r>
        <w:rPr>
          <w:rFonts w:ascii="Arial" w:eastAsia="宋体" w:hAnsi="Arial" w:cs="Arial"/>
          <w:color w:val="000000"/>
          <w:sz w:val="20"/>
          <w:szCs w:val="20"/>
        </w:rPr>
        <w:t>s and the applicable rules and regulations of the SEC and the PCAOB. We conducted our review in accordance with the standards of the PCAOB. A review of interim financial statements consists principally of applying analytical procedures and making inquiries</w:t>
      </w:r>
      <w:r>
        <w:rPr>
          <w:rFonts w:ascii="Arial" w:eastAsia="宋体" w:hAnsi="Arial" w:cs="Arial"/>
          <w:color w:val="000000"/>
          <w:sz w:val="20"/>
          <w:szCs w:val="20"/>
        </w:rPr>
        <w:t xml:space="preserve"> of persons responsible for financial and accounting matters. It is substantially less in scope than an audit conducted in accordance with the standards of the PCAOB, the objective of which is the expression of an opinion regarding the financial statements</w:t>
      </w:r>
      <w:r>
        <w:rPr>
          <w:rFonts w:ascii="Arial" w:eastAsia="宋体" w:hAnsi="Arial" w:cs="Arial"/>
          <w:color w:val="000000"/>
          <w:sz w:val="20"/>
          <w:szCs w:val="20"/>
        </w:rPr>
        <w:t xml:space="preserve"> taken as a whole. Accordingly, we do not express such an opinion.</w:t>
      </w:r>
    </w:p>
    <w:p w14:paraId="74DE2521" w14:textId="77777777" w:rsidR="00584EC1" w:rsidRDefault="00584EC1">
      <w:pPr>
        <w:spacing w:before="120"/>
        <w:ind w:firstLine="450"/>
        <w:jc w:val="both"/>
      </w:pPr>
    </w:p>
    <w:p w14:paraId="74DE2522" w14:textId="77777777" w:rsidR="00584EC1" w:rsidRDefault="00584EC1">
      <w:pPr>
        <w:spacing w:before="180"/>
      </w:pPr>
    </w:p>
    <w:p w14:paraId="74DE2523" w14:textId="77777777" w:rsidR="00584EC1" w:rsidRDefault="00584EC1">
      <w:pPr>
        <w:spacing w:before="90"/>
        <w:ind w:firstLine="450"/>
      </w:pPr>
    </w:p>
    <w:p w14:paraId="74DE2524" w14:textId="77777777" w:rsidR="00584EC1" w:rsidRDefault="00871F8D">
      <w:pPr>
        <w:spacing w:before="90"/>
        <w:ind w:firstLine="450"/>
      </w:pPr>
      <w:r>
        <w:rPr>
          <w:rFonts w:ascii="Arial" w:eastAsia="宋体" w:hAnsi="Arial" w:cs="Arial"/>
          <w:color w:val="000000"/>
          <w:sz w:val="20"/>
          <w:szCs w:val="20"/>
        </w:rPr>
        <w:t xml:space="preserve">/s/ Ernst &amp; Young LLP </w:t>
      </w:r>
    </w:p>
    <w:p w14:paraId="74DE2525" w14:textId="77777777" w:rsidR="00584EC1" w:rsidRDefault="00584EC1">
      <w:pPr>
        <w:spacing w:before="90"/>
        <w:ind w:firstLine="450"/>
      </w:pPr>
    </w:p>
    <w:p w14:paraId="74DE2526" w14:textId="77777777" w:rsidR="00584EC1" w:rsidRDefault="00871F8D">
      <w:pPr>
        <w:spacing w:before="90"/>
        <w:ind w:firstLine="450"/>
      </w:pPr>
      <w:r>
        <w:rPr>
          <w:rFonts w:ascii="Arial" w:eastAsia="宋体" w:hAnsi="Arial" w:cs="Arial"/>
          <w:color w:val="000000"/>
          <w:sz w:val="20"/>
          <w:szCs w:val="20"/>
        </w:rPr>
        <w:t>Boston, Massachusetts</w:t>
      </w:r>
    </w:p>
    <w:p w14:paraId="74DE2527" w14:textId="77777777" w:rsidR="00584EC1" w:rsidRDefault="00871F8D">
      <w:pPr>
        <w:ind w:firstLine="450"/>
      </w:pPr>
      <w:r>
        <w:rPr>
          <w:rFonts w:ascii="Arial" w:eastAsia="宋体" w:hAnsi="Arial" w:cs="Arial"/>
          <w:color w:val="000000"/>
          <w:sz w:val="20"/>
          <w:szCs w:val="20"/>
        </w:rPr>
        <w:t xml:space="preserve">October 22, 2021 </w:t>
      </w:r>
    </w:p>
    <w:p w14:paraId="74DE2528" w14:textId="77777777" w:rsidR="00584EC1" w:rsidRDefault="00584EC1">
      <w:pPr>
        <w:spacing w:before="90"/>
        <w:ind w:firstLine="450"/>
      </w:pPr>
    </w:p>
    <w:p w14:paraId="74DE2529" w14:textId="77777777" w:rsidR="00584EC1" w:rsidRDefault="00871F8D">
      <w:pPr>
        <w:ind w:firstLine="450"/>
        <w:jc w:val="right"/>
      </w:pPr>
      <w:r>
        <w:rPr>
          <w:rFonts w:ascii="Arial" w:eastAsia="宋体" w:hAnsi="Arial" w:cs="Arial"/>
          <w:color w:val="000000"/>
          <w:sz w:val="18"/>
          <w:szCs w:val="18"/>
        </w:rPr>
        <w:t>State Street Corporation | 96</w:t>
      </w:r>
    </w:p>
    <w:p w14:paraId="74DE252A" w14:textId="77777777" w:rsidR="00584EC1" w:rsidRDefault="00584EC1">
      <w:pPr>
        <w:ind w:firstLine="450"/>
        <w:jc w:val="center"/>
      </w:pPr>
    </w:p>
    <w:p w14:paraId="74DE252B" w14:textId="77777777" w:rsidR="00584EC1" w:rsidRDefault="00871F8D">
      <w:r>
        <w:pict w14:anchorId="74DE2A4E">
          <v:rect id="_x0000_i1120" style="width:415.3pt;height:1.5pt" o:hralign="center" o:hrstd="t" o:hr="t" fillcolor="#a0a0a0" stroked="f"/>
        </w:pict>
      </w:r>
    </w:p>
    <w:p w14:paraId="74DE252C" w14:textId="77777777" w:rsidR="00584EC1" w:rsidRDefault="00584EC1">
      <w:pPr>
        <w:ind w:firstLine="450"/>
      </w:pPr>
    </w:p>
    <w:p w14:paraId="74DE252D" w14:textId="77777777" w:rsidR="00584EC1" w:rsidRDefault="00584EC1">
      <w:pPr>
        <w:ind w:firstLine="450"/>
        <w:jc w:val="center"/>
      </w:pPr>
    </w:p>
    <w:tbl>
      <w:tblPr>
        <w:tblW w:w="5000" w:type="pct"/>
        <w:tblCellMar>
          <w:top w:w="15" w:type="dxa"/>
          <w:left w:w="15" w:type="dxa"/>
          <w:bottom w:w="15" w:type="dxa"/>
          <w:right w:w="15" w:type="dxa"/>
        </w:tblCellMar>
        <w:tblLook w:val="04A0" w:firstRow="1" w:lastRow="0" w:firstColumn="1" w:lastColumn="0" w:noHBand="0" w:noVBand="1"/>
      </w:tblPr>
      <w:tblGrid>
        <w:gridCol w:w="73"/>
        <w:gridCol w:w="850"/>
        <w:gridCol w:w="37"/>
        <w:gridCol w:w="69"/>
        <w:gridCol w:w="3125"/>
        <w:gridCol w:w="38"/>
        <w:gridCol w:w="69"/>
        <w:gridCol w:w="868"/>
        <w:gridCol w:w="36"/>
        <w:gridCol w:w="69"/>
        <w:gridCol w:w="3064"/>
        <w:gridCol w:w="38"/>
      </w:tblGrid>
      <w:tr w:rsidR="00584EC1" w14:paraId="74DE253A" w14:textId="77777777">
        <w:tc>
          <w:tcPr>
            <w:tcW w:w="50" w:type="pct"/>
            <w:shd w:val="clear" w:color="auto" w:fill="auto"/>
            <w:vAlign w:val="bottom"/>
          </w:tcPr>
          <w:p w14:paraId="74DE252E" w14:textId="77777777" w:rsidR="00584EC1" w:rsidRDefault="00584EC1">
            <w:pPr>
              <w:rPr>
                <w:rFonts w:ascii="宋体"/>
              </w:rPr>
            </w:pPr>
          </w:p>
        </w:tc>
        <w:tc>
          <w:tcPr>
            <w:tcW w:w="522" w:type="pct"/>
            <w:shd w:val="clear" w:color="auto" w:fill="auto"/>
            <w:vAlign w:val="bottom"/>
          </w:tcPr>
          <w:p w14:paraId="74DE252F" w14:textId="77777777" w:rsidR="00584EC1" w:rsidRDefault="00584EC1">
            <w:pPr>
              <w:rPr>
                <w:rFonts w:ascii="宋体"/>
              </w:rPr>
            </w:pPr>
          </w:p>
        </w:tc>
        <w:tc>
          <w:tcPr>
            <w:tcW w:w="5" w:type="pct"/>
            <w:shd w:val="clear" w:color="auto" w:fill="auto"/>
            <w:vAlign w:val="bottom"/>
          </w:tcPr>
          <w:p w14:paraId="74DE2530" w14:textId="77777777" w:rsidR="00584EC1" w:rsidRDefault="00584EC1">
            <w:pPr>
              <w:rPr>
                <w:rFonts w:ascii="宋体"/>
              </w:rPr>
            </w:pPr>
          </w:p>
        </w:tc>
        <w:tc>
          <w:tcPr>
            <w:tcW w:w="50" w:type="pct"/>
            <w:shd w:val="clear" w:color="auto" w:fill="auto"/>
            <w:vAlign w:val="bottom"/>
          </w:tcPr>
          <w:p w14:paraId="74DE2531" w14:textId="77777777" w:rsidR="00584EC1" w:rsidRDefault="00584EC1">
            <w:pPr>
              <w:rPr>
                <w:rFonts w:ascii="宋体"/>
              </w:rPr>
            </w:pPr>
          </w:p>
        </w:tc>
        <w:tc>
          <w:tcPr>
            <w:tcW w:w="1882" w:type="pct"/>
            <w:shd w:val="clear" w:color="auto" w:fill="auto"/>
            <w:vAlign w:val="bottom"/>
          </w:tcPr>
          <w:p w14:paraId="74DE2532" w14:textId="77777777" w:rsidR="00584EC1" w:rsidRDefault="00584EC1">
            <w:pPr>
              <w:rPr>
                <w:rFonts w:ascii="宋体"/>
              </w:rPr>
            </w:pPr>
          </w:p>
        </w:tc>
        <w:tc>
          <w:tcPr>
            <w:tcW w:w="5" w:type="pct"/>
            <w:shd w:val="clear" w:color="auto" w:fill="auto"/>
            <w:vAlign w:val="bottom"/>
          </w:tcPr>
          <w:p w14:paraId="74DE2533" w14:textId="77777777" w:rsidR="00584EC1" w:rsidRDefault="00584EC1">
            <w:pPr>
              <w:rPr>
                <w:rFonts w:ascii="宋体"/>
              </w:rPr>
            </w:pPr>
          </w:p>
        </w:tc>
        <w:tc>
          <w:tcPr>
            <w:tcW w:w="50" w:type="pct"/>
            <w:shd w:val="clear" w:color="auto" w:fill="auto"/>
            <w:vAlign w:val="bottom"/>
          </w:tcPr>
          <w:p w14:paraId="74DE2534" w14:textId="77777777" w:rsidR="00584EC1" w:rsidRDefault="00584EC1">
            <w:pPr>
              <w:rPr>
                <w:rFonts w:ascii="宋体"/>
              </w:rPr>
            </w:pPr>
          </w:p>
        </w:tc>
        <w:tc>
          <w:tcPr>
            <w:tcW w:w="529" w:type="pct"/>
            <w:shd w:val="clear" w:color="auto" w:fill="auto"/>
            <w:vAlign w:val="bottom"/>
          </w:tcPr>
          <w:p w14:paraId="74DE2535" w14:textId="77777777" w:rsidR="00584EC1" w:rsidRDefault="00584EC1">
            <w:pPr>
              <w:rPr>
                <w:rFonts w:ascii="宋体"/>
              </w:rPr>
            </w:pPr>
          </w:p>
        </w:tc>
        <w:tc>
          <w:tcPr>
            <w:tcW w:w="5" w:type="pct"/>
            <w:shd w:val="clear" w:color="auto" w:fill="auto"/>
            <w:vAlign w:val="bottom"/>
          </w:tcPr>
          <w:p w14:paraId="74DE2536" w14:textId="77777777" w:rsidR="00584EC1" w:rsidRDefault="00584EC1">
            <w:pPr>
              <w:rPr>
                <w:rFonts w:ascii="宋体"/>
              </w:rPr>
            </w:pPr>
          </w:p>
        </w:tc>
        <w:tc>
          <w:tcPr>
            <w:tcW w:w="50" w:type="pct"/>
            <w:shd w:val="clear" w:color="auto" w:fill="auto"/>
            <w:vAlign w:val="bottom"/>
          </w:tcPr>
          <w:p w14:paraId="74DE2537" w14:textId="77777777" w:rsidR="00584EC1" w:rsidRDefault="00584EC1">
            <w:pPr>
              <w:rPr>
                <w:rFonts w:ascii="宋体"/>
              </w:rPr>
            </w:pPr>
          </w:p>
        </w:tc>
        <w:tc>
          <w:tcPr>
            <w:tcW w:w="1845" w:type="pct"/>
            <w:shd w:val="clear" w:color="auto" w:fill="auto"/>
            <w:vAlign w:val="bottom"/>
          </w:tcPr>
          <w:p w14:paraId="74DE2538" w14:textId="77777777" w:rsidR="00584EC1" w:rsidRDefault="00584EC1">
            <w:pPr>
              <w:rPr>
                <w:rFonts w:ascii="宋体"/>
              </w:rPr>
            </w:pPr>
          </w:p>
        </w:tc>
        <w:tc>
          <w:tcPr>
            <w:tcW w:w="5" w:type="pct"/>
            <w:shd w:val="clear" w:color="auto" w:fill="auto"/>
            <w:vAlign w:val="bottom"/>
          </w:tcPr>
          <w:p w14:paraId="74DE2539" w14:textId="77777777" w:rsidR="00584EC1" w:rsidRDefault="00584EC1">
            <w:pPr>
              <w:rPr>
                <w:rFonts w:ascii="宋体"/>
              </w:rPr>
            </w:pPr>
          </w:p>
        </w:tc>
      </w:tr>
      <w:tr w:rsidR="00584EC1" w14:paraId="74DE253C" w14:textId="77777777">
        <w:tc>
          <w:tcPr>
            <w:tcW w:w="0" w:type="auto"/>
            <w:gridSpan w:val="12"/>
            <w:shd w:val="clear" w:color="auto" w:fill="auto"/>
            <w:tcMar>
              <w:top w:w="40" w:type="dxa"/>
              <w:left w:w="20" w:type="dxa"/>
              <w:bottom w:w="40" w:type="dxa"/>
              <w:right w:w="20" w:type="dxa"/>
            </w:tcMar>
            <w:vAlign w:val="center"/>
          </w:tcPr>
          <w:p w14:paraId="74DE253B" w14:textId="77777777" w:rsidR="00584EC1" w:rsidRDefault="00871F8D">
            <w:pPr>
              <w:jc w:val="center"/>
              <w:textAlignment w:val="center"/>
            </w:pPr>
            <w:r>
              <w:rPr>
                <w:rFonts w:ascii="Arial" w:eastAsia="宋体" w:hAnsi="Arial" w:cs="Arial"/>
                <w:b/>
                <w:bCs/>
                <w:color w:val="000000"/>
                <w:sz w:val="20"/>
                <w:szCs w:val="20"/>
              </w:rPr>
              <w:t>ACRONYMS</w:t>
            </w:r>
          </w:p>
        </w:tc>
      </w:tr>
      <w:tr w:rsidR="00584EC1" w14:paraId="74DE2541" w14:textId="77777777">
        <w:trPr>
          <w:hidden/>
        </w:trPr>
        <w:tc>
          <w:tcPr>
            <w:tcW w:w="0" w:type="auto"/>
            <w:gridSpan w:val="3"/>
            <w:shd w:val="clear" w:color="auto" w:fill="auto"/>
            <w:vAlign w:val="bottom"/>
          </w:tcPr>
          <w:p w14:paraId="74DE253D" w14:textId="77777777" w:rsidR="00584EC1" w:rsidRDefault="00584EC1">
            <w:pPr>
              <w:rPr>
                <w:rFonts w:ascii="宋体"/>
                <w:vanish/>
              </w:rPr>
            </w:pPr>
          </w:p>
        </w:tc>
        <w:tc>
          <w:tcPr>
            <w:tcW w:w="0" w:type="auto"/>
            <w:gridSpan w:val="3"/>
            <w:shd w:val="clear" w:color="auto" w:fill="auto"/>
            <w:vAlign w:val="bottom"/>
          </w:tcPr>
          <w:p w14:paraId="74DE253E" w14:textId="77777777" w:rsidR="00584EC1" w:rsidRDefault="00584EC1">
            <w:pPr>
              <w:rPr>
                <w:rFonts w:ascii="宋体"/>
                <w:vanish/>
              </w:rPr>
            </w:pPr>
          </w:p>
        </w:tc>
        <w:tc>
          <w:tcPr>
            <w:tcW w:w="0" w:type="auto"/>
            <w:gridSpan w:val="3"/>
            <w:shd w:val="clear" w:color="auto" w:fill="auto"/>
            <w:vAlign w:val="bottom"/>
          </w:tcPr>
          <w:p w14:paraId="74DE253F" w14:textId="77777777" w:rsidR="00584EC1" w:rsidRDefault="00584EC1">
            <w:pPr>
              <w:rPr>
                <w:rFonts w:ascii="宋体"/>
                <w:vanish/>
              </w:rPr>
            </w:pPr>
          </w:p>
        </w:tc>
        <w:tc>
          <w:tcPr>
            <w:tcW w:w="0" w:type="auto"/>
            <w:gridSpan w:val="3"/>
            <w:shd w:val="clear" w:color="auto" w:fill="auto"/>
            <w:vAlign w:val="bottom"/>
          </w:tcPr>
          <w:p w14:paraId="74DE2540" w14:textId="77777777" w:rsidR="00584EC1" w:rsidRDefault="00584EC1">
            <w:pPr>
              <w:rPr>
                <w:rFonts w:ascii="宋体"/>
                <w:vanish/>
              </w:rPr>
            </w:pPr>
          </w:p>
        </w:tc>
      </w:tr>
      <w:tr w:rsidR="00584EC1" w14:paraId="74DE2546" w14:textId="77777777">
        <w:trPr>
          <w:trHeight w:val="220"/>
        </w:trPr>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2542"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2543"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2544"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2545" w14:textId="77777777" w:rsidR="00584EC1" w:rsidRDefault="00584EC1">
            <w:pPr>
              <w:rPr>
                <w:rFonts w:ascii="宋体"/>
              </w:rPr>
            </w:pPr>
          </w:p>
        </w:tc>
      </w:tr>
      <w:tr w:rsidR="00584EC1" w14:paraId="74DE254B" w14:textId="77777777">
        <w:tc>
          <w:tcPr>
            <w:tcW w:w="0" w:type="auto"/>
            <w:gridSpan w:val="3"/>
            <w:shd w:val="clear" w:color="auto" w:fill="auto"/>
            <w:tcMar>
              <w:top w:w="40" w:type="dxa"/>
              <w:left w:w="20" w:type="dxa"/>
              <w:bottom w:w="40" w:type="dxa"/>
              <w:right w:w="20" w:type="dxa"/>
            </w:tcMar>
            <w:vAlign w:val="center"/>
          </w:tcPr>
          <w:p w14:paraId="74DE2547" w14:textId="77777777" w:rsidR="00584EC1" w:rsidRDefault="00871F8D">
            <w:pPr>
              <w:textAlignment w:val="center"/>
            </w:pPr>
            <w:r>
              <w:rPr>
                <w:rFonts w:ascii="Arial" w:eastAsia="宋体" w:hAnsi="Arial" w:cs="Arial"/>
                <w:color w:val="000000"/>
                <w:sz w:val="16"/>
                <w:szCs w:val="16"/>
              </w:rPr>
              <w:t>ABS</w:t>
            </w:r>
          </w:p>
        </w:tc>
        <w:tc>
          <w:tcPr>
            <w:tcW w:w="0" w:type="auto"/>
            <w:gridSpan w:val="3"/>
            <w:shd w:val="clear" w:color="auto" w:fill="auto"/>
            <w:tcMar>
              <w:top w:w="40" w:type="dxa"/>
              <w:left w:w="20" w:type="dxa"/>
              <w:bottom w:w="40" w:type="dxa"/>
              <w:right w:w="20" w:type="dxa"/>
            </w:tcMar>
            <w:vAlign w:val="center"/>
          </w:tcPr>
          <w:p w14:paraId="74DE2548" w14:textId="77777777" w:rsidR="00584EC1" w:rsidRDefault="00871F8D">
            <w:pPr>
              <w:textAlignment w:val="center"/>
            </w:pPr>
            <w:r>
              <w:rPr>
                <w:rFonts w:ascii="Arial" w:eastAsia="宋体" w:hAnsi="Arial" w:cs="Arial"/>
                <w:color w:val="000000"/>
                <w:sz w:val="16"/>
                <w:szCs w:val="16"/>
              </w:rPr>
              <w:t>Asset-backed securities</w:t>
            </w:r>
          </w:p>
        </w:tc>
        <w:tc>
          <w:tcPr>
            <w:tcW w:w="0" w:type="auto"/>
            <w:gridSpan w:val="3"/>
            <w:shd w:val="clear" w:color="auto" w:fill="auto"/>
            <w:tcMar>
              <w:top w:w="40" w:type="dxa"/>
              <w:left w:w="20" w:type="dxa"/>
              <w:bottom w:w="40" w:type="dxa"/>
              <w:right w:w="20" w:type="dxa"/>
            </w:tcMar>
            <w:vAlign w:val="center"/>
          </w:tcPr>
          <w:p w14:paraId="74DE2549" w14:textId="77777777" w:rsidR="00584EC1" w:rsidRDefault="00871F8D">
            <w:pPr>
              <w:textAlignment w:val="center"/>
            </w:pPr>
            <w:r>
              <w:rPr>
                <w:rFonts w:ascii="Arial" w:eastAsia="宋体" w:hAnsi="Arial" w:cs="Arial"/>
                <w:color w:val="000000"/>
                <w:sz w:val="16"/>
                <w:szCs w:val="16"/>
              </w:rPr>
              <w:t>G-SIB</w:t>
            </w:r>
          </w:p>
        </w:tc>
        <w:tc>
          <w:tcPr>
            <w:tcW w:w="0" w:type="auto"/>
            <w:gridSpan w:val="3"/>
            <w:shd w:val="clear" w:color="auto" w:fill="auto"/>
            <w:tcMar>
              <w:top w:w="40" w:type="dxa"/>
              <w:left w:w="20" w:type="dxa"/>
              <w:bottom w:w="40" w:type="dxa"/>
              <w:right w:w="20" w:type="dxa"/>
            </w:tcMar>
            <w:vAlign w:val="center"/>
          </w:tcPr>
          <w:p w14:paraId="74DE254A" w14:textId="77777777" w:rsidR="00584EC1" w:rsidRDefault="00871F8D">
            <w:pPr>
              <w:textAlignment w:val="center"/>
            </w:pPr>
            <w:r>
              <w:rPr>
                <w:rFonts w:ascii="Arial" w:eastAsia="宋体" w:hAnsi="Arial" w:cs="Arial"/>
                <w:color w:val="000000"/>
                <w:sz w:val="16"/>
                <w:szCs w:val="16"/>
              </w:rPr>
              <w:t xml:space="preserve">Global </w:t>
            </w:r>
            <w:r>
              <w:rPr>
                <w:rFonts w:ascii="Arial" w:eastAsia="宋体" w:hAnsi="Arial" w:cs="Arial"/>
                <w:color w:val="000000"/>
                <w:sz w:val="16"/>
                <w:szCs w:val="16"/>
              </w:rPr>
              <w:t>systemically important bank</w:t>
            </w:r>
          </w:p>
        </w:tc>
      </w:tr>
      <w:tr w:rsidR="00584EC1" w14:paraId="74DE2550" w14:textId="77777777">
        <w:tc>
          <w:tcPr>
            <w:tcW w:w="0" w:type="auto"/>
            <w:gridSpan w:val="3"/>
            <w:shd w:val="clear" w:color="auto" w:fill="auto"/>
            <w:tcMar>
              <w:top w:w="40" w:type="dxa"/>
              <w:left w:w="20" w:type="dxa"/>
              <w:bottom w:w="40" w:type="dxa"/>
              <w:right w:w="20" w:type="dxa"/>
            </w:tcMar>
            <w:vAlign w:val="center"/>
          </w:tcPr>
          <w:p w14:paraId="74DE254C" w14:textId="77777777" w:rsidR="00584EC1" w:rsidRDefault="00871F8D">
            <w:pPr>
              <w:textAlignment w:val="center"/>
            </w:pPr>
            <w:r>
              <w:rPr>
                <w:rFonts w:ascii="Arial" w:eastAsia="宋体" w:hAnsi="Arial" w:cs="Arial"/>
                <w:color w:val="000000"/>
                <w:sz w:val="16"/>
                <w:szCs w:val="16"/>
              </w:rPr>
              <w:t>AFS</w:t>
            </w:r>
          </w:p>
        </w:tc>
        <w:tc>
          <w:tcPr>
            <w:tcW w:w="0" w:type="auto"/>
            <w:gridSpan w:val="3"/>
            <w:shd w:val="clear" w:color="auto" w:fill="auto"/>
            <w:tcMar>
              <w:top w:w="40" w:type="dxa"/>
              <w:left w:w="20" w:type="dxa"/>
              <w:bottom w:w="40" w:type="dxa"/>
              <w:right w:w="20" w:type="dxa"/>
            </w:tcMar>
            <w:vAlign w:val="center"/>
          </w:tcPr>
          <w:p w14:paraId="74DE254D" w14:textId="77777777" w:rsidR="00584EC1" w:rsidRDefault="00871F8D">
            <w:pPr>
              <w:textAlignment w:val="center"/>
            </w:pPr>
            <w:r>
              <w:rPr>
                <w:rFonts w:ascii="Arial" w:eastAsia="宋体" w:hAnsi="Arial" w:cs="Arial"/>
                <w:color w:val="000000"/>
                <w:sz w:val="16"/>
                <w:szCs w:val="16"/>
              </w:rPr>
              <w:t>Available-for-sale</w:t>
            </w:r>
          </w:p>
        </w:tc>
        <w:tc>
          <w:tcPr>
            <w:tcW w:w="0" w:type="auto"/>
            <w:gridSpan w:val="3"/>
            <w:shd w:val="clear" w:color="auto" w:fill="auto"/>
            <w:tcMar>
              <w:top w:w="40" w:type="dxa"/>
              <w:left w:w="20" w:type="dxa"/>
              <w:bottom w:w="40" w:type="dxa"/>
              <w:right w:w="20" w:type="dxa"/>
            </w:tcMar>
            <w:vAlign w:val="center"/>
          </w:tcPr>
          <w:p w14:paraId="74DE254E" w14:textId="77777777" w:rsidR="00584EC1" w:rsidRDefault="00871F8D">
            <w:pPr>
              <w:textAlignment w:val="center"/>
            </w:pPr>
            <w:r>
              <w:rPr>
                <w:rFonts w:ascii="Arial" w:eastAsia="宋体" w:hAnsi="Arial" w:cs="Arial"/>
                <w:color w:val="000000"/>
                <w:sz w:val="16"/>
                <w:szCs w:val="16"/>
              </w:rPr>
              <w:t>HQLA</w:t>
            </w:r>
            <w:r>
              <w:rPr>
                <w:rFonts w:ascii="Arial" w:eastAsia="宋体" w:hAnsi="Arial" w:cs="Arial"/>
                <w:color w:val="000000"/>
                <w:sz w:val="10"/>
                <w:szCs w:val="10"/>
              </w:rPr>
              <w:t>(1)</w:t>
            </w:r>
          </w:p>
        </w:tc>
        <w:tc>
          <w:tcPr>
            <w:tcW w:w="0" w:type="auto"/>
            <w:gridSpan w:val="3"/>
            <w:shd w:val="clear" w:color="auto" w:fill="auto"/>
            <w:tcMar>
              <w:top w:w="40" w:type="dxa"/>
              <w:left w:w="20" w:type="dxa"/>
              <w:bottom w:w="40" w:type="dxa"/>
              <w:right w:w="20" w:type="dxa"/>
            </w:tcMar>
            <w:vAlign w:val="center"/>
          </w:tcPr>
          <w:p w14:paraId="74DE254F" w14:textId="77777777" w:rsidR="00584EC1" w:rsidRDefault="00871F8D">
            <w:pPr>
              <w:textAlignment w:val="center"/>
            </w:pPr>
            <w:r>
              <w:rPr>
                <w:rFonts w:ascii="Arial" w:eastAsia="宋体" w:hAnsi="Arial" w:cs="Arial"/>
                <w:color w:val="000000"/>
                <w:sz w:val="16"/>
                <w:szCs w:val="16"/>
              </w:rPr>
              <w:t>High-quality liquid assets</w:t>
            </w:r>
          </w:p>
        </w:tc>
      </w:tr>
      <w:tr w:rsidR="00584EC1" w14:paraId="74DE2555" w14:textId="77777777">
        <w:tc>
          <w:tcPr>
            <w:tcW w:w="0" w:type="auto"/>
            <w:gridSpan w:val="3"/>
            <w:shd w:val="clear" w:color="auto" w:fill="auto"/>
            <w:tcMar>
              <w:top w:w="40" w:type="dxa"/>
              <w:left w:w="20" w:type="dxa"/>
              <w:bottom w:w="40" w:type="dxa"/>
              <w:right w:w="20" w:type="dxa"/>
            </w:tcMar>
            <w:vAlign w:val="center"/>
          </w:tcPr>
          <w:p w14:paraId="74DE2551" w14:textId="77777777" w:rsidR="00584EC1" w:rsidRDefault="00871F8D">
            <w:pPr>
              <w:textAlignment w:val="center"/>
            </w:pPr>
            <w:r>
              <w:rPr>
                <w:rFonts w:ascii="Arial" w:eastAsia="宋体" w:hAnsi="Arial" w:cs="Arial"/>
                <w:color w:val="000000"/>
                <w:sz w:val="16"/>
                <w:szCs w:val="16"/>
              </w:rPr>
              <w:t>AOCI</w:t>
            </w:r>
          </w:p>
        </w:tc>
        <w:tc>
          <w:tcPr>
            <w:tcW w:w="0" w:type="auto"/>
            <w:gridSpan w:val="3"/>
            <w:shd w:val="clear" w:color="auto" w:fill="auto"/>
            <w:tcMar>
              <w:top w:w="40" w:type="dxa"/>
              <w:left w:w="20" w:type="dxa"/>
              <w:bottom w:w="40" w:type="dxa"/>
              <w:right w:w="20" w:type="dxa"/>
            </w:tcMar>
            <w:vAlign w:val="center"/>
          </w:tcPr>
          <w:p w14:paraId="74DE2552" w14:textId="77777777" w:rsidR="00584EC1" w:rsidRDefault="00871F8D">
            <w:pPr>
              <w:textAlignment w:val="center"/>
            </w:pPr>
            <w:r>
              <w:rPr>
                <w:rFonts w:ascii="Arial" w:eastAsia="宋体" w:hAnsi="Arial" w:cs="Arial"/>
                <w:color w:val="000000"/>
                <w:sz w:val="16"/>
                <w:szCs w:val="16"/>
              </w:rPr>
              <w:t>Accumulated other comprehensive income (loss)</w:t>
            </w:r>
          </w:p>
        </w:tc>
        <w:tc>
          <w:tcPr>
            <w:tcW w:w="0" w:type="auto"/>
            <w:gridSpan w:val="3"/>
            <w:shd w:val="clear" w:color="auto" w:fill="auto"/>
            <w:tcMar>
              <w:top w:w="40" w:type="dxa"/>
              <w:left w:w="20" w:type="dxa"/>
              <w:bottom w:w="40" w:type="dxa"/>
              <w:right w:w="20" w:type="dxa"/>
            </w:tcMar>
            <w:vAlign w:val="center"/>
          </w:tcPr>
          <w:p w14:paraId="74DE2553" w14:textId="77777777" w:rsidR="00584EC1" w:rsidRDefault="00871F8D">
            <w:pPr>
              <w:textAlignment w:val="center"/>
            </w:pPr>
            <w:r>
              <w:rPr>
                <w:rFonts w:ascii="Arial" w:eastAsia="宋体" w:hAnsi="Arial" w:cs="Arial"/>
                <w:color w:val="000000"/>
                <w:sz w:val="16"/>
                <w:szCs w:val="16"/>
              </w:rPr>
              <w:t>HTM</w:t>
            </w:r>
          </w:p>
        </w:tc>
        <w:tc>
          <w:tcPr>
            <w:tcW w:w="0" w:type="auto"/>
            <w:gridSpan w:val="3"/>
            <w:shd w:val="clear" w:color="auto" w:fill="auto"/>
            <w:tcMar>
              <w:top w:w="40" w:type="dxa"/>
              <w:left w:w="20" w:type="dxa"/>
              <w:bottom w:w="40" w:type="dxa"/>
              <w:right w:w="20" w:type="dxa"/>
            </w:tcMar>
            <w:vAlign w:val="center"/>
          </w:tcPr>
          <w:p w14:paraId="74DE2554" w14:textId="77777777" w:rsidR="00584EC1" w:rsidRDefault="00871F8D">
            <w:pPr>
              <w:textAlignment w:val="center"/>
            </w:pPr>
            <w:r>
              <w:rPr>
                <w:rFonts w:ascii="Arial" w:eastAsia="宋体" w:hAnsi="Arial" w:cs="Arial"/>
                <w:color w:val="000000"/>
                <w:sz w:val="16"/>
                <w:szCs w:val="16"/>
              </w:rPr>
              <w:t>Held-to-maturity</w:t>
            </w:r>
          </w:p>
        </w:tc>
      </w:tr>
      <w:tr w:rsidR="00584EC1" w14:paraId="74DE255A" w14:textId="77777777">
        <w:tc>
          <w:tcPr>
            <w:tcW w:w="0" w:type="auto"/>
            <w:gridSpan w:val="3"/>
            <w:shd w:val="clear" w:color="auto" w:fill="auto"/>
            <w:tcMar>
              <w:top w:w="40" w:type="dxa"/>
              <w:left w:w="20" w:type="dxa"/>
              <w:bottom w:w="40" w:type="dxa"/>
              <w:right w:w="20" w:type="dxa"/>
            </w:tcMar>
            <w:vAlign w:val="center"/>
          </w:tcPr>
          <w:p w14:paraId="74DE2556" w14:textId="77777777" w:rsidR="00584EC1" w:rsidRDefault="00871F8D">
            <w:pPr>
              <w:textAlignment w:val="center"/>
            </w:pPr>
            <w:r>
              <w:rPr>
                <w:rFonts w:ascii="Arial" w:eastAsia="宋体" w:hAnsi="Arial" w:cs="Arial"/>
                <w:color w:val="000000"/>
                <w:sz w:val="16"/>
                <w:szCs w:val="16"/>
              </w:rPr>
              <w:t>AUC/A</w:t>
            </w:r>
          </w:p>
        </w:tc>
        <w:tc>
          <w:tcPr>
            <w:tcW w:w="0" w:type="auto"/>
            <w:gridSpan w:val="3"/>
            <w:shd w:val="clear" w:color="auto" w:fill="auto"/>
            <w:tcMar>
              <w:top w:w="40" w:type="dxa"/>
              <w:left w:w="20" w:type="dxa"/>
              <w:bottom w:w="40" w:type="dxa"/>
              <w:right w:w="20" w:type="dxa"/>
            </w:tcMar>
            <w:vAlign w:val="center"/>
          </w:tcPr>
          <w:p w14:paraId="74DE2557" w14:textId="77777777" w:rsidR="00584EC1" w:rsidRDefault="00871F8D">
            <w:pPr>
              <w:textAlignment w:val="center"/>
            </w:pPr>
            <w:r>
              <w:rPr>
                <w:rFonts w:ascii="Arial" w:eastAsia="宋体" w:hAnsi="Arial" w:cs="Arial"/>
                <w:color w:val="000000"/>
                <w:sz w:val="16"/>
                <w:szCs w:val="16"/>
              </w:rPr>
              <w:t>Assets under custody and/or administration</w:t>
            </w:r>
          </w:p>
        </w:tc>
        <w:tc>
          <w:tcPr>
            <w:tcW w:w="0" w:type="auto"/>
            <w:gridSpan w:val="3"/>
            <w:shd w:val="clear" w:color="auto" w:fill="auto"/>
            <w:tcMar>
              <w:top w:w="40" w:type="dxa"/>
              <w:left w:w="20" w:type="dxa"/>
              <w:bottom w:w="40" w:type="dxa"/>
              <w:right w:w="20" w:type="dxa"/>
            </w:tcMar>
            <w:vAlign w:val="bottom"/>
          </w:tcPr>
          <w:p w14:paraId="74DE2558" w14:textId="77777777" w:rsidR="00584EC1" w:rsidRDefault="00871F8D">
            <w:pPr>
              <w:textAlignment w:val="bottom"/>
            </w:pPr>
            <w:r>
              <w:rPr>
                <w:rFonts w:ascii="Arial" w:eastAsia="宋体" w:hAnsi="Arial" w:cs="Arial"/>
                <w:color w:val="000000"/>
                <w:sz w:val="16"/>
                <w:szCs w:val="16"/>
              </w:rPr>
              <w:t>IDI</w:t>
            </w:r>
          </w:p>
        </w:tc>
        <w:tc>
          <w:tcPr>
            <w:tcW w:w="0" w:type="auto"/>
            <w:gridSpan w:val="3"/>
            <w:shd w:val="clear" w:color="auto" w:fill="auto"/>
            <w:tcMar>
              <w:top w:w="40" w:type="dxa"/>
              <w:left w:w="20" w:type="dxa"/>
              <w:bottom w:w="40" w:type="dxa"/>
              <w:right w:w="20" w:type="dxa"/>
            </w:tcMar>
            <w:vAlign w:val="bottom"/>
          </w:tcPr>
          <w:p w14:paraId="74DE2559" w14:textId="77777777" w:rsidR="00584EC1" w:rsidRDefault="00871F8D">
            <w:pPr>
              <w:textAlignment w:val="bottom"/>
            </w:pPr>
            <w:r>
              <w:rPr>
                <w:rFonts w:ascii="Arial" w:eastAsia="宋体" w:hAnsi="Arial" w:cs="Arial"/>
                <w:color w:val="000000"/>
                <w:sz w:val="16"/>
                <w:szCs w:val="16"/>
              </w:rPr>
              <w:t xml:space="preserve">Insured Depository Institution </w:t>
            </w:r>
          </w:p>
        </w:tc>
      </w:tr>
      <w:tr w:rsidR="00584EC1" w14:paraId="74DE255F" w14:textId="77777777">
        <w:tc>
          <w:tcPr>
            <w:tcW w:w="0" w:type="auto"/>
            <w:gridSpan w:val="3"/>
            <w:shd w:val="clear" w:color="auto" w:fill="auto"/>
            <w:tcMar>
              <w:top w:w="40" w:type="dxa"/>
              <w:left w:w="20" w:type="dxa"/>
              <w:bottom w:w="40" w:type="dxa"/>
              <w:right w:w="20" w:type="dxa"/>
            </w:tcMar>
            <w:vAlign w:val="center"/>
          </w:tcPr>
          <w:p w14:paraId="74DE255B" w14:textId="77777777" w:rsidR="00584EC1" w:rsidRDefault="00871F8D">
            <w:pPr>
              <w:textAlignment w:val="center"/>
            </w:pPr>
            <w:r>
              <w:rPr>
                <w:rFonts w:ascii="Arial" w:eastAsia="宋体" w:hAnsi="Arial" w:cs="Arial"/>
                <w:color w:val="000000"/>
                <w:sz w:val="16"/>
                <w:szCs w:val="16"/>
              </w:rPr>
              <w:t>AUM</w:t>
            </w:r>
          </w:p>
        </w:tc>
        <w:tc>
          <w:tcPr>
            <w:tcW w:w="0" w:type="auto"/>
            <w:gridSpan w:val="3"/>
            <w:shd w:val="clear" w:color="auto" w:fill="auto"/>
            <w:tcMar>
              <w:top w:w="40" w:type="dxa"/>
              <w:left w:w="20" w:type="dxa"/>
              <w:bottom w:w="40" w:type="dxa"/>
              <w:right w:w="20" w:type="dxa"/>
            </w:tcMar>
            <w:vAlign w:val="center"/>
          </w:tcPr>
          <w:p w14:paraId="74DE255C" w14:textId="77777777" w:rsidR="00584EC1" w:rsidRDefault="00871F8D">
            <w:pPr>
              <w:textAlignment w:val="center"/>
            </w:pPr>
            <w:r>
              <w:rPr>
                <w:rFonts w:ascii="Arial" w:eastAsia="宋体" w:hAnsi="Arial" w:cs="Arial"/>
                <w:color w:val="000000"/>
                <w:sz w:val="16"/>
                <w:szCs w:val="16"/>
              </w:rPr>
              <w:t>Assets under management</w:t>
            </w:r>
          </w:p>
        </w:tc>
        <w:tc>
          <w:tcPr>
            <w:tcW w:w="0" w:type="auto"/>
            <w:gridSpan w:val="3"/>
            <w:shd w:val="clear" w:color="auto" w:fill="auto"/>
            <w:tcMar>
              <w:top w:w="40" w:type="dxa"/>
              <w:left w:w="20" w:type="dxa"/>
              <w:bottom w:w="40" w:type="dxa"/>
              <w:right w:w="20" w:type="dxa"/>
            </w:tcMar>
            <w:vAlign w:val="bottom"/>
          </w:tcPr>
          <w:p w14:paraId="74DE255D" w14:textId="77777777" w:rsidR="00584EC1" w:rsidRDefault="00871F8D">
            <w:pPr>
              <w:textAlignment w:val="bottom"/>
            </w:pPr>
            <w:r>
              <w:rPr>
                <w:rFonts w:ascii="Arial" w:eastAsia="宋体" w:hAnsi="Arial" w:cs="Arial"/>
                <w:color w:val="000000"/>
                <w:sz w:val="16"/>
                <w:szCs w:val="16"/>
              </w:rPr>
              <w:t>EUR</w:t>
            </w:r>
          </w:p>
        </w:tc>
        <w:tc>
          <w:tcPr>
            <w:tcW w:w="0" w:type="auto"/>
            <w:gridSpan w:val="3"/>
            <w:shd w:val="clear" w:color="auto" w:fill="auto"/>
            <w:tcMar>
              <w:top w:w="40" w:type="dxa"/>
              <w:left w:w="20" w:type="dxa"/>
              <w:bottom w:w="40" w:type="dxa"/>
              <w:right w:w="20" w:type="dxa"/>
            </w:tcMar>
            <w:vAlign w:val="bottom"/>
          </w:tcPr>
          <w:p w14:paraId="74DE255E" w14:textId="77777777" w:rsidR="00584EC1" w:rsidRDefault="00871F8D">
            <w:pPr>
              <w:textAlignment w:val="bottom"/>
            </w:pPr>
            <w:r>
              <w:rPr>
                <w:rFonts w:ascii="Arial" w:eastAsia="宋体" w:hAnsi="Arial" w:cs="Arial"/>
                <w:color w:val="000000"/>
                <w:sz w:val="16"/>
                <w:szCs w:val="16"/>
              </w:rPr>
              <w:t>Euro</w:t>
            </w:r>
          </w:p>
        </w:tc>
      </w:tr>
      <w:tr w:rsidR="00584EC1" w14:paraId="74DE2564" w14:textId="77777777">
        <w:tc>
          <w:tcPr>
            <w:tcW w:w="0" w:type="auto"/>
            <w:gridSpan w:val="3"/>
            <w:shd w:val="clear" w:color="auto" w:fill="auto"/>
            <w:tcMar>
              <w:top w:w="40" w:type="dxa"/>
              <w:left w:w="20" w:type="dxa"/>
              <w:bottom w:w="40" w:type="dxa"/>
              <w:right w:w="20" w:type="dxa"/>
            </w:tcMar>
            <w:vAlign w:val="center"/>
          </w:tcPr>
          <w:p w14:paraId="74DE2560" w14:textId="77777777" w:rsidR="00584EC1" w:rsidRDefault="00871F8D">
            <w:pPr>
              <w:textAlignment w:val="center"/>
            </w:pPr>
            <w:r>
              <w:rPr>
                <w:rFonts w:ascii="Arial" w:eastAsia="宋体" w:hAnsi="Arial" w:cs="Arial"/>
                <w:color w:val="000000"/>
                <w:sz w:val="16"/>
                <w:szCs w:val="16"/>
              </w:rPr>
              <w:t>BBH</w:t>
            </w:r>
          </w:p>
        </w:tc>
        <w:tc>
          <w:tcPr>
            <w:tcW w:w="0" w:type="auto"/>
            <w:gridSpan w:val="3"/>
            <w:shd w:val="clear" w:color="auto" w:fill="auto"/>
            <w:tcMar>
              <w:top w:w="40" w:type="dxa"/>
              <w:left w:w="20" w:type="dxa"/>
              <w:bottom w:w="40" w:type="dxa"/>
              <w:right w:w="20" w:type="dxa"/>
            </w:tcMar>
            <w:vAlign w:val="center"/>
          </w:tcPr>
          <w:p w14:paraId="74DE2561" w14:textId="77777777" w:rsidR="00584EC1" w:rsidRDefault="00871F8D">
            <w:pPr>
              <w:textAlignment w:val="center"/>
            </w:pPr>
            <w:r>
              <w:rPr>
                <w:rFonts w:ascii="Arial" w:eastAsia="宋体" w:hAnsi="Arial" w:cs="Arial"/>
                <w:color w:val="000000"/>
                <w:sz w:val="16"/>
                <w:szCs w:val="16"/>
              </w:rPr>
              <w:t>Brown Brothers Harriman &amp; Co</w:t>
            </w:r>
          </w:p>
        </w:tc>
        <w:tc>
          <w:tcPr>
            <w:tcW w:w="0" w:type="auto"/>
            <w:gridSpan w:val="3"/>
            <w:shd w:val="clear" w:color="auto" w:fill="auto"/>
            <w:tcMar>
              <w:top w:w="40" w:type="dxa"/>
              <w:left w:w="20" w:type="dxa"/>
              <w:bottom w:w="40" w:type="dxa"/>
              <w:right w:w="20" w:type="dxa"/>
            </w:tcMar>
            <w:vAlign w:val="center"/>
          </w:tcPr>
          <w:p w14:paraId="74DE2562" w14:textId="77777777" w:rsidR="00584EC1" w:rsidRDefault="00871F8D">
            <w:pPr>
              <w:textAlignment w:val="center"/>
            </w:pPr>
            <w:r>
              <w:rPr>
                <w:rFonts w:ascii="Arial" w:eastAsia="宋体" w:hAnsi="Arial" w:cs="Arial"/>
                <w:color w:val="000000"/>
                <w:sz w:val="16"/>
                <w:szCs w:val="16"/>
              </w:rPr>
              <w:t>LCR</w:t>
            </w:r>
            <w:r>
              <w:rPr>
                <w:rFonts w:ascii="Arial" w:eastAsia="宋体" w:hAnsi="Arial" w:cs="Arial"/>
                <w:color w:val="000000"/>
                <w:sz w:val="10"/>
                <w:szCs w:val="10"/>
              </w:rPr>
              <w:t>(1)</w:t>
            </w:r>
          </w:p>
        </w:tc>
        <w:tc>
          <w:tcPr>
            <w:tcW w:w="0" w:type="auto"/>
            <w:gridSpan w:val="3"/>
            <w:shd w:val="clear" w:color="auto" w:fill="auto"/>
            <w:tcMar>
              <w:top w:w="40" w:type="dxa"/>
              <w:left w:w="20" w:type="dxa"/>
              <w:bottom w:w="40" w:type="dxa"/>
              <w:right w:w="20" w:type="dxa"/>
            </w:tcMar>
            <w:vAlign w:val="center"/>
          </w:tcPr>
          <w:p w14:paraId="74DE2563" w14:textId="77777777" w:rsidR="00584EC1" w:rsidRDefault="00871F8D">
            <w:pPr>
              <w:textAlignment w:val="center"/>
            </w:pPr>
            <w:r>
              <w:rPr>
                <w:rFonts w:ascii="Arial" w:eastAsia="宋体" w:hAnsi="Arial" w:cs="Arial"/>
                <w:color w:val="000000"/>
                <w:sz w:val="16"/>
                <w:szCs w:val="16"/>
              </w:rPr>
              <w:t>Liquidity coverage ratio</w:t>
            </w:r>
          </w:p>
        </w:tc>
      </w:tr>
      <w:tr w:rsidR="00584EC1" w14:paraId="74DE2569" w14:textId="77777777">
        <w:tc>
          <w:tcPr>
            <w:tcW w:w="0" w:type="auto"/>
            <w:gridSpan w:val="3"/>
            <w:shd w:val="clear" w:color="auto" w:fill="auto"/>
            <w:tcMar>
              <w:top w:w="40" w:type="dxa"/>
              <w:left w:w="20" w:type="dxa"/>
              <w:bottom w:w="40" w:type="dxa"/>
              <w:right w:w="20" w:type="dxa"/>
            </w:tcMar>
            <w:vAlign w:val="center"/>
          </w:tcPr>
          <w:p w14:paraId="74DE2565" w14:textId="77777777" w:rsidR="00584EC1" w:rsidRDefault="00871F8D">
            <w:pPr>
              <w:textAlignment w:val="center"/>
            </w:pPr>
            <w:r>
              <w:rPr>
                <w:rFonts w:ascii="Arial" w:eastAsia="宋体" w:hAnsi="Arial" w:cs="Arial"/>
                <w:color w:val="000000"/>
                <w:sz w:val="16"/>
                <w:szCs w:val="16"/>
              </w:rPr>
              <w:t>BCC</w:t>
            </w:r>
          </w:p>
        </w:tc>
        <w:tc>
          <w:tcPr>
            <w:tcW w:w="0" w:type="auto"/>
            <w:gridSpan w:val="3"/>
            <w:shd w:val="clear" w:color="auto" w:fill="auto"/>
            <w:tcMar>
              <w:top w:w="40" w:type="dxa"/>
              <w:left w:w="20" w:type="dxa"/>
              <w:bottom w:w="40" w:type="dxa"/>
              <w:right w:w="20" w:type="dxa"/>
            </w:tcMar>
            <w:vAlign w:val="center"/>
          </w:tcPr>
          <w:p w14:paraId="74DE2566" w14:textId="77777777" w:rsidR="00584EC1" w:rsidRDefault="00871F8D">
            <w:pPr>
              <w:textAlignment w:val="center"/>
            </w:pPr>
            <w:r>
              <w:rPr>
                <w:rFonts w:ascii="Arial" w:eastAsia="宋体" w:hAnsi="Arial" w:cs="Arial"/>
                <w:color w:val="000000"/>
                <w:sz w:val="16"/>
                <w:szCs w:val="16"/>
              </w:rPr>
              <w:t>Business Conduct Committee</w:t>
            </w:r>
          </w:p>
        </w:tc>
        <w:tc>
          <w:tcPr>
            <w:tcW w:w="0" w:type="auto"/>
            <w:gridSpan w:val="3"/>
            <w:shd w:val="clear" w:color="auto" w:fill="auto"/>
            <w:tcMar>
              <w:top w:w="40" w:type="dxa"/>
              <w:left w:w="20" w:type="dxa"/>
              <w:bottom w:w="40" w:type="dxa"/>
              <w:right w:w="20" w:type="dxa"/>
            </w:tcMar>
            <w:vAlign w:val="center"/>
          </w:tcPr>
          <w:p w14:paraId="74DE2567" w14:textId="77777777" w:rsidR="00584EC1" w:rsidRDefault="00871F8D">
            <w:pPr>
              <w:textAlignment w:val="center"/>
            </w:pPr>
            <w:r>
              <w:rPr>
                <w:rFonts w:ascii="Arial" w:eastAsia="宋体" w:hAnsi="Arial" w:cs="Arial"/>
                <w:color w:val="000000"/>
                <w:sz w:val="16"/>
                <w:szCs w:val="16"/>
              </w:rPr>
              <w:t>LIHTC</w:t>
            </w:r>
          </w:p>
        </w:tc>
        <w:tc>
          <w:tcPr>
            <w:tcW w:w="0" w:type="auto"/>
            <w:gridSpan w:val="3"/>
            <w:shd w:val="clear" w:color="auto" w:fill="auto"/>
            <w:tcMar>
              <w:top w:w="40" w:type="dxa"/>
              <w:left w:w="20" w:type="dxa"/>
              <w:bottom w:w="40" w:type="dxa"/>
              <w:right w:w="20" w:type="dxa"/>
            </w:tcMar>
            <w:vAlign w:val="center"/>
          </w:tcPr>
          <w:p w14:paraId="74DE2568" w14:textId="77777777" w:rsidR="00584EC1" w:rsidRDefault="00871F8D">
            <w:pPr>
              <w:textAlignment w:val="center"/>
            </w:pPr>
            <w:r>
              <w:rPr>
                <w:rFonts w:ascii="Arial" w:eastAsia="宋体" w:hAnsi="Arial" w:cs="Arial"/>
                <w:color w:val="000000"/>
                <w:sz w:val="16"/>
                <w:szCs w:val="16"/>
              </w:rPr>
              <w:t>Low income housing tax credits</w:t>
            </w:r>
          </w:p>
        </w:tc>
      </w:tr>
      <w:tr w:rsidR="00584EC1" w14:paraId="74DE256E" w14:textId="77777777">
        <w:tc>
          <w:tcPr>
            <w:tcW w:w="0" w:type="auto"/>
            <w:gridSpan w:val="3"/>
            <w:shd w:val="clear" w:color="auto" w:fill="auto"/>
            <w:tcMar>
              <w:top w:w="40" w:type="dxa"/>
              <w:left w:w="20" w:type="dxa"/>
              <w:bottom w:w="40" w:type="dxa"/>
              <w:right w:w="20" w:type="dxa"/>
            </w:tcMar>
            <w:vAlign w:val="center"/>
          </w:tcPr>
          <w:p w14:paraId="74DE256A" w14:textId="77777777" w:rsidR="00584EC1" w:rsidRDefault="00871F8D">
            <w:pPr>
              <w:textAlignment w:val="center"/>
            </w:pPr>
            <w:r>
              <w:rPr>
                <w:rFonts w:ascii="Arial" w:eastAsia="宋体" w:hAnsi="Arial" w:cs="Arial"/>
                <w:color w:val="000000"/>
                <w:sz w:val="16"/>
                <w:szCs w:val="16"/>
              </w:rPr>
              <w:t>bps</w:t>
            </w:r>
          </w:p>
        </w:tc>
        <w:tc>
          <w:tcPr>
            <w:tcW w:w="0" w:type="auto"/>
            <w:gridSpan w:val="3"/>
            <w:shd w:val="clear" w:color="auto" w:fill="auto"/>
            <w:tcMar>
              <w:top w:w="40" w:type="dxa"/>
              <w:left w:w="20" w:type="dxa"/>
              <w:bottom w:w="40" w:type="dxa"/>
              <w:right w:w="20" w:type="dxa"/>
            </w:tcMar>
            <w:vAlign w:val="center"/>
          </w:tcPr>
          <w:p w14:paraId="74DE256B" w14:textId="77777777" w:rsidR="00584EC1" w:rsidRDefault="00871F8D">
            <w:pPr>
              <w:textAlignment w:val="center"/>
            </w:pPr>
            <w:r>
              <w:rPr>
                <w:rFonts w:ascii="Arial" w:eastAsia="宋体" w:hAnsi="Arial" w:cs="Arial"/>
                <w:color w:val="000000"/>
                <w:sz w:val="16"/>
                <w:szCs w:val="16"/>
              </w:rPr>
              <w:t>Basis points</w:t>
            </w:r>
          </w:p>
        </w:tc>
        <w:tc>
          <w:tcPr>
            <w:tcW w:w="0" w:type="auto"/>
            <w:gridSpan w:val="3"/>
            <w:shd w:val="clear" w:color="auto" w:fill="auto"/>
            <w:tcMar>
              <w:top w:w="40" w:type="dxa"/>
              <w:left w:w="20" w:type="dxa"/>
              <w:bottom w:w="40" w:type="dxa"/>
              <w:right w:w="20" w:type="dxa"/>
            </w:tcMar>
            <w:vAlign w:val="center"/>
          </w:tcPr>
          <w:p w14:paraId="74DE256C" w14:textId="77777777" w:rsidR="00584EC1" w:rsidRDefault="00871F8D">
            <w:pPr>
              <w:textAlignment w:val="center"/>
            </w:pPr>
            <w:r>
              <w:rPr>
                <w:rFonts w:ascii="Arial" w:eastAsia="宋体" w:hAnsi="Arial" w:cs="Arial"/>
                <w:color w:val="000000"/>
                <w:sz w:val="16"/>
                <w:szCs w:val="16"/>
              </w:rPr>
              <w:t>LIBOR</w:t>
            </w:r>
          </w:p>
        </w:tc>
        <w:tc>
          <w:tcPr>
            <w:tcW w:w="0" w:type="auto"/>
            <w:gridSpan w:val="3"/>
            <w:shd w:val="clear" w:color="auto" w:fill="auto"/>
            <w:tcMar>
              <w:top w:w="40" w:type="dxa"/>
              <w:left w:w="20" w:type="dxa"/>
              <w:bottom w:w="40" w:type="dxa"/>
              <w:right w:w="20" w:type="dxa"/>
            </w:tcMar>
            <w:vAlign w:val="center"/>
          </w:tcPr>
          <w:p w14:paraId="74DE256D" w14:textId="77777777" w:rsidR="00584EC1" w:rsidRDefault="00871F8D">
            <w:pPr>
              <w:textAlignment w:val="center"/>
            </w:pPr>
            <w:r>
              <w:rPr>
                <w:rFonts w:ascii="Arial" w:eastAsia="宋体" w:hAnsi="Arial" w:cs="Arial"/>
                <w:color w:val="000000"/>
                <w:sz w:val="16"/>
                <w:szCs w:val="16"/>
              </w:rPr>
              <w:t xml:space="preserve">London Interbank </w:t>
            </w:r>
            <w:r>
              <w:rPr>
                <w:rFonts w:ascii="Arial" w:eastAsia="宋体" w:hAnsi="Arial" w:cs="Arial"/>
                <w:color w:val="000000"/>
                <w:sz w:val="16"/>
                <w:szCs w:val="16"/>
              </w:rPr>
              <w:t>Offered Rate</w:t>
            </w:r>
          </w:p>
        </w:tc>
      </w:tr>
      <w:tr w:rsidR="00584EC1" w14:paraId="74DE2573" w14:textId="77777777">
        <w:tc>
          <w:tcPr>
            <w:tcW w:w="0" w:type="auto"/>
            <w:gridSpan w:val="3"/>
            <w:shd w:val="clear" w:color="auto" w:fill="auto"/>
            <w:tcMar>
              <w:top w:w="40" w:type="dxa"/>
              <w:left w:w="20" w:type="dxa"/>
              <w:bottom w:w="40" w:type="dxa"/>
              <w:right w:w="20" w:type="dxa"/>
            </w:tcMar>
            <w:vAlign w:val="center"/>
          </w:tcPr>
          <w:p w14:paraId="74DE256F" w14:textId="77777777" w:rsidR="00584EC1" w:rsidRDefault="00871F8D">
            <w:pPr>
              <w:textAlignment w:val="center"/>
            </w:pPr>
            <w:r>
              <w:rPr>
                <w:rFonts w:ascii="Arial" w:eastAsia="宋体" w:hAnsi="Arial" w:cs="Arial"/>
                <w:color w:val="000000"/>
                <w:sz w:val="16"/>
                <w:szCs w:val="16"/>
              </w:rPr>
              <w:t>CAP</w:t>
            </w:r>
          </w:p>
        </w:tc>
        <w:tc>
          <w:tcPr>
            <w:tcW w:w="0" w:type="auto"/>
            <w:gridSpan w:val="3"/>
            <w:shd w:val="clear" w:color="auto" w:fill="auto"/>
            <w:tcMar>
              <w:top w:w="40" w:type="dxa"/>
              <w:left w:w="20" w:type="dxa"/>
              <w:bottom w:w="40" w:type="dxa"/>
              <w:right w:w="20" w:type="dxa"/>
            </w:tcMar>
            <w:vAlign w:val="center"/>
          </w:tcPr>
          <w:p w14:paraId="74DE2570" w14:textId="77777777" w:rsidR="00584EC1" w:rsidRDefault="00871F8D">
            <w:pPr>
              <w:textAlignment w:val="center"/>
            </w:pPr>
            <w:r>
              <w:rPr>
                <w:rFonts w:ascii="Arial" w:eastAsia="宋体" w:hAnsi="Arial" w:cs="Arial"/>
                <w:color w:val="000000"/>
                <w:sz w:val="16"/>
                <w:szCs w:val="16"/>
              </w:rPr>
              <w:t>Capital adequacy process</w:t>
            </w:r>
          </w:p>
        </w:tc>
        <w:tc>
          <w:tcPr>
            <w:tcW w:w="0" w:type="auto"/>
            <w:gridSpan w:val="3"/>
            <w:shd w:val="clear" w:color="auto" w:fill="auto"/>
            <w:tcMar>
              <w:top w:w="40" w:type="dxa"/>
              <w:left w:w="20" w:type="dxa"/>
              <w:bottom w:w="40" w:type="dxa"/>
              <w:right w:w="20" w:type="dxa"/>
            </w:tcMar>
            <w:vAlign w:val="center"/>
          </w:tcPr>
          <w:p w14:paraId="74DE2571" w14:textId="77777777" w:rsidR="00584EC1" w:rsidRDefault="00871F8D">
            <w:pPr>
              <w:textAlignment w:val="center"/>
            </w:pPr>
            <w:r>
              <w:rPr>
                <w:rFonts w:ascii="Arial" w:eastAsia="宋体" w:hAnsi="Arial" w:cs="Arial"/>
                <w:color w:val="000000"/>
                <w:sz w:val="16"/>
                <w:szCs w:val="16"/>
              </w:rPr>
              <w:t>LTD</w:t>
            </w:r>
          </w:p>
        </w:tc>
        <w:tc>
          <w:tcPr>
            <w:tcW w:w="0" w:type="auto"/>
            <w:gridSpan w:val="3"/>
            <w:shd w:val="clear" w:color="auto" w:fill="auto"/>
            <w:tcMar>
              <w:top w:w="40" w:type="dxa"/>
              <w:left w:w="20" w:type="dxa"/>
              <w:bottom w:w="40" w:type="dxa"/>
              <w:right w:w="20" w:type="dxa"/>
            </w:tcMar>
            <w:vAlign w:val="center"/>
          </w:tcPr>
          <w:p w14:paraId="74DE2572" w14:textId="77777777" w:rsidR="00584EC1" w:rsidRDefault="00871F8D">
            <w:pPr>
              <w:textAlignment w:val="center"/>
            </w:pPr>
            <w:r>
              <w:rPr>
                <w:rFonts w:ascii="Arial" w:eastAsia="宋体" w:hAnsi="Arial" w:cs="Arial"/>
                <w:color w:val="000000"/>
                <w:sz w:val="16"/>
                <w:szCs w:val="16"/>
              </w:rPr>
              <w:t>Long-term debt</w:t>
            </w:r>
          </w:p>
        </w:tc>
      </w:tr>
      <w:tr w:rsidR="00584EC1" w14:paraId="74DE2578" w14:textId="77777777">
        <w:tc>
          <w:tcPr>
            <w:tcW w:w="0" w:type="auto"/>
            <w:gridSpan w:val="3"/>
            <w:shd w:val="clear" w:color="auto" w:fill="auto"/>
            <w:tcMar>
              <w:top w:w="40" w:type="dxa"/>
              <w:left w:w="20" w:type="dxa"/>
              <w:bottom w:w="40" w:type="dxa"/>
              <w:right w:w="20" w:type="dxa"/>
            </w:tcMar>
            <w:vAlign w:val="center"/>
          </w:tcPr>
          <w:p w14:paraId="74DE2574" w14:textId="77777777" w:rsidR="00584EC1" w:rsidRDefault="00871F8D">
            <w:pPr>
              <w:textAlignment w:val="center"/>
            </w:pPr>
            <w:r>
              <w:rPr>
                <w:rFonts w:ascii="Arial" w:eastAsia="宋体" w:hAnsi="Arial" w:cs="Arial"/>
                <w:color w:val="000000"/>
                <w:sz w:val="16"/>
                <w:szCs w:val="16"/>
              </w:rPr>
              <w:t>CCAR</w:t>
            </w:r>
          </w:p>
        </w:tc>
        <w:tc>
          <w:tcPr>
            <w:tcW w:w="0" w:type="auto"/>
            <w:gridSpan w:val="3"/>
            <w:shd w:val="clear" w:color="auto" w:fill="auto"/>
            <w:tcMar>
              <w:top w:w="40" w:type="dxa"/>
              <w:left w:w="20" w:type="dxa"/>
              <w:bottom w:w="40" w:type="dxa"/>
              <w:right w:w="20" w:type="dxa"/>
            </w:tcMar>
            <w:vAlign w:val="center"/>
          </w:tcPr>
          <w:p w14:paraId="74DE2575" w14:textId="77777777" w:rsidR="00584EC1" w:rsidRDefault="00871F8D">
            <w:pPr>
              <w:textAlignment w:val="center"/>
            </w:pPr>
            <w:r>
              <w:rPr>
                <w:rFonts w:ascii="Arial" w:eastAsia="宋体" w:hAnsi="Arial" w:cs="Arial"/>
                <w:color w:val="000000"/>
                <w:sz w:val="16"/>
                <w:szCs w:val="16"/>
              </w:rPr>
              <w:t>Comprehensive Capital Analysis and Review</w:t>
            </w:r>
          </w:p>
        </w:tc>
        <w:tc>
          <w:tcPr>
            <w:tcW w:w="0" w:type="auto"/>
            <w:gridSpan w:val="3"/>
            <w:shd w:val="clear" w:color="auto" w:fill="auto"/>
            <w:tcMar>
              <w:top w:w="40" w:type="dxa"/>
              <w:left w:w="20" w:type="dxa"/>
              <w:bottom w:w="40" w:type="dxa"/>
              <w:right w:w="20" w:type="dxa"/>
            </w:tcMar>
            <w:vAlign w:val="center"/>
          </w:tcPr>
          <w:p w14:paraId="74DE2576" w14:textId="77777777" w:rsidR="00584EC1" w:rsidRDefault="00871F8D">
            <w:pPr>
              <w:textAlignment w:val="center"/>
            </w:pPr>
            <w:r>
              <w:rPr>
                <w:rFonts w:ascii="Arial" w:eastAsia="宋体" w:hAnsi="Arial" w:cs="Arial"/>
                <w:color w:val="000000"/>
                <w:sz w:val="16"/>
                <w:szCs w:val="16"/>
              </w:rPr>
              <w:t>MBS</w:t>
            </w:r>
          </w:p>
        </w:tc>
        <w:tc>
          <w:tcPr>
            <w:tcW w:w="0" w:type="auto"/>
            <w:gridSpan w:val="3"/>
            <w:shd w:val="clear" w:color="auto" w:fill="auto"/>
            <w:tcMar>
              <w:top w:w="40" w:type="dxa"/>
              <w:left w:w="20" w:type="dxa"/>
              <w:bottom w:w="40" w:type="dxa"/>
              <w:right w:w="20" w:type="dxa"/>
            </w:tcMar>
            <w:vAlign w:val="center"/>
          </w:tcPr>
          <w:p w14:paraId="74DE2577" w14:textId="77777777" w:rsidR="00584EC1" w:rsidRDefault="00871F8D">
            <w:pPr>
              <w:textAlignment w:val="center"/>
            </w:pPr>
            <w:r>
              <w:rPr>
                <w:rFonts w:ascii="Arial" w:eastAsia="宋体" w:hAnsi="Arial" w:cs="Arial"/>
                <w:color w:val="000000"/>
                <w:sz w:val="16"/>
                <w:szCs w:val="16"/>
              </w:rPr>
              <w:t>Mortgage-backed securities</w:t>
            </w:r>
          </w:p>
        </w:tc>
      </w:tr>
      <w:tr w:rsidR="00584EC1" w14:paraId="74DE257D" w14:textId="77777777">
        <w:tc>
          <w:tcPr>
            <w:tcW w:w="0" w:type="auto"/>
            <w:gridSpan w:val="3"/>
            <w:shd w:val="clear" w:color="auto" w:fill="auto"/>
            <w:tcMar>
              <w:top w:w="40" w:type="dxa"/>
              <w:left w:w="20" w:type="dxa"/>
              <w:bottom w:w="40" w:type="dxa"/>
              <w:right w:w="20" w:type="dxa"/>
            </w:tcMar>
            <w:vAlign w:val="center"/>
          </w:tcPr>
          <w:p w14:paraId="74DE2579" w14:textId="77777777" w:rsidR="00584EC1" w:rsidRDefault="00871F8D">
            <w:pPr>
              <w:textAlignment w:val="center"/>
            </w:pPr>
            <w:r>
              <w:rPr>
                <w:rFonts w:ascii="Arial" w:eastAsia="宋体" w:hAnsi="Arial" w:cs="Arial"/>
                <w:color w:val="000000"/>
                <w:sz w:val="16"/>
                <w:szCs w:val="16"/>
              </w:rPr>
              <w:t>CRD</w:t>
            </w:r>
          </w:p>
        </w:tc>
        <w:tc>
          <w:tcPr>
            <w:tcW w:w="0" w:type="auto"/>
            <w:gridSpan w:val="3"/>
            <w:shd w:val="clear" w:color="auto" w:fill="auto"/>
            <w:tcMar>
              <w:top w:w="40" w:type="dxa"/>
              <w:left w:w="20" w:type="dxa"/>
              <w:bottom w:w="40" w:type="dxa"/>
              <w:right w:w="20" w:type="dxa"/>
            </w:tcMar>
            <w:vAlign w:val="center"/>
          </w:tcPr>
          <w:p w14:paraId="74DE257A" w14:textId="77777777" w:rsidR="00584EC1" w:rsidRDefault="00871F8D">
            <w:pPr>
              <w:textAlignment w:val="center"/>
            </w:pPr>
            <w:r>
              <w:rPr>
                <w:rFonts w:ascii="Arial" w:eastAsia="宋体" w:hAnsi="Arial" w:cs="Arial"/>
                <w:color w:val="000000"/>
                <w:sz w:val="16"/>
                <w:szCs w:val="16"/>
              </w:rPr>
              <w:t>Charles River Development</w:t>
            </w:r>
          </w:p>
        </w:tc>
        <w:tc>
          <w:tcPr>
            <w:tcW w:w="0" w:type="auto"/>
            <w:gridSpan w:val="3"/>
            <w:shd w:val="clear" w:color="auto" w:fill="auto"/>
            <w:tcMar>
              <w:top w:w="40" w:type="dxa"/>
              <w:left w:w="20" w:type="dxa"/>
              <w:bottom w:w="40" w:type="dxa"/>
              <w:right w:w="20" w:type="dxa"/>
            </w:tcMar>
            <w:vAlign w:val="center"/>
          </w:tcPr>
          <w:p w14:paraId="74DE257B" w14:textId="77777777" w:rsidR="00584EC1" w:rsidRDefault="00871F8D">
            <w:pPr>
              <w:textAlignment w:val="center"/>
            </w:pPr>
            <w:r>
              <w:rPr>
                <w:rFonts w:ascii="Arial" w:eastAsia="宋体" w:hAnsi="Arial" w:cs="Arial"/>
                <w:color w:val="000000"/>
                <w:sz w:val="16"/>
                <w:szCs w:val="16"/>
              </w:rPr>
              <w:t>MMLF</w:t>
            </w:r>
          </w:p>
        </w:tc>
        <w:tc>
          <w:tcPr>
            <w:tcW w:w="0" w:type="auto"/>
            <w:gridSpan w:val="3"/>
            <w:shd w:val="clear" w:color="auto" w:fill="auto"/>
            <w:tcMar>
              <w:top w:w="40" w:type="dxa"/>
              <w:left w:w="20" w:type="dxa"/>
              <w:bottom w:w="40" w:type="dxa"/>
              <w:right w:w="20" w:type="dxa"/>
            </w:tcMar>
            <w:vAlign w:val="center"/>
          </w:tcPr>
          <w:p w14:paraId="74DE257C" w14:textId="77777777" w:rsidR="00584EC1" w:rsidRDefault="00871F8D">
            <w:pPr>
              <w:textAlignment w:val="center"/>
            </w:pPr>
            <w:r>
              <w:rPr>
                <w:rFonts w:ascii="Arial" w:eastAsia="宋体" w:hAnsi="Arial" w:cs="Arial"/>
                <w:color w:val="000000"/>
                <w:sz w:val="16"/>
                <w:szCs w:val="16"/>
              </w:rPr>
              <w:t>Money Market Mutual Fund Liquidity Facility</w:t>
            </w:r>
          </w:p>
        </w:tc>
      </w:tr>
      <w:tr w:rsidR="00584EC1" w14:paraId="74DE2582" w14:textId="77777777">
        <w:tc>
          <w:tcPr>
            <w:tcW w:w="0" w:type="auto"/>
            <w:gridSpan w:val="3"/>
            <w:shd w:val="clear" w:color="auto" w:fill="auto"/>
            <w:tcMar>
              <w:top w:w="40" w:type="dxa"/>
              <w:left w:w="20" w:type="dxa"/>
              <w:bottom w:w="40" w:type="dxa"/>
              <w:right w:w="20" w:type="dxa"/>
            </w:tcMar>
            <w:vAlign w:val="center"/>
          </w:tcPr>
          <w:p w14:paraId="74DE257E" w14:textId="77777777" w:rsidR="00584EC1" w:rsidRDefault="00871F8D">
            <w:pPr>
              <w:textAlignment w:val="center"/>
            </w:pPr>
            <w:r>
              <w:rPr>
                <w:rFonts w:ascii="Arial" w:eastAsia="宋体" w:hAnsi="Arial" w:cs="Arial"/>
                <w:color w:val="000000"/>
                <w:sz w:val="16"/>
                <w:szCs w:val="16"/>
              </w:rPr>
              <w:t>CET1</w:t>
            </w:r>
            <w:r>
              <w:rPr>
                <w:rFonts w:ascii="Arial" w:eastAsia="宋体" w:hAnsi="Arial" w:cs="Arial"/>
                <w:color w:val="000000"/>
                <w:sz w:val="10"/>
                <w:szCs w:val="10"/>
              </w:rPr>
              <w:t>(1)</w:t>
            </w:r>
          </w:p>
        </w:tc>
        <w:tc>
          <w:tcPr>
            <w:tcW w:w="0" w:type="auto"/>
            <w:gridSpan w:val="3"/>
            <w:shd w:val="clear" w:color="auto" w:fill="auto"/>
            <w:tcMar>
              <w:top w:w="40" w:type="dxa"/>
              <w:left w:w="20" w:type="dxa"/>
              <w:bottom w:w="40" w:type="dxa"/>
              <w:right w:w="20" w:type="dxa"/>
            </w:tcMar>
            <w:vAlign w:val="center"/>
          </w:tcPr>
          <w:p w14:paraId="74DE257F" w14:textId="77777777" w:rsidR="00584EC1" w:rsidRDefault="00871F8D">
            <w:pPr>
              <w:textAlignment w:val="center"/>
            </w:pPr>
            <w:r>
              <w:rPr>
                <w:rFonts w:ascii="Arial" w:eastAsia="宋体" w:hAnsi="Arial" w:cs="Arial"/>
                <w:color w:val="000000"/>
                <w:sz w:val="16"/>
                <w:szCs w:val="16"/>
              </w:rPr>
              <w:t>Common equity tier 1</w:t>
            </w:r>
          </w:p>
        </w:tc>
        <w:tc>
          <w:tcPr>
            <w:tcW w:w="0" w:type="auto"/>
            <w:gridSpan w:val="3"/>
            <w:shd w:val="clear" w:color="auto" w:fill="auto"/>
            <w:tcMar>
              <w:top w:w="40" w:type="dxa"/>
              <w:left w:w="20" w:type="dxa"/>
              <w:bottom w:w="40" w:type="dxa"/>
              <w:right w:w="20" w:type="dxa"/>
            </w:tcMar>
            <w:vAlign w:val="center"/>
          </w:tcPr>
          <w:p w14:paraId="74DE2580" w14:textId="77777777" w:rsidR="00584EC1" w:rsidRDefault="00871F8D">
            <w:pPr>
              <w:textAlignment w:val="center"/>
            </w:pPr>
            <w:r>
              <w:rPr>
                <w:rFonts w:ascii="Arial" w:eastAsia="宋体" w:hAnsi="Arial" w:cs="Arial"/>
                <w:color w:val="000000"/>
                <w:sz w:val="16"/>
                <w:szCs w:val="16"/>
              </w:rPr>
              <w:t>NII</w:t>
            </w:r>
          </w:p>
        </w:tc>
        <w:tc>
          <w:tcPr>
            <w:tcW w:w="0" w:type="auto"/>
            <w:gridSpan w:val="3"/>
            <w:shd w:val="clear" w:color="auto" w:fill="auto"/>
            <w:tcMar>
              <w:top w:w="40" w:type="dxa"/>
              <w:left w:w="20" w:type="dxa"/>
              <w:bottom w:w="40" w:type="dxa"/>
              <w:right w:w="20" w:type="dxa"/>
            </w:tcMar>
            <w:vAlign w:val="center"/>
          </w:tcPr>
          <w:p w14:paraId="74DE2581" w14:textId="77777777" w:rsidR="00584EC1" w:rsidRDefault="00871F8D">
            <w:pPr>
              <w:textAlignment w:val="center"/>
            </w:pPr>
            <w:r>
              <w:rPr>
                <w:rFonts w:ascii="Arial" w:eastAsia="宋体" w:hAnsi="Arial" w:cs="Arial"/>
                <w:color w:val="000000"/>
                <w:sz w:val="16"/>
                <w:szCs w:val="16"/>
              </w:rPr>
              <w:t>Net interest income</w:t>
            </w:r>
          </w:p>
        </w:tc>
      </w:tr>
      <w:tr w:rsidR="00584EC1" w14:paraId="74DE2587" w14:textId="77777777">
        <w:tc>
          <w:tcPr>
            <w:tcW w:w="0" w:type="auto"/>
            <w:gridSpan w:val="3"/>
            <w:shd w:val="clear" w:color="auto" w:fill="auto"/>
            <w:tcMar>
              <w:top w:w="40" w:type="dxa"/>
              <w:left w:w="20" w:type="dxa"/>
              <w:bottom w:w="40" w:type="dxa"/>
              <w:right w:w="20" w:type="dxa"/>
            </w:tcMar>
            <w:vAlign w:val="center"/>
          </w:tcPr>
          <w:p w14:paraId="74DE2583" w14:textId="77777777" w:rsidR="00584EC1" w:rsidRDefault="00871F8D">
            <w:pPr>
              <w:textAlignment w:val="center"/>
            </w:pPr>
            <w:r>
              <w:rPr>
                <w:rFonts w:ascii="Arial" w:eastAsia="宋体" w:hAnsi="Arial" w:cs="Arial"/>
                <w:color w:val="000000"/>
                <w:sz w:val="16"/>
                <w:szCs w:val="16"/>
              </w:rPr>
              <w:t>CFTC</w:t>
            </w:r>
          </w:p>
        </w:tc>
        <w:tc>
          <w:tcPr>
            <w:tcW w:w="0" w:type="auto"/>
            <w:gridSpan w:val="3"/>
            <w:shd w:val="clear" w:color="auto" w:fill="auto"/>
            <w:tcMar>
              <w:top w:w="40" w:type="dxa"/>
              <w:left w:w="20" w:type="dxa"/>
              <w:bottom w:w="40" w:type="dxa"/>
              <w:right w:w="20" w:type="dxa"/>
            </w:tcMar>
            <w:vAlign w:val="center"/>
          </w:tcPr>
          <w:p w14:paraId="74DE2584" w14:textId="77777777" w:rsidR="00584EC1" w:rsidRDefault="00871F8D">
            <w:pPr>
              <w:textAlignment w:val="center"/>
            </w:pPr>
            <w:r>
              <w:rPr>
                <w:rFonts w:ascii="Arial" w:eastAsia="宋体" w:hAnsi="Arial" w:cs="Arial"/>
                <w:color w:val="000000"/>
                <w:sz w:val="16"/>
                <w:szCs w:val="16"/>
              </w:rPr>
              <w:t>Commodity Futures Trading Commission</w:t>
            </w:r>
          </w:p>
        </w:tc>
        <w:tc>
          <w:tcPr>
            <w:tcW w:w="0" w:type="auto"/>
            <w:gridSpan w:val="3"/>
            <w:shd w:val="clear" w:color="auto" w:fill="auto"/>
            <w:tcMar>
              <w:top w:w="40" w:type="dxa"/>
              <w:left w:w="20" w:type="dxa"/>
              <w:bottom w:w="40" w:type="dxa"/>
              <w:right w:w="20" w:type="dxa"/>
            </w:tcMar>
            <w:vAlign w:val="center"/>
          </w:tcPr>
          <w:p w14:paraId="74DE2585" w14:textId="77777777" w:rsidR="00584EC1" w:rsidRDefault="00871F8D">
            <w:pPr>
              <w:textAlignment w:val="center"/>
            </w:pPr>
            <w:r>
              <w:rPr>
                <w:rFonts w:ascii="Arial" w:eastAsia="宋体" w:hAnsi="Arial" w:cs="Arial"/>
                <w:color w:val="000000"/>
                <w:sz w:val="16"/>
                <w:szCs w:val="16"/>
              </w:rPr>
              <w:t>NIM</w:t>
            </w:r>
          </w:p>
        </w:tc>
        <w:tc>
          <w:tcPr>
            <w:tcW w:w="0" w:type="auto"/>
            <w:gridSpan w:val="3"/>
            <w:shd w:val="clear" w:color="auto" w:fill="auto"/>
            <w:tcMar>
              <w:top w:w="40" w:type="dxa"/>
              <w:left w:w="20" w:type="dxa"/>
              <w:bottom w:w="40" w:type="dxa"/>
              <w:right w:w="20" w:type="dxa"/>
            </w:tcMar>
            <w:vAlign w:val="center"/>
          </w:tcPr>
          <w:p w14:paraId="74DE2586" w14:textId="77777777" w:rsidR="00584EC1" w:rsidRDefault="00871F8D">
            <w:pPr>
              <w:textAlignment w:val="center"/>
            </w:pPr>
            <w:r>
              <w:rPr>
                <w:rFonts w:ascii="Arial" w:eastAsia="宋体" w:hAnsi="Arial" w:cs="Arial"/>
                <w:color w:val="000000"/>
                <w:sz w:val="16"/>
                <w:szCs w:val="16"/>
              </w:rPr>
              <w:t>Net interest margin</w:t>
            </w:r>
          </w:p>
        </w:tc>
      </w:tr>
      <w:tr w:rsidR="00584EC1" w14:paraId="74DE258C" w14:textId="77777777">
        <w:tc>
          <w:tcPr>
            <w:tcW w:w="0" w:type="auto"/>
            <w:gridSpan w:val="3"/>
            <w:shd w:val="clear" w:color="auto" w:fill="auto"/>
            <w:tcMar>
              <w:top w:w="40" w:type="dxa"/>
              <w:left w:w="20" w:type="dxa"/>
              <w:bottom w:w="40" w:type="dxa"/>
              <w:right w:w="20" w:type="dxa"/>
            </w:tcMar>
            <w:vAlign w:val="center"/>
          </w:tcPr>
          <w:p w14:paraId="74DE2588" w14:textId="77777777" w:rsidR="00584EC1" w:rsidRDefault="00871F8D">
            <w:pPr>
              <w:textAlignment w:val="center"/>
            </w:pPr>
            <w:r>
              <w:rPr>
                <w:rFonts w:ascii="Arial" w:eastAsia="宋体" w:hAnsi="Arial" w:cs="Arial"/>
                <w:color w:val="000000"/>
                <w:sz w:val="16"/>
                <w:szCs w:val="16"/>
              </w:rPr>
              <w:t>CIS</w:t>
            </w:r>
          </w:p>
        </w:tc>
        <w:tc>
          <w:tcPr>
            <w:tcW w:w="0" w:type="auto"/>
            <w:gridSpan w:val="3"/>
            <w:shd w:val="clear" w:color="auto" w:fill="auto"/>
            <w:tcMar>
              <w:top w:w="40" w:type="dxa"/>
              <w:left w:w="20" w:type="dxa"/>
              <w:bottom w:w="40" w:type="dxa"/>
              <w:right w:w="20" w:type="dxa"/>
            </w:tcMar>
            <w:vAlign w:val="center"/>
          </w:tcPr>
          <w:p w14:paraId="74DE2589" w14:textId="77777777" w:rsidR="00584EC1" w:rsidRDefault="00871F8D">
            <w:pPr>
              <w:textAlignment w:val="center"/>
            </w:pPr>
            <w:r>
              <w:rPr>
                <w:rFonts w:ascii="Arial" w:eastAsia="宋体" w:hAnsi="Arial" w:cs="Arial"/>
                <w:color w:val="000000"/>
                <w:sz w:val="16"/>
                <w:szCs w:val="16"/>
              </w:rPr>
              <w:t>Corporate Information Security</w:t>
            </w:r>
          </w:p>
        </w:tc>
        <w:tc>
          <w:tcPr>
            <w:tcW w:w="0" w:type="auto"/>
            <w:gridSpan w:val="3"/>
            <w:shd w:val="clear" w:color="auto" w:fill="auto"/>
            <w:tcMar>
              <w:top w:w="40" w:type="dxa"/>
              <w:left w:w="20" w:type="dxa"/>
              <w:bottom w:w="40" w:type="dxa"/>
              <w:right w:w="20" w:type="dxa"/>
            </w:tcMar>
            <w:vAlign w:val="center"/>
          </w:tcPr>
          <w:p w14:paraId="74DE258A" w14:textId="77777777" w:rsidR="00584EC1" w:rsidRDefault="00871F8D">
            <w:pPr>
              <w:textAlignment w:val="center"/>
            </w:pPr>
            <w:r>
              <w:rPr>
                <w:rFonts w:ascii="Arial" w:eastAsia="宋体" w:hAnsi="Arial" w:cs="Arial"/>
                <w:color w:val="000000"/>
                <w:sz w:val="16"/>
                <w:szCs w:val="16"/>
              </w:rPr>
              <w:t>OTC</w:t>
            </w:r>
          </w:p>
        </w:tc>
        <w:tc>
          <w:tcPr>
            <w:tcW w:w="0" w:type="auto"/>
            <w:gridSpan w:val="3"/>
            <w:shd w:val="clear" w:color="auto" w:fill="auto"/>
            <w:tcMar>
              <w:top w:w="40" w:type="dxa"/>
              <w:left w:w="20" w:type="dxa"/>
              <w:bottom w:w="40" w:type="dxa"/>
              <w:right w:w="20" w:type="dxa"/>
            </w:tcMar>
            <w:vAlign w:val="center"/>
          </w:tcPr>
          <w:p w14:paraId="74DE258B" w14:textId="77777777" w:rsidR="00584EC1" w:rsidRDefault="00871F8D">
            <w:pPr>
              <w:textAlignment w:val="center"/>
            </w:pPr>
            <w:r>
              <w:rPr>
                <w:rFonts w:ascii="Arial" w:eastAsia="宋体" w:hAnsi="Arial" w:cs="Arial"/>
                <w:color w:val="000000"/>
                <w:sz w:val="16"/>
                <w:szCs w:val="16"/>
              </w:rPr>
              <w:t>Over-the-counter</w:t>
            </w:r>
          </w:p>
        </w:tc>
      </w:tr>
      <w:tr w:rsidR="00584EC1" w14:paraId="74DE2591" w14:textId="77777777">
        <w:tc>
          <w:tcPr>
            <w:tcW w:w="0" w:type="auto"/>
            <w:gridSpan w:val="3"/>
            <w:shd w:val="clear" w:color="auto" w:fill="auto"/>
            <w:tcMar>
              <w:top w:w="40" w:type="dxa"/>
              <w:left w:w="20" w:type="dxa"/>
              <w:bottom w:w="40" w:type="dxa"/>
              <w:right w:w="20" w:type="dxa"/>
            </w:tcMar>
            <w:vAlign w:val="center"/>
          </w:tcPr>
          <w:p w14:paraId="74DE258D" w14:textId="77777777" w:rsidR="00584EC1" w:rsidRDefault="00871F8D">
            <w:pPr>
              <w:textAlignment w:val="center"/>
            </w:pPr>
            <w:r>
              <w:rPr>
                <w:rFonts w:ascii="Arial" w:eastAsia="宋体" w:hAnsi="Arial" w:cs="Arial"/>
                <w:color w:val="000000"/>
                <w:sz w:val="16"/>
                <w:szCs w:val="16"/>
              </w:rPr>
              <w:t>CLO</w:t>
            </w:r>
          </w:p>
        </w:tc>
        <w:tc>
          <w:tcPr>
            <w:tcW w:w="0" w:type="auto"/>
            <w:gridSpan w:val="3"/>
            <w:shd w:val="clear" w:color="auto" w:fill="auto"/>
            <w:tcMar>
              <w:top w:w="40" w:type="dxa"/>
              <w:left w:w="20" w:type="dxa"/>
              <w:bottom w:w="40" w:type="dxa"/>
              <w:right w:w="20" w:type="dxa"/>
            </w:tcMar>
            <w:vAlign w:val="center"/>
          </w:tcPr>
          <w:p w14:paraId="74DE258E" w14:textId="77777777" w:rsidR="00584EC1" w:rsidRDefault="00871F8D">
            <w:pPr>
              <w:textAlignment w:val="center"/>
            </w:pPr>
            <w:r>
              <w:rPr>
                <w:rFonts w:ascii="Arial" w:eastAsia="宋体" w:hAnsi="Arial" w:cs="Arial"/>
                <w:color w:val="000000"/>
                <w:sz w:val="16"/>
                <w:szCs w:val="16"/>
              </w:rPr>
              <w:t>Collateralized Loan Obligation</w:t>
            </w:r>
          </w:p>
        </w:tc>
        <w:tc>
          <w:tcPr>
            <w:tcW w:w="0" w:type="auto"/>
            <w:gridSpan w:val="3"/>
            <w:shd w:val="clear" w:color="auto" w:fill="auto"/>
            <w:tcMar>
              <w:top w:w="40" w:type="dxa"/>
              <w:left w:w="20" w:type="dxa"/>
              <w:bottom w:w="40" w:type="dxa"/>
              <w:right w:w="20" w:type="dxa"/>
            </w:tcMar>
            <w:vAlign w:val="center"/>
          </w:tcPr>
          <w:p w14:paraId="74DE258F" w14:textId="77777777" w:rsidR="00584EC1" w:rsidRDefault="00871F8D">
            <w:pPr>
              <w:textAlignment w:val="center"/>
            </w:pPr>
            <w:r>
              <w:rPr>
                <w:rFonts w:ascii="Arial" w:eastAsia="宋体" w:hAnsi="Arial" w:cs="Arial"/>
                <w:color w:val="000000"/>
                <w:sz w:val="16"/>
                <w:szCs w:val="16"/>
              </w:rPr>
              <w:t>PCAOB</w:t>
            </w:r>
          </w:p>
        </w:tc>
        <w:tc>
          <w:tcPr>
            <w:tcW w:w="0" w:type="auto"/>
            <w:gridSpan w:val="3"/>
            <w:shd w:val="clear" w:color="auto" w:fill="auto"/>
            <w:tcMar>
              <w:top w:w="40" w:type="dxa"/>
              <w:left w:w="20" w:type="dxa"/>
              <w:bottom w:w="40" w:type="dxa"/>
              <w:right w:w="20" w:type="dxa"/>
            </w:tcMar>
            <w:vAlign w:val="center"/>
          </w:tcPr>
          <w:p w14:paraId="74DE2590" w14:textId="77777777" w:rsidR="00584EC1" w:rsidRDefault="00871F8D">
            <w:pPr>
              <w:textAlignment w:val="center"/>
            </w:pPr>
            <w:r>
              <w:rPr>
                <w:rFonts w:ascii="Arial" w:eastAsia="宋体" w:hAnsi="Arial" w:cs="Arial"/>
                <w:color w:val="000000"/>
                <w:sz w:val="16"/>
                <w:szCs w:val="16"/>
              </w:rPr>
              <w:t>Public Company Accounting Oversight Board</w:t>
            </w:r>
          </w:p>
        </w:tc>
      </w:tr>
      <w:tr w:rsidR="00584EC1" w14:paraId="74DE2596" w14:textId="77777777">
        <w:tc>
          <w:tcPr>
            <w:tcW w:w="0" w:type="auto"/>
            <w:gridSpan w:val="3"/>
            <w:shd w:val="clear" w:color="auto" w:fill="auto"/>
            <w:tcMar>
              <w:top w:w="40" w:type="dxa"/>
              <w:left w:w="20" w:type="dxa"/>
              <w:bottom w:w="40" w:type="dxa"/>
              <w:right w:w="20" w:type="dxa"/>
            </w:tcMar>
            <w:vAlign w:val="center"/>
          </w:tcPr>
          <w:p w14:paraId="74DE2592" w14:textId="77777777" w:rsidR="00584EC1" w:rsidRDefault="00871F8D">
            <w:pPr>
              <w:textAlignment w:val="center"/>
            </w:pPr>
            <w:r>
              <w:rPr>
                <w:rFonts w:ascii="Arial" w:eastAsia="宋体" w:hAnsi="Arial" w:cs="Arial"/>
                <w:color w:val="000000"/>
                <w:sz w:val="16"/>
                <w:szCs w:val="16"/>
              </w:rPr>
              <w:t>CVA</w:t>
            </w:r>
          </w:p>
        </w:tc>
        <w:tc>
          <w:tcPr>
            <w:tcW w:w="0" w:type="auto"/>
            <w:gridSpan w:val="3"/>
            <w:shd w:val="clear" w:color="auto" w:fill="auto"/>
            <w:tcMar>
              <w:top w:w="40" w:type="dxa"/>
              <w:left w:w="20" w:type="dxa"/>
              <w:bottom w:w="40" w:type="dxa"/>
              <w:right w:w="20" w:type="dxa"/>
            </w:tcMar>
            <w:vAlign w:val="center"/>
          </w:tcPr>
          <w:p w14:paraId="74DE2593" w14:textId="77777777" w:rsidR="00584EC1" w:rsidRDefault="00871F8D">
            <w:pPr>
              <w:textAlignment w:val="center"/>
            </w:pPr>
            <w:r>
              <w:rPr>
                <w:rFonts w:ascii="Arial" w:eastAsia="宋体" w:hAnsi="Arial" w:cs="Arial"/>
                <w:color w:val="000000"/>
                <w:sz w:val="16"/>
                <w:szCs w:val="16"/>
              </w:rPr>
              <w:t xml:space="preserve">Credit </w:t>
            </w:r>
            <w:r>
              <w:rPr>
                <w:rFonts w:ascii="Arial" w:eastAsia="宋体" w:hAnsi="Arial" w:cs="Arial"/>
                <w:color w:val="000000"/>
                <w:sz w:val="16"/>
                <w:szCs w:val="16"/>
              </w:rPr>
              <w:t>valuation adjustment</w:t>
            </w:r>
          </w:p>
        </w:tc>
        <w:tc>
          <w:tcPr>
            <w:tcW w:w="0" w:type="auto"/>
            <w:gridSpan w:val="3"/>
            <w:shd w:val="clear" w:color="auto" w:fill="auto"/>
            <w:tcMar>
              <w:top w:w="40" w:type="dxa"/>
              <w:left w:w="20" w:type="dxa"/>
              <w:bottom w:w="40" w:type="dxa"/>
              <w:right w:w="20" w:type="dxa"/>
            </w:tcMar>
            <w:vAlign w:val="center"/>
          </w:tcPr>
          <w:p w14:paraId="74DE2594" w14:textId="77777777" w:rsidR="00584EC1" w:rsidRDefault="00871F8D">
            <w:pPr>
              <w:textAlignment w:val="center"/>
            </w:pPr>
            <w:r>
              <w:rPr>
                <w:rFonts w:ascii="Arial" w:eastAsia="宋体" w:hAnsi="Arial" w:cs="Arial"/>
                <w:color w:val="000000"/>
                <w:sz w:val="16"/>
                <w:szCs w:val="16"/>
              </w:rPr>
              <w:t>P&amp;L</w:t>
            </w:r>
          </w:p>
        </w:tc>
        <w:tc>
          <w:tcPr>
            <w:tcW w:w="0" w:type="auto"/>
            <w:gridSpan w:val="3"/>
            <w:shd w:val="clear" w:color="auto" w:fill="auto"/>
            <w:tcMar>
              <w:top w:w="40" w:type="dxa"/>
              <w:left w:w="20" w:type="dxa"/>
              <w:bottom w:w="40" w:type="dxa"/>
              <w:right w:w="20" w:type="dxa"/>
            </w:tcMar>
            <w:vAlign w:val="center"/>
          </w:tcPr>
          <w:p w14:paraId="74DE2595" w14:textId="77777777" w:rsidR="00584EC1" w:rsidRDefault="00871F8D">
            <w:pPr>
              <w:textAlignment w:val="center"/>
            </w:pPr>
            <w:r>
              <w:rPr>
                <w:rFonts w:ascii="Arial" w:eastAsia="宋体" w:hAnsi="Arial" w:cs="Arial"/>
                <w:color w:val="000000"/>
                <w:sz w:val="16"/>
                <w:szCs w:val="16"/>
              </w:rPr>
              <w:t>Profit-and-loss</w:t>
            </w:r>
          </w:p>
        </w:tc>
      </w:tr>
      <w:tr w:rsidR="00584EC1" w14:paraId="74DE259B" w14:textId="77777777">
        <w:tc>
          <w:tcPr>
            <w:tcW w:w="0" w:type="auto"/>
            <w:gridSpan w:val="3"/>
            <w:shd w:val="clear" w:color="auto" w:fill="auto"/>
            <w:tcMar>
              <w:top w:w="40" w:type="dxa"/>
              <w:left w:w="20" w:type="dxa"/>
              <w:bottom w:w="40" w:type="dxa"/>
              <w:right w:w="20" w:type="dxa"/>
            </w:tcMar>
            <w:vAlign w:val="center"/>
          </w:tcPr>
          <w:p w14:paraId="74DE2597" w14:textId="77777777" w:rsidR="00584EC1" w:rsidRDefault="00871F8D">
            <w:pPr>
              <w:textAlignment w:val="center"/>
            </w:pPr>
            <w:r>
              <w:rPr>
                <w:rFonts w:ascii="Arial" w:eastAsia="宋体" w:hAnsi="Arial" w:cs="Arial"/>
                <w:color w:val="000000"/>
                <w:sz w:val="16"/>
                <w:szCs w:val="16"/>
              </w:rPr>
              <w:t>DOJ</w:t>
            </w:r>
          </w:p>
        </w:tc>
        <w:tc>
          <w:tcPr>
            <w:tcW w:w="0" w:type="auto"/>
            <w:gridSpan w:val="3"/>
            <w:shd w:val="clear" w:color="auto" w:fill="auto"/>
            <w:tcMar>
              <w:top w:w="40" w:type="dxa"/>
              <w:left w:w="20" w:type="dxa"/>
              <w:bottom w:w="40" w:type="dxa"/>
              <w:right w:w="20" w:type="dxa"/>
            </w:tcMar>
            <w:vAlign w:val="center"/>
          </w:tcPr>
          <w:p w14:paraId="74DE2598" w14:textId="77777777" w:rsidR="00584EC1" w:rsidRDefault="00871F8D">
            <w:pPr>
              <w:textAlignment w:val="center"/>
            </w:pPr>
            <w:r>
              <w:rPr>
                <w:rFonts w:ascii="Arial" w:eastAsia="宋体" w:hAnsi="Arial" w:cs="Arial"/>
                <w:color w:val="000000"/>
                <w:sz w:val="16"/>
                <w:szCs w:val="16"/>
              </w:rPr>
              <w:t>Department of Justice</w:t>
            </w:r>
          </w:p>
        </w:tc>
        <w:tc>
          <w:tcPr>
            <w:tcW w:w="0" w:type="auto"/>
            <w:gridSpan w:val="3"/>
            <w:shd w:val="clear" w:color="auto" w:fill="auto"/>
            <w:tcMar>
              <w:top w:w="40" w:type="dxa"/>
              <w:left w:w="20" w:type="dxa"/>
              <w:bottom w:w="40" w:type="dxa"/>
              <w:right w:w="20" w:type="dxa"/>
            </w:tcMar>
            <w:vAlign w:val="center"/>
          </w:tcPr>
          <w:p w14:paraId="74DE2599" w14:textId="77777777" w:rsidR="00584EC1" w:rsidRDefault="00871F8D">
            <w:pPr>
              <w:textAlignment w:val="center"/>
            </w:pPr>
            <w:r>
              <w:rPr>
                <w:rFonts w:ascii="Arial" w:eastAsia="宋体" w:hAnsi="Arial" w:cs="Arial"/>
                <w:color w:val="000000"/>
                <w:sz w:val="16"/>
                <w:szCs w:val="16"/>
              </w:rPr>
              <w:t>RWA</w:t>
            </w:r>
            <w:r>
              <w:rPr>
                <w:rFonts w:ascii="Arial" w:eastAsia="宋体" w:hAnsi="Arial" w:cs="Arial"/>
                <w:color w:val="000000"/>
                <w:sz w:val="10"/>
                <w:szCs w:val="10"/>
              </w:rPr>
              <w:t>(1)</w:t>
            </w:r>
          </w:p>
        </w:tc>
        <w:tc>
          <w:tcPr>
            <w:tcW w:w="0" w:type="auto"/>
            <w:gridSpan w:val="3"/>
            <w:shd w:val="clear" w:color="auto" w:fill="auto"/>
            <w:tcMar>
              <w:top w:w="40" w:type="dxa"/>
              <w:left w:w="20" w:type="dxa"/>
              <w:bottom w:w="40" w:type="dxa"/>
              <w:right w:w="20" w:type="dxa"/>
            </w:tcMar>
            <w:vAlign w:val="center"/>
          </w:tcPr>
          <w:p w14:paraId="74DE259A" w14:textId="77777777" w:rsidR="00584EC1" w:rsidRDefault="00871F8D">
            <w:pPr>
              <w:textAlignment w:val="center"/>
            </w:pPr>
            <w:r>
              <w:rPr>
                <w:rFonts w:ascii="Arial" w:eastAsia="宋体" w:hAnsi="Arial" w:cs="Arial"/>
                <w:color w:val="000000"/>
                <w:sz w:val="16"/>
                <w:szCs w:val="16"/>
              </w:rPr>
              <w:t>Risk-weighted asset</w:t>
            </w:r>
          </w:p>
        </w:tc>
      </w:tr>
      <w:tr w:rsidR="00584EC1" w14:paraId="74DE25A0" w14:textId="77777777">
        <w:tc>
          <w:tcPr>
            <w:tcW w:w="0" w:type="auto"/>
            <w:gridSpan w:val="3"/>
            <w:shd w:val="clear" w:color="auto" w:fill="auto"/>
            <w:tcMar>
              <w:top w:w="40" w:type="dxa"/>
              <w:left w:w="20" w:type="dxa"/>
              <w:bottom w:w="40" w:type="dxa"/>
              <w:right w:w="20" w:type="dxa"/>
            </w:tcMar>
            <w:vAlign w:val="center"/>
          </w:tcPr>
          <w:p w14:paraId="74DE259C" w14:textId="77777777" w:rsidR="00584EC1" w:rsidRDefault="00871F8D">
            <w:pPr>
              <w:textAlignment w:val="center"/>
            </w:pPr>
            <w:r>
              <w:rPr>
                <w:rFonts w:ascii="Arial" w:eastAsia="宋体" w:hAnsi="Arial" w:cs="Arial"/>
                <w:color w:val="000000"/>
                <w:sz w:val="16"/>
                <w:szCs w:val="16"/>
              </w:rPr>
              <w:t>DOL</w:t>
            </w:r>
          </w:p>
        </w:tc>
        <w:tc>
          <w:tcPr>
            <w:tcW w:w="0" w:type="auto"/>
            <w:gridSpan w:val="3"/>
            <w:shd w:val="clear" w:color="auto" w:fill="auto"/>
            <w:tcMar>
              <w:top w:w="40" w:type="dxa"/>
              <w:left w:w="20" w:type="dxa"/>
              <w:bottom w:w="40" w:type="dxa"/>
              <w:right w:w="20" w:type="dxa"/>
            </w:tcMar>
            <w:vAlign w:val="center"/>
          </w:tcPr>
          <w:p w14:paraId="74DE259D" w14:textId="77777777" w:rsidR="00584EC1" w:rsidRDefault="00871F8D">
            <w:pPr>
              <w:textAlignment w:val="center"/>
            </w:pPr>
            <w:r>
              <w:rPr>
                <w:rFonts w:ascii="Arial" w:eastAsia="宋体" w:hAnsi="Arial" w:cs="Arial"/>
                <w:color w:val="000000"/>
                <w:sz w:val="16"/>
                <w:szCs w:val="16"/>
              </w:rPr>
              <w:t>Department of Labor</w:t>
            </w:r>
          </w:p>
        </w:tc>
        <w:tc>
          <w:tcPr>
            <w:tcW w:w="0" w:type="auto"/>
            <w:gridSpan w:val="3"/>
            <w:shd w:val="clear" w:color="auto" w:fill="auto"/>
            <w:tcMar>
              <w:top w:w="40" w:type="dxa"/>
              <w:left w:w="20" w:type="dxa"/>
              <w:bottom w:w="40" w:type="dxa"/>
              <w:right w:w="20" w:type="dxa"/>
            </w:tcMar>
            <w:vAlign w:val="center"/>
          </w:tcPr>
          <w:p w14:paraId="74DE259E" w14:textId="77777777" w:rsidR="00584EC1" w:rsidRDefault="00871F8D">
            <w:pPr>
              <w:textAlignment w:val="center"/>
            </w:pPr>
            <w:r>
              <w:rPr>
                <w:rFonts w:ascii="Arial" w:eastAsia="宋体" w:hAnsi="Arial" w:cs="Arial"/>
                <w:color w:val="000000"/>
                <w:sz w:val="16"/>
                <w:szCs w:val="16"/>
              </w:rPr>
              <w:t>SCB</w:t>
            </w:r>
          </w:p>
        </w:tc>
        <w:tc>
          <w:tcPr>
            <w:tcW w:w="0" w:type="auto"/>
            <w:gridSpan w:val="3"/>
            <w:shd w:val="clear" w:color="auto" w:fill="auto"/>
            <w:tcMar>
              <w:top w:w="40" w:type="dxa"/>
              <w:left w:w="20" w:type="dxa"/>
              <w:bottom w:w="40" w:type="dxa"/>
              <w:right w:w="20" w:type="dxa"/>
            </w:tcMar>
            <w:vAlign w:val="center"/>
          </w:tcPr>
          <w:p w14:paraId="74DE259F" w14:textId="77777777" w:rsidR="00584EC1" w:rsidRDefault="00871F8D">
            <w:pPr>
              <w:textAlignment w:val="center"/>
            </w:pPr>
            <w:r>
              <w:rPr>
                <w:rFonts w:ascii="Arial" w:eastAsia="宋体" w:hAnsi="Arial" w:cs="Arial"/>
                <w:color w:val="000000"/>
                <w:sz w:val="16"/>
                <w:szCs w:val="16"/>
              </w:rPr>
              <w:t>Stress Capital Buffer</w:t>
            </w:r>
          </w:p>
        </w:tc>
      </w:tr>
      <w:tr w:rsidR="00584EC1" w14:paraId="74DE25A5" w14:textId="77777777">
        <w:tc>
          <w:tcPr>
            <w:tcW w:w="0" w:type="auto"/>
            <w:gridSpan w:val="3"/>
            <w:shd w:val="clear" w:color="auto" w:fill="auto"/>
            <w:tcMar>
              <w:top w:w="40" w:type="dxa"/>
              <w:left w:w="20" w:type="dxa"/>
              <w:bottom w:w="40" w:type="dxa"/>
              <w:right w:w="20" w:type="dxa"/>
            </w:tcMar>
            <w:vAlign w:val="center"/>
          </w:tcPr>
          <w:p w14:paraId="74DE25A1" w14:textId="77777777" w:rsidR="00584EC1" w:rsidRDefault="00871F8D">
            <w:pPr>
              <w:textAlignment w:val="center"/>
            </w:pPr>
            <w:r>
              <w:rPr>
                <w:rFonts w:ascii="Arial" w:eastAsia="宋体" w:hAnsi="Arial" w:cs="Arial"/>
                <w:color w:val="000000"/>
                <w:sz w:val="16"/>
                <w:szCs w:val="16"/>
              </w:rPr>
              <w:t>ECB</w:t>
            </w:r>
          </w:p>
        </w:tc>
        <w:tc>
          <w:tcPr>
            <w:tcW w:w="0" w:type="auto"/>
            <w:gridSpan w:val="3"/>
            <w:shd w:val="clear" w:color="auto" w:fill="auto"/>
            <w:tcMar>
              <w:top w:w="40" w:type="dxa"/>
              <w:left w:w="20" w:type="dxa"/>
              <w:bottom w:w="40" w:type="dxa"/>
              <w:right w:w="20" w:type="dxa"/>
            </w:tcMar>
            <w:vAlign w:val="center"/>
          </w:tcPr>
          <w:p w14:paraId="74DE25A2" w14:textId="77777777" w:rsidR="00584EC1" w:rsidRDefault="00871F8D">
            <w:pPr>
              <w:textAlignment w:val="center"/>
            </w:pPr>
            <w:r>
              <w:rPr>
                <w:rFonts w:ascii="Arial" w:eastAsia="宋体" w:hAnsi="Arial" w:cs="Arial"/>
                <w:color w:val="000000"/>
                <w:sz w:val="16"/>
                <w:szCs w:val="16"/>
              </w:rPr>
              <w:t>European Central Bank</w:t>
            </w:r>
          </w:p>
        </w:tc>
        <w:tc>
          <w:tcPr>
            <w:tcW w:w="0" w:type="auto"/>
            <w:gridSpan w:val="3"/>
            <w:shd w:val="clear" w:color="auto" w:fill="auto"/>
            <w:tcMar>
              <w:top w:w="40" w:type="dxa"/>
              <w:left w:w="20" w:type="dxa"/>
              <w:bottom w:w="40" w:type="dxa"/>
              <w:right w:w="20" w:type="dxa"/>
            </w:tcMar>
            <w:vAlign w:val="center"/>
          </w:tcPr>
          <w:p w14:paraId="74DE25A3" w14:textId="77777777" w:rsidR="00584EC1" w:rsidRDefault="00871F8D">
            <w:pPr>
              <w:textAlignment w:val="center"/>
            </w:pPr>
            <w:r>
              <w:rPr>
                <w:rFonts w:ascii="Arial" w:eastAsia="宋体" w:hAnsi="Arial" w:cs="Arial"/>
                <w:color w:val="000000"/>
                <w:sz w:val="16"/>
                <w:szCs w:val="16"/>
              </w:rPr>
              <w:t>SEC</w:t>
            </w:r>
          </w:p>
        </w:tc>
        <w:tc>
          <w:tcPr>
            <w:tcW w:w="0" w:type="auto"/>
            <w:gridSpan w:val="3"/>
            <w:shd w:val="clear" w:color="auto" w:fill="auto"/>
            <w:tcMar>
              <w:top w:w="40" w:type="dxa"/>
              <w:left w:w="20" w:type="dxa"/>
              <w:bottom w:w="40" w:type="dxa"/>
              <w:right w:w="20" w:type="dxa"/>
            </w:tcMar>
            <w:vAlign w:val="center"/>
          </w:tcPr>
          <w:p w14:paraId="74DE25A4" w14:textId="77777777" w:rsidR="00584EC1" w:rsidRDefault="00871F8D">
            <w:pPr>
              <w:textAlignment w:val="center"/>
            </w:pPr>
            <w:r>
              <w:rPr>
                <w:rFonts w:ascii="Arial" w:eastAsia="宋体" w:hAnsi="Arial" w:cs="Arial"/>
                <w:color w:val="000000"/>
                <w:sz w:val="16"/>
                <w:szCs w:val="16"/>
              </w:rPr>
              <w:t>Securities and Exchange Commission</w:t>
            </w:r>
          </w:p>
        </w:tc>
      </w:tr>
      <w:tr w:rsidR="00584EC1" w14:paraId="74DE25AA" w14:textId="77777777">
        <w:tc>
          <w:tcPr>
            <w:tcW w:w="0" w:type="auto"/>
            <w:gridSpan w:val="3"/>
            <w:shd w:val="clear" w:color="auto" w:fill="auto"/>
            <w:tcMar>
              <w:top w:w="40" w:type="dxa"/>
              <w:left w:w="20" w:type="dxa"/>
              <w:bottom w:w="40" w:type="dxa"/>
              <w:right w:w="20" w:type="dxa"/>
            </w:tcMar>
            <w:vAlign w:val="center"/>
          </w:tcPr>
          <w:p w14:paraId="74DE25A6" w14:textId="77777777" w:rsidR="00584EC1" w:rsidRDefault="00871F8D">
            <w:pPr>
              <w:textAlignment w:val="center"/>
            </w:pPr>
            <w:r>
              <w:rPr>
                <w:rFonts w:ascii="Arial" w:eastAsia="宋体" w:hAnsi="Arial" w:cs="Arial"/>
                <w:color w:val="000000"/>
                <w:sz w:val="16"/>
                <w:szCs w:val="16"/>
              </w:rPr>
              <w:t>EGRRCPA</w:t>
            </w:r>
          </w:p>
        </w:tc>
        <w:tc>
          <w:tcPr>
            <w:tcW w:w="0" w:type="auto"/>
            <w:gridSpan w:val="3"/>
            <w:shd w:val="clear" w:color="auto" w:fill="auto"/>
            <w:tcMar>
              <w:top w:w="40" w:type="dxa"/>
              <w:left w:w="20" w:type="dxa"/>
              <w:bottom w:w="40" w:type="dxa"/>
              <w:right w:w="20" w:type="dxa"/>
            </w:tcMar>
            <w:vAlign w:val="center"/>
          </w:tcPr>
          <w:p w14:paraId="74DE25A7" w14:textId="77777777" w:rsidR="00584EC1" w:rsidRDefault="00871F8D">
            <w:pPr>
              <w:textAlignment w:val="center"/>
            </w:pPr>
            <w:r>
              <w:rPr>
                <w:rFonts w:ascii="Arial" w:eastAsia="宋体" w:hAnsi="Arial" w:cs="Arial"/>
                <w:color w:val="000000"/>
                <w:sz w:val="16"/>
                <w:szCs w:val="16"/>
              </w:rPr>
              <w:t xml:space="preserve">Economic Growth, </w:t>
            </w:r>
            <w:r>
              <w:rPr>
                <w:rFonts w:ascii="Arial" w:eastAsia="宋体" w:hAnsi="Arial" w:cs="Arial"/>
                <w:color w:val="000000"/>
                <w:sz w:val="16"/>
                <w:szCs w:val="16"/>
              </w:rPr>
              <w:t>Regulatory Relief, and Consumer Protection Act</w:t>
            </w:r>
          </w:p>
        </w:tc>
        <w:tc>
          <w:tcPr>
            <w:tcW w:w="0" w:type="auto"/>
            <w:gridSpan w:val="3"/>
            <w:shd w:val="clear" w:color="auto" w:fill="auto"/>
            <w:tcMar>
              <w:top w:w="40" w:type="dxa"/>
              <w:left w:w="20" w:type="dxa"/>
              <w:bottom w:w="40" w:type="dxa"/>
              <w:right w:w="20" w:type="dxa"/>
            </w:tcMar>
            <w:vAlign w:val="center"/>
          </w:tcPr>
          <w:p w14:paraId="74DE25A8" w14:textId="77777777" w:rsidR="00584EC1" w:rsidRDefault="00871F8D">
            <w:pPr>
              <w:textAlignment w:val="center"/>
            </w:pPr>
            <w:r>
              <w:rPr>
                <w:rFonts w:ascii="Arial" w:eastAsia="宋体" w:hAnsi="Arial" w:cs="Arial"/>
                <w:color w:val="000000"/>
                <w:sz w:val="16"/>
                <w:szCs w:val="16"/>
              </w:rPr>
              <w:t>SLB</w:t>
            </w:r>
          </w:p>
        </w:tc>
        <w:tc>
          <w:tcPr>
            <w:tcW w:w="0" w:type="auto"/>
            <w:gridSpan w:val="3"/>
            <w:shd w:val="clear" w:color="auto" w:fill="auto"/>
            <w:tcMar>
              <w:top w:w="40" w:type="dxa"/>
              <w:left w:w="20" w:type="dxa"/>
              <w:bottom w:w="40" w:type="dxa"/>
              <w:right w:w="20" w:type="dxa"/>
            </w:tcMar>
            <w:vAlign w:val="center"/>
          </w:tcPr>
          <w:p w14:paraId="74DE25A9" w14:textId="77777777" w:rsidR="00584EC1" w:rsidRDefault="00871F8D">
            <w:pPr>
              <w:textAlignment w:val="center"/>
            </w:pPr>
            <w:r>
              <w:rPr>
                <w:rFonts w:ascii="Arial" w:eastAsia="宋体" w:hAnsi="Arial" w:cs="Arial"/>
                <w:color w:val="000000"/>
                <w:sz w:val="16"/>
                <w:szCs w:val="16"/>
              </w:rPr>
              <w:t>Stress Leverage Buffer</w:t>
            </w:r>
          </w:p>
        </w:tc>
      </w:tr>
      <w:tr w:rsidR="00584EC1" w14:paraId="74DE25AF" w14:textId="77777777">
        <w:tc>
          <w:tcPr>
            <w:tcW w:w="0" w:type="auto"/>
            <w:gridSpan w:val="3"/>
            <w:shd w:val="clear" w:color="auto" w:fill="auto"/>
            <w:tcMar>
              <w:top w:w="40" w:type="dxa"/>
              <w:left w:w="20" w:type="dxa"/>
              <w:bottom w:w="40" w:type="dxa"/>
              <w:right w:w="20" w:type="dxa"/>
            </w:tcMar>
            <w:vAlign w:val="center"/>
          </w:tcPr>
          <w:p w14:paraId="74DE25AB" w14:textId="77777777" w:rsidR="00584EC1" w:rsidRDefault="00871F8D">
            <w:pPr>
              <w:textAlignment w:val="center"/>
            </w:pPr>
            <w:r>
              <w:rPr>
                <w:rFonts w:ascii="Arial" w:eastAsia="宋体" w:hAnsi="Arial" w:cs="Arial"/>
                <w:color w:val="000000"/>
                <w:sz w:val="16"/>
                <w:szCs w:val="16"/>
              </w:rPr>
              <w:t>EMEA</w:t>
            </w:r>
          </w:p>
        </w:tc>
        <w:tc>
          <w:tcPr>
            <w:tcW w:w="0" w:type="auto"/>
            <w:gridSpan w:val="3"/>
            <w:shd w:val="clear" w:color="auto" w:fill="auto"/>
            <w:tcMar>
              <w:top w:w="40" w:type="dxa"/>
              <w:left w:w="20" w:type="dxa"/>
              <w:bottom w:w="40" w:type="dxa"/>
              <w:right w:w="20" w:type="dxa"/>
            </w:tcMar>
            <w:vAlign w:val="center"/>
          </w:tcPr>
          <w:p w14:paraId="74DE25AC" w14:textId="77777777" w:rsidR="00584EC1" w:rsidRDefault="00871F8D">
            <w:pPr>
              <w:textAlignment w:val="center"/>
            </w:pPr>
            <w:r>
              <w:rPr>
                <w:rFonts w:ascii="Arial" w:eastAsia="宋体" w:hAnsi="Arial" w:cs="Arial"/>
                <w:color w:val="000000"/>
                <w:sz w:val="16"/>
                <w:szCs w:val="16"/>
              </w:rPr>
              <w:t>Europe, Middle East, and Africa</w:t>
            </w:r>
          </w:p>
        </w:tc>
        <w:tc>
          <w:tcPr>
            <w:tcW w:w="0" w:type="auto"/>
            <w:gridSpan w:val="3"/>
            <w:shd w:val="clear" w:color="auto" w:fill="auto"/>
            <w:tcMar>
              <w:top w:w="40" w:type="dxa"/>
              <w:left w:w="20" w:type="dxa"/>
              <w:bottom w:w="40" w:type="dxa"/>
              <w:right w:w="20" w:type="dxa"/>
            </w:tcMar>
            <w:vAlign w:val="center"/>
          </w:tcPr>
          <w:p w14:paraId="74DE25AD" w14:textId="77777777" w:rsidR="00584EC1" w:rsidRDefault="00871F8D">
            <w:pPr>
              <w:textAlignment w:val="center"/>
            </w:pPr>
            <w:r>
              <w:rPr>
                <w:rFonts w:ascii="Arial" w:eastAsia="宋体" w:hAnsi="Arial" w:cs="Arial"/>
                <w:color w:val="000000"/>
                <w:sz w:val="16"/>
                <w:szCs w:val="16"/>
              </w:rPr>
              <w:t>SLR</w:t>
            </w:r>
            <w:r>
              <w:rPr>
                <w:rFonts w:ascii="Arial" w:eastAsia="宋体" w:hAnsi="Arial" w:cs="Arial"/>
                <w:color w:val="000000"/>
                <w:sz w:val="10"/>
                <w:szCs w:val="10"/>
              </w:rPr>
              <w:t>(1)</w:t>
            </w:r>
          </w:p>
        </w:tc>
        <w:tc>
          <w:tcPr>
            <w:tcW w:w="0" w:type="auto"/>
            <w:gridSpan w:val="3"/>
            <w:shd w:val="clear" w:color="auto" w:fill="auto"/>
            <w:tcMar>
              <w:top w:w="40" w:type="dxa"/>
              <w:left w:w="20" w:type="dxa"/>
              <w:bottom w:w="40" w:type="dxa"/>
              <w:right w:w="20" w:type="dxa"/>
            </w:tcMar>
            <w:vAlign w:val="center"/>
          </w:tcPr>
          <w:p w14:paraId="74DE25AE" w14:textId="77777777" w:rsidR="00584EC1" w:rsidRDefault="00871F8D">
            <w:pPr>
              <w:textAlignment w:val="center"/>
            </w:pPr>
            <w:r>
              <w:rPr>
                <w:rFonts w:ascii="Arial" w:eastAsia="宋体" w:hAnsi="Arial" w:cs="Arial"/>
                <w:color w:val="000000"/>
                <w:sz w:val="16"/>
                <w:szCs w:val="16"/>
              </w:rPr>
              <w:t>Supplementary leverage ratio</w:t>
            </w:r>
          </w:p>
        </w:tc>
      </w:tr>
      <w:tr w:rsidR="00584EC1" w14:paraId="74DE25B4" w14:textId="77777777">
        <w:tc>
          <w:tcPr>
            <w:tcW w:w="0" w:type="auto"/>
            <w:gridSpan w:val="3"/>
            <w:shd w:val="clear" w:color="auto" w:fill="auto"/>
            <w:tcMar>
              <w:top w:w="40" w:type="dxa"/>
              <w:left w:w="20" w:type="dxa"/>
              <w:bottom w:w="40" w:type="dxa"/>
              <w:right w:w="20" w:type="dxa"/>
            </w:tcMar>
            <w:vAlign w:val="center"/>
          </w:tcPr>
          <w:p w14:paraId="74DE25B0" w14:textId="77777777" w:rsidR="00584EC1" w:rsidRDefault="00871F8D">
            <w:pPr>
              <w:textAlignment w:val="center"/>
            </w:pPr>
            <w:r>
              <w:rPr>
                <w:rFonts w:ascii="Arial" w:eastAsia="宋体" w:hAnsi="Arial" w:cs="Arial"/>
                <w:color w:val="000000"/>
                <w:sz w:val="16"/>
                <w:szCs w:val="16"/>
              </w:rPr>
              <w:t>EPS</w:t>
            </w:r>
          </w:p>
        </w:tc>
        <w:tc>
          <w:tcPr>
            <w:tcW w:w="0" w:type="auto"/>
            <w:gridSpan w:val="3"/>
            <w:shd w:val="clear" w:color="auto" w:fill="auto"/>
            <w:tcMar>
              <w:top w:w="40" w:type="dxa"/>
              <w:left w:w="20" w:type="dxa"/>
              <w:bottom w:w="40" w:type="dxa"/>
              <w:right w:w="20" w:type="dxa"/>
            </w:tcMar>
            <w:vAlign w:val="center"/>
          </w:tcPr>
          <w:p w14:paraId="74DE25B1" w14:textId="77777777" w:rsidR="00584EC1" w:rsidRDefault="00871F8D">
            <w:pPr>
              <w:textAlignment w:val="center"/>
            </w:pPr>
            <w:r>
              <w:rPr>
                <w:rFonts w:ascii="Arial" w:eastAsia="宋体" w:hAnsi="Arial" w:cs="Arial"/>
                <w:color w:val="000000"/>
                <w:sz w:val="16"/>
                <w:szCs w:val="16"/>
              </w:rPr>
              <w:t>Earnings per share</w:t>
            </w:r>
          </w:p>
        </w:tc>
        <w:tc>
          <w:tcPr>
            <w:tcW w:w="0" w:type="auto"/>
            <w:gridSpan w:val="3"/>
            <w:shd w:val="clear" w:color="auto" w:fill="auto"/>
            <w:tcMar>
              <w:top w:w="40" w:type="dxa"/>
              <w:left w:w="20" w:type="dxa"/>
              <w:bottom w:w="40" w:type="dxa"/>
              <w:right w:w="20" w:type="dxa"/>
            </w:tcMar>
            <w:vAlign w:val="center"/>
          </w:tcPr>
          <w:p w14:paraId="74DE25B2" w14:textId="77777777" w:rsidR="00584EC1" w:rsidRDefault="00871F8D">
            <w:pPr>
              <w:textAlignment w:val="center"/>
            </w:pPr>
            <w:r>
              <w:rPr>
                <w:rFonts w:ascii="Arial" w:eastAsia="宋体" w:hAnsi="Arial" w:cs="Arial"/>
                <w:color w:val="000000"/>
                <w:sz w:val="16"/>
                <w:szCs w:val="16"/>
              </w:rPr>
              <w:t>SPDR</w:t>
            </w:r>
          </w:p>
        </w:tc>
        <w:tc>
          <w:tcPr>
            <w:tcW w:w="0" w:type="auto"/>
            <w:gridSpan w:val="3"/>
            <w:shd w:val="clear" w:color="auto" w:fill="auto"/>
            <w:tcMar>
              <w:top w:w="40" w:type="dxa"/>
              <w:left w:w="20" w:type="dxa"/>
              <w:bottom w:w="40" w:type="dxa"/>
              <w:right w:w="20" w:type="dxa"/>
            </w:tcMar>
            <w:vAlign w:val="center"/>
          </w:tcPr>
          <w:p w14:paraId="74DE25B3" w14:textId="77777777" w:rsidR="00584EC1" w:rsidRDefault="00871F8D">
            <w:pPr>
              <w:textAlignment w:val="center"/>
            </w:pPr>
            <w:r>
              <w:rPr>
                <w:rFonts w:ascii="Arial" w:eastAsia="宋体" w:hAnsi="Arial" w:cs="Arial"/>
                <w:color w:val="000000"/>
                <w:sz w:val="16"/>
                <w:szCs w:val="16"/>
              </w:rPr>
              <w:t>Spider; Standard and Poor's depository receipt</w:t>
            </w:r>
          </w:p>
        </w:tc>
      </w:tr>
      <w:tr w:rsidR="00584EC1" w14:paraId="74DE25B9" w14:textId="77777777">
        <w:tc>
          <w:tcPr>
            <w:tcW w:w="0" w:type="auto"/>
            <w:gridSpan w:val="3"/>
            <w:shd w:val="clear" w:color="auto" w:fill="auto"/>
            <w:tcMar>
              <w:top w:w="40" w:type="dxa"/>
              <w:left w:w="20" w:type="dxa"/>
              <w:bottom w:w="40" w:type="dxa"/>
              <w:right w:w="20" w:type="dxa"/>
            </w:tcMar>
            <w:vAlign w:val="center"/>
          </w:tcPr>
          <w:p w14:paraId="74DE25B5" w14:textId="77777777" w:rsidR="00584EC1" w:rsidRDefault="00871F8D">
            <w:pPr>
              <w:textAlignment w:val="center"/>
            </w:pPr>
            <w:r>
              <w:rPr>
                <w:rFonts w:ascii="Arial" w:eastAsia="宋体" w:hAnsi="Arial" w:cs="Arial"/>
                <w:color w:val="000000"/>
                <w:sz w:val="16"/>
                <w:szCs w:val="16"/>
              </w:rPr>
              <w:t>ERM</w:t>
            </w:r>
          </w:p>
        </w:tc>
        <w:tc>
          <w:tcPr>
            <w:tcW w:w="0" w:type="auto"/>
            <w:gridSpan w:val="3"/>
            <w:shd w:val="clear" w:color="auto" w:fill="auto"/>
            <w:tcMar>
              <w:top w:w="40" w:type="dxa"/>
              <w:left w:w="20" w:type="dxa"/>
              <w:bottom w:w="40" w:type="dxa"/>
              <w:right w:w="20" w:type="dxa"/>
            </w:tcMar>
            <w:vAlign w:val="center"/>
          </w:tcPr>
          <w:p w14:paraId="74DE25B6" w14:textId="77777777" w:rsidR="00584EC1" w:rsidRDefault="00871F8D">
            <w:pPr>
              <w:textAlignment w:val="center"/>
            </w:pPr>
            <w:r>
              <w:rPr>
                <w:rFonts w:ascii="Arial" w:eastAsia="宋体" w:hAnsi="Arial" w:cs="Arial"/>
                <w:color w:val="000000"/>
                <w:sz w:val="16"/>
                <w:szCs w:val="16"/>
              </w:rPr>
              <w:t xml:space="preserve">Enterprise Risk </w:t>
            </w:r>
            <w:r>
              <w:rPr>
                <w:rFonts w:ascii="Arial" w:eastAsia="宋体" w:hAnsi="Arial" w:cs="Arial"/>
                <w:color w:val="000000"/>
                <w:sz w:val="16"/>
                <w:szCs w:val="16"/>
              </w:rPr>
              <w:t>Management</w:t>
            </w:r>
          </w:p>
        </w:tc>
        <w:tc>
          <w:tcPr>
            <w:tcW w:w="0" w:type="auto"/>
            <w:gridSpan w:val="3"/>
            <w:shd w:val="clear" w:color="auto" w:fill="auto"/>
            <w:tcMar>
              <w:top w:w="40" w:type="dxa"/>
              <w:left w:w="20" w:type="dxa"/>
              <w:bottom w:w="40" w:type="dxa"/>
              <w:right w:w="20" w:type="dxa"/>
            </w:tcMar>
            <w:vAlign w:val="center"/>
          </w:tcPr>
          <w:p w14:paraId="74DE25B7" w14:textId="77777777" w:rsidR="00584EC1" w:rsidRDefault="00871F8D">
            <w:pPr>
              <w:textAlignment w:val="center"/>
            </w:pPr>
            <w:r>
              <w:rPr>
                <w:rFonts w:ascii="Arial" w:eastAsia="宋体" w:hAnsi="Arial" w:cs="Arial"/>
                <w:color w:val="000000"/>
                <w:sz w:val="16"/>
                <w:szCs w:val="16"/>
              </w:rPr>
              <w:t>SPOE Strategy</w:t>
            </w:r>
          </w:p>
        </w:tc>
        <w:tc>
          <w:tcPr>
            <w:tcW w:w="0" w:type="auto"/>
            <w:gridSpan w:val="3"/>
            <w:shd w:val="clear" w:color="auto" w:fill="auto"/>
            <w:tcMar>
              <w:top w:w="40" w:type="dxa"/>
              <w:left w:w="20" w:type="dxa"/>
              <w:bottom w:w="40" w:type="dxa"/>
              <w:right w:w="20" w:type="dxa"/>
            </w:tcMar>
            <w:vAlign w:val="center"/>
          </w:tcPr>
          <w:p w14:paraId="74DE25B8" w14:textId="77777777" w:rsidR="00584EC1" w:rsidRDefault="00871F8D">
            <w:pPr>
              <w:textAlignment w:val="center"/>
            </w:pPr>
            <w:r>
              <w:rPr>
                <w:rFonts w:ascii="Arial" w:eastAsia="宋体" w:hAnsi="Arial" w:cs="Arial"/>
                <w:color w:val="000000"/>
                <w:sz w:val="16"/>
                <w:szCs w:val="16"/>
              </w:rPr>
              <w:t>Single Point of Entry Strategy</w:t>
            </w:r>
          </w:p>
        </w:tc>
      </w:tr>
      <w:tr w:rsidR="00584EC1" w14:paraId="74DE25BE" w14:textId="77777777">
        <w:tc>
          <w:tcPr>
            <w:tcW w:w="0" w:type="auto"/>
            <w:gridSpan w:val="3"/>
            <w:shd w:val="clear" w:color="auto" w:fill="auto"/>
            <w:tcMar>
              <w:top w:w="40" w:type="dxa"/>
              <w:left w:w="20" w:type="dxa"/>
              <w:bottom w:w="40" w:type="dxa"/>
              <w:right w:w="20" w:type="dxa"/>
            </w:tcMar>
            <w:vAlign w:val="center"/>
          </w:tcPr>
          <w:p w14:paraId="74DE25BA" w14:textId="77777777" w:rsidR="00584EC1" w:rsidRDefault="00871F8D">
            <w:pPr>
              <w:textAlignment w:val="center"/>
            </w:pPr>
            <w:r>
              <w:rPr>
                <w:rFonts w:ascii="Arial" w:eastAsia="宋体" w:hAnsi="Arial" w:cs="Arial"/>
                <w:color w:val="000000"/>
                <w:sz w:val="16"/>
                <w:szCs w:val="16"/>
              </w:rPr>
              <w:t>ETF</w:t>
            </w:r>
          </w:p>
        </w:tc>
        <w:tc>
          <w:tcPr>
            <w:tcW w:w="0" w:type="auto"/>
            <w:gridSpan w:val="3"/>
            <w:shd w:val="clear" w:color="auto" w:fill="auto"/>
            <w:tcMar>
              <w:top w:w="40" w:type="dxa"/>
              <w:left w:w="20" w:type="dxa"/>
              <w:bottom w:w="40" w:type="dxa"/>
              <w:right w:w="20" w:type="dxa"/>
            </w:tcMar>
            <w:vAlign w:val="center"/>
          </w:tcPr>
          <w:p w14:paraId="74DE25BB" w14:textId="77777777" w:rsidR="00584EC1" w:rsidRDefault="00871F8D">
            <w:pPr>
              <w:textAlignment w:val="center"/>
            </w:pPr>
            <w:r>
              <w:rPr>
                <w:rFonts w:ascii="Arial" w:eastAsia="宋体" w:hAnsi="Arial" w:cs="Arial"/>
                <w:color w:val="000000"/>
                <w:sz w:val="16"/>
                <w:szCs w:val="16"/>
              </w:rPr>
              <w:t>Exchange-Traded Fund</w:t>
            </w:r>
          </w:p>
        </w:tc>
        <w:tc>
          <w:tcPr>
            <w:tcW w:w="0" w:type="auto"/>
            <w:gridSpan w:val="3"/>
            <w:shd w:val="clear" w:color="auto" w:fill="auto"/>
            <w:tcMar>
              <w:top w:w="40" w:type="dxa"/>
              <w:left w:w="20" w:type="dxa"/>
              <w:bottom w:w="40" w:type="dxa"/>
              <w:right w:w="20" w:type="dxa"/>
            </w:tcMar>
            <w:vAlign w:val="center"/>
          </w:tcPr>
          <w:p w14:paraId="74DE25BC" w14:textId="77777777" w:rsidR="00584EC1" w:rsidRDefault="00871F8D">
            <w:pPr>
              <w:textAlignment w:val="center"/>
            </w:pPr>
            <w:r>
              <w:rPr>
                <w:rFonts w:ascii="Arial" w:eastAsia="宋体" w:hAnsi="Arial" w:cs="Arial"/>
                <w:color w:val="000000"/>
                <w:sz w:val="16"/>
                <w:szCs w:val="16"/>
              </w:rPr>
              <w:t>SSIF</w:t>
            </w:r>
          </w:p>
        </w:tc>
        <w:tc>
          <w:tcPr>
            <w:tcW w:w="0" w:type="auto"/>
            <w:gridSpan w:val="3"/>
            <w:shd w:val="clear" w:color="auto" w:fill="auto"/>
            <w:tcMar>
              <w:top w:w="40" w:type="dxa"/>
              <w:left w:w="20" w:type="dxa"/>
              <w:bottom w:w="40" w:type="dxa"/>
              <w:right w:w="20" w:type="dxa"/>
            </w:tcMar>
            <w:vAlign w:val="center"/>
          </w:tcPr>
          <w:p w14:paraId="74DE25BD" w14:textId="77777777" w:rsidR="00584EC1" w:rsidRDefault="00871F8D">
            <w:pPr>
              <w:textAlignment w:val="center"/>
            </w:pPr>
            <w:r>
              <w:rPr>
                <w:rFonts w:ascii="Arial" w:eastAsia="宋体" w:hAnsi="Arial" w:cs="Arial"/>
                <w:color w:val="000000"/>
                <w:sz w:val="16"/>
                <w:szCs w:val="16"/>
              </w:rPr>
              <w:t>State Street Intermediate Funding, LLC</w:t>
            </w:r>
          </w:p>
        </w:tc>
      </w:tr>
      <w:tr w:rsidR="00584EC1" w14:paraId="74DE25C3" w14:textId="77777777">
        <w:tc>
          <w:tcPr>
            <w:tcW w:w="0" w:type="auto"/>
            <w:gridSpan w:val="3"/>
            <w:shd w:val="clear" w:color="auto" w:fill="auto"/>
            <w:tcMar>
              <w:top w:w="40" w:type="dxa"/>
              <w:left w:w="20" w:type="dxa"/>
              <w:bottom w:w="40" w:type="dxa"/>
              <w:right w:w="20" w:type="dxa"/>
            </w:tcMar>
            <w:vAlign w:val="center"/>
          </w:tcPr>
          <w:p w14:paraId="74DE25BF" w14:textId="77777777" w:rsidR="00584EC1" w:rsidRDefault="00871F8D">
            <w:pPr>
              <w:textAlignment w:val="center"/>
            </w:pPr>
            <w:r>
              <w:rPr>
                <w:rFonts w:ascii="Arial" w:eastAsia="宋体" w:hAnsi="Arial" w:cs="Arial"/>
                <w:color w:val="000000"/>
                <w:sz w:val="16"/>
                <w:szCs w:val="16"/>
              </w:rPr>
              <w:t>EVE</w:t>
            </w:r>
          </w:p>
        </w:tc>
        <w:tc>
          <w:tcPr>
            <w:tcW w:w="0" w:type="auto"/>
            <w:gridSpan w:val="3"/>
            <w:shd w:val="clear" w:color="auto" w:fill="auto"/>
            <w:tcMar>
              <w:top w:w="40" w:type="dxa"/>
              <w:left w:w="20" w:type="dxa"/>
              <w:bottom w:w="40" w:type="dxa"/>
              <w:right w:w="20" w:type="dxa"/>
            </w:tcMar>
            <w:vAlign w:val="center"/>
          </w:tcPr>
          <w:p w14:paraId="74DE25C0" w14:textId="77777777" w:rsidR="00584EC1" w:rsidRDefault="00871F8D">
            <w:pPr>
              <w:textAlignment w:val="center"/>
            </w:pPr>
            <w:r>
              <w:rPr>
                <w:rFonts w:ascii="Arial" w:eastAsia="宋体" w:hAnsi="Arial" w:cs="Arial"/>
                <w:color w:val="000000"/>
                <w:sz w:val="16"/>
                <w:szCs w:val="16"/>
              </w:rPr>
              <w:t>Economic value of equity</w:t>
            </w:r>
          </w:p>
        </w:tc>
        <w:tc>
          <w:tcPr>
            <w:tcW w:w="0" w:type="auto"/>
            <w:gridSpan w:val="3"/>
            <w:shd w:val="clear" w:color="auto" w:fill="auto"/>
            <w:tcMar>
              <w:top w:w="40" w:type="dxa"/>
              <w:left w:w="20" w:type="dxa"/>
              <w:bottom w:w="40" w:type="dxa"/>
              <w:right w:w="20" w:type="dxa"/>
            </w:tcMar>
            <w:vAlign w:val="center"/>
          </w:tcPr>
          <w:p w14:paraId="74DE25C1" w14:textId="77777777" w:rsidR="00584EC1" w:rsidRDefault="00871F8D">
            <w:pPr>
              <w:textAlignment w:val="center"/>
            </w:pPr>
            <w:r>
              <w:rPr>
                <w:rFonts w:ascii="Arial" w:eastAsia="宋体" w:hAnsi="Arial" w:cs="Arial"/>
                <w:color w:val="000000"/>
                <w:sz w:val="16"/>
                <w:szCs w:val="16"/>
              </w:rPr>
              <w:t>TLAC</w:t>
            </w:r>
            <w:r>
              <w:rPr>
                <w:rFonts w:ascii="Arial" w:eastAsia="宋体" w:hAnsi="Arial" w:cs="Arial"/>
                <w:color w:val="000000"/>
                <w:sz w:val="10"/>
                <w:szCs w:val="10"/>
              </w:rPr>
              <w:t>(1)</w:t>
            </w:r>
          </w:p>
        </w:tc>
        <w:tc>
          <w:tcPr>
            <w:tcW w:w="0" w:type="auto"/>
            <w:gridSpan w:val="3"/>
            <w:shd w:val="clear" w:color="auto" w:fill="auto"/>
            <w:tcMar>
              <w:top w:w="40" w:type="dxa"/>
              <w:left w:w="20" w:type="dxa"/>
              <w:bottom w:w="40" w:type="dxa"/>
              <w:right w:w="20" w:type="dxa"/>
            </w:tcMar>
            <w:vAlign w:val="center"/>
          </w:tcPr>
          <w:p w14:paraId="74DE25C2" w14:textId="77777777" w:rsidR="00584EC1" w:rsidRDefault="00871F8D">
            <w:pPr>
              <w:textAlignment w:val="center"/>
            </w:pPr>
            <w:r>
              <w:rPr>
                <w:rFonts w:ascii="Arial" w:eastAsia="宋体" w:hAnsi="Arial" w:cs="Arial"/>
                <w:color w:val="000000"/>
                <w:sz w:val="16"/>
                <w:szCs w:val="16"/>
              </w:rPr>
              <w:t>Total loss-absorbing capacity</w:t>
            </w:r>
          </w:p>
        </w:tc>
      </w:tr>
      <w:tr w:rsidR="00584EC1" w14:paraId="74DE25C8" w14:textId="77777777">
        <w:tc>
          <w:tcPr>
            <w:tcW w:w="0" w:type="auto"/>
            <w:gridSpan w:val="3"/>
            <w:shd w:val="clear" w:color="auto" w:fill="auto"/>
            <w:tcMar>
              <w:top w:w="40" w:type="dxa"/>
              <w:left w:w="20" w:type="dxa"/>
              <w:bottom w:w="40" w:type="dxa"/>
              <w:right w:w="20" w:type="dxa"/>
            </w:tcMar>
            <w:vAlign w:val="center"/>
          </w:tcPr>
          <w:p w14:paraId="74DE25C4" w14:textId="77777777" w:rsidR="00584EC1" w:rsidRDefault="00871F8D">
            <w:pPr>
              <w:textAlignment w:val="center"/>
            </w:pPr>
            <w:r>
              <w:rPr>
                <w:rFonts w:ascii="Arial" w:eastAsia="宋体" w:hAnsi="Arial" w:cs="Arial"/>
                <w:color w:val="000000"/>
                <w:sz w:val="16"/>
                <w:szCs w:val="16"/>
              </w:rPr>
              <w:t>FDIC</w:t>
            </w:r>
          </w:p>
        </w:tc>
        <w:tc>
          <w:tcPr>
            <w:tcW w:w="0" w:type="auto"/>
            <w:gridSpan w:val="3"/>
            <w:shd w:val="clear" w:color="auto" w:fill="auto"/>
            <w:tcMar>
              <w:top w:w="40" w:type="dxa"/>
              <w:left w:w="20" w:type="dxa"/>
              <w:bottom w:w="40" w:type="dxa"/>
              <w:right w:w="20" w:type="dxa"/>
            </w:tcMar>
            <w:vAlign w:val="center"/>
          </w:tcPr>
          <w:p w14:paraId="74DE25C5" w14:textId="77777777" w:rsidR="00584EC1" w:rsidRDefault="00871F8D">
            <w:pPr>
              <w:textAlignment w:val="center"/>
            </w:pPr>
            <w:r>
              <w:rPr>
                <w:rFonts w:ascii="Arial" w:eastAsia="宋体" w:hAnsi="Arial" w:cs="Arial"/>
                <w:color w:val="000000"/>
                <w:sz w:val="16"/>
                <w:szCs w:val="16"/>
              </w:rPr>
              <w:t>Federal Deposit Insurance Corporation</w:t>
            </w:r>
          </w:p>
        </w:tc>
        <w:tc>
          <w:tcPr>
            <w:tcW w:w="0" w:type="auto"/>
            <w:gridSpan w:val="3"/>
            <w:shd w:val="clear" w:color="auto" w:fill="auto"/>
            <w:tcMar>
              <w:top w:w="40" w:type="dxa"/>
              <w:left w:w="20" w:type="dxa"/>
              <w:bottom w:w="40" w:type="dxa"/>
              <w:right w:w="20" w:type="dxa"/>
            </w:tcMar>
            <w:vAlign w:val="center"/>
          </w:tcPr>
          <w:p w14:paraId="74DE25C6" w14:textId="77777777" w:rsidR="00584EC1" w:rsidRDefault="00871F8D">
            <w:pPr>
              <w:textAlignment w:val="center"/>
            </w:pPr>
            <w:r>
              <w:rPr>
                <w:rFonts w:ascii="Arial" w:eastAsia="宋体" w:hAnsi="Arial" w:cs="Arial"/>
                <w:color w:val="000000"/>
                <w:sz w:val="16"/>
                <w:szCs w:val="16"/>
              </w:rPr>
              <w:t>TORC</w:t>
            </w:r>
          </w:p>
        </w:tc>
        <w:tc>
          <w:tcPr>
            <w:tcW w:w="0" w:type="auto"/>
            <w:gridSpan w:val="3"/>
            <w:shd w:val="clear" w:color="auto" w:fill="auto"/>
            <w:tcMar>
              <w:top w:w="40" w:type="dxa"/>
              <w:left w:w="20" w:type="dxa"/>
              <w:bottom w:w="40" w:type="dxa"/>
              <w:right w:w="20" w:type="dxa"/>
            </w:tcMar>
            <w:vAlign w:val="center"/>
          </w:tcPr>
          <w:p w14:paraId="74DE25C7" w14:textId="77777777" w:rsidR="00584EC1" w:rsidRDefault="00871F8D">
            <w:pPr>
              <w:textAlignment w:val="center"/>
            </w:pPr>
            <w:r>
              <w:rPr>
                <w:rFonts w:ascii="Arial" w:eastAsia="宋体" w:hAnsi="Arial" w:cs="Arial"/>
                <w:color w:val="000000"/>
                <w:sz w:val="16"/>
                <w:szCs w:val="16"/>
              </w:rPr>
              <w:t>Technology and Operational Risk Committee</w:t>
            </w:r>
          </w:p>
        </w:tc>
      </w:tr>
      <w:tr w:rsidR="00584EC1" w14:paraId="74DE25CD" w14:textId="77777777">
        <w:tc>
          <w:tcPr>
            <w:tcW w:w="0" w:type="auto"/>
            <w:gridSpan w:val="3"/>
            <w:shd w:val="clear" w:color="auto" w:fill="auto"/>
            <w:tcMar>
              <w:top w:w="40" w:type="dxa"/>
              <w:left w:w="20" w:type="dxa"/>
              <w:bottom w:w="40" w:type="dxa"/>
              <w:right w:w="20" w:type="dxa"/>
            </w:tcMar>
            <w:vAlign w:val="center"/>
          </w:tcPr>
          <w:p w14:paraId="74DE25C9" w14:textId="77777777" w:rsidR="00584EC1" w:rsidRDefault="00871F8D">
            <w:pPr>
              <w:textAlignment w:val="center"/>
            </w:pPr>
            <w:r>
              <w:rPr>
                <w:rFonts w:ascii="Arial" w:eastAsia="宋体" w:hAnsi="Arial" w:cs="Arial"/>
                <w:color w:val="000000"/>
                <w:sz w:val="16"/>
                <w:szCs w:val="16"/>
              </w:rPr>
              <w:t>FHLB</w:t>
            </w:r>
          </w:p>
        </w:tc>
        <w:tc>
          <w:tcPr>
            <w:tcW w:w="0" w:type="auto"/>
            <w:gridSpan w:val="3"/>
            <w:shd w:val="clear" w:color="auto" w:fill="auto"/>
            <w:tcMar>
              <w:top w:w="40" w:type="dxa"/>
              <w:left w:w="20" w:type="dxa"/>
              <w:bottom w:w="40" w:type="dxa"/>
              <w:right w:w="20" w:type="dxa"/>
            </w:tcMar>
            <w:vAlign w:val="center"/>
          </w:tcPr>
          <w:p w14:paraId="74DE25CA" w14:textId="77777777" w:rsidR="00584EC1" w:rsidRDefault="00871F8D">
            <w:pPr>
              <w:textAlignment w:val="center"/>
            </w:pPr>
            <w:r>
              <w:rPr>
                <w:rFonts w:ascii="Arial" w:eastAsia="宋体" w:hAnsi="Arial" w:cs="Arial"/>
                <w:color w:val="000000"/>
                <w:sz w:val="16"/>
                <w:szCs w:val="16"/>
              </w:rPr>
              <w:t>Federal Home Loan Bank of Boston</w:t>
            </w:r>
          </w:p>
        </w:tc>
        <w:tc>
          <w:tcPr>
            <w:tcW w:w="0" w:type="auto"/>
            <w:gridSpan w:val="3"/>
            <w:shd w:val="clear" w:color="auto" w:fill="auto"/>
            <w:tcMar>
              <w:top w:w="40" w:type="dxa"/>
              <w:left w:w="20" w:type="dxa"/>
              <w:bottom w:w="40" w:type="dxa"/>
              <w:right w:w="20" w:type="dxa"/>
            </w:tcMar>
            <w:vAlign w:val="center"/>
          </w:tcPr>
          <w:p w14:paraId="74DE25CB" w14:textId="77777777" w:rsidR="00584EC1" w:rsidRDefault="00871F8D">
            <w:pPr>
              <w:textAlignment w:val="center"/>
            </w:pPr>
            <w:r>
              <w:rPr>
                <w:rFonts w:ascii="Arial" w:eastAsia="宋体" w:hAnsi="Arial" w:cs="Arial"/>
                <w:color w:val="000000"/>
                <w:sz w:val="16"/>
                <w:szCs w:val="16"/>
              </w:rPr>
              <w:t>UCITS</w:t>
            </w:r>
          </w:p>
        </w:tc>
        <w:tc>
          <w:tcPr>
            <w:tcW w:w="0" w:type="auto"/>
            <w:gridSpan w:val="3"/>
            <w:shd w:val="clear" w:color="auto" w:fill="auto"/>
            <w:tcMar>
              <w:top w:w="40" w:type="dxa"/>
              <w:left w:w="20" w:type="dxa"/>
              <w:bottom w:w="40" w:type="dxa"/>
              <w:right w:w="20" w:type="dxa"/>
            </w:tcMar>
            <w:vAlign w:val="center"/>
          </w:tcPr>
          <w:p w14:paraId="74DE25CC" w14:textId="77777777" w:rsidR="00584EC1" w:rsidRDefault="00871F8D">
            <w:pPr>
              <w:textAlignment w:val="center"/>
            </w:pPr>
            <w:r>
              <w:rPr>
                <w:rFonts w:ascii="Arial" w:eastAsia="宋体" w:hAnsi="Arial" w:cs="Arial"/>
                <w:color w:val="000000"/>
                <w:sz w:val="16"/>
                <w:szCs w:val="16"/>
              </w:rPr>
              <w:t>Undertakings for Collective Investments in Transferable Securities</w:t>
            </w:r>
          </w:p>
        </w:tc>
      </w:tr>
      <w:tr w:rsidR="00584EC1" w14:paraId="74DE25D2" w14:textId="77777777">
        <w:tc>
          <w:tcPr>
            <w:tcW w:w="0" w:type="auto"/>
            <w:gridSpan w:val="3"/>
            <w:shd w:val="clear" w:color="auto" w:fill="auto"/>
            <w:tcMar>
              <w:top w:w="40" w:type="dxa"/>
              <w:left w:w="20" w:type="dxa"/>
              <w:bottom w:w="40" w:type="dxa"/>
              <w:right w:w="20" w:type="dxa"/>
            </w:tcMar>
            <w:vAlign w:val="center"/>
          </w:tcPr>
          <w:p w14:paraId="74DE25CE" w14:textId="77777777" w:rsidR="00584EC1" w:rsidRDefault="00871F8D">
            <w:pPr>
              <w:textAlignment w:val="center"/>
            </w:pPr>
            <w:r>
              <w:rPr>
                <w:rFonts w:ascii="Arial" w:eastAsia="宋体" w:hAnsi="Arial" w:cs="Arial"/>
                <w:color w:val="000000"/>
                <w:sz w:val="16"/>
                <w:szCs w:val="16"/>
              </w:rPr>
              <w:t>FICC</w:t>
            </w:r>
          </w:p>
        </w:tc>
        <w:tc>
          <w:tcPr>
            <w:tcW w:w="0" w:type="auto"/>
            <w:gridSpan w:val="3"/>
            <w:shd w:val="clear" w:color="auto" w:fill="auto"/>
            <w:tcMar>
              <w:top w:w="40" w:type="dxa"/>
              <w:left w:w="20" w:type="dxa"/>
              <w:bottom w:w="40" w:type="dxa"/>
              <w:right w:w="20" w:type="dxa"/>
            </w:tcMar>
            <w:vAlign w:val="center"/>
          </w:tcPr>
          <w:p w14:paraId="74DE25CF" w14:textId="77777777" w:rsidR="00584EC1" w:rsidRDefault="00871F8D">
            <w:pPr>
              <w:textAlignment w:val="center"/>
            </w:pPr>
            <w:r>
              <w:rPr>
                <w:rFonts w:ascii="Arial" w:eastAsia="宋体" w:hAnsi="Arial" w:cs="Arial"/>
                <w:color w:val="000000"/>
                <w:sz w:val="16"/>
                <w:szCs w:val="16"/>
              </w:rPr>
              <w:t>Fixed Income Clearing Corporation</w:t>
            </w:r>
          </w:p>
        </w:tc>
        <w:tc>
          <w:tcPr>
            <w:tcW w:w="0" w:type="auto"/>
            <w:gridSpan w:val="3"/>
            <w:shd w:val="clear" w:color="auto" w:fill="auto"/>
            <w:tcMar>
              <w:top w:w="40" w:type="dxa"/>
              <w:left w:w="20" w:type="dxa"/>
              <w:bottom w:w="40" w:type="dxa"/>
              <w:right w:w="20" w:type="dxa"/>
            </w:tcMar>
            <w:vAlign w:val="center"/>
          </w:tcPr>
          <w:p w14:paraId="74DE25D0" w14:textId="77777777" w:rsidR="00584EC1" w:rsidRDefault="00871F8D">
            <w:pPr>
              <w:textAlignment w:val="center"/>
            </w:pPr>
            <w:r>
              <w:rPr>
                <w:rFonts w:ascii="Arial" w:eastAsia="宋体" w:hAnsi="Arial" w:cs="Arial"/>
                <w:color w:val="000000"/>
                <w:sz w:val="16"/>
                <w:szCs w:val="16"/>
              </w:rPr>
              <w:t>UOM</w:t>
            </w:r>
          </w:p>
        </w:tc>
        <w:tc>
          <w:tcPr>
            <w:tcW w:w="0" w:type="auto"/>
            <w:gridSpan w:val="3"/>
            <w:shd w:val="clear" w:color="auto" w:fill="auto"/>
            <w:tcMar>
              <w:top w:w="40" w:type="dxa"/>
              <w:left w:w="20" w:type="dxa"/>
              <w:bottom w:w="40" w:type="dxa"/>
              <w:right w:w="20" w:type="dxa"/>
            </w:tcMar>
            <w:vAlign w:val="center"/>
          </w:tcPr>
          <w:p w14:paraId="74DE25D1" w14:textId="77777777" w:rsidR="00584EC1" w:rsidRDefault="00871F8D">
            <w:pPr>
              <w:textAlignment w:val="center"/>
            </w:pPr>
            <w:r>
              <w:rPr>
                <w:rFonts w:ascii="Arial" w:eastAsia="宋体" w:hAnsi="Arial" w:cs="Arial"/>
                <w:color w:val="000000"/>
                <w:sz w:val="16"/>
                <w:szCs w:val="16"/>
              </w:rPr>
              <w:t>Unit of measure</w:t>
            </w:r>
          </w:p>
        </w:tc>
      </w:tr>
      <w:tr w:rsidR="00584EC1" w14:paraId="74DE25D7" w14:textId="77777777">
        <w:tc>
          <w:tcPr>
            <w:tcW w:w="0" w:type="auto"/>
            <w:gridSpan w:val="3"/>
            <w:shd w:val="clear" w:color="auto" w:fill="auto"/>
            <w:tcMar>
              <w:top w:w="40" w:type="dxa"/>
              <w:left w:w="20" w:type="dxa"/>
              <w:bottom w:w="40" w:type="dxa"/>
              <w:right w:w="20" w:type="dxa"/>
            </w:tcMar>
            <w:vAlign w:val="center"/>
          </w:tcPr>
          <w:p w14:paraId="74DE25D3" w14:textId="77777777" w:rsidR="00584EC1" w:rsidRDefault="00871F8D">
            <w:pPr>
              <w:textAlignment w:val="center"/>
            </w:pPr>
            <w:r>
              <w:rPr>
                <w:rFonts w:ascii="Arial" w:eastAsia="宋体" w:hAnsi="Arial" w:cs="Arial"/>
                <w:color w:val="000000"/>
                <w:sz w:val="16"/>
                <w:szCs w:val="16"/>
              </w:rPr>
              <w:t>FTE</w:t>
            </w:r>
          </w:p>
        </w:tc>
        <w:tc>
          <w:tcPr>
            <w:tcW w:w="0" w:type="auto"/>
            <w:gridSpan w:val="3"/>
            <w:shd w:val="clear" w:color="auto" w:fill="auto"/>
            <w:tcMar>
              <w:top w:w="40" w:type="dxa"/>
              <w:left w:w="20" w:type="dxa"/>
              <w:bottom w:w="40" w:type="dxa"/>
              <w:right w:w="20" w:type="dxa"/>
            </w:tcMar>
            <w:vAlign w:val="center"/>
          </w:tcPr>
          <w:p w14:paraId="74DE25D4" w14:textId="77777777" w:rsidR="00584EC1" w:rsidRDefault="00871F8D">
            <w:pPr>
              <w:textAlignment w:val="center"/>
            </w:pPr>
            <w:r>
              <w:rPr>
                <w:rFonts w:ascii="Arial" w:eastAsia="宋体" w:hAnsi="Arial" w:cs="Arial"/>
                <w:color w:val="000000"/>
                <w:sz w:val="16"/>
                <w:szCs w:val="16"/>
              </w:rPr>
              <w:t xml:space="preserve">Fully </w:t>
            </w:r>
            <w:r>
              <w:rPr>
                <w:rFonts w:ascii="Arial" w:eastAsia="宋体" w:hAnsi="Arial" w:cs="Arial"/>
                <w:color w:val="000000"/>
                <w:sz w:val="16"/>
                <w:szCs w:val="16"/>
              </w:rPr>
              <w:t>taxable-equivalent</w:t>
            </w:r>
          </w:p>
        </w:tc>
        <w:tc>
          <w:tcPr>
            <w:tcW w:w="0" w:type="auto"/>
            <w:gridSpan w:val="3"/>
            <w:shd w:val="clear" w:color="auto" w:fill="auto"/>
            <w:tcMar>
              <w:top w:w="40" w:type="dxa"/>
              <w:left w:w="20" w:type="dxa"/>
              <w:bottom w:w="40" w:type="dxa"/>
              <w:right w:w="20" w:type="dxa"/>
            </w:tcMar>
            <w:vAlign w:val="center"/>
          </w:tcPr>
          <w:p w14:paraId="74DE25D5" w14:textId="77777777" w:rsidR="00584EC1" w:rsidRDefault="00871F8D">
            <w:pPr>
              <w:textAlignment w:val="center"/>
            </w:pPr>
            <w:r>
              <w:rPr>
                <w:rFonts w:ascii="Arial" w:eastAsia="宋体" w:hAnsi="Arial" w:cs="Arial"/>
                <w:color w:val="000000"/>
                <w:sz w:val="16"/>
                <w:szCs w:val="16"/>
              </w:rPr>
              <w:t>VaR</w:t>
            </w:r>
          </w:p>
        </w:tc>
        <w:tc>
          <w:tcPr>
            <w:tcW w:w="0" w:type="auto"/>
            <w:gridSpan w:val="3"/>
            <w:shd w:val="clear" w:color="auto" w:fill="auto"/>
            <w:tcMar>
              <w:top w:w="40" w:type="dxa"/>
              <w:left w:w="20" w:type="dxa"/>
              <w:bottom w:w="40" w:type="dxa"/>
              <w:right w:w="20" w:type="dxa"/>
            </w:tcMar>
            <w:vAlign w:val="center"/>
          </w:tcPr>
          <w:p w14:paraId="74DE25D6" w14:textId="77777777" w:rsidR="00584EC1" w:rsidRDefault="00871F8D">
            <w:pPr>
              <w:textAlignment w:val="center"/>
            </w:pPr>
            <w:r>
              <w:rPr>
                <w:rFonts w:ascii="Arial" w:eastAsia="宋体" w:hAnsi="Arial" w:cs="Arial"/>
                <w:color w:val="000000"/>
                <w:sz w:val="16"/>
                <w:szCs w:val="16"/>
              </w:rPr>
              <w:t>Value-at-Risk</w:t>
            </w:r>
          </w:p>
        </w:tc>
      </w:tr>
      <w:tr w:rsidR="00584EC1" w14:paraId="74DE25DC" w14:textId="77777777">
        <w:tc>
          <w:tcPr>
            <w:tcW w:w="0" w:type="auto"/>
            <w:gridSpan w:val="3"/>
            <w:shd w:val="clear" w:color="auto" w:fill="auto"/>
            <w:tcMar>
              <w:top w:w="40" w:type="dxa"/>
              <w:left w:w="20" w:type="dxa"/>
              <w:bottom w:w="40" w:type="dxa"/>
              <w:right w:w="20" w:type="dxa"/>
            </w:tcMar>
            <w:vAlign w:val="center"/>
          </w:tcPr>
          <w:p w14:paraId="74DE25D8" w14:textId="77777777" w:rsidR="00584EC1" w:rsidRDefault="00871F8D">
            <w:pPr>
              <w:textAlignment w:val="center"/>
            </w:pPr>
            <w:r>
              <w:rPr>
                <w:rFonts w:ascii="Arial" w:eastAsia="宋体" w:hAnsi="Arial" w:cs="Arial"/>
                <w:color w:val="000000"/>
                <w:sz w:val="16"/>
                <w:szCs w:val="16"/>
              </w:rPr>
              <w:t>FX</w:t>
            </w:r>
          </w:p>
        </w:tc>
        <w:tc>
          <w:tcPr>
            <w:tcW w:w="0" w:type="auto"/>
            <w:gridSpan w:val="3"/>
            <w:shd w:val="clear" w:color="auto" w:fill="auto"/>
            <w:tcMar>
              <w:top w:w="40" w:type="dxa"/>
              <w:left w:w="20" w:type="dxa"/>
              <w:bottom w:w="40" w:type="dxa"/>
              <w:right w:w="20" w:type="dxa"/>
            </w:tcMar>
            <w:vAlign w:val="center"/>
          </w:tcPr>
          <w:p w14:paraId="74DE25D9" w14:textId="77777777" w:rsidR="00584EC1" w:rsidRDefault="00871F8D">
            <w:pPr>
              <w:textAlignment w:val="center"/>
            </w:pPr>
            <w:r>
              <w:rPr>
                <w:rFonts w:ascii="Arial" w:eastAsia="宋体" w:hAnsi="Arial" w:cs="Arial"/>
                <w:color w:val="000000"/>
                <w:sz w:val="16"/>
                <w:szCs w:val="16"/>
              </w:rPr>
              <w:t>Foreign exchange</w:t>
            </w:r>
          </w:p>
        </w:tc>
        <w:tc>
          <w:tcPr>
            <w:tcW w:w="0" w:type="auto"/>
            <w:gridSpan w:val="3"/>
            <w:shd w:val="clear" w:color="auto" w:fill="auto"/>
            <w:tcMar>
              <w:top w:w="40" w:type="dxa"/>
              <w:left w:w="20" w:type="dxa"/>
              <w:bottom w:w="40" w:type="dxa"/>
              <w:right w:w="20" w:type="dxa"/>
            </w:tcMar>
            <w:vAlign w:val="center"/>
          </w:tcPr>
          <w:p w14:paraId="74DE25DA" w14:textId="77777777" w:rsidR="00584EC1" w:rsidRDefault="00871F8D">
            <w:pPr>
              <w:textAlignment w:val="center"/>
            </w:pPr>
            <w:r>
              <w:rPr>
                <w:rFonts w:ascii="Arial" w:eastAsia="宋体" w:hAnsi="Arial" w:cs="Arial"/>
                <w:color w:val="000000"/>
                <w:sz w:val="16"/>
                <w:szCs w:val="16"/>
              </w:rPr>
              <w:t>VIE</w:t>
            </w:r>
          </w:p>
        </w:tc>
        <w:tc>
          <w:tcPr>
            <w:tcW w:w="0" w:type="auto"/>
            <w:gridSpan w:val="3"/>
            <w:shd w:val="clear" w:color="auto" w:fill="auto"/>
            <w:tcMar>
              <w:top w:w="40" w:type="dxa"/>
              <w:left w:w="20" w:type="dxa"/>
              <w:bottom w:w="40" w:type="dxa"/>
              <w:right w:w="20" w:type="dxa"/>
            </w:tcMar>
            <w:vAlign w:val="center"/>
          </w:tcPr>
          <w:p w14:paraId="74DE25DB" w14:textId="77777777" w:rsidR="00584EC1" w:rsidRDefault="00871F8D">
            <w:pPr>
              <w:textAlignment w:val="center"/>
            </w:pPr>
            <w:r>
              <w:rPr>
                <w:rFonts w:ascii="Arial" w:eastAsia="宋体" w:hAnsi="Arial" w:cs="Arial"/>
                <w:color w:val="000000"/>
                <w:sz w:val="16"/>
                <w:szCs w:val="16"/>
              </w:rPr>
              <w:t>Variable interest entity</w:t>
            </w:r>
          </w:p>
        </w:tc>
      </w:tr>
      <w:tr w:rsidR="00584EC1" w14:paraId="74DE25E1" w14:textId="77777777">
        <w:tc>
          <w:tcPr>
            <w:tcW w:w="0" w:type="auto"/>
            <w:gridSpan w:val="3"/>
            <w:shd w:val="clear" w:color="auto" w:fill="auto"/>
            <w:tcMar>
              <w:top w:w="40" w:type="dxa"/>
              <w:left w:w="20" w:type="dxa"/>
              <w:bottom w:w="40" w:type="dxa"/>
              <w:right w:w="20" w:type="dxa"/>
            </w:tcMar>
            <w:vAlign w:val="center"/>
          </w:tcPr>
          <w:p w14:paraId="74DE25DD" w14:textId="77777777" w:rsidR="00584EC1" w:rsidRDefault="00871F8D">
            <w:pPr>
              <w:textAlignment w:val="center"/>
            </w:pPr>
            <w:r>
              <w:rPr>
                <w:rFonts w:ascii="Arial" w:eastAsia="宋体" w:hAnsi="Arial" w:cs="Arial"/>
                <w:color w:val="000000"/>
                <w:sz w:val="16"/>
                <w:szCs w:val="16"/>
              </w:rPr>
              <w:t>GAAP</w:t>
            </w:r>
          </w:p>
        </w:tc>
        <w:tc>
          <w:tcPr>
            <w:tcW w:w="0" w:type="auto"/>
            <w:gridSpan w:val="3"/>
            <w:shd w:val="clear" w:color="auto" w:fill="auto"/>
            <w:tcMar>
              <w:top w:w="40" w:type="dxa"/>
              <w:left w:w="20" w:type="dxa"/>
              <w:bottom w:w="40" w:type="dxa"/>
              <w:right w:w="20" w:type="dxa"/>
            </w:tcMar>
            <w:vAlign w:val="center"/>
          </w:tcPr>
          <w:p w14:paraId="74DE25DE" w14:textId="77777777" w:rsidR="00584EC1" w:rsidRDefault="00871F8D">
            <w:pPr>
              <w:textAlignment w:val="center"/>
            </w:pPr>
            <w:r>
              <w:rPr>
                <w:rFonts w:ascii="Arial" w:eastAsia="宋体" w:hAnsi="Arial" w:cs="Arial"/>
                <w:color w:val="000000"/>
                <w:sz w:val="16"/>
                <w:szCs w:val="16"/>
              </w:rPr>
              <w:t>Generally accepted accounting principles</w:t>
            </w:r>
          </w:p>
        </w:tc>
        <w:tc>
          <w:tcPr>
            <w:tcW w:w="0" w:type="auto"/>
            <w:gridSpan w:val="3"/>
            <w:shd w:val="clear" w:color="auto" w:fill="auto"/>
            <w:tcMar>
              <w:top w:w="0" w:type="dxa"/>
              <w:left w:w="20" w:type="dxa"/>
              <w:bottom w:w="0" w:type="dxa"/>
              <w:right w:w="20" w:type="dxa"/>
            </w:tcMar>
            <w:vAlign w:val="bottom"/>
          </w:tcPr>
          <w:p w14:paraId="74DE25DF"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5E0" w14:textId="77777777" w:rsidR="00584EC1" w:rsidRDefault="00584EC1">
            <w:pPr>
              <w:rPr>
                <w:rFonts w:ascii="宋体"/>
              </w:rPr>
            </w:pPr>
          </w:p>
        </w:tc>
      </w:tr>
      <w:tr w:rsidR="00584EC1" w14:paraId="74DE25E6" w14:textId="77777777">
        <w:trPr>
          <w:hidden/>
        </w:trPr>
        <w:tc>
          <w:tcPr>
            <w:tcW w:w="0" w:type="auto"/>
            <w:gridSpan w:val="3"/>
            <w:shd w:val="clear" w:color="auto" w:fill="auto"/>
            <w:vAlign w:val="bottom"/>
          </w:tcPr>
          <w:p w14:paraId="74DE25E2" w14:textId="77777777" w:rsidR="00584EC1" w:rsidRDefault="00584EC1">
            <w:pPr>
              <w:rPr>
                <w:rFonts w:ascii="宋体"/>
                <w:vanish/>
              </w:rPr>
            </w:pPr>
          </w:p>
        </w:tc>
        <w:tc>
          <w:tcPr>
            <w:tcW w:w="0" w:type="auto"/>
            <w:gridSpan w:val="3"/>
            <w:shd w:val="clear" w:color="auto" w:fill="auto"/>
            <w:vAlign w:val="bottom"/>
          </w:tcPr>
          <w:p w14:paraId="74DE25E3" w14:textId="77777777" w:rsidR="00584EC1" w:rsidRDefault="00584EC1">
            <w:pPr>
              <w:rPr>
                <w:rFonts w:ascii="宋体"/>
                <w:vanish/>
              </w:rPr>
            </w:pPr>
          </w:p>
        </w:tc>
        <w:tc>
          <w:tcPr>
            <w:tcW w:w="0" w:type="auto"/>
            <w:gridSpan w:val="3"/>
            <w:shd w:val="clear" w:color="auto" w:fill="auto"/>
            <w:vAlign w:val="bottom"/>
          </w:tcPr>
          <w:p w14:paraId="74DE25E4" w14:textId="77777777" w:rsidR="00584EC1" w:rsidRDefault="00584EC1">
            <w:pPr>
              <w:rPr>
                <w:rFonts w:ascii="宋体"/>
                <w:vanish/>
              </w:rPr>
            </w:pPr>
          </w:p>
        </w:tc>
        <w:tc>
          <w:tcPr>
            <w:tcW w:w="0" w:type="auto"/>
            <w:gridSpan w:val="3"/>
            <w:shd w:val="clear" w:color="auto" w:fill="auto"/>
            <w:vAlign w:val="bottom"/>
          </w:tcPr>
          <w:p w14:paraId="74DE25E5" w14:textId="77777777" w:rsidR="00584EC1" w:rsidRDefault="00584EC1">
            <w:pPr>
              <w:rPr>
                <w:rFonts w:ascii="宋体"/>
                <w:vanish/>
              </w:rPr>
            </w:pPr>
          </w:p>
        </w:tc>
      </w:tr>
      <w:tr w:rsidR="00584EC1" w14:paraId="74DE25EB" w14:textId="77777777">
        <w:trPr>
          <w:hidden/>
        </w:trPr>
        <w:tc>
          <w:tcPr>
            <w:tcW w:w="0" w:type="auto"/>
            <w:gridSpan w:val="3"/>
            <w:shd w:val="clear" w:color="auto" w:fill="auto"/>
            <w:vAlign w:val="bottom"/>
          </w:tcPr>
          <w:p w14:paraId="74DE25E7" w14:textId="77777777" w:rsidR="00584EC1" w:rsidRDefault="00584EC1">
            <w:pPr>
              <w:rPr>
                <w:rFonts w:ascii="宋体"/>
                <w:vanish/>
              </w:rPr>
            </w:pPr>
          </w:p>
        </w:tc>
        <w:tc>
          <w:tcPr>
            <w:tcW w:w="0" w:type="auto"/>
            <w:gridSpan w:val="3"/>
            <w:shd w:val="clear" w:color="auto" w:fill="auto"/>
            <w:vAlign w:val="bottom"/>
          </w:tcPr>
          <w:p w14:paraId="74DE25E8" w14:textId="77777777" w:rsidR="00584EC1" w:rsidRDefault="00584EC1">
            <w:pPr>
              <w:rPr>
                <w:rFonts w:ascii="宋体"/>
                <w:vanish/>
              </w:rPr>
            </w:pPr>
          </w:p>
        </w:tc>
        <w:tc>
          <w:tcPr>
            <w:tcW w:w="0" w:type="auto"/>
            <w:gridSpan w:val="3"/>
            <w:shd w:val="clear" w:color="auto" w:fill="auto"/>
            <w:vAlign w:val="bottom"/>
          </w:tcPr>
          <w:p w14:paraId="74DE25E9" w14:textId="77777777" w:rsidR="00584EC1" w:rsidRDefault="00584EC1">
            <w:pPr>
              <w:rPr>
                <w:rFonts w:ascii="宋体"/>
                <w:vanish/>
              </w:rPr>
            </w:pPr>
          </w:p>
        </w:tc>
        <w:tc>
          <w:tcPr>
            <w:tcW w:w="0" w:type="auto"/>
            <w:gridSpan w:val="3"/>
            <w:shd w:val="clear" w:color="auto" w:fill="auto"/>
            <w:vAlign w:val="bottom"/>
          </w:tcPr>
          <w:p w14:paraId="74DE25EA" w14:textId="77777777" w:rsidR="00584EC1" w:rsidRDefault="00584EC1">
            <w:pPr>
              <w:rPr>
                <w:rFonts w:ascii="宋体"/>
                <w:vanish/>
              </w:rPr>
            </w:pPr>
          </w:p>
        </w:tc>
      </w:tr>
      <w:tr w:rsidR="00584EC1" w14:paraId="74DE25F0" w14:textId="77777777">
        <w:trPr>
          <w:hidden/>
        </w:trPr>
        <w:tc>
          <w:tcPr>
            <w:tcW w:w="0" w:type="auto"/>
            <w:gridSpan w:val="3"/>
            <w:shd w:val="clear" w:color="auto" w:fill="auto"/>
            <w:vAlign w:val="bottom"/>
          </w:tcPr>
          <w:p w14:paraId="74DE25EC" w14:textId="77777777" w:rsidR="00584EC1" w:rsidRDefault="00584EC1">
            <w:pPr>
              <w:rPr>
                <w:rFonts w:ascii="宋体"/>
                <w:vanish/>
              </w:rPr>
            </w:pPr>
          </w:p>
        </w:tc>
        <w:tc>
          <w:tcPr>
            <w:tcW w:w="0" w:type="auto"/>
            <w:gridSpan w:val="3"/>
            <w:shd w:val="clear" w:color="auto" w:fill="auto"/>
            <w:vAlign w:val="bottom"/>
          </w:tcPr>
          <w:p w14:paraId="74DE25ED" w14:textId="77777777" w:rsidR="00584EC1" w:rsidRDefault="00584EC1">
            <w:pPr>
              <w:rPr>
                <w:rFonts w:ascii="宋体"/>
                <w:vanish/>
              </w:rPr>
            </w:pPr>
          </w:p>
        </w:tc>
        <w:tc>
          <w:tcPr>
            <w:tcW w:w="0" w:type="auto"/>
            <w:gridSpan w:val="3"/>
            <w:shd w:val="clear" w:color="auto" w:fill="auto"/>
            <w:vAlign w:val="bottom"/>
          </w:tcPr>
          <w:p w14:paraId="74DE25EE" w14:textId="77777777" w:rsidR="00584EC1" w:rsidRDefault="00584EC1">
            <w:pPr>
              <w:rPr>
                <w:rFonts w:ascii="宋体"/>
                <w:vanish/>
              </w:rPr>
            </w:pPr>
          </w:p>
        </w:tc>
        <w:tc>
          <w:tcPr>
            <w:tcW w:w="0" w:type="auto"/>
            <w:gridSpan w:val="3"/>
            <w:shd w:val="clear" w:color="auto" w:fill="auto"/>
            <w:vAlign w:val="bottom"/>
          </w:tcPr>
          <w:p w14:paraId="74DE25EF" w14:textId="77777777" w:rsidR="00584EC1" w:rsidRDefault="00584EC1">
            <w:pPr>
              <w:rPr>
                <w:rFonts w:ascii="宋体"/>
                <w:vanish/>
              </w:rPr>
            </w:pPr>
          </w:p>
        </w:tc>
      </w:tr>
      <w:tr w:rsidR="00584EC1" w14:paraId="74DE25F5" w14:textId="77777777">
        <w:trPr>
          <w:hidden/>
        </w:trPr>
        <w:tc>
          <w:tcPr>
            <w:tcW w:w="0" w:type="auto"/>
            <w:gridSpan w:val="3"/>
            <w:shd w:val="clear" w:color="auto" w:fill="auto"/>
            <w:vAlign w:val="bottom"/>
          </w:tcPr>
          <w:p w14:paraId="74DE25F1" w14:textId="77777777" w:rsidR="00584EC1" w:rsidRDefault="00584EC1">
            <w:pPr>
              <w:rPr>
                <w:rFonts w:ascii="宋体"/>
                <w:vanish/>
              </w:rPr>
            </w:pPr>
          </w:p>
        </w:tc>
        <w:tc>
          <w:tcPr>
            <w:tcW w:w="0" w:type="auto"/>
            <w:gridSpan w:val="3"/>
            <w:shd w:val="clear" w:color="auto" w:fill="auto"/>
            <w:vAlign w:val="bottom"/>
          </w:tcPr>
          <w:p w14:paraId="74DE25F2" w14:textId="77777777" w:rsidR="00584EC1" w:rsidRDefault="00584EC1">
            <w:pPr>
              <w:rPr>
                <w:rFonts w:ascii="宋体"/>
                <w:vanish/>
              </w:rPr>
            </w:pPr>
          </w:p>
        </w:tc>
        <w:tc>
          <w:tcPr>
            <w:tcW w:w="0" w:type="auto"/>
            <w:gridSpan w:val="3"/>
            <w:shd w:val="clear" w:color="auto" w:fill="auto"/>
            <w:vAlign w:val="bottom"/>
          </w:tcPr>
          <w:p w14:paraId="74DE25F3" w14:textId="77777777" w:rsidR="00584EC1" w:rsidRDefault="00584EC1">
            <w:pPr>
              <w:rPr>
                <w:rFonts w:ascii="宋体"/>
                <w:vanish/>
              </w:rPr>
            </w:pPr>
          </w:p>
        </w:tc>
        <w:tc>
          <w:tcPr>
            <w:tcW w:w="0" w:type="auto"/>
            <w:gridSpan w:val="3"/>
            <w:shd w:val="clear" w:color="auto" w:fill="auto"/>
            <w:vAlign w:val="bottom"/>
          </w:tcPr>
          <w:p w14:paraId="74DE25F4" w14:textId="77777777" w:rsidR="00584EC1" w:rsidRDefault="00584EC1">
            <w:pPr>
              <w:rPr>
                <w:rFonts w:ascii="宋体"/>
                <w:vanish/>
              </w:rPr>
            </w:pPr>
          </w:p>
        </w:tc>
      </w:tr>
      <w:tr w:rsidR="00584EC1" w14:paraId="74DE25FA" w14:textId="77777777">
        <w:trPr>
          <w:hidden/>
        </w:trPr>
        <w:tc>
          <w:tcPr>
            <w:tcW w:w="0" w:type="auto"/>
            <w:gridSpan w:val="3"/>
            <w:shd w:val="clear" w:color="auto" w:fill="auto"/>
            <w:vAlign w:val="bottom"/>
          </w:tcPr>
          <w:p w14:paraId="74DE25F6" w14:textId="77777777" w:rsidR="00584EC1" w:rsidRDefault="00584EC1">
            <w:pPr>
              <w:rPr>
                <w:rFonts w:ascii="宋体"/>
                <w:vanish/>
              </w:rPr>
            </w:pPr>
          </w:p>
        </w:tc>
        <w:tc>
          <w:tcPr>
            <w:tcW w:w="0" w:type="auto"/>
            <w:gridSpan w:val="3"/>
            <w:shd w:val="clear" w:color="auto" w:fill="auto"/>
            <w:vAlign w:val="bottom"/>
          </w:tcPr>
          <w:p w14:paraId="74DE25F7" w14:textId="77777777" w:rsidR="00584EC1" w:rsidRDefault="00584EC1">
            <w:pPr>
              <w:rPr>
                <w:rFonts w:ascii="宋体"/>
                <w:vanish/>
              </w:rPr>
            </w:pPr>
          </w:p>
        </w:tc>
        <w:tc>
          <w:tcPr>
            <w:tcW w:w="0" w:type="auto"/>
            <w:gridSpan w:val="3"/>
            <w:shd w:val="clear" w:color="auto" w:fill="auto"/>
            <w:vAlign w:val="bottom"/>
          </w:tcPr>
          <w:p w14:paraId="74DE25F8" w14:textId="77777777" w:rsidR="00584EC1" w:rsidRDefault="00584EC1">
            <w:pPr>
              <w:rPr>
                <w:rFonts w:ascii="宋体"/>
                <w:vanish/>
              </w:rPr>
            </w:pPr>
          </w:p>
        </w:tc>
        <w:tc>
          <w:tcPr>
            <w:tcW w:w="0" w:type="auto"/>
            <w:gridSpan w:val="3"/>
            <w:shd w:val="clear" w:color="auto" w:fill="auto"/>
            <w:vAlign w:val="bottom"/>
          </w:tcPr>
          <w:p w14:paraId="74DE25F9" w14:textId="77777777" w:rsidR="00584EC1" w:rsidRDefault="00584EC1">
            <w:pPr>
              <w:rPr>
                <w:rFonts w:ascii="宋体"/>
                <w:vanish/>
              </w:rPr>
            </w:pPr>
          </w:p>
        </w:tc>
      </w:tr>
      <w:tr w:rsidR="00584EC1" w14:paraId="74DE25FF" w14:textId="77777777">
        <w:trPr>
          <w:hidden/>
        </w:trPr>
        <w:tc>
          <w:tcPr>
            <w:tcW w:w="0" w:type="auto"/>
            <w:gridSpan w:val="3"/>
            <w:shd w:val="clear" w:color="auto" w:fill="auto"/>
            <w:vAlign w:val="bottom"/>
          </w:tcPr>
          <w:p w14:paraId="74DE25FB" w14:textId="77777777" w:rsidR="00584EC1" w:rsidRDefault="00584EC1">
            <w:pPr>
              <w:rPr>
                <w:rFonts w:ascii="宋体"/>
                <w:vanish/>
              </w:rPr>
            </w:pPr>
          </w:p>
        </w:tc>
        <w:tc>
          <w:tcPr>
            <w:tcW w:w="0" w:type="auto"/>
            <w:gridSpan w:val="3"/>
            <w:shd w:val="clear" w:color="auto" w:fill="auto"/>
            <w:vAlign w:val="bottom"/>
          </w:tcPr>
          <w:p w14:paraId="74DE25FC" w14:textId="77777777" w:rsidR="00584EC1" w:rsidRDefault="00584EC1">
            <w:pPr>
              <w:rPr>
                <w:rFonts w:ascii="宋体"/>
                <w:vanish/>
              </w:rPr>
            </w:pPr>
          </w:p>
        </w:tc>
        <w:tc>
          <w:tcPr>
            <w:tcW w:w="0" w:type="auto"/>
            <w:gridSpan w:val="3"/>
            <w:shd w:val="clear" w:color="auto" w:fill="auto"/>
            <w:vAlign w:val="bottom"/>
          </w:tcPr>
          <w:p w14:paraId="74DE25FD" w14:textId="77777777" w:rsidR="00584EC1" w:rsidRDefault="00584EC1">
            <w:pPr>
              <w:rPr>
                <w:rFonts w:ascii="宋体"/>
                <w:vanish/>
              </w:rPr>
            </w:pPr>
          </w:p>
        </w:tc>
        <w:tc>
          <w:tcPr>
            <w:tcW w:w="0" w:type="auto"/>
            <w:gridSpan w:val="3"/>
            <w:shd w:val="clear" w:color="auto" w:fill="auto"/>
            <w:vAlign w:val="bottom"/>
          </w:tcPr>
          <w:p w14:paraId="74DE25FE" w14:textId="77777777" w:rsidR="00584EC1" w:rsidRDefault="00584EC1">
            <w:pPr>
              <w:rPr>
                <w:rFonts w:ascii="宋体"/>
                <w:vanish/>
              </w:rPr>
            </w:pPr>
          </w:p>
        </w:tc>
      </w:tr>
      <w:tr w:rsidR="00584EC1" w14:paraId="74DE2604" w14:textId="77777777">
        <w:trPr>
          <w:hidden/>
        </w:trPr>
        <w:tc>
          <w:tcPr>
            <w:tcW w:w="0" w:type="auto"/>
            <w:gridSpan w:val="3"/>
            <w:shd w:val="clear" w:color="auto" w:fill="auto"/>
            <w:vAlign w:val="bottom"/>
          </w:tcPr>
          <w:p w14:paraId="74DE2600" w14:textId="77777777" w:rsidR="00584EC1" w:rsidRDefault="00584EC1">
            <w:pPr>
              <w:rPr>
                <w:rFonts w:ascii="宋体"/>
                <w:vanish/>
              </w:rPr>
            </w:pPr>
          </w:p>
        </w:tc>
        <w:tc>
          <w:tcPr>
            <w:tcW w:w="0" w:type="auto"/>
            <w:gridSpan w:val="3"/>
            <w:shd w:val="clear" w:color="auto" w:fill="auto"/>
            <w:vAlign w:val="bottom"/>
          </w:tcPr>
          <w:p w14:paraId="74DE2601" w14:textId="77777777" w:rsidR="00584EC1" w:rsidRDefault="00584EC1">
            <w:pPr>
              <w:rPr>
                <w:rFonts w:ascii="宋体"/>
                <w:vanish/>
              </w:rPr>
            </w:pPr>
          </w:p>
        </w:tc>
        <w:tc>
          <w:tcPr>
            <w:tcW w:w="0" w:type="auto"/>
            <w:gridSpan w:val="3"/>
            <w:shd w:val="clear" w:color="auto" w:fill="auto"/>
            <w:vAlign w:val="bottom"/>
          </w:tcPr>
          <w:p w14:paraId="74DE2602" w14:textId="77777777" w:rsidR="00584EC1" w:rsidRDefault="00584EC1">
            <w:pPr>
              <w:rPr>
                <w:rFonts w:ascii="宋体"/>
                <w:vanish/>
              </w:rPr>
            </w:pPr>
          </w:p>
        </w:tc>
        <w:tc>
          <w:tcPr>
            <w:tcW w:w="0" w:type="auto"/>
            <w:gridSpan w:val="3"/>
            <w:shd w:val="clear" w:color="auto" w:fill="auto"/>
            <w:vAlign w:val="bottom"/>
          </w:tcPr>
          <w:p w14:paraId="74DE2603" w14:textId="77777777" w:rsidR="00584EC1" w:rsidRDefault="00584EC1">
            <w:pPr>
              <w:rPr>
                <w:rFonts w:ascii="宋体"/>
                <w:vanish/>
              </w:rPr>
            </w:pPr>
          </w:p>
        </w:tc>
      </w:tr>
      <w:tr w:rsidR="00584EC1" w14:paraId="74DE2609" w14:textId="77777777">
        <w:trPr>
          <w:hidden/>
        </w:trPr>
        <w:tc>
          <w:tcPr>
            <w:tcW w:w="0" w:type="auto"/>
            <w:gridSpan w:val="3"/>
            <w:shd w:val="clear" w:color="auto" w:fill="auto"/>
            <w:vAlign w:val="bottom"/>
          </w:tcPr>
          <w:p w14:paraId="74DE2605" w14:textId="77777777" w:rsidR="00584EC1" w:rsidRDefault="00584EC1">
            <w:pPr>
              <w:rPr>
                <w:rFonts w:ascii="宋体"/>
                <w:vanish/>
              </w:rPr>
            </w:pPr>
          </w:p>
        </w:tc>
        <w:tc>
          <w:tcPr>
            <w:tcW w:w="0" w:type="auto"/>
            <w:gridSpan w:val="3"/>
            <w:shd w:val="clear" w:color="auto" w:fill="auto"/>
            <w:vAlign w:val="bottom"/>
          </w:tcPr>
          <w:p w14:paraId="74DE2606" w14:textId="77777777" w:rsidR="00584EC1" w:rsidRDefault="00584EC1">
            <w:pPr>
              <w:rPr>
                <w:rFonts w:ascii="宋体"/>
                <w:vanish/>
              </w:rPr>
            </w:pPr>
          </w:p>
        </w:tc>
        <w:tc>
          <w:tcPr>
            <w:tcW w:w="0" w:type="auto"/>
            <w:gridSpan w:val="3"/>
            <w:shd w:val="clear" w:color="auto" w:fill="auto"/>
            <w:vAlign w:val="bottom"/>
          </w:tcPr>
          <w:p w14:paraId="74DE2607" w14:textId="77777777" w:rsidR="00584EC1" w:rsidRDefault="00584EC1">
            <w:pPr>
              <w:rPr>
                <w:rFonts w:ascii="宋体"/>
                <w:vanish/>
              </w:rPr>
            </w:pPr>
          </w:p>
        </w:tc>
        <w:tc>
          <w:tcPr>
            <w:tcW w:w="0" w:type="auto"/>
            <w:gridSpan w:val="3"/>
            <w:shd w:val="clear" w:color="auto" w:fill="auto"/>
            <w:vAlign w:val="bottom"/>
          </w:tcPr>
          <w:p w14:paraId="74DE2608" w14:textId="77777777" w:rsidR="00584EC1" w:rsidRDefault="00584EC1">
            <w:pPr>
              <w:rPr>
                <w:rFonts w:ascii="宋体"/>
                <w:vanish/>
              </w:rPr>
            </w:pPr>
          </w:p>
        </w:tc>
      </w:tr>
      <w:tr w:rsidR="00584EC1" w14:paraId="74DE260E" w14:textId="77777777">
        <w:trPr>
          <w:hidden/>
        </w:trPr>
        <w:tc>
          <w:tcPr>
            <w:tcW w:w="0" w:type="auto"/>
            <w:gridSpan w:val="3"/>
            <w:shd w:val="clear" w:color="auto" w:fill="auto"/>
            <w:vAlign w:val="bottom"/>
          </w:tcPr>
          <w:p w14:paraId="74DE260A" w14:textId="77777777" w:rsidR="00584EC1" w:rsidRDefault="00584EC1">
            <w:pPr>
              <w:rPr>
                <w:rFonts w:ascii="宋体"/>
                <w:vanish/>
              </w:rPr>
            </w:pPr>
          </w:p>
        </w:tc>
        <w:tc>
          <w:tcPr>
            <w:tcW w:w="0" w:type="auto"/>
            <w:gridSpan w:val="3"/>
            <w:shd w:val="clear" w:color="auto" w:fill="auto"/>
            <w:vAlign w:val="bottom"/>
          </w:tcPr>
          <w:p w14:paraId="74DE260B" w14:textId="77777777" w:rsidR="00584EC1" w:rsidRDefault="00584EC1">
            <w:pPr>
              <w:rPr>
                <w:rFonts w:ascii="宋体"/>
                <w:vanish/>
              </w:rPr>
            </w:pPr>
          </w:p>
        </w:tc>
        <w:tc>
          <w:tcPr>
            <w:tcW w:w="0" w:type="auto"/>
            <w:gridSpan w:val="3"/>
            <w:shd w:val="clear" w:color="auto" w:fill="auto"/>
            <w:vAlign w:val="bottom"/>
          </w:tcPr>
          <w:p w14:paraId="74DE260C" w14:textId="77777777" w:rsidR="00584EC1" w:rsidRDefault="00584EC1">
            <w:pPr>
              <w:rPr>
                <w:rFonts w:ascii="宋体"/>
                <w:vanish/>
              </w:rPr>
            </w:pPr>
          </w:p>
        </w:tc>
        <w:tc>
          <w:tcPr>
            <w:tcW w:w="0" w:type="auto"/>
            <w:gridSpan w:val="3"/>
            <w:shd w:val="clear" w:color="auto" w:fill="auto"/>
            <w:vAlign w:val="bottom"/>
          </w:tcPr>
          <w:p w14:paraId="74DE260D" w14:textId="77777777" w:rsidR="00584EC1" w:rsidRDefault="00584EC1">
            <w:pPr>
              <w:rPr>
                <w:rFonts w:ascii="宋体"/>
                <w:vanish/>
              </w:rPr>
            </w:pPr>
          </w:p>
        </w:tc>
      </w:tr>
      <w:tr w:rsidR="00584EC1" w14:paraId="74DE2613" w14:textId="77777777">
        <w:trPr>
          <w:hidden/>
        </w:trPr>
        <w:tc>
          <w:tcPr>
            <w:tcW w:w="0" w:type="auto"/>
            <w:gridSpan w:val="3"/>
            <w:shd w:val="clear" w:color="auto" w:fill="auto"/>
            <w:vAlign w:val="bottom"/>
          </w:tcPr>
          <w:p w14:paraId="74DE260F" w14:textId="77777777" w:rsidR="00584EC1" w:rsidRDefault="00584EC1">
            <w:pPr>
              <w:rPr>
                <w:rFonts w:ascii="宋体"/>
                <w:vanish/>
              </w:rPr>
            </w:pPr>
          </w:p>
        </w:tc>
        <w:tc>
          <w:tcPr>
            <w:tcW w:w="0" w:type="auto"/>
            <w:gridSpan w:val="3"/>
            <w:shd w:val="clear" w:color="auto" w:fill="auto"/>
            <w:vAlign w:val="bottom"/>
          </w:tcPr>
          <w:p w14:paraId="74DE2610" w14:textId="77777777" w:rsidR="00584EC1" w:rsidRDefault="00584EC1">
            <w:pPr>
              <w:rPr>
                <w:rFonts w:ascii="宋体"/>
                <w:vanish/>
              </w:rPr>
            </w:pPr>
          </w:p>
        </w:tc>
        <w:tc>
          <w:tcPr>
            <w:tcW w:w="0" w:type="auto"/>
            <w:gridSpan w:val="3"/>
            <w:shd w:val="clear" w:color="auto" w:fill="auto"/>
            <w:vAlign w:val="bottom"/>
          </w:tcPr>
          <w:p w14:paraId="74DE2611" w14:textId="77777777" w:rsidR="00584EC1" w:rsidRDefault="00584EC1">
            <w:pPr>
              <w:rPr>
                <w:rFonts w:ascii="宋体"/>
                <w:vanish/>
              </w:rPr>
            </w:pPr>
          </w:p>
        </w:tc>
        <w:tc>
          <w:tcPr>
            <w:tcW w:w="0" w:type="auto"/>
            <w:gridSpan w:val="3"/>
            <w:shd w:val="clear" w:color="auto" w:fill="auto"/>
            <w:vAlign w:val="bottom"/>
          </w:tcPr>
          <w:p w14:paraId="74DE2612" w14:textId="77777777" w:rsidR="00584EC1" w:rsidRDefault="00584EC1">
            <w:pPr>
              <w:rPr>
                <w:rFonts w:ascii="宋体"/>
                <w:vanish/>
              </w:rPr>
            </w:pPr>
          </w:p>
        </w:tc>
      </w:tr>
      <w:tr w:rsidR="00584EC1" w14:paraId="74DE2618" w14:textId="77777777">
        <w:trPr>
          <w:hidden/>
        </w:trPr>
        <w:tc>
          <w:tcPr>
            <w:tcW w:w="0" w:type="auto"/>
            <w:gridSpan w:val="3"/>
            <w:shd w:val="clear" w:color="auto" w:fill="auto"/>
            <w:vAlign w:val="bottom"/>
          </w:tcPr>
          <w:p w14:paraId="74DE2614" w14:textId="77777777" w:rsidR="00584EC1" w:rsidRDefault="00584EC1">
            <w:pPr>
              <w:rPr>
                <w:rFonts w:ascii="宋体"/>
                <w:vanish/>
              </w:rPr>
            </w:pPr>
          </w:p>
        </w:tc>
        <w:tc>
          <w:tcPr>
            <w:tcW w:w="0" w:type="auto"/>
            <w:gridSpan w:val="3"/>
            <w:shd w:val="clear" w:color="auto" w:fill="auto"/>
            <w:vAlign w:val="bottom"/>
          </w:tcPr>
          <w:p w14:paraId="74DE2615" w14:textId="77777777" w:rsidR="00584EC1" w:rsidRDefault="00584EC1">
            <w:pPr>
              <w:rPr>
                <w:rFonts w:ascii="宋体"/>
                <w:vanish/>
              </w:rPr>
            </w:pPr>
          </w:p>
        </w:tc>
        <w:tc>
          <w:tcPr>
            <w:tcW w:w="0" w:type="auto"/>
            <w:gridSpan w:val="3"/>
            <w:shd w:val="clear" w:color="auto" w:fill="auto"/>
            <w:vAlign w:val="bottom"/>
          </w:tcPr>
          <w:p w14:paraId="74DE2616" w14:textId="77777777" w:rsidR="00584EC1" w:rsidRDefault="00584EC1">
            <w:pPr>
              <w:rPr>
                <w:rFonts w:ascii="宋体"/>
                <w:vanish/>
              </w:rPr>
            </w:pPr>
          </w:p>
        </w:tc>
        <w:tc>
          <w:tcPr>
            <w:tcW w:w="0" w:type="auto"/>
            <w:gridSpan w:val="3"/>
            <w:shd w:val="clear" w:color="auto" w:fill="auto"/>
            <w:vAlign w:val="bottom"/>
          </w:tcPr>
          <w:p w14:paraId="74DE2617" w14:textId="77777777" w:rsidR="00584EC1" w:rsidRDefault="00584EC1">
            <w:pPr>
              <w:rPr>
                <w:rFonts w:ascii="宋体"/>
                <w:vanish/>
              </w:rPr>
            </w:pPr>
          </w:p>
        </w:tc>
      </w:tr>
      <w:tr w:rsidR="00584EC1" w14:paraId="74DE261D" w14:textId="77777777">
        <w:trPr>
          <w:hidden/>
        </w:trPr>
        <w:tc>
          <w:tcPr>
            <w:tcW w:w="0" w:type="auto"/>
            <w:gridSpan w:val="3"/>
            <w:shd w:val="clear" w:color="auto" w:fill="auto"/>
            <w:vAlign w:val="bottom"/>
          </w:tcPr>
          <w:p w14:paraId="74DE2619" w14:textId="77777777" w:rsidR="00584EC1" w:rsidRDefault="00584EC1">
            <w:pPr>
              <w:rPr>
                <w:rFonts w:ascii="宋体"/>
                <w:vanish/>
              </w:rPr>
            </w:pPr>
          </w:p>
        </w:tc>
        <w:tc>
          <w:tcPr>
            <w:tcW w:w="0" w:type="auto"/>
            <w:gridSpan w:val="3"/>
            <w:shd w:val="clear" w:color="auto" w:fill="auto"/>
            <w:vAlign w:val="bottom"/>
          </w:tcPr>
          <w:p w14:paraId="74DE261A" w14:textId="77777777" w:rsidR="00584EC1" w:rsidRDefault="00584EC1">
            <w:pPr>
              <w:rPr>
                <w:rFonts w:ascii="宋体"/>
                <w:vanish/>
              </w:rPr>
            </w:pPr>
          </w:p>
        </w:tc>
        <w:tc>
          <w:tcPr>
            <w:tcW w:w="0" w:type="auto"/>
            <w:gridSpan w:val="3"/>
            <w:shd w:val="clear" w:color="auto" w:fill="auto"/>
            <w:vAlign w:val="bottom"/>
          </w:tcPr>
          <w:p w14:paraId="74DE261B" w14:textId="77777777" w:rsidR="00584EC1" w:rsidRDefault="00584EC1">
            <w:pPr>
              <w:rPr>
                <w:rFonts w:ascii="宋体"/>
                <w:vanish/>
              </w:rPr>
            </w:pPr>
          </w:p>
        </w:tc>
        <w:tc>
          <w:tcPr>
            <w:tcW w:w="0" w:type="auto"/>
            <w:gridSpan w:val="3"/>
            <w:shd w:val="clear" w:color="auto" w:fill="auto"/>
            <w:vAlign w:val="bottom"/>
          </w:tcPr>
          <w:p w14:paraId="74DE261C" w14:textId="77777777" w:rsidR="00584EC1" w:rsidRDefault="00584EC1">
            <w:pPr>
              <w:rPr>
                <w:rFonts w:ascii="宋体"/>
                <w:vanish/>
              </w:rPr>
            </w:pPr>
          </w:p>
        </w:tc>
      </w:tr>
      <w:tr w:rsidR="00584EC1" w14:paraId="74DE2622" w14:textId="77777777">
        <w:trPr>
          <w:hidden/>
        </w:trPr>
        <w:tc>
          <w:tcPr>
            <w:tcW w:w="0" w:type="auto"/>
            <w:gridSpan w:val="3"/>
            <w:shd w:val="clear" w:color="auto" w:fill="auto"/>
            <w:vAlign w:val="bottom"/>
          </w:tcPr>
          <w:p w14:paraId="74DE261E" w14:textId="77777777" w:rsidR="00584EC1" w:rsidRDefault="00584EC1">
            <w:pPr>
              <w:rPr>
                <w:rFonts w:ascii="宋体"/>
                <w:vanish/>
              </w:rPr>
            </w:pPr>
          </w:p>
        </w:tc>
        <w:tc>
          <w:tcPr>
            <w:tcW w:w="0" w:type="auto"/>
            <w:gridSpan w:val="3"/>
            <w:shd w:val="clear" w:color="auto" w:fill="auto"/>
            <w:vAlign w:val="bottom"/>
          </w:tcPr>
          <w:p w14:paraId="74DE261F" w14:textId="77777777" w:rsidR="00584EC1" w:rsidRDefault="00584EC1">
            <w:pPr>
              <w:rPr>
                <w:rFonts w:ascii="宋体"/>
                <w:vanish/>
              </w:rPr>
            </w:pPr>
          </w:p>
        </w:tc>
        <w:tc>
          <w:tcPr>
            <w:tcW w:w="0" w:type="auto"/>
            <w:gridSpan w:val="3"/>
            <w:shd w:val="clear" w:color="auto" w:fill="auto"/>
            <w:vAlign w:val="bottom"/>
          </w:tcPr>
          <w:p w14:paraId="74DE2620" w14:textId="77777777" w:rsidR="00584EC1" w:rsidRDefault="00584EC1">
            <w:pPr>
              <w:rPr>
                <w:rFonts w:ascii="宋体"/>
                <w:vanish/>
              </w:rPr>
            </w:pPr>
          </w:p>
        </w:tc>
        <w:tc>
          <w:tcPr>
            <w:tcW w:w="0" w:type="auto"/>
            <w:gridSpan w:val="3"/>
            <w:shd w:val="clear" w:color="auto" w:fill="auto"/>
            <w:vAlign w:val="bottom"/>
          </w:tcPr>
          <w:p w14:paraId="74DE2621" w14:textId="77777777" w:rsidR="00584EC1" w:rsidRDefault="00584EC1">
            <w:pPr>
              <w:rPr>
                <w:rFonts w:ascii="宋体"/>
                <w:vanish/>
              </w:rPr>
            </w:pPr>
          </w:p>
        </w:tc>
      </w:tr>
      <w:tr w:rsidR="00584EC1" w14:paraId="74DE2627" w14:textId="77777777">
        <w:trPr>
          <w:hidden/>
        </w:trPr>
        <w:tc>
          <w:tcPr>
            <w:tcW w:w="0" w:type="auto"/>
            <w:gridSpan w:val="3"/>
            <w:shd w:val="clear" w:color="auto" w:fill="auto"/>
            <w:vAlign w:val="bottom"/>
          </w:tcPr>
          <w:p w14:paraId="74DE2623" w14:textId="77777777" w:rsidR="00584EC1" w:rsidRDefault="00584EC1">
            <w:pPr>
              <w:rPr>
                <w:rFonts w:ascii="宋体"/>
                <w:vanish/>
              </w:rPr>
            </w:pPr>
          </w:p>
        </w:tc>
        <w:tc>
          <w:tcPr>
            <w:tcW w:w="0" w:type="auto"/>
            <w:gridSpan w:val="3"/>
            <w:shd w:val="clear" w:color="auto" w:fill="auto"/>
            <w:vAlign w:val="bottom"/>
          </w:tcPr>
          <w:p w14:paraId="74DE2624" w14:textId="77777777" w:rsidR="00584EC1" w:rsidRDefault="00584EC1">
            <w:pPr>
              <w:rPr>
                <w:rFonts w:ascii="宋体"/>
                <w:vanish/>
              </w:rPr>
            </w:pPr>
          </w:p>
        </w:tc>
        <w:tc>
          <w:tcPr>
            <w:tcW w:w="0" w:type="auto"/>
            <w:gridSpan w:val="3"/>
            <w:shd w:val="clear" w:color="auto" w:fill="auto"/>
            <w:vAlign w:val="bottom"/>
          </w:tcPr>
          <w:p w14:paraId="74DE2625" w14:textId="77777777" w:rsidR="00584EC1" w:rsidRDefault="00584EC1">
            <w:pPr>
              <w:rPr>
                <w:rFonts w:ascii="宋体"/>
                <w:vanish/>
              </w:rPr>
            </w:pPr>
          </w:p>
        </w:tc>
        <w:tc>
          <w:tcPr>
            <w:tcW w:w="0" w:type="auto"/>
            <w:gridSpan w:val="3"/>
            <w:shd w:val="clear" w:color="auto" w:fill="auto"/>
            <w:vAlign w:val="bottom"/>
          </w:tcPr>
          <w:p w14:paraId="74DE2626" w14:textId="77777777" w:rsidR="00584EC1" w:rsidRDefault="00584EC1">
            <w:pPr>
              <w:rPr>
                <w:rFonts w:ascii="宋体"/>
                <w:vanish/>
              </w:rPr>
            </w:pPr>
          </w:p>
        </w:tc>
      </w:tr>
      <w:tr w:rsidR="00584EC1" w14:paraId="74DE262C" w14:textId="77777777">
        <w:trPr>
          <w:hidden/>
        </w:trPr>
        <w:tc>
          <w:tcPr>
            <w:tcW w:w="0" w:type="auto"/>
            <w:gridSpan w:val="3"/>
            <w:shd w:val="clear" w:color="auto" w:fill="auto"/>
            <w:vAlign w:val="bottom"/>
          </w:tcPr>
          <w:p w14:paraId="74DE2628" w14:textId="77777777" w:rsidR="00584EC1" w:rsidRDefault="00584EC1">
            <w:pPr>
              <w:rPr>
                <w:rFonts w:ascii="宋体"/>
                <w:vanish/>
              </w:rPr>
            </w:pPr>
          </w:p>
        </w:tc>
        <w:tc>
          <w:tcPr>
            <w:tcW w:w="0" w:type="auto"/>
            <w:gridSpan w:val="3"/>
            <w:shd w:val="clear" w:color="auto" w:fill="auto"/>
            <w:vAlign w:val="bottom"/>
          </w:tcPr>
          <w:p w14:paraId="74DE2629" w14:textId="77777777" w:rsidR="00584EC1" w:rsidRDefault="00584EC1">
            <w:pPr>
              <w:rPr>
                <w:rFonts w:ascii="宋体"/>
                <w:vanish/>
              </w:rPr>
            </w:pPr>
          </w:p>
        </w:tc>
        <w:tc>
          <w:tcPr>
            <w:tcW w:w="0" w:type="auto"/>
            <w:gridSpan w:val="3"/>
            <w:shd w:val="clear" w:color="auto" w:fill="auto"/>
            <w:vAlign w:val="bottom"/>
          </w:tcPr>
          <w:p w14:paraId="74DE262A" w14:textId="77777777" w:rsidR="00584EC1" w:rsidRDefault="00584EC1">
            <w:pPr>
              <w:rPr>
                <w:rFonts w:ascii="宋体"/>
                <w:vanish/>
              </w:rPr>
            </w:pPr>
          </w:p>
        </w:tc>
        <w:tc>
          <w:tcPr>
            <w:tcW w:w="0" w:type="auto"/>
            <w:gridSpan w:val="3"/>
            <w:shd w:val="clear" w:color="auto" w:fill="auto"/>
            <w:vAlign w:val="bottom"/>
          </w:tcPr>
          <w:p w14:paraId="74DE262B" w14:textId="77777777" w:rsidR="00584EC1" w:rsidRDefault="00584EC1">
            <w:pPr>
              <w:rPr>
                <w:rFonts w:ascii="宋体"/>
                <w:vanish/>
              </w:rPr>
            </w:pPr>
          </w:p>
        </w:tc>
      </w:tr>
      <w:tr w:rsidR="00584EC1" w14:paraId="74DE2631" w14:textId="77777777">
        <w:trPr>
          <w:hidden/>
        </w:trPr>
        <w:tc>
          <w:tcPr>
            <w:tcW w:w="0" w:type="auto"/>
            <w:gridSpan w:val="3"/>
            <w:shd w:val="clear" w:color="auto" w:fill="auto"/>
            <w:vAlign w:val="bottom"/>
          </w:tcPr>
          <w:p w14:paraId="74DE262D" w14:textId="77777777" w:rsidR="00584EC1" w:rsidRDefault="00584EC1">
            <w:pPr>
              <w:rPr>
                <w:rFonts w:ascii="宋体"/>
                <w:vanish/>
              </w:rPr>
            </w:pPr>
          </w:p>
        </w:tc>
        <w:tc>
          <w:tcPr>
            <w:tcW w:w="0" w:type="auto"/>
            <w:gridSpan w:val="3"/>
            <w:shd w:val="clear" w:color="auto" w:fill="auto"/>
            <w:vAlign w:val="bottom"/>
          </w:tcPr>
          <w:p w14:paraId="74DE262E" w14:textId="77777777" w:rsidR="00584EC1" w:rsidRDefault="00584EC1">
            <w:pPr>
              <w:rPr>
                <w:rFonts w:ascii="宋体"/>
                <w:vanish/>
              </w:rPr>
            </w:pPr>
          </w:p>
        </w:tc>
        <w:tc>
          <w:tcPr>
            <w:tcW w:w="0" w:type="auto"/>
            <w:gridSpan w:val="3"/>
            <w:shd w:val="clear" w:color="auto" w:fill="auto"/>
            <w:vAlign w:val="bottom"/>
          </w:tcPr>
          <w:p w14:paraId="74DE262F" w14:textId="77777777" w:rsidR="00584EC1" w:rsidRDefault="00584EC1">
            <w:pPr>
              <w:rPr>
                <w:rFonts w:ascii="宋体"/>
                <w:vanish/>
              </w:rPr>
            </w:pPr>
          </w:p>
        </w:tc>
        <w:tc>
          <w:tcPr>
            <w:tcW w:w="0" w:type="auto"/>
            <w:gridSpan w:val="3"/>
            <w:shd w:val="clear" w:color="auto" w:fill="auto"/>
            <w:vAlign w:val="bottom"/>
          </w:tcPr>
          <w:p w14:paraId="74DE2630" w14:textId="77777777" w:rsidR="00584EC1" w:rsidRDefault="00584EC1">
            <w:pPr>
              <w:rPr>
                <w:rFonts w:ascii="宋体"/>
                <w:vanish/>
              </w:rPr>
            </w:pPr>
          </w:p>
        </w:tc>
      </w:tr>
      <w:tr w:rsidR="00584EC1" w14:paraId="74DE2636" w14:textId="77777777">
        <w:trPr>
          <w:hidden/>
        </w:trPr>
        <w:tc>
          <w:tcPr>
            <w:tcW w:w="0" w:type="auto"/>
            <w:gridSpan w:val="3"/>
            <w:shd w:val="clear" w:color="auto" w:fill="auto"/>
            <w:vAlign w:val="bottom"/>
          </w:tcPr>
          <w:p w14:paraId="74DE2632" w14:textId="77777777" w:rsidR="00584EC1" w:rsidRDefault="00584EC1">
            <w:pPr>
              <w:rPr>
                <w:rFonts w:ascii="宋体"/>
                <w:vanish/>
              </w:rPr>
            </w:pPr>
          </w:p>
        </w:tc>
        <w:tc>
          <w:tcPr>
            <w:tcW w:w="0" w:type="auto"/>
            <w:gridSpan w:val="3"/>
            <w:shd w:val="clear" w:color="auto" w:fill="auto"/>
            <w:vAlign w:val="bottom"/>
          </w:tcPr>
          <w:p w14:paraId="74DE2633" w14:textId="77777777" w:rsidR="00584EC1" w:rsidRDefault="00584EC1">
            <w:pPr>
              <w:rPr>
                <w:rFonts w:ascii="宋体"/>
                <w:vanish/>
              </w:rPr>
            </w:pPr>
          </w:p>
        </w:tc>
        <w:tc>
          <w:tcPr>
            <w:tcW w:w="0" w:type="auto"/>
            <w:gridSpan w:val="3"/>
            <w:shd w:val="clear" w:color="auto" w:fill="auto"/>
            <w:vAlign w:val="bottom"/>
          </w:tcPr>
          <w:p w14:paraId="74DE2634" w14:textId="77777777" w:rsidR="00584EC1" w:rsidRDefault="00584EC1">
            <w:pPr>
              <w:rPr>
                <w:rFonts w:ascii="宋体"/>
                <w:vanish/>
              </w:rPr>
            </w:pPr>
          </w:p>
        </w:tc>
        <w:tc>
          <w:tcPr>
            <w:tcW w:w="0" w:type="auto"/>
            <w:gridSpan w:val="3"/>
            <w:shd w:val="clear" w:color="auto" w:fill="auto"/>
            <w:vAlign w:val="bottom"/>
          </w:tcPr>
          <w:p w14:paraId="74DE2635" w14:textId="77777777" w:rsidR="00584EC1" w:rsidRDefault="00584EC1">
            <w:pPr>
              <w:rPr>
                <w:rFonts w:ascii="宋体"/>
                <w:vanish/>
              </w:rPr>
            </w:pPr>
          </w:p>
        </w:tc>
      </w:tr>
      <w:tr w:rsidR="00584EC1" w14:paraId="74DE263B" w14:textId="77777777">
        <w:trPr>
          <w:hidden/>
        </w:trPr>
        <w:tc>
          <w:tcPr>
            <w:tcW w:w="0" w:type="auto"/>
            <w:gridSpan w:val="3"/>
            <w:shd w:val="clear" w:color="auto" w:fill="auto"/>
            <w:vAlign w:val="bottom"/>
          </w:tcPr>
          <w:p w14:paraId="74DE2637" w14:textId="77777777" w:rsidR="00584EC1" w:rsidRDefault="00584EC1">
            <w:pPr>
              <w:rPr>
                <w:rFonts w:ascii="宋体"/>
                <w:vanish/>
              </w:rPr>
            </w:pPr>
          </w:p>
        </w:tc>
        <w:tc>
          <w:tcPr>
            <w:tcW w:w="0" w:type="auto"/>
            <w:gridSpan w:val="3"/>
            <w:shd w:val="clear" w:color="auto" w:fill="auto"/>
            <w:vAlign w:val="bottom"/>
          </w:tcPr>
          <w:p w14:paraId="74DE2638" w14:textId="77777777" w:rsidR="00584EC1" w:rsidRDefault="00584EC1">
            <w:pPr>
              <w:rPr>
                <w:rFonts w:ascii="宋体"/>
                <w:vanish/>
              </w:rPr>
            </w:pPr>
          </w:p>
        </w:tc>
        <w:tc>
          <w:tcPr>
            <w:tcW w:w="0" w:type="auto"/>
            <w:gridSpan w:val="3"/>
            <w:shd w:val="clear" w:color="auto" w:fill="auto"/>
            <w:vAlign w:val="bottom"/>
          </w:tcPr>
          <w:p w14:paraId="74DE2639" w14:textId="77777777" w:rsidR="00584EC1" w:rsidRDefault="00584EC1">
            <w:pPr>
              <w:rPr>
                <w:rFonts w:ascii="宋体"/>
                <w:vanish/>
              </w:rPr>
            </w:pPr>
          </w:p>
        </w:tc>
        <w:tc>
          <w:tcPr>
            <w:tcW w:w="0" w:type="auto"/>
            <w:gridSpan w:val="3"/>
            <w:shd w:val="clear" w:color="auto" w:fill="auto"/>
            <w:vAlign w:val="bottom"/>
          </w:tcPr>
          <w:p w14:paraId="74DE263A" w14:textId="77777777" w:rsidR="00584EC1" w:rsidRDefault="00584EC1">
            <w:pPr>
              <w:rPr>
                <w:rFonts w:ascii="宋体"/>
                <w:vanish/>
              </w:rPr>
            </w:pPr>
          </w:p>
        </w:tc>
      </w:tr>
      <w:tr w:rsidR="00584EC1" w14:paraId="74DE2640" w14:textId="77777777">
        <w:trPr>
          <w:hidden/>
        </w:trPr>
        <w:tc>
          <w:tcPr>
            <w:tcW w:w="0" w:type="auto"/>
            <w:gridSpan w:val="3"/>
            <w:shd w:val="clear" w:color="auto" w:fill="auto"/>
            <w:vAlign w:val="bottom"/>
          </w:tcPr>
          <w:p w14:paraId="74DE263C" w14:textId="77777777" w:rsidR="00584EC1" w:rsidRDefault="00584EC1">
            <w:pPr>
              <w:rPr>
                <w:rFonts w:ascii="宋体"/>
                <w:vanish/>
              </w:rPr>
            </w:pPr>
          </w:p>
        </w:tc>
        <w:tc>
          <w:tcPr>
            <w:tcW w:w="0" w:type="auto"/>
            <w:gridSpan w:val="3"/>
            <w:shd w:val="clear" w:color="auto" w:fill="auto"/>
            <w:vAlign w:val="bottom"/>
          </w:tcPr>
          <w:p w14:paraId="74DE263D" w14:textId="77777777" w:rsidR="00584EC1" w:rsidRDefault="00584EC1">
            <w:pPr>
              <w:rPr>
                <w:rFonts w:ascii="宋体"/>
                <w:vanish/>
              </w:rPr>
            </w:pPr>
          </w:p>
        </w:tc>
        <w:tc>
          <w:tcPr>
            <w:tcW w:w="0" w:type="auto"/>
            <w:gridSpan w:val="3"/>
            <w:shd w:val="clear" w:color="auto" w:fill="auto"/>
            <w:vAlign w:val="bottom"/>
          </w:tcPr>
          <w:p w14:paraId="74DE263E" w14:textId="77777777" w:rsidR="00584EC1" w:rsidRDefault="00584EC1">
            <w:pPr>
              <w:rPr>
                <w:rFonts w:ascii="宋体"/>
                <w:vanish/>
              </w:rPr>
            </w:pPr>
          </w:p>
        </w:tc>
        <w:tc>
          <w:tcPr>
            <w:tcW w:w="0" w:type="auto"/>
            <w:gridSpan w:val="3"/>
            <w:shd w:val="clear" w:color="auto" w:fill="auto"/>
            <w:vAlign w:val="bottom"/>
          </w:tcPr>
          <w:p w14:paraId="74DE263F" w14:textId="77777777" w:rsidR="00584EC1" w:rsidRDefault="00584EC1">
            <w:pPr>
              <w:rPr>
                <w:rFonts w:ascii="宋体"/>
                <w:vanish/>
              </w:rPr>
            </w:pPr>
          </w:p>
        </w:tc>
      </w:tr>
      <w:tr w:rsidR="00584EC1" w14:paraId="74DE2645" w14:textId="77777777">
        <w:trPr>
          <w:hidden/>
        </w:trPr>
        <w:tc>
          <w:tcPr>
            <w:tcW w:w="0" w:type="auto"/>
            <w:gridSpan w:val="3"/>
            <w:shd w:val="clear" w:color="auto" w:fill="auto"/>
            <w:vAlign w:val="bottom"/>
          </w:tcPr>
          <w:p w14:paraId="74DE2641" w14:textId="77777777" w:rsidR="00584EC1" w:rsidRDefault="00584EC1">
            <w:pPr>
              <w:rPr>
                <w:rFonts w:ascii="宋体"/>
                <w:vanish/>
              </w:rPr>
            </w:pPr>
          </w:p>
        </w:tc>
        <w:tc>
          <w:tcPr>
            <w:tcW w:w="0" w:type="auto"/>
            <w:gridSpan w:val="3"/>
            <w:shd w:val="clear" w:color="auto" w:fill="auto"/>
            <w:vAlign w:val="bottom"/>
          </w:tcPr>
          <w:p w14:paraId="74DE2642" w14:textId="77777777" w:rsidR="00584EC1" w:rsidRDefault="00584EC1">
            <w:pPr>
              <w:rPr>
                <w:rFonts w:ascii="宋体"/>
                <w:vanish/>
              </w:rPr>
            </w:pPr>
          </w:p>
        </w:tc>
        <w:tc>
          <w:tcPr>
            <w:tcW w:w="0" w:type="auto"/>
            <w:gridSpan w:val="3"/>
            <w:shd w:val="clear" w:color="auto" w:fill="auto"/>
            <w:vAlign w:val="bottom"/>
          </w:tcPr>
          <w:p w14:paraId="74DE2643" w14:textId="77777777" w:rsidR="00584EC1" w:rsidRDefault="00584EC1">
            <w:pPr>
              <w:rPr>
                <w:rFonts w:ascii="宋体"/>
                <w:vanish/>
              </w:rPr>
            </w:pPr>
          </w:p>
        </w:tc>
        <w:tc>
          <w:tcPr>
            <w:tcW w:w="0" w:type="auto"/>
            <w:gridSpan w:val="3"/>
            <w:shd w:val="clear" w:color="auto" w:fill="auto"/>
            <w:vAlign w:val="bottom"/>
          </w:tcPr>
          <w:p w14:paraId="74DE2644" w14:textId="77777777" w:rsidR="00584EC1" w:rsidRDefault="00584EC1">
            <w:pPr>
              <w:rPr>
                <w:rFonts w:ascii="宋体"/>
                <w:vanish/>
              </w:rPr>
            </w:pPr>
          </w:p>
        </w:tc>
      </w:tr>
      <w:tr w:rsidR="00584EC1" w14:paraId="74DE264E" w14:textId="77777777">
        <w:trPr>
          <w:hidden/>
        </w:trPr>
        <w:tc>
          <w:tcPr>
            <w:tcW w:w="0" w:type="auto"/>
            <w:gridSpan w:val="3"/>
            <w:shd w:val="clear" w:color="auto" w:fill="auto"/>
            <w:vAlign w:val="bottom"/>
          </w:tcPr>
          <w:p w14:paraId="74DE2646" w14:textId="77777777" w:rsidR="00584EC1" w:rsidRDefault="00584EC1">
            <w:pPr>
              <w:rPr>
                <w:rFonts w:ascii="宋体"/>
                <w:vanish/>
              </w:rPr>
            </w:pPr>
          </w:p>
        </w:tc>
        <w:tc>
          <w:tcPr>
            <w:tcW w:w="0" w:type="auto"/>
            <w:gridSpan w:val="3"/>
            <w:shd w:val="clear" w:color="auto" w:fill="auto"/>
            <w:vAlign w:val="bottom"/>
          </w:tcPr>
          <w:p w14:paraId="74DE2647" w14:textId="77777777" w:rsidR="00584EC1" w:rsidRDefault="00584EC1">
            <w:pPr>
              <w:rPr>
                <w:rFonts w:ascii="宋体"/>
                <w:vanish/>
              </w:rPr>
            </w:pPr>
          </w:p>
        </w:tc>
        <w:tc>
          <w:tcPr>
            <w:tcW w:w="0" w:type="auto"/>
            <w:shd w:val="clear" w:color="auto" w:fill="auto"/>
            <w:vAlign w:val="bottom"/>
          </w:tcPr>
          <w:p w14:paraId="74DE2648" w14:textId="77777777" w:rsidR="00584EC1" w:rsidRDefault="00584EC1">
            <w:pPr>
              <w:rPr>
                <w:rFonts w:ascii="宋体"/>
              </w:rPr>
            </w:pPr>
          </w:p>
        </w:tc>
        <w:tc>
          <w:tcPr>
            <w:tcW w:w="0" w:type="auto"/>
            <w:shd w:val="clear" w:color="auto" w:fill="auto"/>
            <w:vAlign w:val="bottom"/>
          </w:tcPr>
          <w:p w14:paraId="74DE2649" w14:textId="77777777" w:rsidR="00584EC1" w:rsidRDefault="00584EC1">
            <w:pPr>
              <w:rPr>
                <w:rFonts w:ascii="宋体"/>
              </w:rPr>
            </w:pPr>
          </w:p>
        </w:tc>
        <w:tc>
          <w:tcPr>
            <w:tcW w:w="0" w:type="auto"/>
            <w:shd w:val="clear" w:color="auto" w:fill="auto"/>
            <w:vAlign w:val="bottom"/>
          </w:tcPr>
          <w:p w14:paraId="74DE264A" w14:textId="77777777" w:rsidR="00584EC1" w:rsidRDefault="00584EC1">
            <w:pPr>
              <w:rPr>
                <w:rFonts w:ascii="宋体"/>
              </w:rPr>
            </w:pPr>
          </w:p>
        </w:tc>
        <w:tc>
          <w:tcPr>
            <w:tcW w:w="0" w:type="auto"/>
            <w:shd w:val="clear" w:color="auto" w:fill="auto"/>
            <w:vAlign w:val="bottom"/>
          </w:tcPr>
          <w:p w14:paraId="74DE264B" w14:textId="77777777" w:rsidR="00584EC1" w:rsidRDefault="00584EC1">
            <w:pPr>
              <w:rPr>
                <w:rFonts w:ascii="宋体"/>
              </w:rPr>
            </w:pPr>
          </w:p>
        </w:tc>
        <w:tc>
          <w:tcPr>
            <w:tcW w:w="0" w:type="auto"/>
            <w:shd w:val="clear" w:color="auto" w:fill="auto"/>
            <w:vAlign w:val="bottom"/>
          </w:tcPr>
          <w:p w14:paraId="74DE264C" w14:textId="77777777" w:rsidR="00584EC1" w:rsidRDefault="00584EC1">
            <w:pPr>
              <w:rPr>
                <w:rFonts w:ascii="宋体"/>
              </w:rPr>
            </w:pPr>
          </w:p>
        </w:tc>
        <w:tc>
          <w:tcPr>
            <w:tcW w:w="0" w:type="auto"/>
            <w:shd w:val="clear" w:color="auto" w:fill="auto"/>
            <w:vAlign w:val="bottom"/>
          </w:tcPr>
          <w:p w14:paraId="74DE264D" w14:textId="77777777" w:rsidR="00584EC1" w:rsidRDefault="00584EC1">
            <w:pPr>
              <w:rPr>
                <w:rFonts w:ascii="宋体"/>
              </w:rPr>
            </w:pPr>
          </w:p>
        </w:tc>
      </w:tr>
      <w:tr w:rsidR="00584EC1" w14:paraId="74DE2653" w14:textId="77777777">
        <w:trPr>
          <w:hidden/>
        </w:trPr>
        <w:tc>
          <w:tcPr>
            <w:tcW w:w="0" w:type="auto"/>
            <w:gridSpan w:val="3"/>
            <w:shd w:val="clear" w:color="auto" w:fill="auto"/>
            <w:vAlign w:val="bottom"/>
          </w:tcPr>
          <w:p w14:paraId="74DE264F" w14:textId="77777777" w:rsidR="00584EC1" w:rsidRDefault="00584EC1">
            <w:pPr>
              <w:rPr>
                <w:rFonts w:ascii="宋体"/>
                <w:vanish/>
              </w:rPr>
            </w:pPr>
          </w:p>
        </w:tc>
        <w:tc>
          <w:tcPr>
            <w:tcW w:w="0" w:type="auto"/>
            <w:gridSpan w:val="3"/>
            <w:shd w:val="clear" w:color="auto" w:fill="auto"/>
            <w:vAlign w:val="bottom"/>
          </w:tcPr>
          <w:p w14:paraId="74DE2650" w14:textId="77777777" w:rsidR="00584EC1" w:rsidRDefault="00584EC1">
            <w:pPr>
              <w:rPr>
                <w:rFonts w:ascii="宋体"/>
                <w:vanish/>
              </w:rPr>
            </w:pPr>
          </w:p>
        </w:tc>
        <w:tc>
          <w:tcPr>
            <w:tcW w:w="0" w:type="auto"/>
            <w:gridSpan w:val="3"/>
            <w:shd w:val="clear" w:color="auto" w:fill="auto"/>
            <w:vAlign w:val="bottom"/>
          </w:tcPr>
          <w:p w14:paraId="74DE2651" w14:textId="77777777" w:rsidR="00584EC1" w:rsidRDefault="00584EC1">
            <w:pPr>
              <w:rPr>
                <w:rFonts w:ascii="宋体"/>
                <w:vanish/>
              </w:rPr>
            </w:pPr>
          </w:p>
        </w:tc>
        <w:tc>
          <w:tcPr>
            <w:tcW w:w="0" w:type="auto"/>
            <w:gridSpan w:val="3"/>
            <w:shd w:val="clear" w:color="auto" w:fill="auto"/>
            <w:vAlign w:val="bottom"/>
          </w:tcPr>
          <w:p w14:paraId="74DE2652" w14:textId="77777777" w:rsidR="00584EC1" w:rsidRDefault="00584EC1">
            <w:pPr>
              <w:rPr>
                <w:rFonts w:ascii="宋体"/>
                <w:vanish/>
              </w:rPr>
            </w:pPr>
          </w:p>
        </w:tc>
      </w:tr>
      <w:tr w:rsidR="00584EC1" w14:paraId="74DE2658" w14:textId="77777777">
        <w:trPr>
          <w:hidden/>
        </w:trPr>
        <w:tc>
          <w:tcPr>
            <w:tcW w:w="0" w:type="auto"/>
            <w:gridSpan w:val="3"/>
            <w:shd w:val="clear" w:color="auto" w:fill="auto"/>
            <w:vAlign w:val="bottom"/>
          </w:tcPr>
          <w:p w14:paraId="74DE2654" w14:textId="77777777" w:rsidR="00584EC1" w:rsidRDefault="00584EC1">
            <w:pPr>
              <w:rPr>
                <w:rFonts w:ascii="宋体"/>
                <w:vanish/>
              </w:rPr>
            </w:pPr>
          </w:p>
        </w:tc>
        <w:tc>
          <w:tcPr>
            <w:tcW w:w="0" w:type="auto"/>
            <w:gridSpan w:val="3"/>
            <w:shd w:val="clear" w:color="auto" w:fill="auto"/>
            <w:vAlign w:val="bottom"/>
          </w:tcPr>
          <w:p w14:paraId="74DE2655" w14:textId="77777777" w:rsidR="00584EC1" w:rsidRDefault="00584EC1">
            <w:pPr>
              <w:rPr>
                <w:rFonts w:ascii="宋体"/>
                <w:vanish/>
              </w:rPr>
            </w:pPr>
          </w:p>
        </w:tc>
        <w:tc>
          <w:tcPr>
            <w:tcW w:w="0" w:type="auto"/>
            <w:gridSpan w:val="3"/>
            <w:shd w:val="clear" w:color="auto" w:fill="auto"/>
            <w:vAlign w:val="bottom"/>
          </w:tcPr>
          <w:p w14:paraId="74DE2656" w14:textId="77777777" w:rsidR="00584EC1" w:rsidRDefault="00584EC1">
            <w:pPr>
              <w:rPr>
                <w:rFonts w:ascii="宋体"/>
                <w:vanish/>
              </w:rPr>
            </w:pPr>
          </w:p>
        </w:tc>
        <w:tc>
          <w:tcPr>
            <w:tcW w:w="0" w:type="auto"/>
            <w:gridSpan w:val="3"/>
            <w:shd w:val="clear" w:color="auto" w:fill="auto"/>
            <w:vAlign w:val="bottom"/>
          </w:tcPr>
          <w:p w14:paraId="74DE2657" w14:textId="77777777" w:rsidR="00584EC1" w:rsidRDefault="00584EC1">
            <w:pPr>
              <w:rPr>
                <w:rFonts w:ascii="宋体"/>
                <w:vanish/>
              </w:rPr>
            </w:pPr>
          </w:p>
        </w:tc>
      </w:tr>
      <w:tr w:rsidR="00584EC1" w14:paraId="74DE265D" w14:textId="77777777">
        <w:trPr>
          <w:hidden/>
        </w:trPr>
        <w:tc>
          <w:tcPr>
            <w:tcW w:w="0" w:type="auto"/>
            <w:gridSpan w:val="3"/>
            <w:shd w:val="clear" w:color="auto" w:fill="auto"/>
            <w:vAlign w:val="bottom"/>
          </w:tcPr>
          <w:p w14:paraId="74DE2659" w14:textId="77777777" w:rsidR="00584EC1" w:rsidRDefault="00584EC1">
            <w:pPr>
              <w:rPr>
                <w:rFonts w:ascii="宋体"/>
                <w:vanish/>
              </w:rPr>
            </w:pPr>
          </w:p>
        </w:tc>
        <w:tc>
          <w:tcPr>
            <w:tcW w:w="0" w:type="auto"/>
            <w:gridSpan w:val="3"/>
            <w:shd w:val="clear" w:color="auto" w:fill="auto"/>
            <w:vAlign w:val="bottom"/>
          </w:tcPr>
          <w:p w14:paraId="74DE265A" w14:textId="77777777" w:rsidR="00584EC1" w:rsidRDefault="00584EC1">
            <w:pPr>
              <w:rPr>
                <w:rFonts w:ascii="宋体"/>
                <w:vanish/>
              </w:rPr>
            </w:pPr>
          </w:p>
        </w:tc>
        <w:tc>
          <w:tcPr>
            <w:tcW w:w="0" w:type="auto"/>
            <w:gridSpan w:val="3"/>
            <w:shd w:val="clear" w:color="auto" w:fill="auto"/>
            <w:vAlign w:val="bottom"/>
          </w:tcPr>
          <w:p w14:paraId="74DE265B" w14:textId="77777777" w:rsidR="00584EC1" w:rsidRDefault="00584EC1">
            <w:pPr>
              <w:rPr>
                <w:rFonts w:ascii="宋体"/>
                <w:vanish/>
              </w:rPr>
            </w:pPr>
          </w:p>
        </w:tc>
        <w:tc>
          <w:tcPr>
            <w:tcW w:w="0" w:type="auto"/>
            <w:gridSpan w:val="3"/>
            <w:shd w:val="clear" w:color="auto" w:fill="auto"/>
            <w:vAlign w:val="bottom"/>
          </w:tcPr>
          <w:p w14:paraId="74DE265C" w14:textId="77777777" w:rsidR="00584EC1" w:rsidRDefault="00584EC1">
            <w:pPr>
              <w:rPr>
                <w:rFonts w:ascii="宋体"/>
                <w:vanish/>
              </w:rPr>
            </w:pPr>
          </w:p>
        </w:tc>
      </w:tr>
      <w:tr w:rsidR="00584EC1" w14:paraId="74DE2662" w14:textId="77777777">
        <w:trPr>
          <w:hidden/>
        </w:trPr>
        <w:tc>
          <w:tcPr>
            <w:tcW w:w="0" w:type="auto"/>
            <w:gridSpan w:val="3"/>
            <w:shd w:val="clear" w:color="auto" w:fill="auto"/>
            <w:vAlign w:val="bottom"/>
          </w:tcPr>
          <w:p w14:paraId="74DE265E" w14:textId="77777777" w:rsidR="00584EC1" w:rsidRDefault="00584EC1">
            <w:pPr>
              <w:rPr>
                <w:rFonts w:ascii="宋体"/>
                <w:vanish/>
              </w:rPr>
            </w:pPr>
          </w:p>
        </w:tc>
        <w:tc>
          <w:tcPr>
            <w:tcW w:w="0" w:type="auto"/>
            <w:gridSpan w:val="3"/>
            <w:shd w:val="clear" w:color="auto" w:fill="auto"/>
            <w:vAlign w:val="bottom"/>
          </w:tcPr>
          <w:p w14:paraId="74DE265F" w14:textId="77777777" w:rsidR="00584EC1" w:rsidRDefault="00584EC1">
            <w:pPr>
              <w:rPr>
                <w:rFonts w:ascii="宋体"/>
                <w:vanish/>
              </w:rPr>
            </w:pPr>
          </w:p>
        </w:tc>
        <w:tc>
          <w:tcPr>
            <w:tcW w:w="0" w:type="auto"/>
            <w:gridSpan w:val="3"/>
            <w:shd w:val="clear" w:color="auto" w:fill="auto"/>
            <w:vAlign w:val="bottom"/>
          </w:tcPr>
          <w:p w14:paraId="74DE2660" w14:textId="77777777" w:rsidR="00584EC1" w:rsidRDefault="00584EC1">
            <w:pPr>
              <w:rPr>
                <w:rFonts w:ascii="宋体"/>
                <w:vanish/>
              </w:rPr>
            </w:pPr>
          </w:p>
        </w:tc>
        <w:tc>
          <w:tcPr>
            <w:tcW w:w="0" w:type="auto"/>
            <w:gridSpan w:val="3"/>
            <w:shd w:val="clear" w:color="auto" w:fill="auto"/>
            <w:vAlign w:val="bottom"/>
          </w:tcPr>
          <w:p w14:paraId="74DE2661" w14:textId="77777777" w:rsidR="00584EC1" w:rsidRDefault="00584EC1">
            <w:pPr>
              <w:rPr>
                <w:rFonts w:ascii="宋体"/>
                <w:vanish/>
              </w:rPr>
            </w:pPr>
          </w:p>
        </w:tc>
      </w:tr>
      <w:tr w:rsidR="00584EC1" w14:paraId="74DE2667" w14:textId="77777777">
        <w:trPr>
          <w:hidden/>
        </w:trPr>
        <w:tc>
          <w:tcPr>
            <w:tcW w:w="0" w:type="auto"/>
            <w:gridSpan w:val="3"/>
            <w:shd w:val="clear" w:color="auto" w:fill="auto"/>
            <w:vAlign w:val="bottom"/>
          </w:tcPr>
          <w:p w14:paraId="74DE2663" w14:textId="77777777" w:rsidR="00584EC1" w:rsidRDefault="00584EC1">
            <w:pPr>
              <w:rPr>
                <w:rFonts w:ascii="宋体"/>
                <w:vanish/>
              </w:rPr>
            </w:pPr>
          </w:p>
        </w:tc>
        <w:tc>
          <w:tcPr>
            <w:tcW w:w="0" w:type="auto"/>
            <w:gridSpan w:val="3"/>
            <w:shd w:val="clear" w:color="auto" w:fill="auto"/>
            <w:vAlign w:val="bottom"/>
          </w:tcPr>
          <w:p w14:paraId="74DE2664" w14:textId="77777777" w:rsidR="00584EC1" w:rsidRDefault="00584EC1">
            <w:pPr>
              <w:rPr>
                <w:rFonts w:ascii="宋体"/>
                <w:vanish/>
              </w:rPr>
            </w:pPr>
          </w:p>
        </w:tc>
        <w:tc>
          <w:tcPr>
            <w:tcW w:w="0" w:type="auto"/>
            <w:gridSpan w:val="3"/>
            <w:shd w:val="clear" w:color="auto" w:fill="auto"/>
            <w:vAlign w:val="bottom"/>
          </w:tcPr>
          <w:p w14:paraId="74DE2665" w14:textId="77777777" w:rsidR="00584EC1" w:rsidRDefault="00584EC1">
            <w:pPr>
              <w:rPr>
                <w:rFonts w:ascii="宋体"/>
                <w:vanish/>
              </w:rPr>
            </w:pPr>
          </w:p>
        </w:tc>
        <w:tc>
          <w:tcPr>
            <w:tcW w:w="0" w:type="auto"/>
            <w:gridSpan w:val="3"/>
            <w:shd w:val="clear" w:color="auto" w:fill="auto"/>
            <w:vAlign w:val="bottom"/>
          </w:tcPr>
          <w:p w14:paraId="74DE2666" w14:textId="77777777" w:rsidR="00584EC1" w:rsidRDefault="00584EC1">
            <w:pPr>
              <w:rPr>
                <w:rFonts w:ascii="宋体"/>
                <w:vanish/>
              </w:rPr>
            </w:pPr>
          </w:p>
        </w:tc>
      </w:tr>
      <w:tr w:rsidR="00584EC1" w14:paraId="74DE266C" w14:textId="77777777">
        <w:trPr>
          <w:hidden/>
        </w:trPr>
        <w:tc>
          <w:tcPr>
            <w:tcW w:w="0" w:type="auto"/>
            <w:gridSpan w:val="3"/>
            <w:shd w:val="clear" w:color="auto" w:fill="auto"/>
            <w:vAlign w:val="bottom"/>
          </w:tcPr>
          <w:p w14:paraId="74DE2668" w14:textId="77777777" w:rsidR="00584EC1" w:rsidRDefault="00584EC1">
            <w:pPr>
              <w:rPr>
                <w:rFonts w:ascii="宋体"/>
                <w:vanish/>
              </w:rPr>
            </w:pPr>
          </w:p>
        </w:tc>
        <w:tc>
          <w:tcPr>
            <w:tcW w:w="0" w:type="auto"/>
            <w:gridSpan w:val="3"/>
            <w:shd w:val="clear" w:color="auto" w:fill="auto"/>
            <w:vAlign w:val="bottom"/>
          </w:tcPr>
          <w:p w14:paraId="74DE2669" w14:textId="77777777" w:rsidR="00584EC1" w:rsidRDefault="00584EC1">
            <w:pPr>
              <w:rPr>
                <w:rFonts w:ascii="宋体"/>
                <w:vanish/>
              </w:rPr>
            </w:pPr>
          </w:p>
        </w:tc>
        <w:tc>
          <w:tcPr>
            <w:tcW w:w="0" w:type="auto"/>
            <w:gridSpan w:val="3"/>
            <w:shd w:val="clear" w:color="auto" w:fill="auto"/>
            <w:vAlign w:val="bottom"/>
          </w:tcPr>
          <w:p w14:paraId="74DE266A" w14:textId="77777777" w:rsidR="00584EC1" w:rsidRDefault="00584EC1">
            <w:pPr>
              <w:rPr>
                <w:rFonts w:ascii="宋体"/>
                <w:vanish/>
              </w:rPr>
            </w:pPr>
          </w:p>
        </w:tc>
        <w:tc>
          <w:tcPr>
            <w:tcW w:w="0" w:type="auto"/>
            <w:gridSpan w:val="3"/>
            <w:shd w:val="clear" w:color="auto" w:fill="auto"/>
            <w:vAlign w:val="bottom"/>
          </w:tcPr>
          <w:p w14:paraId="74DE266B" w14:textId="77777777" w:rsidR="00584EC1" w:rsidRDefault="00584EC1">
            <w:pPr>
              <w:rPr>
                <w:rFonts w:ascii="宋体"/>
                <w:vanish/>
              </w:rPr>
            </w:pPr>
          </w:p>
        </w:tc>
      </w:tr>
      <w:tr w:rsidR="00584EC1" w14:paraId="74DE2671" w14:textId="77777777">
        <w:trPr>
          <w:hidden/>
        </w:trPr>
        <w:tc>
          <w:tcPr>
            <w:tcW w:w="0" w:type="auto"/>
            <w:gridSpan w:val="3"/>
            <w:shd w:val="clear" w:color="auto" w:fill="auto"/>
            <w:vAlign w:val="bottom"/>
          </w:tcPr>
          <w:p w14:paraId="74DE266D" w14:textId="77777777" w:rsidR="00584EC1" w:rsidRDefault="00584EC1">
            <w:pPr>
              <w:rPr>
                <w:rFonts w:ascii="宋体"/>
                <w:vanish/>
              </w:rPr>
            </w:pPr>
          </w:p>
        </w:tc>
        <w:tc>
          <w:tcPr>
            <w:tcW w:w="0" w:type="auto"/>
            <w:gridSpan w:val="3"/>
            <w:shd w:val="clear" w:color="auto" w:fill="auto"/>
            <w:vAlign w:val="bottom"/>
          </w:tcPr>
          <w:p w14:paraId="74DE266E" w14:textId="77777777" w:rsidR="00584EC1" w:rsidRDefault="00584EC1">
            <w:pPr>
              <w:rPr>
                <w:rFonts w:ascii="宋体"/>
                <w:vanish/>
              </w:rPr>
            </w:pPr>
          </w:p>
        </w:tc>
        <w:tc>
          <w:tcPr>
            <w:tcW w:w="0" w:type="auto"/>
            <w:gridSpan w:val="3"/>
            <w:shd w:val="clear" w:color="auto" w:fill="auto"/>
            <w:vAlign w:val="bottom"/>
          </w:tcPr>
          <w:p w14:paraId="74DE266F" w14:textId="77777777" w:rsidR="00584EC1" w:rsidRDefault="00584EC1">
            <w:pPr>
              <w:rPr>
                <w:rFonts w:ascii="宋体"/>
                <w:vanish/>
              </w:rPr>
            </w:pPr>
          </w:p>
        </w:tc>
        <w:tc>
          <w:tcPr>
            <w:tcW w:w="0" w:type="auto"/>
            <w:gridSpan w:val="3"/>
            <w:shd w:val="clear" w:color="auto" w:fill="auto"/>
            <w:vAlign w:val="bottom"/>
          </w:tcPr>
          <w:p w14:paraId="74DE2670" w14:textId="77777777" w:rsidR="00584EC1" w:rsidRDefault="00584EC1">
            <w:pPr>
              <w:rPr>
                <w:rFonts w:ascii="宋体"/>
                <w:vanish/>
              </w:rPr>
            </w:pPr>
          </w:p>
        </w:tc>
      </w:tr>
      <w:tr w:rsidR="00584EC1" w14:paraId="74DE2676" w14:textId="77777777">
        <w:trPr>
          <w:hidden/>
        </w:trPr>
        <w:tc>
          <w:tcPr>
            <w:tcW w:w="0" w:type="auto"/>
            <w:gridSpan w:val="3"/>
            <w:shd w:val="clear" w:color="auto" w:fill="auto"/>
            <w:vAlign w:val="bottom"/>
          </w:tcPr>
          <w:p w14:paraId="74DE2672" w14:textId="77777777" w:rsidR="00584EC1" w:rsidRDefault="00584EC1">
            <w:pPr>
              <w:rPr>
                <w:rFonts w:ascii="宋体"/>
                <w:vanish/>
              </w:rPr>
            </w:pPr>
          </w:p>
        </w:tc>
        <w:tc>
          <w:tcPr>
            <w:tcW w:w="0" w:type="auto"/>
            <w:gridSpan w:val="3"/>
            <w:shd w:val="clear" w:color="auto" w:fill="auto"/>
            <w:vAlign w:val="bottom"/>
          </w:tcPr>
          <w:p w14:paraId="74DE2673" w14:textId="77777777" w:rsidR="00584EC1" w:rsidRDefault="00584EC1">
            <w:pPr>
              <w:rPr>
                <w:rFonts w:ascii="宋体"/>
                <w:vanish/>
              </w:rPr>
            </w:pPr>
          </w:p>
        </w:tc>
        <w:tc>
          <w:tcPr>
            <w:tcW w:w="0" w:type="auto"/>
            <w:gridSpan w:val="3"/>
            <w:shd w:val="clear" w:color="auto" w:fill="auto"/>
            <w:vAlign w:val="bottom"/>
          </w:tcPr>
          <w:p w14:paraId="74DE2674" w14:textId="77777777" w:rsidR="00584EC1" w:rsidRDefault="00584EC1">
            <w:pPr>
              <w:rPr>
                <w:rFonts w:ascii="宋体"/>
                <w:vanish/>
              </w:rPr>
            </w:pPr>
          </w:p>
        </w:tc>
        <w:tc>
          <w:tcPr>
            <w:tcW w:w="0" w:type="auto"/>
            <w:gridSpan w:val="3"/>
            <w:shd w:val="clear" w:color="auto" w:fill="auto"/>
            <w:vAlign w:val="bottom"/>
          </w:tcPr>
          <w:p w14:paraId="74DE2675" w14:textId="77777777" w:rsidR="00584EC1" w:rsidRDefault="00584EC1">
            <w:pPr>
              <w:rPr>
                <w:rFonts w:ascii="宋体"/>
                <w:vanish/>
              </w:rPr>
            </w:pPr>
          </w:p>
        </w:tc>
      </w:tr>
      <w:tr w:rsidR="00584EC1" w14:paraId="74DE267B" w14:textId="77777777">
        <w:trPr>
          <w:hidden/>
        </w:trPr>
        <w:tc>
          <w:tcPr>
            <w:tcW w:w="0" w:type="auto"/>
            <w:gridSpan w:val="3"/>
            <w:shd w:val="clear" w:color="auto" w:fill="auto"/>
            <w:vAlign w:val="bottom"/>
          </w:tcPr>
          <w:p w14:paraId="74DE2677" w14:textId="77777777" w:rsidR="00584EC1" w:rsidRDefault="00584EC1">
            <w:pPr>
              <w:rPr>
                <w:rFonts w:ascii="宋体"/>
                <w:vanish/>
              </w:rPr>
            </w:pPr>
          </w:p>
        </w:tc>
        <w:tc>
          <w:tcPr>
            <w:tcW w:w="0" w:type="auto"/>
            <w:gridSpan w:val="3"/>
            <w:shd w:val="clear" w:color="auto" w:fill="auto"/>
            <w:vAlign w:val="bottom"/>
          </w:tcPr>
          <w:p w14:paraId="74DE2678" w14:textId="77777777" w:rsidR="00584EC1" w:rsidRDefault="00584EC1">
            <w:pPr>
              <w:rPr>
                <w:rFonts w:ascii="宋体"/>
                <w:vanish/>
              </w:rPr>
            </w:pPr>
          </w:p>
        </w:tc>
        <w:tc>
          <w:tcPr>
            <w:tcW w:w="0" w:type="auto"/>
            <w:gridSpan w:val="3"/>
            <w:shd w:val="clear" w:color="auto" w:fill="auto"/>
            <w:vAlign w:val="bottom"/>
          </w:tcPr>
          <w:p w14:paraId="74DE2679" w14:textId="77777777" w:rsidR="00584EC1" w:rsidRDefault="00584EC1">
            <w:pPr>
              <w:rPr>
                <w:rFonts w:ascii="宋体"/>
                <w:vanish/>
              </w:rPr>
            </w:pPr>
          </w:p>
        </w:tc>
        <w:tc>
          <w:tcPr>
            <w:tcW w:w="0" w:type="auto"/>
            <w:gridSpan w:val="3"/>
            <w:shd w:val="clear" w:color="auto" w:fill="auto"/>
            <w:vAlign w:val="bottom"/>
          </w:tcPr>
          <w:p w14:paraId="74DE267A" w14:textId="77777777" w:rsidR="00584EC1" w:rsidRDefault="00584EC1">
            <w:pPr>
              <w:rPr>
                <w:rFonts w:ascii="宋体"/>
                <w:vanish/>
              </w:rPr>
            </w:pPr>
          </w:p>
        </w:tc>
      </w:tr>
      <w:tr w:rsidR="00584EC1" w14:paraId="74DE2680" w14:textId="77777777">
        <w:trPr>
          <w:hidden/>
        </w:trPr>
        <w:tc>
          <w:tcPr>
            <w:tcW w:w="0" w:type="auto"/>
            <w:gridSpan w:val="3"/>
            <w:shd w:val="clear" w:color="auto" w:fill="auto"/>
            <w:vAlign w:val="bottom"/>
          </w:tcPr>
          <w:p w14:paraId="74DE267C" w14:textId="77777777" w:rsidR="00584EC1" w:rsidRDefault="00584EC1">
            <w:pPr>
              <w:rPr>
                <w:rFonts w:ascii="宋体"/>
                <w:vanish/>
              </w:rPr>
            </w:pPr>
          </w:p>
        </w:tc>
        <w:tc>
          <w:tcPr>
            <w:tcW w:w="0" w:type="auto"/>
            <w:gridSpan w:val="3"/>
            <w:shd w:val="clear" w:color="auto" w:fill="auto"/>
            <w:vAlign w:val="bottom"/>
          </w:tcPr>
          <w:p w14:paraId="74DE267D" w14:textId="77777777" w:rsidR="00584EC1" w:rsidRDefault="00584EC1">
            <w:pPr>
              <w:rPr>
                <w:rFonts w:ascii="宋体"/>
                <w:vanish/>
              </w:rPr>
            </w:pPr>
          </w:p>
        </w:tc>
        <w:tc>
          <w:tcPr>
            <w:tcW w:w="0" w:type="auto"/>
            <w:gridSpan w:val="3"/>
            <w:shd w:val="clear" w:color="auto" w:fill="auto"/>
            <w:vAlign w:val="bottom"/>
          </w:tcPr>
          <w:p w14:paraId="74DE267E" w14:textId="77777777" w:rsidR="00584EC1" w:rsidRDefault="00584EC1">
            <w:pPr>
              <w:rPr>
                <w:rFonts w:ascii="宋体"/>
                <w:vanish/>
              </w:rPr>
            </w:pPr>
          </w:p>
        </w:tc>
        <w:tc>
          <w:tcPr>
            <w:tcW w:w="0" w:type="auto"/>
            <w:gridSpan w:val="3"/>
            <w:shd w:val="clear" w:color="auto" w:fill="auto"/>
            <w:vAlign w:val="bottom"/>
          </w:tcPr>
          <w:p w14:paraId="74DE267F" w14:textId="77777777" w:rsidR="00584EC1" w:rsidRDefault="00584EC1">
            <w:pPr>
              <w:rPr>
                <w:rFonts w:ascii="宋体"/>
                <w:vanish/>
              </w:rPr>
            </w:pPr>
          </w:p>
        </w:tc>
      </w:tr>
      <w:tr w:rsidR="00584EC1" w14:paraId="74DE2689" w14:textId="77777777">
        <w:trPr>
          <w:hidden/>
        </w:trPr>
        <w:tc>
          <w:tcPr>
            <w:tcW w:w="0" w:type="auto"/>
            <w:gridSpan w:val="3"/>
            <w:shd w:val="clear" w:color="auto" w:fill="auto"/>
            <w:vAlign w:val="bottom"/>
          </w:tcPr>
          <w:p w14:paraId="74DE2681" w14:textId="77777777" w:rsidR="00584EC1" w:rsidRDefault="00584EC1">
            <w:pPr>
              <w:rPr>
                <w:rFonts w:ascii="宋体"/>
                <w:vanish/>
              </w:rPr>
            </w:pPr>
          </w:p>
        </w:tc>
        <w:tc>
          <w:tcPr>
            <w:tcW w:w="0" w:type="auto"/>
            <w:gridSpan w:val="3"/>
            <w:shd w:val="clear" w:color="auto" w:fill="auto"/>
            <w:vAlign w:val="bottom"/>
          </w:tcPr>
          <w:p w14:paraId="74DE2682" w14:textId="77777777" w:rsidR="00584EC1" w:rsidRDefault="00584EC1">
            <w:pPr>
              <w:rPr>
                <w:rFonts w:ascii="宋体"/>
                <w:vanish/>
              </w:rPr>
            </w:pPr>
          </w:p>
        </w:tc>
        <w:tc>
          <w:tcPr>
            <w:tcW w:w="0" w:type="auto"/>
            <w:shd w:val="clear" w:color="auto" w:fill="auto"/>
            <w:vAlign w:val="bottom"/>
          </w:tcPr>
          <w:p w14:paraId="74DE2683" w14:textId="77777777" w:rsidR="00584EC1" w:rsidRDefault="00584EC1">
            <w:pPr>
              <w:rPr>
                <w:rFonts w:ascii="宋体"/>
              </w:rPr>
            </w:pPr>
          </w:p>
        </w:tc>
        <w:tc>
          <w:tcPr>
            <w:tcW w:w="0" w:type="auto"/>
            <w:shd w:val="clear" w:color="auto" w:fill="auto"/>
            <w:vAlign w:val="bottom"/>
          </w:tcPr>
          <w:p w14:paraId="74DE2684" w14:textId="77777777" w:rsidR="00584EC1" w:rsidRDefault="00584EC1">
            <w:pPr>
              <w:rPr>
                <w:rFonts w:ascii="宋体"/>
              </w:rPr>
            </w:pPr>
          </w:p>
        </w:tc>
        <w:tc>
          <w:tcPr>
            <w:tcW w:w="0" w:type="auto"/>
            <w:shd w:val="clear" w:color="auto" w:fill="auto"/>
            <w:vAlign w:val="bottom"/>
          </w:tcPr>
          <w:p w14:paraId="74DE2685" w14:textId="77777777" w:rsidR="00584EC1" w:rsidRDefault="00584EC1">
            <w:pPr>
              <w:rPr>
                <w:rFonts w:ascii="宋体"/>
              </w:rPr>
            </w:pPr>
          </w:p>
        </w:tc>
        <w:tc>
          <w:tcPr>
            <w:tcW w:w="0" w:type="auto"/>
            <w:shd w:val="clear" w:color="auto" w:fill="auto"/>
            <w:vAlign w:val="bottom"/>
          </w:tcPr>
          <w:p w14:paraId="74DE2686" w14:textId="77777777" w:rsidR="00584EC1" w:rsidRDefault="00584EC1">
            <w:pPr>
              <w:rPr>
                <w:rFonts w:ascii="宋体"/>
              </w:rPr>
            </w:pPr>
          </w:p>
        </w:tc>
        <w:tc>
          <w:tcPr>
            <w:tcW w:w="0" w:type="auto"/>
            <w:shd w:val="clear" w:color="auto" w:fill="auto"/>
            <w:vAlign w:val="bottom"/>
          </w:tcPr>
          <w:p w14:paraId="74DE2687" w14:textId="77777777" w:rsidR="00584EC1" w:rsidRDefault="00584EC1">
            <w:pPr>
              <w:rPr>
                <w:rFonts w:ascii="宋体"/>
              </w:rPr>
            </w:pPr>
          </w:p>
        </w:tc>
        <w:tc>
          <w:tcPr>
            <w:tcW w:w="0" w:type="auto"/>
            <w:shd w:val="clear" w:color="auto" w:fill="auto"/>
            <w:vAlign w:val="bottom"/>
          </w:tcPr>
          <w:p w14:paraId="74DE2688" w14:textId="77777777" w:rsidR="00584EC1" w:rsidRDefault="00584EC1">
            <w:pPr>
              <w:rPr>
                <w:rFonts w:ascii="宋体"/>
              </w:rPr>
            </w:pPr>
          </w:p>
        </w:tc>
      </w:tr>
      <w:tr w:rsidR="00584EC1" w14:paraId="74DE268E" w14:textId="77777777">
        <w:trPr>
          <w:hidden/>
        </w:trPr>
        <w:tc>
          <w:tcPr>
            <w:tcW w:w="0" w:type="auto"/>
            <w:gridSpan w:val="3"/>
            <w:shd w:val="clear" w:color="auto" w:fill="auto"/>
            <w:vAlign w:val="bottom"/>
          </w:tcPr>
          <w:p w14:paraId="74DE268A" w14:textId="77777777" w:rsidR="00584EC1" w:rsidRDefault="00584EC1">
            <w:pPr>
              <w:rPr>
                <w:rFonts w:ascii="宋体"/>
                <w:vanish/>
              </w:rPr>
            </w:pPr>
          </w:p>
        </w:tc>
        <w:tc>
          <w:tcPr>
            <w:tcW w:w="0" w:type="auto"/>
            <w:gridSpan w:val="3"/>
            <w:shd w:val="clear" w:color="auto" w:fill="auto"/>
            <w:vAlign w:val="bottom"/>
          </w:tcPr>
          <w:p w14:paraId="74DE268B" w14:textId="77777777" w:rsidR="00584EC1" w:rsidRDefault="00584EC1">
            <w:pPr>
              <w:rPr>
                <w:rFonts w:ascii="宋体"/>
                <w:vanish/>
              </w:rPr>
            </w:pPr>
          </w:p>
        </w:tc>
        <w:tc>
          <w:tcPr>
            <w:tcW w:w="0" w:type="auto"/>
            <w:gridSpan w:val="3"/>
            <w:shd w:val="clear" w:color="auto" w:fill="auto"/>
            <w:vAlign w:val="bottom"/>
          </w:tcPr>
          <w:p w14:paraId="74DE268C" w14:textId="77777777" w:rsidR="00584EC1" w:rsidRDefault="00584EC1">
            <w:pPr>
              <w:rPr>
                <w:rFonts w:ascii="宋体"/>
                <w:vanish/>
              </w:rPr>
            </w:pPr>
          </w:p>
        </w:tc>
        <w:tc>
          <w:tcPr>
            <w:tcW w:w="0" w:type="auto"/>
            <w:gridSpan w:val="3"/>
            <w:shd w:val="clear" w:color="auto" w:fill="auto"/>
            <w:vAlign w:val="bottom"/>
          </w:tcPr>
          <w:p w14:paraId="74DE268D" w14:textId="77777777" w:rsidR="00584EC1" w:rsidRDefault="00584EC1">
            <w:pPr>
              <w:rPr>
                <w:rFonts w:ascii="宋体"/>
                <w:vanish/>
              </w:rPr>
            </w:pPr>
          </w:p>
        </w:tc>
      </w:tr>
      <w:tr w:rsidR="00584EC1" w14:paraId="74DE2693" w14:textId="77777777">
        <w:trPr>
          <w:hidden/>
        </w:trPr>
        <w:tc>
          <w:tcPr>
            <w:tcW w:w="0" w:type="auto"/>
            <w:gridSpan w:val="3"/>
            <w:shd w:val="clear" w:color="auto" w:fill="auto"/>
            <w:vAlign w:val="bottom"/>
          </w:tcPr>
          <w:p w14:paraId="74DE268F" w14:textId="77777777" w:rsidR="00584EC1" w:rsidRDefault="00584EC1">
            <w:pPr>
              <w:rPr>
                <w:rFonts w:ascii="宋体"/>
                <w:vanish/>
              </w:rPr>
            </w:pPr>
          </w:p>
        </w:tc>
        <w:tc>
          <w:tcPr>
            <w:tcW w:w="0" w:type="auto"/>
            <w:gridSpan w:val="3"/>
            <w:shd w:val="clear" w:color="auto" w:fill="auto"/>
            <w:vAlign w:val="bottom"/>
          </w:tcPr>
          <w:p w14:paraId="74DE2690" w14:textId="77777777" w:rsidR="00584EC1" w:rsidRDefault="00584EC1">
            <w:pPr>
              <w:rPr>
                <w:rFonts w:ascii="宋体"/>
                <w:vanish/>
              </w:rPr>
            </w:pPr>
          </w:p>
        </w:tc>
        <w:tc>
          <w:tcPr>
            <w:tcW w:w="0" w:type="auto"/>
            <w:gridSpan w:val="3"/>
            <w:shd w:val="clear" w:color="auto" w:fill="auto"/>
            <w:vAlign w:val="bottom"/>
          </w:tcPr>
          <w:p w14:paraId="74DE2691" w14:textId="77777777" w:rsidR="00584EC1" w:rsidRDefault="00584EC1">
            <w:pPr>
              <w:rPr>
                <w:rFonts w:ascii="宋体"/>
                <w:vanish/>
              </w:rPr>
            </w:pPr>
          </w:p>
        </w:tc>
        <w:tc>
          <w:tcPr>
            <w:tcW w:w="0" w:type="auto"/>
            <w:gridSpan w:val="3"/>
            <w:shd w:val="clear" w:color="auto" w:fill="auto"/>
            <w:vAlign w:val="bottom"/>
          </w:tcPr>
          <w:p w14:paraId="74DE2692" w14:textId="77777777" w:rsidR="00584EC1" w:rsidRDefault="00584EC1">
            <w:pPr>
              <w:rPr>
                <w:rFonts w:ascii="宋体"/>
                <w:vanish/>
              </w:rPr>
            </w:pPr>
          </w:p>
        </w:tc>
      </w:tr>
      <w:tr w:rsidR="00584EC1" w14:paraId="74DE2698" w14:textId="77777777">
        <w:trPr>
          <w:hidden/>
        </w:trPr>
        <w:tc>
          <w:tcPr>
            <w:tcW w:w="0" w:type="auto"/>
            <w:gridSpan w:val="3"/>
            <w:shd w:val="clear" w:color="auto" w:fill="auto"/>
            <w:vAlign w:val="bottom"/>
          </w:tcPr>
          <w:p w14:paraId="74DE2694" w14:textId="77777777" w:rsidR="00584EC1" w:rsidRDefault="00584EC1">
            <w:pPr>
              <w:rPr>
                <w:rFonts w:ascii="宋体"/>
                <w:vanish/>
              </w:rPr>
            </w:pPr>
          </w:p>
        </w:tc>
        <w:tc>
          <w:tcPr>
            <w:tcW w:w="0" w:type="auto"/>
            <w:gridSpan w:val="3"/>
            <w:shd w:val="clear" w:color="auto" w:fill="auto"/>
            <w:vAlign w:val="bottom"/>
          </w:tcPr>
          <w:p w14:paraId="74DE2695" w14:textId="77777777" w:rsidR="00584EC1" w:rsidRDefault="00584EC1">
            <w:pPr>
              <w:rPr>
                <w:rFonts w:ascii="宋体"/>
                <w:vanish/>
              </w:rPr>
            </w:pPr>
          </w:p>
        </w:tc>
        <w:tc>
          <w:tcPr>
            <w:tcW w:w="0" w:type="auto"/>
            <w:gridSpan w:val="3"/>
            <w:shd w:val="clear" w:color="auto" w:fill="auto"/>
            <w:vAlign w:val="bottom"/>
          </w:tcPr>
          <w:p w14:paraId="74DE2696" w14:textId="77777777" w:rsidR="00584EC1" w:rsidRDefault="00584EC1">
            <w:pPr>
              <w:rPr>
                <w:rFonts w:ascii="宋体"/>
                <w:vanish/>
              </w:rPr>
            </w:pPr>
          </w:p>
        </w:tc>
        <w:tc>
          <w:tcPr>
            <w:tcW w:w="0" w:type="auto"/>
            <w:gridSpan w:val="3"/>
            <w:shd w:val="clear" w:color="auto" w:fill="auto"/>
            <w:vAlign w:val="bottom"/>
          </w:tcPr>
          <w:p w14:paraId="74DE2697" w14:textId="77777777" w:rsidR="00584EC1" w:rsidRDefault="00584EC1">
            <w:pPr>
              <w:rPr>
                <w:rFonts w:ascii="宋体"/>
                <w:vanish/>
              </w:rPr>
            </w:pPr>
          </w:p>
        </w:tc>
      </w:tr>
      <w:tr w:rsidR="00584EC1" w14:paraId="74DE26A1" w14:textId="77777777">
        <w:trPr>
          <w:hidden/>
        </w:trPr>
        <w:tc>
          <w:tcPr>
            <w:tcW w:w="0" w:type="auto"/>
            <w:gridSpan w:val="3"/>
            <w:shd w:val="clear" w:color="auto" w:fill="auto"/>
            <w:vAlign w:val="bottom"/>
          </w:tcPr>
          <w:p w14:paraId="74DE2699" w14:textId="77777777" w:rsidR="00584EC1" w:rsidRDefault="00584EC1">
            <w:pPr>
              <w:rPr>
                <w:rFonts w:ascii="宋体"/>
                <w:vanish/>
              </w:rPr>
            </w:pPr>
          </w:p>
        </w:tc>
        <w:tc>
          <w:tcPr>
            <w:tcW w:w="0" w:type="auto"/>
            <w:gridSpan w:val="3"/>
            <w:shd w:val="clear" w:color="auto" w:fill="auto"/>
            <w:vAlign w:val="bottom"/>
          </w:tcPr>
          <w:p w14:paraId="74DE269A" w14:textId="77777777" w:rsidR="00584EC1" w:rsidRDefault="00584EC1">
            <w:pPr>
              <w:rPr>
                <w:rFonts w:ascii="宋体"/>
                <w:vanish/>
              </w:rPr>
            </w:pPr>
          </w:p>
        </w:tc>
        <w:tc>
          <w:tcPr>
            <w:tcW w:w="0" w:type="auto"/>
            <w:shd w:val="clear" w:color="auto" w:fill="auto"/>
            <w:vAlign w:val="bottom"/>
          </w:tcPr>
          <w:p w14:paraId="74DE269B" w14:textId="77777777" w:rsidR="00584EC1" w:rsidRDefault="00584EC1">
            <w:pPr>
              <w:rPr>
                <w:rFonts w:ascii="宋体"/>
              </w:rPr>
            </w:pPr>
          </w:p>
        </w:tc>
        <w:tc>
          <w:tcPr>
            <w:tcW w:w="0" w:type="auto"/>
            <w:shd w:val="clear" w:color="auto" w:fill="auto"/>
            <w:vAlign w:val="bottom"/>
          </w:tcPr>
          <w:p w14:paraId="74DE269C" w14:textId="77777777" w:rsidR="00584EC1" w:rsidRDefault="00584EC1">
            <w:pPr>
              <w:rPr>
                <w:rFonts w:ascii="宋体"/>
              </w:rPr>
            </w:pPr>
          </w:p>
        </w:tc>
        <w:tc>
          <w:tcPr>
            <w:tcW w:w="0" w:type="auto"/>
            <w:shd w:val="clear" w:color="auto" w:fill="auto"/>
            <w:vAlign w:val="bottom"/>
          </w:tcPr>
          <w:p w14:paraId="74DE269D" w14:textId="77777777" w:rsidR="00584EC1" w:rsidRDefault="00584EC1">
            <w:pPr>
              <w:rPr>
                <w:rFonts w:ascii="宋体"/>
              </w:rPr>
            </w:pPr>
          </w:p>
        </w:tc>
        <w:tc>
          <w:tcPr>
            <w:tcW w:w="0" w:type="auto"/>
            <w:shd w:val="clear" w:color="auto" w:fill="auto"/>
            <w:vAlign w:val="bottom"/>
          </w:tcPr>
          <w:p w14:paraId="74DE269E" w14:textId="77777777" w:rsidR="00584EC1" w:rsidRDefault="00584EC1">
            <w:pPr>
              <w:rPr>
                <w:rFonts w:ascii="宋体"/>
              </w:rPr>
            </w:pPr>
          </w:p>
        </w:tc>
        <w:tc>
          <w:tcPr>
            <w:tcW w:w="0" w:type="auto"/>
            <w:shd w:val="clear" w:color="auto" w:fill="auto"/>
            <w:vAlign w:val="bottom"/>
          </w:tcPr>
          <w:p w14:paraId="74DE269F" w14:textId="77777777" w:rsidR="00584EC1" w:rsidRDefault="00584EC1">
            <w:pPr>
              <w:rPr>
                <w:rFonts w:ascii="宋体"/>
              </w:rPr>
            </w:pPr>
          </w:p>
        </w:tc>
        <w:tc>
          <w:tcPr>
            <w:tcW w:w="0" w:type="auto"/>
            <w:shd w:val="clear" w:color="auto" w:fill="auto"/>
            <w:vAlign w:val="bottom"/>
          </w:tcPr>
          <w:p w14:paraId="74DE26A0" w14:textId="77777777" w:rsidR="00584EC1" w:rsidRDefault="00584EC1">
            <w:pPr>
              <w:rPr>
                <w:rFonts w:ascii="宋体"/>
              </w:rPr>
            </w:pPr>
          </w:p>
        </w:tc>
      </w:tr>
      <w:tr w:rsidR="00584EC1" w14:paraId="74DE26A6" w14:textId="77777777">
        <w:trPr>
          <w:hidden/>
        </w:trPr>
        <w:tc>
          <w:tcPr>
            <w:tcW w:w="0" w:type="auto"/>
            <w:gridSpan w:val="3"/>
            <w:shd w:val="clear" w:color="auto" w:fill="auto"/>
            <w:vAlign w:val="bottom"/>
          </w:tcPr>
          <w:p w14:paraId="74DE26A2" w14:textId="77777777" w:rsidR="00584EC1" w:rsidRDefault="00584EC1">
            <w:pPr>
              <w:rPr>
                <w:rFonts w:ascii="宋体"/>
                <w:vanish/>
              </w:rPr>
            </w:pPr>
          </w:p>
        </w:tc>
        <w:tc>
          <w:tcPr>
            <w:tcW w:w="0" w:type="auto"/>
            <w:gridSpan w:val="3"/>
            <w:shd w:val="clear" w:color="auto" w:fill="auto"/>
            <w:vAlign w:val="bottom"/>
          </w:tcPr>
          <w:p w14:paraId="74DE26A3" w14:textId="77777777" w:rsidR="00584EC1" w:rsidRDefault="00584EC1">
            <w:pPr>
              <w:rPr>
                <w:rFonts w:ascii="宋体"/>
                <w:vanish/>
              </w:rPr>
            </w:pPr>
          </w:p>
        </w:tc>
        <w:tc>
          <w:tcPr>
            <w:tcW w:w="0" w:type="auto"/>
            <w:gridSpan w:val="3"/>
            <w:shd w:val="clear" w:color="auto" w:fill="auto"/>
            <w:vAlign w:val="bottom"/>
          </w:tcPr>
          <w:p w14:paraId="74DE26A4" w14:textId="77777777" w:rsidR="00584EC1" w:rsidRDefault="00584EC1">
            <w:pPr>
              <w:rPr>
                <w:rFonts w:ascii="宋体"/>
                <w:vanish/>
              </w:rPr>
            </w:pPr>
          </w:p>
        </w:tc>
        <w:tc>
          <w:tcPr>
            <w:tcW w:w="0" w:type="auto"/>
            <w:gridSpan w:val="3"/>
            <w:shd w:val="clear" w:color="auto" w:fill="auto"/>
            <w:vAlign w:val="bottom"/>
          </w:tcPr>
          <w:p w14:paraId="74DE26A5" w14:textId="77777777" w:rsidR="00584EC1" w:rsidRDefault="00584EC1">
            <w:pPr>
              <w:rPr>
                <w:rFonts w:ascii="宋体"/>
                <w:vanish/>
              </w:rPr>
            </w:pPr>
          </w:p>
        </w:tc>
      </w:tr>
      <w:tr w:rsidR="00584EC1" w14:paraId="74DE26AB" w14:textId="77777777">
        <w:trPr>
          <w:hidden/>
        </w:trPr>
        <w:tc>
          <w:tcPr>
            <w:tcW w:w="0" w:type="auto"/>
            <w:gridSpan w:val="3"/>
            <w:shd w:val="clear" w:color="auto" w:fill="auto"/>
            <w:vAlign w:val="bottom"/>
          </w:tcPr>
          <w:p w14:paraId="74DE26A7" w14:textId="77777777" w:rsidR="00584EC1" w:rsidRDefault="00584EC1">
            <w:pPr>
              <w:rPr>
                <w:rFonts w:ascii="宋体"/>
                <w:vanish/>
              </w:rPr>
            </w:pPr>
          </w:p>
        </w:tc>
        <w:tc>
          <w:tcPr>
            <w:tcW w:w="0" w:type="auto"/>
            <w:gridSpan w:val="3"/>
            <w:shd w:val="clear" w:color="auto" w:fill="auto"/>
            <w:vAlign w:val="bottom"/>
          </w:tcPr>
          <w:p w14:paraId="74DE26A8" w14:textId="77777777" w:rsidR="00584EC1" w:rsidRDefault="00584EC1">
            <w:pPr>
              <w:rPr>
                <w:rFonts w:ascii="宋体"/>
                <w:vanish/>
              </w:rPr>
            </w:pPr>
          </w:p>
        </w:tc>
        <w:tc>
          <w:tcPr>
            <w:tcW w:w="0" w:type="auto"/>
            <w:gridSpan w:val="3"/>
            <w:shd w:val="clear" w:color="auto" w:fill="auto"/>
            <w:vAlign w:val="bottom"/>
          </w:tcPr>
          <w:p w14:paraId="74DE26A9" w14:textId="77777777" w:rsidR="00584EC1" w:rsidRDefault="00584EC1">
            <w:pPr>
              <w:rPr>
                <w:rFonts w:ascii="宋体"/>
                <w:vanish/>
              </w:rPr>
            </w:pPr>
          </w:p>
        </w:tc>
        <w:tc>
          <w:tcPr>
            <w:tcW w:w="0" w:type="auto"/>
            <w:gridSpan w:val="3"/>
            <w:shd w:val="clear" w:color="auto" w:fill="auto"/>
            <w:vAlign w:val="bottom"/>
          </w:tcPr>
          <w:p w14:paraId="74DE26AA" w14:textId="77777777" w:rsidR="00584EC1" w:rsidRDefault="00584EC1">
            <w:pPr>
              <w:rPr>
                <w:rFonts w:ascii="宋体"/>
                <w:vanish/>
              </w:rPr>
            </w:pPr>
          </w:p>
        </w:tc>
      </w:tr>
      <w:tr w:rsidR="00584EC1" w14:paraId="74DE26B0" w14:textId="77777777">
        <w:trPr>
          <w:hidden/>
        </w:trPr>
        <w:tc>
          <w:tcPr>
            <w:tcW w:w="0" w:type="auto"/>
            <w:gridSpan w:val="3"/>
            <w:shd w:val="clear" w:color="auto" w:fill="auto"/>
            <w:vAlign w:val="bottom"/>
          </w:tcPr>
          <w:p w14:paraId="74DE26AC" w14:textId="77777777" w:rsidR="00584EC1" w:rsidRDefault="00584EC1">
            <w:pPr>
              <w:rPr>
                <w:rFonts w:ascii="宋体"/>
                <w:vanish/>
              </w:rPr>
            </w:pPr>
          </w:p>
        </w:tc>
        <w:tc>
          <w:tcPr>
            <w:tcW w:w="0" w:type="auto"/>
            <w:gridSpan w:val="3"/>
            <w:shd w:val="clear" w:color="auto" w:fill="auto"/>
            <w:vAlign w:val="bottom"/>
          </w:tcPr>
          <w:p w14:paraId="74DE26AD" w14:textId="77777777" w:rsidR="00584EC1" w:rsidRDefault="00584EC1">
            <w:pPr>
              <w:rPr>
                <w:rFonts w:ascii="宋体"/>
                <w:vanish/>
              </w:rPr>
            </w:pPr>
          </w:p>
        </w:tc>
        <w:tc>
          <w:tcPr>
            <w:tcW w:w="0" w:type="auto"/>
            <w:gridSpan w:val="3"/>
            <w:shd w:val="clear" w:color="auto" w:fill="auto"/>
            <w:vAlign w:val="bottom"/>
          </w:tcPr>
          <w:p w14:paraId="74DE26AE" w14:textId="77777777" w:rsidR="00584EC1" w:rsidRDefault="00584EC1">
            <w:pPr>
              <w:rPr>
                <w:rFonts w:ascii="宋体"/>
                <w:vanish/>
              </w:rPr>
            </w:pPr>
          </w:p>
        </w:tc>
        <w:tc>
          <w:tcPr>
            <w:tcW w:w="0" w:type="auto"/>
            <w:gridSpan w:val="3"/>
            <w:shd w:val="clear" w:color="auto" w:fill="auto"/>
            <w:vAlign w:val="bottom"/>
          </w:tcPr>
          <w:p w14:paraId="74DE26AF" w14:textId="77777777" w:rsidR="00584EC1" w:rsidRDefault="00584EC1">
            <w:pPr>
              <w:rPr>
                <w:rFonts w:ascii="宋体"/>
                <w:vanish/>
              </w:rPr>
            </w:pPr>
          </w:p>
        </w:tc>
      </w:tr>
      <w:tr w:rsidR="00584EC1" w14:paraId="74DE26B5" w14:textId="77777777">
        <w:trPr>
          <w:hidden/>
        </w:trPr>
        <w:tc>
          <w:tcPr>
            <w:tcW w:w="0" w:type="auto"/>
            <w:gridSpan w:val="3"/>
            <w:shd w:val="clear" w:color="auto" w:fill="auto"/>
            <w:vAlign w:val="bottom"/>
          </w:tcPr>
          <w:p w14:paraId="74DE26B1" w14:textId="77777777" w:rsidR="00584EC1" w:rsidRDefault="00584EC1">
            <w:pPr>
              <w:rPr>
                <w:rFonts w:ascii="宋体"/>
                <w:vanish/>
              </w:rPr>
            </w:pPr>
          </w:p>
        </w:tc>
        <w:tc>
          <w:tcPr>
            <w:tcW w:w="0" w:type="auto"/>
            <w:gridSpan w:val="3"/>
            <w:shd w:val="clear" w:color="auto" w:fill="auto"/>
            <w:vAlign w:val="bottom"/>
          </w:tcPr>
          <w:p w14:paraId="74DE26B2" w14:textId="77777777" w:rsidR="00584EC1" w:rsidRDefault="00584EC1">
            <w:pPr>
              <w:rPr>
                <w:rFonts w:ascii="宋体"/>
                <w:vanish/>
              </w:rPr>
            </w:pPr>
          </w:p>
        </w:tc>
        <w:tc>
          <w:tcPr>
            <w:tcW w:w="0" w:type="auto"/>
            <w:gridSpan w:val="3"/>
            <w:shd w:val="clear" w:color="auto" w:fill="auto"/>
            <w:vAlign w:val="bottom"/>
          </w:tcPr>
          <w:p w14:paraId="74DE26B3" w14:textId="77777777" w:rsidR="00584EC1" w:rsidRDefault="00584EC1">
            <w:pPr>
              <w:rPr>
                <w:rFonts w:ascii="宋体"/>
                <w:vanish/>
              </w:rPr>
            </w:pPr>
          </w:p>
        </w:tc>
        <w:tc>
          <w:tcPr>
            <w:tcW w:w="0" w:type="auto"/>
            <w:gridSpan w:val="3"/>
            <w:shd w:val="clear" w:color="auto" w:fill="auto"/>
            <w:vAlign w:val="bottom"/>
          </w:tcPr>
          <w:p w14:paraId="74DE26B4" w14:textId="77777777" w:rsidR="00584EC1" w:rsidRDefault="00584EC1">
            <w:pPr>
              <w:rPr>
                <w:rFonts w:ascii="宋体"/>
                <w:vanish/>
              </w:rPr>
            </w:pPr>
          </w:p>
        </w:tc>
      </w:tr>
      <w:tr w:rsidR="00584EC1" w14:paraId="74DE26BA" w14:textId="77777777">
        <w:trPr>
          <w:hidden/>
        </w:trPr>
        <w:tc>
          <w:tcPr>
            <w:tcW w:w="0" w:type="auto"/>
            <w:gridSpan w:val="3"/>
            <w:shd w:val="clear" w:color="auto" w:fill="auto"/>
            <w:vAlign w:val="bottom"/>
          </w:tcPr>
          <w:p w14:paraId="74DE26B6" w14:textId="77777777" w:rsidR="00584EC1" w:rsidRDefault="00584EC1">
            <w:pPr>
              <w:rPr>
                <w:rFonts w:ascii="宋体"/>
                <w:vanish/>
              </w:rPr>
            </w:pPr>
          </w:p>
        </w:tc>
        <w:tc>
          <w:tcPr>
            <w:tcW w:w="0" w:type="auto"/>
            <w:gridSpan w:val="3"/>
            <w:shd w:val="clear" w:color="auto" w:fill="auto"/>
            <w:vAlign w:val="bottom"/>
          </w:tcPr>
          <w:p w14:paraId="74DE26B7" w14:textId="77777777" w:rsidR="00584EC1" w:rsidRDefault="00584EC1">
            <w:pPr>
              <w:rPr>
                <w:rFonts w:ascii="宋体"/>
                <w:vanish/>
              </w:rPr>
            </w:pPr>
          </w:p>
        </w:tc>
        <w:tc>
          <w:tcPr>
            <w:tcW w:w="0" w:type="auto"/>
            <w:gridSpan w:val="3"/>
            <w:shd w:val="clear" w:color="auto" w:fill="auto"/>
            <w:vAlign w:val="bottom"/>
          </w:tcPr>
          <w:p w14:paraId="74DE26B8" w14:textId="77777777" w:rsidR="00584EC1" w:rsidRDefault="00584EC1">
            <w:pPr>
              <w:rPr>
                <w:rFonts w:ascii="宋体"/>
                <w:vanish/>
              </w:rPr>
            </w:pPr>
          </w:p>
        </w:tc>
        <w:tc>
          <w:tcPr>
            <w:tcW w:w="0" w:type="auto"/>
            <w:gridSpan w:val="3"/>
            <w:shd w:val="clear" w:color="auto" w:fill="auto"/>
            <w:vAlign w:val="bottom"/>
          </w:tcPr>
          <w:p w14:paraId="74DE26B9" w14:textId="77777777" w:rsidR="00584EC1" w:rsidRDefault="00584EC1">
            <w:pPr>
              <w:rPr>
                <w:rFonts w:ascii="宋体"/>
                <w:vanish/>
              </w:rPr>
            </w:pPr>
          </w:p>
        </w:tc>
      </w:tr>
      <w:tr w:rsidR="00584EC1" w14:paraId="74DE26BF" w14:textId="77777777">
        <w:trPr>
          <w:hidden/>
        </w:trPr>
        <w:tc>
          <w:tcPr>
            <w:tcW w:w="0" w:type="auto"/>
            <w:gridSpan w:val="3"/>
            <w:shd w:val="clear" w:color="auto" w:fill="auto"/>
            <w:vAlign w:val="bottom"/>
          </w:tcPr>
          <w:p w14:paraId="74DE26BB" w14:textId="77777777" w:rsidR="00584EC1" w:rsidRDefault="00584EC1">
            <w:pPr>
              <w:rPr>
                <w:rFonts w:ascii="宋体"/>
                <w:vanish/>
              </w:rPr>
            </w:pPr>
          </w:p>
        </w:tc>
        <w:tc>
          <w:tcPr>
            <w:tcW w:w="0" w:type="auto"/>
            <w:gridSpan w:val="3"/>
            <w:shd w:val="clear" w:color="auto" w:fill="auto"/>
            <w:vAlign w:val="bottom"/>
          </w:tcPr>
          <w:p w14:paraId="74DE26BC" w14:textId="77777777" w:rsidR="00584EC1" w:rsidRDefault="00584EC1">
            <w:pPr>
              <w:rPr>
                <w:rFonts w:ascii="宋体"/>
                <w:vanish/>
              </w:rPr>
            </w:pPr>
          </w:p>
        </w:tc>
        <w:tc>
          <w:tcPr>
            <w:tcW w:w="0" w:type="auto"/>
            <w:gridSpan w:val="3"/>
            <w:shd w:val="clear" w:color="auto" w:fill="auto"/>
            <w:vAlign w:val="bottom"/>
          </w:tcPr>
          <w:p w14:paraId="74DE26BD" w14:textId="77777777" w:rsidR="00584EC1" w:rsidRDefault="00584EC1">
            <w:pPr>
              <w:rPr>
                <w:rFonts w:ascii="宋体"/>
                <w:vanish/>
              </w:rPr>
            </w:pPr>
          </w:p>
        </w:tc>
        <w:tc>
          <w:tcPr>
            <w:tcW w:w="0" w:type="auto"/>
            <w:gridSpan w:val="3"/>
            <w:shd w:val="clear" w:color="auto" w:fill="auto"/>
            <w:vAlign w:val="bottom"/>
          </w:tcPr>
          <w:p w14:paraId="74DE26BE" w14:textId="77777777" w:rsidR="00584EC1" w:rsidRDefault="00584EC1">
            <w:pPr>
              <w:rPr>
                <w:rFonts w:ascii="宋体"/>
                <w:vanish/>
              </w:rPr>
            </w:pPr>
          </w:p>
        </w:tc>
      </w:tr>
      <w:tr w:rsidR="00584EC1" w14:paraId="74DE26C4" w14:textId="77777777">
        <w:trPr>
          <w:hidden/>
        </w:trPr>
        <w:tc>
          <w:tcPr>
            <w:tcW w:w="0" w:type="auto"/>
            <w:gridSpan w:val="3"/>
            <w:shd w:val="clear" w:color="auto" w:fill="auto"/>
            <w:vAlign w:val="bottom"/>
          </w:tcPr>
          <w:p w14:paraId="74DE26C0" w14:textId="77777777" w:rsidR="00584EC1" w:rsidRDefault="00584EC1">
            <w:pPr>
              <w:rPr>
                <w:rFonts w:ascii="宋体"/>
                <w:vanish/>
              </w:rPr>
            </w:pPr>
          </w:p>
        </w:tc>
        <w:tc>
          <w:tcPr>
            <w:tcW w:w="0" w:type="auto"/>
            <w:gridSpan w:val="3"/>
            <w:shd w:val="clear" w:color="auto" w:fill="auto"/>
            <w:vAlign w:val="bottom"/>
          </w:tcPr>
          <w:p w14:paraId="74DE26C1" w14:textId="77777777" w:rsidR="00584EC1" w:rsidRDefault="00584EC1">
            <w:pPr>
              <w:rPr>
                <w:rFonts w:ascii="宋体"/>
                <w:vanish/>
              </w:rPr>
            </w:pPr>
          </w:p>
        </w:tc>
        <w:tc>
          <w:tcPr>
            <w:tcW w:w="0" w:type="auto"/>
            <w:gridSpan w:val="3"/>
            <w:shd w:val="clear" w:color="auto" w:fill="auto"/>
            <w:vAlign w:val="bottom"/>
          </w:tcPr>
          <w:p w14:paraId="74DE26C2" w14:textId="77777777" w:rsidR="00584EC1" w:rsidRDefault="00584EC1">
            <w:pPr>
              <w:rPr>
                <w:rFonts w:ascii="宋体"/>
                <w:vanish/>
              </w:rPr>
            </w:pPr>
          </w:p>
        </w:tc>
        <w:tc>
          <w:tcPr>
            <w:tcW w:w="0" w:type="auto"/>
            <w:gridSpan w:val="3"/>
            <w:shd w:val="clear" w:color="auto" w:fill="auto"/>
            <w:vAlign w:val="bottom"/>
          </w:tcPr>
          <w:p w14:paraId="74DE26C3" w14:textId="77777777" w:rsidR="00584EC1" w:rsidRDefault="00584EC1">
            <w:pPr>
              <w:rPr>
                <w:rFonts w:ascii="宋体"/>
                <w:vanish/>
              </w:rPr>
            </w:pPr>
          </w:p>
        </w:tc>
      </w:tr>
      <w:tr w:rsidR="00584EC1" w14:paraId="74DE26C9" w14:textId="77777777">
        <w:trPr>
          <w:hidden/>
        </w:trPr>
        <w:tc>
          <w:tcPr>
            <w:tcW w:w="0" w:type="auto"/>
            <w:gridSpan w:val="3"/>
            <w:shd w:val="clear" w:color="auto" w:fill="auto"/>
            <w:vAlign w:val="bottom"/>
          </w:tcPr>
          <w:p w14:paraId="74DE26C5" w14:textId="77777777" w:rsidR="00584EC1" w:rsidRDefault="00584EC1">
            <w:pPr>
              <w:rPr>
                <w:rFonts w:ascii="宋体"/>
                <w:vanish/>
              </w:rPr>
            </w:pPr>
          </w:p>
        </w:tc>
        <w:tc>
          <w:tcPr>
            <w:tcW w:w="0" w:type="auto"/>
            <w:gridSpan w:val="3"/>
            <w:shd w:val="clear" w:color="auto" w:fill="auto"/>
            <w:vAlign w:val="bottom"/>
          </w:tcPr>
          <w:p w14:paraId="74DE26C6" w14:textId="77777777" w:rsidR="00584EC1" w:rsidRDefault="00584EC1">
            <w:pPr>
              <w:rPr>
                <w:rFonts w:ascii="宋体"/>
                <w:vanish/>
              </w:rPr>
            </w:pPr>
          </w:p>
        </w:tc>
        <w:tc>
          <w:tcPr>
            <w:tcW w:w="0" w:type="auto"/>
            <w:gridSpan w:val="3"/>
            <w:shd w:val="clear" w:color="auto" w:fill="auto"/>
            <w:vAlign w:val="bottom"/>
          </w:tcPr>
          <w:p w14:paraId="74DE26C7" w14:textId="77777777" w:rsidR="00584EC1" w:rsidRDefault="00584EC1">
            <w:pPr>
              <w:rPr>
                <w:rFonts w:ascii="宋体"/>
                <w:vanish/>
              </w:rPr>
            </w:pPr>
          </w:p>
        </w:tc>
        <w:tc>
          <w:tcPr>
            <w:tcW w:w="0" w:type="auto"/>
            <w:gridSpan w:val="3"/>
            <w:shd w:val="clear" w:color="auto" w:fill="auto"/>
            <w:vAlign w:val="bottom"/>
          </w:tcPr>
          <w:p w14:paraId="74DE26C8" w14:textId="77777777" w:rsidR="00584EC1" w:rsidRDefault="00584EC1">
            <w:pPr>
              <w:rPr>
                <w:rFonts w:ascii="宋体"/>
                <w:vanish/>
              </w:rPr>
            </w:pPr>
          </w:p>
        </w:tc>
      </w:tr>
      <w:tr w:rsidR="00584EC1" w14:paraId="74DE26CE" w14:textId="77777777">
        <w:trPr>
          <w:hidden/>
        </w:trPr>
        <w:tc>
          <w:tcPr>
            <w:tcW w:w="0" w:type="auto"/>
            <w:gridSpan w:val="3"/>
            <w:shd w:val="clear" w:color="auto" w:fill="auto"/>
            <w:vAlign w:val="bottom"/>
          </w:tcPr>
          <w:p w14:paraId="74DE26CA" w14:textId="77777777" w:rsidR="00584EC1" w:rsidRDefault="00584EC1">
            <w:pPr>
              <w:rPr>
                <w:rFonts w:ascii="宋体"/>
                <w:vanish/>
              </w:rPr>
            </w:pPr>
          </w:p>
        </w:tc>
        <w:tc>
          <w:tcPr>
            <w:tcW w:w="0" w:type="auto"/>
            <w:gridSpan w:val="3"/>
            <w:shd w:val="clear" w:color="auto" w:fill="auto"/>
            <w:vAlign w:val="bottom"/>
          </w:tcPr>
          <w:p w14:paraId="74DE26CB" w14:textId="77777777" w:rsidR="00584EC1" w:rsidRDefault="00584EC1">
            <w:pPr>
              <w:rPr>
                <w:rFonts w:ascii="宋体"/>
                <w:vanish/>
              </w:rPr>
            </w:pPr>
          </w:p>
        </w:tc>
        <w:tc>
          <w:tcPr>
            <w:tcW w:w="0" w:type="auto"/>
            <w:gridSpan w:val="3"/>
            <w:shd w:val="clear" w:color="auto" w:fill="auto"/>
            <w:vAlign w:val="bottom"/>
          </w:tcPr>
          <w:p w14:paraId="74DE26CC" w14:textId="77777777" w:rsidR="00584EC1" w:rsidRDefault="00584EC1">
            <w:pPr>
              <w:rPr>
                <w:rFonts w:ascii="宋体"/>
                <w:vanish/>
              </w:rPr>
            </w:pPr>
          </w:p>
        </w:tc>
        <w:tc>
          <w:tcPr>
            <w:tcW w:w="0" w:type="auto"/>
            <w:gridSpan w:val="3"/>
            <w:shd w:val="clear" w:color="auto" w:fill="auto"/>
            <w:vAlign w:val="bottom"/>
          </w:tcPr>
          <w:p w14:paraId="74DE26CD" w14:textId="77777777" w:rsidR="00584EC1" w:rsidRDefault="00584EC1">
            <w:pPr>
              <w:rPr>
                <w:rFonts w:ascii="宋体"/>
                <w:vanish/>
              </w:rPr>
            </w:pPr>
          </w:p>
        </w:tc>
      </w:tr>
      <w:tr w:rsidR="00584EC1" w14:paraId="74DE26D3" w14:textId="77777777">
        <w:trPr>
          <w:hidden/>
        </w:trPr>
        <w:tc>
          <w:tcPr>
            <w:tcW w:w="0" w:type="auto"/>
            <w:gridSpan w:val="3"/>
            <w:shd w:val="clear" w:color="auto" w:fill="auto"/>
            <w:vAlign w:val="bottom"/>
          </w:tcPr>
          <w:p w14:paraId="74DE26CF" w14:textId="77777777" w:rsidR="00584EC1" w:rsidRDefault="00584EC1">
            <w:pPr>
              <w:rPr>
                <w:rFonts w:ascii="宋体"/>
                <w:vanish/>
              </w:rPr>
            </w:pPr>
          </w:p>
        </w:tc>
        <w:tc>
          <w:tcPr>
            <w:tcW w:w="0" w:type="auto"/>
            <w:gridSpan w:val="3"/>
            <w:shd w:val="clear" w:color="auto" w:fill="auto"/>
            <w:vAlign w:val="bottom"/>
          </w:tcPr>
          <w:p w14:paraId="74DE26D0" w14:textId="77777777" w:rsidR="00584EC1" w:rsidRDefault="00584EC1">
            <w:pPr>
              <w:rPr>
                <w:rFonts w:ascii="宋体"/>
                <w:vanish/>
              </w:rPr>
            </w:pPr>
          </w:p>
        </w:tc>
        <w:tc>
          <w:tcPr>
            <w:tcW w:w="0" w:type="auto"/>
            <w:gridSpan w:val="3"/>
            <w:shd w:val="clear" w:color="auto" w:fill="auto"/>
            <w:vAlign w:val="bottom"/>
          </w:tcPr>
          <w:p w14:paraId="74DE26D1" w14:textId="77777777" w:rsidR="00584EC1" w:rsidRDefault="00584EC1">
            <w:pPr>
              <w:rPr>
                <w:rFonts w:ascii="宋体"/>
                <w:vanish/>
              </w:rPr>
            </w:pPr>
          </w:p>
        </w:tc>
        <w:tc>
          <w:tcPr>
            <w:tcW w:w="0" w:type="auto"/>
            <w:gridSpan w:val="3"/>
            <w:shd w:val="clear" w:color="auto" w:fill="auto"/>
            <w:vAlign w:val="bottom"/>
          </w:tcPr>
          <w:p w14:paraId="74DE26D2" w14:textId="77777777" w:rsidR="00584EC1" w:rsidRDefault="00584EC1">
            <w:pPr>
              <w:rPr>
                <w:rFonts w:ascii="宋体"/>
                <w:vanish/>
              </w:rPr>
            </w:pPr>
          </w:p>
        </w:tc>
      </w:tr>
      <w:tr w:rsidR="00584EC1" w14:paraId="74DE26D8" w14:textId="77777777">
        <w:trPr>
          <w:hidden/>
        </w:trPr>
        <w:tc>
          <w:tcPr>
            <w:tcW w:w="0" w:type="auto"/>
            <w:gridSpan w:val="3"/>
            <w:shd w:val="clear" w:color="auto" w:fill="auto"/>
            <w:vAlign w:val="bottom"/>
          </w:tcPr>
          <w:p w14:paraId="74DE26D4" w14:textId="77777777" w:rsidR="00584EC1" w:rsidRDefault="00584EC1">
            <w:pPr>
              <w:rPr>
                <w:rFonts w:ascii="宋体"/>
                <w:vanish/>
              </w:rPr>
            </w:pPr>
          </w:p>
        </w:tc>
        <w:tc>
          <w:tcPr>
            <w:tcW w:w="0" w:type="auto"/>
            <w:gridSpan w:val="3"/>
            <w:shd w:val="clear" w:color="auto" w:fill="auto"/>
            <w:vAlign w:val="bottom"/>
          </w:tcPr>
          <w:p w14:paraId="74DE26D5" w14:textId="77777777" w:rsidR="00584EC1" w:rsidRDefault="00584EC1">
            <w:pPr>
              <w:rPr>
                <w:rFonts w:ascii="宋体"/>
                <w:vanish/>
              </w:rPr>
            </w:pPr>
          </w:p>
        </w:tc>
        <w:tc>
          <w:tcPr>
            <w:tcW w:w="0" w:type="auto"/>
            <w:gridSpan w:val="3"/>
            <w:shd w:val="clear" w:color="auto" w:fill="auto"/>
            <w:vAlign w:val="bottom"/>
          </w:tcPr>
          <w:p w14:paraId="74DE26D6" w14:textId="77777777" w:rsidR="00584EC1" w:rsidRDefault="00584EC1">
            <w:pPr>
              <w:rPr>
                <w:rFonts w:ascii="宋体"/>
                <w:vanish/>
              </w:rPr>
            </w:pPr>
          </w:p>
        </w:tc>
        <w:tc>
          <w:tcPr>
            <w:tcW w:w="0" w:type="auto"/>
            <w:gridSpan w:val="3"/>
            <w:shd w:val="clear" w:color="auto" w:fill="auto"/>
            <w:vAlign w:val="bottom"/>
          </w:tcPr>
          <w:p w14:paraId="74DE26D7" w14:textId="77777777" w:rsidR="00584EC1" w:rsidRDefault="00584EC1">
            <w:pPr>
              <w:rPr>
                <w:rFonts w:ascii="宋体"/>
                <w:vanish/>
              </w:rPr>
            </w:pPr>
          </w:p>
        </w:tc>
      </w:tr>
      <w:tr w:rsidR="00584EC1" w14:paraId="74DE26DD" w14:textId="77777777">
        <w:trPr>
          <w:hidden/>
        </w:trPr>
        <w:tc>
          <w:tcPr>
            <w:tcW w:w="0" w:type="auto"/>
            <w:gridSpan w:val="3"/>
            <w:shd w:val="clear" w:color="auto" w:fill="auto"/>
            <w:vAlign w:val="bottom"/>
          </w:tcPr>
          <w:p w14:paraId="74DE26D9" w14:textId="77777777" w:rsidR="00584EC1" w:rsidRDefault="00584EC1">
            <w:pPr>
              <w:rPr>
                <w:rFonts w:ascii="宋体"/>
                <w:vanish/>
              </w:rPr>
            </w:pPr>
          </w:p>
        </w:tc>
        <w:tc>
          <w:tcPr>
            <w:tcW w:w="0" w:type="auto"/>
            <w:gridSpan w:val="3"/>
            <w:shd w:val="clear" w:color="auto" w:fill="auto"/>
            <w:vAlign w:val="bottom"/>
          </w:tcPr>
          <w:p w14:paraId="74DE26DA" w14:textId="77777777" w:rsidR="00584EC1" w:rsidRDefault="00584EC1">
            <w:pPr>
              <w:rPr>
                <w:rFonts w:ascii="宋体"/>
                <w:vanish/>
              </w:rPr>
            </w:pPr>
          </w:p>
        </w:tc>
        <w:tc>
          <w:tcPr>
            <w:tcW w:w="0" w:type="auto"/>
            <w:gridSpan w:val="3"/>
            <w:shd w:val="clear" w:color="auto" w:fill="auto"/>
            <w:vAlign w:val="bottom"/>
          </w:tcPr>
          <w:p w14:paraId="74DE26DB" w14:textId="77777777" w:rsidR="00584EC1" w:rsidRDefault="00584EC1">
            <w:pPr>
              <w:rPr>
                <w:rFonts w:ascii="宋体"/>
                <w:vanish/>
              </w:rPr>
            </w:pPr>
          </w:p>
        </w:tc>
        <w:tc>
          <w:tcPr>
            <w:tcW w:w="0" w:type="auto"/>
            <w:gridSpan w:val="3"/>
            <w:shd w:val="clear" w:color="auto" w:fill="auto"/>
            <w:vAlign w:val="bottom"/>
          </w:tcPr>
          <w:p w14:paraId="74DE26DC" w14:textId="77777777" w:rsidR="00584EC1" w:rsidRDefault="00584EC1">
            <w:pPr>
              <w:rPr>
                <w:rFonts w:ascii="宋体"/>
                <w:vanish/>
              </w:rPr>
            </w:pPr>
          </w:p>
        </w:tc>
      </w:tr>
      <w:tr w:rsidR="00584EC1" w14:paraId="74DE26E2" w14:textId="77777777">
        <w:trPr>
          <w:hidden/>
        </w:trPr>
        <w:tc>
          <w:tcPr>
            <w:tcW w:w="0" w:type="auto"/>
            <w:gridSpan w:val="3"/>
            <w:shd w:val="clear" w:color="auto" w:fill="auto"/>
            <w:vAlign w:val="bottom"/>
          </w:tcPr>
          <w:p w14:paraId="74DE26DE" w14:textId="77777777" w:rsidR="00584EC1" w:rsidRDefault="00584EC1">
            <w:pPr>
              <w:rPr>
                <w:rFonts w:ascii="宋体"/>
                <w:vanish/>
              </w:rPr>
            </w:pPr>
          </w:p>
        </w:tc>
        <w:tc>
          <w:tcPr>
            <w:tcW w:w="0" w:type="auto"/>
            <w:gridSpan w:val="3"/>
            <w:shd w:val="clear" w:color="auto" w:fill="auto"/>
            <w:vAlign w:val="bottom"/>
          </w:tcPr>
          <w:p w14:paraId="74DE26DF" w14:textId="77777777" w:rsidR="00584EC1" w:rsidRDefault="00584EC1">
            <w:pPr>
              <w:rPr>
                <w:rFonts w:ascii="宋体"/>
                <w:vanish/>
              </w:rPr>
            </w:pPr>
          </w:p>
        </w:tc>
        <w:tc>
          <w:tcPr>
            <w:tcW w:w="0" w:type="auto"/>
            <w:gridSpan w:val="3"/>
            <w:shd w:val="clear" w:color="auto" w:fill="auto"/>
            <w:vAlign w:val="bottom"/>
          </w:tcPr>
          <w:p w14:paraId="74DE26E0" w14:textId="77777777" w:rsidR="00584EC1" w:rsidRDefault="00584EC1">
            <w:pPr>
              <w:rPr>
                <w:rFonts w:ascii="宋体"/>
                <w:vanish/>
              </w:rPr>
            </w:pPr>
          </w:p>
        </w:tc>
        <w:tc>
          <w:tcPr>
            <w:tcW w:w="0" w:type="auto"/>
            <w:gridSpan w:val="3"/>
            <w:shd w:val="clear" w:color="auto" w:fill="auto"/>
            <w:vAlign w:val="bottom"/>
          </w:tcPr>
          <w:p w14:paraId="74DE26E1" w14:textId="77777777" w:rsidR="00584EC1" w:rsidRDefault="00584EC1">
            <w:pPr>
              <w:rPr>
                <w:rFonts w:ascii="宋体"/>
                <w:vanish/>
              </w:rPr>
            </w:pPr>
          </w:p>
        </w:tc>
      </w:tr>
      <w:tr w:rsidR="00584EC1" w14:paraId="74DE26E7" w14:textId="77777777">
        <w:trPr>
          <w:hidden/>
        </w:trPr>
        <w:tc>
          <w:tcPr>
            <w:tcW w:w="0" w:type="auto"/>
            <w:gridSpan w:val="3"/>
            <w:shd w:val="clear" w:color="auto" w:fill="auto"/>
            <w:vAlign w:val="bottom"/>
          </w:tcPr>
          <w:p w14:paraId="74DE26E3" w14:textId="77777777" w:rsidR="00584EC1" w:rsidRDefault="00584EC1">
            <w:pPr>
              <w:rPr>
                <w:rFonts w:ascii="宋体"/>
                <w:vanish/>
              </w:rPr>
            </w:pPr>
          </w:p>
        </w:tc>
        <w:tc>
          <w:tcPr>
            <w:tcW w:w="0" w:type="auto"/>
            <w:gridSpan w:val="3"/>
            <w:shd w:val="clear" w:color="auto" w:fill="auto"/>
            <w:vAlign w:val="bottom"/>
          </w:tcPr>
          <w:p w14:paraId="74DE26E4" w14:textId="77777777" w:rsidR="00584EC1" w:rsidRDefault="00584EC1">
            <w:pPr>
              <w:rPr>
                <w:rFonts w:ascii="宋体"/>
                <w:vanish/>
              </w:rPr>
            </w:pPr>
          </w:p>
        </w:tc>
        <w:tc>
          <w:tcPr>
            <w:tcW w:w="0" w:type="auto"/>
            <w:gridSpan w:val="3"/>
            <w:shd w:val="clear" w:color="auto" w:fill="auto"/>
            <w:vAlign w:val="bottom"/>
          </w:tcPr>
          <w:p w14:paraId="74DE26E5" w14:textId="77777777" w:rsidR="00584EC1" w:rsidRDefault="00584EC1">
            <w:pPr>
              <w:rPr>
                <w:rFonts w:ascii="宋体"/>
                <w:vanish/>
              </w:rPr>
            </w:pPr>
          </w:p>
        </w:tc>
        <w:tc>
          <w:tcPr>
            <w:tcW w:w="0" w:type="auto"/>
            <w:gridSpan w:val="3"/>
            <w:shd w:val="clear" w:color="auto" w:fill="auto"/>
            <w:vAlign w:val="bottom"/>
          </w:tcPr>
          <w:p w14:paraId="74DE26E6" w14:textId="77777777" w:rsidR="00584EC1" w:rsidRDefault="00584EC1">
            <w:pPr>
              <w:rPr>
                <w:rFonts w:ascii="宋体"/>
                <w:vanish/>
              </w:rPr>
            </w:pPr>
          </w:p>
        </w:tc>
      </w:tr>
      <w:tr w:rsidR="00584EC1" w14:paraId="74DE26EC" w14:textId="77777777">
        <w:trPr>
          <w:hidden/>
        </w:trPr>
        <w:tc>
          <w:tcPr>
            <w:tcW w:w="0" w:type="auto"/>
            <w:gridSpan w:val="3"/>
            <w:shd w:val="clear" w:color="auto" w:fill="auto"/>
            <w:vAlign w:val="bottom"/>
          </w:tcPr>
          <w:p w14:paraId="74DE26E8" w14:textId="77777777" w:rsidR="00584EC1" w:rsidRDefault="00584EC1">
            <w:pPr>
              <w:rPr>
                <w:rFonts w:ascii="宋体"/>
                <w:vanish/>
              </w:rPr>
            </w:pPr>
          </w:p>
        </w:tc>
        <w:tc>
          <w:tcPr>
            <w:tcW w:w="0" w:type="auto"/>
            <w:gridSpan w:val="3"/>
            <w:shd w:val="clear" w:color="auto" w:fill="auto"/>
            <w:vAlign w:val="bottom"/>
          </w:tcPr>
          <w:p w14:paraId="74DE26E9" w14:textId="77777777" w:rsidR="00584EC1" w:rsidRDefault="00584EC1">
            <w:pPr>
              <w:rPr>
                <w:rFonts w:ascii="宋体"/>
                <w:vanish/>
              </w:rPr>
            </w:pPr>
          </w:p>
        </w:tc>
        <w:tc>
          <w:tcPr>
            <w:tcW w:w="0" w:type="auto"/>
            <w:gridSpan w:val="3"/>
            <w:shd w:val="clear" w:color="auto" w:fill="auto"/>
            <w:vAlign w:val="bottom"/>
          </w:tcPr>
          <w:p w14:paraId="74DE26EA" w14:textId="77777777" w:rsidR="00584EC1" w:rsidRDefault="00584EC1">
            <w:pPr>
              <w:rPr>
                <w:rFonts w:ascii="宋体"/>
                <w:vanish/>
              </w:rPr>
            </w:pPr>
          </w:p>
        </w:tc>
        <w:tc>
          <w:tcPr>
            <w:tcW w:w="0" w:type="auto"/>
            <w:gridSpan w:val="3"/>
            <w:shd w:val="clear" w:color="auto" w:fill="auto"/>
            <w:vAlign w:val="bottom"/>
          </w:tcPr>
          <w:p w14:paraId="74DE26EB" w14:textId="77777777" w:rsidR="00584EC1" w:rsidRDefault="00584EC1">
            <w:pPr>
              <w:rPr>
                <w:rFonts w:ascii="宋体"/>
                <w:vanish/>
              </w:rPr>
            </w:pPr>
          </w:p>
        </w:tc>
      </w:tr>
      <w:tr w:rsidR="00584EC1" w14:paraId="74DE26F1" w14:textId="77777777">
        <w:trPr>
          <w:hidden/>
        </w:trPr>
        <w:tc>
          <w:tcPr>
            <w:tcW w:w="0" w:type="auto"/>
            <w:gridSpan w:val="3"/>
            <w:shd w:val="clear" w:color="auto" w:fill="auto"/>
            <w:vAlign w:val="bottom"/>
          </w:tcPr>
          <w:p w14:paraId="74DE26ED" w14:textId="77777777" w:rsidR="00584EC1" w:rsidRDefault="00584EC1">
            <w:pPr>
              <w:rPr>
                <w:rFonts w:ascii="宋体"/>
                <w:vanish/>
              </w:rPr>
            </w:pPr>
          </w:p>
        </w:tc>
        <w:tc>
          <w:tcPr>
            <w:tcW w:w="0" w:type="auto"/>
            <w:gridSpan w:val="3"/>
            <w:shd w:val="clear" w:color="auto" w:fill="auto"/>
            <w:vAlign w:val="bottom"/>
          </w:tcPr>
          <w:p w14:paraId="74DE26EE" w14:textId="77777777" w:rsidR="00584EC1" w:rsidRDefault="00584EC1">
            <w:pPr>
              <w:rPr>
                <w:rFonts w:ascii="宋体"/>
                <w:vanish/>
              </w:rPr>
            </w:pPr>
          </w:p>
        </w:tc>
        <w:tc>
          <w:tcPr>
            <w:tcW w:w="0" w:type="auto"/>
            <w:gridSpan w:val="3"/>
            <w:shd w:val="clear" w:color="auto" w:fill="auto"/>
            <w:vAlign w:val="bottom"/>
          </w:tcPr>
          <w:p w14:paraId="74DE26EF" w14:textId="77777777" w:rsidR="00584EC1" w:rsidRDefault="00584EC1">
            <w:pPr>
              <w:rPr>
                <w:rFonts w:ascii="宋体"/>
                <w:vanish/>
              </w:rPr>
            </w:pPr>
          </w:p>
        </w:tc>
        <w:tc>
          <w:tcPr>
            <w:tcW w:w="0" w:type="auto"/>
            <w:gridSpan w:val="3"/>
            <w:shd w:val="clear" w:color="auto" w:fill="auto"/>
            <w:vAlign w:val="bottom"/>
          </w:tcPr>
          <w:p w14:paraId="74DE26F0" w14:textId="77777777" w:rsidR="00584EC1" w:rsidRDefault="00584EC1">
            <w:pPr>
              <w:rPr>
                <w:rFonts w:ascii="宋体"/>
                <w:vanish/>
              </w:rPr>
            </w:pPr>
          </w:p>
        </w:tc>
      </w:tr>
      <w:tr w:rsidR="00584EC1" w14:paraId="74DE26F6" w14:textId="77777777">
        <w:trPr>
          <w:hidden/>
        </w:trPr>
        <w:tc>
          <w:tcPr>
            <w:tcW w:w="0" w:type="auto"/>
            <w:gridSpan w:val="3"/>
            <w:shd w:val="clear" w:color="auto" w:fill="auto"/>
            <w:vAlign w:val="bottom"/>
          </w:tcPr>
          <w:p w14:paraId="74DE26F2" w14:textId="77777777" w:rsidR="00584EC1" w:rsidRDefault="00584EC1">
            <w:pPr>
              <w:rPr>
                <w:rFonts w:ascii="宋体"/>
                <w:vanish/>
              </w:rPr>
            </w:pPr>
          </w:p>
        </w:tc>
        <w:tc>
          <w:tcPr>
            <w:tcW w:w="0" w:type="auto"/>
            <w:gridSpan w:val="3"/>
            <w:shd w:val="clear" w:color="auto" w:fill="auto"/>
            <w:vAlign w:val="bottom"/>
          </w:tcPr>
          <w:p w14:paraId="74DE26F3" w14:textId="77777777" w:rsidR="00584EC1" w:rsidRDefault="00584EC1">
            <w:pPr>
              <w:rPr>
                <w:rFonts w:ascii="宋体"/>
                <w:vanish/>
              </w:rPr>
            </w:pPr>
          </w:p>
        </w:tc>
        <w:tc>
          <w:tcPr>
            <w:tcW w:w="0" w:type="auto"/>
            <w:gridSpan w:val="3"/>
            <w:shd w:val="clear" w:color="auto" w:fill="auto"/>
            <w:vAlign w:val="bottom"/>
          </w:tcPr>
          <w:p w14:paraId="74DE26F4" w14:textId="77777777" w:rsidR="00584EC1" w:rsidRDefault="00584EC1">
            <w:pPr>
              <w:rPr>
                <w:rFonts w:ascii="宋体"/>
                <w:vanish/>
              </w:rPr>
            </w:pPr>
          </w:p>
        </w:tc>
        <w:tc>
          <w:tcPr>
            <w:tcW w:w="0" w:type="auto"/>
            <w:gridSpan w:val="3"/>
            <w:shd w:val="clear" w:color="auto" w:fill="auto"/>
            <w:vAlign w:val="bottom"/>
          </w:tcPr>
          <w:p w14:paraId="74DE26F5" w14:textId="77777777" w:rsidR="00584EC1" w:rsidRDefault="00584EC1">
            <w:pPr>
              <w:rPr>
                <w:rFonts w:ascii="宋体"/>
                <w:vanish/>
              </w:rPr>
            </w:pPr>
          </w:p>
        </w:tc>
      </w:tr>
      <w:tr w:rsidR="00584EC1" w14:paraId="74DE26FB" w14:textId="77777777">
        <w:trPr>
          <w:hidden/>
        </w:trPr>
        <w:tc>
          <w:tcPr>
            <w:tcW w:w="0" w:type="auto"/>
            <w:gridSpan w:val="3"/>
            <w:shd w:val="clear" w:color="auto" w:fill="auto"/>
            <w:vAlign w:val="bottom"/>
          </w:tcPr>
          <w:p w14:paraId="74DE26F7" w14:textId="77777777" w:rsidR="00584EC1" w:rsidRDefault="00584EC1">
            <w:pPr>
              <w:rPr>
                <w:rFonts w:ascii="宋体"/>
                <w:vanish/>
              </w:rPr>
            </w:pPr>
          </w:p>
        </w:tc>
        <w:tc>
          <w:tcPr>
            <w:tcW w:w="0" w:type="auto"/>
            <w:gridSpan w:val="3"/>
            <w:shd w:val="clear" w:color="auto" w:fill="auto"/>
            <w:vAlign w:val="bottom"/>
          </w:tcPr>
          <w:p w14:paraId="74DE26F8" w14:textId="77777777" w:rsidR="00584EC1" w:rsidRDefault="00584EC1">
            <w:pPr>
              <w:rPr>
                <w:rFonts w:ascii="宋体"/>
                <w:vanish/>
              </w:rPr>
            </w:pPr>
          </w:p>
        </w:tc>
        <w:tc>
          <w:tcPr>
            <w:tcW w:w="0" w:type="auto"/>
            <w:gridSpan w:val="3"/>
            <w:shd w:val="clear" w:color="auto" w:fill="auto"/>
            <w:vAlign w:val="bottom"/>
          </w:tcPr>
          <w:p w14:paraId="74DE26F9" w14:textId="77777777" w:rsidR="00584EC1" w:rsidRDefault="00584EC1">
            <w:pPr>
              <w:rPr>
                <w:rFonts w:ascii="宋体"/>
                <w:vanish/>
              </w:rPr>
            </w:pPr>
          </w:p>
        </w:tc>
        <w:tc>
          <w:tcPr>
            <w:tcW w:w="0" w:type="auto"/>
            <w:gridSpan w:val="3"/>
            <w:shd w:val="clear" w:color="auto" w:fill="auto"/>
            <w:vAlign w:val="bottom"/>
          </w:tcPr>
          <w:p w14:paraId="74DE26FA" w14:textId="77777777" w:rsidR="00584EC1" w:rsidRDefault="00584EC1">
            <w:pPr>
              <w:rPr>
                <w:rFonts w:ascii="宋体"/>
                <w:vanish/>
              </w:rPr>
            </w:pPr>
          </w:p>
        </w:tc>
      </w:tr>
      <w:tr w:rsidR="00584EC1" w14:paraId="74DE2700" w14:textId="77777777">
        <w:trPr>
          <w:hidden/>
        </w:trPr>
        <w:tc>
          <w:tcPr>
            <w:tcW w:w="0" w:type="auto"/>
            <w:gridSpan w:val="3"/>
            <w:shd w:val="clear" w:color="auto" w:fill="auto"/>
            <w:vAlign w:val="bottom"/>
          </w:tcPr>
          <w:p w14:paraId="74DE26FC" w14:textId="77777777" w:rsidR="00584EC1" w:rsidRDefault="00584EC1">
            <w:pPr>
              <w:rPr>
                <w:rFonts w:ascii="宋体"/>
                <w:vanish/>
              </w:rPr>
            </w:pPr>
          </w:p>
        </w:tc>
        <w:tc>
          <w:tcPr>
            <w:tcW w:w="0" w:type="auto"/>
            <w:gridSpan w:val="3"/>
            <w:shd w:val="clear" w:color="auto" w:fill="auto"/>
            <w:vAlign w:val="bottom"/>
          </w:tcPr>
          <w:p w14:paraId="74DE26FD" w14:textId="77777777" w:rsidR="00584EC1" w:rsidRDefault="00584EC1">
            <w:pPr>
              <w:rPr>
                <w:rFonts w:ascii="宋体"/>
                <w:vanish/>
              </w:rPr>
            </w:pPr>
          </w:p>
        </w:tc>
        <w:tc>
          <w:tcPr>
            <w:tcW w:w="0" w:type="auto"/>
            <w:gridSpan w:val="3"/>
            <w:shd w:val="clear" w:color="auto" w:fill="auto"/>
            <w:vAlign w:val="bottom"/>
          </w:tcPr>
          <w:p w14:paraId="74DE26FE" w14:textId="77777777" w:rsidR="00584EC1" w:rsidRDefault="00584EC1">
            <w:pPr>
              <w:rPr>
                <w:rFonts w:ascii="宋体"/>
                <w:vanish/>
              </w:rPr>
            </w:pPr>
          </w:p>
        </w:tc>
        <w:tc>
          <w:tcPr>
            <w:tcW w:w="0" w:type="auto"/>
            <w:gridSpan w:val="3"/>
            <w:shd w:val="clear" w:color="auto" w:fill="auto"/>
            <w:vAlign w:val="bottom"/>
          </w:tcPr>
          <w:p w14:paraId="74DE26FF" w14:textId="77777777" w:rsidR="00584EC1" w:rsidRDefault="00584EC1">
            <w:pPr>
              <w:rPr>
                <w:rFonts w:ascii="宋体"/>
                <w:vanish/>
              </w:rPr>
            </w:pPr>
          </w:p>
        </w:tc>
      </w:tr>
      <w:tr w:rsidR="00584EC1" w14:paraId="74DE2705" w14:textId="77777777">
        <w:trPr>
          <w:hidden/>
        </w:trPr>
        <w:tc>
          <w:tcPr>
            <w:tcW w:w="0" w:type="auto"/>
            <w:gridSpan w:val="3"/>
            <w:shd w:val="clear" w:color="auto" w:fill="auto"/>
            <w:vAlign w:val="bottom"/>
          </w:tcPr>
          <w:p w14:paraId="74DE2701" w14:textId="77777777" w:rsidR="00584EC1" w:rsidRDefault="00584EC1">
            <w:pPr>
              <w:rPr>
                <w:rFonts w:ascii="宋体"/>
                <w:vanish/>
              </w:rPr>
            </w:pPr>
          </w:p>
        </w:tc>
        <w:tc>
          <w:tcPr>
            <w:tcW w:w="0" w:type="auto"/>
            <w:gridSpan w:val="3"/>
            <w:shd w:val="clear" w:color="auto" w:fill="auto"/>
            <w:vAlign w:val="bottom"/>
          </w:tcPr>
          <w:p w14:paraId="74DE2702" w14:textId="77777777" w:rsidR="00584EC1" w:rsidRDefault="00584EC1">
            <w:pPr>
              <w:rPr>
                <w:rFonts w:ascii="宋体"/>
                <w:vanish/>
              </w:rPr>
            </w:pPr>
          </w:p>
        </w:tc>
        <w:tc>
          <w:tcPr>
            <w:tcW w:w="0" w:type="auto"/>
            <w:gridSpan w:val="3"/>
            <w:shd w:val="clear" w:color="auto" w:fill="auto"/>
            <w:vAlign w:val="bottom"/>
          </w:tcPr>
          <w:p w14:paraId="74DE2703" w14:textId="77777777" w:rsidR="00584EC1" w:rsidRDefault="00584EC1">
            <w:pPr>
              <w:rPr>
                <w:rFonts w:ascii="宋体"/>
                <w:vanish/>
              </w:rPr>
            </w:pPr>
          </w:p>
        </w:tc>
        <w:tc>
          <w:tcPr>
            <w:tcW w:w="0" w:type="auto"/>
            <w:gridSpan w:val="3"/>
            <w:shd w:val="clear" w:color="auto" w:fill="auto"/>
            <w:vAlign w:val="bottom"/>
          </w:tcPr>
          <w:p w14:paraId="74DE2704" w14:textId="77777777" w:rsidR="00584EC1" w:rsidRDefault="00584EC1">
            <w:pPr>
              <w:rPr>
                <w:rFonts w:ascii="宋体"/>
                <w:vanish/>
              </w:rPr>
            </w:pPr>
          </w:p>
        </w:tc>
      </w:tr>
      <w:tr w:rsidR="00584EC1" w14:paraId="74DE270A" w14:textId="77777777">
        <w:trPr>
          <w:hidden/>
        </w:trPr>
        <w:tc>
          <w:tcPr>
            <w:tcW w:w="0" w:type="auto"/>
            <w:gridSpan w:val="3"/>
            <w:shd w:val="clear" w:color="auto" w:fill="auto"/>
            <w:vAlign w:val="bottom"/>
          </w:tcPr>
          <w:p w14:paraId="74DE2706" w14:textId="77777777" w:rsidR="00584EC1" w:rsidRDefault="00584EC1">
            <w:pPr>
              <w:rPr>
                <w:rFonts w:ascii="宋体"/>
                <w:vanish/>
              </w:rPr>
            </w:pPr>
          </w:p>
        </w:tc>
        <w:tc>
          <w:tcPr>
            <w:tcW w:w="0" w:type="auto"/>
            <w:gridSpan w:val="3"/>
            <w:shd w:val="clear" w:color="auto" w:fill="auto"/>
            <w:vAlign w:val="bottom"/>
          </w:tcPr>
          <w:p w14:paraId="74DE2707" w14:textId="77777777" w:rsidR="00584EC1" w:rsidRDefault="00584EC1">
            <w:pPr>
              <w:rPr>
                <w:rFonts w:ascii="宋体"/>
                <w:vanish/>
              </w:rPr>
            </w:pPr>
          </w:p>
        </w:tc>
        <w:tc>
          <w:tcPr>
            <w:tcW w:w="0" w:type="auto"/>
            <w:gridSpan w:val="3"/>
            <w:shd w:val="clear" w:color="auto" w:fill="auto"/>
            <w:vAlign w:val="bottom"/>
          </w:tcPr>
          <w:p w14:paraId="74DE2708" w14:textId="77777777" w:rsidR="00584EC1" w:rsidRDefault="00584EC1">
            <w:pPr>
              <w:rPr>
                <w:rFonts w:ascii="宋体"/>
                <w:vanish/>
              </w:rPr>
            </w:pPr>
          </w:p>
        </w:tc>
        <w:tc>
          <w:tcPr>
            <w:tcW w:w="0" w:type="auto"/>
            <w:gridSpan w:val="3"/>
            <w:shd w:val="clear" w:color="auto" w:fill="auto"/>
            <w:vAlign w:val="bottom"/>
          </w:tcPr>
          <w:p w14:paraId="74DE2709" w14:textId="77777777" w:rsidR="00584EC1" w:rsidRDefault="00584EC1">
            <w:pPr>
              <w:rPr>
                <w:rFonts w:ascii="宋体"/>
                <w:vanish/>
              </w:rPr>
            </w:pPr>
          </w:p>
        </w:tc>
      </w:tr>
      <w:tr w:rsidR="00584EC1" w14:paraId="74DE270F" w14:textId="77777777">
        <w:trPr>
          <w:hidden/>
        </w:trPr>
        <w:tc>
          <w:tcPr>
            <w:tcW w:w="0" w:type="auto"/>
            <w:gridSpan w:val="3"/>
            <w:shd w:val="clear" w:color="auto" w:fill="auto"/>
            <w:vAlign w:val="bottom"/>
          </w:tcPr>
          <w:p w14:paraId="74DE270B" w14:textId="77777777" w:rsidR="00584EC1" w:rsidRDefault="00584EC1">
            <w:pPr>
              <w:rPr>
                <w:rFonts w:ascii="宋体"/>
                <w:vanish/>
              </w:rPr>
            </w:pPr>
          </w:p>
        </w:tc>
        <w:tc>
          <w:tcPr>
            <w:tcW w:w="0" w:type="auto"/>
            <w:gridSpan w:val="3"/>
            <w:shd w:val="clear" w:color="auto" w:fill="auto"/>
            <w:vAlign w:val="bottom"/>
          </w:tcPr>
          <w:p w14:paraId="74DE270C" w14:textId="77777777" w:rsidR="00584EC1" w:rsidRDefault="00584EC1">
            <w:pPr>
              <w:rPr>
                <w:rFonts w:ascii="宋体"/>
                <w:vanish/>
              </w:rPr>
            </w:pPr>
          </w:p>
        </w:tc>
        <w:tc>
          <w:tcPr>
            <w:tcW w:w="0" w:type="auto"/>
            <w:gridSpan w:val="3"/>
            <w:shd w:val="clear" w:color="auto" w:fill="auto"/>
            <w:vAlign w:val="bottom"/>
          </w:tcPr>
          <w:p w14:paraId="74DE270D" w14:textId="77777777" w:rsidR="00584EC1" w:rsidRDefault="00584EC1">
            <w:pPr>
              <w:rPr>
                <w:rFonts w:ascii="宋体"/>
                <w:vanish/>
              </w:rPr>
            </w:pPr>
          </w:p>
        </w:tc>
        <w:tc>
          <w:tcPr>
            <w:tcW w:w="0" w:type="auto"/>
            <w:gridSpan w:val="3"/>
            <w:shd w:val="clear" w:color="auto" w:fill="auto"/>
            <w:vAlign w:val="bottom"/>
          </w:tcPr>
          <w:p w14:paraId="74DE270E" w14:textId="77777777" w:rsidR="00584EC1" w:rsidRDefault="00584EC1">
            <w:pPr>
              <w:rPr>
                <w:rFonts w:ascii="宋体"/>
                <w:vanish/>
              </w:rPr>
            </w:pPr>
          </w:p>
        </w:tc>
      </w:tr>
      <w:tr w:rsidR="00584EC1" w14:paraId="74DE2714" w14:textId="77777777">
        <w:trPr>
          <w:hidden/>
        </w:trPr>
        <w:tc>
          <w:tcPr>
            <w:tcW w:w="0" w:type="auto"/>
            <w:gridSpan w:val="3"/>
            <w:shd w:val="clear" w:color="auto" w:fill="auto"/>
            <w:vAlign w:val="bottom"/>
          </w:tcPr>
          <w:p w14:paraId="74DE2710" w14:textId="77777777" w:rsidR="00584EC1" w:rsidRDefault="00584EC1">
            <w:pPr>
              <w:rPr>
                <w:rFonts w:ascii="宋体"/>
                <w:vanish/>
              </w:rPr>
            </w:pPr>
          </w:p>
        </w:tc>
        <w:tc>
          <w:tcPr>
            <w:tcW w:w="0" w:type="auto"/>
            <w:gridSpan w:val="3"/>
            <w:shd w:val="clear" w:color="auto" w:fill="auto"/>
            <w:vAlign w:val="bottom"/>
          </w:tcPr>
          <w:p w14:paraId="74DE2711" w14:textId="77777777" w:rsidR="00584EC1" w:rsidRDefault="00584EC1">
            <w:pPr>
              <w:rPr>
                <w:rFonts w:ascii="宋体"/>
                <w:vanish/>
              </w:rPr>
            </w:pPr>
          </w:p>
        </w:tc>
        <w:tc>
          <w:tcPr>
            <w:tcW w:w="0" w:type="auto"/>
            <w:gridSpan w:val="3"/>
            <w:shd w:val="clear" w:color="auto" w:fill="auto"/>
            <w:vAlign w:val="bottom"/>
          </w:tcPr>
          <w:p w14:paraId="74DE2712" w14:textId="77777777" w:rsidR="00584EC1" w:rsidRDefault="00584EC1">
            <w:pPr>
              <w:rPr>
                <w:rFonts w:ascii="宋体"/>
                <w:vanish/>
              </w:rPr>
            </w:pPr>
          </w:p>
        </w:tc>
        <w:tc>
          <w:tcPr>
            <w:tcW w:w="0" w:type="auto"/>
            <w:gridSpan w:val="3"/>
            <w:shd w:val="clear" w:color="auto" w:fill="auto"/>
            <w:vAlign w:val="bottom"/>
          </w:tcPr>
          <w:p w14:paraId="74DE2713" w14:textId="77777777" w:rsidR="00584EC1" w:rsidRDefault="00584EC1">
            <w:pPr>
              <w:rPr>
                <w:rFonts w:ascii="宋体"/>
                <w:vanish/>
              </w:rPr>
            </w:pPr>
          </w:p>
        </w:tc>
      </w:tr>
      <w:tr w:rsidR="00584EC1" w14:paraId="74DE2719" w14:textId="77777777">
        <w:trPr>
          <w:hidden/>
        </w:trPr>
        <w:tc>
          <w:tcPr>
            <w:tcW w:w="0" w:type="auto"/>
            <w:gridSpan w:val="3"/>
            <w:shd w:val="clear" w:color="auto" w:fill="auto"/>
            <w:vAlign w:val="bottom"/>
          </w:tcPr>
          <w:p w14:paraId="74DE2715" w14:textId="77777777" w:rsidR="00584EC1" w:rsidRDefault="00584EC1">
            <w:pPr>
              <w:rPr>
                <w:rFonts w:ascii="宋体"/>
                <w:vanish/>
              </w:rPr>
            </w:pPr>
          </w:p>
        </w:tc>
        <w:tc>
          <w:tcPr>
            <w:tcW w:w="0" w:type="auto"/>
            <w:gridSpan w:val="3"/>
            <w:shd w:val="clear" w:color="auto" w:fill="auto"/>
            <w:vAlign w:val="bottom"/>
          </w:tcPr>
          <w:p w14:paraId="74DE2716" w14:textId="77777777" w:rsidR="00584EC1" w:rsidRDefault="00584EC1">
            <w:pPr>
              <w:rPr>
                <w:rFonts w:ascii="宋体"/>
                <w:vanish/>
              </w:rPr>
            </w:pPr>
          </w:p>
        </w:tc>
        <w:tc>
          <w:tcPr>
            <w:tcW w:w="0" w:type="auto"/>
            <w:gridSpan w:val="3"/>
            <w:shd w:val="clear" w:color="auto" w:fill="auto"/>
            <w:vAlign w:val="bottom"/>
          </w:tcPr>
          <w:p w14:paraId="74DE2717" w14:textId="77777777" w:rsidR="00584EC1" w:rsidRDefault="00584EC1">
            <w:pPr>
              <w:rPr>
                <w:rFonts w:ascii="宋体"/>
                <w:vanish/>
              </w:rPr>
            </w:pPr>
          </w:p>
        </w:tc>
        <w:tc>
          <w:tcPr>
            <w:tcW w:w="0" w:type="auto"/>
            <w:gridSpan w:val="3"/>
            <w:shd w:val="clear" w:color="auto" w:fill="auto"/>
            <w:vAlign w:val="bottom"/>
          </w:tcPr>
          <w:p w14:paraId="74DE2718" w14:textId="77777777" w:rsidR="00584EC1" w:rsidRDefault="00584EC1">
            <w:pPr>
              <w:rPr>
                <w:rFonts w:ascii="宋体"/>
                <w:vanish/>
              </w:rPr>
            </w:pPr>
          </w:p>
        </w:tc>
      </w:tr>
      <w:tr w:rsidR="00584EC1" w14:paraId="74DE271E" w14:textId="77777777">
        <w:trPr>
          <w:hidden/>
        </w:trPr>
        <w:tc>
          <w:tcPr>
            <w:tcW w:w="0" w:type="auto"/>
            <w:gridSpan w:val="3"/>
            <w:shd w:val="clear" w:color="auto" w:fill="auto"/>
            <w:vAlign w:val="bottom"/>
          </w:tcPr>
          <w:p w14:paraId="74DE271A" w14:textId="77777777" w:rsidR="00584EC1" w:rsidRDefault="00584EC1">
            <w:pPr>
              <w:rPr>
                <w:rFonts w:ascii="宋体"/>
                <w:vanish/>
              </w:rPr>
            </w:pPr>
          </w:p>
        </w:tc>
        <w:tc>
          <w:tcPr>
            <w:tcW w:w="0" w:type="auto"/>
            <w:gridSpan w:val="3"/>
            <w:shd w:val="clear" w:color="auto" w:fill="auto"/>
            <w:vAlign w:val="bottom"/>
          </w:tcPr>
          <w:p w14:paraId="74DE271B" w14:textId="77777777" w:rsidR="00584EC1" w:rsidRDefault="00584EC1">
            <w:pPr>
              <w:rPr>
                <w:rFonts w:ascii="宋体"/>
                <w:vanish/>
              </w:rPr>
            </w:pPr>
          </w:p>
        </w:tc>
        <w:tc>
          <w:tcPr>
            <w:tcW w:w="0" w:type="auto"/>
            <w:gridSpan w:val="3"/>
            <w:shd w:val="clear" w:color="auto" w:fill="auto"/>
            <w:vAlign w:val="bottom"/>
          </w:tcPr>
          <w:p w14:paraId="74DE271C" w14:textId="77777777" w:rsidR="00584EC1" w:rsidRDefault="00584EC1">
            <w:pPr>
              <w:rPr>
                <w:rFonts w:ascii="宋体"/>
                <w:vanish/>
              </w:rPr>
            </w:pPr>
          </w:p>
        </w:tc>
        <w:tc>
          <w:tcPr>
            <w:tcW w:w="0" w:type="auto"/>
            <w:gridSpan w:val="3"/>
            <w:shd w:val="clear" w:color="auto" w:fill="auto"/>
            <w:vAlign w:val="bottom"/>
          </w:tcPr>
          <w:p w14:paraId="74DE271D" w14:textId="77777777" w:rsidR="00584EC1" w:rsidRDefault="00584EC1">
            <w:pPr>
              <w:rPr>
                <w:rFonts w:ascii="宋体"/>
                <w:vanish/>
              </w:rPr>
            </w:pPr>
          </w:p>
        </w:tc>
      </w:tr>
      <w:tr w:rsidR="00584EC1" w14:paraId="74DE2723" w14:textId="77777777">
        <w:trPr>
          <w:hidden/>
        </w:trPr>
        <w:tc>
          <w:tcPr>
            <w:tcW w:w="0" w:type="auto"/>
            <w:gridSpan w:val="3"/>
            <w:shd w:val="clear" w:color="auto" w:fill="auto"/>
            <w:vAlign w:val="bottom"/>
          </w:tcPr>
          <w:p w14:paraId="74DE271F" w14:textId="77777777" w:rsidR="00584EC1" w:rsidRDefault="00584EC1">
            <w:pPr>
              <w:rPr>
                <w:rFonts w:ascii="宋体"/>
                <w:vanish/>
              </w:rPr>
            </w:pPr>
          </w:p>
        </w:tc>
        <w:tc>
          <w:tcPr>
            <w:tcW w:w="0" w:type="auto"/>
            <w:gridSpan w:val="3"/>
            <w:shd w:val="clear" w:color="auto" w:fill="auto"/>
            <w:vAlign w:val="bottom"/>
          </w:tcPr>
          <w:p w14:paraId="74DE2720" w14:textId="77777777" w:rsidR="00584EC1" w:rsidRDefault="00584EC1">
            <w:pPr>
              <w:rPr>
                <w:rFonts w:ascii="宋体"/>
                <w:vanish/>
              </w:rPr>
            </w:pPr>
          </w:p>
        </w:tc>
        <w:tc>
          <w:tcPr>
            <w:tcW w:w="0" w:type="auto"/>
            <w:gridSpan w:val="3"/>
            <w:shd w:val="clear" w:color="auto" w:fill="auto"/>
            <w:vAlign w:val="bottom"/>
          </w:tcPr>
          <w:p w14:paraId="74DE2721" w14:textId="77777777" w:rsidR="00584EC1" w:rsidRDefault="00584EC1">
            <w:pPr>
              <w:rPr>
                <w:rFonts w:ascii="宋体"/>
                <w:vanish/>
              </w:rPr>
            </w:pPr>
          </w:p>
        </w:tc>
        <w:tc>
          <w:tcPr>
            <w:tcW w:w="0" w:type="auto"/>
            <w:gridSpan w:val="3"/>
            <w:shd w:val="clear" w:color="auto" w:fill="auto"/>
            <w:vAlign w:val="bottom"/>
          </w:tcPr>
          <w:p w14:paraId="74DE2722" w14:textId="77777777" w:rsidR="00584EC1" w:rsidRDefault="00584EC1">
            <w:pPr>
              <w:rPr>
                <w:rFonts w:ascii="宋体"/>
                <w:vanish/>
              </w:rPr>
            </w:pPr>
          </w:p>
        </w:tc>
      </w:tr>
      <w:tr w:rsidR="00584EC1" w14:paraId="74DE2728" w14:textId="77777777">
        <w:trPr>
          <w:hidden/>
        </w:trPr>
        <w:tc>
          <w:tcPr>
            <w:tcW w:w="0" w:type="auto"/>
            <w:gridSpan w:val="3"/>
            <w:shd w:val="clear" w:color="auto" w:fill="auto"/>
            <w:vAlign w:val="bottom"/>
          </w:tcPr>
          <w:p w14:paraId="74DE2724" w14:textId="77777777" w:rsidR="00584EC1" w:rsidRDefault="00584EC1">
            <w:pPr>
              <w:rPr>
                <w:rFonts w:ascii="宋体"/>
                <w:vanish/>
              </w:rPr>
            </w:pPr>
          </w:p>
        </w:tc>
        <w:tc>
          <w:tcPr>
            <w:tcW w:w="0" w:type="auto"/>
            <w:gridSpan w:val="3"/>
            <w:shd w:val="clear" w:color="auto" w:fill="auto"/>
            <w:vAlign w:val="bottom"/>
          </w:tcPr>
          <w:p w14:paraId="74DE2725" w14:textId="77777777" w:rsidR="00584EC1" w:rsidRDefault="00584EC1">
            <w:pPr>
              <w:rPr>
                <w:rFonts w:ascii="宋体"/>
                <w:vanish/>
              </w:rPr>
            </w:pPr>
          </w:p>
        </w:tc>
        <w:tc>
          <w:tcPr>
            <w:tcW w:w="0" w:type="auto"/>
            <w:gridSpan w:val="3"/>
            <w:shd w:val="clear" w:color="auto" w:fill="auto"/>
            <w:vAlign w:val="bottom"/>
          </w:tcPr>
          <w:p w14:paraId="74DE2726" w14:textId="77777777" w:rsidR="00584EC1" w:rsidRDefault="00584EC1">
            <w:pPr>
              <w:rPr>
                <w:rFonts w:ascii="宋体"/>
                <w:vanish/>
              </w:rPr>
            </w:pPr>
          </w:p>
        </w:tc>
        <w:tc>
          <w:tcPr>
            <w:tcW w:w="0" w:type="auto"/>
            <w:gridSpan w:val="3"/>
            <w:shd w:val="clear" w:color="auto" w:fill="auto"/>
            <w:vAlign w:val="bottom"/>
          </w:tcPr>
          <w:p w14:paraId="74DE2727" w14:textId="77777777" w:rsidR="00584EC1" w:rsidRDefault="00584EC1">
            <w:pPr>
              <w:rPr>
                <w:rFonts w:ascii="宋体"/>
                <w:vanish/>
              </w:rPr>
            </w:pPr>
          </w:p>
        </w:tc>
      </w:tr>
      <w:tr w:rsidR="00584EC1" w14:paraId="74DE272D" w14:textId="77777777">
        <w:trPr>
          <w:hidden/>
        </w:trPr>
        <w:tc>
          <w:tcPr>
            <w:tcW w:w="0" w:type="auto"/>
            <w:gridSpan w:val="3"/>
            <w:shd w:val="clear" w:color="auto" w:fill="auto"/>
            <w:vAlign w:val="bottom"/>
          </w:tcPr>
          <w:p w14:paraId="74DE2729" w14:textId="77777777" w:rsidR="00584EC1" w:rsidRDefault="00584EC1">
            <w:pPr>
              <w:rPr>
                <w:rFonts w:ascii="宋体"/>
                <w:vanish/>
              </w:rPr>
            </w:pPr>
          </w:p>
        </w:tc>
        <w:tc>
          <w:tcPr>
            <w:tcW w:w="0" w:type="auto"/>
            <w:gridSpan w:val="3"/>
            <w:shd w:val="clear" w:color="auto" w:fill="auto"/>
            <w:vAlign w:val="bottom"/>
          </w:tcPr>
          <w:p w14:paraId="74DE272A" w14:textId="77777777" w:rsidR="00584EC1" w:rsidRDefault="00584EC1">
            <w:pPr>
              <w:rPr>
                <w:rFonts w:ascii="宋体"/>
                <w:vanish/>
              </w:rPr>
            </w:pPr>
          </w:p>
        </w:tc>
        <w:tc>
          <w:tcPr>
            <w:tcW w:w="0" w:type="auto"/>
            <w:gridSpan w:val="3"/>
            <w:shd w:val="clear" w:color="auto" w:fill="auto"/>
            <w:vAlign w:val="bottom"/>
          </w:tcPr>
          <w:p w14:paraId="74DE272B" w14:textId="77777777" w:rsidR="00584EC1" w:rsidRDefault="00584EC1">
            <w:pPr>
              <w:rPr>
                <w:rFonts w:ascii="宋体"/>
                <w:vanish/>
              </w:rPr>
            </w:pPr>
          </w:p>
        </w:tc>
        <w:tc>
          <w:tcPr>
            <w:tcW w:w="0" w:type="auto"/>
            <w:gridSpan w:val="3"/>
            <w:shd w:val="clear" w:color="auto" w:fill="auto"/>
            <w:vAlign w:val="bottom"/>
          </w:tcPr>
          <w:p w14:paraId="74DE272C" w14:textId="77777777" w:rsidR="00584EC1" w:rsidRDefault="00584EC1">
            <w:pPr>
              <w:rPr>
                <w:rFonts w:ascii="宋体"/>
                <w:vanish/>
              </w:rPr>
            </w:pPr>
          </w:p>
        </w:tc>
      </w:tr>
      <w:tr w:rsidR="00584EC1" w14:paraId="74DE2732" w14:textId="77777777">
        <w:trPr>
          <w:hidden/>
        </w:trPr>
        <w:tc>
          <w:tcPr>
            <w:tcW w:w="0" w:type="auto"/>
            <w:gridSpan w:val="3"/>
            <w:shd w:val="clear" w:color="auto" w:fill="auto"/>
            <w:vAlign w:val="bottom"/>
          </w:tcPr>
          <w:p w14:paraId="74DE272E" w14:textId="77777777" w:rsidR="00584EC1" w:rsidRDefault="00584EC1">
            <w:pPr>
              <w:rPr>
                <w:rFonts w:ascii="宋体"/>
                <w:vanish/>
              </w:rPr>
            </w:pPr>
          </w:p>
        </w:tc>
        <w:tc>
          <w:tcPr>
            <w:tcW w:w="0" w:type="auto"/>
            <w:gridSpan w:val="3"/>
            <w:shd w:val="clear" w:color="auto" w:fill="auto"/>
            <w:vAlign w:val="bottom"/>
          </w:tcPr>
          <w:p w14:paraId="74DE272F" w14:textId="77777777" w:rsidR="00584EC1" w:rsidRDefault="00584EC1">
            <w:pPr>
              <w:rPr>
                <w:rFonts w:ascii="宋体"/>
                <w:vanish/>
              </w:rPr>
            </w:pPr>
          </w:p>
        </w:tc>
        <w:tc>
          <w:tcPr>
            <w:tcW w:w="0" w:type="auto"/>
            <w:gridSpan w:val="3"/>
            <w:shd w:val="clear" w:color="auto" w:fill="auto"/>
            <w:vAlign w:val="bottom"/>
          </w:tcPr>
          <w:p w14:paraId="74DE2730" w14:textId="77777777" w:rsidR="00584EC1" w:rsidRDefault="00584EC1">
            <w:pPr>
              <w:rPr>
                <w:rFonts w:ascii="宋体"/>
                <w:vanish/>
              </w:rPr>
            </w:pPr>
          </w:p>
        </w:tc>
        <w:tc>
          <w:tcPr>
            <w:tcW w:w="0" w:type="auto"/>
            <w:gridSpan w:val="3"/>
            <w:shd w:val="clear" w:color="auto" w:fill="auto"/>
            <w:vAlign w:val="bottom"/>
          </w:tcPr>
          <w:p w14:paraId="74DE2731" w14:textId="77777777" w:rsidR="00584EC1" w:rsidRDefault="00584EC1">
            <w:pPr>
              <w:rPr>
                <w:rFonts w:ascii="宋体"/>
                <w:vanish/>
              </w:rPr>
            </w:pPr>
          </w:p>
        </w:tc>
      </w:tr>
      <w:tr w:rsidR="00584EC1" w14:paraId="74DE2737" w14:textId="77777777">
        <w:trPr>
          <w:hidden/>
        </w:trPr>
        <w:tc>
          <w:tcPr>
            <w:tcW w:w="0" w:type="auto"/>
            <w:gridSpan w:val="3"/>
            <w:shd w:val="clear" w:color="auto" w:fill="auto"/>
            <w:vAlign w:val="bottom"/>
          </w:tcPr>
          <w:p w14:paraId="74DE2733" w14:textId="77777777" w:rsidR="00584EC1" w:rsidRDefault="00584EC1">
            <w:pPr>
              <w:rPr>
                <w:rFonts w:ascii="宋体"/>
                <w:vanish/>
              </w:rPr>
            </w:pPr>
          </w:p>
        </w:tc>
        <w:tc>
          <w:tcPr>
            <w:tcW w:w="0" w:type="auto"/>
            <w:gridSpan w:val="3"/>
            <w:shd w:val="clear" w:color="auto" w:fill="auto"/>
            <w:vAlign w:val="bottom"/>
          </w:tcPr>
          <w:p w14:paraId="74DE2734" w14:textId="77777777" w:rsidR="00584EC1" w:rsidRDefault="00584EC1">
            <w:pPr>
              <w:rPr>
                <w:rFonts w:ascii="宋体"/>
                <w:vanish/>
              </w:rPr>
            </w:pPr>
          </w:p>
        </w:tc>
        <w:tc>
          <w:tcPr>
            <w:tcW w:w="0" w:type="auto"/>
            <w:gridSpan w:val="3"/>
            <w:shd w:val="clear" w:color="auto" w:fill="auto"/>
            <w:vAlign w:val="bottom"/>
          </w:tcPr>
          <w:p w14:paraId="74DE2735" w14:textId="77777777" w:rsidR="00584EC1" w:rsidRDefault="00584EC1">
            <w:pPr>
              <w:rPr>
                <w:rFonts w:ascii="宋体"/>
                <w:vanish/>
              </w:rPr>
            </w:pPr>
          </w:p>
        </w:tc>
        <w:tc>
          <w:tcPr>
            <w:tcW w:w="0" w:type="auto"/>
            <w:gridSpan w:val="3"/>
            <w:shd w:val="clear" w:color="auto" w:fill="auto"/>
            <w:vAlign w:val="bottom"/>
          </w:tcPr>
          <w:p w14:paraId="74DE2736" w14:textId="77777777" w:rsidR="00584EC1" w:rsidRDefault="00584EC1">
            <w:pPr>
              <w:rPr>
                <w:rFonts w:ascii="宋体"/>
                <w:vanish/>
              </w:rPr>
            </w:pPr>
          </w:p>
        </w:tc>
      </w:tr>
      <w:tr w:rsidR="00584EC1" w14:paraId="74DE273C" w14:textId="77777777">
        <w:trPr>
          <w:hidden/>
        </w:trPr>
        <w:tc>
          <w:tcPr>
            <w:tcW w:w="0" w:type="auto"/>
            <w:gridSpan w:val="3"/>
            <w:shd w:val="clear" w:color="auto" w:fill="auto"/>
            <w:vAlign w:val="bottom"/>
          </w:tcPr>
          <w:p w14:paraId="74DE2738" w14:textId="77777777" w:rsidR="00584EC1" w:rsidRDefault="00584EC1">
            <w:pPr>
              <w:rPr>
                <w:rFonts w:ascii="宋体"/>
                <w:vanish/>
              </w:rPr>
            </w:pPr>
          </w:p>
        </w:tc>
        <w:tc>
          <w:tcPr>
            <w:tcW w:w="0" w:type="auto"/>
            <w:gridSpan w:val="3"/>
            <w:shd w:val="clear" w:color="auto" w:fill="auto"/>
            <w:vAlign w:val="bottom"/>
          </w:tcPr>
          <w:p w14:paraId="74DE2739" w14:textId="77777777" w:rsidR="00584EC1" w:rsidRDefault="00584EC1">
            <w:pPr>
              <w:rPr>
                <w:rFonts w:ascii="宋体"/>
                <w:vanish/>
              </w:rPr>
            </w:pPr>
          </w:p>
        </w:tc>
        <w:tc>
          <w:tcPr>
            <w:tcW w:w="0" w:type="auto"/>
            <w:gridSpan w:val="3"/>
            <w:shd w:val="clear" w:color="auto" w:fill="auto"/>
            <w:vAlign w:val="bottom"/>
          </w:tcPr>
          <w:p w14:paraId="74DE273A" w14:textId="77777777" w:rsidR="00584EC1" w:rsidRDefault="00584EC1">
            <w:pPr>
              <w:rPr>
                <w:rFonts w:ascii="宋体"/>
                <w:vanish/>
              </w:rPr>
            </w:pPr>
          </w:p>
        </w:tc>
        <w:tc>
          <w:tcPr>
            <w:tcW w:w="0" w:type="auto"/>
            <w:gridSpan w:val="3"/>
            <w:shd w:val="clear" w:color="auto" w:fill="auto"/>
            <w:vAlign w:val="bottom"/>
          </w:tcPr>
          <w:p w14:paraId="74DE273B" w14:textId="77777777" w:rsidR="00584EC1" w:rsidRDefault="00584EC1">
            <w:pPr>
              <w:rPr>
                <w:rFonts w:ascii="宋体"/>
                <w:vanish/>
              </w:rPr>
            </w:pPr>
          </w:p>
        </w:tc>
      </w:tr>
      <w:tr w:rsidR="00584EC1" w14:paraId="74DE2741" w14:textId="77777777">
        <w:trPr>
          <w:hidden/>
        </w:trPr>
        <w:tc>
          <w:tcPr>
            <w:tcW w:w="0" w:type="auto"/>
            <w:gridSpan w:val="3"/>
            <w:shd w:val="clear" w:color="auto" w:fill="auto"/>
            <w:vAlign w:val="bottom"/>
          </w:tcPr>
          <w:p w14:paraId="74DE273D" w14:textId="77777777" w:rsidR="00584EC1" w:rsidRDefault="00584EC1">
            <w:pPr>
              <w:rPr>
                <w:rFonts w:ascii="宋体"/>
                <w:vanish/>
              </w:rPr>
            </w:pPr>
          </w:p>
        </w:tc>
        <w:tc>
          <w:tcPr>
            <w:tcW w:w="0" w:type="auto"/>
            <w:gridSpan w:val="3"/>
            <w:shd w:val="clear" w:color="auto" w:fill="auto"/>
            <w:vAlign w:val="bottom"/>
          </w:tcPr>
          <w:p w14:paraId="74DE273E" w14:textId="77777777" w:rsidR="00584EC1" w:rsidRDefault="00584EC1">
            <w:pPr>
              <w:rPr>
                <w:rFonts w:ascii="宋体"/>
                <w:vanish/>
              </w:rPr>
            </w:pPr>
          </w:p>
        </w:tc>
        <w:tc>
          <w:tcPr>
            <w:tcW w:w="0" w:type="auto"/>
            <w:gridSpan w:val="3"/>
            <w:shd w:val="clear" w:color="auto" w:fill="auto"/>
            <w:vAlign w:val="bottom"/>
          </w:tcPr>
          <w:p w14:paraId="74DE273F" w14:textId="77777777" w:rsidR="00584EC1" w:rsidRDefault="00584EC1">
            <w:pPr>
              <w:rPr>
                <w:rFonts w:ascii="宋体"/>
                <w:vanish/>
              </w:rPr>
            </w:pPr>
          </w:p>
        </w:tc>
        <w:tc>
          <w:tcPr>
            <w:tcW w:w="0" w:type="auto"/>
            <w:gridSpan w:val="3"/>
            <w:shd w:val="clear" w:color="auto" w:fill="auto"/>
            <w:vAlign w:val="bottom"/>
          </w:tcPr>
          <w:p w14:paraId="74DE2740" w14:textId="77777777" w:rsidR="00584EC1" w:rsidRDefault="00584EC1">
            <w:pPr>
              <w:rPr>
                <w:rFonts w:ascii="宋体"/>
                <w:vanish/>
              </w:rPr>
            </w:pPr>
          </w:p>
        </w:tc>
      </w:tr>
      <w:tr w:rsidR="00584EC1" w14:paraId="74DE2746" w14:textId="77777777">
        <w:trPr>
          <w:hidden/>
        </w:trPr>
        <w:tc>
          <w:tcPr>
            <w:tcW w:w="0" w:type="auto"/>
            <w:gridSpan w:val="3"/>
            <w:shd w:val="clear" w:color="auto" w:fill="auto"/>
            <w:vAlign w:val="bottom"/>
          </w:tcPr>
          <w:p w14:paraId="74DE2742" w14:textId="77777777" w:rsidR="00584EC1" w:rsidRDefault="00584EC1">
            <w:pPr>
              <w:rPr>
                <w:rFonts w:ascii="宋体"/>
                <w:vanish/>
              </w:rPr>
            </w:pPr>
          </w:p>
        </w:tc>
        <w:tc>
          <w:tcPr>
            <w:tcW w:w="0" w:type="auto"/>
            <w:gridSpan w:val="3"/>
            <w:shd w:val="clear" w:color="auto" w:fill="auto"/>
            <w:vAlign w:val="bottom"/>
          </w:tcPr>
          <w:p w14:paraId="74DE2743" w14:textId="77777777" w:rsidR="00584EC1" w:rsidRDefault="00584EC1">
            <w:pPr>
              <w:rPr>
                <w:rFonts w:ascii="宋体"/>
                <w:vanish/>
              </w:rPr>
            </w:pPr>
          </w:p>
        </w:tc>
        <w:tc>
          <w:tcPr>
            <w:tcW w:w="0" w:type="auto"/>
            <w:gridSpan w:val="3"/>
            <w:shd w:val="clear" w:color="auto" w:fill="auto"/>
            <w:vAlign w:val="bottom"/>
          </w:tcPr>
          <w:p w14:paraId="74DE2744" w14:textId="77777777" w:rsidR="00584EC1" w:rsidRDefault="00584EC1">
            <w:pPr>
              <w:rPr>
                <w:rFonts w:ascii="宋体"/>
                <w:vanish/>
              </w:rPr>
            </w:pPr>
          </w:p>
        </w:tc>
        <w:tc>
          <w:tcPr>
            <w:tcW w:w="0" w:type="auto"/>
            <w:gridSpan w:val="3"/>
            <w:shd w:val="clear" w:color="auto" w:fill="auto"/>
            <w:vAlign w:val="bottom"/>
          </w:tcPr>
          <w:p w14:paraId="74DE2745" w14:textId="77777777" w:rsidR="00584EC1" w:rsidRDefault="00584EC1">
            <w:pPr>
              <w:rPr>
                <w:rFonts w:ascii="宋体"/>
                <w:vanish/>
              </w:rPr>
            </w:pPr>
          </w:p>
        </w:tc>
      </w:tr>
      <w:tr w:rsidR="00584EC1" w14:paraId="74DE274B" w14:textId="77777777">
        <w:trPr>
          <w:hidden/>
        </w:trPr>
        <w:tc>
          <w:tcPr>
            <w:tcW w:w="0" w:type="auto"/>
            <w:gridSpan w:val="3"/>
            <w:shd w:val="clear" w:color="auto" w:fill="auto"/>
            <w:vAlign w:val="bottom"/>
          </w:tcPr>
          <w:p w14:paraId="74DE2747" w14:textId="77777777" w:rsidR="00584EC1" w:rsidRDefault="00584EC1">
            <w:pPr>
              <w:rPr>
                <w:rFonts w:ascii="宋体"/>
                <w:vanish/>
              </w:rPr>
            </w:pPr>
          </w:p>
        </w:tc>
        <w:tc>
          <w:tcPr>
            <w:tcW w:w="0" w:type="auto"/>
            <w:gridSpan w:val="3"/>
            <w:shd w:val="clear" w:color="auto" w:fill="auto"/>
            <w:vAlign w:val="bottom"/>
          </w:tcPr>
          <w:p w14:paraId="74DE2748" w14:textId="77777777" w:rsidR="00584EC1" w:rsidRDefault="00584EC1">
            <w:pPr>
              <w:rPr>
                <w:rFonts w:ascii="宋体"/>
                <w:vanish/>
              </w:rPr>
            </w:pPr>
          </w:p>
        </w:tc>
        <w:tc>
          <w:tcPr>
            <w:tcW w:w="0" w:type="auto"/>
            <w:gridSpan w:val="3"/>
            <w:shd w:val="clear" w:color="auto" w:fill="auto"/>
            <w:vAlign w:val="bottom"/>
          </w:tcPr>
          <w:p w14:paraId="74DE2749" w14:textId="77777777" w:rsidR="00584EC1" w:rsidRDefault="00584EC1">
            <w:pPr>
              <w:rPr>
                <w:rFonts w:ascii="宋体"/>
                <w:vanish/>
              </w:rPr>
            </w:pPr>
          </w:p>
        </w:tc>
        <w:tc>
          <w:tcPr>
            <w:tcW w:w="0" w:type="auto"/>
            <w:gridSpan w:val="3"/>
            <w:shd w:val="clear" w:color="auto" w:fill="auto"/>
            <w:vAlign w:val="bottom"/>
          </w:tcPr>
          <w:p w14:paraId="74DE274A" w14:textId="77777777" w:rsidR="00584EC1" w:rsidRDefault="00584EC1">
            <w:pPr>
              <w:rPr>
                <w:rFonts w:ascii="宋体"/>
                <w:vanish/>
              </w:rPr>
            </w:pPr>
          </w:p>
        </w:tc>
      </w:tr>
      <w:tr w:rsidR="00584EC1" w14:paraId="74DE2750" w14:textId="77777777">
        <w:trPr>
          <w:hidden/>
        </w:trPr>
        <w:tc>
          <w:tcPr>
            <w:tcW w:w="0" w:type="auto"/>
            <w:gridSpan w:val="3"/>
            <w:shd w:val="clear" w:color="auto" w:fill="auto"/>
            <w:vAlign w:val="bottom"/>
          </w:tcPr>
          <w:p w14:paraId="74DE274C" w14:textId="77777777" w:rsidR="00584EC1" w:rsidRDefault="00584EC1">
            <w:pPr>
              <w:rPr>
                <w:rFonts w:ascii="宋体"/>
                <w:vanish/>
              </w:rPr>
            </w:pPr>
          </w:p>
        </w:tc>
        <w:tc>
          <w:tcPr>
            <w:tcW w:w="0" w:type="auto"/>
            <w:gridSpan w:val="3"/>
            <w:shd w:val="clear" w:color="auto" w:fill="auto"/>
            <w:vAlign w:val="bottom"/>
          </w:tcPr>
          <w:p w14:paraId="74DE274D" w14:textId="77777777" w:rsidR="00584EC1" w:rsidRDefault="00584EC1">
            <w:pPr>
              <w:rPr>
                <w:rFonts w:ascii="宋体"/>
                <w:vanish/>
              </w:rPr>
            </w:pPr>
          </w:p>
        </w:tc>
        <w:tc>
          <w:tcPr>
            <w:tcW w:w="0" w:type="auto"/>
            <w:gridSpan w:val="3"/>
            <w:shd w:val="clear" w:color="auto" w:fill="auto"/>
            <w:vAlign w:val="bottom"/>
          </w:tcPr>
          <w:p w14:paraId="74DE274E" w14:textId="77777777" w:rsidR="00584EC1" w:rsidRDefault="00584EC1">
            <w:pPr>
              <w:rPr>
                <w:rFonts w:ascii="宋体"/>
                <w:vanish/>
              </w:rPr>
            </w:pPr>
          </w:p>
        </w:tc>
        <w:tc>
          <w:tcPr>
            <w:tcW w:w="0" w:type="auto"/>
            <w:gridSpan w:val="3"/>
            <w:shd w:val="clear" w:color="auto" w:fill="auto"/>
            <w:vAlign w:val="bottom"/>
          </w:tcPr>
          <w:p w14:paraId="74DE274F" w14:textId="77777777" w:rsidR="00584EC1" w:rsidRDefault="00584EC1">
            <w:pPr>
              <w:rPr>
                <w:rFonts w:ascii="宋体"/>
                <w:vanish/>
              </w:rPr>
            </w:pPr>
          </w:p>
        </w:tc>
      </w:tr>
      <w:tr w:rsidR="00584EC1" w14:paraId="74DE2755" w14:textId="77777777">
        <w:trPr>
          <w:hidden/>
        </w:trPr>
        <w:tc>
          <w:tcPr>
            <w:tcW w:w="0" w:type="auto"/>
            <w:gridSpan w:val="3"/>
            <w:shd w:val="clear" w:color="auto" w:fill="auto"/>
            <w:vAlign w:val="bottom"/>
          </w:tcPr>
          <w:p w14:paraId="74DE2751" w14:textId="77777777" w:rsidR="00584EC1" w:rsidRDefault="00584EC1">
            <w:pPr>
              <w:rPr>
                <w:rFonts w:ascii="宋体"/>
                <w:vanish/>
              </w:rPr>
            </w:pPr>
          </w:p>
        </w:tc>
        <w:tc>
          <w:tcPr>
            <w:tcW w:w="0" w:type="auto"/>
            <w:gridSpan w:val="3"/>
            <w:shd w:val="clear" w:color="auto" w:fill="auto"/>
            <w:vAlign w:val="bottom"/>
          </w:tcPr>
          <w:p w14:paraId="74DE2752" w14:textId="77777777" w:rsidR="00584EC1" w:rsidRDefault="00584EC1">
            <w:pPr>
              <w:rPr>
                <w:rFonts w:ascii="宋体"/>
                <w:vanish/>
              </w:rPr>
            </w:pPr>
          </w:p>
        </w:tc>
        <w:tc>
          <w:tcPr>
            <w:tcW w:w="0" w:type="auto"/>
            <w:gridSpan w:val="3"/>
            <w:shd w:val="clear" w:color="auto" w:fill="auto"/>
            <w:vAlign w:val="bottom"/>
          </w:tcPr>
          <w:p w14:paraId="74DE2753" w14:textId="77777777" w:rsidR="00584EC1" w:rsidRDefault="00584EC1">
            <w:pPr>
              <w:rPr>
                <w:rFonts w:ascii="宋体"/>
                <w:vanish/>
              </w:rPr>
            </w:pPr>
          </w:p>
        </w:tc>
        <w:tc>
          <w:tcPr>
            <w:tcW w:w="0" w:type="auto"/>
            <w:gridSpan w:val="3"/>
            <w:shd w:val="clear" w:color="auto" w:fill="auto"/>
            <w:vAlign w:val="bottom"/>
          </w:tcPr>
          <w:p w14:paraId="74DE2754" w14:textId="77777777" w:rsidR="00584EC1" w:rsidRDefault="00584EC1">
            <w:pPr>
              <w:rPr>
                <w:rFonts w:ascii="宋体"/>
                <w:vanish/>
              </w:rPr>
            </w:pPr>
          </w:p>
        </w:tc>
      </w:tr>
      <w:tr w:rsidR="00584EC1" w14:paraId="74DE275A" w14:textId="77777777">
        <w:trPr>
          <w:hidden/>
        </w:trPr>
        <w:tc>
          <w:tcPr>
            <w:tcW w:w="0" w:type="auto"/>
            <w:gridSpan w:val="3"/>
            <w:shd w:val="clear" w:color="auto" w:fill="auto"/>
            <w:vAlign w:val="bottom"/>
          </w:tcPr>
          <w:p w14:paraId="74DE2756" w14:textId="77777777" w:rsidR="00584EC1" w:rsidRDefault="00584EC1">
            <w:pPr>
              <w:rPr>
                <w:rFonts w:ascii="宋体"/>
                <w:vanish/>
              </w:rPr>
            </w:pPr>
          </w:p>
        </w:tc>
        <w:tc>
          <w:tcPr>
            <w:tcW w:w="0" w:type="auto"/>
            <w:gridSpan w:val="3"/>
            <w:shd w:val="clear" w:color="auto" w:fill="auto"/>
            <w:vAlign w:val="bottom"/>
          </w:tcPr>
          <w:p w14:paraId="74DE2757" w14:textId="77777777" w:rsidR="00584EC1" w:rsidRDefault="00584EC1">
            <w:pPr>
              <w:rPr>
                <w:rFonts w:ascii="宋体"/>
                <w:vanish/>
              </w:rPr>
            </w:pPr>
          </w:p>
        </w:tc>
        <w:tc>
          <w:tcPr>
            <w:tcW w:w="0" w:type="auto"/>
            <w:gridSpan w:val="3"/>
            <w:shd w:val="clear" w:color="auto" w:fill="auto"/>
            <w:vAlign w:val="bottom"/>
          </w:tcPr>
          <w:p w14:paraId="74DE2758" w14:textId="77777777" w:rsidR="00584EC1" w:rsidRDefault="00584EC1">
            <w:pPr>
              <w:rPr>
                <w:rFonts w:ascii="宋体"/>
                <w:vanish/>
              </w:rPr>
            </w:pPr>
          </w:p>
        </w:tc>
        <w:tc>
          <w:tcPr>
            <w:tcW w:w="0" w:type="auto"/>
            <w:gridSpan w:val="3"/>
            <w:shd w:val="clear" w:color="auto" w:fill="auto"/>
            <w:vAlign w:val="bottom"/>
          </w:tcPr>
          <w:p w14:paraId="74DE2759" w14:textId="77777777" w:rsidR="00584EC1" w:rsidRDefault="00584EC1">
            <w:pPr>
              <w:rPr>
                <w:rFonts w:ascii="宋体"/>
                <w:vanish/>
              </w:rPr>
            </w:pPr>
          </w:p>
        </w:tc>
      </w:tr>
      <w:tr w:rsidR="00584EC1" w14:paraId="74DE275F" w14:textId="77777777">
        <w:trPr>
          <w:hidden/>
        </w:trPr>
        <w:tc>
          <w:tcPr>
            <w:tcW w:w="0" w:type="auto"/>
            <w:gridSpan w:val="3"/>
            <w:shd w:val="clear" w:color="auto" w:fill="auto"/>
            <w:vAlign w:val="bottom"/>
          </w:tcPr>
          <w:p w14:paraId="74DE275B" w14:textId="77777777" w:rsidR="00584EC1" w:rsidRDefault="00584EC1">
            <w:pPr>
              <w:rPr>
                <w:rFonts w:ascii="宋体"/>
                <w:vanish/>
              </w:rPr>
            </w:pPr>
          </w:p>
        </w:tc>
        <w:tc>
          <w:tcPr>
            <w:tcW w:w="0" w:type="auto"/>
            <w:gridSpan w:val="3"/>
            <w:shd w:val="clear" w:color="auto" w:fill="auto"/>
            <w:vAlign w:val="bottom"/>
          </w:tcPr>
          <w:p w14:paraId="74DE275C" w14:textId="77777777" w:rsidR="00584EC1" w:rsidRDefault="00584EC1">
            <w:pPr>
              <w:rPr>
                <w:rFonts w:ascii="宋体"/>
                <w:vanish/>
              </w:rPr>
            </w:pPr>
          </w:p>
        </w:tc>
        <w:tc>
          <w:tcPr>
            <w:tcW w:w="0" w:type="auto"/>
            <w:gridSpan w:val="3"/>
            <w:shd w:val="clear" w:color="auto" w:fill="auto"/>
            <w:vAlign w:val="bottom"/>
          </w:tcPr>
          <w:p w14:paraId="74DE275D" w14:textId="77777777" w:rsidR="00584EC1" w:rsidRDefault="00584EC1">
            <w:pPr>
              <w:rPr>
                <w:rFonts w:ascii="宋体"/>
                <w:vanish/>
              </w:rPr>
            </w:pPr>
          </w:p>
        </w:tc>
        <w:tc>
          <w:tcPr>
            <w:tcW w:w="0" w:type="auto"/>
            <w:gridSpan w:val="3"/>
            <w:shd w:val="clear" w:color="auto" w:fill="auto"/>
            <w:vAlign w:val="bottom"/>
          </w:tcPr>
          <w:p w14:paraId="74DE275E" w14:textId="77777777" w:rsidR="00584EC1" w:rsidRDefault="00584EC1">
            <w:pPr>
              <w:rPr>
                <w:rFonts w:ascii="宋体"/>
                <w:vanish/>
              </w:rPr>
            </w:pPr>
          </w:p>
        </w:tc>
      </w:tr>
      <w:tr w:rsidR="00584EC1" w14:paraId="74DE2764" w14:textId="77777777">
        <w:trPr>
          <w:hidden/>
        </w:trPr>
        <w:tc>
          <w:tcPr>
            <w:tcW w:w="0" w:type="auto"/>
            <w:gridSpan w:val="3"/>
            <w:shd w:val="clear" w:color="auto" w:fill="auto"/>
            <w:vAlign w:val="bottom"/>
          </w:tcPr>
          <w:p w14:paraId="74DE2760" w14:textId="77777777" w:rsidR="00584EC1" w:rsidRDefault="00584EC1">
            <w:pPr>
              <w:rPr>
                <w:rFonts w:ascii="宋体"/>
                <w:vanish/>
              </w:rPr>
            </w:pPr>
          </w:p>
        </w:tc>
        <w:tc>
          <w:tcPr>
            <w:tcW w:w="0" w:type="auto"/>
            <w:gridSpan w:val="3"/>
            <w:shd w:val="clear" w:color="auto" w:fill="auto"/>
            <w:vAlign w:val="bottom"/>
          </w:tcPr>
          <w:p w14:paraId="74DE2761" w14:textId="77777777" w:rsidR="00584EC1" w:rsidRDefault="00584EC1">
            <w:pPr>
              <w:rPr>
                <w:rFonts w:ascii="宋体"/>
                <w:vanish/>
              </w:rPr>
            </w:pPr>
          </w:p>
        </w:tc>
        <w:tc>
          <w:tcPr>
            <w:tcW w:w="0" w:type="auto"/>
            <w:gridSpan w:val="3"/>
            <w:shd w:val="clear" w:color="auto" w:fill="auto"/>
            <w:vAlign w:val="bottom"/>
          </w:tcPr>
          <w:p w14:paraId="74DE2762" w14:textId="77777777" w:rsidR="00584EC1" w:rsidRDefault="00584EC1">
            <w:pPr>
              <w:rPr>
                <w:rFonts w:ascii="宋体"/>
                <w:vanish/>
              </w:rPr>
            </w:pPr>
          </w:p>
        </w:tc>
        <w:tc>
          <w:tcPr>
            <w:tcW w:w="0" w:type="auto"/>
            <w:gridSpan w:val="3"/>
            <w:shd w:val="clear" w:color="auto" w:fill="auto"/>
            <w:vAlign w:val="bottom"/>
          </w:tcPr>
          <w:p w14:paraId="74DE2763" w14:textId="77777777" w:rsidR="00584EC1" w:rsidRDefault="00584EC1">
            <w:pPr>
              <w:rPr>
                <w:rFonts w:ascii="宋体"/>
                <w:vanish/>
              </w:rPr>
            </w:pPr>
          </w:p>
        </w:tc>
      </w:tr>
      <w:tr w:rsidR="00584EC1" w14:paraId="74DE2769" w14:textId="77777777">
        <w:trPr>
          <w:hidden/>
        </w:trPr>
        <w:tc>
          <w:tcPr>
            <w:tcW w:w="0" w:type="auto"/>
            <w:gridSpan w:val="3"/>
            <w:shd w:val="clear" w:color="auto" w:fill="auto"/>
            <w:vAlign w:val="bottom"/>
          </w:tcPr>
          <w:p w14:paraId="74DE2765" w14:textId="77777777" w:rsidR="00584EC1" w:rsidRDefault="00584EC1">
            <w:pPr>
              <w:rPr>
                <w:rFonts w:ascii="宋体"/>
                <w:vanish/>
              </w:rPr>
            </w:pPr>
          </w:p>
        </w:tc>
        <w:tc>
          <w:tcPr>
            <w:tcW w:w="0" w:type="auto"/>
            <w:gridSpan w:val="3"/>
            <w:shd w:val="clear" w:color="auto" w:fill="auto"/>
            <w:vAlign w:val="bottom"/>
          </w:tcPr>
          <w:p w14:paraId="74DE2766" w14:textId="77777777" w:rsidR="00584EC1" w:rsidRDefault="00584EC1">
            <w:pPr>
              <w:rPr>
                <w:rFonts w:ascii="宋体"/>
                <w:vanish/>
              </w:rPr>
            </w:pPr>
          </w:p>
        </w:tc>
        <w:tc>
          <w:tcPr>
            <w:tcW w:w="0" w:type="auto"/>
            <w:gridSpan w:val="3"/>
            <w:shd w:val="clear" w:color="auto" w:fill="auto"/>
            <w:vAlign w:val="bottom"/>
          </w:tcPr>
          <w:p w14:paraId="74DE2767" w14:textId="77777777" w:rsidR="00584EC1" w:rsidRDefault="00584EC1">
            <w:pPr>
              <w:rPr>
                <w:rFonts w:ascii="宋体"/>
                <w:vanish/>
              </w:rPr>
            </w:pPr>
          </w:p>
        </w:tc>
        <w:tc>
          <w:tcPr>
            <w:tcW w:w="0" w:type="auto"/>
            <w:gridSpan w:val="3"/>
            <w:shd w:val="clear" w:color="auto" w:fill="auto"/>
            <w:vAlign w:val="bottom"/>
          </w:tcPr>
          <w:p w14:paraId="74DE2768" w14:textId="77777777" w:rsidR="00584EC1" w:rsidRDefault="00584EC1">
            <w:pPr>
              <w:rPr>
                <w:rFonts w:ascii="宋体"/>
                <w:vanish/>
              </w:rPr>
            </w:pPr>
          </w:p>
        </w:tc>
      </w:tr>
      <w:tr w:rsidR="00584EC1" w14:paraId="74DE276E" w14:textId="77777777">
        <w:trPr>
          <w:hidden/>
        </w:trPr>
        <w:tc>
          <w:tcPr>
            <w:tcW w:w="0" w:type="auto"/>
            <w:gridSpan w:val="3"/>
            <w:shd w:val="clear" w:color="auto" w:fill="auto"/>
            <w:vAlign w:val="bottom"/>
          </w:tcPr>
          <w:p w14:paraId="74DE276A" w14:textId="77777777" w:rsidR="00584EC1" w:rsidRDefault="00584EC1">
            <w:pPr>
              <w:rPr>
                <w:rFonts w:ascii="宋体"/>
                <w:vanish/>
              </w:rPr>
            </w:pPr>
          </w:p>
        </w:tc>
        <w:tc>
          <w:tcPr>
            <w:tcW w:w="0" w:type="auto"/>
            <w:gridSpan w:val="3"/>
            <w:shd w:val="clear" w:color="auto" w:fill="auto"/>
            <w:vAlign w:val="bottom"/>
          </w:tcPr>
          <w:p w14:paraId="74DE276B" w14:textId="77777777" w:rsidR="00584EC1" w:rsidRDefault="00584EC1">
            <w:pPr>
              <w:rPr>
                <w:rFonts w:ascii="宋体"/>
                <w:vanish/>
              </w:rPr>
            </w:pPr>
          </w:p>
        </w:tc>
        <w:tc>
          <w:tcPr>
            <w:tcW w:w="0" w:type="auto"/>
            <w:gridSpan w:val="3"/>
            <w:shd w:val="clear" w:color="auto" w:fill="auto"/>
            <w:vAlign w:val="bottom"/>
          </w:tcPr>
          <w:p w14:paraId="74DE276C" w14:textId="77777777" w:rsidR="00584EC1" w:rsidRDefault="00584EC1">
            <w:pPr>
              <w:rPr>
                <w:rFonts w:ascii="宋体"/>
                <w:vanish/>
              </w:rPr>
            </w:pPr>
          </w:p>
        </w:tc>
        <w:tc>
          <w:tcPr>
            <w:tcW w:w="0" w:type="auto"/>
            <w:gridSpan w:val="3"/>
            <w:shd w:val="clear" w:color="auto" w:fill="auto"/>
            <w:vAlign w:val="bottom"/>
          </w:tcPr>
          <w:p w14:paraId="74DE276D" w14:textId="77777777" w:rsidR="00584EC1" w:rsidRDefault="00584EC1">
            <w:pPr>
              <w:rPr>
                <w:rFonts w:ascii="宋体"/>
                <w:vanish/>
              </w:rPr>
            </w:pPr>
          </w:p>
        </w:tc>
      </w:tr>
      <w:tr w:rsidR="00584EC1" w14:paraId="74DE2773" w14:textId="77777777">
        <w:trPr>
          <w:hidden/>
        </w:trPr>
        <w:tc>
          <w:tcPr>
            <w:tcW w:w="0" w:type="auto"/>
            <w:gridSpan w:val="3"/>
            <w:shd w:val="clear" w:color="auto" w:fill="auto"/>
            <w:vAlign w:val="bottom"/>
          </w:tcPr>
          <w:p w14:paraId="74DE276F" w14:textId="77777777" w:rsidR="00584EC1" w:rsidRDefault="00584EC1">
            <w:pPr>
              <w:rPr>
                <w:rFonts w:ascii="宋体"/>
                <w:vanish/>
              </w:rPr>
            </w:pPr>
          </w:p>
        </w:tc>
        <w:tc>
          <w:tcPr>
            <w:tcW w:w="0" w:type="auto"/>
            <w:gridSpan w:val="3"/>
            <w:shd w:val="clear" w:color="auto" w:fill="auto"/>
            <w:vAlign w:val="bottom"/>
          </w:tcPr>
          <w:p w14:paraId="74DE2770" w14:textId="77777777" w:rsidR="00584EC1" w:rsidRDefault="00584EC1">
            <w:pPr>
              <w:rPr>
                <w:rFonts w:ascii="宋体"/>
                <w:vanish/>
              </w:rPr>
            </w:pPr>
          </w:p>
        </w:tc>
        <w:tc>
          <w:tcPr>
            <w:tcW w:w="0" w:type="auto"/>
            <w:gridSpan w:val="3"/>
            <w:shd w:val="clear" w:color="auto" w:fill="auto"/>
            <w:vAlign w:val="bottom"/>
          </w:tcPr>
          <w:p w14:paraId="74DE2771" w14:textId="77777777" w:rsidR="00584EC1" w:rsidRDefault="00584EC1">
            <w:pPr>
              <w:rPr>
                <w:rFonts w:ascii="宋体"/>
                <w:vanish/>
              </w:rPr>
            </w:pPr>
          </w:p>
        </w:tc>
        <w:tc>
          <w:tcPr>
            <w:tcW w:w="0" w:type="auto"/>
            <w:gridSpan w:val="3"/>
            <w:shd w:val="clear" w:color="auto" w:fill="auto"/>
            <w:vAlign w:val="bottom"/>
          </w:tcPr>
          <w:p w14:paraId="74DE2772" w14:textId="77777777" w:rsidR="00584EC1" w:rsidRDefault="00584EC1">
            <w:pPr>
              <w:rPr>
                <w:rFonts w:ascii="宋体"/>
                <w:vanish/>
              </w:rPr>
            </w:pPr>
          </w:p>
        </w:tc>
      </w:tr>
      <w:tr w:rsidR="00584EC1" w14:paraId="74DE2778" w14:textId="77777777">
        <w:trPr>
          <w:hidden/>
        </w:trPr>
        <w:tc>
          <w:tcPr>
            <w:tcW w:w="0" w:type="auto"/>
            <w:gridSpan w:val="3"/>
            <w:shd w:val="clear" w:color="auto" w:fill="auto"/>
            <w:vAlign w:val="bottom"/>
          </w:tcPr>
          <w:p w14:paraId="74DE2774" w14:textId="77777777" w:rsidR="00584EC1" w:rsidRDefault="00584EC1">
            <w:pPr>
              <w:rPr>
                <w:rFonts w:ascii="宋体"/>
                <w:vanish/>
              </w:rPr>
            </w:pPr>
          </w:p>
        </w:tc>
        <w:tc>
          <w:tcPr>
            <w:tcW w:w="0" w:type="auto"/>
            <w:gridSpan w:val="3"/>
            <w:shd w:val="clear" w:color="auto" w:fill="auto"/>
            <w:vAlign w:val="bottom"/>
          </w:tcPr>
          <w:p w14:paraId="74DE2775" w14:textId="77777777" w:rsidR="00584EC1" w:rsidRDefault="00584EC1">
            <w:pPr>
              <w:rPr>
                <w:rFonts w:ascii="宋体"/>
                <w:vanish/>
              </w:rPr>
            </w:pPr>
          </w:p>
        </w:tc>
        <w:tc>
          <w:tcPr>
            <w:tcW w:w="0" w:type="auto"/>
            <w:gridSpan w:val="3"/>
            <w:shd w:val="clear" w:color="auto" w:fill="auto"/>
            <w:vAlign w:val="bottom"/>
          </w:tcPr>
          <w:p w14:paraId="74DE2776" w14:textId="77777777" w:rsidR="00584EC1" w:rsidRDefault="00584EC1">
            <w:pPr>
              <w:rPr>
                <w:rFonts w:ascii="宋体"/>
                <w:vanish/>
              </w:rPr>
            </w:pPr>
          </w:p>
        </w:tc>
        <w:tc>
          <w:tcPr>
            <w:tcW w:w="0" w:type="auto"/>
            <w:gridSpan w:val="3"/>
            <w:shd w:val="clear" w:color="auto" w:fill="auto"/>
            <w:vAlign w:val="bottom"/>
          </w:tcPr>
          <w:p w14:paraId="74DE2777" w14:textId="77777777" w:rsidR="00584EC1" w:rsidRDefault="00584EC1">
            <w:pPr>
              <w:rPr>
                <w:rFonts w:ascii="宋体"/>
                <w:vanish/>
              </w:rPr>
            </w:pPr>
          </w:p>
        </w:tc>
      </w:tr>
      <w:tr w:rsidR="00584EC1" w14:paraId="74DE277D" w14:textId="77777777">
        <w:trPr>
          <w:hidden/>
        </w:trPr>
        <w:tc>
          <w:tcPr>
            <w:tcW w:w="0" w:type="auto"/>
            <w:gridSpan w:val="3"/>
            <w:shd w:val="clear" w:color="auto" w:fill="auto"/>
            <w:vAlign w:val="bottom"/>
          </w:tcPr>
          <w:p w14:paraId="74DE2779" w14:textId="77777777" w:rsidR="00584EC1" w:rsidRDefault="00584EC1">
            <w:pPr>
              <w:rPr>
                <w:rFonts w:ascii="宋体"/>
                <w:vanish/>
              </w:rPr>
            </w:pPr>
          </w:p>
        </w:tc>
        <w:tc>
          <w:tcPr>
            <w:tcW w:w="0" w:type="auto"/>
            <w:gridSpan w:val="3"/>
            <w:shd w:val="clear" w:color="auto" w:fill="auto"/>
            <w:vAlign w:val="bottom"/>
          </w:tcPr>
          <w:p w14:paraId="74DE277A" w14:textId="77777777" w:rsidR="00584EC1" w:rsidRDefault="00584EC1">
            <w:pPr>
              <w:rPr>
                <w:rFonts w:ascii="宋体"/>
                <w:vanish/>
              </w:rPr>
            </w:pPr>
          </w:p>
        </w:tc>
        <w:tc>
          <w:tcPr>
            <w:tcW w:w="0" w:type="auto"/>
            <w:gridSpan w:val="3"/>
            <w:shd w:val="clear" w:color="auto" w:fill="auto"/>
            <w:vAlign w:val="bottom"/>
          </w:tcPr>
          <w:p w14:paraId="74DE277B" w14:textId="77777777" w:rsidR="00584EC1" w:rsidRDefault="00584EC1">
            <w:pPr>
              <w:rPr>
                <w:rFonts w:ascii="宋体"/>
                <w:vanish/>
              </w:rPr>
            </w:pPr>
          </w:p>
        </w:tc>
        <w:tc>
          <w:tcPr>
            <w:tcW w:w="0" w:type="auto"/>
            <w:gridSpan w:val="3"/>
            <w:shd w:val="clear" w:color="auto" w:fill="auto"/>
            <w:vAlign w:val="bottom"/>
          </w:tcPr>
          <w:p w14:paraId="74DE277C" w14:textId="77777777" w:rsidR="00584EC1" w:rsidRDefault="00584EC1">
            <w:pPr>
              <w:rPr>
                <w:rFonts w:ascii="宋体"/>
                <w:vanish/>
              </w:rPr>
            </w:pPr>
          </w:p>
        </w:tc>
      </w:tr>
      <w:tr w:rsidR="00584EC1" w14:paraId="74DE2782" w14:textId="77777777">
        <w:trPr>
          <w:hidden/>
        </w:trPr>
        <w:tc>
          <w:tcPr>
            <w:tcW w:w="0" w:type="auto"/>
            <w:gridSpan w:val="3"/>
            <w:shd w:val="clear" w:color="auto" w:fill="auto"/>
            <w:vAlign w:val="bottom"/>
          </w:tcPr>
          <w:p w14:paraId="74DE277E" w14:textId="77777777" w:rsidR="00584EC1" w:rsidRDefault="00584EC1">
            <w:pPr>
              <w:rPr>
                <w:rFonts w:ascii="宋体"/>
                <w:vanish/>
              </w:rPr>
            </w:pPr>
          </w:p>
        </w:tc>
        <w:tc>
          <w:tcPr>
            <w:tcW w:w="0" w:type="auto"/>
            <w:gridSpan w:val="3"/>
            <w:shd w:val="clear" w:color="auto" w:fill="auto"/>
            <w:vAlign w:val="bottom"/>
          </w:tcPr>
          <w:p w14:paraId="74DE277F" w14:textId="77777777" w:rsidR="00584EC1" w:rsidRDefault="00584EC1">
            <w:pPr>
              <w:rPr>
                <w:rFonts w:ascii="宋体"/>
                <w:vanish/>
              </w:rPr>
            </w:pPr>
          </w:p>
        </w:tc>
        <w:tc>
          <w:tcPr>
            <w:tcW w:w="0" w:type="auto"/>
            <w:gridSpan w:val="3"/>
            <w:shd w:val="clear" w:color="auto" w:fill="auto"/>
            <w:vAlign w:val="bottom"/>
          </w:tcPr>
          <w:p w14:paraId="74DE2780" w14:textId="77777777" w:rsidR="00584EC1" w:rsidRDefault="00584EC1">
            <w:pPr>
              <w:rPr>
                <w:rFonts w:ascii="宋体"/>
                <w:vanish/>
              </w:rPr>
            </w:pPr>
          </w:p>
        </w:tc>
        <w:tc>
          <w:tcPr>
            <w:tcW w:w="0" w:type="auto"/>
            <w:gridSpan w:val="3"/>
            <w:shd w:val="clear" w:color="auto" w:fill="auto"/>
            <w:vAlign w:val="bottom"/>
          </w:tcPr>
          <w:p w14:paraId="74DE2781" w14:textId="77777777" w:rsidR="00584EC1" w:rsidRDefault="00584EC1">
            <w:pPr>
              <w:rPr>
                <w:rFonts w:ascii="宋体"/>
                <w:vanish/>
              </w:rPr>
            </w:pPr>
          </w:p>
        </w:tc>
      </w:tr>
      <w:tr w:rsidR="00584EC1" w14:paraId="74DE2787" w14:textId="77777777">
        <w:trPr>
          <w:hidden/>
        </w:trPr>
        <w:tc>
          <w:tcPr>
            <w:tcW w:w="0" w:type="auto"/>
            <w:gridSpan w:val="3"/>
            <w:shd w:val="clear" w:color="auto" w:fill="auto"/>
            <w:vAlign w:val="bottom"/>
          </w:tcPr>
          <w:p w14:paraId="74DE2783" w14:textId="77777777" w:rsidR="00584EC1" w:rsidRDefault="00584EC1">
            <w:pPr>
              <w:rPr>
                <w:rFonts w:ascii="宋体"/>
                <w:vanish/>
              </w:rPr>
            </w:pPr>
          </w:p>
        </w:tc>
        <w:tc>
          <w:tcPr>
            <w:tcW w:w="0" w:type="auto"/>
            <w:gridSpan w:val="3"/>
            <w:shd w:val="clear" w:color="auto" w:fill="auto"/>
            <w:vAlign w:val="bottom"/>
          </w:tcPr>
          <w:p w14:paraId="74DE2784" w14:textId="77777777" w:rsidR="00584EC1" w:rsidRDefault="00584EC1">
            <w:pPr>
              <w:rPr>
                <w:rFonts w:ascii="宋体"/>
                <w:vanish/>
              </w:rPr>
            </w:pPr>
          </w:p>
        </w:tc>
        <w:tc>
          <w:tcPr>
            <w:tcW w:w="0" w:type="auto"/>
            <w:gridSpan w:val="3"/>
            <w:shd w:val="clear" w:color="auto" w:fill="auto"/>
            <w:vAlign w:val="bottom"/>
          </w:tcPr>
          <w:p w14:paraId="74DE2785" w14:textId="77777777" w:rsidR="00584EC1" w:rsidRDefault="00584EC1">
            <w:pPr>
              <w:rPr>
                <w:rFonts w:ascii="宋体"/>
                <w:vanish/>
              </w:rPr>
            </w:pPr>
          </w:p>
        </w:tc>
        <w:tc>
          <w:tcPr>
            <w:tcW w:w="0" w:type="auto"/>
            <w:gridSpan w:val="3"/>
            <w:shd w:val="clear" w:color="auto" w:fill="auto"/>
            <w:vAlign w:val="bottom"/>
          </w:tcPr>
          <w:p w14:paraId="74DE2786" w14:textId="77777777" w:rsidR="00584EC1" w:rsidRDefault="00584EC1">
            <w:pPr>
              <w:rPr>
                <w:rFonts w:ascii="宋体"/>
                <w:vanish/>
              </w:rPr>
            </w:pPr>
          </w:p>
        </w:tc>
      </w:tr>
      <w:tr w:rsidR="00584EC1" w14:paraId="74DE278C" w14:textId="77777777">
        <w:trPr>
          <w:hidden/>
        </w:trPr>
        <w:tc>
          <w:tcPr>
            <w:tcW w:w="0" w:type="auto"/>
            <w:gridSpan w:val="3"/>
            <w:shd w:val="clear" w:color="auto" w:fill="auto"/>
            <w:vAlign w:val="bottom"/>
          </w:tcPr>
          <w:p w14:paraId="74DE2788" w14:textId="77777777" w:rsidR="00584EC1" w:rsidRDefault="00584EC1">
            <w:pPr>
              <w:rPr>
                <w:rFonts w:ascii="宋体"/>
                <w:vanish/>
              </w:rPr>
            </w:pPr>
          </w:p>
        </w:tc>
        <w:tc>
          <w:tcPr>
            <w:tcW w:w="0" w:type="auto"/>
            <w:gridSpan w:val="3"/>
            <w:shd w:val="clear" w:color="auto" w:fill="auto"/>
            <w:vAlign w:val="bottom"/>
          </w:tcPr>
          <w:p w14:paraId="74DE2789" w14:textId="77777777" w:rsidR="00584EC1" w:rsidRDefault="00584EC1">
            <w:pPr>
              <w:rPr>
                <w:rFonts w:ascii="宋体"/>
                <w:vanish/>
              </w:rPr>
            </w:pPr>
          </w:p>
        </w:tc>
        <w:tc>
          <w:tcPr>
            <w:tcW w:w="0" w:type="auto"/>
            <w:gridSpan w:val="3"/>
            <w:shd w:val="clear" w:color="auto" w:fill="auto"/>
            <w:vAlign w:val="bottom"/>
          </w:tcPr>
          <w:p w14:paraId="74DE278A" w14:textId="77777777" w:rsidR="00584EC1" w:rsidRDefault="00584EC1">
            <w:pPr>
              <w:rPr>
                <w:rFonts w:ascii="宋体"/>
                <w:vanish/>
              </w:rPr>
            </w:pPr>
          </w:p>
        </w:tc>
        <w:tc>
          <w:tcPr>
            <w:tcW w:w="0" w:type="auto"/>
            <w:gridSpan w:val="3"/>
            <w:shd w:val="clear" w:color="auto" w:fill="auto"/>
            <w:vAlign w:val="bottom"/>
          </w:tcPr>
          <w:p w14:paraId="74DE278B" w14:textId="77777777" w:rsidR="00584EC1" w:rsidRDefault="00584EC1">
            <w:pPr>
              <w:rPr>
                <w:rFonts w:ascii="宋体"/>
                <w:vanish/>
              </w:rPr>
            </w:pPr>
          </w:p>
        </w:tc>
      </w:tr>
    </w:tbl>
    <w:p w14:paraId="74DE278D" w14:textId="77777777" w:rsidR="00584EC1" w:rsidRDefault="00584E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2735"/>
        <w:gridCol w:w="36"/>
        <w:gridCol w:w="70"/>
        <w:gridCol w:w="3051"/>
        <w:gridCol w:w="36"/>
      </w:tblGrid>
      <w:tr w:rsidR="00584EC1" w14:paraId="74DE2797" w14:textId="77777777">
        <w:tc>
          <w:tcPr>
            <w:tcW w:w="50" w:type="pct"/>
            <w:shd w:val="clear" w:color="auto" w:fill="auto"/>
            <w:vAlign w:val="bottom"/>
          </w:tcPr>
          <w:p w14:paraId="74DE278E" w14:textId="77777777" w:rsidR="00584EC1" w:rsidRDefault="00584EC1">
            <w:pPr>
              <w:rPr>
                <w:rFonts w:ascii="宋体"/>
              </w:rPr>
            </w:pPr>
          </w:p>
        </w:tc>
        <w:tc>
          <w:tcPr>
            <w:tcW w:w="1348" w:type="pct"/>
            <w:shd w:val="clear" w:color="auto" w:fill="auto"/>
            <w:vAlign w:val="bottom"/>
          </w:tcPr>
          <w:p w14:paraId="74DE278F" w14:textId="77777777" w:rsidR="00584EC1" w:rsidRDefault="00584EC1">
            <w:pPr>
              <w:rPr>
                <w:rFonts w:ascii="宋体"/>
              </w:rPr>
            </w:pPr>
          </w:p>
        </w:tc>
        <w:tc>
          <w:tcPr>
            <w:tcW w:w="5" w:type="pct"/>
            <w:shd w:val="clear" w:color="auto" w:fill="auto"/>
            <w:vAlign w:val="bottom"/>
          </w:tcPr>
          <w:p w14:paraId="74DE2790" w14:textId="77777777" w:rsidR="00584EC1" w:rsidRDefault="00584EC1">
            <w:pPr>
              <w:rPr>
                <w:rFonts w:ascii="宋体"/>
              </w:rPr>
            </w:pPr>
          </w:p>
        </w:tc>
        <w:tc>
          <w:tcPr>
            <w:tcW w:w="50" w:type="pct"/>
            <w:shd w:val="clear" w:color="auto" w:fill="auto"/>
            <w:vAlign w:val="bottom"/>
          </w:tcPr>
          <w:p w14:paraId="74DE2791" w14:textId="77777777" w:rsidR="00584EC1" w:rsidRDefault="00584EC1">
            <w:pPr>
              <w:rPr>
                <w:rFonts w:ascii="宋体"/>
              </w:rPr>
            </w:pPr>
          </w:p>
        </w:tc>
        <w:tc>
          <w:tcPr>
            <w:tcW w:w="1648" w:type="pct"/>
            <w:shd w:val="clear" w:color="auto" w:fill="auto"/>
            <w:vAlign w:val="bottom"/>
          </w:tcPr>
          <w:p w14:paraId="74DE2792" w14:textId="77777777" w:rsidR="00584EC1" w:rsidRDefault="00584EC1">
            <w:pPr>
              <w:rPr>
                <w:rFonts w:ascii="宋体"/>
              </w:rPr>
            </w:pPr>
          </w:p>
        </w:tc>
        <w:tc>
          <w:tcPr>
            <w:tcW w:w="5" w:type="pct"/>
            <w:shd w:val="clear" w:color="auto" w:fill="auto"/>
            <w:vAlign w:val="bottom"/>
          </w:tcPr>
          <w:p w14:paraId="74DE2793" w14:textId="77777777" w:rsidR="00584EC1" w:rsidRDefault="00584EC1">
            <w:pPr>
              <w:rPr>
                <w:rFonts w:ascii="宋体"/>
              </w:rPr>
            </w:pPr>
          </w:p>
        </w:tc>
        <w:tc>
          <w:tcPr>
            <w:tcW w:w="50" w:type="pct"/>
            <w:shd w:val="clear" w:color="auto" w:fill="auto"/>
            <w:vAlign w:val="bottom"/>
          </w:tcPr>
          <w:p w14:paraId="74DE2794" w14:textId="77777777" w:rsidR="00584EC1" w:rsidRDefault="00584EC1">
            <w:pPr>
              <w:rPr>
                <w:rFonts w:ascii="宋体"/>
              </w:rPr>
            </w:pPr>
          </w:p>
        </w:tc>
        <w:tc>
          <w:tcPr>
            <w:tcW w:w="1838" w:type="pct"/>
            <w:shd w:val="clear" w:color="auto" w:fill="auto"/>
            <w:vAlign w:val="bottom"/>
          </w:tcPr>
          <w:p w14:paraId="74DE2795" w14:textId="77777777" w:rsidR="00584EC1" w:rsidRDefault="00584EC1">
            <w:pPr>
              <w:rPr>
                <w:rFonts w:ascii="宋体"/>
              </w:rPr>
            </w:pPr>
          </w:p>
        </w:tc>
        <w:tc>
          <w:tcPr>
            <w:tcW w:w="5" w:type="pct"/>
            <w:shd w:val="clear" w:color="auto" w:fill="auto"/>
            <w:vAlign w:val="bottom"/>
          </w:tcPr>
          <w:p w14:paraId="74DE2796" w14:textId="77777777" w:rsidR="00584EC1" w:rsidRDefault="00584EC1">
            <w:pPr>
              <w:rPr>
                <w:rFonts w:ascii="宋体"/>
              </w:rPr>
            </w:pPr>
          </w:p>
        </w:tc>
      </w:tr>
      <w:tr w:rsidR="00584EC1" w14:paraId="74DE279B"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4DE2798"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799"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79A" w14:textId="77777777" w:rsidR="00584EC1" w:rsidRDefault="00584EC1">
            <w:pPr>
              <w:rPr>
                <w:rFonts w:ascii="宋体"/>
              </w:rPr>
            </w:pPr>
          </w:p>
        </w:tc>
      </w:tr>
    </w:tbl>
    <w:p w14:paraId="74DE279C" w14:textId="77777777" w:rsidR="00584EC1" w:rsidRDefault="00871F8D">
      <w:r>
        <w:rPr>
          <w:rFonts w:ascii="Arial" w:eastAsia="宋体" w:hAnsi="Arial" w:cs="Arial"/>
          <w:color w:val="000000"/>
          <w:sz w:val="7"/>
          <w:szCs w:val="7"/>
        </w:rPr>
        <w:t>(1)</w:t>
      </w:r>
      <w:r>
        <w:rPr>
          <w:rFonts w:ascii="Arial" w:eastAsia="宋体" w:hAnsi="Arial" w:cs="Arial"/>
          <w:color w:val="000000"/>
          <w:sz w:val="12"/>
          <w:szCs w:val="12"/>
        </w:rPr>
        <w:t xml:space="preserve"> As defined by the applicable U.S. regulations.</w:t>
      </w:r>
    </w:p>
    <w:p w14:paraId="74DE279D" w14:textId="77777777" w:rsidR="00584EC1" w:rsidRDefault="00871F8D">
      <w:pPr>
        <w:ind w:firstLine="450"/>
        <w:jc w:val="right"/>
      </w:pPr>
      <w:r>
        <w:rPr>
          <w:rFonts w:ascii="Arial" w:eastAsia="宋体" w:hAnsi="Arial" w:cs="Arial"/>
          <w:color w:val="000000"/>
          <w:sz w:val="18"/>
          <w:szCs w:val="18"/>
        </w:rPr>
        <w:t>State Street Corporation | 97</w:t>
      </w:r>
    </w:p>
    <w:p w14:paraId="74DE279E" w14:textId="77777777" w:rsidR="00584EC1" w:rsidRDefault="00584EC1">
      <w:pPr>
        <w:ind w:firstLine="450"/>
        <w:jc w:val="center"/>
      </w:pPr>
    </w:p>
    <w:p w14:paraId="74DE279F" w14:textId="77777777" w:rsidR="00584EC1" w:rsidRDefault="00871F8D">
      <w:r>
        <w:pict w14:anchorId="74DE2A4F">
          <v:rect id="_x0000_i1121" style="width:415.3pt;height:1.5pt" o:hralign="center" o:hrstd="t" o:hr="t" fillcolor="#a0a0a0" stroked="f"/>
        </w:pict>
      </w:r>
    </w:p>
    <w:p w14:paraId="74DE27A0" w14:textId="77777777" w:rsidR="00584EC1" w:rsidRDefault="00584EC1">
      <w:pPr>
        <w:ind w:firstLine="450"/>
      </w:pPr>
    </w:p>
    <w:p w14:paraId="74DE27A1" w14:textId="77777777" w:rsidR="00584EC1" w:rsidRDefault="00584EC1">
      <w:pPr>
        <w:ind w:firstLine="450"/>
        <w:jc w:val="center"/>
      </w:pP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3997"/>
        <w:gridCol w:w="37"/>
        <w:gridCol w:w="68"/>
        <w:gridCol w:w="4022"/>
        <w:gridCol w:w="36"/>
        <w:gridCol w:w="36"/>
        <w:gridCol w:w="36"/>
        <w:gridCol w:w="36"/>
      </w:tblGrid>
      <w:tr w:rsidR="00584EC1" w14:paraId="74DE27AB" w14:textId="77777777">
        <w:trPr>
          <w:jc w:val="center"/>
        </w:trPr>
        <w:tc>
          <w:tcPr>
            <w:tcW w:w="50" w:type="pct"/>
            <w:shd w:val="clear" w:color="auto" w:fill="auto"/>
            <w:vAlign w:val="bottom"/>
          </w:tcPr>
          <w:p w14:paraId="74DE27A2" w14:textId="77777777" w:rsidR="00584EC1" w:rsidRDefault="00584EC1">
            <w:pPr>
              <w:rPr>
                <w:rFonts w:ascii="宋体"/>
              </w:rPr>
            </w:pPr>
          </w:p>
        </w:tc>
        <w:tc>
          <w:tcPr>
            <w:tcW w:w="2437" w:type="pct"/>
            <w:shd w:val="clear" w:color="auto" w:fill="auto"/>
            <w:vAlign w:val="bottom"/>
          </w:tcPr>
          <w:p w14:paraId="74DE27A3" w14:textId="77777777" w:rsidR="00584EC1" w:rsidRDefault="00584EC1">
            <w:pPr>
              <w:rPr>
                <w:rFonts w:ascii="宋体"/>
              </w:rPr>
            </w:pPr>
          </w:p>
        </w:tc>
        <w:tc>
          <w:tcPr>
            <w:tcW w:w="5" w:type="pct"/>
            <w:shd w:val="clear" w:color="auto" w:fill="auto"/>
            <w:vAlign w:val="bottom"/>
          </w:tcPr>
          <w:p w14:paraId="74DE27A4" w14:textId="77777777" w:rsidR="00584EC1" w:rsidRDefault="00584EC1">
            <w:pPr>
              <w:rPr>
                <w:rFonts w:ascii="宋体"/>
              </w:rPr>
            </w:pPr>
          </w:p>
        </w:tc>
        <w:tc>
          <w:tcPr>
            <w:tcW w:w="50" w:type="pct"/>
            <w:shd w:val="clear" w:color="auto" w:fill="auto"/>
            <w:vAlign w:val="bottom"/>
          </w:tcPr>
          <w:p w14:paraId="74DE27A5" w14:textId="77777777" w:rsidR="00584EC1" w:rsidRDefault="00584EC1">
            <w:pPr>
              <w:rPr>
                <w:rFonts w:ascii="宋体"/>
              </w:rPr>
            </w:pPr>
          </w:p>
        </w:tc>
        <w:tc>
          <w:tcPr>
            <w:tcW w:w="2452" w:type="pct"/>
            <w:shd w:val="clear" w:color="auto" w:fill="auto"/>
            <w:vAlign w:val="bottom"/>
          </w:tcPr>
          <w:p w14:paraId="74DE27A6" w14:textId="77777777" w:rsidR="00584EC1" w:rsidRDefault="00584EC1">
            <w:pPr>
              <w:rPr>
                <w:rFonts w:ascii="宋体"/>
              </w:rPr>
            </w:pPr>
          </w:p>
        </w:tc>
        <w:tc>
          <w:tcPr>
            <w:tcW w:w="5" w:type="pct"/>
            <w:shd w:val="clear" w:color="auto" w:fill="auto"/>
            <w:vAlign w:val="bottom"/>
          </w:tcPr>
          <w:p w14:paraId="74DE27A7" w14:textId="77777777" w:rsidR="00584EC1" w:rsidRDefault="00584EC1">
            <w:pPr>
              <w:rPr>
                <w:rFonts w:ascii="宋体"/>
              </w:rPr>
            </w:pPr>
          </w:p>
        </w:tc>
        <w:tc>
          <w:tcPr>
            <w:tcW w:w="0" w:type="auto"/>
            <w:shd w:val="clear" w:color="auto" w:fill="auto"/>
            <w:vAlign w:val="bottom"/>
          </w:tcPr>
          <w:p w14:paraId="74DE27A8" w14:textId="77777777" w:rsidR="00584EC1" w:rsidRDefault="00584EC1">
            <w:pPr>
              <w:rPr>
                <w:rFonts w:ascii="宋体"/>
                <w:vanish/>
              </w:rPr>
            </w:pPr>
          </w:p>
        </w:tc>
        <w:tc>
          <w:tcPr>
            <w:tcW w:w="0" w:type="auto"/>
            <w:shd w:val="clear" w:color="auto" w:fill="auto"/>
            <w:vAlign w:val="bottom"/>
          </w:tcPr>
          <w:p w14:paraId="74DE27A9" w14:textId="77777777" w:rsidR="00584EC1" w:rsidRDefault="00584EC1">
            <w:pPr>
              <w:rPr>
                <w:rFonts w:ascii="宋体"/>
                <w:vanish/>
              </w:rPr>
            </w:pPr>
          </w:p>
        </w:tc>
        <w:tc>
          <w:tcPr>
            <w:tcW w:w="0" w:type="auto"/>
            <w:shd w:val="clear" w:color="auto" w:fill="auto"/>
            <w:vAlign w:val="bottom"/>
          </w:tcPr>
          <w:p w14:paraId="74DE27AA" w14:textId="77777777" w:rsidR="00584EC1" w:rsidRDefault="00584EC1">
            <w:pPr>
              <w:rPr>
                <w:rFonts w:ascii="宋体"/>
                <w:vanish/>
              </w:rPr>
            </w:pPr>
          </w:p>
        </w:tc>
      </w:tr>
      <w:tr w:rsidR="00584EC1" w14:paraId="74DE27B0" w14:textId="77777777">
        <w:trPr>
          <w:jc w:val="center"/>
        </w:trPr>
        <w:tc>
          <w:tcPr>
            <w:tcW w:w="0" w:type="auto"/>
            <w:gridSpan w:val="6"/>
            <w:shd w:val="clear" w:color="auto" w:fill="auto"/>
            <w:tcMar>
              <w:top w:w="40" w:type="dxa"/>
              <w:left w:w="20" w:type="dxa"/>
              <w:bottom w:w="40" w:type="dxa"/>
              <w:right w:w="20" w:type="dxa"/>
            </w:tcMar>
          </w:tcPr>
          <w:p w14:paraId="74DE27AC" w14:textId="77777777" w:rsidR="00584EC1" w:rsidRDefault="00871F8D">
            <w:pPr>
              <w:jc w:val="center"/>
              <w:textAlignment w:val="top"/>
            </w:pPr>
            <w:r>
              <w:rPr>
                <w:rFonts w:ascii="Arial" w:eastAsia="宋体" w:hAnsi="Arial" w:cs="Arial"/>
                <w:b/>
                <w:bCs/>
                <w:color w:val="000000"/>
                <w:sz w:val="20"/>
                <w:szCs w:val="20"/>
              </w:rPr>
              <w:t>GLOSSARY</w:t>
            </w:r>
          </w:p>
        </w:tc>
        <w:tc>
          <w:tcPr>
            <w:tcW w:w="0" w:type="auto"/>
            <w:shd w:val="clear" w:color="auto" w:fill="auto"/>
            <w:vAlign w:val="bottom"/>
          </w:tcPr>
          <w:p w14:paraId="74DE27AD" w14:textId="77777777" w:rsidR="00584EC1" w:rsidRDefault="00584EC1">
            <w:pPr>
              <w:rPr>
                <w:rFonts w:ascii="宋体"/>
                <w:vanish/>
              </w:rPr>
            </w:pPr>
          </w:p>
        </w:tc>
        <w:tc>
          <w:tcPr>
            <w:tcW w:w="0" w:type="auto"/>
            <w:shd w:val="clear" w:color="auto" w:fill="auto"/>
            <w:vAlign w:val="bottom"/>
          </w:tcPr>
          <w:p w14:paraId="74DE27AE" w14:textId="77777777" w:rsidR="00584EC1" w:rsidRDefault="00584EC1">
            <w:pPr>
              <w:rPr>
                <w:rFonts w:ascii="宋体"/>
                <w:vanish/>
              </w:rPr>
            </w:pPr>
          </w:p>
        </w:tc>
        <w:tc>
          <w:tcPr>
            <w:tcW w:w="0" w:type="auto"/>
            <w:shd w:val="clear" w:color="auto" w:fill="auto"/>
            <w:vAlign w:val="bottom"/>
          </w:tcPr>
          <w:p w14:paraId="74DE27AF" w14:textId="77777777" w:rsidR="00584EC1" w:rsidRDefault="00584EC1">
            <w:pPr>
              <w:rPr>
                <w:rFonts w:ascii="宋体"/>
                <w:vanish/>
              </w:rPr>
            </w:pPr>
          </w:p>
        </w:tc>
      </w:tr>
      <w:tr w:rsidR="00584EC1" w14:paraId="74DE27B6" w14:textId="77777777">
        <w:trPr>
          <w:trHeight w:val="100"/>
          <w:jc w:val="center"/>
        </w:trPr>
        <w:tc>
          <w:tcPr>
            <w:tcW w:w="0" w:type="auto"/>
            <w:gridSpan w:val="3"/>
            <w:tcBorders>
              <w:top w:val="single" w:sz="18" w:space="0" w:color="000000"/>
            </w:tcBorders>
            <w:shd w:val="clear" w:color="auto" w:fill="auto"/>
            <w:tcMar>
              <w:top w:w="0" w:type="dxa"/>
              <w:left w:w="20" w:type="dxa"/>
              <w:bottom w:w="0" w:type="dxa"/>
              <w:right w:w="20" w:type="dxa"/>
            </w:tcMar>
            <w:vAlign w:val="bottom"/>
          </w:tcPr>
          <w:p w14:paraId="74DE27B1" w14:textId="77777777" w:rsidR="00584EC1" w:rsidRDefault="00584EC1">
            <w:pPr>
              <w:rPr>
                <w:rFonts w:ascii="宋体"/>
              </w:rPr>
            </w:pPr>
          </w:p>
        </w:tc>
        <w:tc>
          <w:tcPr>
            <w:tcW w:w="0" w:type="auto"/>
            <w:gridSpan w:val="3"/>
            <w:tcBorders>
              <w:top w:val="single" w:sz="18" w:space="0" w:color="000000"/>
            </w:tcBorders>
            <w:shd w:val="clear" w:color="auto" w:fill="auto"/>
            <w:tcMar>
              <w:top w:w="0" w:type="dxa"/>
              <w:left w:w="20" w:type="dxa"/>
              <w:bottom w:w="0" w:type="dxa"/>
              <w:right w:w="20" w:type="dxa"/>
            </w:tcMar>
            <w:vAlign w:val="bottom"/>
          </w:tcPr>
          <w:p w14:paraId="74DE27B2" w14:textId="77777777" w:rsidR="00584EC1" w:rsidRDefault="00584EC1">
            <w:pPr>
              <w:rPr>
                <w:rFonts w:ascii="宋体"/>
              </w:rPr>
            </w:pPr>
          </w:p>
        </w:tc>
        <w:tc>
          <w:tcPr>
            <w:tcW w:w="0" w:type="auto"/>
            <w:shd w:val="clear" w:color="auto" w:fill="auto"/>
            <w:vAlign w:val="bottom"/>
          </w:tcPr>
          <w:p w14:paraId="74DE27B3" w14:textId="77777777" w:rsidR="00584EC1" w:rsidRDefault="00584EC1">
            <w:pPr>
              <w:rPr>
                <w:rFonts w:ascii="宋体"/>
                <w:vanish/>
              </w:rPr>
            </w:pPr>
          </w:p>
        </w:tc>
        <w:tc>
          <w:tcPr>
            <w:tcW w:w="0" w:type="auto"/>
            <w:shd w:val="clear" w:color="auto" w:fill="auto"/>
            <w:vAlign w:val="bottom"/>
          </w:tcPr>
          <w:p w14:paraId="74DE27B4" w14:textId="77777777" w:rsidR="00584EC1" w:rsidRDefault="00584EC1">
            <w:pPr>
              <w:rPr>
                <w:rFonts w:ascii="宋体"/>
                <w:vanish/>
              </w:rPr>
            </w:pPr>
          </w:p>
        </w:tc>
        <w:tc>
          <w:tcPr>
            <w:tcW w:w="0" w:type="auto"/>
            <w:shd w:val="clear" w:color="auto" w:fill="auto"/>
            <w:vAlign w:val="bottom"/>
          </w:tcPr>
          <w:p w14:paraId="74DE27B5" w14:textId="77777777" w:rsidR="00584EC1" w:rsidRDefault="00584EC1">
            <w:pPr>
              <w:rPr>
                <w:rFonts w:ascii="宋体"/>
                <w:vanish/>
              </w:rPr>
            </w:pPr>
          </w:p>
        </w:tc>
      </w:tr>
      <w:tr w:rsidR="00584EC1" w14:paraId="74DE27BC" w14:textId="77777777">
        <w:trPr>
          <w:jc w:val="center"/>
          <w:hidden/>
        </w:trPr>
        <w:tc>
          <w:tcPr>
            <w:tcW w:w="0" w:type="auto"/>
            <w:gridSpan w:val="3"/>
            <w:shd w:val="clear" w:color="auto" w:fill="auto"/>
            <w:vAlign w:val="bottom"/>
          </w:tcPr>
          <w:p w14:paraId="74DE27B7" w14:textId="77777777" w:rsidR="00584EC1" w:rsidRDefault="00584EC1">
            <w:pPr>
              <w:rPr>
                <w:rFonts w:ascii="宋体"/>
                <w:vanish/>
              </w:rPr>
            </w:pPr>
          </w:p>
        </w:tc>
        <w:tc>
          <w:tcPr>
            <w:tcW w:w="0" w:type="auto"/>
            <w:gridSpan w:val="3"/>
            <w:shd w:val="clear" w:color="auto" w:fill="auto"/>
            <w:vAlign w:val="bottom"/>
          </w:tcPr>
          <w:p w14:paraId="74DE27B8" w14:textId="77777777" w:rsidR="00584EC1" w:rsidRDefault="00584EC1">
            <w:pPr>
              <w:rPr>
                <w:rFonts w:ascii="宋体"/>
                <w:vanish/>
              </w:rPr>
            </w:pPr>
          </w:p>
        </w:tc>
        <w:tc>
          <w:tcPr>
            <w:tcW w:w="0" w:type="auto"/>
            <w:shd w:val="clear" w:color="auto" w:fill="auto"/>
            <w:vAlign w:val="bottom"/>
          </w:tcPr>
          <w:p w14:paraId="74DE27B9" w14:textId="77777777" w:rsidR="00584EC1" w:rsidRDefault="00584EC1">
            <w:pPr>
              <w:rPr>
                <w:rFonts w:ascii="宋体"/>
                <w:vanish/>
              </w:rPr>
            </w:pPr>
          </w:p>
        </w:tc>
        <w:tc>
          <w:tcPr>
            <w:tcW w:w="0" w:type="auto"/>
            <w:shd w:val="clear" w:color="auto" w:fill="auto"/>
            <w:vAlign w:val="bottom"/>
          </w:tcPr>
          <w:p w14:paraId="74DE27BA" w14:textId="77777777" w:rsidR="00584EC1" w:rsidRDefault="00584EC1">
            <w:pPr>
              <w:rPr>
                <w:rFonts w:ascii="宋体"/>
                <w:vanish/>
              </w:rPr>
            </w:pPr>
          </w:p>
        </w:tc>
        <w:tc>
          <w:tcPr>
            <w:tcW w:w="0" w:type="auto"/>
            <w:shd w:val="clear" w:color="auto" w:fill="auto"/>
            <w:vAlign w:val="bottom"/>
          </w:tcPr>
          <w:p w14:paraId="74DE27BB" w14:textId="77777777" w:rsidR="00584EC1" w:rsidRDefault="00584EC1">
            <w:pPr>
              <w:rPr>
                <w:rFonts w:ascii="宋体"/>
                <w:vanish/>
              </w:rPr>
            </w:pPr>
          </w:p>
        </w:tc>
      </w:tr>
      <w:tr w:rsidR="00584EC1" w14:paraId="74DE27C2" w14:textId="77777777">
        <w:trPr>
          <w:jc w:val="center"/>
          <w:hidden/>
        </w:trPr>
        <w:tc>
          <w:tcPr>
            <w:tcW w:w="0" w:type="auto"/>
            <w:gridSpan w:val="3"/>
            <w:shd w:val="clear" w:color="auto" w:fill="auto"/>
            <w:vAlign w:val="bottom"/>
          </w:tcPr>
          <w:p w14:paraId="74DE27BD" w14:textId="77777777" w:rsidR="00584EC1" w:rsidRDefault="00584EC1">
            <w:pPr>
              <w:rPr>
                <w:rFonts w:ascii="宋体"/>
                <w:vanish/>
              </w:rPr>
            </w:pPr>
          </w:p>
        </w:tc>
        <w:tc>
          <w:tcPr>
            <w:tcW w:w="0" w:type="auto"/>
            <w:gridSpan w:val="3"/>
            <w:shd w:val="clear" w:color="auto" w:fill="auto"/>
            <w:vAlign w:val="bottom"/>
          </w:tcPr>
          <w:p w14:paraId="74DE27BE" w14:textId="77777777" w:rsidR="00584EC1" w:rsidRDefault="00584EC1">
            <w:pPr>
              <w:rPr>
                <w:rFonts w:ascii="宋体"/>
                <w:vanish/>
              </w:rPr>
            </w:pPr>
          </w:p>
        </w:tc>
        <w:tc>
          <w:tcPr>
            <w:tcW w:w="0" w:type="auto"/>
            <w:shd w:val="clear" w:color="auto" w:fill="auto"/>
            <w:vAlign w:val="bottom"/>
          </w:tcPr>
          <w:p w14:paraId="74DE27BF" w14:textId="77777777" w:rsidR="00584EC1" w:rsidRDefault="00584EC1">
            <w:pPr>
              <w:rPr>
                <w:rFonts w:ascii="宋体"/>
                <w:vanish/>
              </w:rPr>
            </w:pPr>
          </w:p>
        </w:tc>
        <w:tc>
          <w:tcPr>
            <w:tcW w:w="0" w:type="auto"/>
            <w:shd w:val="clear" w:color="auto" w:fill="auto"/>
            <w:vAlign w:val="bottom"/>
          </w:tcPr>
          <w:p w14:paraId="74DE27C0" w14:textId="77777777" w:rsidR="00584EC1" w:rsidRDefault="00584EC1">
            <w:pPr>
              <w:rPr>
                <w:rFonts w:ascii="宋体"/>
                <w:vanish/>
              </w:rPr>
            </w:pPr>
          </w:p>
        </w:tc>
        <w:tc>
          <w:tcPr>
            <w:tcW w:w="0" w:type="auto"/>
            <w:shd w:val="clear" w:color="auto" w:fill="auto"/>
            <w:vAlign w:val="bottom"/>
          </w:tcPr>
          <w:p w14:paraId="74DE27C1" w14:textId="77777777" w:rsidR="00584EC1" w:rsidRDefault="00584EC1">
            <w:pPr>
              <w:rPr>
                <w:rFonts w:ascii="宋体"/>
                <w:vanish/>
              </w:rPr>
            </w:pPr>
          </w:p>
        </w:tc>
      </w:tr>
      <w:tr w:rsidR="00584EC1" w14:paraId="74DE27C8" w14:textId="77777777">
        <w:trPr>
          <w:jc w:val="center"/>
          <w:hidden/>
        </w:trPr>
        <w:tc>
          <w:tcPr>
            <w:tcW w:w="0" w:type="auto"/>
            <w:gridSpan w:val="3"/>
            <w:shd w:val="clear" w:color="auto" w:fill="auto"/>
            <w:vAlign w:val="bottom"/>
          </w:tcPr>
          <w:p w14:paraId="74DE27C3" w14:textId="77777777" w:rsidR="00584EC1" w:rsidRDefault="00584EC1">
            <w:pPr>
              <w:rPr>
                <w:rFonts w:ascii="宋体"/>
                <w:vanish/>
              </w:rPr>
            </w:pPr>
          </w:p>
        </w:tc>
        <w:tc>
          <w:tcPr>
            <w:tcW w:w="0" w:type="auto"/>
            <w:gridSpan w:val="3"/>
            <w:shd w:val="clear" w:color="auto" w:fill="auto"/>
            <w:vAlign w:val="bottom"/>
          </w:tcPr>
          <w:p w14:paraId="74DE27C4" w14:textId="77777777" w:rsidR="00584EC1" w:rsidRDefault="00584EC1">
            <w:pPr>
              <w:rPr>
                <w:rFonts w:ascii="宋体"/>
                <w:vanish/>
              </w:rPr>
            </w:pPr>
          </w:p>
        </w:tc>
        <w:tc>
          <w:tcPr>
            <w:tcW w:w="0" w:type="auto"/>
            <w:shd w:val="clear" w:color="auto" w:fill="auto"/>
            <w:vAlign w:val="bottom"/>
          </w:tcPr>
          <w:p w14:paraId="74DE27C5" w14:textId="77777777" w:rsidR="00584EC1" w:rsidRDefault="00584EC1">
            <w:pPr>
              <w:rPr>
                <w:rFonts w:ascii="宋体"/>
                <w:vanish/>
              </w:rPr>
            </w:pPr>
          </w:p>
        </w:tc>
        <w:tc>
          <w:tcPr>
            <w:tcW w:w="0" w:type="auto"/>
            <w:shd w:val="clear" w:color="auto" w:fill="auto"/>
            <w:vAlign w:val="bottom"/>
          </w:tcPr>
          <w:p w14:paraId="74DE27C6" w14:textId="77777777" w:rsidR="00584EC1" w:rsidRDefault="00584EC1">
            <w:pPr>
              <w:rPr>
                <w:rFonts w:ascii="宋体"/>
                <w:vanish/>
              </w:rPr>
            </w:pPr>
          </w:p>
        </w:tc>
        <w:tc>
          <w:tcPr>
            <w:tcW w:w="0" w:type="auto"/>
            <w:shd w:val="clear" w:color="auto" w:fill="auto"/>
            <w:vAlign w:val="bottom"/>
          </w:tcPr>
          <w:p w14:paraId="74DE27C7" w14:textId="77777777" w:rsidR="00584EC1" w:rsidRDefault="00584EC1">
            <w:pPr>
              <w:rPr>
                <w:rFonts w:ascii="宋体"/>
                <w:vanish/>
              </w:rPr>
            </w:pPr>
          </w:p>
        </w:tc>
      </w:tr>
      <w:tr w:rsidR="00584EC1" w14:paraId="74DE27CE" w14:textId="77777777">
        <w:trPr>
          <w:jc w:val="center"/>
          <w:hidden/>
        </w:trPr>
        <w:tc>
          <w:tcPr>
            <w:tcW w:w="0" w:type="auto"/>
            <w:gridSpan w:val="3"/>
            <w:shd w:val="clear" w:color="auto" w:fill="auto"/>
            <w:vAlign w:val="bottom"/>
          </w:tcPr>
          <w:p w14:paraId="74DE27C9" w14:textId="77777777" w:rsidR="00584EC1" w:rsidRDefault="00584EC1">
            <w:pPr>
              <w:rPr>
                <w:rFonts w:ascii="宋体"/>
                <w:vanish/>
              </w:rPr>
            </w:pPr>
          </w:p>
        </w:tc>
        <w:tc>
          <w:tcPr>
            <w:tcW w:w="0" w:type="auto"/>
            <w:gridSpan w:val="3"/>
            <w:shd w:val="clear" w:color="auto" w:fill="auto"/>
            <w:vAlign w:val="bottom"/>
          </w:tcPr>
          <w:p w14:paraId="74DE27CA" w14:textId="77777777" w:rsidR="00584EC1" w:rsidRDefault="00584EC1">
            <w:pPr>
              <w:rPr>
                <w:rFonts w:ascii="宋体"/>
                <w:vanish/>
              </w:rPr>
            </w:pPr>
          </w:p>
        </w:tc>
        <w:tc>
          <w:tcPr>
            <w:tcW w:w="0" w:type="auto"/>
            <w:shd w:val="clear" w:color="auto" w:fill="auto"/>
            <w:vAlign w:val="bottom"/>
          </w:tcPr>
          <w:p w14:paraId="74DE27CB" w14:textId="77777777" w:rsidR="00584EC1" w:rsidRDefault="00584EC1">
            <w:pPr>
              <w:rPr>
                <w:rFonts w:ascii="宋体"/>
                <w:vanish/>
              </w:rPr>
            </w:pPr>
          </w:p>
        </w:tc>
        <w:tc>
          <w:tcPr>
            <w:tcW w:w="0" w:type="auto"/>
            <w:shd w:val="clear" w:color="auto" w:fill="auto"/>
            <w:vAlign w:val="bottom"/>
          </w:tcPr>
          <w:p w14:paraId="74DE27CC" w14:textId="77777777" w:rsidR="00584EC1" w:rsidRDefault="00584EC1">
            <w:pPr>
              <w:rPr>
                <w:rFonts w:ascii="宋体"/>
                <w:vanish/>
              </w:rPr>
            </w:pPr>
          </w:p>
        </w:tc>
        <w:tc>
          <w:tcPr>
            <w:tcW w:w="0" w:type="auto"/>
            <w:shd w:val="clear" w:color="auto" w:fill="auto"/>
            <w:vAlign w:val="bottom"/>
          </w:tcPr>
          <w:p w14:paraId="74DE27CD" w14:textId="77777777" w:rsidR="00584EC1" w:rsidRDefault="00584EC1">
            <w:pPr>
              <w:rPr>
                <w:rFonts w:ascii="宋体"/>
                <w:vanish/>
              </w:rPr>
            </w:pPr>
          </w:p>
        </w:tc>
      </w:tr>
      <w:tr w:rsidR="00584EC1" w14:paraId="74DE27D4" w14:textId="77777777">
        <w:trPr>
          <w:jc w:val="center"/>
          <w:hidden/>
        </w:trPr>
        <w:tc>
          <w:tcPr>
            <w:tcW w:w="0" w:type="auto"/>
            <w:gridSpan w:val="3"/>
            <w:shd w:val="clear" w:color="auto" w:fill="auto"/>
            <w:vAlign w:val="bottom"/>
          </w:tcPr>
          <w:p w14:paraId="74DE27CF" w14:textId="77777777" w:rsidR="00584EC1" w:rsidRDefault="00584EC1">
            <w:pPr>
              <w:rPr>
                <w:rFonts w:ascii="宋体"/>
                <w:vanish/>
              </w:rPr>
            </w:pPr>
          </w:p>
        </w:tc>
        <w:tc>
          <w:tcPr>
            <w:tcW w:w="0" w:type="auto"/>
            <w:gridSpan w:val="3"/>
            <w:shd w:val="clear" w:color="auto" w:fill="auto"/>
            <w:vAlign w:val="bottom"/>
          </w:tcPr>
          <w:p w14:paraId="74DE27D0" w14:textId="77777777" w:rsidR="00584EC1" w:rsidRDefault="00584EC1">
            <w:pPr>
              <w:rPr>
                <w:rFonts w:ascii="宋体"/>
                <w:vanish/>
              </w:rPr>
            </w:pPr>
          </w:p>
        </w:tc>
        <w:tc>
          <w:tcPr>
            <w:tcW w:w="0" w:type="auto"/>
            <w:shd w:val="clear" w:color="auto" w:fill="auto"/>
            <w:vAlign w:val="bottom"/>
          </w:tcPr>
          <w:p w14:paraId="74DE27D1" w14:textId="77777777" w:rsidR="00584EC1" w:rsidRDefault="00584EC1">
            <w:pPr>
              <w:rPr>
                <w:rFonts w:ascii="宋体"/>
                <w:vanish/>
              </w:rPr>
            </w:pPr>
          </w:p>
        </w:tc>
        <w:tc>
          <w:tcPr>
            <w:tcW w:w="0" w:type="auto"/>
            <w:shd w:val="clear" w:color="auto" w:fill="auto"/>
            <w:vAlign w:val="bottom"/>
          </w:tcPr>
          <w:p w14:paraId="74DE27D2" w14:textId="77777777" w:rsidR="00584EC1" w:rsidRDefault="00584EC1">
            <w:pPr>
              <w:rPr>
                <w:rFonts w:ascii="宋体"/>
                <w:vanish/>
              </w:rPr>
            </w:pPr>
          </w:p>
        </w:tc>
        <w:tc>
          <w:tcPr>
            <w:tcW w:w="0" w:type="auto"/>
            <w:shd w:val="clear" w:color="auto" w:fill="auto"/>
            <w:vAlign w:val="bottom"/>
          </w:tcPr>
          <w:p w14:paraId="74DE27D3" w14:textId="77777777" w:rsidR="00584EC1" w:rsidRDefault="00584EC1">
            <w:pPr>
              <w:rPr>
                <w:rFonts w:ascii="宋体"/>
                <w:vanish/>
              </w:rPr>
            </w:pPr>
          </w:p>
        </w:tc>
      </w:tr>
      <w:tr w:rsidR="00584EC1" w14:paraId="74DE27DA" w14:textId="77777777">
        <w:trPr>
          <w:jc w:val="center"/>
          <w:hidden/>
        </w:trPr>
        <w:tc>
          <w:tcPr>
            <w:tcW w:w="0" w:type="auto"/>
            <w:gridSpan w:val="3"/>
            <w:shd w:val="clear" w:color="auto" w:fill="auto"/>
            <w:vAlign w:val="bottom"/>
          </w:tcPr>
          <w:p w14:paraId="74DE27D5" w14:textId="77777777" w:rsidR="00584EC1" w:rsidRDefault="00584EC1">
            <w:pPr>
              <w:rPr>
                <w:rFonts w:ascii="宋体"/>
                <w:vanish/>
              </w:rPr>
            </w:pPr>
          </w:p>
        </w:tc>
        <w:tc>
          <w:tcPr>
            <w:tcW w:w="0" w:type="auto"/>
            <w:gridSpan w:val="3"/>
            <w:shd w:val="clear" w:color="auto" w:fill="auto"/>
            <w:vAlign w:val="bottom"/>
          </w:tcPr>
          <w:p w14:paraId="74DE27D6" w14:textId="77777777" w:rsidR="00584EC1" w:rsidRDefault="00584EC1">
            <w:pPr>
              <w:rPr>
                <w:rFonts w:ascii="宋体"/>
                <w:vanish/>
              </w:rPr>
            </w:pPr>
          </w:p>
        </w:tc>
        <w:tc>
          <w:tcPr>
            <w:tcW w:w="0" w:type="auto"/>
            <w:shd w:val="clear" w:color="auto" w:fill="auto"/>
            <w:vAlign w:val="bottom"/>
          </w:tcPr>
          <w:p w14:paraId="74DE27D7" w14:textId="77777777" w:rsidR="00584EC1" w:rsidRDefault="00584EC1">
            <w:pPr>
              <w:rPr>
                <w:rFonts w:ascii="宋体"/>
                <w:vanish/>
              </w:rPr>
            </w:pPr>
          </w:p>
        </w:tc>
        <w:tc>
          <w:tcPr>
            <w:tcW w:w="0" w:type="auto"/>
            <w:shd w:val="clear" w:color="auto" w:fill="auto"/>
            <w:vAlign w:val="bottom"/>
          </w:tcPr>
          <w:p w14:paraId="74DE27D8" w14:textId="77777777" w:rsidR="00584EC1" w:rsidRDefault="00584EC1">
            <w:pPr>
              <w:rPr>
                <w:rFonts w:ascii="宋体"/>
                <w:vanish/>
              </w:rPr>
            </w:pPr>
          </w:p>
        </w:tc>
        <w:tc>
          <w:tcPr>
            <w:tcW w:w="0" w:type="auto"/>
            <w:shd w:val="clear" w:color="auto" w:fill="auto"/>
            <w:vAlign w:val="bottom"/>
          </w:tcPr>
          <w:p w14:paraId="74DE27D9" w14:textId="77777777" w:rsidR="00584EC1" w:rsidRDefault="00584EC1">
            <w:pPr>
              <w:rPr>
                <w:rFonts w:ascii="宋体"/>
                <w:vanish/>
              </w:rPr>
            </w:pPr>
          </w:p>
        </w:tc>
      </w:tr>
      <w:tr w:rsidR="00584EC1" w14:paraId="74DE27E0" w14:textId="77777777">
        <w:trPr>
          <w:jc w:val="center"/>
          <w:hidden/>
        </w:trPr>
        <w:tc>
          <w:tcPr>
            <w:tcW w:w="0" w:type="auto"/>
            <w:gridSpan w:val="3"/>
            <w:shd w:val="clear" w:color="auto" w:fill="auto"/>
            <w:vAlign w:val="bottom"/>
          </w:tcPr>
          <w:p w14:paraId="74DE27DB" w14:textId="77777777" w:rsidR="00584EC1" w:rsidRDefault="00584EC1">
            <w:pPr>
              <w:rPr>
                <w:rFonts w:ascii="宋体"/>
                <w:vanish/>
              </w:rPr>
            </w:pPr>
          </w:p>
        </w:tc>
        <w:tc>
          <w:tcPr>
            <w:tcW w:w="0" w:type="auto"/>
            <w:gridSpan w:val="3"/>
            <w:shd w:val="clear" w:color="auto" w:fill="auto"/>
            <w:vAlign w:val="bottom"/>
          </w:tcPr>
          <w:p w14:paraId="74DE27DC" w14:textId="77777777" w:rsidR="00584EC1" w:rsidRDefault="00584EC1">
            <w:pPr>
              <w:rPr>
                <w:rFonts w:ascii="宋体"/>
                <w:vanish/>
              </w:rPr>
            </w:pPr>
          </w:p>
        </w:tc>
        <w:tc>
          <w:tcPr>
            <w:tcW w:w="0" w:type="auto"/>
            <w:shd w:val="clear" w:color="auto" w:fill="auto"/>
            <w:vAlign w:val="bottom"/>
          </w:tcPr>
          <w:p w14:paraId="74DE27DD" w14:textId="77777777" w:rsidR="00584EC1" w:rsidRDefault="00584EC1">
            <w:pPr>
              <w:rPr>
                <w:rFonts w:ascii="宋体"/>
                <w:vanish/>
              </w:rPr>
            </w:pPr>
          </w:p>
        </w:tc>
        <w:tc>
          <w:tcPr>
            <w:tcW w:w="0" w:type="auto"/>
            <w:shd w:val="clear" w:color="auto" w:fill="auto"/>
            <w:vAlign w:val="bottom"/>
          </w:tcPr>
          <w:p w14:paraId="74DE27DE" w14:textId="77777777" w:rsidR="00584EC1" w:rsidRDefault="00584EC1">
            <w:pPr>
              <w:rPr>
                <w:rFonts w:ascii="宋体"/>
                <w:vanish/>
              </w:rPr>
            </w:pPr>
          </w:p>
        </w:tc>
        <w:tc>
          <w:tcPr>
            <w:tcW w:w="0" w:type="auto"/>
            <w:shd w:val="clear" w:color="auto" w:fill="auto"/>
            <w:vAlign w:val="bottom"/>
          </w:tcPr>
          <w:p w14:paraId="74DE27DF" w14:textId="77777777" w:rsidR="00584EC1" w:rsidRDefault="00584EC1">
            <w:pPr>
              <w:rPr>
                <w:rFonts w:ascii="宋体"/>
                <w:vanish/>
              </w:rPr>
            </w:pPr>
          </w:p>
        </w:tc>
      </w:tr>
      <w:tr w:rsidR="00584EC1" w14:paraId="74DE27E6" w14:textId="77777777">
        <w:trPr>
          <w:jc w:val="center"/>
          <w:hidden/>
        </w:trPr>
        <w:tc>
          <w:tcPr>
            <w:tcW w:w="0" w:type="auto"/>
            <w:gridSpan w:val="3"/>
            <w:shd w:val="clear" w:color="auto" w:fill="auto"/>
            <w:vAlign w:val="bottom"/>
          </w:tcPr>
          <w:p w14:paraId="74DE27E1" w14:textId="77777777" w:rsidR="00584EC1" w:rsidRDefault="00584EC1">
            <w:pPr>
              <w:rPr>
                <w:rFonts w:ascii="宋体"/>
                <w:vanish/>
              </w:rPr>
            </w:pPr>
          </w:p>
        </w:tc>
        <w:tc>
          <w:tcPr>
            <w:tcW w:w="0" w:type="auto"/>
            <w:gridSpan w:val="3"/>
            <w:shd w:val="clear" w:color="auto" w:fill="auto"/>
            <w:vAlign w:val="bottom"/>
          </w:tcPr>
          <w:p w14:paraId="74DE27E2" w14:textId="77777777" w:rsidR="00584EC1" w:rsidRDefault="00584EC1">
            <w:pPr>
              <w:rPr>
                <w:rFonts w:ascii="宋体"/>
                <w:vanish/>
              </w:rPr>
            </w:pPr>
          </w:p>
        </w:tc>
        <w:tc>
          <w:tcPr>
            <w:tcW w:w="0" w:type="auto"/>
            <w:shd w:val="clear" w:color="auto" w:fill="auto"/>
            <w:vAlign w:val="bottom"/>
          </w:tcPr>
          <w:p w14:paraId="74DE27E3" w14:textId="77777777" w:rsidR="00584EC1" w:rsidRDefault="00584EC1">
            <w:pPr>
              <w:rPr>
                <w:rFonts w:ascii="宋体"/>
                <w:vanish/>
              </w:rPr>
            </w:pPr>
          </w:p>
        </w:tc>
        <w:tc>
          <w:tcPr>
            <w:tcW w:w="0" w:type="auto"/>
            <w:shd w:val="clear" w:color="auto" w:fill="auto"/>
            <w:vAlign w:val="bottom"/>
          </w:tcPr>
          <w:p w14:paraId="74DE27E4" w14:textId="77777777" w:rsidR="00584EC1" w:rsidRDefault="00584EC1">
            <w:pPr>
              <w:rPr>
                <w:rFonts w:ascii="宋体"/>
                <w:vanish/>
              </w:rPr>
            </w:pPr>
          </w:p>
        </w:tc>
        <w:tc>
          <w:tcPr>
            <w:tcW w:w="0" w:type="auto"/>
            <w:shd w:val="clear" w:color="auto" w:fill="auto"/>
            <w:vAlign w:val="bottom"/>
          </w:tcPr>
          <w:p w14:paraId="74DE27E5" w14:textId="77777777" w:rsidR="00584EC1" w:rsidRDefault="00584EC1">
            <w:pPr>
              <w:rPr>
                <w:rFonts w:ascii="宋体"/>
                <w:vanish/>
              </w:rPr>
            </w:pPr>
          </w:p>
        </w:tc>
      </w:tr>
      <w:tr w:rsidR="00584EC1" w14:paraId="74DE27EC" w14:textId="77777777">
        <w:trPr>
          <w:jc w:val="center"/>
          <w:hidden/>
        </w:trPr>
        <w:tc>
          <w:tcPr>
            <w:tcW w:w="0" w:type="auto"/>
            <w:gridSpan w:val="3"/>
            <w:shd w:val="clear" w:color="auto" w:fill="auto"/>
            <w:vAlign w:val="bottom"/>
          </w:tcPr>
          <w:p w14:paraId="74DE27E7" w14:textId="77777777" w:rsidR="00584EC1" w:rsidRDefault="00584EC1">
            <w:pPr>
              <w:rPr>
                <w:rFonts w:ascii="宋体"/>
                <w:vanish/>
              </w:rPr>
            </w:pPr>
          </w:p>
        </w:tc>
        <w:tc>
          <w:tcPr>
            <w:tcW w:w="0" w:type="auto"/>
            <w:gridSpan w:val="3"/>
            <w:shd w:val="clear" w:color="auto" w:fill="auto"/>
            <w:vAlign w:val="bottom"/>
          </w:tcPr>
          <w:p w14:paraId="74DE27E8" w14:textId="77777777" w:rsidR="00584EC1" w:rsidRDefault="00584EC1">
            <w:pPr>
              <w:rPr>
                <w:rFonts w:ascii="宋体"/>
                <w:vanish/>
              </w:rPr>
            </w:pPr>
          </w:p>
        </w:tc>
        <w:tc>
          <w:tcPr>
            <w:tcW w:w="0" w:type="auto"/>
            <w:shd w:val="clear" w:color="auto" w:fill="auto"/>
            <w:vAlign w:val="bottom"/>
          </w:tcPr>
          <w:p w14:paraId="74DE27E9" w14:textId="77777777" w:rsidR="00584EC1" w:rsidRDefault="00584EC1">
            <w:pPr>
              <w:rPr>
                <w:rFonts w:ascii="宋体"/>
                <w:vanish/>
              </w:rPr>
            </w:pPr>
          </w:p>
        </w:tc>
        <w:tc>
          <w:tcPr>
            <w:tcW w:w="0" w:type="auto"/>
            <w:shd w:val="clear" w:color="auto" w:fill="auto"/>
            <w:vAlign w:val="bottom"/>
          </w:tcPr>
          <w:p w14:paraId="74DE27EA" w14:textId="77777777" w:rsidR="00584EC1" w:rsidRDefault="00584EC1">
            <w:pPr>
              <w:rPr>
                <w:rFonts w:ascii="宋体"/>
                <w:vanish/>
              </w:rPr>
            </w:pPr>
          </w:p>
        </w:tc>
        <w:tc>
          <w:tcPr>
            <w:tcW w:w="0" w:type="auto"/>
            <w:shd w:val="clear" w:color="auto" w:fill="auto"/>
            <w:vAlign w:val="bottom"/>
          </w:tcPr>
          <w:p w14:paraId="74DE27EB" w14:textId="77777777" w:rsidR="00584EC1" w:rsidRDefault="00584EC1">
            <w:pPr>
              <w:rPr>
                <w:rFonts w:ascii="宋体"/>
                <w:vanish/>
              </w:rPr>
            </w:pPr>
          </w:p>
        </w:tc>
      </w:tr>
      <w:tr w:rsidR="00584EC1" w14:paraId="74DE27F2" w14:textId="77777777">
        <w:trPr>
          <w:jc w:val="center"/>
          <w:hidden/>
        </w:trPr>
        <w:tc>
          <w:tcPr>
            <w:tcW w:w="0" w:type="auto"/>
            <w:gridSpan w:val="3"/>
            <w:shd w:val="clear" w:color="auto" w:fill="auto"/>
            <w:vAlign w:val="bottom"/>
          </w:tcPr>
          <w:p w14:paraId="74DE27ED" w14:textId="77777777" w:rsidR="00584EC1" w:rsidRDefault="00584EC1">
            <w:pPr>
              <w:rPr>
                <w:rFonts w:ascii="宋体"/>
                <w:vanish/>
              </w:rPr>
            </w:pPr>
          </w:p>
        </w:tc>
        <w:tc>
          <w:tcPr>
            <w:tcW w:w="0" w:type="auto"/>
            <w:gridSpan w:val="3"/>
            <w:shd w:val="clear" w:color="auto" w:fill="auto"/>
            <w:vAlign w:val="bottom"/>
          </w:tcPr>
          <w:p w14:paraId="74DE27EE" w14:textId="77777777" w:rsidR="00584EC1" w:rsidRDefault="00584EC1">
            <w:pPr>
              <w:rPr>
                <w:rFonts w:ascii="宋体"/>
                <w:vanish/>
              </w:rPr>
            </w:pPr>
          </w:p>
        </w:tc>
        <w:tc>
          <w:tcPr>
            <w:tcW w:w="0" w:type="auto"/>
            <w:shd w:val="clear" w:color="auto" w:fill="auto"/>
            <w:vAlign w:val="bottom"/>
          </w:tcPr>
          <w:p w14:paraId="74DE27EF" w14:textId="77777777" w:rsidR="00584EC1" w:rsidRDefault="00584EC1">
            <w:pPr>
              <w:rPr>
                <w:rFonts w:ascii="宋体"/>
                <w:vanish/>
              </w:rPr>
            </w:pPr>
          </w:p>
        </w:tc>
        <w:tc>
          <w:tcPr>
            <w:tcW w:w="0" w:type="auto"/>
            <w:shd w:val="clear" w:color="auto" w:fill="auto"/>
            <w:vAlign w:val="bottom"/>
          </w:tcPr>
          <w:p w14:paraId="74DE27F0" w14:textId="77777777" w:rsidR="00584EC1" w:rsidRDefault="00584EC1">
            <w:pPr>
              <w:rPr>
                <w:rFonts w:ascii="宋体"/>
                <w:vanish/>
              </w:rPr>
            </w:pPr>
          </w:p>
        </w:tc>
        <w:tc>
          <w:tcPr>
            <w:tcW w:w="0" w:type="auto"/>
            <w:shd w:val="clear" w:color="auto" w:fill="auto"/>
            <w:vAlign w:val="bottom"/>
          </w:tcPr>
          <w:p w14:paraId="74DE27F1" w14:textId="77777777" w:rsidR="00584EC1" w:rsidRDefault="00584EC1">
            <w:pPr>
              <w:rPr>
                <w:rFonts w:ascii="宋体"/>
                <w:vanish/>
              </w:rPr>
            </w:pPr>
          </w:p>
        </w:tc>
      </w:tr>
      <w:tr w:rsidR="00584EC1" w14:paraId="74DE27F8" w14:textId="77777777">
        <w:trPr>
          <w:jc w:val="center"/>
          <w:hidden/>
        </w:trPr>
        <w:tc>
          <w:tcPr>
            <w:tcW w:w="0" w:type="auto"/>
            <w:gridSpan w:val="3"/>
            <w:shd w:val="clear" w:color="auto" w:fill="auto"/>
            <w:vAlign w:val="bottom"/>
          </w:tcPr>
          <w:p w14:paraId="74DE27F3" w14:textId="77777777" w:rsidR="00584EC1" w:rsidRDefault="00584EC1">
            <w:pPr>
              <w:rPr>
                <w:rFonts w:ascii="宋体"/>
                <w:vanish/>
              </w:rPr>
            </w:pPr>
          </w:p>
        </w:tc>
        <w:tc>
          <w:tcPr>
            <w:tcW w:w="0" w:type="auto"/>
            <w:gridSpan w:val="3"/>
            <w:shd w:val="clear" w:color="auto" w:fill="auto"/>
            <w:vAlign w:val="bottom"/>
          </w:tcPr>
          <w:p w14:paraId="74DE27F4" w14:textId="77777777" w:rsidR="00584EC1" w:rsidRDefault="00584EC1">
            <w:pPr>
              <w:rPr>
                <w:rFonts w:ascii="宋体"/>
                <w:vanish/>
              </w:rPr>
            </w:pPr>
          </w:p>
        </w:tc>
        <w:tc>
          <w:tcPr>
            <w:tcW w:w="0" w:type="auto"/>
            <w:shd w:val="clear" w:color="auto" w:fill="auto"/>
            <w:vAlign w:val="bottom"/>
          </w:tcPr>
          <w:p w14:paraId="74DE27F5" w14:textId="77777777" w:rsidR="00584EC1" w:rsidRDefault="00584EC1">
            <w:pPr>
              <w:rPr>
                <w:rFonts w:ascii="宋体"/>
                <w:vanish/>
              </w:rPr>
            </w:pPr>
          </w:p>
        </w:tc>
        <w:tc>
          <w:tcPr>
            <w:tcW w:w="0" w:type="auto"/>
            <w:shd w:val="clear" w:color="auto" w:fill="auto"/>
            <w:vAlign w:val="bottom"/>
          </w:tcPr>
          <w:p w14:paraId="74DE27F6" w14:textId="77777777" w:rsidR="00584EC1" w:rsidRDefault="00584EC1">
            <w:pPr>
              <w:rPr>
                <w:rFonts w:ascii="宋体"/>
                <w:vanish/>
              </w:rPr>
            </w:pPr>
          </w:p>
        </w:tc>
        <w:tc>
          <w:tcPr>
            <w:tcW w:w="0" w:type="auto"/>
            <w:shd w:val="clear" w:color="auto" w:fill="auto"/>
            <w:vAlign w:val="bottom"/>
          </w:tcPr>
          <w:p w14:paraId="74DE27F7" w14:textId="77777777" w:rsidR="00584EC1" w:rsidRDefault="00584EC1">
            <w:pPr>
              <w:rPr>
                <w:rFonts w:ascii="宋体"/>
                <w:vanish/>
              </w:rPr>
            </w:pPr>
          </w:p>
        </w:tc>
      </w:tr>
      <w:tr w:rsidR="00584EC1" w14:paraId="74DE27FE" w14:textId="77777777">
        <w:trPr>
          <w:jc w:val="center"/>
          <w:hidden/>
        </w:trPr>
        <w:tc>
          <w:tcPr>
            <w:tcW w:w="0" w:type="auto"/>
            <w:gridSpan w:val="3"/>
            <w:shd w:val="clear" w:color="auto" w:fill="auto"/>
            <w:vAlign w:val="bottom"/>
          </w:tcPr>
          <w:p w14:paraId="74DE27F9" w14:textId="77777777" w:rsidR="00584EC1" w:rsidRDefault="00584EC1">
            <w:pPr>
              <w:rPr>
                <w:rFonts w:ascii="宋体"/>
                <w:vanish/>
              </w:rPr>
            </w:pPr>
          </w:p>
        </w:tc>
        <w:tc>
          <w:tcPr>
            <w:tcW w:w="0" w:type="auto"/>
            <w:gridSpan w:val="3"/>
            <w:shd w:val="clear" w:color="auto" w:fill="auto"/>
            <w:vAlign w:val="bottom"/>
          </w:tcPr>
          <w:p w14:paraId="74DE27FA" w14:textId="77777777" w:rsidR="00584EC1" w:rsidRDefault="00584EC1">
            <w:pPr>
              <w:rPr>
                <w:rFonts w:ascii="宋体"/>
                <w:vanish/>
              </w:rPr>
            </w:pPr>
          </w:p>
        </w:tc>
        <w:tc>
          <w:tcPr>
            <w:tcW w:w="0" w:type="auto"/>
            <w:shd w:val="clear" w:color="auto" w:fill="auto"/>
            <w:vAlign w:val="bottom"/>
          </w:tcPr>
          <w:p w14:paraId="74DE27FB" w14:textId="77777777" w:rsidR="00584EC1" w:rsidRDefault="00584EC1">
            <w:pPr>
              <w:rPr>
                <w:rFonts w:ascii="宋体"/>
                <w:vanish/>
              </w:rPr>
            </w:pPr>
          </w:p>
        </w:tc>
        <w:tc>
          <w:tcPr>
            <w:tcW w:w="0" w:type="auto"/>
            <w:shd w:val="clear" w:color="auto" w:fill="auto"/>
            <w:vAlign w:val="bottom"/>
          </w:tcPr>
          <w:p w14:paraId="74DE27FC" w14:textId="77777777" w:rsidR="00584EC1" w:rsidRDefault="00584EC1">
            <w:pPr>
              <w:rPr>
                <w:rFonts w:ascii="宋体"/>
                <w:vanish/>
              </w:rPr>
            </w:pPr>
          </w:p>
        </w:tc>
        <w:tc>
          <w:tcPr>
            <w:tcW w:w="0" w:type="auto"/>
            <w:shd w:val="clear" w:color="auto" w:fill="auto"/>
            <w:vAlign w:val="bottom"/>
          </w:tcPr>
          <w:p w14:paraId="74DE27FD" w14:textId="77777777" w:rsidR="00584EC1" w:rsidRDefault="00584EC1">
            <w:pPr>
              <w:rPr>
                <w:rFonts w:ascii="宋体"/>
                <w:vanish/>
              </w:rPr>
            </w:pPr>
          </w:p>
        </w:tc>
      </w:tr>
      <w:tr w:rsidR="00584EC1" w14:paraId="74DE2804" w14:textId="77777777">
        <w:trPr>
          <w:jc w:val="center"/>
          <w:hidden/>
        </w:trPr>
        <w:tc>
          <w:tcPr>
            <w:tcW w:w="0" w:type="auto"/>
            <w:gridSpan w:val="3"/>
            <w:shd w:val="clear" w:color="auto" w:fill="auto"/>
            <w:vAlign w:val="bottom"/>
          </w:tcPr>
          <w:p w14:paraId="74DE27FF" w14:textId="77777777" w:rsidR="00584EC1" w:rsidRDefault="00584EC1">
            <w:pPr>
              <w:rPr>
                <w:rFonts w:ascii="宋体"/>
                <w:vanish/>
              </w:rPr>
            </w:pPr>
          </w:p>
        </w:tc>
        <w:tc>
          <w:tcPr>
            <w:tcW w:w="0" w:type="auto"/>
            <w:gridSpan w:val="3"/>
            <w:shd w:val="clear" w:color="auto" w:fill="auto"/>
            <w:vAlign w:val="bottom"/>
          </w:tcPr>
          <w:p w14:paraId="74DE2800" w14:textId="77777777" w:rsidR="00584EC1" w:rsidRDefault="00584EC1">
            <w:pPr>
              <w:rPr>
                <w:rFonts w:ascii="宋体"/>
                <w:vanish/>
              </w:rPr>
            </w:pPr>
          </w:p>
        </w:tc>
        <w:tc>
          <w:tcPr>
            <w:tcW w:w="0" w:type="auto"/>
            <w:shd w:val="clear" w:color="auto" w:fill="auto"/>
            <w:vAlign w:val="bottom"/>
          </w:tcPr>
          <w:p w14:paraId="74DE2801" w14:textId="77777777" w:rsidR="00584EC1" w:rsidRDefault="00584EC1">
            <w:pPr>
              <w:rPr>
                <w:rFonts w:ascii="宋体"/>
                <w:vanish/>
              </w:rPr>
            </w:pPr>
          </w:p>
        </w:tc>
        <w:tc>
          <w:tcPr>
            <w:tcW w:w="0" w:type="auto"/>
            <w:shd w:val="clear" w:color="auto" w:fill="auto"/>
            <w:vAlign w:val="bottom"/>
          </w:tcPr>
          <w:p w14:paraId="74DE2802" w14:textId="77777777" w:rsidR="00584EC1" w:rsidRDefault="00584EC1">
            <w:pPr>
              <w:rPr>
                <w:rFonts w:ascii="宋体"/>
                <w:vanish/>
              </w:rPr>
            </w:pPr>
          </w:p>
        </w:tc>
        <w:tc>
          <w:tcPr>
            <w:tcW w:w="0" w:type="auto"/>
            <w:shd w:val="clear" w:color="auto" w:fill="auto"/>
            <w:vAlign w:val="bottom"/>
          </w:tcPr>
          <w:p w14:paraId="74DE2803" w14:textId="77777777" w:rsidR="00584EC1" w:rsidRDefault="00584EC1">
            <w:pPr>
              <w:rPr>
                <w:rFonts w:ascii="宋体"/>
                <w:vanish/>
              </w:rPr>
            </w:pPr>
          </w:p>
        </w:tc>
      </w:tr>
      <w:tr w:rsidR="00584EC1" w14:paraId="74DE280A" w14:textId="77777777">
        <w:trPr>
          <w:jc w:val="center"/>
          <w:hidden/>
        </w:trPr>
        <w:tc>
          <w:tcPr>
            <w:tcW w:w="0" w:type="auto"/>
            <w:gridSpan w:val="3"/>
            <w:shd w:val="clear" w:color="auto" w:fill="auto"/>
            <w:vAlign w:val="bottom"/>
          </w:tcPr>
          <w:p w14:paraId="74DE2805" w14:textId="77777777" w:rsidR="00584EC1" w:rsidRDefault="00584EC1">
            <w:pPr>
              <w:rPr>
                <w:rFonts w:ascii="宋体"/>
                <w:vanish/>
              </w:rPr>
            </w:pPr>
          </w:p>
        </w:tc>
        <w:tc>
          <w:tcPr>
            <w:tcW w:w="0" w:type="auto"/>
            <w:gridSpan w:val="3"/>
            <w:shd w:val="clear" w:color="auto" w:fill="auto"/>
            <w:vAlign w:val="bottom"/>
          </w:tcPr>
          <w:p w14:paraId="74DE2806" w14:textId="77777777" w:rsidR="00584EC1" w:rsidRDefault="00584EC1">
            <w:pPr>
              <w:rPr>
                <w:rFonts w:ascii="宋体"/>
                <w:vanish/>
              </w:rPr>
            </w:pPr>
          </w:p>
        </w:tc>
        <w:tc>
          <w:tcPr>
            <w:tcW w:w="0" w:type="auto"/>
            <w:shd w:val="clear" w:color="auto" w:fill="auto"/>
            <w:vAlign w:val="bottom"/>
          </w:tcPr>
          <w:p w14:paraId="74DE2807" w14:textId="77777777" w:rsidR="00584EC1" w:rsidRDefault="00584EC1">
            <w:pPr>
              <w:rPr>
                <w:rFonts w:ascii="宋体"/>
                <w:vanish/>
              </w:rPr>
            </w:pPr>
          </w:p>
        </w:tc>
        <w:tc>
          <w:tcPr>
            <w:tcW w:w="0" w:type="auto"/>
            <w:shd w:val="clear" w:color="auto" w:fill="auto"/>
            <w:vAlign w:val="bottom"/>
          </w:tcPr>
          <w:p w14:paraId="74DE2808" w14:textId="77777777" w:rsidR="00584EC1" w:rsidRDefault="00584EC1">
            <w:pPr>
              <w:rPr>
                <w:rFonts w:ascii="宋体"/>
                <w:vanish/>
              </w:rPr>
            </w:pPr>
          </w:p>
        </w:tc>
        <w:tc>
          <w:tcPr>
            <w:tcW w:w="0" w:type="auto"/>
            <w:shd w:val="clear" w:color="auto" w:fill="auto"/>
            <w:vAlign w:val="bottom"/>
          </w:tcPr>
          <w:p w14:paraId="74DE2809" w14:textId="77777777" w:rsidR="00584EC1" w:rsidRDefault="00584EC1">
            <w:pPr>
              <w:rPr>
                <w:rFonts w:ascii="宋体"/>
                <w:vanish/>
              </w:rPr>
            </w:pPr>
          </w:p>
        </w:tc>
      </w:tr>
      <w:tr w:rsidR="00584EC1" w14:paraId="74DE2810" w14:textId="77777777">
        <w:trPr>
          <w:jc w:val="center"/>
          <w:hidden/>
        </w:trPr>
        <w:tc>
          <w:tcPr>
            <w:tcW w:w="0" w:type="auto"/>
            <w:gridSpan w:val="3"/>
            <w:shd w:val="clear" w:color="auto" w:fill="auto"/>
            <w:vAlign w:val="bottom"/>
          </w:tcPr>
          <w:p w14:paraId="74DE280B" w14:textId="77777777" w:rsidR="00584EC1" w:rsidRDefault="00584EC1">
            <w:pPr>
              <w:rPr>
                <w:rFonts w:ascii="宋体"/>
                <w:vanish/>
              </w:rPr>
            </w:pPr>
          </w:p>
        </w:tc>
        <w:tc>
          <w:tcPr>
            <w:tcW w:w="0" w:type="auto"/>
            <w:gridSpan w:val="3"/>
            <w:shd w:val="clear" w:color="auto" w:fill="auto"/>
            <w:vAlign w:val="bottom"/>
          </w:tcPr>
          <w:p w14:paraId="74DE280C" w14:textId="77777777" w:rsidR="00584EC1" w:rsidRDefault="00584EC1">
            <w:pPr>
              <w:rPr>
                <w:rFonts w:ascii="宋体"/>
                <w:vanish/>
              </w:rPr>
            </w:pPr>
          </w:p>
        </w:tc>
        <w:tc>
          <w:tcPr>
            <w:tcW w:w="0" w:type="auto"/>
            <w:shd w:val="clear" w:color="auto" w:fill="auto"/>
            <w:vAlign w:val="bottom"/>
          </w:tcPr>
          <w:p w14:paraId="74DE280D" w14:textId="77777777" w:rsidR="00584EC1" w:rsidRDefault="00584EC1">
            <w:pPr>
              <w:rPr>
                <w:rFonts w:ascii="宋体"/>
                <w:vanish/>
              </w:rPr>
            </w:pPr>
          </w:p>
        </w:tc>
        <w:tc>
          <w:tcPr>
            <w:tcW w:w="0" w:type="auto"/>
            <w:shd w:val="clear" w:color="auto" w:fill="auto"/>
            <w:vAlign w:val="bottom"/>
          </w:tcPr>
          <w:p w14:paraId="74DE280E" w14:textId="77777777" w:rsidR="00584EC1" w:rsidRDefault="00584EC1">
            <w:pPr>
              <w:rPr>
                <w:rFonts w:ascii="宋体"/>
                <w:vanish/>
              </w:rPr>
            </w:pPr>
          </w:p>
        </w:tc>
        <w:tc>
          <w:tcPr>
            <w:tcW w:w="0" w:type="auto"/>
            <w:shd w:val="clear" w:color="auto" w:fill="auto"/>
            <w:vAlign w:val="bottom"/>
          </w:tcPr>
          <w:p w14:paraId="74DE280F" w14:textId="77777777" w:rsidR="00584EC1" w:rsidRDefault="00584EC1">
            <w:pPr>
              <w:rPr>
                <w:rFonts w:ascii="宋体"/>
                <w:vanish/>
              </w:rPr>
            </w:pPr>
          </w:p>
        </w:tc>
      </w:tr>
      <w:tr w:rsidR="00584EC1" w14:paraId="74DE2816" w14:textId="77777777">
        <w:trPr>
          <w:jc w:val="center"/>
          <w:hidden/>
        </w:trPr>
        <w:tc>
          <w:tcPr>
            <w:tcW w:w="0" w:type="auto"/>
            <w:gridSpan w:val="3"/>
            <w:shd w:val="clear" w:color="auto" w:fill="auto"/>
            <w:vAlign w:val="bottom"/>
          </w:tcPr>
          <w:p w14:paraId="74DE2811" w14:textId="77777777" w:rsidR="00584EC1" w:rsidRDefault="00584EC1">
            <w:pPr>
              <w:rPr>
                <w:rFonts w:ascii="宋体"/>
                <w:vanish/>
              </w:rPr>
            </w:pPr>
          </w:p>
        </w:tc>
        <w:tc>
          <w:tcPr>
            <w:tcW w:w="0" w:type="auto"/>
            <w:gridSpan w:val="3"/>
            <w:shd w:val="clear" w:color="auto" w:fill="auto"/>
            <w:vAlign w:val="bottom"/>
          </w:tcPr>
          <w:p w14:paraId="74DE2812" w14:textId="77777777" w:rsidR="00584EC1" w:rsidRDefault="00584EC1">
            <w:pPr>
              <w:rPr>
                <w:rFonts w:ascii="宋体"/>
                <w:vanish/>
              </w:rPr>
            </w:pPr>
          </w:p>
        </w:tc>
        <w:tc>
          <w:tcPr>
            <w:tcW w:w="0" w:type="auto"/>
            <w:shd w:val="clear" w:color="auto" w:fill="auto"/>
            <w:vAlign w:val="bottom"/>
          </w:tcPr>
          <w:p w14:paraId="74DE2813" w14:textId="77777777" w:rsidR="00584EC1" w:rsidRDefault="00584EC1">
            <w:pPr>
              <w:rPr>
                <w:rFonts w:ascii="宋体"/>
                <w:vanish/>
              </w:rPr>
            </w:pPr>
          </w:p>
        </w:tc>
        <w:tc>
          <w:tcPr>
            <w:tcW w:w="0" w:type="auto"/>
            <w:shd w:val="clear" w:color="auto" w:fill="auto"/>
            <w:vAlign w:val="bottom"/>
          </w:tcPr>
          <w:p w14:paraId="74DE2814" w14:textId="77777777" w:rsidR="00584EC1" w:rsidRDefault="00584EC1">
            <w:pPr>
              <w:rPr>
                <w:rFonts w:ascii="宋体"/>
                <w:vanish/>
              </w:rPr>
            </w:pPr>
          </w:p>
        </w:tc>
        <w:tc>
          <w:tcPr>
            <w:tcW w:w="0" w:type="auto"/>
            <w:shd w:val="clear" w:color="auto" w:fill="auto"/>
            <w:vAlign w:val="bottom"/>
          </w:tcPr>
          <w:p w14:paraId="74DE2815" w14:textId="77777777" w:rsidR="00584EC1" w:rsidRDefault="00584EC1">
            <w:pPr>
              <w:rPr>
                <w:rFonts w:ascii="宋体"/>
                <w:vanish/>
              </w:rPr>
            </w:pPr>
          </w:p>
        </w:tc>
      </w:tr>
      <w:tr w:rsidR="00584EC1" w14:paraId="74DE281D" w14:textId="77777777">
        <w:trPr>
          <w:jc w:val="center"/>
        </w:trPr>
        <w:tc>
          <w:tcPr>
            <w:tcW w:w="0" w:type="auto"/>
            <w:gridSpan w:val="3"/>
            <w:tcBorders>
              <w:top w:val="single" w:sz="8" w:space="0" w:color="000000"/>
            </w:tcBorders>
            <w:shd w:val="clear" w:color="auto" w:fill="auto"/>
            <w:tcMar>
              <w:top w:w="40" w:type="dxa"/>
              <w:left w:w="20" w:type="dxa"/>
              <w:bottom w:w="40" w:type="dxa"/>
              <w:right w:w="20" w:type="dxa"/>
            </w:tcMar>
          </w:tcPr>
          <w:p w14:paraId="74DE2817" w14:textId="77777777" w:rsidR="00584EC1" w:rsidRDefault="00871F8D">
            <w:pPr>
              <w:textAlignment w:val="top"/>
            </w:pPr>
            <w:r>
              <w:rPr>
                <w:rFonts w:ascii="Arial" w:eastAsia="宋体" w:hAnsi="Arial" w:cs="Arial"/>
                <w:b/>
                <w:bCs/>
                <w:color w:val="000000"/>
                <w:sz w:val="16"/>
                <w:szCs w:val="16"/>
              </w:rPr>
              <w:t>Asset-backed securities:</w:t>
            </w:r>
            <w:r>
              <w:rPr>
                <w:rFonts w:ascii="Arial" w:eastAsia="宋体" w:hAnsi="Arial" w:cs="Arial"/>
                <w:color w:val="000000"/>
                <w:sz w:val="16"/>
                <w:szCs w:val="16"/>
              </w:rPr>
              <w:t xml:space="preserve"> A financial security backed by collateralized assets, other than real estate or mortgage backed securities.</w:t>
            </w:r>
            <w:r>
              <w:rPr>
                <w:rFonts w:ascii="Arial" w:eastAsia="宋体" w:hAnsi="Arial" w:cs="Arial"/>
                <w:color w:val="000000"/>
                <w:sz w:val="16"/>
                <w:szCs w:val="16"/>
              </w:rPr>
              <w:br/>
            </w:r>
            <w:r>
              <w:rPr>
                <w:rFonts w:ascii="Arial" w:eastAsia="宋体" w:hAnsi="Arial" w:cs="Arial"/>
                <w:b/>
                <w:bCs/>
                <w:color w:val="000000"/>
                <w:sz w:val="16"/>
                <w:szCs w:val="16"/>
              </w:rPr>
              <w:br/>
              <w:t xml:space="preserve">Assets under custody and/or administration: </w:t>
            </w:r>
            <w:r>
              <w:rPr>
                <w:rFonts w:ascii="Arial" w:eastAsia="宋体" w:hAnsi="Arial" w:cs="Arial"/>
                <w:color w:val="000000"/>
                <w:sz w:val="16"/>
                <w:szCs w:val="16"/>
              </w:rPr>
              <w:t>Assets that we hold directly or indirectly on behalf of clients under a safekeeping or custody arrange</w:t>
            </w:r>
            <w:r>
              <w:rPr>
                <w:rFonts w:ascii="Arial" w:eastAsia="宋体" w:hAnsi="Arial" w:cs="Arial"/>
                <w:color w:val="000000"/>
                <w:sz w:val="16"/>
                <w:szCs w:val="16"/>
              </w:rPr>
              <w:t>ment or for which we provide administrative services for clients. To the extent that we provide more than one AUC/A service (including back and middle office services) for a client’s assets, the value of the asset is only counted once in the total amount o</w:t>
            </w:r>
            <w:r>
              <w:rPr>
                <w:rFonts w:ascii="Arial" w:eastAsia="宋体" w:hAnsi="Arial" w:cs="Arial"/>
                <w:color w:val="000000"/>
                <w:sz w:val="16"/>
                <w:szCs w:val="16"/>
              </w:rPr>
              <w:t xml:space="preserve">f AUC/A. </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Assets under management:</w:t>
            </w:r>
            <w:r>
              <w:rPr>
                <w:rFonts w:ascii="Arial" w:eastAsia="宋体" w:hAnsi="Arial" w:cs="Arial"/>
                <w:color w:val="000000"/>
                <w:sz w:val="16"/>
                <w:szCs w:val="16"/>
              </w:rPr>
              <w:t xml:space="preserve"> The total market value of client assets for which we provide investment management strategy services, advisory services and/or distribution services generating management fees based on a percentage of the assets’ market </w:t>
            </w:r>
            <w:r>
              <w:rPr>
                <w:rFonts w:ascii="Arial" w:eastAsia="宋体" w:hAnsi="Arial" w:cs="Arial"/>
                <w:color w:val="000000"/>
                <w:sz w:val="16"/>
                <w:szCs w:val="16"/>
              </w:rPr>
              <w:t xml:space="preserve">values. These client assets are not included on our balance sheet. Assets under management include managed assets lost but not liquidated. Lost business occurs from time to time and it is difficult to predict the timing of client behavior in transitioning </w:t>
            </w:r>
            <w:r>
              <w:rPr>
                <w:rFonts w:ascii="Arial" w:eastAsia="宋体" w:hAnsi="Arial" w:cs="Arial"/>
                <w:color w:val="000000"/>
                <w:sz w:val="16"/>
                <w:szCs w:val="16"/>
              </w:rPr>
              <w:t>these assets as the timing can vary significantly.</w:t>
            </w:r>
          </w:p>
          <w:p w14:paraId="74DE2818" w14:textId="77777777" w:rsidR="00584EC1" w:rsidRDefault="00871F8D">
            <w:pPr>
              <w:spacing w:after="240"/>
              <w:textAlignment w:val="top"/>
            </w:pPr>
            <w:r>
              <w:rPr>
                <w:rFonts w:ascii="Arial" w:eastAsia="宋体" w:hAnsi="Arial" w:cs="Arial"/>
                <w:color w:val="000000"/>
                <w:sz w:val="16"/>
                <w:szCs w:val="16"/>
              </w:rPr>
              <w:br/>
            </w:r>
            <w:r>
              <w:rPr>
                <w:rFonts w:ascii="Arial" w:eastAsia="宋体" w:hAnsi="Arial" w:cs="Arial"/>
                <w:b/>
                <w:bCs/>
                <w:color w:val="000000"/>
                <w:sz w:val="16"/>
                <w:szCs w:val="16"/>
              </w:rPr>
              <w:t>Beacon:</w:t>
            </w:r>
            <w:r>
              <w:rPr>
                <w:rFonts w:ascii="Arial" w:eastAsia="宋体" w:hAnsi="Arial" w:cs="Arial"/>
                <w:color w:val="000000"/>
                <w:sz w:val="16"/>
                <w:szCs w:val="16"/>
              </w:rPr>
              <w:t xml:space="preserve"> A multi-year program, announced in October 2015, to create cost efficiencies through changes in our operational processes and to further digitize our processes and interfaces with our clients.</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Ce</w:t>
            </w:r>
            <w:r>
              <w:rPr>
                <w:rFonts w:ascii="Arial" w:eastAsia="宋体" w:hAnsi="Arial" w:cs="Arial"/>
                <w:b/>
                <w:bCs/>
                <w:color w:val="000000"/>
                <w:sz w:val="16"/>
                <w:szCs w:val="16"/>
              </w:rPr>
              <w:t>rtificates of deposit:</w:t>
            </w:r>
            <w:r>
              <w:rPr>
                <w:rFonts w:ascii="Arial" w:eastAsia="宋体" w:hAnsi="Arial" w:cs="Arial"/>
                <w:color w:val="000000"/>
                <w:sz w:val="16"/>
                <w:szCs w:val="16"/>
              </w:rPr>
              <w:t xml:space="preserve"> A savings certificate with a fixed maturity date, specified fixed interest rate and can be issued in any denomination aside from minimum investment requirements. A CD restricts access to the funds until the maturity date of the inves</w:t>
            </w:r>
            <w:r>
              <w:rPr>
                <w:rFonts w:ascii="Arial" w:eastAsia="宋体" w:hAnsi="Arial" w:cs="Arial"/>
                <w:color w:val="000000"/>
                <w:sz w:val="16"/>
                <w:szCs w:val="16"/>
              </w:rPr>
              <w:t>tment.</w:t>
            </w:r>
            <w:r>
              <w:rPr>
                <w:rFonts w:ascii="Arial" w:eastAsia="宋体" w:hAnsi="Arial" w:cs="Arial"/>
                <w:color w:val="000000"/>
                <w:sz w:val="16"/>
                <w:szCs w:val="16"/>
              </w:rPr>
              <w:br/>
            </w:r>
            <w:r>
              <w:rPr>
                <w:rFonts w:ascii="Arial" w:eastAsia="宋体" w:hAnsi="Arial" w:cs="Arial"/>
                <w:color w:val="000000"/>
                <w:sz w:val="16"/>
                <w:szCs w:val="16"/>
                <w:shd w:val="clear" w:color="auto" w:fill="FFFF00"/>
              </w:rPr>
              <w:br/>
            </w:r>
            <w:r>
              <w:rPr>
                <w:rFonts w:ascii="Arial" w:eastAsia="宋体" w:hAnsi="Arial" w:cs="Arial"/>
                <w:b/>
                <w:bCs/>
                <w:color w:val="000000"/>
                <w:sz w:val="16"/>
                <w:szCs w:val="16"/>
              </w:rPr>
              <w:t>Collateralized loan obligations:</w:t>
            </w:r>
            <w:r>
              <w:rPr>
                <w:rFonts w:ascii="Arial" w:eastAsia="宋体" w:hAnsi="Arial" w:cs="Arial"/>
                <w:color w:val="000000"/>
                <w:sz w:val="16"/>
                <w:szCs w:val="16"/>
              </w:rPr>
              <w:t xml:space="preserve"> A loan or security backed by a pool of debt, primarily senior secured leveraged loans. CLOs are similar to collateralized mortgage obligations, except for the different type of underlying loan. With a CLO, the inves</w:t>
            </w:r>
            <w:r>
              <w:rPr>
                <w:rFonts w:ascii="Arial" w:eastAsia="宋体" w:hAnsi="Arial" w:cs="Arial"/>
                <w:color w:val="000000"/>
                <w:sz w:val="16"/>
                <w:szCs w:val="16"/>
              </w:rPr>
              <w:t>tor receives scheduled loan or debt payments from the underlying loans, assuming most of the risk in the event borrowers default, but is offered greater diversity and the potential for higher-than-average returns.</w:t>
            </w:r>
            <w:r>
              <w:rPr>
                <w:rFonts w:ascii="Arial" w:eastAsia="宋体" w:hAnsi="Arial" w:cs="Arial"/>
                <w:color w:val="000000"/>
                <w:sz w:val="16"/>
                <w:szCs w:val="16"/>
              </w:rPr>
              <w:br/>
            </w:r>
            <w:r>
              <w:rPr>
                <w:rFonts w:ascii="Arial" w:eastAsia="宋体" w:hAnsi="Arial" w:cs="Arial"/>
                <w:b/>
                <w:bCs/>
                <w:color w:val="000000"/>
                <w:sz w:val="16"/>
                <w:szCs w:val="16"/>
              </w:rPr>
              <w:br/>
              <w:t>Commercial real estate:</w:t>
            </w:r>
            <w:r>
              <w:rPr>
                <w:rFonts w:ascii="Arial" w:eastAsia="宋体" w:hAnsi="Arial" w:cs="Arial"/>
                <w:color w:val="000000"/>
                <w:sz w:val="16"/>
                <w:szCs w:val="16"/>
              </w:rPr>
              <w:t xml:space="preserve"> Property intended</w:t>
            </w:r>
            <w:r>
              <w:rPr>
                <w:rFonts w:ascii="Arial" w:eastAsia="宋体" w:hAnsi="Arial" w:cs="Arial"/>
                <w:color w:val="000000"/>
                <w:sz w:val="16"/>
                <w:szCs w:val="16"/>
              </w:rPr>
              <w:t xml:space="preserve"> to generate profit from capital gains or rental income. CRE loans are term loans secured by commercial and multifamily properties. We seek CRE loans with strong competitive positions in major domestic markets, stable cash flows, modest leverage and experi</w:t>
            </w:r>
            <w:r>
              <w:rPr>
                <w:rFonts w:ascii="Arial" w:eastAsia="宋体" w:hAnsi="Arial" w:cs="Arial"/>
                <w:color w:val="000000"/>
                <w:sz w:val="16"/>
                <w:szCs w:val="16"/>
              </w:rPr>
              <w:t>enced institutional ownership.</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Deposit beta:</w:t>
            </w:r>
            <w:r>
              <w:rPr>
                <w:rFonts w:ascii="Arial" w:eastAsia="宋体" w:hAnsi="Arial" w:cs="Arial"/>
                <w:color w:val="000000"/>
                <w:sz w:val="16"/>
                <w:szCs w:val="16"/>
              </w:rPr>
              <w:t xml:space="preserve"> A measure of how much of an interest rate increase is expected to be passed on to client interest-bearing accounts, on average.</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Depot bank:</w:t>
            </w:r>
            <w:r>
              <w:rPr>
                <w:rFonts w:ascii="Arial" w:eastAsia="宋体" w:hAnsi="Arial" w:cs="Arial"/>
                <w:color w:val="000000"/>
                <w:sz w:val="16"/>
                <w:szCs w:val="16"/>
              </w:rPr>
              <w:t xml:space="preserve"> A German term, specified by the country's law on investment companies</w:t>
            </w:r>
            <w:r>
              <w:rPr>
                <w:rFonts w:ascii="Arial" w:eastAsia="宋体" w:hAnsi="Arial" w:cs="Arial"/>
                <w:color w:val="000000"/>
                <w:sz w:val="16"/>
                <w:szCs w:val="16"/>
              </w:rPr>
              <w:t xml:space="preserve">, which essentially corresponds to 'custodian'. </w:t>
            </w:r>
            <w:r>
              <w:rPr>
                <w:rFonts w:ascii="Arial" w:eastAsia="宋体" w:hAnsi="Arial" w:cs="Arial"/>
                <w:color w:val="000000"/>
                <w:sz w:val="16"/>
                <w:szCs w:val="16"/>
              </w:rPr>
              <w:br/>
            </w:r>
            <w:r>
              <w:rPr>
                <w:rFonts w:ascii="Arial" w:eastAsia="宋体" w:hAnsi="Arial" w:cs="Arial"/>
                <w:b/>
                <w:bCs/>
                <w:color w:val="000000"/>
                <w:sz w:val="16"/>
                <w:szCs w:val="16"/>
              </w:rPr>
              <w:br/>
              <w:t>Doubtful:</w:t>
            </w:r>
            <w:r>
              <w:rPr>
                <w:rFonts w:ascii="Arial" w:eastAsia="宋体" w:hAnsi="Arial" w:cs="Arial"/>
                <w:color w:val="000000"/>
                <w:sz w:val="16"/>
                <w:szCs w:val="16"/>
              </w:rPr>
              <w:t xml:space="preserve"> Doubtful loans and leases meet the same definition of substandard loans and leases (i.e., well-defined weaknesses that jeopardize repayment with the possibility that we will sustain some loss) wit</w:t>
            </w:r>
            <w:r>
              <w:rPr>
                <w:rFonts w:ascii="Arial" w:eastAsia="宋体" w:hAnsi="Arial" w:cs="Arial"/>
                <w:color w:val="000000"/>
                <w:sz w:val="16"/>
                <w:szCs w:val="16"/>
              </w:rPr>
              <w:t>h the added characteristic that the weaknesses make collection or liquidation in full highly questionable and improbable.</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Economic value of equity:</w:t>
            </w:r>
            <w:r>
              <w:rPr>
                <w:rFonts w:ascii="Arial" w:eastAsia="宋体" w:hAnsi="Arial" w:cs="Arial"/>
                <w:color w:val="000000"/>
                <w:sz w:val="16"/>
                <w:szCs w:val="16"/>
              </w:rPr>
              <w:t xml:space="preserve"> A measure designed to estimate the fair value of assets, liabilities and off-balance sheet instruments base</w:t>
            </w:r>
            <w:r>
              <w:rPr>
                <w:rFonts w:ascii="Arial" w:eastAsia="宋体" w:hAnsi="Arial" w:cs="Arial"/>
                <w:color w:val="000000"/>
                <w:sz w:val="16"/>
                <w:szCs w:val="16"/>
              </w:rPr>
              <w:t>d on a discounted cash flow model.</w:t>
            </w:r>
            <w:r>
              <w:rPr>
                <w:rFonts w:ascii="Arial" w:eastAsia="宋体" w:hAnsi="Arial" w:cs="Arial"/>
                <w:color w:val="000000"/>
                <w:sz w:val="16"/>
                <w:szCs w:val="16"/>
              </w:rPr>
              <w:br/>
            </w:r>
            <w:r>
              <w:rPr>
                <w:rFonts w:ascii="Arial" w:eastAsia="宋体" w:hAnsi="Arial" w:cs="Arial"/>
                <w:b/>
                <w:bCs/>
                <w:color w:val="000000"/>
                <w:sz w:val="16"/>
                <w:szCs w:val="16"/>
              </w:rPr>
              <w:br/>
              <w:t xml:space="preserve">Exchange-Traded Fund: </w:t>
            </w:r>
            <w:r>
              <w:rPr>
                <w:rFonts w:ascii="Arial" w:eastAsia="宋体" w:hAnsi="Arial" w:cs="Arial"/>
                <w:color w:val="000000"/>
                <w:sz w:val="16"/>
                <w:szCs w:val="16"/>
              </w:rPr>
              <w:t xml:space="preserve">A type of exchange-traded investment product that offer investors a way to pool their money in a fund that makes investments in stocks, bonds, or other assets and, in return, to receive an interest </w:t>
            </w:r>
            <w:r>
              <w:rPr>
                <w:rFonts w:ascii="Arial" w:eastAsia="宋体" w:hAnsi="Arial" w:cs="Arial"/>
                <w:color w:val="000000"/>
                <w:sz w:val="16"/>
                <w:szCs w:val="16"/>
              </w:rPr>
              <w:t>in that investment pool. ETF shares are traded on a national stock exchange and at market prices that may or may not be the same as the net asset value.</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Exposure-at-default:</w:t>
            </w:r>
            <w:r>
              <w:rPr>
                <w:rFonts w:ascii="Arial" w:eastAsia="宋体" w:hAnsi="Arial" w:cs="Arial"/>
                <w:color w:val="000000"/>
                <w:sz w:val="16"/>
                <w:szCs w:val="16"/>
              </w:rPr>
              <w:t xml:space="preserve"> A measure used in the calculation of regulatory capital under Basel III final rul</w:t>
            </w:r>
            <w:r>
              <w:rPr>
                <w:rFonts w:ascii="Arial" w:eastAsia="宋体" w:hAnsi="Arial" w:cs="Arial"/>
                <w:color w:val="000000"/>
                <w:sz w:val="16"/>
                <w:szCs w:val="16"/>
              </w:rPr>
              <w:t>e. It can be defined as the expected amount of loss a bank may be exposed to upon default of an obligor.</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 xml:space="preserve">Global systemically important bank: </w:t>
            </w:r>
            <w:r>
              <w:rPr>
                <w:rFonts w:ascii="Arial" w:eastAsia="宋体" w:hAnsi="Arial" w:cs="Arial"/>
                <w:color w:val="000000"/>
                <w:sz w:val="16"/>
                <w:szCs w:val="16"/>
              </w:rPr>
              <w:t>A financial institution whose distress or disorderly failure, because of its size, complexity and systemic interco</w:t>
            </w:r>
            <w:r>
              <w:rPr>
                <w:rFonts w:ascii="Arial" w:eastAsia="宋体" w:hAnsi="Arial" w:cs="Arial"/>
                <w:color w:val="000000"/>
                <w:sz w:val="16"/>
                <w:szCs w:val="16"/>
              </w:rPr>
              <w:t>nnectedness, would cause significant disruption to the wider financial system and economic activity, which will be subject to additional capital requirements.</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Held-to-maturity investment securities:</w:t>
            </w:r>
            <w:r>
              <w:rPr>
                <w:rFonts w:ascii="Arial" w:eastAsia="宋体" w:hAnsi="Arial" w:cs="Arial"/>
                <w:color w:val="000000"/>
                <w:sz w:val="16"/>
                <w:szCs w:val="16"/>
              </w:rPr>
              <w:t xml:space="preserve"> We classify investments in debt securities as held-to-ma</w:t>
            </w:r>
            <w:r>
              <w:rPr>
                <w:rFonts w:ascii="Arial" w:eastAsia="宋体" w:hAnsi="Arial" w:cs="Arial"/>
                <w:color w:val="000000"/>
                <w:sz w:val="16"/>
                <w:szCs w:val="16"/>
              </w:rPr>
              <w:t>turity only if we have the positive intent and ability to hold those securities to maturity. Investments in debt securities classified as held-to-maturity are measured subsequently at amortized cost in the statement of financial position.</w:t>
            </w:r>
          </w:p>
        </w:tc>
        <w:tc>
          <w:tcPr>
            <w:tcW w:w="0" w:type="auto"/>
            <w:gridSpan w:val="3"/>
            <w:tcBorders>
              <w:top w:val="single" w:sz="8" w:space="0" w:color="000000"/>
            </w:tcBorders>
            <w:shd w:val="clear" w:color="auto" w:fill="auto"/>
            <w:tcMar>
              <w:top w:w="40" w:type="dxa"/>
              <w:left w:w="20" w:type="dxa"/>
              <w:bottom w:w="40" w:type="dxa"/>
              <w:right w:w="20" w:type="dxa"/>
            </w:tcMar>
          </w:tcPr>
          <w:p w14:paraId="74DE2819" w14:textId="77777777" w:rsidR="00584EC1" w:rsidRDefault="00871F8D">
            <w:pPr>
              <w:spacing w:after="240"/>
              <w:textAlignment w:val="top"/>
            </w:pPr>
            <w:r>
              <w:rPr>
                <w:rFonts w:ascii="Arial" w:eastAsia="宋体" w:hAnsi="Arial" w:cs="Arial"/>
                <w:b/>
                <w:bCs/>
                <w:color w:val="000000"/>
                <w:sz w:val="16"/>
                <w:szCs w:val="16"/>
              </w:rPr>
              <w:t>High-quality liqu</w:t>
            </w:r>
            <w:r>
              <w:rPr>
                <w:rFonts w:ascii="Arial" w:eastAsia="宋体" w:hAnsi="Arial" w:cs="Arial"/>
                <w:b/>
                <w:bCs/>
                <w:color w:val="000000"/>
                <w:sz w:val="16"/>
                <w:szCs w:val="16"/>
              </w:rPr>
              <w:t>id assets:</w:t>
            </w:r>
            <w:r>
              <w:rPr>
                <w:rFonts w:ascii="Arial" w:eastAsia="宋体" w:hAnsi="Arial" w:cs="Arial"/>
                <w:color w:val="000000"/>
                <w:sz w:val="16"/>
                <w:szCs w:val="16"/>
              </w:rPr>
              <w:t xml:space="preserve"> Cash or assets that can be converted into cash at little or no loss of value in private markets and are considered unencumbered.</w:t>
            </w:r>
            <w:r>
              <w:rPr>
                <w:rFonts w:ascii="Arial" w:eastAsia="宋体" w:hAnsi="Arial" w:cs="Arial"/>
                <w:color w:val="000000"/>
                <w:sz w:val="16"/>
                <w:szCs w:val="16"/>
              </w:rPr>
              <w:br/>
            </w:r>
            <w:r>
              <w:rPr>
                <w:rFonts w:ascii="Arial" w:eastAsia="宋体" w:hAnsi="Arial" w:cs="Arial"/>
                <w:b/>
                <w:bCs/>
                <w:color w:val="000000"/>
                <w:sz w:val="16"/>
                <w:szCs w:val="16"/>
              </w:rPr>
              <w:br/>
              <w:t xml:space="preserve">Investment grade: </w:t>
            </w:r>
            <w:r>
              <w:rPr>
                <w:rFonts w:ascii="Arial" w:eastAsia="宋体" w:hAnsi="Arial" w:cs="Arial"/>
                <w:color w:val="000000"/>
                <w:sz w:val="16"/>
                <w:szCs w:val="16"/>
              </w:rPr>
              <w:t>A rating of loans and leases to counterparties with strong credit quality and low expected credit</w:t>
            </w:r>
            <w:r>
              <w:rPr>
                <w:rFonts w:ascii="Arial" w:eastAsia="宋体" w:hAnsi="Arial" w:cs="Arial"/>
                <w:color w:val="000000"/>
                <w:sz w:val="16"/>
                <w:szCs w:val="16"/>
              </w:rPr>
              <w:t xml:space="preserve"> risk and probability of default. It applies to counterparties with a strong capacity to support the timely repayment of any financial commitment.</w:t>
            </w:r>
            <w:r>
              <w:rPr>
                <w:rFonts w:ascii="Arial" w:eastAsia="宋体" w:hAnsi="Arial" w:cs="Arial"/>
                <w:color w:val="000000"/>
                <w:sz w:val="16"/>
                <w:szCs w:val="16"/>
              </w:rPr>
              <w:br/>
            </w:r>
            <w:r>
              <w:rPr>
                <w:rFonts w:ascii="Arial" w:eastAsia="宋体" w:hAnsi="Arial" w:cs="Arial"/>
                <w:b/>
                <w:bCs/>
                <w:color w:val="000000"/>
                <w:sz w:val="16"/>
                <w:szCs w:val="16"/>
              </w:rPr>
              <w:br/>
              <w:t>Liquidity coverage ratio:</w:t>
            </w:r>
            <w:r>
              <w:rPr>
                <w:rFonts w:ascii="Arial" w:eastAsia="宋体" w:hAnsi="Arial" w:cs="Arial"/>
                <w:color w:val="000000"/>
                <w:sz w:val="16"/>
                <w:szCs w:val="16"/>
              </w:rPr>
              <w:t xml:space="preserve"> The ratio of encumbered high-quality liquid assets divided by expected total net c</w:t>
            </w:r>
            <w:r>
              <w:rPr>
                <w:rFonts w:ascii="Arial" w:eastAsia="宋体" w:hAnsi="Arial" w:cs="Arial"/>
                <w:color w:val="000000"/>
                <w:sz w:val="16"/>
                <w:szCs w:val="16"/>
              </w:rPr>
              <w:t xml:space="preserve">ash outflows over a 30-day stress period. A Basel III framework requirement for banks and bank holding companies to measure liquidity, it is designed to ensure that certain banking institutions, including us, maintain a minimum amount of unencumbered HQLA </w:t>
            </w:r>
            <w:r>
              <w:rPr>
                <w:rFonts w:ascii="Arial" w:eastAsia="宋体" w:hAnsi="Arial" w:cs="Arial"/>
                <w:color w:val="000000"/>
                <w:sz w:val="16"/>
                <w:szCs w:val="16"/>
              </w:rPr>
              <w:t xml:space="preserve">sufficient to withstand the net cash outflow under a hypothetical standardized acute liquidity stress scenario for a 30-day stress period. </w:t>
            </w:r>
            <w:r>
              <w:rPr>
                <w:rFonts w:ascii="Arial" w:eastAsia="宋体" w:hAnsi="Arial" w:cs="Arial"/>
                <w:color w:val="000000"/>
                <w:sz w:val="16"/>
                <w:szCs w:val="16"/>
              </w:rPr>
              <w:br/>
            </w:r>
            <w:r>
              <w:rPr>
                <w:rFonts w:ascii="Arial" w:eastAsia="宋体" w:hAnsi="Arial" w:cs="Arial"/>
                <w:b/>
                <w:bCs/>
                <w:color w:val="000000"/>
                <w:sz w:val="16"/>
                <w:szCs w:val="16"/>
              </w:rPr>
              <w:br/>
              <w:t>Net asset value:</w:t>
            </w:r>
            <w:r>
              <w:rPr>
                <w:rFonts w:ascii="Arial" w:eastAsia="宋体" w:hAnsi="Arial" w:cs="Arial"/>
                <w:color w:val="000000"/>
                <w:sz w:val="16"/>
                <w:szCs w:val="16"/>
              </w:rPr>
              <w:t xml:space="preserve"> The amount of net assets attributable to each share/unit of the fund at a specific date or time. </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Net stable funding ratio:</w:t>
            </w:r>
            <w:r>
              <w:rPr>
                <w:rFonts w:ascii="Arial" w:eastAsia="宋体" w:hAnsi="Arial" w:cs="Arial"/>
                <w:color w:val="000000"/>
                <w:sz w:val="16"/>
                <w:szCs w:val="16"/>
              </w:rPr>
              <w:t xml:space="preserve"> The ratio of the amount of available stable funding relative to the amount of required stable funding. This ratio should be equal to at least 100% on an ongoing basis. </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Other-than-temporary-impairment:</w:t>
            </w:r>
            <w:r>
              <w:rPr>
                <w:rFonts w:ascii="Arial" w:eastAsia="宋体" w:hAnsi="Arial" w:cs="Arial"/>
                <w:color w:val="000000"/>
                <w:sz w:val="16"/>
                <w:szCs w:val="16"/>
              </w:rPr>
              <w:t xml:space="preserve"> Impairment charge taken on</w:t>
            </w:r>
            <w:r>
              <w:rPr>
                <w:rFonts w:ascii="Arial" w:eastAsia="宋体" w:hAnsi="Arial" w:cs="Arial"/>
                <w:color w:val="000000"/>
                <w:sz w:val="16"/>
                <w:szCs w:val="16"/>
              </w:rPr>
              <w:t xml:space="preserve"> a security whose fair value has fallen below its carrying value on balance sheet and its value is not expected to recover through the holding period of the security.</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Probability of default:</w:t>
            </w:r>
            <w:r>
              <w:rPr>
                <w:rFonts w:ascii="Arial" w:eastAsia="宋体" w:hAnsi="Arial" w:cs="Arial"/>
                <w:color w:val="000000"/>
                <w:sz w:val="16"/>
                <w:szCs w:val="16"/>
              </w:rPr>
              <w:t xml:space="preserve"> A measure of the likelihood that a credit obligor will enter int</w:t>
            </w:r>
            <w:r>
              <w:rPr>
                <w:rFonts w:ascii="Arial" w:eastAsia="宋体" w:hAnsi="Arial" w:cs="Arial"/>
                <w:color w:val="000000"/>
                <w:sz w:val="16"/>
                <w:szCs w:val="16"/>
              </w:rPr>
              <w:t>o default status.</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 xml:space="preserve">Qualified financial contracts: </w:t>
            </w:r>
            <w:r>
              <w:rPr>
                <w:rFonts w:ascii="Arial" w:eastAsia="宋体" w:hAnsi="Arial" w:cs="Arial"/>
                <w:color w:val="000000"/>
                <w:sz w:val="16"/>
                <w:szCs w:val="16"/>
              </w:rPr>
              <w:t>Securities contracts, commodity contracts, forward contracts, repurchase agreements, swap agreements and any other contract determined by the FDIC to be a qualified financial contract.</w:t>
            </w:r>
            <w:r>
              <w:rPr>
                <w:rFonts w:ascii="Arial" w:eastAsia="宋体" w:hAnsi="Arial" w:cs="Arial"/>
                <w:color w:val="000000"/>
                <w:sz w:val="16"/>
                <w:szCs w:val="16"/>
              </w:rPr>
              <w:br/>
            </w:r>
            <w:r>
              <w:rPr>
                <w:rFonts w:ascii="Arial" w:eastAsia="宋体" w:hAnsi="Arial" w:cs="Arial"/>
                <w:b/>
                <w:bCs/>
                <w:color w:val="000000"/>
                <w:sz w:val="16"/>
                <w:szCs w:val="16"/>
              </w:rPr>
              <w:br/>
              <w:t>Risk-weighted assets</w:t>
            </w:r>
            <w:r>
              <w:rPr>
                <w:rFonts w:ascii="Arial" w:eastAsia="宋体" w:hAnsi="Arial" w:cs="Arial"/>
                <w:b/>
                <w:bCs/>
                <w:color w:val="000000"/>
                <w:sz w:val="16"/>
                <w:szCs w:val="16"/>
              </w:rPr>
              <w:t>:</w:t>
            </w:r>
            <w:r>
              <w:rPr>
                <w:rFonts w:ascii="Arial" w:eastAsia="宋体" w:hAnsi="Arial" w:cs="Arial"/>
                <w:color w:val="000000"/>
                <w:sz w:val="16"/>
                <w:szCs w:val="16"/>
              </w:rPr>
              <w:t xml:space="preserve"> A measurement used to quantify risk inherent in our on and off-balance sheet assets by adjusting the asset value for risk. RWA is used in the calculation of our risk-based capital ratios. </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Special mention:</w:t>
            </w:r>
            <w:r>
              <w:rPr>
                <w:rFonts w:ascii="Arial" w:eastAsia="宋体" w:hAnsi="Arial" w:cs="Arial"/>
                <w:color w:val="000000"/>
                <w:sz w:val="16"/>
                <w:szCs w:val="16"/>
              </w:rPr>
              <w:t xml:space="preserve"> Loans and leases that consist of counterparties</w:t>
            </w:r>
            <w:r>
              <w:rPr>
                <w:rFonts w:ascii="Arial" w:eastAsia="宋体" w:hAnsi="Arial" w:cs="Arial"/>
                <w:color w:val="000000"/>
                <w:sz w:val="16"/>
                <w:szCs w:val="16"/>
              </w:rPr>
              <w:t xml:space="preserve"> with potential weaknesses that, if uncorrected, may result in deterioration of repayment prospects.</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Speculative:</w:t>
            </w:r>
            <w:r>
              <w:rPr>
                <w:rFonts w:ascii="Arial" w:eastAsia="宋体" w:hAnsi="Arial" w:cs="Arial"/>
                <w:color w:val="000000"/>
                <w:sz w:val="16"/>
                <w:szCs w:val="16"/>
              </w:rPr>
              <w:t xml:space="preserve"> Loans and leases that consist of counterparties that face ongoing uncertainties or exposure to business, financial, or economic downturns. However, these counterparties may have financial flexibility or access to financial alternatives, which allow for fi</w:t>
            </w:r>
            <w:r>
              <w:rPr>
                <w:rFonts w:ascii="Arial" w:eastAsia="宋体" w:hAnsi="Arial" w:cs="Arial"/>
                <w:color w:val="000000"/>
                <w:sz w:val="16"/>
                <w:szCs w:val="16"/>
              </w:rPr>
              <w:t>nancial commitments to be met.</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Substandard:</w:t>
            </w:r>
            <w:r>
              <w:rPr>
                <w:rFonts w:ascii="Arial" w:eastAsia="宋体" w:hAnsi="Arial" w:cs="Arial"/>
                <w:color w:val="000000"/>
                <w:sz w:val="16"/>
                <w:szCs w:val="16"/>
              </w:rPr>
              <w:t xml:space="preserve"> Loans and leases that consist of counterparties with well-defined weakness that jeopardizes repayment with the possibility we will sustain some loss. </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Supplementary leverage ratio:</w:t>
            </w:r>
            <w:r>
              <w:rPr>
                <w:rFonts w:ascii="Arial" w:eastAsia="宋体" w:hAnsi="Arial" w:cs="Arial"/>
                <w:color w:val="000000"/>
                <w:sz w:val="16"/>
                <w:szCs w:val="16"/>
              </w:rPr>
              <w:t xml:space="preserve"> The ratio of our tier 1 capit</w:t>
            </w:r>
            <w:r>
              <w:rPr>
                <w:rFonts w:ascii="Arial" w:eastAsia="宋体" w:hAnsi="Arial" w:cs="Arial"/>
                <w:color w:val="000000"/>
                <w:sz w:val="16"/>
                <w:szCs w:val="16"/>
              </w:rPr>
              <w:t>al to our total leverage exposure, which measures our capital adequacy relative to our on and off-balance sheet assets.</w:t>
            </w:r>
            <w:r>
              <w:rPr>
                <w:rFonts w:ascii="Arial" w:eastAsia="宋体" w:hAnsi="Arial" w:cs="Arial"/>
                <w:color w:val="000000"/>
                <w:sz w:val="16"/>
                <w:szCs w:val="16"/>
              </w:rPr>
              <w:br/>
            </w:r>
            <w:r>
              <w:rPr>
                <w:rFonts w:ascii="Arial" w:eastAsia="宋体" w:hAnsi="Arial" w:cs="Arial"/>
                <w:b/>
                <w:bCs/>
                <w:color w:val="000000"/>
                <w:sz w:val="16"/>
                <w:szCs w:val="16"/>
              </w:rPr>
              <w:br/>
              <w:t>Total loss-absorbing capacity:</w:t>
            </w:r>
            <w:r>
              <w:rPr>
                <w:rFonts w:ascii="Arial" w:eastAsia="宋体" w:hAnsi="Arial" w:cs="Arial"/>
                <w:color w:val="000000"/>
                <w:sz w:val="16"/>
                <w:szCs w:val="16"/>
              </w:rPr>
              <w:t xml:space="preserve"> The sum of our tier 1 regulatory capital plus eligible external long-term debt issued by us.</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Value-at-R</w:t>
            </w:r>
            <w:r>
              <w:rPr>
                <w:rFonts w:ascii="Arial" w:eastAsia="宋体" w:hAnsi="Arial" w:cs="Arial"/>
                <w:b/>
                <w:bCs/>
                <w:color w:val="000000"/>
                <w:sz w:val="16"/>
                <w:szCs w:val="16"/>
              </w:rPr>
              <w:t>isk:</w:t>
            </w:r>
            <w:r>
              <w:rPr>
                <w:rFonts w:ascii="Arial" w:eastAsia="宋体" w:hAnsi="Arial" w:cs="Arial"/>
                <w:color w:val="000000"/>
                <w:sz w:val="16"/>
                <w:szCs w:val="16"/>
              </w:rPr>
              <w:t xml:space="preserve"> Statistical model used to measure the potential loss in value of a portfolio that could occur in normal markets condition, over a defined holding period, within a certain confidence level. </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Variable interest entity:</w:t>
            </w:r>
            <w:r>
              <w:rPr>
                <w:rFonts w:ascii="Arial" w:eastAsia="宋体" w:hAnsi="Arial" w:cs="Arial"/>
                <w:color w:val="000000"/>
                <w:sz w:val="16"/>
                <w:szCs w:val="16"/>
              </w:rPr>
              <w:t xml:space="preserve"> An entity that: (1) lacks enough e</w:t>
            </w:r>
            <w:r>
              <w:rPr>
                <w:rFonts w:ascii="Arial" w:eastAsia="宋体" w:hAnsi="Arial" w:cs="Arial"/>
                <w:color w:val="000000"/>
                <w:sz w:val="16"/>
                <w:szCs w:val="16"/>
              </w:rPr>
              <w:t>quity investment at risk to permit the entity to finance its activities without additional financial support from other parties; (2) has equity owners that lack the right to make significant decisions affecting the entity’s operations; and/or (3) has equit</w:t>
            </w:r>
            <w:r>
              <w:rPr>
                <w:rFonts w:ascii="Arial" w:eastAsia="宋体" w:hAnsi="Arial" w:cs="Arial"/>
                <w:color w:val="000000"/>
                <w:sz w:val="16"/>
                <w:szCs w:val="16"/>
              </w:rPr>
              <w:t>y owners that do not have an obligation to absorb or the right to receive the entity’s losses or return.</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p>
        </w:tc>
        <w:tc>
          <w:tcPr>
            <w:tcW w:w="0" w:type="auto"/>
            <w:shd w:val="clear" w:color="auto" w:fill="auto"/>
            <w:vAlign w:val="bottom"/>
          </w:tcPr>
          <w:p w14:paraId="74DE281A" w14:textId="77777777" w:rsidR="00584EC1" w:rsidRDefault="00584EC1">
            <w:pPr>
              <w:rPr>
                <w:rFonts w:ascii="宋体"/>
                <w:vanish/>
              </w:rPr>
            </w:pPr>
          </w:p>
        </w:tc>
        <w:tc>
          <w:tcPr>
            <w:tcW w:w="0" w:type="auto"/>
            <w:shd w:val="clear" w:color="auto" w:fill="auto"/>
            <w:vAlign w:val="bottom"/>
          </w:tcPr>
          <w:p w14:paraId="74DE281B" w14:textId="77777777" w:rsidR="00584EC1" w:rsidRDefault="00584EC1">
            <w:pPr>
              <w:rPr>
                <w:rFonts w:ascii="宋体"/>
                <w:vanish/>
              </w:rPr>
            </w:pPr>
          </w:p>
        </w:tc>
        <w:tc>
          <w:tcPr>
            <w:tcW w:w="0" w:type="auto"/>
            <w:shd w:val="clear" w:color="auto" w:fill="auto"/>
            <w:vAlign w:val="bottom"/>
          </w:tcPr>
          <w:p w14:paraId="74DE281C" w14:textId="77777777" w:rsidR="00584EC1" w:rsidRDefault="00584EC1">
            <w:pPr>
              <w:rPr>
                <w:rFonts w:ascii="宋体"/>
                <w:vanish/>
              </w:rPr>
            </w:pPr>
          </w:p>
        </w:tc>
      </w:tr>
    </w:tbl>
    <w:p w14:paraId="74DE281E" w14:textId="77777777" w:rsidR="00584EC1" w:rsidRDefault="00871F8D">
      <w:pPr>
        <w:ind w:firstLine="450"/>
        <w:jc w:val="right"/>
      </w:pPr>
      <w:r>
        <w:rPr>
          <w:rFonts w:ascii="Arial" w:eastAsia="宋体" w:hAnsi="Arial" w:cs="Arial"/>
          <w:color w:val="000000"/>
          <w:sz w:val="18"/>
          <w:szCs w:val="18"/>
        </w:rPr>
        <w:t>State Street Corporation | 98</w:t>
      </w:r>
    </w:p>
    <w:p w14:paraId="74DE281F" w14:textId="77777777" w:rsidR="00584EC1" w:rsidRDefault="00584EC1">
      <w:pPr>
        <w:ind w:firstLine="450"/>
        <w:jc w:val="center"/>
      </w:pPr>
    </w:p>
    <w:p w14:paraId="74DE2820" w14:textId="77777777" w:rsidR="00584EC1" w:rsidRDefault="00871F8D">
      <w:r>
        <w:pict w14:anchorId="74DE2A50">
          <v:rect id="_x0000_i1122" style="width:415.3pt;height:1.5pt" o:hralign="center" o:hrstd="t" o:hr="t" fillcolor="#a0a0a0" stroked="f"/>
        </w:pict>
      </w:r>
    </w:p>
    <w:p w14:paraId="74DE2821" w14:textId="77777777" w:rsidR="00584EC1" w:rsidRDefault="00584EC1">
      <w:pPr>
        <w:ind w:firstLine="450"/>
      </w:pPr>
    </w:p>
    <w:p w14:paraId="74DE2822" w14:textId="77777777" w:rsidR="00584EC1" w:rsidRDefault="00584EC1">
      <w:pPr>
        <w:ind w:firstLine="450"/>
        <w:jc w:val="center"/>
      </w:pPr>
    </w:p>
    <w:p w14:paraId="74DE2823" w14:textId="77777777" w:rsidR="00584EC1" w:rsidRDefault="00871F8D">
      <w:pPr>
        <w:jc w:val="both"/>
      </w:pPr>
      <w:r>
        <w:rPr>
          <w:rFonts w:ascii="Arial" w:eastAsia="宋体" w:hAnsi="Arial" w:cs="Arial"/>
          <w:b/>
          <w:bCs/>
          <w:color w:val="000000"/>
          <w:sz w:val="20"/>
          <w:szCs w:val="20"/>
        </w:rPr>
        <w:t>ITEM 1A. RISK FACTORS</w:t>
      </w:r>
    </w:p>
    <w:p w14:paraId="74DE2824" w14:textId="77777777" w:rsidR="00584EC1" w:rsidRDefault="00584EC1">
      <w:pPr>
        <w:ind w:firstLine="450"/>
        <w:jc w:val="both"/>
      </w:pPr>
    </w:p>
    <w:p w14:paraId="74DE2825" w14:textId="77777777" w:rsidR="00584EC1" w:rsidRDefault="00871F8D">
      <w:pPr>
        <w:spacing w:before="60"/>
        <w:jc w:val="both"/>
      </w:pPr>
      <w:r>
        <w:rPr>
          <w:rFonts w:ascii="Arial" w:eastAsia="宋体" w:hAnsi="Arial" w:cs="Arial"/>
          <w:color w:val="000000"/>
          <w:sz w:val="20"/>
          <w:szCs w:val="20"/>
        </w:rPr>
        <w:t xml:space="preserve">State Street is supplementing the risk factors previously disclosed in its 2020 Form 10-K with the following risk factors. These risk factors should be read in conjunction with the risk factors included in the 2020 Form 10-K. </w:t>
      </w:r>
    </w:p>
    <w:p w14:paraId="74DE2826" w14:textId="77777777" w:rsidR="00584EC1" w:rsidRDefault="00584EC1">
      <w:pPr>
        <w:spacing w:before="60"/>
        <w:jc w:val="both"/>
      </w:pPr>
    </w:p>
    <w:p w14:paraId="74DE2827" w14:textId="77777777" w:rsidR="00584EC1" w:rsidRDefault="00871F8D">
      <w:pPr>
        <w:spacing w:before="60"/>
        <w:jc w:val="both"/>
      </w:pPr>
      <w:r>
        <w:rPr>
          <w:rFonts w:ascii="Arial" w:eastAsia="宋体" w:hAnsi="Arial" w:cs="Arial"/>
          <w:b/>
          <w:bCs/>
          <w:i/>
          <w:iCs/>
          <w:color w:val="000000"/>
          <w:sz w:val="20"/>
          <w:szCs w:val="20"/>
        </w:rPr>
        <w:t xml:space="preserve">Consummation of our planned </w:t>
      </w:r>
      <w:r>
        <w:rPr>
          <w:rFonts w:ascii="Arial" w:eastAsia="宋体" w:hAnsi="Arial" w:cs="Arial"/>
          <w:b/>
          <w:bCs/>
          <w:i/>
          <w:iCs/>
          <w:color w:val="000000"/>
          <w:sz w:val="20"/>
          <w:szCs w:val="20"/>
        </w:rPr>
        <w:t>acquisition of the BBH Investor Services business is subject to the satisfaction or closing conditions and regulatory approvals, the failure of which may prevent or delay the consummation of the acquisition.</w:t>
      </w:r>
    </w:p>
    <w:p w14:paraId="74DE2828" w14:textId="77777777" w:rsidR="00584EC1" w:rsidRDefault="00871F8D">
      <w:pPr>
        <w:spacing w:before="60"/>
        <w:jc w:val="both"/>
      </w:pPr>
      <w:r>
        <w:rPr>
          <w:rFonts w:ascii="Arial" w:eastAsia="宋体" w:hAnsi="Arial" w:cs="Arial"/>
          <w:color w:val="000000"/>
          <w:sz w:val="20"/>
          <w:szCs w:val="20"/>
        </w:rPr>
        <w:t>On September 7, 2021, we announced that we had e</w:t>
      </w:r>
      <w:r>
        <w:rPr>
          <w:rFonts w:ascii="Arial" w:eastAsia="宋体" w:hAnsi="Arial" w:cs="Arial"/>
          <w:color w:val="000000"/>
          <w:sz w:val="20"/>
          <w:szCs w:val="20"/>
        </w:rPr>
        <w:t>ntered into a definitive agreement with BBH to acquire the BBH Investor Services business, including its custody, accounting, fund administration, global markets and technology services for $3.5 billion in cash, subject to customary adjustments. The transa</w:t>
      </w:r>
      <w:r>
        <w:rPr>
          <w:rFonts w:ascii="Arial" w:eastAsia="宋体" w:hAnsi="Arial" w:cs="Arial"/>
          <w:color w:val="000000"/>
          <w:sz w:val="20"/>
          <w:szCs w:val="20"/>
        </w:rPr>
        <w:t>ction is targeted to be completed by the end of 2021, subject to the receipt of regulatory approvals and the satisfaction or waiver of other closing conditions. We cannot provide any assurance that all necessary regulatory approvals will be obtained nor th</w:t>
      </w:r>
      <w:r>
        <w:rPr>
          <w:rFonts w:ascii="Arial" w:eastAsia="宋体" w:hAnsi="Arial" w:cs="Arial"/>
          <w:color w:val="000000"/>
          <w:sz w:val="20"/>
          <w:szCs w:val="20"/>
        </w:rPr>
        <w:t>e timing of such regulatory approvals, nor can we provide any assurance that all of the other closing conditions will be satisfied or waived. The failure to obtain necessary regulatory approvals or the failure to satisfy some or all of the other required c</w:t>
      </w:r>
      <w:r>
        <w:rPr>
          <w:rFonts w:ascii="Arial" w:eastAsia="宋体" w:hAnsi="Arial" w:cs="Arial"/>
          <w:color w:val="000000"/>
          <w:sz w:val="20"/>
          <w:szCs w:val="20"/>
        </w:rPr>
        <w:t>onditions could delay the completion of the acquisition for a significant period of time or prevent it from occurring.</w:t>
      </w:r>
    </w:p>
    <w:p w14:paraId="74DE2829" w14:textId="77777777" w:rsidR="00584EC1" w:rsidRDefault="00584EC1">
      <w:pPr>
        <w:spacing w:before="60"/>
        <w:jc w:val="both"/>
      </w:pPr>
    </w:p>
    <w:p w14:paraId="74DE282A" w14:textId="77777777" w:rsidR="00584EC1" w:rsidRDefault="00871F8D">
      <w:pPr>
        <w:spacing w:before="60"/>
        <w:jc w:val="both"/>
      </w:pPr>
      <w:r>
        <w:rPr>
          <w:rFonts w:ascii="Arial" w:eastAsia="宋体" w:hAnsi="Arial" w:cs="Arial"/>
          <w:b/>
          <w:bCs/>
          <w:i/>
          <w:iCs/>
          <w:color w:val="000000"/>
          <w:sz w:val="20"/>
          <w:szCs w:val="20"/>
        </w:rPr>
        <w:t xml:space="preserve">Even if we successfully consummate our planned acquisition of the BBH Investor Services business, we may fail to realize some or all of </w:t>
      </w:r>
      <w:r>
        <w:rPr>
          <w:rFonts w:ascii="Arial" w:eastAsia="宋体" w:hAnsi="Arial" w:cs="Arial"/>
          <w:b/>
          <w:bCs/>
          <w:i/>
          <w:iCs/>
          <w:color w:val="000000"/>
          <w:sz w:val="20"/>
          <w:szCs w:val="20"/>
        </w:rPr>
        <w:t>the anticipated benefits of the transaction or the benefits may take longer to realize than expected.</w:t>
      </w:r>
    </w:p>
    <w:p w14:paraId="74DE282B" w14:textId="77777777" w:rsidR="00584EC1" w:rsidRDefault="00584EC1">
      <w:pPr>
        <w:spacing w:before="60"/>
        <w:jc w:val="both"/>
      </w:pPr>
    </w:p>
    <w:p w14:paraId="74DE282C" w14:textId="77777777" w:rsidR="00584EC1" w:rsidRDefault="00871F8D">
      <w:pPr>
        <w:spacing w:before="60"/>
        <w:jc w:val="both"/>
      </w:pPr>
      <w:r>
        <w:rPr>
          <w:rFonts w:ascii="Arial" w:eastAsia="宋体" w:hAnsi="Arial" w:cs="Arial"/>
          <w:color w:val="000000"/>
          <w:sz w:val="20"/>
          <w:szCs w:val="20"/>
        </w:rPr>
        <w:t>Our ability to realize the anticipated benefits of the planned acquisition will depend, to a large extent, on our ability to integrate the BBH Investor S</w:t>
      </w:r>
      <w:r>
        <w:rPr>
          <w:rFonts w:ascii="Arial" w:eastAsia="宋体" w:hAnsi="Arial" w:cs="Arial"/>
          <w:color w:val="000000"/>
          <w:sz w:val="20"/>
          <w:szCs w:val="20"/>
        </w:rPr>
        <w:t>ervices business into our business and realize anticipated growth opportunities and cost synergies. The integration of the BBH Investor Services business into our business will be a complex, costly and time-consuming process, and our management may face si</w:t>
      </w:r>
      <w:r>
        <w:rPr>
          <w:rFonts w:ascii="Arial" w:eastAsia="宋体" w:hAnsi="Arial" w:cs="Arial"/>
          <w:color w:val="000000"/>
          <w:sz w:val="20"/>
          <w:szCs w:val="20"/>
        </w:rPr>
        <w:t>gnificant challenges in implementing that integration, including, without limitation, challenges related to:</w:t>
      </w:r>
    </w:p>
    <w:p w14:paraId="74DE282D" w14:textId="77777777" w:rsidR="00584EC1" w:rsidRDefault="00871F8D">
      <w:pPr>
        <w:spacing w:before="60"/>
        <w:ind w:hanging="360"/>
        <w:jc w:val="both"/>
      </w:pPr>
      <w:r>
        <w:rPr>
          <w:rFonts w:ascii="Arial" w:eastAsia="宋体" w:hAnsi="Arial" w:cs="Arial"/>
          <w:color w:val="000000"/>
          <w:sz w:val="20"/>
          <w:szCs w:val="20"/>
        </w:rPr>
        <w:t xml:space="preserve">•retaining the business and revenue from the BBH Investor Services business's current clients, many of which have the right to consent to transfer </w:t>
      </w:r>
      <w:r>
        <w:rPr>
          <w:rFonts w:ascii="Arial" w:eastAsia="宋体" w:hAnsi="Arial" w:cs="Arial"/>
          <w:color w:val="000000"/>
          <w:sz w:val="20"/>
          <w:szCs w:val="20"/>
        </w:rPr>
        <w:t>their business to State Street or to transition their business on short notice;</w:t>
      </w:r>
    </w:p>
    <w:p w14:paraId="74DE282E" w14:textId="77777777" w:rsidR="00584EC1" w:rsidRDefault="00871F8D">
      <w:pPr>
        <w:spacing w:before="60"/>
        <w:ind w:hanging="360"/>
        <w:jc w:val="both"/>
      </w:pPr>
      <w:r>
        <w:rPr>
          <w:rFonts w:ascii="Arial" w:eastAsia="宋体" w:hAnsi="Arial" w:cs="Arial"/>
          <w:color w:val="000000"/>
          <w:sz w:val="20"/>
          <w:szCs w:val="20"/>
        </w:rPr>
        <w:t>•integrating the BBH Investor Services business's software solutions, including its Infomediary communication platform, with our existing products and services and cross-sellin</w:t>
      </w:r>
      <w:r>
        <w:rPr>
          <w:rFonts w:ascii="Arial" w:eastAsia="宋体" w:hAnsi="Arial" w:cs="Arial"/>
          <w:color w:val="000000"/>
          <w:sz w:val="20"/>
          <w:szCs w:val="20"/>
        </w:rPr>
        <w:t>g our comprehensive suite of products and services, including State Street Alpha, to clients of the BBH Investor Services business;</w:t>
      </w:r>
    </w:p>
    <w:p w14:paraId="74DE282F" w14:textId="77777777" w:rsidR="00584EC1" w:rsidRDefault="00871F8D">
      <w:pPr>
        <w:spacing w:before="60"/>
        <w:ind w:hanging="360"/>
        <w:jc w:val="both"/>
      </w:pPr>
      <w:r>
        <w:rPr>
          <w:rFonts w:ascii="Arial" w:eastAsia="宋体" w:hAnsi="Arial" w:cs="Arial"/>
          <w:color w:val="000000"/>
          <w:sz w:val="20"/>
          <w:szCs w:val="20"/>
        </w:rPr>
        <w:t xml:space="preserve">•achieving the anticipated cost and revenue synergies from the combination of the BBH Investor Services business with State </w:t>
      </w:r>
      <w:r>
        <w:rPr>
          <w:rFonts w:ascii="Arial" w:eastAsia="宋体" w:hAnsi="Arial" w:cs="Arial"/>
          <w:color w:val="000000"/>
          <w:sz w:val="20"/>
          <w:szCs w:val="20"/>
        </w:rPr>
        <w:t>Street;</w:t>
      </w:r>
    </w:p>
    <w:p w14:paraId="74DE2830" w14:textId="77777777" w:rsidR="00584EC1" w:rsidRDefault="00871F8D">
      <w:pPr>
        <w:spacing w:before="60"/>
        <w:ind w:hanging="360"/>
        <w:jc w:val="both"/>
      </w:pPr>
      <w:r>
        <w:rPr>
          <w:rFonts w:ascii="Arial" w:eastAsia="宋体" w:hAnsi="Arial" w:cs="Arial"/>
          <w:color w:val="000000"/>
          <w:sz w:val="20"/>
          <w:szCs w:val="20"/>
        </w:rPr>
        <w:t>•managing systems, operational and business complexities and costs associated with combining two different global securities servicing platforms, including maintaining service consistency, information security, business continuity and compliance, a</w:t>
      </w:r>
      <w:r>
        <w:rPr>
          <w:rFonts w:ascii="Arial" w:eastAsia="宋体" w:hAnsi="Arial" w:cs="Arial"/>
          <w:color w:val="000000"/>
          <w:sz w:val="20"/>
          <w:szCs w:val="20"/>
        </w:rPr>
        <w:t>nd controlling operational risks associated with large-scale technology conversions; and</w:t>
      </w:r>
    </w:p>
    <w:p w14:paraId="74DE2831" w14:textId="77777777" w:rsidR="00584EC1" w:rsidRDefault="00871F8D">
      <w:pPr>
        <w:spacing w:before="60"/>
        <w:ind w:hanging="360"/>
        <w:jc w:val="both"/>
      </w:pPr>
      <w:r>
        <w:rPr>
          <w:rFonts w:ascii="Arial" w:eastAsia="宋体" w:hAnsi="Arial" w:cs="Arial"/>
          <w:color w:val="000000"/>
          <w:sz w:val="20"/>
          <w:szCs w:val="20"/>
        </w:rPr>
        <w:t xml:space="preserve">•transitioning the BBH Investor Services business's senior management team of investment service partners into roles within our larger company and retaining other key </w:t>
      </w:r>
      <w:r>
        <w:rPr>
          <w:rFonts w:ascii="Arial" w:eastAsia="宋体" w:hAnsi="Arial" w:cs="Arial"/>
          <w:color w:val="000000"/>
          <w:sz w:val="20"/>
          <w:szCs w:val="20"/>
        </w:rPr>
        <w:t>employees of the BBH Investor Services business.</w:t>
      </w:r>
    </w:p>
    <w:p w14:paraId="74DE2832" w14:textId="77777777" w:rsidR="00584EC1" w:rsidRDefault="00584EC1">
      <w:pPr>
        <w:spacing w:before="60"/>
        <w:jc w:val="both"/>
      </w:pPr>
    </w:p>
    <w:p w14:paraId="74DE2833" w14:textId="77777777" w:rsidR="00584EC1" w:rsidRDefault="00871F8D">
      <w:pPr>
        <w:spacing w:before="60"/>
        <w:jc w:val="both"/>
      </w:pPr>
      <w:r>
        <w:rPr>
          <w:rFonts w:ascii="Arial" w:eastAsia="宋体" w:hAnsi="Arial" w:cs="Arial"/>
          <w:color w:val="000000"/>
          <w:sz w:val="20"/>
          <w:szCs w:val="20"/>
        </w:rPr>
        <w:t>Any delay or failure in achieving any of the foregoing could materially adversely impact the expected benefits of the acquisition.</w:t>
      </w:r>
    </w:p>
    <w:p w14:paraId="74DE2834" w14:textId="77777777" w:rsidR="00584EC1" w:rsidRDefault="00871F8D">
      <w:pPr>
        <w:ind w:firstLine="450"/>
        <w:jc w:val="right"/>
      </w:pPr>
      <w:r>
        <w:rPr>
          <w:rFonts w:ascii="Arial" w:eastAsia="宋体" w:hAnsi="Arial" w:cs="Arial"/>
          <w:color w:val="000000"/>
          <w:sz w:val="18"/>
          <w:szCs w:val="18"/>
        </w:rPr>
        <w:t>State Street Corporation | 99</w:t>
      </w:r>
    </w:p>
    <w:p w14:paraId="74DE2835" w14:textId="77777777" w:rsidR="00584EC1" w:rsidRDefault="00584EC1">
      <w:pPr>
        <w:ind w:firstLine="450"/>
        <w:jc w:val="center"/>
      </w:pPr>
    </w:p>
    <w:p w14:paraId="74DE2836" w14:textId="77777777" w:rsidR="00584EC1" w:rsidRDefault="00871F8D">
      <w:r>
        <w:pict w14:anchorId="74DE2A51">
          <v:rect id="_x0000_i1123" style="width:415.3pt;height:1.5pt" o:hralign="center" o:hrstd="t" o:hr="t" fillcolor="#a0a0a0" stroked="f"/>
        </w:pict>
      </w:r>
    </w:p>
    <w:p w14:paraId="74DE2837" w14:textId="77777777" w:rsidR="00584EC1" w:rsidRDefault="00584EC1">
      <w:pPr>
        <w:ind w:firstLine="450"/>
      </w:pPr>
    </w:p>
    <w:p w14:paraId="74DE2838" w14:textId="77777777" w:rsidR="00584EC1" w:rsidRDefault="00584EC1">
      <w:pPr>
        <w:ind w:firstLine="450"/>
        <w:jc w:val="center"/>
      </w:pPr>
    </w:p>
    <w:p w14:paraId="74DE2839" w14:textId="77777777" w:rsidR="00584EC1" w:rsidRDefault="00584EC1">
      <w:pPr>
        <w:jc w:val="both"/>
      </w:pPr>
    </w:p>
    <w:p w14:paraId="74DE283A" w14:textId="77777777" w:rsidR="00584EC1" w:rsidRDefault="00871F8D">
      <w:pPr>
        <w:jc w:val="both"/>
      </w:pPr>
      <w:r>
        <w:rPr>
          <w:rFonts w:ascii="Arial" w:eastAsia="宋体" w:hAnsi="Arial" w:cs="Arial"/>
          <w:b/>
          <w:bCs/>
          <w:color w:val="000000"/>
          <w:sz w:val="20"/>
          <w:szCs w:val="20"/>
        </w:rPr>
        <w:t>PART 2. OTHER INFORMATION</w:t>
      </w:r>
    </w:p>
    <w:p w14:paraId="74DE283B" w14:textId="77777777" w:rsidR="00584EC1" w:rsidRDefault="00584EC1">
      <w:pPr>
        <w:ind w:firstLine="450"/>
        <w:jc w:val="both"/>
      </w:pPr>
    </w:p>
    <w:p w14:paraId="74DE283C" w14:textId="77777777" w:rsidR="00584EC1" w:rsidRDefault="00871F8D">
      <w:pPr>
        <w:jc w:val="both"/>
      </w:pPr>
      <w:r>
        <w:rPr>
          <w:rFonts w:ascii="Arial" w:eastAsia="宋体" w:hAnsi="Arial" w:cs="Arial"/>
          <w:b/>
          <w:bCs/>
          <w:color w:val="000000"/>
          <w:sz w:val="20"/>
          <w:szCs w:val="20"/>
        </w:rPr>
        <w:t xml:space="preserve">ITEM </w:t>
      </w:r>
      <w:r>
        <w:rPr>
          <w:rFonts w:ascii="Arial" w:eastAsia="宋体" w:hAnsi="Arial" w:cs="Arial"/>
          <w:b/>
          <w:bCs/>
          <w:color w:val="000000"/>
          <w:sz w:val="20"/>
          <w:szCs w:val="20"/>
        </w:rPr>
        <w:t>2.     UNREGISTERED SALES OF EQUITY SECURITIES AND USE OF PROCEEDS</w:t>
      </w:r>
    </w:p>
    <w:p w14:paraId="74DE283D" w14:textId="77777777" w:rsidR="00584EC1" w:rsidRDefault="00871F8D">
      <w:pPr>
        <w:spacing w:before="60"/>
        <w:ind w:firstLine="450"/>
        <w:jc w:val="both"/>
      </w:pPr>
      <w:r>
        <w:rPr>
          <w:rFonts w:ascii="Arial" w:eastAsia="宋体" w:hAnsi="Arial" w:cs="Arial"/>
          <w:color w:val="000000"/>
          <w:sz w:val="20"/>
          <w:szCs w:val="20"/>
        </w:rPr>
        <w:t>In June 2019, our Board approved a common share repurchase program authorizing the repurchase of up to $2.0 billion of our common stock from July 1, 2019 through June 30, 2020 (the 2019 Pro</w:t>
      </w:r>
      <w:r>
        <w:rPr>
          <w:rFonts w:ascii="Arial" w:eastAsia="宋体" w:hAnsi="Arial" w:cs="Arial"/>
          <w:color w:val="000000"/>
          <w:sz w:val="20"/>
          <w:szCs w:val="20"/>
        </w:rPr>
        <w:t>gram). On March 16, 2020, we, along with the other U.S. G-SIBs, suspended common share repurchases and maintained this suspension through the fourth quarter of 2020 in response to the COVID-19 pandemic. This suspension was consistent with limitations impos</w:t>
      </w:r>
      <w:r>
        <w:rPr>
          <w:rFonts w:ascii="Arial" w:eastAsia="宋体" w:hAnsi="Arial" w:cs="Arial"/>
          <w:color w:val="000000"/>
          <w:sz w:val="20"/>
          <w:szCs w:val="20"/>
        </w:rPr>
        <w:t xml:space="preserve">ed by the Federal Reserve beginning in the second quarter of 2020. As a result, we had no repurchases of our common stock in the second, third or fourth quarters of 2020. </w:t>
      </w:r>
    </w:p>
    <w:p w14:paraId="74DE283E" w14:textId="77777777" w:rsidR="00584EC1" w:rsidRDefault="00871F8D">
      <w:pPr>
        <w:spacing w:before="60"/>
        <w:ind w:firstLine="450"/>
        <w:jc w:val="both"/>
      </w:pPr>
      <w:r>
        <w:rPr>
          <w:rFonts w:ascii="Arial" w:eastAsia="宋体" w:hAnsi="Arial" w:cs="Arial"/>
          <w:color w:val="000000"/>
          <w:sz w:val="20"/>
          <w:szCs w:val="20"/>
          <w:shd w:val="clear" w:color="auto" w:fill="FFFFFF"/>
        </w:rPr>
        <w:t>In December 2020, the Federal Reserve issued results of 2020 resubmission stress tes</w:t>
      </w:r>
      <w:r>
        <w:rPr>
          <w:rFonts w:ascii="Arial" w:eastAsia="宋体" w:hAnsi="Arial" w:cs="Arial"/>
          <w:color w:val="000000"/>
          <w:sz w:val="20"/>
          <w:szCs w:val="20"/>
          <w:shd w:val="clear" w:color="auto" w:fill="FFFFFF"/>
        </w:rPr>
        <w:t xml:space="preserve">ts and authorized us to continue to pay common stock dividends at current levels and to resume repurchasing common shares in the first quarter of 2021. </w:t>
      </w:r>
      <w:r>
        <w:rPr>
          <w:rFonts w:ascii="Arial" w:eastAsia="宋体" w:hAnsi="Arial" w:cs="Arial"/>
          <w:color w:val="000000"/>
          <w:sz w:val="20"/>
          <w:szCs w:val="20"/>
        </w:rPr>
        <w:t xml:space="preserve">In January 2021, our Board authorized a share repurchase program for the purchase of up to $475 million </w:t>
      </w:r>
      <w:r>
        <w:rPr>
          <w:rFonts w:ascii="Arial" w:eastAsia="宋体" w:hAnsi="Arial" w:cs="Arial"/>
          <w:color w:val="000000"/>
          <w:sz w:val="20"/>
          <w:szCs w:val="20"/>
        </w:rPr>
        <w:t>of our common stock through March 31, 2021. In April 2021, our Board authorized a share repurchase program for the repurchase of up to $425 million of our common stock through June 30, 2021, consistent with the limit set by the Federal Reserve. In July 202</w:t>
      </w:r>
      <w:r>
        <w:rPr>
          <w:rFonts w:ascii="Arial" w:eastAsia="宋体" w:hAnsi="Arial" w:cs="Arial"/>
          <w:color w:val="000000"/>
          <w:sz w:val="20"/>
          <w:szCs w:val="20"/>
        </w:rPr>
        <w:t>1, our Board authorized a share repurchase program for the repurchase of up to $3.0 billion of our common stock through the end of 2022.</w:t>
      </w:r>
    </w:p>
    <w:p w14:paraId="74DE283F" w14:textId="77777777" w:rsidR="00584EC1" w:rsidRDefault="00871F8D">
      <w:pPr>
        <w:spacing w:before="60"/>
        <w:ind w:firstLine="360"/>
        <w:jc w:val="both"/>
      </w:pPr>
      <w:r>
        <w:rPr>
          <w:rFonts w:ascii="Arial" w:eastAsia="宋体" w:hAnsi="Arial" w:cs="Arial"/>
          <w:color w:val="000000"/>
          <w:sz w:val="20"/>
          <w:szCs w:val="20"/>
        </w:rPr>
        <w:t>In connection with our proposed acquisition of the BBH Investor Services business, we did not repurchase any common sto</w:t>
      </w:r>
      <w:r>
        <w:rPr>
          <w:rFonts w:ascii="Arial" w:eastAsia="宋体" w:hAnsi="Arial" w:cs="Arial"/>
          <w:color w:val="000000"/>
          <w:sz w:val="20"/>
          <w:szCs w:val="20"/>
        </w:rPr>
        <w:t>ck during the third quarter of 2021 under the common share repurchase plan approved by our Board in July 2021, and we do not intend to repurchase any common stock during the fourth quarter of 2021 and the first quarter of 2022. We intend to resume our comm</w:t>
      </w:r>
      <w:r>
        <w:rPr>
          <w:rFonts w:ascii="Arial" w:eastAsia="宋体" w:hAnsi="Arial" w:cs="Arial"/>
          <w:color w:val="000000"/>
          <w:sz w:val="20"/>
          <w:szCs w:val="20"/>
        </w:rPr>
        <w:t>on share repurchases during the second quarter of 2022.</w:t>
      </w:r>
    </w:p>
    <w:p w14:paraId="74DE2840" w14:textId="77777777" w:rsidR="00584EC1" w:rsidRDefault="00871F8D">
      <w:pPr>
        <w:spacing w:before="60"/>
        <w:ind w:firstLine="450"/>
        <w:jc w:val="both"/>
      </w:pPr>
      <w:r>
        <w:rPr>
          <w:rFonts w:ascii="Arial" w:eastAsia="宋体" w:hAnsi="Arial" w:cs="Arial"/>
          <w:color w:val="000000"/>
          <w:sz w:val="20"/>
          <w:szCs w:val="20"/>
        </w:rPr>
        <w:t>Stock repurchases may be made using various types of transactions, including open-market repurchases, accelerated share repurchases or other transactions off the market, and may be made under Rule 10b</w:t>
      </w:r>
      <w:r>
        <w:rPr>
          <w:rFonts w:ascii="Arial" w:eastAsia="宋体" w:hAnsi="Arial" w:cs="Arial"/>
          <w:color w:val="000000"/>
          <w:sz w:val="20"/>
          <w:szCs w:val="20"/>
        </w:rPr>
        <w:t>5-1 trading programs. The timing and amount of any stock repurchases and the type of transaction will depend on several factors, including investment opportunities, our capital position, our financial performance, market conditions and the amount of common</w:t>
      </w:r>
      <w:r>
        <w:rPr>
          <w:rFonts w:ascii="Arial" w:eastAsia="宋体" w:hAnsi="Arial" w:cs="Arial"/>
          <w:color w:val="000000"/>
          <w:sz w:val="20"/>
          <w:szCs w:val="20"/>
        </w:rPr>
        <w:t xml:space="preserve"> stock issued as part of employee compensation programs. The common share repurchase program does not have specific price targets and may be suspended at any time.</w:t>
      </w:r>
    </w:p>
    <w:p w14:paraId="74DE2841" w14:textId="77777777" w:rsidR="00584EC1" w:rsidRDefault="00584EC1">
      <w:pPr>
        <w:spacing w:before="60"/>
        <w:ind w:firstLine="450"/>
        <w:jc w:val="both"/>
      </w:pPr>
    </w:p>
    <w:p w14:paraId="74DE2842" w14:textId="77777777" w:rsidR="00584EC1" w:rsidRDefault="00584EC1">
      <w:pPr>
        <w:spacing w:before="60"/>
        <w:ind w:firstLine="450"/>
        <w:jc w:val="both"/>
      </w:pPr>
    </w:p>
    <w:p w14:paraId="74DE2843" w14:textId="77777777" w:rsidR="00584EC1" w:rsidRDefault="00584EC1">
      <w:pPr>
        <w:spacing w:before="100"/>
      </w:pPr>
    </w:p>
    <w:p w14:paraId="74DE2844" w14:textId="77777777" w:rsidR="00584EC1" w:rsidRDefault="00584EC1">
      <w:pPr>
        <w:spacing w:after="60"/>
        <w:ind w:firstLine="450"/>
      </w:pPr>
    </w:p>
    <w:p w14:paraId="74DE2845" w14:textId="77777777" w:rsidR="00584EC1" w:rsidRDefault="00584EC1">
      <w:pPr>
        <w:spacing w:before="20" w:after="60"/>
        <w:ind w:firstLine="450"/>
      </w:pPr>
    </w:p>
    <w:p w14:paraId="74DE2846" w14:textId="77777777" w:rsidR="00584EC1" w:rsidRDefault="00584EC1">
      <w:pPr>
        <w:spacing w:before="20" w:after="60"/>
        <w:ind w:firstLine="450"/>
      </w:pPr>
    </w:p>
    <w:p w14:paraId="74DE2847" w14:textId="77777777" w:rsidR="00584EC1" w:rsidRDefault="00871F8D">
      <w:pPr>
        <w:ind w:firstLine="450"/>
        <w:jc w:val="right"/>
      </w:pPr>
      <w:r>
        <w:rPr>
          <w:rFonts w:ascii="Arial" w:eastAsia="宋体" w:hAnsi="Arial" w:cs="Arial"/>
          <w:color w:val="000000"/>
          <w:sz w:val="18"/>
          <w:szCs w:val="18"/>
        </w:rPr>
        <w:t>State Street Corporation | 100</w:t>
      </w:r>
    </w:p>
    <w:p w14:paraId="74DE2848" w14:textId="77777777" w:rsidR="00584EC1" w:rsidRDefault="00584EC1">
      <w:pPr>
        <w:ind w:firstLine="450"/>
        <w:jc w:val="center"/>
      </w:pPr>
    </w:p>
    <w:p w14:paraId="74DE2849" w14:textId="77777777" w:rsidR="00584EC1" w:rsidRDefault="00871F8D">
      <w:r>
        <w:pict w14:anchorId="74DE2A52">
          <v:rect id="_x0000_i1124" style="width:415.3pt;height:1.5pt" o:hralign="center" o:hrstd="t" o:hr="t" fillcolor="#a0a0a0" stroked="f"/>
        </w:pict>
      </w:r>
    </w:p>
    <w:p w14:paraId="74DE284A" w14:textId="77777777" w:rsidR="00584EC1" w:rsidRDefault="00584EC1">
      <w:pPr>
        <w:ind w:firstLine="450"/>
      </w:pPr>
    </w:p>
    <w:p w14:paraId="74DE284B" w14:textId="77777777" w:rsidR="00584EC1" w:rsidRDefault="00584EC1">
      <w:pPr>
        <w:ind w:firstLine="450"/>
        <w:jc w:val="center"/>
      </w:pPr>
    </w:p>
    <w:p w14:paraId="74DE284C" w14:textId="77777777" w:rsidR="00584EC1" w:rsidRDefault="00871F8D">
      <w:pPr>
        <w:spacing w:before="180"/>
        <w:jc w:val="both"/>
      </w:pPr>
      <w:r>
        <w:rPr>
          <w:rFonts w:ascii="Arial" w:eastAsia="宋体" w:hAnsi="Arial" w:cs="Arial"/>
          <w:b/>
          <w:bCs/>
          <w:color w:val="000000"/>
          <w:sz w:val="20"/>
          <w:szCs w:val="20"/>
        </w:rPr>
        <w:t>ITEM 6.    EXHIBITS</w:t>
      </w:r>
    </w:p>
    <w:tbl>
      <w:tblPr>
        <w:tblW w:w="5000" w:type="pct"/>
        <w:tblCellMar>
          <w:top w:w="15" w:type="dxa"/>
          <w:left w:w="15" w:type="dxa"/>
          <w:bottom w:w="15" w:type="dxa"/>
          <w:right w:w="15" w:type="dxa"/>
        </w:tblCellMar>
        <w:tblLook w:val="04A0" w:firstRow="1" w:lastRow="0" w:firstColumn="1" w:lastColumn="0" w:noHBand="0" w:noVBand="1"/>
      </w:tblPr>
      <w:tblGrid>
        <w:gridCol w:w="37"/>
        <w:gridCol w:w="167"/>
        <w:gridCol w:w="37"/>
        <w:gridCol w:w="85"/>
        <w:gridCol w:w="759"/>
        <w:gridCol w:w="36"/>
        <w:gridCol w:w="36"/>
        <w:gridCol w:w="36"/>
        <w:gridCol w:w="36"/>
        <w:gridCol w:w="39"/>
        <w:gridCol w:w="7030"/>
        <w:gridCol w:w="38"/>
      </w:tblGrid>
      <w:tr w:rsidR="00584EC1" w14:paraId="74DE2859" w14:textId="77777777">
        <w:tc>
          <w:tcPr>
            <w:tcW w:w="5" w:type="pct"/>
            <w:shd w:val="clear" w:color="auto" w:fill="auto"/>
            <w:vAlign w:val="bottom"/>
          </w:tcPr>
          <w:p w14:paraId="74DE284D" w14:textId="77777777" w:rsidR="00584EC1" w:rsidRDefault="00584EC1">
            <w:pPr>
              <w:rPr>
                <w:rFonts w:ascii="宋体"/>
              </w:rPr>
            </w:pPr>
          </w:p>
        </w:tc>
        <w:tc>
          <w:tcPr>
            <w:tcW w:w="128" w:type="pct"/>
            <w:shd w:val="clear" w:color="auto" w:fill="auto"/>
            <w:vAlign w:val="bottom"/>
          </w:tcPr>
          <w:p w14:paraId="74DE284E" w14:textId="77777777" w:rsidR="00584EC1" w:rsidRDefault="00584EC1">
            <w:pPr>
              <w:rPr>
                <w:rFonts w:ascii="宋体"/>
              </w:rPr>
            </w:pPr>
          </w:p>
        </w:tc>
        <w:tc>
          <w:tcPr>
            <w:tcW w:w="5" w:type="pct"/>
            <w:shd w:val="clear" w:color="auto" w:fill="auto"/>
            <w:vAlign w:val="bottom"/>
          </w:tcPr>
          <w:p w14:paraId="74DE284F" w14:textId="77777777" w:rsidR="00584EC1" w:rsidRDefault="00584EC1">
            <w:pPr>
              <w:rPr>
                <w:rFonts w:ascii="宋体"/>
              </w:rPr>
            </w:pPr>
          </w:p>
        </w:tc>
        <w:tc>
          <w:tcPr>
            <w:tcW w:w="50" w:type="pct"/>
            <w:shd w:val="clear" w:color="auto" w:fill="auto"/>
            <w:vAlign w:val="bottom"/>
          </w:tcPr>
          <w:p w14:paraId="74DE2850" w14:textId="77777777" w:rsidR="00584EC1" w:rsidRDefault="00584EC1">
            <w:pPr>
              <w:rPr>
                <w:rFonts w:ascii="宋体"/>
              </w:rPr>
            </w:pPr>
          </w:p>
        </w:tc>
        <w:tc>
          <w:tcPr>
            <w:tcW w:w="449" w:type="pct"/>
            <w:shd w:val="clear" w:color="auto" w:fill="auto"/>
            <w:vAlign w:val="bottom"/>
          </w:tcPr>
          <w:p w14:paraId="74DE2851" w14:textId="77777777" w:rsidR="00584EC1" w:rsidRDefault="00584EC1">
            <w:pPr>
              <w:rPr>
                <w:rFonts w:ascii="宋体"/>
              </w:rPr>
            </w:pPr>
          </w:p>
        </w:tc>
        <w:tc>
          <w:tcPr>
            <w:tcW w:w="5" w:type="pct"/>
            <w:shd w:val="clear" w:color="auto" w:fill="auto"/>
            <w:vAlign w:val="bottom"/>
          </w:tcPr>
          <w:p w14:paraId="74DE2852" w14:textId="77777777" w:rsidR="00584EC1" w:rsidRDefault="00584EC1">
            <w:pPr>
              <w:rPr>
                <w:rFonts w:ascii="宋体"/>
              </w:rPr>
            </w:pPr>
          </w:p>
        </w:tc>
        <w:tc>
          <w:tcPr>
            <w:tcW w:w="5" w:type="pct"/>
            <w:shd w:val="clear" w:color="auto" w:fill="auto"/>
            <w:vAlign w:val="bottom"/>
          </w:tcPr>
          <w:p w14:paraId="74DE2853" w14:textId="77777777" w:rsidR="00584EC1" w:rsidRDefault="00584EC1">
            <w:pPr>
              <w:rPr>
                <w:rFonts w:ascii="宋体"/>
              </w:rPr>
            </w:pPr>
          </w:p>
        </w:tc>
        <w:tc>
          <w:tcPr>
            <w:tcW w:w="26" w:type="pct"/>
            <w:shd w:val="clear" w:color="auto" w:fill="auto"/>
            <w:vAlign w:val="bottom"/>
          </w:tcPr>
          <w:p w14:paraId="74DE2854" w14:textId="77777777" w:rsidR="00584EC1" w:rsidRDefault="00584EC1">
            <w:pPr>
              <w:rPr>
                <w:rFonts w:ascii="宋体"/>
              </w:rPr>
            </w:pPr>
          </w:p>
        </w:tc>
        <w:tc>
          <w:tcPr>
            <w:tcW w:w="5" w:type="pct"/>
            <w:shd w:val="clear" w:color="auto" w:fill="auto"/>
            <w:vAlign w:val="bottom"/>
          </w:tcPr>
          <w:p w14:paraId="74DE2855" w14:textId="77777777" w:rsidR="00584EC1" w:rsidRDefault="00584EC1">
            <w:pPr>
              <w:rPr>
                <w:rFonts w:ascii="宋体"/>
              </w:rPr>
            </w:pPr>
          </w:p>
        </w:tc>
        <w:tc>
          <w:tcPr>
            <w:tcW w:w="50" w:type="pct"/>
            <w:shd w:val="clear" w:color="auto" w:fill="auto"/>
            <w:vAlign w:val="bottom"/>
          </w:tcPr>
          <w:p w14:paraId="74DE2856" w14:textId="77777777" w:rsidR="00584EC1" w:rsidRDefault="00584EC1">
            <w:pPr>
              <w:rPr>
                <w:rFonts w:ascii="宋体"/>
              </w:rPr>
            </w:pPr>
          </w:p>
        </w:tc>
        <w:tc>
          <w:tcPr>
            <w:tcW w:w="4265" w:type="pct"/>
            <w:shd w:val="clear" w:color="auto" w:fill="auto"/>
            <w:vAlign w:val="bottom"/>
          </w:tcPr>
          <w:p w14:paraId="74DE2857" w14:textId="77777777" w:rsidR="00584EC1" w:rsidRDefault="00584EC1">
            <w:pPr>
              <w:rPr>
                <w:rFonts w:ascii="宋体"/>
              </w:rPr>
            </w:pPr>
          </w:p>
        </w:tc>
        <w:tc>
          <w:tcPr>
            <w:tcW w:w="5" w:type="pct"/>
            <w:shd w:val="clear" w:color="auto" w:fill="auto"/>
            <w:vAlign w:val="bottom"/>
          </w:tcPr>
          <w:p w14:paraId="74DE2858" w14:textId="77777777" w:rsidR="00584EC1" w:rsidRDefault="00584EC1">
            <w:pPr>
              <w:rPr>
                <w:rFonts w:ascii="宋体"/>
              </w:rPr>
            </w:pPr>
          </w:p>
        </w:tc>
      </w:tr>
      <w:tr w:rsidR="00584EC1" w14:paraId="74DE285D" w14:textId="77777777">
        <w:tc>
          <w:tcPr>
            <w:tcW w:w="0" w:type="auto"/>
            <w:gridSpan w:val="6"/>
            <w:shd w:val="clear" w:color="auto" w:fill="auto"/>
            <w:tcMar>
              <w:top w:w="40" w:type="dxa"/>
              <w:left w:w="20" w:type="dxa"/>
              <w:bottom w:w="40" w:type="dxa"/>
              <w:right w:w="20" w:type="dxa"/>
            </w:tcMar>
            <w:vAlign w:val="bottom"/>
          </w:tcPr>
          <w:p w14:paraId="74DE285A" w14:textId="77777777" w:rsidR="00584EC1" w:rsidRDefault="00871F8D">
            <w:pPr>
              <w:textAlignment w:val="bottom"/>
            </w:pPr>
            <w:r>
              <w:rPr>
                <w:rFonts w:ascii="Arial" w:eastAsia="宋体" w:hAnsi="Arial" w:cs="Arial"/>
                <w:color w:val="000000"/>
                <w:sz w:val="20"/>
                <w:szCs w:val="20"/>
              </w:rPr>
              <w:t>Exhibit No.</w:t>
            </w:r>
          </w:p>
        </w:tc>
        <w:tc>
          <w:tcPr>
            <w:tcW w:w="0" w:type="auto"/>
            <w:gridSpan w:val="3"/>
            <w:shd w:val="clear" w:color="auto" w:fill="auto"/>
            <w:tcMar>
              <w:top w:w="0" w:type="dxa"/>
              <w:left w:w="20" w:type="dxa"/>
              <w:bottom w:w="0" w:type="dxa"/>
              <w:right w:w="20" w:type="dxa"/>
            </w:tcMar>
            <w:vAlign w:val="bottom"/>
          </w:tcPr>
          <w:p w14:paraId="74DE285B"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E285C" w14:textId="77777777" w:rsidR="00584EC1" w:rsidRDefault="00871F8D">
            <w:pPr>
              <w:textAlignment w:val="bottom"/>
            </w:pPr>
            <w:r>
              <w:rPr>
                <w:rFonts w:ascii="Arial" w:eastAsia="宋体" w:hAnsi="Arial" w:cs="Arial"/>
                <w:color w:val="000000"/>
                <w:sz w:val="20"/>
                <w:szCs w:val="20"/>
              </w:rPr>
              <w:t>Exhibit Description</w:t>
            </w:r>
          </w:p>
        </w:tc>
      </w:tr>
      <w:tr w:rsidR="00584EC1" w14:paraId="74DE2862" w14:textId="77777777">
        <w:trPr>
          <w:hidden/>
        </w:trPr>
        <w:tc>
          <w:tcPr>
            <w:tcW w:w="0" w:type="auto"/>
            <w:gridSpan w:val="3"/>
            <w:shd w:val="clear" w:color="auto" w:fill="auto"/>
            <w:vAlign w:val="bottom"/>
          </w:tcPr>
          <w:p w14:paraId="74DE285E" w14:textId="77777777" w:rsidR="00584EC1" w:rsidRDefault="00584EC1">
            <w:pPr>
              <w:rPr>
                <w:rFonts w:ascii="宋体"/>
                <w:vanish/>
              </w:rPr>
            </w:pPr>
          </w:p>
        </w:tc>
        <w:tc>
          <w:tcPr>
            <w:tcW w:w="0" w:type="auto"/>
            <w:gridSpan w:val="3"/>
            <w:shd w:val="clear" w:color="auto" w:fill="auto"/>
            <w:vAlign w:val="bottom"/>
          </w:tcPr>
          <w:p w14:paraId="74DE285F" w14:textId="77777777" w:rsidR="00584EC1" w:rsidRDefault="00584EC1">
            <w:pPr>
              <w:rPr>
                <w:rFonts w:ascii="宋体"/>
                <w:vanish/>
              </w:rPr>
            </w:pPr>
          </w:p>
        </w:tc>
        <w:tc>
          <w:tcPr>
            <w:tcW w:w="0" w:type="auto"/>
            <w:gridSpan w:val="3"/>
            <w:shd w:val="clear" w:color="auto" w:fill="auto"/>
            <w:vAlign w:val="bottom"/>
          </w:tcPr>
          <w:p w14:paraId="74DE2860" w14:textId="77777777" w:rsidR="00584EC1" w:rsidRDefault="00584EC1">
            <w:pPr>
              <w:rPr>
                <w:rFonts w:ascii="宋体"/>
                <w:vanish/>
              </w:rPr>
            </w:pPr>
          </w:p>
        </w:tc>
        <w:tc>
          <w:tcPr>
            <w:tcW w:w="0" w:type="auto"/>
            <w:gridSpan w:val="3"/>
            <w:shd w:val="clear" w:color="auto" w:fill="auto"/>
            <w:vAlign w:val="bottom"/>
          </w:tcPr>
          <w:p w14:paraId="74DE2861" w14:textId="77777777" w:rsidR="00584EC1" w:rsidRDefault="00584EC1">
            <w:pPr>
              <w:rPr>
                <w:rFonts w:ascii="宋体"/>
                <w:vanish/>
              </w:rPr>
            </w:pPr>
          </w:p>
        </w:tc>
      </w:tr>
      <w:tr w:rsidR="00584EC1" w14:paraId="74DE2867" w14:textId="77777777">
        <w:trPr>
          <w:hidden/>
        </w:trPr>
        <w:tc>
          <w:tcPr>
            <w:tcW w:w="0" w:type="auto"/>
            <w:gridSpan w:val="3"/>
            <w:shd w:val="clear" w:color="auto" w:fill="auto"/>
            <w:vAlign w:val="bottom"/>
          </w:tcPr>
          <w:p w14:paraId="74DE2863" w14:textId="77777777" w:rsidR="00584EC1" w:rsidRDefault="00584EC1">
            <w:pPr>
              <w:rPr>
                <w:rFonts w:ascii="宋体"/>
                <w:vanish/>
              </w:rPr>
            </w:pPr>
          </w:p>
        </w:tc>
        <w:tc>
          <w:tcPr>
            <w:tcW w:w="0" w:type="auto"/>
            <w:gridSpan w:val="3"/>
            <w:shd w:val="clear" w:color="auto" w:fill="auto"/>
            <w:vAlign w:val="bottom"/>
          </w:tcPr>
          <w:p w14:paraId="74DE2864" w14:textId="77777777" w:rsidR="00584EC1" w:rsidRDefault="00584EC1">
            <w:pPr>
              <w:rPr>
                <w:rFonts w:ascii="宋体"/>
                <w:vanish/>
              </w:rPr>
            </w:pPr>
          </w:p>
        </w:tc>
        <w:tc>
          <w:tcPr>
            <w:tcW w:w="0" w:type="auto"/>
            <w:gridSpan w:val="3"/>
            <w:shd w:val="clear" w:color="auto" w:fill="auto"/>
            <w:vAlign w:val="bottom"/>
          </w:tcPr>
          <w:p w14:paraId="74DE2865" w14:textId="77777777" w:rsidR="00584EC1" w:rsidRDefault="00584EC1">
            <w:pPr>
              <w:rPr>
                <w:rFonts w:ascii="宋体"/>
                <w:vanish/>
              </w:rPr>
            </w:pPr>
          </w:p>
        </w:tc>
        <w:tc>
          <w:tcPr>
            <w:tcW w:w="0" w:type="auto"/>
            <w:gridSpan w:val="3"/>
            <w:shd w:val="clear" w:color="auto" w:fill="auto"/>
            <w:vAlign w:val="bottom"/>
          </w:tcPr>
          <w:p w14:paraId="74DE2866" w14:textId="77777777" w:rsidR="00584EC1" w:rsidRDefault="00584EC1">
            <w:pPr>
              <w:rPr>
                <w:rFonts w:ascii="宋体"/>
                <w:vanish/>
              </w:rPr>
            </w:pPr>
          </w:p>
        </w:tc>
      </w:tr>
      <w:tr w:rsidR="00584EC1" w14:paraId="74DE286C" w14:textId="77777777">
        <w:trPr>
          <w:trHeight w:val="60"/>
        </w:trPr>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2868"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2869"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86A" w14:textId="77777777" w:rsidR="00584EC1" w:rsidRDefault="00584E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DE286B" w14:textId="77777777" w:rsidR="00584EC1" w:rsidRDefault="00584EC1">
            <w:pPr>
              <w:rPr>
                <w:rFonts w:ascii="宋体"/>
              </w:rPr>
            </w:pPr>
          </w:p>
        </w:tc>
      </w:tr>
      <w:tr w:rsidR="00584EC1" w14:paraId="74DE2871" w14:textId="77777777">
        <w:trPr>
          <w:hidden/>
        </w:trPr>
        <w:tc>
          <w:tcPr>
            <w:tcW w:w="0" w:type="auto"/>
            <w:gridSpan w:val="3"/>
            <w:shd w:val="clear" w:color="auto" w:fill="auto"/>
            <w:vAlign w:val="bottom"/>
          </w:tcPr>
          <w:p w14:paraId="74DE286D" w14:textId="77777777" w:rsidR="00584EC1" w:rsidRDefault="00584EC1">
            <w:pPr>
              <w:rPr>
                <w:rFonts w:ascii="宋体"/>
                <w:vanish/>
              </w:rPr>
            </w:pPr>
          </w:p>
        </w:tc>
        <w:tc>
          <w:tcPr>
            <w:tcW w:w="0" w:type="auto"/>
            <w:gridSpan w:val="3"/>
            <w:shd w:val="clear" w:color="auto" w:fill="auto"/>
            <w:vAlign w:val="bottom"/>
          </w:tcPr>
          <w:p w14:paraId="74DE286E" w14:textId="77777777" w:rsidR="00584EC1" w:rsidRDefault="00584EC1">
            <w:pPr>
              <w:rPr>
                <w:rFonts w:ascii="宋体"/>
                <w:vanish/>
              </w:rPr>
            </w:pPr>
          </w:p>
        </w:tc>
        <w:tc>
          <w:tcPr>
            <w:tcW w:w="0" w:type="auto"/>
            <w:gridSpan w:val="3"/>
            <w:shd w:val="clear" w:color="auto" w:fill="auto"/>
            <w:vAlign w:val="bottom"/>
          </w:tcPr>
          <w:p w14:paraId="74DE286F" w14:textId="77777777" w:rsidR="00584EC1" w:rsidRDefault="00584EC1">
            <w:pPr>
              <w:rPr>
                <w:rFonts w:ascii="宋体"/>
                <w:vanish/>
              </w:rPr>
            </w:pPr>
          </w:p>
        </w:tc>
        <w:tc>
          <w:tcPr>
            <w:tcW w:w="0" w:type="auto"/>
            <w:gridSpan w:val="3"/>
            <w:shd w:val="clear" w:color="auto" w:fill="auto"/>
            <w:vAlign w:val="bottom"/>
          </w:tcPr>
          <w:p w14:paraId="74DE2870" w14:textId="77777777" w:rsidR="00584EC1" w:rsidRDefault="00584EC1">
            <w:pPr>
              <w:rPr>
                <w:rFonts w:ascii="宋体"/>
                <w:vanish/>
              </w:rPr>
            </w:pPr>
          </w:p>
        </w:tc>
      </w:tr>
      <w:tr w:rsidR="00584EC1" w14:paraId="74DE2876" w14:textId="77777777">
        <w:trPr>
          <w:trHeight w:val="60"/>
        </w:trPr>
        <w:tc>
          <w:tcPr>
            <w:tcW w:w="0" w:type="auto"/>
            <w:gridSpan w:val="3"/>
            <w:shd w:val="clear" w:color="auto" w:fill="auto"/>
            <w:tcMar>
              <w:top w:w="0" w:type="dxa"/>
              <w:left w:w="20" w:type="dxa"/>
              <w:bottom w:w="0" w:type="dxa"/>
              <w:right w:w="20" w:type="dxa"/>
            </w:tcMar>
            <w:vAlign w:val="bottom"/>
          </w:tcPr>
          <w:p w14:paraId="74DE287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873"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874"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875" w14:textId="77777777" w:rsidR="00584EC1" w:rsidRDefault="00584EC1">
            <w:pPr>
              <w:rPr>
                <w:rFonts w:ascii="宋体"/>
              </w:rPr>
            </w:pPr>
          </w:p>
        </w:tc>
      </w:tr>
      <w:tr w:rsidR="00584EC1" w14:paraId="74DE287B" w14:textId="77777777">
        <w:trPr>
          <w:trHeight w:val="100"/>
        </w:trPr>
        <w:tc>
          <w:tcPr>
            <w:tcW w:w="0" w:type="auto"/>
            <w:gridSpan w:val="3"/>
            <w:shd w:val="clear" w:color="auto" w:fill="auto"/>
            <w:tcMar>
              <w:top w:w="0" w:type="dxa"/>
              <w:left w:w="20" w:type="dxa"/>
              <w:bottom w:w="0" w:type="dxa"/>
              <w:right w:w="20" w:type="dxa"/>
            </w:tcMar>
            <w:vAlign w:val="bottom"/>
          </w:tcPr>
          <w:p w14:paraId="74DE2877"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878"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879"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87A" w14:textId="77777777" w:rsidR="00584EC1" w:rsidRDefault="00584EC1">
            <w:pPr>
              <w:rPr>
                <w:rFonts w:ascii="宋体"/>
              </w:rPr>
            </w:pPr>
          </w:p>
        </w:tc>
      </w:tr>
      <w:tr w:rsidR="00584EC1" w14:paraId="74DE2880" w14:textId="77777777">
        <w:trPr>
          <w:hidden/>
        </w:trPr>
        <w:tc>
          <w:tcPr>
            <w:tcW w:w="0" w:type="auto"/>
            <w:gridSpan w:val="3"/>
            <w:shd w:val="clear" w:color="auto" w:fill="auto"/>
            <w:vAlign w:val="bottom"/>
          </w:tcPr>
          <w:p w14:paraId="74DE287C" w14:textId="77777777" w:rsidR="00584EC1" w:rsidRDefault="00584EC1">
            <w:pPr>
              <w:rPr>
                <w:rFonts w:ascii="宋体"/>
                <w:vanish/>
              </w:rPr>
            </w:pPr>
          </w:p>
        </w:tc>
        <w:tc>
          <w:tcPr>
            <w:tcW w:w="0" w:type="auto"/>
            <w:gridSpan w:val="3"/>
            <w:shd w:val="clear" w:color="auto" w:fill="auto"/>
            <w:vAlign w:val="bottom"/>
          </w:tcPr>
          <w:p w14:paraId="74DE287D" w14:textId="77777777" w:rsidR="00584EC1" w:rsidRDefault="00584EC1">
            <w:pPr>
              <w:rPr>
                <w:rFonts w:ascii="宋体"/>
                <w:vanish/>
              </w:rPr>
            </w:pPr>
          </w:p>
        </w:tc>
        <w:tc>
          <w:tcPr>
            <w:tcW w:w="0" w:type="auto"/>
            <w:gridSpan w:val="3"/>
            <w:shd w:val="clear" w:color="auto" w:fill="auto"/>
            <w:vAlign w:val="bottom"/>
          </w:tcPr>
          <w:p w14:paraId="74DE287E" w14:textId="77777777" w:rsidR="00584EC1" w:rsidRDefault="00584EC1">
            <w:pPr>
              <w:rPr>
                <w:rFonts w:ascii="宋体"/>
                <w:vanish/>
              </w:rPr>
            </w:pPr>
          </w:p>
        </w:tc>
        <w:tc>
          <w:tcPr>
            <w:tcW w:w="0" w:type="auto"/>
            <w:gridSpan w:val="3"/>
            <w:shd w:val="clear" w:color="auto" w:fill="auto"/>
            <w:vAlign w:val="bottom"/>
          </w:tcPr>
          <w:p w14:paraId="74DE287F" w14:textId="77777777" w:rsidR="00584EC1" w:rsidRDefault="00584EC1">
            <w:pPr>
              <w:rPr>
                <w:rFonts w:ascii="宋体"/>
                <w:vanish/>
              </w:rPr>
            </w:pPr>
          </w:p>
        </w:tc>
      </w:tr>
      <w:tr w:rsidR="00584EC1" w14:paraId="74DE2885" w14:textId="77777777">
        <w:trPr>
          <w:hidden/>
        </w:trPr>
        <w:tc>
          <w:tcPr>
            <w:tcW w:w="0" w:type="auto"/>
            <w:gridSpan w:val="3"/>
            <w:shd w:val="clear" w:color="auto" w:fill="auto"/>
            <w:vAlign w:val="bottom"/>
          </w:tcPr>
          <w:p w14:paraId="74DE2881" w14:textId="77777777" w:rsidR="00584EC1" w:rsidRDefault="00584EC1">
            <w:pPr>
              <w:rPr>
                <w:rFonts w:ascii="宋体"/>
                <w:vanish/>
              </w:rPr>
            </w:pPr>
          </w:p>
        </w:tc>
        <w:tc>
          <w:tcPr>
            <w:tcW w:w="0" w:type="auto"/>
            <w:gridSpan w:val="3"/>
            <w:shd w:val="clear" w:color="auto" w:fill="auto"/>
            <w:vAlign w:val="bottom"/>
          </w:tcPr>
          <w:p w14:paraId="74DE2882" w14:textId="77777777" w:rsidR="00584EC1" w:rsidRDefault="00584EC1">
            <w:pPr>
              <w:rPr>
                <w:rFonts w:ascii="宋体"/>
                <w:vanish/>
              </w:rPr>
            </w:pPr>
          </w:p>
        </w:tc>
        <w:tc>
          <w:tcPr>
            <w:tcW w:w="0" w:type="auto"/>
            <w:gridSpan w:val="3"/>
            <w:shd w:val="clear" w:color="auto" w:fill="auto"/>
            <w:vAlign w:val="bottom"/>
          </w:tcPr>
          <w:p w14:paraId="74DE2883" w14:textId="77777777" w:rsidR="00584EC1" w:rsidRDefault="00584EC1">
            <w:pPr>
              <w:rPr>
                <w:rFonts w:ascii="宋体"/>
                <w:vanish/>
              </w:rPr>
            </w:pPr>
          </w:p>
        </w:tc>
        <w:tc>
          <w:tcPr>
            <w:tcW w:w="0" w:type="auto"/>
            <w:gridSpan w:val="3"/>
            <w:shd w:val="clear" w:color="auto" w:fill="auto"/>
            <w:vAlign w:val="bottom"/>
          </w:tcPr>
          <w:p w14:paraId="74DE2884" w14:textId="77777777" w:rsidR="00584EC1" w:rsidRDefault="00584EC1">
            <w:pPr>
              <w:rPr>
                <w:rFonts w:ascii="宋体"/>
                <w:vanish/>
              </w:rPr>
            </w:pPr>
          </w:p>
        </w:tc>
      </w:tr>
      <w:tr w:rsidR="00584EC1" w14:paraId="74DE288B" w14:textId="77777777">
        <w:tc>
          <w:tcPr>
            <w:tcW w:w="0" w:type="auto"/>
            <w:gridSpan w:val="3"/>
            <w:shd w:val="clear" w:color="auto" w:fill="auto"/>
            <w:tcMar>
              <w:top w:w="0" w:type="dxa"/>
              <w:left w:w="20" w:type="dxa"/>
              <w:bottom w:w="0" w:type="dxa"/>
              <w:right w:w="20" w:type="dxa"/>
            </w:tcMar>
            <w:vAlign w:val="bottom"/>
          </w:tcPr>
          <w:p w14:paraId="74DE2886"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tcPr>
          <w:p w14:paraId="74DE2887" w14:textId="77777777" w:rsidR="00584EC1" w:rsidRDefault="00871F8D">
            <w:pPr>
              <w:textAlignment w:val="top"/>
            </w:pPr>
            <w:hyperlink r:id="rId65" w:history="1">
              <w:r>
                <w:rPr>
                  <w:rStyle w:val="a5"/>
                  <w:rFonts w:ascii="Arial" w:eastAsia="宋体" w:hAnsi="Arial" w:cs="Arial"/>
                  <w:sz w:val="20"/>
                  <w:szCs w:val="20"/>
                </w:rPr>
                <w:t>15</w:t>
              </w:r>
            </w:hyperlink>
          </w:p>
        </w:tc>
        <w:tc>
          <w:tcPr>
            <w:tcW w:w="0" w:type="auto"/>
            <w:gridSpan w:val="3"/>
            <w:shd w:val="clear" w:color="auto" w:fill="auto"/>
            <w:tcMar>
              <w:top w:w="0" w:type="dxa"/>
              <w:left w:w="20" w:type="dxa"/>
              <w:bottom w:w="0" w:type="dxa"/>
              <w:right w:w="20" w:type="dxa"/>
            </w:tcMar>
            <w:vAlign w:val="bottom"/>
          </w:tcPr>
          <w:p w14:paraId="74DE2888"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E2889" w14:textId="77777777" w:rsidR="00584EC1" w:rsidRDefault="00871F8D">
            <w:pPr>
              <w:textAlignment w:val="bottom"/>
            </w:pPr>
            <w:hyperlink r:id="rId66" w:history="1">
              <w:r>
                <w:rPr>
                  <w:rStyle w:val="a5"/>
                  <w:rFonts w:ascii="Arial" w:eastAsia="宋体" w:hAnsi="Arial" w:cs="Arial"/>
                  <w:sz w:val="20"/>
                  <w:szCs w:val="20"/>
                </w:rPr>
                <w:t>Acknowledgment Letter of Ernst &amp; Young LLP, Independent Registered Public Accounting Firm</w:t>
              </w:r>
            </w:hyperlink>
          </w:p>
          <w:p w14:paraId="74DE288A" w14:textId="77777777" w:rsidR="00584EC1" w:rsidRDefault="00584EC1">
            <w:pPr>
              <w:textAlignment w:val="bottom"/>
            </w:pPr>
          </w:p>
        </w:tc>
      </w:tr>
      <w:tr w:rsidR="00584EC1" w14:paraId="74DE2890" w14:textId="77777777">
        <w:trPr>
          <w:hidden/>
        </w:trPr>
        <w:tc>
          <w:tcPr>
            <w:tcW w:w="0" w:type="auto"/>
            <w:gridSpan w:val="3"/>
            <w:shd w:val="clear" w:color="auto" w:fill="auto"/>
            <w:vAlign w:val="bottom"/>
          </w:tcPr>
          <w:p w14:paraId="74DE288C" w14:textId="77777777" w:rsidR="00584EC1" w:rsidRDefault="00584EC1">
            <w:pPr>
              <w:rPr>
                <w:rFonts w:ascii="宋体"/>
                <w:vanish/>
              </w:rPr>
            </w:pPr>
          </w:p>
        </w:tc>
        <w:tc>
          <w:tcPr>
            <w:tcW w:w="0" w:type="auto"/>
            <w:gridSpan w:val="3"/>
            <w:shd w:val="clear" w:color="auto" w:fill="auto"/>
            <w:vAlign w:val="bottom"/>
          </w:tcPr>
          <w:p w14:paraId="74DE288D" w14:textId="77777777" w:rsidR="00584EC1" w:rsidRDefault="00584EC1">
            <w:pPr>
              <w:rPr>
                <w:rFonts w:ascii="宋体"/>
                <w:vanish/>
              </w:rPr>
            </w:pPr>
          </w:p>
        </w:tc>
        <w:tc>
          <w:tcPr>
            <w:tcW w:w="0" w:type="auto"/>
            <w:gridSpan w:val="3"/>
            <w:shd w:val="clear" w:color="auto" w:fill="auto"/>
            <w:vAlign w:val="bottom"/>
          </w:tcPr>
          <w:p w14:paraId="74DE288E" w14:textId="77777777" w:rsidR="00584EC1" w:rsidRDefault="00584EC1">
            <w:pPr>
              <w:rPr>
                <w:rFonts w:ascii="宋体"/>
                <w:vanish/>
              </w:rPr>
            </w:pPr>
          </w:p>
        </w:tc>
        <w:tc>
          <w:tcPr>
            <w:tcW w:w="0" w:type="auto"/>
            <w:gridSpan w:val="3"/>
            <w:shd w:val="clear" w:color="auto" w:fill="auto"/>
            <w:vAlign w:val="bottom"/>
          </w:tcPr>
          <w:p w14:paraId="74DE288F" w14:textId="77777777" w:rsidR="00584EC1" w:rsidRDefault="00584EC1">
            <w:pPr>
              <w:rPr>
                <w:rFonts w:ascii="宋体"/>
                <w:vanish/>
              </w:rPr>
            </w:pPr>
          </w:p>
        </w:tc>
      </w:tr>
      <w:tr w:rsidR="00584EC1" w14:paraId="74DE2895" w14:textId="77777777">
        <w:trPr>
          <w:hidden/>
        </w:trPr>
        <w:tc>
          <w:tcPr>
            <w:tcW w:w="0" w:type="auto"/>
            <w:gridSpan w:val="3"/>
            <w:shd w:val="clear" w:color="auto" w:fill="auto"/>
            <w:vAlign w:val="bottom"/>
          </w:tcPr>
          <w:p w14:paraId="74DE2891" w14:textId="77777777" w:rsidR="00584EC1" w:rsidRDefault="00584EC1">
            <w:pPr>
              <w:rPr>
                <w:rFonts w:ascii="宋体"/>
                <w:vanish/>
              </w:rPr>
            </w:pPr>
          </w:p>
        </w:tc>
        <w:tc>
          <w:tcPr>
            <w:tcW w:w="0" w:type="auto"/>
            <w:gridSpan w:val="3"/>
            <w:shd w:val="clear" w:color="auto" w:fill="auto"/>
            <w:vAlign w:val="bottom"/>
          </w:tcPr>
          <w:p w14:paraId="74DE2892" w14:textId="77777777" w:rsidR="00584EC1" w:rsidRDefault="00584EC1">
            <w:pPr>
              <w:rPr>
                <w:rFonts w:ascii="宋体"/>
                <w:vanish/>
              </w:rPr>
            </w:pPr>
          </w:p>
        </w:tc>
        <w:tc>
          <w:tcPr>
            <w:tcW w:w="0" w:type="auto"/>
            <w:gridSpan w:val="3"/>
            <w:shd w:val="clear" w:color="auto" w:fill="auto"/>
            <w:vAlign w:val="bottom"/>
          </w:tcPr>
          <w:p w14:paraId="74DE2893" w14:textId="77777777" w:rsidR="00584EC1" w:rsidRDefault="00584EC1">
            <w:pPr>
              <w:rPr>
                <w:rFonts w:ascii="宋体"/>
                <w:vanish/>
              </w:rPr>
            </w:pPr>
          </w:p>
        </w:tc>
        <w:tc>
          <w:tcPr>
            <w:tcW w:w="0" w:type="auto"/>
            <w:gridSpan w:val="3"/>
            <w:shd w:val="clear" w:color="auto" w:fill="auto"/>
            <w:vAlign w:val="bottom"/>
          </w:tcPr>
          <w:p w14:paraId="74DE2894" w14:textId="77777777" w:rsidR="00584EC1" w:rsidRDefault="00584EC1">
            <w:pPr>
              <w:rPr>
                <w:rFonts w:ascii="宋体"/>
                <w:vanish/>
              </w:rPr>
            </w:pPr>
          </w:p>
        </w:tc>
      </w:tr>
      <w:tr w:rsidR="00584EC1" w14:paraId="74DE289A" w14:textId="77777777">
        <w:trPr>
          <w:hidden/>
        </w:trPr>
        <w:tc>
          <w:tcPr>
            <w:tcW w:w="0" w:type="auto"/>
            <w:gridSpan w:val="3"/>
            <w:shd w:val="clear" w:color="auto" w:fill="auto"/>
            <w:vAlign w:val="bottom"/>
          </w:tcPr>
          <w:p w14:paraId="74DE2896" w14:textId="77777777" w:rsidR="00584EC1" w:rsidRDefault="00584EC1">
            <w:pPr>
              <w:rPr>
                <w:rFonts w:ascii="宋体"/>
                <w:vanish/>
              </w:rPr>
            </w:pPr>
          </w:p>
        </w:tc>
        <w:tc>
          <w:tcPr>
            <w:tcW w:w="0" w:type="auto"/>
            <w:gridSpan w:val="3"/>
            <w:shd w:val="clear" w:color="auto" w:fill="auto"/>
            <w:vAlign w:val="bottom"/>
          </w:tcPr>
          <w:p w14:paraId="74DE2897" w14:textId="77777777" w:rsidR="00584EC1" w:rsidRDefault="00584EC1">
            <w:pPr>
              <w:rPr>
                <w:rFonts w:ascii="宋体"/>
                <w:vanish/>
              </w:rPr>
            </w:pPr>
          </w:p>
        </w:tc>
        <w:tc>
          <w:tcPr>
            <w:tcW w:w="0" w:type="auto"/>
            <w:gridSpan w:val="3"/>
            <w:shd w:val="clear" w:color="auto" w:fill="auto"/>
            <w:vAlign w:val="bottom"/>
          </w:tcPr>
          <w:p w14:paraId="74DE2898" w14:textId="77777777" w:rsidR="00584EC1" w:rsidRDefault="00584EC1">
            <w:pPr>
              <w:rPr>
                <w:rFonts w:ascii="宋体"/>
                <w:vanish/>
              </w:rPr>
            </w:pPr>
          </w:p>
        </w:tc>
        <w:tc>
          <w:tcPr>
            <w:tcW w:w="0" w:type="auto"/>
            <w:gridSpan w:val="3"/>
            <w:shd w:val="clear" w:color="auto" w:fill="auto"/>
            <w:vAlign w:val="bottom"/>
          </w:tcPr>
          <w:p w14:paraId="74DE2899" w14:textId="77777777" w:rsidR="00584EC1" w:rsidRDefault="00584EC1">
            <w:pPr>
              <w:rPr>
                <w:rFonts w:ascii="宋体"/>
                <w:vanish/>
              </w:rPr>
            </w:pPr>
          </w:p>
        </w:tc>
      </w:tr>
      <w:tr w:rsidR="00584EC1" w14:paraId="74DE289F" w14:textId="77777777">
        <w:trPr>
          <w:hidden/>
        </w:trPr>
        <w:tc>
          <w:tcPr>
            <w:tcW w:w="0" w:type="auto"/>
            <w:gridSpan w:val="3"/>
            <w:shd w:val="clear" w:color="auto" w:fill="auto"/>
            <w:vAlign w:val="bottom"/>
          </w:tcPr>
          <w:p w14:paraId="74DE289B" w14:textId="77777777" w:rsidR="00584EC1" w:rsidRDefault="00584EC1">
            <w:pPr>
              <w:rPr>
                <w:rFonts w:ascii="宋体"/>
                <w:vanish/>
              </w:rPr>
            </w:pPr>
          </w:p>
        </w:tc>
        <w:tc>
          <w:tcPr>
            <w:tcW w:w="0" w:type="auto"/>
            <w:gridSpan w:val="3"/>
            <w:shd w:val="clear" w:color="auto" w:fill="auto"/>
            <w:vAlign w:val="bottom"/>
          </w:tcPr>
          <w:p w14:paraId="74DE289C" w14:textId="77777777" w:rsidR="00584EC1" w:rsidRDefault="00584EC1">
            <w:pPr>
              <w:rPr>
                <w:rFonts w:ascii="宋体"/>
                <w:vanish/>
              </w:rPr>
            </w:pPr>
          </w:p>
        </w:tc>
        <w:tc>
          <w:tcPr>
            <w:tcW w:w="0" w:type="auto"/>
            <w:gridSpan w:val="3"/>
            <w:shd w:val="clear" w:color="auto" w:fill="auto"/>
            <w:vAlign w:val="bottom"/>
          </w:tcPr>
          <w:p w14:paraId="74DE289D" w14:textId="77777777" w:rsidR="00584EC1" w:rsidRDefault="00584EC1">
            <w:pPr>
              <w:rPr>
                <w:rFonts w:ascii="宋体"/>
                <w:vanish/>
              </w:rPr>
            </w:pPr>
          </w:p>
        </w:tc>
        <w:tc>
          <w:tcPr>
            <w:tcW w:w="0" w:type="auto"/>
            <w:gridSpan w:val="3"/>
            <w:shd w:val="clear" w:color="auto" w:fill="auto"/>
            <w:vAlign w:val="bottom"/>
          </w:tcPr>
          <w:p w14:paraId="74DE289E" w14:textId="77777777" w:rsidR="00584EC1" w:rsidRDefault="00584EC1">
            <w:pPr>
              <w:rPr>
                <w:rFonts w:ascii="宋体"/>
                <w:vanish/>
              </w:rPr>
            </w:pPr>
          </w:p>
        </w:tc>
      </w:tr>
      <w:tr w:rsidR="00584EC1" w14:paraId="74DE28A4" w14:textId="77777777">
        <w:trPr>
          <w:trHeight w:val="60"/>
        </w:trPr>
        <w:tc>
          <w:tcPr>
            <w:tcW w:w="0" w:type="auto"/>
            <w:gridSpan w:val="3"/>
            <w:shd w:val="clear" w:color="auto" w:fill="auto"/>
            <w:tcMar>
              <w:top w:w="0" w:type="dxa"/>
              <w:left w:w="20" w:type="dxa"/>
              <w:bottom w:w="0" w:type="dxa"/>
              <w:right w:w="20" w:type="dxa"/>
            </w:tcMar>
            <w:vAlign w:val="bottom"/>
          </w:tcPr>
          <w:p w14:paraId="74DE28A0"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8A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8A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8A3" w14:textId="77777777" w:rsidR="00584EC1" w:rsidRDefault="00584EC1">
            <w:pPr>
              <w:rPr>
                <w:rFonts w:ascii="宋体"/>
              </w:rPr>
            </w:pPr>
          </w:p>
        </w:tc>
      </w:tr>
      <w:tr w:rsidR="00584EC1" w14:paraId="74DE28A9" w14:textId="77777777">
        <w:tc>
          <w:tcPr>
            <w:tcW w:w="0" w:type="auto"/>
            <w:gridSpan w:val="3"/>
            <w:shd w:val="clear" w:color="auto" w:fill="auto"/>
            <w:tcMar>
              <w:top w:w="0" w:type="dxa"/>
              <w:left w:w="20" w:type="dxa"/>
              <w:bottom w:w="0" w:type="dxa"/>
              <w:right w:w="20" w:type="dxa"/>
            </w:tcMar>
            <w:vAlign w:val="bottom"/>
          </w:tcPr>
          <w:p w14:paraId="74DE28A5"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tcPr>
          <w:p w14:paraId="74DE28A6" w14:textId="77777777" w:rsidR="00584EC1" w:rsidRDefault="00871F8D">
            <w:pPr>
              <w:textAlignment w:val="top"/>
            </w:pPr>
            <w:hyperlink r:id="rId67" w:history="1">
              <w:r>
                <w:rPr>
                  <w:rStyle w:val="a5"/>
                  <w:rFonts w:ascii="Arial" w:eastAsia="宋体" w:hAnsi="Arial" w:cs="Arial"/>
                  <w:sz w:val="20"/>
                  <w:szCs w:val="20"/>
                </w:rPr>
                <w:t>31.1</w:t>
              </w:r>
            </w:hyperlink>
          </w:p>
        </w:tc>
        <w:tc>
          <w:tcPr>
            <w:tcW w:w="0" w:type="auto"/>
            <w:gridSpan w:val="3"/>
            <w:shd w:val="clear" w:color="auto" w:fill="auto"/>
            <w:tcMar>
              <w:top w:w="0" w:type="dxa"/>
              <w:left w:w="20" w:type="dxa"/>
              <w:bottom w:w="0" w:type="dxa"/>
              <w:right w:w="20" w:type="dxa"/>
            </w:tcMar>
            <w:vAlign w:val="bottom"/>
          </w:tcPr>
          <w:p w14:paraId="74DE28A7"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E28A8" w14:textId="77777777" w:rsidR="00584EC1" w:rsidRDefault="00871F8D">
            <w:pPr>
              <w:textAlignment w:val="bottom"/>
            </w:pPr>
            <w:hyperlink r:id="rId68" w:history="1">
              <w:r>
                <w:rPr>
                  <w:rStyle w:val="a5"/>
                  <w:rFonts w:ascii="Arial" w:eastAsia="宋体" w:hAnsi="Arial" w:cs="Arial"/>
                  <w:sz w:val="20"/>
                  <w:szCs w:val="20"/>
                </w:rPr>
                <w:t>Rule 13a-14(a)/15d-14(a) Cert</w:t>
              </w:r>
              <w:r>
                <w:rPr>
                  <w:rStyle w:val="a5"/>
                  <w:rFonts w:ascii="Arial" w:eastAsia="宋体" w:hAnsi="Arial" w:cs="Arial"/>
                  <w:sz w:val="20"/>
                  <w:szCs w:val="20"/>
                </w:rPr>
                <w:t>ification of Chairman, President and Chief Executive Officer</w:t>
              </w:r>
            </w:hyperlink>
          </w:p>
        </w:tc>
      </w:tr>
      <w:tr w:rsidR="00584EC1" w14:paraId="74DE28AE" w14:textId="77777777">
        <w:trPr>
          <w:trHeight w:val="60"/>
        </w:trPr>
        <w:tc>
          <w:tcPr>
            <w:tcW w:w="0" w:type="auto"/>
            <w:gridSpan w:val="3"/>
            <w:shd w:val="clear" w:color="auto" w:fill="auto"/>
            <w:tcMar>
              <w:top w:w="0" w:type="dxa"/>
              <w:left w:w="20" w:type="dxa"/>
              <w:bottom w:w="0" w:type="dxa"/>
              <w:right w:w="20" w:type="dxa"/>
            </w:tcMar>
            <w:vAlign w:val="bottom"/>
          </w:tcPr>
          <w:p w14:paraId="74DE28AA"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8AB"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8AC"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8AD" w14:textId="77777777" w:rsidR="00584EC1" w:rsidRDefault="00584EC1">
            <w:pPr>
              <w:rPr>
                <w:rFonts w:ascii="宋体"/>
              </w:rPr>
            </w:pPr>
          </w:p>
        </w:tc>
      </w:tr>
      <w:tr w:rsidR="00584EC1" w14:paraId="74DE28B3" w14:textId="77777777">
        <w:tc>
          <w:tcPr>
            <w:tcW w:w="0" w:type="auto"/>
            <w:gridSpan w:val="3"/>
            <w:shd w:val="clear" w:color="auto" w:fill="auto"/>
            <w:tcMar>
              <w:top w:w="0" w:type="dxa"/>
              <w:left w:w="20" w:type="dxa"/>
              <w:bottom w:w="0" w:type="dxa"/>
              <w:right w:w="20" w:type="dxa"/>
            </w:tcMar>
            <w:vAlign w:val="bottom"/>
          </w:tcPr>
          <w:p w14:paraId="74DE28AF"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tcPr>
          <w:p w14:paraId="74DE28B0" w14:textId="77777777" w:rsidR="00584EC1" w:rsidRDefault="00871F8D">
            <w:pPr>
              <w:textAlignment w:val="top"/>
            </w:pPr>
            <w:hyperlink r:id="rId69" w:history="1">
              <w:r>
                <w:rPr>
                  <w:rStyle w:val="a5"/>
                  <w:rFonts w:ascii="Arial" w:eastAsia="宋体" w:hAnsi="Arial" w:cs="Arial"/>
                  <w:sz w:val="20"/>
                  <w:szCs w:val="20"/>
                </w:rPr>
                <w:t>31.2</w:t>
              </w:r>
            </w:hyperlink>
          </w:p>
        </w:tc>
        <w:tc>
          <w:tcPr>
            <w:tcW w:w="0" w:type="auto"/>
            <w:gridSpan w:val="3"/>
            <w:shd w:val="clear" w:color="auto" w:fill="auto"/>
            <w:tcMar>
              <w:top w:w="0" w:type="dxa"/>
              <w:left w:w="20" w:type="dxa"/>
              <w:bottom w:w="0" w:type="dxa"/>
              <w:right w:w="20" w:type="dxa"/>
            </w:tcMar>
            <w:vAlign w:val="bottom"/>
          </w:tcPr>
          <w:p w14:paraId="74DE28B1"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E28B2" w14:textId="77777777" w:rsidR="00584EC1" w:rsidRDefault="00871F8D">
            <w:pPr>
              <w:textAlignment w:val="bottom"/>
            </w:pPr>
            <w:hyperlink r:id="rId70" w:history="1">
              <w:r>
                <w:rPr>
                  <w:rStyle w:val="a5"/>
                  <w:rFonts w:ascii="Arial" w:eastAsia="宋体" w:hAnsi="Arial" w:cs="Arial"/>
                  <w:sz w:val="20"/>
                  <w:szCs w:val="20"/>
                </w:rPr>
                <w:t>Rule 13a-14(a)/15d-14(a) Cert</w:t>
              </w:r>
              <w:r>
                <w:rPr>
                  <w:rStyle w:val="a5"/>
                  <w:rFonts w:ascii="Arial" w:eastAsia="宋体" w:hAnsi="Arial" w:cs="Arial"/>
                  <w:sz w:val="20"/>
                  <w:szCs w:val="20"/>
                </w:rPr>
                <w:t>ification of Chief Financial Officer</w:t>
              </w:r>
            </w:hyperlink>
          </w:p>
        </w:tc>
      </w:tr>
      <w:tr w:rsidR="00584EC1" w14:paraId="74DE28B8" w14:textId="77777777">
        <w:trPr>
          <w:trHeight w:val="60"/>
        </w:trPr>
        <w:tc>
          <w:tcPr>
            <w:tcW w:w="0" w:type="auto"/>
            <w:gridSpan w:val="3"/>
            <w:shd w:val="clear" w:color="auto" w:fill="auto"/>
            <w:tcMar>
              <w:top w:w="0" w:type="dxa"/>
              <w:left w:w="20" w:type="dxa"/>
              <w:bottom w:w="0" w:type="dxa"/>
              <w:right w:w="20" w:type="dxa"/>
            </w:tcMar>
            <w:vAlign w:val="bottom"/>
          </w:tcPr>
          <w:p w14:paraId="74DE28B4"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8B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8B6"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8B7" w14:textId="77777777" w:rsidR="00584EC1" w:rsidRDefault="00584EC1">
            <w:pPr>
              <w:rPr>
                <w:rFonts w:ascii="宋体"/>
              </w:rPr>
            </w:pPr>
          </w:p>
        </w:tc>
      </w:tr>
      <w:tr w:rsidR="00584EC1" w14:paraId="74DE28BD" w14:textId="77777777">
        <w:tc>
          <w:tcPr>
            <w:tcW w:w="0" w:type="auto"/>
            <w:gridSpan w:val="3"/>
            <w:shd w:val="clear" w:color="auto" w:fill="auto"/>
            <w:tcMar>
              <w:top w:w="0" w:type="dxa"/>
              <w:left w:w="20" w:type="dxa"/>
              <w:bottom w:w="0" w:type="dxa"/>
              <w:right w:w="20" w:type="dxa"/>
            </w:tcMar>
            <w:vAlign w:val="bottom"/>
          </w:tcPr>
          <w:p w14:paraId="74DE28B9"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tcPr>
          <w:p w14:paraId="74DE28BA" w14:textId="77777777" w:rsidR="00584EC1" w:rsidRDefault="00871F8D">
            <w:pPr>
              <w:textAlignment w:val="top"/>
            </w:pPr>
            <w:hyperlink r:id="rId71" w:history="1">
              <w:r>
                <w:rPr>
                  <w:rStyle w:val="a5"/>
                  <w:rFonts w:ascii="Arial" w:eastAsia="宋体" w:hAnsi="Arial" w:cs="Arial"/>
                  <w:sz w:val="20"/>
                  <w:szCs w:val="20"/>
                </w:rPr>
                <w:t>32</w:t>
              </w:r>
            </w:hyperlink>
          </w:p>
        </w:tc>
        <w:tc>
          <w:tcPr>
            <w:tcW w:w="0" w:type="auto"/>
            <w:gridSpan w:val="3"/>
            <w:shd w:val="clear" w:color="auto" w:fill="auto"/>
            <w:tcMar>
              <w:top w:w="0" w:type="dxa"/>
              <w:left w:w="20" w:type="dxa"/>
              <w:bottom w:w="0" w:type="dxa"/>
              <w:right w:w="20" w:type="dxa"/>
            </w:tcMar>
            <w:vAlign w:val="bottom"/>
          </w:tcPr>
          <w:p w14:paraId="74DE28BB"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E28BC" w14:textId="77777777" w:rsidR="00584EC1" w:rsidRDefault="00871F8D">
            <w:pPr>
              <w:textAlignment w:val="bottom"/>
            </w:pPr>
            <w:hyperlink r:id="rId72" w:history="1">
              <w:r>
                <w:rPr>
                  <w:rStyle w:val="a5"/>
                  <w:rFonts w:ascii="Arial" w:eastAsia="宋体" w:hAnsi="Arial" w:cs="Arial"/>
                  <w:sz w:val="20"/>
                  <w:szCs w:val="20"/>
                </w:rPr>
                <w:t>Section 1350 Certifications</w:t>
              </w:r>
            </w:hyperlink>
          </w:p>
        </w:tc>
      </w:tr>
      <w:tr w:rsidR="00584EC1" w14:paraId="74DE28C2" w14:textId="77777777">
        <w:trPr>
          <w:trHeight w:val="60"/>
        </w:trPr>
        <w:tc>
          <w:tcPr>
            <w:tcW w:w="0" w:type="auto"/>
            <w:gridSpan w:val="3"/>
            <w:shd w:val="clear" w:color="auto" w:fill="auto"/>
            <w:tcMar>
              <w:top w:w="0" w:type="dxa"/>
              <w:left w:w="20" w:type="dxa"/>
              <w:bottom w:w="0" w:type="dxa"/>
              <w:right w:w="20" w:type="dxa"/>
            </w:tcMar>
            <w:vAlign w:val="bottom"/>
          </w:tcPr>
          <w:p w14:paraId="74DE28BE"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8BF"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8C0"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8C1" w14:textId="77777777" w:rsidR="00584EC1" w:rsidRDefault="00584EC1">
            <w:pPr>
              <w:rPr>
                <w:rFonts w:ascii="宋体"/>
              </w:rPr>
            </w:pPr>
          </w:p>
        </w:tc>
      </w:tr>
      <w:tr w:rsidR="00584EC1" w14:paraId="74DE28C7" w14:textId="77777777">
        <w:tc>
          <w:tcPr>
            <w:tcW w:w="0" w:type="auto"/>
            <w:gridSpan w:val="3"/>
            <w:shd w:val="clear" w:color="auto" w:fill="auto"/>
            <w:tcMar>
              <w:top w:w="0" w:type="dxa"/>
              <w:left w:w="20" w:type="dxa"/>
              <w:bottom w:w="0" w:type="dxa"/>
              <w:right w:w="20" w:type="dxa"/>
            </w:tcMar>
            <w:vAlign w:val="bottom"/>
          </w:tcPr>
          <w:p w14:paraId="74DE28C3"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center"/>
          </w:tcPr>
          <w:p w14:paraId="74DE28C4" w14:textId="77777777" w:rsidR="00584EC1" w:rsidRDefault="00871F8D">
            <w:pPr>
              <w:textAlignment w:val="center"/>
            </w:pPr>
            <w:r>
              <w:rPr>
                <w:rFonts w:ascii="Arial" w:eastAsia="宋体" w:hAnsi="Arial" w:cs="Arial"/>
                <w:color w:val="000000"/>
                <w:sz w:val="20"/>
                <w:szCs w:val="20"/>
              </w:rPr>
              <w:t>101.INS</w:t>
            </w:r>
          </w:p>
        </w:tc>
        <w:tc>
          <w:tcPr>
            <w:tcW w:w="0" w:type="auto"/>
            <w:gridSpan w:val="3"/>
            <w:shd w:val="clear" w:color="auto" w:fill="auto"/>
            <w:tcMar>
              <w:top w:w="0" w:type="dxa"/>
              <w:left w:w="20" w:type="dxa"/>
              <w:bottom w:w="0" w:type="dxa"/>
              <w:right w:w="20" w:type="dxa"/>
            </w:tcMar>
            <w:vAlign w:val="bottom"/>
          </w:tcPr>
          <w:p w14:paraId="74DE28C5"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center"/>
          </w:tcPr>
          <w:p w14:paraId="74DE28C6" w14:textId="77777777" w:rsidR="00584EC1" w:rsidRDefault="00871F8D">
            <w:pPr>
              <w:textAlignment w:val="center"/>
            </w:pPr>
            <w:r>
              <w:rPr>
                <w:rFonts w:ascii="Arial" w:eastAsia="宋体" w:hAnsi="Arial" w:cs="Arial"/>
                <w:color w:val="000000"/>
                <w:sz w:val="20"/>
                <w:szCs w:val="20"/>
              </w:rPr>
              <w:t>The instance document does not appear in the interactive data file because its XBRL tags are embedded within the inline XBRL document</w:t>
            </w:r>
          </w:p>
        </w:tc>
      </w:tr>
      <w:tr w:rsidR="00584EC1" w14:paraId="74DE28CC" w14:textId="77777777">
        <w:trPr>
          <w:trHeight w:val="60"/>
        </w:trPr>
        <w:tc>
          <w:tcPr>
            <w:tcW w:w="0" w:type="auto"/>
            <w:gridSpan w:val="3"/>
            <w:shd w:val="clear" w:color="auto" w:fill="auto"/>
            <w:tcMar>
              <w:top w:w="0" w:type="dxa"/>
              <w:left w:w="20" w:type="dxa"/>
              <w:bottom w:w="0" w:type="dxa"/>
              <w:right w:w="20" w:type="dxa"/>
            </w:tcMar>
            <w:vAlign w:val="bottom"/>
          </w:tcPr>
          <w:p w14:paraId="74DE28C8"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8C9"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8CA"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8CB" w14:textId="77777777" w:rsidR="00584EC1" w:rsidRDefault="00584EC1">
            <w:pPr>
              <w:rPr>
                <w:rFonts w:ascii="宋体"/>
              </w:rPr>
            </w:pPr>
          </w:p>
        </w:tc>
      </w:tr>
      <w:tr w:rsidR="00584EC1" w14:paraId="74DE28D1" w14:textId="77777777">
        <w:tc>
          <w:tcPr>
            <w:tcW w:w="0" w:type="auto"/>
            <w:gridSpan w:val="3"/>
            <w:shd w:val="clear" w:color="auto" w:fill="auto"/>
            <w:tcMar>
              <w:top w:w="40" w:type="dxa"/>
              <w:left w:w="20" w:type="dxa"/>
              <w:bottom w:w="40" w:type="dxa"/>
              <w:right w:w="20" w:type="dxa"/>
            </w:tcMar>
            <w:vAlign w:val="bottom"/>
          </w:tcPr>
          <w:p w14:paraId="74DE28CD" w14:textId="77777777" w:rsidR="00584EC1" w:rsidRDefault="00871F8D">
            <w:pPr>
              <w:jc w:val="center"/>
              <w:textAlignment w:val="bottom"/>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vAlign w:val="bottom"/>
          </w:tcPr>
          <w:p w14:paraId="74DE28CE" w14:textId="77777777" w:rsidR="00584EC1" w:rsidRDefault="00871F8D">
            <w:pPr>
              <w:textAlignment w:val="bottom"/>
            </w:pPr>
            <w:r>
              <w:rPr>
                <w:rFonts w:ascii="Arial" w:eastAsia="宋体" w:hAnsi="Arial" w:cs="Arial"/>
                <w:color w:val="000000"/>
                <w:sz w:val="20"/>
                <w:szCs w:val="20"/>
              </w:rPr>
              <w:t>101.SCH</w:t>
            </w:r>
          </w:p>
        </w:tc>
        <w:tc>
          <w:tcPr>
            <w:tcW w:w="0" w:type="auto"/>
            <w:gridSpan w:val="3"/>
            <w:shd w:val="clear" w:color="auto" w:fill="auto"/>
            <w:tcMar>
              <w:top w:w="0" w:type="dxa"/>
              <w:left w:w="20" w:type="dxa"/>
              <w:bottom w:w="0" w:type="dxa"/>
              <w:right w:w="20" w:type="dxa"/>
            </w:tcMar>
            <w:vAlign w:val="bottom"/>
          </w:tcPr>
          <w:p w14:paraId="74DE28CF"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E28D0" w14:textId="77777777" w:rsidR="00584EC1" w:rsidRDefault="00871F8D">
            <w:pPr>
              <w:textAlignment w:val="bottom"/>
            </w:pPr>
            <w:r>
              <w:rPr>
                <w:rFonts w:ascii="Arial" w:eastAsia="宋体" w:hAnsi="Arial" w:cs="Arial"/>
                <w:color w:val="000000"/>
                <w:sz w:val="20"/>
                <w:szCs w:val="20"/>
              </w:rPr>
              <w:t>Inline XBRL Taxonomy Extension Schema Document</w:t>
            </w:r>
          </w:p>
        </w:tc>
      </w:tr>
      <w:tr w:rsidR="00584EC1" w14:paraId="74DE28D6" w14:textId="77777777">
        <w:trPr>
          <w:trHeight w:val="60"/>
        </w:trPr>
        <w:tc>
          <w:tcPr>
            <w:tcW w:w="0" w:type="auto"/>
            <w:gridSpan w:val="3"/>
            <w:shd w:val="clear" w:color="auto" w:fill="auto"/>
            <w:tcMar>
              <w:top w:w="0" w:type="dxa"/>
              <w:left w:w="20" w:type="dxa"/>
              <w:bottom w:w="0" w:type="dxa"/>
              <w:right w:w="20" w:type="dxa"/>
            </w:tcMar>
            <w:vAlign w:val="bottom"/>
          </w:tcPr>
          <w:p w14:paraId="74DE28D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8D3"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8D4"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8D5" w14:textId="77777777" w:rsidR="00584EC1" w:rsidRDefault="00584EC1">
            <w:pPr>
              <w:rPr>
                <w:rFonts w:ascii="宋体"/>
              </w:rPr>
            </w:pPr>
          </w:p>
        </w:tc>
      </w:tr>
      <w:tr w:rsidR="00584EC1" w14:paraId="74DE28DB" w14:textId="77777777">
        <w:tc>
          <w:tcPr>
            <w:tcW w:w="0" w:type="auto"/>
            <w:gridSpan w:val="3"/>
            <w:shd w:val="clear" w:color="auto" w:fill="auto"/>
            <w:tcMar>
              <w:top w:w="40" w:type="dxa"/>
              <w:left w:w="20" w:type="dxa"/>
              <w:bottom w:w="40" w:type="dxa"/>
              <w:right w:w="20" w:type="dxa"/>
            </w:tcMar>
            <w:vAlign w:val="bottom"/>
          </w:tcPr>
          <w:p w14:paraId="74DE28D7" w14:textId="77777777" w:rsidR="00584EC1" w:rsidRDefault="00871F8D">
            <w:pPr>
              <w:jc w:val="center"/>
              <w:textAlignment w:val="bottom"/>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vAlign w:val="bottom"/>
          </w:tcPr>
          <w:p w14:paraId="74DE28D8" w14:textId="77777777" w:rsidR="00584EC1" w:rsidRDefault="00871F8D">
            <w:pPr>
              <w:textAlignment w:val="bottom"/>
            </w:pPr>
            <w:r>
              <w:rPr>
                <w:rFonts w:ascii="Arial" w:eastAsia="宋体" w:hAnsi="Arial" w:cs="Arial"/>
                <w:color w:val="000000"/>
                <w:sz w:val="20"/>
                <w:szCs w:val="20"/>
              </w:rPr>
              <w:t>101.CAL</w:t>
            </w:r>
          </w:p>
        </w:tc>
        <w:tc>
          <w:tcPr>
            <w:tcW w:w="0" w:type="auto"/>
            <w:gridSpan w:val="3"/>
            <w:shd w:val="clear" w:color="auto" w:fill="auto"/>
            <w:tcMar>
              <w:top w:w="0" w:type="dxa"/>
              <w:left w:w="20" w:type="dxa"/>
              <w:bottom w:w="0" w:type="dxa"/>
              <w:right w:w="20" w:type="dxa"/>
            </w:tcMar>
            <w:vAlign w:val="bottom"/>
          </w:tcPr>
          <w:p w14:paraId="74DE28D9"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E28DA" w14:textId="77777777" w:rsidR="00584EC1" w:rsidRDefault="00871F8D">
            <w:pPr>
              <w:textAlignment w:val="bottom"/>
            </w:pPr>
            <w:r>
              <w:rPr>
                <w:rFonts w:ascii="Arial" w:eastAsia="宋体" w:hAnsi="Arial" w:cs="Arial"/>
                <w:color w:val="000000"/>
                <w:sz w:val="20"/>
                <w:szCs w:val="20"/>
              </w:rPr>
              <w:t xml:space="preserve">Inline XBRL </w:t>
            </w:r>
            <w:r>
              <w:rPr>
                <w:rFonts w:ascii="Arial" w:eastAsia="宋体" w:hAnsi="Arial" w:cs="Arial"/>
                <w:color w:val="000000"/>
                <w:sz w:val="20"/>
                <w:szCs w:val="20"/>
              </w:rPr>
              <w:t>Taxonomy Calculation Linkbase Document</w:t>
            </w:r>
          </w:p>
        </w:tc>
      </w:tr>
      <w:tr w:rsidR="00584EC1" w14:paraId="74DE28E0" w14:textId="77777777">
        <w:trPr>
          <w:trHeight w:val="60"/>
        </w:trPr>
        <w:tc>
          <w:tcPr>
            <w:tcW w:w="0" w:type="auto"/>
            <w:gridSpan w:val="3"/>
            <w:shd w:val="clear" w:color="auto" w:fill="auto"/>
            <w:tcMar>
              <w:top w:w="0" w:type="dxa"/>
              <w:left w:w="20" w:type="dxa"/>
              <w:bottom w:w="0" w:type="dxa"/>
              <w:right w:w="20" w:type="dxa"/>
            </w:tcMar>
            <w:vAlign w:val="bottom"/>
          </w:tcPr>
          <w:p w14:paraId="74DE28DC"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8DD"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8DE"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8DF" w14:textId="77777777" w:rsidR="00584EC1" w:rsidRDefault="00584EC1">
            <w:pPr>
              <w:rPr>
                <w:rFonts w:ascii="宋体"/>
              </w:rPr>
            </w:pPr>
          </w:p>
        </w:tc>
      </w:tr>
      <w:tr w:rsidR="00584EC1" w14:paraId="74DE28E5" w14:textId="77777777">
        <w:tc>
          <w:tcPr>
            <w:tcW w:w="0" w:type="auto"/>
            <w:gridSpan w:val="3"/>
            <w:shd w:val="clear" w:color="auto" w:fill="auto"/>
            <w:tcMar>
              <w:top w:w="40" w:type="dxa"/>
              <w:left w:w="20" w:type="dxa"/>
              <w:bottom w:w="40" w:type="dxa"/>
              <w:right w:w="20" w:type="dxa"/>
            </w:tcMar>
            <w:vAlign w:val="bottom"/>
          </w:tcPr>
          <w:p w14:paraId="74DE28E1" w14:textId="77777777" w:rsidR="00584EC1" w:rsidRDefault="00871F8D">
            <w:pPr>
              <w:jc w:val="center"/>
              <w:textAlignment w:val="bottom"/>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vAlign w:val="bottom"/>
          </w:tcPr>
          <w:p w14:paraId="74DE28E2" w14:textId="77777777" w:rsidR="00584EC1" w:rsidRDefault="00871F8D">
            <w:pPr>
              <w:textAlignment w:val="bottom"/>
            </w:pPr>
            <w:r>
              <w:rPr>
                <w:rFonts w:ascii="Arial" w:eastAsia="宋体" w:hAnsi="Arial" w:cs="Arial"/>
                <w:color w:val="000000"/>
                <w:sz w:val="20"/>
                <w:szCs w:val="20"/>
              </w:rPr>
              <w:t>101.DEF</w:t>
            </w:r>
          </w:p>
        </w:tc>
        <w:tc>
          <w:tcPr>
            <w:tcW w:w="0" w:type="auto"/>
            <w:gridSpan w:val="3"/>
            <w:shd w:val="clear" w:color="auto" w:fill="auto"/>
            <w:tcMar>
              <w:top w:w="0" w:type="dxa"/>
              <w:left w:w="20" w:type="dxa"/>
              <w:bottom w:w="0" w:type="dxa"/>
              <w:right w:w="20" w:type="dxa"/>
            </w:tcMar>
            <w:vAlign w:val="bottom"/>
          </w:tcPr>
          <w:p w14:paraId="74DE28E3"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E28E4" w14:textId="77777777" w:rsidR="00584EC1" w:rsidRDefault="00871F8D">
            <w:pPr>
              <w:textAlignment w:val="bottom"/>
            </w:pPr>
            <w:r>
              <w:rPr>
                <w:rFonts w:ascii="Arial" w:eastAsia="宋体" w:hAnsi="Arial" w:cs="Arial"/>
                <w:color w:val="000000"/>
                <w:sz w:val="20"/>
                <w:szCs w:val="20"/>
              </w:rPr>
              <w:t>Inline XBRL Taxonomy Extension Definition Linkbase Document</w:t>
            </w:r>
          </w:p>
        </w:tc>
      </w:tr>
      <w:tr w:rsidR="00584EC1" w14:paraId="74DE28EA" w14:textId="77777777">
        <w:trPr>
          <w:trHeight w:val="60"/>
        </w:trPr>
        <w:tc>
          <w:tcPr>
            <w:tcW w:w="0" w:type="auto"/>
            <w:gridSpan w:val="3"/>
            <w:shd w:val="clear" w:color="auto" w:fill="auto"/>
            <w:tcMar>
              <w:top w:w="0" w:type="dxa"/>
              <w:left w:w="20" w:type="dxa"/>
              <w:bottom w:w="0" w:type="dxa"/>
              <w:right w:w="20" w:type="dxa"/>
            </w:tcMar>
            <w:vAlign w:val="bottom"/>
          </w:tcPr>
          <w:p w14:paraId="74DE28E6"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8E7"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8E8"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8E9" w14:textId="77777777" w:rsidR="00584EC1" w:rsidRDefault="00584EC1">
            <w:pPr>
              <w:rPr>
                <w:rFonts w:ascii="宋体"/>
              </w:rPr>
            </w:pPr>
          </w:p>
        </w:tc>
      </w:tr>
      <w:tr w:rsidR="00584EC1" w14:paraId="74DE28EF" w14:textId="77777777">
        <w:tc>
          <w:tcPr>
            <w:tcW w:w="0" w:type="auto"/>
            <w:gridSpan w:val="3"/>
            <w:shd w:val="clear" w:color="auto" w:fill="auto"/>
            <w:tcMar>
              <w:top w:w="40" w:type="dxa"/>
              <w:left w:w="20" w:type="dxa"/>
              <w:bottom w:w="40" w:type="dxa"/>
              <w:right w:w="20" w:type="dxa"/>
            </w:tcMar>
            <w:vAlign w:val="bottom"/>
          </w:tcPr>
          <w:p w14:paraId="74DE28EB" w14:textId="77777777" w:rsidR="00584EC1" w:rsidRDefault="00871F8D">
            <w:pPr>
              <w:jc w:val="center"/>
              <w:textAlignment w:val="bottom"/>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vAlign w:val="bottom"/>
          </w:tcPr>
          <w:p w14:paraId="74DE28EC" w14:textId="77777777" w:rsidR="00584EC1" w:rsidRDefault="00871F8D">
            <w:pPr>
              <w:textAlignment w:val="bottom"/>
            </w:pPr>
            <w:r>
              <w:rPr>
                <w:rFonts w:ascii="Arial" w:eastAsia="宋体" w:hAnsi="Arial" w:cs="Arial"/>
                <w:color w:val="000000"/>
                <w:sz w:val="20"/>
                <w:szCs w:val="20"/>
              </w:rPr>
              <w:t>101.LAB</w:t>
            </w:r>
          </w:p>
        </w:tc>
        <w:tc>
          <w:tcPr>
            <w:tcW w:w="0" w:type="auto"/>
            <w:gridSpan w:val="3"/>
            <w:shd w:val="clear" w:color="auto" w:fill="auto"/>
            <w:tcMar>
              <w:top w:w="0" w:type="dxa"/>
              <w:left w:w="20" w:type="dxa"/>
              <w:bottom w:w="0" w:type="dxa"/>
              <w:right w:w="20" w:type="dxa"/>
            </w:tcMar>
            <w:vAlign w:val="bottom"/>
          </w:tcPr>
          <w:p w14:paraId="74DE28ED"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E28EE" w14:textId="77777777" w:rsidR="00584EC1" w:rsidRDefault="00871F8D">
            <w:pPr>
              <w:textAlignment w:val="bottom"/>
            </w:pPr>
            <w:r>
              <w:rPr>
                <w:rFonts w:ascii="Arial" w:eastAsia="宋体" w:hAnsi="Arial" w:cs="Arial"/>
                <w:color w:val="000000"/>
                <w:sz w:val="20"/>
                <w:szCs w:val="20"/>
              </w:rPr>
              <w:t>Inline XBRL Taxonomy Label Linkbase Document</w:t>
            </w:r>
          </w:p>
        </w:tc>
      </w:tr>
      <w:tr w:rsidR="00584EC1" w14:paraId="74DE28F4" w14:textId="77777777">
        <w:trPr>
          <w:trHeight w:val="60"/>
        </w:trPr>
        <w:tc>
          <w:tcPr>
            <w:tcW w:w="0" w:type="auto"/>
            <w:gridSpan w:val="3"/>
            <w:shd w:val="clear" w:color="auto" w:fill="auto"/>
            <w:tcMar>
              <w:top w:w="0" w:type="dxa"/>
              <w:left w:w="20" w:type="dxa"/>
              <w:bottom w:w="0" w:type="dxa"/>
              <w:right w:w="20" w:type="dxa"/>
            </w:tcMar>
            <w:vAlign w:val="bottom"/>
          </w:tcPr>
          <w:p w14:paraId="74DE28F0"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8F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8F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8F3" w14:textId="77777777" w:rsidR="00584EC1" w:rsidRDefault="00584EC1">
            <w:pPr>
              <w:rPr>
                <w:rFonts w:ascii="宋体"/>
              </w:rPr>
            </w:pPr>
          </w:p>
        </w:tc>
      </w:tr>
      <w:tr w:rsidR="00584EC1" w14:paraId="74DE28F9" w14:textId="77777777">
        <w:tc>
          <w:tcPr>
            <w:tcW w:w="0" w:type="auto"/>
            <w:gridSpan w:val="3"/>
            <w:shd w:val="clear" w:color="auto" w:fill="auto"/>
            <w:tcMar>
              <w:top w:w="40" w:type="dxa"/>
              <w:left w:w="20" w:type="dxa"/>
              <w:bottom w:w="40" w:type="dxa"/>
              <w:right w:w="20" w:type="dxa"/>
            </w:tcMar>
            <w:vAlign w:val="bottom"/>
          </w:tcPr>
          <w:p w14:paraId="74DE28F5" w14:textId="77777777" w:rsidR="00584EC1" w:rsidRDefault="00871F8D">
            <w:pPr>
              <w:jc w:val="center"/>
              <w:textAlignment w:val="bottom"/>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vAlign w:val="bottom"/>
          </w:tcPr>
          <w:p w14:paraId="74DE28F6" w14:textId="77777777" w:rsidR="00584EC1" w:rsidRDefault="00871F8D">
            <w:pPr>
              <w:textAlignment w:val="bottom"/>
            </w:pPr>
            <w:r>
              <w:rPr>
                <w:rFonts w:ascii="Arial" w:eastAsia="宋体" w:hAnsi="Arial" w:cs="Arial"/>
                <w:color w:val="000000"/>
                <w:sz w:val="20"/>
                <w:szCs w:val="20"/>
              </w:rPr>
              <w:t>101.PRE</w:t>
            </w:r>
          </w:p>
        </w:tc>
        <w:tc>
          <w:tcPr>
            <w:tcW w:w="0" w:type="auto"/>
            <w:gridSpan w:val="3"/>
            <w:shd w:val="clear" w:color="auto" w:fill="auto"/>
            <w:tcMar>
              <w:top w:w="0" w:type="dxa"/>
              <w:left w:w="20" w:type="dxa"/>
              <w:bottom w:w="0" w:type="dxa"/>
              <w:right w:w="20" w:type="dxa"/>
            </w:tcMar>
            <w:vAlign w:val="bottom"/>
          </w:tcPr>
          <w:p w14:paraId="74DE28F7"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E28F8" w14:textId="77777777" w:rsidR="00584EC1" w:rsidRDefault="00871F8D">
            <w:pPr>
              <w:textAlignment w:val="bottom"/>
            </w:pPr>
            <w:r>
              <w:rPr>
                <w:rFonts w:ascii="Arial" w:eastAsia="宋体" w:hAnsi="Arial" w:cs="Arial"/>
                <w:color w:val="000000"/>
                <w:sz w:val="20"/>
                <w:szCs w:val="20"/>
              </w:rPr>
              <w:t>Inline XBRL Taxonomy Presentation Linkbase Document</w:t>
            </w:r>
          </w:p>
        </w:tc>
      </w:tr>
      <w:tr w:rsidR="00584EC1" w14:paraId="74DE28FE" w14:textId="77777777">
        <w:trPr>
          <w:trHeight w:val="60"/>
        </w:trPr>
        <w:tc>
          <w:tcPr>
            <w:tcW w:w="0" w:type="auto"/>
            <w:gridSpan w:val="3"/>
            <w:shd w:val="clear" w:color="auto" w:fill="auto"/>
            <w:tcMar>
              <w:top w:w="0" w:type="dxa"/>
              <w:left w:w="20" w:type="dxa"/>
              <w:bottom w:w="0" w:type="dxa"/>
              <w:right w:w="20" w:type="dxa"/>
            </w:tcMar>
            <w:vAlign w:val="bottom"/>
          </w:tcPr>
          <w:p w14:paraId="74DE28FA"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8FB"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8FC"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8FD" w14:textId="77777777" w:rsidR="00584EC1" w:rsidRDefault="00584EC1">
            <w:pPr>
              <w:rPr>
                <w:rFonts w:ascii="宋体"/>
              </w:rPr>
            </w:pPr>
          </w:p>
        </w:tc>
      </w:tr>
      <w:tr w:rsidR="00584EC1" w14:paraId="74DE2903" w14:textId="77777777">
        <w:tc>
          <w:tcPr>
            <w:tcW w:w="0" w:type="auto"/>
            <w:gridSpan w:val="3"/>
            <w:shd w:val="clear" w:color="auto" w:fill="auto"/>
            <w:tcMar>
              <w:top w:w="40" w:type="dxa"/>
              <w:left w:w="20" w:type="dxa"/>
              <w:bottom w:w="40" w:type="dxa"/>
              <w:right w:w="20" w:type="dxa"/>
            </w:tcMar>
            <w:vAlign w:val="center"/>
          </w:tcPr>
          <w:p w14:paraId="74DE28FF" w14:textId="77777777" w:rsidR="00584EC1" w:rsidRDefault="00871F8D">
            <w:pPr>
              <w:jc w:val="center"/>
              <w:textAlignment w:val="center"/>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vAlign w:val="center"/>
          </w:tcPr>
          <w:p w14:paraId="74DE2900" w14:textId="77777777" w:rsidR="00584EC1" w:rsidRDefault="00871F8D">
            <w:pPr>
              <w:textAlignment w:val="center"/>
            </w:pPr>
            <w:r>
              <w:rPr>
                <w:rFonts w:ascii="Arial" w:eastAsia="宋体" w:hAnsi="Arial" w:cs="Arial"/>
                <w:color w:val="000000"/>
                <w:sz w:val="20"/>
                <w:szCs w:val="20"/>
              </w:rPr>
              <w:t>104</w:t>
            </w:r>
          </w:p>
        </w:tc>
        <w:tc>
          <w:tcPr>
            <w:tcW w:w="0" w:type="auto"/>
            <w:gridSpan w:val="3"/>
            <w:shd w:val="clear" w:color="auto" w:fill="auto"/>
            <w:tcMar>
              <w:top w:w="0" w:type="dxa"/>
              <w:left w:w="20" w:type="dxa"/>
              <w:bottom w:w="0" w:type="dxa"/>
              <w:right w:w="20" w:type="dxa"/>
            </w:tcMar>
            <w:vAlign w:val="bottom"/>
          </w:tcPr>
          <w:p w14:paraId="74DE2901"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center"/>
          </w:tcPr>
          <w:p w14:paraId="74DE2902" w14:textId="77777777" w:rsidR="00584EC1" w:rsidRDefault="00871F8D">
            <w:pPr>
              <w:textAlignment w:val="center"/>
            </w:pPr>
            <w:r>
              <w:rPr>
                <w:rFonts w:ascii="Arial" w:eastAsia="宋体" w:hAnsi="Arial" w:cs="Arial"/>
                <w:color w:val="000000"/>
                <w:sz w:val="20"/>
                <w:szCs w:val="20"/>
              </w:rPr>
              <w:t>Cover Page Interactive Data File (formatted as Inline XBRL and included within the Exhibit 101 attachments)</w:t>
            </w:r>
          </w:p>
        </w:tc>
      </w:tr>
    </w:tbl>
    <w:p w14:paraId="74DE2904" w14:textId="77777777" w:rsidR="00584EC1" w:rsidRDefault="00584E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538"/>
        <w:gridCol w:w="36"/>
        <w:gridCol w:w="69"/>
        <w:gridCol w:w="1516"/>
        <w:gridCol w:w="36"/>
        <w:gridCol w:w="70"/>
        <w:gridCol w:w="2626"/>
        <w:gridCol w:w="36"/>
      </w:tblGrid>
      <w:tr w:rsidR="00584EC1" w14:paraId="74DE2911" w14:textId="77777777">
        <w:tc>
          <w:tcPr>
            <w:tcW w:w="50" w:type="pct"/>
            <w:shd w:val="clear" w:color="auto" w:fill="auto"/>
            <w:vAlign w:val="bottom"/>
          </w:tcPr>
          <w:p w14:paraId="74DE2905" w14:textId="77777777" w:rsidR="00584EC1" w:rsidRDefault="00584EC1">
            <w:pPr>
              <w:rPr>
                <w:rFonts w:ascii="宋体"/>
              </w:rPr>
            </w:pPr>
          </w:p>
        </w:tc>
        <w:tc>
          <w:tcPr>
            <w:tcW w:w="1348" w:type="pct"/>
            <w:shd w:val="clear" w:color="auto" w:fill="auto"/>
            <w:vAlign w:val="bottom"/>
          </w:tcPr>
          <w:p w14:paraId="74DE2906" w14:textId="77777777" w:rsidR="00584EC1" w:rsidRDefault="00584EC1">
            <w:pPr>
              <w:rPr>
                <w:rFonts w:ascii="宋体"/>
              </w:rPr>
            </w:pPr>
          </w:p>
        </w:tc>
        <w:tc>
          <w:tcPr>
            <w:tcW w:w="5" w:type="pct"/>
            <w:shd w:val="clear" w:color="auto" w:fill="auto"/>
            <w:vAlign w:val="bottom"/>
          </w:tcPr>
          <w:p w14:paraId="74DE2907" w14:textId="77777777" w:rsidR="00584EC1" w:rsidRDefault="00584EC1">
            <w:pPr>
              <w:rPr>
                <w:rFonts w:ascii="宋体"/>
              </w:rPr>
            </w:pPr>
          </w:p>
        </w:tc>
        <w:tc>
          <w:tcPr>
            <w:tcW w:w="50" w:type="pct"/>
            <w:shd w:val="clear" w:color="auto" w:fill="auto"/>
            <w:vAlign w:val="bottom"/>
          </w:tcPr>
          <w:p w14:paraId="74DE2908" w14:textId="77777777" w:rsidR="00584EC1" w:rsidRDefault="00584EC1">
            <w:pPr>
              <w:rPr>
                <w:rFonts w:ascii="宋体"/>
              </w:rPr>
            </w:pPr>
          </w:p>
        </w:tc>
        <w:tc>
          <w:tcPr>
            <w:tcW w:w="931" w:type="pct"/>
            <w:shd w:val="clear" w:color="auto" w:fill="auto"/>
            <w:vAlign w:val="bottom"/>
          </w:tcPr>
          <w:p w14:paraId="74DE2909" w14:textId="77777777" w:rsidR="00584EC1" w:rsidRDefault="00584EC1">
            <w:pPr>
              <w:rPr>
                <w:rFonts w:ascii="宋体"/>
              </w:rPr>
            </w:pPr>
          </w:p>
        </w:tc>
        <w:tc>
          <w:tcPr>
            <w:tcW w:w="5" w:type="pct"/>
            <w:shd w:val="clear" w:color="auto" w:fill="auto"/>
            <w:vAlign w:val="bottom"/>
          </w:tcPr>
          <w:p w14:paraId="74DE290A" w14:textId="77777777" w:rsidR="00584EC1" w:rsidRDefault="00584EC1">
            <w:pPr>
              <w:rPr>
                <w:rFonts w:ascii="宋体"/>
              </w:rPr>
            </w:pPr>
          </w:p>
        </w:tc>
        <w:tc>
          <w:tcPr>
            <w:tcW w:w="50" w:type="pct"/>
            <w:shd w:val="clear" w:color="auto" w:fill="auto"/>
            <w:vAlign w:val="bottom"/>
          </w:tcPr>
          <w:p w14:paraId="74DE290B" w14:textId="77777777" w:rsidR="00584EC1" w:rsidRDefault="00584EC1">
            <w:pPr>
              <w:rPr>
                <w:rFonts w:ascii="宋体"/>
              </w:rPr>
            </w:pPr>
          </w:p>
        </w:tc>
        <w:tc>
          <w:tcPr>
            <w:tcW w:w="917" w:type="pct"/>
            <w:shd w:val="clear" w:color="auto" w:fill="auto"/>
            <w:vAlign w:val="bottom"/>
          </w:tcPr>
          <w:p w14:paraId="74DE290C" w14:textId="77777777" w:rsidR="00584EC1" w:rsidRDefault="00584EC1">
            <w:pPr>
              <w:rPr>
                <w:rFonts w:ascii="宋体"/>
              </w:rPr>
            </w:pPr>
          </w:p>
        </w:tc>
        <w:tc>
          <w:tcPr>
            <w:tcW w:w="5" w:type="pct"/>
            <w:shd w:val="clear" w:color="auto" w:fill="auto"/>
            <w:vAlign w:val="bottom"/>
          </w:tcPr>
          <w:p w14:paraId="74DE290D" w14:textId="77777777" w:rsidR="00584EC1" w:rsidRDefault="00584EC1">
            <w:pPr>
              <w:rPr>
                <w:rFonts w:ascii="宋体"/>
              </w:rPr>
            </w:pPr>
          </w:p>
        </w:tc>
        <w:tc>
          <w:tcPr>
            <w:tcW w:w="50" w:type="pct"/>
            <w:shd w:val="clear" w:color="auto" w:fill="auto"/>
            <w:vAlign w:val="bottom"/>
          </w:tcPr>
          <w:p w14:paraId="74DE290E" w14:textId="77777777" w:rsidR="00584EC1" w:rsidRDefault="00584EC1">
            <w:pPr>
              <w:rPr>
                <w:rFonts w:ascii="宋体"/>
              </w:rPr>
            </w:pPr>
          </w:p>
        </w:tc>
        <w:tc>
          <w:tcPr>
            <w:tcW w:w="1582" w:type="pct"/>
            <w:shd w:val="clear" w:color="auto" w:fill="auto"/>
            <w:vAlign w:val="bottom"/>
          </w:tcPr>
          <w:p w14:paraId="74DE290F" w14:textId="77777777" w:rsidR="00584EC1" w:rsidRDefault="00584EC1">
            <w:pPr>
              <w:rPr>
                <w:rFonts w:ascii="宋体"/>
              </w:rPr>
            </w:pPr>
          </w:p>
        </w:tc>
        <w:tc>
          <w:tcPr>
            <w:tcW w:w="5" w:type="pct"/>
            <w:shd w:val="clear" w:color="auto" w:fill="auto"/>
            <w:vAlign w:val="bottom"/>
          </w:tcPr>
          <w:p w14:paraId="74DE2910" w14:textId="77777777" w:rsidR="00584EC1" w:rsidRDefault="00584EC1">
            <w:pPr>
              <w:rPr>
                <w:rFonts w:ascii="宋体"/>
              </w:rPr>
            </w:pPr>
          </w:p>
        </w:tc>
      </w:tr>
      <w:tr w:rsidR="00584EC1" w14:paraId="74DE2916"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4DE291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913"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914"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915" w14:textId="77777777" w:rsidR="00584EC1" w:rsidRDefault="00584EC1">
            <w:pPr>
              <w:rPr>
                <w:rFonts w:ascii="宋体"/>
              </w:rPr>
            </w:pPr>
          </w:p>
        </w:tc>
      </w:tr>
    </w:tbl>
    <w:p w14:paraId="74DE2917" w14:textId="77777777" w:rsidR="00584EC1" w:rsidRDefault="00584E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178"/>
        <w:gridCol w:w="36"/>
        <w:gridCol w:w="36"/>
        <w:gridCol w:w="36"/>
        <w:gridCol w:w="36"/>
        <w:gridCol w:w="37"/>
        <w:gridCol w:w="7904"/>
        <w:gridCol w:w="36"/>
      </w:tblGrid>
      <w:tr w:rsidR="00584EC1" w14:paraId="74DE2921" w14:textId="77777777">
        <w:tc>
          <w:tcPr>
            <w:tcW w:w="5" w:type="pct"/>
            <w:shd w:val="clear" w:color="auto" w:fill="auto"/>
            <w:vAlign w:val="bottom"/>
          </w:tcPr>
          <w:p w14:paraId="74DE2918" w14:textId="77777777" w:rsidR="00584EC1" w:rsidRDefault="00584EC1">
            <w:pPr>
              <w:rPr>
                <w:rFonts w:ascii="宋体"/>
              </w:rPr>
            </w:pPr>
          </w:p>
        </w:tc>
        <w:tc>
          <w:tcPr>
            <w:tcW w:w="128" w:type="pct"/>
            <w:shd w:val="clear" w:color="auto" w:fill="auto"/>
            <w:vAlign w:val="bottom"/>
          </w:tcPr>
          <w:p w14:paraId="74DE2919" w14:textId="77777777" w:rsidR="00584EC1" w:rsidRDefault="00584EC1">
            <w:pPr>
              <w:rPr>
                <w:rFonts w:ascii="宋体"/>
              </w:rPr>
            </w:pPr>
          </w:p>
        </w:tc>
        <w:tc>
          <w:tcPr>
            <w:tcW w:w="5" w:type="pct"/>
            <w:shd w:val="clear" w:color="auto" w:fill="auto"/>
            <w:vAlign w:val="bottom"/>
          </w:tcPr>
          <w:p w14:paraId="74DE291A" w14:textId="77777777" w:rsidR="00584EC1" w:rsidRDefault="00584EC1">
            <w:pPr>
              <w:rPr>
                <w:rFonts w:ascii="宋体"/>
              </w:rPr>
            </w:pPr>
          </w:p>
        </w:tc>
        <w:tc>
          <w:tcPr>
            <w:tcW w:w="5" w:type="pct"/>
            <w:shd w:val="clear" w:color="auto" w:fill="auto"/>
            <w:vAlign w:val="bottom"/>
          </w:tcPr>
          <w:p w14:paraId="74DE291B" w14:textId="77777777" w:rsidR="00584EC1" w:rsidRDefault="00584EC1">
            <w:pPr>
              <w:rPr>
                <w:rFonts w:ascii="宋体"/>
              </w:rPr>
            </w:pPr>
          </w:p>
        </w:tc>
        <w:tc>
          <w:tcPr>
            <w:tcW w:w="26" w:type="pct"/>
            <w:shd w:val="clear" w:color="auto" w:fill="auto"/>
            <w:vAlign w:val="bottom"/>
          </w:tcPr>
          <w:p w14:paraId="74DE291C" w14:textId="77777777" w:rsidR="00584EC1" w:rsidRDefault="00584EC1">
            <w:pPr>
              <w:rPr>
                <w:rFonts w:ascii="宋体"/>
              </w:rPr>
            </w:pPr>
          </w:p>
        </w:tc>
        <w:tc>
          <w:tcPr>
            <w:tcW w:w="5" w:type="pct"/>
            <w:shd w:val="clear" w:color="auto" w:fill="auto"/>
            <w:vAlign w:val="bottom"/>
          </w:tcPr>
          <w:p w14:paraId="74DE291D" w14:textId="77777777" w:rsidR="00584EC1" w:rsidRDefault="00584EC1">
            <w:pPr>
              <w:rPr>
                <w:rFonts w:ascii="宋体"/>
              </w:rPr>
            </w:pPr>
          </w:p>
        </w:tc>
        <w:tc>
          <w:tcPr>
            <w:tcW w:w="50" w:type="pct"/>
            <w:shd w:val="clear" w:color="auto" w:fill="auto"/>
            <w:vAlign w:val="bottom"/>
          </w:tcPr>
          <w:p w14:paraId="74DE291E" w14:textId="77777777" w:rsidR="00584EC1" w:rsidRDefault="00584EC1">
            <w:pPr>
              <w:rPr>
                <w:rFonts w:ascii="宋体"/>
              </w:rPr>
            </w:pPr>
          </w:p>
        </w:tc>
        <w:tc>
          <w:tcPr>
            <w:tcW w:w="4769" w:type="pct"/>
            <w:shd w:val="clear" w:color="auto" w:fill="auto"/>
            <w:vAlign w:val="bottom"/>
          </w:tcPr>
          <w:p w14:paraId="74DE291F" w14:textId="77777777" w:rsidR="00584EC1" w:rsidRDefault="00584EC1">
            <w:pPr>
              <w:rPr>
                <w:rFonts w:ascii="宋体"/>
              </w:rPr>
            </w:pPr>
          </w:p>
        </w:tc>
        <w:tc>
          <w:tcPr>
            <w:tcW w:w="5" w:type="pct"/>
            <w:shd w:val="clear" w:color="auto" w:fill="auto"/>
            <w:vAlign w:val="bottom"/>
          </w:tcPr>
          <w:p w14:paraId="74DE2920" w14:textId="77777777" w:rsidR="00584EC1" w:rsidRDefault="00584EC1">
            <w:pPr>
              <w:rPr>
                <w:rFonts w:ascii="宋体"/>
              </w:rPr>
            </w:pPr>
          </w:p>
        </w:tc>
      </w:tr>
      <w:tr w:rsidR="00584EC1" w14:paraId="74DE2925" w14:textId="77777777">
        <w:trPr>
          <w:hidden/>
        </w:trPr>
        <w:tc>
          <w:tcPr>
            <w:tcW w:w="0" w:type="auto"/>
            <w:gridSpan w:val="3"/>
            <w:shd w:val="clear" w:color="auto" w:fill="auto"/>
            <w:vAlign w:val="bottom"/>
          </w:tcPr>
          <w:p w14:paraId="74DE2922" w14:textId="77777777" w:rsidR="00584EC1" w:rsidRDefault="00584EC1">
            <w:pPr>
              <w:rPr>
                <w:rFonts w:ascii="宋体"/>
                <w:vanish/>
              </w:rPr>
            </w:pPr>
          </w:p>
        </w:tc>
        <w:tc>
          <w:tcPr>
            <w:tcW w:w="0" w:type="auto"/>
            <w:gridSpan w:val="3"/>
            <w:shd w:val="clear" w:color="auto" w:fill="auto"/>
            <w:vAlign w:val="bottom"/>
          </w:tcPr>
          <w:p w14:paraId="74DE2923" w14:textId="77777777" w:rsidR="00584EC1" w:rsidRDefault="00584EC1">
            <w:pPr>
              <w:rPr>
                <w:rFonts w:ascii="宋体"/>
                <w:vanish/>
              </w:rPr>
            </w:pPr>
          </w:p>
        </w:tc>
        <w:tc>
          <w:tcPr>
            <w:tcW w:w="0" w:type="auto"/>
            <w:gridSpan w:val="3"/>
            <w:shd w:val="clear" w:color="auto" w:fill="auto"/>
            <w:vAlign w:val="bottom"/>
          </w:tcPr>
          <w:p w14:paraId="74DE2924" w14:textId="77777777" w:rsidR="00584EC1" w:rsidRDefault="00584EC1">
            <w:pPr>
              <w:rPr>
                <w:rFonts w:ascii="宋体"/>
                <w:vanish/>
              </w:rPr>
            </w:pPr>
          </w:p>
        </w:tc>
      </w:tr>
      <w:tr w:rsidR="00584EC1" w14:paraId="74DE2929" w14:textId="77777777">
        <w:trPr>
          <w:hidden/>
        </w:trPr>
        <w:tc>
          <w:tcPr>
            <w:tcW w:w="0" w:type="auto"/>
            <w:gridSpan w:val="3"/>
            <w:shd w:val="clear" w:color="auto" w:fill="auto"/>
            <w:vAlign w:val="bottom"/>
          </w:tcPr>
          <w:p w14:paraId="74DE2926" w14:textId="77777777" w:rsidR="00584EC1" w:rsidRDefault="00584EC1">
            <w:pPr>
              <w:rPr>
                <w:rFonts w:ascii="宋体"/>
                <w:vanish/>
              </w:rPr>
            </w:pPr>
          </w:p>
        </w:tc>
        <w:tc>
          <w:tcPr>
            <w:tcW w:w="0" w:type="auto"/>
            <w:gridSpan w:val="3"/>
            <w:shd w:val="clear" w:color="auto" w:fill="auto"/>
            <w:vAlign w:val="bottom"/>
          </w:tcPr>
          <w:p w14:paraId="74DE2927" w14:textId="77777777" w:rsidR="00584EC1" w:rsidRDefault="00584EC1">
            <w:pPr>
              <w:rPr>
                <w:rFonts w:ascii="宋体"/>
                <w:vanish/>
              </w:rPr>
            </w:pPr>
          </w:p>
        </w:tc>
        <w:tc>
          <w:tcPr>
            <w:tcW w:w="0" w:type="auto"/>
            <w:gridSpan w:val="3"/>
            <w:shd w:val="clear" w:color="auto" w:fill="auto"/>
            <w:vAlign w:val="bottom"/>
          </w:tcPr>
          <w:p w14:paraId="74DE2928" w14:textId="77777777" w:rsidR="00584EC1" w:rsidRDefault="00584EC1">
            <w:pPr>
              <w:rPr>
                <w:rFonts w:ascii="宋体"/>
                <w:vanish/>
              </w:rPr>
            </w:pPr>
          </w:p>
        </w:tc>
      </w:tr>
      <w:tr w:rsidR="00584EC1" w14:paraId="74DE292D" w14:textId="77777777">
        <w:trPr>
          <w:trHeight w:val="60"/>
        </w:trPr>
        <w:tc>
          <w:tcPr>
            <w:tcW w:w="0" w:type="auto"/>
            <w:gridSpan w:val="3"/>
            <w:shd w:val="clear" w:color="auto" w:fill="auto"/>
            <w:tcMar>
              <w:top w:w="0" w:type="dxa"/>
              <w:left w:w="20" w:type="dxa"/>
              <w:bottom w:w="0" w:type="dxa"/>
              <w:right w:w="20" w:type="dxa"/>
            </w:tcMar>
            <w:vAlign w:val="bottom"/>
          </w:tcPr>
          <w:p w14:paraId="74DE292A"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92B"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92C" w14:textId="77777777" w:rsidR="00584EC1" w:rsidRDefault="00584EC1">
            <w:pPr>
              <w:rPr>
                <w:rFonts w:ascii="宋体"/>
              </w:rPr>
            </w:pPr>
          </w:p>
        </w:tc>
      </w:tr>
      <w:tr w:rsidR="00584EC1" w14:paraId="74DE2931" w14:textId="77777777">
        <w:tc>
          <w:tcPr>
            <w:tcW w:w="0" w:type="auto"/>
            <w:gridSpan w:val="3"/>
            <w:shd w:val="clear" w:color="auto" w:fill="auto"/>
            <w:tcMar>
              <w:top w:w="40" w:type="dxa"/>
              <w:left w:w="20" w:type="dxa"/>
              <w:bottom w:w="40" w:type="dxa"/>
              <w:right w:w="20" w:type="dxa"/>
            </w:tcMar>
          </w:tcPr>
          <w:p w14:paraId="74DE292E" w14:textId="77777777" w:rsidR="00584EC1" w:rsidRDefault="00871F8D">
            <w:pPr>
              <w:textAlignment w:val="top"/>
            </w:pPr>
            <w:r>
              <w:rPr>
                <w:rFonts w:ascii="Arial" w:eastAsia="宋体" w:hAnsi="Arial" w:cs="Arial"/>
                <w:color w:val="000000"/>
                <w:sz w:val="20"/>
                <w:szCs w:val="20"/>
              </w:rPr>
              <w:t>*</w:t>
            </w:r>
          </w:p>
        </w:tc>
        <w:tc>
          <w:tcPr>
            <w:tcW w:w="0" w:type="auto"/>
            <w:gridSpan w:val="3"/>
            <w:shd w:val="clear" w:color="auto" w:fill="auto"/>
            <w:tcMar>
              <w:top w:w="0" w:type="dxa"/>
              <w:left w:w="20" w:type="dxa"/>
              <w:bottom w:w="0" w:type="dxa"/>
              <w:right w:w="20" w:type="dxa"/>
            </w:tcMar>
            <w:vAlign w:val="bottom"/>
          </w:tcPr>
          <w:p w14:paraId="74DE292F"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E2930" w14:textId="77777777" w:rsidR="00584EC1" w:rsidRDefault="00871F8D">
            <w:pPr>
              <w:textAlignment w:val="bottom"/>
            </w:pPr>
            <w:r>
              <w:rPr>
                <w:rFonts w:ascii="Arial" w:eastAsia="宋体" w:hAnsi="Arial" w:cs="Arial"/>
                <w:color w:val="000000"/>
                <w:sz w:val="20"/>
                <w:szCs w:val="20"/>
              </w:rPr>
              <w:t>Submitted electronically herewith</w:t>
            </w:r>
          </w:p>
        </w:tc>
      </w:tr>
    </w:tbl>
    <w:p w14:paraId="74DE2932" w14:textId="77777777" w:rsidR="00584EC1" w:rsidRDefault="00871F8D">
      <w:pPr>
        <w:ind w:firstLine="450"/>
        <w:jc w:val="both"/>
      </w:pPr>
      <w:r>
        <w:rPr>
          <w:rFonts w:ascii="Arial" w:eastAsia="宋体" w:hAnsi="Arial" w:cs="Arial"/>
          <w:color w:val="000000"/>
          <w:sz w:val="20"/>
          <w:szCs w:val="20"/>
        </w:rPr>
        <w:t xml:space="preserve">Attached as Exhibit 101 to this report are the </w:t>
      </w:r>
      <w:r>
        <w:rPr>
          <w:rFonts w:ascii="Arial" w:eastAsia="宋体" w:hAnsi="Arial" w:cs="Arial"/>
          <w:color w:val="000000"/>
          <w:sz w:val="20"/>
          <w:szCs w:val="20"/>
        </w:rPr>
        <w:t>following formatted in Inline XBRL (Extensible Business Reporting Language): (i) consolidated statement of income for the three and nine months ended September 30, 2021 and 2020, (ii) consolidated statement of comprehensive income for the three and nine mo</w:t>
      </w:r>
      <w:r>
        <w:rPr>
          <w:rFonts w:ascii="Arial" w:eastAsia="宋体" w:hAnsi="Arial" w:cs="Arial"/>
          <w:color w:val="000000"/>
          <w:sz w:val="20"/>
          <w:szCs w:val="20"/>
        </w:rPr>
        <w:t>nths ended September 30, 2021 and 2020, (iii) consolidated statement of condition as of September 30, 2021 and December 31, 2020, (iv) consolidated statement of changes in shareholders' equity for the three and nine months ended September 30, 2021 and 2020</w:t>
      </w:r>
      <w:r>
        <w:rPr>
          <w:rFonts w:ascii="Arial" w:eastAsia="宋体" w:hAnsi="Arial" w:cs="Arial"/>
          <w:color w:val="000000"/>
          <w:sz w:val="20"/>
          <w:szCs w:val="20"/>
        </w:rPr>
        <w:t>, (v) consolidated statement of cash flows for the nine months ended September 30, 2021 and 2020, and (vi) notes to consolidated financial statements.</w:t>
      </w:r>
    </w:p>
    <w:p w14:paraId="74DE2933" w14:textId="77777777" w:rsidR="00584EC1" w:rsidRDefault="00871F8D">
      <w:pPr>
        <w:ind w:firstLine="450"/>
        <w:jc w:val="right"/>
      </w:pPr>
      <w:r>
        <w:rPr>
          <w:rFonts w:ascii="Arial" w:eastAsia="宋体" w:hAnsi="Arial" w:cs="Arial"/>
          <w:color w:val="000000"/>
          <w:sz w:val="18"/>
          <w:szCs w:val="18"/>
        </w:rPr>
        <w:t>State Street Corporation | 101</w:t>
      </w:r>
    </w:p>
    <w:p w14:paraId="74DE2934" w14:textId="77777777" w:rsidR="00584EC1" w:rsidRDefault="00584EC1">
      <w:pPr>
        <w:ind w:firstLine="450"/>
        <w:jc w:val="center"/>
      </w:pPr>
    </w:p>
    <w:p w14:paraId="74DE2935" w14:textId="77777777" w:rsidR="00584EC1" w:rsidRDefault="00871F8D">
      <w:r>
        <w:pict w14:anchorId="74DE2A53">
          <v:rect id="_x0000_i1125" style="width:415.3pt;height:1.5pt" o:hralign="center" o:hrstd="t" o:hr="t" fillcolor="#a0a0a0" stroked="f"/>
        </w:pict>
      </w:r>
    </w:p>
    <w:p w14:paraId="74DE2936" w14:textId="77777777" w:rsidR="00584EC1" w:rsidRDefault="00584EC1">
      <w:pPr>
        <w:ind w:firstLine="450"/>
      </w:pPr>
    </w:p>
    <w:p w14:paraId="74DE2937" w14:textId="77777777" w:rsidR="00584EC1" w:rsidRDefault="00584EC1">
      <w:pPr>
        <w:ind w:firstLine="450"/>
        <w:jc w:val="center"/>
      </w:pPr>
    </w:p>
    <w:p w14:paraId="74DE2938" w14:textId="77777777" w:rsidR="00584EC1" w:rsidRDefault="00871F8D">
      <w:pPr>
        <w:spacing w:before="180"/>
        <w:ind w:firstLine="450"/>
        <w:jc w:val="center"/>
      </w:pPr>
      <w:r>
        <w:rPr>
          <w:rFonts w:ascii="Arial" w:eastAsia="宋体" w:hAnsi="Arial" w:cs="Arial"/>
          <w:b/>
          <w:bCs/>
          <w:color w:val="000000"/>
          <w:sz w:val="20"/>
          <w:szCs w:val="20"/>
        </w:rPr>
        <w:t>SIGNATURES</w:t>
      </w:r>
    </w:p>
    <w:p w14:paraId="74DE2939" w14:textId="77777777" w:rsidR="00584EC1" w:rsidRDefault="00871F8D">
      <w:pPr>
        <w:spacing w:before="90"/>
        <w:ind w:firstLine="450"/>
      </w:pPr>
      <w:r>
        <w:rPr>
          <w:rFonts w:ascii="Arial" w:eastAsia="宋体" w:hAnsi="Arial" w:cs="Arial"/>
          <w:color w:val="000000"/>
          <w:sz w:val="20"/>
          <w:szCs w:val="20"/>
        </w:rPr>
        <w:t xml:space="preserve">Pursuant to the requirement of the Securities </w:t>
      </w:r>
      <w:r>
        <w:rPr>
          <w:rFonts w:ascii="Arial" w:eastAsia="宋体" w:hAnsi="Arial" w:cs="Arial"/>
          <w:color w:val="000000"/>
          <w:sz w:val="20"/>
          <w:szCs w:val="20"/>
        </w:rPr>
        <w:t>Exchange Act of 1934, the registrant has duly caused this report to be signed on its behalf by the undersigned hereunto duly authorized. </w:t>
      </w:r>
    </w:p>
    <w:tbl>
      <w:tblPr>
        <w:tblW w:w="4993" w:type="pct"/>
        <w:tblCellMar>
          <w:top w:w="15" w:type="dxa"/>
          <w:left w:w="15" w:type="dxa"/>
          <w:bottom w:w="15" w:type="dxa"/>
          <w:right w:w="15" w:type="dxa"/>
        </w:tblCellMar>
        <w:tblLook w:val="04A0" w:firstRow="1" w:lastRow="0" w:firstColumn="1" w:lastColumn="0" w:noHBand="0" w:noVBand="1"/>
      </w:tblPr>
      <w:tblGrid>
        <w:gridCol w:w="89"/>
        <w:gridCol w:w="422"/>
        <w:gridCol w:w="36"/>
        <w:gridCol w:w="51"/>
        <w:gridCol w:w="1876"/>
        <w:gridCol w:w="36"/>
        <w:gridCol w:w="36"/>
        <w:gridCol w:w="36"/>
        <w:gridCol w:w="36"/>
        <w:gridCol w:w="37"/>
        <w:gridCol w:w="804"/>
        <w:gridCol w:w="36"/>
        <w:gridCol w:w="36"/>
        <w:gridCol w:w="36"/>
        <w:gridCol w:w="36"/>
        <w:gridCol w:w="42"/>
        <w:gridCol w:w="4643"/>
        <w:gridCol w:w="36"/>
      </w:tblGrid>
      <w:tr w:rsidR="00584EC1" w14:paraId="74DE294C" w14:textId="77777777">
        <w:tc>
          <w:tcPr>
            <w:tcW w:w="50" w:type="pct"/>
            <w:shd w:val="clear" w:color="auto" w:fill="auto"/>
            <w:vAlign w:val="bottom"/>
          </w:tcPr>
          <w:p w14:paraId="74DE293A" w14:textId="77777777" w:rsidR="00584EC1" w:rsidRDefault="00584EC1">
            <w:pPr>
              <w:rPr>
                <w:rFonts w:ascii="宋体"/>
              </w:rPr>
            </w:pPr>
          </w:p>
        </w:tc>
        <w:tc>
          <w:tcPr>
            <w:tcW w:w="237" w:type="pct"/>
            <w:shd w:val="clear" w:color="auto" w:fill="auto"/>
            <w:vAlign w:val="bottom"/>
          </w:tcPr>
          <w:p w14:paraId="74DE293B" w14:textId="77777777" w:rsidR="00584EC1" w:rsidRDefault="00584EC1">
            <w:pPr>
              <w:rPr>
                <w:rFonts w:ascii="宋体"/>
              </w:rPr>
            </w:pPr>
          </w:p>
        </w:tc>
        <w:tc>
          <w:tcPr>
            <w:tcW w:w="5" w:type="pct"/>
            <w:shd w:val="clear" w:color="auto" w:fill="auto"/>
            <w:vAlign w:val="bottom"/>
          </w:tcPr>
          <w:p w14:paraId="74DE293C" w14:textId="77777777" w:rsidR="00584EC1" w:rsidRDefault="00584EC1">
            <w:pPr>
              <w:rPr>
                <w:rFonts w:ascii="宋体"/>
              </w:rPr>
            </w:pPr>
          </w:p>
        </w:tc>
        <w:tc>
          <w:tcPr>
            <w:tcW w:w="50" w:type="pct"/>
            <w:shd w:val="clear" w:color="auto" w:fill="auto"/>
            <w:vAlign w:val="bottom"/>
          </w:tcPr>
          <w:p w14:paraId="74DE293D" w14:textId="77777777" w:rsidR="00584EC1" w:rsidRDefault="00584EC1">
            <w:pPr>
              <w:rPr>
                <w:rFonts w:ascii="宋体"/>
              </w:rPr>
            </w:pPr>
          </w:p>
        </w:tc>
        <w:tc>
          <w:tcPr>
            <w:tcW w:w="1145" w:type="pct"/>
            <w:shd w:val="clear" w:color="auto" w:fill="auto"/>
            <w:vAlign w:val="bottom"/>
          </w:tcPr>
          <w:p w14:paraId="74DE293E" w14:textId="77777777" w:rsidR="00584EC1" w:rsidRDefault="00584EC1">
            <w:pPr>
              <w:rPr>
                <w:rFonts w:ascii="宋体"/>
              </w:rPr>
            </w:pPr>
          </w:p>
        </w:tc>
        <w:tc>
          <w:tcPr>
            <w:tcW w:w="5" w:type="pct"/>
            <w:shd w:val="clear" w:color="auto" w:fill="auto"/>
            <w:vAlign w:val="bottom"/>
          </w:tcPr>
          <w:p w14:paraId="74DE293F" w14:textId="77777777" w:rsidR="00584EC1" w:rsidRDefault="00584EC1">
            <w:pPr>
              <w:rPr>
                <w:rFonts w:ascii="宋体"/>
              </w:rPr>
            </w:pPr>
          </w:p>
        </w:tc>
        <w:tc>
          <w:tcPr>
            <w:tcW w:w="5" w:type="pct"/>
            <w:shd w:val="clear" w:color="auto" w:fill="auto"/>
            <w:vAlign w:val="bottom"/>
          </w:tcPr>
          <w:p w14:paraId="74DE2940" w14:textId="77777777" w:rsidR="00584EC1" w:rsidRDefault="00584EC1">
            <w:pPr>
              <w:rPr>
                <w:rFonts w:ascii="宋体"/>
              </w:rPr>
            </w:pPr>
          </w:p>
        </w:tc>
        <w:tc>
          <w:tcPr>
            <w:tcW w:w="26" w:type="pct"/>
            <w:shd w:val="clear" w:color="auto" w:fill="auto"/>
            <w:vAlign w:val="bottom"/>
          </w:tcPr>
          <w:p w14:paraId="74DE2941" w14:textId="77777777" w:rsidR="00584EC1" w:rsidRDefault="00584EC1">
            <w:pPr>
              <w:rPr>
                <w:rFonts w:ascii="宋体"/>
              </w:rPr>
            </w:pPr>
          </w:p>
        </w:tc>
        <w:tc>
          <w:tcPr>
            <w:tcW w:w="5" w:type="pct"/>
            <w:shd w:val="clear" w:color="auto" w:fill="auto"/>
            <w:vAlign w:val="bottom"/>
          </w:tcPr>
          <w:p w14:paraId="74DE2942" w14:textId="77777777" w:rsidR="00584EC1" w:rsidRDefault="00584EC1">
            <w:pPr>
              <w:rPr>
                <w:rFonts w:ascii="宋体"/>
              </w:rPr>
            </w:pPr>
          </w:p>
        </w:tc>
        <w:tc>
          <w:tcPr>
            <w:tcW w:w="50" w:type="pct"/>
            <w:shd w:val="clear" w:color="auto" w:fill="auto"/>
            <w:vAlign w:val="bottom"/>
          </w:tcPr>
          <w:p w14:paraId="74DE2943" w14:textId="77777777" w:rsidR="00584EC1" w:rsidRDefault="00584EC1">
            <w:pPr>
              <w:rPr>
                <w:rFonts w:ascii="宋体"/>
              </w:rPr>
            </w:pPr>
          </w:p>
        </w:tc>
        <w:tc>
          <w:tcPr>
            <w:tcW w:w="508" w:type="pct"/>
            <w:shd w:val="clear" w:color="auto" w:fill="auto"/>
            <w:vAlign w:val="bottom"/>
          </w:tcPr>
          <w:p w14:paraId="74DE2944" w14:textId="77777777" w:rsidR="00584EC1" w:rsidRDefault="00584EC1">
            <w:pPr>
              <w:rPr>
                <w:rFonts w:ascii="宋体"/>
              </w:rPr>
            </w:pPr>
          </w:p>
        </w:tc>
        <w:tc>
          <w:tcPr>
            <w:tcW w:w="5" w:type="pct"/>
            <w:shd w:val="clear" w:color="auto" w:fill="auto"/>
            <w:vAlign w:val="bottom"/>
          </w:tcPr>
          <w:p w14:paraId="74DE2945" w14:textId="77777777" w:rsidR="00584EC1" w:rsidRDefault="00584EC1">
            <w:pPr>
              <w:rPr>
                <w:rFonts w:ascii="宋体"/>
              </w:rPr>
            </w:pPr>
          </w:p>
        </w:tc>
        <w:tc>
          <w:tcPr>
            <w:tcW w:w="5" w:type="pct"/>
            <w:shd w:val="clear" w:color="auto" w:fill="auto"/>
            <w:vAlign w:val="bottom"/>
          </w:tcPr>
          <w:p w14:paraId="74DE2946" w14:textId="77777777" w:rsidR="00584EC1" w:rsidRDefault="00584EC1">
            <w:pPr>
              <w:rPr>
                <w:rFonts w:ascii="宋体"/>
              </w:rPr>
            </w:pPr>
          </w:p>
        </w:tc>
        <w:tc>
          <w:tcPr>
            <w:tcW w:w="26" w:type="pct"/>
            <w:shd w:val="clear" w:color="auto" w:fill="auto"/>
            <w:vAlign w:val="bottom"/>
          </w:tcPr>
          <w:p w14:paraId="74DE2947" w14:textId="77777777" w:rsidR="00584EC1" w:rsidRDefault="00584EC1">
            <w:pPr>
              <w:rPr>
                <w:rFonts w:ascii="宋体"/>
              </w:rPr>
            </w:pPr>
          </w:p>
        </w:tc>
        <w:tc>
          <w:tcPr>
            <w:tcW w:w="5" w:type="pct"/>
            <w:shd w:val="clear" w:color="auto" w:fill="auto"/>
            <w:vAlign w:val="bottom"/>
          </w:tcPr>
          <w:p w14:paraId="74DE2948" w14:textId="77777777" w:rsidR="00584EC1" w:rsidRDefault="00584EC1">
            <w:pPr>
              <w:rPr>
                <w:rFonts w:ascii="宋体"/>
              </w:rPr>
            </w:pPr>
          </w:p>
        </w:tc>
        <w:tc>
          <w:tcPr>
            <w:tcW w:w="50" w:type="pct"/>
            <w:shd w:val="clear" w:color="auto" w:fill="auto"/>
            <w:vAlign w:val="bottom"/>
          </w:tcPr>
          <w:p w14:paraId="74DE2949" w14:textId="77777777" w:rsidR="00584EC1" w:rsidRDefault="00584EC1">
            <w:pPr>
              <w:rPr>
                <w:rFonts w:ascii="宋体"/>
              </w:rPr>
            </w:pPr>
          </w:p>
        </w:tc>
        <w:tc>
          <w:tcPr>
            <w:tcW w:w="2814" w:type="pct"/>
            <w:shd w:val="clear" w:color="auto" w:fill="auto"/>
            <w:vAlign w:val="bottom"/>
          </w:tcPr>
          <w:p w14:paraId="74DE294A" w14:textId="77777777" w:rsidR="00584EC1" w:rsidRDefault="00584EC1">
            <w:pPr>
              <w:rPr>
                <w:rFonts w:ascii="宋体"/>
              </w:rPr>
            </w:pPr>
          </w:p>
        </w:tc>
        <w:tc>
          <w:tcPr>
            <w:tcW w:w="5" w:type="pct"/>
            <w:shd w:val="clear" w:color="auto" w:fill="auto"/>
            <w:vAlign w:val="bottom"/>
          </w:tcPr>
          <w:p w14:paraId="74DE294B" w14:textId="77777777" w:rsidR="00584EC1" w:rsidRDefault="00584EC1">
            <w:pPr>
              <w:rPr>
                <w:rFonts w:ascii="宋体"/>
              </w:rPr>
            </w:pPr>
          </w:p>
        </w:tc>
      </w:tr>
      <w:tr w:rsidR="00584EC1" w14:paraId="74DE2953" w14:textId="77777777">
        <w:tc>
          <w:tcPr>
            <w:tcW w:w="0" w:type="auto"/>
            <w:gridSpan w:val="3"/>
            <w:shd w:val="clear" w:color="auto" w:fill="auto"/>
            <w:tcMar>
              <w:top w:w="0" w:type="dxa"/>
              <w:left w:w="20" w:type="dxa"/>
              <w:bottom w:w="0" w:type="dxa"/>
              <w:right w:w="20" w:type="dxa"/>
            </w:tcMar>
            <w:vAlign w:val="bottom"/>
          </w:tcPr>
          <w:p w14:paraId="74DE294D"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94E"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94F"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950"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951"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E2952" w14:textId="77777777" w:rsidR="00584EC1" w:rsidRDefault="00871F8D">
            <w:pPr>
              <w:jc w:val="center"/>
              <w:textAlignment w:val="bottom"/>
            </w:pPr>
            <w:r>
              <w:rPr>
                <w:rFonts w:ascii="Arial" w:eastAsia="宋体" w:hAnsi="Arial" w:cs="Arial"/>
                <w:color w:val="000000"/>
                <w:sz w:val="20"/>
                <w:szCs w:val="20"/>
              </w:rPr>
              <w:t>STATE STREET CORPORATION</w:t>
            </w:r>
          </w:p>
        </w:tc>
      </w:tr>
      <w:tr w:rsidR="00584EC1" w14:paraId="74DE295A" w14:textId="77777777">
        <w:tc>
          <w:tcPr>
            <w:tcW w:w="0" w:type="auto"/>
            <w:gridSpan w:val="3"/>
            <w:shd w:val="clear" w:color="auto" w:fill="auto"/>
            <w:tcMar>
              <w:top w:w="0" w:type="dxa"/>
              <w:left w:w="20" w:type="dxa"/>
              <w:bottom w:w="0" w:type="dxa"/>
              <w:right w:w="20" w:type="dxa"/>
            </w:tcMar>
            <w:vAlign w:val="bottom"/>
          </w:tcPr>
          <w:p w14:paraId="74DE2954"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95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956"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957"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958"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E2959" w14:textId="77777777" w:rsidR="00584EC1" w:rsidRDefault="00871F8D">
            <w:pPr>
              <w:jc w:val="center"/>
              <w:textAlignment w:val="bottom"/>
            </w:pPr>
            <w:r>
              <w:rPr>
                <w:rFonts w:ascii="Arial" w:eastAsia="宋体" w:hAnsi="Arial" w:cs="Arial"/>
                <w:color w:val="000000"/>
                <w:sz w:val="20"/>
                <w:szCs w:val="20"/>
              </w:rPr>
              <w:t>(Registrant)</w:t>
            </w:r>
          </w:p>
        </w:tc>
      </w:tr>
      <w:tr w:rsidR="00584EC1" w14:paraId="74DE2961" w14:textId="77777777">
        <w:trPr>
          <w:trHeight w:val="280"/>
        </w:trPr>
        <w:tc>
          <w:tcPr>
            <w:tcW w:w="0" w:type="auto"/>
            <w:gridSpan w:val="3"/>
            <w:shd w:val="clear" w:color="auto" w:fill="auto"/>
            <w:tcMar>
              <w:top w:w="0" w:type="dxa"/>
              <w:left w:w="20" w:type="dxa"/>
              <w:bottom w:w="0" w:type="dxa"/>
              <w:right w:w="20" w:type="dxa"/>
            </w:tcMar>
            <w:vAlign w:val="bottom"/>
          </w:tcPr>
          <w:p w14:paraId="74DE295B"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95C"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95D"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95E"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95F"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960" w14:textId="77777777" w:rsidR="00584EC1" w:rsidRDefault="00584EC1">
            <w:pPr>
              <w:rPr>
                <w:rFonts w:ascii="宋体"/>
              </w:rPr>
            </w:pPr>
          </w:p>
        </w:tc>
      </w:tr>
      <w:tr w:rsidR="00584EC1" w14:paraId="74DE2968" w14:textId="77777777">
        <w:trPr>
          <w:trHeight w:val="280"/>
        </w:trPr>
        <w:tc>
          <w:tcPr>
            <w:tcW w:w="0" w:type="auto"/>
            <w:gridSpan w:val="3"/>
            <w:shd w:val="clear" w:color="auto" w:fill="auto"/>
            <w:tcMar>
              <w:top w:w="0" w:type="dxa"/>
              <w:left w:w="20" w:type="dxa"/>
              <w:bottom w:w="0" w:type="dxa"/>
              <w:right w:w="20" w:type="dxa"/>
            </w:tcMar>
            <w:vAlign w:val="bottom"/>
          </w:tcPr>
          <w:p w14:paraId="74DE296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963"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964"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96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966"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967" w14:textId="77777777" w:rsidR="00584EC1" w:rsidRDefault="00584EC1">
            <w:pPr>
              <w:rPr>
                <w:rFonts w:ascii="宋体"/>
              </w:rPr>
            </w:pPr>
          </w:p>
        </w:tc>
      </w:tr>
      <w:tr w:rsidR="00584EC1" w14:paraId="74DE296F" w14:textId="77777777">
        <w:tc>
          <w:tcPr>
            <w:tcW w:w="0" w:type="auto"/>
            <w:gridSpan w:val="3"/>
            <w:shd w:val="clear" w:color="auto" w:fill="auto"/>
            <w:tcMar>
              <w:top w:w="40" w:type="dxa"/>
              <w:left w:w="20" w:type="dxa"/>
              <w:bottom w:w="40" w:type="dxa"/>
              <w:right w:w="20" w:type="dxa"/>
            </w:tcMar>
          </w:tcPr>
          <w:p w14:paraId="74DE2969" w14:textId="77777777" w:rsidR="00584EC1" w:rsidRDefault="00871F8D">
            <w:pPr>
              <w:textAlignment w:val="top"/>
            </w:pPr>
            <w:r>
              <w:rPr>
                <w:rFonts w:ascii="Arial" w:eastAsia="宋体" w:hAnsi="Arial" w:cs="Arial"/>
                <w:color w:val="000000"/>
                <w:sz w:val="20"/>
                <w:szCs w:val="20"/>
              </w:rPr>
              <w:t>Date:</w:t>
            </w:r>
          </w:p>
        </w:tc>
        <w:tc>
          <w:tcPr>
            <w:tcW w:w="0" w:type="auto"/>
            <w:gridSpan w:val="3"/>
            <w:shd w:val="clear" w:color="auto" w:fill="auto"/>
            <w:tcMar>
              <w:top w:w="40" w:type="dxa"/>
              <w:left w:w="20" w:type="dxa"/>
              <w:bottom w:w="40" w:type="dxa"/>
              <w:right w:w="20" w:type="dxa"/>
            </w:tcMar>
          </w:tcPr>
          <w:p w14:paraId="74DE296A" w14:textId="77777777" w:rsidR="00584EC1" w:rsidRDefault="00871F8D">
            <w:pPr>
              <w:textAlignment w:val="top"/>
            </w:pPr>
            <w:r>
              <w:rPr>
                <w:rFonts w:ascii="Arial" w:eastAsia="宋体" w:hAnsi="Arial" w:cs="Arial"/>
                <w:color w:val="000000"/>
                <w:sz w:val="20"/>
                <w:szCs w:val="20"/>
              </w:rPr>
              <w:t>October 22, 2021</w:t>
            </w:r>
          </w:p>
        </w:tc>
        <w:tc>
          <w:tcPr>
            <w:tcW w:w="0" w:type="auto"/>
            <w:gridSpan w:val="3"/>
            <w:shd w:val="clear" w:color="auto" w:fill="auto"/>
            <w:tcMar>
              <w:top w:w="0" w:type="dxa"/>
              <w:left w:w="20" w:type="dxa"/>
              <w:bottom w:w="0" w:type="dxa"/>
              <w:right w:w="20" w:type="dxa"/>
            </w:tcMar>
            <w:vAlign w:val="bottom"/>
          </w:tcPr>
          <w:p w14:paraId="74DE296B"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tcPr>
          <w:p w14:paraId="74DE296C" w14:textId="77777777" w:rsidR="00584EC1" w:rsidRDefault="00871F8D">
            <w:pPr>
              <w:jc w:val="right"/>
              <w:textAlignment w:val="top"/>
            </w:pPr>
            <w:r>
              <w:rPr>
                <w:rFonts w:ascii="Arial" w:eastAsia="宋体" w:hAnsi="Arial" w:cs="Arial"/>
                <w:color w:val="000000"/>
                <w:sz w:val="20"/>
                <w:szCs w:val="20"/>
              </w:rPr>
              <w:t>By:</w:t>
            </w:r>
          </w:p>
        </w:tc>
        <w:tc>
          <w:tcPr>
            <w:tcW w:w="0" w:type="auto"/>
            <w:gridSpan w:val="3"/>
            <w:shd w:val="clear" w:color="auto" w:fill="auto"/>
            <w:tcMar>
              <w:top w:w="0" w:type="dxa"/>
              <w:left w:w="20" w:type="dxa"/>
              <w:bottom w:w="0" w:type="dxa"/>
              <w:right w:w="20" w:type="dxa"/>
            </w:tcMar>
            <w:vAlign w:val="bottom"/>
          </w:tcPr>
          <w:p w14:paraId="74DE296D"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E296E" w14:textId="77777777" w:rsidR="00584EC1" w:rsidRDefault="00871F8D">
            <w:pPr>
              <w:jc w:val="center"/>
              <w:textAlignment w:val="bottom"/>
            </w:pPr>
            <w:r>
              <w:rPr>
                <w:rFonts w:ascii="Arial" w:eastAsia="宋体" w:hAnsi="Arial" w:cs="Arial"/>
                <w:color w:val="000000"/>
                <w:sz w:val="20"/>
                <w:szCs w:val="20"/>
              </w:rPr>
              <w:t>/s/ E</w:t>
            </w:r>
            <w:r>
              <w:rPr>
                <w:rFonts w:ascii="Arial" w:eastAsia="宋体" w:hAnsi="Arial" w:cs="Arial"/>
                <w:color w:val="000000"/>
                <w:sz w:val="16"/>
                <w:szCs w:val="16"/>
              </w:rPr>
              <w:t>RIC</w:t>
            </w:r>
            <w:r>
              <w:rPr>
                <w:rFonts w:ascii="Arial" w:eastAsia="宋体" w:hAnsi="Arial" w:cs="Arial"/>
                <w:color w:val="000000"/>
                <w:sz w:val="20"/>
                <w:szCs w:val="20"/>
              </w:rPr>
              <w:t xml:space="preserve"> W. A</w:t>
            </w:r>
            <w:r>
              <w:rPr>
                <w:rFonts w:ascii="Arial" w:eastAsia="宋体" w:hAnsi="Arial" w:cs="Arial"/>
                <w:color w:val="000000"/>
                <w:sz w:val="16"/>
                <w:szCs w:val="16"/>
              </w:rPr>
              <w:t>BOAF</w:t>
            </w:r>
          </w:p>
        </w:tc>
      </w:tr>
      <w:tr w:rsidR="00584EC1" w14:paraId="74DE2976" w14:textId="77777777">
        <w:tc>
          <w:tcPr>
            <w:tcW w:w="0" w:type="auto"/>
            <w:gridSpan w:val="3"/>
            <w:shd w:val="clear" w:color="auto" w:fill="auto"/>
            <w:tcMar>
              <w:top w:w="0" w:type="dxa"/>
              <w:left w:w="20" w:type="dxa"/>
              <w:bottom w:w="0" w:type="dxa"/>
              <w:right w:w="20" w:type="dxa"/>
            </w:tcMar>
            <w:vAlign w:val="bottom"/>
          </w:tcPr>
          <w:p w14:paraId="74DE2970"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97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97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973"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974"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2975" w14:textId="77777777" w:rsidR="00584EC1" w:rsidRDefault="00871F8D">
            <w:pPr>
              <w:jc w:val="center"/>
              <w:textAlignment w:val="bottom"/>
            </w:pPr>
            <w:r>
              <w:rPr>
                <w:rFonts w:ascii="Arial" w:eastAsia="宋体" w:hAnsi="Arial" w:cs="Arial"/>
                <w:color w:val="000000"/>
                <w:sz w:val="20"/>
                <w:szCs w:val="20"/>
              </w:rPr>
              <w:t>Eric W. Aboaf,</w:t>
            </w:r>
          </w:p>
        </w:tc>
      </w:tr>
      <w:tr w:rsidR="00584EC1" w14:paraId="74DE297D" w14:textId="77777777">
        <w:tc>
          <w:tcPr>
            <w:tcW w:w="0" w:type="auto"/>
            <w:gridSpan w:val="3"/>
            <w:shd w:val="clear" w:color="auto" w:fill="auto"/>
            <w:tcMar>
              <w:top w:w="0" w:type="dxa"/>
              <w:left w:w="20" w:type="dxa"/>
              <w:bottom w:w="0" w:type="dxa"/>
              <w:right w:w="20" w:type="dxa"/>
            </w:tcMar>
            <w:vAlign w:val="bottom"/>
          </w:tcPr>
          <w:p w14:paraId="74DE2977"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978"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979"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97A"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97B"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E297C" w14:textId="77777777" w:rsidR="00584EC1" w:rsidRDefault="00871F8D">
            <w:pPr>
              <w:jc w:val="center"/>
              <w:textAlignment w:val="bottom"/>
            </w:pPr>
            <w:r>
              <w:rPr>
                <w:rFonts w:ascii="Arial" w:eastAsia="宋体" w:hAnsi="Arial" w:cs="Arial"/>
                <w:i/>
                <w:iCs/>
                <w:color w:val="000000"/>
                <w:sz w:val="20"/>
                <w:szCs w:val="20"/>
              </w:rPr>
              <w:t>Executive Vice President and Chief Financial Officer (Principal Financial Officer)</w:t>
            </w:r>
          </w:p>
        </w:tc>
      </w:tr>
      <w:tr w:rsidR="00584EC1" w14:paraId="74DE2984" w14:textId="77777777">
        <w:trPr>
          <w:trHeight w:val="300"/>
        </w:trPr>
        <w:tc>
          <w:tcPr>
            <w:tcW w:w="0" w:type="auto"/>
            <w:gridSpan w:val="3"/>
            <w:shd w:val="clear" w:color="auto" w:fill="auto"/>
            <w:tcMar>
              <w:top w:w="0" w:type="dxa"/>
              <w:left w:w="20" w:type="dxa"/>
              <w:bottom w:w="0" w:type="dxa"/>
              <w:right w:w="20" w:type="dxa"/>
            </w:tcMar>
            <w:vAlign w:val="bottom"/>
          </w:tcPr>
          <w:p w14:paraId="74DE297E"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97F"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980"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981"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98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983" w14:textId="77777777" w:rsidR="00584EC1" w:rsidRDefault="00584EC1">
            <w:pPr>
              <w:rPr>
                <w:rFonts w:ascii="宋体"/>
              </w:rPr>
            </w:pPr>
          </w:p>
        </w:tc>
      </w:tr>
      <w:tr w:rsidR="00584EC1" w14:paraId="74DE298B" w14:textId="77777777">
        <w:trPr>
          <w:trHeight w:val="300"/>
        </w:trPr>
        <w:tc>
          <w:tcPr>
            <w:tcW w:w="0" w:type="auto"/>
            <w:gridSpan w:val="3"/>
            <w:shd w:val="clear" w:color="auto" w:fill="auto"/>
            <w:tcMar>
              <w:top w:w="0" w:type="dxa"/>
              <w:left w:w="20" w:type="dxa"/>
              <w:bottom w:w="0" w:type="dxa"/>
              <w:right w:w="20" w:type="dxa"/>
            </w:tcMar>
            <w:vAlign w:val="bottom"/>
          </w:tcPr>
          <w:p w14:paraId="74DE298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986"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987"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988"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989"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98A" w14:textId="77777777" w:rsidR="00584EC1" w:rsidRDefault="00584EC1">
            <w:pPr>
              <w:rPr>
                <w:rFonts w:ascii="宋体"/>
              </w:rPr>
            </w:pPr>
          </w:p>
        </w:tc>
      </w:tr>
      <w:tr w:rsidR="00584EC1" w14:paraId="74DE2992" w14:textId="77777777">
        <w:tc>
          <w:tcPr>
            <w:tcW w:w="0" w:type="auto"/>
            <w:gridSpan w:val="3"/>
            <w:shd w:val="clear" w:color="auto" w:fill="auto"/>
            <w:tcMar>
              <w:top w:w="40" w:type="dxa"/>
              <w:left w:w="20" w:type="dxa"/>
              <w:bottom w:w="40" w:type="dxa"/>
              <w:right w:w="20" w:type="dxa"/>
            </w:tcMar>
          </w:tcPr>
          <w:p w14:paraId="74DE298C" w14:textId="77777777" w:rsidR="00584EC1" w:rsidRDefault="00871F8D">
            <w:pPr>
              <w:textAlignment w:val="top"/>
            </w:pPr>
            <w:r>
              <w:rPr>
                <w:rFonts w:ascii="Arial" w:eastAsia="宋体" w:hAnsi="Arial" w:cs="Arial"/>
                <w:color w:val="000000"/>
                <w:sz w:val="20"/>
                <w:szCs w:val="20"/>
              </w:rPr>
              <w:t>Date:</w:t>
            </w:r>
          </w:p>
        </w:tc>
        <w:tc>
          <w:tcPr>
            <w:tcW w:w="0" w:type="auto"/>
            <w:gridSpan w:val="3"/>
            <w:shd w:val="clear" w:color="auto" w:fill="auto"/>
            <w:tcMar>
              <w:top w:w="40" w:type="dxa"/>
              <w:left w:w="20" w:type="dxa"/>
              <w:bottom w:w="40" w:type="dxa"/>
              <w:right w:w="20" w:type="dxa"/>
            </w:tcMar>
          </w:tcPr>
          <w:p w14:paraId="74DE298D" w14:textId="77777777" w:rsidR="00584EC1" w:rsidRDefault="00871F8D">
            <w:pPr>
              <w:textAlignment w:val="top"/>
            </w:pPr>
            <w:r>
              <w:rPr>
                <w:rFonts w:ascii="Arial" w:eastAsia="宋体" w:hAnsi="Arial" w:cs="Arial"/>
                <w:color w:val="000000"/>
                <w:sz w:val="20"/>
                <w:szCs w:val="20"/>
              </w:rPr>
              <w:t>October 22, 2021</w:t>
            </w:r>
          </w:p>
        </w:tc>
        <w:tc>
          <w:tcPr>
            <w:tcW w:w="0" w:type="auto"/>
            <w:gridSpan w:val="3"/>
            <w:shd w:val="clear" w:color="auto" w:fill="auto"/>
            <w:tcMar>
              <w:top w:w="0" w:type="dxa"/>
              <w:left w:w="20" w:type="dxa"/>
              <w:bottom w:w="0" w:type="dxa"/>
              <w:right w:w="20" w:type="dxa"/>
            </w:tcMar>
            <w:vAlign w:val="bottom"/>
          </w:tcPr>
          <w:p w14:paraId="74DE298E"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tcPr>
          <w:p w14:paraId="74DE298F" w14:textId="77777777" w:rsidR="00584EC1" w:rsidRDefault="00871F8D">
            <w:pPr>
              <w:jc w:val="right"/>
              <w:textAlignment w:val="top"/>
            </w:pPr>
            <w:r>
              <w:rPr>
                <w:rFonts w:ascii="Arial" w:eastAsia="宋体" w:hAnsi="Arial" w:cs="Arial"/>
                <w:color w:val="000000"/>
                <w:sz w:val="20"/>
                <w:szCs w:val="20"/>
              </w:rPr>
              <w:t>By:</w:t>
            </w:r>
          </w:p>
        </w:tc>
        <w:tc>
          <w:tcPr>
            <w:tcW w:w="0" w:type="auto"/>
            <w:gridSpan w:val="3"/>
            <w:shd w:val="clear" w:color="auto" w:fill="auto"/>
            <w:tcMar>
              <w:top w:w="0" w:type="dxa"/>
              <w:left w:w="20" w:type="dxa"/>
              <w:bottom w:w="0" w:type="dxa"/>
              <w:right w:w="20" w:type="dxa"/>
            </w:tcMar>
            <w:vAlign w:val="bottom"/>
          </w:tcPr>
          <w:p w14:paraId="74DE2990"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E2991" w14:textId="77777777" w:rsidR="00584EC1" w:rsidRDefault="00871F8D">
            <w:pPr>
              <w:jc w:val="center"/>
              <w:textAlignment w:val="bottom"/>
            </w:pPr>
            <w:r>
              <w:rPr>
                <w:rFonts w:ascii="Arial" w:eastAsia="宋体" w:hAnsi="Arial" w:cs="Arial"/>
                <w:color w:val="000000"/>
                <w:sz w:val="20"/>
                <w:szCs w:val="20"/>
              </w:rPr>
              <w:t>/s/ I</w:t>
            </w:r>
            <w:r>
              <w:rPr>
                <w:rFonts w:ascii="Arial" w:eastAsia="宋体" w:hAnsi="Arial" w:cs="Arial"/>
                <w:color w:val="000000"/>
                <w:sz w:val="16"/>
                <w:szCs w:val="16"/>
              </w:rPr>
              <w:t>AN</w:t>
            </w:r>
            <w:r>
              <w:rPr>
                <w:rFonts w:ascii="Arial" w:eastAsia="宋体" w:hAnsi="Arial" w:cs="Arial"/>
                <w:color w:val="000000"/>
                <w:sz w:val="20"/>
                <w:szCs w:val="20"/>
              </w:rPr>
              <w:t xml:space="preserve"> W</w:t>
            </w:r>
            <w:r>
              <w:rPr>
                <w:rFonts w:ascii="Arial" w:eastAsia="宋体" w:hAnsi="Arial" w:cs="Arial"/>
                <w:color w:val="000000"/>
                <w:sz w:val="16"/>
                <w:szCs w:val="16"/>
              </w:rPr>
              <w:t>.</w:t>
            </w:r>
            <w:r>
              <w:rPr>
                <w:rFonts w:ascii="Arial" w:eastAsia="宋体" w:hAnsi="Arial" w:cs="Arial"/>
                <w:color w:val="000000"/>
                <w:sz w:val="20"/>
                <w:szCs w:val="20"/>
              </w:rPr>
              <w:t xml:space="preserve"> A</w:t>
            </w:r>
            <w:r>
              <w:rPr>
                <w:rFonts w:ascii="Arial" w:eastAsia="宋体" w:hAnsi="Arial" w:cs="Arial"/>
                <w:color w:val="000000"/>
                <w:sz w:val="16"/>
                <w:szCs w:val="16"/>
              </w:rPr>
              <w:t>PPLEYARD</w:t>
            </w:r>
          </w:p>
        </w:tc>
      </w:tr>
      <w:tr w:rsidR="00584EC1" w14:paraId="74DE2999" w14:textId="77777777">
        <w:tc>
          <w:tcPr>
            <w:tcW w:w="0" w:type="auto"/>
            <w:gridSpan w:val="3"/>
            <w:shd w:val="clear" w:color="auto" w:fill="auto"/>
            <w:tcMar>
              <w:top w:w="0" w:type="dxa"/>
              <w:left w:w="20" w:type="dxa"/>
              <w:bottom w:w="0" w:type="dxa"/>
              <w:right w:w="20" w:type="dxa"/>
            </w:tcMar>
            <w:vAlign w:val="bottom"/>
          </w:tcPr>
          <w:p w14:paraId="74DE2993"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994"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99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996"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997" w14:textId="77777777" w:rsidR="00584EC1" w:rsidRDefault="00584E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4DE2998" w14:textId="77777777" w:rsidR="00584EC1" w:rsidRDefault="00871F8D">
            <w:pPr>
              <w:jc w:val="center"/>
              <w:textAlignment w:val="bottom"/>
            </w:pPr>
            <w:r>
              <w:rPr>
                <w:rFonts w:ascii="Arial" w:eastAsia="宋体" w:hAnsi="Arial" w:cs="Arial"/>
                <w:color w:val="000000"/>
                <w:sz w:val="20"/>
                <w:szCs w:val="20"/>
              </w:rPr>
              <w:t>Ian W. Appleyard,</w:t>
            </w:r>
          </w:p>
        </w:tc>
      </w:tr>
      <w:tr w:rsidR="00584EC1" w14:paraId="74DE29A1" w14:textId="77777777">
        <w:tc>
          <w:tcPr>
            <w:tcW w:w="0" w:type="auto"/>
            <w:gridSpan w:val="3"/>
            <w:shd w:val="clear" w:color="auto" w:fill="auto"/>
            <w:tcMar>
              <w:top w:w="0" w:type="dxa"/>
              <w:left w:w="20" w:type="dxa"/>
              <w:bottom w:w="0" w:type="dxa"/>
              <w:right w:w="20" w:type="dxa"/>
            </w:tcMar>
            <w:vAlign w:val="bottom"/>
          </w:tcPr>
          <w:p w14:paraId="74DE299A"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99B"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99C"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99D"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99E" w14:textId="77777777" w:rsidR="00584EC1" w:rsidRDefault="00584EC1">
            <w:pPr>
              <w:rPr>
                <w:rFonts w:ascii="宋体"/>
              </w:rPr>
            </w:pPr>
          </w:p>
        </w:tc>
        <w:tc>
          <w:tcPr>
            <w:tcW w:w="0" w:type="auto"/>
            <w:gridSpan w:val="3"/>
            <w:shd w:val="clear" w:color="auto" w:fill="auto"/>
            <w:tcMar>
              <w:top w:w="40" w:type="dxa"/>
              <w:left w:w="20" w:type="dxa"/>
              <w:bottom w:w="40" w:type="dxa"/>
              <w:right w:w="20" w:type="dxa"/>
            </w:tcMar>
            <w:vAlign w:val="bottom"/>
          </w:tcPr>
          <w:p w14:paraId="74DE299F" w14:textId="77777777" w:rsidR="00584EC1" w:rsidRDefault="00871F8D">
            <w:pPr>
              <w:jc w:val="center"/>
              <w:textAlignment w:val="bottom"/>
            </w:pPr>
            <w:r>
              <w:rPr>
                <w:rFonts w:ascii="Arial" w:eastAsia="宋体" w:hAnsi="Arial" w:cs="Arial"/>
                <w:i/>
                <w:iCs/>
                <w:color w:val="000000"/>
                <w:sz w:val="20"/>
                <w:szCs w:val="20"/>
              </w:rPr>
              <w:t xml:space="preserve">Executive Vice President, Global </w:t>
            </w:r>
            <w:r>
              <w:rPr>
                <w:rFonts w:ascii="Arial" w:eastAsia="宋体" w:hAnsi="Arial" w:cs="Arial"/>
                <w:i/>
                <w:iCs/>
                <w:color w:val="000000"/>
                <w:sz w:val="20"/>
                <w:szCs w:val="20"/>
              </w:rPr>
              <w:t>Controller and Chief Accounting Officer</w:t>
            </w:r>
          </w:p>
          <w:p w14:paraId="74DE29A0" w14:textId="77777777" w:rsidR="00584EC1" w:rsidRDefault="00871F8D">
            <w:pPr>
              <w:jc w:val="center"/>
              <w:textAlignment w:val="bottom"/>
            </w:pPr>
            <w:r>
              <w:rPr>
                <w:rFonts w:ascii="Arial" w:eastAsia="宋体" w:hAnsi="Arial" w:cs="Arial"/>
                <w:i/>
                <w:iCs/>
                <w:color w:val="000000"/>
                <w:sz w:val="20"/>
                <w:szCs w:val="20"/>
              </w:rPr>
              <w:t>(Principal Accounting Officer)</w:t>
            </w:r>
          </w:p>
        </w:tc>
      </w:tr>
      <w:tr w:rsidR="00584EC1" w14:paraId="74DE29A8" w14:textId="77777777">
        <w:trPr>
          <w:trHeight w:val="300"/>
        </w:trPr>
        <w:tc>
          <w:tcPr>
            <w:tcW w:w="0" w:type="auto"/>
            <w:gridSpan w:val="3"/>
            <w:shd w:val="clear" w:color="auto" w:fill="auto"/>
            <w:tcMar>
              <w:top w:w="0" w:type="dxa"/>
              <w:left w:w="20" w:type="dxa"/>
              <w:bottom w:w="0" w:type="dxa"/>
              <w:right w:w="20" w:type="dxa"/>
            </w:tcMar>
            <w:vAlign w:val="bottom"/>
          </w:tcPr>
          <w:p w14:paraId="74DE29A2"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9A3"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9A4"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9A5"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9A6" w14:textId="77777777" w:rsidR="00584EC1" w:rsidRDefault="00584EC1">
            <w:pPr>
              <w:rPr>
                <w:rFonts w:ascii="宋体"/>
              </w:rPr>
            </w:pPr>
          </w:p>
        </w:tc>
        <w:tc>
          <w:tcPr>
            <w:tcW w:w="0" w:type="auto"/>
            <w:gridSpan w:val="3"/>
            <w:shd w:val="clear" w:color="auto" w:fill="auto"/>
            <w:tcMar>
              <w:top w:w="0" w:type="dxa"/>
              <w:left w:w="20" w:type="dxa"/>
              <w:bottom w:w="0" w:type="dxa"/>
              <w:right w:w="20" w:type="dxa"/>
            </w:tcMar>
            <w:vAlign w:val="bottom"/>
          </w:tcPr>
          <w:p w14:paraId="74DE29A7" w14:textId="77777777" w:rsidR="00584EC1" w:rsidRDefault="00584EC1">
            <w:pPr>
              <w:rPr>
                <w:rFonts w:ascii="宋体"/>
              </w:rPr>
            </w:pPr>
          </w:p>
        </w:tc>
      </w:tr>
    </w:tbl>
    <w:p w14:paraId="74DE29A9" w14:textId="77777777" w:rsidR="00584EC1" w:rsidRDefault="00584EC1">
      <w:pPr>
        <w:ind w:firstLine="450"/>
        <w:textAlignment w:val="top"/>
      </w:pPr>
    </w:p>
    <w:p w14:paraId="74DE29AA" w14:textId="77777777" w:rsidR="00584EC1" w:rsidRDefault="00871F8D">
      <w:pPr>
        <w:ind w:firstLine="450"/>
        <w:jc w:val="right"/>
      </w:pPr>
      <w:r>
        <w:rPr>
          <w:rFonts w:ascii="Arial" w:eastAsia="宋体" w:hAnsi="Arial" w:cs="Arial"/>
          <w:color w:val="000000"/>
          <w:sz w:val="18"/>
          <w:szCs w:val="18"/>
        </w:rPr>
        <w:t>State Street Corporation | 102</w:t>
      </w:r>
    </w:p>
    <w:p w14:paraId="74DE29AB" w14:textId="77777777" w:rsidR="00584EC1" w:rsidRDefault="00584EC1">
      <w:pPr>
        <w:ind w:firstLine="450"/>
        <w:jc w:val="center"/>
      </w:pPr>
    </w:p>
    <w:p w14:paraId="74DE29AC" w14:textId="77777777" w:rsidR="00584EC1" w:rsidRDefault="00871F8D">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74DE2A54" wp14:editId="74DE2A55">
                <wp:extent cx="635" cy="0"/>
                <wp:effectExtent l="0" t="0" r="0" b="0"/>
                <wp:docPr id="11" name="矩形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H/dV3gACAAAaBAAADgAAAAAAAAAB&#10;ACAAAAAzAQAAZHJzL2Uyb0RvYy54bWxQSwUGAAAAAAYABgBZAQAApQU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84EC1" w14:paraId="74DE29AE" w14:textId="77777777">
        <w:trPr>
          <w:tblCellSpacing w:w="15" w:type="dxa"/>
        </w:trPr>
        <w:tc>
          <w:tcPr>
            <w:tcW w:w="0" w:type="auto"/>
            <w:shd w:val="clear" w:color="auto" w:fill="auto"/>
            <w:vAlign w:val="center"/>
          </w:tcPr>
          <w:p w14:paraId="74DE29AD" w14:textId="77777777" w:rsidR="00584EC1" w:rsidRDefault="00584EC1">
            <w:pPr>
              <w:rPr>
                <w:rFonts w:ascii="宋体"/>
              </w:rPr>
            </w:pPr>
          </w:p>
        </w:tc>
      </w:tr>
    </w:tbl>
    <w:p w14:paraId="74DE29AF" w14:textId="77777777" w:rsidR="00584EC1" w:rsidRDefault="00584EC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84EC1" w14:paraId="74DE29B1" w14:textId="77777777">
        <w:trPr>
          <w:tblCellSpacing w:w="15" w:type="dxa"/>
        </w:trPr>
        <w:tc>
          <w:tcPr>
            <w:tcW w:w="0" w:type="auto"/>
            <w:shd w:val="clear" w:color="auto" w:fill="auto"/>
            <w:vAlign w:val="center"/>
          </w:tcPr>
          <w:p w14:paraId="74DE29B0" w14:textId="77777777" w:rsidR="00584EC1" w:rsidRDefault="00584EC1">
            <w:pPr>
              <w:rPr>
                <w:rFonts w:ascii="宋体"/>
              </w:rPr>
            </w:pPr>
          </w:p>
        </w:tc>
      </w:tr>
    </w:tbl>
    <w:p w14:paraId="74DE29B2" w14:textId="77777777" w:rsidR="00584EC1" w:rsidRDefault="00584EC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84EC1" w14:paraId="74DE29B4" w14:textId="77777777">
        <w:trPr>
          <w:tblCellSpacing w:w="15" w:type="dxa"/>
        </w:trPr>
        <w:tc>
          <w:tcPr>
            <w:tcW w:w="0" w:type="auto"/>
            <w:shd w:val="clear" w:color="auto" w:fill="auto"/>
            <w:vAlign w:val="center"/>
          </w:tcPr>
          <w:p w14:paraId="74DE29B3" w14:textId="77777777" w:rsidR="00584EC1" w:rsidRDefault="00584EC1">
            <w:pPr>
              <w:rPr>
                <w:rFonts w:ascii="宋体"/>
              </w:rPr>
            </w:pPr>
          </w:p>
        </w:tc>
      </w:tr>
    </w:tbl>
    <w:p w14:paraId="74DE29B5" w14:textId="77777777" w:rsidR="00584EC1" w:rsidRDefault="00584EC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84EC1" w14:paraId="74DE29B7" w14:textId="77777777">
        <w:trPr>
          <w:tblCellSpacing w:w="15" w:type="dxa"/>
        </w:trPr>
        <w:tc>
          <w:tcPr>
            <w:tcW w:w="0" w:type="auto"/>
            <w:shd w:val="clear" w:color="auto" w:fill="auto"/>
            <w:vAlign w:val="center"/>
          </w:tcPr>
          <w:p w14:paraId="74DE29B6" w14:textId="77777777" w:rsidR="00584EC1" w:rsidRDefault="00584EC1">
            <w:pPr>
              <w:rPr>
                <w:rFonts w:ascii="宋体"/>
              </w:rPr>
            </w:pPr>
          </w:p>
        </w:tc>
      </w:tr>
    </w:tbl>
    <w:p w14:paraId="74DE29B8" w14:textId="77777777" w:rsidR="00584EC1" w:rsidRDefault="00871F8D">
      <w:r>
        <w:rPr>
          <w:rFonts w:ascii="宋体" w:eastAsia="宋体" w:hAnsi="宋体" w:cs="宋体"/>
        </w:rPr>
        <w:t xml:space="preserve">Previous Next </w:t>
      </w:r>
    </w:p>
    <w:p w14:paraId="74DE29B9" w14:textId="77777777" w:rsidR="00584EC1" w:rsidRDefault="00871F8D">
      <w:pPr>
        <w:pStyle w:val="a3"/>
      </w:pPr>
      <w:r>
        <w:t>Settings</w:t>
      </w:r>
    </w:p>
    <w:p w14:paraId="74DE29BA" w14:textId="77777777" w:rsidR="00584EC1" w:rsidRDefault="00871F8D">
      <w:pPr>
        <w:pStyle w:val="Style4"/>
      </w:pPr>
      <w:r>
        <w:t>窗体顶端</w:t>
      </w:r>
    </w:p>
    <w:p w14:paraId="74DE29BB" w14:textId="77777777" w:rsidR="00584EC1" w:rsidRDefault="00871F8D">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74DE2A56" wp14:editId="74DE2A57">
                <wp:extent cx="635" cy="0"/>
                <wp:effectExtent l="0" t="0" r="0" b="0"/>
                <wp:docPr id="12" name="矩形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A80XowAC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A80XowACAAAaBAAADgAAAAAAAAAB&#10;ACAAAAAzAQAAZHJzL2Uyb0RvYy54bWxQSwUGAAAAAAYABgBZAQAApQU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74DE29BC" w14:textId="77777777" w:rsidR="00584EC1" w:rsidRDefault="00871F8D">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74DE2A58" wp14:editId="74DE2A59">
                <wp:extent cx="635" cy="0"/>
                <wp:effectExtent l="0" t="0" r="0" b="0"/>
                <wp:docPr id="18" name="矩形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Clfqd/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AKV+p3/wEAABo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w:t>
      </w:r>
      <w:r>
        <w:rPr>
          <w:rFonts w:ascii="宋体" w:eastAsia="宋体" w:hAnsi="宋体" w:cs="宋体"/>
        </w:rPr>
        <w:t xml:space="preserve">ari. </w:t>
      </w:r>
    </w:p>
    <w:p w14:paraId="74DE29BD" w14:textId="77777777" w:rsidR="00584EC1" w:rsidRDefault="00871F8D">
      <w:r>
        <w:pict w14:anchorId="74DE2A5A">
          <v:rect id="_x0000_i1126" style="width:415.3pt;height:1.5pt" o:hralign="center" o:hrstd="t" o:hr="t" fillcolor="#a0a0a0" stroked="f"/>
        </w:pict>
      </w:r>
    </w:p>
    <w:p w14:paraId="74DE29BE" w14:textId="77777777" w:rsidR="00584EC1" w:rsidRDefault="00871F8D">
      <w:r>
        <w:rPr>
          <w:rFonts w:ascii="宋体" w:eastAsia="宋体" w:hAnsi="宋体" w:cs="宋体"/>
        </w:rPr>
        <w:t xml:space="preserve">Tagged Data </w:t>
      </w:r>
    </w:p>
    <w:p w14:paraId="74DE29BF" w14:textId="77777777" w:rsidR="00584EC1" w:rsidRDefault="00871F8D">
      <w:r>
        <w:rPr>
          <w:rFonts w:ascii="monospace" w:eastAsia="monospace" w:hAnsi="monospace" w:cs="monospace"/>
          <w:noProof/>
        </w:rPr>
        <mc:AlternateContent>
          <mc:Choice Requires="wps">
            <w:drawing>
              <wp:inline distT="0" distB="0" distL="114300" distR="114300" wp14:anchorId="74DE2A5B" wp14:editId="74DE2A5C">
                <wp:extent cx="635" cy="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By7Q/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BJLEgaWJ//7249fP74wcpM4QsKagh3AfMz8Md158Reb8TQ+uU+8wkMaUnWOrJ8H5gFPavo02&#10;pxNhti/qH07qq31igpxXry85E0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UHLtD/wEAABoEAAAOAAAAAAAAAAEA&#10;IAAAADMBAABkcnMvZTJvRG9jLnhtbFBLBQYAAAAABgAGAFkBAACkBQAAAAA=&#10;">
                <v:fill on="f" focussize="0,0"/>
                <v:stroke color="#000000" joinstyle="miter"/>
                <v:imagedata o:title=""/>
                <o:lock v:ext="edit" aspectratio="t"/>
                <w10:wrap type="none"/>
                <w10:anchorlock/>
              </v:rect>
            </w:pict>
          </mc:Fallback>
        </mc:AlternateContent>
      </w:r>
    </w:p>
    <w:p w14:paraId="74DE29C0" w14:textId="77777777" w:rsidR="00584EC1" w:rsidRDefault="00871F8D">
      <w:r>
        <w:rPr>
          <w:rFonts w:ascii="宋体" w:eastAsia="宋体" w:hAnsi="宋体" w:cs="宋体"/>
        </w:rPr>
        <w:t>Save</w:t>
      </w:r>
    </w:p>
    <w:p w14:paraId="74DE29C1" w14:textId="77777777" w:rsidR="00584EC1" w:rsidRDefault="00871F8D">
      <w:r>
        <w:rPr>
          <w:rFonts w:ascii="宋体" w:eastAsia="宋体" w:hAnsi="宋体" w:cs="宋体"/>
        </w:rPr>
        <w:t>Reset</w:t>
      </w:r>
    </w:p>
    <w:p w14:paraId="74DE29C2" w14:textId="77777777" w:rsidR="00584EC1" w:rsidRDefault="00871F8D">
      <w:r>
        <w:pict w14:anchorId="74DE2A5D">
          <v:rect id="_x0000_i1127" style="width:415.3pt;height:1.5pt" o:hralign="center" o:hrstd="t" o:hr="t" fillcolor="#a0a0a0" stroked="f"/>
        </w:pict>
      </w:r>
    </w:p>
    <w:p w14:paraId="74DE29C3" w14:textId="77777777" w:rsidR="00584EC1" w:rsidRDefault="00871F8D">
      <w:r>
        <w:rPr>
          <w:rFonts w:ascii="宋体" w:eastAsia="宋体" w:hAnsi="宋体" w:cs="宋体"/>
        </w:rPr>
        <w:t xml:space="preserve">Search Results </w:t>
      </w:r>
    </w:p>
    <w:p w14:paraId="74DE29C4" w14:textId="77777777" w:rsidR="00584EC1" w:rsidRDefault="00871F8D">
      <w:r>
        <w:rPr>
          <w:rFonts w:ascii="monospace" w:eastAsia="monospace" w:hAnsi="monospace" w:cs="monospace"/>
          <w:noProof/>
        </w:rPr>
        <mc:AlternateContent>
          <mc:Choice Requires="wps">
            <w:drawing>
              <wp:inline distT="0" distB="0" distL="114300" distR="114300" wp14:anchorId="74DE2A5E" wp14:editId="74DE2A5F">
                <wp:extent cx="635" cy="0"/>
                <wp:effectExtent l="0" t="0" r="0" b="0"/>
                <wp:docPr id="16" name="矩形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7Gg/uQ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74DE29C5" w14:textId="77777777" w:rsidR="00584EC1" w:rsidRDefault="00871F8D">
      <w:r>
        <w:rPr>
          <w:rFonts w:ascii="宋体" w:eastAsia="宋体" w:hAnsi="宋体" w:cs="宋体"/>
        </w:rPr>
        <w:t>Save</w:t>
      </w:r>
    </w:p>
    <w:p w14:paraId="74DE29C6" w14:textId="77777777" w:rsidR="00584EC1" w:rsidRDefault="00871F8D">
      <w:r>
        <w:rPr>
          <w:rFonts w:ascii="宋体" w:eastAsia="宋体" w:hAnsi="宋体" w:cs="宋体"/>
        </w:rPr>
        <w:t>Reset</w:t>
      </w:r>
    </w:p>
    <w:p w14:paraId="74DE29C7" w14:textId="77777777" w:rsidR="00584EC1" w:rsidRDefault="00871F8D">
      <w:r>
        <w:pict w14:anchorId="74DE2A60">
          <v:rect id="_x0000_i1128" style="width:415.3pt;height:1.5pt" o:hralign="center" o:hrstd="t" o:hr="t" fillcolor="#a0a0a0" stroked="f"/>
        </w:pict>
      </w:r>
    </w:p>
    <w:p w14:paraId="74DE29C8" w14:textId="77777777" w:rsidR="00584EC1" w:rsidRDefault="00871F8D">
      <w:r>
        <w:rPr>
          <w:rFonts w:ascii="宋体" w:eastAsia="宋体" w:hAnsi="宋体" w:cs="宋体"/>
        </w:rPr>
        <w:t xml:space="preserve">Selected Fact </w:t>
      </w:r>
    </w:p>
    <w:p w14:paraId="74DE29C9" w14:textId="77777777" w:rsidR="00584EC1" w:rsidRDefault="00871F8D">
      <w:r>
        <w:rPr>
          <w:rFonts w:ascii="monospace" w:eastAsia="monospace" w:hAnsi="monospace" w:cs="monospace"/>
          <w:noProof/>
        </w:rPr>
        <mc:AlternateContent>
          <mc:Choice Requires="wps">
            <w:drawing>
              <wp:inline distT="0" distB="0" distL="114300" distR="114300" wp14:anchorId="74DE2A61" wp14:editId="74DE2A62">
                <wp:extent cx="635" cy="0"/>
                <wp:effectExtent l="0" t="0" r="0" b="0"/>
                <wp:docPr id="17" name="矩形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J4PRJAACAAAaBAAADgAAAGRycy9l&#10;Mm9Eb2MueG1srVNLbhsxDN0X6B0E7etxXCRt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J4PRJA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74DE29CA" w14:textId="77777777" w:rsidR="00584EC1" w:rsidRDefault="00871F8D">
      <w:r>
        <w:rPr>
          <w:rFonts w:ascii="宋体" w:eastAsia="宋体" w:hAnsi="宋体" w:cs="宋体"/>
        </w:rPr>
        <w:t>Save</w:t>
      </w:r>
    </w:p>
    <w:p w14:paraId="74DE29CB" w14:textId="77777777" w:rsidR="00584EC1" w:rsidRDefault="00871F8D">
      <w:r>
        <w:rPr>
          <w:rFonts w:ascii="宋体" w:eastAsia="宋体" w:hAnsi="宋体" w:cs="宋体"/>
        </w:rPr>
        <w:t>Reset</w:t>
      </w:r>
    </w:p>
    <w:p w14:paraId="74DE29CC" w14:textId="77777777" w:rsidR="00584EC1" w:rsidRDefault="00871F8D">
      <w:r>
        <w:pict w14:anchorId="74DE2A63">
          <v:rect id="_x0000_i1129" style="width:415.3pt;height:1.5pt" o:hralign="center" o:hrstd="t" o:hr="t" fillcolor="#a0a0a0" stroked="f"/>
        </w:pict>
      </w:r>
    </w:p>
    <w:p w14:paraId="74DE29CD" w14:textId="77777777" w:rsidR="00584EC1" w:rsidRDefault="00871F8D">
      <w:r>
        <w:rPr>
          <w:rFonts w:ascii="宋体" w:eastAsia="宋体" w:hAnsi="宋体" w:cs="宋体"/>
        </w:rPr>
        <w:t xml:space="preserve">Tag Shading (hover) </w:t>
      </w:r>
    </w:p>
    <w:p w14:paraId="74DE29CE" w14:textId="77777777" w:rsidR="00584EC1" w:rsidRDefault="00871F8D">
      <w:r>
        <w:rPr>
          <w:rFonts w:ascii="monospace" w:eastAsia="monospace" w:hAnsi="monospace" w:cs="monospace"/>
          <w:noProof/>
        </w:rPr>
        <mc:AlternateContent>
          <mc:Choice Requires="wps">
            <w:drawing>
              <wp:inline distT="0" distB="0" distL="114300" distR="114300" wp14:anchorId="74DE2A64" wp14:editId="74DE2A65">
                <wp:extent cx="635" cy="0"/>
                <wp:effectExtent l="0" t="0" r="0" b="0"/>
                <wp:docPr id="39" name="矩形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dXU/I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74DE29CF" w14:textId="77777777" w:rsidR="00584EC1" w:rsidRDefault="00871F8D">
      <w:r>
        <w:rPr>
          <w:rFonts w:ascii="宋体" w:eastAsia="宋体" w:hAnsi="宋体" w:cs="宋体"/>
        </w:rPr>
        <w:t>Save</w:t>
      </w:r>
    </w:p>
    <w:p w14:paraId="74DE29D0" w14:textId="77777777" w:rsidR="00584EC1" w:rsidRDefault="00871F8D">
      <w:r>
        <w:rPr>
          <w:rFonts w:ascii="宋体" w:eastAsia="宋体" w:hAnsi="宋体" w:cs="宋体"/>
        </w:rPr>
        <w:t>Reset</w:t>
      </w:r>
    </w:p>
    <w:p w14:paraId="74DE29D1" w14:textId="77777777" w:rsidR="00584EC1" w:rsidRDefault="00871F8D">
      <w:pPr>
        <w:pStyle w:val="Style5"/>
      </w:pPr>
      <w:r>
        <w:t>窗体底端</w:t>
      </w:r>
    </w:p>
    <w:p w14:paraId="74DE29D2" w14:textId="77777777" w:rsidR="00584EC1" w:rsidRDefault="00871F8D">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74DE2A66" wp14:editId="74DE2A67">
                <wp:extent cx="635" cy="0"/>
                <wp:effectExtent l="0" t="0" r="0" b="0"/>
                <wp:docPr id="40" name="矩形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z4/fw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Sz4/fwACAAAaBAAADgAAAAAAAAAB&#10;ACAAAAAzAQAAZHJzL2Uyb0RvYy54bWxQSwUGAAAAAAYABgBZAQAApQU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84EC1" w14:paraId="74DE29D4" w14:textId="77777777">
        <w:trPr>
          <w:tblCellSpacing w:w="15" w:type="dxa"/>
        </w:trPr>
        <w:tc>
          <w:tcPr>
            <w:tcW w:w="0" w:type="auto"/>
            <w:shd w:val="clear" w:color="auto" w:fill="auto"/>
            <w:vAlign w:val="center"/>
          </w:tcPr>
          <w:p w14:paraId="74DE29D3" w14:textId="77777777" w:rsidR="00584EC1" w:rsidRDefault="00584EC1">
            <w:pPr>
              <w:rPr>
                <w:rFonts w:ascii="宋体"/>
              </w:rPr>
            </w:pPr>
          </w:p>
        </w:tc>
      </w:tr>
    </w:tbl>
    <w:p w14:paraId="74DE29D5" w14:textId="77777777" w:rsidR="00584EC1" w:rsidRDefault="00584EC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84EC1" w14:paraId="74DE29D7" w14:textId="77777777">
        <w:trPr>
          <w:tblCellSpacing w:w="15" w:type="dxa"/>
        </w:trPr>
        <w:tc>
          <w:tcPr>
            <w:tcW w:w="0" w:type="auto"/>
            <w:shd w:val="clear" w:color="auto" w:fill="auto"/>
            <w:vAlign w:val="center"/>
          </w:tcPr>
          <w:p w14:paraId="74DE29D6" w14:textId="77777777" w:rsidR="00584EC1" w:rsidRDefault="00584EC1">
            <w:pPr>
              <w:rPr>
                <w:rFonts w:ascii="宋体"/>
              </w:rPr>
            </w:pPr>
          </w:p>
        </w:tc>
      </w:tr>
    </w:tbl>
    <w:p w14:paraId="74DE29D8" w14:textId="77777777" w:rsidR="00584EC1" w:rsidRDefault="00584EC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84EC1" w14:paraId="74DE29DA" w14:textId="77777777">
        <w:trPr>
          <w:tblCellSpacing w:w="15" w:type="dxa"/>
        </w:trPr>
        <w:tc>
          <w:tcPr>
            <w:tcW w:w="0" w:type="auto"/>
            <w:shd w:val="clear" w:color="auto" w:fill="auto"/>
            <w:vAlign w:val="center"/>
          </w:tcPr>
          <w:p w14:paraId="74DE29D9" w14:textId="77777777" w:rsidR="00584EC1" w:rsidRDefault="00584EC1">
            <w:pPr>
              <w:rPr>
                <w:rFonts w:ascii="宋体"/>
              </w:rPr>
            </w:pPr>
          </w:p>
        </w:tc>
      </w:tr>
    </w:tbl>
    <w:p w14:paraId="74DE29DB" w14:textId="77777777" w:rsidR="00584EC1" w:rsidRDefault="00584EC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84EC1" w14:paraId="74DE29DD" w14:textId="77777777">
        <w:trPr>
          <w:tblCellSpacing w:w="15" w:type="dxa"/>
        </w:trPr>
        <w:tc>
          <w:tcPr>
            <w:tcW w:w="0" w:type="auto"/>
            <w:shd w:val="clear" w:color="auto" w:fill="auto"/>
            <w:vAlign w:val="center"/>
          </w:tcPr>
          <w:p w14:paraId="74DE29DC" w14:textId="77777777" w:rsidR="00584EC1" w:rsidRDefault="00584EC1">
            <w:pPr>
              <w:rPr>
                <w:rFonts w:ascii="宋体"/>
              </w:rPr>
            </w:pPr>
          </w:p>
        </w:tc>
      </w:tr>
    </w:tbl>
    <w:p w14:paraId="74DE29DE" w14:textId="77777777" w:rsidR="00584EC1" w:rsidRDefault="00871F8D">
      <w:r>
        <w:rPr>
          <w:rFonts w:ascii="宋体" w:eastAsia="宋体" w:hAnsi="宋体" w:cs="宋体"/>
        </w:rPr>
        <w:t xml:space="preserve">Previous Next </w:t>
      </w:r>
    </w:p>
    <w:p w14:paraId="74DE29DF" w14:textId="77777777" w:rsidR="00584EC1" w:rsidRDefault="00871F8D">
      <w:pPr>
        <w:pStyle w:val="a3"/>
      </w:pPr>
      <w:r>
        <w:t xml:space="preserve">Nested Facts / </w:t>
      </w:r>
    </w:p>
    <w:p w14:paraId="74DE29E0" w14:textId="77777777" w:rsidR="00584EC1" w:rsidRDefault="00871F8D">
      <w:r>
        <w:rPr>
          <w:rFonts w:ascii="宋体" w:eastAsia="宋体" w:hAnsi="宋体" w:cs="宋体"/>
        </w:rPr>
        <w:t xml:space="preserve">Previous Next </w:t>
      </w:r>
    </w:p>
    <w:p w14:paraId="74DE29E1" w14:textId="77777777" w:rsidR="00584EC1" w:rsidRDefault="00871F8D">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74DE2A68" wp14:editId="74DE2A69">
                <wp:extent cx="635" cy="0"/>
                <wp:effectExtent l="0" t="0" r="0" b="0"/>
                <wp:docPr id="41" name="矩形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DV0eI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84EC1" w14:paraId="74DE29E3" w14:textId="77777777">
        <w:trPr>
          <w:tblCellSpacing w:w="15" w:type="dxa"/>
        </w:trPr>
        <w:tc>
          <w:tcPr>
            <w:tcW w:w="0" w:type="auto"/>
            <w:shd w:val="clear" w:color="auto" w:fill="auto"/>
            <w:vAlign w:val="center"/>
          </w:tcPr>
          <w:p w14:paraId="74DE29E2" w14:textId="77777777" w:rsidR="00584EC1" w:rsidRDefault="00584EC1">
            <w:pPr>
              <w:rPr>
                <w:rFonts w:ascii="宋体"/>
              </w:rPr>
            </w:pPr>
          </w:p>
        </w:tc>
      </w:tr>
    </w:tbl>
    <w:p w14:paraId="74DE29E4" w14:textId="77777777" w:rsidR="00584EC1" w:rsidRDefault="00584EC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84EC1" w14:paraId="74DE29E6" w14:textId="77777777">
        <w:trPr>
          <w:tblCellSpacing w:w="15" w:type="dxa"/>
        </w:trPr>
        <w:tc>
          <w:tcPr>
            <w:tcW w:w="0" w:type="auto"/>
            <w:shd w:val="clear" w:color="auto" w:fill="auto"/>
            <w:vAlign w:val="center"/>
          </w:tcPr>
          <w:p w14:paraId="74DE29E5" w14:textId="77777777" w:rsidR="00584EC1" w:rsidRDefault="00584EC1">
            <w:pPr>
              <w:rPr>
                <w:rFonts w:ascii="宋体"/>
              </w:rPr>
            </w:pPr>
          </w:p>
        </w:tc>
      </w:tr>
    </w:tbl>
    <w:p w14:paraId="74DE29E7" w14:textId="77777777" w:rsidR="00584EC1" w:rsidRDefault="00584EC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84EC1" w14:paraId="74DE29E9" w14:textId="77777777">
        <w:trPr>
          <w:tblCellSpacing w:w="15" w:type="dxa"/>
        </w:trPr>
        <w:tc>
          <w:tcPr>
            <w:tcW w:w="0" w:type="auto"/>
            <w:shd w:val="clear" w:color="auto" w:fill="auto"/>
            <w:vAlign w:val="center"/>
          </w:tcPr>
          <w:p w14:paraId="74DE29E8" w14:textId="77777777" w:rsidR="00584EC1" w:rsidRDefault="00584EC1">
            <w:pPr>
              <w:rPr>
                <w:rFonts w:ascii="宋体"/>
              </w:rPr>
            </w:pPr>
          </w:p>
        </w:tc>
      </w:tr>
    </w:tbl>
    <w:p w14:paraId="74DE29EA" w14:textId="77777777" w:rsidR="00584EC1" w:rsidRDefault="00584EC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84EC1" w14:paraId="74DE29EC" w14:textId="77777777">
        <w:trPr>
          <w:tblCellSpacing w:w="15" w:type="dxa"/>
        </w:trPr>
        <w:tc>
          <w:tcPr>
            <w:tcW w:w="0" w:type="auto"/>
            <w:shd w:val="clear" w:color="auto" w:fill="auto"/>
            <w:vAlign w:val="center"/>
          </w:tcPr>
          <w:p w14:paraId="74DE29EB" w14:textId="77777777" w:rsidR="00584EC1" w:rsidRDefault="00584EC1">
            <w:pPr>
              <w:rPr>
                <w:rFonts w:ascii="宋体"/>
              </w:rPr>
            </w:pPr>
          </w:p>
        </w:tc>
      </w:tr>
    </w:tbl>
    <w:p w14:paraId="74DE29ED" w14:textId="77777777" w:rsidR="00584EC1" w:rsidRDefault="00871F8D">
      <w:r>
        <w:rPr>
          <w:rFonts w:ascii="宋体" w:eastAsia="宋体" w:hAnsi="宋体" w:cs="宋体"/>
        </w:rPr>
        <w:t xml:space="preserve">Previous Next </w:t>
      </w:r>
    </w:p>
    <w:p w14:paraId="74DE29EE" w14:textId="77777777" w:rsidR="00584EC1" w:rsidRDefault="00584EC1"/>
    <w:sectPr w:rsidR="00584EC1">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5D790" w14:textId="77777777" w:rsidR="00871F8D" w:rsidRDefault="00871F8D" w:rsidP="00871F8D">
      <w:r>
        <w:separator/>
      </w:r>
    </w:p>
  </w:endnote>
  <w:endnote w:type="continuationSeparator" w:id="0">
    <w:p w14:paraId="068256A5" w14:textId="77777777" w:rsidR="00871F8D" w:rsidRDefault="00871F8D" w:rsidP="00871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Wingdings">
    <w:panose1 w:val="05000000000000000000"/>
    <w:charset w:val="02"/>
    <w:family w:val="auto"/>
    <w:pitch w:val="variable"/>
    <w:sig w:usb0="00000000" w:usb1="10000000" w:usb2="00000000" w:usb3="00000000" w:csb0="80000000" w:csb1="00000000"/>
  </w:font>
  <w:font w:name="sans-serif">
    <w:altName w:val="Calibri"/>
    <w:charset w:val="00"/>
    <w:family w:val="auto"/>
    <w:pitch w:val="default"/>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94F9D" w14:textId="77777777" w:rsidR="00871F8D" w:rsidRDefault="00871F8D" w:rsidP="00871F8D">
      <w:r>
        <w:separator/>
      </w:r>
    </w:p>
  </w:footnote>
  <w:footnote w:type="continuationSeparator" w:id="0">
    <w:p w14:paraId="626AD065" w14:textId="77777777" w:rsidR="00871F8D" w:rsidRDefault="00871F8D" w:rsidP="00871F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D9FF0FB3"/>
    <w:rsid w:val="D9FF0FB3"/>
    <w:rsid w:val="00584EC1"/>
    <w:rsid w:val="00871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DD5D80"/>
  <w15:docId w15:val="{8B1B0CAF-EFFE-419B-A2DC-2A26F178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871F8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871F8D"/>
    <w:rPr>
      <w:rFonts w:asciiTheme="minorEastAsia" w:hAnsiTheme="minorEastAsia" w:cs="Times New Roman"/>
      <w:sz w:val="18"/>
      <w:szCs w:val="18"/>
    </w:rPr>
  </w:style>
  <w:style w:type="paragraph" w:styleId="a8">
    <w:name w:val="footer"/>
    <w:basedOn w:val="a"/>
    <w:link w:val="a9"/>
    <w:rsid w:val="00871F8D"/>
    <w:pPr>
      <w:tabs>
        <w:tab w:val="center" w:pos="4153"/>
        <w:tab w:val="right" w:pos="8306"/>
      </w:tabs>
      <w:snapToGrid w:val="0"/>
    </w:pPr>
    <w:rPr>
      <w:sz w:val="18"/>
      <w:szCs w:val="18"/>
    </w:rPr>
  </w:style>
  <w:style w:type="character" w:customStyle="1" w:styleId="a9">
    <w:name w:val="页脚 字符"/>
    <w:basedOn w:val="a0"/>
    <w:link w:val="a8"/>
    <w:rsid w:val="00871F8D"/>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sec.gov/ix?doc=/Archives/edgar/data/93751/000009375121000691/stt-20210930.htm" TargetMode="External"/><Relationship Id="rId21" Type="http://schemas.openxmlformats.org/officeDocument/2006/relationships/hyperlink" Target="https://www.sec.gov/ix?doc=/Archives/edgar/data/93751/000009375121000691/stt-20210930.htm" TargetMode="External"/><Relationship Id="rId42" Type="http://schemas.openxmlformats.org/officeDocument/2006/relationships/hyperlink" Target="https://www.sec.gov/ix?doc=/Archives/edgar/data/93751/000009375121000691/stt-20210930.htm" TargetMode="External"/><Relationship Id="rId47" Type="http://schemas.openxmlformats.org/officeDocument/2006/relationships/hyperlink" Target="https://www.sec.gov/ix?doc=/Archives/edgar/data/93751/000009375121000691/stt-20210930.htm" TargetMode="External"/><Relationship Id="rId63" Type="http://schemas.openxmlformats.org/officeDocument/2006/relationships/hyperlink" Target="https://www.sec.gov/ix?doc=/Archives/edgar/data/93751/000009375121000691/stt-20210930.htm" TargetMode="External"/><Relationship Id="rId68" Type="http://schemas.openxmlformats.org/officeDocument/2006/relationships/hyperlink" Target="https://www.sec.gov/Archives/edgar/data/93751/000009375121000691/exhibit311-september302021.htm" TargetMode="External"/><Relationship Id="rId2" Type="http://schemas.openxmlformats.org/officeDocument/2006/relationships/settings" Target="settings.xml"/><Relationship Id="rId16" Type="http://schemas.openxmlformats.org/officeDocument/2006/relationships/hyperlink" Target="https://www.sec.gov/ix?doc=/Archives/edgar/data/93751/000009375121000691/stt-20210930.htm" TargetMode="External"/><Relationship Id="rId29" Type="http://schemas.openxmlformats.org/officeDocument/2006/relationships/hyperlink" Target="https://www.sec.gov/ix?doc=/Archives/edgar/data/93751/000009375121000691/stt-20210930.htm" TargetMode="External"/><Relationship Id="rId11" Type="http://schemas.openxmlformats.org/officeDocument/2006/relationships/hyperlink" Target="https://www.sec.gov/ix?doc=/Archives/edgar/data/93751/000009375121000691/stt-20210930.htm" TargetMode="External"/><Relationship Id="rId24" Type="http://schemas.openxmlformats.org/officeDocument/2006/relationships/hyperlink" Target="https://www.sec.gov/ix?doc=/Archives/edgar/data/93751/000009375121000691/stt-20210930.htm" TargetMode="External"/><Relationship Id="rId32" Type="http://schemas.openxmlformats.org/officeDocument/2006/relationships/hyperlink" Target="https://www.sec.gov/ix?doc=/Archives/edgar/data/93751/000009375121000691/stt-20210930.htm" TargetMode="External"/><Relationship Id="rId37" Type="http://schemas.openxmlformats.org/officeDocument/2006/relationships/hyperlink" Target="https://www.sec.gov/ix?doc=/Archives/edgar/data/93751/000009375121000691/stt-20210930.htm" TargetMode="External"/><Relationship Id="rId40" Type="http://schemas.openxmlformats.org/officeDocument/2006/relationships/hyperlink" Target="https://www.sec.gov/ix?doc=/Archives/edgar/data/93751/000009375121000691/stt-20210930.htm" TargetMode="External"/><Relationship Id="rId45" Type="http://schemas.openxmlformats.org/officeDocument/2006/relationships/hyperlink" Target="https://www.sec.gov/ix?doc=/Archives/edgar/data/93751/000009375121000691/stt-20210930.htm" TargetMode="External"/><Relationship Id="rId53" Type="http://schemas.openxmlformats.org/officeDocument/2006/relationships/hyperlink" Target="https://www.sec.gov/ix?doc=/Archives/edgar/data/93751/000009375121000691/stt-20210930.htm" TargetMode="External"/><Relationship Id="rId58" Type="http://schemas.openxmlformats.org/officeDocument/2006/relationships/hyperlink" Target="https://www.sec.gov/ix?doc=/Archives/edgar/data/93751/000009375121000691/stt-20210930.htm" TargetMode="External"/><Relationship Id="rId66" Type="http://schemas.openxmlformats.org/officeDocument/2006/relationships/hyperlink" Target="https://www.sec.gov/Archives/edgar/data/93751/000009375121000691/exhibit15acknowledgmentlet.htm" TargetMode="External"/><Relationship Id="rId74" Type="http://schemas.openxmlformats.org/officeDocument/2006/relationships/theme" Target="theme/theme1.xml"/><Relationship Id="rId5" Type="http://schemas.openxmlformats.org/officeDocument/2006/relationships/endnotes" Target="endnotes.xml"/><Relationship Id="rId61" Type="http://schemas.openxmlformats.org/officeDocument/2006/relationships/hyperlink" Target="https://www.sec.gov/ix?doc=/Archives/edgar/data/93751/000009375121000691/stt-20210930.htm" TargetMode="External"/><Relationship Id="rId19" Type="http://schemas.openxmlformats.org/officeDocument/2006/relationships/hyperlink" Target="https://www.sec.gov/ix?doc=/Archives/edgar/data/93751/000009375121000691/stt-20210930.htm" TargetMode="External"/><Relationship Id="rId14" Type="http://schemas.openxmlformats.org/officeDocument/2006/relationships/hyperlink" Target="https://www.sec.gov/ix?doc=/Archives/edgar/data/93751/000009375121000691/stt-20210930.htm" TargetMode="External"/><Relationship Id="rId22" Type="http://schemas.openxmlformats.org/officeDocument/2006/relationships/hyperlink" Target="https://www.sec.gov/ix?doc=/Archives/edgar/data/93751/000009375121000691/stt-20210930.htm" TargetMode="External"/><Relationship Id="rId27" Type="http://schemas.openxmlformats.org/officeDocument/2006/relationships/hyperlink" Target="https://www.sec.gov/ix?doc=/Archives/edgar/data/93751/000009375121000691/stt-20210930.htm" TargetMode="External"/><Relationship Id="rId30" Type="http://schemas.openxmlformats.org/officeDocument/2006/relationships/hyperlink" Target="https://www.sec.gov/ix?doc=/Archives/edgar/data/93751/000009375121000691/stt-20210930.htm" TargetMode="External"/><Relationship Id="rId35" Type="http://schemas.openxmlformats.org/officeDocument/2006/relationships/hyperlink" Target="https://www.sec.gov/ix?doc=/Archives/edgar/data/93751/000009375121000691/stt-20210930.htm" TargetMode="External"/><Relationship Id="rId43" Type="http://schemas.openxmlformats.org/officeDocument/2006/relationships/hyperlink" Target="https://www.sec.gov/ix?doc=/Archives/edgar/data/93751/000009375121000691/stt-20210930.htm" TargetMode="External"/><Relationship Id="rId48" Type="http://schemas.openxmlformats.org/officeDocument/2006/relationships/hyperlink" Target="https://www.sec.gov/ix?doc=/Archives/edgar/data/93751/000009375121000691/stt-20210930.htm" TargetMode="External"/><Relationship Id="rId56" Type="http://schemas.openxmlformats.org/officeDocument/2006/relationships/hyperlink" Target="https://www.sec.gov/ix?doc=/Archives/edgar/data/93751/000009375121000691/stt-20210930.htm" TargetMode="External"/><Relationship Id="rId64" Type="http://schemas.openxmlformats.org/officeDocument/2006/relationships/hyperlink" Target="https://www.sec.gov/ix?doc=/Archives/edgar/data/93751/000009375121000691/stt-20210930.htm" TargetMode="External"/><Relationship Id="rId69" Type="http://schemas.openxmlformats.org/officeDocument/2006/relationships/hyperlink" Target="https://www.sec.gov/Archives/edgar/data/93751/000009375121000691/exhibit312-september302021.htm" TargetMode="External"/><Relationship Id="rId8" Type="http://schemas.openxmlformats.org/officeDocument/2006/relationships/hyperlink" Target="https://www.sec.gov/ix?doc=/Archives/edgar/data/93751/000009375121000691/stt-20210930.htm" TargetMode="External"/><Relationship Id="rId51" Type="http://schemas.openxmlformats.org/officeDocument/2006/relationships/hyperlink" Target="https://www.sec.gov/ix?doc=/Archives/edgar/data/93751/000009375121000691/stt-20210930.htm" TargetMode="External"/><Relationship Id="rId72" Type="http://schemas.openxmlformats.org/officeDocument/2006/relationships/hyperlink" Target="https://www.sec.gov/Archives/edgar/data/93751/000009375121000691/exhibit32-september302021.htm" TargetMode="External"/><Relationship Id="rId3" Type="http://schemas.openxmlformats.org/officeDocument/2006/relationships/webSettings" Target="webSettings.xml"/><Relationship Id="rId12" Type="http://schemas.openxmlformats.org/officeDocument/2006/relationships/hyperlink" Target="https://www.sec.gov/ix?doc=/Archives/edgar/data/93751/000009375121000691/stt-20210930.htm" TargetMode="External"/><Relationship Id="rId17" Type="http://schemas.openxmlformats.org/officeDocument/2006/relationships/hyperlink" Target="https://www.sec.gov/ix?doc=/Archives/edgar/data/93751/000009375121000691/stt-20210930.htm" TargetMode="External"/><Relationship Id="rId25" Type="http://schemas.openxmlformats.org/officeDocument/2006/relationships/hyperlink" Target="https://www.sec.gov/ix?doc=/Archives/edgar/data/93751/000009375121000691/stt-20210930.htm" TargetMode="External"/><Relationship Id="rId33" Type="http://schemas.openxmlformats.org/officeDocument/2006/relationships/hyperlink" Target="https://www.sec.gov/ix?doc=/Archives/edgar/data/93751/000009375121000691/stt-20210930.htm" TargetMode="External"/><Relationship Id="rId38" Type="http://schemas.openxmlformats.org/officeDocument/2006/relationships/hyperlink" Target="https://www.sec.gov/ix?doc=/Archives/edgar/data/93751/000009375121000691/stt-20210930.htm" TargetMode="External"/><Relationship Id="rId46" Type="http://schemas.openxmlformats.org/officeDocument/2006/relationships/hyperlink" Target="https://www.sec.gov/ix?doc=/Archives/edgar/data/93751/000009375121000691/stt-20210930.htm" TargetMode="External"/><Relationship Id="rId59" Type="http://schemas.openxmlformats.org/officeDocument/2006/relationships/hyperlink" Target="https://www.sec.gov/ix?doc=/Archives/edgar/data/93751/000009375121000691/stt-20210930.htm" TargetMode="External"/><Relationship Id="rId67" Type="http://schemas.openxmlformats.org/officeDocument/2006/relationships/hyperlink" Target="https://www.sec.gov/Archives/edgar/data/93751/000009375121000691/exhibit311-september302021.htm" TargetMode="External"/><Relationship Id="rId20" Type="http://schemas.openxmlformats.org/officeDocument/2006/relationships/hyperlink" Target="https://www.sec.gov/ix?doc=/Archives/edgar/data/93751/000009375121000691/stt-20210930.htm" TargetMode="External"/><Relationship Id="rId41" Type="http://schemas.openxmlformats.org/officeDocument/2006/relationships/hyperlink" Target="https://www.sec.gov/ix?doc=/Archives/edgar/data/93751/000009375121000691/stt-20210930.htm" TargetMode="External"/><Relationship Id="rId54" Type="http://schemas.openxmlformats.org/officeDocument/2006/relationships/hyperlink" Target="https://www.sec.gov/ix?doc=/Archives/edgar/data/93751/000009375121000691/stt-20210930.htm" TargetMode="External"/><Relationship Id="rId62" Type="http://schemas.openxmlformats.org/officeDocument/2006/relationships/hyperlink" Target="https://www.sec.gov/ix?doc=/Archives/edgar/data/93751/000009375121000691/stt-20210930.htm" TargetMode="External"/><Relationship Id="rId70" Type="http://schemas.openxmlformats.org/officeDocument/2006/relationships/hyperlink" Target="https://www.sec.gov/Archives/edgar/data/93751/000009375121000691/exhibit312-september302021.htm" TargetMode="External"/><Relationship Id="rId1" Type="http://schemas.openxmlformats.org/officeDocument/2006/relationships/styles" Target="styles.xml"/><Relationship Id="rId6" Type="http://schemas.openxmlformats.org/officeDocument/2006/relationships/hyperlink" Target="https://www.sec.gov/ix?doc=/Archives/edgar/data/93751/000009375121000691/stt-20210930.htm" TargetMode="External"/><Relationship Id="rId15" Type="http://schemas.openxmlformats.org/officeDocument/2006/relationships/hyperlink" Target="https://www.sec.gov/ix?doc=/Archives/edgar/data/93751/000009375121000691/stt-20210930.htm" TargetMode="External"/><Relationship Id="rId23" Type="http://schemas.openxmlformats.org/officeDocument/2006/relationships/hyperlink" Target="https://www.sec.gov/ix?doc=/Archives/edgar/data/93751/000009375121000691/stt-20210930.htm" TargetMode="External"/><Relationship Id="rId28" Type="http://schemas.openxmlformats.org/officeDocument/2006/relationships/hyperlink" Target="https://www.sec.gov/ix?doc=/Archives/edgar/data/93751/000009375121000691/stt-20210930.htm" TargetMode="External"/><Relationship Id="rId36" Type="http://schemas.openxmlformats.org/officeDocument/2006/relationships/hyperlink" Target="https://www.sec.gov/ix?doc=/Archives/edgar/data/93751/000009375121000691/stt-20210930.htm" TargetMode="External"/><Relationship Id="rId49" Type="http://schemas.openxmlformats.org/officeDocument/2006/relationships/hyperlink" Target="https://www.sec.gov/ix?doc=/Archives/edgar/data/93751/000009375121000691/stt-20210930.htm" TargetMode="External"/><Relationship Id="rId57" Type="http://schemas.openxmlformats.org/officeDocument/2006/relationships/hyperlink" Target="https://www.sec.gov/ix?doc=/Archives/edgar/data/93751/000009375121000691/stt-20210930.htm" TargetMode="External"/><Relationship Id="rId10" Type="http://schemas.openxmlformats.org/officeDocument/2006/relationships/hyperlink" Target="https://www.sec.gov/ix?doc=/Archives/edgar/data/93751/000009375121000691/stt-20210930.htm" TargetMode="External"/><Relationship Id="rId31" Type="http://schemas.openxmlformats.org/officeDocument/2006/relationships/hyperlink" Target="https://www.sec.gov/ix?doc=/Archives/edgar/data/93751/000009375121000691/stt-20210930.htm" TargetMode="External"/><Relationship Id="rId44" Type="http://schemas.openxmlformats.org/officeDocument/2006/relationships/hyperlink" Target="https://www.sec.gov/ix?doc=/Archives/edgar/data/93751/000009375121000691/stt-20210930.htm" TargetMode="External"/><Relationship Id="rId52" Type="http://schemas.openxmlformats.org/officeDocument/2006/relationships/hyperlink" Target="https://www.sec.gov/ix?doc=/Archives/edgar/data/93751/000009375121000691/stt-20210930.htm" TargetMode="External"/><Relationship Id="rId60" Type="http://schemas.openxmlformats.org/officeDocument/2006/relationships/hyperlink" Target="https://www.sec.gov/ix?doc=/Archives/edgar/data/93751/000009375121000691/stt-20210930.htm" TargetMode="External"/><Relationship Id="rId65" Type="http://schemas.openxmlformats.org/officeDocument/2006/relationships/hyperlink" Target="https://www.sec.gov/Archives/edgar/data/93751/000009375121000691/exhibit15acknowledgmentlet.htm" TargetMode="External"/><Relationship Id="rId7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sec.gov/ix?doc=/Archives/edgar/data/93751/000009375121000691/stt-20210930.htm" TargetMode="External"/><Relationship Id="rId13" Type="http://schemas.openxmlformats.org/officeDocument/2006/relationships/hyperlink" Target="https://www.sec.gov/ix?doc=/Archives/edgar/data/93751/000009375121000691/stt-20210930.htm" TargetMode="External"/><Relationship Id="rId18" Type="http://schemas.openxmlformats.org/officeDocument/2006/relationships/hyperlink" Target="https://www.sec.gov/ix?doc=/Archives/edgar/data/93751/000009375121000691/stt-20210930.htm" TargetMode="External"/><Relationship Id="rId39" Type="http://schemas.openxmlformats.org/officeDocument/2006/relationships/hyperlink" Target="https://www.sec.gov/ix?doc=/Archives/edgar/data/93751/000009375121000691/stt-20210930.htm" TargetMode="External"/><Relationship Id="rId34" Type="http://schemas.openxmlformats.org/officeDocument/2006/relationships/hyperlink" Target="https://www.sec.gov/ix?doc=/Archives/edgar/data/93751/000009375121000691/stt-20210930.htm" TargetMode="External"/><Relationship Id="rId50" Type="http://schemas.openxmlformats.org/officeDocument/2006/relationships/hyperlink" Target="https://www.sec.gov/ix?doc=/Archives/edgar/data/93751/000009375121000691/stt-20210930.htm" TargetMode="External"/><Relationship Id="rId55" Type="http://schemas.openxmlformats.org/officeDocument/2006/relationships/hyperlink" Target="https://www.sec.gov/ix?doc=/Archives/edgar/data/93751/000009375121000691/stt-20210930.htm" TargetMode="External"/><Relationship Id="rId7" Type="http://schemas.openxmlformats.org/officeDocument/2006/relationships/hyperlink" Target="https://www.sec.gov/ix?doc=/Archives/edgar/data/93751/000009375121000691/stt-20210930.htm" TargetMode="External"/><Relationship Id="rId71" Type="http://schemas.openxmlformats.org/officeDocument/2006/relationships/hyperlink" Target="https://www.sec.gov/Archives/edgar/data/93751/000009375121000691/exhibit32-september30202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67674</Words>
  <Characters>385747</Characters>
  <Application>Microsoft Office Word</Application>
  <DocSecurity>0</DocSecurity>
  <Lines>3214</Lines>
  <Paragraphs>905</Paragraphs>
  <ScaleCrop>false</ScaleCrop>
  <Company/>
  <LinksUpToDate>false</LinksUpToDate>
  <CharactersWithSpaces>452516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2023-02-11T23:31:00Z</dcterms:created>
  <dcterms:modified xsi:type="dcterms:W3CDTF">2023-02-13T11:32:00Z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C37023985EEE29E8D8B4E7633EFDD61B</vt:lpwstr>
  </property>
</Properties>
</file>